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C2F95" w14:textId="50BDC381" w:rsidR="00692DB0" w:rsidRPr="00A44829" w:rsidRDefault="00692DB0" w:rsidP="00857E02">
      <w:pPr>
        <w:rPr>
          <w:rFonts w:cs="Arial"/>
        </w:rPr>
      </w:pPr>
      <w:bookmarkStart w:id="0" w:name="_GoBack"/>
      <w:bookmarkEnd w:id="0"/>
    </w:p>
    <w:p w14:paraId="3A1A2B04" w14:textId="77777777" w:rsidR="002E2BBA" w:rsidRPr="00A44829" w:rsidRDefault="002E2BBA" w:rsidP="00C33713">
      <w:pPr>
        <w:pStyle w:val="StyleStyleNo1HeadingBottomSinglesolidlineSeaGreen2"/>
      </w:pPr>
      <w:r w:rsidRPr="00A44829">
        <w:t>Appendices</w:t>
      </w:r>
    </w:p>
    <w:p w14:paraId="24FB5DB8" w14:textId="77777777" w:rsidR="0016240B" w:rsidRPr="00A44829" w:rsidRDefault="0016240B" w:rsidP="00FF36E8">
      <w:pPr>
        <w:spacing w:before="40" w:after="20"/>
        <w:rPr>
          <w:rFonts w:cs="Arial"/>
        </w:rPr>
      </w:pPr>
    </w:p>
    <w:p w14:paraId="38800BF7" w14:textId="2357DDB2" w:rsidR="008A7541" w:rsidRPr="00A44829" w:rsidRDefault="008A7541" w:rsidP="00FF36E8">
      <w:pPr>
        <w:spacing w:before="40" w:after="20"/>
        <w:rPr>
          <w:rFonts w:cs="Arial"/>
        </w:rPr>
      </w:pPr>
    </w:p>
    <w:p w14:paraId="61827508" w14:textId="77777777" w:rsidR="00B50957" w:rsidRPr="00A44829" w:rsidRDefault="00B50957" w:rsidP="00FF36E8">
      <w:pPr>
        <w:spacing w:before="40" w:after="20"/>
        <w:rPr>
          <w:rFonts w:cs="Arial"/>
        </w:rPr>
      </w:pPr>
    </w:p>
    <w:tbl>
      <w:tblPr>
        <w:tblW w:w="9308" w:type="dxa"/>
        <w:tblLayout w:type="fixed"/>
        <w:tblLook w:val="01E0" w:firstRow="1" w:lastRow="1" w:firstColumn="1" w:lastColumn="1" w:noHBand="0" w:noVBand="0"/>
      </w:tblPr>
      <w:tblGrid>
        <w:gridCol w:w="2296"/>
        <w:gridCol w:w="239"/>
        <w:gridCol w:w="6773"/>
      </w:tblGrid>
      <w:tr w:rsidR="00DD223B" w:rsidRPr="00A44829" w14:paraId="067F6F7D" w14:textId="77777777" w:rsidTr="00BA7CD0">
        <w:trPr>
          <w:cantSplit/>
        </w:trPr>
        <w:tc>
          <w:tcPr>
            <w:tcW w:w="2268" w:type="dxa"/>
            <w:tcBorders>
              <w:right w:val="single" w:sz="18" w:space="0" w:color="5F497A" w:themeColor="accent4" w:themeShade="BF"/>
            </w:tcBorders>
          </w:tcPr>
          <w:p w14:paraId="64D0A220" w14:textId="77777777" w:rsidR="00DD223B" w:rsidRPr="00A44829" w:rsidRDefault="00DD223B" w:rsidP="00FF36E8">
            <w:pPr>
              <w:spacing w:before="240" w:after="240"/>
              <w:jc w:val="center"/>
              <w:rPr>
                <w:rFonts w:cs="Arial"/>
                <w:b/>
                <w:color w:val="5F497A" w:themeColor="accent4" w:themeShade="BF"/>
              </w:rPr>
            </w:pPr>
            <w:r w:rsidRPr="00A44829">
              <w:rPr>
                <w:rFonts w:cs="Arial"/>
                <w:b/>
                <w:color w:val="5F497A" w:themeColor="accent4" w:themeShade="BF"/>
              </w:rPr>
              <w:t>1</w:t>
            </w:r>
          </w:p>
        </w:tc>
        <w:tc>
          <w:tcPr>
            <w:tcW w:w="236" w:type="dxa"/>
            <w:tcBorders>
              <w:left w:val="single" w:sz="18" w:space="0" w:color="5F497A" w:themeColor="accent4" w:themeShade="BF"/>
            </w:tcBorders>
          </w:tcPr>
          <w:p w14:paraId="32E886E2" w14:textId="77777777" w:rsidR="00DD223B" w:rsidRPr="00A44829" w:rsidRDefault="00DD223B" w:rsidP="00FF36E8">
            <w:pPr>
              <w:spacing w:before="240" w:after="240"/>
              <w:rPr>
                <w:rFonts w:cs="Arial"/>
              </w:rPr>
            </w:pPr>
          </w:p>
        </w:tc>
        <w:tc>
          <w:tcPr>
            <w:tcW w:w="6691" w:type="dxa"/>
          </w:tcPr>
          <w:p w14:paraId="1D8B5D1A" w14:textId="4DA9FBC8" w:rsidR="00DD223B" w:rsidRPr="00A44829" w:rsidRDefault="00EE4593" w:rsidP="00A97ABE">
            <w:pPr>
              <w:tabs>
                <w:tab w:val="right" w:pos="6237"/>
              </w:tabs>
              <w:spacing w:before="240" w:after="240"/>
              <w:jc w:val="both"/>
              <w:rPr>
                <w:rFonts w:cs="Arial"/>
                <w:b/>
                <w:sz w:val="20"/>
                <w:szCs w:val="20"/>
              </w:rPr>
            </w:pPr>
            <w:r w:rsidRPr="00A44829">
              <w:rPr>
                <w:rFonts w:cs="Arial"/>
                <w:b/>
                <w:sz w:val="20"/>
                <w:szCs w:val="20"/>
              </w:rPr>
              <w:t>2018-19</w:t>
            </w:r>
            <w:r w:rsidR="00A97ABE" w:rsidRPr="00A44829">
              <w:rPr>
                <w:rFonts w:cs="Arial"/>
                <w:b/>
                <w:sz w:val="20"/>
                <w:szCs w:val="20"/>
              </w:rPr>
              <w:t xml:space="preserve">  </w:t>
            </w:r>
            <w:r w:rsidR="00947A2A" w:rsidRPr="00A44829">
              <w:rPr>
                <w:rFonts w:cs="Arial"/>
                <w:b/>
                <w:sz w:val="20"/>
                <w:szCs w:val="20"/>
              </w:rPr>
              <w:t xml:space="preserve">Final Grant </w:t>
            </w:r>
            <w:r w:rsidR="00406BD6" w:rsidRPr="00A44829">
              <w:rPr>
                <w:rFonts w:cs="Arial"/>
                <w:b/>
                <w:sz w:val="20"/>
                <w:szCs w:val="20"/>
              </w:rPr>
              <w:t>Al</w:t>
            </w:r>
            <w:r w:rsidR="00947A2A" w:rsidRPr="00A44829">
              <w:rPr>
                <w:rFonts w:cs="Arial"/>
                <w:b/>
                <w:sz w:val="20"/>
                <w:szCs w:val="20"/>
              </w:rPr>
              <w:t>locations</w:t>
            </w:r>
            <w:r w:rsidR="00DD223B" w:rsidRPr="00A44829">
              <w:rPr>
                <w:rFonts w:cs="Arial"/>
                <w:b/>
                <w:sz w:val="20"/>
                <w:szCs w:val="20"/>
              </w:rPr>
              <w:tab/>
              <w:t>3</w:t>
            </w:r>
            <w:r w:rsidR="00D43BFA" w:rsidRPr="00A44829">
              <w:rPr>
                <w:rFonts w:cs="Arial"/>
                <w:b/>
                <w:sz w:val="20"/>
                <w:szCs w:val="20"/>
              </w:rPr>
              <w:t>6</w:t>
            </w:r>
          </w:p>
        </w:tc>
      </w:tr>
      <w:tr w:rsidR="00DD223B" w:rsidRPr="00A44829" w14:paraId="431B3440" w14:textId="77777777" w:rsidTr="00BA7CD0">
        <w:trPr>
          <w:cantSplit/>
        </w:trPr>
        <w:tc>
          <w:tcPr>
            <w:tcW w:w="2268" w:type="dxa"/>
            <w:tcBorders>
              <w:right w:val="single" w:sz="18" w:space="0" w:color="5F497A" w:themeColor="accent4" w:themeShade="BF"/>
            </w:tcBorders>
          </w:tcPr>
          <w:p w14:paraId="61E4B4FF" w14:textId="77777777" w:rsidR="00DD223B" w:rsidRPr="00A44829" w:rsidRDefault="00DD223B" w:rsidP="00FF36E8">
            <w:pPr>
              <w:spacing w:before="240" w:after="240"/>
              <w:jc w:val="center"/>
              <w:rPr>
                <w:rFonts w:cs="Arial"/>
                <w:b/>
                <w:color w:val="5F497A" w:themeColor="accent4" w:themeShade="BF"/>
              </w:rPr>
            </w:pPr>
            <w:r w:rsidRPr="00A44829">
              <w:rPr>
                <w:rFonts w:cs="Arial"/>
                <w:b/>
                <w:color w:val="5F497A" w:themeColor="accent4" w:themeShade="BF"/>
              </w:rPr>
              <w:t>2</w:t>
            </w:r>
          </w:p>
        </w:tc>
        <w:tc>
          <w:tcPr>
            <w:tcW w:w="236" w:type="dxa"/>
            <w:tcBorders>
              <w:left w:val="single" w:sz="18" w:space="0" w:color="5F497A" w:themeColor="accent4" w:themeShade="BF"/>
            </w:tcBorders>
          </w:tcPr>
          <w:p w14:paraId="1E008962" w14:textId="77777777" w:rsidR="00DD223B" w:rsidRPr="00A44829" w:rsidRDefault="00DD223B" w:rsidP="00FF36E8">
            <w:pPr>
              <w:spacing w:before="240" w:after="240"/>
              <w:rPr>
                <w:rFonts w:cs="Arial"/>
              </w:rPr>
            </w:pPr>
          </w:p>
        </w:tc>
        <w:tc>
          <w:tcPr>
            <w:tcW w:w="6691" w:type="dxa"/>
          </w:tcPr>
          <w:p w14:paraId="15A339EA" w14:textId="77A4CB18" w:rsidR="00947A2A" w:rsidRPr="00A44829" w:rsidRDefault="00EE4593" w:rsidP="00A97ABE">
            <w:pPr>
              <w:tabs>
                <w:tab w:val="right" w:pos="6237"/>
              </w:tabs>
              <w:spacing w:before="240" w:after="240"/>
              <w:jc w:val="both"/>
              <w:rPr>
                <w:rFonts w:cs="Arial"/>
                <w:sz w:val="20"/>
                <w:szCs w:val="20"/>
              </w:rPr>
            </w:pPr>
            <w:r w:rsidRPr="00A44829">
              <w:rPr>
                <w:rFonts w:cs="Arial"/>
                <w:b/>
                <w:sz w:val="20"/>
                <w:szCs w:val="20"/>
              </w:rPr>
              <w:t>2019-20</w:t>
            </w:r>
            <w:r w:rsidR="00A97ABE" w:rsidRPr="00A44829">
              <w:rPr>
                <w:rFonts w:cs="Arial"/>
                <w:b/>
                <w:sz w:val="20"/>
                <w:szCs w:val="20"/>
              </w:rPr>
              <w:t xml:space="preserve">  </w:t>
            </w:r>
            <w:r w:rsidR="00947A2A" w:rsidRPr="00A44829">
              <w:rPr>
                <w:rFonts w:cs="Arial"/>
                <w:b/>
                <w:sz w:val="20"/>
                <w:szCs w:val="20"/>
              </w:rPr>
              <w:t>Allocations</w:t>
            </w:r>
            <w:r w:rsidR="00947A2A" w:rsidRPr="00A44829">
              <w:rPr>
                <w:rFonts w:cs="Arial"/>
                <w:b/>
                <w:sz w:val="20"/>
                <w:szCs w:val="20"/>
              </w:rPr>
              <w:tab/>
            </w:r>
            <w:r w:rsidR="00D43BFA" w:rsidRPr="00A44829">
              <w:rPr>
                <w:rFonts w:cs="Arial"/>
                <w:b/>
                <w:sz w:val="20"/>
                <w:szCs w:val="20"/>
              </w:rPr>
              <w:t>40</w:t>
            </w:r>
          </w:p>
          <w:p w14:paraId="31F17A29" w14:textId="77777777" w:rsidR="00947A2A" w:rsidRPr="00A44829" w:rsidRDefault="00D43BFA" w:rsidP="00A97ABE">
            <w:pPr>
              <w:numPr>
                <w:ilvl w:val="0"/>
                <w:numId w:val="17"/>
              </w:numPr>
              <w:tabs>
                <w:tab w:val="clear" w:pos="817"/>
                <w:tab w:val="left" w:pos="851"/>
                <w:tab w:val="right" w:pos="6237"/>
              </w:tabs>
              <w:spacing w:before="120" w:after="120"/>
              <w:ind w:left="851" w:hanging="567"/>
              <w:rPr>
                <w:rFonts w:cs="Arial"/>
                <w:sz w:val="18"/>
                <w:szCs w:val="18"/>
              </w:rPr>
            </w:pPr>
            <w:r w:rsidRPr="00A44829">
              <w:rPr>
                <w:rFonts w:cs="Arial"/>
                <w:sz w:val="18"/>
                <w:szCs w:val="18"/>
              </w:rPr>
              <w:t>Estimated Allocations</w:t>
            </w:r>
            <w:r w:rsidRPr="00A44829">
              <w:rPr>
                <w:rFonts w:cs="Arial"/>
                <w:sz w:val="18"/>
                <w:szCs w:val="18"/>
              </w:rPr>
              <w:tab/>
              <w:t>40</w:t>
            </w:r>
          </w:p>
          <w:p w14:paraId="17E83A8F" w14:textId="77777777" w:rsidR="00DD223B" w:rsidRPr="00A44829" w:rsidRDefault="00947A2A" w:rsidP="00A97ABE">
            <w:pPr>
              <w:numPr>
                <w:ilvl w:val="0"/>
                <w:numId w:val="17"/>
              </w:numPr>
              <w:tabs>
                <w:tab w:val="clear" w:pos="817"/>
                <w:tab w:val="left" w:pos="851"/>
                <w:tab w:val="right" w:pos="6237"/>
              </w:tabs>
              <w:spacing w:before="120" w:after="120"/>
              <w:ind w:left="851" w:hanging="567"/>
              <w:rPr>
                <w:rFonts w:cs="Arial"/>
                <w:sz w:val="20"/>
                <w:szCs w:val="20"/>
              </w:rPr>
            </w:pPr>
            <w:r w:rsidRPr="00A44829">
              <w:rPr>
                <w:rFonts w:cs="Arial"/>
                <w:sz w:val="18"/>
                <w:szCs w:val="18"/>
              </w:rPr>
              <w:t>Payments</w:t>
            </w:r>
            <w:r w:rsidRPr="00A44829">
              <w:rPr>
                <w:rFonts w:cs="Arial"/>
                <w:sz w:val="18"/>
                <w:szCs w:val="18"/>
              </w:rPr>
              <w:tab/>
              <w:t>4</w:t>
            </w:r>
            <w:r w:rsidR="00D43BFA" w:rsidRPr="00A44829">
              <w:rPr>
                <w:rFonts w:cs="Arial"/>
                <w:sz w:val="18"/>
                <w:szCs w:val="18"/>
              </w:rPr>
              <w:t>2</w:t>
            </w:r>
          </w:p>
        </w:tc>
      </w:tr>
      <w:tr w:rsidR="00DD223B" w:rsidRPr="00A44829" w14:paraId="004366C0" w14:textId="77777777" w:rsidTr="00BA7CD0">
        <w:trPr>
          <w:cantSplit/>
        </w:trPr>
        <w:tc>
          <w:tcPr>
            <w:tcW w:w="2268" w:type="dxa"/>
            <w:tcBorders>
              <w:right w:val="single" w:sz="18" w:space="0" w:color="5F497A" w:themeColor="accent4" w:themeShade="BF"/>
            </w:tcBorders>
          </w:tcPr>
          <w:p w14:paraId="05B04CDA" w14:textId="77777777" w:rsidR="00DD223B" w:rsidRPr="00A44829" w:rsidRDefault="00DD223B" w:rsidP="00FF36E8">
            <w:pPr>
              <w:spacing w:before="240" w:after="240"/>
              <w:jc w:val="center"/>
              <w:rPr>
                <w:rFonts w:cs="Arial"/>
                <w:b/>
                <w:color w:val="5F497A" w:themeColor="accent4" w:themeShade="BF"/>
              </w:rPr>
            </w:pPr>
            <w:r w:rsidRPr="00A44829">
              <w:rPr>
                <w:rFonts w:cs="Arial"/>
                <w:b/>
                <w:color w:val="5F497A" w:themeColor="accent4" w:themeShade="BF"/>
              </w:rPr>
              <w:t>3</w:t>
            </w:r>
          </w:p>
        </w:tc>
        <w:tc>
          <w:tcPr>
            <w:tcW w:w="236" w:type="dxa"/>
            <w:tcBorders>
              <w:left w:val="single" w:sz="18" w:space="0" w:color="5F497A" w:themeColor="accent4" w:themeShade="BF"/>
            </w:tcBorders>
          </w:tcPr>
          <w:p w14:paraId="5780F341" w14:textId="77777777" w:rsidR="00DD223B" w:rsidRPr="00A44829" w:rsidRDefault="00DD223B" w:rsidP="00FF36E8">
            <w:pPr>
              <w:spacing w:before="240" w:after="240"/>
              <w:rPr>
                <w:rFonts w:cs="Arial"/>
              </w:rPr>
            </w:pPr>
          </w:p>
        </w:tc>
        <w:tc>
          <w:tcPr>
            <w:tcW w:w="6691" w:type="dxa"/>
          </w:tcPr>
          <w:p w14:paraId="0900D6F7" w14:textId="7776DA21" w:rsidR="00DD223B" w:rsidRPr="00A44829" w:rsidRDefault="00EE4593" w:rsidP="00A97ABE">
            <w:pPr>
              <w:tabs>
                <w:tab w:val="right" w:pos="6237"/>
              </w:tabs>
              <w:spacing w:before="240" w:after="240"/>
              <w:jc w:val="both"/>
              <w:rPr>
                <w:rFonts w:cs="Arial"/>
                <w:b/>
                <w:sz w:val="20"/>
                <w:szCs w:val="20"/>
              </w:rPr>
            </w:pPr>
            <w:r w:rsidRPr="00A44829">
              <w:rPr>
                <w:rFonts w:cs="Arial"/>
                <w:b/>
                <w:sz w:val="20"/>
                <w:szCs w:val="20"/>
              </w:rPr>
              <w:t>2019-20</w:t>
            </w:r>
            <w:r w:rsidR="00A97ABE" w:rsidRPr="00A44829">
              <w:rPr>
                <w:rFonts w:cs="Arial"/>
                <w:b/>
                <w:sz w:val="20"/>
                <w:szCs w:val="20"/>
              </w:rPr>
              <w:t xml:space="preserve">  </w:t>
            </w:r>
            <w:r w:rsidR="00947A2A" w:rsidRPr="00A44829">
              <w:rPr>
                <w:rFonts w:cs="Arial"/>
                <w:b/>
                <w:sz w:val="20"/>
                <w:szCs w:val="20"/>
              </w:rPr>
              <w:t>Comparative Grant Outcomes</w:t>
            </w:r>
            <w:r w:rsidR="00947A2A" w:rsidRPr="00A44829">
              <w:rPr>
                <w:rFonts w:cs="Arial"/>
                <w:b/>
                <w:sz w:val="20"/>
                <w:szCs w:val="20"/>
              </w:rPr>
              <w:tab/>
              <w:t>4</w:t>
            </w:r>
            <w:r w:rsidR="00D43BFA" w:rsidRPr="00A44829">
              <w:rPr>
                <w:rFonts w:cs="Arial"/>
                <w:b/>
                <w:sz w:val="20"/>
                <w:szCs w:val="20"/>
              </w:rPr>
              <w:t>4</w:t>
            </w:r>
          </w:p>
        </w:tc>
      </w:tr>
      <w:tr w:rsidR="00DD223B" w:rsidRPr="00A44829" w14:paraId="1994DDB2" w14:textId="77777777" w:rsidTr="00BA7CD0">
        <w:trPr>
          <w:cantSplit/>
        </w:trPr>
        <w:tc>
          <w:tcPr>
            <w:tcW w:w="2268" w:type="dxa"/>
            <w:tcBorders>
              <w:right w:val="single" w:sz="18" w:space="0" w:color="5F497A" w:themeColor="accent4" w:themeShade="BF"/>
            </w:tcBorders>
          </w:tcPr>
          <w:p w14:paraId="34C97CE3" w14:textId="77777777" w:rsidR="00DD223B" w:rsidRPr="00A44829" w:rsidRDefault="00DD223B" w:rsidP="00FF36E8">
            <w:pPr>
              <w:spacing w:before="240" w:after="240"/>
              <w:jc w:val="center"/>
              <w:rPr>
                <w:rFonts w:cs="Arial"/>
                <w:b/>
                <w:color w:val="5F497A" w:themeColor="accent4" w:themeShade="BF"/>
              </w:rPr>
            </w:pPr>
            <w:r w:rsidRPr="00A44829">
              <w:rPr>
                <w:rFonts w:cs="Arial"/>
                <w:b/>
                <w:color w:val="5F497A" w:themeColor="accent4" w:themeShade="BF"/>
              </w:rPr>
              <w:t>4</w:t>
            </w:r>
          </w:p>
        </w:tc>
        <w:tc>
          <w:tcPr>
            <w:tcW w:w="236" w:type="dxa"/>
            <w:tcBorders>
              <w:left w:val="single" w:sz="18" w:space="0" w:color="5F497A" w:themeColor="accent4" w:themeShade="BF"/>
            </w:tcBorders>
          </w:tcPr>
          <w:p w14:paraId="30C8DF98" w14:textId="77777777" w:rsidR="00DD223B" w:rsidRPr="00A44829" w:rsidRDefault="00DD223B" w:rsidP="00FF36E8">
            <w:pPr>
              <w:spacing w:before="240" w:after="240"/>
              <w:rPr>
                <w:rFonts w:cs="Arial"/>
              </w:rPr>
            </w:pPr>
          </w:p>
        </w:tc>
        <w:tc>
          <w:tcPr>
            <w:tcW w:w="6691" w:type="dxa"/>
          </w:tcPr>
          <w:p w14:paraId="253684E4" w14:textId="4A1BF0E4" w:rsidR="00947A2A" w:rsidRPr="00A44829" w:rsidRDefault="00EE4593" w:rsidP="00A97ABE">
            <w:pPr>
              <w:tabs>
                <w:tab w:val="right" w:pos="6237"/>
              </w:tabs>
              <w:spacing w:before="240" w:after="240"/>
              <w:jc w:val="both"/>
              <w:rPr>
                <w:rFonts w:cs="Arial"/>
                <w:sz w:val="20"/>
                <w:szCs w:val="20"/>
              </w:rPr>
            </w:pPr>
            <w:r w:rsidRPr="00A44829">
              <w:rPr>
                <w:rFonts w:cs="Arial"/>
                <w:b/>
                <w:sz w:val="20"/>
                <w:szCs w:val="20"/>
              </w:rPr>
              <w:t>2019-20</w:t>
            </w:r>
            <w:r w:rsidR="00A97ABE" w:rsidRPr="00A44829">
              <w:rPr>
                <w:rFonts w:cs="Arial"/>
                <w:b/>
                <w:sz w:val="20"/>
                <w:szCs w:val="20"/>
              </w:rPr>
              <w:t xml:space="preserve">  </w:t>
            </w:r>
            <w:r w:rsidR="00947A2A" w:rsidRPr="00A44829">
              <w:rPr>
                <w:rFonts w:cs="Arial"/>
                <w:b/>
                <w:sz w:val="20"/>
                <w:szCs w:val="20"/>
              </w:rPr>
              <w:t>General Purpose Grants</w:t>
            </w:r>
            <w:r w:rsidR="00947A2A" w:rsidRPr="00A44829">
              <w:rPr>
                <w:rFonts w:cs="Arial"/>
                <w:b/>
                <w:sz w:val="20"/>
                <w:szCs w:val="20"/>
              </w:rPr>
              <w:tab/>
              <w:t>4</w:t>
            </w:r>
            <w:r w:rsidR="00D43BFA" w:rsidRPr="00A44829">
              <w:rPr>
                <w:rFonts w:cs="Arial"/>
                <w:b/>
                <w:sz w:val="20"/>
                <w:szCs w:val="20"/>
              </w:rPr>
              <w:t>6</w:t>
            </w:r>
          </w:p>
          <w:p w14:paraId="3794DAEC" w14:textId="77777777" w:rsidR="00947A2A" w:rsidRPr="00A44829" w:rsidRDefault="005066C0" w:rsidP="00A97ABE">
            <w:pPr>
              <w:numPr>
                <w:ilvl w:val="0"/>
                <w:numId w:val="21"/>
              </w:numPr>
              <w:tabs>
                <w:tab w:val="clear" w:pos="803"/>
                <w:tab w:val="left" w:pos="851"/>
                <w:tab w:val="right" w:pos="6237"/>
              </w:tabs>
              <w:spacing w:before="120" w:after="120"/>
              <w:ind w:left="851" w:hanging="567"/>
              <w:rPr>
                <w:rFonts w:cs="Arial"/>
                <w:sz w:val="18"/>
                <w:szCs w:val="18"/>
              </w:rPr>
            </w:pPr>
            <w:r w:rsidRPr="00A44829">
              <w:rPr>
                <w:rFonts w:cs="Arial"/>
                <w:sz w:val="18"/>
                <w:szCs w:val="18"/>
              </w:rPr>
              <w:t>Major Cost Drivers (</w:t>
            </w:r>
            <w:r w:rsidR="00947A2A" w:rsidRPr="00A44829">
              <w:rPr>
                <w:rFonts w:cs="Arial"/>
                <w:sz w:val="18"/>
                <w:szCs w:val="18"/>
              </w:rPr>
              <w:t>Units</w:t>
            </w:r>
            <w:r w:rsidRPr="00A44829">
              <w:rPr>
                <w:rFonts w:cs="Arial"/>
                <w:sz w:val="18"/>
                <w:szCs w:val="18"/>
              </w:rPr>
              <w:t>)</w:t>
            </w:r>
            <w:r w:rsidR="00D43BFA" w:rsidRPr="00A44829">
              <w:rPr>
                <w:rFonts w:cs="Arial"/>
                <w:sz w:val="18"/>
                <w:szCs w:val="18"/>
              </w:rPr>
              <w:tab/>
              <w:t>46</w:t>
            </w:r>
          </w:p>
          <w:p w14:paraId="649F5D22" w14:textId="77777777" w:rsidR="00947A2A" w:rsidRPr="00A44829" w:rsidRDefault="00947A2A" w:rsidP="00A97ABE">
            <w:pPr>
              <w:numPr>
                <w:ilvl w:val="0"/>
                <w:numId w:val="21"/>
              </w:numPr>
              <w:tabs>
                <w:tab w:val="clear" w:pos="803"/>
                <w:tab w:val="left" w:pos="851"/>
                <w:tab w:val="right" w:pos="6237"/>
              </w:tabs>
              <w:spacing w:before="120" w:after="120"/>
              <w:ind w:left="851" w:hanging="567"/>
              <w:rPr>
                <w:rFonts w:cs="Arial"/>
                <w:sz w:val="18"/>
                <w:szCs w:val="18"/>
              </w:rPr>
            </w:pPr>
            <w:r w:rsidRPr="00A44829">
              <w:rPr>
                <w:rFonts w:cs="Arial"/>
                <w:sz w:val="18"/>
                <w:szCs w:val="18"/>
              </w:rPr>
              <w:t xml:space="preserve">Statewide Average </w:t>
            </w:r>
            <w:r w:rsidR="00D43BFA" w:rsidRPr="00A44829">
              <w:rPr>
                <w:rFonts w:cs="Arial"/>
                <w:sz w:val="18"/>
                <w:szCs w:val="18"/>
              </w:rPr>
              <w:t>Expenditure &amp; Revenue Data</w:t>
            </w:r>
            <w:r w:rsidR="00D43BFA" w:rsidRPr="00A44829">
              <w:rPr>
                <w:rFonts w:cs="Arial"/>
                <w:sz w:val="18"/>
                <w:szCs w:val="18"/>
              </w:rPr>
              <w:tab/>
              <w:t>49</w:t>
            </w:r>
          </w:p>
          <w:p w14:paraId="50C4D38B" w14:textId="77777777" w:rsidR="00947A2A" w:rsidRPr="00A44829"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A44829">
              <w:rPr>
                <w:rFonts w:cs="Arial"/>
                <w:sz w:val="18"/>
                <w:szCs w:val="18"/>
              </w:rPr>
              <w:t>Cost Adjustors – Raw Data</w:t>
            </w:r>
            <w:r w:rsidRPr="00A44829">
              <w:rPr>
                <w:rFonts w:cs="Arial"/>
                <w:sz w:val="18"/>
                <w:szCs w:val="18"/>
              </w:rPr>
              <w:tab/>
              <w:t>50</w:t>
            </w:r>
          </w:p>
          <w:p w14:paraId="29F44E72" w14:textId="0F6E544C" w:rsidR="00947A2A" w:rsidRPr="00A44829"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A44829">
              <w:rPr>
                <w:rFonts w:cs="Arial"/>
                <w:sz w:val="18"/>
                <w:szCs w:val="18"/>
              </w:rPr>
              <w:t xml:space="preserve">Cost Adjustors - </w:t>
            </w:r>
            <w:r w:rsidR="007F3F07">
              <w:rPr>
                <w:rFonts w:cs="Arial"/>
                <w:sz w:val="18"/>
                <w:szCs w:val="18"/>
              </w:rPr>
              <w:t>Index</w:t>
            </w:r>
            <w:r w:rsidRPr="00A44829">
              <w:rPr>
                <w:rFonts w:cs="Arial"/>
                <w:sz w:val="18"/>
                <w:szCs w:val="18"/>
              </w:rPr>
              <w:t xml:space="preserve"> </w:t>
            </w:r>
            <w:r w:rsidRPr="00A44829">
              <w:rPr>
                <w:rFonts w:cs="Arial"/>
                <w:sz w:val="18"/>
                <w:szCs w:val="18"/>
              </w:rPr>
              <w:tab/>
              <w:t>60</w:t>
            </w:r>
          </w:p>
          <w:p w14:paraId="1C7221D1" w14:textId="77777777" w:rsidR="00947A2A" w:rsidRPr="00A44829"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A44829">
              <w:rPr>
                <w:rFonts w:cs="Arial"/>
                <w:sz w:val="18"/>
                <w:szCs w:val="18"/>
              </w:rPr>
              <w:t>Composite Cost Adjustors</w:t>
            </w:r>
            <w:r w:rsidRPr="00A44829">
              <w:rPr>
                <w:rFonts w:cs="Arial"/>
                <w:sz w:val="18"/>
                <w:szCs w:val="18"/>
              </w:rPr>
              <w:tab/>
              <w:t>72</w:t>
            </w:r>
          </w:p>
          <w:p w14:paraId="6187FD74" w14:textId="77777777" w:rsidR="00947A2A" w:rsidRPr="00A44829"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A44829">
              <w:rPr>
                <w:rFonts w:cs="Arial"/>
                <w:sz w:val="18"/>
                <w:szCs w:val="18"/>
              </w:rPr>
              <w:t>Standardised Expenditure</w:t>
            </w:r>
            <w:r w:rsidRPr="00A44829">
              <w:rPr>
                <w:rFonts w:cs="Arial"/>
                <w:sz w:val="18"/>
                <w:szCs w:val="18"/>
              </w:rPr>
              <w:tab/>
              <w:t>74</w:t>
            </w:r>
          </w:p>
          <w:p w14:paraId="391343A0" w14:textId="77777777" w:rsidR="00947A2A" w:rsidRPr="00A44829"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A44829">
              <w:rPr>
                <w:rFonts w:cs="Arial"/>
                <w:sz w:val="18"/>
                <w:szCs w:val="18"/>
              </w:rPr>
              <w:t>Revenue Adjustors – Raw Data</w:t>
            </w:r>
            <w:r w:rsidRPr="00A44829">
              <w:rPr>
                <w:rFonts w:cs="Arial"/>
                <w:sz w:val="18"/>
                <w:szCs w:val="18"/>
              </w:rPr>
              <w:tab/>
              <w:t>78</w:t>
            </w:r>
          </w:p>
          <w:p w14:paraId="33162DF6" w14:textId="350BD0A3" w:rsidR="00947A2A" w:rsidRPr="00A44829"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A44829">
              <w:rPr>
                <w:rFonts w:cs="Arial"/>
                <w:sz w:val="18"/>
                <w:szCs w:val="18"/>
              </w:rPr>
              <w:t xml:space="preserve">Revenue Adjustors – </w:t>
            </w:r>
            <w:r w:rsidR="002A2397">
              <w:rPr>
                <w:rFonts w:cs="Arial"/>
                <w:sz w:val="18"/>
                <w:szCs w:val="18"/>
              </w:rPr>
              <w:t>Index</w:t>
            </w:r>
            <w:r w:rsidRPr="00A44829">
              <w:rPr>
                <w:rFonts w:cs="Arial"/>
                <w:sz w:val="18"/>
                <w:szCs w:val="18"/>
              </w:rPr>
              <w:tab/>
              <w:t>80</w:t>
            </w:r>
          </w:p>
          <w:p w14:paraId="74EE123A" w14:textId="77777777" w:rsidR="00947A2A" w:rsidRPr="00A44829"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A44829">
              <w:rPr>
                <w:rFonts w:cs="Arial"/>
                <w:sz w:val="18"/>
                <w:szCs w:val="18"/>
              </w:rPr>
              <w:t>Standardised Fees and Charges</w:t>
            </w:r>
            <w:r w:rsidRPr="00A44829">
              <w:rPr>
                <w:rFonts w:cs="Arial"/>
                <w:sz w:val="18"/>
                <w:szCs w:val="18"/>
              </w:rPr>
              <w:tab/>
              <w:t>82</w:t>
            </w:r>
          </w:p>
          <w:p w14:paraId="6C3E2F6E" w14:textId="77777777" w:rsidR="00947A2A" w:rsidRPr="00A44829" w:rsidRDefault="00947A2A" w:rsidP="00A97ABE">
            <w:pPr>
              <w:numPr>
                <w:ilvl w:val="0"/>
                <w:numId w:val="21"/>
              </w:numPr>
              <w:tabs>
                <w:tab w:val="clear" w:pos="803"/>
                <w:tab w:val="left" w:pos="851"/>
                <w:tab w:val="right" w:pos="6237"/>
              </w:tabs>
              <w:spacing w:before="120" w:after="120"/>
              <w:ind w:left="851" w:hanging="567"/>
              <w:rPr>
                <w:rFonts w:cs="Arial"/>
                <w:sz w:val="18"/>
                <w:szCs w:val="18"/>
              </w:rPr>
            </w:pPr>
            <w:r w:rsidRPr="00A44829">
              <w:rPr>
                <w:rFonts w:cs="Arial"/>
                <w:sz w:val="18"/>
                <w:szCs w:val="18"/>
              </w:rPr>
              <w:t>Standardised Rate Revenu</w:t>
            </w:r>
            <w:r w:rsidR="00D43BFA" w:rsidRPr="00A44829">
              <w:rPr>
                <w:rFonts w:cs="Arial"/>
                <w:sz w:val="18"/>
                <w:szCs w:val="18"/>
              </w:rPr>
              <w:t>e</w:t>
            </w:r>
            <w:r w:rsidR="00D43BFA" w:rsidRPr="00A44829">
              <w:rPr>
                <w:rFonts w:cs="Arial"/>
                <w:sz w:val="18"/>
                <w:szCs w:val="18"/>
              </w:rPr>
              <w:tab/>
              <w:t>86</w:t>
            </w:r>
          </w:p>
          <w:p w14:paraId="28AE929D" w14:textId="77777777" w:rsidR="00947A2A" w:rsidRPr="00A44829"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A44829">
              <w:rPr>
                <w:rFonts w:cs="Arial"/>
                <w:sz w:val="18"/>
                <w:szCs w:val="18"/>
              </w:rPr>
              <w:t>Raw Grant Calculation</w:t>
            </w:r>
            <w:r w:rsidRPr="00A44829">
              <w:rPr>
                <w:rFonts w:cs="Arial"/>
                <w:sz w:val="18"/>
                <w:szCs w:val="18"/>
              </w:rPr>
              <w:tab/>
              <w:t>94</w:t>
            </w:r>
          </w:p>
          <w:p w14:paraId="4C3B4A0E" w14:textId="77777777" w:rsidR="00DD223B" w:rsidRPr="00A44829" w:rsidRDefault="00947A2A" w:rsidP="00A97ABE">
            <w:pPr>
              <w:numPr>
                <w:ilvl w:val="0"/>
                <w:numId w:val="21"/>
              </w:numPr>
              <w:tabs>
                <w:tab w:val="clear" w:pos="803"/>
                <w:tab w:val="left" w:pos="851"/>
                <w:tab w:val="right" w:pos="6237"/>
              </w:tabs>
              <w:spacing w:before="120" w:after="120"/>
              <w:ind w:left="851" w:hanging="567"/>
              <w:rPr>
                <w:rFonts w:cs="Arial"/>
                <w:sz w:val="20"/>
                <w:szCs w:val="20"/>
              </w:rPr>
            </w:pPr>
            <w:r w:rsidRPr="00A44829">
              <w:rPr>
                <w:rFonts w:cs="Arial"/>
                <w:sz w:val="18"/>
                <w:szCs w:val="18"/>
              </w:rPr>
              <w:t>Data Sources</w:t>
            </w:r>
            <w:r w:rsidRPr="00A44829">
              <w:rPr>
                <w:rFonts w:cs="Arial"/>
                <w:sz w:val="18"/>
                <w:szCs w:val="18"/>
              </w:rPr>
              <w:tab/>
            </w:r>
            <w:r w:rsidR="00C0485B" w:rsidRPr="00A44829">
              <w:rPr>
                <w:rFonts w:cs="Arial"/>
                <w:sz w:val="18"/>
                <w:szCs w:val="18"/>
              </w:rPr>
              <w:t>9</w:t>
            </w:r>
            <w:r w:rsidR="00D43BFA" w:rsidRPr="00A44829">
              <w:rPr>
                <w:rFonts w:cs="Arial"/>
                <w:sz w:val="18"/>
                <w:szCs w:val="18"/>
              </w:rPr>
              <w:t>6</w:t>
            </w:r>
          </w:p>
        </w:tc>
      </w:tr>
      <w:tr w:rsidR="00DD223B" w:rsidRPr="00A44829" w14:paraId="791A9E9B" w14:textId="77777777" w:rsidTr="00BA7CD0">
        <w:trPr>
          <w:cantSplit/>
        </w:trPr>
        <w:tc>
          <w:tcPr>
            <w:tcW w:w="2268" w:type="dxa"/>
            <w:tcBorders>
              <w:right w:val="single" w:sz="18" w:space="0" w:color="5F497A" w:themeColor="accent4" w:themeShade="BF"/>
            </w:tcBorders>
          </w:tcPr>
          <w:p w14:paraId="7F09AAA3" w14:textId="77777777" w:rsidR="00DD223B" w:rsidRPr="00A44829" w:rsidRDefault="00DD223B" w:rsidP="00FF36E8">
            <w:pPr>
              <w:spacing w:before="240" w:after="240"/>
              <w:jc w:val="center"/>
              <w:rPr>
                <w:rFonts w:cs="Arial"/>
                <w:b/>
                <w:color w:val="5F497A" w:themeColor="accent4" w:themeShade="BF"/>
              </w:rPr>
            </w:pPr>
            <w:r w:rsidRPr="00A44829">
              <w:rPr>
                <w:rFonts w:cs="Arial"/>
                <w:b/>
                <w:color w:val="5F497A" w:themeColor="accent4" w:themeShade="BF"/>
              </w:rPr>
              <w:t>5</w:t>
            </w:r>
          </w:p>
        </w:tc>
        <w:tc>
          <w:tcPr>
            <w:tcW w:w="236" w:type="dxa"/>
            <w:tcBorders>
              <w:left w:val="single" w:sz="18" w:space="0" w:color="5F497A" w:themeColor="accent4" w:themeShade="BF"/>
            </w:tcBorders>
          </w:tcPr>
          <w:p w14:paraId="30E4192A" w14:textId="77777777" w:rsidR="00DD223B" w:rsidRPr="00A44829" w:rsidRDefault="00DD223B" w:rsidP="00FF36E8">
            <w:pPr>
              <w:spacing w:before="240" w:after="240"/>
              <w:rPr>
                <w:rFonts w:cs="Arial"/>
              </w:rPr>
            </w:pPr>
          </w:p>
        </w:tc>
        <w:tc>
          <w:tcPr>
            <w:tcW w:w="6691" w:type="dxa"/>
          </w:tcPr>
          <w:p w14:paraId="39A6341A" w14:textId="58005E20" w:rsidR="00947A2A" w:rsidRPr="00A44829" w:rsidRDefault="00EE4593" w:rsidP="00A97ABE">
            <w:pPr>
              <w:tabs>
                <w:tab w:val="right" w:pos="6237"/>
              </w:tabs>
              <w:spacing w:before="240" w:after="240"/>
              <w:jc w:val="both"/>
              <w:rPr>
                <w:rFonts w:cs="Arial"/>
                <w:sz w:val="20"/>
                <w:szCs w:val="20"/>
              </w:rPr>
            </w:pPr>
            <w:r w:rsidRPr="00A44829">
              <w:rPr>
                <w:rFonts w:cs="Arial"/>
                <w:b/>
                <w:sz w:val="20"/>
                <w:szCs w:val="20"/>
              </w:rPr>
              <w:t>2019-20</w:t>
            </w:r>
            <w:r w:rsidR="00A97ABE" w:rsidRPr="00A44829">
              <w:rPr>
                <w:rFonts w:cs="Arial"/>
                <w:b/>
                <w:sz w:val="20"/>
                <w:szCs w:val="20"/>
              </w:rPr>
              <w:t xml:space="preserve">  </w:t>
            </w:r>
            <w:r w:rsidR="00947A2A" w:rsidRPr="00A44829">
              <w:rPr>
                <w:rFonts w:cs="Arial"/>
                <w:b/>
                <w:sz w:val="20"/>
                <w:szCs w:val="20"/>
              </w:rPr>
              <w:t>Local Roads Grants</w:t>
            </w:r>
            <w:r w:rsidR="00947A2A" w:rsidRPr="00A44829">
              <w:rPr>
                <w:rFonts w:cs="Arial"/>
                <w:b/>
                <w:sz w:val="20"/>
                <w:szCs w:val="20"/>
              </w:rPr>
              <w:tab/>
              <w:t>9</w:t>
            </w:r>
            <w:r w:rsidR="00D43BFA" w:rsidRPr="00A44829">
              <w:rPr>
                <w:rFonts w:cs="Arial"/>
                <w:b/>
                <w:sz w:val="20"/>
                <w:szCs w:val="20"/>
              </w:rPr>
              <w:t>8</w:t>
            </w:r>
          </w:p>
          <w:p w14:paraId="3829AD1A" w14:textId="67F3597A" w:rsidR="00947A2A" w:rsidRPr="00A44829" w:rsidRDefault="00947A2A" w:rsidP="00A97ABE">
            <w:pPr>
              <w:numPr>
                <w:ilvl w:val="0"/>
                <w:numId w:val="18"/>
              </w:numPr>
              <w:tabs>
                <w:tab w:val="clear" w:pos="816"/>
                <w:tab w:val="left" w:pos="851"/>
                <w:tab w:val="right" w:pos="6237"/>
              </w:tabs>
              <w:spacing w:before="120" w:after="120"/>
              <w:ind w:left="851" w:hanging="567"/>
              <w:rPr>
                <w:rFonts w:cs="Arial"/>
                <w:sz w:val="18"/>
                <w:szCs w:val="18"/>
              </w:rPr>
            </w:pPr>
            <w:r w:rsidRPr="00A44829">
              <w:rPr>
                <w:rFonts w:cs="Arial"/>
                <w:sz w:val="18"/>
                <w:szCs w:val="18"/>
              </w:rPr>
              <w:t>L</w:t>
            </w:r>
            <w:r w:rsidR="00D43BFA" w:rsidRPr="00A44829">
              <w:rPr>
                <w:rFonts w:cs="Arial"/>
                <w:sz w:val="18"/>
                <w:szCs w:val="18"/>
              </w:rPr>
              <w:t>ocal Road</w:t>
            </w:r>
            <w:r w:rsidR="00C64712">
              <w:rPr>
                <w:rFonts w:cs="Arial"/>
                <w:sz w:val="18"/>
                <w:szCs w:val="18"/>
              </w:rPr>
              <w:t>s</w:t>
            </w:r>
            <w:r w:rsidR="00D43BFA" w:rsidRPr="00A44829">
              <w:rPr>
                <w:rFonts w:cs="Arial"/>
                <w:sz w:val="18"/>
                <w:szCs w:val="18"/>
              </w:rPr>
              <w:t xml:space="preserve"> Network</w:t>
            </w:r>
            <w:r w:rsidR="00D43BFA" w:rsidRPr="00A44829">
              <w:rPr>
                <w:rFonts w:cs="Arial"/>
                <w:sz w:val="18"/>
                <w:szCs w:val="18"/>
              </w:rPr>
              <w:tab/>
              <w:t>98</w:t>
            </w:r>
          </w:p>
          <w:p w14:paraId="31E28840" w14:textId="77777777" w:rsidR="00A6042C" w:rsidRPr="00A44829"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A44829">
              <w:rPr>
                <w:rFonts w:cs="Arial"/>
                <w:sz w:val="18"/>
                <w:szCs w:val="18"/>
              </w:rPr>
              <w:t>Asset Preservation Costs</w:t>
            </w:r>
            <w:r w:rsidRPr="00A44829">
              <w:rPr>
                <w:rFonts w:cs="Arial"/>
                <w:sz w:val="18"/>
                <w:szCs w:val="18"/>
              </w:rPr>
              <w:tab/>
              <w:t>102</w:t>
            </w:r>
          </w:p>
          <w:p w14:paraId="5A91D5DE" w14:textId="77777777" w:rsidR="00A6042C" w:rsidRPr="00A44829"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A44829">
              <w:rPr>
                <w:rFonts w:cs="Arial"/>
                <w:sz w:val="18"/>
                <w:szCs w:val="18"/>
              </w:rPr>
              <w:t>Cost Modifier Ranges</w:t>
            </w:r>
            <w:r w:rsidRPr="00A44829">
              <w:rPr>
                <w:rFonts w:cs="Arial"/>
                <w:sz w:val="18"/>
                <w:szCs w:val="18"/>
              </w:rPr>
              <w:tab/>
              <w:t>103</w:t>
            </w:r>
          </w:p>
          <w:p w14:paraId="27C67E97" w14:textId="77777777" w:rsidR="00947A2A" w:rsidRPr="00A44829" w:rsidRDefault="00A6042C" w:rsidP="00A97ABE">
            <w:pPr>
              <w:numPr>
                <w:ilvl w:val="0"/>
                <w:numId w:val="18"/>
              </w:numPr>
              <w:tabs>
                <w:tab w:val="clear" w:pos="816"/>
                <w:tab w:val="left" w:pos="851"/>
                <w:tab w:val="right" w:pos="6237"/>
              </w:tabs>
              <w:spacing w:before="120" w:after="120"/>
              <w:ind w:left="851" w:hanging="567"/>
              <w:rPr>
                <w:rFonts w:cs="Arial"/>
                <w:sz w:val="18"/>
                <w:szCs w:val="18"/>
              </w:rPr>
            </w:pPr>
            <w:r w:rsidRPr="00A44829">
              <w:rPr>
                <w:rFonts w:cs="Arial"/>
                <w:sz w:val="18"/>
                <w:szCs w:val="18"/>
              </w:rPr>
              <w:t>Cost Modifiers</w:t>
            </w:r>
            <w:r w:rsidR="00D43BFA" w:rsidRPr="00A44829">
              <w:rPr>
                <w:rFonts w:cs="Arial"/>
                <w:sz w:val="18"/>
                <w:szCs w:val="18"/>
              </w:rPr>
              <w:tab/>
              <w:t>104</w:t>
            </w:r>
          </w:p>
          <w:p w14:paraId="04F331A3" w14:textId="77777777" w:rsidR="00734A5D" w:rsidRPr="00A44829"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A44829">
              <w:rPr>
                <w:rFonts w:cs="Arial"/>
                <w:sz w:val="18"/>
                <w:szCs w:val="18"/>
              </w:rPr>
              <w:t>Network Costs</w:t>
            </w:r>
            <w:r w:rsidRPr="00A44829">
              <w:rPr>
                <w:rFonts w:cs="Arial"/>
                <w:sz w:val="18"/>
                <w:szCs w:val="18"/>
              </w:rPr>
              <w:tab/>
              <w:t>106</w:t>
            </w:r>
          </w:p>
          <w:p w14:paraId="00C3F856" w14:textId="77777777" w:rsidR="00DD223B" w:rsidRPr="00A44829" w:rsidRDefault="00947A2A" w:rsidP="00A97ABE">
            <w:pPr>
              <w:numPr>
                <w:ilvl w:val="0"/>
                <w:numId w:val="18"/>
              </w:numPr>
              <w:tabs>
                <w:tab w:val="clear" w:pos="816"/>
                <w:tab w:val="left" w:pos="851"/>
                <w:tab w:val="right" w:pos="6237"/>
              </w:tabs>
              <w:spacing w:before="120" w:after="120"/>
              <w:ind w:left="851" w:hanging="567"/>
              <w:rPr>
                <w:rFonts w:cs="Arial"/>
                <w:sz w:val="20"/>
                <w:szCs w:val="20"/>
              </w:rPr>
            </w:pPr>
            <w:r w:rsidRPr="00A44829">
              <w:rPr>
                <w:rFonts w:cs="Arial"/>
                <w:sz w:val="18"/>
                <w:szCs w:val="18"/>
              </w:rPr>
              <w:t>Data Sources</w:t>
            </w:r>
            <w:r w:rsidRPr="00A44829">
              <w:rPr>
                <w:rFonts w:cs="Arial"/>
                <w:sz w:val="18"/>
                <w:szCs w:val="18"/>
              </w:rPr>
              <w:tab/>
            </w:r>
            <w:r w:rsidR="00C0485B" w:rsidRPr="00A44829">
              <w:rPr>
                <w:rFonts w:cs="Arial"/>
                <w:sz w:val="18"/>
                <w:szCs w:val="18"/>
              </w:rPr>
              <w:t>1</w:t>
            </w:r>
            <w:r w:rsidR="00F65645" w:rsidRPr="00A44829">
              <w:rPr>
                <w:rFonts w:cs="Arial"/>
                <w:sz w:val="18"/>
                <w:szCs w:val="18"/>
              </w:rPr>
              <w:t>1</w:t>
            </w:r>
            <w:r w:rsidR="00D43BFA" w:rsidRPr="00A44829">
              <w:rPr>
                <w:rFonts w:cs="Arial"/>
                <w:sz w:val="18"/>
                <w:szCs w:val="18"/>
              </w:rPr>
              <w:t>2</w:t>
            </w:r>
          </w:p>
        </w:tc>
      </w:tr>
      <w:tr w:rsidR="00734A5D" w:rsidRPr="00A44829" w14:paraId="30C13F8D" w14:textId="77777777" w:rsidTr="00BA7CD0">
        <w:trPr>
          <w:cantSplit/>
        </w:trPr>
        <w:tc>
          <w:tcPr>
            <w:tcW w:w="2268" w:type="dxa"/>
            <w:tcBorders>
              <w:right w:val="single" w:sz="18" w:space="0" w:color="5F497A" w:themeColor="accent4" w:themeShade="BF"/>
            </w:tcBorders>
          </w:tcPr>
          <w:p w14:paraId="0D439653" w14:textId="77777777" w:rsidR="00734A5D" w:rsidRPr="00A44829" w:rsidRDefault="00734A5D" w:rsidP="00FF36E8">
            <w:pPr>
              <w:spacing w:before="240" w:after="240"/>
              <w:jc w:val="center"/>
              <w:rPr>
                <w:rFonts w:cs="Arial"/>
                <w:b/>
                <w:color w:val="5F497A" w:themeColor="accent4" w:themeShade="BF"/>
              </w:rPr>
            </w:pPr>
          </w:p>
        </w:tc>
        <w:tc>
          <w:tcPr>
            <w:tcW w:w="236" w:type="dxa"/>
            <w:tcBorders>
              <w:left w:val="single" w:sz="18" w:space="0" w:color="5F497A" w:themeColor="accent4" w:themeShade="BF"/>
            </w:tcBorders>
          </w:tcPr>
          <w:p w14:paraId="74EAB076" w14:textId="77777777" w:rsidR="00734A5D" w:rsidRPr="00A44829" w:rsidRDefault="00734A5D" w:rsidP="00FF36E8">
            <w:pPr>
              <w:spacing w:before="240" w:after="240"/>
              <w:rPr>
                <w:rFonts w:cs="Arial"/>
              </w:rPr>
            </w:pPr>
          </w:p>
        </w:tc>
        <w:tc>
          <w:tcPr>
            <w:tcW w:w="6691" w:type="dxa"/>
          </w:tcPr>
          <w:p w14:paraId="6A80958D" w14:textId="77777777" w:rsidR="008B06F5" w:rsidRPr="00A44829" w:rsidRDefault="008B06F5" w:rsidP="00A97ABE">
            <w:pPr>
              <w:spacing w:before="40" w:after="20"/>
              <w:rPr>
                <w:rFonts w:cs="Arial"/>
                <w:sz w:val="18"/>
                <w:szCs w:val="18"/>
              </w:rPr>
            </w:pPr>
          </w:p>
          <w:p w14:paraId="24CB9288" w14:textId="77777777" w:rsidR="00261079" w:rsidRPr="00A44829" w:rsidRDefault="00261079" w:rsidP="00FF36E8">
            <w:pPr>
              <w:tabs>
                <w:tab w:val="right" w:pos="6383"/>
              </w:tabs>
              <w:spacing w:before="240" w:after="240"/>
              <w:jc w:val="both"/>
              <w:rPr>
                <w:rFonts w:cs="Arial"/>
                <w:b/>
                <w:sz w:val="20"/>
                <w:szCs w:val="20"/>
              </w:rPr>
            </w:pPr>
          </w:p>
        </w:tc>
      </w:tr>
    </w:tbl>
    <w:p w14:paraId="00AFDD64" w14:textId="480A8562" w:rsidR="00261079" w:rsidRPr="00A44829" w:rsidRDefault="00261079" w:rsidP="00FF36E8">
      <w:pPr>
        <w:spacing w:before="40" w:after="20"/>
        <w:rPr>
          <w:rFonts w:cs="Arial"/>
          <w:bCs/>
          <w:i/>
          <w:sz w:val="16"/>
          <w:szCs w:val="16"/>
        </w:rPr>
      </w:pPr>
    </w:p>
    <w:p w14:paraId="56ABCAC8" w14:textId="72EB40C3" w:rsidR="00576338" w:rsidRPr="00A44829" w:rsidRDefault="00576338" w:rsidP="00FF36E8">
      <w:pPr>
        <w:spacing w:before="40" w:after="20"/>
        <w:rPr>
          <w:rFonts w:cs="Arial"/>
          <w:bCs/>
          <w:i/>
          <w:sz w:val="16"/>
          <w:szCs w:val="16"/>
        </w:rPr>
      </w:pPr>
    </w:p>
    <w:p w14:paraId="46207EF6" w14:textId="77777777" w:rsidR="00576338" w:rsidRPr="00A44829" w:rsidRDefault="00576338" w:rsidP="00FF36E8">
      <w:pPr>
        <w:spacing w:before="40" w:after="20"/>
        <w:rPr>
          <w:rFonts w:cs="Arial"/>
          <w:bCs/>
          <w:i/>
          <w:sz w:val="16"/>
          <w:szCs w:val="16"/>
        </w:rPr>
      </w:pPr>
    </w:p>
    <w:p w14:paraId="06E72E45" w14:textId="77777777" w:rsidR="00B314AF" w:rsidRPr="00A44829" w:rsidRDefault="00320040" w:rsidP="00FF36E8">
      <w:pPr>
        <w:spacing w:before="40" w:after="20"/>
        <w:rPr>
          <w:rFonts w:cs="Arial"/>
          <w:bCs/>
          <w:i/>
          <w:sz w:val="16"/>
          <w:szCs w:val="16"/>
        </w:rPr>
      </w:pPr>
      <w:r w:rsidRPr="00A44829">
        <w:rPr>
          <w:rFonts w:cs="Arial"/>
          <w:bCs/>
          <w:i/>
          <w:sz w:val="16"/>
          <w:szCs w:val="16"/>
        </w:rPr>
        <w:t xml:space="preserve">Note: Totals may not add </w:t>
      </w:r>
      <w:r w:rsidR="00CA2318" w:rsidRPr="00A44829">
        <w:rPr>
          <w:rFonts w:cs="Arial"/>
          <w:bCs/>
          <w:i/>
          <w:sz w:val="16"/>
          <w:szCs w:val="16"/>
        </w:rPr>
        <w:t>due</w:t>
      </w:r>
      <w:r w:rsidRPr="00A44829">
        <w:rPr>
          <w:rFonts w:cs="Arial"/>
          <w:bCs/>
          <w:i/>
          <w:sz w:val="16"/>
          <w:szCs w:val="16"/>
        </w:rPr>
        <w:t xml:space="preserve"> </w:t>
      </w:r>
      <w:r w:rsidR="00282D8A" w:rsidRPr="00A44829">
        <w:rPr>
          <w:rFonts w:cs="Arial"/>
          <w:bCs/>
          <w:i/>
          <w:sz w:val="16"/>
          <w:szCs w:val="16"/>
        </w:rPr>
        <w:t>to</w:t>
      </w:r>
      <w:r w:rsidRPr="00A44829">
        <w:rPr>
          <w:rFonts w:cs="Arial"/>
          <w:bCs/>
          <w:i/>
          <w:sz w:val="16"/>
          <w:szCs w:val="16"/>
        </w:rPr>
        <w:t xml:space="preserve"> rounding.</w:t>
      </w:r>
    </w:p>
    <w:p w14:paraId="75CCFEA5" w14:textId="538C5C05" w:rsidR="00B9193A" w:rsidRPr="00A44829" w:rsidRDefault="00B9193A" w:rsidP="00FF36E8">
      <w:pPr>
        <w:spacing w:before="40" w:after="20"/>
        <w:rPr>
          <w:rFonts w:cs="Arial"/>
        </w:rPr>
      </w:pPr>
      <w:r w:rsidRPr="00A44829">
        <w:rPr>
          <w:rFonts w:cs="Arial"/>
        </w:rPr>
        <w:br w:type="page"/>
      </w:r>
    </w:p>
    <w:p w14:paraId="5451FE6C" w14:textId="37DD0DE7" w:rsidR="003D649A" w:rsidRPr="00A44829" w:rsidRDefault="000726CB" w:rsidP="00C33713">
      <w:pPr>
        <w:pStyle w:val="VGC-Head10"/>
      </w:pPr>
      <w:r w:rsidRPr="00A44829">
        <w:lastRenderedPageBreak/>
        <w:t>Appendix 1</w:t>
      </w:r>
      <w:r w:rsidRPr="00A44829">
        <w:tab/>
      </w:r>
      <w:r w:rsidR="00EE4593" w:rsidRPr="00A44829">
        <w:t>2018-19</w:t>
      </w:r>
      <w:r w:rsidR="00A97ABE" w:rsidRPr="00A44829">
        <w:t xml:space="preserve"> </w:t>
      </w:r>
      <w:r w:rsidR="001E1A90" w:rsidRPr="00A44829">
        <w:t xml:space="preserve">Final Grant Allocations </w:t>
      </w:r>
    </w:p>
    <w:p w14:paraId="689A4BA0" w14:textId="775C140C" w:rsidR="003D649A" w:rsidRPr="00A44829" w:rsidRDefault="003D649A" w:rsidP="00C33713">
      <w:pPr>
        <w:pStyle w:val="VGC-Head2"/>
      </w:pPr>
    </w:p>
    <w:p w14:paraId="02542387" w14:textId="60DC007C" w:rsidR="00BE3B95" w:rsidRPr="00A44829" w:rsidRDefault="00BE3B95" w:rsidP="00FF36E8">
      <w:pPr>
        <w:spacing w:before="40" w:after="20"/>
        <w:rPr>
          <w:rFonts w:cs="Arial"/>
          <w:sz w:val="18"/>
          <w:szCs w:val="18"/>
        </w:rPr>
      </w:pPr>
    </w:p>
    <w:tbl>
      <w:tblPr>
        <w:tblW w:w="9243"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5"/>
        <w:gridCol w:w="1134"/>
      </w:tblGrid>
      <w:tr w:rsidR="00475A74" w:rsidRPr="00A44829" w14:paraId="0B001053" w14:textId="77777777" w:rsidTr="00C60457">
        <w:trPr>
          <w:trHeight w:val="20"/>
          <w:tblHeader/>
        </w:trPr>
        <w:tc>
          <w:tcPr>
            <w:tcW w:w="2268" w:type="dxa"/>
            <w:tcBorders>
              <w:top w:val="nil"/>
              <w:left w:val="nil"/>
              <w:right w:val="single" w:sz="18" w:space="0" w:color="5F497A" w:themeColor="accent4" w:themeShade="BF"/>
            </w:tcBorders>
            <w:shd w:val="clear" w:color="auto" w:fill="auto"/>
            <w:vAlign w:val="bottom"/>
          </w:tcPr>
          <w:p w14:paraId="70E3A2D2" w14:textId="2485BC5C" w:rsidR="00475A74" w:rsidRPr="00A44829" w:rsidRDefault="00475A74" w:rsidP="008001AD">
            <w:pPr>
              <w:spacing w:before="40" w:after="40"/>
              <w:jc w:val="center"/>
              <w:rPr>
                <w:rFonts w:cs="Arial"/>
                <w:sz w:val="18"/>
                <w:szCs w:val="18"/>
              </w:rPr>
            </w:pPr>
          </w:p>
        </w:tc>
        <w:tc>
          <w:tcPr>
            <w:tcW w:w="3402" w:type="dxa"/>
            <w:gridSpan w:val="3"/>
            <w:tcBorders>
              <w:top w:val="nil"/>
              <w:left w:val="single" w:sz="18" w:space="0" w:color="5F497A" w:themeColor="accent4" w:themeShade="BF"/>
              <w:bottom w:val="single" w:sz="8" w:space="0" w:color="5F497A" w:themeColor="accent4" w:themeShade="BF"/>
              <w:right w:val="nil"/>
            </w:tcBorders>
            <w:shd w:val="clear" w:color="auto" w:fill="auto"/>
            <w:vAlign w:val="bottom"/>
          </w:tcPr>
          <w:p w14:paraId="67EA35A5" w14:textId="646C984E" w:rsidR="00475A74" w:rsidRPr="002A2397" w:rsidRDefault="00475A74" w:rsidP="008001AD">
            <w:pPr>
              <w:spacing w:before="40" w:after="40"/>
              <w:jc w:val="center"/>
              <w:rPr>
                <w:rFonts w:cs="Arial"/>
                <w:b/>
                <w:sz w:val="18"/>
                <w:szCs w:val="18"/>
              </w:rPr>
            </w:pPr>
            <w:r w:rsidRPr="002A2397">
              <w:rPr>
                <w:rFonts w:cs="Arial"/>
                <w:b/>
                <w:sz w:val="18"/>
                <w:szCs w:val="18"/>
              </w:rPr>
              <w:t>General Purpose Grants</w:t>
            </w:r>
            <w:r w:rsidR="00057EFC" w:rsidRPr="002A2397">
              <w:rPr>
                <w:rFonts w:cs="Arial"/>
                <w:b/>
                <w:sz w:val="18"/>
                <w:szCs w:val="18"/>
              </w:rPr>
              <w:t xml:space="preserve"> </w:t>
            </w:r>
          </w:p>
        </w:tc>
        <w:tc>
          <w:tcPr>
            <w:tcW w:w="170" w:type="dxa"/>
            <w:vMerge w:val="restart"/>
            <w:tcBorders>
              <w:top w:val="nil"/>
              <w:left w:val="nil"/>
              <w:bottom w:val="single" w:sz="8" w:space="0" w:color="5F497A" w:themeColor="accent4" w:themeShade="BF"/>
              <w:right w:val="nil"/>
            </w:tcBorders>
            <w:shd w:val="clear" w:color="auto" w:fill="auto"/>
            <w:vAlign w:val="bottom"/>
          </w:tcPr>
          <w:p w14:paraId="1F18E651" w14:textId="77777777" w:rsidR="00475A74" w:rsidRPr="002A2397" w:rsidRDefault="00475A74" w:rsidP="008001AD">
            <w:pPr>
              <w:spacing w:before="40" w:after="40"/>
              <w:jc w:val="center"/>
              <w:rPr>
                <w:rFonts w:cs="Arial"/>
                <w:b/>
                <w:sz w:val="18"/>
                <w:szCs w:val="18"/>
              </w:rPr>
            </w:pPr>
          </w:p>
        </w:tc>
        <w:tc>
          <w:tcPr>
            <w:tcW w:w="3403" w:type="dxa"/>
            <w:gridSpan w:val="3"/>
            <w:tcBorders>
              <w:top w:val="nil"/>
              <w:left w:val="nil"/>
              <w:bottom w:val="single" w:sz="8" w:space="0" w:color="5F497A" w:themeColor="accent4" w:themeShade="BF"/>
              <w:right w:val="nil"/>
            </w:tcBorders>
            <w:shd w:val="clear" w:color="auto" w:fill="auto"/>
            <w:vAlign w:val="bottom"/>
          </w:tcPr>
          <w:p w14:paraId="19487012" w14:textId="291F910C" w:rsidR="00475A74" w:rsidRPr="002A2397" w:rsidRDefault="00475A74" w:rsidP="008001AD">
            <w:pPr>
              <w:spacing w:before="40" w:after="40"/>
              <w:jc w:val="center"/>
              <w:rPr>
                <w:rFonts w:cs="Arial"/>
                <w:b/>
                <w:sz w:val="18"/>
                <w:szCs w:val="18"/>
              </w:rPr>
            </w:pPr>
            <w:r w:rsidRPr="002A2397">
              <w:rPr>
                <w:rFonts w:cs="Arial"/>
                <w:b/>
                <w:sz w:val="18"/>
                <w:szCs w:val="18"/>
              </w:rPr>
              <w:t>Local Road</w:t>
            </w:r>
            <w:r w:rsidR="00C64712" w:rsidRPr="002A2397">
              <w:rPr>
                <w:rFonts w:cs="Arial"/>
                <w:b/>
                <w:sz w:val="18"/>
                <w:szCs w:val="18"/>
              </w:rPr>
              <w:t>s</w:t>
            </w:r>
            <w:r w:rsidRPr="002A2397">
              <w:rPr>
                <w:rFonts w:cs="Arial"/>
                <w:b/>
                <w:sz w:val="18"/>
                <w:szCs w:val="18"/>
              </w:rPr>
              <w:t xml:space="preserve"> </w:t>
            </w:r>
            <w:r w:rsidR="00057EFC" w:rsidRPr="002A2397">
              <w:rPr>
                <w:rFonts w:cs="Arial"/>
                <w:b/>
                <w:sz w:val="18"/>
                <w:szCs w:val="18"/>
              </w:rPr>
              <w:t xml:space="preserve">Grants </w:t>
            </w:r>
          </w:p>
        </w:tc>
      </w:tr>
      <w:tr w:rsidR="00475A74" w:rsidRPr="00A44829" w14:paraId="54C797DE" w14:textId="77777777" w:rsidTr="00C60457">
        <w:trPr>
          <w:trHeight w:val="20"/>
          <w:tblHeader/>
        </w:trPr>
        <w:tc>
          <w:tcPr>
            <w:tcW w:w="2268" w:type="dxa"/>
            <w:tcBorders>
              <w:top w:val="nil"/>
              <w:left w:val="nil"/>
              <w:right w:val="single" w:sz="18" w:space="0" w:color="5F497A" w:themeColor="accent4" w:themeShade="BF"/>
            </w:tcBorders>
            <w:shd w:val="clear" w:color="auto" w:fill="auto"/>
            <w:vAlign w:val="bottom"/>
          </w:tcPr>
          <w:p w14:paraId="1C7EF2F5" w14:textId="77777777" w:rsidR="00475A74" w:rsidRPr="00A44829" w:rsidRDefault="00475A74" w:rsidP="008001AD">
            <w:pPr>
              <w:spacing w:before="40" w:after="40"/>
              <w:jc w:val="center"/>
              <w:rPr>
                <w:rFonts w:cs="Arial"/>
                <w:sz w:val="18"/>
                <w:szCs w:val="18"/>
              </w:rPr>
            </w:pP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4D3B5A53" w14:textId="77777777" w:rsidR="00475A74" w:rsidRPr="00A44829" w:rsidRDefault="00475A74" w:rsidP="008001AD">
            <w:pPr>
              <w:spacing w:before="40" w:after="40"/>
              <w:jc w:val="center"/>
              <w:rPr>
                <w:rFonts w:cs="Arial"/>
                <w:sz w:val="16"/>
                <w:szCs w:val="16"/>
              </w:rPr>
            </w:pPr>
            <w:r w:rsidRPr="00A44829">
              <w:rPr>
                <w:rFonts w:cs="Arial"/>
                <w:sz w:val="16"/>
                <w:szCs w:val="16"/>
              </w:rPr>
              <w:t xml:space="preserve">Initial </w:t>
            </w:r>
            <w:r w:rsidRPr="00A44829">
              <w:rPr>
                <w:rFonts w:cs="Arial"/>
                <w:sz w:val="16"/>
                <w:szCs w:val="16"/>
              </w:rPr>
              <w:br/>
              <w:t>($)</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7904FA44" w14:textId="77777777" w:rsidR="00475A74" w:rsidRPr="00A44829" w:rsidRDefault="00475A74" w:rsidP="008001AD">
            <w:pPr>
              <w:spacing w:before="40" w:after="40"/>
              <w:jc w:val="center"/>
              <w:rPr>
                <w:rFonts w:cs="Arial"/>
                <w:sz w:val="16"/>
                <w:szCs w:val="16"/>
              </w:rPr>
            </w:pPr>
            <w:r w:rsidRPr="00A44829">
              <w:rPr>
                <w:rFonts w:cs="Arial"/>
                <w:sz w:val="16"/>
                <w:szCs w:val="16"/>
              </w:rPr>
              <w:t xml:space="preserve">Final </w:t>
            </w:r>
            <w:r w:rsidRPr="00A44829">
              <w:rPr>
                <w:rFonts w:cs="Arial"/>
                <w:sz w:val="16"/>
                <w:szCs w:val="16"/>
              </w:rPr>
              <w:br/>
              <w:t>($)</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4F01F3EB" w14:textId="77777777" w:rsidR="00475A74" w:rsidRPr="002A2397" w:rsidRDefault="00475A74" w:rsidP="008001AD">
            <w:pPr>
              <w:spacing w:before="40" w:after="40"/>
              <w:jc w:val="center"/>
              <w:rPr>
                <w:rFonts w:cs="Arial"/>
                <w:sz w:val="16"/>
                <w:szCs w:val="16"/>
              </w:rPr>
            </w:pPr>
            <w:r w:rsidRPr="002A2397">
              <w:rPr>
                <w:rFonts w:cs="Arial"/>
                <w:sz w:val="16"/>
                <w:szCs w:val="16"/>
              </w:rPr>
              <w:t xml:space="preserve">Difference </w:t>
            </w:r>
            <w:r w:rsidRPr="002A2397">
              <w:rPr>
                <w:rFonts w:cs="Arial"/>
                <w:sz w:val="16"/>
                <w:szCs w:val="16"/>
              </w:rPr>
              <w:br/>
              <w:t>($)</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18F769E5" w14:textId="77777777" w:rsidR="00475A74" w:rsidRPr="002A2397" w:rsidRDefault="00475A74" w:rsidP="008001AD">
            <w:pPr>
              <w:spacing w:before="40" w:after="40"/>
              <w:jc w:val="center"/>
              <w:rPr>
                <w:rFonts w:cs="Arial"/>
                <w:sz w:val="16"/>
                <w:szCs w:val="16"/>
              </w:rPr>
            </w:pP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66A642C4" w14:textId="77777777" w:rsidR="00475A74" w:rsidRPr="002A2397" w:rsidRDefault="00475A74" w:rsidP="008001AD">
            <w:pPr>
              <w:spacing w:before="40" w:after="40"/>
              <w:jc w:val="center"/>
              <w:rPr>
                <w:rFonts w:cs="Arial"/>
                <w:sz w:val="16"/>
                <w:szCs w:val="16"/>
              </w:rPr>
            </w:pPr>
            <w:r w:rsidRPr="002A2397">
              <w:rPr>
                <w:rFonts w:cs="Arial"/>
                <w:sz w:val="16"/>
                <w:szCs w:val="16"/>
              </w:rPr>
              <w:t xml:space="preserve">Initial </w:t>
            </w:r>
            <w:r w:rsidRPr="002A2397">
              <w:rPr>
                <w:rFonts w:cs="Arial"/>
                <w:sz w:val="16"/>
                <w:szCs w:val="16"/>
              </w:rPr>
              <w:br/>
              <w:t>($)</w:t>
            </w:r>
          </w:p>
        </w:tc>
        <w:tc>
          <w:tcPr>
            <w:tcW w:w="1135"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135C4B79" w14:textId="77777777" w:rsidR="00475A74" w:rsidRPr="00A44829" w:rsidRDefault="00475A74" w:rsidP="008001AD">
            <w:pPr>
              <w:spacing w:before="40" w:after="40"/>
              <w:jc w:val="center"/>
              <w:rPr>
                <w:rFonts w:cs="Arial"/>
                <w:sz w:val="16"/>
                <w:szCs w:val="16"/>
              </w:rPr>
            </w:pPr>
            <w:r w:rsidRPr="00A44829">
              <w:rPr>
                <w:rFonts w:cs="Arial"/>
                <w:sz w:val="16"/>
                <w:szCs w:val="16"/>
              </w:rPr>
              <w:t xml:space="preserve">Final </w:t>
            </w:r>
            <w:r w:rsidRPr="00A44829">
              <w:rPr>
                <w:rFonts w:cs="Arial"/>
                <w:sz w:val="16"/>
                <w:szCs w:val="16"/>
              </w:rPr>
              <w:br/>
              <w:t>($)</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6C81482" w14:textId="77777777" w:rsidR="00475A74" w:rsidRPr="00A44829" w:rsidRDefault="00475A74" w:rsidP="008001AD">
            <w:pPr>
              <w:spacing w:before="40" w:after="40"/>
              <w:jc w:val="center"/>
              <w:rPr>
                <w:rFonts w:cs="Arial"/>
                <w:sz w:val="16"/>
                <w:szCs w:val="16"/>
              </w:rPr>
            </w:pPr>
            <w:r w:rsidRPr="00A44829">
              <w:rPr>
                <w:rFonts w:cs="Arial"/>
                <w:sz w:val="16"/>
                <w:szCs w:val="16"/>
              </w:rPr>
              <w:t xml:space="preserve">Difference </w:t>
            </w:r>
            <w:r w:rsidRPr="00A44829">
              <w:rPr>
                <w:rFonts w:cs="Arial"/>
                <w:sz w:val="16"/>
                <w:szCs w:val="16"/>
              </w:rPr>
              <w:br/>
              <w:t>($)</w:t>
            </w:r>
          </w:p>
        </w:tc>
      </w:tr>
      <w:tr w:rsidR="00A66703" w:rsidRPr="001D41EA" w14:paraId="08CD113E" w14:textId="77777777" w:rsidTr="00C60457">
        <w:trPr>
          <w:trHeight w:val="20"/>
          <w:tblHeader/>
        </w:trPr>
        <w:tc>
          <w:tcPr>
            <w:tcW w:w="2268" w:type="dxa"/>
            <w:tcBorders>
              <w:left w:val="nil"/>
              <w:bottom w:val="nil"/>
              <w:right w:val="single" w:sz="18" w:space="0" w:color="5F497A" w:themeColor="accent4" w:themeShade="BF"/>
            </w:tcBorders>
            <w:shd w:val="clear" w:color="auto" w:fill="auto"/>
            <w:vAlign w:val="center"/>
          </w:tcPr>
          <w:p w14:paraId="0819F4EC" w14:textId="77777777" w:rsidR="00A66703" w:rsidRPr="001D41EA" w:rsidRDefault="00A66703" w:rsidP="001D41EA">
            <w:pPr>
              <w:spacing w:before="40" w:after="4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66D5A9F8" w14:textId="525EDB54" w:rsidR="00A66703" w:rsidRPr="001D41EA" w:rsidRDefault="00A66703" w:rsidP="001D41EA">
            <w:pPr>
              <w:spacing w:before="40" w:after="4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2DE67DB0" w14:textId="77777777" w:rsidR="00A66703" w:rsidRPr="001D41EA" w:rsidRDefault="00A66703" w:rsidP="001D41EA">
            <w:pPr>
              <w:spacing w:before="40" w:after="4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7E70A6AB" w14:textId="6C9A36F7" w:rsidR="00A66703" w:rsidRPr="001D41EA" w:rsidRDefault="00A66703" w:rsidP="001D41EA">
            <w:pPr>
              <w:spacing w:before="40" w:after="40"/>
              <w:jc w:val="right"/>
              <w:rPr>
                <w:rFonts w:cs="Arial"/>
                <w:sz w:val="18"/>
                <w:szCs w:val="18"/>
              </w:rPr>
            </w:pPr>
          </w:p>
        </w:tc>
        <w:tc>
          <w:tcPr>
            <w:tcW w:w="170" w:type="dxa"/>
            <w:tcBorders>
              <w:top w:val="single" w:sz="8" w:space="0" w:color="5F497A" w:themeColor="accent4" w:themeShade="BF"/>
              <w:left w:val="nil"/>
              <w:bottom w:val="nil"/>
              <w:right w:val="nil"/>
            </w:tcBorders>
            <w:shd w:val="clear" w:color="auto" w:fill="auto"/>
            <w:vAlign w:val="bottom"/>
          </w:tcPr>
          <w:p w14:paraId="42B6F73D" w14:textId="77777777" w:rsidR="00A66703" w:rsidRPr="001D41EA" w:rsidRDefault="00A66703" w:rsidP="001D41EA">
            <w:pPr>
              <w:spacing w:before="40" w:after="4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0037C897" w14:textId="55575E41" w:rsidR="00A66703" w:rsidRPr="001D41EA" w:rsidRDefault="00A66703" w:rsidP="001D41EA">
            <w:pPr>
              <w:spacing w:before="40" w:after="40"/>
              <w:jc w:val="right"/>
              <w:rPr>
                <w:rFonts w:cs="Arial"/>
                <w:sz w:val="18"/>
                <w:szCs w:val="18"/>
              </w:rPr>
            </w:pPr>
            <w:r w:rsidRPr="001D41EA">
              <w:rPr>
                <w:rFonts w:cs="Arial"/>
                <w:sz w:val="18"/>
                <w:szCs w:val="18"/>
              </w:rPr>
              <w:t> </w:t>
            </w:r>
          </w:p>
        </w:tc>
        <w:tc>
          <w:tcPr>
            <w:tcW w:w="1135" w:type="dxa"/>
            <w:tcBorders>
              <w:top w:val="single" w:sz="8" w:space="0" w:color="5F497A" w:themeColor="accent4" w:themeShade="BF"/>
              <w:left w:val="nil"/>
              <w:bottom w:val="nil"/>
              <w:right w:val="nil"/>
            </w:tcBorders>
            <w:shd w:val="clear" w:color="auto" w:fill="auto"/>
            <w:vAlign w:val="bottom"/>
          </w:tcPr>
          <w:p w14:paraId="7716EBC5" w14:textId="77777777" w:rsidR="00A66703" w:rsidRPr="001D41EA" w:rsidRDefault="00A66703" w:rsidP="001D41EA">
            <w:pPr>
              <w:spacing w:before="40" w:after="4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455FD722" w14:textId="6FBC0852" w:rsidR="00A66703" w:rsidRPr="001D41EA" w:rsidRDefault="00A66703" w:rsidP="001D41EA">
            <w:pPr>
              <w:spacing w:before="40" w:after="40"/>
              <w:jc w:val="right"/>
              <w:rPr>
                <w:rFonts w:cs="Arial"/>
                <w:sz w:val="18"/>
                <w:szCs w:val="18"/>
              </w:rPr>
            </w:pPr>
            <w:r w:rsidRPr="001D41EA">
              <w:rPr>
                <w:rFonts w:cs="Arial"/>
                <w:sz w:val="18"/>
                <w:szCs w:val="18"/>
              </w:rPr>
              <w:t> </w:t>
            </w:r>
          </w:p>
        </w:tc>
      </w:tr>
      <w:tr w:rsidR="00A66703" w:rsidRPr="001D41EA" w14:paraId="2950BF04"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3E1B1B7D" w14:textId="77777777" w:rsidR="00A66703" w:rsidRPr="001D41EA" w:rsidRDefault="00A66703" w:rsidP="001D41EA">
            <w:pPr>
              <w:spacing w:before="40" w:after="40"/>
              <w:rPr>
                <w:rFonts w:cs="Arial"/>
                <w:sz w:val="18"/>
                <w:szCs w:val="18"/>
              </w:rPr>
            </w:pPr>
            <w:r w:rsidRPr="001D41EA">
              <w:rPr>
                <w:rFonts w:cs="Arial"/>
                <w:sz w:val="18"/>
                <w:szCs w:val="18"/>
              </w:rPr>
              <w:t xml:space="preserve">Alpine S </w:t>
            </w:r>
          </w:p>
        </w:tc>
        <w:tc>
          <w:tcPr>
            <w:tcW w:w="1134" w:type="dxa"/>
            <w:tcBorders>
              <w:top w:val="nil"/>
              <w:left w:val="single" w:sz="18" w:space="0" w:color="5F497A" w:themeColor="accent4" w:themeShade="BF"/>
              <w:bottom w:val="nil"/>
              <w:right w:val="nil"/>
            </w:tcBorders>
            <w:shd w:val="clear" w:color="auto" w:fill="auto"/>
            <w:vAlign w:val="bottom"/>
          </w:tcPr>
          <w:p w14:paraId="30FA6B72" w14:textId="1B9820AF" w:rsidR="00A66703" w:rsidRPr="001D41EA" w:rsidRDefault="00A66703" w:rsidP="001D41EA">
            <w:pPr>
              <w:spacing w:before="40" w:after="40"/>
              <w:jc w:val="right"/>
              <w:rPr>
                <w:rFonts w:cs="Arial"/>
                <w:sz w:val="18"/>
                <w:szCs w:val="18"/>
              </w:rPr>
            </w:pPr>
            <w:r w:rsidRPr="001D41EA">
              <w:rPr>
                <w:rFonts w:cs="Arial"/>
                <w:sz w:val="18"/>
                <w:szCs w:val="18"/>
              </w:rPr>
              <w:t>2,647,201</w:t>
            </w:r>
          </w:p>
        </w:tc>
        <w:tc>
          <w:tcPr>
            <w:tcW w:w="1134" w:type="dxa"/>
            <w:tcBorders>
              <w:top w:val="nil"/>
              <w:left w:val="nil"/>
              <w:bottom w:val="nil"/>
              <w:right w:val="nil"/>
            </w:tcBorders>
            <w:shd w:val="clear" w:color="auto" w:fill="auto"/>
            <w:vAlign w:val="bottom"/>
          </w:tcPr>
          <w:p w14:paraId="11F8B082" w14:textId="362AACD2" w:rsidR="00A66703" w:rsidRPr="001D41EA" w:rsidRDefault="00A66703" w:rsidP="001D41EA">
            <w:pPr>
              <w:spacing w:before="40" w:after="40"/>
              <w:jc w:val="right"/>
              <w:rPr>
                <w:rFonts w:cs="Arial"/>
                <w:sz w:val="18"/>
                <w:szCs w:val="18"/>
              </w:rPr>
            </w:pPr>
            <w:r w:rsidRPr="001D41EA">
              <w:rPr>
                <w:rFonts w:cs="Arial"/>
                <w:sz w:val="18"/>
                <w:szCs w:val="18"/>
              </w:rPr>
              <w:t>2,618,347</w:t>
            </w:r>
          </w:p>
        </w:tc>
        <w:tc>
          <w:tcPr>
            <w:tcW w:w="1134" w:type="dxa"/>
            <w:tcBorders>
              <w:top w:val="nil"/>
              <w:left w:val="nil"/>
              <w:bottom w:val="nil"/>
              <w:right w:val="nil"/>
            </w:tcBorders>
            <w:shd w:val="clear" w:color="auto" w:fill="auto"/>
            <w:vAlign w:val="bottom"/>
          </w:tcPr>
          <w:p w14:paraId="0C9838A2" w14:textId="1E34C690" w:rsidR="00A66703" w:rsidRPr="001D41EA" w:rsidRDefault="00A66703" w:rsidP="001D41EA">
            <w:pPr>
              <w:spacing w:before="40" w:after="40"/>
              <w:jc w:val="right"/>
              <w:rPr>
                <w:rFonts w:cs="Arial"/>
                <w:sz w:val="18"/>
                <w:szCs w:val="18"/>
              </w:rPr>
            </w:pPr>
            <w:r w:rsidRPr="001D41EA">
              <w:rPr>
                <w:rFonts w:cs="Arial"/>
                <w:sz w:val="18"/>
                <w:szCs w:val="18"/>
              </w:rPr>
              <w:t>-28,854</w:t>
            </w:r>
          </w:p>
        </w:tc>
        <w:tc>
          <w:tcPr>
            <w:tcW w:w="170" w:type="dxa"/>
            <w:tcBorders>
              <w:top w:val="nil"/>
              <w:left w:val="nil"/>
              <w:bottom w:val="nil"/>
              <w:right w:val="nil"/>
            </w:tcBorders>
            <w:shd w:val="clear" w:color="auto" w:fill="auto"/>
            <w:vAlign w:val="bottom"/>
          </w:tcPr>
          <w:p w14:paraId="46C14451"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F66AA5E" w14:textId="69B246B8" w:rsidR="00A66703" w:rsidRPr="001D41EA" w:rsidRDefault="00A66703" w:rsidP="001D41EA">
            <w:pPr>
              <w:spacing w:before="40" w:after="40"/>
              <w:jc w:val="right"/>
              <w:rPr>
                <w:rFonts w:cs="Arial"/>
                <w:sz w:val="18"/>
                <w:szCs w:val="18"/>
              </w:rPr>
            </w:pPr>
            <w:r w:rsidRPr="001D41EA">
              <w:rPr>
                <w:rFonts w:cs="Arial"/>
                <w:sz w:val="18"/>
                <w:szCs w:val="18"/>
              </w:rPr>
              <w:t>1,087,538</w:t>
            </w:r>
          </w:p>
        </w:tc>
        <w:tc>
          <w:tcPr>
            <w:tcW w:w="1135" w:type="dxa"/>
            <w:tcBorders>
              <w:top w:val="nil"/>
              <w:left w:val="nil"/>
              <w:bottom w:val="nil"/>
              <w:right w:val="nil"/>
            </w:tcBorders>
            <w:shd w:val="clear" w:color="auto" w:fill="auto"/>
            <w:vAlign w:val="bottom"/>
          </w:tcPr>
          <w:p w14:paraId="20A2DB46" w14:textId="774FFAD3" w:rsidR="00A66703" w:rsidRPr="001D41EA" w:rsidRDefault="00A66703" w:rsidP="001D41EA">
            <w:pPr>
              <w:spacing w:before="40" w:after="40"/>
              <w:jc w:val="right"/>
              <w:rPr>
                <w:rFonts w:cs="Arial"/>
                <w:sz w:val="18"/>
                <w:szCs w:val="18"/>
              </w:rPr>
            </w:pPr>
            <w:r w:rsidRPr="001D41EA">
              <w:rPr>
                <w:rFonts w:cs="Arial"/>
                <w:sz w:val="18"/>
                <w:szCs w:val="18"/>
              </w:rPr>
              <w:t>1,078,965</w:t>
            </w:r>
          </w:p>
        </w:tc>
        <w:tc>
          <w:tcPr>
            <w:tcW w:w="1134" w:type="dxa"/>
            <w:tcBorders>
              <w:top w:val="nil"/>
              <w:left w:val="nil"/>
              <w:bottom w:val="nil"/>
              <w:right w:val="nil"/>
            </w:tcBorders>
            <w:shd w:val="clear" w:color="auto" w:fill="auto"/>
            <w:vAlign w:val="bottom"/>
          </w:tcPr>
          <w:p w14:paraId="22C2E17A" w14:textId="525665C4" w:rsidR="00A66703" w:rsidRPr="001D41EA" w:rsidRDefault="00A66703" w:rsidP="001D41EA">
            <w:pPr>
              <w:spacing w:before="40" w:after="40"/>
              <w:jc w:val="right"/>
              <w:rPr>
                <w:rFonts w:cs="Arial"/>
                <w:sz w:val="18"/>
                <w:szCs w:val="18"/>
              </w:rPr>
            </w:pPr>
            <w:r w:rsidRPr="001D41EA">
              <w:rPr>
                <w:rFonts w:cs="Arial"/>
                <w:sz w:val="18"/>
                <w:szCs w:val="18"/>
              </w:rPr>
              <w:t>-8,573</w:t>
            </w:r>
          </w:p>
        </w:tc>
      </w:tr>
      <w:tr w:rsidR="00A66703" w:rsidRPr="001D41EA" w14:paraId="26AF3EA7"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19BCD10D" w14:textId="77777777" w:rsidR="00A66703" w:rsidRPr="001D41EA" w:rsidRDefault="00A66703" w:rsidP="001D41EA">
            <w:pPr>
              <w:spacing w:before="40" w:after="40"/>
              <w:rPr>
                <w:rFonts w:cs="Arial"/>
                <w:sz w:val="18"/>
                <w:szCs w:val="18"/>
              </w:rPr>
            </w:pPr>
            <w:r w:rsidRPr="001D41EA">
              <w:rPr>
                <w:rFonts w:cs="Arial"/>
                <w:sz w:val="18"/>
                <w:szCs w:val="18"/>
              </w:rPr>
              <w:t xml:space="preserve">Ararat RC </w:t>
            </w:r>
          </w:p>
        </w:tc>
        <w:tc>
          <w:tcPr>
            <w:tcW w:w="1134" w:type="dxa"/>
            <w:tcBorders>
              <w:top w:val="nil"/>
              <w:left w:val="single" w:sz="18" w:space="0" w:color="5F497A" w:themeColor="accent4" w:themeShade="BF"/>
              <w:bottom w:val="nil"/>
              <w:right w:val="nil"/>
            </w:tcBorders>
            <w:shd w:val="clear" w:color="auto" w:fill="auto"/>
            <w:vAlign w:val="bottom"/>
          </w:tcPr>
          <w:p w14:paraId="7BAC95F8" w14:textId="578AE672" w:rsidR="00A66703" w:rsidRPr="001D41EA" w:rsidRDefault="00A66703" w:rsidP="001D41EA">
            <w:pPr>
              <w:spacing w:before="40" w:after="40"/>
              <w:jc w:val="right"/>
              <w:rPr>
                <w:rFonts w:cs="Arial"/>
                <w:sz w:val="18"/>
                <w:szCs w:val="18"/>
              </w:rPr>
            </w:pPr>
            <w:r w:rsidRPr="001D41EA">
              <w:rPr>
                <w:rFonts w:cs="Arial"/>
                <w:sz w:val="18"/>
                <w:szCs w:val="18"/>
              </w:rPr>
              <w:t>3,641,790</w:t>
            </w:r>
          </w:p>
        </w:tc>
        <w:tc>
          <w:tcPr>
            <w:tcW w:w="1134" w:type="dxa"/>
            <w:tcBorders>
              <w:top w:val="nil"/>
              <w:left w:val="nil"/>
              <w:bottom w:val="nil"/>
              <w:right w:val="nil"/>
            </w:tcBorders>
            <w:shd w:val="clear" w:color="auto" w:fill="auto"/>
            <w:vAlign w:val="bottom"/>
          </w:tcPr>
          <w:p w14:paraId="2702386A" w14:textId="06B77FE1" w:rsidR="00A66703" w:rsidRPr="001D41EA" w:rsidRDefault="00A66703" w:rsidP="001D41EA">
            <w:pPr>
              <w:spacing w:before="40" w:after="40"/>
              <w:jc w:val="right"/>
              <w:rPr>
                <w:rFonts w:cs="Arial"/>
                <w:sz w:val="18"/>
                <w:szCs w:val="18"/>
              </w:rPr>
            </w:pPr>
            <w:r w:rsidRPr="001D41EA">
              <w:rPr>
                <w:rFonts w:cs="Arial"/>
                <w:sz w:val="18"/>
                <w:szCs w:val="18"/>
              </w:rPr>
              <w:t>3,602,095</w:t>
            </w:r>
          </w:p>
        </w:tc>
        <w:tc>
          <w:tcPr>
            <w:tcW w:w="1134" w:type="dxa"/>
            <w:tcBorders>
              <w:top w:val="nil"/>
              <w:left w:val="nil"/>
              <w:bottom w:val="nil"/>
              <w:right w:val="nil"/>
            </w:tcBorders>
            <w:shd w:val="clear" w:color="auto" w:fill="auto"/>
            <w:vAlign w:val="bottom"/>
          </w:tcPr>
          <w:p w14:paraId="1B3B14F3" w14:textId="48B193C2" w:rsidR="00A66703" w:rsidRPr="001D41EA" w:rsidRDefault="00A66703" w:rsidP="001D41EA">
            <w:pPr>
              <w:spacing w:before="40" w:after="40"/>
              <w:jc w:val="right"/>
              <w:rPr>
                <w:rFonts w:cs="Arial"/>
                <w:sz w:val="18"/>
                <w:szCs w:val="18"/>
              </w:rPr>
            </w:pPr>
            <w:r w:rsidRPr="001D41EA">
              <w:rPr>
                <w:rFonts w:cs="Arial"/>
                <w:sz w:val="18"/>
                <w:szCs w:val="18"/>
              </w:rPr>
              <w:t>-39,695</w:t>
            </w:r>
          </w:p>
        </w:tc>
        <w:tc>
          <w:tcPr>
            <w:tcW w:w="170" w:type="dxa"/>
            <w:tcBorders>
              <w:top w:val="nil"/>
              <w:left w:val="nil"/>
              <w:bottom w:val="nil"/>
              <w:right w:val="nil"/>
            </w:tcBorders>
            <w:shd w:val="clear" w:color="auto" w:fill="auto"/>
            <w:vAlign w:val="bottom"/>
          </w:tcPr>
          <w:p w14:paraId="449F6AF8"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2D78AE1" w14:textId="5F7E5C15" w:rsidR="00A66703" w:rsidRPr="001D41EA" w:rsidRDefault="00A66703" w:rsidP="001D41EA">
            <w:pPr>
              <w:spacing w:before="40" w:after="40"/>
              <w:jc w:val="right"/>
              <w:rPr>
                <w:rFonts w:cs="Arial"/>
                <w:sz w:val="18"/>
                <w:szCs w:val="18"/>
              </w:rPr>
            </w:pPr>
            <w:r w:rsidRPr="001D41EA">
              <w:rPr>
                <w:rFonts w:cs="Arial"/>
                <w:sz w:val="18"/>
                <w:szCs w:val="18"/>
              </w:rPr>
              <w:t>2,237,482</w:t>
            </w:r>
          </w:p>
        </w:tc>
        <w:tc>
          <w:tcPr>
            <w:tcW w:w="1135" w:type="dxa"/>
            <w:tcBorders>
              <w:top w:val="nil"/>
              <w:left w:val="nil"/>
              <w:bottom w:val="nil"/>
              <w:right w:val="nil"/>
            </w:tcBorders>
            <w:shd w:val="clear" w:color="auto" w:fill="auto"/>
            <w:vAlign w:val="bottom"/>
          </w:tcPr>
          <w:p w14:paraId="11F7AAF7" w14:textId="0D9F6CF8" w:rsidR="00A66703" w:rsidRPr="001D41EA" w:rsidRDefault="00A66703" w:rsidP="001D41EA">
            <w:pPr>
              <w:spacing w:before="40" w:after="40"/>
              <w:jc w:val="right"/>
              <w:rPr>
                <w:rFonts w:cs="Arial"/>
                <w:sz w:val="18"/>
                <w:szCs w:val="18"/>
              </w:rPr>
            </w:pPr>
            <w:r w:rsidRPr="001D41EA">
              <w:rPr>
                <w:rFonts w:cs="Arial"/>
                <w:sz w:val="18"/>
                <w:szCs w:val="18"/>
              </w:rPr>
              <w:t>2,219,844</w:t>
            </w:r>
          </w:p>
        </w:tc>
        <w:tc>
          <w:tcPr>
            <w:tcW w:w="1134" w:type="dxa"/>
            <w:tcBorders>
              <w:top w:val="nil"/>
              <w:left w:val="nil"/>
              <w:bottom w:val="nil"/>
              <w:right w:val="nil"/>
            </w:tcBorders>
            <w:shd w:val="clear" w:color="auto" w:fill="auto"/>
            <w:vAlign w:val="bottom"/>
          </w:tcPr>
          <w:p w14:paraId="6566754F" w14:textId="382429AE" w:rsidR="00A66703" w:rsidRPr="001D41EA" w:rsidRDefault="00A66703" w:rsidP="001D41EA">
            <w:pPr>
              <w:spacing w:before="40" w:after="40"/>
              <w:jc w:val="right"/>
              <w:rPr>
                <w:rFonts w:cs="Arial"/>
                <w:sz w:val="18"/>
                <w:szCs w:val="18"/>
              </w:rPr>
            </w:pPr>
            <w:r w:rsidRPr="001D41EA">
              <w:rPr>
                <w:rFonts w:cs="Arial"/>
                <w:sz w:val="18"/>
                <w:szCs w:val="18"/>
              </w:rPr>
              <w:t>-17,638</w:t>
            </w:r>
          </w:p>
        </w:tc>
      </w:tr>
      <w:tr w:rsidR="00A66703" w:rsidRPr="001D41EA" w14:paraId="1CC23C42"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2C03562D" w14:textId="77777777" w:rsidR="00A66703" w:rsidRPr="001D41EA" w:rsidRDefault="00A66703" w:rsidP="001D41EA">
            <w:pPr>
              <w:spacing w:before="40" w:after="40"/>
              <w:rPr>
                <w:rFonts w:cs="Arial"/>
                <w:sz w:val="18"/>
                <w:szCs w:val="18"/>
              </w:rPr>
            </w:pPr>
            <w:r w:rsidRPr="001D41EA">
              <w:rPr>
                <w:rFonts w:cs="Arial"/>
                <w:sz w:val="18"/>
                <w:szCs w:val="18"/>
              </w:rPr>
              <w:t xml:space="preserve">Ballarat C </w:t>
            </w:r>
          </w:p>
        </w:tc>
        <w:tc>
          <w:tcPr>
            <w:tcW w:w="1134" w:type="dxa"/>
            <w:tcBorders>
              <w:top w:val="nil"/>
              <w:left w:val="single" w:sz="18" w:space="0" w:color="5F497A" w:themeColor="accent4" w:themeShade="BF"/>
              <w:bottom w:val="nil"/>
              <w:right w:val="nil"/>
            </w:tcBorders>
            <w:shd w:val="clear" w:color="auto" w:fill="auto"/>
            <w:vAlign w:val="bottom"/>
          </w:tcPr>
          <w:p w14:paraId="170DB718" w14:textId="5E5FCBE8" w:rsidR="00A66703" w:rsidRPr="001D41EA" w:rsidRDefault="00A66703" w:rsidP="001D41EA">
            <w:pPr>
              <w:spacing w:before="40" w:after="40"/>
              <w:jc w:val="right"/>
              <w:rPr>
                <w:rFonts w:cs="Arial"/>
                <w:sz w:val="18"/>
                <w:szCs w:val="18"/>
              </w:rPr>
            </w:pPr>
            <w:r w:rsidRPr="001D41EA">
              <w:rPr>
                <w:rFonts w:cs="Arial"/>
                <w:sz w:val="18"/>
                <w:szCs w:val="18"/>
              </w:rPr>
              <w:t>10,736,789</w:t>
            </w:r>
          </w:p>
        </w:tc>
        <w:tc>
          <w:tcPr>
            <w:tcW w:w="1134" w:type="dxa"/>
            <w:tcBorders>
              <w:top w:val="nil"/>
              <w:left w:val="nil"/>
              <w:bottom w:val="nil"/>
              <w:right w:val="nil"/>
            </w:tcBorders>
            <w:shd w:val="clear" w:color="auto" w:fill="auto"/>
            <w:vAlign w:val="bottom"/>
          </w:tcPr>
          <w:p w14:paraId="0435D6C9" w14:textId="1C1E5900" w:rsidR="00A66703" w:rsidRPr="001D41EA" w:rsidRDefault="00A66703" w:rsidP="001D41EA">
            <w:pPr>
              <w:spacing w:before="40" w:after="40"/>
              <w:jc w:val="right"/>
              <w:rPr>
                <w:rFonts w:cs="Arial"/>
                <w:sz w:val="18"/>
                <w:szCs w:val="18"/>
              </w:rPr>
            </w:pPr>
            <w:r w:rsidRPr="001D41EA">
              <w:rPr>
                <w:rFonts w:cs="Arial"/>
                <w:sz w:val="18"/>
                <w:szCs w:val="18"/>
              </w:rPr>
              <w:t>10,619,759</w:t>
            </w:r>
          </w:p>
        </w:tc>
        <w:tc>
          <w:tcPr>
            <w:tcW w:w="1134" w:type="dxa"/>
            <w:tcBorders>
              <w:top w:val="nil"/>
              <w:left w:val="nil"/>
              <w:bottom w:val="nil"/>
              <w:right w:val="nil"/>
            </w:tcBorders>
            <w:shd w:val="clear" w:color="auto" w:fill="auto"/>
            <w:vAlign w:val="bottom"/>
          </w:tcPr>
          <w:p w14:paraId="207D7FF0" w14:textId="5349270C" w:rsidR="00A66703" w:rsidRPr="001D41EA" w:rsidRDefault="00A66703" w:rsidP="001D41EA">
            <w:pPr>
              <w:spacing w:before="40" w:after="40"/>
              <w:jc w:val="right"/>
              <w:rPr>
                <w:rFonts w:cs="Arial"/>
                <w:sz w:val="18"/>
                <w:szCs w:val="18"/>
              </w:rPr>
            </w:pPr>
            <w:r w:rsidRPr="001D41EA">
              <w:rPr>
                <w:rFonts w:cs="Arial"/>
                <w:sz w:val="18"/>
                <w:szCs w:val="18"/>
              </w:rPr>
              <w:t>-117,030</w:t>
            </w:r>
          </w:p>
        </w:tc>
        <w:tc>
          <w:tcPr>
            <w:tcW w:w="170" w:type="dxa"/>
            <w:tcBorders>
              <w:top w:val="nil"/>
              <w:left w:val="nil"/>
              <w:bottom w:val="nil"/>
              <w:right w:val="nil"/>
            </w:tcBorders>
            <w:shd w:val="clear" w:color="auto" w:fill="auto"/>
            <w:vAlign w:val="bottom"/>
          </w:tcPr>
          <w:p w14:paraId="09A1E665"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231059C1" w14:textId="386BCD3A" w:rsidR="00A66703" w:rsidRPr="001D41EA" w:rsidRDefault="00A66703" w:rsidP="001D41EA">
            <w:pPr>
              <w:spacing w:before="40" w:after="40"/>
              <w:jc w:val="right"/>
              <w:rPr>
                <w:rFonts w:cs="Arial"/>
                <w:sz w:val="18"/>
                <w:szCs w:val="18"/>
              </w:rPr>
            </w:pPr>
            <w:r w:rsidRPr="001D41EA">
              <w:rPr>
                <w:rFonts w:cs="Arial"/>
                <w:sz w:val="18"/>
                <w:szCs w:val="18"/>
              </w:rPr>
              <w:t>2,347,024</w:t>
            </w:r>
          </w:p>
        </w:tc>
        <w:tc>
          <w:tcPr>
            <w:tcW w:w="1135" w:type="dxa"/>
            <w:tcBorders>
              <w:top w:val="nil"/>
              <w:left w:val="nil"/>
              <w:bottom w:val="nil"/>
              <w:right w:val="nil"/>
            </w:tcBorders>
            <w:shd w:val="clear" w:color="auto" w:fill="auto"/>
            <w:vAlign w:val="bottom"/>
          </w:tcPr>
          <w:p w14:paraId="45500945" w14:textId="1AAD0A0E" w:rsidR="00A66703" w:rsidRPr="001D41EA" w:rsidRDefault="00A66703" w:rsidP="001D41EA">
            <w:pPr>
              <w:spacing w:before="40" w:after="40"/>
              <w:jc w:val="right"/>
              <w:rPr>
                <w:rFonts w:cs="Arial"/>
                <w:sz w:val="18"/>
                <w:szCs w:val="18"/>
              </w:rPr>
            </w:pPr>
            <w:r w:rsidRPr="001D41EA">
              <w:rPr>
                <w:rFonts w:cs="Arial"/>
                <w:sz w:val="18"/>
                <w:szCs w:val="18"/>
              </w:rPr>
              <w:t>2,328,523</w:t>
            </w:r>
          </w:p>
        </w:tc>
        <w:tc>
          <w:tcPr>
            <w:tcW w:w="1134" w:type="dxa"/>
            <w:tcBorders>
              <w:top w:val="nil"/>
              <w:left w:val="nil"/>
              <w:bottom w:val="nil"/>
              <w:right w:val="nil"/>
            </w:tcBorders>
            <w:shd w:val="clear" w:color="auto" w:fill="auto"/>
            <w:vAlign w:val="bottom"/>
          </w:tcPr>
          <w:p w14:paraId="2A8072D6" w14:textId="7B6788B5" w:rsidR="00A66703" w:rsidRPr="001D41EA" w:rsidRDefault="00A66703" w:rsidP="001D41EA">
            <w:pPr>
              <w:spacing w:before="40" w:after="40"/>
              <w:jc w:val="right"/>
              <w:rPr>
                <w:rFonts w:cs="Arial"/>
                <w:sz w:val="18"/>
                <w:szCs w:val="18"/>
              </w:rPr>
            </w:pPr>
            <w:r w:rsidRPr="001D41EA">
              <w:rPr>
                <w:rFonts w:cs="Arial"/>
                <w:sz w:val="18"/>
                <w:szCs w:val="18"/>
              </w:rPr>
              <w:t>-18,501</w:t>
            </w:r>
          </w:p>
        </w:tc>
      </w:tr>
      <w:tr w:rsidR="00A66703" w:rsidRPr="001D41EA" w14:paraId="029508C1"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628E7283" w14:textId="77777777" w:rsidR="00A66703" w:rsidRPr="001D41EA" w:rsidRDefault="00A66703" w:rsidP="001D41EA">
            <w:pPr>
              <w:spacing w:before="40" w:after="40"/>
              <w:rPr>
                <w:rFonts w:cs="Arial"/>
                <w:sz w:val="18"/>
                <w:szCs w:val="18"/>
              </w:rPr>
            </w:pPr>
            <w:r w:rsidRPr="001D41EA">
              <w:rPr>
                <w:rFonts w:cs="Arial"/>
                <w:sz w:val="18"/>
                <w:szCs w:val="18"/>
              </w:rPr>
              <w:t xml:space="preserve">Banyule C </w:t>
            </w:r>
          </w:p>
        </w:tc>
        <w:tc>
          <w:tcPr>
            <w:tcW w:w="1134" w:type="dxa"/>
            <w:tcBorders>
              <w:top w:val="nil"/>
              <w:left w:val="single" w:sz="18" w:space="0" w:color="5F497A" w:themeColor="accent4" w:themeShade="BF"/>
              <w:bottom w:val="nil"/>
              <w:right w:val="nil"/>
            </w:tcBorders>
            <w:shd w:val="clear" w:color="auto" w:fill="auto"/>
            <w:vAlign w:val="bottom"/>
          </w:tcPr>
          <w:p w14:paraId="0DCBF0D2" w14:textId="4DF48ED9" w:rsidR="00A66703" w:rsidRPr="001D41EA" w:rsidRDefault="00A66703" w:rsidP="001D41EA">
            <w:pPr>
              <w:spacing w:before="40" w:after="40"/>
              <w:jc w:val="right"/>
              <w:rPr>
                <w:rFonts w:cs="Arial"/>
                <w:sz w:val="18"/>
                <w:szCs w:val="18"/>
              </w:rPr>
            </w:pPr>
            <w:r w:rsidRPr="001D41EA">
              <w:rPr>
                <w:rFonts w:cs="Arial"/>
                <w:sz w:val="18"/>
                <w:szCs w:val="18"/>
              </w:rPr>
              <w:t>2,791,253</w:t>
            </w:r>
          </w:p>
        </w:tc>
        <w:tc>
          <w:tcPr>
            <w:tcW w:w="1134" w:type="dxa"/>
            <w:tcBorders>
              <w:top w:val="nil"/>
              <w:left w:val="nil"/>
              <w:bottom w:val="nil"/>
              <w:right w:val="nil"/>
            </w:tcBorders>
            <w:shd w:val="clear" w:color="auto" w:fill="auto"/>
            <w:vAlign w:val="bottom"/>
          </w:tcPr>
          <w:p w14:paraId="63E26AF9" w14:textId="3A1907DA" w:rsidR="00A66703" w:rsidRPr="001D41EA" w:rsidRDefault="00A66703" w:rsidP="001D41EA">
            <w:pPr>
              <w:spacing w:before="40" w:after="40"/>
              <w:jc w:val="right"/>
              <w:rPr>
                <w:rFonts w:cs="Arial"/>
                <w:sz w:val="18"/>
                <w:szCs w:val="18"/>
              </w:rPr>
            </w:pPr>
            <w:r w:rsidRPr="001D41EA">
              <w:rPr>
                <w:rFonts w:cs="Arial"/>
                <w:sz w:val="18"/>
                <w:szCs w:val="18"/>
              </w:rPr>
              <w:t>2,760,829</w:t>
            </w:r>
          </w:p>
        </w:tc>
        <w:tc>
          <w:tcPr>
            <w:tcW w:w="1134" w:type="dxa"/>
            <w:tcBorders>
              <w:top w:val="nil"/>
              <w:left w:val="nil"/>
              <w:bottom w:val="nil"/>
              <w:right w:val="nil"/>
            </w:tcBorders>
            <w:shd w:val="clear" w:color="auto" w:fill="auto"/>
            <w:vAlign w:val="bottom"/>
          </w:tcPr>
          <w:p w14:paraId="002EC5A0" w14:textId="6D4F1B0C" w:rsidR="00A66703" w:rsidRPr="001D41EA" w:rsidRDefault="00A66703" w:rsidP="001D41EA">
            <w:pPr>
              <w:spacing w:before="40" w:after="40"/>
              <w:jc w:val="right"/>
              <w:rPr>
                <w:rFonts w:cs="Arial"/>
                <w:sz w:val="18"/>
                <w:szCs w:val="18"/>
              </w:rPr>
            </w:pPr>
            <w:r w:rsidRPr="001D41EA">
              <w:rPr>
                <w:rFonts w:cs="Arial"/>
                <w:sz w:val="18"/>
                <w:szCs w:val="18"/>
              </w:rPr>
              <w:t>-30,424</w:t>
            </w:r>
          </w:p>
        </w:tc>
        <w:tc>
          <w:tcPr>
            <w:tcW w:w="170" w:type="dxa"/>
            <w:tcBorders>
              <w:top w:val="nil"/>
              <w:left w:val="nil"/>
              <w:bottom w:val="nil"/>
              <w:right w:val="nil"/>
            </w:tcBorders>
            <w:shd w:val="clear" w:color="auto" w:fill="auto"/>
            <w:vAlign w:val="bottom"/>
          </w:tcPr>
          <w:p w14:paraId="1D604592"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159BF98" w14:textId="0ECD87EF" w:rsidR="00A66703" w:rsidRPr="001D41EA" w:rsidRDefault="00A66703" w:rsidP="001D41EA">
            <w:pPr>
              <w:spacing w:before="40" w:after="40"/>
              <w:jc w:val="right"/>
              <w:rPr>
                <w:rFonts w:cs="Arial"/>
                <w:sz w:val="18"/>
                <w:szCs w:val="18"/>
              </w:rPr>
            </w:pPr>
            <w:r w:rsidRPr="001D41EA">
              <w:rPr>
                <w:rFonts w:cs="Arial"/>
                <w:sz w:val="18"/>
                <w:szCs w:val="18"/>
              </w:rPr>
              <w:t>946,032</w:t>
            </w:r>
          </w:p>
        </w:tc>
        <w:tc>
          <w:tcPr>
            <w:tcW w:w="1135" w:type="dxa"/>
            <w:tcBorders>
              <w:top w:val="nil"/>
              <w:left w:val="nil"/>
              <w:bottom w:val="nil"/>
              <w:right w:val="nil"/>
            </w:tcBorders>
            <w:shd w:val="clear" w:color="auto" w:fill="auto"/>
            <w:vAlign w:val="bottom"/>
          </w:tcPr>
          <w:p w14:paraId="3B17EC02" w14:textId="7DE496F0" w:rsidR="00A66703" w:rsidRPr="001D41EA" w:rsidRDefault="00A66703" w:rsidP="001D41EA">
            <w:pPr>
              <w:spacing w:before="40" w:after="40"/>
              <w:jc w:val="right"/>
              <w:rPr>
                <w:rFonts w:cs="Arial"/>
                <w:sz w:val="18"/>
                <w:szCs w:val="18"/>
              </w:rPr>
            </w:pPr>
            <w:r w:rsidRPr="001D41EA">
              <w:rPr>
                <w:rFonts w:cs="Arial"/>
                <w:sz w:val="18"/>
                <w:szCs w:val="18"/>
              </w:rPr>
              <w:t>938,574</w:t>
            </w:r>
          </w:p>
        </w:tc>
        <w:tc>
          <w:tcPr>
            <w:tcW w:w="1134" w:type="dxa"/>
            <w:tcBorders>
              <w:top w:val="nil"/>
              <w:left w:val="nil"/>
              <w:bottom w:val="nil"/>
              <w:right w:val="nil"/>
            </w:tcBorders>
            <w:shd w:val="clear" w:color="auto" w:fill="auto"/>
            <w:vAlign w:val="bottom"/>
          </w:tcPr>
          <w:p w14:paraId="1FC5CEA3" w14:textId="457F8174" w:rsidR="00A66703" w:rsidRPr="001D41EA" w:rsidRDefault="00A66703" w:rsidP="001D41EA">
            <w:pPr>
              <w:spacing w:before="40" w:after="40"/>
              <w:jc w:val="right"/>
              <w:rPr>
                <w:rFonts w:cs="Arial"/>
                <w:sz w:val="18"/>
                <w:szCs w:val="18"/>
              </w:rPr>
            </w:pPr>
            <w:r w:rsidRPr="001D41EA">
              <w:rPr>
                <w:rFonts w:cs="Arial"/>
                <w:sz w:val="18"/>
                <w:szCs w:val="18"/>
              </w:rPr>
              <w:t>-7,458</w:t>
            </w:r>
          </w:p>
        </w:tc>
      </w:tr>
      <w:tr w:rsidR="00A66703" w:rsidRPr="001D41EA" w14:paraId="4D208655"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2A7D76CF" w14:textId="77777777" w:rsidR="00A66703" w:rsidRPr="001D41EA" w:rsidRDefault="00A66703" w:rsidP="001D41EA">
            <w:pPr>
              <w:spacing w:before="40" w:after="40"/>
              <w:rPr>
                <w:rFonts w:cs="Arial"/>
                <w:sz w:val="18"/>
                <w:szCs w:val="18"/>
              </w:rPr>
            </w:pPr>
            <w:r w:rsidRPr="001D41EA">
              <w:rPr>
                <w:rFonts w:cs="Arial"/>
                <w:sz w:val="18"/>
                <w:szCs w:val="18"/>
              </w:rPr>
              <w:t xml:space="preserve">Bass Coast S </w:t>
            </w:r>
          </w:p>
        </w:tc>
        <w:tc>
          <w:tcPr>
            <w:tcW w:w="1134" w:type="dxa"/>
            <w:tcBorders>
              <w:top w:val="nil"/>
              <w:left w:val="single" w:sz="18" w:space="0" w:color="5F497A" w:themeColor="accent4" w:themeShade="BF"/>
              <w:bottom w:val="nil"/>
              <w:right w:val="nil"/>
            </w:tcBorders>
            <w:shd w:val="clear" w:color="auto" w:fill="auto"/>
            <w:vAlign w:val="bottom"/>
          </w:tcPr>
          <w:p w14:paraId="2A439A80" w14:textId="47961A2E" w:rsidR="00A66703" w:rsidRPr="001D41EA" w:rsidRDefault="00A66703" w:rsidP="001D41EA">
            <w:pPr>
              <w:spacing w:before="40" w:after="40"/>
              <w:jc w:val="right"/>
              <w:rPr>
                <w:rFonts w:cs="Arial"/>
                <w:sz w:val="18"/>
                <w:szCs w:val="18"/>
              </w:rPr>
            </w:pPr>
            <w:r w:rsidRPr="001D41EA">
              <w:rPr>
                <w:rFonts w:cs="Arial"/>
                <w:sz w:val="18"/>
                <w:szCs w:val="18"/>
              </w:rPr>
              <w:t>4,645,592</w:t>
            </w:r>
          </w:p>
        </w:tc>
        <w:tc>
          <w:tcPr>
            <w:tcW w:w="1134" w:type="dxa"/>
            <w:tcBorders>
              <w:top w:val="nil"/>
              <w:left w:val="nil"/>
              <w:bottom w:val="nil"/>
              <w:right w:val="nil"/>
            </w:tcBorders>
            <w:shd w:val="clear" w:color="auto" w:fill="auto"/>
            <w:vAlign w:val="bottom"/>
          </w:tcPr>
          <w:p w14:paraId="7E8AECEC" w14:textId="647724C9" w:rsidR="00A66703" w:rsidRPr="001D41EA" w:rsidRDefault="00A66703" w:rsidP="001D41EA">
            <w:pPr>
              <w:spacing w:before="40" w:after="40"/>
              <w:jc w:val="right"/>
              <w:rPr>
                <w:rFonts w:cs="Arial"/>
                <w:sz w:val="18"/>
                <w:szCs w:val="18"/>
              </w:rPr>
            </w:pPr>
            <w:r w:rsidRPr="001D41EA">
              <w:rPr>
                <w:rFonts w:cs="Arial"/>
                <w:sz w:val="18"/>
                <w:szCs w:val="18"/>
              </w:rPr>
              <w:t>4,594,955</w:t>
            </w:r>
          </w:p>
        </w:tc>
        <w:tc>
          <w:tcPr>
            <w:tcW w:w="1134" w:type="dxa"/>
            <w:tcBorders>
              <w:top w:val="nil"/>
              <w:left w:val="nil"/>
              <w:bottom w:val="nil"/>
              <w:right w:val="nil"/>
            </w:tcBorders>
            <w:shd w:val="clear" w:color="auto" w:fill="auto"/>
            <w:vAlign w:val="bottom"/>
          </w:tcPr>
          <w:p w14:paraId="32B0246E" w14:textId="49CB1733" w:rsidR="00A66703" w:rsidRPr="001D41EA" w:rsidRDefault="00A66703" w:rsidP="001D41EA">
            <w:pPr>
              <w:spacing w:before="40" w:after="40"/>
              <w:jc w:val="right"/>
              <w:rPr>
                <w:rFonts w:cs="Arial"/>
                <w:sz w:val="18"/>
                <w:szCs w:val="18"/>
              </w:rPr>
            </w:pPr>
            <w:r w:rsidRPr="001D41EA">
              <w:rPr>
                <w:rFonts w:cs="Arial"/>
                <w:sz w:val="18"/>
                <w:szCs w:val="18"/>
              </w:rPr>
              <w:t>-50,637</w:t>
            </w:r>
          </w:p>
        </w:tc>
        <w:tc>
          <w:tcPr>
            <w:tcW w:w="170" w:type="dxa"/>
            <w:tcBorders>
              <w:top w:val="nil"/>
              <w:left w:val="nil"/>
              <w:bottom w:val="nil"/>
              <w:right w:val="nil"/>
            </w:tcBorders>
            <w:shd w:val="clear" w:color="auto" w:fill="auto"/>
            <w:vAlign w:val="bottom"/>
          </w:tcPr>
          <w:p w14:paraId="2A724BD5"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DD3E2DF" w14:textId="0F45D3C0" w:rsidR="00A66703" w:rsidRPr="001D41EA" w:rsidRDefault="00A66703" w:rsidP="001D41EA">
            <w:pPr>
              <w:spacing w:before="40" w:after="40"/>
              <w:jc w:val="right"/>
              <w:rPr>
                <w:rFonts w:cs="Arial"/>
                <w:sz w:val="18"/>
                <w:szCs w:val="18"/>
              </w:rPr>
            </w:pPr>
            <w:r w:rsidRPr="001D41EA">
              <w:rPr>
                <w:rFonts w:cs="Arial"/>
                <w:sz w:val="18"/>
                <w:szCs w:val="18"/>
              </w:rPr>
              <w:t>1,414,225</w:t>
            </w:r>
          </w:p>
        </w:tc>
        <w:tc>
          <w:tcPr>
            <w:tcW w:w="1135" w:type="dxa"/>
            <w:tcBorders>
              <w:top w:val="nil"/>
              <w:left w:val="nil"/>
              <w:bottom w:val="nil"/>
              <w:right w:val="nil"/>
            </w:tcBorders>
            <w:shd w:val="clear" w:color="auto" w:fill="auto"/>
            <w:vAlign w:val="bottom"/>
          </w:tcPr>
          <w:p w14:paraId="44B38391" w14:textId="04D92686" w:rsidR="00A66703" w:rsidRPr="001D41EA" w:rsidRDefault="00A66703" w:rsidP="001D41EA">
            <w:pPr>
              <w:spacing w:before="40" w:after="40"/>
              <w:jc w:val="right"/>
              <w:rPr>
                <w:rFonts w:cs="Arial"/>
                <w:sz w:val="18"/>
                <w:szCs w:val="18"/>
              </w:rPr>
            </w:pPr>
            <w:r w:rsidRPr="001D41EA">
              <w:rPr>
                <w:rFonts w:cs="Arial"/>
                <w:sz w:val="18"/>
                <w:szCs w:val="18"/>
              </w:rPr>
              <w:t>1,403,077</w:t>
            </w:r>
          </w:p>
        </w:tc>
        <w:tc>
          <w:tcPr>
            <w:tcW w:w="1134" w:type="dxa"/>
            <w:tcBorders>
              <w:top w:val="nil"/>
              <w:left w:val="nil"/>
              <w:bottom w:val="nil"/>
              <w:right w:val="nil"/>
            </w:tcBorders>
            <w:shd w:val="clear" w:color="auto" w:fill="auto"/>
            <w:vAlign w:val="bottom"/>
          </w:tcPr>
          <w:p w14:paraId="35CB2393" w14:textId="19A797E2" w:rsidR="00A66703" w:rsidRPr="001D41EA" w:rsidRDefault="00A66703" w:rsidP="001D41EA">
            <w:pPr>
              <w:spacing w:before="40" w:after="40"/>
              <w:jc w:val="right"/>
              <w:rPr>
                <w:rFonts w:cs="Arial"/>
                <w:sz w:val="18"/>
                <w:szCs w:val="18"/>
              </w:rPr>
            </w:pPr>
            <w:r w:rsidRPr="001D41EA">
              <w:rPr>
                <w:rFonts w:cs="Arial"/>
                <w:sz w:val="18"/>
                <w:szCs w:val="18"/>
              </w:rPr>
              <w:t>-11,148</w:t>
            </w:r>
          </w:p>
        </w:tc>
      </w:tr>
      <w:tr w:rsidR="00A66703" w:rsidRPr="001D41EA" w14:paraId="37D965D7"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73CE531A" w14:textId="77777777" w:rsidR="00A66703" w:rsidRPr="001D41EA" w:rsidRDefault="00A66703" w:rsidP="001D41EA">
            <w:pPr>
              <w:spacing w:before="40" w:after="40"/>
              <w:rPr>
                <w:rFonts w:cs="Arial"/>
                <w:sz w:val="18"/>
                <w:szCs w:val="18"/>
              </w:rPr>
            </w:pPr>
            <w:r w:rsidRPr="001D41EA">
              <w:rPr>
                <w:rFonts w:cs="Arial"/>
                <w:sz w:val="18"/>
                <w:szCs w:val="18"/>
              </w:rPr>
              <w:t xml:space="preserve">Baw Baw S </w:t>
            </w:r>
          </w:p>
        </w:tc>
        <w:tc>
          <w:tcPr>
            <w:tcW w:w="1134" w:type="dxa"/>
            <w:tcBorders>
              <w:top w:val="nil"/>
              <w:left w:val="single" w:sz="18" w:space="0" w:color="5F497A" w:themeColor="accent4" w:themeShade="BF"/>
              <w:bottom w:val="nil"/>
              <w:right w:val="nil"/>
            </w:tcBorders>
            <w:shd w:val="clear" w:color="auto" w:fill="auto"/>
            <w:vAlign w:val="bottom"/>
          </w:tcPr>
          <w:p w14:paraId="4D56FFAF" w14:textId="4D7A6B3A" w:rsidR="00A66703" w:rsidRPr="001D41EA" w:rsidRDefault="00A66703" w:rsidP="001D41EA">
            <w:pPr>
              <w:spacing w:before="40" w:after="40"/>
              <w:jc w:val="right"/>
              <w:rPr>
                <w:rFonts w:cs="Arial"/>
                <w:sz w:val="18"/>
                <w:szCs w:val="18"/>
              </w:rPr>
            </w:pPr>
            <w:r w:rsidRPr="001D41EA">
              <w:rPr>
                <w:rFonts w:cs="Arial"/>
                <w:sz w:val="18"/>
                <w:szCs w:val="18"/>
              </w:rPr>
              <w:t>6,356,518</w:t>
            </w:r>
          </w:p>
        </w:tc>
        <w:tc>
          <w:tcPr>
            <w:tcW w:w="1134" w:type="dxa"/>
            <w:tcBorders>
              <w:top w:val="nil"/>
              <w:left w:val="nil"/>
              <w:bottom w:val="nil"/>
              <w:right w:val="nil"/>
            </w:tcBorders>
            <w:shd w:val="clear" w:color="auto" w:fill="auto"/>
            <w:vAlign w:val="bottom"/>
          </w:tcPr>
          <w:p w14:paraId="1D9BC481" w14:textId="6C707DC3" w:rsidR="00A66703" w:rsidRPr="001D41EA" w:rsidRDefault="00A66703" w:rsidP="001D41EA">
            <w:pPr>
              <w:spacing w:before="40" w:after="40"/>
              <w:jc w:val="right"/>
              <w:rPr>
                <w:rFonts w:cs="Arial"/>
                <w:sz w:val="18"/>
                <w:szCs w:val="18"/>
              </w:rPr>
            </w:pPr>
            <w:r w:rsidRPr="001D41EA">
              <w:rPr>
                <w:rFonts w:cs="Arial"/>
                <w:sz w:val="18"/>
                <w:szCs w:val="18"/>
              </w:rPr>
              <w:t>6,287,232</w:t>
            </w:r>
          </w:p>
        </w:tc>
        <w:tc>
          <w:tcPr>
            <w:tcW w:w="1134" w:type="dxa"/>
            <w:tcBorders>
              <w:top w:val="nil"/>
              <w:left w:val="nil"/>
              <w:bottom w:val="nil"/>
              <w:right w:val="nil"/>
            </w:tcBorders>
            <w:shd w:val="clear" w:color="auto" w:fill="auto"/>
            <w:vAlign w:val="bottom"/>
          </w:tcPr>
          <w:p w14:paraId="7BCE39DD" w14:textId="32959F0C" w:rsidR="00A66703" w:rsidRPr="001D41EA" w:rsidRDefault="00A66703" w:rsidP="001D41EA">
            <w:pPr>
              <w:spacing w:before="40" w:after="40"/>
              <w:jc w:val="right"/>
              <w:rPr>
                <w:rFonts w:cs="Arial"/>
                <w:sz w:val="18"/>
                <w:szCs w:val="18"/>
              </w:rPr>
            </w:pPr>
            <w:r w:rsidRPr="001D41EA">
              <w:rPr>
                <w:rFonts w:cs="Arial"/>
                <w:sz w:val="18"/>
                <w:szCs w:val="18"/>
              </w:rPr>
              <w:t>-69,286</w:t>
            </w:r>
          </w:p>
        </w:tc>
        <w:tc>
          <w:tcPr>
            <w:tcW w:w="170" w:type="dxa"/>
            <w:tcBorders>
              <w:top w:val="nil"/>
              <w:left w:val="nil"/>
              <w:bottom w:val="nil"/>
              <w:right w:val="nil"/>
            </w:tcBorders>
            <w:shd w:val="clear" w:color="auto" w:fill="auto"/>
            <w:vAlign w:val="bottom"/>
          </w:tcPr>
          <w:p w14:paraId="318ECB8C"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E2381DD" w14:textId="310356EB" w:rsidR="00A66703" w:rsidRPr="001D41EA" w:rsidRDefault="00A66703" w:rsidP="001D41EA">
            <w:pPr>
              <w:spacing w:before="40" w:after="40"/>
              <w:jc w:val="right"/>
              <w:rPr>
                <w:rFonts w:cs="Arial"/>
                <w:sz w:val="18"/>
                <w:szCs w:val="18"/>
              </w:rPr>
            </w:pPr>
            <w:r w:rsidRPr="001D41EA">
              <w:rPr>
                <w:rFonts w:cs="Arial"/>
                <w:sz w:val="18"/>
                <w:szCs w:val="18"/>
              </w:rPr>
              <w:t>2,748,371</w:t>
            </w:r>
          </w:p>
        </w:tc>
        <w:tc>
          <w:tcPr>
            <w:tcW w:w="1135" w:type="dxa"/>
            <w:tcBorders>
              <w:top w:val="nil"/>
              <w:left w:val="nil"/>
              <w:bottom w:val="nil"/>
              <w:right w:val="nil"/>
            </w:tcBorders>
            <w:shd w:val="clear" w:color="auto" w:fill="auto"/>
            <w:vAlign w:val="bottom"/>
          </w:tcPr>
          <w:p w14:paraId="4339EA7B" w14:textId="682A3AC1" w:rsidR="00A66703" w:rsidRPr="001D41EA" w:rsidRDefault="00A66703" w:rsidP="001D41EA">
            <w:pPr>
              <w:spacing w:before="40" w:after="40"/>
              <w:jc w:val="right"/>
              <w:rPr>
                <w:rFonts w:cs="Arial"/>
                <w:sz w:val="18"/>
                <w:szCs w:val="18"/>
              </w:rPr>
            </w:pPr>
            <w:r w:rsidRPr="001D41EA">
              <w:rPr>
                <w:rFonts w:cs="Arial"/>
                <w:sz w:val="18"/>
                <w:szCs w:val="18"/>
              </w:rPr>
              <w:t>2,726,706</w:t>
            </w:r>
          </w:p>
        </w:tc>
        <w:tc>
          <w:tcPr>
            <w:tcW w:w="1134" w:type="dxa"/>
            <w:tcBorders>
              <w:top w:val="nil"/>
              <w:left w:val="nil"/>
              <w:bottom w:val="nil"/>
              <w:right w:val="nil"/>
            </w:tcBorders>
            <w:shd w:val="clear" w:color="auto" w:fill="auto"/>
            <w:vAlign w:val="bottom"/>
          </w:tcPr>
          <w:p w14:paraId="1FE53971" w14:textId="371CDF99" w:rsidR="00A66703" w:rsidRPr="001D41EA" w:rsidRDefault="00A66703" w:rsidP="001D41EA">
            <w:pPr>
              <w:spacing w:before="40" w:after="40"/>
              <w:jc w:val="right"/>
              <w:rPr>
                <w:rFonts w:cs="Arial"/>
                <w:sz w:val="18"/>
                <w:szCs w:val="18"/>
              </w:rPr>
            </w:pPr>
            <w:r w:rsidRPr="001D41EA">
              <w:rPr>
                <w:rFonts w:cs="Arial"/>
                <w:sz w:val="18"/>
                <w:szCs w:val="18"/>
              </w:rPr>
              <w:t>-21,665</w:t>
            </w:r>
          </w:p>
        </w:tc>
      </w:tr>
      <w:tr w:rsidR="00A66703" w:rsidRPr="001D41EA" w14:paraId="28D3827E"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2A24AF04" w14:textId="77777777" w:rsidR="00A66703" w:rsidRPr="001D41EA" w:rsidRDefault="00A66703" w:rsidP="001D41EA">
            <w:pPr>
              <w:spacing w:before="40" w:after="40"/>
              <w:rPr>
                <w:rFonts w:cs="Arial"/>
                <w:sz w:val="18"/>
                <w:szCs w:val="18"/>
              </w:rPr>
            </w:pPr>
            <w:r w:rsidRPr="001D41EA">
              <w:rPr>
                <w:rFonts w:cs="Arial"/>
                <w:sz w:val="18"/>
                <w:szCs w:val="18"/>
              </w:rPr>
              <w:t xml:space="preserve">Bayside C </w:t>
            </w:r>
          </w:p>
        </w:tc>
        <w:tc>
          <w:tcPr>
            <w:tcW w:w="1134" w:type="dxa"/>
            <w:tcBorders>
              <w:top w:val="nil"/>
              <w:left w:val="single" w:sz="18" w:space="0" w:color="5F497A" w:themeColor="accent4" w:themeShade="BF"/>
              <w:bottom w:val="nil"/>
              <w:right w:val="nil"/>
            </w:tcBorders>
            <w:shd w:val="clear" w:color="auto" w:fill="auto"/>
            <w:vAlign w:val="bottom"/>
          </w:tcPr>
          <w:p w14:paraId="5C5AF1FC" w14:textId="69BAB01E" w:rsidR="00A66703" w:rsidRPr="001D41EA" w:rsidRDefault="00A66703" w:rsidP="001D41EA">
            <w:pPr>
              <w:spacing w:before="40" w:after="40"/>
              <w:jc w:val="right"/>
              <w:rPr>
                <w:rFonts w:cs="Arial"/>
                <w:sz w:val="18"/>
                <w:szCs w:val="18"/>
              </w:rPr>
            </w:pPr>
            <w:r w:rsidRPr="001D41EA">
              <w:rPr>
                <w:rFonts w:cs="Arial"/>
                <w:sz w:val="18"/>
                <w:szCs w:val="18"/>
              </w:rPr>
              <w:t>2,166,497</w:t>
            </w:r>
          </w:p>
        </w:tc>
        <w:tc>
          <w:tcPr>
            <w:tcW w:w="1134" w:type="dxa"/>
            <w:tcBorders>
              <w:top w:val="nil"/>
              <w:left w:val="nil"/>
              <w:bottom w:val="nil"/>
              <w:right w:val="nil"/>
            </w:tcBorders>
            <w:shd w:val="clear" w:color="auto" w:fill="auto"/>
            <w:vAlign w:val="bottom"/>
          </w:tcPr>
          <w:p w14:paraId="28023FF8" w14:textId="3A03704D" w:rsidR="00A66703" w:rsidRPr="001D41EA" w:rsidRDefault="00A66703" w:rsidP="001D41EA">
            <w:pPr>
              <w:spacing w:before="40" w:after="40"/>
              <w:jc w:val="right"/>
              <w:rPr>
                <w:rFonts w:cs="Arial"/>
                <w:sz w:val="18"/>
                <w:szCs w:val="18"/>
              </w:rPr>
            </w:pPr>
            <w:r w:rsidRPr="001D41EA">
              <w:rPr>
                <w:rFonts w:cs="Arial"/>
                <w:sz w:val="18"/>
                <w:szCs w:val="18"/>
              </w:rPr>
              <w:t>2,142,882</w:t>
            </w:r>
          </w:p>
        </w:tc>
        <w:tc>
          <w:tcPr>
            <w:tcW w:w="1134" w:type="dxa"/>
            <w:tcBorders>
              <w:top w:val="nil"/>
              <w:left w:val="nil"/>
              <w:bottom w:val="nil"/>
              <w:right w:val="nil"/>
            </w:tcBorders>
            <w:shd w:val="clear" w:color="auto" w:fill="auto"/>
            <w:vAlign w:val="bottom"/>
          </w:tcPr>
          <w:p w14:paraId="795CC463" w14:textId="30F8080D" w:rsidR="00A66703" w:rsidRPr="001D41EA" w:rsidRDefault="00A66703" w:rsidP="001D41EA">
            <w:pPr>
              <w:spacing w:before="40" w:after="40"/>
              <w:jc w:val="right"/>
              <w:rPr>
                <w:rFonts w:cs="Arial"/>
                <w:sz w:val="18"/>
                <w:szCs w:val="18"/>
              </w:rPr>
            </w:pPr>
            <w:r w:rsidRPr="001D41EA">
              <w:rPr>
                <w:rFonts w:cs="Arial"/>
                <w:sz w:val="18"/>
                <w:szCs w:val="18"/>
              </w:rPr>
              <w:t>-23,615</w:t>
            </w:r>
          </w:p>
        </w:tc>
        <w:tc>
          <w:tcPr>
            <w:tcW w:w="170" w:type="dxa"/>
            <w:tcBorders>
              <w:top w:val="nil"/>
              <w:left w:val="nil"/>
              <w:bottom w:val="nil"/>
              <w:right w:val="nil"/>
            </w:tcBorders>
            <w:shd w:val="clear" w:color="auto" w:fill="auto"/>
            <w:vAlign w:val="bottom"/>
          </w:tcPr>
          <w:p w14:paraId="76E70C1D"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8C8A202" w14:textId="3659988A" w:rsidR="00A66703" w:rsidRPr="001D41EA" w:rsidRDefault="00A66703" w:rsidP="001D41EA">
            <w:pPr>
              <w:spacing w:before="40" w:after="40"/>
              <w:jc w:val="right"/>
              <w:rPr>
                <w:rFonts w:cs="Arial"/>
                <w:sz w:val="18"/>
                <w:szCs w:val="18"/>
              </w:rPr>
            </w:pPr>
            <w:r w:rsidRPr="001D41EA">
              <w:rPr>
                <w:rFonts w:cs="Arial"/>
                <w:sz w:val="18"/>
                <w:szCs w:val="18"/>
              </w:rPr>
              <w:t>567,933</w:t>
            </w:r>
          </w:p>
        </w:tc>
        <w:tc>
          <w:tcPr>
            <w:tcW w:w="1135" w:type="dxa"/>
            <w:tcBorders>
              <w:top w:val="nil"/>
              <w:left w:val="nil"/>
              <w:bottom w:val="nil"/>
              <w:right w:val="nil"/>
            </w:tcBorders>
            <w:shd w:val="clear" w:color="auto" w:fill="auto"/>
            <w:vAlign w:val="bottom"/>
          </w:tcPr>
          <w:p w14:paraId="63FBE8BD" w14:textId="263DBA5B" w:rsidR="00A66703" w:rsidRPr="001D41EA" w:rsidRDefault="00A66703" w:rsidP="001D41EA">
            <w:pPr>
              <w:spacing w:before="40" w:after="40"/>
              <w:jc w:val="right"/>
              <w:rPr>
                <w:rFonts w:cs="Arial"/>
                <w:sz w:val="18"/>
                <w:szCs w:val="18"/>
              </w:rPr>
            </w:pPr>
            <w:r w:rsidRPr="001D41EA">
              <w:rPr>
                <w:rFonts w:cs="Arial"/>
                <w:sz w:val="18"/>
                <w:szCs w:val="18"/>
              </w:rPr>
              <w:t>563,456</w:t>
            </w:r>
          </w:p>
        </w:tc>
        <w:tc>
          <w:tcPr>
            <w:tcW w:w="1134" w:type="dxa"/>
            <w:tcBorders>
              <w:top w:val="nil"/>
              <w:left w:val="nil"/>
              <w:bottom w:val="nil"/>
              <w:right w:val="nil"/>
            </w:tcBorders>
            <w:shd w:val="clear" w:color="auto" w:fill="auto"/>
            <w:vAlign w:val="bottom"/>
          </w:tcPr>
          <w:p w14:paraId="521C7579" w14:textId="2922EED4" w:rsidR="00A66703" w:rsidRPr="001D41EA" w:rsidRDefault="00A66703" w:rsidP="001D41EA">
            <w:pPr>
              <w:spacing w:before="40" w:after="40"/>
              <w:jc w:val="right"/>
              <w:rPr>
                <w:rFonts w:cs="Arial"/>
                <w:sz w:val="18"/>
                <w:szCs w:val="18"/>
              </w:rPr>
            </w:pPr>
            <w:r w:rsidRPr="001D41EA">
              <w:rPr>
                <w:rFonts w:cs="Arial"/>
                <w:sz w:val="18"/>
                <w:szCs w:val="18"/>
              </w:rPr>
              <w:t>-4,477</w:t>
            </w:r>
          </w:p>
        </w:tc>
      </w:tr>
      <w:tr w:rsidR="00A66703" w:rsidRPr="001D41EA" w14:paraId="3680186B"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5541E5F4" w14:textId="77777777" w:rsidR="00A66703" w:rsidRPr="001D41EA" w:rsidRDefault="00A66703" w:rsidP="001D41EA">
            <w:pPr>
              <w:spacing w:before="40" w:after="40"/>
              <w:rPr>
                <w:rFonts w:cs="Arial"/>
                <w:sz w:val="18"/>
                <w:szCs w:val="18"/>
              </w:rPr>
            </w:pPr>
            <w:r w:rsidRPr="001D41EA">
              <w:rPr>
                <w:rFonts w:cs="Arial"/>
                <w:sz w:val="18"/>
                <w:szCs w:val="18"/>
              </w:rPr>
              <w:t xml:space="preserve">Benalla RC </w:t>
            </w:r>
          </w:p>
        </w:tc>
        <w:tc>
          <w:tcPr>
            <w:tcW w:w="1134" w:type="dxa"/>
            <w:tcBorders>
              <w:top w:val="nil"/>
              <w:left w:val="single" w:sz="18" w:space="0" w:color="5F497A" w:themeColor="accent4" w:themeShade="BF"/>
              <w:bottom w:val="nil"/>
              <w:right w:val="nil"/>
            </w:tcBorders>
            <w:shd w:val="clear" w:color="auto" w:fill="auto"/>
            <w:vAlign w:val="bottom"/>
          </w:tcPr>
          <w:p w14:paraId="5C1F94BC" w14:textId="3C311694" w:rsidR="00A66703" w:rsidRPr="001D41EA" w:rsidRDefault="00A66703" w:rsidP="001D41EA">
            <w:pPr>
              <w:spacing w:before="40" w:after="40"/>
              <w:jc w:val="right"/>
              <w:rPr>
                <w:rFonts w:cs="Arial"/>
                <w:sz w:val="18"/>
                <w:szCs w:val="18"/>
              </w:rPr>
            </w:pPr>
            <w:r w:rsidRPr="001D41EA">
              <w:rPr>
                <w:rFonts w:cs="Arial"/>
                <w:sz w:val="18"/>
                <w:szCs w:val="18"/>
              </w:rPr>
              <w:t>2,718,800</w:t>
            </w:r>
          </w:p>
        </w:tc>
        <w:tc>
          <w:tcPr>
            <w:tcW w:w="1134" w:type="dxa"/>
            <w:tcBorders>
              <w:top w:val="nil"/>
              <w:left w:val="nil"/>
              <w:bottom w:val="nil"/>
              <w:right w:val="nil"/>
            </w:tcBorders>
            <w:shd w:val="clear" w:color="auto" w:fill="auto"/>
            <w:vAlign w:val="bottom"/>
          </w:tcPr>
          <w:p w14:paraId="4299DAFF" w14:textId="423C0442" w:rsidR="00A66703" w:rsidRPr="001D41EA" w:rsidRDefault="00A66703" w:rsidP="001D41EA">
            <w:pPr>
              <w:spacing w:before="40" w:after="40"/>
              <w:jc w:val="right"/>
              <w:rPr>
                <w:rFonts w:cs="Arial"/>
                <w:sz w:val="18"/>
                <w:szCs w:val="18"/>
              </w:rPr>
            </w:pPr>
            <w:r w:rsidRPr="001D41EA">
              <w:rPr>
                <w:rFonts w:cs="Arial"/>
                <w:sz w:val="18"/>
                <w:szCs w:val="18"/>
              </w:rPr>
              <w:t>2,689,165</w:t>
            </w:r>
          </w:p>
        </w:tc>
        <w:tc>
          <w:tcPr>
            <w:tcW w:w="1134" w:type="dxa"/>
            <w:tcBorders>
              <w:top w:val="nil"/>
              <w:left w:val="nil"/>
              <w:bottom w:val="nil"/>
              <w:right w:val="nil"/>
            </w:tcBorders>
            <w:shd w:val="clear" w:color="auto" w:fill="auto"/>
            <w:vAlign w:val="bottom"/>
          </w:tcPr>
          <w:p w14:paraId="2373354A" w14:textId="137C1F50" w:rsidR="00A66703" w:rsidRPr="001D41EA" w:rsidRDefault="00A66703" w:rsidP="001D41EA">
            <w:pPr>
              <w:spacing w:before="40" w:after="40"/>
              <w:jc w:val="right"/>
              <w:rPr>
                <w:rFonts w:cs="Arial"/>
                <w:sz w:val="18"/>
                <w:szCs w:val="18"/>
              </w:rPr>
            </w:pPr>
            <w:r w:rsidRPr="001D41EA">
              <w:rPr>
                <w:rFonts w:cs="Arial"/>
                <w:sz w:val="18"/>
                <w:szCs w:val="18"/>
              </w:rPr>
              <w:t>-29,635</w:t>
            </w:r>
          </w:p>
        </w:tc>
        <w:tc>
          <w:tcPr>
            <w:tcW w:w="170" w:type="dxa"/>
            <w:tcBorders>
              <w:top w:val="nil"/>
              <w:left w:val="nil"/>
              <w:bottom w:val="nil"/>
              <w:right w:val="nil"/>
            </w:tcBorders>
            <w:shd w:val="clear" w:color="auto" w:fill="auto"/>
            <w:vAlign w:val="bottom"/>
          </w:tcPr>
          <w:p w14:paraId="15D02AC2"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E0503E7" w14:textId="1BC9F08B" w:rsidR="00A66703" w:rsidRPr="001D41EA" w:rsidRDefault="00A66703" w:rsidP="001D41EA">
            <w:pPr>
              <w:spacing w:before="40" w:after="40"/>
              <w:jc w:val="right"/>
              <w:rPr>
                <w:rFonts w:cs="Arial"/>
                <w:sz w:val="18"/>
                <w:szCs w:val="18"/>
              </w:rPr>
            </w:pPr>
            <w:r w:rsidRPr="001D41EA">
              <w:rPr>
                <w:rFonts w:cs="Arial"/>
                <w:sz w:val="18"/>
                <w:szCs w:val="18"/>
              </w:rPr>
              <w:t>1,492,908</w:t>
            </w:r>
          </w:p>
        </w:tc>
        <w:tc>
          <w:tcPr>
            <w:tcW w:w="1135" w:type="dxa"/>
            <w:tcBorders>
              <w:top w:val="nil"/>
              <w:left w:val="nil"/>
              <w:bottom w:val="nil"/>
              <w:right w:val="nil"/>
            </w:tcBorders>
            <w:shd w:val="clear" w:color="auto" w:fill="auto"/>
            <w:vAlign w:val="bottom"/>
          </w:tcPr>
          <w:p w14:paraId="5173B44C" w14:textId="2D1DCBFB" w:rsidR="00A66703" w:rsidRPr="001D41EA" w:rsidRDefault="00A66703" w:rsidP="001D41EA">
            <w:pPr>
              <w:spacing w:before="40" w:after="40"/>
              <w:jc w:val="right"/>
              <w:rPr>
                <w:rFonts w:cs="Arial"/>
                <w:sz w:val="18"/>
                <w:szCs w:val="18"/>
              </w:rPr>
            </w:pPr>
            <w:r w:rsidRPr="001D41EA">
              <w:rPr>
                <w:rFonts w:cs="Arial"/>
                <w:sz w:val="18"/>
                <w:szCs w:val="18"/>
              </w:rPr>
              <w:t>1,481,139</w:t>
            </w:r>
          </w:p>
        </w:tc>
        <w:tc>
          <w:tcPr>
            <w:tcW w:w="1134" w:type="dxa"/>
            <w:tcBorders>
              <w:top w:val="nil"/>
              <w:left w:val="nil"/>
              <w:bottom w:val="nil"/>
              <w:right w:val="nil"/>
            </w:tcBorders>
            <w:shd w:val="clear" w:color="auto" w:fill="auto"/>
            <w:vAlign w:val="bottom"/>
          </w:tcPr>
          <w:p w14:paraId="5ED8995B" w14:textId="6B271A99" w:rsidR="00A66703" w:rsidRPr="001D41EA" w:rsidRDefault="00A66703" w:rsidP="001D41EA">
            <w:pPr>
              <w:spacing w:before="40" w:after="40"/>
              <w:jc w:val="right"/>
              <w:rPr>
                <w:rFonts w:cs="Arial"/>
                <w:sz w:val="18"/>
                <w:szCs w:val="18"/>
              </w:rPr>
            </w:pPr>
            <w:r w:rsidRPr="001D41EA">
              <w:rPr>
                <w:rFonts w:cs="Arial"/>
                <w:sz w:val="18"/>
                <w:szCs w:val="18"/>
              </w:rPr>
              <w:t>-11,769</w:t>
            </w:r>
          </w:p>
        </w:tc>
      </w:tr>
      <w:tr w:rsidR="00A66703" w:rsidRPr="001D41EA" w14:paraId="6500860F"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6B358AF9" w14:textId="77777777" w:rsidR="00A66703" w:rsidRPr="001D41EA" w:rsidRDefault="00A66703" w:rsidP="001D41EA">
            <w:pPr>
              <w:spacing w:before="40" w:after="40"/>
              <w:rPr>
                <w:rFonts w:cs="Arial"/>
                <w:sz w:val="18"/>
                <w:szCs w:val="18"/>
              </w:rPr>
            </w:pPr>
            <w:r w:rsidRPr="001D41EA">
              <w:rPr>
                <w:rFonts w:cs="Arial"/>
                <w:sz w:val="18"/>
                <w:szCs w:val="18"/>
              </w:rPr>
              <w:t xml:space="preserve">Boroondara C </w:t>
            </w:r>
          </w:p>
        </w:tc>
        <w:tc>
          <w:tcPr>
            <w:tcW w:w="1134" w:type="dxa"/>
            <w:tcBorders>
              <w:top w:val="nil"/>
              <w:left w:val="single" w:sz="18" w:space="0" w:color="5F497A" w:themeColor="accent4" w:themeShade="BF"/>
              <w:bottom w:val="nil"/>
              <w:right w:val="nil"/>
            </w:tcBorders>
            <w:shd w:val="clear" w:color="auto" w:fill="auto"/>
            <w:vAlign w:val="bottom"/>
          </w:tcPr>
          <w:p w14:paraId="002164F4" w14:textId="5634452F" w:rsidR="00A66703" w:rsidRPr="001D41EA" w:rsidRDefault="00A66703" w:rsidP="001D41EA">
            <w:pPr>
              <w:spacing w:before="40" w:after="40"/>
              <w:jc w:val="right"/>
              <w:rPr>
                <w:rFonts w:cs="Arial"/>
                <w:sz w:val="18"/>
                <w:szCs w:val="18"/>
              </w:rPr>
            </w:pPr>
            <w:r w:rsidRPr="001D41EA">
              <w:rPr>
                <w:rFonts w:cs="Arial"/>
                <w:sz w:val="18"/>
                <w:szCs w:val="18"/>
              </w:rPr>
              <w:t>3,737,087</w:t>
            </w:r>
          </w:p>
        </w:tc>
        <w:tc>
          <w:tcPr>
            <w:tcW w:w="1134" w:type="dxa"/>
            <w:tcBorders>
              <w:top w:val="nil"/>
              <w:left w:val="nil"/>
              <w:bottom w:val="nil"/>
              <w:right w:val="nil"/>
            </w:tcBorders>
            <w:shd w:val="clear" w:color="auto" w:fill="auto"/>
            <w:vAlign w:val="bottom"/>
          </w:tcPr>
          <w:p w14:paraId="1C2A86BC" w14:textId="2E4F019A" w:rsidR="00A66703" w:rsidRPr="001D41EA" w:rsidRDefault="00A66703" w:rsidP="001D41EA">
            <w:pPr>
              <w:spacing w:before="40" w:after="40"/>
              <w:jc w:val="right"/>
              <w:rPr>
                <w:rFonts w:cs="Arial"/>
                <w:sz w:val="18"/>
                <w:szCs w:val="18"/>
              </w:rPr>
            </w:pPr>
            <w:r w:rsidRPr="001D41EA">
              <w:rPr>
                <w:rFonts w:cs="Arial"/>
                <w:sz w:val="18"/>
                <w:szCs w:val="18"/>
              </w:rPr>
              <w:t>3,696,353</w:t>
            </w:r>
          </w:p>
        </w:tc>
        <w:tc>
          <w:tcPr>
            <w:tcW w:w="1134" w:type="dxa"/>
            <w:tcBorders>
              <w:top w:val="nil"/>
              <w:left w:val="nil"/>
              <w:bottom w:val="nil"/>
              <w:right w:val="nil"/>
            </w:tcBorders>
            <w:shd w:val="clear" w:color="auto" w:fill="auto"/>
            <w:vAlign w:val="bottom"/>
          </w:tcPr>
          <w:p w14:paraId="267FA694" w14:textId="27FD4F82" w:rsidR="00A66703" w:rsidRPr="001D41EA" w:rsidRDefault="00A66703" w:rsidP="001D41EA">
            <w:pPr>
              <w:spacing w:before="40" w:after="40"/>
              <w:jc w:val="right"/>
              <w:rPr>
                <w:rFonts w:cs="Arial"/>
                <w:sz w:val="18"/>
                <w:szCs w:val="18"/>
              </w:rPr>
            </w:pPr>
            <w:r w:rsidRPr="001D41EA">
              <w:rPr>
                <w:rFonts w:cs="Arial"/>
                <w:sz w:val="18"/>
                <w:szCs w:val="18"/>
              </w:rPr>
              <w:t>-40,734</w:t>
            </w:r>
          </w:p>
        </w:tc>
        <w:tc>
          <w:tcPr>
            <w:tcW w:w="170" w:type="dxa"/>
            <w:tcBorders>
              <w:top w:val="nil"/>
              <w:left w:val="nil"/>
              <w:bottom w:val="nil"/>
              <w:right w:val="nil"/>
            </w:tcBorders>
            <w:shd w:val="clear" w:color="auto" w:fill="auto"/>
            <w:vAlign w:val="bottom"/>
          </w:tcPr>
          <w:p w14:paraId="0A263A2F"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792DC50" w14:textId="3BDFEA8B" w:rsidR="00A66703" w:rsidRPr="001D41EA" w:rsidRDefault="00A66703" w:rsidP="001D41EA">
            <w:pPr>
              <w:spacing w:before="40" w:after="40"/>
              <w:jc w:val="right"/>
              <w:rPr>
                <w:rFonts w:cs="Arial"/>
                <w:sz w:val="18"/>
                <w:szCs w:val="18"/>
              </w:rPr>
            </w:pPr>
            <w:r w:rsidRPr="001D41EA">
              <w:rPr>
                <w:rFonts w:cs="Arial"/>
                <w:sz w:val="18"/>
                <w:szCs w:val="18"/>
              </w:rPr>
              <w:t>909,183</w:t>
            </w:r>
          </w:p>
        </w:tc>
        <w:tc>
          <w:tcPr>
            <w:tcW w:w="1135" w:type="dxa"/>
            <w:tcBorders>
              <w:top w:val="nil"/>
              <w:left w:val="nil"/>
              <w:bottom w:val="nil"/>
              <w:right w:val="nil"/>
            </w:tcBorders>
            <w:shd w:val="clear" w:color="auto" w:fill="auto"/>
            <w:vAlign w:val="bottom"/>
          </w:tcPr>
          <w:p w14:paraId="581ACE97" w14:textId="1835B8CE" w:rsidR="00A66703" w:rsidRPr="001D41EA" w:rsidRDefault="00A66703" w:rsidP="001D41EA">
            <w:pPr>
              <w:spacing w:before="40" w:after="40"/>
              <w:jc w:val="right"/>
              <w:rPr>
                <w:rFonts w:cs="Arial"/>
                <w:sz w:val="18"/>
                <w:szCs w:val="18"/>
              </w:rPr>
            </w:pPr>
            <w:r w:rsidRPr="001D41EA">
              <w:rPr>
                <w:rFonts w:cs="Arial"/>
                <w:sz w:val="18"/>
                <w:szCs w:val="18"/>
              </w:rPr>
              <w:t>902,016</w:t>
            </w:r>
          </w:p>
        </w:tc>
        <w:tc>
          <w:tcPr>
            <w:tcW w:w="1134" w:type="dxa"/>
            <w:tcBorders>
              <w:top w:val="nil"/>
              <w:left w:val="nil"/>
              <w:bottom w:val="nil"/>
              <w:right w:val="nil"/>
            </w:tcBorders>
            <w:shd w:val="clear" w:color="auto" w:fill="auto"/>
            <w:vAlign w:val="bottom"/>
          </w:tcPr>
          <w:p w14:paraId="1774557E" w14:textId="5FFF764C" w:rsidR="00A66703" w:rsidRPr="001D41EA" w:rsidRDefault="00A66703" w:rsidP="001D41EA">
            <w:pPr>
              <w:spacing w:before="40" w:after="40"/>
              <w:jc w:val="right"/>
              <w:rPr>
                <w:rFonts w:cs="Arial"/>
                <w:sz w:val="18"/>
                <w:szCs w:val="18"/>
              </w:rPr>
            </w:pPr>
            <w:r w:rsidRPr="001D41EA">
              <w:rPr>
                <w:rFonts w:cs="Arial"/>
                <w:sz w:val="18"/>
                <w:szCs w:val="18"/>
              </w:rPr>
              <w:t>-7,167</w:t>
            </w:r>
          </w:p>
        </w:tc>
      </w:tr>
      <w:tr w:rsidR="00A66703" w:rsidRPr="001D41EA" w14:paraId="5A2F6673"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6023CBA2" w14:textId="77777777" w:rsidR="00A66703" w:rsidRPr="001D41EA" w:rsidRDefault="00A66703" w:rsidP="001D41EA">
            <w:pPr>
              <w:spacing w:before="40" w:after="40"/>
              <w:rPr>
                <w:rFonts w:cs="Arial"/>
                <w:sz w:val="18"/>
                <w:szCs w:val="18"/>
              </w:rPr>
            </w:pPr>
            <w:r w:rsidRPr="001D41EA">
              <w:rPr>
                <w:rFonts w:cs="Arial"/>
                <w:sz w:val="18"/>
                <w:szCs w:val="18"/>
              </w:rPr>
              <w:t xml:space="preserve">Brimbank C </w:t>
            </w:r>
          </w:p>
        </w:tc>
        <w:tc>
          <w:tcPr>
            <w:tcW w:w="1134" w:type="dxa"/>
            <w:tcBorders>
              <w:top w:val="nil"/>
              <w:left w:val="single" w:sz="18" w:space="0" w:color="5F497A" w:themeColor="accent4" w:themeShade="BF"/>
              <w:bottom w:val="nil"/>
              <w:right w:val="nil"/>
            </w:tcBorders>
            <w:shd w:val="clear" w:color="auto" w:fill="auto"/>
            <w:vAlign w:val="bottom"/>
          </w:tcPr>
          <w:p w14:paraId="5847EC0D" w14:textId="666A3C0A" w:rsidR="00A66703" w:rsidRPr="001D41EA" w:rsidRDefault="00A66703" w:rsidP="001D41EA">
            <w:pPr>
              <w:spacing w:before="40" w:after="40"/>
              <w:jc w:val="right"/>
              <w:rPr>
                <w:rFonts w:cs="Arial"/>
                <w:sz w:val="18"/>
                <w:szCs w:val="18"/>
              </w:rPr>
            </w:pPr>
            <w:r w:rsidRPr="001D41EA">
              <w:rPr>
                <w:rFonts w:cs="Arial"/>
                <w:sz w:val="18"/>
                <w:szCs w:val="18"/>
              </w:rPr>
              <w:t>12,642,069</w:t>
            </w:r>
          </w:p>
        </w:tc>
        <w:tc>
          <w:tcPr>
            <w:tcW w:w="1134" w:type="dxa"/>
            <w:tcBorders>
              <w:top w:val="nil"/>
              <w:left w:val="nil"/>
              <w:bottom w:val="nil"/>
              <w:right w:val="nil"/>
            </w:tcBorders>
            <w:shd w:val="clear" w:color="auto" w:fill="auto"/>
            <w:vAlign w:val="bottom"/>
          </w:tcPr>
          <w:p w14:paraId="5A37A5A2" w14:textId="148E4432" w:rsidR="00A66703" w:rsidRPr="001D41EA" w:rsidRDefault="00A66703" w:rsidP="001D41EA">
            <w:pPr>
              <w:spacing w:before="40" w:after="40"/>
              <w:jc w:val="right"/>
              <w:rPr>
                <w:rFonts w:cs="Arial"/>
                <w:sz w:val="18"/>
                <w:szCs w:val="18"/>
              </w:rPr>
            </w:pPr>
            <w:r w:rsidRPr="001D41EA">
              <w:rPr>
                <w:rFonts w:cs="Arial"/>
                <w:sz w:val="18"/>
                <w:szCs w:val="18"/>
              </w:rPr>
              <w:t>12,504,271</w:t>
            </w:r>
          </w:p>
        </w:tc>
        <w:tc>
          <w:tcPr>
            <w:tcW w:w="1134" w:type="dxa"/>
            <w:tcBorders>
              <w:top w:val="nil"/>
              <w:left w:val="nil"/>
              <w:bottom w:val="nil"/>
              <w:right w:val="nil"/>
            </w:tcBorders>
            <w:shd w:val="clear" w:color="auto" w:fill="auto"/>
            <w:vAlign w:val="bottom"/>
          </w:tcPr>
          <w:p w14:paraId="23DA1BCF" w14:textId="30DAEF9B" w:rsidR="00A66703" w:rsidRPr="001D41EA" w:rsidRDefault="00A66703" w:rsidP="001D41EA">
            <w:pPr>
              <w:spacing w:before="40" w:after="40"/>
              <w:jc w:val="right"/>
              <w:rPr>
                <w:rFonts w:cs="Arial"/>
                <w:sz w:val="18"/>
                <w:szCs w:val="18"/>
              </w:rPr>
            </w:pPr>
            <w:r w:rsidRPr="001D41EA">
              <w:rPr>
                <w:rFonts w:cs="Arial"/>
                <w:sz w:val="18"/>
                <w:szCs w:val="18"/>
              </w:rPr>
              <w:t>-137,798</w:t>
            </w:r>
          </w:p>
        </w:tc>
        <w:tc>
          <w:tcPr>
            <w:tcW w:w="170" w:type="dxa"/>
            <w:tcBorders>
              <w:top w:val="nil"/>
              <w:left w:val="nil"/>
              <w:bottom w:val="nil"/>
              <w:right w:val="nil"/>
            </w:tcBorders>
            <w:shd w:val="clear" w:color="auto" w:fill="auto"/>
            <w:vAlign w:val="bottom"/>
          </w:tcPr>
          <w:p w14:paraId="01699385"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A4CF516" w14:textId="5A26E50C" w:rsidR="00A66703" w:rsidRPr="001D41EA" w:rsidRDefault="00A66703" w:rsidP="001D41EA">
            <w:pPr>
              <w:spacing w:before="40" w:after="40"/>
              <w:jc w:val="right"/>
              <w:rPr>
                <w:rFonts w:cs="Arial"/>
                <w:sz w:val="18"/>
                <w:szCs w:val="18"/>
              </w:rPr>
            </w:pPr>
            <w:r w:rsidRPr="001D41EA">
              <w:rPr>
                <w:rFonts w:cs="Arial"/>
                <w:sz w:val="18"/>
                <w:szCs w:val="18"/>
              </w:rPr>
              <w:t>1,734,146</w:t>
            </w:r>
          </w:p>
        </w:tc>
        <w:tc>
          <w:tcPr>
            <w:tcW w:w="1135" w:type="dxa"/>
            <w:tcBorders>
              <w:top w:val="nil"/>
              <w:left w:val="nil"/>
              <w:bottom w:val="nil"/>
              <w:right w:val="nil"/>
            </w:tcBorders>
            <w:shd w:val="clear" w:color="auto" w:fill="auto"/>
            <w:vAlign w:val="bottom"/>
          </w:tcPr>
          <w:p w14:paraId="05632770" w14:textId="212DF21A" w:rsidR="00A66703" w:rsidRPr="001D41EA" w:rsidRDefault="00A66703" w:rsidP="001D41EA">
            <w:pPr>
              <w:spacing w:before="40" w:after="40"/>
              <w:jc w:val="right"/>
              <w:rPr>
                <w:rFonts w:cs="Arial"/>
                <w:sz w:val="18"/>
                <w:szCs w:val="18"/>
              </w:rPr>
            </w:pPr>
            <w:r w:rsidRPr="001D41EA">
              <w:rPr>
                <w:rFonts w:cs="Arial"/>
                <w:sz w:val="18"/>
                <w:szCs w:val="18"/>
              </w:rPr>
              <w:t>1,720,476</w:t>
            </w:r>
          </w:p>
        </w:tc>
        <w:tc>
          <w:tcPr>
            <w:tcW w:w="1134" w:type="dxa"/>
            <w:tcBorders>
              <w:top w:val="nil"/>
              <w:left w:val="nil"/>
              <w:bottom w:val="nil"/>
              <w:right w:val="nil"/>
            </w:tcBorders>
            <w:shd w:val="clear" w:color="auto" w:fill="auto"/>
            <w:vAlign w:val="bottom"/>
          </w:tcPr>
          <w:p w14:paraId="47EC957B" w14:textId="7AAD82C5" w:rsidR="00A66703" w:rsidRPr="001D41EA" w:rsidRDefault="00A66703" w:rsidP="001D41EA">
            <w:pPr>
              <w:spacing w:before="40" w:after="40"/>
              <w:jc w:val="right"/>
              <w:rPr>
                <w:rFonts w:cs="Arial"/>
                <w:sz w:val="18"/>
                <w:szCs w:val="18"/>
              </w:rPr>
            </w:pPr>
            <w:r w:rsidRPr="001D41EA">
              <w:rPr>
                <w:rFonts w:cs="Arial"/>
                <w:sz w:val="18"/>
                <w:szCs w:val="18"/>
              </w:rPr>
              <w:t>-13,670</w:t>
            </w:r>
          </w:p>
        </w:tc>
      </w:tr>
      <w:tr w:rsidR="00A66703" w:rsidRPr="001D41EA" w14:paraId="22FAAB9E"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677A30A7" w14:textId="77777777" w:rsidR="00A66703" w:rsidRPr="001D41EA" w:rsidRDefault="00A66703" w:rsidP="001D41EA">
            <w:pPr>
              <w:spacing w:before="40" w:after="40"/>
              <w:rPr>
                <w:rFonts w:cs="Arial"/>
                <w:sz w:val="18"/>
                <w:szCs w:val="18"/>
              </w:rPr>
            </w:pPr>
            <w:r w:rsidRPr="001D41EA">
              <w:rPr>
                <w:rFonts w:cs="Arial"/>
                <w:sz w:val="18"/>
                <w:szCs w:val="18"/>
              </w:rPr>
              <w:t xml:space="preserve">Buloke S </w:t>
            </w:r>
          </w:p>
        </w:tc>
        <w:tc>
          <w:tcPr>
            <w:tcW w:w="1134" w:type="dxa"/>
            <w:tcBorders>
              <w:top w:val="nil"/>
              <w:left w:val="single" w:sz="18" w:space="0" w:color="5F497A" w:themeColor="accent4" w:themeShade="BF"/>
              <w:bottom w:val="nil"/>
              <w:right w:val="nil"/>
            </w:tcBorders>
            <w:shd w:val="clear" w:color="auto" w:fill="auto"/>
            <w:vAlign w:val="bottom"/>
          </w:tcPr>
          <w:p w14:paraId="55A95F91" w14:textId="6D7EA9AA" w:rsidR="00A66703" w:rsidRPr="001D41EA" w:rsidRDefault="00A66703" w:rsidP="001D41EA">
            <w:pPr>
              <w:spacing w:before="40" w:after="40"/>
              <w:jc w:val="right"/>
              <w:rPr>
                <w:rFonts w:cs="Arial"/>
                <w:sz w:val="18"/>
                <w:szCs w:val="18"/>
              </w:rPr>
            </w:pPr>
            <w:r w:rsidRPr="001D41EA">
              <w:rPr>
                <w:rFonts w:cs="Arial"/>
                <w:sz w:val="18"/>
                <w:szCs w:val="18"/>
              </w:rPr>
              <w:t>3,831,253</w:t>
            </w:r>
          </w:p>
        </w:tc>
        <w:tc>
          <w:tcPr>
            <w:tcW w:w="1134" w:type="dxa"/>
            <w:tcBorders>
              <w:top w:val="nil"/>
              <w:left w:val="nil"/>
              <w:bottom w:val="nil"/>
              <w:right w:val="nil"/>
            </w:tcBorders>
            <w:shd w:val="clear" w:color="auto" w:fill="auto"/>
            <w:vAlign w:val="bottom"/>
          </w:tcPr>
          <w:p w14:paraId="5DC422E7" w14:textId="2F3FC064" w:rsidR="00A66703" w:rsidRPr="001D41EA" w:rsidRDefault="00A66703" w:rsidP="001D41EA">
            <w:pPr>
              <w:spacing w:before="40" w:after="40"/>
              <w:jc w:val="right"/>
              <w:rPr>
                <w:rFonts w:cs="Arial"/>
                <w:sz w:val="18"/>
                <w:szCs w:val="18"/>
              </w:rPr>
            </w:pPr>
            <w:r w:rsidRPr="001D41EA">
              <w:rPr>
                <w:rFonts w:cs="Arial"/>
                <w:sz w:val="18"/>
                <w:szCs w:val="18"/>
              </w:rPr>
              <w:t>3,789,493</w:t>
            </w:r>
          </w:p>
        </w:tc>
        <w:tc>
          <w:tcPr>
            <w:tcW w:w="1134" w:type="dxa"/>
            <w:tcBorders>
              <w:top w:val="nil"/>
              <w:left w:val="nil"/>
              <w:bottom w:val="nil"/>
              <w:right w:val="nil"/>
            </w:tcBorders>
            <w:shd w:val="clear" w:color="auto" w:fill="auto"/>
            <w:vAlign w:val="bottom"/>
          </w:tcPr>
          <w:p w14:paraId="487BE0F8" w14:textId="3BC489E1" w:rsidR="00A66703" w:rsidRPr="001D41EA" w:rsidRDefault="00A66703" w:rsidP="001D41EA">
            <w:pPr>
              <w:spacing w:before="40" w:after="40"/>
              <w:jc w:val="right"/>
              <w:rPr>
                <w:rFonts w:cs="Arial"/>
                <w:sz w:val="18"/>
                <w:szCs w:val="18"/>
              </w:rPr>
            </w:pPr>
            <w:r w:rsidRPr="001D41EA">
              <w:rPr>
                <w:rFonts w:cs="Arial"/>
                <w:sz w:val="18"/>
                <w:szCs w:val="18"/>
              </w:rPr>
              <w:t>-41,760</w:t>
            </w:r>
          </w:p>
        </w:tc>
        <w:tc>
          <w:tcPr>
            <w:tcW w:w="170" w:type="dxa"/>
            <w:tcBorders>
              <w:top w:val="nil"/>
              <w:left w:val="nil"/>
              <w:bottom w:val="nil"/>
              <w:right w:val="nil"/>
            </w:tcBorders>
            <w:shd w:val="clear" w:color="auto" w:fill="auto"/>
            <w:vAlign w:val="bottom"/>
          </w:tcPr>
          <w:p w14:paraId="537256E5"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47C6FFF" w14:textId="7DEA5680" w:rsidR="00A66703" w:rsidRPr="001D41EA" w:rsidRDefault="00A66703" w:rsidP="001D41EA">
            <w:pPr>
              <w:spacing w:before="40" w:after="40"/>
              <w:jc w:val="right"/>
              <w:rPr>
                <w:rFonts w:cs="Arial"/>
                <w:sz w:val="18"/>
                <w:szCs w:val="18"/>
              </w:rPr>
            </w:pPr>
            <w:r w:rsidRPr="001D41EA">
              <w:rPr>
                <w:rFonts w:cs="Arial"/>
                <w:sz w:val="18"/>
                <w:szCs w:val="18"/>
              </w:rPr>
              <w:t>2,449,393</w:t>
            </w:r>
          </w:p>
        </w:tc>
        <w:tc>
          <w:tcPr>
            <w:tcW w:w="1135" w:type="dxa"/>
            <w:tcBorders>
              <w:top w:val="nil"/>
              <w:left w:val="nil"/>
              <w:bottom w:val="nil"/>
              <w:right w:val="nil"/>
            </w:tcBorders>
            <w:shd w:val="clear" w:color="auto" w:fill="auto"/>
            <w:vAlign w:val="bottom"/>
          </w:tcPr>
          <w:p w14:paraId="14E17D8E" w14:textId="22055D92" w:rsidR="00A66703" w:rsidRPr="001D41EA" w:rsidRDefault="00A66703" w:rsidP="001D41EA">
            <w:pPr>
              <w:spacing w:before="40" w:after="40"/>
              <w:jc w:val="right"/>
              <w:rPr>
                <w:rFonts w:cs="Arial"/>
                <w:sz w:val="18"/>
                <w:szCs w:val="18"/>
              </w:rPr>
            </w:pPr>
            <w:r w:rsidRPr="001D41EA">
              <w:rPr>
                <w:rFonts w:cs="Arial"/>
                <w:sz w:val="18"/>
                <w:szCs w:val="18"/>
              </w:rPr>
              <w:t>2,430,085</w:t>
            </w:r>
          </w:p>
        </w:tc>
        <w:tc>
          <w:tcPr>
            <w:tcW w:w="1134" w:type="dxa"/>
            <w:tcBorders>
              <w:top w:val="nil"/>
              <w:left w:val="nil"/>
              <w:bottom w:val="nil"/>
              <w:right w:val="nil"/>
            </w:tcBorders>
            <w:shd w:val="clear" w:color="auto" w:fill="auto"/>
            <w:vAlign w:val="bottom"/>
          </w:tcPr>
          <w:p w14:paraId="299A63FD" w14:textId="42E36143" w:rsidR="00A66703" w:rsidRPr="001D41EA" w:rsidRDefault="00A66703" w:rsidP="001D41EA">
            <w:pPr>
              <w:spacing w:before="40" w:after="40"/>
              <w:jc w:val="right"/>
              <w:rPr>
                <w:rFonts w:cs="Arial"/>
                <w:sz w:val="18"/>
                <w:szCs w:val="18"/>
              </w:rPr>
            </w:pPr>
            <w:r w:rsidRPr="001D41EA">
              <w:rPr>
                <w:rFonts w:cs="Arial"/>
                <w:sz w:val="18"/>
                <w:szCs w:val="18"/>
              </w:rPr>
              <w:t>-19,308</w:t>
            </w:r>
          </w:p>
        </w:tc>
      </w:tr>
      <w:tr w:rsidR="00A66703" w:rsidRPr="001D41EA" w14:paraId="2B511C19"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0596838D" w14:textId="77777777" w:rsidR="00A66703" w:rsidRPr="001D41EA" w:rsidRDefault="00A66703" w:rsidP="001D41EA">
            <w:pPr>
              <w:spacing w:before="40" w:after="40"/>
              <w:rPr>
                <w:rFonts w:cs="Arial"/>
                <w:sz w:val="18"/>
                <w:szCs w:val="18"/>
              </w:rPr>
            </w:pPr>
            <w:r w:rsidRPr="001D41EA">
              <w:rPr>
                <w:rFonts w:cs="Arial"/>
                <w:sz w:val="18"/>
                <w:szCs w:val="18"/>
              </w:rPr>
              <w:t xml:space="preserve">Campaspe S </w:t>
            </w:r>
          </w:p>
        </w:tc>
        <w:tc>
          <w:tcPr>
            <w:tcW w:w="1134" w:type="dxa"/>
            <w:tcBorders>
              <w:top w:val="nil"/>
              <w:left w:val="single" w:sz="18" w:space="0" w:color="5F497A" w:themeColor="accent4" w:themeShade="BF"/>
              <w:bottom w:val="nil"/>
              <w:right w:val="nil"/>
            </w:tcBorders>
            <w:shd w:val="clear" w:color="auto" w:fill="auto"/>
            <w:vAlign w:val="bottom"/>
          </w:tcPr>
          <w:p w14:paraId="7A415FB5" w14:textId="28171C29" w:rsidR="00A66703" w:rsidRPr="001D41EA" w:rsidRDefault="00A66703" w:rsidP="001D41EA">
            <w:pPr>
              <w:spacing w:before="40" w:after="40"/>
              <w:jc w:val="right"/>
              <w:rPr>
                <w:rFonts w:cs="Arial"/>
                <w:sz w:val="18"/>
                <w:szCs w:val="18"/>
              </w:rPr>
            </w:pPr>
            <w:r w:rsidRPr="001D41EA">
              <w:rPr>
                <w:rFonts w:cs="Arial"/>
                <w:sz w:val="18"/>
                <w:szCs w:val="18"/>
              </w:rPr>
              <w:t>7,623,203</w:t>
            </w:r>
          </w:p>
        </w:tc>
        <w:tc>
          <w:tcPr>
            <w:tcW w:w="1134" w:type="dxa"/>
            <w:tcBorders>
              <w:top w:val="nil"/>
              <w:left w:val="nil"/>
              <w:bottom w:val="nil"/>
              <w:right w:val="nil"/>
            </w:tcBorders>
            <w:shd w:val="clear" w:color="auto" w:fill="auto"/>
            <w:vAlign w:val="bottom"/>
          </w:tcPr>
          <w:p w14:paraId="39019864" w14:textId="19A01C0D" w:rsidR="00A66703" w:rsidRPr="001D41EA" w:rsidRDefault="00A66703" w:rsidP="001D41EA">
            <w:pPr>
              <w:spacing w:before="40" w:after="40"/>
              <w:jc w:val="right"/>
              <w:rPr>
                <w:rFonts w:cs="Arial"/>
                <w:sz w:val="18"/>
                <w:szCs w:val="18"/>
              </w:rPr>
            </w:pPr>
            <w:r w:rsidRPr="001D41EA">
              <w:rPr>
                <w:rFonts w:cs="Arial"/>
                <w:sz w:val="18"/>
                <w:szCs w:val="18"/>
              </w:rPr>
              <w:t>7,540,111</w:t>
            </w:r>
          </w:p>
        </w:tc>
        <w:tc>
          <w:tcPr>
            <w:tcW w:w="1134" w:type="dxa"/>
            <w:tcBorders>
              <w:top w:val="nil"/>
              <w:left w:val="nil"/>
              <w:bottom w:val="nil"/>
              <w:right w:val="nil"/>
            </w:tcBorders>
            <w:shd w:val="clear" w:color="auto" w:fill="auto"/>
            <w:vAlign w:val="bottom"/>
          </w:tcPr>
          <w:p w14:paraId="0D401510" w14:textId="2E60D951" w:rsidR="00A66703" w:rsidRPr="001D41EA" w:rsidRDefault="00A66703" w:rsidP="001D41EA">
            <w:pPr>
              <w:spacing w:before="40" w:after="40"/>
              <w:jc w:val="right"/>
              <w:rPr>
                <w:rFonts w:cs="Arial"/>
                <w:sz w:val="18"/>
                <w:szCs w:val="18"/>
              </w:rPr>
            </w:pPr>
            <w:r w:rsidRPr="001D41EA">
              <w:rPr>
                <w:rFonts w:cs="Arial"/>
                <w:sz w:val="18"/>
                <w:szCs w:val="18"/>
              </w:rPr>
              <w:t>-83,092</w:t>
            </w:r>
          </w:p>
        </w:tc>
        <w:tc>
          <w:tcPr>
            <w:tcW w:w="170" w:type="dxa"/>
            <w:tcBorders>
              <w:top w:val="nil"/>
              <w:left w:val="nil"/>
              <w:bottom w:val="nil"/>
              <w:right w:val="nil"/>
            </w:tcBorders>
            <w:shd w:val="clear" w:color="auto" w:fill="auto"/>
            <w:vAlign w:val="bottom"/>
          </w:tcPr>
          <w:p w14:paraId="6E74CD64"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1F87994" w14:textId="547DD3EA" w:rsidR="00A66703" w:rsidRPr="001D41EA" w:rsidRDefault="00A66703" w:rsidP="001D41EA">
            <w:pPr>
              <w:spacing w:before="40" w:after="40"/>
              <w:jc w:val="right"/>
              <w:rPr>
                <w:rFonts w:cs="Arial"/>
                <w:sz w:val="18"/>
                <w:szCs w:val="18"/>
              </w:rPr>
            </w:pPr>
            <w:r w:rsidRPr="001D41EA">
              <w:rPr>
                <w:rFonts w:cs="Arial"/>
                <w:sz w:val="18"/>
                <w:szCs w:val="18"/>
              </w:rPr>
              <w:t>4,015,757</w:t>
            </w:r>
          </w:p>
        </w:tc>
        <w:tc>
          <w:tcPr>
            <w:tcW w:w="1135" w:type="dxa"/>
            <w:tcBorders>
              <w:top w:val="nil"/>
              <w:left w:val="nil"/>
              <w:bottom w:val="nil"/>
              <w:right w:val="nil"/>
            </w:tcBorders>
            <w:shd w:val="clear" w:color="auto" w:fill="auto"/>
            <w:vAlign w:val="bottom"/>
          </w:tcPr>
          <w:p w14:paraId="045CED2C" w14:textId="7A378987" w:rsidR="00A66703" w:rsidRPr="001D41EA" w:rsidRDefault="00A66703" w:rsidP="001D41EA">
            <w:pPr>
              <w:spacing w:before="40" w:after="40"/>
              <w:jc w:val="right"/>
              <w:rPr>
                <w:rFonts w:cs="Arial"/>
                <w:sz w:val="18"/>
                <w:szCs w:val="18"/>
              </w:rPr>
            </w:pPr>
            <w:r w:rsidRPr="001D41EA">
              <w:rPr>
                <w:rFonts w:cs="Arial"/>
                <w:sz w:val="18"/>
                <w:szCs w:val="18"/>
              </w:rPr>
              <w:t>3,984,101</w:t>
            </w:r>
          </w:p>
        </w:tc>
        <w:tc>
          <w:tcPr>
            <w:tcW w:w="1134" w:type="dxa"/>
            <w:tcBorders>
              <w:top w:val="nil"/>
              <w:left w:val="nil"/>
              <w:bottom w:val="nil"/>
              <w:right w:val="nil"/>
            </w:tcBorders>
            <w:shd w:val="clear" w:color="auto" w:fill="auto"/>
            <w:vAlign w:val="bottom"/>
          </w:tcPr>
          <w:p w14:paraId="7C03729E" w14:textId="3FA3F1DC" w:rsidR="00A66703" w:rsidRPr="001D41EA" w:rsidRDefault="00A66703" w:rsidP="001D41EA">
            <w:pPr>
              <w:spacing w:before="40" w:after="40"/>
              <w:jc w:val="right"/>
              <w:rPr>
                <w:rFonts w:cs="Arial"/>
                <w:sz w:val="18"/>
                <w:szCs w:val="18"/>
              </w:rPr>
            </w:pPr>
            <w:r w:rsidRPr="001D41EA">
              <w:rPr>
                <w:rFonts w:cs="Arial"/>
                <w:sz w:val="18"/>
                <w:szCs w:val="18"/>
              </w:rPr>
              <w:t>-31,656</w:t>
            </w:r>
          </w:p>
        </w:tc>
      </w:tr>
      <w:tr w:rsidR="00A66703" w:rsidRPr="001D41EA" w14:paraId="7BB91D31"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61AFB8EE" w14:textId="77777777" w:rsidR="00A66703" w:rsidRPr="001D41EA" w:rsidRDefault="00A66703" w:rsidP="001D41EA">
            <w:pPr>
              <w:spacing w:before="40" w:after="40"/>
              <w:rPr>
                <w:rFonts w:cs="Arial"/>
                <w:sz w:val="18"/>
                <w:szCs w:val="18"/>
              </w:rPr>
            </w:pPr>
            <w:r w:rsidRPr="001D41EA">
              <w:rPr>
                <w:rFonts w:cs="Arial"/>
                <w:sz w:val="18"/>
                <w:szCs w:val="18"/>
              </w:rPr>
              <w:t xml:space="preserve">Cardinia S </w:t>
            </w:r>
          </w:p>
        </w:tc>
        <w:tc>
          <w:tcPr>
            <w:tcW w:w="1134" w:type="dxa"/>
            <w:tcBorders>
              <w:top w:val="nil"/>
              <w:left w:val="single" w:sz="18" w:space="0" w:color="5F497A" w:themeColor="accent4" w:themeShade="BF"/>
              <w:bottom w:val="nil"/>
              <w:right w:val="nil"/>
            </w:tcBorders>
            <w:shd w:val="clear" w:color="auto" w:fill="auto"/>
            <w:vAlign w:val="bottom"/>
          </w:tcPr>
          <w:p w14:paraId="2D56781A" w14:textId="0F825B78" w:rsidR="00A66703" w:rsidRPr="001D41EA" w:rsidRDefault="00A66703" w:rsidP="001D41EA">
            <w:pPr>
              <w:spacing w:before="40" w:after="40"/>
              <w:jc w:val="right"/>
              <w:rPr>
                <w:rFonts w:cs="Arial"/>
                <w:sz w:val="18"/>
                <w:szCs w:val="18"/>
              </w:rPr>
            </w:pPr>
            <w:r w:rsidRPr="001D41EA">
              <w:rPr>
                <w:rFonts w:cs="Arial"/>
                <w:sz w:val="18"/>
                <w:szCs w:val="18"/>
              </w:rPr>
              <w:t>8,892,486</w:t>
            </w:r>
          </w:p>
        </w:tc>
        <w:tc>
          <w:tcPr>
            <w:tcW w:w="1134" w:type="dxa"/>
            <w:tcBorders>
              <w:top w:val="nil"/>
              <w:left w:val="nil"/>
              <w:bottom w:val="nil"/>
              <w:right w:val="nil"/>
            </w:tcBorders>
            <w:shd w:val="clear" w:color="auto" w:fill="auto"/>
            <w:vAlign w:val="bottom"/>
          </w:tcPr>
          <w:p w14:paraId="694A37AA" w14:textId="16FBB634" w:rsidR="00A66703" w:rsidRPr="001D41EA" w:rsidRDefault="00A66703" w:rsidP="001D41EA">
            <w:pPr>
              <w:spacing w:before="40" w:after="40"/>
              <w:jc w:val="right"/>
              <w:rPr>
                <w:rFonts w:cs="Arial"/>
                <w:sz w:val="18"/>
                <w:szCs w:val="18"/>
              </w:rPr>
            </w:pPr>
            <w:r w:rsidRPr="001D41EA">
              <w:rPr>
                <w:rFonts w:cs="Arial"/>
                <w:sz w:val="18"/>
                <w:szCs w:val="18"/>
              </w:rPr>
              <w:t>8,795,558</w:t>
            </w:r>
          </w:p>
        </w:tc>
        <w:tc>
          <w:tcPr>
            <w:tcW w:w="1134" w:type="dxa"/>
            <w:tcBorders>
              <w:top w:val="nil"/>
              <w:left w:val="nil"/>
              <w:bottom w:val="nil"/>
              <w:right w:val="nil"/>
            </w:tcBorders>
            <w:shd w:val="clear" w:color="auto" w:fill="auto"/>
            <w:vAlign w:val="bottom"/>
          </w:tcPr>
          <w:p w14:paraId="5F4653C4" w14:textId="5189B7CA" w:rsidR="00A66703" w:rsidRPr="001D41EA" w:rsidRDefault="00A66703" w:rsidP="001D41EA">
            <w:pPr>
              <w:spacing w:before="40" w:after="40"/>
              <w:jc w:val="right"/>
              <w:rPr>
                <w:rFonts w:cs="Arial"/>
                <w:sz w:val="18"/>
                <w:szCs w:val="18"/>
              </w:rPr>
            </w:pPr>
            <w:r w:rsidRPr="001D41EA">
              <w:rPr>
                <w:rFonts w:cs="Arial"/>
                <w:sz w:val="18"/>
                <w:szCs w:val="18"/>
              </w:rPr>
              <w:t>-96,928</w:t>
            </w:r>
          </w:p>
        </w:tc>
        <w:tc>
          <w:tcPr>
            <w:tcW w:w="170" w:type="dxa"/>
            <w:tcBorders>
              <w:top w:val="nil"/>
              <w:left w:val="nil"/>
              <w:bottom w:val="nil"/>
              <w:right w:val="nil"/>
            </w:tcBorders>
            <w:shd w:val="clear" w:color="auto" w:fill="auto"/>
            <w:vAlign w:val="bottom"/>
          </w:tcPr>
          <w:p w14:paraId="28086C55"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630C275" w14:textId="2B5CA47D" w:rsidR="00A66703" w:rsidRPr="001D41EA" w:rsidRDefault="00A66703" w:rsidP="001D41EA">
            <w:pPr>
              <w:spacing w:before="40" w:after="40"/>
              <w:jc w:val="right"/>
              <w:rPr>
                <w:rFonts w:cs="Arial"/>
                <w:sz w:val="18"/>
                <w:szCs w:val="18"/>
              </w:rPr>
            </w:pPr>
            <w:r w:rsidRPr="001D41EA">
              <w:rPr>
                <w:rFonts w:cs="Arial"/>
                <w:sz w:val="18"/>
                <w:szCs w:val="18"/>
              </w:rPr>
              <w:t>2,589,295</w:t>
            </w:r>
          </w:p>
        </w:tc>
        <w:tc>
          <w:tcPr>
            <w:tcW w:w="1135" w:type="dxa"/>
            <w:tcBorders>
              <w:top w:val="nil"/>
              <w:left w:val="nil"/>
              <w:bottom w:val="nil"/>
              <w:right w:val="nil"/>
            </w:tcBorders>
            <w:shd w:val="clear" w:color="auto" w:fill="auto"/>
            <w:vAlign w:val="bottom"/>
          </w:tcPr>
          <w:p w14:paraId="77A0EA94" w14:textId="1C1F1CAA" w:rsidR="00A66703" w:rsidRPr="001D41EA" w:rsidRDefault="00A66703" w:rsidP="001D41EA">
            <w:pPr>
              <w:spacing w:before="40" w:after="40"/>
              <w:jc w:val="right"/>
              <w:rPr>
                <w:rFonts w:cs="Arial"/>
                <w:sz w:val="18"/>
                <w:szCs w:val="18"/>
              </w:rPr>
            </w:pPr>
            <w:r w:rsidRPr="001D41EA">
              <w:rPr>
                <w:rFonts w:cs="Arial"/>
                <w:sz w:val="18"/>
                <w:szCs w:val="18"/>
              </w:rPr>
              <w:t>2,568,884</w:t>
            </w:r>
          </w:p>
        </w:tc>
        <w:tc>
          <w:tcPr>
            <w:tcW w:w="1134" w:type="dxa"/>
            <w:tcBorders>
              <w:top w:val="nil"/>
              <w:left w:val="nil"/>
              <w:bottom w:val="nil"/>
              <w:right w:val="nil"/>
            </w:tcBorders>
            <w:shd w:val="clear" w:color="auto" w:fill="auto"/>
            <w:vAlign w:val="bottom"/>
          </w:tcPr>
          <w:p w14:paraId="73541511" w14:textId="709B63A5" w:rsidR="00A66703" w:rsidRPr="001D41EA" w:rsidRDefault="00A66703" w:rsidP="001D41EA">
            <w:pPr>
              <w:spacing w:before="40" w:after="40"/>
              <w:jc w:val="right"/>
              <w:rPr>
                <w:rFonts w:cs="Arial"/>
                <w:sz w:val="18"/>
                <w:szCs w:val="18"/>
              </w:rPr>
            </w:pPr>
            <w:r w:rsidRPr="001D41EA">
              <w:rPr>
                <w:rFonts w:cs="Arial"/>
                <w:sz w:val="18"/>
                <w:szCs w:val="18"/>
              </w:rPr>
              <w:t>-20,411</w:t>
            </w:r>
          </w:p>
        </w:tc>
      </w:tr>
      <w:tr w:rsidR="00A66703" w:rsidRPr="001D41EA" w14:paraId="415E2112"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07A1CFEC" w14:textId="77777777" w:rsidR="00A66703" w:rsidRPr="001D41EA" w:rsidRDefault="00A66703" w:rsidP="001D41EA">
            <w:pPr>
              <w:spacing w:before="40" w:after="40"/>
              <w:rPr>
                <w:rFonts w:cs="Arial"/>
                <w:sz w:val="18"/>
                <w:szCs w:val="18"/>
              </w:rPr>
            </w:pPr>
            <w:r w:rsidRPr="001D41EA">
              <w:rPr>
                <w:rFonts w:cs="Arial"/>
                <w:sz w:val="18"/>
                <w:szCs w:val="18"/>
              </w:rPr>
              <w:t xml:space="preserve">Casey C </w:t>
            </w:r>
          </w:p>
        </w:tc>
        <w:tc>
          <w:tcPr>
            <w:tcW w:w="1134" w:type="dxa"/>
            <w:tcBorders>
              <w:top w:val="nil"/>
              <w:left w:val="single" w:sz="18" w:space="0" w:color="5F497A" w:themeColor="accent4" w:themeShade="BF"/>
              <w:bottom w:val="nil"/>
              <w:right w:val="nil"/>
            </w:tcBorders>
            <w:shd w:val="clear" w:color="auto" w:fill="auto"/>
            <w:vAlign w:val="bottom"/>
          </w:tcPr>
          <w:p w14:paraId="65B25298" w14:textId="144AB27F" w:rsidR="00A66703" w:rsidRPr="001D41EA" w:rsidRDefault="00A66703" w:rsidP="001D41EA">
            <w:pPr>
              <w:spacing w:before="40" w:after="40"/>
              <w:jc w:val="right"/>
              <w:rPr>
                <w:rFonts w:cs="Arial"/>
                <w:sz w:val="18"/>
                <w:szCs w:val="18"/>
              </w:rPr>
            </w:pPr>
            <w:r w:rsidRPr="001D41EA">
              <w:rPr>
                <w:rFonts w:cs="Arial"/>
                <w:sz w:val="18"/>
                <w:szCs w:val="18"/>
              </w:rPr>
              <w:t>17,761,842</w:t>
            </w:r>
          </w:p>
        </w:tc>
        <w:tc>
          <w:tcPr>
            <w:tcW w:w="1134" w:type="dxa"/>
            <w:tcBorders>
              <w:top w:val="nil"/>
              <w:left w:val="nil"/>
              <w:bottom w:val="nil"/>
              <w:right w:val="nil"/>
            </w:tcBorders>
            <w:shd w:val="clear" w:color="auto" w:fill="auto"/>
            <w:vAlign w:val="bottom"/>
          </w:tcPr>
          <w:p w14:paraId="05178476" w14:textId="10AE67DD" w:rsidR="00A66703" w:rsidRPr="001D41EA" w:rsidRDefault="00A66703" w:rsidP="001D41EA">
            <w:pPr>
              <w:spacing w:before="40" w:after="40"/>
              <w:jc w:val="right"/>
              <w:rPr>
                <w:rFonts w:cs="Arial"/>
                <w:sz w:val="18"/>
                <w:szCs w:val="18"/>
              </w:rPr>
            </w:pPr>
            <w:r w:rsidRPr="001D41EA">
              <w:rPr>
                <w:rFonts w:cs="Arial"/>
                <w:sz w:val="18"/>
                <w:szCs w:val="18"/>
              </w:rPr>
              <w:t>17,568,239</w:t>
            </w:r>
          </w:p>
        </w:tc>
        <w:tc>
          <w:tcPr>
            <w:tcW w:w="1134" w:type="dxa"/>
            <w:tcBorders>
              <w:top w:val="nil"/>
              <w:left w:val="nil"/>
              <w:bottom w:val="nil"/>
              <w:right w:val="nil"/>
            </w:tcBorders>
            <w:shd w:val="clear" w:color="auto" w:fill="auto"/>
            <w:vAlign w:val="bottom"/>
          </w:tcPr>
          <w:p w14:paraId="72416447" w14:textId="0DD345D5" w:rsidR="00A66703" w:rsidRPr="001D41EA" w:rsidRDefault="00A66703" w:rsidP="001D41EA">
            <w:pPr>
              <w:spacing w:before="40" w:after="40"/>
              <w:jc w:val="right"/>
              <w:rPr>
                <w:rFonts w:cs="Arial"/>
                <w:sz w:val="18"/>
                <w:szCs w:val="18"/>
              </w:rPr>
            </w:pPr>
            <w:r w:rsidRPr="001D41EA">
              <w:rPr>
                <w:rFonts w:cs="Arial"/>
                <w:sz w:val="18"/>
                <w:szCs w:val="18"/>
              </w:rPr>
              <w:t>-193,603</w:t>
            </w:r>
          </w:p>
        </w:tc>
        <w:tc>
          <w:tcPr>
            <w:tcW w:w="170" w:type="dxa"/>
            <w:tcBorders>
              <w:top w:val="nil"/>
              <w:left w:val="nil"/>
              <w:bottom w:val="nil"/>
              <w:right w:val="nil"/>
            </w:tcBorders>
            <w:shd w:val="clear" w:color="auto" w:fill="auto"/>
            <w:vAlign w:val="bottom"/>
          </w:tcPr>
          <w:p w14:paraId="51B0E796"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AB13FA2" w14:textId="7D2AA6DC" w:rsidR="00A66703" w:rsidRPr="001D41EA" w:rsidRDefault="00A66703" w:rsidP="001D41EA">
            <w:pPr>
              <w:spacing w:before="40" w:after="40"/>
              <w:jc w:val="right"/>
              <w:rPr>
                <w:rFonts w:cs="Arial"/>
                <w:sz w:val="18"/>
                <w:szCs w:val="18"/>
              </w:rPr>
            </w:pPr>
            <w:r w:rsidRPr="001D41EA">
              <w:rPr>
                <w:rFonts w:cs="Arial"/>
                <w:sz w:val="18"/>
                <w:szCs w:val="18"/>
              </w:rPr>
              <w:t>2,501,341</w:t>
            </w:r>
          </w:p>
        </w:tc>
        <w:tc>
          <w:tcPr>
            <w:tcW w:w="1135" w:type="dxa"/>
            <w:tcBorders>
              <w:top w:val="nil"/>
              <w:left w:val="nil"/>
              <w:bottom w:val="nil"/>
              <w:right w:val="nil"/>
            </w:tcBorders>
            <w:shd w:val="clear" w:color="auto" w:fill="auto"/>
            <w:vAlign w:val="bottom"/>
          </w:tcPr>
          <w:p w14:paraId="4CE2F108" w14:textId="685045BF" w:rsidR="00A66703" w:rsidRPr="001D41EA" w:rsidRDefault="00A66703" w:rsidP="001D41EA">
            <w:pPr>
              <w:spacing w:before="40" w:after="40"/>
              <w:jc w:val="right"/>
              <w:rPr>
                <w:rFonts w:cs="Arial"/>
                <w:sz w:val="18"/>
                <w:szCs w:val="18"/>
              </w:rPr>
            </w:pPr>
            <w:r w:rsidRPr="001D41EA">
              <w:rPr>
                <w:rFonts w:cs="Arial"/>
                <w:sz w:val="18"/>
                <w:szCs w:val="18"/>
              </w:rPr>
              <w:t>2,481,623</w:t>
            </w:r>
          </w:p>
        </w:tc>
        <w:tc>
          <w:tcPr>
            <w:tcW w:w="1134" w:type="dxa"/>
            <w:tcBorders>
              <w:top w:val="nil"/>
              <w:left w:val="nil"/>
              <w:bottom w:val="nil"/>
              <w:right w:val="nil"/>
            </w:tcBorders>
            <w:shd w:val="clear" w:color="auto" w:fill="auto"/>
            <w:vAlign w:val="bottom"/>
          </w:tcPr>
          <w:p w14:paraId="3945AF2D" w14:textId="6A90AC17" w:rsidR="00A66703" w:rsidRPr="001D41EA" w:rsidRDefault="00A66703" w:rsidP="001D41EA">
            <w:pPr>
              <w:spacing w:before="40" w:after="40"/>
              <w:jc w:val="right"/>
              <w:rPr>
                <w:rFonts w:cs="Arial"/>
                <w:sz w:val="18"/>
                <w:szCs w:val="18"/>
              </w:rPr>
            </w:pPr>
            <w:r w:rsidRPr="001D41EA">
              <w:rPr>
                <w:rFonts w:cs="Arial"/>
                <w:sz w:val="18"/>
                <w:szCs w:val="18"/>
              </w:rPr>
              <w:t>-19,718</w:t>
            </w:r>
          </w:p>
        </w:tc>
      </w:tr>
      <w:tr w:rsidR="00A66703" w:rsidRPr="001D41EA" w14:paraId="08E516F0"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53279391" w14:textId="77777777" w:rsidR="00A66703" w:rsidRPr="001D41EA" w:rsidRDefault="00A66703" w:rsidP="001D41EA">
            <w:pPr>
              <w:spacing w:before="40" w:after="40"/>
              <w:rPr>
                <w:rFonts w:cs="Arial"/>
                <w:sz w:val="18"/>
                <w:szCs w:val="18"/>
              </w:rPr>
            </w:pPr>
            <w:r w:rsidRPr="001D41EA">
              <w:rPr>
                <w:rFonts w:cs="Arial"/>
                <w:sz w:val="18"/>
                <w:szCs w:val="18"/>
              </w:rPr>
              <w:t xml:space="preserve">Central Goldfields S </w:t>
            </w:r>
          </w:p>
        </w:tc>
        <w:tc>
          <w:tcPr>
            <w:tcW w:w="1134" w:type="dxa"/>
            <w:tcBorders>
              <w:top w:val="nil"/>
              <w:left w:val="single" w:sz="18" w:space="0" w:color="5F497A" w:themeColor="accent4" w:themeShade="BF"/>
              <w:bottom w:val="nil"/>
              <w:right w:val="nil"/>
            </w:tcBorders>
            <w:shd w:val="clear" w:color="auto" w:fill="auto"/>
            <w:vAlign w:val="bottom"/>
          </w:tcPr>
          <w:p w14:paraId="30550E53" w14:textId="4B26EA49" w:rsidR="00A66703" w:rsidRPr="001D41EA" w:rsidRDefault="00A66703" w:rsidP="001D41EA">
            <w:pPr>
              <w:spacing w:before="40" w:after="40"/>
              <w:jc w:val="right"/>
              <w:rPr>
                <w:rFonts w:cs="Arial"/>
                <w:sz w:val="18"/>
                <w:szCs w:val="18"/>
              </w:rPr>
            </w:pPr>
            <w:r w:rsidRPr="001D41EA">
              <w:rPr>
                <w:rFonts w:cs="Arial"/>
                <w:sz w:val="18"/>
                <w:szCs w:val="18"/>
              </w:rPr>
              <w:t>2,804,272</w:t>
            </w:r>
          </w:p>
        </w:tc>
        <w:tc>
          <w:tcPr>
            <w:tcW w:w="1134" w:type="dxa"/>
            <w:tcBorders>
              <w:top w:val="nil"/>
              <w:left w:val="nil"/>
              <w:bottom w:val="nil"/>
              <w:right w:val="nil"/>
            </w:tcBorders>
            <w:shd w:val="clear" w:color="auto" w:fill="auto"/>
            <w:vAlign w:val="bottom"/>
          </w:tcPr>
          <w:p w14:paraId="4A13482A" w14:textId="2EF6DCFE" w:rsidR="00A66703" w:rsidRPr="001D41EA" w:rsidRDefault="00A66703" w:rsidP="001D41EA">
            <w:pPr>
              <w:spacing w:before="40" w:after="40"/>
              <w:jc w:val="right"/>
              <w:rPr>
                <w:rFonts w:cs="Arial"/>
                <w:sz w:val="18"/>
                <w:szCs w:val="18"/>
              </w:rPr>
            </w:pPr>
            <w:r w:rsidRPr="001D41EA">
              <w:rPr>
                <w:rFonts w:cs="Arial"/>
                <w:sz w:val="18"/>
                <w:szCs w:val="18"/>
              </w:rPr>
              <w:t>2,773,706</w:t>
            </w:r>
          </w:p>
        </w:tc>
        <w:tc>
          <w:tcPr>
            <w:tcW w:w="1134" w:type="dxa"/>
            <w:tcBorders>
              <w:top w:val="nil"/>
              <w:left w:val="nil"/>
              <w:bottom w:val="nil"/>
              <w:right w:val="nil"/>
            </w:tcBorders>
            <w:shd w:val="clear" w:color="auto" w:fill="auto"/>
            <w:vAlign w:val="bottom"/>
          </w:tcPr>
          <w:p w14:paraId="60C44E12" w14:textId="4F88DA62" w:rsidR="00A66703" w:rsidRPr="001D41EA" w:rsidRDefault="00A66703" w:rsidP="001D41EA">
            <w:pPr>
              <w:spacing w:before="40" w:after="40"/>
              <w:jc w:val="right"/>
              <w:rPr>
                <w:rFonts w:cs="Arial"/>
                <w:sz w:val="18"/>
                <w:szCs w:val="18"/>
              </w:rPr>
            </w:pPr>
            <w:r w:rsidRPr="001D41EA">
              <w:rPr>
                <w:rFonts w:cs="Arial"/>
                <w:sz w:val="18"/>
                <w:szCs w:val="18"/>
              </w:rPr>
              <w:t>-30,566</w:t>
            </w:r>
          </w:p>
        </w:tc>
        <w:tc>
          <w:tcPr>
            <w:tcW w:w="170" w:type="dxa"/>
            <w:tcBorders>
              <w:top w:val="nil"/>
              <w:left w:val="nil"/>
              <w:bottom w:val="nil"/>
              <w:right w:val="nil"/>
            </w:tcBorders>
            <w:shd w:val="clear" w:color="auto" w:fill="auto"/>
            <w:vAlign w:val="bottom"/>
          </w:tcPr>
          <w:p w14:paraId="65F3E812"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91AEB15" w14:textId="502EC0D6" w:rsidR="00A66703" w:rsidRPr="001D41EA" w:rsidRDefault="00A66703" w:rsidP="001D41EA">
            <w:pPr>
              <w:spacing w:before="40" w:after="40"/>
              <w:jc w:val="right"/>
              <w:rPr>
                <w:rFonts w:cs="Arial"/>
                <w:sz w:val="18"/>
                <w:szCs w:val="18"/>
              </w:rPr>
            </w:pPr>
            <w:r w:rsidRPr="001D41EA">
              <w:rPr>
                <w:rFonts w:cs="Arial"/>
                <w:sz w:val="18"/>
                <w:szCs w:val="18"/>
              </w:rPr>
              <w:t>1,208,870</w:t>
            </w:r>
          </w:p>
        </w:tc>
        <w:tc>
          <w:tcPr>
            <w:tcW w:w="1135" w:type="dxa"/>
            <w:tcBorders>
              <w:top w:val="nil"/>
              <w:left w:val="nil"/>
              <w:bottom w:val="nil"/>
              <w:right w:val="nil"/>
            </w:tcBorders>
            <w:shd w:val="clear" w:color="auto" w:fill="auto"/>
            <w:vAlign w:val="bottom"/>
          </w:tcPr>
          <w:p w14:paraId="78B957B9" w14:textId="2CA8A66A" w:rsidR="00A66703" w:rsidRPr="001D41EA" w:rsidRDefault="00A66703" w:rsidP="001D41EA">
            <w:pPr>
              <w:spacing w:before="40" w:after="40"/>
              <w:jc w:val="right"/>
              <w:rPr>
                <w:rFonts w:cs="Arial"/>
                <w:sz w:val="18"/>
                <w:szCs w:val="18"/>
              </w:rPr>
            </w:pPr>
            <w:r w:rsidRPr="001D41EA">
              <w:rPr>
                <w:rFonts w:cs="Arial"/>
                <w:sz w:val="18"/>
                <w:szCs w:val="18"/>
              </w:rPr>
              <w:t>1,199,341</w:t>
            </w:r>
          </w:p>
        </w:tc>
        <w:tc>
          <w:tcPr>
            <w:tcW w:w="1134" w:type="dxa"/>
            <w:tcBorders>
              <w:top w:val="nil"/>
              <w:left w:val="nil"/>
              <w:bottom w:val="nil"/>
              <w:right w:val="nil"/>
            </w:tcBorders>
            <w:shd w:val="clear" w:color="auto" w:fill="auto"/>
            <w:vAlign w:val="bottom"/>
          </w:tcPr>
          <w:p w14:paraId="79673EE7" w14:textId="5D04EDB9" w:rsidR="00A66703" w:rsidRPr="001D41EA" w:rsidRDefault="00A66703" w:rsidP="001D41EA">
            <w:pPr>
              <w:spacing w:before="40" w:after="40"/>
              <w:jc w:val="right"/>
              <w:rPr>
                <w:rFonts w:cs="Arial"/>
                <w:sz w:val="18"/>
                <w:szCs w:val="18"/>
              </w:rPr>
            </w:pPr>
            <w:r w:rsidRPr="001D41EA">
              <w:rPr>
                <w:rFonts w:cs="Arial"/>
                <w:sz w:val="18"/>
                <w:szCs w:val="18"/>
              </w:rPr>
              <w:t>-9,529</w:t>
            </w:r>
          </w:p>
        </w:tc>
      </w:tr>
      <w:tr w:rsidR="00A66703" w:rsidRPr="001D41EA" w14:paraId="1048B1F1"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57ADA1C5" w14:textId="77777777" w:rsidR="00A66703" w:rsidRPr="001D41EA" w:rsidRDefault="00A66703" w:rsidP="001D41EA">
            <w:pPr>
              <w:spacing w:before="40" w:after="40"/>
              <w:rPr>
                <w:rFonts w:cs="Arial"/>
                <w:sz w:val="18"/>
                <w:szCs w:val="18"/>
              </w:rPr>
            </w:pPr>
            <w:r w:rsidRPr="001D41EA">
              <w:rPr>
                <w:rFonts w:cs="Arial"/>
                <w:sz w:val="18"/>
                <w:szCs w:val="18"/>
              </w:rPr>
              <w:t xml:space="preserve">Colac Otway S </w:t>
            </w:r>
          </w:p>
        </w:tc>
        <w:tc>
          <w:tcPr>
            <w:tcW w:w="1134" w:type="dxa"/>
            <w:tcBorders>
              <w:top w:val="nil"/>
              <w:left w:val="single" w:sz="18" w:space="0" w:color="5F497A" w:themeColor="accent4" w:themeShade="BF"/>
              <w:bottom w:val="nil"/>
              <w:right w:val="nil"/>
            </w:tcBorders>
            <w:shd w:val="clear" w:color="auto" w:fill="auto"/>
            <w:vAlign w:val="bottom"/>
          </w:tcPr>
          <w:p w14:paraId="3B23DF54" w14:textId="2120BB69" w:rsidR="00A66703" w:rsidRPr="001D41EA" w:rsidRDefault="00A66703" w:rsidP="001D41EA">
            <w:pPr>
              <w:spacing w:before="40" w:after="40"/>
              <w:jc w:val="right"/>
              <w:rPr>
                <w:rFonts w:cs="Arial"/>
                <w:sz w:val="18"/>
                <w:szCs w:val="18"/>
              </w:rPr>
            </w:pPr>
            <w:r w:rsidRPr="001D41EA">
              <w:rPr>
                <w:rFonts w:cs="Arial"/>
                <w:sz w:val="18"/>
                <w:szCs w:val="18"/>
              </w:rPr>
              <w:t>4,106,785</w:t>
            </w:r>
          </w:p>
        </w:tc>
        <w:tc>
          <w:tcPr>
            <w:tcW w:w="1134" w:type="dxa"/>
            <w:tcBorders>
              <w:top w:val="nil"/>
              <w:left w:val="nil"/>
              <w:bottom w:val="nil"/>
              <w:right w:val="nil"/>
            </w:tcBorders>
            <w:shd w:val="clear" w:color="auto" w:fill="auto"/>
            <w:vAlign w:val="bottom"/>
          </w:tcPr>
          <w:p w14:paraId="6A3B6E68" w14:textId="7FC25F84" w:rsidR="00A66703" w:rsidRPr="001D41EA" w:rsidRDefault="00A66703" w:rsidP="001D41EA">
            <w:pPr>
              <w:spacing w:before="40" w:after="40"/>
              <w:jc w:val="right"/>
              <w:rPr>
                <w:rFonts w:cs="Arial"/>
                <w:sz w:val="18"/>
                <w:szCs w:val="18"/>
              </w:rPr>
            </w:pPr>
            <w:r w:rsidRPr="001D41EA">
              <w:rPr>
                <w:rFonts w:cs="Arial"/>
                <w:sz w:val="18"/>
                <w:szCs w:val="18"/>
              </w:rPr>
              <w:t>4,062,021</w:t>
            </w:r>
          </w:p>
        </w:tc>
        <w:tc>
          <w:tcPr>
            <w:tcW w:w="1134" w:type="dxa"/>
            <w:tcBorders>
              <w:top w:val="nil"/>
              <w:left w:val="nil"/>
              <w:bottom w:val="nil"/>
              <w:right w:val="nil"/>
            </w:tcBorders>
            <w:shd w:val="clear" w:color="auto" w:fill="auto"/>
            <w:vAlign w:val="bottom"/>
          </w:tcPr>
          <w:p w14:paraId="05078445" w14:textId="5ED749E1" w:rsidR="00A66703" w:rsidRPr="001D41EA" w:rsidRDefault="00A66703" w:rsidP="001D41EA">
            <w:pPr>
              <w:spacing w:before="40" w:after="40"/>
              <w:jc w:val="right"/>
              <w:rPr>
                <w:rFonts w:cs="Arial"/>
                <w:sz w:val="18"/>
                <w:szCs w:val="18"/>
              </w:rPr>
            </w:pPr>
            <w:r w:rsidRPr="001D41EA">
              <w:rPr>
                <w:rFonts w:cs="Arial"/>
                <w:sz w:val="18"/>
                <w:szCs w:val="18"/>
              </w:rPr>
              <w:t>-44,764</w:t>
            </w:r>
          </w:p>
        </w:tc>
        <w:tc>
          <w:tcPr>
            <w:tcW w:w="170" w:type="dxa"/>
            <w:tcBorders>
              <w:top w:val="nil"/>
              <w:left w:val="nil"/>
              <w:bottom w:val="nil"/>
              <w:right w:val="nil"/>
            </w:tcBorders>
            <w:shd w:val="clear" w:color="auto" w:fill="auto"/>
            <w:vAlign w:val="bottom"/>
          </w:tcPr>
          <w:p w14:paraId="0C6A018B"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9C9E6FE" w14:textId="043A318E" w:rsidR="00A66703" w:rsidRPr="001D41EA" w:rsidRDefault="00A66703" w:rsidP="001D41EA">
            <w:pPr>
              <w:spacing w:before="40" w:after="40"/>
              <w:jc w:val="right"/>
              <w:rPr>
                <w:rFonts w:cs="Arial"/>
                <w:sz w:val="18"/>
                <w:szCs w:val="18"/>
              </w:rPr>
            </w:pPr>
            <w:r w:rsidRPr="001D41EA">
              <w:rPr>
                <w:rFonts w:cs="Arial"/>
                <w:sz w:val="18"/>
                <w:szCs w:val="18"/>
              </w:rPr>
              <w:t>2,607,763</w:t>
            </w:r>
          </w:p>
        </w:tc>
        <w:tc>
          <w:tcPr>
            <w:tcW w:w="1135" w:type="dxa"/>
            <w:tcBorders>
              <w:top w:val="nil"/>
              <w:left w:val="nil"/>
              <w:bottom w:val="nil"/>
              <w:right w:val="nil"/>
            </w:tcBorders>
            <w:shd w:val="clear" w:color="auto" w:fill="auto"/>
            <w:vAlign w:val="bottom"/>
          </w:tcPr>
          <w:p w14:paraId="31AF92A3" w14:textId="478BCEE1" w:rsidR="00A66703" w:rsidRPr="001D41EA" w:rsidRDefault="00A66703" w:rsidP="001D41EA">
            <w:pPr>
              <w:spacing w:before="40" w:after="40"/>
              <w:jc w:val="right"/>
              <w:rPr>
                <w:rFonts w:cs="Arial"/>
                <w:sz w:val="18"/>
                <w:szCs w:val="18"/>
              </w:rPr>
            </w:pPr>
            <w:r w:rsidRPr="001D41EA">
              <w:rPr>
                <w:rFonts w:cs="Arial"/>
                <w:sz w:val="18"/>
                <w:szCs w:val="18"/>
              </w:rPr>
              <w:t>2,587,206</w:t>
            </w:r>
          </w:p>
        </w:tc>
        <w:tc>
          <w:tcPr>
            <w:tcW w:w="1134" w:type="dxa"/>
            <w:tcBorders>
              <w:top w:val="nil"/>
              <w:left w:val="nil"/>
              <w:bottom w:val="nil"/>
              <w:right w:val="nil"/>
            </w:tcBorders>
            <w:shd w:val="clear" w:color="auto" w:fill="auto"/>
            <w:vAlign w:val="bottom"/>
          </w:tcPr>
          <w:p w14:paraId="3799546D" w14:textId="598C73B7" w:rsidR="00A66703" w:rsidRPr="001D41EA" w:rsidRDefault="00A66703" w:rsidP="001D41EA">
            <w:pPr>
              <w:spacing w:before="40" w:after="40"/>
              <w:jc w:val="right"/>
              <w:rPr>
                <w:rFonts w:cs="Arial"/>
                <w:sz w:val="18"/>
                <w:szCs w:val="18"/>
              </w:rPr>
            </w:pPr>
            <w:r w:rsidRPr="001D41EA">
              <w:rPr>
                <w:rFonts w:cs="Arial"/>
                <w:sz w:val="18"/>
                <w:szCs w:val="18"/>
              </w:rPr>
              <w:t>-20,557</w:t>
            </w:r>
          </w:p>
        </w:tc>
      </w:tr>
      <w:tr w:rsidR="00A66703" w:rsidRPr="001D41EA" w14:paraId="38CC78DB"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FDF23F2" w14:textId="77777777" w:rsidR="00A66703" w:rsidRPr="001D41EA" w:rsidRDefault="00A66703" w:rsidP="001D41EA">
            <w:pPr>
              <w:spacing w:before="40" w:after="40"/>
              <w:rPr>
                <w:rFonts w:cs="Arial"/>
                <w:sz w:val="18"/>
                <w:szCs w:val="18"/>
              </w:rPr>
            </w:pPr>
            <w:r w:rsidRPr="001D41EA">
              <w:rPr>
                <w:rFonts w:cs="Arial"/>
                <w:sz w:val="18"/>
                <w:szCs w:val="18"/>
              </w:rPr>
              <w:t xml:space="preserve">Corangamite S </w:t>
            </w:r>
          </w:p>
        </w:tc>
        <w:tc>
          <w:tcPr>
            <w:tcW w:w="1134" w:type="dxa"/>
            <w:tcBorders>
              <w:top w:val="nil"/>
              <w:left w:val="single" w:sz="18" w:space="0" w:color="5F497A" w:themeColor="accent4" w:themeShade="BF"/>
              <w:bottom w:val="nil"/>
              <w:right w:val="nil"/>
            </w:tcBorders>
            <w:shd w:val="clear" w:color="auto" w:fill="auto"/>
            <w:vAlign w:val="bottom"/>
          </w:tcPr>
          <w:p w14:paraId="3E72DA00" w14:textId="7C40157C" w:rsidR="00A66703" w:rsidRPr="001D41EA" w:rsidRDefault="00A66703" w:rsidP="001D41EA">
            <w:pPr>
              <w:spacing w:before="40" w:after="40"/>
              <w:jc w:val="right"/>
              <w:rPr>
                <w:rFonts w:cs="Arial"/>
                <w:sz w:val="18"/>
                <w:szCs w:val="18"/>
              </w:rPr>
            </w:pPr>
            <w:r w:rsidRPr="001D41EA">
              <w:rPr>
                <w:rFonts w:cs="Arial"/>
                <w:sz w:val="18"/>
                <w:szCs w:val="18"/>
              </w:rPr>
              <w:t>4,415,988</w:t>
            </w:r>
          </w:p>
        </w:tc>
        <w:tc>
          <w:tcPr>
            <w:tcW w:w="1134" w:type="dxa"/>
            <w:tcBorders>
              <w:top w:val="nil"/>
              <w:left w:val="nil"/>
              <w:bottom w:val="nil"/>
              <w:right w:val="nil"/>
            </w:tcBorders>
            <w:shd w:val="clear" w:color="auto" w:fill="auto"/>
            <w:vAlign w:val="bottom"/>
          </w:tcPr>
          <w:p w14:paraId="5721F8BB" w14:textId="4185265D" w:rsidR="00A66703" w:rsidRPr="001D41EA" w:rsidRDefault="00A66703" w:rsidP="001D41EA">
            <w:pPr>
              <w:spacing w:before="40" w:after="40"/>
              <w:jc w:val="right"/>
              <w:rPr>
                <w:rFonts w:cs="Arial"/>
                <w:sz w:val="18"/>
                <w:szCs w:val="18"/>
              </w:rPr>
            </w:pPr>
            <w:r w:rsidRPr="001D41EA">
              <w:rPr>
                <w:rFonts w:cs="Arial"/>
                <w:sz w:val="18"/>
                <w:szCs w:val="18"/>
              </w:rPr>
              <w:t>4,367,854</w:t>
            </w:r>
          </w:p>
        </w:tc>
        <w:tc>
          <w:tcPr>
            <w:tcW w:w="1134" w:type="dxa"/>
            <w:tcBorders>
              <w:top w:val="nil"/>
              <w:left w:val="nil"/>
              <w:bottom w:val="nil"/>
              <w:right w:val="nil"/>
            </w:tcBorders>
            <w:shd w:val="clear" w:color="auto" w:fill="auto"/>
            <w:vAlign w:val="bottom"/>
          </w:tcPr>
          <w:p w14:paraId="4D5009C1" w14:textId="2C1DA26A" w:rsidR="00A66703" w:rsidRPr="001D41EA" w:rsidRDefault="00A66703" w:rsidP="001D41EA">
            <w:pPr>
              <w:spacing w:before="40" w:after="40"/>
              <w:jc w:val="right"/>
              <w:rPr>
                <w:rFonts w:cs="Arial"/>
                <w:sz w:val="18"/>
                <w:szCs w:val="18"/>
              </w:rPr>
            </w:pPr>
            <w:r w:rsidRPr="001D41EA">
              <w:rPr>
                <w:rFonts w:cs="Arial"/>
                <w:sz w:val="18"/>
                <w:szCs w:val="18"/>
              </w:rPr>
              <w:t>-48,134</w:t>
            </w:r>
          </w:p>
        </w:tc>
        <w:tc>
          <w:tcPr>
            <w:tcW w:w="170" w:type="dxa"/>
            <w:tcBorders>
              <w:top w:val="nil"/>
              <w:left w:val="nil"/>
              <w:bottom w:val="nil"/>
              <w:right w:val="nil"/>
            </w:tcBorders>
            <w:shd w:val="clear" w:color="auto" w:fill="auto"/>
            <w:vAlign w:val="bottom"/>
          </w:tcPr>
          <w:p w14:paraId="12931991"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0488B18" w14:textId="07EC942D" w:rsidR="00A66703" w:rsidRPr="001D41EA" w:rsidRDefault="00A66703" w:rsidP="001D41EA">
            <w:pPr>
              <w:spacing w:before="40" w:after="40"/>
              <w:jc w:val="right"/>
              <w:rPr>
                <w:rFonts w:cs="Arial"/>
                <w:sz w:val="18"/>
                <w:szCs w:val="18"/>
              </w:rPr>
            </w:pPr>
            <w:r w:rsidRPr="001D41EA">
              <w:rPr>
                <w:rFonts w:cs="Arial"/>
                <w:sz w:val="18"/>
                <w:szCs w:val="18"/>
              </w:rPr>
              <w:t>3,499,403</w:t>
            </w:r>
          </w:p>
        </w:tc>
        <w:tc>
          <w:tcPr>
            <w:tcW w:w="1135" w:type="dxa"/>
            <w:tcBorders>
              <w:top w:val="nil"/>
              <w:left w:val="nil"/>
              <w:bottom w:val="nil"/>
              <w:right w:val="nil"/>
            </w:tcBorders>
            <w:shd w:val="clear" w:color="auto" w:fill="auto"/>
            <w:vAlign w:val="bottom"/>
          </w:tcPr>
          <w:p w14:paraId="6A0CF321" w14:textId="19FD49C2" w:rsidR="00A66703" w:rsidRPr="001D41EA" w:rsidRDefault="00A66703" w:rsidP="001D41EA">
            <w:pPr>
              <w:spacing w:before="40" w:after="40"/>
              <w:jc w:val="right"/>
              <w:rPr>
                <w:rFonts w:cs="Arial"/>
                <w:sz w:val="18"/>
                <w:szCs w:val="18"/>
              </w:rPr>
            </w:pPr>
            <w:r w:rsidRPr="001D41EA">
              <w:rPr>
                <w:rFonts w:cs="Arial"/>
                <w:sz w:val="18"/>
                <w:szCs w:val="18"/>
              </w:rPr>
              <w:t>3,471,817</w:t>
            </w:r>
          </w:p>
        </w:tc>
        <w:tc>
          <w:tcPr>
            <w:tcW w:w="1134" w:type="dxa"/>
            <w:tcBorders>
              <w:top w:val="nil"/>
              <w:left w:val="nil"/>
              <w:bottom w:val="nil"/>
              <w:right w:val="nil"/>
            </w:tcBorders>
            <w:shd w:val="clear" w:color="auto" w:fill="auto"/>
            <w:vAlign w:val="bottom"/>
          </w:tcPr>
          <w:p w14:paraId="0DD829E9" w14:textId="25034EED" w:rsidR="00A66703" w:rsidRPr="001D41EA" w:rsidRDefault="00A66703" w:rsidP="001D41EA">
            <w:pPr>
              <w:spacing w:before="40" w:after="40"/>
              <w:jc w:val="right"/>
              <w:rPr>
                <w:rFonts w:cs="Arial"/>
                <w:sz w:val="18"/>
                <w:szCs w:val="18"/>
              </w:rPr>
            </w:pPr>
            <w:r w:rsidRPr="001D41EA">
              <w:rPr>
                <w:rFonts w:cs="Arial"/>
                <w:sz w:val="18"/>
                <w:szCs w:val="18"/>
              </w:rPr>
              <w:t>-27,586</w:t>
            </w:r>
          </w:p>
        </w:tc>
      </w:tr>
      <w:tr w:rsidR="00A66703" w:rsidRPr="001D41EA" w14:paraId="150B046C"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17453FA7" w14:textId="77777777" w:rsidR="00A66703" w:rsidRPr="001D41EA" w:rsidRDefault="00A66703" w:rsidP="001D41EA">
            <w:pPr>
              <w:spacing w:before="40" w:after="40"/>
              <w:rPr>
                <w:rFonts w:cs="Arial"/>
                <w:sz w:val="18"/>
                <w:szCs w:val="18"/>
              </w:rPr>
            </w:pPr>
            <w:r w:rsidRPr="001D41EA">
              <w:rPr>
                <w:rFonts w:cs="Arial"/>
                <w:sz w:val="18"/>
                <w:szCs w:val="18"/>
              </w:rPr>
              <w:t xml:space="preserve">Darebin C </w:t>
            </w:r>
          </w:p>
        </w:tc>
        <w:tc>
          <w:tcPr>
            <w:tcW w:w="1134" w:type="dxa"/>
            <w:tcBorders>
              <w:top w:val="nil"/>
              <w:left w:val="single" w:sz="18" w:space="0" w:color="5F497A" w:themeColor="accent4" w:themeShade="BF"/>
              <w:bottom w:val="nil"/>
              <w:right w:val="nil"/>
            </w:tcBorders>
            <w:shd w:val="clear" w:color="auto" w:fill="auto"/>
            <w:vAlign w:val="bottom"/>
          </w:tcPr>
          <w:p w14:paraId="56A7B831" w14:textId="0AF79D76" w:rsidR="00A66703" w:rsidRPr="001D41EA" w:rsidRDefault="00A66703" w:rsidP="001D41EA">
            <w:pPr>
              <w:spacing w:before="40" w:after="40"/>
              <w:jc w:val="right"/>
              <w:rPr>
                <w:rFonts w:cs="Arial"/>
                <w:sz w:val="18"/>
                <w:szCs w:val="18"/>
              </w:rPr>
            </w:pPr>
            <w:r w:rsidRPr="001D41EA">
              <w:rPr>
                <w:rFonts w:cs="Arial"/>
                <w:sz w:val="18"/>
                <w:szCs w:val="18"/>
              </w:rPr>
              <w:t>3,301,976</w:t>
            </w:r>
          </w:p>
        </w:tc>
        <w:tc>
          <w:tcPr>
            <w:tcW w:w="1134" w:type="dxa"/>
            <w:tcBorders>
              <w:top w:val="nil"/>
              <w:left w:val="nil"/>
              <w:bottom w:val="nil"/>
              <w:right w:val="nil"/>
            </w:tcBorders>
            <w:shd w:val="clear" w:color="auto" w:fill="auto"/>
            <w:vAlign w:val="bottom"/>
          </w:tcPr>
          <w:p w14:paraId="7B52176C" w14:textId="586076A8" w:rsidR="00A66703" w:rsidRPr="001D41EA" w:rsidRDefault="00A66703" w:rsidP="001D41EA">
            <w:pPr>
              <w:spacing w:before="40" w:after="40"/>
              <w:jc w:val="right"/>
              <w:rPr>
                <w:rFonts w:cs="Arial"/>
                <w:sz w:val="18"/>
                <w:szCs w:val="18"/>
              </w:rPr>
            </w:pPr>
            <w:r w:rsidRPr="001D41EA">
              <w:rPr>
                <w:rFonts w:cs="Arial"/>
                <w:sz w:val="18"/>
                <w:szCs w:val="18"/>
              </w:rPr>
              <w:t>3,265,985</w:t>
            </w:r>
          </w:p>
        </w:tc>
        <w:tc>
          <w:tcPr>
            <w:tcW w:w="1134" w:type="dxa"/>
            <w:tcBorders>
              <w:top w:val="nil"/>
              <w:left w:val="nil"/>
              <w:bottom w:val="nil"/>
              <w:right w:val="nil"/>
            </w:tcBorders>
            <w:shd w:val="clear" w:color="auto" w:fill="auto"/>
            <w:vAlign w:val="bottom"/>
          </w:tcPr>
          <w:p w14:paraId="17599275" w14:textId="07B4ED1E" w:rsidR="00A66703" w:rsidRPr="001D41EA" w:rsidRDefault="00A66703" w:rsidP="001D41EA">
            <w:pPr>
              <w:spacing w:before="40" w:after="40"/>
              <w:jc w:val="right"/>
              <w:rPr>
                <w:rFonts w:cs="Arial"/>
                <w:sz w:val="18"/>
                <w:szCs w:val="18"/>
              </w:rPr>
            </w:pPr>
            <w:r w:rsidRPr="001D41EA">
              <w:rPr>
                <w:rFonts w:cs="Arial"/>
                <w:sz w:val="18"/>
                <w:szCs w:val="18"/>
              </w:rPr>
              <w:t>-35,991</w:t>
            </w:r>
          </w:p>
        </w:tc>
        <w:tc>
          <w:tcPr>
            <w:tcW w:w="170" w:type="dxa"/>
            <w:tcBorders>
              <w:top w:val="nil"/>
              <w:left w:val="nil"/>
              <w:bottom w:val="nil"/>
              <w:right w:val="nil"/>
            </w:tcBorders>
            <w:shd w:val="clear" w:color="auto" w:fill="auto"/>
            <w:vAlign w:val="bottom"/>
          </w:tcPr>
          <w:p w14:paraId="62544EAB"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75AF0DA" w14:textId="42F94275" w:rsidR="00A66703" w:rsidRPr="001D41EA" w:rsidRDefault="00A66703" w:rsidP="001D41EA">
            <w:pPr>
              <w:spacing w:before="40" w:after="40"/>
              <w:jc w:val="right"/>
              <w:rPr>
                <w:rFonts w:cs="Arial"/>
                <w:sz w:val="18"/>
                <w:szCs w:val="18"/>
              </w:rPr>
            </w:pPr>
            <w:r w:rsidRPr="001D41EA">
              <w:rPr>
                <w:rFonts w:cs="Arial"/>
                <w:sz w:val="18"/>
                <w:szCs w:val="18"/>
              </w:rPr>
              <w:t>890,426</w:t>
            </w:r>
          </w:p>
        </w:tc>
        <w:tc>
          <w:tcPr>
            <w:tcW w:w="1135" w:type="dxa"/>
            <w:tcBorders>
              <w:top w:val="nil"/>
              <w:left w:val="nil"/>
              <w:bottom w:val="nil"/>
              <w:right w:val="nil"/>
            </w:tcBorders>
            <w:shd w:val="clear" w:color="auto" w:fill="auto"/>
            <w:vAlign w:val="bottom"/>
          </w:tcPr>
          <w:p w14:paraId="56D6C944" w14:textId="6F7762EF" w:rsidR="00A66703" w:rsidRPr="001D41EA" w:rsidRDefault="00A66703" w:rsidP="001D41EA">
            <w:pPr>
              <w:spacing w:before="40" w:after="40"/>
              <w:jc w:val="right"/>
              <w:rPr>
                <w:rFonts w:cs="Arial"/>
                <w:sz w:val="18"/>
                <w:szCs w:val="18"/>
              </w:rPr>
            </w:pPr>
            <w:r w:rsidRPr="001D41EA">
              <w:rPr>
                <w:rFonts w:cs="Arial"/>
                <w:sz w:val="18"/>
                <w:szCs w:val="18"/>
              </w:rPr>
              <w:t>883,407</w:t>
            </w:r>
          </w:p>
        </w:tc>
        <w:tc>
          <w:tcPr>
            <w:tcW w:w="1134" w:type="dxa"/>
            <w:tcBorders>
              <w:top w:val="nil"/>
              <w:left w:val="nil"/>
              <w:bottom w:val="nil"/>
              <w:right w:val="nil"/>
            </w:tcBorders>
            <w:shd w:val="clear" w:color="auto" w:fill="auto"/>
            <w:vAlign w:val="bottom"/>
          </w:tcPr>
          <w:p w14:paraId="08F40907" w14:textId="521B6242" w:rsidR="00A66703" w:rsidRPr="001D41EA" w:rsidRDefault="00A66703" w:rsidP="001D41EA">
            <w:pPr>
              <w:spacing w:before="40" w:after="40"/>
              <w:jc w:val="right"/>
              <w:rPr>
                <w:rFonts w:cs="Arial"/>
                <w:sz w:val="18"/>
                <w:szCs w:val="18"/>
              </w:rPr>
            </w:pPr>
            <w:r w:rsidRPr="001D41EA">
              <w:rPr>
                <w:rFonts w:cs="Arial"/>
                <w:sz w:val="18"/>
                <w:szCs w:val="18"/>
              </w:rPr>
              <w:t>-7,019</w:t>
            </w:r>
          </w:p>
        </w:tc>
      </w:tr>
      <w:tr w:rsidR="00A66703" w:rsidRPr="001D41EA" w14:paraId="78935C63"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62B56385" w14:textId="77777777" w:rsidR="00A66703" w:rsidRPr="001D41EA" w:rsidRDefault="00A66703" w:rsidP="001D41EA">
            <w:pPr>
              <w:spacing w:before="40" w:after="40"/>
              <w:rPr>
                <w:rFonts w:cs="Arial"/>
                <w:sz w:val="18"/>
                <w:szCs w:val="18"/>
              </w:rPr>
            </w:pPr>
            <w:r w:rsidRPr="001D41EA">
              <w:rPr>
                <w:rFonts w:cs="Arial"/>
                <w:sz w:val="18"/>
                <w:szCs w:val="18"/>
              </w:rPr>
              <w:t xml:space="preserve">East Gippsland S </w:t>
            </w:r>
          </w:p>
        </w:tc>
        <w:tc>
          <w:tcPr>
            <w:tcW w:w="1134" w:type="dxa"/>
            <w:tcBorders>
              <w:top w:val="nil"/>
              <w:left w:val="single" w:sz="18" w:space="0" w:color="5F497A" w:themeColor="accent4" w:themeShade="BF"/>
              <w:bottom w:val="nil"/>
              <w:right w:val="nil"/>
            </w:tcBorders>
            <w:shd w:val="clear" w:color="auto" w:fill="auto"/>
            <w:vAlign w:val="bottom"/>
          </w:tcPr>
          <w:p w14:paraId="63B7DFAC" w14:textId="7F956C7E" w:rsidR="00A66703" w:rsidRPr="001D41EA" w:rsidRDefault="00A66703" w:rsidP="001D41EA">
            <w:pPr>
              <w:spacing w:before="40" w:after="40"/>
              <w:jc w:val="right"/>
              <w:rPr>
                <w:rFonts w:cs="Arial"/>
                <w:sz w:val="18"/>
                <w:szCs w:val="18"/>
              </w:rPr>
            </w:pPr>
            <w:r w:rsidRPr="001D41EA">
              <w:rPr>
                <w:rFonts w:cs="Arial"/>
                <w:sz w:val="18"/>
                <w:szCs w:val="18"/>
              </w:rPr>
              <w:t>10,394,893</w:t>
            </w:r>
          </w:p>
        </w:tc>
        <w:tc>
          <w:tcPr>
            <w:tcW w:w="1134" w:type="dxa"/>
            <w:tcBorders>
              <w:top w:val="nil"/>
              <w:left w:val="nil"/>
              <w:bottom w:val="nil"/>
              <w:right w:val="nil"/>
            </w:tcBorders>
            <w:shd w:val="clear" w:color="auto" w:fill="auto"/>
            <w:vAlign w:val="bottom"/>
          </w:tcPr>
          <w:p w14:paraId="200CBB14" w14:textId="22701AE8" w:rsidR="00A66703" w:rsidRPr="001D41EA" w:rsidRDefault="00A66703" w:rsidP="001D41EA">
            <w:pPr>
              <w:spacing w:before="40" w:after="40"/>
              <w:jc w:val="right"/>
              <w:rPr>
                <w:rFonts w:cs="Arial"/>
                <w:sz w:val="18"/>
                <w:szCs w:val="18"/>
              </w:rPr>
            </w:pPr>
            <w:r w:rsidRPr="001D41EA">
              <w:rPr>
                <w:rFonts w:cs="Arial"/>
                <w:sz w:val="18"/>
                <w:szCs w:val="18"/>
              </w:rPr>
              <w:t>10,281,589</w:t>
            </w:r>
          </w:p>
        </w:tc>
        <w:tc>
          <w:tcPr>
            <w:tcW w:w="1134" w:type="dxa"/>
            <w:tcBorders>
              <w:top w:val="nil"/>
              <w:left w:val="nil"/>
              <w:bottom w:val="nil"/>
              <w:right w:val="nil"/>
            </w:tcBorders>
            <w:shd w:val="clear" w:color="auto" w:fill="auto"/>
            <w:vAlign w:val="bottom"/>
          </w:tcPr>
          <w:p w14:paraId="2371AFD4" w14:textId="41C4F6F2" w:rsidR="00A66703" w:rsidRPr="001D41EA" w:rsidRDefault="00A66703" w:rsidP="001D41EA">
            <w:pPr>
              <w:spacing w:before="40" w:after="40"/>
              <w:jc w:val="right"/>
              <w:rPr>
                <w:rFonts w:cs="Arial"/>
                <w:sz w:val="18"/>
                <w:szCs w:val="18"/>
              </w:rPr>
            </w:pPr>
            <w:r w:rsidRPr="001D41EA">
              <w:rPr>
                <w:rFonts w:cs="Arial"/>
                <w:sz w:val="18"/>
                <w:szCs w:val="18"/>
              </w:rPr>
              <w:t>-113,304</w:t>
            </w:r>
          </w:p>
        </w:tc>
        <w:tc>
          <w:tcPr>
            <w:tcW w:w="170" w:type="dxa"/>
            <w:tcBorders>
              <w:top w:val="nil"/>
              <w:left w:val="nil"/>
              <w:bottom w:val="nil"/>
              <w:right w:val="nil"/>
            </w:tcBorders>
            <w:shd w:val="clear" w:color="auto" w:fill="auto"/>
            <w:vAlign w:val="bottom"/>
          </w:tcPr>
          <w:p w14:paraId="5B732F61"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CED947F" w14:textId="3C427263" w:rsidR="00A66703" w:rsidRPr="001D41EA" w:rsidRDefault="00A66703" w:rsidP="001D41EA">
            <w:pPr>
              <w:spacing w:before="40" w:after="40"/>
              <w:jc w:val="right"/>
              <w:rPr>
                <w:rFonts w:cs="Arial"/>
                <w:sz w:val="18"/>
                <w:szCs w:val="18"/>
              </w:rPr>
            </w:pPr>
            <w:r w:rsidRPr="001D41EA">
              <w:rPr>
                <w:rFonts w:cs="Arial"/>
                <w:sz w:val="18"/>
                <w:szCs w:val="18"/>
              </w:rPr>
              <w:t>4,585,574</w:t>
            </w:r>
          </w:p>
        </w:tc>
        <w:tc>
          <w:tcPr>
            <w:tcW w:w="1135" w:type="dxa"/>
            <w:tcBorders>
              <w:top w:val="nil"/>
              <w:left w:val="nil"/>
              <w:bottom w:val="nil"/>
              <w:right w:val="nil"/>
            </w:tcBorders>
            <w:shd w:val="clear" w:color="auto" w:fill="auto"/>
            <w:vAlign w:val="bottom"/>
          </w:tcPr>
          <w:p w14:paraId="7166BA6E" w14:textId="5C2B1CF3" w:rsidR="00A66703" w:rsidRPr="001D41EA" w:rsidRDefault="00A66703" w:rsidP="001D41EA">
            <w:pPr>
              <w:spacing w:before="40" w:after="40"/>
              <w:jc w:val="right"/>
              <w:rPr>
                <w:rFonts w:cs="Arial"/>
                <w:sz w:val="18"/>
                <w:szCs w:val="18"/>
              </w:rPr>
            </w:pPr>
            <w:r w:rsidRPr="001D41EA">
              <w:rPr>
                <w:rFonts w:cs="Arial"/>
                <w:sz w:val="18"/>
                <w:szCs w:val="18"/>
              </w:rPr>
              <w:t>4,549,426</w:t>
            </w:r>
          </w:p>
        </w:tc>
        <w:tc>
          <w:tcPr>
            <w:tcW w:w="1134" w:type="dxa"/>
            <w:tcBorders>
              <w:top w:val="nil"/>
              <w:left w:val="nil"/>
              <w:bottom w:val="nil"/>
              <w:right w:val="nil"/>
            </w:tcBorders>
            <w:shd w:val="clear" w:color="auto" w:fill="auto"/>
            <w:vAlign w:val="bottom"/>
          </w:tcPr>
          <w:p w14:paraId="0D0AF631" w14:textId="7D028013" w:rsidR="00A66703" w:rsidRPr="001D41EA" w:rsidRDefault="00A66703" w:rsidP="001D41EA">
            <w:pPr>
              <w:spacing w:before="40" w:after="40"/>
              <w:jc w:val="right"/>
              <w:rPr>
                <w:rFonts w:cs="Arial"/>
                <w:sz w:val="18"/>
                <w:szCs w:val="18"/>
              </w:rPr>
            </w:pPr>
            <w:r w:rsidRPr="001D41EA">
              <w:rPr>
                <w:rFonts w:cs="Arial"/>
                <w:sz w:val="18"/>
                <w:szCs w:val="18"/>
              </w:rPr>
              <w:t>-36,148</w:t>
            </w:r>
          </w:p>
        </w:tc>
      </w:tr>
      <w:tr w:rsidR="00A66703" w:rsidRPr="001D41EA" w14:paraId="5D59DC6B"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84C30B5" w14:textId="77777777" w:rsidR="00A66703" w:rsidRPr="001D41EA" w:rsidRDefault="00A66703" w:rsidP="001D41EA">
            <w:pPr>
              <w:spacing w:before="40" w:after="40"/>
              <w:rPr>
                <w:rFonts w:cs="Arial"/>
                <w:sz w:val="18"/>
                <w:szCs w:val="18"/>
              </w:rPr>
            </w:pPr>
            <w:r w:rsidRPr="001D41EA">
              <w:rPr>
                <w:rFonts w:cs="Arial"/>
                <w:sz w:val="18"/>
                <w:szCs w:val="18"/>
              </w:rPr>
              <w:t xml:space="preserve">Frankston C </w:t>
            </w:r>
          </w:p>
        </w:tc>
        <w:tc>
          <w:tcPr>
            <w:tcW w:w="1134" w:type="dxa"/>
            <w:tcBorders>
              <w:top w:val="nil"/>
              <w:left w:val="single" w:sz="18" w:space="0" w:color="5F497A" w:themeColor="accent4" w:themeShade="BF"/>
              <w:bottom w:val="nil"/>
              <w:right w:val="nil"/>
            </w:tcBorders>
            <w:shd w:val="clear" w:color="auto" w:fill="auto"/>
            <w:vAlign w:val="bottom"/>
          </w:tcPr>
          <w:p w14:paraId="2DF57B94" w14:textId="63F84506" w:rsidR="00A66703" w:rsidRPr="001D41EA" w:rsidRDefault="00A66703" w:rsidP="001D41EA">
            <w:pPr>
              <w:spacing w:before="40" w:after="40"/>
              <w:jc w:val="right"/>
              <w:rPr>
                <w:rFonts w:cs="Arial"/>
                <w:sz w:val="18"/>
                <w:szCs w:val="18"/>
              </w:rPr>
            </w:pPr>
            <w:r w:rsidRPr="001D41EA">
              <w:rPr>
                <w:rFonts w:cs="Arial"/>
                <w:sz w:val="18"/>
                <w:szCs w:val="18"/>
              </w:rPr>
              <w:t>7,279,344</w:t>
            </w:r>
          </w:p>
        </w:tc>
        <w:tc>
          <w:tcPr>
            <w:tcW w:w="1134" w:type="dxa"/>
            <w:tcBorders>
              <w:top w:val="nil"/>
              <w:left w:val="nil"/>
              <w:bottom w:val="nil"/>
              <w:right w:val="nil"/>
            </w:tcBorders>
            <w:shd w:val="clear" w:color="auto" w:fill="auto"/>
            <w:vAlign w:val="bottom"/>
          </w:tcPr>
          <w:p w14:paraId="3D929EDA" w14:textId="467CD537" w:rsidR="00A66703" w:rsidRPr="001D41EA" w:rsidRDefault="00A66703" w:rsidP="001D41EA">
            <w:pPr>
              <w:spacing w:before="40" w:after="40"/>
              <w:jc w:val="right"/>
              <w:rPr>
                <w:rFonts w:cs="Arial"/>
                <w:sz w:val="18"/>
                <w:szCs w:val="18"/>
              </w:rPr>
            </w:pPr>
            <w:r w:rsidRPr="001D41EA">
              <w:rPr>
                <w:rFonts w:cs="Arial"/>
                <w:sz w:val="18"/>
                <w:szCs w:val="18"/>
              </w:rPr>
              <w:t>7,200,000</w:t>
            </w:r>
          </w:p>
        </w:tc>
        <w:tc>
          <w:tcPr>
            <w:tcW w:w="1134" w:type="dxa"/>
            <w:tcBorders>
              <w:top w:val="nil"/>
              <w:left w:val="nil"/>
              <w:bottom w:val="nil"/>
              <w:right w:val="nil"/>
            </w:tcBorders>
            <w:shd w:val="clear" w:color="auto" w:fill="auto"/>
            <w:vAlign w:val="bottom"/>
          </w:tcPr>
          <w:p w14:paraId="3CE4F2FA" w14:textId="3E0C773F" w:rsidR="00A66703" w:rsidRPr="001D41EA" w:rsidRDefault="00A66703" w:rsidP="001D41EA">
            <w:pPr>
              <w:spacing w:before="40" w:after="40"/>
              <w:jc w:val="right"/>
              <w:rPr>
                <w:rFonts w:cs="Arial"/>
                <w:sz w:val="18"/>
                <w:szCs w:val="18"/>
              </w:rPr>
            </w:pPr>
            <w:r w:rsidRPr="001D41EA">
              <w:rPr>
                <w:rFonts w:cs="Arial"/>
                <w:sz w:val="18"/>
                <w:szCs w:val="18"/>
              </w:rPr>
              <w:t>-79,344</w:t>
            </w:r>
          </w:p>
        </w:tc>
        <w:tc>
          <w:tcPr>
            <w:tcW w:w="170" w:type="dxa"/>
            <w:tcBorders>
              <w:top w:val="nil"/>
              <w:left w:val="nil"/>
              <w:bottom w:val="nil"/>
              <w:right w:val="nil"/>
            </w:tcBorders>
            <w:shd w:val="clear" w:color="auto" w:fill="auto"/>
            <w:vAlign w:val="bottom"/>
          </w:tcPr>
          <w:p w14:paraId="364A3C3C"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8F59459" w14:textId="7F4784AC" w:rsidR="00A66703" w:rsidRPr="001D41EA" w:rsidRDefault="00A66703" w:rsidP="001D41EA">
            <w:pPr>
              <w:spacing w:before="40" w:after="40"/>
              <w:jc w:val="right"/>
              <w:rPr>
                <w:rFonts w:cs="Arial"/>
                <w:sz w:val="18"/>
                <w:szCs w:val="18"/>
              </w:rPr>
            </w:pPr>
            <w:r w:rsidRPr="001D41EA">
              <w:rPr>
                <w:rFonts w:cs="Arial"/>
                <w:sz w:val="18"/>
                <w:szCs w:val="18"/>
              </w:rPr>
              <w:t>1,138,999</w:t>
            </w:r>
          </w:p>
        </w:tc>
        <w:tc>
          <w:tcPr>
            <w:tcW w:w="1135" w:type="dxa"/>
            <w:tcBorders>
              <w:top w:val="nil"/>
              <w:left w:val="nil"/>
              <w:bottom w:val="nil"/>
              <w:right w:val="nil"/>
            </w:tcBorders>
            <w:shd w:val="clear" w:color="auto" w:fill="auto"/>
            <w:vAlign w:val="bottom"/>
          </w:tcPr>
          <w:p w14:paraId="60491044" w14:textId="75B9C40D" w:rsidR="00A66703" w:rsidRPr="001D41EA" w:rsidRDefault="00A66703" w:rsidP="001D41EA">
            <w:pPr>
              <w:spacing w:before="40" w:after="40"/>
              <w:jc w:val="right"/>
              <w:rPr>
                <w:rFonts w:cs="Arial"/>
                <w:sz w:val="18"/>
                <w:szCs w:val="18"/>
              </w:rPr>
            </w:pPr>
            <w:r w:rsidRPr="001D41EA">
              <w:rPr>
                <w:rFonts w:cs="Arial"/>
                <w:sz w:val="18"/>
                <w:szCs w:val="18"/>
              </w:rPr>
              <w:t>1,130,020</w:t>
            </w:r>
          </w:p>
        </w:tc>
        <w:tc>
          <w:tcPr>
            <w:tcW w:w="1134" w:type="dxa"/>
            <w:tcBorders>
              <w:top w:val="nil"/>
              <w:left w:val="nil"/>
              <w:bottom w:val="nil"/>
              <w:right w:val="nil"/>
            </w:tcBorders>
            <w:shd w:val="clear" w:color="auto" w:fill="auto"/>
            <w:vAlign w:val="bottom"/>
          </w:tcPr>
          <w:p w14:paraId="6E01FD28" w14:textId="72A31371" w:rsidR="00A66703" w:rsidRPr="001D41EA" w:rsidRDefault="00A66703" w:rsidP="001D41EA">
            <w:pPr>
              <w:spacing w:before="40" w:after="40"/>
              <w:jc w:val="right"/>
              <w:rPr>
                <w:rFonts w:cs="Arial"/>
                <w:sz w:val="18"/>
                <w:szCs w:val="18"/>
              </w:rPr>
            </w:pPr>
            <w:r w:rsidRPr="001D41EA">
              <w:rPr>
                <w:rFonts w:cs="Arial"/>
                <w:sz w:val="18"/>
                <w:szCs w:val="18"/>
              </w:rPr>
              <w:t>-8,979</w:t>
            </w:r>
          </w:p>
        </w:tc>
      </w:tr>
      <w:tr w:rsidR="00A66703" w:rsidRPr="001D41EA" w14:paraId="1C0D5FA2"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5B69DC7F" w14:textId="77777777" w:rsidR="00A66703" w:rsidRPr="001D41EA" w:rsidRDefault="00A66703" w:rsidP="001D41EA">
            <w:pPr>
              <w:spacing w:before="40" w:after="40"/>
              <w:rPr>
                <w:rFonts w:cs="Arial"/>
                <w:sz w:val="18"/>
                <w:szCs w:val="18"/>
              </w:rPr>
            </w:pPr>
            <w:r w:rsidRPr="001D41EA">
              <w:rPr>
                <w:rFonts w:cs="Arial"/>
                <w:sz w:val="18"/>
                <w:szCs w:val="18"/>
              </w:rPr>
              <w:t xml:space="preserve">Gannawarra S </w:t>
            </w:r>
          </w:p>
        </w:tc>
        <w:tc>
          <w:tcPr>
            <w:tcW w:w="1134" w:type="dxa"/>
            <w:tcBorders>
              <w:top w:val="nil"/>
              <w:left w:val="single" w:sz="18" w:space="0" w:color="5F497A" w:themeColor="accent4" w:themeShade="BF"/>
              <w:bottom w:val="nil"/>
              <w:right w:val="nil"/>
            </w:tcBorders>
            <w:shd w:val="clear" w:color="auto" w:fill="auto"/>
            <w:vAlign w:val="bottom"/>
          </w:tcPr>
          <w:p w14:paraId="073CD5FF" w14:textId="752DC577" w:rsidR="00A66703" w:rsidRPr="001D41EA" w:rsidRDefault="00A66703" w:rsidP="001D41EA">
            <w:pPr>
              <w:spacing w:before="40" w:after="40"/>
              <w:jc w:val="right"/>
              <w:rPr>
                <w:rFonts w:cs="Arial"/>
                <w:sz w:val="18"/>
                <w:szCs w:val="18"/>
              </w:rPr>
            </w:pPr>
            <w:r w:rsidRPr="001D41EA">
              <w:rPr>
                <w:rFonts w:cs="Arial"/>
                <w:sz w:val="18"/>
                <w:szCs w:val="18"/>
              </w:rPr>
              <w:t>3,581,758</w:t>
            </w:r>
          </w:p>
        </w:tc>
        <w:tc>
          <w:tcPr>
            <w:tcW w:w="1134" w:type="dxa"/>
            <w:tcBorders>
              <w:top w:val="nil"/>
              <w:left w:val="nil"/>
              <w:bottom w:val="nil"/>
              <w:right w:val="nil"/>
            </w:tcBorders>
            <w:shd w:val="clear" w:color="auto" w:fill="auto"/>
            <w:vAlign w:val="bottom"/>
          </w:tcPr>
          <w:p w14:paraId="43EA53A8" w14:textId="77FD6A53" w:rsidR="00A66703" w:rsidRPr="001D41EA" w:rsidRDefault="00A66703" w:rsidP="001D41EA">
            <w:pPr>
              <w:spacing w:before="40" w:after="40"/>
              <w:jc w:val="right"/>
              <w:rPr>
                <w:rFonts w:cs="Arial"/>
                <w:sz w:val="18"/>
                <w:szCs w:val="18"/>
              </w:rPr>
            </w:pPr>
            <w:r w:rsidRPr="001D41EA">
              <w:rPr>
                <w:rFonts w:cs="Arial"/>
                <w:sz w:val="18"/>
                <w:szCs w:val="18"/>
              </w:rPr>
              <w:t>3,542,717</w:t>
            </w:r>
          </w:p>
        </w:tc>
        <w:tc>
          <w:tcPr>
            <w:tcW w:w="1134" w:type="dxa"/>
            <w:tcBorders>
              <w:top w:val="nil"/>
              <w:left w:val="nil"/>
              <w:bottom w:val="nil"/>
              <w:right w:val="nil"/>
            </w:tcBorders>
            <w:shd w:val="clear" w:color="auto" w:fill="auto"/>
            <w:vAlign w:val="bottom"/>
          </w:tcPr>
          <w:p w14:paraId="0F981A78" w14:textId="4FE4FB58" w:rsidR="00A66703" w:rsidRPr="001D41EA" w:rsidRDefault="00A66703" w:rsidP="001D41EA">
            <w:pPr>
              <w:spacing w:before="40" w:after="40"/>
              <w:jc w:val="right"/>
              <w:rPr>
                <w:rFonts w:cs="Arial"/>
                <w:sz w:val="18"/>
                <w:szCs w:val="18"/>
              </w:rPr>
            </w:pPr>
            <w:r w:rsidRPr="001D41EA">
              <w:rPr>
                <w:rFonts w:cs="Arial"/>
                <w:sz w:val="18"/>
                <w:szCs w:val="18"/>
              </w:rPr>
              <w:t>-39,041</w:t>
            </w:r>
          </w:p>
        </w:tc>
        <w:tc>
          <w:tcPr>
            <w:tcW w:w="170" w:type="dxa"/>
            <w:tcBorders>
              <w:top w:val="nil"/>
              <w:left w:val="nil"/>
              <w:bottom w:val="nil"/>
              <w:right w:val="nil"/>
            </w:tcBorders>
            <w:shd w:val="clear" w:color="auto" w:fill="auto"/>
            <w:vAlign w:val="bottom"/>
          </w:tcPr>
          <w:p w14:paraId="593C172E"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1521247" w14:textId="1E8B4F4A" w:rsidR="00A66703" w:rsidRPr="001D41EA" w:rsidRDefault="00A66703" w:rsidP="001D41EA">
            <w:pPr>
              <w:spacing w:before="40" w:after="40"/>
              <w:jc w:val="right"/>
              <w:rPr>
                <w:rFonts w:cs="Arial"/>
                <w:sz w:val="18"/>
                <w:szCs w:val="18"/>
              </w:rPr>
            </w:pPr>
            <w:r w:rsidRPr="001D41EA">
              <w:rPr>
                <w:rFonts w:cs="Arial"/>
                <w:sz w:val="18"/>
                <w:szCs w:val="18"/>
              </w:rPr>
              <w:t>2,017,917</w:t>
            </w:r>
          </w:p>
        </w:tc>
        <w:tc>
          <w:tcPr>
            <w:tcW w:w="1135" w:type="dxa"/>
            <w:tcBorders>
              <w:top w:val="nil"/>
              <w:left w:val="nil"/>
              <w:bottom w:val="nil"/>
              <w:right w:val="nil"/>
            </w:tcBorders>
            <w:shd w:val="clear" w:color="auto" w:fill="auto"/>
            <w:vAlign w:val="bottom"/>
          </w:tcPr>
          <w:p w14:paraId="74943470" w14:textId="616D8812" w:rsidR="00A66703" w:rsidRPr="001D41EA" w:rsidRDefault="00A66703" w:rsidP="001D41EA">
            <w:pPr>
              <w:spacing w:before="40" w:after="40"/>
              <w:jc w:val="right"/>
              <w:rPr>
                <w:rFonts w:cs="Arial"/>
                <w:sz w:val="18"/>
                <w:szCs w:val="18"/>
              </w:rPr>
            </w:pPr>
            <w:r w:rsidRPr="001D41EA">
              <w:rPr>
                <w:rFonts w:cs="Arial"/>
                <w:sz w:val="18"/>
                <w:szCs w:val="18"/>
              </w:rPr>
              <w:t>2,002,010</w:t>
            </w:r>
          </w:p>
        </w:tc>
        <w:tc>
          <w:tcPr>
            <w:tcW w:w="1134" w:type="dxa"/>
            <w:tcBorders>
              <w:top w:val="nil"/>
              <w:left w:val="nil"/>
              <w:bottom w:val="nil"/>
              <w:right w:val="nil"/>
            </w:tcBorders>
            <w:shd w:val="clear" w:color="auto" w:fill="auto"/>
            <w:vAlign w:val="bottom"/>
          </w:tcPr>
          <w:p w14:paraId="74AC9642" w14:textId="420A119A" w:rsidR="00A66703" w:rsidRPr="001D41EA" w:rsidRDefault="00A66703" w:rsidP="001D41EA">
            <w:pPr>
              <w:spacing w:before="40" w:after="40"/>
              <w:jc w:val="right"/>
              <w:rPr>
                <w:rFonts w:cs="Arial"/>
                <w:sz w:val="18"/>
                <w:szCs w:val="18"/>
              </w:rPr>
            </w:pPr>
            <w:r w:rsidRPr="001D41EA">
              <w:rPr>
                <w:rFonts w:cs="Arial"/>
                <w:sz w:val="18"/>
                <w:szCs w:val="18"/>
              </w:rPr>
              <w:t>-15,907</w:t>
            </w:r>
          </w:p>
        </w:tc>
      </w:tr>
      <w:tr w:rsidR="00A66703" w:rsidRPr="001D41EA" w14:paraId="409852C5"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81A94DB" w14:textId="77777777" w:rsidR="00A66703" w:rsidRPr="001D41EA" w:rsidRDefault="00A66703" w:rsidP="001D41EA">
            <w:pPr>
              <w:spacing w:before="40" w:after="40"/>
              <w:rPr>
                <w:rFonts w:cs="Arial"/>
                <w:sz w:val="18"/>
                <w:szCs w:val="18"/>
              </w:rPr>
            </w:pPr>
            <w:r w:rsidRPr="001D41EA">
              <w:rPr>
                <w:rFonts w:cs="Arial"/>
                <w:sz w:val="18"/>
                <w:szCs w:val="18"/>
              </w:rPr>
              <w:t xml:space="preserve">Glen Eira C </w:t>
            </w:r>
          </w:p>
        </w:tc>
        <w:tc>
          <w:tcPr>
            <w:tcW w:w="1134" w:type="dxa"/>
            <w:tcBorders>
              <w:top w:val="nil"/>
              <w:left w:val="single" w:sz="18" w:space="0" w:color="5F497A" w:themeColor="accent4" w:themeShade="BF"/>
              <w:bottom w:val="nil"/>
              <w:right w:val="nil"/>
            </w:tcBorders>
            <w:shd w:val="clear" w:color="auto" w:fill="auto"/>
            <w:vAlign w:val="bottom"/>
          </w:tcPr>
          <w:p w14:paraId="3ECD6894" w14:textId="17520C7A" w:rsidR="00A66703" w:rsidRPr="001D41EA" w:rsidRDefault="00A66703" w:rsidP="001D41EA">
            <w:pPr>
              <w:spacing w:before="40" w:after="40"/>
              <w:jc w:val="right"/>
              <w:rPr>
                <w:rFonts w:cs="Arial"/>
                <w:sz w:val="18"/>
                <w:szCs w:val="18"/>
              </w:rPr>
            </w:pPr>
            <w:r w:rsidRPr="001D41EA">
              <w:rPr>
                <w:rFonts w:cs="Arial"/>
                <w:sz w:val="18"/>
                <w:szCs w:val="18"/>
              </w:rPr>
              <w:t>3,160,215</w:t>
            </w:r>
          </w:p>
        </w:tc>
        <w:tc>
          <w:tcPr>
            <w:tcW w:w="1134" w:type="dxa"/>
            <w:tcBorders>
              <w:top w:val="nil"/>
              <w:left w:val="nil"/>
              <w:bottom w:val="nil"/>
              <w:right w:val="nil"/>
            </w:tcBorders>
            <w:shd w:val="clear" w:color="auto" w:fill="auto"/>
            <w:vAlign w:val="bottom"/>
          </w:tcPr>
          <w:p w14:paraId="6931D97E" w14:textId="41B55B65" w:rsidR="00A66703" w:rsidRPr="001D41EA" w:rsidRDefault="00A66703" w:rsidP="001D41EA">
            <w:pPr>
              <w:spacing w:before="40" w:after="40"/>
              <w:jc w:val="right"/>
              <w:rPr>
                <w:rFonts w:cs="Arial"/>
                <w:sz w:val="18"/>
                <w:szCs w:val="18"/>
              </w:rPr>
            </w:pPr>
            <w:r w:rsidRPr="001D41EA">
              <w:rPr>
                <w:rFonts w:cs="Arial"/>
                <w:sz w:val="18"/>
                <w:szCs w:val="18"/>
              </w:rPr>
              <w:t>3,125,769</w:t>
            </w:r>
          </w:p>
        </w:tc>
        <w:tc>
          <w:tcPr>
            <w:tcW w:w="1134" w:type="dxa"/>
            <w:tcBorders>
              <w:top w:val="nil"/>
              <w:left w:val="nil"/>
              <w:bottom w:val="nil"/>
              <w:right w:val="nil"/>
            </w:tcBorders>
            <w:shd w:val="clear" w:color="auto" w:fill="auto"/>
            <w:vAlign w:val="bottom"/>
          </w:tcPr>
          <w:p w14:paraId="3871ADE9" w14:textId="657FF892" w:rsidR="00A66703" w:rsidRPr="001D41EA" w:rsidRDefault="00A66703" w:rsidP="001D41EA">
            <w:pPr>
              <w:spacing w:before="40" w:after="40"/>
              <w:jc w:val="right"/>
              <w:rPr>
                <w:rFonts w:cs="Arial"/>
                <w:sz w:val="18"/>
                <w:szCs w:val="18"/>
              </w:rPr>
            </w:pPr>
            <w:r w:rsidRPr="001D41EA">
              <w:rPr>
                <w:rFonts w:cs="Arial"/>
                <w:sz w:val="18"/>
                <w:szCs w:val="18"/>
              </w:rPr>
              <w:t>-34,446</w:t>
            </w:r>
          </w:p>
        </w:tc>
        <w:tc>
          <w:tcPr>
            <w:tcW w:w="170" w:type="dxa"/>
            <w:tcBorders>
              <w:top w:val="nil"/>
              <w:left w:val="nil"/>
              <w:bottom w:val="nil"/>
              <w:right w:val="nil"/>
            </w:tcBorders>
            <w:shd w:val="clear" w:color="auto" w:fill="auto"/>
            <w:vAlign w:val="bottom"/>
          </w:tcPr>
          <w:p w14:paraId="7C299623"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271BC64" w14:textId="796FF2CB" w:rsidR="00A66703" w:rsidRPr="001D41EA" w:rsidRDefault="00A66703" w:rsidP="001D41EA">
            <w:pPr>
              <w:spacing w:before="40" w:after="40"/>
              <w:jc w:val="right"/>
              <w:rPr>
                <w:rFonts w:cs="Arial"/>
                <w:sz w:val="18"/>
                <w:szCs w:val="18"/>
              </w:rPr>
            </w:pPr>
            <w:r w:rsidRPr="001D41EA">
              <w:rPr>
                <w:rFonts w:cs="Arial"/>
                <w:sz w:val="18"/>
                <w:szCs w:val="18"/>
              </w:rPr>
              <w:t>648,717</w:t>
            </w:r>
          </w:p>
        </w:tc>
        <w:tc>
          <w:tcPr>
            <w:tcW w:w="1135" w:type="dxa"/>
            <w:tcBorders>
              <w:top w:val="nil"/>
              <w:left w:val="nil"/>
              <w:bottom w:val="nil"/>
              <w:right w:val="nil"/>
            </w:tcBorders>
            <w:shd w:val="clear" w:color="auto" w:fill="auto"/>
            <w:vAlign w:val="bottom"/>
          </w:tcPr>
          <w:p w14:paraId="405535F3" w14:textId="56C25C51" w:rsidR="00A66703" w:rsidRPr="001D41EA" w:rsidRDefault="00A66703" w:rsidP="001D41EA">
            <w:pPr>
              <w:spacing w:before="40" w:after="40"/>
              <w:jc w:val="right"/>
              <w:rPr>
                <w:rFonts w:cs="Arial"/>
                <w:sz w:val="18"/>
                <w:szCs w:val="18"/>
              </w:rPr>
            </w:pPr>
            <w:r w:rsidRPr="001D41EA">
              <w:rPr>
                <w:rFonts w:cs="Arial"/>
                <w:sz w:val="18"/>
                <w:szCs w:val="18"/>
              </w:rPr>
              <w:t>643,603</w:t>
            </w:r>
          </w:p>
        </w:tc>
        <w:tc>
          <w:tcPr>
            <w:tcW w:w="1134" w:type="dxa"/>
            <w:tcBorders>
              <w:top w:val="nil"/>
              <w:left w:val="nil"/>
              <w:bottom w:val="nil"/>
              <w:right w:val="nil"/>
            </w:tcBorders>
            <w:shd w:val="clear" w:color="auto" w:fill="auto"/>
            <w:vAlign w:val="bottom"/>
          </w:tcPr>
          <w:p w14:paraId="20037B27" w14:textId="795C71F4" w:rsidR="00A66703" w:rsidRPr="001D41EA" w:rsidRDefault="00A66703" w:rsidP="001D41EA">
            <w:pPr>
              <w:spacing w:before="40" w:after="40"/>
              <w:jc w:val="right"/>
              <w:rPr>
                <w:rFonts w:cs="Arial"/>
                <w:sz w:val="18"/>
                <w:szCs w:val="18"/>
              </w:rPr>
            </w:pPr>
            <w:r w:rsidRPr="001D41EA">
              <w:rPr>
                <w:rFonts w:cs="Arial"/>
                <w:sz w:val="18"/>
                <w:szCs w:val="18"/>
              </w:rPr>
              <w:t>-5,114</w:t>
            </w:r>
          </w:p>
        </w:tc>
      </w:tr>
      <w:tr w:rsidR="00A66703" w:rsidRPr="001D41EA" w14:paraId="7398E010"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2EAC33F9" w14:textId="77777777" w:rsidR="00A66703" w:rsidRPr="001D41EA" w:rsidRDefault="00A66703" w:rsidP="001D41EA">
            <w:pPr>
              <w:spacing w:before="40" w:after="40"/>
              <w:rPr>
                <w:rFonts w:cs="Arial"/>
                <w:sz w:val="18"/>
                <w:szCs w:val="18"/>
              </w:rPr>
            </w:pPr>
            <w:r w:rsidRPr="001D41EA">
              <w:rPr>
                <w:rFonts w:cs="Arial"/>
                <w:sz w:val="18"/>
                <w:szCs w:val="18"/>
              </w:rPr>
              <w:t xml:space="preserve">Glenelg S </w:t>
            </w:r>
          </w:p>
        </w:tc>
        <w:tc>
          <w:tcPr>
            <w:tcW w:w="1134" w:type="dxa"/>
            <w:tcBorders>
              <w:top w:val="nil"/>
              <w:left w:val="single" w:sz="18" w:space="0" w:color="5F497A" w:themeColor="accent4" w:themeShade="BF"/>
              <w:bottom w:val="nil"/>
              <w:right w:val="nil"/>
            </w:tcBorders>
            <w:shd w:val="clear" w:color="auto" w:fill="auto"/>
            <w:vAlign w:val="bottom"/>
          </w:tcPr>
          <w:p w14:paraId="1F529A38" w14:textId="6A8C985F" w:rsidR="00A66703" w:rsidRPr="001D41EA" w:rsidRDefault="00A66703" w:rsidP="001D41EA">
            <w:pPr>
              <w:spacing w:before="40" w:after="40"/>
              <w:jc w:val="right"/>
              <w:rPr>
                <w:rFonts w:cs="Arial"/>
                <w:sz w:val="18"/>
                <w:szCs w:val="18"/>
              </w:rPr>
            </w:pPr>
            <w:r w:rsidRPr="001D41EA">
              <w:rPr>
                <w:rFonts w:cs="Arial"/>
                <w:sz w:val="18"/>
                <w:szCs w:val="18"/>
              </w:rPr>
              <w:t>4,705,681</w:t>
            </w:r>
          </w:p>
        </w:tc>
        <w:tc>
          <w:tcPr>
            <w:tcW w:w="1134" w:type="dxa"/>
            <w:tcBorders>
              <w:top w:val="nil"/>
              <w:left w:val="nil"/>
              <w:bottom w:val="nil"/>
              <w:right w:val="nil"/>
            </w:tcBorders>
            <w:shd w:val="clear" w:color="auto" w:fill="auto"/>
            <w:vAlign w:val="bottom"/>
          </w:tcPr>
          <w:p w14:paraId="3EF32A1D" w14:textId="2EBE62BC" w:rsidR="00A66703" w:rsidRPr="001D41EA" w:rsidRDefault="00A66703" w:rsidP="001D41EA">
            <w:pPr>
              <w:spacing w:before="40" w:after="40"/>
              <w:jc w:val="right"/>
              <w:rPr>
                <w:rFonts w:cs="Arial"/>
                <w:sz w:val="18"/>
                <w:szCs w:val="18"/>
              </w:rPr>
            </w:pPr>
            <w:r w:rsidRPr="001D41EA">
              <w:rPr>
                <w:rFonts w:cs="Arial"/>
                <w:sz w:val="18"/>
                <w:szCs w:val="18"/>
              </w:rPr>
              <w:t>4,654,389</w:t>
            </w:r>
          </w:p>
        </w:tc>
        <w:tc>
          <w:tcPr>
            <w:tcW w:w="1134" w:type="dxa"/>
            <w:tcBorders>
              <w:top w:val="nil"/>
              <w:left w:val="nil"/>
              <w:bottom w:val="nil"/>
              <w:right w:val="nil"/>
            </w:tcBorders>
            <w:shd w:val="clear" w:color="auto" w:fill="auto"/>
            <w:vAlign w:val="bottom"/>
          </w:tcPr>
          <w:p w14:paraId="11A37739" w14:textId="58DE8130" w:rsidR="00A66703" w:rsidRPr="001D41EA" w:rsidRDefault="00A66703" w:rsidP="001D41EA">
            <w:pPr>
              <w:spacing w:before="40" w:after="40"/>
              <w:jc w:val="right"/>
              <w:rPr>
                <w:rFonts w:cs="Arial"/>
                <w:sz w:val="18"/>
                <w:szCs w:val="18"/>
              </w:rPr>
            </w:pPr>
            <w:r w:rsidRPr="001D41EA">
              <w:rPr>
                <w:rFonts w:cs="Arial"/>
                <w:sz w:val="18"/>
                <w:szCs w:val="18"/>
              </w:rPr>
              <w:t>-51,292</w:t>
            </w:r>
          </w:p>
        </w:tc>
        <w:tc>
          <w:tcPr>
            <w:tcW w:w="170" w:type="dxa"/>
            <w:tcBorders>
              <w:top w:val="nil"/>
              <w:left w:val="nil"/>
              <w:bottom w:val="nil"/>
              <w:right w:val="nil"/>
            </w:tcBorders>
            <w:shd w:val="clear" w:color="auto" w:fill="auto"/>
            <w:vAlign w:val="bottom"/>
          </w:tcPr>
          <w:p w14:paraId="472193A2"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E298417" w14:textId="6B0F05CC" w:rsidR="00A66703" w:rsidRPr="001D41EA" w:rsidRDefault="00A66703" w:rsidP="001D41EA">
            <w:pPr>
              <w:spacing w:before="40" w:after="40"/>
              <w:jc w:val="right"/>
              <w:rPr>
                <w:rFonts w:cs="Arial"/>
                <w:sz w:val="18"/>
                <w:szCs w:val="18"/>
              </w:rPr>
            </w:pPr>
            <w:r w:rsidRPr="001D41EA">
              <w:rPr>
                <w:rFonts w:cs="Arial"/>
                <w:sz w:val="18"/>
                <w:szCs w:val="18"/>
              </w:rPr>
              <w:t>3,481,118</w:t>
            </w:r>
          </w:p>
        </w:tc>
        <w:tc>
          <w:tcPr>
            <w:tcW w:w="1135" w:type="dxa"/>
            <w:tcBorders>
              <w:top w:val="nil"/>
              <w:left w:val="nil"/>
              <w:bottom w:val="nil"/>
              <w:right w:val="nil"/>
            </w:tcBorders>
            <w:shd w:val="clear" w:color="auto" w:fill="auto"/>
            <w:vAlign w:val="bottom"/>
          </w:tcPr>
          <w:p w14:paraId="49BD692E" w14:textId="3A5E4A83" w:rsidR="00A66703" w:rsidRPr="001D41EA" w:rsidRDefault="00A66703" w:rsidP="001D41EA">
            <w:pPr>
              <w:spacing w:before="40" w:after="40"/>
              <w:jc w:val="right"/>
              <w:rPr>
                <w:rFonts w:cs="Arial"/>
                <w:sz w:val="18"/>
                <w:szCs w:val="18"/>
              </w:rPr>
            </w:pPr>
            <w:r w:rsidRPr="001D41EA">
              <w:rPr>
                <w:rFonts w:cs="Arial"/>
                <w:sz w:val="18"/>
                <w:szCs w:val="18"/>
              </w:rPr>
              <w:t>3,453,677</w:t>
            </w:r>
          </w:p>
        </w:tc>
        <w:tc>
          <w:tcPr>
            <w:tcW w:w="1134" w:type="dxa"/>
            <w:tcBorders>
              <w:top w:val="nil"/>
              <w:left w:val="nil"/>
              <w:bottom w:val="nil"/>
              <w:right w:val="nil"/>
            </w:tcBorders>
            <w:shd w:val="clear" w:color="auto" w:fill="auto"/>
            <w:vAlign w:val="bottom"/>
          </w:tcPr>
          <w:p w14:paraId="0278E940" w14:textId="4E5D508A" w:rsidR="00A66703" w:rsidRPr="001D41EA" w:rsidRDefault="00A66703" w:rsidP="001D41EA">
            <w:pPr>
              <w:spacing w:before="40" w:after="40"/>
              <w:jc w:val="right"/>
              <w:rPr>
                <w:rFonts w:cs="Arial"/>
                <w:sz w:val="18"/>
                <w:szCs w:val="18"/>
              </w:rPr>
            </w:pPr>
            <w:r w:rsidRPr="001D41EA">
              <w:rPr>
                <w:rFonts w:cs="Arial"/>
                <w:sz w:val="18"/>
                <w:szCs w:val="18"/>
              </w:rPr>
              <w:t>-27,441</w:t>
            </w:r>
          </w:p>
        </w:tc>
      </w:tr>
      <w:tr w:rsidR="00A66703" w:rsidRPr="001D41EA" w14:paraId="3EC6C857"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AD8BF46" w14:textId="77777777" w:rsidR="00A66703" w:rsidRPr="001D41EA" w:rsidRDefault="00A66703" w:rsidP="001D41EA">
            <w:pPr>
              <w:spacing w:before="40" w:after="40"/>
              <w:rPr>
                <w:rFonts w:cs="Arial"/>
                <w:sz w:val="18"/>
                <w:szCs w:val="18"/>
              </w:rPr>
            </w:pPr>
            <w:r w:rsidRPr="001D41EA">
              <w:rPr>
                <w:rFonts w:cs="Arial"/>
                <w:sz w:val="18"/>
                <w:szCs w:val="18"/>
              </w:rPr>
              <w:t xml:space="preserve">Golden Plains S </w:t>
            </w:r>
          </w:p>
        </w:tc>
        <w:tc>
          <w:tcPr>
            <w:tcW w:w="1134" w:type="dxa"/>
            <w:tcBorders>
              <w:top w:val="nil"/>
              <w:left w:val="single" w:sz="18" w:space="0" w:color="5F497A" w:themeColor="accent4" w:themeShade="BF"/>
              <w:bottom w:val="nil"/>
              <w:right w:val="nil"/>
            </w:tcBorders>
            <w:shd w:val="clear" w:color="auto" w:fill="auto"/>
            <w:vAlign w:val="bottom"/>
          </w:tcPr>
          <w:p w14:paraId="782EBBC4" w14:textId="6CE7ACE0" w:rsidR="00A66703" w:rsidRPr="001D41EA" w:rsidRDefault="00A66703" w:rsidP="001D41EA">
            <w:pPr>
              <w:spacing w:before="40" w:after="40"/>
              <w:jc w:val="right"/>
              <w:rPr>
                <w:rFonts w:cs="Arial"/>
                <w:sz w:val="18"/>
                <w:szCs w:val="18"/>
              </w:rPr>
            </w:pPr>
            <w:r w:rsidRPr="001D41EA">
              <w:rPr>
                <w:rFonts w:cs="Arial"/>
                <w:sz w:val="18"/>
                <w:szCs w:val="18"/>
              </w:rPr>
              <w:t>3,717,439</w:t>
            </w:r>
          </w:p>
        </w:tc>
        <w:tc>
          <w:tcPr>
            <w:tcW w:w="1134" w:type="dxa"/>
            <w:tcBorders>
              <w:top w:val="nil"/>
              <w:left w:val="nil"/>
              <w:bottom w:val="nil"/>
              <w:right w:val="nil"/>
            </w:tcBorders>
            <w:shd w:val="clear" w:color="auto" w:fill="auto"/>
            <w:vAlign w:val="bottom"/>
          </w:tcPr>
          <w:p w14:paraId="33E63827" w14:textId="0EDFF90D" w:rsidR="00A66703" w:rsidRPr="001D41EA" w:rsidRDefault="00A66703" w:rsidP="001D41EA">
            <w:pPr>
              <w:spacing w:before="40" w:after="40"/>
              <w:jc w:val="right"/>
              <w:rPr>
                <w:rFonts w:cs="Arial"/>
                <w:sz w:val="18"/>
                <w:szCs w:val="18"/>
              </w:rPr>
            </w:pPr>
            <w:r w:rsidRPr="001D41EA">
              <w:rPr>
                <w:rFonts w:cs="Arial"/>
                <w:sz w:val="18"/>
                <w:szCs w:val="18"/>
              </w:rPr>
              <w:t>3,676,919</w:t>
            </w:r>
          </w:p>
        </w:tc>
        <w:tc>
          <w:tcPr>
            <w:tcW w:w="1134" w:type="dxa"/>
            <w:tcBorders>
              <w:top w:val="nil"/>
              <w:left w:val="nil"/>
              <w:bottom w:val="nil"/>
              <w:right w:val="nil"/>
            </w:tcBorders>
            <w:shd w:val="clear" w:color="auto" w:fill="auto"/>
            <w:vAlign w:val="bottom"/>
          </w:tcPr>
          <w:p w14:paraId="22050404" w14:textId="41621BF3" w:rsidR="00A66703" w:rsidRPr="001D41EA" w:rsidRDefault="00A66703" w:rsidP="001D41EA">
            <w:pPr>
              <w:spacing w:before="40" w:after="40"/>
              <w:jc w:val="right"/>
              <w:rPr>
                <w:rFonts w:cs="Arial"/>
                <w:sz w:val="18"/>
                <w:szCs w:val="18"/>
              </w:rPr>
            </w:pPr>
            <w:r w:rsidRPr="001D41EA">
              <w:rPr>
                <w:rFonts w:cs="Arial"/>
                <w:sz w:val="18"/>
                <w:szCs w:val="18"/>
              </w:rPr>
              <w:t>-40,520</w:t>
            </w:r>
          </w:p>
        </w:tc>
        <w:tc>
          <w:tcPr>
            <w:tcW w:w="170" w:type="dxa"/>
            <w:tcBorders>
              <w:top w:val="nil"/>
              <w:left w:val="nil"/>
              <w:bottom w:val="nil"/>
              <w:right w:val="nil"/>
            </w:tcBorders>
            <w:shd w:val="clear" w:color="auto" w:fill="auto"/>
            <w:vAlign w:val="bottom"/>
          </w:tcPr>
          <w:p w14:paraId="3577CABF"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FA9CB31" w14:textId="6BD703E7" w:rsidR="00A66703" w:rsidRPr="001D41EA" w:rsidRDefault="00A66703" w:rsidP="001D41EA">
            <w:pPr>
              <w:spacing w:before="40" w:after="40"/>
              <w:jc w:val="right"/>
              <w:rPr>
                <w:rFonts w:cs="Arial"/>
                <w:sz w:val="18"/>
                <w:szCs w:val="18"/>
              </w:rPr>
            </w:pPr>
            <w:r w:rsidRPr="001D41EA">
              <w:rPr>
                <w:rFonts w:cs="Arial"/>
                <w:sz w:val="18"/>
                <w:szCs w:val="18"/>
              </w:rPr>
              <w:t>2,041,956</w:t>
            </w:r>
          </w:p>
        </w:tc>
        <w:tc>
          <w:tcPr>
            <w:tcW w:w="1135" w:type="dxa"/>
            <w:tcBorders>
              <w:top w:val="nil"/>
              <w:left w:val="nil"/>
              <w:bottom w:val="nil"/>
              <w:right w:val="nil"/>
            </w:tcBorders>
            <w:shd w:val="clear" w:color="auto" w:fill="auto"/>
            <w:vAlign w:val="bottom"/>
          </w:tcPr>
          <w:p w14:paraId="3FE4ED6B" w14:textId="32BDB1D3" w:rsidR="00A66703" w:rsidRPr="001D41EA" w:rsidRDefault="00A66703" w:rsidP="001D41EA">
            <w:pPr>
              <w:spacing w:before="40" w:after="40"/>
              <w:jc w:val="right"/>
              <w:rPr>
                <w:rFonts w:cs="Arial"/>
                <w:sz w:val="18"/>
                <w:szCs w:val="18"/>
              </w:rPr>
            </w:pPr>
            <w:r w:rsidRPr="001D41EA">
              <w:rPr>
                <w:rFonts w:cs="Arial"/>
                <w:sz w:val="18"/>
                <w:szCs w:val="18"/>
              </w:rPr>
              <w:t>2,025,859</w:t>
            </w:r>
          </w:p>
        </w:tc>
        <w:tc>
          <w:tcPr>
            <w:tcW w:w="1134" w:type="dxa"/>
            <w:tcBorders>
              <w:top w:val="nil"/>
              <w:left w:val="nil"/>
              <w:bottom w:val="nil"/>
              <w:right w:val="nil"/>
            </w:tcBorders>
            <w:shd w:val="clear" w:color="auto" w:fill="auto"/>
            <w:vAlign w:val="bottom"/>
          </w:tcPr>
          <w:p w14:paraId="4C74FACF" w14:textId="325BBDB3" w:rsidR="00A66703" w:rsidRPr="001D41EA" w:rsidRDefault="00A66703" w:rsidP="001D41EA">
            <w:pPr>
              <w:spacing w:before="40" w:after="40"/>
              <w:jc w:val="right"/>
              <w:rPr>
                <w:rFonts w:cs="Arial"/>
                <w:sz w:val="18"/>
                <w:szCs w:val="18"/>
              </w:rPr>
            </w:pPr>
            <w:r w:rsidRPr="001D41EA">
              <w:rPr>
                <w:rFonts w:cs="Arial"/>
                <w:sz w:val="18"/>
                <w:szCs w:val="18"/>
              </w:rPr>
              <w:t>-16,097</w:t>
            </w:r>
          </w:p>
        </w:tc>
      </w:tr>
      <w:tr w:rsidR="00A66703" w:rsidRPr="001D41EA" w14:paraId="7E806E9C"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6B009615" w14:textId="77777777" w:rsidR="00A66703" w:rsidRPr="001D41EA" w:rsidRDefault="00A66703" w:rsidP="001D41EA">
            <w:pPr>
              <w:spacing w:before="40" w:after="40"/>
              <w:rPr>
                <w:rFonts w:cs="Arial"/>
                <w:sz w:val="18"/>
                <w:szCs w:val="18"/>
              </w:rPr>
            </w:pPr>
            <w:r w:rsidRPr="001D41EA">
              <w:rPr>
                <w:rFonts w:cs="Arial"/>
                <w:sz w:val="18"/>
                <w:szCs w:val="18"/>
              </w:rPr>
              <w:t xml:space="preserve">Greater Bendigo C </w:t>
            </w:r>
          </w:p>
        </w:tc>
        <w:tc>
          <w:tcPr>
            <w:tcW w:w="1134" w:type="dxa"/>
            <w:tcBorders>
              <w:top w:val="nil"/>
              <w:left w:val="single" w:sz="18" w:space="0" w:color="5F497A" w:themeColor="accent4" w:themeShade="BF"/>
              <w:bottom w:val="nil"/>
              <w:right w:val="nil"/>
            </w:tcBorders>
            <w:shd w:val="clear" w:color="auto" w:fill="auto"/>
            <w:vAlign w:val="bottom"/>
          </w:tcPr>
          <w:p w14:paraId="108A93BA" w14:textId="048951E6" w:rsidR="00A66703" w:rsidRPr="001D41EA" w:rsidRDefault="00A66703" w:rsidP="001D41EA">
            <w:pPr>
              <w:spacing w:before="40" w:after="40"/>
              <w:jc w:val="right"/>
              <w:rPr>
                <w:rFonts w:cs="Arial"/>
                <w:sz w:val="18"/>
                <w:szCs w:val="18"/>
              </w:rPr>
            </w:pPr>
            <w:r w:rsidRPr="001D41EA">
              <w:rPr>
                <w:rFonts w:cs="Arial"/>
                <w:sz w:val="18"/>
                <w:szCs w:val="18"/>
              </w:rPr>
              <w:t>13,084,558</w:t>
            </w:r>
          </w:p>
        </w:tc>
        <w:tc>
          <w:tcPr>
            <w:tcW w:w="1134" w:type="dxa"/>
            <w:tcBorders>
              <w:top w:val="nil"/>
              <w:left w:val="nil"/>
              <w:bottom w:val="nil"/>
              <w:right w:val="nil"/>
            </w:tcBorders>
            <w:shd w:val="clear" w:color="auto" w:fill="auto"/>
            <w:vAlign w:val="bottom"/>
          </w:tcPr>
          <w:p w14:paraId="2F51EFDB" w14:textId="23179E2D" w:rsidR="00A66703" w:rsidRPr="001D41EA" w:rsidRDefault="00A66703" w:rsidP="001D41EA">
            <w:pPr>
              <w:spacing w:before="40" w:after="40"/>
              <w:jc w:val="right"/>
              <w:rPr>
                <w:rFonts w:cs="Arial"/>
                <w:sz w:val="18"/>
                <w:szCs w:val="18"/>
              </w:rPr>
            </w:pPr>
            <w:r w:rsidRPr="001D41EA">
              <w:rPr>
                <w:rFonts w:cs="Arial"/>
                <w:sz w:val="18"/>
                <w:szCs w:val="18"/>
              </w:rPr>
              <w:t>12,941,937</w:t>
            </w:r>
          </w:p>
        </w:tc>
        <w:tc>
          <w:tcPr>
            <w:tcW w:w="1134" w:type="dxa"/>
            <w:tcBorders>
              <w:top w:val="nil"/>
              <w:left w:val="nil"/>
              <w:bottom w:val="nil"/>
              <w:right w:val="nil"/>
            </w:tcBorders>
            <w:shd w:val="clear" w:color="auto" w:fill="auto"/>
            <w:vAlign w:val="bottom"/>
          </w:tcPr>
          <w:p w14:paraId="756B819E" w14:textId="5C1BF1F9" w:rsidR="00A66703" w:rsidRPr="001D41EA" w:rsidRDefault="00A66703" w:rsidP="001D41EA">
            <w:pPr>
              <w:spacing w:before="40" w:after="40"/>
              <w:jc w:val="right"/>
              <w:rPr>
                <w:rFonts w:cs="Arial"/>
                <w:sz w:val="18"/>
                <w:szCs w:val="18"/>
              </w:rPr>
            </w:pPr>
            <w:r w:rsidRPr="001D41EA">
              <w:rPr>
                <w:rFonts w:cs="Arial"/>
                <w:sz w:val="18"/>
                <w:szCs w:val="18"/>
              </w:rPr>
              <w:t>-142,621</w:t>
            </w:r>
          </w:p>
        </w:tc>
        <w:tc>
          <w:tcPr>
            <w:tcW w:w="170" w:type="dxa"/>
            <w:tcBorders>
              <w:top w:val="nil"/>
              <w:left w:val="nil"/>
              <w:bottom w:val="nil"/>
              <w:right w:val="nil"/>
            </w:tcBorders>
            <w:shd w:val="clear" w:color="auto" w:fill="auto"/>
            <w:vAlign w:val="bottom"/>
          </w:tcPr>
          <w:p w14:paraId="38587B2B"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579E256" w14:textId="371EBE31" w:rsidR="00A66703" w:rsidRPr="001D41EA" w:rsidRDefault="00A66703" w:rsidP="001D41EA">
            <w:pPr>
              <w:spacing w:before="40" w:after="40"/>
              <w:jc w:val="right"/>
              <w:rPr>
                <w:rFonts w:cs="Arial"/>
                <w:sz w:val="18"/>
                <w:szCs w:val="18"/>
              </w:rPr>
            </w:pPr>
            <w:r w:rsidRPr="001D41EA">
              <w:rPr>
                <w:rFonts w:cs="Arial"/>
                <w:sz w:val="18"/>
                <w:szCs w:val="18"/>
              </w:rPr>
              <w:t>3,438,715</w:t>
            </w:r>
          </w:p>
        </w:tc>
        <w:tc>
          <w:tcPr>
            <w:tcW w:w="1135" w:type="dxa"/>
            <w:tcBorders>
              <w:top w:val="nil"/>
              <w:left w:val="nil"/>
              <w:bottom w:val="nil"/>
              <w:right w:val="nil"/>
            </w:tcBorders>
            <w:shd w:val="clear" w:color="auto" w:fill="auto"/>
            <w:vAlign w:val="bottom"/>
          </w:tcPr>
          <w:p w14:paraId="1FECBC2F" w14:textId="31732462" w:rsidR="00A66703" w:rsidRPr="001D41EA" w:rsidRDefault="00A66703" w:rsidP="001D41EA">
            <w:pPr>
              <w:spacing w:before="40" w:after="40"/>
              <w:jc w:val="right"/>
              <w:rPr>
                <w:rFonts w:cs="Arial"/>
                <w:sz w:val="18"/>
                <w:szCs w:val="18"/>
              </w:rPr>
            </w:pPr>
            <w:r w:rsidRPr="001D41EA">
              <w:rPr>
                <w:rFonts w:cs="Arial"/>
                <w:sz w:val="18"/>
                <w:szCs w:val="18"/>
              </w:rPr>
              <w:t>3,411,608</w:t>
            </w:r>
          </w:p>
        </w:tc>
        <w:tc>
          <w:tcPr>
            <w:tcW w:w="1134" w:type="dxa"/>
            <w:tcBorders>
              <w:top w:val="nil"/>
              <w:left w:val="nil"/>
              <w:bottom w:val="nil"/>
              <w:right w:val="nil"/>
            </w:tcBorders>
            <w:shd w:val="clear" w:color="auto" w:fill="auto"/>
            <w:vAlign w:val="bottom"/>
          </w:tcPr>
          <w:p w14:paraId="57FC20BA" w14:textId="2947A17D" w:rsidR="00A66703" w:rsidRPr="001D41EA" w:rsidRDefault="00A66703" w:rsidP="001D41EA">
            <w:pPr>
              <w:spacing w:before="40" w:after="40"/>
              <w:jc w:val="right"/>
              <w:rPr>
                <w:rFonts w:cs="Arial"/>
                <w:sz w:val="18"/>
                <w:szCs w:val="18"/>
              </w:rPr>
            </w:pPr>
            <w:r w:rsidRPr="001D41EA">
              <w:rPr>
                <w:rFonts w:cs="Arial"/>
                <w:sz w:val="18"/>
                <w:szCs w:val="18"/>
              </w:rPr>
              <w:t>-27,107</w:t>
            </w:r>
          </w:p>
        </w:tc>
      </w:tr>
      <w:tr w:rsidR="00A66703" w:rsidRPr="001D41EA" w14:paraId="5E2E0C68"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20205E38" w14:textId="77777777" w:rsidR="00A66703" w:rsidRPr="001D41EA" w:rsidRDefault="00A66703" w:rsidP="001D41EA">
            <w:pPr>
              <w:spacing w:before="40" w:after="40"/>
              <w:rPr>
                <w:rFonts w:cs="Arial"/>
                <w:sz w:val="18"/>
                <w:szCs w:val="18"/>
              </w:rPr>
            </w:pPr>
            <w:r w:rsidRPr="001D41EA">
              <w:rPr>
                <w:rFonts w:cs="Arial"/>
                <w:sz w:val="18"/>
                <w:szCs w:val="18"/>
              </w:rPr>
              <w:t xml:space="preserve">Greater Dandenong C </w:t>
            </w:r>
          </w:p>
        </w:tc>
        <w:tc>
          <w:tcPr>
            <w:tcW w:w="1134" w:type="dxa"/>
            <w:tcBorders>
              <w:top w:val="nil"/>
              <w:left w:val="single" w:sz="18" w:space="0" w:color="5F497A" w:themeColor="accent4" w:themeShade="BF"/>
              <w:bottom w:val="nil"/>
              <w:right w:val="nil"/>
            </w:tcBorders>
            <w:shd w:val="clear" w:color="auto" w:fill="auto"/>
            <w:vAlign w:val="bottom"/>
          </w:tcPr>
          <w:p w14:paraId="14CB5473" w14:textId="3C0B02BD" w:rsidR="00A66703" w:rsidRPr="001D41EA" w:rsidRDefault="00A66703" w:rsidP="001D41EA">
            <w:pPr>
              <w:spacing w:before="40" w:after="40"/>
              <w:jc w:val="right"/>
              <w:rPr>
                <w:rFonts w:cs="Arial"/>
                <w:sz w:val="18"/>
                <w:szCs w:val="18"/>
              </w:rPr>
            </w:pPr>
            <w:r w:rsidRPr="001D41EA">
              <w:rPr>
                <w:rFonts w:cs="Arial"/>
                <w:sz w:val="18"/>
                <w:szCs w:val="18"/>
              </w:rPr>
              <w:t>10,360,760</w:t>
            </w:r>
          </w:p>
        </w:tc>
        <w:tc>
          <w:tcPr>
            <w:tcW w:w="1134" w:type="dxa"/>
            <w:tcBorders>
              <w:top w:val="nil"/>
              <w:left w:val="nil"/>
              <w:bottom w:val="nil"/>
              <w:right w:val="nil"/>
            </w:tcBorders>
            <w:shd w:val="clear" w:color="auto" w:fill="auto"/>
            <w:vAlign w:val="bottom"/>
          </w:tcPr>
          <w:p w14:paraId="57738BE7" w14:textId="0D74EDB2" w:rsidR="00A66703" w:rsidRPr="001D41EA" w:rsidRDefault="00A66703" w:rsidP="001D41EA">
            <w:pPr>
              <w:spacing w:before="40" w:after="40"/>
              <w:jc w:val="right"/>
              <w:rPr>
                <w:rFonts w:cs="Arial"/>
                <w:sz w:val="18"/>
                <w:szCs w:val="18"/>
              </w:rPr>
            </w:pPr>
            <w:r w:rsidRPr="001D41EA">
              <w:rPr>
                <w:rFonts w:cs="Arial"/>
                <w:sz w:val="18"/>
                <w:szCs w:val="18"/>
              </w:rPr>
              <w:t>10,247,828</w:t>
            </w:r>
          </w:p>
        </w:tc>
        <w:tc>
          <w:tcPr>
            <w:tcW w:w="1134" w:type="dxa"/>
            <w:tcBorders>
              <w:top w:val="nil"/>
              <w:left w:val="nil"/>
              <w:bottom w:val="nil"/>
              <w:right w:val="nil"/>
            </w:tcBorders>
            <w:shd w:val="clear" w:color="auto" w:fill="auto"/>
            <w:vAlign w:val="bottom"/>
          </w:tcPr>
          <w:p w14:paraId="06CB0BBE" w14:textId="59CF81C1" w:rsidR="00A66703" w:rsidRPr="001D41EA" w:rsidRDefault="00A66703" w:rsidP="001D41EA">
            <w:pPr>
              <w:spacing w:before="40" w:after="40"/>
              <w:jc w:val="right"/>
              <w:rPr>
                <w:rFonts w:cs="Arial"/>
                <w:sz w:val="18"/>
                <w:szCs w:val="18"/>
              </w:rPr>
            </w:pPr>
            <w:r w:rsidRPr="001D41EA">
              <w:rPr>
                <w:rFonts w:cs="Arial"/>
                <w:sz w:val="18"/>
                <w:szCs w:val="18"/>
              </w:rPr>
              <w:t>-112,932</w:t>
            </w:r>
          </w:p>
        </w:tc>
        <w:tc>
          <w:tcPr>
            <w:tcW w:w="170" w:type="dxa"/>
            <w:tcBorders>
              <w:top w:val="nil"/>
              <w:left w:val="nil"/>
              <w:bottom w:val="nil"/>
              <w:right w:val="nil"/>
            </w:tcBorders>
            <w:shd w:val="clear" w:color="auto" w:fill="auto"/>
            <w:vAlign w:val="bottom"/>
          </w:tcPr>
          <w:p w14:paraId="368E1DF0"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51F5695" w14:textId="08B1BCE2" w:rsidR="00A66703" w:rsidRPr="001D41EA" w:rsidRDefault="00A66703" w:rsidP="001D41EA">
            <w:pPr>
              <w:spacing w:before="40" w:after="40"/>
              <w:jc w:val="right"/>
              <w:rPr>
                <w:rFonts w:cs="Arial"/>
                <w:sz w:val="18"/>
                <w:szCs w:val="18"/>
              </w:rPr>
            </w:pPr>
            <w:r w:rsidRPr="001D41EA">
              <w:rPr>
                <w:rFonts w:cs="Arial"/>
                <w:sz w:val="18"/>
                <w:szCs w:val="18"/>
              </w:rPr>
              <w:t>1,558,354</w:t>
            </w:r>
          </w:p>
        </w:tc>
        <w:tc>
          <w:tcPr>
            <w:tcW w:w="1135" w:type="dxa"/>
            <w:tcBorders>
              <w:top w:val="nil"/>
              <w:left w:val="nil"/>
              <w:bottom w:val="nil"/>
              <w:right w:val="nil"/>
            </w:tcBorders>
            <w:shd w:val="clear" w:color="auto" w:fill="auto"/>
            <w:vAlign w:val="bottom"/>
          </w:tcPr>
          <w:p w14:paraId="1E49562B" w14:textId="25A7CF91" w:rsidR="00A66703" w:rsidRPr="001D41EA" w:rsidRDefault="00A66703" w:rsidP="001D41EA">
            <w:pPr>
              <w:spacing w:before="40" w:after="40"/>
              <w:jc w:val="right"/>
              <w:rPr>
                <w:rFonts w:cs="Arial"/>
                <w:sz w:val="18"/>
                <w:szCs w:val="18"/>
              </w:rPr>
            </w:pPr>
            <w:r w:rsidRPr="001D41EA">
              <w:rPr>
                <w:rFonts w:cs="Arial"/>
                <w:sz w:val="18"/>
                <w:szCs w:val="18"/>
              </w:rPr>
              <w:t>1,546,070</w:t>
            </w:r>
          </w:p>
        </w:tc>
        <w:tc>
          <w:tcPr>
            <w:tcW w:w="1134" w:type="dxa"/>
            <w:tcBorders>
              <w:top w:val="nil"/>
              <w:left w:val="nil"/>
              <w:bottom w:val="nil"/>
              <w:right w:val="nil"/>
            </w:tcBorders>
            <w:shd w:val="clear" w:color="auto" w:fill="auto"/>
            <w:vAlign w:val="bottom"/>
          </w:tcPr>
          <w:p w14:paraId="7E7B6065" w14:textId="31D2C09F" w:rsidR="00A66703" w:rsidRPr="001D41EA" w:rsidRDefault="00A66703" w:rsidP="001D41EA">
            <w:pPr>
              <w:spacing w:before="40" w:after="40"/>
              <w:jc w:val="right"/>
              <w:rPr>
                <w:rFonts w:cs="Arial"/>
                <w:sz w:val="18"/>
                <w:szCs w:val="18"/>
              </w:rPr>
            </w:pPr>
            <w:r w:rsidRPr="001D41EA">
              <w:rPr>
                <w:rFonts w:cs="Arial"/>
                <w:sz w:val="18"/>
                <w:szCs w:val="18"/>
              </w:rPr>
              <w:t>-12,284</w:t>
            </w:r>
          </w:p>
        </w:tc>
      </w:tr>
      <w:tr w:rsidR="00A66703" w:rsidRPr="001D41EA" w14:paraId="1C35C640"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279EEC97" w14:textId="77777777" w:rsidR="00A66703" w:rsidRPr="001D41EA" w:rsidRDefault="00A66703" w:rsidP="001D41EA">
            <w:pPr>
              <w:spacing w:before="40" w:after="40"/>
              <w:rPr>
                <w:rFonts w:cs="Arial"/>
                <w:sz w:val="18"/>
                <w:szCs w:val="18"/>
              </w:rPr>
            </w:pPr>
            <w:r w:rsidRPr="001D41EA">
              <w:rPr>
                <w:rFonts w:cs="Arial"/>
                <w:sz w:val="18"/>
                <w:szCs w:val="18"/>
              </w:rPr>
              <w:t xml:space="preserve">Greater Geelong C </w:t>
            </w:r>
          </w:p>
        </w:tc>
        <w:tc>
          <w:tcPr>
            <w:tcW w:w="1134" w:type="dxa"/>
            <w:tcBorders>
              <w:top w:val="nil"/>
              <w:left w:val="single" w:sz="18" w:space="0" w:color="5F497A" w:themeColor="accent4" w:themeShade="BF"/>
              <w:bottom w:val="nil"/>
              <w:right w:val="nil"/>
            </w:tcBorders>
            <w:shd w:val="clear" w:color="auto" w:fill="auto"/>
            <w:vAlign w:val="bottom"/>
          </w:tcPr>
          <w:p w14:paraId="16E72B88" w14:textId="7D347085" w:rsidR="00A66703" w:rsidRPr="001D41EA" w:rsidRDefault="00A66703" w:rsidP="001D41EA">
            <w:pPr>
              <w:spacing w:before="40" w:after="40"/>
              <w:jc w:val="right"/>
              <w:rPr>
                <w:rFonts w:cs="Arial"/>
                <w:sz w:val="18"/>
                <w:szCs w:val="18"/>
              </w:rPr>
            </w:pPr>
            <w:r w:rsidRPr="001D41EA">
              <w:rPr>
                <w:rFonts w:cs="Arial"/>
                <w:sz w:val="18"/>
                <w:szCs w:val="18"/>
              </w:rPr>
              <w:t>17,595,033</w:t>
            </w:r>
          </w:p>
        </w:tc>
        <w:tc>
          <w:tcPr>
            <w:tcW w:w="1134" w:type="dxa"/>
            <w:tcBorders>
              <w:top w:val="nil"/>
              <w:left w:val="nil"/>
              <w:bottom w:val="nil"/>
              <w:right w:val="nil"/>
            </w:tcBorders>
            <w:shd w:val="clear" w:color="auto" w:fill="auto"/>
            <w:vAlign w:val="bottom"/>
          </w:tcPr>
          <w:p w14:paraId="3D7DCF9B" w14:textId="5FCD9992" w:rsidR="00A66703" w:rsidRPr="001D41EA" w:rsidRDefault="00A66703" w:rsidP="001D41EA">
            <w:pPr>
              <w:spacing w:before="40" w:after="40"/>
              <w:jc w:val="right"/>
              <w:rPr>
                <w:rFonts w:cs="Arial"/>
                <w:sz w:val="18"/>
                <w:szCs w:val="18"/>
              </w:rPr>
            </w:pPr>
            <w:r w:rsidRPr="001D41EA">
              <w:rPr>
                <w:rFonts w:cs="Arial"/>
                <w:sz w:val="18"/>
                <w:szCs w:val="18"/>
              </w:rPr>
              <w:t>17,403,245</w:t>
            </w:r>
          </w:p>
        </w:tc>
        <w:tc>
          <w:tcPr>
            <w:tcW w:w="1134" w:type="dxa"/>
            <w:tcBorders>
              <w:top w:val="nil"/>
              <w:left w:val="nil"/>
              <w:bottom w:val="nil"/>
              <w:right w:val="nil"/>
            </w:tcBorders>
            <w:shd w:val="clear" w:color="auto" w:fill="auto"/>
            <w:vAlign w:val="bottom"/>
          </w:tcPr>
          <w:p w14:paraId="1E9246ED" w14:textId="6D896E99" w:rsidR="00A66703" w:rsidRPr="001D41EA" w:rsidRDefault="00A66703" w:rsidP="001D41EA">
            <w:pPr>
              <w:spacing w:before="40" w:after="40"/>
              <w:jc w:val="right"/>
              <w:rPr>
                <w:rFonts w:cs="Arial"/>
                <w:sz w:val="18"/>
                <w:szCs w:val="18"/>
              </w:rPr>
            </w:pPr>
            <w:r w:rsidRPr="001D41EA">
              <w:rPr>
                <w:rFonts w:cs="Arial"/>
                <w:sz w:val="18"/>
                <w:szCs w:val="18"/>
              </w:rPr>
              <w:t>-191,788</w:t>
            </w:r>
          </w:p>
        </w:tc>
        <w:tc>
          <w:tcPr>
            <w:tcW w:w="170" w:type="dxa"/>
            <w:tcBorders>
              <w:top w:val="nil"/>
              <w:left w:val="nil"/>
              <w:bottom w:val="nil"/>
              <w:right w:val="nil"/>
            </w:tcBorders>
            <w:shd w:val="clear" w:color="auto" w:fill="auto"/>
            <w:vAlign w:val="bottom"/>
          </w:tcPr>
          <w:p w14:paraId="6CB7AEDD"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DBC3A09" w14:textId="4C64C763" w:rsidR="00A66703" w:rsidRPr="001D41EA" w:rsidRDefault="00A66703" w:rsidP="001D41EA">
            <w:pPr>
              <w:spacing w:before="40" w:after="40"/>
              <w:jc w:val="right"/>
              <w:rPr>
                <w:rFonts w:cs="Arial"/>
                <w:sz w:val="18"/>
                <w:szCs w:val="18"/>
              </w:rPr>
            </w:pPr>
            <w:r w:rsidRPr="001D41EA">
              <w:rPr>
                <w:rFonts w:cs="Arial"/>
                <w:sz w:val="18"/>
                <w:szCs w:val="18"/>
              </w:rPr>
              <w:t>3,343,159</w:t>
            </w:r>
          </w:p>
        </w:tc>
        <w:tc>
          <w:tcPr>
            <w:tcW w:w="1135" w:type="dxa"/>
            <w:tcBorders>
              <w:top w:val="nil"/>
              <w:left w:val="nil"/>
              <w:bottom w:val="nil"/>
              <w:right w:val="nil"/>
            </w:tcBorders>
            <w:shd w:val="clear" w:color="auto" w:fill="auto"/>
            <w:vAlign w:val="bottom"/>
          </w:tcPr>
          <w:p w14:paraId="190B5EE3" w14:textId="5141F8B5" w:rsidR="00A66703" w:rsidRPr="001D41EA" w:rsidRDefault="00A66703" w:rsidP="001D41EA">
            <w:pPr>
              <w:spacing w:before="40" w:after="40"/>
              <w:jc w:val="right"/>
              <w:rPr>
                <w:rFonts w:cs="Arial"/>
                <w:sz w:val="18"/>
                <w:szCs w:val="18"/>
              </w:rPr>
            </w:pPr>
            <w:r w:rsidRPr="001D41EA">
              <w:rPr>
                <w:rFonts w:cs="Arial"/>
                <w:sz w:val="18"/>
                <w:szCs w:val="18"/>
              </w:rPr>
              <w:t>3,316,807</w:t>
            </w:r>
          </w:p>
        </w:tc>
        <w:tc>
          <w:tcPr>
            <w:tcW w:w="1134" w:type="dxa"/>
            <w:tcBorders>
              <w:top w:val="nil"/>
              <w:left w:val="nil"/>
              <w:bottom w:val="nil"/>
              <w:right w:val="nil"/>
            </w:tcBorders>
            <w:shd w:val="clear" w:color="auto" w:fill="auto"/>
            <w:vAlign w:val="bottom"/>
          </w:tcPr>
          <w:p w14:paraId="6443E85B" w14:textId="6AEF0620" w:rsidR="00A66703" w:rsidRPr="001D41EA" w:rsidRDefault="00A66703" w:rsidP="001D41EA">
            <w:pPr>
              <w:spacing w:before="40" w:after="40"/>
              <w:jc w:val="right"/>
              <w:rPr>
                <w:rFonts w:cs="Arial"/>
                <w:sz w:val="18"/>
                <w:szCs w:val="18"/>
              </w:rPr>
            </w:pPr>
            <w:r w:rsidRPr="001D41EA">
              <w:rPr>
                <w:rFonts w:cs="Arial"/>
                <w:sz w:val="18"/>
                <w:szCs w:val="18"/>
              </w:rPr>
              <w:t>-26,352</w:t>
            </w:r>
          </w:p>
        </w:tc>
      </w:tr>
      <w:tr w:rsidR="00A66703" w:rsidRPr="001D41EA" w14:paraId="3F1E698A"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56033AE6" w14:textId="77777777" w:rsidR="00A66703" w:rsidRPr="001D41EA" w:rsidRDefault="00A66703" w:rsidP="001D41EA">
            <w:pPr>
              <w:spacing w:before="40" w:after="40"/>
              <w:rPr>
                <w:rFonts w:cs="Arial"/>
                <w:sz w:val="18"/>
                <w:szCs w:val="18"/>
              </w:rPr>
            </w:pPr>
            <w:r w:rsidRPr="001D41EA">
              <w:rPr>
                <w:rFonts w:cs="Arial"/>
                <w:sz w:val="18"/>
                <w:szCs w:val="18"/>
              </w:rPr>
              <w:t xml:space="preserve">Greater Shepparton C </w:t>
            </w:r>
          </w:p>
        </w:tc>
        <w:tc>
          <w:tcPr>
            <w:tcW w:w="1134" w:type="dxa"/>
            <w:tcBorders>
              <w:top w:val="nil"/>
              <w:left w:val="single" w:sz="18" w:space="0" w:color="5F497A" w:themeColor="accent4" w:themeShade="BF"/>
              <w:bottom w:val="nil"/>
              <w:right w:val="nil"/>
            </w:tcBorders>
            <w:shd w:val="clear" w:color="auto" w:fill="auto"/>
            <w:vAlign w:val="bottom"/>
          </w:tcPr>
          <w:p w14:paraId="54F7657E" w14:textId="6ECAF9AD" w:rsidR="00A66703" w:rsidRPr="001D41EA" w:rsidRDefault="00A66703" w:rsidP="001D41EA">
            <w:pPr>
              <w:spacing w:before="40" w:after="40"/>
              <w:jc w:val="right"/>
              <w:rPr>
                <w:rFonts w:cs="Arial"/>
                <w:sz w:val="18"/>
                <w:szCs w:val="18"/>
              </w:rPr>
            </w:pPr>
            <w:r w:rsidRPr="001D41EA">
              <w:rPr>
                <w:rFonts w:cs="Arial"/>
                <w:sz w:val="18"/>
                <w:szCs w:val="18"/>
              </w:rPr>
              <w:t>9,463,092</w:t>
            </w:r>
          </w:p>
        </w:tc>
        <w:tc>
          <w:tcPr>
            <w:tcW w:w="1134" w:type="dxa"/>
            <w:tcBorders>
              <w:top w:val="nil"/>
              <w:left w:val="nil"/>
              <w:bottom w:val="nil"/>
              <w:right w:val="nil"/>
            </w:tcBorders>
            <w:shd w:val="clear" w:color="auto" w:fill="auto"/>
            <w:vAlign w:val="bottom"/>
          </w:tcPr>
          <w:p w14:paraId="31FD67BE" w14:textId="7BD94C05" w:rsidR="00A66703" w:rsidRPr="001D41EA" w:rsidRDefault="00A66703" w:rsidP="001D41EA">
            <w:pPr>
              <w:spacing w:before="40" w:after="40"/>
              <w:jc w:val="right"/>
              <w:rPr>
                <w:rFonts w:cs="Arial"/>
                <w:sz w:val="18"/>
                <w:szCs w:val="18"/>
              </w:rPr>
            </w:pPr>
            <w:r w:rsidRPr="001D41EA">
              <w:rPr>
                <w:rFonts w:cs="Arial"/>
                <w:sz w:val="18"/>
                <w:szCs w:val="18"/>
              </w:rPr>
              <w:t>9,359,945</w:t>
            </w:r>
          </w:p>
        </w:tc>
        <w:tc>
          <w:tcPr>
            <w:tcW w:w="1134" w:type="dxa"/>
            <w:tcBorders>
              <w:top w:val="nil"/>
              <w:left w:val="nil"/>
              <w:bottom w:val="nil"/>
              <w:right w:val="nil"/>
            </w:tcBorders>
            <w:shd w:val="clear" w:color="auto" w:fill="auto"/>
            <w:vAlign w:val="bottom"/>
          </w:tcPr>
          <w:p w14:paraId="6181BD1D" w14:textId="5A46447D" w:rsidR="00A66703" w:rsidRPr="001D41EA" w:rsidRDefault="00A66703" w:rsidP="001D41EA">
            <w:pPr>
              <w:spacing w:before="40" w:after="40"/>
              <w:jc w:val="right"/>
              <w:rPr>
                <w:rFonts w:cs="Arial"/>
                <w:sz w:val="18"/>
                <w:szCs w:val="18"/>
              </w:rPr>
            </w:pPr>
            <w:r w:rsidRPr="001D41EA">
              <w:rPr>
                <w:rFonts w:cs="Arial"/>
                <w:sz w:val="18"/>
                <w:szCs w:val="18"/>
              </w:rPr>
              <w:t>-103,147</w:t>
            </w:r>
          </w:p>
        </w:tc>
        <w:tc>
          <w:tcPr>
            <w:tcW w:w="170" w:type="dxa"/>
            <w:tcBorders>
              <w:top w:val="nil"/>
              <w:left w:val="nil"/>
              <w:bottom w:val="nil"/>
              <w:right w:val="nil"/>
            </w:tcBorders>
            <w:shd w:val="clear" w:color="auto" w:fill="auto"/>
            <w:vAlign w:val="bottom"/>
          </w:tcPr>
          <w:p w14:paraId="4940DA40"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801A57C" w14:textId="54BE662C" w:rsidR="00A66703" w:rsidRPr="001D41EA" w:rsidRDefault="00A66703" w:rsidP="001D41EA">
            <w:pPr>
              <w:spacing w:before="40" w:after="40"/>
              <w:jc w:val="right"/>
              <w:rPr>
                <w:rFonts w:cs="Arial"/>
                <w:sz w:val="18"/>
                <w:szCs w:val="18"/>
              </w:rPr>
            </w:pPr>
            <w:r w:rsidRPr="001D41EA">
              <w:rPr>
                <w:rFonts w:cs="Arial"/>
                <w:sz w:val="18"/>
                <w:szCs w:val="18"/>
              </w:rPr>
              <w:t>3,113,480</w:t>
            </w:r>
          </w:p>
        </w:tc>
        <w:tc>
          <w:tcPr>
            <w:tcW w:w="1135" w:type="dxa"/>
            <w:tcBorders>
              <w:top w:val="nil"/>
              <w:left w:val="nil"/>
              <w:bottom w:val="nil"/>
              <w:right w:val="nil"/>
            </w:tcBorders>
            <w:shd w:val="clear" w:color="auto" w:fill="auto"/>
            <w:vAlign w:val="bottom"/>
          </w:tcPr>
          <w:p w14:paraId="523676E3" w14:textId="27627C01" w:rsidR="00A66703" w:rsidRPr="001D41EA" w:rsidRDefault="00A66703" w:rsidP="001D41EA">
            <w:pPr>
              <w:spacing w:before="40" w:after="40"/>
              <w:jc w:val="right"/>
              <w:rPr>
                <w:rFonts w:cs="Arial"/>
                <w:sz w:val="18"/>
                <w:szCs w:val="18"/>
              </w:rPr>
            </w:pPr>
            <w:r w:rsidRPr="001D41EA">
              <w:rPr>
                <w:rFonts w:cs="Arial"/>
                <w:sz w:val="18"/>
                <w:szCs w:val="18"/>
              </w:rPr>
              <w:t>3,088,937</w:t>
            </w:r>
          </w:p>
        </w:tc>
        <w:tc>
          <w:tcPr>
            <w:tcW w:w="1134" w:type="dxa"/>
            <w:tcBorders>
              <w:top w:val="nil"/>
              <w:left w:val="nil"/>
              <w:bottom w:val="nil"/>
              <w:right w:val="nil"/>
            </w:tcBorders>
            <w:shd w:val="clear" w:color="auto" w:fill="auto"/>
            <w:vAlign w:val="bottom"/>
          </w:tcPr>
          <w:p w14:paraId="0E7BD170" w14:textId="083BF9EC" w:rsidR="00A66703" w:rsidRPr="001D41EA" w:rsidRDefault="00A66703" w:rsidP="001D41EA">
            <w:pPr>
              <w:spacing w:before="40" w:after="40"/>
              <w:jc w:val="right"/>
              <w:rPr>
                <w:rFonts w:cs="Arial"/>
                <w:sz w:val="18"/>
                <w:szCs w:val="18"/>
              </w:rPr>
            </w:pPr>
            <w:r w:rsidRPr="001D41EA">
              <w:rPr>
                <w:rFonts w:cs="Arial"/>
                <w:sz w:val="18"/>
                <w:szCs w:val="18"/>
              </w:rPr>
              <w:t>-24,543</w:t>
            </w:r>
          </w:p>
        </w:tc>
      </w:tr>
      <w:tr w:rsidR="00A66703" w:rsidRPr="001D41EA" w14:paraId="00019C91"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0CC3A149" w14:textId="77777777" w:rsidR="00A66703" w:rsidRPr="001D41EA" w:rsidRDefault="00A66703" w:rsidP="001D41EA">
            <w:pPr>
              <w:spacing w:before="40" w:after="40"/>
              <w:rPr>
                <w:rFonts w:cs="Arial"/>
                <w:sz w:val="18"/>
                <w:szCs w:val="18"/>
              </w:rPr>
            </w:pPr>
            <w:r w:rsidRPr="001D41EA">
              <w:rPr>
                <w:rFonts w:cs="Arial"/>
                <w:sz w:val="18"/>
                <w:szCs w:val="18"/>
              </w:rPr>
              <w:t xml:space="preserve">Hepburn S </w:t>
            </w:r>
          </w:p>
        </w:tc>
        <w:tc>
          <w:tcPr>
            <w:tcW w:w="1134" w:type="dxa"/>
            <w:tcBorders>
              <w:top w:val="nil"/>
              <w:left w:val="single" w:sz="18" w:space="0" w:color="5F497A" w:themeColor="accent4" w:themeShade="BF"/>
              <w:bottom w:val="nil"/>
              <w:right w:val="nil"/>
            </w:tcBorders>
            <w:shd w:val="clear" w:color="auto" w:fill="auto"/>
            <w:vAlign w:val="bottom"/>
          </w:tcPr>
          <w:p w14:paraId="480F324E" w14:textId="7FEF981D" w:rsidR="00A66703" w:rsidRPr="001D41EA" w:rsidRDefault="00A66703" w:rsidP="001D41EA">
            <w:pPr>
              <w:spacing w:before="40" w:after="40"/>
              <w:jc w:val="right"/>
              <w:rPr>
                <w:rFonts w:cs="Arial"/>
                <w:sz w:val="18"/>
                <w:szCs w:val="18"/>
              </w:rPr>
            </w:pPr>
            <w:r w:rsidRPr="001D41EA">
              <w:rPr>
                <w:rFonts w:cs="Arial"/>
                <w:sz w:val="18"/>
                <w:szCs w:val="18"/>
              </w:rPr>
              <w:t>3,232,467</w:t>
            </w:r>
          </w:p>
        </w:tc>
        <w:tc>
          <w:tcPr>
            <w:tcW w:w="1134" w:type="dxa"/>
            <w:tcBorders>
              <w:top w:val="nil"/>
              <w:left w:val="nil"/>
              <w:bottom w:val="nil"/>
              <w:right w:val="nil"/>
            </w:tcBorders>
            <w:shd w:val="clear" w:color="auto" w:fill="auto"/>
            <w:vAlign w:val="bottom"/>
          </w:tcPr>
          <w:p w14:paraId="0A09AA70" w14:textId="25AB9862" w:rsidR="00A66703" w:rsidRPr="001D41EA" w:rsidRDefault="00A66703" w:rsidP="001D41EA">
            <w:pPr>
              <w:spacing w:before="40" w:after="40"/>
              <w:jc w:val="right"/>
              <w:rPr>
                <w:rFonts w:cs="Arial"/>
                <w:sz w:val="18"/>
                <w:szCs w:val="18"/>
              </w:rPr>
            </w:pPr>
            <w:r w:rsidRPr="001D41EA">
              <w:rPr>
                <w:rFonts w:cs="Arial"/>
                <w:sz w:val="18"/>
                <w:szCs w:val="18"/>
              </w:rPr>
              <w:t>3,197,233</w:t>
            </w:r>
          </w:p>
        </w:tc>
        <w:tc>
          <w:tcPr>
            <w:tcW w:w="1134" w:type="dxa"/>
            <w:tcBorders>
              <w:top w:val="nil"/>
              <w:left w:val="nil"/>
              <w:bottom w:val="nil"/>
              <w:right w:val="nil"/>
            </w:tcBorders>
            <w:shd w:val="clear" w:color="auto" w:fill="auto"/>
            <w:vAlign w:val="bottom"/>
          </w:tcPr>
          <w:p w14:paraId="2FDC44D5" w14:textId="4301A737" w:rsidR="00A66703" w:rsidRPr="001D41EA" w:rsidRDefault="00A66703" w:rsidP="001D41EA">
            <w:pPr>
              <w:spacing w:before="40" w:after="40"/>
              <w:jc w:val="right"/>
              <w:rPr>
                <w:rFonts w:cs="Arial"/>
                <w:sz w:val="18"/>
                <w:szCs w:val="18"/>
              </w:rPr>
            </w:pPr>
            <w:r w:rsidRPr="001D41EA">
              <w:rPr>
                <w:rFonts w:cs="Arial"/>
                <w:sz w:val="18"/>
                <w:szCs w:val="18"/>
              </w:rPr>
              <w:t>-35,234</w:t>
            </w:r>
          </w:p>
        </w:tc>
        <w:tc>
          <w:tcPr>
            <w:tcW w:w="170" w:type="dxa"/>
            <w:tcBorders>
              <w:top w:val="nil"/>
              <w:left w:val="nil"/>
              <w:bottom w:val="nil"/>
              <w:right w:val="nil"/>
            </w:tcBorders>
            <w:shd w:val="clear" w:color="auto" w:fill="auto"/>
            <w:vAlign w:val="bottom"/>
          </w:tcPr>
          <w:p w14:paraId="3049776C"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D772E1F" w14:textId="3178CAFD" w:rsidR="00A66703" w:rsidRPr="001D41EA" w:rsidRDefault="00A66703" w:rsidP="001D41EA">
            <w:pPr>
              <w:spacing w:before="40" w:after="40"/>
              <w:jc w:val="right"/>
              <w:rPr>
                <w:rFonts w:cs="Arial"/>
                <w:sz w:val="18"/>
                <w:szCs w:val="18"/>
              </w:rPr>
            </w:pPr>
            <w:r w:rsidRPr="001D41EA">
              <w:rPr>
                <w:rFonts w:cs="Arial"/>
                <w:sz w:val="18"/>
                <w:szCs w:val="18"/>
              </w:rPr>
              <w:t>1,483,372</w:t>
            </w:r>
          </w:p>
        </w:tc>
        <w:tc>
          <w:tcPr>
            <w:tcW w:w="1135" w:type="dxa"/>
            <w:tcBorders>
              <w:top w:val="nil"/>
              <w:left w:val="nil"/>
              <w:bottom w:val="nil"/>
              <w:right w:val="nil"/>
            </w:tcBorders>
            <w:shd w:val="clear" w:color="auto" w:fill="auto"/>
            <w:vAlign w:val="bottom"/>
          </w:tcPr>
          <w:p w14:paraId="30312478" w14:textId="021015DE" w:rsidR="00A66703" w:rsidRPr="001D41EA" w:rsidRDefault="00A66703" w:rsidP="001D41EA">
            <w:pPr>
              <w:spacing w:before="40" w:after="40"/>
              <w:jc w:val="right"/>
              <w:rPr>
                <w:rFonts w:cs="Arial"/>
                <w:sz w:val="18"/>
                <w:szCs w:val="18"/>
              </w:rPr>
            </w:pPr>
            <w:r w:rsidRPr="001D41EA">
              <w:rPr>
                <w:rFonts w:cs="Arial"/>
                <w:sz w:val="18"/>
                <w:szCs w:val="18"/>
              </w:rPr>
              <w:t>1,471,679</w:t>
            </w:r>
          </w:p>
        </w:tc>
        <w:tc>
          <w:tcPr>
            <w:tcW w:w="1134" w:type="dxa"/>
            <w:tcBorders>
              <w:top w:val="nil"/>
              <w:left w:val="nil"/>
              <w:bottom w:val="nil"/>
              <w:right w:val="nil"/>
            </w:tcBorders>
            <w:shd w:val="clear" w:color="auto" w:fill="auto"/>
            <w:vAlign w:val="bottom"/>
          </w:tcPr>
          <w:p w14:paraId="6850D4D3" w14:textId="3E23A3D7" w:rsidR="00A66703" w:rsidRPr="001D41EA" w:rsidRDefault="00A66703" w:rsidP="001D41EA">
            <w:pPr>
              <w:spacing w:before="40" w:after="40"/>
              <w:jc w:val="right"/>
              <w:rPr>
                <w:rFonts w:cs="Arial"/>
                <w:sz w:val="18"/>
                <w:szCs w:val="18"/>
              </w:rPr>
            </w:pPr>
            <w:r w:rsidRPr="001D41EA">
              <w:rPr>
                <w:rFonts w:cs="Arial"/>
                <w:sz w:val="18"/>
                <w:szCs w:val="18"/>
              </w:rPr>
              <w:t>-11,693</w:t>
            </w:r>
          </w:p>
        </w:tc>
      </w:tr>
      <w:tr w:rsidR="00A66703" w:rsidRPr="001D41EA" w14:paraId="3F71F674"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58E00818" w14:textId="77777777" w:rsidR="00A66703" w:rsidRPr="001D41EA" w:rsidRDefault="00A66703" w:rsidP="001D41EA">
            <w:pPr>
              <w:spacing w:before="40" w:after="40"/>
              <w:rPr>
                <w:rFonts w:cs="Arial"/>
                <w:sz w:val="18"/>
                <w:szCs w:val="18"/>
              </w:rPr>
            </w:pPr>
            <w:r w:rsidRPr="001D41EA">
              <w:rPr>
                <w:rFonts w:cs="Arial"/>
                <w:sz w:val="18"/>
                <w:szCs w:val="18"/>
              </w:rPr>
              <w:t xml:space="preserve">Hindmarsh S </w:t>
            </w:r>
          </w:p>
        </w:tc>
        <w:tc>
          <w:tcPr>
            <w:tcW w:w="1134" w:type="dxa"/>
            <w:tcBorders>
              <w:top w:val="nil"/>
              <w:left w:val="single" w:sz="18" w:space="0" w:color="5F497A" w:themeColor="accent4" w:themeShade="BF"/>
              <w:bottom w:val="nil"/>
              <w:right w:val="nil"/>
            </w:tcBorders>
            <w:shd w:val="clear" w:color="auto" w:fill="auto"/>
            <w:vAlign w:val="bottom"/>
          </w:tcPr>
          <w:p w14:paraId="25A35B03" w14:textId="78513FCD" w:rsidR="00A66703" w:rsidRPr="001D41EA" w:rsidRDefault="00A66703" w:rsidP="001D41EA">
            <w:pPr>
              <w:spacing w:before="40" w:after="40"/>
              <w:jc w:val="right"/>
              <w:rPr>
                <w:rFonts w:cs="Arial"/>
                <w:sz w:val="18"/>
                <w:szCs w:val="18"/>
              </w:rPr>
            </w:pPr>
            <w:r w:rsidRPr="001D41EA">
              <w:rPr>
                <w:rFonts w:cs="Arial"/>
                <w:sz w:val="18"/>
                <w:szCs w:val="18"/>
              </w:rPr>
              <w:t>2,888,925</w:t>
            </w:r>
          </w:p>
        </w:tc>
        <w:tc>
          <w:tcPr>
            <w:tcW w:w="1134" w:type="dxa"/>
            <w:tcBorders>
              <w:top w:val="nil"/>
              <w:left w:val="nil"/>
              <w:bottom w:val="nil"/>
              <w:right w:val="nil"/>
            </w:tcBorders>
            <w:shd w:val="clear" w:color="auto" w:fill="auto"/>
            <w:vAlign w:val="bottom"/>
          </w:tcPr>
          <w:p w14:paraId="06E73EB6" w14:textId="6009A45D" w:rsidR="00A66703" w:rsidRPr="001D41EA" w:rsidRDefault="00A66703" w:rsidP="001D41EA">
            <w:pPr>
              <w:spacing w:before="40" w:after="40"/>
              <w:jc w:val="right"/>
              <w:rPr>
                <w:rFonts w:cs="Arial"/>
                <w:sz w:val="18"/>
                <w:szCs w:val="18"/>
              </w:rPr>
            </w:pPr>
            <w:r w:rsidRPr="001D41EA">
              <w:rPr>
                <w:rFonts w:cs="Arial"/>
                <w:sz w:val="18"/>
                <w:szCs w:val="18"/>
              </w:rPr>
              <w:t>2,857,436</w:t>
            </w:r>
          </w:p>
        </w:tc>
        <w:tc>
          <w:tcPr>
            <w:tcW w:w="1134" w:type="dxa"/>
            <w:tcBorders>
              <w:top w:val="nil"/>
              <w:left w:val="nil"/>
              <w:bottom w:val="nil"/>
              <w:right w:val="nil"/>
            </w:tcBorders>
            <w:shd w:val="clear" w:color="auto" w:fill="auto"/>
            <w:vAlign w:val="bottom"/>
          </w:tcPr>
          <w:p w14:paraId="705D7D91" w14:textId="6CF37E97" w:rsidR="00A66703" w:rsidRPr="001D41EA" w:rsidRDefault="00A66703" w:rsidP="001D41EA">
            <w:pPr>
              <w:spacing w:before="40" w:after="40"/>
              <w:jc w:val="right"/>
              <w:rPr>
                <w:rFonts w:cs="Arial"/>
                <w:sz w:val="18"/>
                <w:szCs w:val="18"/>
              </w:rPr>
            </w:pPr>
            <w:r w:rsidRPr="001D41EA">
              <w:rPr>
                <w:rFonts w:cs="Arial"/>
                <w:sz w:val="18"/>
                <w:szCs w:val="18"/>
              </w:rPr>
              <w:t>-31,489</w:t>
            </w:r>
          </w:p>
        </w:tc>
        <w:tc>
          <w:tcPr>
            <w:tcW w:w="170" w:type="dxa"/>
            <w:tcBorders>
              <w:top w:val="nil"/>
              <w:left w:val="nil"/>
              <w:bottom w:val="nil"/>
              <w:right w:val="nil"/>
            </w:tcBorders>
            <w:shd w:val="clear" w:color="auto" w:fill="auto"/>
            <w:vAlign w:val="bottom"/>
          </w:tcPr>
          <w:p w14:paraId="4DA71F62"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F6BC83F" w14:textId="544C5BE4" w:rsidR="00A66703" w:rsidRPr="001D41EA" w:rsidRDefault="00A66703" w:rsidP="001D41EA">
            <w:pPr>
              <w:spacing w:before="40" w:after="40"/>
              <w:jc w:val="right"/>
              <w:rPr>
                <w:rFonts w:cs="Arial"/>
                <w:sz w:val="18"/>
                <w:szCs w:val="18"/>
              </w:rPr>
            </w:pPr>
            <w:r w:rsidRPr="001D41EA">
              <w:rPr>
                <w:rFonts w:cs="Arial"/>
                <w:sz w:val="18"/>
                <w:szCs w:val="18"/>
              </w:rPr>
              <w:t>1,654,803</w:t>
            </w:r>
          </w:p>
        </w:tc>
        <w:tc>
          <w:tcPr>
            <w:tcW w:w="1135" w:type="dxa"/>
            <w:tcBorders>
              <w:top w:val="nil"/>
              <w:left w:val="nil"/>
              <w:bottom w:val="nil"/>
              <w:right w:val="nil"/>
            </w:tcBorders>
            <w:shd w:val="clear" w:color="auto" w:fill="auto"/>
            <w:vAlign w:val="bottom"/>
          </w:tcPr>
          <w:p w14:paraId="04EDE3F8" w14:textId="106E2F8B" w:rsidR="00A66703" w:rsidRPr="001D41EA" w:rsidRDefault="00A66703" w:rsidP="001D41EA">
            <w:pPr>
              <w:spacing w:before="40" w:after="40"/>
              <w:jc w:val="right"/>
              <w:rPr>
                <w:rFonts w:cs="Arial"/>
                <w:sz w:val="18"/>
                <w:szCs w:val="18"/>
              </w:rPr>
            </w:pPr>
            <w:r w:rsidRPr="001D41EA">
              <w:rPr>
                <w:rFonts w:cs="Arial"/>
                <w:sz w:val="18"/>
                <w:szCs w:val="18"/>
              </w:rPr>
              <w:t>1,641,758</w:t>
            </w:r>
          </w:p>
        </w:tc>
        <w:tc>
          <w:tcPr>
            <w:tcW w:w="1134" w:type="dxa"/>
            <w:tcBorders>
              <w:top w:val="nil"/>
              <w:left w:val="nil"/>
              <w:bottom w:val="nil"/>
              <w:right w:val="nil"/>
            </w:tcBorders>
            <w:shd w:val="clear" w:color="auto" w:fill="auto"/>
            <w:vAlign w:val="bottom"/>
          </w:tcPr>
          <w:p w14:paraId="354F54B8" w14:textId="6E22A8AE" w:rsidR="00A66703" w:rsidRPr="001D41EA" w:rsidRDefault="00A66703" w:rsidP="001D41EA">
            <w:pPr>
              <w:spacing w:before="40" w:after="40"/>
              <w:jc w:val="right"/>
              <w:rPr>
                <w:rFonts w:cs="Arial"/>
                <w:sz w:val="18"/>
                <w:szCs w:val="18"/>
              </w:rPr>
            </w:pPr>
            <w:r w:rsidRPr="001D41EA">
              <w:rPr>
                <w:rFonts w:cs="Arial"/>
                <w:sz w:val="18"/>
                <w:szCs w:val="18"/>
              </w:rPr>
              <w:t>-13,045</w:t>
            </w:r>
          </w:p>
        </w:tc>
      </w:tr>
      <w:tr w:rsidR="00A66703" w:rsidRPr="001D41EA" w14:paraId="32F085A4"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1208914B" w14:textId="77777777" w:rsidR="00A66703" w:rsidRPr="001D41EA" w:rsidRDefault="00A66703" w:rsidP="001D41EA">
            <w:pPr>
              <w:spacing w:before="40" w:after="40"/>
              <w:rPr>
                <w:rFonts w:cs="Arial"/>
                <w:sz w:val="18"/>
                <w:szCs w:val="18"/>
              </w:rPr>
            </w:pPr>
            <w:r w:rsidRPr="001D41EA">
              <w:rPr>
                <w:rFonts w:cs="Arial"/>
                <w:sz w:val="18"/>
                <w:szCs w:val="18"/>
              </w:rPr>
              <w:t xml:space="preserve">Hobsons Bay C </w:t>
            </w:r>
          </w:p>
        </w:tc>
        <w:tc>
          <w:tcPr>
            <w:tcW w:w="1134" w:type="dxa"/>
            <w:tcBorders>
              <w:top w:val="nil"/>
              <w:left w:val="single" w:sz="18" w:space="0" w:color="5F497A" w:themeColor="accent4" w:themeShade="BF"/>
              <w:bottom w:val="nil"/>
              <w:right w:val="nil"/>
            </w:tcBorders>
            <w:shd w:val="clear" w:color="auto" w:fill="auto"/>
            <w:vAlign w:val="bottom"/>
          </w:tcPr>
          <w:p w14:paraId="6DBA92DB" w14:textId="42AE1C76" w:rsidR="00A66703" w:rsidRPr="001D41EA" w:rsidRDefault="00A66703" w:rsidP="001D41EA">
            <w:pPr>
              <w:spacing w:before="40" w:after="40"/>
              <w:jc w:val="right"/>
              <w:rPr>
                <w:rFonts w:cs="Arial"/>
                <w:sz w:val="18"/>
                <w:szCs w:val="18"/>
              </w:rPr>
            </w:pPr>
            <w:r w:rsidRPr="001D41EA">
              <w:rPr>
                <w:rFonts w:cs="Arial"/>
                <w:sz w:val="18"/>
                <w:szCs w:val="18"/>
              </w:rPr>
              <w:t>1,999,716</w:t>
            </w:r>
          </w:p>
        </w:tc>
        <w:tc>
          <w:tcPr>
            <w:tcW w:w="1134" w:type="dxa"/>
            <w:tcBorders>
              <w:top w:val="nil"/>
              <w:left w:val="nil"/>
              <w:bottom w:val="nil"/>
              <w:right w:val="nil"/>
            </w:tcBorders>
            <w:shd w:val="clear" w:color="auto" w:fill="auto"/>
            <w:vAlign w:val="bottom"/>
          </w:tcPr>
          <w:p w14:paraId="29A0C6A2" w14:textId="2C86C172" w:rsidR="00A66703" w:rsidRPr="001D41EA" w:rsidRDefault="00A66703" w:rsidP="001D41EA">
            <w:pPr>
              <w:spacing w:before="40" w:after="40"/>
              <w:jc w:val="right"/>
              <w:rPr>
                <w:rFonts w:cs="Arial"/>
                <w:sz w:val="18"/>
                <w:szCs w:val="18"/>
              </w:rPr>
            </w:pPr>
            <w:r w:rsidRPr="001D41EA">
              <w:rPr>
                <w:rFonts w:cs="Arial"/>
                <w:sz w:val="18"/>
                <w:szCs w:val="18"/>
              </w:rPr>
              <w:t>1,977,919</w:t>
            </w:r>
          </w:p>
        </w:tc>
        <w:tc>
          <w:tcPr>
            <w:tcW w:w="1134" w:type="dxa"/>
            <w:tcBorders>
              <w:top w:val="nil"/>
              <w:left w:val="nil"/>
              <w:bottom w:val="nil"/>
              <w:right w:val="nil"/>
            </w:tcBorders>
            <w:shd w:val="clear" w:color="auto" w:fill="auto"/>
            <w:vAlign w:val="bottom"/>
          </w:tcPr>
          <w:p w14:paraId="17F0FE0F" w14:textId="48B7FF71" w:rsidR="00A66703" w:rsidRPr="001D41EA" w:rsidRDefault="00A66703" w:rsidP="001D41EA">
            <w:pPr>
              <w:spacing w:before="40" w:after="40"/>
              <w:jc w:val="right"/>
              <w:rPr>
                <w:rFonts w:cs="Arial"/>
                <w:sz w:val="18"/>
                <w:szCs w:val="18"/>
              </w:rPr>
            </w:pPr>
            <w:r w:rsidRPr="001D41EA">
              <w:rPr>
                <w:rFonts w:cs="Arial"/>
                <w:sz w:val="18"/>
                <w:szCs w:val="18"/>
              </w:rPr>
              <w:t>-21,797</w:t>
            </w:r>
          </w:p>
        </w:tc>
        <w:tc>
          <w:tcPr>
            <w:tcW w:w="170" w:type="dxa"/>
            <w:tcBorders>
              <w:top w:val="nil"/>
              <w:left w:val="nil"/>
              <w:bottom w:val="nil"/>
              <w:right w:val="nil"/>
            </w:tcBorders>
            <w:shd w:val="clear" w:color="auto" w:fill="auto"/>
            <w:vAlign w:val="bottom"/>
          </w:tcPr>
          <w:p w14:paraId="134F4AB0"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3F0EF1E" w14:textId="55CF6166" w:rsidR="00A66703" w:rsidRPr="001D41EA" w:rsidRDefault="00A66703" w:rsidP="001D41EA">
            <w:pPr>
              <w:spacing w:before="40" w:after="40"/>
              <w:jc w:val="right"/>
              <w:rPr>
                <w:rFonts w:cs="Arial"/>
                <w:sz w:val="18"/>
                <w:szCs w:val="18"/>
              </w:rPr>
            </w:pPr>
            <w:r w:rsidRPr="001D41EA">
              <w:rPr>
                <w:rFonts w:cs="Arial"/>
                <w:sz w:val="18"/>
                <w:szCs w:val="18"/>
              </w:rPr>
              <w:t>730,590</w:t>
            </w:r>
          </w:p>
        </w:tc>
        <w:tc>
          <w:tcPr>
            <w:tcW w:w="1135" w:type="dxa"/>
            <w:tcBorders>
              <w:top w:val="nil"/>
              <w:left w:val="nil"/>
              <w:bottom w:val="nil"/>
              <w:right w:val="nil"/>
            </w:tcBorders>
            <w:shd w:val="clear" w:color="auto" w:fill="auto"/>
            <w:vAlign w:val="bottom"/>
          </w:tcPr>
          <w:p w14:paraId="2D12400B" w14:textId="0FD86D9C" w:rsidR="00A66703" w:rsidRPr="001D41EA" w:rsidRDefault="00A66703" w:rsidP="001D41EA">
            <w:pPr>
              <w:spacing w:before="40" w:after="40"/>
              <w:jc w:val="right"/>
              <w:rPr>
                <w:rFonts w:cs="Arial"/>
                <w:sz w:val="18"/>
                <w:szCs w:val="18"/>
              </w:rPr>
            </w:pPr>
            <w:r w:rsidRPr="001D41EA">
              <w:rPr>
                <w:rFonts w:cs="Arial"/>
                <w:sz w:val="18"/>
                <w:szCs w:val="18"/>
              </w:rPr>
              <w:t>724,831</w:t>
            </w:r>
          </w:p>
        </w:tc>
        <w:tc>
          <w:tcPr>
            <w:tcW w:w="1134" w:type="dxa"/>
            <w:tcBorders>
              <w:top w:val="nil"/>
              <w:left w:val="nil"/>
              <w:bottom w:val="nil"/>
              <w:right w:val="nil"/>
            </w:tcBorders>
            <w:shd w:val="clear" w:color="auto" w:fill="auto"/>
            <w:vAlign w:val="bottom"/>
          </w:tcPr>
          <w:p w14:paraId="302FC049" w14:textId="7CF1AE31" w:rsidR="00A66703" w:rsidRPr="001D41EA" w:rsidRDefault="00A66703" w:rsidP="001D41EA">
            <w:pPr>
              <w:spacing w:before="40" w:after="40"/>
              <w:jc w:val="right"/>
              <w:rPr>
                <w:rFonts w:cs="Arial"/>
                <w:sz w:val="18"/>
                <w:szCs w:val="18"/>
              </w:rPr>
            </w:pPr>
            <w:r w:rsidRPr="001D41EA">
              <w:rPr>
                <w:rFonts w:cs="Arial"/>
                <w:sz w:val="18"/>
                <w:szCs w:val="18"/>
              </w:rPr>
              <w:t>-5,759</w:t>
            </w:r>
          </w:p>
        </w:tc>
      </w:tr>
      <w:tr w:rsidR="00A66703" w:rsidRPr="001D41EA" w14:paraId="42E74197"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5043A53E" w14:textId="77777777" w:rsidR="00A66703" w:rsidRPr="001D41EA" w:rsidRDefault="00A66703" w:rsidP="001D41EA">
            <w:pPr>
              <w:spacing w:before="40" w:after="40"/>
              <w:rPr>
                <w:rFonts w:cs="Arial"/>
                <w:sz w:val="18"/>
                <w:szCs w:val="18"/>
              </w:rPr>
            </w:pPr>
            <w:r w:rsidRPr="001D41EA">
              <w:rPr>
                <w:rFonts w:cs="Arial"/>
                <w:sz w:val="18"/>
                <w:szCs w:val="18"/>
              </w:rPr>
              <w:t xml:space="preserve">Horsham RC </w:t>
            </w:r>
          </w:p>
        </w:tc>
        <w:tc>
          <w:tcPr>
            <w:tcW w:w="1134" w:type="dxa"/>
            <w:tcBorders>
              <w:top w:val="nil"/>
              <w:left w:val="single" w:sz="18" w:space="0" w:color="5F497A" w:themeColor="accent4" w:themeShade="BF"/>
              <w:bottom w:val="nil"/>
              <w:right w:val="nil"/>
            </w:tcBorders>
            <w:shd w:val="clear" w:color="auto" w:fill="auto"/>
            <w:vAlign w:val="bottom"/>
          </w:tcPr>
          <w:p w14:paraId="4E270BFF" w14:textId="5EB49AAA" w:rsidR="00A66703" w:rsidRPr="001D41EA" w:rsidRDefault="00A66703" w:rsidP="001D41EA">
            <w:pPr>
              <w:spacing w:before="40" w:after="40"/>
              <w:jc w:val="right"/>
              <w:rPr>
                <w:rFonts w:cs="Arial"/>
                <w:sz w:val="18"/>
                <w:szCs w:val="18"/>
              </w:rPr>
            </w:pPr>
            <w:r w:rsidRPr="001D41EA">
              <w:rPr>
                <w:rFonts w:cs="Arial"/>
                <w:sz w:val="18"/>
                <w:szCs w:val="18"/>
              </w:rPr>
              <w:t>4,237,036</w:t>
            </w:r>
          </w:p>
        </w:tc>
        <w:tc>
          <w:tcPr>
            <w:tcW w:w="1134" w:type="dxa"/>
            <w:tcBorders>
              <w:top w:val="nil"/>
              <w:left w:val="nil"/>
              <w:bottom w:val="nil"/>
              <w:right w:val="nil"/>
            </w:tcBorders>
            <w:shd w:val="clear" w:color="auto" w:fill="auto"/>
            <w:vAlign w:val="bottom"/>
          </w:tcPr>
          <w:p w14:paraId="4B04129F" w14:textId="519E582E" w:rsidR="00A66703" w:rsidRPr="001D41EA" w:rsidRDefault="00A66703" w:rsidP="001D41EA">
            <w:pPr>
              <w:spacing w:before="40" w:after="40"/>
              <w:jc w:val="right"/>
              <w:rPr>
                <w:rFonts w:cs="Arial"/>
                <w:sz w:val="18"/>
                <w:szCs w:val="18"/>
              </w:rPr>
            </w:pPr>
            <w:r w:rsidRPr="001D41EA">
              <w:rPr>
                <w:rFonts w:cs="Arial"/>
                <w:sz w:val="18"/>
                <w:szCs w:val="18"/>
              </w:rPr>
              <w:t>4,190,853</w:t>
            </w:r>
          </w:p>
        </w:tc>
        <w:tc>
          <w:tcPr>
            <w:tcW w:w="1134" w:type="dxa"/>
            <w:tcBorders>
              <w:top w:val="nil"/>
              <w:left w:val="nil"/>
              <w:bottom w:val="nil"/>
              <w:right w:val="nil"/>
            </w:tcBorders>
            <w:shd w:val="clear" w:color="auto" w:fill="auto"/>
            <w:vAlign w:val="bottom"/>
          </w:tcPr>
          <w:p w14:paraId="764B478F" w14:textId="42A9B02E" w:rsidR="00A66703" w:rsidRPr="001D41EA" w:rsidRDefault="00A66703" w:rsidP="001D41EA">
            <w:pPr>
              <w:spacing w:before="40" w:after="40"/>
              <w:jc w:val="right"/>
              <w:rPr>
                <w:rFonts w:cs="Arial"/>
                <w:sz w:val="18"/>
                <w:szCs w:val="18"/>
              </w:rPr>
            </w:pPr>
            <w:r w:rsidRPr="001D41EA">
              <w:rPr>
                <w:rFonts w:cs="Arial"/>
                <w:sz w:val="18"/>
                <w:szCs w:val="18"/>
              </w:rPr>
              <w:t>-46,183</w:t>
            </w:r>
          </w:p>
        </w:tc>
        <w:tc>
          <w:tcPr>
            <w:tcW w:w="170" w:type="dxa"/>
            <w:tcBorders>
              <w:top w:val="nil"/>
              <w:left w:val="nil"/>
              <w:bottom w:val="nil"/>
              <w:right w:val="nil"/>
            </w:tcBorders>
            <w:shd w:val="clear" w:color="auto" w:fill="auto"/>
            <w:vAlign w:val="bottom"/>
          </w:tcPr>
          <w:p w14:paraId="41052512"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D6C0192" w14:textId="02D8BBE4" w:rsidR="00A66703" w:rsidRPr="001D41EA" w:rsidRDefault="00A66703" w:rsidP="001D41EA">
            <w:pPr>
              <w:spacing w:before="40" w:after="40"/>
              <w:jc w:val="right"/>
              <w:rPr>
                <w:rFonts w:cs="Arial"/>
                <w:sz w:val="18"/>
                <w:szCs w:val="18"/>
              </w:rPr>
            </w:pPr>
            <w:r w:rsidRPr="001D41EA">
              <w:rPr>
                <w:rFonts w:cs="Arial"/>
                <w:sz w:val="18"/>
                <w:szCs w:val="18"/>
              </w:rPr>
              <w:t>2,187,014</w:t>
            </w:r>
          </w:p>
        </w:tc>
        <w:tc>
          <w:tcPr>
            <w:tcW w:w="1135" w:type="dxa"/>
            <w:tcBorders>
              <w:top w:val="nil"/>
              <w:left w:val="nil"/>
              <w:bottom w:val="nil"/>
              <w:right w:val="nil"/>
            </w:tcBorders>
            <w:shd w:val="clear" w:color="auto" w:fill="auto"/>
            <w:vAlign w:val="bottom"/>
          </w:tcPr>
          <w:p w14:paraId="33853CAB" w14:textId="4FACD1E0" w:rsidR="00A66703" w:rsidRPr="001D41EA" w:rsidRDefault="00A66703" w:rsidP="001D41EA">
            <w:pPr>
              <w:spacing w:before="40" w:after="40"/>
              <w:jc w:val="right"/>
              <w:rPr>
                <w:rFonts w:cs="Arial"/>
                <w:sz w:val="18"/>
                <w:szCs w:val="18"/>
              </w:rPr>
            </w:pPr>
            <w:r w:rsidRPr="001D41EA">
              <w:rPr>
                <w:rFonts w:cs="Arial"/>
                <w:sz w:val="18"/>
                <w:szCs w:val="18"/>
              </w:rPr>
              <w:t>2,169,774</w:t>
            </w:r>
          </w:p>
        </w:tc>
        <w:tc>
          <w:tcPr>
            <w:tcW w:w="1134" w:type="dxa"/>
            <w:tcBorders>
              <w:top w:val="nil"/>
              <w:left w:val="nil"/>
              <w:bottom w:val="nil"/>
              <w:right w:val="nil"/>
            </w:tcBorders>
            <w:shd w:val="clear" w:color="auto" w:fill="auto"/>
            <w:vAlign w:val="bottom"/>
          </w:tcPr>
          <w:p w14:paraId="19754510" w14:textId="33FC531F" w:rsidR="00A66703" w:rsidRPr="001D41EA" w:rsidRDefault="00A66703" w:rsidP="001D41EA">
            <w:pPr>
              <w:spacing w:before="40" w:after="40"/>
              <w:jc w:val="right"/>
              <w:rPr>
                <w:rFonts w:cs="Arial"/>
                <w:sz w:val="18"/>
                <w:szCs w:val="18"/>
              </w:rPr>
            </w:pPr>
            <w:r w:rsidRPr="001D41EA">
              <w:rPr>
                <w:rFonts w:cs="Arial"/>
                <w:sz w:val="18"/>
                <w:szCs w:val="18"/>
              </w:rPr>
              <w:t>-17,240</w:t>
            </w:r>
          </w:p>
        </w:tc>
      </w:tr>
      <w:tr w:rsidR="00A66703" w:rsidRPr="001D41EA" w14:paraId="75339591"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3CCC2256" w14:textId="77777777" w:rsidR="00A66703" w:rsidRPr="001D41EA" w:rsidRDefault="00A66703" w:rsidP="001D41EA">
            <w:pPr>
              <w:spacing w:before="40" w:after="40"/>
              <w:rPr>
                <w:rFonts w:cs="Arial"/>
                <w:sz w:val="18"/>
                <w:szCs w:val="18"/>
              </w:rPr>
            </w:pPr>
            <w:r w:rsidRPr="001D41EA">
              <w:rPr>
                <w:rFonts w:cs="Arial"/>
                <w:sz w:val="18"/>
                <w:szCs w:val="18"/>
              </w:rPr>
              <w:t xml:space="preserve">Hume C </w:t>
            </w:r>
          </w:p>
        </w:tc>
        <w:tc>
          <w:tcPr>
            <w:tcW w:w="1134" w:type="dxa"/>
            <w:tcBorders>
              <w:top w:val="nil"/>
              <w:left w:val="single" w:sz="18" w:space="0" w:color="5F497A" w:themeColor="accent4" w:themeShade="BF"/>
              <w:bottom w:val="nil"/>
              <w:right w:val="nil"/>
            </w:tcBorders>
            <w:shd w:val="clear" w:color="auto" w:fill="auto"/>
            <w:vAlign w:val="bottom"/>
          </w:tcPr>
          <w:p w14:paraId="7E4E06F8" w14:textId="720DA772" w:rsidR="00A66703" w:rsidRPr="001D41EA" w:rsidRDefault="00A66703" w:rsidP="001D41EA">
            <w:pPr>
              <w:spacing w:before="40" w:after="40"/>
              <w:jc w:val="right"/>
              <w:rPr>
                <w:rFonts w:cs="Arial"/>
                <w:sz w:val="18"/>
                <w:szCs w:val="18"/>
              </w:rPr>
            </w:pPr>
            <w:r w:rsidRPr="001D41EA">
              <w:rPr>
                <w:rFonts w:cs="Arial"/>
                <w:sz w:val="18"/>
                <w:szCs w:val="18"/>
              </w:rPr>
              <w:t>13,511,431</w:t>
            </w:r>
          </w:p>
        </w:tc>
        <w:tc>
          <w:tcPr>
            <w:tcW w:w="1134" w:type="dxa"/>
            <w:tcBorders>
              <w:top w:val="nil"/>
              <w:left w:val="nil"/>
              <w:bottom w:val="nil"/>
              <w:right w:val="nil"/>
            </w:tcBorders>
            <w:shd w:val="clear" w:color="auto" w:fill="auto"/>
            <w:vAlign w:val="bottom"/>
          </w:tcPr>
          <w:p w14:paraId="126E4E1C" w14:textId="10DDC2CB" w:rsidR="00A66703" w:rsidRPr="001D41EA" w:rsidRDefault="00A66703" w:rsidP="001D41EA">
            <w:pPr>
              <w:spacing w:before="40" w:after="40"/>
              <w:jc w:val="right"/>
              <w:rPr>
                <w:rFonts w:cs="Arial"/>
                <w:sz w:val="18"/>
                <w:szCs w:val="18"/>
              </w:rPr>
            </w:pPr>
            <w:r w:rsidRPr="001D41EA">
              <w:rPr>
                <w:rFonts w:cs="Arial"/>
                <w:sz w:val="18"/>
                <w:szCs w:val="18"/>
              </w:rPr>
              <w:t>13,364,157</w:t>
            </w:r>
          </w:p>
        </w:tc>
        <w:tc>
          <w:tcPr>
            <w:tcW w:w="1134" w:type="dxa"/>
            <w:tcBorders>
              <w:top w:val="nil"/>
              <w:left w:val="nil"/>
              <w:bottom w:val="nil"/>
              <w:right w:val="nil"/>
            </w:tcBorders>
            <w:shd w:val="clear" w:color="auto" w:fill="auto"/>
            <w:vAlign w:val="bottom"/>
          </w:tcPr>
          <w:p w14:paraId="2CB73EF2" w14:textId="26869B52" w:rsidR="00A66703" w:rsidRPr="001D41EA" w:rsidRDefault="00A66703" w:rsidP="001D41EA">
            <w:pPr>
              <w:spacing w:before="40" w:after="40"/>
              <w:jc w:val="right"/>
              <w:rPr>
                <w:rFonts w:cs="Arial"/>
                <w:sz w:val="18"/>
                <w:szCs w:val="18"/>
              </w:rPr>
            </w:pPr>
            <w:r w:rsidRPr="001D41EA">
              <w:rPr>
                <w:rFonts w:cs="Arial"/>
                <w:sz w:val="18"/>
                <w:szCs w:val="18"/>
              </w:rPr>
              <w:t>-147,274</w:t>
            </w:r>
          </w:p>
        </w:tc>
        <w:tc>
          <w:tcPr>
            <w:tcW w:w="170" w:type="dxa"/>
            <w:tcBorders>
              <w:top w:val="nil"/>
              <w:left w:val="nil"/>
              <w:bottom w:val="nil"/>
              <w:right w:val="nil"/>
            </w:tcBorders>
            <w:shd w:val="clear" w:color="auto" w:fill="auto"/>
            <w:vAlign w:val="bottom"/>
          </w:tcPr>
          <w:p w14:paraId="0CF69B4A"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BB02366" w14:textId="15016DC3" w:rsidR="00A66703" w:rsidRPr="001D41EA" w:rsidRDefault="00A66703" w:rsidP="001D41EA">
            <w:pPr>
              <w:spacing w:before="40" w:after="40"/>
              <w:jc w:val="right"/>
              <w:rPr>
                <w:rFonts w:cs="Arial"/>
                <w:sz w:val="18"/>
                <w:szCs w:val="18"/>
              </w:rPr>
            </w:pPr>
            <w:r w:rsidRPr="001D41EA">
              <w:rPr>
                <w:rFonts w:cs="Arial"/>
                <w:sz w:val="18"/>
                <w:szCs w:val="18"/>
              </w:rPr>
              <w:t>2,478,032</w:t>
            </w:r>
          </w:p>
        </w:tc>
        <w:tc>
          <w:tcPr>
            <w:tcW w:w="1135" w:type="dxa"/>
            <w:tcBorders>
              <w:top w:val="nil"/>
              <w:left w:val="nil"/>
              <w:bottom w:val="nil"/>
              <w:right w:val="nil"/>
            </w:tcBorders>
            <w:shd w:val="clear" w:color="auto" w:fill="auto"/>
            <w:vAlign w:val="bottom"/>
          </w:tcPr>
          <w:p w14:paraId="5F4ADEC3" w14:textId="72DC8490" w:rsidR="00A66703" w:rsidRPr="001D41EA" w:rsidRDefault="00A66703" w:rsidP="001D41EA">
            <w:pPr>
              <w:spacing w:before="40" w:after="40"/>
              <w:jc w:val="right"/>
              <w:rPr>
                <w:rFonts w:cs="Arial"/>
                <w:sz w:val="18"/>
                <w:szCs w:val="18"/>
              </w:rPr>
            </w:pPr>
            <w:r w:rsidRPr="001D41EA">
              <w:rPr>
                <w:rFonts w:cs="Arial"/>
                <w:sz w:val="18"/>
                <w:szCs w:val="18"/>
              </w:rPr>
              <w:t>2,458,498</w:t>
            </w:r>
          </w:p>
        </w:tc>
        <w:tc>
          <w:tcPr>
            <w:tcW w:w="1134" w:type="dxa"/>
            <w:tcBorders>
              <w:top w:val="nil"/>
              <w:left w:val="nil"/>
              <w:bottom w:val="nil"/>
              <w:right w:val="nil"/>
            </w:tcBorders>
            <w:shd w:val="clear" w:color="auto" w:fill="auto"/>
            <w:vAlign w:val="bottom"/>
          </w:tcPr>
          <w:p w14:paraId="5650CF75" w14:textId="10D68765" w:rsidR="00A66703" w:rsidRPr="001D41EA" w:rsidRDefault="00A66703" w:rsidP="001D41EA">
            <w:pPr>
              <w:spacing w:before="40" w:after="40"/>
              <w:jc w:val="right"/>
              <w:rPr>
                <w:rFonts w:cs="Arial"/>
                <w:sz w:val="18"/>
                <w:szCs w:val="18"/>
              </w:rPr>
            </w:pPr>
            <w:r w:rsidRPr="001D41EA">
              <w:rPr>
                <w:rFonts w:cs="Arial"/>
                <w:sz w:val="18"/>
                <w:szCs w:val="18"/>
              </w:rPr>
              <w:t>-19,534</w:t>
            </w:r>
          </w:p>
        </w:tc>
      </w:tr>
      <w:tr w:rsidR="00A66703" w:rsidRPr="001D41EA" w14:paraId="32ABFCE3"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56FDC240" w14:textId="77777777" w:rsidR="00A66703" w:rsidRPr="001D41EA" w:rsidRDefault="00A66703" w:rsidP="001D41EA">
            <w:pPr>
              <w:spacing w:before="40" w:after="40"/>
              <w:rPr>
                <w:rFonts w:cs="Arial"/>
                <w:sz w:val="18"/>
                <w:szCs w:val="18"/>
              </w:rPr>
            </w:pPr>
            <w:r w:rsidRPr="001D41EA">
              <w:rPr>
                <w:rFonts w:cs="Arial"/>
                <w:sz w:val="18"/>
                <w:szCs w:val="18"/>
              </w:rPr>
              <w:t xml:space="preserve">Indigo S </w:t>
            </w:r>
          </w:p>
        </w:tc>
        <w:tc>
          <w:tcPr>
            <w:tcW w:w="1134" w:type="dxa"/>
            <w:tcBorders>
              <w:top w:val="nil"/>
              <w:left w:val="single" w:sz="18" w:space="0" w:color="5F497A" w:themeColor="accent4" w:themeShade="BF"/>
              <w:bottom w:val="nil"/>
              <w:right w:val="nil"/>
            </w:tcBorders>
            <w:shd w:val="clear" w:color="auto" w:fill="auto"/>
            <w:vAlign w:val="bottom"/>
          </w:tcPr>
          <w:p w14:paraId="601204B6" w14:textId="1114E391" w:rsidR="00A66703" w:rsidRPr="001D41EA" w:rsidRDefault="00A66703" w:rsidP="001D41EA">
            <w:pPr>
              <w:spacing w:before="40" w:after="40"/>
              <w:jc w:val="right"/>
              <w:rPr>
                <w:rFonts w:cs="Arial"/>
                <w:sz w:val="18"/>
                <w:szCs w:val="18"/>
              </w:rPr>
            </w:pPr>
            <w:r w:rsidRPr="001D41EA">
              <w:rPr>
                <w:rFonts w:cs="Arial"/>
                <w:sz w:val="18"/>
                <w:szCs w:val="18"/>
              </w:rPr>
              <w:t>3,075,380</w:t>
            </w:r>
          </w:p>
        </w:tc>
        <w:tc>
          <w:tcPr>
            <w:tcW w:w="1134" w:type="dxa"/>
            <w:tcBorders>
              <w:top w:val="nil"/>
              <w:left w:val="nil"/>
              <w:bottom w:val="nil"/>
              <w:right w:val="nil"/>
            </w:tcBorders>
            <w:shd w:val="clear" w:color="auto" w:fill="auto"/>
            <w:vAlign w:val="bottom"/>
          </w:tcPr>
          <w:p w14:paraId="2E4BB6CD" w14:textId="696AFC27" w:rsidR="00A66703" w:rsidRPr="001D41EA" w:rsidRDefault="00A66703" w:rsidP="001D41EA">
            <w:pPr>
              <w:spacing w:before="40" w:after="40"/>
              <w:jc w:val="right"/>
              <w:rPr>
                <w:rFonts w:cs="Arial"/>
                <w:sz w:val="18"/>
                <w:szCs w:val="18"/>
              </w:rPr>
            </w:pPr>
            <w:r w:rsidRPr="001D41EA">
              <w:rPr>
                <w:rFonts w:cs="Arial"/>
                <w:sz w:val="18"/>
                <w:szCs w:val="18"/>
              </w:rPr>
              <w:t>3,041,859</w:t>
            </w:r>
          </w:p>
        </w:tc>
        <w:tc>
          <w:tcPr>
            <w:tcW w:w="1134" w:type="dxa"/>
            <w:tcBorders>
              <w:top w:val="nil"/>
              <w:left w:val="nil"/>
              <w:bottom w:val="nil"/>
              <w:right w:val="nil"/>
            </w:tcBorders>
            <w:shd w:val="clear" w:color="auto" w:fill="auto"/>
            <w:vAlign w:val="bottom"/>
          </w:tcPr>
          <w:p w14:paraId="29B0938A" w14:textId="48585323" w:rsidR="00A66703" w:rsidRPr="001D41EA" w:rsidRDefault="00A66703" w:rsidP="001D41EA">
            <w:pPr>
              <w:spacing w:before="40" w:after="40"/>
              <w:jc w:val="right"/>
              <w:rPr>
                <w:rFonts w:cs="Arial"/>
                <w:sz w:val="18"/>
                <w:szCs w:val="18"/>
              </w:rPr>
            </w:pPr>
            <w:r w:rsidRPr="001D41EA">
              <w:rPr>
                <w:rFonts w:cs="Arial"/>
                <w:sz w:val="18"/>
                <w:szCs w:val="18"/>
              </w:rPr>
              <w:t>-33,521</w:t>
            </w:r>
          </w:p>
        </w:tc>
        <w:tc>
          <w:tcPr>
            <w:tcW w:w="170" w:type="dxa"/>
            <w:tcBorders>
              <w:top w:val="nil"/>
              <w:left w:val="nil"/>
              <w:bottom w:val="nil"/>
              <w:right w:val="nil"/>
            </w:tcBorders>
            <w:shd w:val="clear" w:color="auto" w:fill="auto"/>
            <w:vAlign w:val="bottom"/>
          </w:tcPr>
          <w:p w14:paraId="7618F064"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5CB35AC" w14:textId="7F7A3FED" w:rsidR="00A66703" w:rsidRPr="001D41EA" w:rsidRDefault="00A66703" w:rsidP="001D41EA">
            <w:pPr>
              <w:spacing w:before="40" w:after="40"/>
              <w:jc w:val="right"/>
              <w:rPr>
                <w:rFonts w:cs="Arial"/>
                <w:sz w:val="18"/>
                <w:szCs w:val="18"/>
              </w:rPr>
            </w:pPr>
            <w:r w:rsidRPr="001D41EA">
              <w:rPr>
                <w:rFonts w:cs="Arial"/>
                <w:sz w:val="18"/>
                <w:szCs w:val="18"/>
              </w:rPr>
              <w:t>1,636,054</w:t>
            </w:r>
          </w:p>
        </w:tc>
        <w:tc>
          <w:tcPr>
            <w:tcW w:w="1135" w:type="dxa"/>
            <w:tcBorders>
              <w:top w:val="nil"/>
              <w:left w:val="nil"/>
              <w:bottom w:val="nil"/>
              <w:right w:val="nil"/>
            </w:tcBorders>
            <w:shd w:val="clear" w:color="auto" w:fill="auto"/>
            <w:vAlign w:val="bottom"/>
          </w:tcPr>
          <w:p w14:paraId="4FD6DF60" w14:textId="0FF35B9D" w:rsidR="00A66703" w:rsidRPr="001D41EA" w:rsidRDefault="00A66703" w:rsidP="001D41EA">
            <w:pPr>
              <w:spacing w:before="40" w:after="40"/>
              <w:jc w:val="right"/>
              <w:rPr>
                <w:rFonts w:cs="Arial"/>
                <w:sz w:val="18"/>
                <w:szCs w:val="18"/>
              </w:rPr>
            </w:pPr>
            <w:r w:rsidRPr="001D41EA">
              <w:rPr>
                <w:rFonts w:cs="Arial"/>
                <w:sz w:val="18"/>
                <w:szCs w:val="18"/>
              </w:rPr>
              <w:t>1,623,157</w:t>
            </w:r>
          </w:p>
        </w:tc>
        <w:tc>
          <w:tcPr>
            <w:tcW w:w="1134" w:type="dxa"/>
            <w:tcBorders>
              <w:top w:val="nil"/>
              <w:left w:val="nil"/>
              <w:bottom w:val="nil"/>
              <w:right w:val="nil"/>
            </w:tcBorders>
            <w:shd w:val="clear" w:color="auto" w:fill="auto"/>
            <w:vAlign w:val="bottom"/>
          </w:tcPr>
          <w:p w14:paraId="01444231" w14:textId="060E5AE6" w:rsidR="00A66703" w:rsidRPr="001D41EA" w:rsidRDefault="00A66703" w:rsidP="001D41EA">
            <w:pPr>
              <w:spacing w:before="40" w:after="40"/>
              <w:jc w:val="right"/>
              <w:rPr>
                <w:rFonts w:cs="Arial"/>
                <w:sz w:val="18"/>
                <w:szCs w:val="18"/>
              </w:rPr>
            </w:pPr>
            <w:r w:rsidRPr="001D41EA">
              <w:rPr>
                <w:rFonts w:cs="Arial"/>
                <w:sz w:val="18"/>
                <w:szCs w:val="18"/>
              </w:rPr>
              <w:t>-12,897</w:t>
            </w:r>
          </w:p>
        </w:tc>
      </w:tr>
      <w:tr w:rsidR="00A66703" w:rsidRPr="001D41EA" w14:paraId="293A0DD9"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0B1154F4" w14:textId="77777777" w:rsidR="00A66703" w:rsidRPr="001D41EA" w:rsidRDefault="00A66703" w:rsidP="001D41EA">
            <w:pPr>
              <w:spacing w:before="40" w:after="40"/>
              <w:rPr>
                <w:rFonts w:cs="Arial"/>
                <w:sz w:val="18"/>
                <w:szCs w:val="18"/>
              </w:rPr>
            </w:pPr>
            <w:r w:rsidRPr="001D41EA">
              <w:rPr>
                <w:rFonts w:cs="Arial"/>
                <w:sz w:val="18"/>
                <w:szCs w:val="18"/>
              </w:rPr>
              <w:t xml:space="preserve">Kingston C </w:t>
            </w:r>
          </w:p>
        </w:tc>
        <w:tc>
          <w:tcPr>
            <w:tcW w:w="1134" w:type="dxa"/>
            <w:tcBorders>
              <w:top w:val="nil"/>
              <w:left w:val="single" w:sz="18" w:space="0" w:color="5F497A" w:themeColor="accent4" w:themeShade="BF"/>
              <w:bottom w:val="nil"/>
              <w:right w:val="nil"/>
            </w:tcBorders>
            <w:shd w:val="clear" w:color="auto" w:fill="auto"/>
            <w:vAlign w:val="bottom"/>
          </w:tcPr>
          <w:p w14:paraId="32F4D45E" w14:textId="6FC1DA41" w:rsidR="00A66703" w:rsidRPr="001D41EA" w:rsidRDefault="00A66703" w:rsidP="001D41EA">
            <w:pPr>
              <w:spacing w:before="40" w:after="40"/>
              <w:jc w:val="right"/>
              <w:rPr>
                <w:rFonts w:cs="Arial"/>
                <w:sz w:val="18"/>
                <w:szCs w:val="18"/>
              </w:rPr>
            </w:pPr>
            <w:r w:rsidRPr="001D41EA">
              <w:rPr>
                <w:rFonts w:cs="Arial"/>
                <w:sz w:val="18"/>
                <w:szCs w:val="18"/>
              </w:rPr>
              <w:t>3,354,790</w:t>
            </w:r>
          </w:p>
        </w:tc>
        <w:tc>
          <w:tcPr>
            <w:tcW w:w="1134" w:type="dxa"/>
            <w:tcBorders>
              <w:top w:val="nil"/>
              <w:left w:val="nil"/>
              <w:bottom w:val="nil"/>
              <w:right w:val="nil"/>
            </w:tcBorders>
            <w:shd w:val="clear" w:color="auto" w:fill="auto"/>
            <w:vAlign w:val="bottom"/>
          </w:tcPr>
          <w:p w14:paraId="7583F36C" w14:textId="7ADEF25C" w:rsidR="00A66703" w:rsidRPr="001D41EA" w:rsidRDefault="00A66703" w:rsidP="001D41EA">
            <w:pPr>
              <w:spacing w:before="40" w:after="40"/>
              <w:jc w:val="right"/>
              <w:rPr>
                <w:rFonts w:cs="Arial"/>
                <w:sz w:val="18"/>
                <w:szCs w:val="18"/>
              </w:rPr>
            </w:pPr>
            <w:r w:rsidRPr="001D41EA">
              <w:rPr>
                <w:rFonts w:cs="Arial"/>
                <w:sz w:val="18"/>
                <w:szCs w:val="18"/>
              </w:rPr>
              <w:t>3,318,223</w:t>
            </w:r>
          </w:p>
        </w:tc>
        <w:tc>
          <w:tcPr>
            <w:tcW w:w="1134" w:type="dxa"/>
            <w:tcBorders>
              <w:top w:val="nil"/>
              <w:left w:val="nil"/>
              <w:bottom w:val="nil"/>
              <w:right w:val="nil"/>
            </w:tcBorders>
            <w:shd w:val="clear" w:color="auto" w:fill="auto"/>
            <w:vAlign w:val="bottom"/>
          </w:tcPr>
          <w:p w14:paraId="621E738D" w14:textId="5604B246" w:rsidR="00A66703" w:rsidRPr="001D41EA" w:rsidRDefault="00A66703" w:rsidP="001D41EA">
            <w:pPr>
              <w:spacing w:before="40" w:after="40"/>
              <w:jc w:val="right"/>
              <w:rPr>
                <w:rFonts w:cs="Arial"/>
                <w:sz w:val="18"/>
                <w:szCs w:val="18"/>
              </w:rPr>
            </w:pPr>
            <w:r w:rsidRPr="001D41EA">
              <w:rPr>
                <w:rFonts w:cs="Arial"/>
                <w:sz w:val="18"/>
                <w:szCs w:val="18"/>
              </w:rPr>
              <w:t>-36,567</w:t>
            </w:r>
          </w:p>
        </w:tc>
        <w:tc>
          <w:tcPr>
            <w:tcW w:w="170" w:type="dxa"/>
            <w:tcBorders>
              <w:top w:val="nil"/>
              <w:left w:val="nil"/>
              <w:bottom w:val="nil"/>
              <w:right w:val="nil"/>
            </w:tcBorders>
            <w:shd w:val="clear" w:color="auto" w:fill="auto"/>
            <w:vAlign w:val="bottom"/>
          </w:tcPr>
          <w:p w14:paraId="4543CD73"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52D9DD3" w14:textId="0D381534" w:rsidR="00A66703" w:rsidRPr="001D41EA" w:rsidRDefault="00A66703" w:rsidP="001D41EA">
            <w:pPr>
              <w:spacing w:before="40" w:after="40"/>
              <w:jc w:val="right"/>
              <w:rPr>
                <w:rFonts w:cs="Arial"/>
                <w:sz w:val="18"/>
                <w:szCs w:val="18"/>
              </w:rPr>
            </w:pPr>
            <w:r w:rsidRPr="001D41EA">
              <w:rPr>
                <w:rFonts w:cs="Arial"/>
                <w:sz w:val="18"/>
                <w:szCs w:val="18"/>
              </w:rPr>
              <w:t>1,252,412</w:t>
            </w:r>
          </w:p>
        </w:tc>
        <w:tc>
          <w:tcPr>
            <w:tcW w:w="1135" w:type="dxa"/>
            <w:tcBorders>
              <w:top w:val="nil"/>
              <w:left w:val="nil"/>
              <w:bottom w:val="nil"/>
              <w:right w:val="nil"/>
            </w:tcBorders>
            <w:shd w:val="clear" w:color="auto" w:fill="auto"/>
            <w:vAlign w:val="bottom"/>
          </w:tcPr>
          <w:p w14:paraId="520C9AD1" w14:textId="3B922357" w:rsidR="00A66703" w:rsidRPr="001D41EA" w:rsidRDefault="00A66703" w:rsidP="001D41EA">
            <w:pPr>
              <w:spacing w:before="40" w:after="40"/>
              <w:jc w:val="right"/>
              <w:rPr>
                <w:rFonts w:cs="Arial"/>
                <w:sz w:val="18"/>
                <w:szCs w:val="18"/>
              </w:rPr>
            </w:pPr>
            <w:r w:rsidRPr="001D41EA">
              <w:rPr>
                <w:rFonts w:cs="Arial"/>
                <w:sz w:val="18"/>
                <w:szCs w:val="18"/>
              </w:rPr>
              <w:t>1,242,539</w:t>
            </w:r>
          </w:p>
        </w:tc>
        <w:tc>
          <w:tcPr>
            <w:tcW w:w="1134" w:type="dxa"/>
            <w:tcBorders>
              <w:top w:val="nil"/>
              <w:left w:val="nil"/>
              <w:bottom w:val="nil"/>
              <w:right w:val="nil"/>
            </w:tcBorders>
            <w:shd w:val="clear" w:color="auto" w:fill="auto"/>
            <w:vAlign w:val="bottom"/>
          </w:tcPr>
          <w:p w14:paraId="489C24BC" w14:textId="706283F7" w:rsidR="00A66703" w:rsidRPr="001D41EA" w:rsidRDefault="00A66703" w:rsidP="001D41EA">
            <w:pPr>
              <w:spacing w:before="40" w:after="40"/>
              <w:jc w:val="right"/>
              <w:rPr>
                <w:rFonts w:cs="Arial"/>
                <w:sz w:val="18"/>
                <w:szCs w:val="18"/>
              </w:rPr>
            </w:pPr>
            <w:r w:rsidRPr="001D41EA">
              <w:rPr>
                <w:rFonts w:cs="Arial"/>
                <w:sz w:val="18"/>
                <w:szCs w:val="18"/>
              </w:rPr>
              <w:t>-9,873</w:t>
            </w:r>
          </w:p>
        </w:tc>
      </w:tr>
      <w:tr w:rsidR="00A66703" w:rsidRPr="001D41EA" w14:paraId="493A4BB0"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33321799" w14:textId="77777777" w:rsidR="00A66703" w:rsidRPr="001D41EA" w:rsidRDefault="00A66703" w:rsidP="001D41EA">
            <w:pPr>
              <w:spacing w:before="40" w:after="40"/>
              <w:rPr>
                <w:rFonts w:cs="Arial"/>
                <w:sz w:val="18"/>
                <w:szCs w:val="18"/>
              </w:rPr>
            </w:pPr>
            <w:r w:rsidRPr="001D41EA">
              <w:rPr>
                <w:rFonts w:cs="Arial"/>
                <w:sz w:val="18"/>
                <w:szCs w:val="18"/>
              </w:rPr>
              <w:t xml:space="preserve">Knox C </w:t>
            </w:r>
          </w:p>
        </w:tc>
        <w:tc>
          <w:tcPr>
            <w:tcW w:w="1134" w:type="dxa"/>
            <w:tcBorders>
              <w:top w:val="nil"/>
              <w:left w:val="single" w:sz="18" w:space="0" w:color="5F497A" w:themeColor="accent4" w:themeShade="BF"/>
              <w:bottom w:val="nil"/>
              <w:right w:val="nil"/>
            </w:tcBorders>
            <w:shd w:val="clear" w:color="auto" w:fill="auto"/>
            <w:vAlign w:val="bottom"/>
          </w:tcPr>
          <w:p w14:paraId="23C0134A" w14:textId="0E6D7FE3" w:rsidR="00A66703" w:rsidRPr="001D41EA" w:rsidRDefault="00A66703" w:rsidP="001D41EA">
            <w:pPr>
              <w:spacing w:before="40" w:after="40"/>
              <w:jc w:val="right"/>
              <w:rPr>
                <w:rFonts w:cs="Arial"/>
                <w:sz w:val="18"/>
                <w:szCs w:val="18"/>
              </w:rPr>
            </w:pPr>
            <w:r w:rsidRPr="001D41EA">
              <w:rPr>
                <w:rFonts w:cs="Arial"/>
                <w:sz w:val="18"/>
                <w:szCs w:val="18"/>
              </w:rPr>
              <w:t>6,395,769</w:t>
            </w:r>
          </w:p>
        </w:tc>
        <w:tc>
          <w:tcPr>
            <w:tcW w:w="1134" w:type="dxa"/>
            <w:tcBorders>
              <w:top w:val="nil"/>
              <w:left w:val="nil"/>
              <w:bottom w:val="nil"/>
              <w:right w:val="nil"/>
            </w:tcBorders>
            <w:shd w:val="clear" w:color="auto" w:fill="auto"/>
            <w:vAlign w:val="bottom"/>
          </w:tcPr>
          <w:p w14:paraId="1AB0B508" w14:textId="19CFE356" w:rsidR="00A66703" w:rsidRPr="001D41EA" w:rsidRDefault="00A66703" w:rsidP="001D41EA">
            <w:pPr>
              <w:spacing w:before="40" w:after="40"/>
              <w:jc w:val="right"/>
              <w:rPr>
                <w:rFonts w:cs="Arial"/>
                <w:sz w:val="18"/>
                <w:szCs w:val="18"/>
              </w:rPr>
            </w:pPr>
            <w:r w:rsidRPr="001D41EA">
              <w:rPr>
                <w:rFonts w:cs="Arial"/>
                <w:sz w:val="18"/>
                <w:szCs w:val="18"/>
              </w:rPr>
              <w:t>6,326,055</w:t>
            </w:r>
          </w:p>
        </w:tc>
        <w:tc>
          <w:tcPr>
            <w:tcW w:w="1134" w:type="dxa"/>
            <w:tcBorders>
              <w:top w:val="nil"/>
              <w:left w:val="nil"/>
              <w:bottom w:val="nil"/>
              <w:right w:val="nil"/>
            </w:tcBorders>
            <w:shd w:val="clear" w:color="auto" w:fill="auto"/>
            <w:vAlign w:val="bottom"/>
          </w:tcPr>
          <w:p w14:paraId="081DC1C3" w14:textId="575112BD" w:rsidR="00A66703" w:rsidRPr="001D41EA" w:rsidRDefault="00A66703" w:rsidP="001D41EA">
            <w:pPr>
              <w:spacing w:before="40" w:after="40"/>
              <w:jc w:val="right"/>
              <w:rPr>
                <w:rFonts w:cs="Arial"/>
                <w:sz w:val="18"/>
                <w:szCs w:val="18"/>
              </w:rPr>
            </w:pPr>
            <w:r w:rsidRPr="001D41EA">
              <w:rPr>
                <w:rFonts w:cs="Arial"/>
                <w:sz w:val="18"/>
                <w:szCs w:val="18"/>
              </w:rPr>
              <w:t>-69,714</w:t>
            </w:r>
          </w:p>
        </w:tc>
        <w:tc>
          <w:tcPr>
            <w:tcW w:w="170" w:type="dxa"/>
            <w:tcBorders>
              <w:top w:val="nil"/>
              <w:left w:val="nil"/>
              <w:bottom w:val="nil"/>
              <w:right w:val="nil"/>
            </w:tcBorders>
            <w:shd w:val="clear" w:color="auto" w:fill="auto"/>
            <w:vAlign w:val="bottom"/>
          </w:tcPr>
          <w:p w14:paraId="789EFEBF"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69FEC56" w14:textId="5C48B4D9" w:rsidR="00A66703" w:rsidRPr="001D41EA" w:rsidRDefault="00A66703" w:rsidP="001D41EA">
            <w:pPr>
              <w:spacing w:before="40" w:after="40"/>
              <w:jc w:val="right"/>
              <w:rPr>
                <w:rFonts w:cs="Arial"/>
                <w:sz w:val="18"/>
                <w:szCs w:val="18"/>
              </w:rPr>
            </w:pPr>
            <w:r w:rsidRPr="001D41EA">
              <w:rPr>
                <w:rFonts w:cs="Arial"/>
                <w:sz w:val="18"/>
                <w:szCs w:val="18"/>
              </w:rPr>
              <w:t>1,122,143</w:t>
            </w:r>
          </w:p>
        </w:tc>
        <w:tc>
          <w:tcPr>
            <w:tcW w:w="1135" w:type="dxa"/>
            <w:tcBorders>
              <w:top w:val="nil"/>
              <w:left w:val="nil"/>
              <w:bottom w:val="nil"/>
              <w:right w:val="nil"/>
            </w:tcBorders>
            <w:shd w:val="clear" w:color="auto" w:fill="auto"/>
            <w:vAlign w:val="bottom"/>
          </w:tcPr>
          <w:p w14:paraId="403A57F7" w14:textId="6C4EE104" w:rsidR="00A66703" w:rsidRPr="001D41EA" w:rsidRDefault="00A66703" w:rsidP="001D41EA">
            <w:pPr>
              <w:spacing w:before="40" w:after="40"/>
              <w:jc w:val="right"/>
              <w:rPr>
                <w:rFonts w:cs="Arial"/>
                <w:sz w:val="18"/>
                <w:szCs w:val="18"/>
              </w:rPr>
            </w:pPr>
            <w:r w:rsidRPr="001D41EA">
              <w:rPr>
                <w:rFonts w:cs="Arial"/>
                <w:sz w:val="18"/>
                <w:szCs w:val="18"/>
              </w:rPr>
              <w:t>1,113,297</w:t>
            </w:r>
          </w:p>
        </w:tc>
        <w:tc>
          <w:tcPr>
            <w:tcW w:w="1134" w:type="dxa"/>
            <w:tcBorders>
              <w:top w:val="nil"/>
              <w:left w:val="nil"/>
              <w:bottom w:val="nil"/>
              <w:right w:val="nil"/>
            </w:tcBorders>
            <w:shd w:val="clear" w:color="auto" w:fill="auto"/>
            <w:vAlign w:val="bottom"/>
          </w:tcPr>
          <w:p w14:paraId="194D6577" w14:textId="291B3DC8" w:rsidR="00A66703" w:rsidRPr="001D41EA" w:rsidRDefault="00A66703" w:rsidP="001D41EA">
            <w:pPr>
              <w:spacing w:before="40" w:after="40"/>
              <w:jc w:val="right"/>
              <w:rPr>
                <w:rFonts w:cs="Arial"/>
                <w:sz w:val="18"/>
                <w:szCs w:val="18"/>
              </w:rPr>
            </w:pPr>
            <w:r w:rsidRPr="001D41EA">
              <w:rPr>
                <w:rFonts w:cs="Arial"/>
                <w:sz w:val="18"/>
                <w:szCs w:val="18"/>
              </w:rPr>
              <w:t>-8,846</w:t>
            </w:r>
          </w:p>
        </w:tc>
      </w:tr>
      <w:tr w:rsidR="00A66703" w:rsidRPr="001D41EA" w14:paraId="1DAD160C"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5C768763" w14:textId="77777777" w:rsidR="00A66703" w:rsidRPr="001D41EA" w:rsidRDefault="00A66703" w:rsidP="001D41EA">
            <w:pPr>
              <w:spacing w:before="40" w:after="40"/>
              <w:rPr>
                <w:rFonts w:cs="Arial"/>
                <w:sz w:val="18"/>
                <w:szCs w:val="18"/>
              </w:rPr>
            </w:pPr>
            <w:r w:rsidRPr="001D41EA">
              <w:rPr>
                <w:rFonts w:cs="Arial"/>
                <w:sz w:val="18"/>
                <w:szCs w:val="18"/>
              </w:rPr>
              <w:t xml:space="preserve">Latrobe C </w:t>
            </w:r>
          </w:p>
        </w:tc>
        <w:tc>
          <w:tcPr>
            <w:tcW w:w="1134" w:type="dxa"/>
            <w:tcBorders>
              <w:top w:val="nil"/>
              <w:left w:val="single" w:sz="18" w:space="0" w:color="5F497A" w:themeColor="accent4" w:themeShade="BF"/>
              <w:bottom w:val="nil"/>
              <w:right w:val="nil"/>
            </w:tcBorders>
            <w:shd w:val="clear" w:color="auto" w:fill="auto"/>
            <w:vAlign w:val="bottom"/>
          </w:tcPr>
          <w:p w14:paraId="4A34C2BF" w14:textId="151DE7B8" w:rsidR="00A66703" w:rsidRPr="001D41EA" w:rsidRDefault="00A66703" w:rsidP="001D41EA">
            <w:pPr>
              <w:spacing w:before="40" w:after="40"/>
              <w:jc w:val="right"/>
              <w:rPr>
                <w:rFonts w:cs="Arial"/>
                <w:sz w:val="18"/>
                <w:szCs w:val="18"/>
              </w:rPr>
            </w:pPr>
            <w:r w:rsidRPr="001D41EA">
              <w:rPr>
                <w:rFonts w:cs="Arial"/>
                <w:sz w:val="18"/>
                <w:szCs w:val="18"/>
              </w:rPr>
              <w:t>9,342,863</w:t>
            </w:r>
          </w:p>
        </w:tc>
        <w:tc>
          <w:tcPr>
            <w:tcW w:w="1134" w:type="dxa"/>
            <w:tcBorders>
              <w:top w:val="nil"/>
              <w:left w:val="nil"/>
              <w:bottom w:val="nil"/>
              <w:right w:val="nil"/>
            </w:tcBorders>
            <w:shd w:val="clear" w:color="auto" w:fill="auto"/>
            <w:vAlign w:val="bottom"/>
          </w:tcPr>
          <w:p w14:paraId="651FF4CC" w14:textId="374F2AF4" w:rsidR="00A66703" w:rsidRPr="001D41EA" w:rsidRDefault="00A66703" w:rsidP="001D41EA">
            <w:pPr>
              <w:spacing w:before="40" w:after="40"/>
              <w:jc w:val="right"/>
              <w:rPr>
                <w:rFonts w:cs="Arial"/>
                <w:sz w:val="18"/>
                <w:szCs w:val="18"/>
              </w:rPr>
            </w:pPr>
            <w:r w:rsidRPr="001D41EA">
              <w:rPr>
                <w:rFonts w:cs="Arial"/>
                <w:sz w:val="18"/>
                <w:szCs w:val="18"/>
              </w:rPr>
              <w:t>9,241,026</w:t>
            </w:r>
          </w:p>
        </w:tc>
        <w:tc>
          <w:tcPr>
            <w:tcW w:w="1134" w:type="dxa"/>
            <w:tcBorders>
              <w:top w:val="nil"/>
              <w:left w:val="nil"/>
              <w:bottom w:val="nil"/>
              <w:right w:val="nil"/>
            </w:tcBorders>
            <w:shd w:val="clear" w:color="auto" w:fill="auto"/>
            <w:vAlign w:val="bottom"/>
          </w:tcPr>
          <w:p w14:paraId="15FF2707" w14:textId="732F9373" w:rsidR="00A66703" w:rsidRPr="001D41EA" w:rsidRDefault="00A66703" w:rsidP="001D41EA">
            <w:pPr>
              <w:spacing w:before="40" w:after="40"/>
              <w:jc w:val="right"/>
              <w:rPr>
                <w:rFonts w:cs="Arial"/>
                <w:sz w:val="18"/>
                <w:szCs w:val="18"/>
              </w:rPr>
            </w:pPr>
            <w:r w:rsidRPr="001D41EA">
              <w:rPr>
                <w:rFonts w:cs="Arial"/>
                <w:sz w:val="18"/>
                <w:szCs w:val="18"/>
              </w:rPr>
              <w:t>-101,837</w:t>
            </w:r>
          </w:p>
        </w:tc>
        <w:tc>
          <w:tcPr>
            <w:tcW w:w="170" w:type="dxa"/>
            <w:tcBorders>
              <w:top w:val="nil"/>
              <w:left w:val="nil"/>
              <w:bottom w:val="nil"/>
              <w:right w:val="nil"/>
            </w:tcBorders>
            <w:shd w:val="clear" w:color="auto" w:fill="auto"/>
            <w:vAlign w:val="bottom"/>
          </w:tcPr>
          <w:p w14:paraId="7889071D"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BE2DFFE" w14:textId="0338A78E" w:rsidR="00A66703" w:rsidRPr="001D41EA" w:rsidRDefault="00A66703" w:rsidP="001D41EA">
            <w:pPr>
              <w:spacing w:before="40" w:after="40"/>
              <w:jc w:val="right"/>
              <w:rPr>
                <w:rFonts w:cs="Arial"/>
                <w:sz w:val="18"/>
                <w:szCs w:val="18"/>
              </w:rPr>
            </w:pPr>
            <w:r w:rsidRPr="001D41EA">
              <w:rPr>
                <w:rFonts w:cs="Arial"/>
                <w:sz w:val="18"/>
                <w:szCs w:val="18"/>
              </w:rPr>
              <w:t>2,602,991</w:t>
            </w:r>
          </w:p>
        </w:tc>
        <w:tc>
          <w:tcPr>
            <w:tcW w:w="1135" w:type="dxa"/>
            <w:tcBorders>
              <w:top w:val="nil"/>
              <w:left w:val="nil"/>
              <w:bottom w:val="nil"/>
              <w:right w:val="nil"/>
            </w:tcBorders>
            <w:shd w:val="clear" w:color="auto" w:fill="auto"/>
            <w:vAlign w:val="bottom"/>
          </w:tcPr>
          <w:p w14:paraId="09B7E1E0" w14:textId="2F80A0F8" w:rsidR="00A66703" w:rsidRPr="001D41EA" w:rsidRDefault="00A66703" w:rsidP="001D41EA">
            <w:pPr>
              <w:spacing w:before="40" w:after="40"/>
              <w:jc w:val="right"/>
              <w:rPr>
                <w:rFonts w:cs="Arial"/>
                <w:sz w:val="18"/>
                <w:szCs w:val="18"/>
              </w:rPr>
            </w:pPr>
            <w:r w:rsidRPr="001D41EA">
              <w:rPr>
                <w:rFonts w:cs="Arial"/>
                <w:sz w:val="18"/>
                <w:szCs w:val="18"/>
              </w:rPr>
              <w:t>2,582,472</w:t>
            </w:r>
          </w:p>
        </w:tc>
        <w:tc>
          <w:tcPr>
            <w:tcW w:w="1134" w:type="dxa"/>
            <w:tcBorders>
              <w:top w:val="nil"/>
              <w:left w:val="nil"/>
              <w:bottom w:val="nil"/>
              <w:right w:val="nil"/>
            </w:tcBorders>
            <w:shd w:val="clear" w:color="auto" w:fill="auto"/>
            <w:vAlign w:val="bottom"/>
          </w:tcPr>
          <w:p w14:paraId="6E61169A" w14:textId="74AC0E47" w:rsidR="00A66703" w:rsidRPr="001D41EA" w:rsidRDefault="00A66703" w:rsidP="001D41EA">
            <w:pPr>
              <w:spacing w:before="40" w:after="40"/>
              <w:jc w:val="right"/>
              <w:rPr>
                <w:rFonts w:cs="Arial"/>
                <w:sz w:val="18"/>
                <w:szCs w:val="18"/>
              </w:rPr>
            </w:pPr>
            <w:r w:rsidRPr="001D41EA">
              <w:rPr>
                <w:rFonts w:cs="Arial"/>
                <w:sz w:val="18"/>
                <w:szCs w:val="18"/>
              </w:rPr>
              <w:t>-20,519</w:t>
            </w:r>
          </w:p>
        </w:tc>
      </w:tr>
      <w:tr w:rsidR="00A66703" w:rsidRPr="001D41EA" w14:paraId="298B2FC0"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143386D4" w14:textId="77777777" w:rsidR="00A66703" w:rsidRPr="001D41EA" w:rsidRDefault="00A66703" w:rsidP="001D41EA">
            <w:pPr>
              <w:spacing w:before="40" w:after="40"/>
              <w:rPr>
                <w:rFonts w:cs="Arial"/>
                <w:sz w:val="18"/>
                <w:szCs w:val="18"/>
              </w:rPr>
            </w:pPr>
            <w:r w:rsidRPr="001D41EA">
              <w:rPr>
                <w:rFonts w:cs="Arial"/>
                <w:sz w:val="18"/>
                <w:szCs w:val="18"/>
              </w:rPr>
              <w:t xml:space="preserve">Loddon S </w:t>
            </w:r>
          </w:p>
        </w:tc>
        <w:tc>
          <w:tcPr>
            <w:tcW w:w="1134" w:type="dxa"/>
            <w:tcBorders>
              <w:top w:val="nil"/>
              <w:left w:val="single" w:sz="18" w:space="0" w:color="5F497A" w:themeColor="accent4" w:themeShade="BF"/>
              <w:bottom w:val="nil"/>
              <w:right w:val="nil"/>
            </w:tcBorders>
            <w:shd w:val="clear" w:color="auto" w:fill="auto"/>
            <w:vAlign w:val="bottom"/>
          </w:tcPr>
          <w:p w14:paraId="17C83CE6" w14:textId="07ACB5E1" w:rsidR="00A66703" w:rsidRPr="001D41EA" w:rsidRDefault="00A66703" w:rsidP="001D41EA">
            <w:pPr>
              <w:spacing w:before="40" w:after="40"/>
              <w:jc w:val="right"/>
              <w:rPr>
                <w:rFonts w:cs="Arial"/>
                <w:sz w:val="18"/>
                <w:szCs w:val="18"/>
              </w:rPr>
            </w:pPr>
            <w:r w:rsidRPr="001D41EA">
              <w:rPr>
                <w:rFonts w:cs="Arial"/>
                <w:sz w:val="18"/>
                <w:szCs w:val="18"/>
              </w:rPr>
              <w:t>5,185,336</w:t>
            </w:r>
          </w:p>
        </w:tc>
        <w:tc>
          <w:tcPr>
            <w:tcW w:w="1134" w:type="dxa"/>
            <w:tcBorders>
              <w:top w:val="nil"/>
              <w:left w:val="nil"/>
              <w:bottom w:val="nil"/>
              <w:right w:val="nil"/>
            </w:tcBorders>
            <w:shd w:val="clear" w:color="auto" w:fill="auto"/>
            <w:vAlign w:val="bottom"/>
          </w:tcPr>
          <w:p w14:paraId="77D4FAC6" w14:textId="07CA246D" w:rsidR="00A66703" w:rsidRPr="001D41EA" w:rsidRDefault="00A66703" w:rsidP="001D41EA">
            <w:pPr>
              <w:spacing w:before="40" w:after="40"/>
              <w:jc w:val="right"/>
              <w:rPr>
                <w:rFonts w:cs="Arial"/>
                <w:sz w:val="18"/>
                <w:szCs w:val="18"/>
              </w:rPr>
            </w:pPr>
            <w:r w:rsidRPr="001D41EA">
              <w:rPr>
                <w:rFonts w:cs="Arial"/>
                <w:sz w:val="18"/>
                <w:szCs w:val="18"/>
              </w:rPr>
              <w:t>5,128,816</w:t>
            </w:r>
          </w:p>
        </w:tc>
        <w:tc>
          <w:tcPr>
            <w:tcW w:w="1134" w:type="dxa"/>
            <w:tcBorders>
              <w:top w:val="nil"/>
              <w:left w:val="nil"/>
              <w:bottom w:val="nil"/>
              <w:right w:val="nil"/>
            </w:tcBorders>
            <w:shd w:val="clear" w:color="auto" w:fill="auto"/>
            <w:vAlign w:val="bottom"/>
          </w:tcPr>
          <w:p w14:paraId="40A5791D" w14:textId="70E41919" w:rsidR="00A66703" w:rsidRPr="001D41EA" w:rsidRDefault="00A66703" w:rsidP="001D41EA">
            <w:pPr>
              <w:spacing w:before="40" w:after="40"/>
              <w:jc w:val="right"/>
              <w:rPr>
                <w:rFonts w:cs="Arial"/>
                <w:sz w:val="18"/>
                <w:szCs w:val="18"/>
              </w:rPr>
            </w:pPr>
            <w:r w:rsidRPr="001D41EA">
              <w:rPr>
                <w:rFonts w:cs="Arial"/>
                <w:sz w:val="18"/>
                <w:szCs w:val="18"/>
              </w:rPr>
              <w:t>-56,520</w:t>
            </w:r>
          </w:p>
        </w:tc>
        <w:tc>
          <w:tcPr>
            <w:tcW w:w="170" w:type="dxa"/>
            <w:tcBorders>
              <w:top w:val="nil"/>
              <w:left w:val="nil"/>
              <w:bottom w:val="nil"/>
              <w:right w:val="nil"/>
            </w:tcBorders>
            <w:shd w:val="clear" w:color="auto" w:fill="auto"/>
            <w:vAlign w:val="bottom"/>
          </w:tcPr>
          <w:p w14:paraId="272418B1" w14:textId="77777777" w:rsidR="00A66703" w:rsidRPr="001D41EA" w:rsidRDefault="00A66703" w:rsidP="001D41E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2ED3F8E5" w14:textId="79A3DA6D" w:rsidR="00A66703" w:rsidRPr="001D41EA" w:rsidRDefault="00A66703" w:rsidP="001D41EA">
            <w:pPr>
              <w:spacing w:before="40" w:after="40"/>
              <w:jc w:val="right"/>
              <w:rPr>
                <w:rFonts w:cs="Arial"/>
                <w:sz w:val="18"/>
                <w:szCs w:val="18"/>
              </w:rPr>
            </w:pPr>
            <w:r w:rsidRPr="001D41EA">
              <w:rPr>
                <w:rFonts w:cs="Arial"/>
                <w:sz w:val="18"/>
                <w:szCs w:val="18"/>
              </w:rPr>
              <w:t>3,655,839</w:t>
            </w:r>
          </w:p>
        </w:tc>
        <w:tc>
          <w:tcPr>
            <w:tcW w:w="1135" w:type="dxa"/>
            <w:tcBorders>
              <w:top w:val="nil"/>
              <w:left w:val="nil"/>
              <w:bottom w:val="nil"/>
              <w:right w:val="nil"/>
            </w:tcBorders>
            <w:shd w:val="clear" w:color="auto" w:fill="auto"/>
            <w:vAlign w:val="bottom"/>
          </w:tcPr>
          <w:p w14:paraId="150044AF" w14:textId="1DFF7BAA" w:rsidR="00A66703" w:rsidRPr="001D41EA" w:rsidRDefault="00A66703" w:rsidP="001D41EA">
            <w:pPr>
              <w:spacing w:before="40" w:after="40"/>
              <w:jc w:val="right"/>
              <w:rPr>
                <w:rFonts w:cs="Arial"/>
                <w:sz w:val="18"/>
                <w:szCs w:val="18"/>
              </w:rPr>
            </w:pPr>
            <w:r w:rsidRPr="001D41EA">
              <w:rPr>
                <w:rFonts w:cs="Arial"/>
                <w:sz w:val="18"/>
                <w:szCs w:val="18"/>
              </w:rPr>
              <w:t>3,627,020</w:t>
            </w:r>
          </w:p>
        </w:tc>
        <w:tc>
          <w:tcPr>
            <w:tcW w:w="1134" w:type="dxa"/>
            <w:tcBorders>
              <w:top w:val="nil"/>
              <w:left w:val="nil"/>
              <w:bottom w:val="nil"/>
              <w:right w:val="nil"/>
            </w:tcBorders>
            <w:shd w:val="clear" w:color="auto" w:fill="auto"/>
            <w:vAlign w:val="bottom"/>
          </w:tcPr>
          <w:p w14:paraId="465798BC" w14:textId="6D37EA2B" w:rsidR="00A66703" w:rsidRPr="001D41EA" w:rsidRDefault="00A66703" w:rsidP="001D41EA">
            <w:pPr>
              <w:spacing w:before="40" w:after="40"/>
              <w:jc w:val="right"/>
              <w:rPr>
                <w:rFonts w:cs="Arial"/>
                <w:sz w:val="18"/>
                <w:szCs w:val="18"/>
              </w:rPr>
            </w:pPr>
            <w:r w:rsidRPr="001D41EA">
              <w:rPr>
                <w:rFonts w:cs="Arial"/>
                <w:sz w:val="18"/>
                <w:szCs w:val="18"/>
              </w:rPr>
              <w:t>-28,819</w:t>
            </w:r>
          </w:p>
        </w:tc>
      </w:tr>
    </w:tbl>
    <w:p w14:paraId="5BB3AF37" w14:textId="77777777" w:rsidR="000726CB" w:rsidRPr="00A44829" w:rsidRDefault="000726CB" w:rsidP="00FF36E8">
      <w:pPr>
        <w:spacing w:before="40" w:after="20"/>
        <w:rPr>
          <w:rFonts w:cs="Arial"/>
          <w:sz w:val="18"/>
          <w:szCs w:val="18"/>
        </w:rPr>
      </w:pPr>
    </w:p>
    <w:p w14:paraId="70AE6199" w14:textId="77777777" w:rsidR="00BA1A67" w:rsidRPr="00A44829" w:rsidRDefault="00BA1A67" w:rsidP="00FF36E8">
      <w:pPr>
        <w:spacing w:before="40" w:after="20"/>
        <w:rPr>
          <w:rFonts w:cs="Arial"/>
          <w:sz w:val="18"/>
          <w:szCs w:val="18"/>
        </w:rPr>
      </w:pPr>
    </w:p>
    <w:p w14:paraId="500DA35A" w14:textId="77777777" w:rsidR="000726CB" w:rsidRPr="00A44829" w:rsidRDefault="000726CB" w:rsidP="00FF36E8">
      <w:pPr>
        <w:spacing w:before="40" w:after="20"/>
        <w:rPr>
          <w:rFonts w:cs="Arial"/>
          <w:sz w:val="18"/>
          <w:szCs w:val="18"/>
        </w:rPr>
      </w:pPr>
      <w:r w:rsidRPr="00A44829">
        <w:rPr>
          <w:rFonts w:cs="Arial"/>
          <w:sz w:val="18"/>
          <w:szCs w:val="18"/>
        </w:rPr>
        <w:br w:type="page"/>
      </w:r>
    </w:p>
    <w:p w14:paraId="3640976D" w14:textId="366B16E8" w:rsidR="000726CB" w:rsidRPr="00A44829" w:rsidRDefault="00EE4593" w:rsidP="00C33713">
      <w:pPr>
        <w:pStyle w:val="VGC-Head10"/>
      </w:pPr>
      <w:r w:rsidRPr="00A44829">
        <w:lastRenderedPageBreak/>
        <w:t>2018-19</w:t>
      </w:r>
      <w:r w:rsidR="00A97ABE" w:rsidRPr="00A44829">
        <w:t xml:space="preserve"> </w:t>
      </w:r>
      <w:r w:rsidR="000726CB" w:rsidRPr="00A44829">
        <w:t>Final Grant Allocations</w:t>
      </w:r>
      <w:r w:rsidR="00CE4507" w:rsidRPr="00A44829">
        <w:tab/>
        <w:t>Appendix 1</w:t>
      </w:r>
    </w:p>
    <w:p w14:paraId="66FE015E" w14:textId="4984853A" w:rsidR="000726CB" w:rsidRPr="00A44829" w:rsidRDefault="004F1184" w:rsidP="008C1A28">
      <w:pPr>
        <w:pStyle w:val="VGC-Head2"/>
      </w:pPr>
      <w:r w:rsidRPr="00A44829">
        <w:tab/>
      </w:r>
    </w:p>
    <w:p w14:paraId="39876C02" w14:textId="77777777" w:rsidR="000726CB" w:rsidRPr="00A44829" w:rsidRDefault="000726CB"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A44829" w14:paraId="4FE8187C" w14:textId="77777777" w:rsidTr="00C60457">
        <w:trPr>
          <w:trHeight w:val="20"/>
          <w:tblHeader/>
        </w:trPr>
        <w:tc>
          <w:tcPr>
            <w:tcW w:w="2268" w:type="dxa"/>
            <w:tcBorders>
              <w:top w:val="nil"/>
              <w:left w:val="nil"/>
              <w:right w:val="single" w:sz="18" w:space="0" w:color="5F497A" w:themeColor="accent4" w:themeShade="BF"/>
            </w:tcBorders>
            <w:shd w:val="clear" w:color="auto" w:fill="auto"/>
            <w:vAlign w:val="bottom"/>
          </w:tcPr>
          <w:p w14:paraId="1B47620B" w14:textId="77777777" w:rsidR="008C0428" w:rsidRPr="00A44829" w:rsidRDefault="008C0428" w:rsidP="008001AD">
            <w:pPr>
              <w:spacing w:before="40" w:after="40"/>
              <w:jc w:val="center"/>
              <w:rPr>
                <w:rFonts w:cs="Arial"/>
                <w:sz w:val="18"/>
                <w:szCs w:val="18"/>
              </w:rPr>
            </w:pPr>
          </w:p>
        </w:tc>
        <w:tc>
          <w:tcPr>
            <w:tcW w:w="4254" w:type="dxa"/>
            <w:gridSpan w:val="3"/>
            <w:tcBorders>
              <w:top w:val="nil"/>
              <w:left w:val="single" w:sz="18" w:space="0" w:color="5F497A" w:themeColor="accent4" w:themeShade="BF"/>
              <w:bottom w:val="single" w:sz="8" w:space="0" w:color="5F497A" w:themeColor="accent4" w:themeShade="BF"/>
              <w:right w:val="nil"/>
            </w:tcBorders>
            <w:shd w:val="clear" w:color="auto" w:fill="auto"/>
            <w:vAlign w:val="bottom"/>
          </w:tcPr>
          <w:p w14:paraId="1C890741" w14:textId="77777777" w:rsidR="008C0428" w:rsidRPr="00A44829" w:rsidRDefault="00AD6B35" w:rsidP="008001AD">
            <w:pPr>
              <w:spacing w:before="40" w:after="40"/>
              <w:jc w:val="center"/>
              <w:rPr>
                <w:rFonts w:cs="Arial"/>
                <w:b/>
                <w:sz w:val="18"/>
                <w:szCs w:val="18"/>
              </w:rPr>
            </w:pPr>
            <w:r w:rsidRPr="00A44829">
              <w:rPr>
                <w:rFonts w:cs="Arial"/>
                <w:b/>
                <w:sz w:val="18"/>
                <w:szCs w:val="18"/>
              </w:rPr>
              <w:t>Financial Assistance Grants</w:t>
            </w:r>
          </w:p>
        </w:tc>
      </w:tr>
      <w:tr w:rsidR="000726CB" w:rsidRPr="00A44829" w14:paraId="124847D7" w14:textId="77777777" w:rsidTr="00C60457">
        <w:trPr>
          <w:trHeight w:val="20"/>
          <w:tblHeader/>
        </w:trPr>
        <w:tc>
          <w:tcPr>
            <w:tcW w:w="2268" w:type="dxa"/>
            <w:tcBorders>
              <w:top w:val="nil"/>
              <w:left w:val="nil"/>
              <w:right w:val="single" w:sz="18" w:space="0" w:color="5F497A" w:themeColor="accent4" w:themeShade="BF"/>
            </w:tcBorders>
            <w:shd w:val="clear" w:color="auto" w:fill="auto"/>
            <w:vAlign w:val="bottom"/>
          </w:tcPr>
          <w:p w14:paraId="16003F04" w14:textId="77777777" w:rsidR="000726CB" w:rsidRPr="00A44829" w:rsidRDefault="000726CB" w:rsidP="008001AD">
            <w:pPr>
              <w:spacing w:before="40" w:after="40"/>
              <w:jc w:val="center"/>
              <w:rPr>
                <w:rFonts w:cs="Arial"/>
                <w:sz w:val="18"/>
                <w:szCs w:val="18"/>
              </w:rPr>
            </w:pPr>
          </w:p>
        </w:tc>
        <w:tc>
          <w:tcPr>
            <w:tcW w:w="1418"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227E3A7F" w14:textId="77777777" w:rsidR="000726CB" w:rsidRPr="00A44829" w:rsidRDefault="000726CB" w:rsidP="008001AD">
            <w:pPr>
              <w:spacing w:before="40" w:after="40"/>
              <w:jc w:val="center"/>
              <w:rPr>
                <w:rFonts w:cs="Arial"/>
                <w:sz w:val="16"/>
                <w:szCs w:val="16"/>
              </w:rPr>
            </w:pPr>
            <w:r w:rsidRPr="00A44829">
              <w:rPr>
                <w:rFonts w:cs="Arial"/>
                <w:sz w:val="16"/>
                <w:szCs w:val="16"/>
              </w:rPr>
              <w:t xml:space="preserve">Initial </w:t>
            </w:r>
            <w:r w:rsidRPr="00A44829">
              <w:rPr>
                <w:rFonts w:cs="Arial"/>
                <w:sz w:val="16"/>
                <w:szCs w:val="16"/>
              </w:rPr>
              <w:br/>
              <w:t>($)</w:t>
            </w: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F96DCE5" w14:textId="77777777" w:rsidR="000726CB" w:rsidRPr="00A44829" w:rsidRDefault="000726CB" w:rsidP="008001AD">
            <w:pPr>
              <w:spacing w:before="40" w:after="40"/>
              <w:jc w:val="center"/>
              <w:rPr>
                <w:rFonts w:cs="Arial"/>
                <w:sz w:val="16"/>
                <w:szCs w:val="16"/>
              </w:rPr>
            </w:pPr>
            <w:r w:rsidRPr="00A44829">
              <w:rPr>
                <w:rFonts w:cs="Arial"/>
                <w:sz w:val="16"/>
                <w:szCs w:val="16"/>
              </w:rPr>
              <w:t xml:space="preserve">Final </w:t>
            </w:r>
            <w:r w:rsidRPr="00A44829">
              <w:rPr>
                <w:rFonts w:cs="Arial"/>
                <w:sz w:val="16"/>
                <w:szCs w:val="16"/>
              </w:rPr>
              <w:br/>
              <w:t>($)</w:t>
            </w: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39A53753" w14:textId="77777777" w:rsidR="000726CB" w:rsidRPr="00A44829" w:rsidRDefault="000726CB" w:rsidP="008001AD">
            <w:pPr>
              <w:spacing w:before="40" w:after="40"/>
              <w:jc w:val="center"/>
              <w:rPr>
                <w:rFonts w:cs="Arial"/>
                <w:sz w:val="16"/>
                <w:szCs w:val="16"/>
              </w:rPr>
            </w:pPr>
            <w:r w:rsidRPr="00A44829">
              <w:rPr>
                <w:rFonts w:cs="Arial"/>
                <w:sz w:val="16"/>
                <w:szCs w:val="16"/>
              </w:rPr>
              <w:t xml:space="preserve">Difference </w:t>
            </w:r>
            <w:r w:rsidR="005E7FBD" w:rsidRPr="00A44829">
              <w:rPr>
                <w:rFonts w:cs="Arial"/>
                <w:sz w:val="16"/>
                <w:szCs w:val="16"/>
              </w:rPr>
              <w:br/>
            </w:r>
            <w:r w:rsidRPr="00A44829">
              <w:rPr>
                <w:rFonts w:cs="Arial"/>
                <w:sz w:val="16"/>
                <w:szCs w:val="16"/>
              </w:rPr>
              <w:t>($)</w:t>
            </w:r>
          </w:p>
        </w:tc>
      </w:tr>
      <w:tr w:rsidR="00A66703" w:rsidRPr="001D41EA" w14:paraId="6D06B47C" w14:textId="77777777" w:rsidTr="00C60457">
        <w:trPr>
          <w:trHeight w:val="20"/>
          <w:tblHeader/>
        </w:trPr>
        <w:tc>
          <w:tcPr>
            <w:tcW w:w="2268" w:type="dxa"/>
            <w:tcBorders>
              <w:left w:val="nil"/>
              <w:bottom w:val="nil"/>
              <w:right w:val="single" w:sz="18" w:space="0" w:color="5F497A" w:themeColor="accent4" w:themeShade="BF"/>
            </w:tcBorders>
            <w:shd w:val="clear" w:color="auto" w:fill="auto"/>
            <w:vAlign w:val="center"/>
          </w:tcPr>
          <w:p w14:paraId="79F8D107" w14:textId="5426FDF1" w:rsidR="00A66703" w:rsidRPr="001D41EA" w:rsidRDefault="00A66703" w:rsidP="001D41EA">
            <w:pPr>
              <w:spacing w:before="40" w:after="40"/>
              <w:rPr>
                <w:rFonts w:cs="Arial"/>
                <w:sz w:val="18"/>
                <w:szCs w:val="18"/>
              </w:rPr>
            </w:pPr>
          </w:p>
        </w:tc>
        <w:tc>
          <w:tcPr>
            <w:tcW w:w="1418"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977F626" w14:textId="01D85D7C" w:rsidR="00A66703" w:rsidRPr="001D41EA" w:rsidRDefault="00A66703" w:rsidP="001D41EA">
            <w:pPr>
              <w:spacing w:before="40" w:after="40"/>
              <w:jc w:val="right"/>
              <w:rPr>
                <w:rFonts w:cs="Arial"/>
                <w:sz w:val="18"/>
                <w:szCs w:val="18"/>
              </w:rPr>
            </w:pPr>
            <w:r w:rsidRPr="001D41EA">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6A2AEC57" w14:textId="77777777" w:rsidR="00A66703" w:rsidRPr="001D41EA" w:rsidRDefault="00A66703" w:rsidP="001D41EA">
            <w:pPr>
              <w:spacing w:before="40" w:after="40"/>
              <w:jc w:val="right"/>
              <w:rPr>
                <w:rFonts w:cs="Arial"/>
                <w:b/>
                <w:sz w:val="18"/>
                <w:szCs w:val="18"/>
              </w:rPr>
            </w:pPr>
          </w:p>
        </w:tc>
        <w:tc>
          <w:tcPr>
            <w:tcW w:w="1418" w:type="dxa"/>
            <w:tcBorders>
              <w:top w:val="single" w:sz="8" w:space="0" w:color="5F497A" w:themeColor="accent4" w:themeShade="BF"/>
              <w:left w:val="nil"/>
              <w:bottom w:val="nil"/>
              <w:right w:val="nil"/>
            </w:tcBorders>
            <w:shd w:val="clear" w:color="auto" w:fill="auto"/>
            <w:vAlign w:val="bottom"/>
          </w:tcPr>
          <w:p w14:paraId="0BB9ABF6" w14:textId="29A196EC" w:rsidR="00A66703" w:rsidRPr="001D41EA" w:rsidRDefault="00A66703" w:rsidP="001D41EA">
            <w:pPr>
              <w:spacing w:before="40" w:after="40"/>
              <w:jc w:val="right"/>
              <w:rPr>
                <w:rFonts w:cs="Arial"/>
                <w:sz w:val="18"/>
                <w:szCs w:val="18"/>
              </w:rPr>
            </w:pPr>
            <w:r w:rsidRPr="001D41EA">
              <w:rPr>
                <w:rFonts w:cs="Arial"/>
                <w:sz w:val="18"/>
                <w:szCs w:val="18"/>
              </w:rPr>
              <w:t> </w:t>
            </w:r>
          </w:p>
        </w:tc>
      </w:tr>
      <w:tr w:rsidR="00A66703" w:rsidRPr="001D41EA" w14:paraId="1B4953EB"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3546FB20" w14:textId="77777777" w:rsidR="00A66703" w:rsidRPr="001D41EA" w:rsidRDefault="00A66703" w:rsidP="001D41EA">
            <w:pPr>
              <w:spacing w:before="40" w:after="40"/>
              <w:rPr>
                <w:rFonts w:cs="Arial"/>
                <w:sz w:val="18"/>
                <w:szCs w:val="18"/>
              </w:rPr>
            </w:pPr>
            <w:r w:rsidRPr="001D41EA">
              <w:rPr>
                <w:rFonts w:cs="Arial"/>
                <w:sz w:val="18"/>
                <w:szCs w:val="18"/>
              </w:rPr>
              <w:t xml:space="preserve">Alpine S </w:t>
            </w:r>
          </w:p>
        </w:tc>
        <w:tc>
          <w:tcPr>
            <w:tcW w:w="1418" w:type="dxa"/>
            <w:tcBorders>
              <w:top w:val="nil"/>
              <w:left w:val="single" w:sz="18" w:space="0" w:color="5F497A" w:themeColor="accent4" w:themeShade="BF"/>
              <w:bottom w:val="nil"/>
              <w:right w:val="nil"/>
            </w:tcBorders>
            <w:shd w:val="clear" w:color="auto" w:fill="auto"/>
            <w:vAlign w:val="bottom"/>
          </w:tcPr>
          <w:p w14:paraId="7F1CBAAF" w14:textId="37279428" w:rsidR="00A66703" w:rsidRPr="001D41EA" w:rsidRDefault="00A66703" w:rsidP="001D41EA">
            <w:pPr>
              <w:spacing w:before="40" w:after="40"/>
              <w:jc w:val="right"/>
              <w:rPr>
                <w:rFonts w:cs="Arial"/>
                <w:sz w:val="18"/>
                <w:szCs w:val="18"/>
              </w:rPr>
            </w:pPr>
            <w:r w:rsidRPr="001D41EA">
              <w:rPr>
                <w:rFonts w:cs="Arial"/>
                <w:sz w:val="18"/>
                <w:szCs w:val="18"/>
              </w:rPr>
              <w:t>3,734,739</w:t>
            </w:r>
          </w:p>
        </w:tc>
        <w:tc>
          <w:tcPr>
            <w:tcW w:w="1418" w:type="dxa"/>
            <w:tcBorders>
              <w:top w:val="nil"/>
              <w:left w:val="nil"/>
              <w:bottom w:val="nil"/>
              <w:right w:val="nil"/>
            </w:tcBorders>
            <w:shd w:val="clear" w:color="auto" w:fill="auto"/>
            <w:vAlign w:val="bottom"/>
          </w:tcPr>
          <w:p w14:paraId="0C32D765" w14:textId="046B93C2" w:rsidR="00A66703" w:rsidRPr="001D41EA" w:rsidRDefault="00A66703" w:rsidP="001D41EA">
            <w:pPr>
              <w:spacing w:before="40" w:after="40"/>
              <w:jc w:val="right"/>
              <w:rPr>
                <w:rFonts w:cs="Arial"/>
                <w:b/>
                <w:sz w:val="18"/>
                <w:szCs w:val="18"/>
              </w:rPr>
            </w:pPr>
            <w:r w:rsidRPr="001D41EA">
              <w:rPr>
                <w:rFonts w:cs="Arial"/>
                <w:b/>
                <w:sz w:val="18"/>
                <w:szCs w:val="18"/>
              </w:rPr>
              <w:t>3,697,312</w:t>
            </w:r>
          </w:p>
        </w:tc>
        <w:tc>
          <w:tcPr>
            <w:tcW w:w="1418" w:type="dxa"/>
            <w:tcBorders>
              <w:top w:val="nil"/>
              <w:left w:val="nil"/>
              <w:bottom w:val="nil"/>
              <w:right w:val="nil"/>
            </w:tcBorders>
            <w:shd w:val="clear" w:color="auto" w:fill="auto"/>
            <w:vAlign w:val="bottom"/>
          </w:tcPr>
          <w:p w14:paraId="157DEF12" w14:textId="2E10290F" w:rsidR="00A66703" w:rsidRPr="001D41EA" w:rsidRDefault="00A66703" w:rsidP="001D41EA">
            <w:pPr>
              <w:spacing w:before="40" w:after="40"/>
              <w:jc w:val="right"/>
              <w:rPr>
                <w:rFonts w:cs="Arial"/>
                <w:sz w:val="18"/>
                <w:szCs w:val="18"/>
              </w:rPr>
            </w:pPr>
            <w:r w:rsidRPr="001D41EA">
              <w:rPr>
                <w:rFonts w:cs="Arial"/>
                <w:sz w:val="18"/>
                <w:szCs w:val="18"/>
              </w:rPr>
              <w:t>-37,427</w:t>
            </w:r>
          </w:p>
        </w:tc>
      </w:tr>
      <w:tr w:rsidR="00A66703" w:rsidRPr="001D41EA" w14:paraId="3224811F"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672511B2" w14:textId="77777777" w:rsidR="00A66703" w:rsidRPr="001D41EA" w:rsidRDefault="00A66703" w:rsidP="001D41EA">
            <w:pPr>
              <w:spacing w:before="40" w:after="40"/>
              <w:rPr>
                <w:rFonts w:cs="Arial"/>
                <w:sz w:val="18"/>
                <w:szCs w:val="18"/>
              </w:rPr>
            </w:pPr>
            <w:r w:rsidRPr="001D41EA">
              <w:rPr>
                <w:rFonts w:cs="Arial"/>
                <w:sz w:val="18"/>
                <w:szCs w:val="18"/>
              </w:rPr>
              <w:t xml:space="preserve">Ararat RC </w:t>
            </w:r>
          </w:p>
        </w:tc>
        <w:tc>
          <w:tcPr>
            <w:tcW w:w="1418" w:type="dxa"/>
            <w:tcBorders>
              <w:top w:val="nil"/>
              <w:left w:val="single" w:sz="18" w:space="0" w:color="5F497A" w:themeColor="accent4" w:themeShade="BF"/>
              <w:bottom w:val="nil"/>
              <w:right w:val="nil"/>
            </w:tcBorders>
            <w:shd w:val="clear" w:color="auto" w:fill="auto"/>
            <w:vAlign w:val="bottom"/>
          </w:tcPr>
          <w:p w14:paraId="1424C3C4" w14:textId="3D03E50A" w:rsidR="00A66703" w:rsidRPr="001D41EA" w:rsidRDefault="00A66703" w:rsidP="001D41EA">
            <w:pPr>
              <w:spacing w:before="40" w:after="40"/>
              <w:jc w:val="right"/>
              <w:rPr>
                <w:rFonts w:cs="Arial"/>
                <w:sz w:val="18"/>
                <w:szCs w:val="18"/>
              </w:rPr>
            </w:pPr>
            <w:r w:rsidRPr="001D41EA">
              <w:rPr>
                <w:rFonts w:cs="Arial"/>
                <w:sz w:val="18"/>
                <w:szCs w:val="18"/>
              </w:rPr>
              <w:t>5,879,272</w:t>
            </w:r>
          </w:p>
        </w:tc>
        <w:tc>
          <w:tcPr>
            <w:tcW w:w="1418" w:type="dxa"/>
            <w:tcBorders>
              <w:top w:val="nil"/>
              <w:left w:val="nil"/>
              <w:bottom w:val="nil"/>
              <w:right w:val="nil"/>
            </w:tcBorders>
            <w:shd w:val="clear" w:color="auto" w:fill="auto"/>
            <w:vAlign w:val="bottom"/>
          </w:tcPr>
          <w:p w14:paraId="6176F178" w14:textId="59767A23" w:rsidR="00A66703" w:rsidRPr="001D41EA" w:rsidRDefault="00A66703" w:rsidP="001D41EA">
            <w:pPr>
              <w:spacing w:before="40" w:after="40"/>
              <w:jc w:val="right"/>
              <w:rPr>
                <w:rFonts w:cs="Arial"/>
                <w:b/>
                <w:sz w:val="18"/>
                <w:szCs w:val="18"/>
              </w:rPr>
            </w:pPr>
            <w:r w:rsidRPr="001D41EA">
              <w:rPr>
                <w:rFonts w:cs="Arial"/>
                <w:b/>
                <w:sz w:val="18"/>
                <w:szCs w:val="18"/>
              </w:rPr>
              <w:t>5,821,939</w:t>
            </w:r>
          </w:p>
        </w:tc>
        <w:tc>
          <w:tcPr>
            <w:tcW w:w="1418" w:type="dxa"/>
            <w:tcBorders>
              <w:top w:val="nil"/>
              <w:left w:val="nil"/>
              <w:bottom w:val="nil"/>
              <w:right w:val="nil"/>
            </w:tcBorders>
            <w:shd w:val="clear" w:color="auto" w:fill="auto"/>
            <w:vAlign w:val="bottom"/>
          </w:tcPr>
          <w:p w14:paraId="2B1A7C6F" w14:textId="313871D3" w:rsidR="00A66703" w:rsidRPr="001D41EA" w:rsidRDefault="00A66703" w:rsidP="001D41EA">
            <w:pPr>
              <w:spacing w:before="40" w:after="40"/>
              <w:jc w:val="right"/>
              <w:rPr>
                <w:rFonts w:cs="Arial"/>
                <w:sz w:val="18"/>
                <w:szCs w:val="18"/>
              </w:rPr>
            </w:pPr>
            <w:r w:rsidRPr="001D41EA">
              <w:rPr>
                <w:rFonts w:cs="Arial"/>
                <w:sz w:val="18"/>
                <w:szCs w:val="18"/>
              </w:rPr>
              <w:t>-57,333</w:t>
            </w:r>
          </w:p>
        </w:tc>
      </w:tr>
      <w:tr w:rsidR="00A66703" w:rsidRPr="001D41EA" w14:paraId="3E2C4AAF"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3D7A5116" w14:textId="77777777" w:rsidR="00A66703" w:rsidRPr="001D41EA" w:rsidRDefault="00A66703" w:rsidP="001D41EA">
            <w:pPr>
              <w:spacing w:before="40" w:after="40"/>
              <w:rPr>
                <w:rFonts w:cs="Arial"/>
                <w:sz w:val="18"/>
                <w:szCs w:val="18"/>
              </w:rPr>
            </w:pPr>
            <w:r w:rsidRPr="001D41EA">
              <w:rPr>
                <w:rFonts w:cs="Arial"/>
                <w:sz w:val="18"/>
                <w:szCs w:val="18"/>
              </w:rPr>
              <w:t xml:space="preserve">Ballarat C </w:t>
            </w:r>
          </w:p>
        </w:tc>
        <w:tc>
          <w:tcPr>
            <w:tcW w:w="1418" w:type="dxa"/>
            <w:tcBorders>
              <w:top w:val="nil"/>
              <w:left w:val="single" w:sz="18" w:space="0" w:color="5F497A" w:themeColor="accent4" w:themeShade="BF"/>
              <w:bottom w:val="nil"/>
              <w:right w:val="nil"/>
            </w:tcBorders>
            <w:shd w:val="clear" w:color="auto" w:fill="auto"/>
            <w:vAlign w:val="bottom"/>
          </w:tcPr>
          <w:p w14:paraId="18859621" w14:textId="5D736EB6" w:rsidR="00A66703" w:rsidRPr="001D41EA" w:rsidRDefault="00A66703" w:rsidP="001D41EA">
            <w:pPr>
              <w:spacing w:before="40" w:after="40"/>
              <w:jc w:val="right"/>
              <w:rPr>
                <w:rFonts w:cs="Arial"/>
                <w:sz w:val="18"/>
                <w:szCs w:val="18"/>
              </w:rPr>
            </w:pPr>
            <w:r w:rsidRPr="001D41EA">
              <w:rPr>
                <w:rFonts w:cs="Arial"/>
                <w:sz w:val="18"/>
                <w:szCs w:val="18"/>
              </w:rPr>
              <w:t>13,083,813</w:t>
            </w:r>
          </w:p>
        </w:tc>
        <w:tc>
          <w:tcPr>
            <w:tcW w:w="1418" w:type="dxa"/>
            <w:tcBorders>
              <w:top w:val="nil"/>
              <w:left w:val="nil"/>
              <w:bottom w:val="nil"/>
              <w:right w:val="nil"/>
            </w:tcBorders>
            <w:shd w:val="clear" w:color="auto" w:fill="auto"/>
            <w:vAlign w:val="bottom"/>
          </w:tcPr>
          <w:p w14:paraId="57DD415C" w14:textId="306B2BC3" w:rsidR="00A66703" w:rsidRPr="001D41EA" w:rsidRDefault="00A66703" w:rsidP="001D41EA">
            <w:pPr>
              <w:spacing w:before="40" w:after="40"/>
              <w:jc w:val="right"/>
              <w:rPr>
                <w:rFonts w:cs="Arial"/>
                <w:b/>
                <w:sz w:val="18"/>
                <w:szCs w:val="18"/>
              </w:rPr>
            </w:pPr>
            <w:r w:rsidRPr="001D41EA">
              <w:rPr>
                <w:rFonts w:cs="Arial"/>
                <w:b/>
                <w:sz w:val="18"/>
                <w:szCs w:val="18"/>
              </w:rPr>
              <w:t>12,948,282</w:t>
            </w:r>
          </w:p>
        </w:tc>
        <w:tc>
          <w:tcPr>
            <w:tcW w:w="1418" w:type="dxa"/>
            <w:tcBorders>
              <w:top w:val="nil"/>
              <w:left w:val="nil"/>
              <w:bottom w:val="nil"/>
              <w:right w:val="nil"/>
            </w:tcBorders>
            <w:shd w:val="clear" w:color="auto" w:fill="auto"/>
            <w:vAlign w:val="bottom"/>
          </w:tcPr>
          <w:p w14:paraId="5E214A4D" w14:textId="1A7AA40B" w:rsidR="00A66703" w:rsidRPr="001D41EA" w:rsidRDefault="00A66703" w:rsidP="001D41EA">
            <w:pPr>
              <w:spacing w:before="40" w:after="40"/>
              <w:jc w:val="right"/>
              <w:rPr>
                <w:rFonts w:cs="Arial"/>
                <w:sz w:val="18"/>
                <w:szCs w:val="18"/>
              </w:rPr>
            </w:pPr>
            <w:r w:rsidRPr="001D41EA">
              <w:rPr>
                <w:rFonts w:cs="Arial"/>
                <w:sz w:val="18"/>
                <w:szCs w:val="18"/>
              </w:rPr>
              <w:t>-135,531</w:t>
            </w:r>
          </w:p>
        </w:tc>
      </w:tr>
      <w:tr w:rsidR="00A66703" w:rsidRPr="001D41EA" w14:paraId="14F7335C"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439E5D4" w14:textId="77777777" w:rsidR="00A66703" w:rsidRPr="001D41EA" w:rsidRDefault="00A66703" w:rsidP="001D41EA">
            <w:pPr>
              <w:spacing w:before="40" w:after="40"/>
              <w:rPr>
                <w:rFonts w:cs="Arial"/>
                <w:sz w:val="18"/>
                <w:szCs w:val="18"/>
              </w:rPr>
            </w:pPr>
            <w:r w:rsidRPr="001D41EA">
              <w:rPr>
                <w:rFonts w:cs="Arial"/>
                <w:sz w:val="18"/>
                <w:szCs w:val="18"/>
              </w:rPr>
              <w:t xml:space="preserve">Banyule C </w:t>
            </w:r>
          </w:p>
        </w:tc>
        <w:tc>
          <w:tcPr>
            <w:tcW w:w="1418" w:type="dxa"/>
            <w:tcBorders>
              <w:top w:val="nil"/>
              <w:left w:val="single" w:sz="18" w:space="0" w:color="5F497A" w:themeColor="accent4" w:themeShade="BF"/>
              <w:bottom w:val="nil"/>
              <w:right w:val="nil"/>
            </w:tcBorders>
            <w:shd w:val="clear" w:color="auto" w:fill="auto"/>
            <w:vAlign w:val="bottom"/>
          </w:tcPr>
          <w:p w14:paraId="7C32D013" w14:textId="6DF4096B" w:rsidR="00A66703" w:rsidRPr="001D41EA" w:rsidRDefault="00A66703" w:rsidP="001D41EA">
            <w:pPr>
              <w:spacing w:before="40" w:after="40"/>
              <w:jc w:val="right"/>
              <w:rPr>
                <w:rFonts w:cs="Arial"/>
                <w:sz w:val="18"/>
                <w:szCs w:val="18"/>
              </w:rPr>
            </w:pPr>
            <w:r w:rsidRPr="001D41EA">
              <w:rPr>
                <w:rFonts w:cs="Arial"/>
                <w:sz w:val="18"/>
                <w:szCs w:val="18"/>
              </w:rPr>
              <w:t>3,737,285</w:t>
            </w:r>
          </w:p>
        </w:tc>
        <w:tc>
          <w:tcPr>
            <w:tcW w:w="1418" w:type="dxa"/>
            <w:tcBorders>
              <w:top w:val="nil"/>
              <w:left w:val="nil"/>
              <w:bottom w:val="nil"/>
              <w:right w:val="nil"/>
            </w:tcBorders>
            <w:shd w:val="clear" w:color="auto" w:fill="auto"/>
            <w:vAlign w:val="bottom"/>
          </w:tcPr>
          <w:p w14:paraId="446575D8" w14:textId="461A3C64" w:rsidR="00A66703" w:rsidRPr="001D41EA" w:rsidRDefault="00A66703" w:rsidP="001D41EA">
            <w:pPr>
              <w:spacing w:before="40" w:after="40"/>
              <w:jc w:val="right"/>
              <w:rPr>
                <w:rFonts w:cs="Arial"/>
                <w:b/>
                <w:sz w:val="18"/>
                <w:szCs w:val="18"/>
              </w:rPr>
            </w:pPr>
            <w:r w:rsidRPr="001D41EA">
              <w:rPr>
                <w:rFonts w:cs="Arial"/>
                <w:b/>
                <w:sz w:val="18"/>
                <w:szCs w:val="18"/>
              </w:rPr>
              <w:t>3,699,403</w:t>
            </w:r>
          </w:p>
        </w:tc>
        <w:tc>
          <w:tcPr>
            <w:tcW w:w="1418" w:type="dxa"/>
            <w:tcBorders>
              <w:top w:val="nil"/>
              <w:left w:val="nil"/>
              <w:bottom w:val="nil"/>
              <w:right w:val="nil"/>
            </w:tcBorders>
            <w:shd w:val="clear" w:color="auto" w:fill="auto"/>
            <w:vAlign w:val="bottom"/>
          </w:tcPr>
          <w:p w14:paraId="0366AC93" w14:textId="778B9F2B" w:rsidR="00A66703" w:rsidRPr="001D41EA" w:rsidRDefault="00A66703" w:rsidP="001D41EA">
            <w:pPr>
              <w:spacing w:before="40" w:after="40"/>
              <w:jc w:val="right"/>
              <w:rPr>
                <w:rFonts w:cs="Arial"/>
                <w:sz w:val="18"/>
                <w:szCs w:val="18"/>
              </w:rPr>
            </w:pPr>
            <w:r w:rsidRPr="001D41EA">
              <w:rPr>
                <w:rFonts w:cs="Arial"/>
                <w:sz w:val="18"/>
                <w:szCs w:val="18"/>
              </w:rPr>
              <w:t>-37,882</w:t>
            </w:r>
          </w:p>
        </w:tc>
      </w:tr>
      <w:tr w:rsidR="00A66703" w:rsidRPr="001D41EA" w14:paraId="75AEB6B3"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6A7A0D7C" w14:textId="77777777" w:rsidR="00A66703" w:rsidRPr="001D41EA" w:rsidRDefault="00A66703" w:rsidP="001D41EA">
            <w:pPr>
              <w:spacing w:before="40" w:after="40"/>
              <w:rPr>
                <w:rFonts w:cs="Arial"/>
                <w:sz w:val="18"/>
                <w:szCs w:val="18"/>
              </w:rPr>
            </w:pPr>
            <w:r w:rsidRPr="001D41EA">
              <w:rPr>
                <w:rFonts w:cs="Arial"/>
                <w:sz w:val="18"/>
                <w:szCs w:val="18"/>
              </w:rPr>
              <w:t xml:space="preserve">Bass Coast S </w:t>
            </w:r>
          </w:p>
        </w:tc>
        <w:tc>
          <w:tcPr>
            <w:tcW w:w="1418" w:type="dxa"/>
            <w:tcBorders>
              <w:top w:val="nil"/>
              <w:left w:val="single" w:sz="18" w:space="0" w:color="5F497A" w:themeColor="accent4" w:themeShade="BF"/>
              <w:bottom w:val="nil"/>
              <w:right w:val="nil"/>
            </w:tcBorders>
            <w:shd w:val="clear" w:color="auto" w:fill="auto"/>
            <w:vAlign w:val="bottom"/>
          </w:tcPr>
          <w:p w14:paraId="67644FAC" w14:textId="42662277" w:rsidR="00A66703" w:rsidRPr="001D41EA" w:rsidRDefault="00A66703" w:rsidP="001D41EA">
            <w:pPr>
              <w:spacing w:before="40" w:after="40"/>
              <w:jc w:val="right"/>
              <w:rPr>
                <w:rFonts w:cs="Arial"/>
                <w:sz w:val="18"/>
                <w:szCs w:val="18"/>
              </w:rPr>
            </w:pPr>
            <w:r w:rsidRPr="001D41EA">
              <w:rPr>
                <w:rFonts w:cs="Arial"/>
                <w:sz w:val="18"/>
                <w:szCs w:val="18"/>
              </w:rPr>
              <w:t>6,059,817</w:t>
            </w:r>
          </w:p>
        </w:tc>
        <w:tc>
          <w:tcPr>
            <w:tcW w:w="1418" w:type="dxa"/>
            <w:tcBorders>
              <w:top w:val="nil"/>
              <w:left w:val="nil"/>
              <w:bottom w:val="nil"/>
              <w:right w:val="nil"/>
            </w:tcBorders>
            <w:shd w:val="clear" w:color="auto" w:fill="auto"/>
            <w:vAlign w:val="bottom"/>
          </w:tcPr>
          <w:p w14:paraId="0E515C78" w14:textId="63451428" w:rsidR="00A66703" w:rsidRPr="001D41EA" w:rsidRDefault="00A66703" w:rsidP="001D41EA">
            <w:pPr>
              <w:spacing w:before="40" w:after="40"/>
              <w:jc w:val="right"/>
              <w:rPr>
                <w:rFonts w:cs="Arial"/>
                <w:b/>
                <w:sz w:val="18"/>
                <w:szCs w:val="18"/>
              </w:rPr>
            </w:pPr>
            <w:r w:rsidRPr="001D41EA">
              <w:rPr>
                <w:rFonts w:cs="Arial"/>
                <w:b/>
                <w:sz w:val="18"/>
                <w:szCs w:val="18"/>
              </w:rPr>
              <w:t>5,998,032</w:t>
            </w:r>
          </w:p>
        </w:tc>
        <w:tc>
          <w:tcPr>
            <w:tcW w:w="1418" w:type="dxa"/>
            <w:tcBorders>
              <w:top w:val="nil"/>
              <w:left w:val="nil"/>
              <w:bottom w:val="nil"/>
              <w:right w:val="nil"/>
            </w:tcBorders>
            <w:shd w:val="clear" w:color="auto" w:fill="auto"/>
            <w:vAlign w:val="bottom"/>
          </w:tcPr>
          <w:p w14:paraId="6255190B" w14:textId="6C233611" w:rsidR="00A66703" w:rsidRPr="001D41EA" w:rsidRDefault="00A66703" w:rsidP="001D41EA">
            <w:pPr>
              <w:spacing w:before="40" w:after="40"/>
              <w:jc w:val="right"/>
              <w:rPr>
                <w:rFonts w:cs="Arial"/>
                <w:sz w:val="18"/>
                <w:szCs w:val="18"/>
              </w:rPr>
            </w:pPr>
            <w:r w:rsidRPr="001D41EA">
              <w:rPr>
                <w:rFonts w:cs="Arial"/>
                <w:sz w:val="18"/>
                <w:szCs w:val="18"/>
              </w:rPr>
              <w:t>-61,785</w:t>
            </w:r>
          </w:p>
        </w:tc>
      </w:tr>
      <w:tr w:rsidR="00A66703" w:rsidRPr="001D41EA" w14:paraId="5FE3A93D"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AA3ECF5" w14:textId="77777777" w:rsidR="00A66703" w:rsidRPr="001D41EA" w:rsidRDefault="00A66703" w:rsidP="001D41EA">
            <w:pPr>
              <w:spacing w:before="40" w:after="40"/>
              <w:rPr>
                <w:rFonts w:cs="Arial"/>
                <w:sz w:val="18"/>
                <w:szCs w:val="18"/>
              </w:rPr>
            </w:pPr>
            <w:r w:rsidRPr="001D41EA">
              <w:rPr>
                <w:rFonts w:cs="Arial"/>
                <w:sz w:val="18"/>
                <w:szCs w:val="18"/>
              </w:rPr>
              <w:t xml:space="preserve">Baw Baw S </w:t>
            </w:r>
          </w:p>
        </w:tc>
        <w:tc>
          <w:tcPr>
            <w:tcW w:w="1418" w:type="dxa"/>
            <w:tcBorders>
              <w:top w:val="nil"/>
              <w:left w:val="single" w:sz="18" w:space="0" w:color="5F497A" w:themeColor="accent4" w:themeShade="BF"/>
              <w:bottom w:val="nil"/>
              <w:right w:val="nil"/>
            </w:tcBorders>
            <w:shd w:val="clear" w:color="auto" w:fill="auto"/>
            <w:vAlign w:val="bottom"/>
          </w:tcPr>
          <w:p w14:paraId="0DC65DA1" w14:textId="1DDE2DD4" w:rsidR="00A66703" w:rsidRPr="001D41EA" w:rsidRDefault="00A66703" w:rsidP="001D41EA">
            <w:pPr>
              <w:spacing w:before="40" w:after="40"/>
              <w:jc w:val="right"/>
              <w:rPr>
                <w:rFonts w:cs="Arial"/>
                <w:sz w:val="18"/>
                <w:szCs w:val="18"/>
              </w:rPr>
            </w:pPr>
            <w:r w:rsidRPr="001D41EA">
              <w:rPr>
                <w:rFonts w:cs="Arial"/>
                <w:sz w:val="18"/>
                <w:szCs w:val="18"/>
              </w:rPr>
              <w:t>9,104,889</w:t>
            </w:r>
          </w:p>
        </w:tc>
        <w:tc>
          <w:tcPr>
            <w:tcW w:w="1418" w:type="dxa"/>
            <w:tcBorders>
              <w:top w:val="nil"/>
              <w:left w:val="nil"/>
              <w:bottom w:val="nil"/>
              <w:right w:val="nil"/>
            </w:tcBorders>
            <w:shd w:val="clear" w:color="auto" w:fill="auto"/>
            <w:vAlign w:val="bottom"/>
          </w:tcPr>
          <w:p w14:paraId="0E02AF2D" w14:textId="6F90D709" w:rsidR="00A66703" w:rsidRPr="001D41EA" w:rsidRDefault="00A66703" w:rsidP="001D41EA">
            <w:pPr>
              <w:spacing w:before="40" w:after="40"/>
              <w:jc w:val="right"/>
              <w:rPr>
                <w:rFonts w:cs="Arial"/>
                <w:b/>
                <w:sz w:val="18"/>
                <w:szCs w:val="18"/>
              </w:rPr>
            </w:pPr>
            <w:r w:rsidRPr="001D41EA">
              <w:rPr>
                <w:rFonts w:cs="Arial"/>
                <w:b/>
                <w:sz w:val="18"/>
                <w:szCs w:val="18"/>
              </w:rPr>
              <w:t>9,013,938</w:t>
            </w:r>
          </w:p>
        </w:tc>
        <w:tc>
          <w:tcPr>
            <w:tcW w:w="1418" w:type="dxa"/>
            <w:tcBorders>
              <w:top w:val="nil"/>
              <w:left w:val="nil"/>
              <w:bottom w:val="nil"/>
              <w:right w:val="nil"/>
            </w:tcBorders>
            <w:shd w:val="clear" w:color="auto" w:fill="auto"/>
            <w:vAlign w:val="bottom"/>
          </w:tcPr>
          <w:p w14:paraId="180701FB" w14:textId="229656E1" w:rsidR="00A66703" w:rsidRPr="001D41EA" w:rsidRDefault="00A66703" w:rsidP="001D41EA">
            <w:pPr>
              <w:spacing w:before="40" w:after="40"/>
              <w:jc w:val="right"/>
              <w:rPr>
                <w:rFonts w:cs="Arial"/>
                <w:sz w:val="18"/>
                <w:szCs w:val="18"/>
              </w:rPr>
            </w:pPr>
            <w:r w:rsidRPr="001D41EA">
              <w:rPr>
                <w:rFonts w:cs="Arial"/>
                <w:sz w:val="18"/>
                <w:szCs w:val="18"/>
              </w:rPr>
              <w:t>-90,951</w:t>
            </w:r>
          </w:p>
        </w:tc>
      </w:tr>
      <w:tr w:rsidR="00A66703" w:rsidRPr="001D41EA" w14:paraId="18F86AFC"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3BE065B2" w14:textId="77777777" w:rsidR="00A66703" w:rsidRPr="001D41EA" w:rsidRDefault="00A66703" w:rsidP="001D41EA">
            <w:pPr>
              <w:spacing w:before="40" w:after="40"/>
              <w:rPr>
                <w:rFonts w:cs="Arial"/>
                <w:sz w:val="18"/>
                <w:szCs w:val="18"/>
              </w:rPr>
            </w:pPr>
            <w:r w:rsidRPr="001D41EA">
              <w:rPr>
                <w:rFonts w:cs="Arial"/>
                <w:sz w:val="18"/>
                <w:szCs w:val="18"/>
              </w:rPr>
              <w:t xml:space="preserve">Bayside C </w:t>
            </w:r>
          </w:p>
        </w:tc>
        <w:tc>
          <w:tcPr>
            <w:tcW w:w="1418" w:type="dxa"/>
            <w:tcBorders>
              <w:top w:val="nil"/>
              <w:left w:val="single" w:sz="18" w:space="0" w:color="5F497A" w:themeColor="accent4" w:themeShade="BF"/>
              <w:bottom w:val="nil"/>
              <w:right w:val="nil"/>
            </w:tcBorders>
            <w:shd w:val="clear" w:color="auto" w:fill="auto"/>
            <w:vAlign w:val="bottom"/>
          </w:tcPr>
          <w:p w14:paraId="2AAA4405" w14:textId="7C8FAAB6" w:rsidR="00A66703" w:rsidRPr="001D41EA" w:rsidRDefault="00A66703" w:rsidP="001D41EA">
            <w:pPr>
              <w:spacing w:before="40" w:after="40"/>
              <w:jc w:val="right"/>
              <w:rPr>
                <w:rFonts w:cs="Arial"/>
                <w:sz w:val="18"/>
                <w:szCs w:val="18"/>
              </w:rPr>
            </w:pPr>
            <w:r w:rsidRPr="001D41EA">
              <w:rPr>
                <w:rFonts w:cs="Arial"/>
                <w:sz w:val="18"/>
                <w:szCs w:val="18"/>
              </w:rPr>
              <w:t>2,734,430</w:t>
            </w:r>
          </w:p>
        </w:tc>
        <w:tc>
          <w:tcPr>
            <w:tcW w:w="1418" w:type="dxa"/>
            <w:tcBorders>
              <w:top w:val="nil"/>
              <w:left w:val="nil"/>
              <w:bottom w:val="nil"/>
              <w:right w:val="nil"/>
            </w:tcBorders>
            <w:shd w:val="clear" w:color="auto" w:fill="auto"/>
            <w:vAlign w:val="bottom"/>
          </w:tcPr>
          <w:p w14:paraId="61002BF0" w14:textId="2E94F211" w:rsidR="00A66703" w:rsidRPr="001D41EA" w:rsidRDefault="00A66703" w:rsidP="001D41EA">
            <w:pPr>
              <w:spacing w:before="40" w:after="40"/>
              <w:jc w:val="right"/>
              <w:rPr>
                <w:rFonts w:cs="Arial"/>
                <w:b/>
                <w:sz w:val="18"/>
                <w:szCs w:val="18"/>
              </w:rPr>
            </w:pPr>
            <w:r w:rsidRPr="001D41EA">
              <w:rPr>
                <w:rFonts w:cs="Arial"/>
                <w:b/>
                <w:sz w:val="18"/>
                <w:szCs w:val="18"/>
              </w:rPr>
              <w:t>2,706,338</w:t>
            </w:r>
          </w:p>
        </w:tc>
        <w:tc>
          <w:tcPr>
            <w:tcW w:w="1418" w:type="dxa"/>
            <w:tcBorders>
              <w:top w:val="nil"/>
              <w:left w:val="nil"/>
              <w:bottom w:val="nil"/>
              <w:right w:val="nil"/>
            </w:tcBorders>
            <w:shd w:val="clear" w:color="auto" w:fill="auto"/>
            <w:vAlign w:val="bottom"/>
          </w:tcPr>
          <w:p w14:paraId="5EA271E6" w14:textId="23174A06" w:rsidR="00A66703" w:rsidRPr="001D41EA" w:rsidRDefault="00A66703" w:rsidP="001D41EA">
            <w:pPr>
              <w:spacing w:before="40" w:after="40"/>
              <w:jc w:val="right"/>
              <w:rPr>
                <w:rFonts w:cs="Arial"/>
                <w:sz w:val="18"/>
                <w:szCs w:val="18"/>
              </w:rPr>
            </w:pPr>
            <w:r w:rsidRPr="001D41EA">
              <w:rPr>
                <w:rFonts w:cs="Arial"/>
                <w:sz w:val="18"/>
                <w:szCs w:val="18"/>
              </w:rPr>
              <w:t>-28,092</w:t>
            </w:r>
          </w:p>
        </w:tc>
      </w:tr>
      <w:tr w:rsidR="00A66703" w:rsidRPr="001D41EA" w14:paraId="315F6CCB"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0D2D04A4" w14:textId="77777777" w:rsidR="00A66703" w:rsidRPr="001D41EA" w:rsidRDefault="00A66703" w:rsidP="001D41EA">
            <w:pPr>
              <w:spacing w:before="40" w:after="40"/>
              <w:rPr>
                <w:rFonts w:cs="Arial"/>
                <w:sz w:val="18"/>
                <w:szCs w:val="18"/>
              </w:rPr>
            </w:pPr>
            <w:r w:rsidRPr="001D41EA">
              <w:rPr>
                <w:rFonts w:cs="Arial"/>
                <w:sz w:val="18"/>
                <w:szCs w:val="18"/>
              </w:rPr>
              <w:t xml:space="preserve">Benalla RC </w:t>
            </w:r>
          </w:p>
        </w:tc>
        <w:tc>
          <w:tcPr>
            <w:tcW w:w="1418" w:type="dxa"/>
            <w:tcBorders>
              <w:top w:val="nil"/>
              <w:left w:val="single" w:sz="18" w:space="0" w:color="5F497A" w:themeColor="accent4" w:themeShade="BF"/>
              <w:bottom w:val="nil"/>
              <w:right w:val="nil"/>
            </w:tcBorders>
            <w:shd w:val="clear" w:color="auto" w:fill="auto"/>
            <w:vAlign w:val="bottom"/>
          </w:tcPr>
          <w:p w14:paraId="1317B8CF" w14:textId="4F7F8578" w:rsidR="00A66703" w:rsidRPr="001D41EA" w:rsidRDefault="00A66703" w:rsidP="001D41EA">
            <w:pPr>
              <w:spacing w:before="40" w:after="40"/>
              <w:jc w:val="right"/>
              <w:rPr>
                <w:rFonts w:cs="Arial"/>
                <w:sz w:val="18"/>
                <w:szCs w:val="18"/>
              </w:rPr>
            </w:pPr>
            <w:r w:rsidRPr="001D41EA">
              <w:rPr>
                <w:rFonts w:cs="Arial"/>
                <w:sz w:val="18"/>
                <w:szCs w:val="18"/>
              </w:rPr>
              <w:t>4,211,708</w:t>
            </w:r>
          </w:p>
        </w:tc>
        <w:tc>
          <w:tcPr>
            <w:tcW w:w="1418" w:type="dxa"/>
            <w:tcBorders>
              <w:top w:val="nil"/>
              <w:left w:val="nil"/>
              <w:bottom w:val="nil"/>
              <w:right w:val="nil"/>
            </w:tcBorders>
            <w:shd w:val="clear" w:color="auto" w:fill="auto"/>
            <w:vAlign w:val="bottom"/>
          </w:tcPr>
          <w:p w14:paraId="10199DA4" w14:textId="6A303CC2" w:rsidR="00A66703" w:rsidRPr="001D41EA" w:rsidRDefault="00A66703" w:rsidP="001D41EA">
            <w:pPr>
              <w:spacing w:before="40" w:after="40"/>
              <w:jc w:val="right"/>
              <w:rPr>
                <w:rFonts w:cs="Arial"/>
                <w:b/>
                <w:sz w:val="18"/>
                <w:szCs w:val="18"/>
              </w:rPr>
            </w:pPr>
            <w:r w:rsidRPr="001D41EA">
              <w:rPr>
                <w:rFonts w:cs="Arial"/>
                <w:b/>
                <w:sz w:val="18"/>
                <w:szCs w:val="18"/>
              </w:rPr>
              <w:t>4,170,304</w:t>
            </w:r>
          </w:p>
        </w:tc>
        <w:tc>
          <w:tcPr>
            <w:tcW w:w="1418" w:type="dxa"/>
            <w:tcBorders>
              <w:top w:val="nil"/>
              <w:left w:val="nil"/>
              <w:bottom w:val="nil"/>
              <w:right w:val="nil"/>
            </w:tcBorders>
            <w:shd w:val="clear" w:color="auto" w:fill="auto"/>
            <w:vAlign w:val="bottom"/>
          </w:tcPr>
          <w:p w14:paraId="41C15825" w14:textId="5797DB75" w:rsidR="00A66703" w:rsidRPr="001D41EA" w:rsidRDefault="00A66703" w:rsidP="001D41EA">
            <w:pPr>
              <w:spacing w:before="40" w:after="40"/>
              <w:jc w:val="right"/>
              <w:rPr>
                <w:rFonts w:cs="Arial"/>
                <w:sz w:val="18"/>
                <w:szCs w:val="18"/>
              </w:rPr>
            </w:pPr>
            <w:r w:rsidRPr="001D41EA">
              <w:rPr>
                <w:rFonts w:cs="Arial"/>
                <w:sz w:val="18"/>
                <w:szCs w:val="18"/>
              </w:rPr>
              <w:t>-41,404</w:t>
            </w:r>
          </w:p>
        </w:tc>
      </w:tr>
      <w:tr w:rsidR="00A66703" w:rsidRPr="001D41EA" w14:paraId="54C64A4B"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34DD6A0F" w14:textId="77777777" w:rsidR="00A66703" w:rsidRPr="001D41EA" w:rsidRDefault="00A66703" w:rsidP="001D41EA">
            <w:pPr>
              <w:spacing w:before="40" w:after="40"/>
              <w:rPr>
                <w:rFonts w:cs="Arial"/>
                <w:sz w:val="18"/>
                <w:szCs w:val="18"/>
              </w:rPr>
            </w:pPr>
            <w:r w:rsidRPr="001D41EA">
              <w:rPr>
                <w:rFonts w:cs="Arial"/>
                <w:sz w:val="18"/>
                <w:szCs w:val="18"/>
              </w:rPr>
              <w:t xml:space="preserve">Boroondara C </w:t>
            </w:r>
          </w:p>
        </w:tc>
        <w:tc>
          <w:tcPr>
            <w:tcW w:w="1418" w:type="dxa"/>
            <w:tcBorders>
              <w:top w:val="nil"/>
              <w:left w:val="single" w:sz="18" w:space="0" w:color="5F497A" w:themeColor="accent4" w:themeShade="BF"/>
              <w:bottom w:val="nil"/>
              <w:right w:val="nil"/>
            </w:tcBorders>
            <w:shd w:val="clear" w:color="auto" w:fill="auto"/>
            <w:vAlign w:val="bottom"/>
          </w:tcPr>
          <w:p w14:paraId="2D3A91C6" w14:textId="77CAF071" w:rsidR="00A66703" w:rsidRPr="001D41EA" w:rsidRDefault="00A66703" w:rsidP="001D41EA">
            <w:pPr>
              <w:spacing w:before="40" w:after="40"/>
              <w:jc w:val="right"/>
              <w:rPr>
                <w:rFonts w:cs="Arial"/>
                <w:sz w:val="18"/>
                <w:szCs w:val="18"/>
              </w:rPr>
            </w:pPr>
            <w:r w:rsidRPr="001D41EA">
              <w:rPr>
                <w:rFonts w:cs="Arial"/>
                <w:sz w:val="18"/>
                <w:szCs w:val="18"/>
              </w:rPr>
              <w:t>4,646,270</w:t>
            </w:r>
          </w:p>
        </w:tc>
        <w:tc>
          <w:tcPr>
            <w:tcW w:w="1418" w:type="dxa"/>
            <w:tcBorders>
              <w:top w:val="nil"/>
              <w:left w:val="nil"/>
              <w:bottom w:val="nil"/>
              <w:right w:val="nil"/>
            </w:tcBorders>
            <w:shd w:val="clear" w:color="auto" w:fill="auto"/>
            <w:vAlign w:val="bottom"/>
          </w:tcPr>
          <w:p w14:paraId="3AF727FB" w14:textId="3F771031" w:rsidR="00A66703" w:rsidRPr="001D41EA" w:rsidRDefault="00A66703" w:rsidP="001D41EA">
            <w:pPr>
              <w:spacing w:before="40" w:after="40"/>
              <w:jc w:val="right"/>
              <w:rPr>
                <w:rFonts w:cs="Arial"/>
                <w:b/>
                <w:sz w:val="18"/>
                <w:szCs w:val="18"/>
              </w:rPr>
            </w:pPr>
            <w:r w:rsidRPr="001D41EA">
              <w:rPr>
                <w:rFonts w:cs="Arial"/>
                <w:b/>
                <w:sz w:val="18"/>
                <w:szCs w:val="18"/>
              </w:rPr>
              <w:t>4,598,369</w:t>
            </w:r>
          </w:p>
        </w:tc>
        <w:tc>
          <w:tcPr>
            <w:tcW w:w="1418" w:type="dxa"/>
            <w:tcBorders>
              <w:top w:val="nil"/>
              <w:left w:val="nil"/>
              <w:bottom w:val="nil"/>
              <w:right w:val="nil"/>
            </w:tcBorders>
            <w:shd w:val="clear" w:color="auto" w:fill="auto"/>
            <w:vAlign w:val="bottom"/>
          </w:tcPr>
          <w:p w14:paraId="36C593DD" w14:textId="55B50C6E" w:rsidR="00A66703" w:rsidRPr="001D41EA" w:rsidRDefault="00A66703" w:rsidP="001D41EA">
            <w:pPr>
              <w:spacing w:before="40" w:after="40"/>
              <w:jc w:val="right"/>
              <w:rPr>
                <w:rFonts w:cs="Arial"/>
                <w:sz w:val="18"/>
                <w:szCs w:val="18"/>
              </w:rPr>
            </w:pPr>
            <w:r w:rsidRPr="001D41EA">
              <w:rPr>
                <w:rFonts w:cs="Arial"/>
                <w:sz w:val="18"/>
                <w:szCs w:val="18"/>
              </w:rPr>
              <w:t>-47,901</w:t>
            </w:r>
          </w:p>
        </w:tc>
      </w:tr>
      <w:tr w:rsidR="00A66703" w:rsidRPr="001D41EA" w14:paraId="2F90DDA4"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561D0440" w14:textId="77777777" w:rsidR="00A66703" w:rsidRPr="001D41EA" w:rsidRDefault="00A66703" w:rsidP="001D41EA">
            <w:pPr>
              <w:spacing w:before="40" w:after="40"/>
              <w:rPr>
                <w:rFonts w:cs="Arial"/>
                <w:sz w:val="18"/>
                <w:szCs w:val="18"/>
              </w:rPr>
            </w:pPr>
            <w:r w:rsidRPr="001D41EA">
              <w:rPr>
                <w:rFonts w:cs="Arial"/>
                <w:sz w:val="18"/>
                <w:szCs w:val="18"/>
              </w:rPr>
              <w:t xml:space="preserve">Brimbank C </w:t>
            </w:r>
          </w:p>
        </w:tc>
        <w:tc>
          <w:tcPr>
            <w:tcW w:w="1418" w:type="dxa"/>
            <w:tcBorders>
              <w:top w:val="nil"/>
              <w:left w:val="single" w:sz="18" w:space="0" w:color="5F497A" w:themeColor="accent4" w:themeShade="BF"/>
              <w:bottom w:val="nil"/>
              <w:right w:val="nil"/>
            </w:tcBorders>
            <w:shd w:val="clear" w:color="auto" w:fill="auto"/>
            <w:vAlign w:val="bottom"/>
          </w:tcPr>
          <w:p w14:paraId="3238DF65" w14:textId="1DAAAFA1" w:rsidR="00A66703" w:rsidRPr="001D41EA" w:rsidRDefault="00A66703" w:rsidP="001D41EA">
            <w:pPr>
              <w:spacing w:before="40" w:after="40"/>
              <w:jc w:val="right"/>
              <w:rPr>
                <w:rFonts w:cs="Arial"/>
                <w:sz w:val="18"/>
                <w:szCs w:val="18"/>
              </w:rPr>
            </w:pPr>
            <w:r w:rsidRPr="001D41EA">
              <w:rPr>
                <w:rFonts w:cs="Arial"/>
                <w:sz w:val="18"/>
                <w:szCs w:val="18"/>
              </w:rPr>
              <w:t>14,376,215</w:t>
            </w:r>
          </w:p>
        </w:tc>
        <w:tc>
          <w:tcPr>
            <w:tcW w:w="1418" w:type="dxa"/>
            <w:tcBorders>
              <w:top w:val="nil"/>
              <w:left w:val="nil"/>
              <w:bottom w:val="nil"/>
              <w:right w:val="nil"/>
            </w:tcBorders>
            <w:shd w:val="clear" w:color="auto" w:fill="auto"/>
            <w:vAlign w:val="bottom"/>
          </w:tcPr>
          <w:p w14:paraId="4ADEFEDB" w14:textId="38207AE5" w:rsidR="00A66703" w:rsidRPr="001D41EA" w:rsidRDefault="00A66703" w:rsidP="001D41EA">
            <w:pPr>
              <w:spacing w:before="40" w:after="40"/>
              <w:jc w:val="right"/>
              <w:rPr>
                <w:rFonts w:cs="Arial"/>
                <w:b/>
                <w:sz w:val="18"/>
                <w:szCs w:val="18"/>
              </w:rPr>
            </w:pPr>
            <w:r w:rsidRPr="001D41EA">
              <w:rPr>
                <w:rFonts w:cs="Arial"/>
                <w:b/>
                <w:sz w:val="18"/>
                <w:szCs w:val="18"/>
              </w:rPr>
              <w:t>14,224,747</w:t>
            </w:r>
          </w:p>
        </w:tc>
        <w:tc>
          <w:tcPr>
            <w:tcW w:w="1418" w:type="dxa"/>
            <w:tcBorders>
              <w:top w:val="nil"/>
              <w:left w:val="nil"/>
              <w:bottom w:val="nil"/>
              <w:right w:val="nil"/>
            </w:tcBorders>
            <w:shd w:val="clear" w:color="auto" w:fill="auto"/>
            <w:vAlign w:val="bottom"/>
          </w:tcPr>
          <w:p w14:paraId="67E3F73D" w14:textId="51178100" w:rsidR="00A66703" w:rsidRPr="001D41EA" w:rsidRDefault="00A66703" w:rsidP="001D41EA">
            <w:pPr>
              <w:spacing w:before="40" w:after="40"/>
              <w:jc w:val="right"/>
              <w:rPr>
                <w:rFonts w:cs="Arial"/>
                <w:sz w:val="18"/>
                <w:szCs w:val="18"/>
              </w:rPr>
            </w:pPr>
            <w:r w:rsidRPr="001D41EA">
              <w:rPr>
                <w:rFonts w:cs="Arial"/>
                <w:sz w:val="18"/>
                <w:szCs w:val="18"/>
              </w:rPr>
              <w:t>-151,468</w:t>
            </w:r>
          </w:p>
        </w:tc>
      </w:tr>
      <w:tr w:rsidR="00A66703" w:rsidRPr="001D41EA" w14:paraId="37890741"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6393A76E" w14:textId="77777777" w:rsidR="00A66703" w:rsidRPr="001D41EA" w:rsidRDefault="00A66703" w:rsidP="001D41EA">
            <w:pPr>
              <w:spacing w:before="40" w:after="40"/>
              <w:rPr>
                <w:rFonts w:cs="Arial"/>
                <w:sz w:val="18"/>
                <w:szCs w:val="18"/>
              </w:rPr>
            </w:pPr>
            <w:r w:rsidRPr="001D41EA">
              <w:rPr>
                <w:rFonts w:cs="Arial"/>
                <w:sz w:val="18"/>
                <w:szCs w:val="18"/>
              </w:rPr>
              <w:t xml:space="preserve">Buloke S </w:t>
            </w:r>
          </w:p>
        </w:tc>
        <w:tc>
          <w:tcPr>
            <w:tcW w:w="1418" w:type="dxa"/>
            <w:tcBorders>
              <w:top w:val="nil"/>
              <w:left w:val="single" w:sz="18" w:space="0" w:color="5F497A" w:themeColor="accent4" w:themeShade="BF"/>
              <w:bottom w:val="nil"/>
              <w:right w:val="nil"/>
            </w:tcBorders>
            <w:shd w:val="clear" w:color="auto" w:fill="auto"/>
            <w:vAlign w:val="bottom"/>
          </w:tcPr>
          <w:p w14:paraId="328B1269" w14:textId="0DBCC6BA" w:rsidR="00A66703" w:rsidRPr="001D41EA" w:rsidRDefault="00A66703" w:rsidP="001D41EA">
            <w:pPr>
              <w:spacing w:before="40" w:after="40"/>
              <w:jc w:val="right"/>
              <w:rPr>
                <w:rFonts w:cs="Arial"/>
                <w:sz w:val="18"/>
                <w:szCs w:val="18"/>
              </w:rPr>
            </w:pPr>
            <w:r w:rsidRPr="001D41EA">
              <w:rPr>
                <w:rFonts w:cs="Arial"/>
                <w:sz w:val="18"/>
                <w:szCs w:val="18"/>
              </w:rPr>
              <w:t>6,280,646</w:t>
            </w:r>
          </w:p>
        </w:tc>
        <w:tc>
          <w:tcPr>
            <w:tcW w:w="1418" w:type="dxa"/>
            <w:tcBorders>
              <w:top w:val="nil"/>
              <w:left w:val="nil"/>
              <w:bottom w:val="nil"/>
              <w:right w:val="nil"/>
            </w:tcBorders>
            <w:shd w:val="clear" w:color="auto" w:fill="auto"/>
            <w:vAlign w:val="bottom"/>
          </w:tcPr>
          <w:p w14:paraId="1C4E0BC1" w14:textId="1E208C5D" w:rsidR="00A66703" w:rsidRPr="001D41EA" w:rsidRDefault="00A66703" w:rsidP="001D41EA">
            <w:pPr>
              <w:spacing w:before="40" w:after="40"/>
              <w:jc w:val="right"/>
              <w:rPr>
                <w:rFonts w:cs="Arial"/>
                <w:b/>
                <w:sz w:val="18"/>
                <w:szCs w:val="18"/>
              </w:rPr>
            </w:pPr>
            <w:r w:rsidRPr="001D41EA">
              <w:rPr>
                <w:rFonts w:cs="Arial"/>
                <w:b/>
                <w:sz w:val="18"/>
                <w:szCs w:val="18"/>
              </w:rPr>
              <w:t>6,219,578</w:t>
            </w:r>
          </w:p>
        </w:tc>
        <w:tc>
          <w:tcPr>
            <w:tcW w:w="1418" w:type="dxa"/>
            <w:tcBorders>
              <w:top w:val="nil"/>
              <w:left w:val="nil"/>
              <w:bottom w:val="nil"/>
              <w:right w:val="nil"/>
            </w:tcBorders>
            <w:shd w:val="clear" w:color="auto" w:fill="auto"/>
            <w:vAlign w:val="bottom"/>
          </w:tcPr>
          <w:p w14:paraId="7925BB22" w14:textId="61B58780" w:rsidR="00A66703" w:rsidRPr="001D41EA" w:rsidRDefault="00A66703" w:rsidP="001D41EA">
            <w:pPr>
              <w:spacing w:before="40" w:after="40"/>
              <w:jc w:val="right"/>
              <w:rPr>
                <w:rFonts w:cs="Arial"/>
                <w:sz w:val="18"/>
                <w:szCs w:val="18"/>
              </w:rPr>
            </w:pPr>
            <w:r w:rsidRPr="001D41EA">
              <w:rPr>
                <w:rFonts w:cs="Arial"/>
                <w:sz w:val="18"/>
                <w:szCs w:val="18"/>
              </w:rPr>
              <w:t>-61,068</w:t>
            </w:r>
          </w:p>
        </w:tc>
      </w:tr>
      <w:tr w:rsidR="00A66703" w:rsidRPr="001D41EA" w14:paraId="7E500735"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1EE824DA" w14:textId="77777777" w:rsidR="00A66703" w:rsidRPr="001D41EA" w:rsidRDefault="00A66703" w:rsidP="001D41EA">
            <w:pPr>
              <w:spacing w:before="40" w:after="40"/>
              <w:rPr>
                <w:rFonts w:cs="Arial"/>
                <w:sz w:val="18"/>
                <w:szCs w:val="18"/>
              </w:rPr>
            </w:pPr>
            <w:r w:rsidRPr="001D41EA">
              <w:rPr>
                <w:rFonts w:cs="Arial"/>
                <w:sz w:val="18"/>
                <w:szCs w:val="18"/>
              </w:rPr>
              <w:t xml:space="preserve">Campaspe S </w:t>
            </w:r>
          </w:p>
        </w:tc>
        <w:tc>
          <w:tcPr>
            <w:tcW w:w="1418" w:type="dxa"/>
            <w:tcBorders>
              <w:top w:val="nil"/>
              <w:left w:val="single" w:sz="18" w:space="0" w:color="5F497A" w:themeColor="accent4" w:themeShade="BF"/>
              <w:bottom w:val="nil"/>
              <w:right w:val="nil"/>
            </w:tcBorders>
            <w:shd w:val="clear" w:color="auto" w:fill="auto"/>
            <w:vAlign w:val="bottom"/>
          </w:tcPr>
          <w:p w14:paraId="4ADA89AC" w14:textId="0C1C30CA" w:rsidR="00A66703" w:rsidRPr="001D41EA" w:rsidRDefault="00A66703" w:rsidP="001D41EA">
            <w:pPr>
              <w:spacing w:before="40" w:after="40"/>
              <w:jc w:val="right"/>
              <w:rPr>
                <w:rFonts w:cs="Arial"/>
                <w:sz w:val="18"/>
                <w:szCs w:val="18"/>
              </w:rPr>
            </w:pPr>
            <w:r w:rsidRPr="001D41EA">
              <w:rPr>
                <w:rFonts w:cs="Arial"/>
                <w:sz w:val="18"/>
                <w:szCs w:val="18"/>
              </w:rPr>
              <w:t>11,638,960</w:t>
            </w:r>
          </w:p>
        </w:tc>
        <w:tc>
          <w:tcPr>
            <w:tcW w:w="1418" w:type="dxa"/>
            <w:tcBorders>
              <w:top w:val="nil"/>
              <w:left w:val="nil"/>
              <w:bottom w:val="nil"/>
              <w:right w:val="nil"/>
            </w:tcBorders>
            <w:shd w:val="clear" w:color="auto" w:fill="auto"/>
            <w:vAlign w:val="bottom"/>
          </w:tcPr>
          <w:p w14:paraId="3CE07A74" w14:textId="30886F74" w:rsidR="00A66703" w:rsidRPr="001D41EA" w:rsidRDefault="00A66703" w:rsidP="001D41EA">
            <w:pPr>
              <w:spacing w:before="40" w:after="40"/>
              <w:jc w:val="right"/>
              <w:rPr>
                <w:rFonts w:cs="Arial"/>
                <w:b/>
                <w:sz w:val="18"/>
                <w:szCs w:val="18"/>
              </w:rPr>
            </w:pPr>
            <w:r w:rsidRPr="001D41EA">
              <w:rPr>
                <w:rFonts w:cs="Arial"/>
                <w:b/>
                <w:sz w:val="18"/>
                <w:szCs w:val="18"/>
              </w:rPr>
              <w:t>11,524,212</w:t>
            </w:r>
          </w:p>
        </w:tc>
        <w:tc>
          <w:tcPr>
            <w:tcW w:w="1418" w:type="dxa"/>
            <w:tcBorders>
              <w:top w:val="nil"/>
              <w:left w:val="nil"/>
              <w:bottom w:val="nil"/>
              <w:right w:val="nil"/>
            </w:tcBorders>
            <w:shd w:val="clear" w:color="auto" w:fill="auto"/>
            <w:vAlign w:val="bottom"/>
          </w:tcPr>
          <w:p w14:paraId="0AC68E5C" w14:textId="7D288636" w:rsidR="00A66703" w:rsidRPr="001D41EA" w:rsidRDefault="00A66703" w:rsidP="001D41EA">
            <w:pPr>
              <w:spacing w:before="40" w:after="40"/>
              <w:jc w:val="right"/>
              <w:rPr>
                <w:rFonts w:cs="Arial"/>
                <w:sz w:val="18"/>
                <w:szCs w:val="18"/>
              </w:rPr>
            </w:pPr>
            <w:r w:rsidRPr="001D41EA">
              <w:rPr>
                <w:rFonts w:cs="Arial"/>
                <w:sz w:val="18"/>
                <w:szCs w:val="18"/>
              </w:rPr>
              <w:t>-114,748</w:t>
            </w:r>
          </w:p>
        </w:tc>
      </w:tr>
      <w:tr w:rsidR="00A66703" w:rsidRPr="001D41EA" w14:paraId="41FA36EF"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5F316766" w14:textId="77777777" w:rsidR="00A66703" w:rsidRPr="001D41EA" w:rsidRDefault="00A66703" w:rsidP="001D41EA">
            <w:pPr>
              <w:spacing w:before="40" w:after="40"/>
              <w:rPr>
                <w:rFonts w:cs="Arial"/>
                <w:sz w:val="18"/>
                <w:szCs w:val="18"/>
              </w:rPr>
            </w:pPr>
            <w:r w:rsidRPr="001D41EA">
              <w:rPr>
                <w:rFonts w:cs="Arial"/>
                <w:sz w:val="18"/>
                <w:szCs w:val="18"/>
              </w:rPr>
              <w:t xml:space="preserve">Cardinia S </w:t>
            </w:r>
          </w:p>
        </w:tc>
        <w:tc>
          <w:tcPr>
            <w:tcW w:w="1418" w:type="dxa"/>
            <w:tcBorders>
              <w:top w:val="nil"/>
              <w:left w:val="single" w:sz="18" w:space="0" w:color="5F497A" w:themeColor="accent4" w:themeShade="BF"/>
              <w:bottom w:val="nil"/>
              <w:right w:val="nil"/>
            </w:tcBorders>
            <w:shd w:val="clear" w:color="auto" w:fill="auto"/>
            <w:vAlign w:val="bottom"/>
          </w:tcPr>
          <w:p w14:paraId="0558AAAC" w14:textId="16B1B3FD" w:rsidR="00A66703" w:rsidRPr="001D41EA" w:rsidRDefault="00A66703" w:rsidP="001D41EA">
            <w:pPr>
              <w:spacing w:before="40" w:after="40"/>
              <w:jc w:val="right"/>
              <w:rPr>
                <w:rFonts w:cs="Arial"/>
                <w:sz w:val="18"/>
                <w:szCs w:val="18"/>
              </w:rPr>
            </w:pPr>
            <w:r w:rsidRPr="001D41EA">
              <w:rPr>
                <w:rFonts w:cs="Arial"/>
                <w:sz w:val="18"/>
                <w:szCs w:val="18"/>
              </w:rPr>
              <w:t>11,481,781</w:t>
            </w:r>
          </w:p>
        </w:tc>
        <w:tc>
          <w:tcPr>
            <w:tcW w:w="1418" w:type="dxa"/>
            <w:tcBorders>
              <w:top w:val="nil"/>
              <w:left w:val="nil"/>
              <w:bottom w:val="nil"/>
              <w:right w:val="nil"/>
            </w:tcBorders>
            <w:shd w:val="clear" w:color="auto" w:fill="auto"/>
            <w:vAlign w:val="bottom"/>
          </w:tcPr>
          <w:p w14:paraId="35982A34" w14:textId="3A52B9D1" w:rsidR="00A66703" w:rsidRPr="001D41EA" w:rsidRDefault="00A66703" w:rsidP="001D41EA">
            <w:pPr>
              <w:spacing w:before="40" w:after="40"/>
              <w:jc w:val="right"/>
              <w:rPr>
                <w:rFonts w:cs="Arial"/>
                <w:b/>
                <w:sz w:val="18"/>
                <w:szCs w:val="18"/>
              </w:rPr>
            </w:pPr>
            <w:r w:rsidRPr="001D41EA">
              <w:rPr>
                <w:rFonts w:cs="Arial"/>
                <w:b/>
                <w:sz w:val="18"/>
                <w:szCs w:val="18"/>
              </w:rPr>
              <w:t>11,364,442</w:t>
            </w:r>
          </w:p>
        </w:tc>
        <w:tc>
          <w:tcPr>
            <w:tcW w:w="1418" w:type="dxa"/>
            <w:tcBorders>
              <w:top w:val="nil"/>
              <w:left w:val="nil"/>
              <w:bottom w:val="nil"/>
              <w:right w:val="nil"/>
            </w:tcBorders>
            <w:shd w:val="clear" w:color="auto" w:fill="auto"/>
            <w:vAlign w:val="bottom"/>
          </w:tcPr>
          <w:p w14:paraId="2997DCB1" w14:textId="12AF56A7" w:rsidR="00A66703" w:rsidRPr="001D41EA" w:rsidRDefault="00A66703" w:rsidP="001D41EA">
            <w:pPr>
              <w:spacing w:before="40" w:after="40"/>
              <w:jc w:val="right"/>
              <w:rPr>
                <w:rFonts w:cs="Arial"/>
                <w:sz w:val="18"/>
                <w:szCs w:val="18"/>
              </w:rPr>
            </w:pPr>
            <w:r w:rsidRPr="001D41EA">
              <w:rPr>
                <w:rFonts w:cs="Arial"/>
                <w:sz w:val="18"/>
                <w:szCs w:val="18"/>
              </w:rPr>
              <w:t>-117,339</w:t>
            </w:r>
          </w:p>
        </w:tc>
      </w:tr>
      <w:tr w:rsidR="00A66703" w:rsidRPr="001D41EA" w14:paraId="1D6AEBD0"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371A575A" w14:textId="77777777" w:rsidR="00A66703" w:rsidRPr="001D41EA" w:rsidRDefault="00A66703" w:rsidP="001D41EA">
            <w:pPr>
              <w:spacing w:before="40" w:after="40"/>
              <w:rPr>
                <w:rFonts w:cs="Arial"/>
                <w:sz w:val="18"/>
                <w:szCs w:val="18"/>
              </w:rPr>
            </w:pPr>
            <w:r w:rsidRPr="001D41EA">
              <w:rPr>
                <w:rFonts w:cs="Arial"/>
                <w:sz w:val="18"/>
                <w:szCs w:val="18"/>
              </w:rPr>
              <w:t xml:space="preserve">Casey C </w:t>
            </w:r>
          </w:p>
        </w:tc>
        <w:tc>
          <w:tcPr>
            <w:tcW w:w="1418" w:type="dxa"/>
            <w:tcBorders>
              <w:top w:val="nil"/>
              <w:left w:val="single" w:sz="18" w:space="0" w:color="5F497A" w:themeColor="accent4" w:themeShade="BF"/>
              <w:bottom w:val="nil"/>
              <w:right w:val="nil"/>
            </w:tcBorders>
            <w:shd w:val="clear" w:color="auto" w:fill="auto"/>
            <w:vAlign w:val="bottom"/>
          </w:tcPr>
          <w:p w14:paraId="0895DA16" w14:textId="6B9C0255" w:rsidR="00A66703" w:rsidRPr="001D41EA" w:rsidRDefault="00A66703" w:rsidP="001D41EA">
            <w:pPr>
              <w:spacing w:before="40" w:after="40"/>
              <w:jc w:val="right"/>
              <w:rPr>
                <w:rFonts w:cs="Arial"/>
                <w:sz w:val="18"/>
                <w:szCs w:val="18"/>
              </w:rPr>
            </w:pPr>
            <w:r w:rsidRPr="001D41EA">
              <w:rPr>
                <w:rFonts w:cs="Arial"/>
                <w:sz w:val="18"/>
                <w:szCs w:val="18"/>
              </w:rPr>
              <w:t>20,263,183</w:t>
            </w:r>
          </w:p>
        </w:tc>
        <w:tc>
          <w:tcPr>
            <w:tcW w:w="1418" w:type="dxa"/>
            <w:tcBorders>
              <w:top w:val="nil"/>
              <w:left w:val="nil"/>
              <w:bottom w:val="nil"/>
              <w:right w:val="nil"/>
            </w:tcBorders>
            <w:shd w:val="clear" w:color="auto" w:fill="auto"/>
            <w:vAlign w:val="bottom"/>
          </w:tcPr>
          <w:p w14:paraId="77DC2EEB" w14:textId="5B126386" w:rsidR="00A66703" w:rsidRPr="001D41EA" w:rsidRDefault="00A66703" w:rsidP="001D41EA">
            <w:pPr>
              <w:spacing w:before="40" w:after="40"/>
              <w:jc w:val="right"/>
              <w:rPr>
                <w:rFonts w:cs="Arial"/>
                <w:b/>
                <w:sz w:val="18"/>
                <w:szCs w:val="18"/>
              </w:rPr>
            </w:pPr>
            <w:r w:rsidRPr="001D41EA">
              <w:rPr>
                <w:rFonts w:cs="Arial"/>
                <w:b/>
                <w:sz w:val="18"/>
                <w:szCs w:val="18"/>
              </w:rPr>
              <w:t>20,049,862</w:t>
            </w:r>
          </w:p>
        </w:tc>
        <w:tc>
          <w:tcPr>
            <w:tcW w:w="1418" w:type="dxa"/>
            <w:tcBorders>
              <w:top w:val="nil"/>
              <w:left w:val="nil"/>
              <w:bottom w:val="nil"/>
              <w:right w:val="nil"/>
            </w:tcBorders>
            <w:shd w:val="clear" w:color="auto" w:fill="auto"/>
            <w:vAlign w:val="bottom"/>
          </w:tcPr>
          <w:p w14:paraId="5500DEA9" w14:textId="6B80F434" w:rsidR="00A66703" w:rsidRPr="001D41EA" w:rsidRDefault="00A66703" w:rsidP="001D41EA">
            <w:pPr>
              <w:spacing w:before="40" w:after="40"/>
              <w:jc w:val="right"/>
              <w:rPr>
                <w:rFonts w:cs="Arial"/>
                <w:sz w:val="18"/>
                <w:szCs w:val="18"/>
              </w:rPr>
            </w:pPr>
            <w:r w:rsidRPr="001D41EA">
              <w:rPr>
                <w:rFonts w:cs="Arial"/>
                <w:sz w:val="18"/>
                <w:szCs w:val="18"/>
              </w:rPr>
              <w:t>-213,321</w:t>
            </w:r>
          </w:p>
        </w:tc>
      </w:tr>
      <w:tr w:rsidR="00A66703" w:rsidRPr="001D41EA" w14:paraId="1E2F4CDE"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29E54C0D" w14:textId="77777777" w:rsidR="00A66703" w:rsidRPr="001D41EA" w:rsidRDefault="00A66703" w:rsidP="001D41EA">
            <w:pPr>
              <w:spacing w:before="40" w:after="40"/>
              <w:rPr>
                <w:rFonts w:cs="Arial"/>
                <w:sz w:val="18"/>
                <w:szCs w:val="18"/>
              </w:rPr>
            </w:pPr>
            <w:r w:rsidRPr="001D41EA">
              <w:rPr>
                <w:rFonts w:cs="Arial"/>
                <w:sz w:val="18"/>
                <w:szCs w:val="18"/>
              </w:rPr>
              <w:t xml:space="preserve">Central Goldfields S </w:t>
            </w:r>
          </w:p>
        </w:tc>
        <w:tc>
          <w:tcPr>
            <w:tcW w:w="1418" w:type="dxa"/>
            <w:tcBorders>
              <w:top w:val="nil"/>
              <w:left w:val="single" w:sz="18" w:space="0" w:color="5F497A" w:themeColor="accent4" w:themeShade="BF"/>
              <w:bottom w:val="nil"/>
              <w:right w:val="nil"/>
            </w:tcBorders>
            <w:shd w:val="clear" w:color="auto" w:fill="auto"/>
            <w:vAlign w:val="bottom"/>
          </w:tcPr>
          <w:p w14:paraId="5CA35F1F" w14:textId="4D2557A4" w:rsidR="00A66703" w:rsidRPr="001D41EA" w:rsidRDefault="00A66703" w:rsidP="001D41EA">
            <w:pPr>
              <w:spacing w:before="40" w:after="40"/>
              <w:jc w:val="right"/>
              <w:rPr>
                <w:rFonts w:cs="Arial"/>
                <w:sz w:val="18"/>
                <w:szCs w:val="18"/>
              </w:rPr>
            </w:pPr>
            <w:r w:rsidRPr="001D41EA">
              <w:rPr>
                <w:rFonts w:cs="Arial"/>
                <w:sz w:val="18"/>
                <w:szCs w:val="18"/>
              </w:rPr>
              <w:t>4,013,142</w:t>
            </w:r>
          </w:p>
        </w:tc>
        <w:tc>
          <w:tcPr>
            <w:tcW w:w="1418" w:type="dxa"/>
            <w:tcBorders>
              <w:top w:val="nil"/>
              <w:left w:val="nil"/>
              <w:bottom w:val="nil"/>
              <w:right w:val="nil"/>
            </w:tcBorders>
            <w:shd w:val="clear" w:color="auto" w:fill="auto"/>
            <w:vAlign w:val="bottom"/>
          </w:tcPr>
          <w:p w14:paraId="0284FE49" w14:textId="2CA00605" w:rsidR="00A66703" w:rsidRPr="001D41EA" w:rsidRDefault="00A66703" w:rsidP="001D41EA">
            <w:pPr>
              <w:spacing w:before="40" w:after="40"/>
              <w:jc w:val="right"/>
              <w:rPr>
                <w:rFonts w:cs="Arial"/>
                <w:b/>
                <w:sz w:val="18"/>
                <w:szCs w:val="18"/>
              </w:rPr>
            </w:pPr>
            <w:r w:rsidRPr="001D41EA">
              <w:rPr>
                <w:rFonts w:cs="Arial"/>
                <w:b/>
                <w:sz w:val="18"/>
                <w:szCs w:val="18"/>
              </w:rPr>
              <w:t>3,973,047</w:t>
            </w:r>
          </w:p>
        </w:tc>
        <w:tc>
          <w:tcPr>
            <w:tcW w:w="1418" w:type="dxa"/>
            <w:tcBorders>
              <w:top w:val="nil"/>
              <w:left w:val="nil"/>
              <w:bottom w:val="nil"/>
              <w:right w:val="nil"/>
            </w:tcBorders>
            <w:shd w:val="clear" w:color="auto" w:fill="auto"/>
            <w:vAlign w:val="bottom"/>
          </w:tcPr>
          <w:p w14:paraId="431BD7B7" w14:textId="1213C6AF" w:rsidR="00A66703" w:rsidRPr="001D41EA" w:rsidRDefault="00A66703" w:rsidP="001D41EA">
            <w:pPr>
              <w:spacing w:before="40" w:after="40"/>
              <w:jc w:val="right"/>
              <w:rPr>
                <w:rFonts w:cs="Arial"/>
                <w:sz w:val="18"/>
                <w:szCs w:val="18"/>
              </w:rPr>
            </w:pPr>
            <w:r w:rsidRPr="001D41EA">
              <w:rPr>
                <w:rFonts w:cs="Arial"/>
                <w:sz w:val="18"/>
                <w:szCs w:val="18"/>
              </w:rPr>
              <w:t>-40,095</w:t>
            </w:r>
          </w:p>
        </w:tc>
      </w:tr>
      <w:tr w:rsidR="00A66703" w:rsidRPr="001D41EA" w14:paraId="504232BE"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17A4B2C6" w14:textId="77777777" w:rsidR="00A66703" w:rsidRPr="001D41EA" w:rsidRDefault="00A66703" w:rsidP="001D41EA">
            <w:pPr>
              <w:spacing w:before="40" w:after="40"/>
              <w:rPr>
                <w:rFonts w:cs="Arial"/>
                <w:sz w:val="18"/>
                <w:szCs w:val="18"/>
              </w:rPr>
            </w:pPr>
            <w:r w:rsidRPr="001D41EA">
              <w:rPr>
                <w:rFonts w:cs="Arial"/>
                <w:sz w:val="18"/>
                <w:szCs w:val="18"/>
              </w:rPr>
              <w:t xml:space="preserve">Colac Otway S </w:t>
            </w:r>
          </w:p>
        </w:tc>
        <w:tc>
          <w:tcPr>
            <w:tcW w:w="1418" w:type="dxa"/>
            <w:tcBorders>
              <w:top w:val="nil"/>
              <w:left w:val="single" w:sz="18" w:space="0" w:color="5F497A" w:themeColor="accent4" w:themeShade="BF"/>
              <w:bottom w:val="nil"/>
              <w:right w:val="nil"/>
            </w:tcBorders>
            <w:shd w:val="clear" w:color="auto" w:fill="auto"/>
            <w:vAlign w:val="bottom"/>
          </w:tcPr>
          <w:p w14:paraId="246B0C68" w14:textId="1BB9EB63" w:rsidR="00A66703" w:rsidRPr="001D41EA" w:rsidRDefault="00A66703" w:rsidP="001D41EA">
            <w:pPr>
              <w:spacing w:before="40" w:after="40"/>
              <w:jc w:val="right"/>
              <w:rPr>
                <w:rFonts w:cs="Arial"/>
                <w:sz w:val="18"/>
                <w:szCs w:val="18"/>
              </w:rPr>
            </w:pPr>
            <w:r w:rsidRPr="001D41EA">
              <w:rPr>
                <w:rFonts w:cs="Arial"/>
                <w:sz w:val="18"/>
                <w:szCs w:val="18"/>
              </w:rPr>
              <w:t>6,714,548</w:t>
            </w:r>
          </w:p>
        </w:tc>
        <w:tc>
          <w:tcPr>
            <w:tcW w:w="1418" w:type="dxa"/>
            <w:tcBorders>
              <w:top w:val="nil"/>
              <w:left w:val="nil"/>
              <w:bottom w:val="nil"/>
              <w:right w:val="nil"/>
            </w:tcBorders>
            <w:shd w:val="clear" w:color="auto" w:fill="auto"/>
            <w:vAlign w:val="bottom"/>
          </w:tcPr>
          <w:p w14:paraId="39C7A748" w14:textId="4687F734" w:rsidR="00A66703" w:rsidRPr="001D41EA" w:rsidRDefault="00A66703" w:rsidP="001D41EA">
            <w:pPr>
              <w:spacing w:before="40" w:after="40"/>
              <w:jc w:val="right"/>
              <w:rPr>
                <w:rFonts w:cs="Arial"/>
                <w:b/>
                <w:sz w:val="18"/>
                <w:szCs w:val="18"/>
              </w:rPr>
            </w:pPr>
            <w:r w:rsidRPr="001D41EA">
              <w:rPr>
                <w:rFonts w:cs="Arial"/>
                <w:b/>
                <w:sz w:val="18"/>
                <w:szCs w:val="18"/>
              </w:rPr>
              <w:t>6,649,227</w:t>
            </w:r>
          </w:p>
        </w:tc>
        <w:tc>
          <w:tcPr>
            <w:tcW w:w="1418" w:type="dxa"/>
            <w:tcBorders>
              <w:top w:val="nil"/>
              <w:left w:val="nil"/>
              <w:bottom w:val="nil"/>
              <w:right w:val="nil"/>
            </w:tcBorders>
            <w:shd w:val="clear" w:color="auto" w:fill="auto"/>
            <w:vAlign w:val="bottom"/>
          </w:tcPr>
          <w:p w14:paraId="3B694328" w14:textId="69234F3E" w:rsidR="00A66703" w:rsidRPr="001D41EA" w:rsidRDefault="00A66703" w:rsidP="001D41EA">
            <w:pPr>
              <w:spacing w:before="40" w:after="40"/>
              <w:jc w:val="right"/>
              <w:rPr>
                <w:rFonts w:cs="Arial"/>
                <w:sz w:val="18"/>
                <w:szCs w:val="18"/>
              </w:rPr>
            </w:pPr>
            <w:r w:rsidRPr="001D41EA">
              <w:rPr>
                <w:rFonts w:cs="Arial"/>
                <w:sz w:val="18"/>
                <w:szCs w:val="18"/>
              </w:rPr>
              <w:t>-65,321</w:t>
            </w:r>
          </w:p>
        </w:tc>
      </w:tr>
      <w:tr w:rsidR="00A66703" w:rsidRPr="001D41EA" w14:paraId="50F756BE"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16A17B5E" w14:textId="77777777" w:rsidR="00A66703" w:rsidRPr="001D41EA" w:rsidRDefault="00A66703" w:rsidP="001D41EA">
            <w:pPr>
              <w:spacing w:before="40" w:after="40"/>
              <w:rPr>
                <w:rFonts w:cs="Arial"/>
                <w:sz w:val="18"/>
                <w:szCs w:val="18"/>
              </w:rPr>
            </w:pPr>
            <w:r w:rsidRPr="001D41EA">
              <w:rPr>
                <w:rFonts w:cs="Arial"/>
                <w:sz w:val="18"/>
                <w:szCs w:val="18"/>
              </w:rPr>
              <w:t xml:space="preserve">Corangamite S </w:t>
            </w:r>
          </w:p>
        </w:tc>
        <w:tc>
          <w:tcPr>
            <w:tcW w:w="1418" w:type="dxa"/>
            <w:tcBorders>
              <w:top w:val="nil"/>
              <w:left w:val="single" w:sz="18" w:space="0" w:color="5F497A" w:themeColor="accent4" w:themeShade="BF"/>
              <w:bottom w:val="nil"/>
              <w:right w:val="nil"/>
            </w:tcBorders>
            <w:shd w:val="clear" w:color="auto" w:fill="auto"/>
            <w:vAlign w:val="bottom"/>
          </w:tcPr>
          <w:p w14:paraId="4C067E8B" w14:textId="0AA3F710" w:rsidR="00A66703" w:rsidRPr="001D41EA" w:rsidRDefault="00A66703" w:rsidP="001D41EA">
            <w:pPr>
              <w:spacing w:before="40" w:after="40"/>
              <w:jc w:val="right"/>
              <w:rPr>
                <w:rFonts w:cs="Arial"/>
                <w:sz w:val="18"/>
                <w:szCs w:val="18"/>
              </w:rPr>
            </w:pPr>
            <w:r w:rsidRPr="001D41EA">
              <w:rPr>
                <w:rFonts w:cs="Arial"/>
                <w:sz w:val="18"/>
                <w:szCs w:val="18"/>
              </w:rPr>
              <w:t>7,915,391</w:t>
            </w:r>
          </w:p>
        </w:tc>
        <w:tc>
          <w:tcPr>
            <w:tcW w:w="1418" w:type="dxa"/>
            <w:tcBorders>
              <w:top w:val="nil"/>
              <w:left w:val="nil"/>
              <w:bottom w:val="nil"/>
              <w:right w:val="nil"/>
            </w:tcBorders>
            <w:shd w:val="clear" w:color="auto" w:fill="auto"/>
            <w:vAlign w:val="bottom"/>
          </w:tcPr>
          <w:p w14:paraId="30317995" w14:textId="4F49C5C0" w:rsidR="00A66703" w:rsidRPr="001D41EA" w:rsidRDefault="00A66703" w:rsidP="001D41EA">
            <w:pPr>
              <w:spacing w:before="40" w:after="40"/>
              <w:jc w:val="right"/>
              <w:rPr>
                <w:rFonts w:cs="Arial"/>
                <w:b/>
                <w:sz w:val="18"/>
                <w:szCs w:val="18"/>
              </w:rPr>
            </w:pPr>
            <w:r w:rsidRPr="001D41EA">
              <w:rPr>
                <w:rFonts w:cs="Arial"/>
                <w:b/>
                <w:sz w:val="18"/>
                <w:szCs w:val="18"/>
              </w:rPr>
              <w:t>7,839,671</w:t>
            </w:r>
          </w:p>
        </w:tc>
        <w:tc>
          <w:tcPr>
            <w:tcW w:w="1418" w:type="dxa"/>
            <w:tcBorders>
              <w:top w:val="nil"/>
              <w:left w:val="nil"/>
              <w:bottom w:val="nil"/>
              <w:right w:val="nil"/>
            </w:tcBorders>
            <w:shd w:val="clear" w:color="auto" w:fill="auto"/>
            <w:vAlign w:val="bottom"/>
          </w:tcPr>
          <w:p w14:paraId="75120FDC" w14:textId="5C3445A4" w:rsidR="00A66703" w:rsidRPr="001D41EA" w:rsidRDefault="00A66703" w:rsidP="001D41EA">
            <w:pPr>
              <w:spacing w:before="40" w:after="40"/>
              <w:jc w:val="right"/>
              <w:rPr>
                <w:rFonts w:cs="Arial"/>
                <w:sz w:val="18"/>
                <w:szCs w:val="18"/>
              </w:rPr>
            </w:pPr>
            <w:r w:rsidRPr="001D41EA">
              <w:rPr>
                <w:rFonts w:cs="Arial"/>
                <w:sz w:val="18"/>
                <w:szCs w:val="18"/>
              </w:rPr>
              <w:t>-75,720</w:t>
            </w:r>
          </w:p>
        </w:tc>
      </w:tr>
      <w:tr w:rsidR="00A66703" w:rsidRPr="001D41EA" w14:paraId="0ED24265"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3BC79F8D" w14:textId="77777777" w:rsidR="00A66703" w:rsidRPr="001D41EA" w:rsidRDefault="00A66703" w:rsidP="001D41EA">
            <w:pPr>
              <w:spacing w:before="40" w:after="40"/>
              <w:rPr>
                <w:rFonts w:cs="Arial"/>
                <w:sz w:val="18"/>
                <w:szCs w:val="18"/>
              </w:rPr>
            </w:pPr>
            <w:r w:rsidRPr="001D41EA">
              <w:rPr>
                <w:rFonts w:cs="Arial"/>
                <w:sz w:val="18"/>
                <w:szCs w:val="18"/>
              </w:rPr>
              <w:t xml:space="preserve">Darebin C </w:t>
            </w:r>
          </w:p>
        </w:tc>
        <w:tc>
          <w:tcPr>
            <w:tcW w:w="1418" w:type="dxa"/>
            <w:tcBorders>
              <w:top w:val="nil"/>
              <w:left w:val="single" w:sz="18" w:space="0" w:color="5F497A" w:themeColor="accent4" w:themeShade="BF"/>
              <w:bottom w:val="nil"/>
              <w:right w:val="nil"/>
            </w:tcBorders>
            <w:shd w:val="clear" w:color="auto" w:fill="auto"/>
            <w:vAlign w:val="bottom"/>
          </w:tcPr>
          <w:p w14:paraId="7440A69B" w14:textId="5C609E2F" w:rsidR="00A66703" w:rsidRPr="001D41EA" w:rsidRDefault="00A66703" w:rsidP="001D41EA">
            <w:pPr>
              <w:spacing w:before="40" w:after="40"/>
              <w:jc w:val="right"/>
              <w:rPr>
                <w:rFonts w:cs="Arial"/>
                <w:sz w:val="18"/>
                <w:szCs w:val="18"/>
              </w:rPr>
            </w:pPr>
            <w:r w:rsidRPr="001D41EA">
              <w:rPr>
                <w:rFonts w:cs="Arial"/>
                <w:sz w:val="18"/>
                <w:szCs w:val="18"/>
              </w:rPr>
              <w:t>4,192,402</w:t>
            </w:r>
          </w:p>
        </w:tc>
        <w:tc>
          <w:tcPr>
            <w:tcW w:w="1418" w:type="dxa"/>
            <w:tcBorders>
              <w:top w:val="nil"/>
              <w:left w:val="nil"/>
              <w:bottom w:val="nil"/>
              <w:right w:val="nil"/>
            </w:tcBorders>
            <w:shd w:val="clear" w:color="auto" w:fill="auto"/>
            <w:vAlign w:val="bottom"/>
          </w:tcPr>
          <w:p w14:paraId="6F4485F6" w14:textId="01A169B7" w:rsidR="00A66703" w:rsidRPr="001D41EA" w:rsidRDefault="00A66703" w:rsidP="001D41EA">
            <w:pPr>
              <w:spacing w:before="40" w:after="40"/>
              <w:jc w:val="right"/>
              <w:rPr>
                <w:rFonts w:cs="Arial"/>
                <w:b/>
                <w:sz w:val="18"/>
                <w:szCs w:val="18"/>
              </w:rPr>
            </w:pPr>
            <w:r w:rsidRPr="001D41EA">
              <w:rPr>
                <w:rFonts w:cs="Arial"/>
                <w:b/>
                <w:sz w:val="18"/>
                <w:szCs w:val="18"/>
              </w:rPr>
              <w:t>4,149,392</w:t>
            </w:r>
          </w:p>
        </w:tc>
        <w:tc>
          <w:tcPr>
            <w:tcW w:w="1418" w:type="dxa"/>
            <w:tcBorders>
              <w:top w:val="nil"/>
              <w:left w:val="nil"/>
              <w:bottom w:val="nil"/>
              <w:right w:val="nil"/>
            </w:tcBorders>
            <w:shd w:val="clear" w:color="auto" w:fill="auto"/>
            <w:vAlign w:val="bottom"/>
          </w:tcPr>
          <w:p w14:paraId="32D41FBC" w14:textId="28612F87" w:rsidR="00A66703" w:rsidRPr="001D41EA" w:rsidRDefault="00A66703" w:rsidP="001D41EA">
            <w:pPr>
              <w:spacing w:before="40" w:after="40"/>
              <w:jc w:val="right"/>
              <w:rPr>
                <w:rFonts w:cs="Arial"/>
                <w:sz w:val="18"/>
                <w:szCs w:val="18"/>
              </w:rPr>
            </w:pPr>
            <w:r w:rsidRPr="001D41EA">
              <w:rPr>
                <w:rFonts w:cs="Arial"/>
                <w:sz w:val="18"/>
                <w:szCs w:val="18"/>
              </w:rPr>
              <w:t>-43,010</w:t>
            </w:r>
          </w:p>
        </w:tc>
      </w:tr>
      <w:tr w:rsidR="00A66703" w:rsidRPr="001D41EA" w14:paraId="2895D8D4"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3349E107" w14:textId="77777777" w:rsidR="00A66703" w:rsidRPr="001D41EA" w:rsidRDefault="00A66703" w:rsidP="001D41EA">
            <w:pPr>
              <w:spacing w:before="40" w:after="40"/>
              <w:rPr>
                <w:rFonts w:cs="Arial"/>
                <w:sz w:val="18"/>
                <w:szCs w:val="18"/>
              </w:rPr>
            </w:pPr>
            <w:r w:rsidRPr="001D41EA">
              <w:rPr>
                <w:rFonts w:cs="Arial"/>
                <w:sz w:val="18"/>
                <w:szCs w:val="18"/>
              </w:rPr>
              <w:t xml:space="preserve">East Gippsland S </w:t>
            </w:r>
          </w:p>
        </w:tc>
        <w:tc>
          <w:tcPr>
            <w:tcW w:w="1418" w:type="dxa"/>
            <w:tcBorders>
              <w:top w:val="nil"/>
              <w:left w:val="single" w:sz="18" w:space="0" w:color="5F497A" w:themeColor="accent4" w:themeShade="BF"/>
              <w:bottom w:val="nil"/>
              <w:right w:val="nil"/>
            </w:tcBorders>
            <w:shd w:val="clear" w:color="auto" w:fill="auto"/>
            <w:vAlign w:val="bottom"/>
          </w:tcPr>
          <w:p w14:paraId="344A9632" w14:textId="336921AA" w:rsidR="00A66703" w:rsidRPr="001D41EA" w:rsidRDefault="00A66703" w:rsidP="001D41EA">
            <w:pPr>
              <w:spacing w:before="40" w:after="40"/>
              <w:jc w:val="right"/>
              <w:rPr>
                <w:rFonts w:cs="Arial"/>
                <w:sz w:val="18"/>
                <w:szCs w:val="18"/>
              </w:rPr>
            </w:pPr>
            <w:r w:rsidRPr="001D41EA">
              <w:rPr>
                <w:rFonts w:cs="Arial"/>
                <w:sz w:val="18"/>
                <w:szCs w:val="18"/>
              </w:rPr>
              <w:t>14,980,467</w:t>
            </w:r>
          </w:p>
        </w:tc>
        <w:tc>
          <w:tcPr>
            <w:tcW w:w="1418" w:type="dxa"/>
            <w:tcBorders>
              <w:top w:val="nil"/>
              <w:left w:val="nil"/>
              <w:bottom w:val="nil"/>
              <w:right w:val="nil"/>
            </w:tcBorders>
            <w:shd w:val="clear" w:color="auto" w:fill="auto"/>
            <w:vAlign w:val="bottom"/>
          </w:tcPr>
          <w:p w14:paraId="2C70CF09" w14:textId="633D5102" w:rsidR="00A66703" w:rsidRPr="001D41EA" w:rsidRDefault="00A66703" w:rsidP="001D41EA">
            <w:pPr>
              <w:spacing w:before="40" w:after="40"/>
              <w:jc w:val="right"/>
              <w:rPr>
                <w:rFonts w:cs="Arial"/>
                <w:b/>
                <w:sz w:val="18"/>
                <w:szCs w:val="18"/>
              </w:rPr>
            </w:pPr>
            <w:r w:rsidRPr="001D41EA">
              <w:rPr>
                <w:rFonts w:cs="Arial"/>
                <w:b/>
                <w:sz w:val="18"/>
                <w:szCs w:val="18"/>
              </w:rPr>
              <w:t>14,831,015</w:t>
            </w:r>
          </w:p>
        </w:tc>
        <w:tc>
          <w:tcPr>
            <w:tcW w:w="1418" w:type="dxa"/>
            <w:tcBorders>
              <w:top w:val="nil"/>
              <w:left w:val="nil"/>
              <w:bottom w:val="nil"/>
              <w:right w:val="nil"/>
            </w:tcBorders>
            <w:shd w:val="clear" w:color="auto" w:fill="auto"/>
            <w:vAlign w:val="bottom"/>
          </w:tcPr>
          <w:p w14:paraId="7EC3620F" w14:textId="42599E8B" w:rsidR="00A66703" w:rsidRPr="001D41EA" w:rsidRDefault="00A66703" w:rsidP="001D41EA">
            <w:pPr>
              <w:spacing w:before="40" w:after="40"/>
              <w:jc w:val="right"/>
              <w:rPr>
                <w:rFonts w:cs="Arial"/>
                <w:sz w:val="18"/>
                <w:szCs w:val="18"/>
              </w:rPr>
            </w:pPr>
            <w:r w:rsidRPr="001D41EA">
              <w:rPr>
                <w:rFonts w:cs="Arial"/>
                <w:sz w:val="18"/>
                <w:szCs w:val="18"/>
              </w:rPr>
              <w:t>-149,452</w:t>
            </w:r>
          </w:p>
        </w:tc>
      </w:tr>
      <w:tr w:rsidR="00A66703" w:rsidRPr="001D41EA" w14:paraId="360A38A4"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17AC0EC4" w14:textId="77777777" w:rsidR="00A66703" w:rsidRPr="001D41EA" w:rsidRDefault="00A66703" w:rsidP="001D41EA">
            <w:pPr>
              <w:spacing w:before="40" w:after="40"/>
              <w:rPr>
                <w:rFonts w:cs="Arial"/>
                <w:sz w:val="18"/>
                <w:szCs w:val="18"/>
              </w:rPr>
            </w:pPr>
            <w:r w:rsidRPr="001D41EA">
              <w:rPr>
                <w:rFonts w:cs="Arial"/>
                <w:sz w:val="18"/>
                <w:szCs w:val="18"/>
              </w:rPr>
              <w:t xml:space="preserve">Frankston C </w:t>
            </w:r>
          </w:p>
        </w:tc>
        <w:tc>
          <w:tcPr>
            <w:tcW w:w="1418" w:type="dxa"/>
            <w:tcBorders>
              <w:top w:val="nil"/>
              <w:left w:val="single" w:sz="18" w:space="0" w:color="5F497A" w:themeColor="accent4" w:themeShade="BF"/>
              <w:bottom w:val="nil"/>
              <w:right w:val="nil"/>
            </w:tcBorders>
            <w:shd w:val="clear" w:color="auto" w:fill="auto"/>
            <w:vAlign w:val="bottom"/>
          </w:tcPr>
          <w:p w14:paraId="3EBF2F33" w14:textId="0324105E" w:rsidR="00A66703" w:rsidRPr="001D41EA" w:rsidRDefault="00A66703" w:rsidP="001D41EA">
            <w:pPr>
              <w:spacing w:before="40" w:after="40"/>
              <w:jc w:val="right"/>
              <w:rPr>
                <w:rFonts w:cs="Arial"/>
                <w:sz w:val="18"/>
                <w:szCs w:val="18"/>
              </w:rPr>
            </w:pPr>
            <w:r w:rsidRPr="001D41EA">
              <w:rPr>
                <w:rFonts w:cs="Arial"/>
                <w:sz w:val="18"/>
                <w:szCs w:val="18"/>
              </w:rPr>
              <w:t>8,418,343</w:t>
            </w:r>
          </w:p>
        </w:tc>
        <w:tc>
          <w:tcPr>
            <w:tcW w:w="1418" w:type="dxa"/>
            <w:tcBorders>
              <w:top w:val="nil"/>
              <w:left w:val="nil"/>
              <w:bottom w:val="nil"/>
              <w:right w:val="nil"/>
            </w:tcBorders>
            <w:shd w:val="clear" w:color="auto" w:fill="auto"/>
            <w:vAlign w:val="bottom"/>
          </w:tcPr>
          <w:p w14:paraId="478281A2" w14:textId="19949FC5" w:rsidR="00A66703" w:rsidRPr="001D41EA" w:rsidRDefault="00A66703" w:rsidP="001D41EA">
            <w:pPr>
              <w:spacing w:before="40" w:after="40"/>
              <w:jc w:val="right"/>
              <w:rPr>
                <w:rFonts w:cs="Arial"/>
                <w:b/>
                <w:sz w:val="18"/>
                <w:szCs w:val="18"/>
              </w:rPr>
            </w:pPr>
            <w:r w:rsidRPr="001D41EA">
              <w:rPr>
                <w:rFonts w:cs="Arial"/>
                <w:b/>
                <w:sz w:val="18"/>
                <w:szCs w:val="18"/>
              </w:rPr>
              <w:t>8,330,020</w:t>
            </w:r>
          </w:p>
        </w:tc>
        <w:tc>
          <w:tcPr>
            <w:tcW w:w="1418" w:type="dxa"/>
            <w:tcBorders>
              <w:top w:val="nil"/>
              <w:left w:val="nil"/>
              <w:bottom w:val="nil"/>
              <w:right w:val="nil"/>
            </w:tcBorders>
            <w:shd w:val="clear" w:color="auto" w:fill="auto"/>
            <w:vAlign w:val="bottom"/>
          </w:tcPr>
          <w:p w14:paraId="74B3EFFA" w14:textId="75C21631" w:rsidR="00A66703" w:rsidRPr="001D41EA" w:rsidRDefault="00A66703" w:rsidP="001D41EA">
            <w:pPr>
              <w:spacing w:before="40" w:after="40"/>
              <w:jc w:val="right"/>
              <w:rPr>
                <w:rFonts w:cs="Arial"/>
                <w:sz w:val="18"/>
                <w:szCs w:val="18"/>
              </w:rPr>
            </w:pPr>
            <w:r w:rsidRPr="001D41EA">
              <w:rPr>
                <w:rFonts w:cs="Arial"/>
                <w:sz w:val="18"/>
                <w:szCs w:val="18"/>
              </w:rPr>
              <w:t>-88,323</w:t>
            </w:r>
          </w:p>
        </w:tc>
      </w:tr>
      <w:tr w:rsidR="00A66703" w:rsidRPr="001D41EA" w14:paraId="334719A3"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12BB7EE" w14:textId="77777777" w:rsidR="00A66703" w:rsidRPr="001D41EA" w:rsidRDefault="00A66703" w:rsidP="001D41EA">
            <w:pPr>
              <w:spacing w:before="40" w:after="40"/>
              <w:rPr>
                <w:rFonts w:cs="Arial"/>
                <w:sz w:val="18"/>
                <w:szCs w:val="18"/>
              </w:rPr>
            </w:pPr>
            <w:r w:rsidRPr="001D41EA">
              <w:rPr>
                <w:rFonts w:cs="Arial"/>
                <w:sz w:val="18"/>
                <w:szCs w:val="18"/>
              </w:rPr>
              <w:t xml:space="preserve">Gannawarra S </w:t>
            </w:r>
          </w:p>
        </w:tc>
        <w:tc>
          <w:tcPr>
            <w:tcW w:w="1418" w:type="dxa"/>
            <w:tcBorders>
              <w:top w:val="nil"/>
              <w:left w:val="single" w:sz="18" w:space="0" w:color="5F497A" w:themeColor="accent4" w:themeShade="BF"/>
              <w:bottom w:val="nil"/>
              <w:right w:val="nil"/>
            </w:tcBorders>
            <w:shd w:val="clear" w:color="auto" w:fill="auto"/>
            <w:vAlign w:val="bottom"/>
          </w:tcPr>
          <w:p w14:paraId="453C02D2" w14:textId="31DA4D8A" w:rsidR="00A66703" w:rsidRPr="001D41EA" w:rsidRDefault="00A66703" w:rsidP="001D41EA">
            <w:pPr>
              <w:spacing w:before="40" w:after="40"/>
              <w:jc w:val="right"/>
              <w:rPr>
                <w:rFonts w:cs="Arial"/>
                <w:sz w:val="18"/>
                <w:szCs w:val="18"/>
              </w:rPr>
            </w:pPr>
            <w:r w:rsidRPr="001D41EA">
              <w:rPr>
                <w:rFonts w:cs="Arial"/>
                <w:sz w:val="18"/>
                <w:szCs w:val="18"/>
              </w:rPr>
              <w:t>5,599,675</w:t>
            </w:r>
          </w:p>
        </w:tc>
        <w:tc>
          <w:tcPr>
            <w:tcW w:w="1418" w:type="dxa"/>
            <w:tcBorders>
              <w:top w:val="nil"/>
              <w:left w:val="nil"/>
              <w:bottom w:val="nil"/>
              <w:right w:val="nil"/>
            </w:tcBorders>
            <w:shd w:val="clear" w:color="auto" w:fill="auto"/>
            <w:vAlign w:val="bottom"/>
          </w:tcPr>
          <w:p w14:paraId="2A451891" w14:textId="1EDD64CD" w:rsidR="00A66703" w:rsidRPr="001D41EA" w:rsidRDefault="00A66703" w:rsidP="001D41EA">
            <w:pPr>
              <w:spacing w:before="40" w:after="40"/>
              <w:jc w:val="right"/>
              <w:rPr>
                <w:rFonts w:cs="Arial"/>
                <w:b/>
                <w:sz w:val="18"/>
                <w:szCs w:val="18"/>
              </w:rPr>
            </w:pPr>
            <w:r w:rsidRPr="001D41EA">
              <w:rPr>
                <w:rFonts w:cs="Arial"/>
                <w:b/>
                <w:sz w:val="18"/>
                <w:szCs w:val="18"/>
              </w:rPr>
              <w:t>5,544,727</w:t>
            </w:r>
          </w:p>
        </w:tc>
        <w:tc>
          <w:tcPr>
            <w:tcW w:w="1418" w:type="dxa"/>
            <w:tcBorders>
              <w:top w:val="nil"/>
              <w:left w:val="nil"/>
              <w:bottom w:val="nil"/>
              <w:right w:val="nil"/>
            </w:tcBorders>
            <w:shd w:val="clear" w:color="auto" w:fill="auto"/>
            <w:vAlign w:val="bottom"/>
          </w:tcPr>
          <w:p w14:paraId="37CC4A31" w14:textId="2E70D2C2" w:rsidR="00A66703" w:rsidRPr="001D41EA" w:rsidRDefault="00A66703" w:rsidP="001D41EA">
            <w:pPr>
              <w:spacing w:before="40" w:after="40"/>
              <w:jc w:val="right"/>
              <w:rPr>
                <w:rFonts w:cs="Arial"/>
                <w:sz w:val="18"/>
                <w:szCs w:val="18"/>
              </w:rPr>
            </w:pPr>
            <w:r w:rsidRPr="001D41EA">
              <w:rPr>
                <w:rFonts w:cs="Arial"/>
                <w:sz w:val="18"/>
                <w:szCs w:val="18"/>
              </w:rPr>
              <w:t>-54,948</w:t>
            </w:r>
          </w:p>
        </w:tc>
      </w:tr>
      <w:tr w:rsidR="00A66703" w:rsidRPr="001D41EA" w14:paraId="26027C5A"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9AF41E7" w14:textId="77777777" w:rsidR="00A66703" w:rsidRPr="001D41EA" w:rsidRDefault="00A66703" w:rsidP="001D41EA">
            <w:pPr>
              <w:spacing w:before="40" w:after="40"/>
              <w:rPr>
                <w:rFonts w:cs="Arial"/>
                <w:sz w:val="18"/>
                <w:szCs w:val="18"/>
              </w:rPr>
            </w:pPr>
            <w:r w:rsidRPr="001D41EA">
              <w:rPr>
                <w:rFonts w:cs="Arial"/>
                <w:sz w:val="18"/>
                <w:szCs w:val="18"/>
              </w:rPr>
              <w:t xml:space="preserve">Glen Eira C </w:t>
            </w:r>
          </w:p>
        </w:tc>
        <w:tc>
          <w:tcPr>
            <w:tcW w:w="1418" w:type="dxa"/>
            <w:tcBorders>
              <w:top w:val="nil"/>
              <w:left w:val="single" w:sz="18" w:space="0" w:color="5F497A" w:themeColor="accent4" w:themeShade="BF"/>
              <w:bottom w:val="nil"/>
              <w:right w:val="nil"/>
            </w:tcBorders>
            <w:shd w:val="clear" w:color="auto" w:fill="auto"/>
            <w:vAlign w:val="bottom"/>
          </w:tcPr>
          <w:p w14:paraId="638023E4" w14:textId="39521E7D" w:rsidR="00A66703" w:rsidRPr="001D41EA" w:rsidRDefault="00A66703" w:rsidP="001D41EA">
            <w:pPr>
              <w:spacing w:before="40" w:after="40"/>
              <w:jc w:val="right"/>
              <w:rPr>
                <w:rFonts w:cs="Arial"/>
                <w:sz w:val="18"/>
                <w:szCs w:val="18"/>
              </w:rPr>
            </w:pPr>
            <w:r w:rsidRPr="001D41EA">
              <w:rPr>
                <w:rFonts w:cs="Arial"/>
                <w:sz w:val="18"/>
                <w:szCs w:val="18"/>
              </w:rPr>
              <w:t>3,808,932</w:t>
            </w:r>
          </w:p>
        </w:tc>
        <w:tc>
          <w:tcPr>
            <w:tcW w:w="1418" w:type="dxa"/>
            <w:tcBorders>
              <w:top w:val="nil"/>
              <w:left w:val="nil"/>
              <w:bottom w:val="nil"/>
              <w:right w:val="nil"/>
            </w:tcBorders>
            <w:shd w:val="clear" w:color="auto" w:fill="auto"/>
            <w:vAlign w:val="bottom"/>
          </w:tcPr>
          <w:p w14:paraId="45EDCE06" w14:textId="1E687C3A" w:rsidR="00A66703" w:rsidRPr="001D41EA" w:rsidRDefault="00A66703" w:rsidP="001D41EA">
            <w:pPr>
              <w:spacing w:before="40" w:after="40"/>
              <w:jc w:val="right"/>
              <w:rPr>
                <w:rFonts w:cs="Arial"/>
                <w:b/>
                <w:sz w:val="18"/>
                <w:szCs w:val="18"/>
              </w:rPr>
            </w:pPr>
            <w:r w:rsidRPr="001D41EA">
              <w:rPr>
                <w:rFonts w:cs="Arial"/>
                <w:b/>
                <w:sz w:val="18"/>
                <w:szCs w:val="18"/>
              </w:rPr>
              <w:t>3,769,372</w:t>
            </w:r>
          </w:p>
        </w:tc>
        <w:tc>
          <w:tcPr>
            <w:tcW w:w="1418" w:type="dxa"/>
            <w:tcBorders>
              <w:top w:val="nil"/>
              <w:left w:val="nil"/>
              <w:bottom w:val="nil"/>
              <w:right w:val="nil"/>
            </w:tcBorders>
            <w:shd w:val="clear" w:color="auto" w:fill="auto"/>
            <w:vAlign w:val="bottom"/>
          </w:tcPr>
          <w:p w14:paraId="4F05A11C" w14:textId="2972763E" w:rsidR="00A66703" w:rsidRPr="001D41EA" w:rsidRDefault="00A66703" w:rsidP="001D41EA">
            <w:pPr>
              <w:spacing w:before="40" w:after="40"/>
              <w:jc w:val="right"/>
              <w:rPr>
                <w:rFonts w:cs="Arial"/>
                <w:sz w:val="18"/>
                <w:szCs w:val="18"/>
              </w:rPr>
            </w:pPr>
            <w:r w:rsidRPr="001D41EA">
              <w:rPr>
                <w:rFonts w:cs="Arial"/>
                <w:sz w:val="18"/>
                <w:szCs w:val="18"/>
              </w:rPr>
              <w:t>-39,560</w:t>
            </w:r>
          </w:p>
        </w:tc>
      </w:tr>
      <w:tr w:rsidR="00A66703" w:rsidRPr="001D41EA" w14:paraId="01DAD5BF"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8693F9E" w14:textId="77777777" w:rsidR="00A66703" w:rsidRPr="001D41EA" w:rsidRDefault="00A66703" w:rsidP="001D41EA">
            <w:pPr>
              <w:spacing w:before="40" w:after="40"/>
              <w:rPr>
                <w:rFonts w:cs="Arial"/>
                <w:sz w:val="18"/>
                <w:szCs w:val="18"/>
              </w:rPr>
            </w:pPr>
            <w:r w:rsidRPr="001D41EA">
              <w:rPr>
                <w:rFonts w:cs="Arial"/>
                <w:sz w:val="18"/>
                <w:szCs w:val="18"/>
              </w:rPr>
              <w:t xml:space="preserve">Glenelg S </w:t>
            </w:r>
          </w:p>
        </w:tc>
        <w:tc>
          <w:tcPr>
            <w:tcW w:w="1418" w:type="dxa"/>
            <w:tcBorders>
              <w:top w:val="nil"/>
              <w:left w:val="single" w:sz="18" w:space="0" w:color="5F497A" w:themeColor="accent4" w:themeShade="BF"/>
              <w:bottom w:val="nil"/>
              <w:right w:val="nil"/>
            </w:tcBorders>
            <w:shd w:val="clear" w:color="auto" w:fill="auto"/>
            <w:vAlign w:val="bottom"/>
          </w:tcPr>
          <w:p w14:paraId="08BA6FB6" w14:textId="272EF2B4" w:rsidR="00A66703" w:rsidRPr="001D41EA" w:rsidRDefault="00A66703" w:rsidP="001D41EA">
            <w:pPr>
              <w:spacing w:before="40" w:after="40"/>
              <w:jc w:val="right"/>
              <w:rPr>
                <w:rFonts w:cs="Arial"/>
                <w:sz w:val="18"/>
                <w:szCs w:val="18"/>
              </w:rPr>
            </w:pPr>
            <w:r w:rsidRPr="001D41EA">
              <w:rPr>
                <w:rFonts w:cs="Arial"/>
                <w:sz w:val="18"/>
                <w:szCs w:val="18"/>
              </w:rPr>
              <w:t>8,186,799</w:t>
            </w:r>
          </w:p>
        </w:tc>
        <w:tc>
          <w:tcPr>
            <w:tcW w:w="1418" w:type="dxa"/>
            <w:tcBorders>
              <w:top w:val="nil"/>
              <w:left w:val="nil"/>
              <w:bottom w:val="nil"/>
              <w:right w:val="nil"/>
            </w:tcBorders>
            <w:shd w:val="clear" w:color="auto" w:fill="auto"/>
            <w:vAlign w:val="bottom"/>
          </w:tcPr>
          <w:p w14:paraId="735C4E63" w14:textId="4F21B67C" w:rsidR="00A66703" w:rsidRPr="001D41EA" w:rsidRDefault="00A66703" w:rsidP="001D41EA">
            <w:pPr>
              <w:spacing w:before="40" w:after="40"/>
              <w:jc w:val="right"/>
              <w:rPr>
                <w:rFonts w:cs="Arial"/>
                <w:b/>
                <w:sz w:val="18"/>
                <w:szCs w:val="18"/>
              </w:rPr>
            </w:pPr>
            <w:r w:rsidRPr="001D41EA">
              <w:rPr>
                <w:rFonts w:cs="Arial"/>
                <w:b/>
                <w:sz w:val="18"/>
                <w:szCs w:val="18"/>
              </w:rPr>
              <w:t>8,108,066</w:t>
            </w:r>
          </w:p>
        </w:tc>
        <w:tc>
          <w:tcPr>
            <w:tcW w:w="1418" w:type="dxa"/>
            <w:tcBorders>
              <w:top w:val="nil"/>
              <w:left w:val="nil"/>
              <w:bottom w:val="nil"/>
              <w:right w:val="nil"/>
            </w:tcBorders>
            <w:shd w:val="clear" w:color="auto" w:fill="auto"/>
            <w:vAlign w:val="bottom"/>
          </w:tcPr>
          <w:p w14:paraId="373831CA" w14:textId="5B629DBE" w:rsidR="00A66703" w:rsidRPr="001D41EA" w:rsidRDefault="00A66703" w:rsidP="001D41EA">
            <w:pPr>
              <w:spacing w:before="40" w:after="40"/>
              <w:jc w:val="right"/>
              <w:rPr>
                <w:rFonts w:cs="Arial"/>
                <w:sz w:val="18"/>
                <w:szCs w:val="18"/>
              </w:rPr>
            </w:pPr>
            <w:r w:rsidRPr="001D41EA">
              <w:rPr>
                <w:rFonts w:cs="Arial"/>
                <w:sz w:val="18"/>
                <w:szCs w:val="18"/>
              </w:rPr>
              <w:t>-78,733</w:t>
            </w:r>
          </w:p>
        </w:tc>
      </w:tr>
      <w:tr w:rsidR="00A66703" w:rsidRPr="001D41EA" w14:paraId="48DB1646"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346BF2D" w14:textId="77777777" w:rsidR="00A66703" w:rsidRPr="001D41EA" w:rsidRDefault="00A66703" w:rsidP="001D41EA">
            <w:pPr>
              <w:spacing w:before="40" w:after="40"/>
              <w:rPr>
                <w:rFonts w:cs="Arial"/>
                <w:sz w:val="18"/>
                <w:szCs w:val="18"/>
              </w:rPr>
            </w:pPr>
            <w:r w:rsidRPr="001D41EA">
              <w:rPr>
                <w:rFonts w:cs="Arial"/>
                <w:sz w:val="18"/>
                <w:szCs w:val="18"/>
              </w:rPr>
              <w:t xml:space="preserve">Golden Plains S </w:t>
            </w:r>
          </w:p>
        </w:tc>
        <w:tc>
          <w:tcPr>
            <w:tcW w:w="1418" w:type="dxa"/>
            <w:tcBorders>
              <w:top w:val="nil"/>
              <w:left w:val="single" w:sz="18" w:space="0" w:color="5F497A" w:themeColor="accent4" w:themeShade="BF"/>
              <w:bottom w:val="nil"/>
              <w:right w:val="nil"/>
            </w:tcBorders>
            <w:shd w:val="clear" w:color="auto" w:fill="auto"/>
            <w:vAlign w:val="bottom"/>
          </w:tcPr>
          <w:p w14:paraId="0C21036F" w14:textId="714A7509" w:rsidR="00A66703" w:rsidRPr="001D41EA" w:rsidRDefault="00A66703" w:rsidP="001D41EA">
            <w:pPr>
              <w:spacing w:before="40" w:after="40"/>
              <w:jc w:val="right"/>
              <w:rPr>
                <w:rFonts w:cs="Arial"/>
                <w:sz w:val="18"/>
                <w:szCs w:val="18"/>
              </w:rPr>
            </w:pPr>
            <w:r w:rsidRPr="001D41EA">
              <w:rPr>
                <w:rFonts w:cs="Arial"/>
                <w:sz w:val="18"/>
                <w:szCs w:val="18"/>
              </w:rPr>
              <w:t>5,759,395</w:t>
            </w:r>
          </w:p>
        </w:tc>
        <w:tc>
          <w:tcPr>
            <w:tcW w:w="1418" w:type="dxa"/>
            <w:tcBorders>
              <w:top w:val="nil"/>
              <w:left w:val="nil"/>
              <w:bottom w:val="nil"/>
              <w:right w:val="nil"/>
            </w:tcBorders>
            <w:shd w:val="clear" w:color="auto" w:fill="auto"/>
            <w:vAlign w:val="bottom"/>
          </w:tcPr>
          <w:p w14:paraId="698D7AE2" w14:textId="5078D381" w:rsidR="00A66703" w:rsidRPr="001D41EA" w:rsidRDefault="00A66703" w:rsidP="001D41EA">
            <w:pPr>
              <w:spacing w:before="40" w:after="40"/>
              <w:jc w:val="right"/>
              <w:rPr>
                <w:rFonts w:cs="Arial"/>
                <w:b/>
                <w:sz w:val="18"/>
                <w:szCs w:val="18"/>
              </w:rPr>
            </w:pPr>
            <w:r w:rsidRPr="001D41EA">
              <w:rPr>
                <w:rFonts w:cs="Arial"/>
                <w:b/>
                <w:sz w:val="18"/>
                <w:szCs w:val="18"/>
              </w:rPr>
              <w:t>5,702,778</w:t>
            </w:r>
          </w:p>
        </w:tc>
        <w:tc>
          <w:tcPr>
            <w:tcW w:w="1418" w:type="dxa"/>
            <w:tcBorders>
              <w:top w:val="nil"/>
              <w:left w:val="nil"/>
              <w:bottom w:val="nil"/>
              <w:right w:val="nil"/>
            </w:tcBorders>
            <w:shd w:val="clear" w:color="auto" w:fill="auto"/>
            <w:vAlign w:val="bottom"/>
          </w:tcPr>
          <w:p w14:paraId="73B02DD4" w14:textId="4656D1CE" w:rsidR="00A66703" w:rsidRPr="001D41EA" w:rsidRDefault="00A66703" w:rsidP="001D41EA">
            <w:pPr>
              <w:spacing w:before="40" w:after="40"/>
              <w:jc w:val="right"/>
              <w:rPr>
                <w:rFonts w:cs="Arial"/>
                <w:sz w:val="18"/>
                <w:szCs w:val="18"/>
              </w:rPr>
            </w:pPr>
            <w:r w:rsidRPr="001D41EA">
              <w:rPr>
                <w:rFonts w:cs="Arial"/>
                <w:sz w:val="18"/>
                <w:szCs w:val="18"/>
              </w:rPr>
              <w:t>-56,617</w:t>
            </w:r>
          </w:p>
        </w:tc>
      </w:tr>
      <w:tr w:rsidR="00A66703" w:rsidRPr="001D41EA" w14:paraId="08C13223"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17F269CD" w14:textId="77777777" w:rsidR="00A66703" w:rsidRPr="001D41EA" w:rsidRDefault="00A66703" w:rsidP="001D41EA">
            <w:pPr>
              <w:spacing w:before="40" w:after="40"/>
              <w:rPr>
                <w:rFonts w:cs="Arial"/>
                <w:sz w:val="18"/>
                <w:szCs w:val="18"/>
              </w:rPr>
            </w:pPr>
            <w:r w:rsidRPr="001D41EA">
              <w:rPr>
                <w:rFonts w:cs="Arial"/>
                <w:sz w:val="18"/>
                <w:szCs w:val="18"/>
              </w:rPr>
              <w:t xml:space="preserve">Greater Bendigo C </w:t>
            </w:r>
          </w:p>
        </w:tc>
        <w:tc>
          <w:tcPr>
            <w:tcW w:w="1418" w:type="dxa"/>
            <w:tcBorders>
              <w:top w:val="nil"/>
              <w:left w:val="single" w:sz="18" w:space="0" w:color="5F497A" w:themeColor="accent4" w:themeShade="BF"/>
              <w:bottom w:val="nil"/>
              <w:right w:val="nil"/>
            </w:tcBorders>
            <w:shd w:val="clear" w:color="auto" w:fill="auto"/>
            <w:vAlign w:val="bottom"/>
          </w:tcPr>
          <w:p w14:paraId="49D1A64D" w14:textId="0BBBB2CA" w:rsidR="00A66703" w:rsidRPr="001D41EA" w:rsidRDefault="00A66703" w:rsidP="001D41EA">
            <w:pPr>
              <w:spacing w:before="40" w:after="40"/>
              <w:jc w:val="right"/>
              <w:rPr>
                <w:rFonts w:cs="Arial"/>
                <w:sz w:val="18"/>
                <w:szCs w:val="18"/>
              </w:rPr>
            </w:pPr>
            <w:r w:rsidRPr="001D41EA">
              <w:rPr>
                <w:rFonts w:cs="Arial"/>
                <w:sz w:val="18"/>
                <w:szCs w:val="18"/>
              </w:rPr>
              <w:t>16,523,273</w:t>
            </w:r>
          </w:p>
        </w:tc>
        <w:tc>
          <w:tcPr>
            <w:tcW w:w="1418" w:type="dxa"/>
            <w:tcBorders>
              <w:top w:val="nil"/>
              <w:left w:val="nil"/>
              <w:bottom w:val="nil"/>
              <w:right w:val="nil"/>
            </w:tcBorders>
            <w:shd w:val="clear" w:color="auto" w:fill="auto"/>
            <w:vAlign w:val="bottom"/>
          </w:tcPr>
          <w:p w14:paraId="0AE5C718" w14:textId="3AC6B8E3" w:rsidR="00A66703" w:rsidRPr="001D41EA" w:rsidRDefault="00A66703" w:rsidP="001D41EA">
            <w:pPr>
              <w:spacing w:before="40" w:after="40"/>
              <w:jc w:val="right"/>
              <w:rPr>
                <w:rFonts w:cs="Arial"/>
                <w:b/>
                <w:sz w:val="18"/>
                <w:szCs w:val="18"/>
              </w:rPr>
            </w:pPr>
            <w:r w:rsidRPr="001D41EA">
              <w:rPr>
                <w:rFonts w:cs="Arial"/>
                <w:b/>
                <w:sz w:val="18"/>
                <w:szCs w:val="18"/>
              </w:rPr>
              <w:t>16,353,545</w:t>
            </w:r>
          </w:p>
        </w:tc>
        <w:tc>
          <w:tcPr>
            <w:tcW w:w="1418" w:type="dxa"/>
            <w:tcBorders>
              <w:top w:val="nil"/>
              <w:left w:val="nil"/>
              <w:bottom w:val="nil"/>
              <w:right w:val="nil"/>
            </w:tcBorders>
            <w:shd w:val="clear" w:color="auto" w:fill="auto"/>
            <w:vAlign w:val="bottom"/>
          </w:tcPr>
          <w:p w14:paraId="2C13A582" w14:textId="74AFBD92" w:rsidR="00A66703" w:rsidRPr="001D41EA" w:rsidRDefault="00A66703" w:rsidP="001D41EA">
            <w:pPr>
              <w:spacing w:before="40" w:after="40"/>
              <w:jc w:val="right"/>
              <w:rPr>
                <w:rFonts w:cs="Arial"/>
                <w:sz w:val="18"/>
                <w:szCs w:val="18"/>
              </w:rPr>
            </w:pPr>
            <w:r w:rsidRPr="001D41EA">
              <w:rPr>
                <w:rFonts w:cs="Arial"/>
                <w:sz w:val="18"/>
                <w:szCs w:val="18"/>
              </w:rPr>
              <w:t>-169,728</w:t>
            </w:r>
          </w:p>
        </w:tc>
      </w:tr>
      <w:tr w:rsidR="00A66703" w:rsidRPr="001D41EA" w14:paraId="0C541365"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76AD2E3F" w14:textId="77777777" w:rsidR="00A66703" w:rsidRPr="001D41EA" w:rsidRDefault="00A66703" w:rsidP="001D41EA">
            <w:pPr>
              <w:spacing w:before="40" w:after="40"/>
              <w:rPr>
                <w:rFonts w:cs="Arial"/>
                <w:sz w:val="18"/>
                <w:szCs w:val="18"/>
              </w:rPr>
            </w:pPr>
            <w:r w:rsidRPr="001D41EA">
              <w:rPr>
                <w:rFonts w:cs="Arial"/>
                <w:sz w:val="18"/>
                <w:szCs w:val="18"/>
              </w:rPr>
              <w:t xml:space="preserve">Greater Dandenong C </w:t>
            </w:r>
          </w:p>
        </w:tc>
        <w:tc>
          <w:tcPr>
            <w:tcW w:w="1418" w:type="dxa"/>
            <w:tcBorders>
              <w:top w:val="nil"/>
              <w:left w:val="single" w:sz="18" w:space="0" w:color="5F497A" w:themeColor="accent4" w:themeShade="BF"/>
              <w:bottom w:val="nil"/>
              <w:right w:val="nil"/>
            </w:tcBorders>
            <w:shd w:val="clear" w:color="auto" w:fill="auto"/>
            <w:vAlign w:val="bottom"/>
          </w:tcPr>
          <w:p w14:paraId="6CD4164D" w14:textId="15087377" w:rsidR="00A66703" w:rsidRPr="001D41EA" w:rsidRDefault="00A66703" w:rsidP="001D41EA">
            <w:pPr>
              <w:spacing w:before="40" w:after="40"/>
              <w:jc w:val="right"/>
              <w:rPr>
                <w:rFonts w:cs="Arial"/>
                <w:sz w:val="18"/>
                <w:szCs w:val="18"/>
              </w:rPr>
            </w:pPr>
            <w:r w:rsidRPr="001D41EA">
              <w:rPr>
                <w:rFonts w:cs="Arial"/>
                <w:sz w:val="18"/>
                <w:szCs w:val="18"/>
              </w:rPr>
              <w:t>11,919,114</w:t>
            </w:r>
          </w:p>
        </w:tc>
        <w:tc>
          <w:tcPr>
            <w:tcW w:w="1418" w:type="dxa"/>
            <w:tcBorders>
              <w:top w:val="nil"/>
              <w:left w:val="nil"/>
              <w:bottom w:val="nil"/>
              <w:right w:val="nil"/>
            </w:tcBorders>
            <w:shd w:val="clear" w:color="auto" w:fill="auto"/>
            <w:vAlign w:val="bottom"/>
          </w:tcPr>
          <w:p w14:paraId="1F688C13" w14:textId="00426597" w:rsidR="00A66703" w:rsidRPr="001D41EA" w:rsidRDefault="00A66703" w:rsidP="001D41EA">
            <w:pPr>
              <w:spacing w:before="40" w:after="40"/>
              <w:jc w:val="right"/>
              <w:rPr>
                <w:rFonts w:cs="Arial"/>
                <w:b/>
                <w:sz w:val="18"/>
                <w:szCs w:val="18"/>
              </w:rPr>
            </w:pPr>
            <w:r w:rsidRPr="001D41EA">
              <w:rPr>
                <w:rFonts w:cs="Arial"/>
                <w:b/>
                <w:sz w:val="18"/>
                <w:szCs w:val="18"/>
              </w:rPr>
              <w:t>11,793,898</w:t>
            </w:r>
          </w:p>
        </w:tc>
        <w:tc>
          <w:tcPr>
            <w:tcW w:w="1418" w:type="dxa"/>
            <w:tcBorders>
              <w:top w:val="nil"/>
              <w:left w:val="nil"/>
              <w:bottom w:val="nil"/>
              <w:right w:val="nil"/>
            </w:tcBorders>
            <w:shd w:val="clear" w:color="auto" w:fill="auto"/>
            <w:vAlign w:val="bottom"/>
          </w:tcPr>
          <w:p w14:paraId="08D27160" w14:textId="0E3FFEAA" w:rsidR="00A66703" w:rsidRPr="001D41EA" w:rsidRDefault="00A66703" w:rsidP="001D41EA">
            <w:pPr>
              <w:spacing w:before="40" w:after="40"/>
              <w:jc w:val="right"/>
              <w:rPr>
                <w:rFonts w:cs="Arial"/>
                <w:sz w:val="18"/>
                <w:szCs w:val="18"/>
              </w:rPr>
            </w:pPr>
            <w:r w:rsidRPr="001D41EA">
              <w:rPr>
                <w:rFonts w:cs="Arial"/>
                <w:sz w:val="18"/>
                <w:szCs w:val="18"/>
              </w:rPr>
              <w:t>-125,216</w:t>
            </w:r>
          </w:p>
        </w:tc>
      </w:tr>
      <w:tr w:rsidR="00A66703" w:rsidRPr="001D41EA" w14:paraId="354D1C67"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1078C0EB" w14:textId="77777777" w:rsidR="00A66703" w:rsidRPr="001D41EA" w:rsidRDefault="00A66703" w:rsidP="001D41EA">
            <w:pPr>
              <w:spacing w:before="40" w:after="40"/>
              <w:rPr>
                <w:rFonts w:cs="Arial"/>
                <w:sz w:val="18"/>
                <w:szCs w:val="18"/>
              </w:rPr>
            </w:pPr>
            <w:r w:rsidRPr="001D41EA">
              <w:rPr>
                <w:rFonts w:cs="Arial"/>
                <w:sz w:val="18"/>
                <w:szCs w:val="18"/>
              </w:rPr>
              <w:t xml:space="preserve">Greater Geelong C </w:t>
            </w:r>
          </w:p>
        </w:tc>
        <w:tc>
          <w:tcPr>
            <w:tcW w:w="1418" w:type="dxa"/>
            <w:tcBorders>
              <w:top w:val="nil"/>
              <w:left w:val="single" w:sz="18" w:space="0" w:color="5F497A" w:themeColor="accent4" w:themeShade="BF"/>
              <w:bottom w:val="nil"/>
              <w:right w:val="nil"/>
            </w:tcBorders>
            <w:shd w:val="clear" w:color="auto" w:fill="auto"/>
            <w:vAlign w:val="bottom"/>
          </w:tcPr>
          <w:p w14:paraId="038DA5D5" w14:textId="48198B10" w:rsidR="00A66703" w:rsidRPr="001D41EA" w:rsidRDefault="00A66703" w:rsidP="001D41EA">
            <w:pPr>
              <w:spacing w:before="40" w:after="40"/>
              <w:jc w:val="right"/>
              <w:rPr>
                <w:rFonts w:cs="Arial"/>
                <w:sz w:val="18"/>
                <w:szCs w:val="18"/>
              </w:rPr>
            </w:pPr>
            <w:r w:rsidRPr="001D41EA">
              <w:rPr>
                <w:rFonts w:cs="Arial"/>
                <w:sz w:val="18"/>
                <w:szCs w:val="18"/>
              </w:rPr>
              <w:t>20,938,192</w:t>
            </w:r>
          </w:p>
        </w:tc>
        <w:tc>
          <w:tcPr>
            <w:tcW w:w="1418" w:type="dxa"/>
            <w:tcBorders>
              <w:top w:val="nil"/>
              <w:left w:val="nil"/>
              <w:bottom w:val="nil"/>
              <w:right w:val="nil"/>
            </w:tcBorders>
            <w:shd w:val="clear" w:color="auto" w:fill="auto"/>
            <w:vAlign w:val="bottom"/>
          </w:tcPr>
          <w:p w14:paraId="6C1F812B" w14:textId="16F8BBB7" w:rsidR="00A66703" w:rsidRPr="001D41EA" w:rsidRDefault="00A66703" w:rsidP="001D41EA">
            <w:pPr>
              <w:spacing w:before="40" w:after="40"/>
              <w:jc w:val="right"/>
              <w:rPr>
                <w:rFonts w:cs="Arial"/>
                <w:b/>
                <w:sz w:val="18"/>
                <w:szCs w:val="18"/>
              </w:rPr>
            </w:pPr>
            <w:r w:rsidRPr="001D41EA">
              <w:rPr>
                <w:rFonts w:cs="Arial"/>
                <w:b/>
                <w:sz w:val="18"/>
                <w:szCs w:val="18"/>
              </w:rPr>
              <w:t>20,720,052</w:t>
            </w:r>
          </w:p>
        </w:tc>
        <w:tc>
          <w:tcPr>
            <w:tcW w:w="1418" w:type="dxa"/>
            <w:tcBorders>
              <w:top w:val="nil"/>
              <w:left w:val="nil"/>
              <w:bottom w:val="nil"/>
              <w:right w:val="nil"/>
            </w:tcBorders>
            <w:shd w:val="clear" w:color="auto" w:fill="auto"/>
            <w:vAlign w:val="bottom"/>
          </w:tcPr>
          <w:p w14:paraId="0FAB2F95" w14:textId="5F460B6F" w:rsidR="00A66703" w:rsidRPr="001D41EA" w:rsidRDefault="00A66703" w:rsidP="001D41EA">
            <w:pPr>
              <w:spacing w:before="40" w:after="40"/>
              <w:jc w:val="right"/>
              <w:rPr>
                <w:rFonts w:cs="Arial"/>
                <w:sz w:val="18"/>
                <w:szCs w:val="18"/>
              </w:rPr>
            </w:pPr>
            <w:r w:rsidRPr="001D41EA">
              <w:rPr>
                <w:rFonts w:cs="Arial"/>
                <w:sz w:val="18"/>
                <w:szCs w:val="18"/>
              </w:rPr>
              <w:t>-218,140</w:t>
            </w:r>
          </w:p>
        </w:tc>
      </w:tr>
      <w:tr w:rsidR="00A66703" w:rsidRPr="001D41EA" w14:paraId="0F37B042"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6A477AE0" w14:textId="77777777" w:rsidR="00A66703" w:rsidRPr="001D41EA" w:rsidRDefault="00A66703" w:rsidP="001D41EA">
            <w:pPr>
              <w:spacing w:before="40" w:after="40"/>
              <w:rPr>
                <w:rFonts w:cs="Arial"/>
                <w:sz w:val="18"/>
                <w:szCs w:val="18"/>
              </w:rPr>
            </w:pPr>
            <w:r w:rsidRPr="001D41EA">
              <w:rPr>
                <w:rFonts w:cs="Arial"/>
                <w:sz w:val="18"/>
                <w:szCs w:val="18"/>
              </w:rPr>
              <w:t xml:space="preserve">Greater Shepparton C </w:t>
            </w:r>
          </w:p>
        </w:tc>
        <w:tc>
          <w:tcPr>
            <w:tcW w:w="1418" w:type="dxa"/>
            <w:tcBorders>
              <w:top w:val="nil"/>
              <w:left w:val="single" w:sz="18" w:space="0" w:color="5F497A" w:themeColor="accent4" w:themeShade="BF"/>
              <w:bottom w:val="nil"/>
              <w:right w:val="nil"/>
            </w:tcBorders>
            <w:shd w:val="clear" w:color="auto" w:fill="auto"/>
            <w:vAlign w:val="bottom"/>
          </w:tcPr>
          <w:p w14:paraId="5341CCF3" w14:textId="1D3184C2" w:rsidR="00A66703" w:rsidRPr="001D41EA" w:rsidRDefault="00A66703" w:rsidP="001D41EA">
            <w:pPr>
              <w:spacing w:before="40" w:after="40"/>
              <w:jc w:val="right"/>
              <w:rPr>
                <w:rFonts w:cs="Arial"/>
                <w:sz w:val="18"/>
                <w:szCs w:val="18"/>
              </w:rPr>
            </w:pPr>
            <w:r w:rsidRPr="001D41EA">
              <w:rPr>
                <w:rFonts w:cs="Arial"/>
                <w:sz w:val="18"/>
                <w:szCs w:val="18"/>
              </w:rPr>
              <w:t>12,576,572</w:t>
            </w:r>
          </w:p>
        </w:tc>
        <w:tc>
          <w:tcPr>
            <w:tcW w:w="1418" w:type="dxa"/>
            <w:tcBorders>
              <w:top w:val="nil"/>
              <w:left w:val="nil"/>
              <w:bottom w:val="nil"/>
              <w:right w:val="nil"/>
            </w:tcBorders>
            <w:shd w:val="clear" w:color="auto" w:fill="auto"/>
            <w:vAlign w:val="bottom"/>
          </w:tcPr>
          <w:p w14:paraId="1E605D7F" w14:textId="0FBEBB61" w:rsidR="00A66703" w:rsidRPr="001D41EA" w:rsidRDefault="00A66703" w:rsidP="001D41EA">
            <w:pPr>
              <w:spacing w:before="40" w:after="40"/>
              <w:jc w:val="right"/>
              <w:rPr>
                <w:rFonts w:cs="Arial"/>
                <w:b/>
                <w:sz w:val="18"/>
                <w:szCs w:val="18"/>
              </w:rPr>
            </w:pPr>
            <w:r w:rsidRPr="001D41EA">
              <w:rPr>
                <w:rFonts w:cs="Arial"/>
                <w:b/>
                <w:sz w:val="18"/>
                <w:szCs w:val="18"/>
              </w:rPr>
              <w:t>12,448,882</w:t>
            </w:r>
          </w:p>
        </w:tc>
        <w:tc>
          <w:tcPr>
            <w:tcW w:w="1418" w:type="dxa"/>
            <w:tcBorders>
              <w:top w:val="nil"/>
              <w:left w:val="nil"/>
              <w:bottom w:val="nil"/>
              <w:right w:val="nil"/>
            </w:tcBorders>
            <w:shd w:val="clear" w:color="auto" w:fill="auto"/>
            <w:vAlign w:val="bottom"/>
          </w:tcPr>
          <w:p w14:paraId="71EF9518" w14:textId="232734DB" w:rsidR="00A66703" w:rsidRPr="001D41EA" w:rsidRDefault="00A66703" w:rsidP="001D41EA">
            <w:pPr>
              <w:spacing w:before="40" w:after="40"/>
              <w:jc w:val="right"/>
              <w:rPr>
                <w:rFonts w:cs="Arial"/>
                <w:sz w:val="18"/>
                <w:szCs w:val="18"/>
              </w:rPr>
            </w:pPr>
            <w:r w:rsidRPr="001D41EA">
              <w:rPr>
                <w:rFonts w:cs="Arial"/>
                <w:sz w:val="18"/>
                <w:szCs w:val="18"/>
              </w:rPr>
              <w:t>-127,690</w:t>
            </w:r>
          </w:p>
        </w:tc>
      </w:tr>
      <w:tr w:rsidR="00A66703" w:rsidRPr="001D41EA" w14:paraId="3C9E5C4C"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6671953D" w14:textId="77777777" w:rsidR="00A66703" w:rsidRPr="001D41EA" w:rsidRDefault="00A66703" w:rsidP="001D41EA">
            <w:pPr>
              <w:spacing w:before="40" w:after="40"/>
              <w:rPr>
                <w:rFonts w:cs="Arial"/>
                <w:sz w:val="18"/>
                <w:szCs w:val="18"/>
              </w:rPr>
            </w:pPr>
            <w:r w:rsidRPr="001D41EA">
              <w:rPr>
                <w:rFonts w:cs="Arial"/>
                <w:sz w:val="18"/>
                <w:szCs w:val="18"/>
              </w:rPr>
              <w:t xml:space="preserve">Hepburn S </w:t>
            </w:r>
          </w:p>
        </w:tc>
        <w:tc>
          <w:tcPr>
            <w:tcW w:w="1418" w:type="dxa"/>
            <w:tcBorders>
              <w:top w:val="nil"/>
              <w:left w:val="single" w:sz="18" w:space="0" w:color="5F497A" w:themeColor="accent4" w:themeShade="BF"/>
              <w:bottom w:val="nil"/>
              <w:right w:val="nil"/>
            </w:tcBorders>
            <w:shd w:val="clear" w:color="auto" w:fill="auto"/>
            <w:vAlign w:val="bottom"/>
          </w:tcPr>
          <w:p w14:paraId="2E772705" w14:textId="32238D60" w:rsidR="00A66703" w:rsidRPr="001D41EA" w:rsidRDefault="00A66703" w:rsidP="001D41EA">
            <w:pPr>
              <w:spacing w:before="40" w:after="40"/>
              <w:jc w:val="right"/>
              <w:rPr>
                <w:rFonts w:cs="Arial"/>
                <w:sz w:val="18"/>
                <w:szCs w:val="18"/>
              </w:rPr>
            </w:pPr>
            <w:r w:rsidRPr="001D41EA">
              <w:rPr>
                <w:rFonts w:cs="Arial"/>
                <w:sz w:val="18"/>
                <w:szCs w:val="18"/>
              </w:rPr>
              <w:t>4,715,839</w:t>
            </w:r>
          </w:p>
        </w:tc>
        <w:tc>
          <w:tcPr>
            <w:tcW w:w="1418" w:type="dxa"/>
            <w:tcBorders>
              <w:top w:val="nil"/>
              <w:left w:val="nil"/>
              <w:bottom w:val="nil"/>
              <w:right w:val="nil"/>
            </w:tcBorders>
            <w:shd w:val="clear" w:color="auto" w:fill="auto"/>
            <w:vAlign w:val="bottom"/>
          </w:tcPr>
          <w:p w14:paraId="2C20A6D6" w14:textId="18F37139" w:rsidR="00A66703" w:rsidRPr="001D41EA" w:rsidRDefault="00A66703" w:rsidP="001D41EA">
            <w:pPr>
              <w:spacing w:before="40" w:after="40"/>
              <w:jc w:val="right"/>
              <w:rPr>
                <w:rFonts w:cs="Arial"/>
                <w:b/>
                <w:sz w:val="18"/>
                <w:szCs w:val="18"/>
              </w:rPr>
            </w:pPr>
            <w:r w:rsidRPr="001D41EA">
              <w:rPr>
                <w:rFonts w:cs="Arial"/>
                <w:b/>
                <w:sz w:val="18"/>
                <w:szCs w:val="18"/>
              </w:rPr>
              <w:t>4,668,912</w:t>
            </w:r>
          </w:p>
        </w:tc>
        <w:tc>
          <w:tcPr>
            <w:tcW w:w="1418" w:type="dxa"/>
            <w:tcBorders>
              <w:top w:val="nil"/>
              <w:left w:val="nil"/>
              <w:bottom w:val="nil"/>
              <w:right w:val="nil"/>
            </w:tcBorders>
            <w:shd w:val="clear" w:color="auto" w:fill="auto"/>
            <w:vAlign w:val="bottom"/>
          </w:tcPr>
          <w:p w14:paraId="7BAD262C" w14:textId="4E4B46E9" w:rsidR="00A66703" w:rsidRPr="001D41EA" w:rsidRDefault="00A66703" w:rsidP="001D41EA">
            <w:pPr>
              <w:spacing w:before="40" w:after="40"/>
              <w:jc w:val="right"/>
              <w:rPr>
                <w:rFonts w:cs="Arial"/>
                <w:sz w:val="18"/>
                <w:szCs w:val="18"/>
              </w:rPr>
            </w:pPr>
            <w:r w:rsidRPr="001D41EA">
              <w:rPr>
                <w:rFonts w:cs="Arial"/>
                <w:sz w:val="18"/>
                <w:szCs w:val="18"/>
              </w:rPr>
              <w:t>-46,927</w:t>
            </w:r>
          </w:p>
        </w:tc>
      </w:tr>
      <w:tr w:rsidR="00A66703" w:rsidRPr="001D41EA" w14:paraId="2592272A"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2247A242" w14:textId="77777777" w:rsidR="00A66703" w:rsidRPr="001D41EA" w:rsidRDefault="00A66703" w:rsidP="001D41EA">
            <w:pPr>
              <w:spacing w:before="40" w:after="40"/>
              <w:rPr>
                <w:rFonts w:cs="Arial"/>
                <w:sz w:val="18"/>
                <w:szCs w:val="18"/>
              </w:rPr>
            </w:pPr>
            <w:r w:rsidRPr="001D41EA">
              <w:rPr>
                <w:rFonts w:cs="Arial"/>
                <w:sz w:val="18"/>
                <w:szCs w:val="18"/>
              </w:rPr>
              <w:t xml:space="preserve">Hindmarsh S </w:t>
            </w:r>
          </w:p>
        </w:tc>
        <w:tc>
          <w:tcPr>
            <w:tcW w:w="1418" w:type="dxa"/>
            <w:tcBorders>
              <w:top w:val="nil"/>
              <w:left w:val="single" w:sz="18" w:space="0" w:color="5F497A" w:themeColor="accent4" w:themeShade="BF"/>
              <w:bottom w:val="nil"/>
              <w:right w:val="nil"/>
            </w:tcBorders>
            <w:shd w:val="clear" w:color="auto" w:fill="auto"/>
            <w:vAlign w:val="bottom"/>
          </w:tcPr>
          <w:p w14:paraId="31287EDE" w14:textId="38EC431E" w:rsidR="00A66703" w:rsidRPr="001D41EA" w:rsidRDefault="00A66703" w:rsidP="001D41EA">
            <w:pPr>
              <w:spacing w:before="40" w:after="40"/>
              <w:jc w:val="right"/>
              <w:rPr>
                <w:rFonts w:cs="Arial"/>
                <w:sz w:val="18"/>
                <w:szCs w:val="18"/>
              </w:rPr>
            </w:pPr>
            <w:r w:rsidRPr="001D41EA">
              <w:rPr>
                <w:rFonts w:cs="Arial"/>
                <w:sz w:val="18"/>
                <w:szCs w:val="18"/>
              </w:rPr>
              <w:t>4,543,728</w:t>
            </w:r>
          </w:p>
        </w:tc>
        <w:tc>
          <w:tcPr>
            <w:tcW w:w="1418" w:type="dxa"/>
            <w:tcBorders>
              <w:top w:val="nil"/>
              <w:left w:val="nil"/>
              <w:bottom w:val="nil"/>
              <w:right w:val="nil"/>
            </w:tcBorders>
            <w:shd w:val="clear" w:color="auto" w:fill="auto"/>
            <w:vAlign w:val="bottom"/>
          </w:tcPr>
          <w:p w14:paraId="7997C9A9" w14:textId="5AD7B402" w:rsidR="00A66703" w:rsidRPr="001D41EA" w:rsidRDefault="00A66703" w:rsidP="001D41EA">
            <w:pPr>
              <w:spacing w:before="40" w:after="40"/>
              <w:jc w:val="right"/>
              <w:rPr>
                <w:rFonts w:cs="Arial"/>
                <w:b/>
                <w:sz w:val="18"/>
                <w:szCs w:val="18"/>
              </w:rPr>
            </w:pPr>
            <w:r w:rsidRPr="001D41EA">
              <w:rPr>
                <w:rFonts w:cs="Arial"/>
                <w:b/>
                <w:sz w:val="18"/>
                <w:szCs w:val="18"/>
              </w:rPr>
              <w:t>4,499,194</w:t>
            </w:r>
          </w:p>
        </w:tc>
        <w:tc>
          <w:tcPr>
            <w:tcW w:w="1418" w:type="dxa"/>
            <w:tcBorders>
              <w:top w:val="nil"/>
              <w:left w:val="nil"/>
              <w:bottom w:val="nil"/>
              <w:right w:val="nil"/>
            </w:tcBorders>
            <w:shd w:val="clear" w:color="auto" w:fill="auto"/>
            <w:vAlign w:val="bottom"/>
          </w:tcPr>
          <w:p w14:paraId="4F204F61" w14:textId="20218FF6" w:rsidR="00A66703" w:rsidRPr="001D41EA" w:rsidRDefault="00A66703" w:rsidP="001D41EA">
            <w:pPr>
              <w:spacing w:before="40" w:after="40"/>
              <w:jc w:val="right"/>
              <w:rPr>
                <w:rFonts w:cs="Arial"/>
                <w:sz w:val="18"/>
                <w:szCs w:val="18"/>
              </w:rPr>
            </w:pPr>
            <w:r w:rsidRPr="001D41EA">
              <w:rPr>
                <w:rFonts w:cs="Arial"/>
                <w:sz w:val="18"/>
                <w:szCs w:val="18"/>
              </w:rPr>
              <w:t>-44,534</w:t>
            </w:r>
          </w:p>
        </w:tc>
      </w:tr>
      <w:tr w:rsidR="00A66703" w:rsidRPr="001D41EA" w14:paraId="6CC31614"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72F53173" w14:textId="77777777" w:rsidR="00A66703" w:rsidRPr="001D41EA" w:rsidRDefault="00A66703" w:rsidP="001D41EA">
            <w:pPr>
              <w:spacing w:before="40" w:after="40"/>
              <w:rPr>
                <w:rFonts w:cs="Arial"/>
                <w:sz w:val="18"/>
                <w:szCs w:val="18"/>
              </w:rPr>
            </w:pPr>
            <w:r w:rsidRPr="001D41EA">
              <w:rPr>
                <w:rFonts w:cs="Arial"/>
                <w:sz w:val="18"/>
                <w:szCs w:val="18"/>
              </w:rPr>
              <w:t xml:space="preserve">Hobsons Bay C </w:t>
            </w:r>
          </w:p>
        </w:tc>
        <w:tc>
          <w:tcPr>
            <w:tcW w:w="1418" w:type="dxa"/>
            <w:tcBorders>
              <w:top w:val="nil"/>
              <w:left w:val="single" w:sz="18" w:space="0" w:color="5F497A" w:themeColor="accent4" w:themeShade="BF"/>
              <w:bottom w:val="nil"/>
              <w:right w:val="nil"/>
            </w:tcBorders>
            <w:shd w:val="clear" w:color="auto" w:fill="auto"/>
            <w:vAlign w:val="bottom"/>
          </w:tcPr>
          <w:p w14:paraId="4376F5A6" w14:textId="429CA509" w:rsidR="00A66703" w:rsidRPr="001D41EA" w:rsidRDefault="00A66703" w:rsidP="001D41EA">
            <w:pPr>
              <w:spacing w:before="40" w:after="40"/>
              <w:jc w:val="right"/>
              <w:rPr>
                <w:rFonts w:cs="Arial"/>
                <w:sz w:val="18"/>
                <w:szCs w:val="18"/>
              </w:rPr>
            </w:pPr>
            <w:r w:rsidRPr="001D41EA">
              <w:rPr>
                <w:rFonts w:cs="Arial"/>
                <w:sz w:val="18"/>
                <w:szCs w:val="18"/>
              </w:rPr>
              <w:t>2,730,306</w:t>
            </w:r>
          </w:p>
        </w:tc>
        <w:tc>
          <w:tcPr>
            <w:tcW w:w="1418" w:type="dxa"/>
            <w:tcBorders>
              <w:top w:val="nil"/>
              <w:left w:val="nil"/>
              <w:bottom w:val="nil"/>
              <w:right w:val="nil"/>
            </w:tcBorders>
            <w:shd w:val="clear" w:color="auto" w:fill="auto"/>
            <w:vAlign w:val="bottom"/>
          </w:tcPr>
          <w:p w14:paraId="45BAB84C" w14:textId="0E742DDA" w:rsidR="00A66703" w:rsidRPr="001D41EA" w:rsidRDefault="00A66703" w:rsidP="001D41EA">
            <w:pPr>
              <w:spacing w:before="40" w:after="40"/>
              <w:jc w:val="right"/>
              <w:rPr>
                <w:rFonts w:cs="Arial"/>
                <w:b/>
                <w:sz w:val="18"/>
                <w:szCs w:val="18"/>
              </w:rPr>
            </w:pPr>
            <w:r w:rsidRPr="001D41EA">
              <w:rPr>
                <w:rFonts w:cs="Arial"/>
                <w:b/>
                <w:sz w:val="18"/>
                <w:szCs w:val="18"/>
              </w:rPr>
              <w:t>2,702,750</w:t>
            </w:r>
          </w:p>
        </w:tc>
        <w:tc>
          <w:tcPr>
            <w:tcW w:w="1418" w:type="dxa"/>
            <w:tcBorders>
              <w:top w:val="nil"/>
              <w:left w:val="nil"/>
              <w:bottom w:val="nil"/>
              <w:right w:val="nil"/>
            </w:tcBorders>
            <w:shd w:val="clear" w:color="auto" w:fill="auto"/>
            <w:vAlign w:val="bottom"/>
          </w:tcPr>
          <w:p w14:paraId="273D1108" w14:textId="1A0FC709" w:rsidR="00A66703" w:rsidRPr="001D41EA" w:rsidRDefault="00A66703" w:rsidP="001D41EA">
            <w:pPr>
              <w:spacing w:before="40" w:after="40"/>
              <w:jc w:val="right"/>
              <w:rPr>
                <w:rFonts w:cs="Arial"/>
                <w:sz w:val="18"/>
                <w:szCs w:val="18"/>
              </w:rPr>
            </w:pPr>
            <w:r w:rsidRPr="001D41EA">
              <w:rPr>
                <w:rFonts w:cs="Arial"/>
                <w:sz w:val="18"/>
                <w:szCs w:val="18"/>
              </w:rPr>
              <w:t>-27,556</w:t>
            </w:r>
          </w:p>
        </w:tc>
      </w:tr>
      <w:tr w:rsidR="00A66703" w:rsidRPr="001D41EA" w14:paraId="13C6E7C6"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1332E39F" w14:textId="77777777" w:rsidR="00A66703" w:rsidRPr="001D41EA" w:rsidRDefault="00A66703" w:rsidP="001D41EA">
            <w:pPr>
              <w:spacing w:before="40" w:after="40"/>
              <w:rPr>
                <w:rFonts w:cs="Arial"/>
                <w:sz w:val="18"/>
                <w:szCs w:val="18"/>
              </w:rPr>
            </w:pPr>
            <w:r w:rsidRPr="001D41EA">
              <w:rPr>
                <w:rFonts w:cs="Arial"/>
                <w:sz w:val="18"/>
                <w:szCs w:val="18"/>
              </w:rPr>
              <w:t xml:space="preserve">Horsham RC </w:t>
            </w:r>
          </w:p>
        </w:tc>
        <w:tc>
          <w:tcPr>
            <w:tcW w:w="1418" w:type="dxa"/>
            <w:tcBorders>
              <w:top w:val="nil"/>
              <w:left w:val="single" w:sz="18" w:space="0" w:color="5F497A" w:themeColor="accent4" w:themeShade="BF"/>
              <w:bottom w:val="nil"/>
              <w:right w:val="nil"/>
            </w:tcBorders>
            <w:shd w:val="clear" w:color="auto" w:fill="auto"/>
            <w:vAlign w:val="bottom"/>
          </w:tcPr>
          <w:p w14:paraId="22530309" w14:textId="6A5358A4" w:rsidR="00A66703" w:rsidRPr="001D41EA" w:rsidRDefault="00A66703" w:rsidP="001D41EA">
            <w:pPr>
              <w:spacing w:before="40" w:after="40"/>
              <w:jc w:val="right"/>
              <w:rPr>
                <w:rFonts w:cs="Arial"/>
                <w:sz w:val="18"/>
                <w:szCs w:val="18"/>
              </w:rPr>
            </w:pPr>
            <w:r w:rsidRPr="001D41EA">
              <w:rPr>
                <w:rFonts w:cs="Arial"/>
                <w:sz w:val="18"/>
                <w:szCs w:val="18"/>
              </w:rPr>
              <w:t>6,424,050</w:t>
            </w:r>
          </w:p>
        </w:tc>
        <w:tc>
          <w:tcPr>
            <w:tcW w:w="1418" w:type="dxa"/>
            <w:tcBorders>
              <w:top w:val="nil"/>
              <w:left w:val="nil"/>
              <w:bottom w:val="nil"/>
              <w:right w:val="nil"/>
            </w:tcBorders>
            <w:shd w:val="clear" w:color="auto" w:fill="auto"/>
            <w:vAlign w:val="bottom"/>
          </w:tcPr>
          <w:p w14:paraId="65A8338E" w14:textId="1A7C8A82" w:rsidR="00A66703" w:rsidRPr="001D41EA" w:rsidRDefault="00A66703" w:rsidP="001D41EA">
            <w:pPr>
              <w:spacing w:before="40" w:after="40"/>
              <w:jc w:val="right"/>
              <w:rPr>
                <w:rFonts w:cs="Arial"/>
                <w:b/>
                <w:sz w:val="18"/>
                <w:szCs w:val="18"/>
              </w:rPr>
            </w:pPr>
            <w:r w:rsidRPr="001D41EA">
              <w:rPr>
                <w:rFonts w:cs="Arial"/>
                <w:b/>
                <w:sz w:val="18"/>
                <w:szCs w:val="18"/>
              </w:rPr>
              <w:t>6,360,627</w:t>
            </w:r>
          </w:p>
        </w:tc>
        <w:tc>
          <w:tcPr>
            <w:tcW w:w="1418" w:type="dxa"/>
            <w:tcBorders>
              <w:top w:val="nil"/>
              <w:left w:val="nil"/>
              <w:bottom w:val="nil"/>
              <w:right w:val="nil"/>
            </w:tcBorders>
            <w:shd w:val="clear" w:color="auto" w:fill="auto"/>
            <w:vAlign w:val="bottom"/>
          </w:tcPr>
          <w:p w14:paraId="00CEACC6" w14:textId="36DA6B87" w:rsidR="00A66703" w:rsidRPr="001D41EA" w:rsidRDefault="00A66703" w:rsidP="001D41EA">
            <w:pPr>
              <w:spacing w:before="40" w:after="40"/>
              <w:jc w:val="right"/>
              <w:rPr>
                <w:rFonts w:cs="Arial"/>
                <w:sz w:val="18"/>
                <w:szCs w:val="18"/>
              </w:rPr>
            </w:pPr>
            <w:r w:rsidRPr="001D41EA">
              <w:rPr>
                <w:rFonts w:cs="Arial"/>
                <w:sz w:val="18"/>
                <w:szCs w:val="18"/>
              </w:rPr>
              <w:t>-63,423</w:t>
            </w:r>
          </w:p>
        </w:tc>
      </w:tr>
      <w:tr w:rsidR="00A66703" w:rsidRPr="001D41EA" w14:paraId="6B4D761A"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50B6411D" w14:textId="77777777" w:rsidR="00A66703" w:rsidRPr="001D41EA" w:rsidRDefault="00A66703" w:rsidP="001D41EA">
            <w:pPr>
              <w:spacing w:before="40" w:after="40"/>
              <w:rPr>
                <w:rFonts w:cs="Arial"/>
                <w:sz w:val="18"/>
                <w:szCs w:val="18"/>
              </w:rPr>
            </w:pPr>
            <w:r w:rsidRPr="001D41EA">
              <w:rPr>
                <w:rFonts w:cs="Arial"/>
                <w:sz w:val="18"/>
                <w:szCs w:val="18"/>
              </w:rPr>
              <w:t xml:space="preserve">Hume C </w:t>
            </w:r>
          </w:p>
        </w:tc>
        <w:tc>
          <w:tcPr>
            <w:tcW w:w="1418" w:type="dxa"/>
            <w:tcBorders>
              <w:top w:val="nil"/>
              <w:left w:val="single" w:sz="18" w:space="0" w:color="5F497A" w:themeColor="accent4" w:themeShade="BF"/>
              <w:bottom w:val="nil"/>
              <w:right w:val="nil"/>
            </w:tcBorders>
            <w:shd w:val="clear" w:color="auto" w:fill="auto"/>
            <w:vAlign w:val="bottom"/>
          </w:tcPr>
          <w:p w14:paraId="7AECE4FD" w14:textId="745BECC3" w:rsidR="00A66703" w:rsidRPr="001D41EA" w:rsidRDefault="00A66703" w:rsidP="001D41EA">
            <w:pPr>
              <w:spacing w:before="40" w:after="40"/>
              <w:jc w:val="right"/>
              <w:rPr>
                <w:rFonts w:cs="Arial"/>
                <w:sz w:val="18"/>
                <w:szCs w:val="18"/>
              </w:rPr>
            </w:pPr>
            <w:r w:rsidRPr="001D41EA">
              <w:rPr>
                <w:rFonts w:cs="Arial"/>
                <w:sz w:val="18"/>
                <w:szCs w:val="18"/>
              </w:rPr>
              <w:t>15,989,463</w:t>
            </w:r>
          </w:p>
        </w:tc>
        <w:tc>
          <w:tcPr>
            <w:tcW w:w="1418" w:type="dxa"/>
            <w:tcBorders>
              <w:top w:val="nil"/>
              <w:left w:val="nil"/>
              <w:bottom w:val="nil"/>
              <w:right w:val="nil"/>
            </w:tcBorders>
            <w:shd w:val="clear" w:color="auto" w:fill="auto"/>
            <w:vAlign w:val="bottom"/>
          </w:tcPr>
          <w:p w14:paraId="6D19B232" w14:textId="0596E310" w:rsidR="00A66703" w:rsidRPr="001D41EA" w:rsidRDefault="00A66703" w:rsidP="001D41EA">
            <w:pPr>
              <w:spacing w:before="40" w:after="40"/>
              <w:jc w:val="right"/>
              <w:rPr>
                <w:rFonts w:cs="Arial"/>
                <w:b/>
                <w:sz w:val="18"/>
                <w:szCs w:val="18"/>
              </w:rPr>
            </w:pPr>
            <w:r w:rsidRPr="001D41EA">
              <w:rPr>
                <w:rFonts w:cs="Arial"/>
                <w:b/>
                <w:sz w:val="18"/>
                <w:szCs w:val="18"/>
              </w:rPr>
              <w:t>15,822,655</w:t>
            </w:r>
          </w:p>
        </w:tc>
        <w:tc>
          <w:tcPr>
            <w:tcW w:w="1418" w:type="dxa"/>
            <w:tcBorders>
              <w:top w:val="nil"/>
              <w:left w:val="nil"/>
              <w:bottom w:val="nil"/>
              <w:right w:val="nil"/>
            </w:tcBorders>
            <w:shd w:val="clear" w:color="auto" w:fill="auto"/>
            <w:vAlign w:val="bottom"/>
          </w:tcPr>
          <w:p w14:paraId="0DD624C6" w14:textId="089197C9" w:rsidR="00A66703" w:rsidRPr="001D41EA" w:rsidRDefault="00A66703" w:rsidP="001D41EA">
            <w:pPr>
              <w:spacing w:before="40" w:after="40"/>
              <w:jc w:val="right"/>
              <w:rPr>
                <w:rFonts w:cs="Arial"/>
                <w:sz w:val="18"/>
                <w:szCs w:val="18"/>
              </w:rPr>
            </w:pPr>
            <w:r w:rsidRPr="001D41EA">
              <w:rPr>
                <w:rFonts w:cs="Arial"/>
                <w:sz w:val="18"/>
                <w:szCs w:val="18"/>
              </w:rPr>
              <w:t>-166,808</w:t>
            </w:r>
          </w:p>
        </w:tc>
      </w:tr>
      <w:tr w:rsidR="00A66703" w:rsidRPr="001D41EA" w14:paraId="227A3553"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15B8A9CD" w14:textId="77777777" w:rsidR="00A66703" w:rsidRPr="001D41EA" w:rsidRDefault="00A66703" w:rsidP="001D41EA">
            <w:pPr>
              <w:spacing w:before="40" w:after="40"/>
              <w:rPr>
                <w:rFonts w:cs="Arial"/>
                <w:sz w:val="18"/>
                <w:szCs w:val="18"/>
              </w:rPr>
            </w:pPr>
            <w:r w:rsidRPr="001D41EA">
              <w:rPr>
                <w:rFonts w:cs="Arial"/>
                <w:sz w:val="18"/>
                <w:szCs w:val="18"/>
              </w:rPr>
              <w:t xml:space="preserve">Indigo S </w:t>
            </w:r>
          </w:p>
        </w:tc>
        <w:tc>
          <w:tcPr>
            <w:tcW w:w="1418" w:type="dxa"/>
            <w:tcBorders>
              <w:top w:val="nil"/>
              <w:left w:val="single" w:sz="18" w:space="0" w:color="5F497A" w:themeColor="accent4" w:themeShade="BF"/>
              <w:bottom w:val="nil"/>
              <w:right w:val="nil"/>
            </w:tcBorders>
            <w:shd w:val="clear" w:color="auto" w:fill="auto"/>
            <w:vAlign w:val="bottom"/>
          </w:tcPr>
          <w:p w14:paraId="6856D5BE" w14:textId="5478AB9F" w:rsidR="00A66703" w:rsidRPr="001D41EA" w:rsidRDefault="00A66703" w:rsidP="001D41EA">
            <w:pPr>
              <w:spacing w:before="40" w:after="40"/>
              <w:jc w:val="right"/>
              <w:rPr>
                <w:rFonts w:cs="Arial"/>
                <w:sz w:val="18"/>
                <w:szCs w:val="18"/>
              </w:rPr>
            </w:pPr>
            <w:r w:rsidRPr="001D41EA">
              <w:rPr>
                <w:rFonts w:cs="Arial"/>
                <w:sz w:val="18"/>
                <w:szCs w:val="18"/>
              </w:rPr>
              <w:t>4,711,434</w:t>
            </w:r>
          </w:p>
        </w:tc>
        <w:tc>
          <w:tcPr>
            <w:tcW w:w="1418" w:type="dxa"/>
            <w:tcBorders>
              <w:top w:val="nil"/>
              <w:left w:val="nil"/>
              <w:bottom w:val="nil"/>
              <w:right w:val="nil"/>
            </w:tcBorders>
            <w:shd w:val="clear" w:color="auto" w:fill="auto"/>
            <w:vAlign w:val="bottom"/>
          </w:tcPr>
          <w:p w14:paraId="6652C3AC" w14:textId="345CD60B" w:rsidR="00A66703" w:rsidRPr="001D41EA" w:rsidRDefault="00A66703" w:rsidP="001D41EA">
            <w:pPr>
              <w:spacing w:before="40" w:after="40"/>
              <w:jc w:val="right"/>
              <w:rPr>
                <w:rFonts w:cs="Arial"/>
                <w:b/>
                <w:sz w:val="18"/>
                <w:szCs w:val="18"/>
              </w:rPr>
            </w:pPr>
            <w:r w:rsidRPr="001D41EA">
              <w:rPr>
                <w:rFonts w:cs="Arial"/>
                <w:b/>
                <w:sz w:val="18"/>
                <w:szCs w:val="18"/>
              </w:rPr>
              <w:t>4,665,016</w:t>
            </w:r>
          </w:p>
        </w:tc>
        <w:tc>
          <w:tcPr>
            <w:tcW w:w="1418" w:type="dxa"/>
            <w:tcBorders>
              <w:top w:val="nil"/>
              <w:left w:val="nil"/>
              <w:bottom w:val="nil"/>
              <w:right w:val="nil"/>
            </w:tcBorders>
            <w:shd w:val="clear" w:color="auto" w:fill="auto"/>
            <w:vAlign w:val="bottom"/>
          </w:tcPr>
          <w:p w14:paraId="10297BAC" w14:textId="688C3152" w:rsidR="00A66703" w:rsidRPr="001D41EA" w:rsidRDefault="00A66703" w:rsidP="001D41EA">
            <w:pPr>
              <w:spacing w:before="40" w:after="40"/>
              <w:jc w:val="right"/>
              <w:rPr>
                <w:rFonts w:cs="Arial"/>
                <w:sz w:val="18"/>
                <w:szCs w:val="18"/>
              </w:rPr>
            </w:pPr>
            <w:r w:rsidRPr="001D41EA">
              <w:rPr>
                <w:rFonts w:cs="Arial"/>
                <w:sz w:val="18"/>
                <w:szCs w:val="18"/>
              </w:rPr>
              <w:t>-46,418</w:t>
            </w:r>
          </w:p>
        </w:tc>
      </w:tr>
      <w:tr w:rsidR="00A66703" w:rsidRPr="001D41EA" w14:paraId="75A5A84E"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55C81B3" w14:textId="77777777" w:rsidR="00A66703" w:rsidRPr="001D41EA" w:rsidRDefault="00A66703" w:rsidP="001D41EA">
            <w:pPr>
              <w:spacing w:before="40" w:after="40"/>
              <w:rPr>
                <w:rFonts w:cs="Arial"/>
                <w:sz w:val="18"/>
                <w:szCs w:val="18"/>
              </w:rPr>
            </w:pPr>
            <w:r w:rsidRPr="001D41EA">
              <w:rPr>
                <w:rFonts w:cs="Arial"/>
                <w:sz w:val="18"/>
                <w:szCs w:val="18"/>
              </w:rPr>
              <w:t xml:space="preserve">Kingston C </w:t>
            </w:r>
          </w:p>
        </w:tc>
        <w:tc>
          <w:tcPr>
            <w:tcW w:w="1418" w:type="dxa"/>
            <w:tcBorders>
              <w:top w:val="nil"/>
              <w:left w:val="single" w:sz="18" w:space="0" w:color="5F497A" w:themeColor="accent4" w:themeShade="BF"/>
              <w:bottom w:val="nil"/>
              <w:right w:val="nil"/>
            </w:tcBorders>
            <w:shd w:val="clear" w:color="auto" w:fill="auto"/>
            <w:vAlign w:val="bottom"/>
          </w:tcPr>
          <w:p w14:paraId="08E893FC" w14:textId="654D0202" w:rsidR="00A66703" w:rsidRPr="001D41EA" w:rsidRDefault="00A66703" w:rsidP="001D41EA">
            <w:pPr>
              <w:spacing w:before="40" w:after="40"/>
              <w:jc w:val="right"/>
              <w:rPr>
                <w:rFonts w:cs="Arial"/>
                <w:sz w:val="18"/>
                <w:szCs w:val="18"/>
              </w:rPr>
            </w:pPr>
            <w:r w:rsidRPr="001D41EA">
              <w:rPr>
                <w:rFonts w:cs="Arial"/>
                <w:sz w:val="18"/>
                <w:szCs w:val="18"/>
              </w:rPr>
              <w:t>4,607,202</w:t>
            </w:r>
          </w:p>
        </w:tc>
        <w:tc>
          <w:tcPr>
            <w:tcW w:w="1418" w:type="dxa"/>
            <w:tcBorders>
              <w:top w:val="nil"/>
              <w:left w:val="nil"/>
              <w:bottom w:val="nil"/>
              <w:right w:val="nil"/>
            </w:tcBorders>
            <w:shd w:val="clear" w:color="auto" w:fill="auto"/>
            <w:vAlign w:val="bottom"/>
          </w:tcPr>
          <w:p w14:paraId="5D81E9DC" w14:textId="56530428" w:rsidR="00A66703" w:rsidRPr="001D41EA" w:rsidRDefault="00A66703" w:rsidP="001D41EA">
            <w:pPr>
              <w:spacing w:before="40" w:after="40"/>
              <w:jc w:val="right"/>
              <w:rPr>
                <w:rFonts w:cs="Arial"/>
                <w:b/>
                <w:sz w:val="18"/>
                <w:szCs w:val="18"/>
              </w:rPr>
            </w:pPr>
            <w:r w:rsidRPr="001D41EA">
              <w:rPr>
                <w:rFonts w:cs="Arial"/>
                <w:b/>
                <w:sz w:val="18"/>
                <w:szCs w:val="18"/>
              </w:rPr>
              <w:t>4,560,762</w:t>
            </w:r>
          </w:p>
        </w:tc>
        <w:tc>
          <w:tcPr>
            <w:tcW w:w="1418" w:type="dxa"/>
            <w:tcBorders>
              <w:top w:val="nil"/>
              <w:left w:val="nil"/>
              <w:bottom w:val="nil"/>
              <w:right w:val="nil"/>
            </w:tcBorders>
            <w:shd w:val="clear" w:color="auto" w:fill="auto"/>
            <w:vAlign w:val="bottom"/>
          </w:tcPr>
          <w:p w14:paraId="5BF5896B" w14:textId="49D34EEB" w:rsidR="00A66703" w:rsidRPr="001D41EA" w:rsidRDefault="00A66703" w:rsidP="001D41EA">
            <w:pPr>
              <w:spacing w:before="40" w:after="40"/>
              <w:jc w:val="right"/>
              <w:rPr>
                <w:rFonts w:cs="Arial"/>
                <w:sz w:val="18"/>
                <w:szCs w:val="18"/>
              </w:rPr>
            </w:pPr>
            <w:r w:rsidRPr="001D41EA">
              <w:rPr>
                <w:rFonts w:cs="Arial"/>
                <w:sz w:val="18"/>
                <w:szCs w:val="18"/>
              </w:rPr>
              <w:t>-46,440</w:t>
            </w:r>
          </w:p>
        </w:tc>
      </w:tr>
      <w:tr w:rsidR="00A66703" w:rsidRPr="001D41EA" w14:paraId="5AA70231"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6F36C1C0" w14:textId="77777777" w:rsidR="00A66703" w:rsidRPr="001D41EA" w:rsidRDefault="00A66703" w:rsidP="001D41EA">
            <w:pPr>
              <w:spacing w:before="40" w:after="40"/>
              <w:rPr>
                <w:rFonts w:cs="Arial"/>
                <w:sz w:val="18"/>
                <w:szCs w:val="18"/>
              </w:rPr>
            </w:pPr>
            <w:r w:rsidRPr="001D41EA">
              <w:rPr>
                <w:rFonts w:cs="Arial"/>
                <w:sz w:val="18"/>
                <w:szCs w:val="18"/>
              </w:rPr>
              <w:t xml:space="preserve">Knox C </w:t>
            </w:r>
          </w:p>
        </w:tc>
        <w:tc>
          <w:tcPr>
            <w:tcW w:w="1418" w:type="dxa"/>
            <w:tcBorders>
              <w:top w:val="nil"/>
              <w:left w:val="single" w:sz="18" w:space="0" w:color="5F497A" w:themeColor="accent4" w:themeShade="BF"/>
              <w:bottom w:val="nil"/>
              <w:right w:val="nil"/>
            </w:tcBorders>
            <w:shd w:val="clear" w:color="auto" w:fill="auto"/>
            <w:vAlign w:val="bottom"/>
          </w:tcPr>
          <w:p w14:paraId="22B3E80D" w14:textId="4A8765C9" w:rsidR="00A66703" w:rsidRPr="001D41EA" w:rsidRDefault="00A66703" w:rsidP="001D41EA">
            <w:pPr>
              <w:spacing w:before="40" w:after="40"/>
              <w:jc w:val="right"/>
              <w:rPr>
                <w:rFonts w:cs="Arial"/>
                <w:sz w:val="18"/>
                <w:szCs w:val="18"/>
              </w:rPr>
            </w:pPr>
            <w:r w:rsidRPr="001D41EA">
              <w:rPr>
                <w:rFonts w:cs="Arial"/>
                <w:sz w:val="18"/>
                <w:szCs w:val="18"/>
              </w:rPr>
              <w:t>7,517,912</w:t>
            </w:r>
          </w:p>
        </w:tc>
        <w:tc>
          <w:tcPr>
            <w:tcW w:w="1418" w:type="dxa"/>
            <w:tcBorders>
              <w:top w:val="nil"/>
              <w:left w:val="nil"/>
              <w:bottom w:val="nil"/>
              <w:right w:val="nil"/>
            </w:tcBorders>
            <w:shd w:val="clear" w:color="auto" w:fill="auto"/>
            <w:vAlign w:val="bottom"/>
          </w:tcPr>
          <w:p w14:paraId="6AD9F397" w14:textId="4758B6BF" w:rsidR="00A66703" w:rsidRPr="001D41EA" w:rsidRDefault="00A66703" w:rsidP="001D41EA">
            <w:pPr>
              <w:spacing w:before="40" w:after="40"/>
              <w:jc w:val="right"/>
              <w:rPr>
                <w:rFonts w:cs="Arial"/>
                <w:b/>
                <w:sz w:val="18"/>
                <w:szCs w:val="18"/>
              </w:rPr>
            </w:pPr>
            <w:r w:rsidRPr="001D41EA">
              <w:rPr>
                <w:rFonts w:cs="Arial"/>
                <w:b/>
                <w:sz w:val="18"/>
                <w:szCs w:val="18"/>
              </w:rPr>
              <w:t>7,439,352</w:t>
            </w:r>
          </w:p>
        </w:tc>
        <w:tc>
          <w:tcPr>
            <w:tcW w:w="1418" w:type="dxa"/>
            <w:tcBorders>
              <w:top w:val="nil"/>
              <w:left w:val="nil"/>
              <w:bottom w:val="nil"/>
              <w:right w:val="nil"/>
            </w:tcBorders>
            <w:shd w:val="clear" w:color="auto" w:fill="auto"/>
            <w:vAlign w:val="bottom"/>
          </w:tcPr>
          <w:p w14:paraId="4662E2E3" w14:textId="3167985A" w:rsidR="00A66703" w:rsidRPr="001D41EA" w:rsidRDefault="00A66703" w:rsidP="001D41EA">
            <w:pPr>
              <w:spacing w:before="40" w:after="40"/>
              <w:jc w:val="right"/>
              <w:rPr>
                <w:rFonts w:cs="Arial"/>
                <w:sz w:val="18"/>
                <w:szCs w:val="18"/>
              </w:rPr>
            </w:pPr>
            <w:r w:rsidRPr="001D41EA">
              <w:rPr>
                <w:rFonts w:cs="Arial"/>
                <w:sz w:val="18"/>
                <w:szCs w:val="18"/>
              </w:rPr>
              <w:t>-78,560</w:t>
            </w:r>
          </w:p>
        </w:tc>
      </w:tr>
      <w:tr w:rsidR="00A66703" w:rsidRPr="001D41EA" w14:paraId="50079CDD"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540C08F0" w14:textId="77777777" w:rsidR="00A66703" w:rsidRPr="001D41EA" w:rsidRDefault="00A66703" w:rsidP="001D41EA">
            <w:pPr>
              <w:spacing w:before="40" w:after="40"/>
              <w:rPr>
                <w:rFonts w:cs="Arial"/>
                <w:sz w:val="18"/>
                <w:szCs w:val="18"/>
              </w:rPr>
            </w:pPr>
            <w:r w:rsidRPr="001D41EA">
              <w:rPr>
                <w:rFonts w:cs="Arial"/>
                <w:sz w:val="18"/>
                <w:szCs w:val="18"/>
              </w:rPr>
              <w:t xml:space="preserve">Latrobe C </w:t>
            </w:r>
          </w:p>
        </w:tc>
        <w:tc>
          <w:tcPr>
            <w:tcW w:w="1418" w:type="dxa"/>
            <w:tcBorders>
              <w:top w:val="nil"/>
              <w:left w:val="single" w:sz="18" w:space="0" w:color="5F497A" w:themeColor="accent4" w:themeShade="BF"/>
              <w:bottom w:val="nil"/>
              <w:right w:val="nil"/>
            </w:tcBorders>
            <w:shd w:val="clear" w:color="auto" w:fill="auto"/>
            <w:vAlign w:val="bottom"/>
          </w:tcPr>
          <w:p w14:paraId="6CBFB1AE" w14:textId="6E4C7BCD" w:rsidR="00A66703" w:rsidRPr="001D41EA" w:rsidRDefault="00A66703" w:rsidP="001D41EA">
            <w:pPr>
              <w:spacing w:before="40" w:after="40"/>
              <w:jc w:val="right"/>
              <w:rPr>
                <w:rFonts w:cs="Arial"/>
                <w:sz w:val="18"/>
                <w:szCs w:val="18"/>
              </w:rPr>
            </w:pPr>
            <w:r w:rsidRPr="001D41EA">
              <w:rPr>
                <w:rFonts w:cs="Arial"/>
                <w:sz w:val="18"/>
                <w:szCs w:val="18"/>
              </w:rPr>
              <w:t>11,945,854</w:t>
            </w:r>
          </w:p>
        </w:tc>
        <w:tc>
          <w:tcPr>
            <w:tcW w:w="1418" w:type="dxa"/>
            <w:tcBorders>
              <w:top w:val="nil"/>
              <w:left w:val="nil"/>
              <w:bottom w:val="nil"/>
              <w:right w:val="nil"/>
            </w:tcBorders>
            <w:shd w:val="clear" w:color="auto" w:fill="auto"/>
            <w:vAlign w:val="bottom"/>
          </w:tcPr>
          <w:p w14:paraId="11105FE4" w14:textId="07364FC7" w:rsidR="00A66703" w:rsidRPr="001D41EA" w:rsidRDefault="00A66703" w:rsidP="001D41EA">
            <w:pPr>
              <w:spacing w:before="40" w:after="40"/>
              <w:jc w:val="right"/>
              <w:rPr>
                <w:rFonts w:cs="Arial"/>
                <w:b/>
                <w:sz w:val="18"/>
                <w:szCs w:val="18"/>
              </w:rPr>
            </w:pPr>
            <w:r w:rsidRPr="001D41EA">
              <w:rPr>
                <w:rFonts w:cs="Arial"/>
                <w:b/>
                <w:sz w:val="18"/>
                <w:szCs w:val="18"/>
              </w:rPr>
              <w:t>11,823,498</w:t>
            </w:r>
          </w:p>
        </w:tc>
        <w:tc>
          <w:tcPr>
            <w:tcW w:w="1418" w:type="dxa"/>
            <w:tcBorders>
              <w:top w:val="nil"/>
              <w:left w:val="nil"/>
              <w:bottom w:val="nil"/>
              <w:right w:val="nil"/>
            </w:tcBorders>
            <w:shd w:val="clear" w:color="auto" w:fill="auto"/>
            <w:vAlign w:val="bottom"/>
          </w:tcPr>
          <w:p w14:paraId="3C3B7516" w14:textId="499F32C6" w:rsidR="00A66703" w:rsidRPr="001D41EA" w:rsidRDefault="00A66703" w:rsidP="001D41EA">
            <w:pPr>
              <w:spacing w:before="40" w:after="40"/>
              <w:jc w:val="right"/>
              <w:rPr>
                <w:rFonts w:cs="Arial"/>
                <w:sz w:val="18"/>
                <w:szCs w:val="18"/>
              </w:rPr>
            </w:pPr>
            <w:r w:rsidRPr="001D41EA">
              <w:rPr>
                <w:rFonts w:cs="Arial"/>
                <w:sz w:val="18"/>
                <w:szCs w:val="18"/>
              </w:rPr>
              <w:t>-122,356</w:t>
            </w:r>
          </w:p>
        </w:tc>
      </w:tr>
      <w:tr w:rsidR="00A66703" w:rsidRPr="001D41EA" w14:paraId="6F9B11A3"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F19BC40" w14:textId="77777777" w:rsidR="00A66703" w:rsidRPr="001D41EA" w:rsidRDefault="00A66703" w:rsidP="001D41EA">
            <w:pPr>
              <w:spacing w:before="40" w:after="40"/>
              <w:rPr>
                <w:rFonts w:cs="Arial"/>
                <w:sz w:val="18"/>
                <w:szCs w:val="18"/>
              </w:rPr>
            </w:pPr>
            <w:r w:rsidRPr="001D41EA">
              <w:rPr>
                <w:rFonts w:cs="Arial"/>
                <w:sz w:val="18"/>
                <w:szCs w:val="18"/>
              </w:rPr>
              <w:t xml:space="preserve">Loddon S </w:t>
            </w:r>
          </w:p>
        </w:tc>
        <w:tc>
          <w:tcPr>
            <w:tcW w:w="1418" w:type="dxa"/>
            <w:tcBorders>
              <w:top w:val="nil"/>
              <w:left w:val="single" w:sz="18" w:space="0" w:color="5F497A" w:themeColor="accent4" w:themeShade="BF"/>
              <w:bottom w:val="nil"/>
              <w:right w:val="nil"/>
            </w:tcBorders>
            <w:shd w:val="clear" w:color="auto" w:fill="auto"/>
            <w:vAlign w:val="bottom"/>
          </w:tcPr>
          <w:p w14:paraId="2957C7A8" w14:textId="7B6BB995" w:rsidR="00A66703" w:rsidRPr="001D41EA" w:rsidRDefault="00A66703" w:rsidP="001D41EA">
            <w:pPr>
              <w:spacing w:before="40" w:after="40"/>
              <w:jc w:val="right"/>
              <w:rPr>
                <w:rFonts w:cs="Arial"/>
                <w:sz w:val="18"/>
                <w:szCs w:val="18"/>
              </w:rPr>
            </w:pPr>
            <w:r w:rsidRPr="001D41EA">
              <w:rPr>
                <w:rFonts w:cs="Arial"/>
                <w:sz w:val="18"/>
                <w:szCs w:val="18"/>
              </w:rPr>
              <w:t>8,841,175</w:t>
            </w:r>
          </w:p>
        </w:tc>
        <w:tc>
          <w:tcPr>
            <w:tcW w:w="1418" w:type="dxa"/>
            <w:tcBorders>
              <w:top w:val="nil"/>
              <w:left w:val="nil"/>
              <w:bottom w:val="nil"/>
              <w:right w:val="nil"/>
            </w:tcBorders>
            <w:shd w:val="clear" w:color="auto" w:fill="auto"/>
            <w:vAlign w:val="bottom"/>
          </w:tcPr>
          <w:p w14:paraId="27933ACB" w14:textId="6EBB794B" w:rsidR="00A66703" w:rsidRPr="001D41EA" w:rsidRDefault="00A66703" w:rsidP="001D41EA">
            <w:pPr>
              <w:spacing w:before="40" w:after="40"/>
              <w:jc w:val="right"/>
              <w:rPr>
                <w:rFonts w:cs="Arial"/>
                <w:b/>
                <w:sz w:val="18"/>
                <w:szCs w:val="18"/>
              </w:rPr>
            </w:pPr>
            <w:r w:rsidRPr="001D41EA">
              <w:rPr>
                <w:rFonts w:cs="Arial"/>
                <w:b/>
                <w:sz w:val="18"/>
                <w:szCs w:val="18"/>
              </w:rPr>
              <w:t>8,755,836</w:t>
            </w:r>
          </w:p>
        </w:tc>
        <w:tc>
          <w:tcPr>
            <w:tcW w:w="1418" w:type="dxa"/>
            <w:tcBorders>
              <w:top w:val="nil"/>
              <w:left w:val="nil"/>
              <w:bottom w:val="nil"/>
              <w:right w:val="nil"/>
            </w:tcBorders>
            <w:shd w:val="clear" w:color="auto" w:fill="auto"/>
            <w:vAlign w:val="bottom"/>
          </w:tcPr>
          <w:p w14:paraId="56435184" w14:textId="29292F4E" w:rsidR="00A66703" w:rsidRPr="001D41EA" w:rsidRDefault="00A66703" w:rsidP="001D41EA">
            <w:pPr>
              <w:spacing w:before="40" w:after="40"/>
              <w:jc w:val="right"/>
              <w:rPr>
                <w:rFonts w:cs="Arial"/>
                <w:sz w:val="18"/>
                <w:szCs w:val="18"/>
              </w:rPr>
            </w:pPr>
            <w:r w:rsidRPr="001D41EA">
              <w:rPr>
                <w:rFonts w:cs="Arial"/>
                <w:sz w:val="18"/>
                <w:szCs w:val="18"/>
              </w:rPr>
              <w:t>-85,339</w:t>
            </w:r>
          </w:p>
        </w:tc>
      </w:tr>
    </w:tbl>
    <w:p w14:paraId="2B008E81" w14:textId="77777777" w:rsidR="000726CB" w:rsidRPr="00A44829" w:rsidRDefault="000726CB" w:rsidP="00FF36E8">
      <w:pPr>
        <w:spacing w:before="40" w:after="20"/>
        <w:rPr>
          <w:rFonts w:cs="Arial"/>
          <w:sz w:val="18"/>
          <w:szCs w:val="18"/>
        </w:rPr>
      </w:pPr>
    </w:p>
    <w:p w14:paraId="4F67C11B" w14:textId="77777777" w:rsidR="004F2BFF" w:rsidRPr="00A44829" w:rsidRDefault="004F2BFF" w:rsidP="00FF36E8">
      <w:pPr>
        <w:spacing w:before="40" w:after="20"/>
        <w:rPr>
          <w:rFonts w:cs="Arial"/>
          <w:sz w:val="18"/>
          <w:szCs w:val="18"/>
        </w:rPr>
      </w:pPr>
    </w:p>
    <w:p w14:paraId="5A680545" w14:textId="77777777" w:rsidR="000726CB" w:rsidRPr="00A44829" w:rsidRDefault="000726CB" w:rsidP="00FF36E8">
      <w:pPr>
        <w:spacing w:before="40" w:after="20"/>
        <w:rPr>
          <w:rFonts w:cs="Arial"/>
          <w:sz w:val="18"/>
          <w:szCs w:val="18"/>
        </w:rPr>
      </w:pPr>
      <w:r w:rsidRPr="00A44829">
        <w:rPr>
          <w:rFonts w:cs="Arial"/>
          <w:sz w:val="18"/>
          <w:szCs w:val="18"/>
        </w:rPr>
        <w:br w:type="page"/>
      </w:r>
    </w:p>
    <w:p w14:paraId="639F0773" w14:textId="455AA0C4" w:rsidR="000726CB" w:rsidRPr="00A44829" w:rsidRDefault="00CE4507" w:rsidP="00C33713">
      <w:pPr>
        <w:pStyle w:val="VGC-Head10"/>
      </w:pPr>
      <w:r w:rsidRPr="00A44829">
        <w:lastRenderedPageBreak/>
        <w:t>Appendix 1</w:t>
      </w:r>
      <w:r w:rsidR="000726CB" w:rsidRPr="00A44829">
        <w:tab/>
      </w:r>
      <w:r w:rsidR="00EE4593" w:rsidRPr="00A44829">
        <w:t>2018-19</w:t>
      </w:r>
      <w:r w:rsidR="00A97ABE" w:rsidRPr="00A44829">
        <w:t xml:space="preserve"> </w:t>
      </w:r>
      <w:r w:rsidR="000726CB" w:rsidRPr="00A44829">
        <w:t xml:space="preserve">Final Grant Allocations </w:t>
      </w:r>
    </w:p>
    <w:p w14:paraId="66EDA962" w14:textId="77777777" w:rsidR="000726CB" w:rsidRPr="00A44829" w:rsidRDefault="000726CB" w:rsidP="008C1A28">
      <w:pPr>
        <w:pStyle w:val="VGC-Head2"/>
      </w:pPr>
    </w:p>
    <w:p w14:paraId="4687EFF0" w14:textId="77777777" w:rsidR="00BE3B95" w:rsidRPr="00A44829" w:rsidRDefault="00BE3B95"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4"/>
        <w:gridCol w:w="1134"/>
      </w:tblGrid>
      <w:tr w:rsidR="00475A74" w:rsidRPr="002A2397" w14:paraId="6619E9D2" w14:textId="77777777" w:rsidTr="00C60457">
        <w:trPr>
          <w:trHeight w:val="20"/>
          <w:tblHeader/>
        </w:trPr>
        <w:tc>
          <w:tcPr>
            <w:tcW w:w="2268" w:type="dxa"/>
            <w:tcBorders>
              <w:top w:val="nil"/>
              <w:left w:val="nil"/>
              <w:right w:val="single" w:sz="18" w:space="0" w:color="5F497A" w:themeColor="accent4" w:themeShade="BF"/>
            </w:tcBorders>
            <w:shd w:val="clear" w:color="auto" w:fill="auto"/>
            <w:vAlign w:val="bottom"/>
          </w:tcPr>
          <w:p w14:paraId="680CB422" w14:textId="77777777" w:rsidR="00475A74" w:rsidRPr="00A44829" w:rsidRDefault="00475A74" w:rsidP="008001AD">
            <w:pPr>
              <w:spacing w:before="40" w:after="20"/>
              <w:jc w:val="center"/>
              <w:rPr>
                <w:rFonts w:cs="Arial"/>
                <w:sz w:val="18"/>
                <w:szCs w:val="18"/>
              </w:rPr>
            </w:pPr>
          </w:p>
        </w:tc>
        <w:tc>
          <w:tcPr>
            <w:tcW w:w="3402" w:type="dxa"/>
            <w:gridSpan w:val="3"/>
            <w:tcBorders>
              <w:top w:val="nil"/>
              <w:left w:val="single" w:sz="18" w:space="0" w:color="5F497A" w:themeColor="accent4" w:themeShade="BF"/>
              <w:bottom w:val="single" w:sz="8" w:space="0" w:color="5F497A" w:themeColor="accent4" w:themeShade="BF"/>
              <w:right w:val="nil"/>
            </w:tcBorders>
            <w:shd w:val="clear" w:color="auto" w:fill="auto"/>
            <w:vAlign w:val="bottom"/>
          </w:tcPr>
          <w:p w14:paraId="4A677669" w14:textId="59709458" w:rsidR="00475A74" w:rsidRPr="002A2397" w:rsidRDefault="00475A74" w:rsidP="008001AD">
            <w:pPr>
              <w:spacing w:before="40" w:after="20"/>
              <w:jc w:val="center"/>
              <w:rPr>
                <w:rFonts w:cs="Arial"/>
                <w:b/>
                <w:sz w:val="18"/>
                <w:szCs w:val="18"/>
              </w:rPr>
            </w:pPr>
            <w:r w:rsidRPr="002A2397">
              <w:rPr>
                <w:rFonts w:cs="Arial"/>
                <w:b/>
                <w:sz w:val="18"/>
                <w:szCs w:val="18"/>
              </w:rPr>
              <w:t>General Purpose Grants</w:t>
            </w:r>
            <w:r w:rsidR="00057EFC" w:rsidRPr="002A2397">
              <w:rPr>
                <w:rFonts w:cs="Arial"/>
                <w:b/>
                <w:sz w:val="18"/>
                <w:szCs w:val="18"/>
              </w:rPr>
              <w:t xml:space="preserve"> </w:t>
            </w:r>
          </w:p>
        </w:tc>
        <w:tc>
          <w:tcPr>
            <w:tcW w:w="170" w:type="dxa"/>
            <w:vMerge w:val="restart"/>
            <w:tcBorders>
              <w:top w:val="nil"/>
              <w:left w:val="nil"/>
              <w:bottom w:val="single" w:sz="8" w:space="0" w:color="5F497A" w:themeColor="accent4" w:themeShade="BF"/>
              <w:right w:val="nil"/>
            </w:tcBorders>
            <w:shd w:val="clear" w:color="auto" w:fill="auto"/>
            <w:vAlign w:val="bottom"/>
          </w:tcPr>
          <w:p w14:paraId="7E366FDC" w14:textId="77777777" w:rsidR="00475A74" w:rsidRPr="002A2397" w:rsidRDefault="00475A74" w:rsidP="008001AD">
            <w:pPr>
              <w:spacing w:before="40" w:after="20"/>
              <w:jc w:val="center"/>
              <w:rPr>
                <w:rFonts w:cs="Arial"/>
                <w:b/>
                <w:sz w:val="18"/>
                <w:szCs w:val="18"/>
              </w:rPr>
            </w:pPr>
          </w:p>
        </w:tc>
        <w:tc>
          <w:tcPr>
            <w:tcW w:w="3402" w:type="dxa"/>
            <w:gridSpan w:val="3"/>
            <w:tcBorders>
              <w:top w:val="nil"/>
              <w:left w:val="nil"/>
              <w:bottom w:val="single" w:sz="8" w:space="0" w:color="5F497A" w:themeColor="accent4" w:themeShade="BF"/>
              <w:right w:val="nil"/>
            </w:tcBorders>
            <w:shd w:val="clear" w:color="auto" w:fill="auto"/>
            <w:vAlign w:val="bottom"/>
          </w:tcPr>
          <w:p w14:paraId="096E4356" w14:textId="3B0C3F0B" w:rsidR="00475A74" w:rsidRPr="002A2397" w:rsidRDefault="00475A74" w:rsidP="008001AD">
            <w:pPr>
              <w:spacing w:before="40" w:after="20"/>
              <w:jc w:val="center"/>
              <w:rPr>
                <w:rFonts w:cs="Arial"/>
                <w:b/>
                <w:sz w:val="18"/>
                <w:szCs w:val="18"/>
              </w:rPr>
            </w:pPr>
            <w:r w:rsidRPr="002A2397">
              <w:rPr>
                <w:rFonts w:cs="Arial"/>
                <w:b/>
                <w:sz w:val="18"/>
                <w:szCs w:val="18"/>
              </w:rPr>
              <w:t>Local Road</w:t>
            </w:r>
            <w:r w:rsidR="00C64712" w:rsidRPr="002A2397">
              <w:rPr>
                <w:rFonts w:cs="Arial"/>
                <w:b/>
                <w:sz w:val="18"/>
                <w:szCs w:val="18"/>
              </w:rPr>
              <w:t>s</w:t>
            </w:r>
            <w:r w:rsidRPr="002A2397">
              <w:rPr>
                <w:rFonts w:cs="Arial"/>
                <w:b/>
                <w:sz w:val="18"/>
                <w:szCs w:val="18"/>
              </w:rPr>
              <w:t xml:space="preserve"> </w:t>
            </w:r>
            <w:r w:rsidR="00057EFC" w:rsidRPr="002A2397">
              <w:rPr>
                <w:rFonts w:cs="Arial"/>
                <w:b/>
                <w:sz w:val="18"/>
                <w:szCs w:val="18"/>
              </w:rPr>
              <w:t xml:space="preserve">Grants </w:t>
            </w:r>
          </w:p>
        </w:tc>
      </w:tr>
      <w:tr w:rsidR="00475A74" w:rsidRPr="00A44829" w14:paraId="24CFF62B" w14:textId="77777777" w:rsidTr="00C60457">
        <w:trPr>
          <w:trHeight w:val="20"/>
          <w:tblHeader/>
        </w:trPr>
        <w:tc>
          <w:tcPr>
            <w:tcW w:w="2268" w:type="dxa"/>
            <w:tcBorders>
              <w:top w:val="nil"/>
              <w:left w:val="nil"/>
              <w:right w:val="single" w:sz="18" w:space="0" w:color="5F497A" w:themeColor="accent4" w:themeShade="BF"/>
            </w:tcBorders>
            <w:shd w:val="clear" w:color="auto" w:fill="auto"/>
            <w:vAlign w:val="bottom"/>
          </w:tcPr>
          <w:p w14:paraId="0B2C043E" w14:textId="77777777" w:rsidR="00475A74" w:rsidRPr="00A44829" w:rsidRDefault="00475A74" w:rsidP="008001AD">
            <w:pPr>
              <w:spacing w:before="40" w:after="20"/>
              <w:jc w:val="center"/>
              <w:rPr>
                <w:rFonts w:cs="Arial"/>
                <w:sz w:val="18"/>
                <w:szCs w:val="18"/>
              </w:rPr>
            </w:pP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32AB8807" w14:textId="77777777" w:rsidR="00475A74" w:rsidRPr="00A44829" w:rsidRDefault="00475A74" w:rsidP="008001AD">
            <w:pPr>
              <w:spacing w:before="40" w:after="20"/>
              <w:jc w:val="center"/>
              <w:rPr>
                <w:rFonts w:cs="Arial"/>
                <w:sz w:val="16"/>
                <w:szCs w:val="16"/>
              </w:rPr>
            </w:pPr>
            <w:r w:rsidRPr="00A44829">
              <w:rPr>
                <w:rFonts w:cs="Arial"/>
                <w:sz w:val="16"/>
                <w:szCs w:val="16"/>
              </w:rPr>
              <w:t xml:space="preserve">Initial </w:t>
            </w:r>
            <w:r w:rsidRPr="00A44829">
              <w:rPr>
                <w:rFonts w:cs="Arial"/>
                <w:sz w:val="16"/>
                <w:szCs w:val="16"/>
              </w:rPr>
              <w:br/>
              <w:t>($)</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798E55A6" w14:textId="77777777" w:rsidR="00475A74" w:rsidRPr="00A44829" w:rsidRDefault="00475A74" w:rsidP="008001AD">
            <w:pPr>
              <w:spacing w:before="40" w:after="20"/>
              <w:jc w:val="center"/>
              <w:rPr>
                <w:rFonts w:cs="Arial"/>
                <w:sz w:val="16"/>
                <w:szCs w:val="16"/>
              </w:rPr>
            </w:pPr>
            <w:r w:rsidRPr="00A44829">
              <w:rPr>
                <w:rFonts w:cs="Arial"/>
                <w:sz w:val="16"/>
                <w:szCs w:val="16"/>
              </w:rPr>
              <w:t xml:space="preserve">Final </w:t>
            </w:r>
            <w:r w:rsidRPr="00A44829">
              <w:rPr>
                <w:rFonts w:cs="Arial"/>
                <w:sz w:val="16"/>
                <w:szCs w:val="16"/>
              </w:rPr>
              <w:br/>
              <w:t>($)</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6478AABA" w14:textId="77777777" w:rsidR="00475A74" w:rsidRPr="00A44829" w:rsidRDefault="00475A74" w:rsidP="008001AD">
            <w:pPr>
              <w:spacing w:before="40" w:after="20"/>
              <w:jc w:val="center"/>
              <w:rPr>
                <w:rFonts w:cs="Arial"/>
                <w:sz w:val="16"/>
                <w:szCs w:val="16"/>
              </w:rPr>
            </w:pPr>
            <w:r w:rsidRPr="00A44829">
              <w:rPr>
                <w:rFonts w:cs="Arial"/>
                <w:sz w:val="16"/>
                <w:szCs w:val="16"/>
              </w:rPr>
              <w:t xml:space="preserve">Difference </w:t>
            </w:r>
            <w:r w:rsidRPr="00A44829">
              <w:rPr>
                <w:rFonts w:cs="Arial"/>
                <w:sz w:val="16"/>
                <w:szCs w:val="16"/>
              </w:rPr>
              <w:br/>
              <w:t>($)</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043A914B" w14:textId="77777777" w:rsidR="00475A74" w:rsidRPr="00A44829" w:rsidRDefault="00475A74" w:rsidP="008001AD">
            <w:pPr>
              <w:spacing w:before="40" w:after="20"/>
              <w:jc w:val="center"/>
              <w:rPr>
                <w:rFonts w:cs="Arial"/>
                <w:sz w:val="16"/>
                <w:szCs w:val="16"/>
              </w:rPr>
            </w:pP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5E4970D" w14:textId="77777777" w:rsidR="00475A74" w:rsidRPr="00A44829" w:rsidRDefault="00475A74" w:rsidP="008001AD">
            <w:pPr>
              <w:spacing w:before="40" w:after="20"/>
              <w:jc w:val="center"/>
              <w:rPr>
                <w:rFonts w:cs="Arial"/>
                <w:sz w:val="16"/>
                <w:szCs w:val="16"/>
              </w:rPr>
            </w:pPr>
            <w:r w:rsidRPr="00A44829">
              <w:rPr>
                <w:rFonts w:cs="Arial"/>
                <w:sz w:val="16"/>
                <w:szCs w:val="16"/>
              </w:rPr>
              <w:t xml:space="preserve">Initial </w:t>
            </w:r>
            <w:r w:rsidRPr="00A44829">
              <w:rPr>
                <w:rFonts w:cs="Arial"/>
                <w:sz w:val="16"/>
                <w:szCs w:val="16"/>
              </w:rPr>
              <w:br/>
              <w:t>($)</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3D83BF64" w14:textId="77777777" w:rsidR="00475A74" w:rsidRPr="00A44829" w:rsidRDefault="00475A74" w:rsidP="008001AD">
            <w:pPr>
              <w:spacing w:before="40" w:after="20"/>
              <w:jc w:val="center"/>
              <w:rPr>
                <w:rFonts w:cs="Arial"/>
                <w:sz w:val="16"/>
                <w:szCs w:val="16"/>
              </w:rPr>
            </w:pPr>
            <w:r w:rsidRPr="00A44829">
              <w:rPr>
                <w:rFonts w:cs="Arial"/>
                <w:sz w:val="16"/>
                <w:szCs w:val="16"/>
              </w:rPr>
              <w:t xml:space="preserve">Final </w:t>
            </w:r>
            <w:r w:rsidRPr="00A44829">
              <w:rPr>
                <w:rFonts w:cs="Arial"/>
                <w:sz w:val="16"/>
                <w:szCs w:val="16"/>
              </w:rPr>
              <w:br/>
              <w:t>($)</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025227DD" w14:textId="77777777" w:rsidR="00475A74" w:rsidRPr="00A44829" w:rsidRDefault="00475A74" w:rsidP="008001AD">
            <w:pPr>
              <w:spacing w:before="40" w:after="20"/>
              <w:jc w:val="center"/>
              <w:rPr>
                <w:rFonts w:cs="Arial"/>
                <w:sz w:val="16"/>
                <w:szCs w:val="16"/>
              </w:rPr>
            </w:pPr>
            <w:r w:rsidRPr="00A44829">
              <w:rPr>
                <w:rFonts w:cs="Arial"/>
                <w:sz w:val="16"/>
                <w:szCs w:val="16"/>
              </w:rPr>
              <w:t xml:space="preserve">Difference </w:t>
            </w:r>
            <w:r w:rsidRPr="00A44829">
              <w:rPr>
                <w:rFonts w:cs="Arial"/>
                <w:sz w:val="16"/>
                <w:szCs w:val="16"/>
              </w:rPr>
              <w:br/>
              <w:t>($)</w:t>
            </w:r>
          </w:p>
        </w:tc>
      </w:tr>
      <w:tr w:rsidR="00A66703" w:rsidRPr="001D41EA" w14:paraId="2F9F9D73" w14:textId="77777777" w:rsidTr="00A66703">
        <w:trPr>
          <w:trHeight w:val="20"/>
          <w:tblHeader/>
        </w:trPr>
        <w:tc>
          <w:tcPr>
            <w:tcW w:w="2268" w:type="dxa"/>
            <w:tcBorders>
              <w:left w:val="nil"/>
              <w:bottom w:val="nil"/>
              <w:right w:val="single" w:sz="18" w:space="0" w:color="5F497A" w:themeColor="accent4" w:themeShade="BF"/>
            </w:tcBorders>
            <w:shd w:val="clear" w:color="auto" w:fill="auto"/>
            <w:vAlign w:val="center"/>
          </w:tcPr>
          <w:p w14:paraId="5923A1E5" w14:textId="77777777" w:rsidR="00A66703" w:rsidRPr="001D41EA" w:rsidRDefault="00A66703" w:rsidP="001D41EA">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4706A99B" w14:textId="54F836E6" w:rsidR="00A66703" w:rsidRPr="001D41EA" w:rsidRDefault="00A66703" w:rsidP="001D41EA">
            <w:pPr>
              <w:spacing w:before="40" w:after="2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65A569DC" w14:textId="77777777" w:rsidR="00A66703" w:rsidRPr="001D41EA" w:rsidRDefault="00A66703" w:rsidP="001D41EA">
            <w:pPr>
              <w:spacing w:before="40" w:after="2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15DB12DD" w14:textId="6C95482E" w:rsidR="00A66703" w:rsidRPr="001D41EA" w:rsidRDefault="00A66703" w:rsidP="001D41EA">
            <w:pPr>
              <w:spacing w:before="40" w:after="20"/>
              <w:jc w:val="right"/>
              <w:rPr>
                <w:rFonts w:cs="Arial"/>
                <w:sz w:val="18"/>
                <w:szCs w:val="18"/>
              </w:rPr>
            </w:pPr>
          </w:p>
        </w:tc>
        <w:tc>
          <w:tcPr>
            <w:tcW w:w="170" w:type="dxa"/>
            <w:tcBorders>
              <w:top w:val="single" w:sz="8" w:space="0" w:color="5F497A" w:themeColor="accent4" w:themeShade="BF"/>
              <w:left w:val="nil"/>
              <w:bottom w:val="nil"/>
              <w:right w:val="nil"/>
            </w:tcBorders>
            <w:shd w:val="clear" w:color="auto" w:fill="auto"/>
            <w:vAlign w:val="bottom"/>
          </w:tcPr>
          <w:p w14:paraId="106F5805" w14:textId="77777777" w:rsidR="00A66703" w:rsidRPr="001D41EA" w:rsidRDefault="00A66703" w:rsidP="001D41EA">
            <w:pPr>
              <w:spacing w:before="40" w:after="2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1A905FFB" w14:textId="515EFD7B" w:rsidR="00A66703" w:rsidRPr="001D41EA" w:rsidRDefault="00A66703" w:rsidP="001D41EA">
            <w:pPr>
              <w:spacing w:before="40" w:after="2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2FBEE173" w14:textId="77777777" w:rsidR="00A66703" w:rsidRPr="001D41EA" w:rsidRDefault="00A66703" w:rsidP="001D41EA">
            <w:pPr>
              <w:spacing w:before="40" w:after="2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48DBB445" w14:textId="442F2F0D" w:rsidR="00A66703" w:rsidRPr="001D41EA" w:rsidRDefault="00A66703" w:rsidP="001D41EA">
            <w:pPr>
              <w:spacing w:before="40" w:after="20"/>
              <w:jc w:val="right"/>
              <w:rPr>
                <w:rFonts w:cs="Arial"/>
                <w:sz w:val="18"/>
                <w:szCs w:val="18"/>
              </w:rPr>
            </w:pPr>
            <w:r w:rsidRPr="001D41EA">
              <w:rPr>
                <w:rFonts w:cs="Arial"/>
                <w:sz w:val="18"/>
                <w:szCs w:val="18"/>
              </w:rPr>
              <w:t> </w:t>
            </w:r>
          </w:p>
        </w:tc>
      </w:tr>
      <w:tr w:rsidR="00A66703" w:rsidRPr="001D41EA" w14:paraId="6506144D"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19680B36" w14:textId="77777777" w:rsidR="00A66703" w:rsidRPr="001D41EA" w:rsidRDefault="00A66703" w:rsidP="001D41EA">
            <w:pPr>
              <w:spacing w:before="40" w:after="20"/>
              <w:rPr>
                <w:rFonts w:cs="Arial"/>
                <w:sz w:val="18"/>
                <w:szCs w:val="18"/>
              </w:rPr>
            </w:pPr>
            <w:r w:rsidRPr="001D41EA">
              <w:rPr>
                <w:rFonts w:cs="Arial"/>
                <w:sz w:val="18"/>
                <w:szCs w:val="18"/>
              </w:rPr>
              <w:t xml:space="preserve">Macedon Ranges S </w:t>
            </w:r>
          </w:p>
        </w:tc>
        <w:tc>
          <w:tcPr>
            <w:tcW w:w="1134" w:type="dxa"/>
            <w:tcBorders>
              <w:top w:val="nil"/>
              <w:left w:val="single" w:sz="18" w:space="0" w:color="5F497A" w:themeColor="accent4" w:themeShade="BF"/>
              <w:bottom w:val="nil"/>
              <w:right w:val="nil"/>
            </w:tcBorders>
            <w:shd w:val="clear" w:color="auto" w:fill="auto"/>
            <w:vAlign w:val="bottom"/>
          </w:tcPr>
          <w:p w14:paraId="4782E691" w14:textId="612CD79E" w:rsidR="00A66703" w:rsidRPr="001D41EA" w:rsidRDefault="00A66703" w:rsidP="001D41EA">
            <w:pPr>
              <w:spacing w:before="40" w:after="20"/>
              <w:jc w:val="right"/>
              <w:rPr>
                <w:rFonts w:cs="Arial"/>
                <w:sz w:val="18"/>
                <w:szCs w:val="18"/>
              </w:rPr>
            </w:pPr>
            <w:r w:rsidRPr="001D41EA">
              <w:rPr>
                <w:rFonts w:cs="Arial"/>
                <w:sz w:val="18"/>
                <w:szCs w:val="18"/>
              </w:rPr>
              <w:t>5,367,477</w:t>
            </w:r>
          </w:p>
        </w:tc>
        <w:tc>
          <w:tcPr>
            <w:tcW w:w="1134" w:type="dxa"/>
            <w:tcBorders>
              <w:top w:val="nil"/>
              <w:left w:val="nil"/>
              <w:bottom w:val="nil"/>
              <w:right w:val="nil"/>
            </w:tcBorders>
            <w:shd w:val="clear" w:color="auto" w:fill="auto"/>
            <w:vAlign w:val="bottom"/>
          </w:tcPr>
          <w:p w14:paraId="03D41B40" w14:textId="1058B6B2" w:rsidR="00A66703" w:rsidRPr="001D41EA" w:rsidRDefault="00A66703" w:rsidP="001D41EA">
            <w:pPr>
              <w:spacing w:before="40" w:after="20"/>
              <w:jc w:val="right"/>
              <w:rPr>
                <w:rFonts w:cs="Arial"/>
                <w:sz w:val="18"/>
                <w:szCs w:val="18"/>
              </w:rPr>
            </w:pPr>
            <w:r w:rsidRPr="001D41EA">
              <w:rPr>
                <w:rFonts w:cs="Arial"/>
                <w:sz w:val="18"/>
                <w:szCs w:val="18"/>
              </w:rPr>
              <w:t>5,308,972</w:t>
            </w:r>
          </w:p>
        </w:tc>
        <w:tc>
          <w:tcPr>
            <w:tcW w:w="1134" w:type="dxa"/>
            <w:tcBorders>
              <w:top w:val="nil"/>
              <w:left w:val="nil"/>
              <w:bottom w:val="nil"/>
              <w:right w:val="nil"/>
            </w:tcBorders>
            <w:shd w:val="clear" w:color="auto" w:fill="auto"/>
            <w:vAlign w:val="bottom"/>
          </w:tcPr>
          <w:p w14:paraId="7B26202B" w14:textId="36658C87" w:rsidR="00A66703" w:rsidRPr="001D41EA" w:rsidRDefault="00A66703" w:rsidP="001D41EA">
            <w:pPr>
              <w:spacing w:before="40" w:after="20"/>
              <w:jc w:val="right"/>
              <w:rPr>
                <w:rFonts w:cs="Arial"/>
                <w:sz w:val="18"/>
                <w:szCs w:val="18"/>
              </w:rPr>
            </w:pPr>
            <w:r w:rsidRPr="001D41EA">
              <w:rPr>
                <w:rFonts w:cs="Arial"/>
                <w:sz w:val="18"/>
                <w:szCs w:val="18"/>
              </w:rPr>
              <w:t>-58,505</w:t>
            </w:r>
          </w:p>
        </w:tc>
        <w:tc>
          <w:tcPr>
            <w:tcW w:w="170" w:type="dxa"/>
            <w:tcBorders>
              <w:top w:val="nil"/>
              <w:left w:val="nil"/>
              <w:bottom w:val="nil"/>
              <w:right w:val="nil"/>
            </w:tcBorders>
            <w:shd w:val="clear" w:color="auto" w:fill="auto"/>
            <w:vAlign w:val="bottom"/>
          </w:tcPr>
          <w:p w14:paraId="00ACFB20"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72AA484" w14:textId="70CCE3EB" w:rsidR="00A66703" w:rsidRPr="001D41EA" w:rsidRDefault="00A66703" w:rsidP="001D41EA">
            <w:pPr>
              <w:spacing w:before="40" w:after="20"/>
              <w:jc w:val="right"/>
              <w:rPr>
                <w:rFonts w:cs="Arial"/>
                <w:sz w:val="18"/>
                <w:szCs w:val="18"/>
              </w:rPr>
            </w:pPr>
            <w:r w:rsidRPr="001D41EA">
              <w:rPr>
                <w:rFonts w:cs="Arial"/>
                <w:sz w:val="18"/>
                <w:szCs w:val="18"/>
              </w:rPr>
              <w:t>2,206,632</w:t>
            </w:r>
          </w:p>
        </w:tc>
        <w:tc>
          <w:tcPr>
            <w:tcW w:w="1134" w:type="dxa"/>
            <w:tcBorders>
              <w:top w:val="nil"/>
              <w:left w:val="nil"/>
              <w:bottom w:val="nil"/>
              <w:right w:val="nil"/>
            </w:tcBorders>
            <w:shd w:val="clear" w:color="auto" w:fill="auto"/>
            <w:vAlign w:val="bottom"/>
          </w:tcPr>
          <w:p w14:paraId="09F5FDAD" w14:textId="7F509625" w:rsidR="00A66703" w:rsidRPr="001D41EA" w:rsidRDefault="00A66703" w:rsidP="001D41EA">
            <w:pPr>
              <w:spacing w:before="40" w:after="20"/>
              <w:jc w:val="right"/>
              <w:rPr>
                <w:rFonts w:cs="Arial"/>
                <w:sz w:val="18"/>
                <w:szCs w:val="18"/>
              </w:rPr>
            </w:pPr>
            <w:r w:rsidRPr="001D41EA">
              <w:rPr>
                <w:rFonts w:cs="Arial"/>
                <w:sz w:val="18"/>
                <w:szCs w:val="18"/>
              </w:rPr>
              <w:t>2,189,237</w:t>
            </w:r>
          </w:p>
        </w:tc>
        <w:tc>
          <w:tcPr>
            <w:tcW w:w="1134" w:type="dxa"/>
            <w:tcBorders>
              <w:top w:val="nil"/>
              <w:left w:val="nil"/>
              <w:bottom w:val="nil"/>
              <w:right w:val="nil"/>
            </w:tcBorders>
            <w:shd w:val="clear" w:color="auto" w:fill="auto"/>
            <w:vAlign w:val="bottom"/>
          </w:tcPr>
          <w:p w14:paraId="3D118AC9" w14:textId="519CF94F" w:rsidR="00A66703" w:rsidRPr="001D41EA" w:rsidRDefault="00A66703" w:rsidP="001D41EA">
            <w:pPr>
              <w:spacing w:before="40" w:after="20"/>
              <w:jc w:val="right"/>
              <w:rPr>
                <w:rFonts w:cs="Arial"/>
                <w:sz w:val="18"/>
                <w:szCs w:val="18"/>
              </w:rPr>
            </w:pPr>
            <w:r w:rsidRPr="001D41EA">
              <w:rPr>
                <w:rFonts w:cs="Arial"/>
                <w:sz w:val="18"/>
                <w:szCs w:val="18"/>
              </w:rPr>
              <w:t>-17,395</w:t>
            </w:r>
          </w:p>
        </w:tc>
      </w:tr>
      <w:tr w:rsidR="00A66703" w:rsidRPr="001D41EA" w14:paraId="669E633F"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3545B6E0" w14:textId="77777777" w:rsidR="00A66703" w:rsidRPr="001D41EA" w:rsidRDefault="00A66703" w:rsidP="001D41EA">
            <w:pPr>
              <w:spacing w:before="40" w:after="20"/>
              <w:rPr>
                <w:rFonts w:cs="Arial"/>
                <w:sz w:val="18"/>
                <w:szCs w:val="18"/>
              </w:rPr>
            </w:pPr>
            <w:r w:rsidRPr="001D41EA">
              <w:rPr>
                <w:rFonts w:cs="Arial"/>
                <w:sz w:val="18"/>
                <w:szCs w:val="18"/>
              </w:rPr>
              <w:t xml:space="preserve">Manningham C </w:t>
            </w:r>
          </w:p>
        </w:tc>
        <w:tc>
          <w:tcPr>
            <w:tcW w:w="1134" w:type="dxa"/>
            <w:tcBorders>
              <w:top w:val="nil"/>
              <w:left w:val="single" w:sz="18" w:space="0" w:color="5F497A" w:themeColor="accent4" w:themeShade="BF"/>
              <w:bottom w:val="nil"/>
              <w:right w:val="nil"/>
            </w:tcBorders>
            <w:shd w:val="clear" w:color="auto" w:fill="auto"/>
            <w:vAlign w:val="bottom"/>
          </w:tcPr>
          <w:p w14:paraId="4E856E3D" w14:textId="0E152CE2" w:rsidR="00A66703" w:rsidRPr="001D41EA" w:rsidRDefault="00A66703" w:rsidP="001D41EA">
            <w:pPr>
              <w:spacing w:before="40" w:after="20"/>
              <w:jc w:val="right"/>
              <w:rPr>
                <w:rFonts w:cs="Arial"/>
                <w:sz w:val="18"/>
                <w:szCs w:val="18"/>
              </w:rPr>
            </w:pPr>
            <w:r w:rsidRPr="001D41EA">
              <w:rPr>
                <w:rFonts w:cs="Arial"/>
                <w:sz w:val="18"/>
                <w:szCs w:val="18"/>
              </w:rPr>
              <w:t>2,593,153</w:t>
            </w:r>
          </w:p>
        </w:tc>
        <w:tc>
          <w:tcPr>
            <w:tcW w:w="1134" w:type="dxa"/>
            <w:tcBorders>
              <w:top w:val="nil"/>
              <w:left w:val="nil"/>
              <w:bottom w:val="nil"/>
              <w:right w:val="nil"/>
            </w:tcBorders>
            <w:shd w:val="clear" w:color="auto" w:fill="auto"/>
            <w:vAlign w:val="bottom"/>
          </w:tcPr>
          <w:p w14:paraId="6FE30335" w14:textId="5D67A421" w:rsidR="00A66703" w:rsidRPr="001D41EA" w:rsidRDefault="00A66703" w:rsidP="001D41EA">
            <w:pPr>
              <w:spacing w:before="40" w:after="20"/>
              <w:jc w:val="right"/>
              <w:rPr>
                <w:rFonts w:cs="Arial"/>
                <w:sz w:val="18"/>
                <w:szCs w:val="18"/>
              </w:rPr>
            </w:pPr>
            <w:r w:rsidRPr="001D41EA">
              <w:rPr>
                <w:rFonts w:cs="Arial"/>
                <w:sz w:val="18"/>
                <w:szCs w:val="18"/>
              </w:rPr>
              <w:t>2,564,888</w:t>
            </w:r>
          </w:p>
        </w:tc>
        <w:tc>
          <w:tcPr>
            <w:tcW w:w="1134" w:type="dxa"/>
            <w:tcBorders>
              <w:top w:val="nil"/>
              <w:left w:val="nil"/>
              <w:bottom w:val="nil"/>
              <w:right w:val="nil"/>
            </w:tcBorders>
            <w:shd w:val="clear" w:color="auto" w:fill="auto"/>
            <w:vAlign w:val="bottom"/>
          </w:tcPr>
          <w:p w14:paraId="72FEFB6A" w14:textId="6C107182" w:rsidR="00A66703" w:rsidRPr="001D41EA" w:rsidRDefault="00A66703" w:rsidP="001D41EA">
            <w:pPr>
              <w:spacing w:before="40" w:after="20"/>
              <w:jc w:val="right"/>
              <w:rPr>
                <w:rFonts w:cs="Arial"/>
                <w:sz w:val="18"/>
                <w:szCs w:val="18"/>
              </w:rPr>
            </w:pPr>
            <w:r w:rsidRPr="001D41EA">
              <w:rPr>
                <w:rFonts w:cs="Arial"/>
                <w:sz w:val="18"/>
                <w:szCs w:val="18"/>
              </w:rPr>
              <w:t>-28,265</w:t>
            </w:r>
          </w:p>
        </w:tc>
        <w:tc>
          <w:tcPr>
            <w:tcW w:w="170" w:type="dxa"/>
            <w:tcBorders>
              <w:top w:val="nil"/>
              <w:left w:val="nil"/>
              <w:bottom w:val="nil"/>
              <w:right w:val="nil"/>
            </w:tcBorders>
            <w:shd w:val="clear" w:color="auto" w:fill="auto"/>
            <w:vAlign w:val="bottom"/>
          </w:tcPr>
          <w:p w14:paraId="3B0018C1"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DC278B6" w14:textId="4DDF7B2B" w:rsidR="00A66703" w:rsidRPr="001D41EA" w:rsidRDefault="00A66703" w:rsidP="001D41EA">
            <w:pPr>
              <w:spacing w:before="40" w:after="20"/>
              <w:jc w:val="right"/>
              <w:rPr>
                <w:rFonts w:cs="Arial"/>
                <w:sz w:val="18"/>
                <w:szCs w:val="18"/>
              </w:rPr>
            </w:pPr>
            <w:r w:rsidRPr="001D41EA">
              <w:rPr>
                <w:rFonts w:cs="Arial"/>
                <w:sz w:val="18"/>
                <w:szCs w:val="18"/>
              </w:rPr>
              <w:t>821,284</w:t>
            </w:r>
          </w:p>
        </w:tc>
        <w:tc>
          <w:tcPr>
            <w:tcW w:w="1134" w:type="dxa"/>
            <w:tcBorders>
              <w:top w:val="nil"/>
              <w:left w:val="nil"/>
              <w:bottom w:val="nil"/>
              <w:right w:val="nil"/>
            </w:tcBorders>
            <w:shd w:val="clear" w:color="auto" w:fill="auto"/>
            <w:vAlign w:val="bottom"/>
          </w:tcPr>
          <w:p w14:paraId="789D945D" w14:textId="1184ECAD" w:rsidR="00A66703" w:rsidRPr="001D41EA" w:rsidRDefault="00A66703" w:rsidP="001D41EA">
            <w:pPr>
              <w:spacing w:before="40" w:after="20"/>
              <w:jc w:val="right"/>
              <w:rPr>
                <w:rFonts w:cs="Arial"/>
                <w:sz w:val="18"/>
                <w:szCs w:val="18"/>
              </w:rPr>
            </w:pPr>
            <w:r w:rsidRPr="001D41EA">
              <w:rPr>
                <w:rFonts w:cs="Arial"/>
                <w:sz w:val="18"/>
                <w:szCs w:val="18"/>
              </w:rPr>
              <w:t>814,810</w:t>
            </w:r>
          </w:p>
        </w:tc>
        <w:tc>
          <w:tcPr>
            <w:tcW w:w="1134" w:type="dxa"/>
            <w:tcBorders>
              <w:top w:val="nil"/>
              <w:left w:val="nil"/>
              <w:bottom w:val="nil"/>
              <w:right w:val="nil"/>
            </w:tcBorders>
            <w:shd w:val="clear" w:color="auto" w:fill="auto"/>
            <w:vAlign w:val="bottom"/>
          </w:tcPr>
          <w:p w14:paraId="5051A11B" w14:textId="33786A56" w:rsidR="00A66703" w:rsidRPr="001D41EA" w:rsidRDefault="00A66703" w:rsidP="001D41EA">
            <w:pPr>
              <w:spacing w:before="40" w:after="20"/>
              <w:jc w:val="right"/>
              <w:rPr>
                <w:rFonts w:cs="Arial"/>
                <w:sz w:val="18"/>
                <w:szCs w:val="18"/>
              </w:rPr>
            </w:pPr>
            <w:r w:rsidRPr="001D41EA">
              <w:rPr>
                <w:rFonts w:cs="Arial"/>
                <w:sz w:val="18"/>
                <w:szCs w:val="18"/>
              </w:rPr>
              <w:t>-6,474</w:t>
            </w:r>
          </w:p>
        </w:tc>
      </w:tr>
      <w:tr w:rsidR="00A66703" w:rsidRPr="001D41EA" w14:paraId="22877389"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65524AF1" w14:textId="77777777" w:rsidR="00A66703" w:rsidRPr="001D41EA" w:rsidRDefault="00A66703" w:rsidP="001D41EA">
            <w:pPr>
              <w:spacing w:before="40" w:after="20"/>
              <w:rPr>
                <w:rFonts w:cs="Arial"/>
                <w:sz w:val="18"/>
                <w:szCs w:val="18"/>
              </w:rPr>
            </w:pPr>
            <w:r w:rsidRPr="001D41EA">
              <w:rPr>
                <w:rFonts w:cs="Arial"/>
                <w:sz w:val="18"/>
                <w:szCs w:val="18"/>
              </w:rPr>
              <w:t xml:space="preserve">Mansfield S </w:t>
            </w:r>
          </w:p>
        </w:tc>
        <w:tc>
          <w:tcPr>
            <w:tcW w:w="1134" w:type="dxa"/>
            <w:tcBorders>
              <w:top w:val="nil"/>
              <w:left w:val="single" w:sz="18" w:space="0" w:color="5F497A" w:themeColor="accent4" w:themeShade="BF"/>
              <w:bottom w:val="nil"/>
              <w:right w:val="nil"/>
            </w:tcBorders>
            <w:shd w:val="clear" w:color="auto" w:fill="auto"/>
            <w:vAlign w:val="bottom"/>
          </w:tcPr>
          <w:p w14:paraId="2111DE56" w14:textId="2D9435A4" w:rsidR="00A66703" w:rsidRPr="001D41EA" w:rsidRDefault="00A66703" w:rsidP="001D41EA">
            <w:pPr>
              <w:spacing w:before="40" w:after="20"/>
              <w:jc w:val="right"/>
              <w:rPr>
                <w:rFonts w:cs="Arial"/>
                <w:sz w:val="18"/>
                <w:szCs w:val="18"/>
              </w:rPr>
            </w:pPr>
            <w:r w:rsidRPr="001D41EA">
              <w:rPr>
                <w:rFonts w:cs="Arial"/>
                <w:sz w:val="18"/>
                <w:szCs w:val="18"/>
              </w:rPr>
              <w:t>1,940,408</w:t>
            </w:r>
          </w:p>
        </w:tc>
        <w:tc>
          <w:tcPr>
            <w:tcW w:w="1134" w:type="dxa"/>
            <w:tcBorders>
              <w:top w:val="nil"/>
              <w:left w:val="nil"/>
              <w:bottom w:val="nil"/>
              <w:right w:val="nil"/>
            </w:tcBorders>
            <w:shd w:val="clear" w:color="auto" w:fill="auto"/>
            <w:vAlign w:val="bottom"/>
          </w:tcPr>
          <w:p w14:paraId="458B5A77" w14:textId="29DAAA99" w:rsidR="00A66703" w:rsidRPr="001D41EA" w:rsidRDefault="00A66703" w:rsidP="001D41EA">
            <w:pPr>
              <w:spacing w:before="40" w:after="20"/>
              <w:jc w:val="right"/>
              <w:rPr>
                <w:rFonts w:cs="Arial"/>
                <w:sz w:val="18"/>
                <w:szCs w:val="18"/>
              </w:rPr>
            </w:pPr>
            <w:r w:rsidRPr="001D41EA">
              <w:rPr>
                <w:rFonts w:cs="Arial"/>
                <w:sz w:val="18"/>
                <w:szCs w:val="18"/>
              </w:rPr>
              <w:t>1,919,258</w:t>
            </w:r>
          </w:p>
        </w:tc>
        <w:tc>
          <w:tcPr>
            <w:tcW w:w="1134" w:type="dxa"/>
            <w:tcBorders>
              <w:top w:val="nil"/>
              <w:left w:val="nil"/>
              <w:bottom w:val="nil"/>
              <w:right w:val="nil"/>
            </w:tcBorders>
            <w:shd w:val="clear" w:color="auto" w:fill="auto"/>
            <w:vAlign w:val="bottom"/>
          </w:tcPr>
          <w:p w14:paraId="0E1A5D2D" w14:textId="44CF7723" w:rsidR="00A66703" w:rsidRPr="001D41EA" w:rsidRDefault="00A66703" w:rsidP="001D41EA">
            <w:pPr>
              <w:spacing w:before="40" w:after="20"/>
              <w:jc w:val="right"/>
              <w:rPr>
                <w:rFonts w:cs="Arial"/>
                <w:sz w:val="18"/>
                <w:szCs w:val="18"/>
              </w:rPr>
            </w:pPr>
            <w:r w:rsidRPr="001D41EA">
              <w:rPr>
                <w:rFonts w:cs="Arial"/>
                <w:sz w:val="18"/>
                <w:szCs w:val="18"/>
              </w:rPr>
              <w:t>-21,150</w:t>
            </w:r>
          </w:p>
        </w:tc>
        <w:tc>
          <w:tcPr>
            <w:tcW w:w="170" w:type="dxa"/>
            <w:tcBorders>
              <w:top w:val="nil"/>
              <w:left w:val="nil"/>
              <w:bottom w:val="nil"/>
              <w:right w:val="nil"/>
            </w:tcBorders>
            <w:shd w:val="clear" w:color="auto" w:fill="auto"/>
            <w:vAlign w:val="bottom"/>
          </w:tcPr>
          <w:p w14:paraId="247547F0"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2558BB1" w14:textId="661A6576" w:rsidR="00A66703" w:rsidRPr="001D41EA" w:rsidRDefault="00A66703" w:rsidP="001D41EA">
            <w:pPr>
              <w:spacing w:before="40" w:after="20"/>
              <w:jc w:val="right"/>
              <w:rPr>
                <w:rFonts w:cs="Arial"/>
                <w:sz w:val="18"/>
                <w:szCs w:val="18"/>
              </w:rPr>
            </w:pPr>
            <w:r w:rsidRPr="001D41EA">
              <w:rPr>
                <w:rFonts w:cs="Arial"/>
                <w:sz w:val="18"/>
                <w:szCs w:val="18"/>
              </w:rPr>
              <w:t>905,785</w:t>
            </w:r>
          </w:p>
        </w:tc>
        <w:tc>
          <w:tcPr>
            <w:tcW w:w="1134" w:type="dxa"/>
            <w:tcBorders>
              <w:top w:val="nil"/>
              <w:left w:val="nil"/>
              <w:bottom w:val="nil"/>
              <w:right w:val="nil"/>
            </w:tcBorders>
            <w:shd w:val="clear" w:color="auto" w:fill="auto"/>
            <w:vAlign w:val="bottom"/>
          </w:tcPr>
          <w:p w14:paraId="66DCE668" w14:textId="1DB3415A" w:rsidR="00A66703" w:rsidRPr="001D41EA" w:rsidRDefault="00A66703" w:rsidP="001D41EA">
            <w:pPr>
              <w:spacing w:before="40" w:after="20"/>
              <w:jc w:val="right"/>
              <w:rPr>
                <w:rFonts w:cs="Arial"/>
                <w:sz w:val="18"/>
                <w:szCs w:val="18"/>
              </w:rPr>
            </w:pPr>
            <w:r w:rsidRPr="001D41EA">
              <w:rPr>
                <w:rFonts w:cs="Arial"/>
                <w:sz w:val="18"/>
                <w:szCs w:val="18"/>
              </w:rPr>
              <w:t>898,645</w:t>
            </w:r>
          </w:p>
        </w:tc>
        <w:tc>
          <w:tcPr>
            <w:tcW w:w="1134" w:type="dxa"/>
            <w:tcBorders>
              <w:top w:val="nil"/>
              <w:left w:val="nil"/>
              <w:bottom w:val="nil"/>
              <w:right w:val="nil"/>
            </w:tcBorders>
            <w:shd w:val="clear" w:color="auto" w:fill="auto"/>
            <w:vAlign w:val="bottom"/>
          </w:tcPr>
          <w:p w14:paraId="43800D35" w14:textId="00DED93D" w:rsidR="00A66703" w:rsidRPr="001D41EA" w:rsidRDefault="00A66703" w:rsidP="001D41EA">
            <w:pPr>
              <w:spacing w:before="40" w:after="20"/>
              <w:jc w:val="right"/>
              <w:rPr>
                <w:rFonts w:cs="Arial"/>
                <w:sz w:val="18"/>
                <w:szCs w:val="18"/>
              </w:rPr>
            </w:pPr>
            <w:r w:rsidRPr="001D41EA">
              <w:rPr>
                <w:rFonts w:cs="Arial"/>
                <w:sz w:val="18"/>
                <w:szCs w:val="18"/>
              </w:rPr>
              <w:t>-7,140</w:t>
            </w:r>
          </w:p>
        </w:tc>
      </w:tr>
      <w:tr w:rsidR="00A66703" w:rsidRPr="001D41EA" w14:paraId="264CDF89"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41681AF9" w14:textId="77777777" w:rsidR="00A66703" w:rsidRPr="001D41EA" w:rsidRDefault="00A66703" w:rsidP="001D41EA">
            <w:pPr>
              <w:spacing w:before="40" w:after="20"/>
              <w:rPr>
                <w:rFonts w:cs="Arial"/>
                <w:sz w:val="18"/>
                <w:szCs w:val="18"/>
              </w:rPr>
            </w:pPr>
            <w:r w:rsidRPr="001D41EA">
              <w:rPr>
                <w:rFonts w:cs="Arial"/>
                <w:sz w:val="18"/>
                <w:szCs w:val="18"/>
              </w:rPr>
              <w:t xml:space="preserve">Maribyrnong C </w:t>
            </w:r>
          </w:p>
        </w:tc>
        <w:tc>
          <w:tcPr>
            <w:tcW w:w="1134" w:type="dxa"/>
            <w:tcBorders>
              <w:top w:val="nil"/>
              <w:left w:val="single" w:sz="18" w:space="0" w:color="5F497A" w:themeColor="accent4" w:themeShade="BF"/>
              <w:bottom w:val="nil"/>
              <w:right w:val="nil"/>
            </w:tcBorders>
            <w:shd w:val="clear" w:color="auto" w:fill="auto"/>
            <w:vAlign w:val="bottom"/>
          </w:tcPr>
          <w:p w14:paraId="51DF91E1" w14:textId="0040ADD7" w:rsidR="00A66703" w:rsidRPr="001D41EA" w:rsidRDefault="00A66703" w:rsidP="001D41EA">
            <w:pPr>
              <w:spacing w:before="40" w:after="20"/>
              <w:jc w:val="right"/>
              <w:rPr>
                <w:rFonts w:cs="Arial"/>
                <w:sz w:val="18"/>
                <w:szCs w:val="18"/>
              </w:rPr>
            </w:pPr>
            <w:r w:rsidRPr="001D41EA">
              <w:rPr>
                <w:rFonts w:cs="Arial"/>
                <w:sz w:val="18"/>
                <w:szCs w:val="18"/>
              </w:rPr>
              <w:t>2,221,566</w:t>
            </w:r>
          </w:p>
        </w:tc>
        <w:tc>
          <w:tcPr>
            <w:tcW w:w="1134" w:type="dxa"/>
            <w:tcBorders>
              <w:top w:val="nil"/>
              <w:left w:val="nil"/>
              <w:bottom w:val="nil"/>
              <w:right w:val="nil"/>
            </w:tcBorders>
            <w:shd w:val="clear" w:color="auto" w:fill="auto"/>
            <w:vAlign w:val="bottom"/>
          </w:tcPr>
          <w:p w14:paraId="08EC5343" w14:textId="4C59B8D1" w:rsidR="00A66703" w:rsidRPr="001D41EA" w:rsidRDefault="00A66703" w:rsidP="001D41EA">
            <w:pPr>
              <w:spacing w:before="40" w:after="20"/>
              <w:jc w:val="right"/>
              <w:rPr>
                <w:rFonts w:cs="Arial"/>
                <w:sz w:val="18"/>
                <w:szCs w:val="18"/>
              </w:rPr>
            </w:pPr>
            <w:r w:rsidRPr="001D41EA">
              <w:rPr>
                <w:rFonts w:cs="Arial"/>
                <w:sz w:val="18"/>
                <w:szCs w:val="18"/>
              </w:rPr>
              <w:t>2,197,351</w:t>
            </w:r>
          </w:p>
        </w:tc>
        <w:tc>
          <w:tcPr>
            <w:tcW w:w="1134" w:type="dxa"/>
            <w:tcBorders>
              <w:top w:val="nil"/>
              <w:left w:val="nil"/>
              <w:bottom w:val="nil"/>
              <w:right w:val="nil"/>
            </w:tcBorders>
            <w:shd w:val="clear" w:color="auto" w:fill="auto"/>
            <w:vAlign w:val="bottom"/>
          </w:tcPr>
          <w:p w14:paraId="6D42E1BE" w14:textId="2914199B" w:rsidR="00A66703" w:rsidRPr="001D41EA" w:rsidRDefault="00A66703" w:rsidP="001D41EA">
            <w:pPr>
              <w:spacing w:before="40" w:after="20"/>
              <w:jc w:val="right"/>
              <w:rPr>
                <w:rFonts w:cs="Arial"/>
                <w:sz w:val="18"/>
                <w:szCs w:val="18"/>
              </w:rPr>
            </w:pPr>
            <w:r w:rsidRPr="001D41EA">
              <w:rPr>
                <w:rFonts w:cs="Arial"/>
                <w:sz w:val="18"/>
                <w:szCs w:val="18"/>
              </w:rPr>
              <w:t>-24,215</w:t>
            </w:r>
          </w:p>
        </w:tc>
        <w:tc>
          <w:tcPr>
            <w:tcW w:w="170" w:type="dxa"/>
            <w:tcBorders>
              <w:top w:val="nil"/>
              <w:left w:val="nil"/>
              <w:bottom w:val="nil"/>
              <w:right w:val="nil"/>
            </w:tcBorders>
            <w:shd w:val="clear" w:color="auto" w:fill="auto"/>
            <w:vAlign w:val="bottom"/>
          </w:tcPr>
          <w:p w14:paraId="39DB1CE7"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5F08C88" w14:textId="03271E10" w:rsidR="00A66703" w:rsidRPr="001D41EA" w:rsidRDefault="00A66703" w:rsidP="001D41EA">
            <w:pPr>
              <w:spacing w:before="40" w:after="20"/>
              <w:jc w:val="right"/>
              <w:rPr>
                <w:rFonts w:cs="Arial"/>
                <w:sz w:val="18"/>
                <w:szCs w:val="18"/>
              </w:rPr>
            </w:pPr>
            <w:r w:rsidRPr="001D41EA">
              <w:rPr>
                <w:rFonts w:cs="Arial"/>
                <w:sz w:val="18"/>
                <w:szCs w:val="18"/>
              </w:rPr>
              <w:t>548,035</w:t>
            </w:r>
          </w:p>
        </w:tc>
        <w:tc>
          <w:tcPr>
            <w:tcW w:w="1134" w:type="dxa"/>
            <w:tcBorders>
              <w:top w:val="nil"/>
              <w:left w:val="nil"/>
              <w:bottom w:val="nil"/>
              <w:right w:val="nil"/>
            </w:tcBorders>
            <w:shd w:val="clear" w:color="auto" w:fill="auto"/>
            <w:vAlign w:val="bottom"/>
          </w:tcPr>
          <w:p w14:paraId="184C033E" w14:textId="0EB8FB9F" w:rsidR="00A66703" w:rsidRPr="001D41EA" w:rsidRDefault="00A66703" w:rsidP="001D41EA">
            <w:pPr>
              <w:spacing w:before="40" w:after="20"/>
              <w:jc w:val="right"/>
              <w:rPr>
                <w:rFonts w:cs="Arial"/>
                <w:sz w:val="18"/>
                <w:szCs w:val="18"/>
              </w:rPr>
            </w:pPr>
            <w:r w:rsidRPr="001D41EA">
              <w:rPr>
                <w:rFonts w:cs="Arial"/>
                <w:sz w:val="18"/>
                <w:szCs w:val="18"/>
              </w:rPr>
              <w:t>543,715</w:t>
            </w:r>
          </w:p>
        </w:tc>
        <w:tc>
          <w:tcPr>
            <w:tcW w:w="1134" w:type="dxa"/>
            <w:tcBorders>
              <w:top w:val="nil"/>
              <w:left w:val="nil"/>
              <w:bottom w:val="nil"/>
              <w:right w:val="nil"/>
            </w:tcBorders>
            <w:shd w:val="clear" w:color="auto" w:fill="auto"/>
            <w:vAlign w:val="bottom"/>
          </w:tcPr>
          <w:p w14:paraId="37252017" w14:textId="6999B1E4" w:rsidR="00A66703" w:rsidRPr="001D41EA" w:rsidRDefault="00A66703" w:rsidP="001D41EA">
            <w:pPr>
              <w:spacing w:before="40" w:after="20"/>
              <w:jc w:val="right"/>
              <w:rPr>
                <w:rFonts w:cs="Arial"/>
                <w:sz w:val="18"/>
                <w:szCs w:val="18"/>
              </w:rPr>
            </w:pPr>
            <w:r w:rsidRPr="001D41EA">
              <w:rPr>
                <w:rFonts w:cs="Arial"/>
                <w:sz w:val="18"/>
                <w:szCs w:val="18"/>
              </w:rPr>
              <w:t>-4,320</w:t>
            </w:r>
          </w:p>
        </w:tc>
      </w:tr>
      <w:tr w:rsidR="00A66703" w:rsidRPr="001D41EA" w14:paraId="4F775CBF"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6E2841B1" w14:textId="77777777" w:rsidR="00A66703" w:rsidRPr="001D41EA" w:rsidRDefault="00A66703" w:rsidP="001D41EA">
            <w:pPr>
              <w:spacing w:before="40" w:after="20"/>
              <w:rPr>
                <w:rFonts w:cs="Arial"/>
                <w:sz w:val="18"/>
                <w:szCs w:val="18"/>
              </w:rPr>
            </w:pPr>
            <w:r w:rsidRPr="001D41EA">
              <w:rPr>
                <w:rFonts w:cs="Arial"/>
                <w:sz w:val="18"/>
                <w:szCs w:val="18"/>
              </w:rPr>
              <w:t xml:space="preserve">Maroondah C </w:t>
            </w:r>
          </w:p>
        </w:tc>
        <w:tc>
          <w:tcPr>
            <w:tcW w:w="1134" w:type="dxa"/>
            <w:tcBorders>
              <w:top w:val="nil"/>
              <w:left w:val="single" w:sz="18" w:space="0" w:color="5F497A" w:themeColor="accent4" w:themeShade="BF"/>
              <w:bottom w:val="nil"/>
              <w:right w:val="nil"/>
            </w:tcBorders>
            <w:shd w:val="clear" w:color="auto" w:fill="auto"/>
            <w:vAlign w:val="bottom"/>
          </w:tcPr>
          <w:p w14:paraId="196D029D" w14:textId="484A7256" w:rsidR="00A66703" w:rsidRPr="001D41EA" w:rsidRDefault="00A66703" w:rsidP="001D41EA">
            <w:pPr>
              <w:spacing w:before="40" w:after="20"/>
              <w:jc w:val="right"/>
              <w:rPr>
                <w:rFonts w:cs="Arial"/>
                <w:sz w:val="18"/>
                <w:szCs w:val="18"/>
              </w:rPr>
            </w:pPr>
            <w:r w:rsidRPr="001D41EA">
              <w:rPr>
                <w:rFonts w:cs="Arial"/>
                <w:sz w:val="18"/>
                <w:szCs w:val="18"/>
              </w:rPr>
              <w:t>4,117,611</w:t>
            </w:r>
          </w:p>
        </w:tc>
        <w:tc>
          <w:tcPr>
            <w:tcW w:w="1134" w:type="dxa"/>
            <w:tcBorders>
              <w:top w:val="nil"/>
              <w:left w:val="nil"/>
              <w:bottom w:val="nil"/>
              <w:right w:val="nil"/>
            </w:tcBorders>
            <w:shd w:val="clear" w:color="auto" w:fill="auto"/>
            <w:vAlign w:val="bottom"/>
          </w:tcPr>
          <w:p w14:paraId="0609F650" w14:textId="6B112668" w:rsidR="00A66703" w:rsidRPr="001D41EA" w:rsidRDefault="00A66703" w:rsidP="001D41EA">
            <w:pPr>
              <w:spacing w:before="40" w:after="20"/>
              <w:jc w:val="right"/>
              <w:rPr>
                <w:rFonts w:cs="Arial"/>
                <w:sz w:val="18"/>
                <w:szCs w:val="18"/>
              </w:rPr>
            </w:pPr>
            <w:r w:rsidRPr="001D41EA">
              <w:rPr>
                <w:rFonts w:cs="Arial"/>
                <w:sz w:val="18"/>
                <w:szCs w:val="18"/>
              </w:rPr>
              <w:t>4,072,729</w:t>
            </w:r>
          </w:p>
        </w:tc>
        <w:tc>
          <w:tcPr>
            <w:tcW w:w="1134" w:type="dxa"/>
            <w:tcBorders>
              <w:top w:val="nil"/>
              <w:left w:val="nil"/>
              <w:bottom w:val="nil"/>
              <w:right w:val="nil"/>
            </w:tcBorders>
            <w:shd w:val="clear" w:color="auto" w:fill="auto"/>
            <w:vAlign w:val="bottom"/>
          </w:tcPr>
          <w:p w14:paraId="473B1428" w14:textId="0BFB4378" w:rsidR="00A66703" w:rsidRPr="001D41EA" w:rsidRDefault="00A66703" w:rsidP="001D41EA">
            <w:pPr>
              <w:spacing w:before="40" w:after="20"/>
              <w:jc w:val="right"/>
              <w:rPr>
                <w:rFonts w:cs="Arial"/>
                <w:sz w:val="18"/>
                <w:szCs w:val="18"/>
              </w:rPr>
            </w:pPr>
            <w:r w:rsidRPr="001D41EA">
              <w:rPr>
                <w:rFonts w:cs="Arial"/>
                <w:sz w:val="18"/>
                <w:szCs w:val="18"/>
              </w:rPr>
              <w:t>-44,882</w:t>
            </w:r>
          </w:p>
        </w:tc>
        <w:tc>
          <w:tcPr>
            <w:tcW w:w="170" w:type="dxa"/>
            <w:tcBorders>
              <w:top w:val="nil"/>
              <w:left w:val="nil"/>
              <w:bottom w:val="nil"/>
              <w:right w:val="nil"/>
            </w:tcBorders>
            <w:shd w:val="clear" w:color="auto" w:fill="auto"/>
            <w:vAlign w:val="bottom"/>
          </w:tcPr>
          <w:p w14:paraId="40812C1B"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685DF07" w14:textId="4158046C" w:rsidR="00A66703" w:rsidRPr="001D41EA" w:rsidRDefault="00A66703" w:rsidP="001D41EA">
            <w:pPr>
              <w:spacing w:before="40" w:after="20"/>
              <w:jc w:val="right"/>
              <w:rPr>
                <w:rFonts w:cs="Arial"/>
                <w:sz w:val="18"/>
                <w:szCs w:val="18"/>
              </w:rPr>
            </w:pPr>
            <w:r w:rsidRPr="001D41EA">
              <w:rPr>
                <w:rFonts w:cs="Arial"/>
                <w:sz w:val="18"/>
                <w:szCs w:val="18"/>
              </w:rPr>
              <w:t>778,111</w:t>
            </w:r>
          </w:p>
        </w:tc>
        <w:tc>
          <w:tcPr>
            <w:tcW w:w="1134" w:type="dxa"/>
            <w:tcBorders>
              <w:top w:val="nil"/>
              <w:left w:val="nil"/>
              <w:bottom w:val="nil"/>
              <w:right w:val="nil"/>
            </w:tcBorders>
            <w:shd w:val="clear" w:color="auto" w:fill="auto"/>
            <w:vAlign w:val="bottom"/>
          </w:tcPr>
          <w:p w14:paraId="48C9D381" w14:textId="68AE750E" w:rsidR="00A66703" w:rsidRPr="001D41EA" w:rsidRDefault="00A66703" w:rsidP="001D41EA">
            <w:pPr>
              <w:spacing w:before="40" w:after="20"/>
              <w:jc w:val="right"/>
              <w:rPr>
                <w:rFonts w:cs="Arial"/>
                <w:sz w:val="18"/>
                <w:szCs w:val="18"/>
              </w:rPr>
            </w:pPr>
            <w:r w:rsidRPr="001D41EA">
              <w:rPr>
                <w:rFonts w:cs="Arial"/>
                <w:sz w:val="18"/>
                <w:szCs w:val="18"/>
              </w:rPr>
              <w:t>771,977</w:t>
            </w:r>
          </w:p>
        </w:tc>
        <w:tc>
          <w:tcPr>
            <w:tcW w:w="1134" w:type="dxa"/>
            <w:tcBorders>
              <w:top w:val="nil"/>
              <w:left w:val="nil"/>
              <w:bottom w:val="nil"/>
              <w:right w:val="nil"/>
            </w:tcBorders>
            <w:shd w:val="clear" w:color="auto" w:fill="auto"/>
            <w:vAlign w:val="bottom"/>
          </w:tcPr>
          <w:p w14:paraId="01C3CC0A" w14:textId="07CD816A" w:rsidR="00A66703" w:rsidRPr="001D41EA" w:rsidRDefault="00A66703" w:rsidP="001D41EA">
            <w:pPr>
              <w:spacing w:before="40" w:after="20"/>
              <w:jc w:val="right"/>
              <w:rPr>
                <w:rFonts w:cs="Arial"/>
                <w:sz w:val="18"/>
                <w:szCs w:val="18"/>
              </w:rPr>
            </w:pPr>
            <w:r w:rsidRPr="001D41EA">
              <w:rPr>
                <w:rFonts w:cs="Arial"/>
                <w:sz w:val="18"/>
                <w:szCs w:val="18"/>
              </w:rPr>
              <w:t>-6,134</w:t>
            </w:r>
          </w:p>
        </w:tc>
      </w:tr>
      <w:tr w:rsidR="00A66703" w:rsidRPr="001D41EA" w14:paraId="4B9C5344"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312DDF4F" w14:textId="77777777" w:rsidR="00A66703" w:rsidRPr="001D41EA" w:rsidRDefault="00A66703" w:rsidP="001D41EA">
            <w:pPr>
              <w:spacing w:before="40" w:after="20"/>
              <w:rPr>
                <w:rFonts w:cs="Arial"/>
                <w:sz w:val="18"/>
                <w:szCs w:val="18"/>
              </w:rPr>
            </w:pPr>
            <w:r w:rsidRPr="001D41EA">
              <w:rPr>
                <w:rFonts w:cs="Arial"/>
                <w:sz w:val="18"/>
                <w:szCs w:val="18"/>
              </w:rPr>
              <w:t>Melbourne C</w:t>
            </w:r>
          </w:p>
        </w:tc>
        <w:tc>
          <w:tcPr>
            <w:tcW w:w="1134" w:type="dxa"/>
            <w:tcBorders>
              <w:top w:val="nil"/>
              <w:left w:val="single" w:sz="18" w:space="0" w:color="5F497A" w:themeColor="accent4" w:themeShade="BF"/>
              <w:bottom w:val="nil"/>
              <w:right w:val="nil"/>
            </w:tcBorders>
            <w:shd w:val="clear" w:color="auto" w:fill="auto"/>
            <w:vAlign w:val="bottom"/>
          </w:tcPr>
          <w:p w14:paraId="47DCB4F6" w14:textId="71EA857D" w:rsidR="00A66703" w:rsidRPr="001D41EA" w:rsidRDefault="00A66703" w:rsidP="001D41EA">
            <w:pPr>
              <w:spacing w:before="40" w:after="20"/>
              <w:jc w:val="right"/>
              <w:rPr>
                <w:rFonts w:cs="Arial"/>
                <w:sz w:val="18"/>
                <w:szCs w:val="18"/>
              </w:rPr>
            </w:pPr>
            <w:r w:rsidRPr="001D41EA">
              <w:rPr>
                <w:rFonts w:cs="Arial"/>
                <w:sz w:val="18"/>
                <w:szCs w:val="18"/>
              </w:rPr>
              <w:t>3,331,944</w:t>
            </w:r>
          </w:p>
        </w:tc>
        <w:tc>
          <w:tcPr>
            <w:tcW w:w="1134" w:type="dxa"/>
            <w:tcBorders>
              <w:top w:val="nil"/>
              <w:left w:val="nil"/>
              <w:bottom w:val="nil"/>
              <w:right w:val="nil"/>
            </w:tcBorders>
            <w:shd w:val="clear" w:color="auto" w:fill="auto"/>
            <w:vAlign w:val="bottom"/>
          </w:tcPr>
          <w:p w14:paraId="79172458" w14:textId="4D0FFF46" w:rsidR="00A66703" w:rsidRPr="001D41EA" w:rsidRDefault="00A66703" w:rsidP="001D41EA">
            <w:pPr>
              <w:spacing w:before="40" w:after="20"/>
              <w:jc w:val="right"/>
              <w:rPr>
                <w:rFonts w:cs="Arial"/>
                <w:sz w:val="18"/>
                <w:szCs w:val="18"/>
              </w:rPr>
            </w:pPr>
            <w:r w:rsidRPr="001D41EA">
              <w:rPr>
                <w:rFonts w:cs="Arial"/>
                <w:sz w:val="18"/>
                <w:szCs w:val="18"/>
              </w:rPr>
              <w:t>3,295,626</w:t>
            </w:r>
          </w:p>
        </w:tc>
        <w:tc>
          <w:tcPr>
            <w:tcW w:w="1134" w:type="dxa"/>
            <w:tcBorders>
              <w:top w:val="nil"/>
              <w:left w:val="nil"/>
              <w:bottom w:val="nil"/>
              <w:right w:val="nil"/>
            </w:tcBorders>
            <w:shd w:val="clear" w:color="auto" w:fill="auto"/>
            <w:vAlign w:val="bottom"/>
          </w:tcPr>
          <w:p w14:paraId="07DA4227" w14:textId="79C10BCC" w:rsidR="00A66703" w:rsidRPr="001D41EA" w:rsidRDefault="00A66703" w:rsidP="001D41EA">
            <w:pPr>
              <w:spacing w:before="40" w:after="20"/>
              <w:jc w:val="right"/>
              <w:rPr>
                <w:rFonts w:cs="Arial"/>
                <w:sz w:val="18"/>
                <w:szCs w:val="18"/>
              </w:rPr>
            </w:pPr>
            <w:r w:rsidRPr="001D41EA">
              <w:rPr>
                <w:rFonts w:cs="Arial"/>
                <w:sz w:val="18"/>
                <w:szCs w:val="18"/>
              </w:rPr>
              <w:t>-36,318</w:t>
            </w:r>
          </w:p>
        </w:tc>
        <w:tc>
          <w:tcPr>
            <w:tcW w:w="170" w:type="dxa"/>
            <w:tcBorders>
              <w:top w:val="nil"/>
              <w:left w:val="nil"/>
              <w:bottom w:val="nil"/>
              <w:right w:val="nil"/>
            </w:tcBorders>
            <w:shd w:val="clear" w:color="auto" w:fill="auto"/>
            <w:vAlign w:val="bottom"/>
          </w:tcPr>
          <w:p w14:paraId="5B288126"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BEF6460" w14:textId="7DEE9C79" w:rsidR="00A66703" w:rsidRPr="001D41EA" w:rsidRDefault="00A66703" w:rsidP="001D41EA">
            <w:pPr>
              <w:spacing w:before="40" w:after="20"/>
              <w:jc w:val="right"/>
              <w:rPr>
                <w:rFonts w:cs="Arial"/>
                <w:sz w:val="18"/>
                <w:szCs w:val="18"/>
              </w:rPr>
            </w:pPr>
            <w:r w:rsidRPr="001D41EA">
              <w:rPr>
                <w:rFonts w:cs="Arial"/>
                <w:sz w:val="18"/>
                <w:szCs w:val="18"/>
              </w:rPr>
              <w:t>717,622</w:t>
            </w:r>
          </w:p>
        </w:tc>
        <w:tc>
          <w:tcPr>
            <w:tcW w:w="1134" w:type="dxa"/>
            <w:tcBorders>
              <w:top w:val="nil"/>
              <w:left w:val="nil"/>
              <w:bottom w:val="nil"/>
              <w:right w:val="nil"/>
            </w:tcBorders>
            <w:shd w:val="clear" w:color="auto" w:fill="auto"/>
            <w:vAlign w:val="bottom"/>
          </w:tcPr>
          <w:p w14:paraId="69EA7AFC" w14:textId="45F5C877" w:rsidR="00A66703" w:rsidRPr="001D41EA" w:rsidRDefault="00A66703" w:rsidP="001D41EA">
            <w:pPr>
              <w:spacing w:before="40" w:after="20"/>
              <w:jc w:val="right"/>
              <w:rPr>
                <w:rFonts w:cs="Arial"/>
                <w:sz w:val="18"/>
                <w:szCs w:val="18"/>
              </w:rPr>
            </w:pPr>
            <w:r w:rsidRPr="001D41EA">
              <w:rPr>
                <w:rFonts w:cs="Arial"/>
                <w:sz w:val="18"/>
                <w:szCs w:val="18"/>
              </w:rPr>
              <w:t>711,965</w:t>
            </w:r>
          </w:p>
        </w:tc>
        <w:tc>
          <w:tcPr>
            <w:tcW w:w="1134" w:type="dxa"/>
            <w:tcBorders>
              <w:top w:val="nil"/>
              <w:left w:val="nil"/>
              <w:bottom w:val="nil"/>
              <w:right w:val="nil"/>
            </w:tcBorders>
            <w:shd w:val="clear" w:color="auto" w:fill="auto"/>
            <w:vAlign w:val="bottom"/>
          </w:tcPr>
          <w:p w14:paraId="637CF3A8" w14:textId="01185679" w:rsidR="00A66703" w:rsidRPr="001D41EA" w:rsidRDefault="00A66703" w:rsidP="001D41EA">
            <w:pPr>
              <w:spacing w:before="40" w:after="20"/>
              <w:jc w:val="right"/>
              <w:rPr>
                <w:rFonts w:cs="Arial"/>
                <w:sz w:val="18"/>
                <w:szCs w:val="18"/>
              </w:rPr>
            </w:pPr>
            <w:r w:rsidRPr="001D41EA">
              <w:rPr>
                <w:rFonts w:cs="Arial"/>
                <w:sz w:val="18"/>
                <w:szCs w:val="18"/>
              </w:rPr>
              <w:t>-5,657</w:t>
            </w:r>
          </w:p>
        </w:tc>
      </w:tr>
      <w:tr w:rsidR="00A66703" w:rsidRPr="001D41EA" w14:paraId="6AF41C29"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47332C5F" w14:textId="77777777" w:rsidR="00A66703" w:rsidRPr="001D41EA" w:rsidRDefault="00A66703" w:rsidP="001D41EA">
            <w:pPr>
              <w:spacing w:before="40" w:after="20"/>
              <w:rPr>
                <w:rFonts w:cs="Arial"/>
                <w:sz w:val="18"/>
                <w:szCs w:val="18"/>
              </w:rPr>
            </w:pPr>
            <w:r w:rsidRPr="001D41EA">
              <w:rPr>
                <w:rFonts w:cs="Arial"/>
                <w:sz w:val="18"/>
                <w:szCs w:val="18"/>
              </w:rPr>
              <w:t xml:space="preserve">Melton C </w:t>
            </w:r>
          </w:p>
        </w:tc>
        <w:tc>
          <w:tcPr>
            <w:tcW w:w="1134" w:type="dxa"/>
            <w:tcBorders>
              <w:top w:val="nil"/>
              <w:left w:val="single" w:sz="18" w:space="0" w:color="5F497A" w:themeColor="accent4" w:themeShade="BF"/>
              <w:bottom w:val="nil"/>
              <w:right w:val="nil"/>
            </w:tcBorders>
            <w:shd w:val="clear" w:color="auto" w:fill="auto"/>
            <w:vAlign w:val="bottom"/>
          </w:tcPr>
          <w:p w14:paraId="113A1C18" w14:textId="1DBA203F" w:rsidR="00A66703" w:rsidRPr="001D41EA" w:rsidRDefault="00A66703" w:rsidP="001D41EA">
            <w:pPr>
              <w:spacing w:before="40" w:after="20"/>
              <w:jc w:val="right"/>
              <w:rPr>
                <w:rFonts w:cs="Arial"/>
                <w:sz w:val="18"/>
                <w:szCs w:val="18"/>
              </w:rPr>
            </w:pPr>
            <w:r w:rsidRPr="001D41EA">
              <w:rPr>
                <w:rFonts w:cs="Arial"/>
                <w:sz w:val="18"/>
                <w:szCs w:val="18"/>
              </w:rPr>
              <w:t>13,674,254</w:t>
            </w:r>
          </w:p>
        </w:tc>
        <w:tc>
          <w:tcPr>
            <w:tcW w:w="1134" w:type="dxa"/>
            <w:tcBorders>
              <w:top w:val="nil"/>
              <w:left w:val="nil"/>
              <w:bottom w:val="nil"/>
              <w:right w:val="nil"/>
            </w:tcBorders>
            <w:shd w:val="clear" w:color="auto" w:fill="auto"/>
            <w:vAlign w:val="bottom"/>
          </w:tcPr>
          <w:p w14:paraId="7D54878D" w14:textId="0873E4E3" w:rsidR="00A66703" w:rsidRPr="001D41EA" w:rsidRDefault="00A66703" w:rsidP="001D41EA">
            <w:pPr>
              <w:spacing w:before="40" w:after="20"/>
              <w:jc w:val="right"/>
              <w:rPr>
                <w:rFonts w:cs="Arial"/>
                <w:sz w:val="18"/>
                <w:szCs w:val="18"/>
              </w:rPr>
            </w:pPr>
            <w:r w:rsidRPr="001D41EA">
              <w:rPr>
                <w:rFonts w:cs="Arial"/>
                <w:sz w:val="18"/>
                <w:szCs w:val="18"/>
              </w:rPr>
              <w:t>13,525,205</w:t>
            </w:r>
          </w:p>
        </w:tc>
        <w:tc>
          <w:tcPr>
            <w:tcW w:w="1134" w:type="dxa"/>
            <w:tcBorders>
              <w:top w:val="nil"/>
              <w:left w:val="nil"/>
              <w:bottom w:val="nil"/>
              <w:right w:val="nil"/>
            </w:tcBorders>
            <w:shd w:val="clear" w:color="auto" w:fill="auto"/>
            <w:vAlign w:val="bottom"/>
          </w:tcPr>
          <w:p w14:paraId="2EE12D53" w14:textId="612088D4" w:rsidR="00A66703" w:rsidRPr="001D41EA" w:rsidRDefault="00A66703" w:rsidP="001D41EA">
            <w:pPr>
              <w:spacing w:before="40" w:after="20"/>
              <w:jc w:val="right"/>
              <w:rPr>
                <w:rFonts w:cs="Arial"/>
                <w:sz w:val="18"/>
                <w:szCs w:val="18"/>
              </w:rPr>
            </w:pPr>
            <w:r w:rsidRPr="001D41EA">
              <w:rPr>
                <w:rFonts w:cs="Arial"/>
                <w:sz w:val="18"/>
                <w:szCs w:val="18"/>
              </w:rPr>
              <w:t>-149,049</w:t>
            </w:r>
          </w:p>
        </w:tc>
        <w:tc>
          <w:tcPr>
            <w:tcW w:w="170" w:type="dxa"/>
            <w:tcBorders>
              <w:top w:val="nil"/>
              <w:left w:val="nil"/>
              <w:bottom w:val="nil"/>
              <w:right w:val="nil"/>
            </w:tcBorders>
            <w:shd w:val="clear" w:color="auto" w:fill="auto"/>
            <w:vAlign w:val="bottom"/>
          </w:tcPr>
          <w:p w14:paraId="0F94A1CC"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40FBE03" w14:textId="382E2397" w:rsidR="00A66703" w:rsidRPr="001D41EA" w:rsidRDefault="00A66703" w:rsidP="001D41EA">
            <w:pPr>
              <w:spacing w:before="40" w:after="20"/>
              <w:jc w:val="right"/>
              <w:rPr>
                <w:rFonts w:cs="Arial"/>
                <w:sz w:val="18"/>
                <w:szCs w:val="18"/>
              </w:rPr>
            </w:pPr>
            <w:r w:rsidRPr="001D41EA">
              <w:rPr>
                <w:rFonts w:cs="Arial"/>
                <w:sz w:val="18"/>
                <w:szCs w:val="18"/>
              </w:rPr>
              <w:t>1,930,582</w:t>
            </w:r>
          </w:p>
        </w:tc>
        <w:tc>
          <w:tcPr>
            <w:tcW w:w="1134" w:type="dxa"/>
            <w:tcBorders>
              <w:top w:val="nil"/>
              <w:left w:val="nil"/>
              <w:bottom w:val="nil"/>
              <w:right w:val="nil"/>
            </w:tcBorders>
            <w:shd w:val="clear" w:color="auto" w:fill="auto"/>
            <w:vAlign w:val="bottom"/>
          </w:tcPr>
          <w:p w14:paraId="7AF96E0D" w14:textId="5D182FAC" w:rsidR="00A66703" w:rsidRPr="001D41EA" w:rsidRDefault="00A66703" w:rsidP="001D41EA">
            <w:pPr>
              <w:spacing w:before="40" w:after="20"/>
              <w:jc w:val="right"/>
              <w:rPr>
                <w:rFonts w:cs="Arial"/>
                <w:sz w:val="18"/>
                <w:szCs w:val="18"/>
              </w:rPr>
            </w:pPr>
            <w:r w:rsidRPr="001D41EA">
              <w:rPr>
                <w:rFonts w:cs="Arial"/>
                <w:sz w:val="18"/>
                <w:szCs w:val="18"/>
              </w:rPr>
              <w:t>1,915,363</w:t>
            </w:r>
          </w:p>
        </w:tc>
        <w:tc>
          <w:tcPr>
            <w:tcW w:w="1134" w:type="dxa"/>
            <w:tcBorders>
              <w:top w:val="nil"/>
              <w:left w:val="nil"/>
              <w:bottom w:val="nil"/>
              <w:right w:val="nil"/>
            </w:tcBorders>
            <w:shd w:val="clear" w:color="auto" w:fill="auto"/>
            <w:vAlign w:val="bottom"/>
          </w:tcPr>
          <w:p w14:paraId="4DFFD751" w14:textId="03E9AED5" w:rsidR="00A66703" w:rsidRPr="001D41EA" w:rsidRDefault="00A66703" w:rsidP="001D41EA">
            <w:pPr>
              <w:spacing w:before="40" w:after="20"/>
              <w:jc w:val="right"/>
              <w:rPr>
                <w:rFonts w:cs="Arial"/>
                <w:sz w:val="18"/>
                <w:szCs w:val="18"/>
              </w:rPr>
            </w:pPr>
            <w:r w:rsidRPr="001D41EA">
              <w:rPr>
                <w:rFonts w:cs="Arial"/>
                <w:sz w:val="18"/>
                <w:szCs w:val="18"/>
              </w:rPr>
              <w:t>-15,219</w:t>
            </w:r>
          </w:p>
        </w:tc>
      </w:tr>
      <w:tr w:rsidR="00A66703" w:rsidRPr="001D41EA" w14:paraId="1D0847D1"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31E933A7" w14:textId="77777777" w:rsidR="00A66703" w:rsidRPr="001D41EA" w:rsidRDefault="00A66703" w:rsidP="001D41EA">
            <w:pPr>
              <w:spacing w:before="40" w:after="20"/>
              <w:rPr>
                <w:rFonts w:cs="Arial"/>
                <w:sz w:val="18"/>
                <w:szCs w:val="18"/>
              </w:rPr>
            </w:pPr>
            <w:r w:rsidRPr="001D41EA">
              <w:rPr>
                <w:rFonts w:cs="Arial"/>
                <w:sz w:val="18"/>
                <w:szCs w:val="18"/>
              </w:rPr>
              <w:t xml:space="preserve">Mildura RC </w:t>
            </w:r>
          </w:p>
        </w:tc>
        <w:tc>
          <w:tcPr>
            <w:tcW w:w="1134" w:type="dxa"/>
            <w:tcBorders>
              <w:top w:val="nil"/>
              <w:left w:val="single" w:sz="18" w:space="0" w:color="5F497A" w:themeColor="accent4" w:themeShade="BF"/>
              <w:bottom w:val="nil"/>
              <w:right w:val="nil"/>
            </w:tcBorders>
            <w:shd w:val="clear" w:color="auto" w:fill="auto"/>
            <w:vAlign w:val="bottom"/>
          </w:tcPr>
          <w:p w14:paraId="5A6F50BA" w14:textId="36E4D096" w:rsidR="00A66703" w:rsidRPr="001D41EA" w:rsidRDefault="00A66703" w:rsidP="001D41EA">
            <w:pPr>
              <w:spacing w:before="40" w:after="20"/>
              <w:jc w:val="right"/>
              <w:rPr>
                <w:rFonts w:cs="Arial"/>
                <w:sz w:val="18"/>
                <w:szCs w:val="18"/>
              </w:rPr>
            </w:pPr>
            <w:r w:rsidRPr="001D41EA">
              <w:rPr>
                <w:rFonts w:cs="Arial"/>
                <w:sz w:val="18"/>
                <w:szCs w:val="18"/>
              </w:rPr>
              <w:t>11,102,012</w:t>
            </w:r>
          </w:p>
        </w:tc>
        <w:tc>
          <w:tcPr>
            <w:tcW w:w="1134" w:type="dxa"/>
            <w:tcBorders>
              <w:top w:val="nil"/>
              <w:left w:val="nil"/>
              <w:bottom w:val="nil"/>
              <w:right w:val="nil"/>
            </w:tcBorders>
            <w:shd w:val="clear" w:color="auto" w:fill="auto"/>
            <w:vAlign w:val="bottom"/>
          </w:tcPr>
          <w:p w14:paraId="7B78DF36" w14:textId="0322CE9B" w:rsidR="00A66703" w:rsidRPr="001D41EA" w:rsidRDefault="00A66703" w:rsidP="001D41EA">
            <w:pPr>
              <w:spacing w:before="40" w:after="20"/>
              <w:jc w:val="right"/>
              <w:rPr>
                <w:rFonts w:cs="Arial"/>
                <w:sz w:val="18"/>
                <w:szCs w:val="18"/>
              </w:rPr>
            </w:pPr>
            <w:r w:rsidRPr="001D41EA">
              <w:rPr>
                <w:rFonts w:cs="Arial"/>
                <w:sz w:val="18"/>
                <w:szCs w:val="18"/>
              </w:rPr>
              <w:t>10,981,001</w:t>
            </w:r>
          </w:p>
        </w:tc>
        <w:tc>
          <w:tcPr>
            <w:tcW w:w="1134" w:type="dxa"/>
            <w:tcBorders>
              <w:top w:val="nil"/>
              <w:left w:val="nil"/>
              <w:bottom w:val="nil"/>
              <w:right w:val="nil"/>
            </w:tcBorders>
            <w:shd w:val="clear" w:color="auto" w:fill="auto"/>
            <w:vAlign w:val="bottom"/>
          </w:tcPr>
          <w:p w14:paraId="67180D2E" w14:textId="695CC80E" w:rsidR="00A66703" w:rsidRPr="001D41EA" w:rsidRDefault="00A66703" w:rsidP="001D41EA">
            <w:pPr>
              <w:spacing w:before="40" w:after="20"/>
              <w:jc w:val="right"/>
              <w:rPr>
                <w:rFonts w:cs="Arial"/>
                <w:sz w:val="18"/>
                <w:szCs w:val="18"/>
              </w:rPr>
            </w:pPr>
            <w:r w:rsidRPr="001D41EA">
              <w:rPr>
                <w:rFonts w:cs="Arial"/>
                <w:sz w:val="18"/>
                <w:szCs w:val="18"/>
              </w:rPr>
              <w:t>-121,011</w:t>
            </w:r>
          </w:p>
        </w:tc>
        <w:tc>
          <w:tcPr>
            <w:tcW w:w="170" w:type="dxa"/>
            <w:tcBorders>
              <w:top w:val="nil"/>
              <w:left w:val="nil"/>
              <w:bottom w:val="nil"/>
              <w:right w:val="nil"/>
            </w:tcBorders>
            <w:shd w:val="clear" w:color="auto" w:fill="auto"/>
            <w:vAlign w:val="bottom"/>
          </w:tcPr>
          <w:p w14:paraId="20BE9393"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A303D87" w14:textId="2773A053" w:rsidR="00A66703" w:rsidRPr="001D41EA" w:rsidRDefault="00A66703" w:rsidP="001D41EA">
            <w:pPr>
              <w:spacing w:before="40" w:after="20"/>
              <w:jc w:val="right"/>
              <w:rPr>
                <w:rFonts w:cs="Arial"/>
                <w:sz w:val="18"/>
                <w:szCs w:val="18"/>
              </w:rPr>
            </w:pPr>
            <w:r w:rsidRPr="001D41EA">
              <w:rPr>
                <w:rFonts w:cs="Arial"/>
                <w:sz w:val="18"/>
                <w:szCs w:val="18"/>
              </w:rPr>
              <w:t>4,141,337</w:t>
            </w:r>
          </w:p>
        </w:tc>
        <w:tc>
          <w:tcPr>
            <w:tcW w:w="1134" w:type="dxa"/>
            <w:tcBorders>
              <w:top w:val="nil"/>
              <w:left w:val="nil"/>
              <w:bottom w:val="nil"/>
              <w:right w:val="nil"/>
            </w:tcBorders>
            <w:shd w:val="clear" w:color="auto" w:fill="auto"/>
            <w:vAlign w:val="bottom"/>
          </w:tcPr>
          <w:p w14:paraId="37B536B1" w14:textId="19DA5577" w:rsidR="00A66703" w:rsidRPr="001D41EA" w:rsidRDefault="00A66703" w:rsidP="001D41EA">
            <w:pPr>
              <w:spacing w:before="40" w:after="20"/>
              <w:jc w:val="right"/>
              <w:rPr>
                <w:rFonts w:cs="Arial"/>
                <w:sz w:val="18"/>
                <w:szCs w:val="18"/>
              </w:rPr>
            </w:pPr>
            <w:r w:rsidRPr="001D41EA">
              <w:rPr>
                <w:rFonts w:cs="Arial"/>
                <w:sz w:val="18"/>
                <w:szCs w:val="18"/>
              </w:rPr>
              <w:t>4,108,691</w:t>
            </w:r>
          </w:p>
        </w:tc>
        <w:tc>
          <w:tcPr>
            <w:tcW w:w="1134" w:type="dxa"/>
            <w:tcBorders>
              <w:top w:val="nil"/>
              <w:left w:val="nil"/>
              <w:bottom w:val="nil"/>
              <w:right w:val="nil"/>
            </w:tcBorders>
            <w:shd w:val="clear" w:color="auto" w:fill="auto"/>
            <w:vAlign w:val="bottom"/>
          </w:tcPr>
          <w:p w14:paraId="3DFFE530" w14:textId="680D6A61" w:rsidR="00A66703" w:rsidRPr="001D41EA" w:rsidRDefault="00A66703" w:rsidP="001D41EA">
            <w:pPr>
              <w:spacing w:before="40" w:after="20"/>
              <w:jc w:val="right"/>
              <w:rPr>
                <w:rFonts w:cs="Arial"/>
                <w:sz w:val="18"/>
                <w:szCs w:val="18"/>
              </w:rPr>
            </w:pPr>
            <w:r w:rsidRPr="001D41EA">
              <w:rPr>
                <w:rFonts w:cs="Arial"/>
                <w:sz w:val="18"/>
                <w:szCs w:val="18"/>
              </w:rPr>
              <w:t>-32,646</w:t>
            </w:r>
          </w:p>
        </w:tc>
      </w:tr>
      <w:tr w:rsidR="00A66703" w:rsidRPr="001D41EA" w14:paraId="6C73ECA1"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61B7ED8C" w14:textId="77777777" w:rsidR="00A66703" w:rsidRPr="001D41EA" w:rsidRDefault="00A66703" w:rsidP="001D41EA">
            <w:pPr>
              <w:spacing w:before="40" w:after="20"/>
              <w:rPr>
                <w:rFonts w:cs="Arial"/>
                <w:sz w:val="18"/>
                <w:szCs w:val="18"/>
              </w:rPr>
            </w:pPr>
            <w:r w:rsidRPr="001D41EA">
              <w:rPr>
                <w:rFonts w:cs="Arial"/>
                <w:sz w:val="18"/>
                <w:szCs w:val="18"/>
              </w:rPr>
              <w:t xml:space="preserve">Mitchell S </w:t>
            </w:r>
          </w:p>
        </w:tc>
        <w:tc>
          <w:tcPr>
            <w:tcW w:w="1134" w:type="dxa"/>
            <w:tcBorders>
              <w:top w:val="nil"/>
              <w:left w:val="single" w:sz="18" w:space="0" w:color="5F497A" w:themeColor="accent4" w:themeShade="BF"/>
              <w:bottom w:val="nil"/>
              <w:right w:val="nil"/>
            </w:tcBorders>
            <w:shd w:val="clear" w:color="auto" w:fill="auto"/>
            <w:vAlign w:val="bottom"/>
          </w:tcPr>
          <w:p w14:paraId="6820FEC8" w14:textId="65B6F543" w:rsidR="00A66703" w:rsidRPr="001D41EA" w:rsidRDefault="00A66703" w:rsidP="001D41EA">
            <w:pPr>
              <w:spacing w:before="40" w:after="20"/>
              <w:jc w:val="right"/>
              <w:rPr>
                <w:rFonts w:cs="Arial"/>
                <w:sz w:val="18"/>
                <w:szCs w:val="18"/>
              </w:rPr>
            </w:pPr>
            <w:r w:rsidRPr="001D41EA">
              <w:rPr>
                <w:rFonts w:cs="Arial"/>
                <w:sz w:val="18"/>
                <w:szCs w:val="18"/>
              </w:rPr>
              <w:t>5,582,406</w:t>
            </w:r>
          </w:p>
        </w:tc>
        <w:tc>
          <w:tcPr>
            <w:tcW w:w="1134" w:type="dxa"/>
            <w:tcBorders>
              <w:top w:val="nil"/>
              <w:left w:val="nil"/>
              <w:bottom w:val="nil"/>
              <w:right w:val="nil"/>
            </w:tcBorders>
            <w:shd w:val="clear" w:color="auto" w:fill="auto"/>
            <w:vAlign w:val="bottom"/>
          </w:tcPr>
          <w:p w14:paraId="54DB2036" w14:textId="36EBE601" w:rsidR="00A66703" w:rsidRPr="001D41EA" w:rsidRDefault="00A66703" w:rsidP="001D41EA">
            <w:pPr>
              <w:spacing w:before="40" w:after="20"/>
              <w:jc w:val="right"/>
              <w:rPr>
                <w:rFonts w:cs="Arial"/>
                <w:sz w:val="18"/>
                <w:szCs w:val="18"/>
              </w:rPr>
            </w:pPr>
            <w:r w:rsidRPr="001D41EA">
              <w:rPr>
                <w:rFonts w:cs="Arial"/>
                <w:sz w:val="18"/>
                <w:szCs w:val="18"/>
              </w:rPr>
              <w:t>5,521,558</w:t>
            </w:r>
          </w:p>
        </w:tc>
        <w:tc>
          <w:tcPr>
            <w:tcW w:w="1134" w:type="dxa"/>
            <w:tcBorders>
              <w:top w:val="nil"/>
              <w:left w:val="nil"/>
              <w:bottom w:val="nil"/>
              <w:right w:val="nil"/>
            </w:tcBorders>
            <w:shd w:val="clear" w:color="auto" w:fill="auto"/>
            <w:vAlign w:val="bottom"/>
          </w:tcPr>
          <w:p w14:paraId="756FA47C" w14:textId="12E385F7" w:rsidR="00A66703" w:rsidRPr="001D41EA" w:rsidRDefault="00A66703" w:rsidP="001D41EA">
            <w:pPr>
              <w:spacing w:before="40" w:after="20"/>
              <w:jc w:val="right"/>
              <w:rPr>
                <w:rFonts w:cs="Arial"/>
                <w:sz w:val="18"/>
                <w:szCs w:val="18"/>
              </w:rPr>
            </w:pPr>
            <w:r w:rsidRPr="001D41EA">
              <w:rPr>
                <w:rFonts w:cs="Arial"/>
                <w:sz w:val="18"/>
                <w:szCs w:val="18"/>
              </w:rPr>
              <w:t>-60,848</w:t>
            </w:r>
          </w:p>
        </w:tc>
        <w:tc>
          <w:tcPr>
            <w:tcW w:w="170" w:type="dxa"/>
            <w:tcBorders>
              <w:top w:val="nil"/>
              <w:left w:val="nil"/>
              <w:bottom w:val="nil"/>
              <w:right w:val="nil"/>
            </w:tcBorders>
            <w:shd w:val="clear" w:color="auto" w:fill="auto"/>
            <w:vAlign w:val="bottom"/>
          </w:tcPr>
          <w:p w14:paraId="57062653"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1F932F8" w14:textId="3D9700CA" w:rsidR="00A66703" w:rsidRPr="001D41EA" w:rsidRDefault="00A66703" w:rsidP="001D41EA">
            <w:pPr>
              <w:spacing w:before="40" w:after="20"/>
              <w:jc w:val="right"/>
              <w:rPr>
                <w:rFonts w:cs="Arial"/>
                <w:sz w:val="18"/>
                <w:szCs w:val="18"/>
              </w:rPr>
            </w:pPr>
            <w:r w:rsidRPr="001D41EA">
              <w:rPr>
                <w:rFonts w:cs="Arial"/>
                <w:sz w:val="18"/>
                <w:szCs w:val="18"/>
              </w:rPr>
              <w:t>1,797,897</w:t>
            </w:r>
          </w:p>
        </w:tc>
        <w:tc>
          <w:tcPr>
            <w:tcW w:w="1134" w:type="dxa"/>
            <w:tcBorders>
              <w:top w:val="nil"/>
              <w:left w:val="nil"/>
              <w:bottom w:val="nil"/>
              <w:right w:val="nil"/>
            </w:tcBorders>
            <w:shd w:val="clear" w:color="auto" w:fill="auto"/>
            <w:vAlign w:val="bottom"/>
          </w:tcPr>
          <w:p w14:paraId="70250E63" w14:textId="650617BA" w:rsidR="00A66703" w:rsidRPr="001D41EA" w:rsidRDefault="00A66703" w:rsidP="001D41EA">
            <w:pPr>
              <w:spacing w:before="40" w:after="20"/>
              <w:jc w:val="right"/>
              <w:rPr>
                <w:rFonts w:cs="Arial"/>
                <w:sz w:val="18"/>
                <w:szCs w:val="18"/>
              </w:rPr>
            </w:pPr>
            <w:r w:rsidRPr="001D41EA">
              <w:rPr>
                <w:rFonts w:cs="Arial"/>
                <w:sz w:val="18"/>
                <w:szCs w:val="18"/>
              </w:rPr>
              <w:t>1,783,724</w:t>
            </w:r>
          </w:p>
        </w:tc>
        <w:tc>
          <w:tcPr>
            <w:tcW w:w="1134" w:type="dxa"/>
            <w:tcBorders>
              <w:top w:val="nil"/>
              <w:left w:val="nil"/>
              <w:bottom w:val="nil"/>
              <w:right w:val="nil"/>
            </w:tcBorders>
            <w:shd w:val="clear" w:color="auto" w:fill="auto"/>
            <w:vAlign w:val="bottom"/>
          </w:tcPr>
          <w:p w14:paraId="58A5D1F1" w14:textId="35C92C50" w:rsidR="00A66703" w:rsidRPr="001D41EA" w:rsidRDefault="00A66703" w:rsidP="001D41EA">
            <w:pPr>
              <w:spacing w:before="40" w:after="20"/>
              <w:jc w:val="right"/>
              <w:rPr>
                <w:rFonts w:cs="Arial"/>
                <w:sz w:val="18"/>
                <w:szCs w:val="18"/>
              </w:rPr>
            </w:pPr>
            <w:r w:rsidRPr="001D41EA">
              <w:rPr>
                <w:rFonts w:cs="Arial"/>
                <w:sz w:val="18"/>
                <w:szCs w:val="18"/>
              </w:rPr>
              <w:t>-14,173</w:t>
            </w:r>
          </w:p>
        </w:tc>
      </w:tr>
      <w:tr w:rsidR="00A66703" w:rsidRPr="001D41EA" w14:paraId="3A0E15E0"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3649D3C6" w14:textId="77777777" w:rsidR="00A66703" w:rsidRPr="001D41EA" w:rsidRDefault="00A66703" w:rsidP="001D41EA">
            <w:pPr>
              <w:spacing w:before="40" w:after="20"/>
              <w:rPr>
                <w:rFonts w:cs="Arial"/>
                <w:sz w:val="18"/>
                <w:szCs w:val="18"/>
              </w:rPr>
            </w:pPr>
            <w:r w:rsidRPr="001D41EA">
              <w:rPr>
                <w:rFonts w:cs="Arial"/>
                <w:sz w:val="18"/>
                <w:szCs w:val="18"/>
              </w:rPr>
              <w:t xml:space="preserve">Moira S </w:t>
            </w:r>
          </w:p>
        </w:tc>
        <w:tc>
          <w:tcPr>
            <w:tcW w:w="1134" w:type="dxa"/>
            <w:tcBorders>
              <w:top w:val="nil"/>
              <w:left w:val="single" w:sz="18" w:space="0" w:color="5F497A" w:themeColor="accent4" w:themeShade="BF"/>
              <w:bottom w:val="nil"/>
              <w:right w:val="nil"/>
            </w:tcBorders>
            <w:shd w:val="clear" w:color="auto" w:fill="auto"/>
            <w:vAlign w:val="bottom"/>
          </w:tcPr>
          <w:p w14:paraId="494E335D" w14:textId="01B5C891" w:rsidR="00A66703" w:rsidRPr="001D41EA" w:rsidRDefault="00A66703" w:rsidP="001D41EA">
            <w:pPr>
              <w:spacing w:before="40" w:after="20"/>
              <w:jc w:val="right"/>
              <w:rPr>
                <w:rFonts w:cs="Arial"/>
                <w:sz w:val="18"/>
                <w:szCs w:val="18"/>
              </w:rPr>
            </w:pPr>
            <w:r w:rsidRPr="001D41EA">
              <w:rPr>
                <w:rFonts w:cs="Arial"/>
                <w:sz w:val="18"/>
                <w:szCs w:val="18"/>
              </w:rPr>
              <w:t>7,006,316</w:t>
            </w:r>
          </w:p>
        </w:tc>
        <w:tc>
          <w:tcPr>
            <w:tcW w:w="1134" w:type="dxa"/>
            <w:tcBorders>
              <w:top w:val="nil"/>
              <w:left w:val="nil"/>
              <w:bottom w:val="nil"/>
              <w:right w:val="nil"/>
            </w:tcBorders>
            <w:shd w:val="clear" w:color="auto" w:fill="auto"/>
            <w:vAlign w:val="bottom"/>
          </w:tcPr>
          <w:p w14:paraId="581547DB" w14:textId="35DC0B70" w:rsidR="00A66703" w:rsidRPr="001D41EA" w:rsidRDefault="00A66703" w:rsidP="001D41EA">
            <w:pPr>
              <w:spacing w:before="40" w:after="20"/>
              <w:jc w:val="right"/>
              <w:rPr>
                <w:rFonts w:cs="Arial"/>
                <w:sz w:val="18"/>
                <w:szCs w:val="18"/>
              </w:rPr>
            </w:pPr>
            <w:r w:rsidRPr="001D41EA">
              <w:rPr>
                <w:rFonts w:cs="Arial"/>
                <w:sz w:val="18"/>
                <w:szCs w:val="18"/>
              </w:rPr>
              <w:t>6,929,948</w:t>
            </w:r>
          </w:p>
        </w:tc>
        <w:tc>
          <w:tcPr>
            <w:tcW w:w="1134" w:type="dxa"/>
            <w:tcBorders>
              <w:top w:val="nil"/>
              <w:left w:val="nil"/>
              <w:bottom w:val="nil"/>
              <w:right w:val="nil"/>
            </w:tcBorders>
            <w:shd w:val="clear" w:color="auto" w:fill="auto"/>
            <w:vAlign w:val="bottom"/>
          </w:tcPr>
          <w:p w14:paraId="43728AEE" w14:textId="55AF9A56" w:rsidR="00A66703" w:rsidRPr="001D41EA" w:rsidRDefault="00A66703" w:rsidP="001D41EA">
            <w:pPr>
              <w:spacing w:before="40" w:after="20"/>
              <w:jc w:val="right"/>
              <w:rPr>
                <w:rFonts w:cs="Arial"/>
                <w:sz w:val="18"/>
                <w:szCs w:val="18"/>
              </w:rPr>
            </w:pPr>
            <w:r w:rsidRPr="001D41EA">
              <w:rPr>
                <w:rFonts w:cs="Arial"/>
                <w:sz w:val="18"/>
                <w:szCs w:val="18"/>
              </w:rPr>
              <w:t>-76,368</w:t>
            </w:r>
          </w:p>
        </w:tc>
        <w:tc>
          <w:tcPr>
            <w:tcW w:w="170" w:type="dxa"/>
            <w:tcBorders>
              <w:top w:val="nil"/>
              <w:left w:val="nil"/>
              <w:bottom w:val="nil"/>
              <w:right w:val="nil"/>
            </w:tcBorders>
            <w:shd w:val="clear" w:color="auto" w:fill="auto"/>
            <w:vAlign w:val="bottom"/>
          </w:tcPr>
          <w:p w14:paraId="1C48954B"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7942701" w14:textId="4CC0AD22" w:rsidR="00A66703" w:rsidRPr="001D41EA" w:rsidRDefault="00A66703" w:rsidP="001D41EA">
            <w:pPr>
              <w:spacing w:before="40" w:after="20"/>
              <w:jc w:val="right"/>
              <w:rPr>
                <w:rFonts w:cs="Arial"/>
                <w:sz w:val="18"/>
                <w:szCs w:val="18"/>
              </w:rPr>
            </w:pPr>
            <w:r w:rsidRPr="001D41EA">
              <w:rPr>
                <w:rFonts w:cs="Arial"/>
                <w:sz w:val="18"/>
                <w:szCs w:val="18"/>
              </w:rPr>
              <w:t>3,896,477</w:t>
            </w:r>
          </w:p>
        </w:tc>
        <w:tc>
          <w:tcPr>
            <w:tcW w:w="1134" w:type="dxa"/>
            <w:tcBorders>
              <w:top w:val="nil"/>
              <w:left w:val="nil"/>
              <w:bottom w:val="nil"/>
              <w:right w:val="nil"/>
            </w:tcBorders>
            <w:shd w:val="clear" w:color="auto" w:fill="auto"/>
            <w:vAlign w:val="bottom"/>
          </w:tcPr>
          <w:p w14:paraId="79A91326" w14:textId="16BECDAB" w:rsidR="00A66703" w:rsidRPr="001D41EA" w:rsidRDefault="00A66703" w:rsidP="001D41EA">
            <w:pPr>
              <w:spacing w:before="40" w:after="20"/>
              <w:jc w:val="right"/>
              <w:rPr>
                <w:rFonts w:cs="Arial"/>
                <w:sz w:val="18"/>
                <w:szCs w:val="18"/>
              </w:rPr>
            </w:pPr>
            <w:r w:rsidRPr="001D41EA">
              <w:rPr>
                <w:rFonts w:cs="Arial"/>
                <w:sz w:val="18"/>
                <w:szCs w:val="18"/>
              </w:rPr>
              <w:t>3,865,761</w:t>
            </w:r>
          </w:p>
        </w:tc>
        <w:tc>
          <w:tcPr>
            <w:tcW w:w="1134" w:type="dxa"/>
            <w:tcBorders>
              <w:top w:val="nil"/>
              <w:left w:val="nil"/>
              <w:bottom w:val="nil"/>
              <w:right w:val="nil"/>
            </w:tcBorders>
            <w:shd w:val="clear" w:color="auto" w:fill="auto"/>
            <w:vAlign w:val="bottom"/>
          </w:tcPr>
          <w:p w14:paraId="66508513" w14:textId="30E4C435" w:rsidR="00A66703" w:rsidRPr="001D41EA" w:rsidRDefault="00A66703" w:rsidP="001D41EA">
            <w:pPr>
              <w:spacing w:before="40" w:after="20"/>
              <w:jc w:val="right"/>
              <w:rPr>
                <w:rFonts w:cs="Arial"/>
                <w:sz w:val="18"/>
                <w:szCs w:val="18"/>
              </w:rPr>
            </w:pPr>
            <w:r w:rsidRPr="001D41EA">
              <w:rPr>
                <w:rFonts w:cs="Arial"/>
                <w:sz w:val="18"/>
                <w:szCs w:val="18"/>
              </w:rPr>
              <w:t>-30,716</w:t>
            </w:r>
          </w:p>
        </w:tc>
      </w:tr>
      <w:tr w:rsidR="00A66703" w:rsidRPr="001D41EA" w14:paraId="671968D1"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496A0266" w14:textId="77777777" w:rsidR="00A66703" w:rsidRPr="001D41EA" w:rsidRDefault="00A66703" w:rsidP="001D41EA">
            <w:pPr>
              <w:spacing w:before="40" w:after="20"/>
              <w:rPr>
                <w:rFonts w:cs="Arial"/>
                <w:sz w:val="18"/>
                <w:szCs w:val="18"/>
              </w:rPr>
            </w:pPr>
            <w:r w:rsidRPr="001D41EA">
              <w:rPr>
                <w:rFonts w:cs="Arial"/>
                <w:sz w:val="18"/>
                <w:szCs w:val="18"/>
              </w:rPr>
              <w:t xml:space="preserve">Monash C </w:t>
            </w:r>
          </w:p>
        </w:tc>
        <w:tc>
          <w:tcPr>
            <w:tcW w:w="1134" w:type="dxa"/>
            <w:tcBorders>
              <w:top w:val="nil"/>
              <w:left w:val="single" w:sz="18" w:space="0" w:color="5F497A" w:themeColor="accent4" w:themeShade="BF"/>
              <w:bottom w:val="nil"/>
              <w:right w:val="nil"/>
            </w:tcBorders>
            <w:shd w:val="clear" w:color="auto" w:fill="auto"/>
            <w:vAlign w:val="bottom"/>
          </w:tcPr>
          <w:p w14:paraId="02EADC99" w14:textId="5347E9BD" w:rsidR="00A66703" w:rsidRPr="001D41EA" w:rsidRDefault="00A66703" w:rsidP="001D41EA">
            <w:pPr>
              <w:spacing w:before="40" w:after="20"/>
              <w:jc w:val="right"/>
              <w:rPr>
                <w:rFonts w:cs="Arial"/>
                <w:sz w:val="18"/>
                <w:szCs w:val="18"/>
              </w:rPr>
            </w:pPr>
            <w:r w:rsidRPr="001D41EA">
              <w:rPr>
                <w:rFonts w:cs="Arial"/>
                <w:sz w:val="18"/>
                <w:szCs w:val="18"/>
              </w:rPr>
              <w:t>4,098,267</w:t>
            </w:r>
          </w:p>
        </w:tc>
        <w:tc>
          <w:tcPr>
            <w:tcW w:w="1134" w:type="dxa"/>
            <w:tcBorders>
              <w:top w:val="nil"/>
              <w:left w:val="nil"/>
              <w:bottom w:val="nil"/>
              <w:right w:val="nil"/>
            </w:tcBorders>
            <w:shd w:val="clear" w:color="auto" w:fill="auto"/>
            <w:vAlign w:val="bottom"/>
          </w:tcPr>
          <w:p w14:paraId="071D8F62" w14:textId="08DED241" w:rsidR="00A66703" w:rsidRPr="001D41EA" w:rsidRDefault="00A66703" w:rsidP="001D41EA">
            <w:pPr>
              <w:spacing w:before="40" w:after="20"/>
              <w:jc w:val="right"/>
              <w:rPr>
                <w:rFonts w:cs="Arial"/>
                <w:sz w:val="18"/>
                <w:szCs w:val="18"/>
              </w:rPr>
            </w:pPr>
            <w:r w:rsidRPr="001D41EA">
              <w:rPr>
                <w:rFonts w:cs="Arial"/>
                <w:sz w:val="18"/>
                <w:szCs w:val="18"/>
              </w:rPr>
              <w:t>4,053,596</w:t>
            </w:r>
          </w:p>
        </w:tc>
        <w:tc>
          <w:tcPr>
            <w:tcW w:w="1134" w:type="dxa"/>
            <w:tcBorders>
              <w:top w:val="nil"/>
              <w:left w:val="nil"/>
              <w:bottom w:val="nil"/>
              <w:right w:val="nil"/>
            </w:tcBorders>
            <w:shd w:val="clear" w:color="auto" w:fill="auto"/>
            <w:vAlign w:val="bottom"/>
          </w:tcPr>
          <w:p w14:paraId="1412661E" w14:textId="6734ABE0" w:rsidR="00A66703" w:rsidRPr="001D41EA" w:rsidRDefault="00A66703" w:rsidP="001D41EA">
            <w:pPr>
              <w:spacing w:before="40" w:after="20"/>
              <w:jc w:val="right"/>
              <w:rPr>
                <w:rFonts w:cs="Arial"/>
                <w:sz w:val="18"/>
                <w:szCs w:val="18"/>
              </w:rPr>
            </w:pPr>
            <w:r w:rsidRPr="001D41EA">
              <w:rPr>
                <w:rFonts w:cs="Arial"/>
                <w:sz w:val="18"/>
                <w:szCs w:val="18"/>
              </w:rPr>
              <w:t>-44,671</w:t>
            </w:r>
          </w:p>
        </w:tc>
        <w:tc>
          <w:tcPr>
            <w:tcW w:w="170" w:type="dxa"/>
            <w:tcBorders>
              <w:top w:val="nil"/>
              <w:left w:val="nil"/>
              <w:bottom w:val="nil"/>
              <w:right w:val="nil"/>
            </w:tcBorders>
            <w:shd w:val="clear" w:color="auto" w:fill="auto"/>
            <w:vAlign w:val="bottom"/>
          </w:tcPr>
          <w:p w14:paraId="20E44A42"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1018780" w14:textId="6AB2AD47" w:rsidR="00A66703" w:rsidRPr="001D41EA" w:rsidRDefault="00A66703" w:rsidP="001D41EA">
            <w:pPr>
              <w:spacing w:before="40" w:after="20"/>
              <w:jc w:val="right"/>
              <w:rPr>
                <w:rFonts w:cs="Arial"/>
                <w:sz w:val="18"/>
                <w:szCs w:val="18"/>
              </w:rPr>
            </w:pPr>
            <w:r w:rsidRPr="001D41EA">
              <w:rPr>
                <w:rFonts w:cs="Arial"/>
                <w:sz w:val="18"/>
                <w:szCs w:val="18"/>
              </w:rPr>
              <w:t>1,234,852</w:t>
            </w:r>
          </w:p>
        </w:tc>
        <w:tc>
          <w:tcPr>
            <w:tcW w:w="1134" w:type="dxa"/>
            <w:tcBorders>
              <w:top w:val="nil"/>
              <w:left w:val="nil"/>
              <w:bottom w:val="nil"/>
              <w:right w:val="nil"/>
            </w:tcBorders>
            <w:shd w:val="clear" w:color="auto" w:fill="auto"/>
            <w:vAlign w:val="bottom"/>
          </w:tcPr>
          <w:p w14:paraId="62B82090" w14:textId="63AE7520" w:rsidR="00A66703" w:rsidRPr="001D41EA" w:rsidRDefault="00A66703" w:rsidP="001D41EA">
            <w:pPr>
              <w:spacing w:before="40" w:after="20"/>
              <w:jc w:val="right"/>
              <w:rPr>
                <w:rFonts w:cs="Arial"/>
                <w:sz w:val="18"/>
                <w:szCs w:val="18"/>
              </w:rPr>
            </w:pPr>
            <w:r w:rsidRPr="001D41EA">
              <w:rPr>
                <w:rFonts w:cs="Arial"/>
                <w:sz w:val="18"/>
                <w:szCs w:val="18"/>
              </w:rPr>
              <w:t>1,225,118</w:t>
            </w:r>
          </w:p>
        </w:tc>
        <w:tc>
          <w:tcPr>
            <w:tcW w:w="1134" w:type="dxa"/>
            <w:tcBorders>
              <w:top w:val="nil"/>
              <w:left w:val="nil"/>
              <w:bottom w:val="nil"/>
              <w:right w:val="nil"/>
            </w:tcBorders>
            <w:shd w:val="clear" w:color="auto" w:fill="auto"/>
            <w:vAlign w:val="bottom"/>
          </w:tcPr>
          <w:p w14:paraId="4CC61B7D" w14:textId="36D041E3" w:rsidR="00A66703" w:rsidRPr="001D41EA" w:rsidRDefault="00A66703" w:rsidP="001D41EA">
            <w:pPr>
              <w:spacing w:before="40" w:after="20"/>
              <w:jc w:val="right"/>
              <w:rPr>
                <w:rFonts w:cs="Arial"/>
                <w:sz w:val="18"/>
                <w:szCs w:val="18"/>
              </w:rPr>
            </w:pPr>
            <w:r w:rsidRPr="001D41EA">
              <w:rPr>
                <w:rFonts w:cs="Arial"/>
                <w:sz w:val="18"/>
                <w:szCs w:val="18"/>
              </w:rPr>
              <w:t>-9,734</w:t>
            </w:r>
          </w:p>
        </w:tc>
      </w:tr>
      <w:tr w:rsidR="00A66703" w:rsidRPr="001D41EA" w14:paraId="632A00ED"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54D71508" w14:textId="77777777" w:rsidR="00A66703" w:rsidRPr="001D41EA" w:rsidRDefault="00A66703" w:rsidP="001D41EA">
            <w:pPr>
              <w:spacing w:before="40" w:after="20"/>
              <w:rPr>
                <w:rFonts w:cs="Arial"/>
                <w:sz w:val="18"/>
                <w:szCs w:val="18"/>
              </w:rPr>
            </w:pPr>
            <w:r w:rsidRPr="001D41EA">
              <w:rPr>
                <w:rFonts w:cs="Arial"/>
                <w:sz w:val="18"/>
                <w:szCs w:val="18"/>
              </w:rPr>
              <w:t xml:space="preserve">Moonee Valley C </w:t>
            </w:r>
          </w:p>
        </w:tc>
        <w:tc>
          <w:tcPr>
            <w:tcW w:w="1134" w:type="dxa"/>
            <w:tcBorders>
              <w:top w:val="nil"/>
              <w:left w:val="single" w:sz="18" w:space="0" w:color="5F497A" w:themeColor="accent4" w:themeShade="BF"/>
              <w:bottom w:val="nil"/>
              <w:right w:val="nil"/>
            </w:tcBorders>
            <w:shd w:val="clear" w:color="auto" w:fill="auto"/>
            <w:vAlign w:val="bottom"/>
          </w:tcPr>
          <w:p w14:paraId="5A4EBE74" w14:textId="6E7C8591" w:rsidR="00A66703" w:rsidRPr="001D41EA" w:rsidRDefault="00A66703" w:rsidP="001D41EA">
            <w:pPr>
              <w:spacing w:before="40" w:after="20"/>
              <w:jc w:val="right"/>
              <w:rPr>
                <w:rFonts w:cs="Arial"/>
                <w:sz w:val="18"/>
                <w:szCs w:val="18"/>
              </w:rPr>
            </w:pPr>
            <w:r w:rsidRPr="001D41EA">
              <w:rPr>
                <w:rFonts w:cs="Arial"/>
                <w:sz w:val="18"/>
                <w:szCs w:val="18"/>
              </w:rPr>
              <w:t>2,612,062</w:t>
            </w:r>
          </w:p>
        </w:tc>
        <w:tc>
          <w:tcPr>
            <w:tcW w:w="1134" w:type="dxa"/>
            <w:tcBorders>
              <w:top w:val="nil"/>
              <w:left w:val="nil"/>
              <w:bottom w:val="nil"/>
              <w:right w:val="nil"/>
            </w:tcBorders>
            <w:shd w:val="clear" w:color="auto" w:fill="auto"/>
            <w:vAlign w:val="bottom"/>
          </w:tcPr>
          <w:p w14:paraId="19ED4D39" w14:textId="3A1CFF4A" w:rsidR="00A66703" w:rsidRPr="001D41EA" w:rsidRDefault="00A66703" w:rsidP="001D41EA">
            <w:pPr>
              <w:spacing w:before="40" w:after="20"/>
              <w:jc w:val="right"/>
              <w:rPr>
                <w:rFonts w:cs="Arial"/>
                <w:sz w:val="18"/>
                <w:szCs w:val="18"/>
              </w:rPr>
            </w:pPr>
            <w:r w:rsidRPr="001D41EA">
              <w:rPr>
                <w:rFonts w:cs="Arial"/>
                <w:sz w:val="18"/>
                <w:szCs w:val="18"/>
              </w:rPr>
              <w:t>2,583,591</w:t>
            </w:r>
          </w:p>
        </w:tc>
        <w:tc>
          <w:tcPr>
            <w:tcW w:w="1134" w:type="dxa"/>
            <w:tcBorders>
              <w:top w:val="nil"/>
              <w:left w:val="nil"/>
              <w:bottom w:val="nil"/>
              <w:right w:val="nil"/>
            </w:tcBorders>
            <w:shd w:val="clear" w:color="auto" w:fill="auto"/>
            <w:vAlign w:val="bottom"/>
          </w:tcPr>
          <w:p w14:paraId="3FB83875" w14:textId="057A9E37" w:rsidR="00A66703" w:rsidRPr="001D41EA" w:rsidRDefault="00A66703" w:rsidP="001D41EA">
            <w:pPr>
              <w:spacing w:before="40" w:after="20"/>
              <w:jc w:val="right"/>
              <w:rPr>
                <w:rFonts w:cs="Arial"/>
                <w:sz w:val="18"/>
                <w:szCs w:val="18"/>
              </w:rPr>
            </w:pPr>
            <w:r w:rsidRPr="001D41EA">
              <w:rPr>
                <w:rFonts w:cs="Arial"/>
                <w:sz w:val="18"/>
                <w:szCs w:val="18"/>
              </w:rPr>
              <w:t>-28,471</w:t>
            </w:r>
          </w:p>
        </w:tc>
        <w:tc>
          <w:tcPr>
            <w:tcW w:w="170" w:type="dxa"/>
            <w:tcBorders>
              <w:top w:val="nil"/>
              <w:left w:val="nil"/>
              <w:bottom w:val="nil"/>
              <w:right w:val="nil"/>
            </w:tcBorders>
            <w:shd w:val="clear" w:color="auto" w:fill="auto"/>
            <w:vAlign w:val="bottom"/>
          </w:tcPr>
          <w:p w14:paraId="195AB58D"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7F39BEB" w14:textId="4C145FC6" w:rsidR="00A66703" w:rsidRPr="001D41EA" w:rsidRDefault="00A66703" w:rsidP="001D41EA">
            <w:pPr>
              <w:spacing w:before="40" w:after="20"/>
              <w:jc w:val="right"/>
              <w:rPr>
                <w:rFonts w:cs="Arial"/>
                <w:sz w:val="18"/>
                <w:szCs w:val="18"/>
              </w:rPr>
            </w:pPr>
            <w:r w:rsidRPr="001D41EA">
              <w:rPr>
                <w:rFonts w:cs="Arial"/>
                <w:sz w:val="18"/>
                <w:szCs w:val="18"/>
              </w:rPr>
              <w:t>704,381</w:t>
            </w:r>
          </w:p>
        </w:tc>
        <w:tc>
          <w:tcPr>
            <w:tcW w:w="1134" w:type="dxa"/>
            <w:tcBorders>
              <w:top w:val="nil"/>
              <w:left w:val="nil"/>
              <w:bottom w:val="nil"/>
              <w:right w:val="nil"/>
            </w:tcBorders>
            <w:shd w:val="clear" w:color="auto" w:fill="auto"/>
            <w:vAlign w:val="bottom"/>
          </w:tcPr>
          <w:p w14:paraId="67B15AF7" w14:textId="44AB06D2" w:rsidR="00A66703" w:rsidRPr="001D41EA" w:rsidRDefault="00A66703" w:rsidP="001D41EA">
            <w:pPr>
              <w:spacing w:before="40" w:after="20"/>
              <w:jc w:val="right"/>
              <w:rPr>
                <w:rFonts w:cs="Arial"/>
                <w:sz w:val="18"/>
                <w:szCs w:val="18"/>
              </w:rPr>
            </w:pPr>
            <w:r w:rsidRPr="001D41EA">
              <w:rPr>
                <w:rFonts w:cs="Arial"/>
                <w:sz w:val="18"/>
                <w:szCs w:val="18"/>
              </w:rPr>
              <w:t>698,828</w:t>
            </w:r>
          </w:p>
        </w:tc>
        <w:tc>
          <w:tcPr>
            <w:tcW w:w="1134" w:type="dxa"/>
            <w:tcBorders>
              <w:top w:val="nil"/>
              <w:left w:val="nil"/>
              <w:bottom w:val="nil"/>
              <w:right w:val="nil"/>
            </w:tcBorders>
            <w:shd w:val="clear" w:color="auto" w:fill="auto"/>
            <w:vAlign w:val="bottom"/>
          </w:tcPr>
          <w:p w14:paraId="19FB9258" w14:textId="70318299" w:rsidR="00A66703" w:rsidRPr="001D41EA" w:rsidRDefault="00A66703" w:rsidP="001D41EA">
            <w:pPr>
              <w:spacing w:before="40" w:after="20"/>
              <w:jc w:val="right"/>
              <w:rPr>
                <w:rFonts w:cs="Arial"/>
                <w:sz w:val="18"/>
                <w:szCs w:val="18"/>
              </w:rPr>
            </w:pPr>
            <w:r w:rsidRPr="001D41EA">
              <w:rPr>
                <w:rFonts w:cs="Arial"/>
                <w:sz w:val="18"/>
                <w:szCs w:val="18"/>
              </w:rPr>
              <w:t>-5,553</w:t>
            </w:r>
          </w:p>
        </w:tc>
      </w:tr>
      <w:tr w:rsidR="00A66703" w:rsidRPr="001D41EA" w14:paraId="1BD57851"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5D725E76" w14:textId="77777777" w:rsidR="00A66703" w:rsidRPr="001D41EA" w:rsidRDefault="00A66703" w:rsidP="001D41EA">
            <w:pPr>
              <w:spacing w:before="40" w:after="20"/>
              <w:rPr>
                <w:rFonts w:cs="Arial"/>
                <w:sz w:val="18"/>
                <w:szCs w:val="18"/>
              </w:rPr>
            </w:pPr>
            <w:r w:rsidRPr="001D41EA">
              <w:rPr>
                <w:rFonts w:cs="Arial"/>
                <w:sz w:val="18"/>
                <w:szCs w:val="18"/>
              </w:rPr>
              <w:t xml:space="preserve">Moorabool S </w:t>
            </w:r>
          </w:p>
        </w:tc>
        <w:tc>
          <w:tcPr>
            <w:tcW w:w="1134" w:type="dxa"/>
            <w:tcBorders>
              <w:top w:val="nil"/>
              <w:left w:val="single" w:sz="18" w:space="0" w:color="5F497A" w:themeColor="accent4" w:themeShade="BF"/>
              <w:bottom w:val="nil"/>
              <w:right w:val="nil"/>
            </w:tcBorders>
            <w:shd w:val="clear" w:color="auto" w:fill="auto"/>
            <w:vAlign w:val="bottom"/>
          </w:tcPr>
          <w:p w14:paraId="079EB0F5" w14:textId="366C1F65" w:rsidR="00A66703" w:rsidRPr="001D41EA" w:rsidRDefault="00A66703" w:rsidP="001D41EA">
            <w:pPr>
              <w:spacing w:before="40" w:after="20"/>
              <w:jc w:val="right"/>
              <w:rPr>
                <w:rFonts w:cs="Arial"/>
                <w:sz w:val="18"/>
                <w:szCs w:val="18"/>
              </w:rPr>
            </w:pPr>
            <w:r w:rsidRPr="001D41EA">
              <w:rPr>
                <w:rFonts w:cs="Arial"/>
                <w:sz w:val="18"/>
                <w:szCs w:val="18"/>
              </w:rPr>
              <w:t>4,524,677</w:t>
            </w:r>
          </w:p>
        </w:tc>
        <w:tc>
          <w:tcPr>
            <w:tcW w:w="1134" w:type="dxa"/>
            <w:tcBorders>
              <w:top w:val="nil"/>
              <w:left w:val="nil"/>
              <w:bottom w:val="nil"/>
              <w:right w:val="nil"/>
            </w:tcBorders>
            <w:shd w:val="clear" w:color="auto" w:fill="auto"/>
            <w:vAlign w:val="bottom"/>
          </w:tcPr>
          <w:p w14:paraId="6DF7638B" w14:textId="6CFD2A40" w:rsidR="00A66703" w:rsidRPr="001D41EA" w:rsidRDefault="00A66703" w:rsidP="001D41EA">
            <w:pPr>
              <w:spacing w:before="40" w:after="20"/>
              <w:jc w:val="right"/>
              <w:rPr>
                <w:rFonts w:cs="Arial"/>
                <w:sz w:val="18"/>
                <w:szCs w:val="18"/>
              </w:rPr>
            </w:pPr>
            <w:r w:rsidRPr="001D41EA">
              <w:rPr>
                <w:rFonts w:cs="Arial"/>
                <w:sz w:val="18"/>
                <w:szCs w:val="18"/>
              </w:rPr>
              <w:t>4,475,358</w:t>
            </w:r>
          </w:p>
        </w:tc>
        <w:tc>
          <w:tcPr>
            <w:tcW w:w="1134" w:type="dxa"/>
            <w:tcBorders>
              <w:top w:val="nil"/>
              <w:left w:val="nil"/>
              <w:bottom w:val="nil"/>
              <w:right w:val="nil"/>
            </w:tcBorders>
            <w:shd w:val="clear" w:color="auto" w:fill="auto"/>
            <w:vAlign w:val="bottom"/>
          </w:tcPr>
          <w:p w14:paraId="46B2C2B5" w14:textId="474ABACE" w:rsidR="00A66703" w:rsidRPr="001D41EA" w:rsidRDefault="00A66703" w:rsidP="001D41EA">
            <w:pPr>
              <w:spacing w:before="40" w:after="20"/>
              <w:jc w:val="right"/>
              <w:rPr>
                <w:rFonts w:cs="Arial"/>
                <w:sz w:val="18"/>
                <w:szCs w:val="18"/>
              </w:rPr>
            </w:pPr>
            <w:r w:rsidRPr="001D41EA">
              <w:rPr>
                <w:rFonts w:cs="Arial"/>
                <w:sz w:val="18"/>
                <w:szCs w:val="18"/>
              </w:rPr>
              <w:t>-49,319</w:t>
            </w:r>
          </w:p>
        </w:tc>
        <w:tc>
          <w:tcPr>
            <w:tcW w:w="170" w:type="dxa"/>
            <w:tcBorders>
              <w:top w:val="nil"/>
              <w:left w:val="nil"/>
              <w:bottom w:val="nil"/>
              <w:right w:val="nil"/>
            </w:tcBorders>
            <w:shd w:val="clear" w:color="auto" w:fill="auto"/>
            <w:vAlign w:val="bottom"/>
          </w:tcPr>
          <w:p w14:paraId="52E4734B"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127E069" w14:textId="18ED5DDC" w:rsidR="00A66703" w:rsidRPr="001D41EA" w:rsidRDefault="00A66703" w:rsidP="001D41EA">
            <w:pPr>
              <w:spacing w:before="40" w:after="20"/>
              <w:jc w:val="right"/>
              <w:rPr>
                <w:rFonts w:cs="Arial"/>
                <w:sz w:val="18"/>
                <w:szCs w:val="18"/>
              </w:rPr>
            </w:pPr>
            <w:r w:rsidRPr="001D41EA">
              <w:rPr>
                <w:rFonts w:cs="Arial"/>
                <w:sz w:val="18"/>
                <w:szCs w:val="18"/>
              </w:rPr>
              <w:t>1,962,399</w:t>
            </w:r>
          </w:p>
        </w:tc>
        <w:tc>
          <w:tcPr>
            <w:tcW w:w="1134" w:type="dxa"/>
            <w:tcBorders>
              <w:top w:val="nil"/>
              <w:left w:val="nil"/>
              <w:bottom w:val="nil"/>
              <w:right w:val="nil"/>
            </w:tcBorders>
            <w:shd w:val="clear" w:color="auto" w:fill="auto"/>
            <w:vAlign w:val="bottom"/>
          </w:tcPr>
          <w:p w14:paraId="11D8DFA8" w14:textId="65367F69" w:rsidR="00A66703" w:rsidRPr="001D41EA" w:rsidRDefault="00A66703" w:rsidP="001D41EA">
            <w:pPr>
              <w:spacing w:before="40" w:after="20"/>
              <w:jc w:val="right"/>
              <w:rPr>
                <w:rFonts w:cs="Arial"/>
                <w:sz w:val="18"/>
                <w:szCs w:val="18"/>
              </w:rPr>
            </w:pPr>
            <w:r w:rsidRPr="001D41EA">
              <w:rPr>
                <w:rFonts w:cs="Arial"/>
                <w:sz w:val="18"/>
                <w:szCs w:val="18"/>
              </w:rPr>
              <w:t>1,946,930</w:t>
            </w:r>
          </w:p>
        </w:tc>
        <w:tc>
          <w:tcPr>
            <w:tcW w:w="1134" w:type="dxa"/>
            <w:tcBorders>
              <w:top w:val="nil"/>
              <w:left w:val="nil"/>
              <w:bottom w:val="nil"/>
              <w:right w:val="nil"/>
            </w:tcBorders>
            <w:shd w:val="clear" w:color="auto" w:fill="auto"/>
            <w:vAlign w:val="bottom"/>
          </w:tcPr>
          <w:p w14:paraId="4808FCC2" w14:textId="76C2CBB6" w:rsidR="00A66703" w:rsidRPr="001D41EA" w:rsidRDefault="00A66703" w:rsidP="001D41EA">
            <w:pPr>
              <w:spacing w:before="40" w:after="20"/>
              <w:jc w:val="right"/>
              <w:rPr>
                <w:rFonts w:cs="Arial"/>
                <w:sz w:val="18"/>
                <w:szCs w:val="18"/>
              </w:rPr>
            </w:pPr>
            <w:r w:rsidRPr="001D41EA">
              <w:rPr>
                <w:rFonts w:cs="Arial"/>
                <w:sz w:val="18"/>
                <w:szCs w:val="18"/>
              </w:rPr>
              <w:t>-15,469</w:t>
            </w:r>
          </w:p>
        </w:tc>
      </w:tr>
      <w:tr w:rsidR="00A66703" w:rsidRPr="001D41EA" w14:paraId="76052C39"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67758D18" w14:textId="77777777" w:rsidR="00A66703" w:rsidRPr="001D41EA" w:rsidRDefault="00A66703" w:rsidP="001D41EA">
            <w:pPr>
              <w:spacing w:before="40" w:after="20"/>
              <w:rPr>
                <w:rFonts w:cs="Arial"/>
                <w:sz w:val="18"/>
                <w:szCs w:val="18"/>
              </w:rPr>
            </w:pPr>
            <w:r w:rsidRPr="001D41EA">
              <w:rPr>
                <w:rFonts w:cs="Arial"/>
                <w:sz w:val="18"/>
                <w:szCs w:val="18"/>
              </w:rPr>
              <w:t xml:space="preserve">Moreland C </w:t>
            </w:r>
          </w:p>
        </w:tc>
        <w:tc>
          <w:tcPr>
            <w:tcW w:w="1134" w:type="dxa"/>
            <w:tcBorders>
              <w:top w:val="nil"/>
              <w:left w:val="single" w:sz="18" w:space="0" w:color="5F497A" w:themeColor="accent4" w:themeShade="BF"/>
              <w:bottom w:val="nil"/>
              <w:right w:val="nil"/>
            </w:tcBorders>
            <w:shd w:val="clear" w:color="auto" w:fill="auto"/>
            <w:vAlign w:val="bottom"/>
          </w:tcPr>
          <w:p w14:paraId="23B2D179" w14:textId="2A0E0CE4" w:rsidR="00A66703" w:rsidRPr="001D41EA" w:rsidRDefault="00A66703" w:rsidP="001D41EA">
            <w:pPr>
              <w:spacing w:before="40" w:after="20"/>
              <w:jc w:val="right"/>
              <w:rPr>
                <w:rFonts w:cs="Arial"/>
                <w:sz w:val="18"/>
                <w:szCs w:val="18"/>
              </w:rPr>
            </w:pPr>
            <w:r w:rsidRPr="001D41EA">
              <w:rPr>
                <w:rFonts w:cs="Arial"/>
                <w:sz w:val="18"/>
                <w:szCs w:val="18"/>
              </w:rPr>
              <w:t>4,187,762</w:t>
            </w:r>
          </w:p>
        </w:tc>
        <w:tc>
          <w:tcPr>
            <w:tcW w:w="1134" w:type="dxa"/>
            <w:tcBorders>
              <w:top w:val="nil"/>
              <w:left w:val="nil"/>
              <w:bottom w:val="nil"/>
              <w:right w:val="nil"/>
            </w:tcBorders>
            <w:shd w:val="clear" w:color="auto" w:fill="auto"/>
            <w:vAlign w:val="bottom"/>
          </w:tcPr>
          <w:p w14:paraId="1E1ADD2F" w14:textId="78113F65" w:rsidR="00A66703" w:rsidRPr="001D41EA" w:rsidRDefault="00A66703" w:rsidP="001D41EA">
            <w:pPr>
              <w:spacing w:before="40" w:after="20"/>
              <w:jc w:val="right"/>
              <w:rPr>
                <w:rFonts w:cs="Arial"/>
                <w:sz w:val="18"/>
                <w:szCs w:val="18"/>
              </w:rPr>
            </w:pPr>
            <w:r w:rsidRPr="001D41EA">
              <w:rPr>
                <w:rFonts w:cs="Arial"/>
                <w:sz w:val="18"/>
                <w:szCs w:val="18"/>
              </w:rPr>
              <w:t>4,142,116</w:t>
            </w:r>
          </w:p>
        </w:tc>
        <w:tc>
          <w:tcPr>
            <w:tcW w:w="1134" w:type="dxa"/>
            <w:tcBorders>
              <w:top w:val="nil"/>
              <w:left w:val="nil"/>
              <w:bottom w:val="nil"/>
              <w:right w:val="nil"/>
            </w:tcBorders>
            <w:shd w:val="clear" w:color="auto" w:fill="auto"/>
            <w:vAlign w:val="bottom"/>
          </w:tcPr>
          <w:p w14:paraId="07A41FD5" w14:textId="48BA0B37" w:rsidR="00A66703" w:rsidRPr="001D41EA" w:rsidRDefault="00A66703" w:rsidP="001D41EA">
            <w:pPr>
              <w:spacing w:before="40" w:after="20"/>
              <w:jc w:val="right"/>
              <w:rPr>
                <w:rFonts w:cs="Arial"/>
                <w:sz w:val="18"/>
                <w:szCs w:val="18"/>
              </w:rPr>
            </w:pPr>
            <w:r w:rsidRPr="001D41EA">
              <w:rPr>
                <w:rFonts w:cs="Arial"/>
                <w:sz w:val="18"/>
                <w:szCs w:val="18"/>
              </w:rPr>
              <w:t>-45,646</w:t>
            </w:r>
          </w:p>
        </w:tc>
        <w:tc>
          <w:tcPr>
            <w:tcW w:w="170" w:type="dxa"/>
            <w:tcBorders>
              <w:top w:val="nil"/>
              <w:left w:val="nil"/>
              <w:bottom w:val="nil"/>
              <w:right w:val="nil"/>
            </w:tcBorders>
            <w:shd w:val="clear" w:color="auto" w:fill="auto"/>
            <w:vAlign w:val="bottom"/>
          </w:tcPr>
          <w:p w14:paraId="3E65D3FE"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3829827" w14:textId="244D0AD5" w:rsidR="00A66703" w:rsidRPr="001D41EA" w:rsidRDefault="00A66703" w:rsidP="001D41EA">
            <w:pPr>
              <w:spacing w:before="40" w:after="20"/>
              <w:jc w:val="right"/>
              <w:rPr>
                <w:rFonts w:cs="Arial"/>
                <w:sz w:val="18"/>
                <w:szCs w:val="18"/>
              </w:rPr>
            </w:pPr>
            <w:r w:rsidRPr="001D41EA">
              <w:rPr>
                <w:rFonts w:cs="Arial"/>
                <w:sz w:val="18"/>
                <w:szCs w:val="18"/>
              </w:rPr>
              <w:t>932,118</w:t>
            </w:r>
          </w:p>
        </w:tc>
        <w:tc>
          <w:tcPr>
            <w:tcW w:w="1134" w:type="dxa"/>
            <w:tcBorders>
              <w:top w:val="nil"/>
              <w:left w:val="nil"/>
              <w:bottom w:val="nil"/>
              <w:right w:val="nil"/>
            </w:tcBorders>
            <w:shd w:val="clear" w:color="auto" w:fill="auto"/>
            <w:vAlign w:val="bottom"/>
          </w:tcPr>
          <w:p w14:paraId="24140B0D" w14:textId="3AA55CA7" w:rsidR="00A66703" w:rsidRPr="001D41EA" w:rsidRDefault="00A66703" w:rsidP="001D41EA">
            <w:pPr>
              <w:spacing w:before="40" w:after="20"/>
              <w:jc w:val="right"/>
              <w:rPr>
                <w:rFonts w:cs="Arial"/>
                <w:sz w:val="18"/>
                <w:szCs w:val="18"/>
              </w:rPr>
            </w:pPr>
            <w:r w:rsidRPr="001D41EA">
              <w:rPr>
                <w:rFonts w:cs="Arial"/>
                <w:sz w:val="18"/>
                <w:szCs w:val="18"/>
              </w:rPr>
              <w:t>924,770</w:t>
            </w:r>
          </w:p>
        </w:tc>
        <w:tc>
          <w:tcPr>
            <w:tcW w:w="1134" w:type="dxa"/>
            <w:tcBorders>
              <w:top w:val="nil"/>
              <w:left w:val="nil"/>
              <w:bottom w:val="nil"/>
              <w:right w:val="nil"/>
            </w:tcBorders>
            <w:shd w:val="clear" w:color="auto" w:fill="auto"/>
            <w:vAlign w:val="bottom"/>
          </w:tcPr>
          <w:p w14:paraId="2FF8C75E" w14:textId="74E0533F" w:rsidR="00A66703" w:rsidRPr="001D41EA" w:rsidRDefault="00A66703" w:rsidP="001D41EA">
            <w:pPr>
              <w:spacing w:before="40" w:after="20"/>
              <w:jc w:val="right"/>
              <w:rPr>
                <w:rFonts w:cs="Arial"/>
                <w:sz w:val="18"/>
                <w:szCs w:val="18"/>
              </w:rPr>
            </w:pPr>
            <w:r w:rsidRPr="001D41EA">
              <w:rPr>
                <w:rFonts w:cs="Arial"/>
                <w:sz w:val="18"/>
                <w:szCs w:val="18"/>
              </w:rPr>
              <w:t>-7,348</w:t>
            </w:r>
          </w:p>
        </w:tc>
      </w:tr>
      <w:tr w:rsidR="00A66703" w:rsidRPr="001D41EA" w14:paraId="3ED54DE2"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3F7E870F" w14:textId="77777777" w:rsidR="00A66703" w:rsidRPr="001D41EA" w:rsidRDefault="00A66703" w:rsidP="001D41EA">
            <w:pPr>
              <w:spacing w:before="40" w:after="20"/>
              <w:rPr>
                <w:rFonts w:cs="Arial"/>
                <w:sz w:val="18"/>
                <w:szCs w:val="18"/>
              </w:rPr>
            </w:pPr>
            <w:r w:rsidRPr="001D41EA">
              <w:rPr>
                <w:rFonts w:cs="Arial"/>
                <w:sz w:val="18"/>
                <w:szCs w:val="18"/>
              </w:rPr>
              <w:t xml:space="preserve">Mornington Peninsula S </w:t>
            </w:r>
          </w:p>
        </w:tc>
        <w:tc>
          <w:tcPr>
            <w:tcW w:w="1134" w:type="dxa"/>
            <w:tcBorders>
              <w:top w:val="nil"/>
              <w:left w:val="single" w:sz="18" w:space="0" w:color="5F497A" w:themeColor="accent4" w:themeShade="BF"/>
              <w:bottom w:val="nil"/>
              <w:right w:val="nil"/>
            </w:tcBorders>
            <w:shd w:val="clear" w:color="auto" w:fill="auto"/>
            <w:vAlign w:val="bottom"/>
          </w:tcPr>
          <w:p w14:paraId="74102A21" w14:textId="5CE69D42" w:rsidR="00A66703" w:rsidRPr="001D41EA" w:rsidRDefault="00A66703" w:rsidP="001D41EA">
            <w:pPr>
              <w:spacing w:before="40" w:after="20"/>
              <w:jc w:val="right"/>
              <w:rPr>
                <w:rFonts w:cs="Arial"/>
                <w:sz w:val="18"/>
                <w:szCs w:val="18"/>
              </w:rPr>
            </w:pPr>
            <w:r w:rsidRPr="001D41EA">
              <w:rPr>
                <w:rFonts w:cs="Arial"/>
                <w:sz w:val="18"/>
                <w:szCs w:val="18"/>
              </w:rPr>
              <w:t>3,421,152</w:t>
            </w:r>
          </w:p>
        </w:tc>
        <w:tc>
          <w:tcPr>
            <w:tcW w:w="1134" w:type="dxa"/>
            <w:tcBorders>
              <w:top w:val="nil"/>
              <w:left w:val="nil"/>
              <w:bottom w:val="nil"/>
              <w:right w:val="nil"/>
            </w:tcBorders>
            <w:shd w:val="clear" w:color="auto" w:fill="auto"/>
            <w:vAlign w:val="bottom"/>
          </w:tcPr>
          <w:p w14:paraId="2B2D3278" w14:textId="162BD31B" w:rsidR="00A66703" w:rsidRPr="001D41EA" w:rsidRDefault="00A66703" w:rsidP="001D41EA">
            <w:pPr>
              <w:spacing w:before="40" w:after="20"/>
              <w:jc w:val="right"/>
              <w:rPr>
                <w:rFonts w:cs="Arial"/>
                <w:sz w:val="18"/>
                <w:szCs w:val="18"/>
              </w:rPr>
            </w:pPr>
            <w:r w:rsidRPr="001D41EA">
              <w:rPr>
                <w:rFonts w:cs="Arial"/>
                <w:sz w:val="18"/>
                <w:szCs w:val="18"/>
              </w:rPr>
              <w:t>3,383,862</w:t>
            </w:r>
          </w:p>
        </w:tc>
        <w:tc>
          <w:tcPr>
            <w:tcW w:w="1134" w:type="dxa"/>
            <w:tcBorders>
              <w:top w:val="nil"/>
              <w:left w:val="nil"/>
              <w:bottom w:val="nil"/>
              <w:right w:val="nil"/>
            </w:tcBorders>
            <w:shd w:val="clear" w:color="auto" w:fill="auto"/>
            <w:vAlign w:val="bottom"/>
          </w:tcPr>
          <w:p w14:paraId="7FF5F072" w14:textId="2A4E7C64" w:rsidR="00A66703" w:rsidRPr="001D41EA" w:rsidRDefault="00A66703" w:rsidP="001D41EA">
            <w:pPr>
              <w:spacing w:before="40" w:after="20"/>
              <w:jc w:val="right"/>
              <w:rPr>
                <w:rFonts w:cs="Arial"/>
                <w:sz w:val="18"/>
                <w:szCs w:val="18"/>
              </w:rPr>
            </w:pPr>
            <w:r w:rsidRPr="001D41EA">
              <w:rPr>
                <w:rFonts w:cs="Arial"/>
                <w:sz w:val="18"/>
                <w:szCs w:val="18"/>
              </w:rPr>
              <w:t>-37,290</w:t>
            </w:r>
          </w:p>
        </w:tc>
        <w:tc>
          <w:tcPr>
            <w:tcW w:w="170" w:type="dxa"/>
            <w:tcBorders>
              <w:top w:val="nil"/>
              <w:left w:val="nil"/>
              <w:bottom w:val="nil"/>
              <w:right w:val="nil"/>
            </w:tcBorders>
            <w:shd w:val="clear" w:color="auto" w:fill="auto"/>
            <w:vAlign w:val="bottom"/>
          </w:tcPr>
          <w:p w14:paraId="191630DD"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35D540C" w14:textId="2006CA0B" w:rsidR="00A66703" w:rsidRPr="001D41EA" w:rsidRDefault="00A66703" w:rsidP="001D41EA">
            <w:pPr>
              <w:spacing w:before="40" w:after="20"/>
              <w:jc w:val="right"/>
              <w:rPr>
                <w:rFonts w:cs="Arial"/>
                <w:sz w:val="18"/>
                <w:szCs w:val="18"/>
              </w:rPr>
            </w:pPr>
            <w:r w:rsidRPr="001D41EA">
              <w:rPr>
                <w:rFonts w:cs="Arial"/>
                <w:sz w:val="18"/>
                <w:szCs w:val="18"/>
              </w:rPr>
              <w:t>2,464,514</w:t>
            </w:r>
          </w:p>
        </w:tc>
        <w:tc>
          <w:tcPr>
            <w:tcW w:w="1134" w:type="dxa"/>
            <w:tcBorders>
              <w:top w:val="nil"/>
              <w:left w:val="nil"/>
              <w:bottom w:val="nil"/>
              <w:right w:val="nil"/>
            </w:tcBorders>
            <w:shd w:val="clear" w:color="auto" w:fill="auto"/>
            <w:vAlign w:val="bottom"/>
          </w:tcPr>
          <w:p w14:paraId="2E6E07F5" w14:textId="3F81C6F0" w:rsidR="00A66703" w:rsidRPr="001D41EA" w:rsidRDefault="00A66703" w:rsidP="001D41EA">
            <w:pPr>
              <w:spacing w:before="40" w:after="20"/>
              <w:jc w:val="right"/>
              <w:rPr>
                <w:rFonts w:cs="Arial"/>
                <w:sz w:val="18"/>
                <w:szCs w:val="18"/>
              </w:rPr>
            </w:pPr>
            <w:r w:rsidRPr="001D41EA">
              <w:rPr>
                <w:rFonts w:cs="Arial"/>
                <w:sz w:val="18"/>
                <w:szCs w:val="18"/>
              </w:rPr>
              <w:t>2,445,086</w:t>
            </w:r>
          </w:p>
        </w:tc>
        <w:tc>
          <w:tcPr>
            <w:tcW w:w="1134" w:type="dxa"/>
            <w:tcBorders>
              <w:top w:val="nil"/>
              <w:left w:val="nil"/>
              <w:bottom w:val="nil"/>
              <w:right w:val="nil"/>
            </w:tcBorders>
            <w:shd w:val="clear" w:color="auto" w:fill="auto"/>
            <w:vAlign w:val="bottom"/>
          </w:tcPr>
          <w:p w14:paraId="4E34134D" w14:textId="70B9AED7" w:rsidR="00A66703" w:rsidRPr="001D41EA" w:rsidRDefault="00A66703" w:rsidP="001D41EA">
            <w:pPr>
              <w:spacing w:before="40" w:after="20"/>
              <w:jc w:val="right"/>
              <w:rPr>
                <w:rFonts w:cs="Arial"/>
                <w:sz w:val="18"/>
                <w:szCs w:val="18"/>
              </w:rPr>
            </w:pPr>
            <w:r w:rsidRPr="001D41EA">
              <w:rPr>
                <w:rFonts w:cs="Arial"/>
                <w:sz w:val="18"/>
                <w:szCs w:val="18"/>
              </w:rPr>
              <w:t>-19,428</w:t>
            </w:r>
          </w:p>
        </w:tc>
      </w:tr>
      <w:tr w:rsidR="00A66703" w:rsidRPr="001D41EA" w14:paraId="3E62CF62"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1819B9EF" w14:textId="77777777" w:rsidR="00A66703" w:rsidRPr="001D41EA" w:rsidRDefault="00A66703" w:rsidP="001D41EA">
            <w:pPr>
              <w:spacing w:before="40" w:after="20"/>
              <w:rPr>
                <w:rFonts w:cs="Arial"/>
                <w:sz w:val="18"/>
                <w:szCs w:val="18"/>
              </w:rPr>
            </w:pPr>
            <w:r w:rsidRPr="001D41EA">
              <w:rPr>
                <w:rFonts w:cs="Arial"/>
                <w:sz w:val="18"/>
                <w:szCs w:val="18"/>
              </w:rPr>
              <w:t xml:space="preserve">Mount Alexander S </w:t>
            </w:r>
          </w:p>
        </w:tc>
        <w:tc>
          <w:tcPr>
            <w:tcW w:w="1134" w:type="dxa"/>
            <w:tcBorders>
              <w:top w:val="nil"/>
              <w:left w:val="single" w:sz="18" w:space="0" w:color="5F497A" w:themeColor="accent4" w:themeShade="BF"/>
              <w:bottom w:val="nil"/>
              <w:right w:val="nil"/>
            </w:tcBorders>
            <w:shd w:val="clear" w:color="auto" w:fill="auto"/>
            <w:vAlign w:val="bottom"/>
          </w:tcPr>
          <w:p w14:paraId="2DFECFB4" w14:textId="1E755D27" w:rsidR="00A66703" w:rsidRPr="001D41EA" w:rsidRDefault="00A66703" w:rsidP="001D41EA">
            <w:pPr>
              <w:spacing w:before="40" w:after="20"/>
              <w:jc w:val="right"/>
              <w:rPr>
                <w:rFonts w:cs="Arial"/>
                <w:sz w:val="18"/>
                <w:szCs w:val="18"/>
              </w:rPr>
            </w:pPr>
            <w:r w:rsidRPr="001D41EA">
              <w:rPr>
                <w:rFonts w:cs="Arial"/>
                <w:sz w:val="18"/>
                <w:szCs w:val="18"/>
              </w:rPr>
              <w:t>3,275,566</w:t>
            </w:r>
          </w:p>
        </w:tc>
        <w:tc>
          <w:tcPr>
            <w:tcW w:w="1134" w:type="dxa"/>
            <w:tcBorders>
              <w:top w:val="nil"/>
              <w:left w:val="nil"/>
              <w:bottom w:val="nil"/>
              <w:right w:val="nil"/>
            </w:tcBorders>
            <w:shd w:val="clear" w:color="auto" w:fill="auto"/>
            <w:vAlign w:val="bottom"/>
          </w:tcPr>
          <w:p w14:paraId="237309FA" w14:textId="17835C24" w:rsidR="00A66703" w:rsidRPr="001D41EA" w:rsidRDefault="00A66703" w:rsidP="001D41EA">
            <w:pPr>
              <w:spacing w:before="40" w:after="20"/>
              <w:jc w:val="right"/>
              <w:rPr>
                <w:rFonts w:cs="Arial"/>
                <w:sz w:val="18"/>
                <w:szCs w:val="18"/>
              </w:rPr>
            </w:pPr>
            <w:r w:rsidRPr="001D41EA">
              <w:rPr>
                <w:rFonts w:cs="Arial"/>
                <w:sz w:val="18"/>
                <w:szCs w:val="18"/>
              </w:rPr>
              <w:t>3,239,863</w:t>
            </w:r>
          </w:p>
        </w:tc>
        <w:tc>
          <w:tcPr>
            <w:tcW w:w="1134" w:type="dxa"/>
            <w:tcBorders>
              <w:top w:val="nil"/>
              <w:left w:val="nil"/>
              <w:bottom w:val="nil"/>
              <w:right w:val="nil"/>
            </w:tcBorders>
            <w:shd w:val="clear" w:color="auto" w:fill="auto"/>
            <w:vAlign w:val="bottom"/>
          </w:tcPr>
          <w:p w14:paraId="0F5290A4" w14:textId="257282AF" w:rsidR="00A66703" w:rsidRPr="001D41EA" w:rsidRDefault="00A66703" w:rsidP="001D41EA">
            <w:pPr>
              <w:spacing w:before="40" w:after="20"/>
              <w:jc w:val="right"/>
              <w:rPr>
                <w:rFonts w:cs="Arial"/>
                <w:sz w:val="18"/>
                <w:szCs w:val="18"/>
              </w:rPr>
            </w:pPr>
            <w:r w:rsidRPr="001D41EA">
              <w:rPr>
                <w:rFonts w:cs="Arial"/>
                <w:sz w:val="18"/>
                <w:szCs w:val="18"/>
              </w:rPr>
              <w:t>-35,703</w:t>
            </w:r>
          </w:p>
        </w:tc>
        <w:tc>
          <w:tcPr>
            <w:tcW w:w="170" w:type="dxa"/>
            <w:tcBorders>
              <w:top w:val="nil"/>
              <w:left w:val="nil"/>
              <w:bottom w:val="nil"/>
              <w:right w:val="nil"/>
            </w:tcBorders>
            <w:shd w:val="clear" w:color="auto" w:fill="auto"/>
            <w:vAlign w:val="bottom"/>
          </w:tcPr>
          <w:p w14:paraId="6D83AEBB"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FD31CE3" w14:textId="350C307E" w:rsidR="00A66703" w:rsidRPr="001D41EA" w:rsidRDefault="00A66703" w:rsidP="001D41EA">
            <w:pPr>
              <w:spacing w:before="40" w:after="20"/>
              <w:jc w:val="right"/>
              <w:rPr>
                <w:rFonts w:cs="Arial"/>
                <w:sz w:val="18"/>
                <w:szCs w:val="18"/>
              </w:rPr>
            </w:pPr>
            <w:r w:rsidRPr="001D41EA">
              <w:rPr>
                <w:rFonts w:cs="Arial"/>
                <w:sz w:val="18"/>
                <w:szCs w:val="18"/>
              </w:rPr>
              <w:t>1,656,971</w:t>
            </w:r>
          </w:p>
        </w:tc>
        <w:tc>
          <w:tcPr>
            <w:tcW w:w="1134" w:type="dxa"/>
            <w:tcBorders>
              <w:top w:val="nil"/>
              <w:left w:val="nil"/>
              <w:bottom w:val="nil"/>
              <w:right w:val="nil"/>
            </w:tcBorders>
            <w:shd w:val="clear" w:color="auto" w:fill="auto"/>
            <w:vAlign w:val="bottom"/>
          </w:tcPr>
          <w:p w14:paraId="11083278" w14:textId="2FAD1F1A" w:rsidR="00A66703" w:rsidRPr="001D41EA" w:rsidRDefault="00A66703" w:rsidP="001D41EA">
            <w:pPr>
              <w:spacing w:before="40" w:after="20"/>
              <w:jc w:val="right"/>
              <w:rPr>
                <w:rFonts w:cs="Arial"/>
                <w:sz w:val="18"/>
                <w:szCs w:val="18"/>
              </w:rPr>
            </w:pPr>
            <w:r w:rsidRPr="001D41EA">
              <w:rPr>
                <w:rFonts w:cs="Arial"/>
                <w:sz w:val="18"/>
                <w:szCs w:val="18"/>
              </w:rPr>
              <w:t>1,643,909</w:t>
            </w:r>
          </w:p>
        </w:tc>
        <w:tc>
          <w:tcPr>
            <w:tcW w:w="1134" w:type="dxa"/>
            <w:tcBorders>
              <w:top w:val="nil"/>
              <w:left w:val="nil"/>
              <w:bottom w:val="nil"/>
              <w:right w:val="nil"/>
            </w:tcBorders>
            <w:shd w:val="clear" w:color="auto" w:fill="auto"/>
            <w:vAlign w:val="bottom"/>
          </w:tcPr>
          <w:p w14:paraId="0284DEC5" w14:textId="1F8EED4F" w:rsidR="00A66703" w:rsidRPr="001D41EA" w:rsidRDefault="00A66703" w:rsidP="001D41EA">
            <w:pPr>
              <w:spacing w:before="40" w:after="20"/>
              <w:jc w:val="right"/>
              <w:rPr>
                <w:rFonts w:cs="Arial"/>
                <w:sz w:val="18"/>
                <w:szCs w:val="18"/>
              </w:rPr>
            </w:pPr>
            <w:r w:rsidRPr="001D41EA">
              <w:rPr>
                <w:rFonts w:cs="Arial"/>
                <w:sz w:val="18"/>
                <w:szCs w:val="18"/>
              </w:rPr>
              <w:t>-13,062</w:t>
            </w:r>
          </w:p>
        </w:tc>
      </w:tr>
      <w:tr w:rsidR="00A66703" w:rsidRPr="001D41EA" w14:paraId="6F3DA3F8"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6FBAB5B2" w14:textId="77777777" w:rsidR="00A66703" w:rsidRPr="001D41EA" w:rsidRDefault="00A66703" w:rsidP="001D41EA">
            <w:pPr>
              <w:spacing w:before="40" w:after="20"/>
              <w:rPr>
                <w:rFonts w:cs="Arial"/>
                <w:sz w:val="18"/>
                <w:szCs w:val="18"/>
              </w:rPr>
            </w:pPr>
            <w:r w:rsidRPr="001D41EA">
              <w:rPr>
                <w:rFonts w:cs="Arial"/>
                <w:sz w:val="18"/>
                <w:szCs w:val="18"/>
              </w:rPr>
              <w:t xml:space="preserve">Moyne S </w:t>
            </w:r>
          </w:p>
        </w:tc>
        <w:tc>
          <w:tcPr>
            <w:tcW w:w="1134" w:type="dxa"/>
            <w:tcBorders>
              <w:top w:val="nil"/>
              <w:left w:val="single" w:sz="18" w:space="0" w:color="5F497A" w:themeColor="accent4" w:themeShade="BF"/>
              <w:bottom w:val="nil"/>
              <w:right w:val="nil"/>
            </w:tcBorders>
            <w:shd w:val="clear" w:color="auto" w:fill="auto"/>
            <w:vAlign w:val="bottom"/>
          </w:tcPr>
          <w:p w14:paraId="68D96F5D" w14:textId="4932A067" w:rsidR="00A66703" w:rsidRPr="001D41EA" w:rsidRDefault="00A66703" w:rsidP="001D41EA">
            <w:pPr>
              <w:spacing w:before="40" w:after="20"/>
              <w:jc w:val="right"/>
              <w:rPr>
                <w:rFonts w:cs="Arial"/>
                <w:sz w:val="18"/>
                <w:szCs w:val="18"/>
              </w:rPr>
            </w:pPr>
            <w:r w:rsidRPr="001D41EA">
              <w:rPr>
                <w:rFonts w:cs="Arial"/>
                <w:sz w:val="18"/>
                <w:szCs w:val="18"/>
              </w:rPr>
              <w:t>4,496,079</w:t>
            </w:r>
          </w:p>
        </w:tc>
        <w:tc>
          <w:tcPr>
            <w:tcW w:w="1134" w:type="dxa"/>
            <w:tcBorders>
              <w:top w:val="nil"/>
              <w:left w:val="nil"/>
              <w:bottom w:val="nil"/>
              <w:right w:val="nil"/>
            </w:tcBorders>
            <w:shd w:val="clear" w:color="auto" w:fill="auto"/>
            <w:vAlign w:val="bottom"/>
          </w:tcPr>
          <w:p w14:paraId="78922CCE" w14:textId="36406BCE" w:rsidR="00A66703" w:rsidRPr="001D41EA" w:rsidRDefault="00A66703" w:rsidP="001D41EA">
            <w:pPr>
              <w:spacing w:before="40" w:after="20"/>
              <w:jc w:val="right"/>
              <w:rPr>
                <w:rFonts w:cs="Arial"/>
                <w:sz w:val="18"/>
                <w:szCs w:val="18"/>
              </w:rPr>
            </w:pPr>
            <w:r w:rsidRPr="001D41EA">
              <w:rPr>
                <w:rFonts w:cs="Arial"/>
                <w:sz w:val="18"/>
                <w:szCs w:val="18"/>
              </w:rPr>
              <w:t>4,447,072</w:t>
            </w:r>
          </w:p>
        </w:tc>
        <w:tc>
          <w:tcPr>
            <w:tcW w:w="1134" w:type="dxa"/>
            <w:tcBorders>
              <w:top w:val="nil"/>
              <w:left w:val="nil"/>
              <w:bottom w:val="nil"/>
              <w:right w:val="nil"/>
            </w:tcBorders>
            <w:shd w:val="clear" w:color="auto" w:fill="auto"/>
            <w:vAlign w:val="bottom"/>
          </w:tcPr>
          <w:p w14:paraId="1ACDDBDD" w14:textId="60749640" w:rsidR="00A66703" w:rsidRPr="001D41EA" w:rsidRDefault="00A66703" w:rsidP="001D41EA">
            <w:pPr>
              <w:spacing w:before="40" w:after="20"/>
              <w:jc w:val="right"/>
              <w:rPr>
                <w:rFonts w:cs="Arial"/>
                <w:sz w:val="18"/>
                <w:szCs w:val="18"/>
              </w:rPr>
            </w:pPr>
            <w:r w:rsidRPr="001D41EA">
              <w:rPr>
                <w:rFonts w:cs="Arial"/>
                <w:sz w:val="18"/>
                <w:szCs w:val="18"/>
              </w:rPr>
              <w:t>-49,007</w:t>
            </w:r>
          </w:p>
        </w:tc>
        <w:tc>
          <w:tcPr>
            <w:tcW w:w="170" w:type="dxa"/>
            <w:tcBorders>
              <w:top w:val="nil"/>
              <w:left w:val="nil"/>
              <w:bottom w:val="nil"/>
              <w:right w:val="nil"/>
            </w:tcBorders>
            <w:shd w:val="clear" w:color="auto" w:fill="auto"/>
            <w:vAlign w:val="bottom"/>
          </w:tcPr>
          <w:p w14:paraId="66787F08"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7AE3644" w14:textId="73B4FBF9" w:rsidR="00A66703" w:rsidRPr="001D41EA" w:rsidRDefault="00A66703" w:rsidP="001D41EA">
            <w:pPr>
              <w:spacing w:before="40" w:after="20"/>
              <w:jc w:val="right"/>
              <w:rPr>
                <w:rFonts w:cs="Arial"/>
                <w:sz w:val="18"/>
                <w:szCs w:val="18"/>
              </w:rPr>
            </w:pPr>
            <w:r w:rsidRPr="001D41EA">
              <w:rPr>
                <w:rFonts w:cs="Arial"/>
                <w:sz w:val="18"/>
                <w:szCs w:val="18"/>
              </w:rPr>
              <w:t>4,161,367</w:t>
            </w:r>
          </w:p>
        </w:tc>
        <w:tc>
          <w:tcPr>
            <w:tcW w:w="1134" w:type="dxa"/>
            <w:tcBorders>
              <w:top w:val="nil"/>
              <w:left w:val="nil"/>
              <w:bottom w:val="nil"/>
              <w:right w:val="nil"/>
            </w:tcBorders>
            <w:shd w:val="clear" w:color="auto" w:fill="auto"/>
            <w:vAlign w:val="bottom"/>
          </w:tcPr>
          <w:p w14:paraId="316498CF" w14:textId="013380CA" w:rsidR="00A66703" w:rsidRPr="001D41EA" w:rsidRDefault="00A66703" w:rsidP="001D41EA">
            <w:pPr>
              <w:spacing w:before="40" w:after="20"/>
              <w:jc w:val="right"/>
              <w:rPr>
                <w:rFonts w:cs="Arial"/>
                <w:sz w:val="18"/>
                <w:szCs w:val="18"/>
              </w:rPr>
            </w:pPr>
            <w:r w:rsidRPr="001D41EA">
              <w:rPr>
                <w:rFonts w:cs="Arial"/>
                <w:sz w:val="18"/>
                <w:szCs w:val="18"/>
              </w:rPr>
              <w:t>4,128,563</w:t>
            </w:r>
          </w:p>
        </w:tc>
        <w:tc>
          <w:tcPr>
            <w:tcW w:w="1134" w:type="dxa"/>
            <w:tcBorders>
              <w:top w:val="nil"/>
              <w:left w:val="nil"/>
              <w:bottom w:val="nil"/>
              <w:right w:val="nil"/>
            </w:tcBorders>
            <w:shd w:val="clear" w:color="auto" w:fill="auto"/>
            <w:vAlign w:val="bottom"/>
          </w:tcPr>
          <w:p w14:paraId="7B470953" w14:textId="2FE06647" w:rsidR="00A66703" w:rsidRPr="001D41EA" w:rsidRDefault="00A66703" w:rsidP="001D41EA">
            <w:pPr>
              <w:spacing w:before="40" w:after="20"/>
              <w:jc w:val="right"/>
              <w:rPr>
                <w:rFonts w:cs="Arial"/>
                <w:sz w:val="18"/>
                <w:szCs w:val="18"/>
              </w:rPr>
            </w:pPr>
            <w:r w:rsidRPr="001D41EA">
              <w:rPr>
                <w:rFonts w:cs="Arial"/>
                <w:sz w:val="18"/>
                <w:szCs w:val="18"/>
              </w:rPr>
              <w:t>-32,804</w:t>
            </w:r>
          </w:p>
        </w:tc>
      </w:tr>
      <w:tr w:rsidR="00A66703" w:rsidRPr="001D41EA" w14:paraId="0798986F"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2AC853D0" w14:textId="77777777" w:rsidR="00A66703" w:rsidRPr="001D41EA" w:rsidRDefault="00A66703" w:rsidP="001D41EA">
            <w:pPr>
              <w:spacing w:before="40" w:after="20"/>
              <w:rPr>
                <w:rFonts w:cs="Arial"/>
                <w:sz w:val="18"/>
                <w:szCs w:val="18"/>
              </w:rPr>
            </w:pPr>
            <w:r w:rsidRPr="001D41EA">
              <w:rPr>
                <w:rFonts w:cs="Arial"/>
                <w:sz w:val="18"/>
                <w:szCs w:val="18"/>
              </w:rPr>
              <w:t xml:space="preserve">Murrindindi S </w:t>
            </w:r>
          </w:p>
        </w:tc>
        <w:tc>
          <w:tcPr>
            <w:tcW w:w="1134" w:type="dxa"/>
            <w:tcBorders>
              <w:top w:val="nil"/>
              <w:left w:val="single" w:sz="18" w:space="0" w:color="5F497A" w:themeColor="accent4" w:themeShade="BF"/>
              <w:bottom w:val="nil"/>
              <w:right w:val="nil"/>
            </w:tcBorders>
            <w:shd w:val="clear" w:color="auto" w:fill="auto"/>
            <w:vAlign w:val="bottom"/>
          </w:tcPr>
          <w:p w14:paraId="624409A2" w14:textId="4EC081AB" w:rsidR="00A66703" w:rsidRPr="001D41EA" w:rsidRDefault="00A66703" w:rsidP="001D41EA">
            <w:pPr>
              <w:spacing w:before="40" w:after="20"/>
              <w:jc w:val="right"/>
              <w:rPr>
                <w:rFonts w:cs="Arial"/>
                <w:sz w:val="18"/>
                <w:szCs w:val="18"/>
              </w:rPr>
            </w:pPr>
            <w:r w:rsidRPr="001D41EA">
              <w:rPr>
                <w:rFonts w:cs="Arial"/>
                <w:sz w:val="18"/>
                <w:szCs w:val="18"/>
              </w:rPr>
              <w:t>2,984,000</w:t>
            </w:r>
          </w:p>
        </w:tc>
        <w:tc>
          <w:tcPr>
            <w:tcW w:w="1134" w:type="dxa"/>
            <w:tcBorders>
              <w:top w:val="nil"/>
              <w:left w:val="nil"/>
              <w:bottom w:val="nil"/>
              <w:right w:val="nil"/>
            </w:tcBorders>
            <w:shd w:val="clear" w:color="auto" w:fill="auto"/>
            <w:vAlign w:val="bottom"/>
          </w:tcPr>
          <w:p w14:paraId="67327918" w14:textId="4A3B543A" w:rsidR="00A66703" w:rsidRPr="001D41EA" w:rsidRDefault="00A66703" w:rsidP="001D41EA">
            <w:pPr>
              <w:spacing w:before="40" w:after="20"/>
              <w:jc w:val="right"/>
              <w:rPr>
                <w:rFonts w:cs="Arial"/>
                <w:sz w:val="18"/>
                <w:szCs w:val="18"/>
              </w:rPr>
            </w:pPr>
            <w:r w:rsidRPr="001D41EA">
              <w:rPr>
                <w:rFonts w:cs="Arial"/>
                <w:sz w:val="18"/>
                <w:szCs w:val="18"/>
              </w:rPr>
              <w:t>2,951,475</w:t>
            </w:r>
          </w:p>
        </w:tc>
        <w:tc>
          <w:tcPr>
            <w:tcW w:w="1134" w:type="dxa"/>
            <w:tcBorders>
              <w:top w:val="nil"/>
              <w:left w:val="nil"/>
              <w:bottom w:val="nil"/>
              <w:right w:val="nil"/>
            </w:tcBorders>
            <w:shd w:val="clear" w:color="auto" w:fill="auto"/>
            <w:vAlign w:val="bottom"/>
          </w:tcPr>
          <w:p w14:paraId="165C877B" w14:textId="611B01CC" w:rsidR="00A66703" w:rsidRPr="001D41EA" w:rsidRDefault="00A66703" w:rsidP="001D41EA">
            <w:pPr>
              <w:spacing w:before="40" w:after="20"/>
              <w:jc w:val="right"/>
              <w:rPr>
                <w:rFonts w:cs="Arial"/>
                <w:sz w:val="18"/>
                <w:szCs w:val="18"/>
              </w:rPr>
            </w:pPr>
            <w:r w:rsidRPr="001D41EA">
              <w:rPr>
                <w:rFonts w:cs="Arial"/>
                <w:sz w:val="18"/>
                <w:szCs w:val="18"/>
              </w:rPr>
              <w:t>-32,525</w:t>
            </w:r>
          </w:p>
        </w:tc>
        <w:tc>
          <w:tcPr>
            <w:tcW w:w="170" w:type="dxa"/>
            <w:tcBorders>
              <w:top w:val="nil"/>
              <w:left w:val="nil"/>
              <w:bottom w:val="nil"/>
              <w:right w:val="nil"/>
            </w:tcBorders>
            <w:shd w:val="clear" w:color="auto" w:fill="auto"/>
            <w:vAlign w:val="bottom"/>
          </w:tcPr>
          <w:p w14:paraId="76C63386"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CB3A493" w14:textId="6420C8F2" w:rsidR="00A66703" w:rsidRPr="001D41EA" w:rsidRDefault="00A66703" w:rsidP="001D41EA">
            <w:pPr>
              <w:spacing w:before="40" w:after="20"/>
              <w:jc w:val="right"/>
              <w:rPr>
                <w:rFonts w:cs="Arial"/>
                <w:sz w:val="18"/>
                <w:szCs w:val="18"/>
              </w:rPr>
            </w:pPr>
            <w:r w:rsidRPr="001D41EA">
              <w:rPr>
                <w:rFonts w:cs="Arial"/>
                <w:sz w:val="18"/>
                <w:szCs w:val="18"/>
              </w:rPr>
              <w:t>1,658,595</w:t>
            </w:r>
          </w:p>
        </w:tc>
        <w:tc>
          <w:tcPr>
            <w:tcW w:w="1134" w:type="dxa"/>
            <w:tcBorders>
              <w:top w:val="nil"/>
              <w:left w:val="nil"/>
              <w:bottom w:val="nil"/>
              <w:right w:val="nil"/>
            </w:tcBorders>
            <w:shd w:val="clear" w:color="auto" w:fill="auto"/>
            <w:vAlign w:val="bottom"/>
          </w:tcPr>
          <w:p w14:paraId="02BD6FDA" w14:textId="58C9E3F3" w:rsidR="00A66703" w:rsidRPr="001D41EA" w:rsidRDefault="00A66703" w:rsidP="001D41EA">
            <w:pPr>
              <w:spacing w:before="40" w:after="20"/>
              <w:jc w:val="right"/>
              <w:rPr>
                <w:rFonts w:cs="Arial"/>
                <w:sz w:val="18"/>
                <w:szCs w:val="18"/>
              </w:rPr>
            </w:pPr>
            <w:r w:rsidRPr="001D41EA">
              <w:rPr>
                <w:rFonts w:cs="Arial"/>
                <w:sz w:val="18"/>
                <w:szCs w:val="18"/>
              </w:rPr>
              <w:t>1,645,520</w:t>
            </w:r>
          </w:p>
        </w:tc>
        <w:tc>
          <w:tcPr>
            <w:tcW w:w="1134" w:type="dxa"/>
            <w:tcBorders>
              <w:top w:val="nil"/>
              <w:left w:val="nil"/>
              <w:bottom w:val="nil"/>
              <w:right w:val="nil"/>
            </w:tcBorders>
            <w:shd w:val="clear" w:color="auto" w:fill="auto"/>
            <w:vAlign w:val="bottom"/>
          </w:tcPr>
          <w:p w14:paraId="3878A682" w14:textId="543ABAAA" w:rsidR="00A66703" w:rsidRPr="001D41EA" w:rsidRDefault="00A66703" w:rsidP="001D41EA">
            <w:pPr>
              <w:spacing w:before="40" w:after="20"/>
              <w:jc w:val="right"/>
              <w:rPr>
                <w:rFonts w:cs="Arial"/>
                <w:sz w:val="18"/>
                <w:szCs w:val="18"/>
              </w:rPr>
            </w:pPr>
            <w:r w:rsidRPr="001D41EA">
              <w:rPr>
                <w:rFonts w:cs="Arial"/>
                <w:sz w:val="18"/>
                <w:szCs w:val="18"/>
              </w:rPr>
              <w:t>-13,075</w:t>
            </w:r>
          </w:p>
        </w:tc>
      </w:tr>
      <w:tr w:rsidR="00A66703" w:rsidRPr="001D41EA" w14:paraId="4BFC082F"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041C7E38" w14:textId="77777777" w:rsidR="00A66703" w:rsidRPr="001D41EA" w:rsidRDefault="00A66703" w:rsidP="001D41EA">
            <w:pPr>
              <w:spacing w:before="40" w:after="20"/>
              <w:rPr>
                <w:rFonts w:cs="Arial"/>
                <w:sz w:val="18"/>
                <w:szCs w:val="18"/>
              </w:rPr>
            </w:pPr>
            <w:r w:rsidRPr="001D41EA">
              <w:rPr>
                <w:rFonts w:cs="Arial"/>
                <w:sz w:val="18"/>
                <w:szCs w:val="18"/>
              </w:rPr>
              <w:t xml:space="preserve">Nillumbik S </w:t>
            </w:r>
          </w:p>
        </w:tc>
        <w:tc>
          <w:tcPr>
            <w:tcW w:w="1134" w:type="dxa"/>
            <w:tcBorders>
              <w:top w:val="nil"/>
              <w:left w:val="single" w:sz="18" w:space="0" w:color="5F497A" w:themeColor="accent4" w:themeShade="BF"/>
              <w:bottom w:val="nil"/>
              <w:right w:val="nil"/>
            </w:tcBorders>
            <w:shd w:val="clear" w:color="auto" w:fill="auto"/>
            <w:vAlign w:val="bottom"/>
          </w:tcPr>
          <w:p w14:paraId="5422DE0B" w14:textId="6C180058" w:rsidR="00A66703" w:rsidRPr="001D41EA" w:rsidRDefault="00A66703" w:rsidP="001D41EA">
            <w:pPr>
              <w:spacing w:before="40" w:after="20"/>
              <w:jc w:val="right"/>
              <w:rPr>
                <w:rFonts w:cs="Arial"/>
                <w:sz w:val="18"/>
                <w:szCs w:val="18"/>
              </w:rPr>
            </w:pPr>
            <w:r w:rsidRPr="001D41EA">
              <w:rPr>
                <w:rFonts w:cs="Arial"/>
                <w:sz w:val="18"/>
                <w:szCs w:val="18"/>
              </w:rPr>
              <w:t>1,900,003</w:t>
            </w:r>
          </w:p>
        </w:tc>
        <w:tc>
          <w:tcPr>
            <w:tcW w:w="1134" w:type="dxa"/>
            <w:tcBorders>
              <w:top w:val="nil"/>
              <w:left w:val="nil"/>
              <w:bottom w:val="nil"/>
              <w:right w:val="nil"/>
            </w:tcBorders>
            <w:shd w:val="clear" w:color="auto" w:fill="auto"/>
            <w:vAlign w:val="bottom"/>
          </w:tcPr>
          <w:p w14:paraId="58AD3292" w14:textId="6FD22215" w:rsidR="00A66703" w:rsidRPr="001D41EA" w:rsidRDefault="00A66703" w:rsidP="001D41EA">
            <w:pPr>
              <w:spacing w:before="40" w:after="20"/>
              <w:jc w:val="right"/>
              <w:rPr>
                <w:rFonts w:cs="Arial"/>
                <w:sz w:val="18"/>
                <w:szCs w:val="18"/>
              </w:rPr>
            </w:pPr>
            <w:r w:rsidRPr="001D41EA">
              <w:rPr>
                <w:rFonts w:cs="Arial"/>
                <w:sz w:val="18"/>
                <w:szCs w:val="18"/>
              </w:rPr>
              <w:t>1,879,293</w:t>
            </w:r>
          </w:p>
        </w:tc>
        <w:tc>
          <w:tcPr>
            <w:tcW w:w="1134" w:type="dxa"/>
            <w:tcBorders>
              <w:top w:val="nil"/>
              <w:left w:val="nil"/>
              <w:bottom w:val="nil"/>
              <w:right w:val="nil"/>
            </w:tcBorders>
            <w:shd w:val="clear" w:color="auto" w:fill="auto"/>
            <w:vAlign w:val="bottom"/>
          </w:tcPr>
          <w:p w14:paraId="0779FE6F" w14:textId="6B72720B" w:rsidR="00A66703" w:rsidRPr="001D41EA" w:rsidRDefault="00A66703" w:rsidP="001D41EA">
            <w:pPr>
              <w:spacing w:before="40" w:after="20"/>
              <w:jc w:val="right"/>
              <w:rPr>
                <w:rFonts w:cs="Arial"/>
                <w:sz w:val="18"/>
                <w:szCs w:val="18"/>
              </w:rPr>
            </w:pPr>
            <w:r w:rsidRPr="001D41EA">
              <w:rPr>
                <w:rFonts w:cs="Arial"/>
                <w:sz w:val="18"/>
                <w:szCs w:val="18"/>
              </w:rPr>
              <w:t>-20,710</w:t>
            </w:r>
          </w:p>
        </w:tc>
        <w:tc>
          <w:tcPr>
            <w:tcW w:w="170" w:type="dxa"/>
            <w:tcBorders>
              <w:top w:val="nil"/>
              <w:left w:val="nil"/>
              <w:bottom w:val="nil"/>
              <w:right w:val="nil"/>
            </w:tcBorders>
            <w:shd w:val="clear" w:color="auto" w:fill="auto"/>
            <w:vAlign w:val="bottom"/>
          </w:tcPr>
          <w:p w14:paraId="6E22914F"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F2D6B40" w14:textId="208DF7ED" w:rsidR="00A66703" w:rsidRPr="001D41EA" w:rsidRDefault="00A66703" w:rsidP="001D41EA">
            <w:pPr>
              <w:spacing w:before="40" w:after="20"/>
              <w:jc w:val="right"/>
              <w:rPr>
                <w:rFonts w:cs="Arial"/>
                <w:sz w:val="18"/>
                <w:szCs w:val="18"/>
              </w:rPr>
            </w:pPr>
            <w:r w:rsidRPr="001D41EA">
              <w:rPr>
                <w:rFonts w:cs="Arial"/>
                <w:sz w:val="18"/>
                <w:szCs w:val="18"/>
              </w:rPr>
              <w:t>1,131,714</w:t>
            </w:r>
          </w:p>
        </w:tc>
        <w:tc>
          <w:tcPr>
            <w:tcW w:w="1134" w:type="dxa"/>
            <w:tcBorders>
              <w:top w:val="nil"/>
              <w:left w:val="nil"/>
              <w:bottom w:val="nil"/>
              <w:right w:val="nil"/>
            </w:tcBorders>
            <w:shd w:val="clear" w:color="auto" w:fill="auto"/>
            <w:vAlign w:val="bottom"/>
          </w:tcPr>
          <w:p w14:paraId="4C78514A" w14:textId="016CF02E" w:rsidR="00A66703" w:rsidRPr="001D41EA" w:rsidRDefault="00A66703" w:rsidP="001D41EA">
            <w:pPr>
              <w:spacing w:before="40" w:after="20"/>
              <w:jc w:val="right"/>
              <w:rPr>
                <w:rFonts w:cs="Arial"/>
                <w:sz w:val="18"/>
                <w:szCs w:val="18"/>
              </w:rPr>
            </w:pPr>
            <w:r w:rsidRPr="001D41EA">
              <w:rPr>
                <w:rFonts w:cs="Arial"/>
                <w:sz w:val="18"/>
                <w:szCs w:val="18"/>
              </w:rPr>
              <w:t>1,122,793</w:t>
            </w:r>
          </w:p>
        </w:tc>
        <w:tc>
          <w:tcPr>
            <w:tcW w:w="1134" w:type="dxa"/>
            <w:tcBorders>
              <w:top w:val="nil"/>
              <w:left w:val="nil"/>
              <w:bottom w:val="nil"/>
              <w:right w:val="nil"/>
            </w:tcBorders>
            <w:shd w:val="clear" w:color="auto" w:fill="auto"/>
            <w:vAlign w:val="bottom"/>
          </w:tcPr>
          <w:p w14:paraId="3ED351F5" w14:textId="4B46C736" w:rsidR="00A66703" w:rsidRPr="001D41EA" w:rsidRDefault="00A66703" w:rsidP="001D41EA">
            <w:pPr>
              <w:spacing w:before="40" w:after="20"/>
              <w:jc w:val="right"/>
              <w:rPr>
                <w:rFonts w:cs="Arial"/>
                <w:sz w:val="18"/>
                <w:szCs w:val="18"/>
              </w:rPr>
            </w:pPr>
            <w:r w:rsidRPr="001D41EA">
              <w:rPr>
                <w:rFonts w:cs="Arial"/>
                <w:sz w:val="18"/>
                <w:szCs w:val="18"/>
              </w:rPr>
              <w:t>-8,921</w:t>
            </w:r>
          </w:p>
        </w:tc>
      </w:tr>
      <w:tr w:rsidR="00A66703" w:rsidRPr="001D41EA" w14:paraId="1DA5C0C1"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1ED2C74C" w14:textId="77777777" w:rsidR="00A66703" w:rsidRPr="001D41EA" w:rsidRDefault="00A66703" w:rsidP="001D41EA">
            <w:pPr>
              <w:spacing w:before="40" w:after="20"/>
              <w:rPr>
                <w:rFonts w:cs="Arial"/>
                <w:sz w:val="18"/>
                <w:szCs w:val="18"/>
              </w:rPr>
            </w:pPr>
            <w:r w:rsidRPr="001D41EA">
              <w:rPr>
                <w:rFonts w:cs="Arial"/>
                <w:sz w:val="18"/>
                <w:szCs w:val="18"/>
              </w:rPr>
              <w:t xml:space="preserve">Northern Grampians S </w:t>
            </w:r>
          </w:p>
        </w:tc>
        <w:tc>
          <w:tcPr>
            <w:tcW w:w="1134" w:type="dxa"/>
            <w:tcBorders>
              <w:top w:val="nil"/>
              <w:left w:val="single" w:sz="18" w:space="0" w:color="5F497A" w:themeColor="accent4" w:themeShade="BF"/>
              <w:bottom w:val="nil"/>
              <w:right w:val="nil"/>
            </w:tcBorders>
            <w:shd w:val="clear" w:color="auto" w:fill="auto"/>
            <w:vAlign w:val="bottom"/>
          </w:tcPr>
          <w:p w14:paraId="17346862" w14:textId="75554CCA" w:rsidR="00A66703" w:rsidRPr="001D41EA" w:rsidRDefault="00A66703" w:rsidP="001D41EA">
            <w:pPr>
              <w:spacing w:before="40" w:after="20"/>
              <w:jc w:val="right"/>
              <w:rPr>
                <w:rFonts w:cs="Arial"/>
                <w:sz w:val="18"/>
                <w:szCs w:val="18"/>
              </w:rPr>
            </w:pPr>
            <w:r w:rsidRPr="001D41EA">
              <w:rPr>
                <w:rFonts w:cs="Arial"/>
                <w:sz w:val="18"/>
                <w:szCs w:val="18"/>
              </w:rPr>
              <w:t>4,610,511</w:t>
            </w:r>
          </w:p>
        </w:tc>
        <w:tc>
          <w:tcPr>
            <w:tcW w:w="1134" w:type="dxa"/>
            <w:tcBorders>
              <w:top w:val="nil"/>
              <w:left w:val="nil"/>
              <w:bottom w:val="nil"/>
              <w:right w:val="nil"/>
            </w:tcBorders>
            <w:shd w:val="clear" w:color="auto" w:fill="auto"/>
            <w:vAlign w:val="bottom"/>
          </w:tcPr>
          <w:p w14:paraId="50952CCD" w14:textId="646FD572" w:rsidR="00A66703" w:rsidRPr="001D41EA" w:rsidRDefault="00A66703" w:rsidP="001D41EA">
            <w:pPr>
              <w:spacing w:before="40" w:after="20"/>
              <w:jc w:val="right"/>
              <w:rPr>
                <w:rFonts w:cs="Arial"/>
                <w:sz w:val="18"/>
                <w:szCs w:val="18"/>
              </w:rPr>
            </w:pPr>
            <w:r w:rsidRPr="001D41EA">
              <w:rPr>
                <w:rFonts w:cs="Arial"/>
                <w:sz w:val="18"/>
                <w:szCs w:val="18"/>
              </w:rPr>
              <w:t>4,560,257</w:t>
            </w:r>
          </w:p>
        </w:tc>
        <w:tc>
          <w:tcPr>
            <w:tcW w:w="1134" w:type="dxa"/>
            <w:tcBorders>
              <w:top w:val="nil"/>
              <w:left w:val="nil"/>
              <w:bottom w:val="nil"/>
              <w:right w:val="nil"/>
            </w:tcBorders>
            <w:shd w:val="clear" w:color="auto" w:fill="auto"/>
            <w:vAlign w:val="bottom"/>
          </w:tcPr>
          <w:p w14:paraId="05E48CF8" w14:textId="315C5E31" w:rsidR="00A66703" w:rsidRPr="001D41EA" w:rsidRDefault="00A66703" w:rsidP="001D41EA">
            <w:pPr>
              <w:spacing w:before="40" w:after="20"/>
              <w:jc w:val="right"/>
              <w:rPr>
                <w:rFonts w:cs="Arial"/>
                <w:sz w:val="18"/>
                <w:szCs w:val="18"/>
              </w:rPr>
            </w:pPr>
            <w:r w:rsidRPr="001D41EA">
              <w:rPr>
                <w:rFonts w:cs="Arial"/>
                <w:sz w:val="18"/>
                <w:szCs w:val="18"/>
              </w:rPr>
              <w:t>-50,254</w:t>
            </w:r>
          </w:p>
        </w:tc>
        <w:tc>
          <w:tcPr>
            <w:tcW w:w="170" w:type="dxa"/>
            <w:tcBorders>
              <w:top w:val="nil"/>
              <w:left w:val="nil"/>
              <w:bottom w:val="nil"/>
              <w:right w:val="nil"/>
            </w:tcBorders>
            <w:shd w:val="clear" w:color="auto" w:fill="auto"/>
            <w:vAlign w:val="bottom"/>
          </w:tcPr>
          <w:p w14:paraId="2C00A710"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015E7A8" w14:textId="3F96473B" w:rsidR="00A66703" w:rsidRPr="001D41EA" w:rsidRDefault="00A66703" w:rsidP="001D41EA">
            <w:pPr>
              <w:spacing w:before="40" w:after="20"/>
              <w:jc w:val="right"/>
              <w:rPr>
                <w:rFonts w:cs="Arial"/>
                <w:sz w:val="18"/>
                <w:szCs w:val="18"/>
              </w:rPr>
            </w:pPr>
            <w:r w:rsidRPr="001D41EA">
              <w:rPr>
                <w:rFonts w:cs="Arial"/>
                <w:sz w:val="18"/>
                <w:szCs w:val="18"/>
              </w:rPr>
              <w:t>2,844,749</w:t>
            </w:r>
          </w:p>
        </w:tc>
        <w:tc>
          <w:tcPr>
            <w:tcW w:w="1134" w:type="dxa"/>
            <w:tcBorders>
              <w:top w:val="nil"/>
              <w:left w:val="nil"/>
              <w:bottom w:val="nil"/>
              <w:right w:val="nil"/>
            </w:tcBorders>
            <w:shd w:val="clear" w:color="auto" w:fill="auto"/>
            <w:vAlign w:val="bottom"/>
          </w:tcPr>
          <w:p w14:paraId="5364DF83" w14:textId="03377C94" w:rsidR="00A66703" w:rsidRPr="001D41EA" w:rsidRDefault="00A66703" w:rsidP="001D41EA">
            <w:pPr>
              <w:spacing w:before="40" w:after="20"/>
              <w:jc w:val="right"/>
              <w:rPr>
                <w:rFonts w:cs="Arial"/>
                <w:sz w:val="18"/>
                <w:szCs w:val="18"/>
              </w:rPr>
            </w:pPr>
            <w:r w:rsidRPr="001D41EA">
              <w:rPr>
                <w:rFonts w:cs="Arial"/>
                <w:sz w:val="18"/>
                <w:szCs w:val="18"/>
              </w:rPr>
              <w:t>2,822,324</w:t>
            </w:r>
          </w:p>
        </w:tc>
        <w:tc>
          <w:tcPr>
            <w:tcW w:w="1134" w:type="dxa"/>
            <w:tcBorders>
              <w:top w:val="nil"/>
              <w:left w:val="nil"/>
              <w:bottom w:val="nil"/>
              <w:right w:val="nil"/>
            </w:tcBorders>
            <w:shd w:val="clear" w:color="auto" w:fill="auto"/>
            <w:vAlign w:val="bottom"/>
          </w:tcPr>
          <w:p w14:paraId="5FDF895E" w14:textId="02B2DA97" w:rsidR="00A66703" w:rsidRPr="001D41EA" w:rsidRDefault="00A66703" w:rsidP="001D41EA">
            <w:pPr>
              <w:spacing w:before="40" w:after="20"/>
              <w:jc w:val="right"/>
              <w:rPr>
                <w:rFonts w:cs="Arial"/>
                <w:sz w:val="18"/>
                <w:szCs w:val="18"/>
              </w:rPr>
            </w:pPr>
            <w:r w:rsidRPr="001D41EA">
              <w:rPr>
                <w:rFonts w:cs="Arial"/>
                <w:sz w:val="18"/>
                <w:szCs w:val="18"/>
              </w:rPr>
              <w:t>-22,425</w:t>
            </w:r>
          </w:p>
        </w:tc>
      </w:tr>
      <w:tr w:rsidR="00A66703" w:rsidRPr="001D41EA" w14:paraId="665481E5"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7AE06B46" w14:textId="77777777" w:rsidR="00A66703" w:rsidRPr="001D41EA" w:rsidRDefault="00A66703" w:rsidP="001D41EA">
            <w:pPr>
              <w:spacing w:before="40" w:after="20"/>
              <w:rPr>
                <w:rFonts w:cs="Arial"/>
                <w:sz w:val="18"/>
                <w:szCs w:val="18"/>
              </w:rPr>
            </w:pPr>
            <w:r w:rsidRPr="001D41EA">
              <w:rPr>
                <w:rFonts w:cs="Arial"/>
                <w:sz w:val="18"/>
                <w:szCs w:val="18"/>
              </w:rPr>
              <w:t xml:space="preserve">Port Phillip C </w:t>
            </w:r>
          </w:p>
        </w:tc>
        <w:tc>
          <w:tcPr>
            <w:tcW w:w="1134" w:type="dxa"/>
            <w:tcBorders>
              <w:top w:val="nil"/>
              <w:left w:val="single" w:sz="18" w:space="0" w:color="5F497A" w:themeColor="accent4" w:themeShade="BF"/>
              <w:bottom w:val="nil"/>
              <w:right w:val="nil"/>
            </w:tcBorders>
            <w:shd w:val="clear" w:color="auto" w:fill="auto"/>
            <w:vAlign w:val="bottom"/>
          </w:tcPr>
          <w:p w14:paraId="0E80615B" w14:textId="22787567" w:rsidR="00A66703" w:rsidRPr="001D41EA" w:rsidRDefault="00A66703" w:rsidP="001D41EA">
            <w:pPr>
              <w:spacing w:before="40" w:after="20"/>
              <w:jc w:val="right"/>
              <w:rPr>
                <w:rFonts w:cs="Arial"/>
                <w:sz w:val="18"/>
                <w:szCs w:val="18"/>
              </w:rPr>
            </w:pPr>
            <w:r w:rsidRPr="001D41EA">
              <w:rPr>
                <w:rFonts w:cs="Arial"/>
                <w:sz w:val="18"/>
                <w:szCs w:val="18"/>
              </w:rPr>
              <w:t>2,299,094</w:t>
            </w:r>
          </w:p>
        </w:tc>
        <w:tc>
          <w:tcPr>
            <w:tcW w:w="1134" w:type="dxa"/>
            <w:tcBorders>
              <w:top w:val="nil"/>
              <w:left w:val="nil"/>
              <w:bottom w:val="nil"/>
              <w:right w:val="nil"/>
            </w:tcBorders>
            <w:shd w:val="clear" w:color="auto" w:fill="auto"/>
            <w:vAlign w:val="bottom"/>
          </w:tcPr>
          <w:p w14:paraId="6E239C86" w14:textId="023CB0C8" w:rsidR="00A66703" w:rsidRPr="001D41EA" w:rsidRDefault="00A66703" w:rsidP="001D41EA">
            <w:pPr>
              <w:spacing w:before="40" w:after="20"/>
              <w:jc w:val="right"/>
              <w:rPr>
                <w:rFonts w:cs="Arial"/>
                <w:sz w:val="18"/>
                <w:szCs w:val="18"/>
              </w:rPr>
            </w:pPr>
            <w:r w:rsidRPr="001D41EA">
              <w:rPr>
                <w:rFonts w:cs="Arial"/>
                <w:sz w:val="18"/>
                <w:szCs w:val="18"/>
              </w:rPr>
              <w:t>2,274,034</w:t>
            </w:r>
          </w:p>
        </w:tc>
        <w:tc>
          <w:tcPr>
            <w:tcW w:w="1134" w:type="dxa"/>
            <w:tcBorders>
              <w:top w:val="nil"/>
              <w:left w:val="nil"/>
              <w:bottom w:val="nil"/>
              <w:right w:val="nil"/>
            </w:tcBorders>
            <w:shd w:val="clear" w:color="auto" w:fill="auto"/>
            <w:vAlign w:val="bottom"/>
          </w:tcPr>
          <w:p w14:paraId="6738B0EC" w14:textId="6D56959C" w:rsidR="00A66703" w:rsidRPr="001D41EA" w:rsidRDefault="00A66703" w:rsidP="001D41EA">
            <w:pPr>
              <w:spacing w:before="40" w:after="20"/>
              <w:jc w:val="right"/>
              <w:rPr>
                <w:rFonts w:cs="Arial"/>
                <w:sz w:val="18"/>
                <w:szCs w:val="18"/>
              </w:rPr>
            </w:pPr>
            <w:r w:rsidRPr="001D41EA">
              <w:rPr>
                <w:rFonts w:cs="Arial"/>
                <w:sz w:val="18"/>
                <w:szCs w:val="18"/>
              </w:rPr>
              <w:t>-25,060</w:t>
            </w:r>
          </w:p>
        </w:tc>
        <w:tc>
          <w:tcPr>
            <w:tcW w:w="170" w:type="dxa"/>
            <w:tcBorders>
              <w:top w:val="nil"/>
              <w:left w:val="nil"/>
              <w:bottom w:val="nil"/>
              <w:right w:val="nil"/>
            </w:tcBorders>
            <w:shd w:val="clear" w:color="auto" w:fill="auto"/>
            <w:vAlign w:val="bottom"/>
          </w:tcPr>
          <w:p w14:paraId="04E82B79"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9D87D59" w14:textId="2DB68147" w:rsidR="00A66703" w:rsidRPr="001D41EA" w:rsidRDefault="00A66703" w:rsidP="001D41EA">
            <w:pPr>
              <w:spacing w:before="40" w:after="20"/>
              <w:jc w:val="right"/>
              <w:rPr>
                <w:rFonts w:cs="Arial"/>
                <w:sz w:val="18"/>
                <w:szCs w:val="18"/>
              </w:rPr>
            </w:pPr>
            <w:r w:rsidRPr="001D41EA">
              <w:rPr>
                <w:rFonts w:cs="Arial"/>
                <w:sz w:val="18"/>
                <w:szCs w:val="18"/>
              </w:rPr>
              <w:t>425,164</w:t>
            </w:r>
          </w:p>
        </w:tc>
        <w:tc>
          <w:tcPr>
            <w:tcW w:w="1134" w:type="dxa"/>
            <w:tcBorders>
              <w:top w:val="nil"/>
              <w:left w:val="nil"/>
              <w:bottom w:val="nil"/>
              <w:right w:val="nil"/>
            </w:tcBorders>
            <w:shd w:val="clear" w:color="auto" w:fill="auto"/>
            <w:vAlign w:val="bottom"/>
          </w:tcPr>
          <w:p w14:paraId="614DA89B" w14:textId="4D8A5815" w:rsidR="00A66703" w:rsidRPr="001D41EA" w:rsidRDefault="00A66703" w:rsidP="001D41EA">
            <w:pPr>
              <w:spacing w:before="40" w:after="20"/>
              <w:jc w:val="right"/>
              <w:rPr>
                <w:rFonts w:cs="Arial"/>
                <w:sz w:val="18"/>
                <w:szCs w:val="18"/>
              </w:rPr>
            </w:pPr>
            <w:r w:rsidRPr="001D41EA">
              <w:rPr>
                <w:rFonts w:cs="Arial"/>
                <w:sz w:val="18"/>
                <w:szCs w:val="18"/>
              </w:rPr>
              <w:t>421,812</w:t>
            </w:r>
          </w:p>
        </w:tc>
        <w:tc>
          <w:tcPr>
            <w:tcW w:w="1134" w:type="dxa"/>
            <w:tcBorders>
              <w:top w:val="nil"/>
              <w:left w:val="nil"/>
              <w:bottom w:val="nil"/>
              <w:right w:val="nil"/>
            </w:tcBorders>
            <w:shd w:val="clear" w:color="auto" w:fill="auto"/>
            <w:vAlign w:val="bottom"/>
          </w:tcPr>
          <w:p w14:paraId="7B4A2403" w14:textId="4F620EEB" w:rsidR="00A66703" w:rsidRPr="001D41EA" w:rsidRDefault="00A66703" w:rsidP="001D41EA">
            <w:pPr>
              <w:spacing w:before="40" w:after="20"/>
              <w:jc w:val="right"/>
              <w:rPr>
                <w:rFonts w:cs="Arial"/>
                <w:sz w:val="18"/>
                <w:szCs w:val="18"/>
              </w:rPr>
            </w:pPr>
            <w:r w:rsidRPr="001D41EA">
              <w:rPr>
                <w:rFonts w:cs="Arial"/>
                <w:sz w:val="18"/>
                <w:szCs w:val="18"/>
              </w:rPr>
              <w:t>-3,352</w:t>
            </w:r>
          </w:p>
        </w:tc>
      </w:tr>
      <w:tr w:rsidR="00A66703" w:rsidRPr="001D41EA" w14:paraId="1C295284"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5308234E" w14:textId="77777777" w:rsidR="00A66703" w:rsidRPr="001D41EA" w:rsidRDefault="00A66703" w:rsidP="001D41EA">
            <w:pPr>
              <w:spacing w:before="40" w:after="20"/>
              <w:rPr>
                <w:rFonts w:cs="Arial"/>
                <w:sz w:val="18"/>
                <w:szCs w:val="18"/>
              </w:rPr>
            </w:pPr>
            <w:r w:rsidRPr="001D41EA">
              <w:rPr>
                <w:rFonts w:cs="Arial"/>
                <w:sz w:val="18"/>
                <w:szCs w:val="18"/>
              </w:rPr>
              <w:t xml:space="preserve">Pyrenees S </w:t>
            </w:r>
          </w:p>
        </w:tc>
        <w:tc>
          <w:tcPr>
            <w:tcW w:w="1134" w:type="dxa"/>
            <w:tcBorders>
              <w:top w:val="nil"/>
              <w:left w:val="single" w:sz="18" w:space="0" w:color="5F497A" w:themeColor="accent4" w:themeShade="BF"/>
              <w:bottom w:val="nil"/>
              <w:right w:val="nil"/>
            </w:tcBorders>
            <w:shd w:val="clear" w:color="auto" w:fill="auto"/>
            <w:vAlign w:val="bottom"/>
          </w:tcPr>
          <w:p w14:paraId="7A3F3D80" w14:textId="7FE33FC8" w:rsidR="00A66703" w:rsidRPr="001D41EA" w:rsidRDefault="00A66703" w:rsidP="001D41EA">
            <w:pPr>
              <w:spacing w:before="40" w:after="20"/>
              <w:jc w:val="right"/>
              <w:rPr>
                <w:rFonts w:cs="Arial"/>
                <w:sz w:val="18"/>
                <w:szCs w:val="18"/>
              </w:rPr>
            </w:pPr>
            <w:r w:rsidRPr="001D41EA">
              <w:rPr>
                <w:rFonts w:cs="Arial"/>
                <w:sz w:val="18"/>
                <w:szCs w:val="18"/>
              </w:rPr>
              <w:t>3,327,994</w:t>
            </w:r>
          </w:p>
        </w:tc>
        <w:tc>
          <w:tcPr>
            <w:tcW w:w="1134" w:type="dxa"/>
            <w:tcBorders>
              <w:top w:val="nil"/>
              <w:left w:val="nil"/>
              <w:bottom w:val="nil"/>
              <w:right w:val="nil"/>
            </w:tcBorders>
            <w:shd w:val="clear" w:color="auto" w:fill="auto"/>
            <w:vAlign w:val="bottom"/>
          </w:tcPr>
          <w:p w14:paraId="6727535B" w14:textId="4C12E9DF" w:rsidR="00A66703" w:rsidRPr="001D41EA" w:rsidRDefault="00A66703" w:rsidP="001D41EA">
            <w:pPr>
              <w:spacing w:before="40" w:after="20"/>
              <w:jc w:val="right"/>
              <w:rPr>
                <w:rFonts w:cs="Arial"/>
                <w:sz w:val="18"/>
                <w:szCs w:val="18"/>
              </w:rPr>
            </w:pPr>
            <w:r w:rsidRPr="001D41EA">
              <w:rPr>
                <w:rFonts w:cs="Arial"/>
                <w:sz w:val="18"/>
                <w:szCs w:val="18"/>
              </w:rPr>
              <w:t>3,291,719</w:t>
            </w:r>
          </w:p>
        </w:tc>
        <w:tc>
          <w:tcPr>
            <w:tcW w:w="1134" w:type="dxa"/>
            <w:tcBorders>
              <w:top w:val="nil"/>
              <w:left w:val="nil"/>
              <w:bottom w:val="nil"/>
              <w:right w:val="nil"/>
            </w:tcBorders>
            <w:shd w:val="clear" w:color="auto" w:fill="auto"/>
            <w:vAlign w:val="bottom"/>
          </w:tcPr>
          <w:p w14:paraId="6AB5ADA3" w14:textId="0CA2E090" w:rsidR="00A66703" w:rsidRPr="001D41EA" w:rsidRDefault="00A66703" w:rsidP="001D41EA">
            <w:pPr>
              <w:spacing w:before="40" w:after="20"/>
              <w:jc w:val="right"/>
              <w:rPr>
                <w:rFonts w:cs="Arial"/>
                <w:sz w:val="18"/>
                <w:szCs w:val="18"/>
              </w:rPr>
            </w:pPr>
            <w:r w:rsidRPr="001D41EA">
              <w:rPr>
                <w:rFonts w:cs="Arial"/>
                <w:sz w:val="18"/>
                <w:szCs w:val="18"/>
              </w:rPr>
              <w:t>-36,275</w:t>
            </w:r>
          </w:p>
        </w:tc>
        <w:tc>
          <w:tcPr>
            <w:tcW w:w="170" w:type="dxa"/>
            <w:tcBorders>
              <w:top w:val="nil"/>
              <w:left w:val="nil"/>
              <w:bottom w:val="nil"/>
              <w:right w:val="nil"/>
            </w:tcBorders>
            <w:shd w:val="clear" w:color="auto" w:fill="auto"/>
            <w:vAlign w:val="bottom"/>
          </w:tcPr>
          <w:p w14:paraId="56D32F6A"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ECED03E" w14:textId="5F8DB1E7" w:rsidR="00A66703" w:rsidRPr="001D41EA" w:rsidRDefault="00A66703" w:rsidP="001D41EA">
            <w:pPr>
              <w:spacing w:before="40" w:after="20"/>
              <w:jc w:val="right"/>
              <w:rPr>
                <w:rFonts w:cs="Arial"/>
                <w:sz w:val="18"/>
                <w:szCs w:val="18"/>
              </w:rPr>
            </w:pPr>
            <w:r w:rsidRPr="001D41EA">
              <w:rPr>
                <w:rFonts w:cs="Arial"/>
                <w:sz w:val="18"/>
                <w:szCs w:val="18"/>
              </w:rPr>
              <w:t>2,135,758</w:t>
            </w:r>
          </w:p>
        </w:tc>
        <w:tc>
          <w:tcPr>
            <w:tcW w:w="1134" w:type="dxa"/>
            <w:tcBorders>
              <w:top w:val="nil"/>
              <w:left w:val="nil"/>
              <w:bottom w:val="nil"/>
              <w:right w:val="nil"/>
            </w:tcBorders>
            <w:shd w:val="clear" w:color="auto" w:fill="auto"/>
            <w:vAlign w:val="bottom"/>
          </w:tcPr>
          <w:p w14:paraId="5F17D973" w14:textId="59EED098" w:rsidR="00A66703" w:rsidRPr="001D41EA" w:rsidRDefault="00A66703" w:rsidP="001D41EA">
            <w:pPr>
              <w:spacing w:before="40" w:after="20"/>
              <w:jc w:val="right"/>
              <w:rPr>
                <w:rFonts w:cs="Arial"/>
                <w:sz w:val="18"/>
                <w:szCs w:val="18"/>
              </w:rPr>
            </w:pPr>
            <w:r w:rsidRPr="001D41EA">
              <w:rPr>
                <w:rFonts w:cs="Arial"/>
                <w:sz w:val="18"/>
                <w:szCs w:val="18"/>
              </w:rPr>
              <w:t>2,118,922</w:t>
            </w:r>
          </w:p>
        </w:tc>
        <w:tc>
          <w:tcPr>
            <w:tcW w:w="1134" w:type="dxa"/>
            <w:tcBorders>
              <w:top w:val="nil"/>
              <w:left w:val="nil"/>
              <w:bottom w:val="nil"/>
              <w:right w:val="nil"/>
            </w:tcBorders>
            <w:shd w:val="clear" w:color="auto" w:fill="auto"/>
            <w:vAlign w:val="bottom"/>
          </w:tcPr>
          <w:p w14:paraId="30FE0597" w14:textId="39C543B7" w:rsidR="00A66703" w:rsidRPr="001D41EA" w:rsidRDefault="00A66703" w:rsidP="001D41EA">
            <w:pPr>
              <w:spacing w:before="40" w:after="20"/>
              <w:jc w:val="right"/>
              <w:rPr>
                <w:rFonts w:cs="Arial"/>
                <w:sz w:val="18"/>
                <w:szCs w:val="18"/>
              </w:rPr>
            </w:pPr>
            <w:r w:rsidRPr="001D41EA">
              <w:rPr>
                <w:rFonts w:cs="Arial"/>
                <w:sz w:val="18"/>
                <w:szCs w:val="18"/>
              </w:rPr>
              <w:t>-16,836</w:t>
            </w:r>
          </w:p>
        </w:tc>
      </w:tr>
      <w:tr w:rsidR="00A66703" w:rsidRPr="001D41EA" w14:paraId="5A81AA00"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784F5190" w14:textId="77777777" w:rsidR="00A66703" w:rsidRPr="001D41EA" w:rsidRDefault="00A66703" w:rsidP="001D41EA">
            <w:pPr>
              <w:spacing w:before="40" w:after="20"/>
              <w:rPr>
                <w:rFonts w:cs="Arial"/>
                <w:sz w:val="18"/>
                <w:szCs w:val="18"/>
              </w:rPr>
            </w:pPr>
            <w:r w:rsidRPr="001D41EA">
              <w:rPr>
                <w:rFonts w:cs="Arial"/>
                <w:sz w:val="18"/>
                <w:szCs w:val="18"/>
              </w:rPr>
              <w:t xml:space="preserve">Queenscliffe B </w:t>
            </w:r>
          </w:p>
        </w:tc>
        <w:tc>
          <w:tcPr>
            <w:tcW w:w="1134" w:type="dxa"/>
            <w:tcBorders>
              <w:top w:val="nil"/>
              <w:left w:val="single" w:sz="18" w:space="0" w:color="5F497A" w:themeColor="accent4" w:themeShade="BF"/>
              <w:bottom w:val="nil"/>
              <w:right w:val="nil"/>
            </w:tcBorders>
            <w:shd w:val="clear" w:color="auto" w:fill="auto"/>
            <w:vAlign w:val="bottom"/>
          </w:tcPr>
          <w:p w14:paraId="15F909AF" w14:textId="5FC39DEB" w:rsidR="00A66703" w:rsidRPr="001D41EA" w:rsidRDefault="00A66703" w:rsidP="001D41EA">
            <w:pPr>
              <w:spacing w:before="40" w:after="20"/>
              <w:jc w:val="right"/>
              <w:rPr>
                <w:rFonts w:cs="Arial"/>
                <w:sz w:val="18"/>
                <w:szCs w:val="18"/>
              </w:rPr>
            </w:pPr>
            <w:r w:rsidRPr="001D41EA">
              <w:rPr>
                <w:rFonts w:cs="Arial"/>
                <w:sz w:val="18"/>
                <w:szCs w:val="18"/>
              </w:rPr>
              <w:t>212,351</w:t>
            </w:r>
          </w:p>
        </w:tc>
        <w:tc>
          <w:tcPr>
            <w:tcW w:w="1134" w:type="dxa"/>
            <w:tcBorders>
              <w:top w:val="nil"/>
              <w:left w:val="nil"/>
              <w:bottom w:val="nil"/>
              <w:right w:val="nil"/>
            </w:tcBorders>
            <w:shd w:val="clear" w:color="auto" w:fill="auto"/>
            <w:vAlign w:val="bottom"/>
          </w:tcPr>
          <w:p w14:paraId="0DF54888" w14:textId="6E8E236C" w:rsidR="00A66703" w:rsidRPr="001D41EA" w:rsidRDefault="00A66703" w:rsidP="001D41EA">
            <w:pPr>
              <w:spacing w:before="40" w:after="20"/>
              <w:jc w:val="right"/>
              <w:rPr>
                <w:rFonts w:cs="Arial"/>
                <w:sz w:val="18"/>
                <w:szCs w:val="18"/>
              </w:rPr>
            </w:pPr>
            <w:r w:rsidRPr="001D41EA">
              <w:rPr>
                <w:rFonts w:cs="Arial"/>
                <w:sz w:val="18"/>
                <w:szCs w:val="18"/>
              </w:rPr>
              <w:t>210,036</w:t>
            </w:r>
          </w:p>
        </w:tc>
        <w:tc>
          <w:tcPr>
            <w:tcW w:w="1134" w:type="dxa"/>
            <w:tcBorders>
              <w:top w:val="nil"/>
              <w:left w:val="nil"/>
              <w:bottom w:val="nil"/>
              <w:right w:val="nil"/>
            </w:tcBorders>
            <w:shd w:val="clear" w:color="auto" w:fill="auto"/>
            <w:vAlign w:val="bottom"/>
          </w:tcPr>
          <w:p w14:paraId="15EC479A" w14:textId="5DF1EB61" w:rsidR="00A66703" w:rsidRPr="001D41EA" w:rsidRDefault="00A66703" w:rsidP="001D41EA">
            <w:pPr>
              <w:spacing w:before="40" w:after="20"/>
              <w:jc w:val="right"/>
              <w:rPr>
                <w:rFonts w:cs="Arial"/>
                <w:sz w:val="18"/>
                <w:szCs w:val="18"/>
              </w:rPr>
            </w:pPr>
            <w:r w:rsidRPr="001D41EA">
              <w:rPr>
                <w:rFonts w:cs="Arial"/>
                <w:sz w:val="18"/>
                <w:szCs w:val="18"/>
              </w:rPr>
              <w:t>-2,315</w:t>
            </w:r>
          </w:p>
        </w:tc>
        <w:tc>
          <w:tcPr>
            <w:tcW w:w="170" w:type="dxa"/>
            <w:tcBorders>
              <w:top w:val="nil"/>
              <w:left w:val="nil"/>
              <w:bottom w:val="nil"/>
              <w:right w:val="nil"/>
            </w:tcBorders>
            <w:shd w:val="clear" w:color="auto" w:fill="auto"/>
            <w:vAlign w:val="bottom"/>
          </w:tcPr>
          <w:p w14:paraId="24838948"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5365AAF" w14:textId="24DFDFE7" w:rsidR="00A66703" w:rsidRPr="001D41EA" w:rsidRDefault="00A66703" w:rsidP="001D41EA">
            <w:pPr>
              <w:spacing w:before="40" w:after="20"/>
              <w:jc w:val="right"/>
              <w:rPr>
                <w:rFonts w:cs="Arial"/>
                <w:sz w:val="18"/>
                <w:szCs w:val="18"/>
              </w:rPr>
            </w:pPr>
            <w:r w:rsidRPr="001D41EA">
              <w:rPr>
                <w:rFonts w:cs="Arial"/>
                <w:sz w:val="18"/>
                <w:szCs w:val="18"/>
              </w:rPr>
              <w:t>58,455</w:t>
            </w:r>
          </w:p>
        </w:tc>
        <w:tc>
          <w:tcPr>
            <w:tcW w:w="1134" w:type="dxa"/>
            <w:tcBorders>
              <w:top w:val="nil"/>
              <w:left w:val="nil"/>
              <w:bottom w:val="nil"/>
              <w:right w:val="nil"/>
            </w:tcBorders>
            <w:shd w:val="clear" w:color="auto" w:fill="auto"/>
            <w:vAlign w:val="bottom"/>
          </w:tcPr>
          <w:p w14:paraId="7141C902" w14:textId="3B9D5777" w:rsidR="00A66703" w:rsidRPr="001D41EA" w:rsidRDefault="00A66703" w:rsidP="001D41EA">
            <w:pPr>
              <w:spacing w:before="40" w:after="20"/>
              <w:jc w:val="right"/>
              <w:rPr>
                <w:rFonts w:cs="Arial"/>
                <w:sz w:val="18"/>
                <w:szCs w:val="18"/>
              </w:rPr>
            </w:pPr>
            <w:r w:rsidRPr="001D41EA">
              <w:rPr>
                <w:rFonts w:cs="Arial"/>
                <w:sz w:val="18"/>
                <w:szCs w:val="18"/>
              </w:rPr>
              <w:t>57,994</w:t>
            </w:r>
          </w:p>
        </w:tc>
        <w:tc>
          <w:tcPr>
            <w:tcW w:w="1134" w:type="dxa"/>
            <w:tcBorders>
              <w:top w:val="nil"/>
              <w:left w:val="nil"/>
              <w:bottom w:val="nil"/>
              <w:right w:val="nil"/>
            </w:tcBorders>
            <w:shd w:val="clear" w:color="auto" w:fill="auto"/>
            <w:vAlign w:val="bottom"/>
          </w:tcPr>
          <w:p w14:paraId="03C93EFA" w14:textId="1E315310" w:rsidR="00A66703" w:rsidRPr="001D41EA" w:rsidRDefault="00A66703" w:rsidP="001D41EA">
            <w:pPr>
              <w:spacing w:before="40" w:after="20"/>
              <w:jc w:val="right"/>
              <w:rPr>
                <w:rFonts w:cs="Arial"/>
                <w:sz w:val="18"/>
                <w:szCs w:val="18"/>
              </w:rPr>
            </w:pPr>
            <w:r w:rsidRPr="001D41EA">
              <w:rPr>
                <w:rFonts w:cs="Arial"/>
                <w:sz w:val="18"/>
                <w:szCs w:val="18"/>
              </w:rPr>
              <w:t>-461</w:t>
            </w:r>
          </w:p>
        </w:tc>
      </w:tr>
      <w:tr w:rsidR="00A66703" w:rsidRPr="001D41EA" w14:paraId="544371ED"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3B63B025" w14:textId="77777777" w:rsidR="00A66703" w:rsidRPr="001D41EA" w:rsidRDefault="00A66703" w:rsidP="001D41EA">
            <w:pPr>
              <w:spacing w:before="40" w:after="20"/>
              <w:rPr>
                <w:rFonts w:cs="Arial"/>
                <w:sz w:val="18"/>
                <w:szCs w:val="18"/>
              </w:rPr>
            </w:pPr>
            <w:r w:rsidRPr="001D41EA">
              <w:rPr>
                <w:rFonts w:cs="Arial"/>
                <w:sz w:val="18"/>
                <w:szCs w:val="18"/>
              </w:rPr>
              <w:t xml:space="preserve">South Gippsland S </w:t>
            </w:r>
          </w:p>
        </w:tc>
        <w:tc>
          <w:tcPr>
            <w:tcW w:w="1134" w:type="dxa"/>
            <w:tcBorders>
              <w:top w:val="nil"/>
              <w:left w:val="single" w:sz="18" w:space="0" w:color="5F497A" w:themeColor="accent4" w:themeShade="BF"/>
              <w:bottom w:val="nil"/>
              <w:right w:val="nil"/>
            </w:tcBorders>
            <w:shd w:val="clear" w:color="auto" w:fill="auto"/>
            <w:vAlign w:val="bottom"/>
          </w:tcPr>
          <w:p w14:paraId="7A6955BA" w14:textId="654C56B1" w:rsidR="00A66703" w:rsidRPr="001D41EA" w:rsidRDefault="00A66703" w:rsidP="001D41EA">
            <w:pPr>
              <w:spacing w:before="40" w:after="20"/>
              <w:jc w:val="right"/>
              <w:rPr>
                <w:rFonts w:cs="Arial"/>
                <w:sz w:val="18"/>
                <w:szCs w:val="18"/>
              </w:rPr>
            </w:pPr>
            <w:r w:rsidRPr="001D41EA">
              <w:rPr>
                <w:rFonts w:cs="Arial"/>
                <w:sz w:val="18"/>
                <w:szCs w:val="18"/>
              </w:rPr>
              <w:t>5,989,282</w:t>
            </w:r>
          </w:p>
        </w:tc>
        <w:tc>
          <w:tcPr>
            <w:tcW w:w="1134" w:type="dxa"/>
            <w:tcBorders>
              <w:top w:val="nil"/>
              <w:left w:val="nil"/>
              <w:bottom w:val="nil"/>
              <w:right w:val="nil"/>
            </w:tcBorders>
            <w:shd w:val="clear" w:color="auto" w:fill="auto"/>
            <w:vAlign w:val="bottom"/>
          </w:tcPr>
          <w:p w14:paraId="360ABC0E" w14:textId="3CA6A1E3" w:rsidR="00A66703" w:rsidRPr="001D41EA" w:rsidRDefault="00A66703" w:rsidP="001D41EA">
            <w:pPr>
              <w:spacing w:before="40" w:after="20"/>
              <w:jc w:val="right"/>
              <w:rPr>
                <w:rFonts w:cs="Arial"/>
                <w:sz w:val="18"/>
                <w:szCs w:val="18"/>
              </w:rPr>
            </w:pPr>
            <w:r w:rsidRPr="001D41EA">
              <w:rPr>
                <w:rFonts w:cs="Arial"/>
                <w:sz w:val="18"/>
                <w:szCs w:val="18"/>
              </w:rPr>
              <w:t>5,923,999</w:t>
            </w:r>
          </w:p>
        </w:tc>
        <w:tc>
          <w:tcPr>
            <w:tcW w:w="1134" w:type="dxa"/>
            <w:tcBorders>
              <w:top w:val="nil"/>
              <w:left w:val="nil"/>
              <w:bottom w:val="nil"/>
              <w:right w:val="nil"/>
            </w:tcBorders>
            <w:shd w:val="clear" w:color="auto" w:fill="auto"/>
            <w:vAlign w:val="bottom"/>
          </w:tcPr>
          <w:p w14:paraId="54DD25C0" w14:textId="5F9D5648" w:rsidR="00A66703" w:rsidRPr="001D41EA" w:rsidRDefault="00A66703" w:rsidP="001D41EA">
            <w:pPr>
              <w:spacing w:before="40" w:after="20"/>
              <w:jc w:val="right"/>
              <w:rPr>
                <w:rFonts w:cs="Arial"/>
                <w:sz w:val="18"/>
                <w:szCs w:val="18"/>
              </w:rPr>
            </w:pPr>
            <w:r w:rsidRPr="001D41EA">
              <w:rPr>
                <w:rFonts w:cs="Arial"/>
                <w:sz w:val="18"/>
                <w:szCs w:val="18"/>
              </w:rPr>
              <w:t>-65,283</w:t>
            </w:r>
          </w:p>
        </w:tc>
        <w:tc>
          <w:tcPr>
            <w:tcW w:w="170" w:type="dxa"/>
            <w:tcBorders>
              <w:top w:val="nil"/>
              <w:left w:val="nil"/>
              <w:bottom w:val="nil"/>
              <w:right w:val="nil"/>
            </w:tcBorders>
            <w:shd w:val="clear" w:color="auto" w:fill="auto"/>
            <w:vAlign w:val="bottom"/>
          </w:tcPr>
          <w:p w14:paraId="42FE0739"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667F2B2" w14:textId="3203F9AC" w:rsidR="00A66703" w:rsidRPr="001D41EA" w:rsidRDefault="00A66703" w:rsidP="001D41EA">
            <w:pPr>
              <w:spacing w:before="40" w:after="20"/>
              <w:jc w:val="right"/>
              <w:rPr>
                <w:rFonts w:cs="Arial"/>
                <w:sz w:val="18"/>
                <w:szCs w:val="18"/>
              </w:rPr>
            </w:pPr>
            <w:r w:rsidRPr="001D41EA">
              <w:rPr>
                <w:rFonts w:cs="Arial"/>
                <w:sz w:val="18"/>
                <w:szCs w:val="18"/>
              </w:rPr>
              <w:t>3,650,952</w:t>
            </w:r>
          </w:p>
        </w:tc>
        <w:tc>
          <w:tcPr>
            <w:tcW w:w="1134" w:type="dxa"/>
            <w:tcBorders>
              <w:top w:val="nil"/>
              <w:left w:val="nil"/>
              <w:bottom w:val="nil"/>
              <w:right w:val="nil"/>
            </w:tcBorders>
            <w:shd w:val="clear" w:color="auto" w:fill="auto"/>
            <w:vAlign w:val="bottom"/>
          </w:tcPr>
          <w:p w14:paraId="7CD65A19" w14:textId="5D8E1C71" w:rsidR="00A66703" w:rsidRPr="001D41EA" w:rsidRDefault="00A66703" w:rsidP="001D41EA">
            <w:pPr>
              <w:spacing w:before="40" w:after="20"/>
              <w:jc w:val="right"/>
              <w:rPr>
                <w:rFonts w:cs="Arial"/>
                <w:sz w:val="18"/>
                <w:szCs w:val="18"/>
              </w:rPr>
            </w:pPr>
            <w:r w:rsidRPr="001D41EA">
              <w:rPr>
                <w:rFonts w:cs="Arial"/>
                <w:sz w:val="18"/>
                <w:szCs w:val="18"/>
              </w:rPr>
              <w:t>3,622,172</w:t>
            </w:r>
          </w:p>
        </w:tc>
        <w:tc>
          <w:tcPr>
            <w:tcW w:w="1134" w:type="dxa"/>
            <w:tcBorders>
              <w:top w:val="nil"/>
              <w:left w:val="nil"/>
              <w:bottom w:val="nil"/>
              <w:right w:val="nil"/>
            </w:tcBorders>
            <w:shd w:val="clear" w:color="auto" w:fill="auto"/>
            <w:vAlign w:val="bottom"/>
          </w:tcPr>
          <w:p w14:paraId="464B5D34" w14:textId="2FE5F68A" w:rsidR="00A66703" w:rsidRPr="001D41EA" w:rsidRDefault="00A66703" w:rsidP="001D41EA">
            <w:pPr>
              <w:spacing w:before="40" w:after="20"/>
              <w:jc w:val="right"/>
              <w:rPr>
                <w:rFonts w:cs="Arial"/>
                <w:sz w:val="18"/>
                <w:szCs w:val="18"/>
              </w:rPr>
            </w:pPr>
            <w:r w:rsidRPr="001D41EA">
              <w:rPr>
                <w:rFonts w:cs="Arial"/>
                <w:sz w:val="18"/>
                <w:szCs w:val="18"/>
              </w:rPr>
              <w:t>-28,780</w:t>
            </w:r>
          </w:p>
        </w:tc>
      </w:tr>
      <w:tr w:rsidR="00A66703" w:rsidRPr="001D41EA" w14:paraId="5A8FAB9B"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3A76695D" w14:textId="77777777" w:rsidR="00A66703" w:rsidRPr="001D41EA" w:rsidRDefault="00A66703" w:rsidP="001D41EA">
            <w:pPr>
              <w:spacing w:before="40" w:after="20"/>
              <w:rPr>
                <w:rFonts w:cs="Arial"/>
                <w:sz w:val="18"/>
                <w:szCs w:val="18"/>
              </w:rPr>
            </w:pPr>
            <w:r w:rsidRPr="001D41EA">
              <w:rPr>
                <w:rFonts w:cs="Arial"/>
                <w:sz w:val="18"/>
                <w:szCs w:val="18"/>
              </w:rPr>
              <w:t xml:space="preserve">Southern Grampians S </w:t>
            </w:r>
          </w:p>
        </w:tc>
        <w:tc>
          <w:tcPr>
            <w:tcW w:w="1134" w:type="dxa"/>
            <w:tcBorders>
              <w:top w:val="nil"/>
              <w:left w:val="single" w:sz="18" w:space="0" w:color="5F497A" w:themeColor="accent4" w:themeShade="BF"/>
              <w:bottom w:val="nil"/>
              <w:right w:val="nil"/>
            </w:tcBorders>
            <w:shd w:val="clear" w:color="auto" w:fill="auto"/>
            <w:vAlign w:val="bottom"/>
          </w:tcPr>
          <w:p w14:paraId="6BB4ED93" w14:textId="242FDDA8" w:rsidR="00A66703" w:rsidRPr="001D41EA" w:rsidRDefault="00A66703" w:rsidP="001D41EA">
            <w:pPr>
              <w:spacing w:before="40" w:after="20"/>
              <w:jc w:val="right"/>
              <w:rPr>
                <w:rFonts w:cs="Arial"/>
                <w:sz w:val="18"/>
                <w:szCs w:val="18"/>
              </w:rPr>
            </w:pPr>
            <w:r w:rsidRPr="001D41EA">
              <w:rPr>
                <w:rFonts w:cs="Arial"/>
                <w:sz w:val="18"/>
                <w:szCs w:val="18"/>
              </w:rPr>
              <w:t>4,439,296</w:t>
            </w:r>
          </w:p>
        </w:tc>
        <w:tc>
          <w:tcPr>
            <w:tcW w:w="1134" w:type="dxa"/>
            <w:tcBorders>
              <w:top w:val="nil"/>
              <w:left w:val="nil"/>
              <w:bottom w:val="nil"/>
              <w:right w:val="nil"/>
            </w:tcBorders>
            <w:shd w:val="clear" w:color="auto" w:fill="auto"/>
            <w:vAlign w:val="bottom"/>
          </w:tcPr>
          <w:p w14:paraId="170B039C" w14:textId="5B57417C" w:rsidR="00A66703" w:rsidRPr="001D41EA" w:rsidRDefault="00A66703" w:rsidP="001D41EA">
            <w:pPr>
              <w:spacing w:before="40" w:after="20"/>
              <w:jc w:val="right"/>
              <w:rPr>
                <w:rFonts w:cs="Arial"/>
                <w:sz w:val="18"/>
                <w:szCs w:val="18"/>
              </w:rPr>
            </w:pPr>
            <w:r w:rsidRPr="001D41EA">
              <w:rPr>
                <w:rFonts w:cs="Arial"/>
                <w:sz w:val="18"/>
                <w:szCs w:val="18"/>
              </w:rPr>
              <w:t>4,390,908</w:t>
            </w:r>
          </w:p>
        </w:tc>
        <w:tc>
          <w:tcPr>
            <w:tcW w:w="1134" w:type="dxa"/>
            <w:tcBorders>
              <w:top w:val="nil"/>
              <w:left w:val="nil"/>
              <w:bottom w:val="nil"/>
              <w:right w:val="nil"/>
            </w:tcBorders>
            <w:shd w:val="clear" w:color="auto" w:fill="auto"/>
            <w:vAlign w:val="bottom"/>
          </w:tcPr>
          <w:p w14:paraId="1C963E08" w14:textId="3D780884" w:rsidR="00A66703" w:rsidRPr="001D41EA" w:rsidRDefault="00A66703" w:rsidP="001D41EA">
            <w:pPr>
              <w:spacing w:before="40" w:after="20"/>
              <w:jc w:val="right"/>
              <w:rPr>
                <w:rFonts w:cs="Arial"/>
                <w:sz w:val="18"/>
                <w:szCs w:val="18"/>
              </w:rPr>
            </w:pPr>
            <w:r w:rsidRPr="001D41EA">
              <w:rPr>
                <w:rFonts w:cs="Arial"/>
                <w:sz w:val="18"/>
                <w:szCs w:val="18"/>
              </w:rPr>
              <w:t>-48,388</w:t>
            </w:r>
          </w:p>
        </w:tc>
        <w:tc>
          <w:tcPr>
            <w:tcW w:w="170" w:type="dxa"/>
            <w:tcBorders>
              <w:top w:val="nil"/>
              <w:left w:val="nil"/>
              <w:bottom w:val="nil"/>
              <w:right w:val="nil"/>
            </w:tcBorders>
            <w:shd w:val="clear" w:color="auto" w:fill="auto"/>
            <w:vAlign w:val="bottom"/>
          </w:tcPr>
          <w:p w14:paraId="4AD681E3"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241B829" w14:textId="40EB7AF5" w:rsidR="00A66703" w:rsidRPr="001D41EA" w:rsidRDefault="00A66703" w:rsidP="001D41EA">
            <w:pPr>
              <w:spacing w:before="40" w:after="20"/>
              <w:jc w:val="right"/>
              <w:rPr>
                <w:rFonts w:cs="Arial"/>
                <w:sz w:val="18"/>
                <w:szCs w:val="18"/>
              </w:rPr>
            </w:pPr>
            <w:r w:rsidRPr="001D41EA">
              <w:rPr>
                <w:rFonts w:cs="Arial"/>
                <w:sz w:val="18"/>
                <w:szCs w:val="18"/>
              </w:rPr>
              <w:t>3,039,615</w:t>
            </w:r>
          </w:p>
        </w:tc>
        <w:tc>
          <w:tcPr>
            <w:tcW w:w="1134" w:type="dxa"/>
            <w:tcBorders>
              <w:top w:val="nil"/>
              <w:left w:val="nil"/>
              <w:bottom w:val="nil"/>
              <w:right w:val="nil"/>
            </w:tcBorders>
            <w:shd w:val="clear" w:color="auto" w:fill="auto"/>
            <w:vAlign w:val="bottom"/>
          </w:tcPr>
          <w:p w14:paraId="4E42B670" w14:textId="24D8DC07" w:rsidR="00A66703" w:rsidRPr="001D41EA" w:rsidRDefault="00A66703" w:rsidP="001D41EA">
            <w:pPr>
              <w:spacing w:before="40" w:after="20"/>
              <w:jc w:val="right"/>
              <w:rPr>
                <w:rFonts w:cs="Arial"/>
                <w:sz w:val="18"/>
                <w:szCs w:val="18"/>
              </w:rPr>
            </w:pPr>
            <w:r w:rsidRPr="001D41EA">
              <w:rPr>
                <w:rFonts w:cs="Arial"/>
                <w:sz w:val="18"/>
                <w:szCs w:val="18"/>
              </w:rPr>
              <w:t>3,015,654</w:t>
            </w:r>
          </w:p>
        </w:tc>
        <w:tc>
          <w:tcPr>
            <w:tcW w:w="1134" w:type="dxa"/>
            <w:tcBorders>
              <w:top w:val="nil"/>
              <w:left w:val="nil"/>
              <w:bottom w:val="nil"/>
              <w:right w:val="nil"/>
            </w:tcBorders>
            <w:shd w:val="clear" w:color="auto" w:fill="auto"/>
            <w:vAlign w:val="bottom"/>
          </w:tcPr>
          <w:p w14:paraId="705DD3B5" w14:textId="2E7DB5E9" w:rsidR="00A66703" w:rsidRPr="001D41EA" w:rsidRDefault="00A66703" w:rsidP="001D41EA">
            <w:pPr>
              <w:spacing w:before="40" w:after="20"/>
              <w:jc w:val="right"/>
              <w:rPr>
                <w:rFonts w:cs="Arial"/>
                <w:sz w:val="18"/>
                <w:szCs w:val="18"/>
              </w:rPr>
            </w:pPr>
            <w:r w:rsidRPr="001D41EA">
              <w:rPr>
                <w:rFonts w:cs="Arial"/>
                <w:sz w:val="18"/>
                <w:szCs w:val="18"/>
              </w:rPr>
              <w:t>-23,961</w:t>
            </w:r>
          </w:p>
        </w:tc>
      </w:tr>
      <w:tr w:rsidR="00A66703" w:rsidRPr="001D41EA" w14:paraId="26124B61"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54B74607" w14:textId="77777777" w:rsidR="00A66703" w:rsidRPr="001D41EA" w:rsidRDefault="00A66703" w:rsidP="001D41EA">
            <w:pPr>
              <w:spacing w:before="40" w:after="20"/>
              <w:rPr>
                <w:rFonts w:cs="Arial"/>
                <w:sz w:val="18"/>
                <w:szCs w:val="18"/>
              </w:rPr>
            </w:pPr>
            <w:r w:rsidRPr="001D41EA">
              <w:rPr>
                <w:rFonts w:cs="Arial"/>
                <w:sz w:val="18"/>
                <w:szCs w:val="18"/>
              </w:rPr>
              <w:t xml:space="preserve">Stonnington C </w:t>
            </w:r>
          </w:p>
        </w:tc>
        <w:tc>
          <w:tcPr>
            <w:tcW w:w="1134" w:type="dxa"/>
            <w:tcBorders>
              <w:top w:val="nil"/>
              <w:left w:val="single" w:sz="18" w:space="0" w:color="5F497A" w:themeColor="accent4" w:themeShade="BF"/>
              <w:bottom w:val="nil"/>
              <w:right w:val="nil"/>
            </w:tcBorders>
            <w:shd w:val="clear" w:color="auto" w:fill="auto"/>
            <w:vAlign w:val="bottom"/>
          </w:tcPr>
          <w:p w14:paraId="160669E4" w14:textId="27B87C6B" w:rsidR="00A66703" w:rsidRPr="001D41EA" w:rsidRDefault="00A66703" w:rsidP="001D41EA">
            <w:pPr>
              <w:spacing w:before="40" w:after="20"/>
              <w:jc w:val="right"/>
              <w:rPr>
                <w:rFonts w:cs="Arial"/>
                <w:sz w:val="18"/>
                <w:szCs w:val="18"/>
              </w:rPr>
            </w:pPr>
            <w:r w:rsidRPr="001D41EA">
              <w:rPr>
                <w:rFonts w:cs="Arial"/>
                <w:sz w:val="18"/>
                <w:szCs w:val="18"/>
              </w:rPr>
              <w:t>2,377,003</w:t>
            </w:r>
          </w:p>
        </w:tc>
        <w:tc>
          <w:tcPr>
            <w:tcW w:w="1134" w:type="dxa"/>
            <w:tcBorders>
              <w:top w:val="nil"/>
              <w:left w:val="nil"/>
              <w:bottom w:val="nil"/>
              <w:right w:val="nil"/>
            </w:tcBorders>
            <w:shd w:val="clear" w:color="auto" w:fill="auto"/>
            <w:vAlign w:val="bottom"/>
          </w:tcPr>
          <w:p w14:paraId="0F190029" w14:textId="6B89E75D" w:rsidR="00A66703" w:rsidRPr="001D41EA" w:rsidRDefault="00A66703" w:rsidP="001D41EA">
            <w:pPr>
              <w:spacing w:before="40" w:after="20"/>
              <w:jc w:val="right"/>
              <w:rPr>
                <w:rFonts w:cs="Arial"/>
                <w:sz w:val="18"/>
                <w:szCs w:val="18"/>
              </w:rPr>
            </w:pPr>
            <w:r w:rsidRPr="001D41EA">
              <w:rPr>
                <w:rFonts w:cs="Arial"/>
                <w:sz w:val="18"/>
                <w:szCs w:val="18"/>
              </w:rPr>
              <w:t>2,351,094</w:t>
            </w:r>
          </w:p>
        </w:tc>
        <w:tc>
          <w:tcPr>
            <w:tcW w:w="1134" w:type="dxa"/>
            <w:tcBorders>
              <w:top w:val="nil"/>
              <w:left w:val="nil"/>
              <w:bottom w:val="nil"/>
              <w:right w:val="nil"/>
            </w:tcBorders>
            <w:shd w:val="clear" w:color="auto" w:fill="auto"/>
            <w:vAlign w:val="bottom"/>
          </w:tcPr>
          <w:p w14:paraId="4D27DE70" w14:textId="247DDA77" w:rsidR="00A66703" w:rsidRPr="001D41EA" w:rsidRDefault="00A66703" w:rsidP="001D41EA">
            <w:pPr>
              <w:spacing w:before="40" w:after="20"/>
              <w:jc w:val="right"/>
              <w:rPr>
                <w:rFonts w:cs="Arial"/>
                <w:sz w:val="18"/>
                <w:szCs w:val="18"/>
              </w:rPr>
            </w:pPr>
            <w:r w:rsidRPr="001D41EA">
              <w:rPr>
                <w:rFonts w:cs="Arial"/>
                <w:sz w:val="18"/>
                <w:szCs w:val="18"/>
              </w:rPr>
              <w:t>-25,909</w:t>
            </w:r>
          </w:p>
        </w:tc>
        <w:tc>
          <w:tcPr>
            <w:tcW w:w="170" w:type="dxa"/>
            <w:tcBorders>
              <w:top w:val="nil"/>
              <w:left w:val="nil"/>
              <w:bottom w:val="nil"/>
              <w:right w:val="nil"/>
            </w:tcBorders>
            <w:shd w:val="clear" w:color="auto" w:fill="auto"/>
            <w:vAlign w:val="bottom"/>
          </w:tcPr>
          <w:p w14:paraId="0D8D5BB6"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304139D" w14:textId="0B32CE7E" w:rsidR="00A66703" w:rsidRPr="001D41EA" w:rsidRDefault="00A66703" w:rsidP="001D41EA">
            <w:pPr>
              <w:spacing w:before="40" w:after="20"/>
              <w:jc w:val="right"/>
              <w:rPr>
                <w:rFonts w:cs="Arial"/>
                <w:sz w:val="18"/>
                <w:szCs w:val="18"/>
              </w:rPr>
            </w:pPr>
            <w:r w:rsidRPr="001D41EA">
              <w:rPr>
                <w:rFonts w:cs="Arial"/>
                <w:sz w:val="18"/>
                <w:szCs w:val="18"/>
              </w:rPr>
              <w:t>456,544</w:t>
            </w:r>
          </w:p>
        </w:tc>
        <w:tc>
          <w:tcPr>
            <w:tcW w:w="1134" w:type="dxa"/>
            <w:tcBorders>
              <w:top w:val="nil"/>
              <w:left w:val="nil"/>
              <w:bottom w:val="nil"/>
              <w:right w:val="nil"/>
            </w:tcBorders>
            <w:shd w:val="clear" w:color="auto" w:fill="auto"/>
            <w:vAlign w:val="bottom"/>
          </w:tcPr>
          <w:p w14:paraId="4E710DE1" w14:textId="37286149" w:rsidR="00A66703" w:rsidRPr="001D41EA" w:rsidRDefault="00A66703" w:rsidP="001D41EA">
            <w:pPr>
              <w:spacing w:before="40" w:after="20"/>
              <w:jc w:val="right"/>
              <w:rPr>
                <w:rFonts w:cs="Arial"/>
                <w:sz w:val="18"/>
                <w:szCs w:val="18"/>
              </w:rPr>
            </w:pPr>
            <w:r w:rsidRPr="001D41EA">
              <w:rPr>
                <w:rFonts w:cs="Arial"/>
                <w:sz w:val="18"/>
                <w:szCs w:val="18"/>
              </w:rPr>
              <w:t>452,945</w:t>
            </w:r>
          </w:p>
        </w:tc>
        <w:tc>
          <w:tcPr>
            <w:tcW w:w="1134" w:type="dxa"/>
            <w:tcBorders>
              <w:top w:val="nil"/>
              <w:left w:val="nil"/>
              <w:bottom w:val="nil"/>
              <w:right w:val="nil"/>
            </w:tcBorders>
            <w:shd w:val="clear" w:color="auto" w:fill="auto"/>
            <w:vAlign w:val="bottom"/>
          </w:tcPr>
          <w:p w14:paraId="622E5225" w14:textId="2328F920" w:rsidR="00A66703" w:rsidRPr="001D41EA" w:rsidRDefault="00A66703" w:rsidP="001D41EA">
            <w:pPr>
              <w:spacing w:before="40" w:after="20"/>
              <w:jc w:val="right"/>
              <w:rPr>
                <w:rFonts w:cs="Arial"/>
                <w:sz w:val="18"/>
                <w:szCs w:val="18"/>
              </w:rPr>
            </w:pPr>
            <w:r w:rsidRPr="001D41EA">
              <w:rPr>
                <w:rFonts w:cs="Arial"/>
                <w:sz w:val="18"/>
                <w:szCs w:val="18"/>
              </w:rPr>
              <w:t>-3,599</w:t>
            </w:r>
          </w:p>
        </w:tc>
      </w:tr>
      <w:tr w:rsidR="00A66703" w:rsidRPr="001D41EA" w14:paraId="07F133A2"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26E29E55" w14:textId="77777777" w:rsidR="00A66703" w:rsidRPr="001D41EA" w:rsidRDefault="00A66703" w:rsidP="001D41EA">
            <w:pPr>
              <w:spacing w:before="40" w:after="20"/>
              <w:rPr>
                <w:rFonts w:cs="Arial"/>
                <w:sz w:val="18"/>
                <w:szCs w:val="18"/>
              </w:rPr>
            </w:pPr>
            <w:r w:rsidRPr="001D41EA">
              <w:rPr>
                <w:rFonts w:cs="Arial"/>
                <w:sz w:val="18"/>
                <w:szCs w:val="18"/>
              </w:rPr>
              <w:t xml:space="preserve">Strathbogie S </w:t>
            </w:r>
          </w:p>
        </w:tc>
        <w:tc>
          <w:tcPr>
            <w:tcW w:w="1134" w:type="dxa"/>
            <w:tcBorders>
              <w:top w:val="nil"/>
              <w:left w:val="single" w:sz="18" w:space="0" w:color="5F497A" w:themeColor="accent4" w:themeShade="BF"/>
              <w:bottom w:val="nil"/>
              <w:right w:val="nil"/>
            </w:tcBorders>
            <w:shd w:val="clear" w:color="auto" w:fill="auto"/>
            <w:vAlign w:val="bottom"/>
          </w:tcPr>
          <w:p w14:paraId="5EE0F167" w14:textId="75E9FEAA" w:rsidR="00A66703" w:rsidRPr="001D41EA" w:rsidRDefault="00A66703" w:rsidP="001D41EA">
            <w:pPr>
              <w:spacing w:before="40" w:after="20"/>
              <w:jc w:val="right"/>
              <w:rPr>
                <w:rFonts w:cs="Arial"/>
                <w:sz w:val="18"/>
                <w:szCs w:val="18"/>
              </w:rPr>
            </w:pPr>
            <w:r w:rsidRPr="001D41EA">
              <w:rPr>
                <w:rFonts w:cs="Arial"/>
                <w:sz w:val="18"/>
                <w:szCs w:val="18"/>
              </w:rPr>
              <w:t>3,223,925</w:t>
            </w:r>
          </w:p>
        </w:tc>
        <w:tc>
          <w:tcPr>
            <w:tcW w:w="1134" w:type="dxa"/>
            <w:tcBorders>
              <w:top w:val="nil"/>
              <w:left w:val="nil"/>
              <w:bottom w:val="nil"/>
              <w:right w:val="nil"/>
            </w:tcBorders>
            <w:shd w:val="clear" w:color="auto" w:fill="auto"/>
            <w:vAlign w:val="bottom"/>
          </w:tcPr>
          <w:p w14:paraId="7699E40A" w14:textId="2CDBA8E2" w:rsidR="00A66703" w:rsidRPr="001D41EA" w:rsidRDefault="00A66703" w:rsidP="001D41EA">
            <w:pPr>
              <w:spacing w:before="40" w:after="20"/>
              <w:jc w:val="right"/>
              <w:rPr>
                <w:rFonts w:cs="Arial"/>
                <w:sz w:val="18"/>
                <w:szCs w:val="18"/>
              </w:rPr>
            </w:pPr>
            <w:r w:rsidRPr="001D41EA">
              <w:rPr>
                <w:rFonts w:cs="Arial"/>
                <w:sz w:val="18"/>
                <w:szCs w:val="18"/>
              </w:rPr>
              <w:t>3,188,784</w:t>
            </w:r>
          </w:p>
        </w:tc>
        <w:tc>
          <w:tcPr>
            <w:tcW w:w="1134" w:type="dxa"/>
            <w:tcBorders>
              <w:top w:val="nil"/>
              <w:left w:val="nil"/>
              <w:bottom w:val="nil"/>
              <w:right w:val="nil"/>
            </w:tcBorders>
            <w:shd w:val="clear" w:color="auto" w:fill="auto"/>
            <w:vAlign w:val="bottom"/>
          </w:tcPr>
          <w:p w14:paraId="08CE5BDB" w14:textId="01EAB9F3" w:rsidR="00A66703" w:rsidRPr="001D41EA" w:rsidRDefault="00A66703" w:rsidP="001D41EA">
            <w:pPr>
              <w:spacing w:before="40" w:after="20"/>
              <w:jc w:val="right"/>
              <w:rPr>
                <w:rFonts w:cs="Arial"/>
                <w:sz w:val="18"/>
                <w:szCs w:val="18"/>
              </w:rPr>
            </w:pPr>
            <w:r w:rsidRPr="001D41EA">
              <w:rPr>
                <w:rFonts w:cs="Arial"/>
                <w:sz w:val="18"/>
                <w:szCs w:val="18"/>
              </w:rPr>
              <w:t>-35,141</w:t>
            </w:r>
          </w:p>
        </w:tc>
        <w:tc>
          <w:tcPr>
            <w:tcW w:w="170" w:type="dxa"/>
            <w:tcBorders>
              <w:top w:val="nil"/>
              <w:left w:val="nil"/>
              <w:bottom w:val="nil"/>
              <w:right w:val="nil"/>
            </w:tcBorders>
            <w:shd w:val="clear" w:color="auto" w:fill="auto"/>
            <w:vAlign w:val="bottom"/>
          </w:tcPr>
          <w:p w14:paraId="6FA69CB9"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5D75FF0" w14:textId="24EC5C92" w:rsidR="00A66703" w:rsidRPr="001D41EA" w:rsidRDefault="00A66703" w:rsidP="001D41EA">
            <w:pPr>
              <w:spacing w:before="40" w:after="20"/>
              <w:jc w:val="right"/>
              <w:rPr>
                <w:rFonts w:cs="Arial"/>
                <w:sz w:val="18"/>
                <w:szCs w:val="18"/>
              </w:rPr>
            </w:pPr>
            <w:r w:rsidRPr="001D41EA">
              <w:rPr>
                <w:rFonts w:cs="Arial"/>
                <w:sz w:val="18"/>
                <w:szCs w:val="18"/>
              </w:rPr>
              <w:t>2,204,117</w:t>
            </w:r>
          </w:p>
        </w:tc>
        <w:tc>
          <w:tcPr>
            <w:tcW w:w="1134" w:type="dxa"/>
            <w:tcBorders>
              <w:top w:val="nil"/>
              <w:left w:val="nil"/>
              <w:bottom w:val="nil"/>
              <w:right w:val="nil"/>
            </w:tcBorders>
            <w:shd w:val="clear" w:color="auto" w:fill="auto"/>
            <w:vAlign w:val="bottom"/>
          </w:tcPr>
          <w:p w14:paraId="12886869" w14:textId="1AA816D9" w:rsidR="00A66703" w:rsidRPr="001D41EA" w:rsidRDefault="00A66703" w:rsidP="001D41EA">
            <w:pPr>
              <w:spacing w:before="40" w:after="20"/>
              <w:jc w:val="right"/>
              <w:rPr>
                <w:rFonts w:cs="Arial"/>
                <w:sz w:val="18"/>
                <w:szCs w:val="18"/>
              </w:rPr>
            </w:pPr>
            <w:r w:rsidRPr="001D41EA">
              <w:rPr>
                <w:rFonts w:cs="Arial"/>
                <w:sz w:val="18"/>
                <w:szCs w:val="18"/>
              </w:rPr>
              <w:t>2,186,742</w:t>
            </w:r>
          </w:p>
        </w:tc>
        <w:tc>
          <w:tcPr>
            <w:tcW w:w="1134" w:type="dxa"/>
            <w:tcBorders>
              <w:top w:val="nil"/>
              <w:left w:val="nil"/>
              <w:bottom w:val="nil"/>
              <w:right w:val="nil"/>
            </w:tcBorders>
            <w:shd w:val="clear" w:color="auto" w:fill="auto"/>
            <w:vAlign w:val="bottom"/>
          </w:tcPr>
          <w:p w14:paraId="161A3F0B" w14:textId="3D814A17" w:rsidR="00A66703" w:rsidRPr="001D41EA" w:rsidRDefault="00A66703" w:rsidP="001D41EA">
            <w:pPr>
              <w:spacing w:before="40" w:after="20"/>
              <w:jc w:val="right"/>
              <w:rPr>
                <w:rFonts w:cs="Arial"/>
                <w:sz w:val="18"/>
                <w:szCs w:val="18"/>
              </w:rPr>
            </w:pPr>
            <w:r w:rsidRPr="001D41EA">
              <w:rPr>
                <w:rFonts w:cs="Arial"/>
                <w:sz w:val="18"/>
                <w:szCs w:val="18"/>
              </w:rPr>
              <w:t>-17,375</w:t>
            </w:r>
          </w:p>
        </w:tc>
      </w:tr>
      <w:tr w:rsidR="00A66703" w:rsidRPr="001D41EA" w14:paraId="2F144B08"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4B568EE4" w14:textId="77777777" w:rsidR="00A66703" w:rsidRPr="001D41EA" w:rsidRDefault="00A66703" w:rsidP="001D41EA">
            <w:pPr>
              <w:spacing w:before="40" w:after="20"/>
              <w:rPr>
                <w:rFonts w:cs="Arial"/>
                <w:sz w:val="18"/>
                <w:szCs w:val="18"/>
              </w:rPr>
            </w:pPr>
            <w:r w:rsidRPr="001D41EA">
              <w:rPr>
                <w:rFonts w:cs="Arial"/>
                <w:sz w:val="18"/>
                <w:szCs w:val="18"/>
              </w:rPr>
              <w:t xml:space="preserve">Surf Coast S </w:t>
            </w:r>
          </w:p>
        </w:tc>
        <w:tc>
          <w:tcPr>
            <w:tcW w:w="1134" w:type="dxa"/>
            <w:tcBorders>
              <w:top w:val="nil"/>
              <w:left w:val="single" w:sz="18" w:space="0" w:color="5F497A" w:themeColor="accent4" w:themeShade="BF"/>
              <w:bottom w:val="nil"/>
              <w:right w:val="nil"/>
            </w:tcBorders>
            <w:shd w:val="clear" w:color="auto" w:fill="auto"/>
            <w:vAlign w:val="bottom"/>
          </w:tcPr>
          <w:p w14:paraId="52B48DC7" w14:textId="2404243B" w:rsidR="00A66703" w:rsidRPr="001D41EA" w:rsidRDefault="00A66703" w:rsidP="001D41EA">
            <w:pPr>
              <w:spacing w:before="40" w:after="20"/>
              <w:jc w:val="right"/>
              <w:rPr>
                <w:rFonts w:cs="Arial"/>
                <w:sz w:val="18"/>
                <w:szCs w:val="18"/>
              </w:rPr>
            </w:pPr>
            <w:r w:rsidRPr="001D41EA">
              <w:rPr>
                <w:rFonts w:cs="Arial"/>
                <w:sz w:val="18"/>
                <w:szCs w:val="18"/>
              </w:rPr>
              <w:t>2,740,425</w:t>
            </w:r>
          </w:p>
        </w:tc>
        <w:tc>
          <w:tcPr>
            <w:tcW w:w="1134" w:type="dxa"/>
            <w:tcBorders>
              <w:top w:val="nil"/>
              <w:left w:val="nil"/>
              <w:bottom w:val="nil"/>
              <w:right w:val="nil"/>
            </w:tcBorders>
            <w:shd w:val="clear" w:color="auto" w:fill="auto"/>
            <w:vAlign w:val="bottom"/>
          </w:tcPr>
          <w:p w14:paraId="73AFFA09" w14:textId="4DEEB709" w:rsidR="00A66703" w:rsidRPr="001D41EA" w:rsidRDefault="00A66703" w:rsidP="001D41EA">
            <w:pPr>
              <w:spacing w:before="40" w:after="20"/>
              <w:jc w:val="right"/>
              <w:rPr>
                <w:rFonts w:cs="Arial"/>
                <w:sz w:val="18"/>
                <w:szCs w:val="18"/>
              </w:rPr>
            </w:pPr>
            <w:r w:rsidRPr="001D41EA">
              <w:rPr>
                <w:rFonts w:cs="Arial"/>
                <w:sz w:val="18"/>
                <w:szCs w:val="18"/>
              </w:rPr>
              <w:t>2,710,555</w:t>
            </w:r>
          </w:p>
        </w:tc>
        <w:tc>
          <w:tcPr>
            <w:tcW w:w="1134" w:type="dxa"/>
            <w:tcBorders>
              <w:top w:val="nil"/>
              <w:left w:val="nil"/>
              <w:bottom w:val="nil"/>
              <w:right w:val="nil"/>
            </w:tcBorders>
            <w:shd w:val="clear" w:color="auto" w:fill="auto"/>
            <w:vAlign w:val="bottom"/>
          </w:tcPr>
          <w:p w14:paraId="411816F1" w14:textId="59F0B8AC" w:rsidR="00A66703" w:rsidRPr="001D41EA" w:rsidRDefault="00A66703" w:rsidP="001D41EA">
            <w:pPr>
              <w:spacing w:before="40" w:after="20"/>
              <w:jc w:val="right"/>
              <w:rPr>
                <w:rFonts w:cs="Arial"/>
                <w:sz w:val="18"/>
                <w:szCs w:val="18"/>
              </w:rPr>
            </w:pPr>
            <w:r w:rsidRPr="001D41EA">
              <w:rPr>
                <w:rFonts w:cs="Arial"/>
                <w:sz w:val="18"/>
                <w:szCs w:val="18"/>
              </w:rPr>
              <w:t>-29,870</w:t>
            </w:r>
          </w:p>
        </w:tc>
        <w:tc>
          <w:tcPr>
            <w:tcW w:w="170" w:type="dxa"/>
            <w:tcBorders>
              <w:top w:val="nil"/>
              <w:left w:val="nil"/>
              <w:bottom w:val="nil"/>
              <w:right w:val="nil"/>
            </w:tcBorders>
            <w:shd w:val="clear" w:color="auto" w:fill="auto"/>
            <w:vAlign w:val="bottom"/>
          </w:tcPr>
          <w:p w14:paraId="5434F623"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ED38DB6" w14:textId="02E9879D" w:rsidR="00A66703" w:rsidRPr="001D41EA" w:rsidRDefault="00A66703" w:rsidP="001D41EA">
            <w:pPr>
              <w:spacing w:before="40" w:after="20"/>
              <w:jc w:val="right"/>
              <w:rPr>
                <w:rFonts w:cs="Arial"/>
                <w:sz w:val="18"/>
                <w:szCs w:val="18"/>
              </w:rPr>
            </w:pPr>
            <w:r w:rsidRPr="001D41EA">
              <w:rPr>
                <w:rFonts w:cs="Arial"/>
                <w:sz w:val="18"/>
                <w:szCs w:val="18"/>
              </w:rPr>
              <w:t>1,609,279</w:t>
            </w:r>
          </w:p>
        </w:tc>
        <w:tc>
          <w:tcPr>
            <w:tcW w:w="1134" w:type="dxa"/>
            <w:tcBorders>
              <w:top w:val="nil"/>
              <w:left w:val="nil"/>
              <w:bottom w:val="nil"/>
              <w:right w:val="nil"/>
            </w:tcBorders>
            <w:shd w:val="clear" w:color="auto" w:fill="auto"/>
            <w:vAlign w:val="bottom"/>
          </w:tcPr>
          <w:p w14:paraId="64F02F4B" w14:textId="54043F71" w:rsidR="00A66703" w:rsidRPr="001D41EA" w:rsidRDefault="00A66703" w:rsidP="001D41EA">
            <w:pPr>
              <w:spacing w:before="40" w:after="20"/>
              <w:jc w:val="right"/>
              <w:rPr>
                <w:rFonts w:cs="Arial"/>
                <w:sz w:val="18"/>
                <w:szCs w:val="18"/>
              </w:rPr>
            </w:pPr>
            <w:r w:rsidRPr="001D41EA">
              <w:rPr>
                <w:rFonts w:cs="Arial"/>
                <w:sz w:val="18"/>
                <w:szCs w:val="18"/>
              </w:rPr>
              <w:t>1,596,593</w:t>
            </w:r>
          </w:p>
        </w:tc>
        <w:tc>
          <w:tcPr>
            <w:tcW w:w="1134" w:type="dxa"/>
            <w:tcBorders>
              <w:top w:val="nil"/>
              <w:left w:val="nil"/>
              <w:bottom w:val="nil"/>
              <w:right w:val="nil"/>
            </w:tcBorders>
            <w:shd w:val="clear" w:color="auto" w:fill="auto"/>
            <w:vAlign w:val="bottom"/>
          </w:tcPr>
          <w:p w14:paraId="6D534894" w14:textId="4202AEBD" w:rsidR="00A66703" w:rsidRPr="001D41EA" w:rsidRDefault="00A66703" w:rsidP="001D41EA">
            <w:pPr>
              <w:spacing w:before="40" w:after="20"/>
              <w:jc w:val="right"/>
              <w:rPr>
                <w:rFonts w:cs="Arial"/>
                <w:sz w:val="18"/>
                <w:szCs w:val="18"/>
              </w:rPr>
            </w:pPr>
            <w:r w:rsidRPr="001D41EA">
              <w:rPr>
                <w:rFonts w:cs="Arial"/>
                <w:sz w:val="18"/>
                <w:szCs w:val="18"/>
              </w:rPr>
              <w:t>-12,686</w:t>
            </w:r>
          </w:p>
        </w:tc>
      </w:tr>
      <w:tr w:rsidR="00A66703" w:rsidRPr="001D41EA" w14:paraId="4A0E275C"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388F2FB9" w14:textId="77777777" w:rsidR="00A66703" w:rsidRPr="001D41EA" w:rsidRDefault="00A66703" w:rsidP="001D41EA">
            <w:pPr>
              <w:spacing w:before="40" w:after="20"/>
              <w:rPr>
                <w:rFonts w:cs="Arial"/>
                <w:sz w:val="18"/>
                <w:szCs w:val="18"/>
              </w:rPr>
            </w:pPr>
            <w:r w:rsidRPr="001D41EA">
              <w:rPr>
                <w:rFonts w:cs="Arial"/>
                <w:sz w:val="18"/>
                <w:szCs w:val="18"/>
              </w:rPr>
              <w:t xml:space="preserve">Swan Hill RC </w:t>
            </w:r>
          </w:p>
        </w:tc>
        <w:tc>
          <w:tcPr>
            <w:tcW w:w="1134" w:type="dxa"/>
            <w:tcBorders>
              <w:top w:val="nil"/>
              <w:left w:val="single" w:sz="18" w:space="0" w:color="5F497A" w:themeColor="accent4" w:themeShade="BF"/>
              <w:bottom w:val="nil"/>
              <w:right w:val="nil"/>
            </w:tcBorders>
            <w:shd w:val="clear" w:color="auto" w:fill="auto"/>
            <w:vAlign w:val="bottom"/>
          </w:tcPr>
          <w:p w14:paraId="6826A06D" w14:textId="7BF66D96" w:rsidR="00A66703" w:rsidRPr="001D41EA" w:rsidRDefault="00A66703" w:rsidP="001D41EA">
            <w:pPr>
              <w:spacing w:before="40" w:after="20"/>
              <w:jc w:val="right"/>
              <w:rPr>
                <w:rFonts w:cs="Arial"/>
                <w:sz w:val="18"/>
                <w:szCs w:val="18"/>
              </w:rPr>
            </w:pPr>
            <w:r w:rsidRPr="001D41EA">
              <w:rPr>
                <w:rFonts w:cs="Arial"/>
                <w:sz w:val="18"/>
                <w:szCs w:val="18"/>
              </w:rPr>
              <w:t>4,607,207</w:t>
            </w:r>
          </w:p>
        </w:tc>
        <w:tc>
          <w:tcPr>
            <w:tcW w:w="1134" w:type="dxa"/>
            <w:tcBorders>
              <w:top w:val="nil"/>
              <w:left w:val="nil"/>
              <w:bottom w:val="nil"/>
              <w:right w:val="nil"/>
            </w:tcBorders>
            <w:shd w:val="clear" w:color="auto" w:fill="auto"/>
            <w:vAlign w:val="bottom"/>
          </w:tcPr>
          <w:p w14:paraId="2CE555BB" w14:textId="37D70708" w:rsidR="00A66703" w:rsidRPr="001D41EA" w:rsidRDefault="00A66703" w:rsidP="001D41EA">
            <w:pPr>
              <w:spacing w:before="40" w:after="20"/>
              <w:jc w:val="right"/>
              <w:rPr>
                <w:rFonts w:cs="Arial"/>
                <w:sz w:val="18"/>
                <w:szCs w:val="18"/>
              </w:rPr>
            </w:pPr>
            <w:r w:rsidRPr="001D41EA">
              <w:rPr>
                <w:rFonts w:cs="Arial"/>
                <w:sz w:val="18"/>
                <w:szCs w:val="18"/>
              </w:rPr>
              <w:t>4,556,989</w:t>
            </w:r>
          </w:p>
        </w:tc>
        <w:tc>
          <w:tcPr>
            <w:tcW w:w="1134" w:type="dxa"/>
            <w:tcBorders>
              <w:top w:val="nil"/>
              <w:left w:val="nil"/>
              <w:bottom w:val="nil"/>
              <w:right w:val="nil"/>
            </w:tcBorders>
            <w:shd w:val="clear" w:color="auto" w:fill="auto"/>
            <w:vAlign w:val="bottom"/>
          </w:tcPr>
          <w:p w14:paraId="7516C27E" w14:textId="4F359B57" w:rsidR="00A66703" w:rsidRPr="001D41EA" w:rsidRDefault="00A66703" w:rsidP="001D41EA">
            <w:pPr>
              <w:spacing w:before="40" w:after="20"/>
              <w:jc w:val="right"/>
              <w:rPr>
                <w:rFonts w:cs="Arial"/>
                <w:sz w:val="18"/>
                <w:szCs w:val="18"/>
              </w:rPr>
            </w:pPr>
            <w:r w:rsidRPr="001D41EA">
              <w:rPr>
                <w:rFonts w:cs="Arial"/>
                <w:sz w:val="18"/>
                <w:szCs w:val="18"/>
              </w:rPr>
              <w:t>-50,218</w:t>
            </w:r>
          </w:p>
        </w:tc>
        <w:tc>
          <w:tcPr>
            <w:tcW w:w="170" w:type="dxa"/>
            <w:tcBorders>
              <w:top w:val="nil"/>
              <w:left w:val="nil"/>
              <w:bottom w:val="nil"/>
              <w:right w:val="nil"/>
            </w:tcBorders>
            <w:shd w:val="clear" w:color="auto" w:fill="auto"/>
            <w:vAlign w:val="bottom"/>
          </w:tcPr>
          <w:p w14:paraId="05305AA2"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B1199E6" w14:textId="569545DA" w:rsidR="00A66703" w:rsidRPr="001D41EA" w:rsidRDefault="00A66703" w:rsidP="001D41EA">
            <w:pPr>
              <w:spacing w:before="40" w:after="20"/>
              <w:jc w:val="right"/>
              <w:rPr>
                <w:rFonts w:cs="Arial"/>
                <w:sz w:val="18"/>
                <w:szCs w:val="18"/>
              </w:rPr>
            </w:pPr>
            <w:r w:rsidRPr="001D41EA">
              <w:rPr>
                <w:rFonts w:cs="Arial"/>
                <w:sz w:val="18"/>
                <w:szCs w:val="18"/>
              </w:rPr>
              <w:t>2,195,829</w:t>
            </w:r>
          </w:p>
        </w:tc>
        <w:tc>
          <w:tcPr>
            <w:tcW w:w="1134" w:type="dxa"/>
            <w:tcBorders>
              <w:top w:val="nil"/>
              <w:left w:val="nil"/>
              <w:bottom w:val="nil"/>
              <w:right w:val="nil"/>
            </w:tcBorders>
            <w:shd w:val="clear" w:color="auto" w:fill="auto"/>
            <w:vAlign w:val="bottom"/>
          </w:tcPr>
          <w:p w14:paraId="5D49C400" w14:textId="37A58F97" w:rsidR="00A66703" w:rsidRPr="001D41EA" w:rsidRDefault="00A66703" w:rsidP="001D41EA">
            <w:pPr>
              <w:spacing w:before="40" w:after="20"/>
              <w:jc w:val="right"/>
              <w:rPr>
                <w:rFonts w:cs="Arial"/>
                <w:sz w:val="18"/>
                <w:szCs w:val="18"/>
              </w:rPr>
            </w:pPr>
            <w:r w:rsidRPr="001D41EA">
              <w:rPr>
                <w:rFonts w:cs="Arial"/>
                <w:sz w:val="18"/>
                <w:szCs w:val="18"/>
              </w:rPr>
              <w:t>2,178,519</w:t>
            </w:r>
          </w:p>
        </w:tc>
        <w:tc>
          <w:tcPr>
            <w:tcW w:w="1134" w:type="dxa"/>
            <w:tcBorders>
              <w:top w:val="nil"/>
              <w:left w:val="nil"/>
              <w:bottom w:val="nil"/>
              <w:right w:val="nil"/>
            </w:tcBorders>
            <w:shd w:val="clear" w:color="auto" w:fill="auto"/>
            <w:vAlign w:val="bottom"/>
          </w:tcPr>
          <w:p w14:paraId="71F11DB9" w14:textId="65827410" w:rsidR="00A66703" w:rsidRPr="001D41EA" w:rsidRDefault="00A66703" w:rsidP="001D41EA">
            <w:pPr>
              <w:spacing w:before="40" w:after="20"/>
              <w:jc w:val="right"/>
              <w:rPr>
                <w:rFonts w:cs="Arial"/>
                <w:sz w:val="18"/>
                <w:szCs w:val="18"/>
              </w:rPr>
            </w:pPr>
            <w:r w:rsidRPr="001D41EA">
              <w:rPr>
                <w:rFonts w:cs="Arial"/>
                <w:sz w:val="18"/>
                <w:szCs w:val="18"/>
              </w:rPr>
              <w:t>-17,310</w:t>
            </w:r>
          </w:p>
        </w:tc>
      </w:tr>
      <w:tr w:rsidR="00A66703" w:rsidRPr="001D41EA" w14:paraId="788C8DEA"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1C08D6A8" w14:textId="77777777" w:rsidR="00A66703" w:rsidRPr="001D41EA" w:rsidRDefault="00A66703" w:rsidP="001D41EA">
            <w:pPr>
              <w:spacing w:before="40" w:after="20"/>
              <w:rPr>
                <w:rFonts w:cs="Arial"/>
                <w:sz w:val="18"/>
                <w:szCs w:val="18"/>
              </w:rPr>
            </w:pPr>
            <w:r w:rsidRPr="001D41EA">
              <w:rPr>
                <w:rFonts w:cs="Arial"/>
                <w:sz w:val="18"/>
                <w:szCs w:val="18"/>
              </w:rPr>
              <w:t xml:space="preserve">Towong S </w:t>
            </w:r>
          </w:p>
        </w:tc>
        <w:tc>
          <w:tcPr>
            <w:tcW w:w="1134" w:type="dxa"/>
            <w:tcBorders>
              <w:top w:val="nil"/>
              <w:left w:val="single" w:sz="18" w:space="0" w:color="5F497A" w:themeColor="accent4" w:themeShade="BF"/>
              <w:bottom w:val="nil"/>
              <w:right w:val="nil"/>
            </w:tcBorders>
            <w:shd w:val="clear" w:color="auto" w:fill="auto"/>
            <w:vAlign w:val="bottom"/>
          </w:tcPr>
          <w:p w14:paraId="1A1FA388" w14:textId="58AB6C58" w:rsidR="00A66703" w:rsidRPr="001D41EA" w:rsidRDefault="00A66703" w:rsidP="001D41EA">
            <w:pPr>
              <w:spacing w:before="40" w:after="20"/>
              <w:jc w:val="right"/>
              <w:rPr>
                <w:rFonts w:cs="Arial"/>
                <w:sz w:val="18"/>
                <w:szCs w:val="18"/>
              </w:rPr>
            </w:pPr>
            <w:r w:rsidRPr="001D41EA">
              <w:rPr>
                <w:rFonts w:cs="Arial"/>
                <w:sz w:val="18"/>
                <w:szCs w:val="18"/>
              </w:rPr>
              <w:t>2,899,032</w:t>
            </w:r>
          </w:p>
        </w:tc>
        <w:tc>
          <w:tcPr>
            <w:tcW w:w="1134" w:type="dxa"/>
            <w:tcBorders>
              <w:top w:val="nil"/>
              <w:left w:val="nil"/>
              <w:bottom w:val="nil"/>
              <w:right w:val="nil"/>
            </w:tcBorders>
            <w:shd w:val="clear" w:color="auto" w:fill="auto"/>
            <w:vAlign w:val="bottom"/>
          </w:tcPr>
          <w:p w14:paraId="4AD14A3C" w14:textId="43684057" w:rsidR="00A66703" w:rsidRPr="001D41EA" w:rsidRDefault="00A66703" w:rsidP="001D41EA">
            <w:pPr>
              <w:spacing w:before="40" w:after="20"/>
              <w:jc w:val="right"/>
              <w:rPr>
                <w:rFonts w:cs="Arial"/>
                <w:sz w:val="18"/>
                <w:szCs w:val="18"/>
              </w:rPr>
            </w:pPr>
            <w:r w:rsidRPr="001D41EA">
              <w:rPr>
                <w:rFonts w:cs="Arial"/>
                <w:sz w:val="18"/>
                <w:szCs w:val="18"/>
              </w:rPr>
              <w:t>2,867,433</w:t>
            </w:r>
          </w:p>
        </w:tc>
        <w:tc>
          <w:tcPr>
            <w:tcW w:w="1134" w:type="dxa"/>
            <w:tcBorders>
              <w:top w:val="nil"/>
              <w:left w:val="nil"/>
              <w:bottom w:val="nil"/>
              <w:right w:val="nil"/>
            </w:tcBorders>
            <w:shd w:val="clear" w:color="auto" w:fill="auto"/>
            <w:vAlign w:val="bottom"/>
          </w:tcPr>
          <w:p w14:paraId="5A19B19E" w14:textId="11791151" w:rsidR="00A66703" w:rsidRPr="001D41EA" w:rsidRDefault="00A66703" w:rsidP="001D41EA">
            <w:pPr>
              <w:spacing w:before="40" w:after="20"/>
              <w:jc w:val="right"/>
              <w:rPr>
                <w:rFonts w:cs="Arial"/>
                <w:sz w:val="18"/>
                <w:szCs w:val="18"/>
              </w:rPr>
            </w:pPr>
            <w:r w:rsidRPr="001D41EA">
              <w:rPr>
                <w:rFonts w:cs="Arial"/>
                <w:sz w:val="18"/>
                <w:szCs w:val="18"/>
              </w:rPr>
              <w:t>-31,599</w:t>
            </w:r>
          </w:p>
        </w:tc>
        <w:tc>
          <w:tcPr>
            <w:tcW w:w="170" w:type="dxa"/>
            <w:tcBorders>
              <w:top w:val="nil"/>
              <w:left w:val="nil"/>
              <w:bottom w:val="nil"/>
              <w:right w:val="nil"/>
            </w:tcBorders>
            <w:shd w:val="clear" w:color="auto" w:fill="auto"/>
            <w:vAlign w:val="bottom"/>
          </w:tcPr>
          <w:p w14:paraId="26BFE1BA"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A43628E" w14:textId="6C99FD61" w:rsidR="00A66703" w:rsidRPr="001D41EA" w:rsidRDefault="00A66703" w:rsidP="001D41EA">
            <w:pPr>
              <w:spacing w:before="40" w:after="20"/>
              <w:jc w:val="right"/>
              <w:rPr>
                <w:rFonts w:cs="Arial"/>
                <w:sz w:val="18"/>
                <w:szCs w:val="18"/>
              </w:rPr>
            </w:pPr>
            <w:r w:rsidRPr="001D41EA">
              <w:rPr>
                <w:rFonts w:cs="Arial"/>
                <w:sz w:val="18"/>
                <w:szCs w:val="18"/>
              </w:rPr>
              <w:t>1,785,610</w:t>
            </w:r>
          </w:p>
        </w:tc>
        <w:tc>
          <w:tcPr>
            <w:tcW w:w="1134" w:type="dxa"/>
            <w:tcBorders>
              <w:top w:val="nil"/>
              <w:left w:val="nil"/>
              <w:bottom w:val="nil"/>
              <w:right w:val="nil"/>
            </w:tcBorders>
            <w:shd w:val="clear" w:color="auto" w:fill="auto"/>
            <w:vAlign w:val="bottom"/>
          </w:tcPr>
          <w:p w14:paraId="7628AE16" w14:textId="6A9A71D7" w:rsidR="00A66703" w:rsidRPr="001D41EA" w:rsidRDefault="00A66703" w:rsidP="001D41EA">
            <w:pPr>
              <w:spacing w:before="40" w:after="20"/>
              <w:jc w:val="right"/>
              <w:rPr>
                <w:rFonts w:cs="Arial"/>
                <w:sz w:val="18"/>
                <w:szCs w:val="18"/>
              </w:rPr>
            </w:pPr>
            <w:r w:rsidRPr="001D41EA">
              <w:rPr>
                <w:rFonts w:cs="Arial"/>
                <w:sz w:val="18"/>
                <w:szCs w:val="18"/>
              </w:rPr>
              <w:t>1,771,534</w:t>
            </w:r>
          </w:p>
        </w:tc>
        <w:tc>
          <w:tcPr>
            <w:tcW w:w="1134" w:type="dxa"/>
            <w:tcBorders>
              <w:top w:val="nil"/>
              <w:left w:val="nil"/>
              <w:bottom w:val="nil"/>
              <w:right w:val="nil"/>
            </w:tcBorders>
            <w:shd w:val="clear" w:color="auto" w:fill="auto"/>
            <w:vAlign w:val="bottom"/>
          </w:tcPr>
          <w:p w14:paraId="11AB6D4B" w14:textId="420E2BD5" w:rsidR="00A66703" w:rsidRPr="001D41EA" w:rsidRDefault="00A66703" w:rsidP="001D41EA">
            <w:pPr>
              <w:spacing w:before="40" w:after="20"/>
              <w:jc w:val="right"/>
              <w:rPr>
                <w:rFonts w:cs="Arial"/>
                <w:sz w:val="18"/>
                <w:szCs w:val="18"/>
              </w:rPr>
            </w:pPr>
            <w:r w:rsidRPr="001D41EA">
              <w:rPr>
                <w:rFonts w:cs="Arial"/>
                <w:sz w:val="18"/>
                <w:szCs w:val="18"/>
              </w:rPr>
              <w:t>-14,076</w:t>
            </w:r>
          </w:p>
        </w:tc>
      </w:tr>
      <w:tr w:rsidR="00A66703" w:rsidRPr="001D41EA" w14:paraId="516A807A"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432D48A3" w14:textId="77777777" w:rsidR="00A66703" w:rsidRPr="001D41EA" w:rsidRDefault="00A66703" w:rsidP="001D41EA">
            <w:pPr>
              <w:spacing w:before="40" w:after="20"/>
              <w:rPr>
                <w:rFonts w:cs="Arial"/>
                <w:sz w:val="18"/>
                <w:szCs w:val="18"/>
              </w:rPr>
            </w:pPr>
            <w:r w:rsidRPr="001D41EA">
              <w:rPr>
                <w:rFonts w:cs="Arial"/>
                <w:sz w:val="18"/>
                <w:szCs w:val="18"/>
              </w:rPr>
              <w:t xml:space="preserve">Wangaratta RC </w:t>
            </w:r>
          </w:p>
        </w:tc>
        <w:tc>
          <w:tcPr>
            <w:tcW w:w="1134" w:type="dxa"/>
            <w:tcBorders>
              <w:top w:val="nil"/>
              <w:left w:val="single" w:sz="18" w:space="0" w:color="5F497A" w:themeColor="accent4" w:themeShade="BF"/>
              <w:bottom w:val="nil"/>
              <w:right w:val="nil"/>
            </w:tcBorders>
            <w:shd w:val="clear" w:color="auto" w:fill="auto"/>
            <w:vAlign w:val="bottom"/>
          </w:tcPr>
          <w:p w14:paraId="3B486E28" w14:textId="34B46558" w:rsidR="00A66703" w:rsidRPr="001D41EA" w:rsidRDefault="00A66703" w:rsidP="001D41EA">
            <w:pPr>
              <w:spacing w:before="40" w:after="20"/>
              <w:jc w:val="right"/>
              <w:rPr>
                <w:rFonts w:cs="Arial"/>
                <w:sz w:val="18"/>
                <w:szCs w:val="18"/>
              </w:rPr>
            </w:pPr>
            <w:r w:rsidRPr="001D41EA">
              <w:rPr>
                <w:rFonts w:cs="Arial"/>
                <w:sz w:val="18"/>
                <w:szCs w:val="18"/>
              </w:rPr>
              <w:t>4,822,812</w:t>
            </w:r>
          </w:p>
        </w:tc>
        <w:tc>
          <w:tcPr>
            <w:tcW w:w="1134" w:type="dxa"/>
            <w:tcBorders>
              <w:top w:val="nil"/>
              <w:left w:val="nil"/>
              <w:bottom w:val="nil"/>
              <w:right w:val="nil"/>
            </w:tcBorders>
            <w:shd w:val="clear" w:color="auto" w:fill="auto"/>
            <w:vAlign w:val="bottom"/>
          </w:tcPr>
          <w:p w14:paraId="64B6BF4F" w14:textId="07A0A814" w:rsidR="00A66703" w:rsidRPr="001D41EA" w:rsidRDefault="00A66703" w:rsidP="001D41EA">
            <w:pPr>
              <w:spacing w:before="40" w:after="20"/>
              <w:jc w:val="right"/>
              <w:rPr>
                <w:rFonts w:cs="Arial"/>
                <w:sz w:val="18"/>
                <w:szCs w:val="18"/>
              </w:rPr>
            </w:pPr>
            <w:r w:rsidRPr="001D41EA">
              <w:rPr>
                <w:rFonts w:cs="Arial"/>
                <w:sz w:val="18"/>
                <w:szCs w:val="18"/>
              </w:rPr>
              <w:t>4,770,244</w:t>
            </w:r>
          </w:p>
        </w:tc>
        <w:tc>
          <w:tcPr>
            <w:tcW w:w="1134" w:type="dxa"/>
            <w:tcBorders>
              <w:top w:val="nil"/>
              <w:left w:val="nil"/>
              <w:bottom w:val="nil"/>
              <w:right w:val="nil"/>
            </w:tcBorders>
            <w:shd w:val="clear" w:color="auto" w:fill="auto"/>
            <w:vAlign w:val="bottom"/>
          </w:tcPr>
          <w:p w14:paraId="51D61E2D" w14:textId="395CC934" w:rsidR="00A66703" w:rsidRPr="001D41EA" w:rsidRDefault="00A66703" w:rsidP="001D41EA">
            <w:pPr>
              <w:spacing w:before="40" w:after="20"/>
              <w:jc w:val="right"/>
              <w:rPr>
                <w:rFonts w:cs="Arial"/>
                <w:sz w:val="18"/>
                <w:szCs w:val="18"/>
              </w:rPr>
            </w:pPr>
            <w:r w:rsidRPr="001D41EA">
              <w:rPr>
                <w:rFonts w:cs="Arial"/>
                <w:sz w:val="18"/>
                <w:szCs w:val="18"/>
              </w:rPr>
              <w:t>-52,568</w:t>
            </w:r>
          </w:p>
        </w:tc>
        <w:tc>
          <w:tcPr>
            <w:tcW w:w="170" w:type="dxa"/>
            <w:tcBorders>
              <w:top w:val="nil"/>
              <w:left w:val="nil"/>
              <w:bottom w:val="nil"/>
              <w:right w:val="nil"/>
            </w:tcBorders>
            <w:shd w:val="clear" w:color="auto" w:fill="auto"/>
            <w:vAlign w:val="bottom"/>
          </w:tcPr>
          <w:p w14:paraId="1E509471"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45B82B4" w14:textId="379FA3BC" w:rsidR="00A66703" w:rsidRPr="001D41EA" w:rsidRDefault="00A66703" w:rsidP="001D41EA">
            <w:pPr>
              <w:spacing w:before="40" w:after="20"/>
              <w:jc w:val="right"/>
              <w:rPr>
                <w:rFonts w:cs="Arial"/>
                <w:sz w:val="18"/>
                <w:szCs w:val="18"/>
              </w:rPr>
            </w:pPr>
            <w:r w:rsidRPr="001D41EA">
              <w:rPr>
                <w:rFonts w:cs="Arial"/>
                <w:sz w:val="18"/>
                <w:szCs w:val="18"/>
              </w:rPr>
              <w:t>2,379,396</w:t>
            </w:r>
          </w:p>
        </w:tc>
        <w:tc>
          <w:tcPr>
            <w:tcW w:w="1134" w:type="dxa"/>
            <w:tcBorders>
              <w:top w:val="nil"/>
              <w:left w:val="nil"/>
              <w:bottom w:val="nil"/>
              <w:right w:val="nil"/>
            </w:tcBorders>
            <w:shd w:val="clear" w:color="auto" w:fill="auto"/>
            <w:vAlign w:val="bottom"/>
          </w:tcPr>
          <w:p w14:paraId="15B1EA17" w14:textId="025946F5" w:rsidR="00A66703" w:rsidRPr="001D41EA" w:rsidRDefault="00A66703" w:rsidP="001D41EA">
            <w:pPr>
              <w:spacing w:before="40" w:after="20"/>
              <w:jc w:val="right"/>
              <w:rPr>
                <w:rFonts w:cs="Arial"/>
                <w:sz w:val="18"/>
                <w:szCs w:val="18"/>
              </w:rPr>
            </w:pPr>
            <w:r w:rsidRPr="001D41EA">
              <w:rPr>
                <w:rFonts w:cs="Arial"/>
                <w:sz w:val="18"/>
                <w:szCs w:val="18"/>
              </w:rPr>
              <w:t>2,360,639</w:t>
            </w:r>
          </w:p>
        </w:tc>
        <w:tc>
          <w:tcPr>
            <w:tcW w:w="1134" w:type="dxa"/>
            <w:tcBorders>
              <w:top w:val="nil"/>
              <w:left w:val="nil"/>
              <w:bottom w:val="nil"/>
              <w:right w:val="nil"/>
            </w:tcBorders>
            <w:shd w:val="clear" w:color="auto" w:fill="auto"/>
            <w:vAlign w:val="bottom"/>
          </w:tcPr>
          <w:p w14:paraId="656E3EC2" w14:textId="3603C872" w:rsidR="00A66703" w:rsidRPr="001D41EA" w:rsidRDefault="00A66703" w:rsidP="001D41EA">
            <w:pPr>
              <w:spacing w:before="40" w:after="20"/>
              <w:jc w:val="right"/>
              <w:rPr>
                <w:rFonts w:cs="Arial"/>
                <w:sz w:val="18"/>
                <w:szCs w:val="18"/>
              </w:rPr>
            </w:pPr>
            <w:r w:rsidRPr="001D41EA">
              <w:rPr>
                <w:rFonts w:cs="Arial"/>
                <w:sz w:val="18"/>
                <w:szCs w:val="18"/>
              </w:rPr>
              <w:t>-18,757</w:t>
            </w:r>
          </w:p>
        </w:tc>
      </w:tr>
      <w:tr w:rsidR="00A66703" w:rsidRPr="001D41EA" w14:paraId="41A59455"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7DCFA6A7" w14:textId="77777777" w:rsidR="00A66703" w:rsidRPr="001D41EA" w:rsidRDefault="00A66703" w:rsidP="001D41EA">
            <w:pPr>
              <w:spacing w:before="40" w:after="20"/>
              <w:rPr>
                <w:rFonts w:cs="Arial"/>
                <w:sz w:val="18"/>
                <w:szCs w:val="18"/>
              </w:rPr>
            </w:pPr>
            <w:r w:rsidRPr="001D41EA">
              <w:rPr>
                <w:rFonts w:cs="Arial"/>
                <w:sz w:val="18"/>
                <w:szCs w:val="18"/>
              </w:rPr>
              <w:t xml:space="preserve">Warrnambool C </w:t>
            </w:r>
          </w:p>
        </w:tc>
        <w:tc>
          <w:tcPr>
            <w:tcW w:w="1134" w:type="dxa"/>
            <w:tcBorders>
              <w:top w:val="nil"/>
              <w:left w:val="single" w:sz="18" w:space="0" w:color="5F497A" w:themeColor="accent4" w:themeShade="BF"/>
              <w:bottom w:val="nil"/>
              <w:right w:val="nil"/>
            </w:tcBorders>
            <w:shd w:val="clear" w:color="auto" w:fill="auto"/>
            <w:vAlign w:val="bottom"/>
          </w:tcPr>
          <w:p w14:paraId="223948CF" w14:textId="4A2D9409" w:rsidR="00A66703" w:rsidRPr="001D41EA" w:rsidRDefault="00A66703" w:rsidP="001D41EA">
            <w:pPr>
              <w:spacing w:before="40" w:after="20"/>
              <w:jc w:val="right"/>
              <w:rPr>
                <w:rFonts w:cs="Arial"/>
                <w:sz w:val="18"/>
                <w:szCs w:val="18"/>
              </w:rPr>
            </w:pPr>
            <w:r w:rsidRPr="001D41EA">
              <w:rPr>
                <w:rFonts w:cs="Arial"/>
                <w:sz w:val="18"/>
                <w:szCs w:val="18"/>
              </w:rPr>
              <w:t>3,121,368</w:t>
            </w:r>
          </w:p>
        </w:tc>
        <w:tc>
          <w:tcPr>
            <w:tcW w:w="1134" w:type="dxa"/>
            <w:tcBorders>
              <w:top w:val="nil"/>
              <w:left w:val="nil"/>
              <w:bottom w:val="nil"/>
              <w:right w:val="nil"/>
            </w:tcBorders>
            <w:shd w:val="clear" w:color="auto" w:fill="auto"/>
            <w:vAlign w:val="bottom"/>
          </w:tcPr>
          <w:p w14:paraId="0AAAF5A9" w14:textId="5194E6D9" w:rsidR="00A66703" w:rsidRPr="001D41EA" w:rsidRDefault="00A66703" w:rsidP="001D41EA">
            <w:pPr>
              <w:spacing w:before="40" w:after="20"/>
              <w:jc w:val="right"/>
              <w:rPr>
                <w:rFonts w:cs="Arial"/>
                <w:sz w:val="18"/>
                <w:szCs w:val="18"/>
              </w:rPr>
            </w:pPr>
            <w:r w:rsidRPr="001D41EA">
              <w:rPr>
                <w:rFonts w:cs="Arial"/>
                <w:sz w:val="18"/>
                <w:szCs w:val="18"/>
              </w:rPr>
              <w:t>3,087,345</w:t>
            </w:r>
          </w:p>
        </w:tc>
        <w:tc>
          <w:tcPr>
            <w:tcW w:w="1134" w:type="dxa"/>
            <w:tcBorders>
              <w:top w:val="nil"/>
              <w:left w:val="nil"/>
              <w:bottom w:val="nil"/>
              <w:right w:val="nil"/>
            </w:tcBorders>
            <w:shd w:val="clear" w:color="auto" w:fill="auto"/>
            <w:vAlign w:val="bottom"/>
          </w:tcPr>
          <w:p w14:paraId="5B9EFA4F" w14:textId="5868FAE8" w:rsidR="00A66703" w:rsidRPr="001D41EA" w:rsidRDefault="00A66703" w:rsidP="001D41EA">
            <w:pPr>
              <w:spacing w:before="40" w:after="20"/>
              <w:jc w:val="right"/>
              <w:rPr>
                <w:rFonts w:cs="Arial"/>
                <w:sz w:val="18"/>
                <w:szCs w:val="18"/>
              </w:rPr>
            </w:pPr>
            <w:r w:rsidRPr="001D41EA">
              <w:rPr>
                <w:rFonts w:cs="Arial"/>
                <w:sz w:val="18"/>
                <w:szCs w:val="18"/>
              </w:rPr>
              <w:t>-34,023</w:t>
            </w:r>
          </w:p>
        </w:tc>
        <w:tc>
          <w:tcPr>
            <w:tcW w:w="170" w:type="dxa"/>
            <w:tcBorders>
              <w:top w:val="nil"/>
              <w:left w:val="nil"/>
              <w:bottom w:val="nil"/>
              <w:right w:val="nil"/>
            </w:tcBorders>
            <w:shd w:val="clear" w:color="auto" w:fill="auto"/>
            <w:vAlign w:val="bottom"/>
          </w:tcPr>
          <w:p w14:paraId="7CF57F17"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1197FC0" w14:textId="4E6E7B95" w:rsidR="00A66703" w:rsidRPr="001D41EA" w:rsidRDefault="00A66703" w:rsidP="001D41EA">
            <w:pPr>
              <w:spacing w:before="40" w:after="20"/>
              <w:jc w:val="right"/>
              <w:rPr>
                <w:rFonts w:cs="Arial"/>
                <w:sz w:val="18"/>
                <w:szCs w:val="18"/>
              </w:rPr>
            </w:pPr>
            <w:r w:rsidRPr="001D41EA">
              <w:rPr>
                <w:rFonts w:cs="Arial"/>
                <w:sz w:val="18"/>
                <w:szCs w:val="18"/>
              </w:rPr>
              <w:t>650,753</w:t>
            </w:r>
          </w:p>
        </w:tc>
        <w:tc>
          <w:tcPr>
            <w:tcW w:w="1134" w:type="dxa"/>
            <w:tcBorders>
              <w:top w:val="nil"/>
              <w:left w:val="nil"/>
              <w:bottom w:val="nil"/>
              <w:right w:val="nil"/>
            </w:tcBorders>
            <w:shd w:val="clear" w:color="auto" w:fill="auto"/>
            <w:vAlign w:val="bottom"/>
          </w:tcPr>
          <w:p w14:paraId="7A46E640" w14:textId="7F87F325" w:rsidR="00A66703" w:rsidRPr="001D41EA" w:rsidRDefault="00A66703" w:rsidP="001D41EA">
            <w:pPr>
              <w:spacing w:before="40" w:after="20"/>
              <w:jc w:val="right"/>
              <w:rPr>
                <w:rFonts w:cs="Arial"/>
                <w:sz w:val="18"/>
                <w:szCs w:val="18"/>
              </w:rPr>
            </w:pPr>
            <w:r w:rsidRPr="001D41EA">
              <w:rPr>
                <w:rFonts w:cs="Arial"/>
                <w:sz w:val="18"/>
                <w:szCs w:val="18"/>
              </w:rPr>
              <w:t>645,623</w:t>
            </w:r>
          </w:p>
        </w:tc>
        <w:tc>
          <w:tcPr>
            <w:tcW w:w="1134" w:type="dxa"/>
            <w:tcBorders>
              <w:top w:val="nil"/>
              <w:left w:val="nil"/>
              <w:bottom w:val="nil"/>
              <w:right w:val="nil"/>
            </w:tcBorders>
            <w:shd w:val="clear" w:color="auto" w:fill="auto"/>
            <w:vAlign w:val="bottom"/>
          </w:tcPr>
          <w:p w14:paraId="0CFC2F0C" w14:textId="1D87C17D" w:rsidR="00A66703" w:rsidRPr="001D41EA" w:rsidRDefault="00A66703" w:rsidP="001D41EA">
            <w:pPr>
              <w:spacing w:before="40" w:after="20"/>
              <w:jc w:val="right"/>
              <w:rPr>
                <w:rFonts w:cs="Arial"/>
                <w:sz w:val="18"/>
                <w:szCs w:val="18"/>
              </w:rPr>
            </w:pPr>
            <w:r w:rsidRPr="001D41EA">
              <w:rPr>
                <w:rFonts w:cs="Arial"/>
                <w:sz w:val="18"/>
                <w:szCs w:val="18"/>
              </w:rPr>
              <w:t>-5,130</w:t>
            </w:r>
          </w:p>
        </w:tc>
      </w:tr>
      <w:tr w:rsidR="00A66703" w:rsidRPr="001D41EA" w14:paraId="6E0410AC"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08386AD5" w14:textId="77777777" w:rsidR="00A66703" w:rsidRPr="001D41EA" w:rsidRDefault="00A66703" w:rsidP="001D41EA">
            <w:pPr>
              <w:spacing w:before="40" w:after="20"/>
              <w:rPr>
                <w:rFonts w:cs="Arial"/>
                <w:sz w:val="18"/>
                <w:szCs w:val="18"/>
              </w:rPr>
            </w:pPr>
            <w:r w:rsidRPr="001D41EA">
              <w:rPr>
                <w:rFonts w:cs="Arial"/>
                <w:sz w:val="18"/>
                <w:szCs w:val="18"/>
              </w:rPr>
              <w:t xml:space="preserve">Wellington S </w:t>
            </w:r>
          </w:p>
        </w:tc>
        <w:tc>
          <w:tcPr>
            <w:tcW w:w="1134" w:type="dxa"/>
            <w:tcBorders>
              <w:top w:val="nil"/>
              <w:left w:val="single" w:sz="18" w:space="0" w:color="5F497A" w:themeColor="accent4" w:themeShade="BF"/>
              <w:bottom w:val="nil"/>
              <w:right w:val="nil"/>
            </w:tcBorders>
            <w:shd w:val="clear" w:color="auto" w:fill="auto"/>
            <w:vAlign w:val="bottom"/>
          </w:tcPr>
          <w:p w14:paraId="77671AB5" w14:textId="7C169360" w:rsidR="00A66703" w:rsidRPr="001D41EA" w:rsidRDefault="00A66703" w:rsidP="001D41EA">
            <w:pPr>
              <w:spacing w:before="40" w:after="20"/>
              <w:jc w:val="right"/>
              <w:rPr>
                <w:rFonts w:cs="Arial"/>
                <w:sz w:val="18"/>
                <w:szCs w:val="18"/>
              </w:rPr>
            </w:pPr>
            <w:r w:rsidRPr="001D41EA">
              <w:rPr>
                <w:rFonts w:cs="Arial"/>
                <w:sz w:val="18"/>
                <w:szCs w:val="18"/>
              </w:rPr>
              <w:t>8,839,701</w:t>
            </w:r>
          </w:p>
        </w:tc>
        <w:tc>
          <w:tcPr>
            <w:tcW w:w="1134" w:type="dxa"/>
            <w:tcBorders>
              <w:top w:val="nil"/>
              <w:left w:val="nil"/>
              <w:bottom w:val="nil"/>
              <w:right w:val="nil"/>
            </w:tcBorders>
            <w:shd w:val="clear" w:color="auto" w:fill="auto"/>
            <w:vAlign w:val="bottom"/>
          </w:tcPr>
          <w:p w14:paraId="49788DD6" w14:textId="0920C835" w:rsidR="00A66703" w:rsidRPr="001D41EA" w:rsidRDefault="00A66703" w:rsidP="001D41EA">
            <w:pPr>
              <w:spacing w:before="40" w:after="20"/>
              <w:jc w:val="right"/>
              <w:rPr>
                <w:rFonts w:cs="Arial"/>
                <w:sz w:val="18"/>
                <w:szCs w:val="18"/>
              </w:rPr>
            </w:pPr>
            <w:r w:rsidRPr="001D41EA">
              <w:rPr>
                <w:rFonts w:cs="Arial"/>
                <w:sz w:val="18"/>
                <w:szCs w:val="18"/>
              </w:rPr>
              <w:t>8,743,349</w:t>
            </w:r>
          </w:p>
        </w:tc>
        <w:tc>
          <w:tcPr>
            <w:tcW w:w="1134" w:type="dxa"/>
            <w:tcBorders>
              <w:top w:val="nil"/>
              <w:left w:val="nil"/>
              <w:bottom w:val="nil"/>
              <w:right w:val="nil"/>
            </w:tcBorders>
            <w:shd w:val="clear" w:color="auto" w:fill="auto"/>
            <w:vAlign w:val="bottom"/>
          </w:tcPr>
          <w:p w14:paraId="30E61CCA" w14:textId="49AD5652" w:rsidR="00A66703" w:rsidRPr="001D41EA" w:rsidRDefault="00A66703" w:rsidP="001D41EA">
            <w:pPr>
              <w:spacing w:before="40" w:after="20"/>
              <w:jc w:val="right"/>
              <w:rPr>
                <w:rFonts w:cs="Arial"/>
                <w:sz w:val="18"/>
                <w:szCs w:val="18"/>
              </w:rPr>
            </w:pPr>
            <w:r w:rsidRPr="001D41EA">
              <w:rPr>
                <w:rFonts w:cs="Arial"/>
                <w:sz w:val="18"/>
                <w:szCs w:val="18"/>
              </w:rPr>
              <w:t>-96,352</w:t>
            </w:r>
          </w:p>
        </w:tc>
        <w:tc>
          <w:tcPr>
            <w:tcW w:w="170" w:type="dxa"/>
            <w:tcBorders>
              <w:top w:val="nil"/>
              <w:left w:val="nil"/>
              <w:bottom w:val="nil"/>
              <w:right w:val="nil"/>
            </w:tcBorders>
            <w:shd w:val="clear" w:color="auto" w:fill="auto"/>
            <w:vAlign w:val="bottom"/>
          </w:tcPr>
          <w:p w14:paraId="06EB4741"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B19423D" w14:textId="19D5630E" w:rsidR="00A66703" w:rsidRPr="001D41EA" w:rsidRDefault="00A66703" w:rsidP="001D41EA">
            <w:pPr>
              <w:spacing w:before="40" w:after="20"/>
              <w:jc w:val="right"/>
              <w:rPr>
                <w:rFonts w:cs="Arial"/>
                <w:sz w:val="18"/>
                <w:szCs w:val="18"/>
              </w:rPr>
            </w:pPr>
            <w:r w:rsidRPr="001D41EA">
              <w:rPr>
                <w:rFonts w:cs="Arial"/>
                <w:sz w:val="18"/>
                <w:szCs w:val="18"/>
              </w:rPr>
              <w:t>4,833,002</w:t>
            </w:r>
          </w:p>
        </w:tc>
        <w:tc>
          <w:tcPr>
            <w:tcW w:w="1134" w:type="dxa"/>
            <w:tcBorders>
              <w:top w:val="nil"/>
              <w:left w:val="nil"/>
              <w:bottom w:val="nil"/>
              <w:right w:val="nil"/>
            </w:tcBorders>
            <w:shd w:val="clear" w:color="auto" w:fill="auto"/>
            <w:vAlign w:val="bottom"/>
          </w:tcPr>
          <w:p w14:paraId="630EC56C" w14:textId="2A45CCB4" w:rsidR="00A66703" w:rsidRPr="001D41EA" w:rsidRDefault="00A66703" w:rsidP="001D41EA">
            <w:pPr>
              <w:spacing w:before="40" w:after="20"/>
              <w:jc w:val="right"/>
              <w:rPr>
                <w:rFonts w:cs="Arial"/>
                <w:sz w:val="18"/>
                <w:szCs w:val="18"/>
              </w:rPr>
            </w:pPr>
            <w:r w:rsidRPr="001D41EA">
              <w:rPr>
                <w:rFonts w:cs="Arial"/>
                <w:sz w:val="18"/>
                <w:szCs w:val="18"/>
              </w:rPr>
              <w:t>4,794,904</w:t>
            </w:r>
          </w:p>
        </w:tc>
        <w:tc>
          <w:tcPr>
            <w:tcW w:w="1134" w:type="dxa"/>
            <w:tcBorders>
              <w:top w:val="nil"/>
              <w:left w:val="nil"/>
              <w:bottom w:val="nil"/>
              <w:right w:val="nil"/>
            </w:tcBorders>
            <w:shd w:val="clear" w:color="auto" w:fill="auto"/>
            <w:vAlign w:val="bottom"/>
          </w:tcPr>
          <w:p w14:paraId="48B8A0F7" w14:textId="52CAED35" w:rsidR="00A66703" w:rsidRPr="001D41EA" w:rsidRDefault="00A66703" w:rsidP="001D41EA">
            <w:pPr>
              <w:spacing w:before="40" w:after="20"/>
              <w:jc w:val="right"/>
              <w:rPr>
                <w:rFonts w:cs="Arial"/>
                <w:sz w:val="18"/>
                <w:szCs w:val="18"/>
              </w:rPr>
            </w:pPr>
            <w:r w:rsidRPr="001D41EA">
              <w:rPr>
                <w:rFonts w:cs="Arial"/>
                <w:sz w:val="18"/>
                <w:szCs w:val="18"/>
              </w:rPr>
              <w:t>-38,098</w:t>
            </w:r>
          </w:p>
        </w:tc>
      </w:tr>
      <w:tr w:rsidR="00A66703" w:rsidRPr="001D41EA" w14:paraId="5C662F1E"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2D009ABC" w14:textId="77777777" w:rsidR="00A66703" w:rsidRPr="001D41EA" w:rsidRDefault="00A66703" w:rsidP="001D41EA">
            <w:pPr>
              <w:spacing w:before="40" w:after="20"/>
              <w:rPr>
                <w:rFonts w:cs="Arial"/>
                <w:sz w:val="18"/>
                <w:szCs w:val="18"/>
              </w:rPr>
            </w:pPr>
            <w:r w:rsidRPr="001D41EA">
              <w:rPr>
                <w:rFonts w:cs="Arial"/>
                <w:sz w:val="18"/>
                <w:szCs w:val="18"/>
              </w:rPr>
              <w:t xml:space="preserve">West Wimmera S </w:t>
            </w:r>
          </w:p>
        </w:tc>
        <w:tc>
          <w:tcPr>
            <w:tcW w:w="1134" w:type="dxa"/>
            <w:tcBorders>
              <w:top w:val="nil"/>
              <w:left w:val="single" w:sz="18" w:space="0" w:color="5F497A" w:themeColor="accent4" w:themeShade="BF"/>
              <w:bottom w:val="nil"/>
              <w:right w:val="nil"/>
            </w:tcBorders>
            <w:shd w:val="clear" w:color="auto" w:fill="auto"/>
            <w:vAlign w:val="bottom"/>
          </w:tcPr>
          <w:p w14:paraId="0B3CE8B4" w14:textId="4DFADF99" w:rsidR="00A66703" w:rsidRPr="001D41EA" w:rsidRDefault="00A66703" w:rsidP="001D41EA">
            <w:pPr>
              <w:spacing w:before="40" w:after="20"/>
              <w:jc w:val="right"/>
              <w:rPr>
                <w:rFonts w:cs="Arial"/>
                <w:sz w:val="18"/>
                <w:szCs w:val="18"/>
              </w:rPr>
            </w:pPr>
            <w:r w:rsidRPr="001D41EA">
              <w:rPr>
                <w:rFonts w:cs="Arial"/>
                <w:sz w:val="18"/>
                <w:szCs w:val="18"/>
              </w:rPr>
              <w:t>3,209,114</w:t>
            </w:r>
          </w:p>
        </w:tc>
        <w:tc>
          <w:tcPr>
            <w:tcW w:w="1134" w:type="dxa"/>
            <w:tcBorders>
              <w:top w:val="nil"/>
              <w:left w:val="nil"/>
              <w:bottom w:val="nil"/>
              <w:right w:val="nil"/>
            </w:tcBorders>
            <w:shd w:val="clear" w:color="auto" w:fill="auto"/>
            <w:vAlign w:val="bottom"/>
          </w:tcPr>
          <w:p w14:paraId="3AB80307" w14:textId="2C60C627" w:rsidR="00A66703" w:rsidRPr="001D41EA" w:rsidRDefault="00A66703" w:rsidP="001D41EA">
            <w:pPr>
              <w:spacing w:before="40" w:after="20"/>
              <w:jc w:val="right"/>
              <w:rPr>
                <w:rFonts w:cs="Arial"/>
                <w:sz w:val="18"/>
                <w:szCs w:val="18"/>
              </w:rPr>
            </w:pPr>
            <w:r w:rsidRPr="001D41EA">
              <w:rPr>
                <w:rFonts w:cs="Arial"/>
                <w:sz w:val="18"/>
                <w:szCs w:val="18"/>
              </w:rPr>
              <w:t>3,174,135</w:t>
            </w:r>
          </w:p>
        </w:tc>
        <w:tc>
          <w:tcPr>
            <w:tcW w:w="1134" w:type="dxa"/>
            <w:tcBorders>
              <w:top w:val="nil"/>
              <w:left w:val="nil"/>
              <w:bottom w:val="nil"/>
              <w:right w:val="nil"/>
            </w:tcBorders>
            <w:shd w:val="clear" w:color="auto" w:fill="auto"/>
            <w:vAlign w:val="bottom"/>
          </w:tcPr>
          <w:p w14:paraId="405901E1" w14:textId="179E8A48" w:rsidR="00A66703" w:rsidRPr="001D41EA" w:rsidRDefault="00A66703" w:rsidP="001D41EA">
            <w:pPr>
              <w:spacing w:before="40" w:after="20"/>
              <w:jc w:val="right"/>
              <w:rPr>
                <w:rFonts w:cs="Arial"/>
                <w:sz w:val="18"/>
                <w:szCs w:val="18"/>
              </w:rPr>
            </w:pPr>
            <w:r w:rsidRPr="001D41EA">
              <w:rPr>
                <w:rFonts w:cs="Arial"/>
                <w:sz w:val="18"/>
                <w:szCs w:val="18"/>
              </w:rPr>
              <w:t>-34,979</w:t>
            </w:r>
          </w:p>
        </w:tc>
        <w:tc>
          <w:tcPr>
            <w:tcW w:w="170" w:type="dxa"/>
            <w:tcBorders>
              <w:top w:val="nil"/>
              <w:left w:val="nil"/>
              <w:bottom w:val="nil"/>
              <w:right w:val="nil"/>
            </w:tcBorders>
            <w:shd w:val="clear" w:color="auto" w:fill="auto"/>
            <w:vAlign w:val="bottom"/>
          </w:tcPr>
          <w:p w14:paraId="31A9E284"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D63AA42" w14:textId="382BA3E7" w:rsidR="00A66703" w:rsidRPr="001D41EA" w:rsidRDefault="00A66703" w:rsidP="001D41EA">
            <w:pPr>
              <w:spacing w:before="40" w:after="20"/>
              <w:jc w:val="right"/>
              <w:rPr>
                <w:rFonts w:cs="Arial"/>
                <w:sz w:val="18"/>
                <w:szCs w:val="18"/>
              </w:rPr>
            </w:pPr>
            <w:r w:rsidRPr="001D41EA">
              <w:rPr>
                <w:rFonts w:cs="Arial"/>
                <w:sz w:val="18"/>
                <w:szCs w:val="18"/>
              </w:rPr>
              <w:t>2,339,530</w:t>
            </w:r>
          </w:p>
        </w:tc>
        <w:tc>
          <w:tcPr>
            <w:tcW w:w="1134" w:type="dxa"/>
            <w:tcBorders>
              <w:top w:val="nil"/>
              <w:left w:val="nil"/>
              <w:bottom w:val="nil"/>
              <w:right w:val="nil"/>
            </w:tcBorders>
            <w:shd w:val="clear" w:color="auto" w:fill="auto"/>
            <w:vAlign w:val="bottom"/>
          </w:tcPr>
          <w:p w14:paraId="53878AAE" w14:textId="7D3BB426" w:rsidR="00A66703" w:rsidRPr="001D41EA" w:rsidRDefault="00A66703" w:rsidP="001D41EA">
            <w:pPr>
              <w:spacing w:before="40" w:after="20"/>
              <w:jc w:val="right"/>
              <w:rPr>
                <w:rFonts w:cs="Arial"/>
                <w:sz w:val="18"/>
                <w:szCs w:val="18"/>
              </w:rPr>
            </w:pPr>
            <w:r w:rsidRPr="001D41EA">
              <w:rPr>
                <w:rFonts w:cs="Arial"/>
                <w:sz w:val="18"/>
                <w:szCs w:val="18"/>
              </w:rPr>
              <w:t>2,321,088</w:t>
            </w:r>
          </w:p>
        </w:tc>
        <w:tc>
          <w:tcPr>
            <w:tcW w:w="1134" w:type="dxa"/>
            <w:tcBorders>
              <w:top w:val="nil"/>
              <w:left w:val="nil"/>
              <w:bottom w:val="nil"/>
              <w:right w:val="nil"/>
            </w:tcBorders>
            <w:shd w:val="clear" w:color="auto" w:fill="auto"/>
            <w:vAlign w:val="bottom"/>
          </w:tcPr>
          <w:p w14:paraId="11E013D9" w14:textId="767B10D5" w:rsidR="00A66703" w:rsidRPr="001D41EA" w:rsidRDefault="00A66703" w:rsidP="001D41EA">
            <w:pPr>
              <w:spacing w:before="40" w:after="20"/>
              <w:jc w:val="right"/>
              <w:rPr>
                <w:rFonts w:cs="Arial"/>
                <w:sz w:val="18"/>
                <w:szCs w:val="18"/>
              </w:rPr>
            </w:pPr>
            <w:r w:rsidRPr="001D41EA">
              <w:rPr>
                <w:rFonts w:cs="Arial"/>
                <w:sz w:val="18"/>
                <w:szCs w:val="18"/>
              </w:rPr>
              <w:t>-18,442</w:t>
            </w:r>
          </w:p>
        </w:tc>
      </w:tr>
      <w:tr w:rsidR="00A66703" w:rsidRPr="001D41EA" w14:paraId="67610E8F"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572A7015" w14:textId="77777777" w:rsidR="00A66703" w:rsidRPr="001D41EA" w:rsidRDefault="00A66703" w:rsidP="001D41EA">
            <w:pPr>
              <w:spacing w:before="40" w:after="20"/>
              <w:rPr>
                <w:rFonts w:cs="Arial"/>
                <w:sz w:val="18"/>
                <w:szCs w:val="18"/>
              </w:rPr>
            </w:pPr>
            <w:r w:rsidRPr="001D41EA">
              <w:rPr>
                <w:rFonts w:cs="Arial"/>
                <w:sz w:val="18"/>
                <w:szCs w:val="18"/>
              </w:rPr>
              <w:t xml:space="preserve">Whitehorse C </w:t>
            </w:r>
          </w:p>
        </w:tc>
        <w:tc>
          <w:tcPr>
            <w:tcW w:w="1134" w:type="dxa"/>
            <w:tcBorders>
              <w:top w:val="nil"/>
              <w:left w:val="single" w:sz="18" w:space="0" w:color="5F497A" w:themeColor="accent4" w:themeShade="BF"/>
              <w:bottom w:val="nil"/>
              <w:right w:val="nil"/>
            </w:tcBorders>
            <w:shd w:val="clear" w:color="auto" w:fill="auto"/>
            <w:vAlign w:val="bottom"/>
          </w:tcPr>
          <w:p w14:paraId="121ABBD6" w14:textId="6A41C578" w:rsidR="00A66703" w:rsidRPr="001D41EA" w:rsidRDefault="00A66703" w:rsidP="001D41EA">
            <w:pPr>
              <w:spacing w:before="40" w:after="20"/>
              <w:jc w:val="right"/>
              <w:rPr>
                <w:rFonts w:cs="Arial"/>
                <w:sz w:val="18"/>
                <w:szCs w:val="18"/>
              </w:rPr>
            </w:pPr>
            <w:r w:rsidRPr="001D41EA">
              <w:rPr>
                <w:rFonts w:cs="Arial"/>
                <w:sz w:val="18"/>
                <w:szCs w:val="18"/>
              </w:rPr>
              <w:t>3,613,549</w:t>
            </w:r>
          </w:p>
        </w:tc>
        <w:tc>
          <w:tcPr>
            <w:tcW w:w="1134" w:type="dxa"/>
            <w:tcBorders>
              <w:top w:val="nil"/>
              <w:left w:val="nil"/>
              <w:bottom w:val="nil"/>
              <w:right w:val="nil"/>
            </w:tcBorders>
            <w:shd w:val="clear" w:color="auto" w:fill="auto"/>
            <w:vAlign w:val="bottom"/>
          </w:tcPr>
          <w:p w14:paraId="26A4AAEE" w14:textId="784183CD" w:rsidR="00A66703" w:rsidRPr="001D41EA" w:rsidRDefault="00A66703" w:rsidP="001D41EA">
            <w:pPr>
              <w:spacing w:before="40" w:after="20"/>
              <w:jc w:val="right"/>
              <w:rPr>
                <w:rFonts w:cs="Arial"/>
                <w:sz w:val="18"/>
                <w:szCs w:val="18"/>
              </w:rPr>
            </w:pPr>
            <w:r w:rsidRPr="001D41EA">
              <w:rPr>
                <w:rFonts w:cs="Arial"/>
                <w:sz w:val="18"/>
                <w:szCs w:val="18"/>
              </w:rPr>
              <w:t>3,574,162</w:t>
            </w:r>
          </w:p>
        </w:tc>
        <w:tc>
          <w:tcPr>
            <w:tcW w:w="1134" w:type="dxa"/>
            <w:tcBorders>
              <w:top w:val="nil"/>
              <w:left w:val="nil"/>
              <w:bottom w:val="nil"/>
              <w:right w:val="nil"/>
            </w:tcBorders>
            <w:shd w:val="clear" w:color="auto" w:fill="auto"/>
            <w:vAlign w:val="bottom"/>
          </w:tcPr>
          <w:p w14:paraId="163E2A0E" w14:textId="046A4F4E" w:rsidR="00A66703" w:rsidRPr="001D41EA" w:rsidRDefault="00A66703" w:rsidP="001D41EA">
            <w:pPr>
              <w:spacing w:before="40" w:after="20"/>
              <w:jc w:val="right"/>
              <w:rPr>
                <w:rFonts w:cs="Arial"/>
                <w:sz w:val="18"/>
                <w:szCs w:val="18"/>
              </w:rPr>
            </w:pPr>
            <w:r w:rsidRPr="001D41EA">
              <w:rPr>
                <w:rFonts w:cs="Arial"/>
                <w:sz w:val="18"/>
                <w:szCs w:val="18"/>
              </w:rPr>
              <w:t>-39,387</w:t>
            </w:r>
          </w:p>
        </w:tc>
        <w:tc>
          <w:tcPr>
            <w:tcW w:w="170" w:type="dxa"/>
            <w:tcBorders>
              <w:top w:val="nil"/>
              <w:left w:val="nil"/>
              <w:bottom w:val="nil"/>
              <w:right w:val="nil"/>
            </w:tcBorders>
            <w:shd w:val="clear" w:color="auto" w:fill="auto"/>
            <w:vAlign w:val="bottom"/>
          </w:tcPr>
          <w:p w14:paraId="69E01A66"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561A78D" w14:textId="7D711250" w:rsidR="00A66703" w:rsidRPr="001D41EA" w:rsidRDefault="00A66703" w:rsidP="001D41EA">
            <w:pPr>
              <w:spacing w:before="40" w:after="20"/>
              <w:jc w:val="right"/>
              <w:rPr>
                <w:rFonts w:cs="Arial"/>
                <w:sz w:val="18"/>
                <w:szCs w:val="18"/>
              </w:rPr>
            </w:pPr>
            <w:r w:rsidRPr="001D41EA">
              <w:rPr>
                <w:rFonts w:cs="Arial"/>
                <w:sz w:val="18"/>
                <w:szCs w:val="18"/>
              </w:rPr>
              <w:t>1,028,036</w:t>
            </w:r>
          </w:p>
        </w:tc>
        <w:tc>
          <w:tcPr>
            <w:tcW w:w="1134" w:type="dxa"/>
            <w:tcBorders>
              <w:top w:val="nil"/>
              <w:left w:val="nil"/>
              <w:bottom w:val="nil"/>
              <w:right w:val="nil"/>
            </w:tcBorders>
            <w:shd w:val="clear" w:color="auto" w:fill="auto"/>
            <w:vAlign w:val="bottom"/>
          </w:tcPr>
          <w:p w14:paraId="1E65A6AA" w14:textId="75D882FE" w:rsidR="00A66703" w:rsidRPr="001D41EA" w:rsidRDefault="00A66703" w:rsidP="001D41EA">
            <w:pPr>
              <w:spacing w:before="40" w:after="20"/>
              <w:jc w:val="right"/>
              <w:rPr>
                <w:rFonts w:cs="Arial"/>
                <w:sz w:val="18"/>
                <w:szCs w:val="18"/>
              </w:rPr>
            </w:pPr>
            <w:r w:rsidRPr="001D41EA">
              <w:rPr>
                <w:rFonts w:cs="Arial"/>
                <w:sz w:val="18"/>
                <w:szCs w:val="18"/>
              </w:rPr>
              <w:t>1,019,932</w:t>
            </w:r>
          </w:p>
        </w:tc>
        <w:tc>
          <w:tcPr>
            <w:tcW w:w="1134" w:type="dxa"/>
            <w:tcBorders>
              <w:top w:val="nil"/>
              <w:left w:val="nil"/>
              <w:bottom w:val="nil"/>
              <w:right w:val="nil"/>
            </w:tcBorders>
            <w:shd w:val="clear" w:color="auto" w:fill="auto"/>
            <w:vAlign w:val="bottom"/>
          </w:tcPr>
          <w:p w14:paraId="3CB78473" w14:textId="0E2634E6" w:rsidR="00A66703" w:rsidRPr="001D41EA" w:rsidRDefault="00A66703" w:rsidP="001D41EA">
            <w:pPr>
              <w:spacing w:before="40" w:after="20"/>
              <w:jc w:val="right"/>
              <w:rPr>
                <w:rFonts w:cs="Arial"/>
                <w:sz w:val="18"/>
                <w:szCs w:val="18"/>
              </w:rPr>
            </w:pPr>
            <w:r w:rsidRPr="001D41EA">
              <w:rPr>
                <w:rFonts w:cs="Arial"/>
                <w:sz w:val="18"/>
                <w:szCs w:val="18"/>
              </w:rPr>
              <w:t>-8,104</w:t>
            </w:r>
          </w:p>
        </w:tc>
      </w:tr>
      <w:tr w:rsidR="00A66703" w:rsidRPr="001D41EA" w14:paraId="532A8E33"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11787B8A" w14:textId="77777777" w:rsidR="00A66703" w:rsidRPr="001D41EA" w:rsidRDefault="00A66703" w:rsidP="001D41EA">
            <w:pPr>
              <w:spacing w:before="40" w:after="20"/>
              <w:rPr>
                <w:rFonts w:cs="Arial"/>
                <w:sz w:val="18"/>
                <w:szCs w:val="18"/>
              </w:rPr>
            </w:pPr>
            <w:r w:rsidRPr="001D41EA">
              <w:rPr>
                <w:rFonts w:cs="Arial"/>
                <w:sz w:val="18"/>
                <w:szCs w:val="18"/>
              </w:rPr>
              <w:t xml:space="preserve">Whittlesea C </w:t>
            </w:r>
          </w:p>
        </w:tc>
        <w:tc>
          <w:tcPr>
            <w:tcW w:w="1134" w:type="dxa"/>
            <w:tcBorders>
              <w:top w:val="nil"/>
              <w:left w:val="single" w:sz="18" w:space="0" w:color="5F497A" w:themeColor="accent4" w:themeShade="BF"/>
              <w:bottom w:val="nil"/>
              <w:right w:val="nil"/>
            </w:tcBorders>
            <w:shd w:val="clear" w:color="auto" w:fill="auto"/>
            <w:vAlign w:val="bottom"/>
          </w:tcPr>
          <w:p w14:paraId="56280CB6" w14:textId="6AC82150" w:rsidR="00A66703" w:rsidRPr="001D41EA" w:rsidRDefault="00A66703" w:rsidP="001D41EA">
            <w:pPr>
              <w:spacing w:before="40" w:after="20"/>
              <w:jc w:val="right"/>
              <w:rPr>
                <w:rFonts w:cs="Arial"/>
                <w:sz w:val="18"/>
                <w:szCs w:val="18"/>
              </w:rPr>
            </w:pPr>
            <w:r w:rsidRPr="001D41EA">
              <w:rPr>
                <w:rFonts w:cs="Arial"/>
                <w:sz w:val="18"/>
                <w:szCs w:val="18"/>
              </w:rPr>
              <w:t>12,682,135</w:t>
            </w:r>
          </w:p>
        </w:tc>
        <w:tc>
          <w:tcPr>
            <w:tcW w:w="1134" w:type="dxa"/>
            <w:tcBorders>
              <w:top w:val="nil"/>
              <w:left w:val="nil"/>
              <w:bottom w:val="nil"/>
              <w:right w:val="nil"/>
            </w:tcBorders>
            <w:shd w:val="clear" w:color="auto" w:fill="auto"/>
            <w:vAlign w:val="bottom"/>
          </w:tcPr>
          <w:p w14:paraId="597C8911" w14:textId="1AB2D806" w:rsidR="00A66703" w:rsidRPr="001D41EA" w:rsidRDefault="00A66703" w:rsidP="001D41EA">
            <w:pPr>
              <w:spacing w:before="40" w:after="20"/>
              <w:jc w:val="right"/>
              <w:rPr>
                <w:rFonts w:cs="Arial"/>
                <w:sz w:val="18"/>
                <w:szCs w:val="18"/>
              </w:rPr>
            </w:pPr>
            <w:r w:rsidRPr="001D41EA">
              <w:rPr>
                <w:rFonts w:cs="Arial"/>
                <w:sz w:val="18"/>
                <w:szCs w:val="18"/>
              </w:rPr>
              <w:t>12,543,900</w:t>
            </w:r>
          </w:p>
        </w:tc>
        <w:tc>
          <w:tcPr>
            <w:tcW w:w="1134" w:type="dxa"/>
            <w:tcBorders>
              <w:top w:val="nil"/>
              <w:left w:val="nil"/>
              <w:bottom w:val="nil"/>
              <w:right w:val="nil"/>
            </w:tcBorders>
            <w:shd w:val="clear" w:color="auto" w:fill="auto"/>
            <w:vAlign w:val="bottom"/>
          </w:tcPr>
          <w:p w14:paraId="19A3410C" w14:textId="5A162FA0" w:rsidR="00A66703" w:rsidRPr="001D41EA" w:rsidRDefault="00A66703" w:rsidP="001D41EA">
            <w:pPr>
              <w:spacing w:before="40" w:after="20"/>
              <w:jc w:val="right"/>
              <w:rPr>
                <w:rFonts w:cs="Arial"/>
                <w:sz w:val="18"/>
                <w:szCs w:val="18"/>
              </w:rPr>
            </w:pPr>
            <w:r w:rsidRPr="001D41EA">
              <w:rPr>
                <w:rFonts w:cs="Arial"/>
                <w:sz w:val="18"/>
                <w:szCs w:val="18"/>
              </w:rPr>
              <w:t>-138,235</w:t>
            </w:r>
          </w:p>
        </w:tc>
        <w:tc>
          <w:tcPr>
            <w:tcW w:w="170" w:type="dxa"/>
            <w:tcBorders>
              <w:top w:val="nil"/>
              <w:left w:val="nil"/>
              <w:bottom w:val="nil"/>
              <w:right w:val="nil"/>
            </w:tcBorders>
            <w:shd w:val="clear" w:color="auto" w:fill="auto"/>
            <w:vAlign w:val="bottom"/>
          </w:tcPr>
          <w:p w14:paraId="2703241B"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E8CE2DF" w14:textId="202DF7FA" w:rsidR="00A66703" w:rsidRPr="001D41EA" w:rsidRDefault="00A66703" w:rsidP="001D41EA">
            <w:pPr>
              <w:spacing w:before="40" w:after="20"/>
              <w:jc w:val="right"/>
              <w:rPr>
                <w:rFonts w:cs="Arial"/>
                <w:sz w:val="18"/>
                <w:szCs w:val="18"/>
              </w:rPr>
            </w:pPr>
            <w:r w:rsidRPr="001D41EA">
              <w:rPr>
                <w:rFonts w:cs="Arial"/>
                <w:sz w:val="18"/>
                <w:szCs w:val="18"/>
              </w:rPr>
              <w:t>2,170,191</w:t>
            </w:r>
          </w:p>
        </w:tc>
        <w:tc>
          <w:tcPr>
            <w:tcW w:w="1134" w:type="dxa"/>
            <w:tcBorders>
              <w:top w:val="nil"/>
              <w:left w:val="nil"/>
              <w:bottom w:val="nil"/>
              <w:right w:val="nil"/>
            </w:tcBorders>
            <w:shd w:val="clear" w:color="auto" w:fill="auto"/>
            <w:vAlign w:val="bottom"/>
          </w:tcPr>
          <w:p w14:paraId="3DE84E4B" w14:textId="1E8EE60C" w:rsidR="00A66703" w:rsidRPr="001D41EA" w:rsidRDefault="00A66703" w:rsidP="001D41EA">
            <w:pPr>
              <w:spacing w:before="40" w:after="20"/>
              <w:jc w:val="right"/>
              <w:rPr>
                <w:rFonts w:cs="Arial"/>
                <w:sz w:val="18"/>
                <w:szCs w:val="18"/>
              </w:rPr>
            </w:pPr>
            <w:r w:rsidRPr="001D41EA">
              <w:rPr>
                <w:rFonts w:cs="Arial"/>
                <w:sz w:val="18"/>
                <w:szCs w:val="18"/>
              </w:rPr>
              <w:t>2,153,084</w:t>
            </w:r>
          </w:p>
        </w:tc>
        <w:tc>
          <w:tcPr>
            <w:tcW w:w="1134" w:type="dxa"/>
            <w:tcBorders>
              <w:top w:val="nil"/>
              <w:left w:val="nil"/>
              <w:bottom w:val="nil"/>
              <w:right w:val="nil"/>
            </w:tcBorders>
            <w:shd w:val="clear" w:color="auto" w:fill="auto"/>
            <w:vAlign w:val="bottom"/>
          </w:tcPr>
          <w:p w14:paraId="14105F74" w14:textId="6B1C24FC" w:rsidR="00A66703" w:rsidRPr="001D41EA" w:rsidRDefault="00A66703" w:rsidP="001D41EA">
            <w:pPr>
              <w:spacing w:before="40" w:after="20"/>
              <w:jc w:val="right"/>
              <w:rPr>
                <w:rFonts w:cs="Arial"/>
                <w:sz w:val="18"/>
                <w:szCs w:val="18"/>
              </w:rPr>
            </w:pPr>
            <w:r w:rsidRPr="001D41EA">
              <w:rPr>
                <w:rFonts w:cs="Arial"/>
                <w:sz w:val="18"/>
                <w:szCs w:val="18"/>
              </w:rPr>
              <w:t>-17,107</w:t>
            </w:r>
          </w:p>
        </w:tc>
      </w:tr>
      <w:tr w:rsidR="00A66703" w:rsidRPr="001D41EA" w14:paraId="4F7AA3BE"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229E290C" w14:textId="77777777" w:rsidR="00A66703" w:rsidRPr="001D41EA" w:rsidRDefault="00A66703" w:rsidP="001D41EA">
            <w:pPr>
              <w:spacing w:before="40" w:after="20"/>
              <w:rPr>
                <w:rFonts w:cs="Arial"/>
                <w:sz w:val="18"/>
                <w:szCs w:val="18"/>
              </w:rPr>
            </w:pPr>
            <w:r w:rsidRPr="001D41EA">
              <w:rPr>
                <w:rFonts w:cs="Arial"/>
                <w:sz w:val="18"/>
                <w:szCs w:val="18"/>
              </w:rPr>
              <w:t xml:space="preserve">Wodonga C </w:t>
            </w:r>
          </w:p>
        </w:tc>
        <w:tc>
          <w:tcPr>
            <w:tcW w:w="1134" w:type="dxa"/>
            <w:tcBorders>
              <w:top w:val="nil"/>
              <w:left w:val="single" w:sz="18" w:space="0" w:color="5F497A" w:themeColor="accent4" w:themeShade="BF"/>
              <w:bottom w:val="nil"/>
              <w:right w:val="nil"/>
            </w:tcBorders>
            <w:shd w:val="clear" w:color="auto" w:fill="auto"/>
            <w:vAlign w:val="bottom"/>
          </w:tcPr>
          <w:p w14:paraId="28998821" w14:textId="31C3D474" w:rsidR="00A66703" w:rsidRPr="001D41EA" w:rsidRDefault="00A66703" w:rsidP="001D41EA">
            <w:pPr>
              <w:spacing w:before="40" w:after="20"/>
              <w:jc w:val="right"/>
              <w:rPr>
                <w:rFonts w:cs="Arial"/>
                <w:sz w:val="18"/>
                <w:szCs w:val="18"/>
              </w:rPr>
            </w:pPr>
            <w:r w:rsidRPr="001D41EA">
              <w:rPr>
                <w:rFonts w:cs="Arial"/>
                <w:sz w:val="18"/>
                <w:szCs w:val="18"/>
              </w:rPr>
              <w:t>4,351,605</w:t>
            </w:r>
          </w:p>
        </w:tc>
        <w:tc>
          <w:tcPr>
            <w:tcW w:w="1134" w:type="dxa"/>
            <w:tcBorders>
              <w:top w:val="nil"/>
              <w:left w:val="nil"/>
              <w:bottom w:val="nil"/>
              <w:right w:val="nil"/>
            </w:tcBorders>
            <w:shd w:val="clear" w:color="auto" w:fill="auto"/>
            <w:vAlign w:val="bottom"/>
          </w:tcPr>
          <w:p w14:paraId="25081A81" w14:textId="40BA3830" w:rsidR="00A66703" w:rsidRPr="001D41EA" w:rsidRDefault="00A66703" w:rsidP="001D41EA">
            <w:pPr>
              <w:spacing w:before="40" w:after="20"/>
              <w:jc w:val="right"/>
              <w:rPr>
                <w:rFonts w:cs="Arial"/>
                <w:sz w:val="18"/>
                <w:szCs w:val="18"/>
              </w:rPr>
            </w:pPr>
            <w:r w:rsidRPr="001D41EA">
              <w:rPr>
                <w:rFonts w:cs="Arial"/>
                <w:sz w:val="18"/>
                <w:szCs w:val="18"/>
              </w:rPr>
              <w:t>4,304,173</w:t>
            </w:r>
          </w:p>
        </w:tc>
        <w:tc>
          <w:tcPr>
            <w:tcW w:w="1134" w:type="dxa"/>
            <w:tcBorders>
              <w:top w:val="nil"/>
              <w:left w:val="nil"/>
              <w:bottom w:val="nil"/>
              <w:right w:val="nil"/>
            </w:tcBorders>
            <w:shd w:val="clear" w:color="auto" w:fill="auto"/>
            <w:vAlign w:val="bottom"/>
          </w:tcPr>
          <w:p w14:paraId="42ED8966" w14:textId="430A5F4E" w:rsidR="00A66703" w:rsidRPr="001D41EA" w:rsidRDefault="00A66703" w:rsidP="001D41EA">
            <w:pPr>
              <w:spacing w:before="40" w:after="20"/>
              <w:jc w:val="right"/>
              <w:rPr>
                <w:rFonts w:cs="Arial"/>
                <w:sz w:val="18"/>
                <w:szCs w:val="18"/>
              </w:rPr>
            </w:pPr>
            <w:r w:rsidRPr="001D41EA">
              <w:rPr>
                <w:rFonts w:cs="Arial"/>
                <w:sz w:val="18"/>
                <w:szCs w:val="18"/>
              </w:rPr>
              <w:t>-47,432</w:t>
            </w:r>
          </w:p>
        </w:tc>
        <w:tc>
          <w:tcPr>
            <w:tcW w:w="170" w:type="dxa"/>
            <w:tcBorders>
              <w:top w:val="nil"/>
              <w:left w:val="nil"/>
              <w:bottom w:val="nil"/>
              <w:right w:val="nil"/>
            </w:tcBorders>
            <w:shd w:val="clear" w:color="auto" w:fill="auto"/>
            <w:vAlign w:val="bottom"/>
          </w:tcPr>
          <w:p w14:paraId="2DBCF349"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4CDFA35" w14:textId="7FF71351" w:rsidR="00A66703" w:rsidRPr="001D41EA" w:rsidRDefault="00A66703" w:rsidP="001D41EA">
            <w:pPr>
              <w:spacing w:before="40" w:after="20"/>
              <w:jc w:val="right"/>
              <w:rPr>
                <w:rFonts w:cs="Arial"/>
                <w:sz w:val="18"/>
                <w:szCs w:val="18"/>
              </w:rPr>
            </w:pPr>
            <w:r w:rsidRPr="001D41EA">
              <w:rPr>
                <w:rFonts w:cs="Arial"/>
                <w:sz w:val="18"/>
                <w:szCs w:val="18"/>
              </w:rPr>
              <w:t>828,456</w:t>
            </w:r>
          </w:p>
        </w:tc>
        <w:tc>
          <w:tcPr>
            <w:tcW w:w="1134" w:type="dxa"/>
            <w:tcBorders>
              <w:top w:val="nil"/>
              <w:left w:val="nil"/>
              <w:bottom w:val="nil"/>
              <w:right w:val="nil"/>
            </w:tcBorders>
            <w:shd w:val="clear" w:color="auto" w:fill="auto"/>
            <w:vAlign w:val="bottom"/>
          </w:tcPr>
          <w:p w14:paraId="2D04900F" w14:textId="44ACFE6A" w:rsidR="00A66703" w:rsidRPr="001D41EA" w:rsidRDefault="00A66703" w:rsidP="001D41EA">
            <w:pPr>
              <w:spacing w:before="40" w:after="20"/>
              <w:jc w:val="right"/>
              <w:rPr>
                <w:rFonts w:cs="Arial"/>
                <w:sz w:val="18"/>
                <w:szCs w:val="18"/>
              </w:rPr>
            </w:pPr>
            <w:r w:rsidRPr="001D41EA">
              <w:rPr>
                <w:rFonts w:cs="Arial"/>
                <w:sz w:val="18"/>
                <w:szCs w:val="18"/>
              </w:rPr>
              <w:t>821,925</w:t>
            </w:r>
          </w:p>
        </w:tc>
        <w:tc>
          <w:tcPr>
            <w:tcW w:w="1134" w:type="dxa"/>
            <w:tcBorders>
              <w:top w:val="nil"/>
              <w:left w:val="nil"/>
              <w:bottom w:val="nil"/>
              <w:right w:val="nil"/>
            </w:tcBorders>
            <w:shd w:val="clear" w:color="auto" w:fill="auto"/>
            <w:vAlign w:val="bottom"/>
          </w:tcPr>
          <w:p w14:paraId="231749E5" w14:textId="3BA9093E" w:rsidR="00A66703" w:rsidRPr="001D41EA" w:rsidRDefault="00A66703" w:rsidP="001D41EA">
            <w:pPr>
              <w:spacing w:before="40" w:after="20"/>
              <w:jc w:val="right"/>
              <w:rPr>
                <w:rFonts w:cs="Arial"/>
                <w:sz w:val="18"/>
                <w:szCs w:val="18"/>
              </w:rPr>
            </w:pPr>
            <w:r w:rsidRPr="001D41EA">
              <w:rPr>
                <w:rFonts w:cs="Arial"/>
                <w:sz w:val="18"/>
                <w:szCs w:val="18"/>
              </w:rPr>
              <w:t>-6,531</w:t>
            </w:r>
          </w:p>
        </w:tc>
      </w:tr>
      <w:tr w:rsidR="00A66703" w:rsidRPr="001D41EA" w14:paraId="3B140AB1"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2EE889CA" w14:textId="77777777" w:rsidR="00A66703" w:rsidRPr="001D41EA" w:rsidRDefault="00A66703" w:rsidP="001D41EA">
            <w:pPr>
              <w:spacing w:before="40" w:after="20"/>
              <w:rPr>
                <w:rFonts w:cs="Arial"/>
                <w:sz w:val="18"/>
                <w:szCs w:val="18"/>
              </w:rPr>
            </w:pPr>
            <w:r w:rsidRPr="001D41EA">
              <w:rPr>
                <w:rFonts w:cs="Arial"/>
                <w:sz w:val="18"/>
                <w:szCs w:val="18"/>
              </w:rPr>
              <w:t xml:space="preserve">Wyndham C </w:t>
            </w:r>
          </w:p>
        </w:tc>
        <w:tc>
          <w:tcPr>
            <w:tcW w:w="1134" w:type="dxa"/>
            <w:tcBorders>
              <w:top w:val="nil"/>
              <w:left w:val="single" w:sz="18" w:space="0" w:color="5F497A" w:themeColor="accent4" w:themeShade="BF"/>
              <w:bottom w:val="nil"/>
              <w:right w:val="nil"/>
            </w:tcBorders>
            <w:shd w:val="clear" w:color="auto" w:fill="auto"/>
            <w:vAlign w:val="bottom"/>
          </w:tcPr>
          <w:p w14:paraId="29FAD517" w14:textId="5ED4561B" w:rsidR="00A66703" w:rsidRPr="001D41EA" w:rsidRDefault="00A66703" w:rsidP="001D41EA">
            <w:pPr>
              <w:spacing w:before="40" w:after="20"/>
              <w:jc w:val="right"/>
              <w:rPr>
                <w:rFonts w:cs="Arial"/>
                <w:sz w:val="18"/>
                <w:szCs w:val="18"/>
              </w:rPr>
            </w:pPr>
            <w:r w:rsidRPr="001D41EA">
              <w:rPr>
                <w:rFonts w:cs="Arial"/>
                <w:sz w:val="18"/>
                <w:szCs w:val="18"/>
              </w:rPr>
              <w:t>15,660,967</w:t>
            </w:r>
          </w:p>
        </w:tc>
        <w:tc>
          <w:tcPr>
            <w:tcW w:w="1134" w:type="dxa"/>
            <w:tcBorders>
              <w:top w:val="nil"/>
              <w:left w:val="nil"/>
              <w:bottom w:val="nil"/>
              <w:right w:val="nil"/>
            </w:tcBorders>
            <w:shd w:val="clear" w:color="auto" w:fill="auto"/>
            <w:vAlign w:val="bottom"/>
          </w:tcPr>
          <w:p w14:paraId="16CD8A81" w14:textId="12F827B2" w:rsidR="00A66703" w:rsidRPr="001D41EA" w:rsidRDefault="00A66703" w:rsidP="001D41EA">
            <w:pPr>
              <w:spacing w:before="40" w:after="20"/>
              <w:jc w:val="right"/>
              <w:rPr>
                <w:rFonts w:cs="Arial"/>
                <w:sz w:val="18"/>
                <w:szCs w:val="18"/>
              </w:rPr>
            </w:pPr>
            <w:r w:rsidRPr="001D41EA">
              <w:rPr>
                <w:rFonts w:cs="Arial"/>
                <w:sz w:val="18"/>
                <w:szCs w:val="18"/>
              </w:rPr>
              <w:t>15,490,263</w:t>
            </w:r>
          </w:p>
        </w:tc>
        <w:tc>
          <w:tcPr>
            <w:tcW w:w="1134" w:type="dxa"/>
            <w:tcBorders>
              <w:top w:val="nil"/>
              <w:left w:val="nil"/>
              <w:bottom w:val="nil"/>
              <w:right w:val="nil"/>
            </w:tcBorders>
            <w:shd w:val="clear" w:color="auto" w:fill="auto"/>
            <w:vAlign w:val="bottom"/>
          </w:tcPr>
          <w:p w14:paraId="664744B6" w14:textId="5517A1FE" w:rsidR="00A66703" w:rsidRPr="001D41EA" w:rsidRDefault="00A66703" w:rsidP="001D41EA">
            <w:pPr>
              <w:spacing w:before="40" w:after="20"/>
              <w:jc w:val="right"/>
              <w:rPr>
                <w:rFonts w:cs="Arial"/>
                <w:sz w:val="18"/>
                <w:szCs w:val="18"/>
              </w:rPr>
            </w:pPr>
            <w:r w:rsidRPr="001D41EA">
              <w:rPr>
                <w:rFonts w:cs="Arial"/>
                <w:sz w:val="18"/>
                <w:szCs w:val="18"/>
              </w:rPr>
              <w:t>-170,704</w:t>
            </w:r>
          </w:p>
        </w:tc>
        <w:tc>
          <w:tcPr>
            <w:tcW w:w="170" w:type="dxa"/>
            <w:tcBorders>
              <w:top w:val="nil"/>
              <w:left w:val="nil"/>
              <w:bottom w:val="nil"/>
              <w:right w:val="nil"/>
            </w:tcBorders>
            <w:shd w:val="clear" w:color="auto" w:fill="auto"/>
            <w:vAlign w:val="bottom"/>
          </w:tcPr>
          <w:p w14:paraId="5723EFC1"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8B19FB3" w14:textId="06AE6E4F" w:rsidR="00A66703" w:rsidRPr="001D41EA" w:rsidRDefault="00A66703" w:rsidP="001D41EA">
            <w:pPr>
              <w:spacing w:before="40" w:after="20"/>
              <w:jc w:val="right"/>
              <w:rPr>
                <w:rFonts w:cs="Arial"/>
                <w:sz w:val="18"/>
                <w:szCs w:val="18"/>
              </w:rPr>
            </w:pPr>
            <w:r w:rsidRPr="001D41EA">
              <w:rPr>
                <w:rFonts w:cs="Arial"/>
                <w:sz w:val="18"/>
                <w:szCs w:val="18"/>
              </w:rPr>
              <w:t>2,299,390</w:t>
            </w:r>
          </w:p>
        </w:tc>
        <w:tc>
          <w:tcPr>
            <w:tcW w:w="1134" w:type="dxa"/>
            <w:tcBorders>
              <w:top w:val="nil"/>
              <w:left w:val="nil"/>
              <w:bottom w:val="nil"/>
              <w:right w:val="nil"/>
            </w:tcBorders>
            <w:shd w:val="clear" w:color="auto" w:fill="auto"/>
            <w:vAlign w:val="bottom"/>
          </w:tcPr>
          <w:p w14:paraId="71484EAC" w14:textId="6CCA88CA" w:rsidR="00A66703" w:rsidRPr="001D41EA" w:rsidRDefault="00A66703" w:rsidP="001D41EA">
            <w:pPr>
              <w:spacing w:before="40" w:after="20"/>
              <w:jc w:val="right"/>
              <w:rPr>
                <w:rFonts w:cs="Arial"/>
                <w:sz w:val="18"/>
                <w:szCs w:val="18"/>
              </w:rPr>
            </w:pPr>
            <w:r w:rsidRPr="001D41EA">
              <w:rPr>
                <w:rFonts w:cs="Arial"/>
                <w:sz w:val="18"/>
                <w:szCs w:val="18"/>
              </w:rPr>
              <w:t>2,281,264</w:t>
            </w:r>
          </w:p>
        </w:tc>
        <w:tc>
          <w:tcPr>
            <w:tcW w:w="1134" w:type="dxa"/>
            <w:tcBorders>
              <w:top w:val="nil"/>
              <w:left w:val="nil"/>
              <w:bottom w:val="nil"/>
              <w:right w:val="nil"/>
            </w:tcBorders>
            <w:shd w:val="clear" w:color="auto" w:fill="auto"/>
            <w:vAlign w:val="bottom"/>
          </w:tcPr>
          <w:p w14:paraId="7DFF029C" w14:textId="30EEA126" w:rsidR="00A66703" w:rsidRPr="001D41EA" w:rsidRDefault="00A66703" w:rsidP="001D41EA">
            <w:pPr>
              <w:spacing w:before="40" w:after="20"/>
              <w:jc w:val="right"/>
              <w:rPr>
                <w:rFonts w:cs="Arial"/>
                <w:sz w:val="18"/>
                <w:szCs w:val="18"/>
              </w:rPr>
            </w:pPr>
            <w:r w:rsidRPr="001D41EA">
              <w:rPr>
                <w:rFonts w:cs="Arial"/>
                <w:sz w:val="18"/>
                <w:szCs w:val="18"/>
              </w:rPr>
              <w:t>-18,126</w:t>
            </w:r>
          </w:p>
        </w:tc>
      </w:tr>
      <w:tr w:rsidR="00A66703" w:rsidRPr="001D41EA" w14:paraId="4C73ED6F"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0AEAF10F" w14:textId="77777777" w:rsidR="00A66703" w:rsidRPr="001D41EA" w:rsidRDefault="00A66703" w:rsidP="001D41EA">
            <w:pPr>
              <w:spacing w:before="40" w:after="20"/>
              <w:rPr>
                <w:rFonts w:cs="Arial"/>
                <w:sz w:val="18"/>
                <w:szCs w:val="18"/>
              </w:rPr>
            </w:pPr>
            <w:r w:rsidRPr="001D41EA">
              <w:rPr>
                <w:rFonts w:cs="Arial"/>
                <w:sz w:val="18"/>
                <w:szCs w:val="18"/>
              </w:rPr>
              <w:t xml:space="preserve">Yarra C </w:t>
            </w:r>
          </w:p>
        </w:tc>
        <w:tc>
          <w:tcPr>
            <w:tcW w:w="1134" w:type="dxa"/>
            <w:tcBorders>
              <w:top w:val="nil"/>
              <w:left w:val="single" w:sz="18" w:space="0" w:color="5F497A" w:themeColor="accent4" w:themeShade="BF"/>
              <w:bottom w:val="nil"/>
              <w:right w:val="nil"/>
            </w:tcBorders>
            <w:shd w:val="clear" w:color="auto" w:fill="auto"/>
            <w:vAlign w:val="bottom"/>
          </w:tcPr>
          <w:p w14:paraId="722E8E3C" w14:textId="4DA8FAB5" w:rsidR="00A66703" w:rsidRPr="001D41EA" w:rsidRDefault="00A66703" w:rsidP="001D41EA">
            <w:pPr>
              <w:spacing w:before="40" w:after="20"/>
              <w:jc w:val="right"/>
              <w:rPr>
                <w:rFonts w:cs="Arial"/>
                <w:sz w:val="18"/>
                <w:szCs w:val="18"/>
              </w:rPr>
            </w:pPr>
            <w:r w:rsidRPr="001D41EA">
              <w:rPr>
                <w:rFonts w:cs="Arial"/>
                <w:sz w:val="18"/>
                <w:szCs w:val="18"/>
              </w:rPr>
              <w:t>2,006,930</w:t>
            </w:r>
          </w:p>
        </w:tc>
        <w:tc>
          <w:tcPr>
            <w:tcW w:w="1134" w:type="dxa"/>
            <w:tcBorders>
              <w:top w:val="nil"/>
              <w:left w:val="nil"/>
              <w:bottom w:val="nil"/>
              <w:right w:val="nil"/>
            </w:tcBorders>
            <w:shd w:val="clear" w:color="auto" w:fill="auto"/>
            <w:vAlign w:val="bottom"/>
          </w:tcPr>
          <w:p w14:paraId="7F138011" w14:textId="66A6CBAA" w:rsidR="00A66703" w:rsidRPr="001D41EA" w:rsidRDefault="00A66703" w:rsidP="001D41EA">
            <w:pPr>
              <w:spacing w:before="40" w:after="20"/>
              <w:jc w:val="right"/>
              <w:rPr>
                <w:rFonts w:cs="Arial"/>
                <w:sz w:val="18"/>
                <w:szCs w:val="18"/>
              </w:rPr>
            </w:pPr>
            <w:r w:rsidRPr="001D41EA">
              <w:rPr>
                <w:rFonts w:cs="Arial"/>
                <w:sz w:val="18"/>
                <w:szCs w:val="18"/>
              </w:rPr>
              <w:t>1,985,055</w:t>
            </w:r>
          </w:p>
        </w:tc>
        <w:tc>
          <w:tcPr>
            <w:tcW w:w="1134" w:type="dxa"/>
            <w:tcBorders>
              <w:top w:val="nil"/>
              <w:left w:val="nil"/>
              <w:bottom w:val="nil"/>
              <w:right w:val="nil"/>
            </w:tcBorders>
            <w:shd w:val="clear" w:color="auto" w:fill="auto"/>
            <w:vAlign w:val="bottom"/>
          </w:tcPr>
          <w:p w14:paraId="2A24F826" w14:textId="27E037C3" w:rsidR="00A66703" w:rsidRPr="001D41EA" w:rsidRDefault="00A66703" w:rsidP="001D41EA">
            <w:pPr>
              <w:spacing w:before="40" w:after="20"/>
              <w:jc w:val="right"/>
              <w:rPr>
                <w:rFonts w:cs="Arial"/>
                <w:sz w:val="18"/>
                <w:szCs w:val="18"/>
              </w:rPr>
            </w:pPr>
            <w:r w:rsidRPr="001D41EA">
              <w:rPr>
                <w:rFonts w:cs="Arial"/>
                <w:sz w:val="18"/>
                <w:szCs w:val="18"/>
              </w:rPr>
              <w:t>-21,875</w:t>
            </w:r>
          </w:p>
        </w:tc>
        <w:tc>
          <w:tcPr>
            <w:tcW w:w="170" w:type="dxa"/>
            <w:tcBorders>
              <w:top w:val="nil"/>
              <w:left w:val="nil"/>
              <w:bottom w:val="nil"/>
              <w:right w:val="nil"/>
            </w:tcBorders>
            <w:shd w:val="clear" w:color="auto" w:fill="auto"/>
            <w:vAlign w:val="bottom"/>
          </w:tcPr>
          <w:p w14:paraId="675099E7"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A2D136E" w14:textId="5FC8091B" w:rsidR="00A66703" w:rsidRPr="001D41EA" w:rsidRDefault="00A66703" w:rsidP="001D41EA">
            <w:pPr>
              <w:spacing w:before="40" w:after="20"/>
              <w:jc w:val="right"/>
              <w:rPr>
                <w:rFonts w:cs="Arial"/>
                <w:sz w:val="18"/>
                <w:szCs w:val="18"/>
              </w:rPr>
            </w:pPr>
            <w:r w:rsidRPr="001D41EA">
              <w:rPr>
                <w:rFonts w:cs="Arial"/>
                <w:sz w:val="18"/>
                <w:szCs w:val="18"/>
              </w:rPr>
              <w:t>396,747</w:t>
            </w:r>
          </w:p>
        </w:tc>
        <w:tc>
          <w:tcPr>
            <w:tcW w:w="1134" w:type="dxa"/>
            <w:tcBorders>
              <w:top w:val="nil"/>
              <w:left w:val="nil"/>
              <w:bottom w:val="nil"/>
              <w:right w:val="nil"/>
            </w:tcBorders>
            <w:shd w:val="clear" w:color="auto" w:fill="auto"/>
            <w:vAlign w:val="bottom"/>
          </w:tcPr>
          <w:p w14:paraId="4E4F14A3" w14:textId="181245C6" w:rsidR="00A66703" w:rsidRPr="001D41EA" w:rsidRDefault="00A66703" w:rsidP="001D41EA">
            <w:pPr>
              <w:spacing w:before="40" w:after="20"/>
              <w:jc w:val="right"/>
              <w:rPr>
                <w:rFonts w:cs="Arial"/>
                <w:sz w:val="18"/>
                <w:szCs w:val="18"/>
              </w:rPr>
            </w:pPr>
            <w:r w:rsidRPr="001D41EA">
              <w:rPr>
                <w:rFonts w:cs="Arial"/>
                <w:sz w:val="18"/>
                <w:szCs w:val="18"/>
              </w:rPr>
              <w:t>393,619</w:t>
            </w:r>
          </w:p>
        </w:tc>
        <w:tc>
          <w:tcPr>
            <w:tcW w:w="1134" w:type="dxa"/>
            <w:tcBorders>
              <w:top w:val="nil"/>
              <w:left w:val="nil"/>
              <w:bottom w:val="nil"/>
              <w:right w:val="nil"/>
            </w:tcBorders>
            <w:shd w:val="clear" w:color="auto" w:fill="auto"/>
            <w:vAlign w:val="bottom"/>
          </w:tcPr>
          <w:p w14:paraId="4AD79B76" w14:textId="100B852A" w:rsidR="00A66703" w:rsidRPr="001D41EA" w:rsidRDefault="00A66703" w:rsidP="001D41EA">
            <w:pPr>
              <w:spacing w:before="40" w:after="20"/>
              <w:jc w:val="right"/>
              <w:rPr>
                <w:rFonts w:cs="Arial"/>
                <w:sz w:val="18"/>
                <w:szCs w:val="18"/>
              </w:rPr>
            </w:pPr>
            <w:r w:rsidRPr="001D41EA">
              <w:rPr>
                <w:rFonts w:cs="Arial"/>
                <w:sz w:val="18"/>
                <w:szCs w:val="18"/>
              </w:rPr>
              <w:t>-3,128</w:t>
            </w:r>
          </w:p>
        </w:tc>
      </w:tr>
      <w:tr w:rsidR="00A66703" w:rsidRPr="001D41EA" w14:paraId="434C81AA"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1668A6ED" w14:textId="77777777" w:rsidR="00A66703" w:rsidRPr="001D41EA" w:rsidRDefault="00A66703" w:rsidP="001D41EA">
            <w:pPr>
              <w:spacing w:before="40" w:after="20"/>
              <w:rPr>
                <w:rFonts w:cs="Arial"/>
                <w:sz w:val="18"/>
                <w:szCs w:val="18"/>
              </w:rPr>
            </w:pPr>
            <w:r w:rsidRPr="001D41EA">
              <w:rPr>
                <w:rFonts w:cs="Arial"/>
                <w:sz w:val="18"/>
                <w:szCs w:val="18"/>
              </w:rPr>
              <w:t xml:space="preserve">Yarra Ranges S </w:t>
            </w:r>
          </w:p>
        </w:tc>
        <w:tc>
          <w:tcPr>
            <w:tcW w:w="1134" w:type="dxa"/>
            <w:tcBorders>
              <w:top w:val="nil"/>
              <w:left w:val="single" w:sz="18" w:space="0" w:color="5F497A" w:themeColor="accent4" w:themeShade="BF"/>
              <w:bottom w:val="nil"/>
              <w:right w:val="nil"/>
            </w:tcBorders>
            <w:shd w:val="clear" w:color="auto" w:fill="auto"/>
            <w:vAlign w:val="bottom"/>
          </w:tcPr>
          <w:p w14:paraId="47D87F47" w14:textId="250053A2" w:rsidR="00A66703" w:rsidRPr="001D41EA" w:rsidRDefault="00A66703" w:rsidP="001D41EA">
            <w:pPr>
              <w:spacing w:before="40" w:after="20"/>
              <w:jc w:val="right"/>
              <w:rPr>
                <w:rFonts w:cs="Arial"/>
                <w:sz w:val="18"/>
                <w:szCs w:val="18"/>
              </w:rPr>
            </w:pPr>
            <w:r w:rsidRPr="001D41EA">
              <w:rPr>
                <w:rFonts w:cs="Arial"/>
                <w:sz w:val="18"/>
                <w:szCs w:val="18"/>
              </w:rPr>
              <w:t>10,817,407</w:t>
            </w:r>
          </w:p>
        </w:tc>
        <w:tc>
          <w:tcPr>
            <w:tcW w:w="1134" w:type="dxa"/>
            <w:tcBorders>
              <w:top w:val="nil"/>
              <w:left w:val="nil"/>
              <w:bottom w:val="nil"/>
              <w:right w:val="nil"/>
            </w:tcBorders>
            <w:shd w:val="clear" w:color="auto" w:fill="auto"/>
            <w:vAlign w:val="bottom"/>
          </w:tcPr>
          <w:p w14:paraId="5797B4F0" w14:textId="18952A3F" w:rsidR="00A66703" w:rsidRPr="001D41EA" w:rsidRDefault="00A66703" w:rsidP="001D41EA">
            <w:pPr>
              <w:spacing w:before="40" w:after="20"/>
              <w:jc w:val="right"/>
              <w:rPr>
                <w:rFonts w:cs="Arial"/>
                <w:sz w:val="18"/>
                <w:szCs w:val="18"/>
              </w:rPr>
            </w:pPr>
            <w:r w:rsidRPr="001D41EA">
              <w:rPr>
                <w:rFonts w:cs="Arial"/>
                <w:sz w:val="18"/>
                <w:szCs w:val="18"/>
              </w:rPr>
              <w:t>10,699,498</w:t>
            </w:r>
          </w:p>
        </w:tc>
        <w:tc>
          <w:tcPr>
            <w:tcW w:w="1134" w:type="dxa"/>
            <w:tcBorders>
              <w:top w:val="nil"/>
              <w:left w:val="nil"/>
              <w:bottom w:val="nil"/>
              <w:right w:val="nil"/>
            </w:tcBorders>
            <w:shd w:val="clear" w:color="auto" w:fill="auto"/>
            <w:vAlign w:val="bottom"/>
          </w:tcPr>
          <w:p w14:paraId="72053579" w14:textId="2D8275CD" w:rsidR="00A66703" w:rsidRPr="001D41EA" w:rsidRDefault="00A66703" w:rsidP="001D41EA">
            <w:pPr>
              <w:spacing w:before="40" w:after="20"/>
              <w:jc w:val="right"/>
              <w:rPr>
                <w:rFonts w:cs="Arial"/>
                <w:sz w:val="18"/>
                <w:szCs w:val="18"/>
              </w:rPr>
            </w:pPr>
            <w:r w:rsidRPr="001D41EA">
              <w:rPr>
                <w:rFonts w:cs="Arial"/>
                <w:sz w:val="18"/>
                <w:szCs w:val="18"/>
              </w:rPr>
              <w:t>-117,909</w:t>
            </w:r>
          </w:p>
        </w:tc>
        <w:tc>
          <w:tcPr>
            <w:tcW w:w="170" w:type="dxa"/>
            <w:tcBorders>
              <w:top w:val="nil"/>
              <w:left w:val="nil"/>
              <w:bottom w:val="nil"/>
              <w:right w:val="nil"/>
            </w:tcBorders>
            <w:shd w:val="clear" w:color="auto" w:fill="auto"/>
            <w:vAlign w:val="bottom"/>
          </w:tcPr>
          <w:p w14:paraId="4CE15E70" w14:textId="77777777" w:rsidR="00A66703" w:rsidRPr="001D41EA" w:rsidRDefault="00A66703" w:rsidP="001D41E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CF0D5B6" w14:textId="00EDF4D2" w:rsidR="00A66703" w:rsidRPr="001D41EA" w:rsidRDefault="00A66703" w:rsidP="001D41EA">
            <w:pPr>
              <w:spacing w:before="40" w:after="20"/>
              <w:jc w:val="right"/>
              <w:rPr>
                <w:rFonts w:cs="Arial"/>
                <w:sz w:val="18"/>
                <w:szCs w:val="18"/>
              </w:rPr>
            </w:pPr>
            <w:r w:rsidRPr="001D41EA">
              <w:rPr>
                <w:rFonts w:cs="Arial"/>
                <w:sz w:val="18"/>
                <w:szCs w:val="18"/>
              </w:rPr>
              <w:t>3,286,301</w:t>
            </w:r>
          </w:p>
        </w:tc>
        <w:tc>
          <w:tcPr>
            <w:tcW w:w="1134" w:type="dxa"/>
            <w:tcBorders>
              <w:top w:val="nil"/>
              <w:left w:val="nil"/>
              <w:bottom w:val="nil"/>
              <w:right w:val="nil"/>
            </w:tcBorders>
            <w:shd w:val="clear" w:color="auto" w:fill="auto"/>
            <w:vAlign w:val="bottom"/>
          </w:tcPr>
          <w:p w14:paraId="3E439DF4" w14:textId="43D5CA5F" w:rsidR="00A66703" w:rsidRPr="001D41EA" w:rsidRDefault="00A66703" w:rsidP="001D41EA">
            <w:pPr>
              <w:spacing w:before="40" w:after="20"/>
              <w:jc w:val="right"/>
              <w:rPr>
                <w:rFonts w:cs="Arial"/>
                <w:sz w:val="18"/>
                <w:szCs w:val="18"/>
              </w:rPr>
            </w:pPr>
            <w:r w:rsidRPr="001D41EA">
              <w:rPr>
                <w:rFonts w:cs="Arial"/>
                <w:sz w:val="18"/>
                <w:szCs w:val="18"/>
              </w:rPr>
              <w:t>3,260,395</w:t>
            </w:r>
          </w:p>
        </w:tc>
        <w:tc>
          <w:tcPr>
            <w:tcW w:w="1134" w:type="dxa"/>
            <w:tcBorders>
              <w:top w:val="nil"/>
              <w:left w:val="nil"/>
              <w:bottom w:val="nil"/>
              <w:right w:val="nil"/>
            </w:tcBorders>
            <w:shd w:val="clear" w:color="auto" w:fill="auto"/>
            <w:vAlign w:val="bottom"/>
          </w:tcPr>
          <w:p w14:paraId="430F76C7" w14:textId="7BC16D2F" w:rsidR="00A66703" w:rsidRPr="001D41EA" w:rsidRDefault="00A66703" w:rsidP="001D41EA">
            <w:pPr>
              <w:spacing w:before="40" w:after="20"/>
              <w:jc w:val="right"/>
              <w:rPr>
                <w:rFonts w:cs="Arial"/>
                <w:sz w:val="18"/>
                <w:szCs w:val="18"/>
              </w:rPr>
            </w:pPr>
            <w:r w:rsidRPr="001D41EA">
              <w:rPr>
                <w:rFonts w:cs="Arial"/>
                <w:sz w:val="18"/>
                <w:szCs w:val="18"/>
              </w:rPr>
              <w:t>-25,906</w:t>
            </w:r>
          </w:p>
        </w:tc>
      </w:tr>
      <w:tr w:rsidR="00A66703" w:rsidRPr="001D41EA" w14:paraId="4249FE42" w14:textId="77777777" w:rsidTr="00C60457">
        <w:trPr>
          <w:trHeight w:val="20"/>
        </w:trPr>
        <w:tc>
          <w:tcPr>
            <w:tcW w:w="2268" w:type="dxa"/>
            <w:tcBorders>
              <w:top w:val="nil"/>
              <w:left w:val="nil"/>
              <w:bottom w:val="nil"/>
              <w:right w:val="single" w:sz="18" w:space="0" w:color="5F497A" w:themeColor="accent4" w:themeShade="BF"/>
            </w:tcBorders>
            <w:shd w:val="clear" w:color="auto" w:fill="auto"/>
            <w:vAlign w:val="center"/>
          </w:tcPr>
          <w:p w14:paraId="69173AA3" w14:textId="77777777" w:rsidR="00A66703" w:rsidRPr="001D41EA" w:rsidRDefault="00A66703" w:rsidP="001D41EA">
            <w:pPr>
              <w:spacing w:before="40" w:after="20"/>
              <w:rPr>
                <w:rFonts w:cs="Arial"/>
                <w:sz w:val="18"/>
                <w:szCs w:val="18"/>
              </w:rPr>
            </w:pPr>
            <w:r w:rsidRPr="001D41EA">
              <w:rPr>
                <w:rFonts w:cs="Arial"/>
                <w:sz w:val="18"/>
                <w:szCs w:val="18"/>
              </w:rPr>
              <w:t xml:space="preserve">Yarriambiack S </w:t>
            </w:r>
          </w:p>
        </w:tc>
        <w:tc>
          <w:tcPr>
            <w:tcW w:w="1134" w:type="dxa"/>
            <w:tcBorders>
              <w:top w:val="nil"/>
              <w:left w:val="single" w:sz="18" w:space="0" w:color="5F497A" w:themeColor="accent4" w:themeShade="BF"/>
              <w:right w:val="nil"/>
            </w:tcBorders>
            <w:shd w:val="clear" w:color="auto" w:fill="auto"/>
            <w:vAlign w:val="bottom"/>
          </w:tcPr>
          <w:p w14:paraId="3B315DED" w14:textId="4686A51A" w:rsidR="00A66703" w:rsidRPr="001D41EA" w:rsidRDefault="00A66703" w:rsidP="001D41EA">
            <w:pPr>
              <w:spacing w:before="40" w:after="20"/>
              <w:jc w:val="right"/>
              <w:rPr>
                <w:rFonts w:cs="Arial"/>
                <w:sz w:val="18"/>
                <w:szCs w:val="18"/>
              </w:rPr>
            </w:pPr>
            <w:r w:rsidRPr="001D41EA">
              <w:rPr>
                <w:rFonts w:cs="Arial"/>
                <w:sz w:val="18"/>
                <w:szCs w:val="18"/>
              </w:rPr>
              <w:t>3,301,351</w:t>
            </w:r>
          </w:p>
        </w:tc>
        <w:tc>
          <w:tcPr>
            <w:tcW w:w="1134" w:type="dxa"/>
            <w:tcBorders>
              <w:top w:val="nil"/>
              <w:left w:val="nil"/>
              <w:right w:val="nil"/>
            </w:tcBorders>
            <w:shd w:val="clear" w:color="auto" w:fill="auto"/>
            <w:vAlign w:val="bottom"/>
          </w:tcPr>
          <w:p w14:paraId="6FED1759" w14:textId="3678A831" w:rsidR="00A66703" w:rsidRPr="001D41EA" w:rsidRDefault="00A66703" w:rsidP="001D41EA">
            <w:pPr>
              <w:spacing w:before="40" w:after="20"/>
              <w:jc w:val="right"/>
              <w:rPr>
                <w:rFonts w:cs="Arial"/>
                <w:sz w:val="18"/>
                <w:szCs w:val="18"/>
              </w:rPr>
            </w:pPr>
            <w:r w:rsidRPr="001D41EA">
              <w:rPr>
                <w:rFonts w:cs="Arial"/>
                <w:sz w:val="18"/>
                <w:szCs w:val="18"/>
              </w:rPr>
              <w:t>3,265,366</w:t>
            </w:r>
          </w:p>
        </w:tc>
        <w:tc>
          <w:tcPr>
            <w:tcW w:w="1134" w:type="dxa"/>
            <w:tcBorders>
              <w:top w:val="nil"/>
              <w:left w:val="nil"/>
              <w:right w:val="nil"/>
            </w:tcBorders>
            <w:shd w:val="clear" w:color="auto" w:fill="auto"/>
            <w:vAlign w:val="bottom"/>
          </w:tcPr>
          <w:p w14:paraId="75A5B1C2" w14:textId="4DD94028" w:rsidR="00A66703" w:rsidRPr="001D41EA" w:rsidRDefault="00A66703" w:rsidP="001D41EA">
            <w:pPr>
              <w:spacing w:before="40" w:after="20"/>
              <w:jc w:val="right"/>
              <w:rPr>
                <w:rFonts w:cs="Arial"/>
                <w:sz w:val="18"/>
                <w:szCs w:val="18"/>
              </w:rPr>
            </w:pPr>
            <w:r w:rsidRPr="001D41EA">
              <w:rPr>
                <w:rFonts w:cs="Arial"/>
                <w:sz w:val="18"/>
                <w:szCs w:val="18"/>
              </w:rPr>
              <w:t>-35,985</w:t>
            </w:r>
          </w:p>
        </w:tc>
        <w:tc>
          <w:tcPr>
            <w:tcW w:w="170" w:type="dxa"/>
            <w:tcBorders>
              <w:top w:val="nil"/>
              <w:left w:val="nil"/>
              <w:right w:val="nil"/>
            </w:tcBorders>
            <w:shd w:val="clear" w:color="auto" w:fill="auto"/>
            <w:vAlign w:val="bottom"/>
          </w:tcPr>
          <w:p w14:paraId="70A14633" w14:textId="77777777" w:rsidR="00A66703" w:rsidRPr="001D41EA" w:rsidRDefault="00A66703" w:rsidP="001D41EA">
            <w:pPr>
              <w:spacing w:before="40" w:after="20"/>
              <w:jc w:val="right"/>
              <w:rPr>
                <w:rFonts w:cs="Arial"/>
                <w:sz w:val="18"/>
                <w:szCs w:val="18"/>
              </w:rPr>
            </w:pPr>
          </w:p>
        </w:tc>
        <w:tc>
          <w:tcPr>
            <w:tcW w:w="1134" w:type="dxa"/>
            <w:tcBorders>
              <w:top w:val="nil"/>
              <w:left w:val="nil"/>
              <w:right w:val="nil"/>
            </w:tcBorders>
            <w:shd w:val="clear" w:color="auto" w:fill="auto"/>
            <w:vAlign w:val="bottom"/>
          </w:tcPr>
          <w:p w14:paraId="760F13ED" w14:textId="227F2F00" w:rsidR="00A66703" w:rsidRPr="001D41EA" w:rsidRDefault="00A66703" w:rsidP="001D41EA">
            <w:pPr>
              <w:spacing w:before="40" w:after="20"/>
              <w:jc w:val="right"/>
              <w:rPr>
                <w:rFonts w:cs="Arial"/>
                <w:sz w:val="18"/>
                <w:szCs w:val="18"/>
              </w:rPr>
            </w:pPr>
            <w:r w:rsidRPr="001D41EA">
              <w:rPr>
                <w:rFonts w:cs="Arial"/>
                <w:sz w:val="18"/>
                <w:szCs w:val="18"/>
              </w:rPr>
              <w:t>2,025,598</w:t>
            </w:r>
          </w:p>
        </w:tc>
        <w:tc>
          <w:tcPr>
            <w:tcW w:w="1134" w:type="dxa"/>
            <w:tcBorders>
              <w:top w:val="nil"/>
              <w:left w:val="nil"/>
              <w:right w:val="nil"/>
            </w:tcBorders>
            <w:shd w:val="clear" w:color="auto" w:fill="auto"/>
            <w:vAlign w:val="bottom"/>
          </w:tcPr>
          <w:p w14:paraId="3B7C5F9D" w14:textId="043ADF22" w:rsidR="00A66703" w:rsidRPr="001D41EA" w:rsidRDefault="00A66703" w:rsidP="001D41EA">
            <w:pPr>
              <w:spacing w:before="40" w:after="20"/>
              <w:jc w:val="right"/>
              <w:rPr>
                <w:rFonts w:cs="Arial"/>
                <w:sz w:val="18"/>
                <w:szCs w:val="18"/>
              </w:rPr>
            </w:pPr>
            <w:r w:rsidRPr="001D41EA">
              <w:rPr>
                <w:rFonts w:cs="Arial"/>
                <w:sz w:val="18"/>
                <w:szCs w:val="18"/>
              </w:rPr>
              <w:t>2,009,630</w:t>
            </w:r>
          </w:p>
        </w:tc>
        <w:tc>
          <w:tcPr>
            <w:tcW w:w="1134" w:type="dxa"/>
            <w:tcBorders>
              <w:top w:val="nil"/>
              <w:left w:val="nil"/>
              <w:right w:val="nil"/>
            </w:tcBorders>
            <w:shd w:val="clear" w:color="auto" w:fill="auto"/>
            <w:vAlign w:val="bottom"/>
          </w:tcPr>
          <w:p w14:paraId="2D6CCEE5" w14:textId="618EBD71" w:rsidR="00A66703" w:rsidRPr="001D41EA" w:rsidRDefault="00A66703" w:rsidP="001D41EA">
            <w:pPr>
              <w:spacing w:before="40" w:after="20"/>
              <w:jc w:val="right"/>
              <w:rPr>
                <w:rFonts w:cs="Arial"/>
                <w:sz w:val="18"/>
                <w:szCs w:val="18"/>
              </w:rPr>
            </w:pPr>
            <w:r w:rsidRPr="001D41EA">
              <w:rPr>
                <w:rFonts w:cs="Arial"/>
                <w:sz w:val="18"/>
                <w:szCs w:val="18"/>
              </w:rPr>
              <w:t>-15,968</w:t>
            </w:r>
          </w:p>
        </w:tc>
      </w:tr>
      <w:tr w:rsidR="00A66703" w:rsidRPr="001D41EA" w14:paraId="25D4A370" w14:textId="77777777" w:rsidTr="00C60457">
        <w:trPr>
          <w:trHeight w:val="20"/>
        </w:trPr>
        <w:tc>
          <w:tcPr>
            <w:tcW w:w="2268" w:type="dxa"/>
            <w:tcBorders>
              <w:top w:val="nil"/>
              <w:left w:val="nil"/>
              <w:right w:val="single" w:sz="18" w:space="0" w:color="5F497A" w:themeColor="accent4" w:themeShade="BF"/>
            </w:tcBorders>
            <w:shd w:val="clear" w:color="auto" w:fill="auto"/>
            <w:vAlign w:val="center"/>
          </w:tcPr>
          <w:p w14:paraId="2BAC065D" w14:textId="77777777" w:rsidR="00A66703" w:rsidRPr="001D41EA" w:rsidRDefault="00A66703" w:rsidP="001D41EA">
            <w:pPr>
              <w:spacing w:before="40" w:after="20"/>
              <w:rPr>
                <w:rFonts w:cs="Arial"/>
                <w:sz w:val="18"/>
                <w:szCs w:val="18"/>
              </w:rPr>
            </w:pPr>
          </w:p>
        </w:tc>
        <w:tc>
          <w:tcPr>
            <w:tcW w:w="1134"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017CF634" w14:textId="3C068AB1" w:rsidR="00A66703" w:rsidRPr="001D41EA" w:rsidRDefault="00A66703" w:rsidP="001D41EA">
            <w:pPr>
              <w:spacing w:before="40" w:after="20"/>
              <w:jc w:val="right"/>
              <w:rPr>
                <w:rFonts w:cs="Arial"/>
                <w:sz w:val="18"/>
                <w:szCs w:val="18"/>
              </w:rPr>
            </w:pPr>
            <w:r w:rsidRPr="001D41EA">
              <w:rPr>
                <w:rFonts w:cs="Arial"/>
                <w:sz w:val="18"/>
                <w:szCs w:val="18"/>
              </w:rPr>
              <w:t> </w:t>
            </w:r>
          </w:p>
        </w:tc>
        <w:tc>
          <w:tcPr>
            <w:tcW w:w="1134" w:type="dxa"/>
            <w:tcBorders>
              <w:top w:val="nil"/>
              <w:left w:val="nil"/>
              <w:bottom w:val="single" w:sz="8" w:space="0" w:color="5F497A" w:themeColor="accent4" w:themeShade="BF"/>
              <w:right w:val="nil"/>
            </w:tcBorders>
            <w:shd w:val="clear" w:color="auto" w:fill="auto"/>
            <w:vAlign w:val="bottom"/>
          </w:tcPr>
          <w:p w14:paraId="31FDE941" w14:textId="77777777" w:rsidR="00A66703" w:rsidRPr="001D41EA" w:rsidRDefault="00A66703" w:rsidP="001D41EA">
            <w:pPr>
              <w:spacing w:before="40" w:after="20"/>
              <w:jc w:val="right"/>
              <w:rPr>
                <w:rFonts w:cs="Arial"/>
                <w:sz w:val="18"/>
                <w:szCs w:val="18"/>
              </w:rPr>
            </w:pPr>
          </w:p>
        </w:tc>
        <w:tc>
          <w:tcPr>
            <w:tcW w:w="1134" w:type="dxa"/>
            <w:tcBorders>
              <w:top w:val="nil"/>
              <w:left w:val="nil"/>
              <w:bottom w:val="single" w:sz="8" w:space="0" w:color="5F497A" w:themeColor="accent4" w:themeShade="BF"/>
              <w:right w:val="nil"/>
            </w:tcBorders>
            <w:shd w:val="clear" w:color="auto" w:fill="auto"/>
            <w:vAlign w:val="bottom"/>
          </w:tcPr>
          <w:p w14:paraId="74EA3D93" w14:textId="71F70AF4" w:rsidR="00A66703" w:rsidRPr="001D41EA" w:rsidRDefault="00A66703" w:rsidP="001D41EA">
            <w:pPr>
              <w:spacing w:before="40" w:after="20"/>
              <w:jc w:val="right"/>
              <w:rPr>
                <w:rFonts w:cs="Arial"/>
                <w:sz w:val="18"/>
                <w:szCs w:val="18"/>
              </w:rPr>
            </w:pPr>
          </w:p>
        </w:tc>
        <w:tc>
          <w:tcPr>
            <w:tcW w:w="170" w:type="dxa"/>
            <w:tcBorders>
              <w:top w:val="nil"/>
              <w:left w:val="nil"/>
              <w:bottom w:val="single" w:sz="8" w:space="0" w:color="5F497A" w:themeColor="accent4" w:themeShade="BF"/>
              <w:right w:val="nil"/>
            </w:tcBorders>
            <w:shd w:val="clear" w:color="auto" w:fill="auto"/>
            <w:vAlign w:val="bottom"/>
          </w:tcPr>
          <w:p w14:paraId="5949295F" w14:textId="77777777" w:rsidR="00A66703" w:rsidRPr="001D41EA" w:rsidRDefault="00A66703" w:rsidP="001D41EA">
            <w:pPr>
              <w:spacing w:before="40" w:after="20"/>
              <w:jc w:val="right"/>
              <w:rPr>
                <w:rFonts w:cs="Arial"/>
                <w:sz w:val="18"/>
                <w:szCs w:val="18"/>
              </w:rPr>
            </w:pPr>
          </w:p>
        </w:tc>
        <w:tc>
          <w:tcPr>
            <w:tcW w:w="1134" w:type="dxa"/>
            <w:tcBorders>
              <w:top w:val="nil"/>
              <w:left w:val="nil"/>
              <w:bottom w:val="single" w:sz="8" w:space="0" w:color="5F497A" w:themeColor="accent4" w:themeShade="BF"/>
              <w:right w:val="nil"/>
            </w:tcBorders>
            <w:shd w:val="clear" w:color="auto" w:fill="auto"/>
            <w:vAlign w:val="bottom"/>
          </w:tcPr>
          <w:p w14:paraId="66C51892" w14:textId="62037EB1" w:rsidR="00A66703" w:rsidRPr="001D41EA" w:rsidRDefault="00A66703" w:rsidP="001D41EA">
            <w:pPr>
              <w:spacing w:before="40" w:after="20"/>
              <w:jc w:val="right"/>
              <w:rPr>
                <w:rFonts w:cs="Arial"/>
                <w:sz w:val="18"/>
                <w:szCs w:val="18"/>
              </w:rPr>
            </w:pPr>
            <w:r w:rsidRPr="001D41EA">
              <w:rPr>
                <w:rFonts w:cs="Arial"/>
                <w:sz w:val="18"/>
                <w:szCs w:val="18"/>
              </w:rPr>
              <w:t> </w:t>
            </w:r>
          </w:p>
        </w:tc>
        <w:tc>
          <w:tcPr>
            <w:tcW w:w="1134" w:type="dxa"/>
            <w:tcBorders>
              <w:top w:val="nil"/>
              <w:left w:val="nil"/>
              <w:bottom w:val="single" w:sz="8" w:space="0" w:color="5F497A" w:themeColor="accent4" w:themeShade="BF"/>
              <w:right w:val="nil"/>
            </w:tcBorders>
            <w:shd w:val="clear" w:color="auto" w:fill="auto"/>
            <w:vAlign w:val="bottom"/>
          </w:tcPr>
          <w:p w14:paraId="324C8AEE" w14:textId="77777777" w:rsidR="00A66703" w:rsidRPr="001D41EA" w:rsidRDefault="00A66703" w:rsidP="001D41EA">
            <w:pPr>
              <w:spacing w:before="40" w:after="20"/>
              <w:jc w:val="right"/>
              <w:rPr>
                <w:rFonts w:cs="Arial"/>
                <w:sz w:val="18"/>
                <w:szCs w:val="18"/>
              </w:rPr>
            </w:pPr>
          </w:p>
        </w:tc>
        <w:tc>
          <w:tcPr>
            <w:tcW w:w="1134" w:type="dxa"/>
            <w:tcBorders>
              <w:top w:val="nil"/>
              <w:left w:val="nil"/>
              <w:bottom w:val="single" w:sz="8" w:space="0" w:color="5F497A" w:themeColor="accent4" w:themeShade="BF"/>
              <w:right w:val="nil"/>
            </w:tcBorders>
            <w:shd w:val="clear" w:color="auto" w:fill="auto"/>
            <w:vAlign w:val="bottom"/>
          </w:tcPr>
          <w:p w14:paraId="3D7AA9E6" w14:textId="3B2036B3" w:rsidR="00A66703" w:rsidRPr="001D41EA" w:rsidRDefault="00A66703" w:rsidP="001D41EA">
            <w:pPr>
              <w:spacing w:before="40" w:after="20"/>
              <w:jc w:val="right"/>
              <w:rPr>
                <w:rFonts w:cs="Arial"/>
                <w:sz w:val="18"/>
                <w:szCs w:val="18"/>
              </w:rPr>
            </w:pPr>
            <w:r w:rsidRPr="001D41EA">
              <w:rPr>
                <w:rFonts w:cs="Arial"/>
                <w:sz w:val="18"/>
                <w:szCs w:val="18"/>
              </w:rPr>
              <w:t> </w:t>
            </w:r>
          </w:p>
        </w:tc>
      </w:tr>
      <w:tr w:rsidR="00A66703" w:rsidRPr="001D41EA" w14:paraId="60964425" w14:textId="77777777" w:rsidTr="00C60457">
        <w:trPr>
          <w:trHeight w:val="20"/>
        </w:trPr>
        <w:tc>
          <w:tcPr>
            <w:tcW w:w="2268" w:type="dxa"/>
            <w:tcBorders>
              <w:top w:val="nil"/>
              <w:left w:val="nil"/>
              <w:right w:val="single" w:sz="18" w:space="0" w:color="5F497A" w:themeColor="accent4" w:themeShade="BF"/>
            </w:tcBorders>
            <w:shd w:val="clear" w:color="auto" w:fill="auto"/>
            <w:vAlign w:val="center"/>
          </w:tcPr>
          <w:p w14:paraId="698ED315" w14:textId="77777777" w:rsidR="00A66703" w:rsidRPr="001D41EA" w:rsidRDefault="00A66703" w:rsidP="001D41EA">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right w:val="nil"/>
            </w:tcBorders>
            <w:shd w:val="clear" w:color="auto" w:fill="auto"/>
            <w:vAlign w:val="bottom"/>
          </w:tcPr>
          <w:p w14:paraId="2744ACD7" w14:textId="5DDF482B" w:rsidR="00A66703" w:rsidRPr="001D41EA" w:rsidRDefault="00A66703" w:rsidP="001D41EA">
            <w:pPr>
              <w:spacing w:before="40" w:after="20"/>
              <w:jc w:val="right"/>
              <w:rPr>
                <w:rFonts w:cs="Arial"/>
                <w:b/>
                <w:sz w:val="18"/>
                <w:szCs w:val="18"/>
              </w:rPr>
            </w:pPr>
            <w:r w:rsidRPr="001D41EA">
              <w:rPr>
                <w:rFonts w:cs="Arial"/>
                <w:b/>
                <w:sz w:val="18"/>
                <w:szCs w:val="18"/>
              </w:rPr>
              <w:t>438,977,661</w:t>
            </w:r>
          </w:p>
        </w:tc>
        <w:tc>
          <w:tcPr>
            <w:tcW w:w="1134" w:type="dxa"/>
            <w:tcBorders>
              <w:top w:val="single" w:sz="8" w:space="0" w:color="5F497A" w:themeColor="accent4" w:themeShade="BF"/>
              <w:left w:val="nil"/>
              <w:right w:val="nil"/>
            </w:tcBorders>
            <w:shd w:val="clear" w:color="auto" w:fill="auto"/>
            <w:vAlign w:val="bottom"/>
          </w:tcPr>
          <w:p w14:paraId="10A77047" w14:textId="59E07CFA" w:rsidR="00A66703" w:rsidRPr="001D41EA" w:rsidRDefault="00A66703" w:rsidP="001D41EA">
            <w:pPr>
              <w:spacing w:before="40" w:after="20"/>
              <w:jc w:val="right"/>
              <w:rPr>
                <w:rFonts w:cs="Arial"/>
                <w:b/>
                <w:sz w:val="18"/>
                <w:szCs w:val="18"/>
              </w:rPr>
            </w:pPr>
            <w:r w:rsidRPr="001D41EA">
              <w:rPr>
                <w:rFonts w:cs="Arial"/>
                <w:b/>
                <w:sz w:val="18"/>
                <w:szCs w:val="18"/>
              </w:rPr>
              <w:t>434,192,830</w:t>
            </w:r>
          </w:p>
        </w:tc>
        <w:tc>
          <w:tcPr>
            <w:tcW w:w="1134" w:type="dxa"/>
            <w:tcBorders>
              <w:top w:val="single" w:sz="8" w:space="0" w:color="5F497A" w:themeColor="accent4" w:themeShade="BF"/>
              <w:left w:val="nil"/>
              <w:right w:val="nil"/>
            </w:tcBorders>
            <w:shd w:val="clear" w:color="auto" w:fill="auto"/>
            <w:vAlign w:val="bottom"/>
          </w:tcPr>
          <w:p w14:paraId="028B01CE" w14:textId="1427571E" w:rsidR="00A66703" w:rsidRPr="001D41EA" w:rsidRDefault="00A66703" w:rsidP="001D41EA">
            <w:pPr>
              <w:spacing w:before="40" w:after="20"/>
              <w:jc w:val="right"/>
              <w:rPr>
                <w:rFonts w:cs="Arial"/>
                <w:b/>
                <w:sz w:val="18"/>
                <w:szCs w:val="18"/>
              </w:rPr>
            </w:pPr>
            <w:r w:rsidRPr="001D41EA">
              <w:rPr>
                <w:rFonts w:cs="Arial"/>
                <w:b/>
                <w:sz w:val="18"/>
                <w:szCs w:val="18"/>
              </w:rPr>
              <w:t>-4,784,831</w:t>
            </w:r>
          </w:p>
        </w:tc>
        <w:tc>
          <w:tcPr>
            <w:tcW w:w="170" w:type="dxa"/>
            <w:tcBorders>
              <w:top w:val="single" w:sz="8" w:space="0" w:color="5F497A" w:themeColor="accent4" w:themeShade="BF"/>
              <w:left w:val="nil"/>
              <w:right w:val="nil"/>
            </w:tcBorders>
            <w:shd w:val="clear" w:color="auto" w:fill="auto"/>
            <w:vAlign w:val="bottom"/>
          </w:tcPr>
          <w:p w14:paraId="29D0DD2E" w14:textId="4445DAA3" w:rsidR="00A66703" w:rsidRPr="001D41EA" w:rsidRDefault="00A66703" w:rsidP="001D41EA">
            <w:pPr>
              <w:spacing w:before="40" w:after="20"/>
              <w:jc w:val="right"/>
              <w:rPr>
                <w:rFonts w:cs="Arial"/>
                <w:b/>
                <w:sz w:val="18"/>
                <w:szCs w:val="18"/>
              </w:rPr>
            </w:pPr>
            <w:r w:rsidRPr="001D41EA">
              <w:rPr>
                <w:rFonts w:cs="Arial"/>
                <w:b/>
                <w:sz w:val="18"/>
                <w:szCs w:val="18"/>
              </w:rPr>
              <w:t> </w:t>
            </w:r>
          </w:p>
        </w:tc>
        <w:tc>
          <w:tcPr>
            <w:tcW w:w="1134" w:type="dxa"/>
            <w:tcBorders>
              <w:top w:val="single" w:sz="8" w:space="0" w:color="5F497A" w:themeColor="accent4" w:themeShade="BF"/>
              <w:left w:val="nil"/>
              <w:right w:val="nil"/>
            </w:tcBorders>
            <w:shd w:val="clear" w:color="auto" w:fill="auto"/>
            <w:vAlign w:val="bottom"/>
          </w:tcPr>
          <w:p w14:paraId="4CC20108" w14:textId="46E176A8" w:rsidR="00A66703" w:rsidRPr="001D41EA" w:rsidRDefault="00A66703" w:rsidP="001D41EA">
            <w:pPr>
              <w:spacing w:before="40" w:after="20"/>
              <w:jc w:val="right"/>
              <w:rPr>
                <w:rFonts w:cs="Arial"/>
                <w:b/>
                <w:sz w:val="18"/>
                <w:szCs w:val="18"/>
              </w:rPr>
            </w:pPr>
            <w:r w:rsidRPr="001D41EA">
              <w:rPr>
                <w:rFonts w:cs="Arial"/>
                <w:b/>
                <w:sz w:val="18"/>
                <w:szCs w:val="18"/>
              </w:rPr>
              <w:t>155,712,474</w:t>
            </w:r>
          </w:p>
        </w:tc>
        <w:tc>
          <w:tcPr>
            <w:tcW w:w="1134" w:type="dxa"/>
            <w:tcBorders>
              <w:top w:val="single" w:sz="8" w:space="0" w:color="5F497A" w:themeColor="accent4" w:themeShade="BF"/>
              <w:left w:val="nil"/>
              <w:right w:val="nil"/>
            </w:tcBorders>
            <w:shd w:val="clear" w:color="auto" w:fill="auto"/>
            <w:vAlign w:val="bottom"/>
          </w:tcPr>
          <w:p w14:paraId="49AE8026" w14:textId="5291E3E5" w:rsidR="00A66703" w:rsidRPr="001D41EA" w:rsidRDefault="00A66703" w:rsidP="001D41EA">
            <w:pPr>
              <w:spacing w:before="40" w:after="20"/>
              <w:jc w:val="right"/>
              <w:rPr>
                <w:rFonts w:cs="Arial"/>
                <w:b/>
                <w:sz w:val="18"/>
                <w:szCs w:val="18"/>
              </w:rPr>
            </w:pPr>
            <w:r w:rsidRPr="001D41EA">
              <w:rPr>
                <w:rFonts w:cs="Arial"/>
                <w:b/>
                <w:sz w:val="18"/>
                <w:szCs w:val="18"/>
              </w:rPr>
              <w:t>154,485,001</w:t>
            </w:r>
          </w:p>
        </w:tc>
        <w:tc>
          <w:tcPr>
            <w:tcW w:w="1134" w:type="dxa"/>
            <w:tcBorders>
              <w:top w:val="single" w:sz="8" w:space="0" w:color="5F497A" w:themeColor="accent4" w:themeShade="BF"/>
              <w:left w:val="nil"/>
              <w:right w:val="nil"/>
            </w:tcBorders>
            <w:shd w:val="clear" w:color="auto" w:fill="auto"/>
            <w:vAlign w:val="bottom"/>
          </w:tcPr>
          <w:p w14:paraId="46770F64" w14:textId="41E0B25D" w:rsidR="00A66703" w:rsidRPr="001D41EA" w:rsidRDefault="00A66703" w:rsidP="001D41EA">
            <w:pPr>
              <w:spacing w:before="40" w:after="20"/>
              <w:jc w:val="right"/>
              <w:rPr>
                <w:rFonts w:cs="Arial"/>
                <w:b/>
                <w:sz w:val="18"/>
                <w:szCs w:val="18"/>
              </w:rPr>
            </w:pPr>
            <w:r w:rsidRPr="001D41EA">
              <w:rPr>
                <w:rFonts w:cs="Arial"/>
                <w:b/>
                <w:sz w:val="18"/>
                <w:szCs w:val="18"/>
              </w:rPr>
              <w:t>-1,227,473</w:t>
            </w:r>
          </w:p>
        </w:tc>
      </w:tr>
    </w:tbl>
    <w:p w14:paraId="7FC130F4" w14:textId="77777777" w:rsidR="002E062A" w:rsidRPr="00A44829" w:rsidRDefault="002E062A" w:rsidP="00FF36E8">
      <w:pPr>
        <w:spacing w:before="40" w:after="20"/>
        <w:rPr>
          <w:rFonts w:cs="Arial"/>
          <w:sz w:val="18"/>
          <w:szCs w:val="18"/>
        </w:rPr>
      </w:pPr>
      <w:r w:rsidRPr="00A44829">
        <w:rPr>
          <w:rFonts w:cs="Arial"/>
          <w:sz w:val="18"/>
          <w:szCs w:val="18"/>
        </w:rPr>
        <w:br w:type="page"/>
      </w:r>
    </w:p>
    <w:p w14:paraId="318007F6" w14:textId="40D65AEA" w:rsidR="000726CB" w:rsidRPr="00A44829" w:rsidRDefault="00EE4593" w:rsidP="00C33713">
      <w:pPr>
        <w:pStyle w:val="VGC-Head10"/>
      </w:pPr>
      <w:r w:rsidRPr="00A44829">
        <w:lastRenderedPageBreak/>
        <w:t>2018-19</w:t>
      </w:r>
      <w:r w:rsidR="00A97ABE" w:rsidRPr="00A44829">
        <w:t xml:space="preserve"> </w:t>
      </w:r>
      <w:r w:rsidR="000726CB" w:rsidRPr="00A44829">
        <w:t>Final Grant Allocations</w:t>
      </w:r>
      <w:r w:rsidR="00CE4507" w:rsidRPr="00A44829">
        <w:tab/>
        <w:t>Appendix 1</w:t>
      </w:r>
    </w:p>
    <w:p w14:paraId="17BE4402" w14:textId="77777777" w:rsidR="000726CB" w:rsidRPr="00A44829" w:rsidRDefault="004F1184" w:rsidP="008C1A28">
      <w:pPr>
        <w:pStyle w:val="VGC-Head2"/>
      </w:pPr>
      <w:r w:rsidRPr="00A44829">
        <w:tab/>
      </w:r>
    </w:p>
    <w:p w14:paraId="7943B9D2" w14:textId="77777777" w:rsidR="00BE3B95" w:rsidRPr="00A44829"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A44829" w14:paraId="0782BFB3" w14:textId="77777777" w:rsidTr="00C60457">
        <w:trPr>
          <w:trHeight w:val="20"/>
          <w:tblHeader/>
        </w:trPr>
        <w:tc>
          <w:tcPr>
            <w:tcW w:w="2268" w:type="dxa"/>
            <w:tcBorders>
              <w:top w:val="nil"/>
              <w:left w:val="nil"/>
              <w:right w:val="single" w:sz="18" w:space="0" w:color="5F497A" w:themeColor="accent4" w:themeShade="BF"/>
            </w:tcBorders>
            <w:shd w:val="clear" w:color="auto" w:fill="auto"/>
            <w:vAlign w:val="bottom"/>
          </w:tcPr>
          <w:p w14:paraId="363C96DD" w14:textId="77777777" w:rsidR="008C0428" w:rsidRPr="00A44829" w:rsidRDefault="008C0428" w:rsidP="008001AD">
            <w:pPr>
              <w:spacing w:before="40" w:after="20"/>
              <w:jc w:val="center"/>
              <w:rPr>
                <w:rFonts w:cs="Arial"/>
                <w:sz w:val="18"/>
                <w:szCs w:val="18"/>
              </w:rPr>
            </w:pPr>
          </w:p>
        </w:tc>
        <w:tc>
          <w:tcPr>
            <w:tcW w:w="4254" w:type="dxa"/>
            <w:gridSpan w:val="3"/>
            <w:tcBorders>
              <w:top w:val="nil"/>
              <w:left w:val="single" w:sz="18" w:space="0" w:color="5F497A" w:themeColor="accent4" w:themeShade="BF"/>
              <w:bottom w:val="single" w:sz="8" w:space="0" w:color="5F497A" w:themeColor="accent4" w:themeShade="BF"/>
              <w:right w:val="nil"/>
            </w:tcBorders>
            <w:shd w:val="clear" w:color="auto" w:fill="auto"/>
            <w:vAlign w:val="bottom"/>
          </w:tcPr>
          <w:p w14:paraId="4D747393" w14:textId="77777777" w:rsidR="008C0428" w:rsidRPr="00A44829" w:rsidRDefault="00AD6B35" w:rsidP="008001AD">
            <w:pPr>
              <w:spacing w:before="40" w:after="20"/>
              <w:jc w:val="center"/>
              <w:rPr>
                <w:rFonts w:cs="Arial"/>
                <w:b/>
                <w:sz w:val="18"/>
                <w:szCs w:val="18"/>
              </w:rPr>
            </w:pPr>
            <w:r w:rsidRPr="00A44829">
              <w:rPr>
                <w:rFonts w:cs="Arial"/>
                <w:b/>
                <w:sz w:val="18"/>
                <w:szCs w:val="18"/>
              </w:rPr>
              <w:t>Financial Assistance Grants</w:t>
            </w:r>
          </w:p>
        </w:tc>
      </w:tr>
      <w:tr w:rsidR="000726CB" w:rsidRPr="00A44829" w14:paraId="620B0C1E" w14:textId="77777777" w:rsidTr="00C60457">
        <w:trPr>
          <w:trHeight w:val="20"/>
          <w:tblHeader/>
        </w:trPr>
        <w:tc>
          <w:tcPr>
            <w:tcW w:w="2268" w:type="dxa"/>
            <w:tcBorders>
              <w:top w:val="nil"/>
              <w:left w:val="nil"/>
              <w:right w:val="single" w:sz="18" w:space="0" w:color="5F497A" w:themeColor="accent4" w:themeShade="BF"/>
            </w:tcBorders>
            <w:shd w:val="clear" w:color="auto" w:fill="auto"/>
            <w:vAlign w:val="bottom"/>
          </w:tcPr>
          <w:p w14:paraId="3E00DBB7" w14:textId="77777777" w:rsidR="000726CB" w:rsidRPr="00A44829" w:rsidRDefault="000726CB" w:rsidP="008001AD">
            <w:pPr>
              <w:spacing w:before="40" w:after="20"/>
              <w:jc w:val="center"/>
              <w:rPr>
                <w:rFonts w:cs="Arial"/>
                <w:sz w:val="18"/>
                <w:szCs w:val="18"/>
              </w:rPr>
            </w:pPr>
          </w:p>
        </w:tc>
        <w:tc>
          <w:tcPr>
            <w:tcW w:w="1418"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41F9E355" w14:textId="77777777" w:rsidR="000726CB" w:rsidRPr="00A44829" w:rsidRDefault="000726CB" w:rsidP="008001AD">
            <w:pPr>
              <w:spacing w:before="40" w:after="20"/>
              <w:jc w:val="center"/>
              <w:rPr>
                <w:rFonts w:cs="Arial"/>
                <w:sz w:val="16"/>
                <w:szCs w:val="16"/>
              </w:rPr>
            </w:pPr>
            <w:r w:rsidRPr="00A44829">
              <w:rPr>
                <w:rFonts w:cs="Arial"/>
                <w:sz w:val="16"/>
                <w:szCs w:val="16"/>
              </w:rPr>
              <w:t xml:space="preserve">Initial </w:t>
            </w:r>
            <w:r w:rsidRPr="00A44829">
              <w:rPr>
                <w:rFonts w:cs="Arial"/>
                <w:sz w:val="16"/>
                <w:szCs w:val="16"/>
              </w:rPr>
              <w:br/>
              <w:t>($)</w:t>
            </w: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2A930447" w14:textId="77777777" w:rsidR="000726CB" w:rsidRPr="00A44829" w:rsidRDefault="000726CB" w:rsidP="008001AD">
            <w:pPr>
              <w:spacing w:before="40" w:after="20"/>
              <w:jc w:val="center"/>
              <w:rPr>
                <w:rFonts w:cs="Arial"/>
                <w:sz w:val="16"/>
                <w:szCs w:val="16"/>
              </w:rPr>
            </w:pPr>
            <w:r w:rsidRPr="00A44829">
              <w:rPr>
                <w:rFonts w:cs="Arial"/>
                <w:sz w:val="16"/>
                <w:szCs w:val="16"/>
              </w:rPr>
              <w:t xml:space="preserve">Final </w:t>
            </w:r>
            <w:r w:rsidRPr="00A44829">
              <w:rPr>
                <w:rFonts w:cs="Arial"/>
                <w:sz w:val="16"/>
                <w:szCs w:val="16"/>
              </w:rPr>
              <w:br/>
              <w:t>($)</w:t>
            </w: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6517EDCF" w14:textId="77777777" w:rsidR="000726CB" w:rsidRPr="00A44829" w:rsidRDefault="000726CB" w:rsidP="008001AD">
            <w:pPr>
              <w:spacing w:before="40" w:after="20"/>
              <w:jc w:val="center"/>
              <w:rPr>
                <w:rFonts w:cs="Arial"/>
                <w:sz w:val="16"/>
                <w:szCs w:val="16"/>
              </w:rPr>
            </w:pPr>
            <w:r w:rsidRPr="00A44829">
              <w:rPr>
                <w:rFonts w:cs="Arial"/>
                <w:sz w:val="16"/>
                <w:szCs w:val="16"/>
              </w:rPr>
              <w:t xml:space="preserve">Difference </w:t>
            </w:r>
            <w:r w:rsidR="005E44F9" w:rsidRPr="00A44829">
              <w:rPr>
                <w:rFonts w:cs="Arial"/>
                <w:sz w:val="16"/>
                <w:szCs w:val="16"/>
              </w:rPr>
              <w:br/>
            </w:r>
            <w:r w:rsidRPr="00A44829">
              <w:rPr>
                <w:rFonts w:cs="Arial"/>
                <w:sz w:val="16"/>
                <w:szCs w:val="16"/>
              </w:rPr>
              <w:t>($)</w:t>
            </w:r>
          </w:p>
        </w:tc>
      </w:tr>
      <w:tr w:rsidR="00A66703" w:rsidRPr="001D41EA" w14:paraId="1B84F931" w14:textId="77777777" w:rsidTr="00C60457">
        <w:trPr>
          <w:trHeight w:val="20"/>
          <w:tblHeader/>
        </w:trPr>
        <w:tc>
          <w:tcPr>
            <w:tcW w:w="2268" w:type="dxa"/>
            <w:tcBorders>
              <w:left w:val="nil"/>
              <w:bottom w:val="nil"/>
              <w:right w:val="single" w:sz="18" w:space="0" w:color="5F497A" w:themeColor="accent4" w:themeShade="BF"/>
            </w:tcBorders>
            <w:shd w:val="clear" w:color="auto" w:fill="auto"/>
            <w:vAlign w:val="center"/>
          </w:tcPr>
          <w:p w14:paraId="5CDCC6A5" w14:textId="77777777" w:rsidR="00A66703" w:rsidRPr="001D41EA" w:rsidRDefault="00A66703" w:rsidP="001D41EA">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CBD896D" w14:textId="6DC3EAF0" w:rsidR="00A66703" w:rsidRPr="001D41EA" w:rsidRDefault="00A66703" w:rsidP="001D41EA">
            <w:pPr>
              <w:spacing w:before="40" w:after="20"/>
              <w:jc w:val="right"/>
              <w:rPr>
                <w:rFonts w:cs="Arial"/>
                <w:sz w:val="18"/>
                <w:szCs w:val="18"/>
              </w:rPr>
            </w:pPr>
            <w:r w:rsidRPr="001D41EA">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2E4DDA23" w14:textId="77777777" w:rsidR="00A66703" w:rsidRPr="001D41EA" w:rsidRDefault="00A66703" w:rsidP="001D41EA">
            <w:pPr>
              <w:spacing w:before="40" w:after="20"/>
              <w:jc w:val="right"/>
              <w:rPr>
                <w:rFonts w:cs="Arial"/>
                <w:b/>
                <w:sz w:val="18"/>
                <w:szCs w:val="18"/>
              </w:rPr>
            </w:pPr>
          </w:p>
        </w:tc>
        <w:tc>
          <w:tcPr>
            <w:tcW w:w="1418" w:type="dxa"/>
            <w:tcBorders>
              <w:top w:val="single" w:sz="8" w:space="0" w:color="5F497A" w:themeColor="accent4" w:themeShade="BF"/>
              <w:left w:val="nil"/>
              <w:bottom w:val="nil"/>
              <w:right w:val="nil"/>
            </w:tcBorders>
            <w:shd w:val="clear" w:color="auto" w:fill="auto"/>
            <w:vAlign w:val="bottom"/>
          </w:tcPr>
          <w:p w14:paraId="7BB64BC0" w14:textId="1018E1A4" w:rsidR="00A66703" w:rsidRPr="001D41EA" w:rsidRDefault="00A66703" w:rsidP="001D41EA">
            <w:pPr>
              <w:spacing w:before="40" w:after="20"/>
              <w:jc w:val="right"/>
              <w:rPr>
                <w:rFonts w:cs="Arial"/>
                <w:sz w:val="18"/>
                <w:szCs w:val="18"/>
              </w:rPr>
            </w:pPr>
            <w:r w:rsidRPr="001D41EA">
              <w:rPr>
                <w:rFonts w:cs="Arial"/>
                <w:sz w:val="18"/>
                <w:szCs w:val="18"/>
              </w:rPr>
              <w:t> </w:t>
            </w:r>
          </w:p>
        </w:tc>
      </w:tr>
      <w:tr w:rsidR="00A66703" w:rsidRPr="001D41EA" w14:paraId="7F8A4130"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57588AC4" w14:textId="77777777" w:rsidR="00A66703" w:rsidRPr="001D41EA" w:rsidRDefault="00A66703" w:rsidP="001D41EA">
            <w:pPr>
              <w:spacing w:before="40" w:after="20"/>
              <w:rPr>
                <w:rFonts w:cs="Arial"/>
                <w:sz w:val="18"/>
                <w:szCs w:val="18"/>
              </w:rPr>
            </w:pPr>
            <w:r w:rsidRPr="001D41EA">
              <w:rPr>
                <w:rFonts w:cs="Arial"/>
                <w:sz w:val="18"/>
                <w:szCs w:val="18"/>
              </w:rPr>
              <w:t xml:space="preserve">Macedon Ranges S </w:t>
            </w:r>
          </w:p>
        </w:tc>
        <w:tc>
          <w:tcPr>
            <w:tcW w:w="1418" w:type="dxa"/>
            <w:tcBorders>
              <w:top w:val="nil"/>
              <w:left w:val="single" w:sz="18" w:space="0" w:color="5F497A" w:themeColor="accent4" w:themeShade="BF"/>
              <w:bottom w:val="nil"/>
              <w:right w:val="nil"/>
            </w:tcBorders>
            <w:shd w:val="clear" w:color="auto" w:fill="auto"/>
            <w:vAlign w:val="bottom"/>
          </w:tcPr>
          <w:p w14:paraId="7AD0635B" w14:textId="25950C26" w:rsidR="00A66703" w:rsidRPr="001D41EA" w:rsidRDefault="00A66703" w:rsidP="001D41EA">
            <w:pPr>
              <w:spacing w:before="40" w:after="20"/>
              <w:jc w:val="right"/>
              <w:rPr>
                <w:rFonts w:cs="Arial"/>
                <w:sz w:val="18"/>
                <w:szCs w:val="18"/>
              </w:rPr>
            </w:pPr>
            <w:r w:rsidRPr="001D41EA">
              <w:rPr>
                <w:rFonts w:cs="Arial"/>
                <w:sz w:val="18"/>
                <w:szCs w:val="18"/>
              </w:rPr>
              <w:t>7,574,109</w:t>
            </w:r>
          </w:p>
        </w:tc>
        <w:tc>
          <w:tcPr>
            <w:tcW w:w="1418" w:type="dxa"/>
            <w:tcBorders>
              <w:top w:val="nil"/>
              <w:left w:val="nil"/>
              <w:bottom w:val="nil"/>
              <w:right w:val="nil"/>
            </w:tcBorders>
            <w:shd w:val="clear" w:color="auto" w:fill="auto"/>
            <w:vAlign w:val="bottom"/>
          </w:tcPr>
          <w:p w14:paraId="27809851" w14:textId="61FFD0CA" w:rsidR="00A66703" w:rsidRPr="001D41EA" w:rsidRDefault="00A66703" w:rsidP="001D41EA">
            <w:pPr>
              <w:spacing w:before="40" w:after="20"/>
              <w:jc w:val="right"/>
              <w:rPr>
                <w:rFonts w:cs="Arial"/>
                <w:b/>
                <w:sz w:val="18"/>
                <w:szCs w:val="18"/>
              </w:rPr>
            </w:pPr>
            <w:r w:rsidRPr="001D41EA">
              <w:rPr>
                <w:rFonts w:cs="Arial"/>
                <w:b/>
                <w:sz w:val="18"/>
                <w:szCs w:val="18"/>
              </w:rPr>
              <w:t>7,498,209</w:t>
            </w:r>
          </w:p>
        </w:tc>
        <w:tc>
          <w:tcPr>
            <w:tcW w:w="1418" w:type="dxa"/>
            <w:tcBorders>
              <w:top w:val="nil"/>
              <w:left w:val="nil"/>
              <w:bottom w:val="nil"/>
              <w:right w:val="nil"/>
            </w:tcBorders>
            <w:shd w:val="clear" w:color="auto" w:fill="auto"/>
            <w:vAlign w:val="bottom"/>
          </w:tcPr>
          <w:p w14:paraId="0B601174" w14:textId="2DF9BE0F" w:rsidR="00A66703" w:rsidRPr="001D41EA" w:rsidRDefault="00A66703" w:rsidP="001D41EA">
            <w:pPr>
              <w:spacing w:before="40" w:after="20"/>
              <w:jc w:val="right"/>
              <w:rPr>
                <w:rFonts w:cs="Arial"/>
                <w:sz w:val="18"/>
                <w:szCs w:val="18"/>
              </w:rPr>
            </w:pPr>
            <w:r w:rsidRPr="001D41EA">
              <w:rPr>
                <w:rFonts w:cs="Arial"/>
                <w:sz w:val="18"/>
                <w:szCs w:val="18"/>
              </w:rPr>
              <w:t>-75,900</w:t>
            </w:r>
          </w:p>
        </w:tc>
      </w:tr>
      <w:tr w:rsidR="00A66703" w:rsidRPr="001D41EA" w14:paraId="70A76C25"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75F3DB86" w14:textId="77777777" w:rsidR="00A66703" w:rsidRPr="001D41EA" w:rsidRDefault="00A66703" w:rsidP="001D41EA">
            <w:pPr>
              <w:spacing w:before="40" w:after="20"/>
              <w:rPr>
                <w:rFonts w:cs="Arial"/>
                <w:sz w:val="18"/>
                <w:szCs w:val="18"/>
              </w:rPr>
            </w:pPr>
            <w:r w:rsidRPr="001D41EA">
              <w:rPr>
                <w:rFonts w:cs="Arial"/>
                <w:sz w:val="18"/>
                <w:szCs w:val="18"/>
              </w:rPr>
              <w:t xml:space="preserve">Manningham C </w:t>
            </w:r>
          </w:p>
        </w:tc>
        <w:tc>
          <w:tcPr>
            <w:tcW w:w="1418" w:type="dxa"/>
            <w:tcBorders>
              <w:top w:val="nil"/>
              <w:left w:val="single" w:sz="18" w:space="0" w:color="5F497A" w:themeColor="accent4" w:themeShade="BF"/>
              <w:bottom w:val="nil"/>
              <w:right w:val="nil"/>
            </w:tcBorders>
            <w:shd w:val="clear" w:color="auto" w:fill="auto"/>
            <w:vAlign w:val="bottom"/>
          </w:tcPr>
          <w:p w14:paraId="2739A515" w14:textId="60FD15C5" w:rsidR="00A66703" w:rsidRPr="001D41EA" w:rsidRDefault="00A66703" w:rsidP="001D41EA">
            <w:pPr>
              <w:spacing w:before="40" w:after="20"/>
              <w:jc w:val="right"/>
              <w:rPr>
                <w:rFonts w:cs="Arial"/>
                <w:sz w:val="18"/>
                <w:szCs w:val="18"/>
              </w:rPr>
            </w:pPr>
            <w:r w:rsidRPr="001D41EA">
              <w:rPr>
                <w:rFonts w:cs="Arial"/>
                <w:sz w:val="18"/>
                <w:szCs w:val="18"/>
              </w:rPr>
              <w:t>3,414,437</w:t>
            </w:r>
          </w:p>
        </w:tc>
        <w:tc>
          <w:tcPr>
            <w:tcW w:w="1418" w:type="dxa"/>
            <w:tcBorders>
              <w:top w:val="nil"/>
              <w:left w:val="nil"/>
              <w:bottom w:val="nil"/>
              <w:right w:val="nil"/>
            </w:tcBorders>
            <w:shd w:val="clear" w:color="auto" w:fill="auto"/>
            <w:vAlign w:val="bottom"/>
          </w:tcPr>
          <w:p w14:paraId="697EE4C7" w14:textId="68391BFA" w:rsidR="00A66703" w:rsidRPr="001D41EA" w:rsidRDefault="00A66703" w:rsidP="001D41EA">
            <w:pPr>
              <w:spacing w:before="40" w:after="20"/>
              <w:jc w:val="right"/>
              <w:rPr>
                <w:rFonts w:cs="Arial"/>
                <w:b/>
                <w:sz w:val="18"/>
                <w:szCs w:val="18"/>
              </w:rPr>
            </w:pPr>
            <w:r w:rsidRPr="001D41EA">
              <w:rPr>
                <w:rFonts w:cs="Arial"/>
                <w:b/>
                <w:sz w:val="18"/>
                <w:szCs w:val="18"/>
              </w:rPr>
              <w:t>3,379,698</w:t>
            </w:r>
          </w:p>
        </w:tc>
        <w:tc>
          <w:tcPr>
            <w:tcW w:w="1418" w:type="dxa"/>
            <w:tcBorders>
              <w:top w:val="nil"/>
              <w:left w:val="nil"/>
              <w:bottom w:val="nil"/>
              <w:right w:val="nil"/>
            </w:tcBorders>
            <w:shd w:val="clear" w:color="auto" w:fill="auto"/>
            <w:vAlign w:val="bottom"/>
          </w:tcPr>
          <w:p w14:paraId="441B9171" w14:textId="71F337DC" w:rsidR="00A66703" w:rsidRPr="001D41EA" w:rsidRDefault="00A66703" w:rsidP="001D41EA">
            <w:pPr>
              <w:spacing w:before="40" w:after="20"/>
              <w:jc w:val="right"/>
              <w:rPr>
                <w:rFonts w:cs="Arial"/>
                <w:sz w:val="18"/>
                <w:szCs w:val="18"/>
              </w:rPr>
            </w:pPr>
            <w:r w:rsidRPr="001D41EA">
              <w:rPr>
                <w:rFonts w:cs="Arial"/>
                <w:sz w:val="18"/>
                <w:szCs w:val="18"/>
              </w:rPr>
              <w:t>-34,739</w:t>
            </w:r>
          </w:p>
        </w:tc>
      </w:tr>
      <w:tr w:rsidR="00A66703" w:rsidRPr="001D41EA" w14:paraId="64018F3E"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61ECCE50" w14:textId="77777777" w:rsidR="00A66703" w:rsidRPr="001D41EA" w:rsidRDefault="00A66703" w:rsidP="001D41EA">
            <w:pPr>
              <w:spacing w:before="40" w:after="20"/>
              <w:rPr>
                <w:rFonts w:cs="Arial"/>
                <w:sz w:val="18"/>
                <w:szCs w:val="18"/>
              </w:rPr>
            </w:pPr>
            <w:r w:rsidRPr="001D41EA">
              <w:rPr>
                <w:rFonts w:cs="Arial"/>
                <w:sz w:val="18"/>
                <w:szCs w:val="18"/>
              </w:rPr>
              <w:t>Mansfield S</w:t>
            </w:r>
          </w:p>
        </w:tc>
        <w:tc>
          <w:tcPr>
            <w:tcW w:w="1418" w:type="dxa"/>
            <w:tcBorders>
              <w:top w:val="nil"/>
              <w:left w:val="single" w:sz="18" w:space="0" w:color="5F497A" w:themeColor="accent4" w:themeShade="BF"/>
              <w:bottom w:val="nil"/>
              <w:right w:val="nil"/>
            </w:tcBorders>
            <w:shd w:val="clear" w:color="auto" w:fill="auto"/>
            <w:vAlign w:val="bottom"/>
          </w:tcPr>
          <w:p w14:paraId="54B3AB1A" w14:textId="1AB2DE4C" w:rsidR="00A66703" w:rsidRPr="001D41EA" w:rsidRDefault="00A66703" w:rsidP="001D41EA">
            <w:pPr>
              <w:spacing w:before="40" w:after="20"/>
              <w:jc w:val="right"/>
              <w:rPr>
                <w:rFonts w:cs="Arial"/>
                <w:sz w:val="18"/>
                <w:szCs w:val="18"/>
              </w:rPr>
            </w:pPr>
            <w:r w:rsidRPr="001D41EA">
              <w:rPr>
                <w:rFonts w:cs="Arial"/>
                <w:sz w:val="18"/>
                <w:szCs w:val="18"/>
              </w:rPr>
              <w:t>2,846,193</w:t>
            </w:r>
          </w:p>
        </w:tc>
        <w:tc>
          <w:tcPr>
            <w:tcW w:w="1418" w:type="dxa"/>
            <w:tcBorders>
              <w:top w:val="nil"/>
              <w:left w:val="nil"/>
              <w:bottom w:val="nil"/>
              <w:right w:val="nil"/>
            </w:tcBorders>
            <w:shd w:val="clear" w:color="auto" w:fill="auto"/>
            <w:vAlign w:val="bottom"/>
          </w:tcPr>
          <w:p w14:paraId="0BB7EEB2" w14:textId="5B06C853" w:rsidR="00A66703" w:rsidRPr="001D41EA" w:rsidRDefault="00A66703" w:rsidP="001D41EA">
            <w:pPr>
              <w:spacing w:before="40" w:after="20"/>
              <w:jc w:val="right"/>
              <w:rPr>
                <w:rFonts w:cs="Arial"/>
                <w:b/>
                <w:sz w:val="18"/>
                <w:szCs w:val="18"/>
              </w:rPr>
            </w:pPr>
            <w:r w:rsidRPr="001D41EA">
              <w:rPr>
                <w:rFonts w:cs="Arial"/>
                <w:b/>
                <w:sz w:val="18"/>
                <w:szCs w:val="18"/>
              </w:rPr>
              <w:t>2,817,903</w:t>
            </w:r>
          </w:p>
        </w:tc>
        <w:tc>
          <w:tcPr>
            <w:tcW w:w="1418" w:type="dxa"/>
            <w:tcBorders>
              <w:top w:val="nil"/>
              <w:left w:val="nil"/>
              <w:bottom w:val="nil"/>
              <w:right w:val="nil"/>
            </w:tcBorders>
            <w:shd w:val="clear" w:color="auto" w:fill="auto"/>
            <w:vAlign w:val="bottom"/>
          </w:tcPr>
          <w:p w14:paraId="2A4CEBDF" w14:textId="2E3FF344" w:rsidR="00A66703" w:rsidRPr="001D41EA" w:rsidRDefault="00A66703" w:rsidP="001D41EA">
            <w:pPr>
              <w:spacing w:before="40" w:after="20"/>
              <w:jc w:val="right"/>
              <w:rPr>
                <w:rFonts w:cs="Arial"/>
                <w:sz w:val="18"/>
                <w:szCs w:val="18"/>
              </w:rPr>
            </w:pPr>
            <w:r w:rsidRPr="001D41EA">
              <w:rPr>
                <w:rFonts w:cs="Arial"/>
                <w:sz w:val="18"/>
                <w:szCs w:val="18"/>
              </w:rPr>
              <w:t>-28,290</w:t>
            </w:r>
          </w:p>
        </w:tc>
      </w:tr>
      <w:tr w:rsidR="00A66703" w:rsidRPr="001D41EA" w14:paraId="1986DE8E"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2AE1376F" w14:textId="77777777" w:rsidR="00A66703" w:rsidRPr="001D41EA" w:rsidRDefault="00A66703" w:rsidP="001D41EA">
            <w:pPr>
              <w:spacing w:before="40" w:after="20"/>
              <w:rPr>
                <w:rFonts w:cs="Arial"/>
                <w:sz w:val="18"/>
                <w:szCs w:val="18"/>
              </w:rPr>
            </w:pPr>
            <w:r w:rsidRPr="001D41EA">
              <w:rPr>
                <w:rFonts w:cs="Arial"/>
                <w:sz w:val="18"/>
                <w:szCs w:val="18"/>
              </w:rPr>
              <w:t xml:space="preserve">Maribyrnong C </w:t>
            </w:r>
          </w:p>
        </w:tc>
        <w:tc>
          <w:tcPr>
            <w:tcW w:w="1418" w:type="dxa"/>
            <w:tcBorders>
              <w:top w:val="nil"/>
              <w:left w:val="single" w:sz="18" w:space="0" w:color="5F497A" w:themeColor="accent4" w:themeShade="BF"/>
              <w:bottom w:val="nil"/>
              <w:right w:val="nil"/>
            </w:tcBorders>
            <w:shd w:val="clear" w:color="auto" w:fill="auto"/>
            <w:vAlign w:val="bottom"/>
          </w:tcPr>
          <w:p w14:paraId="1D18651C" w14:textId="66644CBF" w:rsidR="00A66703" w:rsidRPr="001D41EA" w:rsidRDefault="00A66703" w:rsidP="001D41EA">
            <w:pPr>
              <w:spacing w:before="40" w:after="20"/>
              <w:jc w:val="right"/>
              <w:rPr>
                <w:rFonts w:cs="Arial"/>
                <w:sz w:val="18"/>
                <w:szCs w:val="18"/>
              </w:rPr>
            </w:pPr>
            <w:r w:rsidRPr="001D41EA">
              <w:rPr>
                <w:rFonts w:cs="Arial"/>
                <w:sz w:val="18"/>
                <w:szCs w:val="18"/>
              </w:rPr>
              <w:t>2,769,601</w:t>
            </w:r>
          </w:p>
        </w:tc>
        <w:tc>
          <w:tcPr>
            <w:tcW w:w="1418" w:type="dxa"/>
            <w:tcBorders>
              <w:top w:val="nil"/>
              <w:left w:val="nil"/>
              <w:bottom w:val="nil"/>
              <w:right w:val="nil"/>
            </w:tcBorders>
            <w:shd w:val="clear" w:color="auto" w:fill="auto"/>
            <w:vAlign w:val="bottom"/>
          </w:tcPr>
          <w:p w14:paraId="4BEB9719" w14:textId="30E11B72" w:rsidR="00A66703" w:rsidRPr="001D41EA" w:rsidRDefault="00A66703" w:rsidP="001D41EA">
            <w:pPr>
              <w:spacing w:before="40" w:after="20"/>
              <w:jc w:val="right"/>
              <w:rPr>
                <w:rFonts w:cs="Arial"/>
                <w:b/>
                <w:sz w:val="18"/>
                <w:szCs w:val="18"/>
              </w:rPr>
            </w:pPr>
            <w:r w:rsidRPr="001D41EA">
              <w:rPr>
                <w:rFonts w:cs="Arial"/>
                <w:b/>
                <w:sz w:val="18"/>
                <w:szCs w:val="18"/>
              </w:rPr>
              <w:t>2,741,066</w:t>
            </w:r>
          </w:p>
        </w:tc>
        <w:tc>
          <w:tcPr>
            <w:tcW w:w="1418" w:type="dxa"/>
            <w:tcBorders>
              <w:top w:val="nil"/>
              <w:left w:val="nil"/>
              <w:bottom w:val="nil"/>
              <w:right w:val="nil"/>
            </w:tcBorders>
            <w:shd w:val="clear" w:color="auto" w:fill="auto"/>
            <w:vAlign w:val="bottom"/>
          </w:tcPr>
          <w:p w14:paraId="28106F34" w14:textId="46E6B902" w:rsidR="00A66703" w:rsidRPr="001D41EA" w:rsidRDefault="00A66703" w:rsidP="001D41EA">
            <w:pPr>
              <w:spacing w:before="40" w:after="20"/>
              <w:jc w:val="right"/>
              <w:rPr>
                <w:rFonts w:cs="Arial"/>
                <w:sz w:val="18"/>
                <w:szCs w:val="18"/>
              </w:rPr>
            </w:pPr>
            <w:r w:rsidRPr="001D41EA">
              <w:rPr>
                <w:rFonts w:cs="Arial"/>
                <w:sz w:val="18"/>
                <w:szCs w:val="18"/>
              </w:rPr>
              <w:t>-28,535</w:t>
            </w:r>
          </w:p>
        </w:tc>
      </w:tr>
      <w:tr w:rsidR="00A66703" w:rsidRPr="001D41EA" w14:paraId="731ED08F"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6614BE0F" w14:textId="77777777" w:rsidR="00A66703" w:rsidRPr="001D41EA" w:rsidRDefault="00A66703" w:rsidP="001D41EA">
            <w:pPr>
              <w:spacing w:before="40" w:after="20"/>
              <w:rPr>
                <w:rFonts w:cs="Arial"/>
                <w:sz w:val="18"/>
                <w:szCs w:val="18"/>
              </w:rPr>
            </w:pPr>
            <w:r w:rsidRPr="001D41EA">
              <w:rPr>
                <w:rFonts w:cs="Arial"/>
                <w:sz w:val="18"/>
                <w:szCs w:val="18"/>
              </w:rPr>
              <w:t xml:space="preserve">Maroondah C </w:t>
            </w:r>
          </w:p>
        </w:tc>
        <w:tc>
          <w:tcPr>
            <w:tcW w:w="1418" w:type="dxa"/>
            <w:tcBorders>
              <w:top w:val="nil"/>
              <w:left w:val="single" w:sz="18" w:space="0" w:color="5F497A" w:themeColor="accent4" w:themeShade="BF"/>
              <w:bottom w:val="nil"/>
              <w:right w:val="nil"/>
            </w:tcBorders>
            <w:shd w:val="clear" w:color="auto" w:fill="auto"/>
            <w:vAlign w:val="bottom"/>
          </w:tcPr>
          <w:p w14:paraId="44CC226F" w14:textId="1C545E57" w:rsidR="00A66703" w:rsidRPr="001D41EA" w:rsidRDefault="00A66703" w:rsidP="001D41EA">
            <w:pPr>
              <w:spacing w:before="40" w:after="20"/>
              <w:jc w:val="right"/>
              <w:rPr>
                <w:rFonts w:cs="Arial"/>
                <w:sz w:val="18"/>
                <w:szCs w:val="18"/>
              </w:rPr>
            </w:pPr>
            <w:r w:rsidRPr="001D41EA">
              <w:rPr>
                <w:rFonts w:cs="Arial"/>
                <w:sz w:val="18"/>
                <w:szCs w:val="18"/>
              </w:rPr>
              <w:t>4,895,722</w:t>
            </w:r>
          </w:p>
        </w:tc>
        <w:tc>
          <w:tcPr>
            <w:tcW w:w="1418" w:type="dxa"/>
            <w:tcBorders>
              <w:top w:val="nil"/>
              <w:left w:val="nil"/>
              <w:bottom w:val="nil"/>
              <w:right w:val="nil"/>
            </w:tcBorders>
            <w:shd w:val="clear" w:color="auto" w:fill="auto"/>
            <w:vAlign w:val="bottom"/>
          </w:tcPr>
          <w:p w14:paraId="6651E61F" w14:textId="6BB3F68F" w:rsidR="00A66703" w:rsidRPr="001D41EA" w:rsidRDefault="00A66703" w:rsidP="001D41EA">
            <w:pPr>
              <w:spacing w:before="40" w:after="20"/>
              <w:jc w:val="right"/>
              <w:rPr>
                <w:rFonts w:cs="Arial"/>
                <w:b/>
                <w:sz w:val="18"/>
                <w:szCs w:val="18"/>
              </w:rPr>
            </w:pPr>
            <w:r w:rsidRPr="001D41EA">
              <w:rPr>
                <w:rFonts w:cs="Arial"/>
                <w:b/>
                <w:sz w:val="18"/>
                <w:szCs w:val="18"/>
              </w:rPr>
              <w:t>4,844,706</w:t>
            </w:r>
          </w:p>
        </w:tc>
        <w:tc>
          <w:tcPr>
            <w:tcW w:w="1418" w:type="dxa"/>
            <w:tcBorders>
              <w:top w:val="nil"/>
              <w:left w:val="nil"/>
              <w:bottom w:val="nil"/>
              <w:right w:val="nil"/>
            </w:tcBorders>
            <w:shd w:val="clear" w:color="auto" w:fill="auto"/>
            <w:vAlign w:val="bottom"/>
          </w:tcPr>
          <w:p w14:paraId="6EF61F61" w14:textId="7206CCAC" w:rsidR="00A66703" w:rsidRPr="001D41EA" w:rsidRDefault="00A66703" w:rsidP="001D41EA">
            <w:pPr>
              <w:spacing w:before="40" w:after="20"/>
              <w:jc w:val="right"/>
              <w:rPr>
                <w:rFonts w:cs="Arial"/>
                <w:sz w:val="18"/>
                <w:szCs w:val="18"/>
              </w:rPr>
            </w:pPr>
            <w:r w:rsidRPr="001D41EA">
              <w:rPr>
                <w:rFonts w:cs="Arial"/>
                <w:sz w:val="18"/>
                <w:szCs w:val="18"/>
              </w:rPr>
              <w:t>-51,016</w:t>
            </w:r>
          </w:p>
        </w:tc>
      </w:tr>
      <w:tr w:rsidR="00A66703" w:rsidRPr="001D41EA" w14:paraId="557E7B95"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0033F5C4" w14:textId="77777777" w:rsidR="00A66703" w:rsidRPr="001D41EA" w:rsidRDefault="00A66703" w:rsidP="001D41EA">
            <w:pPr>
              <w:spacing w:before="40" w:after="20"/>
              <w:rPr>
                <w:rFonts w:cs="Arial"/>
                <w:sz w:val="18"/>
                <w:szCs w:val="18"/>
              </w:rPr>
            </w:pPr>
            <w:r w:rsidRPr="001D41EA">
              <w:rPr>
                <w:rFonts w:cs="Arial"/>
                <w:sz w:val="18"/>
                <w:szCs w:val="18"/>
              </w:rPr>
              <w:t>Melbourne C</w:t>
            </w:r>
          </w:p>
        </w:tc>
        <w:tc>
          <w:tcPr>
            <w:tcW w:w="1418" w:type="dxa"/>
            <w:tcBorders>
              <w:top w:val="nil"/>
              <w:left w:val="single" w:sz="18" w:space="0" w:color="5F497A" w:themeColor="accent4" w:themeShade="BF"/>
              <w:bottom w:val="nil"/>
              <w:right w:val="nil"/>
            </w:tcBorders>
            <w:shd w:val="clear" w:color="auto" w:fill="auto"/>
            <w:vAlign w:val="bottom"/>
          </w:tcPr>
          <w:p w14:paraId="6467FE66" w14:textId="09E6E517" w:rsidR="00A66703" w:rsidRPr="001D41EA" w:rsidRDefault="00A66703" w:rsidP="001D41EA">
            <w:pPr>
              <w:spacing w:before="40" w:after="20"/>
              <w:jc w:val="right"/>
              <w:rPr>
                <w:rFonts w:cs="Arial"/>
                <w:sz w:val="18"/>
                <w:szCs w:val="18"/>
              </w:rPr>
            </w:pPr>
            <w:r w:rsidRPr="001D41EA">
              <w:rPr>
                <w:rFonts w:cs="Arial"/>
                <w:sz w:val="18"/>
                <w:szCs w:val="18"/>
              </w:rPr>
              <w:t>4,049,566</w:t>
            </w:r>
          </w:p>
        </w:tc>
        <w:tc>
          <w:tcPr>
            <w:tcW w:w="1418" w:type="dxa"/>
            <w:tcBorders>
              <w:top w:val="nil"/>
              <w:left w:val="nil"/>
              <w:bottom w:val="nil"/>
              <w:right w:val="nil"/>
            </w:tcBorders>
            <w:shd w:val="clear" w:color="auto" w:fill="auto"/>
            <w:vAlign w:val="bottom"/>
          </w:tcPr>
          <w:p w14:paraId="0497709E" w14:textId="79EF478B" w:rsidR="00A66703" w:rsidRPr="001D41EA" w:rsidRDefault="00A66703" w:rsidP="001D41EA">
            <w:pPr>
              <w:spacing w:before="40" w:after="20"/>
              <w:jc w:val="right"/>
              <w:rPr>
                <w:rFonts w:cs="Arial"/>
                <w:b/>
                <w:sz w:val="18"/>
                <w:szCs w:val="18"/>
              </w:rPr>
            </w:pPr>
            <w:r w:rsidRPr="001D41EA">
              <w:rPr>
                <w:rFonts w:cs="Arial"/>
                <w:b/>
                <w:sz w:val="18"/>
                <w:szCs w:val="18"/>
              </w:rPr>
              <w:t>4,007,591</w:t>
            </w:r>
          </w:p>
        </w:tc>
        <w:tc>
          <w:tcPr>
            <w:tcW w:w="1418" w:type="dxa"/>
            <w:tcBorders>
              <w:top w:val="nil"/>
              <w:left w:val="nil"/>
              <w:bottom w:val="nil"/>
              <w:right w:val="nil"/>
            </w:tcBorders>
            <w:shd w:val="clear" w:color="auto" w:fill="auto"/>
            <w:vAlign w:val="bottom"/>
          </w:tcPr>
          <w:p w14:paraId="40C80BEE" w14:textId="6B98956E" w:rsidR="00A66703" w:rsidRPr="001D41EA" w:rsidRDefault="00A66703" w:rsidP="001D41EA">
            <w:pPr>
              <w:spacing w:before="40" w:after="20"/>
              <w:jc w:val="right"/>
              <w:rPr>
                <w:rFonts w:cs="Arial"/>
                <w:sz w:val="18"/>
                <w:szCs w:val="18"/>
              </w:rPr>
            </w:pPr>
            <w:r w:rsidRPr="001D41EA">
              <w:rPr>
                <w:rFonts w:cs="Arial"/>
                <w:sz w:val="18"/>
                <w:szCs w:val="18"/>
              </w:rPr>
              <w:t>-41,975</w:t>
            </w:r>
          </w:p>
        </w:tc>
      </w:tr>
      <w:tr w:rsidR="00A66703" w:rsidRPr="001D41EA" w14:paraId="72A8D793"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7057DFF6" w14:textId="77777777" w:rsidR="00A66703" w:rsidRPr="001D41EA" w:rsidRDefault="00A66703" w:rsidP="001D41EA">
            <w:pPr>
              <w:spacing w:before="40" w:after="20"/>
              <w:rPr>
                <w:rFonts w:cs="Arial"/>
                <w:sz w:val="18"/>
                <w:szCs w:val="18"/>
              </w:rPr>
            </w:pPr>
            <w:r w:rsidRPr="001D41EA">
              <w:rPr>
                <w:rFonts w:cs="Arial"/>
                <w:sz w:val="18"/>
                <w:szCs w:val="18"/>
              </w:rPr>
              <w:t xml:space="preserve">Melton C </w:t>
            </w:r>
          </w:p>
        </w:tc>
        <w:tc>
          <w:tcPr>
            <w:tcW w:w="1418" w:type="dxa"/>
            <w:tcBorders>
              <w:top w:val="nil"/>
              <w:left w:val="single" w:sz="18" w:space="0" w:color="5F497A" w:themeColor="accent4" w:themeShade="BF"/>
              <w:bottom w:val="nil"/>
              <w:right w:val="nil"/>
            </w:tcBorders>
            <w:shd w:val="clear" w:color="auto" w:fill="auto"/>
            <w:vAlign w:val="bottom"/>
          </w:tcPr>
          <w:p w14:paraId="7637E297" w14:textId="57A99991" w:rsidR="00A66703" w:rsidRPr="001D41EA" w:rsidRDefault="00A66703" w:rsidP="001D41EA">
            <w:pPr>
              <w:spacing w:before="40" w:after="20"/>
              <w:jc w:val="right"/>
              <w:rPr>
                <w:rFonts w:cs="Arial"/>
                <w:sz w:val="18"/>
                <w:szCs w:val="18"/>
              </w:rPr>
            </w:pPr>
            <w:r w:rsidRPr="001D41EA">
              <w:rPr>
                <w:rFonts w:cs="Arial"/>
                <w:sz w:val="18"/>
                <w:szCs w:val="18"/>
              </w:rPr>
              <w:t>15,604,836</w:t>
            </w:r>
          </w:p>
        </w:tc>
        <w:tc>
          <w:tcPr>
            <w:tcW w:w="1418" w:type="dxa"/>
            <w:tcBorders>
              <w:top w:val="nil"/>
              <w:left w:val="nil"/>
              <w:bottom w:val="nil"/>
              <w:right w:val="nil"/>
            </w:tcBorders>
            <w:shd w:val="clear" w:color="auto" w:fill="auto"/>
            <w:vAlign w:val="bottom"/>
          </w:tcPr>
          <w:p w14:paraId="58FCAF5E" w14:textId="20752C37" w:rsidR="00A66703" w:rsidRPr="001D41EA" w:rsidRDefault="00A66703" w:rsidP="001D41EA">
            <w:pPr>
              <w:spacing w:before="40" w:after="20"/>
              <w:jc w:val="right"/>
              <w:rPr>
                <w:rFonts w:cs="Arial"/>
                <w:b/>
                <w:sz w:val="18"/>
                <w:szCs w:val="18"/>
              </w:rPr>
            </w:pPr>
            <w:r w:rsidRPr="001D41EA">
              <w:rPr>
                <w:rFonts w:cs="Arial"/>
                <w:b/>
                <w:sz w:val="18"/>
                <w:szCs w:val="18"/>
              </w:rPr>
              <w:t>15,440,568</w:t>
            </w:r>
          </w:p>
        </w:tc>
        <w:tc>
          <w:tcPr>
            <w:tcW w:w="1418" w:type="dxa"/>
            <w:tcBorders>
              <w:top w:val="nil"/>
              <w:left w:val="nil"/>
              <w:bottom w:val="nil"/>
              <w:right w:val="nil"/>
            </w:tcBorders>
            <w:shd w:val="clear" w:color="auto" w:fill="auto"/>
            <w:vAlign w:val="bottom"/>
          </w:tcPr>
          <w:p w14:paraId="70E0945E" w14:textId="4A2DF9F8" w:rsidR="00A66703" w:rsidRPr="001D41EA" w:rsidRDefault="00A66703" w:rsidP="001D41EA">
            <w:pPr>
              <w:spacing w:before="40" w:after="20"/>
              <w:jc w:val="right"/>
              <w:rPr>
                <w:rFonts w:cs="Arial"/>
                <w:sz w:val="18"/>
                <w:szCs w:val="18"/>
              </w:rPr>
            </w:pPr>
            <w:r w:rsidRPr="001D41EA">
              <w:rPr>
                <w:rFonts w:cs="Arial"/>
                <w:sz w:val="18"/>
                <w:szCs w:val="18"/>
              </w:rPr>
              <w:t>-164,268</w:t>
            </w:r>
          </w:p>
        </w:tc>
      </w:tr>
      <w:tr w:rsidR="00A66703" w:rsidRPr="001D41EA" w14:paraId="60FA85BA"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5263254D" w14:textId="77777777" w:rsidR="00A66703" w:rsidRPr="001D41EA" w:rsidRDefault="00A66703" w:rsidP="001D41EA">
            <w:pPr>
              <w:spacing w:before="40" w:after="20"/>
              <w:rPr>
                <w:rFonts w:cs="Arial"/>
                <w:sz w:val="18"/>
                <w:szCs w:val="18"/>
              </w:rPr>
            </w:pPr>
            <w:r w:rsidRPr="001D41EA">
              <w:rPr>
                <w:rFonts w:cs="Arial"/>
                <w:sz w:val="18"/>
                <w:szCs w:val="18"/>
              </w:rPr>
              <w:t xml:space="preserve">Mildura RC </w:t>
            </w:r>
          </w:p>
        </w:tc>
        <w:tc>
          <w:tcPr>
            <w:tcW w:w="1418" w:type="dxa"/>
            <w:tcBorders>
              <w:top w:val="nil"/>
              <w:left w:val="single" w:sz="18" w:space="0" w:color="5F497A" w:themeColor="accent4" w:themeShade="BF"/>
              <w:bottom w:val="nil"/>
              <w:right w:val="nil"/>
            </w:tcBorders>
            <w:shd w:val="clear" w:color="auto" w:fill="auto"/>
            <w:vAlign w:val="bottom"/>
          </w:tcPr>
          <w:p w14:paraId="409AE166" w14:textId="60DB7D94" w:rsidR="00A66703" w:rsidRPr="001D41EA" w:rsidRDefault="00A66703" w:rsidP="001D41EA">
            <w:pPr>
              <w:spacing w:before="40" w:after="20"/>
              <w:jc w:val="right"/>
              <w:rPr>
                <w:rFonts w:cs="Arial"/>
                <w:sz w:val="18"/>
                <w:szCs w:val="18"/>
              </w:rPr>
            </w:pPr>
            <w:r w:rsidRPr="001D41EA">
              <w:rPr>
                <w:rFonts w:cs="Arial"/>
                <w:sz w:val="18"/>
                <w:szCs w:val="18"/>
              </w:rPr>
              <w:t>15,243,349</w:t>
            </w:r>
          </w:p>
        </w:tc>
        <w:tc>
          <w:tcPr>
            <w:tcW w:w="1418" w:type="dxa"/>
            <w:tcBorders>
              <w:top w:val="nil"/>
              <w:left w:val="nil"/>
              <w:bottom w:val="nil"/>
              <w:right w:val="nil"/>
            </w:tcBorders>
            <w:shd w:val="clear" w:color="auto" w:fill="auto"/>
            <w:vAlign w:val="bottom"/>
          </w:tcPr>
          <w:p w14:paraId="10C5EB83" w14:textId="5F6D727A" w:rsidR="00A66703" w:rsidRPr="001D41EA" w:rsidRDefault="00A66703" w:rsidP="001D41EA">
            <w:pPr>
              <w:spacing w:before="40" w:after="20"/>
              <w:jc w:val="right"/>
              <w:rPr>
                <w:rFonts w:cs="Arial"/>
                <w:b/>
                <w:sz w:val="18"/>
                <w:szCs w:val="18"/>
              </w:rPr>
            </w:pPr>
            <w:r w:rsidRPr="001D41EA">
              <w:rPr>
                <w:rFonts w:cs="Arial"/>
                <w:b/>
                <w:sz w:val="18"/>
                <w:szCs w:val="18"/>
              </w:rPr>
              <w:t>15,089,692</w:t>
            </w:r>
          </w:p>
        </w:tc>
        <w:tc>
          <w:tcPr>
            <w:tcW w:w="1418" w:type="dxa"/>
            <w:tcBorders>
              <w:top w:val="nil"/>
              <w:left w:val="nil"/>
              <w:bottom w:val="nil"/>
              <w:right w:val="nil"/>
            </w:tcBorders>
            <w:shd w:val="clear" w:color="auto" w:fill="auto"/>
            <w:vAlign w:val="bottom"/>
          </w:tcPr>
          <w:p w14:paraId="13E8B1D2" w14:textId="04CD98C0" w:rsidR="00A66703" w:rsidRPr="001D41EA" w:rsidRDefault="00A66703" w:rsidP="001D41EA">
            <w:pPr>
              <w:spacing w:before="40" w:after="20"/>
              <w:jc w:val="right"/>
              <w:rPr>
                <w:rFonts w:cs="Arial"/>
                <w:sz w:val="18"/>
                <w:szCs w:val="18"/>
              </w:rPr>
            </w:pPr>
            <w:r w:rsidRPr="001D41EA">
              <w:rPr>
                <w:rFonts w:cs="Arial"/>
                <w:sz w:val="18"/>
                <w:szCs w:val="18"/>
              </w:rPr>
              <w:t>-153,657</w:t>
            </w:r>
          </w:p>
        </w:tc>
      </w:tr>
      <w:tr w:rsidR="00A66703" w:rsidRPr="001D41EA" w14:paraId="5C40E945"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05E91281" w14:textId="77777777" w:rsidR="00A66703" w:rsidRPr="001D41EA" w:rsidRDefault="00A66703" w:rsidP="001D41EA">
            <w:pPr>
              <w:spacing w:before="40" w:after="20"/>
              <w:rPr>
                <w:rFonts w:cs="Arial"/>
                <w:sz w:val="18"/>
                <w:szCs w:val="18"/>
              </w:rPr>
            </w:pPr>
            <w:r w:rsidRPr="001D41EA">
              <w:rPr>
                <w:rFonts w:cs="Arial"/>
                <w:sz w:val="18"/>
                <w:szCs w:val="18"/>
              </w:rPr>
              <w:t xml:space="preserve">Mitchell S </w:t>
            </w:r>
          </w:p>
        </w:tc>
        <w:tc>
          <w:tcPr>
            <w:tcW w:w="1418" w:type="dxa"/>
            <w:tcBorders>
              <w:top w:val="nil"/>
              <w:left w:val="single" w:sz="18" w:space="0" w:color="5F497A" w:themeColor="accent4" w:themeShade="BF"/>
              <w:bottom w:val="nil"/>
              <w:right w:val="nil"/>
            </w:tcBorders>
            <w:shd w:val="clear" w:color="auto" w:fill="auto"/>
            <w:vAlign w:val="bottom"/>
          </w:tcPr>
          <w:p w14:paraId="5977A1D9" w14:textId="5E69BCD7" w:rsidR="00A66703" w:rsidRPr="001D41EA" w:rsidRDefault="00A66703" w:rsidP="001D41EA">
            <w:pPr>
              <w:spacing w:before="40" w:after="20"/>
              <w:jc w:val="right"/>
              <w:rPr>
                <w:rFonts w:cs="Arial"/>
                <w:sz w:val="18"/>
                <w:szCs w:val="18"/>
              </w:rPr>
            </w:pPr>
            <w:r w:rsidRPr="001D41EA">
              <w:rPr>
                <w:rFonts w:cs="Arial"/>
                <w:sz w:val="18"/>
                <w:szCs w:val="18"/>
              </w:rPr>
              <w:t>7,380,303</w:t>
            </w:r>
          </w:p>
        </w:tc>
        <w:tc>
          <w:tcPr>
            <w:tcW w:w="1418" w:type="dxa"/>
            <w:tcBorders>
              <w:top w:val="nil"/>
              <w:left w:val="nil"/>
              <w:bottom w:val="nil"/>
              <w:right w:val="nil"/>
            </w:tcBorders>
            <w:shd w:val="clear" w:color="auto" w:fill="auto"/>
            <w:vAlign w:val="bottom"/>
          </w:tcPr>
          <w:p w14:paraId="5D88EA81" w14:textId="197E5BB3" w:rsidR="00A66703" w:rsidRPr="001D41EA" w:rsidRDefault="00A66703" w:rsidP="001D41EA">
            <w:pPr>
              <w:spacing w:before="40" w:after="20"/>
              <w:jc w:val="right"/>
              <w:rPr>
                <w:rFonts w:cs="Arial"/>
                <w:b/>
                <w:sz w:val="18"/>
                <w:szCs w:val="18"/>
              </w:rPr>
            </w:pPr>
            <w:r w:rsidRPr="001D41EA">
              <w:rPr>
                <w:rFonts w:cs="Arial"/>
                <w:b/>
                <w:sz w:val="18"/>
                <w:szCs w:val="18"/>
              </w:rPr>
              <w:t>7,305,282</w:t>
            </w:r>
          </w:p>
        </w:tc>
        <w:tc>
          <w:tcPr>
            <w:tcW w:w="1418" w:type="dxa"/>
            <w:tcBorders>
              <w:top w:val="nil"/>
              <w:left w:val="nil"/>
              <w:bottom w:val="nil"/>
              <w:right w:val="nil"/>
            </w:tcBorders>
            <w:shd w:val="clear" w:color="auto" w:fill="auto"/>
            <w:vAlign w:val="bottom"/>
          </w:tcPr>
          <w:p w14:paraId="68994D8C" w14:textId="1F90A278" w:rsidR="00A66703" w:rsidRPr="001D41EA" w:rsidRDefault="00A66703" w:rsidP="001D41EA">
            <w:pPr>
              <w:spacing w:before="40" w:after="20"/>
              <w:jc w:val="right"/>
              <w:rPr>
                <w:rFonts w:cs="Arial"/>
                <w:sz w:val="18"/>
                <w:szCs w:val="18"/>
              </w:rPr>
            </w:pPr>
            <w:r w:rsidRPr="001D41EA">
              <w:rPr>
                <w:rFonts w:cs="Arial"/>
                <w:sz w:val="18"/>
                <w:szCs w:val="18"/>
              </w:rPr>
              <w:t>-75,021</w:t>
            </w:r>
          </w:p>
        </w:tc>
      </w:tr>
      <w:tr w:rsidR="00A66703" w:rsidRPr="001D41EA" w14:paraId="3214055E"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141EE1C" w14:textId="77777777" w:rsidR="00A66703" w:rsidRPr="001D41EA" w:rsidRDefault="00A66703" w:rsidP="001D41EA">
            <w:pPr>
              <w:spacing w:before="40" w:after="20"/>
              <w:rPr>
                <w:rFonts w:cs="Arial"/>
                <w:sz w:val="18"/>
                <w:szCs w:val="18"/>
              </w:rPr>
            </w:pPr>
            <w:r w:rsidRPr="001D41EA">
              <w:rPr>
                <w:rFonts w:cs="Arial"/>
                <w:sz w:val="18"/>
                <w:szCs w:val="18"/>
              </w:rPr>
              <w:t xml:space="preserve">Moira S </w:t>
            </w:r>
          </w:p>
        </w:tc>
        <w:tc>
          <w:tcPr>
            <w:tcW w:w="1418" w:type="dxa"/>
            <w:tcBorders>
              <w:top w:val="nil"/>
              <w:left w:val="single" w:sz="18" w:space="0" w:color="5F497A" w:themeColor="accent4" w:themeShade="BF"/>
              <w:bottom w:val="nil"/>
              <w:right w:val="nil"/>
            </w:tcBorders>
            <w:shd w:val="clear" w:color="auto" w:fill="auto"/>
            <w:vAlign w:val="bottom"/>
          </w:tcPr>
          <w:p w14:paraId="19586D2F" w14:textId="0AB5912A" w:rsidR="00A66703" w:rsidRPr="001D41EA" w:rsidRDefault="00A66703" w:rsidP="001D41EA">
            <w:pPr>
              <w:spacing w:before="40" w:after="20"/>
              <w:jc w:val="right"/>
              <w:rPr>
                <w:rFonts w:cs="Arial"/>
                <w:sz w:val="18"/>
                <w:szCs w:val="18"/>
              </w:rPr>
            </w:pPr>
            <w:r w:rsidRPr="001D41EA">
              <w:rPr>
                <w:rFonts w:cs="Arial"/>
                <w:sz w:val="18"/>
                <w:szCs w:val="18"/>
              </w:rPr>
              <w:t>10,902,793</w:t>
            </w:r>
          </w:p>
        </w:tc>
        <w:tc>
          <w:tcPr>
            <w:tcW w:w="1418" w:type="dxa"/>
            <w:tcBorders>
              <w:top w:val="nil"/>
              <w:left w:val="nil"/>
              <w:bottom w:val="nil"/>
              <w:right w:val="nil"/>
            </w:tcBorders>
            <w:shd w:val="clear" w:color="auto" w:fill="auto"/>
            <w:vAlign w:val="bottom"/>
          </w:tcPr>
          <w:p w14:paraId="706162B6" w14:textId="728EBB3E" w:rsidR="00A66703" w:rsidRPr="001D41EA" w:rsidRDefault="00A66703" w:rsidP="001D41EA">
            <w:pPr>
              <w:spacing w:before="40" w:after="20"/>
              <w:jc w:val="right"/>
              <w:rPr>
                <w:rFonts w:cs="Arial"/>
                <w:b/>
                <w:sz w:val="18"/>
                <w:szCs w:val="18"/>
              </w:rPr>
            </w:pPr>
            <w:r w:rsidRPr="001D41EA">
              <w:rPr>
                <w:rFonts w:cs="Arial"/>
                <w:b/>
                <w:sz w:val="18"/>
                <w:szCs w:val="18"/>
              </w:rPr>
              <w:t>10,795,709</w:t>
            </w:r>
          </w:p>
        </w:tc>
        <w:tc>
          <w:tcPr>
            <w:tcW w:w="1418" w:type="dxa"/>
            <w:tcBorders>
              <w:top w:val="nil"/>
              <w:left w:val="nil"/>
              <w:bottom w:val="nil"/>
              <w:right w:val="nil"/>
            </w:tcBorders>
            <w:shd w:val="clear" w:color="auto" w:fill="auto"/>
            <w:vAlign w:val="bottom"/>
          </w:tcPr>
          <w:p w14:paraId="6314DAA0" w14:textId="68B22232" w:rsidR="00A66703" w:rsidRPr="001D41EA" w:rsidRDefault="00A66703" w:rsidP="001D41EA">
            <w:pPr>
              <w:spacing w:before="40" w:after="20"/>
              <w:jc w:val="right"/>
              <w:rPr>
                <w:rFonts w:cs="Arial"/>
                <w:sz w:val="18"/>
                <w:szCs w:val="18"/>
              </w:rPr>
            </w:pPr>
            <w:r w:rsidRPr="001D41EA">
              <w:rPr>
                <w:rFonts w:cs="Arial"/>
                <w:sz w:val="18"/>
                <w:szCs w:val="18"/>
              </w:rPr>
              <w:t>-107,084</w:t>
            </w:r>
          </w:p>
        </w:tc>
      </w:tr>
      <w:tr w:rsidR="00A66703" w:rsidRPr="001D41EA" w14:paraId="6FF6C76B"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51EA770" w14:textId="77777777" w:rsidR="00A66703" w:rsidRPr="001D41EA" w:rsidRDefault="00A66703" w:rsidP="001D41EA">
            <w:pPr>
              <w:spacing w:before="40" w:after="20"/>
              <w:rPr>
                <w:rFonts w:cs="Arial"/>
                <w:sz w:val="18"/>
                <w:szCs w:val="18"/>
              </w:rPr>
            </w:pPr>
            <w:r w:rsidRPr="001D41EA">
              <w:rPr>
                <w:rFonts w:cs="Arial"/>
                <w:sz w:val="18"/>
                <w:szCs w:val="18"/>
              </w:rPr>
              <w:t xml:space="preserve">Monash C </w:t>
            </w:r>
          </w:p>
        </w:tc>
        <w:tc>
          <w:tcPr>
            <w:tcW w:w="1418" w:type="dxa"/>
            <w:tcBorders>
              <w:top w:val="nil"/>
              <w:left w:val="single" w:sz="18" w:space="0" w:color="5F497A" w:themeColor="accent4" w:themeShade="BF"/>
              <w:bottom w:val="nil"/>
              <w:right w:val="nil"/>
            </w:tcBorders>
            <w:shd w:val="clear" w:color="auto" w:fill="auto"/>
            <w:vAlign w:val="bottom"/>
          </w:tcPr>
          <w:p w14:paraId="440A47AF" w14:textId="14D6CEEE" w:rsidR="00A66703" w:rsidRPr="001D41EA" w:rsidRDefault="00A66703" w:rsidP="001D41EA">
            <w:pPr>
              <w:spacing w:before="40" w:after="20"/>
              <w:jc w:val="right"/>
              <w:rPr>
                <w:rFonts w:cs="Arial"/>
                <w:sz w:val="18"/>
                <w:szCs w:val="18"/>
              </w:rPr>
            </w:pPr>
            <w:r w:rsidRPr="001D41EA">
              <w:rPr>
                <w:rFonts w:cs="Arial"/>
                <w:sz w:val="18"/>
                <w:szCs w:val="18"/>
              </w:rPr>
              <w:t>5,333,119</w:t>
            </w:r>
          </w:p>
        </w:tc>
        <w:tc>
          <w:tcPr>
            <w:tcW w:w="1418" w:type="dxa"/>
            <w:tcBorders>
              <w:top w:val="nil"/>
              <w:left w:val="nil"/>
              <w:bottom w:val="nil"/>
              <w:right w:val="nil"/>
            </w:tcBorders>
            <w:shd w:val="clear" w:color="auto" w:fill="auto"/>
            <w:vAlign w:val="bottom"/>
          </w:tcPr>
          <w:p w14:paraId="596CCFCD" w14:textId="0FCD301E" w:rsidR="00A66703" w:rsidRPr="001D41EA" w:rsidRDefault="00A66703" w:rsidP="001D41EA">
            <w:pPr>
              <w:spacing w:before="40" w:after="20"/>
              <w:jc w:val="right"/>
              <w:rPr>
                <w:rFonts w:cs="Arial"/>
                <w:b/>
                <w:sz w:val="18"/>
                <w:szCs w:val="18"/>
              </w:rPr>
            </w:pPr>
            <w:r w:rsidRPr="001D41EA">
              <w:rPr>
                <w:rFonts w:cs="Arial"/>
                <w:b/>
                <w:sz w:val="18"/>
                <w:szCs w:val="18"/>
              </w:rPr>
              <w:t>5,278,714</w:t>
            </w:r>
          </w:p>
        </w:tc>
        <w:tc>
          <w:tcPr>
            <w:tcW w:w="1418" w:type="dxa"/>
            <w:tcBorders>
              <w:top w:val="nil"/>
              <w:left w:val="nil"/>
              <w:bottom w:val="nil"/>
              <w:right w:val="nil"/>
            </w:tcBorders>
            <w:shd w:val="clear" w:color="auto" w:fill="auto"/>
            <w:vAlign w:val="bottom"/>
          </w:tcPr>
          <w:p w14:paraId="3E6CD366" w14:textId="4DBBB674" w:rsidR="00A66703" w:rsidRPr="001D41EA" w:rsidRDefault="00A66703" w:rsidP="001D41EA">
            <w:pPr>
              <w:spacing w:before="40" w:after="20"/>
              <w:jc w:val="right"/>
              <w:rPr>
                <w:rFonts w:cs="Arial"/>
                <w:sz w:val="18"/>
                <w:szCs w:val="18"/>
              </w:rPr>
            </w:pPr>
            <w:r w:rsidRPr="001D41EA">
              <w:rPr>
                <w:rFonts w:cs="Arial"/>
                <w:sz w:val="18"/>
                <w:szCs w:val="18"/>
              </w:rPr>
              <w:t>-54,405</w:t>
            </w:r>
          </w:p>
        </w:tc>
      </w:tr>
      <w:tr w:rsidR="00A66703" w:rsidRPr="001D41EA" w14:paraId="4DDCBA4C"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694D4C21" w14:textId="77777777" w:rsidR="00A66703" w:rsidRPr="001D41EA" w:rsidRDefault="00A66703" w:rsidP="001D41EA">
            <w:pPr>
              <w:spacing w:before="40" w:after="20"/>
              <w:rPr>
                <w:rFonts w:cs="Arial"/>
                <w:sz w:val="18"/>
                <w:szCs w:val="18"/>
              </w:rPr>
            </w:pPr>
            <w:r w:rsidRPr="001D41EA">
              <w:rPr>
                <w:rFonts w:cs="Arial"/>
                <w:sz w:val="18"/>
                <w:szCs w:val="18"/>
              </w:rPr>
              <w:t xml:space="preserve">Moonee Valley C </w:t>
            </w:r>
          </w:p>
        </w:tc>
        <w:tc>
          <w:tcPr>
            <w:tcW w:w="1418" w:type="dxa"/>
            <w:tcBorders>
              <w:top w:val="nil"/>
              <w:left w:val="single" w:sz="18" w:space="0" w:color="5F497A" w:themeColor="accent4" w:themeShade="BF"/>
              <w:bottom w:val="nil"/>
              <w:right w:val="nil"/>
            </w:tcBorders>
            <w:shd w:val="clear" w:color="auto" w:fill="auto"/>
            <w:vAlign w:val="bottom"/>
          </w:tcPr>
          <w:p w14:paraId="556E7C5B" w14:textId="35536BE3" w:rsidR="00A66703" w:rsidRPr="001D41EA" w:rsidRDefault="00A66703" w:rsidP="001D41EA">
            <w:pPr>
              <w:spacing w:before="40" w:after="20"/>
              <w:jc w:val="right"/>
              <w:rPr>
                <w:rFonts w:cs="Arial"/>
                <w:sz w:val="18"/>
                <w:szCs w:val="18"/>
              </w:rPr>
            </w:pPr>
            <w:r w:rsidRPr="001D41EA">
              <w:rPr>
                <w:rFonts w:cs="Arial"/>
                <w:sz w:val="18"/>
                <w:szCs w:val="18"/>
              </w:rPr>
              <w:t>3,316,443</w:t>
            </w:r>
          </w:p>
        </w:tc>
        <w:tc>
          <w:tcPr>
            <w:tcW w:w="1418" w:type="dxa"/>
            <w:tcBorders>
              <w:top w:val="nil"/>
              <w:left w:val="nil"/>
              <w:bottom w:val="nil"/>
              <w:right w:val="nil"/>
            </w:tcBorders>
            <w:shd w:val="clear" w:color="auto" w:fill="auto"/>
            <w:vAlign w:val="bottom"/>
          </w:tcPr>
          <w:p w14:paraId="0AA59E41" w14:textId="5C5EC4F2" w:rsidR="00A66703" w:rsidRPr="001D41EA" w:rsidRDefault="00A66703" w:rsidP="001D41EA">
            <w:pPr>
              <w:spacing w:before="40" w:after="20"/>
              <w:jc w:val="right"/>
              <w:rPr>
                <w:rFonts w:cs="Arial"/>
                <w:b/>
                <w:sz w:val="18"/>
                <w:szCs w:val="18"/>
              </w:rPr>
            </w:pPr>
            <w:r w:rsidRPr="001D41EA">
              <w:rPr>
                <w:rFonts w:cs="Arial"/>
                <w:b/>
                <w:sz w:val="18"/>
                <w:szCs w:val="18"/>
              </w:rPr>
              <w:t>3,282,419</w:t>
            </w:r>
          </w:p>
        </w:tc>
        <w:tc>
          <w:tcPr>
            <w:tcW w:w="1418" w:type="dxa"/>
            <w:tcBorders>
              <w:top w:val="nil"/>
              <w:left w:val="nil"/>
              <w:bottom w:val="nil"/>
              <w:right w:val="nil"/>
            </w:tcBorders>
            <w:shd w:val="clear" w:color="auto" w:fill="auto"/>
            <w:vAlign w:val="bottom"/>
          </w:tcPr>
          <w:p w14:paraId="0EB4EC5F" w14:textId="3AB65DD1" w:rsidR="00A66703" w:rsidRPr="001D41EA" w:rsidRDefault="00A66703" w:rsidP="001D41EA">
            <w:pPr>
              <w:spacing w:before="40" w:after="20"/>
              <w:jc w:val="right"/>
              <w:rPr>
                <w:rFonts w:cs="Arial"/>
                <w:sz w:val="18"/>
                <w:szCs w:val="18"/>
              </w:rPr>
            </w:pPr>
            <w:r w:rsidRPr="001D41EA">
              <w:rPr>
                <w:rFonts w:cs="Arial"/>
                <w:sz w:val="18"/>
                <w:szCs w:val="18"/>
              </w:rPr>
              <w:t>-34,024</w:t>
            </w:r>
          </w:p>
        </w:tc>
      </w:tr>
      <w:tr w:rsidR="00A66703" w:rsidRPr="001D41EA" w14:paraId="2839C53B"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27E3E1E2" w14:textId="77777777" w:rsidR="00A66703" w:rsidRPr="001D41EA" w:rsidRDefault="00A66703" w:rsidP="001D41EA">
            <w:pPr>
              <w:spacing w:before="40" w:after="20"/>
              <w:rPr>
                <w:rFonts w:cs="Arial"/>
                <w:sz w:val="18"/>
                <w:szCs w:val="18"/>
              </w:rPr>
            </w:pPr>
            <w:r w:rsidRPr="001D41EA">
              <w:rPr>
                <w:rFonts w:cs="Arial"/>
                <w:sz w:val="18"/>
                <w:szCs w:val="18"/>
              </w:rPr>
              <w:t xml:space="preserve">Moorabool S </w:t>
            </w:r>
          </w:p>
        </w:tc>
        <w:tc>
          <w:tcPr>
            <w:tcW w:w="1418" w:type="dxa"/>
            <w:tcBorders>
              <w:top w:val="nil"/>
              <w:left w:val="single" w:sz="18" w:space="0" w:color="5F497A" w:themeColor="accent4" w:themeShade="BF"/>
              <w:bottom w:val="nil"/>
              <w:right w:val="nil"/>
            </w:tcBorders>
            <w:shd w:val="clear" w:color="auto" w:fill="auto"/>
            <w:vAlign w:val="bottom"/>
          </w:tcPr>
          <w:p w14:paraId="6C5D60A2" w14:textId="0139F5F8" w:rsidR="00A66703" w:rsidRPr="001D41EA" w:rsidRDefault="00A66703" w:rsidP="001D41EA">
            <w:pPr>
              <w:spacing w:before="40" w:after="20"/>
              <w:jc w:val="right"/>
              <w:rPr>
                <w:rFonts w:cs="Arial"/>
                <w:sz w:val="18"/>
                <w:szCs w:val="18"/>
              </w:rPr>
            </w:pPr>
            <w:r w:rsidRPr="001D41EA">
              <w:rPr>
                <w:rFonts w:cs="Arial"/>
                <w:sz w:val="18"/>
                <w:szCs w:val="18"/>
              </w:rPr>
              <w:t>6,487,076</w:t>
            </w:r>
          </w:p>
        </w:tc>
        <w:tc>
          <w:tcPr>
            <w:tcW w:w="1418" w:type="dxa"/>
            <w:tcBorders>
              <w:top w:val="nil"/>
              <w:left w:val="nil"/>
              <w:bottom w:val="nil"/>
              <w:right w:val="nil"/>
            </w:tcBorders>
            <w:shd w:val="clear" w:color="auto" w:fill="auto"/>
            <w:vAlign w:val="bottom"/>
          </w:tcPr>
          <w:p w14:paraId="55511645" w14:textId="279DD2CF" w:rsidR="00A66703" w:rsidRPr="001D41EA" w:rsidRDefault="00A66703" w:rsidP="001D41EA">
            <w:pPr>
              <w:spacing w:before="40" w:after="20"/>
              <w:jc w:val="right"/>
              <w:rPr>
                <w:rFonts w:cs="Arial"/>
                <w:b/>
                <w:sz w:val="18"/>
                <w:szCs w:val="18"/>
              </w:rPr>
            </w:pPr>
            <w:r w:rsidRPr="001D41EA">
              <w:rPr>
                <w:rFonts w:cs="Arial"/>
                <w:b/>
                <w:sz w:val="18"/>
                <w:szCs w:val="18"/>
              </w:rPr>
              <w:t>6,422,288</w:t>
            </w:r>
          </w:p>
        </w:tc>
        <w:tc>
          <w:tcPr>
            <w:tcW w:w="1418" w:type="dxa"/>
            <w:tcBorders>
              <w:top w:val="nil"/>
              <w:left w:val="nil"/>
              <w:bottom w:val="nil"/>
              <w:right w:val="nil"/>
            </w:tcBorders>
            <w:shd w:val="clear" w:color="auto" w:fill="auto"/>
            <w:vAlign w:val="bottom"/>
          </w:tcPr>
          <w:p w14:paraId="22D032CE" w14:textId="6CAD0D04" w:rsidR="00A66703" w:rsidRPr="001D41EA" w:rsidRDefault="00A66703" w:rsidP="001D41EA">
            <w:pPr>
              <w:spacing w:before="40" w:after="20"/>
              <w:jc w:val="right"/>
              <w:rPr>
                <w:rFonts w:cs="Arial"/>
                <w:sz w:val="18"/>
                <w:szCs w:val="18"/>
              </w:rPr>
            </w:pPr>
            <w:r w:rsidRPr="001D41EA">
              <w:rPr>
                <w:rFonts w:cs="Arial"/>
                <w:sz w:val="18"/>
                <w:szCs w:val="18"/>
              </w:rPr>
              <w:t>-64,788</w:t>
            </w:r>
          </w:p>
        </w:tc>
      </w:tr>
      <w:tr w:rsidR="00A66703" w:rsidRPr="001D41EA" w14:paraId="770324EE"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B502B58" w14:textId="77777777" w:rsidR="00A66703" w:rsidRPr="001D41EA" w:rsidRDefault="00A66703" w:rsidP="001D41EA">
            <w:pPr>
              <w:spacing w:before="40" w:after="20"/>
              <w:rPr>
                <w:rFonts w:cs="Arial"/>
                <w:sz w:val="18"/>
                <w:szCs w:val="18"/>
              </w:rPr>
            </w:pPr>
            <w:r w:rsidRPr="001D41EA">
              <w:rPr>
                <w:rFonts w:cs="Arial"/>
                <w:sz w:val="18"/>
                <w:szCs w:val="18"/>
              </w:rPr>
              <w:t xml:space="preserve">Moreland C </w:t>
            </w:r>
          </w:p>
        </w:tc>
        <w:tc>
          <w:tcPr>
            <w:tcW w:w="1418" w:type="dxa"/>
            <w:tcBorders>
              <w:top w:val="nil"/>
              <w:left w:val="single" w:sz="18" w:space="0" w:color="5F497A" w:themeColor="accent4" w:themeShade="BF"/>
              <w:bottom w:val="nil"/>
              <w:right w:val="nil"/>
            </w:tcBorders>
            <w:shd w:val="clear" w:color="auto" w:fill="auto"/>
            <w:vAlign w:val="bottom"/>
          </w:tcPr>
          <w:p w14:paraId="5D9BB0AC" w14:textId="45D9322D" w:rsidR="00A66703" w:rsidRPr="001D41EA" w:rsidRDefault="00A66703" w:rsidP="001D41EA">
            <w:pPr>
              <w:spacing w:before="40" w:after="20"/>
              <w:jc w:val="right"/>
              <w:rPr>
                <w:rFonts w:cs="Arial"/>
                <w:sz w:val="18"/>
                <w:szCs w:val="18"/>
              </w:rPr>
            </w:pPr>
            <w:r w:rsidRPr="001D41EA">
              <w:rPr>
                <w:rFonts w:cs="Arial"/>
                <w:sz w:val="18"/>
                <w:szCs w:val="18"/>
              </w:rPr>
              <w:t>5,119,880</w:t>
            </w:r>
          </w:p>
        </w:tc>
        <w:tc>
          <w:tcPr>
            <w:tcW w:w="1418" w:type="dxa"/>
            <w:tcBorders>
              <w:top w:val="nil"/>
              <w:left w:val="nil"/>
              <w:bottom w:val="nil"/>
              <w:right w:val="nil"/>
            </w:tcBorders>
            <w:shd w:val="clear" w:color="auto" w:fill="auto"/>
            <w:vAlign w:val="bottom"/>
          </w:tcPr>
          <w:p w14:paraId="38D5B14B" w14:textId="3866B0CE" w:rsidR="00A66703" w:rsidRPr="001D41EA" w:rsidRDefault="00A66703" w:rsidP="001D41EA">
            <w:pPr>
              <w:spacing w:before="40" w:after="20"/>
              <w:jc w:val="right"/>
              <w:rPr>
                <w:rFonts w:cs="Arial"/>
                <w:b/>
                <w:sz w:val="18"/>
                <w:szCs w:val="18"/>
              </w:rPr>
            </w:pPr>
            <w:r w:rsidRPr="001D41EA">
              <w:rPr>
                <w:rFonts w:cs="Arial"/>
                <w:b/>
                <w:sz w:val="18"/>
                <w:szCs w:val="18"/>
              </w:rPr>
              <w:t>5,066,886</w:t>
            </w:r>
          </w:p>
        </w:tc>
        <w:tc>
          <w:tcPr>
            <w:tcW w:w="1418" w:type="dxa"/>
            <w:tcBorders>
              <w:top w:val="nil"/>
              <w:left w:val="nil"/>
              <w:bottom w:val="nil"/>
              <w:right w:val="nil"/>
            </w:tcBorders>
            <w:shd w:val="clear" w:color="auto" w:fill="auto"/>
            <w:vAlign w:val="bottom"/>
          </w:tcPr>
          <w:p w14:paraId="78FF58EB" w14:textId="56999B1D" w:rsidR="00A66703" w:rsidRPr="001D41EA" w:rsidRDefault="00A66703" w:rsidP="001D41EA">
            <w:pPr>
              <w:spacing w:before="40" w:after="20"/>
              <w:jc w:val="right"/>
              <w:rPr>
                <w:rFonts w:cs="Arial"/>
                <w:sz w:val="18"/>
                <w:szCs w:val="18"/>
              </w:rPr>
            </w:pPr>
            <w:r w:rsidRPr="001D41EA">
              <w:rPr>
                <w:rFonts w:cs="Arial"/>
                <w:sz w:val="18"/>
                <w:szCs w:val="18"/>
              </w:rPr>
              <w:t>-52,994</w:t>
            </w:r>
          </w:p>
        </w:tc>
      </w:tr>
      <w:tr w:rsidR="00A66703" w:rsidRPr="001D41EA" w14:paraId="6C5CFEF3"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EACBE83" w14:textId="77777777" w:rsidR="00A66703" w:rsidRPr="001D41EA" w:rsidRDefault="00A66703" w:rsidP="001D41EA">
            <w:pPr>
              <w:spacing w:before="40" w:after="20"/>
              <w:rPr>
                <w:rFonts w:cs="Arial"/>
                <w:sz w:val="18"/>
                <w:szCs w:val="18"/>
              </w:rPr>
            </w:pPr>
            <w:r w:rsidRPr="001D41EA">
              <w:rPr>
                <w:rFonts w:cs="Arial"/>
                <w:sz w:val="18"/>
                <w:szCs w:val="18"/>
              </w:rPr>
              <w:t xml:space="preserve">Mornington Peninsula S </w:t>
            </w:r>
          </w:p>
        </w:tc>
        <w:tc>
          <w:tcPr>
            <w:tcW w:w="1418" w:type="dxa"/>
            <w:tcBorders>
              <w:top w:val="nil"/>
              <w:left w:val="single" w:sz="18" w:space="0" w:color="5F497A" w:themeColor="accent4" w:themeShade="BF"/>
              <w:bottom w:val="nil"/>
              <w:right w:val="nil"/>
            </w:tcBorders>
            <w:shd w:val="clear" w:color="auto" w:fill="auto"/>
            <w:vAlign w:val="bottom"/>
          </w:tcPr>
          <w:p w14:paraId="541591C3" w14:textId="5DE07DED" w:rsidR="00A66703" w:rsidRPr="001D41EA" w:rsidRDefault="00A66703" w:rsidP="001D41EA">
            <w:pPr>
              <w:spacing w:before="40" w:after="20"/>
              <w:jc w:val="right"/>
              <w:rPr>
                <w:rFonts w:cs="Arial"/>
                <w:sz w:val="18"/>
                <w:szCs w:val="18"/>
              </w:rPr>
            </w:pPr>
            <w:r w:rsidRPr="001D41EA">
              <w:rPr>
                <w:rFonts w:cs="Arial"/>
                <w:sz w:val="18"/>
                <w:szCs w:val="18"/>
              </w:rPr>
              <w:t>5,885,666</w:t>
            </w:r>
          </w:p>
        </w:tc>
        <w:tc>
          <w:tcPr>
            <w:tcW w:w="1418" w:type="dxa"/>
            <w:tcBorders>
              <w:top w:val="nil"/>
              <w:left w:val="nil"/>
              <w:bottom w:val="nil"/>
              <w:right w:val="nil"/>
            </w:tcBorders>
            <w:shd w:val="clear" w:color="auto" w:fill="auto"/>
            <w:vAlign w:val="bottom"/>
          </w:tcPr>
          <w:p w14:paraId="5A85CE70" w14:textId="084BD780" w:rsidR="00A66703" w:rsidRPr="001D41EA" w:rsidRDefault="00A66703" w:rsidP="001D41EA">
            <w:pPr>
              <w:spacing w:before="40" w:after="20"/>
              <w:jc w:val="right"/>
              <w:rPr>
                <w:rFonts w:cs="Arial"/>
                <w:b/>
                <w:sz w:val="18"/>
                <w:szCs w:val="18"/>
              </w:rPr>
            </w:pPr>
            <w:r w:rsidRPr="001D41EA">
              <w:rPr>
                <w:rFonts w:cs="Arial"/>
                <w:b/>
                <w:sz w:val="18"/>
                <w:szCs w:val="18"/>
              </w:rPr>
              <w:t>5,828,948</w:t>
            </w:r>
          </w:p>
        </w:tc>
        <w:tc>
          <w:tcPr>
            <w:tcW w:w="1418" w:type="dxa"/>
            <w:tcBorders>
              <w:top w:val="nil"/>
              <w:left w:val="nil"/>
              <w:bottom w:val="nil"/>
              <w:right w:val="nil"/>
            </w:tcBorders>
            <w:shd w:val="clear" w:color="auto" w:fill="auto"/>
            <w:vAlign w:val="bottom"/>
          </w:tcPr>
          <w:p w14:paraId="5A4D8E68" w14:textId="6096FA47" w:rsidR="00A66703" w:rsidRPr="001D41EA" w:rsidRDefault="00A66703" w:rsidP="001D41EA">
            <w:pPr>
              <w:spacing w:before="40" w:after="20"/>
              <w:jc w:val="right"/>
              <w:rPr>
                <w:rFonts w:cs="Arial"/>
                <w:sz w:val="18"/>
                <w:szCs w:val="18"/>
              </w:rPr>
            </w:pPr>
            <w:r w:rsidRPr="001D41EA">
              <w:rPr>
                <w:rFonts w:cs="Arial"/>
                <w:sz w:val="18"/>
                <w:szCs w:val="18"/>
              </w:rPr>
              <w:t>-56,718</w:t>
            </w:r>
          </w:p>
        </w:tc>
      </w:tr>
      <w:tr w:rsidR="00A66703" w:rsidRPr="001D41EA" w14:paraId="086BFABD"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6ADA1F2" w14:textId="77777777" w:rsidR="00A66703" w:rsidRPr="001D41EA" w:rsidRDefault="00A66703" w:rsidP="001D41EA">
            <w:pPr>
              <w:spacing w:before="40" w:after="20"/>
              <w:rPr>
                <w:rFonts w:cs="Arial"/>
                <w:sz w:val="18"/>
                <w:szCs w:val="18"/>
              </w:rPr>
            </w:pPr>
            <w:r w:rsidRPr="001D41EA">
              <w:rPr>
                <w:rFonts w:cs="Arial"/>
                <w:sz w:val="18"/>
                <w:szCs w:val="18"/>
              </w:rPr>
              <w:t xml:space="preserve">Mount Alexander S </w:t>
            </w:r>
          </w:p>
        </w:tc>
        <w:tc>
          <w:tcPr>
            <w:tcW w:w="1418" w:type="dxa"/>
            <w:tcBorders>
              <w:top w:val="nil"/>
              <w:left w:val="single" w:sz="18" w:space="0" w:color="5F497A" w:themeColor="accent4" w:themeShade="BF"/>
              <w:bottom w:val="nil"/>
              <w:right w:val="nil"/>
            </w:tcBorders>
            <w:shd w:val="clear" w:color="auto" w:fill="auto"/>
            <w:vAlign w:val="bottom"/>
          </w:tcPr>
          <w:p w14:paraId="0E2A8986" w14:textId="1B0C5927" w:rsidR="00A66703" w:rsidRPr="001D41EA" w:rsidRDefault="00A66703" w:rsidP="001D41EA">
            <w:pPr>
              <w:spacing w:before="40" w:after="20"/>
              <w:jc w:val="right"/>
              <w:rPr>
                <w:rFonts w:cs="Arial"/>
                <w:sz w:val="18"/>
                <w:szCs w:val="18"/>
              </w:rPr>
            </w:pPr>
            <w:r w:rsidRPr="001D41EA">
              <w:rPr>
                <w:rFonts w:cs="Arial"/>
                <w:sz w:val="18"/>
                <w:szCs w:val="18"/>
              </w:rPr>
              <w:t>4,932,537</w:t>
            </w:r>
          </w:p>
        </w:tc>
        <w:tc>
          <w:tcPr>
            <w:tcW w:w="1418" w:type="dxa"/>
            <w:tcBorders>
              <w:top w:val="nil"/>
              <w:left w:val="nil"/>
              <w:bottom w:val="nil"/>
              <w:right w:val="nil"/>
            </w:tcBorders>
            <w:shd w:val="clear" w:color="auto" w:fill="auto"/>
            <w:vAlign w:val="bottom"/>
          </w:tcPr>
          <w:p w14:paraId="10EA8D89" w14:textId="43C4DB19" w:rsidR="00A66703" w:rsidRPr="001D41EA" w:rsidRDefault="00A66703" w:rsidP="001D41EA">
            <w:pPr>
              <w:spacing w:before="40" w:after="20"/>
              <w:jc w:val="right"/>
              <w:rPr>
                <w:rFonts w:cs="Arial"/>
                <w:b/>
                <w:sz w:val="18"/>
                <w:szCs w:val="18"/>
              </w:rPr>
            </w:pPr>
            <w:r w:rsidRPr="001D41EA">
              <w:rPr>
                <w:rFonts w:cs="Arial"/>
                <w:b/>
                <w:sz w:val="18"/>
                <w:szCs w:val="18"/>
              </w:rPr>
              <w:t>4,883,772</w:t>
            </w:r>
          </w:p>
        </w:tc>
        <w:tc>
          <w:tcPr>
            <w:tcW w:w="1418" w:type="dxa"/>
            <w:tcBorders>
              <w:top w:val="nil"/>
              <w:left w:val="nil"/>
              <w:bottom w:val="nil"/>
              <w:right w:val="nil"/>
            </w:tcBorders>
            <w:shd w:val="clear" w:color="auto" w:fill="auto"/>
            <w:vAlign w:val="bottom"/>
          </w:tcPr>
          <w:p w14:paraId="1144688F" w14:textId="7216352E" w:rsidR="00A66703" w:rsidRPr="001D41EA" w:rsidRDefault="00A66703" w:rsidP="001D41EA">
            <w:pPr>
              <w:spacing w:before="40" w:after="20"/>
              <w:jc w:val="right"/>
              <w:rPr>
                <w:rFonts w:cs="Arial"/>
                <w:sz w:val="18"/>
                <w:szCs w:val="18"/>
              </w:rPr>
            </w:pPr>
            <w:r w:rsidRPr="001D41EA">
              <w:rPr>
                <w:rFonts w:cs="Arial"/>
                <w:sz w:val="18"/>
                <w:szCs w:val="18"/>
              </w:rPr>
              <w:t>-48,765</w:t>
            </w:r>
          </w:p>
        </w:tc>
      </w:tr>
      <w:tr w:rsidR="00A66703" w:rsidRPr="001D41EA" w14:paraId="120B7A4E"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317ECE65" w14:textId="77777777" w:rsidR="00A66703" w:rsidRPr="001D41EA" w:rsidRDefault="00A66703" w:rsidP="001D41EA">
            <w:pPr>
              <w:spacing w:before="40" w:after="20"/>
              <w:rPr>
                <w:rFonts w:cs="Arial"/>
                <w:sz w:val="18"/>
                <w:szCs w:val="18"/>
              </w:rPr>
            </w:pPr>
            <w:r w:rsidRPr="001D41EA">
              <w:rPr>
                <w:rFonts w:cs="Arial"/>
                <w:sz w:val="18"/>
                <w:szCs w:val="18"/>
              </w:rPr>
              <w:t xml:space="preserve">Moyne S </w:t>
            </w:r>
          </w:p>
        </w:tc>
        <w:tc>
          <w:tcPr>
            <w:tcW w:w="1418" w:type="dxa"/>
            <w:tcBorders>
              <w:top w:val="nil"/>
              <w:left w:val="single" w:sz="18" w:space="0" w:color="5F497A" w:themeColor="accent4" w:themeShade="BF"/>
              <w:bottom w:val="nil"/>
              <w:right w:val="nil"/>
            </w:tcBorders>
            <w:shd w:val="clear" w:color="auto" w:fill="auto"/>
            <w:vAlign w:val="bottom"/>
          </w:tcPr>
          <w:p w14:paraId="68C0D932" w14:textId="59032384" w:rsidR="00A66703" w:rsidRPr="001D41EA" w:rsidRDefault="00A66703" w:rsidP="001D41EA">
            <w:pPr>
              <w:spacing w:before="40" w:after="20"/>
              <w:jc w:val="right"/>
              <w:rPr>
                <w:rFonts w:cs="Arial"/>
                <w:sz w:val="18"/>
                <w:szCs w:val="18"/>
              </w:rPr>
            </w:pPr>
            <w:r w:rsidRPr="001D41EA">
              <w:rPr>
                <w:rFonts w:cs="Arial"/>
                <w:sz w:val="18"/>
                <w:szCs w:val="18"/>
              </w:rPr>
              <w:t>8,657,446</w:t>
            </w:r>
          </w:p>
        </w:tc>
        <w:tc>
          <w:tcPr>
            <w:tcW w:w="1418" w:type="dxa"/>
            <w:tcBorders>
              <w:top w:val="nil"/>
              <w:left w:val="nil"/>
              <w:bottom w:val="nil"/>
              <w:right w:val="nil"/>
            </w:tcBorders>
            <w:shd w:val="clear" w:color="auto" w:fill="auto"/>
            <w:vAlign w:val="bottom"/>
          </w:tcPr>
          <w:p w14:paraId="49595191" w14:textId="687657E4" w:rsidR="00A66703" w:rsidRPr="001D41EA" w:rsidRDefault="00A66703" w:rsidP="001D41EA">
            <w:pPr>
              <w:spacing w:before="40" w:after="20"/>
              <w:jc w:val="right"/>
              <w:rPr>
                <w:rFonts w:cs="Arial"/>
                <w:b/>
                <w:sz w:val="18"/>
                <w:szCs w:val="18"/>
              </w:rPr>
            </w:pPr>
            <w:r w:rsidRPr="001D41EA">
              <w:rPr>
                <w:rFonts w:cs="Arial"/>
                <w:b/>
                <w:sz w:val="18"/>
                <w:szCs w:val="18"/>
              </w:rPr>
              <w:t>8,575,635</w:t>
            </w:r>
          </w:p>
        </w:tc>
        <w:tc>
          <w:tcPr>
            <w:tcW w:w="1418" w:type="dxa"/>
            <w:tcBorders>
              <w:top w:val="nil"/>
              <w:left w:val="nil"/>
              <w:bottom w:val="nil"/>
              <w:right w:val="nil"/>
            </w:tcBorders>
            <w:shd w:val="clear" w:color="auto" w:fill="auto"/>
            <w:vAlign w:val="bottom"/>
          </w:tcPr>
          <w:p w14:paraId="029B11EE" w14:textId="1F16B6F9" w:rsidR="00A66703" w:rsidRPr="001D41EA" w:rsidRDefault="00A66703" w:rsidP="001D41EA">
            <w:pPr>
              <w:spacing w:before="40" w:after="20"/>
              <w:jc w:val="right"/>
              <w:rPr>
                <w:rFonts w:cs="Arial"/>
                <w:sz w:val="18"/>
                <w:szCs w:val="18"/>
              </w:rPr>
            </w:pPr>
            <w:r w:rsidRPr="001D41EA">
              <w:rPr>
                <w:rFonts w:cs="Arial"/>
                <w:sz w:val="18"/>
                <w:szCs w:val="18"/>
              </w:rPr>
              <w:t>-81,811</w:t>
            </w:r>
          </w:p>
        </w:tc>
      </w:tr>
      <w:tr w:rsidR="00A66703" w:rsidRPr="001D41EA" w14:paraId="1709FE37"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5D5FC792" w14:textId="77777777" w:rsidR="00A66703" w:rsidRPr="001D41EA" w:rsidRDefault="00A66703" w:rsidP="001D41EA">
            <w:pPr>
              <w:spacing w:before="40" w:after="20"/>
              <w:rPr>
                <w:rFonts w:cs="Arial"/>
                <w:sz w:val="18"/>
                <w:szCs w:val="18"/>
              </w:rPr>
            </w:pPr>
            <w:r w:rsidRPr="001D41EA">
              <w:rPr>
                <w:rFonts w:cs="Arial"/>
                <w:sz w:val="18"/>
                <w:szCs w:val="18"/>
              </w:rPr>
              <w:t xml:space="preserve">Murrindindi S </w:t>
            </w:r>
          </w:p>
        </w:tc>
        <w:tc>
          <w:tcPr>
            <w:tcW w:w="1418" w:type="dxa"/>
            <w:tcBorders>
              <w:top w:val="nil"/>
              <w:left w:val="single" w:sz="18" w:space="0" w:color="5F497A" w:themeColor="accent4" w:themeShade="BF"/>
              <w:bottom w:val="nil"/>
              <w:right w:val="nil"/>
            </w:tcBorders>
            <w:shd w:val="clear" w:color="auto" w:fill="auto"/>
            <w:vAlign w:val="bottom"/>
          </w:tcPr>
          <w:p w14:paraId="3E781696" w14:textId="45762C93" w:rsidR="00A66703" w:rsidRPr="001D41EA" w:rsidRDefault="00A66703" w:rsidP="001D41EA">
            <w:pPr>
              <w:spacing w:before="40" w:after="20"/>
              <w:jc w:val="right"/>
              <w:rPr>
                <w:rFonts w:cs="Arial"/>
                <w:sz w:val="18"/>
                <w:szCs w:val="18"/>
              </w:rPr>
            </w:pPr>
            <w:r w:rsidRPr="001D41EA">
              <w:rPr>
                <w:rFonts w:cs="Arial"/>
                <w:sz w:val="18"/>
                <w:szCs w:val="18"/>
              </w:rPr>
              <w:t>4,642,595</w:t>
            </w:r>
          </w:p>
        </w:tc>
        <w:tc>
          <w:tcPr>
            <w:tcW w:w="1418" w:type="dxa"/>
            <w:tcBorders>
              <w:top w:val="nil"/>
              <w:left w:val="nil"/>
              <w:bottom w:val="nil"/>
              <w:right w:val="nil"/>
            </w:tcBorders>
            <w:shd w:val="clear" w:color="auto" w:fill="auto"/>
            <w:vAlign w:val="bottom"/>
          </w:tcPr>
          <w:p w14:paraId="20075D93" w14:textId="6198CD21" w:rsidR="00A66703" w:rsidRPr="001D41EA" w:rsidRDefault="00A66703" w:rsidP="001D41EA">
            <w:pPr>
              <w:spacing w:before="40" w:after="20"/>
              <w:jc w:val="right"/>
              <w:rPr>
                <w:rFonts w:cs="Arial"/>
                <w:b/>
                <w:sz w:val="18"/>
                <w:szCs w:val="18"/>
              </w:rPr>
            </w:pPr>
            <w:r w:rsidRPr="001D41EA">
              <w:rPr>
                <w:rFonts w:cs="Arial"/>
                <w:b/>
                <w:sz w:val="18"/>
                <w:szCs w:val="18"/>
              </w:rPr>
              <w:t>4,596,995</w:t>
            </w:r>
          </w:p>
        </w:tc>
        <w:tc>
          <w:tcPr>
            <w:tcW w:w="1418" w:type="dxa"/>
            <w:tcBorders>
              <w:top w:val="nil"/>
              <w:left w:val="nil"/>
              <w:bottom w:val="nil"/>
              <w:right w:val="nil"/>
            </w:tcBorders>
            <w:shd w:val="clear" w:color="auto" w:fill="auto"/>
            <w:vAlign w:val="bottom"/>
          </w:tcPr>
          <w:p w14:paraId="559D8527" w14:textId="3E026100" w:rsidR="00A66703" w:rsidRPr="001D41EA" w:rsidRDefault="00A66703" w:rsidP="001D41EA">
            <w:pPr>
              <w:spacing w:before="40" w:after="20"/>
              <w:jc w:val="right"/>
              <w:rPr>
                <w:rFonts w:cs="Arial"/>
                <w:sz w:val="18"/>
                <w:szCs w:val="18"/>
              </w:rPr>
            </w:pPr>
            <w:r w:rsidRPr="001D41EA">
              <w:rPr>
                <w:rFonts w:cs="Arial"/>
                <w:sz w:val="18"/>
                <w:szCs w:val="18"/>
              </w:rPr>
              <w:t>-45,600</w:t>
            </w:r>
          </w:p>
        </w:tc>
      </w:tr>
      <w:tr w:rsidR="00A66703" w:rsidRPr="001D41EA" w14:paraId="6DE7E5BB"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756A3DAC" w14:textId="77777777" w:rsidR="00A66703" w:rsidRPr="001D41EA" w:rsidRDefault="00A66703" w:rsidP="001D41EA">
            <w:pPr>
              <w:spacing w:before="40" w:after="20"/>
              <w:rPr>
                <w:rFonts w:cs="Arial"/>
                <w:sz w:val="18"/>
                <w:szCs w:val="18"/>
              </w:rPr>
            </w:pPr>
            <w:r w:rsidRPr="001D41EA">
              <w:rPr>
                <w:rFonts w:cs="Arial"/>
                <w:sz w:val="18"/>
                <w:szCs w:val="18"/>
              </w:rPr>
              <w:t xml:space="preserve">Nillumbik S </w:t>
            </w:r>
          </w:p>
        </w:tc>
        <w:tc>
          <w:tcPr>
            <w:tcW w:w="1418" w:type="dxa"/>
            <w:tcBorders>
              <w:top w:val="nil"/>
              <w:left w:val="single" w:sz="18" w:space="0" w:color="5F497A" w:themeColor="accent4" w:themeShade="BF"/>
              <w:bottom w:val="nil"/>
              <w:right w:val="nil"/>
            </w:tcBorders>
            <w:shd w:val="clear" w:color="auto" w:fill="auto"/>
            <w:vAlign w:val="bottom"/>
          </w:tcPr>
          <w:p w14:paraId="07CCEA72" w14:textId="7C501A0F" w:rsidR="00A66703" w:rsidRPr="001D41EA" w:rsidRDefault="00A66703" w:rsidP="001D41EA">
            <w:pPr>
              <w:spacing w:before="40" w:after="20"/>
              <w:jc w:val="right"/>
              <w:rPr>
                <w:rFonts w:cs="Arial"/>
                <w:sz w:val="18"/>
                <w:szCs w:val="18"/>
              </w:rPr>
            </w:pPr>
            <w:r w:rsidRPr="001D41EA">
              <w:rPr>
                <w:rFonts w:cs="Arial"/>
                <w:sz w:val="18"/>
                <w:szCs w:val="18"/>
              </w:rPr>
              <w:t>3,031,717</w:t>
            </w:r>
          </w:p>
        </w:tc>
        <w:tc>
          <w:tcPr>
            <w:tcW w:w="1418" w:type="dxa"/>
            <w:tcBorders>
              <w:top w:val="nil"/>
              <w:left w:val="nil"/>
              <w:bottom w:val="nil"/>
              <w:right w:val="nil"/>
            </w:tcBorders>
            <w:shd w:val="clear" w:color="auto" w:fill="auto"/>
            <w:vAlign w:val="bottom"/>
          </w:tcPr>
          <w:p w14:paraId="5B4ACDBC" w14:textId="2804A238" w:rsidR="00A66703" w:rsidRPr="001D41EA" w:rsidRDefault="00A66703" w:rsidP="001D41EA">
            <w:pPr>
              <w:spacing w:before="40" w:after="20"/>
              <w:jc w:val="right"/>
              <w:rPr>
                <w:rFonts w:cs="Arial"/>
                <w:b/>
                <w:sz w:val="18"/>
                <w:szCs w:val="18"/>
              </w:rPr>
            </w:pPr>
            <w:r w:rsidRPr="001D41EA">
              <w:rPr>
                <w:rFonts w:cs="Arial"/>
                <w:b/>
                <w:sz w:val="18"/>
                <w:szCs w:val="18"/>
              </w:rPr>
              <w:t>3,002,086</w:t>
            </w:r>
          </w:p>
        </w:tc>
        <w:tc>
          <w:tcPr>
            <w:tcW w:w="1418" w:type="dxa"/>
            <w:tcBorders>
              <w:top w:val="nil"/>
              <w:left w:val="nil"/>
              <w:bottom w:val="nil"/>
              <w:right w:val="nil"/>
            </w:tcBorders>
            <w:shd w:val="clear" w:color="auto" w:fill="auto"/>
            <w:vAlign w:val="bottom"/>
          </w:tcPr>
          <w:p w14:paraId="5FC39995" w14:textId="54D0000E" w:rsidR="00A66703" w:rsidRPr="001D41EA" w:rsidRDefault="00A66703" w:rsidP="001D41EA">
            <w:pPr>
              <w:spacing w:before="40" w:after="20"/>
              <w:jc w:val="right"/>
              <w:rPr>
                <w:rFonts w:cs="Arial"/>
                <w:sz w:val="18"/>
                <w:szCs w:val="18"/>
              </w:rPr>
            </w:pPr>
            <w:r w:rsidRPr="001D41EA">
              <w:rPr>
                <w:rFonts w:cs="Arial"/>
                <w:sz w:val="18"/>
                <w:szCs w:val="18"/>
              </w:rPr>
              <w:t>-29,631</w:t>
            </w:r>
          </w:p>
        </w:tc>
      </w:tr>
      <w:tr w:rsidR="00A66703" w:rsidRPr="001D41EA" w14:paraId="7AE1E37B"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746539C1" w14:textId="77777777" w:rsidR="00A66703" w:rsidRPr="001D41EA" w:rsidRDefault="00A66703" w:rsidP="001D41EA">
            <w:pPr>
              <w:spacing w:before="40" w:after="20"/>
              <w:rPr>
                <w:rFonts w:cs="Arial"/>
                <w:sz w:val="18"/>
                <w:szCs w:val="18"/>
              </w:rPr>
            </w:pPr>
            <w:r w:rsidRPr="001D41EA">
              <w:rPr>
                <w:rFonts w:cs="Arial"/>
                <w:sz w:val="18"/>
                <w:szCs w:val="18"/>
              </w:rPr>
              <w:t xml:space="preserve">Northern Grampians S </w:t>
            </w:r>
          </w:p>
        </w:tc>
        <w:tc>
          <w:tcPr>
            <w:tcW w:w="1418" w:type="dxa"/>
            <w:tcBorders>
              <w:top w:val="nil"/>
              <w:left w:val="single" w:sz="18" w:space="0" w:color="5F497A" w:themeColor="accent4" w:themeShade="BF"/>
              <w:bottom w:val="nil"/>
              <w:right w:val="nil"/>
            </w:tcBorders>
            <w:shd w:val="clear" w:color="auto" w:fill="auto"/>
            <w:vAlign w:val="bottom"/>
          </w:tcPr>
          <w:p w14:paraId="6A65A702" w14:textId="4A9EFE63" w:rsidR="00A66703" w:rsidRPr="001D41EA" w:rsidRDefault="00A66703" w:rsidP="001D41EA">
            <w:pPr>
              <w:spacing w:before="40" w:after="20"/>
              <w:jc w:val="right"/>
              <w:rPr>
                <w:rFonts w:cs="Arial"/>
                <w:sz w:val="18"/>
                <w:szCs w:val="18"/>
              </w:rPr>
            </w:pPr>
            <w:r w:rsidRPr="001D41EA">
              <w:rPr>
                <w:rFonts w:cs="Arial"/>
                <w:sz w:val="18"/>
                <w:szCs w:val="18"/>
              </w:rPr>
              <w:t>7,455,260</w:t>
            </w:r>
          </w:p>
        </w:tc>
        <w:tc>
          <w:tcPr>
            <w:tcW w:w="1418" w:type="dxa"/>
            <w:tcBorders>
              <w:top w:val="nil"/>
              <w:left w:val="nil"/>
              <w:bottom w:val="nil"/>
              <w:right w:val="nil"/>
            </w:tcBorders>
            <w:shd w:val="clear" w:color="auto" w:fill="auto"/>
            <w:vAlign w:val="bottom"/>
          </w:tcPr>
          <w:p w14:paraId="58C4E858" w14:textId="50920BFB" w:rsidR="00A66703" w:rsidRPr="001D41EA" w:rsidRDefault="00A66703" w:rsidP="001D41EA">
            <w:pPr>
              <w:spacing w:before="40" w:after="20"/>
              <w:jc w:val="right"/>
              <w:rPr>
                <w:rFonts w:cs="Arial"/>
                <w:b/>
                <w:sz w:val="18"/>
                <w:szCs w:val="18"/>
              </w:rPr>
            </w:pPr>
            <w:r w:rsidRPr="001D41EA">
              <w:rPr>
                <w:rFonts w:cs="Arial"/>
                <w:b/>
                <w:sz w:val="18"/>
                <w:szCs w:val="18"/>
              </w:rPr>
              <w:t>7,382,581</w:t>
            </w:r>
          </w:p>
        </w:tc>
        <w:tc>
          <w:tcPr>
            <w:tcW w:w="1418" w:type="dxa"/>
            <w:tcBorders>
              <w:top w:val="nil"/>
              <w:left w:val="nil"/>
              <w:bottom w:val="nil"/>
              <w:right w:val="nil"/>
            </w:tcBorders>
            <w:shd w:val="clear" w:color="auto" w:fill="auto"/>
            <w:vAlign w:val="bottom"/>
          </w:tcPr>
          <w:p w14:paraId="15125209" w14:textId="0DE28B3B" w:rsidR="00A66703" w:rsidRPr="001D41EA" w:rsidRDefault="00A66703" w:rsidP="001D41EA">
            <w:pPr>
              <w:spacing w:before="40" w:after="20"/>
              <w:jc w:val="right"/>
              <w:rPr>
                <w:rFonts w:cs="Arial"/>
                <w:sz w:val="18"/>
                <w:szCs w:val="18"/>
              </w:rPr>
            </w:pPr>
            <w:r w:rsidRPr="001D41EA">
              <w:rPr>
                <w:rFonts w:cs="Arial"/>
                <w:sz w:val="18"/>
                <w:szCs w:val="18"/>
              </w:rPr>
              <w:t>-72,679</w:t>
            </w:r>
          </w:p>
        </w:tc>
      </w:tr>
      <w:tr w:rsidR="00A66703" w:rsidRPr="001D41EA" w14:paraId="02DE75EE"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6E0D913" w14:textId="77777777" w:rsidR="00A66703" w:rsidRPr="001D41EA" w:rsidRDefault="00A66703" w:rsidP="001D41EA">
            <w:pPr>
              <w:spacing w:before="40" w:after="20"/>
              <w:rPr>
                <w:rFonts w:cs="Arial"/>
                <w:sz w:val="18"/>
                <w:szCs w:val="18"/>
              </w:rPr>
            </w:pPr>
            <w:r w:rsidRPr="001D41EA">
              <w:rPr>
                <w:rFonts w:cs="Arial"/>
                <w:sz w:val="18"/>
                <w:szCs w:val="18"/>
              </w:rPr>
              <w:t xml:space="preserve">Port Phillip C </w:t>
            </w:r>
          </w:p>
        </w:tc>
        <w:tc>
          <w:tcPr>
            <w:tcW w:w="1418" w:type="dxa"/>
            <w:tcBorders>
              <w:top w:val="nil"/>
              <w:left w:val="single" w:sz="18" w:space="0" w:color="5F497A" w:themeColor="accent4" w:themeShade="BF"/>
              <w:bottom w:val="nil"/>
              <w:right w:val="nil"/>
            </w:tcBorders>
            <w:shd w:val="clear" w:color="auto" w:fill="auto"/>
            <w:vAlign w:val="bottom"/>
          </w:tcPr>
          <w:p w14:paraId="3AF47D41" w14:textId="47041141" w:rsidR="00A66703" w:rsidRPr="001D41EA" w:rsidRDefault="00A66703" w:rsidP="001D41EA">
            <w:pPr>
              <w:spacing w:before="40" w:after="20"/>
              <w:jc w:val="right"/>
              <w:rPr>
                <w:rFonts w:cs="Arial"/>
                <w:sz w:val="18"/>
                <w:szCs w:val="18"/>
              </w:rPr>
            </w:pPr>
            <w:r w:rsidRPr="001D41EA">
              <w:rPr>
                <w:rFonts w:cs="Arial"/>
                <w:sz w:val="18"/>
                <w:szCs w:val="18"/>
              </w:rPr>
              <w:t>2,724,258</w:t>
            </w:r>
          </w:p>
        </w:tc>
        <w:tc>
          <w:tcPr>
            <w:tcW w:w="1418" w:type="dxa"/>
            <w:tcBorders>
              <w:top w:val="nil"/>
              <w:left w:val="nil"/>
              <w:bottom w:val="nil"/>
              <w:right w:val="nil"/>
            </w:tcBorders>
            <w:shd w:val="clear" w:color="auto" w:fill="auto"/>
            <w:vAlign w:val="bottom"/>
          </w:tcPr>
          <w:p w14:paraId="5075E7CD" w14:textId="0216B4A6" w:rsidR="00A66703" w:rsidRPr="001D41EA" w:rsidRDefault="00A66703" w:rsidP="001D41EA">
            <w:pPr>
              <w:spacing w:before="40" w:after="20"/>
              <w:jc w:val="right"/>
              <w:rPr>
                <w:rFonts w:cs="Arial"/>
                <w:b/>
                <w:sz w:val="18"/>
                <w:szCs w:val="18"/>
              </w:rPr>
            </w:pPr>
            <w:r w:rsidRPr="001D41EA">
              <w:rPr>
                <w:rFonts w:cs="Arial"/>
                <w:b/>
                <w:sz w:val="18"/>
                <w:szCs w:val="18"/>
              </w:rPr>
              <w:t>2,695,846</w:t>
            </w:r>
          </w:p>
        </w:tc>
        <w:tc>
          <w:tcPr>
            <w:tcW w:w="1418" w:type="dxa"/>
            <w:tcBorders>
              <w:top w:val="nil"/>
              <w:left w:val="nil"/>
              <w:bottom w:val="nil"/>
              <w:right w:val="nil"/>
            </w:tcBorders>
            <w:shd w:val="clear" w:color="auto" w:fill="auto"/>
            <w:vAlign w:val="bottom"/>
          </w:tcPr>
          <w:p w14:paraId="564A7E5C" w14:textId="3C1CE31A" w:rsidR="00A66703" w:rsidRPr="001D41EA" w:rsidRDefault="00A66703" w:rsidP="001D41EA">
            <w:pPr>
              <w:spacing w:before="40" w:after="20"/>
              <w:jc w:val="right"/>
              <w:rPr>
                <w:rFonts w:cs="Arial"/>
                <w:sz w:val="18"/>
                <w:szCs w:val="18"/>
              </w:rPr>
            </w:pPr>
            <w:r w:rsidRPr="001D41EA">
              <w:rPr>
                <w:rFonts w:cs="Arial"/>
                <w:sz w:val="18"/>
                <w:szCs w:val="18"/>
              </w:rPr>
              <w:t>-28,412</w:t>
            </w:r>
          </w:p>
        </w:tc>
      </w:tr>
      <w:tr w:rsidR="00A66703" w:rsidRPr="001D41EA" w14:paraId="730DC3A7"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2B5ECB28" w14:textId="77777777" w:rsidR="00A66703" w:rsidRPr="001D41EA" w:rsidRDefault="00A66703" w:rsidP="001D41EA">
            <w:pPr>
              <w:spacing w:before="40" w:after="20"/>
              <w:rPr>
                <w:rFonts w:cs="Arial"/>
                <w:sz w:val="18"/>
                <w:szCs w:val="18"/>
              </w:rPr>
            </w:pPr>
            <w:r w:rsidRPr="001D41EA">
              <w:rPr>
                <w:rFonts w:cs="Arial"/>
                <w:sz w:val="18"/>
                <w:szCs w:val="18"/>
              </w:rPr>
              <w:t xml:space="preserve">Pyrenees S </w:t>
            </w:r>
          </w:p>
        </w:tc>
        <w:tc>
          <w:tcPr>
            <w:tcW w:w="1418" w:type="dxa"/>
            <w:tcBorders>
              <w:top w:val="nil"/>
              <w:left w:val="single" w:sz="18" w:space="0" w:color="5F497A" w:themeColor="accent4" w:themeShade="BF"/>
              <w:bottom w:val="nil"/>
              <w:right w:val="nil"/>
            </w:tcBorders>
            <w:shd w:val="clear" w:color="auto" w:fill="auto"/>
            <w:vAlign w:val="bottom"/>
          </w:tcPr>
          <w:p w14:paraId="6EA49100" w14:textId="3B412906" w:rsidR="00A66703" w:rsidRPr="001D41EA" w:rsidRDefault="00A66703" w:rsidP="001D41EA">
            <w:pPr>
              <w:spacing w:before="40" w:after="20"/>
              <w:jc w:val="right"/>
              <w:rPr>
                <w:rFonts w:cs="Arial"/>
                <w:sz w:val="18"/>
                <w:szCs w:val="18"/>
              </w:rPr>
            </w:pPr>
            <w:r w:rsidRPr="001D41EA">
              <w:rPr>
                <w:rFonts w:cs="Arial"/>
                <w:sz w:val="18"/>
                <w:szCs w:val="18"/>
              </w:rPr>
              <w:t>5,463,752</w:t>
            </w:r>
          </w:p>
        </w:tc>
        <w:tc>
          <w:tcPr>
            <w:tcW w:w="1418" w:type="dxa"/>
            <w:tcBorders>
              <w:top w:val="nil"/>
              <w:left w:val="nil"/>
              <w:bottom w:val="nil"/>
              <w:right w:val="nil"/>
            </w:tcBorders>
            <w:shd w:val="clear" w:color="auto" w:fill="auto"/>
            <w:vAlign w:val="bottom"/>
          </w:tcPr>
          <w:p w14:paraId="3A5BAB2E" w14:textId="4DCFAE16" w:rsidR="00A66703" w:rsidRPr="001D41EA" w:rsidRDefault="00A66703" w:rsidP="001D41EA">
            <w:pPr>
              <w:spacing w:before="40" w:after="20"/>
              <w:jc w:val="right"/>
              <w:rPr>
                <w:rFonts w:cs="Arial"/>
                <w:b/>
                <w:sz w:val="18"/>
                <w:szCs w:val="18"/>
              </w:rPr>
            </w:pPr>
            <w:r w:rsidRPr="001D41EA">
              <w:rPr>
                <w:rFonts w:cs="Arial"/>
                <w:b/>
                <w:sz w:val="18"/>
                <w:szCs w:val="18"/>
              </w:rPr>
              <w:t>5,410,641</w:t>
            </w:r>
          </w:p>
        </w:tc>
        <w:tc>
          <w:tcPr>
            <w:tcW w:w="1418" w:type="dxa"/>
            <w:tcBorders>
              <w:top w:val="nil"/>
              <w:left w:val="nil"/>
              <w:bottom w:val="nil"/>
              <w:right w:val="nil"/>
            </w:tcBorders>
            <w:shd w:val="clear" w:color="auto" w:fill="auto"/>
            <w:vAlign w:val="bottom"/>
          </w:tcPr>
          <w:p w14:paraId="69C2D90D" w14:textId="335652D7" w:rsidR="00A66703" w:rsidRPr="001D41EA" w:rsidRDefault="00A66703" w:rsidP="001D41EA">
            <w:pPr>
              <w:spacing w:before="40" w:after="20"/>
              <w:jc w:val="right"/>
              <w:rPr>
                <w:rFonts w:cs="Arial"/>
                <w:sz w:val="18"/>
                <w:szCs w:val="18"/>
              </w:rPr>
            </w:pPr>
            <w:r w:rsidRPr="001D41EA">
              <w:rPr>
                <w:rFonts w:cs="Arial"/>
                <w:sz w:val="18"/>
                <w:szCs w:val="18"/>
              </w:rPr>
              <w:t>-53,111</w:t>
            </w:r>
          </w:p>
        </w:tc>
      </w:tr>
      <w:tr w:rsidR="00A66703" w:rsidRPr="001D41EA" w14:paraId="62D3EBD7"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7217C823" w14:textId="77777777" w:rsidR="00A66703" w:rsidRPr="001D41EA" w:rsidRDefault="00A66703" w:rsidP="001D41EA">
            <w:pPr>
              <w:spacing w:before="40" w:after="20"/>
              <w:rPr>
                <w:rFonts w:cs="Arial"/>
                <w:sz w:val="18"/>
                <w:szCs w:val="18"/>
              </w:rPr>
            </w:pPr>
            <w:r w:rsidRPr="001D41EA">
              <w:rPr>
                <w:rFonts w:cs="Arial"/>
                <w:sz w:val="18"/>
                <w:szCs w:val="18"/>
              </w:rPr>
              <w:t xml:space="preserve">Queenscliffe B </w:t>
            </w:r>
          </w:p>
        </w:tc>
        <w:tc>
          <w:tcPr>
            <w:tcW w:w="1418" w:type="dxa"/>
            <w:tcBorders>
              <w:top w:val="nil"/>
              <w:left w:val="single" w:sz="18" w:space="0" w:color="5F497A" w:themeColor="accent4" w:themeShade="BF"/>
              <w:bottom w:val="nil"/>
              <w:right w:val="nil"/>
            </w:tcBorders>
            <w:shd w:val="clear" w:color="auto" w:fill="auto"/>
            <w:vAlign w:val="bottom"/>
          </w:tcPr>
          <w:p w14:paraId="1565EB44" w14:textId="11B4DB93" w:rsidR="00A66703" w:rsidRPr="001D41EA" w:rsidRDefault="00A66703" w:rsidP="001D41EA">
            <w:pPr>
              <w:spacing w:before="40" w:after="20"/>
              <w:jc w:val="right"/>
              <w:rPr>
                <w:rFonts w:cs="Arial"/>
                <w:sz w:val="18"/>
                <w:szCs w:val="18"/>
              </w:rPr>
            </w:pPr>
            <w:r w:rsidRPr="001D41EA">
              <w:rPr>
                <w:rFonts w:cs="Arial"/>
                <w:sz w:val="18"/>
                <w:szCs w:val="18"/>
              </w:rPr>
              <w:t>270,806</w:t>
            </w:r>
          </w:p>
        </w:tc>
        <w:tc>
          <w:tcPr>
            <w:tcW w:w="1418" w:type="dxa"/>
            <w:tcBorders>
              <w:top w:val="nil"/>
              <w:left w:val="nil"/>
              <w:bottom w:val="nil"/>
              <w:right w:val="nil"/>
            </w:tcBorders>
            <w:shd w:val="clear" w:color="auto" w:fill="auto"/>
            <w:vAlign w:val="bottom"/>
          </w:tcPr>
          <w:p w14:paraId="01FF4F9F" w14:textId="6258453B" w:rsidR="00A66703" w:rsidRPr="001D41EA" w:rsidRDefault="00A66703" w:rsidP="001D41EA">
            <w:pPr>
              <w:spacing w:before="40" w:after="20"/>
              <w:jc w:val="right"/>
              <w:rPr>
                <w:rFonts w:cs="Arial"/>
                <w:b/>
                <w:sz w:val="18"/>
                <w:szCs w:val="18"/>
              </w:rPr>
            </w:pPr>
            <w:r w:rsidRPr="001D41EA">
              <w:rPr>
                <w:rFonts w:cs="Arial"/>
                <w:b/>
                <w:sz w:val="18"/>
                <w:szCs w:val="18"/>
              </w:rPr>
              <w:t>268,030</w:t>
            </w:r>
          </w:p>
        </w:tc>
        <w:tc>
          <w:tcPr>
            <w:tcW w:w="1418" w:type="dxa"/>
            <w:tcBorders>
              <w:top w:val="nil"/>
              <w:left w:val="nil"/>
              <w:bottom w:val="nil"/>
              <w:right w:val="nil"/>
            </w:tcBorders>
            <w:shd w:val="clear" w:color="auto" w:fill="auto"/>
            <w:vAlign w:val="bottom"/>
          </w:tcPr>
          <w:p w14:paraId="3A9E37EA" w14:textId="6F64D66D" w:rsidR="00A66703" w:rsidRPr="001D41EA" w:rsidRDefault="00A66703" w:rsidP="001D41EA">
            <w:pPr>
              <w:spacing w:before="40" w:after="20"/>
              <w:jc w:val="right"/>
              <w:rPr>
                <w:rFonts w:cs="Arial"/>
                <w:sz w:val="18"/>
                <w:szCs w:val="18"/>
              </w:rPr>
            </w:pPr>
            <w:r w:rsidRPr="001D41EA">
              <w:rPr>
                <w:rFonts w:cs="Arial"/>
                <w:sz w:val="18"/>
                <w:szCs w:val="18"/>
              </w:rPr>
              <w:t>-2,776</w:t>
            </w:r>
          </w:p>
        </w:tc>
      </w:tr>
      <w:tr w:rsidR="00A66703" w:rsidRPr="001D41EA" w14:paraId="5DA849B2"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770B9428" w14:textId="77777777" w:rsidR="00A66703" w:rsidRPr="001D41EA" w:rsidRDefault="00A66703" w:rsidP="001D41EA">
            <w:pPr>
              <w:spacing w:before="40" w:after="20"/>
              <w:rPr>
                <w:rFonts w:cs="Arial"/>
                <w:sz w:val="18"/>
                <w:szCs w:val="18"/>
              </w:rPr>
            </w:pPr>
            <w:r w:rsidRPr="001D41EA">
              <w:rPr>
                <w:rFonts w:cs="Arial"/>
                <w:sz w:val="18"/>
                <w:szCs w:val="18"/>
              </w:rPr>
              <w:t xml:space="preserve">South Gippsland S </w:t>
            </w:r>
          </w:p>
        </w:tc>
        <w:tc>
          <w:tcPr>
            <w:tcW w:w="1418" w:type="dxa"/>
            <w:tcBorders>
              <w:top w:val="nil"/>
              <w:left w:val="single" w:sz="18" w:space="0" w:color="5F497A" w:themeColor="accent4" w:themeShade="BF"/>
              <w:bottom w:val="nil"/>
              <w:right w:val="nil"/>
            </w:tcBorders>
            <w:shd w:val="clear" w:color="auto" w:fill="auto"/>
            <w:vAlign w:val="bottom"/>
          </w:tcPr>
          <w:p w14:paraId="123FC8CE" w14:textId="0A830651" w:rsidR="00A66703" w:rsidRPr="001D41EA" w:rsidRDefault="00A66703" w:rsidP="001D41EA">
            <w:pPr>
              <w:spacing w:before="40" w:after="20"/>
              <w:jc w:val="right"/>
              <w:rPr>
                <w:rFonts w:cs="Arial"/>
                <w:sz w:val="18"/>
                <w:szCs w:val="18"/>
              </w:rPr>
            </w:pPr>
            <w:r w:rsidRPr="001D41EA">
              <w:rPr>
                <w:rFonts w:cs="Arial"/>
                <w:sz w:val="18"/>
                <w:szCs w:val="18"/>
              </w:rPr>
              <w:t>9,640,234</w:t>
            </w:r>
          </w:p>
        </w:tc>
        <w:tc>
          <w:tcPr>
            <w:tcW w:w="1418" w:type="dxa"/>
            <w:tcBorders>
              <w:top w:val="nil"/>
              <w:left w:val="nil"/>
              <w:bottom w:val="nil"/>
              <w:right w:val="nil"/>
            </w:tcBorders>
            <w:shd w:val="clear" w:color="auto" w:fill="auto"/>
            <w:vAlign w:val="bottom"/>
          </w:tcPr>
          <w:p w14:paraId="34074D7F" w14:textId="5F96087F" w:rsidR="00A66703" w:rsidRPr="001D41EA" w:rsidRDefault="00A66703" w:rsidP="001D41EA">
            <w:pPr>
              <w:spacing w:before="40" w:after="20"/>
              <w:jc w:val="right"/>
              <w:rPr>
                <w:rFonts w:cs="Arial"/>
                <w:b/>
                <w:sz w:val="18"/>
                <w:szCs w:val="18"/>
              </w:rPr>
            </w:pPr>
            <w:r w:rsidRPr="001D41EA">
              <w:rPr>
                <w:rFonts w:cs="Arial"/>
                <w:b/>
                <w:sz w:val="18"/>
                <w:szCs w:val="18"/>
              </w:rPr>
              <w:t>9,546,171</w:t>
            </w:r>
          </w:p>
        </w:tc>
        <w:tc>
          <w:tcPr>
            <w:tcW w:w="1418" w:type="dxa"/>
            <w:tcBorders>
              <w:top w:val="nil"/>
              <w:left w:val="nil"/>
              <w:bottom w:val="nil"/>
              <w:right w:val="nil"/>
            </w:tcBorders>
            <w:shd w:val="clear" w:color="auto" w:fill="auto"/>
            <w:vAlign w:val="bottom"/>
          </w:tcPr>
          <w:p w14:paraId="1734BFA1" w14:textId="19D0DD63" w:rsidR="00A66703" w:rsidRPr="001D41EA" w:rsidRDefault="00A66703" w:rsidP="001D41EA">
            <w:pPr>
              <w:spacing w:before="40" w:after="20"/>
              <w:jc w:val="right"/>
              <w:rPr>
                <w:rFonts w:cs="Arial"/>
                <w:sz w:val="18"/>
                <w:szCs w:val="18"/>
              </w:rPr>
            </w:pPr>
            <w:r w:rsidRPr="001D41EA">
              <w:rPr>
                <w:rFonts w:cs="Arial"/>
                <w:sz w:val="18"/>
                <w:szCs w:val="18"/>
              </w:rPr>
              <w:t>-94,063</w:t>
            </w:r>
          </w:p>
        </w:tc>
      </w:tr>
      <w:tr w:rsidR="00A66703" w:rsidRPr="001D41EA" w14:paraId="61339248"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1C201313" w14:textId="77777777" w:rsidR="00A66703" w:rsidRPr="001D41EA" w:rsidRDefault="00A66703" w:rsidP="001D41EA">
            <w:pPr>
              <w:spacing w:before="40" w:after="20"/>
              <w:rPr>
                <w:rFonts w:cs="Arial"/>
                <w:sz w:val="18"/>
                <w:szCs w:val="18"/>
              </w:rPr>
            </w:pPr>
            <w:r w:rsidRPr="001D41EA">
              <w:rPr>
                <w:rFonts w:cs="Arial"/>
                <w:sz w:val="18"/>
                <w:szCs w:val="18"/>
              </w:rPr>
              <w:t xml:space="preserve">Southern Grampians S </w:t>
            </w:r>
          </w:p>
        </w:tc>
        <w:tc>
          <w:tcPr>
            <w:tcW w:w="1418" w:type="dxa"/>
            <w:tcBorders>
              <w:top w:val="nil"/>
              <w:left w:val="single" w:sz="18" w:space="0" w:color="5F497A" w:themeColor="accent4" w:themeShade="BF"/>
              <w:bottom w:val="nil"/>
              <w:right w:val="nil"/>
            </w:tcBorders>
            <w:shd w:val="clear" w:color="auto" w:fill="auto"/>
            <w:vAlign w:val="bottom"/>
          </w:tcPr>
          <w:p w14:paraId="1588787A" w14:textId="7CC9CBFE" w:rsidR="00A66703" w:rsidRPr="001D41EA" w:rsidRDefault="00A66703" w:rsidP="001D41EA">
            <w:pPr>
              <w:spacing w:before="40" w:after="20"/>
              <w:jc w:val="right"/>
              <w:rPr>
                <w:rFonts w:cs="Arial"/>
                <w:sz w:val="18"/>
                <w:szCs w:val="18"/>
              </w:rPr>
            </w:pPr>
            <w:r w:rsidRPr="001D41EA">
              <w:rPr>
                <w:rFonts w:cs="Arial"/>
                <w:sz w:val="18"/>
                <w:szCs w:val="18"/>
              </w:rPr>
              <w:t>7,478,911</w:t>
            </w:r>
          </w:p>
        </w:tc>
        <w:tc>
          <w:tcPr>
            <w:tcW w:w="1418" w:type="dxa"/>
            <w:tcBorders>
              <w:top w:val="nil"/>
              <w:left w:val="nil"/>
              <w:bottom w:val="nil"/>
              <w:right w:val="nil"/>
            </w:tcBorders>
            <w:shd w:val="clear" w:color="auto" w:fill="auto"/>
            <w:vAlign w:val="bottom"/>
          </w:tcPr>
          <w:p w14:paraId="2F82991E" w14:textId="64A3D5D8" w:rsidR="00A66703" w:rsidRPr="001D41EA" w:rsidRDefault="00A66703" w:rsidP="001D41EA">
            <w:pPr>
              <w:spacing w:before="40" w:after="20"/>
              <w:jc w:val="right"/>
              <w:rPr>
                <w:rFonts w:cs="Arial"/>
                <w:b/>
                <w:sz w:val="18"/>
                <w:szCs w:val="18"/>
              </w:rPr>
            </w:pPr>
            <w:r w:rsidRPr="001D41EA">
              <w:rPr>
                <w:rFonts w:cs="Arial"/>
                <w:b/>
                <w:sz w:val="18"/>
                <w:szCs w:val="18"/>
              </w:rPr>
              <w:t>7,406,562</w:t>
            </w:r>
          </w:p>
        </w:tc>
        <w:tc>
          <w:tcPr>
            <w:tcW w:w="1418" w:type="dxa"/>
            <w:tcBorders>
              <w:top w:val="nil"/>
              <w:left w:val="nil"/>
              <w:bottom w:val="nil"/>
              <w:right w:val="nil"/>
            </w:tcBorders>
            <w:shd w:val="clear" w:color="auto" w:fill="auto"/>
            <w:vAlign w:val="bottom"/>
          </w:tcPr>
          <w:p w14:paraId="4038E199" w14:textId="7C4FA1FF" w:rsidR="00A66703" w:rsidRPr="001D41EA" w:rsidRDefault="00A66703" w:rsidP="001D41EA">
            <w:pPr>
              <w:spacing w:before="40" w:after="20"/>
              <w:jc w:val="right"/>
              <w:rPr>
                <w:rFonts w:cs="Arial"/>
                <w:sz w:val="18"/>
                <w:szCs w:val="18"/>
              </w:rPr>
            </w:pPr>
            <w:r w:rsidRPr="001D41EA">
              <w:rPr>
                <w:rFonts w:cs="Arial"/>
                <w:sz w:val="18"/>
                <w:szCs w:val="18"/>
              </w:rPr>
              <w:t>-72,349</w:t>
            </w:r>
          </w:p>
        </w:tc>
      </w:tr>
      <w:tr w:rsidR="00A66703" w:rsidRPr="001D41EA" w14:paraId="6E9B36AE"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127FBCFC" w14:textId="77777777" w:rsidR="00A66703" w:rsidRPr="001D41EA" w:rsidRDefault="00A66703" w:rsidP="001D41EA">
            <w:pPr>
              <w:spacing w:before="40" w:after="20"/>
              <w:rPr>
                <w:rFonts w:cs="Arial"/>
                <w:sz w:val="18"/>
                <w:szCs w:val="18"/>
              </w:rPr>
            </w:pPr>
            <w:r w:rsidRPr="001D41EA">
              <w:rPr>
                <w:rFonts w:cs="Arial"/>
                <w:sz w:val="18"/>
                <w:szCs w:val="18"/>
              </w:rPr>
              <w:t xml:space="preserve">Stonnington C </w:t>
            </w:r>
          </w:p>
        </w:tc>
        <w:tc>
          <w:tcPr>
            <w:tcW w:w="1418" w:type="dxa"/>
            <w:tcBorders>
              <w:top w:val="nil"/>
              <w:left w:val="single" w:sz="18" w:space="0" w:color="5F497A" w:themeColor="accent4" w:themeShade="BF"/>
              <w:bottom w:val="nil"/>
              <w:right w:val="nil"/>
            </w:tcBorders>
            <w:shd w:val="clear" w:color="auto" w:fill="auto"/>
            <w:vAlign w:val="bottom"/>
          </w:tcPr>
          <w:p w14:paraId="4981C771" w14:textId="1606AE5F" w:rsidR="00A66703" w:rsidRPr="001D41EA" w:rsidRDefault="00A66703" w:rsidP="001D41EA">
            <w:pPr>
              <w:spacing w:before="40" w:after="20"/>
              <w:jc w:val="right"/>
              <w:rPr>
                <w:rFonts w:cs="Arial"/>
                <w:sz w:val="18"/>
                <w:szCs w:val="18"/>
              </w:rPr>
            </w:pPr>
            <w:r w:rsidRPr="001D41EA">
              <w:rPr>
                <w:rFonts w:cs="Arial"/>
                <w:sz w:val="18"/>
                <w:szCs w:val="18"/>
              </w:rPr>
              <w:t>2,833,547</w:t>
            </w:r>
          </w:p>
        </w:tc>
        <w:tc>
          <w:tcPr>
            <w:tcW w:w="1418" w:type="dxa"/>
            <w:tcBorders>
              <w:top w:val="nil"/>
              <w:left w:val="nil"/>
              <w:bottom w:val="nil"/>
              <w:right w:val="nil"/>
            </w:tcBorders>
            <w:shd w:val="clear" w:color="auto" w:fill="auto"/>
            <w:vAlign w:val="bottom"/>
          </w:tcPr>
          <w:p w14:paraId="12CD2739" w14:textId="195C3A5F" w:rsidR="00A66703" w:rsidRPr="001D41EA" w:rsidRDefault="00A66703" w:rsidP="001D41EA">
            <w:pPr>
              <w:spacing w:before="40" w:after="20"/>
              <w:jc w:val="right"/>
              <w:rPr>
                <w:rFonts w:cs="Arial"/>
                <w:b/>
                <w:sz w:val="18"/>
                <w:szCs w:val="18"/>
              </w:rPr>
            </w:pPr>
            <w:r w:rsidRPr="001D41EA">
              <w:rPr>
                <w:rFonts w:cs="Arial"/>
                <w:b/>
                <w:sz w:val="18"/>
                <w:szCs w:val="18"/>
              </w:rPr>
              <w:t>2,804,039</w:t>
            </w:r>
          </w:p>
        </w:tc>
        <w:tc>
          <w:tcPr>
            <w:tcW w:w="1418" w:type="dxa"/>
            <w:tcBorders>
              <w:top w:val="nil"/>
              <w:left w:val="nil"/>
              <w:bottom w:val="nil"/>
              <w:right w:val="nil"/>
            </w:tcBorders>
            <w:shd w:val="clear" w:color="auto" w:fill="auto"/>
            <w:vAlign w:val="bottom"/>
          </w:tcPr>
          <w:p w14:paraId="63668222" w14:textId="02380969" w:rsidR="00A66703" w:rsidRPr="001D41EA" w:rsidRDefault="00A66703" w:rsidP="001D41EA">
            <w:pPr>
              <w:spacing w:before="40" w:after="20"/>
              <w:jc w:val="right"/>
              <w:rPr>
                <w:rFonts w:cs="Arial"/>
                <w:sz w:val="18"/>
                <w:szCs w:val="18"/>
              </w:rPr>
            </w:pPr>
            <w:r w:rsidRPr="001D41EA">
              <w:rPr>
                <w:rFonts w:cs="Arial"/>
                <w:sz w:val="18"/>
                <w:szCs w:val="18"/>
              </w:rPr>
              <w:t>-29,508</w:t>
            </w:r>
          </w:p>
        </w:tc>
      </w:tr>
      <w:tr w:rsidR="00A66703" w:rsidRPr="001D41EA" w14:paraId="5050D16A"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538D935E" w14:textId="77777777" w:rsidR="00A66703" w:rsidRPr="001D41EA" w:rsidRDefault="00A66703" w:rsidP="001D41EA">
            <w:pPr>
              <w:spacing w:before="40" w:after="20"/>
              <w:rPr>
                <w:rFonts w:cs="Arial"/>
                <w:sz w:val="18"/>
                <w:szCs w:val="18"/>
              </w:rPr>
            </w:pPr>
            <w:r w:rsidRPr="001D41EA">
              <w:rPr>
                <w:rFonts w:cs="Arial"/>
                <w:sz w:val="18"/>
                <w:szCs w:val="18"/>
              </w:rPr>
              <w:t xml:space="preserve">Strathbogie S </w:t>
            </w:r>
          </w:p>
        </w:tc>
        <w:tc>
          <w:tcPr>
            <w:tcW w:w="1418" w:type="dxa"/>
            <w:tcBorders>
              <w:top w:val="nil"/>
              <w:left w:val="single" w:sz="18" w:space="0" w:color="5F497A" w:themeColor="accent4" w:themeShade="BF"/>
              <w:bottom w:val="nil"/>
              <w:right w:val="nil"/>
            </w:tcBorders>
            <w:shd w:val="clear" w:color="auto" w:fill="auto"/>
            <w:vAlign w:val="bottom"/>
          </w:tcPr>
          <w:p w14:paraId="795B5530" w14:textId="3ACDABC8" w:rsidR="00A66703" w:rsidRPr="001D41EA" w:rsidRDefault="00A66703" w:rsidP="001D41EA">
            <w:pPr>
              <w:spacing w:before="40" w:after="20"/>
              <w:jc w:val="right"/>
              <w:rPr>
                <w:rFonts w:cs="Arial"/>
                <w:sz w:val="18"/>
                <w:szCs w:val="18"/>
              </w:rPr>
            </w:pPr>
            <w:r w:rsidRPr="001D41EA">
              <w:rPr>
                <w:rFonts w:cs="Arial"/>
                <w:sz w:val="18"/>
                <w:szCs w:val="18"/>
              </w:rPr>
              <w:t>5,428,042</w:t>
            </w:r>
          </w:p>
        </w:tc>
        <w:tc>
          <w:tcPr>
            <w:tcW w:w="1418" w:type="dxa"/>
            <w:tcBorders>
              <w:top w:val="nil"/>
              <w:left w:val="nil"/>
              <w:bottom w:val="nil"/>
              <w:right w:val="nil"/>
            </w:tcBorders>
            <w:shd w:val="clear" w:color="auto" w:fill="auto"/>
            <w:vAlign w:val="bottom"/>
          </w:tcPr>
          <w:p w14:paraId="3FDFFCB0" w14:textId="7F43D8B1" w:rsidR="00A66703" w:rsidRPr="001D41EA" w:rsidRDefault="00A66703" w:rsidP="001D41EA">
            <w:pPr>
              <w:spacing w:before="40" w:after="20"/>
              <w:jc w:val="right"/>
              <w:rPr>
                <w:rFonts w:cs="Arial"/>
                <w:b/>
                <w:sz w:val="18"/>
                <w:szCs w:val="18"/>
              </w:rPr>
            </w:pPr>
            <w:r w:rsidRPr="001D41EA">
              <w:rPr>
                <w:rFonts w:cs="Arial"/>
                <w:b/>
                <w:sz w:val="18"/>
                <w:szCs w:val="18"/>
              </w:rPr>
              <w:t>5,375,526</w:t>
            </w:r>
          </w:p>
        </w:tc>
        <w:tc>
          <w:tcPr>
            <w:tcW w:w="1418" w:type="dxa"/>
            <w:tcBorders>
              <w:top w:val="nil"/>
              <w:left w:val="nil"/>
              <w:bottom w:val="nil"/>
              <w:right w:val="nil"/>
            </w:tcBorders>
            <w:shd w:val="clear" w:color="auto" w:fill="auto"/>
            <w:vAlign w:val="bottom"/>
          </w:tcPr>
          <w:p w14:paraId="0EEDB54C" w14:textId="68DD089E" w:rsidR="00A66703" w:rsidRPr="001D41EA" w:rsidRDefault="00A66703" w:rsidP="001D41EA">
            <w:pPr>
              <w:spacing w:before="40" w:after="20"/>
              <w:jc w:val="right"/>
              <w:rPr>
                <w:rFonts w:cs="Arial"/>
                <w:sz w:val="18"/>
                <w:szCs w:val="18"/>
              </w:rPr>
            </w:pPr>
            <w:r w:rsidRPr="001D41EA">
              <w:rPr>
                <w:rFonts w:cs="Arial"/>
                <w:sz w:val="18"/>
                <w:szCs w:val="18"/>
              </w:rPr>
              <w:t>-52,516</w:t>
            </w:r>
          </w:p>
        </w:tc>
      </w:tr>
      <w:tr w:rsidR="00A66703" w:rsidRPr="001D41EA" w14:paraId="604AE6B2"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77EC12D" w14:textId="77777777" w:rsidR="00A66703" w:rsidRPr="001D41EA" w:rsidRDefault="00A66703" w:rsidP="001D41EA">
            <w:pPr>
              <w:spacing w:before="40" w:after="20"/>
              <w:rPr>
                <w:rFonts w:cs="Arial"/>
                <w:sz w:val="18"/>
                <w:szCs w:val="18"/>
              </w:rPr>
            </w:pPr>
            <w:r w:rsidRPr="001D41EA">
              <w:rPr>
                <w:rFonts w:cs="Arial"/>
                <w:sz w:val="18"/>
                <w:szCs w:val="18"/>
              </w:rPr>
              <w:t xml:space="preserve">Surf Coast S </w:t>
            </w:r>
          </w:p>
        </w:tc>
        <w:tc>
          <w:tcPr>
            <w:tcW w:w="1418" w:type="dxa"/>
            <w:tcBorders>
              <w:top w:val="nil"/>
              <w:left w:val="single" w:sz="18" w:space="0" w:color="5F497A" w:themeColor="accent4" w:themeShade="BF"/>
              <w:bottom w:val="nil"/>
              <w:right w:val="nil"/>
            </w:tcBorders>
            <w:shd w:val="clear" w:color="auto" w:fill="auto"/>
            <w:vAlign w:val="bottom"/>
          </w:tcPr>
          <w:p w14:paraId="64C5A3E0" w14:textId="02A07B3B" w:rsidR="00A66703" w:rsidRPr="001D41EA" w:rsidRDefault="00A66703" w:rsidP="001D41EA">
            <w:pPr>
              <w:spacing w:before="40" w:after="20"/>
              <w:jc w:val="right"/>
              <w:rPr>
                <w:rFonts w:cs="Arial"/>
                <w:sz w:val="18"/>
                <w:szCs w:val="18"/>
              </w:rPr>
            </w:pPr>
            <w:r w:rsidRPr="001D41EA">
              <w:rPr>
                <w:rFonts w:cs="Arial"/>
                <w:sz w:val="18"/>
                <w:szCs w:val="18"/>
              </w:rPr>
              <w:t>4,349,704</w:t>
            </w:r>
          </w:p>
        </w:tc>
        <w:tc>
          <w:tcPr>
            <w:tcW w:w="1418" w:type="dxa"/>
            <w:tcBorders>
              <w:top w:val="nil"/>
              <w:left w:val="nil"/>
              <w:bottom w:val="nil"/>
              <w:right w:val="nil"/>
            </w:tcBorders>
            <w:shd w:val="clear" w:color="auto" w:fill="auto"/>
            <w:vAlign w:val="bottom"/>
          </w:tcPr>
          <w:p w14:paraId="0D2CC1FD" w14:textId="61A43423" w:rsidR="00A66703" w:rsidRPr="001D41EA" w:rsidRDefault="00A66703" w:rsidP="001D41EA">
            <w:pPr>
              <w:spacing w:before="40" w:after="20"/>
              <w:jc w:val="right"/>
              <w:rPr>
                <w:rFonts w:cs="Arial"/>
                <w:b/>
                <w:sz w:val="18"/>
                <w:szCs w:val="18"/>
              </w:rPr>
            </w:pPr>
            <w:r w:rsidRPr="001D41EA">
              <w:rPr>
                <w:rFonts w:cs="Arial"/>
                <w:b/>
                <w:sz w:val="18"/>
                <w:szCs w:val="18"/>
              </w:rPr>
              <w:t>4,307,148</w:t>
            </w:r>
          </w:p>
        </w:tc>
        <w:tc>
          <w:tcPr>
            <w:tcW w:w="1418" w:type="dxa"/>
            <w:tcBorders>
              <w:top w:val="nil"/>
              <w:left w:val="nil"/>
              <w:bottom w:val="nil"/>
              <w:right w:val="nil"/>
            </w:tcBorders>
            <w:shd w:val="clear" w:color="auto" w:fill="auto"/>
            <w:vAlign w:val="bottom"/>
          </w:tcPr>
          <w:p w14:paraId="091AB2D2" w14:textId="73711B46" w:rsidR="00A66703" w:rsidRPr="001D41EA" w:rsidRDefault="00A66703" w:rsidP="001D41EA">
            <w:pPr>
              <w:spacing w:before="40" w:after="20"/>
              <w:jc w:val="right"/>
              <w:rPr>
                <w:rFonts w:cs="Arial"/>
                <w:sz w:val="18"/>
                <w:szCs w:val="18"/>
              </w:rPr>
            </w:pPr>
            <w:r w:rsidRPr="001D41EA">
              <w:rPr>
                <w:rFonts w:cs="Arial"/>
                <w:sz w:val="18"/>
                <w:szCs w:val="18"/>
              </w:rPr>
              <w:t>-42,556</w:t>
            </w:r>
          </w:p>
        </w:tc>
      </w:tr>
      <w:tr w:rsidR="00A66703" w:rsidRPr="001D41EA" w14:paraId="711EDC63"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348134A6" w14:textId="77777777" w:rsidR="00A66703" w:rsidRPr="001D41EA" w:rsidRDefault="00A66703" w:rsidP="001D41EA">
            <w:pPr>
              <w:spacing w:before="40" w:after="20"/>
              <w:rPr>
                <w:rFonts w:cs="Arial"/>
                <w:sz w:val="18"/>
                <w:szCs w:val="18"/>
              </w:rPr>
            </w:pPr>
            <w:r w:rsidRPr="001D41EA">
              <w:rPr>
                <w:rFonts w:cs="Arial"/>
                <w:sz w:val="18"/>
                <w:szCs w:val="18"/>
              </w:rPr>
              <w:t xml:space="preserve">Swan Hill RC </w:t>
            </w:r>
          </w:p>
        </w:tc>
        <w:tc>
          <w:tcPr>
            <w:tcW w:w="1418" w:type="dxa"/>
            <w:tcBorders>
              <w:top w:val="nil"/>
              <w:left w:val="single" w:sz="18" w:space="0" w:color="5F497A" w:themeColor="accent4" w:themeShade="BF"/>
              <w:bottom w:val="nil"/>
              <w:right w:val="nil"/>
            </w:tcBorders>
            <w:shd w:val="clear" w:color="auto" w:fill="auto"/>
            <w:vAlign w:val="bottom"/>
          </w:tcPr>
          <w:p w14:paraId="5BCD930E" w14:textId="5530473C" w:rsidR="00A66703" w:rsidRPr="001D41EA" w:rsidRDefault="00A66703" w:rsidP="001D41EA">
            <w:pPr>
              <w:spacing w:before="40" w:after="20"/>
              <w:jc w:val="right"/>
              <w:rPr>
                <w:rFonts w:cs="Arial"/>
                <w:sz w:val="18"/>
                <w:szCs w:val="18"/>
              </w:rPr>
            </w:pPr>
            <w:r w:rsidRPr="001D41EA">
              <w:rPr>
                <w:rFonts w:cs="Arial"/>
                <w:sz w:val="18"/>
                <w:szCs w:val="18"/>
              </w:rPr>
              <w:t>6,803,036</w:t>
            </w:r>
          </w:p>
        </w:tc>
        <w:tc>
          <w:tcPr>
            <w:tcW w:w="1418" w:type="dxa"/>
            <w:tcBorders>
              <w:top w:val="nil"/>
              <w:left w:val="nil"/>
              <w:bottom w:val="nil"/>
              <w:right w:val="nil"/>
            </w:tcBorders>
            <w:shd w:val="clear" w:color="auto" w:fill="auto"/>
            <w:vAlign w:val="bottom"/>
          </w:tcPr>
          <w:p w14:paraId="788F5640" w14:textId="3829BDE9" w:rsidR="00A66703" w:rsidRPr="001D41EA" w:rsidRDefault="00A66703" w:rsidP="001D41EA">
            <w:pPr>
              <w:spacing w:before="40" w:after="20"/>
              <w:jc w:val="right"/>
              <w:rPr>
                <w:rFonts w:cs="Arial"/>
                <w:b/>
                <w:sz w:val="18"/>
                <w:szCs w:val="18"/>
              </w:rPr>
            </w:pPr>
            <w:r w:rsidRPr="001D41EA">
              <w:rPr>
                <w:rFonts w:cs="Arial"/>
                <w:b/>
                <w:sz w:val="18"/>
                <w:szCs w:val="18"/>
              </w:rPr>
              <w:t>6,735,508</w:t>
            </w:r>
          </w:p>
        </w:tc>
        <w:tc>
          <w:tcPr>
            <w:tcW w:w="1418" w:type="dxa"/>
            <w:tcBorders>
              <w:top w:val="nil"/>
              <w:left w:val="nil"/>
              <w:bottom w:val="nil"/>
              <w:right w:val="nil"/>
            </w:tcBorders>
            <w:shd w:val="clear" w:color="auto" w:fill="auto"/>
            <w:vAlign w:val="bottom"/>
          </w:tcPr>
          <w:p w14:paraId="2DECD11C" w14:textId="346769D0" w:rsidR="00A66703" w:rsidRPr="001D41EA" w:rsidRDefault="00A66703" w:rsidP="001D41EA">
            <w:pPr>
              <w:spacing w:before="40" w:after="20"/>
              <w:jc w:val="right"/>
              <w:rPr>
                <w:rFonts w:cs="Arial"/>
                <w:sz w:val="18"/>
                <w:szCs w:val="18"/>
              </w:rPr>
            </w:pPr>
            <w:r w:rsidRPr="001D41EA">
              <w:rPr>
                <w:rFonts w:cs="Arial"/>
                <w:sz w:val="18"/>
                <w:szCs w:val="18"/>
              </w:rPr>
              <w:t>-67,528</w:t>
            </w:r>
          </w:p>
        </w:tc>
      </w:tr>
      <w:tr w:rsidR="00A66703" w:rsidRPr="001D41EA" w14:paraId="5058DA85"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7F9AB2A" w14:textId="77777777" w:rsidR="00A66703" w:rsidRPr="001D41EA" w:rsidRDefault="00A66703" w:rsidP="001D41EA">
            <w:pPr>
              <w:spacing w:before="40" w:after="20"/>
              <w:rPr>
                <w:rFonts w:cs="Arial"/>
                <w:sz w:val="18"/>
                <w:szCs w:val="18"/>
              </w:rPr>
            </w:pPr>
            <w:r w:rsidRPr="001D41EA">
              <w:rPr>
                <w:rFonts w:cs="Arial"/>
                <w:sz w:val="18"/>
                <w:szCs w:val="18"/>
              </w:rPr>
              <w:t xml:space="preserve">Towong S </w:t>
            </w:r>
          </w:p>
        </w:tc>
        <w:tc>
          <w:tcPr>
            <w:tcW w:w="1418" w:type="dxa"/>
            <w:tcBorders>
              <w:top w:val="nil"/>
              <w:left w:val="single" w:sz="18" w:space="0" w:color="5F497A" w:themeColor="accent4" w:themeShade="BF"/>
              <w:bottom w:val="nil"/>
              <w:right w:val="nil"/>
            </w:tcBorders>
            <w:shd w:val="clear" w:color="auto" w:fill="auto"/>
            <w:vAlign w:val="bottom"/>
          </w:tcPr>
          <w:p w14:paraId="502844FF" w14:textId="7E53260D" w:rsidR="00A66703" w:rsidRPr="001D41EA" w:rsidRDefault="00A66703" w:rsidP="001D41EA">
            <w:pPr>
              <w:spacing w:before="40" w:after="20"/>
              <w:jc w:val="right"/>
              <w:rPr>
                <w:rFonts w:cs="Arial"/>
                <w:sz w:val="18"/>
                <w:szCs w:val="18"/>
              </w:rPr>
            </w:pPr>
            <w:r w:rsidRPr="001D41EA">
              <w:rPr>
                <w:rFonts w:cs="Arial"/>
                <w:sz w:val="18"/>
                <w:szCs w:val="18"/>
              </w:rPr>
              <w:t>4,684,642</w:t>
            </w:r>
          </w:p>
        </w:tc>
        <w:tc>
          <w:tcPr>
            <w:tcW w:w="1418" w:type="dxa"/>
            <w:tcBorders>
              <w:top w:val="nil"/>
              <w:left w:val="nil"/>
              <w:bottom w:val="nil"/>
              <w:right w:val="nil"/>
            </w:tcBorders>
            <w:shd w:val="clear" w:color="auto" w:fill="auto"/>
            <w:vAlign w:val="bottom"/>
          </w:tcPr>
          <w:p w14:paraId="33EBC334" w14:textId="56E7CA97" w:rsidR="00A66703" w:rsidRPr="001D41EA" w:rsidRDefault="00A66703" w:rsidP="001D41EA">
            <w:pPr>
              <w:spacing w:before="40" w:after="20"/>
              <w:jc w:val="right"/>
              <w:rPr>
                <w:rFonts w:cs="Arial"/>
                <w:b/>
                <w:sz w:val="18"/>
                <w:szCs w:val="18"/>
              </w:rPr>
            </w:pPr>
            <w:r w:rsidRPr="001D41EA">
              <w:rPr>
                <w:rFonts w:cs="Arial"/>
                <w:b/>
                <w:sz w:val="18"/>
                <w:szCs w:val="18"/>
              </w:rPr>
              <w:t>4,638,967</w:t>
            </w:r>
          </w:p>
        </w:tc>
        <w:tc>
          <w:tcPr>
            <w:tcW w:w="1418" w:type="dxa"/>
            <w:tcBorders>
              <w:top w:val="nil"/>
              <w:left w:val="nil"/>
              <w:bottom w:val="nil"/>
              <w:right w:val="nil"/>
            </w:tcBorders>
            <w:shd w:val="clear" w:color="auto" w:fill="auto"/>
            <w:vAlign w:val="bottom"/>
          </w:tcPr>
          <w:p w14:paraId="76AC7030" w14:textId="1553E517" w:rsidR="00A66703" w:rsidRPr="001D41EA" w:rsidRDefault="00A66703" w:rsidP="001D41EA">
            <w:pPr>
              <w:spacing w:before="40" w:after="20"/>
              <w:jc w:val="right"/>
              <w:rPr>
                <w:rFonts w:cs="Arial"/>
                <w:sz w:val="18"/>
                <w:szCs w:val="18"/>
              </w:rPr>
            </w:pPr>
            <w:r w:rsidRPr="001D41EA">
              <w:rPr>
                <w:rFonts w:cs="Arial"/>
                <w:sz w:val="18"/>
                <w:szCs w:val="18"/>
              </w:rPr>
              <w:t>-45,675</w:t>
            </w:r>
          </w:p>
        </w:tc>
      </w:tr>
      <w:tr w:rsidR="00A66703" w:rsidRPr="001D41EA" w14:paraId="056B4982"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7BC40E88" w14:textId="77777777" w:rsidR="00A66703" w:rsidRPr="001D41EA" w:rsidRDefault="00A66703" w:rsidP="001D41EA">
            <w:pPr>
              <w:spacing w:before="40" w:after="20"/>
              <w:rPr>
                <w:rFonts w:cs="Arial"/>
                <w:sz w:val="18"/>
                <w:szCs w:val="18"/>
              </w:rPr>
            </w:pPr>
            <w:r w:rsidRPr="001D41EA">
              <w:rPr>
                <w:rFonts w:cs="Arial"/>
                <w:sz w:val="18"/>
                <w:szCs w:val="18"/>
              </w:rPr>
              <w:t xml:space="preserve">Wangaratta RC </w:t>
            </w:r>
          </w:p>
        </w:tc>
        <w:tc>
          <w:tcPr>
            <w:tcW w:w="1418" w:type="dxa"/>
            <w:tcBorders>
              <w:top w:val="nil"/>
              <w:left w:val="single" w:sz="18" w:space="0" w:color="5F497A" w:themeColor="accent4" w:themeShade="BF"/>
              <w:bottom w:val="nil"/>
              <w:right w:val="nil"/>
            </w:tcBorders>
            <w:shd w:val="clear" w:color="auto" w:fill="auto"/>
            <w:vAlign w:val="bottom"/>
          </w:tcPr>
          <w:p w14:paraId="2B6E7F07" w14:textId="4E885BDA" w:rsidR="00A66703" w:rsidRPr="001D41EA" w:rsidRDefault="00A66703" w:rsidP="001D41EA">
            <w:pPr>
              <w:spacing w:before="40" w:after="20"/>
              <w:jc w:val="right"/>
              <w:rPr>
                <w:rFonts w:cs="Arial"/>
                <w:sz w:val="18"/>
                <w:szCs w:val="18"/>
              </w:rPr>
            </w:pPr>
            <w:r w:rsidRPr="001D41EA">
              <w:rPr>
                <w:rFonts w:cs="Arial"/>
                <w:sz w:val="18"/>
                <w:szCs w:val="18"/>
              </w:rPr>
              <w:t>7,202,208</w:t>
            </w:r>
          </w:p>
        </w:tc>
        <w:tc>
          <w:tcPr>
            <w:tcW w:w="1418" w:type="dxa"/>
            <w:tcBorders>
              <w:top w:val="nil"/>
              <w:left w:val="nil"/>
              <w:bottom w:val="nil"/>
              <w:right w:val="nil"/>
            </w:tcBorders>
            <w:shd w:val="clear" w:color="auto" w:fill="auto"/>
            <w:vAlign w:val="bottom"/>
          </w:tcPr>
          <w:p w14:paraId="490C00B1" w14:textId="60389262" w:rsidR="00A66703" w:rsidRPr="001D41EA" w:rsidRDefault="00A66703" w:rsidP="001D41EA">
            <w:pPr>
              <w:spacing w:before="40" w:after="20"/>
              <w:jc w:val="right"/>
              <w:rPr>
                <w:rFonts w:cs="Arial"/>
                <w:b/>
                <w:sz w:val="18"/>
                <w:szCs w:val="18"/>
              </w:rPr>
            </w:pPr>
            <w:r w:rsidRPr="001D41EA">
              <w:rPr>
                <w:rFonts w:cs="Arial"/>
                <w:b/>
                <w:sz w:val="18"/>
                <w:szCs w:val="18"/>
              </w:rPr>
              <w:t>7,130,883</w:t>
            </w:r>
          </w:p>
        </w:tc>
        <w:tc>
          <w:tcPr>
            <w:tcW w:w="1418" w:type="dxa"/>
            <w:tcBorders>
              <w:top w:val="nil"/>
              <w:left w:val="nil"/>
              <w:bottom w:val="nil"/>
              <w:right w:val="nil"/>
            </w:tcBorders>
            <w:shd w:val="clear" w:color="auto" w:fill="auto"/>
            <w:vAlign w:val="bottom"/>
          </w:tcPr>
          <w:p w14:paraId="6C835546" w14:textId="7554B1C9" w:rsidR="00A66703" w:rsidRPr="001D41EA" w:rsidRDefault="00A66703" w:rsidP="001D41EA">
            <w:pPr>
              <w:spacing w:before="40" w:after="20"/>
              <w:jc w:val="right"/>
              <w:rPr>
                <w:rFonts w:cs="Arial"/>
                <w:sz w:val="18"/>
                <w:szCs w:val="18"/>
              </w:rPr>
            </w:pPr>
            <w:r w:rsidRPr="001D41EA">
              <w:rPr>
                <w:rFonts w:cs="Arial"/>
                <w:sz w:val="18"/>
                <w:szCs w:val="18"/>
              </w:rPr>
              <w:t>-71,325</w:t>
            </w:r>
          </w:p>
        </w:tc>
      </w:tr>
      <w:tr w:rsidR="00A66703" w:rsidRPr="001D41EA" w14:paraId="7558ACBB"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7FEFA311" w14:textId="77777777" w:rsidR="00A66703" w:rsidRPr="001D41EA" w:rsidRDefault="00A66703" w:rsidP="001D41EA">
            <w:pPr>
              <w:spacing w:before="40" w:after="20"/>
              <w:rPr>
                <w:rFonts w:cs="Arial"/>
                <w:sz w:val="18"/>
                <w:szCs w:val="18"/>
              </w:rPr>
            </w:pPr>
            <w:r w:rsidRPr="001D41EA">
              <w:rPr>
                <w:rFonts w:cs="Arial"/>
                <w:sz w:val="18"/>
                <w:szCs w:val="18"/>
              </w:rPr>
              <w:t xml:space="preserve">Warrnambool C </w:t>
            </w:r>
          </w:p>
        </w:tc>
        <w:tc>
          <w:tcPr>
            <w:tcW w:w="1418" w:type="dxa"/>
            <w:tcBorders>
              <w:top w:val="nil"/>
              <w:left w:val="single" w:sz="18" w:space="0" w:color="5F497A" w:themeColor="accent4" w:themeShade="BF"/>
              <w:bottom w:val="nil"/>
              <w:right w:val="nil"/>
            </w:tcBorders>
            <w:shd w:val="clear" w:color="auto" w:fill="auto"/>
            <w:vAlign w:val="bottom"/>
          </w:tcPr>
          <w:p w14:paraId="274FAEC6" w14:textId="4D355358" w:rsidR="00A66703" w:rsidRPr="001D41EA" w:rsidRDefault="00A66703" w:rsidP="001D41EA">
            <w:pPr>
              <w:spacing w:before="40" w:after="20"/>
              <w:jc w:val="right"/>
              <w:rPr>
                <w:rFonts w:cs="Arial"/>
                <w:sz w:val="18"/>
                <w:szCs w:val="18"/>
              </w:rPr>
            </w:pPr>
            <w:r w:rsidRPr="001D41EA">
              <w:rPr>
                <w:rFonts w:cs="Arial"/>
                <w:sz w:val="18"/>
                <w:szCs w:val="18"/>
              </w:rPr>
              <w:t>3,772,121</w:t>
            </w:r>
          </w:p>
        </w:tc>
        <w:tc>
          <w:tcPr>
            <w:tcW w:w="1418" w:type="dxa"/>
            <w:tcBorders>
              <w:top w:val="nil"/>
              <w:left w:val="nil"/>
              <w:bottom w:val="nil"/>
              <w:right w:val="nil"/>
            </w:tcBorders>
            <w:shd w:val="clear" w:color="auto" w:fill="auto"/>
            <w:vAlign w:val="bottom"/>
          </w:tcPr>
          <w:p w14:paraId="36F0B57A" w14:textId="11CB4365" w:rsidR="00A66703" w:rsidRPr="001D41EA" w:rsidRDefault="00A66703" w:rsidP="001D41EA">
            <w:pPr>
              <w:spacing w:before="40" w:after="20"/>
              <w:jc w:val="right"/>
              <w:rPr>
                <w:rFonts w:cs="Arial"/>
                <w:b/>
                <w:sz w:val="18"/>
                <w:szCs w:val="18"/>
              </w:rPr>
            </w:pPr>
            <w:r w:rsidRPr="001D41EA">
              <w:rPr>
                <w:rFonts w:cs="Arial"/>
                <w:b/>
                <w:sz w:val="18"/>
                <w:szCs w:val="18"/>
              </w:rPr>
              <w:t>3,732,968</w:t>
            </w:r>
          </w:p>
        </w:tc>
        <w:tc>
          <w:tcPr>
            <w:tcW w:w="1418" w:type="dxa"/>
            <w:tcBorders>
              <w:top w:val="nil"/>
              <w:left w:val="nil"/>
              <w:bottom w:val="nil"/>
              <w:right w:val="nil"/>
            </w:tcBorders>
            <w:shd w:val="clear" w:color="auto" w:fill="auto"/>
            <w:vAlign w:val="bottom"/>
          </w:tcPr>
          <w:p w14:paraId="4B6ED11A" w14:textId="3DE526CC" w:rsidR="00A66703" w:rsidRPr="001D41EA" w:rsidRDefault="00A66703" w:rsidP="001D41EA">
            <w:pPr>
              <w:spacing w:before="40" w:after="20"/>
              <w:jc w:val="right"/>
              <w:rPr>
                <w:rFonts w:cs="Arial"/>
                <w:sz w:val="18"/>
                <w:szCs w:val="18"/>
              </w:rPr>
            </w:pPr>
            <w:r w:rsidRPr="001D41EA">
              <w:rPr>
                <w:rFonts w:cs="Arial"/>
                <w:sz w:val="18"/>
                <w:szCs w:val="18"/>
              </w:rPr>
              <w:t>-39,153</w:t>
            </w:r>
          </w:p>
        </w:tc>
      </w:tr>
      <w:tr w:rsidR="00A66703" w:rsidRPr="001D41EA" w14:paraId="740261C4"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65E77D6A" w14:textId="77777777" w:rsidR="00A66703" w:rsidRPr="001D41EA" w:rsidRDefault="00A66703" w:rsidP="001D41EA">
            <w:pPr>
              <w:spacing w:before="40" w:after="20"/>
              <w:rPr>
                <w:rFonts w:cs="Arial"/>
                <w:sz w:val="18"/>
                <w:szCs w:val="18"/>
              </w:rPr>
            </w:pPr>
            <w:r w:rsidRPr="001D41EA">
              <w:rPr>
                <w:rFonts w:cs="Arial"/>
                <w:sz w:val="18"/>
                <w:szCs w:val="18"/>
              </w:rPr>
              <w:t xml:space="preserve">Wellington S </w:t>
            </w:r>
          </w:p>
        </w:tc>
        <w:tc>
          <w:tcPr>
            <w:tcW w:w="1418" w:type="dxa"/>
            <w:tcBorders>
              <w:top w:val="nil"/>
              <w:left w:val="single" w:sz="18" w:space="0" w:color="5F497A" w:themeColor="accent4" w:themeShade="BF"/>
              <w:bottom w:val="nil"/>
              <w:right w:val="nil"/>
            </w:tcBorders>
            <w:shd w:val="clear" w:color="auto" w:fill="auto"/>
            <w:vAlign w:val="bottom"/>
          </w:tcPr>
          <w:p w14:paraId="7CC33288" w14:textId="1B0E474A" w:rsidR="00A66703" w:rsidRPr="001D41EA" w:rsidRDefault="00A66703" w:rsidP="001D41EA">
            <w:pPr>
              <w:spacing w:before="40" w:after="20"/>
              <w:jc w:val="right"/>
              <w:rPr>
                <w:rFonts w:cs="Arial"/>
                <w:sz w:val="18"/>
                <w:szCs w:val="18"/>
              </w:rPr>
            </w:pPr>
            <w:r w:rsidRPr="001D41EA">
              <w:rPr>
                <w:rFonts w:cs="Arial"/>
                <w:sz w:val="18"/>
                <w:szCs w:val="18"/>
              </w:rPr>
              <w:t>13,672,703</w:t>
            </w:r>
          </w:p>
        </w:tc>
        <w:tc>
          <w:tcPr>
            <w:tcW w:w="1418" w:type="dxa"/>
            <w:tcBorders>
              <w:top w:val="nil"/>
              <w:left w:val="nil"/>
              <w:bottom w:val="nil"/>
              <w:right w:val="nil"/>
            </w:tcBorders>
            <w:shd w:val="clear" w:color="auto" w:fill="auto"/>
            <w:vAlign w:val="bottom"/>
          </w:tcPr>
          <w:p w14:paraId="6776823E" w14:textId="0DD199EF" w:rsidR="00A66703" w:rsidRPr="001D41EA" w:rsidRDefault="00A66703" w:rsidP="001D41EA">
            <w:pPr>
              <w:spacing w:before="40" w:after="20"/>
              <w:jc w:val="right"/>
              <w:rPr>
                <w:rFonts w:cs="Arial"/>
                <w:b/>
                <w:sz w:val="18"/>
                <w:szCs w:val="18"/>
              </w:rPr>
            </w:pPr>
            <w:r w:rsidRPr="001D41EA">
              <w:rPr>
                <w:rFonts w:cs="Arial"/>
                <w:b/>
                <w:sz w:val="18"/>
                <w:szCs w:val="18"/>
              </w:rPr>
              <w:t>13,538,253</w:t>
            </w:r>
          </w:p>
        </w:tc>
        <w:tc>
          <w:tcPr>
            <w:tcW w:w="1418" w:type="dxa"/>
            <w:tcBorders>
              <w:top w:val="nil"/>
              <w:left w:val="nil"/>
              <w:bottom w:val="nil"/>
              <w:right w:val="nil"/>
            </w:tcBorders>
            <w:shd w:val="clear" w:color="auto" w:fill="auto"/>
            <w:vAlign w:val="bottom"/>
          </w:tcPr>
          <w:p w14:paraId="486F61A9" w14:textId="3D0B1435" w:rsidR="00A66703" w:rsidRPr="001D41EA" w:rsidRDefault="00A66703" w:rsidP="001D41EA">
            <w:pPr>
              <w:spacing w:before="40" w:after="20"/>
              <w:jc w:val="right"/>
              <w:rPr>
                <w:rFonts w:cs="Arial"/>
                <w:sz w:val="18"/>
                <w:szCs w:val="18"/>
              </w:rPr>
            </w:pPr>
            <w:r w:rsidRPr="001D41EA">
              <w:rPr>
                <w:rFonts w:cs="Arial"/>
                <w:sz w:val="18"/>
                <w:szCs w:val="18"/>
              </w:rPr>
              <w:t>-134,450</w:t>
            </w:r>
          </w:p>
        </w:tc>
      </w:tr>
      <w:tr w:rsidR="00A66703" w:rsidRPr="001D41EA" w14:paraId="088D2655"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1A6D8016" w14:textId="77777777" w:rsidR="00A66703" w:rsidRPr="001D41EA" w:rsidRDefault="00A66703" w:rsidP="001D41EA">
            <w:pPr>
              <w:spacing w:before="40" w:after="20"/>
              <w:rPr>
                <w:rFonts w:cs="Arial"/>
                <w:sz w:val="18"/>
                <w:szCs w:val="18"/>
              </w:rPr>
            </w:pPr>
            <w:r w:rsidRPr="001D41EA">
              <w:rPr>
                <w:rFonts w:cs="Arial"/>
                <w:sz w:val="18"/>
                <w:szCs w:val="18"/>
              </w:rPr>
              <w:t xml:space="preserve">West Wimmera S </w:t>
            </w:r>
          </w:p>
        </w:tc>
        <w:tc>
          <w:tcPr>
            <w:tcW w:w="1418" w:type="dxa"/>
            <w:tcBorders>
              <w:top w:val="nil"/>
              <w:left w:val="single" w:sz="18" w:space="0" w:color="5F497A" w:themeColor="accent4" w:themeShade="BF"/>
              <w:bottom w:val="nil"/>
              <w:right w:val="nil"/>
            </w:tcBorders>
            <w:shd w:val="clear" w:color="auto" w:fill="auto"/>
            <w:vAlign w:val="bottom"/>
          </w:tcPr>
          <w:p w14:paraId="75D78469" w14:textId="6D12F970" w:rsidR="00A66703" w:rsidRPr="001D41EA" w:rsidRDefault="00A66703" w:rsidP="001D41EA">
            <w:pPr>
              <w:spacing w:before="40" w:after="20"/>
              <w:jc w:val="right"/>
              <w:rPr>
                <w:rFonts w:cs="Arial"/>
                <w:sz w:val="18"/>
                <w:szCs w:val="18"/>
              </w:rPr>
            </w:pPr>
            <w:r w:rsidRPr="001D41EA">
              <w:rPr>
                <w:rFonts w:cs="Arial"/>
                <w:sz w:val="18"/>
                <w:szCs w:val="18"/>
              </w:rPr>
              <w:t>5,548,644</w:t>
            </w:r>
          </w:p>
        </w:tc>
        <w:tc>
          <w:tcPr>
            <w:tcW w:w="1418" w:type="dxa"/>
            <w:tcBorders>
              <w:top w:val="nil"/>
              <w:left w:val="nil"/>
              <w:bottom w:val="nil"/>
              <w:right w:val="nil"/>
            </w:tcBorders>
            <w:shd w:val="clear" w:color="auto" w:fill="auto"/>
            <w:vAlign w:val="bottom"/>
          </w:tcPr>
          <w:p w14:paraId="67FFA7BA" w14:textId="0BF822C5" w:rsidR="00A66703" w:rsidRPr="001D41EA" w:rsidRDefault="00A66703" w:rsidP="001D41EA">
            <w:pPr>
              <w:spacing w:before="40" w:after="20"/>
              <w:jc w:val="right"/>
              <w:rPr>
                <w:rFonts w:cs="Arial"/>
                <w:b/>
                <w:sz w:val="18"/>
                <w:szCs w:val="18"/>
              </w:rPr>
            </w:pPr>
            <w:r w:rsidRPr="001D41EA">
              <w:rPr>
                <w:rFonts w:cs="Arial"/>
                <w:b/>
                <w:sz w:val="18"/>
                <w:szCs w:val="18"/>
              </w:rPr>
              <w:t>5,495,223</w:t>
            </w:r>
          </w:p>
        </w:tc>
        <w:tc>
          <w:tcPr>
            <w:tcW w:w="1418" w:type="dxa"/>
            <w:tcBorders>
              <w:top w:val="nil"/>
              <w:left w:val="nil"/>
              <w:bottom w:val="nil"/>
              <w:right w:val="nil"/>
            </w:tcBorders>
            <w:shd w:val="clear" w:color="auto" w:fill="auto"/>
            <w:vAlign w:val="bottom"/>
          </w:tcPr>
          <w:p w14:paraId="55D286E0" w14:textId="495A9464" w:rsidR="00A66703" w:rsidRPr="001D41EA" w:rsidRDefault="00A66703" w:rsidP="001D41EA">
            <w:pPr>
              <w:spacing w:before="40" w:after="20"/>
              <w:jc w:val="right"/>
              <w:rPr>
                <w:rFonts w:cs="Arial"/>
                <w:sz w:val="18"/>
                <w:szCs w:val="18"/>
              </w:rPr>
            </w:pPr>
            <w:r w:rsidRPr="001D41EA">
              <w:rPr>
                <w:rFonts w:cs="Arial"/>
                <w:sz w:val="18"/>
                <w:szCs w:val="18"/>
              </w:rPr>
              <w:t>-53,421</w:t>
            </w:r>
          </w:p>
        </w:tc>
      </w:tr>
      <w:tr w:rsidR="00A66703" w:rsidRPr="001D41EA" w14:paraId="7ECD4D6B"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2A042E06" w14:textId="77777777" w:rsidR="00A66703" w:rsidRPr="001D41EA" w:rsidRDefault="00A66703" w:rsidP="001D41EA">
            <w:pPr>
              <w:spacing w:before="40" w:after="20"/>
              <w:rPr>
                <w:rFonts w:cs="Arial"/>
                <w:sz w:val="18"/>
                <w:szCs w:val="18"/>
              </w:rPr>
            </w:pPr>
            <w:r w:rsidRPr="001D41EA">
              <w:rPr>
                <w:rFonts w:cs="Arial"/>
                <w:sz w:val="18"/>
                <w:szCs w:val="18"/>
              </w:rPr>
              <w:t xml:space="preserve">Whitehorse C </w:t>
            </w:r>
          </w:p>
        </w:tc>
        <w:tc>
          <w:tcPr>
            <w:tcW w:w="1418" w:type="dxa"/>
            <w:tcBorders>
              <w:top w:val="nil"/>
              <w:left w:val="single" w:sz="18" w:space="0" w:color="5F497A" w:themeColor="accent4" w:themeShade="BF"/>
              <w:bottom w:val="nil"/>
              <w:right w:val="nil"/>
            </w:tcBorders>
            <w:shd w:val="clear" w:color="auto" w:fill="auto"/>
            <w:vAlign w:val="bottom"/>
          </w:tcPr>
          <w:p w14:paraId="7D6656EC" w14:textId="32FB9C57" w:rsidR="00A66703" w:rsidRPr="001D41EA" w:rsidRDefault="00A66703" w:rsidP="001D41EA">
            <w:pPr>
              <w:spacing w:before="40" w:after="20"/>
              <w:jc w:val="right"/>
              <w:rPr>
                <w:rFonts w:cs="Arial"/>
                <w:sz w:val="18"/>
                <w:szCs w:val="18"/>
              </w:rPr>
            </w:pPr>
            <w:r w:rsidRPr="001D41EA">
              <w:rPr>
                <w:rFonts w:cs="Arial"/>
                <w:sz w:val="18"/>
                <w:szCs w:val="18"/>
              </w:rPr>
              <w:t>4,641,585</w:t>
            </w:r>
          </w:p>
        </w:tc>
        <w:tc>
          <w:tcPr>
            <w:tcW w:w="1418" w:type="dxa"/>
            <w:tcBorders>
              <w:top w:val="nil"/>
              <w:left w:val="nil"/>
              <w:bottom w:val="nil"/>
              <w:right w:val="nil"/>
            </w:tcBorders>
            <w:shd w:val="clear" w:color="auto" w:fill="auto"/>
            <w:vAlign w:val="bottom"/>
          </w:tcPr>
          <w:p w14:paraId="5A218528" w14:textId="79A9918A" w:rsidR="00A66703" w:rsidRPr="001D41EA" w:rsidRDefault="00A66703" w:rsidP="001D41EA">
            <w:pPr>
              <w:spacing w:before="40" w:after="20"/>
              <w:jc w:val="right"/>
              <w:rPr>
                <w:rFonts w:cs="Arial"/>
                <w:b/>
                <w:sz w:val="18"/>
                <w:szCs w:val="18"/>
              </w:rPr>
            </w:pPr>
            <w:r w:rsidRPr="001D41EA">
              <w:rPr>
                <w:rFonts w:cs="Arial"/>
                <w:b/>
                <w:sz w:val="18"/>
                <w:szCs w:val="18"/>
              </w:rPr>
              <w:t>4,594,094</w:t>
            </w:r>
          </w:p>
        </w:tc>
        <w:tc>
          <w:tcPr>
            <w:tcW w:w="1418" w:type="dxa"/>
            <w:tcBorders>
              <w:top w:val="nil"/>
              <w:left w:val="nil"/>
              <w:bottom w:val="nil"/>
              <w:right w:val="nil"/>
            </w:tcBorders>
            <w:shd w:val="clear" w:color="auto" w:fill="auto"/>
            <w:vAlign w:val="bottom"/>
          </w:tcPr>
          <w:p w14:paraId="52FE3F40" w14:textId="79415676" w:rsidR="00A66703" w:rsidRPr="001D41EA" w:rsidRDefault="00A66703" w:rsidP="001D41EA">
            <w:pPr>
              <w:spacing w:before="40" w:after="20"/>
              <w:jc w:val="right"/>
              <w:rPr>
                <w:rFonts w:cs="Arial"/>
                <w:sz w:val="18"/>
                <w:szCs w:val="18"/>
              </w:rPr>
            </w:pPr>
            <w:r w:rsidRPr="001D41EA">
              <w:rPr>
                <w:rFonts w:cs="Arial"/>
                <w:sz w:val="18"/>
                <w:szCs w:val="18"/>
              </w:rPr>
              <w:t>-47,491</w:t>
            </w:r>
          </w:p>
        </w:tc>
      </w:tr>
      <w:tr w:rsidR="00A66703" w:rsidRPr="001D41EA" w14:paraId="6194BFE6"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251FF38A" w14:textId="77777777" w:rsidR="00A66703" w:rsidRPr="001D41EA" w:rsidRDefault="00A66703" w:rsidP="001D41EA">
            <w:pPr>
              <w:spacing w:before="40" w:after="20"/>
              <w:rPr>
                <w:rFonts w:cs="Arial"/>
                <w:sz w:val="18"/>
                <w:szCs w:val="18"/>
              </w:rPr>
            </w:pPr>
            <w:r w:rsidRPr="001D41EA">
              <w:rPr>
                <w:rFonts w:cs="Arial"/>
                <w:sz w:val="18"/>
                <w:szCs w:val="18"/>
              </w:rPr>
              <w:t xml:space="preserve">Whittlesea C </w:t>
            </w:r>
          </w:p>
        </w:tc>
        <w:tc>
          <w:tcPr>
            <w:tcW w:w="1418" w:type="dxa"/>
            <w:tcBorders>
              <w:top w:val="nil"/>
              <w:left w:val="single" w:sz="18" w:space="0" w:color="5F497A" w:themeColor="accent4" w:themeShade="BF"/>
              <w:bottom w:val="nil"/>
              <w:right w:val="nil"/>
            </w:tcBorders>
            <w:shd w:val="clear" w:color="auto" w:fill="auto"/>
            <w:vAlign w:val="bottom"/>
          </w:tcPr>
          <w:p w14:paraId="55CEBDBD" w14:textId="5A9EEC78" w:rsidR="00A66703" w:rsidRPr="001D41EA" w:rsidRDefault="00A66703" w:rsidP="001D41EA">
            <w:pPr>
              <w:spacing w:before="40" w:after="20"/>
              <w:jc w:val="right"/>
              <w:rPr>
                <w:rFonts w:cs="Arial"/>
                <w:sz w:val="18"/>
                <w:szCs w:val="18"/>
              </w:rPr>
            </w:pPr>
            <w:r w:rsidRPr="001D41EA">
              <w:rPr>
                <w:rFonts w:cs="Arial"/>
                <w:sz w:val="18"/>
                <w:szCs w:val="18"/>
              </w:rPr>
              <w:t>14,852,326</w:t>
            </w:r>
          </w:p>
        </w:tc>
        <w:tc>
          <w:tcPr>
            <w:tcW w:w="1418" w:type="dxa"/>
            <w:tcBorders>
              <w:top w:val="nil"/>
              <w:left w:val="nil"/>
              <w:bottom w:val="nil"/>
              <w:right w:val="nil"/>
            </w:tcBorders>
            <w:shd w:val="clear" w:color="auto" w:fill="auto"/>
            <w:vAlign w:val="bottom"/>
          </w:tcPr>
          <w:p w14:paraId="7751D5DF" w14:textId="1DE29E53" w:rsidR="00A66703" w:rsidRPr="001D41EA" w:rsidRDefault="00A66703" w:rsidP="001D41EA">
            <w:pPr>
              <w:spacing w:before="40" w:after="20"/>
              <w:jc w:val="right"/>
              <w:rPr>
                <w:rFonts w:cs="Arial"/>
                <w:b/>
                <w:sz w:val="18"/>
                <w:szCs w:val="18"/>
              </w:rPr>
            </w:pPr>
            <w:r w:rsidRPr="001D41EA">
              <w:rPr>
                <w:rFonts w:cs="Arial"/>
                <w:b/>
                <w:sz w:val="18"/>
                <w:szCs w:val="18"/>
              </w:rPr>
              <w:t>14,696,984</w:t>
            </w:r>
          </w:p>
        </w:tc>
        <w:tc>
          <w:tcPr>
            <w:tcW w:w="1418" w:type="dxa"/>
            <w:tcBorders>
              <w:top w:val="nil"/>
              <w:left w:val="nil"/>
              <w:bottom w:val="nil"/>
              <w:right w:val="nil"/>
            </w:tcBorders>
            <w:shd w:val="clear" w:color="auto" w:fill="auto"/>
            <w:vAlign w:val="bottom"/>
          </w:tcPr>
          <w:p w14:paraId="1986C087" w14:textId="19E08AC1" w:rsidR="00A66703" w:rsidRPr="001D41EA" w:rsidRDefault="00A66703" w:rsidP="001D41EA">
            <w:pPr>
              <w:spacing w:before="40" w:after="20"/>
              <w:jc w:val="right"/>
              <w:rPr>
                <w:rFonts w:cs="Arial"/>
                <w:sz w:val="18"/>
                <w:szCs w:val="18"/>
              </w:rPr>
            </w:pPr>
            <w:r w:rsidRPr="001D41EA">
              <w:rPr>
                <w:rFonts w:cs="Arial"/>
                <w:sz w:val="18"/>
                <w:szCs w:val="18"/>
              </w:rPr>
              <w:t>-155,342</w:t>
            </w:r>
          </w:p>
        </w:tc>
      </w:tr>
      <w:tr w:rsidR="00A66703" w:rsidRPr="001D41EA" w14:paraId="643DD480"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2292D7FD" w14:textId="77777777" w:rsidR="00A66703" w:rsidRPr="001D41EA" w:rsidRDefault="00A66703" w:rsidP="001D41EA">
            <w:pPr>
              <w:spacing w:before="40" w:after="20"/>
              <w:rPr>
                <w:rFonts w:cs="Arial"/>
                <w:sz w:val="18"/>
                <w:szCs w:val="18"/>
              </w:rPr>
            </w:pPr>
            <w:r w:rsidRPr="001D41EA">
              <w:rPr>
                <w:rFonts w:cs="Arial"/>
                <w:sz w:val="18"/>
                <w:szCs w:val="18"/>
              </w:rPr>
              <w:t xml:space="preserve">Wodonga C </w:t>
            </w:r>
          </w:p>
        </w:tc>
        <w:tc>
          <w:tcPr>
            <w:tcW w:w="1418" w:type="dxa"/>
            <w:tcBorders>
              <w:top w:val="nil"/>
              <w:left w:val="single" w:sz="18" w:space="0" w:color="5F497A" w:themeColor="accent4" w:themeShade="BF"/>
              <w:bottom w:val="nil"/>
              <w:right w:val="nil"/>
            </w:tcBorders>
            <w:shd w:val="clear" w:color="auto" w:fill="auto"/>
            <w:vAlign w:val="bottom"/>
          </w:tcPr>
          <w:p w14:paraId="7674BAEE" w14:textId="5637D538" w:rsidR="00A66703" w:rsidRPr="001D41EA" w:rsidRDefault="00A66703" w:rsidP="001D41EA">
            <w:pPr>
              <w:spacing w:before="40" w:after="20"/>
              <w:jc w:val="right"/>
              <w:rPr>
                <w:rFonts w:cs="Arial"/>
                <w:sz w:val="18"/>
                <w:szCs w:val="18"/>
              </w:rPr>
            </w:pPr>
            <w:r w:rsidRPr="001D41EA">
              <w:rPr>
                <w:rFonts w:cs="Arial"/>
                <w:sz w:val="18"/>
                <w:szCs w:val="18"/>
              </w:rPr>
              <w:t>5,180,061</w:t>
            </w:r>
          </w:p>
        </w:tc>
        <w:tc>
          <w:tcPr>
            <w:tcW w:w="1418" w:type="dxa"/>
            <w:tcBorders>
              <w:top w:val="nil"/>
              <w:left w:val="nil"/>
              <w:bottom w:val="nil"/>
              <w:right w:val="nil"/>
            </w:tcBorders>
            <w:shd w:val="clear" w:color="auto" w:fill="auto"/>
            <w:vAlign w:val="bottom"/>
          </w:tcPr>
          <w:p w14:paraId="77343B3D" w14:textId="36FBADA5" w:rsidR="00A66703" w:rsidRPr="001D41EA" w:rsidRDefault="00A66703" w:rsidP="001D41EA">
            <w:pPr>
              <w:spacing w:before="40" w:after="20"/>
              <w:jc w:val="right"/>
              <w:rPr>
                <w:rFonts w:cs="Arial"/>
                <w:b/>
                <w:sz w:val="18"/>
                <w:szCs w:val="18"/>
              </w:rPr>
            </w:pPr>
            <w:r w:rsidRPr="001D41EA">
              <w:rPr>
                <w:rFonts w:cs="Arial"/>
                <w:b/>
                <w:sz w:val="18"/>
                <w:szCs w:val="18"/>
              </w:rPr>
              <w:t>5,126,098</w:t>
            </w:r>
          </w:p>
        </w:tc>
        <w:tc>
          <w:tcPr>
            <w:tcW w:w="1418" w:type="dxa"/>
            <w:tcBorders>
              <w:top w:val="nil"/>
              <w:left w:val="nil"/>
              <w:bottom w:val="nil"/>
              <w:right w:val="nil"/>
            </w:tcBorders>
            <w:shd w:val="clear" w:color="auto" w:fill="auto"/>
            <w:vAlign w:val="bottom"/>
          </w:tcPr>
          <w:p w14:paraId="29D179E3" w14:textId="704166C9" w:rsidR="00A66703" w:rsidRPr="001D41EA" w:rsidRDefault="00A66703" w:rsidP="001D41EA">
            <w:pPr>
              <w:spacing w:before="40" w:after="20"/>
              <w:jc w:val="right"/>
              <w:rPr>
                <w:rFonts w:cs="Arial"/>
                <w:sz w:val="18"/>
                <w:szCs w:val="18"/>
              </w:rPr>
            </w:pPr>
            <w:r w:rsidRPr="001D41EA">
              <w:rPr>
                <w:rFonts w:cs="Arial"/>
                <w:sz w:val="18"/>
                <w:szCs w:val="18"/>
              </w:rPr>
              <w:t>-53,963</w:t>
            </w:r>
          </w:p>
        </w:tc>
      </w:tr>
      <w:tr w:rsidR="00A66703" w:rsidRPr="001D41EA" w14:paraId="052E0AB9"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330E26F1" w14:textId="77777777" w:rsidR="00A66703" w:rsidRPr="001D41EA" w:rsidRDefault="00A66703" w:rsidP="001D41EA">
            <w:pPr>
              <w:spacing w:before="40" w:after="20"/>
              <w:rPr>
                <w:rFonts w:cs="Arial"/>
                <w:sz w:val="18"/>
                <w:szCs w:val="18"/>
              </w:rPr>
            </w:pPr>
            <w:r w:rsidRPr="001D41EA">
              <w:rPr>
                <w:rFonts w:cs="Arial"/>
                <w:sz w:val="18"/>
                <w:szCs w:val="18"/>
              </w:rPr>
              <w:t xml:space="preserve">Wyndham C </w:t>
            </w:r>
          </w:p>
        </w:tc>
        <w:tc>
          <w:tcPr>
            <w:tcW w:w="1418" w:type="dxa"/>
            <w:tcBorders>
              <w:top w:val="nil"/>
              <w:left w:val="single" w:sz="18" w:space="0" w:color="5F497A" w:themeColor="accent4" w:themeShade="BF"/>
              <w:bottom w:val="nil"/>
              <w:right w:val="nil"/>
            </w:tcBorders>
            <w:shd w:val="clear" w:color="auto" w:fill="auto"/>
            <w:vAlign w:val="bottom"/>
          </w:tcPr>
          <w:p w14:paraId="40F8A95E" w14:textId="181110AD" w:rsidR="00A66703" w:rsidRPr="001D41EA" w:rsidRDefault="00A66703" w:rsidP="001D41EA">
            <w:pPr>
              <w:spacing w:before="40" w:after="20"/>
              <w:jc w:val="right"/>
              <w:rPr>
                <w:rFonts w:cs="Arial"/>
                <w:sz w:val="18"/>
                <w:szCs w:val="18"/>
              </w:rPr>
            </w:pPr>
            <w:r w:rsidRPr="001D41EA">
              <w:rPr>
                <w:rFonts w:cs="Arial"/>
                <w:sz w:val="18"/>
                <w:szCs w:val="18"/>
              </w:rPr>
              <w:t>17,960,357</w:t>
            </w:r>
          </w:p>
        </w:tc>
        <w:tc>
          <w:tcPr>
            <w:tcW w:w="1418" w:type="dxa"/>
            <w:tcBorders>
              <w:top w:val="nil"/>
              <w:left w:val="nil"/>
              <w:bottom w:val="nil"/>
              <w:right w:val="nil"/>
            </w:tcBorders>
            <w:shd w:val="clear" w:color="auto" w:fill="auto"/>
            <w:vAlign w:val="bottom"/>
          </w:tcPr>
          <w:p w14:paraId="1E864F5F" w14:textId="61B986CD" w:rsidR="00A66703" w:rsidRPr="001D41EA" w:rsidRDefault="00A66703" w:rsidP="001D41EA">
            <w:pPr>
              <w:spacing w:before="40" w:after="20"/>
              <w:jc w:val="right"/>
              <w:rPr>
                <w:rFonts w:cs="Arial"/>
                <w:b/>
                <w:sz w:val="18"/>
                <w:szCs w:val="18"/>
              </w:rPr>
            </w:pPr>
            <w:r w:rsidRPr="001D41EA">
              <w:rPr>
                <w:rFonts w:cs="Arial"/>
                <w:b/>
                <w:sz w:val="18"/>
                <w:szCs w:val="18"/>
              </w:rPr>
              <w:t>17,771,527</w:t>
            </w:r>
          </w:p>
        </w:tc>
        <w:tc>
          <w:tcPr>
            <w:tcW w:w="1418" w:type="dxa"/>
            <w:tcBorders>
              <w:top w:val="nil"/>
              <w:left w:val="nil"/>
              <w:bottom w:val="nil"/>
              <w:right w:val="nil"/>
            </w:tcBorders>
            <w:shd w:val="clear" w:color="auto" w:fill="auto"/>
            <w:vAlign w:val="bottom"/>
          </w:tcPr>
          <w:p w14:paraId="219FA949" w14:textId="25754B07" w:rsidR="00A66703" w:rsidRPr="001D41EA" w:rsidRDefault="00A66703" w:rsidP="001D41EA">
            <w:pPr>
              <w:spacing w:before="40" w:after="20"/>
              <w:jc w:val="right"/>
              <w:rPr>
                <w:rFonts w:cs="Arial"/>
                <w:sz w:val="18"/>
                <w:szCs w:val="18"/>
              </w:rPr>
            </w:pPr>
            <w:r w:rsidRPr="001D41EA">
              <w:rPr>
                <w:rFonts w:cs="Arial"/>
                <w:sz w:val="18"/>
                <w:szCs w:val="18"/>
              </w:rPr>
              <w:t>-188,830</w:t>
            </w:r>
          </w:p>
        </w:tc>
      </w:tr>
      <w:tr w:rsidR="00A66703" w:rsidRPr="001D41EA" w14:paraId="551A6FCC"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525E0D55" w14:textId="77777777" w:rsidR="00A66703" w:rsidRPr="001D41EA" w:rsidRDefault="00A66703" w:rsidP="001D41EA">
            <w:pPr>
              <w:spacing w:before="40" w:after="20"/>
              <w:rPr>
                <w:rFonts w:cs="Arial"/>
                <w:sz w:val="18"/>
                <w:szCs w:val="18"/>
              </w:rPr>
            </w:pPr>
            <w:r w:rsidRPr="001D41EA">
              <w:rPr>
                <w:rFonts w:cs="Arial"/>
                <w:sz w:val="18"/>
                <w:szCs w:val="18"/>
              </w:rPr>
              <w:t xml:space="preserve">Yarra C </w:t>
            </w:r>
          </w:p>
        </w:tc>
        <w:tc>
          <w:tcPr>
            <w:tcW w:w="1418" w:type="dxa"/>
            <w:tcBorders>
              <w:top w:val="nil"/>
              <w:left w:val="single" w:sz="18" w:space="0" w:color="5F497A" w:themeColor="accent4" w:themeShade="BF"/>
              <w:bottom w:val="nil"/>
              <w:right w:val="nil"/>
            </w:tcBorders>
            <w:shd w:val="clear" w:color="auto" w:fill="auto"/>
            <w:vAlign w:val="bottom"/>
          </w:tcPr>
          <w:p w14:paraId="7D326392" w14:textId="1FCC1C3E" w:rsidR="00A66703" w:rsidRPr="001D41EA" w:rsidRDefault="00A66703" w:rsidP="001D41EA">
            <w:pPr>
              <w:spacing w:before="40" w:after="20"/>
              <w:jc w:val="right"/>
              <w:rPr>
                <w:rFonts w:cs="Arial"/>
                <w:sz w:val="18"/>
                <w:szCs w:val="18"/>
              </w:rPr>
            </w:pPr>
            <w:r w:rsidRPr="001D41EA">
              <w:rPr>
                <w:rFonts w:cs="Arial"/>
                <w:sz w:val="18"/>
                <w:szCs w:val="18"/>
              </w:rPr>
              <w:t>2,403,677</w:t>
            </w:r>
          </w:p>
        </w:tc>
        <w:tc>
          <w:tcPr>
            <w:tcW w:w="1418" w:type="dxa"/>
            <w:tcBorders>
              <w:top w:val="nil"/>
              <w:left w:val="nil"/>
              <w:bottom w:val="nil"/>
              <w:right w:val="nil"/>
            </w:tcBorders>
            <w:shd w:val="clear" w:color="auto" w:fill="auto"/>
            <w:vAlign w:val="bottom"/>
          </w:tcPr>
          <w:p w14:paraId="1122D53F" w14:textId="7464420C" w:rsidR="00A66703" w:rsidRPr="001D41EA" w:rsidRDefault="00A66703" w:rsidP="001D41EA">
            <w:pPr>
              <w:spacing w:before="40" w:after="20"/>
              <w:jc w:val="right"/>
              <w:rPr>
                <w:rFonts w:cs="Arial"/>
                <w:b/>
                <w:sz w:val="18"/>
                <w:szCs w:val="18"/>
              </w:rPr>
            </w:pPr>
            <w:r w:rsidRPr="001D41EA">
              <w:rPr>
                <w:rFonts w:cs="Arial"/>
                <w:b/>
                <w:sz w:val="18"/>
                <w:szCs w:val="18"/>
              </w:rPr>
              <w:t>2,378,674</w:t>
            </w:r>
          </w:p>
        </w:tc>
        <w:tc>
          <w:tcPr>
            <w:tcW w:w="1418" w:type="dxa"/>
            <w:tcBorders>
              <w:top w:val="nil"/>
              <w:left w:val="nil"/>
              <w:bottom w:val="nil"/>
              <w:right w:val="nil"/>
            </w:tcBorders>
            <w:shd w:val="clear" w:color="auto" w:fill="auto"/>
            <w:vAlign w:val="bottom"/>
          </w:tcPr>
          <w:p w14:paraId="005B9973" w14:textId="4546CA29" w:rsidR="00A66703" w:rsidRPr="001D41EA" w:rsidRDefault="00A66703" w:rsidP="001D41EA">
            <w:pPr>
              <w:spacing w:before="40" w:after="20"/>
              <w:jc w:val="right"/>
              <w:rPr>
                <w:rFonts w:cs="Arial"/>
                <w:sz w:val="18"/>
                <w:szCs w:val="18"/>
              </w:rPr>
            </w:pPr>
            <w:r w:rsidRPr="001D41EA">
              <w:rPr>
                <w:rFonts w:cs="Arial"/>
                <w:sz w:val="18"/>
                <w:szCs w:val="18"/>
              </w:rPr>
              <w:t>-25,003</w:t>
            </w:r>
          </w:p>
        </w:tc>
      </w:tr>
      <w:tr w:rsidR="00A66703" w:rsidRPr="001D41EA" w14:paraId="4964EEA7"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723FC697" w14:textId="77777777" w:rsidR="00A66703" w:rsidRPr="001D41EA" w:rsidRDefault="00A66703" w:rsidP="001D41EA">
            <w:pPr>
              <w:spacing w:before="40" w:after="20"/>
              <w:rPr>
                <w:rFonts w:cs="Arial"/>
                <w:sz w:val="18"/>
                <w:szCs w:val="18"/>
              </w:rPr>
            </w:pPr>
            <w:r w:rsidRPr="001D41EA">
              <w:rPr>
                <w:rFonts w:cs="Arial"/>
                <w:sz w:val="18"/>
                <w:szCs w:val="18"/>
              </w:rPr>
              <w:t xml:space="preserve">Yarra Ranges S </w:t>
            </w:r>
          </w:p>
        </w:tc>
        <w:tc>
          <w:tcPr>
            <w:tcW w:w="1418" w:type="dxa"/>
            <w:tcBorders>
              <w:top w:val="nil"/>
              <w:left w:val="single" w:sz="18" w:space="0" w:color="5F497A" w:themeColor="accent4" w:themeShade="BF"/>
              <w:bottom w:val="nil"/>
              <w:right w:val="nil"/>
            </w:tcBorders>
            <w:shd w:val="clear" w:color="auto" w:fill="auto"/>
            <w:vAlign w:val="bottom"/>
          </w:tcPr>
          <w:p w14:paraId="13B28326" w14:textId="47C64DDA" w:rsidR="00A66703" w:rsidRPr="001D41EA" w:rsidRDefault="00A66703" w:rsidP="001D41EA">
            <w:pPr>
              <w:spacing w:before="40" w:after="20"/>
              <w:jc w:val="right"/>
              <w:rPr>
                <w:rFonts w:cs="Arial"/>
                <w:sz w:val="18"/>
                <w:szCs w:val="18"/>
              </w:rPr>
            </w:pPr>
            <w:r w:rsidRPr="001D41EA">
              <w:rPr>
                <w:rFonts w:cs="Arial"/>
                <w:sz w:val="18"/>
                <w:szCs w:val="18"/>
              </w:rPr>
              <w:t>14,103,708</w:t>
            </w:r>
          </w:p>
        </w:tc>
        <w:tc>
          <w:tcPr>
            <w:tcW w:w="1418" w:type="dxa"/>
            <w:tcBorders>
              <w:top w:val="nil"/>
              <w:left w:val="nil"/>
              <w:bottom w:val="nil"/>
              <w:right w:val="nil"/>
            </w:tcBorders>
            <w:shd w:val="clear" w:color="auto" w:fill="auto"/>
            <w:vAlign w:val="bottom"/>
          </w:tcPr>
          <w:p w14:paraId="425DF8AF" w14:textId="1DA57E90" w:rsidR="00A66703" w:rsidRPr="001D41EA" w:rsidRDefault="00A66703" w:rsidP="001D41EA">
            <w:pPr>
              <w:spacing w:before="40" w:after="20"/>
              <w:jc w:val="right"/>
              <w:rPr>
                <w:rFonts w:cs="Arial"/>
                <w:b/>
                <w:sz w:val="18"/>
                <w:szCs w:val="18"/>
              </w:rPr>
            </w:pPr>
            <w:r w:rsidRPr="001D41EA">
              <w:rPr>
                <w:rFonts w:cs="Arial"/>
                <w:b/>
                <w:sz w:val="18"/>
                <w:szCs w:val="18"/>
              </w:rPr>
              <w:t>13,959,893</w:t>
            </w:r>
          </w:p>
        </w:tc>
        <w:tc>
          <w:tcPr>
            <w:tcW w:w="1418" w:type="dxa"/>
            <w:tcBorders>
              <w:top w:val="nil"/>
              <w:left w:val="nil"/>
              <w:bottom w:val="nil"/>
              <w:right w:val="nil"/>
            </w:tcBorders>
            <w:shd w:val="clear" w:color="auto" w:fill="auto"/>
            <w:vAlign w:val="bottom"/>
          </w:tcPr>
          <w:p w14:paraId="2A1A2E0A" w14:textId="70F51009" w:rsidR="00A66703" w:rsidRPr="001D41EA" w:rsidRDefault="00A66703" w:rsidP="001D41EA">
            <w:pPr>
              <w:spacing w:before="40" w:after="20"/>
              <w:jc w:val="right"/>
              <w:rPr>
                <w:rFonts w:cs="Arial"/>
                <w:sz w:val="18"/>
                <w:szCs w:val="18"/>
              </w:rPr>
            </w:pPr>
            <w:r w:rsidRPr="001D41EA">
              <w:rPr>
                <w:rFonts w:cs="Arial"/>
                <w:sz w:val="18"/>
                <w:szCs w:val="18"/>
              </w:rPr>
              <w:t>-143,815</w:t>
            </w:r>
          </w:p>
        </w:tc>
      </w:tr>
      <w:tr w:rsidR="00A66703" w:rsidRPr="001D41EA" w14:paraId="658FAB01" w14:textId="77777777" w:rsidTr="00BA7CD0">
        <w:trPr>
          <w:trHeight w:val="20"/>
        </w:trPr>
        <w:tc>
          <w:tcPr>
            <w:tcW w:w="2268" w:type="dxa"/>
            <w:tcBorders>
              <w:top w:val="nil"/>
              <w:left w:val="nil"/>
              <w:bottom w:val="nil"/>
              <w:right w:val="single" w:sz="18" w:space="0" w:color="5F497A" w:themeColor="accent4" w:themeShade="BF"/>
            </w:tcBorders>
            <w:shd w:val="clear" w:color="auto" w:fill="auto"/>
            <w:vAlign w:val="center"/>
          </w:tcPr>
          <w:p w14:paraId="40245F46" w14:textId="77777777" w:rsidR="00A66703" w:rsidRPr="001D41EA" w:rsidRDefault="00A66703" w:rsidP="001D41EA">
            <w:pPr>
              <w:spacing w:before="40" w:after="20"/>
              <w:rPr>
                <w:rFonts w:cs="Arial"/>
                <w:sz w:val="18"/>
                <w:szCs w:val="18"/>
              </w:rPr>
            </w:pPr>
            <w:r w:rsidRPr="001D41EA">
              <w:rPr>
                <w:rFonts w:cs="Arial"/>
                <w:sz w:val="18"/>
                <w:szCs w:val="18"/>
              </w:rPr>
              <w:t xml:space="preserve">Yarriambiack S </w:t>
            </w:r>
          </w:p>
        </w:tc>
        <w:tc>
          <w:tcPr>
            <w:tcW w:w="1418" w:type="dxa"/>
            <w:tcBorders>
              <w:top w:val="nil"/>
              <w:left w:val="single" w:sz="18" w:space="0" w:color="5F497A" w:themeColor="accent4" w:themeShade="BF"/>
              <w:right w:val="nil"/>
            </w:tcBorders>
            <w:shd w:val="clear" w:color="auto" w:fill="auto"/>
            <w:vAlign w:val="bottom"/>
          </w:tcPr>
          <w:p w14:paraId="4E67DBC4" w14:textId="04750C2E" w:rsidR="00A66703" w:rsidRPr="001D41EA" w:rsidRDefault="00A66703" w:rsidP="001D41EA">
            <w:pPr>
              <w:spacing w:before="40" w:after="20"/>
              <w:jc w:val="right"/>
              <w:rPr>
                <w:rFonts w:cs="Arial"/>
                <w:sz w:val="18"/>
                <w:szCs w:val="18"/>
              </w:rPr>
            </w:pPr>
            <w:r w:rsidRPr="001D41EA">
              <w:rPr>
                <w:rFonts w:cs="Arial"/>
                <w:sz w:val="18"/>
                <w:szCs w:val="18"/>
              </w:rPr>
              <w:t>5,326,949</w:t>
            </w:r>
          </w:p>
        </w:tc>
        <w:tc>
          <w:tcPr>
            <w:tcW w:w="1418" w:type="dxa"/>
            <w:tcBorders>
              <w:top w:val="nil"/>
              <w:left w:val="nil"/>
              <w:right w:val="nil"/>
            </w:tcBorders>
            <w:shd w:val="clear" w:color="auto" w:fill="auto"/>
            <w:vAlign w:val="bottom"/>
          </w:tcPr>
          <w:p w14:paraId="0166D828" w14:textId="1960EB33" w:rsidR="00A66703" w:rsidRPr="001D41EA" w:rsidRDefault="00A66703" w:rsidP="001D41EA">
            <w:pPr>
              <w:spacing w:before="40" w:after="20"/>
              <w:jc w:val="right"/>
              <w:rPr>
                <w:rFonts w:cs="Arial"/>
                <w:b/>
                <w:sz w:val="18"/>
                <w:szCs w:val="18"/>
              </w:rPr>
            </w:pPr>
            <w:r w:rsidRPr="001D41EA">
              <w:rPr>
                <w:rFonts w:cs="Arial"/>
                <w:b/>
                <w:sz w:val="18"/>
                <w:szCs w:val="18"/>
              </w:rPr>
              <w:t>5,274,996</w:t>
            </w:r>
          </w:p>
        </w:tc>
        <w:tc>
          <w:tcPr>
            <w:tcW w:w="1418" w:type="dxa"/>
            <w:tcBorders>
              <w:top w:val="nil"/>
              <w:left w:val="nil"/>
              <w:right w:val="nil"/>
            </w:tcBorders>
            <w:shd w:val="clear" w:color="auto" w:fill="auto"/>
            <w:vAlign w:val="bottom"/>
          </w:tcPr>
          <w:p w14:paraId="617F23DC" w14:textId="362BB6A1" w:rsidR="00A66703" w:rsidRPr="001D41EA" w:rsidRDefault="00A66703" w:rsidP="001D41EA">
            <w:pPr>
              <w:spacing w:before="40" w:after="20"/>
              <w:jc w:val="right"/>
              <w:rPr>
                <w:rFonts w:cs="Arial"/>
                <w:sz w:val="18"/>
                <w:szCs w:val="18"/>
              </w:rPr>
            </w:pPr>
            <w:r w:rsidRPr="001D41EA">
              <w:rPr>
                <w:rFonts w:cs="Arial"/>
                <w:sz w:val="18"/>
                <w:szCs w:val="18"/>
              </w:rPr>
              <w:t>-51,953</w:t>
            </w:r>
          </w:p>
        </w:tc>
      </w:tr>
      <w:tr w:rsidR="00A66703" w:rsidRPr="001D41EA" w14:paraId="77E4ED3B" w14:textId="77777777" w:rsidTr="00C60457">
        <w:trPr>
          <w:trHeight w:val="20"/>
        </w:trPr>
        <w:tc>
          <w:tcPr>
            <w:tcW w:w="2268" w:type="dxa"/>
            <w:tcBorders>
              <w:top w:val="nil"/>
              <w:left w:val="nil"/>
              <w:right w:val="single" w:sz="18" w:space="0" w:color="5F497A" w:themeColor="accent4" w:themeShade="BF"/>
            </w:tcBorders>
            <w:shd w:val="clear" w:color="auto" w:fill="auto"/>
            <w:vAlign w:val="center"/>
          </w:tcPr>
          <w:p w14:paraId="53A022DF" w14:textId="77777777" w:rsidR="00A66703" w:rsidRPr="001D41EA" w:rsidRDefault="00A66703" w:rsidP="001D41EA">
            <w:pPr>
              <w:spacing w:before="40" w:after="20"/>
              <w:rPr>
                <w:rFonts w:cs="Arial"/>
                <w:sz w:val="18"/>
                <w:szCs w:val="18"/>
              </w:rPr>
            </w:pPr>
          </w:p>
        </w:tc>
        <w:tc>
          <w:tcPr>
            <w:tcW w:w="1418"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4166B93A" w14:textId="460A13AF" w:rsidR="00A66703" w:rsidRPr="001D41EA" w:rsidRDefault="00A66703"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single" w:sz="8" w:space="0" w:color="5F497A" w:themeColor="accent4" w:themeShade="BF"/>
              <w:right w:val="nil"/>
            </w:tcBorders>
            <w:shd w:val="clear" w:color="auto" w:fill="auto"/>
            <w:vAlign w:val="bottom"/>
          </w:tcPr>
          <w:p w14:paraId="1CDCB559" w14:textId="77777777" w:rsidR="00A66703" w:rsidRPr="001D41EA" w:rsidRDefault="00A66703" w:rsidP="001D41EA">
            <w:pPr>
              <w:spacing w:before="40" w:after="20"/>
              <w:jc w:val="right"/>
              <w:rPr>
                <w:rFonts w:cs="Arial"/>
                <w:b/>
                <w:sz w:val="18"/>
                <w:szCs w:val="18"/>
              </w:rPr>
            </w:pPr>
          </w:p>
        </w:tc>
        <w:tc>
          <w:tcPr>
            <w:tcW w:w="1418" w:type="dxa"/>
            <w:tcBorders>
              <w:top w:val="nil"/>
              <w:left w:val="nil"/>
              <w:bottom w:val="single" w:sz="8" w:space="0" w:color="5F497A" w:themeColor="accent4" w:themeShade="BF"/>
              <w:right w:val="nil"/>
            </w:tcBorders>
            <w:shd w:val="clear" w:color="auto" w:fill="auto"/>
            <w:vAlign w:val="bottom"/>
          </w:tcPr>
          <w:p w14:paraId="5A25D18D" w14:textId="0BA1E836" w:rsidR="00A66703" w:rsidRPr="001D41EA" w:rsidRDefault="00A66703" w:rsidP="001D41EA">
            <w:pPr>
              <w:spacing w:before="40" w:after="20"/>
              <w:jc w:val="right"/>
              <w:rPr>
                <w:rFonts w:cs="Arial"/>
                <w:sz w:val="18"/>
                <w:szCs w:val="18"/>
              </w:rPr>
            </w:pPr>
            <w:r w:rsidRPr="001D41EA">
              <w:rPr>
                <w:rFonts w:cs="Arial"/>
                <w:sz w:val="18"/>
                <w:szCs w:val="18"/>
              </w:rPr>
              <w:t> </w:t>
            </w:r>
          </w:p>
        </w:tc>
      </w:tr>
      <w:tr w:rsidR="00A66703" w:rsidRPr="001D41EA" w14:paraId="486EE4A4" w14:textId="77777777" w:rsidTr="00C60457">
        <w:trPr>
          <w:trHeight w:val="20"/>
        </w:trPr>
        <w:tc>
          <w:tcPr>
            <w:tcW w:w="2268" w:type="dxa"/>
            <w:tcBorders>
              <w:top w:val="nil"/>
              <w:left w:val="nil"/>
              <w:right w:val="single" w:sz="18" w:space="0" w:color="5F497A" w:themeColor="accent4" w:themeShade="BF"/>
            </w:tcBorders>
            <w:shd w:val="clear" w:color="auto" w:fill="auto"/>
            <w:vAlign w:val="center"/>
          </w:tcPr>
          <w:p w14:paraId="246DD690" w14:textId="77777777" w:rsidR="00A66703" w:rsidRPr="001D41EA" w:rsidRDefault="00A66703" w:rsidP="001D41EA">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right w:val="nil"/>
            </w:tcBorders>
            <w:shd w:val="clear" w:color="auto" w:fill="auto"/>
            <w:vAlign w:val="bottom"/>
          </w:tcPr>
          <w:p w14:paraId="24CD1BF8" w14:textId="5D56059B" w:rsidR="00A66703" w:rsidRPr="001D41EA" w:rsidRDefault="00A66703" w:rsidP="001D41EA">
            <w:pPr>
              <w:spacing w:before="40" w:after="20"/>
              <w:jc w:val="right"/>
              <w:rPr>
                <w:rFonts w:cs="Arial"/>
                <w:b/>
                <w:sz w:val="18"/>
                <w:szCs w:val="18"/>
              </w:rPr>
            </w:pPr>
            <w:r w:rsidRPr="001D41EA">
              <w:rPr>
                <w:rFonts w:cs="Arial"/>
                <w:b/>
                <w:sz w:val="18"/>
                <w:szCs w:val="18"/>
              </w:rPr>
              <w:t>594,690,135</w:t>
            </w:r>
          </w:p>
        </w:tc>
        <w:tc>
          <w:tcPr>
            <w:tcW w:w="1418" w:type="dxa"/>
            <w:tcBorders>
              <w:top w:val="single" w:sz="8" w:space="0" w:color="5F497A" w:themeColor="accent4" w:themeShade="BF"/>
              <w:left w:val="nil"/>
              <w:right w:val="nil"/>
            </w:tcBorders>
            <w:shd w:val="clear" w:color="auto" w:fill="auto"/>
            <w:vAlign w:val="bottom"/>
          </w:tcPr>
          <w:p w14:paraId="6BB6C1C6" w14:textId="4821E8AB" w:rsidR="00A66703" w:rsidRPr="001D41EA" w:rsidRDefault="00A66703" w:rsidP="001D41EA">
            <w:pPr>
              <w:spacing w:before="40" w:after="20"/>
              <w:jc w:val="right"/>
              <w:rPr>
                <w:rFonts w:cs="Arial"/>
                <w:b/>
                <w:sz w:val="18"/>
                <w:szCs w:val="18"/>
              </w:rPr>
            </w:pPr>
            <w:r w:rsidRPr="001D41EA">
              <w:rPr>
                <w:rFonts w:cs="Arial"/>
                <w:b/>
                <w:sz w:val="18"/>
                <w:szCs w:val="18"/>
              </w:rPr>
              <w:t>588,677,831</w:t>
            </w:r>
          </w:p>
        </w:tc>
        <w:tc>
          <w:tcPr>
            <w:tcW w:w="1418" w:type="dxa"/>
            <w:tcBorders>
              <w:top w:val="single" w:sz="8" w:space="0" w:color="5F497A" w:themeColor="accent4" w:themeShade="BF"/>
              <w:left w:val="nil"/>
              <w:right w:val="nil"/>
            </w:tcBorders>
            <w:shd w:val="clear" w:color="auto" w:fill="auto"/>
            <w:vAlign w:val="bottom"/>
          </w:tcPr>
          <w:p w14:paraId="5D34AA1C" w14:textId="57E7CE66" w:rsidR="00A66703" w:rsidRPr="001D41EA" w:rsidRDefault="00A66703" w:rsidP="001D41EA">
            <w:pPr>
              <w:spacing w:before="40" w:after="20"/>
              <w:jc w:val="right"/>
              <w:rPr>
                <w:rFonts w:cs="Arial"/>
                <w:b/>
                <w:sz w:val="18"/>
                <w:szCs w:val="18"/>
              </w:rPr>
            </w:pPr>
            <w:r w:rsidRPr="001D41EA">
              <w:rPr>
                <w:rFonts w:cs="Arial"/>
                <w:b/>
                <w:sz w:val="18"/>
                <w:szCs w:val="18"/>
              </w:rPr>
              <w:t>-6,012,304</w:t>
            </w:r>
          </w:p>
        </w:tc>
      </w:tr>
    </w:tbl>
    <w:p w14:paraId="614633B4" w14:textId="77777777" w:rsidR="00282D8A" w:rsidRPr="00A44829" w:rsidRDefault="002E062A" w:rsidP="00FF36E8">
      <w:pPr>
        <w:spacing w:before="40" w:after="20"/>
        <w:rPr>
          <w:rFonts w:cs="Arial"/>
          <w:sz w:val="18"/>
          <w:szCs w:val="18"/>
        </w:rPr>
      </w:pPr>
      <w:r w:rsidRPr="00A44829">
        <w:rPr>
          <w:rFonts w:cs="Arial"/>
          <w:sz w:val="18"/>
          <w:szCs w:val="18"/>
        </w:rPr>
        <w:br w:type="page"/>
      </w:r>
    </w:p>
    <w:p w14:paraId="5D3A6F35" w14:textId="7A6AA96E" w:rsidR="001E1A90" w:rsidRPr="00A44829" w:rsidRDefault="00CE4507" w:rsidP="00C33713">
      <w:pPr>
        <w:pStyle w:val="VGC-Head10"/>
      </w:pPr>
      <w:r w:rsidRPr="00A44829">
        <w:lastRenderedPageBreak/>
        <w:t>Appendix 2</w:t>
      </w:r>
      <w:r w:rsidR="00342DB4" w:rsidRPr="00A44829">
        <w:tab/>
      </w:r>
      <w:r w:rsidR="00EE4593" w:rsidRPr="00A44829">
        <w:t>2019-20</w:t>
      </w:r>
      <w:r w:rsidR="00A97ABE" w:rsidRPr="00A44829">
        <w:t xml:space="preserve"> </w:t>
      </w:r>
      <w:r w:rsidR="001E1A90" w:rsidRPr="00A44829">
        <w:t xml:space="preserve">Allocations </w:t>
      </w:r>
    </w:p>
    <w:p w14:paraId="25C936E5" w14:textId="77777777" w:rsidR="002460C5" w:rsidRPr="00A44829" w:rsidRDefault="004B380D" w:rsidP="008C1A28">
      <w:pPr>
        <w:pStyle w:val="VGC-Head2"/>
      </w:pPr>
      <w:r w:rsidRPr="00A44829">
        <w:t>A.  Estimated Allocations</w:t>
      </w:r>
    </w:p>
    <w:p w14:paraId="334BC596" w14:textId="77777777" w:rsidR="002460C5" w:rsidRPr="00A44829" w:rsidRDefault="002460C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B4976" w:rsidRPr="00A44829" w14:paraId="0597FF82" w14:textId="77777777" w:rsidTr="00C60457">
        <w:trPr>
          <w:trHeight w:val="20"/>
          <w:tblHeader/>
        </w:trPr>
        <w:tc>
          <w:tcPr>
            <w:tcW w:w="2268" w:type="dxa"/>
            <w:tcBorders>
              <w:top w:val="nil"/>
              <w:left w:val="nil"/>
              <w:bottom w:val="nil"/>
              <w:right w:val="single" w:sz="18" w:space="0" w:color="5F497A" w:themeColor="accent4" w:themeShade="BF"/>
            </w:tcBorders>
            <w:shd w:val="clear" w:color="auto" w:fill="auto"/>
            <w:vAlign w:val="bottom"/>
          </w:tcPr>
          <w:p w14:paraId="7CE7CF86" w14:textId="77777777" w:rsidR="00CB4976" w:rsidRPr="00A44829" w:rsidRDefault="00CB4976" w:rsidP="008001AD">
            <w:pPr>
              <w:spacing w:before="40" w:after="40"/>
              <w:jc w:val="center"/>
              <w:rPr>
                <w:rFonts w:cs="Arial"/>
                <w:sz w:val="18"/>
                <w:szCs w:val="18"/>
              </w:rPr>
            </w:pPr>
          </w:p>
        </w:tc>
        <w:tc>
          <w:tcPr>
            <w:tcW w:w="6805" w:type="dxa"/>
            <w:gridSpan w:val="5"/>
            <w:tcBorders>
              <w:top w:val="nil"/>
              <w:left w:val="single" w:sz="18" w:space="0" w:color="5F497A" w:themeColor="accent4" w:themeShade="BF"/>
              <w:bottom w:val="single" w:sz="8" w:space="0" w:color="5F497A" w:themeColor="accent4" w:themeShade="BF"/>
              <w:right w:val="nil"/>
            </w:tcBorders>
            <w:shd w:val="clear" w:color="auto" w:fill="auto"/>
            <w:vAlign w:val="bottom"/>
          </w:tcPr>
          <w:p w14:paraId="6411452F" w14:textId="14CA426D" w:rsidR="00CB4976" w:rsidRPr="00A44829" w:rsidRDefault="00AD6B35" w:rsidP="008001AD">
            <w:pPr>
              <w:spacing w:before="40" w:after="40"/>
              <w:jc w:val="center"/>
              <w:rPr>
                <w:rFonts w:cs="Arial"/>
                <w:b/>
                <w:sz w:val="18"/>
                <w:szCs w:val="18"/>
              </w:rPr>
            </w:pPr>
            <w:r w:rsidRPr="00A44829">
              <w:rPr>
                <w:rFonts w:cs="Arial"/>
                <w:b/>
                <w:sz w:val="18"/>
                <w:szCs w:val="18"/>
              </w:rPr>
              <w:t>Financial Assistance Grants</w:t>
            </w:r>
            <w:r w:rsidR="00C23834" w:rsidRPr="00A44829">
              <w:rPr>
                <w:rFonts w:cs="Arial"/>
                <w:b/>
                <w:sz w:val="18"/>
                <w:szCs w:val="18"/>
              </w:rPr>
              <w:t xml:space="preserve"> </w:t>
            </w:r>
            <w:r w:rsidR="00EE4593" w:rsidRPr="00A44829">
              <w:rPr>
                <w:rFonts w:cs="Arial"/>
                <w:b/>
                <w:sz w:val="18"/>
                <w:szCs w:val="18"/>
              </w:rPr>
              <w:t>2019-20</w:t>
            </w:r>
            <w:r w:rsidR="00057EFC" w:rsidRPr="00A44829">
              <w:rPr>
                <w:rFonts w:cs="Arial"/>
                <w:b/>
                <w:sz w:val="18"/>
                <w:szCs w:val="18"/>
              </w:rPr>
              <w:t xml:space="preserve"> </w:t>
            </w:r>
          </w:p>
        </w:tc>
      </w:tr>
      <w:tr w:rsidR="008641C1" w:rsidRPr="002A2397" w14:paraId="65CFEABC" w14:textId="77777777" w:rsidTr="00C60457">
        <w:trPr>
          <w:trHeight w:val="20"/>
          <w:tblHeader/>
        </w:trPr>
        <w:tc>
          <w:tcPr>
            <w:tcW w:w="2268" w:type="dxa"/>
            <w:tcBorders>
              <w:top w:val="nil"/>
              <w:left w:val="nil"/>
              <w:bottom w:val="nil"/>
              <w:right w:val="single" w:sz="18" w:space="0" w:color="5F497A" w:themeColor="accent4" w:themeShade="BF"/>
            </w:tcBorders>
            <w:shd w:val="clear" w:color="auto" w:fill="auto"/>
            <w:vAlign w:val="bottom"/>
          </w:tcPr>
          <w:p w14:paraId="3331D321" w14:textId="77777777" w:rsidR="008641C1" w:rsidRPr="00A44829" w:rsidRDefault="008641C1" w:rsidP="008001AD">
            <w:pPr>
              <w:spacing w:before="40" w:after="40"/>
              <w:jc w:val="center"/>
              <w:rPr>
                <w:rFonts w:cs="Arial"/>
                <w:sz w:val="18"/>
                <w:szCs w:val="18"/>
              </w:rPr>
            </w:pPr>
          </w:p>
        </w:tc>
        <w:tc>
          <w:tcPr>
            <w:tcW w:w="4083" w:type="dxa"/>
            <w:gridSpan w:val="3"/>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197D559C" w14:textId="4EF7D59A" w:rsidR="008641C1" w:rsidRPr="002A2397" w:rsidRDefault="008641C1" w:rsidP="008001AD">
            <w:pPr>
              <w:spacing w:before="40" w:after="40"/>
              <w:jc w:val="center"/>
              <w:rPr>
                <w:rFonts w:cs="Arial"/>
                <w:b/>
                <w:sz w:val="18"/>
                <w:szCs w:val="18"/>
              </w:rPr>
            </w:pPr>
            <w:r w:rsidRPr="002A2397">
              <w:rPr>
                <w:rFonts w:cs="Arial"/>
                <w:b/>
                <w:sz w:val="18"/>
                <w:szCs w:val="18"/>
              </w:rPr>
              <w:t>General Purpose Grants</w:t>
            </w:r>
            <w:r w:rsidR="00057EFC" w:rsidRPr="002A2397">
              <w:rPr>
                <w:rFonts w:cs="Arial"/>
                <w:b/>
                <w:sz w:val="18"/>
                <w:szCs w:val="18"/>
              </w:rPr>
              <w:t xml:space="preserve"> </w:t>
            </w:r>
          </w:p>
        </w:tc>
        <w:tc>
          <w:tcPr>
            <w:tcW w:w="1361"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7849F31F" w14:textId="5FDB5FFC" w:rsidR="008641C1" w:rsidRPr="002A2397" w:rsidRDefault="008641C1" w:rsidP="008001AD">
            <w:pPr>
              <w:spacing w:before="40" w:after="40"/>
              <w:jc w:val="center"/>
              <w:rPr>
                <w:rFonts w:cs="Arial"/>
                <w:b/>
                <w:sz w:val="18"/>
                <w:szCs w:val="18"/>
              </w:rPr>
            </w:pPr>
            <w:r w:rsidRPr="002A2397">
              <w:rPr>
                <w:rFonts w:cs="Arial"/>
                <w:b/>
                <w:sz w:val="18"/>
                <w:szCs w:val="18"/>
              </w:rPr>
              <w:t>Local Road</w:t>
            </w:r>
            <w:r w:rsidR="00C64712" w:rsidRPr="002A2397">
              <w:rPr>
                <w:rFonts w:cs="Arial"/>
                <w:b/>
                <w:sz w:val="18"/>
                <w:szCs w:val="18"/>
              </w:rPr>
              <w:t>s</w:t>
            </w:r>
            <w:r w:rsidRPr="002A2397">
              <w:rPr>
                <w:rFonts w:cs="Arial"/>
                <w:b/>
                <w:sz w:val="18"/>
                <w:szCs w:val="18"/>
              </w:rPr>
              <w:t xml:space="preserve"> </w:t>
            </w:r>
            <w:r w:rsidR="00057EFC" w:rsidRPr="002A2397">
              <w:rPr>
                <w:rFonts w:cs="Arial"/>
                <w:b/>
                <w:sz w:val="18"/>
                <w:szCs w:val="18"/>
              </w:rPr>
              <w:t>Grants</w:t>
            </w:r>
            <w:r w:rsidRPr="002A2397">
              <w:rPr>
                <w:rFonts w:cs="Arial"/>
                <w:b/>
                <w:sz w:val="18"/>
                <w:szCs w:val="18"/>
              </w:rPr>
              <w:t xml:space="preserve"> </w:t>
            </w:r>
            <w:r w:rsidRPr="002A2397">
              <w:rPr>
                <w:rFonts w:cs="Arial"/>
                <w:b/>
                <w:sz w:val="18"/>
                <w:szCs w:val="18"/>
              </w:rPr>
              <w:br/>
              <w:t>($)</w:t>
            </w:r>
          </w:p>
        </w:tc>
        <w:tc>
          <w:tcPr>
            <w:tcW w:w="1361"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4800E7F8" w14:textId="77777777" w:rsidR="008641C1" w:rsidRPr="002A2397" w:rsidRDefault="008641C1" w:rsidP="008001AD">
            <w:pPr>
              <w:spacing w:before="40" w:after="40"/>
              <w:jc w:val="center"/>
              <w:rPr>
                <w:rFonts w:cs="Arial"/>
                <w:b/>
                <w:sz w:val="18"/>
                <w:szCs w:val="18"/>
              </w:rPr>
            </w:pPr>
            <w:r w:rsidRPr="002A2397">
              <w:rPr>
                <w:rFonts w:cs="Arial"/>
                <w:b/>
                <w:sz w:val="18"/>
                <w:szCs w:val="18"/>
              </w:rPr>
              <w:t>Total</w:t>
            </w:r>
            <w:r w:rsidRPr="002A2397">
              <w:rPr>
                <w:rFonts w:cs="Arial"/>
                <w:b/>
                <w:sz w:val="18"/>
                <w:szCs w:val="18"/>
              </w:rPr>
              <w:br/>
              <w:t>($)</w:t>
            </w:r>
          </w:p>
        </w:tc>
      </w:tr>
      <w:tr w:rsidR="008641C1" w:rsidRPr="00A44829" w14:paraId="386D8BD6" w14:textId="77777777" w:rsidTr="00C60457">
        <w:trPr>
          <w:trHeight w:val="20"/>
          <w:tblHeader/>
        </w:trPr>
        <w:tc>
          <w:tcPr>
            <w:tcW w:w="2268" w:type="dxa"/>
            <w:tcBorders>
              <w:top w:val="nil"/>
              <w:left w:val="nil"/>
              <w:right w:val="single" w:sz="18" w:space="0" w:color="5F497A" w:themeColor="accent4" w:themeShade="BF"/>
            </w:tcBorders>
            <w:shd w:val="clear" w:color="auto" w:fill="auto"/>
            <w:vAlign w:val="bottom"/>
          </w:tcPr>
          <w:p w14:paraId="746D1FBC" w14:textId="77777777" w:rsidR="008641C1" w:rsidRPr="002A2397" w:rsidRDefault="008641C1" w:rsidP="008001AD">
            <w:pPr>
              <w:spacing w:before="40" w:after="4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19676FA7" w14:textId="77777777" w:rsidR="008641C1" w:rsidRPr="002A2397" w:rsidRDefault="008641C1" w:rsidP="008001AD">
            <w:pPr>
              <w:spacing w:before="40" w:after="40"/>
              <w:jc w:val="center"/>
              <w:rPr>
                <w:rFonts w:cs="Arial"/>
                <w:sz w:val="16"/>
                <w:szCs w:val="16"/>
              </w:rPr>
            </w:pPr>
            <w:r w:rsidRPr="002A2397">
              <w:rPr>
                <w:rFonts w:cs="Arial"/>
                <w:sz w:val="16"/>
                <w:szCs w:val="16"/>
              </w:rPr>
              <w:t xml:space="preserve">Equalisation Grant </w:t>
            </w:r>
            <w:r w:rsidRPr="002A2397">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303312FD" w14:textId="74D6CAAD" w:rsidR="008641C1" w:rsidRPr="002A2397" w:rsidRDefault="008641C1" w:rsidP="008001AD">
            <w:pPr>
              <w:spacing w:before="40" w:after="40"/>
              <w:jc w:val="center"/>
              <w:rPr>
                <w:rFonts w:cs="Arial"/>
                <w:sz w:val="16"/>
                <w:szCs w:val="16"/>
              </w:rPr>
            </w:pPr>
            <w:r w:rsidRPr="002A2397">
              <w:rPr>
                <w:rFonts w:cs="Arial"/>
                <w:sz w:val="16"/>
                <w:szCs w:val="16"/>
              </w:rPr>
              <w:t>Nat</w:t>
            </w:r>
            <w:r w:rsidR="00142B2C" w:rsidRPr="002A2397">
              <w:rPr>
                <w:rFonts w:cs="Arial"/>
                <w:sz w:val="16"/>
                <w:szCs w:val="16"/>
              </w:rPr>
              <w:t>ural</w:t>
            </w:r>
            <w:r w:rsidRPr="002A2397">
              <w:rPr>
                <w:rFonts w:cs="Arial"/>
                <w:sz w:val="16"/>
                <w:szCs w:val="16"/>
              </w:rPr>
              <w:t xml:space="preserve"> Disaster </w:t>
            </w:r>
            <w:r w:rsidRPr="002A2397">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326C4C07" w14:textId="77777777" w:rsidR="008641C1" w:rsidRPr="00A44829" w:rsidRDefault="008641C1" w:rsidP="008001AD">
            <w:pPr>
              <w:spacing w:before="40" w:after="40"/>
              <w:jc w:val="center"/>
              <w:rPr>
                <w:rFonts w:cs="Arial"/>
                <w:sz w:val="16"/>
                <w:szCs w:val="16"/>
              </w:rPr>
            </w:pPr>
            <w:r w:rsidRPr="002A2397">
              <w:rPr>
                <w:rFonts w:cs="Arial"/>
                <w:sz w:val="16"/>
                <w:szCs w:val="16"/>
              </w:rPr>
              <w:t xml:space="preserve">Total </w:t>
            </w:r>
            <w:r w:rsidRPr="002A2397">
              <w:rPr>
                <w:rFonts w:cs="Arial"/>
                <w:sz w:val="16"/>
                <w:szCs w:val="16"/>
              </w:rPr>
              <w:br/>
              <w:t>($)</w:t>
            </w:r>
          </w:p>
        </w:tc>
        <w:tc>
          <w:tcPr>
            <w:tcW w:w="1361" w:type="dxa"/>
            <w:vMerge/>
            <w:tcBorders>
              <w:top w:val="single" w:sz="8" w:space="0" w:color="5F497A" w:themeColor="accent4" w:themeShade="BF"/>
              <w:bottom w:val="single" w:sz="8" w:space="0" w:color="5F497A" w:themeColor="accent4" w:themeShade="BF"/>
            </w:tcBorders>
            <w:shd w:val="clear" w:color="auto" w:fill="auto"/>
            <w:vAlign w:val="bottom"/>
          </w:tcPr>
          <w:p w14:paraId="7FAD7365" w14:textId="77777777" w:rsidR="008641C1" w:rsidRPr="00A44829" w:rsidRDefault="008641C1" w:rsidP="008001AD">
            <w:pPr>
              <w:spacing w:before="40" w:after="40"/>
              <w:jc w:val="center"/>
              <w:rPr>
                <w:rFonts w:cs="Arial"/>
                <w:b/>
                <w:sz w:val="18"/>
                <w:szCs w:val="18"/>
              </w:rPr>
            </w:pPr>
          </w:p>
        </w:tc>
        <w:tc>
          <w:tcPr>
            <w:tcW w:w="1361" w:type="dxa"/>
            <w:vMerge/>
            <w:tcBorders>
              <w:top w:val="single" w:sz="8" w:space="0" w:color="5F497A" w:themeColor="accent4" w:themeShade="BF"/>
              <w:bottom w:val="single" w:sz="8" w:space="0" w:color="5F497A" w:themeColor="accent4" w:themeShade="BF"/>
              <w:right w:val="nil"/>
            </w:tcBorders>
            <w:shd w:val="clear" w:color="auto" w:fill="auto"/>
            <w:vAlign w:val="bottom"/>
          </w:tcPr>
          <w:p w14:paraId="3C30D524" w14:textId="77777777" w:rsidR="008641C1" w:rsidRPr="00A44829" w:rsidRDefault="008641C1" w:rsidP="008001AD">
            <w:pPr>
              <w:spacing w:before="40" w:after="40"/>
              <w:jc w:val="center"/>
              <w:rPr>
                <w:rFonts w:cs="Arial"/>
                <w:b/>
                <w:sz w:val="18"/>
                <w:szCs w:val="18"/>
              </w:rPr>
            </w:pPr>
          </w:p>
        </w:tc>
      </w:tr>
      <w:tr w:rsidR="00A66703" w:rsidRPr="001D41EA" w14:paraId="41A5332F" w14:textId="77777777" w:rsidTr="00C60457">
        <w:trPr>
          <w:trHeight w:val="240"/>
          <w:tblHeader/>
        </w:trPr>
        <w:tc>
          <w:tcPr>
            <w:tcW w:w="2268" w:type="dxa"/>
            <w:tcBorders>
              <w:left w:val="nil"/>
              <w:bottom w:val="nil"/>
              <w:right w:val="single" w:sz="18" w:space="0" w:color="5F497A" w:themeColor="accent4" w:themeShade="BF"/>
            </w:tcBorders>
            <w:shd w:val="clear" w:color="auto" w:fill="auto"/>
            <w:vAlign w:val="center"/>
          </w:tcPr>
          <w:p w14:paraId="5D9A6EB3" w14:textId="77777777" w:rsidR="00A66703" w:rsidRPr="001D41EA" w:rsidRDefault="00A66703" w:rsidP="001D41EA">
            <w:pPr>
              <w:spacing w:before="40" w:after="4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0895C0B1" w14:textId="18BBF0C7" w:rsidR="00A66703" w:rsidRPr="001D41EA" w:rsidRDefault="00A66703" w:rsidP="001D41EA">
            <w:pPr>
              <w:spacing w:before="40" w:after="4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740DFCD9" w14:textId="77777777" w:rsidR="00A66703" w:rsidRPr="001D41EA" w:rsidRDefault="00A66703" w:rsidP="001D41EA">
            <w:pPr>
              <w:spacing w:before="40" w:after="4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57A9F3A9" w14:textId="04B85CA4" w:rsidR="00A66703" w:rsidRPr="001D41EA" w:rsidRDefault="00A66703" w:rsidP="001D41EA">
            <w:pPr>
              <w:spacing w:before="40" w:after="4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2DF58AB7" w14:textId="72BF098D" w:rsidR="00A66703" w:rsidRPr="001D41EA" w:rsidRDefault="00A66703" w:rsidP="001D41EA">
            <w:pPr>
              <w:spacing w:before="40" w:after="4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3FD74CAC" w14:textId="5EA205A3" w:rsidR="00A66703" w:rsidRPr="001D41EA" w:rsidRDefault="00A66703" w:rsidP="001D41EA">
            <w:pPr>
              <w:spacing w:before="40" w:after="40"/>
              <w:jc w:val="right"/>
              <w:rPr>
                <w:rFonts w:cs="Arial"/>
                <w:b/>
                <w:sz w:val="18"/>
                <w:szCs w:val="18"/>
              </w:rPr>
            </w:pPr>
            <w:r w:rsidRPr="001D41EA">
              <w:rPr>
                <w:rFonts w:cs="Arial"/>
                <w:b/>
                <w:sz w:val="18"/>
                <w:szCs w:val="18"/>
              </w:rPr>
              <w:t> </w:t>
            </w:r>
          </w:p>
        </w:tc>
      </w:tr>
      <w:tr w:rsidR="00A66703" w:rsidRPr="001D41EA" w14:paraId="73107C3D"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9A95D99" w14:textId="77777777" w:rsidR="00A66703" w:rsidRPr="001D41EA" w:rsidRDefault="00A66703" w:rsidP="001D41EA">
            <w:pPr>
              <w:spacing w:before="40" w:after="40"/>
              <w:rPr>
                <w:rFonts w:cs="Arial"/>
                <w:sz w:val="18"/>
                <w:szCs w:val="18"/>
              </w:rPr>
            </w:pPr>
            <w:r w:rsidRPr="001D41EA">
              <w:rPr>
                <w:rFonts w:cs="Arial"/>
                <w:sz w:val="18"/>
                <w:szCs w:val="18"/>
              </w:rPr>
              <w:t>Alpine S</w:t>
            </w:r>
          </w:p>
        </w:tc>
        <w:tc>
          <w:tcPr>
            <w:tcW w:w="1361" w:type="dxa"/>
            <w:tcBorders>
              <w:top w:val="nil"/>
              <w:left w:val="single" w:sz="18" w:space="0" w:color="5F497A" w:themeColor="accent4" w:themeShade="BF"/>
              <w:bottom w:val="nil"/>
              <w:right w:val="nil"/>
            </w:tcBorders>
            <w:shd w:val="clear" w:color="auto" w:fill="auto"/>
            <w:vAlign w:val="bottom"/>
          </w:tcPr>
          <w:p w14:paraId="7178BA61" w14:textId="08BF331B" w:rsidR="00A66703" w:rsidRPr="001D41EA" w:rsidRDefault="00A66703" w:rsidP="001D41EA">
            <w:pPr>
              <w:spacing w:before="40" w:after="40"/>
              <w:jc w:val="right"/>
              <w:rPr>
                <w:rFonts w:cs="Arial"/>
                <w:sz w:val="18"/>
                <w:szCs w:val="18"/>
              </w:rPr>
            </w:pPr>
            <w:r w:rsidRPr="001D41EA">
              <w:rPr>
                <w:rFonts w:cs="Arial"/>
                <w:sz w:val="18"/>
                <w:szCs w:val="18"/>
              </w:rPr>
              <w:t>2,803,657</w:t>
            </w:r>
          </w:p>
        </w:tc>
        <w:tc>
          <w:tcPr>
            <w:tcW w:w="1361" w:type="dxa"/>
            <w:tcBorders>
              <w:top w:val="nil"/>
              <w:left w:val="nil"/>
              <w:bottom w:val="nil"/>
              <w:right w:val="nil"/>
            </w:tcBorders>
            <w:shd w:val="clear" w:color="auto" w:fill="auto"/>
            <w:vAlign w:val="bottom"/>
          </w:tcPr>
          <w:p w14:paraId="3F93088F" w14:textId="2A185413" w:rsidR="00A66703" w:rsidRPr="001D41EA" w:rsidRDefault="00A66703" w:rsidP="001D41EA">
            <w:pPr>
              <w:spacing w:before="40" w:after="40"/>
              <w:jc w:val="right"/>
              <w:rPr>
                <w:rFonts w:cs="Arial"/>
                <w:sz w:val="18"/>
                <w:szCs w:val="18"/>
              </w:rPr>
            </w:pPr>
            <w:r w:rsidRPr="001D41EA">
              <w:rPr>
                <w:rFonts w:cs="Arial"/>
                <w:sz w:val="18"/>
                <w:szCs w:val="18"/>
              </w:rPr>
              <w:t>31,228</w:t>
            </w:r>
          </w:p>
        </w:tc>
        <w:tc>
          <w:tcPr>
            <w:tcW w:w="1361" w:type="dxa"/>
            <w:tcBorders>
              <w:top w:val="nil"/>
              <w:left w:val="nil"/>
              <w:bottom w:val="nil"/>
              <w:right w:val="nil"/>
            </w:tcBorders>
            <w:shd w:val="clear" w:color="auto" w:fill="auto"/>
            <w:vAlign w:val="bottom"/>
          </w:tcPr>
          <w:p w14:paraId="06BC3064" w14:textId="025E1866" w:rsidR="00A66703" w:rsidRPr="001D41EA" w:rsidRDefault="00A66703" w:rsidP="001D41EA">
            <w:pPr>
              <w:spacing w:before="40" w:after="40"/>
              <w:jc w:val="right"/>
              <w:rPr>
                <w:rFonts w:cs="Arial"/>
                <w:sz w:val="18"/>
                <w:szCs w:val="18"/>
              </w:rPr>
            </w:pPr>
            <w:r w:rsidRPr="001D41EA">
              <w:rPr>
                <w:rFonts w:cs="Arial"/>
                <w:sz w:val="18"/>
                <w:szCs w:val="18"/>
              </w:rPr>
              <w:t>2,834,885</w:t>
            </w:r>
          </w:p>
        </w:tc>
        <w:tc>
          <w:tcPr>
            <w:tcW w:w="1361" w:type="dxa"/>
            <w:tcBorders>
              <w:top w:val="nil"/>
              <w:left w:val="nil"/>
              <w:bottom w:val="nil"/>
              <w:right w:val="nil"/>
            </w:tcBorders>
            <w:shd w:val="clear" w:color="auto" w:fill="auto"/>
            <w:vAlign w:val="bottom"/>
          </w:tcPr>
          <w:p w14:paraId="7C992904" w14:textId="6EDABD12" w:rsidR="00A66703" w:rsidRPr="001D41EA" w:rsidRDefault="00A66703" w:rsidP="001D41EA">
            <w:pPr>
              <w:spacing w:before="40" w:after="40"/>
              <w:jc w:val="right"/>
              <w:rPr>
                <w:rFonts w:cs="Arial"/>
                <w:sz w:val="18"/>
                <w:szCs w:val="18"/>
              </w:rPr>
            </w:pPr>
            <w:r w:rsidRPr="001D41EA">
              <w:rPr>
                <w:rFonts w:cs="Arial"/>
                <w:sz w:val="18"/>
                <w:szCs w:val="18"/>
              </w:rPr>
              <w:t>1,117,399</w:t>
            </w:r>
          </w:p>
        </w:tc>
        <w:tc>
          <w:tcPr>
            <w:tcW w:w="1361" w:type="dxa"/>
            <w:tcBorders>
              <w:top w:val="nil"/>
              <w:left w:val="nil"/>
              <w:bottom w:val="nil"/>
              <w:right w:val="nil"/>
            </w:tcBorders>
            <w:shd w:val="clear" w:color="auto" w:fill="auto"/>
            <w:vAlign w:val="bottom"/>
          </w:tcPr>
          <w:p w14:paraId="1AC7839A" w14:textId="58944856" w:rsidR="00A66703" w:rsidRPr="001D41EA" w:rsidRDefault="00A66703" w:rsidP="001D41EA">
            <w:pPr>
              <w:spacing w:before="40" w:after="40"/>
              <w:jc w:val="right"/>
              <w:rPr>
                <w:rFonts w:cs="Arial"/>
                <w:b/>
                <w:sz w:val="18"/>
                <w:szCs w:val="18"/>
              </w:rPr>
            </w:pPr>
            <w:r w:rsidRPr="001D41EA">
              <w:rPr>
                <w:rFonts w:cs="Arial"/>
                <w:b/>
                <w:sz w:val="18"/>
                <w:szCs w:val="18"/>
              </w:rPr>
              <w:t>3,952,284</w:t>
            </w:r>
          </w:p>
        </w:tc>
      </w:tr>
      <w:tr w:rsidR="00A66703" w:rsidRPr="001D41EA" w14:paraId="0BCA17AA"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A7B336F" w14:textId="77777777" w:rsidR="00A66703" w:rsidRPr="001D41EA" w:rsidRDefault="00A66703" w:rsidP="001D41EA">
            <w:pPr>
              <w:spacing w:before="40" w:after="40"/>
              <w:rPr>
                <w:rFonts w:cs="Arial"/>
                <w:sz w:val="18"/>
                <w:szCs w:val="18"/>
              </w:rPr>
            </w:pPr>
            <w:r w:rsidRPr="001D41EA">
              <w:rPr>
                <w:rFonts w:cs="Arial"/>
                <w:sz w:val="18"/>
                <w:szCs w:val="18"/>
              </w:rPr>
              <w:t>Ararat RC</w:t>
            </w:r>
          </w:p>
        </w:tc>
        <w:tc>
          <w:tcPr>
            <w:tcW w:w="1361" w:type="dxa"/>
            <w:tcBorders>
              <w:top w:val="nil"/>
              <w:left w:val="single" w:sz="18" w:space="0" w:color="5F497A" w:themeColor="accent4" w:themeShade="BF"/>
              <w:bottom w:val="nil"/>
              <w:right w:val="nil"/>
            </w:tcBorders>
            <w:shd w:val="clear" w:color="auto" w:fill="auto"/>
            <w:vAlign w:val="bottom"/>
          </w:tcPr>
          <w:p w14:paraId="43710C28" w14:textId="4BA7F245" w:rsidR="00A66703" w:rsidRPr="001D41EA" w:rsidRDefault="00A66703" w:rsidP="001D41EA">
            <w:pPr>
              <w:spacing w:before="40" w:after="40"/>
              <w:jc w:val="right"/>
              <w:rPr>
                <w:rFonts w:cs="Arial"/>
                <w:sz w:val="18"/>
                <w:szCs w:val="18"/>
              </w:rPr>
            </w:pPr>
            <w:r w:rsidRPr="001D41EA">
              <w:rPr>
                <w:rFonts w:cs="Arial"/>
                <w:sz w:val="18"/>
                <w:szCs w:val="18"/>
              </w:rPr>
              <w:t>3,804,914</w:t>
            </w:r>
          </w:p>
        </w:tc>
        <w:tc>
          <w:tcPr>
            <w:tcW w:w="1361" w:type="dxa"/>
            <w:tcBorders>
              <w:top w:val="nil"/>
              <w:left w:val="nil"/>
              <w:bottom w:val="nil"/>
              <w:right w:val="nil"/>
            </w:tcBorders>
            <w:shd w:val="clear" w:color="auto" w:fill="auto"/>
            <w:vAlign w:val="bottom"/>
          </w:tcPr>
          <w:p w14:paraId="62EC2469" w14:textId="0506118B" w:rsidR="00A66703" w:rsidRPr="001D41EA" w:rsidRDefault="00A66703" w:rsidP="001D41EA">
            <w:pPr>
              <w:spacing w:before="40" w:after="40"/>
              <w:jc w:val="right"/>
              <w:rPr>
                <w:rFonts w:cs="Arial"/>
                <w:sz w:val="18"/>
                <w:szCs w:val="18"/>
              </w:rPr>
            </w:pPr>
            <w:r w:rsidRPr="001D41EA">
              <w:rPr>
                <w:rFonts w:cs="Arial"/>
                <w:sz w:val="18"/>
                <w:szCs w:val="18"/>
              </w:rPr>
              <w:t>35,000</w:t>
            </w:r>
          </w:p>
        </w:tc>
        <w:tc>
          <w:tcPr>
            <w:tcW w:w="1361" w:type="dxa"/>
            <w:tcBorders>
              <w:top w:val="nil"/>
              <w:left w:val="nil"/>
              <w:bottom w:val="nil"/>
              <w:right w:val="nil"/>
            </w:tcBorders>
            <w:shd w:val="clear" w:color="auto" w:fill="auto"/>
            <w:vAlign w:val="bottom"/>
          </w:tcPr>
          <w:p w14:paraId="183DADBC" w14:textId="54DBB81E" w:rsidR="00A66703" w:rsidRPr="001D41EA" w:rsidRDefault="00A66703" w:rsidP="001D41EA">
            <w:pPr>
              <w:spacing w:before="40" w:after="40"/>
              <w:jc w:val="right"/>
              <w:rPr>
                <w:rFonts w:cs="Arial"/>
                <w:sz w:val="18"/>
                <w:szCs w:val="18"/>
              </w:rPr>
            </w:pPr>
            <w:r w:rsidRPr="001D41EA">
              <w:rPr>
                <w:rFonts w:cs="Arial"/>
                <w:sz w:val="18"/>
                <w:szCs w:val="18"/>
              </w:rPr>
              <w:t>3,839,914</w:t>
            </w:r>
          </w:p>
        </w:tc>
        <w:tc>
          <w:tcPr>
            <w:tcW w:w="1361" w:type="dxa"/>
            <w:tcBorders>
              <w:top w:val="nil"/>
              <w:left w:val="nil"/>
              <w:bottom w:val="nil"/>
              <w:right w:val="nil"/>
            </w:tcBorders>
            <w:shd w:val="clear" w:color="auto" w:fill="auto"/>
            <w:vAlign w:val="bottom"/>
          </w:tcPr>
          <w:p w14:paraId="113EB3C1" w14:textId="0C3340B3" w:rsidR="00A66703" w:rsidRPr="001D41EA" w:rsidRDefault="00A66703" w:rsidP="001D41EA">
            <w:pPr>
              <w:spacing w:before="40" w:after="40"/>
              <w:jc w:val="right"/>
              <w:rPr>
                <w:rFonts w:cs="Arial"/>
                <w:sz w:val="18"/>
                <w:szCs w:val="18"/>
              </w:rPr>
            </w:pPr>
            <w:r w:rsidRPr="001D41EA">
              <w:rPr>
                <w:rFonts w:cs="Arial"/>
                <w:sz w:val="18"/>
                <w:szCs w:val="18"/>
              </w:rPr>
              <w:t>2,292,110</w:t>
            </w:r>
          </w:p>
        </w:tc>
        <w:tc>
          <w:tcPr>
            <w:tcW w:w="1361" w:type="dxa"/>
            <w:tcBorders>
              <w:top w:val="nil"/>
              <w:left w:val="nil"/>
              <w:bottom w:val="nil"/>
              <w:right w:val="nil"/>
            </w:tcBorders>
            <w:shd w:val="clear" w:color="auto" w:fill="auto"/>
            <w:vAlign w:val="bottom"/>
          </w:tcPr>
          <w:p w14:paraId="2D82BE45" w14:textId="2545D8CA" w:rsidR="00A66703" w:rsidRPr="001D41EA" w:rsidRDefault="00A66703" w:rsidP="001D41EA">
            <w:pPr>
              <w:spacing w:before="40" w:after="40"/>
              <w:jc w:val="right"/>
              <w:rPr>
                <w:rFonts w:cs="Arial"/>
                <w:b/>
                <w:sz w:val="18"/>
                <w:szCs w:val="18"/>
              </w:rPr>
            </w:pPr>
            <w:r w:rsidRPr="001D41EA">
              <w:rPr>
                <w:rFonts w:cs="Arial"/>
                <w:b/>
                <w:sz w:val="18"/>
                <w:szCs w:val="18"/>
              </w:rPr>
              <w:t>6,132,024</w:t>
            </w:r>
          </w:p>
        </w:tc>
      </w:tr>
      <w:tr w:rsidR="00A66703" w:rsidRPr="001D41EA" w14:paraId="0FEF9982"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2FA89E1" w14:textId="77777777" w:rsidR="00A66703" w:rsidRPr="001D41EA" w:rsidRDefault="00A66703" w:rsidP="001D41EA">
            <w:pPr>
              <w:spacing w:before="40" w:after="40"/>
              <w:rPr>
                <w:rFonts w:cs="Arial"/>
                <w:sz w:val="18"/>
                <w:szCs w:val="18"/>
              </w:rPr>
            </w:pPr>
            <w:r w:rsidRPr="001D41EA">
              <w:rPr>
                <w:rFonts w:cs="Arial"/>
                <w:sz w:val="18"/>
                <w:szCs w:val="18"/>
              </w:rPr>
              <w:t>Ballarat C</w:t>
            </w:r>
          </w:p>
        </w:tc>
        <w:tc>
          <w:tcPr>
            <w:tcW w:w="1361" w:type="dxa"/>
            <w:tcBorders>
              <w:top w:val="nil"/>
              <w:left w:val="single" w:sz="18" w:space="0" w:color="5F497A" w:themeColor="accent4" w:themeShade="BF"/>
              <w:bottom w:val="nil"/>
              <w:right w:val="nil"/>
            </w:tcBorders>
            <w:shd w:val="clear" w:color="auto" w:fill="auto"/>
            <w:vAlign w:val="bottom"/>
          </w:tcPr>
          <w:p w14:paraId="408874A0" w14:textId="039A74FC" w:rsidR="00A66703" w:rsidRPr="001D41EA" w:rsidRDefault="00A66703" w:rsidP="001D41EA">
            <w:pPr>
              <w:spacing w:before="40" w:after="40"/>
              <w:jc w:val="right"/>
              <w:rPr>
                <w:rFonts w:cs="Arial"/>
                <w:sz w:val="18"/>
                <w:szCs w:val="18"/>
              </w:rPr>
            </w:pPr>
            <w:r w:rsidRPr="001D41EA">
              <w:rPr>
                <w:rFonts w:cs="Arial"/>
                <w:sz w:val="18"/>
                <w:szCs w:val="18"/>
              </w:rPr>
              <w:t>11,127,775</w:t>
            </w:r>
          </w:p>
        </w:tc>
        <w:tc>
          <w:tcPr>
            <w:tcW w:w="1361" w:type="dxa"/>
            <w:tcBorders>
              <w:top w:val="nil"/>
              <w:left w:val="nil"/>
              <w:bottom w:val="nil"/>
              <w:right w:val="nil"/>
            </w:tcBorders>
            <w:shd w:val="clear" w:color="auto" w:fill="auto"/>
            <w:vAlign w:val="bottom"/>
          </w:tcPr>
          <w:p w14:paraId="4DEEE994" w14:textId="5786927B" w:rsidR="00A66703" w:rsidRPr="001D41EA" w:rsidRDefault="00A66703" w:rsidP="001D41EA">
            <w:pPr>
              <w:spacing w:before="40" w:after="40"/>
              <w:jc w:val="right"/>
              <w:rPr>
                <w:rFonts w:cs="Arial"/>
                <w:sz w:val="18"/>
                <w:szCs w:val="18"/>
              </w:rPr>
            </w:pPr>
            <w:r w:rsidRPr="001D41EA">
              <w:rPr>
                <w:rFonts w:cs="Arial"/>
                <w:sz w:val="18"/>
                <w:szCs w:val="18"/>
              </w:rPr>
              <w:t>28,117</w:t>
            </w:r>
          </w:p>
        </w:tc>
        <w:tc>
          <w:tcPr>
            <w:tcW w:w="1361" w:type="dxa"/>
            <w:tcBorders>
              <w:top w:val="nil"/>
              <w:left w:val="nil"/>
              <w:bottom w:val="nil"/>
              <w:right w:val="nil"/>
            </w:tcBorders>
            <w:shd w:val="clear" w:color="auto" w:fill="auto"/>
            <w:vAlign w:val="bottom"/>
          </w:tcPr>
          <w:p w14:paraId="6183A93B" w14:textId="60AE5598" w:rsidR="00A66703" w:rsidRPr="001D41EA" w:rsidRDefault="00A66703" w:rsidP="001D41EA">
            <w:pPr>
              <w:spacing w:before="40" w:after="40"/>
              <w:jc w:val="right"/>
              <w:rPr>
                <w:rFonts w:cs="Arial"/>
                <w:sz w:val="18"/>
                <w:szCs w:val="18"/>
              </w:rPr>
            </w:pPr>
            <w:r w:rsidRPr="001D41EA">
              <w:rPr>
                <w:rFonts w:cs="Arial"/>
                <w:sz w:val="18"/>
                <w:szCs w:val="18"/>
              </w:rPr>
              <w:t>11,155,892</w:t>
            </w:r>
          </w:p>
        </w:tc>
        <w:tc>
          <w:tcPr>
            <w:tcW w:w="1361" w:type="dxa"/>
            <w:tcBorders>
              <w:top w:val="nil"/>
              <w:left w:val="nil"/>
              <w:bottom w:val="nil"/>
              <w:right w:val="nil"/>
            </w:tcBorders>
            <w:shd w:val="clear" w:color="auto" w:fill="auto"/>
            <w:vAlign w:val="bottom"/>
          </w:tcPr>
          <w:p w14:paraId="13002DCE" w14:textId="1B168B0D" w:rsidR="00A66703" w:rsidRPr="001D41EA" w:rsidRDefault="00A66703" w:rsidP="001D41EA">
            <w:pPr>
              <w:spacing w:before="40" w:after="40"/>
              <w:jc w:val="right"/>
              <w:rPr>
                <w:rFonts w:cs="Arial"/>
                <w:sz w:val="18"/>
                <w:szCs w:val="18"/>
              </w:rPr>
            </w:pPr>
            <w:r w:rsidRPr="001D41EA">
              <w:rPr>
                <w:rFonts w:cs="Arial"/>
                <w:sz w:val="18"/>
                <w:szCs w:val="18"/>
              </w:rPr>
              <w:t>2,427,362</w:t>
            </w:r>
          </w:p>
        </w:tc>
        <w:tc>
          <w:tcPr>
            <w:tcW w:w="1361" w:type="dxa"/>
            <w:tcBorders>
              <w:top w:val="nil"/>
              <w:left w:val="nil"/>
              <w:bottom w:val="nil"/>
              <w:right w:val="nil"/>
            </w:tcBorders>
            <w:shd w:val="clear" w:color="auto" w:fill="auto"/>
            <w:vAlign w:val="bottom"/>
          </w:tcPr>
          <w:p w14:paraId="08E9E47F" w14:textId="4AE13B9A" w:rsidR="00A66703" w:rsidRPr="001D41EA" w:rsidRDefault="00A66703" w:rsidP="001D41EA">
            <w:pPr>
              <w:spacing w:before="40" w:after="40"/>
              <w:jc w:val="right"/>
              <w:rPr>
                <w:rFonts w:cs="Arial"/>
                <w:b/>
                <w:sz w:val="18"/>
                <w:szCs w:val="18"/>
              </w:rPr>
            </w:pPr>
            <w:r w:rsidRPr="001D41EA">
              <w:rPr>
                <w:rFonts w:cs="Arial"/>
                <w:b/>
                <w:sz w:val="18"/>
                <w:szCs w:val="18"/>
              </w:rPr>
              <w:t>13,583,254</w:t>
            </w:r>
          </w:p>
        </w:tc>
      </w:tr>
      <w:tr w:rsidR="00A66703" w:rsidRPr="001D41EA" w14:paraId="441E6981"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5E0BAA2" w14:textId="77777777" w:rsidR="00A66703" w:rsidRPr="001D41EA" w:rsidRDefault="00A66703" w:rsidP="001D41EA">
            <w:pPr>
              <w:spacing w:before="40" w:after="40"/>
              <w:rPr>
                <w:rFonts w:cs="Arial"/>
                <w:sz w:val="18"/>
                <w:szCs w:val="18"/>
              </w:rPr>
            </w:pPr>
            <w:r w:rsidRPr="001D41EA">
              <w:rPr>
                <w:rFonts w:cs="Arial"/>
                <w:sz w:val="18"/>
                <w:szCs w:val="18"/>
              </w:rPr>
              <w:t>Banyule C</w:t>
            </w:r>
          </w:p>
        </w:tc>
        <w:tc>
          <w:tcPr>
            <w:tcW w:w="1361" w:type="dxa"/>
            <w:tcBorders>
              <w:top w:val="nil"/>
              <w:left w:val="single" w:sz="18" w:space="0" w:color="5F497A" w:themeColor="accent4" w:themeShade="BF"/>
              <w:bottom w:val="nil"/>
              <w:right w:val="nil"/>
            </w:tcBorders>
            <w:shd w:val="clear" w:color="auto" w:fill="auto"/>
            <w:vAlign w:val="bottom"/>
          </w:tcPr>
          <w:p w14:paraId="4964D1B6" w14:textId="3DB86088" w:rsidR="00A66703" w:rsidRPr="001D41EA" w:rsidRDefault="00A66703" w:rsidP="001D41EA">
            <w:pPr>
              <w:spacing w:before="40" w:after="40"/>
              <w:jc w:val="right"/>
              <w:rPr>
                <w:rFonts w:cs="Arial"/>
                <w:sz w:val="18"/>
                <w:szCs w:val="18"/>
              </w:rPr>
            </w:pPr>
            <w:r w:rsidRPr="001D41EA">
              <w:rPr>
                <w:rFonts w:cs="Arial"/>
                <w:sz w:val="18"/>
                <w:szCs w:val="18"/>
              </w:rPr>
              <w:t>2,755,159</w:t>
            </w:r>
          </w:p>
        </w:tc>
        <w:tc>
          <w:tcPr>
            <w:tcW w:w="1361" w:type="dxa"/>
            <w:tcBorders>
              <w:top w:val="nil"/>
              <w:left w:val="nil"/>
              <w:bottom w:val="nil"/>
              <w:right w:val="nil"/>
            </w:tcBorders>
            <w:shd w:val="clear" w:color="auto" w:fill="auto"/>
            <w:vAlign w:val="bottom"/>
          </w:tcPr>
          <w:p w14:paraId="3BCE0C82" w14:textId="77777777"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6AC2A573" w14:textId="655C1639" w:rsidR="00A66703" w:rsidRPr="001D41EA" w:rsidRDefault="00A66703" w:rsidP="001D41EA">
            <w:pPr>
              <w:spacing w:before="40" w:after="40"/>
              <w:jc w:val="right"/>
              <w:rPr>
                <w:rFonts w:cs="Arial"/>
                <w:sz w:val="18"/>
                <w:szCs w:val="18"/>
              </w:rPr>
            </w:pPr>
            <w:r w:rsidRPr="001D41EA">
              <w:rPr>
                <w:rFonts w:cs="Arial"/>
                <w:sz w:val="18"/>
                <w:szCs w:val="18"/>
              </w:rPr>
              <w:t>2,755,159</w:t>
            </w:r>
          </w:p>
        </w:tc>
        <w:tc>
          <w:tcPr>
            <w:tcW w:w="1361" w:type="dxa"/>
            <w:tcBorders>
              <w:top w:val="nil"/>
              <w:left w:val="nil"/>
              <w:bottom w:val="nil"/>
              <w:right w:val="nil"/>
            </w:tcBorders>
            <w:shd w:val="clear" w:color="auto" w:fill="auto"/>
            <w:vAlign w:val="bottom"/>
          </w:tcPr>
          <w:p w14:paraId="48521EE5" w14:textId="18CD7A3A" w:rsidR="00A66703" w:rsidRPr="001D41EA" w:rsidRDefault="00A66703" w:rsidP="001D41EA">
            <w:pPr>
              <w:spacing w:before="40" w:after="40"/>
              <w:jc w:val="right"/>
              <w:rPr>
                <w:rFonts w:cs="Arial"/>
                <w:sz w:val="18"/>
                <w:szCs w:val="18"/>
              </w:rPr>
            </w:pPr>
            <w:r w:rsidRPr="001D41EA">
              <w:rPr>
                <w:rFonts w:cs="Arial"/>
                <w:sz w:val="18"/>
                <w:szCs w:val="18"/>
              </w:rPr>
              <w:t>970,737</w:t>
            </w:r>
          </w:p>
        </w:tc>
        <w:tc>
          <w:tcPr>
            <w:tcW w:w="1361" w:type="dxa"/>
            <w:tcBorders>
              <w:top w:val="nil"/>
              <w:left w:val="nil"/>
              <w:bottom w:val="nil"/>
              <w:right w:val="nil"/>
            </w:tcBorders>
            <w:shd w:val="clear" w:color="auto" w:fill="auto"/>
            <w:vAlign w:val="bottom"/>
          </w:tcPr>
          <w:p w14:paraId="1178032C" w14:textId="1DD6BDAB" w:rsidR="00A66703" w:rsidRPr="001D41EA" w:rsidRDefault="00A66703" w:rsidP="001D41EA">
            <w:pPr>
              <w:spacing w:before="40" w:after="40"/>
              <w:jc w:val="right"/>
              <w:rPr>
                <w:rFonts w:cs="Arial"/>
                <w:b/>
                <w:sz w:val="18"/>
                <w:szCs w:val="18"/>
              </w:rPr>
            </w:pPr>
            <w:r w:rsidRPr="001D41EA">
              <w:rPr>
                <w:rFonts w:cs="Arial"/>
                <w:b/>
                <w:sz w:val="18"/>
                <w:szCs w:val="18"/>
              </w:rPr>
              <w:t>3,725,896</w:t>
            </w:r>
          </w:p>
        </w:tc>
      </w:tr>
      <w:tr w:rsidR="00A66703" w:rsidRPr="001D41EA" w14:paraId="40060629"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DC24E62" w14:textId="77777777" w:rsidR="00A66703" w:rsidRPr="001D41EA" w:rsidRDefault="00A66703" w:rsidP="001D41EA">
            <w:pPr>
              <w:spacing w:before="40" w:after="40"/>
              <w:rPr>
                <w:rFonts w:cs="Arial"/>
                <w:sz w:val="18"/>
                <w:szCs w:val="18"/>
              </w:rPr>
            </w:pPr>
            <w:r w:rsidRPr="001D41EA">
              <w:rPr>
                <w:rFonts w:cs="Arial"/>
                <w:sz w:val="18"/>
                <w:szCs w:val="18"/>
              </w:rPr>
              <w:t>Bass Coast S</w:t>
            </w:r>
          </w:p>
        </w:tc>
        <w:tc>
          <w:tcPr>
            <w:tcW w:w="1361" w:type="dxa"/>
            <w:tcBorders>
              <w:top w:val="nil"/>
              <w:left w:val="single" w:sz="18" w:space="0" w:color="5F497A" w:themeColor="accent4" w:themeShade="BF"/>
              <w:bottom w:val="nil"/>
              <w:right w:val="nil"/>
            </w:tcBorders>
            <w:shd w:val="clear" w:color="auto" w:fill="auto"/>
            <w:vAlign w:val="bottom"/>
          </w:tcPr>
          <w:p w14:paraId="0245DB40" w14:textId="5236FE3F" w:rsidR="00A66703" w:rsidRPr="001D41EA" w:rsidRDefault="00A66703" w:rsidP="001D41EA">
            <w:pPr>
              <w:spacing w:before="40" w:after="40"/>
              <w:jc w:val="right"/>
              <w:rPr>
                <w:rFonts w:cs="Arial"/>
                <w:sz w:val="18"/>
                <w:szCs w:val="18"/>
              </w:rPr>
            </w:pPr>
            <w:r w:rsidRPr="001D41EA">
              <w:rPr>
                <w:rFonts w:cs="Arial"/>
                <w:sz w:val="18"/>
                <w:szCs w:val="18"/>
              </w:rPr>
              <w:t>4,928,278</w:t>
            </w:r>
          </w:p>
        </w:tc>
        <w:tc>
          <w:tcPr>
            <w:tcW w:w="1361" w:type="dxa"/>
            <w:tcBorders>
              <w:top w:val="nil"/>
              <w:left w:val="nil"/>
              <w:bottom w:val="nil"/>
              <w:right w:val="nil"/>
            </w:tcBorders>
            <w:shd w:val="clear" w:color="auto" w:fill="auto"/>
            <w:vAlign w:val="bottom"/>
          </w:tcPr>
          <w:p w14:paraId="4CF8CAF7" w14:textId="77777777"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7F8F3FB8" w14:textId="22C48869" w:rsidR="00A66703" w:rsidRPr="001D41EA" w:rsidRDefault="00A66703" w:rsidP="001D41EA">
            <w:pPr>
              <w:spacing w:before="40" w:after="40"/>
              <w:jc w:val="right"/>
              <w:rPr>
                <w:rFonts w:cs="Arial"/>
                <w:sz w:val="18"/>
                <w:szCs w:val="18"/>
              </w:rPr>
            </w:pPr>
            <w:r w:rsidRPr="001D41EA">
              <w:rPr>
                <w:rFonts w:cs="Arial"/>
                <w:sz w:val="18"/>
                <w:szCs w:val="18"/>
              </w:rPr>
              <w:t>4,928,278</w:t>
            </w:r>
          </w:p>
        </w:tc>
        <w:tc>
          <w:tcPr>
            <w:tcW w:w="1361" w:type="dxa"/>
            <w:tcBorders>
              <w:top w:val="nil"/>
              <w:left w:val="nil"/>
              <w:bottom w:val="nil"/>
              <w:right w:val="nil"/>
            </w:tcBorders>
            <w:shd w:val="clear" w:color="auto" w:fill="auto"/>
            <w:vAlign w:val="bottom"/>
          </w:tcPr>
          <w:p w14:paraId="358C6C75" w14:textId="68B1EF98" w:rsidR="00A66703" w:rsidRPr="001D41EA" w:rsidRDefault="00A66703" w:rsidP="001D41EA">
            <w:pPr>
              <w:spacing w:before="40" w:after="40"/>
              <w:jc w:val="right"/>
              <w:rPr>
                <w:rFonts w:cs="Arial"/>
                <w:sz w:val="18"/>
                <w:szCs w:val="18"/>
              </w:rPr>
            </w:pPr>
            <w:r w:rsidRPr="001D41EA">
              <w:rPr>
                <w:rFonts w:cs="Arial"/>
                <w:sz w:val="18"/>
                <w:szCs w:val="18"/>
              </w:rPr>
              <w:t>1,459,907</w:t>
            </w:r>
          </w:p>
        </w:tc>
        <w:tc>
          <w:tcPr>
            <w:tcW w:w="1361" w:type="dxa"/>
            <w:tcBorders>
              <w:top w:val="nil"/>
              <w:left w:val="nil"/>
              <w:bottom w:val="nil"/>
              <w:right w:val="nil"/>
            </w:tcBorders>
            <w:shd w:val="clear" w:color="auto" w:fill="auto"/>
            <w:vAlign w:val="bottom"/>
          </w:tcPr>
          <w:p w14:paraId="67298CA8" w14:textId="0D41970D" w:rsidR="00A66703" w:rsidRPr="001D41EA" w:rsidRDefault="00A66703" w:rsidP="001D41EA">
            <w:pPr>
              <w:spacing w:before="40" w:after="40"/>
              <w:jc w:val="right"/>
              <w:rPr>
                <w:rFonts w:cs="Arial"/>
                <w:b/>
                <w:sz w:val="18"/>
                <w:szCs w:val="18"/>
              </w:rPr>
            </w:pPr>
            <w:r w:rsidRPr="001D41EA">
              <w:rPr>
                <w:rFonts w:cs="Arial"/>
                <w:b/>
                <w:sz w:val="18"/>
                <w:szCs w:val="18"/>
              </w:rPr>
              <w:t>6,388,185</w:t>
            </w:r>
          </w:p>
        </w:tc>
      </w:tr>
      <w:tr w:rsidR="00A66703" w:rsidRPr="001D41EA" w14:paraId="2F1211C2"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22739C5" w14:textId="77777777" w:rsidR="00A66703" w:rsidRPr="001D41EA" w:rsidRDefault="00A66703" w:rsidP="001D41EA">
            <w:pPr>
              <w:spacing w:before="40" w:after="40"/>
              <w:rPr>
                <w:rFonts w:cs="Arial"/>
                <w:sz w:val="18"/>
                <w:szCs w:val="18"/>
              </w:rPr>
            </w:pPr>
            <w:r w:rsidRPr="001D41EA">
              <w:rPr>
                <w:rFonts w:cs="Arial"/>
                <w:sz w:val="18"/>
                <w:szCs w:val="18"/>
              </w:rPr>
              <w:t>Baw Baw S</w:t>
            </w:r>
          </w:p>
        </w:tc>
        <w:tc>
          <w:tcPr>
            <w:tcW w:w="1361" w:type="dxa"/>
            <w:tcBorders>
              <w:top w:val="nil"/>
              <w:left w:val="single" w:sz="18" w:space="0" w:color="5F497A" w:themeColor="accent4" w:themeShade="BF"/>
              <w:bottom w:val="nil"/>
              <w:right w:val="nil"/>
            </w:tcBorders>
            <w:shd w:val="clear" w:color="auto" w:fill="auto"/>
            <w:vAlign w:val="bottom"/>
          </w:tcPr>
          <w:p w14:paraId="75E02377" w14:textId="284C98BA" w:rsidR="00A66703" w:rsidRPr="001D41EA" w:rsidRDefault="00A66703" w:rsidP="001D41EA">
            <w:pPr>
              <w:spacing w:before="40" w:after="40"/>
              <w:jc w:val="right"/>
              <w:rPr>
                <w:rFonts w:cs="Arial"/>
                <w:sz w:val="18"/>
                <w:szCs w:val="18"/>
              </w:rPr>
            </w:pPr>
            <w:r w:rsidRPr="001D41EA">
              <w:rPr>
                <w:rFonts w:cs="Arial"/>
                <w:sz w:val="18"/>
                <w:szCs w:val="18"/>
              </w:rPr>
              <w:t>6,670,004</w:t>
            </w:r>
          </w:p>
        </w:tc>
        <w:tc>
          <w:tcPr>
            <w:tcW w:w="1361" w:type="dxa"/>
            <w:tcBorders>
              <w:top w:val="nil"/>
              <w:left w:val="nil"/>
              <w:bottom w:val="nil"/>
              <w:right w:val="nil"/>
            </w:tcBorders>
            <w:shd w:val="clear" w:color="auto" w:fill="auto"/>
            <w:vAlign w:val="bottom"/>
          </w:tcPr>
          <w:p w14:paraId="32BD7176" w14:textId="77777777"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28B67EA1" w14:textId="1D8BEA98" w:rsidR="00A66703" w:rsidRPr="001D41EA" w:rsidRDefault="00A66703" w:rsidP="001D41EA">
            <w:pPr>
              <w:spacing w:before="40" w:after="40"/>
              <w:jc w:val="right"/>
              <w:rPr>
                <w:rFonts w:cs="Arial"/>
                <w:sz w:val="18"/>
                <w:szCs w:val="18"/>
              </w:rPr>
            </w:pPr>
            <w:r w:rsidRPr="001D41EA">
              <w:rPr>
                <w:rFonts w:cs="Arial"/>
                <w:sz w:val="18"/>
                <w:szCs w:val="18"/>
              </w:rPr>
              <w:t>6,670,004</w:t>
            </w:r>
          </w:p>
        </w:tc>
        <w:tc>
          <w:tcPr>
            <w:tcW w:w="1361" w:type="dxa"/>
            <w:tcBorders>
              <w:top w:val="nil"/>
              <w:left w:val="nil"/>
              <w:bottom w:val="nil"/>
              <w:right w:val="nil"/>
            </w:tcBorders>
            <w:shd w:val="clear" w:color="auto" w:fill="auto"/>
            <w:vAlign w:val="bottom"/>
          </w:tcPr>
          <w:p w14:paraId="7C24BA41" w14:textId="1BB38696" w:rsidR="00A66703" w:rsidRPr="001D41EA" w:rsidRDefault="00A66703" w:rsidP="001D41EA">
            <w:pPr>
              <w:spacing w:before="40" w:after="40"/>
              <w:jc w:val="right"/>
              <w:rPr>
                <w:rFonts w:cs="Arial"/>
                <w:sz w:val="18"/>
                <w:szCs w:val="18"/>
              </w:rPr>
            </w:pPr>
            <w:r w:rsidRPr="001D41EA">
              <w:rPr>
                <w:rFonts w:cs="Arial"/>
                <w:sz w:val="18"/>
                <w:szCs w:val="18"/>
              </w:rPr>
              <w:t>2,841,390</w:t>
            </w:r>
          </w:p>
        </w:tc>
        <w:tc>
          <w:tcPr>
            <w:tcW w:w="1361" w:type="dxa"/>
            <w:tcBorders>
              <w:top w:val="nil"/>
              <w:left w:val="nil"/>
              <w:bottom w:val="nil"/>
              <w:right w:val="nil"/>
            </w:tcBorders>
            <w:shd w:val="clear" w:color="auto" w:fill="auto"/>
            <w:vAlign w:val="bottom"/>
          </w:tcPr>
          <w:p w14:paraId="280A52AA" w14:textId="513EF944" w:rsidR="00A66703" w:rsidRPr="001D41EA" w:rsidRDefault="00A66703" w:rsidP="001D41EA">
            <w:pPr>
              <w:spacing w:before="40" w:after="40"/>
              <w:jc w:val="right"/>
              <w:rPr>
                <w:rFonts w:cs="Arial"/>
                <w:b/>
                <w:sz w:val="18"/>
                <w:szCs w:val="18"/>
              </w:rPr>
            </w:pPr>
            <w:r w:rsidRPr="001D41EA">
              <w:rPr>
                <w:rFonts w:cs="Arial"/>
                <w:b/>
                <w:sz w:val="18"/>
                <w:szCs w:val="18"/>
              </w:rPr>
              <w:t>9,511,394</w:t>
            </w:r>
          </w:p>
        </w:tc>
      </w:tr>
      <w:tr w:rsidR="00A66703" w:rsidRPr="001D41EA" w14:paraId="35A881FF"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3401CAF" w14:textId="77777777" w:rsidR="00A66703" w:rsidRPr="001D41EA" w:rsidRDefault="00A66703" w:rsidP="001D41EA">
            <w:pPr>
              <w:spacing w:before="40" w:after="40"/>
              <w:rPr>
                <w:rFonts w:cs="Arial"/>
                <w:sz w:val="18"/>
                <w:szCs w:val="18"/>
              </w:rPr>
            </w:pPr>
            <w:r w:rsidRPr="001D41EA">
              <w:rPr>
                <w:rFonts w:cs="Arial"/>
                <w:sz w:val="18"/>
                <w:szCs w:val="18"/>
              </w:rPr>
              <w:t>Bayside C</w:t>
            </w:r>
          </w:p>
        </w:tc>
        <w:tc>
          <w:tcPr>
            <w:tcW w:w="1361" w:type="dxa"/>
            <w:tcBorders>
              <w:top w:val="nil"/>
              <w:left w:val="single" w:sz="18" w:space="0" w:color="5F497A" w:themeColor="accent4" w:themeShade="BF"/>
              <w:bottom w:val="nil"/>
              <w:right w:val="nil"/>
            </w:tcBorders>
            <w:shd w:val="clear" w:color="auto" w:fill="auto"/>
            <w:vAlign w:val="bottom"/>
          </w:tcPr>
          <w:p w14:paraId="2D996448" w14:textId="77ED7832" w:rsidR="00A66703" w:rsidRPr="001D41EA" w:rsidRDefault="00A66703" w:rsidP="001D41EA">
            <w:pPr>
              <w:spacing w:before="40" w:after="40"/>
              <w:jc w:val="right"/>
              <w:rPr>
                <w:rFonts w:cs="Arial"/>
                <w:sz w:val="18"/>
                <w:szCs w:val="18"/>
              </w:rPr>
            </w:pPr>
            <w:r w:rsidRPr="001D41EA">
              <w:rPr>
                <w:rFonts w:cs="Arial"/>
                <w:sz w:val="18"/>
                <w:szCs w:val="18"/>
              </w:rPr>
              <w:t>2,236,461</w:t>
            </w:r>
          </w:p>
        </w:tc>
        <w:tc>
          <w:tcPr>
            <w:tcW w:w="1361" w:type="dxa"/>
            <w:tcBorders>
              <w:top w:val="nil"/>
              <w:left w:val="nil"/>
              <w:bottom w:val="nil"/>
              <w:right w:val="nil"/>
            </w:tcBorders>
            <w:shd w:val="clear" w:color="auto" w:fill="auto"/>
            <w:vAlign w:val="bottom"/>
          </w:tcPr>
          <w:p w14:paraId="70A8D78C" w14:textId="77777777"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18621B4F" w14:textId="6C2915D7" w:rsidR="00A66703" w:rsidRPr="001D41EA" w:rsidRDefault="00A66703" w:rsidP="001D41EA">
            <w:pPr>
              <w:spacing w:before="40" w:after="40"/>
              <w:jc w:val="right"/>
              <w:rPr>
                <w:rFonts w:cs="Arial"/>
                <w:sz w:val="18"/>
                <w:szCs w:val="18"/>
              </w:rPr>
            </w:pPr>
            <w:r w:rsidRPr="001D41EA">
              <w:rPr>
                <w:rFonts w:cs="Arial"/>
                <w:sz w:val="18"/>
                <w:szCs w:val="18"/>
              </w:rPr>
              <w:t>2,236,461</w:t>
            </w:r>
          </w:p>
        </w:tc>
        <w:tc>
          <w:tcPr>
            <w:tcW w:w="1361" w:type="dxa"/>
            <w:tcBorders>
              <w:top w:val="nil"/>
              <w:left w:val="nil"/>
              <w:bottom w:val="nil"/>
              <w:right w:val="nil"/>
            </w:tcBorders>
            <w:shd w:val="clear" w:color="auto" w:fill="auto"/>
            <w:vAlign w:val="bottom"/>
          </w:tcPr>
          <w:p w14:paraId="06BE6C83" w14:textId="7F37C6B9" w:rsidR="00A66703" w:rsidRPr="001D41EA" w:rsidRDefault="00A66703" w:rsidP="001D41EA">
            <w:pPr>
              <w:spacing w:before="40" w:after="40"/>
              <w:jc w:val="right"/>
              <w:rPr>
                <w:rFonts w:cs="Arial"/>
                <w:sz w:val="18"/>
                <w:szCs w:val="18"/>
              </w:rPr>
            </w:pPr>
            <w:r w:rsidRPr="001D41EA">
              <w:rPr>
                <w:rFonts w:cs="Arial"/>
                <w:sz w:val="18"/>
                <w:szCs w:val="18"/>
              </w:rPr>
              <w:t>583,440</w:t>
            </w:r>
          </w:p>
        </w:tc>
        <w:tc>
          <w:tcPr>
            <w:tcW w:w="1361" w:type="dxa"/>
            <w:tcBorders>
              <w:top w:val="nil"/>
              <w:left w:val="nil"/>
              <w:bottom w:val="nil"/>
              <w:right w:val="nil"/>
            </w:tcBorders>
            <w:shd w:val="clear" w:color="auto" w:fill="auto"/>
            <w:vAlign w:val="bottom"/>
          </w:tcPr>
          <w:p w14:paraId="525583A7" w14:textId="19CF9D85" w:rsidR="00A66703" w:rsidRPr="001D41EA" w:rsidRDefault="00A66703" w:rsidP="001D41EA">
            <w:pPr>
              <w:spacing w:before="40" w:after="40"/>
              <w:jc w:val="right"/>
              <w:rPr>
                <w:rFonts w:cs="Arial"/>
                <w:b/>
                <w:sz w:val="18"/>
                <w:szCs w:val="18"/>
              </w:rPr>
            </w:pPr>
            <w:r w:rsidRPr="001D41EA">
              <w:rPr>
                <w:rFonts w:cs="Arial"/>
                <w:b/>
                <w:sz w:val="18"/>
                <w:szCs w:val="18"/>
              </w:rPr>
              <w:t>2,819,901</w:t>
            </w:r>
          </w:p>
        </w:tc>
      </w:tr>
      <w:tr w:rsidR="00A66703" w:rsidRPr="001D41EA" w14:paraId="5D35AA4E"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C8FF5CC" w14:textId="77777777" w:rsidR="00A66703" w:rsidRPr="001D41EA" w:rsidRDefault="00A66703" w:rsidP="001D41EA">
            <w:pPr>
              <w:spacing w:before="40" w:after="40"/>
              <w:rPr>
                <w:rFonts w:cs="Arial"/>
                <w:sz w:val="18"/>
                <w:szCs w:val="18"/>
              </w:rPr>
            </w:pPr>
            <w:r w:rsidRPr="001D41EA">
              <w:rPr>
                <w:rFonts w:cs="Arial"/>
                <w:sz w:val="18"/>
                <w:szCs w:val="18"/>
              </w:rPr>
              <w:t>Benalla RC</w:t>
            </w:r>
          </w:p>
        </w:tc>
        <w:tc>
          <w:tcPr>
            <w:tcW w:w="1361" w:type="dxa"/>
            <w:tcBorders>
              <w:top w:val="nil"/>
              <w:left w:val="single" w:sz="18" w:space="0" w:color="5F497A" w:themeColor="accent4" w:themeShade="BF"/>
              <w:bottom w:val="nil"/>
              <w:right w:val="nil"/>
            </w:tcBorders>
            <w:shd w:val="clear" w:color="auto" w:fill="auto"/>
            <w:vAlign w:val="bottom"/>
          </w:tcPr>
          <w:p w14:paraId="59D544A3" w14:textId="4CDAC9F6" w:rsidR="00A66703" w:rsidRPr="001D41EA" w:rsidRDefault="00A66703" w:rsidP="001D41EA">
            <w:pPr>
              <w:spacing w:before="40" w:after="40"/>
              <w:jc w:val="right"/>
              <w:rPr>
                <w:rFonts w:cs="Arial"/>
                <w:sz w:val="18"/>
                <w:szCs w:val="18"/>
              </w:rPr>
            </w:pPr>
            <w:r w:rsidRPr="001D41EA">
              <w:rPr>
                <w:rFonts w:cs="Arial"/>
                <w:sz w:val="18"/>
                <w:szCs w:val="18"/>
              </w:rPr>
              <w:t>2,767,779</w:t>
            </w:r>
          </w:p>
        </w:tc>
        <w:tc>
          <w:tcPr>
            <w:tcW w:w="1361" w:type="dxa"/>
            <w:tcBorders>
              <w:top w:val="nil"/>
              <w:left w:val="nil"/>
              <w:bottom w:val="nil"/>
              <w:right w:val="nil"/>
            </w:tcBorders>
            <w:shd w:val="clear" w:color="auto" w:fill="auto"/>
            <w:vAlign w:val="bottom"/>
          </w:tcPr>
          <w:p w14:paraId="65B6FD86" w14:textId="0082C99F" w:rsidR="00A66703" w:rsidRPr="001D41EA" w:rsidRDefault="00A66703" w:rsidP="001D41EA">
            <w:pPr>
              <w:spacing w:before="40" w:after="40"/>
              <w:jc w:val="right"/>
              <w:rPr>
                <w:rFonts w:cs="Arial"/>
                <w:sz w:val="18"/>
                <w:szCs w:val="18"/>
              </w:rPr>
            </w:pPr>
            <w:r w:rsidRPr="001D41EA">
              <w:rPr>
                <w:rFonts w:cs="Arial"/>
                <w:sz w:val="18"/>
                <w:szCs w:val="18"/>
              </w:rPr>
              <w:t>35,000</w:t>
            </w:r>
          </w:p>
        </w:tc>
        <w:tc>
          <w:tcPr>
            <w:tcW w:w="1361" w:type="dxa"/>
            <w:tcBorders>
              <w:top w:val="nil"/>
              <w:left w:val="nil"/>
              <w:bottom w:val="nil"/>
              <w:right w:val="nil"/>
            </w:tcBorders>
            <w:shd w:val="clear" w:color="auto" w:fill="auto"/>
            <w:vAlign w:val="bottom"/>
          </w:tcPr>
          <w:p w14:paraId="3828F57E" w14:textId="347D97C7" w:rsidR="00A66703" w:rsidRPr="001D41EA" w:rsidRDefault="00A66703" w:rsidP="001D41EA">
            <w:pPr>
              <w:spacing w:before="40" w:after="40"/>
              <w:jc w:val="right"/>
              <w:rPr>
                <w:rFonts w:cs="Arial"/>
                <w:sz w:val="18"/>
                <w:szCs w:val="18"/>
              </w:rPr>
            </w:pPr>
            <w:r w:rsidRPr="001D41EA">
              <w:rPr>
                <w:rFonts w:cs="Arial"/>
                <w:sz w:val="18"/>
                <w:szCs w:val="18"/>
              </w:rPr>
              <w:t>2,802,779</w:t>
            </w:r>
          </w:p>
        </w:tc>
        <w:tc>
          <w:tcPr>
            <w:tcW w:w="1361" w:type="dxa"/>
            <w:tcBorders>
              <w:top w:val="nil"/>
              <w:left w:val="nil"/>
              <w:bottom w:val="nil"/>
              <w:right w:val="nil"/>
            </w:tcBorders>
            <w:shd w:val="clear" w:color="auto" w:fill="auto"/>
            <w:vAlign w:val="bottom"/>
          </w:tcPr>
          <w:p w14:paraId="165EA743" w14:textId="51347DEB" w:rsidR="00A66703" w:rsidRPr="001D41EA" w:rsidRDefault="00A66703" w:rsidP="001D41EA">
            <w:pPr>
              <w:spacing w:before="40" w:after="40"/>
              <w:jc w:val="right"/>
              <w:rPr>
                <w:rFonts w:cs="Arial"/>
                <w:sz w:val="18"/>
                <w:szCs w:val="18"/>
              </w:rPr>
            </w:pPr>
            <w:r w:rsidRPr="001D41EA">
              <w:rPr>
                <w:rFonts w:cs="Arial"/>
                <w:sz w:val="18"/>
                <w:szCs w:val="18"/>
              </w:rPr>
              <w:t>1,512,625</w:t>
            </w:r>
          </w:p>
        </w:tc>
        <w:tc>
          <w:tcPr>
            <w:tcW w:w="1361" w:type="dxa"/>
            <w:tcBorders>
              <w:top w:val="nil"/>
              <w:left w:val="nil"/>
              <w:bottom w:val="nil"/>
              <w:right w:val="nil"/>
            </w:tcBorders>
            <w:shd w:val="clear" w:color="auto" w:fill="auto"/>
            <w:vAlign w:val="bottom"/>
          </w:tcPr>
          <w:p w14:paraId="48436991" w14:textId="65CF706E" w:rsidR="00A66703" w:rsidRPr="001D41EA" w:rsidRDefault="00A66703" w:rsidP="001D41EA">
            <w:pPr>
              <w:spacing w:before="40" w:after="40"/>
              <w:jc w:val="right"/>
              <w:rPr>
                <w:rFonts w:cs="Arial"/>
                <w:b/>
                <w:sz w:val="18"/>
                <w:szCs w:val="18"/>
              </w:rPr>
            </w:pPr>
            <w:r w:rsidRPr="001D41EA">
              <w:rPr>
                <w:rFonts w:cs="Arial"/>
                <w:b/>
                <w:sz w:val="18"/>
                <w:szCs w:val="18"/>
              </w:rPr>
              <w:t>4,315,404</w:t>
            </w:r>
          </w:p>
        </w:tc>
      </w:tr>
      <w:tr w:rsidR="00A66703" w:rsidRPr="001D41EA" w14:paraId="016BB096"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ED348E0" w14:textId="77777777" w:rsidR="00A66703" w:rsidRPr="001D41EA" w:rsidRDefault="00A66703" w:rsidP="001D41EA">
            <w:pPr>
              <w:spacing w:before="40" w:after="40"/>
              <w:rPr>
                <w:rFonts w:cs="Arial"/>
                <w:sz w:val="18"/>
                <w:szCs w:val="18"/>
              </w:rPr>
            </w:pPr>
            <w:r w:rsidRPr="001D41EA">
              <w:rPr>
                <w:rFonts w:cs="Arial"/>
                <w:sz w:val="18"/>
                <w:szCs w:val="18"/>
              </w:rPr>
              <w:t>Boroondara C</w:t>
            </w:r>
          </w:p>
        </w:tc>
        <w:tc>
          <w:tcPr>
            <w:tcW w:w="1361" w:type="dxa"/>
            <w:tcBorders>
              <w:top w:val="nil"/>
              <w:left w:val="single" w:sz="18" w:space="0" w:color="5F497A" w:themeColor="accent4" w:themeShade="BF"/>
              <w:bottom w:val="nil"/>
              <w:right w:val="nil"/>
            </w:tcBorders>
            <w:shd w:val="clear" w:color="auto" w:fill="auto"/>
            <w:vAlign w:val="bottom"/>
          </w:tcPr>
          <w:p w14:paraId="3A9FB1B6" w14:textId="62191C34" w:rsidR="00A66703" w:rsidRPr="001D41EA" w:rsidRDefault="00A66703" w:rsidP="001D41EA">
            <w:pPr>
              <w:spacing w:before="40" w:after="40"/>
              <w:jc w:val="right"/>
              <w:rPr>
                <w:rFonts w:cs="Arial"/>
                <w:sz w:val="18"/>
                <w:szCs w:val="18"/>
              </w:rPr>
            </w:pPr>
            <w:r w:rsidRPr="001D41EA">
              <w:rPr>
                <w:rFonts w:cs="Arial"/>
                <w:sz w:val="18"/>
                <w:szCs w:val="18"/>
              </w:rPr>
              <w:t>3,835,163</w:t>
            </w:r>
          </w:p>
        </w:tc>
        <w:tc>
          <w:tcPr>
            <w:tcW w:w="1361" w:type="dxa"/>
            <w:tcBorders>
              <w:top w:val="nil"/>
              <w:left w:val="nil"/>
              <w:bottom w:val="nil"/>
              <w:right w:val="nil"/>
            </w:tcBorders>
            <w:shd w:val="clear" w:color="auto" w:fill="auto"/>
            <w:vAlign w:val="bottom"/>
          </w:tcPr>
          <w:p w14:paraId="1B71622B" w14:textId="77777777"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67CFD74C" w14:textId="785BD479" w:rsidR="00A66703" w:rsidRPr="001D41EA" w:rsidRDefault="00A66703" w:rsidP="001D41EA">
            <w:pPr>
              <w:spacing w:before="40" w:after="40"/>
              <w:jc w:val="right"/>
              <w:rPr>
                <w:rFonts w:cs="Arial"/>
                <w:sz w:val="18"/>
                <w:szCs w:val="18"/>
              </w:rPr>
            </w:pPr>
            <w:r w:rsidRPr="001D41EA">
              <w:rPr>
                <w:rFonts w:cs="Arial"/>
                <w:sz w:val="18"/>
                <w:szCs w:val="18"/>
              </w:rPr>
              <w:t>3,835,163</w:t>
            </w:r>
          </w:p>
        </w:tc>
        <w:tc>
          <w:tcPr>
            <w:tcW w:w="1361" w:type="dxa"/>
            <w:tcBorders>
              <w:top w:val="nil"/>
              <w:left w:val="nil"/>
              <w:bottom w:val="nil"/>
              <w:right w:val="nil"/>
            </w:tcBorders>
            <w:shd w:val="clear" w:color="auto" w:fill="auto"/>
            <w:vAlign w:val="bottom"/>
          </w:tcPr>
          <w:p w14:paraId="2B8369FC" w14:textId="75F32123" w:rsidR="00A66703" w:rsidRPr="001D41EA" w:rsidRDefault="00A66703" w:rsidP="001D41EA">
            <w:pPr>
              <w:spacing w:before="40" w:after="40"/>
              <w:jc w:val="right"/>
              <w:rPr>
                <w:rFonts w:cs="Arial"/>
                <w:sz w:val="18"/>
                <w:szCs w:val="18"/>
              </w:rPr>
            </w:pPr>
            <w:r w:rsidRPr="001D41EA">
              <w:rPr>
                <w:rFonts w:cs="Arial"/>
                <w:sz w:val="18"/>
                <w:szCs w:val="18"/>
              </w:rPr>
              <w:t>934,008</w:t>
            </w:r>
          </w:p>
        </w:tc>
        <w:tc>
          <w:tcPr>
            <w:tcW w:w="1361" w:type="dxa"/>
            <w:tcBorders>
              <w:top w:val="nil"/>
              <w:left w:val="nil"/>
              <w:bottom w:val="nil"/>
              <w:right w:val="nil"/>
            </w:tcBorders>
            <w:shd w:val="clear" w:color="auto" w:fill="auto"/>
            <w:vAlign w:val="bottom"/>
          </w:tcPr>
          <w:p w14:paraId="6B85A72F" w14:textId="0B4B2D3C" w:rsidR="00A66703" w:rsidRPr="001D41EA" w:rsidRDefault="00A66703" w:rsidP="001D41EA">
            <w:pPr>
              <w:spacing w:before="40" w:after="40"/>
              <w:jc w:val="right"/>
              <w:rPr>
                <w:rFonts w:cs="Arial"/>
                <w:b/>
                <w:sz w:val="18"/>
                <w:szCs w:val="18"/>
              </w:rPr>
            </w:pPr>
            <w:r w:rsidRPr="001D41EA">
              <w:rPr>
                <w:rFonts w:cs="Arial"/>
                <w:b/>
                <w:sz w:val="18"/>
                <w:szCs w:val="18"/>
              </w:rPr>
              <w:t>4,769,171</w:t>
            </w:r>
          </w:p>
        </w:tc>
      </w:tr>
      <w:tr w:rsidR="00A66703" w:rsidRPr="001D41EA" w14:paraId="6366074E"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B621D5F" w14:textId="77777777" w:rsidR="00A66703" w:rsidRPr="001D41EA" w:rsidRDefault="00A66703" w:rsidP="001D41EA">
            <w:pPr>
              <w:spacing w:before="40" w:after="40"/>
              <w:rPr>
                <w:rFonts w:cs="Arial"/>
                <w:sz w:val="18"/>
                <w:szCs w:val="18"/>
              </w:rPr>
            </w:pPr>
            <w:r w:rsidRPr="001D41EA">
              <w:rPr>
                <w:rFonts w:cs="Arial"/>
                <w:sz w:val="18"/>
                <w:szCs w:val="18"/>
              </w:rPr>
              <w:t>Brimbank C</w:t>
            </w:r>
          </w:p>
        </w:tc>
        <w:tc>
          <w:tcPr>
            <w:tcW w:w="1361" w:type="dxa"/>
            <w:tcBorders>
              <w:top w:val="nil"/>
              <w:left w:val="single" w:sz="18" w:space="0" w:color="5F497A" w:themeColor="accent4" w:themeShade="BF"/>
              <w:bottom w:val="nil"/>
              <w:right w:val="nil"/>
            </w:tcBorders>
            <w:shd w:val="clear" w:color="auto" w:fill="auto"/>
            <w:vAlign w:val="bottom"/>
          </w:tcPr>
          <w:p w14:paraId="1E0D85CE" w14:textId="5E131177" w:rsidR="00A66703" w:rsidRPr="001D41EA" w:rsidRDefault="00A66703" w:rsidP="001D41EA">
            <w:pPr>
              <w:spacing w:before="40" w:after="40"/>
              <w:jc w:val="right"/>
              <w:rPr>
                <w:rFonts w:cs="Arial"/>
                <w:sz w:val="18"/>
                <w:szCs w:val="18"/>
              </w:rPr>
            </w:pPr>
            <w:r w:rsidRPr="001D41EA">
              <w:rPr>
                <w:rFonts w:cs="Arial"/>
                <w:sz w:val="18"/>
                <w:szCs w:val="18"/>
              </w:rPr>
              <w:t>12,498,524</w:t>
            </w:r>
          </w:p>
        </w:tc>
        <w:tc>
          <w:tcPr>
            <w:tcW w:w="1361" w:type="dxa"/>
            <w:tcBorders>
              <w:top w:val="nil"/>
              <w:left w:val="nil"/>
              <w:bottom w:val="nil"/>
              <w:right w:val="nil"/>
            </w:tcBorders>
            <w:shd w:val="clear" w:color="auto" w:fill="auto"/>
            <w:vAlign w:val="bottom"/>
          </w:tcPr>
          <w:p w14:paraId="07D2E8F9" w14:textId="77777777"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41404BF8" w14:textId="1C91E4B0" w:rsidR="00A66703" w:rsidRPr="001D41EA" w:rsidRDefault="00A66703" w:rsidP="001D41EA">
            <w:pPr>
              <w:spacing w:before="40" w:after="40"/>
              <w:jc w:val="right"/>
              <w:rPr>
                <w:rFonts w:cs="Arial"/>
                <w:sz w:val="18"/>
                <w:szCs w:val="18"/>
              </w:rPr>
            </w:pPr>
            <w:r w:rsidRPr="001D41EA">
              <w:rPr>
                <w:rFonts w:cs="Arial"/>
                <w:sz w:val="18"/>
                <w:szCs w:val="18"/>
              </w:rPr>
              <w:t>12,498,524</w:t>
            </w:r>
          </w:p>
        </w:tc>
        <w:tc>
          <w:tcPr>
            <w:tcW w:w="1361" w:type="dxa"/>
            <w:tcBorders>
              <w:top w:val="nil"/>
              <w:left w:val="nil"/>
              <w:bottom w:val="nil"/>
              <w:right w:val="nil"/>
            </w:tcBorders>
            <w:shd w:val="clear" w:color="auto" w:fill="auto"/>
            <w:vAlign w:val="bottom"/>
          </w:tcPr>
          <w:p w14:paraId="5AAF516E" w14:textId="23FF0157" w:rsidR="00A66703" w:rsidRPr="001D41EA" w:rsidRDefault="00A66703" w:rsidP="001D41EA">
            <w:pPr>
              <w:spacing w:before="40" w:after="40"/>
              <w:jc w:val="right"/>
              <w:rPr>
                <w:rFonts w:cs="Arial"/>
                <w:sz w:val="18"/>
                <w:szCs w:val="18"/>
              </w:rPr>
            </w:pPr>
            <w:r w:rsidRPr="001D41EA">
              <w:rPr>
                <w:rFonts w:cs="Arial"/>
                <w:sz w:val="18"/>
                <w:szCs w:val="18"/>
              </w:rPr>
              <w:t>1,781,496</w:t>
            </w:r>
          </w:p>
        </w:tc>
        <w:tc>
          <w:tcPr>
            <w:tcW w:w="1361" w:type="dxa"/>
            <w:tcBorders>
              <w:top w:val="nil"/>
              <w:left w:val="nil"/>
              <w:bottom w:val="nil"/>
              <w:right w:val="nil"/>
            </w:tcBorders>
            <w:shd w:val="clear" w:color="auto" w:fill="auto"/>
            <w:vAlign w:val="bottom"/>
          </w:tcPr>
          <w:p w14:paraId="12D3D383" w14:textId="08E33270" w:rsidR="00A66703" w:rsidRPr="001D41EA" w:rsidRDefault="00A66703" w:rsidP="001D41EA">
            <w:pPr>
              <w:spacing w:before="40" w:after="40"/>
              <w:jc w:val="right"/>
              <w:rPr>
                <w:rFonts w:cs="Arial"/>
                <w:b/>
                <w:sz w:val="18"/>
                <w:szCs w:val="18"/>
              </w:rPr>
            </w:pPr>
            <w:r w:rsidRPr="001D41EA">
              <w:rPr>
                <w:rFonts w:cs="Arial"/>
                <w:b/>
                <w:sz w:val="18"/>
                <w:szCs w:val="18"/>
              </w:rPr>
              <w:t>14,280,020</w:t>
            </w:r>
          </w:p>
        </w:tc>
      </w:tr>
      <w:tr w:rsidR="00A66703" w:rsidRPr="001D41EA" w14:paraId="250CD629"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C331673" w14:textId="77777777" w:rsidR="00A66703" w:rsidRPr="001D41EA" w:rsidRDefault="00A66703" w:rsidP="001D41EA">
            <w:pPr>
              <w:spacing w:before="40" w:after="40"/>
              <w:rPr>
                <w:rFonts w:cs="Arial"/>
                <w:sz w:val="18"/>
                <w:szCs w:val="18"/>
              </w:rPr>
            </w:pPr>
            <w:r w:rsidRPr="001D41EA">
              <w:rPr>
                <w:rFonts w:cs="Arial"/>
                <w:sz w:val="18"/>
                <w:szCs w:val="18"/>
              </w:rPr>
              <w:t>Buloke S</w:t>
            </w:r>
          </w:p>
        </w:tc>
        <w:tc>
          <w:tcPr>
            <w:tcW w:w="1361" w:type="dxa"/>
            <w:tcBorders>
              <w:top w:val="nil"/>
              <w:left w:val="single" w:sz="18" w:space="0" w:color="5F497A" w:themeColor="accent4" w:themeShade="BF"/>
              <w:bottom w:val="nil"/>
              <w:right w:val="nil"/>
            </w:tcBorders>
            <w:shd w:val="clear" w:color="auto" w:fill="auto"/>
            <w:vAlign w:val="bottom"/>
          </w:tcPr>
          <w:p w14:paraId="2EF10ED3" w14:textId="0F129F46" w:rsidR="00A66703" w:rsidRPr="001D41EA" w:rsidRDefault="00A66703" w:rsidP="001D41EA">
            <w:pPr>
              <w:spacing w:before="40" w:after="40"/>
              <w:jc w:val="right"/>
              <w:rPr>
                <w:rFonts w:cs="Arial"/>
                <w:sz w:val="18"/>
                <w:szCs w:val="18"/>
              </w:rPr>
            </w:pPr>
            <w:r w:rsidRPr="001D41EA">
              <w:rPr>
                <w:rFonts w:cs="Arial"/>
                <w:sz w:val="18"/>
                <w:szCs w:val="18"/>
              </w:rPr>
              <w:t>4,109,420</w:t>
            </w:r>
          </w:p>
        </w:tc>
        <w:tc>
          <w:tcPr>
            <w:tcW w:w="1361" w:type="dxa"/>
            <w:tcBorders>
              <w:top w:val="nil"/>
              <w:left w:val="nil"/>
              <w:bottom w:val="nil"/>
              <w:right w:val="nil"/>
            </w:tcBorders>
            <w:shd w:val="clear" w:color="auto" w:fill="auto"/>
            <w:vAlign w:val="bottom"/>
          </w:tcPr>
          <w:p w14:paraId="70D26E58" w14:textId="77777777"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53E020ED" w14:textId="5874F6D4" w:rsidR="00A66703" w:rsidRPr="001D41EA" w:rsidRDefault="00A66703" w:rsidP="001D41EA">
            <w:pPr>
              <w:spacing w:before="40" w:after="40"/>
              <w:jc w:val="right"/>
              <w:rPr>
                <w:rFonts w:cs="Arial"/>
                <w:sz w:val="18"/>
                <w:szCs w:val="18"/>
              </w:rPr>
            </w:pPr>
            <w:r w:rsidRPr="001D41EA">
              <w:rPr>
                <w:rFonts w:cs="Arial"/>
                <w:sz w:val="18"/>
                <w:szCs w:val="18"/>
              </w:rPr>
              <w:t>4,109,420</w:t>
            </w:r>
          </w:p>
        </w:tc>
        <w:tc>
          <w:tcPr>
            <w:tcW w:w="1361" w:type="dxa"/>
            <w:tcBorders>
              <w:top w:val="nil"/>
              <w:left w:val="nil"/>
              <w:bottom w:val="nil"/>
              <w:right w:val="nil"/>
            </w:tcBorders>
            <w:shd w:val="clear" w:color="auto" w:fill="auto"/>
            <w:vAlign w:val="bottom"/>
          </w:tcPr>
          <w:p w14:paraId="585C00C8" w14:textId="1A2DF7E9" w:rsidR="00A66703" w:rsidRPr="001D41EA" w:rsidRDefault="00A66703" w:rsidP="001D41EA">
            <w:pPr>
              <w:spacing w:before="40" w:after="40"/>
              <w:jc w:val="right"/>
              <w:rPr>
                <w:rFonts w:cs="Arial"/>
                <w:sz w:val="18"/>
                <w:szCs w:val="18"/>
              </w:rPr>
            </w:pPr>
            <w:r w:rsidRPr="001D41EA">
              <w:rPr>
                <w:rFonts w:cs="Arial"/>
                <w:sz w:val="18"/>
                <w:szCs w:val="18"/>
              </w:rPr>
              <w:t>2,516,273</w:t>
            </w:r>
          </w:p>
        </w:tc>
        <w:tc>
          <w:tcPr>
            <w:tcW w:w="1361" w:type="dxa"/>
            <w:tcBorders>
              <w:top w:val="nil"/>
              <w:left w:val="nil"/>
              <w:bottom w:val="nil"/>
              <w:right w:val="nil"/>
            </w:tcBorders>
            <w:shd w:val="clear" w:color="auto" w:fill="auto"/>
            <w:vAlign w:val="bottom"/>
          </w:tcPr>
          <w:p w14:paraId="5C96ECF2" w14:textId="708C77C3" w:rsidR="00A66703" w:rsidRPr="001D41EA" w:rsidRDefault="00A66703" w:rsidP="001D41EA">
            <w:pPr>
              <w:spacing w:before="40" w:after="40"/>
              <w:jc w:val="right"/>
              <w:rPr>
                <w:rFonts w:cs="Arial"/>
                <w:b/>
                <w:sz w:val="18"/>
                <w:szCs w:val="18"/>
              </w:rPr>
            </w:pPr>
            <w:r w:rsidRPr="001D41EA">
              <w:rPr>
                <w:rFonts w:cs="Arial"/>
                <w:b/>
                <w:sz w:val="18"/>
                <w:szCs w:val="18"/>
              </w:rPr>
              <w:t>6,625,693</w:t>
            </w:r>
          </w:p>
        </w:tc>
      </w:tr>
      <w:tr w:rsidR="00A66703" w:rsidRPr="001D41EA" w14:paraId="1D6800A9"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88098FD" w14:textId="77777777" w:rsidR="00A66703" w:rsidRPr="001D41EA" w:rsidRDefault="00A66703" w:rsidP="001D41EA">
            <w:pPr>
              <w:spacing w:before="40" w:after="40"/>
              <w:rPr>
                <w:rFonts w:cs="Arial"/>
                <w:sz w:val="18"/>
                <w:szCs w:val="18"/>
              </w:rPr>
            </w:pPr>
            <w:r w:rsidRPr="001D41EA">
              <w:rPr>
                <w:rFonts w:cs="Arial"/>
                <w:sz w:val="18"/>
                <w:szCs w:val="18"/>
              </w:rPr>
              <w:t>Campaspe S</w:t>
            </w:r>
          </w:p>
        </w:tc>
        <w:tc>
          <w:tcPr>
            <w:tcW w:w="1361" w:type="dxa"/>
            <w:tcBorders>
              <w:top w:val="nil"/>
              <w:left w:val="single" w:sz="18" w:space="0" w:color="5F497A" w:themeColor="accent4" w:themeShade="BF"/>
              <w:bottom w:val="nil"/>
              <w:right w:val="nil"/>
            </w:tcBorders>
            <w:shd w:val="clear" w:color="auto" w:fill="auto"/>
            <w:vAlign w:val="bottom"/>
          </w:tcPr>
          <w:p w14:paraId="787A27A7" w14:textId="57DB770A" w:rsidR="00A66703" w:rsidRPr="001D41EA" w:rsidRDefault="00A66703" w:rsidP="001D41EA">
            <w:pPr>
              <w:spacing w:before="40" w:after="40"/>
              <w:jc w:val="right"/>
              <w:rPr>
                <w:rFonts w:cs="Arial"/>
                <w:sz w:val="18"/>
                <w:szCs w:val="18"/>
              </w:rPr>
            </w:pPr>
            <w:r w:rsidRPr="001D41EA">
              <w:rPr>
                <w:rFonts w:cs="Arial"/>
                <w:sz w:val="18"/>
                <w:szCs w:val="18"/>
              </w:rPr>
              <w:t>7,970,336</w:t>
            </w:r>
          </w:p>
        </w:tc>
        <w:tc>
          <w:tcPr>
            <w:tcW w:w="1361" w:type="dxa"/>
            <w:tcBorders>
              <w:top w:val="nil"/>
              <w:left w:val="nil"/>
              <w:bottom w:val="nil"/>
              <w:right w:val="nil"/>
            </w:tcBorders>
            <w:shd w:val="clear" w:color="auto" w:fill="auto"/>
            <w:vAlign w:val="bottom"/>
          </w:tcPr>
          <w:p w14:paraId="01503AB7" w14:textId="77777777"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7DE93A7F" w14:textId="19729693" w:rsidR="00A66703" w:rsidRPr="001D41EA" w:rsidRDefault="00A66703" w:rsidP="001D41EA">
            <w:pPr>
              <w:spacing w:before="40" w:after="40"/>
              <w:jc w:val="right"/>
              <w:rPr>
                <w:rFonts w:cs="Arial"/>
                <w:sz w:val="18"/>
                <w:szCs w:val="18"/>
              </w:rPr>
            </w:pPr>
            <w:r w:rsidRPr="001D41EA">
              <w:rPr>
                <w:rFonts w:cs="Arial"/>
                <w:sz w:val="18"/>
                <w:szCs w:val="18"/>
              </w:rPr>
              <w:t>7,970,336</w:t>
            </w:r>
          </w:p>
        </w:tc>
        <w:tc>
          <w:tcPr>
            <w:tcW w:w="1361" w:type="dxa"/>
            <w:tcBorders>
              <w:top w:val="nil"/>
              <w:left w:val="nil"/>
              <w:bottom w:val="nil"/>
              <w:right w:val="nil"/>
            </w:tcBorders>
            <w:shd w:val="clear" w:color="auto" w:fill="auto"/>
            <w:vAlign w:val="bottom"/>
          </w:tcPr>
          <w:p w14:paraId="777606EE" w14:textId="5C073402" w:rsidR="00A66703" w:rsidRPr="001D41EA" w:rsidRDefault="00A66703" w:rsidP="001D41EA">
            <w:pPr>
              <w:spacing w:before="40" w:after="40"/>
              <w:jc w:val="right"/>
              <w:rPr>
                <w:rFonts w:cs="Arial"/>
                <w:sz w:val="18"/>
                <w:szCs w:val="18"/>
              </w:rPr>
            </w:pPr>
            <w:r w:rsidRPr="001D41EA">
              <w:rPr>
                <w:rFonts w:cs="Arial"/>
                <w:sz w:val="18"/>
                <w:szCs w:val="18"/>
              </w:rPr>
              <w:t>4,149,021</w:t>
            </w:r>
          </w:p>
        </w:tc>
        <w:tc>
          <w:tcPr>
            <w:tcW w:w="1361" w:type="dxa"/>
            <w:tcBorders>
              <w:top w:val="nil"/>
              <w:left w:val="nil"/>
              <w:bottom w:val="nil"/>
              <w:right w:val="nil"/>
            </w:tcBorders>
            <w:shd w:val="clear" w:color="auto" w:fill="auto"/>
            <w:vAlign w:val="bottom"/>
          </w:tcPr>
          <w:p w14:paraId="05F4DA51" w14:textId="1B6309D2" w:rsidR="00A66703" w:rsidRPr="001D41EA" w:rsidRDefault="00A66703" w:rsidP="001D41EA">
            <w:pPr>
              <w:spacing w:before="40" w:after="40"/>
              <w:jc w:val="right"/>
              <w:rPr>
                <w:rFonts w:cs="Arial"/>
                <w:b/>
                <w:sz w:val="18"/>
                <w:szCs w:val="18"/>
              </w:rPr>
            </w:pPr>
            <w:r w:rsidRPr="001D41EA">
              <w:rPr>
                <w:rFonts w:cs="Arial"/>
                <w:b/>
                <w:sz w:val="18"/>
                <w:szCs w:val="18"/>
              </w:rPr>
              <w:t>12,119,357</w:t>
            </w:r>
          </w:p>
        </w:tc>
      </w:tr>
      <w:tr w:rsidR="00A66703" w:rsidRPr="001D41EA" w14:paraId="3311B8B6"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39EE25D1" w14:textId="77777777" w:rsidR="00A66703" w:rsidRPr="001D41EA" w:rsidRDefault="00A66703" w:rsidP="001D41EA">
            <w:pPr>
              <w:spacing w:before="40" w:after="40"/>
              <w:rPr>
                <w:rFonts w:cs="Arial"/>
                <w:sz w:val="18"/>
                <w:szCs w:val="18"/>
              </w:rPr>
            </w:pPr>
            <w:r w:rsidRPr="001D41EA">
              <w:rPr>
                <w:rFonts w:cs="Arial"/>
                <w:sz w:val="18"/>
                <w:szCs w:val="18"/>
              </w:rPr>
              <w:t>Cardinia S</w:t>
            </w:r>
          </w:p>
        </w:tc>
        <w:tc>
          <w:tcPr>
            <w:tcW w:w="1361" w:type="dxa"/>
            <w:tcBorders>
              <w:top w:val="nil"/>
              <w:left w:val="single" w:sz="18" w:space="0" w:color="5F497A" w:themeColor="accent4" w:themeShade="BF"/>
              <w:bottom w:val="nil"/>
              <w:right w:val="nil"/>
            </w:tcBorders>
            <w:shd w:val="clear" w:color="auto" w:fill="auto"/>
            <w:vAlign w:val="bottom"/>
          </w:tcPr>
          <w:p w14:paraId="002D9547" w14:textId="417C6FA4" w:rsidR="00A66703" w:rsidRPr="001D41EA" w:rsidRDefault="00A66703" w:rsidP="001D41EA">
            <w:pPr>
              <w:spacing w:before="40" w:after="40"/>
              <w:jc w:val="right"/>
              <w:rPr>
                <w:rFonts w:cs="Arial"/>
                <w:sz w:val="18"/>
                <w:szCs w:val="18"/>
              </w:rPr>
            </w:pPr>
            <w:r w:rsidRPr="001D41EA">
              <w:rPr>
                <w:rFonts w:cs="Arial"/>
                <w:sz w:val="18"/>
                <w:szCs w:val="18"/>
              </w:rPr>
              <w:t>9,245,864</w:t>
            </w:r>
          </w:p>
        </w:tc>
        <w:tc>
          <w:tcPr>
            <w:tcW w:w="1361" w:type="dxa"/>
            <w:tcBorders>
              <w:top w:val="nil"/>
              <w:left w:val="nil"/>
              <w:bottom w:val="nil"/>
              <w:right w:val="nil"/>
            </w:tcBorders>
            <w:shd w:val="clear" w:color="auto" w:fill="auto"/>
            <w:vAlign w:val="bottom"/>
          </w:tcPr>
          <w:p w14:paraId="6FC469CE" w14:textId="731595D1"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5D1BF9B3" w14:textId="5DD3C2D0" w:rsidR="00A66703" w:rsidRPr="001D41EA" w:rsidRDefault="00A66703" w:rsidP="001D41EA">
            <w:pPr>
              <w:spacing w:before="40" w:after="40"/>
              <w:jc w:val="right"/>
              <w:rPr>
                <w:rFonts w:cs="Arial"/>
                <w:sz w:val="18"/>
                <w:szCs w:val="18"/>
              </w:rPr>
            </w:pPr>
            <w:r w:rsidRPr="001D41EA">
              <w:rPr>
                <w:rFonts w:cs="Arial"/>
                <w:sz w:val="18"/>
                <w:szCs w:val="18"/>
              </w:rPr>
              <w:t>9,245,864</w:t>
            </w:r>
          </w:p>
        </w:tc>
        <w:tc>
          <w:tcPr>
            <w:tcW w:w="1361" w:type="dxa"/>
            <w:tcBorders>
              <w:top w:val="nil"/>
              <w:left w:val="nil"/>
              <w:bottom w:val="nil"/>
              <w:right w:val="nil"/>
            </w:tcBorders>
            <w:shd w:val="clear" w:color="auto" w:fill="auto"/>
            <w:vAlign w:val="bottom"/>
          </w:tcPr>
          <w:p w14:paraId="1547259E" w14:textId="1FE59668" w:rsidR="00A66703" w:rsidRPr="001D41EA" w:rsidRDefault="00A66703" w:rsidP="001D41EA">
            <w:pPr>
              <w:spacing w:before="40" w:after="40"/>
              <w:jc w:val="right"/>
              <w:rPr>
                <w:rFonts w:cs="Arial"/>
                <w:sz w:val="18"/>
                <w:szCs w:val="18"/>
              </w:rPr>
            </w:pPr>
            <w:r w:rsidRPr="001D41EA">
              <w:rPr>
                <w:rFonts w:cs="Arial"/>
                <w:sz w:val="18"/>
                <w:szCs w:val="18"/>
              </w:rPr>
              <w:t>2,686,498</w:t>
            </w:r>
          </w:p>
        </w:tc>
        <w:tc>
          <w:tcPr>
            <w:tcW w:w="1361" w:type="dxa"/>
            <w:tcBorders>
              <w:top w:val="nil"/>
              <w:left w:val="nil"/>
              <w:bottom w:val="nil"/>
              <w:right w:val="nil"/>
            </w:tcBorders>
            <w:shd w:val="clear" w:color="auto" w:fill="auto"/>
            <w:vAlign w:val="bottom"/>
          </w:tcPr>
          <w:p w14:paraId="657ACCDA" w14:textId="45C7DC63" w:rsidR="00A66703" w:rsidRPr="001D41EA" w:rsidRDefault="00A66703" w:rsidP="001D41EA">
            <w:pPr>
              <w:spacing w:before="40" w:after="40"/>
              <w:jc w:val="right"/>
              <w:rPr>
                <w:rFonts w:cs="Arial"/>
                <w:b/>
                <w:sz w:val="18"/>
                <w:szCs w:val="18"/>
              </w:rPr>
            </w:pPr>
            <w:r w:rsidRPr="001D41EA">
              <w:rPr>
                <w:rFonts w:cs="Arial"/>
                <w:b/>
                <w:sz w:val="18"/>
                <w:szCs w:val="18"/>
              </w:rPr>
              <w:t>11,932,362</w:t>
            </w:r>
          </w:p>
        </w:tc>
      </w:tr>
      <w:tr w:rsidR="00A66703" w:rsidRPr="001D41EA" w14:paraId="17ED9DD9"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9E7FF13" w14:textId="77777777" w:rsidR="00A66703" w:rsidRPr="001D41EA" w:rsidRDefault="00A66703" w:rsidP="001D41EA">
            <w:pPr>
              <w:spacing w:before="40" w:after="40"/>
              <w:rPr>
                <w:rFonts w:cs="Arial"/>
                <w:sz w:val="18"/>
                <w:szCs w:val="18"/>
              </w:rPr>
            </w:pPr>
            <w:r w:rsidRPr="001D41EA">
              <w:rPr>
                <w:rFonts w:cs="Arial"/>
                <w:sz w:val="18"/>
                <w:szCs w:val="18"/>
              </w:rPr>
              <w:t>Casey C</w:t>
            </w:r>
          </w:p>
        </w:tc>
        <w:tc>
          <w:tcPr>
            <w:tcW w:w="1361" w:type="dxa"/>
            <w:tcBorders>
              <w:top w:val="nil"/>
              <w:left w:val="single" w:sz="18" w:space="0" w:color="5F497A" w:themeColor="accent4" w:themeShade="BF"/>
              <w:bottom w:val="nil"/>
              <w:right w:val="nil"/>
            </w:tcBorders>
            <w:shd w:val="clear" w:color="auto" w:fill="auto"/>
            <w:vAlign w:val="bottom"/>
          </w:tcPr>
          <w:p w14:paraId="64315763" w14:textId="1F5E9C2E" w:rsidR="00A66703" w:rsidRPr="001D41EA" w:rsidRDefault="00A66703" w:rsidP="001D41EA">
            <w:pPr>
              <w:spacing w:before="40" w:after="40"/>
              <w:jc w:val="right"/>
              <w:rPr>
                <w:rFonts w:cs="Arial"/>
                <w:sz w:val="18"/>
                <w:szCs w:val="18"/>
              </w:rPr>
            </w:pPr>
            <w:r w:rsidRPr="001D41EA">
              <w:rPr>
                <w:rFonts w:cs="Arial"/>
                <w:sz w:val="18"/>
                <w:szCs w:val="18"/>
              </w:rPr>
              <w:t>18,031,664</w:t>
            </w:r>
          </w:p>
        </w:tc>
        <w:tc>
          <w:tcPr>
            <w:tcW w:w="1361" w:type="dxa"/>
            <w:tcBorders>
              <w:top w:val="nil"/>
              <w:left w:val="nil"/>
              <w:bottom w:val="nil"/>
              <w:right w:val="nil"/>
            </w:tcBorders>
            <w:shd w:val="clear" w:color="auto" w:fill="auto"/>
            <w:vAlign w:val="bottom"/>
          </w:tcPr>
          <w:p w14:paraId="53F268D9" w14:textId="77777777"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15AD3EA7" w14:textId="0B9A5EDD" w:rsidR="00A66703" w:rsidRPr="001D41EA" w:rsidRDefault="00A66703" w:rsidP="001D41EA">
            <w:pPr>
              <w:spacing w:before="40" w:after="40"/>
              <w:jc w:val="right"/>
              <w:rPr>
                <w:rFonts w:cs="Arial"/>
                <w:sz w:val="18"/>
                <w:szCs w:val="18"/>
              </w:rPr>
            </w:pPr>
            <w:r w:rsidRPr="001D41EA">
              <w:rPr>
                <w:rFonts w:cs="Arial"/>
                <w:sz w:val="18"/>
                <w:szCs w:val="18"/>
              </w:rPr>
              <w:t>18,031,664</w:t>
            </w:r>
          </w:p>
        </w:tc>
        <w:tc>
          <w:tcPr>
            <w:tcW w:w="1361" w:type="dxa"/>
            <w:tcBorders>
              <w:top w:val="nil"/>
              <w:left w:val="nil"/>
              <w:bottom w:val="nil"/>
              <w:right w:val="nil"/>
            </w:tcBorders>
            <w:shd w:val="clear" w:color="auto" w:fill="auto"/>
            <w:vAlign w:val="bottom"/>
          </w:tcPr>
          <w:p w14:paraId="32493CC6" w14:textId="3C360912" w:rsidR="00A66703" w:rsidRPr="001D41EA" w:rsidRDefault="00A66703" w:rsidP="001D41EA">
            <w:pPr>
              <w:spacing w:before="40" w:after="40"/>
              <w:jc w:val="right"/>
              <w:rPr>
                <w:rFonts w:cs="Arial"/>
                <w:sz w:val="18"/>
                <w:szCs w:val="18"/>
              </w:rPr>
            </w:pPr>
            <w:r w:rsidRPr="001D41EA">
              <w:rPr>
                <w:rFonts w:cs="Arial"/>
                <w:sz w:val="18"/>
                <w:szCs w:val="18"/>
              </w:rPr>
              <w:t>2,659,862</w:t>
            </w:r>
          </w:p>
        </w:tc>
        <w:tc>
          <w:tcPr>
            <w:tcW w:w="1361" w:type="dxa"/>
            <w:tcBorders>
              <w:top w:val="nil"/>
              <w:left w:val="nil"/>
              <w:bottom w:val="nil"/>
              <w:right w:val="nil"/>
            </w:tcBorders>
            <w:shd w:val="clear" w:color="auto" w:fill="auto"/>
            <w:vAlign w:val="bottom"/>
          </w:tcPr>
          <w:p w14:paraId="3EAD42EF" w14:textId="0006C7A4" w:rsidR="00A66703" w:rsidRPr="001D41EA" w:rsidRDefault="00A66703" w:rsidP="001D41EA">
            <w:pPr>
              <w:spacing w:before="40" w:after="40"/>
              <w:jc w:val="right"/>
              <w:rPr>
                <w:rFonts w:cs="Arial"/>
                <w:b/>
                <w:sz w:val="18"/>
                <w:szCs w:val="18"/>
              </w:rPr>
            </w:pPr>
            <w:r w:rsidRPr="001D41EA">
              <w:rPr>
                <w:rFonts w:cs="Arial"/>
                <w:b/>
                <w:sz w:val="18"/>
                <w:szCs w:val="18"/>
              </w:rPr>
              <w:t>20,691,526</w:t>
            </w:r>
          </w:p>
        </w:tc>
      </w:tr>
      <w:tr w:rsidR="00A66703" w:rsidRPr="001D41EA" w14:paraId="06ACAD5A"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1CD4B34" w14:textId="77777777" w:rsidR="00A66703" w:rsidRPr="001D41EA" w:rsidRDefault="00A66703" w:rsidP="001D41EA">
            <w:pPr>
              <w:spacing w:before="40" w:after="40"/>
              <w:rPr>
                <w:rFonts w:cs="Arial"/>
                <w:sz w:val="18"/>
                <w:szCs w:val="18"/>
              </w:rPr>
            </w:pPr>
            <w:r w:rsidRPr="001D41EA">
              <w:rPr>
                <w:rFonts w:cs="Arial"/>
                <w:sz w:val="18"/>
                <w:szCs w:val="18"/>
              </w:rPr>
              <w:t>Central Goldfields S</w:t>
            </w:r>
          </w:p>
        </w:tc>
        <w:tc>
          <w:tcPr>
            <w:tcW w:w="1361" w:type="dxa"/>
            <w:tcBorders>
              <w:top w:val="nil"/>
              <w:left w:val="single" w:sz="18" w:space="0" w:color="5F497A" w:themeColor="accent4" w:themeShade="BF"/>
              <w:bottom w:val="nil"/>
              <w:right w:val="nil"/>
            </w:tcBorders>
            <w:shd w:val="clear" w:color="auto" w:fill="auto"/>
            <w:vAlign w:val="bottom"/>
          </w:tcPr>
          <w:p w14:paraId="0BCAB44E" w14:textId="1F2598BA" w:rsidR="00A66703" w:rsidRPr="001D41EA" w:rsidRDefault="00A66703" w:rsidP="001D41EA">
            <w:pPr>
              <w:spacing w:before="40" w:after="40"/>
              <w:jc w:val="right"/>
              <w:rPr>
                <w:rFonts w:cs="Arial"/>
                <w:sz w:val="18"/>
                <w:szCs w:val="18"/>
              </w:rPr>
            </w:pPr>
            <w:r w:rsidRPr="001D41EA">
              <w:rPr>
                <w:rFonts w:cs="Arial"/>
                <w:sz w:val="18"/>
                <w:szCs w:val="18"/>
              </w:rPr>
              <w:t>2,887,093</w:t>
            </w:r>
          </w:p>
        </w:tc>
        <w:tc>
          <w:tcPr>
            <w:tcW w:w="1361" w:type="dxa"/>
            <w:tcBorders>
              <w:top w:val="nil"/>
              <w:left w:val="nil"/>
              <w:bottom w:val="nil"/>
              <w:right w:val="nil"/>
            </w:tcBorders>
            <w:shd w:val="clear" w:color="auto" w:fill="auto"/>
            <w:vAlign w:val="bottom"/>
          </w:tcPr>
          <w:p w14:paraId="7A73C077" w14:textId="617F7EA9"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45AB94E9" w14:textId="0060C941" w:rsidR="00A66703" w:rsidRPr="001D41EA" w:rsidRDefault="00A66703" w:rsidP="001D41EA">
            <w:pPr>
              <w:spacing w:before="40" w:after="40"/>
              <w:jc w:val="right"/>
              <w:rPr>
                <w:rFonts w:cs="Arial"/>
                <w:sz w:val="18"/>
                <w:szCs w:val="18"/>
              </w:rPr>
            </w:pPr>
            <w:r w:rsidRPr="001D41EA">
              <w:rPr>
                <w:rFonts w:cs="Arial"/>
                <w:sz w:val="18"/>
                <w:szCs w:val="18"/>
              </w:rPr>
              <w:t>2,887,093</w:t>
            </w:r>
          </w:p>
        </w:tc>
        <w:tc>
          <w:tcPr>
            <w:tcW w:w="1361" w:type="dxa"/>
            <w:tcBorders>
              <w:top w:val="nil"/>
              <w:left w:val="nil"/>
              <w:bottom w:val="nil"/>
              <w:right w:val="nil"/>
            </w:tcBorders>
            <w:shd w:val="clear" w:color="auto" w:fill="auto"/>
            <w:vAlign w:val="bottom"/>
          </w:tcPr>
          <w:p w14:paraId="627C75E6" w14:textId="1C156DC6" w:rsidR="00A66703" w:rsidRPr="001D41EA" w:rsidRDefault="00A66703" w:rsidP="001D41EA">
            <w:pPr>
              <w:spacing w:before="40" w:after="40"/>
              <w:jc w:val="right"/>
              <w:rPr>
                <w:rFonts w:cs="Arial"/>
                <w:sz w:val="18"/>
                <w:szCs w:val="18"/>
              </w:rPr>
            </w:pPr>
            <w:r w:rsidRPr="001D41EA">
              <w:rPr>
                <w:rFonts w:cs="Arial"/>
                <w:sz w:val="18"/>
                <w:szCs w:val="18"/>
              </w:rPr>
              <w:t>1,243,305</w:t>
            </w:r>
          </w:p>
        </w:tc>
        <w:tc>
          <w:tcPr>
            <w:tcW w:w="1361" w:type="dxa"/>
            <w:tcBorders>
              <w:top w:val="nil"/>
              <w:left w:val="nil"/>
              <w:bottom w:val="nil"/>
              <w:right w:val="nil"/>
            </w:tcBorders>
            <w:shd w:val="clear" w:color="auto" w:fill="auto"/>
            <w:vAlign w:val="bottom"/>
          </w:tcPr>
          <w:p w14:paraId="5BC3EECA" w14:textId="7D211061" w:rsidR="00A66703" w:rsidRPr="001D41EA" w:rsidRDefault="00A66703" w:rsidP="001D41EA">
            <w:pPr>
              <w:spacing w:before="40" w:after="40"/>
              <w:jc w:val="right"/>
              <w:rPr>
                <w:rFonts w:cs="Arial"/>
                <w:b/>
                <w:sz w:val="18"/>
                <w:szCs w:val="18"/>
              </w:rPr>
            </w:pPr>
            <w:r w:rsidRPr="001D41EA">
              <w:rPr>
                <w:rFonts w:cs="Arial"/>
                <w:b/>
                <w:sz w:val="18"/>
                <w:szCs w:val="18"/>
              </w:rPr>
              <w:t>4,130,398</w:t>
            </w:r>
          </w:p>
        </w:tc>
      </w:tr>
      <w:tr w:rsidR="00A66703" w:rsidRPr="001D41EA" w14:paraId="4F5C8352"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98313BD" w14:textId="77777777" w:rsidR="00A66703" w:rsidRPr="001D41EA" w:rsidRDefault="00A66703" w:rsidP="001D41EA">
            <w:pPr>
              <w:spacing w:before="40" w:after="40"/>
              <w:rPr>
                <w:rFonts w:cs="Arial"/>
                <w:sz w:val="18"/>
                <w:szCs w:val="18"/>
              </w:rPr>
            </w:pPr>
            <w:r w:rsidRPr="001D41EA">
              <w:rPr>
                <w:rFonts w:cs="Arial"/>
                <w:sz w:val="18"/>
                <w:szCs w:val="18"/>
              </w:rPr>
              <w:t>Colac Otway S</w:t>
            </w:r>
          </w:p>
        </w:tc>
        <w:tc>
          <w:tcPr>
            <w:tcW w:w="1361" w:type="dxa"/>
            <w:tcBorders>
              <w:top w:val="nil"/>
              <w:left w:val="single" w:sz="18" w:space="0" w:color="5F497A" w:themeColor="accent4" w:themeShade="BF"/>
              <w:bottom w:val="nil"/>
              <w:right w:val="nil"/>
            </w:tcBorders>
            <w:shd w:val="clear" w:color="auto" w:fill="auto"/>
            <w:vAlign w:val="bottom"/>
          </w:tcPr>
          <w:p w14:paraId="2498FC6C" w14:textId="787E6474" w:rsidR="00A66703" w:rsidRPr="001D41EA" w:rsidRDefault="00A66703" w:rsidP="001D41EA">
            <w:pPr>
              <w:spacing w:before="40" w:after="40"/>
              <w:jc w:val="right"/>
              <w:rPr>
                <w:rFonts w:cs="Arial"/>
                <w:sz w:val="18"/>
                <w:szCs w:val="18"/>
              </w:rPr>
            </w:pPr>
            <w:r w:rsidRPr="001D41EA">
              <w:rPr>
                <w:rFonts w:cs="Arial"/>
                <w:sz w:val="18"/>
                <w:szCs w:val="18"/>
              </w:rPr>
              <w:t>4,247,693</w:t>
            </w:r>
          </w:p>
        </w:tc>
        <w:tc>
          <w:tcPr>
            <w:tcW w:w="1361" w:type="dxa"/>
            <w:tcBorders>
              <w:top w:val="nil"/>
              <w:left w:val="nil"/>
              <w:bottom w:val="nil"/>
              <w:right w:val="nil"/>
            </w:tcBorders>
            <w:shd w:val="clear" w:color="auto" w:fill="auto"/>
            <w:vAlign w:val="bottom"/>
          </w:tcPr>
          <w:p w14:paraId="1C188F02" w14:textId="53DF6E04"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7532F60C" w14:textId="23E0A2DD" w:rsidR="00A66703" w:rsidRPr="001D41EA" w:rsidRDefault="00A66703" w:rsidP="001D41EA">
            <w:pPr>
              <w:spacing w:before="40" w:after="40"/>
              <w:jc w:val="right"/>
              <w:rPr>
                <w:rFonts w:cs="Arial"/>
                <w:sz w:val="18"/>
                <w:szCs w:val="18"/>
              </w:rPr>
            </w:pPr>
            <w:r w:rsidRPr="001D41EA">
              <w:rPr>
                <w:rFonts w:cs="Arial"/>
                <w:sz w:val="18"/>
                <w:szCs w:val="18"/>
              </w:rPr>
              <w:t>4,247,693</w:t>
            </w:r>
          </w:p>
        </w:tc>
        <w:tc>
          <w:tcPr>
            <w:tcW w:w="1361" w:type="dxa"/>
            <w:tcBorders>
              <w:top w:val="nil"/>
              <w:left w:val="nil"/>
              <w:bottom w:val="nil"/>
              <w:right w:val="nil"/>
            </w:tcBorders>
            <w:shd w:val="clear" w:color="auto" w:fill="auto"/>
            <w:vAlign w:val="bottom"/>
          </w:tcPr>
          <w:p w14:paraId="3F161EA6" w14:textId="7BD4C156" w:rsidR="00A66703" w:rsidRPr="001D41EA" w:rsidRDefault="00A66703" w:rsidP="001D41EA">
            <w:pPr>
              <w:spacing w:before="40" w:after="40"/>
              <w:jc w:val="right"/>
              <w:rPr>
                <w:rFonts w:cs="Arial"/>
                <w:sz w:val="18"/>
                <w:szCs w:val="18"/>
              </w:rPr>
            </w:pPr>
            <w:r w:rsidRPr="001D41EA">
              <w:rPr>
                <w:rFonts w:cs="Arial"/>
                <w:sz w:val="18"/>
                <w:szCs w:val="18"/>
              </w:rPr>
              <w:t>2,694,233</w:t>
            </w:r>
          </w:p>
        </w:tc>
        <w:tc>
          <w:tcPr>
            <w:tcW w:w="1361" w:type="dxa"/>
            <w:tcBorders>
              <w:top w:val="nil"/>
              <w:left w:val="nil"/>
              <w:bottom w:val="nil"/>
              <w:right w:val="nil"/>
            </w:tcBorders>
            <w:shd w:val="clear" w:color="auto" w:fill="auto"/>
            <w:vAlign w:val="bottom"/>
          </w:tcPr>
          <w:p w14:paraId="4EA29C8C" w14:textId="2C0A0444" w:rsidR="00A66703" w:rsidRPr="001D41EA" w:rsidRDefault="00A66703" w:rsidP="001D41EA">
            <w:pPr>
              <w:spacing w:before="40" w:after="40"/>
              <w:jc w:val="right"/>
              <w:rPr>
                <w:rFonts w:cs="Arial"/>
                <w:b/>
                <w:sz w:val="18"/>
                <w:szCs w:val="18"/>
              </w:rPr>
            </w:pPr>
            <w:r w:rsidRPr="001D41EA">
              <w:rPr>
                <w:rFonts w:cs="Arial"/>
                <w:b/>
                <w:sz w:val="18"/>
                <w:szCs w:val="18"/>
              </w:rPr>
              <w:t>6,941,926</w:t>
            </w:r>
          </w:p>
        </w:tc>
      </w:tr>
      <w:tr w:rsidR="00A66703" w:rsidRPr="001D41EA" w14:paraId="2FE29D66"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B26C02D" w14:textId="77777777" w:rsidR="00A66703" w:rsidRPr="001D41EA" w:rsidRDefault="00A66703" w:rsidP="001D41EA">
            <w:pPr>
              <w:spacing w:before="40" w:after="40"/>
              <w:rPr>
                <w:rFonts w:cs="Arial"/>
                <w:sz w:val="18"/>
                <w:szCs w:val="18"/>
              </w:rPr>
            </w:pPr>
            <w:r w:rsidRPr="001D41EA">
              <w:rPr>
                <w:rFonts w:cs="Arial"/>
                <w:sz w:val="18"/>
                <w:szCs w:val="18"/>
              </w:rPr>
              <w:t>Corangamite S</w:t>
            </w:r>
          </w:p>
        </w:tc>
        <w:tc>
          <w:tcPr>
            <w:tcW w:w="1361" w:type="dxa"/>
            <w:tcBorders>
              <w:top w:val="nil"/>
              <w:left w:val="single" w:sz="18" w:space="0" w:color="5F497A" w:themeColor="accent4" w:themeShade="BF"/>
              <w:bottom w:val="nil"/>
              <w:right w:val="nil"/>
            </w:tcBorders>
            <w:shd w:val="clear" w:color="auto" w:fill="auto"/>
            <w:vAlign w:val="bottom"/>
          </w:tcPr>
          <w:p w14:paraId="08A73A98" w14:textId="175280A5" w:rsidR="00A66703" w:rsidRPr="001D41EA" w:rsidRDefault="00A66703" w:rsidP="001D41EA">
            <w:pPr>
              <w:spacing w:before="40" w:after="40"/>
              <w:jc w:val="right"/>
              <w:rPr>
                <w:rFonts w:cs="Arial"/>
                <w:sz w:val="18"/>
                <w:szCs w:val="18"/>
              </w:rPr>
            </w:pPr>
            <w:r w:rsidRPr="001D41EA">
              <w:rPr>
                <w:rFonts w:cs="Arial"/>
                <w:sz w:val="18"/>
                <w:szCs w:val="18"/>
              </w:rPr>
              <w:t>4,664,094</w:t>
            </w:r>
          </w:p>
        </w:tc>
        <w:tc>
          <w:tcPr>
            <w:tcW w:w="1361" w:type="dxa"/>
            <w:tcBorders>
              <w:top w:val="nil"/>
              <w:left w:val="nil"/>
              <w:bottom w:val="nil"/>
              <w:right w:val="nil"/>
            </w:tcBorders>
            <w:shd w:val="clear" w:color="auto" w:fill="auto"/>
            <w:vAlign w:val="bottom"/>
          </w:tcPr>
          <w:p w14:paraId="127F8E32" w14:textId="531DE88C" w:rsidR="00A66703" w:rsidRPr="001D41EA" w:rsidRDefault="00A66703" w:rsidP="001D41EA">
            <w:pPr>
              <w:spacing w:before="40" w:after="40"/>
              <w:jc w:val="right"/>
              <w:rPr>
                <w:rFonts w:cs="Arial"/>
                <w:sz w:val="18"/>
                <w:szCs w:val="18"/>
              </w:rPr>
            </w:pPr>
            <w:r w:rsidRPr="001D41EA">
              <w:rPr>
                <w:rFonts w:cs="Arial"/>
                <w:sz w:val="18"/>
                <w:szCs w:val="18"/>
              </w:rPr>
              <w:t>70,000</w:t>
            </w:r>
          </w:p>
        </w:tc>
        <w:tc>
          <w:tcPr>
            <w:tcW w:w="1361" w:type="dxa"/>
            <w:tcBorders>
              <w:top w:val="nil"/>
              <w:left w:val="nil"/>
              <w:bottom w:val="nil"/>
              <w:right w:val="nil"/>
            </w:tcBorders>
            <w:shd w:val="clear" w:color="auto" w:fill="auto"/>
            <w:vAlign w:val="bottom"/>
          </w:tcPr>
          <w:p w14:paraId="427ED7C0" w14:textId="3D6F1BF3" w:rsidR="00A66703" w:rsidRPr="001D41EA" w:rsidRDefault="00A66703" w:rsidP="001D41EA">
            <w:pPr>
              <w:spacing w:before="40" w:after="40"/>
              <w:jc w:val="right"/>
              <w:rPr>
                <w:rFonts w:cs="Arial"/>
                <w:sz w:val="18"/>
                <w:szCs w:val="18"/>
              </w:rPr>
            </w:pPr>
            <w:r w:rsidRPr="001D41EA">
              <w:rPr>
                <w:rFonts w:cs="Arial"/>
                <w:sz w:val="18"/>
                <w:szCs w:val="18"/>
              </w:rPr>
              <w:t>4,734,094</w:t>
            </w:r>
          </w:p>
        </w:tc>
        <w:tc>
          <w:tcPr>
            <w:tcW w:w="1361" w:type="dxa"/>
            <w:tcBorders>
              <w:top w:val="nil"/>
              <w:left w:val="nil"/>
              <w:bottom w:val="nil"/>
              <w:right w:val="nil"/>
            </w:tcBorders>
            <w:shd w:val="clear" w:color="auto" w:fill="auto"/>
            <w:vAlign w:val="bottom"/>
          </w:tcPr>
          <w:p w14:paraId="1727B473" w14:textId="6A9011FD" w:rsidR="00A66703" w:rsidRPr="001D41EA" w:rsidRDefault="00A66703" w:rsidP="001D41EA">
            <w:pPr>
              <w:spacing w:before="40" w:after="40"/>
              <w:jc w:val="right"/>
              <w:rPr>
                <w:rFonts w:cs="Arial"/>
                <w:sz w:val="18"/>
                <w:szCs w:val="18"/>
              </w:rPr>
            </w:pPr>
            <w:r w:rsidRPr="001D41EA">
              <w:rPr>
                <w:rFonts w:cs="Arial"/>
                <w:sz w:val="18"/>
                <w:szCs w:val="18"/>
              </w:rPr>
              <w:t>3,600,873</w:t>
            </w:r>
          </w:p>
        </w:tc>
        <w:tc>
          <w:tcPr>
            <w:tcW w:w="1361" w:type="dxa"/>
            <w:tcBorders>
              <w:top w:val="nil"/>
              <w:left w:val="nil"/>
              <w:bottom w:val="nil"/>
              <w:right w:val="nil"/>
            </w:tcBorders>
            <w:shd w:val="clear" w:color="auto" w:fill="auto"/>
            <w:vAlign w:val="bottom"/>
          </w:tcPr>
          <w:p w14:paraId="69424F21" w14:textId="340F1983" w:rsidR="00A66703" w:rsidRPr="001D41EA" w:rsidRDefault="00A66703" w:rsidP="001D41EA">
            <w:pPr>
              <w:spacing w:before="40" w:after="40"/>
              <w:jc w:val="right"/>
              <w:rPr>
                <w:rFonts w:cs="Arial"/>
                <w:b/>
                <w:sz w:val="18"/>
                <w:szCs w:val="18"/>
              </w:rPr>
            </w:pPr>
            <w:r w:rsidRPr="001D41EA">
              <w:rPr>
                <w:rFonts w:cs="Arial"/>
                <w:b/>
                <w:sz w:val="18"/>
                <w:szCs w:val="18"/>
              </w:rPr>
              <w:t>8,334,967</w:t>
            </w:r>
          </w:p>
        </w:tc>
      </w:tr>
      <w:tr w:rsidR="00A66703" w:rsidRPr="001D41EA" w14:paraId="19EA0377"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3BD27ED" w14:textId="77777777" w:rsidR="00A66703" w:rsidRPr="001D41EA" w:rsidRDefault="00A66703" w:rsidP="001D41EA">
            <w:pPr>
              <w:spacing w:before="40" w:after="40"/>
              <w:rPr>
                <w:rFonts w:cs="Arial"/>
                <w:sz w:val="18"/>
                <w:szCs w:val="18"/>
              </w:rPr>
            </w:pPr>
            <w:r w:rsidRPr="001D41EA">
              <w:rPr>
                <w:rFonts w:cs="Arial"/>
                <w:sz w:val="18"/>
                <w:szCs w:val="18"/>
              </w:rPr>
              <w:t>Darebin C</w:t>
            </w:r>
          </w:p>
        </w:tc>
        <w:tc>
          <w:tcPr>
            <w:tcW w:w="1361" w:type="dxa"/>
            <w:tcBorders>
              <w:top w:val="nil"/>
              <w:left w:val="single" w:sz="18" w:space="0" w:color="5F497A" w:themeColor="accent4" w:themeShade="BF"/>
              <w:bottom w:val="nil"/>
              <w:right w:val="nil"/>
            </w:tcBorders>
            <w:shd w:val="clear" w:color="auto" w:fill="auto"/>
            <w:vAlign w:val="bottom"/>
          </w:tcPr>
          <w:p w14:paraId="2AB168B8" w14:textId="42528112" w:rsidR="00A66703" w:rsidRPr="001D41EA" w:rsidRDefault="00A66703" w:rsidP="001D41EA">
            <w:pPr>
              <w:spacing w:before="40" w:after="40"/>
              <w:jc w:val="right"/>
              <w:rPr>
                <w:rFonts w:cs="Arial"/>
                <w:sz w:val="18"/>
                <w:szCs w:val="18"/>
              </w:rPr>
            </w:pPr>
            <w:r w:rsidRPr="001D41EA">
              <w:rPr>
                <w:rFonts w:cs="Arial"/>
                <w:sz w:val="18"/>
                <w:szCs w:val="18"/>
              </w:rPr>
              <w:t>3,418,833</w:t>
            </w:r>
          </w:p>
        </w:tc>
        <w:tc>
          <w:tcPr>
            <w:tcW w:w="1361" w:type="dxa"/>
            <w:tcBorders>
              <w:top w:val="nil"/>
              <w:left w:val="nil"/>
              <w:bottom w:val="nil"/>
              <w:right w:val="nil"/>
            </w:tcBorders>
            <w:shd w:val="clear" w:color="auto" w:fill="auto"/>
            <w:vAlign w:val="bottom"/>
          </w:tcPr>
          <w:p w14:paraId="730B2877" w14:textId="77777777"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0E1C6454" w14:textId="722E5824" w:rsidR="00A66703" w:rsidRPr="001D41EA" w:rsidRDefault="00A66703" w:rsidP="001D41EA">
            <w:pPr>
              <w:spacing w:before="40" w:after="40"/>
              <w:jc w:val="right"/>
              <w:rPr>
                <w:rFonts w:cs="Arial"/>
                <w:sz w:val="18"/>
                <w:szCs w:val="18"/>
              </w:rPr>
            </w:pPr>
            <w:r w:rsidRPr="001D41EA">
              <w:rPr>
                <w:rFonts w:cs="Arial"/>
                <w:sz w:val="18"/>
                <w:szCs w:val="18"/>
              </w:rPr>
              <w:t>3,418,833</w:t>
            </w:r>
          </w:p>
        </w:tc>
        <w:tc>
          <w:tcPr>
            <w:tcW w:w="1361" w:type="dxa"/>
            <w:tcBorders>
              <w:top w:val="nil"/>
              <w:left w:val="nil"/>
              <w:bottom w:val="nil"/>
              <w:right w:val="nil"/>
            </w:tcBorders>
            <w:shd w:val="clear" w:color="auto" w:fill="auto"/>
            <w:vAlign w:val="bottom"/>
          </w:tcPr>
          <w:p w14:paraId="7241B12C" w14:textId="76F85DA7" w:rsidR="00A66703" w:rsidRPr="001D41EA" w:rsidRDefault="00A66703" w:rsidP="001D41EA">
            <w:pPr>
              <w:spacing w:before="40" w:after="40"/>
              <w:jc w:val="right"/>
              <w:rPr>
                <w:rFonts w:cs="Arial"/>
                <w:sz w:val="18"/>
                <w:szCs w:val="18"/>
              </w:rPr>
            </w:pPr>
            <w:r w:rsidRPr="001D41EA">
              <w:rPr>
                <w:rFonts w:cs="Arial"/>
                <w:sz w:val="18"/>
                <w:szCs w:val="18"/>
              </w:rPr>
              <w:t>906,697</w:t>
            </w:r>
          </w:p>
        </w:tc>
        <w:tc>
          <w:tcPr>
            <w:tcW w:w="1361" w:type="dxa"/>
            <w:tcBorders>
              <w:top w:val="nil"/>
              <w:left w:val="nil"/>
              <w:bottom w:val="nil"/>
              <w:right w:val="nil"/>
            </w:tcBorders>
            <w:shd w:val="clear" w:color="auto" w:fill="auto"/>
            <w:vAlign w:val="bottom"/>
          </w:tcPr>
          <w:p w14:paraId="5D36C9D6" w14:textId="312DC42F" w:rsidR="00A66703" w:rsidRPr="001D41EA" w:rsidRDefault="00A66703" w:rsidP="001D41EA">
            <w:pPr>
              <w:spacing w:before="40" w:after="40"/>
              <w:jc w:val="right"/>
              <w:rPr>
                <w:rFonts w:cs="Arial"/>
                <w:b/>
                <w:sz w:val="18"/>
                <w:szCs w:val="18"/>
              </w:rPr>
            </w:pPr>
            <w:r w:rsidRPr="001D41EA">
              <w:rPr>
                <w:rFonts w:cs="Arial"/>
                <w:b/>
                <w:sz w:val="18"/>
                <w:szCs w:val="18"/>
              </w:rPr>
              <w:t>4,325,530</w:t>
            </w:r>
          </w:p>
        </w:tc>
      </w:tr>
      <w:tr w:rsidR="00A66703" w:rsidRPr="001D41EA" w14:paraId="364D1D40"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193B536" w14:textId="77777777" w:rsidR="00A66703" w:rsidRPr="001D41EA" w:rsidRDefault="00A66703" w:rsidP="001D41EA">
            <w:pPr>
              <w:spacing w:before="40" w:after="40"/>
              <w:rPr>
                <w:rFonts w:cs="Arial"/>
                <w:sz w:val="18"/>
                <w:szCs w:val="18"/>
              </w:rPr>
            </w:pPr>
            <w:r w:rsidRPr="001D41EA">
              <w:rPr>
                <w:rFonts w:cs="Arial"/>
                <w:sz w:val="18"/>
                <w:szCs w:val="18"/>
              </w:rPr>
              <w:t>East Gippsland S</w:t>
            </w:r>
          </w:p>
        </w:tc>
        <w:tc>
          <w:tcPr>
            <w:tcW w:w="1361" w:type="dxa"/>
            <w:tcBorders>
              <w:top w:val="nil"/>
              <w:left w:val="single" w:sz="18" w:space="0" w:color="5F497A" w:themeColor="accent4" w:themeShade="BF"/>
              <w:bottom w:val="nil"/>
              <w:right w:val="nil"/>
            </w:tcBorders>
            <w:shd w:val="clear" w:color="auto" w:fill="auto"/>
            <w:vAlign w:val="bottom"/>
          </w:tcPr>
          <w:p w14:paraId="5A9BAF4F" w14:textId="43CC03EF" w:rsidR="00A66703" w:rsidRPr="001D41EA" w:rsidRDefault="00A66703" w:rsidP="001D41EA">
            <w:pPr>
              <w:spacing w:before="40" w:after="40"/>
              <w:jc w:val="right"/>
              <w:rPr>
                <w:rFonts w:cs="Arial"/>
                <w:sz w:val="18"/>
                <w:szCs w:val="18"/>
              </w:rPr>
            </w:pPr>
            <w:r w:rsidRPr="001D41EA">
              <w:rPr>
                <w:rFonts w:cs="Arial"/>
                <w:sz w:val="18"/>
                <w:szCs w:val="18"/>
              </w:rPr>
              <w:t>10,870,969</w:t>
            </w:r>
          </w:p>
        </w:tc>
        <w:tc>
          <w:tcPr>
            <w:tcW w:w="1361" w:type="dxa"/>
            <w:tcBorders>
              <w:top w:val="nil"/>
              <w:left w:val="nil"/>
              <w:bottom w:val="nil"/>
              <w:right w:val="nil"/>
            </w:tcBorders>
            <w:shd w:val="clear" w:color="auto" w:fill="auto"/>
            <w:vAlign w:val="bottom"/>
          </w:tcPr>
          <w:p w14:paraId="21A1499C" w14:textId="3C289C40"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4391AC54" w14:textId="04BFBEE5" w:rsidR="00A66703" w:rsidRPr="001D41EA" w:rsidRDefault="00A66703" w:rsidP="001D41EA">
            <w:pPr>
              <w:spacing w:before="40" w:after="40"/>
              <w:jc w:val="right"/>
              <w:rPr>
                <w:rFonts w:cs="Arial"/>
                <w:sz w:val="18"/>
                <w:szCs w:val="18"/>
              </w:rPr>
            </w:pPr>
            <w:r w:rsidRPr="001D41EA">
              <w:rPr>
                <w:rFonts w:cs="Arial"/>
                <w:sz w:val="18"/>
                <w:szCs w:val="18"/>
              </w:rPr>
              <w:t>10,870,969</w:t>
            </w:r>
          </w:p>
        </w:tc>
        <w:tc>
          <w:tcPr>
            <w:tcW w:w="1361" w:type="dxa"/>
            <w:tcBorders>
              <w:top w:val="nil"/>
              <w:left w:val="nil"/>
              <w:bottom w:val="nil"/>
              <w:right w:val="nil"/>
            </w:tcBorders>
            <w:shd w:val="clear" w:color="auto" w:fill="auto"/>
            <w:vAlign w:val="bottom"/>
          </w:tcPr>
          <w:p w14:paraId="468CF75E" w14:textId="4B0B0D37" w:rsidR="00A66703" w:rsidRPr="001D41EA" w:rsidRDefault="00A66703" w:rsidP="001D41EA">
            <w:pPr>
              <w:spacing w:before="40" w:after="40"/>
              <w:jc w:val="right"/>
              <w:rPr>
                <w:rFonts w:cs="Arial"/>
                <w:sz w:val="18"/>
                <w:szCs w:val="18"/>
              </w:rPr>
            </w:pPr>
            <w:r w:rsidRPr="001D41EA">
              <w:rPr>
                <w:rFonts w:cs="Arial"/>
                <w:sz w:val="18"/>
                <w:szCs w:val="18"/>
              </w:rPr>
              <w:t>4,703,161</w:t>
            </w:r>
          </w:p>
        </w:tc>
        <w:tc>
          <w:tcPr>
            <w:tcW w:w="1361" w:type="dxa"/>
            <w:tcBorders>
              <w:top w:val="nil"/>
              <w:left w:val="nil"/>
              <w:bottom w:val="nil"/>
              <w:right w:val="nil"/>
            </w:tcBorders>
            <w:shd w:val="clear" w:color="auto" w:fill="auto"/>
            <w:vAlign w:val="bottom"/>
          </w:tcPr>
          <w:p w14:paraId="28FABDB9" w14:textId="0206CF66" w:rsidR="00A66703" w:rsidRPr="001D41EA" w:rsidRDefault="00A66703" w:rsidP="001D41EA">
            <w:pPr>
              <w:spacing w:before="40" w:after="40"/>
              <w:jc w:val="right"/>
              <w:rPr>
                <w:rFonts w:cs="Arial"/>
                <w:b/>
                <w:sz w:val="18"/>
                <w:szCs w:val="18"/>
              </w:rPr>
            </w:pPr>
            <w:r w:rsidRPr="001D41EA">
              <w:rPr>
                <w:rFonts w:cs="Arial"/>
                <w:b/>
                <w:sz w:val="18"/>
                <w:szCs w:val="18"/>
              </w:rPr>
              <w:t>15,574,130</w:t>
            </w:r>
          </w:p>
        </w:tc>
      </w:tr>
      <w:tr w:rsidR="00A66703" w:rsidRPr="001D41EA" w14:paraId="0535E918"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767FF2F" w14:textId="77777777" w:rsidR="00A66703" w:rsidRPr="001D41EA" w:rsidRDefault="00A66703" w:rsidP="001D41EA">
            <w:pPr>
              <w:spacing w:before="40" w:after="40"/>
              <w:rPr>
                <w:rFonts w:cs="Arial"/>
                <w:sz w:val="18"/>
                <w:szCs w:val="18"/>
              </w:rPr>
            </w:pPr>
            <w:r w:rsidRPr="001D41EA">
              <w:rPr>
                <w:rFonts w:cs="Arial"/>
                <w:sz w:val="18"/>
                <w:szCs w:val="18"/>
              </w:rPr>
              <w:t>Frankston C</w:t>
            </w:r>
          </w:p>
        </w:tc>
        <w:tc>
          <w:tcPr>
            <w:tcW w:w="1361" w:type="dxa"/>
            <w:tcBorders>
              <w:top w:val="nil"/>
              <w:left w:val="single" w:sz="18" w:space="0" w:color="5F497A" w:themeColor="accent4" w:themeShade="BF"/>
              <w:bottom w:val="nil"/>
              <w:right w:val="nil"/>
            </w:tcBorders>
            <w:shd w:val="clear" w:color="auto" w:fill="auto"/>
            <w:vAlign w:val="bottom"/>
          </w:tcPr>
          <w:p w14:paraId="7BB58D3B" w14:textId="5A4F3C6B" w:rsidR="00A66703" w:rsidRPr="001D41EA" w:rsidRDefault="00A66703" w:rsidP="001D41EA">
            <w:pPr>
              <w:spacing w:before="40" w:after="40"/>
              <w:jc w:val="right"/>
              <w:rPr>
                <w:rFonts w:cs="Arial"/>
                <w:sz w:val="18"/>
                <w:szCs w:val="18"/>
              </w:rPr>
            </w:pPr>
            <w:r w:rsidRPr="001D41EA">
              <w:rPr>
                <w:rFonts w:cs="Arial"/>
                <w:sz w:val="18"/>
                <w:szCs w:val="18"/>
              </w:rPr>
              <w:t>7,370,158</w:t>
            </w:r>
          </w:p>
        </w:tc>
        <w:tc>
          <w:tcPr>
            <w:tcW w:w="1361" w:type="dxa"/>
            <w:tcBorders>
              <w:top w:val="nil"/>
              <w:left w:val="nil"/>
              <w:bottom w:val="nil"/>
              <w:right w:val="nil"/>
            </w:tcBorders>
            <w:shd w:val="clear" w:color="auto" w:fill="auto"/>
            <w:vAlign w:val="bottom"/>
          </w:tcPr>
          <w:p w14:paraId="7EF8047E" w14:textId="77777777"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0BD163EA" w14:textId="2CCDAFD6" w:rsidR="00A66703" w:rsidRPr="001D41EA" w:rsidRDefault="00A66703" w:rsidP="001D41EA">
            <w:pPr>
              <w:spacing w:before="40" w:after="40"/>
              <w:jc w:val="right"/>
              <w:rPr>
                <w:rFonts w:cs="Arial"/>
                <w:sz w:val="18"/>
                <w:szCs w:val="18"/>
              </w:rPr>
            </w:pPr>
            <w:r w:rsidRPr="001D41EA">
              <w:rPr>
                <w:rFonts w:cs="Arial"/>
                <w:sz w:val="18"/>
                <w:szCs w:val="18"/>
              </w:rPr>
              <w:t>7,370,158</w:t>
            </w:r>
          </w:p>
        </w:tc>
        <w:tc>
          <w:tcPr>
            <w:tcW w:w="1361" w:type="dxa"/>
            <w:tcBorders>
              <w:top w:val="nil"/>
              <w:left w:val="nil"/>
              <w:bottom w:val="nil"/>
              <w:right w:val="nil"/>
            </w:tcBorders>
            <w:shd w:val="clear" w:color="auto" w:fill="auto"/>
            <w:vAlign w:val="bottom"/>
          </w:tcPr>
          <w:p w14:paraId="7AF2D182" w14:textId="69DF82DA" w:rsidR="00A66703" w:rsidRPr="001D41EA" w:rsidRDefault="00A66703" w:rsidP="001D41EA">
            <w:pPr>
              <w:spacing w:before="40" w:after="40"/>
              <w:jc w:val="right"/>
              <w:rPr>
                <w:rFonts w:cs="Arial"/>
                <w:sz w:val="18"/>
                <w:szCs w:val="18"/>
              </w:rPr>
            </w:pPr>
            <w:r w:rsidRPr="001D41EA">
              <w:rPr>
                <w:rFonts w:cs="Arial"/>
                <w:sz w:val="18"/>
                <w:szCs w:val="18"/>
              </w:rPr>
              <w:t>1,164,622</w:t>
            </w:r>
          </w:p>
        </w:tc>
        <w:tc>
          <w:tcPr>
            <w:tcW w:w="1361" w:type="dxa"/>
            <w:tcBorders>
              <w:top w:val="nil"/>
              <w:left w:val="nil"/>
              <w:bottom w:val="nil"/>
              <w:right w:val="nil"/>
            </w:tcBorders>
            <w:shd w:val="clear" w:color="auto" w:fill="auto"/>
            <w:vAlign w:val="bottom"/>
          </w:tcPr>
          <w:p w14:paraId="505C6FB2" w14:textId="3EABC46E" w:rsidR="00A66703" w:rsidRPr="001D41EA" w:rsidRDefault="00A66703" w:rsidP="001D41EA">
            <w:pPr>
              <w:spacing w:before="40" w:after="40"/>
              <w:jc w:val="right"/>
              <w:rPr>
                <w:rFonts w:cs="Arial"/>
                <w:b/>
                <w:sz w:val="18"/>
                <w:szCs w:val="18"/>
              </w:rPr>
            </w:pPr>
            <w:r w:rsidRPr="001D41EA">
              <w:rPr>
                <w:rFonts w:cs="Arial"/>
                <w:b/>
                <w:sz w:val="18"/>
                <w:szCs w:val="18"/>
              </w:rPr>
              <w:t>8,534,780</w:t>
            </w:r>
          </w:p>
        </w:tc>
      </w:tr>
      <w:tr w:rsidR="00A66703" w:rsidRPr="001D41EA" w14:paraId="25DACAED"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03BE0A4" w14:textId="77777777" w:rsidR="00A66703" w:rsidRPr="001D41EA" w:rsidRDefault="00A66703" w:rsidP="001D41EA">
            <w:pPr>
              <w:spacing w:before="40" w:after="40"/>
              <w:rPr>
                <w:rFonts w:cs="Arial"/>
                <w:sz w:val="18"/>
                <w:szCs w:val="18"/>
              </w:rPr>
            </w:pPr>
            <w:r w:rsidRPr="001D41EA">
              <w:rPr>
                <w:rFonts w:cs="Arial"/>
                <w:sz w:val="18"/>
                <w:szCs w:val="18"/>
              </w:rPr>
              <w:t>Gannawarra S</w:t>
            </w:r>
          </w:p>
        </w:tc>
        <w:tc>
          <w:tcPr>
            <w:tcW w:w="1361" w:type="dxa"/>
            <w:tcBorders>
              <w:top w:val="nil"/>
              <w:left w:val="single" w:sz="18" w:space="0" w:color="5F497A" w:themeColor="accent4" w:themeShade="BF"/>
              <w:bottom w:val="nil"/>
              <w:right w:val="nil"/>
            </w:tcBorders>
            <w:shd w:val="clear" w:color="auto" w:fill="auto"/>
            <w:vAlign w:val="bottom"/>
          </w:tcPr>
          <w:p w14:paraId="1425996B" w14:textId="5E9B84A1" w:rsidR="00A66703" w:rsidRPr="001D41EA" w:rsidRDefault="00A66703" w:rsidP="001D41EA">
            <w:pPr>
              <w:spacing w:before="40" w:after="40"/>
              <w:jc w:val="right"/>
              <w:rPr>
                <w:rFonts w:cs="Arial"/>
                <w:sz w:val="18"/>
                <w:szCs w:val="18"/>
              </w:rPr>
            </w:pPr>
            <w:r w:rsidRPr="001D41EA">
              <w:rPr>
                <w:rFonts w:cs="Arial"/>
                <w:sz w:val="18"/>
                <w:szCs w:val="18"/>
              </w:rPr>
              <w:t>3,713,956</w:t>
            </w:r>
          </w:p>
        </w:tc>
        <w:tc>
          <w:tcPr>
            <w:tcW w:w="1361" w:type="dxa"/>
            <w:tcBorders>
              <w:top w:val="nil"/>
              <w:left w:val="nil"/>
              <w:bottom w:val="nil"/>
              <w:right w:val="nil"/>
            </w:tcBorders>
            <w:shd w:val="clear" w:color="auto" w:fill="auto"/>
            <w:vAlign w:val="bottom"/>
          </w:tcPr>
          <w:p w14:paraId="017B6D4D" w14:textId="761982CA"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771CD321" w14:textId="0F3BF812" w:rsidR="00A66703" w:rsidRPr="001D41EA" w:rsidRDefault="00A66703" w:rsidP="001D41EA">
            <w:pPr>
              <w:spacing w:before="40" w:after="40"/>
              <w:jc w:val="right"/>
              <w:rPr>
                <w:rFonts w:cs="Arial"/>
                <w:sz w:val="18"/>
                <w:szCs w:val="18"/>
              </w:rPr>
            </w:pPr>
            <w:r w:rsidRPr="001D41EA">
              <w:rPr>
                <w:rFonts w:cs="Arial"/>
                <w:sz w:val="18"/>
                <w:szCs w:val="18"/>
              </w:rPr>
              <w:t>3,713,956</w:t>
            </w:r>
          </w:p>
        </w:tc>
        <w:tc>
          <w:tcPr>
            <w:tcW w:w="1361" w:type="dxa"/>
            <w:tcBorders>
              <w:top w:val="nil"/>
              <w:left w:val="nil"/>
              <w:bottom w:val="nil"/>
              <w:right w:val="nil"/>
            </w:tcBorders>
            <w:shd w:val="clear" w:color="auto" w:fill="auto"/>
            <w:vAlign w:val="bottom"/>
          </w:tcPr>
          <w:p w14:paraId="27DC992D" w14:textId="0AA88D61" w:rsidR="00A66703" w:rsidRPr="001D41EA" w:rsidRDefault="00A66703" w:rsidP="001D41EA">
            <w:pPr>
              <w:spacing w:before="40" w:after="40"/>
              <w:jc w:val="right"/>
              <w:rPr>
                <w:rFonts w:cs="Arial"/>
                <w:sz w:val="18"/>
                <w:szCs w:val="18"/>
              </w:rPr>
            </w:pPr>
            <w:r w:rsidRPr="001D41EA">
              <w:rPr>
                <w:rFonts w:cs="Arial"/>
                <w:sz w:val="18"/>
                <w:szCs w:val="18"/>
              </w:rPr>
              <w:t>2,081,185</w:t>
            </w:r>
          </w:p>
        </w:tc>
        <w:tc>
          <w:tcPr>
            <w:tcW w:w="1361" w:type="dxa"/>
            <w:tcBorders>
              <w:top w:val="nil"/>
              <w:left w:val="nil"/>
              <w:bottom w:val="nil"/>
              <w:right w:val="nil"/>
            </w:tcBorders>
            <w:shd w:val="clear" w:color="auto" w:fill="auto"/>
            <w:vAlign w:val="bottom"/>
          </w:tcPr>
          <w:p w14:paraId="54ED1210" w14:textId="7F44769C" w:rsidR="00A66703" w:rsidRPr="001D41EA" w:rsidRDefault="00A66703" w:rsidP="001D41EA">
            <w:pPr>
              <w:spacing w:before="40" w:after="40"/>
              <w:jc w:val="right"/>
              <w:rPr>
                <w:rFonts w:cs="Arial"/>
                <w:b/>
                <w:sz w:val="18"/>
                <w:szCs w:val="18"/>
              </w:rPr>
            </w:pPr>
            <w:r w:rsidRPr="001D41EA">
              <w:rPr>
                <w:rFonts w:cs="Arial"/>
                <w:b/>
                <w:sz w:val="18"/>
                <w:szCs w:val="18"/>
              </w:rPr>
              <w:t>5,795,141</w:t>
            </w:r>
          </w:p>
        </w:tc>
      </w:tr>
      <w:tr w:rsidR="00A66703" w:rsidRPr="001D41EA" w14:paraId="07A7BCCD"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5A7BB24" w14:textId="77777777" w:rsidR="00A66703" w:rsidRPr="001D41EA" w:rsidRDefault="00A66703" w:rsidP="001D41EA">
            <w:pPr>
              <w:spacing w:before="40" w:after="40"/>
              <w:rPr>
                <w:rFonts w:cs="Arial"/>
                <w:sz w:val="18"/>
                <w:szCs w:val="18"/>
              </w:rPr>
            </w:pPr>
            <w:r w:rsidRPr="001D41EA">
              <w:rPr>
                <w:rFonts w:cs="Arial"/>
                <w:sz w:val="18"/>
                <w:szCs w:val="18"/>
              </w:rPr>
              <w:t>Glen Eira C</w:t>
            </w:r>
          </w:p>
        </w:tc>
        <w:tc>
          <w:tcPr>
            <w:tcW w:w="1361" w:type="dxa"/>
            <w:tcBorders>
              <w:top w:val="nil"/>
              <w:left w:val="single" w:sz="18" w:space="0" w:color="5F497A" w:themeColor="accent4" w:themeShade="BF"/>
              <w:bottom w:val="nil"/>
              <w:right w:val="nil"/>
            </w:tcBorders>
            <w:shd w:val="clear" w:color="auto" w:fill="auto"/>
            <w:vAlign w:val="bottom"/>
          </w:tcPr>
          <w:p w14:paraId="1EC33423" w14:textId="00873D9B" w:rsidR="00A66703" w:rsidRPr="001D41EA" w:rsidRDefault="00A66703" w:rsidP="001D41EA">
            <w:pPr>
              <w:spacing w:before="40" w:after="40"/>
              <w:jc w:val="right"/>
              <w:rPr>
                <w:rFonts w:cs="Arial"/>
                <w:sz w:val="18"/>
                <w:szCs w:val="18"/>
              </w:rPr>
            </w:pPr>
            <w:r w:rsidRPr="001D41EA">
              <w:rPr>
                <w:rFonts w:cs="Arial"/>
                <w:sz w:val="18"/>
                <w:szCs w:val="18"/>
              </w:rPr>
              <w:t>3,254,861</w:t>
            </w:r>
          </w:p>
        </w:tc>
        <w:tc>
          <w:tcPr>
            <w:tcW w:w="1361" w:type="dxa"/>
            <w:tcBorders>
              <w:top w:val="nil"/>
              <w:left w:val="nil"/>
              <w:bottom w:val="nil"/>
              <w:right w:val="nil"/>
            </w:tcBorders>
            <w:shd w:val="clear" w:color="auto" w:fill="auto"/>
            <w:vAlign w:val="bottom"/>
          </w:tcPr>
          <w:p w14:paraId="41B3F74F" w14:textId="77777777"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30236E50" w14:textId="5F530B65" w:rsidR="00A66703" w:rsidRPr="001D41EA" w:rsidRDefault="00A66703" w:rsidP="001D41EA">
            <w:pPr>
              <w:spacing w:before="40" w:after="40"/>
              <w:jc w:val="right"/>
              <w:rPr>
                <w:rFonts w:cs="Arial"/>
                <w:sz w:val="18"/>
                <w:szCs w:val="18"/>
              </w:rPr>
            </w:pPr>
            <w:r w:rsidRPr="001D41EA">
              <w:rPr>
                <w:rFonts w:cs="Arial"/>
                <w:sz w:val="18"/>
                <w:szCs w:val="18"/>
              </w:rPr>
              <w:t>3,254,861</w:t>
            </w:r>
          </w:p>
        </w:tc>
        <w:tc>
          <w:tcPr>
            <w:tcW w:w="1361" w:type="dxa"/>
            <w:tcBorders>
              <w:top w:val="nil"/>
              <w:left w:val="nil"/>
              <w:bottom w:val="nil"/>
              <w:right w:val="nil"/>
            </w:tcBorders>
            <w:shd w:val="clear" w:color="auto" w:fill="auto"/>
            <w:vAlign w:val="bottom"/>
          </w:tcPr>
          <w:p w14:paraId="5A4BBA05" w14:textId="0FE9025A" w:rsidR="00A66703" w:rsidRPr="001D41EA" w:rsidRDefault="00A66703" w:rsidP="001D41EA">
            <w:pPr>
              <w:spacing w:before="40" w:after="40"/>
              <w:jc w:val="right"/>
              <w:rPr>
                <w:rFonts w:cs="Arial"/>
                <w:sz w:val="18"/>
                <w:szCs w:val="18"/>
              </w:rPr>
            </w:pPr>
            <w:r w:rsidRPr="001D41EA">
              <w:rPr>
                <w:rFonts w:cs="Arial"/>
                <w:sz w:val="18"/>
                <w:szCs w:val="18"/>
              </w:rPr>
              <w:t>666,430</w:t>
            </w:r>
          </w:p>
        </w:tc>
        <w:tc>
          <w:tcPr>
            <w:tcW w:w="1361" w:type="dxa"/>
            <w:tcBorders>
              <w:top w:val="nil"/>
              <w:left w:val="nil"/>
              <w:bottom w:val="nil"/>
              <w:right w:val="nil"/>
            </w:tcBorders>
            <w:shd w:val="clear" w:color="auto" w:fill="auto"/>
            <w:vAlign w:val="bottom"/>
          </w:tcPr>
          <w:p w14:paraId="262C2C2F" w14:textId="790C01C5" w:rsidR="00A66703" w:rsidRPr="001D41EA" w:rsidRDefault="00A66703" w:rsidP="001D41EA">
            <w:pPr>
              <w:spacing w:before="40" w:after="40"/>
              <w:jc w:val="right"/>
              <w:rPr>
                <w:rFonts w:cs="Arial"/>
                <w:b/>
                <w:sz w:val="18"/>
                <w:szCs w:val="18"/>
              </w:rPr>
            </w:pPr>
            <w:r w:rsidRPr="001D41EA">
              <w:rPr>
                <w:rFonts w:cs="Arial"/>
                <w:b/>
                <w:sz w:val="18"/>
                <w:szCs w:val="18"/>
              </w:rPr>
              <w:t>3,921,291</w:t>
            </w:r>
          </w:p>
        </w:tc>
      </w:tr>
      <w:tr w:rsidR="00A66703" w:rsidRPr="001D41EA" w14:paraId="649A41AA"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902C104" w14:textId="77777777" w:rsidR="00A66703" w:rsidRPr="001D41EA" w:rsidRDefault="00A66703" w:rsidP="001D41EA">
            <w:pPr>
              <w:spacing w:before="40" w:after="40"/>
              <w:rPr>
                <w:rFonts w:cs="Arial"/>
                <w:sz w:val="18"/>
                <w:szCs w:val="18"/>
              </w:rPr>
            </w:pPr>
            <w:r w:rsidRPr="001D41EA">
              <w:rPr>
                <w:rFonts w:cs="Arial"/>
                <w:sz w:val="18"/>
                <w:szCs w:val="18"/>
              </w:rPr>
              <w:t>Glenelg S</w:t>
            </w:r>
          </w:p>
        </w:tc>
        <w:tc>
          <w:tcPr>
            <w:tcW w:w="1361" w:type="dxa"/>
            <w:tcBorders>
              <w:top w:val="nil"/>
              <w:left w:val="single" w:sz="18" w:space="0" w:color="5F497A" w:themeColor="accent4" w:themeShade="BF"/>
              <w:bottom w:val="nil"/>
              <w:right w:val="nil"/>
            </w:tcBorders>
            <w:shd w:val="clear" w:color="auto" w:fill="auto"/>
            <w:vAlign w:val="bottom"/>
          </w:tcPr>
          <w:p w14:paraId="09B3874E" w14:textId="5CACE2EB" w:rsidR="00A66703" w:rsidRPr="001D41EA" w:rsidRDefault="00A66703" w:rsidP="001D41EA">
            <w:pPr>
              <w:spacing w:before="40" w:after="40"/>
              <w:jc w:val="right"/>
              <w:rPr>
                <w:rFonts w:cs="Arial"/>
                <w:sz w:val="18"/>
                <w:szCs w:val="18"/>
              </w:rPr>
            </w:pPr>
            <w:r w:rsidRPr="001D41EA">
              <w:rPr>
                <w:rFonts w:cs="Arial"/>
                <w:sz w:val="18"/>
                <w:szCs w:val="18"/>
              </w:rPr>
              <w:t>4,938,828</w:t>
            </w:r>
          </w:p>
        </w:tc>
        <w:tc>
          <w:tcPr>
            <w:tcW w:w="1361" w:type="dxa"/>
            <w:tcBorders>
              <w:top w:val="nil"/>
              <w:left w:val="nil"/>
              <w:bottom w:val="nil"/>
              <w:right w:val="nil"/>
            </w:tcBorders>
            <w:shd w:val="clear" w:color="auto" w:fill="auto"/>
            <w:vAlign w:val="bottom"/>
          </w:tcPr>
          <w:p w14:paraId="475A6E70" w14:textId="790936C1"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734B93E1" w14:textId="6F8A310D" w:rsidR="00A66703" w:rsidRPr="001D41EA" w:rsidRDefault="00A66703" w:rsidP="001D41EA">
            <w:pPr>
              <w:spacing w:before="40" w:after="40"/>
              <w:jc w:val="right"/>
              <w:rPr>
                <w:rFonts w:cs="Arial"/>
                <w:sz w:val="18"/>
                <w:szCs w:val="18"/>
              </w:rPr>
            </w:pPr>
            <w:r w:rsidRPr="001D41EA">
              <w:rPr>
                <w:rFonts w:cs="Arial"/>
                <w:sz w:val="18"/>
                <w:szCs w:val="18"/>
              </w:rPr>
              <w:t>4,938,828</w:t>
            </w:r>
          </w:p>
        </w:tc>
        <w:tc>
          <w:tcPr>
            <w:tcW w:w="1361" w:type="dxa"/>
            <w:tcBorders>
              <w:top w:val="nil"/>
              <w:left w:val="nil"/>
              <w:bottom w:val="nil"/>
              <w:right w:val="nil"/>
            </w:tcBorders>
            <w:shd w:val="clear" w:color="auto" w:fill="auto"/>
            <w:vAlign w:val="bottom"/>
          </w:tcPr>
          <w:p w14:paraId="35750CBC" w14:textId="2388BE34" w:rsidR="00A66703" w:rsidRPr="001D41EA" w:rsidRDefault="00A66703" w:rsidP="001D41EA">
            <w:pPr>
              <w:spacing w:before="40" w:after="40"/>
              <w:jc w:val="right"/>
              <w:rPr>
                <w:rFonts w:cs="Arial"/>
                <w:sz w:val="18"/>
                <w:szCs w:val="18"/>
              </w:rPr>
            </w:pPr>
            <w:r w:rsidRPr="001D41EA">
              <w:rPr>
                <w:rFonts w:cs="Arial"/>
                <w:sz w:val="18"/>
                <w:szCs w:val="18"/>
              </w:rPr>
              <w:t>3,556,389</w:t>
            </w:r>
          </w:p>
        </w:tc>
        <w:tc>
          <w:tcPr>
            <w:tcW w:w="1361" w:type="dxa"/>
            <w:tcBorders>
              <w:top w:val="nil"/>
              <w:left w:val="nil"/>
              <w:bottom w:val="nil"/>
              <w:right w:val="nil"/>
            </w:tcBorders>
            <w:shd w:val="clear" w:color="auto" w:fill="auto"/>
            <w:vAlign w:val="bottom"/>
          </w:tcPr>
          <w:p w14:paraId="667654A6" w14:textId="4FF59BBE" w:rsidR="00A66703" w:rsidRPr="001D41EA" w:rsidRDefault="00A66703" w:rsidP="001D41EA">
            <w:pPr>
              <w:spacing w:before="40" w:after="40"/>
              <w:jc w:val="right"/>
              <w:rPr>
                <w:rFonts w:cs="Arial"/>
                <w:b/>
                <w:sz w:val="18"/>
                <w:szCs w:val="18"/>
              </w:rPr>
            </w:pPr>
            <w:r w:rsidRPr="001D41EA">
              <w:rPr>
                <w:rFonts w:cs="Arial"/>
                <w:b/>
                <w:sz w:val="18"/>
                <w:szCs w:val="18"/>
              </w:rPr>
              <w:t>8,495,217</w:t>
            </w:r>
          </w:p>
        </w:tc>
      </w:tr>
      <w:tr w:rsidR="00A66703" w:rsidRPr="001D41EA" w14:paraId="7B2570D3"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CD5FD0A" w14:textId="77777777" w:rsidR="00A66703" w:rsidRPr="001D41EA" w:rsidRDefault="00A66703" w:rsidP="001D41EA">
            <w:pPr>
              <w:spacing w:before="40" w:after="40"/>
              <w:rPr>
                <w:rFonts w:cs="Arial"/>
                <w:sz w:val="18"/>
                <w:szCs w:val="18"/>
              </w:rPr>
            </w:pPr>
            <w:r w:rsidRPr="001D41EA">
              <w:rPr>
                <w:rFonts w:cs="Arial"/>
                <w:sz w:val="18"/>
                <w:szCs w:val="18"/>
              </w:rPr>
              <w:t>Golden Plains S</w:t>
            </w:r>
          </w:p>
        </w:tc>
        <w:tc>
          <w:tcPr>
            <w:tcW w:w="1361" w:type="dxa"/>
            <w:tcBorders>
              <w:top w:val="nil"/>
              <w:left w:val="single" w:sz="18" w:space="0" w:color="5F497A" w:themeColor="accent4" w:themeShade="BF"/>
              <w:bottom w:val="nil"/>
              <w:right w:val="nil"/>
            </w:tcBorders>
            <w:shd w:val="clear" w:color="auto" w:fill="auto"/>
            <w:vAlign w:val="bottom"/>
          </w:tcPr>
          <w:p w14:paraId="085919CA" w14:textId="1C64B379" w:rsidR="00A66703" w:rsidRPr="001D41EA" w:rsidRDefault="00A66703" w:rsidP="001D41EA">
            <w:pPr>
              <w:spacing w:before="40" w:after="40"/>
              <w:jc w:val="right"/>
              <w:rPr>
                <w:rFonts w:cs="Arial"/>
                <w:sz w:val="18"/>
                <w:szCs w:val="18"/>
              </w:rPr>
            </w:pPr>
            <w:r w:rsidRPr="001D41EA">
              <w:rPr>
                <w:rFonts w:cs="Arial"/>
                <w:sz w:val="18"/>
                <w:szCs w:val="18"/>
              </w:rPr>
              <w:t>3,861,218</w:t>
            </w:r>
          </w:p>
        </w:tc>
        <w:tc>
          <w:tcPr>
            <w:tcW w:w="1361" w:type="dxa"/>
            <w:tcBorders>
              <w:top w:val="nil"/>
              <w:left w:val="nil"/>
              <w:bottom w:val="nil"/>
              <w:right w:val="nil"/>
            </w:tcBorders>
            <w:shd w:val="clear" w:color="auto" w:fill="auto"/>
            <w:vAlign w:val="bottom"/>
          </w:tcPr>
          <w:p w14:paraId="5D3F13DA" w14:textId="7276F61A"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57E9783F" w14:textId="5E45EE90" w:rsidR="00A66703" w:rsidRPr="001D41EA" w:rsidRDefault="00A66703" w:rsidP="001D41EA">
            <w:pPr>
              <w:spacing w:before="40" w:after="40"/>
              <w:jc w:val="right"/>
              <w:rPr>
                <w:rFonts w:cs="Arial"/>
                <w:sz w:val="18"/>
                <w:szCs w:val="18"/>
              </w:rPr>
            </w:pPr>
            <w:r w:rsidRPr="001D41EA">
              <w:rPr>
                <w:rFonts w:cs="Arial"/>
                <w:sz w:val="18"/>
                <w:szCs w:val="18"/>
              </w:rPr>
              <w:t>3,861,218</w:t>
            </w:r>
          </w:p>
        </w:tc>
        <w:tc>
          <w:tcPr>
            <w:tcW w:w="1361" w:type="dxa"/>
            <w:tcBorders>
              <w:top w:val="nil"/>
              <w:left w:val="nil"/>
              <w:bottom w:val="nil"/>
              <w:right w:val="nil"/>
            </w:tcBorders>
            <w:shd w:val="clear" w:color="auto" w:fill="auto"/>
            <w:vAlign w:val="bottom"/>
          </w:tcPr>
          <w:p w14:paraId="32B6F1DD" w14:textId="3BDE00B3" w:rsidR="00A66703" w:rsidRPr="001D41EA" w:rsidRDefault="00A66703" w:rsidP="001D41EA">
            <w:pPr>
              <w:spacing w:before="40" w:after="40"/>
              <w:jc w:val="right"/>
              <w:rPr>
                <w:rFonts w:cs="Arial"/>
                <w:sz w:val="18"/>
                <w:szCs w:val="18"/>
              </w:rPr>
            </w:pPr>
            <w:r w:rsidRPr="001D41EA">
              <w:rPr>
                <w:rFonts w:cs="Arial"/>
                <w:sz w:val="18"/>
                <w:szCs w:val="18"/>
              </w:rPr>
              <w:t>2,102,030</w:t>
            </w:r>
          </w:p>
        </w:tc>
        <w:tc>
          <w:tcPr>
            <w:tcW w:w="1361" w:type="dxa"/>
            <w:tcBorders>
              <w:top w:val="nil"/>
              <w:left w:val="nil"/>
              <w:bottom w:val="nil"/>
              <w:right w:val="nil"/>
            </w:tcBorders>
            <w:shd w:val="clear" w:color="auto" w:fill="auto"/>
            <w:vAlign w:val="bottom"/>
          </w:tcPr>
          <w:p w14:paraId="2F69711F" w14:textId="4ECDAC91" w:rsidR="00A66703" w:rsidRPr="001D41EA" w:rsidRDefault="00A66703" w:rsidP="001D41EA">
            <w:pPr>
              <w:spacing w:before="40" w:after="40"/>
              <w:jc w:val="right"/>
              <w:rPr>
                <w:rFonts w:cs="Arial"/>
                <w:b/>
                <w:sz w:val="18"/>
                <w:szCs w:val="18"/>
              </w:rPr>
            </w:pPr>
            <w:r w:rsidRPr="001D41EA">
              <w:rPr>
                <w:rFonts w:cs="Arial"/>
                <w:b/>
                <w:sz w:val="18"/>
                <w:szCs w:val="18"/>
              </w:rPr>
              <w:t>5,963,248</w:t>
            </w:r>
          </w:p>
        </w:tc>
      </w:tr>
      <w:tr w:rsidR="00A66703" w:rsidRPr="001D41EA" w14:paraId="1E5BF7C0"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6664231" w14:textId="77777777" w:rsidR="00A66703" w:rsidRPr="001D41EA" w:rsidRDefault="00A66703" w:rsidP="001D41EA">
            <w:pPr>
              <w:spacing w:before="40" w:after="40"/>
              <w:rPr>
                <w:rFonts w:cs="Arial"/>
                <w:sz w:val="18"/>
                <w:szCs w:val="18"/>
              </w:rPr>
            </w:pPr>
            <w:r w:rsidRPr="001D41EA">
              <w:rPr>
                <w:rFonts w:cs="Arial"/>
                <w:sz w:val="18"/>
                <w:szCs w:val="18"/>
              </w:rPr>
              <w:t>Greater Bendigo C</w:t>
            </w:r>
          </w:p>
        </w:tc>
        <w:tc>
          <w:tcPr>
            <w:tcW w:w="1361" w:type="dxa"/>
            <w:tcBorders>
              <w:top w:val="nil"/>
              <w:left w:val="single" w:sz="18" w:space="0" w:color="5F497A" w:themeColor="accent4" w:themeShade="BF"/>
              <w:bottom w:val="nil"/>
              <w:right w:val="nil"/>
            </w:tcBorders>
            <w:shd w:val="clear" w:color="auto" w:fill="auto"/>
            <w:vAlign w:val="bottom"/>
          </w:tcPr>
          <w:p w14:paraId="7C062F3C" w14:textId="436212D6" w:rsidR="00A66703" w:rsidRPr="001D41EA" w:rsidRDefault="00A66703" w:rsidP="001D41EA">
            <w:pPr>
              <w:spacing w:before="40" w:after="40"/>
              <w:jc w:val="right"/>
              <w:rPr>
                <w:rFonts w:cs="Arial"/>
                <w:sz w:val="18"/>
                <w:szCs w:val="18"/>
              </w:rPr>
            </w:pPr>
            <w:r w:rsidRPr="001D41EA">
              <w:rPr>
                <w:rFonts w:cs="Arial"/>
                <w:sz w:val="18"/>
                <w:szCs w:val="18"/>
              </w:rPr>
              <w:t>13,645,252</w:t>
            </w:r>
          </w:p>
        </w:tc>
        <w:tc>
          <w:tcPr>
            <w:tcW w:w="1361" w:type="dxa"/>
            <w:tcBorders>
              <w:top w:val="nil"/>
              <w:left w:val="nil"/>
              <w:bottom w:val="nil"/>
              <w:right w:val="nil"/>
            </w:tcBorders>
            <w:shd w:val="clear" w:color="auto" w:fill="auto"/>
            <w:vAlign w:val="bottom"/>
          </w:tcPr>
          <w:p w14:paraId="144EFE0C" w14:textId="2479859E" w:rsidR="00A66703" w:rsidRPr="001D41EA" w:rsidRDefault="00A66703" w:rsidP="001D41EA">
            <w:pPr>
              <w:spacing w:before="40" w:after="40"/>
              <w:jc w:val="right"/>
              <w:rPr>
                <w:rFonts w:cs="Arial"/>
                <w:sz w:val="18"/>
                <w:szCs w:val="18"/>
              </w:rPr>
            </w:pPr>
            <w:r w:rsidRPr="001D41EA">
              <w:rPr>
                <w:rFonts w:cs="Arial"/>
                <w:sz w:val="18"/>
                <w:szCs w:val="18"/>
              </w:rPr>
              <w:t>35,000</w:t>
            </w:r>
          </w:p>
        </w:tc>
        <w:tc>
          <w:tcPr>
            <w:tcW w:w="1361" w:type="dxa"/>
            <w:tcBorders>
              <w:top w:val="nil"/>
              <w:left w:val="nil"/>
              <w:bottom w:val="nil"/>
              <w:right w:val="nil"/>
            </w:tcBorders>
            <w:shd w:val="clear" w:color="auto" w:fill="auto"/>
            <w:vAlign w:val="bottom"/>
          </w:tcPr>
          <w:p w14:paraId="3574BF8B" w14:textId="6507CB20" w:rsidR="00A66703" w:rsidRPr="001D41EA" w:rsidRDefault="00A66703" w:rsidP="001D41EA">
            <w:pPr>
              <w:spacing w:before="40" w:after="40"/>
              <w:jc w:val="right"/>
              <w:rPr>
                <w:rFonts w:cs="Arial"/>
                <w:sz w:val="18"/>
                <w:szCs w:val="18"/>
              </w:rPr>
            </w:pPr>
            <w:r w:rsidRPr="001D41EA">
              <w:rPr>
                <w:rFonts w:cs="Arial"/>
                <w:sz w:val="18"/>
                <w:szCs w:val="18"/>
              </w:rPr>
              <w:t>13,680,252</w:t>
            </w:r>
          </w:p>
        </w:tc>
        <w:tc>
          <w:tcPr>
            <w:tcW w:w="1361" w:type="dxa"/>
            <w:tcBorders>
              <w:top w:val="nil"/>
              <w:left w:val="nil"/>
              <w:bottom w:val="nil"/>
              <w:right w:val="nil"/>
            </w:tcBorders>
            <w:shd w:val="clear" w:color="auto" w:fill="auto"/>
            <w:vAlign w:val="bottom"/>
          </w:tcPr>
          <w:p w14:paraId="5AE4FF47" w14:textId="77086476" w:rsidR="00A66703" w:rsidRPr="001D41EA" w:rsidRDefault="00A66703" w:rsidP="001D41EA">
            <w:pPr>
              <w:spacing w:before="40" w:after="40"/>
              <w:jc w:val="right"/>
              <w:rPr>
                <w:rFonts w:cs="Arial"/>
                <w:sz w:val="18"/>
                <w:szCs w:val="18"/>
              </w:rPr>
            </w:pPr>
            <w:r w:rsidRPr="001D41EA">
              <w:rPr>
                <w:rFonts w:cs="Arial"/>
                <w:sz w:val="18"/>
                <w:szCs w:val="18"/>
              </w:rPr>
              <w:t>3,552,641</w:t>
            </w:r>
          </w:p>
        </w:tc>
        <w:tc>
          <w:tcPr>
            <w:tcW w:w="1361" w:type="dxa"/>
            <w:tcBorders>
              <w:top w:val="nil"/>
              <w:left w:val="nil"/>
              <w:bottom w:val="nil"/>
              <w:right w:val="nil"/>
            </w:tcBorders>
            <w:shd w:val="clear" w:color="auto" w:fill="auto"/>
            <w:vAlign w:val="bottom"/>
          </w:tcPr>
          <w:p w14:paraId="1E222115" w14:textId="1802FAE8" w:rsidR="00A66703" w:rsidRPr="001D41EA" w:rsidRDefault="00A66703" w:rsidP="001D41EA">
            <w:pPr>
              <w:spacing w:before="40" w:after="40"/>
              <w:jc w:val="right"/>
              <w:rPr>
                <w:rFonts w:cs="Arial"/>
                <w:b/>
                <w:sz w:val="18"/>
                <w:szCs w:val="18"/>
              </w:rPr>
            </w:pPr>
            <w:r w:rsidRPr="001D41EA">
              <w:rPr>
                <w:rFonts w:cs="Arial"/>
                <w:b/>
                <w:sz w:val="18"/>
                <w:szCs w:val="18"/>
              </w:rPr>
              <w:t>17,232,893</w:t>
            </w:r>
          </w:p>
        </w:tc>
      </w:tr>
      <w:tr w:rsidR="00A66703" w:rsidRPr="001D41EA" w14:paraId="35895D18"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93C416A" w14:textId="77777777" w:rsidR="00A66703" w:rsidRPr="001D41EA" w:rsidRDefault="00A66703" w:rsidP="001D41EA">
            <w:pPr>
              <w:spacing w:before="40" w:after="40"/>
              <w:rPr>
                <w:rFonts w:cs="Arial"/>
                <w:sz w:val="18"/>
                <w:szCs w:val="18"/>
              </w:rPr>
            </w:pPr>
            <w:r w:rsidRPr="001D41EA">
              <w:rPr>
                <w:rFonts w:cs="Arial"/>
                <w:sz w:val="18"/>
                <w:szCs w:val="18"/>
              </w:rPr>
              <w:t>Greater Dandenong C</w:t>
            </w:r>
          </w:p>
        </w:tc>
        <w:tc>
          <w:tcPr>
            <w:tcW w:w="1361" w:type="dxa"/>
            <w:tcBorders>
              <w:top w:val="nil"/>
              <w:left w:val="single" w:sz="18" w:space="0" w:color="5F497A" w:themeColor="accent4" w:themeShade="BF"/>
              <w:bottom w:val="nil"/>
              <w:right w:val="nil"/>
            </w:tcBorders>
            <w:shd w:val="clear" w:color="auto" w:fill="auto"/>
            <w:vAlign w:val="bottom"/>
          </w:tcPr>
          <w:p w14:paraId="27A64FFC" w14:textId="45604975" w:rsidR="00A66703" w:rsidRPr="001D41EA" w:rsidRDefault="00A66703" w:rsidP="001D41EA">
            <w:pPr>
              <w:spacing w:before="40" w:after="40"/>
              <w:jc w:val="right"/>
              <w:rPr>
                <w:rFonts w:cs="Arial"/>
                <w:sz w:val="18"/>
                <w:szCs w:val="18"/>
              </w:rPr>
            </w:pPr>
            <w:r w:rsidRPr="001D41EA">
              <w:rPr>
                <w:rFonts w:cs="Arial"/>
                <w:sz w:val="18"/>
                <w:szCs w:val="18"/>
              </w:rPr>
              <w:t>10,470,725</w:t>
            </w:r>
          </w:p>
        </w:tc>
        <w:tc>
          <w:tcPr>
            <w:tcW w:w="1361" w:type="dxa"/>
            <w:tcBorders>
              <w:top w:val="nil"/>
              <w:left w:val="nil"/>
              <w:bottom w:val="nil"/>
              <w:right w:val="nil"/>
            </w:tcBorders>
            <w:shd w:val="clear" w:color="auto" w:fill="auto"/>
            <w:vAlign w:val="bottom"/>
          </w:tcPr>
          <w:p w14:paraId="32572D2C" w14:textId="77777777"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556CB46B" w14:textId="19EEE9AB" w:rsidR="00A66703" w:rsidRPr="001D41EA" w:rsidRDefault="00A66703" w:rsidP="001D41EA">
            <w:pPr>
              <w:spacing w:before="40" w:after="40"/>
              <w:jc w:val="right"/>
              <w:rPr>
                <w:rFonts w:cs="Arial"/>
                <w:sz w:val="18"/>
                <w:szCs w:val="18"/>
              </w:rPr>
            </w:pPr>
            <w:r w:rsidRPr="001D41EA">
              <w:rPr>
                <w:rFonts w:cs="Arial"/>
                <w:sz w:val="18"/>
                <w:szCs w:val="18"/>
              </w:rPr>
              <w:t>10,470,725</w:t>
            </w:r>
          </w:p>
        </w:tc>
        <w:tc>
          <w:tcPr>
            <w:tcW w:w="1361" w:type="dxa"/>
            <w:tcBorders>
              <w:top w:val="nil"/>
              <w:left w:val="nil"/>
              <w:bottom w:val="nil"/>
              <w:right w:val="nil"/>
            </w:tcBorders>
            <w:shd w:val="clear" w:color="auto" w:fill="auto"/>
            <w:vAlign w:val="bottom"/>
          </w:tcPr>
          <w:p w14:paraId="465258FE" w14:textId="7D8708A1" w:rsidR="00A66703" w:rsidRPr="001D41EA" w:rsidRDefault="00A66703" w:rsidP="001D41EA">
            <w:pPr>
              <w:spacing w:before="40" w:after="40"/>
              <w:jc w:val="right"/>
              <w:rPr>
                <w:rFonts w:cs="Arial"/>
                <w:sz w:val="18"/>
                <w:szCs w:val="18"/>
              </w:rPr>
            </w:pPr>
            <w:r w:rsidRPr="001D41EA">
              <w:rPr>
                <w:rFonts w:cs="Arial"/>
                <w:sz w:val="18"/>
                <w:szCs w:val="18"/>
              </w:rPr>
              <w:t>1,609,479</w:t>
            </w:r>
          </w:p>
        </w:tc>
        <w:tc>
          <w:tcPr>
            <w:tcW w:w="1361" w:type="dxa"/>
            <w:tcBorders>
              <w:top w:val="nil"/>
              <w:left w:val="nil"/>
              <w:bottom w:val="nil"/>
              <w:right w:val="nil"/>
            </w:tcBorders>
            <w:shd w:val="clear" w:color="auto" w:fill="auto"/>
            <w:vAlign w:val="bottom"/>
          </w:tcPr>
          <w:p w14:paraId="602CE63B" w14:textId="4062FB94" w:rsidR="00A66703" w:rsidRPr="001D41EA" w:rsidRDefault="00A66703" w:rsidP="001D41EA">
            <w:pPr>
              <w:spacing w:before="40" w:after="40"/>
              <w:jc w:val="right"/>
              <w:rPr>
                <w:rFonts w:cs="Arial"/>
                <w:b/>
                <w:sz w:val="18"/>
                <w:szCs w:val="18"/>
              </w:rPr>
            </w:pPr>
            <w:r w:rsidRPr="001D41EA">
              <w:rPr>
                <w:rFonts w:cs="Arial"/>
                <w:b/>
                <w:sz w:val="18"/>
                <w:szCs w:val="18"/>
              </w:rPr>
              <w:t>12,080,204</w:t>
            </w:r>
          </w:p>
        </w:tc>
      </w:tr>
      <w:tr w:rsidR="00A66703" w:rsidRPr="001D41EA" w14:paraId="2ABB86DC"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1C53EA1" w14:textId="77777777" w:rsidR="00A66703" w:rsidRPr="001D41EA" w:rsidRDefault="00A66703" w:rsidP="001D41EA">
            <w:pPr>
              <w:spacing w:before="40" w:after="40"/>
              <w:rPr>
                <w:rFonts w:cs="Arial"/>
                <w:sz w:val="18"/>
                <w:szCs w:val="18"/>
              </w:rPr>
            </w:pPr>
            <w:r w:rsidRPr="001D41EA">
              <w:rPr>
                <w:rFonts w:cs="Arial"/>
                <w:sz w:val="18"/>
                <w:szCs w:val="18"/>
              </w:rPr>
              <w:t>Greater Geelong C</w:t>
            </w:r>
          </w:p>
        </w:tc>
        <w:tc>
          <w:tcPr>
            <w:tcW w:w="1361" w:type="dxa"/>
            <w:tcBorders>
              <w:top w:val="nil"/>
              <w:left w:val="single" w:sz="18" w:space="0" w:color="5F497A" w:themeColor="accent4" w:themeShade="BF"/>
              <w:bottom w:val="nil"/>
              <w:right w:val="nil"/>
            </w:tcBorders>
            <w:shd w:val="clear" w:color="auto" w:fill="auto"/>
            <w:vAlign w:val="bottom"/>
          </w:tcPr>
          <w:p w14:paraId="37008952" w14:textId="305A369B" w:rsidR="00A66703" w:rsidRPr="001D41EA" w:rsidRDefault="00A66703" w:rsidP="001D41EA">
            <w:pPr>
              <w:spacing w:before="40" w:after="40"/>
              <w:jc w:val="right"/>
              <w:rPr>
                <w:rFonts w:cs="Arial"/>
                <w:sz w:val="18"/>
                <w:szCs w:val="18"/>
              </w:rPr>
            </w:pPr>
            <w:r w:rsidRPr="001D41EA">
              <w:rPr>
                <w:rFonts w:cs="Arial"/>
                <w:sz w:val="18"/>
                <w:szCs w:val="18"/>
              </w:rPr>
              <w:t>18,457,970</w:t>
            </w:r>
          </w:p>
        </w:tc>
        <w:tc>
          <w:tcPr>
            <w:tcW w:w="1361" w:type="dxa"/>
            <w:tcBorders>
              <w:top w:val="nil"/>
              <w:left w:val="nil"/>
              <w:bottom w:val="nil"/>
              <w:right w:val="nil"/>
            </w:tcBorders>
            <w:shd w:val="clear" w:color="auto" w:fill="auto"/>
            <w:vAlign w:val="bottom"/>
          </w:tcPr>
          <w:p w14:paraId="2AA0D8BF" w14:textId="0FEDA9FC" w:rsidR="00A66703" w:rsidRPr="001D41EA" w:rsidRDefault="00A66703" w:rsidP="001D41EA">
            <w:pPr>
              <w:spacing w:before="40" w:after="40"/>
              <w:jc w:val="right"/>
              <w:rPr>
                <w:rFonts w:cs="Arial"/>
                <w:sz w:val="18"/>
                <w:szCs w:val="18"/>
              </w:rPr>
            </w:pPr>
            <w:r w:rsidRPr="001D41EA">
              <w:rPr>
                <w:rFonts w:cs="Arial"/>
                <w:sz w:val="18"/>
                <w:szCs w:val="18"/>
              </w:rPr>
              <w:t>35,000</w:t>
            </w:r>
          </w:p>
        </w:tc>
        <w:tc>
          <w:tcPr>
            <w:tcW w:w="1361" w:type="dxa"/>
            <w:tcBorders>
              <w:top w:val="nil"/>
              <w:left w:val="nil"/>
              <w:bottom w:val="nil"/>
              <w:right w:val="nil"/>
            </w:tcBorders>
            <w:shd w:val="clear" w:color="auto" w:fill="auto"/>
            <w:vAlign w:val="bottom"/>
          </w:tcPr>
          <w:p w14:paraId="77A7D593" w14:textId="2B9EDB93" w:rsidR="00A66703" w:rsidRPr="001D41EA" w:rsidRDefault="00A66703" w:rsidP="001D41EA">
            <w:pPr>
              <w:spacing w:before="40" w:after="40"/>
              <w:jc w:val="right"/>
              <w:rPr>
                <w:rFonts w:cs="Arial"/>
                <w:sz w:val="18"/>
                <w:szCs w:val="18"/>
              </w:rPr>
            </w:pPr>
            <w:r w:rsidRPr="001D41EA">
              <w:rPr>
                <w:rFonts w:cs="Arial"/>
                <w:sz w:val="18"/>
                <w:szCs w:val="18"/>
              </w:rPr>
              <w:t>18,492,970</w:t>
            </w:r>
          </w:p>
        </w:tc>
        <w:tc>
          <w:tcPr>
            <w:tcW w:w="1361" w:type="dxa"/>
            <w:tcBorders>
              <w:top w:val="nil"/>
              <w:left w:val="nil"/>
              <w:bottom w:val="nil"/>
              <w:right w:val="nil"/>
            </w:tcBorders>
            <w:shd w:val="clear" w:color="auto" w:fill="auto"/>
            <w:vAlign w:val="bottom"/>
          </w:tcPr>
          <w:p w14:paraId="7CB95F76" w14:textId="085A64A2" w:rsidR="00A66703" w:rsidRPr="001D41EA" w:rsidRDefault="00A66703" w:rsidP="001D41EA">
            <w:pPr>
              <w:spacing w:before="40" w:after="40"/>
              <w:jc w:val="right"/>
              <w:rPr>
                <w:rFonts w:cs="Arial"/>
                <w:sz w:val="18"/>
                <w:szCs w:val="18"/>
              </w:rPr>
            </w:pPr>
            <w:r w:rsidRPr="001D41EA">
              <w:rPr>
                <w:rFonts w:cs="Arial"/>
                <w:sz w:val="18"/>
                <w:szCs w:val="18"/>
              </w:rPr>
              <w:t>3,487,575</w:t>
            </w:r>
          </w:p>
        </w:tc>
        <w:tc>
          <w:tcPr>
            <w:tcW w:w="1361" w:type="dxa"/>
            <w:tcBorders>
              <w:top w:val="nil"/>
              <w:left w:val="nil"/>
              <w:bottom w:val="nil"/>
              <w:right w:val="nil"/>
            </w:tcBorders>
            <w:shd w:val="clear" w:color="auto" w:fill="auto"/>
            <w:vAlign w:val="bottom"/>
          </w:tcPr>
          <w:p w14:paraId="6E9023D5" w14:textId="0ED3403E" w:rsidR="00A66703" w:rsidRPr="001D41EA" w:rsidRDefault="00A66703" w:rsidP="001D41EA">
            <w:pPr>
              <w:spacing w:before="40" w:after="40"/>
              <w:jc w:val="right"/>
              <w:rPr>
                <w:rFonts w:cs="Arial"/>
                <w:b/>
                <w:sz w:val="18"/>
                <w:szCs w:val="18"/>
              </w:rPr>
            </w:pPr>
            <w:r w:rsidRPr="001D41EA">
              <w:rPr>
                <w:rFonts w:cs="Arial"/>
                <w:b/>
                <w:sz w:val="18"/>
                <w:szCs w:val="18"/>
              </w:rPr>
              <w:t>21,980,545</w:t>
            </w:r>
          </w:p>
        </w:tc>
      </w:tr>
      <w:tr w:rsidR="00A66703" w:rsidRPr="001D41EA" w14:paraId="686D513C"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7316FB9" w14:textId="77777777" w:rsidR="00A66703" w:rsidRPr="001D41EA" w:rsidRDefault="00A66703" w:rsidP="001D41EA">
            <w:pPr>
              <w:spacing w:before="40" w:after="40"/>
              <w:rPr>
                <w:rFonts w:cs="Arial"/>
                <w:sz w:val="18"/>
                <w:szCs w:val="18"/>
              </w:rPr>
            </w:pPr>
            <w:r w:rsidRPr="001D41EA">
              <w:rPr>
                <w:rFonts w:cs="Arial"/>
                <w:sz w:val="18"/>
                <w:szCs w:val="18"/>
              </w:rPr>
              <w:t>Greater Shepparton C</w:t>
            </w:r>
          </w:p>
        </w:tc>
        <w:tc>
          <w:tcPr>
            <w:tcW w:w="1361" w:type="dxa"/>
            <w:tcBorders>
              <w:top w:val="nil"/>
              <w:left w:val="single" w:sz="18" w:space="0" w:color="5F497A" w:themeColor="accent4" w:themeShade="BF"/>
              <w:bottom w:val="nil"/>
              <w:right w:val="nil"/>
            </w:tcBorders>
            <w:shd w:val="clear" w:color="auto" w:fill="auto"/>
            <w:vAlign w:val="bottom"/>
          </w:tcPr>
          <w:p w14:paraId="3E980930" w14:textId="59545680" w:rsidR="00A66703" w:rsidRPr="001D41EA" w:rsidRDefault="00A66703" w:rsidP="001D41EA">
            <w:pPr>
              <w:spacing w:before="40" w:after="40"/>
              <w:jc w:val="right"/>
              <w:rPr>
                <w:rFonts w:cs="Arial"/>
                <w:sz w:val="18"/>
                <w:szCs w:val="18"/>
              </w:rPr>
            </w:pPr>
            <w:r w:rsidRPr="001D41EA">
              <w:rPr>
                <w:rFonts w:cs="Arial"/>
                <w:sz w:val="18"/>
                <w:szCs w:val="18"/>
              </w:rPr>
              <w:t>9,718,793</w:t>
            </w:r>
          </w:p>
        </w:tc>
        <w:tc>
          <w:tcPr>
            <w:tcW w:w="1361" w:type="dxa"/>
            <w:tcBorders>
              <w:top w:val="nil"/>
              <w:left w:val="nil"/>
              <w:bottom w:val="nil"/>
              <w:right w:val="nil"/>
            </w:tcBorders>
            <w:shd w:val="clear" w:color="auto" w:fill="auto"/>
            <w:vAlign w:val="bottom"/>
          </w:tcPr>
          <w:p w14:paraId="69A54F60" w14:textId="77777777"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05E30705" w14:textId="13874D63" w:rsidR="00A66703" w:rsidRPr="001D41EA" w:rsidRDefault="00A66703" w:rsidP="001D41EA">
            <w:pPr>
              <w:spacing w:before="40" w:after="40"/>
              <w:jc w:val="right"/>
              <w:rPr>
                <w:rFonts w:cs="Arial"/>
                <w:sz w:val="18"/>
                <w:szCs w:val="18"/>
              </w:rPr>
            </w:pPr>
            <w:r w:rsidRPr="001D41EA">
              <w:rPr>
                <w:rFonts w:cs="Arial"/>
                <w:sz w:val="18"/>
                <w:szCs w:val="18"/>
              </w:rPr>
              <w:t>9,718,793</w:t>
            </w:r>
          </w:p>
        </w:tc>
        <w:tc>
          <w:tcPr>
            <w:tcW w:w="1361" w:type="dxa"/>
            <w:tcBorders>
              <w:top w:val="nil"/>
              <w:left w:val="nil"/>
              <w:bottom w:val="nil"/>
              <w:right w:val="nil"/>
            </w:tcBorders>
            <w:shd w:val="clear" w:color="auto" w:fill="auto"/>
            <w:vAlign w:val="bottom"/>
          </w:tcPr>
          <w:p w14:paraId="719108EE" w14:textId="48B07D1F" w:rsidR="00A66703" w:rsidRPr="001D41EA" w:rsidRDefault="00A66703" w:rsidP="001D41EA">
            <w:pPr>
              <w:spacing w:before="40" w:after="40"/>
              <w:jc w:val="right"/>
              <w:rPr>
                <w:rFonts w:cs="Arial"/>
                <w:sz w:val="18"/>
                <w:szCs w:val="18"/>
              </w:rPr>
            </w:pPr>
            <w:r w:rsidRPr="001D41EA">
              <w:rPr>
                <w:rFonts w:cs="Arial"/>
                <w:sz w:val="18"/>
                <w:szCs w:val="18"/>
              </w:rPr>
              <w:t>3,193,301</w:t>
            </w:r>
          </w:p>
        </w:tc>
        <w:tc>
          <w:tcPr>
            <w:tcW w:w="1361" w:type="dxa"/>
            <w:tcBorders>
              <w:top w:val="nil"/>
              <w:left w:val="nil"/>
              <w:bottom w:val="nil"/>
              <w:right w:val="nil"/>
            </w:tcBorders>
            <w:shd w:val="clear" w:color="auto" w:fill="auto"/>
            <w:vAlign w:val="bottom"/>
          </w:tcPr>
          <w:p w14:paraId="6410828D" w14:textId="35BCE3E8" w:rsidR="00A66703" w:rsidRPr="001D41EA" w:rsidRDefault="00A66703" w:rsidP="001D41EA">
            <w:pPr>
              <w:spacing w:before="40" w:after="40"/>
              <w:jc w:val="right"/>
              <w:rPr>
                <w:rFonts w:cs="Arial"/>
                <w:b/>
                <w:sz w:val="18"/>
                <w:szCs w:val="18"/>
              </w:rPr>
            </w:pPr>
            <w:r w:rsidRPr="001D41EA">
              <w:rPr>
                <w:rFonts w:cs="Arial"/>
                <w:b/>
                <w:sz w:val="18"/>
                <w:szCs w:val="18"/>
              </w:rPr>
              <w:t>12,912,094</w:t>
            </w:r>
          </w:p>
        </w:tc>
      </w:tr>
      <w:tr w:rsidR="00A66703" w:rsidRPr="001D41EA" w14:paraId="754B72CD"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4D247DC" w14:textId="77777777" w:rsidR="00A66703" w:rsidRPr="001D41EA" w:rsidRDefault="00A66703" w:rsidP="001D41EA">
            <w:pPr>
              <w:spacing w:before="40" w:after="40"/>
              <w:rPr>
                <w:rFonts w:cs="Arial"/>
                <w:sz w:val="18"/>
                <w:szCs w:val="18"/>
              </w:rPr>
            </w:pPr>
            <w:r w:rsidRPr="001D41EA">
              <w:rPr>
                <w:rFonts w:cs="Arial"/>
                <w:sz w:val="18"/>
                <w:szCs w:val="18"/>
              </w:rPr>
              <w:t>Hepburn S</w:t>
            </w:r>
          </w:p>
        </w:tc>
        <w:tc>
          <w:tcPr>
            <w:tcW w:w="1361" w:type="dxa"/>
            <w:tcBorders>
              <w:top w:val="nil"/>
              <w:left w:val="single" w:sz="18" w:space="0" w:color="5F497A" w:themeColor="accent4" w:themeShade="BF"/>
              <w:bottom w:val="nil"/>
              <w:right w:val="nil"/>
            </w:tcBorders>
            <w:shd w:val="clear" w:color="auto" w:fill="auto"/>
            <w:vAlign w:val="bottom"/>
          </w:tcPr>
          <w:p w14:paraId="521B8D53" w14:textId="2A80065C" w:rsidR="00A66703" w:rsidRPr="001D41EA" w:rsidRDefault="00A66703" w:rsidP="001D41EA">
            <w:pPr>
              <w:spacing w:before="40" w:after="40"/>
              <w:jc w:val="right"/>
              <w:rPr>
                <w:rFonts w:cs="Arial"/>
                <w:sz w:val="18"/>
                <w:szCs w:val="18"/>
              </w:rPr>
            </w:pPr>
            <w:r w:rsidRPr="001D41EA">
              <w:rPr>
                <w:rFonts w:cs="Arial"/>
                <w:sz w:val="18"/>
                <w:szCs w:val="18"/>
              </w:rPr>
              <w:t>3,494,302</w:t>
            </w:r>
          </w:p>
        </w:tc>
        <w:tc>
          <w:tcPr>
            <w:tcW w:w="1361" w:type="dxa"/>
            <w:tcBorders>
              <w:top w:val="nil"/>
              <w:left w:val="nil"/>
              <w:bottom w:val="nil"/>
              <w:right w:val="nil"/>
            </w:tcBorders>
            <w:shd w:val="clear" w:color="auto" w:fill="auto"/>
            <w:vAlign w:val="bottom"/>
          </w:tcPr>
          <w:p w14:paraId="06099128" w14:textId="63F021CA"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38126381" w14:textId="0C80D16A" w:rsidR="00A66703" w:rsidRPr="001D41EA" w:rsidRDefault="00A66703" w:rsidP="001D41EA">
            <w:pPr>
              <w:spacing w:before="40" w:after="40"/>
              <w:jc w:val="right"/>
              <w:rPr>
                <w:rFonts w:cs="Arial"/>
                <w:sz w:val="18"/>
                <w:szCs w:val="18"/>
              </w:rPr>
            </w:pPr>
            <w:r w:rsidRPr="001D41EA">
              <w:rPr>
                <w:rFonts w:cs="Arial"/>
                <w:sz w:val="18"/>
                <w:szCs w:val="18"/>
              </w:rPr>
              <w:t>3,494,302</w:t>
            </w:r>
          </w:p>
        </w:tc>
        <w:tc>
          <w:tcPr>
            <w:tcW w:w="1361" w:type="dxa"/>
            <w:tcBorders>
              <w:top w:val="nil"/>
              <w:left w:val="nil"/>
              <w:bottom w:val="nil"/>
              <w:right w:val="nil"/>
            </w:tcBorders>
            <w:shd w:val="clear" w:color="auto" w:fill="auto"/>
            <w:vAlign w:val="bottom"/>
          </w:tcPr>
          <w:p w14:paraId="348019A4" w14:textId="44EE88C1" w:rsidR="00A66703" w:rsidRPr="001D41EA" w:rsidRDefault="00A66703" w:rsidP="001D41EA">
            <w:pPr>
              <w:spacing w:before="40" w:after="40"/>
              <w:jc w:val="right"/>
              <w:rPr>
                <w:rFonts w:cs="Arial"/>
                <w:sz w:val="18"/>
                <w:szCs w:val="18"/>
              </w:rPr>
            </w:pPr>
            <w:r w:rsidRPr="001D41EA">
              <w:rPr>
                <w:rFonts w:cs="Arial"/>
                <w:sz w:val="18"/>
                <w:szCs w:val="18"/>
              </w:rPr>
              <w:t>1,595,967</w:t>
            </w:r>
          </w:p>
        </w:tc>
        <w:tc>
          <w:tcPr>
            <w:tcW w:w="1361" w:type="dxa"/>
            <w:tcBorders>
              <w:top w:val="nil"/>
              <w:left w:val="nil"/>
              <w:bottom w:val="nil"/>
              <w:right w:val="nil"/>
            </w:tcBorders>
            <w:shd w:val="clear" w:color="auto" w:fill="auto"/>
            <w:vAlign w:val="bottom"/>
          </w:tcPr>
          <w:p w14:paraId="316470E3" w14:textId="0E012544" w:rsidR="00A66703" w:rsidRPr="001D41EA" w:rsidRDefault="00A66703" w:rsidP="001D41EA">
            <w:pPr>
              <w:spacing w:before="40" w:after="40"/>
              <w:jc w:val="right"/>
              <w:rPr>
                <w:rFonts w:cs="Arial"/>
                <w:b/>
                <w:sz w:val="18"/>
                <w:szCs w:val="18"/>
              </w:rPr>
            </w:pPr>
            <w:r w:rsidRPr="001D41EA">
              <w:rPr>
                <w:rFonts w:cs="Arial"/>
                <w:b/>
                <w:sz w:val="18"/>
                <w:szCs w:val="18"/>
              </w:rPr>
              <w:t>5,090,269</w:t>
            </w:r>
          </w:p>
        </w:tc>
      </w:tr>
      <w:tr w:rsidR="00A66703" w:rsidRPr="001D41EA" w14:paraId="1BFA47EF"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A802778" w14:textId="77777777" w:rsidR="00A66703" w:rsidRPr="001D41EA" w:rsidRDefault="00A66703" w:rsidP="001D41EA">
            <w:pPr>
              <w:spacing w:before="40" w:after="40"/>
              <w:rPr>
                <w:rFonts w:cs="Arial"/>
                <w:sz w:val="18"/>
                <w:szCs w:val="18"/>
              </w:rPr>
            </w:pPr>
            <w:r w:rsidRPr="001D41EA">
              <w:rPr>
                <w:rFonts w:cs="Arial"/>
                <w:sz w:val="18"/>
                <w:szCs w:val="18"/>
              </w:rPr>
              <w:t>Hindmarsh S</w:t>
            </w:r>
          </w:p>
        </w:tc>
        <w:tc>
          <w:tcPr>
            <w:tcW w:w="1361" w:type="dxa"/>
            <w:tcBorders>
              <w:top w:val="nil"/>
              <w:left w:val="single" w:sz="18" w:space="0" w:color="5F497A" w:themeColor="accent4" w:themeShade="BF"/>
              <w:bottom w:val="nil"/>
              <w:right w:val="nil"/>
            </w:tcBorders>
            <w:shd w:val="clear" w:color="auto" w:fill="auto"/>
            <w:vAlign w:val="bottom"/>
          </w:tcPr>
          <w:p w14:paraId="51771051" w14:textId="5CFF4A50" w:rsidR="00A66703" w:rsidRPr="001D41EA" w:rsidRDefault="00A66703" w:rsidP="001D41EA">
            <w:pPr>
              <w:spacing w:before="40" w:after="40"/>
              <w:jc w:val="right"/>
              <w:rPr>
                <w:rFonts w:cs="Arial"/>
                <w:sz w:val="18"/>
                <w:szCs w:val="18"/>
              </w:rPr>
            </w:pPr>
            <w:r w:rsidRPr="001D41EA">
              <w:rPr>
                <w:rFonts w:cs="Arial"/>
                <w:sz w:val="18"/>
                <w:szCs w:val="18"/>
              </w:rPr>
              <w:t>3,139,240</w:t>
            </w:r>
          </w:p>
        </w:tc>
        <w:tc>
          <w:tcPr>
            <w:tcW w:w="1361" w:type="dxa"/>
            <w:tcBorders>
              <w:top w:val="nil"/>
              <w:left w:val="nil"/>
              <w:bottom w:val="nil"/>
              <w:right w:val="nil"/>
            </w:tcBorders>
            <w:shd w:val="clear" w:color="auto" w:fill="auto"/>
            <w:vAlign w:val="bottom"/>
          </w:tcPr>
          <w:p w14:paraId="5FB9D894" w14:textId="48D2CA23" w:rsidR="00A66703" w:rsidRPr="001D41EA" w:rsidRDefault="00A66703" w:rsidP="001D41EA">
            <w:pPr>
              <w:spacing w:before="40" w:after="40"/>
              <w:jc w:val="right"/>
              <w:rPr>
                <w:rFonts w:cs="Arial"/>
                <w:sz w:val="18"/>
                <w:szCs w:val="18"/>
              </w:rPr>
            </w:pPr>
            <w:r w:rsidRPr="001D41EA">
              <w:rPr>
                <w:rFonts w:cs="Arial"/>
                <w:sz w:val="18"/>
                <w:szCs w:val="18"/>
              </w:rPr>
              <w:t>33,507</w:t>
            </w:r>
          </w:p>
        </w:tc>
        <w:tc>
          <w:tcPr>
            <w:tcW w:w="1361" w:type="dxa"/>
            <w:tcBorders>
              <w:top w:val="nil"/>
              <w:left w:val="nil"/>
              <w:bottom w:val="nil"/>
              <w:right w:val="nil"/>
            </w:tcBorders>
            <w:shd w:val="clear" w:color="auto" w:fill="auto"/>
            <w:vAlign w:val="bottom"/>
          </w:tcPr>
          <w:p w14:paraId="77B687D8" w14:textId="59A169D8" w:rsidR="00A66703" w:rsidRPr="001D41EA" w:rsidRDefault="00A66703" w:rsidP="001D41EA">
            <w:pPr>
              <w:spacing w:before="40" w:after="40"/>
              <w:jc w:val="right"/>
              <w:rPr>
                <w:rFonts w:cs="Arial"/>
                <w:sz w:val="18"/>
                <w:szCs w:val="18"/>
              </w:rPr>
            </w:pPr>
            <w:r w:rsidRPr="001D41EA">
              <w:rPr>
                <w:rFonts w:cs="Arial"/>
                <w:sz w:val="18"/>
                <w:szCs w:val="18"/>
              </w:rPr>
              <w:t>3,172,747</w:t>
            </w:r>
          </w:p>
        </w:tc>
        <w:tc>
          <w:tcPr>
            <w:tcW w:w="1361" w:type="dxa"/>
            <w:tcBorders>
              <w:top w:val="nil"/>
              <w:left w:val="nil"/>
              <w:bottom w:val="nil"/>
              <w:right w:val="nil"/>
            </w:tcBorders>
            <w:shd w:val="clear" w:color="auto" w:fill="auto"/>
            <w:vAlign w:val="bottom"/>
          </w:tcPr>
          <w:p w14:paraId="308660C1" w14:textId="2066681A" w:rsidR="00A66703" w:rsidRPr="001D41EA" w:rsidRDefault="00A66703" w:rsidP="001D41EA">
            <w:pPr>
              <w:spacing w:before="40" w:after="40"/>
              <w:jc w:val="right"/>
              <w:rPr>
                <w:rFonts w:cs="Arial"/>
                <w:sz w:val="18"/>
                <w:szCs w:val="18"/>
              </w:rPr>
            </w:pPr>
            <w:r w:rsidRPr="001D41EA">
              <w:rPr>
                <w:rFonts w:cs="Arial"/>
                <w:sz w:val="18"/>
                <w:szCs w:val="18"/>
              </w:rPr>
              <w:t>1,699,987</w:t>
            </w:r>
          </w:p>
        </w:tc>
        <w:tc>
          <w:tcPr>
            <w:tcW w:w="1361" w:type="dxa"/>
            <w:tcBorders>
              <w:top w:val="nil"/>
              <w:left w:val="nil"/>
              <w:bottom w:val="nil"/>
              <w:right w:val="nil"/>
            </w:tcBorders>
            <w:shd w:val="clear" w:color="auto" w:fill="auto"/>
            <w:vAlign w:val="bottom"/>
          </w:tcPr>
          <w:p w14:paraId="2E3AAC8C" w14:textId="13B45EC0" w:rsidR="00A66703" w:rsidRPr="001D41EA" w:rsidRDefault="00A66703" w:rsidP="001D41EA">
            <w:pPr>
              <w:spacing w:before="40" w:after="40"/>
              <w:jc w:val="right"/>
              <w:rPr>
                <w:rFonts w:cs="Arial"/>
                <w:b/>
                <w:sz w:val="18"/>
                <w:szCs w:val="18"/>
              </w:rPr>
            </w:pPr>
            <w:r w:rsidRPr="001D41EA">
              <w:rPr>
                <w:rFonts w:cs="Arial"/>
                <w:b/>
                <w:sz w:val="18"/>
                <w:szCs w:val="18"/>
              </w:rPr>
              <w:t>4,872,734</w:t>
            </w:r>
          </w:p>
        </w:tc>
      </w:tr>
      <w:tr w:rsidR="00A66703" w:rsidRPr="001D41EA" w14:paraId="1AB60117"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BA663D4" w14:textId="77777777" w:rsidR="00A66703" w:rsidRPr="001D41EA" w:rsidRDefault="00A66703" w:rsidP="001D41EA">
            <w:pPr>
              <w:spacing w:before="40" w:after="40"/>
              <w:rPr>
                <w:rFonts w:cs="Arial"/>
                <w:sz w:val="18"/>
                <w:szCs w:val="18"/>
              </w:rPr>
            </w:pPr>
            <w:r w:rsidRPr="001D41EA">
              <w:rPr>
                <w:rFonts w:cs="Arial"/>
                <w:sz w:val="18"/>
                <w:szCs w:val="18"/>
              </w:rPr>
              <w:t>Hobsons Bay C</w:t>
            </w:r>
          </w:p>
        </w:tc>
        <w:tc>
          <w:tcPr>
            <w:tcW w:w="1361" w:type="dxa"/>
            <w:tcBorders>
              <w:top w:val="nil"/>
              <w:left w:val="single" w:sz="18" w:space="0" w:color="5F497A" w:themeColor="accent4" w:themeShade="BF"/>
              <w:bottom w:val="nil"/>
              <w:right w:val="nil"/>
            </w:tcBorders>
            <w:shd w:val="clear" w:color="auto" w:fill="auto"/>
            <w:vAlign w:val="bottom"/>
          </w:tcPr>
          <w:p w14:paraId="6950AB35" w14:textId="09A3B329" w:rsidR="00A66703" w:rsidRPr="001D41EA" w:rsidRDefault="00A66703" w:rsidP="001D41EA">
            <w:pPr>
              <w:spacing w:before="40" w:after="40"/>
              <w:jc w:val="right"/>
              <w:rPr>
                <w:rFonts w:cs="Arial"/>
                <w:sz w:val="18"/>
                <w:szCs w:val="18"/>
              </w:rPr>
            </w:pPr>
            <w:r w:rsidRPr="001D41EA">
              <w:rPr>
                <w:rFonts w:cs="Arial"/>
                <w:sz w:val="18"/>
                <w:szCs w:val="18"/>
              </w:rPr>
              <w:t>2,040,820</w:t>
            </w:r>
          </w:p>
        </w:tc>
        <w:tc>
          <w:tcPr>
            <w:tcW w:w="1361" w:type="dxa"/>
            <w:tcBorders>
              <w:top w:val="nil"/>
              <w:left w:val="nil"/>
              <w:bottom w:val="nil"/>
              <w:right w:val="nil"/>
            </w:tcBorders>
            <w:shd w:val="clear" w:color="auto" w:fill="auto"/>
            <w:vAlign w:val="bottom"/>
          </w:tcPr>
          <w:p w14:paraId="56C4FF5F" w14:textId="6709B7EC"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5E85C7A9" w14:textId="681CE357" w:rsidR="00A66703" w:rsidRPr="001D41EA" w:rsidRDefault="00A66703" w:rsidP="001D41EA">
            <w:pPr>
              <w:spacing w:before="40" w:after="40"/>
              <w:jc w:val="right"/>
              <w:rPr>
                <w:rFonts w:cs="Arial"/>
                <w:sz w:val="18"/>
                <w:szCs w:val="18"/>
              </w:rPr>
            </w:pPr>
            <w:r w:rsidRPr="001D41EA">
              <w:rPr>
                <w:rFonts w:cs="Arial"/>
                <w:sz w:val="18"/>
                <w:szCs w:val="18"/>
              </w:rPr>
              <w:t>2,040,820</w:t>
            </w:r>
          </w:p>
        </w:tc>
        <w:tc>
          <w:tcPr>
            <w:tcW w:w="1361" w:type="dxa"/>
            <w:tcBorders>
              <w:top w:val="nil"/>
              <w:left w:val="nil"/>
              <w:bottom w:val="nil"/>
              <w:right w:val="nil"/>
            </w:tcBorders>
            <w:shd w:val="clear" w:color="auto" w:fill="auto"/>
            <w:vAlign w:val="bottom"/>
          </w:tcPr>
          <w:p w14:paraId="4D498AAA" w14:textId="374A6A55" w:rsidR="00A66703" w:rsidRPr="001D41EA" w:rsidRDefault="00A66703" w:rsidP="001D41EA">
            <w:pPr>
              <w:spacing w:before="40" w:after="40"/>
              <w:jc w:val="right"/>
              <w:rPr>
                <w:rFonts w:cs="Arial"/>
                <w:sz w:val="18"/>
                <w:szCs w:val="18"/>
              </w:rPr>
            </w:pPr>
            <w:r w:rsidRPr="001D41EA">
              <w:rPr>
                <w:rFonts w:cs="Arial"/>
                <w:sz w:val="18"/>
                <w:szCs w:val="18"/>
              </w:rPr>
              <w:t>750,539</w:t>
            </w:r>
          </w:p>
        </w:tc>
        <w:tc>
          <w:tcPr>
            <w:tcW w:w="1361" w:type="dxa"/>
            <w:tcBorders>
              <w:top w:val="nil"/>
              <w:left w:val="nil"/>
              <w:bottom w:val="nil"/>
              <w:right w:val="nil"/>
            </w:tcBorders>
            <w:shd w:val="clear" w:color="auto" w:fill="auto"/>
            <w:vAlign w:val="bottom"/>
          </w:tcPr>
          <w:p w14:paraId="195987A8" w14:textId="3CDDFDAB" w:rsidR="00A66703" w:rsidRPr="001D41EA" w:rsidRDefault="00A66703" w:rsidP="001D41EA">
            <w:pPr>
              <w:spacing w:before="40" w:after="40"/>
              <w:jc w:val="right"/>
              <w:rPr>
                <w:rFonts w:cs="Arial"/>
                <w:b/>
                <w:sz w:val="18"/>
                <w:szCs w:val="18"/>
              </w:rPr>
            </w:pPr>
            <w:r w:rsidRPr="001D41EA">
              <w:rPr>
                <w:rFonts w:cs="Arial"/>
                <w:b/>
                <w:sz w:val="18"/>
                <w:szCs w:val="18"/>
              </w:rPr>
              <w:t>2,791,359</w:t>
            </w:r>
          </w:p>
        </w:tc>
      </w:tr>
      <w:tr w:rsidR="00A66703" w:rsidRPr="001D41EA" w14:paraId="3331E6AB"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35486A7" w14:textId="77777777" w:rsidR="00A66703" w:rsidRPr="001D41EA" w:rsidRDefault="00A66703" w:rsidP="001D41EA">
            <w:pPr>
              <w:spacing w:before="40" w:after="40"/>
              <w:rPr>
                <w:rFonts w:cs="Arial"/>
                <w:sz w:val="18"/>
                <w:szCs w:val="18"/>
              </w:rPr>
            </w:pPr>
            <w:r w:rsidRPr="001D41EA">
              <w:rPr>
                <w:rFonts w:cs="Arial"/>
                <w:sz w:val="18"/>
                <w:szCs w:val="18"/>
              </w:rPr>
              <w:t>Horsham RC</w:t>
            </w:r>
          </w:p>
        </w:tc>
        <w:tc>
          <w:tcPr>
            <w:tcW w:w="1361" w:type="dxa"/>
            <w:tcBorders>
              <w:top w:val="nil"/>
              <w:left w:val="single" w:sz="18" w:space="0" w:color="5F497A" w:themeColor="accent4" w:themeShade="BF"/>
              <w:bottom w:val="nil"/>
              <w:right w:val="nil"/>
            </w:tcBorders>
            <w:shd w:val="clear" w:color="auto" w:fill="auto"/>
            <w:vAlign w:val="bottom"/>
          </w:tcPr>
          <w:p w14:paraId="6CBE9074" w14:textId="2B596B34" w:rsidR="00A66703" w:rsidRPr="001D41EA" w:rsidRDefault="00A66703" w:rsidP="001D41EA">
            <w:pPr>
              <w:spacing w:before="40" w:after="40"/>
              <w:jc w:val="right"/>
              <w:rPr>
                <w:rFonts w:cs="Arial"/>
                <w:sz w:val="18"/>
                <w:szCs w:val="18"/>
              </w:rPr>
            </w:pPr>
            <w:r w:rsidRPr="001D41EA">
              <w:rPr>
                <w:rFonts w:cs="Arial"/>
                <w:sz w:val="18"/>
                <w:szCs w:val="18"/>
              </w:rPr>
              <w:t>4,262,383</w:t>
            </w:r>
          </w:p>
        </w:tc>
        <w:tc>
          <w:tcPr>
            <w:tcW w:w="1361" w:type="dxa"/>
            <w:tcBorders>
              <w:top w:val="nil"/>
              <w:left w:val="nil"/>
              <w:bottom w:val="nil"/>
              <w:right w:val="nil"/>
            </w:tcBorders>
            <w:shd w:val="clear" w:color="auto" w:fill="auto"/>
            <w:vAlign w:val="bottom"/>
          </w:tcPr>
          <w:p w14:paraId="65B89F89" w14:textId="29476454"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76CD2C19" w14:textId="20727AD1" w:rsidR="00A66703" w:rsidRPr="001D41EA" w:rsidRDefault="00A66703" w:rsidP="001D41EA">
            <w:pPr>
              <w:spacing w:before="40" w:after="40"/>
              <w:jc w:val="right"/>
              <w:rPr>
                <w:rFonts w:cs="Arial"/>
                <w:sz w:val="18"/>
                <w:szCs w:val="18"/>
              </w:rPr>
            </w:pPr>
            <w:r w:rsidRPr="001D41EA">
              <w:rPr>
                <w:rFonts w:cs="Arial"/>
                <w:sz w:val="18"/>
                <w:szCs w:val="18"/>
              </w:rPr>
              <w:t>4,262,383</w:t>
            </w:r>
          </w:p>
        </w:tc>
        <w:tc>
          <w:tcPr>
            <w:tcW w:w="1361" w:type="dxa"/>
            <w:tcBorders>
              <w:top w:val="nil"/>
              <w:left w:val="nil"/>
              <w:bottom w:val="nil"/>
              <w:right w:val="nil"/>
            </w:tcBorders>
            <w:shd w:val="clear" w:color="auto" w:fill="auto"/>
            <w:vAlign w:val="bottom"/>
          </w:tcPr>
          <w:p w14:paraId="3821B969" w14:textId="62DE5DFE" w:rsidR="00A66703" w:rsidRPr="001D41EA" w:rsidRDefault="00A66703" w:rsidP="001D41EA">
            <w:pPr>
              <w:spacing w:before="40" w:after="40"/>
              <w:jc w:val="right"/>
              <w:rPr>
                <w:rFonts w:cs="Arial"/>
                <w:sz w:val="18"/>
                <w:szCs w:val="18"/>
              </w:rPr>
            </w:pPr>
            <w:r w:rsidRPr="001D41EA">
              <w:rPr>
                <w:rFonts w:cs="Arial"/>
                <w:sz w:val="18"/>
                <w:szCs w:val="18"/>
              </w:rPr>
              <w:t>2,244,830</w:t>
            </w:r>
          </w:p>
        </w:tc>
        <w:tc>
          <w:tcPr>
            <w:tcW w:w="1361" w:type="dxa"/>
            <w:tcBorders>
              <w:top w:val="nil"/>
              <w:left w:val="nil"/>
              <w:bottom w:val="nil"/>
              <w:right w:val="nil"/>
            </w:tcBorders>
            <w:shd w:val="clear" w:color="auto" w:fill="auto"/>
            <w:vAlign w:val="bottom"/>
          </w:tcPr>
          <w:p w14:paraId="00D2D494" w14:textId="07C8D0B6" w:rsidR="00A66703" w:rsidRPr="001D41EA" w:rsidRDefault="00A66703" w:rsidP="001D41EA">
            <w:pPr>
              <w:spacing w:before="40" w:after="40"/>
              <w:jc w:val="right"/>
              <w:rPr>
                <w:rFonts w:cs="Arial"/>
                <w:b/>
                <w:sz w:val="18"/>
                <w:szCs w:val="18"/>
              </w:rPr>
            </w:pPr>
            <w:r w:rsidRPr="001D41EA">
              <w:rPr>
                <w:rFonts w:cs="Arial"/>
                <w:b/>
                <w:sz w:val="18"/>
                <w:szCs w:val="18"/>
              </w:rPr>
              <w:t>6,507,213</w:t>
            </w:r>
          </w:p>
        </w:tc>
      </w:tr>
      <w:tr w:rsidR="00A66703" w:rsidRPr="001D41EA" w14:paraId="3CE73945"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C6AEABE" w14:textId="77777777" w:rsidR="00A66703" w:rsidRPr="001D41EA" w:rsidRDefault="00A66703" w:rsidP="001D41EA">
            <w:pPr>
              <w:spacing w:before="40" w:after="40"/>
              <w:rPr>
                <w:rFonts w:cs="Arial"/>
                <w:sz w:val="18"/>
                <w:szCs w:val="18"/>
              </w:rPr>
            </w:pPr>
            <w:r w:rsidRPr="001D41EA">
              <w:rPr>
                <w:rFonts w:cs="Arial"/>
                <w:sz w:val="18"/>
                <w:szCs w:val="18"/>
              </w:rPr>
              <w:t>Hume C</w:t>
            </w:r>
          </w:p>
        </w:tc>
        <w:tc>
          <w:tcPr>
            <w:tcW w:w="1361" w:type="dxa"/>
            <w:tcBorders>
              <w:top w:val="nil"/>
              <w:left w:val="single" w:sz="18" w:space="0" w:color="5F497A" w:themeColor="accent4" w:themeShade="BF"/>
              <w:bottom w:val="nil"/>
              <w:right w:val="nil"/>
            </w:tcBorders>
            <w:shd w:val="clear" w:color="auto" w:fill="auto"/>
            <w:vAlign w:val="bottom"/>
          </w:tcPr>
          <w:p w14:paraId="4CBC37FA" w14:textId="3DFB9E20" w:rsidR="00A66703" w:rsidRPr="001D41EA" w:rsidRDefault="00A66703" w:rsidP="001D41EA">
            <w:pPr>
              <w:spacing w:before="40" w:after="40"/>
              <w:jc w:val="right"/>
              <w:rPr>
                <w:rFonts w:cs="Arial"/>
                <w:sz w:val="18"/>
                <w:szCs w:val="18"/>
              </w:rPr>
            </w:pPr>
            <w:r w:rsidRPr="001D41EA">
              <w:rPr>
                <w:rFonts w:cs="Arial"/>
                <w:sz w:val="18"/>
                <w:szCs w:val="18"/>
              </w:rPr>
              <w:t>13,813,452</w:t>
            </w:r>
          </w:p>
        </w:tc>
        <w:tc>
          <w:tcPr>
            <w:tcW w:w="1361" w:type="dxa"/>
            <w:tcBorders>
              <w:top w:val="nil"/>
              <w:left w:val="nil"/>
              <w:bottom w:val="nil"/>
              <w:right w:val="nil"/>
            </w:tcBorders>
            <w:shd w:val="clear" w:color="auto" w:fill="auto"/>
            <w:vAlign w:val="bottom"/>
          </w:tcPr>
          <w:p w14:paraId="6BBC55CF" w14:textId="77777777"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3334E295" w14:textId="78EDFA74" w:rsidR="00A66703" w:rsidRPr="001D41EA" w:rsidRDefault="00A66703" w:rsidP="001D41EA">
            <w:pPr>
              <w:spacing w:before="40" w:after="40"/>
              <w:jc w:val="right"/>
              <w:rPr>
                <w:rFonts w:cs="Arial"/>
                <w:sz w:val="18"/>
                <w:szCs w:val="18"/>
              </w:rPr>
            </w:pPr>
            <w:r w:rsidRPr="001D41EA">
              <w:rPr>
                <w:rFonts w:cs="Arial"/>
                <w:sz w:val="18"/>
                <w:szCs w:val="18"/>
              </w:rPr>
              <w:t>13,813,452</w:t>
            </w:r>
          </w:p>
        </w:tc>
        <w:tc>
          <w:tcPr>
            <w:tcW w:w="1361" w:type="dxa"/>
            <w:tcBorders>
              <w:top w:val="nil"/>
              <w:left w:val="nil"/>
              <w:bottom w:val="nil"/>
              <w:right w:val="nil"/>
            </w:tcBorders>
            <w:shd w:val="clear" w:color="auto" w:fill="auto"/>
            <w:vAlign w:val="bottom"/>
          </w:tcPr>
          <w:p w14:paraId="0EE535B0" w14:textId="5CAE2342" w:rsidR="00A66703" w:rsidRPr="001D41EA" w:rsidRDefault="00A66703" w:rsidP="001D41EA">
            <w:pPr>
              <w:spacing w:before="40" w:after="40"/>
              <w:jc w:val="right"/>
              <w:rPr>
                <w:rFonts w:cs="Arial"/>
                <w:sz w:val="18"/>
                <w:szCs w:val="18"/>
              </w:rPr>
            </w:pPr>
            <w:r w:rsidRPr="001D41EA">
              <w:rPr>
                <w:rFonts w:cs="Arial"/>
                <w:sz w:val="18"/>
                <w:szCs w:val="18"/>
              </w:rPr>
              <w:t>2,610,056</w:t>
            </w:r>
          </w:p>
        </w:tc>
        <w:tc>
          <w:tcPr>
            <w:tcW w:w="1361" w:type="dxa"/>
            <w:tcBorders>
              <w:top w:val="nil"/>
              <w:left w:val="nil"/>
              <w:bottom w:val="nil"/>
              <w:right w:val="nil"/>
            </w:tcBorders>
            <w:shd w:val="clear" w:color="auto" w:fill="auto"/>
            <w:vAlign w:val="bottom"/>
          </w:tcPr>
          <w:p w14:paraId="0A496653" w14:textId="1F8B8334" w:rsidR="00A66703" w:rsidRPr="001D41EA" w:rsidRDefault="00A66703" w:rsidP="001D41EA">
            <w:pPr>
              <w:spacing w:before="40" w:after="40"/>
              <w:jc w:val="right"/>
              <w:rPr>
                <w:rFonts w:cs="Arial"/>
                <w:b/>
                <w:sz w:val="18"/>
                <w:szCs w:val="18"/>
              </w:rPr>
            </w:pPr>
            <w:r w:rsidRPr="001D41EA">
              <w:rPr>
                <w:rFonts w:cs="Arial"/>
                <w:b/>
                <w:sz w:val="18"/>
                <w:szCs w:val="18"/>
              </w:rPr>
              <w:t>16,423,508</w:t>
            </w:r>
          </w:p>
        </w:tc>
      </w:tr>
      <w:tr w:rsidR="00A66703" w:rsidRPr="001D41EA" w14:paraId="398F7540"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D8CF1F9" w14:textId="77777777" w:rsidR="00A66703" w:rsidRPr="001D41EA" w:rsidRDefault="00A66703" w:rsidP="001D41EA">
            <w:pPr>
              <w:spacing w:before="40" w:after="40"/>
              <w:rPr>
                <w:rFonts w:cs="Arial"/>
                <w:sz w:val="18"/>
                <w:szCs w:val="18"/>
              </w:rPr>
            </w:pPr>
            <w:r w:rsidRPr="001D41EA">
              <w:rPr>
                <w:rFonts w:cs="Arial"/>
                <w:sz w:val="18"/>
                <w:szCs w:val="18"/>
              </w:rPr>
              <w:t>Indigo S</w:t>
            </w:r>
          </w:p>
        </w:tc>
        <w:tc>
          <w:tcPr>
            <w:tcW w:w="1361" w:type="dxa"/>
            <w:tcBorders>
              <w:top w:val="nil"/>
              <w:left w:val="single" w:sz="18" w:space="0" w:color="5F497A" w:themeColor="accent4" w:themeShade="BF"/>
              <w:bottom w:val="nil"/>
              <w:right w:val="nil"/>
            </w:tcBorders>
            <w:shd w:val="clear" w:color="auto" w:fill="auto"/>
            <w:vAlign w:val="bottom"/>
          </w:tcPr>
          <w:p w14:paraId="732B9221" w14:textId="46352EC4" w:rsidR="00A66703" w:rsidRPr="001D41EA" w:rsidRDefault="00A66703" w:rsidP="001D41EA">
            <w:pPr>
              <w:spacing w:before="40" w:after="40"/>
              <w:jc w:val="right"/>
              <w:rPr>
                <w:rFonts w:cs="Arial"/>
                <w:sz w:val="18"/>
                <w:szCs w:val="18"/>
              </w:rPr>
            </w:pPr>
            <w:r w:rsidRPr="001D41EA">
              <w:rPr>
                <w:rFonts w:cs="Arial"/>
                <w:sz w:val="18"/>
                <w:szCs w:val="18"/>
              </w:rPr>
              <w:t>3,211,304</w:t>
            </w:r>
          </w:p>
        </w:tc>
        <w:tc>
          <w:tcPr>
            <w:tcW w:w="1361" w:type="dxa"/>
            <w:tcBorders>
              <w:top w:val="nil"/>
              <w:left w:val="nil"/>
              <w:bottom w:val="nil"/>
              <w:right w:val="nil"/>
            </w:tcBorders>
            <w:shd w:val="clear" w:color="auto" w:fill="auto"/>
            <w:vAlign w:val="bottom"/>
          </w:tcPr>
          <w:p w14:paraId="6991F06D" w14:textId="430EC8A7"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1EC169EE" w14:textId="014FFCFC" w:rsidR="00A66703" w:rsidRPr="001D41EA" w:rsidRDefault="00A66703" w:rsidP="001D41EA">
            <w:pPr>
              <w:spacing w:before="40" w:after="40"/>
              <w:jc w:val="right"/>
              <w:rPr>
                <w:rFonts w:cs="Arial"/>
                <w:sz w:val="18"/>
                <w:szCs w:val="18"/>
              </w:rPr>
            </w:pPr>
            <w:r w:rsidRPr="001D41EA">
              <w:rPr>
                <w:rFonts w:cs="Arial"/>
                <w:sz w:val="18"/>
                <w:szCs w:val="18"/>
              </w:rPr>
              <w:t>3,211,304</w:t>
            </w:r>
          </w:p>
        </w:tc>
        <w:tc>
          <w:tcPr>
            <w:tcW w:w="1361" w:type="dxa"/>
            <w:tcBorders>
              <w:top w:val="nil"/>
              <w:left w:val="nil"/>
              <w:bottom w:val="nil"/>
              <w:right w:val="nil"/>
            </w:tcBorders>
            <w:shd w:val="clear" w:color="auto" w:fill="auto"/>
            <w:vAlign w:val="bottom"/>
          </w:tcPr>
          <w:p w14:paraId="7D098B40" w14:textId="74A8F29C" w:rsidR="00A66703" w:rsidRPr="001D41EA" w:rsidRDefault="00A66703" w:rsidP="001D41EA">
            <w:pPr>
              <w:spacing w:before="40" w:after="40"/>
              <w:jc w:val="right"/>
              <w:rPr>
                <w:rFonts w:cs="Arial"/>
                <w:sz w:val="18"/>
                <w:szCs w:val="18"/>
              </w:rPr>
            </w:pPr>
            <w:r w:rsidRPr="001D41EA">
              <w:rPr>
                <w:rFonts w:cs="Arial"/>
                <w:sz w:val="18"/>
                <w:szCs w:val="18"/>
              </w:rPr>
              <w:t>1,692,948</w:t>
            </w:r>
          </w:p>
        </w:tc>
        <w:tc>
          <w:tcPr>
            <w:tcW w:w="1361" w:type="dxa"/>
            <w:tcBorders>
              <w:top w:val="nil"/>
              <w:left w:val="nil"/>
              <w:bottom w:val="nil"/>
              <w:right w:val="nil"/>
            </w:tcBorders>
            <w:shd w:val="clear" w:color="auto" w:fill="auto"/>
            <w:vAlign w:val="bottom"/>
          </w:tcPr>
          <w:p w14:paraId="72301480" w14:textId="10704B2E" w:rsidR="00A66703" w:rsidRPr="001D41EA" w:rsidRDefault="00A66703" w:rsidP="001D41EA">
            <w:pPr>
              <w:spacing w:before="40" w:after="40"/>
              <w:jc w:val="right"/>
              <w:rPr>
                <w:rFonts w:cs="Arial"/>
                <w:b/>
                <w:sz w:val="18"/>
                <w:szCs w:val="18"/>
              </w:rPr>
            </w:pPr>
            <w:r w:rsidRPr="001D41EA">
              <w:rPr>
                <w:rFonts w:cs="Arial"/>
                <w:b/>
                <w:sz w:val="18"/>
                <w:szCs w:val="18"/>
              </w:rPr>
              <w:t>4,904,252</w:t>
            </w:r>
          </w:p>
        </w:tc>
      </w:tr>
      <w:tr w:rsidR="00A66703" w:rsidRPr="001D41EA" w14:paraId="7843D9B5"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F91F0BD" w14:textId="77777777" w:rsidR="00A66703" w:rsidRPr="001D41EA" w:rsidRDefault="00A66703" w:rsidP="001D41EA">
            <w:pPr>
              <w:spacing w:before="40" w:after="40"/>
              <w:rPr>
                <w:rFonts w:cs="Arial"/>
                <w:sz w:val="18"/>
                <w:szCs w:val="18"/>
              </w:rPr>
            </w:pPr>
            <w:r w:rsidRPr="001D41EA">
              <w:rPr>
                <w:rFonts w:cs="Arial"/>
                <w:sz w:val="18"/>
                <w:szCs w:val="18"/>
              </w:rPr>
              <w:t>Kingston C</w:t>
            </w:r>
          </w:p>
        </w:tc>
        <w:tc>
          <w:tcPr>
            <w:tcW w:w="1361" w:type="dxa"/>
            <w:tcBorders>
              <w:top w:val="nil"/>
              <w:left w:val="single" w:sz="18" w:space="0" w:color="5F497A" w:themeColor="accent4" w:themeShade="BF"/>
              <w:bottom w:val="nil"/>
              <w:right w:val="nil"/>
            </w:tcBorders>
            <w:shd w:val="clear" w:color="auto" w:fill="auto"/>
            <w:vAlign w:val="bottom"/>
          </w:tcPr>
          <w:p w14:paraId="2CCD705B" w14:textId="3F00D025" w:rsidR="00A66703" w:rsidRPr="001D41EA" w:rsidRDefault="00A66703" w:rsidP="001D41EA">
            <w:pPr>
              <w:spacing w:before="40" w:after="40"/>
              <w:jc w:val="right"/>
              <w:rPr>
                <w:rFonts w:cs="Arial"/>
                <w:sz w:val="18"/>
                <w:szCs w:val="18"/>
              </w:rPr>
            </w:pPr>
            <w:r w:rsidRPr="001D41EA">
              <w:rPr>
                <w:rFonts w:cs="Arial"/>
                <w:sz w:val="18"/>
                <w:szCs w:val="18"/>
              </w:rPr>
              <w:t>3,457,377</w:t>
            </w:r>
          </w:p>
        </w:tc>
        <w:tc>
          <w:tcPr>
            <w:tcW w:w="1361" w:type="dxa"/>
            <w:tcBorders>
              <w:top w:val="nil"/>
              <w:left w:val="nil"/>
              <w:bottom w:val="nil"/>
              <w:right w:val="nil"/>
            </w:tcBorders>
            <w:shd w:val="clear" w:color="auto" w:fill="auto"/>
            <w:vAlign w:val="bottom"/>
          </w:tcPr>
          <w:p w14:paraId="605C29E6" w14:textId="77777777"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4AC04A66" w14:textId="1D3DEA45" w:rsidR="00A66703" w:rsidRPr="001D41EA" w:rsidRDefault="00A66703" w:rsidP="001D41EA">
            <w:pPr>
              <w:spacing w:before="40" w:after="40"/>
              <w:jc w:val="right"/>
              <w:rPr>
                <w:rFonts w:cs="Arial"/>
                <w:sz w:val="18"/>
                <w:szCs w:val="18"/>
              </w:rPr>
            </w:pPr>
            <w:r w:rsidRPr="001D41EA">
              <w:rPr>
                <w:rFonts w:cs="Arial"/>
                <w:sz w:val="18"/>
                <w:szCs w:val="18"/>
              </w:rPr>
              <w:t>3,457,377</w:t>
            </w:r>
          </w:p>
        </w:tc>
        <w:tc>
          <w:tcPr>
            <w:tcW w:w="1361" w:type="dxa"/>
            <w:tcBorders>
              <w:top w:val="nil"/>
              <w:left w:val="nil"/>
              <w:bottom w:val="nil"/>
              <w:right w:val="nil"/>
            </w:tcBorders>
            <w:shd w:val="clear" w:color="auto" w:fill="auto"/>
            <w:vAlign w:val="bottom"/>
          </w:tcPr>
          <w:p w14:paraId="4DF30FD5" w14:textId="6B510FD6" w:rsidR="00A66703" w:rsidRPr="001D41EA" w:rsidRDefault="00A66703" w:rsidP="001D41EA">
            <w:pPr>
              <w:spacing w:before="40" w:after="40"/>
              <w:jc w:val="right"/>
              <w:rPr>
                <w:rFonts w:cs="Arial"/>
                <w:sz w:val="18"/>
                <w:szCs w:val="18"/>
              </w:rPr>
            </w:pPr>
            <w:r w:rsidRPr="001D41EA">
              <w:rPr>
                <w:rFonts w:cs="Arial"/>
                <w:sz w:val="18"/>
                <w:szCs w:val="18"/>
              </w:rPr>
              <w:t>1,085,382</w:t>
            </w:r>
          </w:p>
        </w:tc>
        <w:tc>
          <w:tcPr>
            <w:tcW w:w="1361" w:type="dxa"/>
            <w:tcBorders>
              <w:top w:val="nil"/>
              <w:left w:val="nil"/>
              <w:bottom w:val="nil"/>
              <w:right w:val="nil"/>
            </w:tcBorders>
            <w:shd w:val="clear" w:color="auto" w:fill="auto"/>
            <w:vAlign w:val="bottom"/>
          </w:tcPr>
          <w:p w14:paraId="00B343FC" w14:textId="1FD97C7B" w:rsidR="00A66703" w:rsidRPr="001D41EA" w:rsidRDefault="00A66703" w:rsidP="001D41EA">
            <w:pPr>
              <w:spacing w:before="40" w:after="40"/>
              <w:jc w:val="right"/>
              <w:rPr>
                <w:rFonts w:cs="Arial"/>
                <w:b/>
                <w:sz w:val="18"/>
                <w:szCs w:val="18"/>
              </w:rPr>
            </w:pPr>
            <w:r w:rsidRPr="001D41EA">
              <w:rPr>
                <w:rFonts w:cs="Arial"/>
                <w:b/>
                <w:sz w:val="18"/>
                <w:szCs w:val="18"/>
              </w:rPr>
              <w:t>4,542,759</w:t>
            </w:r>
          </w:p>
        </w:tc>
      </w:tr>
      <w:tr w:rsidR="00A66703" w:rsidRPr="001D41EA" w14:paraId="68258D7E"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E03F9AD" w14:textId="77777777" w:rsidR="00A66703" w:rsidRPr="001D41EA" w:rsidRDefault="00A66703" w:rsidP="001D41EA">
            <w:pPr>
              <w:spacing w:before="40" w:after="40"/>
              <w:rPr>
                <w:rFonts w:cs="Arial"/>
                <w:sz w:val="18"/>
                <w:szCs w:val="18"/>
              </w:rPr>
            </w:pPr>
            <w:r w:rsidRPr="001D41EA">
              <w:rPr>
                <w:rFonts w:cs="Arial"/>
                <w:sz w:val="18"/>
                <w:szCs w:val="18"/>
              </w:rPr>
              <w:t>Knox C</w:t>
            </w:r>
          </w:p>
        </w:tc>
        <w:tc>
          <w:tcPr>
            <w:tcW w:w="1361" w:type="dxa"/>
            <w:tcBorders>
              <w:top w:val="nil"/>
              <w:left w:val="single" w:sz="18" w:space="0" w:color="5F497A" w:themeColor="accent4" w:themeShade="BF"/>
              <w:bottom w:val="nil"/>
              <w:right w:val="nil"/>
            </w:tcBorders>
            <w:shd w:val="clear" w:color="auto" w:fill="auto"/>
            <w:vAlign w:val="bottom"/>
          </w:tcPr>
          <w:p w14:paraId="598E5011" w14:textId="75893859" w:rsidR="00A66703" w:rsidRPr="001D41EA" w:rsidRDefault="00A66703" w:rsidP="001D41EA">
            <w:pPr>
              <w:spacing w:before="40" w:after="40"/>
              <w:jc w:val="right"/>
              <w:rPr>
                <w:rFonts w:cs="Arial"/>
                <w:sz w:val="18"/>
                <w:szCs w:val="18"/>
              </w:rPr>
            </w:pPr>
            <w:r w:rsidRPr="001D41EA">
              <w:rPr>
                <w:rFonts w:cs="Arial"/>
                <w:sz w:val="18"/>
                <w:szCs w:val="18"/>
              </w:rPr>
              <w:t>6,393,843</w:t>
            </w:r>
          </w:p>
        </w:tc>
        <w:tc>
          <w:tcPr>
            <w:tcW w:w="1361" w:type="dxa"/>
            <w:tcBorders>
              <w:top w:val="nil"/>
              <w:left w:val="nil"/>
              <w:bottom w:val="nil"/>
              <w:right w:val="nil"/>
            </w:tcBorders>
            <w:shd w:val="clear" w:color="auto" w:fill="auto"/>
            <w:vAlign w:val="bottom"/>
          </w:tcPr>
          <w:p w14:paraId="43A27D6F" w14:textId="77777777"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4BB2DC52" w14:textId="2C439AFB" w:rsidR="00A66703" w:rsidRPr="001D41EA" w:rsidRDefault="00A66703" w:rsidP="001D41EA">
            <w:pPr>
              <w:spacing w:before="40" w:after="40"/>
              <w:jc w:val="right"/>
              <w:rPr>
                <w:rFonts w:cs="Arial"/>
                <w:sz w:val="18"/>
                <w:szCs w:val="18"/>
              </w:rPr>
            </w:pPr>
            <w:r w:rsidRPr="001D41EA">
              <w:rPr>
                <w:rFonts w:cs="Arial"/>
                <w:sz w:val="18"/>
                <w:szCs w:val="18"/>
              </w:rPr>
              <w:t>6,393,843</w:t>
            </w:r>
          </w:p>
        </w:tc>
        <w:tc>
          <w:tcPr>
            <w:tcW w:w="1361" w:type="dxa"/>
            <w:tcBorders>
              <w:top w:val="nil"/>
              <w:left w:val="nil"/>
              <w:bottom w:val="nil"/>
              <w:right w:val="nil"/>
            </w:tcBorders>
            <w:shd w:val="clear" w:color="auto" w:fill="auto"/>
            <w:vAlign w:val="bottom"/>
          </w:tcPr>
          <w:p w14:paraId="27BB1D31" w14:textId="389D5159" w:rsidR="00A66703" w:rsidRPr="001D41EA" w:rsidRDefault="00A66703" w:rsidP="001D41EA">
            <w:pPr>
              <w:spacing w:before="40" w:after="40"/>
              <w:jc w:val="right"/>
              <w:rPr>
                <w:rFonts w:cs="Arial"/>
                <w:sz w:val="18"/>
                <w:szCs w:val="18"/>
              </w:rPr>
            </w:pPr>
            <w:r w:rsidRPr="001D41EA">
              <w:rPr>
                <w:rFonts w:cs="Arial"/>
                <w:sz w:val="18"/>
                <w:szCs w:val="18"/>
              </w:rPr>
              <w:t>1,154,505</w:t>
            </w:r>
          </w:p>
        </w:tc>
        <w:tc>
          <w:tcPr>
            <w:tcW w:w="1361" w:type="dxa"/>
            <w:tcBorders>
              <w:top w:val="nil"/>
              <w:left w:val="nil"/>
              <w:bottom w:val="nil"/>
              <w:right w:val="nil"/>
            </w:tcBorders>
            <w:shd w:val="clear" w:color="auto" w:fill="auto"/>
            <w:vAlign w:val="bottom"/>
          </w:tcPr>
          <w:p w14:paraId="505BADC0" w14:textId="064685B9" w:rsidR="00A66703" w:rsidRPr="001D41EA" w:rsidRDefault="00A66703" w:rsidP="001D41EA">
            <w:pPr>
              <w:spacing w:before="40" w:after="40"/>
              <w:jc w:val="right"/>
              <w:rPr>
                <w:rFonts w:cs="Arial"/>
                <w:b/>
                <w:sz w:val="18"/>
                <w:szCs w:val="18"/>
              </w:rPr>
            </w:pPr>
            <w:r w:rsidRPr="001D41EA">
              <w:rPr>
                <w:rFonts w:cs="Arial"/>
                <w:b/>
                <w:sz w:val="18"/>
                <w:szCs w:val="18"/>
              </w:rPr>
              <w:t>7,548,348</w:t>
            </w:r>
          </w:p>
        </w:tc>
      </w:tr>
      <w:tr w:rsidR="00A66703" w:rsidRPr="001D41EA" w14:paraId="3DD20036"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B20673" w14:textId="77777777" w:rsidR="00A66703" w:rsidRPr="001D41EA" w:rsidRDefault="00A66703" w:rsidP="001D41EA">
            <w:pPr>
              <w:spacing w:before="40" w:after="40"/>
              <w:rPr>
                <w:rFonts w:cs="Arial"/>
                <w:sz w:val="18"/>
                <w:szCs w:val="18"/>
              </w:rPr>
            </w:pPr>
            <w:r w:rsidRPr="001D41EA">
              <w:rPr>
                <w:rFonts w:cs="Arial"/>
                <w:sz w:val="18"/>
                <w:szCs w:val="18"/>
              </w:rPr>
              <w:t>Latrobe C</w:t>
            </w:r>
          </w:p>
        </w:tc>
        <w:tc>
          <w:tcPr>
            <w:tcW w:w="1361" w:type="dxa"/>
            <w:tcBorders>
              <w:top w:val="nil"/>
              <w:left w:val="single" w:sz="18" w:space="0" w:color="5F497A" w:themeColor="accent4" w:themeShade="BF"/>
              <w:bottom w:val="nil"/>
              <w:right w:val="nil"/>
            </w:tcBorders>
            <w:shd w:val="clear" w:color="auto" w:fill="auto"/>
            <w:vAlign w:val="bottom"/>
          </w:tcPr>
          <w:p w14:paraId="5FAE1DED" w14:textId="5A84BB22" w:rsidR="00A66703" w:rsidRPr="001D41EA" w:rsidRDefault="00A66703" w:rsidP="001D41EA">
            <w:pPr>
              <w:spacing w:before="40" w:after="40"/>
              <w:jc w:val="right"/>
              <w:rPr>
                <w:rFonts w:cs="Arial"/>
                <w:sz w:val="18"/>
                <w:szCs w:val="18"/>
              </w:rPr>
            </w:pPr>
            <w:r w:rsidRPr="001D41EA">
              <w:rPr>
                <w:rFonts w:cs="Arial"/>
                <w:sz w:val="18"/>
                <w:szCs w:val="18"/>
              </w:rPr>
              <w:t>9,702,056</w:t>
            </w:r>
          </w:p>
        </w:tc>
        <w:tc>
          <w:tcPr>
            <w:tcW w:w="1361" w:type="dxa"/>
            <w:tcBorders>
              <w:top w:val="nil"/>
              <w:left w:val="nil"/>
              <w:bottom w:val="nil"/>
              <w:right w:val="nil"/>
            </w:tcBorders>
            <w:shd w:val="clear" w:color="auto" w:fill="auto"/>
            <w:vAlign w:val="bottom"/>
          </w:tcPr>
          <w:p w14:paraId="35BEF71F" w14:textId="7FBD5EF5"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7A1B3AEC" w14:textId="310BF8A5" w:rsidR="00A66703" w:rsidRPr="001D41EA" w:rsidRDefault="00A66703" w:rsidP="001D41EA">
            <w:pPr>
              <w:spacing w:before="40" w:after="40"/>
              <w:jc w:val="right"/>
              <w:rPr>
                <w:rFonts w:cs="Arial"/>
                <w:sz w:val="18"/>
                <w:szCs w:val="18"/>
              </w:rPr>
            </w:pPr>
            <w:r w:rsidRPr="001D41EA">
              <w:rPr>
                <w:rFonts w:cs="Arial"/>
                <w:sz w:val="18"/>
                <w:szCs w:val="18"/>
              </w:rPr>
              <w:t>9,702,056</w:t>
            </w:r>
          </w:p>
        </w:tc>
        <w:tc>
          <w:tcPr>
            <w:tcW w:w="1361" w:type="dxa"/>
            <w:tcBorders>
              <w:top w:val="nil"/>
              <w:left w:val="nil"/>
              <w:bottom w:val="nil"/>
              <w:right w:val="nil"/>
            </w:tcBorders>
            <w:shd w:val="clear" w:color="auto" w:fill="auto"/>
            <w:vAlign w:val="bottom"/>
          </w:tcPr>
          <w:p w14:paraId="01B067B3" w14:textId="334E9DFF" w:rsidR="00A66703" w:rsidRPr="001D41EA" w:rsidRDefault="00A66703" w:rsidP="001D41EA">
            <w:pPr>
              <w:spacing w:before="40" w:after="40"/>
              <w:jc w:val="right"/>
              <w:rPr>
                <w:rFonts w:cs="Arial"/>
                <w:sz w:val="18"/>
                <w:szCs w:val="18"/>
              </w:rPr>
            </w:pPr>
            <w:r w:rsidRPr="001D41EA">
              <w:rPr>
                <w:rFonts w:cs="Arial"/>
                <w:sz w:val="18"/>
                <w:szCs w:val="18"/>
              </w:rPr>
              <w:t>2,681,484</w:t>
            </w:r>
          </w:p>
        </w:tc>
        <w:tc>
          <w:tcPr>
            <w:tcW w:w="1361" w:type="dxa"/>
            <w:tcBorders>
              <w:top w:val="nil"/>
              <w:left w:val="nil"/>
              <w:bottom w:val="nil"/>
              <w:right w:val="nil"/>
            </w:tcBorders>
            <w:shd w:val="clear" w:color="auto" w:fill="auto"/>
            <w:vAlign w:val="bottom"/>
          </w:tcPr>
          <w:p w14:paraId="6786EA28" w14:textId="6A10011F" w:rsidR="00A66703" w:rsidRPr="001D41EA" w:rsidRDefault="00A66703" w:rsidP="001D41EA">
            <w:pPr>
              <w:spacing w:before="40" w:after="40"/>
              <w:jc w:val="right"/>
              <w:rPr>
                <w:rFonts w:cs="Arial"/>
                <w:b/>
                <w:sz w:val="18"/>
                <w:szCs w:val="18"/>
              </w:rPr>
            </w:pPr>
            <w:r w:rsidRPr="001D41EA">
              <w:rPr>
                <w:rFonts w:cs="Arial"/>
                <w:b/>
                <w:sz w:val="18"/>
                <w:szCs w:val="18"/>
              </w:rPr>
              <w:t>12,383,540</w:t>
            </w:r>
          </w:p>
        </w:tc>
      </w:tr>
      <w:tr w:rsidR="00A66703" w:rsidRPr="001D41EA" w14:paraId="40DEB587"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3C5EF5E1" w14:textId="77777777" w:rsidR="00A66703" w:rsidRPr="001D41EA" w:rsidRDefault="00A66703" w:rsidP="001D41EA">
            <w:pPr>
              <w:spacing w:before="40" w:after="40"/>
              <w:rPr>
                <w:rFonts w:cs="Arial"/>
                <w:sz w:val="18"/>
                <w:szCs w:val="18"/>
              </w:rPr>
            </w:pPr>
            <w:r w:rsidRPr="001D41EA">
              <w:rPr>
                <w:rFonts w:cs="Arial"/>
                <w:sz w:val="18"/>
                <w:szCs w:val="18"/>
              </w:rPr>
              <w:t>Loddon S</w:t>
            </w:r>
          </w:p>
        </w:tc>
        <w:tc>
          <w:tcPr>
            <w:tcW w:w="1361" w:type="dxa"/>
            <w:tcBorders>
              <w:top w:val="nil"/>
              <w:left w:val="single" w:sz="18" w:space="0" w:color="5F497A" w:themeColor="accent4" w:themeShade="BF"/>
              <w:bottom w:val="nil"/>
              <w:right w:val="nil"/>
            </w:tcBorders>
            <w:shd w:val="clear" w:color="auto" w:fill="auto"/>
            <w:vAlign w:val="bottom"/>
          </w:tcPr>
          <w:p w14:paraId="220B7F8C" w14:textId="0307F907" w:rsidR="00A66703" w:rsidRPr="001D41EA" w:rsidRDefault="00A66703" w:rsidP="001D41EA">
            <w:pPr>
              <w:spacing w:before="40" w:after="40"/>
              <w:jc w:val="right"/>
              <w:rPr>
                <w:rFonts w:cs="Arial"/>
                <w:sz w:val="18"/>
                <w:szCs w:val="18"/>
              </w:rPr>
            </w:pPr>
            <w:r w:rsidRPr="001D41EA">
              <w:rPr>
                <w:rFonts w:cs="Arial"/>
                <w:sz w:val="18"/>
                <w:szCs w:val="18"/>
              </w:rPr>
              <w:t>5,423,531</w:t>
            </w:r>
          </w:p>
        </w:tc>
        <w:tc>
          <w:tcPr>
            <w:tcW w:w="1361" w:type="dxa"/>
            <w:tcBorders>
              <w:top w:val="nil"/>
              <w:left w:val="nil"/>
              <w:bottom w:val="nil"/>
              <w:right w:val="nil"/>
            </w:tcBorders>
            <w:shd w:val="clear" w:color="auto" w:fill="auto"/>
            <w:vAlign w:val="bottom"/>
          </w:tcPr>
          <w:p w14:paraId="2E28EA4A" w14:textId="6A9696A2" w:rsidR="00A66703" w:rsidRPr="001D41EA" w:rsidRDefault="00A66703" w:rsidP="001D41EA">
            <w:pPr>
              <w:spacing w:before="40" w:after="40"/>
              <w:jc w:val="right"/>
              <w:rPr>
                <w:rFonts w:cs="Arial"/>
                <w:sz w:val="18"/>
                <w:szCs w:val="18"/>
              </w:rPr>
            </w:pPr>
          </w:p>
        </w:tc>
        <w:tc>
          <w:tcPr>
            <w:tcW w:w="1361" w:type="dxa"/>
            <w:tcBorders>
              <w:top w:val="nil"/>
              <w:left w:val="nil"/>
              <w:bottom w:val="nil"/>
              <w:right w:val="nil"/>
            </w:tcBorders>
            <w:shd w:val="clear" w:color="auto" w:fill="auto"/>
            <w:vAlign w:val="bottom"/>
          </w:tcPr>
          <w:p w14:paraId="72B0D6D9" w14:textId="63E93132" w:rsidR="00A66703" w:rsidRPr="001D41EA" w:rsidRDefault="00A66703" w:rsidP="001D41EA">
            <w:pPr>
              <w:spacing w:before="40" w:after="40"/>
              <w:jc w:val="right"/>
              <w:rPr>
                <w:rFonts w:cs="Arial"/>
                <w:sz w:val="18"/>
                <w:szCs w:val="18"/>
              </w:rPr>
            </w:pPr>
            <w:r w:rsidRPr="001D41EA">
              <w:rPr>
                <w:rFonts w:cs="Arial"/>
                <w:sz w:val="18"/>
                <w:szCs w:val="18"/>
              </w:rPr>
              <w:t>5,423,531</w:t>
            </w:r>
          </w:p>
        </w:tc>
        <w:tc>
          <w:tcPr>
            <w:tcW w:w="1361" w:type="dxa"/>
            <w:tcBorders>
              <w:top w:val="nil"/>
              <w:left w:val="nil"/>
              <w:bottom w:val="nil"/>
              <w:right w:val="nil"/>
            </w:tcBorders>
            <w:shd w:val="clear" w:color="auto" w:fill="auto"/>
            <w:vAlign w:val="bottom"/>
          </w:tcPr>
          <w:p w14:paraId="052F24FE" w14:textId="04113917" w:rsidR="00A66703" w:rsidRPr="001D41EA" w:rsidRDefault="00A66703" w:rsidP="001D41EA">
            <w:pPr>
              <w:spacing w:before="40" w:after="40"/>
              <w:jc w:val="right"/>
              <w:rPr>
                <w:rFonts w:cs="Arial"/>
                <w:sz w:val="18"/>
                <w:szCs w:val="18"/>
              </w:rPr>
            </w:pPr>
            <w:r w:rsidRPr="001D41EA">
              <w:rPr>
                <w:rFonts w:cs="Arial"/>
                <w:sz w:val="18"/>
                <w:szCs w:val="18"/>
              </w:rPr>
              <w:t>3,759,315</w:t>
            </w:r>
          </w:p>
        </w:tc>
        <w:tc>
          <w:tcPr>
            <w:tcW w:w="1361" w:type="dxa"/>
            <w:tcBorders>
              <w:top w:val="nil"/>
              <w:left w:val="nil"/>
              <w:bottom w:val="nil"/>
              <w:right w:val="nil"/>
            </w:tcBorders>
            <w:shd w:val="clear" w:color="auto" w:fill="auto"/>
            <w:vAlign w:val="bottom"/>
          </w:tcPr>
          <w:p w14:paraId="7CAAD5F3" w14:textId="23C7DD61" w:rsidR="00A66703" w:rsidRPr="001D41EA" w:rsidRDefault="00A66703" w:rsidP="001D41EA">
            <w:pPr>
              <w:spacing w:before="40" w:after="40"/>
              <w:jc w:val="right"/>
              <w:rPr>
                <w:rFonts w:cs="Arial"/>
                <w:b/>
                <w:sz w:val="18"/>
                <w:szCs w:val="18"/>
              </w:rPr>
            </w:pPr>
            <w:r w:rsidRPr="001D41EA">
              <w:rPr>
                <w:rFonts w:cs="Arial"/>
                <w:b/>
                <w:sz w:val="18"/>
                <w:szCs w:val="18"/>
              </w:rPr>
              <w:t>9,182,846</w:t>
            </w:r>
          </w:p>
        </w:tc>
      </w:tr>
    </w:tbl>
    <w:p w14:paraId="3AE6C566" w14:textId="77777777" w:rsidR="004F2BFF" w:rsidRPr="00A44829" w:rsidRDefault="004F2BFF" w:rsidP="00FF36E8">
      <w:pPr>
        <w:spacing w:before="40" w:after="20"/>
        <w:rPr>
          <w:rFonts w:cs="Arial"/>
          <w:sz w:val="18"/>
          <w:szCs w:val="18"/>
        </w:rPr>
      </w:pPr>
    </w:p>
    <w:p w14:paraId="422FAD3A" w14:textId="77777777" w:rsidR="00F85AE2" w:rsidRPr="00A44829" w:rsidRDefault="00F85AE2" w:rsidP="00FF36E8">
      <w:pPr>
        <w:spacing w:before="40" w:after="20"/>
        <w:rPr>
          <w:rFonts w:cs="Arial"/>
          <w:sz w:val="18"/>
          <w:szCs w:val="18"/>
        </w:rPr>
      </w:pPr>
      <w:r w:rsidRPr="00A44829">
        <w:rPr>
          <w:rFonts w:cs="Arial"/>
          <w:sz w:val="18"/>
          <w:szCs w:val="18"/>
        </w:rPr>
        <w:br w:type="page"/>
      </w:r>
    </w:p>
    <w:p w14:paraId="3A155560" w14:textId="68F2ECC6" w:rsidR="00342DB4" w:rsidRPr="00A44829" w:rsidRDefault="00EE4593" w:rsidP="00C33713">
      <w:pPr>
        <w:pStyle w:val="VGC-Head10"/>
      </w:pPr>
      <w:r w:rsidRPr="00A44829">
        <w:lastRenderedPageBreak/>
        <w:t>2019-20</w:t>
      </w:r>
      <w:r w:rsidR="00A97ABE" w:rsidRPr="00A44829">
        <w:t xml:space="preserve"> </w:t>
      </w:r>
      <w:r w:rsidR="00342DB4" w:rsidRPr="00A44829">
        <w:t>Allocations</w:t>
      </w:r>
      <w:r w:rsidR="00CE4507" w:rsidRPr="00A44829">
        <w:tab/>
        <w:t>Appendix 2</w:t>
      </w:r>
    </w:p>
    <w:p w14:paraId="5F790C67" w14:textId="77777777" w:rsidR="002460C5" w:rsidRPr="00A44829" w:rsidRDefault="004F1184" w:rsidP="008C1A28">
      <w:pPr>
        <w:pStyle w:val="VGC-Head2"/>
      </w:pPr>
      <w:r w:rsidRPr="00A44829">
        <w:tab/>
      </w:r>
      <w:r w:rsidR="004B380D" w:rsidRPr="00A44829">
        <w:t>A.  Estimated Allocations</w:t>
      </w:r>
    </w:p>
    <w:p w14:paraId="41DDC507" w14:textId="77777777" w:rsidR="008C2184" w:rsidRPr="00A44829" w:rsidRDefault="008C2184"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42DB4" w:rsidRPr="00A44829" w14:paraId="0C67DBF1" w14:textId="77777777" w:rsidTr="00C60457">
        <w:trPr>
          <w:trHeight w:val="20"/>
          <w:tblHeader/>
        </w:trPr>
        <w:tc>
          <w:tcPr>
            <w:tcW w:w="2268" w:type="dxa"/>
            <w:tcBorders>
              <w:top w:val="nil"/>
              <w:left w:val="nil"/>
              <w:bottom w:val="nil"/>
              <w:right w:val="single" w:sz="18" w:space="0" w:color="5F497A" w:themeColor="accent4" w:themeShade="BF"/>
            </w:tcBorders>
            <w:shd w:val="clear" w:color="auto" w:fill="auto"/>
            <w:vAlign w:val="bottom"/>
          </w:tcPr>
          <w:p w14:paraId="73DC6FD0" w14:textId="77777777" w:rsidR="00342DB4" w:rsidRPr="00A44829" w:rsidRDefault="00342DB4" w:rsidP="008001AD">
            <w:pPr>
              <w:spacing w:before="40" w:after="20"/>
              <w:jc w:val="center"/>
              <w:rPr>
                <w:rFonts w:cs="Arial"/>
                <w:sz w:val="18"/>
                <w:szCs w:val="18"/>
              </w:rPr>
            </w:pPr>
          </w:p>
        </w:tc>
        <w:tc>
          <w:tcPr>
            <w:tcW w:w="6805" w:type="dxa"/>
            <w:gridSpan w:val="5"/>
            <w:tcBorders>
              <w:left w:val="single" w:sz="18" w:space="0" w:color="5F497A" w:themeColor="accent4" w:themeShade="BF"/>
              <w:bottom w:val="single" w:sz="8" w:space="0" w:color="5F497A" w:themeColor="accent4" w:themeShade="BF"/>
              <w:right w:val="nil"/>
            </w:tcBorders>
            <w:shd w:val="clear" w:color="auto" w:fill="auto"/>
            <w:vAlign w:val="bottom"/>
          </w:tcPr>
          <w:p w14:paraId="6ABA6955" w14:textId="1EA60844" w:rsidR="00342DB4" w:rsidRPr="00A44829" w:rsidRDefault="00AD6B35" w:rsidP="008001AD">
            <w:pPr>
              <w:spacing w:before="40" w:after="20"/>
              <w:jc w:val="center"/>
              <w:rPr>
                <w:rFonts w:cs="Arial"/>
                <w:b/>
                <w:sz w:val="18"/>
                <w:szCs w:val="18"/>
              </w:rPr>
            </w:pPr>
            <w:r w:rsidRPr="00A44829">
              <w:rPr>
                <w:rFonts w:cs="Arial"/>
                <w:b/>
                <w:sz w:val="18"/>
                <w:szCs w:val="18"/>
              </w:rPr>
              <w:t xml:space="preserve">Financial Assistance Grants </w:t>
            </w:r>
            <w:r w:rsidR="00EE4593" w:rsidRPr="00A44829">
              <w:rPr>
                <w:rFonts w:cs="Arial"/>
                <w:b/>
                <w:sz w:val="18"/>
                <w:szCs w:val="18"/>
              </w:rPr>
              <w:t>2019-20</w:t>
            </w:r>
            <w:r w:rsidR="00057EFC" w:rsidRPr="00A44829">
              <w:rPr>
                <w:rFonts w:cs="Arial"/>
                <w:b/>
                <w:sz w:val="18"/>
                <w:szCs w:val="18"/>
              </w:rPr>
              <w:t xml:space="preserve"> </w:t>
            </w:r>
          </w:p>
        </w:tc>
      </w:tr>
      <w:tr w:rsidR="008641C1" w:rsidRPr="002A2397" w14:paraId="7214401E" w14:textId="77777777" w:rsidTr="00C60457">
        <w:trPr>
          <w:trHeight w:val="20"/>
          <w:tblHeader/>
        </w:trPr>
        <w:tc>
          <w:tcPr>
            <w:tcW w:w="2268" w:type="dxa"/>
            <w:tcBorders>
              <w:top w:val="nil"/>
              <w:left w:val="nil"/>
              <w:bottom w:val="nil"/>
              <w:right w:val="single" w:sz="18" w:space="0" w:color="5F497A" w:themeColor="accent4" w:themeShade="BF"/>
            </w:tcBorders>
            <w:shd w:val="clear" w:color="auto" w:fill="auto"/>
            <w:vAlign w:val="bottom"/>
          </w:tcPr>
          <w:p w14:paraId="076D5BE9" w14:textId="77777777" w:rsidR="008641C1" w:rsidRPr="00A44829" w:rsidRDefault="008641C1" w:rsidP="008001AD">
            <w:pPr>
              <w:spacing w:before="40" w:after="20"/>
              <w:jc w:val="center"/>
              <w:rPr>
                <w:rFonts w:cs="Arial"/>
                <w:sz w:val="18"/>
                <w:szCs w:val="18"/>
              </w:rPr>
            </w:pPr>
          </w:p>
        </w:tc>
        <w:tc>
          <w:tcPr>
            <w:tcW w:w="4083" w:type="dxa"/>
            <w:gridSpan w:val="3"/>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096BA555" w14:textId="6297E80D" w:rsidR="008641C1" w:rsidRPr="002A2397" w:rsidRDefault="008641C1" w:rsidP="008001AD">
            <w:pPr>
              <w:spacing w:before="40" w:after="20"/>
              <w:jc w:val="center"/>
              <w:rPr>
                <w:rFonts w:cs="Arial"/>
                <w:b/>
                <w:sz w:val="18"/>
                <w:szCs w:val="18"/>
              </w:rPr>
            </w:pPr>
            <w:r w:rsidRPr="002A2397">
              <w:rPr>
                <w:rFonts w:cs="Arial"/>
                <w:b/>
                <w:sz w:val="18"/>
                <w:szCs w:val="18"/>
              </w:rPr>
              <w:t>General Purpose Grants</w:t>
            </w:r>
            <w:r w:rsidR="00057EFC" w:rsidRPr="002A2397">
              <w:rPr>
                <w:rFonts w:cs="Arial"/>
                <w:b/>
                <w:sz w:val="18"/>
                <w:szCs w:val="18"/>
              </w:rPr>
              <w:t xml:space="preserve"> </w:t>
            </w:r>
          </w:p>
        </w:tc>
        <w:tc>
          <w:tcPr>
            <w:tcW w:w="1361"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01B25D63" w14:textId="7DFE4253" w:rsidR="008641C1" w:rsidRPr="002A2397" w:rsidRDefault="008641C1" w:rsidP="008001AD">
            <w:pPr>
              <w:spacing w:before="40" w:after="20"/>
              <w:jc w:val="center"/>
              <w:rPr>
                <w:rFonts w:cs="Arial"/>
                <w:b/>
                <w:sz w:val="18"/>
                <w:szCs w:val="18"/>
              </w:rPr>
            </w:pPr>
            <w:r w:rsidRPr="002A2397">
              <w:rPr>
                <w:rFonts w:cs="Arial"/>
                <w:b/>
                <w:sz w:val="18"/>
                <w:szCs w:val="18"/>
              </w:rPr>
              <w:t>Local Road</w:t>
            </w:r>
            <w:r w:rsidR="00C64712" w:rsidRPr="002A2397">
              <w:rPr>
                <w:rFonts w:cs="Arial"/>
                <w:b/>
                <w:sz w:val="18"/>
                <w:szCs w:val="18"/>
              </w:rPr>
              <w:t>s</w:t>
            </w:r>
            <w:r w:rsidRPr="002A2397">
              <w:rPr>
                <w:rFonts w:cs="Arial"/>
                <w:b/>
                <w:sz w:val="18"/>
                <w:szCs w:val="18"/>
              </w:rPr>
              <w:t xml:space="preserve"> </w:t>
            </w:r>
            <w:r w:rsidR="00057EFC" w:rsidRPr="002A2397">
              <w:rPr>
                <w:rFonts w:cs="Arial"/>
                <w:b/>
                <w:sz w:val="18"/>
                <w:szCs w:val="18"/>
              </w:rPr>
              <w:t>Grants</w:t>
            </w:r>
            <w:r w:rsidRPr="002A2397">
              <w:rPr>
                <w:rFonts w:cs="Arial"/>
                <w:b/>
                <w:sz w:val="18"/>
                <w:szCs w:val="18"/>
              </w:rPr>
              <w:t xml:space="preserve"> </w:t>
            </w:r>
            <w:r w:rsidRPr="002A2397">
              <w:rPr>
                <w:rFonts w:cs="Arial"/>
                <w:b/>
                <w:sz w:val="18"/>
                <w:szCs w:val="18"/>
              </w:rPr>
              <w:br/>
              <w:t>($)</w:t>
            </w:r>
          </w:p>
        </w:tc>
        <w:tc>
          <w:tcPr>
            <w:tcW w:w="1361"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32B55896" w14:textId="77777777" w:rsidR="008641C1" w:rsidRPr="002A2397" w:rsidRDefault="008641C1" w:rsidP="008001AD">
            <w:pPr>
              <w:spacing w:before="40" w:after="20"/>
              <w:jc w:val="center"/>
              <w:rPr>
                <w:rFonts w:cs="Arial"/>
                <w:b/>
                <w:sz w:val="18"/>
                <w:szCs w:val="18"/>
              </w:rPr>
            </w:pPr>
            <w:r w:rsidRPr="002A2397">
              <w:rPr>
                <w:rFonts w:cs="Arial"/>
                <w:b/>
                <w:sz w:val="18"/>
                <w:szCs w:val="18"/>
              </w:rPr>
              <w:t>Total</w:t>
            </w:r>
            <w:r w:rsidRPr="002A2397">
              <w:rPr>
                <w:rFonts w:cs="Arial"/>
                <w:b/>
                <w:sz w:val="18"/>
                <w:szCs w:val="18"/>
              </w:rPr>
              <w:br/>
              <w:t>($)</w:t>
            </w:r>
          </w:p>
        </w:tc>
      </w:tr>
      <w:tr w:rsidR="008641C1" w:rsidRPr="00A44829" w14:paraId="0EA2F00A" w14:textId="77777777" w:rsidTr="00C60457">
        <w:trPr>
          <w:trHeight w:val="20"/>
          <w:tblHeader/>
        </w:trPr>
        <w:tc>
          <w:tcPr>
            <w:tcW w:w="2268" w:type="dxa"/>
            <w:tcBorders>
              <w:top w:val="nil"/>
              <w:left w:val="nil"/>
              <w:right w:val="single" w:sz="18" w:space="0" w:color="5F497A" w:themeColor="accent4" w:themeShade="BF"/>
            </w:tcBorders>
            <w:shd w:val="clear" w:color="auto" w:fill="auto"/>
            <w:vAlign w:val="bottom"/>
          </w:tcPr>
          <w:p w14:paraId="0DECB6A3" w14:textId="77777777" w:rsidR="008641C1" w:rsidRPr="002A2397" w:rsidRDefault="008641C1" w:rsidP="008001AD">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4D2748E1" w14:textId="77777777" w:rsidR="008641C1" w:rsidRPr="002A2397" w:rsidRDefault="008641C1" w:rsidP="008001AD">
            <w:pPr>
              <w:spacing w:before="40" w:after="20"/>
              <w:jc w:val="center"/>
              <w:rPr>
                <w:rFonts w:cs="Arial"/>
                <w:sz w:val="16"/>
                <w:szCs w:val="16"/>
              </w:rPr>
            </w:pPr>
            <w:r w:rsidRPr="002A2397">
              <w:rPr>
                <w:rFonts w:cs="Arial"/>
                <w:sz w:val="16"/>
                <w:szCs w:val="16"/>
              </w:rPr>
              <w:t xml:space="preserve">Equalisation Grant </w:t>
            </w:r>
            <w:r w:rsidRPr="002A2397">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7723CC62" w14:textId="6F2A3F76" w:rsidR="008641C1" w:rsidRPr="002A2397" w:rsidRDefault="00142B2C" w:rsidP="008001AD">
            <w:pPr>
              <w:spacing w:before="40" w:after="20"/>
              <w:jc w:val="center"/>
              <w:rPr>
                <w:rFonts w:cs="Arial"/>
                <w:sz w:val="16"/>
                <w:szCs w:val="16"/>
              </w:rPr>
            </w:pPr>
            <w:r w:rsidRPr="002A2397">
              <w:rPr>
                <w:rFonts w:cs="Arial"/>
                <w:sz w:val="16"/>
                <w:szCs w:val="16"/>
              </w:rPr>
              <w:t>Natural</w:t>
            </w:r>
            <w:r w:rsidR="008641C1" w:rsidRPr="002A2397">
              <w:rPr>
                <w:rFonts w:cs="Arial"/>
                <w:sz w:val="16"/>
                <w:szCs w:val="16"/>
              </w:rPr>
              <w:t xml:space="preserve"> Disaster </w:t>
            </w:r>
            <w:r w:rsidR="008641C1" w:rsidRPr="002A2397">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3364B3FA" w14:textId="77777777" w:rsidR="008641C1" w:rsidRPr="00A44829" w:rsidRDefault="008641C1" w:rsidP="008001AD">
            <w:pPr>
              <w:spacing w:before="40" w:after="20"/>
              <w:jc w:val="center"/>
              <w:rPr>
                <w:rFonts w:cs="Arial"/>
                <w:sz w:val="16"/>
                <w:szCs w:val="16"/>
              </w:rPr>
            </w:pPr>
            <w:r w:rsidRPr="002A2397">
              <w:rPr>
                <w:rFonts w:cs="Arial"/>
                <w:sz w:val="16"/>
                <w:szCs w:val="16"/>
              </w:rPr>
              <w:t xml:space="preserve">Total </w:t>
            </w:r>
            <w:r w:rsidRPr="002A2397">
              <w:rPr>
                <w:rFonts w:cs="Arial"/>
                <w:sz w:val="16"/>
                <w:szCs w:val="16"/>
              </w:rPr>
              <w:br/>
              <w:t>($)</w:t>
            </w:r>
          </w:p>
        </w:tc>
        <w:tc>
          <w:tcPr>
            <w:tcW w:w="1361" w:type="dxa"/>
            <w:vMerge/>
            <w:tcBorders>
              <w:top w:val="single" w:sz="8" w:space="0" w:color="5F497A" w:themeColor="accent4" w:themeShade="BF"/>
              <w:bottom w:val="single" w:sz="8" w:space="0" w:color="5F497A" w:themeColor="accent4" w:themeShade="BF"/>
            </w:tcBorders>
            <w:shd w:val="clear" w:color="auto" w:fill="auto"/>
            <w:vAlign w:val="bottom"/>
          </w:tcPr>
          <w:p w14:paraId="395958B6" w14:textId="77777777" w:rsidR="008641C1" w:rsidRPr="00A44829" w:rsidRDefault="008641C1" w:rsidP="008001AD">
            <w:pPr>
              <w:spacing w:before="40" w:after="20"/>
              <w:jc w:val="center"/>
              <w:rPr>
                <w:rFonts w:cs="Arial"/>
                <w:b/>
                <w:sz w:val="18"/>
                <w:szCs w:val="18"/>
              </w:rPr>
            </w:pPr>
          </w:p>
        </w:tc>
        <w:tc>
          <w:tcPr>
            <w:tcW w:w="1361" w:type="dxa"/>
            <w:vMerge/>
            <w:tcBorders>
              <w:top w:val="single" w:sz="8" w:space="0" w:color="5F497A" w:themeColor="accent4" w:themeShade="BF"/>
              <w:bottom w:val="single" w:sz="8" w:space="0" w:color="5F497A" w:themeColor="accent4" w:themeShade="BF"/>
              <w:right w:val="nil"/>
            </w:tcBorders>
            <w:shd w:val="clear" w:color="auto" w:fill="auto"/>
            <w:vAlign w:val="bottom"/>
          </w:tcPr>
          <w:p w14:paraId="33ACFE42" w14:textId="77777777" w:rsidR="008641C1" w:rsidRPr="00A44829" w:rsidRDefault="008641C1" w:rsidP="008001AD">
            <w:pPr>
              <w:spacing w:before="40" w:after="20"/>
              <w:jc w:val="center"/>
              <w:rPr>
                <w:rFonts w:cs="Arial"/>
                <w:b/>
                <w:sz w:val="18"/>
                <w:szCs w:val="18"/>
              </w:rPr>
            </w:pPr>
          </w:p>
        </w:tc>
      </w:tr>
      <w:tr w:rsidR="00A66703" w:rsidRPr="001D41EA" w14:paraId="54D2A8DA" w14:textId="77777777" w:rsidTr="00C60457">
        <w:trPr>
          <w:trHeight w:val="240"/>
          <w:tblHeader/>
        </w:trPr>
        <w:tc>
          <w:tcPr>
            <w:tcW w:w="2268" w:type="dxa"/>
            <w:tcBorders>
              <w:left w:val="nil"/>
              <w:bottom w:val="nil"/>
              <w:right w:val="single" w:sz="18" w:space="0" w:color="5F497A" w:themeColor="accent4" w:themeShade="BF"/>
            </w:tcBorders>
            <w:shd w:val="clear" w:color="auto" w:fill="auto"/>
            <w:vAlign w:val="center"/>
          </w:tcPr>
          <w:p w14:paraId="1BDF5CBE" w14:textId="77777777" w:rsidR="00A66703" w:rsidRPr="001D41EA" w:rsidRDefault="00A66703" w:rsidP="001D41EA">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62F5A5D6" w14:textId="7CD5D1CA" w:rsidR="00A66703" w:rsidRPr="001D41EA" w:rsidRDefault="00A66703" w:rsidP="001D41EA">
            <w:pPr>
              <w:spacing w:before="40" w:after="2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04E7E128" w14:textId="77777777" w:rsidR="00A66703" w:rsidRPr="001D41EA" w:rsidRDefault="00A66703" w:rsidP="001D41EA">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4EB569E9" w14:textId="31DE3236" w:rsidR="00A66703" w:rsidRPr="001D41EA" w:rsidRDefault="00A66703" w:rsidP="001D41EA">
            <w:pPr>
              <w:spacing w:before="40" w:after="2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20ACFA32" w14:textId="343916F6" w:rsidR="00A66703" w:rsidRPr="001D41EA" w:rsidRDefault="00A66703" w:rsidP="001D41EA">
            <w:pPr>
              <w:spacing w:before="40" w:after="2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27070EE2" w14:textId="0D32B0F0" w:rsidR="00A66703" w:rsidRPr="001D41EA" w:rsidRDefault="00A66703" w:rsidP="001D41EA">
            <w:pPr>
              <w:spacing w:before="40" w:after="20"/>
              <w:jc w:val="right"/>
              <w:rPr>
                <w:rFonts w:cs="Arial"/>
                <w:b/>
                <w:sz w:val="18"/>
                <w:szCs w:val="18"/>
              </w:rPr>
            </w:pPr>
            <w:r w:rsidRPr="001D41EA">
              <w:rPr>
                <w:rFonts w:cs="Arial"/>
                <w:b/>
                <w:sz w:val="18"/>
                <w:szCs w:val="18"/>
              </w:rPr>
              <w:t> </w:t>
            </w:r>
          </w:p>
        </w:tc>
      </w:tr>
      <w:tr w:rsidR="00A66703" w:rsidRPr="001D41EA" w14:paraId="4AF9143D"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30A4883D" w14:textId="77777777" w:rsidR="00A66703" w:rsidRPr="001D41EA" w:rsidRDefault="00A66703" w:rsidP="001D41EA">
            <w:pPr>
              <w:spacing w:before="40" w:after="20"/>
              <w:rPr>
                <w:rFonts w:cs="Arial"/>
                <w:sz w:val="18"/>
                <w:szCs w:val="18"/>
              </w:rPr>
            </w:pPr>
            <w:r w:rsidRPr="001D41EA">
              <w:rPr>
                <w:rFonts w:cs="Arial"/>
                <w:sz w:val="18"/>
                <w:szCs w:val="18"/>
              </w:rPr>
              <w:t>Macedon Ranges S</w:t>
            </w:r>
          </w:p>
        </w:tc>
        <w:tc>
          <w:tcPr>
            <w:tcW w:w="1361" w:type="dxa"/>
            <w:tcBorders>
              <w:top w:val="nil"/>
              <w:left w:val="single" w:sz="18" w:space="0" w:color="5F497A" w:themeColor="accent4" w:themeShade="BF"/>
              <w:bottom w:val="nil"/>
              <w:right w:val="nil"/>
            </w:tcBorders>
            <w:shd w:val="clear" w:color="auto" w:fill="auto"/>
            <w:vAlign w:val="bottom"/>
          </w:tcPr>
          <w:p w14:paraId="330B6C38" w14:textId="6CBAAB4B" w:rsidR="00A66703" w:rsidRPr="001D41EA" w:rsidRDefault="00A66703" w:rsidP="001D41EA">
            <w:pPr>
              <w:spacing w:before="40" w:after="20"/>
              <w:jc w:val="right"/>
              <w:rPr>
                <w:rFonts w:cs="Arial"/>
                <w:sz w:val="18"/>
                <w:szCs w:val="18"/>
              </w:rPr>
            </w:pPr>
            <w:r w:rsidRPr="001D41EA">
              <w:rPr>
                <w:rFonts w:cs="Arial"/>
                <w:sz w:val="18"/>
                <w:szCs w:val="18"/>
              </w:rPr>
              <w:t>5,683,986</w:t>
            </w:r>
          </w:p>
        </w:tc>
        <w:tc>
          <w:tcPr>
            <w:tcW w:w="1361" w:type="dxa"/>
            <w:tcBorders>
              <w:top w:val="nil"/>
              <w:left w:val="nil"/>
              <w:bottom w:val="nil"/>
              <w:right w:val="nil"/>
            </w:tcBorders>
            <w:shd w:val="clear" w:color="auto" w:fill="auto"/>
            <w:vAlign w:val="bottom"/>
          </w:tcPr>
          <w:p w14:paraId="584374F0" w14:textId="504A60B8" w:rsidR="00A66703" w:rsidRPr="001D41EA" w:rsidRDefault="00A66703" w:rsidP="001D41EA">
            <w:pPr>
              <w:spacing w:before="40" w:after="20"/>
              <w:jc w:val="right"/>
              <w:rPr>
                <w:rFonts w:cs="Arial"/>
                <w:sz w:val="18"/>
                <w:szCs w:val="18"/>
              </w:rPr>
            </w:pPr>
            <w:r w:rsidRPr="001D41EA">
              <w:rPr>
                <w:rFonts w:cs="Arial"/>
                <w:sz w:val="18"/>
                <w:szCs w:val="18"/>
              </w:rPr>
              <w:t>62,237</w:t>
            </w:r>
          </w:p>
        </w:tc>
        <w:tc>
          <w:tcPr>
            <w:tcW w:w="1361" w:type="dxa"/>
            <w:tcBorders>
              <w:top w:val="nil"/>
              <w:left w:val="nil"/>
              <w:bottom w:val="nil"/>
              <w:right w:val="nil"/>
            </w:tcBorders>
            <w:shd w:val="clear" w:color="auto" w:fill="auto"/>
            <w:vAlign w:val="bottom"/>
          </w:tcPr>
          <w:p w14:paraId="2EE9F7CD" w14:textId="506D5214" w:rsidR="00A66703" w:rsidRPr="001D41EA" w:rsidRDefault="00A66703" w:rsidP="001D41EA">
            <w:pPr>
              <w:spacing w:before="40" w:after="20"/>
              <w:jc w:val="right"/>
              <w:rPr>
                <w:rFonts w:cs="Arial"/>
                <w:sz w:val="18"/>
                <w:szCs w:val="18"/>
              </w:rPr>
            </w:pPr>
            <w:r w:rsidRPr="001D41EA">
              <w:rPr>
                <w:rFonts w:cs="Arial"/>
                <w:sz w:val="18"/>
                <w:szCs w:val="18"/>
              </w:rPr>
              <w:t>5,746,223</w:t>
            </w:r>
          </w:p>
        </w:tc>
        <w:tc>
          <w:tcPr>
            <w:tcW w:w="1361" w:type="dxa"/>
            <w:tcBorders>
              <w:top w:val="nil"/>
              <w:left w:val="nil"/>
              <w:bottom w:val="nil"/>
              <w:right w:val="nil"/>
            </w:tcBorders>
            <w:shd w:val="clear" w:color="auto" w:fill="auto"/>
            <w:vAlign w:val="bottom"/>
          </w:tcPr>
          <w:p w14:paraId="60D43A6E" w14:textId="0CF29DF0" w:rsidR="00A66703" w:rsidRPr="001D41EA" w:rsidRDefault="00A66703" w:rsidP="001D41EA">
            <w:pPr>
              <w:spacing w:before="40" w:after="20"/>
              <w:jc w:val="right"/>
              <w:rPr>
                <w:rFonts w:cs="Arial"/>
                <w:sz w:val="18"/>
                <w:szCs w:val="18"/>
              </w:rPr>
            </w:pPr>
            <w:r w:rsidRPr="001D41EA">
              <w:rPr>
                <w:rFonts w:cs="Arial"/>
                <w:sz w:val="18"/>
                <w:szCs w:val="18"/>
              </w:rPr>
              <w:t>2,376,351</w:t>
            </w:r>
          </w:p>
        </w:tc>
        <w:tc>
          <w:tcPr>
            <w:tcW w:w="1361" w:type="dxa"/>
            <w:tcBorders>
              <w:top w:val="nil"/>
              <w:left w:val="nil"/>
              <w:bottom w:val="nil"/>
              <w:right w:val="nil"/>
            </w:tcBorders>
            <w:shd w:val="clear" w:color="auto" w:fill="auto"/>
            <w:vAlign w:val="bottom"/>
          </w:tcPr>
          <w:p w14:paraId="48D26853" w14:textId="52A1BD67" w:rsidR="00A66703" w:rsidRPr="001D41EA" w:rsidRDefault="00A66703" w:rsidP="001D41EA">
            <w:pPr>
              <w:spacing w:before="40" w:after="20"/>
              <w:jc w:val="right"/>
              <w:rPr>
                <w:rFonts w:cs="Arial"/>
                <w:b/>
                <w:sz w:val="18"/>
                <w:szCs w:val="18"/>
              </w:rPr>
            </w:pPr>
            <w:r w:rsidRPr="001D41EA">
              <w:rPr>
                <w:rFonts w:cs="Arial"/>
                <w:b/>
                <w:sz w:val="18"/>
                <w:szCs w:val="18"/>
              </w:rPr>
              <w:t>8,122,574</w:t>
            </w:r>
          </w:p>
        </w:tc>
      </w:tr>
      <w:tr w:rsidR="00A66703" w:rsidRPr="001D41EA" w14:paraId="5934C53B"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08A4B11" w14:textId="77777777" w:rsidR="00A66703" w:rsidRPr="001D41EA" w:rsidRDefault="00A66703" w:rsidP="001D41EA">
            <w:pPr>
              <w:spacing w:before="40" w:after="20"/>
              <w:rPr>
                <w:rFonts w:cs="Arial"/>
                <w:sz w:val="18"/>
                <w:szCs w:val="18"/>
              </w:rPr>
            </w:pPr>
            <w:r w:rsidRPr="001D41EA">
              <w:rPr>
                <w:rFonts w:cs="Arial"/>
                <w:sz w:val="18"/>
                <w:szCs w:val="18"/>
              </w:rPr>
              <w:t>Manningham C</w:t>
            </w:r>
          </w:p>
        </w:tc>
        <w:tc>
          <w:tcPr>
            <w:tcW w:w="1361" w:type="dxa"/>
            <w:tcBorders>
              <w:top w:val="nil"/>
              <w:left w:val="single" w:sz="18" w:space="0" w:color="5F497A" w:themeColor="accent4" w:themeShade="BF"/>
              <w:bottom w:val="nil"/>
              <w:right w:val="nil"/>
            </w:tcBorders>
            <w:shd w:val="clear" w:color="auto" w:fill="auto"/>
            <w:vAlign w:val="bottom"/>
          </w:tcPr>
          <w:p w14:paraId="646E9C06" w14:textId="21EC019F" w:rsidR="00A66703" w:rsidRPr="001D41EA" w:rsidRDefault="00A66703" w:rsidP="001D41EA">
            <w:pPr>
              <w:spacing w:before="40" w:after="20"/>
              <w:jc w:val="right"/>
              <w:rPr>
                <w:rFonts w:cs="Arial"/>
                <w:sz w:val="18"/>
                <w:szCs w:val="18"/>
              </w:rPr>
            </w:pPr>
            <w:r w:rsidRPr="001D41EA">
              <w:rPr>
                <w:rFonts w:cs="Arial"/>
                <w:sz w:val="18"/>
                <w:szCs w:val="18"/>
              </w:rPr>
              <w:t>2,655,117</w:t>
            </w:r>
          </w:p>
        </w:tc>
        <w:tc>
          <w:tcPr>
            <w:tcW w:w="1361" w:type="dxa"/>
            <w:tcBorders>
              <w:top w:val="nil"/>
              <w:left w:val="nil"/>
              <w:bottom w:val="nil"/>
              <w:right w:val="nil"/>
            </w:tcBorders>
            <w:shd w:val="clear" w:color="auto" w:fill="auto"/>
            <w:vAlign w:val="bottom"/>
          </w:tcPr>
          <w:p w14:paraId="02646BA6"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1826E22" w14:textId="7606E522" w:rsidR="00A66703" w:rsidRPr="001D41EA" w:rsidRDefault="00A66703" w:rsidP="001D41EA">
            <w:pPr>
              <w:spacing w:before="40" w:after="20"/>
              <w:jc w:val="right"/>
              <w:rPr>
                <w:rFonts w:cs="Arial"/>
                <w:sz w:val="18"/>
                <w:szCs w:val="18"/>
              </w:rPr>
            </w:pPr>
            <w:r w:rsidRPr="001D41EA">
              <w:rPr>
                <w:rFonts w:cs="Arial"/>
                <w:sz w:val="18"/>
                <w:szCs w:val="18"/>
              </w:rPr>
              <w:t>2,655,117</w:t>
            </w:r>
          </w:p>
        </w:tc>
        <w:tc>
          <w:tcPr>
            <w:tcW w:w="1361" w:type="dxa"/>
            <w:tcBorders>
              <w:top w:val="nil"/>
              <w:left w:val="nil"/>
              <w:bottom w:val="nil"/>
              <w:right w:val="nil"/>
            </w:tcBorders>
            <w:shd w:val="clear" w:color="auto" w:fill="auto"/>
            <w:vAlign w:val="bottom"/>
          </w:tcPr>
          <w:p w14:paraId="63C7FC59" w14:textId="01914849" w:rsidR="00A66703" w:rsidRPr="001D41EA" w:rsidRDefault="00A66703" w:rsidP="001D41EA">
            <w:pPr>
              <w:spacing w:before="40" w:after="20"/>
              <w:jc w:val="right"/>
              <w:rPr>
                <w:rFonts w:cs="Arial"/>
                <w:sz w:val="18"/>
                <w:szCs w:val="18"/>
              </w:rPr>
            </w:pPr>
            <w:r w:rsidRPr="001D41EA">
              <w:rPr>
                <w:rFonts w:cs="Arial"/>
                <w:sz w:val="18"/>
                <w:szCs w:val="18"/>
              </w:rPr>
              <w:t>851,270</w:t>
            </w:r>
          </w:p>
        </w:tc>
        <w:tc>
          <w:tcPr>
            <w:tcW w:w="1361" w:type="dxa"/>
            <w:tcBorders>
              <w:top w:val="nil"/>
              <w:left w:val="nil"/>
              <w:bottom w:val="nil"/>
              <w:right w:val="nil"/>
            </w:tcBorders>
            <w:shd w:val="clear" w:color="auto" w:fill="auto"/>
            <w:vAlign w:val="bottom"/>
          </w:tcPr>
          <w:p w14:paraId="0A28C5B1" w14:textId="3D8EC09B" w:rsidR="00A66703" w:rsidRPr="001D41EA" w:rsidRDefault="00A66703" w:rsidP="001D41EA">
            <w:pPr>
              <w:spacing w:before="40" w:after="20"/>
              <w:jc w:val="right"/>
              <w:rPr>
                <w:rFonts w:cs="Arial"/>
                <w:b/>
                <w:sz w:val="18"/>
                <w:szCs w:val="18"/>
              </w:rPr>
            </w:pPr>
            <w:r w:rsidRPr="001D41EA">
              <w:rPr>
                <w:rFonts w:cs="Arial"/>
                <w:b/>
                <w:sz w:val="18"/>
                <w:szCs w:val="18"/>
              </w:rPr>
              <w:t>3,506,387</w:t>
            </w:r>
          </w:p>
        </w:tc>
      </w:tr>
      <w:tr w:rsidR="00A66703" w:rsidRPr="001D41EA" w14:paraId="05D03C6D"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87F4F89" w14:textId="77777777" w:rsidR="00A66703" w:rsidRPr="001D41EA" w:rsidRDefault="00A66703" w:rsidP="001D41EA">
            <w:pPr>
              <w:spacing w:before="40" w:after="20"/>
              <w:rPr>
                <w:rFonts w:cs="Arial"/>
                <w:sz w:val="18"/>
                <w:szCs w:val="18"/>
              </w:rPr>
            </w:pPr>
            <w:r w:rsidRPr="001D41EA">
              <w:rPr>
                <w:rFonts w:cs="Arial"/>
                <w:sz w:val="18"/>
                <w:szCs w:val="18"/>
              </w:rPr>
              <w:t>Mansfield S</w:t>
            </w:r>
          </w:p>
        </w:tc>
        <w:tc>
          <w:tcPr>
            <w:tcW w:w="1361" w:type="dxa"/>
            <w:tcBorders>
              <w:top w:val="nil"/>
              <w:left w:val="single" w:sz="18" w:space="0" w:color="5F497A" w:themeColor="accent4" w:themeShade="BF"/>
              <w:bottom w:val="nil"/>
              <w:right w:val="nil"/>
            </w:tcBorders>
            <w:shd w:val="clear" w:color="auto" w:fill="auto"/>
            <w:vAlign w:val="bottom"/>
          </w:tcPr>
          <w:p w14:paraId="271B1236" w14:textId="287FDAF8" w:rsidR="00A66703" w:rsidRPr="001D41EA" w:rsidRDefault="00A66703" w:rsidP="001D41EA">
            <w:pPr>
              <w:spacing w:before="40" w:after="20"/>
              <w:jc w:val="right"/>
              <w:rPr>
                <w:rFonts w:cs="Arial"/>
                <w:sz w:val="18"/>
                <w:szCs w:val="18"/>
              </w:rPr>
            </w:pPr>
            <w:r w:rsidRPr="001D41EA">
              <w:rPr>
                <w:rFonts w:cs="Arial"/>
                <w:sz w:val="18"/>
                <w:szCs w:val="18"/>
              </w:rPr>
              <w:t>2,245,626</w:t>
            </w:r>
          </w:p>
        </w:tc>
        <w:tc>
          <w:tcPr>
            <w:tcW w:w="1361" w:type="dxa"/>
            <w:tcBorders>
              <w:top w:val="nil"/>
              <w:left w:val="nil"/>
              <w:bottom w:val="nil"/>
              <w:right w:val="nil"/>
            </w:tcBorders>
            <w:shd w:val="clear" w:color="auto" w:fill="auto"/>
            <w:vAlign w:val="bottom"/>
          </w:tcPr>
          <w:p w14:paraId="54967A7B"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BE5AADC" w14:textId="4C00272C" w:rsidR="00A66703" w:rsidRPr="001D41EA" w:rsidRDefault="00A66703" w:rsidP="001D41EA">
            <w:pPr>
              <w:spacing w:before="40" w:after="20"/>
              <w:jc w:val="right"/>
              <w:rPr>
                <w:rFonts w:cs="Arial"/>
                <w:sz w:val="18"/>
                <w:szCs w:val="18"/>
              </w:rPr>
            </w:pPr>
            <w:r w:rsidRPr="001D41EA">
              <w:rPr>
                <w:rFonts w:cs="Arial"/>
                <w:sz w:val="18"/>
                <w:szCs w:val="18"/>
              </w:rPr>
              <w:t>2,245,626</w:t>
            </w:r>
          </w:p>
        </w:tc>
        <w:tc>
          <w:tcPr>
            <w:tcW w:w="1361" w:type="dxa"/>
            <w:tcBorders>
              <w:top w:val="nil"/>
              <w:left w:val="nil"/>
              <w:bottom w:val="nil"/>
              <w:right w:val="nil"/>
            </w:tcBorders>
            <w:shd w:val="clear" w:color="auto" w:fill="auto"/>
            <w:vAlign w:val="bottom"/>
          </w:tcPr>
          <w:p w14:paraId="24D87C29" w14:textId="3CEB9CF9" w:rsidR="00A66703" w:rsidRPr="001D41EA" w:rsidRDefault="00A66703" w:rsidP="001D41EA">
            <w:pPr>
              <w:spacing w:before="40" w:after="20"/>
              <w:jc w:val="right"/>
              <w:rPr>
                <w:rFonts w:cs="Arial"/>
                <w:sz w:val="18"/>
                <w:szCs w:val="18"/>
              </w:rPr>
            </w:pPr>
            <w:r w:rsidRPr="001D41EA">
              <w:rPr>
                <w:rFonts w:cs="Arial"/>
                <w:sz w:val="18"/>
                <w:szCs w:val="18"/>
              </w:rPr>
              <w:t>933,731</w:t>
            </w:r>
          </w:p>
        </w:tc>
        <w:tc>
          <w:tcPr>
            <w:tcW w:w="1361" w:type="dxa"/>
            <w:tcBorders>
              <w:top w:val="nil"/>
              <w:left w:val="nil"/>
              <w:bottom w:val="nil"/>
              <w:right w:val="nil"/>
            </w:tcBorders>
            <w:shd w:val="clear" w:color="auto" w:fill="auto"/>
            <w:vAlign w:val="bottom"/>
          </w:tcPr>
          <w:p w14:paraId="201FFA40" w14:textId="35F1DC11" w:rsidR="00A66703" w:rsidRPr="001D41EA" w:rsidRDefault="00A66703" w:rsidP="001D41EA">
            <w:pPr>
              <w:spacing w:before="40" w:after="20"/>
              <w:jc w:val="right"/>
              <w:rPr>
                <w:rFonts w:cs="Arial"/>
                <w:b/>
                <w:sz w:val="18"/>
                <w:szCs w:val="18"/>
              </w:rPr>
            </w:pPr>
            <w:r w:rsidRPr="001D41EA">
              <w:rPr>
                <w:rFonts w:cs="Arial"/>
                <w:b/>
                <w:sz w:val="18"/>
                <w:szCs w:val="18"/>
              </w:rPr>
              <w:t>3,179,357</w:t>
            </w:r>
          </w:p>
        </w:tc>
      </w:tr>
      <w:tr w:rsidR="00A66703" w:rsidRPr="001D41EA" w14:paraId="3AC98915"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0AAC68A" w14:textId="77777777" w:rsidR="00A66703" w:rsidRPr="001D41EA" w:rsidRDefault="00A66703" w:rsidP="001D41EA">
            <w:pPr>
              <w:spacing w:before="40" w:after="20"/>
              <w:rPr>
                <w:rFonts w:cs="Arial"/>
                <w:sz w:val="18"/>
                <w:szCs w:val="18"/>
              </w:rPr>
            </w:pPr>
            <w:r w:rsidRPr="001D41EA">
              <w:rPr>
                <w:rFonts w:cs="Arial"/>
                <w:sz w:val="18"/>
                <w:szCs w:val="18"/>
              </w:rPr>
              <w:t>Maribyrnong C</w:t>
            </w:r>
          </w:p>
        </w:tc>
        <w:tc>
          <w:tcPr>
            <w:tcW w:w="1361" w:type="dxa"/>
            <w:tcBorders>
              <w:top w:val="nil"/>
              <w:left w:val="single" w:sz="18" w:space="0" w:color="5F497A" w:themeColor="accent4" w:themeShade="BF"/>
              <w:bottom w:val="nil"/>
              <w:right w:val="nil"/>
            </w:tcBorders>
            <w:shd w:val="clear" w:color="auto" w:fill="auto"/>
            <w:vAlign w:val="bottom"/>
          </w:tcPr>
          <w:p w14:paraId="528F64AA" w14:textId="1A944953" w:rsidR="00A66703" w:rsidRPr="001D41EA" w:rsidRDefault="00A66703" w:rsidP="001D41EA">
            <w:pPr>
              <w:spacing w:before="40" w:after="20"/>
              <w:jc w:val="right"/>
              <w:rPr>
                <w:rFonts w:cs="Arial"/>
                <w:sz w:val="18"/>
                <w:szCs w:val="18"/>
              </w:rPr>
            </w:pPr>
            <w:r w:rsidRPr="001D41EA">
              <w:rPr>
                <w:rFonts w:cs="Arial"/>
                <w:sz w:val="18"/>
                <w:szCs w:val="18"/>
              </w:rPr>
              <w:t>2,179,302</w:t>
            </w:r>
          </w:p>
        </w:tc>
        <w:tc>
          <w:tcPr>
            <w:tcW w:w="1361" w:type="dxa"/>
            <w:tcBorders>
              <w:top w:val="nil"/>
              <w:left w:val="nil"/>
              <w:bottom w:val="nil"/>
              <w:right w:val="nil"/>
            </w:tcBorders>
            <w:shd w:val="clear" w:color="auto" w:fill="auto"/>
            <w:vAlign w:val="bottom"/>
          </w:tcPr>
          <w:p w14:paraId="6215A100"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2CE75A2" w14:textId="45CDC420" w:rsidR="00A66703" w:rsidRPr="001D41EA" w:rsidRDefault="00A66703" w:rsidP="001D41EA">
            <w:pPr>
              <w:spacing w:before="40" w:after="20"/>
              <w:jc w:val="right"/>
              <w:rPr>
                <w:rFonts w:cs="Arial"/>
                <w:sz w:val="18"/>
                <w:szCs w:val="18"/>
              </w:rPr>
            </w:pPr>
            <w:r w:rsidRPr="001D41EA">
              <w:rPr>
                <w:rFonts w:cs="Arial"/>
                <w:sz w:val="18"/>
                <w:szCs w:val="18"/>
              </w:rPr>
              <w:t>2,179,302</w:t>
            </w:r>
          </w:p>
        </w:tc>
        <w:tc>
          <w:tcPr>
            <w:tcW w:w="1361" w:type="dxa"/>
            <w:tcBorders>
              <w:top w:val="nil"/>
              <w:left w:val="nil"/>
              <w:bottom w:val="nil"/>
              <w:right w:val="nil"/>
            </w:tcBorders>
            <w:shd w:val="clear" w:color="auto" w:fill="auto"/>
            <w:vAlign w:val="bottom"/>
          </w:tcPr>
          <w:p w14:paraId="7583B29F" w14:textId="01E9EAB4" w:rsidR="00A66703" w:rsidRPr="001D41EA" w:rsidRDefault="00A66703" w:rsidP="001D41EA">
            <w:pPr>
              <w:spacing w:before="40" w:after="20"/>
              <w:jc w:val="right"/>
              <w:rPr>
                <w:rFonts w:cs="Arial"/>
                <w:sz w:val="18"/>
                <w:szCs w:val="18"/>
              </w:rPr>
            </w:pPr>
            <w:r w:rsidRPr="001D41EA">
              <w:rPr>
                <w:rFonts w:cs="Arial"/>
                <w:sz w:val="18"/>
                <w:szCs w:val="18"/>
              </w:rPr>
              <w:t>602,315</w:t>
            </w:r>
          </w:p>
        </w:tc>
        <w:tc>
          <w:tcPr>
            <w:tcW w:w="1361" w:type="dxa"/>
            <w:tcBorders>
              <w:top w:val="nil"/>
              <w:left w:val="nil"/>
              <w:bottom w:val="nil"/>
              <w:right w:val="nil"/>
            </w:tcBorders>
            <w:shd w:val="clear" w:color="auto" w:fill="auto"/>
            <w:vAlign w:val="bottom"/>
          </w:tcPr>
          <w:p w14:paraId="586877D2" w14:textId="05DD9E29" w:rsidR="00A66703" w:rsidRPr="001D41EA" w:rsidRDefault="00A66703" w:rsidP="001D41EA">
            <w:pPr>
              <w:spacing w:before="40" w:after="20"/>
              <w:jc w:val="right"/>
              <w:rPr>
                <w:rFonts w:cs="Arial"/>
                <w:b/>
                <w:sz w:val="18"/>
                <w:szCs w:val="18"/>
              </w:rPr>
            </w:pPr>
            <w:r w:rsidRPr="001D41EA">
              <w:rPr>
                <w:rFonts w:cs="Arial"/>
                <w:b/>
                <w:sz w:val="18"/>
                <w:szCs w:val="18"/>
              </w:rPr>
              <w:t>2,781,617</w:t>
            </w:r>
          </w:p>
        </w:tc>
      </w:tr>
      <w:tr w:rsidR="00A66703" w:rsidRPr="001D41EA" w14:paraId="69D016AB"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09CC3A4" w14:textId="77777777" w:rsidR="00A66703" w:rsidRPr="001D41EA" w:rsidRDefault="00A66703" w:rsidP="001D41EA">
            <w:pPr>
              <w:spacing w:before="40" w:after="20"/>
              <w:rPr>
                <w:rFonts w:cs="Arial"/>
                <w:sz w:val="18"/>
                <w:szCs w:val="18"/>
              </w:rPr>
            </w:pPr>
            <w:r w:rsidRPr="001D41EA">
              <w:rPr>
                <w:rFonts w:cs="Arial"/>
                <w:sz w:val="18"/>
                <w:szCs w:val="18"/>
              </w:rPr>
              <w:t>Maroondah C</w:t>
            </w:r>
          </w:p>
        </w:tc>
        <w:tc>
          <w:tcPr>
            <w:tcW w:w="1361" w:type="dxa"/>
            <w:tcBorders>
              <w:top w:val="nil"/>
              <w:left w:val="single" w:sz="18" w:space="0" w:color="5F497A" w:themeColor="accent4" w:themeShade="BF"/>
              <w:bottom w:val="nil"/>
              <w:right w:val="nil"/>
            </w:tcBorders>
            <w:shd w:val="clear" w:color="auto" w:fill="auto"/>
            <w:vAlign w:val="bottom"/>
          </w:tcPr>
          <w:p w14:paraId="790A62AF" w14:textId="2209492A" w:rsidR="00A66703" w:rsidRPr="001D41EA" w:rsidRDefault="00A66703" w:rsidP="001D41EA">
            <w:pPr>
              <w:spacing w:before="40" w:after="20"/>
              <w:jc w:val="right"/>
              <w:rPr>
                <w:rFonts w:cs="Arial"/>
                <w:sz w:val="18"/>
                <w:szCs w:val="18"/>
              </w:rPr>
            </w:pPr>
            <w:r w:rsidRPr="001D41EA">
              <w:rPr>
                <w:rFonts w:cs="Arial"/>
                <w:sz w:val="18"/>
                <w:szCs w:val="18"/>
              </w:rPr>
              <w:t>4,103,053</w:t>
            </w:r>
          </w:p>
        </w:tc>
        <w:tc>
          <w:tcPr>
            <w:tcW w:w="1361" w:type="dxa"/>
            <w:tcBorders>
              <w:top w:val="nil"/>
              <w:left w:val="nil"/>
              <w:bottom w:val="nil"/>
              <w:right w:val="nil"/>
            </w:tcBorders>
            <w:shd w:val="clear" w:color="auto" w:fill="auto"/>
            <w:vAlign w:val="bottom"/>
          </w:tcPr>
          <w:p w14:paraId="1E78DA4C"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D5B5FDE" w14:textId="5948988E" w:rsidR="00A66703" w:rsidRPr="001D41EA" w:rsidRDefault="00A66703" w:rsidP="001D41EA">
            <w:pPr>
              <w:spacing w:before="40" w:after="20"/>
              <w:jc w:val="right"/>
              <w:rPr>
                <w:rFonts w:cs="Arial"/>
                <w:sz w:val="18"/>
                <w:szCs w:val="18"/>
              </w:rPr>
            </w:pPr>
            <w:r w:rsidRPr="001D41EA">
              <w:rPr>
                <w:rFonts w:cs="Arial"/>
                <w:sz w:val="18"/>
                <w:szCs w:val="18"/>
              </w:rPr>
              <w:t>4,103,053</w:t>
            </w:r>
          </w:p>
        </w:tc>
        <w:tc>
          <w:tcPr>
            <w:tcW w:w="1361" w:type="dxa"/>
            <w:tcBorders>
              <w:top w:val="nil"/>
              <w:left w:val="nil"/>
              <w:bottom w:val="nil"/>
              <w:right w:val="nil"/>
            </w:tcBorders>
            <w:shd w:val="clear" w:color="auto" w:fill="auto"/>
            <w:vAlign w:val="bottom"/>
          </w:tcPr>
          <w:p w14:paraId="55797B59" w14:textId="5111550A" w:rsidR="00A66703" w:rsidRPr="001D41EA" w:rsidRDefault="00A66703" w:rsidP="001D41EA">
            <w:pPr>
              <w:spacing w:before="40" w:after="20"/>
              <w:jc w:val="right"/>
              <w:rPr>
                <w:rFonts w:cs="Arial"/>
                <w:sz w:val="18"/>
                <w:szCs w:val="18"/>
              </w:rPr>
            </w:pPr>
            <w:r w:rsidRPr="001D41EA">
              <w:rPr>
                <w:rFonts w:cs="Arial"/>
                <w:sz w:val="18"/>
                <w:szCs w:val="18"/>
              </w:rPr>
              <w:t>799,357</w:t>
            </w:r>
          </w:p>
        </w:tc>
        <w:tc>
          <w:tcPr>
            <w:tcW w:w="1361" w:type="dxa"/>
            <w:tcBorders>
              <w:top w:val="nil"/>
              <w:left w:val="nil"/>
              <w:bottom w:val="nil"/>
              <w:right w:val="nil"/>
            </w:tcBorders>
            <w:shd w:val="clear" w:color="auto" w:fill="auto"/>
            <w:vAlign w:val="bottom"/>
          </w:tcPr>
          <w:p w14:paraId="307DEBE9" w14:textId="20F853E0" w:rsidR="00A66703" w:rsidRPr="001D41EA" w:rsidRDefault="00A66703" w:rsidP="001D41EA">
            <w:pPr>
              <w:spacing w:before="40" w:after="20"/>
              <w:jc w:val="right"/>
              <w:rPr>
                <w:rFonts w:cs="Arial"/>
                <w:b/>
                <w:sz w:val="18"/>
                <w:szCs w:val="18"/>
              </w:rPr>
            </w:pPr>
            <w:r w:rsidRPr="001D41EA">
              <w:rPr>
                <w:rFonts w:cs="Arial"/>
                <w:b/>
                <w:sz w:val="18"/>
                <w:szCs w:val="18"/>
              </w:rPr>
              <w:t>4,902,410</w:t>
            </w:r>
          </w:p>
        </w:tc>
      </w:tr>
      <w:tr w:rsidR="00A66703" w:rsidRPr="001D41EA" w14:paraId="46BF8777"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F0293D5" w14:textId="77777777" w:rsidR="00A66703" w:rsidRPr="001D41EA" w:rsidRDefault="00A66703" w:rsidP="001D41EA">
            <w:pPr>
              <w:spacing w:before="40" w:after="20"/>
              <w:rPr>
                <w:rFonts w:cs="Arial"/>
                <w:sz w:val="18"/>
                <w:szCs w:val="18"/>
              </w:rPr>
            </w:pPr>
            <w:r w:rsidRPr="001D41EA">
              <w:rPr>
                <w:rFonts w:cs="Arial"/>
                <w:sz w:val="18"/>
                <w:szCs w:val="18"/>
              </w:rPr>
              <w:t>Melbourne C</w:t>
            </w:r>
          </w:p>
        </w:tc>
        <w:tc>
          <w:tcPr>
            <w:tcW w:w="1361" w:type="dxa"/>
            <w:tcBorders>
              <w:top w:val="nil"/>
              <w:left w:val="single" w:sz="18" w:space="0" w:color="5F497A" w:themeColor="accent4" w:themeShade="BF"/>
              <w:bottom w:val="nil"/>
              <w:right w:val="nil"/>
            </w:tcBorders>
            <w:shd w:val="clear" w:color="auto" w:fill="auto"/>
            <w:vAlign w:val="bottom"/>
          </w:tcPr>
          <w:p w14:paraId="50EE39EE" w14:textId="71B679C9" w:rsidR="00A66703" w:rsidRPr="001D41EA" w:rsidRDefault="00A66703" w:rsidP="001D41EA">
            <w:pPr>
              <w:spacing w:before="40" w:after="20"/>
              <w:jc w:val="right"/>
              <w:rPr>
                <w:rFonts w:cs="Arial"/>
                <w:sz w:val="18"/>
                <w:szCs w:val="18"/>
              </w:rPr>
            </w:pPr>
            <w:r w:rsidRPr="001D41EA">
              <w:rPr>
                <w:rFonts w:cs="Arial"/>
                <w:sz w:val="18"/>
                <w:szCs w:val="18"/>
              </w:rPr>
              <w:t>3,595,519</w:t>
            </w:r>
          </w:p>
        </w:tc>
        <w:tc>
          <w:tcPr>
            <w:tcW w:w="1361" w:type="dxa"/>
            <w:tcBorders>
              <w:top w:val="nil"/>
              <w:left w:val="nil"/>
              <w:bottom w:val="nil"/>
              <w:right w:val="nil"/>
            </w:tcBorders>
            <w:shd w:val="clear" w:color="auto" w:fill="auto"/>
            <w:vAlign w:val="bottom"/>
          </w:tcPr>
          <w:p w14:paraId="5E313A7F"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19E0E94" w14:textId="006B03D1" w:rsidR="00A66703" w:rsidRPr="001D41EA" w:rsidRDefault="00A66703" w:rsidP="001D41EA">
            <w:pPr>
              <w:spacing w:before="40" w:after="20"/>
              <w:jc w:val="right"/>
              <w:rPr>
                <w:rFonts w:cs="Arial"/>
                <w:sz w:val="18"/>
                <w:szCs w:val="18"/>
              </w:rPr>
            </w:pPr>
            <w:r w:rsidRPr="001D41EA">
              <w:rPr>
                <w:rFonts w:cs="Arial"/>
                <w:sz w:val="18"/>
                <w:szCs w:val="18"/>
              </w:rPr>
              <w:t>3,595,519</w:t>
            </w:r>
          </w:p>
        </w:tc>
        <w:tc>
          <w:tcPr>
            <w:tcW w:w="1361" w:type="dxa"/>
            <w:tcBorders>
              <w:top w:val="nil"/>
              <w:left w:val="nil"/>
              <w:bottom w:val="nil"/>
              <w:right w:val="nil"/>
            </w:tcBorders>
            <w:shd w:val="clear" w:color="auto" w:fill="auto"/>
            <w:vAlign w:val="bottom"/>
          </w:tcPr>
          <w:p w14:paraId="47A20195" w14:textId="247E1CB4" w:rsidR="00A66703" w:rsidRPr="001D41EA" w:rsidRDefault="00A66703" w:rsidP="001D41EA">
            <w:pPr>
              <w:spacing w:before="40" w:after="20"/>
              <w:jc w:val="right"/>
              <w:rPr>
                <w:rFonts w:cs="Arial"/>
                <w:sz w:val="18"/>
                <w:szCs w:val="18"/>
              </w:rPr>
            </w:pPr>
            <w:r w:rsidRPr="001D41EA">
              <w:rPr>
                <w:rFonts w:cs="Arial"/>
                <w:sz w:val="18"/>
                <w:szCs w:val="18"/>
              </w:rPr>
              <w:t>737,216</w:t>
            </w:r>
          </w:p>
        </w:tc>
        <w:tc>
          <w:tcPr>
            <w:tcW w:w="1361" w:type="dxa"/>
            <w:tcBorders>
              <w:top w:val="nil"/>
              <w:left w:val="nil"/>
              <w:bottom w:val="nil"/>
              <w:right w:val="nil"/>
            </w:tcBorders>
            <w:shd w:val="clear" w:color="auto" w:fill="auto"/>
            <w:vAlign w:val="bottom"/>
          </w:tcPr>
          <w:p w14:paraId="2D23855A" w14:textId="151FEC94" w:rsidR="00A66703" w:rsidRPr="001D41EA" w:rsidRDefault="00A66703" w:rsidP="001D41EA">
            <w:pPr>
              <w:spacing w:before="40" w:after="20"/>
              <w:jc w:val="right"/>
              <w:rPr>
                <w:rFonts w:cs="Arial"/>
                <w:b/>
                <w:sz w:val="18"/>
                <w:szCs w:val="18"/>
              </w:rPr>
            </w:pPr>
            <w:r w:rsidRPr="001D41EA">
              <w:rPr>
                <w:rFonts w:cs="Arial"/>
                <w:b/>
                <w:sz w:val="18"/>
                <w:szCs w:val="18"/>
              </w:rPr>
              <w:t>4,332,735</w:t>
            </w:r>
          </w:p>
        </w:tc>
      </w:tr>
      <w:tr w:rsidR="00A66703" w:rsidRPr="001D41EA" w14:paraId="71F06151"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3CBCBBCB" w14:textId="77777777" w:rsidR="00A66703" w:rsidRPr="001D41EA" w:rsidRDefault="00A66703" w:rsidP="001D41EA">
            <w:pPr>
              <w:spacing w:before="40" w:after="20"/>
              <w:rPr>
                <w:rFonts w:cs="Arial"/>
                <w:sz w:val="18"/>
                <w:szCs w:val="18"/>
              </w:rPr>
            </w:pPr>
            <w:r w:rsidRPr="001D41EA">
              <w:rPr>
                <w:rFonts w:cs="Arial"/>
                <w:sz w:val="18"/>
                <w:szCs w:val="18"/>
              </w:rPr>
              <w:t>Melton C</w:t>
            </w:r>
          </w:p>
        </w:tc>
        <w:tc>
          <w:tcPr>
            <w:tcW w:w="1361" w:type="dxa"/>
            <w:tcBorders>
              <w:top w:val="nil"/>
              <w:left w:val="single" w:sz="18" w:space="0" w:color="5F497A" w:themeColor="accent4" w:themeShade="BF"/>
              <w:bottom w:val="nil"/>
              <w:right w:val="nil"/>
            </w:tcBorders>
            <w:shd w:val="clear" w:color="auto" w:fill="auto"/>
            <w:vAlign w:val="bottom"/>
          </w:tcPr>
          <w:p w14:paraId="2F7D333D" w14:textId="04C397D0" w:rsidR="00A66703" w:rsidRPr="001D41EA" w:rsidRDefault="00A66703" w:rsidP="001D41EA">
            <w:pPr>
              <w:spacing w:before="40" w:after="20"/>
              <w:jc w:val="right"/>
              <w:rPr>
                <w:rFonts w:cs="Arial"/>
                <w:sz w:val="18"/>
                <w:szCs w:val="18"/>
              </w:rPr>
            </w:pPr>
            <w:r w:rsidRPr="001D41EA">
              <w:rPr>
                <w:rFonts w:cs="Arial"/>
                <w:sz w:val="18"/>
                <w:szCs w:val="18"/>
              </w:rPr>
              <w:t>14,359,557</w:t>
            </w:r>
          </w:p>
        </w:tc>
        <w:tc>
          <w:tcPr>
            <w:tcW w:w="1361" w:type="dxa"/>
            <w:tcBorders>
              <w:top w:val="nil"/>
              <w:left w:val="nil"/>
              <w:bottom w:val="nil"/>
              <w:right w:val="nil"/>
            </w:tcBorders>
            <w:shd w:val="clear" w:color="auto" w:fill="auto"/>
            <w:vAlign w:val="bottom"/>
          </w:tcPr>
          <w:p w14:paraId="7123727D" w14:textId="12A3A6CF"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EC229D" w14:textId="5EA3BE92" w:rsidR="00A66703" w:rsidRPr="001D41EA" w:rsidRDefault="00A66703" w:rsidP="001D41EA">
            <w:pPr>
              <w:spacing w:before="40" w:after="20"/>
              <w:jc w:val="right"/>
              <w:rPr>
                <w:rFonts w:cs="Arial"/>
                <w:sz w:val="18"/>
                <w:szCs w:val="18"/>
              </w:rPr>
            </w:pPr>
            <w:r w:rsidRPr="001D41EA">
              <w:rPr>
                <w:rFonts w:cs="Arial"/>
                <w:sz w:val="18"/>
                <w:szCs w:val="18"/>
              </w:rPr>
              <w:t>14,359,557</w:t>
            </w:r>
          </w:p>
        </w:tc>
        <w:tc>
          <w:tcPr>
            <w:tcW w:w="1361" w:type="dxa"/>
            <w:tcBorders>
              <w:top w:val="nil"/>
              <w:left w:val="nil"/>
              <w:bottom w:val="nil"/>
              <w:right w:val="nil"/>
            </w:tcBorders>
            <w:shd w:val="clear" w:color="auto" w:fill="auto"/>
            <w:vAlign w:val="bottom"/>
          </w:tcPr>
          <w:p w14:paraId="38F8CEF5" w14:textId="4AD2CB7B" w:rsidR="00A66703" w:rsidRPr="001D41EA" w:rsidRDefault="00A66703" w:rsidP="001D41EA">
            <w:pPr>
              <w:spacing w:before="40" w:after="20"/>
              <w:jc w:val="right"/>
              <w:rPr>
                <w:rFonts w:cs="Arial"/>
                <w:sz w:val="18"/>
                <w:szCs w:val="18"/>
              </w:rPr>
            </w:pPr>
            <w:r w:rsidRPr="001D41EA">
              <w:rPr>
                <w:rFonts w:cs="Arial"/>
                <w:sz w:val="18"/>
                <w:szCs w:val="18"/>
              </w:rPr>
              <w:t>2,133,082</w:t>
            </w:r>
          </w:p>
        </w:tc>
        <w:tc>
          <w:tcPr>
            <w:tcW w:w="1361" w:type="dxa"/>
            <w:tcBorders>
              <w:top w:val="nil"/>
              <w:left w:val="nil"/>
              <w:bottom w:val="nil"/>
              <w:right w:val="nil"/>
            </w:tcBorders>
            <w:shd w:val="clear" w:color="auto" w:fill="auto"/>
            <w:vAlign w:val="bottom"/>
          </w:tcPr>
          <w:p w14:paraId="3C285277" w14:textId="13D50727" w:rsidR="00A66703" w:rsidRPr="001D41EA" w:rsidRDefault="00A66703" w:rsidP="001D41EA">
            <w:pPr>
              <w:spacing w:before="40" w:after="20"/>
              <w:jc w:val="right"/>
              <w:rPr>
                <w:rFonts w:cs="Arial"/>
                <w:b/>
                <w:sz w:val="18"/>
                <w:szCs w:val="18"/>
              </w:rPr>
            </w:pPr>
            <w:r w:rsidRPr="001D41EA">
              <w:rPr>
                <w:rFonts w:cs="Arial"/>
                <w:b/>
                <w:sz w:val="18"/>
                <w:szCs w:val="18"/>
              </w:rPr>
              <w:t>16,492,639</w:t>
            </w:r>
          </w:p>
        </w:tc>
      </w:tr>
      <w:tr w:rsidR="00A66703" w:rsidRPr="001D41EA" w14:paraId="174D15EE"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D24235" w14:textId="77777777" w:rsidR="00A66703" w:rsidRPr="001D41EA" w:rsidRDefault="00A66703" w:rsidP="001D41EA">
            <w:pPr>
              <w:spacing w:before="40" w:after="20"/>
              <w:rPr>
                <w:rFonts w:cs="Arial"/>
                <w:sz w:val="18"/>
                <w:szCs w:val="18"/>
              </w:rPr>
            </w:pPr>
            <w:r w:rsidRPr="001D41EA">
              <w:rPr>
                <w:rFonts w:cs="Arial"/>
                <w:sz w:val="18"/>
                <w:szCs w:val="18"/>
              </w:rPr>
              <w:t>Mildura RC</w:t>
            </w:r>
          </w:p>
        </w:tc>
        <w:tc>
          <w:tcPr>
            <w:tcW w:w="1361" w:type="dxa"/>
            <w:tcBorders>
              <w:top w:val="nil"/>
              <w:left w:val="single" w:sz="18" w:space="0" w:color="5F497A" w:themeColor="accent4" w:themeShade="BF"/>
              <w:bottom w:val="nil"/>
              <w:right w:val="nil"/>
            </w:tcBorders>
            <w:shd w:val="clear" w:color="auto" w:fill="auto"/>
            <w:vAlign w:val="bottom"/>
          </w:tcPr>
          <w:p w14:paraId="7642C6BD" w14:textId="6E8011FF" w:rsidR="00A66703" w:rsidRPr="001D41EA" w:rsidRDefault="00A66703" w:rsidP="001D41EA">
            <w:pPr>
              <w:spacing w:before="40" w:after="20"/>
              <w:jc w:val="right"/>
              <w:rPr>
                <w:rFonts w:cs="Arial"/>
                <w:sz w:val="18"/>
                <w:szCs w:val="18"/>
              </w:rPr>
            </w:pPr>
            <w:r w:rsidRPr="001D41EA">
              <w:rPr>
                <w:rFonts w:cs="Arial"/>
                <w:sz w:val="18"/>
                <w:szCs w:val="18"/>
              </w:rPr>
              <w:t>11,505,689</w:t>
            </w:r>
          </w:p>
        </w:tc>
        <w:tc>
          <w:tcPr>
            <w:tcW w:w="1361" w:type="dxa"/>
            <w:tcBorders>
              <w:top w:val="nil"/>
              <w:left w:val="nil"/>
              <w:bottom w:val="nil"/>
              <w:right w:val="nil"/>
            </w:tcBorders>
            <w:shd w:val="clear" w:color="auto" w:fill="auto"/>
            <w:vAlign w:val="bottom"/>
          </w:tcPr>
          <w:p w14:paraId="7ACF388B" w14:textId="423F51A2" w:rsidR="00A66703" w:rsidRPr="001D41EA" w:rsidRDefault="00A66703" w:rsidP="001D41EA">
            <w:pPr>
              <w:spacing w:before="40" w:after="20"/>
              <w:jc w:val="right"/>
              <w:rPr>
                <w:rFonts w:cs="Arial"/>
                <w:sz w:val="18"/>
                <w:szCs w:val="18"/>
              </w:rPr>
            </w:pPr>
            <w:r w:rsidRPr="001D41EA">
              <w:rPr>
                <w:rFonts w:cs="Arial"/>
                <w:sz w:val="18"/>
                <w:szCs w:val="18"/>
              </w:rPr>
              <w:t>70,000</w:t>
            </w:r>
          </w:p>
        </w:tc>
        <w:tc>
          <w:tcPr>
            <w:tcW w:w="1361" w:type="dxa"/>
            <w:tcBorders>
              <w:top w:val="nil"/>
              <w:left w:val="nil"/>
              <w:bottom w:val="nil"/>
              <w:right w:val="nil"/>
            </w:tcBorders>
            <w:shd w:val="clear" w:color="auto" w:fill="auto"/>
            <w:vAlign w:val="bottom"/>
          </w:tcPr>
          <w:p w14:paraId="7AB91E4F" w14:textId="122B8035" w:rsidR="00A66703" w:rsidRPr="001D41EA" w:rsidRDefault="00A66703" w:rsidP="001D41EA">
            <w:pPr>
              <w:spacing w:before="40" w:after="20"/>
              <w:jc w:val="right"/>
              <w:rPr>
                <w:rFonts w:cs="Arial"/>
                <w:sz w:val="18"/>
                <w:szCs w:val="18"/>
              </w:rPr>
            </w:pPr>
            <w:r w:rsidRPr="001D41EA">
              <w:rPr>
                <w:rFonts w:cs="Arial"/>
                <w:sz w:val="18"/>
                <w:szCs w:val="18"/>
              </w:rPr>
              <w:t>11,575,689</w:t>
            </w:r>
          </w:p>
        </w:tc>
        <w:tc>
          <w:tcPr>
            <w:tcW w:w="1361" w:type="dxa"/>
            <w:tcBorders>
              <w:top w:val="nil"/>
              <w:left w:val="nil"/>
              <w:bottom w:val="nil"/>
              <w:right w:val="nil"/>
            </w:tcBorders>
            <w:shd w:val="clear" w:color="auto" w:fill="auto"/>
            <w:vAlign w:val="bottom"/>
          </w:tcPr>
          <w:p w14:paraId="2ACCB99B" w14:textId="29E22841" w:rsidR="00A66703" w:rsidRPr="001D41EA" w:rsidRDefault="00A66703" w:rsidP="001D41EA">
            <w:pPr>
              <w:spacing w:before="40" w:after="20"/>
              <w:jc w:val="right"/>
              <w:rPr>
                <w:rFonts w:cs="Arial"/>
                <w:sz w:val="18"/>
                <w:szCs w:val="18"/>
              </w:rPr>
            </w:pPr>
            <w:r w:rsidRPr="001D41EA">
              <w:rPr>
                <w:rFonts w:cs="Arial"/>
                <w:sz w:val="18"/>
                <w:szCs w:val="18"/>
              </w:rPr>
              <w:t>4,258,812</w:t>
            </w:r>
          </w:p>
        </w:tc>
        <w:tc>
          <w:tcPr>
            <w:tcW w:w="1361" w:type="dxa"/>
            <w:tcBorders>
              <w:top w:val="nil"/>
              <w:left w:val="nil"/>
              <w:bottom w:val="nil"/>
              <w:right w:val="nil"/>
            </w:tcBorders>
            <w:shd w:val="clear" w:color="auto" w:fill="auto"/>
            <w:vAlign w:val="bottom"/>
          </w:tcPr>
          <w:p w14:paraId="0AF9415C" w14:textId="642F0586" w:rsidR="00A66703" w:rsidRPr="001D41EA" w:rsidRDefault="00A66703" w:rsidP="001D41EA">
            <w:pPr>
              <w:spacing w:before="40" w:after="20"/>
              <w:jc w:val="right"/>
              <w:rPr>
                <w:rFonts w:cs="Arial"/>
                <w:b/>
                <w:sz w:val="18"/>
                <w:szCs w:val="18"/>
              </w:rPr>
            </w:pPr>
            <w:r w:rsidRPr="001D41EA">
              <w:rPr>
                <w:rFonts w:cs="Arial"/>
                <w:b/>
                <w:sz w:val="18"/>
                <w:szCs w:val="18"/>
              </w:rPr>
              <w:t>15,834,501</w:t>
            </w:r>
          </w:p>
        </w:tc>
      </w:tr>
      <w:tr w:rsidR="00A66703" w:rsidRPr="001D41EA" w14:paraId="360920C1"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4F0516" w14:textId="77777777" w:rsidR="00A66703" w:rsidRPr="001D41EA" w:rsidRDefault="00A66703" w:rsidP="001D41EA">
            <w:pPr>
              <w:spacing w:before="40" w:after="20"/>
              <w:rPr>
                <w:rFonts w:cs="Arial"/>
                <w:sz w:val="18"/>
                <w:szCs w:val="18"/>
              </w:rPr>
            </w:pPr>
            <w:r w:rsidRPr="001D41EA">
              <w:rPr>
                <w:rFonts w:cs="Arial"/>
                <w:sz w:val="18"/>
                <w:szCs w:val="18"/>
              </w:rPr>
              <w:t>Mitchell S</w:t>
            </w:r>
          </w:p>
        </w:tc>
        <w:tc>
          <w:tcPr>
            <w:tcW w:w="1361" w:type="dxa"/>
            <w:tcBorders>
              <w:top w:val="nil"/>
              <w:left w:val="single" w:sz="18" w:space="0" w:color="5F497A" w:themeColor="accent4" w:themeShade="BF"/>
              <w:bottom w:val="nil"/>
              <w:right w:val="nil"/>
            </w:tcBorders>
            <w:shd w:val="clear" w:color="auto" w:fill="auto"/>
            <w:vAlign w:val="bottom"/>
          </w:tcPr>
          <w:p w14:paraId="0982C442" w14:textId="7AF3E38E" w:rsidR="00A66703" w:rsidRPr="001D41EA" w:rsidRDefault="00A66703" w:rsidP="001D41EA">
            <w:pPr>
              <w:spacing w:before="40" w:after="20"/>
              <w:jc w:val="right"/>
              <w:rPr>
                <w:rFonts w:cs="Arial"/>
                <w:sz w:val="18"/>
                <w:szCs w:val="18"/>
              </w:rPr>
            </w:pPr>
            <w:r w:rsidRPr="001D41EA">
              <w:rPr>
                <w:rFonts w:cs="Arial"/>
                <w:sz w:val="18"/>
                <w:szCs w:val="18"/>
              </w:rPr>
              <w:t>5,943,231</w:t>
            </w:r>
          </w:p>
        </w:tc>
        <w:tc>
          <w:tcPr>
            <w:tcW w:w="1361" w:type="dxa"/>
            <w:tcBorders>
              <w:top w:val="nil"/>
              <w:left w:val="nil"/>
              <w:bottom w:val="nil"/>
              <w:right w:val="nil"/>
            </w:tcBorders>
            <w:shd w:val="clear" w:color="auto" w:fill="auto"/>
            <w:vAlign w:val="bottom"/>
          </w:tcPr>
          <w:p w14:paraId="78AFD258" w14:textId="77DEAE73"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C257DE9" w14:textId="796DC4C8" w:rsidR="00A66703" w:rsidRPr="001D41EA" w:rsidRDefault="00A66703" w:rsidP="001D41EA">
            <w:pPr>
              <w:spacing w:before="40" w:after="20"/>
              <w:jc w:val="right"/>
              <w:rPr>
                <w:rFonts w:cs="Arial"/>
                <w:sz w:val="18"/>
                <w:szCs w:val="18"/>
              </w:rPr>
            </w:pPr>
            <w:r w:rsidRPr="001D41EA">
              <w:rPr>
                <w:rFonts w:cs="Arial"/>
                <w:sz w:val="18"/>
                <w:szCs w:val="18"/>
              </w:rPr>
              <w:t>5,943,231</w:t>
            </w:r>
          </w:p>
        </w:tc>
        <w:tc>
          <w:tcPr>
            <w:tcW w:w="1361" w:type="dxa"/>
            <w:tcBorders>
              <w:top w:val="nil"/>
              <w:left w:val="nil"/>
              <w:bottom w:val="nil"/>
              <w:right w:val="nil"/>
            </w:tcBorders>
            <w:shd w:val="clear" w:color="auto" w:fill="auto"/>
            <w:vAlign w:val="bottom"/>
          </w:tcPr>
          <w:p w14:paraId="155C1941" w14:textId="032312CA" w:rsidR="00A66703" w:rsidRPr="001D41EA" w:rsidRDefault="00A66703" w:rsidP="001D41EA">
            <w:pPr>
              <w:spacing w:before="40" w:after="20"/>
              <w:jc w:val="right"/>
              <w:rPr>
                <w:rFonts w:cs="Arial"/>
                <w:sz w:val="18"/>
                <w:szCs w:val="18"/>
              </w:rPr>
            </w:pPr>
            <w:r w:rsidRPr="001D41EA">
              <w:rPr>
                <w:rFonts w:cs="Arial"/>
                <w:sz w:val="18"/>
                <w:szCs w:val="18"/>
              </w:rPr>
              <w:t>1,953,964</w:t>
            </w:r>
          </w:p>
        </w:tc>
        <w:tc>
          <w:tcPr>
            <w:tcW w:w="1361" w:type="dxa"/>
            <w:tcBorders>
              <w:top w:val="nil"/>
              <w:left w:val="nil"/>
              <w:bottom w:val="nil"/>
              <w:right w:val="nil"/>
            </w:tcBorders>
            <w:shd w:val="clear" w:color="auto" w:fill="auto"/>
            <w:vAlign w:val="bottom"/>
          </w:tcPr>
          <w:p w14:paraId="0941A2A4" w14:textId="739472AC" w:rsidR="00A66703" w:rsidRPr="001D41EA" w:rsidRDefault="00A66703" w:rsidP="001D41EA">
            <w:pPr>
              <w:spacing w:before="40" w:after="20"/>
              <w:jc w:val="right"/>
              <w:rPr>
                <w:rFonts w:cs="Arial"/>
                <w:b/>
                <w:sz w:val="18"/>
                <w:szCs w:val="18"/>
              </w:rPr>
            </w:pPr>
            <w:r w:rsidRPr="001D41EA">
              <w:rPr>
                <w:rFonts w:cs="Arial"/>
                <w:b/>
                <w:sz w:val="18"/>
                <w:szCs w:val="18"/>
              </w:rPr>
              <w:t>7,897,195</w:t>
            </w:r>
          </w:p>
        </w:tc>
      </w:tr>
      <w:tr w:rsidR="00A66703" w:rsidRPr="001D41EA" w14:paraId="32A481F0"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73A6847" w14:textId="77777777" w:rsidR="00A66703" w:rsidRPr="001D41EA" w:rsidRDefault="00A66703" w:rsidP="001D41EA">
            <w:pPr>
              <w:spacing w:before="40" w:after="20"/>
              <w:rPr>
                <w:rFonts w:cs="Arial"/>
                <w:sz w:val="18"/>
                <w:szCs w:val="18"/>
              </w:rPr>
            </w:pPr>
            <w:r w:rsidRPr="001D41EA">
              <w:rPr>
                <w:rFonts w:cs="Arial"/>
                <w:sz w:val="18"/>
                <w:szCs w:val="18"/>
              </w:rPr>
              <w:t>Moira S</w:t>
            </w:r>
          </w:p>
        </w:tc>
        <w:tc>
          <w:tcPr>
            <w:tcW w:w="1361" w:type="dxa"/>
            <w:tcBorders>
              <w:top w:val="nil"/>
              <w:left w:val="single" w:sz="18" w:space="0" w:color="5F497A" w:themeColor="accent4" w:themeShade="BF"/>
              <w:bottom w:val="nil"/>
              <w:right w:val="nil"/>
            </w:tcBorders>
            <w:shd w:val="clear" w:color="auto" w:fill="auto"/>
            <w:vAlign w:val="bottom"/>
          </w:tcPr>
          <w:p w14:paraId="36BF2F4E" w14:textId="21001F88" w:rsidR="00A66703" w:rsidRPr="001D41EA" w:rsidRDefault="00A66703" w:rsidP="001D41EA">
            <w:pPr>
              <w:spacing w:before="40" w:after="20"/>
              <w:jc w:val="right"/>
              <w:rPr>
                <w:rFonts w:cs="Arial"/>
                <w:sz w:val="18"/>
                <w:szCs w:val="18"/>
              </w:rPr>
            </w:pPr>
            <w:r w:rsidRPr="001D41EA">
              <w:rPr>
                <w:rFonts w:cs="Arial"/>
                <w:sz w:val="18"/>
                <w:szCs w:val="18"/>
              </w:rPr>
              <w:t>7,304,123</w:t>
            </w:r>
          </w:p>
        </w:tc>
        <w:tc>
          <w:tcPr>
            <w:tcW w:w="1361" w:type="dxa"/>
            <w:tcBorders>
              <w:top w:val="nil"/>
              <w:left w:val="nil"/>
              <w:bottom w:val="nil"/>
              <w:right w:val="nil"/>
            </w:tcBorders>
            <w:shd w:val="clear" w:color="auto" w:fill="auto"/>
            <w:vAlign w:val="bottom"/>
          </w:tcPr>
          <w:p w14:paraId="5F869010" w14:textId="78F84020"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8518FA7" w14:textId="1CC6764E" w:rsidR="00A66703" w:rsidRPr="001D41EA" w:rsidRDefault="00A66703" w:rsidP="001D41EA">
            <w:pPr>
              <w:spacing w:before="40" w:after="20"/>
              <w:jc w:val="right"/>
              <w:rPr>
                <w:rFonts w:cs="Arial"/>
                <w:sz w:val="18"/>
                <w:szCs w:val="18"/>
              </w:rPr>
            </w:pPr>
            <w:r w:rsidRPr="001D41EA">
              <w:rPr>
                <w:rFonts w:cs="Arial"/>
                <w:sz w:val="18"/>
                <w:szCs w:val="18"/>
              </w:rPr>
              <w:t>7,304,123</w:t>
            </w:r>
          </w:p>
        </w:tc>
        <w:tc>
          <w:tcPr>
            <w:tcW w:w="1361" w:type="dxa"/>
            <w:tcBorders>
              <w:top w:val="nil"/>
              <w:left w:val="nil"/>
              <w:bottom w:val="nil"/>
              <w:right w:val="nil"/>
            </w:tcBorders>
            <w:shd w:val="clear" w:color="auto" w:fill="auto"/>
            <w:vAlign w:val="bottom"/>
          </w:tcPr>
          <w:p w14:paraId="7C00CB56" w14:textId="04B55645" w:rsidR="00A66703" w:rsidRPr="001D41EA" w:rsidRDefault="00A66703" w:rsidP="001D41EA">
            <w:pPr>
              <w:spacing w:before="40" w:after="20"/>
              <w:jc w:val="right"/>
              <w:rPr>
                <w:rFonts w:cs="Arial"/>
                <w:sz w:val="18"/>
                <w:szCs w:val="18"/>
              </w:rPr>
            </w:pPr>
            <w:r w:rsidRPr="001D41EA">
              <w:rPr>
                <w:rFonts w:cs="Arial"/>
                <w:sz w:val="18"/>
                <w:szCs w:val="18"/>
              </w:rPr>
              <w:t>3,997,378</w:t>
            </w:r>
          </w:p>
        </w:tc>
        <w:tc>
          <w:tcPr>
            <w:tcW w:w="1361" w:type="dxa"/>
            <w:tcBorders>
              <w:top w:val="nil"/>
              <w:left w:val="nil"/>
              <w:bottom w:val="nil"/>
              <w:right w:val="nil"/>
            </w:tcBorders>
            <w:shd w:val="clear" w:color="auto" w:fill="auto"/>
            <w:vAlign w:val="bottom"/>
          </w:tcPr>
          <w:p w14:paraId="4585A1FF" w14:textId="3BBB56EE" w:rsidR="00A66703" w:rsidRPr="001D41EA" w:rsidRDefault="00A66703" w:rsidP="001D41EA">
            <w:pPr>
              <w:spacing w:before="40" w:after="20"/>
              <w:jc w:val="right"/>
              <w:rPr>
                <w:rFonts w:cs="Arial"/>
                <w:b/>
                <w:sz w:val="18"/>
                <w:szCs w:val="18"/>
              </w:rPr>
            </w:pPr>
            <w:r w:rsidRPr="001D41EA">
              <w:rPr>
                <w:rFonts w:cs="Arial"/>
                <w:b/>
                <w:sz w:val="18"/>
                <w:szCs w:val="18"/>
              </w:rPr>
              <w:t>11,301,501</w:t>
            </w:r>
          </w:p>
        </w:tc>
      </w:tr>
      <w:tr w:rsidR="00A66703" w:rsidRPr="001D41EA" w14:paraId="6F4B3F9F"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19A6E8" w14:textId="77777777" w:rsidR="00A66703" w:rsidRPr="001D41EA" w:rsidRDefault="00A66703" w:rsidP="001D41EA">
            <w:pPr>
              <w:spacing w:before="40" w:after="20"/>
              <w:rPr>
                <w:rFonts w:cs="Arial"/>
                <w:sz w:val="18"/>
                <w:szCs w:val="18"/>
              </w:rPr>
            </w:pPr>
            <w:r w:rsidRPr="001D41EA">
              <w:rPr>
                <w:rFonts w:cs="Arial"/>
                <w:sz w:val="18"/>
                <w:szCs w:val="18"/>
              </w:rPr>
              <w:t>Monash C</w:t>
            </w:r>
          </w:p>
        </w:tc>
        <w:tc>
          <w:tcPr>
            <w:tcW w:w="1361" w:type="dxa"/>
            <w:tcBorders>
              <w:top w:val="nil"/>
              <w:left w:val="single" w:sz="18" w:space="0" w:color="5F497A" w:themeColor="accent4" w:themeShade="BF"/>
              <w:bottom w:val="nil"/>
              <w:right w:val="nil"/>
            </w:tcBorders>
            <w:shd w:val="clear" w:color="auto" w:fill="auto"/>
            <w:vAlign w:val="bottom"/>
          </w:tcPr>
          <w:p w14:paraId="2F250081" w14:textId="1D02B557" w:rsidR="00A66703" w:rsidRPr="001D41EA" w:rsidRDefault="00A66703" w:rsidP="001D41EA">
            <w:pPr>
              <w:spacing w:before="40" w:after="20"/>
              <w:jc w:val="right"/>
              <w:rPr>
                <w:rFonts w:cs="Arial"/>
                <w:sz w:val="18"/>
                <w:szCs w:val="18"/>
              </w:rPr>
            </w:pPr>
            <w:r w:rsidRPr="001D41EA">
              <w:rPr>
                <w:rFonts w:cs="Arial"/>
                <w:sz w:val="18"/>
                <w:szCs w:val="18"/>
              </w:rPr>
              <w:t>4,232,622</w:t>
            </w:r>
          </w:p>
        </w:tc>
        <w:tc>
          <w:tcPr>
            <w:tcW w:w="1361" w:type="dxa"/>
            <w:tcBorders>
              <w:top w:val="nil"/>
              <w:left w:val="nil"/>
              <w:bottom w:val="nil"/>
              <w:right w:val="nil"/>
            </w:tcBorders>
            <w:shd w:val="clear" w:color="auto" w:fill="auto"/>
            <w:vAlign w:val="bottom"/>
          </w:tcPr>
          <w:p w14:paraId="39910FD5"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D193659" w14:textId="0BF38C05" w:rsidR="00A66703" w:rsidRPr="001D41EA" w:rsidRDefault="00A66703" w:rsidP="001D41EA">
            <w:pPr>
              <w:spacing w:before="40" w:after="20"/>
              <w:jc w:val="right"/>
              <w:rPr>
                <w:rFonts w:cs="Arial"/>
                <w:sz w:val="18"/>
                <w:szCs w:val="18"/>
              </w:rPr>
            </w:pPr>
            <w:r w:rsidRPr="001D41EA">
              <w:rPr>
                <w:rFonts w:cs="Arial"/>
                <w:sz w:val="18"/>
                <w:szCs w:val="18"/>
              </w:rPr>
              <w:t>4,232,622</w:t>
            </w:r>
          </w:p>
        </w:tc>
        <w:tc>
          <w:tcPr>
            <w:tcW w:w="1361" w:type="dxa"/>
            <w:tcBorders>
              <w:top w:val="nil"/>
              <w:left w:val="nil"/>
              <w:bottom w:val="nil"/>
              <w:right w:val="nil"/>
            </w:tcBorders>
            <w:shd w:val="clear" w:color="auto" w:fill="auto"/>
            <w:vAlign w:val="bottom"/>
          </w:tcPr>
          <w:p w14:paraId="1B46B140" w14:textId="194F6540" w:rsidR="00A66703" w:rsidRPr="001D41EA" w:rsidRDefault="00A66703" w:rsidP="001D41EA">
            <w:pPr>
              <w:spacing w:before="40" w:after="20"/>
              <w:jc w:val="right"/>
              <w:rPr>
                <w:rFonts w:cs="Arial"/>
                <w:sz w:val="18"/>
                <w:szCs w:val="18"/>
              </w:rPr>
            </w:pPr>
            <w:r w:rsidRPr="001D41EA">
              <w:rPr>
                <w:rFonts w:cs="Arial"/>
                <w:sz w:val="18"/>
                <w:szCs w:val="18"/>
              </w:rPr>
              <w:t>1,268,569</w:t>
            </w:r>
          </w:p>
        </w:tc>
        <w:tc>
          <w:tcPr>
            <w:tcW w:w="1361" w:type="dxa"/>
            <w:tcBorders>
              <w:top w:val="nil"/>
              <w:left w:val="nil"/>
              <w:bottom w:val="nil"/>
              <w:right w:val="nil"/>
            </w:tcBorders>
            <w:shd w:val="clear" w:color="auto" w:fill="auto"/>
            <w:vAlign w:val="bottom"/>
          </w:tcPr>
          <w:p w14:paraId="020AB195" w14:textId="15EBFC07" w:rsidR="00A66703" w:rsidRPr="001D41EA" w:rsidRDefault="00A66703" w:rsidP="001D41EA">
            <w:pPr>
              <w:spacing w:before="40" w:after="20"/>
              <w:jc w:val="right"/>
              <w:rPr>
                <w:rFonts w:cs="Arial"/>
                <w:b/>
                <w:sz w:val="18"/>
                <w:szCs w:val="18"/>
              </w:rPr>
            </w:pPr>
            <w:r w:rsidRPr="001D41EA">
              <w:rPr>
                <w:rFonts w:cs="Arial"/>
                <w:b/>
                <w:sz w:val="18"/>
                <w:szCs w:val="18"/>
              </w:rPr>
              <w:t>5,501,191</w:t>
            </w:r>
          </w:p>
        </w:tc>
      </w:tr>
      <w:tr w:rsidR="00A66703" w:rsidRPr="001D41EA" w14:paraId="5C9D4FD6"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34D4B432" w14:textId="77777777" w:rsidR="00A66703" w:rsidRPr="001D41EA" w:rsidRDefault="00A66703" w:rsidP="001D41EA">
            <w:pPr>
              <w:spacing w:before="40" w:after="20"/>
              <w:rPr>
                <w:rFonts w:cs="Arial"/>
                <w:sz w:val="18"/>
                <w:szCs w:val="18"/>
              </w:rPr>
            </w:pPr>
            <w:r w:rsidRPr="001D41EA">
              <w:rPr>
                <w:rFonts w:cs="Arial"/>
                <w:sz w:val="18"/>
                <w:szCs w:val="18"/>
              </w:rPr>
              <w:t>Moonee Valley C</w:t>
            </w:r>
          </w:p>
        </w:tc>
        <w:tc>
          <w:tcPr>
            <w:tcW w:w="1361" w:type="dxa"/>
            <w:tcBorders>
              <w:top w:val="nil"/>
              <w:left w:val="single" w:sz="18" w:space="0" w:color="5F497A" w:themeColor="accent4" w:themeShade="BF"/>
              <w:bottom w:val="nil"/>
              <w:right w:val="nil"/>
            </w:tcBorders>
            <w:shd w:val="clear" w:color="auto" w:fill="auto"/>
            <w:vAlign w:val="bottom"/>
          </w:tcPr>
          <w:p w14:paraId="5F11AF44" w14:textId="19305FBA" w:rsidR="00A66703" w:rsidRPr="001D41EA" w:rsidRDefault="00A66703" w:rsidP="001D41EA">
            <w:pPr>
              <w:spacing w:before="40" w:after="20"/>
              <w:jc w:val="right"/>
              <w:rPr>
                <w:rFonts w:cs="Arial"/>
                <w:sz w:val="18"/>
                <w:szCs w:val="18"/>
              </w:rPr>
            </w:pPr>
            <w:r w:rsidRPr="001D41EA">
              <w:rPr>
                <w:rFonts w:cs="Arial"/>
                <w:sz w:val="18"/>
                <w:szCs w:val="18"/>
              </w:rPr>
              <w:t>2,705,361</w:t>
            </w:r>
          </w:p>
        </w:tc>
        <w:tc>
          <w:tcPr>
            <w:tcW w:w="1361" w:type="dxa"/>
            <w:tcBorders>
              <w:top w:val="nil"/>
              <w:left w:val="nil"/>
              <w:bottom w:val="nil"/>
              <w:right w:val="nil"/>
            </w:tcBorders>
            <w:shd w:val="clear" w:color="auto" w:fill="auto"/>
            <w:vAlign w:val="bottom"/>
          </w:tcPr>
          <w:p w14:paraId="447D9A05"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18A9540" w14:textId="6FD52B79" w:rsidR="00A66703" w:rsidRPr="001D41EA" w:rsidRDefault="00A66703" w:rsidP="001D41EA">
            <w:pPr>
              <w:spacing w:before="40" w:after="20"/>
              <w:jc w:val="right"/>
              <w:rPr>
                <w:rFonts w:cs="Arial"/>
                <w:sz w:val="18"/>
                <w:szCs w:val="18"/>
              </w:rPr>
            </w:pPr>
            <w:r w:rsidRPr="001D41EA">
              <w:rPr>
                <w:rFonts w:cs="Arial"/>
                <w:sz w:val="18"/>
                <w:szCs w:val="18"/>
              </w:rPr>
              <w:t>2,705,361</w:t>
            </w:r>
          </w:p>
        </w:tc>
        <w:tc>
          <w:tcPr>
            <w:tcW w:w="1361" w:type="dxa"/>
            <w:tcBorders>
              <w:top w:val="nil"/>
              <w:left w:val="nil"/>
              <w:bottom w:val="nil"/>
              <w:right w:val="nil"/>
            </w:tcBorders>
            <w:shd w:val="clear" w:color="auto" w:fill="auto"/>
            <w:vAlign w:val="bottom"/>
          </w:tcPr>
          <w:p w14:paraId="5C8C6D26" w14:textId="5FF1B70B" w:rsidR="00A66703" w:rsidRPr="001D41EA" w:rsidRDefault="00A66703" w:rsidP="001D41EA">
            <w:pPr>
              <w:spacing w:before="40" w:after="20"/>
              <w:jc w:val="right"/>
              <w:rPr>
                <w:rFonts w:cs="Arial"/>
                <w:sz w:val="18"/>
                <w:szCs w:val="18"/>
              </w:rPr>
            </w:pPr>
            <w:r w:rsidRPr="001D41EA">
              <w:rPr>
                <w:rFonts w:cs="Arial"/>
                <w:sz w:val="18"/>
                <w:szCs w:val="18"/>
              </w:rPr>
              <w:t>725,238</w:t>
            </w:r>
          </w:p>
        </w:tc>
        <w:tc>
          <w:tcPr>
            <w:tcW w:w="1361" w:type="dxa"/>
            <w:tcBorders>
              <w:top w:val="nil"/>
              <w:left w:val="nil"/>
              <w:bottom w:val="nil"/>
              <w:right w:val="nil"/>
            </w:tcBorders>
            <w:shd w:val="clear" w:color="auto" w:fill="auto"/>
            <w:vAlign w:val="bottom"/>
          </w:tcPr>
          <w:p w14:paraId="12442DCA" w14:textId="57080506" w:rsidR="00A66703" w:rsidRPr="001D41EA" w:rsidRDefault="00A66703" w:rsidP="001D41EA">
            <w:pPr>
              <w:spacing w:before="40" w:after="20"/>
              <w:jc w:val="right"/>
              <w:rPr>
                <w:rFonts w:cs="Arial"/>
                <w:b/>
                <w:sz w:val="18"/>
                <w:szCs w:val="18"/>
              </w:rPr>
            </w:pPr>
            <w:r w:rsidRPr="001D41EA">
              <w:rPr>
                <w:rFonts w:cs="Arial"/>
                <w:b/>
                <w:sz w:val="18"/>
                <w:szCs w:val="18"/>
              </w:rPr>
              <w:t>3,430,599</w:t>
            </w:r>
          </w:p>
        </w:tc>
      </w:tr>
      <w:tr w:rsidR="00A66703" w:rsidRPr="001D41EA" w14:paraId="300645A0"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A0C9A17" w14:textId="77777777" w:rsidR="00A66703" w:rsidRPr="001D41EA" w:rsidRDefault="00A66703" w:rsidP="001D41EA">
            <w:pPr>
              <w:spacing w:before="40" w:after="20"/>
              <w:rPr>
                <w:rFonts w:cs="Arial"/>
                <w:sz w:val="18"/>
                <w:szCs w:val="18"/>
              </w:rPr>
            </w:pPr>
            <w:r w:rsidRPr="001D41EA">
              <w:rPr>
                <w:rFonts w:cs="Arial"/>
                <w:sz w:val="18"/>
                <w:szCs w:val="18"/>
              </w:rPr>
              <w:t>Moorabool S</w:t>
            </w:r>
          </w:p>
        </w:tc>
        <w:tc>
          <w:tcPr>
            <w:tcW w:w="1361" w:type="dxa"/>
            <w:tcBorders>
              <w:top w:val="nil"/>
              <w:left w:val="single" w:sz="18" w:space="0" w:color="5F497A" w:themeColor="accent4" w:themeShade="BF"/>
              <w:bottom w:val="nil"/>
              <w:right w:val="nil"/>
            </w:tcBorders>
            <w:shd w:val="clear" w:color="auto" w:fill="auto"/>
            <w:vAlign w:val="bottom"/>
          </w:tcPr>
          <w:p w14:paraId="7080138F" w14:textId="69B5A3D3" w:rsidR="00A66703" w:rsidRPr="001D41EA" w:rsidRDefault="00A66703" w:rsidP="001D41EA">
            <w:pPr>
              <w:spacing w:before="40" w:after="20"/>
              <w:jc w:val="right"/>
              <w:rPr>
                <w:rFonts w:cs="Arial"/>
                <w:sz w:val="18"/>
                <w:szCs w:val="18"/>
              </w:rPr>
            </w:pPr>
            <w:r w:rsidRPr="001D41EA">
              <w:rPr>
                <w:rFonts w:cs="Arial"/>
                <w:sz w:val="18"/>
                <w:szCs w:val="18"/>
              </w:rPr>
              <w:t>4,670,256</w:t>
            </w:r>
          </w:p>
        </w:tc>
        <w:tc>
          <w:tcPr>
            <w:tcW w:w="1361" w:type="dxa"/>
            <w:tcBorders>
              <w:top w:val="nil"/>
              <w:left w:val="nil"/>
              <w:bottom w:val="nil"/>
              <w:right w:val="nil"/>
            </w:tcBorders>
            <w:shd w:val="clear" w:color="auto" w:fill="auto"/>
            <w:vAlign w:val="bottom"/>
          </w:tcPr>
          <w:p w14:paraId="7C7B3F6B" w14:textId="3329513F"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F3CF06C" w14:textId="785ABE06" w:rsidR="00A66703" w:rsidRPr="001D41EA" w:rsidRDefault="00A66703" w:rsidP="001D41EA">
            <w:pPr>
              <w:spacing w:before="40" w:after="20"/>
              <w:jc w:val="right"/>
              <w:rPr>
                <w:rFonts w:cs="Arial"/>
                <w:sz w:val="18"/>
                <w:szCs w:val="18"/>
              </w:rPr>
            </w:pPr>
            <w:r w:rsidRPr="001D41EA">
              <w:rPr>
                <w:rFonts w:cs="Arial"/>
                <w:sz w:val="18"/>
                <w:szCs w:val="18"/>
              </w:rPr>
              <w:t>4,670,256</w:t>
            </w:r>
          </w:p>
        </w:tc>
        <w:tc>
          <w:tcPr>
            <w:tcW w:w="1361" w:type="dxa"/>
            <w:tcBorders>
              <w:top w:val="nil"/>
              <w:left w:val="nil"/>
              <w:bottom w:val="nil"/>
              <w:right w:val="nil"/>
            </w:tcBorders>
            <w:shd w:val="clear" w:color="auto" w:fill="auto"/>
            <w:vAlign w:val="bottom"/>
          </w:tcPr>
          <w:p w14:paraId="7FE01F25" w14:textId="4C38ED5B" w:rsidR="00A66703" w:rsidRPr="001D41EA" w:rsidRDefault="00A66703" w:rsidP="001D41EA">
            <w:pPr>
              <w:spacing w:before="40" w:after="20"/>
              <w:jc w:val="right"/>
              <w:rPr>
                <w:rFonts w:cs="Arial"/>
                <w:sz w:val="18"/>
                <w:szCs w:val="18"/>
              </w:rPr>
            </w:pPr>
            <w:r w:rsidRPr="001D41EA">
              <w:rPr>
                <w:rFonts w:cs="Arial"/>
                <w:sz w:val="18"/>
                <w:szCs w:val="18"/>
              </w:rPr>
              <w:t>2,009,590</w:t>
            </w:r>
          </w:p>
        </w:tc>
        <w:tc>
          <w:tcPr>
            <w:tcW w:w="1361" w:type="dxa"/>
            <w:tcBorders>
              <w:top w:val="nil"/>
              <w:left w:val="nil"/>
              <w:bottom w:val="nil"/>
              <w:right w:val="nil"/>
            </w:tcBorders>
            <w:shd w:val="clear" w:color="auto" w:fill="auto"/>
            <w:vAlign w:val="bottom"/>
          </w:tcPr>
          <w:p w14:paraId="5417CC52" w14:textId="3EF69B98" w:rsidR="00A66703" w:rsidRPr="001D41EA" w:rsidRDefault="00A66703" w:rsidP="001D41EA">
            <w:pPr>
              <w:spacing w:before="40" w:after="20"/>
              <w:jc w:val="right"/>
              <w:rPr>
                <w:rFonts w:cs="Arial"/>
                <w:b/>
                <w:sz w:val="18"/>
                <w:szCs w:val="18"/>
              </w:rPr>
            </w:pPr>
            <w:r w:rsidRPr="001D41EA">
              <w:rPr>
                <w:rFonts w:cs="Arial"/>
                <w:b/>
                <w:sz w:val="18"/>
                <w:szCs w:val="18"/>
              </w:rPr>
              <w:t>6,679,846</w:t>
            </w:r>
          </w:p>
        </w:tc>
      </w:tr>
      <w:tr w:rsidR="00A66703" w:rsidRPr="001D41EA" w14:paraId="4D1CF5D4"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BA9CAD0" w14:textId="77777777" w:rsidR="00A66703" w:rsidRPr="001D41EA" w:rsidRDefault="00A66703" w:rsidP="001D41EA">
            <w:pPr>
              <w:spacing w:before="40" w:after="20"/>
              <w:rPr>
                <w:rFonts w:cs="Arial"/>
                <w:sz w:val="18"/>
                <w:szCs w:val="18"/>
              </w:rPr>
            </w:pPr>
            <w:r w:rsidRPr="001D41EA">
              <w:rPr>
                <w:rFonts w:cs="Arial"/>
                <w:sz w:val="18"/>
                <w:szCs w:val="18"/>
              </w:rPr>
              <w:t>Moreland C</w:t>
            </w:r>
          </w:p>
        </w:tc>
        <w:tc>
          <w:tcPr>
            <w:tcW w:w="1361" w:type="dxa"/>
            <w:tcBorders>
              <w:top w:val="nil"/>
              <w:left w:val="single" w:sz="18" w:space="0" w:color="5F497A" w:themeColor="accent4" w:themeShade="BF"/>
              <w:bottom w:val="nil"/>
              <w:right w:val="nil"/>
            </w:tcBorders>
            <w:shd w:val="clear" w:color="auto" w:fill="auto"/>
            <w:vAlign w:val="bottom"/>
          </w:tcPr>
          <w:p w14:paraId="3BD6768A" w14:textId="15BBE067" w:rsidR="00A66703" w:rsidRPr="001D41EA" w:rsidRDefault="00A66703" w:rsidP="001D41EA">
            <w:pPr>
              <w:spacing w:before="40" w:after="20"/>
              <w:jc w:val="right"/>
              <w:rPr>
                <w:rFonts w:cs="Arial"/>
                <w:sz w:val="18"/>
                <w:szCs w:val="18"/>
              </w:rPr>
            </w:pPr>
            <w:r w:rsidRPr="001D41EA">
              <w:rPr>
                <w:rFonts w:cs="Arial"/>
                <w:sz w:val="18"/>
                <w:szCs w:val="18"/>
              </w:rPr>
              <w:t>3,978,374</w:t>
            </w:r>
          </w:p>
        </w:tc>
        <w:tc>
          <w:tcPr>
            <w:tcW w:w="1361" w:type="dxa"/>
            <w:tcBorders>
              <w:top w:val="nil"/>
              <w:left w:val="nil"/>
              <w:bottom w:val="nil"/>
              <w:right w:val="nil"/>
            </w:tcBorders>
            <w:shd w:val="clear" w:color="auto" w:fill="auto"/>
            <w:vAlign w:val="bottom"/>
          </w:tcPr>
          <w:p w14:paraId="2D8E520B"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7EE3588" w14:textId="639C7C26" w:rsidR="00A66703" w:rsidRPr="001D41EA" w:rsidRDefault="00A66703" w:rsidP="001D41EA">
            <w:pPr>
              <w:spacing w:before="40" w:after="20"/>
              <w:jc w:val="right"/>
              <w:rPr>
                <w:rFonts w:cs="Arial"/>
                <w:sz w:val="18"/>
                <w:szCs w:val="18"/>
              </w:rPr>
            </w:pPr>
            <w:r w:rsidRPr="001D41EA">
              <w:rPr>
                <w:rFonts w:cs="Arial"/>
                <w:sz w:val="18"/>
                <w:szCs w:val="18"/>
              </w:rPr>
              <w:t>3,978,374</w:t>
            </w:r>
          </w:p>
        </w:tc>
        <w:tc>
          <w:tcPr>
            <w:tcW w:w="1361" w:type="dxa"/>
            <w:tcBorders>
              <w:top w:val="nil"/>
              <w:left w:val="nil"/>
              <w:bottom w:val="nil"/>
              <w:right w:val="nil"/>
            </w:tcBorders>
            <w:shd w:val="clear" w:color="auto" w:fill="auto"/>
            <w:vAlign w:val="bottom"/>
          </w:tcPr>
          <w:p w14:paraId="18886B77" w14:textId="0553A882" w:rsidR="00A66703" w:rsidRPr="001D41EA" w:rsidRDefault="00A66703" w:rsidP="001D41EA">
            <w:pPr>
              <w:spacing w:before="40" w:after="20"/>
              <w:jc w:val="right"/>
              <w:rPr>
                <w:rFonts w:cs="Arial"/>
                <w:sz w:val="18"/>
                <w:szCs w:val="18"/>
              </w:rPr>
            </w:pPr>
            <w:r w:rsidRPr="001D41EA">
              <w:rPr>
                <w:rFonts w:cs="Arial"/>
                <w:sz w:val="18"/>
                <w:szCs w:val="18"/>
              </w:rPr>
              <w:t>957,511</w:t>
            </w:r>
          </w:p>
        </w:tc>
        <w:tc>
          <w:tcPr>
            <w:tcW w:w="1361" w:type="dxa"/>
            <w:tcBorders>
              <w:top w:val="nil"/>
              <w:left w:val="nil"/>
              <w:bottom w:val="nil"/>
              <w:right w:val="nil"/>
            </w:tcBorders>
            <w:shd w:val="clear" w:color="auto" w:fill="auto"/>
            <w:vAlign w:val="bottom"/>
          </w:tcPr>
          <w:p w14:paraId="448F6B87" w14:textId="75742983" w:rsidR="00A66703" w:rsidRPr="001D41EA" w:rsidRDefault="00A66703" w:rsidP="001D41EA">
            <w:pPr>
              <w:spacing w:before="40" w:after="20"/>
              <w:jc w:val="right"/>
              <w:rPr>
                <w:rFonts w:cs="Arial"/>
                <w:b/>
                <w:sz w:val="18"/>
                <w:szCs w:val="18"/>
              </w:rPr>
            </w:pPr>
            <w:r w:rsidRPr="001D41EA">
              <w:rPr>
                <w:rFonts w:cs="Arial"/>
                <w:b/>
                <w:sz w:val="18"/>
                <w:szCs w:val="18"/>
              </w:rPr>
              <w:t>4,935,885</w:t>
            </w:r>
          </w:p>
        </w:tc>
      </w:tr>
      <w:tr w:rsidR="00A66703" w:rsidRPr="001D41EA" w14:paraId="65CB5450"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B0FB369" w14:textId="77777777" w:rsidR="00A66703" w:rsidRPr="001D41EA" w:rsidRDefault="00A66703" w:rsidP="001D41EA">
            <w:pPr>
              <w:spacing w:before="40" w:after="20"/>
              <w:rPr>
                <w:rFonts w:cs="Arial"/>
                <w:sz w:val="18"/>
                <w:szCs w:val="18"/>
              </w:rPr>
            </w:pPr>
            <w:r w:rsidRPr="001D41EA">
              <w:rPr>
                <w:rFonts w:cs="Arial"/>
                <w:sz w:val="18"/>
                <w:szCs w:val="18"/>
              </w:rPr>
              <w:t>Mornington Peninsula S</w:t>
            </w:r>
          </w:p>
        </w:tc>
        <w:tc>
          <w:tcPr>
            <w:tcW w:w="1361" w:type="dxa"/>
            <w:tcBorders>
              <w:top w:val="nil"/>
              <w:left w:val="single" w:sz="18" w:space="0" w:color="5F497A" w:themeColor="accent4" w:themeShade="BF"/>
              <w:bottom w:val="nil"/>
              <w:right w:val="nil"/>
            </w:tcBorders>
            <w:shd w:val="clear" w:color="auto" w:fill="auto"/>
            <w:vAlign w:val="bottom"/>
          </w:tcPr>
          <w:p w14:paraId="5462A47A" w14:textId="04697FD4" w:rsidR="00A66703" w:rsidRPr="001D41EA" w:rsidRDefault="00A66703" w:rsidP="001D41EA">
            <w:pPr>
              <w:spacing w:before="40" w:after="20"/>
              <w:jc w:val="right"/>
              <w:rPr>
                <w:rFonts w:cs="Arial"/>
                <w:sz w:val="18"/>
                <w:szCs w:val="18"/>
              </w:rPr>
            </w:pPr>
            <w:r w:rsidRPr="001D41EA">
              <w:rPr>
                <w:rFonts w:cs="Arial"/>
                <w:sz w:val="18"/>
                <w:szCs w:val="18"/>
              </w:rPr>
              <w:t>3,507,959</w:t>
            </w:r>
          </w:p>
        </w:tc>
        <w:tc>
          <w:tcPr>
            <w:tcW w:w="1361" w:type="dxa"/>
            <w:tcBorders>
              <w:top w:val="nil"/>
              <w:left w:val="nil"/>
              <w:bottom w:val="nil"/>
              <w:right w:val="nil"/>
            </w:tcBorders>
            <w:shd w:val="clear" w:color="auto" w:fill="auto"/>
            <w:vAlign w:val="bottom"/>
          </w:tcPr>
          <w:p w14:paraId="674CB45C" w14:textId="3D1801BF"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4B017AD" w14:textId="5E599798" w:rsidR="00A66703" w:rsidRPr="001D41EA" w:rsidRDefault="00A66703" w:rsidP="001D41EA">
            <w:pPr>
              <w:spacing w:before="40" w:after="20"/>
              <w:jc w:val="right"/>
              <w:rPr>
                <w:rFonts w:cs="Arial"/>
                <w:sz w:val="18"/>
                <w:szCs w:val="18"/>
              </w:rPr>
            </w:pPr>
            <w:r w:rsidRPr="001D41EA">
              <w:rPr>
                <w:rFonts w:cs="Arial"/>
                <w:sz w:val="18"/>
                <w:szCs w:val="18"/>
              </w:rPr>
              <w:t>3,507,959</w:t>
            </w:r>
          </w:p>
        </w:tc>
        <w:tc>
          <w:tcPr>
            <w:tcW w:w="1361" w:type="dxa"/>
            <w:tcBorders>
              <w:top w:val="nil"/>
              <w:left w:val="nil"/>
              <w:bottom w:val="nil"/>
              <w:right w:val="nil"/>
            </w:tcBorders>
            <w:shd w:val="clear" w:color="auto" w:fill="auto"/>
            <w:vAlign w:val="bottom"/>
          </w:tcPr>
          <w:p w14:paraId="7288EAB0" w14:textId="2E19892C" w:rsidR="00A66703" w:rsidRPr="001D41EA" w:rsidRDefault="00A66703" w:rsidP="001D41EA">
            <w:pPr>
              <w:spacing w:before="40" w:after="20"/>
              <w:jc w:val="right"/>
              <w:rPr>
                <w:rFonts w:cs="Arial"/>
                <w:sz w:val="18"/>
                <w:szCs w:val="18"/>
              </w:rPr>
            </w:pPr>
            <w:r w:rsidRPr="001D41EA">
              <w:rPr>
                <w:rFonts w:cs="Arial"/>
                <w:sz w:val="18"/>
                <w:szCs w:val="18"/>
              </w:rPr>
              <w:t>2,537,664</w:t>
            </w:r>
          </w:p>
        </w:tc>
        <w:tc>
          <w:tcPr>
            <w:tcW w:w="1361" w:type="dxa"/>
            <w:tcBorders>
              <w:top w:val="nil"/>
              <w:left w:val="nil"/>
              <w:bottom w:val="nil"/>
              <w:right w:val="nil"/>
            </w:tcBorders>
            <w:shd w:val="clear" w:color="auto" w:fill="auto"/>
            <w:vAlign w:val="bottom"/>
          </w:tcPr>
          <w:p w14:paraId="09A04D8A" w14:textId="24B0267E" w:rsidR="00A66703" w:rsidRPr="001D41EA" w:rsidRDefault="00A66703" w:rsidP="001D41EA">
            <w:pPr>
              <w:spacing w:before="40" w:after="20"/>
              <w:jc w:val="right"/>
              <w:rPr>
                <w:rFonts w:cs="Arial"/>
                <w:b/>
                <w:sz w:val="18"/>
                <w:szCs w:val="18"/>
              </w:rPr>
            </w:pPr>
            <w:r w:rsidRPr="001D41EA">
              <w:rPr>
                <w:rFonts w:cs="Arial"/>
                <w:b/>
                <w:sz w:val="18"/>
                <w:szCs w:val="18"/>
              </w:rPr>
              <w:t>6,045,623</w:t>
            </w:r>
          </w:p>
        </w:tc>
      </w:tr>
      <w:tr w:rsidR="00A66703" w:rsidRPr="001D41EA" w14:paraId="1D7002AA"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46E6F35" w14:textId="77777777" w:rsidR="00A66703" w:rsidRPr="001D41EA" w:rsidRDefault="00A66703" w:rsidP="001D41EA">
            <w:pPr>
              <w:spacing w:before="40" w:after="20"/>
              <w:rPr>
                <w:rFonts w:cs="Arial"/>
                <w:sz w:val="18"/>
                <w:szCs w:val="18"/>
              </w:rPr>
            </w:pPr>
            <w:r w:rsidRPr="001D41EA">
              <w:rPr>
                <w:rFonts w:cs="Arial"/>
                <w:sz w:val="18"/>
                <w:szCs w:val="18"/>
              </w:rPr>
              <w:t>Mount Alexander S</w:t>
            </w:r>
          </w:p>
        </w:tc>
        <w:tc>
          <w:tcPr>
            <w:tcW w:w="1361" w:type="dxa"/>
            <w:tcBorders>
              <w:top w:val="nil"/>
              <w:left w:val="single" w:sz="18" w:space="0" w:color="5F497A" w:themeColor="accent4" w:themeShade="BF"/>
              <w:bottom w:val="nil"/>
              <w:right w:val="nil"/>
            </w:tcBorders>
            <w:shd w:val="clear" w:color="auto" w:fill="auto"/>
            <w:vAlign w:val="bottom"/>
          </w:tcPr>
          <w:p w14:paraId="5BAD1E8B" w14:textId="14C16A85" w:rsidR="00A66703" w:rsidRPr="001D41EA" w:rsidRDefault="00A66703" w:rsidP="001D41EA">
            <w:pPr>
              <w:spacing w:before="40" w:after="20"/>
              <w:jc w:val="right"/>
              <w:rPr>
                <w:rFonts w:cs="Arial"/>
                <w:sz w:val="18"/>
                <w:szCs w:val="18"/>
              </w:rPr>
            </w:pPr>
            <w:r w:rsidRPr="001D41EA">
              <w:rPr>
                <w:rFonts w:cs="Arial"/>
                <w:sz w:val="18"/>
                <w:szCs w:val="18"/>
              </w:rPr>
              <w:t>3,458,706</w:t>
            </w:r>
          </w:p>
        </w:tc>
        <w:tc>
          <w:tcPr>
            <w:tcW w:w="1361" w:type="dxa"/>
            <w:tcBorders>
              <w:top w:val="nil"/>
              <w:left w:val="nil"/>
              <w:bottom w:val="nil"/>
              <w:right w:val="nil"/>
            </w:tcBorders>
            <w:shd w:val="clear" w:color="auto" w:fill="auto"/>
            <w:vAlign w:val="bottom"/>
          </w:tcPr>
          <w:p w14:paraId="1B798F9E" w14:textId="7B95DA52"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1876110" w14:textId="5B203360" w:rsidR="00A66703" w:rsidRPr="001D41EA" w:rsidRDefault="00A66703" w:rsidP="001D41EA">
            <w:pPr>
              <w:spacing w:before="40" w:after="20"/>
              <w:jc w:val="right"/>
              <w:rPr>
                <w:rFonts w:cs="Arial"/>
                <w:sz w:val="18"/>
                <w:szCs w:val="18"/>
              </w:rPr>
            </w:pPr>
            <w:r w:rsidRPr="001D41EA">
              <w:rPr>
                <w:rFonts w:cs="Arial"/>
                <w:sz w:val="18"/>
                <w:szCs w:val="18"/>
              </w:rPr>
              <w:t>3,458,706</w:t>
            </w:r>
          </w:p>
        </w:tc>
        <w:tc>
          <w:tcPr>
            <w:tcW w:w="1361" w:type="dxa"/>
            <w:tcBorders>
              <w:top w:val="nil"/>
              <w:left w:val="nil"/>
              <w:bottom w:val="nil"/>
              <w:right w:val="nil"/>
            </w:tcBorders>
            <w:shd w:val="clear" w:color="auto" w:fill="auto"/>
            <w:vAlign w:val="bottom"/>
          </w:tcPr>
          <w:p w14:paraId="61A37349" w14:textId="7D5FD984" w:rsidR="00A66703" w:rsidRPr="001D41EA" w:rsidRDefault="00A66703" w:rsidP="001D41EA">
            <w:pPr>
              <w:spacing w:before="40" w:after="20"/>
              <w:jc w:val="right"/>
              <w:rPr>
                <w:rFonts w:cs="Arial"/>
                <w:sz w:val="18"/>
                <w:szCs w:val="18"/>
              </w:rPr>
            </w:pPr>
            <w:r w:rsidRPr="001D41EA">
              <w:rPr>
                <w:rFonts w:cs="Arial"/>
                <w:sz w:val="18"/>
                <w:szCs w:val="18"/>
              </w:rPr>
              <w:t>1,756,728</w:t>
            </w:r>
          </w:p>
        </w:tc>
        <w:tc>
          <w:tcPr>
            <w:tcW w:w="1361" w:type="dxa"/>
            <w:tcBorders>
              <w:top w:val="nil"/>
              <w:left w:val="nil"/>
              <w:bottom w:val="nil"/>
              <w:right w:val="nil"/>
            </w:tcBorders>
            <w:shd w:val="clear" w:color="auto" w:fill="auto"/>
            <w:vAlign w:val="bottom"/>
          </w:tcPr>
          <w:p w14:paraId="568A9481" w14:textId="61288F84" w:rsidR="00A66703" w:rsidRPr="001D41EA" w:rsidRDefault="00A66703" w:rsidP="001D41EA">
            <w:pPr>
              <w:spacing w:before="40" w:after="20"/>
              <w:jc w:val="right"/>
              <w:rPr>
                <w:rFonts w:cs="Arial"/>
                <w:b/>
                <w:sz w:val="18"/>
                <w:szCs w:val="18"/>
              </w:rPr>
            </w:pPr>
            <w:r w:rsidRPr="001D41EA">
              <w:rPr>
                <w:rFonts w:cs="Arial"/>
                <w:b/>
                <w:sz w:val="18"/>
                <w:szCs w:val="18"/>
              </w:rPr>
              <w:t>5,215,434</w:t>
            </w:r>
          </w:p>
        </w:tc>
      </w:tr>
      <w:tr w:rsidR="00A66703" w:rsidRPr="001D41EA" w14:paraId="029D81BD"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D22F983" w14:textId="77777777" w:rsidR="00A66703" w:rsidRPr="001D41EA" w:rsidRDefault="00A66703" w:rsidP="001D41EA">
            <w:pPr>
              <w:spacing w:before="40" w:after="20"/>
              <w:rPr>
                <w:rFonts w:cs="Arial"/>
                <w:sz w:val="18"/>
                <w:szCs w:val="18"/>
              </w:rPr>
            </w:pPr>
            <w:r w:rsidRPr="001D41EA">
              <w:rPr>
                <w:rFonts w:cs="Arial"/>
                <w:sz w:val="18"/>
                <w:szCs w:val="18"/>
              </w:rPr>
              <w:t>Moyne S</w:t>
            </w:r>
          </w:p>
        </w:tc>
        <w:tc>
          <w:tcPr>
            <w:tcW w:w="1361" w:type="dxa"/>
            <w:tcBorders>
              <w:top w:val="nil"/>
              <w:left w:val="single" w:sz="18" w:space="0" w:color="5F497A" w:themeColor="accent4" w:themeShade="BF"/>
              <w:bottom w:val="nil"/>
              <w:right w:val="nil"/>
            </w:tcBorders>
            <w:shd w:val="clear" w:color="auto" w:fill="auto"/>
            <w:vAlign w:val="bottom"/>
          </w:tcPr>
          <w:p w14:paraId="71CB1AE9" w14:textId="6C16B0D0" w:rsidR="00A66703" w:rsidRPr="001D41EA" w:rsidRDefault="00A66703" w:rsidP="001D41EA">
            <w:pPr>
              <w:spacing w:before="40" w:after="20"/>
              <w:jc w:val="right"/>
              <w:rPr>
                <w:rFonts w:cs="Arial"/>
                <w:sz w:val="18"/>
                <w:szCs w:val="18"/>
              </w:rPr>
            </w:pPr>
            <w:r w:rsidRPr="001D41EA">
              <w:rPr>
                <w:rFonts w:cs="Arial"/>
                <w:sz w:val="18"/>
                <w:szCs w:val="18"/>
              </w:rPr>
              <w:t>4,706,297</w:t>
            </w:r>
          </w:p>
        </w:tc>
        <w:tc>
          <w:tcPr>
            <w:tcW w:w="1361" w:type="dxa"/>
            <w:tcBorders>
              <w:top w:val="nil"/>
              <w:left w:val="nil"/>
              <w:bottom w:val="nil"/>
              <w:right w:val="nil"/>
            </w:tcBorders>
            <w:shd w:val="clear" w:color="auto" w:fill="auto"/>
            <w:vAlign w:val="bottom"/>
          </w:tcPr>
          <w:p w14:paraId="17D45475" w14:textId="3D8A110D" w:rsidR="00A66703" w:rsidRPr="001D41EA" w:rsidRDefault="00A66703" w:rsidP="001D41EA">
            <w:pPr>
              <w:spacing w:before="40" w:after="20"/>
              <w:jc w:val="right"/>
              <w:rPr>
                <w:rFonts w:cs="Arial"/>
                <w:sz w:val="18"/>
                <w:szCs w:val="18"/>
              </w:rPr>
            </w:pPr>
            <w:r w:rsidRPr="001D41EA">
              <w:rPr>
                <w:rFonts w:cs="Arial"/>
                <w:sz w:val="18"/>
                <w:szCs w:val="18"/>
              </w:rPr>
              <w:t>35,000</w:t>
            </w:r>
          </w:p>
        </w:tc>
        <w:tc>
          <w:tcPr>
            <w:tcW w:w="1361" w:type="dxa"/>
            <w:tcBorders>
              <w:top w:val="nil"/>
              <w:left w:val="nil"/>
              <w:bottom w:val="nil"/>
              <w:right w:val="nil"/>
            </w:tcBorders>
            <w:shd w:val="clear" w:color="auto" w:fill="auto"/>
            <w:vAlign w:val="bottom"/>
          </w:tcPr>
          <w:p w14:paraId="47B8D110" w14:textId="74BCF25E" w:rsidR="00A66703" w:rsidRPr="001D41EA" w:rsidRDefault="00A66703" w:rsidP="001D41EA">
            <w:pPr>
              <w:spacing w:before="40" w:after="20"/>
              <w:jc w:val="right"/>
              <w:rPr>
                <w:rFonts w:cs="Arial"/>
                <w:sz w:val="18"/>
                <w:szCs w:val="18"/>
              </w:rPr>
            </w:pPr>
            <w:r w:rsidRPr="001D41EA">
              <w:rPr>
                <w:rFonts w:cs="Arial"/>
                <w:sz w:val="18"/>
                <w:szCs w:val="18"/>
              </w:rPr>
              <w:t>4,741,297</w:t>
            </w:r>
          </w:p>
        </w:tc>
        <w:tc>
          <w:tcPr>
            <w:tcW w:w="1361" w:type="dxa"/>
            <w:tcBorders>
              <w:top w:val="nil"/>
              <w:left w:val="nil"/>
              <w:bottom w:val="nil"/>
              <w:right w:val="nil"/>
            </w:tcBorders>
            <w:shd w:val="clear" w:color="auto" w:fill="auto"/>
            <w:vAlign w:val="bottom"/>
          </w:tcPr>
          <w:p w14:paraId="1839345F" w14:textId="0FAAE767" w:rsidR="00A66703" w:rsidRPr="001D41EA" w:rsidRDefault="00A66703" w:rsidP="001D41EA">
            <w:pPr>
              <w:spacing w:before="40" w:after="20"/>
              <w:jc w:val="right"/>
              <w:rPr>
                <w:rFonts w:cs="Arial"/>
                <w:sz w:val="18"/>
                <w:szCs w:val="18"/>
              </w:rPr>
            </w:pPr>
            <w:r w:rsidRPr="001D41EA">
              <w:rPr>
                <w:rFonts w:cs="Arial"/>
                <w:sz w:val="18"/>
                <w:szCs w:val="18"/>
              </w:rPr>
              <w:t>4,226,011</w:t>
            </w:r>
          </w:p>
        </w:tc>
        <w:tc>
          <w:tcPr>
            <w:tcW w:w="1361" w:type="dxa"/>
            <w:tcBorders>
              <w:top w:val="nil"/>
              <w:left w:val="nil"/>
              <w:bottom w:val="nil"/>
              <w:right w:val="nil"/>
            </w:tcBorders>
            <w:shd w:val="clear" w:color="auto" w:fill="auto"/>
            <w:vAlign w:val="bottom"/>
          </w:tcPr>
          <w:p w14:paraId="659AE704" w14:textId="2A7C1996" w:rsidR="00A66703" w:rsidRPr="001D41EA" w:rsidRDefault="00A66703" w:rsidP="001D41EA">
            <w:pPr>
              <w:spacing w:before="40" w:after="20"/>
              <w:jc w:val="right"/>
              <w:rPr>
                <w:rFonts w:cs="Arial"/>
                <w:b/>
                <w:sz w:val="18"/>
                <w:szCs w:val="18"/>
              </w:rPr>
            </w:pPr>
            <w:r w:rsidRPr="001D41EA">
              <w:rPr>
                <w:rFonts w:cs="Arial"/>
                <w:b/>
                <w:sz w:val="18"/>
                <w:szCs w:val="18"/>
              </w:rPr>
              <w:t>8,967,308</w:t>
            </w:r>
          </w:p>
        </w:tc>
      </w:tr>
      <w:tr w:rsidR="00A66703" w:rsidRPr="001D41EA" w14:paraId="72EBACFC"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F86D7BF" w14:textId="77777777" w:rsidR="00A66703" w:rsidRPr="001D41EA" w:rsidRDefault="00A66703" w:rsidP="001D41EA">
            <w:pPr>
              <w:spacing w:before="40" w:after="20"/>
              <w:rPr>
                <w:rFonts w:cs="Arial"/>
                <w:sz w:val="18"/>
                <w:szCs w:val="18"/>
              </w:rPr>
            </w:pPr>
            <w:r w:rsidRPr="001D41EA">
              <w:rPr>
                <w:rFonts w:cs="Arial"/>
                <w:sz w:val="18"/>
                <w:szCs w:val="18"/>
              </w:rPr>
              <w:t>Murrindindi S</w:t>
            </w:r>
          </w:p>
        </w:tc>
        <w:tc>
          <w:tcPr>
            <w:tcW w:w="1361" w:type="dxa"/>
            <w:tcBorders>
              <w:top w:val="nil"/>
              <w:left w:val="single" w:sz="18" w:space="0" w:color="5F497A" w:themeColor="accent4" w:themeShade="BF"/>
              <w:bottom w:val="nil"/>
              <w:right w:val="nil"/>
            </w:tcBorders>
            <w:shd w:val="clear" w:color="auto" w:fill="auto"/>
            <w:vAlign w:val="bottom"/>
          </w:tcPr>
          <w:p w14:paraId="230F9B0C" w14:textId="75EE47AF" w:rsidR="00A66703" w:rsidRPr="001D41EA" w:rsidRDefault="00A66703" w:rsidP="001D41EA">
            <w:pPr>
              <w:spacing w:before="40" w:after="20"/>
              <w:jc w:val="right"/>
              <w:rPr>
                <w:rFonts w:cs="Arial"/>
                <w:sz w:val="18"/>
                <w:szCs w:val="18"/>
              </w:rPr>
            </w:pPr>
            <w:r w:rsidRPr="001D41EA">
              <w:rPr>
                <w:rFonts w:cs="Arial"/>
                <w:sz w:val="18"/>
                <w:szCs w:val="18"/>
              </w:rPr>
              <w:t>3,145,271</w:t>
            </w:r>
          </w:p>
        </w:tc>
        <w:tc>
          <w:tcPr>
            <w:tcW w:w="1361" w:type="dxa"/>
            <w:tcBorders>
              <w:top w:val="nil"/>
              <w:left w:val="nil"/>
              <w:bottom w:val="nil"/>
              <w:right w:val="nil"/>
            </w:tcBorders>
            <w:shd w:val="clear" w:color="auto" w:fill="auto"/>
            <w:vAlign w:val="bottom"/>
          </w:tcPr>
          <w:p w14:paraId="28BBF20E"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D41BCA1" w14:textId="51410D9E" w:rsidR="00A66703" w:rsidRPr="001D41EA" w:rsidRDefault="00A66703" w:rsidP="001D41EA">
            <w:pPr>
              <w:spacing w:before="40" w:after="20"/>
              <w:jc w:val="right"/>
              <w:rPr>
                <w:rFonts w:cs="Arial"/>
                <w:sz w:val="18"/>
                <w:szCs w:val="18"/>
              </w:rPr>
            </w:pPr>
            <w:r w:rsidRPr="001D41EA">
              <w:rPr>
                <w:rFonts w:cs="Arial"/>
                <w:sz w:val="18"/>
                <w:szCs w:val="18"/>
              </w:rPr>
              <w:t>3,145,271</w:t>
            </w:r>
          </w:p>
        </w:tc>
        <w:tc>
          <w:tcPr>
            <w:tcW w:w="1361" w:type="dxa"/>
            <w:tcBorders>
              <w:top w:val="nil"/>
              <w:left w:val="nil"/>
              <w:bottom w:val="nil"/>
              <w:right w:val="nil"/>
            </w:tcBorders>
            <w:shd w:val="clear" w:color="auto" w:fill="auto"/>
            <w:vAlign w:val="bottom"/>
          </w:tcPr>
          <w:p w14:paraId="6DEE5982" w14:textId="47B448C7" w:rsidR="00A66703" w:rsidRPr="001D41EA" w:rsidRDefault="00A66703" w:rsidP="001D41EA">
            <w:pPr>
              <w:spacing w:before="40" w:after="20"/>
              <w:jc w:val="right"/>
              <w:rPr>
                <w:rFonts w:cs="Arial"/>
                <w:sz w:val="18"/>
                <w:szCs w:val="18"/>
              </w:rPr>
            </w:pPr>
            <w:r w:rsidRPr="001D41EA">
              <w:rPr>
                <w:rFonts w:cs="Arial"/>
                <w:sz w:val="18"/>
                <w:szCs w:val="18"/>
              </w:rPr>
              <w:t>1,715,754</w:t>
            </w:r>
          </w:p>
        </w:tc>
        <w:tc>
          <w:tcPr>
            <w:tcW w:w="1361" w:type="dxa"/>
            <w:tcBorders>
              <w:top w:val="nil"/>
              <w:left w:val="nil"/>
              <w:bottom w:val="nil"/>
              <w:right w:val="nil"/>
            </w:tcBorders>
            <w:shd w:val="clear" w:color="auto" w:fill="auto"/>
            <w:vAlign w:val="bottom"/>
          </w:tcPr>
          <w:p w14:paraId="6BECB514" w14:textId="6A58E716" w:rsidR="00A66703" w:rsidRPr="001D41EA" w:rsidRDefault="00A66703" w:rsidP="001D41EA">
            <w:pPr>
              <w:spacing w:before="40" w:after="20"/>
              <w:jc w:val="right"/>
              <w:rPr>
                <w:rFonts w:cs="Arial"/>
                <w:b/>
                <w:sz w:val="18"/>
                <w:szCs w:val="18"/>
              </w:rPr>
            </w:pPr>
            <w:r w:rsidRPr="001D41EA">
              <w:rPr>
                <w:rFonts w:cs="Arial"/>
                <w:b/>
                <w:sz w:val="18"/>
                <w:szCs w:val="18"/>
              </w:rPr>
              <w:t>4,861,025</w:t>
            </w:r>
          </w:p>
        </w:tc>
      </w:tr>
      <w:tr w:rsidR="00A66703" w:rsidRPr="001D41EA" w14:paraId="033B624F"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6582EF7" w14:textId="77777777" w:rsidR="00A66703" w:rsidRPr="001D41EA" w:rsidRDefault="00A66703" w:rsidP="001D41EA">
            <w:pPr>
              <w:spacing w:before="40" w:after="20"/>
              <w:rPr>
                <w:rFonts w:cs="Arial"/>
                <w:sz w:val="18"/>
                <w:szCs w:val="18"/>
              </w:rPr>
            </w:pPr>
            <w:r w:rsidRPr="001D41EA">
              <w:rPr>
                <w:rFonts w:cs="Arial"/>
                <w:sz w:val="18"/>
                <w:szCs w:val="18"/>
              </w:rPr>
              <w:t>Nillumbik S</w:t>
            </w:r>
          </w:p>
        </w:tc>
        <w:tc>
          <w:tcPr>
            <w:tcW w:w="1361" w:type="dxa"/>
            <w:tcBorders>
              <w:top w:val="nil"/>
              <w:left w:val="single" w:sz="18" w:space="0" w:color="5F497A" w:themeColor="accent4" w:themeShade="BF"/>
              <w:bottom w:val="nil"/>
              <w:right w:val="nil"/>
            </w:tcBorders>
            <w:shd w:val="clear" w:color="auto" w:fill="auto"/>
            <w:vAlign w:val="bottom"/>
          </w:tcPr>
          <w:p w14:paraId="100E9778" w14:textId="6FA62D4D" w:rsidR="00A66703" w:rsidRPr="001D41EA" w:rsidRDefault="00A66703" w:rsidP="001D41EA">
            <w:pPr>
              <w:spacing w:before="40" w:after="20"/>
              <w:jc w:val="right"/>
              <w:rPr>
                <w:rFonts w:cs="Arial"/>
                <w:sz w:val="18"/>
                <w:szCs w:val="18"/>
              </w:rPr>
            </w:pPr>
            <w:r w:rsidRPr="001D41EA">
              <w:rPr>
                <w:rFonts w:cs="Arial"/>
                <w:sz w:val="18"/>
                <w:szCs w:val="18"/>
              </w:rPr>
              <w:t>1,952,123</w:t>
            </w:r>
          </w:p>
        </w:tc>
        <w:tc>
          <w:tcPr>
            <w:tcW w:w="1361" w:type="dxa"/>
            <w:tcBorders>
              <w:top w:val="nil"/>
              <w:left w:val="nil"/>
              <w:bottom w:val="nil"/>
              <w:right w:val="nil"/>
            </w:tcBorders>
            <w:shd w:val="clear" w:color="auto" w:fill="auto"/>
            <w:vAlign w:val="bottom"/>
          </w:tcPr>
          <w:p w14:paraId="1AD592FD" w14:textId="5524DBE8" w:rsidR="00A66703" w:rsidRPr="001D41EA" w:rsidRDefault="00A66703" w:rsidP="001D41EA">
            <w:pPr>
              <w:spacing w:before="40" w:after="20"/>
              <w:jc w:val="right"/>
              <w:rPr>
                <w:rFonts w:cs="Arial"/>
                <w:sz w:val="18"/>
                <w:szCs w:val="18"/>
              </w:rPr>
            </w:pPr>
            <w:r w:rsidRPr="001D41EA">
              <w:rPr>
                <w:rFonts w:cs="Arial"/>
                <w:sz w:val="18"/>
                <w:szCs w:val="18"/>
              </w:rPr>
              <w:t>46,529</w:t>
            </w:r>
          </w:p>
        </w:tc>
        <w:tc>
          <w:tcPr>
            <w:tcW w:w="1361" w:type="dxa"/>
            <w:tcBorders>
              <w:top w:val="nil"/>
              <w:left w:val="nil"/>
              <w:bottom w:val="nil"/>
              <w:right w:val="nil"/>
            </w:tcBorders>
            <w:shd w:val="clear" w:color="auto" w:fill="auto"/>
            <w:vAlign w:val="bottom"/>
          </w:tcPr>
          <w:p w14:paraId="0E74B6D3" w14:textId="021533B8" w:rsidR="00A66703" w:rsidRPr="001D41EA" w:rsidRDefault="00A66703" w:rsidP="001D41EA">
            <w:pPr>
              <w:spacing w:before="40" w:after="20"/>
              <w:jc w:val="right"/>
              <w:rPr>
                <w:rFonts w:cs="Arial"/>
                <w:sz w:val="18"/>
                <w:szCs w:val="18"/>
              </w:rPr>
            </w:pPr>
            <w:r w:rsidRPr="001D41EA">
              <w:rPr>
                <w:rFonts w:cs="Arial"/>
                <w:sz w:val="18"/>
                <w:szCs w:val="18"/>
              </w:rPr>
              <w:t>1,998,652</w:t>
            </w:r>
          </w:p>
        </w:tc>
        <w:tc>
          <w:tcPr>
            <w:tcW w:w="1361" w:type="dxa"/>
            <w:tcBorders>
              <w:top w:val="nil"/>
              <w:left w:val="nil"/>
              <w:bottom w:val="nil"/>
              <w:right w:val="nil"/>
            </w:tcBorders>
            <w:shd w:val="clear" w:color="auto" w:fill="auto"/>
            <w:vAlign w:val="bottom"/>
          </w:tcPr>
          <w:p w14:paraId="2E9677FF" w14:textId="026DC48F" w:rsidR="00A66703" w:rsidRPr="001D41EA" w:rsidRDefault="00A66703" w:rsidP="001D41EA">
            <w:pPr>
              <w:spacing w:before="40" w:after="20"/>
              <w:jc w:val="right"/>
              <w:rPr>
                <w:rFonts w:cs="Arial"/>
                <w:sz w:val="18"/>
                <w:szCs w:val="18"/>
              </w:rPr>
            </w:pPr>
            <w:r w:rsidRPr="001D41EA">
              <w:rPr>
                <w:rFonts w:cs="Arial"/>
                <w:sz w:val="18"/>
                <w:szCs w:val="18"/>
              </w:rPr>
              <w:t>1,168,964</w:t>
            </w:r>
          </w:p>
        </w:tc>
        <w:tc>
          <w:tcPr>
            <w:tcW w:w="1361" w:type="dxa"/>
            <w:tcBorders>
              <w:top w:val="nil"/>
              <w:left w:val="nil"/>
              <w:bottom w:val="nil"/>
              <w:right w:val="nil"/>
            </w:tcBorders>
            <w:shd w:val="clear" w:color="auto" w:fill="auto"/>
            <w:vAlign w:val="bottom"/>
          </w:tcPr>
          <w:p w14:paraId="5D864614" w14:textId="481A4398" w:rsidR="00A66703" w:rsidRPr="001D41EA" w:rsidRDefault="00A66703" w:rsidP="001D41EA">
            <w:pPr>
              <w:spacing w:before="40" w:after="20"/>
              <w:jc w:val="right"/>
              <w:rPr>
                <w:rFonts w:cs="Arial"/>
                <w:b/>
                <w:sz w:val="18"/>
                <w:szCs w:val="18"/>
              </w:rPr>
            </w:pPr>
            <w:r w:rsidRPr="001D41EA">
              <w:rPr>
                <w:rFonts w:cs="Arial"/>
                <w:b/>
                <w:sz w:val="18"/>
                <w:szCs w:val="18"/>
              </w:rPr>
              <w:t>3,167,616</w:t>
            </w:r>
          </w:p>
        </w:tc>
      </w:tr>
      <w:tr w:rsidR="00A66703" w:rsidRPr="001D41EA" w14:paraId="2B5AD111"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837198A" w14:textId="77777777" w:rsidR="00A66703" w:rsidRPr="001D41EA" w:rsidRDefault="00A66703" w:rsidP="001D41EA">
            <w:pPr>
              <w:spacing w:before="40" w:after="20"/>
              <w:rPr>
                <w:rFonts w:cs="Arial"/>
                <w:sz w:val="18"/>
                <w:szCs w:val="18"/>
              </w:rPr>
            </w:pPr>
            <w:r w:rsidRPr="001D41EA">
              <w:rPr>
                <w:rFonts w:cs="Arial"/>
                <w:sz w:val="18"/>
                <w:szCs w:val="18"/>
              </w:rPr>
              <w:t>Northern Grampians S</w:t>
            </w:r>
          </w:p>
        </w:tc>
        <w:tc>
          <w:tcPr>
            <w:tcW w:w="1361" w:type="dxa"/>
            <w:tcBorders>
              <w:top w:val="nil"/>
              <w:left w:val="single" w:sz="18" w:space="0" w:color="5F497A" w:themeColor="accent4" w:themeShade="BF"/>
              <w:bottom w:val="nil"/>
              <w:right w:val="nil"/>
            </w:tcBorders>
            <w:shd w:val="clear" w:color="auto" w:fill="auto"/>
            <w:vAlign w:val="bottom"/>
          </w:tcPr>
          <w:p w14:paraId="14DB7664" w14:textId="329FFE0C" w:rsidR="00A66703" w:rsidRPr="001D41EA" w:rsidRDefault="00A66703" w:rsidP="001D41EA">
            <w:pPr>
              <w:spacing w:before="40" w:after="20"/>
              <w:jc w:val="right"/>
              <w:rPr>
                <w:rFonts w:cs="Arial"/>
                <w:sz w:val="18"/>
                <w:szCs w:val="18"/>
              </w:rPr>
            </w:pPr>
            <w:r w:rsidRPr="001D41EA">
              <w:rPr>
                <w:rFonts w:cs="Arial"/>
                <w:sz w:val="18"/>
                <w:szCs w:val="18"/>
              </w:rPr>
              <w:t>4,856,329</w:t>
            </w:r>
          </w:p>
        </w:tc>
        <w:tc>
          <w:tcPr>
            <w:tcW w:w="1361" w:type="dxa"/>
            <w:tcBorders>
              <w:top w:val="nil"/>
              <w:left w:val="nil"/>
              <w:bottom w:val="nil"/>
              <w:right w:val="nil"/>
            </w:tcBorders>
            <w:shd w:val="clear" w:color="auto" w:fill="auto"/>
            <w:vAlign w:val="bottom"/>
          </w:tcPr>
          <w:p w14:paraId="425987BC" w14:textId="3EE1F0C5" w:rsidR="00A66703" w:rsidRPr="001D41EA" w:rsidRDefault="00A66703" w:rsidP="001D41EA">
            <w:pPr>
              <w:spacing w:before="40" w:after="20"/>
              <w:jc w:val="right"/>
              <w:rPr>
                <w:rFonts w:cs="Arial"/>
                <w:sz w:val="18"/>
                <w:szCs w:val="18"/>
              </w:rPr>
            </w:pPr>
            <w:r w:rsidRPr="001D41EA">
              <w:rPr>
                <w:rFonts w:cs="Arial"/>
                <w:sz w:val="18"/>
                <w:szCs w:val="18"/>
              </w:rPr>
              <w:t>35,000</w:t>
            </w:r>
          </w:p>
        </w:tc>
        <w:tc>
          <w:tcPr>
            <w:tcW w:w="1361" w:type="dxa"/>
            <w:tcBorders>
              <w:top w:val="nil"/>
              <w:left w:val="nil"/>
              <w:bottom w:val="nil"/>
              <w:right w:val="nil"/>
            </w:tcBorders>
            <w:shd w:val="clear" w:color="auto" w:fill="auto"/>
            <w:vAlign w:val="bottom"/>
          </w:tcPr>
          <w:p w14:paraId="7FB913FB" w14:textId="7CDE8A4F" w:rsidR="00A66703" w:rsidRPr="001D41EA" w:rsidRDefault="00A66703" w:rsidP="001D41EA">
            <w:pPr>
              <w:spacing w:before="40" w:after="20"/>
              <w:jc w:val="right"/>
              <w:rPr>
                <w:rFonts w:cs="Arial"/>
                <w:sz w:val="18"/>
                <w:szCs w:val="18"/>
              </w:rPr>
            </w:pPr>
            <w:r w:rsidRPr="001D41EA">
              <w:rPr>
                <w:rFonts w:cs="Arial"/>
                <w:sz w:val="18"/>
                <w:szCs w:val="18"/>
              </w:rPr>
              <w:t>4,891,329</w:t>
            </w:r>
          </w:p>
        </w:tc>
        <w:tc>
          <w:tcPr>
            <w:tcW w:w="1361" w:type="dxa"/>
            <w:tcBorders>
              <w:top w:val="nil"/>
              <w:left w:val="nil"/>
              <w:bottom w:val="nil"/>
              <w:right w:val="nil"/>
            </w:tcBorders>
            <w:shd w:val="clear" w:color="auto" w:fill="auto"/>
            <w:vAlign w:val="bottom"/>
          </w:tcPr>
          <w:p w14:paraId="7A407878" w14:textId="006CE340" w:rsidR="00A66703" w:rsidRPr="001D41EA" w:rsidRDefault="00A66703" w:rsidP="001D41EA">
            <w:pPr>
              <w:spacing w:before="40" w:after="20"/>
              <w:jc w:val="right"/>
              <w:rPr>
                <w:rFonts w:cs="Arial"/>
                <w:sz w:val="18"/>
                <w:szCs w:val="18"/>
              </w:rPr>
            </w:pPr>
            <w:r w:rsidRPr="001D41EA">
              <w:rPr>
                <w:rFonts w:cs="Arial"/>
                <w:sz w:val="18"/>
                <w:szCs w:val="18"/>
              </w:rPr>
              <w:t>2,947,103</w:t>
            </w:r>
          </w:p>
        </w:tc>
        <w:tc>
          <w:tcPr>
            <w:tcW w:w="1361" w:type="dxa"/>
            <w:tcBorders>
              <w:top w:val="nil"/>
              <w:left w:val="nil"/>
              <w:bottom w:val="nil"/>
              <w:right w:val="nil"/>
            </w:tcBorders>
            <w:shd w:val="clear" w:color="auto" w:fill="auto"/>
            <w:vAlign w:val="bottom"/>
          </w:tcPr>
          <w:p w14:paraId="165A9034" w14:textId="6C56CD1D" w:rsidR="00A66703" w:rsidRPr="001D41EA" w:rsidRDefault="00A66703" w:rsidP="001D41EA">
            <w:pPr>
              <w:spacing w:before="40" w:after="20"/>
              <w:jc w:val="right"/>
              <w:rPr>
                <w:rFonts w:cs="Arial"/>
                <w:b/>
                <w:sz w:val="18"/>
                <w:szCs w:val="18"/>
              </w:rPr>
            </w:pPr>
            <w:r w:rsidRPr="001D41EA">
              <w:rPr>
                <w:rFonts w:cs="Arial"/>
                <w:b/>
                <w:sz w:val="18"/>
                <w:szCs w:val="18"/>
              </w:rPr>
              <w:t>7,838,432</w:t>
            </w:r>
          </w:p>
        </w:tc>
      </w:tr>
      <w:tr w:rsidR="00A66703" w:rsidRPr="001D41EA" w14:paraId="39466E5A"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613392A" w14:textId="77777777" w:rsidR="00A66703" w:rsidRPr="001D41EA" w:rsidRDefault="00A66703" w:rsidP="001D41EA">
            <w:pPr>
              <w:spacing w:before="40" w:after="20"/>
              <w:rPr>
                <w:rFonts w:cs="Arial"/>
                <w:sz w:val="18"/>
                <w:szCs w:val="18"/>
              </w:rPr>
            </w:pPr>
            <w:r w:rsidRPr="001D41EA">
              <w:rPr>
                <w:rFonts w:cs="Arial"/>
                <w:sz w:val="18"/>
                <w:szCs w:val="18"/>
              </w:rPr>
              <w:t>Port Phillip C</w:t>
            </w:r>
          </w:p>
        </w:tc>
        <w:tc>
          <w:tcPr>
            <w:tcW w:w="1361" w:type="dxa"/>
            <w:tcBorders>
              <w:top w:val="nil"/>
              <w:left w:val="single" w:sz="18" w:space="0" w:color="5F497A" w:themeColor="accent4" w:themeShade="BF"/>
              <w:bottom w:val="nil"/>
              <w:right w:val="nil"/>
            </w:tcBorders>
            <w:shd w:val="clear" w:color="auto" w:fill="auto"/>
            <w:vAlign w:val="bottom"/>
          </w:tcPr>
          <w:p w14:paraId="3A84DEBE" w14:textId="5907BA96" w:rsidR="00A66703" w:rsidRPr="001D41EA" w:rsidRDefault="00A66703" w:rsidP="001D41EA">
            <w:pPr>
              <w:spacing w:before="40" w:after="20"/>
              <w:jc w:val="right"/>
              <w:rPr>
                <w:rFonts w:cs="Arial"/>
                <w:sz w:val="18"/>
                <w:szCs w:val="18"/>
              </w:rPr>
            </w:pPr>
            <w:r w:rsidRPr="001D41EA">
              <w:rPr>
                <w:rFonts w:cs="Arial"/>
                <w:sz w:val="18"/>
                <w:szCs w:val="18"/>
              </w:rPr>
              <w:t>2,394,742</w:t>
            </w:r>
          </w:p>
        </w:tc>
        <w:tc>
          <w:tcPr>
            <w:tcW w:w="1361" w:type="dxa"/>
            <w:tcBorders>
              <w:top w:val="nil"/>
              <w:left w:val="nil"/>
              <w:bottom w:val="nil"/>
              <w:right w:val="nil"/>
            </w:tcBorders>
            <w:shd w:val="clear" w:color="auto" w:fill="auto"/>
            <w:vAlign w:val="bottom"/>
          </w:tcPr>
          <w:p w14:paraId="1661FABD"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7DCE4B9" w14:textId="188DE4D6" w:rsidR="00A66703" w:rsidRPr="001D41EA" w:rsidRDefault="00A66703" w:rsidP="001D41EA">
            <w:pPr>
              <w:spacing w:before="40" w:after="20"/>
              <w:jc w:val="right"/>
              <w:rPr>
                <w:rFonts w:cs="Arial"/>
                <w:sz w:val="18"/>
                <w:szCs w:val="18"/>
              </w:rPr>
            </w:pPr>
            <w:r w:rsidRPr="001D41EA">
              <w:rPr>
                <w:rFonts w:cs="Arial"/>
                <w:sz w:val="18"/>
                <w:szCs w:val="18"/>
              </w:rPr>
              <w:t>2,394,742</w:t>
            </w:r>
          </w:p>
        </w:tc>
        <w:tc>
          <w:tcPr>
            <w:tcW w:w="1361" w:type="dxa"/>
            <w:tcBorders>
              <w:top w:val="nil"/>
              <w:left w:val="nil"/>
              <w:bottom w:val="nil"/>
              <w:right w:val="nil"/>
            </w:tcBorders>
            <w:shd w:val="clear" w:color="auto" w:fill="auto"/>
            <w:vAlign w:val="bottom"/>
          </w:tcPr>
          <w:p w14:paraId="003F72AA" w14:textId="16909F24" w:rsidR="00A66703" w:rsidRPr="001D41EA" w:rsidRDefault="00A66703" w:rsidP="001D41EA">
            <w:pPr>
              <w:spacing w:before="40" w:after="20"/>
              <w:jc w:val="right"/>
              <w:rPr>
                <w:rFonts w:cs="Arial"/>
                <w:sz w:val="18"/>
                <w:szCs w:val="18"/>
              </w:rPr>
            </w:pPr>
            <w:r w:rsidRPr="001D41EA">
              <w:rPr>
                <w:rFonts w:cs="Arial"/>
                <w:sz w:val="18"/>
                <w:szCs w:val="18"/>
              </w:rPr>
              <w:t>437,912</w:t>
            </w:r>
          </w:p>
        </w:tc>
        <w:tc>
          <w:tcPr>
            <w:tcW w:w="1361" w:type="dxa"/>
            <w:tcBorders>
              <w:top w:val="nil"/>
              <w:left w:val="nil"/>
              <w:bottom w:val="nil"/>
              <w:right w:val="nil"/>
            </w:tcBorders>
            <w:shd w:val="clear" w:color="auto" w:fill="auto"/>
            <w:vAlign w:val="bottom"/>
          </w:tcPr>
          <w:p w14:paraId="1D1E94FD" w14:textId="4535E0CD" w:rsidR="00A66703" w:rsidRPr="001D41EA" w:rsidRDefault="00A66703" w:rsidP="001D41EA">
            <w:pPr>
              <w:spacing w:before="40" w:after="20"/>
              <w:jc w:val="right"/>
              <w:rPr>
                <w:rFonts w:cs="Arial"/>
                <w:b/>
                <w:sz w:val="18"/>
                <w:szCs w:val="18"/>
              </w:rPr>
            </w:pPr>
            <w:r w:rsidRPr="001D41EA">
              <w:rPr>
                <w:rFonts w:cs="Arial"/>
                <w:b/>
                <w:sz w:val="18"/>
                <w:szCs w:val="18"/>
              </w:rPr>
              <w:t>2,832,654</w:t>
            </w:r>
          </w:p>
        </w:tc>
      </w:tr>
      <w:tr w:rsidR="00A66703" w:rsidRPr="001D41EA" w14:paraId="5A6BB0E1"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E043CA6" w14:textId="77777777" w:rsidR="00A66703" w:rsidRPr="001D41EA" w:rsidRDefault="00A66703" w:rsidP="001D41EA">
            <w:pPr>
              <w:spacing w:before="40" w:after="20"/>
              <w:rPr>
                <w:rFonts w:cs="Arial"/>
                <w:sz w:val="18"/>
                <w:szCs w:val="18"/>
              </w:rPr>
            </w:pPr>
            <w:r w:rsidRPr="001D41EA">
              <w:rPr>
                <w:rFonts w:cs="Arial"/>
                <w:sz w:val="18"/>
                <w:szCs w:val="18"/>
              </w:rPr>
              <w:t>Pyrenees S</w:t>
            </w:r>
          </w:p>
        </w:tc>
        <w:tc>
          <w:tcPr>
            <w:tcW w:w="1361" w:type="dxa"/>
            <w:tcBorders>
              <w:top w:val="nil"/>
              <w:left w:val="single" w:sz="18" w:space="0" w:color="5F497A" w:themeColor="accent4" w:themeShade="BF"/>
              <w:bottom w:val="nil"/>
              <w:right w:val="nil"/>
            </w:tcBorders>
            <w:shd w:val="clear" w:color="auto" w:fill="auto"/>
            <w:vAlign w:val="bottom"/>
          </w:tcPr>
          <w:p w14:paraId="639790DB" w14:textId="3EFDDF35" w:rsidR="00A66703" w:rsidRPr="001D41EA" w:rsidRDefault="00A66703" w:rsidP="001D41EA">
            <w:pPr>
              <w:spacing w:before="40" w:after="20"/>
              <w:jc w:val="right"/>
              <w:rPr>
                <w:rFonts w:cs="Arial"/>
                <w:sz w:val="18"/>
                <w:szCs w:val="18"/>
              </w:rPr>
            </w:pPr>
            <w:r w:rsidRPr="001D41EA">
              <w:rPr>
                <w:rFonts w:cs="Arial"/>
                <w:sz w:val="18"/>
                <w:szCs w:val="18"/>
              </w:rPr>
              <w:t>3,487,163</w:t>
            </w:r>
          </w:p>
        </w:tc>
        <w:tc>
          <w:tcPr>
            <w:tcW w:w="1361" w:type="dxa"/>
            <w:tcBorders>
              <w:top w:val="nil"/>
              <w:left w:val="nil"/>
              <w:bottom w:val="nil"/>
              <w:right w:val="nil"/>
            </w:tcBorders>
            <w:shd w:val="clear" w:color="auto" w:fill="auto"/>
            <w:vAlign w:val="bottom"/>
          </w:tcPr>
          <w:p w14:paraId="489D189F" w14:textId="1C82DDD0"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DC6574A" w14:textId="2C68B9B7" w:rsidR="00A66703" w:rsidRPr="001D41EA" w:rsidRDefault="00A66703" w:rsidP="001D41EA">
            <w:pPr>
              <w:spacing w:before="40" w:after="20"/>
              <w:jc w:val="right"/>
              <w:rPr>
                <w:rFonts w:cs="Arial"/>
                <w:sz w:val="18"/>
                <w:szCs w:val="18"/>
              </w:rPr>
            </w:pPr>
            <w:r w:rsidRPr="001D41EA">
              <w:rPr>
                <w:rFonts w:cs="Arial"/>
                <w:sz w:val="18"/>
                <w:szCs w:val="18"/>
              </w:rPr>
              <w:t>3,487,163</w:t>
            </w:r>
          </w:p>
        </w:tc>
        <w:tc>
          <w:tcPr>
            <w:tcW w:w="1361" w:type="dxa"/>
            <w:tcBorders>
              <w:top w:val="nil"/>
              <w:left w:val="nil"/>
              <w:bottom w:val="nil"/>
              <w:right w:val="nil"/>
            </w:tcBorders>
            <w:shd w:val="clear" w:color="auto" w:fill="auto"/>
            <w:vAlign w:val="bottom"/>
          </w:tcPr>
          <w:p w14:paraId="4D0F8F51" w14:textId="48A96391" w:rsidR="00A66703" w:rsidRPr="001D41EA" w:rsidRDefault="00A66703" w:rsidP="001D41EA">
            <w:pPr>
              <w:spacing w:before="40" w:after="20"/>
              <w:jc w:val="right"/>
              <w:rPr>
                <w:rFonts w:cs="Arial"/>
                <w:sz w:val="18"/>
                <w:szCs w:val="18"/>
              </w:rPr>
            </w:pPr>
            <w:r w:rsidRPr="001D41EA">
              <w:rPr>
                <w:rFonts w:cs="Arial"/>
                <w:sz w:val="18"/>
                <w:szCs w:val="18"/>
              </w:rPr>
              <w:t>2,194,074</w:t>
            </w:r>
          </w:p>
        </w:tc>
        <w:tc>
          <w:tcPr>
            <w:tcW w:w="1361" w:type="dxa"/>
            <w:tcBorders>
              <w:top w:val="nil"/>
              <w:left w:val="nil"/>
              <w:bottom w:val="nil"/>
              <w:right w:val="nil"/>
            </w:tcBorders>
            <w:shd w:val="clear" w:color="auto" w:fill="auto"/>
            <w:vAlign w:val="bottom"/>
          </w:tcPr>
          <w:p w14:paraId="68FA03AB" w14:textId="255D9376" w:rsidR="00A66703" w:rsidRPr="001D41EA" w:rsidRDefault="00A66703" w:rsidP="001D41EA">
            <w:pPr>
              <w:spacing w:before="40" w:after="20"/>
              <w:jc w:val="right"/>
              <w:rPr>
                <w:rFonts w:cs="Arial"/>
                <w:b/>
                <w:sz w:val="18"/>
                <w:szCs w:val="18"/>
              </w:rPr>
            </w:pPr>
            <w:r w:rsidRPr="001D41EA">
              <w:rPr>
                <w:rFonts w:cs="Arial"/>
                <w:b/>
                <w:sz w:val="18"/>
                <w:szCs w:val="18"/>
              </w:rPr>
              <w:t>5,681,237</w:t>
            </w:r>
          </w:p>
        </w:tc>
      </w:tr>
      <w:tr w:rsidR="00A66703" w:rsidRPr="001D41EA" w14:paraId="46387424"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06D87F2" w14:textId="77777777" w:rsidR="00A66703" w:rsidRPr="001D41EA" w:rsidRDefault="00A66703" w:rsidP="001D41EA">
            <w:pPr>
              <w:spacing w:before="40" w:after="20"/>
              <w:rPr>
                <w:rFonts w:cs="Arial"/>
                <w:sz w:val="18"/>
                <w:szCs w:val="18"/>
              </w:rPr>
            </w:pPr>
            <w:r w:rsidRPr="001D41EA">
              <w:rPr>
                <w:rFonts w:cs="Arial"/>
                <w:sz w:val="18"/>
                <w:szCs w:val="18"/>
              </w:rPr>
              <w:t>Queenscliffe B</w:t>
            </w:r>
          </w:p>
        </w:tc>
        <w:tc>
          <w:tcPr>
            <w:tcW w:w="1361" w:type="dxa"/>
            <w:tcBorders>
              <w:top w:val="nil"/>
              <w:left w:val="single" w:sz="18" w:space="0" w:color="5F497A" w:themeColor="accent4" w:themeShade="BF"/>
              <w:bottom w:val="nil"/>
              <w:right w:val="nil"/>
            </w:tcBorders>
            <w:shd w:val="clear" w:color="auto" w:fill="auto"/>
            <w:vAlign w:val="bottom"/>
          </w:tcPr>
          <w:p w14:paraId="35053172" w14:textId="11EECAEB" w:rsidR="00A66703" w:rsidRPr="001D41EA" w:rsidRDefault="00A66703" w:rsidP="001D41EA">
            <w:pPr>
              <w:spacing w:before="40" w:after="20"/>
              <w:jc w:val="right"/>
              <w:rPr>
                <w:rFonts w:cs="Arial"/>
                <w:sz w:val="18"/>
                <w:szCs w:val="18"/>
              </w:rPr>
            </w:pPr>
            <w:r w:rsidRPr="001D41EA">
              <w:rPr>
                <w:rFonts w:cs="Arial"/>
                <w:sz w:val="18"/>
                <w:szCs w:val="18"/>
              </w:rPr>
              <w:t>426,423</w:t>
            </w:r>
          </w:p>
        </w:tc>
        <w:tc>
          <w:tcPr>
            <w:tcW w:w="1361" w:type="dxa"/>
            <w:tcBorders>
              <w:top w:val="nil"/>
              <w:left w:val="nil"/>
              <w:bottom w:val="nil"/>
              <w:right w:val="nil"/>
            </w:tcBorders>
            <w:shd w:val="clear" w:color="auto" w:fill="auto"/>
            <w:vAlign w:val="bottom"/>
          </w:tcPr>
          <w:p w14:paraId="2346B6DC"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AE1E498" w14:textId="10EB63EE" w:rsidR="00A66703" w:rsidRPr="001D41EA" w:rsidRDefault="00A66703" w:rsidP="001D41EA">
            <w:pPr>
              <w:spacing w:before="40" w:after="20"/>
              <w:jc w:val="right"/>
              <w:rPr>
                <w:rFonts w:cs="Arial"/>
                <w:sz w:val="18"/>
                <w:szCs w:val="18"/>
              </w:rPr>
            </w:pPr>
            <w:r w:rsidRPr="001D41EA">
              <w:rPr>
                <w:rFonts w:cs="Arial"/>
                <w:sz w:val="18"/>
                <w:szCs w:val="18"/>
              </w:rPr>
              <w:t>426,423</w:t>
            </w:r>
          </w:p>
        </w:tc>
        <w:tc>
          <w:tcPr>
            <w:tcW w:w="1361" w:type="dxa"/>
            <w:tcBorders>
              <w:top w:val="nil"/>
              <w:left w:val="nil"/>
              <w:bottom w:val="nil"/>
              <w:right w:val="nil"/>
            </w:tcBorders>
            <w:shd w:val="clear" w:color="auto" w:fill="auto"/>
            <w:vAlign w:val="bottom"/>
          </w:tcPr>
          <w:p w14:paraId="770B90C7" w14:textId="31654AAC" w:rsidR="00A66703" w:rsidRPr="001D41EA" w:rsidRDefault="00A66703" w:rsidP="001D41EA">
            <w:pPr>
              <w:spacing w:before="40" w:after="20"/>
              <w:jc w:val="right"/>
              <w:rPr>
                <w:rFonts w:cs="Arial"/>
                <w:sz w:val="18"/>
                <w:szCs w:val="18"/>
              </w:rPr>
            </w:pPr>
            <w:r w:rsidRPr="001D41EA">
              <w:rPr>
                <w:rFonts w:cs="Arial"/>
                <w:sz w:val="18"/>
                <w:szCs w:val="18"/>
              </w:rPr>
              <w:t>60,051</w:t>
            </w:r>
          </w:p>
        </w:tc>
        <w:tc>
          <w:tcPr>
            <w:tcW w:w="1361" w:type="dxa"/>
            <w:tcBorders>
              <w:top w:val="nil"/>
              <w:left w:val="nil"/>
              <w:bottom w:val="nil"/>
              <w:right w:val="nil"/>
            </w:tcBorders>
            <w:shd w:val="clear" w:color="auto" w:fill="auto"/>
            <w:vAlign w:val="bottom"/>
          </w:tcPr>
          <w:p w14:paraId="11BE2259" w14:textId="15EE7E94" w:rsidR="00A66703" w:rsidRPr="001D41EA" w:rsidRDefault="00A66703" w:rsidP="001D41EA">
            <w:pPr>
              <w:spacing w:before="40" w:after="20"/>
              <w:jc w:val="right"/>
              <w:rPr>
                <w:rFonts w:cs="Arial"/>
                <w:b/>
                <w:sz w:val="18"/>
                <w:szCs w:val="18"/>
              </w:rPr>
            </w:pPr>
            <w:r w:rsidRPr="001D41EA">
              <w:rPr>
                <w:rFonts w:cs="Arial"/>
                <w:b/>
                <w:sz w:val="18"/>
                <w:szCs w:val="18"/>
              </w:rPr>
              <w:t>486,474</w:t>
            </w:r>
          </w:p>
        </w:tc>
      </w:tr>
      <w:tr w:rsidR="00A66703" w:rsidRPr="001D41EA" w14:paraId="03D756FF"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ECC71AD" w14:textId="77777777" w:rsidR="00A66703" w:rsidRPr="001D41EA" w:rsidRDefault="00A66703" w:rsidP="001D41EA">
            <w:pPr>
              <w:spacing w:before="40" w:after="20"/>
              <w:rPr>
                <w:rFonts w:cs="Arial"/>
                <w:sz w:val="18"/>
                <w:szCs w:val="18"/>
              </w:rPr>
            </w:pPr>
            <w:r w:rsidRPr="001D41EA">
              <w:rPr>
                <w:rFonts w:cs="Arial"/>
                <w:sz w:val="18"/>
                <w:szCs w:val="18"/>
              </w:rPr>
              <w:t>South Gippsland S</w:t>
            </w:r>
          </w:p>
        </w:tc>
        <w:tc>
          <w:tcPr>
            <w:tcW w:w="1361" w:type="dxa"/>
            <w:tcBorders>
              <w:top w:val="nil"/>
              <w:left w:val="single" w:sz="18" w:space="0" w:color="5F497A" w:themeColor="accent4" w:themeShade="BF"/>
              <w:bottom w:val="nil"/>
              <w:right w:val="nil"/>
            </w:tcBorders>
            <w:shd w:val="clear" w:color="auto" w:fill="auto"/>
            <w:vAlign w:val="bottom"/>
          </w:tcPr>
          <w:p w14:paraId="0431E992" w14:textId="797AC24A" w:rsidR="00A66703" w:rsidRPr="001D41EA" w:rsidRDefault="00A66703" w:rsidP="001D41EA">
            <w:pPr>
              <w:spacing w:before="40" w:after="20"/>
              <w:jc w:val="right"/>
              <w:rPr>
                <w:rFonts w:cs="Arial"/>
                <w:sz w:val="18"/>
                <w:szCs w:val="18"/>
              </w:rPr>
            </w:pPr>
            <w:r w:rsidRPr="001D41EA">
              <w:rPr>
                <w:rFonts w:cs="Arial"/>
                <w:sz w:val="18"/>
                <w:szCs w:val="18"/>
              </w:rPr>
              <w:t>6,409,556</w:t>
            </w:r>
          </w:p>
        </w:tc>
        <w:tc>
          <w:tcPr>
            <w:tcW w:w="1361" w:type="dxa"/>
            <w:tcBorders>
              <w:top w:val="nil"/>
              <w:left w:val="nil"/>
              <w:bottom w:val="nil"/>
              <w:right w:val="nil"/>
            </w:tcBorders>
            <w:shd w:val="clear" w:color="auto" w:fill="auto"/>
            <w:vAlign w:val="bottom"/>
          </w:tcPr>
          <w:p w14:paraId="09DA32ED"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2E05A02" w14:textId="757C7881" w:rsidR="00A66703" w:rsidRPr="001D41EA" w:rsidRDefault="00A66703" w:rsidP="001D41EA">
            <w:pPr>
              <w:spacing w:before="40" w:after="20"/>
              <w:jc w:val="right"/>
              <w:rPr>
                <w:rFonts w:cs="Arial"/>
                <w:sz w:val="18"/>
                <w:szCs w:val="18"/>
              </w:rPr>
            </w:pPr>
            <w:r w:rsidRPr="001D41EA">
              <w:rPr>
                <w:rFonts w:cs="Arial"/>
                <w:sz w:val="18"/>
                <w:szCs w:val="18"/>
              </w:rPr>
              <w:t>6,409,556</w:t>
            </w:r>
          </w:p>
        </w:tc>
        <w:tc>
          <w:tcPr>
            <w:tcW w:w="1361" w:type="dxa"/>
            <w:tcBorders>
              <w:top w:val="nil"/>
              <w:left w:val="nil"/>
              <w:bottom w:val="nil"/>
              <w:right w:val="nil"/>
            </w:tcBorders>
            <w:shd w:val="clear" w:color="auto" w:fill="auto"/>
            <w:vAlign w:val="bottom"/>
          </w:tcPr>
          <w:p w14:paraId="43E9C323" w14:textId="4327F528" w:rsidR="00A66703" w:rsidRPr="001D41EA" w:rsidRDefault="00A66703" w:rsidP="001D41EA">
            <w:pPr>
              <w:spacing w:before="40" w:after="20"/>
              <w:jc w:val="right"/>
              <w:rPr>
                <w:rFonts w:cs="Arial"/>
                <w:sz w:val="18"/>
                <w:szCs w:val="18"/>
              </w:rPr>
            </w:pPr>
            <w:r w:rsidRPr="001D41EA">
              <w:rPr>
                <w:rFonts w:cs="Arial"/>
                <w:sz w:val="18"/>
                <w:szCs w:val="18"/>
              </w:rPr>
              <w:t>3,850,132</w:t>
            </w:r>
          </w:p>
        </w:tc>
        <w:tc>
          <w:tcPr>
            <w:tcW w:w="1361" w:type="dxa"/>
            <w:tcBorders>
              <w:top w:val="nil"/>
              <w:left w:val="nil"/>
              <w:bottom w:val="nil"/>
              <w:right w:val="nil"/>
            </w:tcBorders>
            <w:shd w:val="clear" w:color="auto" w:fill="auto"/>
            <w:vAlign w:val="bottom"/>
          </w:tcPr>
          <w:p w14:paraId="79EFE955" w14:textId="6EF4E8F4" w:rsidR="00A66703" w:rsidRPr="001D41EA" w:rsidRDefault="00A66703" w:rsidP="001D41EA">
            <w:pPr>
              <w:spacing w:before="40" w:after="20"/>
              <w:jc w:val="right"/>
              <w:rPr>
                <w:rFonts w:cs="Arial"/>
                <w:b/>
                <w:sz w:val="18"/>
                <w:szCs w:val="18"/>
              </w:rPr>
            </w:pPr>
            <w:r w:rsidRPr="001D41EA">
              <w:rPr>
                <w:rFonts w:cs="Arial"/>
                <w:b/>
                <w:sz w:val="18"/>
                <w:szCs w:val="18"/>
              </w:rPr>
              <w:t>10,259,688</w:t>
            </w:r>
          </w:p>
        </w:tc>
      </w:tr>
      <w:tr w:rsidR="00A66703" w:rsidRPr="001D41EA" w14:paraId="2CA62A67"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7312483" w14:textId="77777777" w:rsidR="00A66703" w:rsidRPr="001D41EA" w:rsidRDefault="00A66703" w:rsidP="001D41EA">
            <w:pPr>
              <w:spacing w:before="40" w:after="20"/>
              <w:rPr>
                <w:rFonts w:cs="Arial"/>
                <w:sz w:val="18"/>
                <w:szCs w:val="18"/>
              </w:rPr>
            </w:pPr>
            <w:r w:rsidRPr="001D41EA">
              <w:rPr>
                <w:rFonts w:cs="Arial"/>
                <w:sz w:val="18"/>
                <w:szCs w:val="18"/>
              </w:rPr>
              <w:t>Southern Grampians S</w:t>
            </w:r>
          </w:p>
        </w:tc>
        <w:tc>
          <w:tcPr>
            <w:tcW w:w="1361" w:type="dxa"/>
            <w:tcBorders>
              <w:top w:val="nil"/>
              <w:left w:val="single" w:sz="18" w:space="0" w:color="5F497A" w:themeColor="accent4" w:themeShade="BF"/>
              <w:bottom w:val="nil"/>
              <w:right w:val="nil"/>
            </w:tcBorders>
            <w:shd w:val="clear" w:color="auto" w:fill="auto"/>
            <w:vAlign w:val="bottom"/>
          </w:tcPr>
          <w:p w14:paraId="3352B86A" w14:textId="4499C849" w:rsidR="00A66703" w:rsidRPr="001D41EA" w:rsidRDefault="00A66703" w:rsidP="001D41EA">
            <w:pPr>
              <w:spacing w:before="40" w:after="20"/>
              <w:jc w:val="right"/>
              <w:rPr>
                <w:rFonts w:cs="Arial"/>
                <w:sz w:val="18"/>
                <w:szCs w:val="18"/>
              </w:rPr>
            </w:pPr>
            <w:r w:rsidRPr="001D41EA">
              <w:rPr>
                <w:rFonts w:cs="Arial"/>
                <w:sz w:val="18"/>
                <w:szCs w:val="18"/>
              </w:rPr>
              <w:t>4,640,746</w:t>
            </w:r>
          </w:p>
        </w:tc>
        <w:tc>
          <w:tcPr>
            <w:tcW w:w="1361" w:type="dxa"/>
            <w:tcBorders>
              <w:top w:val="nil"/>
              <w:left w:val="nil"/>
              <w:bottom w:val="nil"/>
              <w:right w:val="nil"/>
            </w:tcBorders>
            <w:shd w:val="clear" w:color="auto" w:fill="auto"/>
            <w:vAlign w:val="bottom"/>
          </w:tcPr>
          <w:p w14:paraId="07799A0C" w14:textId="5AA564DF" w:rsidR="00A66703" w:rsidRPr="001D41EA" w:rsidRDefault="00A66703" w:rsidP="001D41EA">
            <w:pPr>
              <w:spacing w:before="40" w:after="20"/>
              <w:jc w:val="right"/>
              <w:rPr>
                <w:rFonts w:cs="Arial"/>
                <w:sz w:val="18"/>
                <w:szCs w:val="18"/>
              </w:rPr>
            </w:pPr>
            <w:r w:rsidRPr="001D41EA">
              <w:rPr>
                <w:rFonts w:cs="Arial"/>
                <w:sz w:val="18"/>
                <w:szCs w:val="18"/>
              </w:rPr>
              <w:t>35,000</w:t>
            </w:r>
          </w:p>
        </w:tc>
        <w:tc>
          <w:tcPr>
            <w:tcW w:w="1361" w:type="dxa"/>
            <w:tcBorders>
              <w:top w:val="nil"/>
              <w:left w:val="nil"/>
              <w:bottom w:val="nil"/>
              <w:right w:val="nil"/>
            </w:tcBorders>
            <w:shd w:val="clear" w:color="auto" w:fill="auto"/>
            <w:vAlign w:val="bottom"/>
          </w:tcPr>
          <w:p w14:paraId="5F17622C" w14:textId="161B9C60" w:rsidR="00A66703" w:rsidRPr="001D41EA" w:rsidRDefault="00A66703" w:rsidP="001D41EA">
            <w:pPr>
              <w:spacing w:before="40" w:after="20"/>
              <w:jc w:val="right"/>
              <w:rPr>
                <w:rFonts w:cs="Arial"/>
                <w:sz w:val="18"/>
                <w:szCs w:val="18"/>
              </w:rPr>
            </w:pPr>
            <w:r w:rsidRPr="001D41EA">
              <w:rPr>
                <w:rFonts w:cs="Arial"/>
                <w:sz w:val="18"/>
                <w:szCs w:val="18"/>
              </w:rPr>
              <w:t>4,675,746</w:t>
            </w:r>
          </w:p>
        </w:tc>
        <w:tc>
          <w:tcPr>
            <w:tcW w:w="1361" w:type="dxa"/>
            <w:tcBorders>
              <w:top w:val="nil"/>
              <w:left w:val="nil"/>
              <w:bottom w:val="nil"/>
              <w:right w:val="nil"/>
            </w:tcBorders>
            <w:shd w:val="clear" w:color="auto" w:fill="auto"/>
            <w:vAlign w:val="bottom"/>
          </w:tcPr>
          <w:p w14:paraId="1F1E2B72" w14:textId="3C4ACECA" w:rsidR="00A66703" w:rsidRPr="001D41EA" w:rsidRDefault="00A66703" w:rsidP="001D41EA">
            <w:pPr>
              <w:spacing w:before="40" w:after="20"/>
              <w:jc w:val="right"/>
              <w:rPr>
                <w:rFonts w:cs="Arial"/>
                <w:sz w:val="18"/>
                <w:szCs w:val="18"/>
              </w:rPr>
            </w:pPr>
            <w:r w:rsidRPr="001D41EA">
              <w:rPr>
                <w:rFonts w:cs="Arial"/>
                <w:sz w:val="18"/>
                <w:szCs w:val="18"/>
              </w:rPr>
              <w:t>3,122,611</w:t>
            </w:r>
          </w:p>
        </w:tc>
        <w:tc>
          <w:tcPr>
            <w:tcW w:w="1361" w:type="dxa"/>
            <w:tcBorders>
              <w:top w:val="nil"/>
              <w:left w:val="nil"/>
              <w:bottom w:val="nil"/>
              <w:right w:val="nil"/>
            </w:tcBorders>
            <w:shd w:val="clear" w:color="auto" w:fill="auto"/>
            <w:vAlign w:val="bottom"/>
          </w:tcPr>
          <w:p w14:paraId="637578BF" w14:textId="1CEBF2E7" w:rsidR="00A66703" w:rsidRPr="001D41EA" w:rsidRDefault="00A66703" w:rsidP="001D41EA">
            <w:pPr>
              <w:spacing w:before="40" w:after="20"/>
              <w:jc w:val="right"/>
              <w:rPr>
                <w:rFonts w:cs="Arial"/>
                <w:b/>
                <w:sz w:val="18"/>
                <w:szCs w:val="18"/>
              </w:rPr>
            </w:pPr>
            <w:r w:rsidRPr="001D41EA">
              <w:rPr>
                <w:rFonts w:cs="Arial"/>
                <w:b/>
                <w:sz w:val="18"/>
                <w:szCs w:val="18"/>
              </w:rPr>
              <w:t>7,798,357</w:t>
            </w:r>
          </w:p>
        </w:tc>
      </w:tr>
      <w:tr w:rsidR="00A66703" w:rsidRPr="001D41EA" w14:paraId="35144AB2"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DB58449" w14:textId="77777777" w:rsidR="00A66703" w:rsidRPr="001D41EA" w:rsidRDefault="00A66703" w:rsidP="001D41EA">
            <w:pPr>
              <w:spacing w:before="40" w:after="20"/>
              <w:rPr>
                <w:rFonts w:cs="Arial"/>
                <w:sz w:val="18"/>
                <w:szCs w:val="18"/>
              </w:rPr>
            </w:pPr>
            <w:r w:rsidRPr="001D41EA">
              <w:rPr>
                <w:rFonts w:cs="Arial"/>
                <w:sz w:val="18"/>
                <w:szCs w:val="18"/>
              </w:rPr>
              <w:t>Stonnington C</w:t>
            </w:r>
          </w:p>
        </w:tc>
        <w:tc>
          <w:tcPr>
            <w:tcW w:w="1361" w:type="dxa"/>
            <w:tcBorders>
              <w:top w:val="nil"/>
              <w:left w:val="single" w:sz="18" w:space="0" w:color="5F497A" w:themeColor="accent4" w:themeShade="BF"/>
              <w:bottom w:val="nil"/>
              <w:right w:val="nil"/>
            </w:tcBorders>
            <w:shd w:val="clear" w:color="auto" w:fill="auto"/>
            <w:vAlign w:val="bottom"/>
          </w:tcPr>
          <w:p w14:paraId="37A0E0AD" w14:textId="22D24164" w:rsidR="00A66703" w:rsidRPr="001D41EA" w:rsidRDefault="00A66703" w:rsidP="001D41EA">
            <w:pPr>
              <w:spacing w:before="40" w:after="20"/>
              <w:jc w:val="right"/>
              <w:rPr>
                <w:rFonts w:cs="Arial"/>
                <w:sz w:val="18"/>
                <w:szCs w:val="18"/>
              </w:rPr>
            </w:pPr>
            <w:r w:rsidRPr="001D41EA">
              <w:rPr>
                <w:rFonts w:cs="Arial"/>
                <w:sz w:val="18"/>
                <w:szCs w:val="18"/>
              </w:rPr>
              <w:t>2,458,355</w:t>
            </w:r>
          </w:p>
        </w:tc>
        <w:tc>
          <w:tcPr>
            <w:tcW w:w="1361" w:type="dxa"/>
            <w:tcBorders>
              <w:top w:val="nil"/>
              <w:left w:val="nil"/>
              <w:bottom w:val="nil"/>
              <w:right w:val="nil"/>
            </w:tcBorders>
            <w:shd w:val="clear" w:color="auto" w:fill="auto"/>
            <w:vAlign w:val="bottom"/>
          </w:tcPr>
          <w:p w14:paraId="31D825F0"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C3440E7" w14:textId="77235904" w:rsidR="00A66703" w:rsidRPr="001D41EA" w:rsidRDefault="00A66703" w:rsidP="001D41EA">
            <w:pPr>
              <w:spacing w:before="40" w:after="20"/>
              <w:jc w:val="right"/>
              <w:rPr>
                <w:rFonts w:cs="Arial"/>
                <w:sz w:val="18"/>
                <w:szCs w:val="18"/>
              </w:rPr>
            </w:pPr>
            <w:r w:rsidRPr="001D41EA">
              <w:rPr>
                <w:rFonts w:cs="Arial"/>
                <w:sz w:val="18"/>
                <w:szCs w:val="18"/>
              </w:rPr>
              <w:t>2,458,355</w:t>
            </w:r>
          </w:p>
        </w:tc>
        <w:tc>
          <w:tcPr>
            <w:tcW w:w="1361" w:type="dxa"/>
            <w:tcBorders>
              <w:top w:val="nil"/>
              <w:left w:val="nil"/>
              <w:bottom w:val="nil"/>
              <w:right w:val="nil"/>
            </w:tcBorders>
            <w:shd w:val="clear" w:color="auto" w:fill="auto"/>
            <w:vAlign w:val="bottom"/>
          </w:tcPr>
          <w:p w14:paraId="0BAABA29" w14:textId="221AD76E" w:rsidR="00A66703" w:rsidRPr="001D41EA" w:rsidRDefault="00A66703" w:rsidP="001D41EA">
            <w:pPr>
              <w:spacing w:before="40" w:after="20"/>
              <w:jc w:val="right"/>
              <w:rPr>
                <w:rFonts w:cs="Arial"/>
                <w:sz w:val="18"/>
                <w:szCs w:val="18"/>
              </w:rPr>
            </w:pPr>
            <w:r w:rsidRPr="001D41EA">
              <w:rPr>
                <w:rFonts w:cs="Arial"/>
                <w:sz w:val="18"/>
                <w:szCs w:val="18"/>
              </w:rPr>
              <w:t>467,955</w:t>
            </w:r>
          </w:p>
        </w:tc>
        <w:tc>
          <w:tcPr>
            <w:tcW w:w="1361" w:type="dxa"/>
            <w:tcBorders>
              <w:top w:val="nil"/>
              <w:left w:val="nil"/>
              <w:bottom w:val="nil"/>
              <w:right w:val="nil"/>
            </w:tcBorders>
            <w:shd w:val="clear" w:color="auto" w:fill="auto"/>
            <w:vAlign w:val="bottom"/>
          </w:tcPr>
          <w:p w14:paraId="2FB45B03" w14:textId="7AC75CDE" w:rsidR="00A66703" w:rsidRPr="001D41EA" w:rsidRDefault="00A66703" w:rsidP="001D41EA">
            <w:pPr>
              <w:spacing w:before="40" w:after="20"/>
              <w:jc w:val="right"/>
              <w:rPr>
                <w:rFonts w:cs="Arial"/>
                <w:b/>
                <w:sz w:val="18"/>
                <w:szCs w:val="18"/>
              </w:rPr>
            </w:pPr>
            <w:r w:rsidRPr="001D41EA">
              <w:rPr>
                <w:rFonts w:cs="Arial"/>
                <w:b/>
                <w:sz w:val="18"/>
                <w:szCs w:val="18"/>
              </w:rPr>
              <w:t>2,926,310</w:t>
            </w:r>
          </w:p>
        </w:tc>
      </w:tr>
      <w:tr w:rsidR="00A66703" w:rsidRPr="001D41EA" w14:paraId="21E4CD9E"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68268E0" w14:textId="77777777" w:rsidR="00A66703" w:rsidRPr="001D41EA" w:rsidRDefault="00A66703" w:rsidP="001D41EA">
            <w:pPr>
              <w:spacing w:before="40" w:after="20"/>
              <w:rPr>
                <w:rFonts w:cs="Arial"/>
                <w:sz w:val="18"/>
                <w:szCs w:val="18"/>
              </w:rPr>
            </w:pPr>
            <w:r w:rsidRPr="001D41EA">
              <w:rPr>
                <w:rFonts w:cs="Arial"/>
                <w:sz w:val="18"/>
                <w:szCs w:val="18"/>
              </w:rPr>
              <w:t>Strathbogie S</w:t>
            </w:r>
          </w:p>
        </w:tc>
        <w:tc>
          <w:tcPr>
            <w:tcW w:w="1361" w:type="dxa"/>
            <w:tcBorders>
              <w:top w:val="nil"/>
              <w:left w:val="single" w:sz="18" w:space="0" w:color="5F497A" w:themeColor="accent4" w:themeShade="BF"/>
              <w:bottom w:val="nil"/>
              <w:right w:val="nil"/>
            </w:tcBorders>
            <w:shd w:val="clear" w:color="auto" w:fill="auto"/>
            <w:vAlign w:val="bottom"/>
          </w:tcPr>
          <w:p w14:paraId="33FE4DE4" w14:textId="4D429C8B" w:rsidR="00A66703" w:rsidRPr="001D41EA" w:rsidRDefault="00A66703" w:rsidP="001D41EA">
            <w:pPr>
              <w:spacing w:before="40" w:after="20"/>
              <w:jc w:val="right"/>
              <w:rPr>
                <w:rFonts w:cs="Arial"/>
                <w:sz w:val="18"/>
                <w:szCs w:val="18"/>
              </w:rPr>
            </w:pPr>
            <w:r w:rsidRPr="001D41EA">
              <w:rPr>
                <w:rFonts w:cs="Arial"/>
                <w:sz w:val="18"/>
                <w:szCs w:val="18"/>
              </w:rPr>
              <w:t>3,398,869</w:t>
            </w:r>
          </w:p>
        </w:tc>
        <w:tc>
          <w:tcPr>
            <w:tcW w:w="1361" w:type="dxa"/>
            <w:tcBorders>
              <w:top w:val="nil"/>
              <w:left w:val="nil"/>
              <w:bottom w:val="nil"/>
              <w:right w:val="nil"/>
            </w:tcBorders>
            <w:shd w:val="clear" w:color="auto" w:fill="auto"/>
            <w:vAlign w:val="bottom"/>
          </w:tcPr>
          <w:p w14:paraId="3DFEE89D"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2E9F21" w14:textId="0F7C6FEB" w:rsidR="00A66703" w:rsidRPr="001D41EA" w:rsidRDefault="00A66703" w:rsidP="001D41EA">
            <w:pPr>
              <w:spacing w:before="40" w:after="20"/>
              <w:jc w:val="right"/>
              <w:rPr>
                <w:rFonts w:cs="Arial"/>
                <w:sz w:val="18"/>
                <w:szCs w:val="18"/>
              </w:rPr>
            </w:pPr>
            <w:r w:rsidRPr="001D41EA">
              <w:rPr>
                <w:rFonts w:cs="Arial"/>
                <w:sz w:val="18"/>
                <w:szCs w:val="18"/>
              </w:rPr>
              <w:t>3,398,869</w:t>
            </w:r>
          </w:p>
        </w:tc>
        <w:tc>
          <w:tcPr>
            <w:tcW w:w="1361" w:type="dxa"/>
            <w:tcBorders>
              <w:top w:val="nil"/>
              <w:left w:val="nil"/>
              <w:bottom w:val="nil"/>
              <w:right w:val="nil"/>
            </w:tcBorders>
            <w:shd w:val="clear" w:color="auto" w:fill="auto"/>
            <w:vAlign w:val="bottom"/>
          </w:tcPr>
          <w:p w14:paraId="529BBBDC" w14:textId="33DE41AB" w:rsidR="00A66703" w:rsidRPr="001D41EA" w:rsidRDefault="00A66703" w:rsidP="001D41EA">
            <w:pPr>
              <w:spacing w:before="40" w:after="20"/>
              <w:jc w:val="right"/>
              <w:rPr>
                <w:rFonts w:cs="Arial"/>
                <w:sz w:val="18"/>
                <w:szCs w:val="18"/>
              </w:rPr>
            </w:pPr>
            <w:r w:rsidRPr="001D41EA">
              <w:rPr>
                <w:rFonts w:cs="Arial"/>
                <w:sz w:val="18"/>
                <w:szCs w:val="18"/>
              </w:rPr>
              <w:t>2,249,456</w:t>
            </w:r>
          </w:p>
        </w:tc>
        <w:tc>
          <w:tcPr>
            <w:tcW w:w="1361" w:type="dxa"/>
            <w:tcBorders>
              <w:top w:val="nil"/>
              <w:left w:val="nil"/>
              <w:bottom w:val="nil"/>
              <w:right w:val="nil"/>
            </w:tcBorders>
            <w:shd w:val="clear" w:color="auto" w:fill="auto"/>
            <w:vAlign w:val="bottom"/>
          </w:tcPr>
          <w:p w14:paraId="3B82BEF7" w14:textId="708A18E8" w:rsidR="00A66703" w:rsidRPr="001D41EA" w:rsidRDefault="00A66703" w:rsidP="001D41EA">
            <w:pPr>
              <w:spacing w:before="40" w:after="20"/>
              <w:jc w:val="right"/>
              <w:rPr>
                <w:rFonts w:cs="Arial"/>
                <w:b/>
                <w:sz w:val="18"/>
                <w:szCs w:val="18"/>
              </w:rPr>
            </w:pPr>
            <w:r w:rsidRPr="001D41EA">
              <w:rPr>
                <w:rFonts w:cs="Arial"/>
                <w:b/>
                <w:sz w:val="18"/>
                <w:szCs w:val="18"/>
              </w:rPr>
              <w:t>5,648,325</w:t>
            </w:r>
          </w:p>
        </w:tc>
      </w:tr>
      <w:tr w:rsidR="00A66703" w:rsidRPr="001D41EA" w14:paraId="628CCFB1"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1B0EF9A" w14:textId="77777777" w:rsidR="00A66703" w:rsidRPr="001D41EA" w:rsidRDefault="00A66703" w:rsidP="001D41EA">
            <w:pPr>
              <w:spacing w:before="40" w:after="20"/>
              <w:rPr>
                <w:rFonts w:cs="Arial"/>
                <w:sz w:val="18"/>
                <w:szCs w:val="18"/>
              </w:rPr>
            </w:pPr>
            <w:r w:rsidRPr="001D41EA">
              <w:rPr>
                <w:rFonts w:cs="Arial"/>
                <w:sz w:val="18"/>
                <w:szCs w:val="18"/>
              </w:rPr>
              <w:t>Surf Coast S</w:t>
            </w:r>
          </w:p>
        </w:tc>
        <w:tc>
          <w:tcPr>
            <w:tcW w:w="1361" w:type="dxa"/>
            <w:tcBorders>
              <w:top w:val="nil"/>
              <w:left w:val="single" w:sz="18" w:space="0" w:color="5F497A" w:themeColor="accent4" w:themeShade="BF"/>
              <w:bottom w:val="nil"/>
              <w:right w:val="nil"/>
            </w:tcBorders>
            <w:shd w:val="clear" w:color="auto" w:fill="auto"/>
            <w:vAlign w:val="bottom"/>
          </w:tcPr>
          <w:p w14:paraId="5BE4D28A" w14:textId="7CEA69AC" w:rsidR="00A66703" w:rsidRPr="001D41EA" w:rsidRDefault="00A66703" w:rsidP="001D41EA">
            <w:pPr>
              <w:spacing w:before="40" w:after="20"/>
              <w:jc w:val="right"/>
              <w:rPr>
                <w:rFonts w:cs="Arial"/>
                <w:sz w:val="18"/>
                <w:szCs w:val="18"/>
              </w:rPr>
            </w:pPr>
            <w:r w:rsidRPr="001D41EA">
              <w:rPr>
                <w:rFonts w:cs="Arial"/>
                <w:sz w:val="18"/>
                <w:szCs w:val="18"/>
              </w:rPr>
              <w:t>2,952,296</w:t>
            </w:r>
          </w:p>
        </w:tc>
        <w:tc>
          <w:tcPr>
            <w:tcW w:w="1361" w:type="dxa"/>
            <w:tcBorders>
              <w:top w:val="nil"/>
              <w:left w:val="nil"/>
              <w:bottom w:val="nil"/>
              <w:right w:val="nil"/>
            </w:tcBorders>
            <w:shd w:val="clear" w:color="auto" w:fill="auto"/>
            <w:vAlign w:val="bottom"/>
          </w:tcPr>
          <w:p w14:paraId="746DF20A" w14:textId="47E4F32E" w:rsidR="00A66703" w:rsidRPr="001D41EA" w:rsidRDefault="00A66703" w:rsidP="001D41EA">
            <w:pPr>
              <w:spacing w:before="40" w:after="20"/>
              <w:jc w:val="right"/>
              <w:rPr>
                <w:rFonts w:cs="Arial"/>
                <w:sz w:val="18"/>
                <w:szCs w:val="18"/>
              </w:rPr>
            </w:pPr>
            <w:r w:rsidRPr="001D41EA">
              <w:rPr>
                <w:rFonts w:cs="Arial"/>
                <w:sz w:val="18"/>
                <w:szCs w:val="18"/>
              </w:rPr>
              <w:t>35,000</w:t>
            </w:r>
          </w:p>
        </w:tc>
        <w:tc>
          <w:tcPr>
            <w:tcW w:w="1361" w:type="dxa"/>
            <w:tcBorders>
              <w:top w:val="nil"/>
              <w:left w:val="nil"/>
              <w:bottom w:val="nil"/>
              <w:right w:val="nil"/>
            </w:tcBorders>
            <w:shd w:val="clear" w:color="auto" w:fill="auto"/>
            <w:vAlign w:val="bottom"/>
          </w:tcPr>
          <w:p w14:paraId="38EB57C7" w14:textId="355203C1" w:rsidR="00A66703" w:rsidRPr="001D41EA" w:rsidRDefault="00A66703" w:rsidP="001D41EA">
            <w:pPr>
              <w:spacing w:before="40" w:after="20"/>
              <w:jc w:val="right"/>
              <w:rPr>
                <w:rFonts w:cs="Arial"/>
                <w:sz w:val="18"/>
                <w:szCs w:val="18"/>
              </w:rPr>
            </w:pPr>
            <w:r w:rsidRPr="001D41EA">
              <w:rPr>
                <w:rFonts w:cs="Arial"/>
                <w:sz w:val="18"/>
                <w:szCs w:val="18"/>
              </w:rPr>
              <w:t>2,987,296</w:t>
            </w:r>
          </w:p>
        </w:tc>
        <w:tc>
          <w:tcPr>
            <w:tcW w:w="1361" w:type="dxa"/>
            <w:tcBorders>
              <w:top w:val="nil"/>
              <w:left w:val="nil"/>
              <w:bottom w:val="nil"/>
              <w:right w:val="nil"/>
            </w:tcBorders>
            <w:shd w:val="clear" w:color="auto" w:fill="auto"/>
            <w:vAlign w:val="bottom"/>
          </w:tcPr>
          <w:p w14:paraId="379347BB" w14:textId="2666C700" w:rsidR="00A66703" w:rsidRPr="001D41EA" w:rsidRDefault="00A66703" w:rsidP="001D41EA">
            <w:pPr>
              <w:spacing w:before="40" w:after="20"/>
              <w:jc w:val="right"/>
              <w:rPr>
                <w:rFonts w:cs="Arial"/>
                <w:sz w:val="18"/>
                <w:szCs w:val="18"/>
              </w:rPr>
            </w:pPr>
            <w:r w:rsidRPr="001D41EA">
              <w:rPr>
                <w:rFonts w:cs="Arial"/>
                <w:sz w:val="18"/>
                <w:szCs w:val="18"/>
              </w:rPr>
              <w:t>1,660,835</w:t>
            </w:r>
          </w:p>
        </w:tc>
        <w:tc>
          <w:tcPr>
            <w:tcW w:w="1361" w:type="dxa"/>
            <w:tcBorders>
              <w:top w:val="nil"/>
              <w:left w:val="nil"/>
              <w:bottom w:val="nil"/>
              <w:right w:val="nil"/>
            </w:tcBorders>
            <w:shd w:val="clear" w:color="auto" w:fill="auto"/>
            <w:vAlign w:val="bottom"/>
          </w:tcPr>
          <w:p w14:paraId="2833B3FE" w14:textId="4FED1434" w:rsidR="00A66703" w:rsidRPr="001D41EA" w:rsidRDefault="00A66703" w:rsidP="001D41EA">
            <w:pPr>
              <w:spacing w:before="40" w:after="20"/>
              <w:jc w:val="right"/>
              <w:rPr>
                <w:rFonts w:cs="Arial"/>
                <w:b/>
                <w:sz w:val="18"/>
                <w:szCs w:val="18"/>
              </w:rPr>
            </w:pPr>
            <w:r w:rsidRPr="001D41EA">
              <w:rPr>
                <w:rFonts w:cs="Arial"/>
                <w:b/>
                <w:sz w:val="18"/>
                <w:szCs w:val="18"/>
              </w:rPr>
              <w:t>4,648,131</w:t>
            </w:r>
          </w:p>
        </w:tc>
      </w:tr>
      <w:tr w:rsidR="00A66703" w:rsidRPr="001D41EA" w14:paraId="5C18A414"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F08B0E3" w14:textId="77777777" w:rsidR="00A66703" w:rsidRPr="001D41EA" w:rsidRDefault="00A66703" w:rsidP="001D41EA">
            <w:pPr>
              <w:spacing w:before="40" w:after="20"/>
              <w:rPr>
                <w:rFonts w:cs="Arial"/>
                <w:sz w:val="18"/>
                <w:szCs w:val="18"/>
              </w:rPr>
            </w:pPr>
            <w:r w:rsidRPr="001D41EA">
              <w:rPr>
                <w:rFonts w:cs="Arial"/>
                <w:sz w:val="18"/>
                <w:szCs w:val="18"/>
              </w:rPr>
              <w:t>Swan Hill RC</w:t>
            </w:r>
          </w:p>
        </w:tc>
        <w:tc>
          <w:tcPr>
            <w:tcW w:w="1361" w:type="dxa"/>
            <w:tcBorders>
              <w:top w:val="nil"/>
              <w:left w:val="single" w:sz="18" w:space="0" w:color="5F497A" w:themeColor="accent4" w:themeShade="BF"/>
              <w:bottom w:val="nil"/>
              <w:right w:val="nil"/>
            </w:tcBorders>
            <w:shd w:val="clear" w:color="auto" w:fill="auto"/>
            <w:vAlign w:val="bottom"/>
          </w:tcPr>
          <w:p w14:paraId="1B76CA69" w14:textId="552CFA7D" w:rsidR="00A66703" w:rsidRPr="001D41EA" w:rsidRDefault="00A66703" w:rsidP="001D41EA">
            <w:pPr>
              <w:spacing w:before="40" w:after="20"/>
              <w:jc w:val="right"/>
              <w:rPr>
                <w:rFonts w:cs="Arial"/>
                <w:sz w:val="18"/>
                <w:szCs w:val="18"/>
              </w:rPr>
            </w:pPr>
            <w:r w:rsidRPr="001D41EA">
              <w:rPr>
                <w:rFonts w:cs="Arial"/>
                <w:sz w:val="18"/>
                <w:szCs w:val="18"/>
              </w:rPr>
              <w:t>4,767,992</w:t>
            </w:r>
          </w:p>
        </w:tc>
        <w:tc>
          <w:tcPr>
            <w:tcW w:w="1361" w:type="dxa"/>
            <w:tcBorders>
              <w:top w:val="nil"/>
              <w:left w:val="nil"/>
              <w:bottom w:val="nil"/>
              <w:right w:val="nil"/>
            </w:tcBorders>
            <w:shd w:val="clear" w:color="auto" w:fill="auto"/>
            <w:vAlign w:val="bottom"/>
          </w:tcPr>
          <w:p w14:paraId="373FDEBC"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8509BCE" w14:textId="399260F5" w:rsidR="00A66703" w:rsidRPr="001D41EA" w:rsidRDefault="00A66703" w:rsidP="001D41EA">
            <w:pPr>
              <w:spacing w:before="40" w:after="20"/>
              <w:jc w:val="right"/>
              <w:rPr>
                <w:rFonts w:cs="Arial"/>
                <w:sz w:val="18"/>
                <w:szCs w:val="18"/>
              </w:rPr>
            </w:pPr>
            <w:r w:rsidRPr="001D41EA">
              <w:rPr>
                <w:rFonts w:cs="Arial"/>
                <w:sz w:val="18"/>
                <w:szCs w:val="18"/>
              </w:rPr>
              <w:t>4,767,992</w:t>
            </w:r>
          </w:p>
        </w:tc>
        <w:tc>
          <w:tcPr>
            <w:tcW w:w="1361" w:type="dxa"/>
            <w:tcBorders>
              <w:top w:val="nil"/>
              <w:left w:val="nil"/>
              <w:bottom w:val="nil"/>
              <w:right w:val="nil"/>
            </w:tcBorders>
            <w:shd w:val="clear" w:color="auto" w:fill="auto"/>
            <w:vAlign w:val="bottom"/>
          </w:tcPr>
          <w:p w14:paraId="3775E895" w14:textId="3F9E5EC9" w:rsidR="00A66703" w:rsidRPr="001D41EA" w:rsidRDefault="00A66703" w:rsidP="001D41EA">
            <w:pPr>
              <w:spacing w:before="40" w:after="20"/>
              <w:jc w:val="right"/>
              <w:rPr>
                <w:rFonts w:cs="Arial"/>
                <w:sz w:val="18"/>
                <w:szCs w:val="18"/>
              </w:rPr>
            </w:pPr>
            <w:r w:rsidRPr="001D41EA">
              <w:rPr>
                <w:rFonts w:cs="Arial"/>
                <w:sz w:val="18"/>
                <w:szCs w:val="18"/>
              </w:rPr>
              <w:t>2,257,607</w:t>
            </w:r>
          </w:p>
        </w:tc>
        <w:tc>
          <w:tcPr>
            <w:tcW w:w="1361" w:type="dxa"/>
            <w:tcBorders>
              <w:top w:val="nil"/>
              <w:left w:val="nil"/>
              <w:bottom w:val="nil"/>
              <w:right w:val="nil"/>
            </w:tcBorders>
            <w:shd w:val="clear" w:color="auto" w:fill="auto"/>
            <w:vAlign w:val="bottom"/>
          </w:tcPr>
          <w:p w14:paraId="41685F31" w14:textId="39A71F4F" w:rsidR="00A66703" w:rsidRPr="001D41EA" w:rsidRDefault="00A66703" w:rsidP="001D41EA">
            <w:pPr>
              <w:spacing w:before="40" w:after="20"/>
              <w:jc w:val="right"/>
              <w:rPr>
                <w:rFonts w:cs="Arial"/>
                <w:b/>
                <w:sz w:val="18"/>
                <w:szCs w:val="18"/>
              </w:rPr>
            </w:pPr>
            <w:r w:rsidRPr="001D41EA">
              <w:rPr>
                <w:rFonts w:cs="Arial"/>
                <w:b/>
                <w:sz w:val="18"/>
                <w:szCs w:val="18"/>
              </w:rPr>
              <w:t>7,025,599</w:t>
            </w:r>
          </w:p>
        </w:tc>
      </w:tr>
      <w:tr w:rsidR="00A66703" w:rsidRPr="001D41EA" w14:paraId="512D52DA"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385B85D5" w14:textId="77777777" w:rsidR="00A66703" w:rsidRPr="001D41EA" w:rsidRDefault="00A66703" w:rsidP="001D41EA">
            <w:pPr>
              <w:spacing w:before="40" w:after="20"/>
              <w:rPr>
                <w:rFonts w:cs="Arial"/>
                <w:sz w:val="18"/>
                <w:szCs w:val="18"/>
              </w:rPr>
            </w:pPr>
            <w:r w:rsidRPr="001D41EA">
              <w:rPr>
                <w:rFonts w:cs="Arial"/>
                <w:sz w:val="18"/>
                <w:szCs w:val="18"/>
              </w:rPr>
              <w:t>Towong S</w:t>
            </w:r>
          </w:p>
        </w:tc>
        <w:tc>
          <w:tcPr>
            <w:tcW w:w="1361" w:type="dxa"/>
            <w:tcBorders>
              <w:top w:val="nil"/>
              <w:left w:val="single" w:sz="18" w:space="0" w:color="5F497A" w:themeColor="accent4" w:themeShade="BF"/>
              <w:bottom w:val="nil"/>
              <w:right w:val="nil"/>
            </w:tcBorders>
            <w:shd w:val="clear" w:color="auto" w:fill="auto"/>
            <w:vAlign w:val="bottom"/>
          </w:tcPr>
          <w:p w14:paraId="2A2A0BCE" w14:textId="5B68EED1" w:rsidR="00A66703" w:rsidRPr="001D41EA" w:rsidRDefault="00A66703" w:rsidP="001D41EA">
            <w:pPr>
              <w:spacing w:before="40" w:after="20"/>
              <w:jc w:val="right"/>
              <w:rPr>
                <w:rFonts w:cs="Arial"/>
                <w:sz w:val="18"/>
                <w:szCs w:val="18"/>
              </w:rPr>
            </w:pPr>
            <w:r w:rsidRPr="001D41EA">
              <w:rPr>
                <w:rFonts w:cs="Arial"/>
                <w:sz w:val="18"/>
                <w:szCs w:val="18"/>
              </w:rPr>
              <w:t>3,160,252</w:t>
            </w:r>
          </w:p>
        </w:tc>
        <w:tc>
          <w:tcPr>
            <w:tcW w:w="1361" w:type="dxa"/>
            <w:tcBorders>
              <w:top w:val="nil"/>
              <w:left w:val="nil"/>
              <w:bottom w:val="nil"/>
              <w:right w:val="nil"/>
            </w:tcBorders>
            <w:shd w:val="clear" w:color="auto" w:fill="auto"/>
            <w:vAlign w:val="bottom"/>
          </w:tcPr>
          <w:p w14:paraId="2A13A5FE"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ED3D80A" w14:textId="639EAEF3" w:rsidR="00A66703" w:rsidRPr="001D41EA" w:rsidRDefault="00A66703" w:rsidP="001D41EA">
            <w:pPr>
              <w:spacing w:before="40" w:after="20"/>
              <w:jc w:val="right"/>
              <w:rPr>
                <w:rFonts w:cs="Arial"/>
                <w:sz w:val="18"/>
                <w:szCs w:val="18"/>
              </w:rPr>
            </w:pPr>
            <w:r w:rsidRPr="001D41EA">
              <w:rPr>
                <w:rFonts w:cs="Arial"/>
                <w:sz w:val="18"/>
                <w:szCs w:val="18"/>
              </w:rPr>
              <w:t>3,160,252</w:t>
            </w:r>
          </w:p>
        </w:tc>
        <w:tc>
          <w:tcPr>
            <w:tcW w:w="1361" w:type="dxa"/>
            <w:tcBorders>
              <w:top w:val="nil"/>
              <w:left w:val="nil"/>
              <w:bottom w:val="nil"/>
              <w:right w:val="nil"/>
            </w:tcBorders>
            <w:shd w:val="clear" w:color="auto" w:fill="auto"/>
            <w:vAlign w:val="bottom"/>
          </w:tcPr>
          <w:p w14:paraId="3013DE83" w14:textId="59AA971D" w:rsidR="00A66703" w:rsidRPr="001D41EA" w:rsidRDefault="00A66703" w:rsidP="001D41EA">
            <w:pPr>
              <w:spacing w:before="40" w:after="20"/>
              <w:jc w:val="right"/>
              <w:rPr>
                <w:rFonts w:cs="Arial"/>
                <w:sz w:val="18"/>
                <w:szCs w:val="18"/>
              </w:rPr>
            </w:pPr>
            <w:r w:rsidRPr="001D41EA">
              <w:rPr>
                <w:rFonts w:cs="Arial"/>
                <w:sz w:val="18"/>
                <w:szCs w:val="18"/>
              </w:rPr>
              <w:t>1,834,366</w:t>
            </w:r>
          </w:p>
        </w:tc>
        <w:tc>
          <w:tcPr>
            <w:tcW w:w="1361" w:type="dxa"/>
            <w:tcBorders>
              <w:top w:val="nil"/>
              <w:left w:val="nil"/>
              <w:bottom w:val="nil"/>
              <w:right w:val="nil"/>
            </w:tcBorders>
            <w:shd w:val="clear" w:color="auto" w:fill="auto"/>
            <w:vAlign w:val="bottom"/>
          </w:tcPr>
          <w:p w14:paraId="054C0A21" w14:textId="00741086" w:rsidR="00A66703" w:rsidRPr="001D41EA" w:rsidRDefault="00A66703" w:rsidP="001D41EA">
            <w:pPr>
              <w:spacing w:before="40" w:after="20"/>
              <w:jc w:val="right"/>
              <w:rPr>
                <w:rFonts w:cs="Arial"/>
                <w:b/>
                <w:sz w:val="18"/>
                <w:szCs w:val="18"/>
              </w:rPr>
            </w:pPr>
            <w:r w:rsidRPr="001D41EA">
              <w:rPr>
                <w:rFonts w:cs="Arial"/>
                <w:b/>
                <w:sz w:val="18"/>
                <w:szCs w:val="18"/>
              </w:rPr>
              <w:t>4,994,618</w:t>
            </w:r>
          </w:p>
        </w:tc>
      </w:tr>
      <w:tr w:rsidR="00A66703" w:rsidRPr="001D41EA" w14:paraId="57836F7A"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2D05E3E" w14:textId="77777777" w:rsidR="00A66703" w:rsidRPr="001D41EA" w:rsidRDefault="00A66703" w:rsidP="001D41EA">
            <w:pPr>
              <w:spacing w:before="40" w:after="20"/>
              <w:rPr>
                <w:rFonts w:cs="Arial"/>
                <w:sz w:val="18"/>
                <w:szCs w:val="18"/>
              </w:rPr>
            </w:pPr>
            <w:r w:rsidRPr="001D41EA">
              <w:rPr>
                <w:rFonts w:cs="Arial"/>
                <w:sz w:val="18"/>
                <w:szCs w:val="18"/>
              </w:rPr>
              <w:t>Wangaratta RC</w:t>
            </w:r>
          </w:p>
        </w:tc>
        <w:tc>
          <w:tcPr>
            <w:tcW w:w="1361" w:type="dxa"/>
            <w:tcBorders>
              <w:top w:val="nil"/>
              <w:left w:val="single" w:sz="18" w:space="0" w:color="5F497A" w:themeColor="accent4" w:themeShade="BF"/>
              <w:bottom w:val="nil"/>
              <w:right w:val="nil"/>
            </w:tcBorders>
            <w:shd w:val="clear" w:color="auto" w:fill="auto"/>
            <w:vAlign w:val="bottom"/>
          </w:tcPr>
          <w:p w14:paraId="1EBC63B1" w14:textId="7FAAA81D" w:rsidR="00A66703" w:rsidRPr="001D41EA" w:rsidRDefault="00A66703" w:rsidP="001D41EA">
            <w:pPr>
              <w:spacing w:before="40" w:after="20"/>
              <w:jc w:val="right"/>
              <w:rPr>
                <w:rFonts w:cs="Arial"/>
                <w:sz w:val="18"/>
                <w:szCs w:val="18"/>
              </w:rPr>
            </w:pPr>
            <w:r w:rsidRPr="001D41EA">
              <w:rPr>
                <w:rFonts w:cs="Arial"/>
                <w:sz w:val="18"/>
                <w:szCs w:val="18"/>
              </w:rPr>
              <w:t>4,980,634</w:t>
            </w:r>
          </w:p>
        </w:tc>
        <w:tc>
          <w:tcPr>
            <w:tcW w:w="1361" w:type="dxa"/>
            <w:tcBorders>
              <w:top w:val="nil"/>
              <w:left w:val="nil"/>
              <w:bottom w:val="nil"/>
              <w:right w:val="nil"/>
            </w:tcBorders>
            <w:shd w:val="clear" w:color="auto" w:fill="auto"/>
            <w:vAlign w:val="bottom"/>
          </w:tcPr>
          <w:p w14:paraId="3C4937BF" w14:textId="51004CA8" w:rsidR="00A66703" w:rsidRPr="001D41EA" w:rsidRDefault="00A66703" w:rsidP="001D41EA">
            <w:pPr>
              <w:spacing w:before="40" w:after="20"/>
              <w:jc w:val="right"/>
              <w:rPr>
                <w:rFonts w:cs="Arial"/>
                <w:sz w:val="18"/>
                <w:szCs w:val="18"/>
              </w:rPr>
            </w:pPr>
            <w:r w:rsidRPr="001D41EA">
              <w:rPr>
                <w:rFonts w:cs="Arial"/>
                <w:sz w:val="18"/>
                <w:szCs w:val="18"/>
              </w:rPr>
              <w:t>35,000</w:t>
            </w:r>
          </w:p>
        </w:tc>
        <w:tc>
          <w:tcPr>
            <w:tcW w:w="1361" w:type="dxa"/>
            <w:tcBorders>
              <w:top w:val="nil"/>
              <w:left w:val="nil"/>
              <w:bottom w:val="nil"/>
              <w:right w:val="nil"/>
            </w:tcBorders>
            <w:shd w:val="clear" w:color="auto" w:fill="auto"/>
            <w:vAlign w:val="bottom"/>
          </w:tcPr>
          <w:p w14:paraId="5FEC67F0" w14:textId="1389B29C" w:rsidR="00A66703" w:rsidRPr="001D41EA" w:rsidRDefault="00A66703" w:rsidP="001D41EA">
            <w:pPr>
              <w:spacing w:before="40" w:after="20"/>
              <w:jc w:val="right"/>
              <w:rPr>
                <w:rFonts w:cs="Arial"/>
                <w:sz w:val="18"/>
                <w:szCs w:val="18"/>
              </w:rPr>
            </w:pPr>
            <w:r w:rsidRPr="001D41EA">
              <w:rPr>
                <w:rFonts w:cs="Arial"/>
                <w:sz w:val="18"/>
                <w:szCs w:val="18"/>
              </w:rPr>
              <w:t>5,015,634</w:t>
            </w:r>
          </w:p>
        </w:tc>
        <w:tc>
          <w:tcPr>
            <w:tcW w:w="1361" w:type="dxa"/>
            <w:tcBorders>
              <w:top w:val="nil"/>
              <w:left w:val="nil"/>
              <w:bottom w:val="nil"/>
              <w:right w:val="nil"/>
            </w:tcBorders>
            <w:shd w:val="clear" w:color="auto" w:fill="auto"/>
            <w:vAlign w:val="bottom"/>
          </w:tcPr>
          <w:p w14:paraId="0B5C3BF5" w14:textId="2495BB87" w:rsidR="00A66703" w:rsidRPr="001D41EA" w:rsidRDefault="00A66703" w:rsidP="001D41EA">
            <w:pPr>
              <w:spacing w:before="40" w:after="20"/>
              <w:jc w:val="right"/>
              <w:rPr>
                <w:rFonts w:cs="Arial"/>
                <w:sz w:val="18"/>
                <w:szCs w:val="18"/>
              </w:rPr>
            </w:pPr>
            <w:r w:rsidRPr="001D41EA">
              <w:rPr>
                <w:rFonts w:cs="Arial"/>
                <w:sz w:val="18"/>
                <w:szCs w:val="18"/>
              </w:rPr>
              <w:t>2,455,275</w:t>
            </w:r>
          </w:p>
        </w:tc>
        <w:tc>
          <w:tcPr>
            <w:tcW w:w="1361" w:type="dxa"/>
            <w:tcBorders>
              <w:top w:val="nil"/>
              <w:left w:val="nil"/>
              <w:bottom w:val="nil"/>
              <w:right w:val="nil"/>
            </w:tcBorders>
            <w:shd w:val="clear" w:color="auto" w:fill="auto"/>
            <w:vAlign w:val="bottom"/>
          </w:tcPr>
          <w:p w14:paraId="6C74CA57" w14:textId="1F47EE01" w:rsidR="00A66703" w:rsidRPr="001D41EA" w:rsidRDefault="00A66703" w:rsidP="001D41EA">
            <w:pPr>
              <w:spacing w:before="40" w:after="20"/>
              <w:jc w:val="right"/>
              <w:rPr>
                <w:rFonts w:cs="Arial"/>
                <w:b/>
                <w:sz w:val="18"/>
                <w:szCs w:val="18"/>
              </w:rPr>
            </w:pPr>
            <w:r w:rsidRPr="001D41EA">
              <w:rPr>
                <w:rFonts w:cs="Arial"/>
                <w:b/>
                <w:sz w:val="18"/>
                <w:szCs w:val="18"/>
              </w:rPr>
              <w:t>7,470,909</w:t>
            </w:r>
          </w:p>
        </w:tc>
      </w:tr>
      <w:tr w:rsidR="00A66703" w:rsidRPr="001D41EA" w14:paraId="027D0B20"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8588F88" w14:textId="77777777" w:rsidR="00A66703" w:rsidRPr="001D41EA" w:rsidRDefault="00A66703" w:rsidP="001D41EA">
            <w:pPr>
              <w:spacing w:before="40" w:after="20"/>
              <w:rPr>
                <w:rFonts w:cs="Arial"/>
                <w:sz w:val="18"/>
                <w:szCs w:val="18"/>
              </w:rPr>
            </w:pPr>
            <w:r w:rsidRPr="001D41EA">
              <w:rPr>
                <w:rFonts w:cs="Arial"/>
                <w:sz w:val="18"/>
                <w:szCs w:val="18"/>
              </w:rPr>
              <w:t>Warrnambool C</w:t>
            </w:r>
          </w:p>
        </w:tc>
        <w:tc>
          <w:tcPr>
            <w:tcW w:w="1361" w:type="dxa"/>
            <w:tcBorders>
              <w:top w:val="nil"/>
              <w:left w:val="single" w:sz="18" w:space="0" w:color="5F497A" w:themeColor="accent4" w:themeShade="BF"/>
              <w:bottom w:val="nil"/>
              <w:right w:val="nil"/>
            </w:tcBorders>
            <w:shd w:val="clear" w:color="auto" w:fill="auto"/>
            <w:vAlign w:val="bottom"/>
          </w:tcPr>
          <w:p w14:paraId="28874A0C" w14:textId="25826C8A" w:rsidR="00A66703" w:rsidRPr="001D41EA" w:rsidRDefault="00A66703" w:rsidP="001D41EA">
            <w:pPr>
              <w:spacing w:before="40" w:after="20"/>
              <w:jc w:val="right"/>
              <w:rPr>
                <w:rFonts w:cs="Arial"/>
                <w:sz w:val="18"/>
                <w:szCs w:val="18"/>
              </w:rPr>
            </w:pPr>
            <w:r w:rsidRPr="001D41EA">
              <w:rPr>
                <w:rFonts w:cs="Arial"/>
                <w:sz w:val="18"/>
                <w:szCs w:val="18"/>
              </w:rPr>
              <w:t>3,260,756</w:t>
            </w:r>
          </w:p>
        </w:tc>
        <w:tc>
          <w:tcPr>
            <w:tcW w:w="1361" w:type="dxa"/>
            <w:tcBorders>
              <w:top w:val="nil"/>
              <w:left w:val="nil"/>
              <w:bottom w:val="nil"/>
              <w:right w:val="nil"/>
            </w:tcBorders>
            <w:shd w:val="clear" w:color="auto" w:fill="auto"/>
            <w:vAlign w:val="bottom"/>
          </w:tcPr>
          <w:p w14:paraId="69306894" w14:textId="726D7559"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128D4C7" w14:textId="178AAB40" w:rsidR="00A66703" w:rsidRPr="001D41EA" w:rsidRDefault="00A66703" w:rsidP="001D41EA">
            <w:pPr>
              <w:spacing w:before="40" w:after="20"/>
              <w:jc w:val="right"/>
              <w:rPr>
                <w:rFonts w:cs="Arial"/>
                <w:sz w:val="18"/>
                <w:szCs w:val="18"/>
              </w:rPr>
            </w:pPr>
            <w:r w:rsidRPr="001D41EA">
              <w:rPr>
                <w:rFonts w:cs="Arial"/>
                <w:sz w:val="18"/>
                <w:szCs w:val="18"/>
              </w:rPr>
              <w:t>3,260,756</w:t>
            </w:r>
          </w:p>
        </w:tc>
        <w:tc>
          <w:tcPr>
            <w:tcW w:w="1361" w:type="dxa"/>
            <w:tcBorders>
              <w:top w:val="nil"/>
              <w:left w:val="nil"/>
              <w:bottom w:val="nil"/>
              <w:right w:val="nil"/>
            </w:tcBorders>
            <w:shd w:val="clear" w:color="auto" w:fill="auto"/>
            <w:vAlign w:val="bottom"/>
          </w:tcPr>
          <w:p w14:paraId="1677960F" w14:textId="3DD863CF" w:rsidR="00A66703" w:rsidRPr="001D41EA" w:rsidRDefault="00A66703" w:rsidP="001D41EA">
            <w:pPr>
              <w:spacing w:before="40" w:after="20"/>
              <w:jc w:val="right"/>
              <w:rPr>
                <w:rFonts w:cs="Arial"/>
                <w:sz w:val="18"/>
                <w:szCs w:val="18"/>
              </w:rPr>
            </w:pPr>
            <w:r w:rsidRPr="001D41EA">
              <w:rPr>
                <w:rFonts w:cs="Arial"/>
                <w:sz w:val="18"/>
                <w:szCs w:val="18"/>
              </w:rPr>
              <w:t>666,695</w:t>
            </w:r>
          </w:p>
        </w:tc>
        <w:tc>
          <w:tcPr>
            <w:tcW w:w="1361" w:type="dxa"/>
            <w:tcBorders>
              <w:top w:val="nil"/>
              <w:left w:val="nil"/>
              <w:bottom w:val="nil"/>
              <w:right w:val="nil"/>
            </w:tcBorders>
            <w:shd w:val="clear" w:color="auto" w:fill="auto"/>
            <w:vAlign w:val="bottom"/>
          </w:tcPr>
          <w:p w14:paraId="04C48709" w14:textId="3179C076" w:rsidR="00A66703" w:rsidRPr="001D41EA" w:rsidRDefault="00A66703" w:rsidP="001D41EA">
            <w:pPr>
              <w:spacing w:before="40" w:after="20"/>
              <w:jc w:val="right"/>
              <w:rPr>
                <w:rFonts w:cs="Arial"/>
                <w:b/>
                <w:sz w:val="18"/>
                <w:szCs w:val="18"/>
              </w:rPr>
            </w:pPr>
            <w:r w:rsidRPr="001D41EA">
              <w:rPr>
                <w:rFonts w:cs="Arial"/>
                <w:b/>
                <w:sz w:val="18"/>
                <w:szCs w:val="18"/>
              </w:rPr>
              <w:t>3,927,451</w:t>
            </w:r>
          </w:p>
        </w:tc>
      </w:tr>
      <w:tr w:rsidR="00A66703" w:rsidRPr="001D41EA" w14:paraId="7165CD4C"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22071DA" w14:textId="77777777" w:rsidR="00A66703" w:rsidRPr="001D41EA" w:rsidRDefault="00A66703" w:rsidP="001D41EA">
            <w:pPr>
              <w:spacing w:before="40" w:after="20"/>
              <w:rPr>
                <w:rFonts w:cs="Arial"/>
                <w:sz w:val="18"/>
                <w:szCs w:val="18"/>
              </w:rPr>
            </w:pPr>
            <w:r w:rsidRPr="001D41EA">
              <w:rPr>
                <w:rFonts w:cs="Arial"/>
                <w:sz w:val="18"/>
                <w:szCs w:val="18"/>
              </w:rPr>
              <w:t>Wellington S</w:t>
            </w:r>
          </w:p>
        </w:tc>
        <w:tc>
          <w:tcPr>
            <w:tcW w:w="1361" w:type="dxa"/>
            <w:tcBorders>
              <w:top w:val="nil"/>
              <w:left w:val="single" w:sz="18" w:space="0" w:color="5F497A" w:themeColor="accent4" w:themeShade="BF"/>
              <w:bottom w:val="nil"/>
              <w:right w:val="nil"/>
            </w:tcBorders>
            <w:shd w:val="clear" w:color="auto" w:fill="auto"/>
            <w:vAlign w:val="bottom"/>
          </w:tcPr>
          <w:p w14:paraId="01BC8245" w14:textId="26D9348D" w:rsidR="00A66703" w:rsidRPr="001D41EA" w:rsidRDefault="00A66703" w:rsidP="001D41EA">
            <w:pPr>
              <w:spacing w:before="40" w:after="20"/>
              <w:jc w:val="right"/>
              <w:rPr>
                <w:rFonts w:cs="Arial"/>
                <w:sz w:val="18"/>
                <w:szCs w:val="18"/>
              </w:rPr>
            </w:pPr>
            <w:r w:rsidRPr="001D41EA">
              <w:rPr>
                <w:rFonts w:cs="Arial"/>
                <w:sz w:val="18"/>
                <w:szCs w:val="18"/>
              </w:rPr>
              <w:t>9,316,579</w:t>
            </w:r>
          </w:p>
        </w:tc>
        <w:tc>
          <w:tcPr>
            <w:tcW w:w="1361" w:type="dxa"/>
            <w:tcBorders>
              <w:top w:val="nil"/>
              <w:left w:val="nil"/>
              <w:bottom w:val="nil"/>
              <w:right w:val="nil"/>
            </w:tcBorders>
            <w:shd w:val="clear" w:color="auto" w:fill="auto"/>
            <w:vAlign w:val="bottom"/>
          </w:tcPr>
          <w:p w14:paraId="37DE372B" w14:textId="2B9A01FA"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2F74141" w14:textId="75C1DC36" w:rsidR="00A66703" w:rsidRPr="001D41EA" w:rsidRDefault="00A66703" w:rsidP="001D41EA">
            <w:pPr>
              <w:spacing w:before="40" w:after="20"/>
              <w:jc w:val="right"/>
              <w:rPr>
                <w:rFonts w:cs="Arial"/>
                <w:sz w:val="18"/>
                <w:szCs w:val="18"/>
              </w:rPr>
            </w:pPr>
            <w:r w:rsidRPr="001D41EA">
              <w:rPr>
                <w:rFonts w:cs="Arial"/>
                <w:sz w:val="18"/>
                <w:szCs w:val="18"/>
              </w:rPr>
              <w:t>9,316,579</w:t>
            </w:r>
          </w:p>
        </w:tc>
        <w:tc>
          <w:tcPr>
            <w:tcW w:w="1361" w:type="dxa"/>
            <w:tcBorders>
              <w:top w:val="nil"/>
              <w:left w:val="nil"/>
              <w:bottom w:val="nil"/>
              <w:right w:val="nil"/>
            </w:tcBorders>
            <w:shd w:val="clear" w:color="auto" w:fill="auto"/>
            <w:vAlign w:val="bottom"/>
          </w:tcPr>
          <w:p w14:paraId="428F3E7E" w14:textId="2929FF67" w:rsidR="00A66703" w:rsidRPr="001D41EA" w:rsidRDefault="00A66703" w:rsidP="001D41EA">
            <w:pPr>
              <w:spacing w:before="40" w:after="20"/>
              <w:jc w:val="right"/>
              <w:rPr>
                <w:rFonts w:cs="Arial"/>
                <w:sz w:val="18"/>
                <w:szCs w:val="18"/>
              </w:rPr>
            </w:pPr>
            <w:r w:rsidRPr="001D41EA">
              <w:rPr>
                <w:rFonts w:cs="Arial"/>
                <w:sz w:val="18"/>
                <w:szCs w:val="18"/>
              </w:rPr>
              <w:t>4,969,414</w:t>
            </w:r>
          </w:p>
        </w:tc>
        <w:tc>
          <w:tcPr>
            <w:tcW w:w="1361" w:type="dxa"/>
            <w:tcBorders>
              <w:top w:val="nil"/>
              <w:left w:val="nil"/>
              <w:bottom w:val="nil"/>
              <w:right w:val="nil"/>
            </w:tcBorders>
            <w:shd w:val="clear" w:color="auto" w:fill="auto"/>
            <w:vAlign w:val="bottom"/>
          </w:tcPr>
          <w:p w14:paraId="0C5D467C" w14:textId="4B37C897" w:rsidR="00A66703" w:rsidRPr="001D41EA" w:rsidRDefault="00A66703" w:rsidP="001D41EA">
            <w:pPr>
              <w:spacing w:before="40" w:after="20"/>
              <w:jc w:val="right"/>
              <w:rPr>
                <w:rFonts w:cs="Arial"/>
                <w:b/>
                <w:sz w:val="18"/>
                <w:szCs w:val="18"/>
              </w:rPr>
            </w:pPr>
            <w:r w:rsidRPr="001D41EA">
              <w:rPr>
                <w:rFonts w:cs="Arial"/>
                <w:b/>
                <w:sz w:val="18"/>
                <w:szCs w:val="18"/>
              </w:rPr>
              <w:t>14,285,993</w:t>
            </w:r>
          </w:p>
        </w:tc>
      </w:tr>
      <w:tr w:rsidR="00A66703" w:rsidRPr="001D41EA" w14:paraId="77056D38"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981DD09" w14:textId="77777777" w:rsidR="00A66703" w:rsidRPr="001D41EA" w:rsidRDefault="00A66703" w:rsidP="001D41EA">
            <w:pPr>
              <w:spacing w:before="40" w:after="20"/>
              <w:rPr>
                <w:rFonts w:cs="Arial"/>
                <w:sz w:val="18"/>
                <w:szCs w:val="18"/>
              </w:rPr>
            </w:pPr>
            <w:r w:rsidRPr="001D41EA">
              <w:rPr>
                <w:rFonts w:cs="Arial"/>
                <w:sz w:val="18"/>
                <w:szCs w:val="18"/>
              </w:rPr>
              <w:t>West Wimmera S</w:t>
            </w:r>
          </w:p>
        </w:tc>
        <w:tc>
          <w:tcPr>
            <w:tcW w:w="1361" w:type="dxa"/>
            <w:tcBorders>
              <w:top w:val="nil"/>
              <w:left w:val="single" w:sz="18" w:space="0" w:color="5F497A" w:themeColor="accent4" w:themeShade="BF"/>
              <w:bottom w:val="nil"/>
              <w:right w:val="nil"/>
            </w:tcBorders>
            <w:shd w:val="clear" w:color="auto" w:fill="auto"/>
            <w:vAlign w:val="bottom"/>
          </w:tcPr>
          <w:p w14:paraId="360988FF" w14:textId="36172F35" w:rsidR="00A66703" w:rsidRPr="001D41EA" w:rsidRDefault="00A66703" w:rsidP="001D41EA">
            <w:pPr>
              <w:spacing w:before="40" w:after="20"/>
              <w:jc w:val="right"/>
              <w:rPr>
                <w:rFonts w:cs="Arial"/>
                <w:sz w:val="18"/>
                <w:szCs w:val="18"/>
              </w:rPr>
            </w:pPr>
            <w:r w:rsidRPr="001D41EA">
              <w:rPr>
                <w:rFonts w:cs="Arial"/>
                <w:sz w:val="18"/>
                <w:szCs w:val="18"/>
              </w:rPr>
              <w:t>3,672,133</w:t>
            </w:r>
          </w:p>
        </w:tc>
        <w:tc>
          <w:tcPr>
            <w:tcW w:w="1361" w:type="dxa"/>
            <w:tcBorders>
              <w:top w:val="nil"/>
              <w:left w:val="nil"/>
              <w:bottom w:val="nil"/>
              <w:right w:val="nil"/>
            </w:tcBorders>
            <w:shd w:val="clear" w:color="auto" w:fill="auto"/>
            <w:vAlign w:val="bottom"/>
          </w:tcPr>
          <w:p w14:paraId="26D9799A" w14:textId="327AE2BD" w:rsidR="00A66703" w:rsidRPr="001D41EA" w:rsidRDefault="00A66703" w:rsidP="001D41EA">
            <w:pPr>
              <w:spacing w:before="40" w:after="20"/>
              <w:jc w:val="right"/>
              <w:rPr>
                <w:rFonts w:cs="Arial"/>
                <w:sz w:val="18"/>
                <w:szCs w:val="18"/>
              </w:rPr>
            </w:pPr>
            <w:r w:rsidRPr="001D41EA">
              <w:rPr>
                <w:rFonts w:cs="Arial"/>
                <w:sz w:val="18"/>
                <w:szCs w:val="18"/>
              </w:rPr>
              <w:t>35,000</w:t>
            </w:r>
          </w:p>
        </w:tc>
        <w:tc>
          <w:tcPr>
            <w:tcW w:w="1361" w:type="dxa"/>
            <w:tcBorders>
              <w:top w:val="nil"/>
              <w:left w:val="nil"/>
              <w:bottom w:val="nil"/>
              <w:right w:val="nil"/>
            </w:tcBorders>
            <w:shd w:val="clear" w:color="auto" w:fill="auto"/>
            <w:vAlign w:val="bottom"/>
          </w:tcPr>
          <w:p w14:paraId="001AD00E" w14:textId="2F594860" w:rsidR="00A66703" w:rsidRPr="001D41EA" w:rsidRDefault="00A66703" w:rsidP="001D41EA">
            <w:pPr>
              <w:spacing w:before="40" w:after="20"/>
              <w:jc w:val="right"/>
              <w:rPr>
                <w:rFonts w:cs="Arial"/>
                <w:sz w:val="18"/>
                <w:szCs w:val="18"/>
              </w:rPr>
            </w:pPr>
            <w:r w:rsidRPr="001D41EA">
              <w:rPr>
                <w:rFonts w:cs="Arial"/>
                <w:sz w:val="18"/>
                <w:szCs w:val="18"/>
              </w:rPr>
              <w:t>3,707,133</w:t>
            </w:r>
          </w:p>
        </w:tc>
        <w:tc>
          <w:tcPr>
            <w:tcW w:w="1361" w:type="dxa"/>
            <w:tcBorders>
              <w:top w:val="nil"/>
              <w:left w:val="nil"/>
              <w:bottom w:val="nil"/>
              <w:right w:val="nil"/>
            </w:tcBorders>
            <w:shd w:val="clear" w:color="auto" w:fill="auto"/>
            <w:vAlign w:val="bottom"/>
          </w:tcPr>
          <w:p w14:paraId="1FAC6B06" w14:textId="0F3A4AF1" w:rsidR="00A66703" w:rsidRPr="001D41EA" w:rsidRDefault="00A66703" w:rsidP="001D41EA">
            <w:pPr>
              <w:spacing w:before="40" w:after="20"/>
              <w:jc w:val="right"/>
              <w:rPr>
                <w:rFonts w:cs="Arial"/>
                <w:sz w:val="18"/>
                <w:szCs w:val="18"/>
              </w:rPr>
            </w:pPr>
            <w:r w:rsidRPr="001D41EA">
              <w:rPr>
                <w:rFonts w:cs="Arial"/>
                <w:sz w:val="18"/>
                <w:szCs w:val="18"/>
              </w:rPr>
              <w:t>2,403,411</w:t>
            </w:r>
          </w:p>
        </w:tc>
        <w:tc>
          <w:tcPr>
            <w:tcW w:w="1361" w:type="dxa"/>
            <w:tcBorders>
              <w:top w:val="nil"/>
              <w:left w:val="nil"/>
              <w:bottom w:val="nil"/>
              <w:right w:val="nil"/>
            </w:tcBorders>
            <w:shd w:val="clear" w:color="auto" w:fill="auto"/>
            <w:vAlign w:val="bottom"/>
          </w:tcPr>
          <w:p w14:paraId="34929907" w14:textId="4A59BEA4" w:rsidR="00A66703" w:rsidRPr="001D41EA" w:rsidRDefault="00A66703" w:rsidP="001D41EA">
            <w:pPr>
              <w:spacing w:before="40" w:after="20"/>
              <w:jc w:val="right"/>
              <w:rPr>
                <w:rFonts w:cs="Arial"/>
                <w:b/>
                <w:sz w:val="18"/>
                <w:szCs w:val="18"/>
              </w:rPr>
            </w:pPr>
            <w:r w:rsidRPr="001D41EA">
              <w:rPr>
                <w:rFonts w:cs="Arial"/>
                <w:b/>
                <w:sz w:val="18"/>
                <w:szCs w:val="18"/>
              </w:rPr>
              <w:t>6,110,544</w:t>
            </w:r>
          </w:p>
        </w:tc>
      </w:tr>
      <w:tr w:rsidR="00A66703" w:rsidRPr="001D41EA" w14:paraId="0F4A22E3"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63BE8B8" w14:textId="77777777" w:rsidR="00A66703" w:rsidRPr="001D41EA" w:rsidRDefault="00A66703" w:rsidP="001D41EA">
            <w:pPr>
              <w:spacing w:before="40" w:after="20"/>
              <w:rPr>
                <w:rFonts w:cs="Arial"/>
                <w:sz w:val="18"/>
                <w:szCs w:val="18"/>
              </w:rPr>
            </w:pPr>
            <w:r w:rsidRPr="001D41EA">
              <w:rPr>
                <w:rFonts w:cs="Arial"/>
                <w:sz w:val="18"/>
                <w:szCs w:val="18"/>
              </w:rPr>
              <w:t>Whitehorse C</w:t>
            </w:r>
          </w:p>
        </w:tc>
        <w:tc>
          <w:tcPr>
            <w:tcW w:w="1361" w:type="dxa"/>
            <w:tcBorders>
              <w:top w:val="nil"/>
              <w:left w:val="single" w:sz="18" w:space="0" w:color="5F497A" w:themeColor="accent4" w:themeShade="BF"/>
              <w:bottom w:val="nil"/>
              <w:right w:val="nil"/>
            </w:tcBorders>
            <w:shd w:val="clear" w:color="auto" w:fill="auto"/>
            <w:vAlign w:val="bottom"/>
          </w:tcPr>
          <w:p w14:paraId="635B998F" w14:textId="6FF3712B" w:rsidR="00A66703" w:rsidRPr="001D41EA" w:rsidRDefault="00A66703" w:rsidP="001D41EA">
            <w:pPr>
              <w:spacing w:before="40" w:after="20"/>
              <w:jc w:val="right"/>
              <w:rPr>
                <w:rFonts w:cs="Arial"/>
                <w:sz w:val="18"/>
                <w:szCs w:val="18"/>
              </w:rPr>
            </w:pPr>
            <w:r w:rsidRPr="001D41EA">
              <w:rPr>
                <w:rFonts w:cs="Arial"/>
                <w:sz w:val="18"/>
                <w:szCs w:val="18"/>
              </w:rPr>
              <w:t>3,727,420</w:t>
            </w:r>
          </w:p>
        </w:tc>
        <w:tc>
          <w:tcPr>
            <w:tcW w:w="1361" w:type="dxa"/>
            <w:tcBorders>
              <w:top w:val="nil"/>
              <w:left w:val="nil"/>
              <w:bottom w:val="nil"/>
              <w:right w:val="nil"/>
            </w:tcBorders>
            <w:shd w:val="clear" w:color="auto" w:fill="auto"/>
            <w:vAlign w:val="bottom"/>
          </w:tcPr>
          <w:p w14:paraId="4C1EDE10"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739E0DB" w14:textId="6949656C" w:rsidR="00A66703" w:rsidRPr="001D41EA" w:rsidRDefault="00A66703" w:rsidP="001D41EA">
            <w:pPr>
              <w:spacing w:before="40" w:after="20"/>
              <w:jc w:val="right"/>
              <w:rPr>
                <w:rFonts w:cs="Arial"/>
                <w:sz w:val="18"/>
                <w:szCs w:val="18"/>
              </w:rPr>
            </w:pPr>
            <w:r w:rsidRPr="001D41EA">
              <w:rPr>
                <w:rFonts w:cs="Arial"/>
                <w:sz w:val="18"/>
                <w:szCs w:val="18"/>
              </w:rPr>
              <w:t>3,727,420</w:t>
            </w:r>
          </w:p>
        </w:tc>
        <w:tc>
          <w:tcPr>
            <w:tcW w:w="1361" w:type="dxa"/>
            <w:tcBorders>
              <w:top w:val="nil"/>
              <w:left w:val="nil"/>
              <w:bottom w:val="nil"/>
              <w:right w:val="nil"/>
            </w:tcBorders>
            <w:shd w:val="clear" w:color="auto" w:fill="auto"/>
            <w:vAlign w:val="bottom"/>
          </w:tcPr>
          <w:p w14:paraId="6274119D" w14:textId="3FC4C22A" w:rsidR="00A66703" w:rsidRPr="001D41EA" w:rsidRDefault="00A66703" w:rsidP="001D41EA">
            <w:pPr>
              <w:spacing w:before="40" w:after="20"/>
              <w:jc w:val="right"/>
              <w:rPr>
                <w:rFonts w:cs="Arial"/>
                <w:sz w:val="18"/>
                <w:szCs w:val="18"/>
              </w:rPr>
            </w:pPr>
            <w:r w:rsidRPr="001D41EA">
              <w:rPr>
                <w:rFonts w:cs="Arial"/>
                <w:sz w:val="18"/>
                <w:szCs w:val="18"/>
              </w:rPr>
              <w:t>1,056,965</w:t>
            </w:r>
          </w:p>
        </w:tc>
        <w:tc>
          <w:tcPr>
            <w:tcW w:w="1361" w:type="dxa"/>
            <w:tcBorders>
              <w:top w:val="nil"/>
              <w:left w:val="nil"/>
              <w:bottom w:val="nil"/>
              <w:right w:val="nil"/>
            </w:tcBorders>
            <w:shd w:val="clear" w:color="auto" w:fill="auto"/>
            <w:vAlign w:val="bottom"/>
          </w:tcPr>
          <w:p w14:paraId="19D4AEFF" w14:textId="7A59AE9B" w:rsidR="00A66703" w:rsidRPr="001D41EA" w:rsidRDefault="00A66703" w:rsidP="001D41EA">
            <w:pPr>
              <w:spacing w:before="40" w:after="20"/>
              <w:jc w:val="right"/>
              <w:rPr>
                <w:rFonts w:cs="Arial"/>
                <w:b/>
                <w:sz w:val="18"/>
                <w:szCs w:val="18"/>
              </w:rPr>
            </w:pPr>
            <w:r w:rsidRPr="001D41EA">
              <w:rPr>
                <w:rFonts w:cs="Arial"/>
                <w:b/>
                <w:sz w:val="18"/>
                <w:szCs w:val="18"/>
              </w:rPr>
              <w:t>4,784,385</w:t>
            </w:r>
          </w:p>
        </w:tc>
      </w:tr>
      <w:tr w:rsidR="00A66703" w:rsidRPr="001D41EA" w14:paraId="07B1C0F1"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A29256C" w14:textId="77777777" w:rsidR="00A66703" w:rsidRPr="001D41EA" w:rsidRDefault="00A66703" w:rsidP="001D41EA">
            <w:pPr>
              <w:spacing w:before="40" w:after="20"/>
              <w:rPr>
                <w:rFonts w:cs="Arial"/>
                <w:sz w:val="18"/>
                <w:szCs w:val="18"/>
              </w:rPr>
            </w:pPr>
            <w:r w:rsidRPr="001D41EA">
              <w:rPr>
                <w:rFonts w:cs="Arial"/>
                <w:sz w:val="18"/>
                <w:szCs w:val="18"/>
              </w:rPr>
              <w:t>Whittlesea C</w:t>
            </w:r>
          </w:p>
        </w:tc>
        <w:tc>
          <w:tcPr>
            <w:tcW w:w="1361" w:type="dxa"/>
            <w:tcBorders>
              <w:top w:val="nil"/>
              <w:left w:val="single" w:sz="18" w:space="0" w:color="5F497A" w:themeColor="accent4" w:themeShade="BF"/>
              <w:bottom w:val="nil"/>
              <w:right w:val="nil"/>
            </w:tcBorders>
            <w:shd w:val="clear" w:color="auto" w:fill="auto"/>
            <w:vAlign w:val="bottom"/>
          </w:tcPr>
          <w:p w14:paraId="078D7A9A" w14:textId="5D8C58FB" w:rsidR="00A66703" w:rsidRPr="001D41EA" w:rsidRDefault="00A66703" w:rsidP="001D41EA">
            <w:pPr>
              <w:spacing w:before="40" w:after="20"/>
              <w:jc w:val="right"/>
              <w:rPr>
                <w:rFonts w:cs="Arial"/>
                <w:sz w:val="18"/>
                <w:szCs w:val="18"/>
              </w:rPr>
            </w:pPr>
            <w:r w:rsidRPr="001D41EA">
              <w:rPr>
                <w:rFonts w:cs="Arial"/>
                <w:sz w:val="18"/>
                <w:szCs w:val="18"/>
              </w:rPr>
              <w:t>12,672,400</w:t>
            </w:r>
          </w:p>
        </w:tc>
        <w:tc>
          <w:tcPr>
            <w:tcW w:w="1361" w:type="dxa"/>
            <w:tcBorders>
              <w:top w:val="nil"/>
              <w:left w:val="nil"/>
              <w:bottom w:val="nil"/>
              <w:right w:val="nil"/>
            </w:tcBorders>
            <w:shd w:val="clear" w:color="auto" w:fill="auto"/>
            <w:vAlign w:val="bottom"/>
          </w:tcPr>
          <w:p w14:paraId="59A51BAB"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E235207" w14:textId="6C3E8BF1" w:rsidR="00A66703" w:rsidRPr="001D41EA" w:rsidRDefault="00A66703" w:rsidP="001D41EA">
            <w:pPr>
              <w:spacing w:before="40" w:after="20"/>
              <w:jc w:val="right"/>
              <w:rPr>
                <w:rFonts w:cs="Arial"/>
                <w:sz w:val="18"/>
                <w:szCs w:val="18"/>
              </w:rPr>
            </w:pPr>
            <w:r w:rsidRPr="001D41EA">
              <w:rPr>
                <w:rFonts w:cs="Arial"/>
                <w:sz w:val="18"/>
                <w:szCs w:val="18"/>
              </w:rPr>
              <w:t>12,672,400</w:t>
            </w:r>
          </w:p>
        </w:tc>
        <w:tc>
          <w:tcPr>
            <w:tcW w:w="1361" w:type="dxa"/>
            <w:tcBorders>
              <w:top w:val="nil"/>
              <w:left w:val="nil"/>
              <w:bottom w:val="nil"/>
              <w:right w:val="nil"/>
            </w:tcBorders>
            <w:shd w:val="clear" w:color="auto" w:fill="auto"/>
            <w:vAlign w:val="bottom"/>
          </w:tcPr>
          <w:p w14:paraId="1C0EA765" w14:textId="368B98EF" w:rsidR="00A66703" w:rsidRPr="001D41EA" w:rsidRDefault="00A66703" w:rsidP="001D41EA">
            <w:pPr>
              <w:spacing w:before="40" w:after="20"/>
              <w:jc w:val="right"/>
              <w:rPr>
                <w:rFonts w:cs="Arial"/>
                <w:sz w:val="18"/>
                <w:szCs w:val="18"/>
              </w:rPr>
            </w:pPr>
            <w:r w:rsidRPr="001D41EA">
              <w:rPr>
                <w:rFonts w:cs="Arial"/>
                <w:sz w:val="18"/>
                <w:szCs w:val="18"/>
              </w:rPr>
              <w:t>2,219,893</w:t>
            </w:r>
          </w:p>
        </w:tc>
        <w:tc>
          <w:tcPr>
            <w:tcW w:w="1361" w:type="dxa"/>
            <w:tcBorders>
              <w:top w:val="nil"/>
              <w:left w:val="nil"/>
              <w:bottom w:val="nil"/>
              <w:right w:val="nil"/>
            </w:tcBorders>
            <w:shd w:val="clear" w:color="auto" w:fill="auto"/>
            <w:vAlign w:val="bottom"/>
          </w:tcPr>
          <w:p w14:paraId="793880CA" w14:textId="2476D062" w:rsidR="00A66703" w:rsidRPr="001D41EA" w:rsidRDefault="00A66703" w:rsidP="001D41EA">
            <w:pPr>
              <w:spacing w:before="40" w:after="20"/>
              <w:jc w:val="right"/>
              <w:rPr>
                <w:rFonts w:cs="Arial"/>
                <w:b/>
                <w:sz w:val="18"/>
                <w:szCs w:val="18"/>
              </w:rPr>
            </w:pPr>
            <w:r w:rsidRPr="001D41EA">
              <w:rPr>
                <w:rFonts w:cs="Arial"/>
                <w:b/>
                <w:sz w:val="18"/>
                <w:szCs w:val="18"/>
              </w:rPr>
              <w:t>14,892,293</w:t>
            </w:r>
          </w:p>
        </w:tc>
      </w:tr>
      <w:tr w:rsidR="00A66703" w:rsidRPr="001D41EA" w14:paraId="75C78BA1"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943A542" w14:textId="77777777" w:rsidR="00A66703" w:rsidRPr="001D41EA" w:rsidRDefault="00A66703" w:rsidP="001D41EA">
            <w:pPr>
              <w:spacing w:before="40" w:after="20"/>
              <w:rPr>
                <w:rFonts w:cs="Arial"/>
                <w:sz w:val="18"/>
                <w:szCs w:val="18"/>
              </w:rPr>
            </w:pPr>
            <w:r w:rsidRPr="001D41EA">
              <w:rPr>
                <w:rFonts w:cs="Arial"/>
                <w:sz w:val="18"/>
                <w:szCs w:val="18"/>
              </w:rPr>
              <w:t>Wodonga C</w:t>
            </w:r>
          </w:p>
        </w:tc>
        <w:tc>
          <w:tcPr>
            <w:tcW w:w="1361" w:type="dxa"/>
            <w:tcBorders>
              <w:top w:val="nil"/>
              <w:left w:val="single" w:sz="18" w:space="0" w:color="5F497A" w:themeColor="accent4" w:themeShade="BF"/>
              <w:bottom w:val="nil"/>
              <w:right w:val="nil"/>
            </w:tcBorders>
            <w:shd w:val="clear" w:color="auto" w:fill="auto"/>
            <w:vAlign w:val="bottom"/>
          </w:tcPr>
          <w:p w14:paraId="4327A84C" w14:textId="7D2504FB" w:rsidR="00A66703" w:rsidRPr="001D41EA" w:rsidRDefault="00A66703" w:rsidP="001D41EA">
            <w:pPr>
              <w:spacing w:before="40" w:after="20"/>
              <w:jc w:val="right"/>
              <w:rPr>
                <w:rFonts w:cs="Arial"/>
                <w:sz w:val="18"/>
                <w:szCs w:val="18"/>
              </w:rPr>
            </w:pPr>
            <w:r w:rsidRPr="001D41EA">
              <w:rPr>
                <w:rFonts w:cs="Arial"/>
                <w:sz w:val="18"/>
                <w:szCs w:val="18"/>
              </w:rPr>
              <w:t>4,452,464</w:t>
            </w:r>
          </w:p>
        </w:tc>
        <w:tc>
          <w:tcPr>
            <w:tcW w:w="1361" w:type="dxa"/>
            <w:tcBorders>
              <w:top w:val="nil"/>
              <w:left w:val="nil"/>
              <w:bottom w:val="nil"/>
              <w:right w:val="nil"/>
            </w:tcBorders>
            <w:shd w:val="clear" w:color="auto" w:fill="auto"/>
            <w:vAlign w:val="bottom"/>
          </w:tcPr>
          <w:p w14:paraId="637044D9"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50E1F7B" w14:textId="103D1908" w:rsidR="00A66703" w:rsidRPr="001D41EA" w:rsidRDefault="00A66703" w:rsidP="001D41EA">
            <w:pPr>
              <w:spacing w:before="40" w:after="20"/>
              <w:jc w:val="right"/>
              <w:rPr>
                <w:rFonts w:cs="Arial"/>
                <w:sz w:val="18"/>
                <w:szCs w:val="18"/>
              </w:rPr>
            </w:pPr>
            <w:r w:rsidRPr="001D41EA">
              <w:rPr>
                <w:rFonts w:cs="Arial"/>
                <w:sz w:val="18"/>
                <w:szCs w:val="18"/>
              </w:rPr>
              <w:t>4,452,464</w:t>
            </w:r>
          </w:p>
        </w:tc>
        <w:tc>
          <w:tcPr>
            <w:tcW w:w="1361" w:type="dxa"/>
            <w:tcBorders>
              <w:top w:val="nil"/>
              <w:left w:val="nil"/>
              <w:bottom w:val="nil"/>
              <w:right w:val="nil"/>
            </w:tcBorders>
            <w:shd w:val="clear" w:color="auto" w:fill="auto"/>
            <w:vAlign w:val="bottom"/>
          </w:tcPr>
          <w:p w14:paraId="69DAAC0A" w14:textId="12F60786" w:rsidR="00A66703" w:rsidRPr="001D41EA" w:rsidRDefault="00A66703" w:rsidP="001D41EA">
            <w:pPr>
              <w:spacing w:before="40" w:after="20"/>
              <w:jc w:val="right"/>
              <w:rPr>
                <w:rFonts w:cs="Arial"/>
                <w:sz w:val="18"/>
                <w:szCs w:val="18"/>
              </w:rPr>
            </w:pPr>
            <w:r w:rsidRPr="001D41EA">
              <w:rPr>
                <w:rFonts w:cs="Arial"/>
                <w:sz w:val="18"/>
                <w:szCs w:val="18"/>
              </w:rPr>
              <w:t>776,119</w:t>
            </w:r>
          </w:p>
        </w:tc>
        <w:tc>
          <w:tcPr>
            <w:tcW w:w="1361" w:type="dxa"/>
            <w:tcBorders>
              <w:top w:val="nil"/>
              <w:left w:val="nil"/>
              <w:bottom w:val="nil"/>
              <w:right w:val="nil"/>
            </w:tcBorders>
            <w:shd w:val="clear" w:color="auto" w:fill="auto"/>
            <w:vAlign w:val="bottom"/>
          </w:tcPr>
          <w:p w14:paraId="0506ED3A" w14:textId="038B5B54" w:rsidR="00A66703" w:rsidRPr="001D41EA" w:rsidRDefault="00A66703" w:rsidP="001D41EA">
            <w:pPr>
              <w:spacing w:before="40" w:after="20"/>
              <w:jc w:val="right"/>
              <w:rPr>
                <w:rFonts w:cs="Arial"/>
                <w:b/>
                <w:sz w:val="18"/>
                <w:szCs w:val="18"/>
              </w:rPr>
            </w:pPr>
            <w:r w:rsidRPr="001D41EA">
              <w:rPr>
                <w:rFonts w:cs="Arial"/>
                <w:b/>
                <w:sz w:val="18"/>
                <w:szCs w:val="18"/>
              </w:rPr>
              <w:t>5,228,583</w:t>
            </w:r>
          </w:p>
        </w:tc>
      </w:tr>
      <w:tr w:rsidR="00A66703" w:rsidRPr="001D41EA" w14:paraId="5B721996"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449D39" w14:textId="77777777" w:rsidR="00A66703" w:rsidRPr="001D41EA" w:rsidRDefault="00A66703" w:rsidP="001D41EA">
            <w:pPr>
              <w:spacing w:before="40" w:after="20"/>
              <w:rPr>
                <w:rFonts w:cs="Arial"/>
                <w:sz w:val="18"/>
                <w:szCs w:val="18"/>
              </w:rPr>
            </w:pPr>
            <w:r w:rsidRPr="001D41EA">
              <w:rPr>
                <w:rFonts w:cs="Arial"/>
                <w:sz w:val="18"/>
                <w:szCs w:val="18"/>
              </w:rPr>
              <w:t>Wyndham C</w:t>
            </w:r>
          </w:p>
        </w:tc>
        <w:tc>
          <w:tcPr>
            <w:tcW w:w="1361" w:type="dxa"/>
            <w:tcBorders>
              <w:top w:val="nil"/>
              <w:left w:val="single" w:sz="18" w:space="0" w:color="5F497A" w:themeColor="accent4" w:themeShade="BF"/>
              <w:bottom w:val="nil"/>
              <w:right w:val="nil"/>
            </w:tcBorders>
            <w:shd w:val="clear" w:color="auto" w:fill="auto"/>
            <w:vAlign w:val="bottom"/>
          </w:tcPr>
          <w:p w14:paraId="7A503F63" w14:textId="143B491C" w:rsidR="00A66703" w:rsidRPr="001D41EA" w:rsidRDefault="00A66703" w:rsidP="001D41EA">
            <w:pPr>
              <w:spacing w:before="40" w:after="20"/>
              <w:jc w:val="right"/>
              <w:rPr>
                <w:rFonts w:cs="Arial"/>
                <w:sz w:val="18"/>
                <w:szCs w:val="18"/>
              </w:rPr>
            </w:pPr>
            <w:r w:rsidRPr="001D41EA">
              <w:rPr>
                <w:rFonts w:cs="Arial"/>
                <w:sz w:val="18"/>
                <w:szCs w:val="18"/>
              </w:rPr>
              <w:t>15,922,350</w:t>
            </w:r>
          </w:p>
        </w:tc>
        <w:tc>
          <w:tcPr>
            <w:tcW w:w="1361" w:type="dxa"/>
            <w:tcBorders>
              <w:top w:val="nil"/>
              <w:left w:val="nil"/>
              <w:bottom w:val="nil"/>
              <w:right w:val="nil"/>
            </w:tcBorders>
            <w:shd w:val="clear" w:color="auto" w:fill="auto"/>
            <w:vAlign w:val="bottom"/>
          </w:tcPr>
          <w:p w14:paraId="739CB532"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DE03639" w14:textId="4170755D" w:rsidR="00A66703" w:rsidRPr="001D41EA" w:rsidRDefault="00A66703" w:rsidP="001D41EA">
            <w:pPr>
              <w:spacing w:before="40" w:after="20"/>
              <w:jc w:val="right"/>
              <w:rPr>
                <w:rFonts w:cs="Arial"/>
                <w:sz w:val="18"/>
                <w:szCs w:val="18"/>
              </w:rPr>
            </w:pPr>
            <w:r w:rsidRPr="001D41EA">
              <w:rPr>
                <w:rFonts w:cs="Arial"/>
                <w:sz w:val="18"/>
                <w:szCs w:val="18"/>
              </w:rPr>
              <w:t>15,922,350</w:t>
            </w:r>
          </w:p>
        </w:tc>
        <w:tc>
          <w:tcPr>
            <w:tcW w:w="1361" w:type="dxa"/>
            <w:tcBorders>
              <w:top w:val="nil"/>
              <w:left w:val="nil"/>
              <w:bottom w:val="nil"/>
              <w:right w:val="nil"/>
            </w:tcBorders>
            <w:shd w:val="clear" w:color="auto" w:fill="auto"/>
            <w:vAlign w:val="bottom"/>
          </w:tcPr>
          <w:p w14:paraId="7D8D1AAB" w14:textId="1253417C" w:rsidR="00A66703" w:rsidRPr="001D41EA" w:rsidRDefault="00A66703" w:rsidP="001D41EA">
            <w:pPr>
              <w:spacing w:before="40" w:after="20"/>
              <w:jc w:val="right"/>
              <w:rPr>
                <w:rFonts w:cs="Arial"/>
                <w:sz w:val="18"/>
                <w:szCs w:val="18"/>
              </w:rPr>
            </w:pPr>
            <w:r w:rsidRPr="001D41EA">
              <w:rPr>
                <w:rFonts w:cs="Arial"/>
                <w:sz w:val="18"/>
                <w:szCs w:val="18"/>
              </w:rPr>
              <w:t>2,475,532</w:t>
            </w:r>
          </w:p>
        </w:tc>
        <w:tc>
          <w:tcPr>
            <w:tcW w:w="1361" w:type="dxa"/>
            <w:tcBorders>
              <w:top w:val="nil"/>
              <w:left w:val="nil"/>
              <w:bottom w:val="nil"/>
              <w:right w:val="nil"/>
            </w:tcBorders>
            <w:shd w:val="clear" w:color="auto" w:fill="auto"/>
            <w:vAlign w:val="bottom"/>
          </w:tcPr>
          <w:p w14:paraId="29451CE4" w14:textId="1F03FD94" w:rsidR="00A66703" w:rsidRPr="001D41EA" w:rsidRDefault="00A66703" w:rsidP="001D41EA">
            <w:pPr>
              <w:spacing w:before="40" w:after="20"/>
              <w:jc w:val="right"/>
              <w:rPr>
                <w:rFonts w:cs="Arial"/>
                <w:b/>
                <w:sz w:val="18"/>
                <w:szCs w:val="18"/>
              </w:rPr>
            </w:pPr>
            <w:r w:rsidRPr="001D41EA">
              <w:rPr>
                <w:rFonts w:cs="Arial"/>
                <w:b/>
                <w:sz w:val="18"/>
                <w:szCs w:val="18"/>
              </w:rPr>
              <w:t>18,397,882</w:t>
            </w:r>
          </w:p>
        </w:tc>
      </w:tr>
      <w:tr w:rsidR="00A66703" w:rsidRPr="001D41EA" w14:paraId="6F3D4E01"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34C89A0" w14:textId="77777777" w:rsidR="00A66703" w:rsidRPr="001D41EA" w:rsidRDefault="00A66703" w:rsidP="001D41EA">
            <w:pPr>
              <w:spacing w:before="40" w:after="20"/>
              <w:rPr>
                <w:rFonts w:cs="Arial"/>
                <w:sz w:val="18"/>
                <w:szCs w:val="18"/>
              </w:rPr>
            </w:pPr>
            <w:r w:rsidRPr="001D41EA">
              <w:rPr>
                <w:rFonts w:cs="Arial"/>
                <w:sz w:val="18"/>
                <w:szCs w:val="18"/>
              </w:rPr>
              <w:t>Yarra C</w:t>
            </w:r>
          </w:p>
        </w:tc>
        <w:tc>
          <w:tcPr>
            <w:tcW w:w="1361" w:type="dxa"/>
            <w:tcBorders>
              <w:top w:val="nil"/>
              <w:left w:val="single" w:sz="18" w:space="0" w:color="5F497A" w:themeColor="accent4" w:themeShade="BF"/>
              <w:bottom w:val="nil"/>
              <w:right w:val="nil"/>
            </w:tcBorders>
            <w:shd w:val="clear" w:color="auto" w:fill="auto"/>
            <w:vAlign w:val="bottom"/>
          </w:tcPr>
          <w:p w14:paraId="6A489BCF" w14:textId="7723CDD6" w:rsidR="00A66703" w:rsidRPr="001D41EA" w:rsidRDefault="00A66703" w:rsidP="001D41EA">
            <w:pPr>
              <w:spacing w:before="40" w:after="20"/>
              <w:jc w:val="right"/>
              <w:rPr>
                <w:rFonts w:cs="Arial"/>
                <w:sz w:val="18"/>
                <w:szCs w:val="18"/>
              </w:rPr>
            </w:pPr>
            <w:r w:rsidRPr="001D41EA">
              <w:rPr>
                <w:rFonts w:cs="Arial"/>
                <w:sz w:val="18"/>
                <w:szCs w:val="18"/>
              </w:rPr>
              <w:t>2,084,208</w:t>
            </w:r>
          </w:p>
        </w:tc>
        <w:tc>
          <w:tcPr>
            <w:tcW w:w="1361" w:type="dxa"/>
            <w:tcBorders>
              <w:top w:val="nil"/>
              <w:left w:val="nil"/>
              <w:bottom w:val="nil"/>
              <w:right w:val="nil"/>
            </w:tcBorders>
            <w:shd w:val="clear" w:color="auto" w:fill="auto"/>
            <w:vAlign w:val="bottom"/>
          </w:tcPr>
          <w:p w14:paraId="7E8E487C" w14:textId="77777777" w:rsidR="00A66703" w:rsidRPr="001D41EA" w:rsidRDefault="00A66703" w:rsidP="001D41E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37FB9A7" w14:textId="339C77FD" w:rsidR="00A66703" w:rsidRPr="001D41EA" w:rsidRDefault="00A66703" w:rsidP="001D41EA">
            <w:pPr>
              <w:spacing w:before="40" w:after="20"/>
              <w:jc w:val="right"/>
              <w:rPr>
                <w:rFonts w:cs="Arial"/>
                <w:sz w:val="18"/>
                <w:szCs w:val="18"/>
              </w:rPr>
            </w:pPr>
            <w:r w:rsidRPr="001D41EA">
              <w:rPr>
                <w:rFonts w:cs="Arial"/>
                <w:sz w:val="18"/>
                <w:szCs w:val="18"/>
              </w:rPr>
              <w:t>2,084,208</w:t>
            </w:r>
          </w:p>
        </w:tc>
        <w:tc>
          <w:tcPr>
            <w:tcW w:w="1361" w:type="dxa"/>
            <w:tcBorders>
              <w:top w:val="nil"/>
              <w:left w:val="nil"/>
              <w:bottom w:val="nil"/>
              <w:right w:val="nil"/>
            </w:tcBorders>
            <w:shd w:val="clear" w:color="auto" w:fill="auto"/>
            <w:vAlign w:val="bottom"/>
          </w:tcPr>
          <w:p w14:paraId="46021834" w14:textId="14B3F875" w:rsidR="00A66703" w:rsidRPr="001D41EA" w:rsidRDefault="00A66703" w:rsidP="001D41EA">
            <w:pPr>
              <w:spacing w:before="40" w:after="20"/>
              <w:jc w:val="right"/>
              <w:rPr>
                <w:rFonts w:cs="Arial"/>
                <w:sz w:val="18"/>
                <w:szCs w:val="18"/>
              </w:rPr>
            </w:pPr>
            <w:r w:rsidRPr="001D41EA">
              <w:rPr>
                <w:rFonts w:cs="Arial"/>
                <w:sz w:val="18"/>
                <w:szCs w:val="18"/>
              </w:rPr>
              <w:t>407,955</w:t>
            </w:r>
          </w:p>
        </w:tc>
        <w:tc>
          <w:tcPr>
            <w:tcW w:w="1361" w:type="dxa"/>
            <w:tcBorders>
              <w:top w:val="nil"/>
              <w:left w:val="nil"/>
              <w:bottom w:val="nil"/>
              <w:right w:val="nil"/>
            </w:tcBorders>
            <w:shd w:val="clear" w:color="auto" w:fill="auto"/>
            <w:vAlign w:val="bottom"/>
          </w:tcPr>
          <w:p w14:paraId="5967693E" w14:textId="574F6849" w:rsidR="00A66703" w:rsidRPr="001D41EA" w:rsidRDefault="00A66703" w:rsidP="001D41EA">
            <w:pPr>
              <w:spacing w:before="40" w:after="20"/>
              <w:jc w:val="right"/>
              <w:rPr>
                <w:rFonts w:cs="Arial"/>
                <w:b/>
                <w:sz w:val="18"/>
                <w:szCs w:val="18"/>
              </w:rPr>
            </w:pPr>
            <w:r w:rsidRPr="001D41EA">
              <w:rPr>
                <w:rFonts w:cs="Arial"/>
                <w:b/>
                <w:sz w:val="18"/>
                <w:szCs w:val="18"/>
              </w:rPr>
              <w:t>2,492,163</w:t>
            </w:r>
          </w:p>
        </w:tc>
      </w:tr>
      <w:tr w:rsidR="00A66703" w:rsidRPr="001D41EA" w14:paraId="24E6C645" w14:textId="77777777" w:rsidTr="00BA7CD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DE67E71" w14:textId="77777777" w:rsidR="00A66703" w:rsidRPr="001D41EA" w:rsidRDefault="00A66703" w:rsidP="001D41EA">
            <w:pPr>
              <w:spacing w:before="40" w:after="20"/>
              <w:rPr>
                <w:rFonts w:cs="Arial"/>
                <w:sz w:val="18"/>
                <w:szCs w:val="18"/>
              </w:rPr>
            </w:pPr>
            <w:r w:rsidRPr="001D41EA">
              <w:rPr>
                <w:rFonts w:cs="Arial"/>
                <w:sz w:val="18"/>
                <w:szCs w:val="18"/>
              </w:rPr>
              <w:t>Yarra Ranges S</w:t>
            </w:r>
          </w:p>
        </w:tc>
        <w:tc>
          <w:tcPr>
            <w:tcW w:w="1361" w:type="dxa"/>
            <w:tcBorders>
              <w:top w:val="nil"/>
              <w:left w:val="single" w:sz="18" w:space="0" w:color="5F497A" w:themeColor="accent4" w:themeShade="BF"/>
              <w:bottom w:val="nil"/>
              <w:right w:val="nil"/>
            </w:tcBorders>
            <w:shd w:val="clear" w:color="auto" w:fill="auto"/>
            <w:vAlign w:val="bottom"/>
          </w:tcPr>
          <w:p w14:paraId="2E8D751E" w14:textId="1C6092D0" w:rsidR="00A66703" w:rsidRPr="001D41EA" w:rsidRDefault="00A66703" w:rsidP="001D41EA">
            <w:pPr>
              <w:spacing w:before="40" w:after="20"/>
              <w:jc w:val="right"/>
              <w:rPr>
                <w:rFonts w:cs="Arial"/>
                <w:sz w:val="18"/>
                <w:szCs w:val="18"/>
              </w:rPr>
            </w:pPr>
            <w:r w:rsidRPr="001D41EA">
              <w:rPr>
                <w:rFonts w:cs="Arial"/>
                <w:sz w:val="18"/>
                <w:szCs w:val="18"/>
              </w:rPr>
              <w:t>11,109,933</w:t>
            </w:r>
          </w:p>
        </w:tc>
        <w:tc>
          <w:tcPr>
            <w:tcW w:w="1361" w:type="dxa"/>
            <w:tcBorders>
              <w:top w:val="nil"/>
              <w:left w:val="nil"/>
              <w:bottom w:val="nil"/>
              <w:right w:val="nil"/>
            </w:tcBorders>
            <w:shd w:val="clear" w:color="auto" w:fill="auto"/>
            <w:vAlign w:val="bottom"/>
          </w:tcPr>
          <w:p w14:paraId="03D2BEFE" w14:textId="3FECE451" w:rsidR="00A66703" w:rsidRPr="001D41EA" w:rsidRDefault="00A66703" w:rsidP="001D41EA">
            <w:pPr>
              <w:spacing w:before="40" w:after="20"/>
              <w:jc w:val="right"/>
              <w:rPr>
                <w:rFonts w:cs="Arial"/>
                <w:sz w:val="18"/>
                <w:szCs w:val="18"/>
              </w:rPr>
            </w:pPr>
            <w:r w:rsidRPr="001D41EA">
              <w:rPr>
                <w:rFonts w:cs="Arial"/>
                <w:sz w:val="18"/>
                <w:szCs w:val="18"/>
              </w:rPr>
              <w:t>70,000</w:t>
            </w:r>
          </w:p>
        </w:tc>
        <w:tc>
          <w:tcPr>
            <w:tcW w:w="1361" w:type="dxa"/>
            <w:tcBorders>
              <w:top w:val="nil"/>
              <w:left w:val="nil"/>
              <w:bottom w:val="nil"/>
              <w:right w:val="nil"/>
            </w:tcBorders>
            <w:shd w:val="clear" w:color="auto" w:fill="auto"/>
            <w:vAlign w:val="bottom"/>
          </w:tcPr>
          <w:p w14:paraId="46F5C780" w14:textId="7DFFDE73" w:rsidR="00A66703" w:rsidRPr="001D41EA" w:rsidRDefault="00A66703" w:rsidP="001D41EA">
            <w:pPr>
              <w:spacing w:before="40" w:after="20"/>
              <w:jc w:val="right"/>
              <w:rPr>
                <w:rFonts w:cs="Arial"/>
                <w:sz w:val="18"/>
                <w:szCs w:val="18"/>
              </w:rPr>
            </w:pPr>
            <w:r w:rsidRPr="001D41EA">
              <w:rPr>
                <w:rFonts w:cs="Arial"/>
                <w:sz w:val="18"/>
                <w:szCs w:val="18"/>
              </w:rPr>
              <w:t>11,179,933</w:t>
            </w:r>
          </w:p>
        </w:tc>
        <w:tc>
          <w:tcPr>
            <w:tcW w:w="1361" w:type="dxa"/>
            <w:tcBorders>
              <w:top w:val="nil"/>
              <w:left w:val="nil"/>
              <w:bottom w:val="nil"/>
              <w:right w:val="nil"/>
            </w:tcBorders>
            <w:shd w:val="clear" w:color="auto" w:fill="auto"/>
            <w:vAlign w:val="bottom"/>
          </w:tcPr>
          <w:p w14:paraId="5DF3604D" w14:textId="5C05D89D" w:rsidR="00A66703" w:rsidRPr="001D41EA" w:rsidRDefault="00A66703" w:rsidP="001D41EA">
            <w:pPr>
              <w:spacing w:before="40" w:after="20"/>
              <w:jc w:val="right"/>
              <w:rPr>
                <w:rFonts w:cs="Arial"/>
                <w:sz w:val="18"/>
                <w:szCs w:val="18"/>
              </w:rPr>
            </w:pPr>
            <w:r w:rsidRPr="001D41EA">
              <w:rPr>
                <w:rFonts w:cs="Arial"/>
                <w:sz w:val="18"/>
                <w:szCs w:val="18"/>
              </w:rPr>
              <w:t>3,363,398</w:t>
            </w:r>
          </w:p>
        </w:tc>
        <w:tc>
          <w:tcPr>
            <w:tcW w:w="1361" w:type="dxa"/>
            <w:tcBorders>
              <w:top w:val="nil"/>
              <w:left w:val="nil"/>
              <w:bottom w:val="nil"/>
              <w:right w:val="nil"/>
            </w:tcBorders>
            <w:shd w:val="clear" w:color="auto" w:fill="auto"/>
            <w:vAlign w:val="bottom"/>
          </w:tcPr>
          <w:p w14:paraId="5CC24BE7" w14:textId="6753DC2B" w:rsidR="00A66703" w:rsidRPr="001D41EA" w:rsidRDefault="00A66703" w:rsidP="001D41EA">
            <w:pPr>
              <w:spacing w:before="40" w:after="20"/>
              <w:jc w:val="right"/>
              <w:rPr>
                <w:rFonts w:cs="Arial"/>
                <w:b/>
                <w:sz w:val="18"/>
                <w:szCs w:val="18"/>
              </w:rPr>
            </w:pPr>
            <w:r w:rsidRPr="001D41EA">
              <w:rPr>
                <w:rFonts w:cs="Arial"/>
                <w:b/>
                <w:sz w:val="18"/>
                <w:szCs w:val="18"/>
              </w:rPr>
              <w:t>14,543,331</w:t>
            </w:r>
          </w:p>
        </w:tc>
      </w:tr>
      <w:tr w:rsidR="00A66703" w:rsidRPr="001D41EA" w14:paraId="3B3C2CAE" w14:textId="77777777" w:rsidTr="00BA7CD0">
        <w:trPr>
          <w:trHeight w:val="240"/>
        </w:trPr>
        <w:tc>
          <w:tcPr>
            <w:tcW w:w="2268" w:type="dxa"/>
            <w:tcBorders>
              <w:top w:val="nil"/>
              <w:left w:val="nil"/>
              <w:right w:val="single" w:sz="18" w:space="0" w:color="5F497A" w:themeColor="accent4" w:themeShade="BF"/>
            </w:tcBorders>
            <w:shd w:val="clear" w:color="auto" w:fill="auto"/>
            <w:vAlign w:val="center"/>
          </w:tcPr>
          <w:p w14:paraId="44510761" w14:textId="77777777" w:rsidR="00A66703" w:rsidRPr="001D41EA" w:rsidRDefault="00A66703" w:rsidP="001D41EA">
            <w:pPr>
              <w:spacing w:before="40" w:after="20"/>
              <w:rPr>
                <w:rFonts w:cs="Arial"/>
                <w:sz w:val="18"/>
                <w:szCs w:val="18"/>
              </w:rPr>
            </w:pPr>
            <w:r w:rsidRPr="001D41EA">
              <w:rPr>
                <w:rFonts w:cs="Arial"/>
                <w:sz w:val="18"/>
                <w:szCs w:val="18"/>
              </w:rPr>
              <w:t>Yarriambiack S</w:t>
            </w:r>
          </w:p>
        </w:tc>
        <w:tc>
          <w:tcPr>
            <w:tcW w:w="1361" w:type="dxa"/>
            <w:tcBorders>
              <w:top w:val="nil"/>
              <w:left w:val="single" w:sz="18" w:space="0" w:color="5F497A" w:themeColor="accent4" w:themeShade="BF"/>
              <w:right w:val="nil"/>
            </w:tcBorders>
            <w:shd w:val="clear" w:color="auto" w:fill="auto"/>
            <w:vAlign w:val="bottom"/>
          </w:tcPr>
          <w:p w14:paraId="7394E48F" w14:textId="1732555C" w:rsidR="00A66703" w:rsidRPr="001D41EA" w:rsidRDefault="00A66703" w:rsidP="001D41EA">
            <w:pPr>
              <w:spacing w:before="40" w:after="20"/>
              <w:jc w:val="right"/>
              <w:rPr>
                <w:rFonts w:cs="Arial"/>
                <w:sz w:val="18"/>
                <w:szCs w:val="18"/>
              </w:rPr>
            </w:pPr>
            <w:r w:rsidRPr="001D41EA">
              <w:rPr>
                <w:rFonts w:cs="Arial"/>
                <w:sz w:val="18"/>
                <w:szCs w:val="18"/>
              </w:rPr>
              <w:t>3,492,083</w:t>
            </w:r>
          </w:p>
        </w:tc>
        <w:tc>
          <w:tcPr>
            <w:tcW w:w="1361" w:type="dxa"/>
            <w:tcBorders>
              <w:top w:val="nil"/>
              <w:left w:val="nil"/>
              <w:right w:val="nil"/>
            </w:tcBorders>
            <w:shd w:val="clear" w:color="auto" w:fill="auto"/>
            <w:vAlign w:val="bottom"/>
          </w:tcPr>
          <w:p w14:paraId="3211375D" w14:textId="1078B34C" w:rsidR="00A66703" w:rsidRPr="001D41EA" w:rsidRDefault="00A66703" w:rsidP="001D41EA">
            <w:pPr>
              <w:spacing w:before="40" w:after="20"/>
              <w:jc w:val="right"/>
              <w:rPr>
                <w:rFonts w:cs="Arial"/>
                <w:sz w:val="18"/>
                <w:szCs w:val="18"/>
              </w:rPr>
            </w:pPr>
          </w:p>
        </w:tc>
        <w:tc>
          <w:tcPr>
            <w:tcW w:w="1361" w:type="dxa"/>
            <w:tcBorders>
              <w:top w:val="nil"/>
              <w:left w:val="nil"/>
              <w:right w:val="nil"/>
            </w:tcBorders>
            <w:shd w:val="clear" w:color="auto" w:fill="auto"/>
            <w:vAlign w:val="bottom"/>
          </w:tcPr>
          <w:p w14:paraId="5985B689" w14:textId="010167F1" w:rsidR="00A66703" w:rsidRPr="001D41EA" w:rsidRDefault="00A66703" w:rsidP="001D41EA">
            <w:pPr>
              <w:spacing w:before="40" w:after="20"/>
              <w:jc w:val="right"/>
              <w:rPr>
                <w:rFonts w:cs="Arial"/>
                <w:sz w:val="18"/>
                <w:szCs w:val="18"/>
              </w:rPr>
            </w:pPr>
            <w:r w:rsidRPr="001D41EA">
              <w:rPr>
                <w:rFonts w:cs="Arial"/>
                <w:sz w:val="18"/>
                <w:szCs w:val="18"/>
              </w:rPr>
              <w:t>3,492,083</w:t>
            </w:r>
          </w:p>
        </w:tc>
        <w:tc>
          <w:tcPr>
            <w:tcW w:w="1361" w:type="dxa"/>
            <w:tcBorders>
              <w:top w:val="nil"/>
              <w:left w:val="nil"/>
              <w:right w:val="nil"/>
            </w:tcBorders>
            <w:shd w:val="clear" w:color="auto" w:fill="auto"/>
            <w:vAlign w:val="bottom"/>
          </w:tcPr>
          <w:p w14:paraId="79B8981B" w14:textId="2DFD40E6" w:rsidR="00A66703" w:rsidRPr="001D41EA" w:rsidRDefault="00A66703" w:rsidP="001D41EA">
            <w:pPr>
              <w:spacing w:before="40" w:after="20"/>
              <w:jc w:val="right"/>
              <w:rPr>
                <w:rFonts w:cs="Arial"/>
                <w:sz w:val="18"/>
                <w:szCs w:val="18"/>
              </w:rPr>
            </w:pPr>
            <w:r w:rsidRPr="001D41EA">
              <w:rPr>
                <w:rFonts w:cs="Arial"/>
                <w:sz w:val="18"/>
                <w:szCs w:val="18"/>
              </w:rPr>
              <w:t>2,080,906</w:t>
            </w:r>
          </w:p>
        </w:tc>
        <w:tc>
          <w:tcPr>
            <w:tcW w:w="1361" w:type="dxa"/>
            <w:tcBorders>
              <w:top w:val="nil"/>
              <w:left w:val="nil"/>
              <w:right w:val="nil"/>
            </w:tcBorders>
            <w:shd w:val="clear" w:color="auto" w:fill="auto"/>
            <w:vAlign w:val="bottom"/>
          </w:tcPr>
          <w:p w14:paraId="39B04B0E" w14:textId="67AF81CF" w:rsidR="00A66703" w:rsidRPr="001D41EA" w:rsidRDefault="00A66703" w:rsidP="001D41EA">
            <w:pPr>
              <w:spacing w:before="40" w:after="20"/>
              <w:jc w:val="right"/>
              <w:rPr>
                <w:rFonts w:cs="Arial"/>
                <w:b/>
                <w:sz w:val="18"/>
                <w:szCs w:val="18"/>
              </w:rPr>
            </w:pPr>
            <w:r w:rsidRPr="001D41EA">
              <w:rPr>
                <w:rFonts w:cs="Arial"/>
                <w:b/>
                <w:sz w:val="18"/>
                <w:szCs w:val="18"/>
              </w:rPr>
              <w:t>5,572,989</w:t>
            </w:r>
          </w:p>
        </w:tc>
      </w:tr>
      <w:tr w:rsidR="00A66703" w:rsidRPr="001D41EA" w14:paraId="6CF01CA9" w14:textId="77777777" w:rsidTr="00C60457">
        <w:trPr>
          <w:trHeight w:val="240"/>
        </w:trPr>
        <w:tc>
          <w:tcPr>
            <w:tcW w:w="2268" w:type="dxa"/>
            <w:tcBorders>
              <w:left w:val="nil"/>
              <w:right w:val="single" w:sz="18" w:space="0" w:color="5F497A" w:themeColor="accent4" w:themeShade="BF"/>
            </w:tcBorders>
            <w:shd w:val="clear" w:color="auto" w:fill="auto"/>
            <w:vAlign w:val="center"/>
          </w:tcPr>
          <w:p w14:paraId="0E8AEBD3" w14:textId="77777777" w:rsidR="00A66703" w:rsidRPr="001D41EA" w:rsidRDefault="00A66703" w:rsidP="001D41EA">
            <w:pPr>
              <w:spacing w:before="40" w:after="20"/>
              <w:rPr>
                <w:rFonts w:cs="Arial"/>
                <w:sz w:val="18"/>
                <w:szCs w:val="18"/>
              </w:rPr>
            </w:pPr>
          </w:p>
        </w:tc>
        <w:tc>
          <w:tcPr>
            <w:tcW w:w="1361" w:type="dxa"/>
            <w:tcBorders>
              <w:left w:val="single" w:sz="18" w:space="0" w:color="5F497A" w:themeColor="accent4" w:themeShade="BF"/>
              <w:bottom w:val="single" w:sz="8" w:space="0" w:color="5F497A" w:themeColor="accent4" w:themeShade="BF"/>
            </w:tcBorders>
            <w:shd w:val="clear" w:color="auto" w:fill="auto"/>
            <w:vAlign w:val="bottom"/>
          </w:tcPr>
          <w:p w14:paraId="0285C49D" w14:textId="5313C7C4" w:rsidR="00A66703" w:rsidRPr="001D41EA" w:rsidRDefault="00A66703" w:rsidP="001D41EA">
            <w:pPr>
              <w:spacing w:before="40" w:after="20"/>
              <w:jc w:val="right"/>
              <w:rPr>
                <w:rFonts w:cs="Arial"/>
                <w:sz w:val="18"/>
                <w:szCs w:val="18"/>
              </w:rPr>
            </w:pPr>
            <w:r w:rsidRPr="001D41EA">
              <w:rPr>
                <w:rFonts w:cs="Arial"/>
                <w:sz w:val="18"/>
                <w:szCs w:val="18"/>
              </w:rPr>
              <w:t> </w:t>
            </w:r>
          </w:p>
        </w:tc>
        <w:tc>
          <w:tcPr>
            <w:tcW w:w="1361" w:type="dxa"/>
            <w:tcBorders>
              <w:bottom w:val="single" w:sz="8" w:space="0" w:color="5F497A" w:themeColor="accent4" w:themeShade="BF"/>
            </w:tcBorders>
            <w:shd w:val="clear" w:color="auto" w:fill="auto"/>
            <w:vAlign w:val="bottom"/>
          </w:tcPr>
          <w:p w14:paraId="60D46F09" w14:textId="77777777" w:rsidR="00A66703" w:rsidRPr="001D41EA" w:rsidRDefault="00A66703" w:rsidP="001D41EA">
            <w:pPr>
              <w:spacing w:before="40" w:after="20"/>
              <w:jc w:val="right"/>
              <w:rPr>
                <w:rFonts w:cs="Arial"/>
                <w:sz w:val="18"/>
                <w:szCs w:val="18"/>
              </w:rPr>
            </w:pPr>
          </w:p>
        </w:tc>
        <w:tc>
          <w:tcPr>
            <w:tcW w:w="1361" w:type="dxa"/>
            <w:tcBorders>
              <w:bottom w:val="single" w:sz="8" w:space="0" w:color="5F497A" w:themeColor="accent4" w:themeShade="BF"/>
            </w:tcBorders>
            <w:shd w:val="clear" w:color="auto" w:fill="auto"/>
            <w:vAlign w:val="bottom"/>
          </w:tcPr>
          <w:p w14:paraId="50B4885C" w14:textId="38E37907" w:rsidR="00A66703" w:rsidRPr="001D41EA" w:rsidRDefault="00A66703" w:rsidP="001D41EA">
            <w:pPr>
              <w:spacing w:before="40" w:after="20"/>
              <w:jc w:val="right"/>
              <w:rPr>
                <w:rFonts w:cs="Arial"/>
                <w:sz w:val="18"/>
                <w:szCs w:val="18"/>
              </w:rPr>
            </w:pPr>
            <w:r w:rsidRPr="001D41EA">
              <w:rPr>
                <w:rFonts w:cs="Arial"/>
                <w:sz w:val="18"/>
                <w:szCs w:val="18"/>
              </w:rPr>
              <w:t> </w:t>
            </w:r>
          </w:p>
        </w:tc>
        <w:tc>
          <w:tcPr>
            <w:tcW w:w="1361" w:type="dxa"/>
            <w:tcBorders>
              <w:bottom w:val="single" w:sz="8" w:space="0" w:color="5F497A" w:themeColor="accent4" w:themeShade="BF"/>
            </w:tcBorders>
            <w:shd w:val="clear" w:color="auto" w:fill="auto"/>
            <w:vAlign w:val="bottom"/>
          </w:tcPr>
          <w:p w14:paraId="38E004F8" w14:textId="09A6DEAF" w:rsidR="00A66703" w:rsidRPr="001D41EA" w:rsidRDefault="00A66703" w:rsidP="001D41EA">
            <w:pPr>
              <w:spacing w:before="40" w:after="20"/>
              <w:jc w:val="right"/>
              <w:rPr>
                <w:rFonts w:cs="Arial"/>
                <w:sz w:val="18"/>
                <w:szCs w:val="18"/>
              </w:rPr>
            </w:pPr>
            <w:r w:rsidRPr="001D41EA">
              <w:rPr>
                <w:rFonts w:cs="Arial"/>
                <w:sz w:val="18"/>
                <w:szCs w:val="18"/>
              </w:rPr>
              <w:t> </w:t>
            </w:r>
          </w:p>
        </w:tc>
        <w:tc>
          <w:tcPr>
            <w:tcW w:w="1361" w:type="dxa"/>
            <w:tcBorders>
              <w:bottom w:val="single" w:sz="8" w:space="0" w:color="5F497A" w:themeColor="accent4" w:themeShade="BF"/>
              <w:right w:val="nil"/>
            </w:tcBorders>
            <w:shd w:val="clear" w:color="auto" w:fill="auto"/>
            <w:vAlign w:val="bottom"/>
          </w:tcPr>
          <w:p w14:paraId="052B65E1" w14:textId="61B98A95" w:rsidR="00A66703" w:rsidRPr="001D41EA" w:rsidRDefault="00A66703" w:rsidP="001D41EA">
            <w:pPr>
              <w:spacing w:before="40" w:after="20"/>
              <w:jc w:val="right"/>
              <w:rPr>
                <w:rFonts w:cs="Arial"/>
                <w:b/>
                <w:sz w:val="18"/>
                <w:szCs w:val="18"/>
              </w:rPr>
            </w:pPr>
            <w:r w:rsidRPr="001D41EA">
              <w:rPr>
                <w:rFonts w:cs="Arial"/>
                <w:b/>
                <w:sz w:val="18"/>
                <w:szCs w:val="18"/>
              </w:rPr>
              <w:t> </w:t>
            </w:r>
          </w:p>
        </w:tc>
      </w:tr>
      <w:tr w:rsidR="00A66703" w:rsidRPr="001D41EA" w14:paraId="7D7BEE58" w14:textId="77777777" w:rsidTr="00C60457">
        <w:trPr>
          <w:trHeight w:val="240"/>
        </w:trPr>
        <w:tc>
          <w:tcPr>
            <w:tcW w:w="2268" w:type="dxa"/>
            <w:tcBorders>
              <w:left w:val="nil"/>
              <w:right w:val="single" w:sz="18" w:space="0" w:color="5F497A" w:themeColor="accent4" w:themeShade="BF"/>
            </w:tcBorders>
            <w:shd w:val="clear" w:color="auto" w:fill="auto"/>
            <w:vAlign w:val="center"/>
          </w:tcPr>
          <w:p w14:paraId="52887AE0" w14:textId="77777777" w:rsidR="00A66703" w:rsidRPr="001D41EA" w:rsidRDefault="00A66703" w:rsidP="001D41EA">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tcBorders>
            <w:shd w:val="clear" w:color="auto" w:fill="auto"/>
            <w:vAlign w:val="bottom"/>
          </w:tcPr>
          <w:p w14:paraId="58DECA66" w14:textId="26065A03" w:rsidR="00A66703" w:rsidRPr="001D41EA" w:rsidRDefault="00A66703" w:rsidP="001D41EA">
            <w:pPr>
              <w:spacing w:before="40" w:after="20"/>
              <w:jc w:val="right"/>
              <w:rPr>
                <w:rFonts w:cs="Arial"/>
                <w:b/>
                <w:sz w:val="18"/>
                <w:szCs w:val="18"/>
              </w:rPr>
            </w:pPr>
            <w:r w:rsidRPr="001D41EA">
              <w:rPr>
                <w:rFonts w:cs="Arial"/>
                <w:b/>
                <w:sz w:val="18"/>
                <w:szCs w:val="18"/>
              </w:rPr>
              <w:t>454,819,604</w:t>
            </w:r>
          </w:p>
        </w:tc>
        <w:tc>
          <w:tcPr>
            <w:tcW w:w="1361" w:type="dxa"/>
            <w:tcBorders>
              <w:top w:val="single" w:sz="8" w:space="0" w:color="5F497A" w:themeColor="accent4" w:themeShade="BF"/>
            </w:tcBorders>
            <w:shd w:val="clear" w:color="auto" w:fill="auto"/>
            <w:vAlign w:val="bottom"/>
          </w:tcPr>
          <w:p w14:paraId="7607A1E3" w14:textId="5CB7DD6F" w:rsidR="00A66703" w:rsidRPr="001D41EA" w:rsidRDefault="00A66703" w:rsidP="001D41EA">
            <w:pPr>
              <w:spacing w:before="40" w:after="20"/>
              <w:jc w:val="right"/>
              <w:rPr>
                <w:rFonts w:cs="Arial"/>
                <w:b/>
                <w:sz w:val="18"/>
                <w:szCs w:val="18"/>
              </w:rPr>
            </w:pPr>
            <w:r w:rsidRPr="001D41EA">
              <w:rPr>
                <w:rFonts w:cs="Arial"/>
                <w:b/>
                <w:sz w:val="18"/>
                <w:szCs w:val="18"/>
              </w:rPr>
              <w:t>761,618</w:t>
            </w:r>
          </w:p>
        </w:tc>
        <w:tc>
          <w:tcPr>
            <w:tcW w:w="1361" w:type="dxa"/>
            <w:tcBorders>
              <w:top w:val="single" w:sz="8" w:space="0" w:color="5F497A" w:themeColor="accent4" w:themeShade="BF"/>
            </w:tcBorders>
            <w:shd w:val="clear" w:color="auto" w:fill="auto"/>
            <w:vAlign w:val="bottom"/>
          </w:tcPr>
          <w:p w14:paraId="1DDA84D1" w14:textId="14B6DBF2" w:rsidR="00A66703" w:rsidRPr="001D41EA" w:rsidRDefault="00A66703" w:rsidP="001D41EA">
            <w:pPr>
              <w:spacing w:before="40" w:after="20"/>
              <w:jc w:val="right"/>
              <w:rPr>
                <w:rFonts w:cs="Arial"/>
                <w:b/>
                <w:sz w:val="18"/>
                <w:szCs w:val="18"/>
              </w:rPr>
            </w:pPr>
            <w:r w:rsidRPr="001D41EA">
              <w:rPr>
                <w:rFonts w:cs="Arial"/>
                <w:b/>
                <w:sz w:val="18"/>
                <w:szCs w:val="18"/>
              </w:rPr>
              <w:t>455,581,222</w:t>
            </w:r>
          </w:p>
        </w:tc>
        <w:tc>
          <w:tcPr>
            <w:tcW w:w="1361" w:type="dxa"/>
            <w:tcBorders>
              <w:top w:val="single" w:sz="8" w:space="0" w:color="5F497A" w:themeColor="accent4" w:themeShade="BF"/>
            </w:tcBorders>
            <w:shd w:val="clear" w:color="auto" w:fill="auto"/>
            <w:vAlign w:val="bottom"/>
          </w:tcPr>
          <w:p w14:paraId="6326096F" w14:textId="4620869D" w:rsidR="00A66703" w:rsidRPr="001D41EA" w:rsidRDefault="00A66703" w:rsidP="001D41EA">
            <w:pPr>
              <w:spacing w:before="40" w:after="20"/>
              <w:jc w:val="right"/>
              <w:rPr>
                <w:rFonts w:cs="Arial"/>
                <w:b/>
                <w:sz w:val="18"/>
                <w:szCs w:val="18"/>
              </w:rPr>
            </w:pPr>
            <w:r w:rsidRPr="001D41EA">
              <w:rPr>
                <w:rFonts w:cs="Arial"/>
                <w:b/>
                <w:sz w:val="18"/>
                <w:szCs w:val="18"/>
              </w:rPr>
              <w:t>160,736,232</w:t>
            </w:r>
          </w:p>
        </w:tc>
        <w:tc>
          <w:tcPr>
            <w:tcW w:w="1361" w:type="dxa"/>
            <w:tcBorders>
              <w:top w:val="single" w:sz="8" w:space="0" w:color="5F497A" w:themeColor="accent4" w:themeShade="BF"/>
              <w:right w:val="nil"/>
            </w:tcBorders>
            <w:shd w:val="clear" w:color="auto" w:fill="auto"/>
            <w:vAlign w:val="bottom"/>
          </w:tcPr>
          <w:p w14:paraId="4544DA6A" w14:textId="68D91B9C" w:rsidR="00A66703" w:rsidRPr="001D41EA" w:rsidRDefault="00A66703" w:rsidP="001D41EA">
            <w:pPr>
              <w:spacing w:before="40" w:after="20"/>
              <w:jc w:val="right"/>
              <w:rPr>
                <w:rFonts w:cs="Arial"/>
                <w:b/>
                <w:sz w:val="18"/>
                <w:szCs w:val="18"/>
              </w:rPr>
            </w:pPr>
            <w:r w:rsidRPr="001D41EA">
              <w:rPr>
                <w:rFonts w:cs="Arial"/>
                <w:b/>
                <w:sz w:val="18"/>
                <w:szCs w:val="18"/>
              </w:rPr>
              <w:t>616,317,454</w:t>
            </w:r>
          </w:p>
        </w:tc>
      </w:tr>
    </w:tbl>
    <w:p w14:paraId="16739E02" w14:textId="77777777" w:rsidR="002460C5" w:rsidRPr="00A44829" w:rsidRDefault="001E1A90" w:rsidP="00FF36E8">
      <w:pPr>
        <w:spacing w:before="40" w:after="20"/>
        <w:rPr>
          <w:rFonts w:cs="Arial"/>
          <w:sz w:val="8"/>
          <w:szCs w:val="8"/>
        </w:rPr>
      </w:pPr>
      <w:r w:rsidRPr="00A44829">
        <w:rPr>
          <w:rFonts w:cs="Arial"/>
          <w:sz w:val="18"/>
          <w:szCs w:val="18"/>
        </w:rPr>
        <w:br w:type="page"/>
      </w:r>
    </w:p>
    <w:p w14:paraId="6C8165E6" w14:textId="4A726609" w:rsidR="002460C5" w:rsidRPr="00A44829" w:rsidRDefault="00CE4507" w:rsidP="00C33713">
      <w:pPr>
        <w:pStyle w:val="VGC-Head10"/>
      </w:pPr>
      <w:r w:rsidRPr="00A44829">
        <w:lastRenderedPageBreak/>
        <w:t>Appendix 2</w:t>
      </w:r>
      <w:r w:rsidR="002460C5" w:rsidRPr="00A44829">
        <w:tab/>
      </w:r>
      <w:r w:rsidR="00EE4593" w:rsidRPr="00A44829">
        <w:t>2019-20</w:t>
      </w:r>
      <w:r w:rsidR="00A97ABE" w:rsidRPr="00A44829">
        <w:t xml:space="preserve"> </w:t>
      </w:r>
      <w:r w:rsidR="002460C5" w:rsidRPr="00A44829">
        <w:t xml:space="preserve">Allocations </w:t>
      </w:r>
    </w:p>
    <w:p w14:paraId="3B2F2B15" w14:textId="77777777" w:rsidR="002460C5" w:rsidRPr="00A44829" w:rsidRDefault="004B380D" w:rsidP="008C1A28">
      <w:pPr>
        <w:pStyle w:val="VGC-Head2"/>
      </w:pPr>
      <w:r w:rsidRPr="00A44829">
        <w:t>B.  Payments</w:t>
      </w: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A44829" w14:paraId="4271D43F" w14:textId="77777777" w:rsidTr="00C60457">
        <w:trPr>
          <w:trHeight w:val="20"/>
          <w:tblHeader/>
        </w:trPr>
        <w:tc>
          <w:tcPr>
            <w:tcW w:w="2268" w:type="dxa"/>
            <w:tcBorders>
              <w:top w:val="nil"/>
              <w:left w:val="nil"/>
              <w:right w:val="single" w:sz="18" w:space="0" w:color="5F497A" w:themeColor="accent4" w:themeShade="BF"/>
            </w:tcBorders>
            <w:shd w:val="clear" w:color="auto" w:fill="auto"/>
            <w:vAlign w:val="bottom"/>
          </w:tcPr>
          <w:p w14:paraId="2C3D598C" w14:textId="77777777" w:rsidR="00475A74" w:rsidRPr="00A44829" w:rsidRDefault="00475A74" w:rsidP="008001AD">
            <w:pPr>
              <w:spacing w:before="40" w:after="40"/>
              <w:jc w:val="center"/>
              <w:rPr>
                <w:rFonts w:cs="Arial"/>
                <w:sz w:val="18"/>
                <w:szCs w:val="18"/>
              </w:rPr>
            </w:pPr>
          </w:p>
        </w:tc>
        <w:tc>
          <w:tcPr>
            <w:tcW w:w="2268" w:type="dxa"/>
            <w:gridSpan w:val="2"/>
            <w:tcBorders>
              <w:left w:val="single" w:sz="18" w:space="0" w:color="5F497A" w:themeColor="accent4" w:themeShade="BF"/>
              <w:bottom w:val="single" w:sz="8" w:space="0" w:color="5F497A" w:themeColor="accent4" w:themeShade="BF"/>
            </w:tcBorders>
            <w:shd w:val="clear" w:color="auto" w:fill="auto"/>
            <w:vAlign w:val="bottom"/>
          </w:tcPr>
          <w:p w14:paraId="48A12175" w14:textId="412B2D0E" w:rsidR="00475A74" w:rsidRPr="00A44829" w:rsidRDefault="00AD6B35" w:rsidP="008001AD">
            <w:pPr>
              <w:spacing w:before="40" w:after="40"/>
              <w:jc w:val="center"/>
              <w:rPr>
                <w:rFonts w:cs="Arial"/>
                <w:b/>
                <w:sz w:val="18"/>
                <w:szCs w:val="18"/>
              </w:rPr>
            </w:pPr>
            <w:r w:rsidRPr="00A44829">
              <w:rPr>
                <w:rFonts w:cs="Arial"/>
                <w:b/>
                <w:sz w:val="18"/>
                <w:szCs w:val="18"/>
              </w:rPr>
              <w:t xml:space="preserve">Financial Assistance Grants </w:t>
            </w:r>
            <w:r w:rsidR="00EE4593" w:rsidRPr="00A44829">
              <w:rPr>
                <w:rFonts w:cs="Arial"/>
                <w:b/>
                <w:sz w:val="18"/>
                <w:szCs w:val="18"/>
              </w:rPr>
              <w:t>2019-20</w:t>
            </w:r>
            <w:r w:rsidR="00057EFC" w:rsidRPr="00A44829">
              <w:rPr>
                <w:rFonts w:cs="Arial"/>
                <w:b/>
                <w:sz w:val="18"/>
                <w:szCs w:val="18"/>
              </w:rPr>
              <w:t xml:space="preserve"> </w:t>
            </w:r>
          </w:p>
        </w:tc>
        <w:tc>
          <w:tcPr>
            <w:tcW w:w="170" w:type="dxa"/>
            <w:vMerge w:val="restart"/>
            <w:tcBorders>
              <w:bottom w:val="single" w:sz="8" w:space="0" w:color="5F497A" w:themeColor="accent4" w:themeShade="BF"/>
            </w:tcBorders>
            <w:vAlign w:val="bottom"/>
          </w:tcPr>
          <w:p w14:paraId="688D57EC" w14:textId="77777777" w:rsidR="00475A74" w:rsidRPr="00A44829" w:rsidRDefault="00475A74" w:rsidP="008001AD">
            <w:pPr>
              <w:spacing w:before="40" w:after="40"/>
              <w:jc w:val="center"/>
              <w:rPr>
                <w:rFonts w:cs="Arial"/>
                <w:b/>
                <w:sz w:val="18"/>
                <w:szCs w:val="18"/>
              </w:rPr>
            </w:pPr>
          </w:p>
        </w:tc>
        <w:tc>
          <w:tcPr>
            <w:tcW w:w="3063" w:type="dxa"/>
            <w:gridSpan w:val="3"/>
            <w:tcBorders>
              <w:bottom w:val="single" w:sz="8" w:space="0" w:color="5F497A" w:themeColor="accent4" w:themeShade="BF"/>
            </w:tcBorders>
            <w:vAlign w:val="bottom"/>
          </w:tcPr>
          <w:p w14:paraId="1172F172" w14:textId="306C3825" w:rsidR="00475A74" w:rsidRPr="00A44829" w:rsidRDefault="00475A74" w:rsidP="008001AD">
            <w:pPr>
              <w:spacing w:before="40" w:after="40"/>
              <w:jc w:val="center"/>
              <w:rPr>
                <w:rFonts w:cs="Arial"/>
                <w:b/>
                <w:sz w:val="18"/>
                <w:szCs w:val="18"/>
              </w:rPr>
            </w:pPr>
            <w:r w:rsidRPr="00A44829">
              <w:rPr>
                <w:rFonts w:cs="Arial"/>
                <w:b/>
                <w:sz w:val="18"/>
                <w:szCs w:val="18"/>
              </w:rPr>
              <w:t xml:space="preserve">Adjustment </w:t>
            </w:r>
            <w:r w:rsidR="00EE4593" w:rsidRPr="00A44829">
              <w:rPr>
                <w:rFonts w:cs="Arial"/>
                <w:b/>
                <w:sz w:val="18"/>
                <w:szCs w:val="18"/>
              </w:rPr>
              <w:t>2018-19</w:t>
            </w:r>
            <w:r w:rsidR="00057EFC" w:rsidRPr="00A44829">
              <w:rPr>
                <w:rFonts w:cs="Arial"/>
                <w:b/>
                <w:sz w:val="18"/>
                <w:szCs w:val="18"/>
              </w:rPr>
              <w:t xml:space="preserve"> </w:t>
            </w:r>
          </w:p>
        </w:tc>
        <w:tc>
          <w:tcPr>
            <w:tcW w:w="1247" w:type="dxa"/>
            <w:vMerge w:val="restart"/>
            <w:tcBorders>
              <w:bottom w:val="single" w:sz="8" w:space="0" w:color="5F497A" w:themeColor="accent4" w:themeShade="BF"/>
            </w:tcBorders>
            <w:shd w:val="clear" w:color="auto" w:fill="auto"/>
            <w:vAlign w:val="bottom"/>
          </w:tcPr>
          <w:p w14:paraId="01A56DCC" w14:textId="47BB75DB" w:rsidR="00475A74" w:rsidRPr="00A44829" w:rsidRDefault="00475A74" w:rsidP="008001AD">
            <w:pPr>
              <w:spacing w:before="40" w:after="40"/>
              <w:jc w:val="center"/>
              <w:rPr>
                <w:rFonts w:cs="Arial"/>
                <w:b/>
                <w:sz w:val="18"/>
                <w:szCs w:val="18"/>
              </w:rPr>
            </w:pPr>
            <w:r w:rsidRPr="00A44829">
              <w:rPr>
                <w:rFonts w:cs="Arial"/>
                <w:b/>
                <w:sz w:val="18"/>
                <w:szCs w:val="18"/>
              </w:rPr>
              <w:t xml:space="preserve">Total Estimated Payment </w:t>
            </w:r>
            <w:r w:rsidR="001E3FAA" w:rsidRPr="00A44829">
              <w:rPr>
                <w:rFonts w:cs="Arial"/>
                <w:b/>
                <w:sz w:val="18"/>
                <w:szCs w:val="18"/>
              </w:rPr>
              <w:t>*</w:t>
            </w:r>
            <w:r w:rsidRPr="00A44829">
              <w:rPr>
                <w:rFonts w:cs="Arial"/>
                <w:b/>
                <w:sz w:val="18"/>
                <w:szCs w:val="18"/>
              </w:rPr>
              <w:br/>
            </w:r>
            <w:r w:rsidR="00EE4593" w:rsidRPr="00A44829">
              <w:rPr>
                <w:rFonts w:cs="Arial"/>
                <w:b/>
                <w:sz w:val="18"/>
                <w:szCs w:val="18"/>
              </w:rPr>
              <w:t>2019-20</w:t>
            </w:r>
            <w:r w:rsidR="00057EFC" w:rsidRPr="00A44829">
              <w:rPr>
                <w:rFonts w:cs="Arial"/>
                <w:b/>
                <w:sz w:val="18"/>
                <w:szCs w:val="18"/>
              </w:rPr>
              <w:t xml:space="preserve"> </w:t>
            </w:r>
            <w:r w:rsidRPr="00A44829">
              <w:rPr>
                <w:rFonts w:cs="Arial"/>
                <w:b/>
                <w:sz w:val="18"/>
                <w:szCs w:val="18"/>
              </w:rPr>
              <w:br/>
              <w:t>($)</w:t>
            </w:r>
          </w:p>
        </w:tc>
      </w:tr>
      <w:tr w:rsidR="007924A4" w:rsidRPr="00A44829" w14:paraId="2AB8136B" w14:textId="77777777" w:rsidTr="00C60457">
        <w:trPr>
          <w:trHeight w:val="20"/>
          <w:tblHeader/>
        </w:trPr>
        <w:tc>
          <w:tcPr>
            <w:tcW w:w="2268" w:type="dxa"/>
            <w:tcBorders>
              <w:top w:val="nil"/>
              <w:left w:val="nil"/>
              <w:right w:val="single" w:sz="18" w:space="0" w:color="5F497A" w:themeColor="accent4" w:themeShade="BF"/>
            </w:tcBorders>
            <w:shd w:val="clear" w:color="auto" w:fill="auto"/>
            <w:vAlign w:val="bottom"/>
          </w:tcPr>
          <w:p w14:paraId="23E84404" w14:textId="77777777" w:rsidR="007924A4" w:rsidRPr="00A44829" w:rsidRDefault="007924A4" w:rsidP="008001AD">
            <w:pPr>
              <w:spacing w:before="40" w:after="40"/>
              <w:jc w:val="center"/>
              <w:rPr>
                <w:rFonts w:cs="Arial"/>
                <w:sz w:val="18"/>
                <w:szCs w:val="18"/>
              </w:rPr>
            </w:pP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20860534" w14:textId="77777777" w:rsidR="007924A4" w:rsidRPr="002A2397" w:rsidRDefault="007924A4" w:rsidP="008001AD">
            <w:pPr>
              <w:spacing w:before="40" w:after="40"/>
              <w:jc w:val="center"/>
              <w:rPr>
                <w:rFonts w:cs="Arial"/>
                <w:sz w:val="16"/>
                <w:szCs w:val="16"/>
              </w:rPr>
            </w:pPr>
            <w:r w:rsidRPr="002A2397">
              <w:rPr>
                <w:rFonts w:cs="Arial"/>
                <w:sz w:val="16"/>
                <w:szCs w:val="16"/>
              </w:rPr>
              <w:t>General Purpose Grants</w:t>
            </w:r>
            <w:r w:rsidRPr="002A2397">
              <w:rPr>
                <w:rFonts w:cs="Arial"/>
                <w:sz w:val="16"/>
                <w:szCs w:val="16"/>
              </w:rPr>
              <w:br/>
              <w:t>($)</w:t>
            </w:r>
          </w:p>
        </w:tc>
        <w:tc>
          <w:tcPr>
            <w:tcW w:w="1134" w:type="dxa"/>
            <w:tcBorders>
              <w:top w:val="single" w:sz="8" w:space="0" w:color="5F497A" w:themeColor="accent4" w:themeShade="BF"/>
              <w:bottom w:val="single" w:sz="8" w:space="0" w:color="5F497A" w:themeColor="accent4" w:themeShade="BF"/>
            </w:tcBorders>
            <w:shd w:val="clear" w:color="auto" w:fill="auto"/>
            <w:vAlign w:val="bottom"/>
          </w:tcPr>
          <w:p w14:paraId="508254C3" w14:textId="1BBB7227" w:rsidR="007924A4" w:rsidRPr="002A2397" w:rsidRDefault="007924A4" w:rsidP="008001AD">
            <w:pPr>
              <w:spacing w:before="40" w:after="40"/>
              <w:jc w:val="center"/>
              <w:rPr>
                <w:rFonts w:cs="Arial"/>
                <w:sz w:val="16"/>
                <w:szCs w:val="16"/>
              </w:rPr>
            </w:pPr>
            <w:r w:rsidRPr="002A2397">
              <w:rPr>
                <w:rFonts w:cs="Arial"/>
                <w:sz w:val="16"/>
                <w:szCs w:val="16"/>
              </w:rPr>
              <w:t>Local Road</w:t>
            </w:r>
            <w:r w:rsidR="00C64712" w:rsidRPr="002A2397">
              <w:rPr>
                <w:rFonts w:cs="Arial"/>
                <w:sz w:val="16"/>
                <w:szCs w:val="16"/>
              </w:rPr>
              <w:t>s</w:t>
            </w:r>
            <w:r w:rsidRPr="002A2397">
              <w:rPr>
                <w:rFonts w:cs="Arial"/>
                <w:sz w:val="16"/>
                <w:szCs w:val="16"/>
              </w:rPr>
              <w:t xml:space="preserve"> </w:t>
            </w:r>
            <w:r w:rsidR="00057EFC" w:rsidRPr="002A2397">
              <w:rPr>
                <w:rFonts w:cs="Arial"/>
                <w:sz w:val="16"/>
                <w:szCs w:val="16"/>
              </w:rPr>
              <w:t>Grants</w:t>
            </w:r>
            <w:r w:rsidRPr="002A2397">
              <w:rPr>
                <w:rFonts w:cs="Arial"/>
                <w:sz w:val="16"/>
                <w:szCs w:val="16"/>
              </w:rPr>
              <w:t xml:space="preserve"> </w:t>
            </w:r>
            <w:r w:rsidRPr="002A2397">
              <w:rPr>
                <w:rFonts w:cs="Arial"/>
                <w:sz w:val="16"/>
                <w:szCs w:val="16"/>
              </w:rPr>
              <w:br/>
              <w:t>($)</w:t>
            </w:r>
          </w:p>
        </w:tc>
        <w:tc>
          <w:tcPr>
            <w:tcW w:w="170" w:type="dxa"/>
            <w:vMerge/>
            <w:tcBorders>
              <w:top w:val="single" w:sz="8" w:space="0" w:color="5F497A" w:themeColor="accent4" w:themeShade="BF"/>
              <w:bottom w:val="single" w:sz="8" w:space="0" w:color="5F497A" w:themeColor="accent4" w:themeShade="BF"/>
            </w:tcBorders>
            <w:vAlign w:val="bottom"/>
          </w:tcPr>
          <w:p w14:paraId="32FA9183" w14:textId="77777777" w:rsidR="007924A4" w:rsidRPr="002A2397" w:rsidRDefault="007924A4" w:rsidP="008001AD">
            <w:pPr>
              <w:spacing w:before="40" w:after="40"/>
              <w:jc w:val="center"/>
              <w:rPr>
                <w:rFonts w:cs="Arial"/>
                <w:sz w:val="16"/>
                <w:szCs w:val="16"/>
              </w:rPr>
            </w:pPr>
          </w:p>
        </w:tc>
        <w:tc>
          <w:tcPr>
            <w:tcW w:w="1021" w:type="dxa"/>
            <w:tcBorders>
              <w:top w:val="single" w:sz="8" w:space="0" w:color="5F497A" w:themeColor="accent4" w:themeShade="BF"/>
              <w:bottom w:val="single" w:sz="8" w:space="0" w:color="5F497A" w:themeColor="accent4" w:themeShade="BF"/>
            </w:tcBorders>
            <w:vAlign w:val="bottom"/>
          </w:tcPr>
          <w:p w14:paraId="51AD0BCE" w14:textId="46824142" w:rsidR="007924A4" w:rsidRPr="002A2397" w:rsidRDefault="007924A4" w:rsidP="008C1A28">
            <w:pPr>
              <w:spacing w:before="40" w:after="40"/>
              <w:jc w:val="center"/>
              <w:rPr>
                <w:rFonts w:cs="Arial"/>
                <w:sz w:val="16"/>
                <w:szCs w:val="16"/>
              </w:rPr>
            </w:pPr>
            <w:r w:rsidRPr="002A2397">
              <w:rPr>
                <w:rFonts w:cs="Arial"/>
                <w:sz w:val="16"/>
                <w:szCs w:val="16"/>
              </w:rPr>
              <w:t>General Purpose Grants</w:t>
            </w:r>
            <w:r w:rsidR="00057EFC" w:rsidRPr="002A2397">
              <w:rPr>
                <w:rFonts w:cs="Arial"/>
                <w:sz w:val="16"/>
                <w:szCs w:val="16"/>
              </w:rPr>
              <w:t xml:space="preserve"> </w:t>
            </w:r>
            <w:r w:rsidRPr="002A2397">
              <w:rPr>
                <w:rFonts w:cs="Arial"/>
                <w:sz w:val="16"/>
                <w:szCs w:val="16"/>
              </w:rPr>
              <w:br/>
              <w:t>($)</w:t>
            </w:r>
          </w:p>
        </w:tc>
        <w:tc>
          <w:tcPr>
            <w:tcW w:w="1021" w:type="dxa"/>
            <w:tcBorders>
              <w:top w:val="single" w:sz="8" w:space="0" w:color="5F497A" w:themeColor="accent4" w:themeShade="BF"/>
              <w:bottom w:val="single" w:sz="8" w:space="0" w:color="5F497A" w:themeColor="accent4" w:themeShade="BF"/>
            </w:tcBorders>
            <w:vAlign w:val="bottom"/>
          </w:tcPr>
          <w:p w14:paraId="76AAC708" w14:textId="1E436D0E" w:rsidR="007924A4" w:rsidRPr="002A2397" w:rsidRDefault="007924A4" w:rsidP="008C1A28">
            <w:pPr>
              <w:spacing w:before="40" w:after="40"/>
              <w:jc w:val="center"/>
              <w:rPr>
                <w:rFonts w:cs="Arial"/>
                <w:sz w:val="16"/>
                <w:szCs w:val="16"/>
              </w:rPr>
            </w:pPr>
            <w:r w:rsidRPr="002A2397">
              <w:rPr>
                <w:rFonts w:cs="Arial"/>
                <w:sz w:val="16"/>
                <w:szCs w:val="16"/>
              </w:rPr>
              <w:t>Local Road</w:t>
            </w:r>
            <w:r w:rsidR="00C64712" w:rsidRPr="002A2397">
              <w:rPr>
                <w:rFonts w:cs="Arial"/>
                <w:sz w:val="16"/>
                <w:szCs w:val="16"/>
              </w:rPr>
              <w:t>s</w:t>
            </w:r>
            <w:r w:rsidRPr="002A2397">
              <w:rPr>
                <w:rFonts w:cs="Arial"/>
                <w:sz w:val="16"/>
                <w:szCs w:val="16"/>
              </w:rPr>
              <w:t xml:space="preserve"> </w:t>
            </w:r>
            <w:r w:rsidR="00057EFC" w:rsidRPr="002A2397">
              <w:rPr>
                <w:rFonts w:cs="Arial"/>
                <w:sz w:val="16"/>
                <w:szCs w:val="16"/>
              </w:rPr>
              <w:t>Grants</w:t>
            </w:r>
            <w:r w:rsidRPr="002A2397">
              <w:rPr>
                <w:rFonts w:cs="Arial"/>
                <w:sz w:val="16"/>
                <w:szCs w:val="16"/>
              </w:rPr>
              <w:t xml:space="preserve"> </w:t>
            </w:r>
            <w:r w:rsidRPr="002A2397">
              <w:rPr>
                <w:rFonts w:cs="Arial"/>
                <w:sz w:val="16"/>
                <w:szCs w:val="16"/>
              </w:rPr>
              <w:br/>
              <w:t>($)</w:t>
            </w:r>
          </w:p>
        </w:tc>
        <w:tc>
          <w:tcPr>
            <w:tcW w:w="1021" w:type="dxa"/>
            <w:tcBorders>
              <w:top w:val="single" w:sz="8" w:space="0" w:color="5F497A" w:themeColor="accent4" w:themeShade="BF"/>
              <w:bottom w:val="single" w:sz="8" w:space="0" w:color="5F497A" w:themeColor="accent4" w:themeShade="BF"/>
            </w:tcBorders>
            <w:vAlign w:val="bottom"/>
          </w:tcPr>
          <w:p w14:paraId="10A27F03" w14:textId="7DA538D5" w:rsidR="007924A4" w:rsidRPr="00A44829" w:rsidRDefault="007924A4" w:rsidP="008001AD">
            <w:pPr>
              <w:spacing w:before="40" w:after="40"/>
              <w:jc w:val="center"/>
              <w:rPr>
                <w:rFonts w:cs="Arial"/>
                <w:sz w:val="16"/>
                <w:szCs w:val="16"/>
              </w:rPr>
            </w:pPr>
            <w:r w:rsidRPr="002A2397">
              <w:rPr>
                <w:rFonts w:cs="Arial"/>
                <w:sz w:val="16"/>
                <w:szCs w:val="16"/>
              </w:rPr>
              <w:t>Total</w:t>
            </w:r>
            <w:r w:rsidR="00057EFC" w:rsidRPr="002A2397">
              <w:rPr>
                <w:rFonts w:cs="Arial"/>
                <w:sz w:val="16"/>
                <w:szCs w:val="16"/>
              </w:rPr>
              <w:t xml:space="preserve"> </w:t>
            </w:r>
            <w:r w:rsidRPr="002A2397">
              <w:rPr>
                <w:rFonts w:cs="Arial"/>
                <w:sz w:val="16"/>
                <w:szCs w:val="16"/>
              </w:rPr>
              <w:br/>
              <w:t>($)</w:t>
            </w:r>
          </w:p>
        </w:tc>
        <w:tc>
          <w:tcPr>
            <w:tcW w:w="1247" w:type="dxa"/>
            <w:vMerge/>
            <w:tcBorders>
              <w:top w:val="single" w:sz="8" w:space="0" w:color="5F497A" w:themeColor="accent4" w:themeShade="BF"/>
              <w:bottom w:val="single" w:sz="8" w:space="0" w:color="5F497A" w:themeColor="accent4" w:themeShade="BF"/>
            </w:tcBorders>
            <w:shd w:val="clear" w:color="auto" w:fill="auto"/>
            <w:vAlign w:val="bottom"/>
          </w:tcPr>
          <w:p w14:paraId="44EF485E" w14:textId="77777777" w:rsidR="007924A4" w:rsidRPr="00A44829" w:rsidRDefault="007924A4" w:rsidP="008001AD">
            <w:pPr>
              <w:spacing w:before="40" w:after="40"/>
              <w:jc w:val="center"/>
              <w:rPr>
                <w:rFonts w:cs="Arial"/>
                <w:b/>
                <w:sz w:val="18"/>
                <w:szCs w:val="18"/>
              </w:rPr>
            </w:pPr>
          </w:p>
        </w:tc>
      </w:tr>
      <w:tr w:rsidR="00A66703" w:rsidRPr="001D41EA" w14:paraId="277F8A36" w14:textId="77777777" w:rsidTr="00C60457">
        <w:trPr>
          <w:trHeight w:val="240"/>
          <w:tblHeader/>
        </w:trPr>
        <w:tc>
          <w:tcPr>
            <w:tcW w:w="2268" w:type="dxa"/>
            <w:tcBorders>
              <w:left w:val="nil"/>
              <w:bottom w:val="nil"/>
              <w:right w:val="single" w:sz="18" w:space="0" w:color="5F497A" w:themeColor="accent4" w:themeShade="BF"/>
            </w:tcBorders>
            <w:shd w:val="clear" w:color="auto" w:fill="auto"/>
            <w:vAlign w:val="center"/>
          </w:tcPr>
          <w:p w14:paraId="72CDBE78" w14:textId="77777777" w:rsidR="00A66703" w:rsidRPr="001D41EA" w:rsidRDefault="00A66703" w:rsidP="001D41EA">
            <w:pPr>
              <w:spacing w:before="40" w:after="4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A10F030" w14:textId="49775AB6" w:rsidR="00A66703" w:rsidRPr="001D41EA" w:rsidRDefault="00A66703" w:rsidP="001D41EA">
            <w:pPr>
              <w:spacing w:before="40" w:after="4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56DB3F2C" w14:textId="7549A71A" w:rsidR="00A66703" w:rsidRPr="001D41EA" w:rsidRDefault="00A66703" w:rsidP="001D41EA">
            <w:pPr>
              <w:spacing w:before="40" w:after="40"/>
              <w:jc w:val="right"/>
              <w:rPr>
                <w:rFonts w:cs="Arial"/>
                <w:sz w:val="18"/>
                <w:szCs w:val="18"/>
              </w:rPr>
            </w:pPr>
          </w:p>
        </w:tc>
        <w:tc>
          <w:tcPr>
            <w:tcW w:w="170" w:type="dxa"/>
            <w:tcBorders>
              <w:top w:val="single" w:sz="8" w:space="0" w:color="5F497A" w:themeColor="accent4" w:themeShade="BF"/>
              <w:left w:val="nil"/>
              <w:bottom w:val="nil"/>
              <w:right w:val="nil"/>
            </w:tcBorders>
            <w:vAlign w:val="bottom"/>
          </w:tcPr>
          <w:p w14:paraId="34135DBE" w14:textId="77777777" w:rsidR="00A66703" w:rsidRPr="001D41EA" w:rsidRDefault="00A66703" w:rsidP="001D41EA">
            <w:pPr>
              <w:spacing w:before="40" w:after="40"/>
              <w:jc w:val="right"/>
              <w:rPr>
                <w:rFonts w:cs="Arial"/>
                <w:sz w:val="18"/>
                <w:szCs w:val="18"/>
              </w:rPr>
            </w:pPr>
          </w:p>
        </w:tc>
        <w:tc>
          <w:tcPr>
            <w:tcW w:w="1021" w:type="dxa"/>
            <w:tcBorders>
              <w:top w:val="single" w:sz="8" w:space="0" w:color="5F497A" w:themeColor="accent4" w:themeShade="BF"/>
              <w:left w:val="nil"/>
              <w:bottom w:val="nil"/>
              <w:right w:val="nil"/>
            </w:tcBorders>
            <w:vAlign w:val="bottom"/>
          </w:tcPr>
          <w:p w14:paraId="660004EF" w14:textId="5E4A43E6" w:rsidR="00A66703" w:rsidRPr="001D41EA" w:rsidRDefault="00A66703" w:rsidP="001D41EA">
            <w:pPr>
              <w:spacing w:before="40" w:after="40"/>
              <w:jc w:val="right"/>
              <w:rPr>
                <w:rFonts w:cs="Arial"/>
                <w:sz w:val="18"/>
                <w:szCs w:val="18"/>
              </w:rPr>
            </w:pPr>
            <w:r w:rsidRPr="001D41EA">
              <w:rPr>
                <w:rFonts w:cs="Arial"/>
                <w:sz w:val="18"/>
                <w:szCs w:val="18"/>
              </w:rPr>
              <w:t> </w:t>
            </w:r>
          </w:p>
        </w:tc>
        <w:tc>
          <w:tcPr>
            <w:tcW w:w="1021" w:type="dxa"/>
            <w:tcBorders>
              <w:top w:val="single" w:sz="8" w:space="0" w:color="5F497A" w:themeColor="accent4" w:themeShade="BF"/>
              <w:left w:val="nil"/>
              <w:bottom w:val="nil"/>
              <w:right w:val="nil"/>
            </w:tcBorders>
            <w:vAlign w:val="bottom"/>
          </w:tcPr>
          <w:p w14:paraId="29CA2688" w14:textId="77777777" w:rsidR="00A66703" w:rsidRPr="001D41EA" w:rsidRDefault="00A66703" w:rsidP="001D41EA">
            <w:pPr>
              <w:spacing w:before="40" w:after="40"/>
              <w:jc w:val="right"/>
              <w:rPr>
                <w:rFonts w:cs="Arial"/>
                <w:sz w:val="18"/>
                <w:szCs w:val="18"/>
              </w:rPr>
            </w:pPr>
          </w:p>
        </w:tc>
        <w:tc>
          <w:tcPr>
            <w:tcW w:w="1021" w:type="dxa"/>
            <w:tcBorders>
              <w:top w:val="single" w:sz="8" w:space="0" w:color="5F497A" w:themeColor="accent4" w:themeShade="BF"/>
              <w:left w:val="nil"/>
              <w:bottom w:val="nil"/>
              <w:right w:val="nil"/>
            </w:tcBorders>
            <w:vAlign w:val="bottom"/>
          </w:tcPr>
          <w:p w14:paraId="4B3503DA" w14:textId="5EB85E15" w:rsidR="00A66703" w:rsidRPr="001D41EA" w:rsidRDefault="00A66703" w:rsidP="001D41EA">
            <w:pPr>
              <w:spacing w:before="40" w:after="40"/>
              <w:jc w:val="right"/>
              <w:rPr>
                <w:rFonts w:cs="Arial"/>
                <w:sz w:val="18"/>
                <w:szCs w:val="18"/>
              </w:rPr>
            </w:pPr>
            <w:r w:rsidRPr="001D41EA">
              <w:rPr>
                <w:rFonts w:cs="Arial"/>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4BE190DF" w14:textId="70C77D8B" w:rsidR="00A66703" w:rsidRPr="001D41EA" w:rsidRDefault="00A66703" w:rsidP="001D41EA">
            <w:pPr>
              <w:spacing w:before="40" w:after="40"/>
              <w:jc w:val="right"/>
              <w:rPr>
                <w:rFonts w:cs="Arial"/>
                <w:b/>
                <w:sz w:val="18"/>
                <w:szCs w:val="18"/>
              </w:rPr>
            </w:pPr>
            <w:r w:rsidRPr="001D41EA">
              <w:rPr>
                <w:rFonts w:cs="Arial"/>
                <w:b/>
                <w:sz w:val="18"/>
                <w:szCs w:val="18"/>
              </w:rPr>
              <w:t> </w:t>
            </w:r>
          </w:p>
        </w:tc>
      </w:tr>
      <w:tr w:rsidR="00A66703" w:rsidRPr="001D41EA" w14:paraId="55075160"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2E6133B" w14:textId="77777777" w:rsidR="00A66703" w:rsidRPr="001D41EA" w:rsidRDefault="00A66703" w:rsidP="001D41EA">
            <w:pPr>
              <w:spacing w:before="40" w:after="40"/>
              <w:rPr>
                <w:rFonts w:cs="Arial"/>
                <w:sz w:val="18"/>
                <w:szCs w:val="18"/>
              </w:rPr>
            </w:pPr>
            <w:r w:rsidRPr="001D41EA">
              <w:rPr>
                <w:rFonts w:cs="Arial"/>
                <w:sz w:val="18"/>
                <w:szCs w:val="18"/>
              </w:rPr>
              <w:t>Alpine S</w:t>
            </w:r>
          </w:p>
        </w:tc>
        <w:tc>
          <w:tcPr>
            <w:tcW w:w="1134" w:type="dxa"/>
            <w:tcBorders>
              <w:top w:val="nil"/>
              <w:left w:val="single" w:sz="18" w:space="0" w:color="5F497A" w:themeColor="accent4" w:themeShade="BF"/>
              <w:bottom w:val="nil"/>
              <w:right w:val="nil"/>
            </w:tcBorders>
            <w:shd w:val="clear" w:color="auto" w:fill="auto"/>
            <w:vAlign w:val="bottom"/>
          </w:tcPr>
          <w:p w14:paraId="2F7CA191" w14:textId="3028366F" w:rsidR="00A66703" w:rsidRPr="001D41EA" w:rsidRDefault="00A66703" w:rsidP="001D41EA">
            <w:pPr>
              <w:spacing w:before="40" w:after="40"/>
              <w:jc w:val="right"/>
              <w:rPr>
                <w:rFonts w:cs="Arial"/>
                <w:sz w:val="18"/>
                <w:szCs w:val="18"/>
              </w:rPr>
            </w:pPr>
            <w:r w:rsidRPr="001D41EA">
              <w:rPr>
                <w:rFonts w:cs="Arial"/>
                <w:sz w:val="18"/>
                <w:szCs w:val="18"/>
              </w:rPr>
              <w:t>2,834,885</w:t>
            </w:r>
          </w:p>
        </w:tc>
        <w:tc>
          <w:tcPr>
            <w:tcW w:w="1134" w:type="dxa"/>
            <w:tcBorders>
              <w:top w:val="nil"/>
              <w:left w:val="nil"/>
              <w:bottom w:val="nil"/>
              <w:right w:val="nil"/>
            </w:tcBorders>
            <w:shd w:val="clear" w:color="auto" w:fill="auto"/>
            <w:vAlign w:val="bottom"/>
          </w:tcPr>
          <w:p w14:paraId="5B4EF710" w14:textId="11BCFA66" w:rsidR="00A66703" w:rsidRPr="001D41EA" w:rsidRDefault="00A66703" w:rsidP="001D41EA">
            <w:pPr>
              <w:spacing w:before="40" w:after="40"/>
              <w:jc w:val="right"/>
              <w:rPr>
                <w:rFonts w:cs="Arial"/>
                <w:sz w:val="18"/>
                <w:szCs w:val="18"/>
              </w:rPr>
            </w:pPr>
            <w:r w:rsidRPr="001D41EA">
              <w:rPr>
                <w:rFonts w:cs="Arial"/>
                <w:sz w:val="18"/>
                <w:szCs w:val="18"/>
              </w:rPr>
              <w:t>1,117,399</w:t>
            </w:r>
          </w:p>
        </w:tc>
        <w:tc>
          <w:tcPr>
            <w:tcW w:w="170" w:type="dxa"/>
            <w:tcBorders>
              <w:top w:val="nil"/>
              <w:left w:val="nil"/>
              <w:bottom w:val="nil"/>
              <w:right w:val="nil"/>
            </w:tcBorders>
            <w:vAlign w:val="bottom"/>
          </w:tcPr>
          <w:p w14:paraId="7F691446"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7D3BBE1B" w14:textId="19DEC5C4" w:rsidR="00A66703" w:rsidRPr="001D41EA" w:rsidRDefault="00A66703" w:rsidP="001D41EA">
            <w:pPr>
              <w:spacing w:before="40" w:after="40"/>
              <w:jc w:val="right"/>
              <w:rPr>
                <w:rFonts w:cs="Arial"/>
                <w:sz w:val="18"/>
                <w:szCs w:val="18"/>
              </w:rPr>
            </w:pPr>
            <w:r w:rsidRPr="001D41EA">
              <w:rPr>
                <w:rFonts w:cs="Arial"/>
                <w:sz w:val="18"/>
                <w:szCs w:val="18"/>
              </w:rPr>
              <w:t>-28,854</w:t>
            </w:r>
          </w:p>
        </w:tc>
        <w:tc>
          <w:tcPr>
            <w:tcW w:w="1021" w:type="dxa"/>
            <w:tcBorders>
              <w:top w:val="nil"/>
              <w:left w:val="nil"/>
              <w:bottom w:val="nil"/>
              <w:right w:val="nil"/>
            </w:tcBorders>
            <w:vAlign w:val="bottom"/>
          </w:tcPr>
          <w:p w14:paraId="77F91B99" w14:textId="1255B836" w:rsidR="00A66703" w:rsidRPr="001D41EA" w:rsidRDefault="00A66703" w:rsidP="001D41EA">
            <w:pPr>
              <w:spacing w:before="40" w:after="40"/>
              <w:jc w:val="right"/>
              <w:rPr>
                <w:rFonts w:cs="Arial"/>
                <w:sz w:val="18"/>
                <w:szCs w:val="18"/>
              </w:rPr>
            </w:pPr>
            <w:r w:rsidRPr="001D41EA">
              <w:rPr>
                <w:rFonts w:cs="Arial"/>
                <w:sz w:val="18"/>
                <w:szCs w:val="18"/>
              </w:rPr>
              <w:t>-8,573</w:t>
            </w:r>
          </w:p>
        </w:tc>
        <w:tc>
          <w:tcPr>
            <w:tcW w:w="1021" w:type="dxa"/>
            <w:tcBorders>
              <w:top w:val="nil"/>
              <w:left w:val="nil"/>
              <w:bottom w:val="nil"/>
              <w:right w:val="nil"/>
            </w:tcBorders>
            <w:vAlign w:val="bottom"/>
          </w:tcPr>
          <w:p w14:paraId="2AA4BE49" w14:textId="7D88B872" w:rsidR="00A66703" w:rsidRPr="001D41EA" w:rsidRDefault="00A66703" w:rsidP="001D41EA">
            <w:pPr>
              <w:spacing w:before="40" w:after="40"/>
              <w:jc w:val="right"/>
              <w:rPr>
                <w:rFonts w:cs="Arial"/>
                <w:sz w:val="18"/>
                <w:szCs w:val="18"/>
              </w:rPr>
            </w:pPr>
            <w:r w:rsidRPr="001D41EA">
              <w:rPr>
                <w:rFonts w:cs="Arial"/>
                <w:sz w:val="18"/>
                <w:szCs w:val="18"/>
              </w:rPr>
              <w:t>-37,427</w:t>
            </w:r>
          </w:p>
        </w:tc>
        <w:tc>
          <w:tcPr>
            <w:tcW w:w="1247" w:type="dxa"/>
            <w:tcBorders>
              <w:top w:val="nil"/>
              <w:left w:val="nil"/>
              <w:bottom w:val="nil"/>
              <w:right w:val="nil"/>
            </w:tcBorders>
            <w:shd w:val="clear" w:color="auto" w:fill="auto"/>
            <w:vAlign w:val="bottom"/>
          </w:tcPr>
          <w:p w14:paraId="0D24BA2F" w14:textId="0118DC89" w:rsidR="00A66703" w:rsidRPr="001D41EA" w:rsidRDefault="00A66703" w:rsidP="001D41EA">
            <w:pPr>
              <w:spacing w:before="40" w:after="40"/>
              <w:jc w:val="right"/>
              <w:rPr>
                <w:rFonts w:cs="Arial"/>
                <w:b/>
                <w:sz w:val="18"/>
                <w:szCs w:val="18"/>
              </w:rPr>
            </w:pPr>
            <w:r w:rsidRPr="001D41EA">
              <w:rPr>
                <w:rFonts w:cs="Arial"/>
                <w:b/>
                <w:sz w:val="18"/>
                <w:szCs w:val="18"/>
              </w:rPr>
              <w:t>3,914,857</w:t>
            </w:r>
          </w:p>
        </w:tc>
      </w:tr>
      <w:tr w:rsidR="00A66703" w:rsidRPr="001D41EA" w14:paraId="59C52AC0"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4C9A17A" w14:textId="77777777" w:rsidR="00A66703" w:rsidRPr="001D41EA" w:rsidRDefault="00A66703" w:rsidP="001D41EA">
            <w:pPr>
              <w:spacing w:before="40" w:after="40"/>
              <w:rPr>
                <w:rFonts w:cs="Arial"/>
                <w:sz w:val="18"/>
                <w:szCs w:val="18"/>
              </w:rPr>
            </w:pPr>
            <w:r w:rsidRPr="001D41EA">
              <w:rPr>
                <w:rFonts w:cs="Arial"/>
                <w:sz w:val="18"/>
                <w:szCs w:val="18"/>
              </w:rPr>
              <w:t>Ararat RC</w:t>
            </w:r>
          </w:p>
        </w:tc>
        <w:tc>
          <w:tcPr>
            <w:tcW w:w="1134" w:type="dxa"/>
            <w:tcBorders>
              <w:top w:val="nil"/>
              <w:left w:val="single" w:sz="18" w:space="0" w:color="5F497A" w:themeColor="accent4" w:themeShade="BF"/>
              <w:bottom w:val="nil"/>
              <w:right w:val="nil"/>
            </w:tcBorders>
            <w:shd w:val="clear" w:color="auto" w:fill="auto"/>
            <w:vAlign w:val="bottom"/>
          </w:tcPr>
          <w:p w14:paraId="16447162" w14:textId="31D135A2" w:rsidR="00A66703" w:rsidRPr="001D41EA" w:rsidRDefault="00A66703" w:rsidP="001D41EA">
            <w:pPr>
              <w:spacing w:before="40" w:after="40"/>
              <w:jc w:val="right"/>
              <w:rPr>
                <w:rFonts w:cs="Arial"/>
                <w:sz w:val="18"/>
                <w:szCs w:val="18"/>
              </w:rPr>
            </w:pPr>
            <w:r w:rsidRPr="001D41EA">
              <w:rPr>
                <w:rFonts w:cs="Arial"/>
                <w:sz w:val="18"/>
                <w:szCs w:val="18"/>
              </w:rPr>
              <w:t>3,839,914</w:t>
            </w:r>
          </w:p>
        </w:tc>
        <w:tc>
          <w:tcPr>
            <w:tcW w:w="1134" w:type="dxa"/>
            <w:tcBorders>
              <w:top w:val="nil"/>
              <w:left w:val="nil"/>
              <w:bottom w:val="nil"/>
              <w:right w:val="nil"/>
            </w:tcBorders>
            <w:shd w:val="clear" w:color="auto" w:fill="auto"/>
            <w:vAlign w:val="bottom"/>
          </w:tcPr>
          <w:p w14:paraId="5ABE6895" w14:textId="420354BB" w:rsidR="00A66703" w:rsidRPr="001D41EA" w:rsidRDefault="00A66703" w:rsidP="001D41EA">
            <w:pPr>
              <w:spacing w:before="40" w:after="40"/>
              <w:jc w:val="right"/>
              <w:rPr>
                <w:rFonts w:cs="Arial"/>
                <w:sz w:val="18"/>
                <w:szCs w:val="18"/>
              </w:rPr>
            </w:pPr>
            <w:r w:rsidRPr="001D41EA">
              <w:rPr>
                <w:rFonts w:cs="Arial"/>
                <w:sz w:val="18"/>
                <w:szCs w:val="18"/>
              </w:rPr>
              <w:t>2,292,110</w:t>
            </w:r>
          </w:p>
        </w:tc>
        <w:tc>
          <w:tcPr>
            <w:tcW w:w="170" w:type="dxa"/>
            <w:tcBorders>
              <w:top w:val="nil"/>
              <w:left w:val="nil"/>
              <w:bottom w:val="nil"/>
              <w:right w:val="nil"/>
            </w:tcBorders>
            <w:vAlign w:val="bottom"/>
          </w:tcPr>
          <w:p w14:paraId="55BF0DDE"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1D83F383" w14:textId="14D656DA" w:rsidR="00A66703" w:rsidRPr="001D41EA" w:rsidRDefault="00A66703" w:rsidP="001D41EA">
            <w:pPr>
              <w:spacing w:before="40" w:after="40"/>
              <w:jc w:val="right"/>
              <w:rPr>
                <w:rFonts w:cs="Arial"/>
                <w:sz w:val="18"/>
                <w:szCs w:val="18"/>
              </w:rPr>
            </w:pPr>
            <w:r w:rsidRPr="001D41EA">
              <w:rPr>
                <w:rFonts w:cs="Arial"/>
                <w:sz w:val="18"/>
                <w:szCs w:val="18"/>
              </w:rPr>
              <w:t>-39,695</w:t>
            </w:r>
          </w:p>
        </w:tc>
        <w:tc>
          <w:tcPr>
            <w:tcW w:w="1021" w:type="dxa"/>
            <w:tcBorders>
              <w:top w:val="nil"/>
              <w:left w:val="nil"/>
              <w:bottom w:val="nil"/>
              <w:right w:val="nil"/>
            </w:tcBorders>
            <w:vAlign w:val="bottom"/>
          </w:tcPr>
          <w:p w14:paraId="6A21B7B6" w14:textId="7DCE9AF2" w:rsidR="00A66703" w:rsidRPr="001D41EA" w:rsidRDefault="00A66703" w:rsidP="001D41EA">
            <w:pPr>
              <w:spacing w:before="40" w:after="40"/>
              <w:jc w:val="right"/>
              <w:rPr>
                <w:rFonts w:cs="Arial"/>
                <w:sz w:val="18"/>
                <w:szCs w:val="18"/>
              </w:rPr>
            </w:pPr>
            <w:r w:rsidRPr="001D41EA">
              <w:rPr>
                <w:rFonts w:cs="Arial"/>
                <w:sz w:val="18"/>
                <w:szCs w:val="18"/>
              </w:rPr>
              <w:t>-17,638</w:t>
            </w:r>
          </w:p>
        </w:tc>
        <w:tc>
          <w:tcPr>
            <w:tcW w:w="1021" w:type="dxa"/>
            <w:tcBorders>
              <w:top w:val="nil"/>
              <w:left w:val="nil"/>
              <w:bottom w:val="nil"/>
              <w:right w:val="nil"/>
            </w:tcBorders>
            <w:vAlign w:val="bottom"/>
          </w:tcPr>
          <w:p w14:paraId="2A91BA21" w14:textId="7A1B2721" w:rsidR="00A66703" w:rsidRPr="001D41EA" w:rsidRDefault="00A66703" w:rsidP="001D41EA">
            <w:pPr>
              <w:spacing w:before="40" w:after="40"/>
              <w:jc w:val="right"/>
              <w:rPr>
                <w:rFonts w:cs="Arial"/>
                <w:sz w:val="18"/>
                <w:szCs w:val="18"/>
              </w:rPr>
            </w:pPr>
            <w:r w:rsidRPr="001D41EA">
              <w:rPr>
                <w:rFonts w:cs="Arial"/>
                <w:sz w:val="18"/>
                <w:szCs w:val="18"/>
              </w:rPr>
              <w:t>-57,333</w:t>
            </w:r>
          </w:p>
        </w:tc>
        <w:tc>
          <w:tcPr>
            <w:tcW w:w="1247" w:type="dxa"/>
            <w:tcBorders>
              <w:top w:val="nil"/>
              <w:left w:val="nil"/>
              <w:bottom w:val="nil"/>
              <w:right w:val="nil"/>
            </w:tcBorders>
            <w:shd w:val="clear" w:color="auto" w:fill="auto"/>
            <w:vAlign w:val="bottom"/>
          </w:tcPr>
          <w:p w14:paraId="339E44E1" w14:textId="7EB90882" w:rsidR="00A66703" w:rsidRPr="001D41EA" w:rsidRDefault="00A66703" w:rsidP="001D41EA">
            <w:pPr>
              <w:spacing w:before="40" w:after="40"/>
              <w:jc w:val="right"/>
              <w:rPr>
                <w:rFonts w:cs="Arial"/>
                <w:b/>
                <w:sz w:val="18"/>
                <w:szCs w:val="18"/>
              </w:rPr>
            </w:pPr>
            <w:r w:rsidRPr="001D41EA">
              <w:rPr>
                <w:rFonts w:cs="Arial"/>
                <w:b/>
                <w:sz w:val="18"/>
                <w:szCs w:val="18"/>
              </w:rPr>
              <w:t>6,074,691</w:t>
            </w:r>
          </w:p>
        </w:tc>
      </w:tr>
      <w:tr w:rsidR="00A66703" w:rsidRPr="001D41EA" w14:paraId="1AD1FBE7"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C05FEBC" w14:textId="77777777" w:rsidR="00A66703" w:rsidRPr="001D41EA" w:rsidRDefault="00A66703" w:rsidP="001D41EA">
            <w:pPr>
              <w:spacing w:before="40" w:after="40"/>
              <w:rPr>
                <w:rFonts w:cs="Arial"/>
                <w:sz w:val="18"/>
                <w:szCs w:val="18"/>
              </w:rPr>
            </w:pPr>
            <w:r w:rsidRPr="001D41EA">
              <w:rPr>
                <w:rFonts w:cs="Arial"/>
                <w:sz w:val="18"/>
                <w:szCs w:val="18"/>
              </w:rPr>
              <w:t>Ballarat C</w:t>
            </w:r>
          </w:p>
        </w:tc>
        <w:tc>
          <w:tcPr>
            <w:tcW w:w="1134" w:type="dxa"/>
            <w:tcBorders>
              <w:top w:val="nil"/>
              <w:left w:val="single" w:sz="18" w:space="0" w:color="5F497A" w:themeColor="accent4" w:themeShade="BF"/>
              <w:bottom w:val="nil"/>
              <w:right w:val="nil"/>
            </w:tcBorders>
            <w:shd w:val="clear" w:color="auto" w:fill="auto"/>
            <w:vAlign w:val="bottom"/>
          </w:tcPr>
          <w:p w14:paraId="0D0A5D39" w14:textId="1B88563E" w:rsidR="00A66703" w:rsidRPr="001D41EA" w:rsidRDefault="00A66703" w:rsidP="001D41EA">
            <w:pPr>
              <w:spacing w:before="40" w:after="40"/>
              <w:jc w:val="right"/>
              <w:rPr>
                <w:rFonts w:cs="Arial"/>
                <w:sz w:val="18"/>
                <w:szCs w:val="18"/>
              </w:rPr>
            </w:pPr>
            <w:r w:rsidRPr="001D41EA">
              <w:rPr>
                <w:rFonts w:cs="Arial"/>
                <w:sz w:val="18"/>
                <w:szCs w:val="18"/>
              </w:rPr>
              <w:t>11,155,892</w:t>
            </w:r>
          </w:p>
        </w:tc>
        <w:tc>
          <w:tcPr>
            <w:tcW w:w="1134" w:type="dxa"/>
            <w:tcBorders>
              <w:top w:val="nil"/>
              <w:left w:val="nil"/>
              <w:bottom w:val="nil"/>
              <w:right w:val="nil"/>
            </w:tcBorders>
            <w:shd w:val="clear" w:color="auto" w:fill="auto"/>
            <w:vAlign w:val="bottom"/>
          </w:tcPr>
          <w:p w14:paraId="61A70EF9" w14:textId="58615B78" w:rsidR="00A66703" w:rsidRPr="001D41EA" w:rsidRDefault="00A66703" w:rsidP="001D41EA">
            <w:pPr>
              <w:spacing w:before="40" w:after="40"/>
              <w:jc w:val="right"/>
              <w:rPr>
                <w:rFonts w:cs="Arial"/>
                <w:sz w:val="18"/>
                <w:szCs w:val="18"/>
              </w:rPr>
            </w:pPr>
            <w:r w:rsidRPr="001D41EA">
              <w:rPr>
                <w:rFonts w:cs="Arial"/>
                <w:sz w:val="18"/>
                <w:szCs w:val="18"/>
              </w:rPr>
              <w:t>2,427,362</w:t>
            </w:r>
          </w:p>
        </w:tc>
        <w:tc>
          <w:tcPr>
            <w:tcW w:w="170" w:type="dxa"/>
            <w:tcBorders>
              <w:top w:val="nil"/>
              <w:left w:val="nil"/>
              <w:bottom w:val="nil"/>
              <w:right w:val="nil"/>
            </w:tcBorders>
            <w:vAlign w:val="bottom"/>
          </w:tcPr>
          <w:p w14:paraId="60F65A4B"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65F2E867" w14:textId="29FEE75B" w:rsidR="00A66703" w:rsidRPr="001D41EA" w:rsidRDefault="00A66703" w:rsidP="001D41EA">
            <w:pPr>
              <w:spacing w:before="40" w:after="40"/>
              <w:jc w:val="right"/>
              <w:rPr>
                <w:rFonts w:cs="Arial"/>
                <w:sz w:val="18"/>
                <w:szCs w:val="18"/>
              </w:rPr>
            </w:pPr>
            <w:r w:rsidRPr="001D41EA">
              <w:rPr>
                <w:rFonts w:cs="Arial"/>
                <w:sz w:val="18"/>
                <w:szCs w:val="18"/>
              </w:rPr>
              <w:t>-117,030</w:t>
            </w:r>
          </w:p>
        </w:tc>
        <w:tc>
          <w:tcPr>
            <w:tcW w:w="1021" w:type="dxa"/>
            <w:tcBorders>
              <w:top w:val="nil"/>
              <w:left w:val="nil"/>
              <w:bottom w:val="nil"/>
              <w:right w:val="nil"/>
            </w:tcBorders>
            <w:vAlign w:val="bottom"/>
          </w:tcPr>
          <w:p w14:paraId="32CAAC9B" w14:textId="32FE62F4" w:rsidR="00A66703" w:rsidRPr="001D41EA" w:rsidRDefault="00A66703" w:rsidP="001D41EA">
            <w:pPr>
              <w:spacing w:before="40" w:after="40"/>
              <w:jc w:val="right"/>
              <w:rPr>
                <w:rFonts w:cs="Arial"/>
                <w:sz w:val="18"/>
                <w:szCs w:val="18"/>
              </w:rPr>
            </w:pPr>
            <w:r w:rsidRPr="001D41EA">
              <w:rPr>
                <w:rFonts w:cs="Arial"/>
                <w:sz w:val="18"/>
                <w:szCs w:val="18"/>
              </w:rPr>
              <w:t>-18,501</w:t>
            </w:r>
          </w:p>
        </w:tc>
        <w:tc>
          <w:tcPr>
            <w:tcW w:w="1021" w:type="dxa"/>
            <w:tcBorders>
              <w:top w:val="nil"/>
              <w:left w:val="nil"/>
              <w:bottom w:val="nil"/>
              <w:right w:val="nil"/>
            </w:tcBorders>
            <w:vAlign w:val="bottom"/>
          </w:tcPr>
          <w:p w14:paraId="244C9372" w14:textId="6426FCC3" w:rsidR="00A66703" w:rsidRPr="001D41EA" w:rsidRDefault="00A66703" w:rsidP="001D41EA">
            <w:pPr>
              <w:spacing w:before="40" w:after="40"/>
              <w:jc w:val="right"/>
              <w:rPr>
                <w:rFonts w:cs="Arial"/>
                <w:sz w:val="18"/>
                <w:szCs w:val="18"/>
              </w:rPr>
            </w:pPr>
            <w:r w:rsidRPr="001D41EA">
              <w:rPr>
                <w:rFonts w:cs="Arial"/>
                <w:sz w:val="18"/>
                <w:szCs w:val="18"/>
              </w:rPr>
              <w:t>-135,531</w:t>
            </w:r>
          </w:p>
        </w:tc>
        <w:tc>
          <w:tcPr>
            <w:tcW w:w="1247" w:type="dxa"/>
            <w:tcBorders>
              <w:top w:val="nil"/>
              <w:left w:val="nil"/>
              <w:bottom w:val="nil"/>
              <w:right w:val="nil"/>
            </w:tcBorders>
            <w:shd w:val="clear" w:color="auto" w:fill="auto"/>
            <w:vAlign w:val="bottom"/>
          </w:tcPr>
          <w:p w14:paraId="28C14DCA" w14:textId="46BBA1AD" w:rsidR="00A66703" w:rsidRPr="001D41EA" w:rsidRDefault="00A66703" w:rsidP="001D41EA">
            <w:pPr>
              <w:spacing w:before="40" w:after="40"/>
              <w:jc w:val="right"/>
              <w:rPr>
                <w:rFonts w:cs="Arial"/>
                <w:b/>
                <w:sz w:val="18"/>
                <w:szCs w:val="18"/>
              </w:rPr>
            </w:pPr>
            <w:r w:rsidRPr="001D41EA">
              <w:rPr>
                <w:rFonts w:cs="Arial"/>
                <w:b/>
                <w:sz w:val="18"/>
                <w:szCs w:val="18"/>
              </w:rPr>
              <w:t>13,447,723</w:t>
            </w:r>
          </w:p>
        </w:tc>
      </w:tr>
      <w:tr w:rsidR="00A66703" w:rsidRPr="001D41EA" w14:paraId="78BD14C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4B98545" w14:textId="77777777" w:rsidR="00A66703" w:rsidRPr="001D41EA" w:rsidRDefault="00A66703" w:rsidP="001D41EA">
            <w:pPr>
              <w:spacing w:before="40" w:after="40"/>
              <w:rPr>
                <w:rFonts w:cs="Arial"/>
                <w:sz w:val="18"/>
                <w:szCs w:val="18"/>
              </w:rPr>
            </w:pPr>
            <w:r w:rsidRPr="001D41EA">
              <w:rPr>
                <w:rFonts w:cs="Arial"/>
                <w:sz w:val="18"/>
                <w:szCs w:val="18"/>
              </w:rPr>
              <w:t>Banyule C</w:t>
            </w:r>
          </w:p>
        </w:tc>
        <w:tc>
          <w:tcPr>
            <w:tcW w:w="1134" w:type="dxa"/>
            <w:tcBorders>
              <w:top w:val="nil"/>
              <w:left w:val="single" w:sz="18" w:space="0" w:color="5F497A" w:themeColor="accent4" w:themeShade="BF"/>
              <w:bottom w:val="nil"/>
              <w:right w:val="nil"/>
            </w:tcBorders>
            <w:shd w:val="clear" w:color="auto" w:fill="auto"/>
            <w:vAlign w:val="bottom"/>
          </w:tcPr>
          <w:p w14:paraId="5C3A4BF5" w14:textId="273645B6" w:rsidR="00A66703" w:rsidRPr="001D41EA" w:rsidRDefault="00A66703" w:rsidP="001D41EA">
            <w:pPr>
              <w:spacing w:before="40" w:after="40"/>
              <w:jc w:val="right"/>
              <w:rPr>
                <w:rFonts w:cs="Arial"/>
                <w:sz w:val="18"/>
                <w:szCs w:val="18"/>
              </w:rPr>
            </w:pPr>
            <w:r w:rsidRPr="001D41EA">
              <w:rPr>
                <w:rFonts w:cs="Arial"/>
                <w:sz w:val="18"/>
                <w:szCs w:val="18"/>
              </w:rPr>
              <w:t>2,755,159</w:t>
            </w:r>
          </w:p>
        </w:tc>
        <w:tc>
          <w:tcPr>
            <w:tcW w:w="1134" w:type="dxa"/>
            <w:tcBorders>
              <w:top w:val="nil"/>
              <w:left w:val="nil"/>
              <w:bottom w:val="nil"/>
              <w:right w:val="nil"/>
            </w:tcBorders>
            <w:shd w:val="clear" w:color="auto" w:fill="auto"/>
            <w:vAlign w:val="bottom"/>
          </w:tcPr>
          <w:p w14:paraId="4380D011" w14:textId="681D251E" w:rsidR="00A66703" w:rsidRPr="001D41EA" w:rsidRDefault="00A66703" w:rsidP="001D41EA">
            <w:pPr>
              <w:spacing w:before="40" w:after="40"/>
              <w:jc w:val="right"/>
              <w:rPr>
                <w:rFonts w:cs="Arial"/>
                <w:sz w:val="18"/>
                <w:szCs w:val="18"/>
              </w:rPr>
            </w:pPr>
            <w:r w:rsidRPr="001D41EA">
              <w:rPr>
                <w:rFonts w:cs="Arial"/>
                <w:sz w:val="18"/>
                <w:szCs w:val="18"/>
              </w:rPr>
              <w:t>970,737</w:t>
            </w:r>
          </w:p>
        </w:tc>
        <w:tc>
          <w:tcPr>
            <w:tcW w:w="170" w:type="dxa"/>
            <w:tcBorders>
              <w:top w:val="nil"/>
              <w:left w:val="nil"/>
              <w:bottom w:val="nil"/>
              <w:right w:val="nil"/>
            </w:tcBorders>
            <w:vAlign w:val="bottom"/>
          </w:tcPr>
          <w:p w14:paraId="3FBB02C1"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04657325" w14:textId="4125CD1C" w:rsidR="00A66703" w:rsidRPr="001D41EA" w:rsidRDefault="00A66703" w:rsidP="001D41EA">
            <w:pPr>
              <w:spacing w:before="40" w:after="40"/>
              <w:jc w:val="right"/>
              <w:rPr>
                <w:rFonts w:cs="Arial"/>
                <w:sz w:val="18"/>
                <w:szCs w:val="18"/>
              </w:rPr>
            </w:pPr>
            <w:r w:rsidRPr="001D41EA">
              <w:rPr>
                <w:rFonts w:cs="Arial"/>
                <w:sz w:val="18"/>
                <w:szCs w:val="18"/>
              </w:rPr>
              <w:t>-30,424</w:t>
            </w:r>
          </w:p>
        </w:tc>
        <w:tc>
          <w:tcPr>
            <w:tcW w:w="1021" w:type="dxa"/>
            <w:tcBorders>
              <w:top w:val="nil"/>
              <w:left w:val="nil"/>
              <w:bottom w:val="nil"/>
              <w:right w:val="nil"/>
            </w:tcBorders>
            <w:vAlign w:val="bottom"/>
          </w:tcPr>
          <w:p w14:paraId="42FEFB6D" w14:textId="623A8383" w:rsidR="00A66703" w:rsidRPr="001D41EA" w:rsidRDefault="00A66703" w:rsidP="001D41EA">
            <w:pPr>
              <w:spacing w:before="40" w:after="40"/>
              <w:jc w:val="right"/>
              <w:rPr>
                <w:rFonts w:cs="Arial"/>
                <w:sz w:val="18"/>
                <w:szCs w:val="18"/>
              </w:rPr>
            </w:pPr>
            <w:r w:rsidRPr="001D41EA">
              <w:rPr>
                <w:rFonts w:cs="Arial"/>
                <w:sz w:val="18"/>
                <w:szCs w:val="18"/>
              </w:rPr>
              <w:t>-7,458</w:t>
            </w:r>
          </w:p>
        </w:tc>
        <w:tc>
          <w:tcPr>
            <w:tcW w:w="1021" w:type="dxa"/>
            <w:tcBorders>
              <w:top w:val="nil"/>
              <w:left w:val="nil"/>
              <w:bottom w:val="nil"/>
              <w:right w:val="nil"/>
            </w:tcBorders>
            <w:vAlign w:val="bottom"/>
          </w:tcPr>
          <w:p w14:paraId="4B006C26" w14:textId="79D41858" w:rsidR="00A66703" w:rsidRPr="001D41EA" w:rsidRDefault="00A66703" w:rsidP="001D41EA">
            <w:pPr>
              <w:spacing w:before="40" w:after="40"/>
              <w:jc w:val="right"/>
              <w:rPr>
                <w:rFonts w:cs="Arial"/>
                <w:sz w:val="18"/>
                <w:szCs w:val="18"/>
              </w:rPr>
            </w:pPr>
            <w:r w:rsidRPr="001D41EA">
              <w:rPr>
                <w:rFonts w:cs="Arial"/>
                <w:sz w:val="18"/>
                <w:szCs w:val="18"/>
              </w:rPr>
              <w:t>-37,882</w:t>
            </w:r>
          </w:p>
        </w:tc>
        <w:tc>
          <w:tcPr>
            <w:tcW w:w="1247" w:type="dxa"/>
            <w:tcBorders>
              <w:top w:val="nil"/>
              <w:left w:val="nil"/>
              <w:bottom w:val="nil"/>
              <w:right w:val="nil"/>
            </w:tcBorders>
            <w:shd w:val="clear" w:color="auto" w:fill="auto"/>
            <w:vAlign w:val="bottom"/>
          </w:tcPr>
          <w:p w14:paraId="6A41C8B1" w14:textId="58B6ED6A" w:rsidR="00A66703" w:rsidRPr="001D41EA" w:rsidRDefault="00A66703" w:rsidP="001D41EA">
            <w:pPr>
              <w:spacing w:before="40" w:after="40"/>
              <w:jc w:val="right"/>
              <w:rPr>
                <w:rFonts w:cs="Arial"/>
                <w:b/>
                <w:sz w:val="18"/>
                <w:szCs w:val="18"/>
              </w:rPr>
            </w:pPr>
            <w:r w:rsidRPr="001D41EA">
              <w:rPr>
                <w:rFonts w:cs="Arial"/>
                <w:b/>
                <w:sz w:val="18"/>
                <w:szCs w:val="18"/>
              </w:rPr>
              <w:t>3,688,014</w:t>
            </w:r>
          </w:p>
        </w:tc>
      </w:tr>
      <w:tr w:rsidR="00A66703" w:rsidRPr="001D41EA" w14:paraId="55972EE4"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8D3E8E6" w14:textId="77777777" w:rsidR="00A66703" w:rsidRPr="001D41EA" w:rsidRDefault="00A66703" w:rsidP="001D41EA">
            <w:pPr>
              <w:spacing w:before="40" w:after="40"/>
              <w:rPr>
                <w:rFonts w:cs="Arial"/>
                <w:sz w:val="18"/>
                <w:szCs w:val="18"/>
              </w:rPr>
            </w:pPr>
            <w:r w:rsidRPr="001D41EA">
              <w:rPr>
                <w:rFonts w:cs="Arial"/>
                <w:sz w:val="18"/>
                <w:szCs w:val="18"/>
              </w:rPr>
              <w:t>Bass Coast S</w:t>
            </w:r>
          </w:p>
        </w:tc>
        <w:tc>
          <w:tcPr>
            <w:tcW w:w="1134" w:type="dxa"/>
            <w:tcBorders>
              <w:top w:val="nil"/>
              <w:left w:val="single" w:sz="18" w:space="0" w:color="5F497A" w:themeColor="accent4" w:themeShade="BF"/>
              <w:bottom w:val="nil"/>
              <w:right w:val="nil"/>
            </w:tcBorders>
            <w:shd w:val="clear" w:color="auto" w:fill="auto"/>
            <w:vAlign w:val="bottom"/>
          </w:tcPr>
          <w:p w14:paraId="449A6CBD" w14:textId="7CBEE8AD" w:rsidR="00A66703" w:rsidRPr="001D41EA" w:rsidRDefault="00A66703" w:rsidP="001D41EA">
            <w:pPr>
              <w:spacing w:before="40" w:after="40"/>
              <w:jc w:val="right"/>
              <w:rPr>
                <w:rFonts w:cs="Arial"/>
                <w:sz w:val="18"/>
                <w:szCs w:val="18"/>
              </w:rPr>
            </w:pPr>
            <w:r w:rsidRPr="001D41EA">
              <w:rPr>
                <w:rFonts w:cs="Arial"/>
                <w:sz w:val="18"/>
                <w:szCs w:val="18"/>
              </w:rPr>
              <w:t>4,928,278</w:t>
            </w:r>
          </w:p>
        </w:tc>
        <w:tc>
          <w:tcPr>
            <w:tcW w:w="1134" w:type="dxa"/>
            <w:tcBorders>
              <w:top w:val="nil"/>
              <w:left w:val="nil"/>
              <w:bottom w:val="nil"/>
              <w:right w:val="nil"/>
            </w:tcBorders>
            <w:shd w:val="clear" w:color="auto" w:fill="auto"/>
            <w:vAlign w:val="bottom"/>
          </w:tcPr>
          <w:p w14:paraId="734A5670" w14:textId="42F127A3" w:rsidR="00A66703" w:rsidRPr="001D41EA" w:rsidRDefault="00A66703" w:rsidP="001D41EA">
            <w:pPr>
              <w:spacing w:before="40" w:after="40"/>
              <w:jc w:val="right"/>
              <w:rPr>
                <w:rFonts w:cs="Arial"/>
                <w:sz w:val="18"/>
                <w:szCs w:val="18"/>
              </w:rPr>
            </w:pPr>
            <w:r w:rsidRPr="001D41EA">
              <w:rPr>
                <w:rFonts w:cs="Arial"/>
                <w:sz w:val="18"/>
                <w:szCs w:val="18"/>
              </w:rPr>
              <w:t>1,459,907</w:t>
            </w:r>
          </w:p>
        </w:tc>
        <w:tc>
          <w:tcPr>
            <w:tcW w:w="170" w:type="dxa"/>
            <w:tcBorders>
              <w:top w:val="nil"/>
              <w:left w:val="nil"/>
              <w:bottom w:val="nil"/>
              <w:right w:val="nil"/>
            </w:tcBorders>
            <w:vAlign w:val="bottom"/>
          </w:tcPr>
          <w:p w14:paraId="05E30758"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719D69CC" w14:textId="388A7C8B" w:rsidR="00A66703" w:rsidRPr="001D41EA" w:rsidRDefault="00A66703" w:rsidP="001D41EA">
            <w:pPr>
              <w:spacing w:before="40" w:after="40"/>
              <w:jc w:val="right"/>
              <w:rPr>
                <w:rFonts w:cs="Arial"/>
                <w:sz w:val="18"/>
                <w:szCs w:val="18"/>
              </w:rPr>
            </w:pPr>
            <w:r w:rsidRPr="001D41EA">
              <w:rPr>
                <w:rFonts w:cs="Arial"/>
                <w:sz w:val="18"/>
                <w:szCs w:val="18"/>
              </w:rPr>
              <w:t>-50,637</w:t>
            </w:r>
          </w:p>
        </w:tc>
        <w:tc>
          <w:tcPr>
            <w:tcW w:w="1021" w:type="dxa"/>
            <w:tcBorders>
              <w:top w:val="nil"/>
              <w:left w:val="nil"/>
              <w:bottom w:val="nil"/>
              <w:right w:val="nil"/>
            </w:tcBorders>
            <w:vAlign w:val="bottom"/>
          </w:tcPr>
          <w:p w14:paraId="3EF0A51B" w14:textId="33D8C2A7" w:rsidR="00A66703" w:rsidRPr="001D41EA" w:rsidRDefault="00A66703" w:rsidP="001D41EA">
            <w:pPr>
              <w:spacing w:before="40" w:after="40"/>
              <w:jc w:val="right"/>
              <w:rPr>
                <w:rFonts w:cs="Arial"/>
                <w:sz w:val="18"/>
                <w:szCs w:val="18"/>
              </w:rPr>
            </w:pPr>
            <w:r w:rsidRPr="001D41EA">
              <w:rPr>
                <w:rFonts w:cs="Arial"/>
                <w:sz w:val="18"/>
                <w:szCs w:val="18"/>
              </w:rPr>
              <w:t>-11,148</w:t>
            </w:r>
          </w:p>
        </w:tc>
        <w:tc>
          <w:tcPr>
            <w:tcW w:w="1021" w:type="dxa"/>
            <w:tcBorders>
              <w:top w:val="nil"/>
              <w:left w:val="nil"/>
              <w:bottom w:val="nil"/>
              <w:right w:val="nil"/>
            </w:tcBorders>
            <w:vAlign w:val="bottom"/>
          </w:tcPr>
          <w:p w14:paraId="30FAC929" w14:textId="1DB05890" w:rsidR="00A66703" w:rsidRPr="001D41EA" w:rsidRDefault="00A66703" w:rsidP="001D41EA">
            <w:pPr>
              <w:spacing w:before="40" w:after="40"/>
              <w:jc w:val="right"/>
              <w:rPr>
                <w:rFonts w:cs="Arial"/>
                <w:sz w:val="18"/>
                <w:szCs w:val="18"/>
              </w:rPr>
            </w:pPr>
            <w:r w:rsidRPr="001D41EA">
              <w:rPr>
                <w:rFonts w:cs="Arial"/>
                <w:sz w:val="18"/>
                <w:szCs w:val="18"/>
              </w:rPr>
              <w:t>-61,785</w:t>
            </w:r>
          </w:p>
        </w:tc>
        <w:tc>
          <w:tcPr>
            <w:tcW w:w="1247" w:type="dxa"/>
            <w:tcBorders>
              <w:top w:val="nil"/>
              <w:left w:val="nil"/>
              <w:bottom w:val="nil"/>
              <w:right w:val="nil"/>
            </w:tcBorders>
            <w:shd w:val="clear" w:color="auto" w:fill="auto"/>
            <w:vAlign w:val="bottom"/>
          </w:tcPr>
          <w:p w14:paraId="20040742" w14:textId="11424244" w:rsidR="00A66703" w:rsidRPr="001D41EA" w:rsidRDefault="00A66703" w:rsidP="001D41EA">
            <w:pPr>
              <w:spacing w:before="40" w:after="40"/>
              <w:jc w:val="right"/>
              <w:rPr>
                <w:rFonts w:cs="Arial"/>
                <w:b/>
                <w:sz w:val="18"/>
                <w:szCs w:val="18"/>
              </w:rPr>
            </w:pPr>
            <w:r w:rsidRPr="001D41EA">
              <w:rPr>
                <w:rFonts w:cs="Arial"/>
                <w:b/>
                <w:sz w:val="18"/>
                <w:szCs w:val="18"/>
              </w:rPr>
              <w:t>6,326,400</w:t>
            </w:r>
          </w:p>
        </w:tc>
      </w:tr>
      <w:tr w:rsidR="00A66703" w:rsidRPr="001D41EA" w14:paraId="1BE75E0E"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3EEB859" w14:textId="77777777" w:rsidR="00A66703" w:rsidRPr="001D41EA" w:rsidRDefault="00A66703" w:rsidP="001D41EA">
            <w:pPr>
              <w:spacing w:before="40" w:after="40"/>
              <w:rPr>
                <w:rFonts w:cs="Arial"/>
                <w:sz w:val="18"/>
                <w:szCs w:val="18"/>
              </w:rPr>
            </w:pPr>
            <w:r w:rsidRPr="001D41EA">
              <w:rPr>
                <w:rFonts w:cs="Arial"/>
                <w:sz w:val="18"/>
                <w:szCs w:val="18"/>
              </w:rPr>
              <w:t>Baw Baw S</w:t>
            </w:r>
          </w:p>
        </w:tc>
        <w:tc>
          <w:tcPr>
            <w:tcW w:w="1134" w:type="dxa"/>
            <w:tcBorders>
              <w:top w:val="nil"/>
              <w:left w:val="single" w:sz="18" w:space="0" w:color="5F497A" w:themeColor="accent4" w:themeShade="BF"/>
              <w:bottom w:val="nil"/>
              <w:right w:val="nil"/>
            </w:tcBorders>
            <w:shd w:val="clear" w:color="auto" w:fill="auto"/>
            <w:vAlign w:val="bottom"/>
          </w:tcPr>
          <w:p w14:paraId="1822E7CE" w14:textId="35F4D5CA" w:rsidR="00A66703" w:rsidRPr="001D41EA" w:rsidRDefault="00A66703" w:rsidP="001D41EA">
            <w:pPr>
              <w:spacing w:before="40" w:after="40"/>
              <w:jc w:val="right"/>
              <w:rPr>
                <w:rFonts w:cs="Arial"/>
                <w:sz w:val="18"/>
                <w:szCs w:val="18"/>
              </w:rPr>
            </w:pPr>
            <w:r w:rsidRPr="001D41EA">
              <w:rPr>
                <w:rFonts w:cs="Arial"/>
                <w:sz w:val="18"/>
                <w:szCs w:val="18"/>
              </w:rPr>
              <w:t>6,670,004</w:t>
            </w:r>
          </w:p>
        </w:tc>
        <w:tc>
          <w:tcPr>
            <w:tcW w:w="1134" w:type="dxa"/>
            <w:tcBorders>
              <w:top w:val="nil"/>
              <w:left w:val="nil"/>
              <w:bottom w:val="nil"/>
              <w:right w:val="nil"/>
            </w:tcBorders>
            <w:shd w:val="clear" w:color="auto" w:fill="auto"/>
            <w:vAlign w:val="bottom"/>
          </w:tcPr>
          <w:p w14:paraId="0E238987" w14:textId="0CBA6ADF" w:rsidR="00A66703" w:rsidRPr="001D41EA" w:rsidRDefault="00A66703" w:rsidP="001D41EA">
            <w:pPr>
              <w:spacing w:before="40" w:after="40"/>
              <w:jc w:val="right"/>
              <w:rPr>
                <w:rFonts w:cs="Arial"/>
                <w:sz w:val="18"/>
                <w:szCs w:val="18"/>
              </w:rPr>
            </w:pPr>
            <w:r w:rsidRPr="001D41EA">
              <w:rPr>
                <w:rFonts w:cs="Arial"/>
                <w:sz w:val="18"/>
                <w:szCs w:val="18"/>
              </w:rPr>
              <w:t>2,841,390</w:t>
            </w:r>
          </w:p>
        </w:tc>
        <w:tc>
          <w:tcPr>
            <w:tcW w:w="170" w:type="dxa"/>
            <w:tcBorders>
              <w:top w:val="nil"/>
              <w:left w:val="nil"/>
              <w:bottom w:val="nil"/>
              <w:right w:val="nil"/>
            </w:tcBorders>
            <w:vAlign w:val="bottom"/>
          </w:tcPr>
          <w:p w14:paraId="045FC2A8"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68BB6CDD" w14:textId="66A2A13C" w:rsidR="00A66703" w:rsidRPr="001D41EA" w:rsidRDefault="00A66703" w:rsidP="001D41EA">
            <w:pPr>
              <w:spacing w:before="40" w:after="40"/>
              <w:jc w:val="right"/>
              <w:rPr>
                <w:rFonts w:cs="Arial"/>
                <w:sz w:val="18"/>
                <w:szCs w:val="18"/>
              </w:rPr>
            </w:pPr>
            <w:r w:rsidRPr="001D41EA">
              <w:rPr>
                <w:rFonts w:cs="Arial"/>
                <w:sz w:val="18"/>
                <w:szCs w:val="18"/>
              </w:rPr>
              <w:t>-69,286</w:t>
            </w:r>
          </w:p>
        </w:tc>
        <w:tc>
          <w:tcPr>
            <w:tcW w:w="1021" w:type="dxa"/>
            <w:tcBorders>
              <w:top w:val="nil"/>
              <w:left w:val="nil"/>
              <w:bottom w:val="nil"/>
              <w:right w:val="nil"/>
            </w:tcBorders>
            <w:vAlign w:val="bottom"/>
          </w:tcPr>
          <w:p w14:paraId="794C3F36" w14:textId="08106BCB" w:rsidR="00A66703" w:rsidRPr="001D41EA" w:rsidRDefault="00A66703" w:rsidP="001D41EA">
            <w:pPr>
              <w:spacing w:before="40" w:after="40"/>
              <w:jc w:val="right"/>
              <w:rPr>
                <w:rFonts w:cs="Arial"/>
                <w:sz w:val="18"/>
                <w:szCs w:val="18"/>
              </w:rPr>
            </w:pPr>
            <w:r w:rsidRPr="001D41EA">
              <w:rPr>
                <w:rFonts w:cs="Arial"/>
                <w:sz w:val="18"/>
                <w:szCs w:val="18"/>
              </w:rPr>
              <w:t>-21,665</w:t>
            </w:r>
          </w:p>
        </w:tc>
        <w:tc>
          <w:tcPr>
            <w:tcW w:w="1021" w:type="dxa"/>
            <w:tcBorders>
              <w:top w:val="nil"/>
              <w:left w:val="nil"/>
              <w:bottom w:val="nil"/>
              <w:right w:val="nil"/>
            </w:tcBorders>
            <w:vAlign w:val="bottom"/>
          </w:tcPr>
          <w:p w14:paraId="7D21EE27" w14:textId="7903FAEC" w:rsidR="00A66703" w:rsidRPr="001D41EA" w:rsidRDefault="00A66703" w:rsidP="001D41EA">
            <w:pPr>
              <w:spacing w:before="40" w:after="40"/>
              <w:jc w:val="right"/>
              <w:rPr>
                <w:rFonts w:cs="Arial"/>
                <w:sz w:val="18"/>
                <w:szCs w:val="18"/>
              </w:rPr>
            </w:pPr>
            <w:r w:rsidRPr="001D41EA">
              <w:rPr>
                <w:rFonts w:cs="Arial"/>
                <w:sz w:val="18"/>
                <w:szCs w:val="18"/>
              </w:rPr>
              <w:t>-90,951</w:t>
            </w:r>
          </w:p>
        </w:tc>
        <w:tc>
          <w:tcPr>
            <w:tcW w:w="1247" w:type="dxa"/>
            <w:tcBorders>
              <w:top w:val="nil"/>
              <w:left w:val="nil"/>
              <w:bottom w:val="nil"/>
              <w:right w:val="nil"/>
            </w:tcBorders>
            <w:shd w:val="clear" w:color="auto" w:fill="auto"/>
            <w:vAlign w:val="bottom"/>
          </w:tcPr>
          <w:p w14:paraId="19BA51F8" w14:textId="28BE2812" w:rsidR="00A66703" w:rsidRPr="001D41EA" w:rsidRDefault="00A66703" w:rsidP="001D41EA">
            <w:pPr>
              <w:spacing w:before="40" w:after="40"/>
              <w:jc w:val="right"/>
              <w:rPr>
                <w:rFonts w:cs="Arial"/>
                <w:b/>
                <w:sz w:val="18"/>
                <w:szCs w:val="18"/>
              </w:rPr>
            </w:pPr>
            <w:r w:rsidRPr="001D41EA">
              <w:rPr>
                <w:rFonts w:cs="Arial"/>
                <w:b/>
                <w:sz w:val="18"/>
                <w:szCs w:val="18"/>
              </w:rPr>
              <w:t>9,420,443</w:t>
            </w:r>
          </w:p>
        </w:tc>
      </w:tr>
      <w:tr w:rsidR="00A66703" w:rsidRPr="001D41EA" w14:paraId="37EEBA0E"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60FF317" w14:textId="77777777" w:rsidR="00A66703" w:rsidRPr="001D41EA" w:rsidRDefault="00A66703" w:rsidP="001D41EA">
            <w:pPr>
              <w:spacing w:before="40" w:after="40"/>
              <w:rPr>
                <w:rFonts w:cs="Arial"/>
                <w:sz w:val="18"/>
                <w:szCs w:val="18"/>
              </w:rPr>
            </w:pPr>
            <w:r w:rsidRPr="001D41EA">
              <w:rPr>
                <w:rFonts w:cs="Arial"/>
                <w:sz w:val="18"/>
                <w:szCs w:val="18"/>
              </w:rPr>
              <w:t>Bayside C</w:t>
            </w:r>
          </w:p>
        </w:tc>
        <w:tc>
          <w:tcPr>
            <w:tcW w:w="1134" w:type="dxa"/>
            <w:tcBorders>
              <w:top w:val="nil"/>
              <w:left w:val="single" w:sz="18" w:space="0" w:color="5F497A" w:themeColor="accent4" w:themeShade="BF"/>
              <w:bottom w:val="nil"/>
              <w:right w:val="nil"/>
            </w:tcBorders>
            <w:shd w:val="clear" w:color="auto" w:fill="auto"/>
            <w:vAlign w:val="bottom"/>
          </w:tcPr>
          <w:p w14:paraId="7CED6F13" w14:textId="22140997" w:rsidR="00A66703" w:rsidRPr="001D41EA" w:rsidRDefault="00A66703" w:rsidP="001D41EA">
            <w:pPr>
              <w:spacing w:before="40" w:after="40"/>
              <w:jc w:val="right"/>
              <w:rPr>
                <w:rFonts w:cs="Arial"/>
                <w:sz w:val="18"/>
                <w:szCs w:val="18"/>
              </w:rPr>
            </w:pPr>
            <w:r w:rsidRPr="001D41EA">
              <w:rPr>
                <w:rFonts w:cs="Arial"/>
                <w:sz w:val="18"/>
                <w:szCs w:val="18"/>
              </w:rPr>
              <w:t>2,236,461</w:t>
            </w:r>
          </w:p>
        </w:tc>
        <w:tc>
          <w:tcPr>
            <w:tcW w:w="1134" w:type="dxa"/>
            <w:tcBorders>
              <w:top w:val="nil"/>
              <w:left w:val="nil"/>
              <w:bottom w:val="nil"/>
              <w:right w:val="nil"/>
            </w:tcBorders>
            <w:shd w:val="clear" w:color="auto" w:fill="auto"/>
            <w:vAlign w:val="bottom"/>
          </w:tcPr>
          <w:p w14:paraId="3BCB352C" w14:textId="75C0B188" w:rsidR="00A66703" w:rsidRPr="001D41EA" w:rsidRDefault="00A66703" w:rsidP="001D41EA">
            <w:pPr>
              <w:spacing w:before="40" w:after="40"/>
              <w:jc w:val="right"/>
              <w:rPr>
                <w:rFonts w:cs="Arial"/>
                <w:sz w:val="18"/>
                <w:szCs w:val="18"/>
              </w:rPr>
            </w:pPr>
            <w:r w:rsidRPr="001D41EA">
              <w:rPr>
                <w:rFonts w:cs="Arial"/>
                <w:sz w:val="18"/>
                <w:szCs w:val="18"/>
              </w:rPr>
              <w:t>583,440</w:t>
            </w:r>
          </w:p>
        </w:tc>
        <w:tc>
          <w:tcPr>
            <w:tcW w:w="170" w:type="dxa"/>
            <w:tcBorders>
              <w:top w:val="nil"/>
              <w:left w:val="nil"/>
              <w:bottom w:val="nil"/>
              <w:right w:val="nil"/>
            </w:tcBorders>
            <w:vAlign w:val="bottom"/>
          </w:tcPr>
          <w:p w14:paraId="7DC3A9D4"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565729D8" w14:textId="7C6799C6" w:rsidR="00A66703" w:rsidRPr="001D41EA" w:rsidRDefault="00A66703" w:rsidP="001D41EA">
            <w:pPr>
              <w:spacing w:before="40" w:after="40"/>
              <w:jc w:val="right"/>
              <w:rPr>
                <w:rFonts w:cs="Arial"/>
                <w:sz w:val="18"/>
                <w:szCs w:val="18"/>
              </w:rPr>
            </w:pPr>
            <w:r w:rsidRPr="001D41EA">
              <w:rPr>
                <w:rFonts w:cs="Arial"/>
                <w:sz w:val="18"/>
                <w:szCs w:val="18"/>
              </w:rPr>
              <w:t>-23,615</w:t>
            </w:r>
          </w:p>
        </w:tc>
        <w:tc>
          <w:tcPr>
            <w:tcW w:w="1021" w:type="dxa"/>
            <w:tcBorders>
              <w:top w:val="nil"/>
              <w:left w:val="nil"/>
              <w:bottom w:val="nil"/>
              <w:right w:val="nil"/>
            </w:tcBorders>
            <w:vAlign w:val="bottom"/>
          </w:tcPr>
          <w:p w14:paraId="68ED18CF" w14:textId="2D834C5F" w:rsidR="00A66703" w:rsidRPr="001D41EA" w:rsidRDefault="00A66703" w:rsidP="001D41EA">
            <w:pPr>
              <w:spacing w:before="40" w:after="40"/>
              <w:jc w:val="right"/>
              <w:rPr>
                <w:rFonts w:cs="Arial"/>
                <w:sz w:val="18"/>
                <w:szCs w:val="18"/>
              </w:rPr>
            </w:pPr>
            <w:r w:rsidRPr="001D41EA">
              <w:rPr>
                <w:rFonts w:cs="Arial"/>
                <w:sz w:val="18"/>
                <w:szCs w:val="18"/>
              </w:rPr>
              <w:t>-4,477</w:t>
            </w:r>
          </w:p>
        </w:tc>
        <w:tc>
          <w:tcPr>
            <w:tcW w:w="1021" w:type="dxa"/>
            <w:tcBorders>
              <w:top w:val="nil"/>
              <w:left w:val="nil"/>
              <w:bottom w:val="nil"/>
              <w:right w:val="nil"/>
            </w:tcBorders>
            <w:vAlign w:val="bottom"/>
          </w:tcPr>
          <w:p w14:paraId="6ADDB921" w14:textId="2115B3B4" w:rsidR="00A66703" w:rsidRPr="001D41EA" w:rsidRDefault="00A66703" w:rsidP="001D41EA">
            <w:pPr>
              <w:spacing w:before="40" w:after="40"/>
              <w:jc w:val="right"/>
              <w:rPr>
                <w:rFonts w:cs="Arial"/>
                <w:sz w:val="18"/>
                <w:szCs w:val="18"/>
              </w:rPr>
            </w:pPr>
            <w:r w:rsidRPr="001D41EA">
              <w:rPr>
                <w:rFonts w:cs="Arial"/>
                <w:sz w:val="18"/>
                <w:szCs w:val="18"/>
              </w:rPr>
              <w:t>-28,092</w:t>
            </w:r>
          </w:p>
        </w:tc>
        <w:tc>
          <w:tcPr>
            <w:tcW w:w="1247" w:type="dxa"/>
            <w:tcBorders>
              <w:top w:val="nil"/>
              <w:left w:val="nil"/>
              <w:bottom w:val="nil"/>
              <w:right w:val="nil"/>
            </w:tcBorders>
            <w:shd w:val="clear" w:color="auto" w:fill="auto"/>
            <w:vAlign w:val="bottom"/>
          </w:tcPr>
          <w:p w14:paraId="57141176" w14:textId="589BB60A" w:rsidR="00A66703" w:rsidRPr="001D41EA" w:rsidRDefault="00A66703" w:rsidP="001D41EA">
            <w:pPr>
              <w:spacing w:before="40" w:after="40"/>
              <w:jc w:val="right"/>
              <w:rPr>
                <w:rFonts w:cs="Arial"/>
                <w:b/>
                <w:sz w:val="18"/>
                <w:szCs w:val="18"/>
              </w:rPr>
            </w:pPr>
            <w:r w:rsidRPr="001D41EA">
              <w:rPr>
                <w:rFonts w:cs="Arial"/>
                <w:b/>
                <w:sz w:val="18"/>
                <w:szCs w:val="18"/>
              </w:rPr>
              <w:t>2,791,809</w:t>
            </w:r>
          </w:p>
        </w:tc>
      </w:tr>
      <w:tr w:rsidR="00A66703" w:rsidRPr="001D41EA" w14:paraId="4384B0FF"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C646AEC" w14:textId="77777777" w:rsidR="00A66703" w:rsidRPr="001D41EA" w:rsidRDefault="00A66703" w:rsidP="001D41EA">
            <w:pPr>
              <w:spacing w:before="40" w:after="40"/>
              <w:rPr>
                <w:rFonts w:cs="Arial"/>
                <w:sz w:val="18"/>
                <w:szCs w:val="18"/>
              </w:rPr>
            </w:pPr>
            <w:r w:rsidRPr="001D41EA">
              <w:rPr>
                <w:rFonts w:cs="Arial"/>
                <w:sz w:val="18"/>
                <w:szCs w:val="18"/>
              </w:rPr>
              <w:t>Benalla RC</w:t>
            </w:r>
          </w:p>
        </w:tc>
        <w:tc>
          <w:tcPr>
            <w:tcW w:w="1134" w:type="dxa"/>
            <w:tcBorders>
              <w:top w:val="nil"/>
              <w:left w:val="single" w:sz="18" w:space="0" w:color="5F497A" w:themeColor="accent4" w:themeShade="BF"/>
              <w:bottom w:val="nil"/>
              <w:right w:val="nil"/>
            </w:tcBorders>
            <w:shd w:val="clear" w:color="auto" w:fill="auto"/>
            <w:vAlign w:val="bottom"/>
          </w:tcPr>
          <w:p w14:paraId="1366D6A6" w14:textId="68A37991" w:rsidR="00A66703" w:rsidRPr="001D41EA" w:rsidRDefault="00A66703" w:rsidP="001D41EA">
            <w:pPr>
              <w:spacing w:before="40" w:after="40"/>
              <w:jc w:val="right"/>
              <w:rPr>
                <w:rFonts w:cs="Arial"/>
                <w:sz w:val="18"/>
                <w:szCs w:val="18"/>
              </w:rPr>
            </w:pPr>
            <w:r w:rsidRPr="001D41EA">
              <w:rPr>
                <w:rFonts w:cs="Arial"/>
                <w:sz w:val="18"/>
                <w:szCs w:val="18"/>
              </w:rPr>
              <w:t>2,802,779</w:t>
            </w:r>
          </w:p>
        </w:tc>
        <w:tc>
          <w:tcPr>
            <w:tcW w:w="1134" w:type="dxa"/>
            <w:tcBorders>
              <w:top w:val="nil"/>
              <w:left w:val="nil"/>
              <w:bottom w:val="nil"/>
              <w:right w:val="nil"/>
            </w:tcBorders>
            <w:shd w:val="clear" w:color="auto" w:fill="auto"/>
            <w:vAlign w:val="bottom"/>
          </w:tcPr>
          <w:p w14:paraId="6B455BE5" w14:textId="627BAB02" w:rsidR="00A66703" w:rsidRPr="001D41EA" w:rsidRDefault="00A66703" w:rsidP="001D41EA">
            <w:pPr>
              <w:spacing w:before="40" w:after="40"/>
              <w:jc w:val="right"/>
              <w:rPr>
                <w:rFonts w:cs="Arial"/>
                <w:sz w:val="18"/>
                <w:szCs w:val="18"/>
              </w:rPr>
            </w:pPr>
            <w:r w:rsidRPr="001D41EA">
              <w:rPr>
                <w:rFonts w:cs="Arial"/>
                <w:sz w:val="18"/>
                <w:szCs w:val="18"/>
              </w:rPr>
              <w:t>1,512,625</w:t>
            </w:r>
          </w:p>
        </w:tc>
        <w:tc>
          <w:tcPr>
            <w:tcW w:w="170" w:type="dxa"/>
            <w:tcBorders>
              <w:top w:val="nil"/>
              <w:left w:val="nil"/>
              <w:bottom w:val="nil"/>
              <w:right w:val="nil"/>
            </w:tcBorders>
            <w:vAlign w:val="bottom"/>
          </w:tcPr>
          <w:p w14:paraId="5EE345DE"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4FFC4238" w14:textId="3D5C44D1" w:rsidR="00A66703" w:rsidRPr="001D41EA" w:rsidRDefault="00A66703" w:rsidP="001D41EA">
            <w:pPr>
              <w:spacing w:before="40" w:after="40"/>
              <w:jc w:val="right"/>
              <w:rPr>
                <w:rFonts w:cs="Arial"/>
                <w:sz w:val="18"/>
                <w:szCs w:val="18"/>
              </w:rPr>
            </w:pPr>
            <w:r w:rsidRPr="001D41EA">
              <w:rPr>
                <w:rFonts w:cs="Arial"/>
                <w:sz w:val="18"/>
                <w:szCs w:val="18"/>
              </w:rPr>
              <w:t>-29,635</w:t>
            </w:r>
          </w:p>
        </w:tc>
        <w:tc>
          <w:tcPr>
            <w:tcW w:w="1021" w:type="dxa"/>
            <w:tcBorders>
              <w:top w:val="nil"/>
              <w:left w:val="nil"/>
              <w:bottom w:val="nil"/>
              <w:right w:val="nil"/>
            </w:tcBorders>
            <w:vAlign w:val="bottom"/>
          </w:tcPr>
          <w:p w14:paraId="1B853FC1" w14:textId="17C8DEA5" w:rsidR="00A66703" w:rsidRPr="001D41EA" w:rsidRDefault="00A66703" w:rsidP="001D41EA">
            <w:pPr>
              <w:spacing w:before="40" w:after="40"/>
              <w:jc w:val="right"/>
              <w:rPr>
                <w:rFonts w:cs="Arial"/>
                <w:sz w:val="18"/>
                <w:szCs w:val="18"/>
              </w:rPr>
            </w:pPr>
            <w:r w:rsidRPr="001D41EA">
              <w:rPr>
                <w:rFonts w:cs="Arial"/>
                <w:sz w:val="18"/>
                <w:szCs w:val="18"/>
              </w:rPr>
              <w:t>-11,769</w:t>
            </w:r>
          </w:p>
        </w:tc>
        <w:tc>
          <w:tcPr>
            <w:tcW w:w="1021" w:type="dxa"/>
            <w:tcBorders>
              <w:top w:val="nil"/>
              <w:left w:val="nil"/>
              <w:bottom w:val="nil"/>
              <w:right w:val="nil"/>
            </w:tcBorders>
            <w:vAlign w:val="bottom"/>
          </w:tcPr>
          <w:p w14:paraId="61EB87AF" w14:textId="101215D1" w:rsidR="00A66703" w:rsidRPr="001D41EA" w:rsidRDefault="00A66703" w:rsidP="001D41EA">
            <w:pPr>
              <w:spacing w:before="40" w:after="40"/>
              <w:jc w:val="right"/>
              <w:rPr>
                <w:rFonts w:cs="Arial"/>
                <w:sz w:val="18"/>
                <w:szCs w:val="18"/>
              </w:rPr>
            </w:pPr>
            <w:r w:rsidRPr="001D41EA">
              <w:rPr>
                <w:rFonts w:cs="Arial"/>
                <w:sz w:val="18"/>
                <w:szCs w:val="18"/>
              </w:rPr>
              <w:t>-41,404</w:t>
            </w:r>
          </w:p>
        </w:tc>
        <w:tc>
          <w:tcPr>
            <w:tcW w:w="1247" w:type="dxa"/>
            <w:tcBorders>
              <w:top w:val="nil"/>
              <w:left w:val="nil"/>
              <w:bottom w:val="nil"/>
              <w:right w:val="nil"/>
            </w:tcBorders>
            <w:shd w:val="clear" w:color="auto" w:fill="auto"/>
            <w:vAlign w:val="bottom"/>
          </w:tcPr>
          <w:p w14:paraId="23C123BC" w14:textId="20DBBD68" w:rsidR="00A66703" w:rsidRPr="001D41EA" w:rsidRDefault="00A66703" w:rsidP="001D41EA">
            <w:pPr>
              <w:spacing w:before="40" w:after="40"/>
              <w:jc w:val="right"/>
              <w:rPr>
                <w:rFonts w:cs="Arial"/>
                <w:b/>
                <w:sz w:val="18"/>
                <w:szCs w:val="18"/>
              </w:rPr>
            </w:pPr>
            <w:r w:rsidRPr="001D41EA">
              <w:rPr>
                <w:rFonts w:cs="Arial"/>
                <w:b/>
                <w:sz w:val="18"/>
                <w:szCs w:val="18"/>
              </w:rPr>
              <w:t>4,274,000</w:t>
            </w:r>
          </w:p>
        </w:tc>
      </w:tr>
      <w:tr w:rsidR="00A66703" w:rsidRPr="001D41EA" w14:paraId="792B7BA3"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4870E56" w14:textId="77777777" w:rsidR="00A66703" w:rsidRPr="001D41EA" w:rsidRDefault="00A66703" w:rsidP="001D41EA">
            <w:pPr>
              <w:spacing w:before="40" w:after="40"/>
              <w:rPr>
                <w:rFonts w:cs="Arial"/>
                <w:sz w:val="18"/>
                <w:szCs w:val="18"/>
              </w:rPr>
            </w:pPr>
            <w:r w:rsidRPr="001D41EA">
              <w:rPr>
                <w:rFonts w:cs="Arial"/>
                <w:sz w:val="18"/>
                <w:szCs w:val="18"/>
              </w:rPr>
              <w:t>Boroondara C</w:t>
            </w:r>
          </w:p>
        </w:tc>
        <w:tc>
          <w:tcPr>
            <w:tcW w:w="1134" w:type="dxa"/>
            <w:tcBorders>
              <w:top w:val="nil"/>
              <w:left w:val="single" w:sz="18" w:space="0" w:color="5F497A" w:themeColor="accent4" w:themeShade="BF"/>
              <w:bottom w:val="nil"/>
              <w:right w:val="nil"/>
            </w:tcBorders>
            <w:shd w:val="clear" w:color="auto" w:fill="auto"/>
            <w:vAlign w:val="bottom"/>
          </w:tcPr>
          <w:p w14:paraId="5C3DE211" w14:textId="28FE0763" w:rsidR="00A66703" w:rsidRPr="001D41EA" w:rsidRDefault="00A66703" w:rsidP="001D41EA">
            <w:pPr>
              <w:spacing w:before="40" w:after="40"/>
              <w:jc w:val="right"/>
              <w:rPr>
                <w:rFonts w:cs="Arial"/>
                <w:sz w:val="18"/>
                <w:szCs w:val="18"/>
              </w:rPr>
            </w:pPr>
            <w:r w:rsidRPr="001D41EA">
              <w:rPr>
                <w:rFonts w:cs="Arial"/>
                <w:sz w:val="18"/>
                <w:szCs w:val="18"/>
              </w:rPr>
              <w:t>3,835,163</w:t>
            </w:r>
          </w:p>
        </w:tc>
        <w:tc>
          <w:tcPr>
            <w:tcW w:w="1134" w:type="dxa"/>
            <w:tcBorders>
              <w:top w:val="nil"/>
              <w:left w:val="nil"/>
              <w:bottom w:val="nil"/>
              <w:right w:val="nil"/>
            </w:tcBorders>
            <w:shd w:val="clear" w:color="auto" w:fill="auto"/>
            <w:vAlign w:val="bottom"/>
          </w:tcPr>
          <w:p w14:paraId="4D16846F" w14:textId="346E3B2E" w:rsidR="00A66703" w:rsidRPr="001D41EA" w:rsidRDefault="00A66703" w:rsidP="001D41EA">
            <w:pPr>
              <w:spacing w:before="40" w:after="40"/>
              <w:jc w:val="right"/>
              <w:rPr>
                <w:rFonts w:cs="Arial"/>
                <w:sz w:val="18"/>
                <w:szCs w:val="18"/>
              </w:rPr>
            </w:pPr>
            <w:r w:rsidRPr="001D41EA">
              <w:rPr>
                <w:rFonts w:cs="Arial"/>
                <w:sz w:val="18"/>
                <w:szCs w:val="18"/>
              </w:rPr>
              <w:t>934,008</w:t>
            </w:r>
          </w:p>
        </w:tc>
        <w:tc>
          <w:tcPr>
            <w:tcW w:w="170" w:type="dxa"/>
            <w:tcBorders>
              <w:top w:val="nil"/>
              <w:left w:val="nil"/>
              <w:bottom w:val="nil"/>
              <w:right w:val="nil"/>
            </w:tcBorders>
            <w:vAlign w:val="bottom"/>
          </w:tcPr>
          <w:p w14:paraId="73E3837E"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7A386B8F" w14:textId="03E121DD" w:rsidR="00A66703" w:rsidRPr="001D41EA" w:rsidRDefault="00A66703" w:rsidP="001D41EA">
            <w:pPr>
              <w:spacing w:before="40" w:after="40"/>
              <w:jc w:val="right"/>
              <w:rPr>
                <w:rFonts w:cs="Arial"/>
                <w:sz w:val="18"/>
                <w:szCs w:val="18"/>
              </w:rPr>
            </w:pPr>
            <w:r w:rsidRPr="001D41EA">
              <w:rPr>
                <w:rFonts w:cs="Arial"/>
                <w:sz w:val="18"/>
                <w:szCs w:val="18"/>
              </w:rPr>
              <w:t>-40,734</w:t>
            </w:r>
          </w:p>
        </w:tc>
        <w:tc>
          <w:tcPr>
            <w:tcW w:w="1021" w:type="dxa"/>
            <w:tcBorders>
              <w:top w:val="nil"/>
              <w:left w:val="nil"/>
              <w:bottom w:val="nil"/>
              <w:right w:val="nil"/>
            </w:tcBorders>
            <w:vAlign w:val="bottom"/>
          </w:tcPr>
          <w:p w14:paraId="618357A4" w14:textId="6EDCE011" w:rsidR="00A66703" w:rsidRPr="001D41EA" w:rsidRDefault="00A66703" w:rsidP="001D41EA">
            <w:pPr>
              <w:spacing w:before="40" w:after="40"/>
              <w:jc w:val="right"/>
              <w:rPr>
                <w:rFonts w:cs="Arial"/>
                <w:sz w:val="18"/>
                <w:szCs w:val="18"/>
              </w:rPr>
            </w:pPr>
            <w:r w:rsidRPr="001D41EA">
              <w:rPr>
                <w:rFonts w:cs="Arial"/>
                <w:sz w:val="18"/>
                <w:szCs w:val="18"/>
              </w:rPr>
              <w:t>-7,167</w:t>
            </w:r>
          </w:p>
        </w:tc>
        <w:tc>
          <w:tcPr>
            <w:tcW w:w="1021" w:type="dxa"/>
            <w:tcBorders>
              <w:top w:val="nil"/>
              <w:left w:val="nil"/>
              <w:bottom w:val="nil"/>
              <w:right w:val="nil"/>
            </w:tcBorders>
            <w:vAlign w:val="bottom"/>
          </w:tcPr>
          <w:p w14:paraId="06C610D0" w14:textId="2A8CE2A4" w:rsidR="00A66703" w:rsidRPr="001D41EA" w:rsidRDefault="00A66703" w:rsidP="001D41EA">
            <w:pPr>
              <w:spacing w:before="40" w:after="40"/>
              <w:jc w:val="right"/>
              <w:rPr>
                <w:rFonts w:cs="Arial"/>
                <w:sz w:val="18"/>
                <w:szCs w:val="18"/>
              </w:rPr>
            </w:pPr>
            <w:r w:rsidRPr="001D41EA">
              <w:rPr>
                <w:rFonts w:cs="Arial"/>
                <w:sz w:val="18"/>
                <w:szCs w:val="18"/>
              </w:rPr>
              <w:t>-47,901</w:t>
            </w:r>
          </w:p>
        </w:tc>
        <w:tc>
          <w:tcPr>
            <w:tcW w:w="1247" w:type="dxa"/>
            <w:tcBorders>
              <w:top w:val="nil"/>
              <w:left w:val="nil"/>
              <w:bottom w:val="nil"/>
              <w:right w:val="nil"/>
            </w:tcBorders>
            <w:shd w:val="clear" w:color="auto" w:fill="auto"/>
            <w:vAlign w:val="bottom"/>
          </w:tcPr>
          <w:p w14:paraId="777FB40E" w14:textId="79DF67CB" w:rsidR="00A66703" w:rsidRPr="001D41EA" w:rsidRDefault="00A66703" w:rsidP="001D41EA">
            <w:pPr>
              <w:spacing w:before="40" w:after="40"/>
              <w:jc w:val="right"/>
              <w:rPr>
                <w:rFonts w:cs="Arial"/>
                <w:b/>
                <w:sz w:val="18"/>
                <w:szCs w:val="18"/>
              </w:rPr>
            </w:pPr>
            <w:r w:rsidRPr="001D41EA">
              <w:rPr>
                <w:rFonts w:cs="Arial"/>
                <w:b/>
                <w:sz w:val="18"/>
                <w:szCs w:val="18"/>
              </w:rPr>
              <w:t>4,721,270</w:t>
            </w:r>
          </w:p>
        </w:tc>
      </w:tr>
      <w:tr w:rsidR="00A66703" w:rsidRPr="001D41EA" w14:paraId="4CF57212"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433147A" w14:textId="77777777" w:rsidR="00A66703" w:rsidRPr="001D41EA" w:rsidRDefault="00A66703" w:rsidP="001D41EA">
            <w:pPr>
              <w:spacing w:before="40" w:after="40"/>
              <w:rPr>
                <w:rFonts w:cs="Arial"/>
                <w:sz w:val="18"/>
                <w:szCs w:val="18"/>
              </w:rPr>
            </w:pPr>
            <w:r w:rsidRPr="001D41EA">
              <w:rPr>
                <w:rFonts w:cs="Arial"/>
                <w:sz w:val="18"/>
                <w:szCs w:val="18"/>
              </w:rPr>
              <w:t>Brimbank C</w:t>
            </w:r>
          </w:p>
        </w:tc>
        <w:tc>
          <w:tcPr>
            <w:tcW w:w="1134" w:type="dxa"/>
            <w:tcBorders>
              <w:top w:val="nil"/>
              <w:left w:val="single" w:sz="18" w:space="0" w:color="5F497A" w:themeColor="accent4" w:themeShade="BF"/>
              <w:bottom w:val="nil"/>
              <w:right w:val="nil"/>
            </w:tcBorders>
            <w:shd w:val="clear" w:color="auto" w:fill="auto"/>
            <w:vAlign w:val="bottom"/>
          </w:tcPr>
          <w:p w14:paraId="06A55455" w14:textId="0A9DDC1F" w:rsidR="00A66703" w:rsidRPr="001D41EA" w:rsidRDefault="00A66703" w:rsidP="001D41EA">
            <w:pPr>
              <w:spacing w:before="40" w:after="40"/>
              <w:jc w:val="right"/>
              <w:rPr>
                <w:rFonts w:cs="Arial"/>
                <w:sz w:val="18"/>
                <w:szCs w:val="18"/>
              </w:rPr>
            </w:pPr>
            <w:r w:rsidRPr="001D41EA">
              <w:rPr>
                <w:rFonts w:cs="Arial"/>
                <w:sz w:val="18"/>
                <w:szCs w:val="18"/>
              </w:rPr>
              <w:t>12,498,524</w:t>
            </w:r>
          </w:p>
        </w:tc>
        <w:tc>
          <w:tcPr>
            <w:tcW w:w="1134" w:type="dxa"/>
            <w:tcBorders>
              <w:top w:val="nil"/>
              <w:left w:val="nil"/>
              <w:bottom w:val="nil"/>
              <w:right w:val="nil"/>
            </w:tcBorders>
            <w:shd w:val="clear" w:color="auto" w:fill="auto"/>
            <w:vAlign w:val="bottom"/>
          </w:tcPr>
          <w:p w14:paraId="0FA0E359" w14:textId="65125106" w:rsidR="00A66703" w:rsidRPr="001D41EA" w:rsidRDefault="00A66703" w:rsidP="001D41EA">
            <w:pPr>
              <w:spacing w:before="40" w:after="40"/>
              <w:jc w:val="right"/>
              <w:rPr>
                <w:rFonts w:cs="Arial"/>
                <w:sz w:val="18"/>
                <w:szCs w:val="18"/>
              </w:rPr>
            </w:pPr>
            <w:r w:rsidRPr="001D41EA">
              <w:rPr>
                <w:rFonts w:cs="Arial"/>
                <w:sz w:val="18"/>
                <w:szCs w:val="18"/>
              </w:rPr>
              <w:t>1,781,496</w:t>
            </w:r>
          </w:p>
        </w:tc>
        <w:tc>
          <w:tcPr>
            <w:tcW w:w="170" w:type="dxa"/>
            <w:tcBorders>
              <w:top w:val="nil"/>
              <w:left w:val="nil"/>
              <w:bottom w:val="nil"/>
              <w:right w:val="nil"/>
            </w:tcBorders>
            <w:vAlign w:val="bottom"/>
          </w:tcPr>
          <w:p w14:paraId="2A3E9617"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3E10B225" w14:textId="0ABB4320" w:rsidR="00A66703" w:rsidRPr="001D41EA" w:rsidRDefault="00A66703" w:rsidP="001D41EA">
            <w:pPr>
              <w:spacing w:before="40" w:after="40"/>
              <w:jc w:val="right"/>
              <w:rPr>
                <w:rFonts w:cs="Arial"/>
                <w:sz w:val="18"/>
                <w:szCs w:val="18"/>
              </w:rPr>
            </w:pPr>
            <w:r w:rsidRPr="001D41EA">
              <w:rPr>
                <w:rFonts w:cs="Arial"/>
                <w:sz w:val="18"/>
                <w:szCs w:val="18"/>
              </w:rPr>
              <w:t>-137,798</w:t>
            </w:r>
          </w:p>
        </w:tc>
        <w:tc>
          <w:tcPr>
            <w:tcW w:w="1021" w:type="dxa"/>
            <w:tcBorders>
              <w:top w:val="nil"/>
              <w:left w:val="nil"/>
              <w:bottom w:val="nil"/>
              <w:right w:val="nil"/>
            </w:tcBorders>
            <w:vAlign w:val="bottom"/>
          </w:tcPr>
          <w:p w14:paraId="218EFB5A" w14:textId="4D0AE456" w:rsidR="00A66703" w:rsidRPr="001D41EA" w:rsidRDefault="00A66703" w:rsidP="001D41EA">
            <w:pPr>
              <w:spacing w:before="40" w:after="40"/>
              <w:jc w:val="right"/>
              <w:rPr>
                <w:rFonts w:cs="Arial"/>
                <w:sz w:val="18"/>
                <w:szCs w:val="18"/>
              </w:rPr>
            </w:pPr>
            <w:r w:rsidRPr="001D41EA">
              <w:rPr>
                <w:rFonts w:cs="Arial"/>
                <w:sz w:val="18"/>
                <w:szCs w:val="18"/>
              </w:rPr>
              <w:t>-13,670</w:t>
            </w:r>
          </w:p>
        </w:tc>
        <w:tc>
          <w:tcPr>
            <w:tcW w:w="1021" w:type="dxa"/>
            <w:tcBorders>
              <w:top w:val="nil"/>
              <w:left w:val="nil"/>
              <w:bottom w:val="nil"/>
              <w:right w:val="nil"/>
            </w:tcBorders>
            <w:vAlign w:val="bottom"/>
          </w:tcPr>
          <w:p w14:paraId="054D713C" w14:textId="35E69C8C" w:rsidR="00A66703" w:rsidRPr="001D41EA" w:rsidRDefault="00A66703" w:rsidP="001D41EA">
            <w:pPr>
              <w:spacing w:before="40" w:after="40"/>
              <w:jc w:val="right"/>
              <w:rPr>
                <w:rFonts w:cs="Arial"/>
                <w:sz w:val="18"/>
                <w:szCs w:val="18"/>
              </w:rPr>
            </w:pPr>
            <w:r w:rsidRPr="001D41EA">
              <w:rPr>
                <w:rFonts w:cs="Arial"/>
                <w:sz w:val="18"/>
                <w:szCs w:val="18"/>
              </w:rPr>
              <w:t>-151,468</w:t>
            </w:r>
          </w:p>
        </w:tc>
        <w:tc>
          <w:tcPr>
            <w:tcW w:w="1247" w:type="dxa"/>
            <w:tcBorders>
              <w:top w:val="nil"/>
              <w:left w:val="nil"/>
              <w:bottom w:val="nil"/>
              <w:right w:val="nil"/>
            </w:tcBorders>
            <w:shd w:val="clear" w:color="auto" w:fill="auto"/>
            <w:vAlign w:val="bottom"/>
          </w:tcPr>
          <w:p w14:paraId="06FDAD7E" w14:textId="6B107083" w:rsidR="00A66703" w:rsidRPr="001D41EA" w:rsidRDefault="00A66703" w:rsidP="001D41EA">
            <w:pPr>
              <w:spacing w:before="40" w:after="40"/>
              <w:jc w:val="right"/>
              <w:rPr>
                <w:rFonts w:cs="Arial"/>
                <w:b/>
                <w:sz w:val="18"/>
                <w:szCs w:val="18"/>
              </w:rPr>
            </w:pPr>
            <w:r w:rsidRPr="001D41EA">
              <w:rPr>
                <w:rFonts w:cs="Arial"/>
                <w:b/>
                <w:sz w:val="18"/>
                <w:szCs w:val="18"/>
              </w:rPr>
              <w:t>14,128,552</w:t>
            </w:r>
          </w:p>
        </w:tc>
      </w:tr>
      <w:tr w:rsidR="00A66703" w:rsidRPr="001D41EA" w14:paraId="0A3A336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F25F853" w14:textId="77777777" w:rsidR="00A66703" w:rsidRPr="001D41EA" w:rsidRDefault="00A66703" w:rsidP="001D41EA">
            <w:pPr>
              <w:spacing w:before="40" w:after="40"/>
              <w:rPr>
                <w:rFonts w:cs="Arial"/>
                <w:sz w:val="18"/>
                <w:szCs w:val="18"/>
              </w:rPr>
            </w:pPr>
            <w:r w:rsidRPr="001D41EA">
              <w:rPr>
                <w:rFonts w:cs="Arial"/>
                <w:sz w:val="18"/>
                <w:szCs w:val="18"/>
              </w:rPr>
              <w:t>Buloke S</w:t>
            </w:r>
          </w:p>
        </w:tc>
        <w:tc>
          <w:tcPr>
            <w:tcW w:w="1134" w:type="dxa"/>
            <w:tcBorders>
              <w:top w:val="nil"/>
              <w:left w:val="single" w:sz="18" w:space="0" w:color="5F497A" w:themeColor="accent4" w:themeShade="BF"/>
              <w:bottom w:val="nil"/>
              <w:right w:val="nil"/>
            </w:tcBorders>
            <w:shd w:val="clear" w:color="auto" w:fill="auto"/>
            <w:vAlign w:val="bottom"/>
          </w:tcPr>
          <w:p w14:paraId="6EB4758C" w14:textId="70B940A2" w:rsidR="00A66703" w:rsidRPr="001D41EA" w:rsidRDefault="00A66703" w:rsidP="001D41EA">
            <w:pPr>
              <w:spacing w:before="40" w:after="40"/>
              <w:jc w:val="right"/>
              <w:rPr>
                <w:rFonts w:cs="Arial"/>
                <w:sz w:val="18"/>
                <w:szCs w:val="18"/>
              </w:rPr>
            </w:pPr>
            <w:r w:rsidRPr="001D41EA">
              <w:rPr>
                <w:rFonts w:cs="Arial"/>
                <w:sz w:val="18"/>
                <w:szCs w:val="18"/>
              </w:rPr>
              <w:t>4,109,420</w:t>
            </w:r>
          </w:p>
        </w:tc>
        <w:tc>
          <w:tcPr>
            <w:tcW w:w="1134" w:type="dxa"/>
            <w:tcBorders>
              <w:top w:val="nil"/>
              <w:left w:val="nil"/>
              <w:bottom w:val="nil"/>
              <w:right w:val="nil"/>
            </w:tcBorders>
            <w:shd w:val="clear" w:color="auto" w:fill="auto"/>
            <w:vAlign w:val="bottom"/>
          </w:tcPr>
          <w:p w14:paraId="1C0E5D32" w14:textId="0DF16830" w:rsidR="00A66703" w:rsidRPr="001D41EA" w:rsidRDefault="00A66703" w:rsidP="001D41EA">
            <w:pPr>
              <w:spacing w:before="40" w:after="40"/>
              <w:jc w:val="right"/>
              <w:rPr>
                <w:rFonts w:cs="Arial"/>
                <w:sz w:val="18"/>
                <w:szCs w:val="18"/>
              </w:rPr>
            </w:pPr>
            <w:r w:rsidRPr="001D41EA">
              <w:rPr>
                <w:rFonts w:cs="Arial"/>
                <w:sz w:val="18"/>
                <w:szCs w:val="18"/>
              </w:rPr>
              <w:t>2,516,273</w:t>
            </w:r>
          </w:p>
        </w:tc>
        <w:tc>
          <w:tcPr>
            <w:tcW w:w="170" w:type="dxa"/>
            <w:tcBorders>
              <w:top w:val="nil"/>
              <w:left w:val="nil"/>
              <w:bottom w:val="nil"/>
              <w:right w:val="nil"/>
            </w:tcBorders>
            <w:vAlign w:val="bottom"/>
          </w:tcPr>
          <w:p w14:paraId="6E19F8D7"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756C3A5A" w14:textId="0136AB1E" w:rsidR="00A66703" w:rsidRPr="001D41EA" w:rsidRDefault="00A66703" w:rsidP="001D41EA">
            <w:pPr>
              <w:spacing w:before="40" w:after="40"/>
              <w:jc w:val="right"/>
              <w:rPr>
                <w:rFonts w:cs="Arial"/>
                <w:sz w:val="18"/>
                <w:szCs w:val="18"/>
              </w:rPr>
            </w:pPr>
            <w:r w:rsidRPr="001D41EA">
              <w:rPr>
                <w:rFonts w:cs="Arial"/>
                <w:sz w:val="18"/>
                <w:szCs w:val="18"/>
              </w:rPr>
              <w:t>-41,760</w:t>
            </w:r>
          </w:p>
        </w:tc>
        <w:tc>
          <w:tcPr>
            <w:tcW w:w="1021" w:type="dxa"/>
            <w:tcBorders>
              <w:top w:val="nil"/>
              <w:left w:val="nil"/>
              <w:bottom w:val="nil"/>
              <w:right w:val="nil"/>
            </w:tcBorders>
            <w:vAlign w:val="bottom"/>
          </w:tcPr>
          <w:p w14:paraId="54077E6A" w14:textId="294F61C9" w:rsidR="00A66703" w:rsidRPr="001D41EA" w:rsidRDefault="00A66703" w:rsidP="001D41EA">
            <w:pPr>
              <w:spacing w:before="40" w:after="40"/>
              <w:jc w:val="right"/>
              <w:rPr>
                <w:rFonts w:cs="Arial"/>
                <w:sz w:val="18"/>
                <w:szCs w:val="18"/>
              </w:rPr>
            </w:pPr>
            <w:r w:rsidRPr="001D41EA">
              <w:rPr>
                <w:rFonts w:cs="Arial"/>
                <w:sz w:val="18"/>
                <w:szCs w:val="18"/>
              </w:rPr>
              <w:t>-19,308</w:t>
            </w:r>
          </w:p>
        </w:tc>
        <w:tc>
          <w:tcPr>
            <w:tcW w:w="1021" w:type="dxa"/>
            <w:tcBorders>
              <w:top w:val="nil"/>
              <w:left w:val="nil"/>
              <w:bottom w:val="nil"/>
              <w:right w:val="nil"/>
            </w:tcBorders>
            <w:vAlign w:val="bottom"/>
          </w:tcPr>
          <w:p w14:paraId="3E897BC1" w14:textId="65672539" w:rsidR="00A66703" w:rsidRPr="001D41EA" w:rsidRDefault="00A66703" w:rsidP="001D41EA">
            <w:pPr>
              <w:spacing w:before="40" w:after="40"/>
              <w:jc w:val="right"/>
              <w:rPr>
                <w:rFonts w:cs="Arial"/>
                <w:sz w:val="18"/>
                <w:szCs w:val="18"/>
              </w:rPr>
            </w:pPr>
            <w:r w:rsidRPr="001D41EA">
              <w:rPr>
                <w:rFonts w:cs="Arial"/>
                <w:sz w:val="18"/>
                <w:szCs w:val="18"/>
              </w:rPr>
              <w:t>-61,068</w:t>
            </w:r>
          </w:p>
        </w:tc>
        <w:tc>
          <w:tcPr>
            <w:tcW w:w="1247" w:type="dxa"/>
            <w:tcBorders>
              <w:top w:val="nil"/>
              <w:left w:val="nil"/>
              <w:bottom w:val="nil"/>
              <w:right w:val="nil"/>
            </w:tcBorders>
            <w:shd w:val="clear" w:color="auto" w:fill="auto"/>
            <w:vAlign w:val="bottom"/>
          </w:tcPr>
          <w:p w14:paraId="3B5D6D63" w14:textId="410BF2CE" w:rsidR="00A66703" w:rsidRPr="001D41EA" w:rsidRDefault="00A66703" w:rsidP="001D41EA">
            <w:pPr>
              <w:spacing w:before="40" w:after="40"/>
              <w:jc w:val="right"/>
              <w:rPr>
                <w:rFonts w:cs="Arial"/>
                <w:b/>
                <w:sz w:val="18"/>
                <w:szCs w:val="18"/>
              </w:rPr>
            </w:pPr>
            <w:r w:rsidRPr="001D41EA">
              <w:rPr>
                <w:rFonts w:cs="Arial"/>
                <w:b/>
                <w:sz w:val="18"/>
                <w:szCs w:val="18"/>
              </w:rPr>
              <w:t>6,564,625</w:t>
            </w:r>
          </w:p>
        </w:tc>
      </w:tr>
      <w:tr w:rsidR="00A66703" w:rsidRPr="001D41EA" w14:paraId="4CAE8173"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5D1BD7E" w14:textId="77777777" w:rsidR="00A66703" w:rsidRPr="001D41EA" w:rsidRDefault="00A66703" w:rsidP="001D41EA">
            <w:pPr>
              <w:spacing w:before="40" w:after="40"/>
              <w:rPr>
                <w:rFonts w:cs="Arial"/>
                <w:sz w:val="18"/>
                <w:szCs w:val="18"/>
              </w:rPr>
            </w:pPr>
            <w:r w:rsidRPr="001D41EA">
              <w:rPr>
                <w:rFonts w:cs="Arial"/>
                <w:sz w:val="18"/>
                <w:szCs w:val="18"/>
              </w:rPr>
              <w:t>Campaspe S</w:t>
            </w:r>
          </w:p>
        </w:tc>
        <w:tc>
          <w:tcPr>
            <w:tcW w:w="1134" w:type="dxa"/>
            <w:tcBorders>
              <w:top w:val="nil"/>
              <w:left w:val="single" w:sz="18" w:space="0" w:color="5F497A" w:themeColor="accent4" w:themeShade="BF"/>
              <w:bottom w:val="nil"/>
              <w:right w:val="nil"/>
            </w:tcBorders>
            <w:shd w:val="clear" w:color="auto" w:fill="auto"/>
            <w:vAlign w:val="bottom"/>
          </w:tcPr>
          <w:p w14:paraId="0A5F7FE4" w14:textId="026EAAFF" w:rsidR="00A66703" w:rsidRPr="001D41EA" w:rsidRDefault="00A66703" w:rsidP="001D41EA">
            <w:pPr>
              <w:spacing w:before="40" w:after="40"/>
              <w:jc w:val="right"/>
              <w:rPr>
                <w:rFonts w:cs="Arial"/>
                <w:sz w:val="18"/>
                <w:szCs w:val="18"/>
              </w:rPr>
            </w:pPr>
            <w:r w:rsidRPr="001D41EA">
              <w:rPr>
                <w:rFonts w:cs="Arial"/>
                <w:sz w:val="18"/>
                <w:szCs w:val="18"/>
              </w:rPr>
              <w:t>7,970,336</w:t>
            </w:r>
          </w:p>
        </w:tc>
        <w:tc>
          <w:tcPr>
            <w:tcW w:w="1134" w:type="dxa"/>
            <w:tcBorders>
              <w:top w:val="nil"/>
              <w:left w:val="nil"/>
              <w:bottom w:val="nil"/>
              <w:right w:val="nil"/>
            </w:tcBorders>
            <w:shd w:val="clear" w:color="auto" w:fill="auto"/>
            <w:vAlign w:val="bottom"/>
          </w:tcPr>
          <w:p w14:paraId="0CB9FDB6" w14:textId="6AA2AA29" w:rsidR="00A66703" w:rsidRPr="001D41EA" w:rsidRDefault="00A66703" w:rsidP="001D41EA">
            <w:pPr>
              <w:spacing w:before="40" w:after="40"/>
              <w:jc w:val="right"/>
              <w:rPr>
                <w:rFonts w:cs="Arial"/>
                <w:sz w:val="18"/>
                <w:szCs w:val="18"/>
              </w:rPr>
            </w:pPr>
            <w:r w:rsidRPr="001D41EA">
              <w:rPr>
                <w:rFonts w:cs="Arial"/>
                <w:sz w:val="18"/>
                <w:szCs w:val="18"/>
              </w:rPr>
              <w:t>4,149,021</w:t>
            </w:r>
          </w:p>
        </w:tc>
        <w:tc>
          <w:tcPr>
            <w:tcW w:w="170" w:type="dxa"/>
            <w:tcBorders>
              <w:top w:val="nil"/>
              <w:left w:val="nil"/>
              <w:bottom w:val="nil"/>
              <w:right w:val="nil"/>
            </w:tcBorders>
            <w:vAlign w:val="bottom"/>
          </w:tcPr>
          <w:p w14:paraId="5646E537"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78D44E5C" w14:textId="7D66E992" w:rsidR="00A66703" w:rsidRPr="001D41EA" w:rsidRDefault="00A66703" w:rsidP="001D41EA">
            <w:pPr>
              <w:spacing w:before="40" w:after="40"/>
              <w:jc w:val="right"/>
              <w:rPr>
                <w:rFonts w:cs="Arial"/>
                <w:sz w:val="18"/>
                <w:szCs w:val="18"/>
              </w:rPr>
            </w:pPr>
            <w:r w:rsidRPr="001D41EA">
              <w:rPr>
                <w:rFonts w:cs="Arial"/>
                <w:sz w:val="18"/>
                <w:szCs w:val="18"/>
              </w:rPr>
              <w:t>-83,092</w:t>
            </w:r>
          </w:p>
        </w:tc>
        <w:tc>
          <w:tcPr>
            <w:tcW w:w="1021" w:type="dxa"/>
            <w:tcBorders>
              <w:top w:val="nil"/>
              <w:left w:val="nil"/>
              <w:bottom w:val="nil"/>
              <w:right w:val="nil"/>
            </w:tcBorders>
            <w:vAlign w:val="bottom"/>
          </w:tcPr>
          <w:p w14:paraId="03CF2865" w14:textId="701B6E7D" w:rsidR="00A66703" w:rsidRPr="001D41EA" w:rsidRDefault="00A66703" w:rsidP="001D41EA">
            <w:pPr>
              <w:spacing w:before="40" w:after="40"/>
              <w:jc w:val="right"/>
              <w:rPr>
                <w:rFonts w:cs="Arial"/>
                <w:sz w:val="18"/>
                <w:szCs w:val="18"/>
              </w:rPr>
            </w:pPr>
            <w:r w:rsidRPr="001D41EA">
              <w:rPr>
                <w:rFonts w:cs="Arial"/>
                <w:sz w:val="18"/>
                <w:szCs w:val="18"/>
              </w:rPr>
              <w:t>-31,656</w:t>
            </w:r>
          </w:p>
        </w:tc>
        <w:tc>
          <w:tcPr>
            <w:tcW w:w="1021" w:type="dxa"/>
            <w:tcBorders>
              <w:top w:val="nil"/>
              <w:left w:val="nil"/>
              <w:bottom w:val="nil"/>
              <w:right w:val="nil"/>
            </w:tcBorders>
            <w:vAlign w:val="bottom"/>
          </w:tcPr>
          <w:p w14:paraId="3D4D5FAB" w14:textId="676A9357" w:rsidR="00A66703" w:rsidRPr="001D41EA" w:rsidRDefault="00A66703" w:rsidP="001D41EA">
            <w:pPr>
              <w:spacing w:before="40" w:after="40"/>
              <w:jc w:val="right"/>
              <w:rPr>
                <w:rFonts w:cs="Arial"/>
                <w:sz w:val="18"/>
                <w:szCs w:val="18"/>
              </w:rPr>
            </w:pPr>
            <w:r w:rsidRPr="001D41EA">
              <w:rPr>
                <w:rFonts w:cs="Arial"/>
                <w:sz w:val="18"/>
                <w:szCs w:val="18"/>
              </w:rPr>
              <w:t>-114,748</w:t>
            </w:r>
          </w:p>
        </w:tc>
        <w:tc>
          <w:tcPr>
            <w:tcW w:w="1247" w:type="dxa"/>
            <w:tcBorders>
              <w:top w:val="nil"/>
              <w:left w:val="nil"/>
              <w:bottom w:val="nil"/>
              <w:right w:val="nil"/>
            </w:tcBorders>
            <w:shd w:val="clear" w:color="auto" w:fill="auto"/>
            <w:vAlign w:val="bottom"/>
          </w:tcPr>
          <w:p w14:paraId="5C5BE6B4" w14:textId="7EA35A07" w:rsidR="00A66703" w:rsidRPr="001D41EA" w:rsidRDefault="00A66703" w:rsidP="001D41EA">
            <w:pPr>
              <w:spacing w:before="40" w:after="40"/>
              <w:jc w:val="right"/>
              <w:rPr>
                <w:rFonts w:cs="Arial"/>
                <w:b/>
                <w:sz w:val="18"/>
                <w:szCs w:val="18"/>
              </w:rPr>
            </w:pPr>
            <w:r w:rsidRPr="001D41EA">
              <w:rPr>
                <w:rFonts w:cs="Arial"/>
                <w:b/>
                <w:sz w:val="18"/>
                <w:szCs w:val="18"/>
              </w:rPr>
              <w:t>12,004,609</w:t>
            </w:r>
          </w:p>
        </w:tc>
      </w:tr>
      <w:tr w:rsidR="00A66703" w:rsidRPr="001D41EA" w14:paraId="20F94AEA"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DA8EE7E" w14:textId="77777777" w:rsidR="00A66703" w:rsidRPr="001D41EA" w:rsidRDefault="00A66703" w:rsidP="001D41EA">
            <w:pPr>
              <w:spacing w:before="40" w:after="40"/>
              <w:rPr>
                <w:rFonts w:cs="Arial"/>
                <w:sz w:val="18"/>
                <w:szCs w:val="18"/>
              </w:rPr>
            </w:pPr>
            <w:r w:rsidRPr="001D41EA">
              <w:rPr>
                <w:rFonts w:cs="Arial"/>
                <w:sz w:val="18"/>
                <w:szCs w:val="18"/>
              </w:rPr>
              <w:t>Cardinia S</w:t>
            </w:r>
          </w:p>
        </w:tc>
        <w:tc>
          <w:tcPr>
            <w:tcW w:w="1134" w:type="dxa"/>
            <w:tcBorders>
              <w:top w:val="nil"/>
              <w:left w:val="single" w:sz="18" w:space="0" w:color="5F497A" w:themeColor="accent4" w:themeShade="BF"/>
              <w:bottom w:val="nil"/>
              <w:right w:val="nil"/>
            </w:tcBorders>
            <w:shd w:val="clear" w:color="auto" w:fill="auto"/>
            <w:vAlign w:val="bottom"/>
          </w:tcPr>
          <w:p w14:paraId="34D2502F" w14:textId="5BC1AE2F" w:rsidR="00A66703" w:rsidRPr="001D41EA" w:rsidRDefault="00A66703" w:rsidP="001D41EA">
            <w:pPr>
              <w:spacing w:before="40" w:after="40"/>
              <w:jc w:val="right"/>
              <w:rPr>
                <w:rFonts w:cs="Arial"/>
                <w:sz w:val="18"/>
                <w:szCs w:val="18"/>
              </w:rPr>
            </w:pPr>
            <w:r w:rsidRPr="001D41EA">
              <w:rPr>
                <w:rFonts w:cs="Arial"/>
                <w:sz w:val="18"/>
                <w:szCs w:val="18"/>
              </w:rPr>
              <w:t>9,245,864</w:t>
            </w:r>
          </w:p>
        </w:tc>
        <w:tc>
          <w:tcPr>
            <w:tcW w:w="1134" w:type="dxa"/>
            <w:tcBorders>
              <w:top w:val="nil"/>
              <w:left w:val="nil"/>
              <w:bottom w:val="nil"/>
              <w:right w:val="nil"/>
            </w:tcBorders>
            <w:shd w:val="clear" w:color="auto" w:fill="auto"/>
            <w:vAlign w:val="bottom"/>
          </w:tcPr>
          <w:p w14:paraId="035AF0F2" w14:textId="304433CA" w:rsidR="00A66703" w:rsidRPr="001D41EA" w:rsidRDefault="00A66703" w:rsidP="001D41EA">
            <w:pPr>
              <w:spacing w:before="40" w:after="40"/>
              <w:jc w:val="right"/>
              <w:rPr>
                <w:rFonts w:cs="Arial"/>
                <w:sz w:val="18"/>
                <w:szCs w:val="18"/>
              </w:rPr>
            </w:pPr>
            <w:r w:rsidRPr="001D41EA">
              <w:rPr>
                <w:rFonts w:cs="Arial"/>
                <w:sz w:val="18"/>
                <w:szCs w:val="18"/>
              </w:rPr>
              <w:t>2,686,498</w:t>
            </w:r>
          </w:p>
        </w:tc>
        <w:tc>
          <w:tcPr>
            <w:tcW w:w="170" w:type="dxa"/>
            <w:tcBorders>
              <w:top w:val="nil"/>
              <w:left w:val="nil"/>
              <w:bottom w:val="nil"/>
              <w:right w:val="nil"/>
            </w:tcBorders>
            <w:vAlign w:val="bottom"/>
          </w:tcPr>
          <w:p w14:paraId="52DA2D88"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1711AE66" w14:textId="4383A9BE" w:rsidR="00A66703" w:rsidRPr="001D41EA" w:rsidRDefault="00A66703" w:rsidP="001D41EA">
            <w:pPr>
              <w:spacing w:before="40" w:after="40"/>
              <w:jc w:val="right"/>
              <w:rPr>
                <w:rFonts w:cs="Arial"/>
                <w:sz w:val="18"/>
                <w:szCs w:val="18"/>
              </w:rPr>
            </w:pPr>
            <w:r w:rsidRPr="001D41EA">
              <w:rPr>
                <w:rFonts w:cs="Arial"/>
                <w:sz w:val="18"/>
                <w:szCs w:val="18"/>
              </w:rPr>
              <w:t>-96,928</w:t>
            </w:r>
          </w:p>
        </w:tc>
        <w:tc>
          <w:tcPr>
            <w:tcW w:w="1021" w:type="dxa"/>
            <w:tcBorders>
              <w:top w:val="nil"/>
              <w:left w:val="nil"/>
              <w:bottom w:val="nil"/>
              <w:right w:val="nil"/>
            </w:tcBorders>
            <w:vAlign w:val="bottom"/>
          </w:tcPr>
          <w:p w14:paraId="1C5C396D" w14:textId="2D13C44D" w:rsidR="00A66703" w:rsidRPr="001D41EA" w:rsidRDefault="00A66703" w:rsidP="001D41EA">
            <w:pPr>
              <w:spacing w:before="40" w:after="40"/>
              <w:jc w:val="right"/>
              <w:rPr>
                <w:rFonts w:cs="Arial"/>
                <w:sz w:val="18"/>
                <w:szCs w:val="18"/>
              </w:rPr>
            </w:pPr>
            <w:r w:rsidRPr="001D41EA">
              <w:rPr>
                <w:rFonts w:cs="Arial"/>
                <w:sz w:val="18"/>
                <w:szCs w:val="18"/>
              </w:rPr>
              <w:t>-20,411</w:t>
            </w:r>
          </w:p>
        </w:tc>
        <w:tc>
          <w:tcPr>
            <w:tcW w:w="1021" w:type="dxa"/>
            <w:tcBorders>
              <w:top w:val="nil"/>
              <w:left w:val="nil"/>
              <w:bottom w:val="nil"/>
              <w:right w:val="nil"/>
            </w:tcBorders>
            <w:vAlign w:val="bottom"/>
          </w:tcPr>
          <w:p w14:paraId="1913D12F" w14:textId="6A5E957D" w:rsidR="00A66703" w:rsidRPr="001D41EA" w:rsidRDefault="00A66703" w:rsidP="001D41EA">
            <w:pPr>
              <w:spacing w:before="40" w:after="40"/>
              <w:jc w:val="right"/>
              <w:rPr>
                <w:rFonts w:cs="Arial"/>
                <w:sz w:val="18"/>
                <w:szCs w:val="18"/>
              </w:rPr>
            </w:pPr>
            <w:r w:rsidRPr="001D41EA">
              <w:rPr>
                <w:rFonts w:cs="Arial"/>
                <w:sz w:val="18"/>
                <w:szCs w:val="18"/>
              </w:rPr>
              <w:t>-117,339</w:t>
            </w:r>
          </w:p>
        </w:tc>
        <w:tc>
          <w:tcPr>
            <w:tcW w:w="1247" w:type="dxa"/>
            <w:tcBorders>
              <w:top w:val="nil"/>
              <w:left w:val="nil"/>
              <w:bottom w:val="nil"/>
              <w:right w:val="nil"/>
            </w:tcBorders>
            <w:shd w:val="clear" w:color="auto" w:fill="auto"/>
            <w:vAlign w:val="bottom"/>
          </w:tcPr>
          <w:p w14:paraId="284CAF99" w14:textId="4999BC3E" w:rsidR="00A66703" w:rsidRPr="001D41EA" w:rsidRDefault="00A66703" w:rsidP="001D41EA">
            <w:pPr>
              <w:spacing w:before="40" w:after="40"/>
              <w:jc w:val="right"/>
              <w:rPr>
                <w:rFonts w:cs="Arial"/>
                <w:b/>
                <w:sz w:val="18"/>
                <w:szCs w:val="18"/>
              </w:rPr>
            </w:pPr>
            <w:r w:rsidRPr="001D41EA">
              <w:rPr>
                <w:rFonts w:cs="Arial"/>
                <w:b/>
                <w:sz w:val="18"/>
                <w:szCs w:val="18"/>
              </w:rPr>
              <w:t>11,815,023</w:t>
            </w:r>
          </w:p>
        </w:tc>
      </w:tr>
      <w:tr w:rsidR="00A66703" w:rsidRPr="001D41EA" w14:paraId="16795C02"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6BBADAE" w14:textId="77777777" w:rsidR="00A66703" w:rsidRPr="001D41EA" w:rsidRDefault="00A66703" w:rsidP="001D41EA">
            <w:pPr>
              <w:spacing w:before="40" w:after="40"/>
              <w:rPr>
                <w:rFonts w:cs="Arial"/>
                <w:sz w:val="18"/>
                <w:szCs w:val="18"/>
              </w:rPr>
            </w:pPr>
            <w:r w:rsidRPr="001D41EA">
              <w:rPr>
                <w:rFonts w:cs="Arial"/>
                <w:sz w:val="18"/>
                <w:szCs w:val="18"/>
              </w:rPr>
              <w:t>Casey C</w:t>
            </w:r>
          </w:p>
        </w:tc>
        <w:tc>
          <w:tcPr>
            <w:tcW w:w="1134" w:type="dxa"/>
            <w:tcBorders>
              <w:top w:val="nil"/>
              <w:left w:val="single" w:sz="18" w:space="0" w:color="5F497A" w:themeColor="accent4" w:themeShade="BF"/>
              <w:bottom w:val="nil"/>
              <w:right w:val="nil"/>
            </w:tcBorders>
            <w:shd w:val="clear" w:color="auto" w:fill="auto"/>
            <w:vAlign w:val="bottom"/>
          </w:tcPr>
          <w:p w14:paraId="3902A84E" w14:textId="29D77C94" w:rsidR="00A66703" w:rsidRPr="001D41EA" w:rsidRDefault="00A66703" w:rsidP="001D41EA">
            <w:pPr>
              <w:spacing w:before="40" w:after="40"/>
              <w:jc w:val="right"/>
              <w:rPr>
                <w:rFonts w:cs="Arial"/>
                <w:sz w:val="18"/>
                <w:szCs w:val="18"/>
              </w:rPr>
            </w:pPr>
            <w:r w:rsidRPr="001D41EA">
              <w:rPr>
                <w:rFonts w:cs="Arial"/>
                <w:sz w:val="18"/>
                <w:szCs w:val="18"/>
              </w:rPr>
              <w:t>18,031,664</w:t>
            </w:r>
          </w:p>
        </w:tc>
        <w:tc>
          <w:tcPr>
            <w:tcW w:w="1134" w:type="dxa"/>
            <w:tcBorders>
              <w:top w:val="nil"/>
              <w:left w:val="nil"/>
              <w:bottom w:val="nil"/>
              <w:right w:val="nil"/>
            </w:tcBorders>
            <w:shd w:val="clear" w:color="auto" w:fill="auto"/>
            <w:vAlign w:val="bottom"/>
          </w:tcPr>
          <w:p w14:paraId="35FF85BD" w14:textId="4AD2FC60" w:rsidR="00A66703" w:rsidRPr="001D41EA" w:rsidRDefault="00A66703" w:rsidP="001D41EA">
            <w:pPr>
              <w:spacing w:before="40" w:after="40"/>
              <w:jc w:val="right"/>
              <w:rPr>
                <w:rFonts w:cs="Arial"/>
                <w:sz w:val="18"/>
                <w:szCs w:val="18"/>
              </w:rPr>
            </w:pPr>
            <w:r w:rsidRPr="001D41EA">
              <w:rPr>
                <w:rFonts w:cs="Arial"/>
                <w:sz w:val="18"/>
                <w:szCs w:val="18"/>
              </w:rPr>
              <w:t>2,659,862</w:t>
            </w:r>
          </w:p>
        </w:tc>
        <w:tc>
          <w:tcPr>
            <w:tcW w:w="170" w:type="dxa"/>
            <w:tcBorders>
              <w:top w:val="nil"/>
              <w:left w:val="nil"/>
              <w:bottom w:val="nil"/>
              <w:right w:val="nil"/>
            </w:tcBorders>
            <w:vAlign w:val="bottom"/>
          </w:tcPr>
          <w:p w14:paraId="26BA6F7D"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5953E15B" w14:textId="1B28DB13" w:rsidR="00A66703" w:rsidRPr="001D41EA" w:rsidRDefault="00A66703" w:rsidP="001D41EA">
            <w:pPr>
              <w:spacing w:before="40" w:after="40"/>
              <w:jc w:val="right"/>
              <w:rPr>
                <w:rFonts w:cs="Arial"/>
                <w:sz w:val="18"/>
                <w:szCs w:val="18"/>
              </w:rPr>
            </w:pPr>
            <w:r w:rsidRPr="001D41EA">
              <w:rPr>
                <w:rFonts w:cs="Arial"/>
                <w:sz w:val="18"/>
                <w:szCs w:val="18"/>
              </w:rPr>
              <w:t>-193,603</w:t>
            </w:r>
          </w:p>
        </w:tc>
        <w:tc>
          <w:tcPr>
            <w:tcW w:w="1021" w:type="dxa"/>
            <w:tcBorders>
              <w:top w:val="nil"/>
              <w:left w:val="nil"/>
              <w:bottom w:val="nil"/>
              <w:right w:val="nil"/>
            </w:tcBorders>
            <w:vAlign w:val="bottom"/>
          </w:tcPr>
          <w:p w14:paraId="01F93CD3" w14:textId="09692679" w:rsidR="00A66703" w:rsidRPr="001D41EA" w:rsidRDefault="00A66703" w:rsidP="001D41EA">
            <w:pPr>
              <w:spacing w:before="40" w:after="40"/>
              <w:jc w:val="right"/>
              <w:rPr>
                <w:rFonts w:cs="Arial"/>
                <w:sz w:val="18"/>
                <w:szCs w:val="18"/>
              </w:rPr>
            </w:pPr>
            <w:r w:rsidRPr="001D41EA">
              <w:rPr>
                <w:rFonts w:cs="Arial"/>
                <w:sz w:val="18"/>
                <w:szCs w:val="18"/>
              </w:rPr>
              <w:t>-19,718</w:t>
            </w:r>
          </w:p>
        </w:tc>
        <w:tc>
          <w:tcPr>
            <w:tcW w:w="1021" w:type="dxa"/>
            <w:tcBorders>
              <w:top w:val="nil"/>
              <w:left w:val="nil"/>
              <w:bottom w:val="nil"/>
              <w:right w:val="nil"/>
            </w:tcBorders>
            <w:vAlign w:val="bottom"/>
          </w:tcPr>
          <w:p w14:paraId="519F192F" w14:textId="21F596C6" w:rsidR="00A66703" w:rsidRPr="001D41EA" w:rsidRDefault="00A66703" w:rsidP="001D41EA">
            <w:pPr>
              <w:spacing w:before="40" w:after="40"/>
              <w:jc w:val="right"/>
              <w:rPr>
                <w:rFonts w:cs="Arial"/>
                <w:sz w:val="18"/>
                <w:szCs w:val="18"/>
              </w:rPr>
            </w:pPr>
            <w:r w:rsidRPr="001D41EA">
              <w:rPr>
                <w:rFonts w:cs="Arial"/>
                <w:sz w:val="18"/>
                <w:szCs w:val="18"/>
              </w:rPr>
              <w:t>-213,321</w:t>
            </w:r>
          </w:p>
        </w:tc>
        <w:tc>
          <w:tcPr>
            <w:tcW w:w="1247" w:type="dxa"/>
            <w:tcBorders>
              <w:top w:val="nil"/>
              <w:left w:val="nil"/>
              <w:bottom w:val="nil"/>
              <w:right w:val="nil"/>
            </w:tcBorders>
            <w:shd w:val="clear" w:color="auto" w:fill="auto"/>
            <w:vAlign w:val="bottom"/>
          </w:tcPr>
          <w:p w14:paraId="5F95F232" w14:textId="65A5E0DA" w:rsidR="00A66703" w:rsidRPr="001D41EA" w:rsidRDefault="00A66703" w:rsidP="001D41EA">
            <w:pPr>
              <w:spacing w:before="40" w:after="40"/>
              <w:jc w:val="right"/>
              <w:rPr>
                <w:rFonts w:cs="Arial"/>
                <w:b/>
                <w:sz w:val="18"/>
                <w:szCs w:val="18"/>
              </w:rPr>
            </w:pPr>
            <w:r w:rsidRPr="001D41EA">
              <w:rPr>
                <w:rFonts w:cs="Arial"/>
                <w:b/>
                <w:sz w:val="18"/>
                <w:szCs w:val="18"/>
              </w:rPr>
              <w:t>20,478,205</w:t>
            </w:r>
          </w:p>
        </w:tc>
      </w:tr>
      <w:tr w:rsidR="00A66703" w:rsidRPr="001D41EA" w14:paraId="3B0BD2A7"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8CB6529" w14:textId="77777777" w:rsidR="00A66703" w:rsidRPr="001D41EA" w:rsidRDefault="00A66703" w:rsidP="001D41EA">
            <w:pPr>
              <w:spacing w:before="40" w:after="40"/>
              <w:rPr>
                <w:rFonts w:cs="Arial"/>
                <w:sz w:val="18"/>
                <w:szCs w:val="18"/>
              </w:rPr>
            </w:pPr>
            <w:r w:rsidRPr="001D41EA">
              <w:rPr>
                <w:rFonts w:cs="Arial"/>
                <w:sz w:val="18"/>
                <w:szCs w:val="18"/>
              </w:rPr>
              <w:t>Central Goldfields S</w:t>
            </w:r>
          </w:p>
        </w:tc>
        <w:tc>
          <w:tcPr>
            <w:tcW w:w="1134" w:type="dxa"/>
            <w:tcBorders>
              <w:top w:val="nil"/>
              <w:left w:val="single" w:sz="18" w:space="0" w:color="5F497A" w:themeColor="accent4" w:themeShade="BF"/>
              <w:bottom w:val="nil"/>
              <w:right w:val="nil"/>
            </w:tcBorders>
            <w:shd w:val="clear" w:color="auto" w:fill="auto"/>
            <w:vAlign w:val="bottom"/>
          </w:tcPr>
          <w:p w14:paraId="3DF4A4B8" w14:textId="27AFEA82" w:rsidR="00A66703" w:rsidRPr="001D41EA" w:rsidRDefault="00A66703" w:rsidP="001D41EA">
            <w:pPr>
              <w:spacing w:before="40" w:after="40"/>
              <w:jc w:val="right"/>
              <w:rPr>
                <w:rFonts w:cs="Arial"/>
                <w:sz w:val="18"/>
                <w:szCs w:val="18"/>
              </w:rPr>
            </w:pPr>
            <w:r w:rsidRPr="001D41EA">
              <w:rPr>
                <w:rFonts w:cs="Arial"/>
                <w:sz w:val="18"/>
                <w:szCs w:val="18"/>
              </w:rPr>
              <w:t>2,887,093</w:t>
            </w:r>
          </w:p>
        </w:tc>
        <w:tc>
          <w:tcPr>
            <w:tcW w:w="1134" w:type="dxa"/>
            <w:tcBorders>
              <w:top w:val="nil"/>
              <w:left w:val="nil"/>
              <w:bottom w:val="nil"/>
              <w:right w:val="nil"/>
            </w:tcBorders>
            <w:shd w:val="clear" w:color="auto" w:fill="auto"/>
            <w:vAlign w:val="bottom"/>
          </w:tcPr>
          <w:p w14:paraId="6D6003FA" w14:textId="22C43281" w:rsidR="00A66703" w:rsidRPr="001D41EA" w:rsidRDefault="00A66703" w:rsidP="001D41EA">
            <w:pPr>
              <w:spacing w:before="40" w:after="40"/>
              <w:jc w:val="right"/>
              <w:rPr>
                <w:rFonts w:cs="Arial"/>
                <w:sz w:val="18"/>
                <w:szCs w:val="18"/>
              </w:rPr>
            </w:pPr>
            <w:r w:rsidRPr="001D41EA">
              <w:rPr>
                <w:rFonts w:cs="Arial"/>
                <w:sz w:val="18"/>
                <w:szCs w:val="18"/>
              </w:rPr>
              <w:t>1,243,305</w:t>
            </w:r>
          </w:p>
        </w:tc>
        <w:tc>
          <w:tcPr>
            <w:tcW w:w="170" w:type="dxa"/>
            <w:tcBorders>
              <w:top w:val="nil"/>
              <w:left w:val="nil"/>
              <w:bottom w:val="nil"/>
              <w:right w:val="nil"/>
            </w:tcBorders>
            <w:vAlign w:val="bottom"/>
          </w:tcPr>
          <w:p w14:paraId="1785858F"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78617C9D" w14:textId="5BD237F5" w:rsidR="00A66703" w:rsidRPr="001D41EA" w:rsidRDefault="00A66703" w:rsidP="001D41EA">
            <w:pPr>
              <w:spacing w:before="40" w:after="40"/>
              <w:jc w:val="right"/>
              <w:rPr>
                <w:rFonts w:cs="Arial"/>
                <w:sz w:val="18"/>
                <w:szCs w:val="18"/>
              </w:rPr>
            </w:pPr>
            <w:r w:rsidRPr="001D41EA">
              <w:rPr>
                <w:rFonts w:cs="Arial"/>
                <w:sz w:val="18"/>
                <w:szCs w:val="18"/>
              </w:rPr>
              <w:t>-30,566</w:t>
            </w:r>
          </w:p>
        </w:tc>
        <w:tc>
          <w:tcPr>
            <w:tcW w:w="1021" w:type="dxa"/>
            <w:tcBorders>
              <w:top w:val="nil"/>
              <w:left w:val="nil"/>
              <w:bottom w:val="nil"/>
              <w:right w:val="nil"/>
            </w:tcBorders>
            <w:vAlign w:val="bottom"/>
          </w:tcPr>
          <w:p w14:paraId="4EF67FAE" w14:textId="2AB99B94" w:rsidR="00A66703" w:rsidRPr="001D41EA" w:rsidRDefault="00A66703" w:rsidP="001D41EA">
            <w:pPr>
              <w:spacing w:before="40" w:after="40"/>
              <w:jc w:val="right"/>
              <w:rPr>
                <w:rFonts w:cs="Arial"/>
                <w:sz w:val="18"/>
                <w:szCs w:val="18"/>
              </w:rPr>
            </w:pPr>
            <w:r w:rsidRPr="001D41EA">
              <w:rPr>
                <w:rFonts w:cs="Arial"/>
                <w:sz w:val="18"/>
                <w:szCs w:val="18"/>
              </w:rPr>
              <w:t>-9,529</w:t>
            </w:r>
          </w:p>
        </w:tc>
        <w:tc>
          <w:tcPr>
            <w:tcW w:w="1021" w:type="dxa"/>
            <w:tcBorders>
              <w:top w:val="nil"/>
              <w:left w:val="nil"/>
              <w:bottom w:val="nil"/>
              <w:right w:val="nil"/>
            </w:tcBorders>
            <w:vAlign w:val="bottom"/>
          </w:tcPr>
          <w:p w14:paraId="618D1EBC" w14:textId="2D9253FC" w:rsidR="00A66703" w:rsidRPr="001D41EA" w:rsidRDefault="00A66703" w:rsidP="001D41EA">
            <w:pPr>
              <w:spacing w:before="40" w:after="40"/>
              <w:jc w:val="right"/>
              <w:rPr>
                <w:rFonts w:cs="Arial"/>
                <w:sz w:val="18"/>
                <w:szCs w:val="18"/>
              </w:rPr>
            </w:pPr>
            <w:r w:rsidRPr="001D41EA">
              <w:rPr>
                <w:rFonts w:cs="Arial"/>
                <w:sz w:val="18"/>
                <w:szCs w:val="18"/>
              </w:rPr>
              <w:t>-40,095</w:t>
            </w:r>
          </w:p>
        </w:tc>
        <w:tc>
          <w:tcPr>
            <w:tcW w:w="1247" w:type="dxa"/>
            <w:tcBorders>
              <w:top w:val="nil"/>
              <w:left w:val="nil"/>
              <w:bottom w:val="nil"/>
              <w:right w:val="nil"/>
            </w:tcBorders>
            <w:shd w:val="clear" w:color="auto" w:fill="auto"/>
            <w:vAlign w:val="bottom"/>
          </w:tcPr>
          <w:p w14:paraId="7DE0FB0B" w14:textId="61ACAE81" w:rsidR="00A66703" w:rsidRPr="001D41EA" w:rsidRDefault="00A66703" w:rsidP="001D41EA">
            <w:pPr>
              <w:spacing w:before="40" w:after="40"/>
              <w:jc w:val="right"/>
              <w:rPr>
                <w:rFonts w:cs="Arial"/>
                <w:b/>
                <w:sz w:val="18"/>
                <w:szCs w:val="18"/>
              </w:rPr>
            </w:pPr>
            <w:r w:rsidRPr="001D41EA">
              <w:rPr>
                <w:rFonts w:cs="Arial"/>
                <w:b/>
                <w:sz w:val="18"/>
                <w:szCs w:val="18"/>
              </w:rPr>
              <w:t>4,090,303</w:t>
            </w:r>
          </w:p>
        </w:tc>
      </w:tr>
      <w:tr w:rsidR="00A66703" w:rsidRPr="001D41EA" w14:paraId="49187436"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F9D1BAC" w14:textId="77777777" w:rsidR="00A66703" w:rsidRPr="001D41EA" w:rsidRDefault="00A66703" w:rsidP="001D41EA">
            <w:pPr>
              <w:spacing w:before="40" w:after="40"/>
              <w:rPr>
                <w:rFonts w:cs="Arial"/>
                <w:sz w:val="18"/>
                <w:szCs w:val="18"/>
              </w:rPr>
            </w:pPr>
            <w:r w:rsidRPr="001D41EA">
              <w:rPr>
                <w:rFonts w:cs="Arial"/>
                <w:sz w:val="18"/>
                <w:szCs w:val="18"/>
              </w:rPr>
              <w:t>Colac Otway S</w:t>
            </w:r>
          </w:p>
        </w:tc>
        <w:tc>
          <w:tcPr>
            <w:tcW w:w="1134" w:type="dxa"/>
            <w:tcBorders>
              <w:top w:val="nil"/>
              <w:left w:val="single" w:sz="18" w:space="0" w:color="5F497A" w:themeColor="accent4" w:themeShade="BF"/>
              <w:bottom w:val="nil"/>
              <w:right w:val="nil"/>
            </w:tcBorders>
            <w:shd w:val="clear" w:color="auto" w:fill="auto"/>
            <w:vAlign w:val="bottom"/>
          </w:tcPr>
          <w:p w14:paraId="593B6881" w14:textId="38AF8167" w:rsidR="00A66703" w:rsidRPr="001D41EA" w:rsidRDefault="00A66703" w:rsidP="001D41EA">
            <w:pPr>
              <w:spacing w:before="40" w:after="40"/>
              <w:jc w:val="right"/>
              <w:rPr>
                <w:rFonts w:cs="Arial"/>
                <w:sz w:val="18"/>
                <w:szCs w:val="18"/>
              </w:rPr>
            </w:pPr>
            <w:r w:rsidRPr="001D41EA">
              <w:rPr>
                <w:rFonts w:cs="Arial"/>
                <w:sz w:val="18"/>
                <w:szCs w:val="18"/>
              </w:rPr>
              <w:t>4,247,693</w:t>
            </w:r>
          </w:p>
        </w:tc>
        <w:tc>
          <w:tcPr>
            <w:tcW w:w="1134" w:type="dxa"/>
            <w:tcBorders>
              <w:top w:val="nil"/>
              <w:left w:val="nil"/>
              <w:bottom w:val="nil"/>
              <w:right w:val="nil"/>
            </w:tcBorders>
            <w:shd w:val="clear" w:color="auto" w:fill="auto"/>
            <w:vAlign w:val="bottom"/>
          </w:tcPr>
          <w:p w14:paraId="57250097" w14:textId="40040D88" w:rsidR="00A66703" w:rsidRPr="001D41EA" w:rsidRDefault="00A66703" w:rsidP="001D41EA">
            <w:pPr>
              <w:spacing w:before="40" w:after="40"/>
              <w:jc w:val="right"/>
              <w:rPr>
                <w:rFonts w:cs="Arial"/>
                <w:sz w:val="18"/>
                <w:szCs w:val="18"/>
              </w:rPr>
            </w:pPr>
            <w:r w:rsidRPr="001D41EA">
              <w:rPr>
                <w:rFonts w:cs="Arial"/>
                <w:sz w:val="18"/>
                <w:szCs w:val="18"/>
              </w:rPr>
              <w:t>2,694,233</w:t>
            </w:r>
          </w:p>
        </w:tc>
        <w:tc>
          <w:tcPr>
            <w:tcW w:w="170" w:type="dxa"/>
            <w:tcBorders>
              <w:top w:val="nil"/>
              <w:left w:val="nil"/>
              <w:bottom w:val="nil"/>
              <w:right w:val="nil"/>
            </w:tcBorders>
            <w:vAlign w:val="bottom"/>
          </w:tcPr>
          <w:p w14:paraId="419497FE"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7C97BDC4" w14:textId="7687EE53" w:rsidR="00A66703" w:rsidRPr="001D41EA" w:rsidRDefault="00A66703" w:rsidP="001D41EA">
            <w:pPr>
              <w:spacing w:before="40" w:after="40"/>
              <w:jc w:val="right"/>
              <w:rPr>
                <w:rFonts w:cs="Arial"/>
                <w:sz w:val="18"/>
                <w:szCs w:val="18"/>
              </w:rPr>
            </w:pPr>
            <w:r w:rsidRPr="001D41EA">
              <w:rPr>
                <w:rFonts w:cs="Arial"/>
                <w:sz w:val="18"/>
                <w:szCs w:val="18"/>
              </w:rPr>
              <w:t>-44,764</w:t>
            </w:r>
          </w:p>
        </w:tc>
        <w:tc>
          <w:tcPr>
            <w:tcW w:w="1021" w:type="dxa"/>
            <w:tcBorders>
              <w:top w:val="nil"/>
              <w:left w:val="nil"/>
              <w:bottom w:val="nil"/>
              <w:right w:val="nil"/>
            </w:tcBorders>
            <w:vAlign w:val="bottom"/>
          </w:tcPr>
          <w:p w14:paraId="645807E1" w14:textId="57CED0C6" w:rsidR="00A66703" w:rsidRPr="001D41EA" w:rsidRDefault="00A66703" w:rsidP="001D41EA">
            <w:pPr>
              <w:spacing w:before="40" w:after="40"/>
              <w:jc w:val="right"/>
              <w:rPr>
                <w:rFonts w:cs="Arial"/>
                <w:sz w:val="18"/>
                <w:szCs w:val="18"/>
              </w:rPr>
            </w:pPr>
            <w:r w:rsidRPr="001D41EA">
              <w:rPr>
                <w:rFonts w:cs="Arial"/>
                <w:sz w:val="18"/>
                <w:szCs w:val="18"/>
              </w:rPr>
              <w:t>-20,557</w:t>
            </w:r>
          </w:p>
        </w:tc>
        <w:tc>
          <w:tcPr>
            <w:tcW w:w="1021" w:type="dxa"/>
            <w:tcBorders>
              <w:top w:val="nil"/>
              <w:left w:val="nil"/>
              <w:bottom w:val="nil"/>
              <w:right w:val="nil"/>
            </w:tcBorders>
            <w:vAlign w:val="bottom"/>
          </w:tcPr>
          <w:p w14:paraId="2033305C" w14:textId="342C280D" w:rsidR="00A66703" w:rsidRPr="001D41EA" w:rsidRDefault="00A66703" w:rsidP="001D41EA">
            <w:pPr>
              <w:spacing w:before="40" w:after="40"/>
              <w:jc w:val="right"/>
              <w:rPr>
                <w:rFonts w:cs="Arial"/>
                <w:sz w:val="18"/>
                <w:szCs w:val="18"/>
              </w:rPr>
            </w:pPr>
            <w:r w:rsidRPr="001D41EA">
              <w:rPr>
                <w:rFonts w:cs="Arial"/>
                <w:sz w:val="18"/>
                <w:szCs w:val="18"/>
              </w:rPr>
              <w:t>-65,321</w:t>
            </w:r>
          </w:p>
        </w:tc>
        <w:tc>
          <w:tcPr>
            <w:tcW w:w="1247" w:type="dxa"/>
            <w:tcBorders>
              <w:top w:val="nil"/>
              <w:left w:val="nil"/>
              <w:bottom w:val="nil"/>
              <w:right w:val="nil"/>
            </w:tcBorders>
            <w:shd w:val="clear" w:color="auto" w:fill="auto"/>
            <w:vAlign w:val="bottom"/>
          </w:tcPr>
          <w:p w14:paraId="66D3094B" w14:textId="1D0958AF" w:rsidR="00A66703" w:rsidRPr="001D41EA" w:rsidRDefault="00A66703" w:rsidP="001D41EA">
            <w:pPr>
              <w:spacing w:before="40" w:after="40"/>
              <w:jc w:val="right"/>
              <w:rPr>
                <w:rFonts w:cs="Arial"/>
                <w:b/>
                <w:sz w:val="18"/>
                <w:szCs w:val="18"/>
              </w:rPr>
            </w:pPr>
            <w:r w:rsidRPr="001D41EA">
              <w:rPr>
                <w:rFonts w:cs="Arial"/>
                <w:b/>
                <w:sz w:val="18"/>
                <w:szCs w:val="18"/>
              </w:rPr>
              <w:t>6,876,605</w:t>
            </w:r>
          </w:p>
        </w:tc>
      </w:tr>
      <w:tr w:rsidR="00A66703" w:rsidRPr="001D41EA" w14:paraId="5B998C80"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A2F2005" w14:textId="77777777" w:rsidR="00A66703" w:rsidRPr="001D41EA" w:rsidRDefault="00A66703" w:rsidP="001D41EA">
            <w:pPr>
              <w:spacing w:before="40" w:after="40"/>
              <w:rPr>
                <w:rFonts w:cs="Arial"/>
                <w:sz w:val="18"/>
                <w:szCs w:val="18"/>
              </w:rPr>
            </w:pPr>
            <w:r w:rsidRPr="001D41EA">
              <w:rPr>
                <w:rFonts w:cs="Arial"/>
                <w:sz w:val="18"/>
                <w:szCs w:val="18"/>
              </w:rPr>
              <w:t>Corangamite S</w:t>
            </w:r>
          </w:p>
        </w:tc>
        <w:tc>
          <w:tcPr>
            <w:tcW w:w="1134" w:type="dxa"/>
            <w:tcBorders>
              <w:top w:val="nil"/>
              <w:left w:val="single" w:sz="18" w:space="0" w:color="5F497A" w:themeColor="accent4" w:themeShade="BF"/>
              <w:bottom w:val="nil"/>
              <w:right w:val="nil"/>
            </w:tcBorders>
            <w:shd w:val="clear" w:color="auto" w:fill="auto"/>
            <w:vAlign w:val="bottom"/>
          </w:tcPr>
          <w:p w14:paraId="0CEC48F2" w14:textId="0A9C02E0" w:rsidR="00A66703" w:rsidRPr="001D41EA" w:rsidRDefault="00A66703" w:rsidP="001D41EA">
            <w:pPr>
              <w:spacing w:before="40" w:after="40"/>
              <w:jc w:val="right"/>
              <w:rPr>
                <w:rFonts w:cs="Arial"/>
                <w:sz w:val="18"/>
                <w:szCs w:val="18"/>
              </w:rPr>
            </w:pPr>
            <w:r w:rsidRPr="001D41EA">
              <w:rPr>
                <w:rFonts w:cs="Arial"/>
                <w:sz w:val="18"/>
                <w:szCs w:val="18"/>
              </w:rPr>
              <w:t>4,734,094</w:t>
            </w:r>
          </w:p>
        </w:tc>
        <w:tc>
          <w:tcPr>
            <w:tcW w:w="1134" w:type="dxa"/>
            <w:tcBorders>
              <w:top w:val="nil"/>
              <w:left w:val="nil"/>
              <w:bottom w:val="nil"/>
              <w:right w:val="nil"/>
            </w:tcBorders>
            <w:shd w:val="clear" w:color="auto" w:fill="auto"/>
            <w:vAlign w:val="bottom"/>
          </w:tcPr>
          <w:p w14:paraId="5FB71952" w14:textId="1E2701ED" w:rsidR="00A66703" w:rsidRPr="001D41EA" w:rsidRDefault="00A66703" w:rsidP="001D41EA">
            <w:pPr>
              <w:spacing w:before="40" w:after="40"/>
              <w:jc w:val="right"/>
              <w:rPr>
                <w:rFonts w:cs="Arial"/>
                <w:sz w:val="18"/>
                <w:szCs w:val="18"/>
              </w:rPr>
            </w:pPr>
            <w:r w:rsidRPr="001D41EA">
              <w:rPr>
                <w:rFonts w:cs="Arial"/>
                <w:sz w:val="18"/>
                <w:szCs w:val="18"/>
              </w:rPr>
              <w:t>3,600,873</w:t>
            </w:r>
          </w:p>
        </w:tc>
        <w:tc>
          <w:tcPr>
            <w:tcW w:w="170" w:type="dxa"/>
            <w:tcBorders>
              <w:top w:val="nil"/>
              <w:left w:val="nil"/>
              <w:bottom w:val="nil"/>
              <w:right w:val="nil"/>
            </w:tcBorders>
            <w:vAlign w:val="bottom"/>
          </w:tcPr>
          <w:p w14:paraId="0E533B7B"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2A1D853F" w14:textId="59819D90" w:rsidR="00A66703" w:rsidRPr="001D41EA" w:rsidRDefault="00A66703" w:rsidP="001D41EA">
            <w:pPr>
              <w:spacing w:before="40" w:after="40"/>
              <w:jc w:val="right"/>
              <w:rPr>
                <w:rFonts w:cs="Arial"/>
                <w:sz w:val="18"/>
                <w:szCs w:val="18"/>
              </w:rPr>
            </w:pPr>
            <w:r w:rsidRPr="001D41EA">
              <w:rPr>
                <w:rFonts w:cs="Arial"/>
                <w:sz w:val="18"/>
                <w:szCs w:val="18"/>
              </w:rPr>
              <w:t>-48,134</w:t>
            </w:r>
          </w:p>
        </w:tc>
        <w:tc>
          <w:tcPr>
            <w:tcW w:w="1021" w:type="dxa"/>
            <w:tcBorders>
              <w:top w:val="nil"/>
              <w:left w:val="nil"/>
              <w:bottom w:val="nil"/>
              <w:right w:val="nil"/>
            </w:tcBorders>
            <w:vAlign w:val="bottom"/>
          </w:tcPr>
          <w:p w14:paraId="498D9821" w14:textId="5C868D8E" w:rsidR="00A66703" w:rsidRPr="001D41EA" w:rsidRDefault="00A66703" w:rsidP="001D41EA">
            <w:pPr>
              <w:spacing w:before="40" w:after="40"/>
              <w:jc w:val="right"/>
              <w:rPr>
                <w:rFonts w:cs="Arial"/>
                <w:sz w:val="18"/>
                <w:szCs w:val="18"/>
              </w:rPr>
            </w:pPr>
            <w:r w:rsidRPr="001D41EA">
              <w:rPr>
                <w:rFonts w:cs="Arial"/>
                <w:sz w:val="18"/>
                <w:szCs w:val="18"/>
              </w:rPr>
              <w:t>-27,586</w:t>
            </w:r>
          </w:p>
        </w:tc>
        <w:tc>
          <w:tcPr>
            <w:tcW w:w="1021" w:type="dxa"/>
            <w:tcBorders>
              <w:top w:val="nil"/>
              <w:left w:val="nil"/>
              <w:bottom w:val="nil"/>
              <w:right w:val="nil"/>
            </w:tcBorders>
            <w:vAlign w:val="bottom"/>
          </w:tcPr>
          <w:p w14:paraId="58120673" w14:textId="30F15E2C" w:rsidR="00A66703" w:rsidRPr="001D41EA" w:rsidRDefault="00A66703" w:rsidP="001D41EA">
            <w:pPr>
              <w:spacing w:before="40" w:after="40"/>
              <w:jc w:val="right"/>
              <w:rPr>
                <w:rFonts w:cs="Arial"/>
                <w:sz w:val="18"/>
                <w:szCs w:val="18"/>
              </w:rPr>
            </w:pPr>
            <w:r w:rsidRPr="001D41EA">
              <w:rPr>
                <w:rFonts w:cs="Arial"/>
                <w:sz w:val="18"/>
                <w:szCs w:val="18"/>
              </w:rPr>
              <w:t>-75,720</w:t>
            </w:r>
          </w:p>
        </w:tc>
        <w:tc>
          <w:tcPr>
            <w:tcW w:w="1247" w:type="dxa"/>
            <w:tcBorders>
              <w:top w:val="nil"/>
              <w:left w:val="nil"/>
              <w:bottom w:val="nil"/>
              <w:right w:val="nil"/>
            </w:tcBorders>
            <w:shd w:val="clear" w:color="auto" w:fill="auto"/>
            <w:vAlign w:val="bottom"/>
          </w:tcPr>
          <w:p w14:paraId="468E4929" w14:textId="36B692CE" w:rsidR="00A66703" w:rsidRPr="001D41EA" w:rsidRDefault="00A66703" w:rsidP="001D41EA">
            <w:pPr>
              <w:spacing w:before="40" w:after="40"/>
              <w:jc w:val="right"/>
              <w:rPr>
                <w:rFonts w:cs="Arial"/>
                <w:b/>
                <w:sz w:val="18"/>
                <w:szCs w:val="18"/>
              </w:rPr>
            </w:pPr>
            <w:r w:rsidRPr="001D41EA">
              <w:rPr>
                <w:rFonts w:cs="Arial"/>
                <w:b/>
                <w:sz w:val="18"/>
                <w:szCs w:val="18"/>
              </w:rPr>
              <w:t>8,259,247</w:t>
            </w:r>
          </w:p>
        </w:tc>
      </w:tr>
      <w:tr w:rsidR="00A66703" w:rsidRPr="001D41EA" w14:paraId="12DAD586"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CAFE5D7" w14:textId="77777777" w:rsidR="00A66703" w:rsidRPr="001D41EA" w:rsidRDefault="00A66703" w:rsidP="001D41EA">
            <w:pPr>
              <w:spacing w:before="40" w:after="40"/>
              <w:rPr>
                <w:rFonts w:cs="Arial"/>
                <w:sz w:val="18"/>
                <w:szCs w:val="18"/>
              </w:rPr>
            </w:pPr>
            <w:r w:rsidRPr="001D41EA">
              <w:rPr>
                <w:rFonts w:cs="Arial"/>
                <w:sz w:val="18"/>
                <w:szCs w:val="18"/>
              </w:rPr>
              <w:t>Darebin C</w:t>
            </w:r>
          </w:p>
        </w:tc>
        <w:tc>
          <w:tcPr>
            <w:tcW w:w="1134" w:type="dxa"/>
            <w:tcBorders>
              <w:top w:val="nil"/>
              <w:left w:val="single" w:sz="18" w:space="0" w:color="5F497A" w:themeColor="accent4" w:themeShade="BF"/>
              <w:bottom w:val="nil"/>
              <w:right w:val="nil"/>
            </w:tcBorders>
            <w:shd w:val="clear" w:color="auto" w:fill="auto"/>
            <w:vAlign w:val="bottom"/>
          </w:tcPr>
          <w:p w14:paraId="73112CB0" w14:textId="152AB3FE" w:rsidR="00A66703" w:rsidRPr="001D41EA" w:rsidRDefault="00A66703" w:rsidP="001D41EA">
            <w:pPr>
              <w:spacing w:before="40" w:after="40"/>
              <w:jc w:val="right"/>
              <w:rPr>
                <w:rFonts w:cs="Arial"/>
                <w:sz w:val="18"/>
                <w:szCs w:val="18"/>
              </w:rPr>
            </w:pPr>
            <w:r w:rsidRPr="001D41EA">
              <w:rPr>
                <w:rFonts w:cs="Arial"/>
                <w:sz w:val="18"/>
                <w:szCs w:val="18"/>
              </w:rPr>
              <w:t>3,418,833</w:t>
            </w:r>
          </w:p>
        </w:tc>
        <w:tc>
          <w:tcPr>
            <w:tcW w:w="1134" w:type="dxa"/>
            <w:tcBorders>
              <w:top w:val="nil"/>
              <w:left w:val="nil"/>
              <w:bottom w:val="nil"/>
              <w:right w:val="nil"/>
            </w:tcBorders>
            <w:shd w:val="clear" w:color="auto" w:fill="auto"/>
            <w:vAlign w:val="bottom"/>
          </w:tcPr>
          <w:p w14:paraId="74EC55FE" w14:textId="2247D1DF" w:rsidR="00A66703" w:rsidRPr="001D41EA" w:rsidRDefault="00A66703" w:rsidP="001D41EA">
            <w:pPr>
              <w:spacing w:before="40" w:after="40"/>
              <w:jc w:val="right"/>
              <w:rPr>
                <w:rFonts w:cs="Arial"/>
                <w:sz w:val="18"/>
                <w:szCs w:val="18"/>
              </w:rPr>
            </w:pPr>
            <w:r w:rsidRPr="001D41EA">
              <w:rPr>
                <w:rFonts w:cs="Arial"/>
                <w:sz w:val="18"/>
                <w:szCs w:val="18"/>
              </w:rPr>
              <w:t>906,697</w:t>
            </w:r>
          </w:p>
        </w:tc>
        <w:tc>
          <w:tcPr>
            <w:tcW w:w="170" w:type="dxa"/>
            <w:tcBorders>
              <w:top w:val="nil"/>
              <w:left w:val="nil"/>
              <w:bottom w:val="nil"/>
              <w:right w:val="nil"/>
            </w:tcBorders>
            <w:vAlign w:val="bottom"/>
          </w:tcPr>
          <w:p w14:paraId="29ABED6E"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43C06E0D" w14:textId="384B0D23" w:rsidR="00A66703" w:rsidRPr="001D41EA" w:rsidRDefault="00A66703" w:rsidP="001D41EA">
            <w:pPr>
              <w:spacing w:before="40" w:after="40"/>
              <w:jc w:val="right"/>
              <w:rPr>
                <w:rFonts w:cs="Arial"/>
                <w:sz w:val="18"/>
                <w:szCs w:val="18"/>
              </w:rPr>
            </w:pPr>
            <w:r w:rsidRPr="001D41EA">
              <w:rPr>
                <w:rFonts w:cs="Arial"/>
                <w:sz w:val="18"/>
                <w:szCs w:val="18"/>
              </w:rPr>
              <w:t>-35,991</w:t>
            </w:r>
          </w:p>
        </w:tc>
        <w:tc>
          <w:tcPr>
            <w:tcW w:w="1021" w:type="dxa"/>
            <w:tcBorders>
              <w:top w:val="nil"/>
              <w:left w:val="nil"/>
              <w:bottom w:val="nil"/>
              <w:right w:val="nil"/>
            </w:tcBorders>
            <w:vAlign w:val="bottom"/>
          </w:tcPr>
          <w:p w14:paraId="484AC170" w14:textId="3243C93D" w:rsidR="00A66703" w:rsidRPr="001D41EA" w:rsidRDefault="00A66703" w:rsidP="001D41EA">
            <w:pPr>
              <w:spacing w:before="40" w:after="40"/>
              <w:jc w:val="right"/>
              <w:rPr>
                <w:rFonts w:cs="Arial"/>
                <w:sz w:val="18"/>
                <w:szCs w:val="18"/>
              </w:rPr>
            </w:pPr>
            <w:r w:rsidRPr="001D41EA">
              <w:rPr>
                <w:rFonts w:cs="Arial"/>
                <w:sz w:val="18"/>
                <w:szCs w:val="18"/>
              </w:rPr>
              <w:t>-7,019</w:t>
            </w:r>
          </w:p>
        </w:tc>
        <w:tc>
          <w:tcPr>
            <w:tcW w:w="1021" w:type="dxa"/>
            <w:tcBorders>
              <w:top w:val="nil"/>
              <w:left w:val="nil"/>
              <w:bottom w:val="nil"/>
              <w:right w:val="nil"/>
            </w:tcBorders>
            <w:vAlign w:val="bottom"/>
          </w:tcPr>
          <w:p w14:paraId="76EBC1EC" w14:textId="6D8BF49C" w:rsidR="00A66703" w:rsidRPr="001D41EA" w:rsidRDefault="00A66703" w:rsidP="001D41EA">
            <w:pPr>
              <w:spacing w:before="40" w:after="40"/>
              <w:jc w:val="right"/>
              <w:rPr>
                <w:rFonts w:cs="Arial"/>
                <w:sz w:val="18"/>
                <w:szCs w:val="18"/>
              </w:rPr>
            </w:pPr>
            <w:r w:rsidRPr="001D41EA">
              <w:rPr>
                <w:rFonts w:cs="Arial"/>
                <w:sz w:val="18"/>
                <w:szCs w:val="18"/>
              </w:rPr>
              <w:t>-43,010</w:t>
            </w:r>
          </w:p>
        </w:tc>
        <w:tc>
          <w:tcPr>
            <w:tcW w:w="1247" w:type="dxa"/>
            <w:tcBorders>
              <w:top w:val="nil"/>
              <w:left w:val="nil"/>
              <w:bottom w:val="nil"/>
              <w:right w:val="nil"/>
            </w:tcBorders>
            <w:shd w:val="clear" w:color="auto" w:fill="auto"/>
            <w:vAlign w:val="bottom"/>
          </w:tcPr>
          <w:p w14:paraId="4D7B6B93" w14:textId="2D340181" w:rsidR="00A66703" w:rsidRPr="001D41EA" w:rsidRDefault="00A66703" w:rsidP="001D41EA">
            <w:pPr>
              <w:spacing w:before="40" w:after="40"/>
              <w:jc w:val="right"/>
              <w:rPr>
                <w:rFonts w:cs="Arial"/>
                <w:b/>
                <w:sz w:val="18"/>
                <w:szCs w:val="18"/>
              </w:rPr>
            </w:pPr>
            <w:r w:rsidRPr="001D41EA">
              <w:rPr>
                <w:rFonts w:cs="Arial"/>
                <w:b/>
                <w:sz w:val="18"/>
                <w:szCs w:val="18"/>
              </w:rPr>
              <w:t>4,282,520</w:t>
            </w:r>
          </w:p>
        </w:tc>
      </w:tr>
      <w:tr w:rsidR="00A66703" w:rsidRPr="001D41EA" w14:paraId="47289A1F"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03E3777" w14:textId="77777777" w:rsidR="00A66703" w:rsidRPr="001D41EA" w:rsidRDefault="00A66703" w:rsidP="001D41EA">
            <w:pPr>
              <w:spacing w:before="40" w:after="40"/>
              <w:rPr>
                <w:rFonts w:cs="Arial"/>
                <w:sz w:val="18"/>
                <w:szCs w:val="18"/>
              </w:rPr>
            </w:pPr>
            <w:r w:rsidRPr="001D41EA">
              <w:rPr>
                <w:rFonts w:cs="Arial"/>
                <w:sz w:val="18"/>
                <w:szCs w:val="18"/>
              </w:rPr>
              <w:t>East Gippsland S</w:t>
            </w:r>
          </w:p>
        </w:tc>
        <w:tc>
          <w:tcPr>
            <w:tcW w:w="1134" w:type="dxa"/>
            <w:tcBorders>
              <w:top w:val="nil"/>
              <w:left w:val="single" w:sz="18" w:space="0" w:color="5F497A" w:themeColor="accent4" w:themeShade="BF"/>
              <w:bottom w:val="nil"/>
              <w:right w:val="nil"/>
            </w:tcBorders>
            <w:shd w:val="clear" w:color="auto" w:fill="auto"/>
            <w:vAlign w:val="bottom"/>
          </w:tcPr>
          <w:p w14:paraId="1DE2BC81" w14:textId="3F2A7D04" w:rsidR="00A66703" w:rsidRPr="001D41EA" w:rsidRDefault="00A66703" w:rsidP="001D41EA">
            <w:pPr>
              <w:spacing w:before="40" w:after="40"/>
              <w:jc w:val="right"/>
              <w:rPr>
                <w:rFonts w:cs="Arial"/>
                <w:sz w:val="18"/>
                <w:szCs w:val="18"/>
              </w:rPr>
            </w:pPr>
            <w:r w:rsidRPr="001D41EA">
              <w:rPr>
                <w:rFonts w:cs="Arial"/>
                <w:sz w:val="18"/>
                <w:szCs w:val="18"/>
              </w:rPr>
              <w:t>10,870,969</w:t>
            </w:r>
          </w:p>
        </w:tc>
        <w:tc>
          <w:tcPr>
            <w:tcW w:w="1134" w:type="dxa"/>
            <w:tcBorders>
              <w:top w:val="nil"/>
              <w:left w:val="nil"/>
              <w:bottom w:val="nil"/>
              <w:right w:val="nil"/>
            </w:tcBorders>
            <w:shd w:val="clear" w:color="auto" w:fill="auto"/>
            <w:vAlign w:val="bottom"/>
          </w:tcPr>
          <w:p w14:paraId="1E666679" w14:textId="5C0AE369" w:rsidR="00A66703" w:rsidRPr="001D41EA" w:rsidRDefault="00A66703" w:rsidP="001D41EA">
            <w:pPr>
              <w:spacing w:before="40" w:after="40"/>
              <w:jc w:val="right"/>
              <w:rPr>
                <w:rFonts w:cs="Arial"/>
                <w:sz w:val="18"/>
                <w:szCs w:val="18"/>
              </w:rPr>
            </w:pPr>
            <w:r w:rsidRPr="001D41EA">
              <w:rPr>
                <w:rFonts w:cs="Arial"/>
                <w:sz w:val="18"/>
                <w:szCs w:val="18"/>
              </w:rPr>
              <w:t>4,703,161</w:t>
            </w:r>
          </w:p>
        </w:tc>
        <w:tc>
          <w:tcPr>
            <w:tcW w:w="170" w:type="dxa"/>
            <w:tcBorders>
              <w:top w:val="nil"/>
              <w:left w:val="nil"/>
              <w:bottom w:val="nil"/>
              <w:right w:val="nil"/>
            </w:tcBorders>
            <w:vAlign w:val="bottom"/>
          </w:tcPr>
          <w:p w14:paraId="5975FFFB"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1EEA19BA" w14:textId="28C30EA2" w:rsidR="00A66703" w:rsidRPr="001D41EA" w:rsidRDefault="00A66703" w:rsidP="001D41EA">
            <w:pPr>
              <w:spacing w:before="40" w:after="40"/>
              <w:jc w:val="right"/>
              <w:rPr>
                <w:rFonts w:cs="Arial"/>
                <w:sz w:val="18"/>
                <w:szCs w:val="18"/>
              </w:rPr>
            </w:pPr>
            <w:r w:rsidRPr="001D41EA">
              <w:rPr>
                <w:rFonts w:cs="Arial"/>
                <w:sz w:val="18"/>
                <w:szCs w:val="18"/>
              </w:rPr>
              <w:t>-113,304</w:t>
            </w:r>
          </w:p>
        </w:tc>
        <w:tc>
          <w:tcPr>
            <w:tcW w:w="1021" w:type="dxa"/>
            <w:tcBorders>
              <w:top w:val="nil"/>
              <w:left w:val="nil"/>
              <w:bottom w:val="nil"/>
              <w:right w:val="nil"/>
            </w:tcBorders>
            <w:vAlign w:val="bottom"/>
          </w:tcPr>
          <w:p w14:paraId="15E9AA5F" w14:textId="5E152E5F" w:rsidR="00A66703" w:rsidRPr="001D41EA" w:rsidRDefault="00A66703" w:rsidP="001D41EA">
            <w:pPr>
              <w:spacing w:before="40" w:after="40"/>
              <w:jc w:val="right"/>
              <w:rPr>
                <w:rFonts w:cs="Arial"/>
                <w:sz w:val="18"/>
                <w:szCs w:val="18"/>
              </w:rPr>
            </w:pPr>
            <w:r w:rsidRPr="001D41EA">
              <w:rPr>
                <w:rFonts w:cs="Arial"/>
                <w:sz w:val="18"/>
                <w:szCs w:val="18"/>
              </w:rPr>
              <w:t>-36,148</w:t>
            </w:r>
          </w:p>
        </w:tc>
        <w:tc>
          <w:tcPr>
            <w:tcW w:w="1021" w:type="dxa"/>
            <w:tcBorders>
              <w:top w:val="nil"/>
              <w:left w:val="nil"/>
              <w:bottom w:val="nil"/>
              <w:right w:val="nil"/>
            </w:tcBorders>
            <w:vAlign w:val="bottom"/>
          </w:tcPr>
          <w:p w14:paraId="4039C206" w14:textId="6DA0E453" w:rsidR="00A66703" w:rsidRPr="001D41EA" w:rsidRDefault="00A66703" w:rsidP="001D41EA">
            <w:pPr>
              <w:spacing w:before="40" w:after="40"/>
              <w:jc w:val="right"/>
              <w:rPr>
                <w:rFonts w:cs="Arial"/>
                <w:sz w:val="18"/>
                <w:szCs w:val="18"/>
              </w:rPr>
            </w:pPr>
            <w:r w:rsidRPr="001D41EA">
              <w:rPr>
                <w:rFonts w:cs="Arial"/>
                <w:sz w:val="18"/>
                <w:szCs w:val="18"/>
              </w:rPr>
              <w:t>-149,452</w:t>
            </w:r>
          </w:p>
        </w:tc>
        <w:tc>
          <w:tcPr>
            <w:tcW w:w="1247" w:type="dxa"/>
            <w:tcBorders>
              <w:top w:val="nil"/>
              <w:left w:val="nil"/>
              <w:bottom w:val="nil"/>
              <w:right w:val="nil"/>
            </w:tcBorders>
            <w:shd w:val="clear" w:color="auto" w:fill="auto"/>
            <w:vAlign w:val="bottom"/>
          </w:tcPr>
          <w:p w14:paraId="02D52CE9" w14:textId="506440FB" w:rsidR="00A66703" w:rsidRPr="001D41EA" w:rsidRDefault="00A66703" w:rsidP="001D41EA">
            <w:pPr>
              <w:spacing w:before="40" w:after="40"/>
              <w:jc w:val="right"/>
              <w:rPr>
                <w:rFonts w:cs="Arial"/>
                <w:b/>
                <w:sz w:val="18"/>
                <w:szCs w:val="18"/>
              </w:rPr>
            </w:pPr>
            <w:r w:rsidRPr="001D41EA">
              <w:rPr>
                <w:rFonts w:cs="Arial"/>
                <w:b/>
                <w:sz w:val="18"/>
                <w:szCs w:val="18"/>
              </w:rPr>
              <w:t>15,424,678</w:t>
            </w:r>
          </w:p>
        </w:tc>
      </w:tr>
      <w:tr w:rsidR="00A66703" w:rsidRPr="001D41EA" w14:paraId="37170BF2"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BAD68EF" w14:textId="77777777" w:rsidR="00A66703" w:rsidRPr="001D41EA" w:rsidRDefault="00A66703" w:rsidP="001D41EA">
            <w:pPr>
              <w:spacing w:before="40" w:after="40"/>
              <w:rPr>
                <w:rFonts w:cs="Arial"/>
                <w:sz w:val="18"/>
                <w:szCs w:val="18"/>
              </w:rPr>
            </w:pPr>
            <w:r w:rsidRPr="001D41EA">
              <w:rPr>
                <w:rFonts w:cs="Arial"/>
                <w:sz w:val="18"/>
                <w:szCs w:val="18"/>
              </w:rPr>
              <w:t>Frankston C</w:t>
            </w:r>
          </w:p>
        </w:tc>
        <w:tc>
          <w:tcPr>
            <w:tcW w:w="1134" w:type="dxa"/>
            <w:tcBorders>
              <w:top w:val="nil"/>
              <w:left w:val="single" w:sz="18" w:space="0" w:color="5F497A" w:themeColor="accent4" w:themeShade="BF"/>
              <w:bottom w:val="nil"/>
              <w:right w:val="nil"/>
            </w:tcBorders>
            <w:shd w:val="clear" w:color="auto" w:fill="auto"/>
            <w:vAlign w:val="bottom"/>
          </w:tcPr>
          <w:p w14:paraId="469F8937" w14:textId="311DCEB4" w:rsidR="00A66703" w:rsidRPr="001D41EA" w:rsidRDefault="00A66703" w:rsidP="001D41EA">
            <w:pPr>
              <w:spacing w:before="40" w:after="40"/>
              <w:jc w:val="right"/>
              <w:rPr>
                <w:rFonts w:cs="Arial"/>
                <w:sz w:val="18"/>
                <w:szCs w:val="18"/>
              </w:rPr>
            </w:pPr>
            <w:r w:rsidRPr="001D41EA">
              <w:rPr>
                <w:rFonts w:cs="Arial"/>
                <w:sz w:val="18"/>
                <w:szCs w:val="18"/>
              </w:rPr>
              <w:t>7,370,158</w:t>
            </w:r>
          </w:p>
        </w:tc>
        <w:tc>
          <w:tcPr>
            <w:tcW w:w="1134" w:type="dxa"/>
            <w:tcBorders>
              <w:top w:val="nil"/>
              <w:left w:val="nil"/>
              <w:bottom w:val="nil"/>
              <w:right w:val="nil"/>
            </w:tcBorders>
            <w:shd w:val="clear" w:color="auto" w:fill="auto"/>
            <w:vAlign w:val="bottom"/>
          </w:tcPr>
          <w:p w14:paraId="715FEE80" w14:textId="5F8F89FC" w:rsidR="00A66703" w:rsidRPr="001D41EA" w:rsidRDefault="00A66703" w:rsidP="001D41EA">
            <w:pPr>
              <w:spacing w:before="40" w:after="40"/>
              <w:jc w:val="right"/>
              <w:rPr>
                <w:rFonts w:cs="Arial"/>
                <w:sz w:val="18"/>
                <w:szCs w:val="18"/>
              </w:rPr>
            </w:pPr>
            <w:r w:rsidRPr="001D41EA">
              <w:rPr>
                <w:rFonts w:cs="Arial"/>
                <w:sz w:val="18"/>
                <w:szCs w:val="18"/>
              </w:rPr>
              <w:t>1,164,622</w:t>
            </w:r>
          </w:p>
        </w:tc>
        <w:tc>
          <w:tcPr>
            <w:tcW w:w="170" w:type="dxa"/>
            <w:tcBorders>
              <w:top w:val="nil"/>
              <w:left w:val="nil"/>
              <w:bottom w:val="nil"/>
              <w:right w:val="nil"/>
            </w:tcBorders>
            <w:vAlign w:val="bottom"/>
          </w:tcPr>
          <w:p w14:paraId="084D9772"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23B7961B" w14:textId="20AD6409" w:rsidR="00A66703" w:rsidRPr="001D41EA" w:rsidRDefault="00A66703" w:rsidP="001D41EA">
            <w:pPr>
              <w:spacing w:before="40" w:after="40"/>
              <w:jc w:val="right"/>
              <w:rPr>
                <w:rFonts w:cs="Arial"/>
                <w:sz w:val="18"/>
                <w:szCs w:val="18"/>
              </w:rPr>
            </w:pPr>
            <w:r w:rsidRPr="001D41EA">
              <w:rPr>
                <w:rFonts w:cs="Arial"/>
                <w:sz w:val="18"/>
                <w:szCs w:val="18"/>
              </w:rPr>
              <w:t>-79,344</w:t>
            </w:r>
          </w:p>
        </w:tc>
        <w:tc>
          <w:tcPr>
            <w:tcW w:w="1021" w:type="dxa"/>
            <w:tcBorders>
              <w:top w:val="nil"/>
              <w:left w:val="nil"/>
              <w:bottom w:val="nil"/>
              <w:right w:val="nil"/>
            </w:tcBorders>
            <w:vAlign w:val="bottom"/>
          </w:tcPr>
          <w:p w14:paraId="55064B4C" w14:textId="36E37ECB" w:rsidR="00A66703" w:rsidRPr="001D41EA" w:rsidRDefault="00A66703" w:rsidP="001D41EA">
            <w:pPr>
              <w:spacing w:before="40" w:after="40"/>
              <w:jc w:val="right"/>
              <w:rPr>
                <w:rFonts w:cs="Arial"/>
                <w:sz w:val="18"/>
                <w:szCs w:val="18"/>
              </w:rPr>
            </w:pPr>
            <w:r w:rsidRPr="001D41EA">
              <w:rPr>
                <w:rFonts w:cs="Arial"/>
                <w:sz w:val="18"/>
                <w:szCs w:val="18"/>
              </w:rPr>
              <w:t>-8,979</w:t>
            </w:r>
          </w:p>
        </w:tc>
        <w:tc>
          <w:tcPr>
            <w:tcW w:w="1021" w:type="dxa"/>
            <w:tcBorders>
              <w:top w:val="nil"/>
              <w:left w:val="nil"/>
              <w:bottom w:val="nil"/>
              <w:right w:val="nil"/>
            </w:tcBorders>
            <w:vAlign w:val="bottom"/>
          </w:tcPr>
          <w:p w14:paraId="6D837301" w14:textId="5083FD33" w:rsidR="00A66703" w:rsidRPr="001D41EA" w:rsidRDefault="00A66703" w:rsidP="001D41EA">
            <w:pPr>
              <w:spacing w:before="40" w:after="40"/>
              <w:jc w:val="right"/>
              <w:rPr>
                <w:rFonts w:cs="Arial"/>
                <w:sz w:val="18"/>
                <w:szCs w:val="18"/>
              </w:rPr>
            </w:pPr>
            <w:r w:rsidRPr="001D41EA">
              <w:rPr>
                <w:rFonts w:cs="Arial"/>
                <w:sz w:val="18"/>
                <w:szCs w:val="18"/>
              </w:rPr>
              <w:t>-88,323</w:t>
            </w:r>
          </w:p>
        </w:tc>
        <w:tc>
          <w:tcPr>
            <w:tcW w:w="1247" w:type="dxa"/>
            <w:tcBorders>
              <w:top w:val="nil"/>
              <w:left w:val="nil"/>
              <w:bottom w:val="nil"/>
              <w:right w:val="nil"/>
            </w:tcBorders>
            <w:shd w:val="clear" w:color="auto" w:fill="auto"/>
            <w:vAlign w:val="bottom"/>
          </w:tcPr>
          <w:p w14:paraId="66DFE9BE" w14:textId="729563FE" w:rsidR="00A66703" w:rsidRPr="001D41EA" w:rsidRDefault="00A66703" w:rsidP="001D41EA">
            <w:pPr>
              <w:spacing w:before="40" w:after="40"/>
              <w:jc w:val="right"/>
              <w:rPr>
                <w:rFonts w:cs="Arial"/>
                <w:b/>
                <w:sz w:val="18"/>
                <w:szCs w:val="18"/>
              </w:rPr>
            </w:pPr>
            <w:r w:rsidRPr="001D41EA">
              <w:rPr>
                <w:rFonts w:cs="Arial"/>
                <w:b/>
                <w:sz w:val="18"/>
                <w:szCs w:val="18"/>
              </w:rPr>
              <w:t>8,446,457</w:t>
            </w:r>
          </w:p>
        </w:tc>
      </w:tr>
      <w:tr w:rsidR="00A66703" w:rsidRPr="001D41EA" w14:paraId="097D5A3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A32084D" w14:textId="77777777" w:rsidR="00A66703" w:rsidRPr="001D41EA" w:rsidRDefault="00A66703" w:rsidP="001D41EA">
            <w:pPr>
              <w:spacing w:before="40" w:after="40"/>
              <w:rPr>
                <w:rFonts w:cs="Arial"/>
                <w:sz w:val="18"/>
                <w:szCs w:val="18"/>
              </w:rPr>
            </w:pPr>
            <w:r w:rsidRPr="001D41EA">
              <w:rPr>
                <w:rFonts w:cs="Arial"/>
                <w:sz w:val="18"/>
                <w:szCs w:val="18"/>
              </w:rPr>
              <w:t>Gannawarra S</w:t>
            </w:r>
          </w:p>
        </w:tc>
        <w:tc>
          <w:tcPr>
            <w:tcW w:w="1134" w:type="dxa"/>
            <w:tcBorders>
              <w:top w:val="nil"/>
              <w:left w:val="single" w:sz="18" w:space="0" w:color="5F497A" w:themeColor="accent4" w:themeShade="BF"/>
              <w:bottom w:val="nil"/>
              <w:right w:val="nil"/>
            </w:tcBorders>
            <w:shd w:val="clear" w:color="auto" w:fill="auto"/>
            <w:vAlign w:val="bottom"/>
          </w:tcPr>
          <w:p w14:paraId="3C752D17" w14:textId="6829F8A3" w:rsidR="00A66703" w:rsidRPr="001D41EA" w:rsidRDefault="00A66703" w:rsidP="001D41EA">
            <w:pPr>
              <w:spacing w:before="40" w:after="40"/>
              <w:jc w:val="right"/>
              <w:rPr>
                <w:rFonts w:cs="Arial"/>
                <w:sz w:val="18"/>
                <w:szCs w:val="18"/>
              </w:rPr>
            </w:pPr>
            <w:r w:rsidRPr="001D41EA">
              <w:rPr>
                <w:rFonts w:cs="Arial"/>
                <w:sz w:val="18"/>
                <w:szCs w:val="18"/>
              </w:rPr>
              <w:t>3,713,956</w:t>
            </w:r>
          </w:p>
        </w:tc>
        <w:tc>
          <w:tcPr>
            <w:tcW w:w="1134" w:type="dxa"/>
            <w:tcBorders>
              <w:top w:val="nil"/>
              <w:left w:val="nil"/>
              <w:bottom w:val="nil"/>
              <w:right w:val="nil"/>
            </w:tcBorders>
            <w:shd w:val="clear" w:color="auto" w:fill="auto"/>
            <w:vAlign w:val="bottom"/>
          </w:tcPr>
          <w:p w14:paraId="764FB141" w14:textId="2D347EAD" w:rsidR="00A66703" w:rsidRPr="001D41EA" w:rsidRDefault="00A66703" w:rsidP="001D41EA">
            <w:pPr>
              <w:spacing w:before="40" w:after="40"/>
              <w:jc w:val="right"/>
              <w:rPr>
                <w:rFonts w:cs="Arial"/>
                <w:sz w:val="18"/>
                <w:szCs w:val="18"/>
              </w:rPr>
            </w:pPr>
            <w:r w:rsidRPr="001D41EA">
              <w:rPr>
                <w:rFonts w:cs="Arial"/>
                <w:sz w:val="18"/>
                <w:szCs w:val="18"/>
              </w:rPr>
              <w:t>2,081,185</w:t>
            </w:r>
          </w:p>
        </w:tc>
        <w:tc>
          <w:tcPr>
            <w:tcW w:w="170" w:type="dxa"/>
            <w:tcBorders>
              <w:top w:val="nil"/>
              <w:left w:val="nil"/>
              <w:bottom w:val="nil"/>
              <w:right w:val="nil"/>
            </w:tcBorders>
            <w:vAlign w:val="bottom"/>
          </w:tcPr>
          <w:p w14:paraId="6A500C03"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1BE9C39B" w14:textId="51EC772E" w:rsidR="00A66703" w:rsidRPr="001D41EA" w:rsidRDefault="00A66703" w:rsidP="001D41EA">
            <w:pPr>
              <w:spacing w:before="40" w:after="40"/>
              <w:jc w:val="right"/>
              <w:rPr>
                <w:rFonts w:cs="Arial"/>
                <w:sz w:val="18"/>
                <w:szCs w:val="18"/>
              </w:rPr>
            </w:pPr>
            <w:r w:rsidRPr="001D41EA">
              <w:rPr>
                <w:rFonts w:cs="Arial"/>
                <w:sz w:val="18"/>
                <w:szCs w:val="18"/>
              </w:rPr>
              <w:t>-39,041</w:t>
            </w:r>
          </w:p>
        </w:tc>
        <w:tc>
          <w:tcPr>
            <w:tcW w:w="1021" w:type="dxa"/>
            <w:tcBorders>
              <w:top w:val="nil"/>
              <w:left w:val="nil"/>
              <w:bottom w:val="nil"/>
              <w:right w:val="nil"/>
            </w:tcBorders>
            <w:vAlign w:val="bottom"/>
          </w:tcPr>
          <w:p w14:paraId="7201D617" w14:textId="77A512B9" w:rsidR="00A66703" w:rsidRPr="001D41EA" w:rsidRDefault="00A66703" w:rsidP="001D41EA">
            <w:pPr>
              <w:spacing w:before="40" w:after="40"/>
              <w:jc w:val="right"/>
              <w:rPr>
                <w:rFonts w:cs="Arial"/>
                <w:sz w:val="18"/>
                <w:szCs w:val="18"/>
              </w:rPr>
            </w:pPr>
            <w:r w:rsidRPr="001D41EA">
              <w:rPr>
                <w:rFonts w:cs="Arial"/>
                <w:sz w:val="18"/>
                <w:szCs w:val="18"/>
              </w:rPr>
              <w:t>-15,907</w:t>
            </w:r>
          </w:p>
        </w:tc>
        <w:tc>
          <w:tcPr>
            <w:tcW w:w="1021" w:type="dxa"/>
            <w:tcBorders>
              <w:top w:val="nil"/>
              <w:left w:val="nil"/>
              <w:bottom w:val="nil"/>
              <w:right w:val="nil"/>
            </w:tcBorders>
            <w:vAlign w:val="bottom"/>
          </w:tcPr>
          <w:p w14:paraId="4B7F26D1" w14:textId="12CC3C72" w:rsidR="00A66703" w:rsidRPr="001D41EA" w:rsidRDefault="00A66703" w:rsidP="001D41EA">
            <w:pPr>
              <w:spacing w:before="40" w:after="40"/>
              <w:jc w:val="right"/>
              <w:rPr>
                <w:rFonts w:cs="Arial"/>
                <w:sz w:val="18"/>
                <w:szCs w:val="18"/>
              </w:rPr>
            </w:pPr>
            <w:r w:rsidRPr="001D41EA">
              <w:rPr>
                <w:rFonts w:cs="Arial"/>
                <w:sz w:val="18"/>
                <w:szCs w:val="18"/>
              </w:rPr>
              <w:t>-54,948</w:t>
            </w:r>
          </w:p>
        </w:tc>
        <w:tc>
          <w:tcPr>
            <w:tcW w:w="1247" w:type="dxa"/>
            <w:tcBorders>
              <w:top w:val="nil"/>
              <w:left w:val="nil"/>
              <w:bottom w:val="nil"/>
              <w:right w:val="nil"/>
            </w:tcBorders>
            <w:shd w:val="clear" w:color="auto" w:fill="auto"/>
            <w:vAlign w:val="bottom"/>
          </w:tcPr>
          <w:p w14:paraId="68010082" w14:textId="403790FE" w:rsidR="00A66703" w:rsidRPr="001D41EA" w:rsidRDefault="00A66703" w:rsidP="001D41EA">
            <w:pPr>
              <w:spacing w:before="40" w:after="40"/>
              <w:jc w:val="right"/>
              <w:rPr>
                <w:rFonts w:cs="Arial"/>
                <w:b/>
                <w:sz w:val="18"/>
                <w:szCs w:val="18"/>
              </w:rPr>
            </w:pPr>
            <w:r w:rsidRPr="001D41EA">
              <w:rPr>
                <w:rFonts w:cs="Arial"/>
                <w:b/>
                <w:sz w:val="18"/>
                <w:szCs w:val="18"/>
              </w:rPr>
              <w:t>5,740,193</w:t>
            </w:r>
          </w:p>
        </w:tc>
      </w:tr>
      <w:tr w:rsidR="00A66703" w:rsidRPr="001D41EA" w14:paraId="228C12C8"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8FB95ED" w14:textId="77777777" w:rsidR="00A66703" w:rsidRPr="001D41EA" w:rsidRDefault="00A66703" w:rsidP="001D41EA">
            <w:pPr>
              <w:spacing w:before="40" w:after="40"/>
              <w:rPr>
                <w:rFonts w:cs="Arial"/>
                <w:sz w:val="18"/>
                <w:szCs w:val="18"/>
              </w:rPr>
            </w:pPr>
            <w:r w:rsidRPr="001D41EA">
              <w:rPr>
                <w:rFonts w:cs="Arial"/>
                <w:sz w:val="18"/>
                <w:szCs w:val="18"/>
              </w:rPr>
              <w:t>Glen Eira C</w:t>
            </w:r>
          </w:p>
        </w:tc>
        <w:tc>
          <w:tcPr>
            <w:tcW w:w="1134" w:type="dxa"/>
            <w:tcBorders>
              <w:top w:val="nil"/>
              <w:left w:val="single" w:sz="18" w:space="0" w:color="5F497A" w:themeColor="accent4" w:themeShade="BF"/>
              <w:bottom w:val="nil"/>
              <w:right w:val="nil"/>
            </w:tcBorders>
            <w:shd w:val="clear" w:color="auto" w:fill="auto"/>
            <w:vAlign w:val="bottom"/>
          </w:tcPr>
          <w:p w14:paraId="56B36EAD" w14:textId="2EC2473A" w:rsidR="00A66703" w:rsidRPr="001D41EA" w:rsidRDefault="00A66703" w:rsidP="001D41EA">
            <w:pPr>
              <w:spacing w:before="40" w:after="40"/>
              <w:jc w:val="right"/>
              <w:rPr>
                <w:rFonts w:cs="Arial"/>
                <w:sz w:val="18"/>
                <w:szCs w:val="18"/>
              </w:rPr>
            </w:pPr>
            <w:r w:rsidRPr="001D41EA">
              <w:rPr>
                <w:rFonts w:cs="Arial"/>
                <w:sz w:val="18"/>
                <w:szCs w:val="18"/>
              </w:rPr>
              <w:t>3,254,861</w:t>
            </w:r>
          </w:p>
        </w:tc>
        <w:tc>
          <w:tcPr>
            <w:tcW w:w="1134" w:type="dxa"/>
            <w:tcBorders>
              <w:top w:val="nil"/>
              <w:left w:val="nil"/>
              <w:bottom w:val="nil"/>
              <w:right w:val="nil"/>
            </w:tcBorders>
            <w:shd w:val="clear" w:color="auto" w:fill="auto"/>
            <w:vAlign w:val="bottom"/>
          </w:tcPr>
          <w:p w14:paraId="3CA9CAEC" w14:textId="6E334593" w:rsidR="00A66703" w:rsidRPr="001D41EA" w:rsidRDefault="00A66703" w:rsidP="001D41EA">
            <w:pPr>
              <w:spacing w:before="40" w:after="40"/>
              <w:jc w:val="right"/>
              <w:rPr>
                <w:rFonts w:cs="Arial"/>
                <w:sz w:val="18"/>
                <w:szCs w:val="18"/>
              </w:rPr>
            </w:pPr>
            <w:r w:rsidRPr="001D41EA">
              <w:rPr>
                <w:rFonts w:cs="Arial"/>
                <w:sz w:val="18"/>
                <w:szCs w:val="18"/>
              </w:rPr>
              <w:t>666,430</w:t>
            </w:r>
          </w:p>
        </w:tc>
        <w:tc>
          <w:tcPr>
            <w:tcW w:w="170" w:type="dxa"/>
            <w:tcBorders>
              <w:top w:val="nil"/>
              <w:left w:val="nil"/>
              <w:bottom w:val="nil"/>
              <w:right w:val="nil"/>
            </w:tcBorders>
            <w:vAlign w:val="bottom"/>
          </w:tcPr>
          <w:p w14:paraId="58DAA509"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56FA3A49" w14:textId="4000F982" w:rsidR="00A66703" w:rsidRPr="001D41EA" w:rsidRDefault="00A66703" w:rsidP="001D41EA">
            <w:pPr>
              <w:spacing w:before="40" w:after="40"/>
              <w:jc w:val="right"/>
              <w:rPr>
                <w:rFonts w:cs="Arial"/>
                <w:sz w:val="18"/>
                <w:szCs w:val="18"/>
              </w:rPr>
            </w:pPr>
            <w:r w:rsidRPr="001D41EA">
              <w:rPr>
                <w:rFonts w:cs="Arial"/>
                <w:sz w:val="18"/>
                <w:szCs w:val="18"/>
              </w:rPr>
              <w:t>-34,446</w:t>
            </w:r>
          </w:p>
        </w:tc>
        <w:tc>
          <w:tcPr>
            <w:tcW w:w="1021" w:type="dxa"/>
            <w:tcBorders>
              <w:top w:val="nil"/>
              <w:left w:val="nil"/>
              <w:bottom w:val="nil"/>
              <w:right w:val="nil"/>
            </w:tcBorders>
            <w:vAlign w:val="bottom"/>
          </w:tcPr>
          <w:p w14:paraId="589AF190" w14:textId="0070D9A8" w:rsidR="00A66703" w:rsidRPr="001D41EA" w:rsidRDefault="00A66703" w:rsidP="001D41EA">
            <w:pPr>
              <w:spacing w:before="40" w:after="40"/>
              <w:jc w:val="right"/>
              <w:rPr>
                <w:rFonts w:cs="Arial"/>
                <w:sz w:val="18"/>
                <w:szCs w:val="18"/>
              </w:rPr>
            </w:pPr>
            <w:r w:rsidRPr="001D41EA">
              <w:rPr>
                <w:rFonts w:cs="Arial"/>
                <w:sz w:val="18"/>
                <w:szCs w:val="18"/>
              </w:rPr>
              <w:t>-5,114</w:t>
            </w:r>
          </w:p>
        </w:tc>
        <w:tc>
          <w:tcPr>
            <w:tcW w:w="1021" w:type="dxa"/>
            <w:tcBorders>
              <w:top w:val="nil"/>
              <w:left w:val="nil"/>
              <w:bottom w:val="nil"/>
              <w:right w:val="nil"/>
            </w:tcBorders>
            <w:vAlign w:val="bottom"/>
          </w:tcPr>
          <w:p w14:paraId="4B32027E" w14:textId="045AA4F4" w:rsidR="00A66703" w:rsidRPr="001D41EA" w:rsidRDefault="00A66703" w:rsidP="001D41EA">
            <w:pPr>
              <w:spacing w:before="40" w:after="40"/>
              <w:jc w:val="right"/>
              <w:rPr>
                <w:rFonts w:cs="Arial"/>
                <w:sz w:val="18"/>
                <w:szCs w:val="18"/>
              </w:rPr>
            </w:pPr>
            <w:r w:rsidRPr="001D41EA">
              <w:rPr>
                <w:rFonts w:cs="Arial"/>
                <w:sz w:val="18"/>
                <w:szCs w:val="18"/>
              </w:rPr>
              <w:t>-39,560</w:t>
            </w:r>
          </w:p>
        </w:tc>
        <w:tc>
          <w:tcPr>
            <w:tcW w:w="1247" w:type="dxa"/>
            <w:tcBorders>
              <w:top w:val="nil"/>
              <w:left w:val="nil"/>
              <w:bottom w:val="nil"/>
              <w:right w:val="nil"/>
            </w:tcBorders>
            <w:shd w:val="clear" w:color="auto" w:fill="auto"/>
            <w:vAlign w:val="bottom"/>
          </w:tcPr>
          <w:p w14:paraId="58968C2A" w14:textId="2476CA7C" w:rsidR="00A66703" w:rsidRPr="001D41EA" w:rsidRDefault="00A66703" w:rsidP="001D41EA">
            <w:pPr>
              <w:spacing w:before="40" w:after="40"/>
              <w:jc w:val="right"/>
              <w:rPr>
                <w:rFonts w:cs="Arial"/>
                <w:b/>
                <w:sz w:val="18"/>
                <w:szCs w:val="18"/>
              </w:rPr>
            </w:pPr>
            <w:r w:rsidRPr="001D41EA">
              <w:rPr>
                <w:rFonts w:cs="Arial"/>
                <w:b/>
                <w:sz w:val="18"/>
                <w:szCs w:val="18"/>
              </w:rPr>
              <w:t>3,881,731</w:t>
            </w:r>
          </w:p>
        </w:tc>
      </w:tr>
      <w:tr w:rsidR="00A66703" w:rsidRPr="001D41EA" w14:paraId="09748E6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2B94F3B" w14:textId="77777777" w:rsidR="00A66703" w:rsidRPr="001D41EA" w:rsidRDefault="00A66703" w:rsidP="001D41EA">
            <w:pPr>
              <w:spacing w:before="40" w:after="40"/>
              <w:rPr>
                <w:rFonts w:cs="Arial"/>
                <w:sz w:val="18"/>
                <w:szCs w:val="18"/>
              </w:rPr>
            </w:pPr>
            <w:r w:rsidRPr="001D41EA">
              <w:rPr>
                <w:rFonts w:cs="Arial"/>
                <w:sz w:val="18"/>
                <w:szCs w:val="18"/>
              </w:rPr>
              <w:t>Glenelg S</w:t>
            </w:r>
          </w:p>
        </w:tc>
        <w:tc>
          <w:tcPr>
            <w:tcW w:w="1134" w:type="dxa"/>
            <w:tcBorders>
              <w:top w:val="nil"/>
              <w:left w:val="single" w:sz="18" w:space="0" w:color="5F497A" w:themeColor="accent4" w:themeShade="BF"/>
              <w:bottom w:val="nil"/>
              <w:right w:val="nil"/>
            </w:tcBorders>
            <w:shd w:val="clear" w:color="auto" w:fill="auto"/>
            <w:vAlign w:val="bottom"/>
          </w:tcPr>
          <w:p w14:paraId="4A217CB3" w14:textId="7C42AB9A" w:rsidR="00A66703" w:rsidRPr="001D41EA" w:rsidRDefault="00A66703" w:rsidP="001D41EA">
            <w:pPr>
              <w:spacing w:before="40" w:after="40"/>
              <w:jc w:val="right"/>
              <w:rPr>
                <w:rFonts w:cs="Arial"/>
                <w:sz w:val="18"/>
                <w:szCs w:val="18"/>
              </w:rPr>
            </w:pPr>
            <w:r w:rsidRPr="001D41EA">
              <w:rPr>
                <w:rFonts w:cs="Arial"/>
                <w:sz w:val="18"/>
                <w:szCs w:val="18"/>
              </w:rPr>
              <w:t>4,938,828</w:t>
            </w:r>
          </w:p>
        </w:tc>
        <w:tc>
          <w:tcPr>
            <w:tcW w:w="1134" w:type="dxa"/>
            <w:tcBorders>
              <w:top w:val="nil"/>
              <w:left w:val="nil"/>
              <w:bottom w:val="nil"/>
              <w:right w:val="nil"/>
            </w:tcBorders>
            <w:shd w:val="clear" w:color="auto" w:fill="auto"/>
            <w:vAlign w:val="bottom"/>
          </w:tcPr>
          <w:p w14:paraId="01B9B905" w14:textId="24BE2879" w:rsidR="00A66703" w:rsidRPr="001D41EA" w:rsidRDefault="00A66703" w:rsidP="001D41EA">
            <w:pPr>
              <w:spacing w:before="40" w:after="40"/>
              <w:jc w:val="right"/>
              <w:rPr>
                <w:rFonts w:cs="Arial"/>
                <w:sz w:val="18"/>
                <w:szCs w:val="18"/>
              </w:rPr>
            </w:pPr>
            <w:r w:rsidRPr="001D41EA">
              <w:rPr>
                <w:rFonts w:cs="Arial"/>
                <w:sz w:val="18"/>
                <w:szCs w:val="18"/>
              </w:rPr>
              <w:t>3,556,389</w:t>
            </w:r>
          </w:p>
        </w:tc>
        <w:tc>
          <w:tcPr>
            <w:tcW w:w="170" w:type="dxa"/>
            <w:tcBorders>
              <w:top w:val="nil"/>
              <w:left w:val="nil"/>
              <w:bottom w:val="nil"/>
              <w:right w:val="nil"/>
            </w:tcBorders>
            <w:vAlign w:val="bottom"/>
          </w:tcPr>
          <w:p w14:paraId="4CFBAE10"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6E516CF6" w14:textId="2E236D05" w:rsidR="00A66703" w:rsidRPr="001D41EA" w:rsidRDefault="00A66703" w:rsidP="001D41EA">
            <w:pPr>
              <w:spacing w:before="40" w:after="40"/>
              <w:jc w:val="right"/>
              <w:rPr>
                <w:rFonts w:cs="Arial"/>
                <w:sz w:val="18"/>
                <w:szCs w:val="18"/>
              </w:rPr>
            </w:pPr>
            <w:r w:rsidRPr="001D41EA">
              <w:rPr>
                <w:rFonts w:cs="Arial"/>
                <w:sz w:val="18"/>
                <w:szCs w:val="18"/>
              </w:rPr>
              <w:t>-51,292</w:t>
            </w:r>
          </w:p>
        </w:tc>
        <w:tc>
          <w:tcPr>
            <w:tcW w:w="1021" w:type="dxa"/>
            <w:tcBorders>
              <w:top w:val="nil"/>
              <w:left w:val="nil"/>
              <w:bottom w:val="nil"/>
              <w:right w:val="nil"/>
            </w:tcBorders>
            <w:vAlign w:val="bottom"/>
          </w:tcPr>
          <w:p w14:paraId="44CDFF58" w14:textId="201A2219" w:rsidR="00A66703" w:rsidRPr="001D41EA" w:rsidRDefault="00A66703" w:rsidP="001D41EA">
            <w:pPr>
              <w:spacing w:before="40" w:after="40"/>
              <w:jc w:val="right"/>
              <w:rPr>
                <w:rFonts w:cs="Arial"/>
                <w:sz w:val="18"/>
                <w:szCs w:val="18"/>
              </w:rPr>
            </w:pPr>
            <w:r w:rsidRPr="001D41EA">
              <w:rPr>
                <w:rFonts w:cs="Arial"/>
                <w:sz w:val="18"/>
                <w:szCs w:val="18"/>
              </w:rPr>
              <w:t>-27,441</w:t>
            </w:r>
          </w:p>
        </w:tc>
        <w:tc>
          <w:tcPr>
            <w:tcW w:w="1021" w:type="dxa"/>
            <w:tcBorders>
              <w:top w:val="nil"/>
              <w:left w:val="nil"/>
              <w:bottom w:val="nil"/>
              <w:right w:val="nil"/>
            </w:tcBorders>
            <w:vAlign w:val="bottom"/>
          </w:tcPr>
          <w:p w14:paraId="2DC9B50D" w14:textId="259AE549" w:rsidR="00A66703" w:rsidRPr="001D41EA" w:rsidRDefault="00A66703" w:rsidP="001D41EA">
            <w:pPr>
              <w:spacing w:before="40" w:after="40"/>
              <w:jc w:val="right"/>
              <w:rPr>
                <w:rFonts w:cs="Arial"/>
                <w:sz w:val="18"/>
                <w:szCs w:val="18"/>
              </w:rPr>
            </w:pPr>
            <w:r w:rsidRPr="001D41EA">
              <w:rPr>
                <w:rFonts w:cs="Arial"/>
                <w:sz w:val="18"/>
                <w:szCs w:val="18"/>
              </w:rPr>
              <w:t>-78,733</w:t>
            </w:r>
          </w:p>
        </w:tc>
        <w:tc>
          <w:tcPr>
            <w:tcW w:w="1247" w:type="dxa"/>
            <w:tcBorders>
              <w:top w:val="nil"/>
              <w:left w:val="nil"/>
              <w:bottom w:val="nil"/>
              <w:right w:val="nil"/>
            </w:tcBorders>
            <w:shd w:val="clear" w:color="auto" w:fill="auto"/>
            <w:vAlign w:val="bottom"/>
          </w:tcPr>
          <w:p w14:paraId="2E3384A6" w14:textId="425AF0F2" w:rsidR="00A66703" w:rsidRPr="001D41EA" w:rsidRDefault="00A66703" w:rsidP="001D41EA">
            <w:pPr>
              <w:spacing w:before="40" w:after="40"/>
              <w:jc w:val="right"/>
              <w:rPr>
                <w:rFonts w:cs="Arial"/>
                <w:b/>
                <w:sz w:val="18"/>
                <w:szCs w:val="18"/>
              </w:rPr>
            </w:pPr>
            <w:r w:rsidRPr="001D41EA">
              <w:rPr>
                <w:rFonts w:cs="Arial"/>
                <w:b/>
                <w:sz w:val="18"/>
                <w:szCs w:val="18"/>
              </w:rPr>
              <w:t>8,416,484</w:t>
            </w:r>
          </w:p>
        </w:tc>
      </w:tr>
      <w:tr w:rsidR="00A66703" w:rsidRPr="001D41EA" w14:paraId="0A6A8E0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786C9F2" w14:textId="77777777" w:rsidR="00A66703" w:rsidRPr="001D41EA" w:rsidRDefault="00A66703" w:rsidP="001D41EA">
            <w:pPr>
              <w:spacing w:before="40" w:after="40"/>
              <w:rPr>
                <w:rFonts w:cs="Arial"/>
                <w:sz w:val="18"/>
                <w:szCs w:val="18"/>
              </w:rPr>
            </w:pPr>
            <w:r w:rsidRPr="001D41EA">
              <w:rPr>
                <w:rFonts w:cs="Arial"/>
                <w:sz w:val="18"/>
                <w:szCs w:val="18"/>
              </w:rPr>
              <w:t>Golden Plains S</w:t>
            </w:r>
          </w:p>
        </w:tc>
        <w:tc>
          <w:tcPr>
            <w:tcW w:w="1134" w:type="dxa"/>
            <w:tcBorders>
              <w:top w:val="nil"/>
              <w:left w:val="single" w:sz="18" w:space="0" w:color="5F497A" w:themeColor="accent4" w:themeShade="BF"/>
              <w:bottom w:val="nil"/>
              <w:right w:val="nil"/>
            </w:tcBorders>
            <w:shd w:val="clear" w:color="auto" w:fill="auto"/>
            <w:vAlign w:val="bottom"/>
          </w:tcPr>
          <w:p w14:paraId="68FE3748" w14:textId="35DA3C12" w:rsidR="00A66703" w:rsidRPr="001D41EA" w:rsidRDefault="00A66703" w:rsidP="001D41EA">
            <w:pPr>
              <w:spacing w:before="40" w:after="40"/>
              <w:jc w:val="right"/>
              <w:rPr>
                <w:rFonts w:cs="Arial"/>
                <w:sz w:val="18"/>
                <w:szCs w:val="18"/>
              </w:rPr>
            </w:pPr>
            <w:r w:rsidRPr="001D41EA">
              <w:rPr>
                <w:rFonts w:cs="Arial"/>
                <w:sz w:val="18"/>
                <w:szCs w:val="18"/>
              </w:rPr>
              <w:t>3,861,218</w:t>
            </w:r>
          </w:p>
        </w:tc>
        <w:tc>
          <w:tcPr>
            <w:tcW w:w="1134" w:type="dxa"/>
            <w:tcBorders>
              <w:top w:val="nil"/>
              <w:left w:val="nil"/>
              <w:bottom w:val="nil"/>
              <w:right w:val="nil"/>
            </w:tcBorders>
            <w:shd w:val="clear" w:color="auto" w:fill="auto"/>
            <w:vAlign w:val="bottom"/>
          </w:tcPr>
          <w:p w14:paraId="7B9BB459" w14:textId="103F554F" w:rsidR="00A66703" w:rsidRPr="001D41EA" w:rsidRDefault="00A66703" w:rsidP="001D41EA">
            <w:pPr>
              <w:spacing w:before="40" w:after="40"/>
              <w:jc w:val="right"/>
              <w:rPr>
                <w:rFonts w:cs="Arial"/>
                <w:sz w:val="18"/>
                <w:szCs w:val="18"/>
              </w:rPr>
            </w:pPr>
            <w:r w:rsidRPr="001D41EA">
              <w:rPr>
                <w:rFonts w:cs="Arial"/>
                <w:sz w:val="18"/>
                <w:szCs w:val="18"/>
              </w:rPr>
              <w:t>2,102,030</w:t>
            </w:r>
          </w:p>
        </w:tc>
        <w:tc>
          <w:tcPr>
            <w:tcW w:w="170" w:type="dxa"/>
            <w:tcBorders>
              <w:top w:val="nil"/>
              <w:left w:val="nil"/>
              <w:bottom w:val="nil"/>
              <w:right w:val="nil"/>
            </w:tcBorders>
            <w:vAlign w:val="bottom"/>
          </w:tcPr>
          <w:p w14:paraId="1F62A974"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270B8901" w14:textId="68B87836" w:rsidR="00A66703" w:rsidRPr="001D41EA" w:rsidRDefault="00A66703" w:rsidP="001D41EA">
            <w:pPr>
              <w:spacing w:before="40" w:after="40"/>
              <w:jc w:val="right"/>
              <w:rPr>
                <w:rFonts w:cs="Arial"/>
                <w:sz w:val="18"/>
                <w:szCs w:val="18"/>
              </w:rPr>
            </w:pPr>
            <w:r w:rsidRPr="001D41EA">
              <w:rPr>
                <w:rFonts w:cs="Arial"/>
                <w:sz w:val="18"/>
                <w:szCs w:val="18"/>
              </w:rPr>
              <w:t>-40,520</w:t>
            </w:r>
          </w:p>
        </w:tc>
        <w:tc>
          <w:tcPr>
            <w:tcW w:w="1021" w:type="dxa"/>
            <w:tcBorders>
              <w:top w:val="nil"/>
              <w:left w:val="nil"/>
              <w:bottom w:val="nil"/>
              <w:right w:val="nil"/>
            </w:tcBorders>
            <w:vAlign w:val="bottom"/>
          </w:tcPr>
          <w:p w14:paraId="0093B83E" w14:textId="07E89885" w:rsidR="00A66703" w:rsidRPr="001D41EA" w:rsidRDefault="00A66703" w:rsidP="001D41EA">
            <w:pPr>
              <w:spacing w:before="40" w:after="40"/>
              <w:jc w:val="right"/>
              <w:rPr>
                <w:rFonts w:cs="Arial"/>
                <w:sz w:val="18"/>
                <w:szCs w:val="18"/>
              </w:rPr>
            </w:pPr>
            <w:r w:rsidRPr="001D41EA">
              <w:rPr>
                <w:rFonts w:cs="Arial"/>
                <w:sz w:val="18"/>
                <w:szCs w:val="18"/>
              </w:rPr>
              <w:t>-16,097</w:t>
            </w:r>
          </w:p>
        </w:tc>
        <w:tc>
          <w:tcPr>
            <w:tcW w:w="1021" w:type="dxa"/>
            <w:tcBorders>
              <w:top w:val="nil"/>
              <w:left w:val="nil"/>
              <w:bottom w:val="nil"/>
              <w:right w:val="nil"/>
            </w:tcBorders>
            <w:vAlign w:val="bottom"/>
          </w:tcPr>
          <w:p w14:paraId="3E0FE3F0" w14:textId="012FE52F" w:rsidR="00A66703" w:rsidRPr="001D41EA" w:rsidRDefault="00A66703" w:rsidP="001D41EA">
            <w:pPr>
              <w:spacing w:before="40" w:after="40"/>
              <w:jc w:val="right"/>
              <w:rPr>
                <w:rFonts w:cs="Arial"/>
                <w:sz w:val="18"/>
                <w:szCs w:val="18"/>
              </w:rPr>
            </w:pPr>
            <w:r w:rsidRPr="001D41EA">
              <w:rPr>
                <w:rFonts w:cs="Arial"/>
                <w:sz w:val="18"/>
                <w:szCs w:val="18"/>
              </w:rPr>
              <w:t>-56,617</w:t>
            </w:r>
          </w:p>
        </w:tc>
        <w:tc>
          <w:tcPr>
            <w:tcW w:w="1247" w:type="dxa"/>
            <w:tcBorders>
              <w:top w:val="nil"/>
              <w:left w:val="nil"/>
              <w:bottom w:val="nil"/>
              <w:right w:val="nil"/>
            </w:tcBorders>
            <w:shd w:val="clear" w:color="auto" w:fill="auto"/>
            <w:vAlign w:val="bottom"/>
          </w:tcPr>
          <w:p w14:paraId="02A8379F" w14:textId="2577FEC3" w:rsidR="00A66703" w:rsidRPr="001D41EA" w:rsidRDefault="00A66703" w:rsidP="001D41EA">
            <w:pPr>
              <w:spacing w:before="40" w:after="40"/>
              <w:jc w:val="right"/>
              <w:rPr>
                <w:rFonts w:cs="Arial"/>
                <w:b/>
                <w:sz w:val="18"/>
                <w:szCs w:val="18"/>
              </w:rPr>
            </w:pPr>
            <w:r w:rsidRPr="001D41EA">
              <w:rPr>
                <w:rFonts w:cs="Arial"/>
                <w:b/>
                <w:sz w:val="18"/>
                <w:szCs w:val="18"/>
              </w:rPr>
              <w:t>5,906,631</w:t>
            </w:r>
          </w:p>
        </w:tc>
      </w:tr>
      <w:tr w:rsidR="00A66703" w:rsidRPr="001D41EA" w14:paraId="37BCF895"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4D67B88" w14:textId="77777777" w:rsidR="00A66703" w:rsidRPr="001D41EA" w:rsidRDefault="00A66703" w:rsidP="001D41EA">
            <w:pPr>
              <w:spacing w:before="40" w:after="40"/>
              <w:rPr>
                <w:rFonts w:cs="Arial"/>
                <w:sz w:val="18"/>
                <w:szCs w:val="18"/>
              </w:rPr>
            </w:pPr>
            <w:r w:rsidRPr="001D41EA">
              <w:rPr>
                <w:rFonts w:cs="Arial"/>
                <w:sz w:val="18"/>
                <w:szCs w:val="18"/>
              </w:rPr>
              <w:t>Greater Bendigo C</w:t>
            </w:r>
          </w:p>
        </w:tc>
        <w:tc>
          <w:tcPr>
            <w:tcW w:w="1134" w:type="dxa"/>
            <w:tcBorders>
              <w:top w:val="nil"/>
              <w:left w:val="single" w:sz="18" w:space="0" w:color="5F497A" w:themeColor="accent4" w:themeShade="BF"/>
              <w:bottom w:val="nil"/>
              <w:right w:val="nil"/>
            </w:tcBorders>
            <w:shd w:val="clear" w:color="auto" w:fill="auto"/>
            <w:vAlign w:val="bottom"/>
          </w:tcPr>
          <w:p w14:paraId="234DDF99" w14:textId="07754BA5" w:rsidR="00A66703" w:rsidRPr="001D41EA" w:rsidRDefault="00A66703" w:rsidP="001D41EA">
            <w:pPr>
              <w:spacing w:before="40" w:after="40"/>
              <w:jc w:val="right"/>
              <w:rPr>
                <w:rFonts w:cs="Arial"/>
                <w:sz w:val="18"/>
                <w:szCs w:val="18"/>
              </w:rPr>
            </w:pPr>
            <w:r w:rsidRPr="001D41EA">
              <w:rPr>
                <w:rFonts w:cs="Arial"/>
                <w:sz w:val="18"/>
                <w:szCs w:val="18"/>
              </w:rPr>
              <w:t>13,680,252</w:t>
            </w:r>
          </w:p>
        </w:tc>
        <w:tc>
          <w:tcPr>
            <w:tcW w:w="1134" w:type="dxa"/>
            <w:tcBorders>
              <w:top w:val="nil"/>
              <w:left w:val="nil"/>
              <w:bottom w:val="nil"/>
              <w:right w:val="nil"/>
            </w:tcBorders>
            <w:shd w:val="clear" w:color="auto" w:fill="auto"/>
            <w:vAlign w:val="bottom"/>
          </w:tcPr>
          <w:p w14:paraId="7D87BAF2" w14:textId="39E3BEE3" w:rsidR="00A66703" w:rsidRPr="001D41EA" w:rsidRDefault="00A66703" w:rsidP="001D41EA">
            <w:pPr>
              <w:spacing w:before="40" w:after="40"/>
              <w:jc w:val="right"/>
              <w:rPr>
                <w:rFonts w:cs="Arial"/>
                <w:sz w:val="18"/>
                <w:szCs w:val="18"/>
              </w:rPr>
            </w:pPr>
            <w:r w:rsidRPr="001D41EA">
              <w:rPr>
                <w:rFonts w:cs="Arial"/>
                <w:sz w:val="18"/>
                <w:szCs w:val="18"/>
              </w:rPr>
              <w:t>3,552,641</w:t>
            </w:r>
          </w:p>
        </w:tc>
        <w:tc>
          <w:tcPr>
            <w:tcW w:w="170" w:type="dxa"/>
            <w:tcBorders>
              <w:top w:val="nil"/>
              <w:left w:val="nil"/>
              <w:bottom w:val="nil"/>
              <w:right w:val="nil"/>
            </w:tcBorders>
            <w:vAlign w:val="bottom"/>
          </w:tcPr>
          <w:p w14:paraId="5B1BCD9C"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54ABCD49" w14:textId="711EE6A9" w:rsidR="00A66703" w:rsidRPr="001D41EA" w:rsidRDefault="00A66703" w:rsidP="001D41EA">
            <w:pPr>
              <w:spacing w:before="40" w:after="40"/>
              <w:jc w:val="right"/>
              <w:rPr>
                <w:rFonts w:cs="Arial"/>
                <w:sz w:val="18"/>
                <w:szCs w:val="18"/>
              </w:rPr>
            </w:pPr>
            <w:r w:rsidRPr="001D41EA">
              <w:rPr>
                <w:rFonts w:cs="Arial"/>
                <w:sz w:val="18"/>
                <w:szCs w:val="18"/>
              </w:rPr>
              <w:t>-142,621</w:t>
            </w:r>
          </w:p>
        </w:tc>
        <w:tc>
          <w:tcPr>
            <w:tcW w:w="1021" w:type="dxa"/>
            <w:tcBorders>
              <w:top w:val="nil"/>
              <w:left w:val="nil"/>
              <w:bottom w:val="nil"/>
              <w:right w:val="nil"/>
            </w:tcBorders>
            <w:vAlign w:val="bottom"/>
          </w:tcPr>
          <w:p w14:paraId="5DEF4DC6" w14:textId="4983E1F9" w:rsidR="00A66703" w:rsidRPr="001D41EA" w:rsidRDefault="00A66703" w:rsidP="001D41EA">
            <w:pPr>
              <w:spacing w:before="40" w:after="40"/>
              <w:jc w:val="right"/>
              <w:rPr>
                <w:rFonts w:cs="Arial"/>
                <w:sz w:val="18"/>
                <w:szCs w:val="18"/>
              </w:rPr>
            </w:pPr>
            <w:r w:rsidRPr="001D41EA">
              <w:rPr>
                <w:rFonts w:cs="Arial"/>
                <w:sz w:val="18"/>
                <w:szCs w:val="18"/>
              </w:rPr>
              <w:t>-27,107</w:t>
            </w:r>
          </w:p>
        </w:tc>
        <w:tc>
          <w:tcPr>
            <w:tcW w:w="1021" w:type="dxa"/>
            <w:tcBorders>
              <w:top w:val="nil"/>
              <w:left w:val="nil"/>
              <w:bottom w:val="nil"/>
              <w:right w:val="nil"/>
            </w:tcBorders>
            <w:vAlign w:val="bottom"/>
          </w:tcPr>
          <w:p w14:paraId="4087801E" w14:textId="6380DB9B" w:rsidR="00A66703" w:rsidRPr="001D41EA" w:rsidRDefault="00A66703" w:rsidP="001D41EA">
            <w:pPr>
              <w:spacing w:before="40" w:after="40"/>
              <w:jc w:val="right"/>
              <w:rPr>
                <w:rFonts w:cs="Arial"/>
                <w:sz w:val="18"/>
                <w:szCs w:val="18"/>
              </w:rPr>
            </w:pPr>
            <w:r w:rsidRPr="001D41EA">
              <w:rPr>
                <w:rFonts w:cs="Arial"/>
                <w:sz w:val="18"/>
                <w:szCs w:val="18"/>
              </w:rPr>
              <w:t>-169,728</w:t>
            </w:r>
          </w:p>
        </w:tc>
        <w:tc>
          <w:tcPr>
            <w:tcW w:w="1247" w:type="dxa"/>
            <w:tcBorders>
              <w:top w:val="nil"/>
              <w:left w:val="nil"/>
              <w:bottom w:val="nil"/>
              <w:right w:val="nil"/>
            </w:tcBorders>
            <w:shd w:val="clear" w:color="auto" w:fill="auto"/>
            <w:vAlign w:val="bottom"/>
          </w:tcPr>
          <w:p w14:paraId="294ADAE9" w14:textId="6175B474" w:rsidR="00A66703" w:rsidRPr="001D41EA" w:rsidRDefault="00A66703" w:rsidP="001D41EA">
            <w:pPr>
              <w:spacing w:before="40" w:after="40"/>
              <w:jc w:val="right"/>
              <w:rPr>
                <w:rFonts w:cs="Arial"/>
                <w:b/>
                <w:sz w:val="18"/>
                <w:szCs w:val="18"/>
              </w:rPr>
            </w:pPr>
            <w:r w:rsidRPr="001D41EA">
              <w:rPr>
                <w:rFonts w:cs="Arial"/>
                <w:b/>
                <w:sz w:val="18"/>
                <w:szCs w:val="18"/>
              </w:rPr>
              <w:t>17,063,165</w:t>
            </w:r>
          </w:p>
        </w:tc>
      </w:tr>
      <w:tr w:rsidR="00A66703" w:rsidRPr="001D41EA" w14:paraId="141AAC8A"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7994118" w14:textId="77777777" w:rsidR="00A66703" w:rsidRPr="001D41EA" w:rsidRDefault="00A66703" w:rsidP="001D41EA">
            <w:pPr>
              <w:spacing w:before="40" w:after="40"/>
              <w:rPr>
                <w:rFonts w:cs="Arial"/>
                <w:sz w:val="18"/>
                <w:szCs w:val="18"/>
              </w:rPr>
            </w:pPr>
            <w:r w:rsidRPr="001D41EA">
              <w:rPr>
                <w:rFonts w:cs="Arial"/>
                <w:sz w:val="18"/>
                <w:szCs w:val="18"/>
              </w:rPr>
              <w:t>Greater Dandenong C</w:t>
            </w:r>
          </w:p>
        </w:tc>
        <w:tc>
          <w:tcPr>
            <w:tcW w:w="1134" w:type="dxa"/>
            <w:tcBorders>
              <w:top w:val="nil"/>
              <w:left w:val="single" w:sz="18" w:space="0" w:color="5F497A" w:themeColor="accent4" w:themeShade="BF"/>
              <w:bottom w:val="nil"/>
              <w:right w:val="nil"/>
            </w:tcBorders>
            <w:shd w:val="clear" w:color="auto" w:fill="auto"/>
            <w:vAlign w:val="bottom"/>
          </w:tcPr>
          <w:p w14:paraId="7D63352B" w14:textId="7B98BC99" w:rsidR="00A66703" w:rsidRPr="001D41EA" w:rsidRDefault="00A66703" w:rsidP="001D41EA">
            <w:pPr>
              <w:spacing w:before="40" w:after="40"/>
              <w:jc w:val="right"/>
              <w:rPr>
                <w:rFonts w:cs="Arial"/>
                <w:sz w:val="18"/>
                <w:szCs w:val="18"/>
              </w:rPr>
            </w:pPr>
            <w:r w:rsidRPr="001D41EA">
              <w:rPr>
                <w:rFonts w:cs="Arial"/>
                <w:sz w:val="18"/>
                <w:szCs w:val="18"/>
              </w:rPr>
              <w:t>10,470,725</w:t>
            </w:r>
          </w:p>
        </w:tc>
        <w:tc>
          <w:tcPr>
            <w:tcW w:w="1134" w:type="dxa"/>
            <w:tcBorders>
              <w:top w:val="nil"/>
              <w:left w:val="nil"/>
              <w:bottom w:val="nil"/>
              <w:right w:val="nil"/>
            </w:tcBorders>
            <w:shd w:val="clear" w:color="auto" w:fill="auto"/>
            <w:vAlign w:val="bottom"/>
          </w:tcPr>
          <w:p w14:paraId="61FBB1B3" w14:textId="2D884074" w:rsidR="00A66703" w:rsidRPr="001D41EA" w:rsidRDefault="00A66703" w:rsidP="001D41EA">
            <w:pPr>
              <w:spacing w:before="40" w:after="40"/>
              <w:jc w:val="right"/>
              <w:rPr>
                <w:rFonts w:cs="Arial"/>
                <w:sz w:val="18"/>
                <w:szCs w:val="18"/>
              </w:rPr>
            </w:pPr>
            <w:r w:rsidRPr="001D41EA">
              <w:rPr>
                <w:rFonts w:cs="Arial"/>
                <w:sz w:val="18"/>
                <w:szCs w:val="18"/>
              </w:rPr>
              <w:t>1,609,479</w:t>
            </w:r>
          </w:p>
        </w:tc>
        <w:tc>
          <w:tcPr>
            <w:tcW w:w="170" w:type="dxa"/>
            <w:tcBorders>
              <w:top w:val="nil"/>
              <w:left w:val="nil"/>
              <w:bottom w:val="nil"/>
              <w:right w:val="nil"/>
            </w:tcBorders>
            <w:vAlign w:val="bottom"/>
          </w:tcPr>
          <w:p w14:paraId="0FDCFC44"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2BC6872F" w14:textId="5F1D7A2E" w:rsidR="00A66703" w:rsidRPr="001D41EA" w:rsidRDefault="00A66703" w:rsidP="001D41EA">
            <w:pPr>
              <w:spacing w:before="40" w:after="40"/>
              <w:jc w:val="right"/>
              <w:rPr>
                <w:rFonts w:cs="Arial"/>
                <w:sz w:val="18"/>
                <w:szCs w:val="18"/>
              </w:rPr>
            </w:pPr>
            <w:r w:rsidRPr="001D41EA">
              <w:rPr>
                <w:rFonts w:cs="Arial"/>
                <w:sz w:val="18"/>
                <w:szCs w:val="18"/>
              </w:rPr>
              <w:t>-112,932</w:t>
            </w:r>
          </w:p>
        </w:tc>
        <w:tc>
          <w:tcPr>
            <w:tcW w:w="1021" w:type="dxa"/>
            <w:tcBorders>
              <w:top w:val="nil"/>
              <w:left w:val="nil"/>
              <w:bottom w:val="nil"/>
              <w:right w:val="nil"/>
            </w:tcBorders>
            <w:vAlign w:val="bottom"/>
          </w:tcPr>
          <w:p w14:paraId="7A3CDEAD" w14:textId="08E520F7" w:rsidR="00A66703" w:rsidRPr="001D41EA" w:rsidRDefault="00A66703" w:rsidP="001D41EA">
            <w:pPr>
              <w:spacing w:before="40" w:after="40"/>
              <w:jc w:val="right"/>
              <w:rPr>
                <w:rFonts w:cs="Arial"/>
                <w:sz w:val="18"/>
                <w:szCs w:val="18"/>
              </w:rPr>
            </w:pPr>
            <w:r w:rsidRPr="001D41EA">
              <w:rPr>
                <w:rFonts w:cs="Arial"/>
                <w:sz w:val="18"/>
                <w:szCs w:val="18"/>
              </w:rPr>
              <w:t>-12,284</w:t>
            </w:r>
          </w:p>
        </w:tc>
        <w:tc>
          <w:tcPr>
            <w:tcW w:w="1021" w:type="dxa"/>
            <w:tcBorders>
              <w:top w:val="nil"/>
              <w:left w:val="nil"/>
              <w:bottom w:val="nil"/>
              <w:right w:val="nil"/>
            </w:tcBorders>
            <w:vAlign w:val="bottom"/>
          </w:tcPr>
          <w:p w14:paraId="0C37936E" w14:textId="592E4692" w:rsidR="00A66703" w:rsidRPr="001D41EA" w:rsidRDefault="00A66703" w:rsidP="001D41EA">
            <w:pPr>
              <w:spacing w:before="40" w:after="40"/>
              <w:jc w:val="right"/>
              <w:rPr>
                <w:rFonts w:cs="Arial"/>
                <w:sz w:val="18"/>
                <w:szCs w:val="18"/>
              </w:rPr>
            </w:pPr>
            <w:r w:rsidRPr="001D41EA">
              <w:rPr>
                <w:rFonts w:cs="Arial"/>
                <w:sz w:val="18"/>
                <w:szCs w:val="18"/>
              </w:rPr>
              <w:t>-125,216</w:t>
            </w:r>
          </w:p>
        </w:tc>
        <w:tc>
          <w:tcPr>
            <w:tcW w:w="1247" w:type="dxa"/>
            <w:tcBorders>
              <w:top w:val="nil"/>
              <w:left w:val="nil"/>
              <w:bottom w:val="nil"/>
              <w:right w:val="nil"/>
            </w:tcBorders>
            <w:shd w:val="clear" w:color="auto" w:fill="auto"/>
            <w:vAlign w:val="bottom"/>
          </w:tcPr>
          <w:p w14:paraId="4B1F8ABF" w14:textId="5F563AA2" w:rsidR="00A66703" w:rsidRPr="001D41EA" w:rsidRDefault="00A66703" w:rsidP="001D41EA">
            <w:pPr>
              <w:spacing w:before="40" w:after="40"/>
              <w:jc w:val="right"/>
              <w:rPr>
                <w:rFonts w:cs="Arial"/>
                <w:b/>
                <w:sz w:val="18"/>
                <w:szCs w:val="18"/>
              </w:rPr>
            </w:pPr>
            <w:r w:rsidRPr="001D41EA">
              <w:rPr>
                <w:rFonts w:cs="Arial"/>
                <w:b/>
                <w:sz w:val="18"/>
                <w:szCs w:val="18"/>
              </w:rPr>
              <w:t>11,954,988</w:t>
            </w:r>
          </w:p>
        </w:tc>
      </w:tr>
      <w:tr w:rsidR="00A66703" w:rsidRPr="001D41EA" w14:paraId="279A11D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E59D3DE" w14:textId="77777777" w:rsidR="00A66703" w:rsidRPr="001D41EA" w:rsidRDefault="00A66703" w:rsidP="001D41EA">
            <w:pPr>
              <w:spacing w:before="40" w:after="40"/>
              <w:rPr>
                <w:rFonts w:cs="Arial"/>
                <w:sz w:val="18"/>
                <w:szCs w:val="18"/>
              </w:rPr>
            </w:pPr>
            <w:r w:rsidRPr="001D41EA">
              <w:rPr>
                <w:rFonts w:cs="Arial"/>
                <w:sz w:val="18"/>
                <w:szCs w:val="18"/>
              </w:rPr>
              <w:t>Greater Geelong C</w:t>
            </w:r>
          </w:p>
        </w:tc>
        <w:tc>
          <w:tcPr>
            <w:tcW w:w="1134" w:type="dxa"/>
            <w:tcBorders>
              <w:top w:val="nil"/>
              <w:left w:val="single" w:sz="18" w:space="0" w:color="5F497A" w:themeColor="accent4" w:themeShade="BF"/>
              <w:bottom w:val="nil"/>
              <w:right w:val="nil"/>
            </w:tcBorders>
            <w:shd w:val="clear" w:color="auto" w:fill="auto"/>
            <w:vAlign w:val="bottom"/>
          </w:tcPr>
          <w:p w14:paraId="3721CC28" w14:textId="0A1452C3" w:rsidR="00A66703" w:rsidRPr="001D41EA" w:rsidRDefault="00A66703" w:rsidP="001D41EA">
            <w:pPr>
              <w:spacing w:before="40" w:after="40"/>
              <w:jc w:val="right"/>
              <w:rPr>
                <w:rFonts w:cs="Arial"/>
                <w:sz w:val="18"/>
                <w:szCs w:val="18"/>
              </w:rPr>
            </w:pPr>
            <w:r w:rsidRPr="001D41EA">
              <w:rPr>
                <w:rFonts w:cs="Arial"/>
                <w:sz w:val="18"/>
                <w:szCs w:val="18"/>
              </w:rPr>
              <w:t>18,492,970</w:t>
            </w:r>
          </w:p>
        </w:tc>
        <w:tc>
          <w:tcPr>
            <w:tcW w:w="1134" w:type="dxa"/>
            <w:tcBorders>
              <w:top w:val="nil"/>
              <w:left w:val="nil"/>
              <w:bottom w:val="nil"/>
              <w:right w:val="nil"/>
            </w:tcBorders>
            <w:shd w:val="clear" w:color="auto" w:fill="auto"/>
            <w:vAlign w:val="bottom"/>
          </w:tcPr>
          <w:p w14:paraId="26A1F293" w14:textId="48B7CA9F" w:rsidR="00A66703" w:rsidRPr="001D41EA" w:rsidRDefault="00A66703" w:rsidP="001D41EA">
            <w:pPr>
              <w:spacing w:before="40" w:after="40"/>
              <w:jc w:val="right"/>
              <w:rPr>
                <w:rFonts w:cs="Arial"/>
                <w:sz w:val="18"/>
                <w:szCs w:val="18"/>
              </w:rPr>
            </w:pPr>
            <w:r w:rsidRPr="001D41EA">
              <w:rPr>
                <w:rFonts w:cs="Arial"/>
                <w:sz w:val="18"/>
                <w:szCs w:val="18"/>
              </w:rPr>
              <w:t>3,487,575</w:t>
            </w:r>
          </w:p>
        </w:tc>
        <w:tc>
          <w:tcPr>
            <w:tcW w:w="170" w:type="dxa"/>
            <w:tcBorders>
              <w:top w:val="nil"/>
              <w:left w:val="nil"/>
              <w:bottom w:val="nil"/>
              <w:right w:val="nil"/>
            </w:tcBorders>
            <w:vAlign w:val="bottom"/>
          </w:tcPr>
          <w:p w14:paraId="2DE3B54A"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13AEA117" w14:textId="4DE5100D" w:rsidR="00A66703" w:rsidRPr="001D41EA" w:rsidRDefault="00A66703" w:rsidP="001D41EA">
            <w:pPr>
              <w:spacing w:before="40" w:after="40"/>
              <w:jc w:val="right"/>
              <w:rPr>
                <w:rFonts w:cs="Arial"/>
                <w:sz w:val="18"/>
                <w:szCs w:val="18"/>
              </w:rPr>
            </w:pPr>
            <w:r w:rsidRPr="001D41EA">
              <w:rPr>
                <w:rFonts w:cs="Arial"/>
                <w:sz w:val="18"/>
                <w:szCs w:val="18"/>
              </w:rPr>
              <w:t>-191,788</w:t>
            </w:r>
          </w:p>
        </w:tc>
        <w:tc>
          <w:tcPr>
            <w:tcW w:w="1021" w:type="dxa"/>
            <w:tcBorders>
              <w:top w:val="nil"/>
              <w:left w:val="nil"/>
              <w:bottom w:val="nil"/>
              <w:right w:val="nil"/>
            </w:tcBorders>
            <w:vAlign w:val="bottom"/>
          </w:tcPr>
          <w:p w14:paraId="2D66B497" w14:textId="67A597D7" w:rsidR="00A66703" w:rsidRPr="001D41EA" w:rsidRDefault="00A66703" w:rsidP="001D41EA">
            <w:pPr>
              <w:spacing w:before="40" w:after="40"/>
              <w:jc w:val="right"/>
              <w:rPr>
                <w:rFonts w:cs="Arial"/>
                <w:sz w:val="18"/>
                <w:szCs w:val="18"/>
              </w:rPr>
            </w:pPr>
            <w:r w:rsidRPr="001D41EA">
              <w:rPr>
                <w:rFonts w:cs="Arial"/>
                <w:sz w:val="18"/>
                <w:szCs w:val="18"/>
              </w:rPr>
              <w:t>-26,352</w:t>
            </w:r>
          </w:p>
        </w:tc>
        <w:tc>
          <w:tcPr>
            <w:tcW w:w="1021" w:type="dxa"/>
            <w:tcBorders>
              <w:top w:val="nil"/>
              <w:left w:val="nil"/>
              <w:bottom w:val="nil"/>
              <w:right w:val="nil"/>
            </w:tcBorders>
            <w:vAlign w:val="bottom"/>
          </w:tcPr>
          <w:p w14:paraId="582AD866" w14:textId="56BEFA21" w:rsidR="00A66703" w:rsidRPr="001D41EA" w:rsidRDefault="00A66703" w:rsidP="001D41EA">
            <w:pPr>
              <w:spacing w:before="40" w:after="40"/>
              <w:jc w:val="right"/>
              <w:rPr>
                <w:rFonts w:cs="Arial"/>
                <w:sz w:val="18"/>
                <w:szCs w:val="18"/>
              </w:rPr>
            </w:pPr>
            <w:r w:rsidRPr="001D41EA">
              <w:rPr>
                <w:rFonts w:cs="Arial"/>
                <w:sz w:val="18"/>
                <w:szCs w:val="18"/>
              </w:rPr>
              <w:t>-218,140</w:t>
            </w:r>
          </w:p>
        </w:tc>
        <w:tc>
          <w:tcPr>
            <w:tcW w:w="1247" w:type="dxa"/>
            <w:tcBorders>
              <w:top w:val="nil"/>
              <w:left w:val="nil"/>
              <w:bottom w:val="nil"/>
              <w:right w:val="nil"/>
            </w:tcBorders>
            <w:shd w:val="clear" w:color="auto" w:fill="auto"/>
            <w:vAlign w:val="bottom"/>
          </w:tcPr>
          <w:p w14:paraId="7EBCAF32" w14:textId="778EBAD2" w:rsidR="00A66703" w:rsidRPr="001D41EA" w:rsidRDefault="00A66703" w:rsidP="001D41EA">
            <w:pPr>
              <w:spacing w:before="40" w:after="40"/>
              <w:jc w:val="right"/>
              <w:rPr>
                <w:rFonts w:cs="Arial"/>
                <w:b/>
                <w:sz w:val="18"/>
                <w:szCs w:val="18"/>
              </w:rPr>
            </w:pPr>
            <w:r w:rsidRPr="001D41EA">
              <w:rPr>
                <w:rFonts w:cs="Arial"/>
                <w:b/>
                <w:sz w:val="18"/>
                <w:szCs w:val="18"/>
              </w:rPr>
              <w:t>21,762,405</w:t>
            </w:r>
          </w:p>
        </w:tc>
      </w:tr>
      <w:tr w:rsidR="00A66703" w:rsidRPr="001D41EA" w14:paraId="21B6503A"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CAA541E" w14:textId="77777777" w:rsidR="00A66703" w:rsidRPr="001D41EA" w:rsidRDefault="00A66703" w:rsidP="001D41EA">
            <w:pPr>
              <w:spacing w:before="40" w:after="40"/>
              <w:rPr>
                <w:rFonts w:cs="Arial"/>
                <w:sz w:val="18"/>
                <w:szCs w:val="18"/>
              </w:rPr>
            </w:pPr>
            <w:r w:rsidRPr="001D41EA">
              <w:rPr>
                <w:rFonts w:cs="Arial"/>
                <w:sz w:val="18"/>
                <w:szCs w:val="18"/>
              </w:rPr>
              <w:t>Greater Shepparton C</w:t>
            </w:r>
          </w:p>
        </w:tc>
        <w:tc>
          <w:tcPr>
            <w:tcW w:w="1134" w:type="dxa"/>
            <w:tcBorders>
              <w:top w:val="nil"/>
              <w:left w:val="single" w:sz="18" w:space="0" w:color="5F497A" w:themeColor="accent4" w:themeShade="BF"/>
              <w:bottom w:val="nil"/>
              <w:right w:val="nil"/>
            </w:tcBorders>
            <w:shd w:val="clear" w:color="auto" w:fill="auto"/>
            <w:vAlign w:val="bottom"/>
          </w:tcPr>
          <w:p w14:paraId="0D69F0E6" w14:textId="39A20DA4" w:rsidR="00A66703" w:rsidRPr="001D41EA" w:rsidRDefault="00A66703" w:rsidP="001D41EA">
            <w:pPr>
              <w:spacing w:before="40" w:after="40"/>
              <w:jc w:val="right"/>
              <w:rPr>
                <w:rFonts w:cs="Arial"/>
                <w:sz w:val="18"/>
                <w:szCs w:val="18"/>
              </w:rPr>
            </w:pPr>
            <w:r w:rsidRPr="001D41EA">
              <w:rPr>
                <w:rFonts w:cs="Arial"/>
                <w:sz w:val="18"/>
                <w:szCs w:val="18"/>
              </w:rPr>
              <w:t>9,718,793</w:t>
            </w:r>
          </w:p>
        </w:tc>
        <w:tc>
          <w:tcPr>
            <w:tcW w:w="1134" w:type="dxa"/>
            <w:tcBorders>
              <w:top w:val="nil"/>
              <w:left w:val="nil"/>
              <w:bottom w:val="nil"/>
              <w:right w:val="nil"/>
            </w:tcBorders>
            <w:shd w:val="clear" w:color="auto" w:fill="auto"/>
            <w:vAlign w:val="bottom"/>
          </w:tcPr>
          <w:p w14:paraId="344B4D8B" w14:textId="18F21017" w:rsidR="00A66703" w:rsidRPr="001D41EA" w:rsidRDefault="00A66703" w:rsidP="001D41EA">
            <w:pPr>
              <w:spacing w:before="40" w:after="40"/>
              <w:jc w:val="right"/>
              <w:rPr>
                <w:rFonts w:cs="Arial"/>
                <w:sz w:val="18"/>
                <w:szCs w:val="18"/>
              </w:rPr>
            </w:pPr>
            <w:r w:rsidRPr="001D41EA">
              <w:rPr>
                <w:rFonts w:cs="Arial"/>
                <w:sz w:val="18"/>
                <w:szCs w:val="18"/>
              </w:rPr>
              <w:t>3,193,301</w:t>
            </w:r>
          </w:p>
        </w:tc>
        <w:tc>
          <w:tcPr>
            <w:tcW w:w="170" w:type="dxa"/>
            <w:tcBorders>
              <w:top w:val="nil"/>
              <w:left w:val="nil"/>
              <w:bottom w:val="nil"/>
              <w:right w:val="nil"/>
            </w:tcBorders>
            <w:vAlign w:val="bottom"/>
          </w:tcPr>
          <w:p w14:paraId="47EAAADB"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10A979D7" w14:textId="19600F16" w:rsidR="00A66703" w:rsidRPr="001D41EA" w:rsidRDefault="00A66703" w:rsidP="001D41EA">
            <w:pPr>
              <w:spacing w:before="40" w:after="40"/>
              <w:jc w:val="right"/>
              <w:rPr>
                <w:rFonts w:cs="Arial"/>
                <w:sz w:val="18"/>
                <w:szCs w:val="18"/>
              </w:rPr>
            </w:pPr>
            <w:r w:rsidRPr="001D41EA">
              <w:rPr>
                <w:rFonts w:cs="Arial"/>
                <w:sz w:val="18"/>
                <w:szCs w:val="18"/>
              </w:rPr>
              <w:t>-103,147</w:t>
            </w:r>
          </w:p>
        </w:tc>
        <w:tc>
          <w:tcPr>
            <w:tcW w:w="1021" w:type="dxa"/>
            <w:tcBorders>
              <w:top w:val="nil"/>
              <w:left w:val="nil"/>
              <w:bottom w:val="nil"/>
              <w:right w:val="nil"/>
            </w:tcBorders>
            <w:vAlign w:val="bottom"/>
          </w:tcPr>
          <w:p w14:paraId="50B3DE42" w14:textId="152F7279" w:rsidR="00A66703" w:rsidRPr="001D41EA" w:rsidRDefault="00A66703" w:rsidP="001D41EA">
            <w:pPr>
              <w:spacing w:before="40" w:after="40"/>
              <w:jc w:val="right"/>
              <w:rPr>
                <w:rFonts w:cs="Arial"/>
                <w:sz w:val="18"/>
                <w:szCs w:val="18"/>
              </w:rPr>
            </w:pPr>
            <w:r w:rsidRPr="001D41EA">
              <w:rPr>
                <w:rFonts w:cs="Arial"/>
                <w:sz w:val="18"/>
                <w:szCs w:val="18"/>
              </w:rPr>
              <w:t>-24,543</w:t>
            </w:r>
          </w:p>
        </w:tc>
        <w:tc>
          <w:tcPr>
            <w:tcW w:w="1021" w:type="dxa"/>
            <w:tcBorders>
              <w:top w:val="nil"/>
              <w:left w:val="nil"/>
              <w:bottom w:val="nil"/>
              <w:right w:val="nil"/>
            </w:tcBorders>
            <w:vAlign w:val="bottom"/>
          </w:tcPr>
          <w:p w14:paraId="1F6269D0" w14:textId="58473744" w:rsidR="00A66703" w:rsidRPr="001D41EA" w:rsidRDefault="00A66703" w:rsidP="001D41EA">
            <w:pPr>
              <w:spacing w:before="40" w:after="40"/>
              <w:jc w:val="right"/>
              <w:rPr>
                <w:rFonts w:cs="Arial"/>
                <w:sz w:val="18"/>
                <w:szCs w:val="18"/>
              </w:rPr>
            </w:pPr>
            <w:r w:rsidRPr="001D41EA">
              <w:rPr>
                <w:rFonts w:cs="Arial"/>
                <w:sz w:val="18"/>
                <w:szCs w:val="18"/>
              </w:rPr>
              <w:t>-127,690</w:t>
            </w:r>
          </w:p>
        </w:tc>
        <w:tc>
          <w:tcPr>
            <w:tcW w:w="1247" w:type="dxa"/>
            <w:tcBorders>
              <w:top w:val="nil"/>
              <w:left w:val="nil"/>
              <w:bottom w:val="nil"/>
              <w:right w:val="nil"/>
            </w:tcBorders>
            <w:shd w:val="clear" w:color="auto" w:fill="auto"/>
            <w:vAlign w:val="bottom"/>
          </w:tcPr>
          <w:p w14:paraId="1D821041" w14:textId="3F200518" w:rsidR="00A66703" w:rsidRPr="001D41EA" w:rsidRDefault="00A66703" w:rsidP="001D41EA">
            <w:pPr>
              <w:spacing w:before="40" w:after="40"/>
              <w:jc w:val="right"/>
              <w:rPr>
                <w:rFonts w:cs="Arial"/>
                <w:b/>
                <w:sz w:val="18"/>
                <w:szCs w:val="18"/>
              </w:rPr>
            </w:pPr>
            <w:r w:rsidRPr="001D41EA">
              <w:rPr>
                <w:rFonts w:cs="Arial"/>
                <w:b/>
                <w:sz w:val="18"/>
                <w:szCs w:val="18"/>
              </w:rPr>
              <w:t>12,784,404</w:t>
            </w:r>
          </w:p>
        </w:tc>
      </w:tr>
      <w:tr w:rsidR="00A66703" w:rsidRPr="001D41EA" w14:paraId="626E1CF0"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A3086E7" w14:textId="77777777" w:rsidR="00A66703" w:rsidRPr="001D41EA" w:rsidRDefault="00A66703" w:rsidP="001D41EA">
            <w:pPr>
              <w:spacing w:before="40" w:after="40"/>
              <w:rPr>
                <w:rFonts w:cs="Arial"/>
                <w:sz w:val="18"/>
                <w:szCs w:val="18"/>
              </w:rPr>
            </w:pPr>
            <w:r w:rsidRPr="001D41EA">
              <w:rPr>
                <w:rFonts w:cs="Arial"/>
                <w:sz w:val="18"/>
                <w:szCs w:val="18"/>
              </w:rPr>
              <w:t>Hepburn S</w:t>
            </w:r>
          </w:p>
        </w:tc>
        <w:tc>
          <w:tcPr>
            <w:tcW w:w="1134" w:type="dxa"/>
            <w:tcBorders>
              <w:top w:val="nil"/>
              <w:left w:val="single" w:sz="18" w:space="0" w:color="5F497A" w:themeColor="accent4" w:themeShade="BF"/>
              <w:bottom w:val="nil"/>
              <w:right w:val="nil"/>
            </w:tcBorders>
            <w:shd w:val="clear" w:color="auto" w:fill="auto"/>
            <w:vAlign w:val="bottom"/>
          </w:tcPr>
          <w:p w14:paraId="62B430D8" w14:textId="4A7037F2" w:rsidR="00A66703" w:rsidRPr="001D41EA" w:rsidRDefault="00A66703" w:rsidP="001D41EA">
            <w:pPr>
              <w:spacing w:before="40" w:after="40"/>
              <w:jc w:val="right"/>
              <w:rPr>
                <w:rFonts w:cs="Arial"/>
                <w:sz w:val="18"/>
                <w:szCs w:val="18"/>
              </w:rPr>
            </w:pPr>
            <w:r w:rsidRPr="001D41EA">
              <w:rPr>
                <w:rFonts w:cs="Arial"/>
                <w:sz w:val="18"/>
                <w:szCs w:val="18"/>
              </w:rPr>
              <w:t>3,494,302</w:t>
            </w:r>
          </w:p>
        </w:tc>
        <w:tc>
          <w:tcPr>
            <w:tcW w:w="1134" w:type="dxa"/>
            <w:tcBorders>
              <w:top w:val="nil"/>
              <w:left w:val="nil"/>
              <w:bottom w:val="nil"/>
              <w:right w:val="nil"/>
            </w:tcBorders>
            <w:shd w:val="clear" w:color="auto" w:fill="auto"/>
            <w:vAlign w:val="bottom"/>
          </w:tcPr>
          <w:p w14:paraId="35C2C202" w14:textId="4E1F0AAB" w:rsidR="00A66703" w:rsidRPr="001D41EA" w:rsidRDefault="00A66703" w:rsidP="001D41EA">
            <w:pPr>
              <w:spacing w:before="40" w:after="40"/>
              <w:jc w:val="right"/>
              <w:rPr>
                <w:rFonts w:cs="Arial"/>
                <w:sz w:val="18"/>
                <w:szCs w:val="18"/>
              </w:rPr>
            </w:pPr>
            <w:r w:rsidRPr="001D41EA">
              <w:rPr>
                <w:rFonts w:cs="Arial"/>
                <w:sz w:val="18"/>
                <w:szCs w:val="18"/>
              </w:rPr>
              <w:t>1,595,967</w:t>
            </w:r>
          </w:p>
        </w:tc>
        <w:tc>
          <w:tcPr>
            <w:tcW w:w="170" w:type="dxa"/>
            <w:tcBorders>
              <w:top w:val="nil"/>
              <w:left w:val="nil"/>
              <w:bottom w:val="nil"/>
              <w:right w:val="nil"/>
            </w:tcBorders>
            <w:vAlign w:val="bottom"/>
          </w:tcPr>
          <w:p w14:paraId="0B99A404"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2035E667" w14:textId="17E90E1A" w:rsidR="00A66703" w:rsidRPr="001D41EA" w:rsidRDefault="00A66703" w:rsidP="001D41EA">
            <w:pPr>
              <w:spacing w:before="40" w:after="40"/>
              <w:jc w:val="right"/>
              <w:rPr>
                <w:rFonts w:cs="Arial"/>
                <w:sz w:val="18"/>
                <w:szCs w:val="18"/>
              </w:rPr>
            </w:pPr>
            <w:r w:rsidRPr="001D41EA">
              <w:rPr>
                <w:rFonts w:cs="Arial"/>
                <w:sz w:val="18"/>
                <w:szCs w:val="18"/>
              </w:rPr>
              <w:t>-35,234</w:t>
            </w:r>
          </w:p>
        </w:tc>
        <w:tc>
          <w:tcPr>
            <w:tcW w:w="1021" w:type="dxa"/>
            <w:tcBorders>
              <w:top w:val="nil"/>
              <w:left w:val="nil"/>
              <w:bottom w:val="nil"/>
              <w:right w:val="nil"/>
            </w:tcBorders>
            <w:vAlign w:val="bottom"/>
          </w:tcPr>
          <w:p w14:paraId="4ED4B2B1" w14:textId="62CEB5F6" w:rsidR="00A66703" w:rsidRPr="001D41EA" w:rsidRDefault="00A66703" w:rsidP="001D41EA">
            <w:pPr>
              <w:spacing w:before="40" w:after="40"/>
              <w:jc w:val="right"/>
              <w:rPr>
                <w:rFonts w:cs="Arial"/>
                <w:sz w:val="18"/>
                <w:szCs w:val="18"/>
              </w:rPr>
            </w:pPr>
            <w:r w:rsidRPr="001D41EA">
              <w:rPr>
                <w:rFonts w:cs="Arial"/>
                <w:sz w:val="18"/>
                <w:szCs w:val="18"/>
              </w:rPr>
              <w:t>-11,693</w:t>
            </w:r>
          </w:p>
        </w:tc>
        <w:tc>
          <w:tcPr>
            <w:tcW w:w="1021" w:type="dxa"/>
            <w:tcBorders>
              <w:top w:val="nil"/>
              <w:left w:val="nil"/>
              <w:bottom w:val="nil"/>
              <w:right w:val="nil"/>
            </w:tcBorders>
            <w:vAlign w:val="bottom"/>
          </w:tcPr>
          <w:p w14:paraId="50D80FC2" w14:textId="2F279940" w:rsidR="00A66703" w:rsidRPr="001D41EA" w:rsidRDefault="00A66703" w:rsidP="001D41EA">
            <w:pPr>
              <w:spacing w:before="40" w:after="40"/>
              <w:jc w:val="right"/>
              <w:rPr>
                <w:rFonts w:cs="Arial"/>
                <w:sz w:val="18"/>
                <w:szCs w:val="18"/>
              </w:rPr>
            </w:pPr>
            <w:r w:rsidRPr="001D41EA">
              <w:rPr>
                <w:rFonts w:cs="Arial"/>
                <w:sz w:val="18"/>
                <w:szCs w:val="18"/>
              </w:rPr>
              <w:t>-46,927</w:t>
            </w:r>
          </w:p>
        </w:tc>
        <w:tc>
          <w:tcPr>
            <w:tcW w:w="1247" w:type="dxa"/>
            <w:tcBorders>
              <w:top w:val="nil"/>
              <w:left w:val="nil"/>
              <w:bottom w:val="nil"/>
              <w:right w:val="nil"/>
            </w:tcBorders>
            <w:shd w:val="clear" w:color="auto" w:fill="auto"/>
            <w:vAlign w:val="bottom"/>
          </w:tcPr>
          <w:p w14:paraId="0BE16F0E" w14:textId="1D2F01E5" w:rsidR="00A66703" w:rsidRPr="001D41EA" w:rsidRDefault="00A66703" w:rsidP="001D41EA">
            <w:pPr>
              <w:spacing w:before="40" w:after="40"/>
              <w:jc w:val="right"/>
              <w:rPr>
                <w:rFonts w:cs="Arial"/>
                <w:b/>
                <w:sz w:val="18"/>
                <w:szCs w:val="18"/>
              </w:rPr>
            </w:pPr>
            <w:r w:rsidRPr="001D41EA">
              <w:rPr>
                <w:rFonts w:cs="Arial"/>
                <w:b/>
                <w:sz w:val="18"/>
                <w:szCs w:val="18"/>
              </w:rPr>
              <w:t>5,043,342</w:t>
            </w:r>
          </w:p>
        </w:tc>
      </w:tr>
      <w:tr w:rsidR="00A66703" w:rsidRPr="001D41EA" w14:paraId="2D511D48"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5590D83" w14:textId="77777777" w:rsidR="00A66703" w:rsidRPr="001D41EA" w:rsidRDefault="00A66703" w:rsidP="001D41EA">
            <w:pPr>
              <w:spacing w:before="40" w:after="40"/>
              <w:rPr>
                <w:rFonts w:cs="Arial"/>
                <w:sz w:val="18"/>
                <w:szCs w:val="18"/>
              </w:rPr>
            </w:pPr>
            <w:r w:rsidRPr="001D41EA">
              <w:rPr>
                <w:rFonts w:cs="Arial"/>
                <w:sz w:val="18"/>
                <w:szCs w:val="18"/>
              </w:rPr>
              <w:t>Hindmarsh S</w:t>
            </w:r>
          </w:p>
        </w:tc>
        <w:tc>
          <w:tcPr>
            <w:tcW w:w="1134" w:type="dxa"/>
            <w:tcBorders>
              <w:top w:val="nil"/>
              <w:left w:val="single" w:sz="18" w:space="0" w:color="5F497A" w:themeColor="accent4" w:themeShade="BF"/>
              <w:bottom w:val="nil"/>
              <w:right w:val="nil"/>
            </w:tcBorders>
            <w:shd w:val="clear" w:color="auto" w:fill="auto"/>
            <w:vAlign w:val="bottom"/>
          </w:tcPr>
          <w:p w14:paraId="34682AC4" w14:textId="2F687945" w:rsidR="00A66703" w:rsidRPr="001D41EA" w:rsidRDefault="00A66703" w:rsidP="001D41EA">
            <w:pPr>
              <w:spacing w:before="40" w:after="40"/>
              <w:jc w:val="right"/>
              <w:rPr>
                <w:rFonts w:cs="Arial"/>
                <w:sz w:val="18"/>
                <w:szCs w:val="18"/>
              </w:rPr>
            </w:pPr>
            <w:r w:rsidRPr="001D41EA">
              <w:rPr>
                <w:rFonts w:cs="Arial"/>
                <w:sz w:val="18"/>
                <w:szCs w:val="18"/>
              </w:rPr>
              <w:t>3,172,747</w:t>
            </w:r>
          </w:p>
        </w:tc>
        <w:tc>
          <w:tcPr>
            <w:tcW w:w="1134" w:type="dxa"/>
            <w:tcBorders>
              <w:top w:val="nil"/>
              <w:left w:val="nil"/>
              <w:bottom w:val="nil"/>
              <w:right w:val="nil"/>
            </w:tcBorders>
            <w:shd w:val="clear" w:color="auto" w:fill="auto"/>
            <w:vAlign w:val="bottom"/>
          </w:tcPr>
          <w:p w14:paraId="1B3D6252" w14:textId="5601260E" w:rsidR="00A66703" w:rsidRPr="001D41EA" w:rsidRDefault="00A66703" w:rsidP="001D41EA">
            <w:pPr>
              <w:spacing w:before="40" w:after="40"/>
              <w:jc w:val="right"/>
              <w:rPr>
                <w:rFonts w:cs="Arial"/>
                <w:sz w:val="18"/>
                <w:szCs w:val="18"/>
              </w:rPr>
            </w:pPr>
            <w:r w:rsidRPr="001D41EA">
              <w:rPr>
                <w:rFonts w:cs="Arial"/>
                <w:sz w:val="18"/>
                <w:szCs w:val="18"/>
              </w:rPr>
              <w:t>1,699,987</w:t>
            </w:r>
          </w:p>
        </w:tc>
        <w:tc>
          <w:tcPr>
            <w:tcW w:w="170" w:type="dxa"/>
            <w:tcBorders>
              <w:top w:val="nil"/>
              <w:left w:val="nil"/>
              <w:bottom w:val="nil"/>
              <w:right w:val="nil"/>
            </w:tcBorders>
            <w:vAlign w:val="bottom"/>
          </w:tcPr>
          <w:p w14:paraId="1CF19159"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7A61C797" w14:textId="051DC6B3" w:rsidR="00A66703" w:rsidRPr="001D41EA" w:rsidRDefault="00A66703" w:rsidP="001D41EA">
            <w:pPr>
              <w:spacing w:before="40" w:after="40"/>
              <w:jc w:val="right"/>
              <w:rPr>
                <w:rFonts w:cs="Arial"/>
                <w:sz w:val="18"/>
                <w:szCs w:val="18"/>
              </w:rPr>
            </w:pPr>
            <w:r w:rsidRPr="001D41EA">
              <w:rPr>
                <w:rFonts w:cs="Arial"/>
                <w:sz w:val="18"/>
                <w:szCs w:val="18"/>
              </w:rPr>
              <w:t>-31,489</w:t>
            </w:r>
          </w:p>
        </w:tc>
        <w:tc>
          <w:tcPr>
            <w:tcW w:w="1021" w:type="dxa"/>
            <w:tcBorders>
              <w:top w:val="nil"/>
              <w:left w:val="nil"/>
              <w:bottom w:val="nil"/>
              <w:right w:val="nil"/>
            </w:tcBorders>
            <w:vAlign w:val="bottom"/>
          </w:tcPr>
          <w:p w14:paraId="1432D7E8" w14:textId="625C6BCF" w:rsidR="00A66703" w:rsidRPr="001D41EA" w:rsidRDefault="00A66703" w:rsidP="001D41EA">
            <w:pPr>
              <w:spacing w:before="40" w:after="40"/>
              <w:jc w:val="right"/>
              <w:rPr>
                <w:rFonts w:cs="Arial"/>
                <w:sz w:val="18"/>
                <w:szCs w:val="18"/>
              </w:rPr>
            </w:pPr>
            <w:r w:rsidRPr="001D41EA">
              <w:rPr>
                <w:rFonts w:cs="Arial"/>
                <w:sz w:val="18"/>
                <w:szCs w:val="18"/>
              </w:rPr>
              <w:t>-13,045</w:t>
            </w:r>
          </w:p>
        </w:tc>
        <w:tc>
          <w:tcPr>
            <w:tcW w:w="1021" w:type="dxa"/>
            <w:tcBorders>
              <w:top w:val="nil"/>
              <w:left w:val="nil"/>
              <w:bottom w:val="nil"/>
              <w:right w:val="nil"/>
            </w:tcBorders>
            <w:vAlign w:val="bottom"/>
          </w:tcPr>
          <w:p w14:paraId="7D91900E" w14:textId="0EA0D98A" w:rsidR="00A66703" w:rsidRPr="001D41EA" w:rsidRDefault="00A66703" w:rsidP="001D41EA">
            <w:pPr>
              <w:spacing w:before="40" w:after="40"/>
              <w:jc w:val="right"/>
              <w:rPr>
                <w:rFonts w:cs="Arial"/>
                <w:sz w:val="18"/>
                <w:szCs w:val="18"/>
              </w:rPr>
            </w:pPr>
            <w:r w:rsidRPr="001D41EA">
              <w:rPr>
                <w:rFonts w:cs="Arial"/>
                <w:sz w:val="18"/>
                <w:szCs w:val="18"/>
              </w:rPr>
              <w:t>-44,534</w:t>
            </w:r>
          </w:p>
        </w:tc>
        <w:tc>
          <w:tcPr>
            <w:tcW w:w="1247" w:type="dxa"/>
            <w:tcBorders>
              <w:top w:val="nil"/>
              <w:left w:val="nil"/>
              <w:bottom w:val="nil"/>
              <w:right w:val="nil"/>
            </w:tcBorders>
            <w:shd w:val="clear" w:color="auto" w:fill="auto"/>
            <w:vAlign w:val="bottom"/>
          </w:tcPr>
          <w:p w14:paraId="545072CE" w14:textId="4BC647D7" w:rsidR="00A66703" w:rsidRPr="001D41EA" w:rsidRDefault="00A66703" w:rsidP="001D41EA">
            <w:pPr>
              <w:spacing w:before="40" w:after="40"/>
              <w:jc w:val="right"/>
              <w:rPr>
                <w:rFonts w:cs="Arial"/>
                <w:b/>
                <w:sz w:val="18"/>
                <w:szCs w:val="18"/>
              </w:rPr>
            </w:pPr>
            <w:r w:rsidRPr="001D41EA">
              <w:rPr>
                <w:rFonts w:cs="Arial"/>
                <w:b/>
                <w:sz w:val="18"/>
                <w:szCs w:val="18"/>
              </w:rPr>
              <w:t>4,828,200</w:t>
            </w:r>
          </w:p>
        </w:tc>
      </w:tr>
      <w:tr w:rsidR="00A66703" w:rsidRPr="001D41EA" w14:paraId="69B078EB"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BDD21D5" w14:textId="77777777" w:rsidR="00A66703" w:rsidRPr="001D41EA" w:rsidRDefault="00A66703" w:rsidP="001D41EA">
            <w:pPr>
              <w:spacing w:before="40" w:after="40"/>
              <w:rPr>
                <w:rFonts w:cs="Arial"/>
                <w:sz w:val="18"/>
                <w:szCs w:val="18"/>
              </w:rPr>
            </w:pPr>
            <w:r w:rsidRPr="001D41EA">
              <w:rPr>
                <w:rFonts w:cs="Arial"/>
                <w:sz w:val="18"/>
                <w:szCs w:val="18"/>
              </w:rPr>
              <w:t>Hobsons Bay C</w:t>
            </w:r>
          </w:p>
        </w:tc>
        <w:tc>
          <w:tcPr>
            <w:tcW w:w="1134" w:type="dxa"/>
            <w:tcBorders>
              <w:top w:val="nil"/>
              <w:left w:val="single" w:sz="18" w:space="0" w:color="5F497A" w:themeColor="accent4" w:themeShade="BF"/>
              <w:bottom w:val="nil"/>
              <w:right w:val="nil"/>
            </w:tcBorders>
            <w:shd w:val="clear" w:color="auto" w:fill="auto"/>
            <w:vAlign w:val="bottom"/>
          </w:tcPr>
          <w:p w14:paraId="0D67B795" w14:textId="10BEF29A" w:rsidR="00A66703" w:rsidRPr="001D41EA" w:rsidRDefault="00A66703" w:rsidP="001D41EA">
            <w:pPr>
              <w:spacing w:before="40" w:after="40"/>
              <w:jc w:val="right"/>
              <w:rPr>
                <w:rFonts w:cs="Arial"/>
                <w:sz w:val="18"/>
                <w:szCs w:val="18"/>
              </w:rPr>
            </w:pPr>
            <w:r w:rsidRPr="001D41EA">
              <w:rPr>
                <w:rFonts w:cs="Arial"/>
                <w:sz w:val="18"/>
                <w:szCs w:val="18"/>
              </w:rPr>
              <w:t>2,040,820</w:t>
            </w:r>
          </w:p>
        </w:tc>
        <w:tc>
          <w:tcPr>
            <w:tcW w:w="1134" w:type="dxa"/>
            <w:tcBorders>
              <w:top w:val="nil"/>
              <w:left w:val="nil"/>
              <w:bottom w:val="nil"/>
              <w:right w:val="nil"/>
            </w:tcBorders>
            <w:shd w:val="clear" w:color="auto" w:fill="auto"/>
            <w:vAlign w:val="bottom"/>
          </w:tcPr>
          <w:p w14:paraId="5EFA8261" w14:textId="086DBC37" w:rsidR="00A66703" w:rsidRPr="001D41EA" w:rsidRDefault="00A66703" w:rsidP="001D41EA">
            <w:pPr>
              <w:spacing w:before="40" w:after="40"/>
              <w:jc w:val="right"/>
              <w:rPr>
                <w:rFonts w:cs="Arial"/>
                <w:sz w:val="18"/>
                <w:szCs w:val="18"/>
              </w:rPr>
            </w:pPr>
            <w:r w:rsidRPr="001D41EA">
              <w:rPr>
                <w:rFonts w:cs="Arial"/>
                <w:sz w:val="18"/>
                <w:szCs w:val="18"/>
              </w:rPr>
              <w:t>750,539</w:t>
            </w:r>
          </w:p>
        </w:tc>
        <w:tc>
          <w:tcPr>
            <w:tcW w:w="170" w:type="dxa"/>
            <w:tcBorders>
              <w:top w:val="nil"/>
              <w:left w:val="nil"/>
              <w:bottom w:val="nil"/>
              <w:right w:val="nil"/>
            </w:tcBorders>
            <w:vAlign w:val="bottom"/>
          </w:tcPr>
          <w:p w14:paraId="4B68A65E"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08C349E8" w14:textId="74DA3B48" w:rsidR="00A66703" w:rsidRPr="001D41EA" w:rsidRDefault="00A66703" w:rsidP="001D41EA">
            <w:pPr>
              <w:spacing w:before="40" w:after="40"/>
              <w:jc w:val="right"/>
              <w:rPr>
                <w:rFonts w:cs="Arial"/>
                <w:sz w:val="18"/>
                <w:szCs w:val="18"/>
              </w:rPr>
            </w:pPr>
            <w:r w:rsidRPr="001D41EA">
              <w:rPr>
                <w:rFonts w:cs="Arial"/>
                <w:sz w:val="18"/>
                <w:szCs w:val="18"/>
              </w:rPr>
              <w:t>-21,797</w:t>
            </w:r>
          </w:p>
        </w:tc>
        <w:tc>
          <w:tcPr>
            <w:tcW w:w="1021" w:type="dxa"/>
            <w:tcBorders>
              <w:top w:val="nil"/>
              <w:left w:val="nil"/>
              <w:bottom w:val="nil"/>
              <w:right w:val="nil"/>
            </w:tcBorders>
            <w:vAlign w:val="bottom"/>
          </w:tcPr>
          <w:p w14:paraId="46F6F005" w14:textId="732126EC" w:rsidR="00A66703" w:rsidRPr="001D41EA" w:rsidRDefault="00A66703" w:rsidP="001D41EA">
            <w:pPr>
              <w:spacing w:before="40" w:after="40"/>
              <w:jc w:val="right"/>
              <w:rPr>
                <w:rFonts w:cs="Arial"/>
                <w:sz w:val="18"/>
                <w:szCs w:val="18"/>
              </w:rPr>
            </w:pPr>
            <w:r w:rsidRPr="001D41EA">
              <w:rPr>
                <w:rFonts w:cs="Arial"/>
                <w:sz w:val="18"/>
                <w:szCs w:val="18"/>
              </w:rPr>
              <w:t>-5,759</w:t>
            </w:r>
          </w:p>
        </w:tc>
        <w:tc>
          <w:tcPr>
            <w:tcW w:w="1021" w:type="dxa"/>
            <w:tcBorders>
              <w:top w:val="nil"/>
              <w:left w:val="nil"/>
              <w:bottom w:val="nil"/>
              <w:right w:val="nil"/>
            </w:tcBorders>
            <w:vAlign w:val="bottom"/>
          </w:tcPr>
          <w:p w14:paraId="0A62C623" w14:textId="59DF2FFB" w:rsidR="00A66703" w:rsidRPr="001D41EA" w:rsidRDefault="00A66703" w:rsidP="001D41EA">
            <w:pPr>
              <w:spacing w:before="40" w:after="40"/>
              <w:jc w:val="right"/>
              <w:rPr>
                <w:rFonts w:cs="Arial"/>
                <w:sz w:val="18"/>
                <w:szCs w:val="18"/>
              </w:rPr>
            </w:pPr>
            <w:r w:rsidRPr="001D41EA">
              <w:rPr>
                <w:rFonts w:cs="Arial"/>
                <w:sz w:val="18"/>
                <w:szCs w:val="18"/>
              </w:rPr>
              <w:t>-27,556</w:t>
            </w:r>
          </w:p>
        </w:tc>
        <w:tc>
          <w:tcPr>
            <w:tcW w:w="1247" w:type="dxa"/>
            <w:tcBorders>
              <w:top w:val="nil"/>
              <w:left w:val="nil"/>
              <w:bottom w:val="nil"/>
              <w:right w:val="nil"/>
            </w:tcBorders>
            <w:shd w:val="clear" w:color="auto" w:fill="auto"/>
            <w:vAlign w:val="bottom"/>
          </w:tcPr>
          <w:p w14:paraId="0A57E9C9" w14:textId="6240A0F3" w:rsidR="00A66703" w:rsidRPr="001D41EA" w:rsidRDefault="00A66703" w:rsidP="001D41EA">
            <w:pPr>
              <w:spacing w:before="40" w:after="40"/>
              <w:jc w:val="right"/>
              <w:rPr>
                <w:rFonts w:cs="Arial"/>
                <w:b/>
                <w:sz w:val="18"/>
                <w:szCs w:val="18"/>
              </w:rPr>
            </w:pPr>
            <w:r w:rsidRPr="001D41EA">
              <w:rPr>
                <w:rFonts w:cs="Arial"/>
                <w:b/>
                <w:sz w:val="18"/>
                <w:szCs w:val="18"/>
              </w:rPr>
              <w:t>2,763,803</w:t>
            </w:r>
          </w:p>
        </w:tc>
      </w:tr>
      <w:tr w:rsidR="00A66703" w:rsidRPr="001D41EA" w14:paraId="1494AD34"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21BB25A" w14:textId="77777777" w:rsidR="00A66703" w:rsidRPr="001D41EA" w:rsidRDefault="00A66703" w:rsidP="001D41EA">
            <w:pPr>
              <w:spacing w:before="40" w:after="40"/>
              <w:rPr>
                <w:rFonts w:cs="Arial"/>
                <w:sz w:val="18"/>
                <w:szCs w:val="18"/>
              </w:rPr>
            </w:pPr>
            <w:r w:rsidRPr="001D41EA">
              <w:rPr>
                <w:rFonts w:cs="Arial"/>
                <w:sz w:val="18"/>
                <w:szCs w:val="18"/>
              </w:rPr>
              <w:t>Horsham RC</w:t>
            </w:r>
          </w:p>
        </w:tc>
        <w:tc>
          <w:tcPr>
            <w:tcW w:w="1134" w:type="dxa"/>
            <w:tcBorders>
              <w:top w:val="nil"/>
              <w:left w:val="single" w:sz="18" w:space="0" w:color="5F497A" w:themeColor="accent4" w:themeShade="BF"/>
              <w:bottom w:val="nil"/>
              <w:right w:val="nil"/>
            </w:tcBorders>
            <w:shd w:val="clear" w:color="auto" w:fill="auto"/>
            <w:vAlign w:val="bottom"/>
          </w:tcPr>
          <w:p w14:paraId="6B95FE82" w14:textId="646B7247" w:rsidR="00A66703" w:rsidRPr="001D41EA" w:rsidRDefault="00A66703" w:rsidP="001D41EA">
            <w:pPr>
              <w:spacing w:before="40" w:after="40"/>
              <w:jc w:val="right"/>
              <w:rPr>
                <w:rFonts w:cs="Arial"/>
                <w:sz w:val="18"/>
                <w:szCs w:val="18"/>
              </w:rPr>
            </w:pPr>
            <w:r w:rsidRPr="001D41EA">
              <w:rPr>
                <w:rFonts w:cs="Arial"/>
                <w:sz w:val="18"/>
                <w:szCs w:val="18"/>
              </w:rPr>
              <w:t>4,262,383</w:t>
            </w:r>
          </w:p>
        </w:tc>
        <w:tc>
          <w:tcPr>
            <w:tcW w:w="1134" w:type="dxa"/>
            <w:tcBorders>
              <w:top w:val="nil"/>
              <w:left w:val="nil"/>
              <w:bottom w:val="nil"/>
              <w:right w:val="nil"/>
            </w:tcBorders>
            <w:shd w:val="clear" w:color="auto" w:fill="auto"/>
            <w:vAlign w:val="bottom"/>
          </w:tcPr>
          <w:p w14:paraId="7451BCEE" w14:textId="090BEC22" w:rsidR="00A66703" w:rsidRPr="001D41EA" w:rsidRDefault="00A66703" w:rsidP="001D41EA">
            <w:pPr>
              <w:spacing w:before="40" w:after="40"/>
              <w:jc w:val="right"/>
              <w:rPr>
                <w:rFonts w:cs="Arial"/>
                <w:sz w:val="18"/>
                <w:szCs w:val="18"/>
              </w:rPr>
            </w:pPr>
            <w:r w:rsidRPr="001D41EA">
              <w:rPr>
                <w:rFonts w:cs="Arial"/>
                <w:sz w:val="18"/>
                <w:szCs w:val="18"/>
              </w:rPr>
              <w:t>2,244,830</w:t>
            </w:r>
          </w:p>
        </w:tc>
        <w:tc>
          <w:tcPr>
            <w:tcW w:w="170" w:type="dxa"/>
            <w:tcBorders>
              <w:top w:val="nil"/>
              <w:left w:val="nil"/>
              <w:bottom w:val="nil"/>
              <w:right w:val="nil"/>
            </w:tcBorders>
            <w:vAlign w:val="bottom"/>
          </w:tcPr>
          <w:p w14:paraId="7EC9F277"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2467B0C0" w14:textId="296E7BC4" w:rsidR="00A66703" w:rsidRPr="001D41EA" w:rsidRDefault="00A66703" w:rsidP="001D41EA">
            <w:pPr>
              <w:spacing w:before="40" w:after="40"/>
              <w:jc w:val="right"/>
              <w:rPr>
                <w:rFonts w:cs="Arial"/>
                <w:sz w:val="18"/>
                <w:szCs w:val="18"/>
              </w:rPr>
            </w:pPr>
            <w:r w:rsidRPr="001D41EA">
              <w:rPr>
                <w:rFonts w:cs="Arial"/>
                <w:sz w:val="18"/>
                <w:szCs w:val="18"/>
              </w:rPr>
              <w:t>-46,183</w:t>
            </w:r>
          </w:p>
        </w:tc>
        <w:tc>
          <w:tcPr>
            <w:tcW w:w="1021" w:type="dxa"/>
            <w:tcBorders>
              <w:top w:val="nil"/>
              <w:left w:val="nil"/>
              <w:bottom w:val="nil"/>
              <w:right w:val="nil"/>
            </w:tcBorders>
            <w:vAlign w:val="bottom"/>
          </w:tcPr>
          <w:p w14:paraId="38F4706B" w14:textId="0E8ED683" w:rsidR="00A66703" w:rsidRPr="001D41EA" w:rsidRDefault="00A66703" w:rsidP="001D41EA">
            <w:pPr>
              <w:spacing w:before="40" w:after="40"/>
              <w:jc w:val="right"/>
              <w:rPr>
                <w:rFonts w:cs="Arial"/>
                <w:sz w:val="18"/>
                <w:szCs w:val="18"/>
              </w:rPr>
            </w:pPr>
            <w:r w:rsidRPr="001D41EA">
              <w:rPr>
                <w:rFonts w:cs="Arial"/>
                <w:sz w:val="18"/>
                <w:szCs w:val="18"/>
              </w:rPr>
              <w:t>-17,240</w:t>
            </w:r>
          </w:p>
        </w:tc>
        <w:tc>
          <w:tcPr>
            <w:tcW w:w="1021" w:type="dxa"/>
            <w:tcBorders>
              <w:top w:val="nil"/>
              <w:left w:val="nil"/>
              <w:bottom w:val="nil"/>
              <w:right w:val="nil"/>
            </w:tcBorders>
            <w:vAlign w:val="bottom"/>
          </w:tcPr>
          <w:p w14:paraId="14899B54" w14:textId="18C81DEF" w:rsidR="00A66703" w:rsidRPr="001D41EA" w:rsidRDefault="00A66703" w:rsidP="001D41EA">
            <w:pPr>
              <w:spacing w:before="40" w:after="40"/>
              <w:jc w:val="right"/>
              <w:rPr>
                <w:rFonts w:cs="Arial"/>
                <w:sz w:val="18"/>
                <w:szCs w:val="18"/>
              </w:rPr>
            </w:pPr>
            <w:r w:rsidRPr="001D41EA">
              <w:rPr>
                <w:rFonts w:cs="Arial"/>
                <w:sz w:val="18"/>
                <w:szCs w:val="18"/>
              </w:rPr>
              <w:t>-63,423</w:t>
            </w:r>
          </w:p>
        </w:tc>
        <w:tc>
          <w:tcPr>
            <w:tcW w:w="1247" w:type="dxa"/>
            <w:tcBorders>
              <w:top w:val="nil"/>
              <w:left w:val="nil"/>
              <w:bottom w:val="nil"/>
              <w:right w:val="nil"/>
            </w:tcBorders>
            <w:shd w:val="clear" w:color="auto" w:fill="auto"/>
            <w:vAlign w:val="bottom"/>
          </w:tcPr>
          <w:p w14:paraId="7E18B2EA" w14:textId="50311218" w:rsidR="00A66703" w:rsidRPr="001D41EA" w:rsidRDefault="00A66703" w:rsidP="001D41EA">
            <w:pPr>
              <w:spacing w:before="40" w:after="40"/>
              <w:jc w:val="right"/>
              <w:rPr>
                <w:rFonts w:cs="Arial"/>
                <w:b/>
                <w:sz w:val="18"/>
                <w:szCs w:val="18"/>
              </w:rPr>
            </w:pPr>
            <w:r w:rsidRPr="001D41EA">
              <w:rPr>
                <w:rFonts w:cs="Arial"/>
                <w:b/>
                <w:sz w:val="18"/>
                <w:szCs w:val="18"/>
              </w:rPr>
              <w:t>6,443,790</w:t>
            </w:r>
          </w:p>
        </w:tc>
      </w:tr>
      <w:tr w:rsidR="00A66703" w:rsidRPr="001D41EA" w14:paraId="1A8FB40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6C5507A" w14:textId="77777777" w:rsidR="00A66703" w:rsidRPr="001D41EA" w:rsidRDefault="00A66703" w:rsidP="001D41EA">
            <w:pPr>
              <w:spacing w:before="40" w:after="40"/>
              <w:rPr>
                <w:rFonts w:cs="Arial"/>
                <w:sz w:val="18"/>
                <w:szCs w:val="18"/>
              </w:rPr>
            </w:pPr>
            <w:r w:rsidRPr="001D41EA">
              <w:rPr>
                <w:rFonts w:cs="Arial"/>
                <w:sz w:val="18"/>
                <w:szCs w:val="18"/>
              </w:rPr>
              <w:t>Hume C</w:t>
            </w:r>
          </w:p>
        </w:tc>
        <w:tc>
          <w:tcPr>
            <w:tcW w:w="1134" w:type="dxa"/>
            <w:tcBorders>
              <w:top w:val="nil"/>
              <w:left w:val="single" w:sz="18" w:space="0" w:color="5F497A" w:themeColor="accent4" w:themeShade="BF"/>
              <w:bottom w:val="nil"/>
              <w:right w:val="nil"/>
            </w:tcBorders>
            <w:shd w:val="clear" w:color="auto" w:fill="auto"/>
            <w:vAlign w:val="bottom"/>
          </w:tcPr>
          <w:p w14:paraId="7AAD0EB7" w14:textId="05900C5F" w:rsidR="00A66703" w:rsidRPr="001D41EA" w:rsidRDefault="00A66703" w:rsidP="001D41EA">
            <w:pPr>
              <w:spacing w:before="40" w:after="40"/>
              <w:jc w:val="right"/>
              <w:rPr>
                <w:rFonts w:cs="Arial"/>
                <w:sz w:val="18"/>
                <w:szCs w:val="18"/>
              </w:rPr>
            </w:pPr>
            <w:r w:rsidRPr="001D41EA">
              <w:rPr>
                <w:rFonts w:cs="Arial"/>
                <w:sz w:val="18"/>
                <w:szCs w:val="18"/>
              </w:rPr>
              <w:t>13,813,452</w:t>
            </w:r>
          </w:p>
        </w:tc>
        <w:tc>
          <w:tcPr>
            <w:tcW w:w="1134" w:type="dxa"/>
            <w:tcBorders>
              <w:top w:val="nil"/>
              <w:left w:val="nil"/>
              <w:bottom w:val="nil"/>
              <w:right w:val="nil"/>
            </w:tcBorders>
            <w:shd w:val="clear" w:color="auto" w:fill="auto"/>
            <w:vAlign w:val="bottom"/>
          </w:tcPr>
          <w:p w14:paraId="5C1A7DBC" w14:textId="02375056" w:rsidR="00A66703" w:rsidRPr="001D41EA" w:rsidRDefault="00A66703" w:rsidP="001D41EA">
            <w:pPr>
              <w:spacing w:before="40" w:after="40"/>
              <w:jc w:val="right"/>
              <w:rPr>
                <w:rFonts w:cs="Arial"/>
                <w:sz w:val="18"/>
                <w:szCs w:val="18"/>
              </w:rPr>
            </w:pPr>
            <w:r w:rsidRPr="001D41EA">
              <w:rPr>
                <w:rFonts w:cs="Arial"/>
                <w:sz w:val="18"/>
                <w:szCs w:val="18"/>
              </w:rPr>
              <w:t>2,610,056</w:t>
            </w:r>
          </w:p>
        </w:tc>
        <w:tc>
          <w:tcPr>
            <w:tcW w:w="170" w:type="dxa"/>
            <w:tcBorders>
              <w:top w:val="nil"/>
              <w:left w:val="nil"/>
              <w:bottom w:val="nil"/>
              <w:right w:val="nil"/>
            </w:tcBorders>
            <w:vAlign w:val="bottom"/>
          </w:tcPr>
          <w:p w14:paraId="7F568DDA"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368CEE5D" w14:textId="1F11B315" w:rsidR="00A66703" w:rsidRPr="001D41EA" w:rsidRDefault="00A66703" w:rsidP="001D41EA">
            <w:pPr>
              <w:spacing w:before="40" w:after="40"/>
              <w:jc w:val="right"/>
              <w:rPr>
                <w:rFonts w:cs="Arial"/>
                <w:sz w:val="18"/>
                <w:szCs w:val="18"/>
              </w:rPr>
            </w:pPr>
            <w:r w:rsidRPr="001D41EA">
              <w:rPr>
                <w:rFonts w:cs="Arial"/>
                <w:sz w:val="18"/>
                <w:szCs w:val="18"/>
              </w:rPr>
              <w:t>-147,274</w:t>
            </w:r>
          </w:p>
        </w:tc>
        <w:tc>
          <w:tcPr>
            <w:tcW w:w="1021" w:type="dxa"/>
            <w:tcBorders>
              <w:top w:val="nil"/>
              <w:left w:val="nil"/>
              <w:bottom w:val="nil"/>
              <w:right w:val="nil"/>
            </w:tcBorders>
            <w:vAlign w:val="bottom"/>
          </w:tcPr>
          <w:p w14:paraId="57A13D86" w14:textId="050FFD2F" w:rsidR="00A66703" w:rsidRPr="001D41EA" w:rsidRDefault="00A66703" w:rsidP="001D41EA">
            <w:pPr>
              <w:spacing w:before="40" w:after="40"/>
              <w:jc w:val="right"/>
              <w:rPr>
                <w:rFonts w:cs="Arial"/>
                <w:sz w:val="18"/>
                <w:szCs w:val="18"/>
              </w:rPr>
            </w:pPr>
            <w:r w:rsidRPr="001D41EA">
              <w:rPr>
                <w:rFonts w:cs="Arial"/>
                <w:sz w:val="18"/>
                <w:szCs w:val="18"/>
              </w:rPr>
              <w:t>-19,534</w:t>
            </w:r>
          </w:p>
        </w:tc>
        <w:tc>
          <w:tcPr>
            <w:tcW w:w="1021" w:type="dxa"/>
            <w:tcBorders>
              <w:top w:val="nil"/>
              <w:left w:val="nil"/>
              <w:bottom w:val="nil"/>
              <w:right w:val="nil"/>
            </w:tcBorders>
            <w:vAlign w:val="bottom"/>
          </w:tcPr>
          <w:p w14:paraId="5FC2326B" w14:textId="5170A24E" w:rsidR="00A66703" w:rsidRPr="001D41EA" w:rsidRDefault="00A66703" w:rsidP="001D41EA">
            <w:pPr>
              <w:spacing w:before="40" w:after="40"/>
              <w:jc w:val="right"/>
              <w:rPr>
                <w:rFonts w:cs="Arial"/>
                <w:sz w:val="18"/>
                <w:szCs w:val="18"/>
              </w:rPr>
            </w:pPr>
            <w:r w:rsidRPr="001D41EA">
              <w:rPr>
                <w:rFonts w:cs="Arial"/>
                <w:sz w:val="18"/>
                <w:szCs w:val="18"/>
              </w:rPr>
              <w:t>-166,808</w:t>
            </w:r>
          </w:p>
        </w:tc>
        <w:tc>
          <w:tcPr>
            <w:tcW w:w="1247" w:type="dxa"/>
            <w:tcBorders>
              <w:top w:val="nil"/>
              <w:left w:val="nil"/>
              <w:bottom w:val="nil"/>
              <w:right w:val="nil"/>
            </w:tcBorders>
            <w:shd w:val="clear" w:color="auto" w:fill="auto"/>
            <w:vAlign w:val="bottom"/>
          </w:tcPr>
          <w:p w14:paraId="38150C90" w14:textId="690F66F2" w:rsidR="00A66703" w:rsidRPr="001D41EA" w:rsidRDefault="00A66703" w:rsidP="001D41EA">
            <w:pPr>
              <w:spacing w:before="40" w:after="40"/>
              <w:jc w:val="right"/>
              <w:rPr>
                <w:rFonts w:cs="Arial"/>
                <w:b/>
                <w:sz w:val="18"/>
                <w:szCs w:val="18"/>
              </w:rPr>
            </w:pPr>
            <w:r w:rsidRPr="001D41EA">
              <w:rPr>
                <w:rFonts w:cs="Arial"/>
                <w:b/>
                <w:sz w:val="18"/>
                <w:szCs w:val="18"/>
              </w:rPr>
              <w:t>16,256,700</w:t>
            </w:r>
          </w:p>
        </w:tc>
      </w:tr>
      <w:tr w:rsidR="00A66703" w:rsidRPr="001D41EA" w14:paraId="0C8C6542"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5FB11FE" w14:textId="77777777" w:rsidR="00A66703" w:rsidRPr="001D41EA" w:rsidRDefault="00A66703" w:rsidP="001D41EA">
            <w:pPr>
              <w:spacing w:before="40" w:after="40"/>
              <w:rPr>
                <w:rFonts w:cs="Arial"/>
                <w:sz w:val="18"/>
                <w:szCs w:val="18"/>
              </w:rPr>
            </w:pPr>
            <w:r w:rsidRPr="001D41EA">
              <w:rPr>
                <w:rFonts w:cs="Arial"/>
                <w:sz w:val="18"/>
                <w:szCs w:val="18"/>
              </w:rPr>
              <w:t>Indigo S</w:t>
            </w:r>
          </w:p>
        </w:tc>
        <w:tc>
          <w:tcPr>
            <w:tcW w:w="1134" w:type="dxa"/>
            <w:tcBorders>
              <w:top w:val="nil"/>
              <w:left w:val="single" w:sz="18" w:space="0" w:color="5F497A" w:themeColor="accent4" w:themeShade="BF"/>
              <w:bottom w:val="nil"/>
              <w:right w:val="nil"/>
            </w:tcBorders>
            <w:shd w:val="clear" w:color="auto" w:fill="auto"/>
            <w:vAlign w:val="bottom"/>
          </w:tcPr>
          <w:p w14:paraId="5BEE0ABF" w14:textId="0EED3F3D" w:rsidR="00A66703" w:rsidRPr="001D41EA" w:rsidRDefault="00A66703" w:rsidP="001D41EA">
            <w:pPr>
              <w:spacing w:before="40" w:after="40"/>
              <w:jc w:val="right"/>
              <w:rPr>
                <w:rFonts w:cs="Arial"/>
                <w:sz w:val="18"/>
                <w:szCs w:val="18"/>
              </w:rPr>
            </w:pPr>
            <w:r w:rsidRPr="001D41EA">
              <w:rPr>
                <w:rFonts w:cs="Arial"/>
                <w:sz w:val="18"/>
                <w:szCs w:val="18"/>
              </w:rPr>
              <w:t>3,211,304</w:t>
            </w:r>
          </w:p>
        </w:tc>
        <w:tc>
          <w:tcPr>
            <w:tcW w:w="1134" w:type="dxa"/>
            <w:tcBorders>
              <w:top w:val="nil"/>
              <w:left w:val="nil"/>
              <w:bottom w:val="nil"/>
              <w:right w:val="nil"/>
            </w:tcBorders>
            <w:shd w:val="clear" w:color="auto" w:fill="auto"/>
            <w:vAlign w:val="bottom"/>
          </w:tcPr>
          <w:p w14:paraId="561F3A8B" w14:textId="3E9FBB29" w:rsidR="00A66703" w:rsidRPr="001D41EA" w:rsidRDefault="00A66703" w:rsidP="001D41EA">
            <w:pPr>
              <w:spacing w:before="40" w:after="40"/>
              <w:jc w:val="right"/>
              <w:rPr>
                <w:rFonts w:cs="Arial"/>
                <w:sz w:val="18"/>
                <w:szCs w:val="18"/>
              </w:rPr>
            </w:pPr>
            <w:r w:rsidRPr="001D41EA">
              <w:rPr>
                <w:rFonts w:cs="Arial"/>
                <w:sz w:val="18"/>
                <w:szCs w:val="18"/>
              </w:rPr>
              <w:t>1,692,948</w:t>
            </w:r>
          </w:p>
        </w:tc>
        <w:tc>
          <w:tcPr>
            <w:tcW w:w="170" w:type="dxa"/>
            <w:tcBorders>
              <w:top w:val="nil"/>
              <w:left w:val="nil"/>
              <w:bottom w:val="nil"/>
              <w:right w:val="nil"/>
            </w:tcBorders>
            <w:vAlign w:val="bottom"/>
          </w:tcPr>
          <w:p w14:paraId="0715DBB0"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6C99A5B5" w14:textId="10DBEFFC" w:rsidR="00A66703" w:rsidRPr="001D41EA" w:rsidRDefault="00A66703" w:rsidP="001D41EA">
            <w:pPr>
              <w:spacing w:before="40" w:after="40"/>
              <w:jc w:val="right"/>
              <w:rPr>
                <w:rFonts w:cs="Arial"/>
                <w:sz w:val="18"/>
                <w:szCs w:val="18"/>
              </w:rPr>
            </w:pPr>
            <w:r w:rsidRPr="001D41EA">
              <w:rPr>
                <w:rFonts w:cs="Arial"/>
                <w:sz w:val="18"/>
                <w:szCs w:val="18"/>
              </w:rPr>
              <w:t>-33,521</w:t>
            </w:r>
          </w:p>
        </w:tc>
        <w:tc>
          <w:tcPr>
            <w:tcW w:w="1021" w:type="dxa"/>
            <w:tcBorders>
              <w:top w:val="nil"/>
              <w:left w:val="nil"/>
              <w:bottom w:val="nil"/>
              <w:right w:val="nil"/>
            </w:tcBorders>
            <w:vAlign w:val="bottom"/>
          </w:tcPr>
          <w:p w14:paraId="5D77087D" w14:textId="60925316" w:rsidR="00A66703" w:rsidRPr="001D41EA" w:rsidRDefault="00A66703" w:rsidP="001D41EA">
            <w:pPr>
              <w:spacing w:before="40" w:after="40"/>
              <w:jc w:val="right"/>
              <w:rPr>
                <w:rFonts w:cs="Arial"/>
                <w:sz w:val="18"/>
                <w:szCs w:val="18"/>
              </w:rPr>
            </w:pPr>
            <w:r w:rsidRPr="001D41EA">
              <w:rPr>
                <w:rFonts w:cs="Arial"/>
                <w:sz w:val="18"/>
                <w:szCs w:val="18"/>
              </w:rPr>
              <w:t>-12,897</w:t>
            </w:r>
          </w:p>
        </w:tc>
        <w:tc>
          <w:tcPr>
            <w:tcW w:w="1021" w:type="dxa"/>
            <w:tcBorders>
              <w:top w:val="nil"/>
              <w:left w:val="nil"/>
              <w:bottom w:val="nil"/>
              <w:right w:val="nil"/>
            </w:tcBorders>
            <w:vAlign w:val="bottom"/>
          </w:tcPr>
          <w:p w14:paraId="3A8D8771" w14:textId="688A6A33" w:rsidR="00A66703" w:rsidRPr="001D41EA" w:rsidRDefault="00A66703" w:rsidP="001D41EA">
            <w:pPr>
              <w:spacing w:before="40" w:after="40"/>
              <w:jc w:val="right"/>
              <w:rPr>
                <w:rFonts w:cs="Arial"/>
                <w:sz w:val="18"/>
                <w:szCs w:val="18"/>
              </w:rPr>
            </w:pPr>
            <w:r w:rsidRPr="001D41EA">
              <w:rPr>
                <w:rFonts w:cs="Arial"/>
                <w:sz w:val="18"/>
                <w:szCs w:val="18"/>
              </w:rPr>
              <w:t>-46,418</w:t>
            </w:r>
          </w:p>
        </w:tc>
        <w:tc>
          <w:tcPr>
            <w:tcW w:w="1247" w:type="dxa"/>
            <w:tcBorders>
              <w:top w:val="nil"/>
              <w:left w:val="nil"/>
              <w:bottom w:val="nil"/>
              <w:right w:val="nil"/>
            </w:tcBorders>
            <w:shd w:val="clear" w:color="auto" w:fill="auto"/>
            <w:vAlign w:val="bottom"/>
          </w:tcPr>
          <w:p w14:paraId="6291C055" w14:textId="2119265B" w:rsidR="00A66703" w:rsidRPr="001D41EA" w:rsidRDefault="00A66703" w:rsidP="001D41EA">
            <w:pPr>
              <w:spacing w:before="40" w:after="40"/>
              <w:jc w:val="right"/>
              <w:rPr>
                <w:rFonts w:cs="Arial"/>
                <w:b/>
                <w:sz w:val="18"/>
                <w:szCs w:val="18"/>
              </w:rPr>
            </w:pPr>
            <w:r w:rsidRPr="001D41EA">
              <w:rPr>
                <w:rFonts w:cs="Arial"/>
                <w:b/>
                <w:sz w:val="18"/>
                <w:szCs w:val="18"/>
              </w:rPr>
              <w:t>4,857,834</w:t>
            </w:r>
          </w:p>
        </w:tc>
      </w:tr>
      <w:tr w:rsidR="00A66703" w:rsidRPr="001D41EA" w14:paraId="77422A50"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115496E" w14:textId="77777777" w:rsidR="00A66703" w:rsidRPr="001D41EA" w:rsidRDefault="00A66703" w:rsidP="001D41EA">
            <w:pPr>
              <w:spacing w:before="40" w:after="40"/>
              <w:rPr>
                <w:rFonts w:cs="Arial"/>
                <w:sz w:val="18"/>
                <w:szCs w:val="18"/>
              </w:rPr>
            </w:pPr>
            <w:r w:rsidRPr="001D41EA">
              <w:rPr>
                <w:rFonts w:cs="Arial"/>
                <w:sz w:val="18"/>
                <w:szCs w:val="18"/>
              </w:rPr>
              <w:t>Kingston C</w:t>
            </w:r>
          </w:p>
        </w:tc>
        <w:tc>
          <w:tcPr>
            <w:tcW w:w="1134" w:type="dxa"/>
            <w:tcBorders>
              <w:top w:val="nil"/>
              <w:left w:val="single" w:sz="18" w:space="0" w:color="5F497A" w:themeColor="accent4" w:themeShade="BF"/>
              <w:bottom w:val="nil"/>
              <w:right w:val="nil"/>
            </w:tcBorders>
            <w:shd w:val="clear" w:color="auto" w:fill="auto"/>
            <w:vAlign w:val="bottom"/>
          </w:tcPr>
          <w:p w14:paraId="28AEBA22" w14:textId="5CE14640" w:rsidR="00A66703" w:rsidRPr="001D41EA" w:rsidRDefault="00A66703" w:rsidP="001D41EA">
            <w:pPr>
              <w:spacing w:before="40" w:after="40"/>
              <w:jc w:val="right"/>
              <w:rPr>
                <w:rFonts w:cs="Arial"/>
                <w:sz w:val="18"/>
                <w:szCs w:val="18"/>
              </w:rPr>
            </w:pPr>
            <w:r w:rsidRPr="001D41EA">
              <w:rPr>
                <w:rFonts w:cs="Arial"/>
                <w:sz w:val="18"/>
                <w:szCs w:val="18"/>
              </w:rPr>
              <w:t>3,457,377</w:t>
            </w:r>
          </w:p>
        </w:tc>
        <w:tc>
          <w:tcPr>
            <w:tcW w:w="1134" w:type="dxa"/>
            <w:tcBorders>
              <w:top w:val="nil"/>
              <w:left w:val="nil"/>
              <w:bottom w:val="nil"/>
              <w:right w:val="nil"/>
            </w:tcBorders>
            <w:shd w:val="clear" w:color="auto" w:fill="auto"/>
            <w:vAlign w:val="bottom"/>
          </w:tcPr>
          <w:p w14:paraId="52277488" w14:textId="4950F33F" w:rsidR="00A66703" w:rsidRPr="001D41EA" w:rsidRDefault="00A66703" w:rsidP="001D41EA">
            <w:pPr>
              <w:spacing w:before="40" w:after="40"/>
              <w:jc w:val="right"/>
              <w:rPr>
                <w:rFonts w:cs="Arial"/>
                <w:sz w:val="18"/>
                <w:szCs w:val="18"/>
              </w:rPr>
            </w:pPr>
            <w:r w:rsidRPr="001D41EA">
              <w:rPr>
                <w:rFonts w:cs="Arial"/>
                <w:sz w:val="18"/>
                <w:szCs w:val="18"/>
              </w:rPr>
              <w:t>1,085,382</w:t>
            </w:r>
          </w:p>
        </w:tc>
        <w:tc>
          <w:tcPr>
            <w:tcW w:w="170" w:type="dxa"/>
            <w:tcBorders>
              <w:top w:val="nil"/>
              <w:left w:val="nil"/>
              <w:bottom w:val="nil"/>
              <w:right w:val="nil"/>
            </w:tcBorders>
            <w:vAlign w:val="bottom"/>
          </w:tcPr>
          <w:p w14:paraId="4EAE6401"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133F4D63" w14:textId="4190843D" w:rsidR="00A66703" w:rsidRPr="001D41EA" w:rsidRDefault="00A66703" w:rsidP="001D41EA">
            <w:pPr>
              <w:spacing w:before="40" w:after="40"/>
              <w:jc w:val="right"/>
              <w:rPr>
                <w:rFonts w:cs="Arial"/>
                <w:sz w:val="18"/>
                <w:szCs w:val="18"/>
              </w:rPr>
            </w:pPr>
            <w:r w:rsidRPr="001D41EA">
              <w:rPr>
                <w:rFonts w:cs="Arial"/>
                <w:sz w:val="18"/>
                <w:szCs w:val="18"/>
              </w:rPr>
              <w:t>-36,567</w:t>
            </w:r>
          </w:p>
        </w:tc>
        <w:tc>
          <w:tcPr>
            <w:tcW w:w="1021" w:type="dxa"/>
            <w:tcBorders>
              <w:top w:val="nil"/>
              <w:left w:val="nil"/>
              <w:bottom w:val="nil"/>
              <w:right w:val="nil"/>
            </w:tcBorders>
            <w:vAlign w:val="bottom"/>
          </w:tcPr>
          <w:p w14:paraId="7E888C54" w14:textId="602DF585" w:rsidR="00A66703" w:rsidRPr="001D41EA" w:rsidRDefault="00A66703" w:rsidP="001D41EA">
            <w:pPr>
              <w:spacing w:before="40" w:after="40"/>
              <w:jc w:val="right"/>
              <w:rPr>
                <w:rFonts w:cs="Arial"/>
                <w:sz w:val="18"/>
                <w:szCs w:val="18"/>
              </w:rPr>
            </w:pPr>
            <w:r w:rsidRPr="001D41EA">
              <w:rPr>
                <w:rFonts w:cs="Arial"/>
                <w:sz w:val="18"/>
                <w:szCs w:val="18"/>
              </w:rPr>
              <w:t>-9,873</w:t>
            </w:r>
          </w:p>
        </w:tc>
        <w:tc>
          <w:tcPr>
            <w:tcW w:w="1021" w:type="dxa"/>
            <w:tcBorders>
              <w:top w:val="nil"/>
              <w:left w:val="nil"/>
              <w:bottom w:val="nil"/>
              <w:right w:val="nil"/>
            </w:tcBorders>
            <w:vAlign w:val="bottom"/>
          </w:tcPr>
          <w:p w14:paraId="577C69A7" w14:textId="5E30D598" w:rsidR="00A66703" w:rsidRPr="001D41EA" w:rsidRDefault="00A66703" w:rsidP="001D41EA">
            <w:pPr>
              <w:spacing w:before="40" w:after="40"/>
              <w:jc w:val="right"/>
              <w:rPr>
                <w:rFonts w:cs="Arial"/>
                <w:sz w:val="18"/>
                <w:szCs w:val="18"/>
              </w:rPr>
            </w:pPr>
            <w:r w:rsidRPr="001D41EA">
              <w:rPr>
                <w:rFonts w:cs="Arial"/>
                <w:sz w:val="18"/>
                <w:szCs w:val="18"/>
              </w:rPr>
              <w:t>-46,440</w:t>
            </w:r>
          </w:p>
        </w:tc>
        <w:tc>
          <w:tcPr>
            <w:tcW w:w="1247" w:type="dxa"/>
            <w:tcBorders>
              <w:top w:val="nil"/>
              <w:left w:val="nil"/>
              <w:bottom w:val="nil"/>
              <w:right w:val="nil"/>
            </w:tcBorders>
            <w:shd w:val="clear" w:color="auto" w:fill="auto"/>
            <w:vAlign w:val="bottom"/>
          </w:tcPr>
          <w:p w14:paraId="5AEDFE50" w14:textId="127EFFBD" w:rsidR="00A66703" w:rsidRPr="001D41EA" w:rsidRDefault="00A66703" w:rsidP="001D41EA">
            <w:pPr>
              <w:spacing w:before="40" w:after="40"/>
              <w:jc w:val="right"/>
              <w:rPr>
                <w:rFonts w:cs="Arial"/>
                <w:b/>
                <w:sz w:val="18"/>
                <w:szCs w:val="18"/>
              </w:rPr>
            </w:pPr>
            <w:r w:rsidRPr="001D41EA">
              <w:rPr>
                <w:rFonts w:cs="Arial"/>
                <w:b/>
                <w:sz w:val="18"/>
                <w:szCs w:val="18"/>
              </w:rPr>
              <w:t>4,496,319</w:t>
            </w:r>
          </w:p>
        </w:tc>
      </w:tr>
      <w:tr w:rsidR="00A66703" w:rsidRPr="001D41EA" w14:paraId="627C3F7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05E2471" w14:textId="77777777" w:rsidR="00A66703" w:rsidRPr="001D41EA" w:rsidRDefault="00A66703" w:rsidP="001D41EA">
            <w:pPr>
              <w:spacing w:before="40" w:after="40"/>
              <w:rPr>
                <w:rFonts w:cs="Arial"/>
                <w:sz w:val="18"/>
                <w:szCs w:val="18"/>
              </w:rPr>
            </w:pPr>
            <w:r w:rsidRPr="001D41EA">
              <w:rPr>
                <w:rFonts w:cs="Arial"/>
                <w:sz w:val="18"/>
                <w:szCs w:val="18"/>
              </w:rPr>
              <w:t>Knox C</w:t>
            </w:r>
          </w:p>
        </w:tc>
        <w:tc>
          <w:tcPr>
            <w:tcW w:w="1134" w:type="dxa"/>
            <w:tcBorders>
              <w:top w:val="nil"/>
              <w:left w:val="single" w:sz="18" w:space="0" w:color="5F497A" w:themeColor="accent4" w:themeShade="BF"/>
              <w:bottom w:val="nil"/>
              <w:right w:val="nil"/>
            </w:tcBorders>
            <w:shd w:val="clear" w:color="auto" w:fill="auto"/>
            <w:vAlign w:val="bottom"/>
          </w:tcPr>
          <w:p w14:paraId="76A8D3BF" w14:textId="2D25AF22" w:rsidR="00A66703" w:rsidRPr="001D41EA" w:rsidRDefault="00A66703" w:rsidP="001D41EA">
            <w:pPr>
              <w:spacing w:before="40" w:after="40"/>
              <w:jc w:val="right"/>
              <w:rPr>
                <w:rFonts w:cs="Arial"/>
                <w:sz w:val="18"/>
                <w:szCs w:val="18"/>
              </w:rPr>
            </w:pPr>
            <w:r w:rsidRPr="001D41EA">
              <w:rPr>
                <w:rFonts w:cs="Arial"/>
                <w:sz w:val="18"/>
                <w:szCs w:val="18"/>
              </w:rPr>
              <w:t>6,393,843</w:t>
            </w:r>
          </w:p>
        </w:tc>
        <w:tc>
          <w:tcPr>
            <w:tcW w:w="1134" w:type="dxa"/>
            <w:tcBorders>
              <w:top w:val="nil"/>
              <w:left w:val="nil"/>
              <w:bottom w:val="nil"/>
              <w:right w:val="nil"/>
            </w:tcBorders>
            <w:shd w:val="clear" w:color="auto" w:fill="auto"/>
            <w:vAlign w:val="bottom"/>
          </w:tcPr>
          <w:p w14:paraId="45D03847" w14:textId="19BC6B0B" w:rsidR="00A66703" w:rsidRPr="001D41EA" w:rsidRDefault="00A66703" w:rsidP="001D41EA">
            <w:pPr>
              <w:spacing w:before="40" w:after="40"/>
              <w:jc w:val="right"/>
              <w:rPr>
                <w:rFonts w:cs="Arial"/>
                <w:sz w:val="18"/>
                <w:szCs w:val="18"/>
              </w:rPr>
            </w:pPr>
            <w:r w:rsidRPr="001D41EA">
              <w:rPr>
                <w:rFonts w:cs="Arial"/>
                <w:sz w:val="18"/>
                <w:szCs w:val="18"/>
              </w:rPr>
              <w:t>1,154,505</w:t>
            </w:r>
          </w:p>
        </w:tc>
        <w:tc>
          <w:tcPr>
            <w:tcW w:w="170" w:type="dxa"/>
            <w:tcBorders>
              <w:top w:val="nil"/>
              <w:left w:val="nil"/>
              <w:bottom w:val="nil"/>
              <w:right w:val="nil"/>
            </w:tcBorders>
            <w:vAlign w:val="bottom"/>
          </w:tcPr>
          <w:p w14:paraId="600BD93A"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41997351" w14:textId="6C63479B" w:rsidR="00A66703" w:rsidRPr="001D41EA" w:rsidRDefault="00A66703" w:rsidP="001D41EA">
            <w:pPr>
              <w:spacing w:before="40" w:after="40"/>
              <w:jc w:val="right"/>
              <w:rPr>
                <w:rFonts w:cs="Arial"/>
                <w:sz w:val="18"/>
                <w:szCs w:val="18"/>
              </w:rPr>
            </w:pPr>
            <w:r w:rsidRPr="001D41EA">
              <w:rPr>
                <w:rFonts w:cs="Arial"/>
                <w:sz w:val="18"/>
                <w:szCs w:val="18"/>
              </w:rPr>
              <w:t>-69,714</w:t>
            </w:r>
          </w:p>
        </w:tc>
        <w:tc>
          <w:tcPr>
            <w:tcW w:w="1021" w:type="dxa"/>
            <w:tcBorders>
              <w:top w:val="nil"/>
              <w:left w:val="nil"/>
              <w:bottom w:val="nil"/>
              <w:right w:val="nil"/>
            </w:tcBorders>
            <w:vAlign w:val="bottom"/>
          </w:tcPr>
          <w:p w14:paraId="36E9BDD2" w14:textId="37BEF182" w:rsidR="00A66703" w:rsidRPr="001D41EA" w:rsidRDefault="00A66703" w:rsidP="001D41EA">
            <w:pPr>
              <w:spacing w:before="40" w:after="40"/>
              <w:jc w:val="right"/>
              <w:rPr>
                <w:rFonts w:cs="Arial"/>
                <w:sz w:val="18"/>
                <w:szCs w:val="18"/>
              </w:rPr>
            </w:pPr>
            <w:r w:rsidRPr="001D41EA">
              <w:rPr>
                <w:rFonts w:cs="Arial"/>
                <w:sz w:val="18"/>
                <w:szCs w:val="18"/>
              </w:rPr>
              <w:t>-8,846</w:t>
            </w:r>
          </w:p>
        </w:tc>
        <w:tc>
          <w:tcPr>
            <w:tcW w:w="1021" w:type="dxa"/>
            <w:tcBorders>
              <w:top w:val="nil"/>
              <w:left w:val="nil"/>
              <w:bottom w:val="nil"/>
              <w:right w:val="nil"/>
            </w:tcBorders>
            <w:vAlign w:val="bottom"/>
          </w:tcPr>
          <w:p w14:paraId="4024017F" w14:textId="3343C6CB" w:rsidR="00A66703" w:rsidRPr="001D41EA" w:rsidRDefault="00A66703" w:rsidP="001D41EA">
            <w:pPr>
              <w:spacing w:before="40" w:after="40"/>
              <w:jc w:val="right"/>
              <w:rPr>
                <w:rFonts w:cs="Arial"/>
                <w:sz w:val="18"/>
                <w:szCs w:val="18"/>
              </w:rPr>
            </w:pPr>
            <w:r w:rsidRPr="001D41EA">
              <w:rPr>
                <w:rFonts w:cs="Arial"/>
                <w:sz w:val="18"/>
                <w:szCs w:val="18"/>
              </w:rPr>
              <w:t>-78,560</w:t>
            </w:r>
          </w:p>
        </w:tc>
        <w:tc>
          <w:tcPr>
            <w:tcW w:w="1247" w:type="dxa"/>
            <w:tcBorders>
              <w:top w:val="nil"/>
              <w:left w:val="nil"/>
              <w:bottom w:val="nil"/>
              <w:right w:val="nil"/>
            </w:tcBorders>
            <w:shd w:val="clear" w:color="auto" w:fill="auto"/>
            <w:vAlign w:val="bottom"/>
          </w:tcPr>
          <w:p w14:paraId="405A47AB" w14:textId="4A2E26EC" w:rsidR="00A66703" w:rsidRPr="001D41EA" w:rsidRDefault="00A66703" w:rsidP="001D41EA">
            <w:pPr>
              <w:spacing w:before="40" w:after="40"/>
              <w:jc w:val="right"/>
              <w:rPr>
                <w:rFonts w:cs="Arial"/>
                <w:b/>
                <w:sz w:val="18"/>
                <w:szCs w:val="18"/>
              </w:rPr>
            </w:pPr>
            <w:r w:rsidRPr="001D41EA">
              <w:rPr>
                <w:rFonts w:cs="Arial"/>
                <w:b/>
                <w:sz w:val="18"/>
                <w:szCs w:val="18"/>
              </w:rPr>
              <w:t>7,469,788</w:t>
            </w:r>
          </w:p>
        </w:tc>
      </w:tr>
      <w:tr w:rsidR="00A66703" w:rsidRPr="001D41EA" w14:paraId="4922C216"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39C8C7B" w14:textId="77777777" w:rsidR="00A66703" w:rsidRPr="001D41EA" w:rsidRDefault="00A66703" w:rsidP="001D41EA">
            <w:pPr>
              <w:spacing w:before="40" w:after="40"/>
              <w:rPr>
                <w:rFonts w:cs="Arial"/>
                <w:sz w:val="18"/>
                <w:szCs w:val="18"/>
              </w:rPr>
            </w:pPr>
            <w:r w:rsidRPr="001D41EA">
              <w:rPr>
                <w:rFonts w:cs="Arial"/>
                <w:sz w:val="18"/>
                <w:szCs w:val="18"/>
              </w:rPr>
              <w:t>Latrobe C</w:t>
            </w:r>
          </w:p>
        </w:tc>
        <w:tc>
          <w:tcPr>
            <w:tcW w:w="1134" w:type="dxa"/>
            <w:tcBorders>
              <w:top w:val="nil"/>
              <w:left w:val="single" w:sz="18" w:space="0" w:color="5F497A" w:themeColor="accent4" w:themeShade="BF"/>
              <w:bottom w:val="nil"/>
              <w:right w:val="nil"/>
            </w:tcBorders>
            <w:shd w:val="clear" w:color="auto" w:fill="auto"/>
            <w:vAlign w:val="bottom"/>
          </w:tcPr>
          <w:p w14:paraId="37C61E01" w14:textId="67980905" w:rsidR="00A66703" w:rsidRPr="001D41EA" w:rsidRDefault="00A66703" w:rsidP="001D41EA">
            <w:pPr>
              <w:spacing w:before="40" w:after="40"/>
              <w:jc w:val="right"/>
              <w:rPr>
                <w:rFonts w:cs="Arial"/>
                <w:sz w:val="18"/>
                <w:szCs w:val="18"/>
              </w:rPr>
            </w:pPr>
            <w:r w:rsidRPr="001D41EA">
              <w:rPr>
                <w:rFonts w:cs="Arial"/>
                <w:sz w:val="18"/>
                <w:szCs w:val="18"/>
              </w:rPr>
              <w:t>9,702,056</w:t>
            </w:r>
          </w:p>
        </w:tc>
        <w:tc>
          <w:tcPr>
            <w:tcW w:w="1134" w:type="dxa"/>
            <w:tcBorders>
              <w:top w:val="nil"/>
              <w:left w:val="nil"/>
              <w:bottom w:val="nil"/>
              <w:right w:val="nil"/>
            </w:tcBorders>
            <w:shd w:val="clear" w:color="auto" w:fill="auto"/>
            <w:vAlign w:val="bottom"/>
          </w:tcPr>
          <w:p w14:paraId="4679E59A" w14:textId="4E9EE420" w:rsidR="00A66703" w:rsidRPr="001D41EA" w:rsidRDefault="00A66703" w:rsidP="001D41EA">
            <w:pPr>
              <w:spacing w:before="40" w:after="40"/>
              <w:jc w:val="right"/>
              <w:rPr>
                <w:rFonts w:cs="Arial"/>
                <w:sz w:val="18"/>
                <w:szCs w:val="18"/>
              </w:rPr>
            </w:pPr>
            <w:r w:rsidRPr="001D41EA">
              <w:rPr>
                <w:rFonts w:cs="Arial"/>
                <w:sz w:val="18"/>
                <w:szCs w:val="18"/>
              </w:rPr>
              <w:t>2,681,484</w:t>
            </w:r>
          </w:p>
        </w:tc>
        <w:tc>
          <w:tcPr>
            <w:tcW w:w="170" w:type="dxa"/>
            <w:tcBorders>
              <w:top w:val="nil"/>
              <w:left w:val="nil"/>
              <w:bottom w:val="nil"/>
              <w:right w:val="nil"/>
            </w:tcBorders>
            <w:vAlign w:val="bottom"/>
          </w:tcPr>
          <w:p w14:paraId="4D6A2B99"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7D176093" w14:textId="40A27B43" w:rsidR="00A66703" w:rsidRPr="001D41EA" w:rsidRDefault="00A66703" w:rsidP="001D41EA">
            <w:pPr>
              <w:spacing w:before="40" w:after="40"/>
              <w:jc w:val="right"/>
              <w:rPr>
                <w:rFonts w:cs="Arial"/>
                <w:sz w:val="18"/>
                <w:szCs w:val="18"/>
              </w:rPr>
            </w:pPr>
            <w:r w:rsidRPr="001D41EA">
              <w:rPr>
                <w:rFonts w:cs="Arial"/>
                <w:sz w:val="18"/>
                <w:szCs w:val="18"/>
              </w:rPr>
              <w:t>-101,837</w:t>
            </w:r>
          </w:p>
        </w:tc>
        <w:tc>
          <w:tcPr>
            <w:tcW w:w="1021" w:type="dxa"/>
            <w:tcBorders>
              <w:top w:val="nil"/>
              <w:left w:val="nil"/>
              <w:bottom w:val="nil"/>
              <w:right w:val="nil"/>
            </w:tcBorders>
            <w:vAlign w:val="bottom"/>
          </w:tcPr>
          <w:p w14:paraId="04E0D8FF" w14:textId="345F98CD" w:rsidR="00A66703" w:rsidRPr="001D41EA" w:rsidRDefault="00A66703" w:rsidP="001D41EA">
            <w:pPr>
              <w:spacing w:before="40" w:after="40"/>
              <w:jc w:val="right"/>
              <w:rPr>
                <w:rFonts w:cs="Arial"/>
                <w:sz w:val="18"/>
                <w:szCs w:val="18"/>
              </w:rPr>
            </w:pPr>
            <w:r w:rsidRPr="001D41EA">
              <w:rPr>
                <w:rFonts w:cs="Arial"/>
                <w:sz w:val="18"/>
                <w:szCs w:val="18"/>
              </w:rPr>
              <w:t>-20,519</w:t>
            </w:r>
          </w:p>
        </w:tc>
        <w:tc>
          <w:tcPr>
            <w:tcW w:w="1021" w:type="dxa"/>
            <w:tcBorders>
              <w:top w:val="nil"/>
              <w:left w:val="nil"/>
              <w:bottom w:val="nil"/>
              <w:right w:val="nil"/>
            </w:tcBorders>
            <w:vAlign w:val="bottom"/>
          </w:tcPr>
          <w:p w14:paraId="40F17033" w14:textId="5275B3AF" w:rsidR="00A66703" w:rsidRPr="001D41EA" w:rsidRDefault="00A66703" w:rsidP="001D41EA">
            <w:pPr>
              <w:spacing w:before="40" w:after="40"/>
              <w:jc w:val="right"/>
              <w:rPr>
                <w:rFonts w:cs="Arial"/>
                <w:sz w:val="18"/>
                <w:szCs w:val="18"/>
              </w:rPr>
            </w:pPr>
            <w:r w:rsidRPr="001D41EA">
              <w:rPr>
                <w:rFonts w:cs="Arial"/>
                <w:sz w:val="18"/>
                <w:szCs w:val="18"/>
              </w:rPr>
              <w:t>-122,356</w:t>
            </w:r>
          </w:p>
        </w:tc>
        <w:tc>
          <w:tcPr>
            <w:tcW w:w="1247" w:type="dxa"/>
            <w:tcBorders>
              <w:top w:val="nil"/>
              <w:left w:val="nil"/>
              <w:bottom w:val="nil"/>
              <w:right w:val="nil"/>
            </w:tcBorders>
            <w:shd w:val="clear" w:color="auto" w:fill="auto"/>
            <w:vAlign w:val="bottom"/>
          </w:tcPr>
          <w:p w14:paraId="096A2BE6" w14:textId="087B17CB" w:rsidR="00A66703" w:rsidRPr="001D41EA" w:rsidRDefault="00A66703" w:rsidP="001D41EA">
            <w:pPr>
              <w:spacing w:before="40" w:after="40"/>
              <w:jc w:val="right"/>
              <w:rPr>
                <w:rFonts w:cs="Arial"/>
                <w:b/>
                <w:sz w:val="18"/>
                <w:szCs w:val="18"/>
              </w:rPr>
            </w:pPr>
            <w:r w:rsidRPr="001D41EA">
              <w:rPr>
                <w:rFonts w:cs="Arial"/>
                <w:b/>
                <w:sz w:val="18"/>
                <w:szCs w:val="18"/>
              </w:rPr>
              <w:t>12,261,184</w:t>
            </w:r>
          </w:p>
        </w:tc>
      </w:tr>
      <w:tr w:rsidR="00A66703" w:rsidRPr="001D41EA" w14:paraId="3608C76E"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57CB449" w14:textId="77777777" w:rsidR="00A66703" w:rsidRPr="001D41EA" w:rsidRDefault="00A66703" w:rsidP="001D41EA">
            <w:pPr>
              <w:spacing w:before="40" w:after="40"/>
              <w:rPr>
                <w:rFonts w:cs="Arial"/>
                <w:sz w:val="18"/>
                <w:szCs w:val="18"/>
              </w:rPr>
            </w:pPr>
            <w:r w:rsidRPr="001D41EA">
              <w:rPr>
                <w:rFonts w:cs="Arial"/>
                <w:sz w:val="18"/>
                <w:szCs w:val="18"/>
              </w:rPr>
              <w:t>Loddon S</w:t>
            </w:r>
          </w:p>
        </w:tc>
        <w:tc>
          <w:tcPr>
            <w:tcW w:w="1134" w:type="dxa"/>
            <w:tcBorders>
              <w:top w:val="nil"/>
              <w:left w:val="single" w:sz="18" w:space="0" w:color="5F497A" w:themeColor="accent4" w:themeShade="BF"/>
              <w:bottom w:val="nil"/>
              <w:right w:val="nil"/>
            </w:tcBorders>
            <w:shd w:val="clear" w:color="auto" w:fill="auto"/>
            <w:vAlign w:val="bottom"/>
          </w:tcPr>
          <w:p w14:paraId="2C1D3CBF" w14:textId="754C8AB4" w:rsidR="00A66703" w:rsidRPr="001D41EA" w:rsidRDefault="00A66703" w:rsidP="001D41EA">
            <w:pPr>
              <w:spacing w:before="40" w:after="40"/>
              <w:jc w:val="right"/>
              <w:rPr>
                <w:rFonts w:cs="Arial"/>
                <w:sz w:val="18"/>
                <w:szCs w:val="18"/>
              </w:rPr>
            </w:pPr>
            <w:r w:rsidRPr="001D41EA">
              <w:rPr>
                <w:rFonts w:cs="Arial"/>
                <w:sz w:val="18"/>
                <w:szCs w:val="18"/>
              </w:rPr>
              <w:t>5,423,531</w:t>
            </w:r>
          </w:p>
        </w:tc>
        <w:tc>
          <w:tcPr>
            <w:tcW w:w="1134" w:type="dxa"/>
            <w:tcBorders>
              <w:top w:val="nil"/>
              <w:left w:val="nil"/>
              <w:bottom w:val="nil"/>
              <w:right w:val="nil"/>
            </w:tcBorders>
            <w:shd w:val="clear" w:color="auto" w:fill="auto"/>
            <w:vAlign w:val="bottom"/>
          </w:tcPr>
          <w:p w14:paraId="78B03843" w14:textId="147211EE" w:rsidR="00A66703" w:rsidRPr="001D41EA" w:rsidRDefault="00A66703" w:rsidP="001D41EA">
            <w:pPr>
              <w:spacing w:before="40" w:after="40"/>
              <w:jc w:val="right"/>
              <w:rPr>
                <w:rFonts w:cs="Arial"/>
                <w:sz w:val="18"/>
                <w:szCs w:val="18"/>
              </w:rPr>
            </w:pPr>
            <w:r w:rsidRPr="001D41EA">
              <w:rPr>
                <w:rFonts w:cs="Arial"/>
                <w:sz w:val="18"/>
                <w:szCs w:val="18"/>
              </w:rPr>
              <w:t>3,759,315</w:t>
            </w:r>
          </w:p>
        </w:tc>
        <w:tc>
          <w:tcPr>
            <w:tcW w:w="170" w:type="dxa"/>
            <w:tcBorders>
              <w:top w:val="nil"/>
              <w:left w:val="nil"/>
              <w:bottom w:val="nil"/>
              <w:right w:val="nil"/>
            </w:tcBorders>
            <w:vAlign w:val="bottom"/>
          </w:tcPr>
          <w:p w14:paraId="1B6B4A1E" w14:textId="77777777" w:rsidR="00A66703" w:rsidRPr="001D41EA" w:rsidRDefault="00A66703" w:rsidP="001D41EA">
            <w:pPr>
              <w:spacing w:before="40" w:after="40"/>
              <w:jc w:val="right"/>
              <w:rPr>
                <w:rFonts w:cs="Arial"/>
                <w:sz w:val="18"/>
                <w:szCs w:val="18"/>
              </w:rPr>
            </w:pPr>
          </w:p>
        </w:tc>
        <w:tc>
          <w:tcPr>
            <w:tcW w:w="1021" w:type="dxa"/>
            <w:tcBorders>
              <w:top w:val="nil"/>
              <w:left w:val="nil"/>
              <w:bottom w:val="nil"/>
              <w:right w:val="nil"/>
            </w:tcBorders>
            <w:vAlign w:val="bottom"/>
          </w:tcPr>
          <w:p w14:paraId="7E072A66" w14:textId="772698B8" w:rsidR="00A66703" w:rsidRPr="001D41EA" w:rsidRDefault="00A66703" w:rsidP="001D41EA">
            <w:pPr>
              <w:spacing w:before="40" w:after="40"/>
              <w:jc w:val="right"/>
              <w:rPr>
                <w:rFonts w:cs="Arial"/>
                <w:sz w:val="18"/>
                <w:szCs w:val="18"/>
              </w:rPr>
            </w:pPr>
            <w:r w:rsidRPr="001D41EA">
              <w:rPr>
                <w:rFonts w:cs="Arial"/>
                <w:sz w:val="18"/>
                <w:szCs w:val="18"/>
              </w:rPr>
              <w:t>-56,520</w:t>
            </w:r>
          </w:p>
        </w:tc>
        <w:tc>
          <w:tcPr>
            <w:tcW w:w="1021" w:type="dxa"/>
            <w:tcBorders>
              <w:top w:val="nil"/>
              <w:left w:val="nil"/>
              <w:bottom w:val="nil"/>
              <w:right w:val="nil"/>
            </w:tcBorders>
            <w:vAlign w:val="bottom"/>
          </w:tcPr>
          <w:p w14:paraId="73F29286" w14:textId="1EBDD311" w:rsidR="00A66703" w:rsidRPr="001D41EA" w:rsidRDefault="00A66703" w:rsidP="001D41EA">
            <w:pPr>
              <w:spacing w:before="40" w:after="40"/>
              <w:jc w:val="right"/>
              <w:rPr>
                <w:rFonts w:cs="Arial"/>
                <w:sz w:val="18"/>
                <w:szCs w:val="18"/>
              </w:rPr>
            </w:pPr>
            <w:r w:rsidRPr="001D41EA">
              <w:rPr>
                <w:rFonts w:cs="Arial"/>
                <w:sz w:val="18"/>
                <w:szCs w:val="18"/>
              </w:rPr>
              <w:t>-28,819</w:t>
            </w:r>
          </w:p>
        </w:tc>
        <w:tc>
          <w:tcPr>
            <w:tcW w:w="1021" w:type="dxa"/>
            <w:tcBorders>
              <w:top w:val="nil"/>
              <w:left w:val="nil"/>
              <w:bottom w:val="nil"/>
              <w:right w:val="nil"/>
            </w:tcBorders>
            <w:vAlign w:val="bottom"/>
          </w:tcPr>
          <w:p w14:paraId="3BEC081B" w14:textId="7356EF57" w:rsidR="00A66703" w:rsidRPr="001D41EA" w:rsidRDefault="00A66703" w:rsidP="001D41EA">
            <w:pPr>
              <w:spacing w:before="40" w:after="40"/>
              <w:jc w:val="right"/>
              <w:rPr>
                <w:rFonts w:cs="Arial"/>
                <w:sz w:val="18"/>
                <w:szCs w:val="18"/>
              </w:rPr>
            </w:pPr>
            <w:r w:rsidRPr="001D41EA">
              <w:rPr>
                <w:rFonts w:cs="Arial"/>
                <w:sz w:val="18"/>
                <w:szCs w:val="18"/>
              </w:rPr>
              <w:t>-85,339</w:t>
            </w:r>
          </w:p>
        </w:tc>
        <w:tc>
          <w:tcPr>
            <w:tcW w:w="1247" w:type="dxa"/>
            <w:tcBorders>
              <w:top w:val="nil"/>
              <w:left w:val="nil"/>
              <w:bottom w:val="nil"/>
              <w:right w:val="nil"/>
            </w:tcBorders>
            <w:shd w:val="clear" w:color="auto" w:fill="auto"/>
            <w:vAlign w:val="bottom"/>
          </w:tcPr>
          <w:p w14:paraId="68FFBD29" w14:textId="6928D756" w:rsidR="00A66703" w:rsidRPr="001D41EA" w:rsidRDefault="00A66703" w:rsidP="001D41EA">
            <w:pPr>
              <w:spacing w:before="40" w:after="40"/>
              <w:jc w:val="right"/>
              <w:rPr>
                <w:rFonts w:cs="Arial"/>
                <w:b/>
                <w:sz w:val="18"/>
                <w:szCs w:val="18"/>
              </w:rPr>
            </w:pPr>
            <w:r w:rsidRPr="001D41EA">
              <w:rPr>
                <w:rFonts w:cs="Arial"/>
                <w:b/>
                <w:sz w:val="18"/>
                <w:szCs w:val="18"/>
              </w:rPr>
              <w:t>9,097,507</w:t>
            </w:r>
          </w:p>
        </w:tc>
      </w:tr>
    </w:tbl>
    <w:p w14:paraId="09D79244" w14:textId="1EA93F4C" w:rsidR="006D3AB7" w:rsidRDefault="006D3AB7" w:rsidP="001B22BA">
      <w:pPr>
        <w:spacing w:before="40" w:after="20"/>
        <w:rPr>
          <w:rFonts w:cs="Arial"/>
          <w:sz w:val="16"/>
          <w:szCs w:val="16"/>
        </w:rPr>
      </w:pPr>
    </w:p>
    <w:p w14:paraId="7615EE0C" w14:textId="78D17802" w:rsidR="001E3FAA" w:rsidRPr="00A44829" w:rsidRDefault="001E3FAA" w:rsidP="001B22BA">
      <w:pPr>
        <w:spacing w:before="40" w:after="20"/>
        <w:rPr>
          <w:rFonts w:cs="Arial"/>
          <w:i/>
          <w:sz w:val="16"/>
          <w:szCs w:val="16"/>
        </w:rPr>
      </w:pPr>
      <w:r w:rsidRPr="00A44829">
        <w:rPr>
          <w:rFonts w:cs="Arial"/>
          <w:i/>
          <w:sz w:val="16"/>
          <w:szCs w:val="16"/>
        </w:rPr>
        <w:t xml:space="preserve">* Estimated Payments include the brought forward payments made </w:t>
      </w:r>
      <w:r w:rsidR="00C60457" w:rsidRPr="00A44829">
        <w:rPr>
          <w:rFonts w:cs="Arial"/>
          <w:i/>
          <w:sz w:val="16"/>
          <w:szCs w:val="16"/>
        </w:rPr>
        <w:t>in</w:t>
      </w:r>
      <w:r w:rsidRPr="00A44829">
        <w:rPr>
          <w:rFonts w:cs="Arial"/>
          <w:i/>
          <w:sz w:val="16"/>
          <w:szCs w:val="16"/>
        </w:rPr>
        <w:t xml:space="preserve"> June 201</w:t>
      </w:r>
      <w:r w:rsidR="00F04730" w:rsidRPr="00A44829">
        <w:rPr>
          <w:rFonts w:cs="Arial"/>
          <w:i/>
          <w:sz w:val="16"/>
          <w:szCs w:val="16"/>
        </w:rPr>
        <w:t>9</w:t>
      </w:r>
      <w:r w:rsidRPr="00A44829">
        <w:rPr>
          <w:rFonts w:cs="Arial"/>
          <w:i/>
          <w:sz w:val="16"/>
          <w:szCs w:val="16"/>
        </w:rPr>
        <w:t>.</w:t>
      </w:r>
      <w:r w:rsidR="00F04730" w:rsidRPr="00A44829">
        <w:rPr>
          <w:rFonts w:cs="Arial"/>
          <w:i/>
          <w:sz w:val="16"/>
          <w:szCs w:val="16"/>
        </w:rPr>
        <w:t xml:space="preserve"> </w:t>
      </w:r>
    </w:p>
    <w:p w14:paraId="2E13033C" w14:textId="77777777" w:rsidR="00AD05EC" w:rsidRPr="00A44829" w:rsidRDefault="002460C5" w:rsidP="001B22BA">
      <w:pPr>
        <w:spacing w:before="40" w:after="20"/>
        <w:rPr>
          <w:rFonts w:cs="Arial"/>
          <w:sz w:val="18"/>
          <w:szCs w:val="18"/>
        </w:rPr>
      </w:pPr>
      <w:r w:rsidRPr="00A44829">
        <w:rPr>
          <w:rFonts w:cs="Arial"/>
          <w:sz w:val="18"/>
          <w:szCs w:val="18"/>
        </w:rPr>
        <w:br w:type="page"/>
      </w:r>
    </w:p>
    <w:p w14:paraId="2A6FE80B" w14:textId="21C135A6" w:rsidR="00AD05EC" w:rsidRPr="00A44829" w:rsidRDefault="00EE4593" w:rsidP="00C33713">
      <w:pPr>
        <w:pStyle w:val="VGC-Head10"/>
      </w:pPr>
      <w:r w:rsidRPr="00A44829">
        <w:lastRenderedPageBreak/>
        <w:t>2019-20</w:t>
      </w:r>
      <w:r w:rsidR="00A97ABE" w:rsidRPr="00A44829">
        <w:t xml:space="preserve"> </w:t>
      </w:r>
      <w:r w:rsidR="00AD05EC" w:rsidRPr="00A44829">
        <w:t>Allocations</w:t>
      </w:r>
      <w:r w:rsidR="00CE4507" w:rsidRPr="00A44829">
        <w:tab/>
        <w:t>Appendix 2</w:t>
      </w:r>
    </w:p>
    <w:p w14:paraId="2225C045" w14:textId="77777777" w:rsidR="00AD05EC" w:rsidRPr="00A44829" w:rsidRDefault="004F1184" w:rsidP="008C1A28">
      <w:pPr>
        <w:pStyle w:val="VGC-Head2"/>
      </w:pPr>
      <w:r w:rsidRPr="00A44829">
        <w:tab/>
      </w:r>
      <w:r w:rsidR="004B380D" w:rsidRPr="00A44829">
        <w:t>B.  Payments</w:t>
      </w: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A44829" w14:paraId="40123682" w14:textId="77777777" w:rsidTr="00C60457">
        <w:trPr>
          <w:trHeight w:val="20"/>
          <w:tblHeader/>
        </w:trPr>
        <w:tc>
          <w:tcPr>
            <w:tcW w:w="2268" w:type="dxa"/>
            <w:tcBorders>
              <w:top w:val="nil"/>
              <w:left w:val="nil"/>
              <w:right w:val="single" w:sz="18" w:space="0" w:color="5F497A" w:themeColor="accent4" w:themeShade="BF"/>
            </w:tcBorders>
            <w:shd w:val="clear" w:color="auto" w:fill="auto"/>
            <w:vAlign w:val="bottom"/>
          </w:tcPr>
          <w:p w14:paraId="4EE9AAF1" w14:textId="77777777" w:rsidR="00475A74" w:rsidRPr="00A44829" w:rsidRDefault="00475A74" w:rsidP="008001AD">
            <w:pPr>
              <w:spacing w:before="40" w:after="20"/>
              <w:jc w:val="center"/>
              <w:rPr>
                <w:rFonts w:cs="Arial"/>
                <w:sz w:val="18"/>
                <w:szCs w:val="18"/>
              </w:rPr>
            </w:pPr>
          </w:p>
        </w:tc>
        <w:tc>
          <w:tcPr>
            <w:tcW w:w="2268" w:type="dxa"/>
            <w:gridSpan w:val="2"/>
            <w:tcBorders>
              <w:left w:val="single" w:sz="18" w:space="0" w:color="5F497A" w:themeColor="accent4" w:themeShade="BF"/>
              <w:bottom w:val="single" w:sz="8" w:space="0" w:color="5F497A" w:themeColor="accent4" w:themeShade="BF"/>
            </w:tcBorders>
            <w:shd w:val="clear" w:color="auto" w:fill="auto"/>
            <w:vAlign w:val="bottom"/>
          </w:tcPr>
          <w:p w14:paraId="754FAE4C" w14:textId="487852F7" w:rsidR="00475A74" w:rsidRPr="00A44829" w:rsidRDefault="00AD6B35" w:rsidP="008001AD">
            <w:pPr>
              <w:spacing w:before="40" w:after="20"/>
              <w:jc w:val="center"/>
              <w:rPr>
                <w:rFonts w:cs="Arial"/>
                <w:b/>
                <w:sz w:val="18"/>
                <w:szCs w:val="18"/>
              </w:rPr>
            </w:pPr>
            <w:r w:rsidRPr="00A44829">
              <w:rPr>
                <w:rFonts w:cs="Arial"/>
                <w:b/>
                <w:sz w:val="18"/>
                <w:szCs w:val="18"/>
              </w:rPr>
              <w:t xml:space="preserve">Financial Assistance Grants </w:t>
            </w:r>
            <w:r w:rsidR="00EE4593" w:rsidRPr="00A44829">
              <w:rPr>
                <w:rFonts w:cs="Arial"/>
                <w:b/>
                <w:sz w:val="18"/>
                <w:szCs w:val="18"/>
              </w:rPr>
              <w:t>2019-20</w:t>
            </w:r>
            <w:r w:rsidR="00057EFC" w:rsidRPr="00A44829">
              <w:rPr>
                <w:rFonts w:cs="Arial"/>
                <w:b/>
                <w:sz w:val="18"/>
                <w:szCs w:val="18"/>
              </w:rPr>
              <w:t xml:space="preserve"> </w:t>
            </w:r>
          </w:p>
        </w:tc>
        <w:tc>
          <w:tcPr>
            <w:tcW w:w="170" w:type="dxa"/>
            <w:vMerge w:val="restart"/>
            <w:tcBorders>
              <w:bottom w:val="single" w:sz="8" w:space="0" w:color="5F497A" w:themeColor="accent4" w:themeShade="BF"/>
            </w:tcBorders>
            <w:vAlign w:val="bottom"/>
          </w:tcPr>
          <w:p w14:paraId="0CDE9625" w14:textId="77777777" w:rsidR="00475A74" w:rsidRPr="00A44829" w:rsidRDefault="00475A74" w:rsidP="008001AD">
            <w:pPr>
              <w:spacing w:before="40" w:after="20"/>
              <w:jc w:val="center"/>
              <w:rPr>
                <w:rFonts w:cs="Arial"/>
                <w:b/>
                <w:sz w:val="18"/>
                <w:szCs w:val="18"/>
              </w:rPr>
            </w:pPr>
          </w:p>
        </w:tc>
        <w:tc>
          <w:tcPr>
            <w:tcW w:w="3063" w:type="dxa"/>
            <w:gridSpan w:val="3"/>
            <w:tcBorders>
              <w:bottom w:val="single" w:sz="8" w:space="0" w:color="5F497A" w:themeColor="accent4" w:themeShade="BF"/>
            </w:tcBorders>
            <w:vAlign w:val="bottom"/>
          </w:tcPr>
          <w:p w14:paraId="5232B8B8" w14:textId="25997FE6" w:rsidR="00475A74" w:rsidRPr="00A44829" w:rsidRDefault="00475A74" w:rsidP="008001AD">
            <w:pPr>
              <w:spacing w:before="40" w:after="20"/>
              <w:jc w:val="center"/>
              <w:rPr>
                <w:rFonts w:cs="Arial"/>
                <w:b/>
                <w:sz w:val="18"/>
                <w:szCs w:val="18"/>
              </w:rPr>
            </w:pPr>
            <w:r w:rsidRPr="00A44829">
              <w:rPr>
                <w:rFonts w:cs="Arial"/>
                <w:b/>
                <w:sz w:val="18"/>
                <w:szCs w:val="18"/>
              </w:rPr>
              <w:t xml:space="preserve">Adjustment </w:t>
            </w:r>
            <w:r w:rsidR="00EE4593" w:rsidRPr="00A44829">
              <w:rPr>
                <w:rFonts w:cs="Arial"/>
                <w:b/>
                <w:sz w:val="18"/>
                <w:szCs w:val="18"/>
              </w:rPr>
              <w:t>2018-19</w:t>
            </w:r>
            <w:r w:rsidR="00057EFC" w:rsidRPr="00A44829">
              <w:rPr>
                <w:rFonts w:cs="Arial"/>
                <w:b/>
                <w:sz w:val="18"/>
                <w:szCs w:val="18"/>
              </w:rPr>
              <w:t xml:space="preserve"> </w:t>
            </w:r>
          </w:p>
        </w:tc>
        <w:tc>
          <w:tcPr>
            <w:tcW w:w="1247" w:type="dxa"/>
            <w:vMerge w:val="restart"/>
            <w:tcBorders>
              <w:bottom w:val="single" w:sz="8" w:space="0" w:color="5F497A" w:themeColor="accent4" w:themeShade="BF"/>
            </w:tcBorders>
            <w:shd w:val="clear" w:color="auto" w:fill="auto"/>
            <w:vAlign w:val="bottom"/>
          </w:tcPr>
          <w:p w14:paraId="7EE55C48" w14:textId="0CCC5155" w:rsidR="00475A74" w:rsidRPr="00A44829" w:rsidRDefault="00475A74" w:rsidP="008001AD">
            <w:pPr>
              <w:spacing w:before="40" w:after="20"/>
              <w:jc w:val="center"/>
              <w:rPr>
                <w:rFonts w:cs="Arial"/>
                <w:b/>
                <w:sz w:val="18"/>
                <w:szCs w:val="18"/>
              </w:rPr>
            </w:pPr>
            <w:r w:rsidRPr="00A44829">
              <w:rPr>
                <w:rFonts w:cs="Arial"/>
                <w:b/>
                <w:sz w:val="18"/>
                <w:szCs w:val="18"/>
              </w:rPr>
              <w:t>Total Estimated Payment</w:t>
            </w:r>
            <w:r w:rsidR="001E3FAA" w:rsidRPr="00A44829">
              <w:rPr>
                <w:rFonts w:cs="Arial"/>
                <w:b/>
                <w:sz w:val="18"/>
                <w:szCs w:val="18"/>
              </w:rPr>
              <w:t xml:space="preserve">* </w:t>
            </w:r>
            <w:r w:rsidR="00EE4593" w:rsidRPr="00A44829">
              <w:rPr>
                <w:rFonts w:cs="Arial"/>
                <w:b/>
                <w:sz w:val="18"/>
                <w:szCs w:val="18"/>
              </w:rPr>
              <w:t>2019-20</w:t>
            </w:r>
            <w:r w:rsidR="00057EFC" w:rsidRPr="00A44829">
              <w:rPr>
                <w:rFonts w:cs="Arial"/>
                <w:b/>
                <w:sz w:val="18"/>
                <w:szCs w:val="18"/>
              </w:rPr>
              <w:t xml:space="preserve"> </w:t>
            </w:r>
            <w:r w:rsidRPr="00A44829">
              <w:rPr>
                <w:rFonts w:cs="Arial"/>
                <w:b/>
                <w:sz w:val="18"/>
                <w:szCs w:val="18"/>
              </w:rPr>
              <w:br/>
              <w:t>($)</w:t>
            </w:r>
          </w:p>
        </w:tc>
      </w:tr>
      <w:tr w:rsidR="007924A4" w:rsidRPr="00A44829" w14:paraId="2FE4B871" w14:textId="77777777" w:rsidTr="00C60457">
        <w:trPr>
          <w:trHeight w:val="20"/>
          <w:tblHeader/>
        </w:trPr>
        <w:tc>
          <w:tcPr>
            <w:tcW w:w="2268" w:type="dxa"/>
            <w:tcBorders>
              <w:top w:val="nil"/>
              <w:left w:val="nil"/>
              <w:right w:val="single" w:sz="18" w:space="0" w:color="5F497A" w:themeColor="accent4" w:themeShade="BF"/>
            </w:tcBorders>
            <w:shd w:val="clear" w:color="auto" w:fill="auto"/>
            <w:vAlign w:val="bottom"/>
          </w:tcPr>
          <w:p w14:paraId="15C1F8EA" w14:textId="77777777" w:rsidR="007924A4" w:rsidRPr="00A44829" w:rsidRDefault="007924A4" w:rsidP="008001AD">
            <w:pPr>
              <w:spacing w:before="40" w:after="20"/>
              <w:jc w:val="center"/>
              <w:rPr>
                <w:rFonts w:cs="Arial"/>
                <w:sz w:val="18"/>
                <w:szCs w:val="18"/>
              </w:rPr>
            </w:pP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4D76DAC2" w14:textId="4B1399C8" w:rsidR="007924A4" w:rsidRPr="002A2397" w:rsidRDefault="007924A4" w:rsidP="008001AD">
            <w:pPr>
              <w:spacing w:before="40" w:after="20"/>
              <w:jc w:val="center"/>
              <w:rPr>
                <w:rFonts w:cs="Arial"/>
                <w:sz w:val="16"/>
                <w:szCs w:val="16"/>
              </w:rPr>
            </w:pPr>
            <w:r w:rsidRPr="002A2397">
              <w:rPr>
                <w:rFonts w:cs="Arial"/>
                <w:sz w:val="16"/>
                <w:szCs w:val="16"/>
              </w:rPr>
              <w:t>General Purpose Grants</w:t>
            </w:r>
            <w:r w:rsidR="00057EFC" w:rsidRPr="002A2397">
              <w:rPr>
                <w:rFonts w:cs="Arial"/>
                <w:sz w:val="16"/>
                <w:szCs w:val="16"/>
              </w:rPr>
              <w:t xml:space="preserve"> </w:t>
            </w:r>
            <w:r w:rsidRPr="002A2397">
              <w:rPr>
                <w:rFonts w:cs="Arial"/>
                <w:sz w:val="16"/>
                <w:szCs w:val="16"/>
              </w:rPr>
              <w:br/>
              <w:t>($)</w:t>
            </w:r>
          </w:p>
        </w:tc>
        <w:tc>
          <w:tcPr>
            <w:tcW w:w="1134" w:type="dxa"/>
            <w:tcBorders>
              <w:top w:val="single" w:sz="8" w:space="0" w:color="5F497A" w:themeColor="accent4" w:themeShade="BF"/>
              <w:bottom w:val="single" w:sz="8" w:space="0" w:color="5F497A" w:themeColor="accent4" w:themeShade="BF"/>
            </w:tcBorders>
            <w:shd w:val="clear" w:color="auto" w:fill="auto"/>
            <w:vAlign w:val="bottom"/>
          </w:tcPr>
          <w:p w14:paraId="63B335B1" w14:textId="01170143" w:rsidR="007924A4" w:rsidRPr="002A2397" w:rsidRDefault="007924A4" w:rsidP="008001AD">
            <w:pPr>
              <w:spacing w:before="40" w:after="20"/>
              <w:jc w:val="center"/>
              <w:rPr>
                <w:rFonts w:cs="Arial"/>
                <w:sz w:val="16"/>
                <w:szCs w:val="16"/>
              </w:rPr>
            </w:pPr>
            <w:r w:rsidRPr="002A2397">
              <w:rPr>
                <w:rFonts w:cs="Arial"/>
                <w:sz w:val="16"/>
                <w:szCs w:val="16"/>
              </w:rPr>
              <w:t>Local Road</w:t>
            </w:r>
            <w:r w:rsidR="00C64712" w:rsidRPr="002A2397">
              <w:rPr>
                <w:rFonts w:cs="Arial"/>
                <w:sz w:val="16"/>
                <w:szCs w:val="16"/>
              </w:rPr>
              <w:t>s</w:t>
            </w:r>
            <w:r w:rsidRPr="002A2397">
              <w:rPr>
                <w:rFonts w:cs="Arial"/>
                <w:sz w:val="16"/>
                <w:szCs w:val="16"/>
              </w:rPr>
              <w:t xml:space="preserve"> </w:t>
            </w:r>
            <w:r w:rsidR="00057EFC" w:rsidRPr="002A2397">
              <w:rPr>
                <w:rFonts w:cs="Arial"/>
                <w:sz w:val="16"/>
                <w:szCs w:val="16"/>
              </w:rPr>
              <w:t>Grants</w:t>
            </w:r>
            <w:r w:rsidRPr="002A2397">
              <w:rPr>
                <w:rFonts w:cs="Arial"/>
                <w:sz w:val="16"/>
                <w:szCs w:val="16"/>
              </w:rPr>
              <w:t xml:space="preserve"> </w:t>
            </w:r>
            <w:r w:rsidRPr="002A2397">
              <w:rPr>
                <w:rFonts w:cs="Arial"/>
                <w:sz w:val="16"/>
                <w:szCs w:val="16"/>
              </w:rPr>
              <w:br/>
              <w:t>($)</w:t>
            </w:r>
          </w:p>
        </w:tc>
        <w:tc>
          <w:tcPr>
            <w:tcW w:w="170" w:type="dxa"/>
            <w:vMerge/>
            <w:tcBorders>
              <w:top w:val="single" w:sz="8" w:space="0" w:color="5F497A" w:themeColor="accent4" w:themeShade="BF"/>
              <w:bottom w:val="single" w:sz="8" w:space="0" w:color="5F497A" w:themeColor="accent4" w:themeShade="BF"/>
            </w:tcBorders>
            <w:vAlign w:val="bottom"/>
          </w:tcPr>
          <w:p w14:paraId="6D1FB2BF" w14:textId="77777777" w:rsidR="007924A4" w:rsidRPr="002A2397" w:rsidRDefault="007924A4" w:rsidP="008001AD">
            <w:pPr>
              <w:spacing w:before="40" w:after="20"/>
              <w:jc w:val="center"/>
              <w:rPr>
                <w:rFonts w:cs="Arial"/>
                <w:sz w:val="16"/>
                <w:szCs w:val="16"/>
              </w:rPr>
            </w:pPr>
          </w:p>
        </w:tc>
        <w:tc>
          <w:tcPr>
            <w:tcW w:w="1021" w:type="dxa"/>
            <w:tcBorders>
              <w:top w:val="single" w:sz="8" w:space="0" w:color="5F497A" w:themeColor="accent4" w:themeShade="BF"/>
              <w:bottom w:val="single" w:sz="8" w:space="0" w:color="5F497A" w:themeColor="accent4" w:themeShade="BF"/>
            </w:tcBorders>
            <w:vAlign w:val="bottom"/>
          </w:tcPr>
          <w:p w14:paraId="7419355B" w14:textId="0BEBEC59" w:rsidR="007924A4" w:rsidRPr="002A2397" w:rsidRDefault="007924A4" w:rsidP="008C1A28">
            <w:pPr>
              <w:spacing w:before="40" w:after="40"/>
              <w:jc w:val="center"/>
              <w:rPr>
                <w:rFonts w:cs="Arial"/>
                <w:sz w:val="16"/>
                <w:szCs w:val="16"/>
              </w:rPr>
            </w:pPr>
            <w:r w:rsidRPr="002A2397">
              <w:rPr>
                <w:rFonts w:cs="Arial"/>
                <w:sz w:val="16"/>
                <w:szCs w:val="16"/>
              </w:rPr>
              <w:t>General Purpose Grants</w:t>
            </w:r>
            <w:r w:rsidR="00057EFC" w:rsidRPr="002A2397">
              <w:rPr>
                <w:rFonts w:cs="Arial"/>
                <w:sz w:val="16"/>
                <w:szCs w:val="16"/>
              </w:rPr>
              <w:t xml:space="preserve"> </w:t>
            </w:r>
            <w:r w:rsidRPr="002A2397">
              <w:rPr>
                <w:rFonts w:cs="Arial"/>
                <w:sz w:val="16"/>
                <w:szCs w:val="16"/>
              </w:rPr>
              <w:br/>
              <w:t>($)</w:t>
            </w:r>
          </w:p>
        </w:tc>
        <w:tc>
          <w:tcPr>
            <w:tcW w:w="1021" w:type="dxa"/>
            <w:tcBorders>
              <w:top w:val="single" w:sz="8" w:space="0" w:color="5F497A" w:themeColor="accent4" w:themeShade="BF"/>
              <w:bottom w:val="single" w:sz="8" w:space="0" w:color="5F497A" w:themeColor="accent4" w:themeShade="BF"/>
            </w:tcBorders>
            <w:vAlign w:val="bottom"/>
          </w:tcPr>
          <w:p w14:paraId="0620DA86" w14:textId="6A981891" w:rsidR="007924A4" w:rsidRPr="002A2397" w:rsidRDefault="007924A4" w:rsidP="008C1A28">
            <w:pPr>
              <w:spacing w:before="40" w:after="40"/>
              <w:jc w:val="center"/>
              <w:rPr>
                <w:rFonts w:cs="Arial"/>
                <w:sz w:val="16"/>
                <w:szCs w:val="16"/>
              </w:rPr>
            </w:pPr>
            <w:r w:rsidRPr="002A2397">
              <w:rPr>
                <w:rFonts w:cs="Arial"/>
                <w:sz w:val="16"/>
                <w:szCs w:val="16"/>
              </w:rPr>
              <w:t>Local Road</w:t>
            </w:r>
            <w:r w:rsidR="00C64712" w:rsidRPr="002A2397">
              <w:rPr>
                <w:rFonts w:cs="Arial"/>
                <w:sz w:val="16"/>
                <w:szCs w:val="16"/>
              </w:rPr>
              <w:t>s</w:t>
            </w:r>
            <w:r w:rsidRPr="002A2397">
              <w:rPr>
                <w:rFonts w:cs="Arial"/>
                <w:sz w:val="16"/>
                <w:szCs w:val="16"/>
              </w:rPr>
              <w:t xml:space="preserve"> </w:t>
            </w:r>
            <w:r w:rsidR="00057EFC" w:rsidRPr="002A2397">
              <w:rPr>
                <w:rFonts w:cs="Arial"/>
                <w:sz w:val="16"/>
                <w:szCs w:val="16"/>
              </w:rPr>
              <w:t>Grants</w:t>
            </w:r>
            <w:r w:rsidRPr="002A2397">
              <w:rPr>
                <w:rFonts w:cs="Arial"/>
                <w:sz w:val="16"/>
                <w:szCs w:val="16"/>
              </w:rPr>
              <w:t xml:space="preserve"> </w:t>
            </w:r>
            <w:r w:rsidRPr="002A2397">
              <w:rPr>
                <w:rFonts w:cs="Arial"/>
                <w:sz w:val="16"/>
                <w:szCs w:val="16"/>
              </w:rPr>
              <w:br/>
              <w:t>($)</w:t>
            </w:r>
          </w:p>
        </w:tc>
        <w:tc>
          <w:tcPr>
            <w:tcW w:w="1021" w:type="dxa"/>
            <w:tcBorders>
              <w:top w:val="single" w:sz="8" w:space="0" w:color="5F497A" w:themeColor="accent4" w:themeShade="BF"/>
              <w:bottom w:val="single" w:sz="8" w:space="0" w:color="5F497A" w:themeColor="accent4" w:themeShade="BF"/>
            </w:tcBorders>
            <w:vAlign w:val="bottom"/>
          </w:tcPr>
          <w:p w14:paraId="356C00E6" w14:textId="1558D4E4" w:rsidR="007924A4" w:rsidRPr="00A44829" w:rsidRDefault="007924A4" w:rsidP="008001AD">
            <w:pPr>
              <w:spacing w:before="40" w:after="20"/>
              <w:jc w:val="center"/>
              <w:rPr>
                <w:rFonts w:cs="Arial"/>
                <w:sz w:val="16"/>
                <w:szCs w:val="16"/>
              </w:rPr>
            </w:pPr>
            <w:r w:rsidRPr="002A2397">
              <w:rPr>
                <w:rFonts w:cs="Arial"/>
                <w:sz w:val="16"/>
                <w:szCs w:val="16"/>
              </w:rPr>
              <w:t>Total</w:t>
            </w:r>
            <w:r w:rsidR="00057EFC" w:rsidRPr="002A2397">
              <w:rPr>
                <w:rFonts w:cs="Arial"/>
                <w:sz w:val="16"/>
                <w:szCs w:val="16"/>
              </w:rPr>
              <w:t xml:space="preserve"> </w:t>
            </w:r>
            <w:r w:rsidRPr="002A2397">
              <w:rPr>
                <w:rFonts w:cs="Arial"/>
                <w:sz w:val="16"/>
                <w:szCs w:val="16"/>
              </w:rPr>
              <w:br/>
              <w:t>($)</w:t>
            </w:r>
          </w:p>
        </w:tc>
        <w:tc>
          <w:tcPr>
            <w:tcW w:w="1247" w:type="dxa"/>
            <w:vMerge/>
            <w:tcBorders>
              <w:top w:val="single" w:sz="8" w:space="0" w:color="5F497A" w:themeColor="accent4" w:themeShade="BF"/>
              <w:bottom w:val="single" w:sz="8" w:space="0" w:color="5F497A" w:themeColor="accent4" w:themeShade="BF"/>
            </w:tcBorders>
            <w:shd w:val="clear" w:color="auto" w:fill="auto"/>
            <w:vAlign w:val="bottom"/>
          </w:tcPr>
          <w:p w14:paraId="0B6B5691" w14:textId="77777777" w:rsidR="007924A4" w:rsidRPr="00A44829" w:rsidRDefault="007924A4" w:rsidP="008001AD">
            <w:pPr>
              <w:spacing w:before="40" w:after="20"/>
              <w:jc w:val="center"/>
              <w:rPr>
                <w:rFonts w:cs="Arial"/>
                <w:b/>
                <w:sz w:val="18"/>
                <w:szCs w:val="18"/>
              </w:rPr>
            </w:pPr>
          </w:p>
        </w:tc>
      </w:tr>
      <w:tr w:rsidR="00F04730" w:rsidRPr="001D41EA" w14:paraId="7CCE49D6" w14:textId="77777777" w:rsidTr="00F04730">
        <w:trPr>
          <w:trHeight w:val="240"/>
          <w:tblHeader/>
        </w:trPr>
        <w:tc>
          <w:tcPr>
            <w:tcW w:w="2268" w:type="dxa"/>
            <w:tcBorders>
              <w:left w:val="nil"/>
              <w:bottom w:val="nil"/>
              <w:right w:val="single" w:sz="18" w:space="0" w:color="5F497A" w:themeColor="accent4" w:themeShade="BF"/>
            </w:tcBorders>
            <w:shd w:val="clear" w:color="auto" w:fill="auto"/>
            <w:vAlign w:val="center"/>
          </w:tcPr>
          <w:p w14:paraId="748490A1" w14:textId="77777777" w:rsidR="00F04730" w:rsidRPr="001D41EA" w:rsidRDefault="00F04730" w:rsidP="001D41EA">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CAD5891" w14:textId="4B3F28A4" w:rsidR="00F04730" w:rsidRPr="001D41EA" w:rsidRDefault="00F04730" w:rsidP="001D41EA">
            <w:pPr>
              <w:spacing w:before="40" w:after="2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412B71B1" w14:textId="6B368630" w:rsidR="00F04730" w:rsidRPr="001D41EA" w:rsidRDefault="00F04730" w:rsidP="001D41EA">
            <w:pPr>
              <w:spacing w:before="40" w:after="20"/>
              <w:jc w:val="right"/>
              <w:rPr>
                <w:rFonts w:cs="Arial"/>
                <w:sz w:val="18"/>
                <w:szCs w:val="18"/>
              </w:rPr>
            </w:pPr>
          </w:p>
        </w:tc>
        <w:tc>
          <w:tcPr>
            <w:tcW w:w="170" w:type="dxa"/>
            <w:tcBorders>
              <w:top w:val="single" w:sz="8" w:space="0" w:color="5F497A" w:themeColor="accent4" w:themeShade="BF"/>
              <w:left w:val="nil"/>
              <w:bottom w:val="nil"/>
              <w:right w:val="nil"/>
            </w:tcBorders>
            <w:vAlign w:val="bottom"/>
          </w:tcPr>
          <w:p w14:paraId="3AB563ED" w14:textId="77777777" w:rsidR="00F04730" w:rsidRPr="001D41EA" w:rsidRDefault="00F04730" w:rsidP="001D41EA">
            <w:pPr>
              <w:spacing w:before="40" w:after="20"/>
              <w:jc w:val="right"/>
              <w:rPr>
                <w:rFonts w:cs="Arial"/>
                <w:sz w:val="18"/>
                <w:szCs w:val="18"/>
              </w:rPr>
            </w:pPr>
          </w:p>
        </w:tc>
        <w:tc>
          <w:tcPr>
            <w:tcW w:w="1021" w:type="dxa"/>
            <w:tcBorders>
              <w:top w:val="single" w:sz="8" w:space="0" w:color="5F497A" w:themeColor="accent4" w:themeShade="BF"/>
              <w:left w:val="nil"/>
              <w:bottom w:val="nil"/>
              <w:right w:val="nil"/>
            </w:tcBorders>
            <w:vAlign w:val="bottom"/>
          </w:tcPr>
          <w:p w14:paraId="5BC73FA8" w14:textId="5106F62A" w:rsidR="00F04730" w:rsidRPr="001D41EA" w:rsidRDefault="00F04730" w:rsidP="001D41EA">
            <w:pPr>
              <w:spacing w:before="40" w:after="20"/>
              <w:jc w:val="right"/>
              <w:rPr>
                <w:rFonts w:cs="Arial"/>
                <w:sz w:val="18"/>
                <w:szCs w:val="18"/>
              </w:rPr>
            </w:pPr>
            <w:r w:rsidRPr="001D41EA">
              <w:rPr>
                <w:rFonts w:cs="Arial"/>
                <w:sz w:val="18"/>
                <w:szCs w:val="18"/>
              </w:rPr>
              <w:t> </w:t>
            </w:r>
          </w:p>
        </w:tc>
        <w:tc>
          <w:tcPr>
            <w:tcW w:w="1021" w:type="dxa"/>
            <w:tcBorders>
              <w:top w:val="single" w:sz="8" w:space="0" w:color="5F497A" w:themeColor="accent4" w:themeShade="BF"/>
              <w:left w:val="nil"/>
              <w:bottom w:val="nil"/>
              <w:right w:val="nil"/>
            </w:tcBorders>
            <w:vAlign w:val="bottom"/>
          </w:tcPr>
          <w:p w14:paraId="05E1F197" w14:textId="77777777" w:rsidR="00F04730" w:rsidRPr="001D41EA" w:rsidRDefault="00F04730" w:rsidP="001D41EA">
            <w:pPr>
              <w:spacing w:before="40" w:after="20"/>
              <w:jc w:val="right"/>
              <w:rPr>
                <w:rFonts w:cs="Arial"/>
                <w:sz w:val="18"/>
                <w:szCs w:val="18"/>
              </w:rPr>
            </w:pPr>
          </w:p>
        </w:tc>
        <w:tc>
          <w:tcPr>
            <w:tcW w:w="1021" w:type="dxa"/>
            <w:tcBorders>
              <w:top w:val="single" w:sz="8" w:space="0" w:color="5F497A" w:themeColor="accent4" w:themeShade="BF"/>
              <w:left w:val="nil"/>
              <w:bottom w:val="nil"/>
              <w:right w:val="nil"/>
            </w:tcBorders>
            <w:vAlign w:val="bottom"/>
          </w:tcPr>
          <w:p w14:paraId="47FDF45D" w14:textId="131E9A41" w:rsidR="00F04730" w:rsidRPr="001D41EA" w:rsidRDefault="00F04730" w:rsidP="001D41EA">
            <w:pPr>
              <w:spacing w:before="40" w:after="20"/>
              <w:jc w:val="right"/>
              <w:rPr>
                <w:rFonts w:cs="Arial"/>
                <w:sz w:val="18"/>
                <w:szCs w:val="18"/>
              </w:rPr>
            </w:pPr>
            <w:r w:rsidRPr="001D41EA">
              <w:rPr>
                <w:rFonts w:cs="Arial"/>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74946AB3" w14:textId="18105FCC" w:rsidR="00F04730" w:rsidRPr="001D41EA" w:rsidRDefault="00F04730" w:rsidP="001D41EA">
            <w:pPr>
              <w:spacing w:before="40" w:after="20"/>
              <w:jc w:val="right"/>
              <w:rPr>
                <w:rFonts w:cs="Arial"/>
                <w:b/>
                <w:sz w:val="18"/>
                <w:szCs w:val="18"/>
              </w:rPr>
            </w:pPr>
            <w:r w:rsidRPr="001D41EA">
              <w:rPr>
                <w:rFonts w:cs="Arial"/>
                <w:b/>
                <w:sz w:val="18"/>
                <w:szCs w:val="18"/>
              </w:rPr>
              <w:t> </w:t>
            </w:r>
          </w:p>
        </w:tc>
      </w:tr>
      <w:tr w:rsidR="00F04730" w:rsidRPr="001D41EA" w14:paraId="0A9A8221"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0F39DD7" w14:textId="77777777" w:rsidR="00F04730" w:rsidRPr="001D41EA" w:rsidRDefault="00F04730" w:rsidP="001D41EA">
            <w:pPr>
              <w:spacing w:before="40" w:after="20"/>
              <w:rPr>
                <w:rFonts w:cs="Arial"/>
                <w:sz w:val="18"/>
                <w:szCs w:val="18"/>
              </w:rPr>
            </w:pPr>
            <w:r w:rsidRPr="001D41EA">
              <w:rPr>
                <w:rFonts w:cs="Arial"/>
                <w:sz w:val="18"/>
                <w:szCs w:val="18"/>
              </w:rPr>
              <w:t>Macedon Ranges S</w:t>
            </w:r>
          </w:p>
        </w:tc>
        <w:tc>
          <w:tcPr>
            <w:tcW w:w="1134" w:type="dxa"/>
            <w:tcBorders>
              <w:top w:val="nil"/>
              <w:left w:val="single" w:sz="18" w:space="0" w:color="5F497A" w:themeColor="accent4" w:themeShade="BF"/>
              <w:bottom w:val="nil"/>
              <w:right w:val="nil"/>
            </w:tcBorders>
            <w:shd w:val="clear" w:color="auto" w:fill="auto"/>
            <w:vAlign w:val="bottom"/>
          </w:tcPr>
          <w:p w14:paraId="6CFB07C3" w14:textId="4737C0B8" w:rsidR="00F04730" w:rsidRPr="001D41EA" w:rsidRDefault="00F04730" w:rsidP="001D41EA">
            <w:pPr>
              <w:spacing w:before="40" w:after="20"/>
              <w:jc w:val="right"/>
              <w:rPr>
                <w:rFonts w:cs="Arial"/>
                <w:sz w:val="18"/>
                <w:szCs w:val="18"/>
              </w:rPr>
            </w:pPr>
            <w:r w:rsidRPr="001D41EA">
              <w:rPr>
                <w:rFonts w:cs="Arial"/>
                <w:sz w:val="18"/>
                <w:szCs w:val="18"/>
              </w:rPr>
              <w:t>5,746,223</w:t>
            </w:r>
          </w:p>
        </w:tc>
        <w:tc>
          <w:tcPr>
            <w:tcW w:w="1134" w:type="dxa"/>
            <w:tcBorders>
              <w:top w:val="nil"/>
              <w:left w:val="nil"/>
              <w:bottom w:val="nil"/>
              <w:right w:val="nil"/>
            </w:tcBorders>
            <w:shd w:val="clear" w:color="auto" w:fill="auto"/>
            <w:vAlign w:val="bottom"/>
          </w:tcPr>
          <w:p w14:paraId="7565A8B1" w14:textId="40E921BE" w:rsidR="00F04730" w:rsidRPr="001D41EA" w:rsidRDefault="00F04730" w:rsidP="001D41EA">
            <w:pPr>
              <w:spacing w:before="40" w:after="20"/>
              <w:jc w:val="right"/>
              <w:rPr>
                <w:rFonts w:cs="Arial"/>
                <w:sz w:val="18"/>
                <w:szCs w:val="18"/>
              </w:rPr>
            </w:pPr>
            <w:r w:rsidRPr="001D41EA">
              <w:rPr>
                <w:rFonts w:cs="Arial"/>
                <w:sz w:val="18"/>
                <w:szCs w:val="18"/>
              </w:rPr>
              <w:t>2,376,351</w:t>
            </w:r>
          </w:p>
        </w:tc>
        <w:tc>
          <w:tcPr>
            <w:tcW w:w="170" w:type="dxa"/>
            <w:tcBorders>
              <w:top w:val="nil"/>
              <w:left w:val="nil"/>
              <w:bottom w:val="nil"/>
              <w:right w:val="nil"/>
            </w:tcBorders>
            <w:vAlign w:val="bottom"/>
          </w:tcPr>
          <w:p w14:paraId="58057B05"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654D5E3C" w14:textId="4AC05A21" w:rsidR="00F04730" w:rsidRPr="001D41EA" w:rsidRDefault="00F04730" w:rsidP="001D41EA">
            <w:pPr>
              <w:spacing w:before="40" w:after="20"/>
              <w:jc w:val="right"/>
              <w:rPr>
                <w:rFonts w:cs="Arial"/>
                <w:sz w:val="18"/>
                <w:szCs w:val="18"/>
              </w:rPr>
            </w:pPr>
            <w:r w:rsidRPr="001D41EA">
              <w:rPr>
                <w:rFonts w:cs="Arial"/>
                <w:sz w:val="18"/>
                <w:szCs w:val="18"/>
              </w:rPr>
              <w:t>-58,505</w:t>
            </w:r>
          </w:p>
        </w:tc>
        <w:tc>
          <w:tcPr>
            <w:tcW w:w="1021" w:type="dxa"/>
            <w:tcBorders>
              <w:top w:val="nil"/>
              <w:left w:val="nil"/>
              <w:bottom w:val="nil"/>
              <w:right w:val="nil"/>
            </w:tcBorders>
            <w:vAlign w:val="bottom"/>
          </w:tcPr>
          <w:p w14:paraId="64250175" w14:textId="504E713D" w:rsidR="00F04730" w:rsidRPr="001D41EA" w:rsidRDefault="00F04730" w:rsidP="001D41EA">
            <w:pPr>
              <w:spacing w:before="40" w:after="20"/>
              <w:jc w:val="right"/>
              <w:rPr>
                <w:rFonts w:cs="Arial"/>
                <w:sz w:val="18"/>
                <w:szCs w:val="18"/>
              </w:rPr>
            </w:pPr>
            <w:r w:rsidRPr="001D41EA">
              <w:rPr>
                <w:rFonts w:cs="Arial"/>
                <w:sz w:val="18"/>
                <w:szCs w:val="18"/>
              </w:rPr>
              <w:t>-17,395</w:t>
            </w:r>
          </w:p>
        </w:tc>
        <w:tc>
          <w:tcPr>
            <w:tcW w:w="1021" w:type="dxa"/>
            <w:tcBorders>
              <w:top w:val="nil"/>
              <w:left w:val="nil"/>
              <w:bottom w:val="nil"/>
              <w:right w:val="nil"/>
            </w:tcBorders>
            <w:vAlign w:val="bottom"/>
          </w:tcPr>
          <w:p w14:paraId="7AB5C14A" w14:textId="6C5B1569" w:rsidR="00F04730" w:rsidRPr="001D41EA" w:rsidRDefault="00F04730" w:rsidP="001D41EA">
            <w:pPr>
              <w:spacing w:before="40" w:after="20"/>
              <w:jc w:val="right"/>
              <w:rPr>
                <w:rFonts w:cs="Arial"/>
                <w:sz w:val="18"/>
                <w:szCs w:val="18"/>
              </w:rPr>
            </w:pPr>
            <w:r w:rsidRPr="001D41EA">
              <w:rPr>
                <w:rFonts w:cs="Arial"/>
                <w:sz w:val="18"/>
                <w:szCs w:val="18"/>
              </w:rPr>
              <w:t>-75,900</w:t>
            </w:r>
          </w:p>
        </w:tc>
        <w:tc>
          <w:tcPr>
            <w:tcW w:w="1247" w:type="dxa"/>
            <w:tcBorders>
              <w:top w:val="nil"/>
              <w:left w:val="nil"/>
              <w:bottom w:val="nil"/>
              <w:right w:val="nil"/>
            </w:tcBorders>
            <w:shd w:val="clear" w:color="auto" w:fill="auto"/>
            <w:vAlign w:val="bottom"/>
          </w:tcPr>
          <w:p w14:paraId="29C52148" w14:textId="7D515EB1" w:rsidR="00F04730" w:rsidRPr="001D41EA" w:rsidRDefault="00F04730" w:rsidP="001D41EA">
            <w:pPr>
              <w:spacing w:before="40" w:after="20"/>
              <w:jc w:val="right"/>
              <w:rPr>
                <w:rFonts w:cs="Arial"/>
                <w:b/>
                <w:sz w:val="18"/>
                <w:szCs w:val="18"/>
              </w:rPr>
            </w:pPr>
            <w:r w:rsidRPr="001D41EA">
              <w:rPr>
                <w:rFonts w:cs="Arial"/>
                <w:b/>
                <w:sz w:val="18"/>
                <w:szCs w:val="18"/>
              </w:rPr>
              <w:t>8,046,674</w:t>
            </w:r>
          </w:p>
        </w:tc>
      </w:tr>
      <w:tr w:rsidR="00F04730" w:rsidRPr="001D41EA" w14:paraId="66AE4564"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47EDD97" w14:textId="77777777" w:rsidR="00F04730" w:rsidRPr="001D41EA" w:rsidRDefault="00F04730" w:rsidP="001D41EA">
            <w:pPr>
              <w:spacing w:before="40" w:after="20"/>
              <w:rPr>
                <w:rFonts w:cs="Arial"/>
                <w:sz w:val="18"/>
                <w:szCs w:val="18"/>
              </w:rPr>
            </w:pPr>
            <w:r w:rsidRPr="001D41EA">
              <w:rPr>
                <w:rFonts w:cs="Arial"/>
                <w:sz w:val="18"/>
                <w:szCs w:val="18"/>
              </w:rPr>
              <w:t>Manningham C</w:t>
            </w:r>
          </w:p>
        </w:tc>
        <w:tc>
          <w:tcPr>
            <w:tcW w:w="1134" w:type="dxa"/>
            <w:tcBorders>
              <w:top w:val="nil"/>
              <w:left w:val="single" w:sz="18" w:space="0" w:color="5F497A" w:themeColor="accent4" w:themeShade="BF"/>
              <w:bottom w:val="nil"/>
              <w:right w:val="nil"/>
            </w:tcBorders>
            <w:shd w:val="clear" w:color="auto" w:fill="auto"/>
            <w:vAlign w:val="bottom"/>
          </w:tcPr>
          <w:p w14:paraId="7207CD22" w14:textId="35AAAEC0" w:rsidR="00F04730" w:rsidRPr="001D41EA" w:rsidRDefault="00F04730" w:rsidP="001D41EA">
            <w:pPr>
              <w:spacing w:before="40" w:after="20"/>
              <w:jc w:val="right"/>
              <w:rPr>
                <w:rFonts w:cs="Arial"/>
                <w:sz w:val="18"/>
                <w:szCs w:val="18"/>
              </w:rPr>
            </w:pPr>
            <w:r w:rsidRPr="001D41EA">
              <w:rPr>
                <w:rFonts w:cs="Arial"/>
                <w:sz w:val="18"/>
                <w:szCs w:val="18"/>
              </w:rPr>
              <w:t>2,655,117</w:t>
            </w:r>
          </w:p>
        </w:tc>
        <w:tc>
          <w:tcPr>
            <w:tcW w:w="1134" w:type="dxa"/>
            <w:tcBorders>
              <w:top w:val="nil"/>
              <w:left w:val="nil"/>
              <w:bottom w:val="nil"/>
              <w:right w:val="nil"/>
            </w:tcBorders>
            <w:shd w:val="clear" w:color="auto" w:fill="auto"/>
            <w:vAlign w:val="bottom"/>
          </w:tcPr>
          <w:p w14:paraId="3055850B" w14:textId="6FFEDEBA" w:rsidR="00F04730" w:rsidRPr="001D41EA" w:rsidRDefault="00F04730" w:rsidP="001D41EA">
            <w:pPr>
              <w:spacing w:before="40" w:after="20"/>
              <w:jc w:val="right"/>
              <w:rPr>
                <w:rFonts w:cs="Arial"/>
                <w:sz w:val="18"/>
                <w:szCs w:val="18"/>
              </w:rPr>
            </w:pPr>
            <w:r w:rsidRPr="001D41EA">
              <w:rPr>
                <w:rFonts w:cs="Arial"/>
                <w:sz w:val="18"/>
                <w:szCs w:val="18"/>
              </w:rPr>
              <w:t>851,270</w:t>
            </w:r>
          </w:p>
        </w:tc>
        <w:tc>
          <w:tcPr>
            <w:tcW w:w="170" w:type="dxa"/>
            <w:tcBorders>
              <w:top w:val="nil"/>
              <w:left w:val="nil"/>
              <w:bottom w:val="nil"/>
              <w:right w:val="nil"/>
            </w:tcBorders>
            <w:vAlign w:val="bottom"/>
          </w:tcPr>
          <w:p w14:paraId="5BDDBBDB"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647C97A0" w14:textId="1FB383C0" w:rsidR="00F04730" w:rsidRPr="001D41EA" w:rsidRDefault="00F04730" w:rsidP="001D41EA">
            <w:pPr>
              <w:spacing w:before="40" w:after="20"/>
              <w:jc w:val="right"/>
              <w:rPr>
                <w:rFonts w:cs="Arial"/>
                <w:sz w:val="18"/>
                <w:szCs w:val="18"/>
              </w:rPr>
            </w:pPr>
            <w:r w:rsidRPr="001D41EA">
              <w:rPr>
                <w:rFonts w:cs="Arial"/>
                <w:sz w:val="18"/>
                <w:szCs w:val="18"/>
              </w:rPr>
              <w:t>-28,265</w:t>
            </w:r>
          </w:p>
        </w:tc>
        <w:tc>
          <w:tcPr>
            <w:tcW w:w="1021" w:type="dxa"/>
            <w:tcBorders>
              <w:top w:val="nil"/>
              <w:left w:val="nil"/>
              <w:bottom w:val="nil"/>
              <w:right w:val="nil"/>
            </w:tcBorders>
            <w:vAlign w:val="bottom"/>
          </w:tcPr>
          <w:p w14:paraId="1AD1B184" w14:textId="44D23218" w:rsidR="00F04730" w:rsidRPr="001D41EA" w:rsidRDefault="00F04730" w:rsidP="001D41EA">
            <w:pPr>
              <w:spacing w:before="40" w:after="20"/>
              <w:jc w:val="right"/>
              <w:rPr>
                <w:rFonts w:cs="Arial"/>
                <w:sz w:val="18"/>
                <w:szCs w:val="18"/>
              </w:rPr>
            </w:pPr>
            <w:r w:rsidRPr="001D41EA">
              <w:rPr>
                <w:rFonts w:cs="Arial"/>
                <w:sz w:val="18"/>
                <w:szCs w:val="18"/>
              </w:rPr>
              <w:t>-6,474</w:t>
            </w:r>
          </w:p>
        </w:tc>
        <w:tc>
          <w:tcPr>
            <w:tcW w:w="1021" w:type="dxa"/>
            <w:tcBorders>
              <w:top w:val="nil"/>
              <w:left w:val="nil"/>
              <w:bottom w:val="nil"/>
              <w:right w:val="nil"/>
            </w:tcBorders>
            <w:vAlign w:val="bottom"/>
          </w:tcPr>
          <w:p w14:paraId="7993C701" w14:textId="4ED89849" w:rsidR="00F04730" w:rsidRPr="001D41EA" w:rsidRDefault="00F04730" w:rsidP="001D41EA">
            <w:pPr>
              <w:spacing w:before="40" w:after="20"/>
              <w:jc w:val="right"/>
              <w:rPr>
                <w:rFonts w:cs="Arial"/>
                <w:sz w:val="18"/>
                <w:szCs w:val="18"/>
              </w:rPr>
            </w:pPr>
            <w:r w:rsidRPr="001D41EA">
              <w:rPr>
                <w:rFonts w:cs="Arial"/>
                <w:sz w:val="18"/>
                <w:szCs w:val="18"/>
              </w:rPr>
              <w:t>-34,739</w:t>
            </w:r>
          </w:p>
        </w:tc>
        <w:tc>
          <w:tcPr>
            <w:tcW w:w="1247" w:type="dxa"/>
            <w:tcBorders>
              <w:top w:val="nil"/>
              <w:left w:val="nil"/>
              <w:bottom w:val="nil"/>
              <w:right w:val="nil"/>
            </w:tcBorders>
            <w:shd w:val="clear" w:color="auto" w:fill="auto"/>
            <w:vAlign w:val="bottom"/>
          </w:tcPr>
          <w:p w14:paraId="35465817" w14:textId="665712FE" w:rsidR="00F04730" w:rsidRPr="001D41EA" w:rsidRDefault="00F04730" w:rsidP="001D41EA">
            <w:pPr>
              <w:spacing w:before="40" w:after="20"/>
              <w:jc w:val="right"/>
              <w:rPr>
                <w:rFonts w:cs="Arial"/>
                <w:b/>
                <w:sz w:val="18"/>
                <w:szCs w:val="18"/>
              </w:rPr>
            </w:pPr>
            <w:r w:rsidRPr="001D41EA">
              <w:rPr>
                <w:rFonts w:cs="Arial"/>
                <w:b/>
                <w:sz w:val="18"/>
                <w:szCs w:val="18"/>
              </w:rPr>
              <w:t>3,471,648</w:t>
            </w:r>
          </w:p>
        </w:tc>
      </w:tr>
      <w:tr w:rsidR="00F04730" w:rsidRPr="001D41EA" w14:paraId="2B5C8297"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6A901C4" w14:textId="77777777" w:rsidR="00F04730" w:rsidRPr="001D41EA" w:rsidRDefault="00F04730" w:rsidP="001D41EA">
            <w:pPr>
              <w:spacing w:before="40" w:after="20"/>
              <w:rPr>
                <w:rFonts w:cs="Arial"/>
                <w:sz w:val="18"/>
                <w:szCs w:val="18"/>
              </w:rPr>
            </w:pPr>
            <w:r w:rsidRPr="001D41EA">
              <w:rPr>
                <w:rFonts w:cs="Arial"/>
                <w:sz w:val="18"/>
                <w:szCs w:val="18"/>
              </w:rPr>
              <w:t>Mansfield S</w:t>
            </w:r>
          </w:p>
        </w:tc>
        <w:tc>
          <w:tcPr>
            <w:tcW w:w="1134" w:type="dxa"/>
            <w:tcBorders>
              <w:top w:val="nil"/>
              <w:left w:val="single" w:sz="18" w:space="0" w:color="5F497A" w:themeColor="accent4" w:themeShade="BF"/>
              <w:bottom w:val="nil"/>
              <w:right w:val="nil"/>
            </w:tcBorders>
            <w:shd w:val="clear" w:color="auto" w:fill="auto"/>
            <w:vAlign w:val="bottom"/>
          </w:tcPr>
          <w:p w14:paraId="5CB5A061" w14:textId="35807862" w:rsidR="00F04730" w:rsidRPr="001D41EA" w:rsidRDefault="00F04730" w:rsidP="001D41EA">
            <w:pPr>
              <w:spacing w:before="40" w:after="20"/>
              <w:jc w:val="right"/>
              <w:rPr>
                <w:rFonts w:cs="Arial"/>
                <w:sz w:val="18"/>
                <w:szCs w:val="18"/>
              </w:rPr>
            </w:pPr>
            <w:r w:rsidRPr="001D41EA">
              <w:rPr>
                <w:rFonts w:cs="Arial"/>
                <w:sz w:val="18"/>
                <w:szCs w:val="18"/>
              </w:rPr>
              <w:t>2,245,626</w:t>
            </w:r>
          </w:p>
        </w:tc>
        <w:tc>
          <w:tcPr>
            <w:tcW w:w="1134" w:type="dxa"/>
            <w:tcBorders>
              <w:top w:val="nil"/>
              <w:left w:val="nil"/>
              <w:bottom w:val="nil"/>
              <w:right w:val="nil"/>
            </w:tcBorders>
            <w:shd w:val="clear" w:color="auto" w:fill="auto"/>
            <w:vAlign w:val="bottom"/>
          </w:tcPr>
          <w:p w14:paraId="3ED6A3D2" w14:textId="1C9726D7" w:rsidR="00F04730" w:rsidRPr="001D41EA" w:rsidRDefault="00F04730" w:rsidP="001D41EA">
            <w:pPr>
              <w:spacing w:before="40" w:after="20"/>
              <w:jc w:val="right"/>
              <w:rPr>
                <w:rFonts w:cs="Arial"/>
                <w:sz w:val="18"/>
                <w:szCs w:val="18"/>
              </w:rPr>
            </w:pPr>
            <w:r w:rsidRPr="001D41EA">
              <w:rPr>
                <w:rFonts w:cs="Arial"/>
                <w:sz w:val="18"/>
                <w:szCs w:val="18"/>
              </w:rPr>
              <w:t>933,731</w:t>
            </w:r>
          </w:p>
        </w:tc>
        <w:tc>
          <w:tcPr>
            <w:tcW w:w="170" w:type="dxa"/>
            <w:tcBorders>
              <w:top w:val="nil"/>
              <w:left w:val="nil"/>
              <w:bottom w:val="nil"/>
              <w:right w:val="nil"/>
            </w:tcBorders>
            <w:vAlign w:val="bottom"/>
          </w:tcPr>
          <w:p w14:paraId="4B578F6C"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7925FDCB" w14:textId="6DB9B469" w:rsidR="00F04730" w:rsidRPr="001D41EA" w:rsidRDefault="00F04730" w:rsidP="001D41EA">
            <w:pPr>
              <w:spacing w:before="40" w:after="20"/>
              <w:jc w:val="right"/>
              <w:rPr>
                <w:rFonts w:cs="Arial"/>
                <w:sz w:val="18"/>
                <w:szCs w:val="18"/>
              </w:rPr>
            </w:pPr>
            <w:r w:rsidRPr="001D41EA">
              <w:rPr>
                <w:rFonts w:cs="Arial"/>
                <w:sz w:val="18"/>
                <w:szCs w:val="18"/>
              </w:rPr>
              <w:t>-21,150</w:t>
            </w:r>
          </w:p>
        </w:tc>
        <w:tc>
          <w:tcPr>
            <w:tcW w:w="1021" w:type="dxa"/>
            <w:tcBorders>
              <w:top w:val="nil"/>
              <w:left w:val="nil"/>
              <w:bottom w:val="nil"/>
              <w:right w:val="nil"/>
            </w:tcBorders>
            <w:vAlign w:val="bottom"/>
          </w:tcPr>
          <w:p w14:paraId="4186539A" w14:textId="084B03BA" w:rsidR="00F04730" w:rsidRPr="001D41EA" w:rsidRDefault="00F04730" w:rsidP="001D41EA">
            <w:pPr>
              <w:spacing w:before="40" w:after="20"/>
              <w:jc w:val="right"/>
              <w:rPr>
                <w:rFonts w:cs="Arial"/>
                <w:sz w:val="18"/>
                <w:szCs w:val="18"/>
              </w:rPr>
            </w:pPr>
            <w:r w:rsidRPr="001D41EA">
              <w:rPr>
                <w:rFonts w:cs="Arial"/>
                <w:sz w:val="18"/>
                <w:szCs w:val="18"/>
              </w:rPr>
              <w:t>-7,140</w:t>
            </w:r>
          </w:p>
        </w:tc>
        <w:tc>
          <w:tcPr>
            <w:tcW w:w="1021" w:type="dxa"/>
            <w:tcBorders>
              <w:top w:val="nil"/>
              <w:left w:val="nil"/>
              <w:bottom w:val="nil"/>
              <w:right w:val="nil"/>
            </w:tcBorders>
            <w:vAlign w:val="bottom"/>
          </w:tcPr>
          <w:p w14:paraId="5942025A" w14:textId="40DAB97B" w:rsidR="00F04730" w:rsidRPr="001D41EA" w:rsidRDefault="00F04730" w:rsidP="001D41EA">
            <w:pPr>
              <w:spacing w:before="40" w:after="20"/>
              <w:jc w:val="right"/>
              <w:rPr>
                <w:rFonts w:cs="Arial"/>
                <w:sz w:val="18"/>
                <w:szCs w:val="18"/>
              </w:rPr>
            </w:pPr>
            <w:r w:rsidRPr="001D41EA">
              <w:rPr>
                <w:rFonts w:cs="Arial"/>
                <w:sz w:val="18"/>
                <w:szCs w:val="18"/>
              </w:rPr>
              <w:t>-28,290</w:t>
            </w:r>
          </w:p>
        </w:tc>
        <w:tc>
          <w:tcPr>
            <w:tcW w:w="1247" w:type="dxa"/>
            <w:tcBorders>
              <w:top w:val="nil"/>
              <w:left w:val="nil"/>
              <w:bottom w:val="nil"/>
              <w:right w:val="nil"/>
            </w:tcBorders>
            <w:shd w:val="clear" w:color="auto" w:fill="auto"/>
            <w:vAlign w:val="bottom"/>
          </w:tcPr>
          <w:p w14:paraId="54611481" w14:textId="220A8564" w:rsidR="00F04730" w:rsidRPr="001D41EA" w:rsidRDefault="00F04730" w:rsidP="001D41EA">
            <w:pPr>
              <w:spacing w:before="40" w:after="20"/>
              <w:jc w:val="right"/>
              <w:rPr>
                <w:rFonts w:cs="Arial"/>
                <w:b/>
                <w:sz w:val="18"/>
                <w:szCs w:val="18"/>
              </w:rPr>
            </w:pPr>
            <w:r w:rsidRPr="001D41EA">
              <w:rPr>
                <w:rFonts w:cs="Arial"/>
                <w:b/>
                <w:sz w:val="18"/>
                <w:szCs w:val="18"/>
              </w:rPr>
              <w:t>3,151,067</w:t>
            </w:r>
          </w:p>
        </w:tc>
      </w:tr>
      <w:tr w:rsidR="00F04730" w:rsidRPr="001D41EA" w14:paraId="791E8B5A"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70A99A6" w14:textId="77777777" w:rsidR="00F04730" w:rsidRPr="001D41EA" w:rsidRDefault="00F04730" w:rsidP="001D41EA">
            <w:pPr>
              <w:spacing w:before="40" w:after="20"/>
              <w:rPr>
                <w:rFonts w:cs="Arial"/>
                <w:sz w:val="18"/>
                <w:szCs w:val="18"/>
              </w:rPr>
            </w:pPr>
            <w:r w:rsidRPr="001D41EA">
              <w:rPr>
                <w:rFonts w:cs="Arial"/>
                <w:sz w:val="18"/>
                <w:szCs w:val="18"/>
              </w:rPr>
              <w:t>Maribyrnong C</w:t>
            </w:r>
          </w:p>
        </w:tc>
        <w:tc>
          <w:tcPr>
            <w:tcW w:w="1134" w:type="dxa"/>
            <w:tcBorders>
              <w:top w:val="nil"/>
              <w:left w:val="single" w:sz="18" w:space="0" w:color="5F497A" w:themeColor="accent4" w:themeShade="BF"/>
              <w:bottom w:val="nil"/>
              <w:right w:val="nil"/>
            </w:tcBorders>
            <w:shd w:val="clear" w:color="auto" w:fill="auto"/>
            <w:vAlign w:val="bottom"/>
          </w:tcPr>
          <w:p w14:paraId="0CB53107" w14:textId="08AC21C7" w:rsidR="00F04730" w:rsidRPr="001D41EA" w:rsidRDefault="00F04730" w:rsidP="001D41EA">
            <w:pPr>
              <w:spacing w:before="40" w:after="20"/>
              <w:jc w:val="right"/>
              <w:rPr>
                <w:rFonts w:cs="Arial"/>
                <w:sz w:val="18"/>
                <w:szCs w:val="18"/>
              </w:rPr>
            </w:pPr>
            <w:r w:rsidRPr="001D41EA">
              <w:rPr>
                <w:rFonts w:cs="Arial"/>
                <w:sz w:val="18"/>
                <w:szCs w:val="18"/>
              </w:rPr>
              <w:t>2,179,302</w:t>
            </w:r>
          </w:p>
        </w:tc>
        <w:tc>
          <w:tcPr>
            <w:tcW w:w="1134" w:type="dxa"/>
            <w:tcBorders>
              <w:top w:val="nil"/>
              <w:left w:val="nil"/>
              <w:bottom w:val="nil"/>
              <w:right w:val="nil"/>
            </w:tcBorders>
            <w:shd w:val="clear" w:color="auto" w:fill="auto"/>
            <w:vAlign w:val="bottom"/>
          </w:tcPr>
          <w:p w14:paraId="1E26841B" w14:textId="4E98779B" w:rsidR="00F04730" w:rsidRPr="001D41EA" w:rsidRDefault="00F04730" w:rsidP="001D41EA">
            <w:pPr>
              <w:spacing w:before="40" w:after="20"/>
              <w:jc w:val="right"/>
              <w:rPr>
                <w:rFonts w:cs="Arial"/>
                <w:sz w:val="18"/>
                <w:szCs w:val="18"/>
              </w:rPr>
            </w:pPr>
            <w:r w:rsidRPr="001D41EA">
              <w:rPr>
                <w:rFonts w:cs="Arial"/>
                <w:sz w:val="18"/>
                <w:szCs w:val="18"/>
              </w:rPr>
              <w:t>602,315</w:t>
            </w:r>
          </w:p>
        </w:tc>
        <w:tc>
          <w:tcPr>
            <w:tcW w:w="170" w:type="dxa"/>
            <w:tcBorders>
              <w:top w:val="nil"/>
              <w:left w:val="nil"/>
              <w:bottom w:val="nil"/>
              <w:right w:val="nil"/>
            </w:tcBorders>
            <w:vAlign w:val="bottom"/>
          </w:tcPr>
          <w:p w14:paraId="46A6B9E1"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0535BDD1" w14:textId="4A314482" w:rsidR="00F04730" w:rsidRPr="001D41EA" w:rsidRDefault="00F04730" w:rsidP="001D41EA">
            <w:pPr>
              <w:spacing w:before="40" w:after="20"/>
              <w:jc w:val="right"/>
              <w:rPr>
                <w:rFonts w:cs="Arial"/>
                <w:sz w:val="18"/>
                <w:szCs w:val="18"/>
              </w:rPr>
            </w:pPr>
            <w:r w:rsidRPr="001D41EA">
              <w:rPr>
                <w:rFonts w:cs="Arial"/>
                <w:sz w:val="18"/>
                <w:szCs w:val="18"/>
              </w:rPr>
              <w:t>-24,215</w:t>
            </w:r>
          </w:p>
        </w:tc>
        <w:tc>
          <w:tcPr>
            <w:tcW w:w="1021" w:type="dxa"/>
            <w:tcBorders>
              <w:top w:val="nil"/>
              <w:left w:val="nil"/>
              <w:bottom w:val="nil"/>
              <w:right w:val="nil"/>
            </w:tcBorders>
            <w:vAlign w:val="bottom"/>
          </w:tcPr>
          <w:p w14:paraId="79BF9C91" w14:textId="5F1E08D7" w:rsidR="00F04730" w:rsidRPr="001D41EA" w:rsidRDefault="00F04730" w:rsidP="001D41EA">
            <w:pPr>
              <w:spacing w:before="40" w:after="20"/>
              <w:jc w:val="right"/>
              <w:rPr>
                <w:rFonts w:cs="Arial"/>
                <w:sz w:val="18"/>
                <w:szCs w:val="18"/>
              </w:rPr>
            </w:pPr>
            <w:r w:rsidRPr="001D41EA">
              <w:rPr>
                <w:rFonts w:cs="Arial"/>
                <w:sz w:val="18"/>
                <w:szCs w:val="18"/>
              </w:rPr>
              <w:t>-4,320</w:t>
            </w:r>
          </w:p>
        </w:tc>
        <w:tc>
          <w:tcPr>
            <w:tcW w:w="1021" w:type="dxa"/>
            <w:tcBorders>
              <w:top w:val="nil"/>
              <w:left w:val="nil"/>
              <w:bottom w:val="nil"/>
              <w:right w:val="nil"/>
            </w:tcBorders>
            <w:vAlign w:val="bottom"/>
          </w:tcPr>
          <w:p w14:paraId="46E655DF" w14:textId="1E46033D" w:rsidR="00F04730" w:rsidRPr="001D41EA" w:rsidRDefault="00F04730" w:rsidP="001D41EA">
            <w:pPr>
              <w:spacing w:before="40" w:after="20"/>
              <w:jc w:val="right"/>
              <w:rPr>
                <w:rFonts w:cs="Arial"/>
                <w:sz w:val="18"/>
                <w:szCs w:val="18"/>
              </w:rPr>
            </w:pPr>
            <w:r w:rsidRPr="001D41EA">
              <w:rPr>
                <w:rFonts w:cs="Arial"/>
                <w:sz w:val="18"/>
                <w:szCs w:val="18"/>
              </w:rPr>
              <w:t>-28,535</w:t>
            </w:r>
          </w:p>
        </w:tc>
        <w:tc>
          <w:tcPr>
            <w:tcW w:w="1247" w:type="dxa"/>
            <w:tcBorders>
              <w:top w:val="nil"/>
              <w:left w:val="nil"/>
              <w:bottom w:val="nil"/>
              <w:right w:val="nil"/>
            </w:tcBorders>
            <w:shd w:val="clear" w:color="auto" w:fill="auto"/>
            <w:vAlign w:val="bottom"/>
          </w:tcPr>
          <w:p w14:paraId="0D7914C5" w14:textId="7EF6FA8C" w:rsidR="00F04730" w:rsidRPr="001D41EA" w:rsidRDefault="00F04730" w:rsidP="001D41EA">
            <w:pPr>
              <w:spacing w:before="40" w:after="20"/>
              <w:jc w:val="right"/>
              <w:rPr>
                <w:rFonts w:cs="Arial"/>
                <w:b/>
                <w:sz w:val="18"/>
                <w:szCs w:val="18"/>
              </w:rPr>
            </w:pPr>
            <w:r w:rsidRPr="001D41EA">
              <w:rPr>
                <w:rFonts w:cs="Arial"/>
                <w:b/>
                <w:sz w:val="18"/>
                <w:szCs w:val="18"/>
              </w:rPr>
              <w:t>2,753,082</w:t>
            </w:r>
          </w:p>
        </w:tc>
      </w:tr>
      <w:tr w:rsidR="00F04730" w:rsidRPr="001D41EA" w14:paraId="130626C7"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3D4E7F8" w14:textId="77777777" w:rsidR="00F04730" w:rsidRPr="001D41EA" w:rsidRDefault="00F04730" w:rsidP="001D41EA">
            <w:pPr>
              <w:spacing w:before="40" w:after="20"/>
              <w:rPr>
                <w:rFonts w:cs="Arial"/>
                <w:sz w:val="18"/>
                <w:szCs w:val="18"/>
              </w:rPr>
            </w:pPr>
            <w:r w:rsidRPr="001D41EA">
              <w:rPr>
                <w:rFonts w:cs="Arial"/>
                <w:sz w:val="18"/>
                <w:szCs w:val="18"/>
              </w:rPr>
              <w:t>Maroondah C</w:t>
            </w:r>
          </w:p>
        </w:tc>
        <w:tc>
          <w:tcPr>
            <w:tcW w:w="1134" w:type="dxa"/>
            <w:tcBorders>
              <w:top w:val="nil"/>
              <w:left w:val="single" w:sz="18" w:space="0" w:color="5F497A" w:themeColor="accent4" w:themeShade="BF"/>
              <w:bottom w:val="nil"/>
              <w:right w:val="nil"/>
            </w:tcBorders>
            <w:shd w:val="clear" w:color="auto" w:fill="auto"/>
            <w:vAlign w:val="bottom"/>
          </w:tcPr>
          <w:p w14:paraId="39D3DAB4" w14:textId="63F6C052" w:rsidR="00F04730" w:rsidRPr="001D41EA" w:rsidRDefault="00F04730" w:rsidP="001D41EA">
            <w:pPr>
              <w:spacing w:before="40" w:after="20"/>
              <w:jc w:val="right"/>
              <w:rPr>
                <w:rFonts w:cs="Arial"/>
                <w:sz w:val="18"/>
                <w:szCs w:val="18"/>
              </w:rPr>
            </w:pPr>
            <w:r w:rsidRPr="001D41EA">
              <w:rPr>
                <w:rFonts w:cs="Arial"/>
                <w:sz w:val="18"/>
                <w:szCs w:val="18"/>
              </w:rPr>
              <w:t>4,103,053</w:t>
            </w:r>
          </w:p>
        </w:tc>
        <w:tc>
          <w:tcPr>
            <w:tcW w:w="1134" w:type="dxa"/>
            <w:tcBorders>
              <w:top w:val="nil"/>
              <w:left w:val="nil"/>
              <w:bottom w:val="nil"/>
              <w:right w:val="nil"/>
            </w:tcBorders>
            <w:shd w:val="clear" w:color="auto" w:fill="auto"/>
            <w:vAlign w:val="bottom"/>
          </w:tcPr>
          <w:p w14:paraId="0F79FB6B" w14:textId="0C3D068C" w:rsidR="00F04730" w:rsidRPr="001D41EA" w:rsidRDefault="00F04730" w:rsidP="001D41EA">
            <w:pPr>
              <w:spacing w:before="40" w:after="20"/>
              <w:jc w:val="right"/>
              <w:rPr>
                <w:rFonts w:cs="Arial"/>
                <w:sz w:val="18"/>
                <w:szCs w:val="18"/>
              </w:rPr>
            </w:pPr>
            <w:r w:rsidRPr="001D41EA">
              <w:rPr>
                <w:rFonts w:cs="Arial"/>
                <w:sz w:val="18"/>
                <w:szCs w:val="18"/>
              </w:rPr>
              <w:t>799,357</w:t>
            </w:r>
          </w:p>
        </w:tc>
        <w:tc>
          <w:tcPr>
            <w:tcW w:w="170" w:type="dxa"/>
            <w:tcBorders>
              <w:top w:val="nil"/>
              <w:left w:val="nil"/>
              <w:bottom w:val="nil"/>
              <w:right w:val="nil"/>
            </w:tcBorders>
            <w:vAlign w:val="bottom"/>
          </w:tcPr>
          <w:p w14:paraId="55AEEB0C"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327C0786" w14:textId="1C30ECE6" w:rsidR="00F04730" w:rsidRPr="001D41EA" w:rsidRDefault="00F04730" w:rsidP="001D41EA">
            <w:pPr>
              <w:spacing w:before="40" w:after="20"/>
              <w:jc w:val="right"/>
              <w:rPr>
                <w:rFonts w:cs="Arial"/>
                <w:sz w:val="18"/>
                <w:szCs w:val="18"/>
              </w:rPr>
            </w:pPr>
            <w:r w:rsidRPr="001D41EA">
              <w:rPr>
                <w:rFonts w:cs="Arial"/>
                <w:sz w:val="18"/>
                <w:szCs w:val="18"/>
              </w:rPr>
              <w:t>-44,882</w:t>
            </w:r>
          </w:p>
        </w:tc>
        <w:tc>
          <w:tcPr>
            <w:tcW w:w="1021" w:type="dxa"/>
            <w:tcBorders>
              <w:top w:val="nil"/>
              <w:left w:val="nil"/>
              <w:bottom w:val="nil"/>
              <w:right w:val="nil"/>
            </w:tcBorders>
            <w:vAlign w:val="bottom"/>
          </w:tcPr>
          <w:p w14:paraId="5B396330" w14:textId="1BFCE456" w:rsidR="00F04730" w:rsidRPr="001D41EA" w:rsidRDefault="00F04730" w:rsidP="001D41EA">
            <w:pPr>
              <w:spacing w:before="40" w:after="20"/>
              <w:jc w:val="right"/>
              <w:rPr>
                <w:rFonts w:cs="Arial"/>
                <w:sz w:val="18"/>
                <w:szCs w:val="18"/>
              </w:rPr>
            </w:pPr>
            <w:r w:rsidRPr="001D41EA">
              <w:rPr>
                <w:rFonts w:cs="Arial"/>
                <w:sz w:val="18"/>
                <w:szCs w:val="18"/>
              </w:rPr>
              <w:t>-6,134</w:t>
            </w:r>
          </w:p>
        </w:tc>
        <w:tc>
          <w:tcPr>
            <w:tcW w:w="1021" w:type="dxa"/>
            <w:tcBorders>
              <w:top w:val="nil"/>
              <w:left w:val="nil"/>
              <w:bottom w:val="nil"/>
              <w:right w:val="nil"/>
            </w:tcBorders>
            <w:vAlign w:val="bottom"/>
          </w:tcPr>
          <w:p w14:paraId="439F1B87" w14:textId="4FD0743C" w:rsidR="00F04730" w:rsidRPr="001D41EA" w:rsidRDefault="00F04730" w:rsidP="001D41EA">
            <w:pPr>
              <w:spacing w:before="40" w:after="20"/>
              <w:jc w:val="right"/>
              <w:rPr>
                <w:rFonts w:cs="Arial"/>
                <w:sz w:val="18"/>
                <w:szCs w:val="18"/>
              </w:rPr>
            </w:pPr>
            <w:r w:rsidRPr="001D41EA">
              <w:rPr>
                <w:rFonts w:cs="Arial"/>
                <w:sz w:val="18"/>
                <w:szCs w:val="18"/>
              </w:rPr>
              <w:t>-51,016</w:t>
            </w:r>
          </w:p>
        </w:tc>
        <w:tc>
          <w:tcPr>
            <w:tcW w:w="1247" w:type="dxa"/>
            <w:tcBorders>
              <w:top w:val="nil"/>
              <w:left w:val="nil"/>
              <w:bottom w:val="nil"/>
              <w:right w:val="nil"/>
            </w:tcBorders>
            <w:shd w:val="clear" w:color="auto" w:fill="auto"/>
            <w:vAlign w:val="bottom"/>
          </w:tcPr>
          <w:p w14:paraId="49EFE3E2" w14:textId="0B07F618" w:rsidR="00F04730" w:rsidRPr="001D41EA" w:rsidRDefault="00F04730" w:rsidP="001D41EA">
            <w:pPr>
              <w:spacing w:before="40" w:after="20"/>
              <w:jc w:val="right"/>
              <w:rPr>
                <w:rFonts w:cs="Arial"/>
                <w:b/>
                <w:sz w:val="18"/>
                <w:szCs w:val="18"/>
              </w:rPr>
            </w:pPr>
            <w:r w:rsidRPr="001D41EA">
              <w:rPr>
                <w:rFonts w:cs="Arial"/>
                <w:b/>
                <w:sz w:val="18"/>
                <w:szCs w:val="18"/>
              </w:rPr>
              <w:t>4,851,394</w:t>
            </w:r>
          </w:p>
        </w:tc>
      </w:tr>
      <w:tr w:rsidR="00F04730" w:rsidRPr="001D41EA" w14:paraId="418748AF"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E0A5351" w14:textId="77777777" w:rsidR="00F04730" w:rsidRPr="001D41EA" w:rsidRDefault="00F04730" w:rsidP="001D41EA">
            <w:pPr>
              <w:spacing w:before="40" w:after="20"/>
              <w:rPr>
                <w:rFonts w:cs="Arial"/>
                <w:sz w:val="18"/>
                <w:szCs w:val="18"/>
              </w:rPr>
            </w:pPr>
            <w:r w:rsidRPr="001D41EA">
              <w:rPr>
                <w:rFonts w:cs="Arial"/>
                <w:sz w:val="18"/>
                <w:szCs w:val="18"/>
              </w:rPr>
              <w:t>Melbourne C</w:t>
            </w:r>
          </w:p>
        </w:tc>
        <w:tc>
          <w:tcPr>
            <w:tcW w:w="1134" w:type="dxa"/>
            <w:tcBorders>
              <w:top w:val="nil"/>
              <w:left w:val="single" w:sz="18" w:space="0" w:color="5F497A" w:themeColor="accent4" w:themeShade="BF"/>
              <w:bottom w:val="nil"/>
              <w:right w:val="nil"/>
            </w:tcBorders>
            <w:shd w:val="clear" w:color="auto" w:fill="auto"/>
            <w:vAlign w:val="bottom"/>
          </w:tcPr>
          <w:p w14:paraId="1D2B3F04" w14:textId="4B78B775" w:rsidR="00F04730" w:rsidRPr="001D41EA" w:rsidRDefault="00F04730" w:rsidP="001D41EA">
            <w:pPr>
              <w:spacing w:before="40" w:after="20"/>
              <w:jc w:val="right"/>
              <w:rPr>
                <w:rFonts w:cs="Arial"/>
                <w:sz w:val="18"/>
                <w:szCs w:val="18"/>
              </w:rPr>
            </w:pPr>
            <w:r w:rsidRPr="001D41EA">
              <w:rPr>
                <w:rFonts w:cs="Arial"/>
                <w:sz w:val="18"/>
                <w:szCs w:val="18"/>
              </w:rPr>
              <w:t>3,595,519</w:t>
            </w:r>
          </w:p>
        </w:tc>
        <w:tc>
          <w:tcPr>
            <w:tcW w:w="1134" w:type="dxa"/>
            <w:tcBorders>
              <w:top w:val="nil"/>
              <w:left w:val="nil"/>
              <w:bottom w:val="nil"/>
              <w:right w:val="nil"/>
            </w:tcBorders>
            <w:shd w:val="clear" w:color="auto" w:fill="auto"/>
            <w:vAlign w:val="bottom"/>
          </w:tcPr>
          <w:p w14:paraId="1F1D4835" w14:textId="7122DAF1" w:rsidR="00F04730" w:rsidRPr="001D41EA" w:rsidRDefault="00F04730" w:rsidP="001D41EA">
            <w:pPr>
              <w:spacing w:before="40" w:after="20"/>
              <w:jc w:val="right"/>
              <w:rPr>
                <w:rFonts w:cs="Arial"/>
                <w:sz w:val="18"/>
                <w:szCs w:val="18"/>
              </w:rPr>
            </w:pPr>
            <w:r w:rsidRPr="001D41EA">
              <w:rPr>
                <w:rFonts w:cs="Arial"/>
                <w:sz w:val="18"/>
                <w:szCs w:val="18"/>
              </w:rPr>
              <w:t>737,216</w:t>
            </w:r>
          </w:p>
        </w:tc>
        <w:tc>
          <w:tcPr>
            <w:tcW w:w="170" w:type="dxa"/>
            <w:tcBorders>
              <w:top w:val="nil"/>
              <w:left w:val="nil"/>
              <w:bottom w:val="nil"/>
              <w:right w:val="nil"/>
            </w:tcBorders>
            <w:vAlign w:val="bottom"/>
          </w:tcPr>
          <w:p w14:paraId="4167E53B"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49D1E951" w14:textId="61364EC7" w:rsidR="00F04730" w:rsidRPr="001D41EA" w:rsidRDefault="00F04730" w:rsidP="001D41EA">
            <w:pPr>
              <w:spacing w:before="40" w:after="20"/>
              <w:jc w:val="right"/>
              <w:rPr>
                <w:rFonts w:cs="Arial"/>
                <w:sz w:val="18"/>
                <w:szCs w:val="18"/>
              </w:rPr>
            </w:pPr>
            <w:r w:rsidRPr="001D41EA">
              <w:rPr>
                <w:rFonts w:cs="Arial"/>
                <w:sz w:val="18"/>
                <w:szCs w:val="18"/>
              </w:rPr>
              <w:t>-36,318</w:t>
            </w:r>
          </w:p>
        </w:tc>
        <w:tc>
          <w:tcPr>
            <w:tcW w:w="1021" w:type="dxa"/>
            <w:tcBorders>
              <w:top w:val="nil"/>
              <w:left w:val="nil"/>
              <w:bottom w:val="nil"/>
              <w:right w:val="nil"/>
            </w:tcBorders>
            <w:vAlign w:val="bottom"/>
          </w:tcPr>
          <w:p w14:paraId="14F09CF3" w14:textId="7B79129D" w:rsidR="00F04730" w:rsidRPr="001D41EA" w:rsidRDefault="00F04730" w:rsidP="001D41EA">
            <w:pPr>
              <w:spacing w:before="40" w:after="20"/>
              <w:jc w:val="right"/>
              <w:rPr>
                <w:rFonts w:cs="Arial"/>
                <w:sz w:val="18"/>
                <w:szCs w:val="18"/>
              </w:rPr>
            </w:pPr>
            <w:r w:rsidRPr="001D41EA">
              <w:rPr>
                <w:rFonts w:cs="Arial"/>
                <w:sz w:val="18"/>
                <w:szCs w:val="18"/>
              </w:rPr>
              <w:t>-5,657</w:t>
            </w:r>
          </w:p>
        </w:tc>
        <w:tc>
          <w:tcPr>
            <w:tcW w:w="1021" w:type="dxa"/>
            <w:tcBorders>
              <w:top w:val="nil"/>
              <w:left w:val="nil"/>
              <w:bottom w:val="nil"/>
              <w:right w:val="nil"/>
            </w:tcBorders>
            <w:vAlign w:val="bottom"/>
          </w:tcPr>
          <w:p w14:paraId="6DC1C58E" w14:textId="6ECC0792" w:rsidR="00F04730" w:rsidRPr="001D41EA" w:rsidRDefault="00F04730" w:rsidP="001D41EA">
            <w:pPr>
              <w:spacing w:before="40" w:after="20"/>
              <w:jc w:val="right"/>
              <w:rPr>
                <w:rFonts w:cs="Arial"/>
                <w:sz w:val="18"/>
                <w:szCs w:val="18"/>
              </w:rPr>
            </w:pPr>
            <w:r w:rsidRPr="001D41EA">
              <w:rPr>
                <w:rFonts w:cs="Arial"/>
                <w:sz w:val="18"/>
                <w:szCs w:val="18"/>
              </w:rPr>
              <w:t>-41,975</w:t>
            </w:r>
          </w:p>
        </w:tc>
        <w:tc>
          <w:tcPr>
            <w:tcW w:w="1247" w:type="dxa"/>
            <w:tcBorders>
              <w:top w:val="nil"/>
              <w:left w:val="nil"/>
              <w:bottom w:val="nil"/>
              <w:right w:val="nil"/>
            </w:tcBorders>
            <w:shd w:val="clear" w:color="auto" w:fill="auto"/>
            <w:vAlign w:val="bottom"/>
          </w:tcPr>
          <w:p w14:paraId="3DC4CA07" w14:textId="244B53AB" w:rsidR="00F04730" w:rsidRPr="001D41EA" w:rsidRDefault="00F04730" w:rsidP="001D41EA">
            <w:pPr>
              <w:spacing w:before="40" w:after="20"/>
              <w:jc w:val="right"/>
              <w:rPr>
                <w:rFonts w:cs="Arial"/>
                <w:b/>
                <w:sz w:val="18"/>
                <w:szCs w:val="18"/>
              </w:rPr>
            </w:pPr>
            <w:r w:rsidRPr="001D41EA">
              <w:rPr>
                <w:rFonts w:cs="Arial"/>
                <w:b/>
                <w:sz w:val="18"/>
                <w:szCs w:val="18"/>
              </w:rPr>
              <w:t>4,290,760</w:t>
            </w:r>
          </w:p>
        </w:tc>
      </w:tr>
      <w:tr w:rsidR="00F04730" w:rsidRPr="001D41EA" w14:paraId="4260CE95"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DFC28C1" w14:textId="77777777" w:rsidR="00F04730" w:rsidRPr="001D41EA" w:rsidRDefault="00F04730" w:rsidP="001D41EA">
            <w:pPr>
              <w:spacing w:before="40" w:after="20"/>
              <w:rPr>
                <w:rFonts w:cs="Arial"/>
                <w:sz w:val="18"/>
                <w:szCs w:val="18"/>
              </w:rPr>
            </w:pPr>
            <w:r w:rsidRPr="001D41EA">
              <w:rPr>
                <w:rFonts w:cs="Arial"/>
                <w:sz w:val="18"/>
                <w:szCs w:val="18"/>
              </w:rPr>
              <w:t>Melton C</w:t>
            </w:r>
          </w:p>
        </w:tc>
        <w:tc>
          <w:tcPr>
            <w:tcW w:w="1134" w:type="dxa"/>
            <w:tcBorders>
              <w:top w:val="nil"/>
              <w:left w:val="single" w:sz="18" w:space="0" w:color="5F497A" w:themeColor="accent4" w:themeShade="BF"/>
              <w:bottom w:val="nil"/>
              <w:right w:val="nil"/>
            </w:tcBorders>
            <w:shd w:val="clear" w:color="auto" w:fill="auto"/>
            <w:vAlign w:val="bottom"/>
          </w:tcPr>
          <w:p w14:paraId="4DB46362" w14:textId="78D582B0" w:rsidR="00F04730" w:rsidRPr="001D41EA" w:rsidRDefault="00F04730" w:rsidP="001D41EA">
            <w:pPr>
              <w:spacing w:before="40" w:after="20"/>
              <w:jc w:val="right"/>
              <w:rPr>
                <w:rFonts w:cs="Arial"/>
                <w:sz w:val="18"/>
                <w:szCs w:val="18"/>
              </w:rPr>
            </w:pPr>
            <w:r w:rsidRPr="001D41EA">
              <w:rPr>
                <w:rFonts w:cs="Arial"/>
                <w:sz w:val="18"/>
                <w:szCs w:val="18"/>
              </w:rPr>
              <w:t>14,359,557</w:t>
            </w:r>
          </w:p>
        </w:tc>
        <w:tc>
          <w:tcPr>
            <w:tcW w:w="1134" w:type="dxa"/>
            <w:tcBorders>
              <w:top w:val="nil"/>
              <w:left w:val="nil"/>
              <w:bottom w:val="nil"/>
              <w:right w:val="nil"/>
            </w:tcBorders>
            <w:shd w:val="clear" w:color="auto" w:fill="auto"/>
            <w:vAlign w:val="bottom"/>
          </w:tcPr>
          <w:p w14:paraId="1C557667" w14:textId="3203834A" w:rsidR="00F04730" w:rsidRPr="001D41EA" w:rsidRDefault="00F04730" w:rsidP="001D41EA">
            <w:pPr>
              <w:spacing w:before="40" w:after="20"/>
              <w:jc w:val="right"/>
              <w:rPr>
                <w:rFonts w:cs="Arial"/>
                <w:sz w:val="18"/>
                <w:szCs w:val="18"/>
              </w:rPr>
            </w:pPr>
            <w:r w:rsidRPr="001D41EA">
              <w:rPr>
                <w:rFonts w:cs="Arial"/>
                <w:sz w:val="18"/>
                <w:szCs w:val="18"/>
              </w:rPr>
              <w:t>2,133,082</w:t>
            </w:r>
          </w:p>
        </w:tc>
        <w:tc>
          <w:tcPr>
            <w:tcW w:w="170" w:type="dxa"/>
            <w:tcBorders>
              <w:top w:val="nil"/>
              <w:left w:val="nil"/>
              <w:bottom w:val="nil"/>
              <w:right w:val="nil"/>
            </w:tcBorders>
            <w:vAlign w:val="bottom"/>
          </w:tcPr>
          <w:p w14:paraId="15AC120E"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053D6540" w14:textId="4BD07058" w:rsidR="00F04730" w:rsidRPr="001D41EA" w:rsidRDefault="00F04730" w:rsidP="001D41EA">
            <w:pPr>
              <w:spacing w:before="40" w:after="20"/>
              <w:jc w:val="right"/>
              <w:rPr>
                <w:rFonts w:cs="Arial"/>
                <w:sz w:val="18"/>
                <w:szCs w:val="18"/>
              </w:rPr>
            </w:pPr>
            <w:r w:rsidRPr="001D41EA">
              <w:rPr>
                <w:rFonts w:cs="Arial"/>
                <w:sz w:val="18"/>
                <w:szCs w:val="18"/>
              </w:rPr>
              <w:t>-149,049</w:t>
            </w:r>
          </w:p>
        </w:tc>
        <w:tc>
          <w:tcPr>
            <w:tcW w:w="1021" w:type="dxa"/>
            <w:tcBorders>
              <w:top w:val="nil"/>
              <w:left w:val="nil"/>
              <w:bottom w:val="nil"/>
              <w:right w:val="nil"/>
            </w:tcBorders>
            <w:vAlign w:val="bottom"/>
          </w:tcPr>
          <w:p w14:paraId="1F620AA4" w14:textId="1672BE3B" w:rsidR="00F04730" w:rsidRPr="001D41EA" w:rsidRDefault="00F04730" w:rsidP="001D41EA">
            <w:pPr>
              <w:spacing w:before="40" w:after="20"/>
              <w:jc w:val="right"/>
              <w:rPr>
                <w:rFonts w:cs="Arial"/>
                <w:sz w:val="18"/>
                <w:szCs w:val="18"/>
              </w:rPr>
            </w:pPr>
            <w:r w:rsidRPr="001D41EA">
              <w:rPr>
                <w:rFonts w:cs="Arial"/>
                <w:sz w:val="18"/>
                <w:szCs w:val="18"/>
              </w:rPr>
              <w:t>-15,219</w:t>
            </w:r>
          </w:p>
        </w:tc>
        <w:tc>
          <w:tcPr>
            <w:tcW w:w="1021" w:type="dxa"/>
            <w:tcBorders>
              <w:top w:val="nil"/>
              <w:left w:val="nil"/>
              <w:bottom w:val="nil"/>
              <w:right w:val="nil"/>
            </w:tcBorders>
            <w:vAlign w:val="bottom"/>
          </w:tcPr>
          <w:p w14:paraId="0F3EE682" w14:textId="4AF8A43E" w:rsidR="00F04730" w:rsidRPr="001D41EA" w:rsidRDefault="00F04730" w:rsidP="001D41EA">
            <w:pPr>
              <w:spacing w:before="40" w:after="20"/>
              <w:jc w:val="right"/>
              <w:rPr>
                <w:rFonts w:cs="Arial"/>
                <w:sz w:val="18"/>
                <w:szCs w:val="18"/>
              </w:rPr>
            </w:pPr>
            <w:r w:rsidRPr="001D41EA">
              <w:rPr>
                <w:rFonts w:cs="Arial"/>
                <w:sz w:val="18"/>
                <w:szCs w:val="18"/>
              </w:rPr>
              <w:t>-164,268</w:t>
            </w:r>
          </w:p>
        </w:tc>
        <w:tc>
          <w:tcPr>
            <w:tcW w:w="1247" w:type="dxa"/>
            <w:tcBorders>
              <w:top w:val="nil"/>
              <w:left w:val="nil"/>
              <w:bottom w:val="nil"/>
              <w:right w:val="nil"/>
            </w:tcBorders>
            <w:shd w:val="clear" w:color="auto" w:fill="auto"/>
            <w:vAlign w:val="bottom"/>
          </w:tcPr>
          <w:p w14:paraId="7B1DD427" w14:textId="3FC1AAF3" w:rsidR="00F04730" w:rsidRPr="001D41EA" w:rsidRDefault="00F04730" w:rsidP="001D41EA">
            <w:pPr>
              <w:spacing w:before="40" w:after="20"/>
              <w:jc w:val="right"/>
              <w:rPr>
                <w:rFonts w:cs="Arial"/>
                <w:b/>
                <w:sz w:val="18"/>
                <w:szCs w:val="18"/>
              </w:rPr>
            </w:pPr>
            <w:r w:rsidRPr="001D41EA">
              <w:rPr>
                <w:rFonts w:cs="Arial"/>
                <w:b/>
                <w:sz w:val="18"/>
                <w:szCs w:val="18"/>
              </w:rPr>
              <w:t>16,328,371</w:t>
            </w:r>
          </w:p>
        </w:tc>
      </w:tr>
      <w:tr w:rsidR="00F04730" w:rsidRPr="001D41EA" w14:paraId="22005FAA"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6E2120F" w14:textId="77777777" w:rsidR="00F04730" w:rsidRPr="001D41EA" w:rsidRDefault="00F04730" w:rsidP="001D41EA">
            <w:pPr>
              <w:spacing w:before="40" w:after="20"/>
              <w:rPr>
                <w:rFonts w:cs="Arial"/>
                <w:sz w:val="18"/>
                <w:szCs w:val="18"/>
              </w:rPr>
            </w:pPr>
            <w:r w:rsidRPr="001D41EA">
              <w:rPr>
                <w:rFonts w:cs="Arial"/>
                <w:sz w:val="18"/>
                <w:szCs w:val="18"/>
              </w:rPr>
              <w:t>Mildura RC</w:t>
            </w:r>
          </w:p>
        </w:tc>
        <w:tc>
          <w:tcPr>
            <w:tcW w:w="1134" w:type="dxa"/>
            <w:tcBorders>
              <w:top w:val="nil"/>
              <w:left w:val="single" w:sz="18" w:space="0" w:color="5F497A" w:themeColor="accent4" w:themeShade="BF"/>
              <w:bottom w:val="nil"/>
              <w:right w:val="nil"/>
            </w:tcBorders>
            <w:shd w:val="clear" w:color="auto" w:fill="auto"/>
            <w:vAlign w:val="bottom"/>
          </w:tcPr>
          <w:p w14:paraId="79DB7A73" w14:textId="03C8109C" w:rsidR="00F04730" w:rsidRPr="001D41EA" w:rsidRDefault="00F04730" w:rsidP="001D41EA">
            <w:pPr>
              <w:spacing w:before="40" w:after="20"/>
              <w:jc w:val="right"/>
              <w:rPr>
                <w:rFonts w:cs="Arial"/>
                <w:sz w:val="18"/>
                <w:szCs w:val="18"/>
              </w:rPr>
            </w:pPr>
            <w:r w:rsidRPr="001D41EA">
              <w:rPr>
                <w:rFonts w:cs="Arial"/>
                <w:sz w:val="18"/>
                <w:szCs w:val="18"/>
              </w:rPr>
              <w:t>11,575,689</w:t>
            </w:r>
          </w:p>
        </w:tc>
        <w:tc>
          <w:tcPr>
            <w:tcW w:w="1134" w:type="dxa"/>
            <w:tcBorders>
              <w:top w:val="nil"/>
              <w:left w:val="nil"/>
              <w:bottom w:val="nil"/>
              <w:right w:val="nil"/>
            </w:tcBorders>
            <w:shd w:val="clear" w:color="auto" w:fill="auto"/>
            <w:vAlign w:val="bottom"/>
          </w:tcPr>
          <w:p w14:paraId="73F58609" w14:textId="2D31EC77" w:rsidR="00F04730" w:rsidRPr="001D41EA" w:rsidRDefault="00F04730" w:rsidP="001D41EA">
            <w:pPr>
              <w:spacing w:before="40" w:after="20"/>
              <w:jc w:val="right"/>
              <w:rPr>
                <w:rFonts w:cs="Arial"/>
                <w:sz w:val="18"/>
                <w:szCs w:val="18"/>
              </w:rPr>
            </w:pPr>
            <w:r w:rsidRPr="001D41EA">
              <w:rPr>
                <w:rFonts w:cs="Arial"/>
                <w:sz w:val="18"/>
                <w:szCs w:val="18"/>
              </w:rPr>
              <w:t>4,258,812</w:t>
            </w:r>
          </w:p>
        </w:tc>
        <w:tc>
          <w:tcPr>
            <w:tcW w:w="170" w:type="dxa"/>
            <w:tcBorders>
              <w:top w:val="nil"/>
              <w:left w:val="nil"/>
              <w:bottom w:val="nil"/>
              <w:right w:val="nil"/>
            </w:tcBorders>
            <w:vAlign w:val="bottom"/>
          </w:tcPr>
          <w:p w14:paraId="2D23F5A4"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57935D7B" w14:textId="6F49691E" w:rsidR="00F04730" w:rsidRPr="001D41EA" w:rsidRDefault="00F04730" w:rsidP="001D41EA">
            <w:pPr>
              <w:spacing w:before="40" w:after="20"/>
              <w:jc w:val="right"/>
              <w:rPr>
                <w:rFonts w:cs="Arial"/>
                <w:sz w:val="18"/>
                <w:szCs w:val="18"/>
              </w:rPr>
            </w:pPr>
            <w:r w:rsidRPr="001D41EA">
              <w:rPr>
                <w:rFonts w:cs="Arial"/>
                <w:sz w:val="18"/>
                <w:szCs w:val="18"/>
              </w:rPr>
              <w:t>-121,011</w:t>
            </w:r>
          </w:p>
        </w:tc>
        <w:tc>
          <w:tcPr>
            <w:tcW w:w="1021" w:type="dxa"/>
            <w:tcBorders>
              <w:top w:val="nil"/>
              <w:left w:val="nil"/>
              <w:bottom w:val="nil"/>
              <w:right w:val="nil"/>
            </w:tcBorders>
            <w:vAlign w:val="bottom"/>
          </w:tcPr>
          <w:p w14:paraId="4B762DC5" w14:textId="6E52A692" w:rsidR="00F04730" w:rsidRPr="001D41EA" w:rsidRDefault="00F04730" w:rsidP="001D41EA">
            <w:pPr>
              <w:spacing w:before="40" w:after="20"/>
              <w:jc w:val="right"/>
              <w:rPr>
                <w:rFonts w:cs="Arial"/>
                <w:sz w:val="18"/>
                <w:szCs w:val="18"/>
              </w:rPr>
            </w:pPr>
            <w:r w:rsidRPr="001D41EA">
              <w:rPr>
                <w:rFonts w:cs="Arial"/>
                <w:sz w:val="18"/>
                <w:szCs w:val="18"/>
              </w:rPr>
              <w:t>-32,646</w:t>
            </w:r>
          </w:p>
        </w:tc>
        <w:tc>
          <w:tcPr>
            <w:tcW w:w="1021" w:type="dxa"/>
            <w:tcBorders>
              <w:top w:val="nil"/>
              <w:left w:val="nil"/>
              <w:bottom w:val="nil"/>
              <w:right w:val="nil"/>
            </w:tcBorders>
            <w:vAlign w:val="bottom"/>
          </w:tcPr>
          <w:p w14:paraId="0FC6C299" w14:textId="73CD26D9" w:rsidR="00F04730" w:rsidRPr="001D41EA" w:rsidRDefault="00F04730" w:rsidP="001D41EA">
            <w:pPr>
              <w:spacing w:before="40" w:after="20"/>
              <w:jc w:val="right"/>
              <w:rPr>
                <w:rFonts w:cs="Arial"/>
                <w:sz w:val="18"/>
                <w:szCs w:val="18"/>
              </w:rPr>
            </w:pPr>
            <w:r w:rsidRPr="001D41EA">
              <w:rPr>
                <w:rFonts w:cs="Arial"/>
                <w:sz w:val="18"/>
                <w:szCs w:val="18"/>
              </w:rPr>
              <w:t>-153,657</w:t>
            </w:r>
          </w:p>
        </w:tc>
        <w:tc>
          <w:tcPr>
            <w:tcW w:w="1247" w:type="dxa"/>
            <w:tcBorders>
              <w:top w:val="nil"/>
              <w:left w:val="nil"/>
              <w:bottom w:val="nil"/>
              <w:right w:val="nil"/>
            </w:tcBorders>
            <w:shd w:val="clear" w:color="auto" w:fill="auto"/>
            <w:vAlign w:val="bottom"/>
          </w:tcPr>
          <w:p w14:paraId="57242DDD" w14:textId="20583DC2" w:rsidR="00F04730" w:rsidRPr="001D41EA" w:rsidRDefault="00F04730" w:rsidP="001D41EA">
            <w:pPr>
              <w:spacing w:before="40" w:after="20"/>
              <w:jc w:val="right"/>
              <w:rPr>
                <w:rFonts w:cs="Arial"/>
                <w:b/>
                <w:sz w:val="18"/>
                <w:szCs w:val="18"/>
              </w:rPr>
            </w:pPr>
            <w:r w:rsidRPr="001D41EA">
              <w:rPr>
                <w:rFonts w:cs="Arial"/>
                <w:b/>
                <w:sz w:val="18"/>
                <w:szCs w:val="18"/>
              </w:rPr>
              <w:t>15,680,844</w:t>
            </w:r>
          </w:p>
        </w:tc>
      </w:tr>
      <w:tr w:rsidR="00F04730" w:rsidRPr="001D41EA" w14:paraId="2A2E6B58"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62B136" w14:textId="77777777" w:rsidR="00F04730" w:rsidRPr="001D41EA" w:rsidRDefault="00F04730" w:rsidP="001D41EA">
            <w:pPr>
              <w:spacing w:before="40" w:after="20"/>
              <w:rPr>
                <w:rFonts w:cs="Arial"/>
                <w:sz w:val="18"/>
                <w:szCs w:val="18"/>
              </w:rPr>
            </w:pPr>
            <w:r w:rsidRPr="001D41EA">
              <w:rPr>
                <w:rFonts w:cs="Arial"/>
                <w:sz w:val="18"/>
                <w:szCs w:val="18"/>
              </w:rPr>
              <w:t>Mitchell S</w:t>
            </w:r>
          </w:p>
        </w:tc>
        <w:tc>
          <w:tcPr>
            <w:tcW w:w="1134" w:type="dxa"/>
            <w:tcBorders>
              <w:top w:val="nil"/>
              <w:left w:val="single" w:sz="18" w:space="0" w:color="5F497A" w:themeColor="accent4" w:themeShade="BF"/>
              <w:bottom w:val="nil"/>
              <w:right w:val="nil"/>
            </w:tcBorders>
            <w:shd w:val="clear" w:color="auto" w:fill="auto"/>
            <w:vAlign w:val="bottom"/>
          </w:tcPr>
          <w:p w14:paraId="7C351DC9" w14:textId="7445F6BE" w:rsidR="00F04730" w:rsidRPr="001D41EA" w:rsidRDefault="00F04730" w:rsidP="001D41EA">
            <w:pPr>
              <w:spacing w:before="40" w:after="20"/>
              <w:jc w:val="right"/>
              <w:rPr>
                <w:rFonts w:cs="Arial"/>
                <w:sz w:val="18"/>
                <w:szCs w:val="18"/>
              </w:rPr>
            </w:pPr>
            <w:r w:rsidRPr="001D41EA">
              <w:rPr>
                <w:rFonts w:cs="Arial"/>
                <w:sz w:val="18"/>
                <w:szCs w:val="18"/>
              </w:rPr>
              <w:t>5,943,231</w:t>
            </w:r>
          </w:p>
        </w:tc>
        <w:tc>
          <w:tcPr>
            <w:tcW w:w="1134" w:type="dxa"/>
            <w:tcBorders>
              <w:top w:val="nil"/>
              <w:left w:val="nil"/>
              <w:bottom w:val="nil"/>
              <w:right w:val="nil"/>
            </w:tcBorders>
            <w:shd w:val="clear" w:color="auto" w:fill="auto"/>
            <w:vAlign w:val="bottom"/>
          </w:tcPr>
          <w:p w14:paraId="1CC49890" w14:textId="3B17CADD" w:rsidR="00F04730" w:rsidRPr="001D41EA" w:rsidRDefault="00F04730" w:rsidP="001D41EA">
            <w:pPr>
              <w:spacing w:before="40" w:after="20"/>
              <w:jc w:val="right"/>
              <w:rPr>
                <w:rFonts w:cs="Arial"/>
                <w:sz w:val="18"/>
                <w:szCs w:val="18"/>
              </w:rPr>
            </w:pPr>
            <w:r w:rsidRPr="001D41EA">
              <w:rPr>
                <w:rFonts w:cs="Arial"/>
                <w:sz w:val="18"/>
                <w:szCs w:val="18"/>
              </w:rPr>
              <w:t>1,953,964</w:t>
            </w:r>
          </w:p>
        </w:tc>
        <w:tc>
          <w:tcPr>
            <w:tcW w:w="170" w:type="dxa"/>
            <w:tcBorders>
              <w:top w:val="nil"/>
              <w:left w:val="nil"/>
              <w:bottom w:val="nil"/>
              <w:right w:val="nil"/>
            </w:tcBorders>
            <w:vAlign w:val="bottom"/>
          </w:tcPr>
          <w:p w14:paraId="3D1D9F8F"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347F0339" w14:textId="1ACE533C" w:rsidR="00F04730" w:rsidRPr="001D41EA" w:rsidRDefault="00F04730" w:rsidP="001D41EA">
            <w:pPr>
              <w:spacing w:before="40" w:after="20"/>
              <w:jc w:val="right"/>
              <w:rPr>
                <w:rFonts w:cs="Arial"/>
                <w:sz w:val="18"/>
                <w:szCs w:val="18"/>
              </w:rPr>
            </w:pPr>
            <w:r w:rsidRPr="001D41EA">
              <w:rPr>
                <w:rFonts w:cs="Arial"/>
                <w:sz w:val="18"/>
                <w:szCs w:val="18"/>
              </w:rPr>
              <w:t>-60,848</w:t>
            </w:r>
          </w:p>
        </w:tc>
        <w:tc>
          <w:tcPr>
            <w:tcW w:w="1021" w:type="dxa"/>
            <w:tcBorders>
              <w:top w:val="nil"/>
              <w:left w:val="nil"/>
              <w:bottom w:val="nil"/>
              <w:right w:val="nil"/>
            </w:tcBorders>
            <w:vAlign w:val="bottom"/>
          </w:tcPr>
          <w:p w14:paraId="07AB661F" w14:textId="785BDB31" w:rsidR="00F04730" w:rsidRPr="001D41EA" w:rsidRDefault="00F04730" w:rsidP="001D41EA">
            <w:pPr>
              <w:spacing w:before="40" w:after="20"/>
              <w:jc w:val="right"/>
              <w:rPr>
                <w:rFonts w:cs="Arial"/>
                <w:sz w:val="18"/>
                <w:szCs w:val="18"/>
              </w:rPr>
            </w:pPr>
            <w:r w:rsidRPr="001D41EA">
              <w:rPr>
                <w:rFonts w:cs="Arial"/>
                <w:sz w:val="18"/>
                <w:szCs w:val="18"/>
              </w:rPr>
              <w:t>-14,173</w:t>
            </w:r>
          </w:p>
        </w:tc>
        <w:tc>
          <w:tcPr>
            <w:tcW w:w="1021" w:type="dxa"/>
            <w:tcBorders>
              <w:top w:val="nil"/>
              <w:left w:val="nil"/>
              <w:bottom w:val="nil"/>
              <w:right w:val="nil"/>
            </w:tcBorders>
            <w:vAlign w:val="bottom"/>
          </w:tcPr>
          <w:p w14:paraId="55796084" w14:textId="76F4E20E" w:rsidR="00F04730" w:rsidRPr="001D41EA" w:rsidRDefault="00F04730" w:rsidP="001D41EA">
            <w:pPr>
              <w:spacing w:before="40" w:after="20"/>
              <w:jc w:val="right"/>
              <w:rPr>
                <w:rFonts w:cs="Arial"/>
                <w:sz w:val="18"/>
                <w:szCs w:val="18"/>
              </w:rPr>
            </w:pPr>
            <w:r w:rsidRPr="001D41EA">
              <w:rPr>
                <w:rFonts w:cs="Arial"/>
                <w:sz w:val="18"/>
                <w:szCs w:val="18"/>
              </w:rPr>
              <w:t>-75,021</w:t>
            </w:r>
          </w:p>
        </w:tc>
        <w:tc>
          <w:tcPr>
            <w:tcW w:w="1247" w:type="dxa"/>
            <w:tcBorders>
              <w:top w:val="nil"/>
              <w:left w:val="nil"/>
              <w:bottom w:val="nil"/>
              <w:right w:val="nil"/>
            </w:tcBorders>
            <w:shd w:val="clear" w:color="auto" w:fill="auto"/>
            <w:vAlign w:val="bottom"/>
          </w:tcPr>
          <w:p w14:paraId="2C789D11" w14:textId="2B912BA6" w:rsidR="00F04730" w:rsidRPr="001D41EA" w:rsidRDefault="00F04730" w:rsidP="001D41EA">
            <w:pPr>
              <w:spacing w:before="40" w:after="20"/>
              <w:jc w:val="right"/>
              <w:rPr>
                <w:rFonts w:cs="Arial"/>
                <w:b/>
                <w:sz w:val="18"/>
                <w:szCs w:val="18"/>
              </w:rPr>
            </w:pPr>
            <w:r w:rsidRPr="001D41EA">
              <w:rPr>
                <w:rFonts w:cs="Arial"/>
                <w:b/>
                <w:sz w:val="18"/>
                <w:szCs w:val="18"/>
              </w:rPr>
              <w:t>7,822,174</w:t>
            </w:r>
          </w:p>
        </w:tc>
      </w:tr>
      <w:tr w:rsidR="00F04730" w:rsidRPr="001D41EA" w14:paraId="75107512"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1D8E476" w14:textId="77777777" w:rsidR="00F04730" w:rsidRPr="001D41EA" w:rsidRDefault="00F04730" w:rsidP="001D41EA">
            <w:pPr>
              <w:spacing w:before="40" w:after="20"/>
              <w:rPr>
                <w:rFonts w:cs="Arial"/>
                <w:sz w:val="18"/>
                <w:szCs w:val="18"/>
              </w:rPr>
            </w:pPr>
            <w:r w:rsidRPr="001D41EA">
              <w:rPr>
                <w:rFonts w:cs="Arial"/>
                <w:sz w:val="18"/>
                <w:szCs w:val="18"/>
              </w:rPr>
              <w:t>Moira S</w:t>
            </w:r>
          </w:p>
        </w:tc>
        <w:tc>
          <w:tcPr>
            <w:tcW w:w="1134" w:type="dxa"/>
            <w:tcBorders>
              <w:top w:val="nil"/>
              <w:left w:val="single" w:sz="18" w:space="0" w:color="5F497A" w:themeColor="accent4" w:themeShade="BF"/>
              <w:bottom w:val="nil"/>
              <w:right w:val="nil"/>
            </w:tcBorders>
            <w:shd w:val="clear" w:color="auto" w:fill="auto"/>
            <w:vAlign w:val="bottom"/>
          </w:tcPr>
          <w:p w14:paraId="08C16660" w14:textId="7B443CD1" w:rsidR="00F04730" w:rsidRPr="001D41EA" w:rsidRDefault="00F04730" w:rsidP="001D41EA">
            <w:pPr>
              <w:spacing w:before="40" w:after="20"/>
              <w:jc w:val="right"/>
              <w:rPr>
                <w:rFonts w:cs="Arial"/>
                <w:sz w:val="18"/>
                <w:szCs w:val="18"/>
              </w:rPr>
            </w:pPr>
            <w:r w:rsidRPr="001D41EA">
              <w:rPr>
                <w:rFonts w:cs="Arial"/>
                <w:sz w:val="18"/>
                <w:szCs w:val="18"/>
              </w:rPr>
              <w:t>7,304,123</w:t>
            </w:r>
          </w:p>
        </w:tc>
        <w:tc>
          <w:tcPr>
            <w:tcW w:w="1134" w:type="dxa"/>
            <w:tcBorders>
              <w:top w:val="nil"/>
              <w:left w:val="nil"/>
              <w:bottom w:val="nil"/>
              <w:right w:val="nil"/>
            </w:tcBorders>
            <w:shd w:val="clear" w:color="auto" w:fill="auto"/>
            <w:vAlign w:val="bottom"/>
          </w:tcPr>
          <w:p w14:paraId="7E812CBD" w14:textId="03DE2301" w:rsidR="00F04730" w:rsidRPr="001D41EA" w:rsidRDefault="00F04730" w:rsidP="001D41EA">
            <w:pPr>
              <w:spacing w:before="40" w:after="20"/>
              <w:jc w:val="right"/>
              <w:rPr>
                <w:rFonts w:cs="Arial"/>
                <w:sz w:val="18"/>
                <w:szCs w:val="18"/>
              </w:rPr>
            </w:pPr>
            <w:r w:rsidRPr="001D41EA">
              <w:rPr>
                <w:rFonts w:cs="Arial"/>
                <w:sz w:val="18"/>
                <w:szCs w:val="18"/>
              </w:rPr>
              <w:t>3,997,378</w:t>
            </w:r>
          </w:p>
        </w:tc>
        <w:tc>
          <w:tcPr>
            <w:tcW w:w="170" w:type="dxa"/>
            <w:tcBorders>
              <w:top w:val="nil"/>
              <w:left w:val="nil"/>
              <w:bottom w:val="nil"/>
              <w:right w:val="nil"/>
            </w:tcBorders>
            <w:vAlign w:val="bottom"/>
          </w:tcPr>
          <w:p w14:paraId="3C9E53E2"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2104DD72" w14:textId="7BF18140" w:rsidR="00F04730" w:rsidRPr="001D41EA" w:rsidRDefault="00F04730" w:rsidP="001D41EA">
            <w:pPr>
              <w:spacing w:before="40" w:after="20"/>
              <w:jc w:val="right"/>
              <w:rPr>
                <w:rFonts w:cs="Arial"/>
                <w:sz w:val="18"/>
                <w:szCs w:val="18"/>
              </w:rPr>
            </w:pPr>
            <w:r w:rsidRPr="001D41EA">
              <w:rPr>
                <w:rFonts w:cs="Arial"/>
                <w:sz w:val="18"/>
                <w:szCs w:val="18"/>
              </w:rPr>
              <w:t>-76,368</w:t>
            </w:r>
          </w:p>
        </w:tc>
        <w:tc>
          <w:tcPr>
            <w:tcW w:w="1021" w:type="dxa"/>
            <w:tcBorders>
              <w:top w:val="nil"/>
              <w:left w:val="nil"/>
              <w:bottom w:val="nil"/>
              <w:right w:val="nil"/>
            </w:tcBorders>
            <w:vAlign w:val="bottom"/>
          </w:tcPr>
          <w:p w14:paraId="52B017CF" w14:textId="7AF874AD" w:rsidR="00F04730" w:rsidRPr="001D41EA" w:rsidRDefault="00F04730" w:rsidP="001D41EA">
            <w:pPr>
              <w:spacing w:before="40" w:after="20"/>
              <w:jc w:val="right"/>
              <w:rPr>
                <w:rFonts w:cs="Arial"/>
                <w:sz w:val="18"/>
                <w:szCs w:val="18"/>
              </w:rPr>
            </w:pPr>
            <w:r w:rsidRPr="001D41EA">
              <w:rPr>
                <w:rFonts w:cs="Arial"/>
                <w:sz w:val="18"/>
                <w:szCs w:val="18"/>
              </w:rPr>
              <w:t>-30,716</w:t>
            </w:r>
          </w:p>
        </w:tc>
        <w:tc>
          <w:tcPr>
            <w:tcW w:w="1021" w:type="dxa"/>
            <w:tcBorders>
              <w:top w:val="nil"/>
              <w:left w:val="nil"/>
              <w:bottom w:val="nil"/>
              <w:right w:val="nil"/>
            </w:tcBorders>
            <w:vAlign w:val="bottom"/>
          </w:tcPr>
          <w:p w14:paraId="488E3F48" w14:textId="28A0F793" w:rsidR="00F04730" w:rsidRPr="001D41EA" w:rsidRDefault="00F04730" w:rsidP="001D41EA">
            <w:pPr>
              <w:spacing w:before="40" w:after="20"/>
              <w:jc w:val="right"/>
              <w:rPr>
                <w:rFonts w:cs="Arial"/>
                <w:sz w:val="18"/>
                <w:szCs w:val="18"/>
              </w:rPr>
            </w:pPr>
            <w:r w:rsidRPr="001D41EA">
              <w:rPr>
                <w:rFonts w:cs="Arial"/>
                <w:sz w:val="18"/>
                <w:szCs w:val="18"/>
              </w:rPr>
              <w:t>-107,084</w:t>
            </w:r>
          </w:p>
        </w:tc>
        <w:tc>
          <w:tcPr>
            <w:tcW w:w="1247" w:type="dxa"/>
            <w:tcBorders>
              <w:top w:val="nil"/>
              <w:left w:val="nil"/>
              <w:bottom w:val="nil"/>
              <w:right w:val="nil"/>
            </w:tcBorders>
            <w:shd w:val="clear" w:color="auto" w:fill="auto"/>
            <w:vAlign w:val="bottom"/>
          </w:tcPr>
          <w:p w14:paraId="141E9A41" w14:textId="42469D71" w:rsidR="00F04730" w:rsidRPr="001D41EA" w:rsidRDefault="00F04730" w:rsidP="001D41EA">
            <w:pPr>
              <w:spacing w:before="40" w:after="20"/>
              <w:jc w:val="right"/>
              <w:rPr>
                <w:rFonts w:cs="Arial"/>
                <w:b/>
                <w:sz w:val="18"/>
                <w:szCs w:val="18"/>
              </w:rPr>
            </w:pPr>
            <w:r w:rsidRPr="001D41EA">
              <w:rPr>
                <w:rFonts w:cs="Arial"/>
                <w:b/>
                <w:sz w:val="18"/>
                <w:szCs w:val="18"/>
              </w:rPr>
              <w:t>11,194,417</w:t>
            </w:r>
          </w:p>
        </w:tc>
      </w:tr>
      <w:tr w:rsidR="00F04730" w:rsidRPr="001D41EA" w14:paraId="78606AD9"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3681BFE" w14:textId="77777777" w:rsidR="00F04730" w:rsidRPr="001D41EA" w:rsidRDefault="00F04730" w:rsidP="001D41EA">
            <w:pPr>
              <w:spacing w:before="40" w:after="20"/>
              <w:rPr>
                <w:rFonts w:cs="Arial"/>
                <w:sz w:val="18"/>
                <w:szCs w:val="18"/>
              </w:rPr>
            </w:pPr>
            <w:r w:rsidRPr="001D41EA">
              <w:rPr>
                <w:rFonts w:cs="Arial"/>
                <w:sz w:val="18"/>
                <w:szCs w:val="18"/>
              </w:rPr>
              <w:t>Monash C</w:t>
            </w:r>
          </w:p>
        </w:tc>
        <w:tc>
          <w:tcPr>
            <w:tcW w:w="1134" w:type="dxa"/>
            <w:tcBorders>
              <w:top w:val="nil"/>
              <w:left w:val="single" w:sz="18" w:space="0" w:color="5F497A" w:themeColor="accent4" w:themeShade="BF"/>
              <w:bottom w:val="nil"/>
              <w:right w:val="nil"/>
            </w:tcBorders>
            <w:shd w:val="clear" w:color="auto" w:fill="auto"/>
            <w:vAlign w:val="bottom"/>
          </w:tcPr>
          <w:p w14:paraId="1C069AD8" w14:textId="2A12C621" w:rsidR="00F04730" w:rsidRPr="001D41EA" w:rsidRDefault="00F04730" w:rsidP="001D41EA">
            <w:pPr>
              <w:spacing w:before="40" w:after="20"/>
              <w:jc w:val="right"/>
              <w:rPr>
                <w:rFonts w:cs="Arial"/>
                <w:sz w:val="18"/>
                <w:szCs w:val="18"/>
              </w:rPr>
            </w:pPr>
            <w:r w:rsidRPr="001D41EA">
              <w:rPr>
                <w:rFonts w:cs="Arial"/>
                <w:sz w:val="18"/>
                <w:szCs w:val="18"/>
              </w:rPr>
              <w:t>4,232,622</w:t>
            </w:r>
          </w:p>
        </w:tc>
        <w:tc>
          <w:tcPr>
            <w:tcW w:w="1134" w:type="dxa"/>
            <w:tcBorders>
              <w:top w:val="nil"/>
              <w:left w:val="nil"/>
              <w:bottom w:val="nil"/>
              <w:right w:val="nil"/>
            </w:tcBorders>
            <w:shd w:val="clear" w:color="auto" w:fill="auto"/>
            <w:vAlign w:val="bottom"/>
          </w:tcPr>
          <w:p w14:paraId="446F1374" w14:textId="2D479DCE" w:rsidR="00F04730" w:rsidRPr="001D41EA" w:rsidRDefault="00F04730" w:rsidP="001D41EA">
            <w:pPr>
              <w:spacing w:before="40" w:after="20"/>
              <w:jc w:val="right"/>
              <w:rPr>
                <w:rFonts w:cs="Arial"/>
                <w:sz w:val="18"/>
                <w:szCs w:val="18"/>
              </w:rPr>
            </w:pPr>
            <w:r w:rsidRPr="001D41EA">
              <w:rPr>
                <w:rFonts w:cs="Arial"/>
                <w:sz w:val="18"/>
                <w:szCs w:val="18"/>
              </w:rPr>
              <w:t>1,268,569</w:t>
            </w:r>
          </w:p>
        </w:tc>
        <w:tc>
          <w:tcPr>
            <w:tcW w:w="170" w:type="dxa"/>
            <w:tcBorders>
              <w:top w:val="nil"/>
              <w:left w:val="nil"/>
              <w:bottom w:val="nil"/>
              <w:right w:val="nil"/>
            </w:tcBorders>
            <w:vAlign w:val="bottom"/>
          </w:tcPr>
          <w:p w14:paraId="744A31D0"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5D65EF3F" w14:textId="2F7DBC0F" w:rsidR="00F04730" w:rsidRPr="001D41EA" w:rsidRDefault="00F04730" w:rsidP="001D41EA">
            <w:pPr>
              <w:spacing w:before="40" w:after="20"/>
              <w:jc w:val="right"/>
              <w:rPr>
                <w:rFonts w:cs="Arial"/>
                <w:sz w:val="18"/>
                <w:szCs w:val="18"/>
              </w:rPr>
            </w:pPr>
            <w:r w:rsidRPr="001D41EA">
              <w:rPr>
                <w:rFonts w:cs="Arial"/>
                <w:sz w:val="18"/>
                <w:szCs w:val="18"/>
              </w:rPr>
              <w:t>-44,671</w:t>
            </w:r>
          </w:p>
        </w:tc>
        <w:tc>
          <w:tcPr>
            <w:tcW w:w="1021" w:type="dxa"/>
            <w:tcBorders>
              <w:top w:val="nil"/>
              <w:left w:val="nil"/>
              <w:bottom w:val="nil"/>
              <w:right w:val="nil"/>
            </w:tcBorders>
            <w:vAlign w:val="bottom"/>
          </w:tcPr>
          <w:p w14:paraId="2A98394D" w14:textId="05A44539" w:rsidR="00F04730" w:rsidRPr="001D41EA" w:rsidRDefault="00F04730" w:rsidP="001D41EA">
            <w:pPr>
              <w:spacing w:before="40" w:after="20"/>
              <w:jc w:val="right"/>
              <w:rPr>
                <w:rFonts w:cs="Arial"/>
                <w:sz w:val="18"/>
                <w:szCs w:val="18"/>
              </w:rPr>
            </w:pPr>
            <w:r w:rsidRPr="001D41EA">
              <w:rPr>
                <w:rFonts w:cs="Arial"/>
                <w:sz w:val="18"/>
                <w:szCs w:val="18"/>
              </w:rPr>
              <w:t>-9,734</w:t>
            </w:r>
          </w:p>
        </w:tc>
        <w:tc>
          <w:tcPr>
            <w:tcW w:w="1021" w:type="dxa"/>
            <w:tcBorders>
              <w:top w:val="nil"/>
              <w:left w:val="nil"/>
              <w:bottom w:val="nil"/>
              <w:right w:val="nil"/>
            </w:tcBorders>
            <w:vAlign w:val="bottom"/>
          </w:tcPr>
          <w:p w14:paraId="2CDB0AA7" w14:textId="0A0050E9" w:rsidR="00F04730" w:rsidRPr="001D41EA" w:rsidRDefault="00F04730" w:rsidP="001D41EA">
            <w:pPr>
              <w:spacing w:before="40" w:after="20"/>
              <w:jc w:val="right"/>
              <w:rPr>
                <w:rFonts w:cs="Arial"/>
                <w:sz w:val="18"/>
                <w:szCs w:val="18"/>
              </w:rPr>
            </w:pPr>
            <w:r w:rsidRPr="001D41EA">
              <w:rPr>
                <w:rFonts w:cs="Arial"/>
                <w:sz w:val="18"/>
                <w:szCs w:val="18"/>
              </w:rPr>
              <w:t>-54,405</w:t>
            </w:r>
          </w:p>
        </w:tc>
        <w:tc>
          <w:tcPr>
            <w:tcW w:w="1247" w:type="dxa"/>
            <w:tcBorders>
              <w:top w:val="nil"/>
              <w:left w:val="nil"/>
              <w:bottom w:val="nil"/>
              <w:right w:val="nil"/>
            </w:tcBorders>
            <w:shd w:val="clear" w:color="auto" w:fill="auto"/>
            <w:vAlign w:val="bottom"/>
          </w:tcPr>
          <w:p w14:paraId="6A346DAD" w14:textId="492CACC5" w:rsidR="00F04730" w:rsidRPr="001D41EA" w:rsidRDefault="00F04730" w:rsidP="001D41EA">
            <w:pPr>
              <w:spacing w:before="40" w:after="20"/>
              <w:jc w:val="right"/>
              <w:rPr>
                <w:rFonts w:cs="Arial"/>
                <w:b/>
                <w:sz w:val="18"/>
                <w:szCs w:val="18"/>
              </w:rPr>
            </w:pPr>
            <w:r w:rsidRPr="001D41EA">
              <w:rPr>
                <w:rFonts w:cs="Arial"/>
                <w:b/>
                <w:sz w:val="18"/>
                <w:szCs w:val="18"/>
              </w:rPr>
              <w:t>5,446,786</w:t>
            </w:r>
          </w:p>
        </w:tc>
      </w:tr>
      <w:tr w:rsidR="00F04730" w:rsidRPr="001D41EA" w14:paraId="56D1A769"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5F00157" w14:textId="77777777" w:rsidR="00F04730" w:rsidRPr="001D41EA" w:rsidRDefault="00F04730" w:rsidP="001D41EA">
            <w:pPr>
              <w:spacing w:before="40" w:after="20"/>
              <w:rPr>
                <w:rFonts w:cs="Arial"/>
                <w:sz w:val="18"/>
                <w:szCs w:val="18"/>
              </w:rPr>
            </w:pPr>
            <w:r w:rsidRPr="001D41EA">
              <w:rPr>
                <w:rFonts w:cs="Arial"/>
                <w:sz w:val="18"/>
                <w:szCs w:val="18"/>
              </w:rPr>
              <w:t>Moonee Valley C</w:t>
            </w:r>
          </w:p>
        </w:tc>
        <w:tc>
          <w:tcPr>
            <w:tcW w:w="1134" w:type="dxa"/>
            <w:tcBorders>
              <w:top w:val="nil"/>
              <w:left w:val="single" w:sz="18" w:space="0" w:color="5F497A" w:themeColor="accent4" w:themeShade="BF"/>
              <w:bottom w:val="nil"/>
              <w:right w:val="nil"/>
            </w:tcBorders>
            <w:shd w:val="clear" w:color="auto" w:fill="auto"/>
            <w:vAlign w:val="bottom"/>
          </w:tcPr>
          <w:p w14:paraId="03703FD9" w14:textId="51ECEF43" w:rsidR="00F04730" w:rsidRPr="001D41EA" w:rsidRDefault="00F04730" w:rsidP="001D41EA">
            <w:pPr>
              <w:spacing w:before="40" w:after="20"/>
              <w:jc w:val="right"/>
              <w:rPr>
                <w:rFonts w:cs="Arial"/>
                <w:sz w:val="18"/>
                <w:szCs w:val="18"/>
              </w:rPr>
            </w:pPr>
            <w:r w:rsidRPr="001D41EA">
              <w:rPr>
                <w:rFonts w:cs="Arial"/>
                <w:sz w:val="18"/>
                <w:szCs w:val="18"/>
              </w:rPr>
              <w:t>2,705,361</w:t>
            </w:r>
          </w:p>
        </w:tc>
        <w:tc>
          <w:tcPr>
            <w:tcW w:w="1134" w:type="dxa"/>
            <w:tcBorders>
              <w:top w:val="nil"/>
              <w:left w:val="nil"/>
              <w:bottom w:val="nil"/>
              <w:right w:val="nil"/>
            </w:tcBorders>
            <w:shd w:val="clear" w:color="auto" w:fill="auto"/>
            <w:vAlign w:val="bottom"/>
          </w:tcPr>
          <w:p w14:paraId="044E2820" w14:textId="09A3B42F" w:rsidR="00F04730" w:rsidRPr="001D41EA" w:rsidRDefault="00F04730" w:rsidP="001D41EA">
            <w:pPr>
              <w:spacing w:before="40" w:after="20"/>
              <w:jc w:val="right"/>
              <w:rPr>
                <w:rFonts w:cs="Arial"/>
                <w:sz w:val="18"/>
                <w:szCs w:val="18"/>
              </w:rPr>
            </w:pPr>
            <w:r w:rsidRPr="001D41EA">
              <w:rPr>
                <w:rFonts w:cs="Arial"/>
                <w:sz w:val="18"/>
                <w:szCs w:val="18"/>
              </w:rPr>
              <w:t>725,238</w:t>
            </w:r>
          </w:p>
        </w:tc>
        <w:tc>
          <w:tcPr>
            <w:tcW w:w="170" w:type="dxa"/>
            <w:tcBorders>
              <w:top w:val="nil"/>
              <w:left w:val="nil"/>
              <w:bottom w:val="nil"/>
              <w:right w:val="nil"/>
            </w:tcBorders>
            <w:vAlign w:val="bottom"/>
          </w:tcPr>
          <w:p w14:paraId="45660142"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754B0C34" w14:textId="6844368E" w:rsidR="00F04730" w:rsidRPr="001D41EA" w:rsidRDefault="00F04730" w:rsidP="001D41EA">
            <w:pPr>
              <w:spacing w:before="40" w:after="20"/>
              <w:jc w:val="right"/>
              <w:rPr>
                <w:rFonts w:cs="Arial"/>
                <w:sz w:val="18"/>
                <w:szCs w:val="18"/>
              </w:rPr>
            </w:pPr>
            <w:r w:rsidRPr="001D41EA">
              <w:rPr>
                <w:rFonts w:cs="Arial"/>
                <w:sz w:val="18"/>
                <w:szCs w:val="18"/>
              </w:rPr>
              <w:t>-28,471</w:t>
            </w:r>
          </w:p>
        </w:tc>
        <w:tc>
          <w:tcPr>
            <w:tcW w:w="1021" w:type="dxa"/>
            <w:tcBorders>
              <w:top w:val="nil"/>
              <w:left w:val="nil"/>
              <w:bottom w:val="nil"/>
              <w:right w:val="nil"/>
            </w:tcBorders>
            <w:vAlign w:val="bottom"/>
          </w:tcPr>
          <w:p w14:paraId="5B200ED1" w14:textId="1BEDCA5E" w:rsidR="00F04730" w:rsidRPr="001D41EA" w:rsidRDefault="00F04730" w:rsidP="001D41EA">
            <w:pPr>
              <w:spacing w:before="40" w:after="20"/>
              <w:jc w:val="right"/>
              <w:rPr>
                <w:rFonts w:cs="Arial"/>
                <w:sz w:val="18"/>
                <w:szCs w:val="18"/>
              </w:rPr>
            </w:pPr>
            <w:r w:rsidRPr="001D41EA">
              <w:rPr>
                <w:rFonts w:cs="Arial"/>
                <w:sz w:val="18"/>
                <w:szCs w:val="18"/>
              </w:rPr>
              <w:t>-5,553</w:t>
            </w:r>
          </w:p>
        </w:tc>
        <w:tc>
          <w:tcPr>
            <w:tcW w:w="1021" w:type="dxa"/>
            <w:tcBorders>
              <w:top w:val="nil"/>
              <w:left w:val="nil"/>
              <w:bottom w:val="nil"/>
              <w:right w:val="nil"/>
            </w:tcBorders>
            <w:vAlign w:val="bottom"/>
          </w:tcPr>
          <w:p w14:paraId="77E53F5D" w14:textId="0C793764" w:rsidR="00F04730" w:rsidRPr="001D41EA" w:rsidRDefault="00F04730" w:rsidP="001D41EA">
            <w:pPr>
              <w:spacing w:before="40" w:after="20"/>
              <w:jc w:val="right"/>
              <w:rPr>
                <w:rFonts w:cs="Arial"/>
                <w:sz w:val="18"/>
                <w:szCs w:val="18"/>
              </w:rPr>
            </w:pPr>
            <w:r w:rsidRPr="001D41EA">
              <w:rPr>
                <w:rFonts w:cs="Arial"/>
                <w:sz w:val="18"/>
                <w:szCs w:val="18"/>
              </w:rPr>
              <w:t>-34,024</w:t>
            </w:r>
          </w:p>
        </w:tc>
        <w:tc>
          <w:tcPr>
            <w:tcW w:w="1247" w:type="dxa"/>
            <w:tcBorders>
              <w:top w:val="nil"/>
              <w:left w:val="nil"/>
              <w:bottom w:val="nil"/>
              <w:right w:val="nil"/>
            </w:tcBorders>
            <w:shd w:val="clear" w:color="auto" w:fill="auto"/>
            <w:vAlign w:val="bottom"/>
          </w:tcPr>
          <w:p w14:paraId="30BCD204" w14:textId="214EB67F" w:rsidR="00F04730" w:rsidRPr="001D41EA" w:rsidRDefault="00F04730" w:rsidP="001D41EA">
            <w:pPr>
              <w:spacing w:before="40" w:after="20"/>
              <w:jc w:val="right"/>
              <w:rPr>
                <w:rFonts w:cs="Arial"/>
                <w:b/>
                <w:sz w:val="18"/>
                <w:szCs w:val="18"/>
              </w:rPr>
            </w:pPr>
            <w:r w:rsidRPr="001D41EA">
              <w:rPr>
                <w:rFonts w:cs="Arial"/>
                <w:b/>
                <w:sz w:val="18"/>
                <w:szCs w:val="18"/>
              </w:rPr>
              <w:t>3,396,575</w:t>
            </w:r>
          </w:p>
        </w:tc>
      </w:tr>
      <w:tr w:rsidR="00F04730" w:rsidRPr="001D41EA" w14:paraId="01B00F7B"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4105DAE" w14:textId="77777777" w:rsidR="00F04730" w:rsidRPr="001D41EA" w:rsidRDefault="00F04730" w:rsidP="001D41EA">
            <w:pPr>
              <w:spacing w:before="40" w:after="20"/>
              <w:rPr>
                <w:rFonts w:cs="Arial"/>
                <w:sz w:val="18"/>
                <w:szCs w:val="18"/>
              </w:rPr>
            </w:pPr>
            <w:r w:rsidRPr="001D41EA">
              <w:rPr>
                <w:rFonts w:cs="Arial"/>
                <w:sz w:val="18"/>
                <w:szCs w:val="18"/>
              </w:rPr>
              <w:t>Moorabool S</w:t>
            </w:r>
          </w:p>
        </w:tc>
        <w:tc>
          <w:tcPr>
            <w:tcW w:w="1134" w:type="dxa"/>
            <w:tcBorders>
              <w:top w:val="nil"/>
              <w:left w:val="single" w:sz="18" w:space="0" w:color="5F497A" w:themeColor="accent4" w:themeShade="BF"/>
              <w:bottom w:val="nil"/>
              <w:right w:val="nil"/>
            </w:tcBorders>
            <w:shd w:val="clear" w:color="auto" w:fill="auto"/>
            <w:vAlign w:val="bottom"/>
          </w:tcPr>
          <w:p w14:paraId="42E6C3B0" w14:textId="63BBDE55" w:rsidR="00F04730" w:rsidRPr="001D41EA" w:rsidRDefault="00F04730" w:rsidP="001D41EA">
            <w:pPr>
              <w:spacing w:before="40" w:after="20"/>
              <w:jc w:val="right"/>
              <w:rPr>
                <w:rFonts w:cs="Arial"/>
                <w:sz w:val="18"/>
                <w:szCs w:val="18"/>
              </w:rPr>
            </w:pPr>
            <w:r w:rsidRPr="001D41EA">
              <w:rPr>
                <w:rFonts w:cs="Arial"/>
                <w:sz w:val="18"/>
                <w:szCs w:val="18"/>
              </w:rPr>
              <w:t>4,670,256</w:t>
            </w:r>
          </w:p>
        </w:tc>
        <w:tc>
          <w:tcPr>
            <w:tcW w:w="1134" w:type="dxa"/>
            <w:tcBorders>
              <w:top w:val="nil"/>
              <w:left w:val="nil"/>
              <w:bottom w:val="nil"/>
              <w:right w:val="nil"/>
            </w:tcBorders>
            <w:shd w:val="clear" w:color="auto" w:fill="auto"/>
            <w:vAlign w:val="bottom"/>
          </w:tcPr>
          <w:p w14:paraId="29EE0ADC" w14:textId="394D458F" w:rsidR="00F04730" w:rsidRPr="001D41EA" w:rsidRDefault="00F04730" w:rsidP="001D41EA">
            <w:pPr>
              <w:spacing w:before="40" w:after="20"/>
              <w:jc w:val="right"/>
              <w:rPr>
                <w:rFonts w:cs="Arial"/>
                <w:sz w:val="18"/>
                <w:szCs w:val="18"/>
              </w:rPr>
            </w:pPr>
            <w:r w:rsidRPr="001D41EA">
              <w:rPr>
                <w:rFonts w:cs="Arial"/>
                <w:sz w:val="18"/>
                <w:szCs w:val="18"/>
              </w:rPr>
              <w:t>2,009,590</w:t>
            </w:r>
          </w:p>
        </w:tc>
        <w:tc>
          <w:tcPr>
            <w:tcW w:w="170" w:type="dxa"/>
            <w:tcBorders>
              <w:top w:val="nil"/>
              <w:left w:val="nil"/>
              <w:bottom w:val="nil"/>
              <w:right w:val="nil"/>
            </w:tcBorders>
            <w:vAlign w:val="bottom"/>
          </w:tcPr>
          <w:p w14:paraId="2C235E2F"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63E0F6C1" w14:textId="64726141" w:rsidR="00F04730" w:rsidRPr="001D41EA" w:rsidRDefault="00F04730" w:rsidP="001D41EA">
            <w:pPr>
              <w:spacing w:before="40" w:after="20"/>
              <w:jc w:val="right"/>
              <w:rPr>
                <w:rFonts w:cs="Arial"/>
                <w:sz w:val="18"/>
                <w:szCs w:val="18"/>
              </w:rPr>
            </w:pPr>
            <w:r w:rsidRPr="001D41EA">
              <w:rPr>
                <w:rFonts w:cs="Arial"/>
                <w:sz w:val="18"/>
                <w:szCs w:val="18"/>
              </w:rPr>
              <w:t>-49,319</w:t>
            </w:r>
          </w:p>
        </w:tc>
        <w:tc>
          <w:tcPr>
            <w:tcW w:w="1021" w:type="dxa"/>
            <w:tcBorders>
              <w:top w:val="nil"/>
              <w:left w:val="nil"/>
              <w:bottom w:val="nil"/>
              <w:right w:val="nil"/>
            </w:tcBorders>
            <w:vAlign w:val="bottom"/>
          </w:tcPr>
          <w:p w14:paraId="48674778" w14:textId="1309E072" w:rsidR="00F04730" w:rsidRPr="001D41EA" w:rsidRDefault="00F04730" w:rsidP="001D41EA">
            <w:pPr>
              <w:spacing w:before="40" w:after="20"/>
              <w:jc w:val="right"/>
              <w:rPr>
                <w:rFonts w:cs="Arial"/>
                <w:sz w:val="18"/>
                <w:szCs w:val="18"/>
              </w:rPr>
            </w:pPr>
            <w:r w:rsidRPr="001D41EA">
              <w:rPr>
                <w:rFonts w:cs="Arial"/>
                <w:sz w:val="18"/>
                <w:szCs w:val="18"/>
              </w:rPr>
              <w:t>-15,469</w:t>
            </w:r>
          </w:p>
        </w:tc>
        <w:tc>
          <w:tcPr>
            <w:tcW w:w="1021" w:type="dxa"/>
            <w:tcBorders>
              <w:top w:val="nil"/>
              <w:left w:val="nil"/>
              <w:bottom w:val="nil"/>
              <w:right w:val="nil"/>
            </w:tcBorders>
            <w:vAlign w:val="bottom"/>
          </w:tcPr>
          <w:p w14:paraId="3D2D9C03" w14:textId="7CF4231E" w:rsidR="00F04730" w:rsidRPr="001D41EA" w:rsidRDefault="00F04730" w:rsidP="001D41EA">
            <w:pPr>
              <w:spacing w:before="40" w:after="20"/>
              <w:jc w:val="right"/>
              <w:rPr>
                <w:rFonts w:cs="Arial"/>
                <w:sz w:val="18"/>
                <w:szCs w:val="18"/>
              </w:rPr>
            </w:pPr>
            <w:r w:rsidRPr="001D41EA">
              <w:rPr>
                <w:rFonts w:cs="Arial"/>
                <w:sz w:val="18"/>
                <w:szCs w:val="18"/>
              </w:rPr>
              <w:t>-64,788</w:t>
            </w:r>
          </w:p>
        </w:tc>
        <w:tc>
          <w:tcPr>
            <w:tcW w:w="1247" w:type="dxa"/>
            <w:tcBorders>
              <w:top w:val="nil"/>
              <w:left w:val="nil"/>
              <w:bottom w:val="nil"/>
              <w:right w:val="nil"/>
            </w:tcBorders>
            <w:shd w:val="clear" w:color="auto" w:fill="auto"/>
            <w:vAlign w:val="bottom"/>
          </w:tcPr>
          <w:p w14:paraId="19C6FBA1" w14:textId="3CF42E75" w:rsidR="00F04730" w:rsidRPr="001D41EA" w:rsidRDefault="00F04730" w:rsidP="001D41EA">
            <w:pPr>
              <w:spacing w:before="40" w:after="20"/>
              <w:jc w:val="right"/>
              <w:rPr>
                <w:rFonts w:cs="Arial"/>
                <w:b/>
                <w:sz w:val="18"/>
                <w:szCs w:val="18"/>
              </w:rPr>
            </w:pPr>
            <w:r w:rsidRPr="001D41EA">
              <w:rPr>
                <w:rFonts w:cs="Arial"/>
                <w:b/>
                <w:sz w:val="18"/>
                <w:szCs w:val="18"/>
              </w:rPr>
              <w:t>6,615,058</w:t>
            </w:r>
          </w:p>
        </w:tc>
      </w:tr>
      <w:tr w:rsidR="00F04730" w:rsidRPr="001D41EA" w14:paraId="59FA01D5"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A4E99CE" w14:textId="77777777" w:rsidR="00F04730" w:rsidRPr="001D41EA" w:rsidRDefault="00F04730" w:rsidP="001D41EA">
            <w:pPr>
              <w:spacing w:before="40" w:after="20"/>
              <w:rPr>
                <w:rFonts w:cs="Arial"/>
                <w:sz w:val="18"/>
                <w:szCs w:val="18"/>
              </w:rPr>
            </w:pPr>
            <w:r w:rsidRPr="001D41EA">
              <w:rPr>
                <w:rFonts w:cs="Arial"/>
                <w:sz w:val="18"/>
                <w:szCs w:val="18"/>
              </w:rPr>
              <w:t>Moreland C</w:t>
            </w:r>
          </w:p>
        </w:tc>
        <w:tc>
          <w:tcPr>
            <w:tcW w:w="1134" w:type="dxa"/>
            <w:tcBorders>
              <w:top w:val="nil"/>
              <w:left w:val="single" w:sz="18" w:space="0" w:color="5F497A" w:themeColor="accent4" w:themeShade="BF"/>
              <w:bottom w:val="nil"/>
              <w:right w:val="nil"/>
            </w:tcBorders>
            <w:shd w:val="clear" w:color="auto" w:fill="auto"/>
            <w:vAlign w:val="bottom"/>
          </w:tcPr>
          <w:p w14:paraId="146F4F8E" w14:textId="7EA72261" w:rsidR="00F04730" w:rsidRPr="001D41EA" w:rsidRDefault="00F04730" w:rsidP="001D41EA">
            <w:pPr>
              <w:spacing w:before="40" w:after="20"/>
              <w:jc w:val="right"/>
              <w:rPr>
                <w:rFonts w:cs="Arial"/>
                <w:sz w:val="18"/>
                <w:szCs w:val="18"/>
              </w:rPr>
            </w:pPr>
            <w:r w:rsidRPr="001D41EA">
              <w:rPr>
                <w:rFonts w:cs="Arial"/>
                <w:sz w:val="18"/>
                <w:szCs w:val="18"/>
              </w:rPr>
              <w:t>3,978,374</w:t>
            </w:r>
          </w:p>
        </w:tc>
        <w:tc>
          <w:tcPr>
            <w:tcW w:w="1134" w:type="dxa"/>
            <w:tcBorders>
              <w:top w:val="nil"/>
              <w:left w:val="nil"/>
              <w:bottom w:val="nil"/>
              <w:right w:val="nil"/>
            </w:tcBorders>
            <w:shd w:val="clear" w:color="auto" w:fill="auto"/>
            <w:vAlign w:val="bottom"/>
          </w:tcPr>
          <w:p w14:paraId="0D4BAB4B" w14:textId="6CDEE84F" w:rsidR="00F04730" w:rsidRPr="001D41EA" w:rsidRDefault="00F04730" w:rsidP="001D41EA">
            <w:pPr>
              <w:spacing w:before="40" w:after="20"/>
              <w:jc w:val="right"/>
              <w:rPr>
                <w:rFonts w:cs="Arial"/>
                <w:sz w:val="18"/>
                <w:szCs w:val="18"/>
              </w:rPr>
            </w:pPr>
            <w:r w:rsidRPr="001D41EA">
              <w:rPr>
                <w:rFonts w:cs="Arial"/>
                <w:sz w:val="18"/>
                <w:szCs w:val="18"/>
              </w:rPr>
              <w:t>957,511</w:t>
            </w:r>
          </w:p>
        </w:tc>
        <w:tc>
          <w:tcPr>
            <w:tcW w:w="170" w:type="dxa"/>
            <w:tcBorders>
              <w:top w:val="nil"/>
              <w:left w:val="nil"/>
              <w:bottom w:val="nil"/>
              <w:right w:val="nil"/>
            </w:tcBorders>
            <w:vAlign w:val="bottom"/>
          </w:tcPr>
          <w:p w14:paraId="2AF71245"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6384B97B" w14:textId="3E830F51" w:rsidR="00F04730" w:rsidRPr="001D41EA" w:rsidRDefault="00F04730" w:rsidP="001D41EA">
            <w:pPr>
              <w:spacing w:before="40" w:after="20"/>
              <w:jc w:val="right"/>
              <w:rPr>
                <w:rFonts w:cs="Arial"/>
                <w:sz w:val="18"/>
                <w:szCs w:val="18"/>
              </w:rPr>
            </w:pPr>
            <w:r w:rsidRPr="001D41EA">
              <w:rPr>
                <w:rFonts w:cs="Arial"/>
                <w:sz w:val="18"/>
                <w:szCs w:val="18"/>
              </w:rPr>
              <w:t>-45,646</w:t>
            </w:r>
          </w:p>
        </w:tc>
        <w:tc>
          <w:tcPr>
            <w:tcW w:w="1021" w:type="dxa"/>
            <w:tcBorders>
              <w:top w:val="nil"/>
              <w:left w:val="nil"/>
              <w:bottom w:val="nil"/>
              <w:right w:val="nil"/>
            </w:tcBorders>
            <w:vAlign w:val="bottom"/>
          </w:tcPr>
          <w:p w14:paraId="75CC8A68" w14:textId="44EF7091" w:rsidR="00F04730" w:rsidRPr="001D41EA" w:rsidRDefault="00F04730" w:rsidP="001D41EA">
            <w:pPr>
              <w:spacing w:before="40" w:after="20"/>
              <w:jc w:val="right"/>
              <w:rPr>
                <w:rFonts w:cs="Arial"/>
                <w:sz w:val="18"/>
                <w:szCs w:val="18"/>
              </w:rPr>
            </w:pPr>
            <w:r w:rsidRPr="001D41EA">
              <w:rPr>
                <w:rFonts w:cs="Arial"/>
                <w:sz w:val="18"/>
                <w:szCs w:val="18"/>
              </w:rPr>
              <w:t>-7,348</w:t>
            </w:r>
          </w:p>
        </w:tc>
        <w:tc>
          <w:tcPr>
            <w:tcW w:w="1021" w:type="dxa"/>
            <w:tcBorders>
              <w:top w:val="nil"/>
              <w:left w:val="nil"/>
              <w:bottom w:val="nil"/>
              <w:right w:val="nil"/>
            </w:tcBorders>
            <w:vAlign w:val="bottom"/>
          </w:tcPr>
          <w:p w14:paraId="42E6B91C" w14:textId="30BE31DC" w:rsidR="00F04730" w:rsidRPr="001D41EA" w:rsidRDefault="00F04730" w:rsidP="001D41EA">
            <w:pPr>
              <w:spacing w:before="40" w:after="20"/>
              <w:jc w:val="right"/>
              <w:rPr>
                <w:rFonts w:cs="Arial"/>
                <w:sz w:val="18"/>
                <w:szCs w:val="18"/>
              </w:rPr>
            </w:pPr>
            <w:r w:rsidRPr="001D41EA">
              <w:rPr>
                <w:rFonts w:cs="Arial"/>
                <w:sz w:val="18"/>
                <w:szCs w:val="18"/>
              </w:rPr>
              <w:t>-52,994</w:t>
            </w:r>
          </w:p>
        </w:tc>
        <w:tc>
          <w:tcPr>
            <w:tcW w:w="1247" w:type="dxa"/>
            <w:tcBorders>
              <w:top w:val="nil"/>
              <w:left w:val="nil"/>
              <w:bottom w:val="nil"/>
              <w:right w:val="nil"/>
            </w:tcBorders>
            <w:shd w:val="clear" w:color="auto" w:fill="auto"/>
            <w:vAlign w:val="bottom"/>
          </w:tcPr>
          <w:p w14:paraId="28582E6E" w14:textId="0B8B8DD5" w:rsidR="00F04730" w:rsidRPr="001D41EA" w:rsidRDefault="00F04730" w:rsidP="001D41EA">
            <w:pPr>
              <w:spacing w:before="40" w:after="20"/>
              <w:jc w:val="right"/>
              <w:rPr>
                <w:rFonts w:cs="Arial"/>
                <w:b/>
                <w:sz w:val="18"/>
                <w:szCs w:val="18"/>
              </w:rPr>
            </w:pPr>
            <w:r w:rsidRPr="001D41EA">
              <w:rPr>
                <w:rFonts w:cs="Arial"/>
                <w:b/>
                <w:sz w:val="18"/>
                <w:szCs w:val="18"/>
              </w:rPr>
              <w:t>4,882,891</w:t>
            </w:r>
          </w:p>
        </w:tc>
      </w:tr>
      <w:tr w:rsidR="00F04730" w:rsidRPr="001D41EA" w14:paraId="7395948B"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7253A58" w14:textId="77777777" w:rsidR="00F04730" w:rsidRPr="001D41EA" w:rsidRDefault="00F04730" w:rsidP="001D41EA">
            <w:pPr>
              <w:spacing w:before="40" w:after="20"/>
              <w:rPr>
                <w:rFonts w:cs="Arial"/>
                <w:sz w:val="18"/>
                <w:szCs w:val="18"/>
              </w:rPr>
            </w:pPr>
            <w:r w:rsidRPr="001D41EA">
              <w:rPr>
                <w:rFonts w:cs="Arial"/>
                <w:sz w:val="18"/>
                <w:szCs w:val="18"/>
              </w:rPr>
              <w:t>Mornington Peninsula S</w:t>
            </w:r>
          </w:p>
        </w:tc>
        <w:tc>
          <w:tcPr>
            <w:tcW w:w="1134" w:type="dxa"/>
            <w:tcBorders>
              <w:top w:val="nil"/>
              <w:left w:val="single" w:sz="18" w:space="0" w:color="5F497A" w:themeColor="accent4" w:themeShade="BF"/>
              <w:bottom w:val="nil"/>
              <w:right w:val="nil"/>
            </w:tcBorders>
            <w:shd w:val="clear" w:color="auto" w:fill="auto"/>
            <w:vAlign w:val="bottom"/>
          </w:tcPr>
          <w:p w14:paraId="1A3C2660" w14:textId="03CCCDBE" w:rsidR="00F04730" w:rsidRPr="001D41EA" w:rsidRDefault="00F04730" w:rsidP="001D41EA">
            <w:pPr>
              <w:spacing w:before="40" w:after="20"/>
              <w:jc w:val="right"/>
              <w:rPr>
                <w:rFonts w:cs="Arial"/>
                <w:sz w:val="18"/>
                <w:szCs w:val="18"/>
              </w:rPr>
            </w:pPr>
            <w:r w:rsidRPr="001D41EA">
              <w:rPr>
                <w:rFonts w:cs="Arial"/>
                <w:sz w:val="18"/>
                <w:szCs w:val="18"/>
              </w:rPr>
              <w:t>3,507,959</w:t>
            </w:r>
          </w:p>
        </w:tc>
        <w:tc>
          <w:tcPr>
            <w:tcW w:w="1134" w:type="dxa"/>
            <w:tcBorders>
              <w:top w:val="nil"/>
              <w:left w:val="nil"/>
              <w:bottom w:val="nil"/>
              <w:right w:val="nil"/>
            </w:tcBorders>
            <w:shd w:val="clear" w:color="auto" w:fill="auto"/>
            <w:vAlign w:val="bottom"/>
          </w:tcPr>
          <w:p w14:paraId="1098F3A4" w14:textId="62FDAFB0" w:rsidR="00F04730" w:rsidRPr="001D41EA" w:rsidRDefault="00F04730" w:rsidP="001D41EA">
            <w:pPr>
              <w:spacing w:before="40" w:after="20"/>
              <w:jc w:val="right"/>
              <w:rPr>
                <w:rFonts w:cs="Arial"/>
                <w:sz w:val="18"/>
                <w:szCs w:val="18"/>
              </w:rPr>
            </w:pPr>
            <w:r w:rsidRPr="001D41EA">
              <w:rPr>
                <w:rFonts w:cs="Arial"/>
                <w:sz w:val="18"/>
                <w:szCs w:val="18"/>
              </w:rPr>
              <w:t>2,537,664</w:t>
            </w:r>
          </w:p>
        </w:tc>
        <w:tc>
          <w:tcPr>
            <w:tcW w:w="170" w:type="dxa"/>
            <w:tcBorders>
              <w:top w:val="nil"/>
              <w:left w:val="nil"/>
              <w:bottom w:val="nil"/>
              <w:right w:val="nil"/>
            </w:tcBorders>
            <w:vAlign w:val="bottom"/>
          </w:tcPr>
          <w:p w14:paraId="56C787FC"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3FB8AB3C" w14:textId="3949DF96" w:rsidR="00F04730" w:rsidRPr="001D41EA" w:rsidRDefault="00F04730" w:rsidP="001D41EA">
            <w:pPr>
              <w:spacing w:before="40" w:after="20"/>
              <w:jc w:val="right"/>
              <w:rPr>
                <w:rFonts w:cs="Arial"/>
                <w:sz w:val="18"/>
                <w:szCs w:val="18"/>
              </w:rPr>
            </w:pPr>
            <w:r w:rsidRPr="001D41EA">
              <w:rPr>
                <w:rFonts w:cs="Arial"/>
                <w:sz w:val="18"/>
                <w:szCs w:val="18"/>
              </w:rPr>
              <w:t>-37,290</w:t>
            </w:r>
          </w:p>
        </w:tc>
        <w:tc>
          <w:tcPr>
            <w:tcW w:w="1021" w:type="dxa"/>
            <w:tcBorders>
              <w:top w:val="nil"/>
              <w:left w:val="nil"/>
              <w:bottom w:val="nil"/>
              <w:right w:val="nil"/>
            </w:tcBorders>
            <w:vAlign w:val="bottom"/>
          </w:tcPr>
          <w:p w14:paraId="2A8DEAB9" w14:textId="62133F81" w:rsidR="00F04730" w:rsidRPr="001D41EA" w:rsidRDefault="00F04730" w:rsidP="001D41EA">
            <w:pPr>
              <w:spacing w:before="40" w:after="20"/>
              <w:jc w:val="right"/>
              <w:rPr>
                <w:rFonts w:cs="Arial"/>
                <w:sz w:val="18"/>
                <w:szCs w:val="18"/>
              </w:rPr>
            </w:pPr>
            <w:r w:rsidRPr="001D41EA">
              <w:rPr>
                <w:rFonts w:cs="Arial"/>
                <w:sz w:val="18"/>
                <w:szCs w:val="18"/>
              </w:rPr>
              <w:t>-19,428</w:t>
            </w:r>
          </w:p>
        </w:tc>
        <w:tc>
          <w:tcPr>
            <w:tcW w:w="1021" w:type="dxa"/>
            <w:tcBorders>
              <w:top w:val="nil"/>
              <w:left w:val="nil"/>
              <w:bottom w:val="nil"/>
              <w:right w:val="nil"/>
            </w:tcBorders>
            <w:vAlign w:val="bottom"/>
          </w:tcPr>
          <w:p w14:paraId="21729174" w14:textId="177812AE" w:rsidR="00F04730" w:rsidRPr="001D41EA" w:rsidRDefault="00F04730" w:rsidP="001D41EA">
            <w:pPr>
              <w:spacing w:before="40" w:after="20"/>
              <w:jc w:val="right"/>
              <w:rPr>
                <w:rFonts w:cs="Arial"/>
                <w:sz w:val="18"/>
                <w:szCs w:val="18"/>
              </w:rPr>
            </w:pPr>
            <w:r w:rsidRPr="001D41EA">
              <w:rPr>
                <w:rFonts w:cs="Arial"/>
                <w:sz w:val="18"/>
                <w:szCs w:val="18"/>
              </w:rPr>
              <w:t>-56,718</w:t>
            </w:r>
          </w:p>
        </w:tc>
        <w:tc>
          <w:tcPr>
            <w:tcW w:w="1247" w:type="dxa"/>
            <w:tcBorders>
              <w:top w:val="nil"/>
              <w:left w:val="nil"/>
              <w:bottom w:val="nil"/>
              <w:right w:val="nil"/>
            </w:tcBorders>
            <w:shd w:val="clear" w:color="auto" w:fill="auto"/>
            <w:vAlign w:val="bottom"/>
          </w:tcPr>
          <w:p w14:paraId="4342C53D" w14:textId="74715661" w:rsidR="00F04730" w:rsidRPr="001D41EA" w:rsidRDefault="00F04730" w:rsidP="001D41EA">
            <w:pPr>
              <w:spacing w:before="40" w:after="20"/>
              <w:jc w:val="right"/>
              <w:rPr>
                <w:rFonts w:cs="Arial"/>
                <w:b/>
                <w:sz w:val="18"/>
                <w:szCs w:val="18"/>
              </w:rPr>
            </w:pPr>
            <w:r w:rsidRPr="001D41EA">
              <w:rPr>
                <w:rFonts w:cs="Arial"/>
                <w:b/>
                <w:sz w:val="18"/>
                <w:szCs w:val="18"/>
              </w:rPr>
              <w:t>5,988,905</w:t>
            </w:r>
          </w:p>
        </w:tc>
      </w:tr>
      <w:tr w:rsidR="00F04730" w:rsidRPr="001D41EA" w14:paraId="2D9642DC"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C707B1A" w14:textId="77777777" w:rsidR="00F04730" w:rsidRPr="001D41EA" w:rsidRDefault="00F04730" w:rsidP="001D41EA">
            <w:pPr>
              <w:spacing w:before="40" w:after="20"/>
              <w:rPr>
                <w:rFonts w:cs="Arial"/>
                <w:sz w:val="18"/>
                <w:szCs w:val="18"/>
              </w:rPr>
            </w:pPr>
            <w:r w:rsidRPr="001D41EA">
              <w:rPr>
                <w:rFonts w:cs="Arial"/>
                <w:sz w:val="18"/>
                <w:szCs w:val="18"/>
              </w:rPr>
              <w:t>Mount Alexander S</w:t>
            </w:r>
          </w:p>
        </w:tc>
        <w:tc>
          <w:tcPr>
            <w:tcW w:w="1134" w:type="dxa"/>
            <w:tcBorders>
              <w:top w:val="nil"/>
              <w:left w:val="single" w:sz="18" w:space="0" w:color="5F497A" w:themeColor="accent4" w:themeShade="BF"/>
              <w:bottom w:val="nil"/>
              <w:right w:val="nil"/>
            </w:tcBorders>
            <w:shd w:val="clear" w:color="auto" w:fill="auto"/>
            <w:vAlign w:val="bottom"/>
          </w:tcPr>
          <w:p w14:paraId="122F6FC9" w14:textId="3B0BB7C8" w:rsidR="00F04730" w:rsidRPr="001D41EA" w:rsidRDefault="00F04730" w:rsidP="001D41EA">
            <w:pPr>
              <w:spacing w:before="40" w:after="20"/>
              <w:jc w:val="right"/>
              <w:rPr>
                <w:rFonts w:cs="Arial"/>
                <w:sz w:val="18"/>
                <w:szCs w:val="18"/>
              </w:rPr>
            </w:pPr>
            <w:r w:rsidRPr="001D41EA">
              <w:rPr>
                <w:rFonts w:cs="Arial"/>
                <w:sz w:val="18"/>
                <w:szCs w:val="18"/>
              </w:rPr>
              <w:t>3,458,706</w:t>
            </w:r>
          </w:p>
        </w:tc>
        <w:tc>
          <w:tcPr>
            <w:tcW w:w="1134" w:type="dxa"/>
            <w:tcBorders>
              <w:top w:val="nil"/>
              <w:left w:val="nil"/>
              <w:bottom w:val="nil"/>
              <w:right w:val="nil"/>
            </w:tcBorders>
            <w:shd w:val="clear" w:color="auto" w:fill="auto"/>
            <w:vAlign w:val="bottom"/>
          </w:tcPr>
          <w:p w14:paraId="40E0359B" w14:textId="4B9646E7" w:rsidR="00F04730" w:rsidRPr="001D41EA" w:rsidRDefault="00F04730" w:rsidP="001D41EA">
            <w:pPr>
              <w:spacing w:before="40" w:after="20"/>
              <w:jc w:val="right"/>
              <w:rPr>
                <w:rFonts w:cs="Arial"/>
                <w:sz w:val="18"/>
                <w:szCs w:val="18"/>
              </w:rPr>
            </w:pPr>
            <w:r w:rsidRPr="001D41EA">
              <w:rPr>
                <w:rFonts w:cs="Arial"/>
                <w:sz w:val="18"/>
                <w:szCs w:val="18"/>
              </w:rPr>
              <w:t>1,756,728</w:t>
            </w:r>
          </w:p>
        </w:tc>
        <w:tc>
          <w:tcPr>
            <w:tcW w:w="170" w:type="dxa"/>
            <w:tcBorders>
              <w:top w:val="nil"/>
              <w:left w:val="nil"/>
              <w:bottom w:val="nil"/>
              <w:right w:val="nil"/>
            </w:tcBorders>
            <w:vAlign w:val="bottom"/>
          </w:tcPr>
          <w:p w14:paraId="74754F00"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5364AF15" w14:textId="5F2ADE30" w:rsidR="00F04730" w:rsidRPr="001D41EA" w:rsidRDefault="00F04730" w:rsidP="001D41EA">
            <w:pPr>
              <w:spacing w:before="40" w:after="20"/>
              <w:jc w:val="right"/>
              <w:rPr>
                <w:rFonts w:cs="Arial"/>
                <w:sz w:val="18"/>
                <w:szCs w:val="18"/>
              </w:rPr>
            </w:pPr>
            <w:r w:rsidRPr="001D41EA">
              <w:rPr>
                <w:rFonts w:cs="Arial"/>
                <w:sz w:val="18"/>
                <w:szCs w:val="18"/>
              </w:rPr>
              <w:t>-35,703</w:t>
            </w:r>
          </w:p>
        </w:tc>
        <w:tc>
          <w:tcPr>
            <w:tcW w:w="1021" w:type="dxa"/>
            <w:tcBorders>
              <w:top w:val="nil"/>
              <w:left w:val="nil"/>
              <w:bottom w:val="nil"/>
              <w:right w:val="nil"/>
            </w:tcBorders>
            <w:vAlign w:val="bottom"/>
          </w:tcPr>
          <w:p w14:paraId="589D8AAD" w14:textId="0A9AC237" w:rsidR="00F04730" w:rsidRPr="001D41EA" w:rsidRDefault="00F04730" w:rsidP="001D41EA">
            <w:pPr>
              <w:spacing w:before="40" w:after="20"/>
              <w:jc w:val="right"/>
              <w:rPr>
                <w:rFonts w:cs="Arial"/>
                <w:sz w:val="18"/>
                <w:szCs w:val="18"/>
              </w:rPr>
            </w:pPr>
            <w:r w:rsidRPr="001D41EA">
              <w:rPr>
                <w:rFonts w:cs="Arial"/>
                <w:sz w:val="18"/>
                <w:szCs w:val="18"/>
              </w:rPr>
              <w:t>-13,062</w:t>
            </w:r>
          </w:p>
        </w:tc>
        <w:tc>
          <w:tcPr>
            <w:tcW w:w="1021" w:type="dxa"/>
            <w:tcBorders>
              <w:top w:val="nil"/>
              <w:left w:val="nil"/>
              <w:bottom w:val="nil"/>
              <w:right w:val="nil"/>
            </w:tcBorders>
            <w:vAlign w:val="bottom"/>
          </w:tcPr>
          <w:p w14:paraId="2EDDE4B8" w14:textId="6E19653C" w:rsidR="00F04730" w:rsidRPr="001D41EA" w:rsidRDefault="00F04730" w:rsidP="001D41EA">
            <w:pPr>
              <w:spacing w:before="40" w:after="20"/>
              <w:jc w:val="right"/>
              <w:rPr>
                <w:rFonts w:cs="Arial"/>
                <w:sz w:val="18"/>
                <w:szCs w:val="18"/>
              </w:rPr>
            </w:pPr>
            <w:r w:rsidRPr="001D41EA">
              <w:rPr>
                <w:rFonts w:cs="Arial"/>
                <w:sz w:val="18"/>
                <w:szCs w:val="18"/>
              </w:rPr>
              <w:t>-48,765</w:t>
            </w:r>
          </w:p>
        </w:tc>
        <w:tc>
          <w:tcPr>
            <w:tcW w:w="1247" w:type="dxa"/>
            <w:tcBorders>
              <w:top w:val="nil"/>
              <w:left w:val="nil"/>
              <w:bottom w:val="nil"/>
              <w:right w:val="nil"/>
            </w:tcBorders>
            <w:shd w:val="clear" w:color="auto" w:fill="auto"/>
            <w:vAlign w:val="bottom"/>
          </w:tcPr>
          <w:p w14:paraId="119C2077" w14:textId="5F4DA3E9" w:rsidR="00F04730" w:rsidRPr="001D41EA" w:rsidRDefault="00F04730" w:rsidP="001D41EA">
            <w:pPr>
              <w:spacing w:before="40" w:after="20"/>
              <w:jc w:val="right"/>
              <w:rPr>
                <w:rFonts w:cs="Arial"/>
                <w:b/>
                <w:sz w:val="18"/>
                <w:szCs w:val="18"/>
              </w:rPr>
            </w:pPr>
            <w:r w:rsidRPr="001D41EA">
              <w:rPr>
                <w:rFonts w:cs="Arial"/>
                <w:b/>
                <w:sz w:val="18"/>
                <w:szCs w:val="18"/>
              </w:rPr>
              <w:t>5,166,669</w:t>
            </w:r>
          </w:p>
        </w:tc>
      </w:tr>
      <w:tr w:rsidR="00F04730" w:rsidRPr="001D41EA" w14:paraId="05F1EF49"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88FAC4A" w14:textId="77777777" w:rsidR="00F04730" w:rsidRPr="001D41EA" w:rsidRDefault="00F04730" w:rsidP="001D41EA">
            <w:pPr>
              <w:spacing w:before="40" w:after="20"/>
              <w:rPr>
                <w:rFonts w:cs="Arial"/>
                <w:sz w:val="18"/>
                <w:szCs w:val="18"/>
              </w:rPr>
            </w:pPr>
            <w:r w:rsidRPr="001D41EA">
              <w:rPr>
                <w:rFonts w:cs="Arial"/>
                <w:sz w:val="18"/>
                <w:szCs w:val="18"/>
              </w:rPr>
              <w:t>Moyne S</w:t>
            </w:r>
          </w:p>
        </w:tc>
        <w:tc>
          <w:tcPr>
            <w:tcW w:w="1134" w:type="dxa"/>
            <w:tcBorders>
              <w:top w:val="nil"/>
              <w:left w:val="single" w:sz="18" w:space="0" w:color="5F497A" w:themeColor="accent4" w:themeShade="BF"/>
              <w:bottom w:val="nil"/>
              <w:right w:val="nil"/>
            </w:tcBorders>
            <w:shd w:val="clear" w:color="auto" w:fill="auto"/>
            <w:vAlign w:val="bottom"/>
          </w:tcPr>
          <w:p w14:paraId="3AD17FD4" w14:textId="4095F7E3" w:rsidR="00F04730" w:rsidRPr="001D41EA" w:rsidRDefault="00F04730" w:rsidP="001D41EA">
            <w:pPr>
              <w:spacing w:before="40" w:after="20"/>
              <w:jc w:val="right"/>
              <w:rPr>
                <w:rFonts w:cs="Arial"/>
                <w:sz w:val="18"/>
                <w:szCs w:val="18"/>
              </w:rPr>
            </w:pPr>
            <w:r w:rsidRPr="001D41EA">
              <w:rPr>
                <w:rFonts w:cs="Arial"/>
                <w:sz w:val="18"/>
                <w:szCs w:val="18"/>
              </w:rPr>
              <w:t>4,741,297</w:t>
            </w:r>
          </w:p>
        </w:tc>
        <w:tc>
          <w:tcPr>
            <w:tcW w:w="1134" w:type="dxa"/>
            <w:tcBorders>
              <w:top w:val="nil"/>
              <w:left w:val="nil"/>
              <w:bottom w:val="nil"/>
              <w:right w:val="nil"/>
            </w:tcBorders>
            <w:shd w:val="clear" w:color="auto" w:fill="auto"/>
            <w:vAlign w:val="bottom"/>
          </w:tcPr>
          <w:p w14:paraId="1221C60E" w14:textId="54539BED" w:rsidR="00F04730" w:rsidRPr="001D41EA" w:rsidRDefault="00F04730" w:rsidP="001D41EA">
            <w:pPr>
              <w:spacing w:before="40" w:after="20"/>
              <w:jc w:val="right"/>
              <w:rPr>
                <w:rFonts w:cs="Arial"/>
                <w:sz w:val="18"/>
                <w:szCs w:val="18"/>
              </w:rPr>
            </w:pPr>
            <w:r w:rsidRPr="001D41EA">
              <w:rPr>
                <w:rFonts w:cs="Arial"/>
                <w:sz w:val="18"/>
                <w:szCs w:val="18"/>
              </w:rPr>
              <w:t>4,226,011</w:t>
            </w:r>
          </w:p>
        </w:tc>
        <w:tc>
          <w:tcPr>
            <w:tcW w:w="170" w:type="dxa"/>
            <w:tcBorders>
              <w:top w:val="nil"/>
              <w:left w:val="nil"/>
              <w:bottom w:val="nil"/>
              <w:right w:val="nil"/>
            </w:tcBorders>
            <w:vAlign w:val="bottom"/>
          </w:tcPr>
          <w:p w14:paraId="34B7B8FD"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07409AB4" w14:textId="2691B27C" w:rsidR="00F04730" w:rsidRPr="001D41EA" w:rsidRDefault="00F04730" w:rsidP="001D41EA">
            <w:pPr>
              <w:spacing w:before="40" w:after="20"/>
              <w:jc w:val="right"/>
              <w:rPr>
                <w:rFonts w:cs="Arial"/>
                <w:sz w:val="18"/>
                <w:szCs w:val="18"/>
              </w:rPr>
            </w:pPr>
            <w:r w:rsidRPr="001D41EA">
              <w:rPr>
                <w:rFonts w:cs="Arial"/>
                <w:sz w:val="18"/>
                <w:szCs w:val="18"/>
              </w:rPr>
              <w:t>-49,007</w:t>
            </w:r>
          </w:p>
        </w:tc>
        <w:tc>
          <w:tcPr>
            <w:tcW w:w="1021" w:type="dxa"/>
            <w:tcBorders>
              <w:top w:val="nil"/>
              <w:left w:val="nil"/>
              <w:bottom w:val="nil"/>
              <w:right w:val="nil"/>
            </w:tcBorders>
            <w:vAlign w:val="bottom"/>
          </w:tcPr>
          <w:p w14:paraId="547BA83B" w14:textId="3E78FB4A" w:rsidR="00F04730" w:rsidRPr="001D41EA" w:rsidRDefault="00F04730" w:rsidP="001D41EA">
            <w:pPr>
              <w:spacing w:before="40" w:after="20"/>
              <w:jc w:val="right"/>
              <w:rPr>
                <w:rFonts w:cs="Arial"/>
                <w:sz w:val="18"/>
                <w:szCs w:val="18"/>
              </w:rPr>
            </w:pPr>
            <w:r w:rsidRPr="001D41EA">
              <w:rPr>
                <w:rFonts w:cs="Arial"/>
                <w:sz w:val="18"/>
                <w:szCs w:val="18"/>
              </w:rPr>
              <w:t>-32,804</w:t>
            </w:r>
          </w:p>
        </w:tc>
        <w:tc>
          <w:tcPr>
            <w:tcW w:w="1021" w:type="dxa"/>
            <w:tcBorders>
              <w:top w:val="nil"/>
              <w:left w:val="nil"/>
              <w:bottom w:val="nil"/>
              <w:right w:val="nil"/>
            </w:tcBorders>
            <w:vAlign w:val="bottom"/>
          </w:tcPr>
          <w:p w14:paraId="26F1CC28" w14:textId="424D2138" w:rsidR="00F04730" w:rsidRPr="001D41EA" w:rsidRDefault="00F04730" w:rsidP="001D41EA">
            <w:pPr>
              <w:spacing w:before="40" w:after="20"/>
              <w:jc w:val="right"/>
              <w:rPr>
                <w:rFonts w:cs="Arial"/>
                <w:sz w:val="18"/>
                <w:szCs w:val="18"/>
              </w:rPr>
            </w:pPr>
            <w:r w:rsidRPr="001D41EA">
              <w:rPr>
                <w:rFonts w:cs="Arial"/>
                <w:sz w:val="18"/>
                <w:szCs w:val="18"/>
              </w:rPr>
              <w:t>-81,811</w:t>
            </w:r>
          </w:p>
        </w:tc>
        <w:tc>
          <w:tcPr>
            <w:tcW w:w="1247" w:type="dxa"/>
            <w:tcBorders>
              <w:top w:val="nil"/>
              <w:left w:val="nil"/>
              <w:bottom w:val="nil"/>
              <w:right w:val="nil"/>
            </w:tcBorders>
            <w:shd w:val="clear" w:color="auto" w:fill="auto"/>
            <w:vAlign w:val="bottom"/>
          </w:tcPr>
          <w:p w14:paraId="2531E383" w14:textId="24004B4B" w:rsidR="00F04730" w:rsidRPr="001D41EA" w:rsidRDefault="00F04730" w:rsidP="001D41EA">
            <w:pPr>
              <w:spacing w:before="40" w:after="20"/>
              <w:jc w:val="right"/>
              <w:rPr>
                <w:rFonts w:cs="Arial"/>
                <w:b/>
                <w:sz w:val="18"/>
                <w:szCs w:val="18"/>
              </w:rPr>
            </w:pPr>
            <w:r w:rsidRPr="001D41EA">
              <w:rPr>
                <w:rFonts w:cs="Arial"/>
                <w:b/>
                <w:sz w:val="18"/>
                <w:szCs w:val="18"/>
              </w:rPr>
              <w:t>8,885,497</w:t>
            </w:r>
          </w:p>
        </w:tc>
      </w:tr>
      <w:tr w:rsidR="00F04730" w:rsidRPr="001D41EA" w14:paraId="165D786C"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757D11" w14:textId="77777777" w:rsidR="00F04730" w:rsidRPr="001D41EA" w:rsidRDefault="00F04730" w:rsidP="001D41EA">
            <w:pPr>
              <w:spacing w:before="40" w:after="20"/>
              <w:rPr>
                <w:rFonts w:cs="Arial"/>
                <w:sz w:val="18"/>
                <w:szCs w:val="18"/>
              </w:rPr>
            </w:pPr>
            <w:r w:rsidRPr="001D41EA">
              <w:rPr>
                <w:rFonts w:cs="Arial"/>
                <w:sz w:val="18"/>
                <w:szCs w:val="18"/>
              </w:rPr>
              <w:t>Murrindindi S</w:t>
            </w:r>
          </w:p>
        </w:tc>
        <w:tc>
          <w:tcPr>
            <w:tcW w:w="1134" w:type="dxa"/>
            <w:tcBorders>
              <w:top w:val="nil"/>
              <w:left w:val="single" w:sz="18" w:space="0" w:color="5F497A" w:themeColor="accent4" w:themeShade="BF"/>
              <w:bottom w:val="nil"/>
              <w:right w:val="nil"/>
            </w:tcBorders>
            <w:shd w:val="clear" w:color="auto" w:fill="auto"/>
            <w:vAlign w:val="bottom"/>
          </w:tcPr>
          <w:p w14:paraId="0F4BBBD6" w14:textId="3A554FF1" w:rsidR="00F04730" w:rsidRPr="001D41EA" w:rsidRDefault="00F04730" w:rsidP="001D41EA">
            <w:pPr>
              <w:spacing w:before="40" w:after="20"/>
              <w:jc w:val="right"/>
              <w:rPr>
                <w:rFonts w:cs="Arial"/>
                <w:sz w:val="18"/>
                <w:szCs w:val="18"/>
              </w:rPr>
            </w:pPr>
            <w:r w:rsidRPr="001D41EA">
              <w:rPr>
                <w:rFonts w:cs="Arial"/>
                <w:sz w:val="18"/>
                <w:szCs w:val="18"/>
              </w:rPr>
              <w:t>3,145,271</w:t>
            </w:r>
          </w:p>
        </w:tc>
        <w:tc>
          <w:tcPr>
            <w:tcW w:w="1134" w:type="dxa"/>
            <w:tcBorders>
              <w:top w:val="nil"/>
              <w:left w:val="nil"/>
              <w:bottom w:val="nil"/>
              <w:right w:val="nil"/>
            </w:tcBorders>
            <w:shd w:val="clear" w:color="auto" w:fill="auto"/>
            <w:vAlign w:val="bottom"/>
          </w:tcPr>
          <w:p w14:paraId="6771BF3B" w14:textId="75E8A644" w:rsidR="00F04730" w:rsidRPr="001D41EA" w:rsidRDefault="00F04730" w:rsidP="001D41EA">
            <w:pPr>
              <w:spacing w:before="40" w:after="20"/>
              <w:jc w:val="right"/>
              <w:rPr>
                <w:rFonts w:cs="Arial"/>
                <w:sz w:val="18"/>
                <w:szCs w:val="18"/>
              </w:rPr>
            </w:pPr>
            <w:r w:rsidRPr="001D41EA">
              <w:rPr>
                <w:rFonts w:cs="Arial"/>
                <w:sz w:val="18"/>
                <w:szCs w:val="18"/>
              </w:rPr>
              <w:t>1,715,754</w:t>
            </w:r>
          </w:p>
        </w:tc>
        <w:tc>
          <w:tcPr>
            <w:tcW w:w="170" w:type="dxa"/>
            <w:tcBorders>
              <w:top w:val="nil"/>
              <w:left w:val="nil"/>
              <w:bottom w:val="nil"/>
              <w:right w:val="nil"/>
            </w:tcBorders>
            <w:vAlign w:val="bottom"/>
          </w:tcPr>
          <w:p w14:paraId="11C22702"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605F32C5" w14:textId="793F771C" w:rsidR="00F04730" w:rsidRPr="001D41EA" w:rsidRDefault="00F04730" w:rsidP="001D41EA">
            <w:pPr>
              <w:spacing w:before="40" w:after="20"/>
              <w:jc w:val="right"/>
              <w:rPr>
                <w:rFonts w:cs="Arial"/>
                <w:sz w:val="18"/>
                <w:szCs w:val="18"/>
              </w:rPr>
            </w:pPr>
            <w:r w:rsidRPr="001D41EA">
              <w:rPr>
                <w:rFonts w:cs="Arial"/>
                <w:sz w:val="18"/>
                <w:szCs w:val="18"/>
              </w:rPr>
              <w:t>-32,525</w:t>
            </w:r>
          </w:p>
        </w:tc>
        <w:tc>
          <w:tcPr>
            <w:tcW w:w="1021" w:type="dxa"/>
            <w:tcBorders>
              <w:top w:val="nil"/>
              <w:left w:val="nil"/>
              <w:bottom w:val="nil"/>
              <w:right w:val="nil"/>
            </w:tcBorders>
            <w:vAlign w:val="bottom"/>
          </w:tcPr>
          <w:p w14:paraId="3F2B8E80" w14:textId="12C9697B" w:rsidR="00F04730" w:rsidRPr="001D41EA" w:rsidRDefault="00F04730" w:rsidP="001D41EA">
            <w:pPr>
              <w:spacing w:before="40" w:after="20"/>
              <w:jc w:val="right"/>
              <w:rPr>
                <w:rFonts w:cs="Arial"/>
                <w:sz w:val="18"/>
                <w:szCs w:val="18"/>
              </w:rPr>
            </w:pPr>
            <w:r w:rsidRPr="001D41EA">
              <w:rPr>
                <w:rFonts w:cs="Arial"/>
                <w:sz w:val="18"/>
                <w:szCs w:val="18"/>
              </w:rPr>
              <w:t>-13,075</w:t>
            </w:r>
          </w:p>
        </w:tc>
        <w:tc>
          <w:tcPr>
            <w:tcW w:w="1021" w:type="dxa"/>
            <w:tcBorders>
              <w:top w:val="nil"/>
              <w:left w:val="nil"/>
              <w:bottom w:val="nil"/>
              <w:right w:val="nil"/>
            </w:tcBorders>
            <w:vAlign w:val="bottom"/>
          </w:tcPr>
          <w:p w14:paraId="0506A3AA" w14:textId="53E05459" w:rsidR="00F04730" w:rsidRPr="001D41EA" w:rsidRDefault="00F04730" w:rsidP="001D41EA">
            <w:pPr>
              <w:spacing w:before="40" w:after="20"/>
              <w:jc w:val="right"/>
              <w:rPr>
                <w:rFonts w:cs="Arial"/>
                <w:sz w:val="18"/>
                <w:szCs w:val="18"/>
              </w:rPr>
            </w:pPr>
            <w:r w:rsidRPr="001D41EA">
              <w:rPr>
                <w:rFonts w:cs="Arial"/>
                <w:sz w:val="18"/>
                <w:szCs w:val="18"/>
              </w:rPr>
              <w:t>-45,600</w:t>
            </w:r>
          </w:p>
        </w:tc>
        <w:tc>
          <w:tcPr>
            <w:tcW w:w="1247" w:type="dxa"/>
            <w:tcBorders>
              <w:top w:val="nil"/>
              <w:left w:val="nil"/>
              <w:bottom w:val="nil"/>
              <w:right w:val="nil"/>
            </w:tcBorders>
            <w:shd w:val="clear" w:color="auto" w:fill="auto"/>
            <w:vAlign w:val="bottom"/>
          </w:tcPr>
          <w:p w14:paraId="6AC15818" w14:textId="6010AACE" w:rsidR="00F04730" w:rsidRPr="001D41EA" w:rsidRDefault="00F04730" w:rsidP="001D41EA">
            <w:pPr>
              <w:spacing w:before="40" w:after="20"/>
              <w:jc w:val="right"/>
              <w:rPr>
                <w:rFonts w:cs="Arial"/>
                <w:b/>
                <w:sz w:val="18"/>
                <w:szCs w:val="18"/>
              </w:rPr>
            </w:pPr>
            <w:r w:rsidRPr="001D41EA">
              <w:rPr>
                <w:rFonts w:cs="Arial"/>
                <w:b/>
                <w:sz w:val="18"/>
                <w:szCs w:val="18"/>
              </w:rPr>
              <w:t>4,815,425</w:t>
            </w:r>
          </w:p>
        </w:tc>
      </w:tr>
      <w:tr w:rsidR="00F04730" w:rsidRPr="001D41EA" w14:paraId="513C0873"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AE189B3" w14:textId="77777777" w:rsidR="00F04730" w:rsidRPr="001D41EA" w:rsidRDefault="00F04730" w:rsidP="001D41EA">
            <w:pPr>
              <w:spacing w:before="40" w:after="20"/>
              <w:rPr>
                <w:rFonts w:cs="Arial"/>
                <w:sz w:val="18"/>
                <w:szCs w:val="18"/>
              </w:rPr>
            </w:pPr>
            <w:r w:rsidRPr="001D41EA">
              <w:rPr>
                <w:rFonts w:cs="Arial"/>
                <w:sz w:val="18"/>
                <w:szCs w:val="18"/>
              </w:rPr>
              <w:t>Nillumbik S</w:t>
            </w:r>
          </w:p>
        </w:tc>
        <w:tc>
          <w:tcPr>
            <w:tcW w:w="1134" w:type="dxa"/>
            <w:tcBorders>
              <w:top w:val="nil"/>
              <w:left w:val="single" w:sz="18" w:space="0" w:color="5F497A" w:themeColor="accent4" w:themeShade="BF"/>
              <w:bottom w:val="nil"/>
              <w:right w:val="nil"/>
            </w:tcBorders>
            <w:shd w:val="clear" w:color="auto" w:fill="auto"/>
            <w:vAlign w:val="bottom"/>
          </w:tcPr>
          <w:p w14:paraId="596C4FEC" w14:textId="7A757DD2" w:rsidR="00F04730" w:rsidRPr="001D41EA" w:rsidRDefault="00F04730" w:rsidP="001D41EA">
            <w:pPr>
              <w:spacing w:before="40" w:after="20"/>
              <w:jc w:val="right"/>
              <w:rPr>
                <w:rFonts w:cs="Arial"/>
                <w:sz w:val="18"/>
                <w:szCs w:val="18"/>
              </w:rPr>
            </w:pPr>
            <w:r w:rsidRPr="001D41EA">
              <w:rPr>
                <w:rFonts w:cs="Arial"/>
                <w:sz w:val="18"/>
                <w:szCs w:val="18"/>
              </w:rPr>
              <w:t>1,998,652</w:t>
            </w:r>
          </w:p>
        </w:tc>
        <w:tc>
          <w:tcPr>
            <w:tcW w:w="1134" w:type="dxa"/>
            <w:tcBorders>
              <w:top w:val="nil"/>
              <w:left w:val="nil"/>
              <w:bottom w:val="nil"/>
              <w:right w:val="nil"/>
            </w:tcBorders>
            <w:shd w:val="clear" w:color="auto" w:fill="auto"/>
            <w:vAlign w:val="bottom"/>
          </w:tcPr>
          <w:p w14:paraId="2B42FDE8" w14:textId="0868CB17" w:rsidR="00F04730" w:rsidRPr="001D41EA" w:rsidRDefault="00F04730" w:rsidP="001D41EA">
            <w:pPr>
              <w:spacing w:before="40" w:after="20"/>
              <w:jc w:val="right"/>
              <w:rPr>
                <w:rFonts w:cs="Arial"/>
                <w:sz w:val="18"/>
                <w:szCs w:val="18"/>
              </w:rPr>
            </w:pPr>
            <w:r w:rsidRPr="001D41EA">
              <w:rPr>
                <w:rFonts w:cs="Arial"/>
                <w:sz w:val="18"/>
                <w:szCs w:val="18"/>
              </w:rPr>
              <w:t>1,168,964</w:t>
            </w:r>
          </w:p>
        </w:tc>
        <w:tc>
          <w:tcPr>
            <w:tcW w:w="170" w:type="dxa"/>
            <w:tcBorders>
              <w:top w:val="nil"/>
              <w:left w:val="nil"/>
              <w:bottom w:val="nil"/>
              <w:right w:val="nil"/>
            </w:tcBorders>
            <w:vAlign w:val="bottom"/>
          </w:tcPr>
          <w:p w14:paraId="441379B5"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3A30F915" w14:textId="3743F71D" w:rsidR="00F04730" w:rsidRPr="001D41EA" w:rsidRDefault="00F04730" w:rsidP="001D41EA">
            <w:pPr>
              <w:spacing w:before="40" w:after="20"/>
              <w:jc w:val="right"/>
              <w:rPr>
                <w:rFonts w:cs="Arial"/>
                <w:sz w:val="18"/>
                <w:szCs w:val="18"/>
              </w:rPr>
            </w:pPr>
            <w:r w:rsidRPr="001D41EA">
              <w:rPr>
                <w:rFonts w:cs="Arial"/>
                <w:sz w:val="18"/>
                <w:szCs w:val="18"/>
              </w:rPr>
              <w:t>-20,710</w:t>
            </w:r>
          </w:p>
        </w:tc>
        <w:tc>
          <w:tcPr>
            <w:tcW w:w="1021" w:type="dxa"/>
            <w:tcBorders>
              <w:top w:val="nil"/>
              <w:left w:val="nil"/>
              <w:bottom w:val="nil"/>
              <w:right w:val="nil"/>
            </w:tcBorders>
            <w:vAlign w:val="bottom"/>
          </w:tcPr>
          <w:p w14:paraId="03D07CCA" w14:textId="456BF17F" w:rsidR="00F04730" w:rsidRPr="001D41EA" w:rsidRDefault="00F04730" w:rsidP="001D41EA">
            <w:pPr>
              <w:spacing w:before="40" w:after="20"/>
              <w:jc w:val="right"/>
              <w:rPr>
                <w:rFonts w:cs="Arial"/>
                <w:sz w:val="18"/>
                <w:szCs w:val="18"/>
              </w:rPr>
            </w:pPr>
            <w:r w:rsidRPr="001D41EA">
              <w:rPr>
                <w:rFonts w:cs="Arial"/>
                <w:sz w:val="18"/>
                <w:szCs w:val="18"/>
              </w:rPr>
              <w:t>-8,921</w:t>
            </w:r>
          </w:p>
        </w:tc>
        <w:tc>
          <w:tcPr>
            <w:tcW w:w="1021" w:type="dxa"/>
            <w:tcBorders>
              <w:top w:val="nil"/>
              <w:left w:val="nil"/>
              <w:bottom w:val="nil"/>
              <w:right w:val="nil"/>
            </w:tcBorders>
            <w:vAlign w:val="bottom"/>
          </w:tcPr>
          <w:p w14:paraId="705002E8" w14:textId="591C666F" w:rsidR="00F04730" w:rsidRPr="001D41EA" w:rsidRDefault="00F04730" w:rsidP="001D41EA">
            <w:pPr>
              <w:spacing w:before="40" w:after="20"/>
              <w:jc w:val="right"/>
              <w:rPr>
                <w:rFonts w:cs="Arial"/>
                <w:sz w:val="18"/>
                <w:szCs w:val="18"/>
              </w:rPr>
            </w:pPr>
            <w:r w:rsidRPr="001D41EA">
              <w:rPr>
                <w:rFonts w:cs="Arial"/>
                <w:sz w:val="18"/>
                <w:szCs w:val="18"/>
              </w:rPr>
              <w:t>-29,631</w:t>
            </w:r>
          </w:p>
        </w:tc>
        <w:tc>
          <w:tcPr>
            <w:tcW w:w="1247" w:type="dxa"/>
            <w:tcBorders>
              <w:top w:val="nil"/>
              <w:left w:val="nil"/>
              <w:bottom w:val="nil"/>
              <w:right w:val="nil"/>
            </w:tcBorders>
            <w:shd w:val="clear" w:color="auto" w:fill="auto"/>
            <w:vAlign w:val="bottom"/>
          </w:tcPr>
          <w:p w14:paraId="488C80F5" w14:textId="31928D3D" w:rsidR="00F04730" w:rsidRPr="001D41EA" w:rsidRDefault="00F04730" w:rsidP="001D41EA">
            <w:pPr>
              <w:spacing w:before="40" w:after="20"/>
              <w:jc w:val="right"/>
              <w:rPr>
                <w:rFonts w:cs="Arial"/>
                <w:b/>
                <w:sz w:val="18"/>
                <w:szCs w:val="18"/>
              </w:rPr>
            </w:pPr>
            <w:r w:rsidRPr="001D41EA">
              <w:rPr>
                <w:rFonts w:cs="Arial"/>
                <w:b/>
                <w:sz w:val="18"/>
                <w:szCs w:val="18"/>
              </w:rPr>
              <w:t>3,137,985</w:t>
            </w:r>
          </w:p>
        </w:tc>
      </w:tr>
      <w:tr w:rsidR="00F04730" w:rsidRPr="001D41EA" w14:paraId="3F04204D"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71D0EA1" w14:textId="77777777" w:rsidR="00F04730" w:rsidRPr="001D41EA" w:rsidRDefault="00F04730" w:rsidP="001D41EA">
            <w:pPr>
              <w:spacing w:before="40" w:after="20"/>
              <w:rPr>
                <w:rFonts w:cs="Arial"/>
                <w:sz w:val="18"/>
                <w:szCs w:val="18"/>
              </w:rPr>
            </w:pPr>
            <w:r w:rsidRPr="001D41EA">
              <w:rPr>
                <w:rFonts w:cs="Arial"/>
                <w:sz w:val="18"/>
                <w:szCs w:val="18"/>
              </w:rPr>
              <w:t>Northern Grampians S</w:t>
            </w:r>
          </w:p>
        </w:tc>
        <w:tc>
          <w:tcPr>
            <w:tcW w:w="1134" w:type="dxa"/>
            <w:tcBorders>
              <w:top w:val="nil"/>
              <w:left w:val="single" w:sz="18" w:space="0" w:color="5F497A" w:themeColor="accent4" w:themeShade="BF"/>
              <w:bottom w:val="nil"/>
              <w:right w:val="nil"/>
            </w:tcBorders>
            <w:shd w:val="clear" w:color="auto" w:fill="auto"/>
            <w:vAlign w:val="bottom"/>
          </w:tcPr>
          <w:p w14:paraId="00C6EAB8" w14:textId="5E4119A0" w:rsidR="00F04730" w:rsidRPr="001D41EA" w:rsidRDefault="00F04730" w:rsidP="001D41EA">
            <w:pPr>
              <w:spacing w:before="40" w:after="20"/>
              <w:jc w:val="right"/>
              <w:rPr>
                <w:rFonts w:cs="Arial"/>
                <w:sz w:val="18"/>
                <w:szCs w:val="18"/>
              </w:rPr>
            </w:pPr>
            <w:r w:rsidRPr="001D41EA">
              <w:rPr>
                <w:rFonts w:cs="Arial"/>
                <w:sz w:val="18"/>
                <w:szCs w:val="18"/>
              </w:rPr>
              <w:t>4,891,329</w:t>
            </w:r>
          </w:p>
        </w:tc>
        <w:tc>
          <w:tcPr>
            <w:tcW w:w="1134" w:type="dxa"/>
            <w:tcBorders>
              <w:top w:val="nil"/>
              <w:left w:val="nil"/>
              <w:bottom w:val="nil"/>
              <w:right w:val="nil"/>
            </w:tcBorders>
            <w:shd w:val="clear" w:color="auto" w:fill="auto"/>
            <w:vAlign w:val="bottom"/>
          </w:tcPr>
          <w:p w14:paraId="6A27391B" w14:textId="0280FF5F" w:rsidR="00F04730" w:rsidRPr="001D41EA" w:rsidRDefault="00F04730" w:rsidP="001D41EA">
            <w:pPr>
              <w:spacing w:before="40" w:after="20"/>
              <w:jc w:val="right"/>
              <w:rPr>
                <w:rFonts w:cs="Arial"/>
                <w:sz w:val="18"/>
                <w:szCs w:val="18"/>
              </w:rPr>
            </w:pPr>
            <w:r w:rsidRPr="001D41EA">
              <w:rPr>
                <w:rFonts w:cs="Arial"/>
                <w:sz w:val="18"/>
                <w:szCs w:val="18"/>
              </w:rPr>
              <w:t>2,947,103</w:t>
            </w:r>
          </w:p>
        </w:tc>
        <w:tc>
          <w:tcPr>
            <w:tcW w:w="170" w:type="dxa"/>
            <w:tcBorders>
              <w:top w:val="nil"/>
              <w:left w:val="nil"/>
              <w:bottom w:val="nil"/>
              <w:right w:val="nil"/>
            </w:tcBorders>
            <w:vAlign w:val="bottom"/>
          </w:tcPr>
          <w:p w14:paraId="7DC6BDB6"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4C68F2EA" w14:textId="29D196BC" w:rsidR="00F04730" w:rsidRPr="001D41EA" w:rsidRDefault="00F04730" w:rsidP="001D41EA">
            <w:pPr>
              <w:spacing w:before="40" w:after="20"/>
              <w:jc w:val="right"/>
              <w:rPr>
                <w:rFonts w:cs="Arial"/>
                <w:sz w:val="18"/>
                <w:szCs w:val="18"/>
              </w:rPr>
            </w:pPr>
            <w:r w:rsidRPr="001D41EA">
              <w:rPr>
                <w:rFonts w:cs="Arial"/>
                <w:sz w:val="18"/>
                <w:szCs w:val="18"/>
              </w:rPr>
              <w:t>-50,254</w:t>
            </w:r>
          </w:p>
        </w:tc>
        <w:tc>
          <w:tcPr>
            <w:tcW w:w="1021" w:type="dxa"/>
            <w:tcBorders>
              <w:top w:val="nil"/>
              <w:left w:val="nil"/>
              <w:bottom w:val="nil"/>
              <w:right w:val="nil"/>
            </w:tcBorders>
            <w:vAlign w:val="bottom"/>
          </w:tcPr>
          <w:p w14:paraId="713BE853" w14:textId="68907F1E" w:rsidR="00F04730" w:rsidRPr="001D41EA" w:rsidRDefault="00F04730" w:rsidP="001D41EA">
            <w:pPr>
              <w:spacing w:before="40" w:after="20"/>
              <w:jc w:val="right"/>
              <w:rPr>
                <w:rFonts w:cs="Arial"/>
                <w:sz w:val="18"/>
                <w:szCs w:val="18"/>
              </w:rPr>
            </w:pPr>
            <w:r w:rsidRPr="001D41EA">
              <w:rPr>
                <w:rFonts w:cs="Arial"/>
                <w:sz w:val="18"/>
                <w:szCs w:val="18"/>
              </w:rPr>
              <w:t>-22,425</w:t>
            </w:r>
          </w:p>
        </w:tc>
        <w:tc>
          <w:tcPr>
            <w:tcW w:w="1021" w:type="dxa"/>
            <w:tcBorders>
              <w:top w:val="nil"/>
              <w:left w:val="nil"/>
              <w:bottom w:val="nil"/>
              <w:right w:val="nil"/>
            </w:tcBorders>
            <w:vAlign w:val="bottom"/>
          </w:tcPr>
          <w:p w14:paraId="224CB8E2" w14:textId="0A69840F" w:rsidR="00F04730" w:rsidRPr="001D41EA" w:rsidRDefault="00F04730" w:rsidP="001D41EA">
            <w:pPr>
              <w:spacing w:before="40" w:after="20"/>
              <w:jc w:val="right"/>
              <w:rPr>
                <w:rFonts w:cs="Arial"/>
                <w:sz w:val="18"/>
                <w:szCs w:val="18"/>
              </w:rPr>
            </w:pPr>
            <w:r w:rsidRPr="001D41EA">
              <w:rPr>
                <w:rFonts w:cs="Arial"/>
                <w:sz w:val="18"/>
                <w:szCs w:val="18"/>
              </w:rPr>
              <w:t>-72,679</w:t>
            </w:r>
          </w:p>
        </w:tc>
        <w:tc>
          <w:tcPr>
            <w:tcW w:w="1247" w:type="dxa"/>
            <w:tcBorders>
              <w:top w:val="nil"/>
              <w:left w:val="nil"/>
              <w:bottom w:val="nil"/>
              <w:right w:val="nil"/>
            </w:tcBorders>
            <w:shd w:val="clear" w:color="auto" w:fill="auto"/>
            <w:vAlign w:val="bottom"/>
          </w:tcPr>
          <w:p w14:paraId="745D6BF9" w14:textId="0CFBE4FB" w:rsidR="00F04730" w:rsidRPr="001D41EA" w:rsidRDefault="00F04730" w:rsidP="001D41EA">
            <w:pPr>
              <w:spacing w:before="40" w:after="20"/>
              <w:jc w:val="right"/>
              <w:rPr>
                <w:rFonts w:cs="Arial"/>
                <w:b/>
                <w:sz w:val="18"/>
                <w:szCs w:val="18"/>
              </w:rPr>
            </w:pPr>
            <w:r w:rsidRPr="001D41EA">
              <w:rPr>
                <w:rFonts w:cs="Arial"/>
                <w:b/>
                <w:sz w:val="18"/>
                <w:szCs w:val="18"/>
              </w:rPr>
              <w:t>7,765,753</w:t>
            </w:r>
          </w:p>
        </w:tc>
      </w:tr>
      <w:tr w:rsidR="00F04730" w:rsidRPr="001D41EA" w14:paraId="1D96433E"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C57F2BB" w14:textId="77777777" w:rsidR="00F04730" w:rsidRPr="001D41EA" w:rsidRDefault="00F04730" w:rsidP="001D41EA">
            <w:pPr>
              <w:spacing w:before="40" w:after="20"/>
              <w:rPr>
                <w:rFonts w:cs="Arial"/>
                <w:sz w:val="18"/>
                <w:szCs w:val="18"/>
              </w:rPr>
            </w:pPr>
            <w:r w:rsidRPr="001D41EA">
              <w:rPr>
                <w:rFonts w:cs="Arial"/>
                <w:sz w:val="18"/>
                <w:szCs w:val="18"/>
              </w:rPr>
              <w:t>Port Phillip C</w:t>
            </w:r>
          </w:p>
        </w:tc>
        <w:tc>
          <w:tcPr>
            <w:tcW w:w="1134" w:type="dxa"/>
            <w:tcBorders>
              <w:top w:val="nil"/>
              <w:left w:val="single" w:sz="18" w:space="0" w:color="5F497A" w:themeColor="accent4" w:themeShade="BF"/>
              <w:bottom w:val="nil"/>
              <w:right w:val="nil"/>
            </w:tcBorders>
            <w:shd w:val="clear" w:color="auto" w:fill="auto"/>
            <w:vAlign w:val="bottom"/>
          </w:tcPr>
          <w:p w14:paraId="7507B1B8" w14:textId="368C2722" w:rsidR="00F04730" w:rsidRPr="001D41EA" w:rsidRDefault="00F04730" w:rsidP="001D41EA">
            <w:pPr>
              <w:spacing w:before="40" w:after="20"/>
              <w:jc w:val="right"/>
              <w:rPr>
                <w:rFonts w:cs="Arial"/>
                <w:sz w:val="18"/>
                <w:szCs w:val="18"/>
              </w:rPr>
            </w:pPr>
            <w:r w:rsidRPr="001D41EA">
              <w:rPr>
                <w:rFonts w:cs="Arial"/>
                <w:sz w:val="18"/>
                <w:szCs w:val="18"/>
              </w:rPr>
              <w:t>2,394,742</w:t>
            </w:r>
          </w:p>
        </w:tc>
        <w:tc>
          <w:tcPr>
            <w:tcW w:w="1134" w:type="dxa"/>
            <w:tcBorders>
              <w:top w:val="nil"/>
              <w:left w:val="nil"/>
              <w:bottom w:val="nil"/>
              <w:right w:val="nil"/>
            </w:tcBorders>
            <w:shd w:val="clear" w:color="auto" w:fill="auto"/>
            <w:vAlign w:val="bottom"/>
          </w:tcPr>
          <w:p w14:paraId="4339CC1E" w14:textId="39C614CD" w:rsidR="00F04730" w:rsidRPr="001D41EA" w:rsidRDefault="00F04730" w:rsidP="001D41EA">
            <w:pPr>
              <w:spacing w:before="40" w:after="20"/>
              <w:jc w:val="right"/>
              <w:rPr>
                <w:rFonts w:cs="Arial"/>
                <w:sz w:val="18"/>
                <w:szCs w:val="18"/>
              </w:rPr>
            </w:pPr>
            <w:r w:rsidRPr="001D41EA">
              <w:rPr>
                <w:rFonts w:cs="Arial"/>
                <w:sz w:val="18"/>
                <w:szCs w:val="18"/>
              </w:rPr>
              <w:t>437,912</w:t>
            </w:r>
          </w:p>
        </w:tc>
        <w:tc>
          <w:tcPr>
            <w:tcW w:w="170" w:type="dxa"/>
            <w:tcBorders>
              <w:top w:val="nil"/>
              <w:left w:val="nil"/>
              <w:bottom w:val="nil"/>
              <w:right w:val="nil"/>
            </w:tcBorders>
            <w:vAlign w:val="bottom"/>
          </w:tcPr>
          <w:p w14:paraId="1B586082"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287B2B40" w14:textId="7F18C0F4" w:rsidR="00F04730" w:rsidRPr="001D41EA" w:rsidRDefault="00F04730" w:rsidP="001D41EA">
            <w:pPr>
              <w:spacing w:before="40" w:after="20"/>
              <w:jc w:val="right"/>
              <w:rPr>
                <w:rFonts w:cs="Arial"/>
                <w:sz w:val="18"/>
                <w:szCs w:val="18"/>
              </w:rPr>
            </w:pPr>
            <w:r w:rsidRPr="001D41EA">
              <w:rPr>
                <w:rFonts w:cs="Arial"/>
                <w:sz w:val="18"/>
                <w:szCs w:val="18"/>
              </w:rPr>
              <w:t>-25,060</w:t>
            </w:r>
          </w:p>
        </w:tc>
        <w:tc>
          <w:tcPr>
            <w:tcW w:w="1021" w:type="dxa"/>
            <w:tcBorders>
              <w:top w:val="nil"/>
              <w:left w:val="nil"/>
              <w:bottom w:val="nil"/>
              <w:right w:val="nil"/>
            </w:tcBorders>
            <w:vAlign w:val="bottom"/>
          </w:tcPr>
          <w:p w14:paraId="18370FCB" w14:textId="73AF5197" w:rsidR="00F04730" w:rsidRPr="001D41EA" w:rsidRDefault="00F04730" w:rsidP="001D41EA">
            <w:pPr>
              <w:spacing w:before="40" w:after="20"/>
              <w:jc w:val="right"/>
              <w:rPr>
                <w:rFonts w:cs="Arial"/>
                <w:sz w:val="18"/>
                <w:szCs w:val="18"/>
              </w:rPr>
            </w:pPr>
            <w:r w:rsidRPr="001D41EA">
              <w:rPr>
                <w:rFonts w:cs="Arial"/>
                <w:sz w:val="18"/>
                <w:szCs w:val="18"/>
              </w:rPr>
              <w:t>-3,352</w:t>
            </w:r>
          </w:p>
        </w:tc>
        <w:tc>
          <w:tcPr>
            <w:tcW w:w="1021" w:type="dxa"/>
            <w:tcBorders>
              <w:top w:val="nil"/>
              <w:left w:val="nil"/>
              <w:bottom w:val="nil"/>
              <w:right w:val="nil"/>
            </w:tcBorders>
            <w:vAlign w:val="bottom"/>
          </w:tcPr>
          <w:p w14:paraId="1365948C" w14:textId="27D9FEED" w:rsidR="00F04730" w:rsidRPr="001D41EA" w:rsidRDefault="00F04730" w:rsidP="001D41EA">
            <w:pPr>
              <w:spacing w:before="40" w:after="20"/>
              <w:jc w:val="right"/>
              <w:rPr>
                <w:rFonts w:cs="Arial"/>
                <w:sz w:val="18"/>
                <w:szCs w:val="18"/>
              </w:rPr>
            </w:pPr>
            <w:r w:rsidRPr="001D41EA">
              <w:rPr>
                <w:rFonts w:cs="Arial"/>
                <w:sz w:val="18"/>
                <w:szCs w:val="18"/>
              </w:rPr>
              <w:t>-28,412</w:t>
            </w:r>
          </w:p>
        </w:tc>
        <w:tc>
          <w:tcPr>
            <w:tcW w:w="1247" w:type="dxa"/>
            <w:tcBorders>
              <w:top w:val="nil"/>
              <w:left w:val="nil"/>
              <w:bottom w:val="nil"/>
              <w:right w:val="nil"/>
            </w:tcBorders>
            <w:shd w:val="clear" w:color="auto" w:fill="auto"/>
            <w:vAlign w:val="bottom"/>
          </w:tcPr>
          <w:p w14:paraId="3B00825F" w14:textId="71158151" w:rsidR="00F04730" w:rsidRPr="001D41EA" w:rsidRDefault="00F04730" w:rsidP="001D41EA">
            <w:pPr>
              <w:spacing w:before="40" w:after="20"/>
              <w:jc w:val="right"/>
              <w:rPr>
                <w:rFonts w:cs="Arial"/>
                <w:b/>
                <w:sz w:val="18"/>
                <w:szCs w:val="18"/>
              </w:rPr>
            </w:pPr>
            <w:r w:rsidRPr="001D41EA">
              <w:rPr>
                <w:rFonts w:cs="Arial"/>
                <w:b/>
                <w:sz w:val="18"/>
                <w:szCs w:val="18"/>
              </w:rPr>
              <w:t>2,804,242</w:t>
            </w:r>
          </w:p>
        </w:tc>
      </w:tr>
      <w:tr w:rsidR="00F04730" w:rsidRPr="001D41EA" w14:paraId="1E56396D"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89E5500" w14:textId="77777777" w:rsidR="00F04730" w:rsidRPr="001D41EA" w:rsidRDefault="00F04730" w:rsidP="001D41EA">
            <w:pPr>
              <w:spacing w:before="40" w:after="20"/>
              <w:rPr>
                <w:rFonts w:cs="Arial"/>
                <w:sz w:val="18"/>
                <w:szCs w:val="18"/>
              </w:rPr>
            </w:pPr>
            <w:r w:rsidRPr="001D41EA">
              <w:rPr>
                <w:rFonts w:cs="Arial"/>
                <w:sz w:val="18"/>
                <w:szCs w:val="18"/>
              </w:rPr>
              <w:t>Pyrenees S</w:t>
            </w:r>
          </w:p>
        </w:tc>
        <w:tc>
          <w:tcPr>
            <w:tcW w:w="1134" w:type="dxa"/>
            <w:tcBorders>
              <w:top w:val="nil"/>
              <w:left w:val="single" w:sz="18" w:space="0" w:color="5F497A" w:themeColor="accent4" w:themeShade="BF"/>
              <w:bottom w:val="nil"/>
              <w:right w:val="nil"/>
            </w:tcBorders>
            <w:shd w:val="clear" w:color="auto" w:fill="auto"/>
            <w:vAlign w:val="bottom"/>
          </w:tcPr>
          <w:p w14:paraId="5D2FB2AC" w14:textId="610EFB9B" w:rsidR="00F04730" w:rsidRPr="001D41EA" w:rsidRDefault="00F04730" w:rsidP="001D41EA">
            <w:pPr>
              <w:spacing w:before="40" w:after="20"/>
              <w:jc w:val="right"/>
              <w:rPr>
                <w:rFonts w:cs="Arial"/>
                <w:sz w:val="18"/>
                <w:szCs w:val="18"/>
              </w:rPr>
            </w:pPr>
            <w:r w:rsidRPr="001D41EA">
              <w:rPr>
                <w:rFonts w:cs="Arial"/>
                <w:sz w:val="18"/>
                <w:szCs w:val="18"/>
              </w:rPr>
              <w:t>3,487,163</w:t>
            </w:r>
          </w:p>
        </w:tc>
        <w:tc>
          <w:tcPr>
            <w:tcW w:w="1134" w:type="dxa"/>
            <w:tcBorders>
              <w:top w:val="nil"/>
              <w:left w:val="nil"/>
              <w:bottom w:val="nil"/>
              <w:right w:val="nil"/>
            </w:tcBorders>
            <w:shd w:val="clear" w:color="auto" w:fill="auto"/>
            <w:vAlign w:val="bottom"/>
          </w:tcPr>
          <w:p w14:paraId="09E649E1" w14:textId="16D75AD4" w:rsidR="00F04730" w:rsidRPr="001D41EA" w:rsidRDefault="00F04730" w:rsidP="001D41EA">
            <w:pPr>
              <w:spacing w:before="40" w:after="20"/>
              <w:jc w:val="right"/>
              <w:rPr>
                <w:rFonts w:cs="Arial"/>
                <w:sz w:val="18"/>
                <w:szCs w:val="18"/>
              </w:rPr>
            </w:pPr>
            <w:r w:rsidRPr="001D41EA">
              <w:rPr>
                <w:rFonts w:cs="Arial"/>
                <w:sz w:val="18"/>
                <w:szCs w:val="18"/>
              </w:rPr>
              <w:t>2,194,074</w:t>
            </w:r>
          </w:p>
        </w:tc>
        <w:tc>
          <w:tcPr>
            <w:tcW w:w="170" w:type="dxa"/>
            <w:tcBorders>
              <w:top w:val="nil"/>
              <w:left w:val="nil"/>
              <w:bottom w:val="nil"/>
              <w:right w:val="nil"/>
            </w:tcBorders>
            <w:vAlign w:val="bottom"/>
          </w:tcPr>
          <w:p w14:paraId="62ACE499"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1DCAB3B3" w14:textId="5EC4319C" w:rsidR="00F04730" w:rsidRPr="001D41EA" w:rsidRDefault="00F04730" w:rsidP="001D41EA">
            <w:pPr>
              <w:spacing w:before="40" w:after="20"/>
              <w:jc w:val="right"/>
              <w:rPr>
                <w:rFonts w:cs="Arial"/>
                <w:sz w:val="18"/>
                <w:szCs w:val="18"/>
              </w:rPr>
            </w:pPr>
            <w:r w:rsidRPr="001D41EA">
              <w:rPr>
                <w:rFonts w:cs="Arial"/>
                <w:sz w:val="18"/>
                <w:szCs w:val="18"/>
              </w:rPr>
              <w:t>-36,275</w:t>
            </w:r>
          </w:p>
        </w:tc>
        <w:tc>
          <w:tcPr>
            <w:tcW w:w="1021" w:type="dxa"/>
            <w:tcBorders>
              <w:top w:val="nil"/>
              <w:left w:val="nil"/>
              <w:bottom w:val="nil"/>
              <w:right w:val="nil"/>
            </w:tcBorders>
            <w:vAlign w:val="bottom"/>
          </w:tcPr>
          <w:p w14:paraId="045CA602" w14:textId="27B00929" w:rsidR="00F04730" w:rsidRPr="001D41EA" w:rsidRDefault="00F04730" w:rsidP="001D41EA">
            <w:pPr>
              <w:spacing w:before="40" w:after="20"/>
              <w:jc w:val="right"/>
              <w:rPr>
                <w:rFonts w:cs="Arial"/>
                <w:sz w:val="18"/>
                <w:szCs w:val="18"/>
              </w:rPr>
            </w:pPr>
            <w:r w:rsidRPr="001D41EA">
              <w:rPr>
                <w:rFonts w:cs="Arial"/>
                <w:sz w:val="18"/>
                <w:szCs w:val="18"/>
              </w:rPr>
              <w:t>-16,836</w:t>
            </w:r>
          </w:p>
        </w:tc>
        <w:tc>
          <w:tcPr>
            <w:tcW w:w="1021" w:type="dxa"/>
            <w:tcBorders>
              <w:top w:val="nil"/>
              <w:left w:val="nil"/>
              <w:bottom w:val="nil"/>
              <w:right w:val="nil"/>
            </w:tcBorders>
            <w:vAlign w:val="bottom"/>
          </w:tcPr>
          <w:p w14:paraId="7159553E" w14:textId="275C3B6B" w:rsidR="00F04730" w:rsidRPr="001D41EA" w:rsidRDefault="00F04730" w:rsidP="001D41EA">
            <w:pPr>
              <w:spacing w:before="40" w:after="20"/>
              <w:jc w:val="right"/>
              <w:rPr>
                <w:rFonts w:cs="Arial"/>
                <w:sz w:val="18"/>
                <w:szCs w:val="18"/>
              </w:rPr>
            </w:pPr>
            <w:r w:rsidRPr="001D41EA">
              <w:rPr>
                <w:rFonts w:cs="Arial"/>
                <w:sz w:val="18"/>
                <w:szCs w:val="18"/>
              </w:rPr>
              <w:t>-53,111</w:t>
            </w:r>
          </w:p>
        </w:tc>
        <w:tc>
          <w:tcPr>
            <w:tcW w:w="1247" w:type="dxa"/>
            <w:tcBorders>
              <w:top w:val="nil"/>
              <w:left w:val="nil"/>
              <w:bottom w:val="nil"/>
              <w:right w:val="nil"/>
            </w:tcBorders>
            <w:shd w:val="clear" w:color="auto" w:fill="auto"/>
            <w:vAlign w:val="bottom"/>
          </w:tcPr>
          <w:p w14:paraId="0B282669" w14:textId="18604354" w:rsidR="00F04730" w:rsidRPr="001D41EA" w:rsidRDefault="00F04730" w:rsidP="001D41EA">
            <w:pPr>
              <w:spacing w:before="40" w:after="20"/>
              <w:jc w:val="right"/>
              <w:rPr>
                <w:rFonts w:cs="Arial"/>
                <w:b/>
                <w:sz w:val="18"/>
                <w:szCs w:val="18"/>
              </w:rPr>
            </w:pPr>
            <w:r w:rsidRPr="001D41EA">
              <w:rPr>
                <w:rFonts w:cs="Arial"/>
                <w:b/>
                <w:sz w:val="18"/>
                <w:szCs w:val="18"/>
              </w:rPr>
              <w:t>5,628,126</w:t>
            </w:r>
          </w:p>
        </w:tc>
      </w:tr>
      <w:tr w:rsidR="00F04730" w:rsidRPr="001D41EA" w14:paraId="19E5EFDA"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E5D5AC" w14:textId="77777777" w:rsidR="00F04730" w:rsidRPr="001D41EA" w:rsidRDefault="00F04730" w:rsidP="001D41EA">
            <w:pPr>
              <w:spacing w:before="40" w:after="20"/>
              <w:rPr>
                <w:rFonts w:cs="Arial"/>
                <w:sz w:val="18"/>
                <w:szCs w:val="18"/>
              </w:rPr>
            </w:pPr>
            <w:r w:rsidRPr="001D41EA">
              <w:rPr>
                <w:rFonts w:cs="Arial"/>
                <w:sz w:val="18"/>
                <w:szCs w:val="18"/>
              </w:rPr>
              <w:t>Queenscliffe B</w:t>
            </w:r>
          </w:p>
        </w:tc>
        <w:tc>
          <w:tcPr>
            <w:tcW w:w="1134" w:type="dxa"/>
            <w:tcBorders>
              <w:top w:val="nil"/>
              <w:left w:val="single" w:sz="18" w:space="0" w:color="5F497A" w:themeColor="accent4" w:themeShade="BF"/>
              <w:bottom w:val="nil"/>
              <w:right w:val="nil"/>
            </w:tcBorders>
            <w:shd w:val="clear" w:color="auto" w:fill="auto"/>
            <w:vAlign w:val="bottom"/>
          </w:tcPr>
          <w:p w14:paraId="484327D6" w14:textId="40039D9F" w:rsidR="00F04730" w:rsidRPr="001D41EA" w:rsidRDefault="00F04730" w:rsidP="001D41EA">
            <w:pPr>
              <w:spacing w:before="40" w:after="20"/>
              <w:jc w:val="right"/>
              <w:rPr>
                <w:rFonts w:cs="Arial"/>
                <w:sz w:val="18"/>
                <w:szCs w:val="18"/>
              </w:rPr>
            </w:pPr>
            <w:r w:rsidRPr="001D41EA">
              <w:rPr>
                <w:rFonts w:cs="Arial"/>
                <w:sz w:val="18"/>
                <w:szCs w:val="18"/>
              </w:rPr>
              <w:t>426,423</w:t>
            </w:r>
          </w:p>
        </w:tc>
        <w:tc>
          <w:tcPr>
            <w:tcW w:w="1134" w:type="dxa"/>
            <w:tcBorders>
              <w:top w:val="nil"/>
              <w:left w:val="nil"/>
              <w:bottom w:val="nil"/>
              <w:right w:val="nil"/>
            </w:tcBorders>
            <w:shd w:val="clear" w:color="auto" w:fill="auto"/>
            <w:vAlign w:val="bottom"/>
          </w:tcPr>
          <w:p w14:paraId="535C1C6D" w14:textId="65C2A7C3" w:rsidR="00F04730" w:rsidRPr="001D41EA" w:rsidRDefault="00F04730" w:rsidP="001D41EA">
            <w:pPr>
              <w:spacing w:before="40" w:after="20"/>
              <w:jc w:val="right"/>
              <w:rPr>
                <w:rFonts w:cs="Arial"/>
                <w:sz w:val="18"/>
                <w:szCs w:val="18"/>
              </w:rPr>
            </w:pPr>
            <w:r w:rsidRPr="001D41EA">
              <w:rPr>
                <w:rFonts w:cs="Arial"/>
                <w:sz w:val="18"/>
                <w:szCs w:val="18"/>
              </w:rPr>
              <w:t>60,051</w:t>
            </w:r>
          </w:p>
        </w:tc>
        <w:tc>
          <w:tcPr>
            <w:tcW w:w="170" w:type="dxa"/>
            <w:tcBorders>
              <w:top w:val="nil"/>
              <w:left w:val="nil"/>
              <w:bottom w:val="nil"/>
              <w:right w:val="nil"/>
            </w:tcBorders>
            <w:vAlign w:val="bottom"/>
          </w:tcPr>
          <w:p w14:paraId="0FBB59B7"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216D8C56" w14:textId="77AADD38" w:rsidR="00F04730" w:rsidRPr="001D41EA" w:rsidRDefault="00F04730" w:rsidP="001D41EA">
            <w:pPr>
              <w:spacing w:before="40" w:after="20"/>
              <w:jc w:val="right"/>
              <w:rPr>
                <w:rFonts w:cs="Arial"/>
                <w:sz w:val="18"/>
                <w:szCs w:val="18"/>
              </w:rPr>
            </w:pPr>
            <w:r w:rsidRPr="001D41EA">
              <w:rPr>
                <w:rFonts w:cs="Arial"/>
                <w:sz w:val="18"/>
                <w:szCs w:val="18"/>
              </w:rPr>
              <w:t>-2,315</w:t>
            </w:r>
          </w:p>
        </w:tc>
        <w:tc>
          <w:tcPr>
            <w:tcW w:w="1021" w:type="dxa"/>
            <w:tcBorders>
              <w:top w:val="nil"/>
              <w:left w:val="nil"/>
              <w:bottom w:val="nil"/>
              <w:right w:val="nil"/>
            </w:tcBorders>
            <w:vAlign w:val="bottom"/>
          </w:tcPr>
          <w:p w14:paraId="02AD8455" w14:textId="70F5B76F" w:rsidR="00F04730" w:rsidRPr="001D41EA" w:rsidRDefault="00F04730" w:rsidP="001D41EA">
            <w:pPr>
              <w:spacing w:before="40" w:after="20"/>
              <w:jc w:val="right"/>
              <w:rPr>
                <w:rFonts w:cs="Arial"/>
                <w:sz w:val="18"/>
                <w:szCs w:val="18"/>
              </w:rPr>
            </w:pPr>
            <w:r w:rsidRPr="001D41EA">
              <w:rPr>
                <w:rFonts w:cs="Arial"/>
                <w:sz w:val="18"/>
                <w:szCs w:val="18"/>
              </w:rPr>
              <w:t>-461</w:t>
            </w:r>
          </w:p>
        </w:tc>
        <w:tc>
          <w:tcPr>
            <w:tcW w:w="1021" w:type="dxa"/>
            <w:tcBorders>
              <w:top w:val="nil"/>
              <w:left w:val="nil"/>
              <w:bottom w:val="nil"/>
              <w:right w:val="nil"/>
            </w:tcBorders>
            <w:vAlign w:val="bottom"/>
          </w:tcPr>
          <w:p w14:paraId="55BA501F" w14:textId="1D8B148A" w:rsidR="00F04730" w:rsidRPr="001D41EA" w:rsidRDefault="00F04730" w:rsidP="001D41EA">
            <w:pPr>
              <w:spacing w:before="40" w:after="20"/>
              <w:jc w:val="right"/>
              <w:rPr>
                <w:rFonts w:cs="Arial"/>
                <w:sz w:val="18"/>
                <w:szCs w:val="18"/>
              </w:rPr>
            </w:pPr>
            <w:r w:rsidRPr="001D41EA">
              <w:rPr>
                <w:rFonts w:cs="Arial"/>
                <w:sz w:val="18"/>
                <w:szCs w:val="18"/>
              </w:rPr>
              <w:t>-2,776</w:t>
            </w:r>
          </w:p>
        </w:tc>
        <w:tc>
          <w:tcPr>
            <w:tcW w:w="1247" w:type="dxa"/>
            <w:tcBorders>
              <w:top w:val="nil"/>
              <w:left w:val="nil"/>
              <w:bottom w:val="nil"/>
              <w:right w:val="nil"/>
            </w:tcBorders>
            <w:shd w:val="clear" w:color="auto" w:fill="auto"/>
            <w:vAlign w:val="bottom"/>
          </w:tcPr>
          <w:p w14:paraId="67A0ABA6" w14:textId="7B9FA54E" w:rsidR="00F04730" w:rsidRPr="001D41EA" w:rsidRDefault="00F04730" w:rsidP="001D41EA">
            <w:pPr>
              <w:spacing w:before="40" w:after="20"/>
              <w:jc w:val="right"/>
              <w:rPr>
                <w:rFonts w:cs="Arial"/>
                <w:b/>
                <w:sz w:val="18"/>
                <w:szCs w:val="18"/>
              </w:rPr>
            </w:pPr>
            <w:r w:rsidRPr="001D41EA">
              <w:rPr>
                <w:rFonts w:cs="Arial"/>
                <w:b/>
                <w:sz w:val="18"/>
                <w:szCs w:val="18"/>
              </w:rPr>
              <w:t>483,698</w:t>
            </w:r>
          </w:p>
        </w:tc>
      </w:tr>
      <w:tr w:rsidR="00F04730" w:rsidRPr="001D41EA" w14:paraId="2AC837AA"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52F2AEE" w14:textId="77777777" w:rsidR="00F04730" w:rsidRPr="001D41EA" w:rsidRDefault="00F04730" w:rsidP="001D41EA">
            <w:pPr>
              <w:spacing w:before="40" w:after="20"/>
              <w:rPr>
                <w:rFonts w:cs="Arial"/>
                <w:sz w:val="18"/>
                <w:szCs w:val="18"/>
              </w:rPr>
            </w:pPr>
            <w:r w:rsidRPr="001D41EA">
              <w:rPr>
                <w:rFonts w:cs="Arial"/>
                <w:sz w:val="18"/>
                <w:szCs w:val="18"/>
              </w:rPr>
              <w:t>South Gippsland S</w:t>
            </w:r>
          </w:p>
        </w:tc>
        <w:tc>
          <w:tcPr>
            <w:tcW w:w="1134" w:type="dxa"/>
            <w:tcBorders>
              <w:top w:val="nil"/>
              <w:left w:val="single" w:sz="18" w:space="0" w:color="5F497A" w:themeColor="accent4" w:themeShade="BF"/>
              <w:bottom w:val="nil"/>
              <w:right w:val="nil"/>
            </w:tcBorders>
            <w:shd w:val="clear" w:color="auto" w:fill="auto"/>
            <w:vAlign w:val="bottom"/>
          </w:tcPr>
          <w:p w14:paraId="1D8EB0CC" w14:textId="3695A3DD" w:rsidR="00F04730" w:rsidRPr="001D41EA" w:rsidRDefault="00F04730" w:rsidP="001D41EA">
            <w:pPr>
              <w:spacing w:before="40" w:after="20"/>
              <w:jc w:val="right"/>
              <w:rPr>
                <w:rFonts w:cs="Arial"/>
                <w:sz w:val="18"/>
                <w:szCs w:val="18"/>
              </w:rPr>
            </w:pPr>
            <w:r w:rsidRPr="001D41EA">
              <w:rPr>
                <w:rFonts w:cs="Arial"/>
                <w:sz w:val="18"/>
                <w:szCs w:val="18"/>
              </w:rPr>
              <w:t>6,409,556</w:t>
            </w:r>
          </w:p>
        </w:tc>
        <w:tc>
          <w:tcPr>
            <w:tcW w:w="1134" w:type="dxa"/>
            <w:tcBorders>
              <w:top w:val="nil"/>
              <w:left w:val="nil"/>
              <w:bottom w:val="nil"/>
              <w:right w:val="nil"/>
            </w:tcBorders>
            <w:shd w:val="clear" w:color="auto" w:fill="auto"/>
            <w:vAlign w:val="bottom"/>
          </w:tcPr>
          <w:p w14:paraId="06214EC4" w14:textId="25BC18F3" w:rsidR="00F04730" w:rsidRPr="001D41EA" w:rsidRDefault="00F04730" w:rsidP="001D41EA">
            <w:pPr>
              <w:spacing w:before="40" w:after="20"/>
              <w:jc w:val="right"/>
              <w:rPr>
                <w:rFonts w:cs="Arial"/>
                <w:sz w:val="18"/>
                <w:szCs w:val="18"/>
              </w:rPr>
            </w:pPr>
            <w:r w:rsidRPr="001D41EA">
              <w:rPr>
                <w:rFonts w:cs="Arial"/>
                <w:sz w:val="18"/>
                <w:szCs w:val="18"/>
              </w:rPr>
              <w:t>3,850,132</w:t>
            </w:r>
          </w:p>
        </w:tc>
        <w:tc>
          <w:tcPr>
            <w:tcW w:w="170" w:type="dxa"/>
            <w:tcBorders>
              <w:top w:val="nil"/>
              <w:left w:val="nil"/>
              <w:bottom w:val="nil"/>
              <w:right w:val="nil"/>
            </w:tcBorders>
            <w:vAlign w:val="bottom"/>
          </w:tcPr>
          <w:p w14:paraId="46D761B6"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4FCC58E9" w14:textId="3C15D694" w:rsidR="00F04730" w:rsidRPr="001D41EA" w:rsidRDefault="00F04730" w:rsidP="001D41EA">
            <w:pPr>
              <w:spacing w:before="40" w:after="20"/>
              <w:jc w:val="right"/>
              <w:rPr>
                <w:rFonts w:cs="Arial"/>
                <w:sz w:val="18"/>
                <w:szCs w:val="18"/>
              </w:rPr>
            </w:pPr>
            <w:r w:rsidRPr="001D41EA">
              <w:rPr>
                <w:rFonts w:cs="Arial"/>
                <w:sz w:val="18"/>
                <w:szCs w:val="18"/>
              </w:rPr>
              <w:t>-65,283</w:t>
            </w:r>
          </w:p>
        </w:tc>
        <w:tc>
          <w:tcPr>
            <w:tcW w:w="1021" w:type="dxa"/>
            <w:tcBorders>
              <w:top w:val="nil"/>
              <w:left w:val="nil"/>
              <w:bottom w:val="nil"/>
              <w:right w:val="nil"/>
            </w:tcBorders>
            <w:vAlign w:val="bottom"/>
          </w:tcPr>
          <w:p w14:paraId="6D7BBBA8" w14:textId="2CD5BD5D" w:rsidR="00F04730" w:rsidRPr="001D41EA" w:rsidRDefault="00F04730" w:rsidP="001D41EA">
            <w:pPr>
              <w:spacing w:before="40" w:after="20"/>
              <w:jc w:val="right"/>
              <w:rPr>
                <w:rFonts w:cs="Arial"/>
                <w:sz w:val="18"/>
                <w:szCs w:val="18"/>
              </w:rPr>
            </w:pPr>
            <w:r w:rsidRPr="001D41EA">
              <w:rPr>
                <w:rFonts w:cs="Arial"/>
                <w:sz w:val="18"/>
                <w:szCs w:val="18"/>
              </w:rPr>
              <w:t>-28,780</w:t>
            </w:r>
          </w:p>
        </w:tc>
        <w:tc>
          <w:tcPr>
            <w:tcW w:w="1021" w:type="dxa"/>
            <w:tcBorders>
              <w:top w:val="nil"/>
              <w:left w:val="nil"/>
              <w:bottom w:val="nil"/>
              <w:right w:val="nil"/>
            </w:tcBorders>
            <w:vAlign w:val="bottom"/>
          </w:tcPr>
          <w:p w14:paraId="3EDB1424" w14:textId="1ECE6B35" w:rsidR="00F04730" w:rsidRPr="001D41EA" w:rsidRDefault="00F04730" w:rsidP="001D41EA">
            <w:pPr>
              <w:spacing w:before="40" w:after="20"/>
              <w:jc w:val="right"/>
              <w:rPr>
                <w:rFonts w:cs="Arial"/>
                <w:sz w:val="18"/>
                <w:szCs w:val="18"/>
              </w:rPr>
            </w:pPr>
            <w:r w:rsidRPr="001D41EA">
              <w:rPr>
                <w:rFonts w:cs="Arial"/>
                <w:sz w:val="18"/>
                <w:szCs w:val="18"/>
              </w:rPr>
              <w:t>-94,063</w:t>
            </w:r>
          </w:p>
        </w:tc>
        <w:tc>
          <w:tcPr>
            <w:tcW w:w="1247" w:type="dxa"/>
            <w:tcBorders>
              <w:top w:val="nil"/>
              <w:left w:val="nil"/>
              <w:bottom w:val="nil"/>
              <w:right w:val="nil"/>
            </w:tcBorders>
            <w:shd w:val="clear" w:color="auto" w:fill="auto"/>
            <w:vAlign w:val="bottom"/>
          </w:tcPr>
          <w:p w14:paraId="75A08982" w14:textId="6FF3A299" w:rsidR="00F04730" w:rsidRPr="001D41EA" w:rsidRDefault="00F04730" w:rsidP="001D41EA">
            <w:pPr>
              <w:spacing w:before="40" w:after="20"/>
              <w:jc w:val="right"/>
              <w:rPr>
                <w:rFonts w:cs="Arial"/>
                <w:b/>
                <w:sz w:val="18"/>
                <w:szCs w:val="18"/>
              </w:rPr>
            </w:pPr>
            <w:r w:rsidRPr="001D41EA">
              <w:rPr>
                <w:rFonts w:cs="Arial"/>
                <w:b/>
                <w:sz w:val="18"/>
                <w:szCs w:val="18"/>
              </w:rPr>
              <w:t>10,165,625</w:t>
            </w:r>
          </w:p>
        </w:tc>
      </w:tr>
      <w:tr w:rsidR="00F04730" w:rsidRPr="001D41EA" w14:paraId="5AA9523B"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E0C3CEA" w14:textId="77777777" w:rsidR="00F04730" w:rsidRPr="001D41EA" w:rsidRDefault="00F04730" w:rsidP="001D41EA">
            <w:pPr>
              <w:spacing w:before="40" w:after="20"/>
              <w:rPr>
                <w:rFonts w:cs="Arial"/>
                <w:sz w:val="18"/>
                <w:szCs w:val="18"/>
              </w:rPr>
            </w:pPr>
            <w:r w:rsidRPr="001D41EA">
              <w:rPr>
                <w:rFonts w:cs="Arial"/>
                <w:sz w:val="18"/>
                <w:szCs w:val="18"/>
              </w:rPr>
              <w:t>Southern Grampians S</w:t>
            </w:r>
          </w:p>
        </w:tc>
        <w:tc>
          <w:tcPr>
            <w:tcW w:w="1134" w:type="dxa"/>
            <w:tcBorders>
              <w:top w:val="nil"/>
              <w:left w:val="single" w:sz="18" w:space="0" w:color="5F497A" w:themeColor="accent4" w:themeShade="BF"/>
              <w:bottom w:val="nil"/>
              <w:right w:val="nil"/>
            </w:tcBorders>
            <w:shd w:val="clear" w:color="auto" w:fill="auto"/>
            <w:vAlign w:val="bottom"/>
          </w:tcPr>
          <w:p w14:paraId="1689B3C7" w14:textId="70B1B952" w:rsidR="00F04730" w:rsidRPr="001D41EA" w:rsidRDefault="00F04730" w:rsidP="001D41EA">
            <w:pPr>
              <w:spacing w:before="40" w:after="20"/>
              <w:jc w:val="right"/>
              <w:rPr>
                <w:rFonts w:cs="Arial"/>
                <w:sz w:val="18"/>
                <w:szCs w:val="18"/>
              </w:rPr>
            </w:pPr>
            <w:r w:rsidRPr="001D41EA">
              <w:rPr>
                <w:rFonts w:cs="Arial"/>
                <w:sz w:val="18"/>
                <w:szCs w:val="18"/>
              </w:rPr>
              <w:t>4,675,746</w:t>
            </w:r>
          </w:p>
        </w:tc>
        <w:tc>
          <w:tcPr>
            <w:tcW w:w="1134" w:type="dxa"/>
            <w:tcBorders>
              <w:top w:val="nil"/>
              <w:left w:val="nil"/>
              <w:bottom w:val="nil"/>
              <w:right w:val="nil"/>
            </w:tcBorders>
            <w:shd w:val="clear" w:color="auto" w:fill="auto"/>
            <w:vAlign w:val="bottom"/>
          </w:tcPr>
          <w:p w14:paraId="3BC299CF" w14:textId="6D1F74CC" w:rsidR="00F04730" w:rsidRPr="001D41EA" w:rsidRDefault="00F04730" w:rsidP="001D41EA">
            <w:pPr>
              <w:spacing w:before="40" w:after="20"/>
              <w:jc w:val="right"/>
              <w:rPr>
                <w:rFonts w:cs="Arial"/>
                <w:sz w:val="18"/>
                <w:szCs w:val="18"/>
              </w:rPr>
            </w:pPr>
            <w:r w:rsidRPr="001D41EA">
              <w:rPr>
                <w:rFonts w:cs="Arial"/>
                <w:sz w:val="18"/>
                <w:szCs w:val="18"/>
              </w:rPr>
              <w:t>3,122,611</w:t>
            </w:r>
          </w:p>
        </w:tc>
        <w:tc>
          <w:tcPr>
            <w:tcW w:w="170" w:type="dxa"/>
            <w:tcBorders>
              <w:top w:val="nil"/>
              <w:left w:val="nil"/>
              <w:bottom w:val="nil"/>
              <w:right w:val="nil"/>
            </w:tcBorders>
            <w:vAlign w:val="bottom"/>
          </w:tcPr>
          <w:p w14:paraId="33935CBD"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37597D87" w14:textId="6AD0B99B" w:rsidR="00F04730" w:rsidRPr="001D41EA" w:rsidRDefault="00F04730" w:rsidP="001D41EA">
            <w:pPr>
              <w:spacing w:before="40" w:after="20"/>
              <w:jc w:val="right"/>
              <w:rPr>
                <w:rFonts w:cs="Arial"/>
                <w:sz w:val="18"/>
                <w:szCs w:val="18"/>
              </w:rPr>
            </w:pPr>
            <w:r w:rsidRPr="001D41EA">
              <w:rPr>
                <w:rFonts w:cs="Arial"/>
                <w:sz w:val="18"/>
                <w:szCs w:val="18"/>
              </w:rPr>
              <w:t>-48,388</w:t>
            </w:r>
          </w:p>
        </w:tc>
        <w:tc>
          <w:tcPr>
            <w:tcW w:w="1021" w:type="dxa"/>
            <w:tcBorders>
              <w:top w:val="nil"/>
              <w:left w:val="nil"/>
              <w:bottom w:val="nil"/>
              <w:right w:val="nil"/>
            </w:tcBorders>
            <w:vAlign w:val="bottom"/>
          </w:tcPr>
          <w:p w14:paraId="7F3166BA" w14:textId="646D671E" w:rsidR="00F04730" w:rsidRPr="001D41EA" w:rsidRDefault="00F04730" w:rsidP="001D41EA">
            <w:pPr>
              <w:spacing w:before="40" w:after="20"/>
              <w:jc w:val="right"/>
              <w:rPr>
                <w:rFonts w:cs="Arial"/>
                <w:sz w:val="18"/>
                <w:szCs w:val="18"/>
              </w:rPr>
            </w:pPr>
            <w:r w:rsidRPr="001D41EA">
              <w:rPr>
                <w:rFonts w:cs="Arial"/>
                <w:sz w:val="18"/>
                <w:szCs w:val="18"/>
              </w:rPr>
              <w:t>-23,961</w:t>
            </w:r>
          </w:p>
        </w:tc>
        <w:tc>
          <w:tcPr>
            <w:tcW w:w="1021" w:type="dxa"/>
            <w:tcBorders>
              <w:top w:val="nil"/>
              <w:left w:val="nil"/>
              <w:bottom w:val="nil"/>
              <w:right w:val="nil"/>
            </w:tcBorders>
            <w:vAlign w:val="bottom"/>
          </w:tcPr>
          <w:p w14:paraId="253EE0BD" w14:textId="5419D4D2" w:rsidR="00F04730" w:rsidRPr="001D41EA" w:rsidRDefault="00F04730" w:rsidP="001D41EA">
            <w:pPr>
              <w:spacing w:before="40" w:after="20"/>
              <w:jc w:val="right"/>
              <w:rPr>
                <w:rFonts w:cs="Arial"/>
                <w:sz w:val="18"/>
                <w:szCs w:val="18"/>
              </w:rPr>
            </w:pPr>
            <w:r w:rsidRPr="001D41EA">
              <w:rPr>
                <w:rFonts w:cs="Arial"/>
                <w:sz w:val="18"/>
                <w:szCs w:val="18"/>
              </w:rPr>
              <w:t>-72,349</w:t>
            </w:r>
          </w:p>
        </w:tc>
        <w:tc>
          <w:tcPr>
            <w:tcW w:w="1247" w:type="dxa"/>
            <w:tcBorders>
              <w:top w:val="nil"/>
              <w:left w:val="nil"/>
              <w:bottom w:val="nil"/>
              <w:right w:val="nil"/>
            </w:tcBorders>
            <w:shd w:val="clear" w:color="auto" w:fill="auto"/>
            <w:vAlign w:val="bottom"/>
          </w:tcPr>
          <w:p w14:paraId="78406D2D" w14:textId="7E065DD8" w:rsidR="00F04730" w:rsidRPr="001D41EA" w:rsidRDefault="00F04730" w:rsidP="001D41EA">
            <w:pPr>
              <w:spacing w:before="40" w:after="20"/>
              <w:jc w:val="right"/>
              <w:rPr>
                <w:rFonts w:cs="Arial"/>
                <w:b/>
                <w:sz w:val="18"/>
                <w:szCs w:val="18"/>
              </w:rPr>
            </w:pPr>
            <w:r w:rsidRPr="001D41EA">
              <w:rPr>
                <w:rFonts w:cs="Arial"/>
                <w:b/>
                <w:sz w:val="18"/>
                <w:szCs w:val="18"/>
              </w:rPr>
              <w:t>7,726,008</w:t>
            </w:r>
          </w:p>
        </w:tc>
      </w:tr>
      <w:tr w:rsidR="00F04730" w:rsidRPr="001D41EA" w14:paraId="5EA316C5"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CC47714" w14:textId="77777777" w:rsidR="00F04730" w:rsidRPr="001D41EA" w:rsidRDefault="00F04730" w:rsidP="001D41EA">
            <w:pPr>
              <w:spacing w:before="40" w:after="20"/>
              <w:rPr>
                <w:rFonts w:cs="Arial"/>
                <w:sz w:val="18"/>
                <w:szCs w:val="18"/>
              </w:rPr>
            </w:pPr>
            <w:r w:rsidRPr="001D41EA">
              <w:rPr>
                <w:rFonts w:cs="Arial"/>
                <w:sz w:val="18"/>
                <w:szCs w:val="18"/>
              </w:rPr>
              <w:t>Stonnington C</w:t>
            </w:r>
          </w:p>
        </w:tc>
        <w:tc>
          <w:tcPr>
            <w:tcW w:w="1134" w:type="dxa"/>
            <w:tcBorders>
              <w:top w:val="nil"/>
              <w:left w:val="single" w:sz="18" w:space="0" w:color="5F497A" w:themeColor="accent4" w:themeShade="BF"/>
              <w:bottom w:val="nil"/>
              <w:right w:val="nil"/>
            </w:tcBorders>
            <w:shd w:val="clear" w:color="auto" w:fill="auto"/>
            <w:vAlign w:val="bottom"/>
          </w:tcPr>
          <w:p w14:paraId="08190559" w14:textId="554B1457" w:rsidR="00F04730" w:rsidRPr="001D41EA" w:rsidRDefault="00F04730" w:rsidP="001D41EA">
            <w:pPr>
              <w:spacing w:before="40" w:after="20"/>
              <w:jc w:val="right"/>
              <w:rPr>
                <w:rFonts w:cs="Arial"/>
                <w:sz w:val="18"/>
                <w:szCs w:val="18"/>
              </w:rPr>
            </w:pPr>
            <w:r w:rsidRPr="001D41EA">
              <w:rPr>
                <w:rFonts w:cs="Arial"/>
                <w:sz w:val="18"/>
                <w:szCs w:val="18"/>
              </w:rPr>
              <w:t>2,458,355</w:t>
            </w:r>
          </w:p>
        </w:tc>
        <w:tc>
          <w:tcPr>
            <w:tcW w:w="1134" w:type="dxa"/>
            <w:tcBorders>
              <w:top w:val="nil"/>
              <w:left w:val="nil"/>
              <w:bottom w:val="nil"/>
              <w:right w:val="nil"/>
            </w:tcBorders>
            <w:shd w:val="clear" w:color="auto" w:fill="auto"/>
            <w:vAlign w:val="bottom"/>
          </w:tcPr>
          <w:p w14:paraId="42EEDAF5" w14:textId="3C582499" w:rsidR="00F04730" w:rsidRPr="001D41EA" w:rsidRDefault="00F04730" w:rsidP="001D41EA">
            <w:pPr>
              <w:spacing w:before="40" w:after="20"/>
              <w:jc w:val="right"/>
              <w:rPr>
                <w:rFonts w:cs="Arial"/>
                <w:sz w:val="18"/>
                <w:szCs w:val="18"/>
              </w:rPr>
            </w:pPr>
            <w:r w:rsidRPr="001D41EA">
              <w:rPr>
                <w:rFonts w:cs="Arial"/>
                <w:sz w:val="18"/>
                <w:szCs w:val="18"/>
              </w:rPr>
              <w:t>467,955</w:t>
            </w:r>
          </w:p>
        </w:tc>
        <w:tc>
          <w:tcPr>
            <w:tcW w:w="170" w:type="dxa"/>
            <w:tcBorders>
              <w:top w:val="nil"/>
              <w:left w:val="nil"/>
              <w:bottom w:val="nil"/>
              <w:right w:val="nil"/>
            </w:tcBorders>
            <w:vAlign w:val="bottom"/>
          </w:tcPr>
          <w:p w14:paraId="6052C89C"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62E7002E" w14:textId="1C80D701" w:rsidR="00F04730" w:rsidRPr="001D41EA" w:rsidRDefault="00F04730" w:rsidP="001D41EA">
            <w:pPr>
              <w:spacing w:before="40" w:after="20"/>
              <w:jc w:val="right"/>
              <w:rPr>
                <w:rFonts w:cs="Arial"/>
                <w:sz w:val="18"/>
                <w:szCs w:val="18"/>
              </w:rPr>
            </w:pPr>
            <w:r w:rsidRPr="001D41EA">
              <w:rPr>
                <w:rFonts w:cs="Arial"/>
                <w:sz w:val="18"/>
                <w:szCs w:val="18"/>
              </w:rPr>
              <w:t>-25,909</w:t>
            </w:r>
          </w:p>
        </w:tc>
        <w:tc>
          <w:tcPr>
            <w:tcW w:w="1021" w:type="dxa"/>
            <w:tcBorders>
              <w:top w:val="nil"/>
              <w:left w:val="nil"/>
              <w:bottom w:val="nil"/>
              <w:right w:val="nil"/>
            </w:tcBorders>
            <w:vAlign w:val="bottom"/>
          </w:tcPr>
          <w:p w14:paraId="52FEDA0C" w14:textId="15C4F78A" w:rsidR="00F04730" w:rsidRPr="001D41EA" w:rsidRDefault="00F04730" w:rsidP="001D41EA">
            <w:pPr>
              <w:spacing w:before="40" w:after="20"/>
              <w:jc w:val="right"/>
              <w:rPr>
                <w:rFonts w:cs="Arial"/>
                <w:sz w:val="18"/>
                <w:szCs w:val="18"/>
              </w:rPr>
            </w:pPr>
            <w:r w:rsidRPr="001D41EA">
              <w:rPr>
                <w:rFonts w:cs="Arial"/>
                <w:sz w:val="18"/>
                <w:szCs w:val="18"/>
              </w:rPr>
              <w:t>-3,599</w:t>
            </w:r>
          </w:p>
        </w:tc>
        <w:tc>
          <w:tcPr>
            <w:tcW w:w="1021" w:type="dxa"/>
            <w:tcBorders>
              <w:top w:val="nil"/>
              <w:left w:val="nil"/>
              <w:bottom w:val="nil"/>
              <w:right w:val="nil"/>
            </w:tcBorders>
            <w:vAlign w:val="bottom"/>
          </w:tcPr>
          <w:p w14:paraId="15FFE96F" w14:textId="4059291F" w:rsidR="00F04730" w:rsidRPr="001D41EA" w:rsidRDefault="00F04730" w:rsidP="001D41EA">
            <w:pPr>
              <w:spacing w:before="40" w:after="20"/>
              <w:jc w:val="right"/>
              <w:rPr>
                <w:rFonts w:cs="Arial"/>
                <w:sz w:val="18"/>
                <w:szCs w:val="18"/>
              </w:rPr>
            </w:pPr>
            <w:r w:rsidRPr="001D41EA">
              <w:rPr>
                <w:rFonts w:cs="Arial"/>
                <w:sz w:val="18"/>
                <w:szCs w:val="18"/>
              </w:rPr>
              <w:t>-29,508</w:t>
            </w:r>
          </w:p>
        </w:tc>
        <w:tc>
          <w:tcPr>
            <w:tcW w:w="1247" w:type="dxa"/>
            <w:tcBorders>
              <w:top w:val="nil"/>
              <w:left w:val="nil"/>
              <w:bottom w:val="nil"/>
              <w:right w:val="nil"/>
            </w:tcBorders>
            <w:shd w:val="clear" w:color="auto" w:fill="auto"/>
            <w:vAlign w:val="bottom"/>
          </w:tcPr>
          <w:p w14:paraId="15AB1075" w14:textId="378B68BF" w:rsidR="00F04730" w:rsidRPr="001D41EA" w:rsidRDefault="00F04730" w:rsidP="001D41EA">
            <w:pPr>
              <w:spacing w:before="40" w:after="20"/>
              <w:jc w:val="right"/>
              <w:rPr>
                <w:rFonts w:cs="Arial"/>
                <w:b/>
                <w:sz w:val="18"/>
                <w:szCs w:val="18"/>
              </w:rPr>
            </w:pPr>
            <w:r w:rsidRPr="001D41EA">
              <w:rPr>
                <w:rFonts w:cs="Arial"/>
                <w:b/>
                <w:sz w:val="18"/>
                <w:szCs w:val="18"/>
              </w:rPr>
              <w:t>2,896,802</w:t>
            </w:r>
          </w:p>
        </w:tc>
      </w:tr>
      <w:tr w:rsidR="00F04730" w:rsidRPr="001D41EA" w14:paraId="41843AB2"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31AD5B3C" w14:textId="77777777" w:rsidR="00F04730" w:rsidRPr="001D41EA" w:rsidRDefault="00F04730" w:rsidP="001D41EA">
            <w:pPr>
              <w:spacing w:before="40" w:after="20"/>
              <w:rPr>
                <w:rFonts w:cs="Arial"/>
                <w:sz w:val="18"/>
                <w:szCs w:val="18"/>
              </w:rPr>
            </w:pPr>
            <w:r w:rsidRPr="001D41EA">
              <w:rPr>
                <w:rFonts w:cs="Arial"/>
                <w:sz w:val="18"/>
                <w:szCs w:val="18"/>
              </w:rPr>
              <w:t>Strathbogie S</w:t>
            </w:r>
          </w:p>
        </w:tc>
        <w:tc>
          <w:tcPr>
            <w:tcW w:w="1134" w:type="dxa"/>
            <w:tcBorders>
              <w:top w:val="nil"/>
              <w:left w:val="single" w:sz="18" w:space="0" w:color="5F497A" w:themeColor="accent4" w:themeShade="BF"/>
              <w:bottom w:val="nil"/>
              <w:right w:val="nil"/>
            </w:tcBorders>
            <w:shd w:val="clear" w:color="auto" w:fill="auto"/>
            <w:vAlign w:val="bottom"/>
          </w:tcPr>
          <w:p w14:paraId="6291D434" w14:textId="7A3E4319" w:rsidR="00F04730" w:rsidRPr="001D41EA" w:rsidRDefault="00F04730" w:rsidP="001D41EA">
            <w:pPr>
              <w:spacing w:before="40" w:after="20"/>
              <w:jc w:val="right"/>
              <w:rPr>
                <w:rFonts w:cs="Arial"/>
                <w:sz w:val="18"/>
                <w:szCs w:val="18"/>
              </w:rPr>
            </w:pPr>
            <w:r w:rsidRPr="001D41EA">
              <w:rPr>
                <w:rFonts w:cs="Arial"/>
                <w:sz w:val="18"/>
                <w:szCs w:val="18"/>
              </w:rPr>
              <w:t>3,398,869</w:t>
            </w:r>
          </w:p>
        </w:tc>
        <w:tc>
          <w:tcPr>
            <w:tcW w:w="1134" w:type="dxa"/>
            <w:tcBorders>
              <w:top w:val="nil"/>
              <w:left w:val="nil"/>
              <w:bottom w:val="nil"/>
              <w:right w:val="nil"/>
            </w:tcBorders>
            <w:shd w:val="clear" w:color="auto" w:fill="auto"/>
            <w:vAlign w:val="bottom"/>
          </w:tcPr>
          <w:p w14:paraId="0F86ACB4" w14:textId="41A0FC82" w:rsidR="00F04730" w:rsidRPr="001D41EA" w:rsidRDefault="00F04730" w:rsidP="001D41EA">
            <w:pPr>
              <w:spacing w:before="40" w:after="20"/>
              <w:jc w:val="right"/>
              <w:rPr>
                <w:rFonts w:cs="Arial"/>
                <w:sz w:val="18"/>
                <w:szCs w:val="18"/>
              </w:rPr>
            </w:pPr>
            <w:r w:rsidRPr="001D41EA">
              <w:rPr>
                <w:rFonts w:cs="Arial"/>
                <w:sz w:val="18"/>
                <w:szCs w:val="18"/>
              </w:rPr>
              <w:t>2,249,456</w:t>
            </w:r>
          </w:p>
        </w:tc>
        <w:tc>
          <w:tcPr>
            <w:tcW w:w="170" w:type="dxa"/>
            <w:tcBorders>
              <w:top w:val="nil"/>
              <w:left w:val="nil"/>
              <w:bottom w:val="nil"/>
              <w:right w:val="nil"/>
            </w:tcBorders>
            <w:vAlign w:val="bottom"/>
          </w:tcPr>
          <w:p w14:paraId="3C9C38C0"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503A02E7" w14:textId="5803ECC1" w:rsidR="00F04730" w:rsidRPr="001D41EA" w:rsidRDefault="00F04730" w:rsidP="001D41EA">
            <w:pPr>
              <w:spacing w:before="40" w:after="20"/>
              <w:jc w:val="right"/>
              <w:rPr>
                <w:rFonts w:cs="Arial"/>
                <w:sz w:val="18"/>
                <w:szCs w:val="18"/>
              </w:rPr>
            </w:pPr>
            <w:r w:rsidRPr="001D41EA">
              <w:rPr>
                <w:rFonts w:cs="Arial"/>
                <w:sz w:val="18"/>
                <w:szCs w:val="18"/>
              </w:rPr>
              <w:t>-35,141</w:t>
            </w:r>
          </w:p>
        </w:tc>
        <w:tc>
          <w:tcPr>
            <w:tcW w:w="1021" w:type="dxa"/>
            <w:tcBorders>
              <w:top w:val="nil"/>
              <w:left w:val="nil"/>
              <w:bottom w:val="nil"/>
              <w:right w:val="nil"/>
            </w:tcBorders>
            <w:vAlign w:val="bottom"/>
          </w:tcPr>
          <w:p w14:paraId="5C8E39FF" w14:textId="299E86AD" w:rsidR="00F04730" w:rsidRPr="001D41EA" w:rsidRDefault="00F04730" w:rsidP="001D41EA">
            <w:pPr>
              <w:spacing w:before="40" w:after="20"/>
              <w:jc w:val="right"/>
              <w:rPr>
                <w:rFonts w:cs="Arial"/>
                <w:sz w:val="18"/>
                <w:szCs w:val="18"/>
              </w:rPr>
            </w:pPr>
            <w:r w:rsidRPr="001D41EA">
              <w:rPr>
                <w:rFonts w:cs="Arial"/>
                <w:sz w:val="18"/>
                <w:szCs w:val="18"/>
              </w:rPr>
              <w:t>-17,375</w:t>
            </w:r>
          </w:p>
        </w:tc>
        <w:tc>
          <w:tcPr>
            <w:tcW w:w="1021" w:type="dxa"/>
            <w:tcBorders>
              <w:top w:val="nil"/>
              <w:left w:val="nil"/>
              <w:bottom w:val="nil"/>
              <w:right w:val="nil"/>
            </w:tcBorders>
            <w:vAlign w:val="bottom"/>
          </w:tcPr>
          <w:p w14:paraId="5753E2EC" w14:textId="41A1572A" w:rsidR="00F04730" w:rsidRPr="001D41EA" w:rsidRDefault="00F04730" w:rsidP="001D41EA">
            <w:pPr>
              <w:spacing w:before="40" w:after="20"/>
              <w:jc w:val="right"/>
              <w:rPr>
                <w:rFonts w:cs="Arial"/>
                <w:sz w:val="18"/>
                <w:szCs w:val="18"/>
              </w:rPr>
            </w:pPr>
            <w:r w:rsidRPr="001D41EA">
              <w:rPr>
                <w:rFonts w:cs="Arial"/>
                <w:sz w:val="18"/>
                <w:szCs w:val="18"/>
              </w:rPr>
              <w:t>-52,516</w:t>
            </w:r>
          </w:p>
        </w:tc>
        <w:tc>
          <w:tcPr>
            <w:tcW w:w="1247" w:type="dxa"/>
            <w:tcBorders>
              <w:top w:val="nil"/>
              <w:left w:val="nil"/>
              <w:bottom w:val="nil"/>
              <w:right w:val="nil"/>
            </w:tcBorders>
            <w:shd w:val="clear" w:color="auto" w:fill="auto"/>
            <w:vAlign w:val="bottom"/>
          </w:tcPr>
          <w:p w14:paraId="4835582B" w14:textId="6599C890" w:rsidR="00F04730" w:rsidRPr="001D41EA" w:rsidRDefault="00F04730" w:rsidP="001D41EA">
            <w:pPr>
              <w:spacing w:before="40" w:after="20"/>
              <w:jc w:val="right"/>
              <w:rPr>
                <w:rFonts w:cs="Arial"/>
                <w:b/>
                <w:sz w:val="18"/>
                <w:szCs w:val="18"/>
              </w:rPr>
            </w:pPr>
            <w:r w:rsidRPr="001D41EA">
              <w:rPr>
                <w:rFonts w:cs="Arial"/>
                <w:b/>
                <w:sz w:val="18"/>
                <w:szCs w:val="18"/>
              </w:rPr>
              <w:t>5,595,809</w:t>
            </w:r>
          </w:p>
        </w:tc>
      </w:tr>
      <w:tr w:rsidR="00F04730" w:rsidRPr="001D41EA" w14:paraId="14DEE1AC"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8CC86AD" w14:textId="77777777" w:rsidR="00F04730" w:rsidRPr="001D41EA" w:rsidRDefault="00F04730" w:rsidP="001D41EA">
            <w:pPr>
              <w:spacing w:before="40" w:after="20"/>
              <w:rPr>
                <w:rFonts w:cs="Arial"/>
                <w:sz w:val="18"/>
                <w:szCs w:val="18"/>
              </w:rPr>
            </w:pPr>
            <w:r w:rsidRPr="001D41EA">
              <w:rPr>
                <w:rFonts w:cs="Arial"/>
                <w:sz w:val="18"/>
                <w:szCs w:val="18"/>
              </w:rPr>
              <w:t>Surf Coast S</w:t>
            </w:r>
          </w:p>
        </w:tc>
        <w:tc>
          <w:tcPr>
            <w:tcW w:w="1134" w:type="dxa"/>
            <w:tcBorders>
              <w:top w:val="nil"/>
              <w:left w:val="single" w:sz="18" w:space="0" w:color="5F497A" w:themeColor="accent4" w:themeShade="BF"/>
              <w:bottom w:val="nil"/>
              <w:right w:val="nil"/>
            </w:tcBorders>
            <w:shd w:val="clear" w:color="auto" w:fill="auto"/>
            <w:vAlign w:val="bottom"/>
          </w:tcPr>
          <w:p w14:paraId="29573D51" w14:textId="57B02224" w:rsidR="00F04730" w:rsidRPr="001D41EA" w:rsidRDefault="00F04730" w:rsidP="001D41EA">
            <w:pPr>
              <w:spacing w:before="40" w:after="20"/>
              <w:jc w:val="right"/>
              <w:rPr>
                <w:rFonts w:cs="Arial"/>
                <w:sz w:val="18"/>
                <w:szCs w:val="18"/>
              </w:rPr>
            </w:pPr>
            <w:r w:rsidRPr="001D41EA">
              <w:rPr>
                <w:rFonts w:cs="Arial"/>
                <w:sz w:val="18"/>
                <w:szCs w:val="18"/>
              </w:rPr>
              <w:t>2,987,296</w:t>
            </w:r>
          </w:p>
        </w:tc>
        <w:tc>
          <w:tcPr>
            <w:tcW w:w="1134" w:type="dxa"/>
            <w:tcBorders>
              <w:top w:val="nil"/>
              <w:left w:val="nil"/>
              <w:bottom w:val="nil"/>
              <w:right w:val="nil"/>
            </w:tcBorders>
            <w:shd w:val="clear" w:color="auto" w:fill="auto"/>
            <w:vAlign w:val="bottom"/>
          </w:tcPr>
          <w:p w14:paraId="12D8152F" w14:textId="1B1A9326" w:rsidR="00F04730" w:rsidRPr="001D41EA" w:rsidRDefault="00F04730" w:rsidP="001D41EA">
            <w:pPr>
              <w:spacing w:before="40" w:after="20"/>
              <w:jc w:val="right"/>
              <w:rPr>
                <w:rFonts w:cs="Arial"/>
                <w:sz w:val="18"/>
                <w:szCs w:val="18"/>
              </w:rPr>
            </w:pPr>
            <w:r w:rsidRPr="001D41EA">
              <w:rPr>
                <w:rFonts w:cs="Arial"/>
                <w:sz w:val="18"/>
                <w:szCs w:val="18"/>
              </w:rPr>
              <w:t>1,660,835</w:t>
            </w:r>
          </w:p>
        </w:tc>
        <w:tc>
          <w:tcPr>
            <w:tcW w:w="170" w:type="dxa"/>
            <w:tcBorders>
              <w:top w:val="nil"/>
              <w:left w:val="nil"/>
              <w:bottom w:val="nil"/>
              <w:right w:val="nil"/>
            </w:tcBorders>
            <w:vAlign w:val="bottom"/>
          </w:tcPr>
          <w:p w14:paraId="06B16DDD"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5FD07D31" w14:textId="658BEB00" w:rsidR="00F04730" w:rsidRPr="001D41EA" w:rsidRDefault="00F04730" w:rsidP="001D41EA">
            <w:pPr>
              <w:spacing w:before="40" w:after="20"/>
              <w:jc w:val="right"/>
              <w:rPr>
                <w:rFonts w:cs="Arial"/>
                <w:sz w:val="18"/>
                <w:szCs w:val="18"/>
              </w:rPr>
            </w:pPr>
            <w:r w:rsidRPr="001D41EA">
              <w:rPr>
                <w:rFonts w:cs="Arial"/>
                <w:sz w:val="18"/>
                <w:szCs w:val="18"/>
              </w:rPr>
              <w:t>-29,870</w:t>
            </w:r>
          </w:p>
        </w:tc>
        <w:tc>
          <w:tcPr>
            <w:tcW w:w="1021" w:type="dxa"/>
            <w:tcBorders>
              <w:top w:val="nil"/>
              <w:left w:val="nil"/>
              <w:bottom w:val="nil"/>
              <w:right w:val="nil"/>
            </w:tcBorders>
            <w:vAlign w:val="bottom"/>
          </w:tcPr>
          <w:p w14:paraId="5C5FACB2" w14:textId="43C342CE" w:rsidR="00F04730" w:rsidRPr="001D41EA" w:rsidRDefault="00F04730" w:rsidP="001D41EA">
            <w:pPr>
              <w:spacing w:before="40" w:after="20"/>
              <w:jc w:val="right"/>
              <w:rPr>
                <w:rFonts w:cs="Arial"/>
                <w:sz w:val="18"/>
                <w:szCs w:val="18"/>
              </w:rPr>
            </w:pPr>
            <w:r w:rsidRPr="001D41EA">
              <w:rPr>
                <w:rFonts w:cs="Arial"/>
                <w:sz w:val="18"/>
                <w:szCs w:val="18"/>
              </w:rPr>
              <w:t>-12,686</w:t>
            </w:r>
          </w:p>
        </w:tc>
        <w:tc>
          <w:tcPr>
            <w:tcW w:w="1021" w:type="dxa"/>
            <w:tcBorders>
              <w:top w:val="nil"/>
              <w:left w:val="nil"/>
              <w:bottom w:val="nil"/>
              <w:right w:val="nil"/>
            </w:tcBorders>
            <w:vAlign w:val="bottom"/>
          </w:tcPr>
          <w:p w14:paraId="5D711815" w14:textId="34E6B094" w:rsidR="00F04730" w:rsidRPr="001D41EA" w:rsidRDefault="00F04730" w:rsidP="001D41EA">
            <w:pPr>
              <w:spacing w:before="40" w:after="20"/>
              <w:jc w:val="right"/>
              <w:rPr>
                <w:rFonts w:cs="Arial"/>
                <w:sz w:val="18"/>
                <w:szCs w:val="18"/>
              </w:rPr>
            </w:pPr>
            <w:r w:rsidRPr="001D41EA">
              <w:rPr>
                <w:rFonts w:cs="Arial"/>
                <w:sz w:val="18"/>
                <w:szCs w:val="18"/>
              </w:rPr>
              <w:t>-42,556</w:t>
            </w:r>
          </w:p>
        </w:tc>
        <w:tc>
          <w:tcPr>
            <w:tcW w:w="1247" w:type="dxa"/>
            <w:tcBorders>
              <w:top w:val="nil"/>
              <w:left w:val="nil"/>
              <w:bottom w:val="nil"/>
              <w:right w:val="nil"/>
            </w:tcBorders>
            <w:shd w:val="clear" w:color="auto" w:fill="auto"/>
            <w:vAlign w:val="bottom"/>
          </w:tcPr>
          <w:p w14:paraId="56B5BB4A" w14:textId="1110EC25" w:rsidR="00F04730" w:rsidRPr="001D41EA" w:rsidRDefault="00F04730" w:rsidP="001D41EA">
            <w:pPr>
              <w:spacing w:before="40" w:after="20"/>
              <w:jc w:val="right"/>
              <w:rPr>
                <w:rFonts w:cs="Arial"/>
                <w:b/>
                <w:sz w:val="18"/>
                <w:szCs w:val="18"/>
              </w:rPr>
            </w:pPr>
            <w:r w:rsidRPr="001D41EA">
              <w:rPr>
                <w:rFonts w:cs="Arial"/>
                <w:b/>
                <w:sz w:val="18"/>
                <w:szCs w:val="18"/>
              </w:rPr>
              <w:t>4,605,575</w:t>
            </w:r>
          </w:p>
        </w:tc>
      </w:tr>
      <w:tr w:rsidR="00F04730" w:rsidRPr="001D41EA" w14:paraId="0199B443"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5844A84" w14:textId="77777777" w:rsidR="00F04730" w:rsidRPr="001D41EA" w:rsidRDefault="00F04730" w:rsidP="001D41EA">
            <w:pPr>
              <w:spacing w:before="40" w:after="20"/>
              <w:rPr>
                <w:rFonts w:cs="Arial"/>
                <w:sz w:val="18"/>
                <w:szCs w:val="18"/>
              </w:rPr>
            </w:pPr>
            <w:r w:rsidRPr="001D41EA">
              <w:rPr>
                <w:rFonts w:cs="Arial"/>
                <w:sz w:val="18"/>
                <w:szCs w:val="18"/>
              </w:rPr>
              <w:t>Swan Hill RC</w:t>
            </w:r>
          </w:p>
        </w:tc>
        <w:tc>
          <w:tcPr>
            <w:tcW w:w="1134" w:type="dxa"/>
            <w:tcBorders>
              <w:top w:val="nil"/>
              <w:left w:val="single" w:sz="18" w:space="0" w:color="5F497A" w:themeColor="accent4" w:themeShade="BF"/>
              <w:bottom w:val="nil"/>
              <w:right w:val="nil"/>
            </w:tcBorders>
            <w:shd w:val="clear" w:color="auto" w:fill="auto"/>
            <w:vAlign w:val="bottom"/>
          </w:tcPr>
          <w:p w14:paraId="7F2B8B48" w14:textId="513FFAC4" w:rsidR="00F04730" w:rsidRPr="001D41EA" w:rsidRDefault="00F04730" w:rsidP="001D41EA">
            <w:pPr>
              <w:spacing w:before="40" w:after="20"/>
              <w:jc w:val="right"/>
              <w:rPr>
                <w:rFonts w:cs="Arial"/>
                <w:sz w:val="18"/>
                <w:szCs w:val="18"/>
              </w:rPr>
            </w:pPr>
            <w:r w:rsidRPr="001D41EA">
              <w:rPr>
                <w:rFonts w:cs="Arial"/>
                <w:sz w:val="18"/>
                <w:szCs w:val="18"/>
              </w:rPr>
              <w:t>4,767,992</w:t>
            </w:r>
          </w:p>
        </w:tc>
        <w:tc>
          <w:tcPr>
            <w:tcW w:w="1134" w:type="dxa"/>
            <w:tcBorders>
              <w:top w:val="nil"/>
              <w:left w:val="nil"/>
              <w:bottom w:val="nil"/>
              <w:right w:val="nil"/>
            </w:tcBorders>
            <w:shd w:val="clear" w:color="auto" w:fill="auto"/>
            <w:vAlign w:val="bottom"/>
          </w:tcPr>
          <w:p w14:paraId="448B477C" w14:textId="1E841B4E" w:rsidR="00F04730" w:rsidRPr="001D41EA" w:rsidRDefault="00F04730" w:rsidP="001D41EA">
            <w:pPr>
              <w:spacing w:before="40" w:after="20"/>
              <w:jc w:val="right"/>
              <w:rPr>
                <w:rFonts w:cs="Arial"/>
                <w:sz w:val="18"/>
                <w:szCs w:val="18"/>
              </w:rPr>
            </w:pPr>
            <w:r w:rsidRPr="001D41EA">
              <w:rPr>
                <w:rFonts w:cs="Arial"/>
                <w:sz w:val="18"/>
                <w:szCs w:val="18"/>
              </w:rPr>
              <w:t>2,257,607</w:t>
            </w:r>
          </w:p>
        </w:tc>
        <w:tc>
          <w:tcPr>
            <w:tcW w:w="170" w:type="dxa"/>
            <w:tcBorders>
              <w:top w:val="nil"/>
              <w:left w:val="nil"/>
              <w:bottom w:val="nil"/>
              <w:right w:val="nil"/>
            </w:tcBorders>
            <w:vAlign w:val="bottom"/>
          </w:tcPr>
          <w:p w14:paraId="2E42437A"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3F237A95" w14:textId="4D183A9B" w:rsidR="00F04730" w:rsidRPr="001D41EA" w:rsidRDefault="00F04730" w:rsidP="001D41EA">
            <w:pPr>
              <w:spacing w:before="40" w:after="20"/>
              <w:jc w:val="right"/>
              <w:rPr>
                <w:rFonts w:cs="Arial"/>
                <w:sz w:val="18"/>
                <w:szCs w:val="18"/>
              </w:rPr>
            </w:pPr>
            <w:r w:rsidRPr="001D41EA">
              <w:rPr>
                <w:rFonts w:cs="Arial"/>
                <w:sz w:val="18"/>
                <w:szCs w:val="18"/>
              </w:rPr>
              <w:t>-50,218</w:t>
            </w:r>
          </w:p>
        </w:tc>
        <w:tc>
          <w:tcPr>
            <w:tcW w:w="1021" w:type="dxa"/>
            <w:tcBorders>
              <w:top w:val="nil"/>
              <w:left w:val="nil"/>
              <w:bottom w:val="nil"/>
              <w:right w:val="nil"/>
            </w:tcBorders>
            <w:vAlign w:val="bottom"/>
          </w:tcPr>
          <w:p w14:paraId="4F22891C" w14:textId="358D19C9" w:rsidR="00F04730" w:rsidRPr="001D41EA" w:rsidRDefault="00F04730" w:rsidP="001D41EA">
            <w:pPr>
              <w:spacing w:before="40" w:after="20"/>
              <w:jc w:val="right"/>
              <w:rPr>
                <w:rFonts w:cs="Arial"/>
                <w:sz w:val="18"/>
                <w:szCs w:val="18"/>
              </w:rPr>
            </w:pPr>
            <w:r w:rsidRPr="001D41EA">
              <w:rPr>
                <w:rFonts w:cs="Arial"/>
                <w:sz w:val="18"/>
                <w:szCs w:val="18"/>
              </w:rPr>
              <w:t>-17,310</w:t>
            </w:r>
          </w:p>
        </w:tc>
        <w:tc>
          <w:tcPr>
            <w:tcW w:w="1021" w:type="dxa"/>
            <w:tcBorders>
              <w:top w:val="nil"/>
              <w:left w:val="nil"/>
              <w:bottom w:val="nil"/>
              <w:right w:val="nil"/>
            </w:tcBorders>
            <w:vAlign w:val="bottom"/>
          </w:tcPr>
          <w:p w14:paraId="7AF2CEFC" w14:textId="012306D2" w:rsidR="00F04730" w:rsidRPr="001D41EA" w:rsidRDefault="00F04730" w:rsidP="001D41EA">
            <w:pPr>
              <w:spacing w:before="40" w:after="20"/>
              <w:jc w:val="right"/>
              <w:rPr>
                <w:rFonts w:cs="Arial"/>
                <w:sz w:val="18"/>
                <w:szCs w:val="18"/>
              </w:rPr>
            </w:pPr>
            <w:r w:rsidRPr="001D41EA">
              <w:rPr>
                <w:rFonts w:cs="Arial"/>
                <w:sz w:val="18"/>
                <w:szCs w:val="18"/>
              </w:rPr>
              <w:t>-67,528</w:t>
            </w:r>
          </w:p>
        </w:tc>
        <w:tc>
          <w:tcPr>
            <w:tcW w:w="1247" w:type="dxa"/>
            <w:tcBorders>
              <w:top w:val="nil"/>
              <w:left w:val="nil"/>
              <w:bottom w:val="nil"/>
              <w:right w:val="nil"/>
            </w:tcBorders>
            <w:shd w:val="clear" w:color="auto" w:fill="auto"/>
            <w:vAlign w:val="bottom"/>
          </w:tcPr>
          <w:p w14:paraId="4FFB9541" w14:textId="37C94EC0" w:rsidR="00F04730" w:rsidRPr="001D41EA" w:rsidRDefault="00F04730" w:rsidP="001D41EA">
            <w:pPr>
              <w:spacing w:before="40" w:after="20"/>
              <w:jc w:val="right"/>
              <w:rPr>
                <w:rFonts w:cs="Arial"/>
                <w:b/>
                <w:sz w:val="18"/>
                <w:szCs w:val="18"/>
              </w:rPr>
            </w:pPr>
            <w:r w:rsidRPr="001D41EA">
              <w:rPr>
                <w:rFonts w:cs="Arial"/>
                <w:b/>
                <w:sz w:val="18"/>
                <w:szCs w:val="18"/>
              </w:rPr>
              <w:t>6,958,071</w:t>
            </w:r>
          </w:p>
        </w:tc>
      </w:tr>
      <w:tr w:rsidR="00F04730" w:rsidRPr="001D41EA" w14:paraId="1D67F7C9"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0A5130F" w14:textId="77777777" w:rsidR="00F04730" w:rsidRPr="001D41EA" w:rsidRDefault="00F04730" w:rsidP="001D41EA">
            <w:pPr>
              <w:spacing w:before="40" w:after="20"/>
              <w:rPr>
                <w:rFonts w:cs="Arial"/>
                <w:sz w:val="18"/>
                <w:szCs w:val="18"/>
              </w:rPr>
            </w:pPr>
            <w:r w:rsidRPr="001D41EA">
              <w:rPr>
                <w:rFonts w:cs="Arial"/>
                <w:sz w:val="18"/>
                <w:szCs w:val="18"/>
              </w:rPr>
              <w:t>Towong S</w:t>
            </w:r>
          </w:p>
        </w:tc>
        <w:tc>
          <w:tcPr>
            <w:tcW w:w="1134" w:type="dxa"/>
            <w:tcBorders>
              <w:top w:val="nil"/>
              <w:left w:val="single" w:sz="18" w:space="0" w:color="5F497A" w:themeColor="accent4" w:themeShade="BF"/>
              <w:bottom w:val="nil"/>
              <w:right w:val="nil"/>
            </w:tcBorders>
            <w:shd w:val="clear" w:color="auto" w:fill="auto"/>
            <w:vAlign w:val="bottom"/>
          </w:tcPr>
          <w:p w14:paraId="57D8DA13" w14:textId="40DEF8E3" w:rsidR="00F04730" w:rsidRPr="001D41EA" w:rsidRDefault="00F04730" w:rsidP="001D41EA">
            <w:pPr>
              <w:spacing w:before="40" w:after="20"/>
              <w:jc w:val="right"/>
              <w:rPr>
                <w:rFonts w:cs="Arial"/>
                <w:sz w:val="18"/>
                <w:szCs w:val="18"/>
              </w:rPr>
            </w:pPr>
            <w:r w:rsidRPr="001D41EA">
              <w:rPr>
                <w:rFonts w:cs="Arial"/>
                <w:sz w:val="18"/>
                <w:szCs w:val="18"/>
              </w:rPr>
              <w:t>3,160,252</w:t>
            </w:r>
          </w:p>
        </w:tc>
        <w:tc>
          <w:tcPr>
            <w:tcW w:w="1134" w:type="dxa"/>
            <w:tcBorders>
              <w:top w:val="nil"/>
              <w:left w:val="nil"/>
              <w:bottom w:val="nil"/>
              <w:right w:val="nil"/>
            </w:tcBorders>
            <w:shd w:val="clear" w:color="auto" w:fill="auto"/>
            <w:vAlign w:val="bottom"/>
          </w:tcPr>
          <w:p w14:paraId="3532F603" w14:textId="44FEF94D" w:rsidR="00F04730" w:rsidRPr="001D41EA" w:rsidRDefault="00F04730" w:rsidP="001D41EA">
            <w:pPr>
              <w:spacing w:before="40" w:after="20"/>
              <w:jc w:val="right"/>
              <w:rPr>
                <w:rFonts w:cs="Arial"/>
                <w:sz w:val="18"/>
                <w:szCs w:val="18"/>
              </w:rPr>
            </w:pPr>
            <w:r w:rsidRPr="001D41EA">
              <w:rPr>
                <w:rFonts w:cs="Arial"/>
                <w:sz w:val="18"/>
                <w:szCs w:val="18"/>
              </w:rPr>
              <w:t>1,834,366</w:t>
            </w:r>
          </w:p>
        </w:tc>
        <w:tc>
          <w:tcPr>
            <w:tcW w:w="170" w:type="dxa"/>
            <w:tcBorders>
              <w:top w:val="nil"/>
              <w:left w:val="nil"/>
              <w:bottom w:val="nil"/>
              <w:right w:val="nil"/>
            </w:tcBorders>
            <w:vAlign w:val="bottom"/>
          </w:tcPr>
          <w:p w14:paraId="7F1499EB"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5461BB7D" w14:textId="04AEDAD7" w:rsidR="00F04730" w:rsidRPr="001D41EA" w:rsidRDefault="00F04730" w:rsidP="001D41EA">
            <w:pPr>
              <w:spacing w:before="40" w:after="20"/>
              <w:jc w:val="right"/>
              <w:rPr>
                <w:rFonts w:cs="Arial"/>
                <w:sz w:val="18"/>
                <w:szCs w:val="18"/>
              </w:rPr>
            </w:pPr>
            <w:r w:rsidRPr="001D41EA">
              <w:rPr>
                <w:rFonts w:cs="Arial"/>
                <w:sz w:val="18"/>
                <w:szCs w:val="18"/>
              </w:rPr>
              <w:t>-31,599</w:t>
            </w:r>
          </w:p>
        </w:tc>
        <w:tc>
          <w:tcPr>
            <w:tcW w:w="1021" w:type="dxa"/>
            <w:tcBorders>
              <w:top w:val="nil"/>
              <w:left w:val="nil"/>
              <w:bottom w:val="nil"/>
              <w:right w:val="nil"/>
            </w:tcBorders>
            <w:vAlign w:val="bottom"/>
          </w:tcPr>
          <w:p w14:paraId="446292A3" w14:textId="430E11BE" w:rsidR="00F04730" w:rsidRPr="001D41EA" w:rsidRDefault="00F04730" w:rsidP="001D41EA">
            <w:pPr>
              <w:spacing w:before="40" w:after="20"/>
              <w:jc w:val="right"/>
              <w:rPr>
                <w:rFonts w:cs="Arial"/>
                <w:sz w:val="18"/>
                <w:szCs w:val="18"/>
              </w:rPr>
            </w:pPr>
            <w:r w:rsidRPr="001D41EA">
              <w:rPr>
                <w:rFonts w:cs="Arial"/>
                <w:sz w:val="18"/>
                <w:szCs w:val="18"/>
              </w:rPr>
              <w:t>-14,076</w:t>
            </w:r>
          </w:p>
        </w:tc>
        <w:tc>
          <w:tcPr>
            <w:tcW w:w="1021" w:type="dxa"/>
            <w:tcBorders>
              <w:top w:val="nil"/>
              <w:left w:val="nil"/>
              <w:bottom w:val="nil"/>
              <w:right w:val="nil"/>
            </w:tcBorders>
            <w:vAlign w:val="bottom"/>
          </w:tcPr>
          <w:p w14:paraId="14A04418" w14:textId="0DCB833D" w:rsidR="00F04730" w:rsidRPr="001D41EA" w:rsidRDefault="00F04730" w:rsidP="001D41EA">
            <w:pPr>
              <w:spacing w:before="40" w:after="20"/>
              <w:jc w:val="right"/>
              <w:rPr>
                <w:rFonts w:cs="Arial"/>
                <w:sz w:val="18"/>
                <w:szCs w:val="18"/>
              </w:rPr>
            </w:pPr>
            <w:r w:rsidRPr="001D41EA">
              <w:rPr>
                <w:rFonts w:cs="Arial"/>
                <w:sz w:val="18"/>
                <w:szCs w:val="18"/>
              </w:rPr>
              <w:t>-45,675</w:t>
            </w:r>
          </w:p>
        </w:tc>
        <w:tc>
          <w:tcPr>
            <w:tcW w:w="1247" w:type="dxa"/>
            <w:tcBorders>
              <w:top w:val="nil"/>
              <w:left w:val="nil"/>
              <w:bottom w:val="nil"/>
              <w:right w:val="nil"/>
            </w:tcBorders>
            <w:shd w:val="clear" w:color="auto" w:fill="auto"/>
            <w:vAlign w:val="bottom"/>
          </w:tcPr>
          <w:p w14:paraId="63610E21" w14:textId="53766D23" w:rsidR="00F04730" w:rsidRPr="001D41EA" w:rsidRDefault="00F04730" w:rsidP="001D41EA">
            <w:pPr>
              <w:spacing w:before="40" w:after="20"/>
              <w:jc w:val="right"/>
              <w:rPr>
                <w:rFonts w:cs="Arial"/>
                <w:b/>
                <w:sz w:val="18"/>
                <w:szCs w:val="18"/>
              </w:rPr>
            </w:pPr>
            <w:r w:rsidRPr="001D41EA">
              <w:rPr>
                <w:rFonts w:cs="Arial"/>
                <w:b/>
                <w:sz w:val="18"/>
                <w:szCs w:val="18"/>
              </w:rPr>
              <w:t>4,948,943</w:t>
            </w:r>
          </w:p>
        </w:tc>
      </w:tr>
      <w:tr w:rsidR="00F04730" w:rsidRPr="001D41EA" w14:paraId="5200DA65"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38998DCC" w14:textId="77777777" w:rsidR="00F04730" w:rsidRPr="001D41EA" w:rsidRDefault="00F04730" w:rsidP="001D41EA">
            <w:pPr>
              <w:spacing w:before="40" w:after="20"/>
              <w:rPr>
                <w:rFonts w:cs="Arial"/>
                <w:sz w:val="18"/>
                <w:szCs w:val="18"/>
              </w:rPr>
            </w:pPr>
            <w:r w:rsidRPr="001D41EA">
              <w:rPr>
                <w:rFonts w:cs="Arial"/>
                <w:sz w:val="18"/>
                <w:szCs w:val="18"/>
              </w:rPr>
              <w:t>Wangaratta RC</w:t>
            </w:r>
          </w:p>
        </w:tc>
        <w:tc>
          <w:tcPr>
            <w:tcW w:w="1134" w:type="dxa"/>
            <w:tcBorders>
              <w:top w:val="nil"/>
              <w:left w:val="single" w:sz="18" w:space="0" w:color="5F497A" w:themeColor="accent4" w:themeShade="BF"/>
              <w:bottom w:val="nil"/>
              <w:right w:val="nil"/>
            </w:tcBorders>
            <w:shd w:val="clear" w:color="auto" w:fill="auto"/>
            <w:vAlign w:val="bottom"/>
          </w:tcPr>
          <w:p w14:paraId="75E1924A" w14:textId="0145B77A" w:rsidR="00F04730" w:rsidRPr="001D41EA" w:rsidRDefault="00F04730" w:rsidP="001D41EA">
            <w:pPr>
              <w:spacing w:before="40" w:after="20"/>
              <w:jc w:val="right"/>
              <w:rPr>
                <w:rFonts w:cs="Arial"/>
                <w:sz w:val="18"/>
                <w:szCs w:val="18"/>
              </w:rPr>
            </w:pPr>
            <w:r w:rsidRPr="001D41EA">
              <w:rPr>
                <w:rFonts w:cs="Arial"/>
                <w:sz w:val="18"/>
                <w:szCs w:val="18"/>
              </w:rPr>
              <w:t>5,015,634</w:t>
            </w:r>
          </w:p>
        </w:tc>
        <w:tc>
          <w:tcPr>
            <w:tcW w:w="1134" w:type="dxa"/>
            <w:tcBorders>
              <w:top w:val="nil"/>
              <w:left w:val="nil"/>
              <w:bottom w:val="nil"/>
              <w:right w:val="nil"/>
            </w:tcBorders>
            <w:shd w:val="clear" w:color="auto" w:fill="auto"/>
            <w:vAlign w:val="bottom"/>
          </w:tcPr>
          <w:p w14:paraId="69B61026" w14:textId="6A9C7C0A" w:rsidR="00F04730" w:rsidRPr="001D41EA" w:rsidRDefault="00F04730" w:rsidP="001D41EA">
            <w:pPr>
              <w:spacing w:before="40" w:after="20"/>
              <w:jc w:val="right"/>
              <w:rPr>
                <w:rFonts w:cs="Arial"/>
                <w:sz w:val="18"/>
                <w:szCs w:val="18"/>
              </w:rPr>
            </w:pPr>
            <w:r w:rsidRPr="001D41EA">
              <w:rPr>
                <w:rFonts w:cs="Arial"/>
                <w:sz w:val="18"/>
                <w:szCs w:val="18"/>
              </w:rPr>
              <w:t>2,455,275</w:t>
            </w:r>
          </w:p>
        </w:tc>
        <w:tc>
          <w:tcPr>
            <w:tcW w:w="170" w:type="dxa"/>
            <w:tcBorders>
              <w:top w:val="nil"/>
              <w:left w:val="nil"/>
              <w:bottom w:val="nil"/>
              <w:right w:val="nil"/>
            </w:tcBorders>
            <w:vAlign w:val="bottom"/>
          </w:tcPr>
          <w:p w14:paraId="089677F8"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0F8529BB" w14:textId="104F78BC" w:rsidR="00F04730" w:rsidRPr="001D41EA" w:rsidRDefault="00F04730" w:rsidP="001D41EA">
            <w:pPr>
              <w:spacing w:before="40" w:after="20"/>
              <w:jc w:val="right"/>
              <w:rPr>
                <w:rFonts w:cs="Arial"/>
                <w:sz w:val="18"/>
                <w:szCs w:val="18"/>
              </w:rPr>
            </w:pPr>
            <w:r w:rsidRPr="001D41EA">
              <w:rPr>
                <w:rFonts w:cs="Arial"/>
                <w:sz w:val="18"/>
                <w:szCs w:val="18"/>
              </w:rPr>
              <w:t>-52,568</w:t>
            </w:r>
          </w:p>
        </w:tc>
        <w:tc>
          <w:tcPr>
            <w:tcW w:w="1021" w:type="dxa"/>
            <w:tcBorders>
              <w:top w:val="nil"/>
              <w:left w:val="nil"/>
              <w:bottom w:val="nil"/>
              <w:right w:val="nil"/>
            </w:tcBorders>
            <w:vAlign w:val="bottom"/>
          </w:tcPr>
          <w:p w14:paraId="029EAD19" w14:textId="53D76EDB" w:rsidR="00F04730" w:rsidRPr="001D41EA" w:rsidRDefault="00F04730" w:rsidP="001D41EA">
            <w:pPr>
              <w:spacing w:before="40" w:after="20"/>
              <w:jc w:val="right"/>
              <w:rPr>
                <w:rFonts w:cs="Arial"/>
                <w:sz w:val="18"/>
                <w:szCs w:val="18"/>
              </w:rPr>
            </w:pPr>
            <w:r w:rsidRPr="001D41EA">
              <w:rPr>
                <w:rFonts w:cs="Arial"/>
                <w:sz w:val="18"/>
                <w:szCs w:val="18"/>
              </w:rPr>
              <w:t>-18,757</w:t>
            </w:r>
          </w:p>
        </w:tc>
        <w:tc>
          <w:tcPr>
            <w:tcW w:w="1021" w:type="dxa"/>
            <w:tcBorders>
              <w:top w:val="nil"/>
              <w:left w:val="nil"/>
              <w:bottom w:val="nil"/>
              <w:right w:val="nil"/>
            </w:tcBorders>
            <w:vAlign w:val="bottom"/>
          </w:tcPr>
          <w:p w14:paraId="1C635A79" w14:textId="0AC4A7FF" w:rsidR="00F04730" w:rsidRPr="001D41EA" w:rsidRDefault="00F04730" w:rsidP="001D41EA">
            <w:pPr>
              <w:spacing w:before="40" w:after="20"/>
              <w:jc w:val="right"/>
              <w:rPr>
                <w:rFonts w:cs="Arial"/>
                <w:sz w:val="18"/>
                <w:szCs w:val="18"/>
              </w:rPr>
            </w:pPr>
            <w:r w:rsidRPr="001D41EA">
              <w:rPr>
                <w:rFonts w:cs="Arial"/>
                <w:sz w:val="18"/>
                <w:szCs w:val="18"/>
              </w:rPr>
              <w:t>-71,325</w:t>
            </w:r>
          </w:p>
        </w:tc>
        <w:tc>
          <w:tcPr>
            <w:tcW w:w="1247" w:type="dxa"/>
            <w:tcBorders>
              <w:top w:val="nil"/>
              <w:left w:val="nil"/>
              <w:bottom w:val="nil"/>
              <w:right w:val="nil"/>
            </w:tcBorders>
            <w:shd w:val="clear" w:color="auto" w:fill="auto"/>
            <w:vAlign w:val="bottom"/>
          </w:tcPr>
          <w:p w14:paraId="2A9284E4" w14:textId="356D8C59" w:rsidR="00F04730" w:rsidRPr="001D41EA" w:rsidRDefault="00F04730" w:rsidP="001D41EA">
            <w:pPr>
              <w:spacing w:before="40" w:after="20"/>
              <w:jc w:val="right"/>
              <w:rPr>
                <w:rFonts w:cs="Arial"/>
                <w:b/>
                <w:sz w:val="18"/>
                <w:szCs w:val="18"/>
              </w:rPr>
            </w:pPr>
            <w:r w:rsidRPr="001D41EA">
              <w:rPr>
                <w:rFonts w:cs="Arial"/>
                <w:b/>
                <w:sz w:val="18"/>
                <w:szCs w:val="18"/>
              </w:rPr>
              <w:t>7,399,584</w:t>
            </w:r>
          </w:p>
        </w:tc>
      </w:tr>
      <w:tr w:rsidR="00F04730" w:rsidRPr="001D41EA" w14:paraId="01E4BFAF"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5C73E0B" w14:textId="77777777" w:rsidR="00F04730" w:rsidRPr="001D41EA" w:rsidRDefault="00F04730" w:rsidP="001D41EA">
            <w:pPr>
              <w:spacing w:before="40" w:after="20"/>
              <w:rPr>
                <w:rFonts w:cs="Arial"/>
                <w:sz w:val="18"/>
                <w:szCs w:val="18"/>
              </w:rPr>
            </w:pPr>
            <w:r w:rsidRPr="001D41EA">
              <w:rPr>
                <w:rFonts w:cs="Arial"/>
                <w:sz w:val="18"/>
                <w:szCs w:val="18"/>
              </w:rPr>
              <w:t>Warrnambool C</w:t>
            </w:r>
          </w:p>
        </w:tc>
        <w:tc>
          <w:tcPr>
            <w:tcW w:w="1134" w:type="dxa"/>
            <w:tcBorders>
              <w:top w:val="nil"/>
              <w:left w:val="single" w:sz="18" w:space="0" w:color="5F497A" w:themeColor="accent4" w:themeShade="BF"/>
              <w:bottom w:val="nil"/>
              <w:right w:val="nil"/>
            </w:tcBorders>
            <w:shd w:val="clear" w:color="auto" w:fill="auto"/>
            <w:vAlign w:val="bottom"/>
          </w:tcPr>
          <w:p w14:paraId="47A3EE4F" w14:textId="46ADFA57" w:rsidR="00F04730" w:rsidRPr="001D41EA" w:rsidRDefault="00F04730" w:rsidP="001D41EA">
            <w:pPr>
              <w:spacing w:before="40" w:after="20"/>
              <w:jc w:val="right"/>
              <w:rPr>
                <w:rFonts w:cs="Arial"/>
                <w:sz w:val="18"/>
                <w:szCs w:val="18"/>
              </w:rPr>
            </w:pPr>
            <w:r w:rsidRPr="001D41EA">
              <w:rPr>
                <w:rFonts w:cs="Arial"/>
                <w:sz w:val="18"/>
                <w:szCs w:val="18"/>
              </w:rPr>
              <w:t>3,260,756</w:t>
            </w:r>
          </w:p>
        </w:tc>
        <w:tc>
          <w:tcPr>
            <w:tcW w:w="1134" w:type="dxa"/>
            <w:tcBorders>
              <w:top w:val="nil"/>
              <w:left w:val="nil"/>
              <w:bottom w:val="nil"/>
              <w:right w:val="nil"/>
            </w:tcBorders>
            <w:shd w:val="clear" w:color="auto" w:fill="auto"/>
            <w:vAlign w:val="bottom"/>
          </w:tcPr>
          <w:p w14:paraId="76FA1D05" w14:textId="1B69A470" w:rsidR="00F04730" w:rsidRPr="001D41EA" w:rsidRDefault="00F04730" w:rsidP="001D41EA">
            <w:pPr>
              <w:spacing w:before="40" w:after="20"/>
              <w:jc w:val="right"/>
              <w:rPr>
                <w:rFonts w:cs="Arial"/>
                <w:sz w:val="18"/>
                <w:szCs w:val="18"/>
              </w:rPr>
            </w:pPr>
            <w:r w:rsidRPr="001D41EA">
              <w:rPr>
                <w:rFonts w:cs="Arial"/>
                <w:sz w:val="18"/>
                <w:szCs w:val="18"/>
              </w:rPr>
              <w:t>666,695</w:t>
            </w:r>
          </w:p>
        </w:tc>
        <w:tc>
          <w:tcPr>
            <w:tcW w:w="170" w:type="dxa"/>
            <w:tcBorders>
              <w:top w:val="nil"/>
              <w:left w:val="nil"/>
              <w:bottom w:val="nil"/>
              <w:right w:val="nil"/>
            </w:tcBorders>
            <w:vAlign w:val="bottom"/>
          </w:tcPr>
          <w:p w14:paraId="74383E3A"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2CB82930" w14:textId="3ED62571" w:rsidR="00F04730" w:rsidRPr="001D41EA" w:rsidRDefault="00F04730" w:rsidP="001D41EA">
            <w:pPr>
              <w:spacing w:before="40" w:after="20"/>
              <w:jc w:val="right"/>
              <w:rPr>
                <w:rFonts w:cs="Arial"/>
                <w:sz w:val="18"/>
                <w:szCs w:val="18"/>
              </w:rPr>
            </w:pPr>
            <w:r w:rsidRPr="001D41EA">
              <w:rPr>
                <w:rFonts w:cs="Arial"/>
                <w:sz w:val="18"/>
                <w:szCs w:val="18"/>
              </w:rPr>
              <w:t>-34,023</w:t>
            </w:r>
          </w:p>
        </w:tc>
        <w:tc>
          <w:tcPr>
            <w:tcW w:w="1021" w:type="dxa"/>
            <w:tcBorders>
              <w:top w:val="nil"/>
              <w:left w:val="nil"/>
              <w:bottom w:val="nil"/>
              <w:right w:val="nil"/>
            </w:tcBorders>
            <w:vAlign w:val="bottom"/>
          </w:tcPr>
          <w:p w14:paraId="3010E27E" w14:textId="38674834" w:rsidR="00F04730" w:rsidRPr="001D41EA" w:rsidRDefault="00F04730" w:rsidP="001D41EA">
            <w:pPr>
              <w:spacing w:before="40" w:after="20"/>
              <w:jc w:val="right"/>
              <w:rPr>
                <w:rFonts w:cs="Arial"/>
                <w:sz w:val="18"/>
                <w:szCs w:val="18"/>
              </w:rPr>
            </w:pPr>
            <w:r w:rsidRPr="001D41EA">
              <w:rPr>
                <w:rFonts w:cs="Arial"/>
                <w:sz w:val="18"/>
                <w:szCs w:val="18"/>
              </w:rPr>
              <w:t>-5,130</w:t>
            </w:r>
          </w:p>
        </w:tc>
        <w:tc>
          <w:tcPr>
            <w:tcW w:w="1021" w:type="dxa"/>
            <w:tcBorders>
              <w:top w:val="nil"/>
              <w:left w:val="nil"/>
              <w:bottom w:val="nil"/>
              <w:right w:val="nil"/>
            </w:tcBorders>
            <w:vAlign w:val="bottom"/>
          </w:tcPr>
          <w:p w14:paraId="12CDBD44" w14:textId="6D49B8CC" w:rsidR="00F04730" w:rsidRPr="001D41EA" w:rsidRDefault="00F04730" w:rsidP="001D41EA">
            <w:pPr>
              <w:spacing w:before="40" w:after="20"/>
              <w:jc w:val="right"/>
              <w:rPr>
                <w:rFonts w:cs="Arial"/>
                <w:sz w:val="18"/>
                <w:szCs w:val="18"/>
              </w:rPr>
            </w:pPr>
            <w:r w:rsidRPr="001D41EA">
              <w:rPr>
                <w:rFonts w:cs="Arial"/>
                <w:sz w:val="18"/>
                <w:szCs w:val="18"/>
              </w:rPr>
              <w:t>-39,153</w:t>
            </w:r>
          </w:p>
        </w:tc>
        <w:tc>
          <w:tcPr>
            <w:tcW w:w="1247" w:type="dxa"/>
            <w:tcBorders>
              <w:top w:val="nil"/>
              <w:left w:val="nil"/>
              <w:bottom w:val="nil"/>
              <w:right w:val="nil"/>
            </w:tcBorders>
            <w:shd w:val="clear" w:color="auto" w:fill="auto"/>
            <w:vAlign w:val="bottom"/>
          </w:tcPr>
          <w:p w14:paraId="79E283BC" w14:textId="40435602" w:rsidR="00F04730" w:rsidRPr="001D41EA" w:rsidRDefault="00F04730" w:rsidP="001D41EA">
            <w:pPr>
              <w:spacing w:before="40" w:after="20"/>
              <w:jc w:val="right"/>
              <w:rPr>
                <w:rFonts w:cs="Arial"/>
                <w:b/>
                <w:sz w:val="18"/>
                <w:szCs w:val="18"/>
              </w:rPr>
            </w:pPr>
            <w:r w:rsidRPr="001D41EA">
              <w:rPr>
                <w:rFonts w:cs="Arial"/>
                <w:b/>
                <w:sz w:val="18"/>
                <w:szCs w:val="18"/>
              </w:rPr>
              <w:t>3,888,298</w:t>
            </w:r>
          </w:p>
        </w:tc>
      </w:tr>
      <w:tr w:rsidR="00F04730" w:rsidRPr="001D41EA" w14:paraId="6A7E7D59"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3F9A3DC5" w14:textId="77777777" w:rsidR="00F04730" w:rsidRPr="001D41EA" w:rsidRDefault="00F04730" w:rsidP="001D41EA">
            <w:pPr>
              <w:spacing w:before="40" w:after="20"/>
              <w:rPr>
                <w:rFonts w:cs="Arial"/>
                <w:sz w:val="18"/>
                <w:szCs w:val="18"/>
              </w:rPr>
            </w:pPr>
            <w:r w:rsidRPr="001D41EA">
              <w:rPr>
                <w:rFonts w:cs="Arial"/>
                <w:sz w:val="18"/>
                <w:szCs w:val="18"/>
              </w:rPr>
              <w:t>Wellington S</w:t>
            </w:r>
          </w:p>
        </w:tc>
        <w:tc>
          <w:tcPr>
            <w:tcW w:w="1134" w:type="dxa"/>
            <w:tcBorders>
              <w:top w:val="nil"/>
              <w:left w:val="single" w:sz="18" w:space="0" w:color="5F497A" w:themeColor="accent4" w:themeShade="BF"/>
              <w:bottom w:val="nil"/>
              <w:right w:val="nil"/>
            </w:tcBorders>
            <w:shd w:val="clear" w:color="auto" w:fill="auto"/>
            <w:vAlign w:val="bottom"/>
          </w:tcPr>
          <w:p w14:paraId="1B4073F4" w14:textId="724753C7" w:rsidR="00F04730" w:rsidRPr="001D41EA" w:rsidRDefault="00F04730" w:rsidP="001D41EA">
            <w:pPr>
              <w:spacing w:before="40" w:after="20"/>
              <w:jc w:val="right"/>
              <w:rPr>
                <w:rFonts w:cs="Arial"/>
                <w:sz w:val="18"/>
                <w:szCs w:val="18"/>
              </w:rPr>
            </w:pPr>
            <w:r w:rsidRPr="001D41EA">
              <w:rPr>
                <w:rFonts w:cs="Arial"/>
                <w:sz w:val="18"/>
                <w:szCs w:val="18"/>
              </w:rPr>
              <w:t>9,316,579</w:t>
            </w:r>
          </w:p>
        </w:tc>
        <w:tc>
          <w:tcPr>
            <w:tcW w:w="1134" w:type="dxa"/>
            <w:tcBorders>
              <w:top w:val="nil"/>
              <w:left w:val="nil"/>
              <w:bottom w:val="nil"/>
              <w:right w:val="nil"/>
            </w:tcBorders>
            <w:shd w:val="clear" w:color="auto" w:fill="auto"/>
            <w:vAlign w:val="bottom"/>
          </w:tcPr>
          <w:p w14:paraId="12AD29C4" w14:textId="3565FD51" w:rsidR="00F04730" w:rsidRPr="001D41EA" w:rsidRDefault="00F04730" w:rsidP="001D41EA">
            <w:pPr>
              <w:spacing w:before="40" w:after="20"/>
              <w:jc w:val="right"/>
              <w:rPr>
                <w:rFonts w:cs="Arial"/>
                <w:sz w:val="18"/>
                <w:szCs w:val="18"/>
              </w:rPr>
            </w:pPr>
            <w:r w:rsidRPr="001D41EA">
              <w:rPr>
                <w:rFonts w:cs="Arial"/>
                <w:sz w:val="18"/>
                <w:szCs w:val="18"/>
              </w:rPr>
              <w:t>4,969,414</w:t>
            </w:r>
          </w:p>
        </w:tc>
        <w:tc>
          <w:tcPr>
            <w:tcW w:w="170" w:type="dxa"/>
            <w:tcBorders>
              <w:top w:val="nil"/>
              <w:left w:val="nil"/>
              <w:bottom w:val="nil"/>
              <w:right w:val="nil"/>
            </w:tcBorders>
            <w:vAlign w:val="bottom"/>
          </w:tcPr>
          <w:p w14:paraId="1827FAAE"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50C89AB6" w14:textId="24B3E85D" w:rsidR="00F04730" w:rsidRPr="001D41EA" w:rsidRDefault="00F04730" w:rsidP="001D41EA">
            <w:pPr>
              <w:spacing w:before="40" w:after="20"/>
              <w:jc w:val="right"/>
              <w:rPr>
                <w:rFonts w:cs="Arial"/>
                <w:sz w:val="18"/>
                <w:szCs w:val="18"/>
              </w:rPr>
            </w:pPr>
            <w:r w:rsidRPr="001D41EA">
              <w:rPr>
                <w:rFonts w:cs="Arial"/>
                <w:sz w:val="18"/>
                <w:szCs w:val="18"/>
              </w:rPr>
              <w:t>-96,352</w:t>
            </w:r>
          </w:p>
        </w:tc>
        <w:tc>
          <w:tcPr>
            <w:tcW w:w="1021" w:type="dxa"/>
            <w:tcBorders>
              <w:top w:val="nil"/>
              <w:left w:val="nil"/>
              <w:bottom w:val="nil"/>
              <w:right w:val="nil"/>
            </w:tcBorders>
            <w:vAlign w:val="bottom"/>
          </w:tcPr>
          <w:p w14:paraId="3AE4061E" w14:textId="24E60CC1" w:rsidR="00F04730" w:rsidRPr="001D41EA" w:rsidRDefault="00F04730" w:rsidP="001D41EA">
            <w:pPr>
              <w:spacing w:before="40" w:after="20"/>
              <w:jc w:val="right"/>
              <w:rPr>
                <w:rFonts w:cs="Arial"/>
                <w:sz w:val="18"/>
                <w:szCs w:val="18"/>
              </w:rPr>
            </w:pPr>
            <w:r w:rsidRPr="001D41EA">
              <w:rPr>
                <w:rFonts w:cs="Arial"/>
                <w:sz w:val="18"/>
                <w:szCs w:val="18"/>
              </w:rPr>
              <w:t>-38,098</w:t>
            </w:r>
          </w:p>
        </w:tc>
        <w:tc>
          <w:tcPr>
            <w:tcW w:w="1021" w:type="dxa"/>
            <w:tcBorders>
              <w:top w:val="nil"/>
              <w:left w:val="nil"/>
              <w:bottom w:val="nil"/>
              <w:right w:val="nil"/>
            </w:tcBorders>
            <w:vAlign w:val="bottom"/>
          </w:tcPr>
          <w:p w14:paraId="58CB8A1C" w14:textId="28842134" w:rsidR="00F04730" w:rsidRPr="001D41EA" w:rsidRDefault="00F04730" w:rsidP="001D41EA">
            <w:pPr>
              <w:spacing w:before="40" w:after="20"/>
              <w:jc w:val="right"/>
              <w:rPr>
                <w:rFonts w:cs="Arial"/>
                <w:sz w:val="18"/>
                <w:szCs w:val="18"/>
              </w:rPr>
            </w:pPr>
            <w:r w:rsidRPr="001D41EA">
              <w:rPr>
                <w:rFonts w:cs="Arial"/>
                <w:sz w:val="18"/>
                <w:szCs w:val="18"/>
              </w:rPr>
              <w:t>-134,450</w:t>
            </w:r>
          </w:p>
        </w:tc>
        <w:tc>
          <w:tcPr>
            <w:tcW w:w="1247" w:type="dxa"/>
            <w:tcBorders>
              <w:top w:val="nil"/>
              <w:left w:val="nil"/>
              <w:bottom w:val="nil"/>
              <w:right w:val="nil"/>
            </w:tcBorders>
            <w:shd w:val="clear" w:color="auto" w:fill="auto"/>
            <w:vAlign w:val="bottom"/>
          </w:tcPr>
          <w:p w14:paraId="137E2C84" w14:textId="6FFAA09A" w:rsidR="00F04730" w:rsidRPr="001D41EA" w:rsidRDefault="00F04730" w:rsidP="001D41EA">
            <w:pPr>
              <w:spacing w:before="40" w:after="20"/>
              <w:jc w:val="right"/>
              <w:rPr>
                <w:rFonts w:cs="Arial"/>
                <w:b/>
                <w:sz w:val="18"/>
                <w:szCs w:val="18"/>
              </w:rPr>
            </w:pPr>
            <w:r w:rsidRPr="001D41EA">
              <w:rPr>
                <w:rFonts w:cs="Arial"/>
                <w:b/>
                <w:sz w:val="18"/>
                <w:szCs w:val="18"/>
              </w:rPr>
              <w:t>14,151,543</w:t>
            </w:r>
          </w:p>
        </w:tc>
      </w:tr>
      <w:tr w:rsidR="00F04730" w:rsidRPr="001D41EA" w14:paraId="0B227627"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19B9E6B" w14:textId="77777777" w:rsidR="00F04730" w:rsidRPr="001D41EA" w:rsidRDefault="00F04730" w:rsidP="001D41EA">
            <w:pPr>
              <w:spacing w:before="40" w:after="20"/>
              <w:rPr>
                <w:rFonts w:cs="Arial"/>
                <w:sz w:val="18"/>
                <w:szCs w:val="18"/>
              </w:rPr>
            </w:pPr>
            <w:r w:rsidRPr="001D41EA">
              <w:rPr>
                <w:rFonts w:cs="Arial"/>
                <w:sz w:val="18"/>
                <w:szCs w:val="18"/>
              </w:rPr>
              <w:t>West Wimmera S</w:t>
            </w:r>
          </w:p>
        </w:tc>
        <w:tc>
          <w:tcPr>
            <w:tcW w:w="1134" w:type="dxa"/>
            <w:tcBorders>
              <w:top w:val="nil"/>
              <w:left w:val="single" w:sz="18" w:space="0" w:color="5F497A" w:themeColor="accent4" w:themeShade="BF"/>
              <w:bottom w:val="nil"/>
              <w:right w:val="nil"/>
            </w:tcBorders>
            <w:shd w:val="clear" w:color="auto" w:fill="auto"/>
            <w:vAlign w:val="bottom"/>
          </w:tcPr>
          <w:p w14:paraId="1A19359B" w14:textId="7CF0368B" w:rsidR="00F04730" w:rsidRPr="001D41EA" w:rsidRDefault="00F04730" w:rsidP="001D41EA">
            <w:pPr>
              <w:spacing w:before="40" w:after="20"/>
              <w:jc w:val="right"/>
              <w:rPr>
                <w:rFonts w:cs="Arial"/>
                <w:sz w:val="18"/>
                <w:szCs w:val="18"/>
              </w:rPr>
            </w:pPr>
            <w:r w:rsidRPr="001D41EA">
              <w:rPr>
                <w:rFonts w:cs="Arial"/>
                <w:sz w:val="18"/>
                <w:szCs w:val="18"/>
              </w:rPr>
              <w:t>3,707,133</w:t>
            </w:r>
          </w:p>
        </w:tc>
        <w:tc>
          <w:tcPr>
            <w:tcW w:w="1134" w:type="dxa"/>
            <w:tcBorders>
              <w:top w:val="nil"/>
              <w:left w:val="nil"/>
              <w:bottom w:val="nil"/>
              <w:right w:val="nil"/>
            </w:tcBorders>
            <w:shd w:val="clear" w:color="auto" w:fill="auto"/>
            <w:vAlign w:val="bottom"/>
          </w:tcPr>
          <w:p w14:paraId="542A40C4" w14:textId="2669636A" w:rsidR="00F04730" w:rsidRPr="001D41EA" w:rsidRDefault="00F04730" w:rsidP="001D41EA">
            <w:pPr>
              <w:spacing w:before="40" w:after="20"/>
              <w:jc w:val="right"/>
              <w:rPr>
                <w:rFonts w:cs="Arial"/>
                <w:sz w:val="18"/>
                <w:szCs w:val="18"/>
              </w:rPr>
            </w:pPr>
            <w:r w:rsidRPr="001D41EA">
              <w:rPr>
                <w:rFonts w:cs="Arial"/>
                <w:sz w:val="18"/>
                <w:szCs w:val="18"/>
              </w:rPr>
              <w:t>2,403,411</w:t>
            </w:r>
          </w:p>
        </w:tc>
        <w:tc>
          <w:tcPr>
            <w:tcW w:w="170" w:type="dxa"/>
            <w:tcBorders>
              <w:top w:val="nil"/>
              <w:left w:val="nil"/>
              <w:bottom w:val="nil"/>
              <w:right w:val="nil"/>
            </w:tcBorders>
            <w:vAlign w:val="bottom"/>
          </w:tcPr>
          <w:p w14:paraId="740387A6"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4677F373" w14:textId="3417A928" w:rsidR="00F04730" w:rsidRPr="001D41EA" w:rsidRDefault="00F04730" w:rsidP="001D41EA">
            <w:pPr>
              <w:spacing w:before="40" w:after="20"/>
              <w:jc w:val="right"/>
              <w:rPr>
                <w:rFonts w:cs="Arial"/>
                <w:sz w:val="18"/>
                <w:szCs w:val="18"/>
              </w:rPr>
            </w:pPr>
            <w:r w:rsidRPr="001D41EA">
              <w:rPr>
                <w:rFonts w:cs="Arial"/>
                <w:sz w:val="18"/>
                <w:szCs w:val="18"/>
              </w:rPr>
              <w:t>-34,979</w:t>
            </w:r>
          </w:p>
        </w:tc>
        <w:tc>
          <w:tcPr>
            <w:tcW w:w="1021" w:type="dxa"/>
            <w:tcBorders>
              <w:top w:val="nil"/>
              <w:left w:val="nil"/>
              <w:bottom w:val="nil"/>
              <w:right w:val="nil"/>
            </w:tcBorders>
            <w:vAlign w:val="bottom"/>
          </w:tcPr>
          <w:p w14:paraId="02C35E45" w14:textId="0AC14099" w:rsidR="00F04730" w:rsidRPr="001D41EA" w:rsidRDefault="00F04730" w:rsidP="001D41EA">
            <w:pPr>
              <w:spacing w:before="40" w:after="20"/>
              <w:jc w:val="right"/>
              <w:rPr>
                <w:rFonts w:cs="Arial"/>
                <w:sz w:val="18"/>
                <w:szCs w:val="18"/>
              </w:rPr>
            </w:pPr>
            <w:r w:rsidRPr="001D41EA">
              <w:rPr>
                <w:rFonts w:cs="Arial"/>
                <w:sz w:val="18"/>
                <w:szCs w:val="18"/>
              </w:rPr>
              <w:t>-18,442</w:t>
            </w:r>
          </w:p>
        </w:tc>
        <w:tc>
          <w:tcPr>
            <w:tcW w:w="1021" w:type="dxa"/>
            <w:tcBorders>
              <w:top w:val="nil"/>
              <w:left w:val="nil"/>
              <w:bottom w:val="nil"/>
              <w:right w:val="nil"/>
            </w:tcBorders>
            <w:vAlign w:val="bottom"/>
          </w:tcPr>
          <w:p w14:paraId="1C04283A" w14:textId="32D7D1A0" w:rsidR="00F04730" w:rsidRPr="001D41EA" w:rsidRDefault="00F04730" w:rsidP="001D41EA">
            <w:pPr>
              <w:spacing w:before="40" w:after="20"/>
              <w:jc w:val="right"/>
              <w:rPr>
                <w:rFonts w:cs="Arial"/>
                <w:sz w:val="18"/>
                <w:szCs w:val="18"/>
              </w:rPr>
            </w:pPr>
            <w:r w:rsidRPr="001D41EA">
              <w:rPr>
                <w:rFonts w:cs="Arial"/>
                <w:sz w:val="18"/>
                <w:szCs w:val="18"/>
              </w:rPr>
              <w:t>-53,421</w:t>
            </w:r>
          </w:p>
        </w:tc>
        <w:tc>
          <w:tcPr>
            <w:tcW w:w="1247" w:type="dxa"/>
            <w:tcBorders>
              <w:top w:val="nil"/>
              <w:left w:val="nil"/>
              <w:bottom w:val="nil"/>
              <w:right w:val="nil"/>
            </w:tcBorders>
            <w:shd w:val="clear" w:color="auto" w:fill="auto"/>
            <w:vAlign w:val="bottom"/>
          </w:tcPr>
          <w:p w14:paraId="66880486" w14:textId="1C91A8C4" w:rsidR="00F04730" w:rsidRPr="001D41EA" w:rsidRDefault="00F04730" w:rsidP="001D41EA">
            <w:pPr>
              <w:spacing w:before="40" w:after="20"/>
              <w:jc w:val="right"/>
              <w:rPr>
                <w:rFonts w:cs="Arial"/>
                <w:b/>
                <w:sz w:val="18"/>
                <w:szCs w:val="18"/>
              </w:rPr>
            </w:pPr>
            <w:r w:rsidRPr="001D41EA">
              <w:rPr>
                <w:rFonts w:cs="Arial"/>
                <w:b/>
                <w:sz w:val="18"/>
                <w:szCs w:val="18"/>
              </w:rPr>
              <w:t>6,057,123</w:t>
            </w:r>
          </w:p>
        </w:tc>
      </w:tr>
      <w:tr w:rsidR="00F04730" w:rsidRPr="001D41EA" w14:paraId="089E31FE"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41B781B" w14:textId="77777777" w:rsidR="00F04730" w:rsidRPr="001D41EA" w:rsidRDefault="00F04730" w:rsidP="001D41EA">
            <w:pPr>
              <w:spacing w:before="40" w:after="20"/>
              <w:rPr>
                <w:rFonts w:cs="Arial"/>
                <w:sz w:val="18"/>
                <w:szCs w:val="18"/>
              </w:rPr>
            </w:pPr>
            <w:r w:rsidRPr="001D41EA">
              <w:rPr>
                <w:rFonts w:cs="Arial"/>
                <w:sz w:val="18"/>
                <w:szCs w:val="18"/>
              </w:rPr>
              <w:t>Whitehorse C</w:t>
            </w:r>
          </w:p>
        </w:tc>
        <w:tc>
          <w:tcPr>
            <w:tcW w:w="1134" w:type="dxa"/>
            <w:tcBorders>
              <w:top w:val="nil"/>
              <w:left w:val="single" w:sz="18" w:space="0" w:color="5F497A" w:themeColor="accent4" w:themeShade="BF"/>
              <w:bottom w:val="nil"/>
              <w:right w:val="nil"/>
            </w:tcBorders>
            <w:shd w:val="clear" w:color="auto" w:fill="auto"/>
            <w:vAlign w:val="bottom"/>
          </w:tcPr>
          <w:p w14:paraId="6CDB77A7" w14:textId="1B041F2D" w:rsidR="00F04730" w:rsidRPr="001D41EA" w:rsidRDefault="00F04730" w:rsidP="001D41EA">
            <w:pPr>
              <w:spacing w:before="40" w:after="20"/>
              <w:jc w:val="right"/>
              <w:rPr>
                <w:rFonts w:cs="Arial"/>
                <w:sz w:val="18"/>
                <w:szCs w:val="18"/>
              </w:rPr>
            </w:pPr>
            <w:r w:rsidRPr="001D41EA">
              <w:rPr>
                <w:rFonts w:cs="Arial"/>
                <w:sz w:val="18"/>
                <w:szCs w:val="18"/>
              </w:rPr>
              <w:t>3,727,420</w:t>
            </w:r>
          </w:p>
        </w:tc>
        <w:tc>
          <w:tcPr>
            <w:tcW w:w="1134" w:type="dxa"/>
            <w:tcBorders>
              <w:top w:val="nil"/>
              <w:left w:val="nil"/>
              <w:bottom w:val="nil"/>
              <w:right w:val="nil"/>
            </w:tcBorders>
            <w:shd w:val="clear" w:color="auto" w:fill="auto"/>
            <w:vAlign w:val="bottom"/>
          </w:tcPr>
          <w:p w14:paraId="3A8A2553" w14:textId="082CCF21" w:rsidR="00F04730" w:rsidRPr="001D41EA" w:rsidRDefault="00F04730" w:rsidP="001D41EA">
            <w:pPr>
              <w:spacing w:before="40" w:after="20"/>
              <w:jc w:val="right"/>
              <w:rPr>
                <w:rFonts w:cs="Arial"/>
                <w:sz w:val="18"/>
                <w:szCs w:val="18"/>
              </w:rPr>
            </w:pPr>
            <w:r w:rsidRPr="001D41EA">
              <w:rPr>
                <w:rFonts w:cs="Arial"/>
                <w:sz w:val="18"/>
                <w:szCs w:val="18"/>
              </w:rPr>
              <w:t>1,056,965</w:t>
            </w:r>
          </w:p>
        </w:tc>
        <w:tc>
          <w:tcPr>
            <w:tcW w:w="170" w:type="dxa"/>
            <w:tcBorders>
              <w:top w:val="nil"/>
              <w:left w:val="nil"/>
              <w:bottom w:val="nil"/>
              <w:right w:val="nil"/>
            </w:tcBorders>
            <w:vAlign w:val="bottom"/>
          </w:tcPr>
          <w:p w14:paraId="60C6AB1B"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409F0F5D" w14:textId="3A12C6EE" w:rsidR="00F04730" w:rsidRPr="001D41EA" w:rsidRDefault="00F04730" w:rsidP="001D41EA">
            <w:pPr>
              <w:spacing w:before="40" w:after="20"/>
              <w:jc w:val="right"/>
              <w:rPr>
                <w:rFonts w:cs="Arial"/>
                <w:sz w:val="18"/>
                <w:szCs w:val="18"/>
              </w:rPr>
            </w:pPr>
            <w:r w:rsidRPr="001D41EA">
              <w:rPr>
                <w:rFonts w:cs="Arial"/>
                <w:sz w:val="18"/>
                <w:szCs w:val="18"/>
              </w:rPr>
              <w:t>-39,387</w:t>
            </w:r>
          </w:p>
        </w:tc>
        <w:tc>
          <w:tcPr>
            <w:tcW w:w="1021" w:type="dxa"/>
            <w:tcBorders>
              <w:top w:val="nil"/>
              <w:left w:val="nil"/>
              <w:bottom w:val="nil"/>
              <w:right w:val="nil"/>
            </w:tcBorders>
            <w:vAlign w:val="bottom"/>
          </w:tcPr>
          <w:p w14:paraId="311D337C" w14:textId="7D667D29" w:rsidR="00F04730" w:rsidRPr="001D41EA" w:rsidRDefault="00F04730" w:rsidP="001D41EA">
            <w:pPr>
              <w:spacing w:before="40" w:after="20"/>
              <w:jc w:val="right"/>
              <w:rPr>
                <w:rFonts w:cs="Arial"/>
                <w:sz w:val="18"/>
                <w:szCs w:val="18"/>
              </w:rPr>
            </w:pPr>
            <w:r w:rsidRPr="001D41EA">
              <w:rPr>
                <w:rFonts w:cs="Arial"/>
                <w:sz w:val="18"/>
                <w:szCs w:val="18"/>
              </w:rPr>
              <w:t>-8,104</w:t>
            </w:r>
          </w:p>
        </w:tc>
        <w:tc>
          <w:tcPr>
            <w:tcW w:w="1021" w:type="dxa"/>
            <w:tcBorders>
              <w:top w:val="nil"/>
              <w:left w:val="nil"/>
              <w:bottom w:val="nil"/>
              <w:right w:val="nil"/>
            </w:tcBorders>
            <w:vAlign w:val="bottom"/>
          </w:tcPr>
          <w:p w14:paraId="484CE793" w14:textId="5FDC92E4" w:rsidR="00F04730" w:rsidRPr="001D41EA" w:rsidRDefault="00F04730" w:rsidP="001D41EA">
            <w:pPr>
              <w:spacing w:before="40" w:after="20"/>
              <w:jc w:val="right"/>
              <w:rPr>
                <w:rFonts w:cs="Arial"/>
                <w:sz w:val="18"/>
                <w:szCs w:val="18"/>
              </w:rPr>
            </w:pPr>
            <w:r w:rsidRPr="001D41EA">
              <w:rPr>
                <w:rFonts w:cs="Arial"/>
                <w:sz w:val="18"/>
                <w:szCs w:val="18"/>
              </w:rPr>
              <w:t>-47,491</w:t>
            </w:r>
          </w:p>
        </w:tc>
        <w:tc>
          <w:tcPr>
            <w:tcW w:w="1247" w:type="dxa"/>
            <w:tcBorders>
              <w:top w:val="nil"/>
              <w:left w:val="nil"/>
              <w:bottom w:val="nil"/>
              <w:right w:val="nil"/>
            </w:tcBorders>
            <w:shd w:val="clear" w:color="auto" w:fill="auto"/>
            <w:vAlign w:val="bottom"/>
          </w:tcPr>
          <w:p w14:paraId="495CCFD6" w14:textId="2BFC1E8E" w:rsidR="00F04730" w:rsidRPr="001D41EA" w:rsidRDefault="00F04730" w:rsidP="001D41EA">
            <w:pPr>
              <w:spacing w:before="40" w:after="20"/>
              <w:jc w:val="right"/>
              <w:rPr>
                <w:rFonts w:cs="Arial"/>
                <w:b/>
                <w:sz w:val="18"/>
                <w:szCs w:val="18"/>
              </w:rPr>
            </w:pPr>
            <w:r w:rsidRPr="001D41EA">
              <w:rPr>
                <w:rFonts w:cs="Arial"/>
                <w:b/>
                <w:sz w:val="18"/>
                <w:szCs w:val="18"/>
              </w:rPr>
              <w:t>4,736,894</w:t>
            </w:r>
          </w:p>
        </w:tc>
      </w:tr>
      <w:tr w:rsidR="00F04730" w:rsidRPr="001D41EA" w14:paraId="7A029AB5"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37F08A4E" w14:textId="77777777" w:rsidR="00F04730" w:rsidRPr="001D41EA" w:rsidRDefault="00F04730" w:rsidP="001D41EA">
            <w:pPr>
              <w:spacing w:before="40" w:after="20"/>
              <w:rPr>
                <w:rFonts w:cs="Arial"/>
                <w:sz w:val="18"/>
                <w:szCs w:val="18"/>
              </w:rPr>
            </w:pPr>
            <w:r w:rsidRPr="001D41EA">
              <w:rPr>
                <w:rFonts w:cs="Arial"/>
                <w:sz w:val="18"/>
                <w:szCs w:val="18"/>
              </w:rPr>
              <w:t>Whittlesea C</w:t>
            </w:r>
          </w:p>
        </w:tc>
        <w:tc>
          <w:tcPr>
            <w:tcW w:w="1134" w:type="dxa"/>
            <w:tcBorders>
              <w:top w:val="nil"/>
              <w:left w:val="single" w:sz="18" w:space="0" w:color="5F497A" w:themeColor="accent4" w:themeShade="BF"/>
              <w:bottom w:val="nil"/>
              <w:right w:val="nil"/>
            </w:tcBorders>
            <w:shd w:val="clear" w:color="auto" w:fill="auto"/>
            <w:vAlign w:val="bottom"/>
          </w:tcPr>
          <w:p w14:paraId="21F6B28C" w14:textId="022CEC61" w:rsidR="00F04730" w:rsidRPr="001D41EA" w:rsidRDefault="00F04730" w:rsidP="001D41EA">
            <w:pPr>
              <w:spacing w:before="40" w:after="20"/>
              <w:jc w:val="right"/>
              <w:rPr>
                <w:rFonts w:cs="Arial"/>
                <w:sz w:val="18"/>
                <w:szCs w:val="18"/>
              </w:rPr>
            </w:pPr>
            <w:r w:rsidRPr="001D41EA">
              <w:rPr>
                <w:rFonts w:cs="Arial"/>
                <w:sz w:val="18"/>
                <w:szCs w:val="18"/>
              </w:rPr>
              <w:t>12,672,400</w:t>
            </w:r>
          </w:p>
        </w:tc>
        <w:tc>
          <w:tcPr>
            <w:tcW w:w="1134" w:type="dxa"/>
            <w:tcBorders>
              <w:top w:val="nil"/>
              <w:left w:val="nil"/>
              <w:bottom w:val="nil"/>
              <w:right w:val="nil"/>
            </w:tcBorders>
            <w:shd w:val="clear" w:color="auto" w:fill="auto"/>
            <w:vAlign w:val="bottom"/>
          </w:tcPr>
          <w:p w14:paraId="102C6108" w14:textId="107500F6" w:rsidR="00F04730" w:rsidRPr="001D41EA" w:rsidRDefault="00F04730" w:rsidP="001D41EA">
            <w:pPr>
              <w:spacing w:before="40" w:after="20"/>
              <w:jc w:val="right"/>
              <w:rPr>
                <w:rFonts w:cs="Arial"/>
                <w:sz w:val="18"/>
                <w:szCs w:val="18"/>
              </w:rPr>
            </w:pPr>
            <w:r w:rsidRPr="001D41EA">
              <w:rPr>
                <w:rFonts w:cs="Arial"/>
                <w:sz w:val="18"/>
                <w:szCs w:val="18"/>
              </w:rPr>
              <w:t>2,219,893</w:t>
            </w:r>
          </w:p>
        </w:tc>
        <w:tc>
          <w:tcPr>
            <w:tcW w:w="170" w:type="dxa"/>
            <w:tcBorders>
              <w:top w:val="nil"/>
              <w:left w:val="nil"/>
              <w:bottom w:val="nil"/>
              <w:right w:val="nil"/>
            </w:tcBorders>
            <w:vAlign w:val="bottom"/>
          </w:tcPr>
          <w:p w14:paraId="11931DEA"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53EF61B7" w14:textId="73B287ED" w:rsidR="00F04730" w:rsidRPr="001D41EA" w:rsidRDefault="00F04730" w:rsidP="001D41EA">
            <w:pPr>
              <w:spacing w:before="40" w:after="20"/>
              <w:jc w:val="right"/>
              <w:rPr>
                <w:rFonts w:cs="Arial"/>
                <w:sz w:val="18"/>
                <w:szCs w:val="18"/>
              </w:rPr>
            </w:pPr>
            <w:r w:rsidRPr="001D41EA">
              <w:rPr>
                <w:rFonts w:cs="Arial"/>
                <w:sz w:val="18"/>
                <w:szCs w:val="18"/>
              </w:rPr>
              <w:t>-138,235</w:t>
            </w:r>
          </w:p>
        </w:tc>
        <w:tc>
          <w:tcPr>
            <w:tcW w:w="1021" w:type="dxa"/>
            <w:tcBorders>
              <w:top w:val="nil"/>
              <w:left w:val="nil"/>
              <w:bottom w:val="nil"/>
              <w:right w:val="nil"/>
            </w:tcBorders>
            <w:vAlign w:val="bottom"/>
          </w:tcPr>
          <w:p w14:paraId="21847CCE" w14:textId="23158689" w:rsidR="00F04730" w:rsidRPr="001D41EA" w:rsidRDefault="00F04730" w:rsidP="001D41EA">
            <w:pPr>
              <w:spacing w:before="40" w:after="20"/>
              <w:jc w:val="right"/>
              <w:rPr>
                <w:rFonts w:cs="Arial"/>
                <w:sz w:val="18"/>
                <w:szCs w:val="18"/>
              </w:rPr>
            </w:pPr>
            <w:r w:rsidRPr="001D41EA">
              <w:rPr>
                <w:rFonts w:cs="Arial"/>
                <w:sz w:val="18"/>
                <w:szCs w:val="18"/>
              </w:rPr>
              <w:t>-17,107</w:t>
            </w:r>
          </w:p>
        </w:tc>
        <w:tc>
          <w:tcPr>
            <w:tcW w:w="1021" w:type="dxa"/>
            <w:tcBorders>
              <w:top w:val="nil"/>
              <w:left w:val="nil"/>
              <w:bottom w:val="nil"/>
              <w:right w:val="nil"/>
            </w:tcBorders>
            <w:vAlign w:val="bottom"/>
          </w:tcPr>
          <w:p w14:paraId="72B49DB6" w14:textId="0BD6FDEE" w:rsidR="00F04730" w:rsidRPr="001D41EA" w:rsidRDefault="00F04730" w:rsidP="001D41EA">
            <w:pPr>
              <w:spacing w:before="40" w:after="20"/>
              <w:jc w:val="right"/>
              <w:rPr>
                <w:rFonts w:cs="Arial"/>
                <w:sz w:val="18"/>
                <w:szCs w:val="18"/>
              </w:rPr>
            </w:pPr>
            <w:r w:rsidRPr="001D41EA">
              <w:rPr>
                <w:rFonts w:cs="Arial"/>
                <w:sz w:val="18"/>
                <w:szCs w:val="18"/>
              </w:rPr>
              <w:t>-155,342</w:t>
            </w:r>
          </w:p>
        </w:tc>
        <w:tc>
          <w:tcPr>
            <w:tcW w:w="1247" w:type="dxa"/>
            <w:tcBorders>
              <w:top w:val="nil"/>
              <w:left w:val="nil"/>
              <w:bottom w:val="nil"/>
              <w:right w:val="nil"/>
            </w:tcBorders>
            <w:shd w:val="clear" w:color="auto" w:fill="auto"/>
            <w:vAlign w:val="bottom"/>
          </w:tcPr>
          <w:p w14:paraId="161335C6" w14:textId="51D843DD" w:rsidR="00F04730" w:rsidRPr="001D41EA" w:rsidRDefault="00F04730" w:rsidP="001D41EA">
            <w:pPr>
              <w:spacing w:before="40" w:after="20"/>
              <w:jc w:val="right"/>
              <w:rPr>
                <w:rFonts w:cs="Arial"/>
                <w:b/>
                <w:sz w:val="18"/>
                <w:szCs w:val="18"/>
              </w:rPr>
            </w:pPr>
            <w:r w:rsidRPr="001D41EA">
              <w:rPr>
                <w:rFonts w:cs="Arial"/>
                <w:b/>
                <w:sz w:val="18"/>
                <w:szCs w:val="18"/>
              </w:rPr>
              <w:t>14,736,951</w:t>
            </w:r>
          </w:p>
        </w:tc>
      </w:tr>
      <w:tr w:rsidR="00F04730" w:rsidRPr="001D41EA" w14:paraId="1C00CCEA"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0F61148" w14:textId="77777777" w:rsidR="00F04730" w:rsidRPr="001D41EA" w:rsidRDefault="00F04730" w:rsidP="001D41EA">
            <w:pPr>
              <w:spacing w:before="40" w:after="20"/>
              <w:rPr>
                <w:rFonts w:cs="Arial"/>
                <w:sz w:val="18"/>
                <w:szCs w:val="18"/>
              </w:rPr>
            </w:pPr>
            <w:r w:rsidRPr="001D41EA">
              <w:rPr>
                <w:rFonts w:cs="Arial"/>
                <w:sz w:val="18"/>
                <w:szCs w:val="18"/>
              </w:rPr>
              <w:t>Wodonga C</w:t>
            </w:r>
          </w:p>
        </w:tc>
        <w:tc>
          <w:tcPr>
            <w:tcW w:w="1134" w:type="dxa"/>
            <w:tcBorders>
              <w:top w:val="nil"/>
              <w:left w:val="single" w:sz="18" w:space="0" w:color="5F497A" w:themeColor="accent4" w:themeShade="BF"/>
              <w:bottom w:val="nil"/>
              <w:right w:val="nil"/>
            </w:tcBorders>
            <w:shd w:val="clear" w:color="auto" w:fill="auto"/>
            <w:vAlign w:val="bottom"/>
          </w:tcPr>
          <w:p w14:paraId="0B01D6FE" w14:textId="70B05C29" w:rsidR="00F04730" w:rsidRPr="001D41EA" w:rsidRDefault="00F04730" w:rsidP="001D41EA">
            <w:pPr>
              <w:spacing w:before="40" w:after="20"/>
              <w:jc w:val="right"/>
              <w:rPr>
                <w:rFonts w:cs="Arial"/>
                <w:sz w:val="18"/>
                <w:szCs w:val="18"/>
              </w:rPr>
            </w:pPr>
            <w:r w:rsidRPr="001D41EA">
              <w:rPr>
                <w:rFonts w:cs="Arial"/>
                <w:sz w:val="18"/>
                <w:szCs w:val="18"/>
              </w:rPr>
              <w:t>4,452,464</w:t>
            </w:r>
          </w:p>
        </w:tc>
        <w:tc>
          <w:tcPr>
            <w:tcW w:w="1134" w:type="dxa"/>
            <w:tcBorders>
              <w:top w:val="nil"/>
              <w:left w:val="nil"/>
              <w:bottom w:val="nil"/>
              <w:right w:val="nil"/>
            </w:tcBorders>
            <w:shd w:val="clear" w:color="auto" w:fill="auto"/>
            <w:vAlign w:val="bottom"/>
          </w:tcPr>
          <w:p w14:paraId="60A18DF6" w14:textId="38CC79CB" w:rsidR="00F04730" w:rsidRPr="001D41EA" w:rsidRDefault="00F04730" w:rsidP="001D41EA">
            <w:pPr>
              <w:spacing w:before="40" w:after="20"/>
              <w:jc w:val="right"/>
              <w:rPr>
                <w:rFonts w:cs="Arial"/>
                <w:sz w:val="18"/>
                <w:szCs w:val="18"/>
              </w:rPr>
            </w:pPr>
            <w:r w:rsidRPr="001D41EA">
              <w:rPr>
                <w:rFonts w:cs="Arial"/>
                <w:sz w:val="18"/>
                <w:szCs w:val="18"/>
              </w:rPr>
              <w:t>776,119</w:t>
            </w:r>
          </w:p>
        </w:tc>
        <w:tc>
          <w:tcPr>
            <w:tcW w:w="170" w:type="dxa"/>
            <w:tcBorders>
              <w:top w:val="nil"/>
              <w:left w:val="nil"/>
              <w:bottom w:val="nil"/>
              <w:right w:val="nil"/>
            </w:tcBorders>
            <w:vAlign w:val="bottom"/>
          </w:tcPr>
          <w:p w14:paraId="30CFFF58"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368398CE" w14:textId="176945FA" w:rsidR="00F04730" w:rsidRPr="001D41EA" w:rsidRDefault="00F04730" w:rsidP="001D41EA">
            <w:pPr>
              <w:spacing w:before="40" w:after="20"/>
              <w:jc w:val="right"/>
              <w:rPr>
                <w:rFonts w:cs="Arial"/>
                <w:sz w:val="18"/>
                <w:szCs w:val="18"/>
              </w:rPr>
            </w:pPr>
            <w:r w:rsidRPr="001D41EA">
              <w:rPr>
                <w:rFonts w:cs="Arial"/>
                <w:sz w:val="18"/>
                <w:szCs w:val="18"/>
              </w:rPr>
              <w:t>-47,432</w:t>
            </w:r>
          </w:p>
        </w:tc>
        <w:tc>
          <w:tcPr>
            <w:tcW w:w="1021" w:type="dxa"/>
            <w:tcBorders>
              <w:top w:val="nil"/>
              <w:left w:val="nil"/>
              <w:bottom w:val="nil"/>
              <w:right w:val="nil"/>
            </w:tcBorders>
            <w:vAlign w:val="bottom"/>
          </w:tcPr>
          <w:p w14:paraId="7189D566" w14:textId="3CAE4A82" w:rsidR="00F04730" w:rsidRPr="001D41EA" w:rsidRDefault="00F04730" w:rsidP="001D41EA">
            <w:pPr>
              <w:spacing w:before="40" w:after="20"/>
              <w:jc w:val="right"/>
              <w:rPr>
                <w:rFonts w:cs="Arial"/>
                <w:sz w:val="18"/>
                <w:szCs w:val="18"/>
              </w:rPr>
            </w:pPr>
            <w:r w:rsidRPr="001D41EA">
              <w:rPr>
                <w:rFonts w:cs="Arial"/>
                <w:sz w:val="18"/>
                <w:szCs w:val="18"/>
              </w:rPr>
              <w:t>-6,531</w:t>
            </w:r>
          </w:p>
        </w:tc>
        <w:tc>
          <w:tcPr>
            <w:tcW w:w="1021" w:type="dxa"/>
            <w:tcBorders>
              <w:top w:val="nil"/>
              <w:left w:val="nil"/>
              <w:bottom w:val="nil"/>
              <w:right w:val="nil"/>
            </w:tcBorders>
            <w:vAlign w:val="bottom"/>
          </w:tcPr>
          <w:p w14:paraId="4FCC9D98" w14:textId="056D2A08" w:rsidR="00F04730" w:rsidRPr="001D41EA" w:rsidRDefault="00F04730" w:rsidP="001D41EA">
            <w:pPr>
              <w:spacing w:before="40" w:after="20"/>
              <w:jc w:val="right"/>
              <w:rPr>
                <w:rFonts w:cs="Arial"/>
                <w:sz w:val="18"/>
                <w:szCs w:val="18"/>
              </w:rPr>
            </w:pPr>
            <w:r w:rsidRPr="001D41EA">
              <w:rPr>
                <w:rFonts w:cs="Arial"/>
                <w:sz w:val="18"/>
                <w:szCs w:val="18"/>
              </w:rPr>
              <w:t>-53,963</w:t>
            </w:r>
          </w:p>
        </w:tc>
        <w:tc>
          <w:tcPr>
            <w:tcW w:w="1247" w:type="dxa"/>
            <w:tcBorders>
              <w:top w:val="nil"/>
              <w:left w:val="nil"/>
              <w:bottom w:val="nil"/>
              <w:right w:val="nil"/>
            </w:tcBorders>
            <w:shd w:val="clear" w:color="auto" w:fill="auto"/>
            <w:vAlign w:val="bottom"/>
          </w:tcPr>
          <w:p w14:paraId="77C6ADA7" w14:textId="47F22F5A" w:rsidR="00F04730" w:rsidRPr="001D41EA" w:rsidRDefault="00F04730" w:rsidP="001D41EA">
            <w:pPr>
              <w:spacing w:before="40" w:after="20"/>
              <w:jc w:val="right"/>
              <w:rPr>
                <w:rFonts w:cs="Arial"/>
                <w:b/>
                <w:sz w:val="18"/>
                <w:szCs w:val="18"/>
              </w:rPr>
            </w:pPr>
            <w:r w:rsidRPr="001D41EA">
              <w:rPr>
                <w:rFonts w:cs="Arial"/>
                <w:b/>
                <w:sz w:val="18"/>
                <w:szCs w:val="18"/>
              </w:rPr>
              <w:t>5,174,620</w:t>
            </w:r>
          </w:p>
        </w:tc>
      </w:tr>
      <w:tr w:rsidR="00F04730" w:rsidRPr="001D41EA" w14:paraId="4CCDC3E1"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5C2008D" w14:textId="77777777" w:rsidR="00F04730" w:rsidRPr="001D41EA" w:rsidRDefault="00F04730" w:rsidP="001D41EA">
            <w:pPr>
              <w:spacing w:before="40" w:after="20"/>
              <w:rPr>
                <w:rFonts w:cs="Arial"/>
                <w:sz w:val="18"/>
                <w:szCs w:val="18"/>
              </w:rPr>
            </w:pPr>
            <w:r w:rsidRPr="001D41EA">
              <w:rPr>
                <w:rFonts w:cs="Arial"/>
                <w:sz w:val="18"/>
                <w:szCs w:val="18"/>
              </w:rPr>
              <w:t>Wyndham C</w:t>
            </w:r>
          </w:p>
        </w:tc>
        <w:tc>
          <w:tcPr>
            <w:tcW w:w="1134" w:type="dxa"/>
            <w:tcBorders>
              <w:top w:val="nil"/>
              <w:left w:val="single" w:sz="18" w:space="0" w:color="5F497A" w:themeColor="accent4" w:themeShade="BF"/>
              <w:bottom w:val="nil"/>
              <w:right w:val="nil"/>
            </w:tcBorders>
            <w:shd w:val="clear" w:color="auto" w:fill="auto"/>
            <w:vAlign w:val="bottom"/>
          </w:tcPr>
          <w:p w14:paraId="5E9C0F5E" w14:textId="310F5D3F" w:rsidR="00F04730" w:rsidRPr="001D41EA" w:rsidRDefault="00F04730" w:rsidP="001D41EA">
            <w:pPr>
              <w:spacing w:before="40" w:after="20"/>
              <w:jc w:val="right"/>
              <w:rPr>
                <w:rFonts w:cs="Arial"/>
                <w:sz w:val="18"/>
                <w:szCs w:val="18"/>
              </w:rPr>
            </w:pPr>
            <w:r w:rsidRPr="001D41EA">
              <w:rPr>
                <w:rFonts w:cs="Arial"/>
                <w:sz w:val="18"/>
                <w:szCs w:val="18"/>
              </w:rPr>
              <w:t>15,922,350</w:t>
            </w:r>
          </w:p>
        </w:tc>
        <w:tc>
          <w:tcPr>
            <w:tcW w:w="1134" w:type="dxa"/>
            <w:tcBorders>
              <w:top w:val="nil"/>
              <w:left w:val="nil"/>
              <w:bottom w:val="nil"/>
              <w:right w:val="nil"/>
            </w:tcBorders>
            <w:shd w:val="clear" w:color="auto" w:fill="auto"/>
            <w:vAlign w:val="bottom"/>
          </w:tcPr>
          <w:p w14:paraId="24066370" w14:textId="357913A7" w:rsidR="00F04730" w:rsidRPr="001D41EA" w:rsidRDefault="00F04730" w:rsidP="001D41EA">
            <w:pPr>
              <w:spacing w:before="40" w:after="20"/>
              <w:jc w:val="right"/>
              <w:rPr>
                <w:rFonts w:cs="Arial"/>
                <w:sz w:val="18"/>
                <w:szCs w:val="18"/>
              </w:rPr>
            </w:pPr>
            <w:r w:rsidRPr="001D41EA">
              <w:rPr>
                <w:rFonts w:cs="Arial"/>
                <w:sz w:val="18"/>
                <w:szCs w:val="18"/>
              </w:rPr>
              <w:t>2,475,532</w:t>
            </w:r>
          </w:p>
        </w:tc>
        <w:tc>
          <w:tcPr>
            <w:tcW w:w="170" w:type="dxa"/>
            <w:tcBorders>
              <w:top w:val="nil"/>
              <w:left w:val="nil"/>
              <w:bottom w:val="nil"/>
              <w:right w:val="nil"/>
            </w:tcBorders>
            <w:vAlign w:val="bottom"/>
          </w:tcPr>
          <w:p w14:paraId="242194CF"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375689DD" w14:textId="00F3B860" w:rsidR="00F04730" w:rsidRPr="001D41EA" w:rsidRDefault="00F04730" w:rsidP="001D41EA">
            <w:pPr>
              <w:spacing w:before="40" w:after="20"/>
              <w:jc w:val="right"/>
              <w:rPr>
                <w:rFonts w:cs="Arial"/>
                <w:sz w:val="18"/>
                <w:szCs w:val="18"/>
              </w:rPr>
            </w:pPr>
            <w:r w:rsidRPr="001D41EA">
              <w:rPr>
                <w:rFonts w:cs="Arial"/>
                <w:sz w:val="18"/>
                <w:szCs w:val="18"/>
              </w:rPr>
              <w:t>-170,704</w:t>
            </w:r>
          </w:p>
        </w:tc>
        <w:tc>
          <w:tcPr>
            <w:tcW w:w="1021" w:type="dxa"/>
            <w:tcBorders>
              <w:top w:val="nil"/>
              <w:left w:val="nil"/>
              <w:bottom w:val="nil"/>
              <w:right w:val="nil"/>
            </w:tcBorders>
            <w:vAlign w:val="bottom"/>
          </w:tcPr>
          <w:p w14:paraId="0DF3B3C3" w14:textId="20F4F206" w:rsidR="00F04730" w:rsidRPr="001D41EA" w:rsidRDefault="00F04730" w:rsidP="001D41EA">
            <w:pPr>
              <w:spacing w:before="40" w:after="20"/>
              <w:jc w:val="right"/>
              <w:rPr>
                <w:rFonts w:cs="Arial"/>
                <w:sz w:val="18"/>
                <w:szCs w:val="18"/>
              </w:rPr>
            </w:pPr>
            <w:r w:rsidRPr="001D41EA">
              <w:rPr>
                <w:rFonts w:cs="Arial"/>
                <w:sz w:val="18"/>
                <w:szCs w:val="18"/>
              </w:rPr>
              <w:t>-18,126</w:t>
            </w:r>
          </w:p>
        </w:tc>
        <w:tc>
          <w:tcPr>
            <w:tcW w:w="1021" w:type="dxa"/>
            <w:tcBorders>
              <w:top w:val="nil"/>
              <w:left w:val="nil"/>
              <w:bottom w:val="nil"/>
              <w:right w:val="nil"/>
            </w:tcBorders>
            <w:vAlign w:val="bottom"/>
          </w:tcPr>
          <w:p w14:paraId="5943F676" w14:textId="6FF59E07" w:rsidR="00F04730" w:rsidRPr="001D41EA" w:rsidRDefault="00F04730" w:rsidP="001D41EA">
            <w:pPr>
              <w:spacing w:before="40" w:after="20"/>
              <w:jc w:val="right"/>
              <w:rPr>
                <w:rFonts w:cs="Arial"/>
                <w:sz w:val="18"/>
                <w:szCs w:val="18"/>
              </w:rPr>
            </w:pPr>
            <w:r w:rsidRPr="001D41EA">
              <w:rPr>
                <w:rFonts w:cs="Arial"/>
                <w:sz w:val="18"/>
                <w:szCs w:val="18"/>
              </w:rPr>
              <w:t>-188,830</w:t>
            </w:r>
          </w:p>
        </w:tc>
        <w:tc>
          <w:tcPr>
            <w:tcW w:w="1247" w:type="dxa"/>
            <w:tcBorders>
              <w:top w:val="nil"/>
              <w:left w:val="nil"/>
              <w:bottom w:val="nil"/>
              <w:right w:val="nil"/>
            </w:tcBorders>
            <w:shd w:val="clear" w:color="auto" w:fill="auto"/>
            <w:vAlign w:val="bottom"/>
          </w:tcPr>
          <w:p w14:paraId="1F52F6AB" w14:textId="3CBC73AF" w:rsidR="00F04730" w:rsidRPr="001D41EA" w:rsidRDefault="00F04730" w:rsidP="001D41EA">
            <w:pPr>
              <w:spacing w:before="40" w:after="20"/>
              <w:jc w:val="right"/>
              <w:rPr>
                <w:rFonts w:cs="Arial"/>
                <w:b/>
                <w:sz w:val="18"/>
                <w:szCs w:val="18"/>
              </w:rPr>
            </w:pPr>
            <w:r w:rsidRPr="001D41EA">
              <w:rPr>
                <w:rFonts w:cs="Arial"/>
                <w:b/>
                <w:sz w:val="18"/>
                <w:szCs w:val="18"/>
              </w:rPr>
              <w:t>18,209,052</w:t>
            </w:r>
          </w:p>
        </w:tc>
      </w:tr>
      <w:tr w:rsidR="00F04730" w:rsidRPr="001D41EA" w14:paraId="62D2C875"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CE06CB4" w14:textId="77777777" w:rsidR="00F04730" w:rsidRPr="001D41EA" w:rsidRDefault="00F04730" w:rsidP="001D41EA">
            <w:pPr>
              <w:spacing w:before="40" w:after="20"/>
              <w:rPr>
                <w:rFonts w:cs="Arial"/>
                <w:sz w:val="18"/>
                <w:szCs w:val="18"/>
              </w:rPr>
            </w:pPr>
            <w:r w:rsidRPr="001D41EA">
              <w:rPr>
                <w:rFonts w:cs="Arial"/>
                <w:sz w:val="18"/>
                <w:szCs w:val="18"/>
              </w:rPr>
              <w:t>Yarra C</w:t>
            </w:r>
          </w:p>
        </w:tc>
        <w:tc>
          <w:tcPr>
            <w:tcW w:w="1134" w:type="dxa"/>
            <w:tcBorders>
              <w:top w:val="nil"/>
              <w:left w:val="single" w:sz="18" w:space="0" w:color="5F497A" w:themeColor="accent4" w:themeShade="BF"/>
              <w:bottom w:val="nil"/>
              <w:right w:val="nil"/>
            </w:tcBorders>
            <w:shd w:val="clear" w:color="auto" w:fill="auto"/>
            <w:vAlign w:val="bottom"/>
          </w:tcPr>
          <w:p w14:paraId="18B6E054" w14:textId="24AEC97B" w:rsidR="00F04730" w:rsidRPr="001D41EA" w:rsidRDefault="00F04730" w:rsidP="001D41EA">
            <w:pPr>
              <w:spacing w:before="40" w:after="20"/>
              <w:jc w:val="right"/>
              <w:rPr>
                <w:rFonts w:cs="Arial"/>
                <w:sz w:val="18"/>
                <w:szCs w:val="18"/>
              </w:rPr>
            </w:pPr>
            <w:r w:rsidRPr="001D41EA">
              <w:rPr>
                <w:rFonts w:cs="Arial"/>
                <w:sz w:val="18"/>
                <w:szCs w:val="18"/>
              </w:rPr>
              <w:t>2,084,208</w:t>
            </w:r>
          </w:p>
        </w:tc>
        <w:tc>
          <w:tcPr>
            <w:tcW w:w="1134" w:type="dxa"/>
            <w:tcBorders>
              <w:top w:val="nil"/>
              <w:left w:val="nil"/>
              <w:bottom w:val="nil"/>
              <w:right w:val="nil"/>
            </w:tcBorders>
            <w:shd w:val="clear" w:color="auto" w:fill="auto"/>
            <w:vAlign w:val="bottom"/>
          </w:tcPr>
          <w:p w14:paraId="3AC8AD10" w14:textId="60744368" w:rsidR="00F04730" w:rsidRPr="001D41EA" w:rsidRDefault="00F04730" w:rsidP="001D41EA">
            <w:pPr>
              <w:spacing w:before="40" w:after="20"/>
              <w:jc w:val="right"/>
              <w:rPr>
                <w:rFonts w:cs="Arial"/>
                <w:sz w:val="18"/>
                <w:szCs w:val="18"/>
              </w:rPr>
            </w:pPr>
            <w:r w:rsidRPr="001D41EA">
              <w:rPr>
                <w:rFonts w:cs="Arial"/>
                <w:sz w:val="18"/>
                <w:szCs w:val="18"/>
              </w:rPr>
              <w:t>407,955</w:t>
            </w:r>
          </w:p>
        </w:tc>
        <w:tc>
          <w:tcPr>
            <w:tcW w:w="170" w:type="dxa"/>
            <w:tcBorders>
              <w:top w:val="nil"/>
              <w:left w:val="nil"/>
              <w:bottom w:val="nil"/>
              <w:right w:val="nil"/>
            </w:tcBorders>
            <w:vAlign w:val="bottom"/>
          </w:tcPr>
          <w:p w14:paraId="3FA421A5"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16AB80D3" w14:textId="674AD0CF" w:rsidR="00F04730" w:rsidRPr="001D41EA" w:rsidRDefault="00F04730" w:rsidP="001D41EA">
            <w:pPr>
              <w:spacing w:before="40" w:after="20"/>
              <w:jc w:val="right"/>
              <w:rPr>
                <w:rFonts w:cs="Arial"/>
                <w:sz w:val="18"/>
                <w:szCs w:val="18"/>
              </w:rPr>
            </w:pPr>
            <w:r w:rsidRPr="001D41EA">
              <w:rPr>
                <w:rFonts w:cs="Arial"/>
                <w:sz w:val="18"/>
                <w:szCs w:val="18"/>
              </w:rPr>
              <w:t>-21,875</w:t>
            </w:r>
          </w:p>
        </w:tc>
        <w:tc>
          <w:tcPr>
            <w:tcW w:w="1021" w:type="dxa"/>
            <w:tcBorders>
              <w:top w:val="nil"/>
              <w:left w:val="nil"/>
              <w:bottom w:val="nil"/>
              <w:right w:val="nil"/>
            </w:tcBorders>
            <w:vAlign w:val="bottom"/>
          </w:tcPr>
          <w:p w14:paraId="4C79D5E0" w14:textId="3C3981D9" w:rsidR="00F04730" w:rsidRPr="001D41EA" w:rsidRDefault="00F04730" w:rsidP="001D41EA">
            <w:pPr>
              <w:spacing w:before="40" w:after="20"/>
              <w:jc w:val="right"/>
              <w:rPr>
                <w:rFonts w:cs="Arial"/>
                <w:sz w:val="18"/>
                <w:szCs w:val="18"/>
              </w:rPr>
            </w:pPr>
            <w:r w:rsidRPr="001D41EA">
              <w:rPr>
                <w:rFonts w:cs="Arial"/>
                <w:sz w:val="18"/>
                <w:szCs w:val="18"/>
              </w:rPr>
              <w:t>-3,128</w:t>
            </w:r>
          </w:p>
        </w:tc>
        <w:tc>
          <w:tcPr>
            <w:tcW w:w="1021" w:type="dxa"/>
            <w:tcBorders>
              <w:top w:val="nil"/>
              <w:left w:val="nil"/>
              <w:bottom w:val="nil"/>
              <w:right w:val="nil"/>
            </w:tcBorders>
            <w:vAlign w:val="bottom"/>
          </w:tcPr>
          <w:p w14:paraId="790EC731" w14:textId="053723D9" w:rsidR="00F04730" w:rsidRPr="001D41EA" w:rsidRDefault="00F04730" w:rsidP="001D41EA">
            <w:pPr>
              <w:spacing w:before="40" w:after="20"/>
              <w:jc w:val="right"/>
              <w:rPr>
                <w:rFonts w:cs="Arial"/>
                <w:sz w:val="18"/>
                <w:szCs w:val="18"/>
              </w:rPr>
            </w:pPr>
            <w:r w:rsidRPr="001D41EA">
              <w:rPr>
                <w:rFonts w:cs="Arial"/>
                <w:sz w:val="18"/>
                <w:szCs w:val="18"/>
              </w:rPr>
              <w:t>-25,003</w:t>
            </w:r>
          </w:p>
        </w:tc>
        <w:tc>
          <w:tcPr>
            <w:tcW w:w="1247" w:type="dxa"/>
            <w:tcBorders>
              <w:top w:val="nil"/>
              <w:left w:val="nil"/>
              <w:bottom w:val="nil"/>
              <w:right w:val="nil"/>
            </w:tcBorders>
            <w:shd w:val="clear" w:color="auto" w:fill="auto"/>
            <w:vAlign w:val="bottom"/>
          </w:tcPr>
          <w:p w14:paraId="46FC9451" w14:textId="2F66F048" w:rsidR="00F04730" w:rsidRPr="001D41EA" w:rsidRDefault="00F04730" w:rsidP="001D41EA">
            <w:pPr>
              <w:spacing w:before="40" w:after="20"/>
              <w:jc w:val="right"/>
              <w:rPr>
                <w:rFonts w:cs="Arial"/>
                <w:b/>
                <w:sz w:val="18"/>
                <w:szCs w:val="18"/>
              </w:rPr>
            </w:pPr>
            <w:r w:rsidRPr="001D41EA">
              <w:rPr>
                <w:rFonts w:cs="Arial"/>
                <w:b/>
                <w:sz w:val="18"/>
                <w:szCs w:val="18"/>
              </w:rPr>
              <w:t>2,467,160</w:t>
            </w:r>
          </w:p>
        </w:tc>
      </w:tr>
      <w:tr w:rsidR="00F04730" w:rsidRPr="001D41EA" w14:paraId="691FC084" w14:textId="77777777" w:rsidTr="00F047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B6112F6" w14:textId="77777777" w:rsidR="00F04730" w:rsidRPr="001D41EA" w:rsidRDefault="00F04730" w:rsidP="001D41EA">
            <w:pPr>
              <w:spacing w:before="40" w:after="20"/>
              <w:rPr>
                <w:rFonts w:cs="Arial"/>
                <w:sz w:val="18"/>
                <w:szCs w:val="18"/>
              </w:rPr>
            </w:pPr>
            <w:r w:rsidRPr="001D41EA">
              <w:rPr>
                <w:rFonts w:cs="Arial"/>
                <w:sz w:val="18"/>
                <w:szCs w:val="18"/>
              </w:rPr>
              <w:t>Yarra Ranges S</w:t>
            </w:r>
          </w:p>
        </w:tc>
        <w:tc>
          <w:tcPr>
            <w:tcW w:w="1134" w:type="dxa"/>
            <w:tcBorders>
              <w:top w:val="nil"/>
              <w:left w:val="single" w:sz="18" w:space="0" w:color="5F497A" w:themeColor="accent4" w:themeShade="BF"/>
              <w:bottom w:val="nil"/>
              <w:right w:val="nil"/>
            </w:tcBorders>
            <w:shd w:val="clear" w:color="auto" w:fill="auto"/>
            <w:vAlign w:val="bottom"/>
          </w:tcPr>
          <w:p w14:paraId="662134C4" w14:textId="1B1CD9B1" w:rsidR="00F04730" w:rsidRPr="001D41EA" w:rsidRDefault="00F04730" w:rsidP="001D41EA">
            <w:pPr>
              <w:spacing w:before="40" w:after="20"/>
              <w:jc w:val="right"/>
              <w:rPr>
                <w:rFonts w:cs="Arial"/>
                <w:sz w:val="18"/>
                <w:szCs w:val="18"/>
              </w:rPr>
            </w:pPr>
            <w:r w:rsidRPr="001D41EA">
              <w:rPr>
                <w:rFonts w:cs="Arial"/>
                <w:sz w:val="18"/>
                <w:szCs w:val="18"/>
              </w:rPr>
              <w:t>11,179,933</w:t>
            </w:r>
          </w:p>
        </w:tc>
        <w:tc>
          <w:tcPr>
            <w:tcW w:w="1134" w:type="dxa"/>
            <w:tcBorders>
              <w:top w:val="nil"/>
              <w:left w:val="nil"/>
              <w:bottom w:val="nil"/>
              <w:right w:val="nil"/>
            </w:tcBorders>
            <w:shd w:val="clear" w:color="auto" w:fill="auto"/>
            <w:vAlign w:val="bottom"/>
          </w:tcPr>
          <w:p w14:paraId="22F23565" w14:textId="3CD8257B" w:rsidR="00F04730" w:rsidRPr="001D41EA" w:rsidRDefault="00F04730" w:rsidP="001D41EA">
            <w:pPr>
              <w:spacing w:before="40" w:after="20"/>
              <w:jc w:val="right"/>
              <w:rPr>
                <w:rFonts w:cs="Arial"/>
                <w:sz w:val="18"/>
                <w:szCs w:val="18"/>
              </w:rPr>
            </w:pPr>
            <w:r w:rsidRPr="001D41EA">
              <w:rPr>
                <w:rFonts w:cs="Arial"/>
                <w:sz w:val="18"/>
                <w:szCs w:val="18"/>
              </w:rPr>
              <w:t>3,363,398</w:t>
            </w:r>
          </w:p>
        </w:tc>
        <w:tc>
          <w:tcPr>
            <w:tcW w:w="170" w:type="dxa"/>
            <w:tcBorders>
              <w:top w:val="nil"/>
              <w:left w:val="nil"/>
              <w:bottom w:val="nil"/>
              <w:right w:val="nil"/>
            </w:tcBorders>
            <w:vAlign w:val="bottom"/>
          </w:tcPr>
          <w:p w14:paraId="40F736A3" w14:textId="77777777" w:rsidR="00F04730" w:rsidRPr="001D41EA" w:rsidRDefault="00F04730" w:rsidP="001D41EA">
            <w:pPr>
              <w:spacing w:before="40" w:after="20"/>
              <w:jc w:val="right"/>
              <w:rPr>
                <w:rFonts w:cs="Arial"/>
                <w:sz w:val="18"/>
                <w:szCs w:val="18"/>
              </w:rPr>
            </w:pPr>
          </w:p>
        </w:tc>
        <w:tc>
          <w:tcPr>
            <w:tcW w:w="1021" w:type="dxa"/>
            <w:tcBorders>
              <w:top w:val="nil"/>
              <w:left w:val="nil"/>
              <w:bottom w:val="nil"/>
              <w:right w:val="nil"/>
            </w:tcBorders>
            <w:vAlign w:val="bottom"/>
          </w:tcPr>
          <w:p w14:paraId="66F7E7F9" w14:textId="4B22B2C7" w:rsidR="00F04730" w:rsidRPr="001D41EA" w:rsidRDefault="00F04730" w:rsidP="001D41EA">
            <w:pPr>
              <w:spacing w:before="40" w:after="20"/>
              <w:jc w:val="right"/>
              <w:rPr>
                <w:rFonts w:cs="Arial"/>
                <w:sz w:val="18"/>
                <w:szCs w:val="18"/>
              </w:rPr>
            </w:pPr>
            <w:r w:rsidRPr="001D41EA">
              <w:rPr>
                <w:rFonts w:cs="Arial"/>
                <w:sz w:val="18"/>
                <w:szCs w:val="18"/>
              </w:rPr>
              <w:t>-117,909</w:t>
            </w:r>
          </w:p>
        </w:tc>
        <w:tc>
          <w:tcPr>
            <w:tcW w:w="1021" w:type="dxa"/>
            <w:tcBorders>
              <w:top w:val="nil"/>
              <w:left w:val="nil"/>
              <w:bottom w:val="nil"/>
              <w:right w:val="nil"/>
            </w:tcBorders>
            <w:vAlign w:val="bottom"/>
          </w:tcPr>
          <w:p w14:paraId="4F8B36B7" w14:textId="0D3166FF" w:rsidR="00F04730" w:rsidRPr="001D41EA" w:rsidRDefault="00F04730" w:rsidP="001D41EA">
            <w:pPr>
              <w:spacing w:before="40" w:after="20"/>
              <w:jc w:val="right"/>
              <w:rPr>
                <w:rFonts w:cs="Arial"/>
                <w:sz w:val="18"/>
                <w:szCs w:val="18"/>
              </w:rPr>
            </w:pPr>
            <w:r w:rsidRPr="001D41EA">
              <w:rPr>
                <w:rFonts w:cs="Arial"/>
                <w:sz w:val="18"/>
                <w:szCs w:val="18"/>
              </w:rPr>
              <w:t>-25,906</w:t>
            </w:r>
          </w:p>
        </w:tc>
        <w:tc>
          <w:tcPr>
            <w:tcW w:w="1021" w:type="dxa"/>
            <w:tcBorders>
              <w:top w:val="nil"/>
              <w:left w:val="nil"/>
              <w:bottom w:val="nil"/>
              <w:right w:val="nil"/>
            </w:tcBorders>
            <w:vAlign w:val="bottom"/>
          </w:tcPr>
          <w:p w14:paraId="2ABEDC9A" w14:textId="3B48EAED" w:rsidR="00F04730" w:rsidRPr="001D41EA" w:rsidRDefault="00F04730" w:rsidP="001D41EA">
            <w:pPr>
              <w:spacing w:before="40" w:after="20"/>
              <w:jc w:val="right"/>
              <w:rPr>
                <w:rFonts w:cs="Arial"/>
                <w:sz w:val="18"/>
                <w:szCs w:val="18"/>
              </w:rPr>
            </w:pPr>
            <w:r w:rsidRPr="001D41EA">
              <w:rPr>
                <w:rFonts w:cs="Arial"/>
                <w:sz w:val="18"/>
                <w:szCs w:val="18"/>
              </w:rPr>
              <w:t>-143,815</w:t>
            </w:r>
          </w:p>
        </w:tc>
        <w:tc>
          <w:tcPr>
            <w:tcW w:w="1247" w:type="dxa"/>
            <w:tcBorders>
              <w:top w:val="nil"/>
              <w:left w:val="nil"/>
              <w:bottom w:val="nil"/>
              <w:right w:val="nil"/>
            </w:tcBorders>
            <w:shd w:val="clear" w:color="auto" w:fill="auto"/>
            <w:vAlign w:val="bottom"/>
          </w:tcPr>
          <w:p w14:paraId="7721DCC7" w14:textId="776958F7" w:rsidR="00F04730" w:rsidRPr="001D41EA" w:rsidRDefault="00F04730" w:rsidP="001D41EA">
            <w:pPr>
              <w:spacing w:before="40" w:after="20"/>
              <w:jc w:val="right"/>
              <w:rPr>
                <w:rFonts w:cs="Arial"/>
                <w:b/>
                <w:sz w:val="18"/>
                <w:szCs w:val="18"/>
              </w:rPr>
            </w:pPr>
            <w:r w:rsidRPr="001D41EA">
              <w:rPr>
                <w:rFonts w:cs="Arial"/>
                <w:b/>
                <w:sz w:val="18"/>
                <w:szCs w:val="18"/>
              </w:rPr>
              <w:t>14,399,516</w:t>
            </w:r>
          </w:p>
        </w:tc>
      </w:tr>
      <w:tr w:rsidR="00F04730" w:rsidRPr="001D41EA" w14:paraId="1FB6AA2A" w14:textId="77777777" w:rsidTr="00F04730">
        <w:trPr>
          <w:trHeight w:val="240"/>
        </w:trPr>
        <w:tc>
          <w:tcPr>
            <w:tcW w:w="2268" w:type="dxa"/>
            <w:tcBorders>
              <w:top w:val="nil"/>
              <w:left w:val="nil"/>
              <w:right w:val="single" w:sz="18" w:space="0" w:color="5F497A" w:themeColor="accent4" w:themeShade="BF"/>
            </w:tcBorders>
            <w:shd w:val="clear" w:color="auto" w:fill="auto"/>
            <w:vAlign w:val="center"/>
          </w:tcPr>
          <w:p w14:paraId="02297C79" w14:textId="77777777" w:rsidR="00F04730" w:rsidRPr="001D41EA" w:rsidRDefault="00F04730" w:rsidP="001D41EA">
            <w:pPr>
              <w:spacing w:before="40" w:after="20"/>
              <w:rPr>
                <w:rFonts w:cs="Arial"/>
                <w:sz w:val="18"/>
                <w:szCs w:val="18"/>
              </w:rPr>
            </w:pPr>
            <w:r w:rsidRPr="001D41EA">
              <w:rPr>
                <w:rFonts w:cs="Arial"/>
                <w:sz w:val="18"/>
                <w:szCs w:val="18"/>
              </w:rPr>
              <w:t>Yarriambiack S</w:t>
            </w:r>
          </w:p>
        </w:tc>
        <w:tc>
          <w:tcPr>
            <w:tcW w:w="1134" w:type="dxa"/>
            <w:tcBorders>
              <w:top w:val="nil"/>
              <w:left w:val="single" w:sz="18" w:space="0" w:color="5F497A" w:themeColor="accent4" w:themeShade="BF"/>
              <w:right w:val="nil"/>
            </w:tcBorders>
            <w:shd w:val="clear" w:color="auto" w:fill="auto"/>
            <w:vAlign w:val="bottom"/>
          </w:tcPr>
          <w:p w14:paraId="0C98CC62" w14:textId="1F86F7E4" w:rsidR="00F04730" w:rsidRPr="001D41EA" w:rsidRDefault="00F04730" w:rsidP="001D41EA">
            <w:pPr>
              <w:spacing w:before="40" w:after="20"/>
              <w:jc w:val="right"/>
              <w:rPr>
                <w:rFonts w:cs="Arial"/>
                <w:sz w:val="18"/>
                <w:szCs w:val="18"/>
              </w:rPr>
            </w:pPr>
            <w:r w:rsidRPr="001D41EA">
              <w:rPr>
                <w:rFonts w:cs="Arial"/>
                <w:sz w:val="18"/>
                <w:szCs w:val="18"/>
              </w:rPr>
              <w:t>3,492,083</w:t>
            </w:r>
          </w:p>
        </w:tc>
        <w:tc>
          <w:tcPr>
            <w:tcW w:w="1134" w:type="dxa"/>
            <w:tcBorders>
              <w:top w:val="nil"/>
              <w:left w:val="nil"/>
              <w:right w:val="nil"/>
            </w:tcBorders>
            <w:shd w:val="clear" w:color="auto" w:fill="auto"/>
            <w:vAlign w:val="bottom"/>
          </w:tcPr>
          <w:p w14:paraId="5CE57556" w14:textId="17E0988F" w:rsidR="00F04730" w:rsidRPr="001D41EA" w:rsidRDefault="00F04730" w:rsidP="001D41EA">
            <w:pPr>
              <w:spacing w:before="40" w:after="20"/>
              <w:jc w:val="right"/>
              <w:rPr>
                <w:rFonts w:cs="Arial"/>
                <w:sz w:val="18"/>
                <w:szCs w:val="18"/>
              </w:rPr>
            </w:pPr>
            <w:r w:rsidRPr="001D41EA">
              <w:rPr>
                <w:rFonts w:cs="Arial"/>
                <w:sz w:val="18"/>
                <w:szCs w:val="18"/>
              </w:rPr>
              <w:t>2,080,906</w:t>
            </w:r>
          </w:p>
        </w:tc>
        <w:tc>
          <w:tcPr>
            <w:tcW w:w="170" w:type="dxa"/>
            <w:tcBorders>
              <w:top w:val="nil"/>
              <w:left w:val="nil"/>
              <w:right w:val="nil"/>
            </w:tcBorders>
            <w:vAlign w:val="bottom"/>
          </w:tcPr>
          <w:p w14:paraId="69D35BBE" w14:textId="77777777" w:rsidR="00F04730" w:rsidRPr="001D41EA" w:rsidRDefault="00F04730" w:rsidP="001D41EA">
            <w:pPr>
              <w:spacing w:before="40" w:after="20"/>
              <w:jc w:val="right"/>
              <w:rPr>
                <w:rFonts w:cs="Arial"/>
                <w:sz w:val="18"/>
                <w:szCs w:val="18"/>
              </w:rPr>
            </w:pPr>
          </w:p>
        </w:tc>
        <w:tc>
          <w:tcPr>
            <w:tcW w:w="1021" w:type="dxa"/>
            <w:tcBorders>
              <w:top w:val="nil"/>
              <w:left w:val="nil"/>
              <w:right w:val="nil"/>
            </w:tcBorders>
            <w:vAlign w:val="bottom"/>
          </w:tcPr>
          <w:p w14:paraId="6C736E13" w14:textId="1E49584E" w:rsidR="00F04730" w:rsidRPr="001D41EA" w:rsidRDefault="00F04730" w:rsidP="001D41EA">
            <w:pPr>
              <w:spacing w:before="40" w:after="20"/>
              <w:jc w:val="right"/>
              <w:rPr>
                <w:rFonts w:cs="Arial"/>
                <w:sz w:val="18"/>
                <w:szCs w:val="18"/>
              </w:rPr>
            </w:pPr>
            <w:r w:rsidRPr="001D41EA">
              <w:rPr>
                <w:rFonts w:cs="Arial"/>
                <w:sz w:val="18"/>
                <w:szCs w:val="18"/>
              </w:rPr>
              <w:t>-35,985</w:t>
            </w:r>
          </w:p>
        </w:tc>
        <w:tc>
          <w:tcPr>
            <w:tcW w:w="1021" w:type="dxa"/>
            <w:tcBorders>
              <w:top w:val="nil"/>
              <w:left w:val="nil"/>
              <w:right w:val="nil"/>
            </w:tcBorders>
            <w:vAlign w:val="bottom"/>
          </w:tcPr>
          <w:p w14:paraId="2352B7E1" w14:textId="7ECD5E35" w:rsidR="00F04730" w:rsidRPr="001D41EA" w:rsidRDefault="00F04730" w:rsidP="001D41EA">
            <w:pPr>
              <w:spacing w:before="40" w:after="20"/>
              <w:jc w:val="right"/>
              <w:rPr>
                <w:rFonts w:cs="Arial"/>
                <w:sz w:val="18"/>
                <w:szCs w:val="18"/>
              </w:rPr>
            </w:pPr>
            <w:r w:rsidRPr="001D41EA">
              <w:rPr>
                <w:rFonts w:cs="Arial"/>
                <w:sz w:val="18"/>
                <w:szCs w:val="18"/>
              </w:rPr>
              <w:t>-15,968</w:t>
            </w:r>
          </w:p>
        </w:tc>
        <w:tc>
          <w:tcPr>
            <w:tcW w:w="1021" w:type="dxa"/>
            <w:tcBorders>
              <w:top w:val="nil"/>
              <w:left w:val="nil"/>
              <w:right w:val="nil"/>
            </w:tcBorders>
            <w:vAlign w:val="bottom"/>
          </w:tcPr>
          <w:p w14:paraId="3764F8A6" w14:textId="27A40819" w:rsidR="00F04730" w:rsidRPr="001D41EA" w:rsidRDefault="00F04730" w:rsidP="001D41EA">
            <w:pPr>
              <w:spacing w:before="40" w:after="20"/>
              <w:jc w:val="right"/>
              <w:rPr>
                <w:rFonts w:cs="Arial"/>
                <w:sz w:val="18"/>
                <w:szCs w:val="18"/>
              </w:rPr>
            </w:pPr>
            <w:r w:rsidRPr="001D41EA">
              <w:rPr>
                <w:rFonts w:cs="Arial"/>
                <w:sz w:val="18"/>
                <w:szCs w:val="18"/>
              </w:rPr>
              <w:t>-51,953</w:t>
            </w:r>
          </w:p>
        </w:tc>
        <w:tc>
          <w:tcPr>
            <w:tcW w:w="1247" w:type="dxa"/>
            <w:tcBorders>
              <w:top w:val="nil"/>
              <w:left w:val="nil"/>
              <w:right w:val="nil"/>
            </w:tcBorders>
            <w:shd w:val="clear" w:color="auto" w:fill="auto"/>
            <w:vAlign w:val="bottom"/>
          </w:tcPr>
          <w:p w14:paraId="37A3BDD7" w14:textId="5AD76FD6" w:rsidR="00F04730" w:rsidRPr="001D41EA" w:rsidRDefault="00F04730" w:rsidP="001D41EA">
            <w:pPr>
              <w:spacing w:before="40" w:after="20"/>
              <w:jc w:val="right"/>
              <w:rPr>
                <w:rFonts w:cs="Arial"/>
                <w:b/>
                <w:sz w:val="18"/>
                <w:szCs w:val="18"/>
              </w:rPr>
            </w:pPr>
            <w:r w:rsidRPr="001D41EA">
              <w:rPr>
                <w:rFonts w:cs="Arial"/>
                <w:b/>
                <w:sz w:val="18"/>
                <w:szCs w:val="18"/>
              </w:rPr>
              <w:t>5,521,036</w:t>
            </w:r>
          </w:p>
        </w:tc>
      </w:tr>
      <w:tr w:rsidR="00F04730" w:rsidRPr="001D41EA" w14:paraId="68EA7959" w14:textId="77777777" w:rsidTr="00F04730">
        <w:trPr>
          <w:trHeight w:val="240"/>
        </w:trPr>
        <w:tc>
          <w:tcPr>
            <w:tcW w:w="2268" w:type="dxa"/>
            <w:tcBorders>
              <w:left w:val="nil"/>
              <w:right w:val="single" w:sz="18" w:space="0" w:color="5F497A" w:themeColor="accent4" w:themeShade="BF"/>
            </w:tcBorders>
            <w:shd w:val="clear" w:color="auto" w:fill="auto"/>
            <w:vAlign w:val="center"/>
          </w:tcPr>
          <w:p w14:paraId="3DAAC48E" w14:textId="77777777" w:rsidR="00F04730" w:rsidRPr="001D41EA" w:rsidRDefault="00F04730" w:rsidP="001D41EA">
            <w:pPr>
              <w:spacing w:before="40" w:after="20"/>
              <w:rPr>
                <w:rFonts w:cs="Arial"/>
                <w:sz w:val="18"/>
                <w:szCs w:val="18"/>
              </w:rPr>
            </w:pPr>
          </w:p>
        </w:tc>
        <w:tc>
          <w:tcPr>
            <w:tcW w:w="1134" w:type="dxa"/>
            <w:tcBorders>
              <w:left w:val="single" w:sz="18" w:space="0" w:color="5F497A" w:themeColor="accent4" w:themeShade="BF"/>
              <w:bottom w:val="single" w:sz="8" w:space="0" w:color="5F497A" w:themeColor="accent4" w:themeShade="BF"/>
            </w:tcBorders>
            <w:shd w:val="clear" w:color="auto" w:fill="auto"/>
            <w:vAlign w:val="bottom"/>
          </w:tcPr>
          <w:p w14:paraId="5B43575F" w14:textId="15EA4CE5" w:rsidR="00F04730" w:rsidRPr="001D41EA" w:rsidRDefault="00F04730" w:rsidP="001D41EA">
            <w:pPr>
              <w:spacing w:before="40" w:after="20"/>
              <w:jc w:val="right"/>
              <w:rPr>
                <w:rFonts w:cs="Arial"/>
                <w:sz w:val="18"/>
                <w:szCs w:val="18"/>
              </w:rPr>
            </w:pPr>
            <w:r w:rsidRPr="001D41EA">
              <w:rPr>
                <w:rFonts w:cs="Arial"/>
                <w:sz w:val="18"/>
                <w:szCs w:val="18"/>
              </w:rPr>
              <w:t> </w:t>
            </w:r>
          </w:p>
        </w:tc>
        <w:tc>
          <w:tcPr>
            <w:tcW w:w="1134" w:type="dxa"/>
            <w:tcBorders>
              <w:bottom w:val="single" w:sz="8" w:space="0" w:color="5F497A" w:themeColor="accent4" w:themeShade="BF"/>
            </w:tcBorders>
            <w:shd w:val="clear" w:color="auto" w:fill="auto"/>
            <w:vAlign w:val="bottom"/>
          </w:tcPr>
          <w:p w14:paraId="417BC4E8" w14:textId="216E67FB" w:rsidR="00F04730" w:rsidRPr="001D41EA" w:rsidRDefault="00F04730" w:rsidP="001D41EA">
            <w:pPr>
              <w:spacing w:before="40" w:after="20"/>
              <w:jc w:val="right"/>
              <w:rPr>
                <w:rFonts w:cs="Arial"/>
                <w:sz w:val="18"/>
                <w:szCs w:val="18"/>
              </w:rPr>
            </w:pPr>
          </w:p>
        </w:tc>
        <w:tc>
          <w:tcPr>
            <w:tcW w:w="170" w:type="dxa"/>
            <w:tcBorders>
              <w:bottom w:val="single" w:sz="8" w:space="0" w:color="5F497A" w:themeColor="accent4" w:themeShade="BF"/>
            </w:tcBorders>
            <w:vAlign w:val="bottom"/>
          </w:tcPr>
          <w:p w14:paraId="443DD99D" w14:textId="77777777" w:rsidR="00F04730" w:rsidRPr="001D41EA" w:rsidRDefault="00F04730" w:rsidP="001D41EA">
            <w:pPr>
              <w:spacing w:before="40" w:after="20"/>
              <w:jc w:val="right"/>
              <w:rPr>
                <w:rFonts w:cs="Arial"/>
                <w:sz w:val="18"/>
                <w:szCs w:val="18"/>
              </w:rPr>
            </w:pPr>
          </w:p>
        </w:tc>
        <w:tc>
          <w:tcPr>
            <w:tcW w:w="1021" w:type="dxa"/>
            <w:tcBorders>
              <w:bottom w:val="single" w:sz="8" w:space="0" w:color="5F497A" w:themeColor="accent4" w:themeShade="BF"/>
            </w:tcBorders>
            <w:vAlign w:val="bottom"/>
          </w:tcPr>
          <w:p w14:paraId="13D23401" w14:textId="5894B319" w:rsidR="00F04730" w:rsidRPr="001D41EA" w:rsidRDefault="00F04730" w:rsidP="001D41EA">
            <w:pPr>
              <w:spacing w:before="40" w:after="20"/>
              <w:jc w:val="right"/>
              <w:rPr>
                <w:rFonts w:cs="Arial"/>
                <w:sz w:val="18"/>
                <w:szCs w:val="18"/>
              </w:rPr>
            </w:pPr>
            <w:r w:rsidRPr="001D41EA">
              <w:rPr>
                <w:rFonts w:cs="Arial"/>
                <w:sz w:val="18"/>
                <w:szCs w:val="18"/>
              </w:rPr>
              <w:t> </w:t>
            </w:r>
          </w:p>
        </w:tc>
        <w:tc>
          <w:tcPr>
            <w:tcW w:w="1021" w:type="dxa"/>
            <w:tcBorders>
              <w:bottom w:val="single" w:sz="8" w:space="0" w:color="5F497A" w:themeColor="accent4" w:themeShade="BF"/>
            </w:tcBorders>
            <w:vAlign w:val="bottom"/>
          </w:tcPr>
          <w:p w14:paraId="0221C749" w14:textId="77777777" w:rsidR="00F04730" w:rsidRPr="001D41EA" w:rsidRDefault="00F04730" w:rsidP="001D41EA">
            <w:pPr>
              <w:spacing w:before="40" w:after="20"/>
              <w:jc w:val="right"/>
              <w:rPr>
                <w:rFonts w:cs="Arial"/>
                <w:sz w:val="18"/>
                <w:szCs w:val="18"/>
              </w:rPr>
            </w:pPr>
          </w:p>
        </w:tc>
        <w:tc>
          <w:tcPr>
            <w:tcW w:w="1021" w:type="dxa"/>
            <w:tcBorders>
              <w:bottom w:val="single" w:sz="8" w:space="0" w:color="5F497A" w:themeColor="accent4" w:themeShade="BF"/>
            </w:tcBorders>
            <w:vAlign w:val="bottom"/>
          </w:tcPr>
          <w:p w14:paraId="64E6E27B" w14:textId="5BA7B1FA" w:rsidR="00F04730" w:rsidRPr="001D41EA" w:rsidRDefault="00F04730" w:rsidP="001D41EA">
            <w:pPr>
              <w:spacing w:before="40" w:after="20"/>
              <w:jc w:val="right"/>
              <w:rPr>
                <w:rFonts w:cs="Arial"/>
                <w:sz w:val="18"/>
                <w:szCs w:val="18"/>
              </w:rPr>
            </w:pPr>
            <w:r w:rsidRPr="001D41EA">
              <w:rPr>
                <w:rFonts w:cs="Arial"/>
                <w:sz w:val="18"/>
                <w:szCs w:val="18"/>
              </w:rPr>
              <w:t> </w:t>
            </w:r>
          </w:p>
        </w:tc>
        <w:tc>
          <w:tcPr>
            <w:tcW w:w="1247" w:type="dxa"/>
            <w:tcBorders>
              <w:bottom w:val="single" w:sz="8" w:space="0" w:color="5F497A" w:themeColor="accent4" w:themeShade="BF"/>
            </w:tcBorders>
            <w:shd w:val="clear" w:color="auto" w:fill="auto"/>
            <w:vAlign w:val="bottom"/>
          </w:tcPr>
          <w:p w14:paraId="088B73E9" w14:textId="4B63B33D" w:rsidR="00F04730" w:rsidRPr="001D41EA" w:rsidRDefault="00F04730" w:rsidP="001D41EA">
            <w:pPr>
              <w:spacing w:before="40" w:after="20"/>
              <w:jc w:val="right"/>
              <w:rPr>
                <w:rFonts w:cs="Arial"/>
                <w:b/>
                <w:sz w:val="18"/>
                <w:szCs w:val="18"/>
              </w:rPr>
            </w:pPr>
            <w:r w:rsidRPr="001D41EA">
              <w:rPr>
                <w:rFonts w:cs="Arial"/>
                <w:b/>
                <w:sz w:val="18"/>
                <w:szCs w:val="18"/>
              </w:rPr>
              <w:t> </w:t>
            </w:r>
          </w:p>
        </w:tc>
      </w:tr>
      <w:tr w:rsidR="00F04730" w:rsidRPr="001D41EA" w14:paraId="7D02C53F" w14:textId="77777777" w:rsidTr="00F04730">
        <w:trPr>
          <w:trHeight w:val="240"/>
        </w:trPr>
        <w:tc>
          <w:tcPr>
            <w:tcW w:w="2268" w:type="dxa"/>
            <w:tcBorders>
              <w:left w:val="nil"/>
              <w:right w:val="single" w:sz="18" w:space="0" w:color="5F497A" w:themeColor="accent4" w:themeShade="BF"/>
            </w:tcBorders>
            <w:shd w:val="clear" w:color="auto" w:fill="auto"/>
            <w:vAlign w:val="center"/>
          </w:tcPr>
          <w:p w14:paraId="063E4505" w14:textId="77777777" w:rsidR="00F04730" w:rsidRPr="001D41EA" w:rsidRDefault="00F04730" w:rsidP="001D41EA">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tcBorders>
            <w:shd w:val="clear" w:color="auto" w:fill="auto"/>
            <w:vAlign w:val="bottom"/>
          </w:tcPr>
          <w:p w14:paraId="1DEA83B2" w14:textId="4AE008D2" w:rsidR="00F04730" w:rsidRPr="001D41EA" w:rsidRDefault="00F04730" w:rsidP="001D41EA">
            <w:pPr>
              <w:spacing w:before="40" w:after="20"/>
              <w:jc w:val="right"/>
              <w:rPr>
                <w:rFonts w:cs="Arial"/>
                <w:b/>
                <w:sz w:val="18"/>
                <w:szCs w:val="18"/>
              </w:rPr>
            </w:pPr>
            <w:r w:rsidRPr="001D41EA">
              <w:rPr>
                <w:rFonts w:cs="Arial"/>
                <w:b/>
                <w:sz w:val="18"/>
                <w:szCs w:val="18"/>
              </w:rPr>
              <w:t>455,581,222</w:t>
            </w:r>
          </w:p>
        </w:tc>
        <w:tc>
          <w:tcPr>
            <w:tcW w:w="1134" w:type="dxa"/>
            <w:tcBorders>
              <w:top w:val="single" w:sz="8" w:space="0" w:color="5F497A" w:themeColor="accent4" w:themeShade="BF"/>
            </w:tcBorders>
            <w:shd w:val="clear" w:color="auto" w:fill="auto"/>
            <w:vAlign w:val="bottom"/>
          </w:tcPr>
          <w:p w14:paraId="48CB03F4" w14:textId="0FBF3C14" w:rsidR="00F04730" w:rsidRPr="001D41EA" w:rsidRDefault="00F04730" w:rsidP="001D41EA">
            <w:pPr>
              <w:spacing w:before="40" w:after="20"/>
              <w:jc w:val="right"/>
              <w:rPr>
                <w:rFonts w:cs="Arial"/>
                <w:b/>
                <w:sz w:val="18"/>
                <w:szCs w:val="18"/>
              </w:rPr>
            </w:pPr>
            <w:r w:rsidRPr="001D41EA">
              <w:rPr>
                <w:rFonts w:cs="Arial"/>
                <w:b/>
                <w:sz w:val="18"/>
                <w:szCs w:val="18"/>
              </w:rPr>
              <w:t>160,736,232</w:t>
            </w:r>
          </w:p>
        </w:tc>
        <w:tc>
          <w:tcPr>
            <w:tcW w:w="170" w:type="dxa"/>
            <w:tcBorders>
              <w:top w:val="single" w:sz="8" w:space="0" w:color="5F497A" w:themeColor="accent4" w:themeShade="BF"/>
            </w:tcBorders>
            <w:vAlign w:val="bottom"/>
          </w:tcPr>
          <w:p w14:paraId="2F637BA3" w14:textId="3670924C" w:rsidR="00F04730" w:rsidRPr="001D41EA" w:rsidRDefault="00F04730" w:rsidP="001D41EA">
            <w:pPr>
              <w:spacing w:before="40" w:after="20"/>
              <w:jc w:val="right"/>
              <w:rPr>
                <w:rFonts w:cs="Arial"/>
                <w:b/>
                <w:sz w:val="18"/>
                <w:szCs w:val="18"/>
              </w:rPr>
            </w:pPr>
            <w:r w:rsidRPr="001D41EA">
              <w:rPr>
                <w:rFonts w:cs="Arial"/>
                <w:b/>
                <w:sz w:val="18"/>
                <w:szCs w:val="18"/>
              </w:rPr>
              <w:t> </w:t>
            </w:r>
          </w:p>
        </w:tc>
        <w:tc>
          <w:tcPr>
            <w:tcW w:w="1021" w:type="dxa"/>
            <w:tcBorders>
              <w:top w:val="single" w:sz="8" w:space="0" w:color="5F497A" w:themeColor="accent4" w:themeShade="BF"/>
            </w:tcBorders>
            <w:vAlign w:val="bottom"/>
          </w:tcPr>
          <w:p w14:paraId="168AE772" w14:textId="17A94EF2" w:rsidR="00F04730" w:rsidRPr="001D41EA" w:rsidRDefault="00F04730" w:rsidP="001D41EA">
            <w:pPr>
              <w:spacing w:before="40" w:after="20"/>
              <w:jc w:val="right"/>
              <w:rPr>
                <w:rFonts w:cs="Arial"/>
                <w:b/>
                <w:sz w:val="18"/>
                <w:szCs w:val="18"/>
              </w:rPr>
            </w:pPr>
            <w:r w:rsidRPr="001D41EA">
              <w:rPr>
                <w:rFonts w:cs="Arial"/>
                <w:b/>
                <w:sz w:val="18"/>
                <w:szCs w:val="18"/>
              </w:rPr>
              <w:t>-4,784,831</w:t>
            </w:r>
          </w:p>
        </w:tc>
        <w:tc>
          <w:tcPr>
            <w:tcW w:w="1021" w:type="dxa"/>
            <w:tcBorders>
              <w:top w:val="single" w:sz="8" w:space="0" w:color="5F497A" w:themeColor="accent4" w:themeShade="BF"/>
            </w:tcBorders>
            <w:vAlign w:val="bottom"/>
          </w:tcPr>
          <w:p w14:paraId="69DDC1F9" w14:textId="55464B84" w:rsidR="00F04730" w:rsidRPr="001D41EA" w:rsidRDefault="00F04730" w:rsidP="001D41EA">
            <w:pPr>
              <w:spacing w:before="40" w:after="20"/>
              <w:jc w:val="right"/>
              <w:rPr>
                <w:rFonts w:cs="Arial"/>
                <w:b/>
                <w:sz w:val="18"/>
                <w:szCs w:val="18"/>
              </w:rPr>
            </w:pPr>
            <w:r w:rsidRPr="001D41EA">
              <w:rPr>
                <w:rFonts w:cs="Arial"/>
                <w:b/>
                <w:sz w:val="18"/>
                <w:szCs w:val="18"/>
              </w:rPr>
              <w:t>-1,227,473</w:t>
            </w:r>
          </w:p>
        </w:tc>
        <w:tc>
          <w:tcPr>
            <w:tcW w:w="1021" w:type="dxa"/>
            <w:tcBorders>
              <w:top w:val="single" w:sz="8" w:space="0" w:color="5F497A" w:themeColor="accent4" w:themeShade="BF"/>
            </w:tcBorders>
            <w:vAlign w:val="bottom"/>
          </w:tcPr>
          <w:p w14:paraId="7B676B2F" w14:textId="04CBEA3D" w:rsidR="00F04730" w:rsidRPr="001D41EA" w:rsidRDefault="00F04730" w:rsidP="001D41EA">
            <w:pPr>
              <w:spacing w:before="40" w:after="20"/>
              <w:jc w:val="right"/>
              <w:rPr>
                <w:rFonts w:cs="Arial"/>
                <w:b/>
                <w:sz w:val="18"/>
                <w:szCs w:val="18"/>
              </w:rPr>
            </w:pPr>
            <w:r w:rsidRPr="001D41EA">
              <w:rPr>
                <w:rFonts w:cs="Arial"/>
                <w:b/>
                <w:sz w:val="18"/>
                <w:szCs w:val="18"/>
              </w:rPr>
              <w:t>-6,012,304</w:t>
            </w:r>
          </w:p>
        </w:tc>
        <w:tc>
          <w:tcPr>
            <w:tcW w:w="1247" w:type="dxa"/>
            <w:tcBorders>
              <w:top w:val="single" w:sz="8" w:space="0" w:color="5F497A" w:themeColor="accent4" w:themeShade="BF"/>
            </w:tcBorders>
            <w:shd w:val="clear" w:color="auto" w:fill="auto"/>
            <w:vAlign w:val="bottom"/>
          </w:tcPr>
          <w:p w14:paraId="4987E255" w14:textId="1DE5CD20" w:rsidR="00F04730" w:rsidRPr="001D41EA" w:rsidRDefault="00F04730" w:rsidP="001D41EA">
            <w:pPr>
              <w:spacing w:before="40" w:after="20"/>
              <w:jc w:val="right"/>
              <w:rPr>
                <w:rFonts w:cs="Arial"/>
                <w:b/>
                <w:sz w:val="18"/>
                <w:szCs w:val="18"/>
              </w:rPr>
            </w:pPr>
            <w:r w:rsidRPr="001D41EA">
              <w:rPr>
                <w:rFonts w:cs="Arial"/>
                <w:b/>
                <w:sz w:val="18"/>
                <w:szCs w:val="18"/>
              </w:rPr>
              <w:t>610,305,150</w:t>
            </w:r>
          </w:p>
        </w:tc>
      </w:tr>
    </w:tbl>
    <w:p w14:paraId="6E55F114" w14:textId="41847BA2" w:rsidR="001E1A90" w:rsidRPr="00A44829" w:rsidRDefault="001E3FAA" w:rsidP="00FF36E8">
      <w:pPr>
        <w:spacing w:before="40" w:after="20"/>
        <w:rPr>
          <w:rFonts w:cs="Arial"/>
          <w:sz w:val="8"/>
          <w:szCs w:val="8"/>
        </w:rPr>
      </w:pPr>
      <w:r w:rsidRPr="00A44829">
        <w:rPr>
          <w:rFonts w:cs="Arial"/>
          <w:i/>
          <w:sz w:val="16"/>
          <w:szCs w:val="16"/>
        </w:rPr>
        <w:t xml:space="preserve">* Estimated Payments include the brought forward payments made </w:t>
      </w:r>
      <w:r w:rsidR="00C60457" w:rsidRPr="00A44829">
        <w:rPr>
          <w:rFonts w:cs="Arial"/>
          <w:i/>
          <w:sz w:val="16"/>
          <w:szCs w:val="16"/>
        </w:rPr>
        <w:t>in</w:t>
      </w:r>
      <w:r w:rsidRPr="00A44829">
        <w:rPr>
          <w:rFonts w:cs="Arial"/>
          <w:i/>
          <w:sz w:val="16"/>
          <w:szCs w:val="16"/>
        </w:rPr>
        <w:t xml:space="preserve"> June 201</w:t>
      </w:r>
      <w:r w:rsidR="00F04730" w:rsidRPr="00A44829">
        <w:rPr>
          <w:rFonts w:cs="Arial"/>
          <w:i/>
          <w:sz w:val="16"/>
          <w:szCs w:val="16"/>
        </w:rPr>
        <w:t xml:space="preserve">9 </w:t>
      </w:r>
      <w:r w:rsidRPr="00A44829">
        <w:rPr>
          <w:rFonts w:cs="Arial"/>
          <w:i/>
          <w:sz w:val="16"/>
          <w:szCs w:val="16"/>
        </w:rPr>
        <w:t>.</w:t>
      </w:r>
      <w:r w:rsidR="006B1550" w:rsidRPr="00A44829">
        <w:rPr>
          <w:rFonts w:cs="Arial"/>
          <w:sz w:val="18"/>
          <w:szCs w:val="18"/>
        </w:rPr>
        <w:br w:type="page"/>
      </w:r>
    </w:p>
    <w:p w14:paraId="720E7B62" w14:textId="0C33D4A2" w:rsidR="001E1A90" w:rsidRPr="00A44829" w:rsidRDefault="00CE4507" w:rsidP="00C33713">
      <w:pPr>
        <w:pStyle w:val="VGC-Head10"/>
      </w:pPr>
      <w:r w:rsidRPr="00A44829">
        <w:lastRenderedPageBreak/>
        <w:t>Appendix 3</w:t>
      </w:r>
      <w:r w:rsidR="00342DB4" w:rsidRPr="00A44829">
        <w:tab/>
      </w:r>
      <w:r w:rsidR="00EE4593" w:rsidRPr="00A44829">
        <w:t>2019-20</w:t>
      </w:r>
      <w:r w:rsidR="00A97ABE" w:rsidRPr="00A44829">
        <w:t xml:space="preserve"> </w:t>
      </w:r>
      <w:r w:rsidR="001E1A90" w:rsidRPr="00A44829">
        <w:t xml:space="preserve">Comparative Grant Outcomes </w:t>
      </w:r>
    </w:p>
    <w:p w14:paraId="30A046D4" w14:textId="77777777" w:rsidR="001E1A90" w:rsidRPr="00A44829" w:rsidRDefault="001E1A90" w:rsidP="008C1A28">
      <w:pPr>
        <w:pStyle w:val="VGC-Head2"/>
      </w:pPr>
    </w:p>
    <w:p w14:paraId="0FC9FFF8" w14:textId="77777777" w:rsidR="00BE3B95" w:rsidRPr="00A44829" w:rsidRDefault="00BE3B9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A44829" w14:paraId="60D61F37" w14:textId="77777777" w:rsidTr="00C60457">
        <w:trPr>
          <w:trHeight w:val="20"/>
          <w:tblHeader/>
        </w:trPr>
        <w:tc>
          <w:tcPr>
            <w:tcW w:w="2268" w:type="dxa"/>
            <w:tcBorders>
              <w:top w:val="nil"/>
              <w:left w:val="nil"/>
              <w:right w:val="single" w:sz="18" w:space="0" w:color="5F497A" w:themeColor="accent4" w:themeShade="BF"/>
            </w:tcBorders>
            <w:shd w:val="clear" w:color="auto" w:fill="auto"/>
            <w:vAlign w:val="bottom"/>
          </w:tcPr>
          <w:p w14:paraId="536D9579" w14:textId="77777777" w:rsidR="003269FD" w:rsidRPr="00A44829" w:rsidRDefault="003269FD" w:rsidP="008001AD">
            <w:pPr>
              <w:spacing w:before="40" w:after="40"/>
              <w:jc w:val="center"/>
              <w:rPr>
                <w:rFonts w:cs="Arial"/>
                <w:sz w:val="18"/>
                <w:szCs w:val="18"/>
              </w:rPr>
            </w:pPr>
          </w:p>
        </w:tc>
        <w:tc>
          <w:tcPr>
            <w:tcW w:w="1134" w:type="dxa"/>
            <w:vMerge w:val="restart"/>
            <w:tcBorders>
              <w:top w:val="nil"/>
              <w:left w:val="single" w:sz="18" w:space="0" w:color="5F497A" w:themeColor="accent4" w:themeShade="BF"/>
              <w:bottom w:val="single" w:sz="8" w:space="0" w:color="5F497A" w:themeColor="accent4" w:themeShade="BF"/>
              <w:right w:val="nil"/>
            </w:tcBorders>
            <w:shd w:val="clear" w:color="auto" w:fill="auto"/>
            <w:vAlign w:val="bottom"/>
          </w:tcPr>
          <w:p w14:paraId="2E0C2EA1" w14:textId="3FF81331" w:rsidR="003269FD" w:rsidRPr="00A44829" w:rsidRDefault="003269FD" w:rsidP="008001AD">
            <w:pPr>
              <w:spacing w:before="40" w:after="40"/>
              <w:jc w:val="center"/>
              <w:rPr>
                <w:rFonts w:cs="Arial"/>
                <w:b/>
                <w:sz w:val="18"/>
                <w:szCs w:val="18"/>
              </w:rPr>
            </w:pPr>
            <w:r w:rsidRPr="00A44829">
              <w:rPr>
                <w:rFonts w:cs="Arial"/>
                <w:b/>
                <w:sz w:val="18"/>
                <w:szCs w:val="18"/>
              </w:rPr>
              <w:t xml:space="preserve">Estimated Resident Population </w:t>
            </w:r>
            <w:r w:rsidR="00B7548E" w:rsidRPr="00A44829">
              <w:rPr>
                <w:rFonts w:cs="Arial"/>
                <w:sz w:val="16"/>
                <w:szCs w:val="16"/>
              </w:rPr>
              <w:t>(</w:t>
            </w:r>
            <w:r w:rsidR="00EE4593" w:rsidRPr="00A44829">
              <w:rPr>
                <w:rFonts w:cs="Arial"/>
                <w:sz w:val="16"/>
                <w:szCs w:val="16"/>
              </w:rPr>
              <w:t>June 2018</w:t>
            </w:r>
            <w:r w:rsidR="00B7548E" w:rsidRPr="00A44829">
              <w:rPr>
                <w:rFonts w:cs="Arial"/>
                <w:sz w:val="16"/>
                <w:szCs w:val="16"/>
              </w:rPr>
              <w:t>)</w:t>
            </w:r>
          </w:p>
        </w:tc>
        <w:tc>
          <w:tcPr>
            <w:tcW w:w="2268" w:type="dxa"/>
            <w:gridSpan w:val="2"/>
            <w:tcBorders>
              <w:top w:val="nil"/>
              <w:left w:val="nil"/>
              <w:bottom w:val="single" w:sz="8" w:space="0" w:color="5F497A" w:themeColor="accent4" w:themeShade="BF"/>
              <w:right w:val="nil"/>
            </w:tcBorders>
            <w:shd w:val="clear" w:color="auto" w:fill="auto"/>
            <w:vAlign w:val="bottom"/>
          </w:tcPr>
          <w:p w14:paraId="2465B101" w14:textId="4181BA6C" w:rsidR="003269FD" w:rsidRPr="00A44829" w:rsidRDefault="003269FD" w:rsidP="008001AD">
            <w:pPr>
              <w:spacing w:before="40" w:after="40"/>
              <w:jc w:val="center"/>
              <w:rPr>
                <w:rFonts w:cs="Arial"/>
                <w:b/>
                <w:sz w:val="18"/>
                <w:szCs w:val="18"/>
              </w:rPr>
            </w:pPr>
            <w:r w:rsidRPr="00A44829">
              <w:rPr>
                <w:rFonts w:cs="Arial"/>
                <w:b/>
                <w:sz w:val="18"/>
                <w:szCs w:val="18"/>
              </w:rPr>
              <w:t xml:space="preserve">General Purpose Grants </w:t>
            </w:r>
            <w:r w:rsidR="00EE4593" w:rsidRPr="00A44829">
              <w:rPr>
                <w:rFonts w:cs="Arial"/>
                <w:b/>
                <w:sz w:val="18"/>
                <w:szCs w:val="18"/>
              </w:rPr>
              <w:t>2019-20</w:t>
            </w:r>
          </w:p>
        </w:tc>
        <w:tc>
          <w:tcPr>
            <w:tcW w:w="1134" w:type="dxa"/>
            <w:vMerge w:val="restart"/>
            <w:tcBorders>
              <w:top w:val="nil"/>
              <w:left w:val="nil"/>
              <w:bottom w:val="single" w:sz="8" w:space="0" w:color="5F497A" w:themeColor="accent4" w:themeShade="BF"/>
              <w:right w:val="nil"/>
            </w:tcBorders>
            <w:shd w:val="clear" w:color="auto" w:fill="auto"/>
            <w:vAlign w:val="bottom"/>
          </w:tcPr>
          <w:p w14:paraId="6C443705" w14:textId="2F8F8CFA" w:rsidR="003269FD" w:rsidRPr="00A44829" w:rsidRDefault="003269FD" w:rsidP="008001AD">
            <w:pPr>
              <w:spacing w:before="40" w:after="40"/>
              <w:jc w:val="center"/>
              <w:rPr>
                <w:rFonts w:cs="Arial"/>
                <w:b/>
                <w:sz w:val="18"/>
                <w:szCs w:val="18"/>
              </w:rPr>
            </w:pPr>
            <w:r w:rsidRPr="00A44829">
              <w:rPr>
                <w:rFonts w:cs="Arial"/>
                <w:b/>
                <w:sz w:val="18"/>
                <w:szCs w:val="18"/>
              </w:rPr>
              <w:t xml:space="preserve">Local Road Lengths </w:t>
            </w:r>
            <w:r w:rsidR="004F2BFF" w:rsidRPr="00A44829">
              <w:rPr>
                <w:rFonts w:cs="Arial"/>
                <w:sz w:val="16"/>
                <w:szCs w:val="16"/>
              </w:rPr>
              <w:t>(</w:t>
            </w:r>
            <w:r w:rsidR="00EE4593" w:rsidRPr="00A44829">
              <w:rPr>
                <w:rFonts w:cs="Arial"/>
                <w:sz w:val="16"/>
                <w:szCs w:val="16"/>
              </w:rPr>
              <w:t>June 2018</w:t>
            </w:r>
            <w:r w:rsidR="004F2BFF" w:rsidRPr="00A44829">
              <w:rPr>
                <w:rFonts w:cs="Arial"/>
                <w:sz w:val="16"/>
                <w:szCs w:val="16"/>
              </w:rPr>
              <w:t>)</w:t>
            </w:r>
            <w:r w:rsidRPr="00A44829">
              <w:rPr>
                <w:rFonts w:cs="Arial"/>
                <w:b/>
                <w:sz w:val="18"/>
                <w:szCs w:val="18"/>
              </w:rPr>
              <w:br/>
            </w:r>
            <w:r w:rsidRPr="00A44829">
              <w:rPr>
                <w:rFonts w:cs="Arial"/>
                <w:sz w:val="16"/>
                <w:szCs w:val="16"/>
              </w:rPr>
              <w:t>(kms)</w:t>
            </w:r>
          </w:p>
        </w:tc>
        <w:tc>
          <w:tcPr>
            <w:tcW w:w="2268" w:type="dxa"/>
            <w:gridSpan w:val="2"/>
            <w:tcBorders>
              <w:top w:val="nil"/>
              <w:left w:val="nil"/>
              <w:bottom w:val="single" w:sz="8" w:space="0" w:color="5F497A" w:themeColor="accent4" w:themeShade="BF"/>
              <w:right w:val="nil"/>
            </w:tcBorders>
            <w:shd w:val="clear" w:color="auto" w:fill="auto"/>
            <w:vAlign w:val="bottom"/>
          </w:tcPr>
          <w:p w14:paraId="0FFFBBD9" w14:textId="400AAEF8" w:rsidR="003269FD" w:rsidRPr="00A44829" w:rsidRDefault="003269FD" w:rsidP="008001AD">
            <w:pPr>
              <w:spacing w:before="40" w:after="40"/>
              <w:jc w:val="center"/>
              <w:rPr>
                <w:rFonts w:cs="Arial"/>
                <w:b/>
                <w:sz w:val="18"/>
                <w:szCs w:val="18"/>
              </w:rPr>
            </w:pPr>
            <w:r w:rsidRPr="00A44829">
              <w:rPr>
                <w:rFonts w:cs="Arial"/>
                <w:b/>
                <w:sz w:val="18"/>
                <w:szCs w:val="18"/>
              </w:rPr>
              <w:t xml:space="preserve">Local Roads Grants </w:t>
            </w:r>
            <w:r w:rsidR="00096A72" w:rsidRPr="00A44829">
              <w:rPr>
                <w:rFonts w:cs="Arial"/>
                <w:b/>
                <w:sz w:val="18"/>
                <w:szCs w:val="18"/>
              </w:rPr>
              <w:br/>
            </w:r>
            <w:r w:rsidR="00EE4593" w:rsidRPr="00A44829">
              <w:rPr>
                <w:rFonts w:cs="Arial"/>
                <w:b/>
                <w:sz w:val="18"/>
                <w:szCs w:val="18"/>
              </w:rPr>
              <w:t>2019-20</w:t>
            </w:r>
          </w:p>
        </w:tc>
      </w:tr>
      <w:tr w:rsidR="00502F32" w:rsidRPr="00A44829" w14:paraId="7A2A32F0" w14:textId="77777777" w:rsidTr="00C60457">
        <w:trPr>
          <w:trHeight w:val="20"/>
          <w:tblHeader/>
        </w:trPr>
        <w:tc>
          <w:tcPr>
            <w:tcW w:w="2268" w:type="dxa"/>
            <w:tcBorders>
              <w:top w:val="nil"/>
              <w:left w:val="nil"/>
              <w:right w:val="single" w:sz="18" w:space="0" w:color="5F497A" w:themeColor="accent4" w:themeShade="BF"/>
            </w:tcBorders>
            <w:shd w:val="clear" w:color="auto" w:fill="auto"/>
            <w:vAlign w:val="bottom"/>
          </w:tcPr>
          <w:p w14:paraId="11786157" w14:textId="77777777" w:rsidR="00502F32" w:rsidRPr="00A44829" w:rsidRDefault="00502F32" w:rsidP="008001AD">
            <w:pPr>
              <w:spacing w:before="40" w:after="40"/>
              <w:jc w:val="center"/>
              <w:rPr>
                <w:rFonts w:cs="Arial"/>
                <w:sz w:val="18"/>
                <w:szCs w:val="18"/>
              </w:rPr>
            </w:pPr>
          </w:p>
        </w:tc>
        <w:tc>
          <w:tcPr>
            <w:tcW w:w="1134" w:type="dxa"/>
            <w:vMerge/>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523B10B5" w14:textId="77777777" w:rsidR="00502F32" w:rsidRPr="00A44829" w:rsidRDefault="00502F32" w:rsidP="008001AD">
            <w:pPr>
              <w:spacing w:before="40" w:after="40"/>
              <w:jc w:val="center"/>
              <w:rPr>
                <w:rFonts w:cs="Arial"/>
                <w:b/>
                <w:sz w:val="18"/>
                <w:szCs w:val="18"/>
              </w:rPr>
            </w:pP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3EFCE23F" w14:textId="069EA191" w:rsidR="00502F32" w:rsidRPr="00A44829" w:rsidRDefault="00D818D2" w:rsidP="008001AD">
            <w:pPr>
              <w:spacing w:before="40" w:after="40"/>
              <w:jc w:val="center"/>
              <w:rPr>
                <w:rFonts w:cs="Arial"/>
                <w:sz w:val="16"/>
                <w:szCs w:val="16"/>
              </w:rPr>
            </w:pPr>
            <w:r w:rsidRPr="00A44829">
              <w:rPr>
                <w:rFonts w:cs="Arial"/>
                <w:sz w:val="16"/>
                <w:szCs w:val="16"/>
              </w:rPr>
              <w:t>*</w:t>
            </w:r>
            <w:r w:rsidR="00502F32" w:rsidRPr="00A44829">
              <w:rPr>
                <w:rFonts w:cs="Arial"/>
                <w:sz w:val="16"/>
                <w:szCs w:val="16"/>
              </w:rPr>
              <w:br/>
              <w:t>($)</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06805359" w14:textId="4B7F94B4" w:rsidR="00502F32" w:rsidRPr="00A44829" w:rsidRDefault="000F1D1F" w:rsidP="000F1D1F">
            <w:pPr>
              <w:spacing w:before="40" w:after="40"/>
              <w:jc w:val="center"/>
              <w:rPr>
                <w:rFonts w:cs="Arial"/>
                <w:sz w:val="16"/>
                <w:szCs w:val="16"/>
              </w:rPr>
            </w:pPr>
            <w:r w:rsidRPr="00A44829">
              <w:rPr>
                <w:rFonts w:cs="Arial"/>
                <w:sz w:val="16"/>
                <w:szCs w:val="16"/>
              </w:rPr>
              <w:t>per c</w:t>
            </w:r>
            <w:r w:rsidR="00502F32" w:rsidRPr="00A44829">
              <w:rPr>
                <w:rFonts w:cs="Arial"/>
                <w:sz w:val="16"/>
                <w:szCs w:val="16"/>
              </w:rPr>
              <w:t xml:space="preserve">apita </w:t>
            </w:r>
            <w:r w:rsidR="00D818D2" w:rsidRPr="00A44829">
              <w:rPr>
                <w:rFonts w:cs="Arial"/>
                <w:sz w:val="16"/>
                <w:szCs w:val="16"/>
              </w:rPr>
              <w:t>*</w:t>
            </w:r>
            <w:r w:rsidR="00502F32" w:rsidRPr="00A44829">
              <w:rPr>
                <w:rFonts w:cs="Arial"/>
                <w:sz w:val="16"/>
                <w:szCs w:val="16"/>
              </w:rPr>
              <w:br/>
              <w:t>($/head)</w:t>
            </w:r>
          </w:p>
        </w:tc>
        <w:tc>
          <w:tcPr>
            <w:tcW w:w="1134"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040A2340" w14:textId="77777777" w:rsidR="00502F32" w:rsidRPr="00A44829" w:rsidRDefault="00502F32" w:rsidP="008001AD">
            <w:pPr>
              <w:spacing w:before="40" w:after="40"/>
              <w:jc w:val="center"/>
              <w:rPr>
                <w:rFonts w:cs="Arial"/>
                <w:b/>
                <w:sz w:val="18"/>
                <w:szCs w:val="18"/>
              </w:rPr>
            </w:pP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13F6FE48" w14:textId="77777777" w:rsidR="00502F32" w:rsidRPr="00A44829" w:rsidRDefault="00502F32" w:rsidP="008001AD">
            <w:pPr>
              <w:spacing w:before="40" w:after="40"/>
              <w:jc w:val="center"/>
              <w:rPr>
                <w:rFonts w:cs="Arial"/>
                <w:sz w:val="16"/>
                <w:szCs w:val="16"/>
              </w:rPr>
            </w:pPr>
            <w:r w:rsidRPr="00A44829">
              <w:rPr>
                <w:rFonts w:cs="Arial"/>
                <w:sz w:val="16"/>
                <w:szCs w:val="16"/>
              </w:rPr>
              <w:br/>
              <w:t>($)</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0585D432" w14:textId="77777777" w:rsidR="00502F32" w:rsidRPr="00A44829" w:rsidRDefault="000F1D1F" w:rsidP="000F1D1F">
            <w:pPr>
              <w:spacing w:before="40" w:after="40"/>
              <w:jc w:val="center"/>
              <w:rPr>
                <w:rFonts w:cs="Arial"/>
                <w:sz w:val="16"/>
                <w:szCs w:val="16"/>
              </w:rPr>
            </w:pPr>
            <w:r w:rsidRPr="00A44829">
              <w:rPr>
                <w:rFonts w:cs="Arial"/>
                <w:sz w:val="16"/>
                <w:szCs w:val="16"/>
              </w:rPr>
              <w:t>p</w:t>
            </w:r>
            <w:r w:rsidR="00502F32" w:rsidRPr="00A44829">
              <w:rPr>
                <w:rFonts w:cs="Arial"/>
                <w:sz w:val="16"/>
                <w:szCs w:val="16"/>
              </w:rPr>
              <w:t xml:space="preserve">er </w:t>
            </w:r>
            <w:r w:rsidRPr="00A44829">
              <w:rPr>
                <w:rFonts w:cs="Arial"/>
                <w:sz w:val="16"/>
                <w:szCs w:val="16"/>
              </w:rPr>
              <w:t>k</w:t>
            </w:r>
            <w:r w:rsidR="00502F32" w:rsidRPr="00A44829">
              <w:rPr>
                <w:rFonts w:cs="Arial"/>
                <w:sz w:val="16"/>
                <w:szCs w:val="16"/>
              </w:rPr>
              <w:t>ilometre</w:t>
            </w:r>
            <w:r w:rsidR="00502F32" w:rsidRPr="00A44829">
              <w:rPr>
                <w:rFonts w:cs="Arial"/>
                <w:sz w:val="16"/>
                <w:szCs w:val="16"/>
              </w:rPr>
              <w:br/>
              <w:t>($/km)</w:t>
            </w:r>
          </w:p>
        </w:tc>
      </w:tr>
      <w:tr w:rsidR="00F04730" w:rsidRPr="001D41EA" w14:paraId="6AF61026" w14:textId="77777777" w:rsidTr="00C60457">
        <w:trPr>
          <w:trHeight w:val="20"/>
          <w:tblHeader/>
        </w:trPr>
        <w:tc>
          <w:tcPr>
            <w:tcW w:w="2268" w:type="dxa"/>
            <w:tcBorders>
              <w:left w:val="nil"/>
              <w:bottom w:val="nil"/>
              <w:right w:val="single" w:sz="18" w:space="0" w:color="5F497A" w:themeColor="accent4" w:themeShade="BF"/>
            </w:tcBorders>
            <w:shd w:val="clear" w:color="auto" w:fill="auto"/>
            <w:vAlign w:val="center"/>
          </w:tcPr>
          <w:p w14:paraId="3FF12AE8" w14:textId="77777777" w:rsidR="00F04730" w:rsidRPr="001D41EA" w:rsidRDefault="00F04730" w:rsidP="001D41EA">
            <w:pPr>
              <w:spacing w:before="40" w:after="4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2207DABA" w14:textId="39DB31DC" w:rsidR="00F04730" w:rsidRPr="001D41EA" w:rsidRDefault="00F04730" w:rsidP="001D41EA">
            <w:pPr>
              <w:spacing w:before="40" w:after="4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225EE03F" w14:textId="148C0E00" w:rsidR="00F04730" w:rsidRPr="001D41EA" w:rsidRDefault="00F04730" w:rsidP="001D41EA">
            <w:pPr>
              <w:spacing w:before="40" w:after="4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2CCDA016" w14:textId="4E5E3F2D" w:rsidR="00F04730" w:rsidRPr="001D41EA" w:rsidRDefault="00F04730" w:rsidP="001D41EA">
            <w:pPr>
              <w:spacing w:before="40" w:after="4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6783459B" w14:textId="77777777" w:rsidR="00F04730" w:rsidRPr="001D41EA" w:rsidRDefault="00F04730" w:rsidP="001D41EA">
            <w:pPr>
              <w:spacing w:before="40" w:after="4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32122E71" w14:textId="7A808CDC" w:rsidR="00F04730" w:rsidRPr="001D41EA" w:rsidRDefault="00F04730" w:rsidP="001D41EA">
            <w:pPr>
              <w:spacing w:before="40" w:after="4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7E8C6470" w14:textId="58295E02" w:rsidR="00F04730" w:rsidRPr="001D41EA" w:rsidRDefault="00F04730" w:rsidP="001D41EA">
            <w:pPr>
              <w:spacing w:before="40" w:after="40"/>
              <w:jc w:val="right"/>
              <w:rPr>
                <w:rFonts w:cs="Arial"/>
                <w:sz w:val="18"/>
                <w:szCs w:val="18"/>
              </w:rPr>
            </w:pPr>
            <w:r w:rsidRPr="001D41EA">
              <w:rPr>
                <w:rFonts w:cs="Arial"/>
                <w:sz w:val="18"/>
                <w:szCs w:val="18"/>
              </w:rPr>
              <w:t> </w:t>
            </w:r>
          </w:p>
        </w:tc>
      </w:tr>
      <w:tr w:rsidR="00F04730" w:rsidRPr="001D41EA" w14:paraId="5197D00F"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CD67E8F" w14:textId="7B1D6C5B" w:rsidR="00F04730" w:rsidRPr="001D41EA" w:rsidRDefault="00F04730" w:rsidP="001D41EA">
            <w:pPr>
              <w:tabs>
                <w:tab w:val="right" w:pos="2037"/>
              </w:tabs>
              <w:spacing w:before="40" w:after="40"/>
              <w:rPr>
                <w:rFonts w:cs="Arial"/>
                <w:sz w:val="18"/>
                <w:szCs w:val="18"/>
              </w:rPr>
            </w:pPr>
            <w:r w:rsidRPr="001D41EA">
              <w:rPr>
                <w:rFonts w:cs="Arial"/>
                <w:sz w:val="18"/>
                <w:szCs w:val="18"/>
              </w:rPr>
              <w:t>Alpine S</w:t>
            </w:r>
            <w:r w:rsidR="00626246" w:rsidRPr="001D41EA">
              <w:rPr>
                <w:rFonts w:cs="Arial"/>
                <w:sz w:val="18"/>
                <w:szCs w:val="18"/>
              </w:rPr>
              <w:t xml:space="preserve"> </w:t>
            </w:r>
            <w:r w:rsidRPr="001D41EA">
              <w:rPr>
                <w:rFonts w:cs="Arial"/>
                <w:sz w:val="18"/>
                <w:szCs w:val="18"/>
              </w:rPr>
              <w:t xml:space="preserve"> *</w:t>
            </w:r>
            <w:r w:rsidR="00626246" w:rsidRPr="001D41EA">
              <w:rPr>
                <w:rFonts w:cs="Arial"/>
                <w:sz w:val="18"/>
                <w:szCs w:val="18"/>
              </w:rPr>
              <w:tab/>
            </w:r>
          </w:p>
        </w:tc>
        <w:tc>
          <w:tcPr>
            <w:tcW w:w="1134" w:type="dxa"/>
            <w:tcBorders>
              <w:top w:val="nil"/>
              <w:left w:val="single" w:sz="18" w:space="0" w:color="5F497A" w:themeColor="accent4" w:themeShade="BF"/>
              <w:bottom w:val="nil"/>
              <w:right w:val="nil"/>
            </w:tcBorders>
            <w:shd w:val="clear" w:color="auto" w:fill="auto"/>
            <w:vAlign w:val="bottom"/>
          </w:tcPr>
          <w:p w14:paraId="4BC21E6C" w14:textId="46085B07" w:rsidR="00F04730" w:rsidRPr="001D41EA" w:rsidRDefault="00F04730" w:rsidP="001D41EA">
            <w:pPr>
              <w:spacing w:before="40" w:after="40"/>
              <w:jc w:val="right"/>
              <w:rPr>
                <w:rFonts w:cs="Arial"/>
                <w:sz w:val="18"/>
                <w:szCs w:val="18"/>
              </w:rPr>
            </w:pPr>
            <w:r w:rsidRPr="001D41EA">
              <w:rPr>
                <w:rFonts w:cs="Arial"/>
                <w:sz w:val="18"/>
                <w:szCs w:val="18"/>
              </w:rPr>
              <w:t>13,202</w:t>
            </w:r>
          </w:p>
        </w:tc>
        <w:tc>
          <w:tcPr>
            <w:tcW w:w="1134" w:type="dxa"/>
            <w:tcBorders>
              <w:top w:val="nil"/>
              <w:left w:val="nil"/>
              <w:bottom w:val="nil"/>
              <w:right w:val="nil"/>
            </w:tcBorders>
            <w:shd w:val="clear" w:color="auto" w:fill="auto"/>
            <w:vAlign w:val="bottom"/>
          </w:tcPr>
          <w:p w14:paraId="7115F36B" w14:textId="4998EF63" w:rsidR="00F04730" w:rsidRPr="001D41EA" w:rsidRDefault="00F04730" w:rsidP="001D41EA">
            <w:pPr>
              <w:spacing w:before="40" w:after="40"/>
              <w:jc w:val="right"/>
              <w:rPr>
                <w:rFonts w:cs="Arial"/>
                <w:sz w:val="18"/>
                <w:szCs w:val="18"/>
              </w:rPr>
            </w:pPr>
            <w:r w:rsidRPr="001D41EA">
              <w:rPr>
                <w:rFonts w:cs="Arial"/>
                <w:sz w:val="18"/>
                <w:szCs w:val="18"/>
              </w:rPr>
              <w:t>2,834,885</w:t>
            </w:r>
          </w:p>
        </w:tc>
        <w:tc>
          <w:tcPr>
            <w:tcW w:w="1134" w:type="dxa"/>
            <w:tcBorders>
              <w:top w:val="nil"/>
              <w:left w:val="nil"/>
              <w:bottom w:val="nil"/>
              <w:right w:val="nil"/>
            </w:tcBorders>
            <w:shd w:val="clear" w:color="auto" w:fill="auto"/>
            <w:vAlign w:val="bottom"/>
          </w:tcPr>
          <w:p w14:paraId="72283612" w14:textId="0B248C9F" w:rsidR="00F04730" w:rsidRPr="001D41EA" w:rsidRDefault="00F04730" w:rsidP="001D41EA">
            <w:pPr>
              <w:spacing w:before="40" w:after="40"/>
              <w:jc w:val="right"/>
              <w:rPr>
                <w:rFonts w:cs="Arial"/>
                <w:sz w:val="18"/>
                <w:szCs w:val="18"/>
              </w:rPr>
            </w:pPr>
            <w:r w:rsidRPr="001D41EA">
              <w:rPr>
                <w:rFonts w:cs="Arial"/>
                <w:sz w:val="18"/>
                <w:szCs w:val="18"/>
              </w:rPr>
              <w:t>214.73</w:t>
            </w:r>
          </w:p>
        </w:tc>
        <w:tc>
          <w:tcPr>
            <w:tcW w:w="1134" w:type="dxa"/>
            <w:tcBorders>
              <w:top w:val="nil"/>
              <w:left w:val="nil"/>
              <w:bottom w:val="nil"/>
              <w:right w:val="nil"/>
            </w:tcBorders>
            <w:shd w:val="clear" w:color="auto" w:fill="auto"/>
            <w:vAlign w:val="bottom"/>
          </w:tcPr>
          <w:p w14:paraId="0BAF4774" w14:textId="14337992" w:rsidR="00F04730" w:rsidRPr="001D41EA" w:rsidRDefault="00F04730" w:rsidP="001D41EA">
            <w:pPr>
              <w:spacing w:before="40" w:after="40"/>
              <w:jc w:val="right"/>
              <w:rPr>
                <w:rFonts w:cs="Arial"/>
                <w:sz w:val="18"/>
                <w:szCs w:val="18"/>
              </w:rPr>
            </w:pPr>
            <w:r w:rsidRPr="001D41EA">
              <w:rPr>
                <w:rFonts w:cs="Arial"/>
                <w:sz w:val="18"/>
                <w:szCs w:val="18"/>
              </w:rPr>
              <w:t>793</w:t>
            </w:r>
          </w:p>
        </w:tc>
        <w:tc>
          <w:tcPr>
            <w:tcW w:w="1134" w:type="dxa"/>
            <w:tcBorders>
              <w:top w:val="nil"/>
              <w:left w:val="nil"/>
              <w:bottom w:val="nil"/>
              <w:right w:val="nil"/>
            </w:tcBorders>
            <w:shd w:val="clear" w:color="auto" w:fill="auto"/>
            <w:vAlign w:val="bottom"/>
          </w:tcPr>
          <w:p w14:paraId="5E54EACE" w14:textId="15CB864C" w:rsidR="00F04730" w:rsidRPr="001D41EA" w:rsidRDefault="00F04730" w:rsidP="001D41EA">
            <w:pPr>
              <w:spacing w:before="40" w:after="40"/>
              <w:jc w:val="right"/>
              <w:rPr>
                <w:rFonts w:cs="Arial"/>
                <w:sz w:val="18"/>
                <w:szCs w:val="18"/>
              </w:rPr>
            </w:pPr>
            <w:r w:rsidRPr="001D41EA">
              <w:rPr>
                <w:rFonts w:cs="Arial"/>
                <w:sz w:val="18"/>
                <w:szCs w:val="18"/>
              </w:rPr>
              <w:t>1,117,399</w:t>
            </w:r>
          </w:p>
        </w:tc>
        <w:tc>
          <w:tcPr>
            <w:tcW w:w="1134" w:type="dxa"/>
            <w:tcBorders>
              <w:top w:val="nil"/>
              <w:left w:val="nil"/>
              <w:bottom w:val="nil"/>
              <w:right w:val="nil"/>
            </w:tcBorders>
            <w:shd w:val="clear" w:color="auto" w:fill="auto"/>
            <w:vAlign w:val="bottom"/>
          </w:tcPr>
          <w:p w14:paraId="7AC0CD7B" w14:textId="3BEBC430" w:rsidR="00F04730" w:rsidRPr="001D41EA" w:rsidRDefault="00F04730" w:rsidP="001D41EA">
            <w:pPr>
              <w:spacing w:before="40" w:after="40"/>
              <w:jc w:val="right"/>
              <w:rPr>
                <w:rFonts w:cs="Arial"/>
                <w:sz w:val="18"/>
                <w:szCs w:val="18"/>
              </w:rPr>
            </w:pPr>
            <w:r w:rsidRPr="001D41EA">
              <w:rPr>
                <w:rFonts w:cs="Arial"/>
                <w:sz w:val="18"/>
                <w:szCs w:val="18"/>
              </w:rPr>
              <w:t>1,408.37</w:t>
            </w:r>
          </w:p>
        </w:tc>
      </w:tr>
      <w:tr w:rsidR="00F04730" w:rsidRPr="001D41EA" w14:paraId="015489A7"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4815AA56" w14:textId="282222A6" w:rsidR="00F04730" w:rsidRPr="001D41EA" w:rsidRDefault="00F04730" w:rsidP="001D41EA">
            <w:pPr>
              <w:tabs>
                <w:tab w:val="right" w:pos="2037"/>
              </w:tabs>
              <w:spacing w:before="40" w:after="40"/>
              <w:rPr>
                <w:rFonts w:cs="Arial"/>
                <w:sz w:val="18"/>
                <w:szCs w:val="18"/>
              </w:rPr>
            </w:pPr>
            <w:r w:rsidRPr="001D41EA">
              <w:rPr>
                <w:rFonts w:cs="Arial"/>
                <w:sz w:val="18"/>
                <w:szCs w:val="18"/>
              </w:rPr>
              <w:t>Ararat RC</w:t>
            </w:r>
            <w:r w:rsidR="00626246" w:rsidRPr="001D41EA">
              <w:rPr>
                <w:rFonts w:cs="Arial"/>
                <w:sz w:val="18"/>
                <w:szCs w:val="18"/>
              </w:rPr>
              <w:t xml:space="preserve">  *</w:t>
            </w:r>
            <w:r w:rsidR="00626246" w:rsidRPr="001D41EA">
              <w:rPr>
                <w:rFonts w:cs="Arial"/>
                <w:sz w:val="18"/>
                <w:szCs w:val="18"/>
              </w:rPr>
              <w:tab/>
            </w:r>
          </w:p>
        </w:tc>
        <w:tc>
          <w:tcPr>
            <w:tcW w:w="1134" w:type="dxa"/>
            <w:tcBorders>
              <w:top w:val="nil"/>
              <w:left w:val="single" w:sz="18" w:space="0" w:color="5F497A" w:themeColor="accent4" w:themeShade="BF"/>
              <w:bottom w:val="nil"/>
              <w:right w:val="nil"/>
            </w:tcBorders>
            <w:shd w:val="clear" w:color="auto" w:fill="auto"/>
            <w:vAlign w:val="bottom"/>
          </w:tcPr>
          <w:p w14:paraId="02348BC0" w14:textId="5ED23037" w:rsidR="00F04730" w:rsidRPr="001D41EA" w:rsidRDefault="00F04730" w:rsidP="001D41EA">
            <w:pPr>
              <w:spacing w:before="40" w:after="40"/>
              <w:jc w:val="right"/>
              <w:rPr>
                <w:rFonts w:cs="Arial"/>
                <w:sz w:val="18"/>
                <w:szCs w:val="18"/>
              </w:rPr>
            </w:pPr>
            <w:r w:rsidRPr="001D41EA">
              <w:rPr>
                <w:rFonts w:cs="Arial"/>
                <w:sz w:val="18"/>
                <w:szCs w:val="18"/>
              </w:rPr>
              <w:t>11,795</w:t>
            </w:r>
          </w:p>
        </w:tc>
        <w:tc>
          <w:tcPr>
            <w:tcW w:w="1134" w:type="dxa"/>
            <w:tcBorders>
              <w:top w:val="nil"/>
              <w:left w:val="nil"/>
              <w:bottom w:val="nil"/>
              <w:right w:val="nil"/>
            </w:tcBorders>
            <w:shd w:val="clear" w:color="auto" w:fill="auto"/>
            <w:vAlign w:val="bottom"/>
          </w:tcPr>
          <w:p w14:paraId="34E1E472" w14:textId="40909276" w:rsidR="00F04730" w:rsidRPr="001D41EA" w:rsidRDefault="00F04730" w:rsidP="001D41EA">
            <w:pPr>
              <w:spacing w:before="40" w:after="40"/>
              <w:jc w:val="right"/>
              <w:rPr>
                <w:rFonts w:cs="Arial"/>
                <w:sz w:val="18"/>
                <w:szCs w:val="18"/>
              </w:rPr>
            </w:pPr>
            <w:r w:rsidRPr="001D41EA">
              <w:rPr>
                <w:rFonts w:cs="Arial"/>
                <w:sz w:val="18"/>
                <w:szCs w:val="18"/>
              </w:rPr>
              <w:t>3,839,914</w:t>
            </w:r>
          </w:p>
        </w:tc>
        <w:tc>
          <w:tcPr>
            <w:tcW w:w="1134" w:type="dxa"/>
            <w:tcBorders>
              <w:top w:val="nil"/>
              <w:left w:val="nil"/>
              <w:bottom w:val="nil"/>
              <w:right w:val="nil"/>
            </w:tcBorders>
            <w:shd w:val="clear" w:color="auto" w:fill="auto"/>
            <w:vAlign w:val="bottom"/>
          </w:tcPr>
          <w:p w14:paraId="5905BCE3" w14:textId="054F829A" w:rsidR="00F04730" w:rsidRPr="001D41EA" w:rsidRDefault="00F04730" w:rsidP="001D41EA">
            <w:pPr>
              <w:spacing w:before="40" w:after="40"/>
              <w:jc w:val="right"/>
              <w:rPr>
                <w:rFonts w:cs="Arial"/>
                <w:sz w:val="18"/>
                <w:szCs w:val="18"/>
              </w:rPr>
            </w:pPr>
            <w:r w:rsidRPr="001D41EA">
              <w:rPr>
                <w:rFonts w:cs="Arial"/>
                <w:sz w:val="18"/>
                <w:szCs w:val="18"/>
              </w:rPr>
              <w:t>325.55</w:t>
            </w:r>
          </w:p>
        </w:tc>
        <w:tc>
          <w:tcPr>
            <w:tcW w:w="1134" w:type="dxa"/>
            <w:tcBorders>
              <w:top w:val="nil"/>
              <w:left w:val="nil"/>
              <w:bottom w:val="nil"/>
              <w:right w:val="nil"/>
            </w:tcBorders>
            <w:shd w:val="clear" w:color="auto" w:fill="auto"/>
            <w:vAlign w:val="bottom"/>
          </w:tcPr>
          <w:p w14:paraId="4C2C2848" w14:textId="5651F73B" w:rsidR="00F04730" w:rsidRPr="001D41EA" w:rsidRDefault="00F04730" w:rsidP="001D41EA">
            <w:pPr>
              <w:spacing w:before="40" w:after="40"/>
              <w:jc w:val="right"/>
              <w:rPr>
                <w:rFonts w:cs="Arial"/>
                <w:sz w:val="18"/>
                <w:szCs w:val="18"/>
              </w:rPr>
            </w:pPr>
            <w:r w:rsidRPr="001D41EA">
              <w:rPr>
                <w:rFonts w:cs="Arial"/>
                <w:sz w:val="18"/>
                <w:szCs w:val="18"/>
              </w:rPr>
              <w:t>2,364</w:t>
            </w:r>
          </w:p>
        </w:tc>
        <w:tc>
          <w:tcPr>
            <w:tcW w:w="1134" w:type="dxa"/>
            <w:tcBorders>
              <w:top w:val="nil"/>
              <w:left w:val="nil"/>
              <w:bottom w:val="nil"/>
              <w:right w:val="nil"/>
            </w:tcBorders>
            <w:shd w:val="clear" w:color="auto" w:fill="auto"/>
            <w:vAlign w:val="bottom"/>
          </w:tcPr>
          <w:p w14:paraId="55122780" w14:textId="21866F7F" w:rsidR="00F04730" w:rsidRPr="001D41EA" w:rsidRDefault="00F04730" w:rsidP="001D41EA">
            <w:pPr>
              <w:spacing w:before="40" w:after="40"/>
              <w:jc w:val="right"/>
              <w:rPr>
                <w:rFonts w:cs="Arial"/>
                <w:sz w:val="18"/>
                <w:szCs w:val="18"/>
              </w:rPr>
            </w:pPr>
            <w:r w:rsidRPr="001D41EA">
              <w:rPr>
                <w:rFonts w:cs="Arial"/>
                <w:sz w:val="18"/>
                <w:szCs w:val="18"/>
              </w:rPr>
              <w:t>2,292,110</w:t>
            </w:r>
          </w:p>
        </w:tc>
        <w:tc>
          <w:tcPr>
            <w:tcW w:w="1134" w:type="dxa"/>
            <w:tcBorders>
              <w:top w:val="nil"/>
              <w:left w:val="nil"/>
              <w:bottom w:val="nil"/>
              <w:right w:val="nil"/>
            </w:tcBorders>
            <w:shd w:val="clear" w:color="auto" w:fill="auto"/>
            <w:vAlign w:val="bottom"/>
          </w:tcPr>
          <w:p w14:paraId="34822F12" w14:textId="3D70258A" w:rsidR="00F04730" w:rsidRPr="001D41EA" w:rsidRDefault="00F04730" w:rsidP="001D41EA">
            <w:pPr>
              <w:spacing w:before="40" w:after="40"/>
              <w:jc w:val="right"/>
              <w:rPr>
                <w:rFonts w:cs="Arial"/>
                <w:sz w:val="18"/>
                <w:szCs w:val="18"/>
              </w:rPr>
            </w:pPr>
            <w:r w:rsidRPr="001D41EA">
              <w:rPr>
                <w:rFonts w:cs="Arial"/>
                <w:sz w:val="18"/>
                <w:szCs w:val="18"/>
              </w:rPr>
              <w:t>969.59</w:t>
            </w:r>
          </w:p>
        </w:tc>
      </w:tr>
      <w:tr w:rsidR="00F04730" w:rsidRPr="001D41EA" w14:paraId="0D80A368"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331836B" w14:textId="230D9ADA" w:rsidR="00F04730" w:rsidRPr="001D41EA" w:rsidRDefault="00F04730" w:rsidP="001D41EA">
            <w:pPr>
              <w:tabs>
                <w:tab w:val="right" w:pos="2037"/>
              </w:tabs>
              <w:spacing w:before="40" w:after="40"/>
              <w:rPr>
                <w:rFonts w:cs="Arial"/>
                <w:sz w:val="18"/>
                <w:szCs w:val="18"/>
              </w:rPr>
            </w:pPr>
            <w:r w:rsidRPr="001D41EA">
              <w:rPr>
                <w:rFonts w:cs="Arial"/>
                <w:sz w:val="18"/>
                <w:szCs w:val="18"/>
              </w:rPr>
              <w:t>Ballarat C</w:t>
            </w:r>
            <w:r w:rsidR="00626246" w:rsidRPr="001D41EA">
              <w:rPr>
                <w:rFonts w:cs="Arial"/>
                <w:sz w:val="18"/>
                <w:szCs w:val="18"/>
              </w:rPr>
              <w:t xml:space="preserve">  *</w:t>
            </w:r>
            <w:r w:rsidR="00626246" w:rsidRPr="001D41EA">
              <w:rPr>
                <w:rFonts w:cs="Arial"/>
                <w:sz w:val="18"/>
                <w:szCs w:val="18"/>
              </w:rPr>
              <w:tab/>
            </w:r>
          </w:p>
        </w:tc>
        <w:tc>
          <w:tcPr>
            <w:tcW w:w="1134" w:type="dxa"/>
            <w:tcBorders>
              <w:top w:val="nil"/>
              <w:left w:val="single" w:sz="18" w:space="0" w:color="5F497A" w:themeColor="accent4" w:themeShade="BF"/>
              <w:bottom w:val="nil"/>
              <w:right w:val="nil"/>
            </w:tcBorders>
            <w:shd w:val="clear" w:color="auto" w:fill="auto"/>
            <w:vAlign w:val="bottom"/>
          </w:tcPr>
          <w:p w14:paraId="3D8B58BE" w14:textId="125D0723" w:rsidR="00F04730" w:rsidRPr="001D41EA" w:rsidRDefault="00F04730" w:rsidP="001D41EA">
            <w:pPr>
              <w:spacing w:before="40" w:after="40"/>
              <w:jc w:val="right"/>
              <w:rPr>
                <w:rFonts w:cs="Arial"/>
                <w:sz w:val="18"/>
                <w:szCs w:val="18"/>
              </w:rPr>
            </w:pPr>
            <w:r w:rsidRPr="001D41EA">
              <w:rPr>
                <w:rFonts w:cs="Arial"/>
                <w:sz w:val="18"/>
                <w:szCs w:val="18"/>
              </w:rPr>
              <w:t>107,325</w:t>
            </w:r>
          </w:p>
        </w:tc>
        <w:tc>
          <w:tcPr>
            <w:tcW w:w="1134" w:type="dxa"/>
            <w:tcBorders>
              <w:top w:val="nil"/>
              <w:left w:val="nil"/>
              <w:bottom w:val="nil"/>
              <w:right w:val="nil"/>
            </w:tcBorders>
            <w:shd w:val="clear" w:color="auto" w:fill="auto"/>
            <w:vAlign w:val="bottom"/>
          </w:tcPr>
          <w:p w14:paraId="25D85132" w14:textId="15E781B0" w:rsidR="00F04730" w:rsidRPr="001D41EA" w:rsidRDefault="00F04730" w:rsidP="001D41EA">
            <w:pPr>
              <w:spacing w:before="40" w:after="40"/>
              <w:jc w:val="right"/>
              <w:rPr>
                <w:rFonts w:cs="Arial"/>
                <w:sz w:val="18"/>
                <w:szCs w:val="18"/>
              </w:rPr>
            </w:pPr>
            <w:r w:rsidRPr="001D41EA">
              <w:rPr>
                <w:rFonts w:cs="Arial"/>
                <w:sz w:val="18"/>
                <w:szCs w:val="18"/>
              </w:rPr>
              <w:t>11,155,892</w:t>
            </w:r>
          </w:p>
        </w:tc>
        <w:tc>
          <w:tcPr>
            <w:tcW w:w="1134" w:type="dxa"/>
            <w:tcBorders>
              <w:top w:val="nil"/>
              <w:left w:val="nil"/>
              <w:bottom w:val="nil"/>
              <w:right w:val="nil"/>
            </w:tcBorders>
            <w:shd w:val="clear" w:color="auto" w:fill="auto"/>
            <w:vAlign w:val="bottom"/>
          </w:tcPr>
          <w:p w14:paraId="76AFB6FD" w14:textId="6D670AB6" w:rsidR="00F04730" w:rsidRPr="001D41EA" w:rsidRDefault="00F04730" w:rsidP="001D41EA">
            <w:pPr>
              <w:spacing w:before="40" w:after="40"/>
              <w:jc w:val="right"/>
              <w:rPr>
                <w:rFonts w:cs="Arial"/>
                <w:sz w:val="18"/>
                <w:szCs w:val="18"/>
              </w:rPr>
            </w:pPr>
            <w:r w:rsidRPr="001D41EA">
              <w:rPr>
                <w:rFonts w:cs="Arial"/>
                <w:sz w:val="18"/>
                <w:szCs w:val="18"/>
              </w:rPr>
              <w:t>103.94</w:t>
            </w:r>
          </w:p>
        </w:tc>
        <w:tc>
          <w:tcPr>
            <w:tcW w:w="1134" w:type="dxa"/>
            <w:tcBorders>
              <w:top w:val="nil"/>
              <w:left w:val="nil"/>
              <w:bottom w:val="nil"/>
              <w:right w:val="nil"/>
            </w:tcBorders>
            <w:shd w:val="clear" w:color="auto" w:fill="auto"/>
            <w:vAlign w:val="bottom"/>
          </w:tcPr>
          <w:p w14:paraId="4E0C0138" w14:textId="2512D6CA" w:rsidR="00F04730" w:rsidRPr="001D41EA" w:rsidRDefault="00F04730" w:rsidP="001D41EA">
            <w:pPr>
              <w:spacing w:before="40" w:after="40"/>
              <w:jc w:val="right"/>
              <w:rPr>
                <w:rFonts w:cs="Arial"/>
                <w:sz w:val="18"/>
                <w:szCs w:val="18"/>
              </w:rPr>
            </w:pPr>
            <w:r w:rsidRPr="001D41EA">
              <w:rPr>
                <w:rFonts w:cs="Arial"/>
                <w:sz w:val="18"/>
                <w:szCs w:val="18"/>
              </w:rPr>
              <w:t>1,417</w:t>
            </w:r>
          </w:p>
        </w:tc>
        <w:tc>
          <w:tcPr>
            <w:tcW w:w="1134" w:type="dxa"/>
            <w:tcBorders>
              <w:top w:val="nil"/>
              <w:left w:val="nil"/>
              <w:bottom w:val="nil"/>
              <w:right w:val="nil"/>
            </w:tcBorders>
            <w:shd w:val="clear" w:color="auto" w:fill="auto"/>
            <w:vAlign w:val="bottom"/>
          </w:tcPr>
          <w:p w14:paraId="3D979E2E" w14:textId="5EC6C1CC" w:rsidR="00F04730" w:rsidRPr="001D41EA" w:rsidRDefault="00F04730" w:rsidP="001D41EA">
            <w:pPr>
              <w:spacing w:before="40" w:after="40"/>
              <w:jc w:val="right"/>
              <w:rPr>
                <w:rFonts w:cs="Arial"/>
                <w:sz w:val="18"/>
                <w:szCs w:val="18"/>
              </w:rPr>
            </w:pPr>
            <w:r w:rsidRPr="001D41EA">
              <w:rPr>
                <w:rFonts w:cs="Arial"/>
                <w:sz w:val="18"/>
                <w:szCs w:val="18"/>
              </w:rPr>
              <w:t>2,427,362</w:t>
            </w:r>
          </w:p>
        </w:tc>
        <w:tc>
          <w:tcPr>
            <w:tcW w:w="1134" w:type="dxa"/>
            <w:tcBorders>
              <w:top w:val="nil"/>
              <w:left w:val="nil"/>
              <w:bottom w:val="nil"/>
              <w:right w:val="nil"/>
            </w:tcBorders>
            <w:shd w:val="clear" w:color="auto" w:fill="auto"/>
            <w:vAlign w:val="bottom"/>
          </w:tcPr>
          <w:p w14:paraId="7C9C2692" w14:textId="0A0594B7" w:rsidR="00F04730" w:rsidRPr="001D41EA" w:rsidRDefault="00F04730" w:rsidP="001D41EA">
            <w:pPr>
              <w:spacing w:before="40" w:after="40"/>
              <w:jc w:val="right"/>
              <w:rPr>
                <w:rFonts w:cs="Arial"/>
                <w:sz w:val="18"/>
                <w:szCs w:val="18"/>
              </w:rPr>
            </w:pPr>
            <w:r w:rsidRPr="001D41EA">
              <w:rPr>
                <w:rFonts w:cs="Arial"/>
                <w:sz w:val="18"/>
                <w:szCs w:val="18"/>
              </w:rPr>
              <w:t>1,713.03</w:t>
            </w:r>
          </w:p>
        </w:tc>
      </w:tr>
      <w:tr w:rsidR="00F04730" w:rsidRPr="001D41EA" w14:paraId="301D2349"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B0983B5" w14:textId="2758C642"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Banyule C </w:t>
            </w:r>
          </w:p>
        </w:tc>
        <w:tc>
          <w:tcPr>
            <w:tcW w:w="1134" w:type="dxa"/>
            <w:tcBorders>
              <w:top w:val="nil"/>
              <w:left w:val="single" w:sz="18" w:space="0" w:color="5F497A" w:themeColor="accent4" w:themeShade="BF"/>
              <w:bottom w:val="nil"/>
              <w:right w:val="nil"/>
            </w:tcBorders>
            <w:shd w:val="clear" w:color="auto" w:fill="auto"/>
            <w:vAlign w:val="bottom"/>
          </w:tcPr>
          <w:p w14:paraId="570E6FB3" w14:textId="1326EFA6" w:rsidR="00F04730" w:rsidRPr="001D41EA" w:rsidRDefault="00F04730" w:rsidP="001D41EA">
            <w:pPr>
              <w:spacing w:before="40" w:after="40"/>
              <w:jc w:val="right"/>
              <w:rPr>
                <w:rFonts w:cs="Arial"/>
                <w:sz w:val="18"/>
                <w:szCs w:val="18"/>
              </w:rPr>
            </w:pPr>
            <w:r w:rsidRPr="001D41EA">
              <w:rPr>
                <w:rFonts w:cs="Arial"/>
                <w:sz w:val="18"/>
                <w:szCs w:val="18"/>
              </w:rPr>
              <w:t>130,237</w:t>
            </w:r>
          </w:p>
        </w:tc>
        <w:tc>
          <w:tcPr>
            <w:tcW w:w="1134" w:type="dxa"/>
            <w:tcBorders>
              <w:top w:val="nil"/>
              <w:left w:val="nil"/>
              <w:bottom w:val="nil"/>
              <w:right w:val="nil"/>
            </w:tcBorders>
            <w:shd w:val="clear" w:color="auto" w:fill="auto"/>
            <w:vAlign w:val="bottom"/>
          </w:tcPr>
          <w:p w14:paraId="5FE001AA" w14:textId="57C46B80" w:rsidR="00F04730" w:rsidRPr="001D41EA" w:rsidRDefault="00F04730" w:rsidP="001D41EA">
            <w:pPr>
              <w:spacing w:before="40" w:after="40"/>
              <w:jc w:val="right"/>
              <w:rPr>
                <w:rFonts w:cs="Arial"/>
                <w:sz w:val="18"/>
                <w:szCs w:val="18"/>
              </w:rPr>
            </w:pPr>
            <w:r w:rsidRPr="001D41EA">
              <w:rPr>
                <w:rFonts w:cs="Arial"/>
                <w:sz w:val="18"/>
                <w:szCs w:val="18"/>
              </w:rPr>
              <w:t>2,755,159</w:t>
            </w:r>
          </w:p>
        </w:tc>
        <w:tc>
          <w:tcPr>
            <w:tcW w:w="1134" w:type="dxa"/>
            <w:tcBorders>
              <w:top w:val="nil"/>
              <w:left w:val="nil"/>
              <w:bottom w:val="nil"/>
              <w:right w:val="nil"/>
            </w:tcBorders>
            <w:shd w:val="clear" w:color="auto" w:fill="auto"/>
            <w:vAlign w:val="bottom"/>
          </w:tcPr>
          <w:p w14:paraId="2FACB638" w14:textId="255CF02F" w:rsidR="00F04730" w:rsidRPr="001D41EA" w:rsidRDefault="00F04730" w:rsidP="001D41EA">
            <w:pPr>
              <w:spacing w:before="40" w:after="40"/>
              <w:jc w:val="right"/>
              <w:rPr>
                <w:rFonts w:cs="Arial"/>
                <w:sz w:val="18"/>
                <w:szCs w:val="18"/>
              </w:rPr>
            </w:pPr>
            <w:r w:rsidRPr="001D41EA">
              <w:rPr>
                <w:rFonts w:cs="Arial"/>
                <w:sz w:val="18"/>
                <w:szCs w:val="18"/>
              </w:rPr>
              <w:t>21.15</w:t>
            </w:r>
          </w:p>
        </w:tc>
        <w:tc>
          <w:tcPr>
            <w:tcW w:w="1134" w:type="dxa"/>
            <w:tcBorders>
              <w:top w:val="nil"/>
              <w:left w:val="nil"/>
              <w:bottom w:val="nil"/>
              <w:right w:val="nil"/>
            </w:tcBorders>
            <w:shd w:val="clear" w:color="auto" w:fill="auto"/>
            <w:vAlign w:val="bottom"/>
          </w:tcPr>
          <w:p w14:paraId="0FD7458F" w14:textId="7976F704" w:rsidR="00F04730" w:rsidRPr="001D41EA" w:rsidRDefault="00F04730" w:rsidP="001D41EA">
            <w:pPr>
              <w:spacing w:before="40" w:after="40"/>
              <w:jc w:val="right"/>
              <w:rPr>
                <w:rFonts w:cs="Arial"/>
                <w:sz w:val="18"/>
                <w:szCs w:val="18"/>
              </w:rPr>
            </w:pPr>
            <w:r w:rsidRPr="001D41EA">
              <w:rPr>
                <w:rFonts w:cs="Arial"/>
                <w:sz w:val="18"/>
                <w:szCs w:val="18"/>
              </w:rPr>
              <w:t>545</w:t>
            </w:r>
          </w:p>
        </w:tc>
        <w:tc>
          <w:tcPr>
            <w:tcW w:w="1134" w:type="dxa"/>
            <w:tcBorders>
              <w:top w:val="nil"/>
              <w:left w:val="nil"/>
              <w:bottom w:val="nil"/>
              <w:right w:val="nil"/>
            </w:tcBorders>
            <w:shd w:val="clear" w:color="auto" w:fill="auto"/>
            <w:vAlign w:val="bottom"/>
          </w:tcPr>
          <w:p w14:paraId="50942FCD" w14:textId="63EF3A47" w:rsidR="00F04730" w:rsidRPr="001D41EA" w:rsidRDefault="00F04730" w:rsidP="001D41EA">
            <w:pPr>
              <w:spacing w:before="40" w:after="40"/>
              <w:jc w:val="right"/>
              <w:rPr>
                <w:rFonts w:cs="Arial"/>
                <w:sz w:val="18"/>
                <w:szCs w:val="18"/>
              </w:rPr>
            </w:pPr>
            <w:r w:rsidRPr="001D41EA">
              <w:rPr>
                <w:rFonts w:cs="Arial"/>
                <w:sz w:val="18"/>
                <w:szCs w:val="18"/>
              </w:rPr>
              <w:t>970,737</w:t>
            </w:r>
          </w:p>
        </w:tc>
        <w:tc>
          <w:tcPr>
            <w:tcW w:w="1134" w:type="dxa"/>
            <w:tcBorders>
              <w:top w:val="nil"/>
              <w:left w:val="nil"/>
              <w:bottom w:val="nil"/>
              <w:right w:val="nil"/>
            </w:tcBorders>
            <w:shd w:val="clear" w:color="auto" w:fill="auto"/>
            <w:vAlign w:val="bottom"/>
          </w:tcPr>
          <w:p w14:paraId="5FFAB5CB" w14:textId="6B9BB04C" w:rsidR="00F04730" w:rsidRPr="001D41EA" w:rsidRDefault="00F04730" w:rsidP="001D41EA">
            <w:pPr>
              <w:spacing w:before="40" w:after="40"/>
              <w:jc w:val="right"/>
              <w:rPr>
                <w:rFonts w:cs="Arial"/>
                <w:sz w:val="18"/>
                <w:szCs w:val="18"/>
              </w:rPr>
            </w:pPr>
            <w:r w:rsidRPr="001D41EA">
              <w:rPr>
                <w:rFonts w:cs="Arial"/>
                <w:sz w:val="18"/>
                <w:szCs w:val="18"/>
              </w:rPr>
              <w:t>1,781.17</w:t>
            </w:r>
          </w:p>
        </w:tc>
      </w:tr>
      <w:tr w:rsidR="00F04730" w:rsidRPr="001D41EA" w14:paraId="14FC4555"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8DF68A1" w14:textId="00F31827"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Bass Coast S </w:t>
            </w:r>
          </w:p>
        </w:tc>
        <w:tc>
          <w:tcPr>
            <w:tcW w:w="1134" w:type="dxa"/>
            <w:tcBorders>
              <w:top w:val="nil"/>
              <w:left w:val="single" w:sz="18" w:space="0" w:color="5F497A" w:themeColor="accent4" w:themeShade="BF"/>
              <w:bottom w:val="nil"/>
              <w:right w:val="nil"/>
            </w:tcBorders>
            <w:shd w:val="clear" w:color="auto" w:fill="auto"/>
            <w:vAlign w:val="bottom"/>
          </w:tcPr>
          <w:p w14:paraId="5DBDE2C5" w14:textId="4EC75323" w:rsidR="00F04730" w:rsidRPr="001D41EA" w:rsidRDefault="00F04730" w:rsidP="001D41EA">
            <w:pPr>
              <w:spacing w:before="40" w:after="40"/>
              <w:jc w:val="right"/>
              <w:rPr>
                <w:rFonts w:cs="Arial"/>
                <w:sz w:val="18"/>
                <w:szCs w:val="18"/>
              </w:rPr>
            </w:pPr>
            <w:r w:rsidRPr="001D41EA">
              <w:rPr>
                <w:rFonts w:cs="Arial"/>
                <w:sz w:val="18"/>
                <w:szCs w:val="18"/>
              </w:rPr>
              <w:t>35,327</w:t>
            </w:r>
          </w:p>
        </w:tc>
        <w:tc>
          <w:tcPr>
            <w:tcW w:w="1134" w:type="dxa"/>
            <w:tcBorders>
              <w:top w:val="nil"/>
              <w:left w:val="nil"/>
              <w:bottom w:val="nil"/>
              <w:right w:val="nil"/>
            </w:tcBorders>
            <w:shd w:val="clear" w:color="auto" w:fill="auto"/>
            <w:vAlign w:val="bottom"/>
          </w:tcPr>
          <w:p w14:paraId="58B18A30" w14:textId="4FCD458C" w:rsidR="00F04730" w:rsidRPr="001D41EA" w:rsidRDefault="00F04730" w:rsidP="001D41EA">
            <w:pPr>
              <w:spacing w:before="40" w:after="40"/>
              <w:jc w:val="right"/>
              <w:rPr>
                <w:rFonts w:cs="Arial"/>
                <w:sz w:val="18"/>
                <w:szCs w:val="18"/>
              </w:rPr>
            </w:pPr>
            <w:r w:rsidRPr="001D41EA">
              <w:rPr>
                <w:rFonts w:cs="Arial"/>
                <w:sz w:val="18"/>
                <w:szCs w:val="18"/>
              </w:rPr>
              <w:t>4,928,278</w:t>
            </w:r>
          </w:p>
        </w:tc>
        <w:tc>
          <w:tcPr>
            <w:tcW w:w="1134" w:type="dxa"/>
            <w:tcBorders>
              <w:top w:val="nil"/>
              <w:left w:val="nil"/>
              <w:bottom w:val="nil"/>
              <w:right w:val="nil"/>
            </w:tcBorders>
            <w:shd w:val="clear" w:color="auto" w:fill="auto"/>
            <w:vAlign w:val="bottom"/>
          </w:tcPr>
          <w:p w14:paraId="2E0F3F7C" w14:textId="10F1F1EA" w:rsidR="00F04730" w:rsidRPr="001D41EA" w:rsidRDefault="00F04730" w:rsidP="001D41EA">
            <w:pPr>
              <w:spacing w:before="40" w:after="40"/>
              <w:jc w:val="right"/>
              <w:rPr>
                <w:rFonts w:cs="Arial"/>
                <w:sz w:val="18"/>
                <w:szCs w:val="18"/>
              </w:rPr>
            </w:pPr>
            <w:r w:rsidRPr="001D41EA">
              <w:rPr>
                <w:rFonts w:cs="Arial"/>
                <w:sz w:val="18"/>
                <w:szCs w:val="18"/>
              </w:rPr>
              <w:t>139.50</w:t>
            </w:r>
          </w:p>
        </w:tc>
        <w:tc>
          <w:tcPr>
            <w:tcW w:w="1134" w:type="dxa"/>
            <w:tcBorders>
              <w:top w:val="nil"/>
              <w:left w:val="nil"/>
              <w:bottom w:val="nil"/>
              <w:right w:val="nil"/>
            </w:tcBorders>
            <w:shd w:val="clear" w:color="auto" w:fill="auto"/>
            <w:vAlign w:val="bottom"/>
          </w:tcPr>
          <w:p w14:paraId="1A034F0B" w14:textId="2CDA609F" w:rsidR="00F04730" w:rsidRPr="001D41EA" w:rsidRDefault="00F04730" w:rsidP="001D41EA">
            <w:pPr>
              <w:spacing w:before="40" w:after="40"/>
              <w:jc w:val="right"/>
              <w:rPr>
                <w:rFonts w:cs="Arial"/>
                <w:sz w:val="18"/>
                <w:szCs w:val="18"/>
              </w:rPr>
            </w:pPr>
            <w:r w:rsidRPr="001D41EA">
              <w:rPr>
                <w:rFonts w:cs="Arial"/>
                <w:sz w:val="18"/>
                <w:szCs w:val="18"/>
              </w:rPr>
              <w:t>935</w:t>
            </w:r>
          </w:p>
        </w:tc>
        <w:tc>
          <w:tcPr>
            <w:tcW w:w="1134" w:type="dxa"/>
            <w:tcBorders>
              <w:top w:val="nil"/>
              <w:left w:val="nil"/>
              <w:bottom w:val="nil"/>
              <w:right w:val="nil"/>
            </w:tcBorders>
            <w:shd w:val="clear" w:color="auto" w:fill="auto"/>
            <w:vAlign w:val="bottom"/>
          </w:tcPr>
          <w:p w14:paraId="0BFC080E" w14:textId="50B97998" w:rsidR="00F04730" w:rsidRPr="001D41EA" w:rsidRDefault="00F04730" w:rsidP="001D41EA">
            <w:pPr>
              <w:spacing w:before="40" w:after="40"/>
              <w:jc w:val="right"/>
              <w:rPr>
                <w:rFonts w:cs="Arial"/>
                <w:sz w:val="18"/>
                <w:szCs w:val="18"/>
              </w:rPr>
            </w:pPr>
            <w:r w:rsidRPr="001D41EA">
              <w:rPr>
                <w:rFonts w:cs="Arial"/>
                <w:sz w:val="18"/>
                <w:szCs w:val="18"/>
              </w:rPr>
              <w:t>1,459,907</w:t>
            </w:r>
          </w:p>
        </w:tc>
        <w:tc>
          <w:tcPr>
            <w:tcW w:w="1134" w:type="dxa"/>
            <w:tcBorders>
              <w:top w:val="nil"/>
              <w:left w:val="nil"/>
              <w:bottom w:val="nil"/>
              <w:right w:val="nil"/>
            </w:tcBorders>
            <w:shd w:val="clear" w:color="auto" w:fill="auto"/>
            <w:vAlign w:val="bottom"/>
          </w:tcPr>
          <w:p w14:paraId="5ECDB742" w14:textId="767AA125" w:rsidR="00F04730" w:rsidRPr="001D41EA" w:rsidRDefault="00F04730" w:rsidP="001D41EA">
            <w:pPr>
              <w:spacing w:before="40" w:after="40"/>
              <w:jc w:val="right"/>
              <w:rPr>
                <w:rFonts w:cs="Arial"/>
                <w:sz w:val="18"/>
                <w:szCs w:val="18"/>
              </w:rPr>
            </w:pPr>
            <w:r w:rsidRPr="001D41EA">
              <w:rPr>
                <w:rFonts w:cs="Arial"/>
                <w:sz w:val="18"/>
                <w:szCs w:val="18"/>
              </w:rPr>
              <w:t>1,561.40</w:t>
            </w:r>
          </w:p>
        </w:tc>
      </w:tr>
      <w:tr w:rsidR="00F04730" w:rsidRPr="001D41EA" w14:paraId="6B81776A"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CFC8600" w14:textId="6BBB0599"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Baw Baw S </w:t>
            </w:r>
          </w:p>
        </w:tc>
        <w:tc>
          <w:tcPr>
            <w:tcW w:w="1134" w:type="dxa"/>
            <w:tcBorders>
              <w:top w:val="nil"/>
              <w:left w:val="single" w:sz="18" w:space="0" w:color="5F497A" w:themeColor="accent4" w:themeShade="BF"/>
              <w:bottom w:val="nil"/>
              <w:right w:val="nil"/>
            </w:tcBorders>
            <w:shd w:val="clear" w:color="auto" w:fill="auto"/>
            <w:vAlign w:val="bottom"/>
          </w:tcPr>
          <w:p w14:paraId="6EAD89B6" w14:textId="5984FBFB" w:rsidR="00F04730" w:rsidRPr="001D41EA" w:rsidRDefault="00F04730" w:rsidP="001D41EA">
            <w:pPr>
              <w:spacing w:before="40" w:after="40"/>
              <w:jc w:val="right"/>
              <w:rPr>
                <w:rFonts w:cs="Arial"/>
                <w:sz w:val="18"/>
                <w:szCs w:val="18"/>
              </w:rPr>
            </w:pPr>
            <w:r w:rsidRPr="001D41EA">
              <w:rPr>
                <w:rFonts w:cs="Arial"/>
                <w:sz w:val="18"/>
                <w:szCs w:val="18"/>
              </w:rPr>
              <w:t>52,111</w:t>
            </w:r>
          </w:p>
        </w:tc>
        <w:tc>
          <w:tcPr>
            <w:tcW w:w="1134" w:type="dxa"/>
            <w:tcBorders>
              <w:top w:val="nil"/>
              <w:left w:val="nil"/>
              <w:bottom w:val="nil"/>
              <w:right w:val="nil"/>
            </w:tcBorders>
            <w:shd w:val="clear" w:color="auto" w:fill="auto"/>
            <w:vAlign w:val="bottom"/>
          </w:tcPr>
          <w:p w14:paraId="1288F18C" w14:textId="5DC3A99E" w:rsidR="00F04730" w:rsidRPr="001D41EA" w:rsidRDefault="00F04730" w:rsidP="001D41EA">
            <w:pPr>
              <w:spacing w:before="40" w:after="40"/>
              <w:jc w:val="right"/>
              <w:rPr>
                <w:rFonts w:cs="Arial"/>
                <w:sz w:val="18"/>
                <w:szCs w:val="18"/>
              </w:rPr>
            </w:pPr>
            <w:r w:rsidRPr="001D41EA">
              <w:rPr>
                <w:rFonts w:cs="Arial"/>
                <w:sz w:val="18"/>
                <w:szCs w:val="18"/>
              </w:rPr>
              <w:t>6,670,004</w:t>
            </w:r>
          </w:p>
        </w:tc>
        <w:tc>
          <w:tcPr>
            <w:tcW w:w="1134" w:type="dxa"/>
            <w:tcBorders>
              <w:top w:val="nil"/>
              <w:left w:val="nil"/>
              <w:bottom w:val="nil"/>
              <w:right w:val="nil"/>
            </w:tcBorders>
            <w:shd w:val="clear" w:color="auto" w:fill="auto"/>
            <w:vAlign w:val="bottom"/>
          </w:tcPr>
          <w:p w14:paraId="2AA74707" w14:textId="364EFFA5" w:rsidR="00F04730" w:rsidRPr="001D41EA" w:rsidRDefault="00F04730" w:rsidP="001D41EA">
            <w:pPr>
              <w:spacing w:before="40" w:after="40"/>
              <w:jc w:val="right"/>
              <w:rPr>
                <w:rFonts w:cs="Arial"/>
                <w:sz w:val="18"/>
                <w:szCs w:val="18"/>
              </w:rPr>
            </w:pPr>
            <w:r w:rsidRPr="001D41EA">
              <w:rPr>
                <w:rFonts w:cs="Arial"/>
                <w:sz w:val="18"/>
                <w:szCs w:val="18"/>
              </w:rPr>
              <w:t>128.00</w:t>
            </w:r>
          </w:p>
        </w:tc>
        <w:tc>
          <w:tcPr>
            <w:tcW w:w="1134" w:type="dxa"/>
            <w:tcBorders>
              <w:top w:val="nil"/>
              <w:left w:val="nil"/>
              <w:bottom w:val="nil"/>
              <w:right w:val="nil"/>
            </w:tcBorders>
            <w:shd w:val="clear" w:color="auto" w:fill="auto"/>
            <w:vAlign w:val="bottom"/>
          </w:tcPr>
          <w:p w14:paraId="6E5C8FBD" w14:textId="0FB23057" w:rsidR="00F04730" w:rsidRPr="001D41EA" w:rsidRDefault="00F04730" w:rsidP="001D41EA">
            <w:pPr>
              <w:spacing w:before="40" w:after="40"/>
              <w:jc w:val="right"/>
              <w:rPr>
                <w:rFonts w:cs="Arial"/>
                <w:sz w:val="18"/>
                <w:szCs w:val="18"/>
              </w:rPr>
            </w:pPr>
            <w:r w:rsidRPr="001D41EA">
              <w:rPr>
                <w:rFonts w:cs="Arial"/>
                <w:sz w:val="18"/>
                <w:szCs w:val="18"/>
              </w:rPr>
              <w:t>2,004</w:t>
            </w:r>
          </w:p>
        </w:tc>
        <w:tc>
          <w:tcPr>
            <w:tcW w:w="1134" w:type="dxa"/>
            <w:tcBorders>
              <w:top w:val="nil"/>
              <w:left w:val="nil"/>
              <w:bottom w:val="nil"/>
              <w:right w:val="nil"/>
            </w:tcBorders>
            <w:shd w:val="clear" w:color="auto" w:fill="auto"/>
            <w:vAlign w:val="bottom"/>
          </w:tcPr>
          <w:p w14:paraId="70032857" w14:textId="41F53373" w:rsidR="00F04730" w:rsidRPr="001D41EA" w:rsidRDefault="00F04730" w:rsidP="001D41EA">
            <w:pPr>
              <w:spacing w:before="40" w:after="40"/>
              <w:jc w:val="right"/>
              <w:rPr>
                <w:rFonts w:cs="Arial"/>
                <w:sz w:val="18"/>
                <w:szCs w:val="18"/>
              </w:rPr>
            </w:pPr>
            <w:r w:rsidRPr="001D41EA">
              <w:rPr>
                <w:rFonts w:cs="Arial"/>
                <w:sz w:val="18"/>
                <w:szCs w:val="18"/>
              </w:rPr>
              <w:t>2,841,390</w:t>
            </w:r>
          </w:p>
        </w:tc>
        <w:tc>
          <w:tcPr>
            <w:tcW w:w="1134" w:type="dxa"/>
            <w:tcBorders>
              <w:top w:val="nil"/>
              <w:left w:val="nil"/>
              <w:bottom w:val="nil"/>
              <w:right w:val="nil"/>
            </w:tcBorders>
            <w:shd w:val="clear" w:color="auto" w:fill="auto"/>
            <w:vAlign w:val="bottom"/>
          </w:tcPr>
          <w:p w14:paraId="442F73FD" w14:textId="76C3A54E" w:rsidR="00F04730" w:rsidRPr="001D41EA" w:rsidRDefault="00F04730" w:rsidP="001D41EA">
            <w:pPr>
              <w:spacing w:before="40" w:after="40"/>
              <w:jc w:val="right"/>
              <w:rPr>
                <w:rFonts w:cs="Arial"/>
                <w:sz w:val="18"/>
                <w:szCs w:val="18"/>
              </w:rPr>
            </w:pPr>
            <w:r w:rsidRPr="001D41EA">
              <w:rPr>
                <w:rFonts w:cs="Arial"/>
                <w:sz w:val="18"/>
                <w:szCs w:val="18"/>
              </w:rPr>
              <w:t>1,417.86</w:t>
            </w:r>
          </w:p>
        </w:tc>
      </w:tr>
      <w:tr w:rsidR="00F04730" w:rsidRPr="001D41EA" w14:paraId="46B56F7C"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0CF1AC9" w14:textId="63013B2B"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Bayside C </w:t>
            </w:r>
          </w:p>
        </w:tc>
        <w:tc>
          <w:tcPr>
            <w:tcW w:w="1134" w:type="dxa"/>
            <w:tcBorders>
              <w:top w:val="nil"/>
              <w:left w:val="single" w:sz="18" w:space="0" w:color="5F497A" w:themeColor="accent4" w:themeShade="BF"/>
              <w:bottom w:val="nil"/>
              <w:right w:val="nil"/>
            </w:tcBorders>
            <w:shd w:val="clear" w:color="auto" w:fill="auto"/>
            <w:vAlign w:val="bottom"/>
          </w:tcPr>
          <w:p w14:paraId="044385D6" w14:textId="4AA99C11" w:rsidR="00F04730" w:rsidRPr="001D41EA" w:rsidRDefault="00F04730" w:rsidP="001D41EA">
            <w:pPr>
              <w:spacing w:before="40" w:after="40"/>
              <w:jc w:val="right"/>
              <w:rPr>
                <w:rFonts w:cs="Arial"/>
                <w:sz w:val="18"/>
                <w:szCs w:val="18"/>
              </w:rPr>
            </w:pPr>
            <w:r w:rsidRPr="001D41EA">
              <w:rPr>
                <w:rFonts w:cs="Arial"/>
                <w:sz w:val="18"/>
                <w:szCs w:val="18"/>
              </w:rPr>
              <w:t>105,718</w:t>
            </w:r>
          </w:p>
        </w:tc>
        <w:tc>
          <w:tcPr>
            <w:tcW w:w="1134" w:type="dxa"/>
            <w:tcBorders>
              <w:top w:val="nil"/>
              <w:left w:val="nil"/>
              <w:bottom w:val="nil"/>
              <w:right w:val="nil"/>
            </w:tcBorders>
            <w:shd w:val="clear" w:color="auto" w:fill="auto"/>
            <w:vAlign w:val="bottom"/>
          </w:tcPr>
          <w:p w14:paraId="2D721D0A" w14:textId="67D52665" w:rsidR="00F04730" w:rsidRPr="001D41EA" w:rsidRDefault="00F04730" w:rsidP="001D41EA">
            <w:pPr>
              <w:spacing w:before="40" w:after="40"/>
              <w:jc w:val="right"/>
              <w:rPr>
                <w:rFonts w:cs="Arial"/>
                <w:sz w:val="18"/>
                <w:szCs w:val="18"/>
              </w:rPr>
            </w:pPr>
            <w:r w:rsidRPr="001D41EA">
              <w:rPr>
                <w:rFonts w:cs="Arial"/>
                <w:sz w:val="18"/>
                <w:szCs w:val="18"/>
              </w:rPr>
              <w:t>2,236,461</w:t>
            </w:r>
          </w:p>
        </w:tc>
        <w:tc>
          <w:tcPr>
            <w:tcW w:w="1134" w:type="dxa"/>
            <w:tcBorders>
              <w:top w:val="nil"/>
              <w:left w:val="nil"/>
              <w:bottom w:val="nil"/>
              <w:right w:val="nil"/>
            </w:tcBorders>
            <w:shd w:val="clear" w:color="auto" w:fill="auto"/>
            <w:vAlign w:val="bottom"/>
          </w:tcPr>
          <w:p w14:paraId="0DD0C840" w14:textId="772ED1F2" w:rsidR="00F04730" w:rsidRPr="001D41EA" w:rsidRDefault="00F04730" w:rsidP="001D41EA">
            <w:pPr>
              <w:spacing w:before="40" w:after="40"/>
              <w:jc w:val="right"/>
              <w:rPr>
                <w:rFonts w:cs="Arial"/>
                <w:sz w:val="18"/>
                <w:szCs w:val="18"/>
              </w:rPr>
            </w:pPr>
            <w:r w:rsidRPr="001D41EA">
              <w:rPr>
                <w:rFonts w:cs="Arial"/>
                <w:sz w:val="18"/>
                <w:szCs w:val="18"/>
              </w:rPr>
              <w:t>21.15</w:t>
            </w:r>
          </w:p>
        </w:tc>
        <w:tc>
          <w:tcPr>
            <w:tcW w:w="1134" w:type="dxa"/>
            <w:tcBorders>
              <w:top w:val="nil"/>
              <w:left w:val="nil"/>
              <w:bottom w:val="nil"/>
              <w:right w:val="nil"/>
            </w:tcBorders>
            <w:shd w:val="clear" w:color="auto" w:fill="auto"/>
            <w:vAlign w:val="bottom"/>
          </w:tcPr>
          <w:p w14:paraId="1D9EFAE5" w14:textId="5A392846" w:rsidR="00F04730" w:rsidRPr="001D41EA" w:rsidRDefault="00F04730" w:rsidP="001D41EA">
            <w:pPr>
              <w:spacing w:before="40" w:after="40"/>
              <w:jc w:val="right"/>
              <w:rPr>
                <w:rFonts w:cs="Arial"/>
                <w:sz w:val="18"/>
                <w:szCs w:val="18"/>
              </w:rPr>
            </w:pPr>
            <w:r w:rsidRPr="001D41EA">
              <w:rPr>
                <w:rFonts w:cs="Arial"/>
                <w:sz w:val="18"/>
                <w:szCs w:val="18"/>
              </w:rPr>
              <w:t>355</w:t>
            </w:r>
          </w:p>
        </w:tc>
        <w:tc>
          <w:tcPr>
            <w:tcW w:w="1134" w:type="dxa"/>
            <w:tcBorders>
              <w:top w:val="nil"/>
              <w:left w:val="nil"/>
              <w:bottom w:val="nil"/>
              <w:right w:val="nil"/>
            </w:tcBorders>
            <w:shd w:val="clear" w:color="auto" w:fill="auto"/>
            <w:vAlign w:val="bottom"/>
          </w:tcPr>
          <w:p w14:paraId="770BED25" w14:textId="5DCAECE7" w:rsidR="00F04730" w:rsidRPr="001D41EA" w:rsidRDefault="00F04730" w:rsidP="001D41EA">
            <w:pPr>
              <w:spacing w:before="40" w:after="40"/>
              <w:jc w:val="right"/>
              <w:rPr>
                <w:rFonts w:cs="Arial"/>
                <w:sz w:val="18"/>
                <w:szCs w:val="18"/>
              </w:rPr>
            </w:pPr>
            <w:r w:rsidRPr="001D41EA">
              <w:rPr>
                <w:rFonts w:cs="Arial"/>
                <w:sz w:val="18"/>
                <w:szCs w:val="18"/>
              </w:rPr>
              <w:t>583,440</w:t>
            </w:r>
          </w:p>
        </w:tc>
        <w:tc>
          <w:tcPr>
            <w:tcW w:w="1134" w:type="dxa"/>
            <w:tcBorders>
              <w:top w:val="nil"/>
              <w:left w:val="nil"/>
              <w:bottom w:val="nil"/>
              <w:right w:val="nil"/>
            </w:tcBorders>
            <w:shd w:val="clear" w:color="auto" w:fill="auto"/>
            <w:vAlign w:val="bottom"/>
          </w:tcPr>
          <w:p w14:paraId="1F9588FF" w14:textId="4CEF5433" w:rsidR="00F04730" w:rsidRPr="001D41EA" w:rsidRDefault="00F04730" w:rsidP="001D41EA">
            <w:pPr>
              <w:spacing w:before="40" w:after="40"/>
              <w:jc w:val="right"/>
              <w:rPr>
                <w:rFonts w:cs="Arial"/>
                <w:sz w:val="18"/>
                <w:szCs w:val="18"/>
              </w:rPr>
            </w:pPr>
            <w:r w:rsidRPr="001D41EA">
              <w:rPr>
                <w:rFonts w:cs="Arial"/>
                <w:sz w:val="18"/>
                <w:szCs w:val="18"/>
              </w:rPr>
              <w:t>1,643.49</w:t>
            </w:r>
          </w:p>
        </w:tc>
      </w:tr>
      <w:tr w:rsidR="00F04730" w:rsidRPr="001D41EA" w14:paraId="32437B82"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3982C183" w14:textId="2F0F2FF9" w:rsidR="00F04730" w:rsidRPr="001D41EA" w:rsidRDefault="00F04730" w:rsidP="001D41EA">
            <w:pPr>
              <w:tabs>
                <w:tab w:val="right" w:pos="2037"/>
              </w:tabs>
              <w:spacing w:before="40" w:after="40"/>
              <w:rPr>
                <w:rFonts w:cs="Arial"/>
                <w:sz w:val="18"/>
                <w:szCs w:val="18"/>
              </w:rPr>
            </w:pPr>
            <w:r w:rsidRPr="001D41EA">
              <w:rPr>
                <w:rFonts w:cs="Arial"/>
                <w:sz w:val="18"/>
                <w:szCs w:val="18"/>
              </w:rPr>
              <w:t>Benalla RC</w:t>
            </w:r>
            <w:r w:rsidR="00626246" w:rsidRPr="001D41EA">
              <w:rPr>
                <w:rFonts w:cs="Arial"/>
                <w:sz w:val="18"/>
                <w:szCs w:val="18"/>
              </w:rPr>
              <w:t xml:space="preserve">  *</w:t>
            </w:r>
            <w:r w:rsidR="00626246" w:rsidRPr="001D41EA">
              <w:rPr>
                <w:rFonts w:cs="Arial"/>
                <w:sz w:val="18"/>
                <w:szCs w:val="18"/>
              </w:rPr>
              <w:tab/>
            </w:r>
          </w:p>
        </w:tc>
        <w:tc>
          <w:tcPr>
            <w:tcW w:w="1134" w:type="dxa"/>
            <w:tcBorders>
              <w:top w:val="nil"/>
              <w:left w:val="single" w:sz="18" w:space="0" w:color="5F497A" w:themeColor="accent4" w:themeShade="BF"/>
              <w:bottom w:val="nil"/>
              <w:right w:val="nil"/>
            </w:tcBorders>
            <w:shd w:val="clear" w:color="auto" w:fill="auto"/>
            <w:vAlign w:val="bottom"/>
          </w:tcPr>
          <w:p w14:paraId="684693C8" w14:textId="147E1327" w:rsidR="00F04730" w:rsidRPr="001D41EA" w:rsidRDefault="00F04730" w:rsidP="001D41EA">
            <w:pPr>
              <w:spacing w:before="40" w:after="40"/>
              <w:jc w:val="right"/>
              <w:rPr>
                <w:rFonts w:cs="Arial"/>
                <w:sz w:val="18"/>
                <w:szCs w:val="18"/>
              </w:rPr>
            </w:pPr>
            <w:r w:rsidRPr="001D41EA">
              <w:rPr>
                <w:rFonts w:cs="Arial"/>
                <w:sz w:val="18"/>
                <w:szCs w:val="18"/>
              </w:rPr>
              <w:t>14,024</w:t>
            </w:r>
          </w:p>
        </w:tc>
        <w:tc>
          <w:tcPr>
            <w:tcW w:w="1134" w:type="dxa"/>
            <w:tcBorders>
              <w:top w:val="nil"/>
              <w:left w:val="nil"/>
              <w:bottom w:val="nil"/>
              <w:right w:val="nil"/>
            </w:tcBorders>
            <w:shd w:val="clear" w:color="auto" w:fill="auto"/>
            <w:vAlign w:val="bottom"/>
          </w:tcPr>
          <w:p w14:paraId="76A04DA6" w14:textId="43B184DA" w:rsidR="00F04730" w:rsidRPr="001D41EA" w:rsidRDefault="00F04730" w:rsidP="001D41EA">
            <w:pPr>
              <w:spacing w:before="40" w:after="40"/>
              <w:jc w:val="right"/>
              <w:rPr>
                <w:rFonts w:cs="Arial"/>
                <w:sz w:val="18"/>
                <w:szCs w:val="18"/>
              </w:rPr>
            </w:pPr>
            <w:r w:rsidRPr="001D41EA">
              <w:rPr>
                <w:rFonts w:cs="Arial"/>
                <w:sz w:val="18"/>
                <w:szCs w:val="18"/>
              </w:rPr>
              <w:t>2,802,779</w:t>
            </w:r>
          </w:p>
        </w:tc>
        <w:tc>
          <w:tcPr>
            <w:tcW w:w="1134" w:type="dxa"/>
            <w:tcBorders>
              <w:top w:val="nil"/>
              <w:left w:val="nil"/>
              <w:bottom w:val="nil"/>
              <w:right w:val="nil"/>
            </w:tcBorders>
            <w:shd w:val="clear" w:color="auto" w:fill="auto"/>
            <w:vAlign w:val="bottom"/>
          </w:tcPr>
          <w:p w14:paraId="7ECFCC04" w14:textId="0C427631" w:rsidR="00F04730" w:rsidRPr="001D41EA" w:rsidRDefault="00F04730" w:rsidP="001D41EA">
            <w:pPr>
              <w:spacing w:before="40" w:after="40"/>
              <w:jc w:val="right"/>
              <w:rPr>
                <w:rFonts w:cs="Arial"/>
                <w:sz w:val="18"/>
                <w:szCs w:val="18"/>
              </w:rPr>
            </w:pPr>
            <w:r w:rsidRPr="001D41EA">
              <w:rPr>
                <w:rFonts w:cs="Arial"/>
                <w:sz w:val="18"/>
                <w:szCs w:val="18"/>
              </w:rPr>
              <w:t>199.86</w:t>
            </w:r>
          </w:p>
        </w:tc>
        <w:tc>
          <w:tcPr>
            <w:tcW w:w="1134" w:type="dxa"/>
            <w:tcBorders>
              <w:top w:val="nil"/>
              <w:left w:val="nil"/>
              <w:bottom w:val="nil"/>
              <w:right w:val="nil"/>
            </w:tcBorders>
            <w:shd w:val="clear" w:color="auto" w:fill="auto"/>
            <w:vAlign w:val="bottom"/>
          </w:tcPr>
          <w:p w14:paraId="04D2B942" w14:textId="6CBCE4DA" w:rsidR="00F04730" w:rsidRPr="001D41EA" w:rsidRDefault="00F04730" w:rsidP="001D41EA">
            <w:pPr>
              <w:spacing w:before="40" w:after="40"/>
              <w:jc w:val="right"/>
              <w:rPr>
                <w:rFonts w:cs="Arial"/>
                <w:sz w:val="18"/>
                <w:szCs w:val="18"/>
              </w:rPr>
            </w:pPr>
            <w:r w:rsidRPr="001D41EA">
              <w:rPr>
                <w:rFonts w:cs="Arial"/>
                <w:sz w:val="18"/>
                <w:szCs w:val="18"/>
              </w:rPr>
              <w:t>1,335</w:t>
            </w:r>
          </w:p>
        </w:tc>
        <w:tc>
          <w:tcPr>
            <w:tcW w:w="1134" w:type="dxa"/>
            <w:tcBorders>
              <w:top w:val="nil"/>
              <w:left w:val="nil"/>
              <w:bottom w:val="nil"/>
              <w:right w:val="nil"/>
            </w:tcBorders>
            <w:shd w:val="clear" w:color="auto" w:fill="auto"/>
            <w:vAlign w:val="bottom"/>
          </w:tcPr>
          <w:p w14:paraId="2319B993" w14:textId="25A48219" w:rsidR="00F04730" w:rsidRPr="001D41EA" w:rsidRDefault="00F04730" w:rsidP="001D41EA">
            <w:pPr>
              <w:spacing w:before="40" w:after="40"/>
              <w:jc w:val="right"/>
              <w:rPr>
                <w:rFonts w:cs="Arial"/>
                <w:sz w:val="18"/>
                <w:szCs w:val="18"/>
              </w:rPr>
            </w:pPr>
            <w:r w:rsidRPr="001D41EA">
              <w:rPr>
                <w:rFonts w:cs="Arial"/>
                <w:sz w:val="18"/>
                <w:szCs w:val="18"/>
              </w:rPr>
              <w:t>1,512,625</w:t>
            </w:r>
          </w:p>
        </w:tc>
        <w:tc>
          <w:tcPr>
            <w:tcW w:w="1134" w:type="dxa"/>
            <w:tcBorders>
              <w:top w:val="nil"/>
              <w:left w:val="nil"/>
              <w:bottom w:val="nil"/>
              <w:right w:val="nil"/>
            </w:tcBorders>
            <w:shd w:val="clear" w:color="auto" w:fill="auto"/>
            <w:vAlign w:val="bottom"/>
          </w:tcPr>
          <w:p w14:paraId="2CF0F067" w14:textId="331FB926" w:rsidR="00F04730" w:rsidRPr="001D41EA" w:rsidRDefault="00F04730" w:rsidP="001D41EA">
            <w:pPr>
              <w:spacing w:before="40" w:after="40"/>
              <w:jc w:val="right"/>
              <w:rPr>
                <w:rFonts w:cs="Arial"/>
                <w:sz w:val="18"/>
                <w:szCs w:val="18"/>
              </w:rPr>
            </w:pPr>
            <w:r w:rsidRPr="001D41EA">
              <w:rPr>
                <w:rFonts w:cs="Arial"/>
                <w:sz w:val="18"/>
                <w:szCs w:val="18"/>
              </w:rPr>
              <w:t>1,132.65</w:t>
            </w:r>
          </w:p>
        </w:tc>
      </w:tr>
      <w:tr w:rsidR="00F04730" w:rsidRPr="001D41EA" w14:paraId="7CEAF511"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1E5E6C4" w14:textId="43F0732C"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Boroondara C </w:t>
            </w:r>
          </w:p>
        </w:tc>
        <w:tc>
          <w:tcPr>
            <w:tcW w:w="1134" w:type="dxa"/>
            <w:tcBorders>
              <w:top w:val="nil"/>
              <w:left w:val="single" w:sz="18" w:space="0" w:color="5F497A" w:themeColor="accent4" w:themeShade="BF"/>
              <w:bottom w:val="nil"/>
              <w:right w:val="nil"/>
            </w:tcBorders>
            <w:shd w:val="clear" w:color="auto" w:fill="auto"/>
            <w:vAlign w:val="bottom"/>
          </w:tcPr>
          <w:p w14:paraId="4BD2E46A" w14:textId="630EA5E4" w:rsidR="00F04730" w:rsidRPr="001D41EA" w:rsidRDefault="00F04730" w:rsidP="001D41EA">
            <w:pPr>
              <w:spacing w:before="40" w:after="40"/>
              <w:jc w:val="right"/>
              <w:rPr>
                <w:rFonts w:cs="Arial"/>
                <w:sz w:val="18"/>
                <w:szCs w:val="18"/>
              </w:rPr>
            </w:pPr>
            <w:r w:rsidRPr="001D41EA">
              <w:rPr>
                <w:rFonts w:cs="Arial"/>
                <w:sz w:val="18"/>
                <w:szCs w:val="18"/>
              </w:rPr>
              <w:t>181,289</w:t>
            </w:r>
          </w:p>
        </w:tc>
        <w:tc>
          <w:tcPr>
            <w:tcW w:w="1134" w:type="dxa"/>
            <w:tcBorders>
              <w:top w:val="nil"/>
              <w:left w:val="nil"/>
              <w:bottom w:val="nil"/>
              <w:right w:val="nil"/>
            </w:tcBorders>
            <w:shd w:val="clear" w:color="auto" w:fill="auto"/>
            <w:vAlign w:val="bottom"/>
          </w:tcPr>
          <w:p w14:paraId="74918FF8" w14:textId="43FF19C8" w:rsidR="00F04730" w:rsidRPr="001D41EA" w:rsidRDefault="00F04730" w:rsidP="001D41EA">
            <w:pPr>
              <w:spacing w:before="40" w:after="40"/>
              <w:jc w:val="right"/>
              <w:rPr>
                <w:rFonts w:cs="Arial"/>
                <w:sz w:val="18"/>
                <w:szCs w:val="18"/>
              </w:rPr>
            </w:pPr>
            <w:r w:rsidRPr="001D41EA">
              <w:rPr>
                <w:rFonts w:cs="Arial"/>
                <w:sz w:val="18"/>
                <w:szCs w:val="18"/>
              </w:rPr>
              <w:t>3,835,163</w:t>
            </w:r>
          </w:p>
        </w:tc>
        <w:tc>
          <w:tcPr>
            <w:tcW w:w="1134" w:type="dxa"/>
            <w:tcBorders>
              <w:top w:val="nil"/>
              <w:left w:val="nil"/>
              <w:bottom w:val="nil"/>
              <w:right w:val="nil"/>
            </w:tcBorders>
            <w:shd w:val="clear" w:color="auto" w:fill="auto"/>
            <w:vAlign w:val="bottom"/>
          </w:tcPr>
          <w:p w14:paraId="0F4D18A7" w14:textId="2C8CF476" w:rsidR="00F04730" w:rsidRPr="001D41EA" w:rsidRDefault="00F04730" w:rsidP="001D41EA">
            <w:pPr>
              <w:spacing w:before="40" w:after="40"/>
              <w:jc w:val="right"/>
              <w:rPr>
                <w:rFonts w:cs="Arial"/>
                <w:sz w:val="18"/>
                <w:szCs w:val="18"/>
              </w:rPr>
            </w:pPr>
            <w:r w:rsidRPr="001D41EA">
              <w:rPr>
                <w:rFonts w:cs="Arial"/>
                <w:sz w:val="18"/>
                <w:szCs w:val="18"/>
              </w:rPr>
              <w:t>21.15</w:t>
            </w:r>
          </w:p>
        </w:tc>
        <w:tc>
          <w:tcPr>
            <w:tcW w:w="1134" w:type="dxa"/>
            <w:tcBorders>
              <w:top w:val="nil"/>
              <w:left w:val="nil"/>
              <w:bottom w:val="nil"/>
              <w:right w:val="nil"/>
            </w:tcBorders>
            <w:shd w:val="clear" w:color="auto" w:fill="auto"/>
            <w:vAlign w:val="bottom"/>
          </w:tcPr>
          <w:p w14:paraId="1BB78660" w14:textId="368B0E70" w:rsidR="00F04730" w:rsidRPr="001D41EA" w:rsidRDefault="00F04730" w:rsidP="001D41EA">
            <w:pPr>
              <w:spacing w:before="40" w:after="40"/>
              <w:jc w:val="right"/>
              <w:rPr>
                <w:rFonts w:cs="Arial"/>
                <w:sz w:val="18"/>
                <w:szCs w:val="18"/>
              </w:rPr>
            </w:pPr>
            <w:r w:rsidRPr="001D41EA">
              <w:rPr>
                <w:rFonts w:cs="Arial"/>
                <w:sz w:val="18"/>
                <w:szCs w:val="18"/>
              </w:rPr>
              <w:t>561</w:t>
            </w:r>
          </w:p>
        </w:tc>
        <w:tc>
          <w:tcPr>
            <w:tcW w:w="1134" w:type="dxa"/>
            <w:tcBorders>
              <w:top w:val="nil"/>
              <w:left w:val="nil"/>
              <w:bottom w:val="nil"/>
              <w:right w:val="nil"/>
            </w:tcBorders>
            <w:shd w:val="clear" w:color="auto" w:fill="auto"/>
            <w:vAlign w:val="bottom"/>
          </w:tcPr>
          <w:p w14:paraId="6AAAE431" w14:textId="0FB5A1AD" w:rsidR="00F04730" w:rsidRPr="001D41EA" w:rsidRDefault="00F04730" w:rsidP="001D41EA">
            <w:pPr>
              <w:spacing w:before="40" w:after="40"/>
              <w:jc w:val="right"/>
              <w:rPr>
                <w:rFonts w:cs="Arial"/>
                <w:sz w:val="18"/>
                <w:szCs w:val="18"/>
              </w:rPr>
            </w:pPr>
            <w:r w:rsidRPr="001D41EA">
              <w:rPr>
                <w:rFonts w:cs="Arial"/>
                <w:sz w:val="18"/>
                <w:szCs w:val="18"/>
              </w:rPr>
              <w:t>934,008</w:t>
            </w:r>
          </w:p>
        </w:tc>
        <w:tc>
          <w:tcPr>
            <w:tcW w:w="1134" w:type="dxa"/>
            <w:tcBorders>
              <w:top w:val="nil"/>
              <w:left w:val="nil"/>
              <w:bottom w:val="nil"/>
              <w:right w:val="nil"/>
            </w:tcBorders>
            <w:shd w:val="clear" w:color="auto" w:fill="auto"/>
            <w:vAlign w:val="bottom"/>
          </w:tcPr>
          <w:p w14:paraId="39012B68" w14:textId="46082C29" w:rsidR="00F04730" w:rsidRPr="001D41EA" w:rsidRDefault="00F04730" w:rsidP="001D41EA">
            <w:pPr>
              <w:spacing w:before="40" w:after="40"/>
              <w:jc w:val="right"/>
              <w:rPr>
                <w:rFonts w:cs="Arial"/>
                <w:sz w:val="18"/>
                <w:szCs w:val="18"/>
              </w:rPr>
            </w:pPr>
            <w:r w:rsidRPr="001D41EA">
              <w:rPr>
                <w:rFonts w:cs="Arial"/>
                <w:sz w:val="18"/>
                <w:szCs w:val="18"/>
              </w:rPr>
              <w:t>1,664.90</w:t>
            </w:r>
          </w:p>
        </w:tc>
      </w:tr>
      <w:tr w:rsidR="00F04730" w:rsidRPr="001D41EA" w14:paraId="2FD2C584"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5CC88788" w14:textId="36DE4DE4"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Brimbank C </w:t>
            </w:r>
          </w:p>
        </w:tc>
        <w:tc>
          <w:tcPr>
            <w:tcW w:w="1134" w:type="dxa"/>
            <w:tcBorders>
              <w:top w:val="nil"/>
              <w:left w:val="single" w:sz="18" w:space="0" w:color="5F497A" w:themeColor="accent4" w:themeShade="BF"/>
              <w:bottom w:val="nil"/>
              <w:right w:val="nil"/>
            </w:tcBorders>
            <w:shd w:val="clear" w:color="auto" w:fill="auto"/>
            <w:vAlign w:val="bottom"/>
          </w:tcPr>
          <w:p w14:paraId="14045E13" w14:textId="4292F138" w:rsidR="00F04730" w:rsidRPr="001D41EA" w:rsidRDefault="00F04730" w:rsidP="001D41EA">
            <w:pPr>
              <w:spacing w:before="40" w:after="40"/>
              <w:jc w:val="right"/>
              <w:rPr>
                <w:rFonts w:cs="Arial"/>
                <w:sz w:val="18"/>
                <w:szCs w:val="18"/>
              </w:rPr>
            </w:pPr>
            <w:r w:rsidRPr="001D41EA">
              <w:rPr>
                <w:rFonts w:cs="Arial"/>
                <w:sz w:val="18"/>
                <w:szCs w:val="18"/>
              </w:rPr>
              <w:t>208,714</w:t>
            </w:r>
          </w:p>
        </w:tc>
        <w:tc>
          <w:tcPr>
            <w:tcW w:w="1134" w:type="dxa"/>
            <w:tcBorders>
              <w:top w:val="nil"/>
              <w:left w:val="nil"/>
              <w:bottom w:val="nil"/>
              <w:right w:val="nil"/>
            </w:tcBorders>
            <w:shd w:val="clear" w:color="auto" w:fill="auto"/>
            <w:vAlign w:val="bottom"/>
          </w:tcPr>
          <w:p w14:paraId="0699C770" w14:textId="1A3CC065" w:rsidR="00F04730" w:rsidRPr="001D41EA" w:rsidRDefault="00F04730" w:rsidP="001D41EA">
            <w:pPr>
              <w:spacing w:before="40" w:after="40"/>
              <w:jc w:val="right"/>
              <w:rPr>
                <w:rFonts w:cs="Arial"/>
                <w:sz w:val="18"/>
                <w:szCs w:val="18"/>
              </w:rPr>
            </w:pPr>
            <w:r w:rsidRPr="001D41EA">
              <w:rPr>
                <w:rFonts w:cs="Arial"/>
                <w:sz w:val="18"/>
                <w:szCs w:val="18"/>
              </w:rPr>
              <w:t>12,498,524</w:t>
            </w:r>
          </w:p>
        </w:tc>
        <w:tc>
          <w:tcPr>
            <w:tcW w:w="1134" w:type="dxa"/>
            <w:tcBorders>
              <w:top w:val="nil"/>
              <w:left w:val="nil"/>
              <w:bottom w:val="nil"/>
              <w:right w:val="nil"/>
            </w:tcBorders>
            <w:shd w:val="clear" w:color="auto" w:fill="auto"/>
            <w:vAlign w:val="bottom"/>
          </w:tcPr>
          <w:p w14:paraId="5484C092" w14:textId="27ADAE5F" w:rsidR="00F04730" w:rsidRPr="001D41EA" w:rsidRDefault="00F04730" w:rsidP="001D41EA">
            <w:pPr>
              <w:spacing w:before="40" w:after="40"/>
              <w:jc w:val="right"/>
              <w:rPr>
                <w:rFonts w:cs="Arial"/>
                <w:sz w:val="18"/>
                <w:szCs w:val="18"/>
              </w:rPr>
            </w:pPr>
            <w:r w:rsidRPr="001D41EA">
              <w:rPr>
                <w:rFonts w:cs="Arial"/>
                <w:sz w:val="18"/>
                <w:szCs w:val="18"/>
              </w:rPr>
              <w:t>59.88</w:t>
            </w:r>
          </w:p>
        </w:tc>
        <w:tc>
          <w:tcPr>
            <w:tcW w:w="1134" w:type="dxa"/>
            <w:tcBorders>
              <w:top w:val="nil"/>
              <w:left w:val="nil"/>
              <w:bottom w:val="nil"/>
              <w:right w:val="nil"/>
            </w:tcBorders>
            <w:shd w:val="clear" w:color="auto" w:fill="auto"/>
            <w:vAlign w:val="bottom"/>
          </w:tcPr>
          <w:p w14:paraId="03DC7350" w14:textId="4D073785" w:rsidR="00F04730" w:rsidRPr="001D41EA" w:rsidRDefault="00F04730" w:rsidP="001D41EA">
            <w:pPr>
              <w:spacing w:before="40" w:after="40"/>
              <w:jc w:val="right"/>
              <w:rPr>
                <w:rFonts w:cs="Arial"/>
                <w:sz w:val="18"/>
                <w:szCs w:val="18"/>
              </w:rPr>
            </w:pPr>
            <w:r w:rsidRPr="001D41EA">
              <w:rPr>
                <w:rFonts w:cs="Arial"/>
                <w:sz w:val="18"/>
                <w:szCs w:val="18"/>
              </w:rPr>
              <w:t>894</w:t>
            </w:r>
          </w:p>
        </w:tc>
        <w:tc>
          <w:tcPr>
            <w:tcW w:w="1134" w:type="dxa"/>
            <w:tcBorders>
              <w:top w:val="nil"/>
              <w:left w:val="nil"/>
              <w:bottom w:val="nil"/>
              <w:right w:val="nil"/>
            </w:tcBorders>
            <w:shd w:val="clear" w:color="auto" w:fill="auto"/>
            <w:vAlign w:val="bottom"/>
          </w:tcPr>
          <w:p w14:paraId="3B408879" w14:textId="28E9CE52" w:rsidR="00F04730" w:rsidRPr="001D41EA" w:rsidRDefault="00F04730" w:rsidP="001D41EA">
            <w:pPr>
              <w:spacing w:before="40" w:after="40"/>
              <w:jc w:val="right"/>
              <w:rPr>
                <w:rFonts w:cs="Arial"/>
                <w:sz w:val="18"/>
                <w:szCs w:val="18"/>
              </w:rPr>
            </w:pPr>
            <w:r w:rsidRPr="001D41EA">
              <w:rPr>
                <w:rFonts w:cs="Arial"/>
                <w:sz w:val="18"/>
                <w:szCs w:val="18"/>
              </w:rPr>
              <w:t>1,781,496</w:t>
            </w:r>
          </w:p>
        </w:tc>
        <w:tc>
          <w:tcPr>
            <w:tcW w:w="1134" w:type="dxa"/>
            <w:tcBorders>
              <w:top w:val="nil"/>
              <w:left w:val="nil"/>
              <w:bottom w:val="nil"/>
              <w:right w:val="nil"/>
            </w:tcBorders>
            <w:shd w:val="clear" w:color="auto" w:fill="auto"/>
            <w:vAlign w:val="bottom"/>
          </w:tcPr>
          <w:p w14:paraId="35C05D94" w14:textId="2C9CF3EF" w:rsidR="00F04730" w:rsidRPr="001D41EA" w:rsidRDefault="00F04730" w:rsidP="001D41EA">
            <w:pPr>
              <w:spacing w:before="40" w:after="40"/>
              <w:jc w:val="right"/>
              <w:rPr>
                <w:rFonts w:cs="Arial"/>
                <w:sz w:val="18"/>
                <w:szCs w:val="18"/>
              </w:rPr>
            </w:pPr>
            <w:r w:rsidRPr="001D41EA">
              <w:rPr>
                <w:rFonts w:cs="Arial"/>
                <w:sz w:val="18"/>
                <w:szCs w:val="18"/>
              </w:rPr>
              <w:t>1,992.72</w:t>
            </w:r>
          </w:p>
        </w:tc>
      </w:tr>
      <w:tr w:rsidR="00F04730" w:rsidRPr="001D41EA" w14:paraId="16D0E3D4"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43F02F1F" w14:textId="78176D02"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Buloke S </w:t>
            </w:r>
          </w:p>
        </w:tc>
        <w:tc>
          <w:tcPr>
            <w:tcW w:w="1134" w:type="dxa"/>
            <w:tcBorders>
              <w:top w:val="nil"/>
              <w:left w:val="single" w:sz="18" w:space="0" w:color="5F497A" w:themeColor="accent4" w:themeShade="BF"/>
              <w:bottom w:val="nil"/>
              <w:right w:val="nil"/>
            </w:tcBorders>
            <w:shd w:val="clear" w:color="auto" w:fill="auto"/>
            <w:vAlign w:val="bottom"/>
          </w:tcPr>
          <w:p w14:paraId="704C8DC1" w14:textId="1C46F0FE" w:rsidR="00F04730" w:rsidRPr="001D41EA" w:rsidRDefault="00F04730" w:rsidP="001D41EA">
            <w:pPr>
              <w:spacing w:before="40" w:after="40"/>
              <w:jc w:val="right"/>
              <w:rPr>
                <w:rFonts w:cs="Arial"/>
                <w:sz w:val="18"/>
                <w:szCs w:val="18"/>
              </w:rPr>
            </w:pPr>
            <w:r w:rsidRPr="001D41EA">
              <w:rPr>
                <w:rFonts w:cs="Arial"/>
                <w:sz w:val="18"/>
                <w:szCs w:val="18"/>
              </w:rPr>
              <w:t>6,184</w:t>
            </w:r>
          </w:p>
        </w:tc>
        <w:tc>
          <w:tcPr>
            <w:tcW w:w="1134" w:type="dxa"/>
            <w:tcBorders>
              <w:top w:val="nil"/>
              <w:left w:val="nil"/>
              <w:bottom w:val="nil"/>
              <w:right w:val="nil"/>
            </w:tcBorders>
            <w:shd w:val="clear" w:color="auto" w:fill="auto"/>
            <w:vAlign w:val="bottom"/>
          </w:tcPr>
          <w:p w14:paraId="43E7089E" w14:textId="6897F997" w:rsidR="00F04730" w:rsidRPr="001D41EA" w:rsidRDefault="00F04730" w:rsidP="001D41EA">
            <w:pPr>
              <w:spacing w:before="40" w:after="40"/>
              <w:jc w:val="right"/>
              <w:rPr>
                <w:rFonts w:cs="Arial"/>
                <w:sz w:val="18"/>
                <w:szCs w:val="18"/>
              </w:rPr>
            </w:pPr>
            <w:r w:rsidRPr="001D41EA">
              <w:rPr>
                <w:rFonts w:cs="Arial"/>
                <w:sz w:val="18"/>
                <w:szCs w:val="18"/>
              </w:rPr>
              <w:t>4,109,420</w:t>
            </w:r>
          </w:p>
        </w:tc>
        <w:tc>
          <w:tcPr>
            <w:tcW w:w="1134" w:type="dxa"/>
            <w:tcBorders>
              <w:top w:val="nil"/>
              <w:left w:val="nil"/>
              <w:bottom w:val="nil"/>
              <w:right w:val="nil"/>
            </w:tcBorders>
            <w:shd w:val="clear" w:color="auto" w:fill="auto"/>
            <w:vAlign w:val="bottom"/>
          </w:tcPr>
          <w:p w14:paraId="114277A2" w14:textId="294F1456" w:rsidR="00F04730" w:rsidRPr="001D41EA" w:rsidRDefault="00F04730" w:rsidP="001D41EA">
            <w:pPr>
              <w:spacing w:before="40" w:after="40"/>
              <w:jc w:val="right"/>
              <w:rPr>
                <w:rFonts w:cs="Arial"/>
                <w:sz w:val="18"/>
                <w:szCs w:val="18"/>
              </w:rPr>
            </w:pPr>
            <w:r w:rsidRPr="001D41EA">
              <w:rPr>
                <w:rFonts w:cs="Arial"/>
                <w:sz w:val="18"/>
                <w:szCs w:val="18"/>
              </w:rPr>
              <w:t>664.52</w:t>
            </w:r>
          </w:p>
        </w:tc>
        <w:tc>
          <w:tcPr>
            <w:tcW w:w="1134" w:type="dxa"/>
            <w:tcBorders>
              <w:top w:val="nil"/>
              <w:left w:val="nil"/>
              <w:bottom w:val="nil"/>
              <w:right w:val="nil"/>
            </w:tcBorders>
            <w:shd w:val="clear" w:color="auto" w:fill="auto"/>
            <w:vAlign w:val="bottom"/>
          </w:tcPr>
          <w:p w14:paraId="3DF43A59" w14:textId="59CBF218" w:rsidR="00F04730" w:rsidRPr="001D41EA" w:rsidRDefault="00F04730" w:rsidP="001D41EA">
            <w:pPr>
              <w:spacing w:before="40" w:after="40"/>
              <w:jc w:val="right"/>
              <w:rPr>
                <w:rFonts w:cs="Arial"/>
                <w:sz w:val="18"/>
                <w:szCs w:val="18"/>
              </w:rPr>
            </w:pPr>
            <w:r w:rsidRPr="001D41EA">
              <w:rPr>
                <w:rFonts w:cs="Arial"/>
                <w:sz w:val="18"/>
                <w:szCs w:val="18"/>
              </w:rPr>
              <w:t>5,313</w:t>
            </w:r>
          </w:p>
        </w:tc>
        <w:tc>
          <w:tcPr>
            <w:tcW w:w="1134" w:type="dxa"/>
            <w:tcBorders>
              <w:top w:val="nil"/>
              <w:left w:val="nil"/>
              <w:bottom w:val="nil"/>
              <w:right w:val="nil"/>
            </w:tcBorders>
            <w:shd w:val="clear" w:color="auto" w:fill="auto"/>
            <w:vAlign w:val="bottom"/>
          </w:tcPr>
          <w:p w14:paraId="5D6F4085" w14:textId="00136E2C" w:rsidR="00F04730" w:rsidRPr="001D41EA" w:rsidRDefault="00F04730" w:rsidP="001D41EA">
            <w:pPr>
              <w:spacing w:before="40" w:after="40"/>
              <w:jc w:val="right"/>
              <w:rPr>
                <w:rFonts w:cs="Arial"/>
                <w:sz w:val="18"/>
                <w:szCs w:val="18"/>
              </w:rPr>
            </w:pPr>
            <w:r w:rsidRPr="001D41EA">
              <w:rPr>
                <w:rFonts w:cs="Arial"/>
                <w:sz w:val="18"/>
                <w:szCs w:val="18"/>
              </w:rPr>
              <w:t>2,516,273</w:t>
            </w:r>
          </w:p>
        </w:tc>
        <w:tc>
          <w:tcPr>
            <w:tcW w:w="1134" w:type="dxa"/>
            <w:tcBorders>
              <w:top w:val="nil"/>
              <w:left w:val="nil"/>
              <w:bottom w:val="nil"/>
              <w:right w:val="nil"/>
            </w:tcBorders>
            <w:shd w:val="clear" w:color="auto" w:fill="auto"/>
            <w:vAlign w:val="bottom"/>
          </w:tcPr>
          <w:p w14:paraId="100B2681" w14:textId="04762D3C" w:rsidR="00F04730" w:rsidRPr="001D41EA" w:rsidRDefault="00F04730" w:rsidP="001D41EA">
            <w:pPr>
              <w:spacing w:before="40" w:after="40"/>
              <w:jc w:val="right"/>
              <w:rPr>
                <w:rFonts w:cs="Arial"/>
                <w:sz w:val="18"/>
                <w:szCs w:val="18"/>
              </w:rPr>
            </w:pPr>
            <w:r w:rsidRPr="001D41EA">
              <w:rPr>
                <w:rFonts w:cs="Arial"/>
                <w:sz w:val="18"/>
                <w:szCs w:val="18"/>
              </w:rPr>
              <w:t>473.61</w:t>
            </w:r>
          </w:p>
        </w:tc>
      </w:tr>
      <w:tr w:rsidR="00F04730" w:rsidRPr="001D41EA" w14:paraId="2E17DCF4"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6C101FF" w14:textId="4A14F60F"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Campaspe S </w:t>
            </w:r>
          </w:p>
        </w:tc>
        <w:tc>
          <w:tcPr>
            <w:tcW w:w="1134" w:type="dxa"/>
            <w:tcBorders>
              <w:top w:val="nil"/>
              <w:left w:val="single" w:sz="18" w:space="0" w:color="5F497A" w:themeColor="accent4" w:themeShade="BF"/>
              <w:bottom w:val="nil"/>
              <w:right w:val="nil"/>
            </w:tcBorders>
            <w:shd w:val="clear" w:color="auto" w:fill="auto"/>
            <w:vAlign w:val="bottom"/>
          </w:tcPr>
          <w:p w14:paraId="15768681" w14:textId="44B20075" w:rsidR="00F04730" w:rsidRPr="001D41EA" w:rsidRDefault="00F04730" w:rsidP="001D41EA">
            <w:pPr>
              <w:spacing w:before="40" w:after="40"/>
              <w:jc w:val="right"/>
              <w:rPr>
                <w:rFonts w:cs="Arial"/>
                <w:sz w:val="18"/>
                <w:szCs w:val="18"/>
              </w:rPr>
            </w:pPr>
            <w:r w:rsidRPr="001D41EA">
              <w:rPr>
                <w:rFonts w:cs="Arial"/>
                <w:sz w:val="18"/>
                <w:szCs w:val="18"/>
              </w:rPr>
              <w:t>37,592</w:t>
            </w:r>
          </w:p>
        </w:tc>
        <w:tc>
          <w:tcPr>
            <w:tcW w:w="1134" w:type="dxa"/>
            <w:tcBorders>
              <w:top w:val="nil"/>
              <w:left w:val="nil"/>
              <w:bottom w:val="nil"/>
              <w:right w:val="nil"/>
            </w:tcBorders>
            <w:shd w:val="clear" w:color="auto" w:fill="auto"/>
            <w:vAlign w:val="bottom"/>
          </w:tcPr>
          <w:p w14:paraId="7F12C7CB" w14:textId="7BC86FB2" w:rsidR="00F04730" w:rsidRPr="001D41EA" w:rsidRDefault="00F04730" w:rsidP="001D41EA">
            <w:pPr>
              <w:spacing w:before="40" w:after="40"/>
              <w:jc w:val="right"/>
              <w:rPr>
                <w:rFonts w:cs="Arial"/>
                <w:sz w:val="18"/>
                <w:szCs w:val="18"/>
              </w:rPr>
            </w:pPr>
            <w:r w:rsidRPr="001D41EA">
              <w:rPr>
                <w:rFonts w:cs="Arial"/>
                <w:sz w:val="18"/>
                <w:szCs w:val="18"/>
              </w:rPr>
              <w:t>7,970,336</w:t>
            </w:r>
          </w:p>
        </w:tc>
        <w:tc>
          <w:tcPr>
            <w:tcW w:w="1134" w:type="dxa"/>
            <w:tcBorders>
              <w:top w:val="nil"/>
              <w:left w:val="nil"/>
              <w:bottom w:val="nil"/>
              <w:right w:val="nil"/>
            </w:tcBorders>
            <w:shd w:val="clear" w:color="auto" w:fill="auto"/>
            <w:vAlign w:val="bottom"/>
          </w:tcPr>
          <w:p w14:paraId="0E87BB26" w14:textId="5371FC92" w:rsidR="00F04730" w:rsidRPr="001D41EA" w:rsidRDefault="00F04730" w:rsidP="001D41EA">
            <w:pPr>
              <w:spacing w:before="40" w:after="40"/>
              <w:jc w:val="right"/>
              <w:rPr>
                <w:rFonts w:cs="Arial"/>
                <w:sz w:val="18"/>
                <w:szCs w:val="18"/>
              </w:rPr>
            </w:pPr>
            <w:r w:rsidRPr="001D41EA">
              <w:rPr>
                <w:rFonts w:cs="Arial"/>
                <w:sz w:val="18"/>
                <w:szCs w:val="18"/>
              </w:rPr>
              <w:t>212.02</w:t>
            </w:r>
          </w:p>
        </w:tc>
        <w:tc>
          <w:tcPr>
            <w:tcW w:w="1134" w:type="dxa"/>
            <w:tcBorders>
              <w:top w:val="nil"/>
              <w:left w:val="nil"/>
              <w:bottom w:val="nil"/>
              <w:right w:val="nil"/>
            </w:tcBorders>
            <w:shd w:val="clear" w:color="auto" w:fill="auto"/>
            <w:vAlign w:val="bottom"/>
          </w:tcPr>
          <w:p w14:paraId="082352C9" w14:textId="56F33F16" w:rsidR="00F04730" w:rsidRPr="001D41EA" w:rsidRDefault="00F04730" w:rsidP="001D41EA">
            <w:pPr>
              <w:spacing w:before="40" w:after="40"/>
              <w:jc w:val="right"/>
              <w:rPr>
                <w:rFonts w:cs="Arial"/>
                <w:sz w:val="18"/>
                <w:szCs w:val="18"/>
              </w:rPr>
            </w:pPr>
            <w:r w:rsidRPr="001D41EA">
              <w:rPr>
                <w:rFonts w:cs="Arial"/>
                <w:sz w:val="18"/>
                <w:szCs w:val="18"/>
              </w:rPr>
              <w:t>4,054</w:t>
            </w:r>
          </w:p>
        </w:tc>
        <w:tc>
          <w:tcPr>
            <w:tcW w:w="1134" w:type="dxa"/>
            <w:tcBorders>
              <w:top w:val="nil"/>
              <w:left w:val="nil"/>
              <w:bottom w:val="nil"/>
              <w:right w:val="nil"/>
            </w:tcBorders>
            <w:shd w:val="clear" w:color="auto" w:fill="auto"/>
            <w:vAlign w:val="bottom"/>
          </w:tcPr>
          <w:p w14:paraId="4E2BA26A" w14:textId="4CC804DC" w:rsidR="00F04730" w:rsidRPr="001D41EA" w:rsidRDefault="00F04730" w:rsidP="001D41EA">
            <w:pPr>
              <w:spacing w:before="40" w:after="40"/>
              <w:jc w:val="right"/>
              <w:rPr>
                <w:rFonts w:cs="Arial"/>
                <w:sz w:val="18"/>
                <w:szCs w:val="18"/>
              </w:rPr>
            </w:pPr>
            <w:r w:rsidRPr="001D41EA">
              <w:rPr>
                <w:rFonts w:cs="Arial"/>
                <w:sz w:val="18"/>
                <w:szCs w:val="18"/>
              </w:rPr>
              <w:t>4,149,021</w:t>
            </w:r>
          </w:p>
        </w:tc>
        <w:tc>
          <w:tcPr>
            <w:tcW w:w="1134" w:type="dxa"/>
            <w:tcBorders>
              <w:top w:val="nil"/>
              <w:left w:val="nil"/>
              <w:bottom w:val="nil"/>
              <w:right w:val="nil"/>
            </w:tcBorders>
            <w:shd w:val="clear" w:color="auto" w:fill="auto"/>
            <w:vAlign w:val="bottom"/>
          </w:tcPr>
          <w:p w14:paraId="7B029B97" w14:textId="306F4BE8" w:rsidR="00F04730" w:rsidRPr="001D41EA" w:rsidRDefault="00F04730" w:rsidP="001D41EA">
            <w:pPr>
              <w:spacing w:before="40" w:after="40"/>
              <w:jc w:val="right"/>
              <w:rPr>
                <w:rFonts w:cs="Arial"/>
                <w:sz w:val="18"/>
                <w:szCs w:val="18"/>
              </w:rPr>
            </w:pPr>
            <w:r w:rsidRPr="001D41EA">
              <w:rPr>
                <w:rFonts w:cs="Arial"/>
                <w:sz w:val="18"/>
                <w:szCs w:val="18"/>
              </w:rPr>
              <w:t>1,023.44</w:t>
            </w:r>
          </w:p>
        </w:tc>
      </w:tr>
      <w:tr w:rsidR="00F04730" w:rsidRPr="001D41EA" w14:paraId="1F593F28"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4844219" w14:textId="3AF4B39D"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Cardinia S </w:t>
            </w:r>
          </w:p>
        </w:tc>
        <w:tc>
          <w:tcPr>
            <w:tcW w:w="1134" w:type="dxa"/>
            <w:tcBorders>
              <w:top w:val="nil"/>
              <w:left w:val="single" w:sz="18" w:space="0" w:color="5F497A" w:themeColor="accent4" w:themeShade="BF"/>
              <w:bottom w:val="nil"/>
              <w:right w:val="nil"/>
            </w:tcBorders>
            <w:shd w:val="clear" w:color="auto" w:fill="auto"/>
            <w:vAlign w:val="bottom"/>
          </w:tcPr>
          <w:p w14:paraId="40E8A188" w14:textId="38BFD0E8" w:rsidR="00F04730" w:rsidRPr="001D41EA" w:rsidRDefault="00F04730" w:rsidP="001D41EA">
            <w:pPr>
              <w:spacing w:before="40" w:after="40"/>
              <w:jc w:val="right"/>
              <w:rPr>
                <w:rFonts w:cs="Arial"/>
                <w:sz w:val="18"/>
                <w:szCs w:val="18"/>
              </w:rPr>
            </w:pPr>
            <w:r w:rsidRPr="001D41EA">
              <w:rPr>
                <w:rFonts w:cs="Arial"/>
                <w:sz w:val="18"/>
                <w:szCs w:val="18"/>
              </w:rPr>
              <w:t>107,120</w:t>
            </w:r>
          </w:p>
        </w:tc>
        <w:tc>
          <w:tcPr>
            <w:tcW w:w="1134" w:type="dxa"/>
            <w:tcBorders>
              <w:top w:val="nil"/>
              <w:left w:val="nil"/>
              <w:bottom w:val="nil"/>
              <w:right w:val="nil"/>
            </w:tcBorders>
            <w:shd w:val="clear" w:color="auto" w:fill="auto"/>
            <w:vAlign w:val="bottom"/>
          </w:tcPr>
          <w:p w14:paraId="3789C030" w14:textId="31BE3504" w:rsidR="00F04730" w:rsidRPr="001D41EA" w:rsidRDefault="00F04730" w:rsidP="001D41EA">
            <w:pPr>
              <w:spacing w:before="40" w:after="40"/>
              <w:jc w:val="right"/>
              <w:rPr>
                <w:rFonts w:cs="Arial"/>
                <w:sz w:val="18"/>
                <w:szCs w:val="18"/>
              </w:rPr>
            </w:pPr>
            <w:r w:rsidRPr="001D41EA">
              <w:rPr>
                <w:rFonts w:cs="Arial"/>
                <w:sz w:val="18"/>
                <w:szCs w:val="18"/>
              </w:rPr>
              <w:t>9,245,864</w:t>
            </w:r>
          </w:p>
        </w:tc>
        <w:tc>
          <w:tcPr>
            <w:tcW w:w="1134" w:type="dxa"/>
            <w:tcBorders>
              <w:top w:val="nil"/>
              <w:left w:val="nil"/>
              <w:bottom w:val="nil"/>
              <w:right w:val="nil"/>
            </w:tcBorders>
            <w:shd w:val="clear" w:color="auto" w:fill="auto"/>
            <w:vAlign w:val="bottom"/>
          </w:tcPr>
          <w:p w14:paraId="3A9ECCDA" w14:textId="6904A109" w:rsidR="00F04730" w:rsidRPr="001D41EA" w:rsidRDefault="00F04730" w:rsidP="001D41EA">
            <w:pPr>
              <w:spacing w:before="40" w:after="40"/>
              <w:jc w:val="right"/>
              <w:rPr>
                <w:rFonts w:cs="Arial"/>
                <w:sz w:val="18"/>
                <w:szCs w:val="18"/>
              </w:rPr>
            </w:pPr>
            <w:r w:rsidRPr="001D41EA">
              <w:rPr>
                <w:rFonts w:cs="Arial"/>
                <w:sz w:val="18"/>
                <w:szCs w:val="18"/>
              </w:rPr>
              <w:t>86.31</w:t>
            </w:r>
          </w:p>
        </w:tc>
        <w:tc>
          <w:tcPr>
            <w:tcW w:w="1134" w:type="dxa"/>
            <w:tcBorders>
              <w:top w:val="nil"/>
              <w:left w:val="nil"/>
              <w:bottom w:val="nil"/>
              <w:right w:val="nil"/>
            </w:tcBorders>
            <w:shd w:val="clear" w:color="auto" w:fill="auto"/>
            <w:vAlign w:val="bottom"/>
          </w:tcPr>
          <w:p w14:paraId="792591BF" w14:textId="71A2B427" w:rsidR="00F04730" w:rsidRPr="001D41EA" w:rsidRDefault="00F04730" w:rsidP="001D41EA">
            <w:pPr>
              <w:spacing w:before="40" w:after="40"/>
              <w:jc w:val="right"/>
              <w:rPr>
                <w:rFonts w:cs="Arial"/>
                <w:sz w:val="18"/>
                <w:szCs w:val="18"/>
              </w:rPr>
            </w:pPr>
            <w:r w:rsidRPr="001D41EA">
              <w:rPr>
                <w:rFonts w:cs="Arial"/>
                <w:sz w:val="18"/>
                <w:szCs w:val="18"/>
              </w:rPr>
              <w:t>1,541</w:t>
            </w:r>
          </w:p>
        </w:tc>
        <w:tc>
          <w:tcPr>
            <w:tcW w:w="1134" w:type="dxa"/>
            <w:tcBorders>
              <w:top w:val="nil"/>
              <w:left w:val="nil"/>
              <w:bottom w:val="nil"/>
              <w:right w:val="nil"/>
            </w:tcBorders>
            <w:shd w:val="clear" w:color="auto" w:fill="auto"/>
            <w:vAlign w:val="bottom"/>
          </w:tcPr>
          <w:p w14:paraId="31554253" w14:textId="09E62CDD" w:rsidR="00F04730" w:rsidRPr="001D41EA" w:rsidRDefault="00F04730" w:rsidP="001D41EA">
            <w:pPr>
              <w:spacing w:before="40" w:after="40"/>
              <w:jc w:val="right"/>
              <w:rPr>
                <w:rFonts w:cs="Arial"/>
                <w:sz w:val="18"/>
                <w:szCs w:val="18"/>
              </w:rPr>
            </w:pPr>
            <w:r w:rsidRPr="001D41EA">
              <w:rPr>
                <w:rFonts w:cs="Arial"/>
                <w:sz w:val="18"/>
                <w:szCs w:val="18"/>
              </w:rPr>
              <w:t>2,686,498</w:t>
            </w:r>
          </w:p>
        </w:tc>
        <w:tc>
          <w:tcPr>
            <w:tcW w:w="1134" w:type="dxa"/>
            <w:tcBorders>
              <w:top w:val="nil"/>
              <w:left w:val="nil"/>
              <w:bottom w:val="nil"/>
              <w:right w:val="nil"/>
            </w:tcBorders>
            <w:shd w:val="clear" w:color="auto" w:fill="auto"/>
            <w:vAlign w:val="bottom"/>
          </w:tcPr>
          <w:p w14:paraId="2EDE4065" w14:textId="5E53D4F4" w:rsidR="00F04730" w:rsidRPr="001D41EA" w:rsidRDefault="00F04730" w:rsidP="001D41EA">
            <w:pPr>
              <w:spacing w:before="40" w:after="40"/>
              <w:jc w:val="right"/>
              <w:rPr>
                <w:rFonts w:cs="Arial"/>
                <w:sz w:val="18"/>
                <w:szCs w:val="18"/>
              </w:rPr>
            </w:pPr>
            <w:r w:rsidRPr="001D41EA">
              <w:rPr>
                <w:rFonts w:cs="Arial"/>
                <w:sz w:val="18"/>
                <w:szCs w:val="18"/>
              </w:rPr>
              <w:t>1,743.35</w:t>
            </w:r>
          </w:p>
        </w:tc>
      </w:tr>
      <w:tr w:rsidR="00F04730" w:rsidRPr="001D41EA" w14:paraId="483800E1"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3DD89A8D" w14:textId="6FA9B7E1"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Casey C </w:t>
            </w:r>
          </w:p>
        </w:tc>
        <w:tc>
          <w:tcPr>
            <w:tcW w:w="1134" w:type="dxa"/>
            <w:tcBorders>
              <w:top w:val="nil"/>
              <w:left w:val="single" w:sz="18" w:space="0" w:color="5F497A" w:themeColor="accent4" w:themeShade="BF"/>
              <w:bottom w:val="nil"/>
              <w:right w:val="nil"/>
            </w:tcBorders>
            <w:shd w:val="clear" w:color="auto" w:fill="auto"/>
            <w:vAlign w:val="bottom"/>
          </w:tcPr>
          <w:p w14:paraId="39ADF5D4" w14:textId="511D7718" w:rsidR="00F04730" w:rsidRPr="001D41EA" w:rsidRDefault="00F04730" w:rsidP="001D41EA">
            <w:pPr>
              <w:spacing w:before="40" w:after="40"/>
              <w:jc w:val="right"/>
              <w:rPr>
                <w:rFonts w:cs="Arial"/>
                <w:sz w:val="18"/>
                <w:szCs w:val="18"/>
              </w:rPr>
            </w:pPr>
            <w:r w:rsidRPr="001D41EA">
              <w:rPr>
                <w:rFonts w:cs="Arial"/>
                <w:sz w:val="18"/>
                <w:szCs w:val="18"/>
              </w:rPr>
              <w:t>340,419</w:t>
            </w:r>
          </w:p>
        </w:tc>
        <w:tc>
          <w:tcPr>
            <w:tcW w:w="1134" w:type="dxa"/>
            <w:tcBorders>
              <w:top w:val="nil"/>
              <w:left w:val="nil"/>
              <w:bottom w:val="nil"/>
              <w:right w:val="nil"/>
            </w:tcBorders>
            <w:shd w:val="clear" w:color="auto" w:fill="auto"/>
            <w:vAlign w:val="bottom"/>
          </w:tcPr>
          <w:p w14:paraId="61BCA15A" w14:textId="726EC77B" w:rsidR="00F04730" w:rsidRPr="001D41EA" w:rsidRDefault="00F04730" w:rsidP="001D41EA">
            <w:pPr>
              <w:spacing w:before="40" w:after="40"/>
              <w:jc w:val="right"/>
              <w:rPr>
                <w:rFonts w:cs="Arial"/>
                <w:sz w:val="18"/>
                <w:szCs w:val="18"/>
              </w:rPr>
            </w:pPr>
            <w:r w:rsidRPr="001D41EA">
              <w:rPr>
                <w:rFonts w:cs="Arial"/>
                <w:sz w:val="18"/>
                <w:szCs w:val="18"/>
              </w:rPr>
              <w:t>18,031,664</w:t>
            </w:r>
          </w:p>
        </w:tc>
        <w:tc>
          <w:tcPr>
            <w:tcW w:w="1134" w:type="dxa"/>
            <w:tcBorders>
              <w:top w:val="nil"/>
              <w:left w:val="nil"/>
              <w:bottom w:val="nil"/>
              <w:right w:val="nil"/>
            </w:tcBorders>
            <w:shd w:val="clear" w:color="auto" w:fill="auto"/>
            <w:vAlign w:val="bottom"/>
          </w:tcPr>
          <w:p w14:paraId="1C86E3A5" w14:textId="1EE7ABE0" w:rsidR="00F04730" w:rsidRPr="001D41EA" w:rsidRDefault="00F04730" w:rsidP="001D41EA">
            <w:pPr>
              <w:spacing w:before="40" w:after="40"/>
              <w:jc w:val="right"/>
              <w:rPr>
                <w:rFonts w:cs="Arial"/>
                <w:sz w:val="18"/>
                <w:szCs w:val="18"/>
              </w:rPr>
            </w:pPr>
            <w:r w:rsidRPr="001D41EA">
              <w:rPr>
                <w:rFonts w:cs="Arial"/>
                <w:sz w:val="18"/>
                <w:szCs w:val="18"/>
              </w:rPr>
              <w:t>52.97</w:t>
            </w:r>
          </w:p>
        </w:tc>
        <w:tc>
          <w:tcPr>
            <w:tcW w:w="1134" w:type="dxa"/>
            <w:tcBorders>
              <w:top w:val="nil"/>
              <w:left w:val="nil"/>
              <w:bottom w:val="nil"/>
              <w:right w:val="nil"/>
            </w:tcBorders>
            <w:shd w:val="clear" w:color="auto" w:fill="auto"/>
            <w:vAlign w:val="bottom"/>
          </w:tcPr>
          <w:p w14:paraId="7DD804A2" w14:textId="38B98352" w:rsidR="00F04730" w:rsidRPr="001D41EA" w:rsidRDefault="00F04730" w:rsidP="001D41EA">
            <w:pPr>
              <w:spacing w:before="40" w:after="40"/>
              <w:jc w:val="right"/>
              <w:rPr>
                <w:rFonts w:cs="Arial"/>
                <w:sz w:val="18"/>
                <w:szCs w:val="18"/>
              </w:rPr>
            </w:pPr>
            <w:r w:rsidRPr="001D41EA">
              <w:rPr>
                <w:rFonts w:cs="Arial"/>
                <w:sz w:val="18"/>
                <w:szCs w:val="18"/>
              </w:rPr>
              <w:t>1,695</w:t>
            </w:r>
          </w:p>
        </w:tc>
        <w:tc>
          <w:tcPr>
            <w:tcW w:w="1134" w:type="dxa"/>
            <w:tcBorders>
              <w:top w:val="nil"/>
              <w:left w:val="nil"/>
              <w:bottom w:val="nil"/>
              <w:right w:val="nil"/>
            </w:tcBorders>
            <w:shd w:val="clear" w:color="auto" w:fill="auto"/>
            <w:vAlign w:val="bottom"/>
          </w:tcPr>
          <w:p w14:paraId="6336B6EE" w14:textId="3FEFBD8D" w:rsidR="00F04730" w:rsidRPr="001D41EA" w:rsidRDefault="00F04730" w:rsidP="001D41EA">
            <w:pPr>
              <w:spacing w:before="40" w:after="40"/>
              <w:jc w:val="right"/>
              <w:rPr>
                <w:rFonts w:cs="Arial"/>
                <w:sz w:val="18"/>
                <w:szCs w:val="18"/>
              </w:rPr>
            </w:pPr>
            <w:r w:rsidRPr="001D41EA">
              <w:rPr>
                <w:rFonts w:cs="Arial"/>
                <w:sz w:val="18"/>
                <w:szCs w:val="18"/>
              </w:rPr>
              <w:t>2,659,862</w:t>
            </w:r>
          </w:p>
        </w:tc>
        <w:tc>
          <w:tcPr>
            <w:tcW w:w="1134" w:type="dxa"/>
            <w:tcBorders>
              <w:top w:val="nil"/>
              <w:left w:val="nil"/>
              <w:bottom w:val="nil"/>
              <w:right w:val="nil"/>
            </w:tcBorders>
            <w:shd w:val="clear" w:color="auto" w:fill="auto"/>
            <w:vAlign w:val="bottom"/>
          </w:tcPr>
          <w:p w14:paraId="4514C0DF" w14:textId="6B479F1D" w:rsidR="00F04730" w:rsidRPr="001D41EA" w:rsidRDefault="00F04730" w:rsidP="001D41EA">
            <w:pPr>
              <w:spacing w:before="40" w:after="40"/>
              <w:jc w:val="right"/>
              <w:rPr>
                <w:rFonts w:cs="Arial"/>
                <w:sz w:val="18"/>
                <w:szCs w:val="18"/>
              </w:rPr>
            </w:pPr>
            <w:r w:rsidRPr="001D41EA">
              <w:rPr>
                <w:rFonts w:cs="Arial"/>
                <w:sz w:val="18"/>
                <w:szCs w:val="18"/>
              </w:rPr>
              <w:t>1,568.89</w:t>
            </w:r>
          </w:p>
        </w:tc>
      </w:tr>
      <w:tr w:rsidR="00F04730" w:rsidRPr="001D41EA" w14:paraId="2E8D059C"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78697B9" w14:textId="589B6FD1"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Central Goldfields S </w:t>
            </w:r>
          </w:p>
        </w:tc>
        <w:tc>
          <w:tcPr>
            <w:tcW w:w="1134" w:type="dxa"/>
            <w:tcBorders>
              <w:top w:val="nil"/>
              <w:left w:val="single" w:sz="18" w:space="0" w:color="5F497A" w:themeColor="accent4" w:themeShade="BF"/>
              <w:bottom w:val="nil"/>
              <w:right w:val="nil"/>
            </w:tcBorders>
            <w:shd w:val="clear" w:color="auto" w:fill="auto"/>
            <w:vAlign w:val="bottom"/>
          </w:tcPr>
          <w:p w14:paraId="717761D4" w14:textId="35B01405" w:rsidR="00F04730" w:rsidRPr="001D41EA" w:rsidRDefault="00F04730" w:rsidP="001D41EA">
            <w:pPr>
              <w:spacing w:before="40" w:after="40"/>
              <w:jc w:val="right"/>
              <w:rPr>
                <w:rFonts w:cs="Arial"/>
                <w:sz w:val="18"/>
                <w:szCs w:val="18"/>
              </w:rPr>
            </w:pPr>
            <w:r w:rsidRPr="001D41EA">
              <w:rPr>
                <w:rFonts w:cs="Arial"/>
                <w:sz w:val="18"/>
                <w:szCs w:val="18"/>
              </w:rPr>
              <w:t>13,209</w:t>
            </w:r>
          </w:p>
        </w:tc>
        <w:tc>
          <w:tcPr>
            <w:tcW w:w="1134" w:type="dxa"/>
            <w:tcBorders>
              <w:top w:val="nil"/>
              <w:left w:val="nil"/>
              <w:bottom w:val="nil"/>
              <w:right w:val="nil"/>
            </w:tcBorders>
            <w:shd w:val="clear" w:color="auto" w:fill="auto"/>
            <w:vAlign w:val="bottom"/>
          </w:tcPr>
          <w:p w14:paraId="0BF1091D" w14:textId="3EFCE0A7" w:rsidR="00F04730" w:rsidRPr="001D41EA" w:rsidRDefault="00F04730" w:rsidP="001D41EA">
            <w:pPr>
              <w:spacing w:before="40" w:after="40"/>
              <w:jc w:val="right"/>
              <w:rPr>
                <w:rFonts w:cs="Arial"/>
                <w:sz w:val="18"/>
                <w:szCs w:val="18"/>
              </w:rPr>
            </w:pPr>
            <w:r w:rsidRPr="001D41EA">
              <w:rPr>
                <w:rFonts w:cs="Arial"/>
                <w:sz w:val="18"/>
                <w:szCs w:val="18"/>
              </w:rPr>
              <w:t>2,887,093</w:t>
            </w:r>
          </w:p>
        </w:tc>
        <w:tc>
          <w:tcPr>
            <w:tcW w:w="1134" w:type="dxa"/>
            <w:tcBorders>
              <w:top w:val="nil"/>
              <w:left w:val="nil"/>
              <w:bottom w:val="nil"/>
              <w:right w:val="nil"/>
            </w:tcBorders>
            <w:shd w:val="clear" w:color="auto" w:fill="auto"/>
            <w:vAlign w:val="bottom"/>
          </w:tcPr>
          <w:p w14:paraId="38F76431" w14:textId="06434289" w:rsidR="00F04730" w:rsidRPr="001D41EA" w:rsidRDefault="00F04730" w:rsidP="001D41EA">
            <w:pPr>
              <w:spacing w:before="40" w:after="40"/>
              <w:jc w:val="right"/>
              <w:rPr>
                <w:rFonts w:cs="Arial"/>
                <w:sz w:val="18"/>
                <w:szCs w:val="18"/>
              </w:rPr>
            </w:pPr>
            <w:r w:rsidRPr="001D41EA">
              <w:rPr>
                <w:rFonts w:cs="Arial"/>
                <w:sz w:val="18"/>
                <w:szCs w:val="18"/>
              </w:rPr>
              <w:t>218.57</w:t>
            </w:r>
          </w:p>
        </w:tc>
        <w:tc>
          <w:tcPr>
            <w:tcW w:w="1134" w:type="dxa"/>
            <w:tcBorders>
              <w:top w:val="nil"/>
              <w:left w:val="nil"/>
              <w:bottom w:val="nil"/>
              <w:right w:val="nil"/>
            </w:tcBorders>
            <w:shd w:val="clear" w:color="auto" w:fill="auto"/>
            <w:vAlign w:val="bottom"/>
          </w:tcPr>
          <w:p w14:paraId="05CB90A8" w14:textId="5D5C2968" w:rsidR="00F04730" w:rsidRPr="001D41EA" w:rsidRDefault="00F04730" w:rsidP="001D41EA">
            <w:pPr>
              <w:spacing w:before="40" w:after="40"/>
              <w:jc w:val="right"/>
              <w:rPr>
                <w:rFonts w:cs="Arial"/>
                <w:sz w:val="18"/>
                <w:szCs w:val="18"/>
              </w:rPr>
            </w:pPr>
            <w:r w:rsidRPr="001D41EA">
              <w:rPr>
                <w:rFonts w:cs="Arial"/>
                <w:sz w:val="18"/>
                <w:szCs w:val="18"/>
              </w:rPr>
              <w:t>1,280</w:t>
            </w:r>
          </w:p>
        </w:tc>
        <w:tc>
          <w:tcPr>
            <w:tcW w:w="1134" w:type="dxa"/>
            <w:tcBorders>
              <w:top w:val="nil"/>
              <w:left w:val="nil"/>
              <w:bottom w:val="nil"/>
              <w:right w:val="nil"/>
            </w:tcBorders>
            <w:shd w:val="clear" w:color="auto" w:fill="auto"/>
            <w:vAlign w:val="bottom"/>
          </w:tcPr>
          <w:p w14:paraId="6D79433D" w14:textId="33AD57FE" w:rsidR="00F04730" w:rsidRPr="001D41EA" w:rsidRDefault="00F04730" w:rsidP="001D41EA">
            <w:pPr>
              <w:spacing w:before="40" w:after="40"/>
              <w:jc w:val="right"/>
              <w:rPr>
                <w:rFonts w:cs="Arial"/>
                <w:sz w:val="18"/>
                <w:szCs w:val="18"/>
              </w:rPr>
            </w:pPr>
            <w:r w:rsidRPr="001D41EA">
              <w:rPr>
                <w:rFonts w:cs="Arial"/>
                <w:sz w:val="18"/>
                <w:szCs w:val="18"/>
              </w:rPr>
              <w:t>1,243,305</w:t>
            </w:r>
          </w:p>
        </w:tc>
        <w:tc>
          <w:tcPr>
            <w:tcW w:w="1134" w:type="dxa"/>
            <w:tcBorders>
              <w:top w:val="nil"/>
              <w:left w:val="nil"/>
              <w:bottom w:val="nil"/>
              <w:right w:val="nil"/>
            </w:tcBorders>
            <w:shd w:val="clear" w:color="auto" w:fill="auto"/>
            <w:vAlign w:val="bottom"/>
          </w:tcPr>
          <w:p w14:paraId="60155C91" w14:textId="1C15839E" w:rsidR="00F04730" w:rsidRPr="001D41EA" w:rsidRDefault="00F04730" w:rsidP="001D41EA">
            <w:pPr>
              <w:spacing w:before="40" w:after="40"/>
              <w:jc w:val="right"/>
              <w:rPr>
                <w:rFonts w:cs="Arial"/>
                <w:sz w:val="18"/>
                <w:szCs w:val="18"/>
              </w:rPr>
            </w:pPr>
            <w:r w:rsidRPr="001D41EA">
              <w:rPr>
                <w:rFonts w:cs="Arial"/>
                <w:sz w:val="18"/>
                <w:szCs w:val="18"/>
              </w:rPr>
              <w:t>971.03</w:t>
            </w:r>
          </w:p>
        </w:tc>
      </w:tr>
      <w:tr w:rsidR="00F04730" w:rsidRPr="001D41EA" w14:paraId="181EC4AD"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31D10D4" w14:textId="5E1D8056"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Colac Otway S </w:t>
            </w:r>
          </w:p>
        </w:tc>
        <w:tc>
          <w:tcPr>
            <w:tcW w:w="1134" w:type="dxa"/>
            <w:tcBorders>
              <w:top w:val="nil"/>
              <w:left w:val="single" w:sz="18" w:space="0" w:color="5F497A" w:themeColor="accent4" w:themeShade="BF"/>
              <w:bottom w:val="nil"/>
              <w:right w:val="nil"/>
            </w:tcBorders>
            <w:shd w:val="clear" w:color="auto" w:fill="auto"/>
            <w:vAlign w:val="bottom"/>
          </w:tcPr>
          <w:p w14:paraId="3D1B8914" w14:textId="0066FDCC" w:rsidR="00F04730" w:rsidRPr="001D41EA" w:rsidRDefault="00F04730" w:rsidP="001D41EA">
            <w:pPr>
              <w:spacing w:before="40" w:after="40"/>
              <w:jc w:val="right"/>
              <w:rPr>
                <w:rFonts w:cs="Arial"/>
                <w:sz w:val="18"/>
                <w:szCs w:val="18"/>
              </w:rPr>
            </w:pPr>
            <w:r w:rsidRPr="001D41EA">
              <w:rPr>
                <w:rFonts w:cs="Arial"/>
                <w:sz w:val="18"/>
                <w:szCs w:val="18"/>
              </w:rPr>
              <w:t>21,503</w:t>
            </w:r>
          </w:p>
        </w:tc>
        <w:tc>
          <w:tcPr>
            <w:tcW w:w="1134" w:type="dxa"/>
            <w:tcBorders>
              <w:top w:val="nil"/>
              <w:left w:val="nil"/>
              <w:bottom w:val="nil"/>
              <w:right w:val="nil"/>
            </w:tcBorders>
            <w:shd w:val="clear" w:color="auto" w:fill="auto"/>
            <w:vAlign w:val="bottom"/>
          </w:tcPr>
          <w:p w14:paraId="6466AC0A" w14:textId="0A2333D5" w:rsidR="00F04730" w:rsidRPr="001D41EA" w:rsidRDefault="00F04730" w:rsidP="001D41EA">
            <w:pPr>
              <w:spacing w:before="40" w:after="40"/>
              <w:jc w:val="right"/>
              <w:rPr>
                <w:rFonts w:cs="Arial"/>
                <w:sz w:val="18"/>
                <w:szCs w:val="18"/>
              </w:rPr>
            </w:pPr>
            <w:r w:rsidRPr="001D41EA">
              <w:rPr>
                <w:rFonts w:cs="Arial"/>
                <w:sz w:val="18"/>
                <w:szCs w:val="18"/>
              </w:rPr>
              <w:t>4,247,693</w:t>
            </w:r>
          </w:p>
        </w:tc>
        <w:tc>
          <w:tcPr>
            <w:tcW w:w="1134" w:type="dxa"/>
            <w:tcBorders>
              <w:top w:val="nil"/>
              <w:left w:val="nil"/>
              <w:bottom w:val="nil"/>
              <w:right w:val="nil"/>
            </w:tcBorders>
            <w:shd w:val="clear" w:color="auto" w:fill="auto"/>
            <w:vAlign w:val="bottom"/>
          </w:tcPr>
          <w:p w14:paraId="51E2EB6D" w14:textId="0388391E" w:rsidR="00F04730" w:rsidRPr="001D41EA" w:rsidRDefault="00F04730" w:rsidP="001D41EA">
            <w:pPr>
              <w:spacing w:before="40" w:after="40"/>
              <w:jc w:val="right"/>
              <w:rPr>
                <w:rFonts w:cs="Arial"/>
                <w:sz w:val="18"/>
                <w:szCs w:val="18"/>
              </w:rPr>
            </w:pPr>
            <w:r w:rsidRPr="001D41EA">
              <w:rPr>
                <w:rFonts w:cs="Arial"/>
                <w:sz w:val="18"/>
                <w:szCs w:val="18"/>
              </w:rPr>
              <w:t>197.54</w:t>
            </w:r>
          </w:p>
        </w:tc>
        <w:tc>
          <w:tcPr>
            <w:tcW w:w="1134" w:type="dxa"/>
            <w:tcBorders>
              <w:top w:val="nil"/>
              <w:left w:val="nil"/>
              <w:bottom w:val="nil"/>
              <w:right w:val="nil"/>
            </w:tcBorders>
            <w:shd w:val="clear" w:color="auto" w:fill="auto"/>
            <w:vAlign w:val="bottom"/>
          </w:tcPr>
          <w:p w14:paraId="096E8EBD" w14:textId="1C03E160" w:rsidR="00F04730" w:rsidRPr="001D41EA" w:rsidRDefault="00F04730" w:rsidP="001D41EA">
            <w:pPr>
              <w:spacing w:before="40" w:after="40"/>
              <w:jc w:val="right"/>
              <w:rPr>
                <w:rFonts w:cs="Arial"/>
                <w:sz w:val="18"/>
                <w:szCs w:val="18"/>
              </w:rPr>
            </w:pPr>
            <w:r w:rsidRPr="001D41EA">
              <w:rPr>
                <w:rFonts w:cs="Arial"/>
                <w:sz w:val="18"/>
                <w:szCs w:val="18"/>
              </w:rPr>
              <w:t>1,628</w:t>
            </w:r>
          </w:p>
        </w:tc>
        <w:tc>
          <w:tcPr>
            <w:tcW w:w="1134" w:type="dxa"/>
            <w:tcBorders>
              <w:top w:val="nil"/>
              <w:left w:val="nil"/>
              <w:bottom w:val="nil"/>
              <w:right w:val="nil"/>
            </w:tcBorders>
            <w:shd w:val="clear" w:color="auto" w:fill="auto"/>
            <w:vAlign w:val="bottom"/>
          </w:tcPr>
          <w:p w14:paraId="7166AFD7" w14:textId="5BE9CDE8" w:rsidR="00F04730" w:rsidRPr="001D41EA" w:rsidRDefault="00F04730" w:rsidP="001D41EA">
            <w:pPr>
              <w:spacing w:before="40" w:after="40"/>
              <w:jc w:val="right"/>
              <w:rPr>
                <w:rFonts w:cs="Arial"/>
                <w:sz w:val="18"/>
                <w:szCs w:val="18"/>
              </w:rPr>
            </w:pPr>
            <w:r w:rsidRPr="001D41EA">
              <w:rPr>
                <w:rFonts w:cs="Arial"/>
                <w:sz w:val="18"/>
                <w:szCs w:val="18"/>
              </w:rPr>
              <w:t>2,694,233</w:t>
            </w:r>
          </w:p>
        </w:tc>
        <w:tc>
          <w:tcPr>
            <w:tcW w:w="1134" w:type="dxa"/>
            <w:tcBorders>
              <w:top w:val="nil"/>
              <w:left w:val="nil"/>
              <w:bottom w:val="nil"/>
              <w:right w:val="nil"/>
            </w:tcBorders>
            <w:shd w:val="clear" w:color="auto" w:fill="auto"/>
            <w:vAlign w:val="bottom"/>
          </w:tcPr>
          <w:p w14:paraId="0B74BA61" w14:textId="338D32C5" w:rsidR="00F04730" w:rsidRPr="001D41EA" w:rsidRDefault="00F04730" w:rsidP="001D41EA">
            <w:pPr>
              <w:spacing w:before="40" w:after="40"/>
              <w:jc w:val="right"/>
              <w:rPr>
                <w:rFonts w:cs="Arial"/>
                <w:sz w:val="18"/>
                <w:szCs w:val="18"/>
              </w:rPr>
            </w:pPr>
            <w:r w:rsidRPr="001D41EA">
              <w:rPr>
                <w:rFonts w:cs="Arial"/>
                <w:sz w:val="18"/>
                <w:szCs w:val="18"/>
              </w:rPr>
              <w:t>1,654.93</w:t>
            </w:r>
          </w:p>
        </w:tc>
      </w:tr>
      <w:tr w:rsidR="00F04730" w:rsidRPr="001D41EA" w14:paraId="263A2783"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F6BE57B" w14:textId="17BF0A44"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Corangamite S </w:t>
            </w:r>
            <w:r w:rsidR="00626246" w:rsidRPr="001D41EA">
              <w:rPr>
                <w:rFonts w:cs="Arial"/>
                <w:sz w:val="18"/>
                <w:szCs w:val="18"/>
              </w:rPr>
              <w:t xml:space="preserve"> *</w:t>
            </w:r>
            <w:r w:rsidR="00626246" w:rsidRPr="001D41EA">
              <w:rPr>
                <w:rFonts w:cs="Arial"/>
                <w:sz w:val="18"/>
                <w:szCs w:val="18"/>
              </w:rPr>
              <w:tab/>
            </w:r>
          </w:p>
        </w:tc>
        <w:tc>
          <w:tcPr>
            <w:tcW w:w="1134" w:type="dxa"/>
            <w:tcBorders>
              <w:top w:val="nil"/>
              <w:left w:val="single" w:sz="18" w:space="0" w:color="5F497A" w:themeColor="accent4" w:themeShade="BF"/>
              <w:bottom w:val="nil"/>
              <w:right w:val="nil"/>
            </w:tcBorders>
            <w:shd w:val="clear" w:color="auto" w:fill="auto"/>
            <w:vAlign w:val="bottom"/>
          </w:tcPr>
          <w:p w14:paraId="194F8836" w14:textId="4AE18236" w:rsidR="00F04730" w:rsidRPr="001D41EA" w:rsidRDefault="00F04730" w:rsidP="001D41EA">
            <w:pPr>
              <w:spacing w:before="40" w:after="40"/>
              <w:jc w:val="right"/>
              <w:rPr>
                <w:rFonts w:cs="Arial"/>
                <w:sz w:val="18"/>
                <w:szCs w:val="18"/>
              </w:rPr>
            </w:pPr>
            <w:r w:rsidRPr="001D41EA">
              <w:rPr>
                <w:rFonts w:cs="Arial"/>
                <w:sz w:val="18"/>
                <w:szCs w:val="18"/>
              </w:rPr>
              <w:t>16,140</w:t>
            </w:r>
          </w:p>
        </w:tc>
        <w:tc>
          <w:tcPr>
            <w:tcW w:w="1134" w:type="dxa"/>
            <w:tcBorders>
              <w:top w:val="nil"/>
              <w:left w:val="nil"/>
              <w:bottom w:val="nil"/>
              <w:right w:val="nil"/>
            </w:tcBorders>
            <w:shd w:val="clear" w:color="auto" w:fill="auto"/>
            <w:vAlign w:val="bottom"/>
          </w:tcPr>
          <w:p w14:paraId="1B294215" w14:textId="484D38DE" w:rsidR="00F04730" w:rsidRPr="001D41EA" w:rsidRDefault="00F04730" w:rsidP="001D41EA">
            <w:pPr>
              <w:spacing w:before="40" w:after="40"/>
              <w:jc w:val="right"/>
              <w:rPr>
                <w:rFonts w:cs="Arial"/>
                <w:sz w:val="18"/>
                <w:szCs w:val="18"/>
              </w:rPr>
            </w:pPr>
            <w:r w:rsidRPr="001D41EA">
              <w:rPr>
                <w:rFonts w:cs="Arial"/>
                <w:sz w:val="18"/>
                <w:szCs w:val="18"/>
              </w:rPr>
              <w:t>4,734,094</w:t>
            </w:r>
          </w:p>
        </w:tc>
        <w:tc>
          <w:tcPr>
            <w:tcW w:w="1134" w:type="dxa"/>
            <w:tcBorders>
              <w:top w:val="nil"/>
              <w:left w:val="nil"/>
              <w:bottom w:val="nil"/>
              <w:right w:val="nil"/>
            </w:tcBorders>
            <w:shd w:val="clear" w:color="auto" w:fill="auto"/>
            <w:vAlign w:val="bottom"/>
          </w:tcPr>
          <w:p w14:paraId="18D8D787" w14:textId="558B8207" w:rsidR="00F04730" w:rsidRPr="001D41EA" w:rsidRDefault="00F04730" w:rsidP="001D41EA">
            <w:pPr>
              <w:spacing w:before="40" w:after="40"/>
              <w:jc w:val="right"/>
              <w:rPr>
                <w:rFonts w:cs="Arial"/>
                <w:sz w:val="18"/>
                <w:szCs w:val="18"/>
              </w:rPr>
            </w:pPr>
            <w:r w:rsidRPr="001D41EA">
              <w:rPr>
                <w:rFonts w:cs="Arial"/>
                <w:sz w:val="18"/>
                <w:szCs w:val="18"/>
              </w:rPr>
              <w:t>293.31</w:t>
            </w:r>
          </w:p>
        </w:tc>
        <w:tc>
          <w:tcPr>
            <w:tcW w:w="1134" w:type="dxa"/>
            <w:tcBorders>
              <w:top w:val="nil"/>
              <w:left w:val="nil"/>
              <w:bottom w:val="nil"/>
              <w:right w:val="nil"/>
            </w:tcBorders>
            <w:shd w:val="clear" w:color="auto" w:fill="auto"/>
            <w:vAlign w:val="bottom"/>
          </w:tcPr>
          <w:p w14:paraId="51D11CD9" w14:textId="6408172A" w:rsidR="00F04730" w:rsidRPr="001D41EA" w:rsidRDefault="00F04730" w:rsidP="001D41EA">
            <w:pPr>
              <w:spacing w:before="40" w:after="40"/>
              <w:jc w:val="right"/>
              <w:rPr>
                <w:rFonts w:cs="Arial"/>
                <w:sz w:val="18"/>
                <w:szCs w:val="18"/>
              </w:rPr>
            </w:pPr>
            <w:r w:rsidRPr="001D41EA">
              <w:rPr>
                <w:rFonts w:cs="Arial"/>
                <w:sz w:val="18"/>
                <w:szCs w:val="18"/>
              </w:rPr>
              <w:t>2,368</w:t>
            </w:r>
          </w:p>
        </w:tc>
        <w:tc>
          <w:tcPr>
            <w:tcW w:w="1134" w:type="dxa"/>
            <w:tcBorders>
              <w:top w:val="nil"/>
              <w:left w:val="nil"/>
              <w:bottom w:val="nil"/>
              <w:right w:val="nil"/>
            </w:tcBorders>
            <w:shd w:val="clear" w:color="auto" w:fill="auto"/>
            <w:vAlign w:val="bottom"/>
          </w:tcPr>
          <w:p w14:paraId="5E4CA39F" w14:textId="256D912F" w:rsidR="00F04730" w:rsidRPr="001D41EA" w:rsidRDefault="00F04730" w:rsidP="001D41EA">
            <w:pPr>
              <w:spacing w:before="40" w:after="40"/>
              <w:jc w:val="right"/>
              <w:rPr>
                <w:rFonts w:cs="Arial"/>
                <w:sz w:val="18"/>
                <w:szCs w:val="18"/>
              </w:rPr>
            </w:pPr>
            <w:r w:rsidRPr="001D41EA">
              <w:rPr>
                <w:rFonts w:cs="Arial"/>
                <w:sz w:val="18"/>
                <w:szCs w:val="18"/>
              </w:rPr>
              <w:t>3,600,873</w:t>
            </w:r>
          </w:p>
        </w:tc>
        <w:tc>
          <w:tcPr>
            <w:tcW w:w="1134" w:type="dxa"/>
            <w:tcBorders>
              <w:top w:val="nil"/>
              <w:left w:val="nil"/>
              <w:bottom w:val="nil"/>
              <w:right w:val="nil"/>
            </w:tcBorders>
            <w:shd w:val="clear" w:color="auto" w:fill="auto"/>
            <w:vAlign w:val="bottom"/>
          </w:tcPr>
          <w:p w14:paraId="3D2DEF17" w14:textId="77677344" w:rsidR="00F04730" w:rsidRPr="001D41EA" w:rsidRDefault="00F04730" w:rsidP="001D41EA">
            <w:pPr>
              <w:spacing w:before="40" w:after="40"/>
              <w:jc w:val="right"/>
              <w:rPr>
                <w:rFonts w:cs="Arial"/>
                <w:sz w:val="18"/>
                <w:szCs w:val="18"/>
              </w:rPr>
            </w:pPr>
            <w:r w:rsidRPr="001D41EA">
              <w:rPr>
                <w:rFonts w:cs="Arial"/>
                <w:sz w:val="18"/>
                <w:szCs w:val="18"/>
              </w:rPr>
              <w:t>1,520.64</w:t>
            </w:r>
          </w:p>
        </w:tc>
      </w:tr>
      <w:tr w:rsidR="00F04730" w:rsidRPr="001D41EA" w14:paraId="002CD6D7"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00AA47C" w14:textId="2692C56E"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Darebin C </w:t>
            </w:r>
          </w:p>
        </w:tc>
        <w:tc>
          <w:tcPr>
            <w:tcW w:w="1134" w:type="dxa"/>
            <w:tcBorders>
              <w:top w:val="nil"/>
              <w:left w:val="single" w:sz="18" w:space="0" w:color="5F497A" w:themeColor="accent4" w:themeShade="BF"/>
              <w:bottom w:val="nil"/>
              <w:right w:val="nil"/>
            </w:tcBorders>
            <w:shd w:val="clear" w:color="auto" w:fill="auto"/>
            <w:vAlign w:val="bottom"/>
          </w:tcPr>
          <w:p w14:paraId="5354DEFF" w14:textId="56BDE493" w:rsidR="00F04730" w:rsidRPr="001D41EA" w:rsidRDefault="00F04730" w:rsidP="001D41EA">
            <w:pPr>
              <w:spacing w:before="40" w:after="40"/>
              <w:jc w:val="right"/>
              <w:rPr>
                <w:rFonts w:cs="Arial"/>
                <w:sz w:val="18"/>
                <w:szCs w:val="18"/>
              </w:rPr>
            </w:pPr>
            <w:r w:rsidRPr="001D41EA">
              <w:rPr>
                <w:rFonts w:cs="Arial"/>
                <w:sz w:val="18"/>
                <w:szCs w:val="18"/>
              </w:rPr>
              <w:t>161,609</w:t>
            </w:r>
          </w:p>
        </w:tc>
        <w:tc>
          <w:tcPr>
            <w:tcW w:w="1134" w:type="dxa"/>
            <w:tcBorders>
              <w:top w:val="nil"/>
              <w:left w:val="nil"/>
              <w:bottom w:val="nil"/>
              <w:right w:val="nil"/>
            </w:tcBorders>
            <w:shd w:val="clear" w:color="auto" w:fill="auto"/>
            <w:vAlign w:val="bottom"/>
          </w:tcPr>
          <w:p w14:paraId="79FBAE15" w14:textId="4DF6B265" w:rsidR="00F04730" w:rsidRPr="001D41EA" w:rsidRDefault="00F04730" w:rsidP="001D41EA">
            <w:pPr>
              <w:spacing w:before="40" w:after="40"/>
              <w:jc w:val="right"/>
              <w:rPr>
                <w:rFonts w:cs="Arial"/>
                <w:sz w:val="18"/>
                <w:szCs w:val="18"/>
              </w:rPr>
            </w:pPr>
            <w:r w:rsidRPr="001D41EA">
              <w:rPr>
                <w:rFonts w:cs="Arial"/>
                <w:sz w:val="18"/>
                <w:szCs w:val="18"/>
              </w:rPr>
              <w:t>3,418,833</w:t>
            </w:r>
          </w:p>
        </w:tc>
        <w:tc>
          <w:tcPr>
            <w:tcW w:w="1134" w:type="dxa"/>
            <w:tcBorders>
              <w:top w:val="nil"/>
              <w:left w:val="nil"/>
              <w:bottom w:val="nil"/>
              <w:right w:val="nil"/>
            </w:tcBorders>
            <w:shd w:val="clear" w:color="auto" w:fill="auto"/>
            <w:vAlign w:val="bottom"/>
          </w:tcPr>
          <w:p w14:paraId="4752467A" w14:textId="0C26A21D" w:rsidR="00F04730" w:rsidRPr="001D41EA" w:rsidRDefault="00F04730" w:rsidP="001D41EA">
            <w:pPr>
              <w:spacing w:before="40" w:after="40"/>
              <w:jc w:val="right"/>
              <w:rPr>
                <w:rFonts w:cs="Arial"/>
                <w:sz w:val="18"/>
                <w:szCs w:val="18"/>
              </w:rPr>
            </w:pPr>
            <w:r w:rsidRPr="001D41EA">
              <w:rPr>
                <w:rFonts w:cs="Arial"/>
                <w:sz w:val="18"/>
                <w:szCs w:val="18"/>
              </w:rPr>
              <w:t>21.15</w:t>
            </w:r>
          </w:p>
        </w:tc>
        <w:tc>
          <w:tcPr>
            <w:tcW w:w="1134" w:type="dxa"/>
            <w:tcBorders>
              <w:top w:val="nil"/>
              <w:left w:val="nil"/>
              <w:bottom w:val="nil"/>
              <w:right w:val="nil"/>
            </w:tcBorders>
            <w:shd w:val="clear" w:color="auto" w:fill="auto"/>
            <w:vAlign w:val="bottom"/>
          </w:tcPr>
          <w:p w14:paraId="3A66910F" w14:textId="4125E8B5" w:rsidR="00F04730" w:rsidRPr="001D41EA" w:rsidRDefault="00F04730" w:rsidP="001D41EA">
            <w:pPr>
              <w:spacing w:before="40" w:after="40"/>
              <w:jc w:val="right"/>
              <w:rPr>
                <w:rFonts w:cs="Arial"/>
                <w:sz w:val="18"/>
                <w:szCs w:val="18"/>
              </w:rPr>
            </w:pPr>
            <w:r w:rsidRPr="001D41EA">
              <w:rPr>
                <w:rFonts w:cs="Arial"/>
                <w:sz w:val="18"/>
                <w:szCs w:val="18"/>
              </w:rPr>
              <w:t>514</w:t>
            </w:r>
          </w:p>
        </w:tc>
        <w:tc>
          <w:tcPr>
            <w:tcW w:w="1134" w:type="dxa"/>
            <w:tcBorders>
              <w:top w:val="nil"/>
              <w:left w:val="nil"/>
              <w:bottom w:val="nil"/>
              <w:right w:val="nil"/>
            </w:tcBorders>
            <w:shd w:val="clear" w:color="auto" w:fill="auto"/>
            <w:vAlign w:val="bottom"/>
          </w:tcPr>
          <w:p w14:paraId="0BD7C505" w14:textId="665D4E1B" w:rsidR="00F04730" w:rsidRPr="001D41EA" w:rsidRDefault="00F04730" w:rsidP="001D41EA">
            <w:pPr>
              <w:spacing w:before="40" w:after="40"/>
              <w:jc w:val="right"/>
              <w:rPr>
                <w:rFonts w:cs="Arial"/>
                <w:sz w:val="18"/>
                <w:szCs w:val="18"/>
              </w:rPr>
            </w:pPr>
            <w:r w:rsidRPr="001D41EA">
              <w:rPr>
                <w:rFonts w:cs="Arial"/>
                <w:sz w:val="18"/>
                <w:szCs w:val="18"/>
              </w:rPr>
              <w:t>906,697</w:t>
            </w:r>
          </w:p>
        </w:tc>
        <w:tc>
          <w:tcPr>
            <w:tcW w:w="1134" w:type="dxa"/>
            <w:tcBorders>
              <w:top w:val="nil"/>
              <w:left w:val="nil"/>
              <w:bottom w:val="nil"/>
              <w:right w:val="nil"/>
            </w:tcBorders>
            <w:shd w:val="clear" w:color="auto" w:fill="auto"/>
            <w:vAlign w:val="bottom"/>
          </w:tcPr>
          <w:p w14:paraId="6FADF8C0" w14:textId="248A404C" w:rsidR="00F04730" w:rsidRPr="001D41EA" w:rsidRDefault="00F04730" w:rsidP="001D41EA">
            <w:pPr>
              <w:spacing w:before="40" w:after="40"/>
              <w:jc w:val="right"/>
              <w:rPr>
                <w:rFonts w:cs="Arial"/>
                <w:sz w:val="18"/>
                <w:szCs w:val="18"/>
              </w:rPr>
            </w:pPr>
            <w:r w:rsidRPr="001D41EA">
              <w:rPr>
                <w:rFonts w:cs="Arial"/>
                <w:sz w:val="18"/>
                <w:szCs w:val="18"/>
              </w:rPr>
              <w:t>1,764.00</w:t>
            </w:r>
          </w:p>
        </w:tc>
      </w:tr>
      <w:tr w:rsidR="00F04730" w:rsidRPr="001D41EA" w14:paraId="4BDB8C03"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533A9799" w14:textId="75967877"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East Gippsland S </w:t>
            </w:r>
          </w:p>
        </w:tc>
        <w:tc>
          <w:tcPr>
            <w:tcW w:w="1134" w:type="dxa"/>
            <w:tcBorders>
              <w:top w:val="nil"/>
              <w:left w:val="single" w:sz="18" w:space="0" w:color="5F497A" w:themeColor="accent4" w:themeShade="BF"/>
              <w:bottom w:val="nil"/>
              <w:right w:val="nil"/>
            </w:tcBorders>
            <w:shd w:val="clear" w:color="auto" w:fill="auto"/>
            <w:vAlign w:val="bottom"/>
          </w:tcPr>
          <w:p w14:paraId="09D6A9D8" w14:textId="66D158F5" w:rsidR="00F04730" w:rsidRPr="001D41EA" w:rsidRDefault="00F04730" w:rsidP="001D41EA">
            <w:pPr>
              <w:spacing w:before="40" w:after="40"/>
              <w:jc w:val="right"/>
              <w:rPr>
                <w:rFonts w:cs="Arial"/>
                <w:sz w:val="18"/>
                <w:szCs w:val="18"/>
              </w:rPr>
            </w:pPr>
            <w:r w:rsidRPr="001D41EA">
              <w:rPr>
                <w:rFonts w:cs="Arial"/>
                <w:sz w:val="18"/>
                <w:szCs w:val="18"/>
              </w:rPr>
              <w:t>46,818</w:t>
            </w:r>
          </w:p>
        </w:tc>
        <w:tc>
          <w:tcPr>
            <w:tcW w:w="1134" w:type="dxa"/>
            <w:tcBorders>
              <w:top w:val="nil"/>
              <w:left w:val="nil"/>
              <w:bottom w:val="nil"/>
              <w:right w:val="nil"/>
            </w:tcBorders>
            <w:shd w:val="clear" w:color="auto" w:fill="auto"/>
            <w:vAlign w:val="bottom"/>
          </w:tcPr>
          <w:p w14:paraId="0B3E7C7E" w14:textId="084E956F" w:rsidR="00F04730" w:rsidRPr="001D41EA" w:rsidRDefault="00F04730" w:rsidP="001D41EA">
            <w:pPr>
              <w:spacing w:before="40" w:after="40"/>
              <w:jc w:val="right"/>
              <w:rPr>
                <w:rFonts w:cs="Arial"/>
                <w:sz w:val="18"/>
                <w:szCs w:val="18"/>
              </w:rPr>
            </w:pPr>
            <w:r w:rsidRPr="001D41EA">
              <w:rPr>
                <w:rFonts w:cs="Arial"/>
                <w:sz w:val="18"/>
                <w:szCs w:val="18"/>
              </w:rPr>
              <w:t>10,870,969</w:t>
            </w:r>
          </w:p>
        </w:tc>
        <w:tc>
          <w:tcPr>
            <w:tcW w:w="1134" w:type="dxa"/>
            <w:tcBorders>
              <w:top w:val="nil"/>
              <w:left w:val="nil"/>
              <w:bottom w:val="nil"/>
              <w:right w:val="nil"/>
            </w:tcBorders>
            <w:shd w:val="clear" w:color="auto" w:fill="auto"/>
            <w:vAlign w:val="bottom"/>
          </w:tcPr>
          <w:p w14:paraId="773AAA03" w14:textId="49C7826A" w:rsidR="00F04730" w:rsidRPr="001D41EA" w:rsidRDefault="00F04730" w:rsidP="001D41EA">
            <w:pPr>
              <w:spacing w:before="40" w:after="40"/>
              <w:jc w:val="right"/>
              <w:rPr>
                <w:rFonts w:cs="Arial"/>
                <w:sz w:val="18"/>
                <w:szCs w:val="18"/>
              </w:rPr>
            </w:pPr>
            <w:r w:rsidRPr="001D41EA">
              <w:rPr>
                <w:rFonts w:cs="Arial"/>
                <w:sz w:val="18"/>
                <w:szCs w:val="18"/>
              </w:rPr>
              <w:t>232.20</w:t>
            </w:r>
          </w:p>
        </w:tc>
        <w:tc>
          <w:tcPr>
            <w:tcW w:w="1134" w:type="dxa"/>
            <w:tcBorders>
              <w:top w:val="nil"/>
              <w:left w:val="nil"/>
              <w:bottom w:val="nil"/>
              <w:right w:val="nil"/>
            </w:tcBorders>
            <w:shd w:val="clear" w:color="auto" w:fill="auto"/>
            <w:vAlign w:val="bottom"/>
          </w:tcPr>
          <w:p w14:paraId="209936CB" w14:textId="05E2F41A" w:rsidR="00F04730" w:rsidRPr="001D41EA" w:rsidRDefault="00F04730" w:rsidP="001D41EA">
            <w:pPr>
              <w:spacing w:before="40" w:after="40"/>
              <w:jc w:val="right"/>
              <w:rPr>
                <w:rFonts w:cs="Arial"/>
                <w:sz w:val="18"/>
                <w:szCs w:val="18"/>
              </w:rPr>
            </w:pPr>
            <w:r w:rsidRPr="001D41EA">
              <w:rPr>
                <w:rFonts w:cs="Arial"/>
                <w:sz w:val="18"/>
                <w:szCs w:val="18"/>
              </w:rPr>
              <w:t>2,968</w:t>
            </w:r>
          </w:p>
        </w:tc>
        <w:tc>
          <w:tcPr>
            <w:tcW w:w="1134" w:type="dxa"/>
            <w:tcBorders>
              <w:top w:val="nil"/>
              <w:left w:val="nil"/>
              <w:bottom w:val="nil"/>
              <w:right w:val="nil"/>
            </w:tcBorders>
            <w:shd w:val="clear" w:color="auto" w:fill="auto"/>
            <w:vAlign w:val="bottom"/>
          </w:tcPr>
          <w:p w14:paraId="30D7CD68" w14:textId="6EBB49E2" w:rsidR="00F04730" w:rsidRPr="001D41EA" w:rsidRDefault="00F04730" w:rsidP="001D41EA">
            <w:pPr>
              <w:spacing w:before="40" w:after="40"/>
              <w:jc w:val="right"/>
              <w:rPr>
                <w:rFonts w:cs="Arial"/>
                <w:sz w:val="18"/>
                <w:szCs w:val="18"/>
              </w:rPr>
            </w:pPr>
            <w:r w:rsidRPr="001D41EA">
              <w:rPr>
                <w:rFonts w:cs="Arial"/>
                <w:sz w:val="18"/>
                <w:szCs w:val="18"/>
              </w:rPr>
              <w:t>4,703,161</w:t>
            </w:r>
          </w:p>
        </w:tc>
        <w:tc>
          <w:tcPr>
            <w:tcW w:w="1134" w:type="dxa"/>
            <w:tcBorders>
              <w:top w:val="nil"/>
              <w:left w:val="nil"/>
              <w:bottom w:val="nil"/>
              <w:right w:val="nil"/>
            </w:tcBorders>
            <w:shd w:val="clear" w:color="auto" w:fill="auto"/>
            <w:vAlign w:val="bottom"/>
          </w:tcPr>
          <w:p w14:paraId="61EFE971" w14:textId="220E4509" w:rsidR="00F04730" w:rsidRPr="001D41EA" w:rsidRDefault="00F04730" w:rsidP="001D41EA">
            <w:pPr>
              <w:spacing w:before="40" w:after="40"/>
              <w:jc w:val="right"/>
              <w:rPr>
                <w:rFonts w:cs="Arial"/>
                <w:sz w:val="18"/>
                <w:szCs w:val="18"/>
              </w:rPr>
            </w:pPr>
            <w:r w:rsidRPr="001D41EA">
              <w:rPr>
                <w:rFonts w:cs="Arial"/>
                <w:sz w:val="18"/>
                <w:szCs w:val="18"/>
              </w:rPr>
              <w:t>1,584.62</w:t>
            </w:r>
          </w:p>
        </w:tc>
      </w:tr>
      <w:tr w:rsidR="00F04730" w:rsidRPr="001D41EA" w14:paraId="5D0714B9"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40972183" w14:textId="5893816A"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Frankston C </w:t>
            </w:r>
          </w:p>
        </w:tc>
        <w:tc>
          <w:tcPr>
            <w:tcW w:w="1134" w:type="dxa"/>
            <w:tcBorders>
              <w:top w:val="nil"/>
              <w:left w:val="single" w:sz="18" w:space="0" w:color="5F497A" w:themeColor="accent4" w:themeShade="BF"/>
              <w:bottom w:val="nil"/>
              <w:right w:val="nil"/>
            </w:tcBorders>
            <w:shd w:val="clear" w:color="auto" w:fill="auto"/>
            <w:vAlign w:val="bottom"/>
          </w:tcPr>
          <w:p w14:paraId="00ED70F1" w14:textId="187B2D55" w:rsidR="00F04730" w:rsidRPr="001D41EA" w:rsidRDefault="00F04730" w:rsidP="001D41EA">
            <w:pPr>
              <w:spacing w:before="40" w:after="40"/>
              <w:jc w:val="right"/>
              <w:rPr>
                <w:rFonts w:cs="Arial"/>
                <w:sz w:val="18"/>
                <w:szCs w:val="18"/>
              </w:rPr>
            </w:pPr>
            <w:r w:rsidRPr="001D41EA">
              <w:rPr>
                <w:rFonts w:cs="Arial"/>
                <w:sz w:val="18"/>
                <w:szCs w:val="18"/>
              </w:rPr>
              <w:t>141,845</w:t>
            </w:r>
          </w:p>
        </w:tc>
        <w:tc>
          <w:tcPr>
            <w:tcW w:w="1134" w:type="dxa"/>
            <w:tcBorders>
              <w:top w:val="nil"/>
              <w:left w:val="nil"/>
              <w:bottom w:val="nil"/>
              <w:right w:val="nil"/>
            </w:tcBorders>
            <w:shd w:val="clear" w:color="auto" w:fill="auto"/>
            <w:vAlign w:val="bottom"/>
          </w:tcPr>
          <w:p w14:paraId="30127291" w14:textId="4886DF29" w:rsidR="00F04730" w:rsidRPr="001D41EA" w:rsidRDefault="00F04730" w:rsidP="001D41EA">
            <w:pPr>
              <w:spacing w:before="40" w:after="40"/>
              <w:jc w:val="right"/>
              <w:rPr>
                <w:rFonts w:cs="Arial"/>
                <w:sz w:val="18"/>
                <w:szCs w:val="18"/>
              </w:rPr>
            </w:pPr>
            <w:r w:rsidRPr="001D41EA">
              <w:rPr>
                <w:rFonts w:cs="Arial"/>
                <w:sz w:val="18"/>
                <w:szCs w:val="18"/>
              </w:rPr>
              <w:t>7,370,158</w:t>
            </w:r>
          </w:p>
        </w:tc>
        <w:tc>
          <w:tcPr>
            <w:tcW w:w="1134" w:type="dxa"/>
            <w:tcBorders>
              <w:top w:val="nil"/>
              <w:left w:val="nil"/>
              <w:bottom w:val="nil"/>
              <w:right w:val="nil"/>
            </w:tcBorders>
            <w:shd w:val="clear" w:color="auto" w:fill="auto"/>
            <w:vAlign w:val="bottom"/>
          </w:tcPr>
          <w:p w14:paraId="4EC1F42D" w14:textId="792BF418" w:rsidR="00F04730" w:rsidRPr="001D41EA" w:rsidRDefault="00F04730" w:rsidP="001D41EA">
            <w:pPr>
              <w:spacing w:before="40" w:after="40"/>
              <w:jc w:val="right"/>
              <w:rPr>
                <w:rFonts w:cs="Arial"/>
                <w:sz w:val="18"/>
                <w:szCs w:val="18"/>
              </w:rPr>
            </w:pPr>
            <w:r w:rsidRPr="001D41EA">
              <w:rPr>
                <w:rFonts w:cs="Arial"/>
                <w:sz w:val="18"/>
                <w:szCs w:val="18"/>
              </w:rPr>
              <w:t>51.96</w:t>
            </w:r>
          </w:p>
        </w:tc>
        <w:tc>
          <w:tcPr>
            <w:tcW w:w="1134" w:type="dxa"/>
            <w:tcBorders>
              <w:top w:val="nil"/>
              <w:left w:val="nil"/>
              <w:bottom w:val="nil"/>
              <w:right w:val="nil"/>
            </w:tcBorders>
            <w:shd w:val="clear" w:color="auto" w:fill="auto"/>
            <w:vAlign w:val="bottom"/>
          </w:tcPr>
          <w:p w14:paraId="01C13CFA" w14:textId="26403282" w:rsidR="00F04730" w:rsidRPr="001D41EA" w:rsidRDefault="00F04730" w:rsidP="001D41EA">
            <w:pPr>
              <w:spacing w:before="40" w:after="40"/>
              <w:jc w:val="right"/>
              <w:rPr>
                <w:rFonts w:cs="Arial"/>
                <w:sz w:val="18"/>
                <w:szCs w:val="18"/>
              </w:rPr>
            </w:pPr>
            <w:r w:rsidRPr="001D41EA">
              <w:rPr>
                <w:rFonts w:cs="Arial"/>
                <w:sz w:val="18"/>
                <w:szCs w:val="18"/>
              </w:rPr>
              <w:t>704</w:t>
            </w:r>
          </w:p>
        </w:tc>
        <w:tc>
          <w:tcPr>
            <w:tcW w:w="1134" w:type="dxa"/>
            <w:tcBorders>
              <w:top w:val="nil"/>
              <w:left w:val="nil"/>
              <w:bottom w:val="nil"/>
              <w:right w:val="nil"/>
            </w:tcBorders>
            <w:shd w:val="clear" w:color="auto" w:fill="auto"/>
            <w:vAlign w:val="bottom"/>
          </w:tcPr>
          <w:p w14:paraId="6D4CFDB6" w14:textId="07DE6D63" w:rsidR="00F04730" w:rsidRPr="001D41EA" w:rsidRDefault="00F04730" w:rsidP="001D41EA">
            <w:pPr>
              <w:spacing w:before="40" w:after="40"/>
              <w:jc w:val="right"/>
              <w:rPr>
                <w:rFonts w:cs="Arial"/>
                <w:sz w:val="18"/>
                <w:szCs w:val="18"/>
              </w:rPr>
            </w:pPr>
            <w:r w:rsidRPr="001D41EA">
              <w:rPr>
                <w:rFonts w:cs="Arial"/>
                <w:sz w:val="18"/>
                <w:szCs w:val="18"/>
              </w:rPr>
              <w:t>1,164,622</w:t>
            </w:r>
          </w:p>
        </w:tc>
        <w:tc>
          <w:tcPr>
            <w:tcW w:w="1134" w:type="dxa"/>
            <w:tcBorders>
              <w:top w:val="nil"/>
              <w:left w:val="nil"/>
              <w:bottom w:val="nil"/>
              <w:right w:val="nil"/>
            </w:tcBorders>
            <w:shd w:val="clear" w:color="auto" w:fill="auto"/>
            <w:vAlign w:val="bottom"/>
          </w:tcPr>
          <w:p w14:paraId="3DAE267B" w14:textId="7B171F5E" w:rsidR="00F04730" w:rsidRPr="001D41EA" w:rsidRDefault="00F04730" w:rsidP="001D41EA">
            <w:pPr>
              <w:spacing w:before="40" w:after="40"/>
              <w:jc w:val="right"/>
              <w:rPr>
                <w:rFonts w:cs="Arial"/>
                <w:sz w:val="18"/>
                <w:szCs w:val="18"/>
              </w:rPr>
            </w:pPr>
            <w:r w:rsidRPr="001D41EA">
              <w:rPr>
                <w:rFonts w:cs="Arial"/>
                <w:sz w:val="18"/>
                <w:szCs w:val="18"/>
              </w:rPr>
              <w:t>1,654.29</w:t>
            </w:r>
          </w:p>
        </w:tc>
      </w:tr>
      <w:tr w:rsidR="00F04730" w:rsidRPr="001D41EA" w14:paraId="670E207F"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3B2E774" w14:textId="289869B0"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Gannawarra S </w:t>
            </w:r>
          </w:p>
        </w:tc>
        <w:tc>
          <w:tcPr>
            <w:tcW w:w="1134" w:type="dxa"/>
            <w:tcBorders>
              <w:top w:val="nil"/>
              <w:left w:val="single" w:sz="18" w:space="0" w:color="5F497A" w:themeColor="accent4" w:themeShade="BF"/>
              <w:bottom w:val="nil"/>
              <w:right w:val="nil"/>
            </w:tcBorders>
            <w:shd w:val="clear" w:color="auto" w:fill="auto"/>
            <w:vAlign w:val="bottom"/>
          </w:tcPr>
          <w:p w14:paraId="31663CB6" w14:textId="411B4006" w:rsidR="00F04730" w:rsidRPr="001D41EA" w:rsidRDefault="00F04730" w:rsidP="001D41EA">
            <w:pPr>
              <w:spacing w:before="40" w:after="40"/>
              <w:jc w:val="right"/>
              <w:rPr>
                <w:rFonts w:cs="Arial"/>
                <w:sz w:val="18"/>
                <w:szCs w:val="18"/>
              </w:rPr>
            </w:pPr>
            <w:r w:rsidRPr="001D41EA">
              <w:rPr>
                <w:rFonts w:cs="Arial"/>
                <w:sz w:val="18"/>
                <w:szCs w:val="18"/>
              </w:rPr>
              <w:t>10,547</w:t>
            </w:r>
          </w:p>
        </w:tc>
        <w:tc>
          <w:tcPr>
            <w:tcW w:w="1134" w:type="dxa"/>
            <w:tcBorders>
              <w:top w:val="nil"/>
              <w:left w:val="nil"/>
              <w:bottom w:val="nil"/>
              <w:right w:val="nil"/>
            </w:tcBorders>
            <w:shd w:val="clear" w:color="auto" w:fill="auto"/>
            <w:vAlign w:val="bottom"/>
          </w:tcPr>
          <w:p w14:paraId="3A33D76D" w14:textId="4D740F27" w:rsidR="00F04730" w:rsidRPr="001D41EA" w:rsidRDefault="00F04730" w:rsidP="001D41EA">
            <w:pPr>
              <w:spacing w:before="40" w:after="40"/>
              <w:jc w:val="right"/>
              <w:rPr>
                <w:rFonts w:cs="Arial"/>
                <w:sz w:val="18"/>
                <w:szCs w:val="18"/>
              </w:rPr>
            </w:pPr>
            <w:r w:rsidRPr="001D41EA">
              <w:rPr>
                <w:rFonts w:cs="Arial"/>
                <w:sz w:val="18"/>
                <w:szCs w:val="18"/>
              </w:rPr>
              <w:t>3,713,956</w:t>
            </w:r>
          </w:p>
        </w:tc>
        <w:tc>
          <w:tcPr>
            <w:tcW w:w="1134" w:type="dxa"/>
            <w:tcBorders>
              <w:top w:val="nil"/>
              <w:left w:val="nil"/>
              <w:bottom w:val="nil"/>
              <w:right w:val="nil"/>
            </w:tcBorders>
            <w:shd w:val="clear" w:color="auto" w:fill="auto"/>
            <w:vAlign w:val="bottom"/>
          </w:tcPr>
          <w:p w14:paraId="71DC4B1C" w14:textId="7876375C" w:rsidR="00F04730" w:rsidRPr="001D41EA" w:rsidRDefault="00F04730" w:rsidP="001D41EA">
            <w:pPr>
              <w:spacing w:before="40" w:after="40"/>
              <w:jc w:val="right"/>
              <w:rPr>
                <w:rFonts w:cs="Arial"/>
                <w:sz w:val="18"/>
                <w:szCs w:val="18"/>
              </w:rPr>
            </w:pPr>
            <w:r w:rsidRPr="001D41EA">
              <w:rPr>
                <w:rFonts w:cs="Arial"/>
                <w:sz w:val="18"/>
                <w:szCs w:val="18"/>
              </w:rPr>
              <w:t>352.13</w:t>
            </w:r>
          </w:p>
        </w:tc>
        <w:tc>
          <w:tcPr>
            <w:tcW w:w="1134" w:type="dxa"/>
            <w:tcBorders>
              <w:top w:val="nil"/>
              <w:left w:val="nil"/>
              <w:bottom w:val="nil"/>
              <w:right w:val="nil"/>
            </w:tcBorders>
            <w:shd w:val="clear" w:color="auto" w:fill="auto"/>
            <w:vAlign w:val="bottom"/>
          </w:tcPr>
          <w:p w14:paraId="2B3A5B32" w14:textId="6A36CFB6" w:rsidR="00F04730" w:rsidRPr="001D41EA" w:rsidRDefault="00F04730" w:rsidP="001D41EA">
            <w:pPr>
              <w:spacing w:before="40" w:after="40"/>
              <w:jc w:val="right"/>
              <w:rPr>
                <w:rFonts w:cs="Arial"/>
                <w:sz w:val="18"/>
                <w:szCs w:val="18"/>
              </w:rPr>
            </w:pPr>
            <w:r w:rsidRPr="001D41EA">
              <w:rPr>
                <w:rFonts w:cs="Arial"/>
                <w:sz w:val="18"/>
                <w:szCs w:val="18"/>
              </w:rPr>
              <w:t>2,270</w:t>
            </w:r>
          </w:p>
        </w:tc>
        <w:tc>
          <w:tcPr>
            <w:tcW w:w="1134" w:type="dxa"/>
            <w:tcBorders>
              <w:top w:val="nil"/>
              <w:left w:val="nil"/>
              <w:bottom w:val="nil"/>
              <w:right w:val="nil"/>
            </w:tcBorders>
            <w:shd w:val="clear" w:color="auto" w:fill="auto"/>
            <w:vAlign w:val="bottom"/>
          </w:tcPr>
          <w:p w14:paraId="78C967E6" w14:textId="53CB6CBB" w:rsidR="00F04730" w:rsidRPr="001D41EA" w:rsidRDefault="00F04730" w:rsidP="001D41EA">
            <w:pPr>
              <w:spacing w:before="40" w:after="40"/>
              <w:jc w:val="right"/>
              <w:rPr>
                <w:rFonts w:cs="Arial"/>
                <w:sz w:val="18"/>
                <w:szCs w:val="18"/>
              </w:rPr>
            </w:pPr>
            <w:r w:rsidRPr="001D41EA">
              <w:rPr>
                <w:rFonts w:cs="Arial"/>
                <w:sz w:val="18"/>
                <w:szCs w:val="18"/>
              </w:rPr>
              <w:t>2,081,185</w:t>
            </w:r>
          </w:p>
        </w:tc>
        <w:tc>
          <w:tcPr>
            <w:tcW w:w="1134" w:type="dxa"/>
            <w:tcBorders>
              <w:top w:val="nil"/>
              <w:left w:val="nil"/>
              <w:bottom w:val="nil"/>
              <w:right w:val="nil"/>
            </w:tcBorders>
            <w:shd w:val="clear" w:color="auto" w:fill="auto"/>
            <w:vAlign w:val="bottom"/>
          </w:tcPr>
          <w:p w14:paraId="61A3E17B" w14:textId="3E172630" w:rsidR="00F04730" w:rsidRPr="001D41EA" w:rsidRDefault="00F04730" w:rsidP="001D41EA">
            <w:pPr>
              <w:spacing w:before="40" w:after="40"/>
              <w:jc w:val="right"/>
              <w:rPr>
                <w:rFonts w:cs="Arial"/>
                <w:sz w:val="18"/>
                <w:szCs w:val="18"/>
              </w:rPr>
            </w:pPr>
            <w:r w:rsidRPr="001D41EA">
              <w:rPr>
                <w:rFonts w:cs="Arial"/>
                <w:sz w:val="18"/>
                <w:szCs w:val="18"/>
              </w:rPr>
              <w:t>916.82</w:t>
            </w:r>
          </w:p>
        </w:tc>
      </w:tr>
      <w:tr w:rsidR="00F04730" w:rsidRPr="001D41EA" w14:paraId="7ABE74EA"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40188CC" w14:textId="76505BE9"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Glen Eira C </w:t>
            </w:r>
          </w:p>
        </w:tc>
        <w:tc>
          <w:tcPr>
            <w:tcW w:w="1134" w:type="dxa"/>
            <w:tcBorders>
              <w:top w:val="nil"/>
              <w:left w:val="single" w:sz="18" w:space="0" w:color="5F497A" w:themeColor="accent4" w:themeShade="BF"/>
              <w:bottom w:val="nil"/>
              <w:right w:val="nil"/>
            </w:tcBorders>
            <w:shd w:val="clear" w:color="auto" w:fill="auto"/>
            <w:vAlign w:val="bottom"/>
          </w:tcPr>
          <w:p w14:paraId="69E9B9B9" w14:textId="1920DAA1" w:rsidR="00F04730" w:rsidRPr="001D41EA" w:rsidRDefault="00F04730" w:rsidP="001D41EA">
            <w:pPr>
              <w:spacing w:before="40" w:after="40"/>
              <w:jc w:val="right"/>
              <w:rPr>
                <w:rFonts w:cs="Arial"/>
                <w:sz w:val="18"/>
                <w:szCs w:val="18"/>
              </w:rPr>
            </w:pPr>
            <w:r w:rsidRPr="001D41EA">
              <w:rPr>
                <w:rFonts w:cs="Arial"/>
                <w:sz w:val="18"/>
                <w:szCs w:val="18"/>
              </w:rPr>
              <w:t>153,858</w:t>
            </w:r>
          </w:p>
        </w:tc>
        <w:tc>
          <w:tcPr>
            <w:tcW w:w="1134" w:type="dxa"/>
            <w:tcBorders>
              <w:top w:val="nil"/>
              <w:left w:val="nil"/>
              <w:bottom w:val="nil"/>
              <w:right w:val="nil"/>
            </w:tcBorders>
            <w:shd w:val="clear" w:color="auto" w:fill="auto"/>
            <w:vAlign w:val="bottom"/>
          </w:tcPr>
          <w:p w14:paraId="4686D037" w14:textId="1C700824" w:rsidR="00F04730" w:rsidRPr="001D41EA" w:rsidRDefault="00F04730" w:rsidP="001D41EA">
            <w:pPr>
              <w:spacing w:before="40" w:after="40"/>
              <w:jc w:val="right"/>
              <w:rPr>
                <w:rFonts w:cs="Arial"/>
                <w:sz w:val="18"/>
                <w:szCs w:val="18"/>
              </w:rPr>
            </w:pPr>
            <w:r w:rsidRPr="001D41EA">
              <w:rPr>
                <w:rFonts w:cs="Arial"/>
                <w:sz w:val="18"/>
                <w:szCs w:val="18"/>
              </w:rPr>
              <w:t>3,254,861</w:t>
            </w:r>
          </w:p>
        </w:tc>
        <w:tc>
          <w:tcPr>
            <w:tcW w:w="1134" w:type="dxa"/>
            <w:tcBorders>
              <w:top w:val="nil"/>
              <w:left w:val="nil"/>
              <w:bottom w:val="nil"/>
              <w:right w:val="nil"/>
            </w:tcBorders>
            <w:shd w:val="clear" w:color="auto" w:fill="auto"/>
            <w:vAlign w:val="bottom"/>
          </w:tcPr>
          <w:p w14:paraId="3CEE97EF" w14:textId="10F502A8" w:rsidR="00F04730" w:rsidRPr="001D41EA" w:rsidRDefault="00F04730" w:rsidP="001D41EA">
            <w:pPr>
              <w:spacing w:before="40" w:after="40"/>
              <w:jc w:val="right"/>
              <w:rPr>
                <w:rFonts w:cs="Arial"/>
                <w:sz w:val="18"/>
                <w:szCs w:val="18"/>
              </w:rPr>
            </w:pPr>
            <w:r w:rsidRPr="001D41EA">
              <w:rPr>
                <w:rFonts w:cs="Arial"/>
                <w:sz w:val="18"/>
                <w:szCs w:val="18"/>
              </w:rPr>
              <w:t>21.15</w:t>
            </w:r>
          </w:p>
        </w:tc>
        <w:tc>
          <w:tcPr>
            <w:tcW w:w="1134" w:type="dxa"/>
            <w:tcBorders>
              <w:top w:val="nil"/>
              <w:left w:val="nil"/>
              <w:bottom w:val="nil"/>
              <w:right w:val="nil"/>
            </w:tcBorders>
            <w:shd w:val="clear" w:color="auto" w:fill="auto"/>
            <w:vAlign w:val="bottom"/>
          </w:tcPr>
          <w:p w14:paraId="28479061" w14:textId="227395A4" w:rsidR="00F04730" w:rsidRPr="001D41EA" w:rsidRDefault="00F04730" w:rsidP="001D41EA">
            <w:pPr>
              <w:spacing w:before="40" w:after="40"/>
              <w:jc w:val="right"/>
              <w:rPr>
                <w:rFonts w:cs="Arial"/>
                <w:sz w:val="18"/>
                <w:szCs w:val="18"/>
              </w:rPr>
            </w:pPr>
            <w:r w:rsidRPr="001D41EA">
              <w:rPr>
                <w:rFonts w:cs="Arial"/>
                <w:sz w:val="18"/>
                <w:szCs w:val="18"/>
              </w:rPr>
              <w:t>433</w:t>
            </w:r>
          </w:p>
        </w:tc>
        <w:tc>
          <w:tcPr>
            <w:tcW w:w="1134" w:type="dxa"/>
            <w:tcBorders>
              <w:top w:val="nil"/>
              <w:left w:val="nil"/>
              <w:bottom w:val="nil"/>
              <w:right w:val="nil"/>
            </w:tcBorders>
            <w:shd w:val="clear" w:color="auto" w:fill="auto"/>
            <w:vAlign w:val="bottom"/>
          </w:tcPr>
          <w:p w14:paraId="5C7AA9EF" w14:textId="4740674E" w:rsidR="00F04730" w:rsidRPr="001D41EA" w:rsidRDefault="00F04730" w:rsidP="001D41EA">
            <w:pPr>
              <w:spacing w:before="40" w:after="40"/>
              <w:jc w:val="right"/>
              <w:rPr>
                <w:rFonts w:cs="Arial"/>
                <w:sz w:val="18"/>
                <w:szCs w:val="18"/>
              </w:rPr>
            </w:pPr>
            <w:r w:rsidRPr="001D41EA">
              <w:rPr>
                <w:rFonts w:cs="Arial"/>
                <w:sz w:val="18"/>
                <w:szCs w:val="18"/>
              </w:rPr>
              <w:t>666,430</w:t>
            </w:r>
          </w:p>
        </w:tc>
        <w:tc>
          <w:tcPr>
            <w:tcW w:w="1134" w:type="dxa"/>
            <w:tcBorders>
              <w:top w:val="nil"/>
              <w:left w:val="nil"/>
              <w:bottom w:val="nil"/>
              <w:right w:val="nil"/>
            </w:tcBorders>
            <w:shd w:val="clear" w:color="auto" w:fill="auto"/>
            <w:vAlign w:val="bottom"/>
          </w:tcPr>
          <w:p w14:paraId="68D627B7" w14:textId="0CC7F40E" w:rsidR="00F04730" w:rsidRPr="001D41EA" w:rsidRDefault="00F04730" w:rsidP="001D41EA">
            <w:pPr>
              <w:spacing w:before="40" w:after="40"/>
              <w:jc w:val="right"/>
              <w:rPr>
                <w:rFonts w:cs="Arial"/>
                <w:sz w:val="18"/>
                <w:szCs w:val="18"/>
              </w:rPr>
            </w:pPr>
            <w:r w:rsidRPr="001D41EA">
              <w:rPr>
                <w:rFonts w:cs="Arial"/>
                <w:sz w:val="18"/>
                <w:szCs w:val="18"/>
              </w:rPr>
              <w:t>1,539.10</w:t>
            </w:r>
          </w:p>
        </w:tc>
      </w:tr>
      <w:tr w:rsidR="00F04730" w:rsidRPr="001D41EA" w14:paraId="72EA1281"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7982240" w14:textId="7A1B5389"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Glenelg S </w:t>
            </w:r>
          </w:p>
        </w:tc>
        <w:tc>
          <w:tcPr>
            <w:tcW w:w="1134" w:type="dxa"/>
            <w:tcBorders>
              <w:top w:val="nil"/>
              <w:left w:val="single" w:sz="18" w:space="0" w:color="5F497A" w:themeColor="accent4" w:themeShade="BF"/>
              <w:bottom w:val="nil"/>
              <w:right w:val="nil"/>
            </w:tcBorders>
            <w:shd w:val="clear" w:color="auto" w:fill="auto"/>
            <w:vAlign w:val="bottom"/>
          </w:tcPr>
          <w:p w14:paraId="2266EB29" w14:textId="6DEA72F5" w:rsidR="00F04730" w:rsidRPr="001D41EA" w:rsidRDefault="00F04730" w:rsidP="001D41EA">
            <w:pPr>
              <w:spacing w:before="40" w:after="40"/>
              <w:jc w:val="right"/>
              <w:rPr>
                <w:rFonts w:cs="Arial"/>
                <w:sz w:val="18"/>
                <w:szCs w:val="18"/>
              </w:rPr>
            </w:pPr>
            <w:r w:rsidRPr="001D41EA">
              <w:rPr>
                <w:rFonts w:cs="Arial"/>
                <w:sz w:val="18"/>
                <w:szCs w:val="18"/>
              </w:rPr>
              <w:t>19,665</w:t>
            </w:r>
          </w:p>
        </w:tc>
        <w:tc>
          <w:tcPr>
            <w:tcW w:w="1134" w:type="dxa"/>
            <w:tcBorders>
              <w:top w:val="nil"/>
              <w:left w:val="nil"/>
              <w:bottom w:val="nil"/>
              <w:right w:val="nil"/>
            </w:tcBorders>
            <w:shd w:val="clear" w:color="auto" w:fill="auto"/>
            <w:vAlign w:val="bottom"/>
          </w:tcPr>
          <w:p w14:paraId="61584BC0" w14:textId="564911D8" w:rsidR="00F04730" w:rsidRPr="001D41EA" w:rsidRDefault="00F04730" w:rsidP="001D41EA">
            <w:pPr>
              <w:spacing w:before="40" w:after="40"/>
              <w:jc w:val="right"/>
              <w:rPr>
                <w:rFonts w:cs="Arial"/>
                <w:sz w:val="18"/>
                <w:szCs w:val="18"/>
              </w:rPr>
            </w:pPr>
            <w:r w:rsidRPr="001D41EA">
              <w:rPr>
                <w:rFonts w:cs="Arial"/>
                <w:sz w:val="18"/>
                <w:szCs w:val="18"/>
              </w:rPr>
              <w:t>4,938,828</w:t>
            </w:r>
          </w:p>
        </w:tc>
        <w:tc>
          <w:tcPr>
            <w:tcW w:w="1134" w:type="dxa"/>
            <w:tcBorders>
              <w:top w:val="nil"/>
              <w:left w:val="nil"/>
              <w:bottom w:val="nil"/>
              <w:right w:val="nil"/>
            </w:tcBorders>
            <w:shd w:val="clear" w:color="auto" w:fill="auto"/>
            <w:vAlign w:val="bottom"/>
          </w:tcPr>
          <w:p w14:paraId="135EE603" w14:textId="4C3E7A96" w:rsidR="00F04730" w:rsidRPr="001D41EA" w:rsidRDefault="00F04730" w:rsidP="001D41EA">
            <w:pPr>
              <w:spacing w:before="40" w:after="40"/>
              <w:jc w:val="right"/>
              <w:rPr>
                <w:rFonts w:cs="Arial"/>
                <w:sz w:val="18"/>
                <w:szCs w:val="18"/>
              </w:rPr>
            </w:pPr>
            <w:r w:rsidRPr="001D41EA">
              <w:rPr>
                <w:rFonts w:cs="Arial"/>
                <w:sz w:val="18"/>
                <w:szCs w:val="18"/>
              </w:rPr>
              <w:t>251.15</w:t>
            </w:r>
          </w:p>
        </w:tc>
        <w:tc>
          <w:tcPr>
            <w:tcW w:w="1134" w:type="dxa"/>
            <w:tcBorders>
              <w:top w:val="nil"/>
              <w:left w:val="nil"/>
              <w:bottom w:val="nil"/>
              <w:right w:val="nil"/>
            </w:tcBorders>
            <w:shd w:val="clear" w:color="auto" w:fill="auto"/>
            <w:vAlign w:val="bottom"/>
          </w:tcPr>
          <w:p w14:paraId="3AAAABBA" w14:textId="13F1B4A5" w:rsidR="00F04730" w:rsidRPr="001D41EA" w:rsidRDefault="00F04730" w:rsidP="001D41EA">
            <w:pPr>
              <w:spacing w:before="40" w:after="40"/>
              <w:jc w:val="right"/>
              <w:rPr>
                <w:rFonts w:cs="Arial"/>
                <w:sz w:val="18"/>
                <w:szCs w:val="18"/>
              </w:rPr>
            </w:pPr>
            <w:r w:rsidRPr="001D41EA">
              <w:rPr>
                <w:rFonts w:cs="Arial"/>
                <w:sz w:val="18"/>
                <w:szCs w:val="18"/>
              </w:rPr>
              <w:t>2,629</w:t>
            </w:r>
          </w:p>
        </w:tc>
        <w:tc>
          <w:tcPr>
            <w:tcW w:w="1134" w:type="dxa"/>
            <w:tcBorders>
              <w:top w:val="nil"/>
              <w:left w:val="nil"/>
              <w:bottom w:val="nil"/>
              <w:right w:val="nil"/>
            </w:tcBorders>
            <w:shd w:val="clear" w:color="auto" w:fill="auto"/>
            <w:vAlign w:val="bottom"/>
          </w:tcPr>
          <w:p w14:paraId="408ABF9C" w14:textId="3AABE3DA" w:rsidR="00F04730" w:rsidRPr="001D41EA" w:rsidRDefault="00F04730" w:rsidP="001D41EA">
            <w:pPr>
              <w:spacing w:before="40" w:after="40"/>
              <w:jc w:val="right"/>
              <w:rPr>
                <w:rFonts w:cs="Arial"/>
                <w:sz w:val="18"/>
                <w:szCs w:val="18"/>
              </w:rPr>
            </w:pPr>
            <w:r w:rsidRPr="001D41EA">
              <w:rPr>
                <w:rFonts w:cs="Arial"/>
                <w:sz w:val="18"/>
                <w:szCs w:val="18"/>
              </w:rPr>
              <w:t>3,556,389</w:t>
            </w:r>
          </w:p>
        </w:tc>
        <w:tc>
          <w:tcPr>
            <w:tcW w:w="1134" w:type="dxa"/>
            <w:tcBorders>
              <w:top w:val="nil"/>
              <w:left w:val="nil"/>
              <w:bottom w:val="nil"/>
              <w:right w:val="nil"/>
            </w:tcBorders>
            <w:shd w:val="clear" w:color="auto" w:fill="auto"/>
            <w:vAlign w:val="bottom"/>
          </w:tcPr>
          <w:p w14:paraId="25E590A0" w14:textId="6F50E7BA" w:rsidR="00F04730" w:rsidRPr="001D41EA" w:rsidRDefault="00F04730" w:rsidP="001D41EA">
            <w:pPr>
              <w:spacing w:before="40" w:after="40"/>
              <w:jc w:val="right"/>
              <w:rPr>
                <w:rFonts w:cs="Arial"/>
                <w:sz w:val="18"/>
                <w:szCs w:val="18"/>
              </w:rPr>
            </w:pPr>
            <w:r w:rsidRPr="001D41EA">
              <w:rPr>
                <w:rFonts w:cs="Arial"/>
                <w:sz w:val="18"/>
                <w:szCs w:val="18"/>
              </w:rPr>
              <w:t>1,352.75</w:t>
            </w:r>
          </w:p>
        </w:tc>
      </w:tr>
      <w:tr w:rsidR="00F04730" w:rsidRPr="001D41EA" w14:paraId="7A0D43E4"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8D4CA8A" w14:textId="05609D5E"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Golden Plains S </w:t>
            </w:r>
          </w:p>
        </w:tc>
        <w:tc>
          <w:tcPr>
            <w:tcW w:w="1134" w:type="dxa"/>
            <w:tcBorders>
              <w:top w:val="nil"/>
              <w:left w:val="single" w:sz="18" w:space="0" w:color="5F497A" w:themeColor="accent4" w:themeShade="BF"/>
              <w:bottom w:val="nil"/>
              <w:right w:val="nil"/>
            </w:tcBorders>
            <w:shd w:val="clear" w:color="auto" w:fill="auto"/>
            <w:vAlign w:val="bottom"/>
          </w:tcPr>
          <w:p w14:paraId="366AC45C" w14:textId="0DD6B9FE" w:rsidR="00F04730" w:rsidRPr="001D41EA" w:rsidRDefault="00F04730" w:rsidP="001D41EA">
            <w:pPr>
              <w:spacing w:before="40" w:after="40"/>
              <w:jc w:val="right"/>
              <w:rPr>
                <w:rFonts w:cs="Arial"/>
                <w:sz w:val="18"/>
                <w:szCs w:val="18"/>
              </w:rPr>
            </w:pPr>
            <w:r w:rsidRPr="001D41EA">
              <w:rPr>
                <w:rFonts w:cs="Arial"/>
                <w:sz w:val="18"/>
                <w:szCs w:val="18"/>
              </w:rPr>
              <w:t>23,120</w:t>
            </w:r>
          </w:p>
        </w:tc>
        <w:tc>
          <w:tcPr>
            <w:tcW w:w="1134" w:type="dxa"/>
            <w:tcBorders>
              <w:top w:val="nil"/>
              <w:left w:val="nil"/>
              <w:bottom w:val="nil"/>
              <w:right w:val="nil"/>
            </w:tcBorders>
            <w:shd w:val="clear" w:color="auto" w:fill="auto"/>
            <w:vAlign w:val="bottom"/>
          </w:tcPr>
          <w:p w14:paraId="38FBC80D" w14:textId="01A9FCA6" w:rsidR="00F04730" w:rsidRPr="001D41EA" w:rsidRDefault="00F04730" w:rsidP="001D41EA">
            <w:pPr>
              <w:spacing w:before="40" w:after="40"/>
              <w:jc w:val="right"/>
              <w:rPr>
                <w:rFonts w:cs="Arial"/>
                <w:sz w:val="18"/>
                <w:szCs w:val="18"/>
              </w:rPr>
            </w:pPr>
            <w:r w:rsidRPr="001D41EA">
              <w:rPr>
                <w:rFonts w:cs="Arial"/>
                <w:sz w:val="18"/>
                <w:szCs w:val="18"/>
              </w:rPr>
              <w:t>3,861,218</w:t>
            </w:r>
          </w:p>
        </w:tc>
        <w:tc>
          <w:tcPr>
            <w:tcW w:w="1134" w:type="dxa"/>
            <w:tcBorders>
              <w:top w:val="nil"/>
              <w:left w:val="nil"/>
              <w:bottom w:val="nil"/>
              <w:right w:val="nil"/>
            </w:tcBorders>
            <w:shd w:val="clear" w:color="auto" w:fill="auto"/>
            <w:vAlign w:val="bottom"/>
          </w:tcPr>
          <w:p w14:paraId="2E367144" w14:textId="714E28B2" w:rsidR="00F04730" w:rsidRPr="001D41EA" w:rsidRDefault="00F04730" w:rsidP="001D41EA">
            <w:pPr>
              <w:spacing w:before="40" w:after="40"/>
              <w:jc w:val="right"/>
              <w:rPr>
                <w:rFonts w:cs="Arial"/>
                <w:sz w:val="18"/>
                <w:szCs w:val="18"/>
              </w:rPr>
            </w:pPr>
            <w:r w:rsidRPr="001D41EA">
              <w:rPr>
                <w:rFonts w:cs="Arial"/>
                <w:sz w:val="18"/>
                <w:szCs w:val="18"/>
              </w:rPr>
              <w:t>167.01</w:t>
            </w:r>
          </w:p>
        </w:tc>
        <w:tc>
          <w:tcPr>
            <w:tcW w:w="1134" w:type="dxa"/>
            <w:tcBorders>
              <w:top w:val="nil"/>
              <w:left w:val="nil"/>
              <w:bottom w:val="nil"/>
              <w:right w:val="nil"/>
            </w:tcBorders>
            <w:shd w:val="clear" w:color="auto" w:fill="auto"/>
            <w:vAlign w:val="bottom"/>
          </w:tcPr>
          <w:p w14:paraId="79A40FAC" w14:textId="5E7C1DF0" w:rsidR="00F04730" w:rsidRPr="001D41EA" w:rsidRDefault="00F04730" w:rsidP="001D41EA">
            <w:pPr>
              <w:spacing w:before="40" w:after="40"/>
              <w:jc w:val="right"/>
              <w:rPr>
                <w:rFonts w:cs="Arial"/>
                <w:sz w:val="18"/>
                <w:szCs w:val="18"/>
              </w:rPr>
            </w:pPr>
            <w:r w:rsidRPr="001D41EA">
              <w:rPr>
                <w:rFonts w:cs="Arial"/>
                <w:sz w:val="18"/>
                <w:szCs w:val="18"/>
              </w:rPr>
              <w:t>1,859</w:t>
            </w:r>
          </w:p>
        </w:tc>
        <w:tc>
          <w:tcPr>
            <w:tcW w:w="1134" w:type="dxa"/>
            <w:tcBorders>
              <w:top w:val="nil"/>
              <w:left w:val="nil"/>
              <w:bottom w:val="nil"/>
              <w:right w:val="nil"/>
            </w:tcBorders>
            <w:shd w:val="clear" w:color="auto" w:fill="auto"/>
            <w:vAlign w:val="bottom"/>
          </w:tcPr>
          <w:p w14:paraId="25FA2EC0" w14:textId="5A956D82" w:rsidR="00F04730" w:rsidRPr="001D41EA" w:rsidRDefault="00F04730" w:rsidP="001D41EA">
            <w:pPr>
              <w:spacing w:before="40" w:after="40"/>
              <w:jc w:val="right"/>
              <w:rPr>
                <w:rFonts w:cs="Arial"/>
                <w:sz w:val="18"/>
                <w:szCs w:val="18"/>
              </w:rPr>
            </w:pPr>
            <w:r w:rsidRPr="001D41EA">
              <w:rPr>
                <w:rFonts w:cs="Arial"/>
                <w:sz w:val="18"/>
                <w:szCs w:val="18"/>
              </w:rPr>
              <w:t>2,102,030</w:t>
            </w:r>
          </w:p>
        </w:tc>
        <w:tc>
          <w:tcPr>
            <w:tcW w:w="1134" w:type="dxa"/>
            <w:tcBorders>
              <w:top w:val="nil"/>
              <w:left w:val="nil"/>
              <w:bottom w:val="nil"/>
              <w:right w:val="nil"/>
            </w:tcBorders>
            <w:shd w:val="clear" w:color="auto" w:fill="auto"/>
            <w:vAlign w:val="bottom"/>
          </w:tcPr>
          <w:p w14:paraId="09E03992" w14:textId="3196EE97" w:rsidR="00F04730" w:rsidRPr="001D41EA" w:rsidRDefault="00F04730" w:rsidP="001D41EA">
            <w:pPr>
              <w:spacing w:before="40" w:after="40"/>
              <w:jc w:val="right"/>
              <w:rPr>
                <w:rFonts w:cs="Arial"/>
                <w:sz w:val="18"/>
                <w:szCs w:val="18"/>
              </w:rPr>
            </w:pPr>
            <w:r w:rsidRPr="001D41EA">
              <w:rPr>
                <w:rFonts w:cs="Arial"/>
                <w:sz w:val="18"/>
                <w:szCs w:val="18"/>
              </w:rPr>
              <w:t>1,130.73</w:t>
            </w:r>
          </w:p>
        </w:tc>
      </w:tr>
      <w:tr w:rsidR="00F04730" w:rsidRPr="001D41EA" w14:paraId="492ECDC2"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9F28852" w14:textId="16F9A1E8"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Greater Bendigo C </w:t>
            </w:r>
            <w:r w:rsidR="00626246" w:rsidRPr="001D41EA">
              <w:rPr>
                <w:rFonts w:cs="Arial"/>
                <w:sz w:val="18"/>
                <w:szCs w:val="18"/>
              </w:rPr>
              <w:t xml:space="preserve"> *</w:t>
            </w:r>
            <w:r w:rsidR="00626246" w:rsidRPr="001D41EA">
              <w:rPr>
                <w:rFonts w:cs="Arial"/>
                <w:sz w:val="18"/>
                <w:szCs w:val="18"/>
              </w:rPr>
              <w:tab/>
            </w:r>
          </w:p>
        </w:tc>
        <w:tc>
          <w:tcPr>
            <w:tcW w:w="1134" w:type="dxa"/>
            <w:tcBorders>
              <w:top w:val="nil"/>
              <w:left w:val="single" w:sz="18" w:space="0" w:color="5F497A" w:themeColor="accent4" w:themeShade="BF"/>
              <w:bottom w:val="nil"/>
              <w:right w:val="nil"/>
            </w:tcBorders>
            <w:shd w:val="clear" w:color="auto" w:fill="auto"/>
            <w:vAlign w:val="bottom"/>
          </w:tcPr>
          <w:p w14:paraId="1864B3CB" w14:textId="064BF2F2" w:rsidR="00F04730" w:rsidRPr="001D41EA" w:rsidRDefault="00F04730" w:rsidP="001D41EA">
            <w:pPr>
              <w:spacing w:before="40" w:after="40"/>
              <w:jc w:val="right"/>
              <w:rPr>
                <w:rFonts w:cs="Arial"/>
                <w:sz w:val="18"/>
                <w:szCs w:val="18"/>
              </w:rPr>
            </w:pPr>
            <w:r w:rsidRPr="001D41EA">
              <w:rPr>
                <w:rFonts w:cs="Arial"/>
                <w:sz w:val="18"/>
                <w:szCs w:val="18"/>
              </w:rPr>
              <w:t>116,045</w:t>
            </w:r>
          </w:p>
        </w:tc>
        <w:tc>
          <w:tcPr>
            <w:tcW w:w="1134" w:type="dxa"/>
            <w:tcBorders>
              <w:top w:val="nil"/>
              <w:left w:val="nil"/>
              <w:bottom w:val="nil"/>
              <w:right w:val="nil"/>
            </w:tcBorders>
            <w:shd w:val="clear" w:color="auto" w:fill="auto"/>
            <w:vAlign w:val="bottom"/>
          </w:tcPr>
          <w:p w14:paraId="6A522BD7" w14:textId="2AB3EA75" w:rsidR="00F04730" w:rsidRPr="001D41EA" w:rsidRDefault="00F04730" w:rsidP="001D41EA">
            <w:pPr>
              <w:spacing w:before="40" w:after="40"/>
              <w:jc w:val="right"/>
              <w:rPr>
                <w:rFonts w:cs="Arial"/>
                <w:sz w:val="18"/>
                <w:szCs w:val="18"/>
              </w:rPr>
            </w:pPr>
            <w:r w:rsidRPr="001D41EA">
              <w:rPr>
                <w:rFonts w:cs="Arial"/>
                <w:sz w:val="18"/>
                <w:szCs w:val="18"/>
              </w:rPr>
              <w:t>13,680,252</w:t>
            </w:r>
          </w:p>
        </w:tc>
        <w:tc>
          <w:tcPr>
            <w:tcW w:w="1134" w:type="dxa"/>
            <w:tcBorders>
              <w:top w:val="nil"/>
              <w:left w:val="nil"/>
              <w:bottom w:val="nil"/>
              <w:right w:val="nil"/>
            </w:tcBorders>
            <w:shd w:val="clear" w:color="auto" w:fill="auto"/>
            <w:vAlign w:val="bottom"/>
          </w:tcPr>
          <w:p w14:paraId="6D68C0AD" w14:textId="53365B5A" w:rsidR="00F04730" w:rsidRPr="001D41EA" w:rsidRDefault="00F04730" w:rsidP="001D41EA">
            <w:pPr>
              <w:spacing w:before="40" w:after="40"/>
              <w:jc w:val="right"/>
              <w:rPr>
                <w:rFonts w:cs="Arial"/>
                <w:sz w:val="18"/>
                <w:szCs w:val="18"/>
              </w:rPr>
            </w:pPr>
            <w:r w:rsidRPr="001D41EA">
              <w:rPr>
                <w:rFonts w:cs="Arial"/>
                <w:sz w:val="18"/>
                <w:szCs w:val="18"/>
              </w:rPr>
              <w:t>117.89</w:t>
            </w:r>
          </w:p>
        </w:tc>
        <w:tc>
          <w:tcPr>
            <w:tcW w:w="1134" w:type="dxa"/>
            <w:tcBorders>
              <w:top w:val="nil"/>
              <w:left w:val="nil"/>
              <w:bottom w:val="nil"/>
              <w:right w:val="nil"/>
            </w:tcBorders>
            <w:shd w:val="clear" w:color="auto" w:fill="auto"/>
            <w:vAlign w:val="bottom"/>
          </w:tcPr>
          <w:p w14:paraId="66B4AA6D" w14:textId="675B6528" w:rsidR="00F04730" w:rsidRPr="001D41EA" w:rsidRDefault="00F04730" w:rsidP="001D41EA">
            <w:pPr>
              <w:spacing w:before="40" w:after="40"/>
              <w:jc w:val="right"/>
              <w:rPr>
                <w:rFonts w:cs="Arial"/>
                <w:sz w:val="18"/>
                <w:szCs w:val="18"/>
              </w:rPr>
            </w:pPr>
            <w:r w:rsidRPr="001D41EA">
              <w:rPr>
                <w:rFonts w:cs="Arial"/>
                <w:sz w:val="18"/>
                <w:szCs w:val="18"/>
              </w:rPr>
              <w:t>3,119</w:t>
            </w:r>
          </w:p>
        </w:tc>
        <w:tc>
          <w:tcPr>
            <w:tcW w:w="1134" w:type="dxa"/>
            <w:tcBorders>
              <w:top w:val="nil"/>
              <w:left w:val="nil"/>
              <w:bottom w:val="nil"/>
              <w:right w:val="nil"/>
            </w:tcBorders>
            <w:shd w:val="clear" w:color="auto" w:fill="auto"/>
            <w:vAlign w:val="bottom"/>
          </w:tcPr>
          <w:p w14:paraId="3BFB01EC" w14:textId="3844AB17" w:rsidR="00F04730" w:rsidRPr="001D41EA" w:rsidRDefault="00F04730" w:rsidP="001D41EA">
            <w:pPr>
              <w:spacing w:before="40" w:after="40"/>
              <w:jc w:val="right"/>
              <w:rPr>
                <w:rFonts w:cs="Arial"/>
                <w:sz w:val="18"/>
                <w:szCs w:val="18"/>
              </w:rPr>
            </w:pPr>
            <w:r w:rsidRPr="001D41EA">
              <w:rPr>
                <w:rFonts w:cs="Arial"/>
                <w:sz w:val="18"/>
                <w:szCs w:val="18"/>
              </w:rPr>
              <w:t>3,552,641</w:t>
            </w:r>
          </w:p>
        </w:tc>
        <w:tc>
          <w:tcPr>
            <w:tcW w:w="1134" w:type="dxa"/>
            <w:tcBorders>
              <w:top w:val="nil"/>
              <w:left w:val="nil"/>
              <w:bottom w:val="nil"/>
              <w:right w:val="nil"/>
            </w:tcBorders>
            <w:shd w:val="clear" w:color="auto" w:fill="auto"/>
            <w:vAlign w:val="bottom"/>
          </w:tcPr>
          <w:p w14:paraId="27858AE9" w14:textId="3D6458FD" w:rsidR="00F04730" w:rsidRPr="001D41EA" w:rsidRDefault="00F04730" w:rsidP="001D41EA">
            <w:pPr>
              <w:spacing w:before="40" w:after="40"/>
              <w:jc w:val="right"/>
              <w:rPr>
                <w:rFonts w:cs="Arial"/>
                <w:sz w:val="18"/>
                <w:szCs w:val="18"/>
              </w:rPr>
            </w:pPr>
            <w:r w:rsidRPr="001D41EA">
              <w:rPr>
                <w:rFonts w:cs="Arial"/>
                <w:sz w:val="18"/>
                <w:szCs w:val="18"/>
              </w:rPr>
              <w:t>1,139.03</w:t>
            </w:r>
          </w:p>
        </w:tc>
      </w:tr>
      <w:tr w:rsidR="00F04730" w:rsidRPr="001D41EA" w14:paraId="47AA6F54"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3985F66" w14:textId="72913317"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Greater Dandenong C </w:t>
            </w:r>
          </w:p>
        </w:tc>
        <w:tc>
          <w:tcPr>
            <w:tcW w:w="1134" w:type="dxa"/>
            <w:tcBorders>
              <w:top w:val="nil"/>
              <w:left w:val="single" w:sz="18" w:space="0" w:color="5F497A" w:themeColor="accent4" w:themeShade="BF"/>
              <w:bottom w:val="nil"/>
              <w:right w:val="nil"/>
            </w:tcBorders>
            <w:shd w:val="clear" w:color="auto" w:fill="auto"/>
            <w:vAlign w:val="bottom"/>
          </w:tcPr>
          <w:p w14:paraId="27909051" w14:textId="4DB6AE43" w:rsidR="00F04730" w:rsidRPr="001D41EA" w:rsidRDefault="00F04730" w:rsidP="001D41EA">
            <w:pPr>
              <w:spacing w:before="40" w:after="40"/>
              <w:jc w:val="right"/>
              <w:rPr>
                <w:rFonts w:cs="Arial"/>
                <w:sz w:val="18"/>
                <w:szCs w:val="18"/>
              </w:rPr>
            </w:pPr>
            <w:r w:rsidRPr="001D41EA">
              <w:rPr>
                <w:rFonts w:cs="Arial"/>
                <w:sz w:val="18"/>
                <w:szCs w:val="18"/>
              </w:rPr>
              <w:t>166,094</w:t>
            </w:r>
          </w:p>
        </w:tc>
        <w:tc>
          <w:tcPr>
            <w:tcW w:w="1134" w:type="dxa"/>
            <w:tcBorders>
              <w:top w:val="nil"/>
              <w:left w:val="nil"/>
              <w:bottom w:val="nil"/>
              <w:right w:val="nil"/>
            </w:tcBorders>
            <w:shd w:val="clear" w:color="auto" w:fill="auto"/>
            <w:vAlign w:val="bottom"/>
          </w:tcPr>
          <w:p w14:paraId="6FFD391B" w14:textId="74481DB3" w:rsidR="00F04730" w:rsidRPr="001D41EA" w:rsidRDefault="00F04730" w:rsidP="001D41EA">
            <w:pPr>
              <w:spacing w:before="40" w:after="40"/>
              <w:jc w:val="right"/>
              <w:rPr>
                <w:rFonts w:cs="Arial"/>
                <w:sz w:val="18"/>
                <w:szCs w:val="18"/>
              </w:rPr>
            </w:pPr>
            <w:r w:rsidRPr="001D41EA">
              <w:rPr>
                <w:rFonts w:cs="Arial"/>
                <w:sz w:val="18"/>
                <w:szCs w:val="18"/>
              </w:rPr>
              <w:t>10,470,725</w:t>
            </w:r>
          </w:p>
        </w:tc>
        <w:tc>
          <w:tcPr>
            <w:tcW w:w="1134" w:type="dxa"/>
            <w:tcBorders>
              <w:top w:val="nil"/>
              <w:left w:val="nil"/>
              <w:bottom w:val="nil"/>
              <w:right w:val="nil"/>
            </w:tcBorders>
            <w:shd w:val="clear" w:color="auto" w:fill="auto"/>
            <w:vAlign w:val="bottom"/>
          </w:tcPr>
          <w:p w14:paraId="6084BE29" w14:textId="0DA8424F" w:rsidR="00F04730" w:rsidRPr="001D41EA" w:rsidRDefault="00F04730" w:rsidP="001D41EA">
            <w:pPr>
              <w:spacing w:before="40" w:after="40"/>
              <w:jc w:val="right"/>
              <w:rPr>
                <w:rFonts w:cs="Arial"/>
                <w:sz w:val="18"/>
                <w:szCs w:val="18"/>
              </w:rPr>
            </w:pPr>
            <w:r w:rsidRPr="001D41EA">
              <w:rPr>
                <w:rFonts w:cs="Arial"/>
                <w:sz w:val="18"/>
                <w:szCs w:val="18"/>
              </w:rPr>
              <w:t>63.04</w:t>
            </w:r>
          </w:p>
        </w:tc>
        <w:tc>
          <w:tcPr>
            <w:tcW w:w="1134" w:type="dxa"/>
            <w:tcBorders>
              <w:top w:val="nil"/>
              <w:left w:val="nil"/>
              <w:bottom w:val="nil"/>
              <w:right w:val="nil"/>
            </w:tcBorders>
            <w:shd w:val="clear" w:color="auto" w:fill="auto"/>
            <w:vAlign w:val="bottom"/>
          </w:tcPr>
          <w:p w14:paraId="5F8026C0" w14:textId="0B0481EE" w:rsidR="00F04730" w:rsidRPr="001D41EA" w:rsidRDefault="00F04730" w:rsidP="001D41EA">
            <w:pPr>
              <w:spacing w:before="40" w:after="40"/>
              <w:jc w:val="right"/>
              <w:rPr>
                <w:rFonts w:cs="Arial"/>
                <w:sz w:val="18"/>
                <w:szCs w:val="18"/>
              </w:rPr>
            </w:pPr>
            <w:r w:rsidRPr="001D41EA">
              <w:rPr>
                <w:rFonts w:cs="Arial"/>
                <w:sz w:val="18"/>
                <w:szCs w:val="18"/>
              </w:rPr>
              <w:t>688</w:t>
            </w:r>
          </w:p>
        </w:tc>
        <w:tc>
          <w:tcPr>
            <w:tcW w:w="1134" w:type="dxa"/>
            <w:tcBorders>
              <w:top w:val="nil"/>
              <w:left w:val="nil"/>
              <w:bottom w:val="nil"/>
              <w:right w:val="nil"/>
            </w:tcBorders>
            <w:shd w:val="clear" w:color="auto" w:fill="auto"/>
            <w:vAlign w:val="bottom"/>
          </w:tcPr>
          <w:p w14:paraId="525B7741" w14:textId="46F947E6" w:rsidR="00F04730" w:rsidRPr="001D41EA" w:rsidRDefault="00F04730" w:rsidP="001D41EA">
            <w:pPr>
              <w:spacing w:before="40" w:after="40"/>
              <w:jc w:val="right"/>
              <w:rPr>
                <w:rFonts w:cs="Arial"/>
                <w:sz w:val="18"/>
                <w:szCs w:val="18"/>
              </w:rPr>
            </w:pPr>
            <w:r w:rsidRPr="001D41EA">
              <w:rPr>
                <w:rFonts w:cs="Arial"/>
                <w:sz w:val="18"/>
                <w:szCs w:val="18"/>
              </w:rPr>
              <w:t>1,609,479</w:t>
            </w:r>
          </w:p>
        </w:tc>
        <w:tc>
          <w:tcPr>
            <w:tcW w:w="1134" w:type="dxa"/>
            <w:tcBorders>
              <w:top w:val="nil"/>
              <w:left w:val="nil"/>
              <w:bottom w:val="nil"/>
              <w:right w:val="nil"/>
            </w:tcBorders>
            <w:shd w:val="clear" w:color="auto" w:fill="auto"/>
            <w:vAlign w:val="bottom"/>
          </w:tcPr>
          <w:p w14:paraId="19FADAD9" w14:textId="6448247C" w:rsidR="00F04730" w:rsidRPr="001D41EA" w:rsidRDefault="00F04730" w:rsidP="001D41EA">
            <w:pPr>
              <w:spacing w:before="40" w:after="40"/>
              <w:jc w:val="right"/>
              <w:rPr>
                <w:rFonts w:cs="Arial"/>
                <w:sz w:val="18"/>
                <w:szCs w:val="18"/>
              </w:rPr>
            </w:pPr>
            <w:r w:rsidRPr="001D41EA">
              <w:rPr>
                <w:rFonts w:cs="Arial"/>
                <w:sz w:val="18"/>
                <w:szCs w:val="18"/>
              </w:rPr>
              <w:t>2,337.73</w:t>
            </w:r>
          </w:p>
        </w:tc>
      </w:tr>
      <w:tr w:rsidR="00F04730" w:rsidRPr="001D41EA" w14:paraId="30B16C90"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07DC1B4" w14:textId="01C4F489"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Greater Geelong C </w:t>
            </w:r>
            <w:r w:rsidR="00626246" w:rsidRPr="001D41EA">
              <w:rPr>
                <w:rFonts w:cs="Arial"/>
                <w:sz w:val="18"/>
                <w:szCs w:val="18"/>
              </w:rPr>
              <w:t xml:space="preserve"> *</w:t>
            </w:r>
            <w:r w:rsidR="00626246" w:rsidRPr="001D41EA">
              <w:rPr>
                <w:rFonts w:cs="Arial"/>
                <w:sz w:val="18"/>
                <w:szCs w:val="18"/>
              </w:rPr>
              <w:tab/>
            </w:r>
          </w:p>
        </w:tc>
        <w:tc>
          <w:tcPr>
            <w:tcW w:w="1134" w:type="dxa"/>
            <w:tcBorders>
              <w:top w:val="nil"/>
              <w:left w:val="single" w:sz="18" w:space="0" w:color="5F497A" w:themeColor="accent4" w:themeShade="BF"/>
              <w:bottom w:val="nil"/>
              <w:right w:val="nil"/>
            </w:tcBorders>
            <w:shd w:val="clear" w:color="auto" w:fill="auto"/>
            <w:vAlign w:val="bottom"/>
          </w:tcPr>
          <w:p w14:paraId="237D0E94" w14:textId="3EAC9265" w:rsidR="00F04730" w:rsidRPr="001D41EA" w:rsidRDefault="00F04730" w:rsidP="001D41EA">
            <w:pPr>
              <w:spacing w:before="40" w:after="40"/>
              <w:jc w:val="right"/>
              <w:rPr>
                <w:rFonts w:cs="Arial"/>
                <w:sz w:val="18"/>
                <w:szCs w:val="18"/>
              </w:rPr>
            </w:pPr>
            <w:r w:rsidRPr="001D41EA">
              <w:rPr>
                <w:rFonts w:cs="Arial"/>
                <w:sz w:val="18"/>
                <w:szCs w:val="18"/>
              </w:rPr>
              <w:t>252,217</w:t>
            </w:r>
          </w:p>
        </w:tc>
        <w:tc>
          <w:tcPr>
            <w:tcW w:w="1134" w:type="dxa"/>
            <w:tcBorders>
              <w:top w:val="nil"/>
              <w:left w:val="nil"/>
              <w:bottom w:val="nil"/>
              <w:right w:val="nil"/>
            </w:tcBorders>
            <w:shd w:val="clear" w:color="auto" w:fill="auto"/>
            <w:vAlign w:val="bottom"/>
          </w:tcPr>
          <w:p w14:paraId="0FA504BB" w14:textId="7D79155D" w:rsidR="00F04730" w:rsidRPr="001D41EA" w:rsidRDefault="00F04730" w:rsidP="001D41EA">
            <w:pPr>
              <w:spacing w:before="40" w:after="40"/>
              <w:jc w:val="right"/>
              <w:rPr>
                <w:rFonts w:cs="Arial"/>
                <w:sz w:val="18"/>
                <w:szCs w:val="18"/>
              </w:rPr>
            </w:pPr>
            <w:r w:rsidRPr="001D41EA">
              <w:rPr>
                <w:rFonts w:cs="Arial"/>
                <w:sz w:val="18"/>
                <w:szCs w:val="18"/>
              </w:rPr>
              <w:t>18,492,970</w:t>
            </w:r>
          </w:p>
        </w:tc>
        <w:tc>
          <w:tcPr>
            <w:tcW w:w="1134" w:type="dxa"/>
            <w:tcBorders>
              <w:top w:val="nil"/>
              <w:left w:val="nil"/>
              <w:bottom w:val="nil"/>
              <w:right w:val="nil"/>
            </w:tcBorders>
            <w:shd w:val="clear" w:color="auto" w:fill="auto"/>
            <w:vAlign w:val="bottom"/>
          </w:tcPr>
          <w:p w14:paraId="48B33FEB" w14:textId="29358779" w:rsidR="00F04730" w:rsidRPr="001D41EA" w:rsidRDefault="00F04730" w:rsidP="001D41EA">
            <w:pPr>
              <w:spacing w:before="40" w:after="40"/>
              <w:jc w:val="right"/>
              <w:rPr>
                <w:rFonts w:cs="Arial"/>
                <w:sz w:val="18"/>
                <w:szCs w:val="18"/>
              </w:rPr>
            </w:pPr>
            <w:r w:rsidRPr="001D41EA">
              <w:rPr>
                <w:rFonts w:cs="Arial"/>
                <w:sz w:val="18"/>
                <w:szCs w:val="18"/>
              </w:rPr>
              <w:t>73.32</w:t>
            </w:r>
          </w:p>
        </w:tc>
        <w:tc>
          <w:tcPr>
            <w:tcW w:w="1134" w:type="dxa"/>
            <w:tcBorders>
              <w:top w:val="nil"/>
              <w:left w:val="nil"/>
              <w:bottom w:val="nil"/>
              <w:right w:val="nil"/>
            </w:tcBorders>
            <w:shd w:val="clear" w:color="auto" w:fill="auto"/>
            <w:vAlign w:val="bottom"/>
          </w:tcPr>
          <w:p w14:paraId="1FA7E6E0" w14:textId="059AFC03" w:rsidR="00F04730" w:rsidRPr="001D41EA" w:rsidRDefault="00F04730" w:rsidP="001D41EA">
            <w:pPr>
              <w:spacing w:before="40" w:after="40"/>
              <w:jc w:val="right"/>
              <w:rPr>
                <w:rFonts w:cs="Arial"/>
                <w:sz w:val="18"/>
                <w:szCs w:val="18"/>
              </w:rPr>
            </w:pPr>
            <w:r w:rsidRPr="001D41EA">
              <w:rPr>
                <w:rFonts w:cs="Arial"/>
                <w:sz w:val="18"/>
                <w:szCs w:val="18"/>
              </w:rPr>
              <w:t>2,211</w:t>
            </w:r>
          </w:p>
        </w:tc>
        <w:tc>
          <w:tcPr>
            <w:tcW w:w="1134" w:type="dxa"/>
            <w:tcBorders>
              <w:top w:val="nil"/>
              <w:left w:val="nil"/>
              <w:bottom w:val="nil"/>
              <w:right w:val="nil"/>
            </w:tcBorders>
            <w:shd w:val="clear" w:color="auto" w:fill="auto"/>
            <w:vAlign w:val="bottom"/>
          </w:tcPr>
          <w:p w14:paraId="0750E450" w14:textId="25C2A468" w:rsidR="00F04730" w:rsidRPr="001D41EA" w:rsidRDefault="00F04730" w:rsidP="001D41EA">
            <w:pPr>
              <w:spacing w:before="40" w:after="40"/>
              <w:jc w:val="right"/>
              <w:rPr>
                <w:rFonts w:cs="Arial"/>
                <w:sz w:val="18"/>
                <w:szCs w:val="18"/>
              </w:rPr>
            </w:pPr>
            <w:r w:rsidRPr="001D41EA">
              <w:rPr>
                <w:rFonts w:cs="Arial"/>
                <w:sz w:val="18"/>
                <w:szCs w:val="18"/>
              </w:rPr>
              <w:t>3,487,575</w:t>
            </w:r>
          </w:p>
        </w:tc>
        <w:tc>
          <w:tcPr>
            <w:tcW w:w="1134" w:type="dxa"/>
            <w:tcBorders>
              <w:top w:val="nil"/>
              <w:left w:val="nil"/>
              <w:bottom w:val="nil"/>
              <w:right w:val="nil"/>
            </w:tcBorders>
            <w:shd w:val="clear" w:color="auto" w:fill="auto"/>
            <w:vAlign w:val="bottom"/>
          </w:tcPr>
          <w:p w14:paraId="455388BC" w14:textId="3729EECB" w:rsidR="00F04730" w:rsidRPr="001D41EA" w:rsidRDefault="00F04730" w:rsidP="001D41EA">
            <w:pPr>
              <w:spacing w:before="40" w:after="40"/>
              <w:jc w:val="right"/>
              <w:rPr>
                <w:rFonts w:cs="Arial"/>
                <w:sz w:val="18"/>
                <w:szCs w:val="18"/>
              </w:rPr>
            </w:pPr>
            <w:r w:rsidRPr="001D41EA">
              <w:rPr>
                <w:rFonts w:cs="Arial"/>
                <w:sz w:val="18"/>
                <w:szCs w:val="18"/>
              </w:rPr>
              <w:t>1,577.37</w:t>
            </w:r>
          </w:p>
        </w:tc>
      </w:tr>
      <w:tr w:rsidR="00F04730" w:rsidRPr="001D41EA" w14:paraId="4A1AB6AE"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19EA91B" w14:textId="612A93E9"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Greater Shepparton C </w:t>
            </w:r>
          </w:p>
        </w:tc>
        <w:tc>
          <w:tcPr>
            <w:tcW w:w="1134" w:type="dxa"/>
            <w:tcBorders>
              <w:top w:val="nil"/>
              <w:left w:val="single" w:sz="18" w:space="0" w:color="5F497A" w:themeColor="accent4" w:themeShade="BF"/>
              <w:bottom w:val="nil"/>
              <w:right w:val="nil"/>
            </w:tcBorders>
            <w:shd w:val="clear" w:color="auto" w:fill="auto"/>
            <w:vAlign w:val="bottom"/>
          </w:tcPr>
          <w:p w14:paraId="5ECA2DA6" w14:textId="5EBAA062" w:rsidR="00F04730" w:rsidRPr="001D41EA" w:rsidRDefault="00F04730" w:rsidP="001D41EA">
            <w:pPr>
              <w:spacing w:before="40" w:after="40"/>
              <w:jc w:val="right"/>
              <w:rPr>
                <w:rFonts w:cs="Arial"/>
                <w:sz w:val="18"/>
                <w:szCs w:val="18"/>
              </w:rPr>
            </w:pPr>
            <w:r w:rsidRPr="001D41EA">
              <w:rPr>
                <w:rFonts w:cs="Arial"/>
                <w:sz w:val="18"/>
                <w:szCs w:val="18"/>
              </w:rPr>
              <w:t>66,007</w:t>
            </w:r>
          </w:p>
        </w:tc>
        <w:tc>
          <w:tcPr>
            <w:tcW w:w="1134" w:type="dxa"/>
            <w:tcBorders>
              <w:top w:val="nil"/>
              <w:left w:val="nil"/>
              <w:bottom w:val="nil"/>
              <w:right w:val="nil"/>
            </w:tcBorders>
            <w:shd w:val="clear" w:color="auto" w:fill="auto"/>
            <w:vAlign w:val="bottom"/>
          </w:tcPr>
          <w:p w14:paraId="0D462607" w14:textId="38A7CA1C" w:rsidR="00F04730" w:rsidRPr="001D41EA" w:rsidRDefault="00F04730" w:rsidP="001D41EA">
            <w:pPr>
              <w:spacing w:before="40" w:after="40"/>
              <w:jc w:val="right"/>
              <w:rPr>
                <w:rFonts w:cs="Arial"/>
                <w:sz w:val="18"/>
                <w:szCs w:val="18"/>
              </w:rPr>
            </w:pPr>
            <w:r w:rsidRPr="001D41EA">
              <w:rPr>
                <w:rFonts w:cs="Arial"/>
                <w:sz w:val="18"/>
                <w:szCs w:val="18"/>
              </w:rPr>
              <w:t>9,718,793</w:t>
            </w:r>
          </w:p>
        </w:tc>
        <w:tc>
          <w:tcPr>
            <w:tcW w:w="1134" w:type="dxa"/>
            <w:tcBorders>
              <w:top w:val="nil"/>
              <w:left w:val="nil"/>
              <w:bottom w:val="nil"/>
              <w:right w:val="nil"/>
            </w:tcBorders>
            <w:shd w:val="clear" w:color="auto" w:fill="auto"/>
            <w:vAlign w:val="bottom"/>
          </w:tcPr>
          <w:p w14:paraId="572DA386" w14:textId="18016D57" w:rsidR="00F04730" w:rsidRPr="001D41EA" w:rsidRDefault="00F04730" w:rsidP="001D41EA">
            <w:pPr>
              <w:spacing w:before="40" w:after="40"/>
              <w:jc w:val="right"/>
              <w:rPr>
                <w:rFonts w:cs="Arial"/>
                <w:sz w:val="18"/>
                <w:szCs w:val="18"/>
              </w:rPr>
            </w:pPr>
            <w:r w:rsidRPr="001D41EA">
              <w:rPr>
                <w:rFonts w:cs="Arial"/>
                <w:sz w:val="18"/>
                <w:szCs w:val="18"/>
              </w:rPr>
              <w:t>147.24</w:t>
            </w:r>
          </w:p>
        </w:tc>
        <w:tc>
          <w:tcPr>
            <w:tcW w:w="1134" w:type="dxa"/>
            <w:tcBorders>
              <w:top w:val="nil"/>
              <w:left w:val="nil"/>
              <w:bottom w:val="nil"/>
              <w:right w:val="nil"/>
            </w:tcBorders>
            <w:shd w:val="clear" w:color="auto" w:fill="auto"/>
            <w:vAlign w:val="bottom"/>
          </w:tcPr>
          <w:p w14:paraId="0CE72260" w14:textId="09CC5BEE" w:rsidR="00F04730" w:rsidRPr="001D41EA" w:rsidRDefault="00F04730" w:rsidP="001D41EA">
            <w:pPr>
              <w:spacing w:before="40" w:after="40"/>
              <w:jc w:val="right"/>
              <w:rPr>
                <w:rFonts w:cs="Arial"/>
                <w:sz w:val="18"/>
                <w:szCs w:val="18"/>
              </w:rPr>
            </w:pPr>
            <w:r w:rsidRPr="001D41EA">
              <w:rPr>
                <w:rFonts w:cs="Arial"/>
                <w:sz w:val="18"/>
                <w:szCs w:val="18"/>
              </w:rPr>
              <w:t>2,517</w:t>
            </w:r>
          </w:p>
        </w:tc>
        <w:tc>
          <w:tcPr>
            <w:tcW w:w="1134" w:type="dxa"/>
            <w:tcBorders>
              <w:top w:val="nil"/>
              <w:left w:val="nil"/>
              <w:bottom w:val="nil"/>
              <w:right w:val="nil"/>
            </w:tcBorders>
            <w:shd w:val="clear" w:color="auto" w:fill="auto"/>
            <w:vAlign w:val="bottom"/>
          </w:tcPr>
          <w:p w14:paraId="1A1E766C" w14:textId="7FEF6B36" w:rsidR="00F04730" w:rsidRPr="001D41EA" w:rsidRDefault="00F04730" w:rsidP="001D41EA">
            <w:pPr>
              <w:spacing w:before="40" w:after="40"/>
              <w:jc w:val="right"/>
              <w:rPr>
                <w:rFonts w:cs="Arial"/>
                <w:sz w:val="18"/>
                <w:szCs w:val="18"/>
              </w:rPr>
            </w:pPr>
            <w:r w:rsidRPr="001D41EA">
              <w:rPr>
                <w:rFonts w:cs="Arial"/>
                <w:sz w:val="18"/>
                <w:szCs w:val="18"/>
              </w:rPr>
              <w:t>3,193,301</w:t>
            </w:r>
          </w:p>
        </w:tc>
        <w:tc>
          <w:tcPr>
            <w:tcW w:w="1134" w:type="dxa"/>
            <w:tcBorders>
              <w:top w:val="nil"/>
              <w:left w:val="nil"/>
              <w:bottom w:val="nil"/>
              <w:right w:val="nil"/>
            </w:tcBorders>
            <w:shd w:val="clear" w:color="auto" w:fill="auto"/>
            <w:vAlign w:val="bottom"/>
          </w:tcPr>
          <w:p w14:paraId="1DB1D3E5" w14:textId="1EF0E7D6" w:rsidR="00F04730" w:rsidRPr="001D41EA" w:rsidRDefault="00F04730" w:rsidP="001D41EA">
            <w:pPr>
              <w:spacing w:before="40" w:after="40"/>
              <w:jc w:val="right"/>
              <w:rPr>
                <w:rFonts w:cs="Arial"/>
                <w:sz w:val="18"/>
                <w:szCs w:val="18"/>
              </w:rPr>
            </w:pPr>
            <w:r w:rsidRPr="001D41EA">
              <w:rPr>
                <w:rFonts w:cs="Arial"/>
                <w:sz w:val="18"/>
                <w:szCs w:val="18"/>
              </w:rPr>
              <w:t>1,268.69</w:t>
            </w:r>
          </w:p>
        </w:tc>
      </w:tr>
      <w:tr w:rsidR="00F04730" w:rsidRPr="001D41EA" w14:paraId="4DA1A266"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DDF1DC7" w14:textId="6AD15D74"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Hepburn S </w:t>
            </w:r>
          </w:p>
        </w:tc>
        <w:tc>
          <w:tcPr>
            <w:tcW w:w="1134" w:type="dxa"/>
            <w:tcBorders>
              <w:top w:val="nil"/>
              <w:left w:val="single" w:sz="18" w:space="0" w:color="5F497A" w:themeColor="accent4" w:themeShade="BF"/>
              <w:bottom w:val="nil"/>
              <w:right w:val="nil"/>
            </w:tcBorders>
            <w:shd w:val="clear" w:color="auto" w:fill="auto"/>
            <w:vAlign w:val="bottom"/>
          </w:tcPr>
          <w:p w14:paraId="7386630F" w14:textId="1AFAC1E7" w:rsidR="00F04730" w:rsidRPr="001D41EA" w:rsidRDefault="00F04730" w:rsidP="001D41EA">
            <w:pPr>
              <w:spacing w:before="40" w:after="40"/>
              <w:jc w:val="right"/>
              <w:rPr>
                <w:rFonts w:cs="Arial"/>
                <w:sz w:val="18"/>
                <w:szCs w:val="18"/>
              </w:rPr>
            </w:pPr>
            <w:r w:rsidRPr="001D41EA">
              <w:rPr>
                <w:rFonts w:cs="Arial"/>
                <w:sz w:val="18"/>
                <w:szCs w:val="18"/>
              </w:rPr>
              <w:t>15,812</w:t>
            </w:r>
          </w:p>
        </w:tc>
        <w:tc>
          <w:tcPr>
            <w:tcW w:w="1134" w:type="dxa"/>
            <w:tcBorders>
              <w:top w:val="nil"/>
              <w:left w:val="nil"/>
              <w:bottom w:val="nil"/>
              <w:right w:val="nil"/>
            </w:tcBorders>
            <w:shd w:val="clear" w:color="auto" w:fill="auto"/>
            <w:vAlign w:val="bottom"/>
          </w:tcPr>
          <w:p w14:paraId="05933BC0" w14:textId="20ED877F" w:rsidR="00F04730" w:rsidRPr="001D41EA" w:rsidRDefault="00F04730" w:rsidP="001D41EA">
            <w:pPr>
              <w:spacing w:before="40" w:after="40"/>
              <w:jc w:val="right"/>
              <w:rPr>
                <w:rFonts w:cs="Arial"/>
                <w:sz w:val="18"/>
                <w:szCs w:val="18"/>
              </w:rPr>
            </w:pPr>
            <w:r w:rsidRPr="001D41EA">
              <w:rPr>
                <w:rFonts w:cs="Arial"/>
                <w:sz w:val="18"/>
                <w:szCs w:val="18"/>
              </w:rPr>
              <w:t>3,494,302</w:t>
            </w:r>
          </w:p>
        </w:tc>
        <w:tc>
          <w:tcPr>
            <w:tcW w:w="1134" w:type="dxa"/>
            <w:tcBorders>
              <w:top w:val="nil"/>
              <w:left w:val="nil"/>
              <w:bottom w:val="nil"/>
              <w:right w:val="nil"/>
            </w:tcBorders>
            <w:shd w:val="clear" w:color="auto" w:fill="auto"/>
            <w:vAlign w:val="bottom"/>
          </w:tcPr>
          <w:p w14:paraId="7C67ED9E" w14:textId="5373DF0A" w:rsidR="00F04730" w:rsidRPr="001D41EA" w:rsidRDefault="00F04730" w:rsidP="001D41EA">
            <w:pPr>
              <w:spacing w:before="40" w:after="40"/>
              <w:jc w:val="right"/>
              <w:rPr>
                <w:rFonts w:cs="Arial"/>
                <w:sz w:val="18"/>
                <w:szCs w:val="18"/>
              </w:rPr>
            </w:pPr>
            <w:r w:rsidRPr="001D41EA">
              <w:rPr>
                <w:rFonts w:cs="Arial"/>
                <w:sz w:val="18"/>
                <w:szCs w:val="18"/>
              </w:rPr>
              <w:t>220.99</w:t>
            </w:r>
          </w:p>
        </w:tc>
        <w:tc>
          <w:tcPr>
            <w:tcW w:w="1134" w:type="dxa"/>
            <w:tcBorders>
              <w:top w:val="nil"/>
              <w:left w:val="nil"/>
              <w:bottom w:val="nil"/>
              <w:right w:val="nil"/>
            </w:tcBorders>
            <w:shd w:val="clear" w:color="auto" w:fill="auto"/>
            <w:vAlign w:val="bottom"/>
          </w:tcPr>
          <w:p w14:paraId="3A13C16E" w14:textId="1F405C8D" w:rsidR="00F04730" w:rsidRPr="001D41EA" w:rsidRDefault="00F04730" w:rsidP="001D41EA">
            <w:pPr>
              <w:spacing w:before="40" w:after="40"/>
              <w:jc w:val="right"/>
              <w:rPr>
                <w:rFonts w:cs="Arial"/>
                <w:sz w:val="18"/>
                <w:szCs w:val="18"/>
              </w:rPr>
            </w:pPr>
            <w:r w:rsidRPr="001D41EA">
              <w:rPr>
                <w:rFonts w:cs="Arial"/>
                <w:sz w:val="18"/>
                <w:szCs w:val="18"/>
              </w:rPr>
              <w:t>1,503</w:t>
            </w:r>
          </w:p>
        </w:tc>
        <w:tc>
          <w:tcPr>
            <w:tcW w:w="1134" w:type="dxa"/>
            <w:tcBorders>
              <w:top w:val="nil"/>
              <w:left w:val="nil"/>
              <w:bottom w:val="nil"/>
              <w:right w:val="nil"/>
            </w:tcBorders>
            <w:shd w:val="clear" w:color="auto" w:fill="auto"/>
            <w:vAlign w:val="bottom"/>
          </w:tcPr>
          <w:p w14:paraId="22F07CB1" w14:textId="032B3F81" w:rsidR="00F04730" w:rsidRPr="001D41EA" w:rsidRDefault="00F04730" w:rsidP="001D41EA">
            <w:pPr>
              <w:spacing w:before="40" w:after="40"/>
              <w:jc w:val="right"/>
              <w:rPr>
                <w:rFonts w:cs="Arial"/>
                <w:sz w:val="18"/>
                <w:szCs w:val="18"/>
              </w:rPr>
            </w:pPr>
            <w:r w:rsidRPr="001D41EA">
              <w:rPr>
                <w:rFonts w:cs="Arial"/>
                <w:sz w:val="18"/>
                <w:szCs w:val="18"/>
              </w:rPr>
              <w:t>1,595,967</w:t>
            </w:r>
          </w:p>
        </w:tc>
        <w:tc>
          <w:tcPr>
            <w:tcW w:w="1134" w:type="dxa"/>
            <w:tcBorders>
              <w:top w:val="nil"/>
              <w:left w:val="nil"/>
              <w:bottom w:val="nil"/>
              <w:right w:val="nil"/>
            </w:tcBorders>
            <w:shd w:val="clear" w:color="auto" w:fill="auto"/>
            <w:vAlign w:val="bottom"/>
          </w:tcPr>
          <w:p w14:paraId="7EEC6312" w14:textId="2D2FE6C5" w:rsidR="00F04730" w:rsidRPr="001D41EA" w:rsidRDefault="00F04730" w:rsidP="001D41EA">
            <w:pPr>
              <w:spacing w:before="40" w:after="40"/>
              <w:jc w:val="right"/>
              <w:rPr>
                <w:rFonts w:cs="Arial"/>
                <w:sz w:val="18"/>
                <w:szCs w:val="18"/>
              </w:rPr>
            </w:pPr>
            <w:r w:rsidRPr="001D41EA">
              <w:rPr>
                <w:rFonts w:cs="Arial"/>
                <w:sz w:val="18"/>
                <w:szCs w:val="18"/>
              </w:rPr>
              <w:t>1,061.85</w:t>
            </w:r>
          </w:p>
        </w:tc>
      </w:tr>
      <w:tr w:rsidR="00F04730" w:rsidRPr="001D41EA" w14:paraId="12C2F38C"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4CDFFC72" w14:textId="08BB6284" w:rsidR="00F04730" w:rsidRPr="001D41EA" w:rsidRDefault="00F04730" w:rsidP="001D41EA">
            <w:pPr>
              <w:tabs>
                <w:tab w:val="right" w:pos="2037"/>
              </w:tabs>
              <w:spacing w:before="40" w:after="40"/>
              <w:rPr>
                <w:rFonts w:cs="Arial"/>
                <w:sz w:val="18"/>
                <w:szCs w:val="18"/>
              </w:rPr>
            </w:pPr>
            <w:r w:rsidRPr="001D41EA">
              <w:rPr>
                <w:rFonts w:cs="Arial"/>
                <w:sz w:val="18"/>
                <w:szCs w:val="18"/>
              </w:rPr>
              <w:t>Hindmarsh S</w:t>
            </w:r>
            <w:r w:rsidR="00626246" w:rsidRPr="001D41EA">
              <w:rPr>
                <w:rFonts w:cs="Arial"/>
                <w:sz w:val="18"/>
                <w:szCs w:val="18"/>
              </w:rPr>
              <w:t xml:space="preserve">  *</w:t>
            </w:r>
            <w:r w:rsidR="00626246" w:rsidRPr="001D41EA">
              <w:rPr>
                <w:rFonts w:cs="Arial"/>
                <w:sz w:val="18"/>
                <w:szCs w:val="18"/>
              </w:rPr>
              <w:tab/>
            </w:r>
          </w:p>
        </w:tc>
        <w:tc>
          <w:tcPr>
            <w:tcW w:w="1134" w:type="dxa"/>
            <w:tcBorders>
              <w:top w:val="nil"/>
              <w:left w:val="single" w:sz="18" w:space="0" w:color="5F497A" w:themeColor="accent4" w:themeShade="BF"/>
              <w:bottom w:val="nil"/>
              <w:right w:val="nil"/>
            </w:tcBorders>
            <w:shd w:val="clear" w:color="auto" w:fill="auto"/>
            <w:vAlign w:val="bottom"/>
          </w:tcPr>
          <w:p w14:paraId="47E46FA4" w14:textId="21B4E22C" w:rsidR="00F04730" w:rsidRPr="001D41EA" w:rsidRDefault="00F04730" w:rsidP="001D41EA">
            <w:pPr>
              <w:spacing w:before="40" w:after="40"/>
              <w:jc w:val="right"/>
              <w:rPr>
                <w:rFonts w:cs="Arial"/>
                <w:sz w:val="18"/>
                <w:szCs w:val="18"/>
              </w:rPr>
            </w:pPr>
            <w:r w:rsidRPr="001D41EA">
              <w:rPr>
                <w:rFonts w:cs="Arial"/>
                <w:sz w:val="18"/>
                <w:szCs w:val="18"/>
              </w:rPr>
              <w:t>5,645</w:t>
            </w:r>
          </w:p>
        </w:tc>
        <w:tc>
          <w:tcPr>
            <w:tcW w:w="1134" w:type="dxa"/>
            <w:tcBorders>
              <w:top w:val="nil"/>
              <w:left w:val="nil"/>
              <w:bottom w:val="nil"/>
              <w:right w:val="nil"/>
            </w:tcBorders>
            <w:shd w:val="clear" w:color="auto" w:fill="auto"/>
            <w:vAlign w:val="bottom"/>
          </w:tcPr>
          <w:p w14:paraId="219BB255" w14:textId="33556ADB" w:rsidR="00F04730" w:rsidRPr="001D41EA" w:rsidRDefault="00F04730" w:rsidP="001D41EA">
            <w:pPr>
              <w:spacing w:before="40" w:after="40"/>
              <w:jc w:val="right"/>
              <w:rPr>
                <w:rFonts w:cs="Arial"/>
                <w:sz w:val="18"/>
                <w:szCs w:val="18"/>
              </w:rPr>
            </w:pPr>
            <w:r w:rsidRPr="001D41EA">
              <w:rPr>
                <w:rFonts w:cs="Arial"/>
                <w:sz w:val="18"/>
                <w:szCs w:val="18"/>
              </w:rPr>
              <w:t>3,172,747</w:t>
            </w:r>
          </w:p>
        </w:tc>
        <w:tc>
          <w:tcPr>
            <w:tcW w:w="1134" w:type="dxa"/>
            <w:tcBorders>
              <w:top w:val="nil"/>
              <w:left w:val="nil"/>
              <w:bottom w:val="nil"/>
              <w:right w:val="nil"/>
            </w:tcBorders>
            <w:shd w:val="clear" w:color="auto" w:fill="auto"/>
            <w:vAlign w:val="bottom"/>
          </w:tcPr>
          <w:p w14:paraId="6D1532DB" w14:textId="6EF1283A" w:rsidR="00F04730" w:rsidRPr="001D41EA" w:rsidRDefault="00F04730" w:rsidP="001D41EA">
            <w:pPr>
              <w:spacing w:before="40" w:after="40"/>
              <w:jc w:val="right"/>
              <w:rPr>
                <w:rFonts w:cs="Arial"/>
                <w:sz w:val="18"/>
                <w:szCs w:val="18"/>
              </w:rPr>
            </w:pPr>
            <w:r w:rsidRPr="001D41EA">
              <w:rPr>
                <w:rFonts w:cs="Arial"/>
                <w:sz w:val="18"/>
                <w:szCs w:val="18"/>
              </w:rPr>
              <w:t>562.05</w:t>
            </w:r>
          </w:p>
        </w:tc>
        <w:tc>
          <w:tcPr>
            <w:tcW w:w="1134" w:type="dxa"/>
            <w:tcBorders>
              <w:top w:val="nil"/>
              <w:left w:val="nil"/>
              <w:bottom w:val="nil"/>
              <w:right w:val="nil"/>
            </w:tcBorders>
            <w:shd w:val="clear" w:color="auto" w:fill="auto"/>
            <w:vAlign w:val="bottom"/>
          </w:tcPr>
          <w:p w14:paraId="614CDC70" w14:textId="34A11CA7" w:rsidR="00F04730" w:rsidRPr="001D41EA" w:rsidRDefault="00F04730" w:rsidP="001D41EA">
            <w:pPr>
              <w:spacing w:before="40" w:after="40"/>
              <w:jc w:val="right"/>
              <w:rPr>
                <w:rFonts w:cs="Arial"/>
                <w:sz w:val="18"/>
                <w:szCs w:val="18"/>
              </w:rPr>
            </w:pPr>
            <w:r w:rsidRPr="001D41EA">
              <w:rPr>
                <w:rFonts w:cs="Arial"/>
                <w:sz w:val="18"/>
                <w:szCs w:val="18"/>
              </w:rPr>
              <w:t>3,182</w:t>
            </w:r>
          </w:p>
        </w:tc>
        <w:tc>
          <w:tcPr>
            <w:tcW w:w="1134" w:type="dxa"/>
            <w:tcBorders>
              <w:top w:val="nil"/>
              <w:left w:val="nil"/>
              <w:bottom w:val="nil"/>
              <w:right w:val="nil"/>
            </w:tcBorders>
            <w:shd w:val="clear" w:color="auto" w:fill="auto"/>
            <w:vAlign w:val="bottom"/>
          </w:tcPr>
          <w:p w14:paraId="5CB1AFA5" w14:textId="23D4F595" w:rsidR="00F04730" w:rsidRPr="001D41EA" w:rsidRDefault="00F04730" w:rsidP="001D41EA">
            <w:pPr>
              <w:spacing w:before="40" w:after="40"/>
              <w:jc w:val="right"/>
              <w:rPr>
                <w:rFonts w:cs="Arial"/>
                <w:sz w:val="18"/>
                <w:szCs w:val="18"/>
              </w:rPr>
            </w:pPr>
            <w:r w:rsidRPr="001D41EA">
              <w:rPr>
                <w:rFonts w:cs="Arial"/>
                <w:sz w:val="18"/>
                <w:szCs w:val="18"/>
              </w:rPr>
              <w:t>1,699,987</w:t>
            </w:r>
          </w:p>
        </w:tc>
        <w:tc>
          <w:tcPr>
            <w:tcW w:w="1134" w:type="dxa"/>
            <w:tcBorders>
              <w:top w:val="nil"/>
              <w:left w:val="nil"/>
              <w:bottom w:val="nil"/>
              <w:right w:val="nil"/>
            </w:tcBorders>
            <w:shd w:val="clear" w:color="auto" w:fill="auto"/>
            <w:vAlign w:val="bottom"/>
          </w:tcPr>
          <w:p w14:paraId="27AC298E" w14:textId="3BDE1079" w:rsidR="00F04730" w:rsidRPr="001D41EA" w:rsidRDefault="00F04730" w:rsidP="001D41EA">
            <w:pPr>
              <w:spacing w:before="40" w:after="40"/>
              <w:jc w:val="right"/>
              <w:rPr>
                <w:rFonts w:cs="Arial"/>
                <w:sz w:val="18"/>
                <w:szCs w:val="18"/>
              </w:rPr>
            </w:pPr>
            <w:r w:rsidRPr="001D41EA">
              <w:rPr>
                <w:rFonts w:cs="Arial"/>
                <w:sz w:val="18"/>
                <w:szCs w:val="18"/>
              </w:rPr>
              <w:t>534.25</w:t>
            </w:r>
          </w:p>
        </w:tc>
      </w:tr>
      <w:tr w:rsidR="00F04730" w:rsidRPr="001D41EA" w14:paraId="3B9091ED"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5C05F5DC" w14:textId="55F08ED0"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Hobsons Bay C </w:t>
            </w:r>
          </w:p>
        </w:tc>
        <w:tc>
          <w:tcPr>
            <w:tcW w:w="1134" w:type="dxa"/>
            <w:tcBorders>
              <w:top w:val="nil"/>
              <w:left w:val="single" w:sz="18" w:space="0" w:color="5F497A" w:themeColor="accent4" w:themeShade="BF"/>
              <w:bottom w:val="nil"/>
              <w:right w:val="nil"/>
            </w:tcBorders>
            <w:shd w:val="clear" w:color="auto" w:fill="auto"/>
            <w:vAlign w:val="bottom"/>
          </w:tcPr>
          <w:p w14:paraId="6BB5D502" w14:textId="512AC667" w:rsidR="00F04730" w:rsidRPr="001D41EA" w:rsidRDefault="00F04730" w:rsidP="001D41EA">
            <w:pPr>
              <w:spacing w:before="40" w:after="40"/>
              <w:jc w:val="right"/>
              <w:rPr>
                <w:rFonts w:cs="Arial"/>
                <w:sz w:val="18"/>
                <w:szCs w:val="18"/>
              </w:rPr>
            </w:pPr>
            <w:r w:rsidRPr="001D41EA">
              <w:rPr>
                <w:rFonts w:cs="Arial"/>
                <w:sz w:val="18"/>
                <w:szCs w:val="18"/>
              </w:rPr>
              <w:t>96,470</w:t>
            </w:r>
          </w:p>
        </w:tc>
        <w:tc>
          <w:tcPr>
            <w:tcW w:w="1134" w:type="dxa"/>
            <w:tcBorders>
              <w:top w:val="nil"/>
              <w:left w:val="nil"/>
              <w:bottom w:val="nil"/>
              <w:right w:val="nil"/>
            </w:tcBorders>
            <w:shd w:val="clear" w:color="auto" w:fill="auto"/>
            <w:vAlign w:val="bottom"/>
          </w:tcPr>
          <w:p w14:paraId="39B990A2" w14:textId="710A2C17" w:rsidR="00F04730" w:rsidRPr="001D41EA" w:rsidRDefault="00F04730" w:rsidP="001D41EA">
            <w:pPr>
              <w:spacing w:before="40" w:after="40"/>
              <w:jc w:val="right"/>
              <w:rPr>
                <w:rFonts w:cs="Arial"/>
                <w:sz w:val="18"/>
                <w:szCs w:val="18"/>
              </w:rPr>
            </w:pPr>
            <w:r w:rsidRPr="001D41EA">
              <w:rPr>
                <w:rFonts w:cs="Arial"/>
                <w:sz w:val="18"/>
                <w:szCs w:val="18"/>
              </w:rPr>
              <w:t>2,040,820</w:t>
            </w:r>
          </w:p>
        </w:tc>
        <w:tc>
          <w:tcPr>
            <w:tcW w:w="1134" w:type="dxa"/>
            <w:tcBorders>
              <w:top w:val="nil"/>
              <w:left w:val="nil"/>
              <w:bottom w:val="nil"/>
              <w:right w:val="nil"/>
            </w:tcBorders>
            <w:shd w:val="clear" w:color="auto" w:fill="auto"/>
            <w:vAlign w:val="bottom"/>
          </w:tcPr>
          <w:p w14:paraId="1EEE67B4" w14:textId="2E4A63EB" w:rsidR="00F04730" w:rsidRPr="001D41EA" w:rsidRDefault="00F04730" w:rsidP="001D41EA">
            <w:pPr>
              <w:spacing w:before="40" w:after="40"/>
              <w:jc w:val="right"/>
              <w:rPr>
                <w:rFonts w:cs="Arial"/>
                <w:sz w:val="18"/>
                <w:szCs w:val="18"/>
              </w:rPr>
            </w:pPr>
            <w:r w:rsidRPr="001D41EA">
              <w:rPr>
                <w:rFonts w:cs="Arial"/>
                <w:sz w:val="18"/>
                <w:szCs w:val="18"/>
              </w:rPr>
              <w:t>21.15</w:t>
            </w:r>
          </w:p>
        </w:tc>
        <w:tc>
          <w:tcPr>
            <w:tcW w:w="1134" w:type="dxa"/>
            <w:tcBorders>
              <w:top w:val="nil"/>
              <w:left w:val="nil"/>
              <w:bottom w:val="nil"/>
              <w:right w:val="nil"/>
            </w:tcBorders>
            <w:shd w:val="clear" w:color="auto" w:fill="auto"/>
            <w:vAlign w:val="bottom"/>
          </w:tcPr>
          <w:p w14:paraId="3B0D177E" w14:textId="76E8080F" w:rsidR="00F04730" w:rsidRPr="001D41EA" w:rsidRDefault="00F04730" w:rsidP="001D41EA">
            <w:pPr>
              <w:spacing w:before="40" w:after="40"/>
              <w:jc w:val="right"/>
              <w:rPr>
                <w:rFonts w:cs="Arial"/>
                <w:sz w:val="18"/>
                <w:szCs w:val="18"/>
              </w:rPr>
            </w:pPr>
            <w:r w:rsidRPr="001D41EA">
              <w:rPr>
                <w:rFonts w:cs="Arial"/>
                <w:sz w:val="18"/>
                <w:szCs w:val="18"/>
              </w:rPr>
              <w:t>425</w:t>
            </w:r>
          </w:p>
        </w:tc>
        <w:tc>
          <w:tcPr>
            <w:tcW w:w="1134" w:type="dxa"/>
            <w:tcBorders>
              <w:top w:val="nil"/>
              <w:left w:val="nil"/>
              <w:bottom w:val="nil"/>
              <w:right w:val="nil"/>
            </w:tcBorders>
            <w:shd w:val="clear" w:color="auto" w:fill="auto"/>
            <w:vAlign w:val="bottom"/>
          </w:tcPr>
          <w:p w14:paraId="004B11F9" w14:textId="3E8A118C" w:rsidR="00F04730" w:rsidRPr="001D41EA" w:rsidRDefault="00F04730" w:rsidP="001D41EA">
            <w:pPr>
              <w:spacing w:before="40" w:after="40"/>
              <w:jc w:val="right"/>
              <w:rPr>
                <w:rFonts w:cs="Arial"/>
                <w:sz w:val="18"/>
                <w:szCs w:val="18"/>
              </w:rPr>
            </w:pPr>
            <w:r w:rsidRPr="001D41EA">
              <w:rPr>
                <w:rFonts w:cs="Arial"/>
                <w:sz w:val="18"/>
                <w:szCs w:val="18"/>
              </w:rPr>
              <w:t>750,539</w:t>
            </w:r>
          </w:p>
        </w:tc>
        <w:tc>
          <w:tcPr>
            <w:tcW w:w="1134" w:type="dxa"/>
            <w:tcBorders>
              <w:top w:val="nil"/>
              <w:left w:val="nil"/>
              <w:bottom w:val="nil"/>
              <w:right w:val="nil"/>
            </w:tcBorders>
            <w:shd w:val="clear" w:color="auto" w:fill="auto"/>
            <w:vAlign w:val="bottom"/>
          </w:tcPr>
          <w:p w14:paraId="5AFD1EB9" w14:textId="51D0097D" w:rsidR="00F04730" w:rsidRPr="001D41EA" w:rsidRDefault="00F04730" w:rsidP="001D41EA">
            <w:pPr>
              <w:spacing w:before="40" w:after="40"/>
              <w:jc w:val="right"/>
              <w:rPr>
                <w:rFonts w:cs="Arial"/>
                <w:sz w:val="18"/>
                <w:szCs w:val="18"/>
              </w:rPr>
            </w:pPr>
            <w:r w:rsidRPr="001D41EA">
              <w:rPr>
                <w:rFonts w:cs="Arial"/>
                <w:sz w:val="18"/>
                <w:szCs w:val="18"/>
              </w:rPr>
              <w:t>1,765.97</w:t>
            </w:r>
          </w:p>
        </w:tc>
      </w:tr>
      <w:tr w:rsidR="00F04730" w:rsidRPr="001D41EA" w14:paraId="3770BB16"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343AF67B" w14:textId="7BE5E888"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Horsham RC </w:t>
            </w:r>
          </w:p>
        </w:tc>
        <w:tc>
          <w:tcPr>
            <w:tcW w:w="1134" w:type="dxa"/>
            <w:tcBorders>
              <w:top w:val="nil"/>
              <w:left w:val="single" w:sz="18" w:space="0" w:color="5F497A" w:themeColor="accent4" w:themeShade="BF"/>
              <w:bottom w:val="nil"/>
              <w:right w:val="nil"/>
            </w:tcBorders>
            <w:shd w:val="clear" w:color="auto" w:fill="auto"/>
            <w:vAlign w:val="bottom"/>
          </w:tcPr>
          <w:p w14:paraId="550EAE2A" w14:textId="3508F440" w:rsidR="00F04730" w:rsidRPr="001D41EA" w:rsidRDefault="00F04730" w:rsidP="001D41EA">
            <w:pPr>
              <w:spacing w:before="40" w:after="40"/>
              <w:jc w:val="right"/>
              <w:rPr>
                <w:rFonts w:cs="Arial"/>
                <w:sz w:val="18"/>
                <w:szCs w:val="18"/>
              </w:rPr>
            </w:pPr>
            <w:r w:rsidRPr="001D41EA">
              <w:rPr>
                <w:rFonts w:cs="Arial"/>
                <w:sz w:val="18"/>
                <w:szCs w:val="18"/>
              </w:rPr>
              <w:t>19,875</w:t>
            </w:r>
          </w:p>
        </w:tc>
        <w:tc>
          <w:tcPr>
            <w:tcW w:w="1134" w:type="dxa"/>
            <w:tcBorders>
              <w:top w:val="nil"/>
              <w:left w:val="nil"/>
              <w:bottom w:val="nil"/>
              <w:right w:val="nil"/>
            </w:tcBorders>
            <w:shd w:val="clear" w:color="auto" w:fill="auto"/>
            <w:vAlign w:val="bottom"/>
          </w:tcPr>
          <w:p w14:paraId="2F3C6729" w14:textId="338F0E0C" w:rsidR="00F04730" w:rsidRPr="001D41EA" w:rsidRDefault="00F04730" w:rsidP="001D41EA">
            <w:pPr>
              <w:spacing w:before="40" w:after="40"/>
              <w:jc w:val="right"/>
              <w:rPr>
                <w:rFonts w:cs="Arial"/>
                <w:sz w:val="18"/>
                <w:szCs w:val="18"/>
              </w:rPr>
            </w:pPr>
            <w:r w:rsidRPr="001D41EA">
              <w:rPr>
                <w:rFonts w:cs="Arial"/>
                <w:sz w:val="18"/>
                <w:szCs w:val="18"/>
              </w:rPr>
              <w:t>4,262,383</w:t>
            </w:r>
          </w:p>
        </w:tc>
        <w:tc>
          <w:tcPr>
            <w:tcW w:w="1134" w:type="dxa"/>
            <w:tcBorders>
              <w:top w:val="nil"/>
              <w:left w:val="nil"/>
              <w:bottom w:val="nil"/>
              <w:right w:val="nil"/>
            </w:tcBorders>
            <w:shd w:val="clear" w:color="auto" w:fill="auto"/>
            <w:vAlign w:val="bottom"/>
          </w:tcPr>
          <w:p w14:paraId="3B4E6AEF" w14:textId="121AB130" w:rsidR="00F04730" w:rsidRPr="001D41EA" w:rsidRDefault="00F04730" w:rsidP="001D41EA">
            <w:pPr>
              <w:spacing w:before="40" w:after="40"/>
              <w:jc w:val="right"/>
              <w:rPr>
                <w:rFonts w:cs="Arial"/>
                <w:sz w:val="18"/>
                <w:szCs w:val="18"/>
              </w:rPr>
            </w:pPr>
            <w:r w:rsidRPr="001D41EA">
              <w:rPr>
                <w:rFonts w:cs="Arial"/>
                <w:sz w:val="18"/>
                <w:szCs w:val="18"/>
              </w:rPr>
              <w:t>214.46</w:t>
            </w:r>
          </w:p>
        </w:tc>
        <w:tc>
          <w:tcPr>
            <w:tcW w:w="1134" w:type="dxa"/>
            <w:tcBorders>
              <w:top w:val="nil"/>
              <w:left w:val="nil"/>
              <w:bottom w:val="nil"/>
              <w:right w:val="nil"/>
            </w:tcBorders>
            <w:shd w:val="clear" w:color="auto" w:fill="auto"/>
            <w:vAlign w:val="bottom"/>
          </w:tcPr>
          <w:p w14:paraId="4A6920E6" w14:textId="250C3536" w:rsidR="00F04730" w:rsidRPr="001D41EA" w:rsidRDefault="00F04730" w:rsidP="001D41EA">
            <w:pPr>
              <w:spacing w:before="40" w:after="40"/>
              <w:jc w:val="right"/>
              <w:rPr>
                <w:rFonts w:cs="Arial"/>
                <w:sz w:val="18"/>
                <w:szCs w:val="18"/>
              </w:rPr>
            </w:pPr>
            <w:r w:rsidRPr="001D41EA">
              <w:rPr>
                <w:rFonts w:cs="Arial"/>
                <w:sz w:val="18"/>
                <w:szCs w:val="18"/>
              </w:rPr>
              <w:t>2,974</w:t>
            </w:r>
          </w:p>
        </w:tc>
        <w:tc>
          <w:tcPr>
            <w:tcW w:w="1134" w:type="dxa"/>
            <w:tcBorders>
              <w:top w:val="nil"/>
              <w:left w:val="nil"/>
              <w:bottom w:val="nil"/>
              <w:right w:val="nil"/>
            </w:tcBorders>
            <w:shd w:val="clear" w:color="auto" w:fill="auto"/>
            <w:vAlign w:val="bottom"/>
          </w:tcPr>
          <w:p w14:paraId="3E1FFBBC" w14:textId="606229FD" w:rsidR="00F04730" w:rsidRPr="001D41EA" w:rsidRDefault="00F04730" w:rsidP="001D41EA">
            <w:pPr>
              <w:spacing w:before="40" w:after="40"/>
              <w:jc w:val="right"/>
              <w:rPr>
                <w:rFonts w:cs="Arial"/>
                <w:sz w:val="18"/>
                <w:szCs w:val="18"/>
              </w:rPr>
            </w:pPr>
            <w:r w:rsidRPr="001D41EA">
              <w:rPr>
                <w:rFonts w:cs="Arial"/>
                <w:sz w:val="18"/>
                <w:szCs w:val="18"/>
              </w:rPr>
              <w:t>2,244,830</w:t>
            </w:r>
          </w:p>
        </w:tc>
        <w:tc>
          <w:tcPr>
            <w:tcW w:w="1134" w:type="dxa"/>
            <w:tcBorders>
              <w:top w:val="nil"/>
              <w:left w:val="nil"/>
              <w:bottom w:val="nil"/>
              <w:right w:val="nil"/>
            </w:tcBorders>
            <w:shd w:val="clear" w:color="auto" w:fill="auto"/>
            <w:vAlign w:val="bottom"/>
          </w:tcPr>
          <w:p w14:paraId="6C092F84" w14:textId="30F1B2CA" w:rsidR="00F04730" w:rsidRPr="001D41EA" w:rsidRDefault="00F04730" w:rsidP="001D41EA">
            <w:pPr>
              <w:spacing w:before="40" w:after="40"/>
              <w:jc w:val="right"/>
              <w:rPr>
                <w:rFonts w:cs="Arial"/>
                <w:sz w:val="18"/>
                <w:szCs w:val="18"/>
              </w:rPr>
            </w:pPr>
            <w:r w:rsidRPr="001D41EA">
              <w:rPr>
                <w:rFonts w:cs="Arial"/>
                <w:sz w:val="18"/>
                <w:szCs w:val="18"/>
              </w:rPr>
              <w:t>754.82</w:t>
            </w:r>
          </w:p>
        </w:tc>
      </w:tr>
      <w:tr w:rsidR="00F04730" w:rsidRPr="001D41EA" w14:paraId="6CD35647"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AC616A0" w14:textId="62904F10"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Hume C </w:t>
            </w:r>
          </w:p>
        </w:tc>
        <w:tc>
          <w:tcPr>
            <w:tcW w:w="1134" w:type="dxa"/>
            <w:tcBorders>
              <w:top w:val="nil"/>
              <w:left w:val="single" w:sz="18" w:space="0" w:color="5F497A" w:themeColor="accent4" w:themeShade="BF"/>
              <w:bottom w:val="nil"/>
              <w:right w:val="nil"/>
            </w:tcBorders>
            <w:shd w:val="clear" w:color="auto" w:fill="auto"/>
            <w:vAlign w:val="bottom"/>
          </w:tcPr>
          <w:p w14:paraId="1C5EFDF3" w14:textId="4364CE18" w:rsidR="00F04730" w:rsidRPr="001D41EA" w:rsidRDefault="00F04730" w:rsidP="001D41EA">
            <w:pPr>
              <w:spacing w:before="40" w:after="40"/>
              <w:jc w:val="right"/>
              <w:rPr>
                <w:rFonts w:cs="Arial"/>
                <w:sz w:val="18"/>
                <w:szCs w:val="18"/>
              </w:rPr>
            </w:pPr>
            <w:r w:rsidRPr="001D41EA">
              <w:rPr>
                <w:rFonts w:cs="Arial"/>
                <w:sz w:val="18"/>
                <w:szCs w:val="18"/>
              </w:rPr>
              <w:t>224,394</w:t>
            </w:r>
          </w:p>
        </w:tc>
        <w:tc>
          <w:tcPr>
            <w:tcW w:w="1134" w:type="dxa"/>
            <w:tcBorders>
              <w:top w:val="nil"/>
              <w:left w:val="nil"/>
              <w:bottom w:val="nil"/>
              <w:right w:val="nil"/>
            </w:tcBorders>
            <w:shd w:val="clear" w:color="auto" w:fill="auto"/>
            <w:vAlign w:val="bottom"/>
          </w:tcPr>
          <w:p w14:paraId="034116A4" w14:textId="0D4338FA" w:rsidR="00F04730" w:rsidRPr="001D41EA" w:rsidRDefault="00F04730" w:rsidP="001D41EA">
            <w:pPr>
              <w:spacing w:before="40" w:after="40"/>
              <w:jc w:val="right"/>
              <w:rPr>
                <w:rFonts w:cs="Arial"/>
                <w:sz w:val="18"/>
                <w:szCs w:val="18"/>
              </w:rPr>
            </w:pPr>
            <w:r w:rsidRPr="001D41EA">
              <w:rPr>
                <w:rFonts w:cs="Arial"/>
                <w:sz w:val="18"/>
                <w:szCs w:val="18"/>
              </w:rPr>
              <w:t>13,813,452</w:t>
            </w:r>
          </w:p>
        </w:tc>
        <w:tc>
          <w:tcPr>
            <w:tcW w:w="1134" w:type="dxa"/>
            <w:tcBorders>
              <w:top w:val="nil"/>
              <w:left w:val="nil"/>
              <w:bottom w:val="nil"/>
              <w:right w:val="nil"/>
            </w:tcBorders>
            <w:shd w:val="clear" w:color="auto" w:fill="auto"/>
            <w:vAlign w:val="bottom"/>
          </w:tcPr>
          <w:p w14:paraId="730E505E" w14:textId="66ED8285" w:rsidR="00F04730" w:rsidRPr="001D41EA" w:rsidRDefault="00F04730" w:rsidP="001D41EA">
            <w:pPr>
              <w:spacing w:before="40" w:after="40"/>
              <w:jc w:val="right"/>
              <w:rPr>
                <w:rFonts w:cs="Arial"/>
                <w:sz w:val="18"/>
                <w:szCs w:val="18"/>
              </w:rPr>
            </w:pPr>
            <w:r w:rsidRPr="001D41EA">
              <w:rPr>
                <w:rFonts w:cs="Arial"/>
                <w:sz w:val="18"/>
                <w:szCs w:val="18"/>
              </w:rPr>
              <w:t>61.56</w:t>
            </w:r>
          </w:p>
        </w:tc>
        <w:tc>
          <w:tcPr>
            <w:tcW w:w="1134" w:type="dxa"/>
            <w:tcBorders>
              <w:top w:val="nil"/>
              <w:left w:val="nil"/>
              <w:bottom w:val="nil"/>
              <w:right w:val="nil"/>
            </w:tcBorders>
            <w:shd w:val="clear" w:color="auto" w:fill="auto"/>
            <w:vAlign w:val="bottom"/>
          </w:tcPr>
          <w:p w14:paraId="072E083C" w14:textId="40B50EE5" w:rsidR="00F04730" w:rsidRPr="001D41EA" w:rsidRDefault="00F04730" w:rsidP="001D41EA">
            <w:pPr>
              <w:spacing w:before="40" w:after="40"/>
              <w:jc w:val="right"/>
              <w:rPr>
                <w:rFonts w:cs="Arial"/>
                <w:sz w:val="18"/>
                <w:szCs w:val="18"/>
              </w:rPr>
            </w:pPr>
            <w:r w:rsidRPr="001D41EA">
              <w:rPr>
                <w:rFonts w:cs="Arial"/>
                <w:sz w:val="18"/>
                <w:szCs w:val="18"/>
              </w:rPr>
              <w:t>1,312</w:t>
            </w:r>
          </w:p>
        </w:tc>
        <w:tc>
          <w:tcPr>
            <w:tcW w:w="1134" w:type="dxa"/>
            <w:tcBorders>
              <w:top w:val="nil"/>
              <w:left w:val="nil"/>
              <w:bottom w:val="nil"/>
              <w:right w:val="nil"/>
            </w:tcBorders>
            <w:shd w:val="clear" w:color="auto" w:fill="auto"/>
            <w:vAlign w:val="bottom"/>
          </w:tcPr>
          <w:p w14:paraId="0BFEA75D" w14:textId="7D093437" w:rsidR="00F04730" w:rsidRPr="001D41EA" w:rsidRDefault="00F04730" w:rsidP="001D41EA">
            <w:pPr>
              <w:spacing w:before="40" w:after="40"/>
              <w:jc w:val="right"/>
              <w:rPr>
                <w:rFonts w:cs="Arial"/>
                <w:sz w:val="18"/>
                <w:szCs w:val="18"/>
              </w:rPr>
            </w:pPr>
            <w:r w:rsidRPr="001D41EA">
              <w:rPr>
                <w:rFonts w:cs="Arial"/>
                <w:sz w:val="18"/>
                <w:szCs w:val="18"/>
              </w:rPr>
              <w:t>2,610,056</w:t>
            </w:r>
          </w:p>
        </w:tc>
        <w:tc>
          <w:tcPr>
            <w:tcW w:w="1134" w:type="dxa"/>
            <w:tcBorders>
              <w:top w:val="nil"/>
              <w:left w:val="nil"/>
              <w:bottom w:val="nil"/>
              <w:right w:val="nil"/>
            </w:tcBorders>
            <w:shd w:val="clear" w:color="auto" w:fill="auto"/>
            <w:vAlign w:val="bottom"/>
          </w:tcPr>
          <w:p w14:paraId="43674BCA" w14:textId="652517B1" w:rsidR="00F04730" w:rsidRPr="001D41EA" w:rsidRDefault="00F04730" w:rsidP="001D41EA">
            <w:pPr>
              <w:spacing w:before="40" w:after="40"/>
              <w:jc w:val="right"/>
              <w:rPr>
                <w:rFonts w:cs="Arial"/>
                <w:sz w:val="18"/>
                <w:szCs w:val="18"/>
              </w:rPr>
            </w:pPr>
            <w:r w:rsidRPr="001D41EA">
              <w:rPr>
                <w:rFonts w:cs="Arial"/>
                <w:sz w:val="18"/>
                <w:szCs w:val="18"/>
              </w:rPr>
              <w:t>1,989.37</w:t>
            </w:r>
          </w:p>
        </w:tc>
      </w:tr>
      <w:tr w:rsidR="00F04730" w:rsidRPr="001D41EA" w14:paraId="3D6D0A33"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02A1D017" w14:textId="3E16B586"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Indigo S </w:t>
            </w:r>
          </w:p>
        </w:tc>
        <w:tc>
          <w:tcPr>
            <w:tcW w:w="1134" w:type="dxa"/>
            <w:tcBorders>
              <w:top w:val="nil"/>
              <w:left w:val="single" w:sz="18" w:space="0" w:color="5F497A" w:themeColor="accent4" w:themeShade="BF"/>
              <w:bottom w:val="nil"/>
              <w:right w:val="nil"/>
            </w:tcBorders>
            <w:shd w:val="clear" w:color="auto" w:fill="auto"/>
            <w:vAlign w:val="bottom"/>
          </w:tcPr>
          <w:p w14:paraId="14B8C438" w14:textId="5B0AC8ED" w:rsidR="00F04730" w:rsidRPr="001D41EA" w:rsidRDefault="00F04730" w:rsidP="001D41EA">
            <w:pPr>
              <w:spacing w:before="40" w:after="40"/>
              <w:jc w:val="right"/>
              <w:rPr>
                <w:rFonts w:cs="Arial"/>
                <w:sz w:val="18"/>
                <w:szCs w:val="18"/>
              </w:rPr>
            </w:pPr>
            <w:r w:rsidRPr="001D41EA">
              <w:rPr>
                <w:rFonts w:cs="Arial"/>
                <w:sz w:val="18"/>
                <w:szCs w:val="18"/>
              </w:rPr>
              <w:t>16,490</w:t>
            </w:r>
          </w:p>
        </w:tc>
        <w:tc>
          <w:tcPr>
            <w:tcW w:w="1134" w:type="dxa"/>
            <w:tcBorders>
              <w:top w:val="nil"/>
              <w:left w:val="nil"/>
              <w:bottom w:val="nil"/>
              <w:right w:val="nil"/>
            </w:tcBorders>
            <w:shd w:val="clear" w:color="auto" w:fill="auto"/>
            <w:vAlign w:val="bottom"/>
          </w:tcPr>
          <w:p w14:paraId="0F4C653A" w14:textId="47CB0DF4" w:rsidR="00F04730" w:rsidRPr="001D41EA" w:rsidRDefault="00F04730" w:rsidP="001D41EA">
            <w:pPr>
              <w:spacing w:before="40" w:after="40"/>
              <w:jc w:val="right"/>
              <w:rPr>
                <w:rFonts w:cs="Arial"/>
                <w:sz w:val="18"/>
                <w:szCs w:val="18"/>
              </w:rPr>
            </w:pPr>
            <w:r w:rsidRPr="001D41EA">
              <w:rPr>
                <w:rFonts w:cs="Arial"/>
                <w:sz w:val="18"/>
                <w:szCs w:val="18"/>
              </w:rPr>
              <w:t>3,211,304</w:t>
            </w:r>
          </w:p>
        </w:tc>
        <w:tc>
          <w:tcPr>
            <w:tcW w:w="1134" w:type="dxa"/>
            <w:tcBorders>
              <w:top w:val="nil"/>
              <w:left w:val="nil"/>
              <w:bottom w:val="nil"/>
              <w:right w:val="nil"/>
            </w:tcBorders>
            <w:shd w:val="clear" w:color="auto" w:fill="auto"/>
            <w:vAlign w:val="bottom"/>
          </w:tcPr>
          <w:p w14:paraId="00D41420" w14:textId="53E32C05" w:rsidR="00F04730" w:rsidRPr="001D41EA" w:rsidRDefault="00F04730" w:rsidP="001D41EA">
            <w:pPr>
              <w:spacing w:before="40" w:after="40"/>
              <w:jc w:val="right"/>
              <w:rPr>
                <w:rFonts w:cs="Arial"/>
                <w:sz w:val="18"/>
                <w:szCs w:val="18"/>
              </w:rPr>
            </w:pPr>
            <w:r w:rsidRPr="001D41EA">
              <w:rPr>
                <w:rFonts w:cs="Arial"/>
                <w:sz w:val="18"/>
                <w:szCs w:val="18"/>
              </w:rPr>
              <w:t>194.74</w:t>
            </w:r>
          </w:p>
        </w:tc>
        <w:tc>
          <w:tcPr>
            <w:tcW w:w="1134" w:type="dxa"/>
            <w:tcBorders>
              <w:top w:val="nil"/>
              <w:left w:val="nil"/>
              <w:bottom w:val="nil"/>
              <w:right w:val="nil"/>
            </w:tcBorders>
            <w:shd w:val="clear" w:color="auto" w:fill="auto"/>
            <w:vAlign w:val="bottom"/>
          </w:tcPr>
          <w:p w14:paraId="6314CFFD" w14:textId="4D1CA89D" w:rsidR="00F04730" w:rsidRPr="001D41EA" w:rsidRDefault="00F04730" w:rsidP="001D41EA">
            <w:pPr>
              <w:spacing w:before="40" w:after="40"/>
              <w:jc w:val="right"/>
              <w:rPr>
                <w:rFonts w:cs="Arial"/>
                <w:sz w:val="18"/>
                <w:szCs w:val="18"/>
              </w:rPr>
            </w:pPr>
            <w:r w:rsidRPr="001D41EA">
              <w:rPr>
                <w:rFonts w:cs="Arial"/>
                <w:sz w:val="18"/>
                <w:szCs w:val="18"/>
              </w:rPr>
              <w:t>1,562</w:t>
            </w:r>
          </w:p>
        </w:tc>
        <w:tc>
          <w:tcPr>
            <w:tcW w:w="1134" w:type="dxa"/>
            <w:tcBorders>
              <w:top w:val="nil"/>
              <w:left w:val="nil"/>
              <w:bottom w:val="nil"/>
              <w:right w:val="nil"/>
            </w:tcBorders>
            <w:shd w:val="clear" w:color="auto" w:fill="auto"/>
            <w:vAlign w:val="bottom"/>
          </w:tcPr>
          <w:p w14:paraId="307BF7E0" w14:textId="5F7D5EFB" w:rsidR="00F04730" w:rsidRPr="001D41EA" w:rsidRDefault="00F04730" w:rsidP="001D41EA">
            <w:pPr>
              <w:spacing w:before="40" w:after="40"/>
              <w:jc w:val="right"/>
              <w:rPr>
                <w:rFonts w:cs="Arial"/>
                <w:sz w:val="18"/>
                <w:szCs w:val="18"/>
              </w:rPr>
            </w:pPr>
            <w:r w:rsidRPr="001D41EA">
              <w:rPr>
                <w:rFonts w:cs="Arial"/>
                <w:sz w:val="18"/>
                <w:szCs w:val="18"/>
              </w:rPr>
              <w:t>1,692,948</w:t>
            </w:r>
          </w:p>
        </w:tc>
        <w:tc>
          <w:tcPr>
            <w:tcW w:w="1134" w:type="dxa"/>
            <w:tcBorders>
              <w:top w:val="nil"/>
              <w:left w:val="nil"/>
              <w:bottom w:val="nil"/>
              <w:right w:val="nil"/>
            </w:tcBorders>
            <w:shd w:val="clear" w:color="auto" w:fill="auto"/>
            <w:vAlign w:val="bottom"/>
          </w:tcPr>
          <w:p w14:paraId="1EE11EF3" w14:textId="67B1BC1E" w:rsidR="00F04730" w:rsidRPr="001D41EA" w:rsidRDefault="00F04730" w:rsidP="001D41EA">
            <w:pPr>
              <w:spacing w:before="40" w:after="40"/>
              <w:jc w:val="right"/>
              <w:rPr>
                <w:rFonts w:cs="Arial"/>
                <w:sz w:val="18"/>
                <w:szCs w:val="18"/>
              </w:rPr>
            </w:pPr>
            <w:r w:rsidRPr="001D41EA">
              <w:rPr>
                <w:rFonts w:cs="Arial"/>
                <w:sz w:val="18"/>
                <w:szCs w:val="18"/>
              </w:rPr>
              <w:t>1,083.75</w:t>
            </w:r>
          </w:p>
        </w:tc>
      </w:tr>
      <w:tr w:rsidR="00F04730" w:rsidRPr="001D41EA" w14:paraId="6A5F7B9E"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B2D09AA" w14:textId="5BAD3FD5"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Kingston C </w:t>
            </w:r>
          </w:p>
        </w:tc>
        <w:tc>
          <w:tcPr>
            <w:tcW w:w="1134" w:type="dxa"/>
            <w:tcBorders>
              <w:top w:val="nil"/>
              <w:left w:val="single" w:sz="18" w:space="0" w:color="5F497A" w:themeColor="accent4" w:themeShade="BF"/>
              <w:bottom w:val="nil"/>
              <w:right w:val="nil"/>
            </w:tcBorders>
            <w:shd w:val="clear" w:color="auto" w:fill="auto"/>
            <w:vAlign w:val="bottom"/>
          </w:tcPr>
          <w:p w14:paraId="29D88F02" w14:textId="288AAB2F" w:rsidR="00F04730" w:rsidRPr="001D41EA" w:rsidRDefault="00F04730" w:rsidP="001D41EA">
            <w:pPr>
              <w:spacing w:before="40" w:after="40"/>
              <w:jc w:val="right"/>
              <w:rPr>
                <w:rFonts w:cs="Arial"/>
                <w:sz w:val="18"/>
                <w:szCs w:val="18"/>
              </w:rPr>
            </w:pPr>
            <w:r w:rsidRPr="001D41EA">
              <w:rPr>
                <w:rFonts w:cs="Arial"/>
                <w:sz w:val="18"/>
                <w:szCs w:val="18"/>
              </w:rPr>
              <w:t>163,431</w:t>
            </w:r>
          </w:p>
        </w:tc>
        <w:tc>
          <w:tcPr>
            <w:tcW w:w="1134" w:type="dxa"/>
            <w:tcBorders>
              <w:top w:val="nil"/>
              <w:left w:val="nil"/>
              <w:bottom w:val="nil"/>
              <w:right w:val="nil"/>
            </w:tcBorders>
            <w:shd w:val="clear" w:color="auto" w:fill="auto"/>
            <w:vAlign w:val="bottom"/>
          </w:tcPr>
          <w:p w14:paraId="73F307CE" w14:textId="6AD5ED35" w:rsidR="00F04730" w:rsidRPr="001D41EA" w:rsidRDefault="00F04730" w:rsidP="001D41EA">
            <w:pPr>
              <w:spacing w:before="40" w:after="40"/>
              <w:jc w:val="right"/>
              <w:rPr>
                <w:rFonts w:cs="Arial"/>
                <w:sz w:val="18"/>
                <w:szCs w:val="18"/>
              </w:rPr>
            </w:pPr>
            <w:r w:rsidRPr="001D41EA">
              <w:rPr>
                <w:rFonts w:cs="Arial"/>
                <w:sz w:val="18"/>
                <w:szCs w:val="18"/>
              </w:rPr>
              <w:t>3,457,377</w:t>
            </w:r>
          </w:p>
        </w:tc>
        <w:tc>
          <w:tcPr>
            <w:tcW w:w="1134" w:type="dxa"/>
            <w:tcBorders>
              <w:top w:val="nil"/>
              <w:left w:val="nil"/>
              <w:bottom w:val="nil"/>
              <w:right w:val="nil"/>
            </w:tcBorders>
            <w:shd w:val="clear" w:color="auto" w:fill="auto"/>
            <w:vAlign w:val="bottom"/>
          </w:tcPr>
          <w:p w14:paraId="4D7F5FFF" w14:textId="2BFA00DE" w:rsidR="00F04730" w:rsidRPr="001D41EA" w:rsidRDefault="00F04730" w:rsidP="001D41EA">
            <w:pPr>
              <w:spacing w:before="40" w:after="40"/>
              <w:jc w:val="right"/>
              <w:rPr>
                <w:rFonts w:cs="Arial"/>
                <w:sz w:val="18"/>
                <w:szCs w:val="18"/>
              </w:rPr>
            </w:pPr>
            <w:r w:rsidRPr="001D41EA">
              <w:rPr>
                <w:rFonts w:cs="Arial"/>
                <w:sz w:val="18"/>
                <w:szCs w:val="18"/>
              </w:rPr>
              <w:t>21.15</w:t>
            </w:r>
          </w:p>
        </w:tc>
        <w:tc>
          <w:tcPr>
            <w:tcW w:w="1134" w:type="dxa"/>
            <w:tcBorders>
              <w:top w:val="nil"/>
              <w:left w:val="nil"/>
              <w:bottom w:val="nil"/>
              <w:right w:val="nil"/>
            </w:tcBorders>
            <w:shd w:val="clear" w:color="auto" w:fill="auto"/>
            <w:vAlign w:val="bottom"/>
          </w:tcPr>
          <w:p w14:paraId="2A92A4B6" w14:textId="31000CCE" w:rsidR="00F04730" w:rsidRPr="001D41EA" w:rsidRDefault="00F04730" w:rsidP="001D41EA">
            <w:pPr>
              <w:spacing w:before="40" w:after="40"/>
              <w:jc w:val="right"/>
              <w:rPr>
                <w:rFonts w:cs="Arial"/>
                <w:sz w:val="18"/>
                <w:szCs w:val="18"/>
              </w:rPr>
            </w:pPr>
            <w:r w:rsidRPr="001D41EA">
              <w:rPr>
                <w:rFonts w:cs="Arial"/>
                <w:sz w:val="18"/>
                <w:szCs w:val="18"/>
              </w:rPr>
              <w:t>602</w:t>
            </w:r>
          </w:p>
        </w:tc>
        <w:tc>
          <w:tcPr>
            <w:tcW w:w="1134" w:type="dxa"/>
            <w:tcBorders>
              <w:top w:val="nil"/>
              <w:left w:val="nil"/>
              <w:bottom w:val="nil"/>
              <w:right w:val="nil"/>
            </w:tcBorders>
            <w:shd w:val="clear" w:color="auto" w:fill="auto"/>
            <w:vAlign w:val="bottom"/>
          </w:tcPr>
          <w:p w14:paraId="56C5A33F" w14:textId="69F8119A" w:rsidR="00F04730" w:rsidRPr="001D41EA" w:rsidRDefault="00F04730" w:rsidP="001D41EA">
            <w:pPr>
              <w:spacing w:before="40" w:after="40"/>
              <w:jc w:val="right"/>
              <w:rPr>
                <w:rFonts w:cs="Arial"/>
                <w:sz w:val="18"/>
                <w:szCs w:val="18"/>
              </w:rPr>
            </w:pPr>
            <w:r w:rsidRPr="001D41EA">
              <w:rPr>
                <w:rFonts w:cs="Arial"/>
                <w:sz w:val="18"/>
                <w:szCs w:val="18"/>
              </w:rPr>
              <w:t>1,085,382</w:t>
            </w:r>
          </w:p>
        </w:tc>
        <w:tc>
          <w:tcPr>
            <w:tcW w:w="1134" w:type="dxa"/>
            <w:tcBorders>
              <w:top w:val="nil"/>
              <w:left w:val="nil"/>
              <w:bottom w:val="nil"/>
              <w:right w:val="nil"/>
            </w:tcBorders>
            <w:shd w:val="clear" w:color="auto" w:fill="auto"/>
            <w:vAlign w:val="bottom"/>
          </w:tcPr>
          <w:p w14:paraId="77148C83" w14:textId="6CC827D2" w:rsidR="00F04730" w:rsidRPr="001D41EA" w:rsidRDefault="00F04730" w:rsidP="001D41EA">
            <w:pPr>
              <w:spacing w:before="40" w:after="40"/>
              <w:jc w:val="right"/>
              <w:rPr>
                <w:rFonts w:cs="Arial"/>
                <w:sz w:val="18"/>
                <w:szCs w:val="18"/>
              </w:rPr>
            </w:pPr>
            <w:r w:rsidRPr="001D41EA">
              <w:rPr>
                <w:rFonts w:cs="Arial"/>
                <w:sz w:val="18"/>
                <w:szCs w:val="18"/>
              </w:rPr>
              <w:t>1,802.96</w:t>
            </w:r>
          </w:p>
        </w:tc>
      </w:tr>
      <w:tr w:rsidR="00F04730" w:rsidRPr="001D41EA" w14:paraId="1B35009E"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C164A51" w14:textId="1F47D82B"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Knox C </w:t>
            </w:r>
          </w:p>
        </w:tc>
        <w:tc>
          <w:tcPr>
            <w:tcW w:w="1134" w:type="dxa"/>
            <w:tcBorders>
              <w:top w:val="nil"/>
              <w:left w:val="single" w:sz="18" w:space="0" w:color="5F497A" w:themeColor="accent4" w:themeShade="BF"/>
              <w:bottom w:val="nil"/>
              <w:right w:val="nil"/>
            </w:tcBorders>
            <w:shd w:val="clear" w:color="auto" w:fill="auto"/>
            <w:vAlign w:val="bottom"/>
          </w:tcPr>
          <w:p w14:paraId="2E2DF12D" w14:textId="55AC8C30" w:rsidR="00F04730" w:rsidRPr="001D41EA" w:rsidRDefault="00F04730" w:rsidP="001D41EA">
            <w:pPr>
              <w:spacing w:before="40" w:after="40"/>
              <w:jc w:val="right"/>
              <w:rPr>
                <w:rFonts w:cs="Arial"/>
                <w:sz w:val="18"/>
                <w:szCs w:val="18"/>
              </w:rPr>
            </w:pPr>
            <w:r w:rsidRPr="001D41EA">
              <w:rPr>
                <w:rFonts w:cs="Arial"/>
                <w:sz w:val="18"/>
                <w:szCs w:val="18"/>
              </w:rPr>
              <w:t>163,203</w:t>
            </w:r>
          </w:p>
        </w:tc>
        <w:tc>
          <w:tcPr>
            <w:tcW w:w="1134" w:type="dxa"/>
            <w:tcBorders>
              <w:top w:val="nil"/>
              <w:left w:val="nil"/>
              <w:bottom w:val="nil"/>
              <w:right w:val="nil"/>
            </w:tcBorders>
            <w:shd w:val="clear" w:color="auto" w:fill="auto"/>
            <w:vAlign w:val="bottom"/>
          </w:tcPr>
          <w:p w14:paraId="338A069E" w14:textId="578AF2AA" w:rsidR="00F04730" w:rsidRPr="001D41EA" w:rsidRDefault="00F04730" w:rsidP="001D41EA">
            <w:pPr>
              <w:spacing w:before="40" w:after="40"/>
              <w:jc w:val="right"/>
              <w:rPr>
                <w:rFonts w:cs="Arial"/>
                <w:sz w:val="18"/>
                <w:szCs w:val="18"/>
              </w:rPr>
            </w:pPr>
            <w:r w:rsidRPr="001D41EA">
              <w:rPr>
                <w:rFonts w:cs="Arial"/>
                <w:sz w:val="18"/>
                <w:szCs w:val="18"/>
              </w:rPr>
              <w:t>6,393,843</w:t>
            </w:r>
          </w:p>
        </w:tc>
        <w:tc>
          <w:tcPr>
            <w:tcW w:w="1134" w:type="dxa"/>
            <w:tcBorders>
              <w:top w:val="nil"/>
              <w:left w:val="nil"/>
              <w:bottom w:val="nil"/>
              <w:right w:val="nil"/>
            </w:tcBorders>
            <w:shd w:val="clear" w:color="auto" w:fill="auto"/>
            <w:vAlign w:val="bottom"/>
          </w:tcPr>
          <w:p w14:paraId="512CA8E0" w14:textId="088C4CD0" w:rsidR="00F04730" w:rsidRPr="001D41EA" w:rsidRDefault="00F04730" w:rsidP="001D41EA">
            <w:pPr>
              <w:spacing w:before="40" w:after="40"/>
              <w:jc w:val="right"/>
              <w:rPr>
                <w:rFonts w:cs="Arial"/>
                <w:sz w:val="18"/>
                <w:szCs w:val="18"/>
              </w:rPr>
            </w:pPr>
            <w:r w:rsidRPr="001D41EA">
              <w:rPr>
                <w:rFonts w:cs="Arial"/>
                <w:sz w:val="18"/>
                <w:szCs w:val="18"/>
              </w:rPr>
              <w:t>39.18</w:t>
            </w:r>
          </w:p>
        </w:tc>
        <w:tc>
          <w:tcPr>
            <w:tcW w:w="1134" w:type="dxa"/>
            <w:tcBorders>
              <w:top w:val="nil"/>
              <w:left w:val="nil"/>
              <w:bottom w:val="nil"/>
              <w:right w:val="nil"/>
            </w:tcBorders>
            <w:shd w:val="clear" w:color="auto" w:fill="auto"/>
            <w:vAlign w:val="bottom"/>
          </w:tcPr>
          <w:p w14:paraId="39576C2C" w14:textId="096B6E01" w:rsidR="00F04730" w:rsidRPr="001D41EA" w:rsidRDefault="00F04730" w:rsidP="001D41EA">
            <w:pPr>
              <w:spacing w:before="40" w:after="40"/>
              <w:jc w:val="right"/>
              <w:rPr>
                <w:rFonts w:cs="Arial"/>
                <w:sz w:val="18"/>
                <w:szCs w:val="18"/>
              </w:rPr>
            </w:pPr>
            <w:r w:rsidRPr="001D41EA">
              <w:rPr>
                <w:rFonts w:cs="Arial"/>
                <w:sz w:val="18"/>
                <w:szCs w:val="18"/>
              </w:rPr>
              <w:t>724</w:t>
            </w:r>
          </w:p>
        </w:tc>
        <w:tc>
          <w:tcPr>
            <w:tcW w:w="1134" w:type="dxa"/>
            <w:tcBorders>
              <w:top w:val="nil"/>
              <w:left w:val="nil"/>
              <w:bottom w:val="nil"/>
              <w:right w:val="nil"/>
            </w:tcBorders>
            <w:shd w:val="clear" w:color="auto" w:fill="auto"/>
            <w:vAlign w:val="bottom"/>
          </w:tcPr>
          <w:p w14:paraId="69DDA2CF" w14:textId="7967D6CE" w:rsidR="00F04730" w:rsidRPr="001D41EA" w:rsidRDefault="00F04730" w:rsidP="001D41EA">
            <w:pPr>
              <w:spacing w:before="40" w:after="40"/>
              <w:jc w:val="right"/>
              <w:rPr>
                <w:rFonts w:cs="Arial"/>
                <w:sz w:val="18"/>
                <w:szCs w:val="18"/>
              </w:rPr>
            </w:pPr>
            <w:r w:rsidRPr="001D41EA">
              <w:rPr>
                <w:rFonts w:cs="Arial"/>
                <w:sz w:val="18"/>
                <w:szCs w:val="18"/>
              </w:rPr>
              <w:t>1,154,505</w:t>
            </w:r>
          </w:p>
        </w:tc>
        <w:tc>
          <w:tcPr>
            <w:tcW w:w="1134" w:type="dxa"/>
            <w:tcBorders>
              <w:top w:val="nil"/>
              <w:left w:val="nil"/>
              <w:bottom w:val="nil"/>
              <w:right w:val="nil"/>
            </w:tcBorders>
            <w:shd w:val="clear" w:color="auto" w:fill="auto"/>
            <w:vAlign w:val="bottom"/>
          </w:tcPr>
          <w:p w14:paraId="76BBBC55" w14:textId="1FA890C1" w:rsidR="00F04730" w:rsidRPr="001D41EA" w:rsidRDefault="00F04730" w:rsidP="001D41EA">
            <w:pPr>
              <w:spacing w:before="40" w:after="40"/>
              <w:jc w:val="right"/>
              <w:rPr>
                <w:rFonts w:cs="Arial"/>
                <w:sz w:val="18"/>
                <w:szCs w:val="18"/>
              </w:rPr>
            </w:pPr>
            <w:r w:rsidRPr="001D41EA">
              <w:rPr>
                <w:rFonts w:cs="Arial"/>
                <w:sz w:val="18"/>
                <w:szCs w:val="18"/>
              </w:rPr>
              <w:t>1,594.62</w:t>
            </w:r>
          </w:p>
        </w:tc>
      </w:tr>
      <w:tr w:rsidR="00F04730" w:rsidRPr="001D41EA" w14:paraId="40C08737"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5B656B10" w14:textId="7264E39A"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Latrobe C </w:t>
            </w:r>
          </w:p>
        </w:tc>
        <w:tc>
          <w:tcPr>
            <w:tcW w:w="1134" w:type="dxa"/>
            <w:tcBorders>
              <w:top w:val="nil"/>
              <w:left w:val="single" w:sz="18" w:space="0" w:color="5F497A" w:themeColor="accent4" w:themeShade="BF"/>
              <w:bottom w:val="nil"/>
              <w:right w:val="nil"/>
            </w:tcBorders>
            <w:shd w:val="clear" w:color="auto" w:fill="auto"/>
            <w:vAlign w:val="bottom"/>
          </w:tcPr>
          <w:p w14:paraId="5CC93175" w14:textId="20C5EF97" w:rsidR="00F04730" w:rsidRPr="001D41EA" w:rsidRDefault="00F04730" w:rsidP="001D41EA">
            <w:pPr>
              <w:spacing w:before="40" w:after="40"/>
              <w:jc w:val="right"/>
              <w:rPr>
                <w:rFonts w:cs="Arial"/>
                <w:sz w:val="18"/>
                <w:szCs w:val="18"/>
              </w:rPr>
            </w:pPr>
            <w:r w:rsidRPr="001D41EA">
              <w:rPr>
                <w:rFonts w:cs="Arial"/>
                <w:sz w:val="18"/>
                <w:szCs w:val="18"/>
              </w:rPr>
              <w:t>75,211</w:t>
            </w:r>
          </w:p>
        </w:tc>
        <w:tc>
          <w:tcPr>
            <w:tcW w:w="1134" w:type="dxa"/>
            <w:tcBorders>
              <w:top w:val="nil"/>
              <w:left w:val="nil"/>
              <w:bottom w:val="nil"/>
              <w:right w:val="nil"/>
            </w:tcBorders>
            <w:shd w:val="clear" w:color="auto" w:fill="auto"/>
            <w:vAlign w:val="bottom"/>
          </w:tcPr>
          <w:p w14:paraId="2D7B3DE1" w14:textId="64854587" w:rsidR="00F04730" w:rsidRPr="001D41EA" w:rsidRDefault="00F04730" w:rsidP="001D41EA">
            <w:pPr>
              <w:spacing w:before="40" w:after="40"/>
              <w:jc w:val="right"/>
              <w:rPr>
                <w:rFonts w:cs="Arial"/>
                <w:sz w:val="18"/>
                <w:szCs w:val="18"/>
              </w:rPr>
            </w:pPr>
            <w:r w:rsidRPr="001D41EA">
              <w:rPr>
                <w:rFonts w:cs="Arial"/>
                <w:sz w:val="18"/>
                <w:szCs w:val="18"/>
              </w:rPr>
              <w:t>9,702,056</w:t>
            </w:r>
          </w:p>
        </w:tc>
        <w:tc>
          <w:tcPr>
            <w:tcW w:w="1134" w:type="dxa"/>
            <w:tcBorders>
              <w:top w:val="nil"/>
              <w:left w:val="nil"/>
              <w:bottom w:val="nil"/>
              <w:right w:val="nil"/>
            </w:tcBorders>
            <w:shd w:val="clear" w:color="auto" w:fill="auto"/>
            <w:vAlign w:val="bottom"/>
          </w:tcPr>
          <w:p w14:paraId="6C01BB8D" w14:textId="67C9256E" w:rsidR="00F04730" w:rsidRPr="001D41EA" w:rsidRDefault="00F04730" w:rsidP="001D41EA">
            <w:pPr>
              <w:spacing w:before="40" w:after="40"/>
              <w:jc w:val="right"/>
              <w:rPr>
                <w:rFonts w:cs="Arial"/>
                <w:sz w:val="18"/>
                <w:szCs w:val="18"/>
              </w:rPr>
            </w:pPr>
            <w:r w:rsidRPr="001D41EA">
              <w:rPr>
                <w:rFonts w:cs="Arial"/>
                <w:sz w:val="18"/>
                <w:szCs w:val="18"/>
              </w:rPr>
              <w:t>129.00</w:t>
            </w:r>
          </w:p>
        </w:tc>
        <w:tc>
          <w:tcPr>
            <w:tcW w:w="1134" w:type="dxa"/>
            <w:tcBorders>
              <w:top w:val="nil"/>
              <w:left w:val="nil"/>
              <w:bottom w:val="nil"/>
              <w:right w:val="nil"/>
            </w:tcBorders>
            <w:shd w:val="clear" w:color="auto" w:fill="auto"/>
            <w:vAlign w:val="bottom"/>
          </w:tcPr>
          <w:p w14:paraId="1984EFC2" w14:textId="2AADE18D" w:rsidR="00F04730" w:rsidRPr="001D41EA" w:rsidRDefault="00F04730" w:rsidP="001D41EA">
            <w:pPr>
              <w:spacing w:before="40" w:after="40"/>
              <w:jc w:val="right"/>
              <w:rPr>
                <w:rFonts w:cs="Arial"/>
                <w:sz w:val="18"/>
                <w:szCs w:val="18"/>
              </w:rPr>
            </w:pPr>
            <w:r w:rsidRPr="001D41EA">
              <w:rPr>
                <w:rFonts w:cs="Arial"/>
                <w:sz w:val="18"/>
                <w:szCs w:val="18"/>
              </w:rPr>
              <w:t>1,588</w:t>
            </w:r>
          </w:p>
        </w:tc>
        <w:tc>
          <w:tcPr>
            <w:tcW w:w="1134" w:type="dxa"/>
            <w:tcBorders>
              <w:top w:val="nil"/>
              <w:left w:val="nil"/>
              <w:bottom w:val="nil"/>
              <w:right w:val="nil"/>
            </w:tcBorders>
            <w:shd w:val="clear" w:color="auto" w:fill="auto"/>
            <w:vAlign w:val="bottom"/>
          </w:tcPr>
          <w:p w14:paraId="1BEEAFBC" w14:textId="6BB2A9F9" w:rsidR="00F04730" w:rsidRPr="001D41EA" w:rsidRDefault="00F04730" w:rsidP="001D41EA">
            <w:pPr>
              <w:spacing w:before="40" w:after="40"/>
              <w:jc w:val="right"/>
              <w:rPr>
                <w:rFonts w:cs="Arial"/>
                <w:sz w:val="18"/>
                <w:szCs w:val="18"/>
              </w:rPr>
            </w:pPr>
            <w:r w:rsidRPr="001D41EA">
              <w:rPr>
                <w:rFonts w:cs="Arial"/>
                <w:sz w:val="18"/>
                <w:szCs w:val="18"/>
              </w:rPr>
              <w:t>2,681,484</w:t>
            </w:r>
          </w:p>
        </w:tc>
        <w:tc>
          <w:tcPr>
            <w:tcW w:w="1134" w:type="dxa"/>
            <w:tcBorders>
              <w:top w:val="nil"/>
              <w:left w:val="nil"/>
              <w:bottom w:val="nil"/>
              <w:right w:val="nil"/>
            </w:tcBorders>
            <w:shd w:val="clear" w:color="auto" w:fill="auto"/>
            <w:vAlign w:val="bottom"/>
          </w:tcPr>
          <w:p w14:paraId="2ED87300" w14:textId="402FA7CC" w:rsidR="00F04730" w:rsidRPr="001D41EA" w:rsidRDefault="00F04730" w:rsidP="001D41EA">
            <w:pPr>
              <w:spacing w:before="40" w:after="40"/>
              <w:jc w:val="right"/>
              <w:rPr>
                <w:rFonts w:cs="Arial"/>
                <w:sz w:val="18"/>
                <w:szCs w:val="18"/>
              </w:rPr>
            </w:pPr>
            <w:r w:rsidRPr="001D41EA">
              <w:rPr>
                <w:rFonts w:cs="Arial"/>
                <w:sz w:val="18"/>
                <w:szCs w:val="18"/>
              </w:rPr>
              <w:t>1,688.67</w:t>
            </w:r>
          </w:p>
        </w:tc>
      </w:tr>
      <w:tr w:rsidR="00F04730" w:rsidRPr="001D41EA" w14:paraId="168C34BB"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35101602" w14:textId="083EB9DD" w:rsidR="00F04730" w:rsidRPr="001D41EA" w:rsidRDefault="00F04730" w:rsidP="001D41EA">
            <w:pPr>
              <w:tabs>
                <w:tab w:val="right" w:pos="2037"/>
              </w:tabs>
              <w:spacing w:before="40" w:after="40"/>
              <w:rPr>
                <w:rFonts w:cs="Arial"/>
                <w:sz w:val="18"/>
                <w:szCs w:val="18"/>
              </w:rPr>
            </w:pPr>
            <w:r w:rsidRPr="001D41EA">
              <w:rPr>
                <w:rFonts w:cs="Arial"/>
                <w:sz w:val="18"/>
                <w:szCs w:val="18"/>
              </w:rPr>
              <w:t xml:space="preserve">Loddon S </w:t>
            </w:r>
          </w:p>
        </w:tc>
        <w:tc>
          <w:tcPr>
            <w:tcW w:w="1134" w:type="dxa"/>
            <w:tcBorders>
              <w:top w:val="nil"/>
              <w:left w:val="single" w:sz="18" w:space="0" w:color="5F497A" w:themeColor="accent4" w:themeShade="BF"/>
              <w:bottom w:val="nil"/>
              <w:right w:val="nil"/>
            </w:tcBorders>
            <w:shd w:val="clear" w:color="auto" w:fill="auto"/>
            <w:vAlign w:val="bottom"/>
          </w:tcPr>
          <w:p w14:paraId="45291A13" w14:textId="7F451E23" w:rsidR="00F04730" w:rsidRPr="001D41EA" w:rsidRDefault="00F04730" w:rsidP="001D41EA">
            <w:pPr>
              <w:spacing w:before="40" w:after="40"/>
              <w:jc w:val="right"/>
              <w:rPr>
                <w:rFonts w:cs="Arial"/>
                <w:sz w:val="18"/>
                <w:szCs w:val="18"/>
              </w:rPr>
            </w:pPr>
            <w:r w:rsidRPr="001D41EA">
              <w:rPr>
                <w:rFonts w:cs="Arial"/>
                <w:sz w:val="18"/>
                <w:szCs w:val="18"/>
              </w:rPr>
              <w:t>7,513</w:t>
            </w:r>
          </w:p>
        </w:tc>
        <w:tc>
          <w:tcPr>
            <w:tcW w:w="1134" w:type="dxa"/>
            <w:tcBorders>
              <w:top w:val="nil"/>
              <w:left w:val="nil"/>
              <w:bottom w:val="nil"/>
              <w:right w:val="nil"/>
            </w:tcBorders>
            <w:shd w:val="clear" w:color="auto" w:fill="auto"/>
            <w:vAlign w:val="bottom"/>
          </w:tcPr>
          <w:p w14:paraId="54DA3274" w14:textId="19A22D89" w:rsidR="00F04730" w:rsidRPr="001D41EA" w:rsidRDefault="00F04730" w:rsidP="001D41EA">
            <w:pPr>
              <w:spacing w:before="40" w:after="40"/>
              <w:jc w:val="right"/>
              <w:rPr>
                <w:rFonts w:cs="Arial"/>
                <w:sz w:val="18"/>
                <w:szCs w:val="18"/>
              </w:rPr>
            </w:pPr>
            <w:r w:rsidRPr="001D41EA">
              <w:rPr>
                <w:rFonts w:cs="Arial"/>
                <w:sz w:val="18"/>
                <w:szCs w:val="18"/>
              </w:rPr>
              <w:t>5,423,531</w:t>
            </w:r>
          </w:p>
        </w:tc>
        <w:tc>
          <w:tcPr>
            <w:tcW w:w="1134" w:type="dxa"/>
            <w:tcBorders>
              <w:top w:val="nil"/>
              <w:left w:val="nil"/>
              <w:bottom w:val="nil"/>
              <w:right w:val="nil"/>
            </w:tcBorders>
            <w:shd w:val="clear" w:color="auto" w:fill="auto"/>
            <w:vAlign w:val="bottom"/>
          </w:tcPr>
          <w:p w14:paraId="51CE6707" w14:textId="7DB9AE51" w:rsidR="00F04730" w:rsidRPr="001D41EA" w:rsidRDefault="00F04730" w:rsidP="001D41EA">
            <w:pPr>
              <w:spacing w:before="40" w:after="40"/>
              <w:jc w:val="right"/>
              <w:rPr>
                <w:rFonts w:cs="Arial"/>
                <w:sz w:val="18"/>
                <w:szCs w:val="18"/>
              </w:rPr>
            </w:pPr>
            <w:r w:rsidRPr="001D41EA">
              <w:rPr>
                <w:rFonts w:cs="Arial"/>
                <w:sz w:val="18"/>
                <w:szCs w:val="18"/>
              </w:rPr>
              <w:t>721.89</w:t>
            </w:r>
          </w:p>
        </w:tc>
        <w:tc>
          <w:tcPr>
            <w:tcW w:w="1134" w:type="dxa"/>
            <w:tcBorders>
              <w:top w:val="nil"/>
              <w:left w:val="nil"/>
              <w:bottom w:val="nil"/>
              <w:right w:val="nil"/>
            </w:tcBorders>
            <w:shd w:val="clear" w:color="auto" w:fill="auto"/>
            <w:vAlign w:val="bottom"/>
          </w:tcPr>
          <w:p w14:paraId="76535E0B" w14:textId="5761598D" w:rsidR="00F04730" w:rsidRPr="001D41EA" w:rsidRDefault="00F04730" w:rsidP="001D41EA">
            <w:pPr>
              <w:spacing w:before="40" w:after="40"/>
              <w:jc w:val="right"/>
              <w:rPr>
                <w:rFonts w:cs="Arial"/>
                <w:sz w:val="18"/>
                <w:szCs w:val="18"/>
              </w:rPr>
            </w:pPr>
            <w:r w:rsidRPr="001D41EA">
              <w:rPr>
                <w:rFonts w:cs="Arial"/>
                <w:sz w:val="18"/>
                <w:szCs w:val="18"/>
              </w:rPr>
              <w:t>4,718</w:t>
            </w:r>
          </w:p>
        </w:tc>
        <w:tc>
          <w:tcPr>
            <w:tcW w:w="1134" w:type="dxa"/>
            <w:tcBorders>
              <w:top w:val="nil"/>
              <w:left w:val="nil"/>
              <w:bottom w:val="nil"/>
              <w:right w:val="nil"/>
            </w:tcBorders>
            <w:shd w:val="clear" w:color="auto" w:fill="auto"/>
            <w:vAlign w:val="bottom"/>
          </w:tcPr>
          <w:p w14:paraId="774BB86A" w14:textId="4CB56770" w:rsidR="00F04730" w:rsidRPr="001D41EA" w:rsidRDefault="00F04730" w:rsidP="001D41EA">
            <w:pPr>
              <w:spacing w:before="40" w:after="40"/>
              <w:jc w:val="right"/>
              <w:rPr>
                <w:rFonts w:cs="Arial"/>
                <w:sz w:val="18"/>
                <w:szCs w:val="18"/>
              </w:rPr>
            </w:pPr>
            <w:r w:rsidRPr="001D41EA">
              <w:rPr>
                <w:rFonts w:cs="Arial"/>
                <w:sz w:val="18"/>
                <w:szCs w:val="18"/>
              </w:rPr>
              <w:t>3,759,315</w:t>
            </w:r>
          </w:p>
        </w:tc>
        <w:tc>
          <w:tcPr>
            <w:tcW w:w="1134" w:type="dxa"/>
            <w:tcBorders>
              <w:top w:val="nil"/>
              <w:left w:val="nil"/>
              <w:bottom w:val="nil"/>
              <w:right w:val="nil"/>
            </w:tcBorders>
            <w:shd w:val="clear" w:color="auto" w:fill="auto"/>
            <w:vAlign w:val="bottom"/>
          </w:tcPr>
          <w:p w14:paraId="2EEEB46B" w14:textId="664E1F22" w:rsidR="00F04730" w:rsidRPr="001D41EA" w:rsidRDefault="00F04730" w:rsidP="001D41EA">
            <w:pPr>
              <w:spacing w:before="40" w:after="40"/>
              <w:jc w:val="right"/>
              <w:rPr>
                <w:rFonts w:cs="Arial"/>
                <w:sz w:val="18"/>
                <w:szCs w:val="18"/>
              </w:rPr>
            </w:pPr>
            <w:r w:rsidRPr="001D41EA">
              <w:rPr>
                <w:rFonts w:cs="Arial"/>
                <w:sz w:val="18"/>
                <w:szCs w:val="18"/>
              </w:rPr>
              <w:t>796.80</w:t>
            </w:r>
          </w:p>
        </w:tc>
      </w:tr>
    </w:tbl>
    <w:p w14:paraId="1BCFA4D4" w14:textId="77777777" w:rsidR="00096A72" w:rsidRPr="00A44829" w:rsidRDefault="00096A72" w:rsidP="00FF36E8">
      <w:pPr>
        <w:spacing w:before="40" w:after="20"/>
        <w:rPr>
          <w:rFonts w:cs="Arial"/>
          <w:sz w:val="18"/>
          <w:szCs w:val="18"/>
        </w:rPr>
      </w:pPr>
    </w:p>
    <w:p w14:paraId="07F32A04" w14:textId="77777777" w:rsidR="001B22BA" w:rsidRPr="00A44829" w:rsidRDefault="001B22BA" w:rsidP="00FF36E8">
      <w:pPr>
        <w:spacing w:before="40" w:after="20"/>
        <w:rPr>
          <w:rFonts w:cs="Arial"/>
          <w:sz w:val="18"/>
          <w:szCs w:val="18"/>
        </w:rPr>
      </w:pPr>
    </w:p>
    <w:p w14:paraId="169F9C7E" w14:textId="77777777" w:rsidR="00342DB4" w:rsidRPr="00A44829" w:rsidRDefault="00675E14" w:rsidP="00FF36E8">
      <w:pPr>
        <w:spacing w:before="40" w:after="20"/>
        <w:rPr>
          <w:rFonts w:cs="Arial"/>
          <w:sz w:val="18"/>
          <w:szCs w:val="18"/>
        </w:rPr>
      </w:pPr>
      <w:r w:rsidRPr="00A44829">
        <w:rPr>
          <w:rFonts w:cs="Arial"/>
          <w:i/>
          <w:sz w:val="16"/>
          <w:szCs w:val="16"/>
        </w:rPr>
        <w:t>* Includes natural disaster grants.</w:t>
      </w:r>
      <w:r w:rsidR="00342DB4" w:rsidRPr="00A44829">
        <w:rPr>
          <w:rFonts w:cs="Arial"/>
          <w:sz w:val="18"/>
          <w:szCs w:val="18"/>
        </w:rPr>
        <w:br w:type="page"/>
      </w:r>
    </w:p>
    <w:p w14:paraId="04435ABB" w14:textId="3B710E96" w:rsidR="00342DB4" w:rsidRPr="00A44829" w:rsidRDefault="00EE4593" w:rsidP="00C33713">
      <w:pPr>
        <w:pStyle w:val="VGC-Head10"/>
      </w:pPr>
      <w:r w:rsidRPr="00A44829">
        <w:lastRenderedPageBreak/>
        <w:t>2019-20</w:t>
      </w:r>
      <w:r w:rsidR="00A97ABE" w:rsidRPr="00A44829">
        <w:t xml:space="preserve"> </w:t>
      </w:r>
      <w:r w:rsidR="00342DB4" w:rsidRPr="00A44829">
        <w:t>Comparative Grant Outcomes</w:t>
      </w:r>
      <w:r w:rsidR="00CE4507" w:rsidRPr="00A44829">
        <w:tab/>
        <w:t>Appendix 3</w:t>
      </w:r>
    </w:p>
    <w:p w14:paraId="26FC59F4" w14:textId="77777777" w:rsidR="00342DB4" w:rsidRPr="00A44829" w:rsidRDefault="004F1184" w:rsidP="008C1A28">
      <w:pPr>
        <w:pStyle w:val="VGC-Head2"/>
      </w:pPr>
      <w:r w:rsidRPr="00A44829">
        <w:tab/>
      </w:r>
    </w:p>
    <w:p w14:paraId="3A13AAF3" w14:textId="77777777" w:rsidR="004D3D01" w:rsidRPr="00A44829" w:rsidRDefault="004D3D01"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A44829" w14:paraId="2608E0CF" w14:textId="77777777" w:rsidTr="00C60457">
        <w:trPr>
          <w:trHeight w:val="20"/>
          <w:tblHeader/>
        </w:trPr>
        <w:tc>
          <w:tcPr>
            <w:tcW w:w="2268" w:type="dxa"/>
            <w:tcBorders>
              <w:top w:val="nil"/>
              <w:left w:val="nil"/>
              <w:right w:val="single" w:sz="18" w:space="0" w:color="5F497A" w:themeColor="accent4" w:themeShade="BF"/>
            </w:tcBorders>
            <w:shd w:val="clear" w:color="auto" w:fill="auto"/>
            <w:vAlign w:val="bottom"/>
          </w:tcPr>
          <w:p w14:paraId="1F9206CB" w14:textId="77777777" w:rsidR="003269FD" w:rsidRPr="00A44829" w:rsidRDefault="003269FD" w:rsidP="008001AD">
            <w:pPr>
              <w:spacing w:before="40" w:after="20"/>
              <w:jc w:val="center"/>
              <w:rPr>
                <w:rFonts w:cs="Arial"/>
                <w:sz w:val="18"/>
                <w:szCs w:val="18"/>
              </w:rPr>
            </w:pPr>
          </w:p>
        </w:tc>
        <w:tc>
          <w:tcPr>
            <w:tcW w:w="1134" w:type="dxa"/>
            <w:vMerge w:val="restart"/>
            <w:tcBorders>
              <w:top w:val="nil"/>
              <w:left w:val="single" w:sz="18" w:space="0" w:color="5F497A" w:themeColor="accent4" w:themeShade="BF"/>
              <w:bottom w:val="single" w:sz="8" w:space="0" w:color="5F497A" w:themeColor="accent4" w:themeShade="BF"/>
              <w:right w:val="nil"/>
            </w:tcBorders>
            <w:shd w:val="clear" w:color="auto" w:fill="auto"/>
            <w:vAlign w:val="bottom"/>
          </w:tcPr>
          <w:p w14:paraId="401B5D68" w14:textId="3A110F9E" w:rsidR="003269FD" w:rsidRPr="00A44829" w:rsidRDefault="003269FD" w:rsidP="008001AD">
            <w:pPr>
              <w:spacing w:before="40" w:after="20"/>
              <w:jc w:val="center"/>
              <w:rPr>
                <w:rFonts w:cs="Arial"/>
                <w:b/>
                <w:sz w:val="18"/>
                <w:szCs w:val="18"/>
              </w:rPr>
            </w:pPr>
            <w:r w:rsidRPr="00A44829">
              <w:rPr>
                <w:rFonts w:cs="Arial"/>
                <w:b/>
                <w:sz w:val="18"/>
                <w:szCs w:val="18"/>
              </w:rPr>
              <w:t xml:space="preserve">Estimated Resident Population </w:t>
            </w:r>
            <w:r w:rsidR="00B7548E" w:rsidRPr="00A44829">
              <w:rPr>
                <w:rFonts w:cs="Arial"/>
                <w:sz w:val="16"/>
                <w:szCs w:val="16"/>
              </w:rPr>
              <w:t>(</w:t>
            </w:r>
            <w:r w:rsidR="00EE4593" w:rsidRPr="00A44829">
              <w:rPr>
                <w:rFonts w:cs="Arial"/>
                <w:sz w:val="16"/>
                <w:szCs w:val="16"/>
              </w:rPr>
              <w:t>June 2018</w:t>
            </w:r>
            <w:r w:rsidR="00B7548E" w:rsidRPr="00A44829">
              <w:rPr>
                <w:rFonts w:cs="Arial"/>
                <w:sz w:val="16"/>
                <w:szCs w:val="16"/>
              </w:rPr>
              <w:t>)</w:t>
            </w:r>
          </w:p>
        </w:tc>
        <w:tc>
          <w:tcPr>
            <w:tcW w:w="2268" w:type="dxa"/>
            <w:gridSpan w:val="2"/>
            <w:tcBorders>
              <w:top w:val="nil"/>
              <w:left w:val="nil"/>
              <w:bottom w:val="single" w:sz="8" w:space="0" w:color="5F497A" w:themeColor="accent4" w:themeShade="BF"/>
              <w:right w:val="nil"/>
            </w:tcBorders>
            <w:shd w:val="clear" w:color="auto" w:fill="auto"/>
            <w:vAlign w:val="bottom"/>
          </w:tcPr>
          <w:p w14:paraId="74DB3971" w14:textId="6763A7A9" w:rsidR="003269FD" w:rsidRPr="00A44829" w:rsidRDefault="003269FD" w:rsidP="008001AD">
            <w:pPr>
              <w:spacing w:before="40" w:after="20"/>
              <w:jc w:val="center"/>
              <w:rPr>
                <w:rFonts w:cs="Arial"/>
                <w:b/>
                <w:sz w:val="18"/>
                <w:szCs w:val="18"/>
              </w:rPr>
            </w:pPr>
            <w:r w:rsidRPr="00A44829">
              <w:rPr>
                <w:rFonts w:cs="Arial"/>
                <w:b/>
                <w:sz w:val="18"/>
                <w:szCs w:val="18"/>
              </w:rPr>
              <w:t xml:space="preserve">General Purpose Grants </w:t>
            </w:r>
            <w:r w:rsidR="00EE4593" w:rsidRPr="00A44829">
              <w:rPr>
                <w:rFonts w:cs="Arial"/>
                <w:b/>
                <w:sz w:val="18"/>
                <w:szCs w:val="18"/>
              </w:rPr>
              <w:t>2019-20</w:t>
            </w:r>
          </w:p>
        </w:tc>
        <w:tc>
          <w:tcPr>
            <w:tcW w:w="1134" w:type="dxa"/>
            <w:vMerge w:val="restart"/>
            <w:tcBorders>
              <w:top w:val="nil"/>
              <w:left w:val="nil"/>
              <w:bottom w:val="single" w:sz="8" w:space="0" w:color="5F497A" w:themeColor="accent4" w:themeShade="BF"/>
              <w:right w:val="nil"/>
            </w:tcBorders>
            <w:shd w:val="clear" w:color="auto" w:fill="auto"/>
            <w:vAlign w:val="bottom"/>
          </w:tcPr>
          <w:p w14:paraId="19379C04" w14:textId="41A6814F" w:rsidR="003269FD" w:rsidRPr="00A44829" w:rsidRDefault="003269FD" w:rsidP="008001AD">
            <w:pPr>
              <w:spacing w:before="40" w:after="20"/>
              <w:jc w:val="center"/>
              <w:rPr>
                <w:rFonts w:cs="Arial"/>
                <w:b/>
                <w:sz w:val="18"/>
                <w:szCs w:val="18"/>
              </w:rPr>
            </w:pPr>
            <w:r w:rsidRPr="00A44829">
              <w:rPr>
                <w:rFonts w:cs="Arial"/>
                <w:b/>
                <w:sz w:val="18"/>
                <w:szCs w:val="18"/>
              </w:rPr>
              <w:t xml:space="preserve">Local Road Lengths </w:t>
            </w:r>
            <w:r w:rsidR="004F2BFF" w:rsidRPr="00A44829">
              <w:rPr>
                <w:rFonts w:cs="Arial"/>
                <w:sz w:val="16"/>
                <w:szCs w:val="16"/>
              </w:rPr>
              <w:t>(</w:t>
            </w:r>
            <w:r w:rsidR="00EE4593" w:rsidRPr="00A44829">
              <w:rPr>
                <w:rFonts w:cs="Arial"/>
                <w:sz w:val="16"/>
                <w:szCs w:val="16"/>
              </w:rPr>
              <w:t>June 2018</w:t>
            </w:r>
            <w:r w:rsidR="004F2BFF" w:rsidRPr="00A44829">
              <w:rPr>
                <w:rFonts w:cs="Arial"/>
                <w:sz w:val="16"/>
                <w:szCs w:val="16"/>
              </w:rPr>
              <w:t>)</w:t>
            </w:r>
            <w:r w:rsidRPr="00A44829">
              <w:rPr>
                <w:rFonts w:cs="Arial"/>
                <w:sz w:val="16"/>
                <w:szCs w:val="16"/>
              </w:rPr>
              <w:br/>
              <w:t>(kms)</w:t>
            </w:r>
          </w:p>
        </w:tc>
        <w:tc>
          <w:tcPr>
            <w:tcW w:w="2268" w:type="dxa"/>
            <w:gridSpan w:val="2"/>
            <w:tcBorders>
              <w:top w:val="nil"/>
              <w:left w:val="nil"/>
              <w:bottom w:val="single" w:sz="8" w:space="0" w:color="5F497A" w:themeColor="accent4" w:themeShade="BF"/>
              <w:right w:val="nil"/>
            </w:tcBorders>
            <w:shd w:val="clear" w:color="auto" w:fill="auto"/>
            <w:vAlign w:val="bottom"/>
          </w:tcPr>
          <w:p w14:paraId="0568F197" w14:textId="00C2C712" w:rsidR="003269FD" w:rsidRPr="00A44829" w:rsidRDefault="003269FD" w:rsidP="008001AD">
            <w:pPr>
              <w:spacing w:before="40" w:after="20"/>
              <w:jc w:val="center"/>
              <w:rPr>
                <w:rFonts w:cs="Arial"/>
                <w:b/>
                <w:sz w:val="18"/>
                <w:szCs w:val="18"/>
              </w:rPr>
            </w:pPr>
            <w:r w:rsidRPr="00A44829">
              <w:rPr>
                <w:rFonts w:cs="Arial"/>
                <w:b/>
                <w:sz w:val="18"/>
                <w:szCs w:val="18"/>
              </w:rPr>
              <w:t xml:space="preserve">Local Roads Grants </w:t>
            </w:r>
            <w:r w:rsidR="00096A72" w:rsidRPr="00A44829">
              <w:rPr>
                <w:rFonts w:cs="Arial"/>
                <w:b/>
                <w:sz w:val="18"/>
                <w:szCs w:val="18"/>
              </w:rPr>
              <w:br/>
            </w:r>
            <w:r w:rsidR="00EE4593" w:rsidRPr="00A44829">
              <w:rPr>
                <w:rFonts w:cs="Arial"/>
                <w:b/>
                <w:sz w:val="18"/>
                <w:szCs w:val="18"/>
              </w:rPr>
              <w:t>2019-20</w:t>
            </w:r>
          </w:p>
        </w:tc>
      </w:tr>
      <w:tr w:rsidR="004D3D01" w:rsidRPr="00A44829" w14:paraId="4EC2EA4C" w14:textId="77777777" w:rsidTr="00C60457">
        <w:trPr>
          <w:trHeight w:val="20"/>
          <w:tblHeader/>
        </w:trPr>
        <w:tc>
          <w:tcPr>
            <w:tcW w:w="2268" w:type="dxa"/>
            <w:tcBorders>
              <w:top w:val="nil"/>
              <w:left w:val="nil"/>
              <w:right w:val="single" w:sz="18" w:space="0" w:color="5F497A" w:themeColor="accent4" w:themeShade="BF"/>
            </w:tcBorders>
            <w:shd w:val="clear" w:color="auto" w:fill="auto"/>
            <w:vAlign w:val="bottom"/>
          </w:tcPr>
          <w:p w14:paraId="3DA52C75" w14:textId="77777777" w:rsidR="004D3D01" w:rsidRPr="00A44829" w:rsidRDefault="004D3D01" w:rsidP="008001AD">
            <w:pPr>
              <w:spacing w:before="40" w:after="20"/>
              <w:jc w:val="center"/>
              <w:rPr>
                <w:rFonts w:cs="Arial"/>
                <w:sz w:val="18"/>
                <w:szCs w:val="18"/>
              </w:rPr>
            </w:pPr>
          </w:p>
        </w:tc>
        <w:tc>
          <w:tcPr>
            <w:tcW w:w="1134" w:type="dxa"/>
            <w:vMerge/>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04A75462" w14:textId="77777777" w:rsidR="004D3D01" w:rsidRPr="00A44829" w:rsidRDefault="004D3D01" w:rsidP="008001AD">
            <w:pPr>
              <w:spacing w:before="40" w:after="20"/>
              <w:jc w:val="center"/>
              <w:rPr>
                <w:rFonts w:cs="Arial"/>
                <w:b/>
                <w:sz w:val="18"/>
                <w:szCs w:val="18"/>
              </w:rPr>
            </w:pP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225CD8D8" w14:textId="3B4037E9" w:rsidR="004D3D01" w:rsidRPr="00A44829" w:rsidRDefault="00D818D2" w:rsidP="008001AD">
            <w:pPr>
              <w:spacing w:before="40" w:after="20"/>
              <w:jc w:val="center"/>
              <w:rPr>
                <w:rFonts w:cs="Arial"/>
                <w:sz w:val="16"/>
                <w:szCs w:val="16"/>
              </w:rPr>
            </w:pPr>
            <w:r w:rsidRPr="00A44829">
              <w:rPr>
                <w:rFonts w:cs="Arial"/>
                <w:sz w:val="16"/>
                <w:szCs w:val="16"/>
              </w:rPr>
              <w:t>*</w:t>
            </w:r>
            <w:r w:rsidR="004D3D01" w:rsidRPr="00A44829">
              <w:rPr>
                <w:rFonts w:cs="Arial"/>
                <w:sz w:val="16"/>
                <w:szCs w:val="16"/>
              </w:rPr>
              <w:br/>
              <w:t>($)</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EF79482" w14:textId="213B73C4" w:rsidR="004D3D01" w:rsidRPr="00A44829" w:rsidRDefault="000F1D1F" w:rsidP="000F1D1F">
            <w:pPr>
              <w:spacing w:before="40" w:after="20"/>
              <w:jc w:val="center"/>
              <w:rPr>
                <w:rFonts w:cs="Arial"/>
                <w:sz w:val="16"/>
                <w:szCs w:val="16"/>
              </w:rPr>
            </w:pPr>
            <w:r w:rsidRPr="00A44829">
              <w:rPr>
                <w:rFonts w:cs="Arial"/>
                <w:sz w:val="16"/>
                <w:szCs w:val="16"/>
              </w:rPr>
              <w:t>p</w:t>
            </w:r>
            <w:r w:rsidR="004D3D01" w:rsidRPr="00A44829">
              <w:rPr>
                <w:rFonts w:cs="Arial"/>
                <w:sz w:val="16"/>
                <w:szCs w:val="16"/>
              </w:rPr>
              <w:t xml:space="preserve">er </w:t>
            </w:r>
            <w:r w:rsidRPr="00A44829">
              <w:rPr>
                <w:rFonts w:cs="Arial"/>
                <w:sz w:val="16"/>
                <w:szCs w:val="16"/>
              </w:rPr>
              <w:t>c</w:t>
            </w:r>
            <w:r w:rsidR="004D3D01" w:rsidRPr="00A44829">
              <w:rPr>
                <w:rFonts w:cs="Arial"/>
                <w:sz w:val="16"/>
                <w:szCs w:val="16"/>
              </w:rPr>
              <w:t xml:space="preserve">apita </w:t>
            </w:r>
            <w:r w:rsidR="00D818D2" w:rsidRPr="00A44829">
              <w:rPr>
                <w:rFonts w:cs="Arial"/>
                <w:sz w:val="16"/>
                <w:szCs w:val="16"/>
              </w:rPr>
              <w:t>*</w:t>
            </w:r>
            <w:r w:rsidR="004D3D01" w:rsidRPr="00A44829">
              <w:rPr>
                <w:rFonts w:cs="Arial"/>
                <w:sz w:val="16"/>
                <w:szCs w:val="16"/>
              </w:rPr>
              <w:br/>
              <w:t>($/head)</w:t>
            </w:r>
          </w:p>
        </w:tc>
        <w:tc>
          <w:tcPr>
            <w:tcW w:w="1134"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5B09285A" w14:textId="77777777" w:rsidR="004D3D01" w:rsidRPr="00A44829" w:rsidRDefault="004D3D01" w:rsidP="008001AD">
            <w:pPr>
              <w:spacing w:before="40" w:after="20"/>
              <w:jc w:val="center"/>
              <w:rPr>
                <w:rFonts w:cs="Arial"/>
                <w:b/>
                <w:sz w:val="18"/>
                <w:szCs w:val="18"/>
              </w:rPr>
            </w:pP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095DD878" w14:textId="77777777" w:rsidR="004D3D01" w:rsidRPr="00A44829" w:rsidRDefault="004D3D01" w:rsidP="008001AD">
            <w:pPr>
              <w:spacing w:before="40" w:after="20"/>
              <w:jc w:val="center"/>
              <w:rPr>
                <w:rFonts w:cs="Arial"/>
                <w:sz w:val="16"/>
                <w:szCs w:val="16"/>
              </w:rPr>
            </w:pPr>
            <w:r w:rsidRPr="00A44829">
              <w:rPr>
                <w:rFonts w:cs="Arial"/>
                <w:sz w:val="16"/>
                <w:szCs w:val="16"/>
              </w:rPr>
              <w:br/>
              <w:t>($)</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704629EA" w14:textId="77777777" w:rsidR="004D3D01" w:rsidRPr="00A44829" w:rsidRDefault="000F1D1F" w:rsidP="000F1D1F">
            <w:pPr>
              <w:spacing w:before="40" w:after="20"/>
              <w:jc w:val="center"/>
              <w:rPr>
                <w:rFonts w:cs="Arial"/>
                <w:sz w:val="16"/>
                <w:szCs w:val="16"/>
              </w:rPr>
            </w:pPr>
            <w:r w:rsidRPr="00A44829">
              <w:rPr>
                <w:rFonts w:cs="Arial"/>
                <w:sz w:val="16"/>
                <w:szCs w:val="16"/>
              </w:rPr>
              <w:t>p</w:t>
            </w:r>
            <w:r w:rsidR="004D3D01" w:rsidRPr="00A44829">
              <w:rPr>
                <w:rFonts w:cs="Arial"/>
                <w:sz w:val="16"/>
                <w:szCs w:val="16"/>
              </w:rPr>
              <w:t xml:space="preserve">er </w:t>
            </w:r>
            <w:r w:rsidRPr="00A44829">
              <w:rPr>
                <w:rFonts w:cs="Arial"/>
                <w:sz w:val="16"/>
                <w:szCs w:val="16"/>
              </w:rPr>
              <w:t>k</w:t>
            </w:r>
            <w:r w:rsidR="004D3D01" w:rsidRPr="00A44829">
              <w:rPr>
                <w:rFonts w:cs="Arial"/>
                <w:sz w:val="16"/>
                <w:szCs w:val="16"/>
              </w:rPr>
              <w:t>ilometre</w:t>
            </w:r>
            <w:r w:rsidR="004D3D01" w:rsidRPr="00A44829">
              <w:rPr>
                <w:rFonts w:cs="Arial"/>
                <w:sz w:val="16"/>
                <w:szCs w:val="16"/>
              </w:rPr>
              <w:br/>
              <w:t>($/km)</w:t>
            </w:r>
          </w:p>
        </w:tc>
      </w:tr>
      <w:tr w:rsidR="00F04730" w:rsidRPr="001D41EA" w14:paraId="77787287" w14:textId="77777777" w:rsidTr="00C60457">
        <w:trPr>
          <w:trHeight w:val="20"/>
          <w:tblHeader/>
        </w:trPr>
        <w:tc>
          <w:tcPr>
            <w:tcW w:w="2268" w:type="dxa"/>
            <w:tcBorders>
              <w:left w:val="nil"/>
              <w:bottom w:val="nil"/>
              <w:right w:val="single" w:sz="18" w:space="0" w:color="5F497A" w:themeColor="accent4" w:themeShade="BF"/>
            </w:tcBorders>
            <w:shd w:val="clear" w:color="auto" w:fill="auto"/>
            <w:vAlign w:val="center"/>
          </w:tcPr>
          <w:p w14:paraId="26A33BDB" w14:textId="77777777" w:rsidR="00F04730" w:rsidRPr="001D41EA" w:rsidRDefault="00F04730" w:rsidP="001D41EA">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F3BF6A8" w14:textId="7F8A9038" w:rsidR="00F04730" w:rsidRPr="001D41EA" w:rsidRDefault="00F04730" w:rsidP="001D41EA">
            <w:pPr>
              <w:spacing w:before="40" w:after="2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1A726A6B" w14:textId="01CBBCCB" w:rsidR="00F04730" w:rsidRPr="001D41EA" w:rsidRDefault="00F04730" w:rsidP="001D41EA">
            <w:pPr>
              <w:spacing w:before="40" w:after="2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3269471D" w14:textId="00166262" w:rsidR="00F04730" w:rsidRPr="001D41EA" w:rsidRDefault="00F04730" w:rsidP="001D41EA">
            <w:pPr>
              <w:spacing w:before="40" w:after="2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0BD9FEE0" w14:textId="77777777" w:rsidR="00F04730" w:rsidRPr="001D41EA" w:rsidRDefault="00F04730" w:rsidP="001D41EA">
            <w:pPr>
              <w:spacing w:before="40" w:after="2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45139AF6" w14:textId="75C90AA4" w:rsidR="00F04730" w:rsidRPr="001D41EA" w:rsidRDefault="00F04730" w:rsidP="001D41EA">
            <w:pPr>
              <w:spacing w:before="40" w:after="2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1C2CA311" w14:textId="3CAA1987" w:rsidR="00F04730" w:rsidRPr="001D41EA" w:rsidRDefault="00F04730" w:rsidP="001D41EA">
            <w:pPr>
              <w:spacing w:before="40" w:after="20"/>
              <w:jc w:val="right"/>
              <w:rPr>
                <w:rFonts w:cs="Arial"/>
                <w:sz w:val="18"/>
                <w:szCs w:val="18"/>
              </w:rPr>
            </w:pPr>
            <w:r w:rsidRPr="001D41EA">
              <w:rPr>
                <w:rFonts w:cs="Arial"/>
                <w:sz w:val="18"/>
                <w:szCs w:val="18"/>
              </w:rPr>
              <w:t> </w:t>
            </w:r>
          </w:p>
        </w:tc>
      </w:tr>
      <w:tr w:rsidR="00F04730" w:rsidRPr="001D41EA" w14:paraId="6D1B8C98"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2CE9D73" w14:textId="2648CD2E" w:rsidR="00F04730" w:rsidRPr="001D41EA" w:rsidRDefault="00F04730" w:rsidP="001D41EA">
            <w:pPr>
              <w:tabs>
                <w:tab w:val="right" w:pos="2037"/>
              </w:tabs>
              <w:spacing w:before="40" w:after="20"/>
              <w:rPr>
                <w:rFonts w:cs="Arial"/>
                <w:sz w:val="18"/>
                <w:szCs w:val="18"/>
              </w:rPr>
            </w:pPr>
            <w:r w:rsidRPr="001D41EA">
              <w:rPr>
                <w:rFonts w:cs="Arial"/>
                <w:sz w:val="18"/>
                <w:szCs w:val="18"/>
              </w:rPr>
              <w:t>Macedon Ranges S</w:t>
            </w:r>
            <w:r w:rsidR="00626246" w:rsidRPr="001D41EA">
              <w:rPr>
                <w:rFonts w:cs="Arial"/>
                <w:sz w:val="18"/>
                <w:szCs w:val="18"/>
              </w:rPr>
              <w:t xml:space="preserve">  *</w:t>
            </w:r>
            <w:r w:rsidR="00626246" w:rsidRPr="001D41EA">
              <w:rPr>
                <w:rFonts w:cs="Arial"/>
                <w:sz w:val="18"/>
                <w:szCs w:val="18"/>
              </w:rPr>
              <w:tab/>
            </w:r>
          </w:p>
        </w:tc>
        <w:tc>
          <w:tcPr>
            <w:tcW w:w="1134" w:type="dxa"/>
            <w:tcBorders>
              <w:top w:val="nil"/>
              <w:left w:val="single" w:sz="18" w:space="0" w:color="5F497A" w:themeColor="accent4" w:themeShade="BF"/>
              <w:bottom w:val="nil"/>
              <w:right w:val="nil"/>
            </w:tcBorders>
            <w:shd w:val="clear" w:color="auto" w:fill="auto"/>
            <w:vAlign w:val="bottom"/>
          </w:tcPr>
          <w:p w14:paraId="2B7B4116" w14:textId="64A224C9" w:rsidR="00F04730" w:rsidRPr="001D41EA" w:rsidRDefault="00F04730" w:rsidP="001D41EA">
            <w:pPr>
              <w:spacing w:before="40" w:after="20"/>
              <w:jc w:val="right"/>
              <w:rPr>
                <w:rFonts w:cs="Arial"/>
                <w:sz w:val="18"/>
                <w:szCs w:val="18"/>
              </w:rPr>
            </w:pPr>
            <w:r w:rsidRPr="001D41EA">
              <w:rPr>
                <w:rFonts w:cs="Arial"/>
                <w:sz w:val="18"/>
                <w:szCs w:val="18"/>
              </w:rPr>
              <w:t>49,388</w:t>
            </w:r>
          </w:p>
        </w:tc>
        <w:tc>
          <w:tcPr>
            <w:tcW w:w="1134" w:type="dxa"/>
            <w:tcBorders>
              <w:top w:val="nil"/>
              <w:left w:val="nil"/>
              <w:bottom w:val="nil"/>
              <w:right w:val="nil"/>
            </w:tcBorders>
            <w:shd w:val="clear" w:color="auto" w:fill="auto"/>
            <w:vAlign w:val="bottom"/>
          </w:tcPr>
          <w:p w14:paraId="327CA995" w14:textId="3B6A1D91" w:rsidR="00F04730" w:rsidRPr="001D41EA" w:rsidRDefault="00F04730" w:rsidP="001D41EA">
            <w:pPr>
              <w:spacing w:before="40" w:after="20"/>
              <w:jc w:val="right"/>
              <w:rPr>
                <w:rFonts w:cs="Arial"/>
                <w:sz w:val="18"/>
                <w:szCs w:val="18"/>
              </w:rPr>
            </w:pPr>
            <w:r w:rsidRPr="001D41EA">
              <w:rPr>
                <w:rFonts w:cs="Arial"/>
                <w:sz w:val="18"/>
                <w:szCs w:val="18"/>
              </w:rPr>
              <w:t>5,746,223</w:t>
            </w:r>
          </w:p>
        </w:tc>
        <w:tc>
          <w:tcPr>
            <w:tcW w:w="1134" w:type="dxa"/>
            <w:tcBorders>
              <w:top w:val="nil"/>
              <w:left w:val="nil"/>
              <w:bottom w:val="nil"/>
              <w:right w:val="nil"/>
            </w:tcBorders>
            <w:shd w:val="clear" w:color="auto" w:fill="auto"/>
            <w:vAlign w:val="bottom"/>
          </w:tcPr>
          <w:p w14:paraId="738282A1" w14:textId="70FD28C0" w:rsidR="00F04730" w:rsidRPr="001D41EA" w:rsidRDefault="00F04730" w:rsidP="001D41EA">
            <w:pPr>
              <w:spacing w:before="40" w:after="20"/>
              <w:jc w:val="right"/>
              <w:rPr>
                <w:rFonts w:cs="Arial"/>
                <w:sz w:val="18"/>
                <w:szCs w:val="18"/>
              </w:rPr>
            </w:pPr>
            <w:r w:rsidRPr="001D41EA">
              <w:rPr>
                <w:rFonts w:cs="Arial"/>
                <w:sz w:val="18"/>
                <w:szCs w:val="18"/>
              </w:rPr>
              <w:t>116.35</w:t>
            </w:r>
          </w:p>
        </w:tc>
        <w:tc>
          <w:tcPr>
            <w:tcW w:w="1134" w:type="dxa"/>
            <w:tcBorders>
              <w:top w:val="nil"/>
              <w:left w:val="nil"/>
              <w:bottom w:val="nil"/>
              <w:right w:val="nil"/>
            </w:tcBorders>
            <w:shd w:val="clear" w:color="auto" w:fill="auto"/>
            <w:vAlign w:val="bottom"/>
          </w:tcPr>
          <w:p w14:paraId="70DA61F5" w14:textId="3B114F3A" w:rsidR="00F04730" w:rsidRPr="001D41EA" w:rsidRDefault="00F04730" w:rsidP="001D41EA">
            <w:pPr>
              <w:spacing w:before="40" w:after="20"/>
              <w:jc w:val="right"/>
              <w:rPr>
                <w:rFonts w:cs="Arial"/>
                <w:sz w:val="18"/>
                <w:szCs w:val="18"/>
              </w:rPr>
            </w:pPr>
            <w:r w:rsidRPr="001D41EA">
              <w:rPr>
                <w:rFonts w:cs="Arial"/>
                <w:sz w:val="18"/>
                <w:szCs w:val="18"/>
              </w:rPr>
              <w:t>1,635</w:t>
            </w:r>
          </w:p>
        </w:tc>
        <w:tc>
          <w:tcPr>
            <w:tcW w:w="1134" w:type="dxa"/>
            <w:tcBorders>
              <w:top w:val="nil"/>
              <w:left w:val="nil"/>
              <w:bottom w:val="nil"/>
              <w:right w:val="nil"/>
            </w:tcBorders>
            <w:shd w:val="clear" w:color="auto" w:fill="auto"/>
            <w:vAlign w:val="bottom"/>
          </w:tcPr>
          <w:p w14:paraId="04ECDD6F" w14:textId="2219391E" w:rsidR="00F04730" w:rsidRPr="001D41EA" w:rsidRDefault="00F04730" w:rsidP="001D41EA">
            <w:pPr>
              <w:spacing w:before="40" w:after="20"/>
              <w:jc w:val="right"/>
              <w:rPr>
                <w:rFonts w:cs="Arial"/>
                <w:sz w:val="18"/>
                <w:szCs w:val="18"/>
              </w:rPr>
            </w:pPr>
            <w:r w:rsidRPr="001D41EA">
              <w:rPr>
                <w:rFonts w:cs="Arial"/>
                <w:sz w:val="18"/>
                <w:szCs w:val="18"/>
              </w:rPr>
              <w:t>2,376,351</w:t>
            </w:r>
          </w:p>
        </w:tc>
        <w:tc>
          <w:tcPr>
            <w:tcW w:w="1134" w:type="dxa"/>
            <w:tcBorders>
              <w:top w:val="nil"/>
              <w:left w:val="nil"/>
              <w:bottom w:val="nil"/>
              <w:right w:val="nil"/>
            </w:tcBorders>
            <w:shd w:val="clear" w:color="auto" w:fill="auto"/>
            <w:vAlign w:val="bottom"/>
          </w:tcPr>
          <w:p w14:paraId="0DF78E52" w14:textId="3CB0ED98" w:rsidR="00F04730" w:rsidRPr="001D41EA" w:rsidRDefault="00F04730" w:rsidP="001D41EA">
            <w:pPr>
              <w:spacing w:before="40" w:after="20"/>
              <w:jc w:val="right"/>
              <w:rPr>
                <w:rFonts w:cs="Arial"/>
                <w:sz w:val="18"/>
                <w:szCs w:val="18"/>
              </w:rPr>
            </w:pPr>
            <w:r w:rsidRPr="001D41EA">
              <w:rPr>
                <w:rFonts w:cs="Arial"/>
                <w:sz w:val="18"/>
                <w:szCs w:val="18"/>
              </w:rPr>
              <w:t>1,453.43</w:t>
            </w:r>
          </w:p>
        </w:tc>
      </w:tr>
      <w:tr w:rsidR="00F04730" w:rsidRPr="001D41EA" w14:paraId="455CEE8A"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54ED94E2" w14:textId="0E80A350"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Manningham C </w:t>
            </w:r>
          </w:p>
        </w:tc>
        <w:tc>
          <w:tcPr>
            <w:tcW w:w="1134" w:type="dxa"/>
            <w:tcBorders>
              <w:top w:val="nil"/>
              <w:left w:val="single" w:sz="18" w:space="0" w:color="5F497A" w:themeColor="accent4" w:themeShade="BF"/>
              <w:bottom w:val="nil"/>
              <w:right w:val="nil"/>
            </w:tcBorders>
            <w:shd w:val="clear" w:color="auto" w:fill="auto"/>
            <w:vAlign w:val="bottom"/>
          </w:tcPr>
          <w:p w14:paraId="39759112" w14:textId="6A97B4CF" w:rsidR="00F04730" w:rsidRPr="001D41EA" w:rsidRDefault="00F04730" w:rsidP="001D41EA">
            <w:pPr>
              <w:spacing w:before="40" w:after="20"/>
              <w:jc w:val="right"/>
              <w:rPr>
                <w:rFonts w:cs="Arial"/>
                <w:sz w:val="18"/>
                <w:szCs w:val="18"/>
              </w:rPr>
            </w:pPr>
            <w:r w:rsidRPr="001D41EA">
              <w:rPr>
                <w:rFonts w:cs="Arial"/>
                <w:sz w:val="18"/>
                <w:szCs w:val="18"/>
              </w:rPr>
              <w:t>125,508</w:t>
            </w:r>
          </w:p>
        </w:tc>
        <w:tc>
          <w:tcPr>
            <w:tcW w:w="1134" w:type="dxa"/>
            <w:tcBorders>
              <w:top w:val="nil"/>
              <w:left w:val="nil"/>
              <w:bottom w:val="nil"/>
              <w:right w:val="nil"/>
            </w:tcBorders>
            <w:shd w:val="clear" w:color="auto" w:fill="auto"/>
            <w:vAlign w:val="bottom"/>
          </w:tcPr>
          <w:p w14:paraId="6E4B39C0" w14:textId="59006C2C" w:rsidR="00F04730" w:rsidRPr="001D41EA" w:rsidRDefault="00F04730" w:rsidP="001D41EA">
            <w:pPr>
              <w:spacing w:before="40" w:after="20"/>
              <w:jc w:val="right"/>
              <w:rPr>
                <w:rFonts w:cs="Arial"/>
                <w:sz w:val="18"/>
                <w:szCs w:val="18"/>
              </w:rPr>
            </w:pPr>
            <w:r w:rsidRPr="001D41EA">
              <w:rPr>
                <w:rFonts w:cs="Arial"/>
                <w:sz w:val="18"/>
                <w:szCs w:val="18"/>
              </w:rPr>
              <w:t>2,655,117</w:t>
            </w:r>
          </w:p>
        </w:tc>
        <w:tc>
          <w:tcPr>
            <w:tcW w:w="1134" w:type="dxa"/>
            <w:tcBorders>
              <w:top w:val="nil"/>
              <w:left w:val="nil"/>
              <w:bottom w:val="nil"/>
              <w:right w:val="nil"/>
            </w:tcBorders>
            <w:shd w:val="clear" w:color="auto" w:fill="auto"/>
            <w:vAlign w:val="bottom"/>
          </w:tcPr>
          <w:p w14:paraId="56F36F43" w14:textId="0042C14F" w:rsidR="00F04730" w:rsidRPr="001D41EA" w:rsidRDefault="00F04730" w:rsidP="001D41EA">
            <w:pPr>
              <w:spacing w:before="40" w:after="20"/>
              <w:jc w:val="right"/>
              <w:rPr>
                <w:rFonts w:cs="Arial"/>
                <w:sz w:val="18"/>
                <w:szCs w:val="18"/>
              </w:rPr>
            </w:pPr>
            <w:r w:rsidRPr="001D41EA">
              <w:rPr>
                <w:rFonts w:cs="Arial"/>
                <w:sz w:val="18"/>
                <w:szCs w:val="18"/>
              </w:rPr>
              <w:t>21.15</w:t>
            </w:r>
          </w:p>
        </w:tc>
        <w:tc>
          <w:tcPr>
            <w:tcW w:w="1134" w:type="dxa"/>
            <w:tcBorders>
              <w:top w:val="nil"/>
              <w:left w:val="nil"/>
              <w:bottom w:val="nil"/>
              <w:right w:val="nil"/>
            </w:tcBorders>
            <w:shd w:val="clear" w:color="auto" w:fill="auto"/>
            <w:vAlign w:val="bottom"/>
          </w:tcPr>
          <w:p w14:paraId="54004890" w14:textId="1BFEA7B4" w:rsidR="00F04730" w:rsidRPr="001D41EA" w:rsidRDefault="00F04730" w:rsidP="001D41EA">
            <w:pPr>
              <w:spacing w:before="40" w:after="20"/>
              <w:jc w:val="right"/>
              <w:rPr>
                <w:rFonts w:cs="Arial"/>
                <w:sz w:val="18"/>
                <w:szCs w:val="18"/>
              </w:rPr>
            </w:pPr>
            <w:r w:rsidRPr="001D41EA">
              <w:rPr>
                <w:rFonts w:cs="Arial"/>
                <w:sz w:val="18"/>
                <w:szCs w:val="18"/>
              </w:rPr>
              <w:t>605</w:t>
            </w:r>
          </w:p>
        </w:tc>
        <w:tc>
          <w:tcPr>
            <w:tcW w:w="1134" w:type="dxa"/>
            <w:tcBorders>
              <w:top w:val="nil"/>
              <w:left w:val="nil"/>
              <w:bottom w:val="nil"/>
              <w:right w:val="nil"/>
            </w:tcBorders>
            <w:shd w:val="clear" w:color="auto" w:fill="auto"/>
            <w:vAlign w:val="bottom"/>
          </w:tcPr>
          <w:p w14:paraId="29EC9361" w14:textId="13745A1E" w:rsidR="00F04730" w:rsidRPr="001D41EA" w:rsidRDefault="00F04730" w:rsidP="001D41EA">
            <w:pPr>
              <w:spacing w:before="40" w:after="20"/>
              <w:jc w:val="right"/>
              <w:rPr>
                <w:rFonts w:cs="Arial"/>
                <w:sz w:val="18"/>
                <w:szCs w:val="18"/>
              </w:rPr>
            </w:pPr>
            <w:r w:rsidRPr="001D41EA">
              <w:rPr>
                <w:rFonts w:cs="Arial"/>
                <w:sz w:val="18"/>
                <w:szCs w:val="18"/>
              </w:rPr>
              <w:t>851,270</w:t>
            </w:r>
          </w:p>
        </w:tc>
        <w:tc>
          <w:tcPr>
            <w:tcW w:w="1134" w:type="dxa"/>
            <w:tcBorders>
              <w:top w:val="nil"/>
              <w:left w:val="nil"/>
              <w:bottom w:val="nil"/>
              <w:right w:val="nil"/>
            </w:tcBorders>
            <w:shd w:val="clear" w:color="auto" w:fill="auto"/>
            <w:vAlign w:val="bottom"/>
          </w:tcPr>
          <w:p w14:paraId="73DECC9F" w14:textId="71B1FBD3" w:rsidR="00F04730" w:rsidRPr="001D41EA" w:rsidRDefault="00F04730" w:rsidP="001D41EA">
            <w:pPr>
              <w:spacing w:before="40" w:after="20"/>
              <w:jc w:val="right"/>
              <w:rPr>
                <w:rFonts w:cs="Arial"/>
                <w:sz w:val="18"/>
                <w:szCs w:val="18"/>
              </w:rPr>
            </w:pPr>
            <w:r w:rsidRPr="001D41EA">
              <w:rPr>
                <w:rFonts w:cs="Arial"/>
                <w:sz w:val="18"/>
                <w:szCs w:val="18"/>
              </w:rPr>
              <w:t>1,407.06</w:t>
            </w:r>
          </w:p>
        </w:tc>
      </w:tr>
      <w:tr w:rsidR="00F04730" w:rsidRPr="001D41EA" w14:paraId="7EF0089A"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9380ADD" w14:textId="73619E24"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Mansfield S </w:t>
            </w:r>
          </w:p>
        </w:tc>
        <w:tc>
          <w:tcPr>
            <w:tcW w:w="1134" w:type="dxa"/>
            <w:tcBorders>
              <w:top w:val="nil"/>
              <w:left w:val="single" w:sz="18" w:space="0" w:color="5F497A" w:themeColor="accent4" w:themeShade="BF"/>
              <w:bottom w:val="nil"/>
              <w:right w:val="nil"/>
            </w:tcBorders>
            <w:shd w:val="clear" w:color="auto" w:fill="auto"/>
            <w:vAlign w:val="bottom"/>
          </w:tcPr>
          <w:p w14:paraId="160574E3" w14:textId="5416C011" w:rsidR="00F04730" w:rsidRPr="001D41EA" w:rsidRDefault="00F04730" w:rsidP="001D41EA">
            <w:pPr>
              <w:spacing w:before="40" w:after="20"/>
              <w:jc w:val="right"/>
              <w:rPr>
                <w:rFonts w:cs="Arial"/>
                <w:sz w:val="18"/>
                <w:szCs w:val="18"/>
              </w:rPr>
            </w:pPr>
            <w:r w:rsidRPr="001D41EA">
              <w:rPr>
                <w:rFonts w:cs="Arial"/>
                <w:sz w:val="18"/>
                <w:szCs w:val="18"/>
              </w:rPr>
              <w:t>9,253</w:t>
            </w:r>
          </w:p>
        </w:tc>
        <w:tc>
          <w:tcPr>
            <w:tcW w:w="1134" w:type="dxa"/>
            <w:tcBorders>
              <w:top w:val="nil"/>
              <w:left w:val="nil"/>
              <w:bottom w:val="nil"/>
              <w:right w:val="nil"/>
            </w:tcBorders>
            <w:shd w:val="clear" w:color="auto" w:fill="auto"/>
            <w:vAlign w:val="bottom"/>
          </w:tcPr>
          <w:p w14:paraId="6A61EF92" w14:textId="07D3341B" w:rsidR="00F04730" w:rsidRPr="001D41EA" w:rsidRDefault="00F04730" w:rsidP="001D41EA">
            <w:pPr>
              <w:spacing w:before="40" w:after="20"/>
              <w:jc w:val="right"/>
              <w:rPr>
                <w:rFonts w:cs="Arial"/>
                <w:sz w:val="18"/>
                <w:szCs w:val="18"/>
              </w:rPr>
            </w:pPr>
            <w:r w:rsidRPr="001D41EA">
              <w:rPr>
                <w:rFonts w:cs="Arial"/>
                <w:sz w:val="18"/>
                <w:szCs w:val="18"/>
              </w:rPr>
              <w:t>2,245,626</w:t>
            </w:r>
          </w:p>
        </w:tc>
        <w:tc>
          <w:tcPr>
            <w:tcW w:w="1134" w:type="dxa"/>
            <w:tcBorders>
              <w:top w:val="nil"/>
              <w:left w:val="nil"/>
              <w:bottom w:val="nil"/>
              <w:right w:val="nil"/>
            </w:tcBorders>
            <w:shd w:val="clear" w:color="auto" w:fill="auto"/>
            <w:vAlign w:val="bottom"/>
          </w:tcPr>
          <w:p w14:paraId="4A309C57" w14:textId="4C82A0D0" w:rsidR="00F04730" w:rsidRPr="001D41EA" w:rsidRDefault="00F04730" w:rsidP="001D41EA">
            <w:pPr>
              <w:spacing w:before="40" w:after="20"/>
              <w:jc w:val="right"/>
              <w:rPr>
                <w:rFonts w:cs="Arial"/>
                <w:sz w:val="18"/>
                <w:szCs w:val="18"/>
              </w:rPr>
            </w:pPr>
            <w:r w:rsidRPr="001D41EA">
              <w:rPr>
                <w:rFonts w:cs="Arial"/>
                <w:sz w:val="18"/>
                <w:szCs w:val="18"/>
              </w:rPr>
              <w:t>242.69</w:t>
            </w:r>
          </w:p>
        </w:tc>
        <w:tc>
          <w:tcPr>
            <w:tcW w:w="1134" w:type="dxa"/>
            <w:tcBorders>
              <w:top w:val="nil"/>
              <w:left w:val="nil"/>
              <w:bottom w:val="nil"/>
              <w:right w:val="nil"/>
            </w:tcBorders>
            <w:shd w:val="clear" w:color="auto" w:fill="auto"/>
            <w:vAlign w:val="bottom"/>
          </w:tcPr>
          <w:p w14:paraId="45EA8973" w14:textId="4A601D75" w:rsidR="00F04730" w:rsidRPr="001D41EA" w:rsidRDefault="00F04730" w:rsidP="001D41EA">
            <w:pPr>
              <w:spacing w:before="40" w:after="20"/>
              <w:jc w:val="right"/>
              <w:rPr>
                <w:rFonts w:cs="Arial"/>
                <w:sz w:val="18"/>
                <w:szCs w:val="18"/>
              </w:rPr>
            </w:pPr>
            <w:r w:rsidRPr="001D41EA">
              <w:rPr>
                <w:rFonts w:cs="Arial"/>
                <w:sz w:val="18"/>
                <w:szCs w:val="18"/>
              </w:rPr>
              <w:t>814</w:t>
            </w:r>
          </w:p>
        </w:tc>
        <w:tc>
          <w:tcPr>
            <w:tcW w:w="1134" w:type="dxa"/>
            <w:tcBorders>
              <w:top w:val="nil"/>
              <w:left w:val="nil"/>
              <w:bottom w:val="nil"/>
              <w:right w:val="nil"/>
            </w:tcBorders>
            <w:shd w:val="clear" w:color="auto" w:fill="auto"/>
            <w:vAlign w:val="bottom"/>
          </w:tcPr>
          <w:p w14:paraId="51A7E46E" w14:textId="6456FFCC" w:rsidR="00F04730" w:rsidRPr="001D41EA" w:rsidRDefault="00F04730" w:rsidP="001D41EA">
            <w:pPr>
              <w:spacing w:before="40" w:after="20"/>
              <w:jc w:val="right"/>
              <w:rPr>
                <w:rFonts w:cs="Arial"/>
                <w:sz w:val="18"/>
                <w:szCs w:val="18"/>
              </w:rPr>
            </w:pPr>
            <w:r w:rsidRPr="001D41EA">
              <w:rPr>
                <w:rFonts w:cs="Arial"/>
                <w:sz w:val="18"/>
                <w:szCs w:val="18"/>
              </w:rPr>
              <w:t>933,731</w:t>
            </w:r>
          </w:p>
        </w:tc>
        <w:tc>
          <w:tcPr>
            <w:tcW w:w="1134" w:type="dxa"/>
            <w:tcBorders>
              <w:top w:val="nil"/>
              <w:left w:val="nil"/>
              <w:bottom w:val="nil"/>
              <w:right w:val="nil"/>
            </w:tcBorders>
            <w:shd w:val="clear" w:color="auto" w:fill="auto"/>
            <w:vAlign w:val="bottom"/>
          </w:tcPr>
          <w:p w14:paraId="30F34021" w14:textId="78A01D55" w:rsidR="00F04730" w:rsidRPr="001D41EA" w:rsidRDefault="00F04730" w:rsidP="001D41EA">
            <w:pPr>
              <w:spacing w:before="40" w:after="20"/>
              <w:jc w:val="right"/>
              <w:rPr>
                <w:rFonts w:cs="Arial"/>
                <w:sz w:val="18"/>
                <w:szCs w:val="18"/>
              </w:rPr>
            </w:pPr>
            <w:r w:rsidRPr="001D41EA">
              <w:rPr>
                <w:rFonts w:cs="Arial"/>
                <w:sz w:val="18"/>
                <w:szCs w:val="18"/>
              </w:rPr>
              <w:t>1,147.09</w:t>
            </w:r>
          </w:p>
        </w:tc>
      </w:tr>
      <w:tr w:rsidR="00F04730" w:rsidRPr="001D41EA" w14:paraId="6ABDF5B1"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5986FB3F" w14:textId="5D202356"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Maribyrnong C </w:t>
            </w:r>
          </w:p>
        </w:tc>
        <w:tc>
          <w:tcPr>
            <w:tcW w:w="1134" w:type="dxa"/>
            <w:tcBorders>
              <w:top w:val="nil"/>
              <w:left w:val="single" w:sz="18" w:space="0" w:color="5F497A" w:themeColor="accent4" w:themeShade="BF"/>
              <w:bottom w:val="nil"/>
              <w:right w:val="nil"/>
            </w:tcBorders>
            <w:shd w:val="clear" w:color="auto" w:fill="auto"/>
            <w:vAlign w:val="bottom"/>
          </w:tcPr>
          <w:p w14:paraId="2A61911B" w14:textId="3192391F" w:rsidR="00F04730" w:rsidRPr="001D41EA" w:rsidRDefault="00F04730" w:rsidP="001D41EA">
            <w:pPr>
              <w:spacing w:before="40" w:after="20"/>
              <w:jc w:val="right"/>
              <w:rPr>
                <w:rFonts w:cs="Arial"/>
                <w:sz w:val="18"/>
                <w:szCs w:val="18"/>
              </w:rPr>
            </w:pPr>
            <w:r w:rsidRPr="001D41EA">
              <w:rPr>
                <w:rFonts w:cs="Arial"/>
                <w:sz w:val="18"/>
                <w:szCs w:val="18"/>
              </w:rPr>
              <w:t>91,387</w:t>
            </w:r>
          </w:p>
        </w:tc>
        <w:tc>
          <w:tcPr>
            <w:tcW w:w="1134" w:type="dxa"/>
            <w:tcBorders>
              <w:top w:val="nil"/>
              <w:left w:val="nil"/>
              <w:bottom w:val="nil"/>
              <w:right w:val="nil"/>
            </w:tcBorders>
            <w:shd w:val="clear" w:color="auto" w:fill="auto"/>
            <w:vAlign w:val="bottom"/>
          </w:tcPr>
          <w:p w14:paraId="7C087DE4" w14:textId="51A61BD3" w:rsidR="00F04730" w:rsidRPr="001D41EA" w:rsidRDefault="00F04730" w:rsidP="001D41EA">
            <w:pPr>
              <w:spacing w:before="40" w:after="20"/>
              <w:jc w:val="right"/>
              <w:rPr>
                <w:rFonts w:cs="Arial"/>
                <w:sz w:val="18"/>
                <w:szCs w:val="18"/>
              </w:rPr>
            </w:pPr>
            <w:r w:rsidRPr="001D41EA">
              <w:rPr>
                <w:rFonts w:cs="Arial"/>
                <w:sz w:val="18"/>
                <w:szCs w:val="18"/>
              </w:rPr>
              <w:t>2,179,302</w:t>
            </w:r>
          </w:p>
        </w:tc>
        <w:tc>
          <w:tcPr>
            <w:tcW w:w="1134" w:type="dxa"/>
            <w:tcBorders>
              <w:top w:val="nil"/>
              <w:left w:val="nil"/>
              <w:bottom w:val="nil"/>
              <w:right w:val="nil"/>
            </w:tcBorders>
            <w:shd w:val="clear" w:color="auto" w:fill="auto"/>
            <w:vAlign w:val="bottom"/>
          </w:tcPr>
          <w:p w14:paraId="6CD27FCC" w14:textId="6C864504" w:rsidR="00F04730" w:rsidRPr="001D41EA" w:rsidRDefault="00F04730" w:rsidP="001D41EA">
            <w:pPr>
              <w:spacing w:before="40" w:after="20"/>
              <w:jc w:val="right"/>
              <w:rPr>
                <w:rFonts w:cs="Arial"/>
                <w:sz w:val="18"/>
                <w:szCs w:val="18"/>
              </w:rPr>
            </w:pPr>
            <w:r w:rsidRPr="001D41EA">
              <w:rPr>
                <w:rFonts w:cs="Arial"/>
                <w:sz w:val="18"/>
                <w:szCs w:val="18"/>
              </w:rPr>
              <w:t>23.85</w:t>
            </w:r>
          </w:p>
        </w:tc>
        <w:tc>
          <w:tcPr>
            <w:tcW w:w="1134" w:type="dxa"/>
            <w:tcBorders>
              <w:top w:val="nil"/>
              <w:left w:val="nil"/>
              <w:bottom w:val="nil"/>
              <w:right w:val="nil"/>
            </w:tcBorders>
            <w:shd w:val="clear" w:color="auto" w:fill="auto"/>
            <w:vAlign w:val="bottom"/>
          </w:tcPr>
          <w:p w14:paraId="627DAB92" w14:textId="7612A2B6" w:rsidR="00F04730" w:rsidRPr="001D41EA" w:rsidRDefault="00F04730" w:rsidP="001D41EA">
            <w:pPr>
              <w:spacing w:before="40" w:after="20"/>
              <w:jc w:val="right"/>
              <w:rPr>
                <w:rFonts w:cs="Arial"/>
                <w:sz w:val="18"/>
                <w:szCs w:val="18"/>
              </w:rPr>
            </w:pPr>
            <w:r w:rsidRPr="001D41EA">
              <w:rPr>
                <w:rFonts w:cs="Arial"/>
                <w:sz w:val="18"/>
                <w:szCs w:val="18"/>
              </w:rPr>
              <w:t>305</w:t>
            </w:r>
          </w:p>
        </w:tc>
        <w:tc>
          <w:tcPr>
            <w:tcW w:w="1134" w:type="dxa"/>
            <w:tcBorders>
              <w:top w:val="nil"/>
              <w:left w:val="nil"/>
              <w:bottom w:val="nil"/>
              <w:right w:val="nil"/>
            </w:tcBorders>
            <w:shd w:val="clear" w:color="auto" w:fill="auto"/>
            <w:vAlign w:val="bottom"/>
          </w:tcPr>
          <w:p w14:paraId="0A2BE0A0" w14:textId="43F90E7D" w:rsidR="00F04730" w:rsidRPr="001D41EA" w:rsidRDefault="00F04730" w:rsidP="001D41EA">
            <w:pPr>
              <w:spacing w:before="40" w:after="20"/>
              <w:jc w:val="right"/>
              <w:rPr>
                <w:rFonts w:cs="Arial"/>
                <w:sz w:val="18"/>
                <w:szCs w:val="18"/>
              </w:rPr>
            </w:pPr>
            <w:r w:rsidRPr="001D41EA">
              <w:rPr>
                <w:rFonts w:cs="Arial"/>
                <w:sz w:val="18"/>
                <w:szCs w:val="18"/>
              </w:rPr>
              <w:t>602,315</w:t>
            </w:r>
          </w:p>
        </w:tc>
        <w:tc>
          <w:tcPr>
            <w:tcW w:w="1134" w:type="dxa"/>
            <w:tcBorders>
              <w:top w:val="nil"/>
              <w:left w:val="nil"/>
              <w:bottom w:val="nil"/>
              <w:right w:val="nil"/>
            </w:tcBorders>
            <w:shd w:val="clear" w:color="auto" w:fill="auto"/>
            <w:vAlign w:val="bottom"/>
          </w:tcPr>
          <w:p w14:paraId="505512C5" w14:textId="44AD9A51" w:rsidR="00F04730" w:rsidRPr="001D41EA" w:rsidRDefault="00F04730" w:rsidP="001D41EA">
            <w:pPr>
              <w:spacing w:before="40" w:after="20"/>
              <w:jc w:val="right"/>
              <w:rPr>
                <w:rFonts w:cs="Arial"/>
                <w:sz w:val="18"/>
                <w:szCs w:val="18"/>
              </w:rPr>
            </w:pPr>
            <w:r w:rsidRPr="001D41EA">
              <w:rPr>
                <w:rFonts w:cs="Arial"/>
                <w:sz w:val="18"/>
                <w:szCs w:val="18"/>
              </w:rPr>
              <w:t>1,974.80</w:t>
            </w:r>
          </w:p>
        </w:tc>
      </w:tr>
      <w:tr w:rsidR="00F04730" w:rsidRPr="001D41EA" w14:paraId="251585AD"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487773F" w14:textId="3B87D6E4"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Maroondah C </w:t>
            </w:r>
          </w:p>
        </w:tc>
        <w:tc>
          <w:tcPr>
            <w:tcW w:w="1134" w:type="dxa"/>
            <w:tcBorders>
              <w:top w:val="nil"/>
              <w:left w:val="single" w:sz="18" w:space="0" w:color="5F497A" w:themeColor="accent4" w:themeShade="BF"/>
              <w:bottom w:val="nil"/>
              <w:right w:val="nil"/>
            </w:tcBorders>
            <w:shd w:val="clear" w:color="auto" w:fill="auto"/>
            <w:vAlign w:val="bottom"/>
          </w:tcPr>
          <w:p w14:paraId="2BF66D9A" w14:textId="5305E526" w:rsidR="00F04730" w:rsidRPr="001D41EA" w:rsidRDefault="00F04730" w:rsidP="001D41EA">
            <w:pPr>
              <w:spacing w:before="40" w:after="20"/>
              <w:jc w:val="right"/>
              <w:rPr>
                <w:rFonts w:cs="Arial"/>
                <w:sz w:val="18"/>
                <w:szCs w:val="18"/>
              </w:rPr>
            </w:pPr>
            <w:r w:rsidRPr="001D41EA">
              <w:rPr>
                <w:rFonts w:cs="Arial"/>
                <w:sz w:val="18"/>
                <w:szCs w:val="18"/>
              </w:rPr>
              <w:t>117,498</w:t>
            </w:r>
          </w:p>
        </w:tc>
        <w:tc>
          <w:tcPr>
            <w:tcW w:w="1134" w:type="dxa"/>
            <w:tcBorders>
              <w:top w:val="nil"/>
              <w:left w:val="nil"/>
              <w:bottom w:val="nil"/>
              <w:right w:val="nil"/>
            </w:tcBorders>
            <w:shd w:val="clear" w:color="auto" w:fill="auto"/>
            <w:vAlign w:val="bottom"/>
          </w:tcPr>
          <w:p w14:paraId="27D76BE3" w14:textId="2434C6D6" w:rsidR="00F04730" w:rsidRPr="001D41EA" w:rsidRDefault="00F04730" w:rsidP="001D41EA">
            <w:pPr>
              <w:spacing w:before="40" w:after="20"/>
              <w:jc w:val="right"/>
              <w:rPr>
                <w:rFonts w:cs="Arial"/>
                <w:sz w:val="18"/>
                <w:szCs w:val="18"/>
              </w:rPr>
            </w:pPr>
            <w:r w:rsidRPr="001D41EA">
              <w:rPr>
                <w:rFonts w:cs="Arial"/>
                <w:sz w:val="18"/>
                <w:szCs w:val="18"/>
              </w:rPr>
              <w:t>4,103,053</w:t>
            </w:r>
          </w:p>
        </w:tc>
        <w:tc>
          <w:tcPr>
            <w:tcW w:w="1134" w:type="dxa"/>
            <w:tcBorders>
              <w:top w:val="nil"/>
              <w:left w:val="nil"/>
              <w:bottom w:val="nil"/>
              <w:right w:val="nil"/>
            </w:tcBorders>
            <w:shd w:val="clear" w:color="auto" w:fill="auto"/>
            <w:vAlign w:val="bottom"/>
          </w:tcPr>
          <w:p w14:paraId="0E52AD1F" w14:textId="17BCC607" w:rsidR="00F04730" w:rsidRPr="001D41EA" w:rsidRDefault="00F04730" w:rsidP="001D41EA">
            <w:pPr>
              <w:spacing w:before="40" w:after="20"/>
              <w:jc w:val="right"/>
              <w:rPr>
                <w:rFonts w:cs="Arial"/>
                <w:sz w:val="18"/>
                <w:szCs w:val="18"/>
              </w:rPr>
            </w:pPr>
            <w:r w:rsidRPr="001D41EA">
              <w:rPr>
                <w:rFonts w:cs="Arial"/>
                <w:sz w:val="18"/>
                <w:szCs w:val="18"/>
              </w:rPr>
              <w:t>34.92</w:t>
            </w:r>
          </w:p>
        </w:tc>
        <w:tc>
          <w:tcPr>
            <w:tcW w:w="1134" w:type="dxa"/>
            <w:tcBorders>
              <w:top w:val="nil"/>
              <w:left w:val="nil"/>
              <w:bottom w:val="nil"/>
              <w:right w:val="nil"/>
            </w:tcBorders>
            <w:shd w:val="clear" w:color="auto" w:fill="auto"/>
            <w:vAlign w:val="bottom"/>
          </w:tcPr>
          <w:p w14:paraId="14C846F2" w14:textId="4005BC8E" w:rsidR="00F04730" w:rsidRPr="001D41EA" w:rsidRDefault="00F04730" w:rsidP="001D41EA">
            <w:pPr>
              <w:spacing w:before="40" w:after="20"/>
              <w:jc w:val="right"/>
              <w:rPr>
                <w:rFonts w:cs="Arial"/>
                <w:sz w:val="18"/>
                <w:szCs w:val="18"/>
              </w:rPr>
            </w:pPr>
            <w:r w:rsidRPr="001D41EA">
              <w:rPr>
                <w:rFonts w:cs="Arial"/>
                <w:sz w:val="18"/>
                <w:szCs w:val="18"/>
              </w:rPr>
              <w:t>484</w:t>
            </w:r>
          </w:p>
        </w:tc>
        <w:tc>
          <w:tcPr>
            <w:tcW w:w="1134" w:type="dxa"/>
            <w:tcBorders>
              <w:top w:val="nil"/>
              <w:left w:val="nil"/>
              <w:bottom w:val="nil"/>
              <w:right w:val="nil"/>
            </w:tcBorders>
            <w:shd w:val="clear" w:color="auto" w:fill="auto"/>
            <w:vAlign w:val="bottom"/>
          </w:tcPr>
          <w:p w14:paraId="62566CBB" w14:textId="371F6E66" w:rsidR="00F04730" w:rsidRPr="001D41EA" w:rsidRDefault="00F04730" w:rsidP="001D41EA">
            <w:pPr>
              <w:spacing w:before="40" w:after="20"/>
              <w:jc w:val="right"/>
              <w:rPr>
                <w:rFonts w:cs="Arial"/>
                <w:sz w:val="18"/>
                <w:szCs w:val="18"/>
              </w:rPr>
            </w:pPr>
            <w:r w:rsidRPr="001D41EA">
              <w:rPr>
                <w:rFonts w:cs="Arial"/>
                <w:sz w:val="18"/>
                <w:szCs w:val="18"/>
              </w:rPr>
              <w:t>799,357</w:t>
            </w:r>
          </w:p>
        </w:tc>
        <w:tc>
          <w:tcPr>
            <w:tcW w:w="1134" w:type="dxa"/>
            <w:tcBorders>
              <w:top w:val="nil"/>
              <w:left w:val="nil"/>
              <w:bottom w:val="nil"/>
              <w:right w:val="nil"/>
            </w:tcBorders>
            <w:shd w:val="clear" w:color="auto" w:fill="auto"/>
            <w:vAlign w:val="bottom"/>
          </w:tcPr>
          <w:p w14:paraId="28963254" w14:textId="4BDB1E96" w:rsidR="00F04730" w:rsidRPr="001D41EA" w:rsidRDefault="00F04730" w:rsidP="001D41EA">
            <w:pPr>
              <w:spacing w:before="40" w:after="20"/>
              <w:jc w:val="right"/>
              <w:rPr>
                <w:rFonts w:cs="Arial"/>
                <w:sz w:val="18"/>
                <w:szCs w:val="18"/>
              </w:rPr>
            </w:pPr>
            <w:r w:rsidRPr="001D41EA">
              <w:rPr>
                <w:rFonts w:cs="Arial"/>
                <w:sz w:val="18"/>
                <w:szCs w:val="18"/>
              </w:rPr>
              <w:t>1,651.56</w:t>
            </w:r>
          </w:p>
        </w:tc>
      </w:tr>
      <w:tr w:rsidR="00F04730" w:rsidRPr="001D41EA" w14:paraId="41E5B33C"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45B60A6D" w14:textId="4D93D261"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Melbourne C </w:t>
            </w:r>
          </w:p>
        </w:tc>
        <w:tc>
          <w:tcPr>
            <w:tcW w:w="1134" w:type="dxa"/>
            <w:tcBorders>
              <w:top w:val="nil"/>
              <w:left w:val="single" w:sz="18" w:space="0" w:color="5F497A" w:themeColor="accent4" w:themeShade="BF"/>
              <w:bottom w:val="nil"/>
              <w:right w:val="nil"/>
            </w:tcBorders>
            <w:shd w:val="clear" w:color="auto" w:fill="auto"/>
            <w:vAlign w:val="bottom"/>
          </w:tcPr>
          <w:p w14:paraId="73BAC37F" w14:textId="30315109" w:rsidR="00F04730" w:rsidRPr="001D41EA" w:rsidRDefault="00F04730" w:rsidP="001D41EA">
            <w:pPr>
              <w:spacing w:before="40" w:after="20"/>
              <w:jc w:val="right"/>
              <w:rPr>
                <w:rFonts w:cs="Arial"/>
                <w:sz w:val="18"/>
                <w:szCs w:val="18"/>
              </w:rPr>
            </w:pPr>
            <w:r w:rsidRPr="001D41EA">
              <w:rPr>
                <w:rFonts w:cs="Arial"/>
                <w:sz w:val="18"/>
                <w:szCs w:val="18"/>
              </w:rPr>
              <w:t>169,961</w:t>
            </w:r>
          </w:p>
        </w:tc>
        <w:tc>
          <w:tcPr>
            <w:tcW w:w="1134" w:type="dxa"/>
            <w:tcBorders>
              <w:top w:val="nil"/>
              <w:left w:val="nil"/>
              <w:bottom w:val="nil"/>
              <w:right w:val="nil"/>
            </w:tcBorders>
            <w:shd w:val="clear" w:color="auto" w:fill="auto"/>
            <w:vAlign w:val="bottom"/>
          </w:tcPr>
          <w:p w14:paraId="5EEADF6A" w14:textId="6EFE995D" w:rsidR="00F04730" w:rsidRPr="001D41EA" w:rsidRDefault="00F04730" w:rsidP="001D41EA">
            <w:pPr>
              <w:spacing w:before="40" w:after="20"/>
              <w:jc w:val="right"/>
              <w:rPr>
                <w:rFonts w:cs="Arial"/>
                <w:sz w:val="18"/>
                <w:szCs w:val="18"/>
              </w:rPr>
            </w:pPr>
            <w:r w:rsidRPr="001D41EA">
              <w:rPr>
                <w:rFonts w:cs="Arial"/>
                <w:sz w:val="18"/>
                <w:szCs w:val="18"/>
              </w:rPr>
              <w:t>3,595,519</w:t>
            </w:r>
          </w:p>
        </w:tc>
        <w:tc>
          <w:tcPr>
            <w:tcW w:w="1134" w:type="dxa"/>
            <w:tcBorders>
              <w:top w:val="nil"/>
              <w:left w:val="nil"/>
              <w:bottom w:val="nil"/>
              <w:right w:val="nil"/>
            </w:tcBorders>
            <w:shd w:val="clear" w:color="auto" w:fill="auto"/>
            <w:vAlign w:val="bottom"/>
          </w:tcPr>
          <w:p w14:paraId="7389BE25" w14:textId="384E6F7C" w:rsidR="00F04730" w:rsidRPr="001D41EA" w:rsidRDefault="00F04730" w:rsidP="001D41EA">
            <w:pPr>
              <w:spacing w:before="40" w:after="20"/>
              <w:jc w:val="right"/>
              <w:rPr>
                <w:rFonts w:cs="Arial"/>
                <w:sz w:val="18"/>
                <w:szCs w:val="18"/>
              </w:rPr>
            </w:pPr>
            <w:r w:rsidRPr="001D41EA">
              <w:rPr>
                <w:rFonts w:cs="Arial"/>
                <w:sz w:val="18"/>
                <w:szCs w:val="18"/>
              </w:rPr>
              <w:t>21.15</w:t>
            </w:r>
          </w:p>
        </w:tc>
        <w:tc>
          <w:tcPr>
            <w:tcW w:w="1134" w:type="dxa"/>
            <w:tcBorders>
              <w:top w:val="nil"/>
              <w:left w:val="nil"/>
              <w:bottom w:val="nil"/>
              <w:right w:val="nil"/>
            </w:tcBorders>
            <w:shd w:val="clear" w:color="auto" w:fill="auto"/>
            <w:vAlign w:val="bottom"/>
          </w:tcPr>
          <w:p w14:paraId="06508D14" w14:textId="3417B4B3" w:rsidR="00F04730" w:rsidRPr="001D41EA" w:rsidRDefault="00F04730" w:rsidP="001D41EA">
            <w:pPr>
              <w:spacing w:before="40" w:after="20"/>
              <w:jc w:val="right"/>
              <w:rPr>
                <w:rFonts w:cs="Arial"/>
                <w:sz w:val="18"/>
                <w:szCs w:val="18"/>
              </w:rPr>
            </w:pPr>
            <w:r w:rsidRPr="001D41EA">
              <w:rPr>
                <w:rFonts w:cs="Arial"/>
                <w:sz w:val="18"/>
                <w:szCs w:val="18"/>
              </w:rPr>
              <w:t>241</w:t>
            </w:r>
          </w:p>
        </w:tc>
        <w:tc>
          <w:tcPr>
            <w:tcW w:w="1134" w:type="dxa"/>
            <w:tcBorders>
              <w:top w:val="nil"/>
              <w:left w:val="nil"/>
              <w:bottom w:val="nil"/>
              <w:right w:val="nil"/>
            </w:tcBorders>
            <w:shd w:val="clear" w:color="auto" w:fill="auto"/>
            <w:vAlign w:val="bottom"/>
          </w:tcPr>
          <w:p w14:paraId="5B40E0A7" w14:textId="0C7C09E7" w:rsidR="00F04730" w:rsidRPr="001D41EA" w:rsidRDefault="00F04730" w:rsidP="001D41EA">
            <w:pPr>
              <w:spacing w:before="40" w:after="20"/>
              <w:jc w:val="right"/>
              <w:rPr>
                <w:rFonts w:cs="Arial"/>
                <w:sz w:val="18"/>
                <w:szCs w:val="18"/>
              </w:rPr>
            </w:pPr>
            <w:r w:rsidRPr="001D41EA">
              <w:rPr>
                <w:rFonts w:cs="Arial"/>
                <w:sz w:val="18"/>
                <w:szCs w:val="18"/>
              </w:rPr>
              <w:t>737,216</w:t>
            </w:r>
          </w:p>
        </w:tc>
        <w:tc>
          <w:tcPr>
            <w:tcW w:w="1134" w:type="dxa"/>
            <w:tcBorders>
              <w:top w:val="nil"/>
              <w:left w:val="nil"/>
              <w:bottom w:val="nil"/>
              <w:right w:val="nil"/>
            </w:tcBorders>
            <w:shd w:val="clear" w:color="auto" w:fill="auto"/>
            <w:vAlign w:val="bottom"/>
          </w:tcPr>
          <w:p w14:paraId="62F73CD5" w14:textId="0D94925A" w:rsidR="00F04730" w:rsidRPr="001D41EA" w:rsidRDefault="00F04730" w:rsidP="001D41EA">
            <w:pPr>
              <w:spacing w:before="40" w:after="20"/>
              <w:jc w:val="right"/>
              <w:rPr>
                <w:rFonts w:cs="Arial"/>
                <w:sz w:val="18"/>
                <w:szCs w:val="18"/>
              </w:rPr>
            </w:pPr>
            <w:r w:rsidRPr="001D41EA">
              <w:rPr>
                <w:rFonts w:cs="Arial"/>
                <w:sz w:val="18"/>
                <w:szCs w:val="18"/>
              </w:rPr>
              <w:t>3,055.18</w:t>
            </w:r>
          </w:p>
        </w:tc>
      </w:tr>
      <w:tr w:rsidR="00F04730" w:rsidRPr="001D41EA" w14:paraId="0B29E103"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419E84E" w14:textId="51F43633"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Melton C </w:t>
            </w:r>
          </w:p>
        </w:tc>
        <w:tc>
          <w:tcPr>
            <w:tcW w:w="1134" w:type="dxa"/>
            <w:tcBorders>
              <w:top w:val="nil"/>
              <w:left w:val="single" w:sz="18" w:space="0" w:color="5F497A" w:themeColor="accent4" w:themeShade="BF"/>
              <w:bottom w:val="nil"/>
              <w:right w:val="nil"/>
            </w:tcBorders>
            <w:shd w:val="clear" w:color="auto" w:fill="auto"/>
            <w:vAlign w:val="bottom"/>
          </w:tcPr>
          <w:p w14:paraId="10F1B435" w14:textId="17BF395A" w:rsidR="00F04730" w:rsidRPr="001D41EA" w:rsidRDefault="00F04730" w:rsidP="001D41EA">
            <w:pPr>
              <w:spacing w:before="40" w:after="20"/>
              <w:jc w:val="right"/>
              <w:rPr>
                <w:rFonts w:cs="Arial"/>
                <w:sz w:val="18"/>
                <w:szCs w:val="18"/>
              </w:rPr>
            </w:pPr>
            <w:r w:rsidRPr="001D41EA">
              <w:rPr>
                <w:rFonts w:cs="Arial"/>
                <w:sz w:val="18"/>
                <w:szCs w:val="18"/>
              </w:rPr>
              <w:t>156,713</w:t>
            </w:r>
          </w:p>
        </w:tc>
        <w:tc>
          <w:tcPr>
            <w:tcW w:w="1134" w:type="dxa"/>
            <w:tcBorders>
              <w:top w:val="nil"/>
              <w:left w:val="nil"/>
              <w:bottom w:val="nil"/>
              <w:right w:val="nil"/>
            </w:tcBorders>
            <w:shd w:val="clear" w:color="auto" w:fill="auto"/>
            <w:vAlign w:val="bottom"/>
          </w:tcPr>
          <w:p w14:paraId="239B0DC0" w14:textId="1E07DD15" w:rsidR="00F04730" w:rsidRPr="001D41EA" w:rsidRDefault="00F04730" w:rsidP="001D41EA">
            <w:pPr>
              <w:spacing w:before="40" w:after="20"/>
              <w:jc w:val="right"/>
              <w:rPr>
                <w:rFonts w:cs="Arial"/>
                <w:sz w:val="18"/>
                <w:szCs w:val="18"/>
              </w:rPr>
            </w:pPr>
            <w:r w:rsidRPr="001D41EA">
              <w:rPr>
                <w:rFonts w:cs="Arial"/>
                <w:sz w:val="18"/>
                <w:szCs w:val="18"/>
              </w:rPr>
              <w:t>14,359,557</w:t>
            </w:r>
          </w:p>
        </w:tc>
        <w:tc>
          <w:tcPr>
            <w:tcW w:w="1134" w:type="dxa"/>
            <w:tcBorders>
              <w:top w:val="nil"/>
              <w:left w:val="nil"/>
              <w:bottom w:val="nil"/>
              <w:right w:val="nil"/>
            </w:tcBorders>
            <w:shd w:val="clear" w:color="auto" w:fill="auto"/>
            <w:vAlign w:val="bottom"/>
          </w:tcPr>
          <w:p w14:paraId="0E6B56F2" w14:textId="2EB928A0" w:rsidR="00F04730" w:rsidRPr="001D41EA" w:rsidRDefault="00F04730" w:rsidP="001D41EA">
            <w:pPr>
              <w:spacing w:before="40" w:after="20"/>
              <w:jc w:val="right"/>
              <w:rPr>
                <w:rFonts w:cs="Arial"/>
                <w:sz w:val="18"/>
                <w:szCs w:val="18"/>
              </w:rPr>
            </w:pPr>
            <w:r w:rsidRPr="001D41EA">
              <w:rPr>
                <w:rFonts w:cs="Arial"/>
                <w:sz w:val="18"/>
                <w:szCs w:val="18"/>
              </w:rPr>
              <w:t>91.63</w:t>
            </w:r>
          </w:p>
        </w:tc>
        <w:tc>
          <w:tcPr>
            <w:tcW w:w="1134" w:type="dxa"/>
            <w:tcBorders>
              <w:top w:val="nil"/>
              <w:left w:val="nil"/>
              <w:bottom w:val="nil"/>
              <w:right w:val="nil"/>
            </w:tcBorders>
            <w:shd w:val="clear" w:color="auto" w:fill="auto"/>
            <w:vAlign w:val="bottom"/>
          </w:tcPr>
          <w:p w14:paraId="46F32D5F" w14:textId="10584C3B" w:rsidR="00F04730" w:rsidRPr="001D41EA" w:rsidRDefault="00F04730" w:rsidP="001D41EA">
            <w:pPr>
              <w:spacing w:before="40" w:after="20"/>
              <w:jc w:val="right"/>
              <w:rPr>
                <w:rFonts w:cs="Arial"/>
                <w:sz w:val="18"/>
                <w:szCs w:val="18"/>
              </w:rPr>
            </w:pPr>
            <w:r w:rsidRPr="001D41EA">
              <w:rPr>
                <w:rFonts w:cs="Arial"/>
                <w:sz w:val="18"/>
                <w:szCs w:val="18"/>
              </w:rPr>
              <w:t>1,125</w:t>
            </w:r>
          </w:p>
        </w:tc>
        <w:tc>
          <w:tcPr>
            <w:tcW w:w="1134" w:type="dxa"/>
            <w:tcBorders>
              <w:top w:val="nil"/>
              <w:left w:val="nil"/>
              <w:bottom w:val="nil"/>
              <w:right w:val="nil"/>
            </w:tcBorders>
            <w:shd w:val="clear" w:color="auto" w:fill="auto"/>
            <w:vAlign w:val="bottom"/>
          </w:tcPr>
          <w:p w14:paraId="7A207CD6" w14:textId="26713F90" w:rsidR="00F04730" w:rsidRPr="001D41EA" w:rsidRDefault="00F04730" w:rsidP="001D41EA">
            <w:pPr>
              <w:spacing w:before="40" w:after="20"/>
              <w:jc w:val="right"/>
              <w:rPr>
                <w:rFonts w:cs="Arial"/>
                <w:sz w:val="18"/>
                <w:szCs w:val="18"/>
              </w:rPr>
            </w:pPr>
            <w:r w:rsidRPr="001D41EA">
              <w:rPr>
                <w:rFonts w:cs="Arial"/>
                <w:sz w:val="18"/>
                <w:szCs w:val="18"/>
              </w:rPr>
              <w:t>2,133,082</w:t>
            </w:r>
          </w:p>
        </w:tc>
        <w:tc>
          <w:tcPr>
            <w:tcW w:w="1134" w:type="dxa"/>
            <w:tcBorders>
              <w:top w:val="nil"/>
              <w:left w:val="nil"/>
              <w:bottom w:val="nil"/>
              <w:right w:val="nil"/>
            </w:tcBorders>
            <w:shd w:val="clear" w:color="auto" w:fill="auto"/>
            <w:vAlign w:val="bottom"/>
          </w:tcPr>
          <w:p w14:paraId="4B620A17" w14:textId="61A03FC4" w:rsidR="00F04730" w:rsidRPr="001D41EA" w:rsidRDefault="00F04730" w:rsidP="001D41EA">
            <w:pPr>
              <w:spacing w:before="40" w:after="20"/>
              <w:jc w:val="right"/>
              <w:rPr>
                <w:rFonts w:cs="Arial"/>
                <w:sz w:val="18"/>
                <w:szCs w:val="18"/>
              </w:rPr>
            </w:pPr>
            <w:r w:rsidRPr="001D41EA">
              <w:rPr>
                <w:rFonts w:cs="Arial"/>
                <w:sz w:val="18"/>
                <w:szCs w:val="18"/>
              </w:rPr>
              <w:t>1,895.43</w:t>
            </w:r>
          </w:p>
        </w:tc>
      </w:tr>
      <w:tr w:rsidR="00F04730" w:rsidRPr="001D41EA" w14:paraId="71E7C573"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0A9DC98" w14:textId="6DD6D18C" w:rsidR="00F04730" w:rsidRPr="001D41EA" w:rsidRDefault="00F04730" w:rsidP="001D41EA">
            <w:pPr>
              <w:tabs>
                <w:tab w:val="right" w:pos="2037"/>
              </w:tabs>
              <w:spacing w:before="40" w:after="20"/>
              <w:rPr>
                <w:rFonts w:cs="Arial"/>
                <w:sz w:val="18"/>
                <w:szCs w:val="18"/>
              </w:rPr>
            </w:pPr>
            <w:r w:rsidRPr="001D41EA">
              <w:rPr>
                <w:rFonts w:cs="Arial"/>
                <w:sz w:val="18"/>
                <w:szCs w:val="18"/>
              </w:rPr>
              <w:t>Mildura RC</w:t>
            </w:r>
            <w:r w:rsidR="00626246" w:rsidRPr="001D41EA">
              <w:rPr>
                <w:rFonts w:cs="Arial"/>
                <w:sz w:val="18"/>
                <w:szCs w:val="18"/>
              </w:rPr>
              <w:t xml:space="preserve">  *</w:t>
            </w:r>
            <w:r w:rsidR="00626246" w:rsidRPr="001D41EA">
              <w:rPr>
                <w:rFonts w:cs="Arial"/>
                <w:sz w:val="18"/>
                <w:szCs w:val="18"/>
              </w:rPr>
              <w:tab/>
            </w:r>
          </w:p>
        </w:tc>
        <w:tc>
          <w:tcPr>
            <w:tcW w:w="1134" w:type="dxa"/>
            <w:tcBorders>
              <w:top w:val="nil"/>
              <w:left w:val="single" w:sz="18" w:space="0" w:color="5F497A" w:themeColor="accent4" w:themeShade="BF"/>
              <w:bottom w:val="nil"/>
              <w:right w:val="nil"/>
            </w:tcBorders>
            <w:shd w:val="clear" w:color="auto" w:fill="auto"/>
            <w:vAlign w:val="bottom"/>
          </w:tcPr>
          <w:p w14:paraId="6F80AF5F" w14:textId="5BBB34D8" w:rsidR="00F04730" w:rsidRPr="001D41EA" w:rsidRDefault="00F04730" w:rsidP="001D41EA">
            <w:pPr>
              <w:spacing w:before="40" w:after="20"/>
              <w:jc w:val="right"/>
              <w:rPr>
                <w:rFonts w:cs="Arial"/>
                <w:sz w:val="18"/>
                <w:szCs w:val="18"/>
              </w:rPr>
            </w:pPr>
            <w:r w:rsidRPr="001D41EA">
              <w:rPr>
                <w:rFonts w:cs="Arial"/>
                <w:sz w:val="18"/>
                <w:szCs w:val="18"/>
              </w:rPr>
              <w:t>55,515</w:t>
            </w:r>
          </w:p>
        </w:tc>
        <w:tc>
          <w:tcPr>
            <w:tcW w:w="1134" w:type="dxa"/>
            <w:tcBorders>
              <w:top w:val="nil"/>
              <w:left w:val="nil"/>
              <w:bottom w:val="nil"/>
              <w:right w:val="nil"/>
            </w:tcBorders>
            <w:shd w:val="clear" w:color="auto" w:fill="auto"/>
            <w:vAlign w:val="bottom"/>
          </w:tcPr>
          <w:p w14:paraId="36D4CEE4" w14:textId="37E718DD" w:rsidR="00F04730" w:rsidRPr="001D41EA" w:rsidRDefault="00F04730" w:rsidP="001D41EA">
            <w:pPr>
              <w:spacing w:before="40" w:after="20"/>
              <w:jc w:val="right"/>
              <w:rPr>
                <w:rFonts w:cs="Arial"/>
                <w:sz w:val="18"/>
                <w:szCs w:val="18"/>
              </w:rPr>
            </w:pPr>
            <w:r w:rsidRPr="001D41EA">
              <w:rPr>
                <w:rFonts w:cs="Arial"/>
                <w:sz w:val="18"/>
                <w:szCs w:val="18"/>
              </w:rPr>
              <w:t>11,575,689</w:t>
            </w:r>
          </w:p>
        </w:tc>
        <w:tc>
          <w:tcPr>
            <w:tcW w:w="1134" w:type="dxa"/>
            <w:tcBorders>
              <w:top w:val="nil"/>
              <w:left w:val="nil"/>
              <w:bottom w:val="nil"/>
              <w:right w:val="nil"/>
            </w:tcBorders>
            <w:shd w:val="clear" w:color="auto" w:fill="auto"/>
            <w:vAlign w:val="bottom"/>
          </w:tcPr>
          <w:p w14:paraId="1D11D294" w14:textId="37B19A52" w:rsidR="00F04730" w:rsidRPr="001D41EA" w:rsidRDefault="00F04730" w:rsidP="001D41EA">
            <w:pPr>
              <w:spacing w:before="40" w:after="20"/>
              <w:jc w:val="right"/>
              <w:rPr>
                <w:rFonts w:cs="Arial"/>
                <w:sz w:val="18"/>
                <w:szCs w:val="18"/>
              </w:rPr>
            </w:pPr>
            <w:r w:rsidRPr="001D41EA">
              <w:rPr>
                <w:rFonts w:cs="Arial"/>
                <w:sz w:val="18"/>
                <w:szCs w:val="18"/>
              </w:rPr>
              <w:t>208.51</w:t>
            </w:r>
          </w:p>
        </w:tc>
        <w:tc>
          <w:tcPr>
            <w:tcW w:w="1134" w:type="dxa"/>
            <w:tcBorders>
              <w:top w:val="nil"/>
              <w:left w:val="nil"/>
              <w:bottom w:val="nil"/>
              <w:right w:val="nil"/>
            </w:tcBorders>
            <w:shd w:val="clear" w:color="auto" w:fill="auto"/>
            <w:vAlign w:val="bottom"/>
          </w:tcPr>
          <w:p w14:paraId="4FC831C2" w14:textId="337A12EF" w:rsidR="00F04730" w:rsidRPr="001D41EA" w:rsidRDefault="00F04730" w:rsidP="001D41EA">
            <w:pPr>
              <w:spacing w:before="40" w:after="20"/>
              <w:jc w:val="right"/>
              <w:rPr>
                <w:rFonts w:cs="Arial"/>
                <w:sz w:val="18"/>
                <w:szCs w:val="18"/>
              </w:rPr>
            </w:pPr>
            <w:r w:rsidRPr="001D41EA">
              <w:rPr>
                <w:rFonts w:cs="Arial"/>
                <w:sz w:val="18"/>
                <w:szCs w:val="18"/>
              </w:rPr>
              <w:t>5,218</w:t>
            </w:r>
          </w:p>
        </w:tc>
        <w:tc>
          <w:tcPr>
            <w:tcW w:w="1134" w:type="dxa"/>
            <w:tcBorders>
              <w:top w:val="nil"/>
              <w:left w:val="nil"/>
              <w:bottom w:val="nil"/>
              <w:right w:val="nil"/>
            </w:tcBorders>
            <w:shd w:val="clear" w:color="auto" w:fill="auto"/>
            <w:vAlign w:val="bottom"/>
          </w:tcPr>
          <w:p w14:paraId="4E29CFF2" w14:textId="6D3517D0" w:rsidR="00F04730" w:rsidRPr="001D41EA" w:rsidRDefault="00F04730" w:rsidP="001D41EA">
            <w:pPr>
              <w:spacing w:before="40" w:after="20"/>
              <w:jc w:val="right"/>
              <w:rPr>
                <w:rFonts w:cs="Arial"/>
                <w:sz w:val="18"/>
                <w:szCs w:val="18"/>
              </w:rPr>
            </w:pPr>
            <w:r w:rsidRPr="001D41EA">
              <w:rPr>
                <w:rFonts w:cs="Arial"/>
                <w:sz w:val="18"/>
                <w:szCs w:val="18"/>
              </w:rPr>
              <w:t>4,258,812</w:t>
            </w:r>
          </w:p>
        </w:tc>
        <w:tc>
          <w:tcPr>
            <w:tcW w:w="1134" w:type="dxa"/>
            <w:tcBorders>
              <w:top w:val="nil"/>
              <w:left w:val="nil"/>
              <w:bottom w:val="nil"/>
              <w:right w:val="nil"/>
            </w:tcBorders>
            <w:shd w:val="clear" w:color="auto" w:fill="auto"/>
            <w:vAlign w:val="bottom"/>
          </w:tcPr>
          <w:p w14:paraId="351B430B" w14:textId="28DF8139" w:rsidR="00F04730" w:rsidRPr="001D41EA" w:rsidRDefault="00F04730" w:rsidP="001D41EA">
            <w:pPr>
              <w:spacing w:before="40" w:after="20"/>
              <w:jc w:val="right"/>
              <w:rPr>
                <w:rFonts w:cs="Arial"/>
                <w:sz w:val="18"/>
                <w:szCs w:val="18"/>
              </w:rPr>
            </w:pPr>
            <w:r w:rsidRPr="001D41EA">
              <w:rPr>
                <w:rFonts w:cs="Arial"/>
                <w:sz w:val="18"/>
                <w:szCs w:val="18"/>
              </w:rPr>
              <w:t>816.18</w:t>
            </w:r>
          </w:p>
        </w:tc>
      </w:tr>
      <w:tr w:rsidR="00F04730" w:rsidRPr="001D41EA" w14:paraId="37BE5EF6"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38EBF6A" w14:textId="6531D5B4"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Mitchell S </w:t>
            </w:r>
          </w:p>
        </w:tc>
        <w:tc>
          <w:tcPr>
            <w:tcW w:w="1134" w:type="dxa"/>
            <w:tcBorders>
              <w:top w:val="nil"/>
              <w:left w:val="single" w:sz="18" w:space="0" w:color="5F497A" w:themeColor="accent4" w:themeShade="BF"/>
              <w:bottom w:val="nil"/>
              <w:right w:val="nil"/>
            </w:tcBorders>
            <w:shd w:val="clear" w:color="auto" w:fill="auto"/>
            <w:vAlign w:val="bottom"/>
          </w:tcPr>
          <w:p w14:paraId="76524269" w14:textId="216D2886" w:rsidR="00F04730" w:rsidRPr="001D41EA" w:rsidRDefault="00F04730" w:rsidP="001D41EA">
            <w:pPr>
              <w:spacing w:before="40" w:after="20"/>
              <w:jc w:val="right"/>
              <w:rPr>
                <w:rFonts w:cs="Arial"/>
                <w:sz w:val="18"/>
                <w:szCs w:val="18"/>
              </w:rPr>
            </w:pPr>
            <w:r w:rsidRPr="001D41EA">
              <w:rPr>
                <w:rFonts w:cs="Arial"/>
                <w:sz w:val="18"/>
                <w:szCs w:val="18"/>
              </w:rPr>
              <w:t>44,299</w:t>
            </w:r>
          </w:p>
        </w:tc>
        <w:tc>
          <w:tcPr>
            <w:tcW w:w="1134" w:type="dxa"/>
            <w:tcBorders>
              <w:top w:val="nil"/>
              <w:left w:val="nil"/>
              <w:bottom w:val="nil"/>
              <w:right w:val="nil"/>
            </w:tcBorders>
            <w:shd w:val="clear" w:color="auto" w:fill="auto"/>
            <w:vAlign w:val="bottom"/>
          </w:tcPr>
          <w:p w14:paraId="4CCAAE7B" w14:textId="73B854B9" w:rsidR="00F04730" w:rsidRPr="001D41EA" w:rsidRDefault="00F04730" w:rsidP="001D41EA">
            <w:pPr>
              <w:spacing w:before="40" w:after="20"/>
              <w:jc w:val="right"/>
              <w:rPr>
                <w:rFonts w:cs="Arial"/>
                <w:sz w:val="18"/>
                <w:szCs w:val="18"/>
              </w:rPr>
            </w:pPr>
            <w:r w:rsidRPr="001D41EA">
              <w:rPr>
                <w:rFonts w:cs="Arial"/>
                <w:sz w:val="18"/>
                <w:szCs w:val="18"/>
              </w:rPr>
              <w:t>5,943,231</w:t>
            </w:r>
          </w:p>
        </w:tc>
        <w:tc>
          <w:tcPr>
            <w:tcW w:w="1134" w:type="dxa"/>
            <w:tcBorders>
              <w:top w:val="nil"/>
              <w:left w:val="nil"/>
              <w:bottom w:val="nil"/>
              <w:right w:val="nil"/>
            </w:tcBorders>
            <w:shd w:val="clear" w:color="auto" w:fill="auto"/>
            <w:vAlign w:val="bottom"/>
          </w:tcPr>
          <w:p w14:paraId="169473BC" w14:textId="01973851" w:rsidR="00F04730" w:rsidRPr="001D41EA" w:rsidRDefault="00F04730" w:rsidP="001D41EA">
            <w:pPr>
              <w:spacing w:before="40" w:after="20"/>
              <w:jc w:val="right"/>
              <w:rPr>
                <w:rFonts w:cs="Arial"/>
                <w:sz w:val="18"/>
                <w:szCs w:val="18"/>
              </w:rPr>
            </w:pPr>
            <w:r w:rsidRPr="001D41EA">
              <w:rPr>
                <w:rFonts w:cs="Arial"/>
                <w:sz w:val="18"/>
                <w:szCs w:val="18"/>
              </w:rPr>
              <w:t>134.16</w:t>
            </w:r>
          </w:p>
        </w:tc>
        <w:tc>
          <w:tcPr>
            <w:tcW w:w="1134" w:type="dxa"/>
            <w:tcBorders>
              <w:top w:val="nil"/>
              <w:left w:val="nil"/>
              <w:bottom w:val="nil"/>
              <w:right w:val="nil"/>
            </w:tcBorders>
            <w:shd w:val="clear" w:color="auto" w:fill="auto"/>
            <w:vAlign w:val="bottom"/>
          </w:tcPr>
          <w:p w14:paraId="5828BEF9" w14:textId="21583FB0" w:rsidR="00F04730" w:rsidRPr="001D41EA" w:rsidRDefault="00F04730" w:rsidP="001D41EA">
            <w:pPr>
              <w:spacing w:before="40" w:after="20"/>
              <w:jc w:val="right"/>
              <w:rPr>
                <w:rFonts w:cs="Arial"/>
                <w:sz w:val="18"/>
                <w:szCs w:val="18"/>
              </w:rPr>
            </w:pPr>
            <w:r w:rsidRPr="001D41EA">
              <w:rPr>
                <w:rFonts w:cs="Arial"/>
                <w:sz w:val="18"/>
                <w:szCs w:val="18"/>
              </w:rPr>
              <w:t>1,504</w:t>
            </w:r>
          </w:p>
        </w:tc>
        <w:tc>
          <w:tcPr>
            <w:tcW w:w="1134" w:type="dxa"/>
            <w:tcBorders>
              <w:top w:val="nil"/>
              <w:left w:val="nil"/>
              <w:bottom w:val="nil"/>
              <w:right w:val="nil"/>
            </w:tcBorders>
            <w:shd w:val="clear" w:color="auto" w:fill="auto"/>
            <w:vAlign w:val="bottom"/>
          </w:tcPr>
          <w:p w14:paraId="2E3341D5" w14:textId="5190089F" w:rsidR="00F04730" w:rsidRPr="001D41EA" w:rsidRDefault="00F04730" w:rsidP="001D41EA">
            <w:pPr>
              <w:spacing w:before="40" w:after="20"/>
              <w:jc w:val="right"/>
              <w:rPr>
                <w:rFonts w:cs="Arial"/>
                <w:sz w:val="18"/>
                <w:szCs w:val="18"/>
              </w:rPr>
            </w:pPr>
            <w:r w:rsidRPr="001D41EA">
              <w:rPr>
                <w:rFonts w:cs="Arial"/>
                <w:sz w:val="18"/>
                <w:szCs w:val="18"/>
              </w:rPr>
              <w:t>1,953,964</w:t>
            </w:r>
          </w:p>
        </w:tc>
        <w:tc>
          <w:tcPr>
            <w:tcW w:w="1134" w:type="dxa"/>
            <w:tcBorders>
              <w:top w:val="nil"/>
              <w:left w:val="nil"/>
              <w:bottom w:val="nil"/>
              <w:right w:val="nil"/>
            </w:tcBorders>
            <w:shd w:val="clear" w:color="auto" w:fill="auto"/>
            <w:vAlign w:val="bottom"/>
          </w:tcPr>
          <w:p w14:paraId="7F714704" w14:textId="1DA79E42" w:rsidR="00F04730" w:rsidRPr="001D41EA" w:rsidRDefault="00F04730" w:rsidP="001D41EA">
            <w:pPr>
              <w:spacing w:before="40" w:after="20"/>
              <w:jc w:val="right"/>
              <w:rPr>
                <w:rFonts w:cs="Arial"/>
                <w:sz w:val="18"/>
                <w:szCs w:val="18"/>
              </w:rPr>
            </w:pPr>
            <w:r w:rsidRPr="001D41EA">
              <w:rPr>
                <w:rFonts w:cs="Arial"/>
                <w:sz w:val="18"/>
                <w:szCs w:val="18"/>
              </w:rPr>
              <w:t>1,299.12</w:t>
            </w:r>
          </w:p>
        </w:tc>
      </w:tr>
      <w:tr w:rsidR="00F04730" w:rsidRPr="001D41EA" w14:paraId="75DFB042"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D4DDC9C" w14:textId="43E03F52"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Moira S </w:t>
            </w:r>
          </w:p>
        </w:tc>
        <w:tc>
          <w:tcPr>
            <w:tcW w:w="1134" w:type="dxa"/>
            <w:tcBorders>
              <w:top w:val="nil"/>
              <w:left w:val="single" w:sz="18" w:space="0" w:color="5F497A" w:themeColor="accent4" w:themeShade="BF"/>
              <w:bottom w:val="nil"/>
              <w:right w:val="nil"/>
            </w:tcBorders>
            <w:shd w:val="clear" w:color="auto" w:fill="auto"/>
            <w:vAlign w:val="bottom"/>
          </w:tcPr>
          <w:p w14:paraId="4F150CF6" w14:textId="426F07B8" w:rsidR="00F04730" w:rsidRPr="001D41EA" w:rsidRDefault="00F04730" w:rsidP="001D41EA">
            <w:pPr>
              <w:spacing w:before="40" w:after="20"/>
              <w:jc w:val="right"/>
              <w:rPr>
                <w:rFonts w:cs="Arial"/>
                <w:sz w:val="18"/>
                <w:szCs w:val="18"/>
              </w:rPr>
            </w:pPr>
            <w:r w:rsidRPr="001D41EA">
              <w:rPr>
                <w:rFonts w:cs="Arial"/>
                <w:sz w:val="18"/>
                <w:szCs w:val="18"/>
              </w:rPr>
              <w:t>29,799</w:t>
            </w:r>
          </w:p>
        </w:tc>
        <w:tc>
          <w:tcPr>
            <w:tcW w:w="1134" w:type="dxa"/>
            <w:tcBorders>
              <w:top w:val="nil"/>
              <w:left w:val="nil"/>
              <w:bottom w:val="nil"/>
              <w:right w:val="nil"/>
            </w:tcBorders>
            <w:shd w:val="clear" w:color="auto" w:fill="auto"/>
            <w:vAlign w:val="bottom"/>
          </w:tcPr>
          <w:p w14:paraId="759F0D5C" w14:textId="3887EB18" w:rsidR="00F04730" w:rsidRPr="001D41EA" w:rsidRDefault="00F04730" w:rsidP="001D41EA">
            <w:pPr>
              <w:spacing w:before="40" w:after="20"/>
              <w:jc w:val="right"/>
              <w:rPr>
                <w:rFonts w:cs="Arial"/>
                <w:sz w:val="18"/>
                <w:szCs w:val="18"/>
              </w:rPr>
            </w:pPr>
            <w:r w:rsidRPr="001D41EA">
              <w:rPr>
                <w:rFonts w:cs="Arial"/>
                <w:sz w:val="18"/>
                <w:szCs w:val="18"/>
              </w:rPr>
              <w:t>7,304,123</w:t>
            </w:r>
          </w:p>
        </w:tc>
        <w:tc>
          <w:tcPr>
            <w:tcW w:w="1134" w:type="dxa"/>
            <w:tcBorders>
              <w:top w:val="nil"/>
              <w:left w:val="nil"/>
              <w:bottom w:val="nil"/>
              <w:right w:val="nil"/>
            </w:tcBorders>
            <w:shd w:val="clear" w:color="auto" w:fill="auto"/>
            <w:vAlign w:val="bottom"/>
          </w:tcPr>
          <w:p w14:paraId="71D07403" w14:textId="5152DBF9" w:rsidR="00F04730" w:rsidRPr="001D41EA" w:rsidRDefault="00F04730" w:rsidP="001D41EA">
            <w:pPr>
              <w:spacing w:before="40" w:after="20"/>
              <w:jc w:val="right"/>
              <w:rPr>
                <w:rFonts w:cs="Arial"/>
                <w:sz w:val="18"/>
                <w:szCs w:val="18"/>
              </w:rPr>
            </w:pPr>
            <w:r w:rsidRPr="001D41EA">
              <w:rPr>
                <w:rFonts w:cs="Arial"/>
                <w:sz w:val="18"/>
                <w:szCs w:val="18"/>
              </w:rPr>
              <w:t>245.11</w:t>
            </w:r>
          </w:p>
        </w:tc>
        <w:tc>
          <w:tcPr>
            <w:tcW w:w="1134" w:type="dxa"/>
            <w:tcBorders>
              <w:top w:val="nil"/>
              <w:left w:val="nil"/>
              <w:bottom w:val="nil"/>
              <w:right w:val="nil"/>
            </w:tcBorders>
            <w:shd w:val="clear" w:color="auto" w:fill="auto"/>
            <w:vAlign w:val="bottom"/>
          </w:tcPr>
          <w:p w14:paraId="64FF7F03" w14:textId="72CDBAA4" w:rsidR="00F04730" w:rsidRPr="001D41EA" w:rsidRDefault="00F04730" w:rsidP="001D41EA">
            <w:pPr>
              <w:spacing w:before="40" w:after="20"/>
              <w:jc w:val="right"/>
              <w:rPr>
                <w:rFonts w:cs="Arial"/>
                <w:sz w:val="18"/>
                <w:szCs w:val="18"/>
              </w:rPr>
            </w:pPr>
            <w:r w:rsidRPr="001D41EA">
              <w:rPr>
                <w:rFonts w:cs="Arial"/>
                <w:sz w:val="18"/>
                <w:szCs w:val="18"/>
              </w:rPr>
              <w:t>3,648</w:t>
            </w:r>
          </w:p>
        </w:tc>
        <w:tc>
          <w:tcPr>
            <w:tcW w:w="1134" w:type="dxa"/>
            <w:tcBorders>
              <w:top w:val="nil"/>
              <w:left w:val="nil"/>
              <w:bottom w:val="nil"/>
              <w:right w:val="nil"/>
            </w:tcBorders>
            <w:shd w:val="clear" w:color="auto" w:fill="auto"/>
            <w:vAlign w:val="bottom"/>
          </w:tcPr>
          <w:p w14:paraId="38B893E5" w14:textId="597E27F4" w:rsidR="00F04730" w:rsidRPr="001D41EA" w:rsidRDefault="00F04730" w:rsidP="001D41EA">
            <w:pPr>
              <w:spacing w:before="40" w:after="20"/>
              <w:jc w:val="right"/>
              <w:rPr>
                <w:rFonts w:cs="Arial"/>
                <w:sz w:val="18"/>
                <w:szCs w:val="18"/>
              </w:rPr>
            </w:pPr>
            <w:r w:rsidRPr="001D41EA">
              <w:rPr>
                <w:rFonts w:cs="Arial"/>
                <w:sz w:val="18"/>
                <w:szCs w:val="18"/>
              </w:rPr>
              <w:t>3,997,378</w:t>
            </w:r>
          </w:p>
        </w:tc>
        <w:tc>
          <w:tcPr>
            <w:tcW w:w="1134" w:type="dxa"/>
            <w:tcBorders>
              <w:top w:val="nil"/>
              <w:left w:val="nil"/>
              <w:bottom w:val="nil"/>
              <w:right w:val="nil"/>
            </w:tcBorders>
            <w:shd w:val="clear" w:color="auto" w:fill="auto"/>
            <w:vAlign w:val="bottom"/>
          </w:tcPr>
          <w:p w14:paraId="1C0E910F" w14:textId="57CF9794" w:rsidR="00F04730" w:rsidRPr="001D41EA" w:rsidRDefault="00F04730" w:rsidP="001D41EA">
            <w:pPr>
              <w:spacing w:before="40" w:after="20"/>
              <w:jc w:val="right"/>
              <w:rPr>
                <w:rFonts w:cs="Arial"/>
                <w:sz w:val="18"/>
                <w:szCs w:val="18"/>
              </w:rPr>
            </w:pPr>
            <w:r w:rsidRPr="001D41EA">
              <w:rPr>
                <w:rFonts w:cs="Arial"/>
                <w:sz w:val="18"/>
                <w:szCs w:val="18"/>
              </w:rPr>
              <w:t>1,095.69</w:t>
            </w:r>
          </w:p>
        </w:tc>
      </w:tr>
      <w:tr w:rsidR="00F04730" w:rsidRPr="001D41EA" w14:paraId="4A1F0067"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179BC94" w14:textId="3F5D597B"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Monash C </w:t>
            </w:r>
          </w:p>
        </w:tc>
        <w:tc>
          <w:tcPr>
            <w:tcW w:w="1134" w:type="dxa"/>
            <w:tcBorders>
              <w:top w:val="nil"/>
              <w:left w:val="single" w:sz="18" w:space="0" w:color="5F497A" w:themeColor="accent4" w:themeShade="BF"/>
              <w:bottom w:val="nil"/>
              <w:right w:val="nil"/>
            </w:tcBorders>
            <w:shd w:val="clear" w:color="auto" w:fill="auto"/>
            <w:vAlign w:val="bottom"/>
          </w:tcPr>
          <w:p w14:paraId="5644431F" w14:textId="51F6DDBC" w:rsidR="00F04730" w:rsidRPr="001D41EA" w:rsidRDefault="00F04730" w:rsidP="001D41EA">
            <w:pPr>
              <w:spacing w:before="40" w:after="20"/>
              <w:jc w:val="right"/>
              <w:rPr>
                <w:rFonts w:cs="Arial"/>
                <w:sz w:val="18"/>
                <w:szCs w:val="18"/>
              </w:rPr>
            </w:pPr>
            <w:r w:rsidRPr="001D41EA">
              <w:rPr>
                <w:rFonts w:cs="Arial"/>
                <w:sz w:val="18"/>
                <w:szCs w:val="18"/>
              </w:rPr>
              <w:t>200,077</w:t>
            </w:r>
          </w:p>
        </w:tc>
        <w:tc>
          <w:tcPr>
            <w:tcW w:w="1134" w:type="dxa"/>
            <w:tcBorders>
              <w:top w:val="nil"/>
              <w:left w:val="nil"/>
              <w:bottom w:val="nil"/>
              <w:right w:val="nil"/>
            </w:tcBorders>
            <w:shd w:val="clear" w:color="auto" w:fill="auto"/>
            <w:vAlign w:val="bottom"/>
          </w:tcPr>
          <w:p w14:paraId="13CFCF6F" w14:textId="06A54E64" w:rsidR="00F04730" w:rsidRPr="001D41EA" w:rsidRDefault="00F04730" w:rsidP="001D41EA">
            <w:pPr>
              <w:spacing w:before="40" w:after="20"/>
              <w:jc w:val="right"/>
              <w:rPr>
                <w:rFonts w:cs="Arial"/>
                <w:sz w:val="18"/>
                <w:szCs w:val="18"/>
              </w:rPr>
            </w:pPr>
            <w:r w:rsidRPr="001D41EA">
              <w:rPr>
                <w:rFonts w:cs="Arial"/>
                <w:sz w:val="18"/>
                <w:szCs w:val="18"/>
              </w:rPr>
              <w:t>4,232,622</w:t>
            </w:r>
          </w:p>
        </w:tc>
        <w:tc>
          <w:tcPr>
            <w:tcW w:w="1134" w:type="dxa"/>
            <w:tcBorders>
              <w:top w:val="nil"/>
              <w:left w:val="nil"/>
              <w:bottom w:val="nil"/>
              <w:right w:val="nil"/>
            </w:tcBorders>
            <w:shd w:val="clear" w:color="auto" w:fill="auto"/>
            <w:vAlign w:val="bottom"/>
          </w:tcPr>
          <w:p w14:paraId="2655A0A1" w14:textId="0EBD04AF" w:rsidR="00F04730" w:rsidRPr="001D41EA" w:rsidRDefault="00F04730" w:rsidP="001D41EA">
            <w:pPr>
              <w:spacing w:before="40" w:after="20"/>
              <w:jc w:val="right"/>
              <w:rPr>
                <w:rFonts w:cs="Arial"/>
                <w:sz w:val="18"/>
                <w:szCs w:val="18"/>
              </w:rPr>
            </w:pPr>
            <w:r w:rsidRPr="001D41EA">
              <w:rPr>
                <w:rFonts w:cs="Arial"/>
                <w:sz w:val="18"/>
                <w:szCs w:val="18"/>
              </w:rPr>
              <w:t>21.15</w:t>
            </w:r>
          </w:p>
        </w:tc>
        <w:tc>
          <w:tcPr>
            <w:tcW w:w="1134" w:type="dxa"/>
            <w:tcBorders>
              <w:top w:val="nil"/>
              <w:left w:val="nil"/>
              <w:bottom w:val="nil"/>
              <w:right w:val="nil"/>
            </w:tcBorders>
            <w:shd w:val="clear" w:color="auto" w:fill="auto"/>
            <w:vAlign w:val="bottom"/>
          </w:tcPr>
          <w:p w14:paraId="3E000905" w14:textId="04696374" w:rsidR="00F04730" w:rsidRPr="001D41EA" w:rsidRDefault="00F04730" w:rsidP="001D41EA">
            <w:pPr>
              <w:spacing w:before="40" w:after="20"/>
              <w:jc w:val="right"/>
              <w:rPr>
                <w:rFonts w:cs="Arial"/>
                <w:sz w:val="18"/>
                <w:szCs w:val="18"/>
              </w:rPr>
            </w:pPr>
            <w:r w:rsidRPr="001D41EA">
              <w:rPr>
                <w:rFonts w:cs="Arial"/>
                <w:sz w:val="18"/>
                <w:szCs w:val="18"/>
              </w:rPr>
              <w:t>736</w:t>
            </w:r>
          </w:p>
        </w:tc>
        <w:tc>
          <w:tcPr>
            <w:tcW w:w="1134" w:type="dxa"/>
            <w:tcBorders>
              <w:top w:val="nil"/>
              <w:left w:val="nil"/>
              <w:bottom w:val="nil"/>
              <w:right w:val="nil"/>
            </w:tcBorders>
            <w:shd w:val="clear" w:color="auto" w:fill="auto"/>
            <w:vAlign w:val="bottom"/>
          </w:tcPr>
          <w:p w14:paraId="2266D810" w14:textId="5A18FD41" w:rsidR="00F04730" w:rsidRPr="001D41EA" w:rsidRDefault="00F04730" w:rsidP="001D41EA">
            <w:pPr>
              <w:spacing w:before="40" w:after="20"/>
              <w:jc w:val="right"/>
              <w:rPr>
                <w:rFonts w:cs="Arial"/>
                <w:sz w:val="18"/>
                <w:szCs w:val="18"/>
              </w:rPr>
            </w:pPr>
            <w:r w:rsidRPr="001D41EA">
              <w:rPr>
                <w:rFonts w:cs="Arial"/>
                <w:sz w:val="18"/>
                <w:szCs w:val="18"/>
              </w:rPr>
              <w:t>1,268,569</w:t>
            </w:r>
          </w:p>
        </w:tc>
        <w:tc>
          <w:tcPr>
            <w:tcW w:w="1134" w:type="dxa"/>
            <w:tcBorders>
              <w:top w:val="nil"/>
              <w:left w:val="nil"/>
              <w:bottom w:val="nil"/>
              <w:right w:val="nil"/>
            </w:tcBorders>
            <w:shd w:val="clear" w:color="auto" w:fill="auto"/>
            <w:vAlign w:val="bottom"/>
          </w:tcPr>
          <w:p w14:paraId="5E7BB015" w14:textId="0BB89596" w:rsidR="00F04730" w:rsidRPr="001D41EA" w:rsidRDefault="00F04730" w:rsidP="001D41EA">
            <w:pPr>
              <w:spacing w:before="40" w:after="20"/>
              <w:jc w:val="right"/>
              <w:rPr>
                <w:rFonts w:cs="Arial"/>
                <w:sz w:val="18"/>
                <w:szCs w:val="18"/>
              </w:rPr>
            </w:pPr>
            <w:r w:rsidRPr="001D41EA">
              <w:rPr>
                <w:rFonts w:cs="Arial"/>
                <w:sz w:val="18"/>
                <w:szCs w:val="18"/>
              </w:rPr>
              <w:t>1,723.60</w:t>
            </w:r>
          </w:p>
        </w:tc>
      </w:tr>
      <w:tr w:rsidR="00F04730" w:rsidRPr="001D41EA" w14:paraId="70477D33"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25F430A" w14:textId="18AA1601"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Moonee Valley C </w:t>
            </w:r>
          </w:p>
        </w:tc>
        <w:tc>
          <w:tcPr>
            <w:tcW w:w="1134" w:type="dxa"/>
            <w:tcBorders>
              <w:top w:val="nil"/>
              <w:left w:val="single" w:sz="18" w:space="0" w:color="5F497A" w:themeColor="accent4" w:themeShade="BF"/>
              <w:bottom w:val="nil"/>
              <w:right w:val="nil"/>
            </w:tcBorders>
            <w:shd w:val="clear" w:color="auto" w:fill="auto"/>
            <w:vAlign w:val="bottom"/>
          </w:tcPr>
          <w:p w14:paraId="3B9BA562" w14:textId="434F4F58" w:rsidR="00F04730" w:rsidRPr="001D41EA" w:rsidRDefault="00F04730" w:rsidP="001D41EA">
            <w:pPr>
              <w:spacing w:before="40" w:after="20"/>
              <w:jc w:val="right"/>
              <w:rPr>
                <w:rFonts w:cs="Arial"/>
                <w:sz w:val="18"/>
                <w:szCs w:val="18"/>
              </w:rPr>
            </w:pPr>
            <w:r w:rsidRPr="001D41EA">
              <w:rPr>
                <w:rFonts w:cs="Arial"/>
                <w:sz w:val="18"/>
                <w:szCs w:val="18"/>
              </w:rPr>
              <w:t>127,883</w:t>
            </w:r>
          </w:p>
        </w:tc>
        <w:tc>
          <w:tcPr>
            <w:tcW w:w="1134" w:type="dxa"/>
            <w:tcBorders>
              <w:top w:val="nil"/>
              <w:left w:val="nil"/>
              <w:bottom w:val="nil"/>
              <w:right w:val="nil"/>
            </w:tcBorders>
            <w:shd w:val="clear" w:color="auto" w:fill="auto"/>
            <w:vAlign w:val="bottom"/>
          </w:tcPr>
          <w:p w14:paraId="5D2476C5" w14:textId="54A3B11E" w:rsidR="00F04730" w:rsidRPr="001D41EA" w:rsidRDefault="00F04730" w:rsidP="001D41EA">
            <w:pPr>
              <w:spacing w:before="40" w:after="20"/>
              <w:jc w:val="right"/>
              <w:rPr>
                <w:rFonts w:cs="Arial"/>
                <w:sz w:val="18"/>
                <w:szCs w:val="18"/>
              </w:rPr>
            </w:pPr>
            <w:r w:rsidRPr="001D41EA">
              <w:rPr>
                <w:rFonts w:cs="Arial"/>
                <w:sz w:val="18"/>
                <w:szCs w:val="18"/>
              </w:rPr>
              <w:t>2,705,361</w:t>
            </w:r>
          </w:p>
        </w:tc>
        <w:tc>
          <w:tcPr>
            <w:tcW w:w="1134" w:type="dxa"/>
            <w:tcBorders>
              <w:top w:val="nil"/>
              <w:left w:val="nil"/>
              <w:bottom w:val="nil"/>
              <w:right w:val="nil"/>
            </w:tcBorders>
            <w:shd w:val="clear" w:color="auto" w:fill="auto"/>
            <w:vAlign w:val="bottom"/>
          </w:tcPr>
          <w:p w14:paraId="5AED390F" w14:textId="26CEB70C" w:rsidR="00F04730" w:rsidRPr="001D41EA" w:rsidRDefault="00F04730" w:rsidP="001D41EA">
            <w:pPr>
              <w:spacing w:before="40" w:after="20"/>
              <w:jc w:val="right"/>
              <w:rPr>
                <w:rFonts w:cs="Arial"/>
                <w:sz w:val="18"/>
                <w:szCs w:val="18"/>
              </w:rPr>
            </w:pPr>
            <w:r w:rsidRPr="001D41EA">
              <w:rPr>
                <w:rFonts w:cs="Arial"/>
                <w:sz w:val="18"/>
                <w:szCs w:val="18"/>
              </w:rPr>
              <w:t>21.15</w:t>
            </w:r>
          </w:p>
        </w:tc>
        <w:tc>
          <w:tcPr>
            <w:tcW w:w="1134" w:type="dxa"/>
            <w:tcBorders>
              <w:top w:val="nil"/>
              <w:left w:val="nil"/>
              <w:bottom w:val="nil"/>
              <w:right w:val="nil"/>
            </w:tcBorders>
            <w:shd w:val="clear" w:color="auto" w:fill="auto"/>
            <w:vAlign w:val="bottom"/>
          </w:tcPr>
          <w:p w14:paraId="59B2D7F4" w14:textId="63511775" w:rsidR="00F04730" w:rsidRPr="001D41EA" w:rsidRDefault="00F04730" w:rsidP="001D41EA">
            <w:pPr>
              <w:spacing w:before="40" w:after="20"/>
              <w:jc w:val="right"/>
              <w:rPr>
                <w:rFonts w:cs="Arial"/>
                <w:sz w:val="18"/>
                <w:szCs w:val="18"/>
              </w:rPr>
            </w:pPr>
            <w:r w:rsidRPr="001D41EA">
              <w:rPr>
                <w:rFonts w:cs="Arial"/>
                <w:sz w:val="18"/>
                <w:szCs w:val="18"/>
              </w:rPr>
              <w:t>421</w:t>
            </w:r>
          </w:p>
        </w:tc>
        <w:tc>
          <w:tcPr>
            <w:tcW w:w="1134" w:type="dxa"/>
            <w:tcBorders>
              <w:top w:val="nil"/>
              <w:left w:val="nil"/>
              <w:bottom w:val="nil"/>
              <w:right w:val="nil"/>
            </w:tcBorders>
            <w:shd w:val="clear" w:color="auto" w:fill="auto"/>
            <w:vAlign w:val="bottom"/>
          </w:tcPr>
          <w:p w14:paraId="3D138DDF" w14:textId="38FDC403" w:rsidR="00F04730" w:rsidRPr="001D41EA" w:rsidRDefault="00F04730" w:rsidP="001D41EA">
            <w:pPr>
              <w:spacing w:before="40" w:after="20"/>
              <w:jc w:val="right"/>
              <w:rPr>
                <w:rFonts w:cs="Arial"/>
                <w:sz w:val="18"/>
                <w:szCs w:val="18"/>
              </w:rPr>
            </w:pPr>
            <w:r w:rsidRPr="001D41EA">
              <w:rPr>
                <w:rFonts w:cs="Arial"/>
                <w:sz w:val="18"/>
                <w:szCs w:val="18"/>
              </w:rPr>
              <w:t>725,238</w:t>
            </w:r>
          </w:p>
        </w:tc>
        <w:tc>
          <w:tcPr>
            <w:tcW w:w="1134" w:type="dxa"/>
            <w:tcBorders>
              <w:top w:val="nil"/>
              <w:left w:val="nil"/>
              <w:bottom w:val="nil"/>
              <w:right w:val="nil"/>
            </w:tcBorders>
            <w:shd w:val="clear" w:color="auto" w:fill="auto"/>
            <w:vAlign w:val="bottom"/>
          </w:tcPr>
          <w:p w14:paraId="323682DF" w14:textId="7A557F21" w:rsidR="00F04730" w:rsidRPr="001D41EA" w:rsidRDefault="00F04730" w:rsidP="001D41EA">
            <w:pPr>
              <w:spacing w:before="40" w:after="20"/>
              <w:jc w:val="right"/>
              <w:rPr>
                <w:rFonts w:cs="Arial"/>
                <w:sz w:val="18"/>
                <w:szCs w:val="18"/>
              </w:rPr>
            </w:pPr>
            <w:r w:rsidRPr="001D41EA">
              <w:rPr>
                <w:rFonts w:cs="Arial"/>
                <w:sz w:val="18"/>
                <w:szCs w:val="18"/>
              </w:rPr>
              <w:t>1,720.95</w:t>
            </w:r>
          </w:p>
        </w:tc>
      </w:tr>
      <w:tr w:rsidR="00F04730" w:rsidRPr="001D41EA" w14:paraId="00EF0738"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019B05B7" w14:textId="0CE9F9F8"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Moorabool S </w:t>
            </w:r>
          </w:p>
        </w:tc>
        <w:tc>
          <w:tcPr>
            <w:tcW w:w="1134" w:type="dxa"/>
            <w:tcBorders>
              <w:top w:val="nil"/>
              <w:left w:val="single" w:sz="18" w:space="0" w:color="5F497A" w:themeColor="accent4" w:themeShade="BF"/>
              <w:bottom w:val="nil"/>
              <w:right w:val="nil"/>
            </w:tcBorders>
            <w:shd w:val="clear" w:color="auto" w:fill="auto"/>
            <w:vAlign w:val="bottom"/>
          </w:tcPr>
          <w:p w14:paraId="3336FE72" w14:textId="3CFAFF3D" w:rsidR="00F04730" w:rsidRPr="001D41EA" w:rsidRDefault="00F04730" w:rsidP="001D41EA">
            <w:pPr>
              <w:spacing w:before="40" w:after="20"/>
              <w:jc w:val="right"/>
              <w:rPr>
                <w:rFonts w:cs="Arial"/>
                <w:sz w:val="18"/>
                <w:szCs w:val="18"/>
              </w:rPr>
            </w:pPr>
            <w:r w:rsidRPr="001D41EA">
              <w:rPr>
                <w:rFonts w:cs="Arial"/>
                <w:sz w:val="18"/>
                <w:szCs w:val="18"/>
              </w:rPr>
              <w:t>34,158</w:t>
            </w:r>
          </w:p>
        </w:tc>
        <w:tc>
          <w:tcPr>
            <w:tcW w:w="1134" w:type="dxa"/>
            <w:tcBorders>
              <w:top w:val="nil"/>
              <w:left w:val="nil"/>
              <w:bottom w:val="nil"/>
              <w:right w:val="nil"/>
            </w:tcBorders>
            <w:shd w:val="clear" w:color="auto" w:fill="auto"/>
            <w:vAlign w:val="bottom"/>
          </w:tcPr>
          <w:p w14:paraId="5FCC2166" w14:textId="041E9085" w:rsidR="00F04730" w:rsidRPr="001D41EA" w:rsidRDefault="00F04730" w:rsidP="001D41EA">
            <w:pPr>
              <w:spacing w:before="40" w:after="20"/>
              <w:jc w:val="right"/>
              <w:rPr>
                <w:rFonts w:cs="Arial"/>
                <w:sz w:val="18"/>
                <w:szCs w:val="18"/>
              </w:rPr>
            </w:pPr>
            <w:r w:rsidRPr="001D41EA">
              <w:rPr>
                <w:rFonts w:cs="Arial"/>
                <w:sz w:val="18"/>
                <w:szCs w:val="18"/>
              </w:rPr>
              <w:t>4,670,256</w:t>
            </w:r>
          </w:p>
        </w:tc>
        <w:tc>
          <w:tcPr>
            <w:tcW w:w="1134" w:type="dxa"/>
            <w:tcBorders>
              <w:top w:val="nil"/>
              <w:left w:val="nil"/>
              <w:bottom w:val="nil"/>
              <w:right w:val="nil"/>
            </w:tcBorders>
            <w:shd w:val="clear" w:color="auto" w:fill="auto"/>
            <w:vAlign w:val="bottom"/>
          </w:tcPr>
          <w:p w14:paraId="352A1E0F" w14:textId="239AEB20" w:rsidR="00F04730" w:rsidRPr="001D41EA" w:rsidRDefault="00F04730" w:rsidP="001D41EA">
            <w:pPr>
              <w:spacing w:before="40" w:after="20"/>
              <w:jc w:val="right"/>
              <w:rPr>
                <w:rFonts w:cs="Arial"/>
                <w:sz w:val="18"/>
                <w:szCs w:val="18"/>
              </w:rPr>
            </w:pPr>
            <w:r w:rsidRPr="001D41EA">
              <w:rPr>
                <w:rFonts w:cs="Arial"/>
                <w:sz w:val="18"/>
                <w:szCs w:val="18"/>
              </w:rPr>
              <w:t>136.73</w:t>
            </w:r>
          </w:p>
        </w:tc>
        <w:tc>
          <w:tcPr>
            <w:tcW w:w="1134" w:type="dxa"/>
            <w:tcBorders>
              <w:top w:val="nil"/>
              <w:left w:val="nil"/>
              <w:bottom w:val="nil"/>
              <w:right w:val="nil"/>
            </w:tcBorders>
            <w:shd w:val="clear" w:color="auto" w:fill="auto"/>
            <w:vAlign w:val="bottom"/>
          </w:tcPr>
          <w:p w14:paraId="2BCFF912" w14:textId="093AF5EE" w:rsidR="00F04730" w:rsidRPr="001D41EA" w:rsidRDefault="00F04730" w:rsidP="001D41EA">
            <w:pPr>
              <w:spacing w:before="40" w:after="20"/>
              <w:jc w:val="right"/>
              <w:rPr>
                <w:rFonts w:cs="Arial"/>
                <w:sz w:val="18"/>
                <w:szCs w:val="18"/>
              </w:rPr>
            </w:pPr>
            <w:r w:rsidRPr="001D41EA">
              <w:rPr>
                <w:rFonts w:cs="Arial"/>
                <w:sz w:val="18"/>
                <w:szCs w:val="18"/>
              </w:rPr>
              <w:t>1,522</w:t>
            </w:r>
          </w:p>
        </w:tc>
        <w:tc>
          <w:tcPr>
            <w:tcW w:w="1134" w:type="dxa"/>
            <w:tcBorders>
              <w:top w:val="nil"/>
              <w:left w:val="nil"/>
              <w:bottom w:val="nil"/>
              <w:right w:val="nil"/>
            </w:tcBorders>
            <w:shd w:val="clear" w:color="auto" w:fill="auto"/>
            <w:vAlign w:val="bottom"/>
          </w:tcPr>
          <w:p w14:paraId="6492F649" w14:textId="35F973FE" w:rsidR="00F04730" w:rsidRPr="001D41EA" w:rsidRDefault="00F04730" w:rsidP="001D41EA">
            <w:pPr>
              <w:spacing w:before="40" w:after="20"/>
              <w:jc w:val="right"/>
              <w:rPr>
                <w:rFonts w:cs="Arial"/>
                <w:sz w:val="18"/>
                <w:szCs w:val="18"/>
              </w:rPr>
            </w:pPr>
            <w:r w:rsidRPr="001D41EA">
              <w:rPr>
                <w:rFonts w:cs="Arial"/>
                <w:sz w:val="18"/>
                <w:szCs w:val="18"/>
              </w:rPr>
              <w:t>2,009,590</w:t>
            </w:r>
          </w:p>
        </w:tc>
        <w:tc>
          <w:tcPr>
            <w:tcW w:w="1134" w:type="dxa"/>
            <w:tcBorders>
              <w:top w:val="nil"/>
              <w:left w:val="nil"/>
              <w:bottom w:val="nil"/>
              <w:right w:val="nil"/>
            </w:tcBorders>
            <w:shd w:val="clear" w:color="auto" w:fill="auto"/>
            <w:vAlign w:val="bottom"/>
          </w:tcPr>
          <w:p w14:paraId="74FF4B0C" w14:textId="3DE3AA85" w:rsidR="00F04730" w:rsidRPr="001D41EA" w:rsidRDefault="00F04730" w:rsidP="001D41EA">
            <w:pPr>
              <w:spacing w:before="40" w:after="20"/>
              <w:jc w:val="right"/>
              <w:rPr>
                <w:rFonts w:cs="Arial"/>
                <w:sz w:val="18"/>
                <w:szCs w:val="18"/>
              </w:rPr>
            </w:pPr>
            <w:r w:rsidRPr="001D41EA">
              <w:rPr>
                <w:rFonts w:cs="Arial"/>
                <w:sz w:val="18"/>
                <w:szCs w:val="18"/>
              </w:rPr>
              <w:t>1,320.19</w:t>
            </w:r>
          </w:p>
        </w:tc>
      </w:tr>
      <w:tr w:rsidR="00F04730" w:rsidRPr="001D41EA" w14:paraId="701FB24C"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CF4AC8F" w14:textId="459FF231"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Moreland C </w:t>
            </w:r>
          </w:p>
        </w:tc>
        <w:tc>
          <w:tcPr>
            <w:tcW w:w="1134" w:type="dxa"/>
            <w:tcBorders>
              <w:top w:val="nil"/>
              <w:left w:val="single" w:sz="18" w:space="0" w:color="5F497A" w:themeColor="accent4" w:themeShade="BF"/>
              <w:bottom w:val="nil"/>
              <w:right w:val="nil"/>
            </w:tcBorders>
            <w:shd w:val="clear" w:color="auto" w:fill="auto"/>
            <w:vAlign w:val="bottom"/>
          </w:tcPr>
          <w:p w14:paraId="018CD327" w14:textId="62118296" w:rsidR="00F04730" w:rsidRPr="001D41EA" w:rsidRDefault="00F04730" w:rsidP="001D41EA">
            <w:pPr>
              <w:spacing w:before="40" w:after="20"/>
              <w:jc w:val="right"/>
              <w:rPr>
                <w:rFonts w:cs="Arial"/>
                <w:sz w:val="18"/>
                <w:szCs w:val="18"/>
              </w:rPr>
            </w:pPr>
            <w:r w:rsidRPr="001D41EA">
              <w:rPr>
                <w:rFonts w:cs="Arial"/>
                <w:sz w:val="18"/>
                <w:szCs w:val="18"/>
              </w:rPr>
              <w:t>181,725</w:t>
            </w:r>
          </w:p>
        </w:tc>
        <w:tc>
          <w:tcPr>
            <w:tcW w:w="1134" w:type="dxa"/>
            <w:tcBorders>
              <w:top w:val="nil"/>
              <w:left w:val="nil"/>
              <w:bottom w:val="nil"/>
              <w:right w:val="nil"/>
            </w:tcBorders>
            <w:shd w:val="clear" w:color="auto" w:fill="auto"/>
            <w:vAlign w:val="bottom"/>
          </w:tcPr>
          <w:p w14:paraId="128D3F16" w14:textId="54CB9F44" w:rsidR="00F04730" w:rsidRPr="001D41EA" w:rsidRDefault="00F04730" w:rsidP="001D41EA">
            <w:pPr>
              <w:spacing w:before="40" w:after="20"/>
              <w:jc w:val="right"/>
              <w:rPr>
                <w:rFonts w:cs="Arial"/>
                <w:sz w:val="18"/>
                <w:szCs w:val="18"/>
              </w:rPr>
            </w:pPr>
            <w:r w:rsidRPr="001D41EA">
              <w:rPr>
                <w:rFonts w:cs="Arial"/>
                <w:sz w:val="18"/>
                <w:szCs w:val="18"/>
              </w:rPr>
              <w:t>3,978,374</w:t>
            </w:r>
          </w:p>
        </w:tc>
        <w:tc>
          <w:tcPr>
            <w:tcW w:w="1134" w:type="dxa"/>
            <w:tcBorders>
              <w:top w:val="nil"/>
              <w:left w:val="nil"/>
              <w:bottom w:val="nil"/>
              <w:right w:val="nil"/>
            </w:tcBorders>
            <w:shd w:val="clear" w:color="auto" w:fill="auto"/>
            <w:vAlign w:val="bottom"/>
          </w:tcPr>
          <w:p w14:paraId="4FB9E025" w14:textId="22A9C753" w:rsidR="00F04730" w:rsidRPr="001D41EA" w:rsidRDefault="00F04730" w:rsidP="001D41EA">
            <w:pPr>
              <w:spacing w:before="40" w:after="20"/>
              <w:jc w:val="right"/>
              <w:rPr>
                <w:rFonts w:cs="Arial"/>
                <w:sz w:val="18"/>
                <w:szCs w:val="18"/>
              </w:rPr>
            </w:pPr>
            <w:r w:rsidRPr="001D41EA">
              <w:rPr>
                <w:rFonts w:cs="Arial"/>
                <w:sz w:val="18"/>
                <w:szCs w:val="18"/>
              </w:rPr>
              <w:t>21.89</w:t>
            </w:r>
          </w:p>
        </w:tc>
        <w:tc>
          <w:tcPr>
            <w:tcW w:w="1134" w:type="dxa"/>
            <w:tcBorders>
              <w:top w:val="nil"/>
              <w:left w:val="nil"/>
              <w:bottom w:val="nil"/>
              <w:right w:val="nil"/>
            </w:tcBorders>
            <w:shd w:val="clear" w:color="auto" w:fill="auto"/>
            <w:vAlign w:val="bottom"/>
          </w:tcPr>
          <w:p w14:paraId="28D8D6C7" w14:textId="665089E6" w:rsidR="00F04730" w:rsidRPr="001D41EA" w:rsidRDefault="00F04730" w:rsidP="001D41EA">
            <w:pPr>
              <w:spacing w:before="40" w:after="20"/>
              <w:jc w:val="right"/>
              <w:rPr>
                <w:rFonts w:cs="Arial"/>
                <w:sz w:val="18"/>
                <w:szCs w:val="18"/>
              </w:rPr>
            </w:pPr>
            <w:r w:rsidRPr="001D41EA">
              <w:rPr>
                <w:rFonts w:cs="Arial"/>
                <w:sz w:val="18"/>
                <w:szCs w:val="18"/>
              </w:rPr>
              <w:t>521</w:t>
            </w:r>
          </w:p>
        </w:tc>
        <w:tc>
          <w:tcPr>
            <w:tcW w:w="1134" w:type="dxa"/>
            <w:tcBorders>
              <w:top w:val="nil"/>
              <w:left w:val="nil"/>
              <w:bottom w:val="nil"/>
              <w:right w:val="nil"/>
            </w:tcBorders>
            <w:shd w:val="clear" w:color="auto" w:fill="auto"/>
            <w:vAlign w:val="bottom"/>
          </w:tcPr>
          <w:p w14:paraId="21B45EAC" w14:textId="3AC73916" w:rsidR="00F04730" w:rsidRPr="001D41EA" w:rsidRDefault="00F04730" w:rsidP="001D41EA">
            <w:pPr>
              <w:spacing w:before="40" w:after="20"/>
              <w:jc w:val="right"/>
              <w:rPr>
                <w:rFonts w:cs="Arial"/>
                <w:sz w:val="18"/>
                <w:szCs w:val="18"/>
              </w:rPr>
            </w:pPr>
            <w:r w:rsidRPr="001D41EA">
              <w:rPr>
                <w:rFonts w:cs="Arial"/>
                <w:sz w:val="18"/>
                <w:szCs w:val="18"/>
              </w:rPr>
              <w:t>957,511</w:t>
            </w:r>
          </w:p>
        </w:tc>
        <w:tc>
          <w:tcPr>
            <w:tcW w:w="1134" w:type="dxa"/>
            <w:tcBorders>
              <w:top w:val="nil"/>
              <w:left w:val="nil"/>
              <w:bottom w:val="nil"/>
              <w:right w:val="nil"/>
            </w:tcBorders>
            <w:shd w:val="clear" w:color="auto" w:fill="auto"/>
            <w:vAlign w:val="bottom"/>
          </w:tcPr>
          <w:p w14:paraId="1FA09FD0" w14:textId="07E5D67D" w:rsidR="00F04730" w:rsidRPr="001D41EA" w:rsidRDefault="00F04730" w:rsidP="001D41EA">
            <w:pPr>
              <w:spacing w:before="40" w:after="20"/>
              <w:jc w:val="right"/>
              <w:rPr>
                <w:rFonts w:cs="Arial"/>
                <w:sz w:val="18"/>
                <w:szCs w:val="18"/>
              </w:rPr>
            </w:pPr>
            <w:r w:rsidRPr="001D41EA">
              <w:rPr>
                <w:rFonts w:cs="Arial"/>
                <w:sz w:val="18"/>
                <w:szCs w:val="18"/>
              </w:rPr>
              <w:t>1,837.83</w:t>
            </w:r>
          </w:p>
        </w:tc>
      </w:tr>
      <w:tr w:rsidR="00F04730" w:rsidRPr="001D41EA" w14:paraId="4FF886DE"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0B07EF3F" w14:textId="0B1BB6C4"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Mornington Peninsula S </w:t>
            </w:r>
          </w:p>
        </w:tc>
        <w:tc>
          <w:tcPr>
            <w:tcW w:w="1134" w:type="dxa"/>
            <w:tcBorders>
              <w:top w:val="nil"/>
              <w:left w:val="single" w:sz="18" w:space="0" w:color="5F497A" w:themeColor="accent4" w:themeShade="BF"/>
              <w:bottom w:val="nil"/>
              <w:right w:val="nil"/>
            </w:tcBorders>
            <w:shd w:val="clear" w:color="auto" w:fill="auto"/>
            <w:vAlign w:val="bottom"/>
          </w:tcPr>
          <w:p w14:paraId="4A71EB13" w14:textId="1762368E" w:rsidR="00F04730" w:rsidRPr="001D41EA" w:rsidRDefault="00F04730" w:rsidP="001D41EA">
            <w:pPr>
              <w:spacing w:before="40" w:after="20"/>
              <w:jc w:val="right"/>
              <w:rPr>
                <w:rFonts w:cs="Arial"/>
                <w:sz w:val="18"/>
                <w:szCs w:val="18"/>
              </w:rPr>
            </w:pPr>
            <w:r w:rsidRPr="001D41EA">
              <w:rPr>
                <w:rFonts w:cs="Arial"/>
                <w:sz w:val="18"/>
                <w:szCs w:val="18"/>
              </w:rPr>
              <w:t>165,822</w:t>
            </w:r>
          </w:p>
        </w:tc>
        <w:tc>
          <w:tcPr>
            <w:tcW w:w="1134" w:type="dxa"/>
            <w:tcBorders>
              <w:top w:val="nil"/>
              <w:left w:val="nil"/>
              <w:bottom w:val="nil"/>
              <w:right w:val="nil"/>
            </w:tcBorders>
            <w:shd w:val="clear" w:color="auto" w:fill="auto"/>
            <w:vAlign w:val="bottom"/>
          </w:tcPr>
          <w:p w14:paraId="0F5411AB" w14:textId="2DD3A175" w:rsidR="00F04730" w:rsidRPr="001D41EA" w:rsidRDefault="00F04730" w:rsidP="001D41EA">
            <w:pPr>
              <w:spacing w:before="40" w:after="20"/>
              <w:jc w:val="right"/>
              <w:rPr>
                <w:rFonts w:cs="Arial"/>
                <w:sz w:val="18"/>
                <w:szCs w:val="18"/>
              </w:rPr>
            </w:pPr>
            <w:r w:rsidRPr="001D41EA">
              <w:rPr>
                <w:rFonts w:cs="Arial"/>
                <w:sz w:val="18"/>
                <w:szCs w:val="18"/>
              </w:rPr>
              <w:t>3,507,959</w:t>
            </w:r>
          </w:p>
        </w:tc>
        <w:tc>
          <w:tcPr>
            <w:tcW w:w="1134" w:type="dxa"/>
            <w:tcBorders>
              <w:top w:val="nil"/>
              <w:left w:val="nil"/>
              <w:bottom w:val="nil"/>
              <w:right w:val="nil"/>
            </w:tcBorders>
            <w:shd w:val="clear" w:color="auto" w:fill="auto"/>
            <w:vAlign w:val="bottom"/>
          </w:tcPr>
          <w:p w14:paraId="273697D4" w14:textId="2AE5BE00" w:rsidR="00F04730" w:rsidRPr="001D41EA" w:rsidRDefault="00F04730" w:rsidP="001D41EA">
            <w:pPr>
              <w:spacing w:before="40" w:after="20"/>
              <w:jc w:val="right"/>
              <w:rPr>
                <w:rFonts w:cs="Arial"/>
                <w:sz w:val="18"/>
                <w:szCs w:val="18"/>
              </w:rPr>
            </w:pPr>
            <w:r w:rsidRPr="001D41EA">
              <w:rPr>
                <w:rFonts w:cs="Arial"/>
                <w:sz w:val="18"/>
                <w:szCs w:val="18"/>
              </w:rPr>
              <w:t>21.15</w:t>
            </w:r>
          </w:p>
        </w:tc>
        <w:tc>
          <w:tcPr>
            <w:tcW w:w="1134" w:type="dxa"/>
            <w:tcBorders>
              <w:top w:val="nil"/>
              <w:left w:val="nil"/>
              <w:bottom w:val="nil"/>
              <w:right w:val="nil"/>
            </w:tcBorders>
            <w:shd w:val="clear" w:color="auto" w:fill="auto"/>
            <w:vAlign w:val="bottom"/>
          </w:tcPr>
          <w:p w14:paraId="746B5729" w14:textId="4AB6DE31" w:rsidR="00F04730" w:rsidRPr="001D41EA" w:rsidRDefault="00F04730" w:rsidP="001D41EA">
            <w:pPr>
              <w:spacing w:before="40" w:after="20"/>
              <w:jc w:val="right"/>
              <w:rPr>
                <w:rFonts w:cs="Arial"/>
                <w:sz w:val="18"/>
                <w:szCs w:val="18"/>
              </w:rPr>
            </w:pPr>
            <w:r w:rsidRPr="001D41EA">
              <w:rPr>
                <w:rFonts w:cs="Arial"/>
                <w:sz w:val="18"/>
                <w:szCs w:val="18"/>
              </w:rPr>
              <w:t>1,702</w:t>
            </w:r>
          </w:p>
        </w:tc>
        <w:tc>
          <w:tcPr>
            <w:tcW w:w="1134" w:type="dxa"/>
            <w:tcBorders>
              <w:top w:val="nil"/>
              <w:left w:val="nil"/>
              <w:bottom w:val="nil"/>
              <w:right w:val="nil"/>
            </w:tcBorders>
            <w:shd w:val="clear" w:color="auto" w:fill="auto"/>
            <w:vAlign w:val="bottom"/>
          </w:tcPr>
          <w:p w14:paraId="54FBB41B" w14:textId="6476CF9F" w:rsidR="00F04730" w:rsidRPr="001D41EA" w:rsidRDefault="00F04730" w:rsidP="001D41EA">
            <w:pPr>
              <w:spacing w:before="40" w:after="20"/>
              <w:jc w:val="right"/>
              <w:rPr>
                <w:rFonts w:cs="Arial"/>
                <w:sz w:val="18"/>
                <w:szCs w:val="18"/>
              </w:rPr>
            </w:pPr>
            <w:r w:rsidRPr="001D41EA">
              <w:rPr>
                <w:rFonts w:cs="Arial"/>
                <w:sz w:val="18"/>
                <w:szCs w:val="18"/>
              </w:rPr>
              <w:t>2,537,664</w:t>
            </w:r>
          </w:p>
        </w:tc>
        <w:tc>
          <w:tcPr>
            <w:tcW w:w="1134" w:type="dxa"/>
            <w:tcBorders>
              <w:top w:val="nil"/>
              <w:left w:val="nil"/>
              <w:bottom w:val="nil"/>
              <w:right w:val="nil"/>
            </w:tcBorders>
            <w:shd w:val="clear" w:color="auto" w:fill="auto"/>
            <w:vAlign w:val="bottom"/>
          </w:tcPr>
          <w:p w14:paraId="57396585" w14:textId="3D07EE17" w:rsidR="00F04730" w:rsidRPr="001D41EA" w:rsidRDefault="00F04730" w:rsidP="001D41EA">
            <w:pPr>
              <w:spacing w:before="40" w:after="20"/>
              <w:jc w:val="right"/>
              <w:rPr>
                <w:rFonts w:cs="Arial"/>
                <w:sz w:val="18"/>
                <w:szCs w:val="18"/>
              </w:rPr>
            </w:pPr>
            <w:r w:rsidRPr="001D41EA">
              <w:rPr>
                <w:rFonts w:cs="Arial"/>
                <w:sz w:val="18"/>
                <w:szCs w:val="18"/>
              </w:rPr>
              <w:t>1,490.99</w:t>
            </w:r>
          </w:p>
        </w:tc>
      </w:tr>
      <w:tr w:rsidR="00F04730" w:rsidRPr="001D41EA" w14:paraId="40D8FB95"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0C5ACD8A" w14:textId="413F327A"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Mount Alexander S </w:t>
            </w:r>
          </w:p>
        </w:tc>
        <w:tc>
          <w:tcPr>
            <w:tcW w:w="1134" w:type="dxa"/>
            <w:tcBorders>
              <w:top w:val="nil"/>
              <w:left w:val="single" w:sz="18" w:space="0" w:color="5F497A" w:themeColor="accent4" w:themeShade="BF"/>
              <w:bottom w:val="nil"/>
              <w:right w:val="nil"/>
            </w:tcBorders>
            <w:shd w:val="clear" w:color="auto" w:fill="auto"/>
            <w:vAlign w:val="bottom"/>
          </w:tcPr>
          <w:p w14:paraId="128BE746" w14:textId="7445AE56" w:rsidR="00F04730" w:rsidRPr="001D41EA" w:rsidRDefault="00F04730" w:rsidP="001D41EA">
            <w:pPr>
              <w:spacing w:before="40" w:after="20"/>
              <w:jc w:val="right"/>
              <w:rPr>
                <w:rFonts w:cs="Arial"/>
                <w:sz w:val="18"/>
                <w:szCs w:val="18"/>
              </w:rPr>
            </w:pPr>
            <w:r w:rsidRPr="001D41EA">
              <w:rPr>
                <w:rFonts w:cs="Arial"/>
                <w:sz w:val="18"/>
                <w:szCs w:val="18"/>
              </w:rPr>
              <w:t>19,514</w:t>
            </w:r>
          </w:p>
        </w:tc>
        <w:tc>
          <w:tcPr>
            <w:tcW w:w="1134" w:type="dxa"/>
            <w:tcBorders>
              <w:top w:val="nil"/>
              <w:left w:val="nil"/>
              <w:bottom w:val="nil"/>
              <w:right w:val="nil"/>
            </w:tcBorders>
            <w:shd w:val="clear" w:color="auto" w:fill="auto"/>
            <w:vAlign w:val="bottom"/>
          </w:tcPr>
          <w:p w14:paraId="1C342E7D" w14:textId="303E0C1C" w:rsidR="00F04730" w:rsidRPr="001D41EA" w:rsidRDefault="00F04730" w:rsidP="001D41EA">
            <w:pPr>
              <w:spacing w:before="40" w:after="20"/>
              <w:jc w:val="right"/>
              <w:rPr>
                <w:rFonts w:cs="Arial"/>
                <w:sz w:val="18"/>
                <w:szCs w:val="18"/>
              </w:rPr>
            </w:pPr>
            <w:r w:rsidRPr="001D41EA">
              <w:rPr>
                <w:rFonts w:cs="Arial"/>
                <w:sz w:val="18"/>
                <w:szCs w:val="18"/>
              </w:rPr>
              <w:t>3,458,706</w:t>
            </w:r>
          </w:p>
        </w:tc>
        <w:tc>
          <w:tcPr>
            <w:tcW w:w="1134" w:type="dxa"/>
            <w:tcBorders>
              <w:top w:val="nil"/>
              <w:left w:val="nil"/>
              <w:bottom w:val="nil"/>
              <w:right w:val="nil"/>
            </w:tcBorders>
            <w:shd w:val="clear" w:color="auto" w:fill="auto"/>
            <w:vAlign w:val="bottom"/>
          </w:tcPr>
          <w:p w14:paraId="18E844E2" w14:textId="5763532E" w:rsidR="00F04730" w:rsidRPr="001D41EA" w:rsidRDefault="00F04730" w:rsidP="001D41EA">
            <w:pPr>
              <w:spacing w:before="40" w:after="20"/>
              <w:jc w:val="right"/>
              <w:rPr>
                <w:rFonts w:cs="Arial"/>
                <w:sz w:val="18"/>
                <w:szCs w:val="18"/>
              </w:rPr>
            </w:pPr>
            <w:r w:rsidRPr="001D41EA">
              <w:rPr>
                <w:rFonts w:cs="Arial"/>
                <w:sz w:val="18"/>
                <w:szCs w:val="18"/>
              </w:rPr>
              <w:t>177.24</w:t>
            </w:r>
          </w:p>
        </w:tc>
        <w:tc>
          <w:tcPr>
            <w:tcW w:w="1134" w:type="dxa"/>
            <w:tcBorders>
              <w:top w:val="nil"/>
              <w:left w:val="nil"/>
              <w:bottom w:val="nil"/>
              <w:right w:val="nil"/>
            </w:tcBorders>
            <w:shd w:val="clear" w:color="auto" w:fill="auto"/>
            <w:vAlign w:val="bottom"/>
          </w:tcPr>
          <w:p w14:paraId="21A752EB" w14:textId="187AF0B8" w:rsidR="00F04730" w:rsidRPr="001D41EA" w:rsidRDefault="00F04730" w:rsidP="001D41EA">
            <w:pPr>
              <w:spacing w:before="40" w:after="20"/>
              <w:jc w:val="right"/>
              <w:rPr>
                <w:rFonts w:cs="Arial"/>
                <w:sz w:val="18"/>
                <w:szCs w:val="18"/>
              </w:rPr>
            </w:pPr>
            <w:r w:rsidRPr="001D41EA">
              <w:rPr>
                <w:rFonts w:cs="Arial"/>
                <w:sz w:val="18"/>
                <w:szCs w:val="18"/>
              </w:rPr>
              <w:t>1,429</w:t>
            </w:r>
          </w:p>
        </w:tc>
        <w:tc>
          <w:tcPr>
            <w:tcW w:w="1134" w:type="dxa"/>
            <w:tcBorders>
              <w:top w:val="nil"/>
              <w:left w:val="nil"/>
              <w:bottom w:val="nil"/>
              <w:right w:val="nil"/>
            </w:tcBorders>
            <w:shd w:val="clear" w:color="auto" w:fill="auto"/>
            <w:vAlign w:val="bottom"/>
          </w:tcPr>
          <w:p w14:paraId="2B24B96B" w14:textId="3F7170A0" w:rsidR="00F04730" w:rsidRPr="001D41EA" w:rsidRDefault="00F04730" w:rsidP="001D41EA">
            <w:pPr>
              <w:spacing w:before="40" w:after="20"/>
              <w:jc w:val="right"/>
              <w:rPr>
                <w:rFonts w:cs="Arial"/>
                <w:sz w:val="18"/>
                <w:szCs w:val="18"/>
              </w:rPr>
            </w:pPr>
            <w:r w:rsidRPr="001D41EA">
              <w:rPr>
                <w:rFonts w:cs="Arial"/>
                <w:sz w:val="18"/>
                <w:szCs w:val="18"/>
              </w:rPr>
              <w:t>1,756,728</w:t>
            </w:r>
          </w:p>
        </w:tc>
        <w:tc>
          <w:tcPr>
            <w:tcW w:w="1134" w:type="dxa"/>
            <w:tcBorders>
              <w:top w:val="nil"/>
              <w:left w:val="nil"/>
              <w:bottom w:val="nil"/>
              <w:right w:val="nil"/>
            </w:tcBorders>
            <w:shd w:val="clear" w:color="auto" w:fill="auto"/>
            <w:vAlign w:val="bottom"/>
          </w:tcPr>
          <w:p w14:paraId="3AEA129E" w14:textId="7DFA8349" w:rsidR="00F04730" w:rsidRPr="001D41EA" w:rsidRDefault="00F04730" w:rsidP="001D41EA">
            <w:pPr>
              <w:spacing w:before="40" w:after="20"/>
              <w:jc w:val="right"/>
              <w:rPr>
                <w:rFonts w:cs="Arial"/>
                <w:sz w:val="18"/>
                <w:szCs w:val="18"/>
              </w:rPr>
            </w:pPr>
            <w:r w:rsidRPr="001D41EA">
              <w:rPr>
                <w:rFonts w:cs="Arial"/>
                <w:sz w:val="18"/>
                <w:szCs w:val="18"/>
              </w:rPr>
              <w:t>1,229.34</w:t>
            </w:r>
          </w:p>
        </w:tc>
      </w:tr>
      <w:tr w:rsidR="00F04730" w:rsidRPr="001D41EA" w14:paraId="3D6FA84A"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5F386835" w14:textId="45CE28DE" w:rsidR="00F04730" w:rsidRPr="001D41EA" w:rsidRDefault="00F04730" w:rsidP="001D41EA">
            <w:pPr>
              <w:tabs>
                <w:tab w:val="right" w:pos="2037"/>
              </w:tabs>
              <w:spacing w:before="40" w:after="20"/>
              <w:rPr>
                <w:rFonts w:cs="Arial"/>
                <w:sz w:val="18"/>
                <w:szCs w:val="18"/>
              </w:rPr>
            </w:pPr>
            <w:r w:rsidRPr="001D41EA">
              <w:rPr>
                <w:rFonts w:cs="Arial"/>
                <w:sz w:val="18"/>
                <w:szCs w:val="18"/>
              </w:rPr>
              <w:t>Moyne S</w:t>
            </w:r>
            <w:r w:rsidR="00626246" w:rsidRPr="001D41EA">
              <w:rPr>
                <w:rFonts w:cs="Arial"/>
                <w:sz w:val="18"/>
                <w:szCs w:val="18"/>
              </w:rPr>
              <w:t xml:space="preserve">  *</w:t>
            </w:r>
            <w:r w:rsidR="00626246" w:rsidRPr="001D41EA">
              <w:rPr>
                <w:rFonts w:cs="Arial"/>
                <w:sz w:val="18"/>
                <w:szCs w:val="18"/>
              </w:rPr>
              <w:tab/>
            </w:r>
          </w:p>
        </w:tc>
        <w:tc>
          <w:tcPr>
            <w:tcW w:w="1134" w:type="dxa"/>
            <w:tcBorders>
              <w:top w:val="nil"/>
              <w:left w:val="single" w:sz="18" w:space="0" w:color="5F497A" w:themeColor="accent4" w:themeShade="BF"/>
              <w:bottom w:val="nil"/>
              <w:right w:val="nil"/>
            </w:tcBorders>
            <w:shd w:val="clear" w:color="auto" w:fill="auto"/>
            <w:vAlign w:val="bottom"/>
          </w:tcPr>
          <w:p w14:paraId="1202945F" w14:textId="0E8B8D92" w:rsidR="00F04730" w:rsidRPr="001D41EA" w:rsidRDefault="00F04730" w:rsidP="001D41EA">
            <w:pPr>
              <w:spacing w:before="40" w:after="20"/>
              <w:jc w:val="right"/>
              <w:rPr>
                <w:rFonts w:cs="Arial"/>
                <w:sz w:val="18"/>
                <w:szCs w:val="18"/>
              </w:rPr>
            </w:pPr>
            <w:r w:rsidRPr="001D41EA">
              <w:rPr>
                <w:rFonts w:cs="Arial"/>
                <w:sz w:val="18"/>
                <w:szCs w:val="18"/>
              </w:rPr>
              <w:t>16,887</w:t>
            </w:r>
          </w:p>
        </w:tc>
        <w:tc>
          <w:tcPr>
            <w:tcW w:w="1134" w:type="dxa"/>
            <w:tcBorders>
              <w:top w:val="nil"/>
              <w:left w:val="nil"/>
              <w:bottom w:val="nil"/>
              <w:right w:val="nil"/>
            </w:tcBorders>
            <w:shd w:val="clear" w:color="auto" w:fill="auto"/>
            <w:vAlign w:val="bottom"/>
          </w:tcPr>
          <w:p w14:paraId="0802AF32" w14:textId="1AC2CBDE" w:rsidR="00F04730" w:rsidRPr="001D41EA" w:rsidRDefault="00F04730" w:rsidP="001D41EA">
            <w:pPr>
              <w:spacing w:before="40" w:after="20"/>
              <w:jc w:val="right"/>
              <w:rPr>
                <w:rFonts w:cs="Arial"/>
                <w:sz w:val="18"/>
                <w:szCs w:val="18"/>
              </w:rPr>
            </w:pPr>
            <w:r w:rsidRPr="001D41EA">
              <w:rPr>
                <w:rFonts w:cs="Arial"/>
                <w:sz w:val="18"/>
                <w:szCs w:val="18"/>
              </w:rPr>
              <w:t>4,741,297</w:t>
            </w:r>
          </w:p>
        </w:tc>
        <w:tc>
          <w:tcPr>
            <w:tcW w:w="1134" w:type="dxa"/>
            <w:tcBorders>
              <w:top w:val="nil"/>
              <w:left w:val="nil"/>
              <w:bottom w:val="nil"/>
              <w:right w:val="nil"/>
            </w:tcBorders>
            <w:shd w:val="clear" w:color="auto" w:fill="auto"/>
            <w:vAlign w:val="bottom"/>
          </w:tcPr>
          <w:p w14:paraId="6A07CADB" w14:textId="3E13D578" w:rsidR="00F04730" w:rsidRPr="001D41EA" w:rsidRDefault="00F04730" w:rsidP="001D41EA">
            <w:pPr>
              <w:spacing w:before="40" w:after="20"/>
              <w:jc w:val="right"/>
              <w:rPr>
                <w:rFonts w:cs="Arial"/>
                <w:sz w:val="18"/>
                <w:szCs w:val="18"/>
              </w:rPr>
            </w:pPr>
            <w:r w:rsidRPr="001D41EA">
              <w:rPr>
                <w:rFonts w:cs="Arial"/>
                <w:sz w:val="18"/>
                <w:szCs w:val="18"/>
              </w:rPr>
              <w:t>280.77</w:t>
            </w:r>
          </w:p>
        </w:tc>
        <w:tc>
          <w:tcPr>
            <w:tcW w:w="1134" w:type="dxa"/>
            <w:tcBorders>
              <w:top w:val="nil"/>
              <w:left w:val="nil"/>
              <w:bottom w:val="nil"/>
              <w:right w:val="nil"/>
            </w:tcBorders>
            <w:shd w:val="clear" w:color="auto" w:fill="auto"/>
            <w:vAlign w:val="bottom"/>
          </w:tcPr>
          <w:p w14:paraId="47FE2E84" w14:textId="19F143EC" w:rsidR="00F04730" w:rsidRPr="001D41EA" w:rsidRDefault="00F04730" w:rsidP="001D41EA">
            <w:pPr>
              <w:spacing w:before="40" w:after="20"/>
              <w:jc w:val="right"/>
              <w:rPr>
                <w:rFonts w:cs="Arial"/>
                <w:sz w:val="18"/>
                <w:szCs w:val="18"/>
              </w:rPr>
            </w:pPr>
            <w:r w:rsidRPr="001D41EA">
              <w:rPr>
                <w:rFonts w:cs="Arial"/>
                <w:sz w:val="18"/>
                <w:szCs w:val="18"/>
              </w:rPr>
              <w:t>2,748</w:t>
            </w:r>
          </w:p>
        </w:tc>
        <w:tc>
          <w:tcPr>
            <w:tcW w:w="1134" w:type="dxa"/>
            <w:tcBorders>
              <w:top w:val="nil"/>
              <w:left w:val="nil"/>
              <w:bottom w:val="nil"/>
              <w:right w:val="nil"/>
            </w:tcBorders>
            <w:shd w:val="clear" w:color="auto" w:fill="auto"/>
            <w:vAlign w:val="bottom"/>
          </w:tcPr>
          <w:p w14:paraId="7D4B5A90" w14:textId="57C77AB7" w:rsidR="00F04730" w:rsidRPr="001D41EA" w:rsidRDefault="00F04730" w:rsidP="001D41EA">
            <w:pPr>
              <w:spacing w:before="40" w:after="20"/>
              <w:jc w:val="right"/>
              <w:rPr>
                <w:rFonts w:cs="Arial"/>
                <w:sz w:val="18"/>
                <w:szCs w:val="18"/>
              </w:rPr>
            </w:pPr>
            <w:r w:rsidRPr="001D41EA">
              <w:rPr>
                <w:rFonts w:cs="Arial"/>
                <w:sz w:val="18"/>
                <w:szCs w:val="18"/>
              </w:rPr>
              <w:t>4,226,011</w:t>
            </w:r>
          </w:p>
        </w:tc>
        <w:tc>
          <w:tcPr>
            <w:tcW w:w="1134" w:type="dxa"/>
            <w:tcBorders>
              <w:top w:val="nil"/>
              <w:left w:val="nil"/>
              <w:bottom w:val="nil"/>
              <w:right w:val="nil"/>
            </w:tcBorders>
            <w:shd w:val="clear" w:color="auto" w:fill="auto"/>
            <w:vAlign w:val="bottom"/>
          </w:tcPr>
          <w:p w14:paraId="4EDE33A2" w14:textId="1ABBB159" w:rsidR="00F04730" w:rsidRPr="001D41EA" w:rsidRDefault="00F04730" w:rsidP="001D41EA">
            <w:pPr>
              <w:spacing w:before="40" w:after="20"/>
              <w:jc w:val="right"/>
              <w:rPr>
                <w:rFonts w:cs="Arial"/>
                <w:sz w:val="18"/>
                <w:szCs w:val="18"/>
              </w:rPr>
            </w:pPr>
            <w:r w:rsidRPr="001D41EA">
              <w:rPr>
                <w:rFonts w:cs="Arial"/>
                <w:sz w:val="18"/>
                <w:szCs w:val="18"/>
              </w:rPr>
              <w:t>1,538.01</w:t>
            </w:r>
          </w:p>
        </w:tc>
      </w:tr>
      <w:tr w:rsidR="00F04730" w:rsidRPr="001D41EA" w14:paraId="0D97041C"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F9801EF" w14:textId="28837467"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Murrindindi S </w:t>
            </w:r>
          </w:p>
        </w:tc>
        <w:tc>
          <w:tcPr>
            <w:tcW w:w="1134" w:type="dxa"/>
            <w:tcBorders>
              <w:top w:val="nil"/>
              <w:left w:val="single" w:sz="18" w:space="0" w:color="5F497A" w:themeColor="accent4" w:themeShade="BF"/>
              <w:bottom w:val="nil"/>
              <w:right w:val="nil"/>
            </w:tcBorders>
            <w:shd w:val="clear" w:color="auto" w:fill="auto"/>
            <w:vAlign w:val="bottom"/>
          </w:tcPr>
          <w:p w14:paraId="058F32FA" w14:textId="2D8F6844" w:rsidR="00F04730" w:rsidRPr="001D41EA" w:rsidRDefault="00F04730" w:rsidP="001D41EA">
            <w:pPr>
              <w:spacing w:before="40" w:after="20"/>
              <w:jc w:val="right"/>
              <w:rPr>
                <w:rFonts w:cs="Arial"/>
                <w:sz w:val="18"/>
                <w:szCs w:val="18"/>
              </w:rPr>
            </w:pPr>
            <w:r w:rsidRPr="001D41EA">
              <w:rPr>
                <w:rFonts w:cs="Arial"/>
                <w:sz w:val="18"/>
                <w:szCs w:val="18"/>
              </w:rPr>
              <w:t>14,478</w:t>
            </w:r>
          </w:p>
        </w:tc>
        <w:tc>
          <w:tcPr>
            <w:tcW w:w="1134" w:type="dxa"/>
            <w:tcBorders>
              <w:top w:val="nil"/>
              <w:left w:val="nil"/>
              <w:bottom w:val="nil"/>
              <w:right w:val="nil"/>
            </w:tcBorders>
            <w:shd w:val="clear" w:color="auto" w:fill="auto"/>
            <w:vAlign w:val="bottom"/>
          </w:tcPr>
          <w:p w14:paraId="61A34BC1" w14:textId="719FD6BC" w:rsidR="00F04730" w:rsidRPr="001D41EA" w:rsidRDefault="00F04730" w:rsidP="001D41EA">
            <w:pPr>
              <w:spacing w:before="40" w:after="20"/>
              <w:jc w:val="right"/>
              <w:rPr>
                <w:rFonts w:cs="Arial"/>
                <w:sz w:val="18"/>
                <w:szCs w:val="18"/>
              </w:rPr>
            </w:pPr>
            <w:r w:rsidRPr="001D41EA">
              <w:rPr>
                <w:rFonts w:cs="Arial"/>
                <w:sz w:val="18"/>
                <w:szCs w:val="18"/>
              </w:rPr>
              <w:t>3,145,271</w:t>
            </w:r>
          </w:p>
        </w:tc>
        <w:tc>
          <w:tcPr>
            <w:tcW w:w="1134" w:type="dxa"/>
            <w:tcBorders>
              <w:top w:val="nil"/>
              <w:left w:val="nil"/>
              <w:bottom w:val="nil"/>
              <w:right w:val="nil"/>
            </w:tcBorders>
            <w:shd w:val="clear" w:color="auto" w:fill="auto"/>
            <w:vAlign w:val="bottom"/>
          </w:tcPr>
          <w:p w14:paraId="509E0806" w14:textId="1BFDE8EE" w:rsidR="00F04730" w:rsidRPr="001D41EA" w:rsidRDefault="00F04730" w:rsidP="001D41EA">
            <w:pPr>
              <w:spacing w:before="40" w:after="20"/>
              <w:jc w:val="right"/>
              <w:rPr>
                <w:rFonts w:cs="Arial"/>
                <w:sz w:val="18"/>
                <w:szCs w:val="18"/>
              </w:rPr>
            </w:pPr>
            <w:r w:rsidRPr="001D41EA">
              <w:rPr>
                <w:rFonts w:cs="Arial"/>
                <w:sz w:val="18"/>
                <w:szCs w:val="18"/>
              </w:rPr>
              <w:t>217.24</w:t>
            </w:r>
          </w:p>
        </w:tc>
        <w:tc>
          <w:tcPr>
            <w:tcW w:w="1134" w:type="dxa"/>
            <w:tcBorders>
              <w:top w:val="nil"/>
              <w:left w:val="nil"/>
              <w:bottom w:val="nil"/>
              <w:right w:val="nil"/>
            </w:tcBorders>
            <w:shd w:val="clear" w:color="auto" w:fill="auto"/>
            <w:vAlign w:val="bottom"/>
          </w:tcPr>
          <w:p w14:paraId="59A6B102" w14:textId="76DDA509" w:rsidR="00F04730" w:rsidRPr="001D41EA" w:rsidRDefault="00F04730" w:rsidP="001D41EA">
            <w:pPr>
              <w:spacing w:before="40" w:after="20"/>
              <w:jc w:val="right"/>
              <w:rPr>
                <w:rFonts w:cs="Arial"/>
                <w:sz w:val="18"/>
                <w:szCs w:val="18"/>
              </w:rPr>
            </w:pPr>
            <w:r w:rsidRPr="001D41EA">
              <w:rPr>
                <w:rFonts w:cs="Arial"/>
                <w:sz w:val="18"/>
                <w:szCs w:val="18"/>
              </w:rPr>
              <w:t>1,199</w:t>
            </w:r>
          </w:p>
        </w:tc>
        <w:tc>
          <w:tcPr>
            <w:tcW w:w="1134" w:type="dxa"/>
            <w:tcBorders>
              <w:top w:val="nil"/>
              <w:left w:val="nil"/>
              <w:bottom w:val="nil"/>
              <w:right w:val="nil"/>
            </w:tcBorders>
            <w:shd w:val="clear" w:color="auto" w:fill="auto"/>
            <w:vAlign w:val="bottom"/>
          </w:tcPr>
          <w:p w14:paraId="6AE189F8" w14:textId="30113B6A" w:rsidR="00F04730" w:rsidRPr="001D41EA" w:rsidRDefault="00F04730" w:rsidP="001D41EA">
            <w:pPr>
              <w:spacing w:before="40" w:after="20"/>
              <w:jc w:val="right"/>
              <w:rPr>
                <w:rFonts w:cs="Arial"/>
                <w:sz w:val="18"/>
                <w:szCs w:val="18"/>
              </w:rPr>
            </w:pPr>
            <w:r w:rsidRPr="001D41EA">
              <w:rPr>
                <w:rFonts w:cs="Arial"/>
                <w:sz w:val="18"/>
                <w:szCs w:val="18"/>
              </w:rPr>
              <w:t>1,715,754</w:t>
            </w:r>
          </w:p>
        </w:tc>
        <w:tc>
          <w:tcPr>
            <w:tcW w:w="1134" w:type="dxa"/>
            <w:tcBorders>
              <w:top w:val="nil"/>
              <w:left w:val="nil"/>
              <w:bottom w:val="nil"/>
              <w:right w:val="nil"/>
            </w:tcBorders>
            <w:shd w:val="clear" w:color="auto" w:fill="auto"/>
            <w:vAlign w:val="bottom"/>
          </w:tcPr>
          <w:p w14:paraId="6976CCAD" w14:textId="20210FC7" w:rsidR="00F04730" w:rsidRPr="001D41EA" w:rsidRDefault="00F04730" w:rsidP="001D41EA">
            <w:pPr>
              <w:spacing w:before="40" w:after="20"/>
              <w:jc w:val="right"/>
              <w:rPr>
                <w:rFonts w:cs="Arial"/>
                <w:sz w:val="18"/>
                <w:szCs w:val="18"/>
              </w:rPr>
            </w:pPr>
            <w:r w:rsidRPr="001D41EA">
              <w:rPr>
                <w:rFonts w:cs="Arial"/>
                <w:sz w:val="18"/>
                <w:szCs w:val="18"/>
              </w:rPr>
              <w:t>1,430.49</w:t>
            </w:r>
          </w:p>
        </w:tc>
      </w:tr>
      <w:tr w:rsidR="00F04730" w:rsidRPr="001D41EA" w14:paraId="22A271DA"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58551ED" w14:textId="2D553F9C" w:rsidR="00F04730" w:rsidRPr="001D41EA" w:rsidRDefault="00F04730" w:rsidP="001D41EA">
            <w:pPr>
              <w:tabs>
                <w:tab w:val="right" w:pos="2037"/>
              </w:tabs>
              <w:spacing w:before="40" w:after="20"/>
              <w:rPr>
                <w:rFonts w:cs="Arial"/>
                <w:sz w:val="18"/>
                <w:szCs w:val="18"/>
              </w:rPr>
            </w:pPr>
            <w:r w:rsidRPr="001D41EA">
              <w:rPr>
                <w:rFonts w:cs="Arial"/>
                <w:sz w:val="18"/>
                <w:szCs w:val="18"/>
              </w:rPr>
              <w:t>Nillumbik S</w:t>
            </w:r>
            <w:r w:rsidR="00626246" w:rsidRPr="001D41EA">
              <w:rPr>
                <w:rFonts w:cs="Arial"/>
                <w:sz w:val="18"/>
                <w:szCs w:val="18"/>
              </w:rPr>
              <w:t xml:space="preserve">  *</w:t>
            </w:r>
            <w:r w:rsidR="00626246" w:rsidRPr="001D41EA">
              <w:rPr>
                <w:rFonts w:cs="Arial"/>
                <w:sz w:val="18"/>
                <w:szCs w:val="18"/>
              </w:rPr>
              <w:tab/>
            </w:r>
          </w:p>
        </w:tc>
        <w:tc>
          <w:tcPr>
            <w:tcW w:w="1134" w:type="dxa"/>
            <w:tcBorders>
              <w:top w:val="nil"/>
              <w:left w:val="single" w:sz="18" w:space="0" w:color="5F497A" w:themeColor="accent4" w:themeShade="BF"/>
              <w:bottom w:val="nil"/>
              <w:right w:val="nil"/>
            </w:tcBorders>
            <w:shd w:val="clear" w:color="auto" w:fill="auto"/>
            <w:vAlign w:val="bottom"/>
          </w:tcPr>
          <w:p w14:paraId="16A4F44D" w14:textId="2F66F699" w:rsidR="00F04730" w:rsidRPr="001D41EA" w:rsidRDefault="00F04730" w:rsidP="001D41EA">
            <w:pPr>
              <w:spacing w:before="40" w:after="20"/>
              <w:jc w:val="right"/>
              <w:rPr>
                <w:rFonts w:cs="Arial"/>
                <w:sz w:val="18"/>
                <w:szCs w:val="18"/>
              </w:rPr>
            </w:pPr>
            <w:r w:rsidRPr="001D41EA">
              <w:rPr>
                <w:rFonts w:cs="Arial"/>
                <w:sz w:val="18"/>
                <w:szCs w:val="18"/>
              </w:rPr>
              <w:t>64,941</w:t>
            </w:r>
          </w:p>
        </w:tc>
        <w:tc>
          <w:tcPr>
            <w:tcW w:w="1134" w:type="dxa"/>
            <w:tcBorders>
              <w:top w:val="nil"/>
              <w:left w:val="nil"/>
              <w:bottom w:val="nil"/>
              <w:right w:val="nil"/>
            </w:tcBorders>
            <w:shd w:val="clear" w:color="auto" w:fill="auto"/>
            <w:vAlign w:val="bottom"/>
          </w:tcPr>
          <w:p w14:paraId="513CE38C" w14:textId="1C0F12FE" w:rsidR="00F04730" w:rsidRPr="001D41EA" w:rsidRDefault="00F04730" w:rsidP="001D41EA">
            <w:pPr>
              <w:spacing w:before="40" w:after="20"/>
              <w:jc w:val="right"/>
              <w:rPr>
                <w:rFonts w:cs="Arial"/>
                <w:sz w:val="18"/>
                <w:szCs w:val="18"/>
              </w:rPr>
            </w:pPr>
            <w:r w:rsidRPr="001D41EA">
              <w:rPr>
                <w:rFonts w:cs="Arial"/>
                <w:sz w:val="18"/>
                <w:szCs w:val="18"/>
              </w:rPr>
              <w:t>1,998,652</w:t>
            </w:r>
          </w:p>
        </w:tc>
        <w:tc>
          <w:tcPr>
            <w:tcW w:w="1134" w:type="dxa"/>
            <w:tcBorders>
              <w:top w:val="nil"/>
              <w:left w:val="nil"/>
              <w:bottom w:val="nil"/>
              <w:right w:val="nil"/>
            </w:tcBorders>
            <w:shd w:val="clear" w:color="auto" w:fill="auto"/>
            <w:vAlign w:val="bottom"/>
          </w:tcPr>
          <w:p w14:paraId="27F246D4" w14:textId="095851B9" w:rsidR="00F04730" w:rsidRPr="001D41EA" w:rsidRDefault="00F04730" w:rsidP="001D41EA">
            <w:pPr>
              <w:spacing w:before="40" w:after="20"/>
              <w:jc w:val="right"/>
              <w:rPr>
                <w:rFonts w:cs="Arial"/>
                <w:sz w:val="18"/>
                <w:szCs w:val="18"/>
              </w:rPr>
            </w:pPr>
            <w:r w:rsidRPr="001D41EA">
              <w:rPr>
                <w:rFonts w:cs="Arial"/>
                <w:sz w:val="18"/>
                <w:szCs w:val="18"/>
              </w:rPr>
              <w:t>30.78</w:t>
            </w:r>
          </w:p>
        </w:tc>
        <w:tc>
          <w:tcPr>
            <w:tcW w:w="1134" w:type="dxa"/>
            <w:tcBorders>
              <w:top w:val="nil"/>
              <w:left w:val="nil"/>
              <w:bottom w:val="nil"/>
              <w:right w:val="nil"/>
            </w:tcBorders>
            <w:shd w:val="clear" w:color="auto" w:fill="auto"/>
            <w:vAlign w:val="bottom"/>
          </w:tcPr>
          <w:p w14:paraId="14940C1C" w14:textId="1C43E992" w:rsidR="00F04730" w:rsidRPr="001D41EA" w:rsidRDefault="00F04730" w:rsidP="001D41EA">
            <w:pPr>
              <w:spacing w:before="40" w:after="20"/>
              <w:jc w:val="right"/>
              <w:rPr>
                <w:rFonts w:cs="Arial"/>
                <w:sz w:val="18"/>
                <w:szCs w:val="18"/>
              </w:rPr>
            </w:pPr>
            <w:r w:rsidRPr="001D41EA">
              <w:rPr>
                <w:rFonts w:cs="Arial"/>
                <w:sz w:val="18"/>
                <w:szCs w:val="18"/>
              </w:rPr>
              <w:t>774</w:t>
            </w:r>
          </w:p>
        </w:tc>
        <w:tc>
          <w:tcPr>
            <w:tcW w:w="1134" w:type="dxa"/>
            <w:tcBorders>
              <w:top w:val="nil"/>
              <w:left w:val="nil"/>
              <w:bottom w:val="nil"/>
              <w:right w:val="nil"/>
            </w:tcBorders>
            <w:shd w:val="clear" w:color="auto" w:fill="auto"/>
            <w:vAlign w:val="bottom"/>
          </w:tcPr>
          <w:p w14:paraId="0EA14087" w14:textId="746444D3" w:rsidR="00F04730" w:rsidRPr="001D41EA" w:rsidRDefault="00F04730" w:rsidP="001D41EA">
            <w:pPr>
              <w:spacing w:before="40" w:after="20"/>
              <w:jc w:val="right"/>
              <w:rPr>
                <w:rFonts w:cs="Arial"/>
                <w:sz w:val="18"/>
                <w:szCs w:val="18"/>
              </w:rPr>
            </w:pPr>
            <w:r w:rsidRPr="001D41EA">
              <w:rPr>
                <w:rFonts w:cs="Arial"/>
                <w:sz w:val="18"/>
                <w:szCs w:val="18"/>
              </w:rPr>
              <w:t>1,168,964</w:t>
            </w:r>
          </w:p>
        </w:tc>
        <w:tc>
          <w:tcPr>
            <w:tcW w:w="1134" w:type="dxa"/>
            <w:tcBorders>
              <w:top w:val="nil"/>
              <w:left w:val="nil"/>
              <w:bottom w:val="nil"/>
              <w:right w:val="nil"/>
            </w:tcBorders>
            <w:shd w:val="clear" w:color="auto" w:fill="auto"/>
            <w:vAlign w:val="bottom"/>
          </w:tcPr>
          <w:p w14:paraId="5B3530EA" w14:textId="45B15B19" w:rsidR="00F04730" w:rsidRPr="001D41EA" w:rsidRDefault="00F04730" w:rsidP="001D41EA">
            <w:pPr>
              <w:spacing w:before="40" w:after="20"/>
              <w:jc w:val="right"/>
              <w:rPr>
                <w:rFonts w:cs="Arial"/>
                <w:sz w:val="18"/>
                <w:szCs w:val="18"/>
              </w:rPr>
            </w:pPr>
            <w:r w:rsidRPr="001D41EA">
              <w:rPr>
                <w:rFonts w:cs="Arial"/>
                <w:sz w:val="18"/>
                <w:szCs w:val="18"/>
              </w:rPr>
              <w:t>1,510.29</w:t>
            </w:r>
          </w:p>
        </w:tc>
      </w:tr>
      <w:tr w:rsidR="00F04730" w:rsidRPr="001D41EA" w14:paraId="46A592D5"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4CF680CD" w14:textId="5EE42CF1" w:rsidR="00F04730" w:rsidRPr="001D41EA" w:rsidRDefault="00F04730" w:rsidP="001D41EA">
            <w:pPr>
              <w:tabs>
                <w:tab w:val="right" w:pos="2037"/>
              </w:tabs>
              <w:spacing w:before="40" w:after="20"/>
              <w:rPr>
                <w:rFonts w:cs="Arial"/>
                <w:sz w:val="18"/>
                <w:szCs w:val="18"/>
              </w:rPr>
            </w:pPr>
            <w:r w:rsidRPr="001D41EA">
              <w:rPr>
                <w:rFonts w:cs="Arial"/>
                <w:sz w:val="18"/>
                <w:szCs w:val="18"/>
              </w:rPr>
              <w:t>Northern Grampians S</w:t>
            </w:r>
            <w:r w:rsidR="00626246" w:rsidRPr="001D41EA">
              <w:rPr>
                <w:rFonts w:cs="Arial"/>
                <w:sz w:val="18"/>
                <w:szCs w:val="18"/>
              </w:rPr>
              <w:t xml:space="preserve">  *</w:t>
            </w:r>
            <w:r w:rsidR="00626246" w:rsidRPr="001D41EA">
              <w:rPr>
                <w:rFonts w:cs="Arial"/>
                <w:sz w:val="18"/>
                <w:szCs w:val="18"/>
              </w:rPr>
              <w:tab/>
            </w:r>
          </w:p>
        </w:tc>
        <w:tc>
          <w:tcPr>
            <w:tcW w:w="1134" w:type="dxa"/>
            <w:tcBorders>
              <w:top w:val="nil"/>
              <w:left w:val="single" w:sz="18" w:space="0" w:color="5F497A" w:themeColor="accent4" w:themeShade="BF"/>
              <w:bottom w:val="nil"/>
              <w:right w:val="nil"/>
            </w:tcBorders>
            <w:shd w:val="clear" w:color="auto" w:fill="auto"/>
            <w:vAlign w:val="bottom"/>
          </w:tcPr>
          <w:p w14:paraId="27B812B0" w14:textId="40009F14" w:rsidR="00F04730" w:rsidRPr="001D41EA" w:rsidRDefault="00F04730" w:rsidP="001D41EA">
            <w:pPr>
              <w:spacing w:before="40" w:after="20"/>
              <w:jc w:val="right"/>
              <w:rPr>
                <w:rFonts w:cs="Arial"/>
                <w:sz w:val="18"/>
                <w:szCs w:val="18"/>
              </w:rPr>
            </w:pPr>
            <w:r w:rsidRPr="001D41EA">
              <w:rPr>
                <w:rFonts w:cs="Arial"/>
                <w:sz w:val="18"/>
                <w:szCs w:val="18"/>
              </w:rPr>
              <w:t>11,431</w:t>
            </w:r>
          </w:p>
        </w:tc>
        <w:tc>
          <w:tcPr>
            <w:tcW w:w="1134" w:type="dxa"/>
            <w:tcBorders>
              <w:top w:val="nil"/>
              <w:left w:val="nil"/>
              <w:bottom w:val="nil"/>
              <w:right w:val="nil"/>
            </w:tcBorders>
            <w:shd w:val="clear" w:color="auto" w:fill="auto"/>
            <w:vAlign w:val="bottom"/>
          </w:tcPr>
          <w:p w14:paraId="5BB1B816" w14:textId="72E3A9AA" w:rsidR="00F04730" w:rsidRPr="001D41EA" w:rsidRDefault="00F04730" w:rsidP="001D41EA">
            <w:pPr>
              <w:spacing w:before="40" w:after="20"/>
              <w:jc w:val="right"/>
              <w:rPr>
                <w:rFonts w:cs="Arial"/>
                <w:sz w:val="18"/>
                <w:szCs w:val="18"/>
              </w:rPr>
            </w:pPr>
            <w:r w:rsidRPr="001D41EA">
              <w:rPr>
                <w:rFonts w:cs="Arial"/>
                <w:sz w:val="18"/>
                <w:szCs w:val="18"/>
              </w:rPr>
              <w:t>4,891,329</w:t>
            </w:r>
          </w:p>
        </w:tc>
        <w:tc>
          <w:tcPr>
            <w:tcW w:w="1134" w:type="dxa"/>
            <w:tcBorders>
              <w:top w:val="nil"/>
              <w:left w:val="nil"/>
              <w:bottom w:val="nil"/>
              <w:right w:val="nil"/>
            </w:tcBorders>
            <w:shd w:val="clear" w:color="auto" w:fill="auto"/>
            <w:vAlign w:val="bottom"/>
          </w:tcPr>
          <w:p w14:paraId="4BF00F24" w14:textId="22F0D213" w:rsidR="00F04730" w:rsidRPr="001D41EA" w:rsidRDefault="00F04730" w:rsidP="001D41EA">
            <w:pPr>
              <w:spacing w:before="40" w:after="20"/>
              <w:jc w:val="right"/>
              <w:rPr>
                <w:rFonts w:cs="Arial"/>
                <w:sz w:val="18"/>
                <w:szCs w:val="18"/>
              </w:rPr>
            </w:pPr>
            <w:r w:rsidRPr="001D41EA">
              <w:rPr>
                <w:rFonts w:cs="Arial"/>
                <w:sz w:val="18"/>
                <w:szCs w:val="18"/>
              </w:rPr>
              <w:t>427.90</w:t>
            </w:r>
          </w:p>
        </w:tc>
        <w:tc>
          <w:tcPr>
            <w:tcW w:w="1134" w:type="dxa"/>
            <w:tcBorders>
              <w:top w:val="nil"/>
              <w:left w:val="nil"/>
              <w:bottom w:val="nil"/>
              <w:right w:val="nil"/>
            </w:tcBorders>
            <w:shd w:val="clear" w:color="auto" w:fill="auto"/>
            <w:vAlign w:val="bottom"/>
          </w:tcPr>
          <w:p w14:paraId="5381A82D" w14:textId="0BB7EB5D" w:rsidR="00F04730" w:rsidRPr="001D41EA" w:rsidRDefault="00F04730" w:rsidP="001D41EA">
            <w:pPr>
              <w:spacing w:before="40" w:after="20"/>
              <w:jc w:val="right"/>
              <w:rPr>
                <w:rFonts w:cs="Arial"/>
                <w:sz w:val="18"/>
                <w:szCs w:val="18"/>
              </w:rPr>
            </w:pPr>
            <w:r w:rsidRPr="001D41EA">
              <w:rPr>
                <w:rFonts w:cs="Arial"/>
                <w:sz w:val="18"/>
                <w:szCs w:val="18"/>
              </w:rPr>
              <w:t>3,426</w:t>
            </w:r>
          </w:p>
        </w:tc>
        <w:tc>
          <w:tcPr>
            <w:tcW w:w="1134" w:type="dxa"/>
            <w:tcBorders>
              <w:top w:val="nil"/>
              <w:left w:val="nil"/>
              <w:bottom w:val="nil"/>
              <w:right w:val="nil"/>
            </w:tcBorders>
            <w:shd w:val="clear" w:color="auto" w:fill="auto"/>
            <w:vAlign w:val="bottom"/>
          </w:tcPr>
          <w:p w14:paraId="301DA6DB" w14:textId="29CCF4B3" w:rsidR="00F04730" w:rsidRPr="001D41EA" w:rsidRDefault="00F04730" w:rsidP="001D41EA">
            <w:pPr>
              <w:spacing w:before="40" w:after="20"/>
              <w:jc w:val="right"/>
              <w:rPr>
                <w:rFonts w:cs="Arial"/>
                <w:sz w:val="18"/>
                <w:szCs w:val="18"/>
              </w:rPr>
            </w:pPr>
            <w:r w:rsidRPr="001D41EA">
              <w:rPr>
                <w:rFonts w:cs="Arial"/>
                <w:sz w:val="18"/>
                <w:szCs w:val="18"/>
              </w:rPr>
              <w:t>2,947,103</w:t>
            </w:r>
          </w:p>
        </w:tc>
        <w:tc>
          <w:tcPr>
            <w:tcW w:w="1134" w:type="dxa"/>
            <w:tcBorders>
              <w:top w:val="nil"/>
              <w:left w:val="nil"/>
              <w:bottom w:val="nil"/>
              <w:right w:val="nil"/>
            </w:tcBorders>
            <w:shd w:val="clear" w:color="auto" w:fill="auto"/>
            <w:vAlign w:val="bottom"/>
          </w:tcPr>
          <w:p w14:paraId="7C96F799" w14:textId="36D44D6C" w:rsidR="00F04730" w:rsidRPr="001D41EA" w:rsidRDefault="00F04730" w:rsidP="001D41EA">
            <w:pPr>
              <w:spacing w:before="40" w:after="20"/>
              <w:jc w:val="right"/>
              <w:rPr>
                <w:rFonts w:cs="Arial"/>
                <w:sz w:val="18"/>
                <w:szCs w:val="18"/>
              </w:rPr>
            </w:pPr>
            <w:r w:rsidRPr="001D41EA">
              <w:rPr>
                <w:rFonts w:cs="Arial"/>
                <w:sz w:val="18"/>
                <w:szCs w:val="18"/>
              </w:rPr>
              <w:t>860.17</w:t>
            </w:r>
          </w:p>
        </w:tc>
      </w:tr>
      <w:tr w:rsidR="00F04730" w:rsidRPr="001D41EA" w14:paraId="5B50D9EA"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58FEBEBC" w14:textId="42B4A4F0"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Port Phillip C </w:t>
            </w:r>
          </w:p>
        </w:tc>
        <w:tc>
          <w:tcPr>
            <w:tcW w:w="1134" w:type="dxa"/>
            <w:tcBorders>
              <w:top w:val="nil"/>
              <w:left w:val="single" w:sz="18" w:space="0" w:color="5F497A" w:themeColor="accent4" w:themeShade="BF"/>
              <w:bottom w:val="nil"/>
              <w:right w:val="nil"/>
            </w:tcBorders>
            <w:shd w:val="clear" w:color="auto" w:fill="auto"/>
            <w:vAlign w:val="bottom"/>
          </w:tcPr>
          <w:p w14:paraId="3FE80578" w14:textId="09AAEC46" w:rsidR="00F04730" w:rsidRPr="001D41EA" w:rsidRDefault="00F04730" w:rsidP="001D41EA">
            <w:pPr>
              <w:spacing w:before="40" w:after="20"/>
              <w:jc w:val="right"/>
              <w:rPr>
                <w:rFonts w:cs="Arial"/>
                <w:sz w:val="18"/>
                <w:szCs w:val="18"/>
              </w:rPr>
            </w:pPr>
            <w:r w:rsidRPr="001D41EA">
              <w:rPr>
                <w:rFonts w:cs="Arial"/>
                <w:sz w:val="18"/>
                <w:szCs w:val="18"/>
              </w:rPr>
              <w:t>113,200</w:t>
            </w:r>
          </w:p>
        </w:tc>
        <w:tc>
          <w:tcPr>
            <w:tcW w:w="1134" w:type="dxa"/>
            <w:tcBorders>
              <w:top w:val="nil"/>
              <w:left w:val="nil"/>
              <w:bottom w:val="nil"/>
              <w:right w:val="nil"/>
            </w:tcBorders>
            <w:shd w:val="clear" w:color="auto" w:fill="auto"/>
            <w:vAlign w:val="bottom"/>
          </w:tcPr>
          <w:p w14:paraId="432697E6" w14:textId="7D36EA34" w:rsidR="00F04730" w:rsidRPr="001D41EA" w:rsidRDefault="00F04730" w:rsidP="001D41EA">
            <w:pPr>
              <w:spacing w:before="40" w:after="20"/>
              <w:jc w:val="right"/>
              <w:rPr>
                <w:rFonts w:cs="Arial"/>
                <w:sz w:val="18"/>
                <w:szCs w:val="18"/>
              </w:rPr>
            </w:pPr>
            <w:r w:rsidRPr="001D41EA">
              <w:rPr>
                <w:rFonts w:cs="Arial"/>
                <w:sz w:val="18"/>
                <w:szCs w:val="18"/>
              </w:rPr>
              <w:t>2,394,742</w:t>
            </w:r>
          </w:p>
        </w:tc>
        <w:tc>
          <w:tcPr>
            <w:tcW w:w="1134" w:type="dxa"/>
            <w:tcBorders>
              <w:top w:val="nil"/>
              <w:left w:val="nil"/>
              <w:bottom w:val="nil"/>
              <w:right w:val="nil"/>
            </w:tcBorders>
            <w:shd w:val="clear" w:color="auto" w:fill="auto"/>
            <w:vAlign w:val="bottom"/>
          </w:tcPr>
          <w:p w14:paraId="3A9E1B16" w14:textId="3EC3D69C" w:rsidR="00F04730" w:rsidRPr="001D41EA" w:rsidRDefault="00F04730" w:rsidP="001D41EA">
            <w:pPr>
              <w:spacing w:before="40" w:after="20"/>
              <w:jc w:val="right"/>
              <w:rPr>
                <w:rFonts w:cs="Arial"/>
                <w:sz w:val="18"/>
                <w:szCs w:val="18"/>
              </w:rPr>
            </w:pPr>
            <w:r w:rsidRPr="001D41EA">
              <w:rPr>
                <w:rFonts w:cs="Arial"/>
                <w:sz w:val="18"/>
                <w:szCs w:val="18"/>
              </w:rPr>
              <w:t>21.15</w:t>
            </w:r>
          </w:p>
        </w:tc>
        <w:tc>
          <w:tcPr>
            <w:tcW w:w="1134" w:type="dxa"/>
            <w:tcBorders>
              <w:top w:val="nil"/>
              <w:left w:val="nil"/>
              <w:bottom w:val="nil"/>
              <w:right w:val="nil"/>
            </w:tcBorders>
            <w:shd w:val="clear" w:color="auto" w:fill="auto"/>
            <w:vAlign w:val="bottom"/>
          </w:tcPr>
          <w:p w14:paraId="5E81EE3C" w14:textId="7A0CF31D" w:rsidR="00F04730" w:rsidRPr="001D41EA" w:rsidRDefault="00F04730" w:rsidP="001D41EA">
            <w:pPr>
              <w:spacing w:before="40" w:after="20"/>
              <w:jc w:val="right"/>
              <w:rPr>
                <w:rFonts w:cs="Arial"/>
                <w:sz w:val="18"/>
                <w:szCs w:val="18"/>
              </w:rPr>
            </w:pPr>
            <w:r w:rsidRPr="001D41EA">
              <w:rPr>
                <w:rFonts w:cs="Arial"/>
                <w:sz w:val="18"/>
                <w:szCs w:val="18"/>
              </w:rPr>
              <w:t>215</w:t>
            </w:r>
          </w:p>
        </w:tc>
        <w:tc>
          <w:tcPr>
            <w:tcW w:w="1134" w:type="dxa"/>
            <w:tcBorders>
              <w:top w:val="nil"/>
              <w:left w:val="nil"/>
              <w:bottom w:val="nil"/>
              <w:right w:val="nil"/>
            </w:tcBorders>
            <w:shd w:val="clear" w:color="auto" w:fill="auto"/>
            <w:vAlign w:val="bottom"/>
          </w:tcPr>
          <w:p w14:paraId="399D6C6F" w14:textId="5DD79492" w:rsidR="00F04730" w:rsidRPr="001D41EA" w:rsidRDefault="00F04730" w:rsidP="001D41EA">
            <w:pPr>
              <w:spacing w:before="40" w:after="20"/>
              <w:jc w:val="right"/>
              <w:rPr>
                <w:rFonts w:cs="Arial"/>
                <w:sz w:val="18"/>
                <w:szCs w:val="18"/>
              </w:rPr>
            </w:pPr>
            <w:r w:rsidRPr="001D41EA">
              <w:rPr>
                <w:rFonts w:cs="Arial"/>
                <w:sz w:val="18"/>
                <w:szCs w:val="18"/>
              </w:rPr>
              <w:t>437,912</w:t>
            </w:r>
          </w:p>
        </w:tc>
        <w:tc>
          <w:tcPr>
            <w:tcW w:w="1134" w:type="dxa"/>
            <w:tcBorders>
              <w:top w:val="nil"/>
              <w:left w:val="nil"/>
              <w:bottom w:val="nil"/>
              <w:right w:val="nil"/>
            </w:tcBorders>
            <w:shd w:val="clear" w:color="auto" w:fill="auto"/>
            <w:vAlign w:val="bottom"/>
          </w:tcPr>
          <w:p w14:paraId="6755A2BB" w14:textId="326B9AC1" w:rsidR="00F04730" w:rsidRPr="001D41EA" w:rsidRDefault="00F04730" w:rsidP="001D41EA">
            <w:pPr>
              <w:spacing w:before="40" w:after="20"/>
              <w:jc w:val="right"/>
              <w:rPr>
                <w:rFonts w:cs="Arial"/>
                <w:sz w:val="18"/>
                <w:szCs w:val="18"/>
              </w:rPr>
            </w:pPr>
            <w:r w:rsidRPr="001D41EA">
              <w:rPr>
                <w:rFonts w:cs="Arial"/>
                <w:sz w:val="18"/>
                <w:szCs w:val="18"/>
              </w:rPr>
              <w:t>2,036.80</w:t>
            </w:r>
          </w:p>
        </w:tc>
      </w:tr>
      <w:tr w:rsidR="00F04730" w:rsidRPr="001D41EA" w14:paraId="4A582B1B"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47C4DB1F" w14:textId="320E9B22"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Pyrenees S </w:t>
            </w:r>
          </w:p>
        </w:tc>
        <w:tc>
          <w:tcPr>
            <w:tcW w:w="1134" w:type="dxa"/>
            <w:tcBorders>
              <w:top w:val="nil"/>
              <w:left w:val="single" w:sz="18" w:space="0" w:color="5F497A" w:themeColor="accent4" w:themeShade="BF"/>
              <w:bottom w:val="nil"/>
              <w:right w:val="nil"/>
            </w:tcBorders>
            <w:shd w:val="clear" w:color="auto" w:fill="auto"/>
            <w:vAlign w:val="bottom"/>
          </w:tcPr>
          <w:p w14:paraId="66170A6D" w14:textId="651C9F4D" w:rsidR="00F04730" w:rsidRPr="001D41EA" w:rsidRDefault="00F04730" w:rsidP="001D41EA">
            <w:pPr>
              <w:spacing w:before="40" w:after="20"/>
              <w:jc w:val="right"/>
              <w:rPr>
                <w:rFonts w:cs="Arial"/>
                <w:sz w:val="18"/>
                <w:szCs w:val="18"/>
              </w:rPr>
            </w:pPr>
            <w:r w:rsidRPr="001D41EA">
              <w:rPr>
                <w:rFonts w:cs="Arial"/>
                <w:sz w:val="18"/>
                <w:szCs w:val="18"/>
              </w:rPr>
              <w:t>7,353</w:t>
            </w:r>
          </w:p>
        </w:tc>
        <w:tc>
          <w:tcPr>
            <w:tcW w:w="1134" w:type="dxa"/>
            <w:tcBorders>
              <w:top w:val="nil"/>
              <w:left w:val="nil"/>
              <w:bottom w:val="nil"/>
              <w:right w:val="nil"/>
            </w:tcBorders>
            <w:shd w:val="clear" w:color="auto" w:fill="auto"/>
            <w:vAlign w:val="bottom"/>
          </w:tcPr>
          <w:p w14:paraId="1CF7F375" w14:textId="161827DD" w:rsidR="00F04730" w:rsidRPr="001D41EA" w:rsidRDefault="00F04730" w:rsidP="001D41EA">
            <w:pPr>
              <w:spacing w:before="40" w:after="20"/>
              <w:jc w:val="right"/>
              <w:rPr>
                <w:rFonts w:cs="Arial"/>
                <w:sz w:val="18"/>
                <w:szCs w:val="18"/>
              </w:rPr>
            </w:pPr>
            <w:r w:rsidRPr="001D41EA">
              <w:rPr>
                <w:rFonts w:cs="Arial"/>
                <w:sz w:val="18"/>
                <w:szCs w:val="18"/>
              </w:rPr>
              <w:t>3,487,163</w:t>
            </w:r>
          </w:p>
        </w:tc>
        <w:tc>
          <w:tcPr>
            <w:tcW w:w="1134" w:type="dxa"/>
            <w:tcBorders>
              <w:top w:val="nil"/>
              <w:left w:val="nil"/>
              <w:bottom w:val="nil"/>
              <w:right w:val="nil"/>
            </w:tcBorders>
            <w:shd w:val="clear" w:color="auto" w:fill="auto"/>
            <w:vAlign w:val="bottom"/>
          </w:tcPr>
          <w:p w14:paraId="6F438CA5" w14:textId="37BE096D" w:rsidR="00F04730" w:rsidRPr="001D41EA" w:rsidRDefault="00F04730" w:rsidP="001D41EA">
            <w:pPr>
              <w:spacing w:before="40" w:after="20"/>
              <w:jc w:val="right"/>
              <w:rPr>
                <w:rFonts w:cs="Arial"/>
                <w:sz w:val="18"/>
                <w:szCs w:val="18"/>
              </w:rPr>
            </w:pPr>
            <w:r w:rsidRPr="001D41EA">
              <w:rPr>
                <w:rFonts w:cs="Arial"/>
                <w:sz w:val="18"/>
                <w:szCs w:val="18"/>
              </w:rPr>
              <w:t>474.25</w:t>
            </w:r>
          </w:p>
        </w:tc>
        <w:tc>
          <w:tcPr>
            <w:tcW w:w="1134" w:type="dxa"/>
            <w:tcBorders>
              <w:top w:val="nil"/>
              <w:left w:val="nil"/>
              <w:bottom w:val="nil"/>
              <w:right w:val="nil"/>
            </w:tcBorders>
            <w:shd w:val="clear" w:color="auto" w:fill="auto"/>
            <w:vAlign w:val="bottom"/>
          </w:tcPr>
          <w:p w14:paraId="0D77782D" w14:textId="107C60A9" w:rsidR="00F04730" w:rsidRPr="001D41EA" w:rsidRDefault="00F04730" w:rsidP="001D41EA">
            <w:pPr>
              <w:spacing w:before="40" w:after="20"/>
              <w:jc w:val="right"/>
              <w:rPr>
                <w:rFonts w:cs="Arial"/>
                <w:sz w:val="18"/>
                <w:szCs w:val="18"/>
              </w:rPr>
            </w:pPr>
            <w:r w:rsidRPr="001D41EA">
              <w:rPr>
                <w:rFonts w:cs="Arial"/>
                <w:sz w:val="18"/>
                <w:szCs w:val="18"/>
              </w:rPr>
              <w:t>2,036</w:t>
            </w:r>
          </w:p>
        </w:tc>
        <w:tc>
          <w:tcPr>
            <w:tcW w:w="1134" w:type="dxa"/>
            <w:tcBorders>
              <w:top w:val="nil"/>
              <w:left w:val="nil"/>
              <w:bottom w:val="nil"/>
              <w:right w:val="nil"/>
            </w:tcBorders>
            <w:shd w:val="clear" w:color="auto" w:fill="auto"/>
            <w:vAlign w:val="bottom"/>
          </w:tcPr>
          <w:p w14:paraId="3B4A0EEB" w14:textId="0E94E081" w:rsidR="00F04730" w:rsidRPr="001D41EA" w:rsidRDefault="00F04730" w:rsidP="001D41EA">
            <w:pPr>
              <w:spacing w:before="40" w:after="20"/>
              <w:jc w:val="right"/>
              <w:rPr>
                <w:rFonts w:cs="Arial"/>
                <w:sz w:val="18"/>
                <w:szCs w:val="18"/>
              </w:rPr>
            </w:pPr>
            <w:r w:rsidRPr="001D41EA">
              <w:rPr>
                <w:rFonts w:cs="Arial"/>
                <w:sz w:val="18"/>
                <w:szCs w:val="18"/>
              </w:rPr>
              <w:t>2,194,074</w:t>
            </w:r>
          </w:p>
        </w:tc>
        <w:tc>
          <w:tcPr>
            <w:tcW w:w="1134" w:type="dxa"/>
            <w:tcBorders>
              <w:top w:val="nil"/>
              <w:left w:val="nil"/>
              <w:bottom w:val="nil"/>
              <w:right w:val="nil"/>
            </w:tcBorders>
            <w:shd w:val="clear" w:color="auto" w:fill="auto"/>
            <w:vAlign w:val="bottom"/>
          </w:tcPr>
          <w:p w14:paraId="232B2C88" w14:textId="007575AE" w:rsidR="00F04730" w:rsidRPr="001D41EA" w:rsidRDefault="00F04730" w:rsidP="001D41EA">
            <w:pPr>
              <w:spacing w:before="40" w:after="20"/>
              <w:jc w:val="right"/>
              <w:rPr>
                <w:rFonts w:cs="Arial"/>
                <w:sz w:val="18"/>
                <w:szCs w:val="18"/>
              </w:rPr>
            </w:pPr>
            <w:r w:rsidRPr="001D41EA">
              <w:rPr>
                <w:rFonts w:cs="Arial"/>
                <w:sz w:val="18"/>
                <w:szCs w:val="18"/>
              </w:rPr>
              <w:t>1,077.64</w:t>
            </w:r>
          </w:p>
        </w:tc>
      </w:tr>
      <w:tr w:rsidR="00F04730" w:rsidRPr="001D41EA" w14:paraId="027C66BB"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337A9283" w14:textId="12C240CE"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Queenscliffe B </w:t>
            </w:r>
          </w:p>
        </w:tc>
        <w:tc>
          <w:tcPr>
            <w:tcW w:w="1134" w:type="dxa"/>
            <w:tcBorders>
              <w:top w:val="nil"/>
              <w:left w:val="single" w:sz="18" w:space="0" w:color="5F497A" w:themeColor="accent4" w:themeShade="BF"/>
              <w:bottom w:val="nil"/>
              <w:right w:val="nil"/>
            </w:tcBorders>
            <w:shd w:val="clear" w:color="auto" w:fill="auto"/>
            <w:vAlign w:val="bottom"/>
          </w:tcPr>
          <w:p w14:paraId="00536E0E" w14:textId="35304C42" w:rsidR="00F04730" w:rsidRPr="001D41EA" w:rsidRDefault="00F04730" w:rsidP="001D41EA">
            <w:pPr>
              <w:spacing w:before="40" w:after="20"/>
              <w:jc w:val="right"/>
              <w:rPr>
                <w:rFonts w:cs="Arial"/>
                <w:sz w:val="18"/>
                <w:szCs w:val="18"/>
              </w:rPr>
            </w:pPr>
            <w:r w:rsidRPr="001D41EA">
              <w:rPr>
                <w:rFonts w:cs="Arial"/>
                <w:sz w:val="18"/>
                <w:szCs w:val="18"/>
              </w:rPr>
              <w:t>2,982</w:t>
            </w:r>
          </w:p>
        </w:tc>
        <w:tc>
          <w:tcPr>
            <w:tcW w:w="1134" w:type="dxa"/>
            <w:tcBorders>
              <w:top w:val="nil"/>
              <w:left w:val="nil"/>
              <w:bottom w:val="nil"/>
              <w:right w:val="nil"/>
            </w:tcBorders>
            <w:shd w:val="clear" w:color="auto" w:fill="auto"/>
            <w:vAlign w:val="bottom"/>
          </w:tcPr>
          <w:p w14:paraId="1BB1C6FC" w14:textId="18EA54B9" w:rsidR="00F04730" w:rsidRPr="001D41EA" w:rsidRDefault="00F04730" w:rsidP="001D41EA">
            <w:pPr>
              <w:spacing w:before="40" w:after="20"/>
              <w:jc w:val="right"/>
              <w:rPr>
                <w:rFonts w:cs="Arial"/>
                <w:sz w:val="18"/>
                <w:szCs w:val="18"/>
              </w:rPr>
            </w:pPr>
            <w:r w:rsidRPr="001D41EA">
              <w:rPr>
                <w:rFonts w:cs="Arial"/>
                <w:sz w:val="18"/>
                <w:szCs w:val="18"/>
              </w:rPr>
              <w:t>426,423</w:t>
            </w:r>
          </w:p>
        </w:tc>
        <w:tc>
          <w:tcPr>
            <w:tcW w:w="1134" w:type="dxa"/>
            <w:tcBorders>
              <w:top w:val="nil"/>
              <w:left w:val="nil"/>
              <w:bottom w:val="nil"/>
              <w:right w:val="nil"/>
            </w:tcBorders>
            <w:shd w:val="clear" w:color="auto" w:fill="auto"/>
            <w:vAlign w:val="bottom"/>
          </w:tcPr>
          <w:p w14:paraId="0E2B785C" w14:textId="70C10CE4" w:rsidR="00F04730" w:rsidRPr="001D41EA" w:rsidRDefault="00F04730" w:rsidP="001D41EA">
            <w:pPr>
              <w:spacing w:before="40" w:after="20"/>
              <w:jc w:val="right"/>
              <w:rPr>
                <w:rFonts w:cs="Arial"/>
                <w:sz w:val="18"/>
                <w:szCs w:val="18"/>
              </w:rPr>
            </w:pPr>
            <w:r w:rsidRPr="001D41EA">
              <w:rPr>
                <w:rFonts w:cs="Arial"/>
                <w:sz w:val="18"/>
                <w:szCs w:val="18"/>
              </w:rPr>
              <w:t>143.00</w:t>
            </w:r>
          </w:p>
        </w:tc>
        <w:tc>
          <w:tcPr>
            <w:tcW w:w="1134" w:type="dxa"/>
            <w:tcBorders>
              <w:top w:val="nil"/>
              <w:left w:val="nil"/>
              <w:bottom w:val="nil"/>
              <w:right w:val="nil"/>
            </w:tcBorders>
            <w:shd w:val="clear" w:color="auto" w:fill="auto"/>
            <w:vAlign w:val="bottom"/>
          </w:tcPr>
          <w:p w14:paraId="34B515DF" w14:textId="39187A8E" w:rsidR="00F04730" w:rsidRPr="001D41EA" w:rsidRDefault="00F04730" w:rsidP="001D41EA">
            <w:pPr>
              <w:spacing w:before="40" w:after="20"/>
              <w:jc w:val="right"/>
              <w:rPr>
                <w:rFonts w:cs="Arial"/>
                <w:sz w:val="18"/>
                <w:szCs w:val="18"/>
              </w:rPr>
            </w:pPr>
            <w:r w:rsidRPr="001D41EA">
              <w:rPr>
                <w:rFonts w:cs="Arial"/>
                <w:sz w:val="18"/>
                <w:szCs w:val="18"/>
              </w:rPr>
              <w:t>43</w:t>
            </w:r>
          </w:p>
        </w:tc>
        <w:tc>
          <w:tcPr>
            <w:tcW w:w="1134" w:type="dxa"/>
            <w:tcBorders>
              <w:top w:val="nil"/>
              <w:left w:val="nil"/>
              <w:bottom w:val="nil"/>
              <w:right w:val="nil"/>
            </w:tcBorders>
            <w:shd w:val="clear" w:color="auto" w:fill="auto"/>
            <w:vAlign w:val="bottom"/>
          </w:tcPr>
          <w:p w14:paraId="2214EB8C" w14:textId="7B227538" w:rsidR="00F04730" w:rsidRPr="001D41EA" w:rsidRDefault="00F04730" w:rsidP="001D41EA">
            <w:pPr>
              <w:spacing w:before="40" w:after="20"/>
              <w:jc w:val="right"/>
              <w:rPr>
                <w:rFonts w:cs="Arial"/>
                <w:sz w:val="18"/>
                <w:szCs w:val="18"/>
              </w:rPr>
            </w:pPr>
            <w:r w:rsidRPr="001D41EA">
              <w:rPr>
                <w:rFonts w:cs="Arial"/>
                <w:sz w:val="18"/>
                <w:szCs w:val="18"/>
              </w:rPr>
              <w:t>60,051</w:t>
            </w:r>
          </w:p>
        </w:tc>
        <w:tc>
          <w:tcPr>
            <w:tcW w:w="1134" w:type="dxa"/>
            <w:tcBorders>
              <w:top w:val="nil"/>
              <w:left w:val="nil"/>
              <w:bottom w:val="nil"/>
              <w:right w:val="nil"/>
            </w:tcBorders>
            <w:shd w:val="clear" w:color="auto" w:fill="auto"/>
            <w:vAlign w:val="bottom"/>
          </w:tcPr>
          <w:p w14:paraId="179D240B" w14:textId="73F7EB2A" w:rsidR="00F04730" w:rsidRPr="001D41EA" w:rsidRDefault="00F04730" w:rsidP="001D41EA">
            <w:pPr>
              <w:spacing w:before="40" w:after="20"/>
              <w:jc w:val="right"/>
              <w:rPr>
                <w:rFonts w:cs="Arial"/>
                <w:sz w:val="18"/>
                <w:szCs w:val="18"/>
              </w:rPr>
            </w:pPr>
            <w:r w:rsidRPr="001D41EA">
              <w:rPr>
                <w:rFonts w:cs="Arial"/>
                <w:sz w:val="18"/>
                <w:szCs w:val="18"/>
              </w:rPr>
              <w:t>1,396.53</w:t>
            </w:r>
          </w:p>
        </w:tc>
      </w:tr>
      <w:tr w:rsidR="00F04730" w:rsidRPr="001D41EA" w14:paraId="7957DF4E"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97DD844" w14:textId="7D7B8E0D"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South Gippsland S </w:t>
            </w:r>
          </w:p>
        </w:tc>
        <w:tc>
          <w:tcPr>
            <w:tcW w:w="1134" w:type="dxa"/>
            <w:tcBorders>
              <w:top w:val="nil"/>
              <w:left w:val="single" w:sz="18" w:space="0" w:color="5F497A" w:themeColor="accent4" w:themeShade="BF"/>
              <w:bottom w:val="nil"/>
              <w:right w:val="nil"/>
            </w:tcBorders>
            <w:shd w:val="clear" w:color="auto" w:fill="auto"/>
            <w:vAlign w:val="bottom"/>
          </w:tcPr>
          <w:p w14:paraId="6BDE9BB8" w14:textId="090593FC" w:rsidR="00F04730" w:rsidRPr="001D41EA" w:rsidRDefault="00F04730" w:rsidP="001D41EA">
            <w:pPr>
              <w:spacing w:before="40" w:after="20"/>
              <w:jc w:val="right"/>
              <w:rPr>
                <w:rFonts w:cs="Arial"/>
                <w:sz w:val="18"/>
                <w:szCs w:val="18"/>
              </w:rPr>
            </w:pPr>
            <w:r w:rsidRPr="001D41EA">
              <w:rPr>
                <w:rFonts w:cs="Arial"/>
                <w:sz w:val="18"/>
                <w:szCs w:val="18"/>
              </w:rPr>
              <w:t>29,576</w:t>
            </w:r>
          </w:p>
        </w:tc>
        <w:tc>
          <w:tcPr>
            <w:tcW w:w="1134" w:type="dxa"/>
            <w:tcBorders>
              <w:top w:val="nil"/>
              <w:left w:val="nil"/>
              <w:bottom w:val="nil"/>
              <w:right w:val="nil"/>
            </w:tcBorders>
            <w:shd w:val="clear" w:color="auto" w:fill="auto"/>
            <w:vAlign w:val="bottom"/>
          </w:tcPr>
          <w:p w14:paraId="5608CBB7" w14:textId="360AE96A" w:rsidR="00F04730" w:rsidRPr="001D41EA" w:rsidRDefault="00F04730" w:rsidP="001D41EA">
            <w:pPr>
              <w:spacing w:before="40" w:after="20"/>
              <w:jc w:val="right"/>
              <w:rPr>
                <w:rFonts w:cs="Arial"/>
                <w:sz w:val="18"/>
                <w:szCs w:val="18"/>
              </w:rPr>
            </w:pPr>
            <w:r w:rsidRPr="001D41EA">
              <w:rPr>
                <w:rFonts w:cs="Arial"/>
                <w:sz w:val="18"/>
                <w:szCs w:val="18"/>
              </w:rPr>
              <w:t>6,409,556</w:t>
            </w:r>
          </w:p>
        </w:tc>
        <w:tc>
          <w:tcPr>
            <w:tcW w:w="1134" w:type="dxa"/>
            <w:tcBorders>
              <w:top w:val="nil"/>
              <w:left w:val="nil"/>
              <w:bottom w:val="nil"/>
              <w:right w:val="nil"/>
            </w:tcBorders>
            <w:shd w:val="clear" w:color="auto" w:fill="auto"/>
            <w:vAlign w:val="bottom"/>
          </w:tcPr>
          <w:p w14:paraId="2A7C1EA6" w14:textId="5BA94A31" w:rsidR="00F04730" w:rsidRPr="001D41EA" w:rsidRDefault="00F04730" w:rsidP="001D41EA">
            <w:pPr>
              <w:spacing w:before="40" w:after="20"/>
              <w:jc w:val="right"/>
              <w:rPr>
                <w:rFonts w:cs="Arial"/>
                <w:sz w:val="18"/>
                <w:szCs w:val="18"/>
              </w:rPr>
            </w:pPr>
            <w:r w:rsidRPr="001D41EA">
              <w:rPr>
                <w:rFonts w:cs="Arial"/>
                <w:sz w:val="18"/>
                <w:szCs w:val="18"/>
              </w:rPr>
              <w:t>216.71</w:t>
            </w:r>
          </w:p>
        </w:tc>
        <w:tc>
          <w:tcPr>
            <w:tcW w:w="1134" w:type="dxa"/>
            <w:tcBorders>
              <w:top w:val="nil"/>
              <w:left w:val="nil"/>
              <w:bottom w:val="nil"/>
              <w:right w:val="nil"/>
            </w:tcBorders>
            <w:shd w:val="clear" w:color="auto" w:fill="auto"/>
            <w:vAlign w:val="bottom"/>
          </w:tcPr>
          <w:p w14:paraId="76B080BF" w14:textId="08902CF8" w:rsidR="00F04730" w:rsidRPr="001D41EA" w:rsidRDefault="00F04730" w:rsidP="001D41EA">
            <w:pPr>
              <w:spacing w:before="40" w:after="20"/>
              <w:jc w:val="right"/>
              <w:rPr>
                <w:rFonts w:cs="Arial"/>
                <w:sz w:val="18"/>
                <w:szCs w:val="18"/>
              </w:rPr>
            </w:pPr>
            <w:r w:rsidRPr="001D41EA">
              <w:rPr>
                <w:rFonts w:cs="Arial"/>
                <w:sz w:val="18"/>
                <w:szCs w:val="18"/>
              </w:rPr>
              <w:t>2,100</w:t>
            </w:r>
          </w:p>
        </w:tc>
        <w:tc>
          <w:tcPr>
            <w:tcW w:w="1134" w:type="dxa"/>
            <w:tcBorders>
              <w:top w:val="nil"/>
              <w:left w:val="nil"/>
              <w:bottom w:val="nil"/>
              <w:right w:val="nil"/>
            </w:tcBorders>
            <w:shd w:val="clear" w:color="auto" w:fill="auto"/>
            <w:vAlign w:val="bottom"/>
          </w:tcPr>
          <w:p w14:paraId="6C48134C" w14:textId="1E19E08A" w:rsidR="00F04730" w:rsidRPr="001D41EA" w:rsidRDefault="00F04730" w:rsidP="001D41EA">
            <w:pPr>
              <w:spacing w:before="40" w:after="20"/>
              <w:jc w:val="right"/>
              <w:rPr>
                <w:rFonts w:cs="Arial"/>
                <w:sz w:val="18"/>
                <w:szCs w:val="18"/>
              </w:rPr>
            </w:pPr>
            <w:r w:rsidRPr="001D41EA">
              <w:rPr>
                <w:rFonts w:cs="Arial"/>
                <w:sz w:val="18"/>
                <w:szCs w:val="18"/>
              </w:rPr>
              <w:t>3,850,132</w:t>
            </w:r>
          </w:p>
        </w:tc>
        <w:tc>
          <w:tcPr>
            <w:tcW w:w="1134" w:type="dxa"/>
            <w:tcBorders>
              <w:top w:val="nil"/>
              <w:left w:val="nil"/>
              <w:bottom w:val="nil"/>
              <w:right w:val="nil"/>
            </w:tcBorders>
            <w:shd w:val="clear" w:color="auto" w:fill="auto"/>
            <w:vAlign w:val="bottom"/>
          </w:tcPr>
          <w:p w14:paraId="24194AD0" w14:textId="61C7DBAF" w:rsidR="00F04730" w:rsidRPr="001D41EA" w:rsidRDefault="00F04730" w:rsidP="001D41EA">
            <w:pPr>
              <w:spacing w:before="40" w:after="20"/>
              <w:jc w:val="right"/>
              <w:rPr>
                <w:rFonts w:cs="Arial"/>
                <w:sz w:val="18"/>
                <w:szCs w:val="18"/>
              </w:rPr>
            </w:pPr>
            <w:r w:rsidRPr="001D41EA">
              <w:rPr>
                <w:rFonts w:cs="Arial"/>
                <w:sz w:val="18"/>
                <w:szCs w:val="18"/>
              </w:rPr>
              <w:t>1,833.40</w:t>
            </w:r>
          </w:p>
        </w:tc>
      </w:tr>
      <w:tr w:rsidR="00F04730" w:rsidRPr="001D41EA" w14:paraId="0459C259"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3B1EBA0F" w14:textId="10E6A43A" w:rsidR="00F04730" w:rsidRPr="001D41EA" w:rsidRDefault="00F04730" w:rsidP="001D41EA">
            <w:pPr>
              <w:tabs>
                <w:tab w:val="right" w:pos="2037"/>
              </w:tabs>
              <w:spacing w:before="40" w:after="20"/>
              <w:rPr>
                <w:rFonts w:cs="Arial"/>
                <w:sz w:val="18"/>
                <w:szCs w:val="18"/>
              </w:rPr>
            </w:pPr>
            <w:r w:rsidRPr="001D41EA">
              <w:rPr>
                <w:rFonts w:cs="Arial"/>
                <w:sz w:val="18"/>
                <w:szCs w:val="18"/>
              </w:rPr>
              <w:t>Southern Grampians S</w:t>
            </w:r>
            <w:r w:rsidR="00626246" w:rsidRPr="001D41EA">
              <w:rPr>
                <w:rFonts w:cs="Arial"/>
                <w:sz w:val="18"/>
                <w:szCs w:val="18"/>
              </w:rPr>
              <w:t xml:space="preserve">  *</w:t>
            </w:r>
            <w:r w:rsidR="00626246" w:rsidRPr="001D41EA">
              <w:rPr>
                <w:rFonts w:cs="Arial"/>
                <w:sz w:val="18"/>
                <w:szCs w:val="18"/>
              </w:rPr>
              <w:tab/>
            </w:r>
          </w:p>
        </w:tc>
        <w:tc>
          <w:tcPr>
            <w:tcW w:w="1134" w:type="dxa"/>
            <w:tcBorders>
              <w:top w:val="nil"/>
              <w:left w:val="single" w:sz="18" w:space="0" w:color="5F497A" w:themeColor="accent4" w:themeShade="BF"/>
              <w:bottom w:val="nil"/>
              <w:right w:val="nil"/>
            </w:tcBorders>
            <w:shd w:val="clear" w:color="auto" w:fill="auto"/>
            <w:vAlign w:val="bottom"/>
          </w:tcPr>
          <w:p w14:paraId="24D49BB5" w14:textId="4B43A257" w:rsidR="00F04730" w:rsidRPr="001D41EA" w:rsidRDefault="00F04730" w:rsidP="001D41EA">
            <w:pPr>
              <w:spacing w:before="40" w:after="20"/>
              <w:jc w:val="right"/>
              <w:rPr>
                <w:rFonts w:cs="Arial"/>
                <w:sz w:val="18"/>
                <w:szCs w:val="18"/>
              </w:rPr>
            </w:pPr>
            <w:r w:rsidRPr="001D41EA">
              <w:rPr>
                <w:rFonts w:cs="Arial"/>
                <w:sz w:val="18"/>
                <w:szCs w:val="18"/>
              </w:rPr>
              <w:t>16,135</w:t>
            </w:r>
          </w:p>
        </w:tc>
        <w:tc>
          <w:tcPr>
            <w:tcW w:w="1134" w:type="dxa"/>
            <w:tcBorders>
              <w:top w:val="nil"/>
              <w:left w:val="nil"/>
              <w:bottom w:val="nil"/>
              <w:right w:val="nil"/>
            </w:tcBorders>
            <w:shd w:val="clear" w:color="auto" w:fill="auto"/>
            <w:vAlign w:val="bottom"/>
          </w:tcPr>
          <w:p w14:paraId="0B662275" w14:textId="7CB7AE4E" w:rsidR="00F04730" w:rsidRPr="001D41EA" w:rsidRDefault="00F04730" w:rsidP="001D41EA">
            <w:pPr>
              <w:spacing w:before="40" w:after="20"/>
              <w:jc w:val="right"/>
              <w:rPr>
                <w:rFonts w:cs="Arial"/>
                <w:sz w:val="18"/>
                <w:szCs w:val="18"/>
              </w:rPr>
            </w:pPr>
            <w:r w:rsidRPr="001D41EA">
              <w:rPr>
                <w:rFonts w:cs="Arial"/>
                <w:sz w:val="18"/>
                <w:szCs w:val="18"/>
              </w:rPr>
              <w:t>4,675,746</w:t>
            </w:r>
          </w:p>
        </w:tc>
        <w:tc>
          <w:tcPr>
            <w:tcW w:w="1134" w:type="dxa"/>
            <w:tcBorders>
              <w:top w:val="nil"/>
              <w:left w:val="nil"/>
              <w:bottom w:val="nil"/>
              <w:right w:val="nil"/>
            </w:tcBorders>
            <w:shd w:val="clear" w:color="auto" w:fill="auto"/>
            <w:vAlign w:val="bottom"/>
          </w:tcPr>
          <w:p w14:paraId="6844A2B7" w14:textId="2DA6EA36" w:rsidR="00F04730" w:rsidRPr="001D41EA" w:rsidRDefault="00F04730" w:rsidP="001D41EA">
            <w:pPr>
              <w:spacing w:before="40" w:after="20"/>
              <w:jc w:val="right"/>
              <w:rPr>
                <w:rFonts w:cs="Arial"/>
                <w:sz w:val="18"/>
                <w:szCs w:val="18"/>
              </w:rPr>
            </w:pPr>
            <w:r w:rsidRPr="001D41EA">
              <w:rPr>
                <w:rFonts w:cs="Arial"/>
                <w:sz w:val="18"/>
                <w:szCs w:val="18"/>
              </w:rPr>
              <w:t>289.79</w:t>
            </w:r>
          </w:p>
        </w:tc>
        <w:tc>
          <w:tcPr>
            <w:tcW w:w="1134" w:type="dxa"/>
            <w:tcBorders>
              <w:top w:val="nil"/>
              <w:left w:val="nil"/>
              <w:bottom w:val="nil"/>
              <w:right w:val="nil"/>
            </w:tcBorders>
            <w:shd w:val="clear" w:color="auto" w:fill="auto"/>
            <w:vAlign w:val="bottom"/>
          </w:tcPr>
          <w:p w14:paraId="2C2339DF" w14:textId="7773E777" w:rsidR="00F04730" w:rsidRPr="001D41EA" w:rsidRDefault="00F04730" w:rsidP="001D41EA">
            <w:pPr>
              <w:spacing w:before="40" w:after="20"/>
              <w:jc w:val="right"/>
              <w:rPr>
                <w:rFonts w:cs="Arial"/>
                <w:sz w:val="18"/>
                <w:szCs w:val="18"/>
              </w:rPr>
            </w:pPr>
            <w:r w:rsidRPr="001D41EA">
              <w:rPr>
                <w:rFonts w:cs="Arial"/>
                <w:sz w:val="18"/>
                <w:szCs w:val="18"/>
              </w:rPr>
              <w:t>2,761</w:t>
            </w:r>
          </w:p>
        </w:tc>
        <w:tc>
          <w:tcPr>
            <w:tcW w:w="1134" w:type="dxa"/>
            <w:tcBorders>
              <w:top w:val="nil"/>
              <w:left w:val="nil"/>
              <w:bottom w:val="nil"/>
              <w:right w:val="nil"/>
            </w:tcBorders>
            <w:shd w:val="clear" w:color="auto" w:fill="auto"/>
            <w:vAlign w:val="bottom"/>
          </w:tcPr>
          <w:p w14:paraId="5E6FEF5C" w14:textId="3483B5DE" w:rsidR="00F04730" w:rsidRPr="001D41EA" w:rsidRDefault="00F04730" w:rsidP="001D41EA">
            <w:pPr>
              <w:spacing w:before="40" w:after="20"/>
              <w:jc w:val="right"/>
              <w:rPr>
                <w:rFonts w:cs="Arial"/>
                <w:sz w:val="18"/>
                <w:szCs w:val="18"/>
              </w:rPr>
            </w:pPr>
            <w:r w:rsidRPr="001D41EA">
              <w:rPr>
                <w:rFonts w:cs="Arial"/>
                <w:sz w:val="18"/>
                <w:szCs w:val="18"/>
              </w:rPr>
              <w:t>3,122,611</w:t>
            </w:r>
          </w:p>
        </w:tc>
        <w:tc>
          <w:tcPr>
            <w:tcW w:w="1134" w:type="dxa"/>
            <w:tcBorders>
              <w:top w:val="nil"/>
              <w:left w:val="nil"/>
              <w:bottom w:val="nil"/>
              <w:right w:val="nil"/>
            </w:tcBorders>
            <w:shd w:val="clear" w:color="auto" w:fill="auto"/>
            <w:vAlign w:val="bottom"/>
          </w:tcPr>
          <w:p w14:paraId="073E83FA" w14:textId="3BE4E662" w:rsidR="00F04730" w:rsidRPr="001D41EA" w:rsidRDefault="00F04730" w:rsidP="001D41EA">
            <w:pPr>
              <w:spacing w:before="40" w:after="20"/>
              <w:jc w:val="right"/>
              <w:rPr>
                <w:rFonts w:cs="Arial"/>
                <w:sz w:val="18"/>
                <w:szCs w:val="18"/>
              </w:rPr>
            </w:pPr>
            <w:r w:rsidRPr="001D41EA">
              <w:rPr>
                <w:rFonts w:cs="Arial"/>
                <w:sz w:val="18"/>
                <w:szCs w:val="18"/>
              </w:rPr>
              <w:t>1,130.97</w:t>
            </w:r>
          </w:p>
        </w:tc>
      </w:tr>
      <w:tr w:rsidR="00F04730" w:rsidRPr="001D41EA" w14:paraId="14FE0C7E"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0281907A" w14:textId="282D8B82"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Stonnington C </w:t>
            </w:r>
          </w:p>
        </w:tc>
        <w:tc>
          <w:tcPr>
            <w:tcW w:w="1134" w:type="dxa"/>
            <w:tcBorders>
              <w:top w:val="nil"/>
              <w:left w:val="single" w:sz="18" w:space="0" w:color="5F497A" w:themeColor="accent4" w:themeShade="BF"/>
              <w:bottom w:val="nil"/>
              <w:right w:val="nil"/>
            </w:tcBorders>
            <w:shd w:val="clear" w:color="auto" w:fill="auto"/>
            <w:vAlign w:val="bottom"/>
          </w:tcPr>
          <w:p w14:paraId="3F903804" w14:textId="5767042F" w:rsidR="00F04730" w:rsidRPr="001D41EA" w:rsidRDefault="00F04730" w:rsidP="001D41EA">
            <w:pPr>
              <w:spacing w:before="40" w:after="20"/>
              <w:jc w:val="right"/>
              <w:rPr>
                <w:rFonts w:cs="Arial"/>
                <w:sz w:val="18"/>
                <w:szCs w:val="18"/>
              </w:rPr>
            </w:pPr>
            <w:r w:rsidRPr="001D41EA">
              <w:rPr>
                <w:rFonts w:cs="Arial"/>
                <w:sz w:val="18"/>
                <w:szCs w:val="18"/>
              </w:rPr>
              <w:t>116,207</w:t>
            </w:r>
          </w:p>
        </w:tc>
        <w:tc>
          <w:tcPr>
            <w:tcW w:w="1134" w:type="dxa"/>
            <w:tcBorders>
              <w:top w:val="nil"/>
              <w:left w:val="nil"/>
              <w:bottom w:val="nil"/>
              <w:right w:val="nil"/>
            </w:tcBorders>
            <w:shd w:val="clear" w:color="auto" w:fill="auto"/>
            <w:vAlign w:val="bottom"/>
          </w:tcPr>
          <w:p w14:paraId="1AC1C4EE" w14:textId="26185CF6" w:rsidR="00F04730" w:rsidRPr="001D41EA" w:rsidRDefault="00F04730" w:rsidP="001D41EA">
            <w:pPr>
              <w:spacing w:before="40" w:after="20"/>
              <w:jc w:val="right"/>
              <w:rPr>
                <w:rFonts w:cs="Arial"/>
                <w:sz w:val="18"/>
                <w:szCs w:val="18"/>
              </w:rPr>
            </w:pPr>
            <w:r w:rsidRPr="001D41EA">
              <w:rPr>
                <w:rFonts w:cs="Arial"/>
                <w:sz w:val="18"/>
                <w:szCs w:val="18"/>
              </w:rPr>
              <w:t>2,458,355</w:t>
            </w:r>
          </w:p>
        </w:tc>
        <w:tc>
          <w:tcPr>
            <w:tcW w:w="1134" w:type="dxa"/>
            <w:tcBorders>
              <w:top w:val="nil"/>
              <w:left w:val="nil"/>
              <w:bottom w:val="nil"/>
              <w:right w:val="nil"/>
            </w:tcBorders>
            <w:shd w:val="clear" w:color="auto" w:fill="auto"/>
            <w:vAlign w:val="bottom"/>
          </w:tcPr>
          <w:p w14:paraId="16AC8FEB" w14:textId="0FB313B3" w:rsidR="00F04730" w:rsidRPr="001D41EA" w:rsidRDefault="00F04730" w:rsidP="001D41EA">
            <w:pPr>
              <w:spacing w:before="40" w:after="20"/>
              <w:jc w:val="right"/>
              <w:rPr>
                <w:rFonts w:cs="Arial"/>
                <w:sz w:val="18"/>
                <w:szCs w:val="18"/>
              </w:rPr>
            </w:pPr>
            <w:r w:rsidRPr="001D41EA">
              <w:rPr>
                <w:rFonts w:cs="Arial"/>
                <w:sz w:val="18"/>
                <w:szCs w:val="18"/>
              </w:rPr>
              <w:t>21.15</w:t>
            </w:r>
          </w:p>
        </w:tc>
        <w:tc>
          <w:tcPr>
            <w:tcW w:w="1134" w:type="dxa"/>
            <w:tcBorders>
              <w:top w:val="nil"/>
              <w:left w:val="nil"/>
              <w:bottom w:val="nil"/>
              <w:right w:val="nil"/>
            </w:tcBorders>
            <w:shd w:val="clear" w:color="auto" w:fill="auto"/>
            <w:vAlign w:val="bottom"/>
          </w:tcPr>
          <w:p w14:paraId="7519D959" w14:textId="640774B2" w:rsidR="00F04730" w:rsidRPr="001D41EA" w:rsidRDefault="00F04730" w:rsidP="001D41EA">
            <w:pPr>
              <w:spacing w:before="40" w:after="20"/>
              <w:jc w:val="right"/>
              <w:rPr>
                <w:rFonts w:cs="Arial"/>
                <w:sz w:val="18"/>
                <w:szCs w:val="18"/>
              </w:rPr>
            </w:pPr>
            <w:r w:rsidRPr="001D41EA">
              <w:rPr>
                <w:rFonts w:cs="Arial"/>
                <w:sz w:val="18"/>
                <w:szCs w:val="18"/>
              </w:rPr>
              <w:t>261</w:t>
            </w:r>
          </w:p>
        </w:tc>
        <w:tc>
          <w:tcPr>
            <w:tcW w:w="1134" w:type="dxa"/>
            <w:tcBorders>
              <w:top w:val="nil"/>
              <w:left w:val="nil"/>
              <w:bottom w:val="nil"/>
              <w:right w:val="nil"/>
            </w:tcBorders>
            <w:shd w:val="clear" w:color="auto" w:fill="auto"/>
            <w:vAlign w:val="bottom"/>
          </w:tcPr>
          <w:p w14:paraId="7BB42743" w14:textId="0D14B320" w:rsidR="00F04730" w:rsidRPr="001D41EA" w:rsidRDefault="00F04730" w:rsidP="001D41EA">
            <w:pPr>
              <w:spacing w:before="40" w:after="20"/>
              <w:jc w:val="right"/>
              <w:rPr>
                <w:rFonts w:cs="Arial"/>
                <w:sz w:val="18"/>
                <w:szCs w:val="18"/>
              </w:rPr>
            </w:pPr>
            <w:r w:rsidRPr="001D41EA">
              <w:rPr>
                <w:rFonts w:cs="Arial"/>
                <w:sz w:val="18"/>
                <w:szCs w:val="18"/>
              </w:rPr>
              <w:t>467,955</w:t>
            </w:r>
          </w:p>
        </w:tc>
        <w:tc>
          <w:tcPr>
            <w:tcW w:w="1134" w:type="dxa"/>
            <w:tcBorders>
              <w:top w:val="nil"/>
              <w:left w:val="nil"/>
              <w:bottom w:val="nil"/>
              <w:right w:val="nil"/>
            </w:tcBorders>
            <w:shd w:val="clear" w:color="auto" w:fill="auto"/>
            <w:vAlign w:val="bottom"/>
          </w:tcPr>
          <w:p w14:paraId="49531FF6" w14:textId="6E2879A9" w:rsidR="00F04730" w:rsidRPr="001D41EA" w:rsidRDefault="00F04730" w:rsidP="001D41EA">
            <w:pPr>
              <w:spacing w:before="40" w:after="20"/>
              <w:jc w:val="right"/>
              <w:rPr>
                <w:rFonts w:cs="Arial"/>
                <w:sz w:val="18"/>
                <w:szCs w:val="18"/>
              </w:rPr>
            </w:pPr>
            <w:r w:rsidRPr="001D41EA">
              <w:rPr>
                <w:rFonts w:cs="Arial"/>
                <w:sz w:val="18"/>
                <w:szCs w:val="18"/>
              </w:rPr>
              <w:t>1,792.93</w:t>
            </w:r>
          </w:p>
        </w:tc>
      </w:tr>
      <w:tr w:rsidR="00F04730" w:rsidRPr="001D41EA" w14:paraId="55402155"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131F55E" w14:textId="145DE7AC"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Strathbogie S </w:t>
            </w:r>
          </w:p>
        </w:tc>
        <w:tc>
          <w:tcPr>
            <w:tcW w:w="1134" w:type="dxa"/>
            <w:tcBorders>
              <w:top w:val="nil"/>
              <w:left w:val="single" w:sz="18" w:space="0" w:color="5F497A" w:themeColor="accent4" w:themeShade="BF"/>
              <w:bottom w:val="nil"/>
              <w:right w:val="nil"/>
            </w:tcBorders>
            <w:shd w:val="clear" w:color="auto" w:fill="auto"/>
            <w:vAlign w:val="bottom"/>
          </w:tcPr>
          <w:p w14:paraId="249F0ED0" w14:textId="21D03A96" w:rsidR="00F04730" w:rsidRPr="001D41EA" w:rsidRDefault="00F04730" w:rsidP="001D41EA">
            <w:pPr>
              <w:spacing w:before="40" w:after="20"/>
              <w:jc w:val="right"/>
              <w:rPr>
                <w:rFonts w:cs="Arial"/>
                <w:sz w:val="18"/>
                <w:szCs w:val="18"/>
              </w:rPr>
            </w:pPr>
            <w:r w:rsidRPr="001D41EA">
              <w:rPr>
                <w:rFonts w:cs="Arial"/>
                <w:sz w:val="18"/>
                <w:szCs w:val="18"/>
              </w:rPr>
              <w:t>10,645</w:t>
            </w:r>
          </w:p>
        </w:tc>
        <w:tc>
          <w:tcPr>
            <w:tcW w:w="1134" w:type="dxa"/>
            <w:tcBorders>
              <w:top w:val="nil"/>
              <w:left w:val="nil"/>
              <w:bottom w:val="nil"/>
              <w:right w:val="nil"/>
            </w:tcBorders>
            <w:shd w:val="clear" w:color="auto" w:fill="auto"/>
            <w:vAlign w:val="bottom"/>
          </w:tcPr>
          <w:p w14:paraId="0507F830" w14:textId="4C645F70" w:rsidR="00F04730" w:rsidRPr="001D41EA" w:rsidRDefault="00F04730" w:rsidP="001D41EA">
            <w:pPr>
              <w:spacing w:before="40" w:after="20"/>
              <w:jc w:val="right"/>
              <w:rPr>
                <w:rFonts w:cs="Arial"/>
                <w:sz w:val="18"/>
                <w:szCs w:val="18"/>
              </w:rPr>
            </w:pPr>
            <w:r w:rsidRPr="001D41EA">
              <w:rPr>
                <w:rFonts w:cs="Arial"/>
                <w:sz w:val="18"/>
                <w:szCs w:val="18"/>
              </w:rPr>
              <w:t>3,398,869</w:t>
            </w:r>
          </w:p>
        </w:tc>
        <w:tc>
          <w:tcPr>
            <w:tcW w:w="1134" w:type="dxa"/>
            <w:tcBorders>
              <w:top w:val="nil"/>
              <w:left w:val="nil"/>
              <w:bottom w:val="nil"/>
              <w:right w:val="nil"/>
            </w:tcBorders>
            <w:shd w:val="clear" w:color="auto" w:fill="auto"/>
            <w:vAlign w:val="bottom"/>
          </w:tcPr>
          <w:p w14:paraId="1DC90CE0" w14:textId="41AE2873" w:rsidR="00F04730" w:rsidRPr="001D41EA" w:rsidRDefault="00F04730" w:rsidP="001D41EA">
            <w:pPr>
              <w:spacing w:before="40" w:after="20"/>
              <w:jc w:val="right"/>
              <w:rPr>
                <w:rFonts w:cs="Arial"/>
                <w:sz w:val="18"/>
                <w:szCs w:val="18"/>
              </w:rPr>
            </w:pPr>
            <w:r w:rsidRPr="001D41EA">
              <w:rPr>
                <w:rFonts w:cs="Arial"/>
                <w:sz w:val="18"/>
                <w:szCs w:val="18"/>
              </w:rPr>
              <w:t>319.29</w:t>
            </w:r>
          </w:p>
        </w:tc>
        <w:tc>
          <w:tcPr>
            <w:tcW w:w="1134" w:type="dxa"/>
            <w:tcBorders>
              <w:top w:val="nil"/>
              <w:left w:val="nil"/>
              <w:bottom w:val="nil"/>
              <w:right w:val="nil"/>
            </w:tcBorders>
            <w:shd w:val="clear" w:color="auto" w:fill="auto"/>
            <w:vAlign w:val="bottom"/>
          </w:tcPr>
          <w:p w14:paraId="44FFB322" w14:textId="515298AC" w:rsidR="00F04730" w:rsidRPr="001D41EA" w:rsidRDefault="00F04730" w:rsidP="001D41EA">
            <w:pPr>
              <w:spacing w:before="40" w:after="20"/>
              <w:jc w:val="right"/>
              <w:rPr>
                <w:rFonts w:cs="Arial"/>
                <w:sz w:val="18"/>
                <w:szCs w:val="18"/>
              </w:rPr>
            </w:pPr>
            <w:r w:rsidRPr="001D41EA">
              <w:rPr>
                <w:rFonts w:cs="Arial"/>
                <w:sz w:val="18"/>
                <w:szCs w:val="18"/>
              </w:rPr>
              <w:t>2,204</w:t>
            </w:r>
          </w:p>
        </w:tc>
        <w:tc>
          <w:tcPr>
            <w:tcW w:w="1134" w:type="dxa"/>
            <w:tcBorders>
              <w:top w:val="nil"/>
              <w:left w:val="nil"/>
              <w:bottom w:val="nil"/>
              <w:right w:val="nil"/>
            </w:tcBorders>
            <w:shd w:val="clear" w:color="auto" w:fill="auto"/>
            <w:vAlign w:val="bottom"/>
          </w:tcPr>
          <w:p w14:paraId="2087FD50" w14:textId="68B7D09B" w:rsidR="00F04730" w:rsidRPr="001D41EA" w:rsidRDefault="00F04730" w:rsidP="001D41EA">
            <w:pPr>
              <w:spacing w:before="40" w:after="20"/>
              <w:jc w:val="right"/>
              <w:rPr>
                <w:rFonts w:cs="Arial"/>
                <w:sz w:val="18"/>
                <w:szCs w:val="18"/>
              </w:rPr>
            </w:pPr>
            <w:r w:rsidRPr="001D41EA">
              <w:rPr>
                <w:rFonts w:cs="Arial"/>
                <w:sz w:val="18"/>
                <w:szCs w:val="18"/>
              </w:rPr>
              <w:t>2,249,456</w:t>
            </w:r>
          </w:p>
        </w:tc>
        <w:tc>
          <w:tcPr>
            <w:tcW w:w="1134" w:type="dxa"/>
            <w:tcBorders>
              <w:top w:val="nil"/>
              <w:left w:val="nil"/>
              <w:bottom w:val="nil"/>
              <w:right w:val="nil"/>
            </w:tcBorders>
            <w:shd w:val="clear" w:color="auto" w:fill="auto"/>
            <w:vAlign w:val="bottom"/>
          </w:tcPr>
          <w:p w14:paraId="1C0DB75D" w14:textId="6ECAA724" w:rsidR="00F04730" w:rsidRPr="001D41EA" w:rsidRDefault="00F04730" w:rsidP="001D41EA">
            <w:pPr>
              <w:spacing w:before="40" w:after="20"/>
              <w:jc w:val="right"/>
              <w:rPr>
                <w:rFonts w:cs="Arial"/>
                <w:sz w:val="18"/>
                <w:szCs w:val="18"/>
              </w:rPr>
            </w:pPr>
            <w:r w:rsidRPr="001D41EA">
              <w:rPr>
                <w:rFonts w:cs="Arial"/>
                <w:sz w:val="18"/>
                <w:szCs w:val="18"/>
              </w:rPr>
              <w:t>1,020.62</w:t>
            </w:r>
          </w:p>
        </w:tc>
      </w:tr>
      <w:tr w:rsidR="00F04730" w:rsidRPr="001D41EA" w14:paraId="2E122259"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84B9CB6" w14:textId="0B651349" w:rsidR="00F04730" w:rsidRPr="001D41EA" w:rsidRDefault="00F04730" w:rsidP="001D41EA">
            <w:pPr>
              <w:tabs>
                <w:tab w:val="right" w:pos="2037"/>
              </w:tabs>
              <w:spacing w:before="40" w:after="20"/>
              <w:rPr>
                <w:rFonts w:cs="Arial"/>
                <w:sz w:val="18"/>
                <w:szCs w:val="18"/>
              </w:rPr>
            </w:pPr>
            <w:r w:rsidRPr="001D41EA">
              <w:rPr>
                <w:rFonts w:cs="Arial"/>
                <w:sz w:val="18"/>
                <w:szCs w:val="18"/>
              </w:rPr>
              <w:t>Surf Coast S</w:t>
            </w:r>
            <w:r w:rsidR="00626246" w:rsidRPr="001D41EA">
              <w:rPr>
                <w:rFonts w:cs="Arial"/>
                <w:sz w:val="18"/>
                <w:szCs w:val="18"/>
              </w:rPr>
              <w:t xml:space="preserve">  *</w:t>
            </w:r>
            <w:r w:rsidR="00626246" w:rsidRPr="001D41EA">
              <w:rPr>
                <w:rFonts w:cs="Arial"/>
                <w:sz w:val="18"/>
                <w:szCs w:val="18"/>
              </w:rPr>
              <w:tab/>
            </w:r>
          </w:p>
        </w:tc>
        <w:tc>
          <w:tcPr>
            <w:tcW w:w="1134" w:type="dxa"/>
            <w:tcBorders>
              <w:top w:val="nil"/>
              <w:left w:val="single" w:sz="18" w:space="0" w:color="5F497A" w:themeColor="accent4" w:themeShade="BF"/>
              <w:bottom w:val="nil"/>
              <w:right w:val="nil"/>
            </w:tcBorders>
            <w:shd w:val="clear" w:color="auto" w:fill="auto"/>
            <w:vAlign w:val="bottom"/>
          </w:tcPr>
          <w:p w14:paraId="27C7BC00" w14:textId="6F7B124D" w:rsidR="00F04730" w:rsidRPr="001D41EA" w:rsidRDefault="00F04730" w:rsidP="001D41EA">
            <w:pPr>
              <w:spacing w:before="40" w:after="20"/>
              <w:jc w:val="right"/>
              <w:rPr>
                <w:rFonts w:cs="Arial"/>
                <w:sz w:val="18"/>
                <w:szCs w:val="18"/>
              </w:rPr>
            </w:pPr>
            <w:r w:rsidRPr="001D41EA">
              <w:rPr>
                <w:rFonts w:cs="Arial"/>
                <w:sz w:val="18"/>
                <w:szCs w:val="18"/>
              </w:rPr>
              <w:t>32,251</w:t>
            </w:r>
          </w:p>
        </w:tc>
        <w:tc>
          <w:tcPr>
            <w:tcW w:w="1134" w:type="dxa"/>
            <w:tcBorders>
              <w:top w:val="nil"/>
              <w:left w:val="nil"/>
              <w:bottom w:val="nil"/>
              <w:right w:val="nil"/>
            </w:tcBorders>
            <w:shd w:val="clear" w:color="auto" w:fill="auto"/>
            <w:vAlign w:val="bottom"/>
          </w:tcPr>
          <w:p w14:paraId="34840339" w14:textId="5F7A087C" w:rsidR="00F04730" w:rsidRPr="001D41EA" w:rsidRDefault="00F04730" w:rsidP="001D41EA">
            <w:pPr>
              <w:spacing w:before="40" w:after="20"/>
              <w:jc w:val="right"/>
              <w:rPr>
                <w:rFonts w:cs="Arial"/>
                <w:sz w:val="18"/>
                <w:szCs w:val="18"/>
              </w:rPr>
            </w:pPr>
            <w:r w:rsidRPr="001D41EA">
              <w:rPr>
                <w:rFonts w:cs="Arial"/>
                <w:sz w:val="18"/>
                <w:szCs w:val="18"/>
              </w:rPr>
              <w:t>2,987,296</w:t>
            </w:r>
          </w:p>
        </w:tc>
        <w:tc>
          <w:tcPr>
            <w:tcW w:w="1134" w:type="dxa"/>
            <w:tcBorders>
              <w:top w:val="nil"/>
              <w:left w:val="nil"/>
              <w:bottom w:val="nil"/>
              <w:right w:val="nil"/>
            </w:tcBorders>
            <w:shd w:val="clear" w:color="auto" w:fill="auto"/>
            <w:vAlign w:val="bottom"/>
          </w:tcPr>
          <w:p w14:paraId="477C7687" w14:textId="67A46844" w:rsidR="00F04730" w:rsidRPr="001D41EA" w:rsidRDefault="00F04730" w:rsidP="001D41EA">
            <w:pPr>
              <w:spacing w:before="40" w:after="20"/>
              <w:jc w:val="right"/>
              <w:rPr>
                <w:rFonts w:cs="Arial"/>
                <w:sz w:val="18"/>
                <w:szCs w:val="18"/>
              </w:rPr>
            </w:pPr>
            <w:r w:rsidRPr="001D41EA">
              <w:rPr>
                <w:rFonts w:cs="Arial"/>
                <w:sz w:val="18"/>
                <w:szCs w:val="18"/>
              </w:rPr>
              <w:t>92.63</w:t>
            </w:r>
          </w:p>
        </w:tc>
        <w:tc>
          <w:tcPr>
            <w:tcW w:w="1134" w:type="dxa"/>
            <w:tcBorders>
              <w:top w:val="nil"/>
              <w:left w:val="nil"/>
              <w:bottom w:val="nil"/>
              <w:right w:val="nil"/>
            </w:tcBorders>
            <w:shd w:val="clear" w:color="auto" w:fill="auto"/>
            <w:vAlign w:val="bottom"/>
          </w:tcPr>
          <w:p w14:paraId="0CDBE433" w14:textId="2940F623" w:rsidR="00F04730" w:rsidRPr="001D41EA" w:rsidRDefault="00F04730" w:rsidP="001D41EA">
            <w:pPr>
              <w:spacing w:before="40" w:after="20"/>
              <w:jc w:val="right"/>
              <w:rPr>
                <w:rFonts w:cs="Arial"/>
                <w:sz w:val="18"/>
                <w:szCs w:val="18"/>
              </w:rPr>
            </w:pPr>
            <w:r w:rsidRPr="001D41EA">
              <w:rPr>
                <w:rFonts w:cs="Arial"/>
                <w:sz w:val="18"/>
                <w:szCs w:val="18"/>
              </w:rPr>
              <w:t>1,114</w:t>
            </w:r>
          </w:p>
        </w:tc>
        <w:tc>
          <w:tcPr>
            <w:tcW w:w="1134" w:type="dxa"/>
            <w:tcBorders>
              <w:top w:val="nil"/>
              <w:left w:val="nil"/>
              <w:bottom w:val="nil"/>
              <w:right w:val="nil"/>
            </w:tcBorders>
            <w:shd w:val="clear" w:color="auto" w:fill="auto"/>
            <w:vAlign w:val="bottom"/>
          </w:tcPr>
          <w:p w14:paraId="6ACE331E" w14:textId="3C2F52BD" w:rsidR="00F04730" w:rsidRPr="001D41EA" w:rsidRDefault="00F04730" w:rsidP="001D41EA">
            <w:pPr>
              <w:spacing w:before="40" w:after="20"/>
              <w:jc w:val="right"/>
              <w:rPr>
                <w:rFonts w:cs="Arial"/>
                <w:sz w:val="18"/>
                <w:szCs w:val="18"/>
              </w:rPr>
            </w:pPr>
            <w:r w:rsidRPr="001D41EA">
              <w:rPr>
                <w:rFonts w:cs="Arial"/>
                <w:sz w:val="18"/>
                <w:szCs w:val="18"/>
              </w:rPr>
              <w:t>1,660,835</w:t>
            </w:r>
          </w:p>
        </w:tc>
        <w:tc>
          <w:tcPr>
            <w:tcW w:w="1134" w:type="dxa"/>
            <w:tcBorders>
              <w:top w:val="nil"/>
              <w:left w:val="nil"/>
              <w:bottom w:val="nil"/>
              <w:right w:val="nil"/>
            </w:tcBorders>
            <w:shd w:val="clear" w:color="auto" w:fill="auto"/>
            <w:vAlign w:val="bottom"/>
          </w:tcPr>
          <w:p w14:paraId="038C07C1" w14:textId="7E85F512" w:rsidR="00F04730" w:rsidRPr="001D41EA" w:rsidRDefault="00F04730" w:rsidP="001D41EA">
            <w:pPr>
              <w:spacing w:before="40" w:after="20"/>
              <w:jc w:val="right"/>
              <w:rPr>
                <w:rFonts w:cs="Arial"/>
                <w:sz w:val="18"/>
                <w:szCs w:val="18"/>
              </w:rPr>
            </w:pPr>
            <w:r w:rsidRPr="001D41EA">
              <w:rPr>
                <w:rFonts w:cs="Arial"/>
                <w:sz w:val="18"/>
                <w:szCs w:val="18"/>
              </w:rPr>
              <w:t>1,490.88</w:t>
            </w:r>
          </w:p>
        </w:tc>
      </w:tr>
      <w:tr w:rsidR="00F04730" w:rsidRPr="001D41EA" w14:paraId="5AFB37C7"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08BC82C2" w14:textId="0FAE2784"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Swan Hill RC </w:t>
            </w:r>
          </w:p>
        </w:tc>
        <w:tc>
          <w:tcPr>
            <w:tcW w:w="1134" w:type="dxa"/>
            <w:tcBorders>
              <w:top w:val="nil"/>
              <w:left w:val="single" w:sz="18" w:space="0" w:color="5F497A" w:themeColor="accent4" w:themeShade="BF"/>
              <w:bottom w:val="nil"/>
              <w:right w:val="nil"/>
            </w:tcBorders>
            <w:shd w:val="clear" w:color="auto" w:fill="auto"/>
            <w:vAlign w:val="bottom"/>
          </w:tcPr>
          <w:p w14:paraId="42F0F876" w14:textId="7417C0A0" w:rsidR="00F04730" w:rsidRPr="001D41EA" w:rsidRDefault="00F04730" w:rsidP="001D41EA">
            <w:pPr>
              <w:spacing w:before="40" w:after="20"/>
              <w:jc w:val="right"/>
              <w:rPr>
                <w:rFonts w:cs="Arial"/>
                <w:sz w:val="18"/>
                <w:szCs w:val="18"/>
              </w:rPr>
            </w:pPr>
            <w:r w:rsidRPr="001D41EA">
              <w:rPr>
                <w:rFonts w:cs="Arial"/>
                <w:sz w:val="18"/>
                <w:szCs w:val="18"/>
              </w:rPr>
              <w:t>20,759</w:t>
            </w:r>
          </w:p>
        </w:tc>
        <w:tc>
          <w:tcPr>
            <w:tcW w:w="1134" w:type="dxa"/>
            <w:tcBorders>
              <w:top w:val="nil"/>
              <w:left w:val="nil"/>
              <w:bottom w:val="nil"/>
              <w:right w:val="nil"/>
            </w:tcBorders>
            <w:shd w:val="clear" w:color="auto" w:fill="auto"/>
            <w:vAlign w:val="bottom"/>
          </w:tcPr>
          <w:p w14:paraId="3178923F" w14:textId="4E45BB87" w:rsidR="00F04730" w:rsidRPr="001D41EA" w:rsidRDefault="00F04730" w:rsidP="001D41EA">
            <w:pPr>
              <w:spacing w:before="40" w:after="20"/>
              <w:jc w:val="right"/>
              <w:rPr>
                <w:rFonts w:cs="Arial"/>
                <w:sz w:val="18"/>
                <w:szCs w:val="18"/>
              </w:rPr>
            </w:pPr>
            <w:r w:rsidRPr="001D41EA">
              <w:rPr>
                <w:rFonts w:cs="Arial"/>
                <w:sz w:val="18"/>
                <w:szCs w:val="18"/>
              </w:rPr>
              <w:t>4,767,992</w:t>
            </w:r>
          </w:p>
        </w:tc>
        <w:tc>
          <w:tcPr>
            <w:tcW w:w="1134" w:type="dxa"/>
            <w:tcBorders>
              <w:top w:val="nil"/>
              <w:left w:val="nil"/>
              <w:bottom w:val="nil"/>
              <w:right w:val="nil"/>
            </w:tcBorders>
            <w:shd w:val="clear" w:color="auto" w:fill="auto"/>
            <w:vAlign w:val="bottom"/>
          </w:tcPr>
          <w:p w14:paraId="798F4A62" w14:textId="6437F831" w:rsidR="00F04730" w:rsidRPr="001D41EA" w:rsidRDefault="00F04730" w:rsidP="001D41EA">
            <w:pPr>
              <w:spacing w:before="40" w:after="20"/>
              <w:jc w:val="right"/>
              <w:rPr>
                <w:rFonts w:cs="Arial"/>
                <w:sz w:val="18"/>
                <w:szCs w:val="18"/>
              </w:rPr>
            </w:pPr>
            <w:r w:rsidRPr="001D41EA">
              <w:rPr>
                <w:rFonts w:cs="Arial"/>
                <w:sz w:val="18"/>
                <w:szCs w:val="18"/>
              </w:rPr>
              <w:t>229.68</w:t>
            </w:r>
          </w:p>
        </w:tc>
        <w:tc>
          <w:tcPr>
            <w:tcW w:w="1134" w:type="dxa"/>
            <w:tcBorders>
              <w:top w:val="nil"/>
              <w:left w:val="nil"/>
              <w:bottom w:val="nil"/>
              <w:right w:val="nil"/>
            </w:tcBorders>
            <w:shd w:val="clear" w:color="auto" w:fill="auto"/>
            <w:vAlign w:val="bottom"/>
          </w:tcPr>
          <w:p w14:paraId="09258718" w14:textId="52395AF3" w:rsidR="00F04730" w:rsidRPr="001D41EA" w:rsidRDefault="00F04730" w:rsidP="001D41EA">
            <w:pPr>
              <w:spacing w:before="40" w:after="20"/>
              <w:jc w:val="right"/>
              <w:rPr>
                <w:rFonts w:cs="Arial"/>
                <w:sz w:val="18"/>
                <w:szCs w:val="18"/>
              </w:rPr>
            </w:pPr>
            <w:r w:rsidRPr="001D41EA">
              <w:rPr>
                <w:rFonts w:cs="Arial"/>
                <w:sz w:val="18"/>
                <w:szCs w:val="18"/>
              </w:rPr>
              <w:t>3,508</w:t>
            </w:r>
          </w:p>
        </w:tc>
        <w:tc>
          <w:tcPr>
            <w:tcW w:w="1134" w:type="dxa"/>
            <w:tcBorders>
              <w:top w:val="nil"/>
              <w:left w:val="nil"/>
              <w:bottom w:val="nil"/>
              <w:right w:val="nil"/>
            </w:tcBorders>
            <w:shd w:val="clear" w:color="auto" w:fill="auto"/>
            <w:vAlign w:val="bottom"/>
          </w:tcPr>
          <w:p w14:paraId="7FBC4FFF" w14:textId="7D62EC5F" w:rsidR="00F04730" w:rsidRPr="001D41EA" w:rsidRDefault="00F04730" w:rsidP="001D41EA">
            <w:pPr>
              <w:spacing w:before="40" w:after="20"/>
              <w:jc w:val="right"/>
              <w:rPr>
                <w:rFonts w:cs="Arial"/>
                <w:sz w:val="18"/>
                <w:szCs w:val="18"/>
              </w:rPr>
            </w:pPr>
            <w:r w:rsidRPr="001D41EA">
              <w:rPr>
                <w:rFonts w:cs="Arial"/>
                <w:sz w:val="18"/>
                <w:szCs w:val="18"/>
              </w:rPr>
              <w:t>2,257,607</w:t>
            </w:r>
          </w:p>
        </w:tc>
        <w:tc>
          <w:tcPr>
            <w:tcW w:w="1134" w:type="dxa"/>
            <w:tcBorders>
              <w:top w:val="nil"/>
              <w:left w:val="nil"/>
              <w:bottom w:val="nil"/>
              <w:right w:val="nil"/>
            </w:tcBorders>
            <w:shd w:val="clear" w:color="auto" w:fill="auto"/>
            <w:vAlign w:val="bottom"/>
          </w:tcPr>
          <w:p w14:paraId="7655F740" w14:textId="5712FF62" w:rsidR="00F04730" w:rsidRPr="001D41EA" w:rsidRDefault="00F04730" w:rsidP="001D41EA">
            <w:pPr>
              <w:spacing w:before="40" w:after="20"/>
              <w:jc w:val="right"/>
              <w:rPr>
                <w:rFonts w:cs="Arial"/>
                <w:sz w:val="18"/>
                <w:szCs w:val="18"/>
              </w:rPr>
            </w:pPr>
            <w:r w:rsidRPr="001D41EA">
              <w:rPr>
                <w:rFonts w:cs="Arial"/>
                <w:sz w:val="18"/>
                <w:szCs w:val="18"/>
              </w:rPr>
              <w:t>643.47</w:t>
            </w:r>
          </w:p>
        </w:tc>
      </w:tr>
      <w:tr w:rsidR="00F04730" w:rsidRPr="001D41EA" w14:paraId="64AC2216"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297ABED" w14:textId="179493B9"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Towong S </w:t>
            </w:r>
          </w:p>
        </w:tc>
        <w:tc>
          <w:tcPr>
            <w:tcW w:w="1134" w:type="dxa"/>
            <w:tcBorders>
              <w:top w:val="nil"/>
              <w:left w:val="single" w:sz="18" w:space="0" w:color="5F497A" w:themeColor="accent4" w:themeShade="BF"/>
              <w:bottom w:val="nil"/>
              <w:right w:val="nil"/>
            </w:tcBorders>
            <w:shd w:val="clear" w:color="auto" w:fill="auto"/>
            <w:vAlign w:val="bottom"/>
          </w:tcPr>
          <w:p w14:paraId="3FAB8CBF" w14:textId="0EDC2AA5" w:rsidR="00F04730" w:rsidRPr="001D41EA" w:rsidRDefault="00F04730" w:rsidP="001D41EA">
            <w:pPr>
              <w:spacing w:before="40" w:after="20"/>
              <w:jc w:val="right"/>
              <w:rPr>
                <w:rFonts w:cs="Arial"/>
                <w:sz w:val="18"/>
                <w:szCs w:val="18"/>
              </w:rPr>
            </w:pPr>
            <w:r w:rsidRPr="001D41EA">
              <w:rPr>
                <w:rFonts w:cs="Arial"/>
                <w:sz w:val="18"/>
                <w:szCs w:val="18"/>
              </w:rPr>
              <w:t>6,054</w:t>
            </w:r>
          </w:p>
        </w:tc>
        <w:tc>
          <w:tcPr>
            <w:tcW w:w="1134" w:type="dxa"/>
            <w:tcBorders>
              <w:top w:val="nil"/>
              <w:left w:val="nil"/>
              <w:bottom w:val="nil"/>
              <w:right w:val="nil"/>
            </w:tcBorders>
            <w:shd w:val="clear" w:color="auto" w:fill="auto"/>
            <w:vAlign w:val="bottom"/>
          </w:tcPr>
          <w:p w14:paraId="334359B9" w14:textId="2F5CBFD4" w:rsidR="00F04730" w:rsidRPr="001D41EA" w:rsidRDefault="00F04730" w:rsidP="001D41EA">
            <w:pPr>
              <w:spacing w:before="40" w:after="20"/>
              <w:jc w:val="right"/>
              <w:rPr>
                <w:rFonts w:cs="Arial"/>
                <w:sz w:val="18"/>
                <w:szCs w:val="18"/>
              </w:rPr>
            </w:pPr>
            <w:r w:rsidRPr="001D41EA">
              <w:rPr>
                <w:rFonts w:cs="Arial"/>
                <w:sz w:val="18"/>
                <w:szCs w:val="18"/>
              </w:rPr>
              <w:t>3,160,252</w:t>
            </w:r>
          </w:p>
        </w:tc>
        <w:tc>
          <w:tcPr>
            <w:tcW w:w="1134" w:type="dxa"/>
            <w:tcBorders>
              <w:top w:val="nil"/>
              <w:left w:val="nil"/>
              <w:bottom w:val="nil"/>
              <w:right w:val="nil"/>
            </w:tcBorders>
            <w:shd w:val="clear" w:color="auto" w:fill="auto"/>
            <w:vAlign w:val="bottom"/>
          </w:tcPr>
          <w:p w14:paraId="39D5DBFC" w14:textId="1437F139" w:rsidR="00F04730" w:rsidRPr="001D41EA" w:rsidRDefault="00F04730" w:rsidP="001D41EA">
            <w:pPr>
              <w:spacing w:before="40" w:after="20"/>
              <w:jc w:val="right"/>
              <w:rPr>
                <w:rFonts w:cs="Arial"/>
                <w:sz w:val="18"/>
                <w:szCs w:val="18"/>
              </w:rPr>
            </w:pPr>
            <w:r w:rsidRPr="001D41EA">
              <w:rPr>
                <w:rFonts w:cs="Arial"/>
                <w:sz w:val="18"/>
                <w:szCs w:val="18"/>
              </w:rPr>
              <w:t>522.01</w:t>
            </w:r>
          </w:p>
        </w:tc>
        <w:tc>
          <w:tcPr>
            <w:tcW w:w="1134" w:type="dxa"/>
            <w:tcBorders>
              <w:top w:val="nil"/>
              <w:left w:val="nil"/>
              <w:bottom w:val="nil"/>
              <w:right w:val="nil"/>
            </w:tcBorders>
            <w:shd w:val="clear" w:color="auto" w:fill="auto"/>
            <w:vAlign w:val="bottom"/>
          </w:tcPr>
          <w:p w14:paraId="5C651ADA" w14:textId="412DDCF1" w:rsidR="00F04730" w:rsidRPr="001D41EA" w:rsidRDefault="00F04730" w:rsidP="001D41EA">
            <w:pPr>
              <w:spacing w:before="40" w:after="20"/>
              <w:jc w:val="right"/>
              <w:rPr>
                <w:rFonts w:cs="Arial"/>
                <w:sz w:val="18"/>
                <w:szCs w:val="18"/>
              </w:rPr>
            </w:pPr>
            <w:r w:rsidRPr="001D41EA">
              <w:rPr>
                <w:rFonts w:cs="Arial"/>
                <w:sz w:val="18"/>
                <w:szCs w:val="18"/>
              </w:rPr>
              <w:t>1,183</w:t>
            </w:r>
          </w:p>
        </w:tc>
        <w:tc>
          <w:tcPr>
            <w:tcW w:w="1134" w:type="dxa"/>
            <w:tcBorders>
              <w:top w:val="nil"/>
              <w:left w:val="nil"/>
              <w:bottom w:val="nil"/>
              <w:right w:val="nil"/>
            </w:tcBorders>
            <w:shd w:val="clear" w:color="auto" w:fill="auto"/>
            <w:vAlign w:val="bottom"/>
          </w:tcPr>
          <w:p w14:paraId="2DC401E6" w14:textId="1781DD19" w:rsidR="00F04730" w:rsidRPr="001D41EA" w:rsidRDefault="00F04730" w:rsidP="001D41EA">
            <w:pPr>
              <w:spacing w:before="40" w:after="20"/>
              <w:jc w:val="right"/>
              <w:rPr>
                <w:rFonts w:cs="Arial"/>
                <w:sz w:val="18"/>
                <w:szCs w:val="18"/>
              </w:rPr>
            </w:pPr>
            <w:r w:rsidRPr="001D41EA">
              <w:rPr>
                <w:rFonts w:cs="Arial"/>
                <w:sz w:val="18"/>
                <w:szCs w:val="18"/>
              </w:rPr>
              <w:t>1,834,366</w:t>
            </w:r>
          </w:p>
        </w:tc>
        <w:tc>
          <w:tcPr>
            <w:tcW w:w="1134" w:type="dxa"/>
            <w:tcBorders>
              <w:top w:val="nil"/>
              <w:left w:val="nil"/>
              <w:bottom w:val="nil"/>
              <w:right w:val="nil"/>
            </w:tcBorders>
            <w:shd w:val="clear" w:color="auto" w:fill="auto"/>
            <w:vAlign w:val="bottom"/>
          </w:tcPr>
          <w:p w14:paraId="5389B330" w14:textId="6C0BCFDC" w:rsidR="00F04730" w:rsidRPr="001D41EA" w:rsidRDefault="00F04730" w:rsidP="001D41EA">
            <w:pPr>
              <w:spacing w:before="40" w:after="20"/>
              <w:jc w:val="right"/>
              <w:rPr>
                <w:rFonts w:cs="Arial"/>
                <w:sz w:val="18"/>
                <w:szCs w:val="18"/>
              </w:rPr>
            </w:pPr>
            <w:r w:rsidRPr="001D41EA">
              <w:rPr>
                <w:rFonts w:cs="Arial"/>
                <w:sz w:val="18"/>
                <w:szCs w:val="18"/>
              </w:rPr>
              <w:t>1,550.61</w:t>
            </w:r>
          </w:p>
        </w:tc>
      </w:tr>
      <w:tr w:rsidR="00F04730" w:rsidRPr="001D41EA" w14:paraId="75EE926A"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3AA4842D" w14:textId="4A94E065" w:rsidR="00F04730" w:rsidRPr="001D41EA" w:rsidRDefault="00F04730" w:rsidP="001D41EA">
            <w:pPr>
              <w:tabs>
                <w:tab w:val="right" w:pos="2037"/>
              </w:tabs>
              <w:spacing w:before="40" w:after="20"/>
              <w:rPr>
                <w:rFonts w:cs="Arial"/>
                <w:sz w:val="18"/>
                <w:szCs w:val="18"/>
              </w:rPr>
            </w:pPr>
            <w:r w:rsidRPr="001D41EA">
              <w:rPr>
                <w:rFonts w:cs="Arial"/>
                <w:sz w:val="18"/>
                <w:szCs w:val="18"/>
              </w:rPr>
              <w:t>Wangaratta RC</w:t>
            </w:r>
            <w:r w:rsidR="00626246" w:rsidRPr="001D41EA">
              <w:rPr>
                <w:rFonts w:cs="Arial"/>
                <w:sz w:val="18"/>
                <w:szCs w:val="18"/>
              </w:rPr>
              <w:t xml:space="preserve">  *</w:t>
            </w:r>
            <w:r w:rsidR="00626246" w:rsidRPr="001D41EA">
              <w:rPr>
                <w:rFonts w:cs="Arial"/>
                <w:sz w:val="18"/>
                <w:szCs w:val="18"/>
              </w:rPr>
              <w:tab/>
            </w:r>
          </w:p>
        </w:tc>
        <w:tc>
          <w:tcPr>
            <w:tcW w:w="1134" w:type="dxa"/>
            <w:tcBorders>
              <w:top w:val="nil"/>
              <w:left w:val="single" w:sz="18" w:space="0" w:color="5F497A" w:themeColor="accent4" w:themeShade="BF"/>
              <w:bottom w:val="nil"/>
              <w:right w:val="nil"/>
            </w:tcBorders>
            <w:shd w:val="clear" w:color="auto" w:fill="auto"/>
            <w:vAlign w:val="bottom"/>
          </w:tcPr>
          <w:p w14:paraId="546F988D" w14:textId="1C322B94" w:rsidR="00F04730" w:rsidRPr="001D41EA" w:rsidRDefault="00F04730" w:rsidP="001D41EA">
            <w:pPr>
              <w:spacing w:before="40" w:after="20"/>
              <w:jc w:val="right"/>
              <w:rPr>
                <w:rFonts w:cs="Arial"/>
                <w:sz w:val="18"/>
                <w:szCs w:val="18"/>
              </w:rPr>
            </w:pPr>
            <w:r w:rsidRPr="001D41EA">
              <w:rPr>
                <w:rFonts w:cs="Arial"/>
                <w:sz w:val="18"/>
                <w:szCs w:val="18"/>
              </w:rPr>
              <w:t>29,087</w:t>
            </w:r>
          </w:p>
        </w:tc>
        <w:tc>
          <w:tcPr>
            <w:tcW w:w="1134" w:type="dxa"/>
            <w:tcBorders>
              <w:top w:val="nil"/>
              <w:left w:val="nil"/>
              <w:bottom w:val="nil"/>
              <w:right w:val="nil"/>
            </w:tcBorders>
            <w:shd w:val="clear" w:color="auto" w:fill="auto"/>
            <w:vAlign w:val="bottom"/>
          </w:tcPr>
          <w:p w14:paraId="583C29C5" w14:textId="4BBE7B98" w:rsidR="00F04730" w:rsidRPr="001D41EA" w:rsidRDefault="00F04730" w:rsidP="001D41EA">
            <w:pPr>
              <w:spacing w:before="40" w:after="20"/>
              <w:jc w:val="right"/>
              <w:rPr>
                <w:rFonts w:cs="Arial"/>
                <w:sz w:val="18"/>
                <w:szCs w:val="18"/>
              </w:rPr>
            </w:pPr>
            <w:r w:rsidRPr="001D41EA">
              <w:rPr>
                <w:rFonts w:cs="Arial"/>
                <w:sz w:val="18"/>
                <w:szCs w:val="18"/>
              </w:rPr>
              <w:t>5,015,634</w:t>
            </w:r>
          </w:p>
        </w:tc>
        <w:tc>
          <w:tcPr>
            <w:tcW w:w="1134" w:type="dxa"/>
            <w:tcBorders>
              <w:top w:val="nil"/>
              <w:left w:val="nil"/>
              <w:bottom w:val="nil"/>
              <w:right w:val="nil"/>
            </w:tcBorders>
            <w:shd w:val="clear" w:color="auto" w:fill="auto"/>
            <w:vAlign w:val="bottom"/>
          </w:tcPr>
          <w:p w14:paraId="171B4E86" w14:textId="65986436" w:rsidR="00F04730" w:rsidRPr="001D41EA" w:rsidRDefault="00F04730" w:rsidP="001D41EA">
            <w:pPr>
              <w:spacing w:before="40" w:after="20"/>
              <w:jc w:val="right"/>
              <w:rPr>
                <w:rFonts w:cs="Arial"/>
                <w:sz w:val="18"/>
                <w:szCs w:val="18"/>
              </w:rPr>
            </w:pPr>
            <w:r w:rsidRPr="001D41EA">
              <w:rPr>
                <w:rFonts w:cs="Arial"/>
                <w:sz w:val="18"/>
                <w:szCs w:val="18"/>
              </w:rPr>
              <w:t>172.44</w:t>
            </w:r>
          </w:p>
        </w:tc>
        <w:tc>
          <w:tcPr>
            <w:tcW w:w="1134" w:type="dxa"/>
            <w:tcBorders>
              <w:top w:val="nil"/>
              <w:left w:val="nil"/>
              <w:bottom w:val="nil"/>
              <w:right w:val="nil"/>
            </w:tcBorders>
            <w:shd w:val="clear" w:color="auto" w:fill="auto"/>
            <w:vAlign w:val="bottom"/>
          </w:tcPr>
          <w:p w14:paraId="0DA029FF" w14:textId="22495E56" w:rsidR="00F04730" w:rsidRPr="001D41EA" w:rsidRDefault="00F04730" w:rsidP="001D41EA">
            <w:pPr>
              <w:spacing w:before="40" w:after="20"/>
              <w:jc w:val="right"/>
              <w:rPr>
                <w:rFonts w:cs="Arial"/>
                <w:sz w:val="18"/>
                <w:szCs w:val="18"/>
              </w:rPr>
            </w:pPr>
            <w:r w:rsidRPr="001D41EA">
              <w:rPr>
                <w:rFonts w:cs="Arial"/>
                <w:sz w:val="18"/>
                <w:szCs w:val="18"/>
              </w:rPr>
              <w:t>1,962</w:t>
            </w:r>
          </w:p>
        </w:tc>
        <w:tc>
          <w:tcPr>
            <w:tcW w:w="1134" w:type="dxa"/>
            <w:tcBorders>
              <w:top w:val="nil"/>
              <w:left w:val="nil"/>
              <w:bottom w:val="nil"/>
              <w:right w:val="nil"/>
            </w:tcBorders>
            <w:shd w:val="clear" w:color="auto" w:fill="auto"/>
            <w:vAlign w:val="bottom"/>
          </w:tcPr>
          <w:p w14:paraId="5477E1C5" w14:textId="73B4C03D" w:rsidR="00F04730" w:rsidRPr="001D41EA" w:rsidRDefault="00F04730" w:rsidP="001D41EA">
            <w:pPr>
              <w:spacing w:before="40" w:after="20"/>
              <w:jc w:val="right"/>
              <w:rPr>
                <w:rFonts w:cs="Arial"/>
                <w:sz w:val="18"/>
                <w:szCs w:val="18"/>
              </w:rPr>
            </w:pPr>
            <w:r w:rsidRPr="001D41EA">
              <w:rPr>
                <w:rFonts w:cs="Arial"/>
                <w:sz w:val="18"/>
                <w:szCs w:val="18"/>
              </w:rPr>
              <w:t>2,455,275</w:t>
            </w:r>
          </w:p>
        </w:tc>
        <w:tc>
          <w:tcPr>
            <w:tcW w:w="1134" w:type="dxa"/>
            <w:tcBorders>
              <w:top w:val="nil"/>
              <w:left w:val="nil"/>
              <w:bottom w:val="nil"/>
              <w:right w:val="nil"/>
            </w:tcBorders>
            <w:shd w:val="clear" w:color="auto" w:fill="auto"/>
            <w:vAlign w:val="bottom"/>
          </w:tcPr>
          <w:p w14:paraId="161D1D02" w14:textId="783FCA6F" w:rsidR="00F04730" w:rsidRPr="001D41EA" w:rsidRDefault="00F04730" w:rsidP="001D41EA">
            <w:pPr>
              <w:spacing w:before="40" w:after="20"/>
              <w:jc w:val="right"/>
              <w:rPr>
                <w:rFonts w:cs="Arial"/>
                <w:sz w:val="18"/>
                <w:szCs w:val="18"/>
              </w:rPr>
            </w:pPr>
            <w:r w:rsidRPr="001D41EA">
              <w:rPr>
                <w:rFonts w:cs="Arial"/>
                <w:sz w:val="18"/>
                <w:szCs w:val="18"/>
              </w:rPr>
              <w:t>1,251.41</w:t>
            </w:r>
          </w:p>
        </w:tc>
      </w:tr>
      <w:tr w:rsidR="00F04730" w:rsidRPr="001D41EA" w14:paraId="0BA0F74A"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5C73F1A7" w14:textId="46ABC2D7"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Warrnambool C </w:t>
            </w:r>
          </w:p>
        </w:tc>
        <w:tc>
          <w:tcPr>
            <w:tcW w:w="1134" w:type="dxa"/>
            <w:tcBorders>
              <w:top w:val="nil"/>
              <w:left w:val="single" w:sz="18" w:space="0" w:color="5F497A" w:themeColor="accent4" w:themeShade="BF"/>
              <w:bottom w:val="nil"/>
              <w:right w:val="nil"/>
            </w:tcBorders>
            <w:shd w:val="clear" w:color="auto" w:fill="auto"/>
            <w:vAlign w:val="bottom"/>
          </w:tcPr>
          <w:p w14:paraId="670A8B54" w14:textId="42460247" w:rsidR="00F04730" w:rsidRPr="001D41EA" w:rsidRDefault="00F04730" w:rsidP="001D41EA">
            <w:pPr>
              <w:spacing w:before="40" w:after="20"/>
              <w:jc w:val="right"/>
              <w:rPr>
                <w:rFonts w:cs="Arial"/>
                <w:sz w:val="18"/>
                <w:szCs w:val="18"/>
              </w:rPr>
            </w:pPr>
            <w:r w:rsidRPr="001D41EA">
              <w:rPr>
                <w:rFonts w:cs="Arial"/>
                <w:sz w:val="18"/>
                <w:szCs w:val="18"/>
              </w:rPr>
              <w:t>34,862</w:t>
            </w:r>
          </w:p>
        </w:tc>
        <w:tc>
          <w:tcPr>
            <w:tcW w:w="1134" w:type="dxa"/>
            <w:tcBorders>
              <w:top w:val="nil"/>
              <w:left w:val="nil"/>
              <w:bottom w:val="nil"/>
              <w:right w:val="nil"/>
            </w:tcBorders>
            <w:shd w:val="clear" w:color="auto" w:fill="auto"/>
            <w:vAlign w:val="bottom"/>
          </w:tcPr>
          <w:p w14:paraId="1A8FF26E" w14:textId="12D244AC" w:rsidR="00F04730" w:rsidRPr="001D41EA" w:rsidRDefault="00F04730" w:rsidP="001D41EA">
            <w:pPr>
              <w:spacing w:before="40" w:after="20"/>
              <w:jc w:val="right"/>
              <w:rPr>
                <w:rFonts w:cs="Arial"/>
                <w:sz w:val="18"/>
                <w:szCs w:val="18"/>
              </w:rPr>
            </w:pPr>
            <w:r w:rsidRPr="001D41EA">
              <w:rPr>
                <w:rFonts w:cs="Arial"/>
                <w:sz w:val="18"/>
                <w:szCs w:val="18"/>
              </w:rPr>
              <w:t>3,260,756</w:t>
            </w:r>
          </w:p>
        </w:tc>
        <w:tc>
          <w:tcPr>
            <w:tcW w:w="1134" w:type="dxa"/>
            <w:tcBorders>
              <w:top w:val="nil"/>
              <w:left w:val="nil"/>
              <w:bottom w:val="nil"/>
              <w:right w:val="nil"/>
            </w:tcBorders>
            <w:shd w:val="clear" w:color="auto" w:fill="auto"/>
            <w:vAlign w:val="bottom"/>
          </w:tcPr>
          <w:p w14:paraId="1F54226E" w14:textId="27A13D06" w:rsidR="00F04730" w:rsidRPr="001D41EA" w:rsidRDefault="00F04730" w:rsidP="001D41EA">
            <w:pPr>
              <w:spacing w:before="40" w:after="20"/>
              <w:jc w:val="right"/>
              <w:rPr>
                <w:rFonts w:cs="Arial"/>
                <w:sz w:val="18"/>
                <w:szCs w:val="18"/>
              </w:rPr>
            </w:pPr>
            <w:r w:rsidRPr="001D41EA">
              <w:rPr>
                <w:rFonts w:cs="Arial"/>
                <w:sz w:val="18"/>
                <w:szCs w:val="18"/>
              </w:rPr>
              <w:t>93.53</w:t>
            </w:r>
          </w:p>
        </w:tc>
        <w:tc>
          <w:tcPr>
            <w:tcW w:w="1134" w:type="dxa"/>
            <w:tcBorders>
              <w:top w:val="nil"/>
              <w:left w:val="nil"/>
              <w:bottom w:val="nil"/>
              <w:right w:val="nil"/>
            </w:tcBorders>
            <w:shd w:val="clear" w:color="auto" w:fill="auto"/>
            <w:vAlign w:val="bottom"/>
          </w:tcPr>
          <w:p w14:paraId="79B99FD6" w14:textId="6FAECE0B" w:rsidR="00F04730" w:rsidRPr="001D41EA" w:rsidRDefault="00F04730" w:rsidP="001D41EA">
            <w:pPr>
              <w:spacing w:before="40" w:after="20"/>
              <w:jc w:val="right"/>
              <w:rPr>
                <w:rFonts w:cs="Arial"/>
                <w:sz w:val="18"/>
                <w:szCs w:val="18"/>
              </w:rPr>
            </w:pPr>
            <w:r w:rsidRPr="001D41EA">
              <w:rPr>
                <w:rFonts w:cs="Arial"/>
                <w:sz w:val="18"/>
                <w:szCs w:val="18"/>
              </w:rPr>
              <w:t>335</w:t>
            </w:r>
          </w:p>
        </w:tc>
        <w:tc>
          <w:tcPr>
            <w:tcW w:w="1134" w:type="dxa"/>
            <w:tcBorders>
              <w:top w:val="nil"/>
              <w:left w:val="nil"/>
              <w:bottom w:val="nil"/>
              <w:right w:val="nil"/>
            </w:tcBorders>
            <w:shd w:val="clear" w:color="auto" w:fill="auto"/>
            <w:vAlign w:val="bottom"/>
          </w:tcPr>
          <w:p w14:paraId="6135D8B0" w14:textId="2023650C" w:rsidR="00F04730" w:rsidRPr="001D41EA" w:rsidRDefault="00F04730" w:rsidP="001D41EA">
            <w:pPr>
              <w:spacing w:before="40" w:after="20"/>
              <w:jc w:val="right"/>
              <w:rPr>
                <w:rFonts w:cs="Arial"/>
                <w:sz w:val="18"/>
                <w:szCs w:val="18"/>
              </w:rPr>
            </w:pPr>
            <w:r w:rsidRPr="001D41EA">
              <w:rPr>
                <w:rFonts w:cs="Arial"/>
                <w:sz w:val="18"/>
                <w:szCs w:val="18"/>
              </w:rPr>
              <w:t>666,695</w:t>
            </w:r>
          </w:p>
        </w:tc>
        <w:tc>
          <w:tcPr>
            <w:tcW w:w="1134" w:type="dxa"/>
            <w:tcBorders>
              <w:top w:val="nil"/>
              <w:left w:val="nil"/>
              <w:bottom w:val="nil"/>
              <w:right w:val="nil"/>
            </w:tcBorders>
            <w:shd w:val="clear" w:color="auto" w:fill="auto"/>
            <w:vAlign w:val="bottom"/>
          </w:tcPr>
          <w:p w14:paraId="69C6D331" w14:textId="08E84A50" w:rsidR="00F04730" w:rsidRPr="001D41EA" w:rsidRDefault="00F04730" w:rsidP="001D41EA">
            <w:pPr>
              <w:spacing w:before="40" w:after="20"/>
              <w:jc w:val="right"/>
              <w:rPr>
                <w:rFonts w:cs="Arial"/>
                <w:sz w:val="18"/>
                <w:szCs w:val="18"/>
              </w:rPr>
            </w:pPr>
            <w:r w:rsidRPr="001D41EA">
              <w:rPr>
                <w:rFonts w:cs="Arial"/>
                <w:sz w:val="18"/>
                <w:szCs w:val="18"/>
              </w:rPr>
              <w:t>1,990.13</w:t>
            </w:r>
          </w:p>
        </w:tc>
      </w:tr>
      <w:tr w:rsidR="00F04730" w:rsidRPr="001D41EA" w14:paraId="0E6C86E1"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393B885B" w14:textId="76E13043"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Wellington S </w:t>
            </w:r>
          </w:p>
        </w:tc>
        <w:tc>
          <w:tcPr>
            <w:tcW w:w="1134" w:type="dxa"/>
            <w:tcBorders>
              <w:top w:val="nil"/>
              <w:left w:val="single" w:sz="18" w:space="0" w:color="5F497A" w:themeColor="accent4" w:themeShade="BF"/>
              <w:bottom w:val="nil"/>
              <w:right w:val="nil"/>
            </w:tcBorders>
            <w:shd w:val="clear" w:color="auto" w:fill="auto"/>
            <w:vAlign w:val="bottom"/>
          </w:tcPr>
          <w:p w14:paraId="3BEAE6EC" w14:textId="5277A771" w:rsidR="00F04730" w:rsidRPr="001D41EA" w:rsidRDefault="00F04730" w:rsidP="001D41EA">
            <w:pPr>
              <w:spacing w:before="40" w:after="20"/>
              <w:jc w:val="right"/>
              <w:rPr>
                <w:rFonts w:cs="Arial"/>
                <w:sz w:val="18"/>
                <w:szCs w:val="18"/>
              </w:rPr>
            </w:pPr>
            <w:r w:rsidRPr="001D41EA">
              <w:rPr>
                <w:rFonts w:cs="Arial"/>
                <w:sz w:val="18"/>
                <w:szCs w:val="18"/>
              </w:rPr>
              <w:t>44,019</w:t>
            </w:r>
          </w:p>
        </w:tc>
        <w:tc>
          <w:tcPr>
            <w:tcW w:w="1134" w:type="dxa"/>
            <w:tcBorders>
              <w:top w:val="nil"/>
              <w:left w:val="nil"/>
              <w:bottom w:val="nil"/>
              <w:right w:val="nil"/>
            </w:tcBorders>
            <w:shd w:val="clear" w:color="auto" w:fill="auto"/>
            <w:vAlign w:val="bottom"/>
          </w:tcPr>
          <w:p w14:paraId="3DA9B9BC" w14:textId="535F85B9" w:rsidR="00F04730" w:rsidRPr="001D41EA" w:rsidRDefault="00F04730" w:rsidP="001D41EA">
            <w:pPr>
              <w:spacing w:before="40" w:after="20"/>
              <w:jc w:val="right"/>
              <w:rPr>
                <w:rFonts w:cs="Arial"/>
                <w:sz w:val="18"/>
                <w:szCs w:val="18"/>
              </w:rPr>
            </w:pPr>
            <w:r w:rsidRPr="001D41EA">
              <w:rPr>
                <w:rFonts w:cs="Arial"/>
                <w:sz w:val="18"/>
                <w:szCs w:val="18"/>
              </w:rPr>
              <w:t>9,316,579</w:t>
            </w:r>
          </w:p>
        </w:tc>
        <w:tc>
          <w:tcPr>
            <w:tcW w:w="1134" w:type="dxa"/>
            <w:tcBorders>
              <w:top w:val="nil"/>
              <w:left w:val="nil"/>
              <w:bottom w:val="nil"/>
              <w:right w:val="nil"/>
            </w:tcBorders>
            <w:shd w:val="clear" w:color="auto" w:fill="auto"/>
            <w:vAlign w:val="bottom"/>
          </w:tcPr>
          <w:p w14:paraId="33473E82" w14:textId="1299E4B9" w:rsidR="00F04730" w:rsidRPr="001D41EA" w:rsidRDefault="00F04730" w:rsidP="001D41EA">
            <w:pPr>
              <w:spacing w:before="40" w:after="20"/>
              <w:jc w:val="right"/>
              <w:rPr>
                <w:rFonts w:cs="Arial"/>
                <w:sz w:val="18"/>
                <w:szCs w:val="18"/>
              </w:rPr>
            </w:pPr>
            <w:r w:rsidRPr="001D41EA">
              <w:rPr>
                <w:rFonts w:cs="Arial"/>
                <w:sz w:val="18"/>
                <w:szCs w:val="18"/>
              </w:rPr>
              <w:t>211.65</w:t>
            </w:r>
          </w:p>
        </w:tc>
        <w:tc>
          <w:tcPr>
            <w:tcW w:w="1134" w:type="dxa"/>
            <w:tcBorders>
              <w:top w:val="nil"/>
              <w:left w:val="nil"/>
              <w:bottom w:val="nil"/>
              <w:right w:val="nil"/>
            </w:tcBorders>
            <w:shd w:val="clear" w:color="auto" w:fill="auto"/>
            <w:vAlign w:val="bottom"/>
          </w:tcPr>
          <w:p w14:paraId="4F35D991" w14:textId="34E850DE" w:rsidR="00F04730" w:rsidRPr="001D41EA" w:rsidRDefault="00F04730" w:rsidP="001D41EA">
            <w:pPr>
              <w:spacing w:before="40" w:after="20"/>
              <w:jc w:val="right"/>
              <w:rPr>
                <w:rFonts w:cs="Arial"/>
                <w:sz w:val="18"/>
                <w:szCs w:val="18"/>
              </w:rPr>
            </w:pPr>
            <w:r w:rsidRPr="001D41EA">
              <w:rPr>
                <w:rFonts w:cs="Arial"/>
                <w:sz w:val="18"/>
                <w:szCs w:val="18"/>
              </w:rPr>
              <w:t>3,031</w:t>
            </w:r>
          </w:p>
        </w:tc>
        <w:tc>
          <w:tcPr>
            <w:tcW w:w="1134" w:type="dxa"/>
            <w:tcBorders>
              <w:top w:val="nil"/>
              <w:left w:val="nil"/>
              <w:bottom w:val="nil"/>
              <w:right w:val="nil"/>
            </w:tcBorders>
            <w:shd w:val="clear" w:color="auto" w:fill="auto"/>
            <w:vAlign w:val="bottom"/>
          </w:tcPr>
          <w:p w14:paraId="5FE86F6F" w14:textId="4F732F50" w:rsidR="00F04730" w:rsidRPr="001D41EA" w:rsidRDefault="00F04730" w:rsidP="001D41EA">
            <w:pPr>
              <w:spacing w:before="40" w:after="20"/>
              <w:jc w:val="right"/>
              <w:rPr>
                <w:rFonts w:cs="Arial"/>
                <w:sz w:val="18"/>
                <w:szCs w:val="18"/>
              </w:rPr>
            </w:pPr>
            <w:r w:rsidRPr="001D41EA">
              <w:rPr>
                <w:rFonts w:cs="Arial"/>
                <w:sz w:val="18"/>
                <w:szCs w:val="18"/>
              </w:rPr>
              <w:t>4,969,414</w:t>
            </w:r>
          </w:p>
        </w:tc>
        <w:tc>
          <w:tcPr>
            <w:tcW w:w="1134" w:type="dxa"/>
            <w:tcBorders>
              <w:top w:val="nil"/>
              <w:left w:val="nil"/>
              <w:bottom w:val="nil"/>
              <w:right w:val="nil"/>
            </w:tcBorders>
            <w:shd w:val="clear" w:color="auto" w:fill="auto"/>
            <w:vAlign w:val="bottom"/>
          </w:tcPr>
          <w:p w14:paraId="7307D468" w14:textId="10EAE1AA" w:rsidR="00F04730" w:rsidRPr="001D41EA" w:rsidRDefault="00F04730" w:rsidP="001D41EA">
            <w:pPr>
              <w:spacing w:before="40" w:after="20"/>
              <w:jc w:val="right"/>
              <w:rPr>
                <w:rFonts w:cs="Arial"/>
                <w:sz w:val="18"/>
                <w:szCs w:val="18"/>
              </w:rPr>
            </w:pPr>
            <w:r w:rsidRPr="001D41EA">
              <w:rPr>
                <w:rFonts w:cs="Arial"/>
                <w:sz w:val="18"/>
                <w:szCs w:val="18"/>
              </w:rPr>
              <w:t>1,639.53</w:t>
            </w:r>
          </w:p>
        </w:tc>
      </w:tr>
      <w:tr w:rsidR="00F04730" w:rsidRPr="001D41EA" w14:paraId="7B23DB46"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47F2B32" w14:textId="3C1FA506" w:rsidR="00F04730" w:rsidRPr="001D41EA" w:rsidRDefault="00F04730" w:rsidP="001D41EA">
            <w:pPr>
              <w:tabs>
                <w:tab w:val="right" w:pos="2037"/>
              </w:tabs>
              <w:spacing w:before="40" w:after="20"/>
              <w:rPr>
                <w:rFonts w:cs="Arial"/>
                <w:sz w:val="18"/>
                <w:szCs w:val="18"/>
              </w:rPr>
            </w:pPr>
            <w:r w:rsidRPr="001D41EA">
              <w:rPr>
                <w:rFonts w:cs="Arial"/>
                <w:sz w:val="18"/>
                <w:szCs w:val="18"/>
              </w:rPr>
              <w:t>West Wimmera S</w:t>
            </w:r>
            <w:r w:rsidR="00626246" w:rsidRPr="001D41EA">
              <w:rPr>
                <w:rFonts w:cs="Arial"/>
                <w:sz w:val="18"/>
                <w:szCs w:val="18"/>
              </w:rPr>
              <w:t xml:space="preserve">  *</w:t>
            </w:r>
            <w:r w:rsidR="00626246" w:rsidRPr="001D41EA">
              <w:rPr>
                <w:rFonts w:cs="Arial"/>
                <w:sz w:val="18"/>
                <w:szCs w:val="18"/>
              </w:rPr>
              <w:tab/>
            </w:r>
          </w:p>
        </w:tc>
        <w:tc>
          <w:tcPr>
            <w:tcW w:w="1134" w:type="dxa"/>
            <w:tcBorders>
              <w:top w:val="nil"/>
              <w:left w:val="single" w:sz="18" w:space="0" w:color="5F497A" w:themeColor="accent4" w:themeShade="BF"/>
              <w:bottom w:val="nil"/>
              <w:right w:val="nil"/>
            </w:tcBorders>
            <w:shd w:val="clear" w:color="auto" w:fill="auto"/>
            <w:vAlign w:val="bottom"/>
          </w:tcPr>
          <w:p w14:paraId="4DA9059D" w14:textId="1DDFE2D1" w:rsidR="00F04730" w:rsidRPr="001D41EA" w:rsidRDefault="00F04730" w:rsidP="001D41EA">
            <w:pPr>
              <w:spacing w:before="40" w:after="20"/>
              <w:jc w:val="right"/>
              <w:rPr>
                <w:rFonts w:cs="Arial"/>
                <w:sz w:val="18"/>
                <w:szCs w:val="18"/>
              </w:rPr>
            </w:pPr>
            <w:r w:rsidRPr="001D41EA">
              <w:rPr>
                <w:rFonts w:cs="Arial"/>
                <w:sz w:val="18"/>
                <w:szCs w:val="18"/>
              </w:rPr>
              <w:t>3,862</w:t>
            </w:r>
          </w:p>
        </w:tc>
        <w:tc>
          <w:tcPr>
            <w:tcW w:w="1134" w:type="dxa"/>
            <w:tcBorders>
              <w:top w:val="nil"/>
              <w:left w:val="nil"/>
              <w:bottom w:val="nil"/>
              <w:right w:val="nil"/>
            </w:tcBorders>
            <w:shd w:val="clear" w:color="auto" w:fill="auto"/>
            <w:vAlign w:val="bottom"/>
          </w:tcPr>
          <w:p w14:paraId="684939F7" w14:textId="310D3E46" w:rsidR="00F04730" w:rsidRPr="001D41EA" w:rsidRDefault="00F04730" w:rsidP="001D41EA">
            <w:pPr>
              <w:spacing w:before="40" w:after="20"/>
              <w:jc w:val="right"/>
              <w:rPr>
                <w:rFonts w:cs="Arial"/>
                <w:sz w:val="18"/>
                <w:szCs w:val="18"/>
              </w:rPr>
            </w:pPr>
            <w:r w:rsidRPr="001D41EA">
              <w:rPr>
                <w:rFonts w:cs="Arial"/>
                <w:sz w:val="18"/>
                <w:szCs w:val="18"/>
              </w:rPr>
              <w:t>3,707,133</w:t>
            </w:r>
          </w:p>
        </w:tc>
        <w:tc>
          <w:tcPr>
            <w:tcW w:w="1134" w:type="dxa"/>
            <w:tcBorders>
              <w:top w:val="nil"/>
              <w:left w:val="nil"/>
              <w:bottom w:val="nil"/>
              <w:right w:val="nil"/>
            </w:tcBorders>
            <w:shd w:val="clear" w:color="auto" w:fill="auto"/>
            <w:vAlign w:val="bottom"/>
          </w:tcPr>
          <w:p w14:paraId="5C41A214" w14:textId="641ACECE" w:rsidR="00F04730" w:rsidRPr="001D41EA" w:rsidRDefault="00F04730" w:rsidP="001D41EA">
            <w:pPr>
              <w:spacing w:before="40" w:after="20"/>
              <w:jc w:val="right"/>
              <w:rPr>
                <w:rFonts w:cs="Arial"/>
                <w:sz w:val="18"/>
                <w:szCs w:val="18"/>
              </w:rPr>
            </w:pPr>
            <w:r w:rsidRPr="001D41EA">
              <w:rPr>
                <w:rFonts w:cs="Arial"/>
                <w:sz w:val="18"/>
                <w:szCs w:val="18"/>
              </w:rPr>
              <w:t>959.90</w:t>
            </w:r>
          </w:p>
        </w:tc>
        <w:tc>
          <w:tcPr>
            <w:tcW w:w="1134" w:type="dxa"/>
            <w:tcBorders>
              <w:top w:val="nil"/>
              <w:left w:val="nil"/>
              <w:bottom w:val="nil"/>
              <w:right w:val="nil"/>
            </w:tcBorders>
            <w:shd w:val="clear" w:color="auto" w:fill="auto"/>
            <w:vAlign w:val="bottom"/>
          </w:tcPr>
          <w:p w14:paraId="5CF3C1F0" w14:textId="737CAAB2" w:rsidR="00F04730" w:rsidRPr="001D41EA" w:rsidRDefault="00F04730" w:rsidP="001D41EA">
            <w:pPr>
              <w:spacing w:before="40" w:after="20"/>
              <w:jc w:val="right"/>
              <w:rPr>
                <w:rFonts w:cs="Arial"/>
                <w:sz w:val="18"/>
                <w:szCs w:val="18"/>
              </w:rPr>
            </w:pPr>
            <w:r w:rsidRPr="001D41EA">
              <w:rPr>
                <w:rFonts w:cs="Arial"/>
                <w:sz w:val="18"/>
                <w:szCs w:val="18"/>
              </w:rPr>
              <w:t>2,809</w:t>
            </w:r>
          </w:p>
        </w:tc>
        <w:tc>
          <w:tcPr>
            <w:tcW w:w="1134" w:type="dxa"/>
            <w:tcBorders>
              <w:top w:val="nil"/>
              <w:left w:val="nil"/>
              <w:bottom w:val="nil"/>
              <w:right w:val="nil"/>
            </w:tcBorders>
            <w:shd w:val="clear" w:color="auto" w:fill="auto"/>
            <w:vAlign w:val="bottom"/>
          </w:tcPr>
          <w:p w14:paraId="0E640AE1" w14:textId="10AD6428" w:rsidR="00F04730" w:rsidRPr="001D41EA" w:rsidRDefault="00F04730" w:rsidP="001D41EA">
            <w:pPr>
              <w:spacing w:before="40" w:after="20"/>
              <w:jc w:val="right"/>
              <w:rPr>
                <w:rFonts w:cs="Arial"/>
                <w:sz w:val="18"/>
                <w:szCs w:val="18"/>
              </w:rPr>
            </w:pPr>
            <w:r w:rsidRPr="001D41EA">
              <w:rPr>
                <w:rFonts w:cs="Arial"/>
                <w:sz w:val="18"/>
                <w:szCs w:val="18"/>
              </w:rPr>
              <w:t>2,403,411</w:t>
            </w:r>
          </w:p>
        </w:tc>
        <w:tc>
          <w:tcPr>
            <w:tcW w:w="1134" w:type="dxa"/>
            <w:tcBorders>
              <w:top w:val="nil"/>
              <w:left w:val="nil"/>
              <w:bottom w:val="nil"/>
              <w:right w:val="nil"/>
            </w:tcBorders>
            <w:shd w:val="clear" w:color="auto" w:fill="auto"/>
            <w:vAlign w:val="bottom"/>
          </w:tcPr>
          <w:p w14:paraId="2F02026D" w14:textId="66E7FED0" w:rsidR="00F04730" w:rsidRPr="001D41EA" w:rsidRDefault="00F04730" w:rsidP="001D41EA">
            <w:pPr>
              <w:spacing w:before="40" w:after="20"/>
              <w:jc w:val="right"/>
              <w:rPr>
                <w:rFonts w:cs="Arial"/>
                <w:sz w:val="18"/>
                <w:szCs w:val="18"/>
              </w:rPr>
            </w:pPr>
            <w:r w:rsidRPr="001D41EA">
              <w:rPr>
                <w:rFonts w:cs="Arial"/>
                <w:sz w:val="18"/>
                <w:szCs w:val="18"/>
              </w:rPr>
              <w:t>855.61</w:t>
            </w:r>
          </w:p>
        </w:tc>
      </w:tr>
      <w:tr w:rsidR="00F04730" w:rsidRPr="001D41EA" w14:paraId="63062C3A"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99FF7CE" w14:textId="0573567B"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Whitehorse C </w:t>
            </w:r>
          </w:p>
        </w:tc>
        <w:tc>
          <w:tcPr>
            <w:tcW w:w="1134" w:type="dxa"/>
            <w:tcBorders>
              <w:top w:val="nil"/>
              <w:left w:val="single" w:sz="18" w:space="0" w:color="5F497A" w:themeColor="accent4" w:themeShade="BF"/>
              <w:bottom w:val="nil"/>
              <w:right w:val="nil"/>
            </w:tcBorders>
            <w:shd w:val="clear" w:color="auto" w:fill="auto"/>
            <w:vAlign w:val="bottom"/>
          </w:tcPr>
          <w:p w14:paraId="78F2588C" w14:textId="6D2758D0" w:rsidR="00F04730" w:rsidRPr="001D41EA" w:rsidRDefault="00F04730" w:rsidP="001D41EA">
            <w:pPr>
              <w:spacing w:before="40" w:after="20"/>
              <w:jc w:val="right"/>
              <w:rPr>
                <w:rFonts w:cs="Arial"/>
                <w:sz w:val="18"/>
                <w:szCs w:val="18"/>
              </w:rPr>
            </w:pPr>
            <w:r w:rsidRPr="001D41EA">
              <w:rPr>
                <w:rFonts w:cs="Arial"/>
                <w:sz w:val="18"/>
                <w:szCs w:val="18"/>
              </w:rPr>
              <w:t>176,196</w:t>
            </w:r>
          </w:p>
        </w:tc>
        <w:tc>
          <w:tcPr>
            <w:tcW w:w="1134" w:type="dxa"/>
            <w:tcBorders>
              <w:top w:val="nil"/>
              <w:left w:val="nil"/>
              <w:bottom w:val="nil"/>
              <w:right w:val="nil"/>
            </w:tcBorders>
            <w:shd w:val="clear" w:color="auto" w:fill="auto"/>
            <w:vAlign w:val="bottom"/>
          </w:tcPr>
          <w:p w14:paraId="043BF457" w14:textId="198708F1" w:rsidR="00F04730" w:rsidRPr="001D41EA" w:rsidRDefault="00F04730" w:rsidP="001D41EA">
            <w:pPr>
              <w:spacing w:before="40" w:after="20"/>
              <w:jc w:val="right"/>
              <w:rPr>
                <w:rFonts w:cs="Arial"/>
                <w:sz w:val="18"/>
                <w:szCs w:val="18"/>
              </w:rPr>
            </w:pPr>
            <w:r w:rsidRPr="001D41EA">
              <w:rPr>
                <w:rFonts w:cs="Arial"/>
                <w:sz w:val="18"/>
                <w:szCs w:val="18"/>
              </w:rPr>
              <w:t>3,727,420</w:t>
            </w:r>
          </w:p>
        </w:tc>
        <w:tc>
          <w:tcPr>
            <w:tcW w:w="1134" w:type="dxa"/>
            <w:tcBorders>
              <w:top w:val="nil"/>
              <w:left w:val="nil"/>
              <w:bottom w:val="nil"/>
              <w:right w:val="nil"/>
            </w:tcBorders>
            <w:shd w:val="clear" w:color="auto" w:fill="auto"/>
            <w:vAlign w:val="bottom"/>
          </w:tcPr>
          <w:p w14:paraId="0B195C4A" w14:textId="6C6ED63F" w:rsidR="00F04730" w:rsidRPr="001D41EA" w:rsidRDefault="00F04730" w:rsidP="001D41EA">
            <w:pPr>
              <w:spacing w:before="40" w:after="20"/>
              <w:jc w:val="right"/>
              <w:rPr>
                <w:rFonts w:cs="Arial"/>
                <w:sz w:val="18"/>
                <w:szCs w:val="18"/>
              </w:rPr>
            </w:pPr>
            <w:r w:rsidRPr="001D41EA">
              <w:rPr>
                <w:rFonts w:cs="Arial"/>
                <w:sz w:val="18"/>
                <w:szCs w:val="18"/>
              </w:rPr>
              <w:t>21.15</w:t>
            </w:r>
          </w:p>
        </w:tc>
        <w:tc>
          <w:tcPr>
            <w:tcW w:w="1134" w:type="dxa"/>
            <w:tcBorders>
              <w:top w:val="nil"/>
              <w:left w:val="nil"/>
              <w:bottom w:val="nil"/>
              <w:right w:val="nil"/>
            </w:tcBorders>
            <w:shd w:val="clear" w:color="auto" w:fill="auto"/>
            <w:vAlign w:val="bottom"/>
          </w:tcPr>
          <w:p w14:paraId="66F63C93" w14:textId="731E20C6" w:rsidR="00F04730" w:rsidRPr="001D41EA" w:rsidRDefault="00F04730" w:rsidP="001D41EA">
            <w:pPr>
              <w:spacing w:before="40" w:after="20"/>
              <w:jc w:val="right"/>
              <w:rPr>
                <w:rFonts w:cs="Arial"/>
                <w:sz w:val="18"/>
                <w:szCs w:val="18"/>
              </w:rPr>
            </w:pPr>
            <w:r w:rsidRPr="001D41EA">
              <w:rPr>
                <w:rFonts w:cs="Arial"/>
                <w:sz w:val="18"/>
                <w:szCs w:val="18"/>
              </w:rPr>
              <w:t>634</w:t>
            </w:r>
          </w:p>
        </w:tc>
        <w:tc>
          <w:tcPr>
            <w:tcW w:w="1134" w:type="dxa"/>
            <w:tcBorders>
              <w:top w:val="nil"/>
              <w:left w:val="nil"/>
              <w:bottom w:val="nil"/>
              <w:right w:val="nil"/>
            </w:tcBorders>
            <w:shd w:val="clear" w:color="auto" w:fill="auto"/>
            <w:vAlign w:val="bottom"/>
          </w:tcPr>
          <w:p w14:paraId="0F7ECE5D" w14:textId="65DC4FBA" w:rsidR="00F04730" w:rsidRPr="001D41EA" w:rsidRDefault="00F04730" w:rsidP="001D41EA">
            <w:pPr>
              <w:spacing w:before="40" w:after="20"/>
              <w:jc w:val="right"/>
              <w:rPr>
                <w:rFonts w:cs="Arial"/>
                <w:sz w:val="18"/>
                <w:szCs w:val="18"/>
              </w:rPr>
            </w:pPr>
            <w:r w:rsidRPr="001D41EA">
              <w:rPr>
                <w:rFonts w:cs="Arial"/>
                <w:sz w:val="18"/>
                <w:szCs w:val="18"/>
              </w:rPr>
              <w:t>1,056,965</w:t>
            </w:r>
          </w:p>
        </w:tc>
        <w:tc>
          <w:tcPr>
            <w:tcW w:w="1134" w:type="dxa"/>
            <w:tcBorders>
              <w:top w:val="nil"/>
              <w:left w:val="nil"/>
              <w:bottom w:val="nil"/>
              <w:right w:val="nil"/>
            </w:tcBorders>
            <w:shd w:val="clear" w:color="auto" w:fill="auto"/>
            <w:vAlign w:val="bottom"/>
          </w:tcPr>
          <w:p w14:paraId="0EBF7C09" w14:textId="4FEB7FE4" w:rsidR="00F04730" w:rsidRPr="001D41EA" w:rsidRDefault="00F04730" w:rsidP="001D41EA">
            <w:pPr>
              <w:spacing w:before="40" w:after="20"/>
              <w:jc w:val="right"/>
              <w:rPr>
                <w:rFonts w:cs="Arial"/>
                <w:sz w:val="18"/>
                <w:szCs w:val="18"/>
              </w:rPr>
            </w:pPr>
            <w:r w:rsidRPr="001D41EA">
              <w:rPr>
                <w:rFonts w:cs="Arial"/>
                <w:sz w:val="18"/>
                <w:szCs w:val="18"/>
              </w:rPr>
              <w:t>1,668.35</w:t>
            </w:r>
          </w:p>
        </w:tc>
      </w:tr>
      <w:tr w:rsidR="00F04730" w:rsidRPr="001D41EA" w14:paraId="1BE822E4"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EDB876E" w14:textId="253B5F84"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Whittlesea C </w:t>
            </w:r>
          </w:p>
        </w:tc>
        <w:tc>
          <w:tcPr>
            <w:tcW w:w="1134" w:type="dxa"/>
            <w:tcBorders>
              <w:top w:val="nil"/>
              <w:left w:val="single" w:sz="18" w:space="0" w:color="5F497A" w:themeColor="accent4" w:themeShade="BF"/>
              <w:bottom w:val="nil"/>
              <w:right w:val="nil"/>
            </w:tcBorders>
            <w:shd w:val="clear" w:color="auto" w:fill="auto"/>
            <w:vAlign w:val="bottom"/>
          </w:tcPr>
          <w:p w14:paraId="46E78969" w14:textId="18962832" w:rsidR="00F04730" w:rsidRPr="001D41EA" w:rsidRDefault="00F04730" w:rsidP="001D41EA">
            <w:pPr>
              <w:spacing w:before="40" w:after="20"/>
              <w:jc w:val="right"/>
              <w:rPr>
                <w:rFonts w:cs="Arial"/>
                <w:sz w:val="18"/>
                <w:szCs w:val="18"/>
              </w:rPr>
            </w:pPr>
            <w:r w:rsidRPr="001D41EA">
              <w:rPr>
                <w:rFonts w:cs="Arial"/>
                <w:sz w:val="18"/>
                <w:szCs w:val="18"/>
              </w:rPr>
              <w:t>223,322</w:t>
            </w:r>
          </w:p>
        </w:tc>
        <w:tc>
          <w:tcPr>
            <w:tcW w:w="1134" w:type="dxa"/>
            <w:tcBorders>
              <w:top w:val="nil"/>
              <w:left w:val="nil"/>
              <w:bottom w:val="nil"/>
              <w:right w:val="nil"/>
            </w:tcBorders>
            <w:shd w:val="clear" w:color="auto" w:fill="auto"/>
            <w:vAlign w:val="bottom"/>
          </w:tcPr>
          <w:p w14:paraId="3B8F6420" w14:textId="5390BBE3" w:rsidR="00F04730" w:rsidRPr="001D41EA" w:rsidRDefault="00F04730" w:rsidP="001D41EA">
            <w:pPr>
              <w:spacing w:before="40" w:after="20"/>
              <w:jc w:val="right"/>
              <w:rPr>
                <w:rFonts w:cs="Arial"/>
                <w:sz w:val="18"/>
                <w:szCs w:val="18"/>
              </w:rPr>
            </w:pPr>
            <w:r w:rsidRPr="001D41EA">
              <w:rPr>
                <w:rFonts w:cs="Arial"/>
                <w:sz w:val="18"/>
                <w:szCs w:val="18"/>
              </w:rPr>
              <w:t>12,672,400</w:t>
            </w:r>
          </w:p>
        </w:tc>
        <w:tc>
          <w:tcPr>
            <w:tcW w:w="1134" w:type="dxa"/>
            <w:tcBorders>
              <w:top w:val="nil"/>
              <w:left w:val="nil"/>
              <w:bottom w:val="nil"/>
              <w:right w:val="nil"/>
            </w:tcBorders>
            <w:shd w:val="clear" w:color="auto" w:fill="auto"/>
            <w:vAlign w:val="bottom"/>
          </w:tcPr>
          <w:p w14:paraId="0700F772" w14:textId="7284D65E" w:rsidR="00F04730" w:rsidRPr="001D41EA" w:rsidRDefault="00F04730" w:rsidP="001D41EA">
            <w:pPr>
              <w:spacing w:before="40" w:after="20"/>
              <w:jc w:val="right"/>
              <w:rPr>
                <w:rFonts w:cs="Arial"/>
                <w:sz w:val="18"/>
                <w:szCs w:val="18"/>
              </w:rPr>
            </w:pPr>
            <w:r w:rsidRPr="001D41EA">
              <w:rPr>
                <w:rFonts w:cs="Arial"/>
                <w:sz w:val="18"/>
                <w:szCs w:val="18"/>
              </w:rPr>
              <w:t>56.74</w:t>
            </w:r>
          </w:p>
        </w:tc>
        <w:tc>
          <w:tcPr>
            <w:tcW w:w="1134" w:type="dxa"/>
            <w:tcBorders>
              <w:top w:val="nil"/>
              <w:left w:val="nil"/>
              <w:bottom w:val="nil"/>
              <w:right w:val="nil"/>
            </w:tcBorders>
            <w:shd w:val="clear" w:color="auto" w:fill="auto"/>
            <w:vAlign w:val="bottom"/>
          </w:tcPr>
          <w:p w14:paraId="4B217F65" w14:textId="6D20CB5B" w:rsidR="00F04730" w:rsidRPr="001D41EA" w:rsidRDefault="00F04730" w:rsidP="001D41EA">
            <w:pPr>
              <w:spacing w:before="40" w:after="20"/>
              <w:jc w:val="right"/>
              <w:rPr>
                <w:rFonts w:cs="Arial"/>
                <w:sz w:val="18"/>
                <w:szCs w:val="18"/>
              </w:rPr>
            </w:pPr>
            <w:r w:rsidRPr="001D41EA">
              <w:rPr>
                <w:rFonts w:cs="Arial"/>
                <w:sz w:val="18"/>
                <w:szCs w:val="18"/>
              </w:rPr>
              <w:t>1,219</w:t>
            </w:r>
          </w:p>
        </w:tc>
        <w:tc>
          <w:tcPr>
            <w:tcW w:w="1134" w:type="dxa"/>
            <w:tcBorders>
              <w:top w:val="nil"/>
              <w:left w:val="nil"/>
              <w:bottom w:val="nil"/>
              <w:right w:val="nil"/>
            </w:tcBorders>
            <w:shd w:val="clear" w:color="auto" w:fill="auto"/>
            <w:vAlign w:val="bottom"/>
          </w:tcPr>
          <w:p w14:paraId="5F211B42" w14:textId="1E2661F7" w:rsidR="00F04730" w:rsidRPr="001D41EA" w:rsidRDefault="00F04730" w:rsidP="001D41EA">
            <w:pPr>
              <w:spacing w:before="40" w:after="20"/>
              <w:jc w:val="right"/>
              <w:rPr>
                <w:rFonts w:cs="Arial"/>
                <w:sz w:val="18"/>
                <w:szCs w:val="18"/>
              </w:rPr>
            </w:pPr>
            <w:r w:rsidRPr="001D41EA">
              <w:rPr>
                <w:rFonts w:cs="Arial"/>
                <w:sz w:val="18"/>
                <w:szCs w:val="18"/>
              </w:rPr>
              <w:t>2,219,893</w:t>
            </w:r>
          </w:p>
        </w:tc>
        <w:tc>
          <w:tcPr>
            <w:tcW w:w="1134" w:type="dxa"/>
            <w:tcBorders>
              <w:top w:val="nil"/>
              <w:left w:val="nil"/>
              <w:bottom w:val="nil"/>
              <w:right w:val="nil"/>
            </w:tcBorders>
            <w:shd w:val="clear" w:color="auto" w:fill="auto"/>
            <w:vAlign w:val="bottom"/>
          </w:tcPr>
          <w:p w14:paraId="141F9D74" w14:textId="4188F69B" w:rsidR="00F04730" w:rsidRPr="001D41EA" w:rsidRDefault="00F04730" w:rsidP="001D41EA">
            <w:pPr>
              <w:spacing w:before="40" w:after="20"/>
              <w:jc w:val="right"/>
              <w:rPr>
                <w:rFonts w:cs="Arial"/>
                <w:sz w:val="18"/>
                <w:szCs w:val="18"/>
              </w:rPr>
            </w:pPr>
            <w:r w:rsidRPr="001D41EA">
              <w:rPr>
                <w:rFonts w:cs="Arial"/>
                <w:sz w:val="18"/>
                <w:szCs w:val="18"/>
              </w:rPr>
              <w:t>1,821.08</w:t>
            </w:r>
          </w:p>
        </w:tc>
      </w:tr>
      <w:tr w:rsidR="00F04730" w:rsidRPr="001D41EA" w14:paraId="08788045"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338F3DB3" w14:textId="5C811E59"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Wodonga C </w:t>
            </w:r>
          </w:p>
        </w:tc>
        <w:tc>
          <w:tcPr>
            <w:tcW w:w="1134" w:type="dxa"/>
            <w:tcBorders>
              <w:top w:val="nil"/>
              <w:left w:val="single" w:sz="18" w:space="0" w:color="5F497A" w:themeColor="accent4" w:themeShade="BF"/>
              <w:bottom w:val="nil"/>
              <w:right w:val="nil"/>
            </w:tcBorders>
            <w:shd w:val="clear" w:color="auto" w:fill="auto"/>
            <w:vAlign w:val="bottom"/>
          </w:tcPr>
          <w:p w14:paraId="193ED0B3" w14:textId="3E6962CA" w:rsidR="00F04730" w:rsidRPr="001D41EA" w:rsidRDefault="00F04730" w:rsidP="001D41EA">
            <w:pPr>
              <w:spacing w:before="40" w:after="20"/>
              <w:jc w:val="right"/>
              <w:rPr>
                <w:rFonts w:cs="Arial"/>
                <w:sz w:val="18"/>
                <w:szCs w:val="18"/>
              </w:rPr>
            </w:pPr>
            <w:r w:rsidRPr="001D41EA">
              <w:rPr>
                <w:rFonts w:cs="Arial"/>
                <w:sz w:val="18"/>
                <w:szCs w:val="18"/>
              </w:rPr>
              <w:t>41,429</w:t>
            </w:r>
          </w:p>
        </w:tc>
        <w:tc>
          <w:tcPr>
            <w:tcW w:w="1134" w:type="dxa"/>
            <w:tcBorders>
              <w:top w:val="nil"/>
              <w:left w:val="nil"/>
              <w:bottom w:val="nil"/>
              <w:right w:val="nil"/>
            </w:tcBorders>
            <w:shd w:val="clear" w:color="auto" w:fill="auto"/>
            <w:vAlign w:val="bottom"/>
          </w:tcPr>
          <w:p w14:paraId="19D9203F" w14:textId="6BFFA7FC" w:rsidR="00F04730" w:rsidRPr="001D41EA" w:rsidRDefault="00F04730" w:rsidP="001D41EA">
            <w:pPr>
              <w:spacing w:before="40" w:after="20"/>
              <w:jc w:val="right"/>
              <w:rPr>
                <w:rFonts w:cs="Arial"/>
                <w:sz w:val="18"/>
                <w:szCs w:val="18"/>
              </w:rPr>
            </w:pPr>
            <w:r w:rsidRPr="001D41EA">
              <w:rPr>
                <w:rFonts w:cs="Arial"/>
                <w:sz w:val="18"/>
                <w:szCs w:val="18"/>
              </w:rPr>
              <w:t>4,452,464</w:t>
            </w:r>
          </w:p>
        </w:tc>
        <w:tc>
          <w:tcPr>
            <w:tcW w:w="1134" w:type="dxa"/>
            <w:tcBorders>
              <w:top w:val="nil"/>
              <w:left w:val="nil"/>
              <w:bottom w:val="nil"/>
              <w:right w:val="nil"/>
            </w:tcBorders>
            <w:shd w:val="clear" w:color="auto" w:fill="auto"/>
            <w:vAlign w:val="bottom"/>
          </w:tcPr>
          <w:p w14:paraId="39B6D3B9" w14:textId="49DC6F20" w:rsidR="00F04730" w:rsidRPr="001D41EA" w:rsidRDefault="00F04730" w:rsidP="001D41EA">
            <w:pPr>
              <w:spacing w:before="40" w:after="20"/>
              <w:jc w:val="right"/>
              <w:rPr>
                <w:rFonts w:cs="Arial"/>
                <w:sz w:val="18"/>
                <w:szCs w:val="18"/>
              </w:rPr>
            </w:pPr>
            <w:r w:rsidRPr="001D41EA">
              <w:rPr>
                <w:rFonts w:cs="Arial"/>
                <w:sz w:val="18"/>
                <w:szCs w:val="18"/>
              </w:rPr>
              <w:t>107.47</w:t>
            </w:r>
          </w:p>
        </w:tc>
        <w:tc>
          <w:tcPr>
            <w:tcW w:w="1134" w:type="dxa"/>
            <w:tcBorders>
              <w:top w:val="nil"/>
              <w:left w:val="nil"/>
              <w:bottom w:val="nil"/>
              <w:right w:val="nil"/>
            </w:tcBorders>
            <w:shd w:val="clear" w:color="auto" w:fill="auto"/>
            <w:vAlign w:val="bottom"/>
          </w:tcPr>
          <w:p w14:paraId="35E53AF2" w14:textId="289FECC7" w:rsidR="00F04730" w:rsidRPr="001D41EA" w:rsidRDefault="00F04730" w:rsidP="001D41EA">
            <w:pPr>
              <w:spacing w:before="40" w:after="20"/>
              <w:jc w:val="right"/>
              <w:rPr>
                <w:rFonts w:cs="Arial"/>
                <w:sz w:val="18"/>
                <w:szCs w:val="18"/>
              </w:rPr>
            </w:pPr>
            <w:r w:rsidRPr="001D41EA">
              <w:rPr>
                <w:rFonts w:cs="Arial"/>
                <w:sz w:val="18"/>
                <w:szCs w:val="18"/>
              </w:rPr>
              <w:t>483</w:t>
            </w:r>
          </w:p>
        </w:tc>
        <w:tc>
          <w:tcPr>
            <w:tcW w:w="1134" w:type="dxa"/>
            <w:tcBorders>
              <w:top w:val="nil"/>
              <w:left w:val="nil"/>
              <w:bottom w:val="nil"/>
              <w:right w:val="nil"/>
            </w:tcBorders>
            <w:shd w:val="clear" w:color="auto" w:fill="auto"/>
            <w:vAlign w:val="bottom"/>
          </w:tcPr>
          <w:p w14:paraId="36132E7B" w14:textId="1A4B5314" w:rsidR="00F04730" w:rsidRPr="001D41EA" w:rsidRDefault="00F04730" w:rsidP="001D41EA">
            <w:pPr>
              <w:spacing w:before="40" w:after="20"/>
              <w:jc w:val="right"/>
              <w:rPr>
                <w:rFonts w:cs="Arial"/>
                <w:sz w:val="18"/>
                <w:szCs w:val="18"/>
              </w:rPr>
            </w:pPr>
            <w:r w:rsidRPr="001D41EA">
              <w:rPr>
                <w:rFonts w:cs="Arial"/>
                <w:sz w:val="18"/>
                <w:szCs w:val="18"/>
              </w:rPr>
              <w:t>776,119</w:t>
            </w:r>
          </w:p>
        </w:tc>
        <w:tc>
          <w:tcPr>
            <w:tcW w:w="1134" w:type="dxa"/>
            <w:tcBorders>
              <w:top w:val="nil"/>
              <w:left w:val="nil"/>
              <w:bottom w:val="nil"/>
              <w:right w:val="nil"/>
            </w:tcBorders>
            <w:shd w:val="clear" w:color="auto" w:fill="auto"/>
            <w:vAlign w:val="bottom"/>
          </w:tcPr>
          <w:p w14:paraId="18EAF2FD" w14:textId="56BEF65D" w:rsidR="00F04730" w:rsidRPr="001D41EA" w:rsidRDefault="00F04730" w:rsidP="001D41EA">
            <w:pPr>
              <w:spacing w:before="40" w:after="20"/>
              <w:jc w:val="right"/>
              <w:rPr>
                <w:rFonts w:cs="Arial"/>
                <w:sz w:val="18"/>
                <w:szCs w:val="18"/>
              </w:rPr>
            </w:pPr>
            <w:r w:rsidRPr="001D41EA">
              <w:rPr>
                <w:rFonts w:cs="Arial"/>
                <w:sz w:val="18"/>
                <w:szCs w:val="18"/>
              </w:rPr>
              <w:t>1,606.87</w:t>
            </w:r>
          </w:p>
        </w:tc>
      </w:tr>
      <w:tr w:rsidR="00F04730" w:rsidRPr="001D41EA" w14:paraId="7EA61943"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1DD9EED" w14:textId="18B44646"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Wyndham C </w:t>
            </w:r>
          </w:p>
        </w:tc>
        <w:tc>
          <w:tcPr>
            <w:tcW w:w="1134" w:type="dxa"/>
            <w:tcBorders>
              <w:top w:val="nil"/>
              <w:left w:val="single" w:sz="18" w:space="0" w:color="5F497A" w:themeColor="accent4" w:themeShade="BF"/>
              <w:bottom w:val="nil"/>
              <w:right w:val="nil"/>
            </w:tcBorders>
            <w:shd w:val="clear" w:color="auto" w:fill="auto"/>
            <w:vAlign w:val="bottom"/>
          </w:tcPr>
          <w:p w14:paraId="7E26A4FD" w14:textId="76FE2E4A" w:rsidR="00F04730" w:rsidRPr="001D41EA" w:rsidRDefault="00F04730" w:rsidP="001D41EA">
            <w:pPr>
              <w:spacing w:before="40" w:after="20"/>
              <w:jc w:val="right"/>
              <w:rPr>
                <w:rFonts w:cs="Arial"/>
                <w:sz w:val="18"/>
                <w:szCs w:val="18"/>
              </w:rPr>
            </w:pPr>
            <w:r w:rsidRPr="001D41EA">
              <w:rPr>
                <w:rFonts w:cs="Arial"/>
                <w:sz w:val="18"/>
                <w:szCs w:val="18"/>
              </w:rPr>
              <w:t>255,322</w:t>
            </w:r>
          </w:p>
        </w:tc>
        <w:tc>
          <w:tcPr>
            <w:tcW w:w="1134" w:type="dxa"/>
            <w:tcBorders>
              <w:top w:val="nil"/>
              <w:left w:val="nil"/>
              <w:bottom w:val="nil"/>
              <w:right w:val="nil"/>
            </w:tcBorders>
            <w:shd w:val="clear" w:color="auto" w:fill="auto"/>
            <w:vAlign w:val="bottom"/>
          </w:tcPr>
          <w:p w14:paraId="2B947546" w14:textId="1042CB4A" w:rsidR="00F04730" w:rsidRPr="001D41EA" w:rsidRDefault="00F04730" w:rsidP="001D41EA">
            <w:pPr>
              <w:spacing w:before="40" w:after="20"/>
              <w:jc w:val="right"/>
              <w:rPr>
                <w:rFonts w:cs="Arial"/>
                <w:sz w:val="18"/>
                <w:szCs w:val="18"/>
              </w:rPr>
            </w:pPr>
            <w:r w:rsidRPr="001D41EA">
              <w:rPr>
                <w:rFonts w:cs="Arial"/>
                <w:sz w:val="18"/>
                <w:szCs w:val="18"/>
              </w:rPr>
              <w:t>15,922,350</w:t>
            </w:r>
          </w:p>
        </w:tc>
        <w:tc>
          <w:tcPr>
            <w:tcW w:w="1134" w:type="dxa"/>
            <w:tcBorders>
              <w:top w:val="nil"/>
              <w:left w:val="nil"/>
              <w:bottom w:val="nil"/>
              <w:right w:val="nil"/>
            </w:tcBorders>
            <w:shd w:val="clear" w:color="auto" w:fill="auto"/>
            <w:vAlign w:val="bottom"/>
          </w:tcPr>
          <w:p w14:paraId="7963BF8A" w14:textId="6D7D99D7" w:rsidR="00F04730" w:rsidRPr="001D41EA" w:rsidRDefault="00F04730" w:rsidP="001D41EA">
            <w:pPr>
              <w:spacing w:before="40" w:after="20"/>
              <w:jc w:val="right"/>
              <w:rPr>
                <w:rFonts w:cs="Arial"/>
                <w:sz w:val="18"/>
                <w:szCs w:val="18"/>
              </w:rPr>
            </w:pPr>
            <w:r w:rsidRPr="001D41EA">
              <w:rPr>
                <w:rFonts w:cs="Arial"/>
                <w:sz w:val="18"/>
                <w:szCs w:val="18"/>
              </w:rPr>
              <w:t>62.36</w:t>
            </w:r>
          </w:p>
        </w:tc>
        <w:tc>
          <w:tcPr>
            <w:tcW w:w="1134" w:type="dxa"/>
            <w:tcBorders>
              <w:top w:val="nil"/>
              <w:left w:val="nil"/>
              <w:bottom w:val="nil"/>
              <w:right w:val="nil"/>
            </w:tcBorders>
            <w:shd w:val="clear" w:color="auto" w:fill="auto"/>
            <w:vAlign w:val="bottom"/>
          </w:tcPr>
          <w:p w14:paraId="02B80B6B" w14:textId="0683C3A5" w:rsidR="00F04730" w:rsidRPr="001D41EA" w:rsidRDefault="00F04730" w:rsidP="001D41EA">
            <w:pPr>
              <w:spacing w:before="40" w:after="20"/>
              <w:jc w:val="right"/>
              <w:rPr>
                <w:rFonts w:cs="Arial"/>
                <w:sz w:val="18"/>
                <w:szCs w:val="18"/>
              </w:rPr>
            </w:pPr>
            <w:r w:rsidRPr="001D41EA">
              <w:rPr>
                <w:rFonts w:cs="Arial"/>
                <w:sz w:val="18"/>
                <w:szCs w:val="18"/>
              </w:rPr>
              <w:t>1,516</w:t>
            </w:r>
          </w:p>
        </w:tc>
        <w:tc>
          <w:tcPr>
            <w:tcW w:w="1134" w:type="dxa"/>
            <w:tcBorders>
              <w:top w:val="nil"/>
              <w:left w:val="nil"/>
              <w:bottom w:val="nil"/>
              <w:right w:val="nil"/>
            </w:tcBorders>
            <w:shd w:val="clear" w:color="auto" w:fill="auto"/>
            <w:vAlign w:val="bottom"/>
          </w:tcPr>
          <w:p w14:paraId="699ACC21" w14:textId="07F55235" w:rsidR="00F04730" w:rsidRPr="001D41EA" w:rsidRDefault="00F04730" w:rsidP="001D41EA">
            <w:pPr>
              <w:spacing w:before="40" w:after="20"/>
              <w:jc w:val="right"/>
              <w:rPr>
                <w:rFonts w:cs="Arial"/>
                <w:sz w:val="18"/>
                <w:szCs w:val="18"/>
              </w:rPr>
            </w:pPr>
            <w:r w:rsidRPr="001D41EA">
              <w:rPr>
                <w:rFonts w:cs="Arial"/>
                <w:sz w:val="18"/>
                <w:szCs w:val="18"/>
              </w:rPr>
              <w:t>2,475,532</w:t>
            </w:r>
          </w:p>
        </w:tc>
        <w:tc>
          <w:tcPr>
            <w:tcW w:w="1134" w:type="dxa"/>
            <w:tcBorders>
              <w:top w:val="nil"/>
              <w:left w:val="nil"/>
              <w:bottom w:val="nil"/>
              <w:right w:val="nil"/>
            </w:tcBorders>
            <w:shd w:val="clear" w:color="auto" w:fill="auto"/>
            <w:vAlign w:val="bottom"/>
          </w:tcPr>
          <w:p w14:paraId="7295FA09" w14:textId="695F76BF" w:rsidR="00F04730" w:rsidRPr="001D41EA" w:rsidRDefault="00F04730" w:rsidP="001D41EA">
            <w:pPr>
              <w:spacing w:before="40" w:after="20"/>
              <w:jc w:val="right"/>
              <w:rPr>
                <w:rFonts w:cs="Arial"/>
                <w:sz w:val="18"/>
                <w:szCs w:val="18"/>
              </w:rPr>
            </w:pPr>
            <w:r w:rsidRPr="001D41EA">
              <w:rPr>
                <w:rFonts w:cs="Arial"/>
                <w:sz w:val="18"/>
                <w:szCs w:val="18"/>
              </w:rPr>
              <w:t>1,632.94</w:t>
            </w:r>
          </w:p>
        </w:tc>
      </w:tr>
      <w:tr w:rsidR="00F04730" w:rsidRPr="001D41EA" w14:paraId="076A50FD"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4524120E" w14:textId="32E228C6"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Yarra C </w:t>
            </w:r>
          </w:p>
        </w:tc>
        <w:tc>
          <w:tcPr>
            <w:tcW w:w="1134" w:type="dxa"/>
            <w:tcBorders>
              <w:top w:val="nil"/>
              <w:left w:val="single" w:sz="18" w:space="0" w:color="5F497A" w:themeColor="accent4" w:themeShade="BF"/>
              <w:bottom w:val="nil"/>
              <w:right w:val="nil"/>
            </w:tcBorders>
            <w:shd w:val="clear" w:color="auto" w:fill="auto"/>
            <w:vAlign w:val="bottom"/>
          </w:tcPr>
          <w:p w14:paraId="13D58086" w14:textId="0E5B5FC5" w:rsidR="00F04730" w:rsidRPr="001D41EA" w:rsidRDefault="00F04730" w:rsidP="001D41EA">
            <w:pPr>
              <w:spacing w:before="40" w:after="20"/>
              <w:jc w:val="right"/>
              <w:rPr>
                <w:rFonts w:cs="Arial"/>
                <w:sz w:val="18"/>
                <w:szCs w:val="18"/>
              </w:rPr>
            </w:pPr>
            <w:r w:rsidRPr="001D41EA">
              <w:rPr>
                <w:rFonts w:cs="Arial"/>
                <w:sz w:val="18"/>
                <w:szCs w:val="18"/>
              </w:rPr>
              <w:t>98,521</w:t>
            </w:r>
          </w:p>
        </w:tc>
        <w:tc>
          <w:tcPr>
            <w:tcW w:w="1134" w:type="dxa"/>
            <w:tcBorders>
              <w:top w:val="nil"/>
              <w:left w:val="nil"/>
              <w:bottom w:val="nil"/>
              <w:right w:val="nil"/>
            </w:tcBorders>
            <w:shd w:val="clear" w:color="auto" w:fill="auto"/>
            <w:vAlign w:val="bottom"/>
          </w:tcPr>
          <w:p w14:paraId="00B05B91" w14:textId="6275CEFF" w:rsidR="00F04730" w:rsidRPr="001D41EA" w:rsidRDefault="00F04730" w:rsidP="001D41EA">
            <w:pPr>
              <w:spacing w:before="40" w:after="20"/>
              <w:jc w:val="right"/>
              <w:rPr>
                <w:rFonts w:cs="Arial"/>
                <w:sz w:val="18"/>
                <w:szCs w:val="18"/>
              </w:rPr>
            </w:pPr>
            <w:r w:rsidRPr="001D41EA">
              <w:rPr>
                <w:rFonts w:cs="Arial"/>
                <w:sz w:val="18"/>
                <w:szCs w:val="18"/>
              </w:rPr>
              <w:t>2,084,208</w:t>
            </w:r>
          </w:p>
        </w:tc>
        <w:tc>
          <w:tcPr>
            <w:tcW w:w="1134" w:type="dxa"/>
            <w:tcBorders>
              <w:top w:val="nil"/>
              <w:left w:val="nil"/>
              <w:bottom w:val="nil"/>
              <w:right w:val="nil"/>
            </w:tcBorders>
            <w:shd w:val="clear" w:color="auto" w:fill="auto"/>
            <w:vAlign w:val="bottom"/>
          </w:tcPr>
          <w:p w14:paraId="08B576B6" w14:textId="5C9302F2" w:rsidR="00F04730" w:rsidRPr="001D41EA" w:rsidRDefault="00F04730" w:rsidP="001D41EA">
            <w:pPr>
              <w:spacing w:before="40" w:after="20"/>
              <w:jc w:val="right"/>
              <w:rPr>
                <w:rFonts w:cs="Arial"/>
                <w:sz w:val="18"/>
                <w:szCs w:val="18"/>
              </w:rPr>
            </w:pPr>
            <w:r w:rsidRPr="001D41EA">
              <w:rPr>
                <w:rFonts w:cs="Arial"/>
                <w:sz w:val="18"/>
                <w:szCs w:val="18"/>
              </w:rPr>
              <w:t>21.15</w:t>
            </w:r>
          </w:p>
        </w:tc>
        <w:tc>
          <w:tcPr>
            <w:tcW w:w="1134" w:type="dxa"/>
            <w:tcBorders>
              <w:top w:val="nil"/>
              <w:left w:val="nil"/>
              <w:bottom w:val="nil"/>
              <w:right w:val="nil"/>
            </w:tcBorders>
            <w:shd w:val="clear" w:color="auto" w:fill="auto"/>
            <w:vAlign w:val="bottom"/>
          </w:tcPr>
          <w:p w14:paraId="3497DDF7" w14:textId="0EE4F6DA" w:rsidR="00F04730" w:rsidRPr="001D41EA" w:rsidRDefault="00F04730" w:rsidP="001D41EA">
            <w:pPr>
              <w:spacing w:before="40" w:after="20"/>
              <w:jc w:val="right"/>
              <w:rPr>
                <w:rFonts w:cs="Arial"/>
                <w:sz w:val="18"/>
                <w:szCs w:val="18"/>
              </w:rPr>
            </w:pPr>
            <w:r w:rsidRPr="001D41EA">
              <w:rPr>
                <w:rFonts w:cs="Arial"/>
                <w:sz w:val="18"/>
                <w:szCs w:val="18"/>
              </w:rPr>
              <w:t>215</w:t>
            </w:r>
          </w:p>
        </w:tc>
        <w:tc>
          <w:tcPr>
            <w:tcW w:w="1134" w:type="dxa"/>
            <w:tcBorders>
              <w:top w:val="nil"/>
              <w:left w:val="nil"/>
              <w:bottom w:val="nil"/>
              <w:right w:val="nil"/>
            </w:tcBorders>
            <w:shd w:val="clear" w:color="auto" w:fill="auto"/>
            <w:vAlign w:val="bottom"/>
          </w:tcPr>
          <w:p w14:paraId="412B1466" w14:textId="00DEC31E" w:rsidR="00F04730" w:rsidRPr="001D41EA" w:rsidRDefault="00F04730" w:rsidP="001D41EA">
            <w:pPr>
              <w:spacing w:before="40" w:after="20"/>
              <w:jc w:val="right"/>
              <w:rPr>
                <w:rFonts w:cs="Arial"/>
                <w:sz w:val="18"/>
                <w:szCs w:val="18"/>
              </w:rPr>
            </w:pPr>
            <w:r w:rsidRPr="001D41EA">
              <w:rPr>
                <w:rFonts w:cs="Arial"/>
                <w:sz w:val="18"/>
                <w:szCs w:val="18"/>
              </w:rPr>
              <w:t>407,955</w:t>
            </w:r>
          </w:p>
        </w:tc>
        <w:tc>
          <w:tcPr>
            <w:tcW w:w="1134" w:type="dxa"/>
            <w:tcBorders>
              <w:top w:val="nil"/>
              <w:left w:val="nil"/>
              <w:bottom w:val="nil"/>
              <w:right w:val="nil"/>
            </w:tcBorders>
            <w:shd w:val="clear" w:color="auto" w:fill="auto"/>
            <w:vAlign w:val="bottom"/>
          </w:tcPr>
          <w:p w14:paraId="2CBA7013" w14:textId="7CF01908" w:rsidR="00F04730" w:rsidRPr="001D41EA" w:rsidRDefault="00F04730" w:rsidP="001D41EA">
            <w:pPr>
              <w:spacing w:before="40" w:after="20"/>
              <w:jc w:val="right"/>
              <w:rPr>
                <w:rFonts w:cs="Arial"/>
                <w:sz w:val="18"/>
                <w:szCs w:val="18"/>
              </w:rPr>
            </w:pPr>
            <w:r w:rsidRPr="001D41EA">
              <w:rPr>
                <w:rFonts w:cs="Arial"/>
                <w:sz w:val="18"/>
                <w:szCs w:val="18"/>
              </w:rPr>
              <w:t>1,897.47</w:t>
            </w:r>
          </w:p>
        </w:tc>
      </w:tr>
      <w:tr w:rsidR="00F04730" w:rsidRPr="001D41EA" w14:paraId="29F14734"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4B1A359" w14:textId="276EA5EB" w:rsidR="00F04730" w:rsidRPr="001D41EA" w:rsidRDefault="00F04730" w:rsidP="001D41EA">
            <w:pPr>
              <w:tabs>
                <w:tab w:val="right" w:pos="2037"/>
              </w:tabs>
              <w:spacing w:before="40" w:after="20"/>
              <w:rPr>
                <w:rFonts w:cs="Arial"/>
                <w:sz w:val="18"/>
                <w:szCs w:val="18"/>
              </w:rPr>
            </w:pPr>
            <w:r w:rsidRPr="001D41EA">
              <w:rPr>
                <w:rFonts w:cs="Arial"/>
                <w:sz w:val="18"/>
                <w:szCs w:val="18"/>
              </w:rPr>
              <w:t>Yarra Ranges S</w:t>
            </w:r>
            <w:r w:rsidR="00626246" w:rsidRPr="001D41EA">
              <w:rPr>
                <w:rFonts w:cs="Arial"/>
                <w:sz w:val="18"/>
                <w:szCs w:val="18"/>
              </w:rPr>
              <w:t xml:space="preserve">  *</w:t>
            </w:r>
            <w:r w:rsidR="00626246" w:rsidRPr="001D41EA">
              <w:rPr>
                <w:rFonts w:cs="Arial"/>
                <w:sz w:val="18"/>
                <w:szCs w:val="18"/>
              </w:rPr>
              <w:tab/>
            </w:r>
          </w:p>
        </w:tc>
        <w:tc>
          <w:tcPr>
            <w:tcW w:w="1134" w:type="dxa"/>
            <w:tcBorders>
              <w:top w:val="nil"/>
              <w:left w:val="single" w:sz="18" w:space="0" w:color="5F497A" w:themeColor="accent4" w:themeShade="BF"/>
              <w:bottom w:val="nil"/>
              <w:right w:val="nil"/>
            </w:tcBorders>
            <w:shd w:val="clear" w:color="auto" w:fill="auto"/>
            <w:vAlign w:val="bottom"/>
          </w:tcPr>
          <w:p w14:paraId="7DD451F7" w14:textId="21FD3E85" w:rsidR="00F04730" w:rsidRPr="001D41EA" w:rsidRDefault="00F04730" w:rsidP="001D41EA">
            <w:pPr>
              <w:spacing w:before="40" w:after="20"/>
              <w:jc w:val="right"/>
              <w:rPr>
                <w:rFonts w:cs="Arial"/>
                <w:sz w:val="18"/>
                <w:szCs w:val="18"/>
              </w:rPr>
            </w:pPr>
            <w:r w:rsidRPr="001D41EA">
              <w:rPr>
                <w:rFonts w:cs="Arial"/>
                <w:sz w:val="18"/>
                <w:szCs w:val="18"/>
              </w:rPr>
              <w:t>158,173</w:t>
            </w:r>
          </w:p>
        </w:tc>
        <w:tc>
          <w:tcPr>
            <w:tcW w:w="1134" w:type="dxa"/>
            <w:tcBorders>
              <w:top w:val="nil"/>
              <w:left w:val="nil"/>
              <w:bottom w:val="nil"/>
              <w:right w:val="nil"/>
            </w:tcBorders>
            <w:shd w:val="clear" w:color="auto" w:fill="auto"/>
            <w:vAlign w:val="bottom"/>
          </w:tcPr>
          <w:p w14:paraId="55595941" w14:textId="0B544804" w:rsidR="00F04730" w:rsidRPr="001D41EA" w:rsidRDefault="00F04730" w:rsidP="001D41EA">
            <w:pPr>
              <w:spacing w:before="40" w:after="20"/>
              <w:jc w:val="right"/>
              <w:rPr>
                <w:rFonts w:cs="Arial"/>
                <w:sz w:val="18"/>
                <w:szCs w:val="18"/>
              </w:rPr>
            </w:pPr>
            <w:r w:rsidRPr="001D41EA">
              <w:rPr>
                <w:rFonts w:cs="Arial"/>
                <w:sz w:val="18"/>
                <w:szCs w:val="18"/>
              </w:rPr>
              <w:t>11,179,933</w:t>
            </w:r>
          </w:p>
        </w:tc>
        <w:tc>
          <w:tcPr>
            <w:tcW w:w="1134" w:type="dxa"/>
            <w:tcBorders>
              <w:top w:val="nil"/>
              <w:left w:val="nil"/>
              <w:bottom w:val="nil"/>
              <w:right w:val="nil"/>
            </w:tcBorders>
            <w:shd w:val="clear" w:color="auto" w:fill="auto"/>
            <w:vAlign w:val="bottom"/>
          </w:tcPr>
          <w:p w14:paraId="5FC1FB70" w14:textId="3B5B70CF" w:rsidR="00F04730" w:rsidRPr="001D41EA" w:rsidRDefault="00F04730" w:rsidP="001D41EA">
            <w:pPr>
              <w:spacing w:before="40" w:after="20"/>
              <w:jc w:val="right"/>
              <w:rPr>
                <w:rFonts w:cs="Arial"/>
                <w:sz w:val="18"/>
                <w:szCs w:val="18"/>
              </w:rPr>
            </w:pPr>
            <w:r w:rsidRPr="001D41EA">
              <w:rPr>
                <w:rFonts w:cs="Arial"/>
                <w:sz w:val="18"/>
                <w:szCs w:val="18"/>
              </w:rPr>
              <w:t>70.68</w:t>
            </w:r>
          </w:p>
        </w:tc>
        <w:tc>
          <w:tcPr>
            <w:tcW w:w="1134" w:type="dxa"/>
            <w:tcBorders>
              <w:top w:val="nil"/>
              <w:left w:val="nil"/>
              <w:bottom w:val="nil"/>
              <w:right w:val="nil"/>
            </w:tcBorders>
            <w:shd w:val="clear" w:color="auto" w:fill="auto"/>
            <w:vAlign w:val="bottom"/>
          </w:tcPr>
          <w:p w14:paraId="2FD7D5F3" w14:textId="3E03873F" w:rsidR="00F04730" w:rsidRPr="001D41EA" w:rsidRDefault="00F04730" w:rsidP="001D41EA">
            <w:pPr>
              <w:spacing w:before="40" w:after="20"/>
              <w:jc w:val="right"/>
              <w:rPr>
                <w:rFonts w:cs="Arial"/>
                <w:sz w:val="18"/>
                <w:szCs w:val="18"/>
              </w:rPr>
            </w:pPr>
            <w:r w:rsidRPr="001D41EA">
              <w:rPr>
                <w:rFonts w:cs="Arial"/>
                <w:sz w:val="18"/>
                <w:szCs w:val="18"/>
              </w:rPr>
              <w:t>1,756</w:t>
            </w:r>
          </w:p>
        </w:tc>
        <w:tc>
          <w:tcPr>
            <w:tcW w:w="1134" w:type="dxa"/>
            <w:tcBorders>
              <w:top w:val="nil"/>
              <w:left w:val="nil"/>
              <w:bottom w:val="nil"/>
              <w:right w:val="nil"/>
            </w:tcBorders>
            <w:shd w:val="clear" w:color="auto" w:fill="auto"/>
            <w:vAlign w:val="bottom"/>
          </w:tcPr>
          <w:p w14:paraId="06379217" w14:textId="286851C2" w:rsidR="00F04730" w:rsidRPr="001D41EA" w:rsidRDefault="00F04730" w:rsidP="001D41EA">
            <w:pPr>
              <w:spacing w:before="40" w:after="20"/>
              <w:jc w:val="right"/>
              <w:rPr>
                <w:rFonts w:cs="Arial"/>
                <w:sz w:val="18"/>
                <w:szCs w:val="18"/>
              </w:rPr>
            </w:pPr>
            <w:r w:rsidRPr="001D41EA">
              <w:rPr>
                <w:rFonts w:cs="Arial"/>
                <w:sz w:val="18"/>
                <w:szCs w:val="18"/>
              </w:rPr>
              <w:t>3,363,398</w:t>
            </w:r>
          </w:p>
        </w:tc>
        <w:tc>
          <w:tcPr>
            <w:tcW w:w="1134" w:type="dxa"/>
            <w:tcBorders>
              <w:top w:val="nil"/>
              <w:left w:val="nil"/>
              <w:bottom w:val="nil"/>
              <w:right w:val="nil"/>
            </w:tcBorders>
            <w:shd w:val="clear" w:color="auto" w:fill="auto"/>
            <w:vAlign w:val="bottom"/>
          </w:tcPr>
          <w:p w14:paraId="1CEC226C" w14:textId="45153919" w:rsidR="00F04730" w:rsidRPr="001D41EA" w:rsidRDefault="00F04730" w:rsidP="001D41EA">
            <w:pPr>
              <w:spacing w:before="40" w:after="20"/>
              <w:jc w:val="right"/>
              <w:rPr>
                <w:rFonts w:cs="Arial"/>
                <w:sz w:val="18"/>
                <w:szCs w:val="18"/>
              </w:rPr>
            </w:pPr>
            <w:r w:rsidRPr="001D41EA">
              <w:rPr>
                <w:rFonts w:cs="Arial"/>
                <w:sz w:val="18"/>
                <w:szCs w:val="18"/>
              </w:rPr>
              <w:t>1,915.37</w:t>
            </w:r>
          </w:p>
        </w:tc>
      </w:tr>
      <w:tr w:rsidR="00F04730" w:rsidRPr="001D41EA" w14:paraId="55613E86" w14:textId="77777777" w:rsidTr="00CA09E3">
        <w:trPr>
          <w:trHeight w:val="20"/>
        </w:trPr>
        <w:tc>
          <w:tcPr>
            <w:tcW w:w="2268" w:type="dxa"/>
            <w:tcBorders>
              <w:top w:val="nil"/>
              <w:left w:val="nil"/>
              <w:right w:val="single" w:sz="18" w:space="0" w:color="5F497A" w:themeColor="accent4" w:themeShade="BF"/>
            </w:tcBorders>
            <w:shd w:val="clear" w:color="auto" w:fill="auto"/>
            <w:vAlign w:val="center"/>
          </w:tcPr>
          <w:p w14:paraId="284551AF" w14:textId="380567E3" w:rsidR="00F04730" w:rsidRPr="001D41EA" w:rsidRDefault="00F04730" w:rsidP="001D41EA">
            <w:pPr>
              <w:tabs>
                <w:tab w:val="right" w:pos="2037"/>
              </w:tabs>
              <w:spacing w:before="40" w:after="20"/>
              <w:rPr>
                <w:rFonts w:cs="Arial"/>
                <w:sz w:val="18"/>
                <w:szCs w:val="18"/>
              </w:rPr>
            </w:pPr>
            <w:r w:rsidRPr="001D41EA">
              <w:rPr>
                <w:rFonts w:cs="Arial"/>
                <w:sz w:val="18"/>
                <w:szCs w:val="18"/>
              </w:rPr>
              <w:t xml:space="preserve">Yarriambiack S </w:t>
            </w:r>
          </w:p>
        </w:tc>
        <w:tc>
          <w:tcPr>
            <w:tcW w:w="1134" w:type="dxa"/>
            <w:tcBorders>
              <w:top w:val="nil"/>
              <w:left w:val="single" w:sz="18" w:space="0" w:color="5F497A" w:themeColor="accent4" w:themeShade="BF"/>
              <w:right w:val="nil"/>
            </w:tcBorders>
            <w:shd w:val="clear" w:color="auto" w:fill="auto"/>
            <w:vAlign w:val="bottom"/>
          </w:tcPr>
          <w:p w14:paraId="065B7E78" w14:textId="5A3C41B5" w:rsidR="00F04730" w:rsidRPr="001D41EA" w:rsidRDefault="00F04730" w:rsidP="001D41EA">
            <w:pPr>
              <w:spacing w:before="40" w:after="20"/>
              <w:jc w:val="right"/>
              <w:rPr>
                <w:rFonts w:cs="Arial"/>
                <w:sz w:val="18"/>
                <w:szCs w:val="18"/>
              </w:rPr>
            </w:pPr>
            <w:r w:rsidRPr="001D41EA">
              <w:rPr>
                <w:rFonts w:cs="Arial"/>
                <w:sz w:val="18"/>
                <w:szCs w:val="18"/>
              </w:rPr>
              <w:t>6,658</w:t>
            </w:r>
          </w:p>
        </w:tc>
        <w:tc>
          <w:tcPr>
            <w:tcW w:w="1134" w:type="dxa"/>
            <w:tcBorders>
              <w:top w:val="nil"/>
              <w:left w:val="nil"/>
              <w:right w:val="nil"/>
            </w:tcBorders>
            <w:shd w:val="clear" w:color="auto" w:fill="auto"/>
            <w:vAlign w:val="bottom"/>
          </w:tcPr>
          <w:p w14:paraId="7F0F778A" w14:textId="54B19D7C" w:rsidR="00F04730" w:rsidRPr="001D41EA" w:rsidRDefault="00F04730" w:rsidP="001D41EA">
            <w:pPr>
              <w:spacing w:before="40" w:after="20"/>
              <w:jc w:val="right"/>
              <w:rPr>
                <w:rFonts w:cs="Arial"/>
                <w:sz w:val="18"/>
                <w:szCs w:val="18"/>
              </w:rPr>
            </w:pPr>
            <w:r w:rsidRPr="001D41EA">
              <w:rPr>
                <w:rFonts w:cs="Arial"/>
                <w:sz w:val="18"/>
                <w:szCs w:val="18"/>
              </w:rPr>
              <w:t>3,492,083</w:t>
            </w:r>
          </w:p>
        </w:tc>
        <w:tc>
          <w:tcPr>
            <w:tcW w:w="1134" w:type="dxa"/>
            <w:tcBorders>
              <w:top w:val="nil"/>
              <w:left w:val="nil"/>
              <w:right w:val="nil"/>
            </w:tcBorders>
            <w:shd w:val="clear" w:color="auto" w:fill="auto"/>
            <w:vAlign w:val="bottom"/>
          </w:tcPr>
          <w:p w14:paraId="0F69E0F2" w14:textId="3CF38AFE" w:rsidR="00F04730" w:rsidRPr="001D41EA" w:rsidRDefault="00F04730" w:rsidP="001D41EA">
            <w:pPr>
              <w:spacing w:before="40" w:after="20"/>
              <w:jc w:val="right"/>
              <w:rPr>
                <w:rFonts w:cs="Arial"/>
                <w:sz w:val="18"/>
                <w:szCs w:val="18"/>
              </w:rPr>
            </w:pPr>
            <w:r w:rsidRPr="001D41EA">
              <w:rPr>
                <w:rFonts w:cs="Arial"/>
                <w:sz w:val="18"/>
                <w:szCs w:val="18"/>
              </w:rPr>
              <w:t>524.49</w:t>
            </w:r>
          </w:p>
        </w:tc>
        <w:tc>
          <w:tcPr>
            <w:tcW w:w="1134" w:type="dxa"/>
            <w:tcBorders>
              <w:top w:val="nil"/>
              <w:left w:val="nil"/>
              <w:right w:val="nil"/>
            </w:tcBorders>
            <w:shd w:val="clear" w:color="auto" w:fill="auto"/>
            <w:vAlign w:val="bottom"/>
          </w:tcPr>
          <w:p w14:paraId="6BE76879" w14:textId="66281028" w:rsidR="00F04730" w:rsidRPr="001D41EA" w:rsidRDefault="00F04730" w:rsidP="001D41EA">
            <w:pPr>
              <w:spacing w:before="40" w:after="20"/>
              <w:jc w:val="right"/>
              <w:rPr>
                <w:rFonts w:cs="Arial"/>
                <w:sz w:val="18"/>
                <w:szCs w:val="18"/>
              </w:rPr>
            </w:pPr>
            <w:r w:rsidRPr="001D41EA">
              <w:rPr>
                <w:rFonts w:cs="Arial"/>
                <w:sz w:val="18"/>
                <w:szCs w:val="18"/>
              </w:rPr>
              <w:t>4,771</w:t>
            </w:r>
          </w:p>
        </w:tc>
        <w:tc>
          <w:tcPr>
            <w:tcW w:w="1134" w:type="dxa"/>
            <w:tcBorders>
              <w:top w:val="nil"/>
              <w:left w:val="nil"/>
              <w:right w:val="nil"/>
            </w:tcBorders>
            <w:shd w:val="clear" w:color="auto" w:fill="auto"/>
            <w:vAlign w:val="bottom"/>
          </w:tcPr>
          <w:p w14:paraId="279FCB84" w14:textId="2A00BF3A" w:rsidR="00F04730" w:rsidRPr="001D41EA" w:rsidRDefault="00F04730" w:rsidP="001D41EA">
            <w:pPr>
              <w:spacing w:before="40" w:after="20"/>
              <w:jc w:val="right"/>
              <w:rPr>
                <w:rFonts w:cs="Arial"/>
                <w:sz w:val="18"/>
                <w:szCs w:val="18"/>
              </w:rPr>
            </w:pPr>
            <w:r w:rsidRPr="001D41EA">
              <w:rPr>
                <w:rFonts w:cs="Arial"/>
                <w:sz w:val="18"/>
                <w:szCs w:val="18"/>
              </w:rPr>
              <w:t>2,080,906</w:t>
            </w:r>
          </w:p>
        </w:tc>
        <w:tc>
          <w:tcPr>
            <w:tcW w:w="1134" w:type="dxa"/>
            <w:tcBorders>
              <w:top w:val="nil"/>
              <w:left w:val="nil"/>
              <w:right w:val="nil"/>
            </w:tcBorders>
            <w:shd w:val="clear" w:color="auto" w:fill="auto"/>
            <w:vAlign w:val="bottom"/>
          </w:tcPr>
          <w:p w14:paraId="384F4D9C" w14:textId="79B4CEBC" w:rsidR="00F04730" w:rsidRPr="001D41EA" w:rsidRDefault="00F04730" w:rsidP="001D41EA">
            <w:pPr>
              <w:spacing w:before="40" w:after="20"/>
              <w:jc w:val="right"/>
              <w:rPr>
                <w:rFonts w:cs="Arial"/>
                <w:sz w:val="18"/>
                <w:szCs w:val="18"/>
              </w:rPr>
            </w:pPr>
            <w:r w:rsidRPr="001D41EA">
              <w:rPr>
                <w:rFonts w:cs="Arial"/>
                <w:sz w:val="18"/>
                <w:szCs w:val="18"/>
              </w:rPr>
              <w:t>436.16</w:t>
            </w:r>
          </w:p>
        </w:tc>
      </w:tr>
      <w:tr w:rsidR="00F04730" w:rsidRPr="001D41EA" w14:paraId="7072CDA9" w14:textId="77777777" w:rsidTr="00C60457">
        <w:trPr>
          <w:trHeight w:val="20"/>
        </w:trPr>
        <w:tc>
          <w:tcPr>
            <w:tcW w:w="2268" w:type="dxa"/>
            <w:tcBorders>
              <w:left w:val="nil"/>
              <w:right w:val="single" w:sz="18" w:space="0" w:color="5F497A" w:themeColor="accent4" w:themeShade="BF"/>
            </w:tcBorders>
            <w:shd w:val="clear" w:color="auto" w:fill="auto"/>
            <w:vAlign w:val="center"/>
          </w:tcPr>
          <w:p w14:paraId="0EA88741" w14:textId="77777777" w:rsidR="00F04730" w:rsidRPr="001D41EA" w:rsidRDefault="00F04730" w:rsidP="001D41EA">
            <w:pPr>
              <w:tabs>
                <w:tab w:val="right" w:pos="2037"/>
              </w:tabs>
              <w:spacing w:before="40" w:after="20"/>
              <w:rPr>
                <w:rFonts w:cs="Arial"/>
                <w:sz w:val="18"/>
                <w:szCs w:val="18"/>
              </w:rPr>
            </w:pPr>
          </w:p>
        </w:tc>
        <w:tc>
          <w:tcPr>
            <w:tcW w:w="1134" w:type="dxa"/>
            <w:tcBorders>
              <w:left w:val="single" w:sz="18" w:space="0" w:color="5F497A" w:themeColor="accent4" w:themeShade="BF"/>
              <w:bottom w:val="single" w:sz="8" w:space="0" w:color="5F497A" w:themeColor="accent4" w:themeShade="BF"/>
              <w:right w:val="nil"/>
            </w:tcBorders>
            <w:shd w:val="clear" w:color="auto" w:fill="auto"/>
            <w:vAlign w:val="bottom"/>
          </w:tcPr>
          <w:p w14:paraId="725983A7" w14:textId="286C0B1E" w:rsidR="00F04730" w:rsidRPr="001D41EA" w:rsidRDefault="00F04730" w:rsidP="001D41EA">
            <w:pPr>
              <w:spacing w:before="40" w:after="20"/>
              <w:jc w:val="right"/>
              <w:rPr>
                <w:rFonts w:cs="Arial"/>
                <w:sz w:val="18"/>
                <w:szCs w:val="18"/>
              </w:rPr>
            </w:pPr>
            <w:r w:rsidRPr="001D41EA">
              <w:rPr>
                <w:rFonts w:cs="Arial"/>
                <w:sz w:val="18"/>
                <w:szCs w:val="18"/>
              </w:rPr>
              <w:t> </w:t>
            </w:r>
          </w:p>
        </w:tc>
        <w:tc>
          <w:tcPr>
            <w:tcW w:w="1134" w:type="dxa"/>
            <w:tcBorders>
              <w:left w:val="nil"/>
              <w:bottom w:val="single" w:sz="8" w:space="0" w:color="5F497A" w:themeColor="accent4" w:themeShade="BF"/>
              <w:right w:val="nil"/>
            </w:tcBorders>
            <w:shd w:val="clear" w:color="auto" w:fill="auto"/>
            <w:vAlign w:val="bottom"/>
          </w:tcPr>
          <w:p w14:paraId="6F1CA2F6" w14:textId="53F34B73" w:rsidR="00F04730" w:rsidRPr="001D41EA" w:rsidRDefault="00F04730" w:rsidP="001D41EA">
            <w:pPr>
              <w:spacing w:before="40" w:after="20"/>
              <w:jc w:val="right"/>
              <w:rPr>
                <w:rFonts w:cs="Arial"/>
                <w:sz w:val="18"/>
                <w:szCs w:val="18"/>
              </w:rPr>
            </w:pPr>
            <w:r w:rsidRPr="001D41EA">
              <w:rPr>
                <w:rFonts w:cs="Arial"/>
                <w:sz w:val="18"/>
                <w:szCs w:val="18"/>
              </w:rPr>
              <w:t> </w:t>
            </w:r>
          </w:p>
        </w:tc>
        <w:tc>
          <w:tcPr>
            <w:tcW w:w="1134" w:type="dxa"/>
            <w:tcBorders>
              <w:left w:val="nil"/>
              <w:bottom w:val="single" w:sz="8" w:space="0" w:color="5F497A" w:themeColor="accent4" w:themeShade="BF"/>
              <w:right w:val="nil"/>
            </w:tcBorders>
            <w:shd w:val="clear" w:color="auto" w:fill="auto"/>
            <w:vAlign w:val="bottom"/>
          </w:tcPr>
          <w:p w14:paraId="38A4BCF7" w14:textId="37A2548B" w:rsidR="00F04730" w:rsidRPr="001D41EA" w:rsidRDefault="00F04730" w:rsidP="001D41EA">
            <w:pPr>
              <w:spacing w:before="40" w:after="20"/>
              <w:jc w:val="right"/>
              <w:rPr>
                <w:rFonts w:cs="Arial"/>
                <w:sz w:val="18"/>
                <w:szCs w:val="18"/>
              </w:rPr>
            </w:pPr>
            <w:r w:rsidRPr="001D41EA">
              <w:rPr>
                <w:rFonts w:cs="Arial"/>
                <w:sz w:val="18"/>
                <w:szCs w:val="18"/>
              </w:rPr>
              <w:t> </w:t>
            </w:r>
          </w:p>
        </w:tc>
        <w:tc>
          <w:tcPr>
            <w:tcW w:w="1134" w:type="dxa"/>
            <w:tcBorders>
              <w:left w:val="nil"/>
              <w:bottom w:val="single" w:sz="8" w:space="0" w:color="5F497A" w:themeColor="accent4" w:themeShade="BF"/>
              <w:right w:val="nil"/>
            </w:tcBorders>
            <w:shd w:val="clear" w:color="auto" w:fill="auto"/>
            <w:vAlign w:val="bottom"/>
          </w:tcPr>
          <w:p w14:paraId="22F2247A" w14:textId="77777777" w:rsidR="00F04730" w:rsidRPr="001D41EA" w:rsidRDefault="00F04730" w:rsidP="001D41EA">
            <w:pPr>
              <w:spacing w:before="40" w:after="20"/>
              <w:jc w:val="right"/>
              <w:rPr>
                <w:rFonts w:cs="Arial"/>
                <w:sz w:val="18"/>
                <w:szCs w:val="18"/>
              </w:rPr>
            </w:pPr>
          </w:p>
        </w:tc>
        <w:tc>
          <w:tcPr>
            <w:tcW w:w="1134" w:type="dxa"/>
            <w:tcBorders>
              <w:left w:val="nil"/>
              <w:bottom w:val="single" w:sz="8" w:space="0" w:color="5F497A" w:themeColor="accent4" w:themeShade="BF"/>
              <w:right w:val="nil"/>
            </w:tcBorders>
            <w:shd w:val="clear" w:color="auto" w:fill="auto"/>
            <w:vAlign w:val="bottom"/>
          </w:tcPr>
          <w:p w14:paraId="3E6E2081" w14:textId="69922333" w:rsidR="00F04730" w:rsidRPr="001D41EA" w:rsidRDefault="00F04730" w:rsidP="001D41EA">
            <w:pPr>
              <w:spacing w:before="40" w:after="20"/>
              <w:jc w:val="right"/>
              <w:rPr>
                <w:rFonts w:cs="Arial"/>
                <w:sz w:val="18"/>
                <w:szCs w:val="18"/>
              </w:rPr>
            </w:pPr>
            <w:r w:rsidRPr="001D41EA">
              <w:rPr>
                <w:rFonts w:cs="Arial"/>
                <w:sz w:val="18"/>
                <w:szCs w:val="18"/>
              </w:rPr>
              <w:t> </w:t>
            </w:r>
          </w:p>
        </w:tc>
        <w:tc>
          <w:tcPr>
            <w:tcW w:w="1134" w:type="dxa"/>
            <w:tcBorders>
              <w:left w:val="nil"/>
              <w:bottom w:val="single" w:sz="8" w:space="0" w:color="5F497A" w:themeColor="accent4" w:themeShade="BF"/>
              <w:right w:val="nil"/>
            </w:tcBorders>
            <w:shd w:val="clear" w:color="auto" w:fill="auto"/>
            <w:vAlign w:val="bottom"/>
          </w:tcPr>
          <w:p w14:paraId="21E1D9F2" w14:textId="265D390A" w:rsidR="00F04730" w:rsidRPr="001D41EA" w:rsidRDefault="00F04730" w:rsidP="001D41EA">
            <w:pPr>
              <w:spacing w:before="40" w:after="20"/>
              <w:jc w:val="right"/>
              <w:rPr>
                <w:rFonts w:cs="Arial"/>
                <w:sz w:val="18"/>
                <w:szCs w:val="18"/>
              </w:rPr>
            </w:pPr>
            <w:r w:rsidRPr="001D41EA">
              <w:rPr>
                <w:rFonts w:cs="Arial"/>
                <w:sz w:val="18"/>
                <w:szCs w:val="18"/>
              </w:rPr>
              <w:t> </w:t>
            </w:r>
          </w:p>
        </w:tc>
      </w:tr>
      <w:tr w:rsidR="00F04730" w:rsidRPr="001D41EA" w14:paraId="0F1BF4F1" w14:textId="77777777" w:rsidTr="00C60457">
        <w:trPr>
          <w:trHeight w:val="20"/>
        </w:trPr>
        <w:tc>
          <w:tcPr>
            <w:tcW w:w="2268" w:type="dxa"/>
            <w:tcBorders>
              <w:left w:val="nil"/>
              <w:right w:val="single" w:sz="18" w:space="0" w:color="5F497A" w:themeColor="accent4" w:themeShade="BF"/>
            </w:tcBorders>
            <w:shd w:val="clear" w:color="auto" w:fill="auto"/>
            <w:vAlign w:val="center"/>
          </w:tcPr>
          <w:p w14:paraId="7F48C7CC" w14:textId="77777777" w:rsidR="00F04730" w:rsidRPr="001D41EA" w:rsidRDefault="00F04730" w:rsidP="001D41EA">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right w:val="nil"/>
            </w:tcBorders>
            <w:shd w:val="clear" w:color="auto" w:fill="auto"/>
            <w:vAlign w:val="bottom"/>
          </w:tcPr>
          <w:p w14:paraId="2625E39C" w14:textId="6162027B" w:rsidR="00F04730" w:rsidRPr="001D41EA" w:rsidRDefault="00F04730" w:rsidP="001D41EA">
            <w:pPr>
              <w:spacing w:before="40" w:after="20"/>
              <w:jc w:val="right"/>
              <w:rPr>
                <w:rFonts w:cs="Arial"/>
                <w:b/>
                <w:sz w:val="18"/>
                <w:szCs w:val="18"/>
              </w:rPr>
            </w:pPr>
            <w:r w:rsidRPr="001D41EA">
              <w:rPr>
                <w:rFonts w:cs="Arial"/>
                <w:b/>
                <w:sz w:val="18"/>
                <w:szCs w:val="18"/>
              </w:rPr>
              <w:t>6,460,628</w:t>
            </w:r>
          </w:p>
        </w:tc>
        <w:tc>
          <w:tcPr>
            <w:tcW w:w="1134" w:type="dxa"/>
            <w:tcBorders>
              <w:top w:val="single" w:sz="8" w:space="0" w:color="5F497A" w:themeColor="accent4" w:themeShade="BF"/>
              <w:left w:val="nil"/>
              <w:right w:val="nil"/>
            </w:tcBorders>
            <w:shd w:val="clear" w:color="auto" w:fill="auto"/>
            <w:vAlign w:val="bottom"/>
          </w:tcPr>
          <w:p w14:paraId="16998CF3" w14:textId="08061E53" w:rsidR="00F04730" w:rsidRPr="001D41EA" w:rsidRDefault="00F04730" w:rsidP="001D41EA">
            <w:pPr>
              <w:spacing w:before="40" w:after="20"/>
              <w:jc w:val="right"/>
              <w:rPr>
                <w:rFonts w:cs="Arial"/>
                <w:b/>
                <w:sz w:val="18"/>
                <w:szCs w:val="18"/>
              </w:rPr>
            </w:pPr>
            <w:r w:rsidRPr="001D41EA">
              <w:rPr>
                <w:rFonts w:cs="Arial"/>
                <w:b/>
                <w:sz w:val="18"/>
                <w:szCs w:val="18"/>
              </w:rPr>
              <w:t>455,581,222</w:t>
            </w:r>
          </w:p>
        </w:tc>
        <w:tc>
          <w:tcPr>
            <w:tcW w:w="1134" w:type="dxa"/>
            <w:tcBorders>
              <w:top w:val="single" w:sz="8" w:space="0" w:color="5F497A" w:themeColor="accent4" w:themeShade="BF"/>
              <w:left w:val="nil"/>
              <w:right w:val="nil"/>
            </w:tcBorders>
            <w:shd w:val="clear" w:color="auto" w:fill="auto"/>
            <w:vAlign w:val="bottom"/>
          </w:tcPr>
          <w:p w14:paraId="1BC0FF60" w14:textId="6DC6105F" w:rsidR="00F04730" w:rsidRPr="001D41EA" w:rsidRDefault="00F04730" w:rsidP="001D41EA">
            <w:pPr>
              <w:spacing w:before="40" w:after="20"/>
              <w:jc w:val="right"/>
              <w:rPr>
                <w:rFonts w:cs="Arial"/>
                <w:b/>
                <w:sz w:val="18"/>
                <w:szCs w:val="18"/>
              </w:rPr>
            </w:pPr>
            <w:r w:rsidRPr="001D41EA">
              <w:rPr>
                <w:rFonts w:cs="Arial"/>
                <w:b/>
                <w:sz w:val="18"/>
                <w:szCs w:val="18"/>
              </w:rPr>
              <w:t>70.52</w:t>
            </w:r>
          </w:p>
        </w:tc>
        <w:tc>
          <w:tcPr>
            <w:tcW w:w="1134" w:type="dxa"/>
            <w:tcBorders>
              <w:top w:val="single" w:sz="8" w:space="0" w:color="5F497A" w:themeColor="accent4" w:themeShade="BF"/>
              <w:left w:val="nil"/>
              <w:right w:val="nil"/>
            </w:tcBorders>
            <w:shd w:val="clear" w:color="auto" w:fill="auto"/>
            <w:vAlign w:val="bottom"/>
          </w:tcPr>
          <w:p w14:paraId="5611C916" w14:textId="626EEB85" w:rsidR="00F04730" w:rsidRPr="001D41EA" w:rsidRDefault="00F04730" w:rsidP="001D41EA">
            <w:pPr>
              <w:spacing w:before="40" w:after="20"/>
              <w:jc w:val="right"/>
              <w:rPr>
                <w:rFonts w:cs="Arial"/>
                <w:b/>
                <w:sz w:val="18"/>
                <w:szCs w:val="18"/>
              </w:rPr>
            </w:pPr>
            <w:r w:rsidRPr="001D41EA">
              <w:rPr>
                <w:rFonts w:cs="Arial"/>
                <w:b/>
                <w:sz w:val="18"/>
                <w:szCs w:val="18"/>
              </w:rPr>
              <w:t>131,801</w:t>
            </w:r>
          </w:p>
        </w:tc>
        <w:tc>
          <w:tcPr>
            <w:tcW w:w="1134" w:type="dxa"/>
            <w:tcBorders>
              <w:top w:val="single" w:sz="8" w:space="0" w:color="5F497A" w:themeColor="accent4" w:themeShade="BF"/>
              <w:left w:val="nil"/>
              <w:right w:val="nil"/>
            </w:tcBorders>
            <w:shd w:val="clear" w:color="auto" w:fill="auto"/>
            <w:vAlign w:val="bottom"/>
          </w:tcPr>
          <w:p w14:paraId="035C2836" w14:textId="544E3371" w:rsidR="00F04730" w:rsidRPr="001D41EA" w:rsidRDefault="00F04730" w:rsidP="001D41EA">
            <w:pPr>
              <w:spacing w:before="40" w:after="20"/>
              <w:jc w:val="right"/>
              <w:rPr>
                <w:rFonts w:cs="Arial"/>
                <w:b/>
                <w:sz w:val="18"/>
                <w:szCs w:val="18"/>
              </w:rPr>
            </w:pPr>
            <w:r w:rsidRPr="001D41EA">
              <w:rPr>
                <w:rFonts w:cs="Arial"/>
                <w:b/>
                <w:sz w:val="18"/>
                <w:szCs w:val="18"/>
              </w:rPr>
              <w:t>160,736,232</w:t>
            </w:r>
          </w:p>
        </w:tc>
        <w:tc>
          <w:tcPr>
            <w:tcW w:w="1134" w:type="dxa"/>
            <w:tcBorders>
              <w:top w:val="single" w:sz="8" w:space="0" w:color="5F497A" w:themeColor="accent4" w:themeShade="BF"/>
              <w:left w:val="nil"/>
              <w:right w:val="nil"/>
            </w:tcBorders>
            <w:shd w:val="clear" w:color="auto" w:fill="auto"/>
            <w:vAlign w:val="bottom"/>
          </w:tcPr>
          <w:p w14:paraId="017F6395" w14:textId="571865FE" w:rsidR="00F04730" w:rsidRPr="001D41EA" w:rsidRDefault="00F04730" w:rsidP="001D41EA">
            <w:pPr>
              <w:spacing w:before="40" w:after="20"/>
              <w:jc w:val="right"/>
              <w:rPr>
                <w:rFonts w:cs="Arial"/>
                <w:b/>
                <w:sz w:val="18"/>
                <w:szCs w:val="18"/>
              </w:rPr>
            </w:pPr>
            <w:r w:rsidRPr="001D41EA">
              <w:rPr>
                <w:rFonts w:cs="Arial"/>
                <w:b/>
                <w:sz w:val="18"/>
                <w:szCs w:val="18"/>
              </w:rPr>
              <w:t>1,219.54</w:t>
            </w:r>
          </w:p>
        </w:tc>
      </w:tr>
    </w:tbl>
    <w:p w14:paraId="3E9082AA" w14:textId="77777777" w:rsidR="001E1A90" w:rsidRPr="00A44829" w:rsidRDefault="001B22BA" w:rsidP="00FF36E8">
      <w:pPr>
        <w:spacing w:before="40" w:after="20"/>
        <w:rPr>
          <w:rFonts w:cs="Arial"/>
          <w:sz w:val="18"/>
          <w:szCs w:val="18"/>
        </w:rPr>
      </w:pPr>
      <w:r w:rsidRPr="00A44829">
        <w:rPr>
          <w:rFonts w:cs="Arial"/>
          <w:i/>
          <w:sz w:val="16"/>
          <w:szCs w:val="16"/>
        </w:rPr>
        <w:br/>
        <w:t xml:space="preserve"> </w:t>
      </w:r>
      <w:r w:rsidR="00675E14" w:rsidRPr="00A44829">
        <w:rPr>
          <w:rFonts w:cs="Arial"/>
          <w:i/>
          <w:sz w:val="16"/>
          <w:szCs w:val="16"/>
        </w:rPr>
        <w:t>* Includes natural disaster grants.</w:t>
      </w:r>
      <w:r w:rsidR="001E1A90" w:rsidRPr="00A44829">
        <w:rPr>
          <w:rFonts w:cs="Arial"/>
          <w:sz w:val="18"/>
          <w:szCs w:val="18"/>
        </w:rPr>
        <w:br w:type="page"/>
      </w:r>
    </w:p>
    <w:p w14:paraId="48F1932E" w14:textId="7B49721F" w:rsidR="001E1A90" w:rsidRPr="00A44829" w:rsidRDefault="00CE4507" w:rsidP="00C33713">
      <w:pPr>
        <w:pStyle w:val="VGC-Head10"/>
      </w:pPr>
      <w:r w:rsidRPr="00A44829">
        <w:lastRenderedPageBreak/>
        <w:t>Appendix 4</w:t>
      </w:r>
      <w:r w:rsidR="00BF4614" w:rsidRPr="00A44829">
        <w:tab/>
      </w:r>
      <w:r w:rsidR="00EE4593" w:rsidRPr="00A44829">
        <w:t>2019-20</w:t>
      </w:r>
      <w:r w:rsidR="00A97ABE" w:rsidRPr="00A44829">
        <w:t xml:space="preserve"> </w:t>
      </w:r>
      <w:r w:rsidR="001E1A90" w:rsidRPr="00A44829">
        <w:t xml:space="preserve">General Purpose Grants </w:t>
      </w:r>
    </w:p>
    <w:p w14:paraId="76A81E94" w14:textId="77777777" w:rsidR="004756C2" w:rsidRPr="00A44829" w:rsidRDefault="00CE520A" w:rsidP="008C1A28">
      <w:pPr>
        <w:pStyle w:val="VGC-Head2"/>
      </w:pPr>
      <w:r w:rsidRPr="00A44829">
        <w:t xml:space="preserve">A.  </w:t>
      </w:r>
      <w:r w:rsidR="00674746" w:rsidRPr="00A44829">
        <w:t>Major Cost Drivers (Units)</w:t>
      </w:r>
    </w:p>
    <w:p w14:paraId="2AAA0FEC" w14:textId="77777777" w:rsidR="00CD20BD" w:rsidRPr="00A44829" w:rsidRDefault="00CD20BD"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6D154A" w:rsidRPr="002A2397" w14:paraId="58863607" w14:textId="77777777" w:rsidTr="006D154A">
        <w:trPr>
          <w:tblHeader/>
        </w:trPr>
        <w:tc>
          <w:tcPr>
            <w:tcW w:w="2268" w:type="dxa"/>
            <w:vMerge w:val="restart"/>
            <w:tcBorders>
              <w:top w:val="nil"/>
              <w:left w:val="nil"/>
              <w:right w:val="single" w:sz="18" w:space="0" w:color="5F497A" w:themeColor="accent4" w:themeShade="BF"/>
            </w:tcBorders>
            <w:shd w:val="clear" w:color="auto" w:fill="auto"/>
            <w:vAlign w:val="bottom"/>
          </w:tcPr>
          <w:p w14:paraId="5931A9D3" w14:textId="77777777" w:rsidR="006D154A" w:rsidRPr="00A44829" w:rsidRDefault="006D154A" w:rsidP="008001AD">
            <w:pPr>
              <w:spacing w:before="40" w:after="20"/>
              <w:jc w:val="center"/>
              <w:rPr>
                <w:rFonts w:cs="Arial"/>
                <w:sz w:val="18"/>
                <w:szCs w:val="18"/>
              </w:rPr>
            </w:pPr>
          </w:p>
        </w:tc>
        <w:tc>
          <w:tcPr>
            <w:tcW w:w="1134" w:type="dxa"/>
            <w:vMerge w:val="restart"/>
            <w:tcBorders>
              <w:top w:val="nil"/>
              <w:left w:val="single" w:sz="18" w:space="0" w:color="5F497A" w:themeColor="accent4" w:themeShade="BF"/>
              <w:bottom w:val="single" w:sz="8" w:space="0" w:color="5F497A" w:themeColor="accent4" w:themeShade="BF"/>
              <w:right w:val="nil"/>
            </w:tcBorders>
            <w:shd w:val="clear" w:color="auto" w:fill="auto"/>
            <w:vAlign w:val="bottom"/>
          </w:tcPr>
          <w:p w14:paraId="614CDC5E" w14:textId="560F0ED8" w:rsidR="006D154A" w:rsidRPr="002A2397" w:rsidRDefault="006D154A" w:rsidP="008001AD">
            <w:pPr>
              <w:spacing w:before="40" w:after="20"/>
              <w:jc w:val="center"/>
              <w:rPr>
                <w:rFonts w:cs="Arial"/>
                <w:b/>
                <w:sz w:val="18"/>
                <w:szCs w:val="18"/>
              </w:rPr>
            </w:pPr>
            <w:r w:rsidRPr="002A2397">
              <w:rPr>
                <w:rFonts w:cs="Arial"/>
                <w:b/>
                <w:sz w:val="18"/>
                <w:szCs w:val="18"/>
              </w:rPr>
              <w:t xml:space="preserve">Estimated Resident Population </w:t>
            </w:r>
            <w:r w:rsidRPr="002A2397">
              <w:rPr>
                <w:rFonts w:cs="Arial"/>
                <w:sz w:val="16"/>
                <w:szCs w:val="16"/>
              </w:rPr>
              <w:t>(June 2018)</w:t>
            </w:r>
          </w:p>
        </w:tc>
        <w:tc>
          <w:tcPr>
            <w:tcW w:w="3402" w:type="dxa"/>
            <w:gridSpan w:val="3"/>
            <w:tcBorders>
              <w:top w:val="nil"/>
              <w:left w:val="nil"/>
              <w:bottom w:val="single" w:sz="8" w:space="0" w:color="5F497A" w:themeColor="accent4" w:themeShade="BF"/>
              <w:right w:val="nil"/>
            </w:tcBorders>
          </w:tcPr>
          <w:p w14:paraId="5CAEDE62" w14:textId="6BEA3E02" w:rsidR="006D154A" w:rsidRPr="002A2397" w:rsidRDefault="006D154A" w:rsidP="008001AD">
            <w:pPr>
              <w:spacing w:before="40" w:after="20"/>
              <w:jc w:val="center"/>
              <w:rPr>
                <w:rFonts w:cs="Arial"/>
                <w:b/>
                <w:sz w:val="18"/>
                <w:szCs w:val="18"/>
              </w:rPr>
            </w:pPr>
            <w:r w:rsidRPr="002A2397">
              <w:rPr>
                <w:rFonts w:cs="Arial"/>
                <w:b/>
                <w:sz w:val="18"/>
                <w:szCs w:val="18"/>
              </w:rPr>
              <w:t>Modified Population</w:t>
            </w:r>
          </w:p>
        </w:tc>
        <w:tc>
          <w:tcPr>
            <w:tcW w:w="1134" w:type="dxa"/>
            <w:vMerge w:val="restart"/>
            <w:tcBorders>
              <w:top w:val="nil"/>
              <w:left w:val="nil"/>
              <w:bottom w:val="single" w:sz="8" w:space="0" w:color="5F497A" w:themeColor="accent4" w:themeShade="BF"/>
              <w:right w:val="nil"/>
            </w:tcBorders>
            <w:shd w:val="clear" w:color="auto" w:fill="auto"/>
            <w:vAlign w:val="bottom"/>
          </w:tcPr>
          <w:p w14:paraId="3B964672" w14:textId="3AB2FBBD" w:rsidR="006D154A" w:rsidRPr="002A2397" w:rsidRDefault="006D154A" w:rsidP="008001AD">
            <w:pPr>
              <w:spacing w:before="40" w:after="20"/>
              <w:jc w:val="center"/>
              <w:rPr>
                <w:rFonts w:cs="Arial"/>
                <w:b/>
                <w:sz w:val="16"/>
                <w:szCs w:val="16"/>
              </w:rPr>
            </w:pPr>
            <w:r w:rsidRPr="002A2397">
              <w:rPr>
                <w:rFonts w:cs="Arial"/>
                <w:b/>
                <w:sz w:val="16"/>
                <w:szCs w:val="16"/>
              </w:rPr>
              <w:t xml:space="preserve">Population </w:t>
            </w:r>
            <w:r w:rsidRPr="002A2397">
              <w:rPr>
                <w:rFonts w:cs="Arial"/>
                <w:b/>
                <w:sz w:val="16"/>
                <w:szCs w:val="16"/>
              </w:rPr>
              <w:br/>
              <w:t xml:space="preserve">&gt; 60 Years </w:t>
            </w:r>
            <w:r w:rsidRPr="002A2397">
              <w:rPr>
                <w:rFonts w:cs="Arial"/>
                <w:b/>
                <w:sz w:val="16"/>
                <w:szCs w:val="16"/>
              </w:rPr>
              <w:br/>
              <w:t xml:space="preserve">+ Disabled Pensioners </w:t>
            </w:r>
            <w:r w:rsidRPr="002A2397">
              <w:rPr>
                <w:rFonts w:cs="Arial"/>
                <w:b/>
                <w:sz w:val="16"/>
                <w:szCs w:val="16"/>
              </w:rPr>
              <w:br/>
              <w:t>+ Carers</w:t>
            </w:r>
          </w:p>
        </w:tc>
        <w:tc>
          <w:tcPr>
            <w:tcW w:w="1134" w:type="dxa"/>
            <w:vMerge w:val="restart"/>
            <w:tcBorders>
              <w:top w:val="nil"/>
              <w:left w:val="nil"/>
              <w:bottom w:val="single" w:sz="8" w:space="0" w:color="5F497A" w:themeColor="accent4" w:themeShade="BF"/>
              <w:right w:val="nil"/>
            </w:tcBorders>
            <w:vAlign w:val="bottom"/>
          </w:tcPr>
          <w:p w14:paraId="0F194C06" w14:textId="77777777" w:rsidR="006D154A" w:rsidRPr="002A2397" w:rsidRDefault="006D154A" w:rsidP="008001AD">
            <w:pPr>
              <w:spacing w:before="40" w:after="20"/>
              <w:jc w:val="center"/>
              <w:rPr>
                <w:rFonts w:cs="Arial"/>
                <w:b/>
                <w:sz w:val="18"/>
                <w:szCs w:val="18"/>
              </w:rPr>
            </w:pPr>
            <w:r w:rsidRPr="002A2397">
              <w:rPr>
                <w:rFonts w:cs="Arial"/>
                <w:b/>
                <w:sz w:val="18"/>
                <w:szCs w:val="18"/>
              </w:rPr>
              <w:t xml:space="preserve">No. of </w:t>
            </w:r>
            <w:r w:rsidRPr="002A2397">
              <w:rPr>
                <w:rFonts w:cs="Arial"/>
                <w:b/>
                <w:sz w:val="18"/>
                <w:szCs w:val="18"/>
              </w:rPr>
              <w:br/>
              <w:t>Dwellings</w:t>
            </w:r>
          </w:p>
        </w:tc>
      </w:tr>
      <w:tr w:rsidR="000E59AF" w:rsidRPr="00A44829" w14:paraId="3ACFCCF4" w14:textId="77777777" w:rsidTr="006D154A">
        <w:trPr>
          <w:tblHeader/>
        </w:trPr>
        <w:tc>
          <w:tcPr>
            <w:tcW w:w="2268" w:type="dxa"/>
            <w:vMerge/>
            <w:tcBorders>
              <w:left w:val="nil"/>
              <w:right w:val="single" w:sz="18" w:space="0" w:color="5F497A" w:themeColor="accent4" w:themeShade="BF"/>
            </w:tcBorders>
            <w:shd w:val="clear" w:color="auto" w:fill="auto"/>
            <w:vAlign w:val="bottom"/>
          </w:tcPr>
          <w:p w14:paraId="2FD39F0F" w14:textId="77777777" w:rsidR="000E59AF" w:rsidRPr="002A2397" w:rsidRDefault="000E59AF" w:rsidP="008001AD">
            <w:pPr>
              <w:spacing w:before="40" w:after="20"/>
              <w:jc w:val="center"/>
              <w:rPr>
                <w:rFonts w:cs="Arial"/>
                <w:sz w:val="18"/>
                <w:szCs w:val="18"/>
              </w:rPr>
            </w:pPr>
          </w:p>
        </w:tc>
        <w:tc>
          <w:tcPr>
            <w:tcW w:w="1134" w:type="dxa"/>
            <w:vMerge/>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6489C73B" w14:textId="77777777" w:rsidR="000E59AF" w:rsidRPr="002A2397" w:rsidRDefault="000E59AF" w:rsidP="008001AD">
            <w:pPr>
              <w:spacing w:before="40" w:after="20"/>
              <w:jc w:val="center"/>
              <w:rPr>
                <w:rFonts w:cs="Arial"/>
                <w:b/>
                <w:sz w:val="18"/>
                <w:szCs w:val="18"/>
              </w:rPr>
            </w:pP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14AD18E6" w14:textId="02579D46" w:rsidR="000E59AF" w:rsidRPr="002A2397" w:rsidRDefault="006D154A" w:rsidP="006D154A">
            <w:pPr>
              <w:spacing w:before="40" w:after="20"/>
              <w:jc w:val="center"/>
              <w:rPr>
                <w:rFonts w:cs="Arial"/>
                <w:sz w:val="16"/>
                <w:szCs w:val="16"/>
              </w:rPr>
            </w:pPr>
            <w:r w:rsidRPr="002A2397">
              <w:rPr>
                <w:rFonts w:cs="Arial"/>
                <w:sz w:val="16"/>
                <w:szCs w:val="16"/>
              </w:rPr>
              <w:t xml:space="preserve">Modified Population* </w:t>
            </w:r>
            <w:r w:rsidRPr="002A2397">
              <w:rPr>
                <w:rFonts w:cs="Arial"/>
                <w:sz w:val="16"/>
                <w:szCs w:val="16"/>
              </w:rPr>
              <w:br/>
            </w:r>
            <w:r w:rsidR="000E59AF" w:rsidRPr="002A2397">
              <w:rPr>
                <w:rFonts w:cs="Arial"/>
                <w:sz w:val="16"/>
                <w:szCs w:val="16"/>
              </w:rPr>
              <w:t>(</w:t>
            </w:r>
            <w:r w:rsidRPr="002A2397">
              <w:rPr>
                <w:rFonts w:cs="Arial"/>
                <w:sz w:val="16"/>
                <w:szCs w:val="16"/>
              </w:rPr>
              <w:t>min</w:t>
            </w:r>
            <w:r w:rsidR="000E59AF" w:rsidRPr="002A2397">
              <w:rPr>
                <w:rFonts w:cs="Arial"/>
                <w:sz w:val="16"/>
                <w:szCs w:val="16"/>
              </w:rPr>
              <w:t xml:space="preserve"> 15,000)*</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08018B36" w14:textId="4C1292FA" w:rsidR="000E59AF" w:rsidRPr="002A2397" w:rsidRDefault="006D154A" w:rsidP="008001AD">
            <w:pPr>
              <w:spacing w:before="40" w:after="20"/>
              <w:jc w:val="center"/>
              <w:rPr>
                <w:rFonts w:cs="Arial"/>
                <w:sz w:val="16"/>
                <w:szCs w:val="16"/>
              </w:rPr>
            </w:pPr>
            <w:r w:rsidRPr="002A2397">
              <w:rPr>
                <w:rFonts w:cs="Arial"/>
                <w:sz w:val="16"/>
                <w:szCs w:val="16"/>
              </w:rPr>
              <w:t>Modified Population*</w:t>
            </w:r>
            <w:r w:rsidR="000E59AF" w:rsidRPr="002A2397">
              <w:rPr>
                <w:rFonts w:cs="Arial"/>
                <w:sz w:val="16"/>
                <w:szCs w:val="16"/>
              </w:rPr>
              <w:br/>
              <w:t>(min 20,000)</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4FA0E9B3" w14:textId="52B7568C" w:rsidR="000E59AF" w:rsidRPr="002A2397" w:rsidRDefault="006D154A" w:rsidP="008001AD">
            <w:pPr>
              <w:spacing w:before="40" w:after="20"/>
              <w:jc w:val="center"/>
              <w:rPr>
                <w:rFonts w:cs="Arial"/>
                <w:sz w:val="16"/>
                <w:szCs w:val="16"/>
              </w:rPr>
            </w:pPr>
            <w:r w:rsidRPr="002A2397">
              <w:rPr>
                <w:rFonts w:cs="Arial"/>
                <w:sz w:val="16"/>
                <w:szCs w:val="16"/>
              </w:rPr>
              <w:t>Modified Population*</w:t>
            </w:r>
            <w:r w:rsidR="000E59AF" w:rsidRPr="002A2397">
              <w:rPr>
                <w:rFonts w:cs="Arial"/>
                <w:sz w:val="16"/>
                <w:szCs w:val="16"/>
              </w:rPr>
              <w:br/>
              <w:t>(</w:t>
            </w:r>
            <w:r w:rsidRPr="002A2397">
              <w:rPr>
                <w:rFonts w:cs="Arial"/>
                <w:sz w:val="16"/>
                <w:szCs w:val="16"/>
              </w:rPr>
              <w:t xml:space="preserve">no </w:t>
            </w:r>
            <w:r w:rsidR="000E59AF" w:rsidRPr="002A2397">
              <w:rPr>
                <w:rFonts w:cs="Arial"/>
                <w:sz w:val="16"/>
                <w:szCs w:val="16"/>
              </w:rPr>
              <w:t>min)</w:t>
            </w:r>
          </w:p>
        </w:tc>
        <w:tc>
          <w:tcPr>
            <w:tcW w:w="1134" w:type="dxa"/>
            <w:vMerge/>
            <w:tcBorders>
              <w:top w:val="single" w:sz="8" w:space="0" w:color="5F497A" w:themeColor="accent4" w:themeShade="BF"/>
              <w:left w:val="nil"/>
              <w:bottom w:val="single" w:sz="8" w:space="0" w:color="5F497A" w:themeColor="accent4" w:themeShade="BF"/>
              <w:right w:val="nil"/>
            </w:tcBorders>
            <w:vAlign w:val="bottom"/>
          </w:tcPr>
          <w:p w14:paraId="6B325011" w14:textId="77777777" w:rsidR="000E59AF" w:rsidRPr="00A44829" w:rsidRDefault="000E59AF" w:rsidP="008001AD">
            <w:pPr>
              <w:spacing w:before="40" w:after="20"/>
              <w:jc w:val="center"/>
              <w:rPr>
                <w:rFonts w:cs="Arial"/>
                <w:b/>
                <w:sz w:val="18"/>
                <w:szCs w:val="18"/>
              </w:rPr>
            </w:pPr>
          </w:p>
        </w:tc>
        <w:tc>
          <w:tcPr>
            <w:tcW w:w="1134"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0436866E" w14:textId="77777777" w:rsidR="000E59AF" w:rsidRPr="00A44829" w:rsidRDefault="000E59AF" w:rsidP="008001AD">
            <w:pPr>
              <w:spacing w:before="40" w:after="20"/>
              <w:jc w:val="center"/>
              <w:rPr>
                <w:rFonts w:cs="Arial"/>
                <w:b/>
                <w:sz w:val="18"/>
                <w:szCs w:val="18"/>
              </w:rPr>
            </w:pPr>
          </w:p>
        </w:tc>
      </w:tr>
      <w:tr w:rsidR="00953130" w:rsidRPr="001D41EA" w14:paraId="78E00C40" w14:textId="77777777" w:rsidTr="00953130">
        <w:trPr>
          <w:trHeight w:val="240"/>
          <w:tblHeader/>
        </w:trPr>
        <w:tc>
          <w:tcPr>
            <w:tcW w:w="2268" w:type="dxa"/>
            <w:tcBorders>
              <w:left w:val="nil"/>
              <w:bottom w:val="nil"/>
              <w:right w:val="single" w:sz="18" w:space="0" w:color="5F497A" w:themeColor="accent4" w:themeShade="BF"/>
            </w:tcBorders>
            <w:shd w:val="clear" w:color="auto" w:fill="auto"/>
            <w:vAlign w:val="center"/>
          </w:tcPr>
          <w:p w14:paraId="50F67FCF" w14:textId="77777777" w:rsidR="00953130" w:rsidRPr="001D41EA" w:rsidRDefault="00953130" w:rsidP="001D41EA">
            <w:pPr>
              <w:spacing w:before="40" w:after="4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B9219DE" w14:textId="5CA08BAC" w:rsidR="00953130" w:rsidRPr="001D41EA" w:rsidRDefault="00953130" w:rsidP="001D41EA">
            <w:pPr>
              <w:spacing w:before="40" w:after="4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vAlign w:val="bottom"/>
          </w:tcPr>
          <w:p w14:paraId="4EF7222E" w14:textId="161B2C83" w:rsidR="00953130" w:rsidRPr="001D41EA" w:rsidRDefault="00953130" w:rsidP="001D41EA">
            <w:pPr>
              <w:spacing w:before="40" w:after="4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vAlign w:val="bottom"/>
          </w:tcPr>
          <w:p w14:paraId="294A8FC1" w14:textId="77777777" w:rsidR="00953130" w:rsidRPr="001D41EA" w:rsidRDefault="00953130" w:rsidP="001D41EA">
            <w:pPr>
              <w:spacing w:before="40" w:after="4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79E711F4" w14:textId="2B876E10" w:rsidR="00953130" w:rsidRPr="001D41EA" w:rsidRDefault="00953130" w:rsidP="001D41EA">
            <w:pPr>
              <w:spacing w:before="40" w:after="4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vAlign w:val="bottom"/>
          </w:tcPr>
          <w:p w14:paraId="30A8B647" w14:textId="6F0DD3E8" w:rsidR="00953130" w:rsidRPr="001D41EA" w:rsidRDefault="00953130" w:rsidP="001D41EA">
            <w:pPr>
              <w:spacing w:before="40" w:after="4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5365865A" w14:textId="6330E873" w:rsidR="00953130" w:rsidRPr="001D41EA" w:rsidRDefault="00953130" w:rsidP="001D41EA">
            <w:pPr>
              <w:spacing w:before="40" w:after="40"/>
              <w:jc w:val="right"/>
              <w:rPr>
                <w:rFonts w:cs="Arial"/>
                <w:sz w:val="18"/>
                <w:szCs w:val="18"/>
              </w:rPr>
            </w:pPr>
            <w:r w:rsidRPr="001D41EA">
              <w:rPr>
                <w:rFonts w:cs="Arial"/>
                <w:sz w:val="18"/>
                <w:szCs w:val="18"/>
              </w:rPr>
              <w:t> </w:t>
            </w:r>
          </w:p>
        </w:tc>
      </w:tr>
      <w:tr w:rsidR="00953130" w:rsidRPr="001D41EA" w14:paraId="16EBA9A2"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642E01F" w14:textId="77777777" w:rsidR="00953130" w:rsidRPr="001D41EA" w:rsidRDefault="00953130" w:rsidP="001D41EA">
            <w:pPr>
              <w:spacing w:before="40" w:after="40"/>
              <w:rPr>
                <w:rFonts w:cs="Arial"/>
                <w:sz w:val="18"/>
                <w:szCs w:val="18"/>
              </w:rPr>
            </w:pPr>
            <w:r w:rsidRPr="001D41EA">
              <w:rPr>
                <w:rFonts w:cs="Arial"/>
                <w:sz w:val="18"/>
                <w:szCs w:val="18"/>
              </w:rPr>
              <w:t>Alpine S</w:t>
            </w:r>
          </w:p>
        </w:tc>
        <w:tc>
          <w:tcPr>
            <w:tcW w:w="1134" w:type="dxa"/>
            <w:tcBorders>
              <w:top w:val="nil"/>
              <w:left w:val="single" w:sz="18" w:space="0" w:color="5F497A" w:themeColor="accent4" w:themeShade="BF"/>
              <w:bottom w:val="nil"/>
              <w:right w:val="nil"/>
            </w:tcBorders>
            <w:shd w:val="clear" w:color="auto" w:fill="auto"/>
            <w:vAlign w:val="bottom"/>
          </w:tcPr>
          <w:p w14:paraId="0E9CDC42" w14:textId="66528268" w:rsidR="00953130" w:rsidRPr="001D41EA" w:rsidRDefault="00953130" w:rsidP="001D41EA">
            <w:pPr>
              <w:spacing w:before="40" w:after="40"/>
              <w:jc w:val="right"/>
              <w:rPr>
                <w:rFonts w:cs="Arial"/>
                <w:sz w:val="18"/>
                <w:szCs w:val="18"/>
              </w:rPr>
            </w:pPr>
            <w:r w:rsidRPr="001D41EA">
              <w:rPr>
                <w:rFonts w:cs="Arial"/>
                <w:sz w:val="18"/>
                <w:szCs w:val="18"/>
              </w:rPr>
              <w:t>13,202</w:t>
            </w:r>
          </w:p>
        </w:tc>
        <w:tc>
          <w:tcPr>
            <w:tcW w:w="1134" w:type="dxa"/>
            <w:tcBorders>
              <w:top w:val="nil"/>
              <w:left w:val="nil"/>
              <w:bottom w:val="nil"/>
              <w:right w:val="nil"/>
            </w:tcBorders>
            <w:vAlign w:val="bottom"/>
          </w:tcPr>
          <w:p w14:paraId="32BA7F08" w14:textId="0661B40A" w:rsidR="00953130" w:rsidRPr="001D41EA" w:rsidRDefault="00953130" w:rsidP="001D41EA">
            <w:pPr>
              <w:spacing w:before="40" w:after="40"/>
              <w:jc w:val="right"/>
              <w:rPr>
                <w:rFonts w:cs="Arial"/>
                <w:sz w:val="18"/>
                <w:szCs w:val="18"/>
              </w:rPr>
            </w:pPr>
            <w:r w:rsidRPr="001D41EA">
              <w:rPr>
                <w:rFonts w:cs="Arial"/>
                <w:sz w:val="18"/>
                <w:szCs w:val="18"/>
              </w:rPr>
              <w:t>15,000</w:t>
            </w:r>
          </w:p>
        </w:tc>
        <w:tc>
          <w:tcPr>
            <w:tcW w:w="1134" w:type="dxa"/>
            <w:tcBorders>
              <w:top w:val="nil"/>
              <w:left w:val="nil"/>
              <w:bottom w:val="nil"/>
              <w:right w:val="nil"/>
            </w:tcBorders>
            <w:vAlign w:val="bottom"/>
          </w:tcPr>
          <w:p w14:paraId="537748CC" w14:textId="6D449874" w:rsidR="00953130" w:rsidRPr="001D41EA" w:rsidRDefault="00953130" w:rsidP="001D41EA">
            <w:pPr>
              <w:spacing w:before="40" w:after="40"/>
              <w:jc w:val="right"/>
              <w:rPr>
                <w:rFonts w:cs="Arial"/>
                <w:sz w:val="18"/>
                <w:szCs w:val="18"/>
              </w:rPr>
            </w:pPr>
            <w:r w:rsidRPr="001D41EA">
              <w:rPr>
                <w:rFonts w:cs="Arial"/>
                <w:sz w:val="18"/>
                <w:szCs w:val="18"/>
              </w:rPr>
              <w:t>20,000</w:t>
            </w:r>
          </w:p>
        </w:tc>
        <w:tc>
          <w:tcPr>
            <w:tcW w:w="1134" w:type="dxa"/>
            <w:tcBorders>
              <w:top w:val="nil"/>
              <w:left w:val="nil"/>
              <w:bottom w:val="nil"/>
              <w:right w:val="nil"/>
            </w:tcBorders>
            <w:shd w:val="clear" w:color="auto" w:fill="auto"/>
            <w:vAlign w:val="bottom"/>
          </w:tcPr>
          <w:p w14:paraId="37A83272" w14:textId="7B999C83" w:rsidR="00953130" w:rsidRPr="001D41EA" w:rsidRDefault="00953130" w:rsidP="001D41EA">
            <w:pPr>
              <w:spacing w:before="40" w:after="40"/>
              <w:jc w:val="right"/>
              <w:rPr>
                <w:rFonts w:cs="Arial"/>
                <w:sz w:val="18"/>
                <w:szCs w:val="18"/>
              </w:rPr>
            </w:pPr>
            <w:r w:rsidRPr="001D41EA">
              <w:rPr>
                <w:rFonts w:cs="Arial"/>
                <w:sz w:val="18"/>
                <w:szCs w:val="18"/>
              </w:rPr>
              <w:t>14,147</w:t>
            </w:r>
          </w:p>
        </w:tc>
        <w:tc>
          <w:tcPr>
            <w:tcW w:w="1134" w:type="dxa"/>
            <w:tcBorders>
              <w:top w:val="nil"/>
              <w:left w:val="nil"/>
              <w:bottom w:val="nil"/>
              <w:right w:val="nil"/>
            </w:tcBorders>
            <w:vAlign w:val="bottom"/>
          </w:tcPr>
          <w:p w14:paraId="4AA3FF67" w14:textId="4F164FE4" w:rsidR="00953130" w:rsidRPr="001D41EA" w:rsidRDefault="00953130" w:rsidP="001D41EA">
            <w:pPr>
              <w:spacing w:before="40" w:after="40"/>
              <w:jc w:val="right"/>
              <w:rPr>
                <w:rFonts w:cs="Arial"/>
                <w:sz w:val="18"/>
                <w:szCs w:val="18"/>
              </w:rPr>
            </w:pPr>
            <w:r w:rsidRPr="001D41EA">
              <w:rPr>
                <w:rFonts w:cs="Arial"/>
                <w:sz w:val="18"/>
                <w:szCs w:val="18"/>
              </w:rPr>
              <w:t>4,914</w:t>
            </w:r>
          </w:p>
        </w:tc>
        <w:tc>
          <w:tcPr>
            <w:tcW w:w="1134" w:type="dxa"/>
            <w:tcBorders>
              <w:top w:val="nil"/>
              <w:left w:val="nil"/>
              <w:bottom w:val="nil"/>
              <w:right w:val="nil"/>
            </w:tcBorders>
            <w:shd w:val="clear" w:color="auto" w:fill="auto"/>
            <w:vAlign w:val="bottom"/>
          </w:tcPr>
          <w:p w14:paraId="1089F0E8" w14:textId="2603B2E0" w:rsidR="00953130" w:rsidRPr="001D41EA" w:rsidRDefault="00953130" w:rsidP="001D41EA">
            <w:pPr>
              <w:spacing w:before="40" w:after="40"/>
              <w:jc w:val="right"/>
              <w:rPr>
                <w:rFonts w:cs="Arial"/>
                <w:sz w:val="18"/>
                <w:szCs w:val="18"/>
              </w:rPr>
            </w:pPr>
            <w:r w:rsidRPr="001D41EA">
              <w:rPr>
                <w:rFonts w:cs="Arial"/>
                <w:sz w:val="18"/>
                <w:szCs w:val="18"/>
              </w:rPr>
              <w:t>8,066</w:t>
            </w:r>
          </w:p>
        </w:tc>
      </w:tr>
      <w:tr w:rsidR="00953130" w:rsidRPr="001D41EA" w14:paraId="3B91B18C"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9D76BEA" w14:textId="77777777" w:rsidR="00953130" w:rsidRPr="001D41EA" w:rsidRDefault="00953130" w:rsidP="001D41EA">
            <w:pPr>
              <w:spacing w:before="40" w:after="40"/>
              <w:rPr>
                <w:rFonts w:cs="Arial"/>
                <w:sz w:val="18"/>
                <w:szCs w:val="18"/>
              </w:rPr>
            </w:pPr>
            <w:r w:rsidRPr="001D41EA">
              <w:rPr>
                <w:rFonts w:cs="Arial"/>
                <w:sz w:val="18"/>
                <w:szCs w:val="18"/>
              </w:rPr>
              <w:t>Ararat RC</w:t>
            </w:r>
          </w:p>
        </w:tc>
        <w:tc>
          <w:tcPr>
            <w:tcW w:w="1134" w:type="dxa"/>
            <w:tcBorders>
              <w:top w:val="nil"/>
              <w:left w:val="single" w:sz="18" w:space="0" w:color="5F497A" w:themeColor="accent4" w:themeShade="BF"/>
              <w:bottom w:val="nil"/>
              <w:right w:val="nil"/>
            </w:tcBorders>
            <w:shd w:val="clear" w:color="auto" w:fill="auto"/>
            <w:vAlign w:val="bottom"/>
          </w:tcPr>
          <w:p w14:paraId="0853D577" w14:textId="76F1F511" w:rsidR="00953130" w:rsidRPr="001D41EA" w:rsidRDefault="00953130" w:rsidP="001D41EA">
            <w:pPr>
              <w:spacing w:before="40" w:after="40"/>
              <w:jc w:val="right"/>
              <w:rPr>
                <w:rFonts w:cs="Arial"/>
                <w:sz w:val="18"/>
                <w:szCs w:val="18"/>
              </w:rPr>
            </w:pPr>
            <w:r w:rsidRPr="001D41EA">
              <w:rPr>
                <w:rFonts w:cs="Arial"/>
                <w:sz w:val="18"/>
                <w:szCs w:val="18"/>
              </w:rPr>
              <w:t>11,795</w:t>
            </w:r>
          </w:p>
        </w:tc>
        <w:tc>
          <w:tcPr>
            <w:tcW w:w="1134" w:type="dxa"/>
            <w:tcBorders>
              <w:top w:val="nil"/>
              <w:left w:val="nil"/>
              <w:bottom w:val="nil"/>
              <w:right w:val="nil"/>
            </w:tcBorders>
            <w:vAlign w:val="bottom"/>
          </w:tcPr>
          <w:p w14:paraId="1330E776" w14:textId="3B538822" w:rsidR="00953130" w:rsidRPr="001D41EA" w:rsidRDefault="00953130" w:rsidP="001D41EA">
            <w:pPr>
              <w:spacing w:before="40" w:after="40"/>
              <w:jc w:val="right"/>
              <w:rPr>
                <w:rFonts w:cs="Arial"/>
                <w:sz w:val="18"/>
                <w:szCs w:val="18"/>
              </w:rPr>
            </w:pPr>
            <w:r w:rsidRPr="001D41EA">
              <w:rPr>
                <w:rFonts w:cs="Arial"/>
                <w:sz w:val="18"/>
                <w:szCs w:val="18"/>
              </w:rPr>
              <w:t>15,000</w:t>
            </w:r>
          </w:p>
        </w:tc>
        <w:tc>
          <w:tcPr>
            <w:tcW w:w="1134" w:type="dxa"/>
            <w:tcBorders>
              <w:top w:val="nil"/>
              <w:left w:val="nil"/>
              <w:bottom w:val="nil"/>
              <w:right w:val="nil"/>
            </w:tcBorders>
            <w:vAlign w:val="bottom"/>
          </w:tcPr>
          <w:p w14:paraId="3CC561A8" w14:textId="0E9A5D0B" w:rsidR="00953130" w:rsidRPr="001D41EA" w:rsidRDefault="00953130" w:rsidP="001D41EA">
            <w:pPr>
              <w:spacing w:before="40" w:after="40"/>
              <w:jc w:val="right"/>
              <w:rPr>
                <w:rFonts w:cs="Arial"/>
                <w:sz w:val="18"/>
                <w:szCs w:val="18"/>
              </w:rPr>
            </w:pPr>
            <w:r w:rsidRPr="001D41EA">
              <w:rPr>
                <w:rFonts w:cs="Arial"/>
                <w:sz w:val="18"/>
                <w:szCs w:val="18"/>
              </w:rPr>
              <w:t>20,000</w:t>
            </w:r>
          </w:p>
        </w:tc>
        <w:tc>
          <w:tcPr>
            <w:tcW w:w="1134" w:type="dxa"/>
            <w:tcBorders>
              <w:top w:val="nil"/>
              <w:left w:val="nil"/>
              <w:bottom w:val="nil"/>
              <w:right w:val="nil"/>
            </w:tcBorders>
            <w:shd w:val="clear" w:color="auto" w:fill="auto"/>
            <w:vAlign w:val="bottom"/>
          </w:tcPr>
          <w:p w14:paraId="562C5A4E" w14:textId="52F0168F" w:rsidR="00953130" w:rsidRPr="001D41EA" w:rsidRDefault="00953130" w:rsidP="001D41EA">
            <w:pPr>
              <w:spacing w:before="40" w:after="40"/>
              <w:jc w:val="right"/>
              <w:rPr>
                <w:rFonts w:cs="Arial"/>
                <w:sz w:val="18"/>
                <w:szCs w:val="18"/>
              </w:rPr>
            </w:pPr>
            <w:r w:rsidRPr="001D41EA">
              <w:rPr>
                <w:rFonts w:cs="Arial"/>
                <w:sz w:val="18"/>
                <w:szCs w:val="18"/>
              </w:rPr>
              <w:t>11,999</w:t>
            </w:r>
          </w:p>
        </w:tc>
        <w:tc>
          <w:tcPr>
            <w:tcW w:w="1134" w:type="dxa"/>
            <w:tcBorders>
              <w:top w:val="nil"/>
              <w:left w:val="nil"/>
              <w:bottom w:val="nil"/>
              <w:right w:val="nil"/>
            </w:tcBorders>
            <w:vAlign w:val="bottom"/>
          </w:tcPr>
          <w:p w14:paraId="7E914444" w14:textId="5F9E4231" w:rsidR="00953130" w:rsidRPr="001D41EA" w:rsidRDefault="00953130" w:rsidP="001D41EA">
            <w:pPr>
              <w:spacing w:before="40" w:after="40"/>
              <w:jc w:val="right"/>
              <w:rPr>
                <w:rFonts w:cs="Arial"/>
                <w:sz w:val="18"/>
                <w:szCs w:val="18"/>
              </w:rPr>
            </w:pPr>
            <w:r w:rsidRPr="001D41EA">
              <w:rPr>
                <w:rFonts w:cs="Arial"/>
                <w:sz w:val="18"/>
                <w:szCs w:val="18"/>
              </w:rPr>
              <w:t>4,591</w:t>
            </w:r>
          </w:p>
        </w:tc>
        <w:tc>
          <w:tcPr>
            <w:tcW w:w="1134" w:type="dxa"/>
            <w:tcBorders>
              <w:top w:val="nil"/>
              <w:left w:val="nil"/>
              <w:bottom w:val="nil"/>
              <w:right w:val="nil"/>
            </w:tcBorders>
            <w:shd w:val="clear" w:color="auto" w:fill="auto"/>
            <w:vAlign w:val="bottom"/>
          </w:tcPr>
          <w:p w14:paraId="25F4CE0E" w14:textId="555E2E43" w:rsidR="00953130" w:rsidRPr="001D41EA" w:rsidRDefault="00953130" w:rsidP="001D41EA">
            <w:pPr>
              <w:spacing w:before="40" w:after="40"/>
              <w:jc w:val="right"/>
              <w:rPr>
                <w:rFonts w:cs="Arial"/>
                <w:sz w:val="18"/>
                <w:szCs w:val="18"/>
              </w:rPr>
            </w:pPr>
            <w:r w:rsidRPr="001D41EA">
              <w:rPr>
                <w:rFonts w:cs="Arial"/>
                <w:sz w:val="18"/>
                <w:szCs w:val="18"/>
              </w:rPr>
              <w:t>5,422</w:t>
            </w:r>
          </w:p>
        </w:tc>
      </w:tr>
      <w:tr w:rsidR="00953130" w:rsidRPr="001D41EA" w14:paraId="2A4C0BD7"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F55261E" w14:textId="77777777" w:rsidR="00953130" w:rsidRPr="001D41EA" w:rsidRDefault="00953130" w:rsidP="001D41EA">
            <w:pPr>
              <w:spacing w:before="40" w:after="40"/>
              <w:rPr>
                <w:rFonts w:cs="Arial"/>
                <w:sz w:val="18"/>
                <w:szCs w:val="18"/>
              </w:rPr>
            </w:pPr>
            <w:r w:rsidRPr="001D41EA">
              <w:rPr>
                <w:rFonts w:cs="Arial"/>
                <w:sz w:val="18"/>
                <w:szCs w:val="18"/>
              </w:rPr>
              <w:t>Ballarat C</w:t>
            </w:r>
          </w:p>
        </w:tc>
        <w:tc>
          <w:tcPr>
            <w:tcW w:w="1134" w:type="dxa"/>
            <w:tcBorders>
              <w:top w:val="nil"/>
              <w:left w:val="single" w:sz="18" w:space="0" w:color="5F497A" w:themeColor="accent4" w:themeShade="BF"/>
              <w:bottom w:val="nil"/>
              <w:right w:val="nil"/>
            </w:tcBorders>
            <w:shd w:val="clear" w:color="auto" w:fill="auto"/>
            <w:vAlign w:val="bottom"/>
          </w:tcPr>
          <w:p w14:paraId="60A43A11" w14:textId="19219FBA" w:rsidR="00953130" w:rsidRPr="001D41EA" w:rsidRDefault="00953130" w:rsidP="001D41EA">
            <w:pPr>
              <w:spacing w:before="40" w:after="40"/>
              <w:jc w:val="right"/>
              <w:rPr>
                <w:rFonts w:cs="Arial"/>
                <w:sz w:val="18"/>
                <w:szCs w:val="18"/>
              </w:rPr>
            </w:pPr>
            <w:r w:rsidRPr="001D41EA">
              <w:rPr>
                <w:rFonts w:cs="Arial"/>
                <w:sz w:val="18"/>
                <w:szCs w:val="18"/>
              </w:rPr>
              <w:t>107,325</w:t>
            </w:r>
          </w:p>
        </w:tc>
        <w:tc>
          <w:tcPr>
            <w:tcW w:w="1134" w:type="dxa"/>
            <w:tcBorders>
              <w:top w:val="nil"/>
              <w:left w:val="nil"/>
              <w:bottom w:val="nil"/>
              <w:right w:val="nil"/>
            </w:tcBorders>
            <w:vAlign w:val="bottom"/>
          </w:tcPr>
          <w:p w14:paraId="175490F8" w14:textId="39F95ED0" w:rsidR="00953130" w:rsidRPr="001D41EA" w:rsidRDefault="00953130" w:rsidP="001D41EA">
            <w:pPr>
              <w:spacing w:before="40" w:after="40"/>
              <w:jc w:val="right"/>
              <w:rPr>
                <w:rFonts w:cs="Arial"/>
                <w:sz w:val="18"/>
                <w:szCs w:val="18"/>
              </w:rPr>
            </w:pPr>
            <w:r w:rsidRPr="001D41EA">
              <w:rPr>
                <w:rFonts w:cs="Arial"/>
                <w:sz w:val="18"/>
                <w:szCs w:val="18"/>
              </w:rPr>
              <w:t>107,325</w:t>
            </w:r>
          </w:p>
        </w:tc>
        <w:tc>
          <w:tcPr>
            <w:tcW w:w="1134" w:type="dxa"/>
            <w:tcBorders>
              <w:top w:val="nil"/>
              <w:left w:val="nil"/>
              <w:bottom w:val="nil"/>
              <w:right w:val="nil"/>
            </w:tcBorders>
            <w:vAlign w:val="bottom"/>
          </w:tcPr>
          <w:p w14:paraId="6AFA195F" w14:textId="2EB72CE7" w:rsidR="00953130" w:rsidRPr="001D41EA" w:rsidRDefault="00953130" w:rsidP="001D41EA">
            <w:pPr>
              <w:spacing w:before="40" w:after="40"/>
              <w:jc w:val="right"/>
              <w:rPr>
                <w:rFonts w:cs="Arial"/>
                <w:sz w:val="18"/>
                <w:szCs w:val="18"/>
              </w:rPr>
            </w:pPr>
            <w:r w:rsidRPr="001D41EA">
              <w:rPr>
                <w:rFonts w:cs="Arial"/>
                <w:sz w:val="18"/>
                <w:szCs w:val="18"/>
              </w:rPr>
              <w:t>107,325</w:t>
            </w:r>
          </w:p>
        </w:tc>
        <w:tc>
          <w:tcPr>
            <w:tcW w:w="1134" w:type="dxa"/>
            <w:tcBorders>
              <w:top w:val="nil"/>
              <w:left w:val="nil"/>
              <w:bottom w:val="nil"/>
              <w:right w:val="nil"/>
            </w:tcBorders>
            <w:shd w:val="clear" w:color="auto" w:fill="auto"/>
            <w:vAlign w:val="bottom"/>
          </w:tcPr>
          <w:p w14:paraId="224A3810" w14:textId="44425D81" w:rsidR="00953130" w:rsidRPr="001D41EA" w:rsidRDefault="00953130" w:rsidP="001D41EA">
            <w:pPr>
              <w:spacing w:before="40" w:after="40"/>
              <w:jc w:val="right"/>
              <w:rPr>
                <w:rFonts w:cs="Arial"/>
                <w:sz w:val="18"/>
                <w:szCs w:val="18"/>
              </w:rPr>
            </w:pPr>
            <w:r w:rsidRPr="001D41EA">
              <w:rPr>
                <w:rFonts w:cs="Arial"/>
                <w:sz w:val="18"/>
                <w:szCs w:val="18"/>
              </w:rPr>
              <w:t>107,325</w:t>
            </w:r>
          </w:p>
        </w:tc>
        <w:tc>
          <w:tcPr>
            <w:tcW w:w="1134" w:type="dxa"/>
            <w:tcBorders>
              <w:top w:val="nil"/>
              <w:left w:val="nil"/>
              <w:bottom w:val="nil"/>
              <w:right w:val="nil"/>
            </w:tcBorders>
            <w:vAlign w:val="bottom"/>
          </w:tcPr>
          <w:p w14:paraId="1455799C" w14:textId="4109F18F" w:rsidR="00953130" w:rsidRPr="001D41EA" w:rsidRDefault="00953130" w:rsidP="001D41EA">
            <w:pPr>
              <w:spacing w:before="40" w:after="40"/>
              <w:jc w:val="right"/>
              <w:rPr>
                <w:rFonts w:cs="Arial"/>
                <w:sz w:val="18"/>
                <w:szCs w:val="18"/>
              </w:rPr>
            </w:pPr>
            <w:r w:rsidRPr="001D41EA">
              <w:rPr>
                <w:rFonts w:cs="Arial"/>
                <w:sz w:val="18"/>
                <w:szCs w:val="18"/>
              </w:rPr>
              <w:t>32,863</w:t>
            </w:r>
          </w:p>
        </w:tc>
        <w:tc>
          <w:tcPr>
            <w:tcW w:w="1134" w:type="dxa"/>
            <w:tcBorders>
              <w:top w:val="nil"/>
              <w:left w:val="nil"/>
              <w:bottom w:val="nil"/>
              <w:right w:val="nil"/>
            </w:tcBorders>
            <w:shd w:val="clear" w:color="auto" w:fill="auto"/>
            <w:vAlign w:val="bottom"/>
          </w:tcPr>
          <w:p w14:paraId="2E270733" w14:textId="3584D0AB" w:rsidR="00953130" w:rsidRPr="001D41EA" w:rsidRDefault="00953130" w:rsidP="001D41EA">
            <w:pPr>
              <w:spacing w:before="40" w:after="40"/>
              <w:jc w:val="right"/>
              <w:rPr>
                <w:rFonts w:cs="Arial"/>
                <w:sz w:val="18"/>
                <w:szCs w:val="18"/>
              </w:rPr>
            </w:pPr>
            <w:r w:rsidRPr="001D41EA">
              <w:rPr>
                <w:rFonts w:cs="Arial"/>
                <w:sz w:val="18"/>
                <w:szCs w:val="18"/>
              </w:rPr>
              <w:t>46,829</w:t>
            </w:r>
          </w:p>
        </w:tc>
      </w:tr>
      <w:tr w:rsidR="00953130" w:rsidRPr="001D41EA" w14:paraId="33163EBB"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26F088D" w14:textId="77777777" w:rsidR="00953130" w:rsidRPr="001D41EA" w:rsidRDefault="00953130" w:rsidP="001D41EA">
            <w:pPr>
              <w:spacing w:before="40" w:after="40"/>
              <w:rPr>
                <w:rFonts w:cs="Arial"/>
                <w:sz w:val="18"/>
                <w:szCs w:val="18"/>
              </w:rPr>
            </w:pPr>
            <w:r w:rsidRPr="001D41EA">
              <w:rPr>
                <w:rFonts w:cs="Arial"/>
                <w:sz w:val="18"/>
                <w:szCs w:val="18"/>
              </w:rPr>
              <w:t>Banyule C</w:t>
            </w:r>
          </w:p>
        </w:tc>
        <w:tc>
          <w:tcPr>
            <w:tcW w:w="1134" w:type="dxa"/>
            <w:tcBorders>
              <w:top w:val="nil"/>
              <w:left w:val="single" w:sz="18" w:space="0" w:color="5F497A" w:themeColor="accent4" w:themeShade="BF"/>
              <w:bottom w:val="nil"/>
              <w:right w:val="nil"/>
            </w:tcBorders>
            <w:shd w:val="clear" w:color="auto" w:fill="auto"/>
            <w:vAlign w:val="bottom"/>
          </w:tcPr>
          <w:p w14:paraId="38A7F412" w14:textId="4346022B" w:rsidR="00953130" w:rsidRPr="001D41EA" w:rsidRDefault="00953130" w:rsidP="001D41EA">
            <w:pPr>
              <w:spacing w:before="40" w:after="40"/>
              <w:jc w:val="right"/>
              <w:rPr>
                <w:rFonts w:cs="Arial"/>
                <w:sz w:val="18"/>
                <w:szCs w:val="18"/>
              </w:rPr>
            </w:pPr>
            <w:r w:rsidRPr="001D41EA">
              <w:rPr>
                <w:rFonts w:cs="Arial"/>
                <w:sz w:val="18"/>
                <w:szCs w:val="18"/>
              </w:rPr>
              <w:t>130,237</w:t>
            </w:r>
          </w:p>
        </w:tc>
        <w:tc>
          <w:tcPr>
            <w:tcW w:w="1134" w:type="dxa"/>
            <w:tcBorders>
              <w:top w:val="nil"/>
              <w:left w:val="nil"/>
              <w:bottom w:val="nil"/>
              <w:right w:val="nil"/>
            </w:tcBorders>
            <w:vAlign w:val="bottom"/>
          </w:tcPr>
          <w:p w14:paraId="1E4B3121" w14:textId="6FCE017C" w:rsidR="00953130" w:rsidRPr="001D41EA" w:rsidRDefault="00953130" w:rsidP="001D41EA">
            <w:pPr>
              <w:spacing w:before="40" w:after="40"/>
              <w:jc w:val="right"/>
              <w:rPr>
                <w:rFonts w:cs="Arial"/>
                <w:sz w:val="18"/>
                <w:szCs w:val="18"/>
              </w:rPr>
            </w:pPr>
            <w:r w:rsidRPr="001D41EA">
              <w:rPr>
                <w:rFonts w:cs="Arial"/>
                <w:sz w:val="18"/>
                <w:szCs w:val="18"/>
              </w:rPr>
              <w:t>130,237</w:t>
            </w:r>
          </w:p>
        </w:tc>
        <w:tc>
          <w:tcPr>
            <w:tcW w:w="1134" w:type="dxa"/>
            <w:tcBorders>
              <w:top w:val="nil"/>
              <w:left w:val="nil"/>
              <w:bottom w:val="nil"/>
              <w:right w:val="nil"/>
            </w:tcBorders>
            <w:vAlign w:val="bottom"/>
          </w:tcPr>
          <w:p w14:paraId="4729BDDA" w14:textId="4D1BF865" w:rsidR="00953130" w:rsidRPr="001D41EA" w:rsidRDefault="00953130" w:rsidP="001D41EA">
            <w:pPr>
              <w:spacing w:before="40" w:after="40"/>
              <w:jc w:val="right"/>
              <w:rPr>
                <w:rFonts w:cs="Arial"/>
                <w:sz w:val="18"/>
                <w:szCs w:val="18"/>
              </w:rPr>
            </w:pPr>
            <w:r w:rsidRPr="001D41EA">
              <w:rPr>
                <w:rFonts w:cs="Arial"/>
                <w:sz w:val="18"/>
                <w:szCs w:val="18"/>
              </w:rPr>
              <w:t>130,237</w:t>
            </w:r>
          </w:p>
        </w:tc>
        <w:tc>
          <w:tcPr>
            <w:tcW w:w="1134" w:type="dxa"/>
            <w:tcBorders>
              <w:top w:val="nil"/>
              <w:left w:val="nil"/>
              <w:bottom w:val="nil"/>
              <w:right w:val="nil"/>
            </w:tcBorders>
            <w:shd w:val="clear" w:color="auto" w:fill="auto"/>
            <w:vAlign w:val="bottom"/>
          </w:tcPr>
          <w:p w14:paraId="45A8899E" w14:textId="45150864" w:rsidR="00953130" w:rsidRPr="001D41EA" w:rsidRDefault="00953130" w:rsidP="001D41EA">
            <w:pPr>
              <w:spacing w:before="40" w:after="40"/>
              <w:jc w:val="right"/>
              <w:rPr>
                <w:rFonts w:cs="Arial"/>
                <w:sz w:val="18"/>
                <w:szCs w:val="18"/>
              </w:rPr>
            </w:pPr>
            <w:r w:rsidRPr="001D41EA">
              <w:rPr>
                <w:rFonts w:cs="Arial"/>
                <w:sz w:val="18"/>
                <w:szCs w:val="18"/>
              </w:rPr>
              <w:t>130,237</w:t>
            </w:r>
          </w:p>
        </w:tc>
        <w:tc>
          <w:tcPr>
            <w:tcW w:w="1134" w:type="dxa"/>
            <w:tcBorders>
              <w:top w:val="nil"/>
              <w:left w:val="nil"/>
              <w:bottom w:val="nil"/>
              <w:right w:val="nil"/>
            </w:tcBorders>
            <w:vAlign w:val="bottom"/>
          </w:tcPr>
          <w:p w14:paraId="6DB448F0" w14:textId="52EFCC07" w:rsidR="00953130" w:rsidRPr="001D41EA" w:rsidRDefault="00953130" w:rsidP="001D41EA">
            <w:pPr>
              <w:spacing w:before="40" w:after="40"/>
              <w:jc w:val="right"/>
              <w:rPr>
                <w:rFonts w:cs="Arial"/>
                <w:sz w:val="18"/>
                <w:szCs w:val="18"/>
              </w:rPr>
            </w:pPr>
            <w:r w:rsidRPr="001D41EA">
              <w:rPr>
                <w:rFonts w:cs="Arial"/>
                <w:sz w:val="18"/>
                <w:szCs w:val="18"/>
              </w:rPr>
              <w:t>35,703</w:t>
            </w:r>
          </w:p>
        </w:tc>
        <w:tc>
          <w:tcPr>
            <w:tcW w:w="1134" w:type="dxa"/>
            <w:tcBorders>
              <w:top w:val="nil"/>
              <w:left w:val="nil"/>
              <w:bottom w:val="nil"/>
              <w:right w:val="nil"/>
            </w:tcBorders>
            <w:shd w:val="clear" w:color="auto" w:fill="auto"/>
            <w:vAlign w:val="bottom"/>
          </w:tcPr>
          <w:p w14:paraId="385F1786" w14:textId="5473115E" w:rsidR="00953130" w:rsidRPr="001D41EA" w:rsidRDefault="00953130" w:rsidP="001D41EA">
            <w:pPr>
              <w:spacing w:before="40" w:after="40"/>
              <w:jc w:val="right"/>
              <w:rPr>
                <w:rFonts w:cs="Arial"/>
                <w:sz w:val="18"/>
                <w:szCs w:val="18"/>
              </w:rPr>
            </w:pPr>
            <w:r w:rsidRPr="001D41EA">
              <w:rPr>
                <w:rFonts w:cs="Arial"/>
                <w:sz w:val="18"/>
                <w:szCs w:val="18"/>
              </w:rPr>
              <w:t>51,146</w:t>
            </w:r>
          </w:p>
        </w:tc>
      </w:tr>
      <w:tr w:rsidR="00953130" w:rsidRPr="001D41EA" w14:paraId="48C6B2B4"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771579C" w14:textId="77777777" w:rsidR="00953130" w:rsidRPr="001D41EA" w:rsidRDefault="00953130" w:rsidP="001D41EA">
            <w:pPr>
              <w:spacing w:before="40" w:after="40"/>
              <w:rPr>
                <w:rFonts w:cs="Arial"/>
                <w:sz w:val="18"/>
                <w:szCs w:val="18"/>
              </w:rPr>
            </w:pPr>
            <w:r w:rsidRPr="001D41EA">
              <w:rPr>
                <w:rFonts w:cs="Arial"/>
                <w:sz w:val="18"/>
                <w:szCs w:val="18"/>
              </w:rPr>
              <w:t>Bass Coast S</w:t>
            </w:r>
          </w:p>
        </w:tc>
        <w:tc>
          <w:tcPr>
            <w:tcW w:w="1134" w:type="dxa"/>
            <w:tcBorders>
              <w:top w:val="nil"/>
              <w:left w:val="single" w:sz="18" w:space="0" w:color="5F497A" w:themeColor="accent4" w:themeShade="BF"/>
              <w:bottom w:val="nil"/>
              <w:right w:val="nil"/>
            </w:tcBorders>
            <w:shd w:val="clear" w:color="auto" w:fill="auto"/>
            <w:vAlign w:val="bottom"/>
          </w:tcPr>
          <w:p w14:paraId="523AE70B" w14:textId="5D6E2168" w:rsidR="00953130" w:rsidRPr="001D41EA" w:rsidRDefault="00953130" w:rsidP="001D41EA">
            <w:pPr>
              <w:spacing w:before="40" w:after="40"/>
              <w:jc w:val="right"/>
              <w:rPr>
                <w:rFonts w:cs="Arial"/>
                <w:sz w:val="18"/>
                <w:szCs w:val="18"/>
              </w:rPr>
            </w:pPr>
            <w:r w:rsidRPr="001D41EA">
              <w:rPr>
                <w:rFonts w:cs="Arial"/>
                <w:sz w:val="18"/>
                <w:szCs w:val="18"/>
              </w:rPr>
              <w:t>35,327</w:t>
            </w:r>
          </w:p>
        </w:tc>
        <w:tc>
          <w:tcPr>
            <w:tcW w:w="1134" w:type="dxa"/>
            <w:tcBorders>
              <w:top w:val="nil"/>
              <w:left w:val="nil"/>
              <w:bottom w:val="nil"/>
              <w:right w:val="nil"/>
            </w:tcBorders>
            <w:vAlign w:val="bottom"/>
          </w:tcPr>
          <w:p w14:paraId="38BE7613" w14:textId="65047FF3" w:rsidR="00953130" w:rsidRPr="001D41EA" w:rsidRDefault="00953130" w:rsidP="001D41EA">
            <w:pPr>
              <w:spacing w:before="40" w:after="40"/>
              <w:jc w:val="right"/>
              <w:rPr>
                <w:rFonts w:cs="Arial"/>
                <w:sz w:val="18"/>
                <w:szCs w:val="18"/>
              </w:rPr>
            </w:pPr>
            <w:r w:rsidRPr="001D41EA">
              <w:rPr>
                <w:rFonts w:cs="Arial"/>
                <w:sz w:val="18"/>
                <w:szCs w:val="18"/>
              </w:rPr>
              <w:t>45,891</w:t>
            </w:r>
          </w:p>
        </w:tc>
        <w:tc>
          <w:tcPr>
            <w:tcW w:w="1134" w:type="dxa"/>
            <w:tcBorders>
              <w:top w:val="nil"/>
              <w:left w:val="nil"/>
              <w:bottom w:val="nil"/>
              <w:right w:val="nil"/>
            </w:tcBorders>
            <w:vAlign w:val="bottom"/>
          </w:tcPr>
          <w:p w14:paraId="6D9018DD" w14:textId="78AD8010" w:rsidR="00953130" w:rsidRPr="001D41EA" w:rsidRDefault="00953130" w:rsidP="001D41EA">
            <w:pPr>
              <w:spacing w:before="40" w:after="40"/>
              <w:jc w:val="right"/>
              <w:rPr>
                <w:rFonts w:cs="Arial"/>
                <w:sz w:val="18"/>
                <w:szCs w:val="18"/>
              </w:rPr>
            </w:pPr>
            <w:r w:rsidRPr="001D41EA">
              <w:rPr>
                <w:rFonts w:cs="Arial"/>
                <w:sz w:val="18"/>
                <w:szCs w:val="18"/>
              </w:rPr>
              <w:t>45,891</w:t>
            </w:r>
          </w:p>
        </w:tc>
        <w:tc>
          <w:tcPr>
            <w:tcW w:w="1134" w:type="dxa"/>
            <w:tcBorders>
              <w:top w:val="nil"/>
              <w:left w:val="nil"/>
              <w:bottom w:val="nil"/>
              <w:right w:val="nil"/>
            </w:tcBorders>
            <w:shd w:val="clear" w:color="auto" w:fill="auto"/>
            <w:vAlign w:val="bottom"/>
          </w:tcPr>
          <w:p w14:paraId="7DC49203" w14:textId="3316F082" w:rsidR="00953130" w:rsidRPr="001D41EA" w:rsidRDefault="00953130" w:rsidP="001D41EA">
            <w:pPr>
              <w:spacing w:before="40" w:after="40"/>
              <w:jc w:val="right"/>
              <w:rPr>
                <w:rFonts w:cs="Arial"/>
                <w:sz w:val="18"/>
                <w:szCs w:val="18"/>
              </w:rPr>
            </w:pPr>
            <w:r w:rsidRPr="001D41EA">
              <w:rPr>
                <w:rFonts w:cs="Arial"/>
                <w:sz w:val="18"/>
                <w:szCs w:val="18"/>
              </w:rPr>
              <w:t>45,891</w:t>
            </w:r>
          </w:p>
        </w:tc>
        <w:tc>
          <w:tcPr>
            <w:tcW w:w="1134" w:type="dxa"/>
            <w:tcBorders>
              <w:top w:val="nil"/>
              <w:left w:val="nil"/>
              <w:bottom w:val="nil"/>
              <w:right w:val="nil"/>
            </w:tcBorders>
            <w:vAlign w:val="bottom"/>
          </w:tcPr>
          <w:p w14:paraId="7922787E" w14:textId="12156719" w:rsidR="00953130" w:rsidRPr="001D41EA" w:rsidRDefault="00953130" w:rsidP="001D41EA">
            <w:pPr>
              <w:spacing w:before="40" w:after="40"/>
              <w:jc w:val="right"/>
              <w:rPr>
                <w:rFonts w:cs="Arial"/>
                <w:sz w:val="18"/>
                <w:szCs w:val="18"/>
              </w:rPr>
            </w:pPr>
            <w:r w:rsidRPr="001D41EA">
              <w:rPr>
                <w:rFonts w:cs="Arial"/>
                <w:sz w:val="18"/>
                <w:szCs w:val="18"/>
              </w:rPr>
              <w:t>15,205</w:t>
            </w:r>
          </w:p>
        </w:tc>
        <w:tc>
          <w:tcPr>
            <w:tcW w:w="1134" w:type="dxa"/>
            <w:tcBorders>
              <w:top w:val="nil"/>
              <w:left w:val="nil"/>
              <w:bottom w:val="nil"/>
              <w:right w:val="nil"/>
            </w:tcBorders>
            <w:shd w:val="clear" w:color="auto" w:fill="auto"/>
            <w:vAlign w:val="bottom"/>
          </w:tcPr>
          <w:p w14:paraId="3A758045" w14:textId="5A20E294" w:rsidR="00953130" w:rsidRPr="001D41EA" w:rsidRDefault="00953130" w:rsidP="001D41EA">
            <w:pPr>
              <w:spacing w:before="40" w:after="40"/>
              <w:jc w:val="right"/>
              <w:rPr>
                <w:rFonts w:cs="Arial"/>
                <w:sz w:val="18"/>
                <w:szCs w:val="18"/>
              </w:rPr>
            </w:pPr>
            <w:r w:rsidRPr="001D41EA">
              <w:rPr>
                <w:rFonts w:cs="Arial"/>
                <w:sz w:val="18"/>
                <w:szCs w:val="18"/>
              </w:rPr>
              <w:t>27,333</w:t>
            </w:r>
          </w:p>
        </w:tc>
      </w:tr>
      <w:tr w:rsidR="00953130" w:rsidRPr="001D41EA" w14:paraId="3695C85B"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9C282DA" w14:textId="77777777" w:rsidR="00953130" w:rsidRPr="001D41EA" w:rsidRDefault="00953130" w:rsidP="001D41EA">
            <w:pPr>
              <w:spacing w:before="40" w:after="40"/>
              <w:rPr>
                <w:rFonts w:cs="Arial"/>
                <w:sz w:val="18"/>
                <w:szCs w:val="18"/>
              </w:rPr>
            </w:pPr>
            <w:r w:rsidRPr="001D41EA">
              <w:rPr>
                <w:rFonts w:cs="Arial"/>
                <w:sz w:val="18"/>
                <w:szCs w:val="18"/>
              </w:rPr>
              <w:t>Baw Baw S</w:t>
            </w:r>
          </w:p>
        </w:tc>
        <w:tc>
          <w:tcPr>
            <w:tcW w:w="1134" w:type="dxa"/>
            <w:tcBorders>
              <w:top w:val="nil"/>
              <w:left w:val="single" w:sz="18" w:space="0" w:color="5F497A" w:themeColor="accent4" w:themeShade="BF"/>
              <w:bottom w:val="nil"/>
              <w:right w:val="nil"/>
            </w:tcBorders>
            <w:shd w:val="clear" w:color="auto" w:fill="auto"/>
            <w:vAlign w:val="bottom"/>
          </w:tcPr>
          <w:p w14:paraId="0622A869" w14:textId="3AA11FF5" w:rsidR="00953130" w:rsidRPr="001D41EA" w:rsidRDefault="00953130" w:rsidP="001D41EA">
            <w:pPr>
              <w:spacing w:before="40" w:after="40"/>
              <w:jc w:val="right"/>
              <w:rPr>
                <w:rFonts w:cs="Arial"/>
                <w:sz w:val="18"/>
                <w:szCs w:val="18"/>
              </w:rPr>
            </w:pPr>
            <w:r w:rsidRPr="001D41EA">
              <w:rPr>
                <w:rFonts w:cs="Arial"/>
                <w:sz w:val="18"/>
                <w:szCs w:val="18"/>
              </w:rPr>
              <w:t>52,111</w:t>
            </w:r>
          </w:p>
        </w:tc>
        <w:tc>
          <w:tcPr>
            <w:tcW w:w="1134" w:type="dxa"/>
            <w:tcBorders>
              <w:top w:val="nil"/>
              <w:left w:val="nil"/>
              <w:bottom w:val="nil"/>
              <w:right w:val="nil"/>
            </w:tcBorders>
            <w:vAlign w:val="bottom"/>
          </w:tcPr>
          <w:p w14:paraId="7AA374FF" w14:textId="5253CBD3" w:rsidR="00953130" w:rsidRPr="001D41EA" w:rsidRDefault="00953130" w:rsidP="001D41EA">
            <w:pPr>
              <w:spacing w:before="40" w:after="40"/>
              <w:jc w:val="right"/>
              <w:rPr>
                <w:rFonts w:cs="Arial"/>
                <w:sz w:val="18"/>
                <w:szCs w:val="18"/>
              </w:rPr>
            </w:pPr>
            <w:r w:rsidRPr="001D41EA">
              <w:rPr>
                <w:rFonts w:cs="Arial"/>
                <w:sz w:val="18"/>
                <w:szCs w:val="18"/>
              </w:rPr>
              <w:t>52,111</w:t>
            </w:r>
          </w:p>
        </w:tc>
        <w:tc>
          <w:tcPr>
            <w:tcW w:w="1134" w:type="dxa"/>
            <w:tcBorders>
              <w:top w:val="nil"/>
              <w:left w:val="nil"/>
              <w:bottom w:val="nil"/>
              <w:right w:val="nil"/>
            </w:tcBorders>
            <w:vAlign w:val="bottom"/>
          </w:tcPr>
          <w:p w14:paraId="22633444" w14:textId="73BF44FA" w:rsidR="00953130" w:rsidRPr="001D41EA" w:rsidRDefault="00953130" w:rsidP="001D41EA">
            <w:pPr>
              <w:spacing w:before="40" w:after="40"/>
              <w:jc w:val="right"/>
              <w:rPr>
                <w:rFonts w:cs="Arial"/>
                <w:sz w:val="18"/>
                <w:szCs w:val="18"/>
              </w:rPr>
            </w:pPr>
            <w:r w:rsidRPr="001D41EA">
              <w:rPr>
                <w:rFonts w:cs="Arial"/>
                <w:sz w:val="18"/>
                <w:szCs w:val="18"/>
              </w:rPr>
              <w:t>52,111</w:t>
            </w:r>
          </w:p>
        </w:tc>
        <w:tc>
          <w:tcPr>
            <w:tcW w:w="1134" w:type="dxa"/>
            <w:tcBorders>
              <w:top w:val="nil"/>
              <w:left w:val="nil"/>
              <w:bottom w:val="nil"/>
              <w:right w:val="nil"/>
            </w:tcBorders>
            <w:shd w:val="clear" w:color="auto" w:fill="auto"/>
            <w:vAlign w:val="bottom"/>
          </w:tcPr>
          <w:p w14:paraId="6BCC44F5" w14:textId="0BC6172C" w:rsidR="00953130" w:rsidRPr="001D41EA" w:rsidRDefault="00953130" w:rsidP="001D41EA">
            <w:pPr>
              <w:spacing w:before="40" w:after="40"/>
              <w:jc w:val="right"/>
              <w:rPr>
                <w:rFonts w:cs="Arial"/>
                <w:sz w:val="18"/>
                <w:szCs w:val="18"/>
              </w:rPr>
            </w:pPr>
            <w:r w:rsidRPr="001D41EA">
              <w:rPr>
                <w:rFonts w:cs="Arial"/>
                <w:sz w:val="18"/>
                <w:szCs w:val="18"/>
              </w:rPr>
              <w:t>52,111</w:t>
            </w:r>
          </w:p>
        </w:tc>
        <w:tc>
          <w:tcPr>
            <w:tcW w:w="1134" w:type="dxa"/>
            <w:tcBorders>
              <w:top w:val="nil"/>
              <w:left w:val="nil"/>
              <w:bottom w:val="nil"/>
              <w:right w:val="nil"/>
            </w:tcBorders>
            <w:vAlign w:val="bottom"/>
          </w:tcPr>
          <w:p w14:paraId="167E619E" w14:textId="49739946" w:rsidR="00953130" w:rsidRPr="001D41EA" w:rsidRDefault="00953130" w:rsidP="001D41EA">
            <w:pPr>
              <w:spacing w:before="40" w:after="40"/>
              <w:jc w:val="right"/>
              <w:rPr>
                <w:rFonts w:cs="Arial"/>
                <w:sz w:val="18"/>
                <w:szCs w:val="18"/>
              </w:rPr>
            </w:pPr>
            <w:r w:rsidRPr="001D41EA">
              <w:rPr>
                <w:rFonts w:cs="Arial"/>
                <w:sz w:val="18"/>
                <w:szCs w:val="18"/>
              </w:rPr>
              <w:t>16,884</w:t>
            </w:r>
          </w:p>
        </w:tc>
        <w:tc>
          <w:tcPr>
            <w:tcW w:w="1134" w:type="dxa"/>
            <w:tcBorders>
              <w:top w:val="nil"/>
              <w:left w:val="nil"/>
              <w:bottom w:val="nil"/>
              <w:right w:val="nil"/>
            </w:tcBorders>
            <w:shd w:val="clear" w:color="auto" w:fill="auto"/>
            <w:vAlign w:val="bottom"/>
          </w:tcPr>
          <w:p w14:paraId="0973B28F" w14:textId="72CBE54C" w:rsidR="00953130" w:rsidRPr="001D41EA" w:rsidRDefault="00953130" w:rsidP="001D41EA">
            <w:pPr>
              <w:spacing w:before="40" w:after="40"/>
              <w:jc w:val="right"/>
              <w:rPr>
                <w:rFonts w:cs="Arial"/>
                <w:sz w:val="18"/>
                <w:szCs w:val="18"/>
              </w:rPr>
            </w:pPr>
            <w:r w:rsidRPr="001D41EA">
              <w:rPr>
                <w:rFonts w:cs="Arial"/>
                <w:sz w:val="18"/>
                <w:szCs w:val="18"/>
              </w:rPr>
              <w:t>22,184</w:t>
            </w:r>
          </w:p>
        </w:tc>
      </w:tr>
      <w:tr w:rsidR="00953130" w:rsidRPr="001D41EA" w14:paraId="33FDCE80"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B340B93" w14:textId="77777777" w:rsidR="00953130" w:rsidRPr="001D41EA" w:rsidRDefault="00953130" w:rsidP="001D41EA">
            <w:pPr>
              <w:spacing w:before="40" w:after="40"/>
              <w:rPr>
                <w:rFonts w:cs="Arial"/>
                <w:sz w:val="18"/>
                <w:szCs w:val="18"/>
              </w:rPr>
            </w:pPr>
            <w:r w:rsidRPr="001D41EA">
              <w:rPr>
                <w:rFonts w:cs="Arial"/>
                <w:sz w:val="18"/>
                <w:szCs w:val="18"/>
              </w:rPr>
              <w:t>Bayside C</w:t>
            </w:r>
          </w:p>
        </w:tc>
        <w:tc>
          <w:tcPr>
            <w:tcW w:w="1134" w:type="dxa"/>
            <w:tcBorders>
              <w:top w:val="nil"/>
              <w:left w:val="single" w:sz="18" w:space="0" w:color="5F497A" w:themeColor="accent4" w:themeShade="BF"/>
              <w:bottom w:val="nil"/>
              <w:right w:val="nil"/>
            </w:tcBorders>
            <w:shd w:val="clear" w:color="auto" w:fill="auto"/>
            <w:vAlign w:val="bottom"/>
          </w:tcPr>
          <w:p w14:paraId="06ACC8F1" w14:textId="132890C5" w:rsidR="00953130" w:rsidRPr="001D41EA" w:rsidRDefault="00953130" w:rsidP="001D41EA">
            <w:pPr>
              <w:spacing w:before="40" w:after="40"/>
              <w:jc w:val="right"/>
              <w:rPr>
                <w:rFonts w:cs="Arial"/>
                <w:sz w:val="18"/>
                <w:szCs w:val="18"/>
              </w:rPr>
            </w:pPr>
            <w:r w:rsidRPr="001D41EA">
              <w:rPr>
                <w:rFonts w:cs="Arial"/>
                <w:sz w:val="18"/>
                <w:szCs w:val="18"/>
              </w:rPr>
              <w:t>105,718</w:t>
            </w:r>
          </w:p>
        </w:tc>
        <w:tc>
          <w:tcPr>
            <w:tcW w:w="1134" w:type="dxa"/>
            <w:tcBorders>
              <w:top w:val="nil"/>
              <w:left w:val="nil"/>
              <w:bottom w:val="nil"/>
              <w:right w:val="nil"/>
            </w:tcBorders>
            <w:vAlign w:val="bottom"/>
          </w:tcPr>
          <w:p w14:paraId="2DA5846B" w14:textId="1646884C" w:rsidR="00953130" w:rsidRPr="001D41EA" w:rsidRDefault="00953130" w:rsidP="001D41EA">
            <w:pPr>
              <w:spacing w:before="40" w:after="40"/>
              <w:jc w:val="right"/>
              <w:rPr>
                <w:rFonts w:cs="Arial"/>
                <w:sz w:val="18"/>
                <w:szCs w:val="18"/>
              </w:rPr>
            </w:pPr>
            <w:r w:rsidRPr="001D41EA">
              <w:rPr>
                <w:rFonts w:cs="Arial"/>
                <w:sz w:val="18"/>
                <w:szCs w:val="18"/>
              </w:rPr>
              <w:t>105,718</w:t>
            </w:r>
          </w:p>
        </w:tc>
        <w:tc>
          <w:tcPr>
            <w:tcW w:w="1134" w:type="dxa"/>
            <w:tcBorders>
              <w:top w:val="nil"/>
              <w:left w:val="nil"/>
              <w:bottom w:val="nil"/>
              <w:right w:val="nil"/>
            </w:tcBorders>
            <w:vAlign w:val="bottom"/>
          </w:tcPr>
          <w:p w14:paraId="650DD5A5" w14:textId="2AE77DF6" w:rsidR="00953130" w:rsidRPr="001D41EA" w:rsidRDefault="00953130" w:rsidP="001D41EA">
            <w:pPr>
              <w:spacing w:before="40" w:after="40"/>
              <w:jc w:val="right"/>
              <w:rPr>
                <w:rFonts w:cs="Arial"/>
                <w:sz w:val="18"/>
                <w:szCs w:val="18"/>
              </w:rPr>
            </w:pPr>
            <w:r w:rsidRPr="001D41EA">
              <w:rPr>
                <w:rFonts w:cs="Arial"/>
                <w:sz w:val="18"/>
                <w:szCs w:val="18"/>
              </w:rPr>
              <w:t>105,718</w:t>
            </w:r>
          </w:p>
        </w:tc>
        <w:tc>
          <w:tcPr>
            <w:tcW w:w="1134" w:type="dxa"/>
            <w:tcBorders>
              <w:top w:val="nil"/>
              <w:left w:val="nil"/>
              <w:bottom w:val="nil"/>
              <w:right w:val="nil"/>
            </w:tcBorders>
            <w:shd w:val="clear" w:color="auto" w:fill="auto"/>
            <w:vAlign w:val="bottom"/>
          </w:tcPr>
          <w:p w14:paraId="41D5BF8F" w14:textId="0DD8229B" w:rsidR="00953130" w:rsidRPr="001D41EA" w:rsidRDefault="00953130" w:rsidP="001D41EA">
            <w:pPr>
              <w:spacing w:before="40" w:after="40"/>
              <w:jc w:val="right"/>
              <w:rPr>
                <w:rFonts w:cs="Arial"/>
                <w:sz w:val="18"/>
                <w:szCs w:val="18"/>
              </w:rPr>
            </w:pPr>
            <w:r w:rsidRPr="001D41EA">
              <w:rPr>
                <w:rFonts w:cs="Arial"/>
                <w:sz w:val="18"/>
                <w:szCs w:val="18"/>
              </w:rPr>
              <w:t>105,718</w:t>
            </w:r>
          </w:p>
        </w:tc>
        <w:tc>
          <w:tcPr>
            <w:tcW w:w="1134" w:type="dxa"/>
            <w:tcBorders>
              <w:top w:val="nil"/>
              <w:left w:val="nil"/>
              <w:bottom w:val="nil"/>
              <w:right w:val="nil"/>
            </w:tcBorders>
            <w:vAlign w:val="bottom"/>
          </w:tcPr>
          <w:p w14:paraId="40229DC0" w14:textId="37B45ECA" w:rsidR="00953130" w:rsidRPr="001D41EA" w:rsidRDefault="00953130" w:rsidP="001D41EA">
            <w:pPr>
              <w:spacing w:before="40" w:after="40"/>
              <w:jc w:val="right"/>
              <w:rPr>
                <w:rFonts w:cs="Arial"/>
                <w:sz w:val="18"/>
                <w:szCs w:val="18"/>
              </w:rPr>
            </w:pPr>
            <w:r w:rsidRPr="001D41EA">
              <w:rPr>
                <w:rFonts w:cs="Arial"/>
                <w:sz w:val="18"/>
                <w:szCs w:val="18"/>
              </w:rPr>
              <w:t>29,204</w:t>
            </w:r>
          </w:p>
        </w:tc>
        <w:tc>
          <w:tcPr>
            <w:tcW w:w="1134" w:type="dxa"/>
            <w:tcBorders>
              <w:top w:val="nil"/>
              <w:left w:val="nil"/>
              <w:bottom w:val="nil"/>
              <w:right w:val="nil"/>
            </w:tcBorders>
            <w:shd w:val="clear" w:color="auto" w:fill="auto"/>
            <w:vAlign w:val="bottom"/>
          </w:tcPr>
          <w:p w14:paraId="0B0AAF90" w14:textId="1DA533FE" w:rsidR="00953130" w:rsidRPr="001D41EA" w:rsidRDefault="00953130" w:rsidP="001D41EA">
            <w:pPr>
              <w:spacing w:before="40" w:after="40"/>
              <w:jc w:val="right"/>
              <w:rPr>
                <w:rFonts w:cs="Arial"/>
                <w:sz w:val="18"/>
                <w:szCs w:val="18"/>
              </w:rPr>
            </w:pPr>
            <w:r w:rsidRPr="001D41EA">
              <w:rPr>
                <w:rFonts w:cs="Arial"/>
                <w:sz w:val="18"/>
                <w:szCs w:val="18"/>
              </w:rPr>
              <w:t>42,222</w:t>
            </w:r>
          </w:p>
        </w:tc>
      </w:tr>
      <w:tr w:rsidR="00953130" w:rsidRPr="001D41EA" w14:paraId="1D3CAE97"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AE7DE44" w14:textId="77777777" w:rsidR="00953130" w:rsidRPr="001D41EA" w:rsidRDefault="00953130" w:rsidP="001D41EA">
            <w:pPr>
              <w:spacing w:before="40" w:after="40"/>
              <w:rPr>
                <w:rFonts w:cs="Arial"/>
                <w:sz w:val="18"/>
                <w:szCs w:val="18"/>
              </w:rPr>
            </w:pPr>
            <w:r w:rsidRPr="001D41EA">
              <w:rPr>
                <w:rFonts w:cs="Arial"/>
                <w:sz w:val="18"/>
                <w:szCs w:val="18"/>
              </w:rPr>
              <w:t>Benalla RC</w:t>
            </w:r>
          </w:p>
        </w:tc>
        <w:tc>
          <w:tcPr>
            <w:tcW w:w="1134" w:type="dxa"/>
            <w:tcBorders>
              <w:top w:val="nil"/>
              <w:left w:val="single" w:sz="18" w:space="0" w:color="5F497A" w:themeColor="accent4" w:themeShade="BF"/>
              <w:bottom w:val="nil"/>
              <w:right w:val="nil"/>
            </w:tcBorders>
            <w:shd w:val="clear" w:color="auto" w:fill="auto"/>
            <w:vAlign w:val="bottom"/>
          </w:tcPr>
          <w:p w14:paraId="1C46A169" w14:textId="65C84B1F" w:rsidR="00953130" w:rsidRPr="001D41EA" w:rsidRDefault="00953130" w:rsidP="001D41EA">
            <w:pPr>
              <w:spacing w:before="40" w:after="40"/>
              <w:jc w:val="right"/>
              <w:rPr>
                <w:rFonts w:cs="Arial"/>
                <w:sz w:val="18"/>
                <w:szCs w:val="18"/>
              </w:rPr>
            </w:pPr>
            <w:r w:rsidRPr="001D41EA">
              <w:rPr>
                <w:rFonts w:cs="Arial"/>
                <w:sz w:val="18"/>
                <w:szCs w:val="18"/>
              </w:rPr>
              <w:t>14,024</w:t>
            </w:r>
          </w:p>
        </w:tc>
        <w:tc>
          <w:tcPr>
            <w:tcW w:w="1134" w:type="dxa"/>
            <w:tcBorders>
              <w:top w:val="nil"/>
              <w:left w:val="nil"/>
              <w:bottom w:val="nil"/>
              <w:right w:val="nil"/>
            </w:tcBorders>
            <w:vAlign w:val="bottom"/>
          </w:tcPr>
          <w:p w14:paraId="5CAAF04A" w14:textId="4FF6D8C6" w:rsidR="00953130" w:rsidRPr="001D41EA" w:rsidRDefault="00953130" w:rsidP="001D41EA">
            <w:pPr>
              <w:spacing w:before="40" w:after="40"/>
              <w:jc w:val="right"/>
              <w:rPr>
                <w:rFonts w:cs="Arial"/>
                <w:sz w:val="18"/>
                <w:szCs w:val="18"/>
              </w:rPr>
            </w:pPr>
            <w:r w:rsidRPr="001D41EA">
              <w:rPr>
                <w:rFonts w:cs="Arial"/>
                <w:sz w:val="18"/>
                <w:szCs w:val="18"/>
              </w:rPr>
              <w:t>15,000</w:t>
            </w:r>
          </w:p>
        </w:tc>
        <w:tc>
          <w:tcPr>
            <w:tcW w:w="1134" w:type="dxa"/>
            <w:tcBorders>
              <w:top w:val="nil"/>
              <w:left w:val="nil"/>
              <w:bottom w:val="nil"/>
              <w:right w:val="nil"/>
            </w:tcBorders>
            <w:vAlign w:val="bottom"/>
          </w:tcPr>
          <w:p w14:paraId="059DC460" w14:textId="4BE70F14" w:rsidR="00953130" w:rsidRPr="001D41EA" w:rsidRDefault="00953130" w:rsidP="001D41EA">
            <w:pPr>
              <w:spacing w:before="40" w:after="40"/>
              <w:jc w:val="right"/>
              <w:rPr>
                <w:rFonts w:cs="Arial"/>
                <w:sz w:val="18"/>
                <w:szCs w:val="18"/>
              </w:rPr>
            </w:pPr>
            <w:r w:rsidRPr="001D41EA">
              <w:rPr>
                <w:rFonts w:cs="Arial"/>
                <w:sz w:val="18"/>
                <w:szCs w:val="18"/>
              </w:rPr>
              <w:t>20,000</w:t>
            </w:r>
          </w:p>
        </w:tc>
        <w:tc>
          <w:tcPr>
            <w:tcW w:w="1134" w:type="dxa"/>
            <w:tcBorders>
              <w:top w:val="nil"/>
              <w:left w:val="nil"/>
              <w:bottom w:val="nil"/>
              <w:right w:val="nil"/>
            </w:tcBorders>
            <w:shd w:val="clear" w:color="auto" w:fill="auto"/>
            <w:vAlign w:val="bottom"/>
          </w:tcPr>
          <w:p w14:paraId="24D13B19" w14:textId="7A3A425C" w:rsidR="00953130" w:rsidRPr="001D41EA" w:rsidRDefault="00953130" w:rsidP="001D41EA">
            <w:pPr>
              <w:spacing w:before="40" w:after="40"/>
              <w:jc w:val="right"/>
              <w:rPr>
                <w:rFonts w:cs="Arial"/>
                <w:sz w:val="18"/>
                <w:szCs w:val="18"/>
              </w:rPr>
            </w:pPr>
            <w:r w:rsidRPr="001D41EA">
              <w:rPr>
                <w:rFonts w:cs="Arial"/>
                <w:sz w:val="18"/>
                <w:szCs w:val="18"/>
              </w:rPr>
              <w:t>14,056</w:t>
            </w:r>
          </w:p>
        </w:tc>
        <w:tc>
          <w:tcPr>
            <w:tcW w:w="1134" w:type="dxa"/>
            <w:tcBorders>
              <w:top w:val="nil"/>
              <w:left w:val="nil"/>
              <w:bottom w:val="nil"/>
              <w:right w:val="nil"/>
            </w:tcBorders>
            <w:vAlign w:val="bottom"/>
          </w:tcPr>
          <w:p w14:paraId="09D4FD5C" w14:textId="2810CA4B" w:rsidR="00953130" w:rsidRPr="001D41EA" w:rsidRDefault="00953130" w:rsidP="001D41EA">
            <w:pPr>
              <w:spacing w:before="40" w:after="40"/>
              <w:jc w:val="right"/>
              <w:rPr>
                <w:rFonts w:cs="Arial"/>
                <w:sz w:val="18"/>
                <w:szCs w:val="18"/>
              </w:rPr>
            </w:pPr>
            <w:r w:rsidRPr="001D41EA">
              <w:rPr>
                <w:rFonts w:cs="Arial"/>
                <w:sz w:val="18"/>
                <w:szCs w:val="18"/>
              </w:rPr>
              <w:t>5,950</w:t>
            </w:r>
          </w:p>
        </w:tc>
        <w:tc>
          <w:tcPr>
            <w:tcW w:w="1134" w:type="dxa"/>
            <w:tcBorders>
              <w:top w:val="nil"/>
              <w:left w:val="nil"/>
              <w:bottom w:val="nil"/>
              <w:right w:val="nil"/>
            </w:tcBorders>
            <w:shd w:val="clear" w:color="auto" w:fill="auto"/>
            <w:vAlign w:val="bottom"/>
          </w:tcPr>
          <w:p w14:paraId="4B086CA4" w14:textId="272D774A" w:rsidR="00953130" w:rsidRPr="001D41EA" w:rsidRDefault="00953130" w:rsidP="001D41EA">
            <w:pPr>
              <w:spacing w:before="40" w:after="40"/>
              <w:jc w:val="right"/>
              <w:rPr>
                <w:rFonts w:cs="Arial"/>
                <w:sz w:val="18"/>
                <w:szCs w:val="18"/>
              </w:rPr>
            </w:pPr>
            <w:r w:rsidRPr="001D41EA">
              <w:rPr>
                <w:rFonts w:cs="Arial"/>
                <w:sz w:val="18"/>
                <w:szCs w:val="18"/>
              </w:rPr>
              <w:t>6,820</w:t>
            </w:r>
          </w:p>
        </w:tc>
      </w:tr>
      <w:tr w:rsidR="00953130" w:rsidRPr="001D41EA" w14:paraId="0BEBB3E1"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3C02969F" w14:textId="77777777" w:rsidR="00953130" w:rsidRPr="001D41EA" w:rsidRDefault="00953130" w:rsidP="001D41EA">
            <w:pPr>
              <w:spacing w:before="40" w:after="40"/>
              <w:rPr>
                <w:rFonts w:cs="Arial"/>
                <w:sz w:val="18"/>
                <w:szCs w:val="18"/>
              </w:rPr>
            </w:pPr>
            <w:r w:rsidRPr="001D41EA">
              <w:rPr>
                <w:rFonts w:cs="Arial"/>
                <w:sz w:val="18"/>
                <w:szCs w:val="18"/>
              </w:rPr>
              <w:t>Boroondara C</w:t>
            </w:r>
          </w:p>
        </w:tc>
        <w:tc>
          <w:tcPr>
            <w:tcW w:w="1134" w:type="dxa"/>
            <w:tcBorders>
              <w:top w:val="nil"/>
              <w:left w:val="single" w:sz="18" w:space="0" w:color="5F497A" w:themeColor="accent4" w:themeShade="BF"/>
              <w:bottom w:val="nil"/>
              <w:right w:val="nil"/>
            </w:tcBorders>
            <w:shd w:val="clear" w:color="auto" w:fill="auto"/>
            <w:vAlign w:val="bottom"/>
          </w:tcPr>
          <w:p w14:paraId="4A591B57" w14:textId="164615C5" w:rsidR="00953130" w:rsidRPr="001D41EA" w:rsidRDefault="00953130" w:rsidP="001D41EA">
            <w:pPr>
              <w:spacing w:before="40" w:after="40"/>
              <w:jc w:val="right"/>
              <w:rPr>
                <w:rFonts w:cs="Arial"/>
                <w:sz w:val="18"/>
                <w:szCs w:val="18"/>
              </w:rPr>
            </w:pPr>
            <w:r w:rsidRPr="001D41EA">
              <w:rPr>
                <w:rFonts w:cs="Arial"/>
                <w:sz w:val="18"/>
                <w:szCs w:val="18"/>
              </w:rPr>
              <w:t>181,289</w:t>
            </w:r>
          </w:p>
        </w:tc>
        <w:tc>
          <w:tcPr>
            <w:tcW w:w="1134" w:type="dxa"/>
            <w:tcBorders>
              <w:top w:val="nil"/>
              <w:left w:val="nil"/>
              <w:bottom w:val="nil"/>
              <w:right w:val="nil"/>
            </w:tcBorders>
            <w:vAlign w:val="bottom"/>
          </w:tcPr>
          <w:p w14:paraId="577AC0AE" w14:textId="19BDEFC6" w:rsidR="00953130" w:rsidRPr="001D41EA" w:rsidRDefault="00953130" w:rsidP="001D41EA">
            <w:pPr>
              <w:spacing w:before="40" w:after="40"/>
              <w:jc w:val="right"/>
              <w:rPr>
                <w:rFonts w:cs="Arial"/>
                <w:sz w:val="18"/>
                <w:szCs w:val="18"/>
              </w:rPr>
            </w:pPr>
            <w:r w:rsidRPr="001D41EA">
              <w:rPr>
                <w:rFonts w:cs="Arial"/>
                <w:sz w:val="18"/>
                <w:szCs w:val="18"/>
              </w:rPr>
              <w:t>181,289</w:t>
            </w:r>
          </w:p>
        </w:tc>
        <w:tc>
          <w:tcPr>
            <w:tcW w:w="1134" w:type="dxa"/>
            <w:tcBorders>
              <w:top w:val="nil"/>
              <w:left w:val="nil"/>
              <w:bottom w:val="nil"/>
              <w:right w:val="nil"/>
            </w:tcBorders>
            <w:vAlign w:val="bottom"/>
          </w:tcPr>
          <w:p w14:paraId="1627631F" w14:textId="26A4442A" w:rsidR="00953130" w:rsidRPr="001D41EA" w:rsidRDefault="00953130" w:rsidP="001D41EA">
            <w:pPr>
              <w:spacing w:before="40" w:after="40"/>
              <w:jc w:val="right"/>
              <w:rPr>
                <w:rFonts w:cs="Arial"/>
                <w:sz w:val="18"/>
                <w:szCs w:val="18"/>
              </w:rPr>
            </w:pPr>
            <w:r w:rsidRPr="001D41EA">
              <w:rPr>
                <w:rFonts w:cs="Arial"/>
                <w:sz w:val="18"/>
                <w:szCs w:val="18"/>
              </w:rPr>
              <w:t>181,289</w:t>
            </w:r>
          </w:p>
        </w:tc>
        <w:tc>
          <w:tcPr>
            <w:tcW w:w="1134" w:type="dxa"/>
            <w:tcBorders>
              <w:top w:val="nil"/>
              <w:left w:val="nil"/>
              <w:bottom w:val="nil"/>
              <w:right w:val="nil"/>
            </w:tcBorders>
            <w:shd w:val="clear" w:color="auto" w:fill="auto"/>
            <w:vAlign w:val="bottom"/>
          </w:tcPr>
          <w:p w14:paraId="1B3EB884" w14:textId="06D7D2CF" w:rsidR="00953130" w:rsidRPr="001D41EA" w:rsidRDefault="00953130" w:rsidP="001D41EA">
            <w:pPr>
              <w:spacing w:before="40" w:after="40"/>
              <w:jc w:val="right"/>
              <w:rPr>
                <w:rFonts w:cs="Arial"/>
                <w:sz w:val="18"/>
                <w:szCs w:val="18"/>
              </w:rPr>
            </w:pPr>
            <w:r w:rsidRPr="001D41EA">
              <w:rPr>
                <w:rFonts w:cs="Arial"/>
                <w:sz w:val="18"/>
                <w:szCs w:val="18"/>
              </w:rPr>
              <w:t>181,289</w:t>
            </w:r>
          </w:p>
        </w:tc>
        <w:tc>
          <w:tcPr>
            <w:tcW w:w="1134" w:type="dxa"/>
            <w:tcBorders>
              <w:top w:val="nil"/>
              <w:left w:val="nil"/>
              <w:bottom w:val="nil"/>
              <w:right w:val="nil"/>
            </w:tcBorders>
            <w:vAlign w:val="bottom"/>
          </w:tcPr>
          <w:p w14:paraId="5039699B" w14:textId="20BEF09F" w:rsidR="00953130" w:rsidRPr="001D41EA" w:rsidRDefault="00953130" w:rsidP="001D41EA">
            <w:pPr>
              <w:spacing w:before="40" w:after="40"/>
              <w:jc w:val="right"/>
              <w:rPr>
                <w:rFonts w:cs="Arial"/>
                <w:sz w:val="18"/>
                <w:szCs w:val="18"/>
              </w:rPr>
            </w:pPr>
            <w:r w:rsidRPr="001D41EA">
              <w:rPr>
                <w:rFonts w:cs="Arial"/>
                <w:sz w:val="18"/>
                <w:szCs w:val="18"/>
              </w:rPr>
              <w:t>42,057</w:t>
            </w:r>
          </w:p>
        </w:tc>
        <w:tc>
          <w:tcPr>
            <w:tcW w:w="1134" w:type="dxa"/>
            <w:tcBorders>
              <w:top w:val="nil"/>
              <w:left w:val="nil"/>
              <w:bottom w:val="nil"/>
              <w:right w:val="nil"/>
            </w:tcBorders>
            <w:shd w:val="clear" w:color="auto" w:fill="auto"/>
            <w:vAlign w:val="bottom"/>
          </w:tcPr>
          <w:p w14:paraId="45954E5A" w14:textId="5821B7B0" w:rsidR="00953130" w:rsidRPr="001D41EA" w:rsidRDefault="00953130" w:rsidP="001D41EA">
            <w:pPr>
              <w:spacing w:before="40" w:after="40"/>
              <w:jc w:val="right"/>
              <w:rPr>
                <w:rFonts w:cs="Arial"/>
                <w:sz w:val="18"/>
                <w:szCs w:val="18"/>
              </w:rPr>
            </w:pPr>
            <w:r w:rsidRPr="001D41EA">
              <w:rPr>
                <w:rFonts w:cs="Arial"/>
                <w:sz w:val="18"/>
                <w:szCs w:val="18"/>
              </w:rPr>
              <w:t>70,823</w:t>
            </w:r>
          </w:p>
        </w:tc>
      </w:tr>
      <w:tr w:rsidR="00953130" w:rsidRPr="001D41EA" w14:paraId="06A4A57B"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6088C4" w14:textId="77777777" w:rsidR="00953130" w:rsidRPr="001D41EA" w:rsidRDefault="00953130" w:rsidP="001D41EA">
            <w:pPr>
              <w:spacing w:before="40" w:after="40"/>
              <w:rPr>
                <w:rFonts w:cs="Arial"/>
                <w:sz w:val="18"/>
                <w:szCs w:val="18"/>
              </w:rPr>
            </w:pPr>
            <w:r w:rsidRPr="001D41EA">
              <w:rPr>
                <w:rFonts w:cs="Arial"/>
                <w:sz w:val="18"/>
                <w:szCs w:val="18"/>
              </w:rPr>
              <w:t>Brimbank C</w:t>
            </w:r>
          </w:p>
        </w:tc>
        <w:tc>
          <w:tcPr>
            <w:tcW w:w="1134" w:type="dxa"/>
            <w:tcBorders>
              <w:top w:val="nil"/>
              <w:left w:val="single" w:sz="18" w:space="0" w:color="5F497A" w:themeColor="accent4" w:themeShade="BF"/>
              <w:bottom w:val="nil"/>
              <w:right w:val="nil"/>
            </w:tcBorders>
            <w:shd w:val="clear" w:color="auto" w:fill="auto"/>
            <w:vAlign w:val="bottom"/>
          </w:tcPr>
          <w:p w14:paraId="4E6BB2BA" w14:textId="2090B00F" w:rsidR="00953130" w:rsidRPr="001D41EA" w:rsidRDefault="00953130" w:rsidP="001D41EA">
            <w:pPr>
              <w:spacing w:before="40" w:after="40"/>
              <w:jc w:val="right"/>
              <w:rPr>
                <w:rFonts w:cs="Arial"/>
                <w:sz w:val="18"/>
                <w:szCs w:val="18"/>
              </w:rPr>
            </w:pPr>
            <w:r w:rsidRPr="001D41EA">
              <w:rPr>
                <w:rFonts w:cs="Arial"/>
                <w:sz w:val="18"/>
                <w:szCs w:val="18"/>
              </w:rPr>
              <w:t>208,714</w:t>
            </w:r>
          </w:p>
        </w:tc>
        <w:tc>
          <w:tcPr>
            <w:tcW w:w="1134" w:type="dxa"/>
            <w:tcBorders>
              <w:top w:val="nil"/>
              <w:left w:val="nil"/>
              <w:bottom w:val="nil"/>
              <w:right w:val="nil"/>
            </w:tcBorders>
            <w:vAlign w:val="bottom"/>
          </w:tcPr>
          <w:p w14:paraId="14B4563A" w14:textId="69BEF01C" w:rsidR="00953130" w:rsidRPr="001D41EA" w:rsidRDefault="00953130" w:rsidP="001D41EA">
            <w:pPr>
              <w:spacing w:before="40" w:after="40"/>
              <w:jc w:val="right"/>
              <w:rPr>
                <w:rFonts w:cs="Arial"/>
                <w:sz w:val="18"/>
                <w:szCs w:val="18"/>
              </w:rPr>
            </w:pPr>
            <w:r w:rsidRPr="001D41EA">
              <w:rPr>
                <w:rFonts w:cs="Arial"/>
                <w:sz w:val="18"/>
                <w:szCs w:val="18"/>
              </w:rPr>
              <w:t>208,714</w:t>
            </w:r>
          </w:p>
        </w:tc>
        <w:tc>
          <w:tcPr>
            <w:tcW w:w="1134" w:type="dxa"/>
            <w:tcBorders>
              <w:top w:val="nil"/>
              <w:left w:val="nil"/>
              <w:bottom w:val="nil"/>
              <w:right w:val="nil"/>
            </w:tcBorders>
            <w:vAlign w:val="bottom"/>
          </w:tcPr>
          <w:p w14:paraId="5CC891F5" w14:textId="5D0E5902" w:rsidR="00953130" w:rsidRPr="001D41EA" w:rsidRDefault="00953130" w:rsidP="001D41EA">
            <w:pPr>
              <w:spacing w:before="40" w:after="40"/>
              <w:jc w:val="right"/>
              <w:rPr>
                <w:rFonts w:cs="Arial"/>
                <w:sz w:val="18"/>
                <w:szCs w:val="18"/>
              </w:rPr>
            </w:pPr>
            <w:r w:rsidRPr="001D41EA">
              <w:rPr>
                <w:rFonts w:cs="Arial"/>
                <w:sz w:val="18"/>
                <w:szCs w:val="18"/>
              </w:rPr>
              <w:t>208,714</w:t>
            </w:r>
          </w:p>
        </w:tc>
        <w:tc>
          <w:tcPr>
            <w:tcW w:w="1134" w:type="dxa"/>
            <w:tcBorders>
              <w:top w:val="nil"/>
              <w:left w:val="nil"/>
              <w:bottom w:val="nil"/>
              <w:right w:val="nil"/>
            </w:tcBorders>
            <w:shd w:val="clear" w:color="auto" w:fill="auto"/>
            <w:vAlign w:val="bottom"/>
          </w:tcPr>
          <w:p w14:paraId="655C9B93" w14:textId="0A797EB7" w:rsidR="00953130" w:rsidRPr="001D41EA" w:rsidRDefault="00953130" w:rsidP="001D41EA">
            <w:pPr>
              <w:spacing w:before="40" w:after="40"/>
              <w:jc w:val="right"/>
              <w:rPr>
                <w:rFonts w:cs="Arial"/>
                <w:sz w:val="18"/>
                <w:szCs w:val="18"/>
              </w:rPr>
            </w:pPr>
            <w:r w:rsidRPr="001D41EA">
              <w:rPr>
                <w:rFonts w:cs="Arial"/>
                <w:sz w:val="18"/>
                <w:szCs w:val="18"/>
              </w:rPr>
              <w:t>208,714</w:t>
            </w:r>
          </w:p>
        </w:tc>
        <w:tc>
          <w:tcPr>
            <w:tcW w:w="1134" w:type="dxa"/>
            <w:tcBorders>
              <w:top w:val="nil"/>
              <w:left w:val="nil"/>
              <w:bottom w:val="nil"/>
              <w:right w:val="nil"/>
            </w:tcBorders>
            <w:vAlign w:val="bottom"/>
          </w:tcPr>
          <w:p w14:paraId="2CC9528F" w14:textId="71FEF5EA" w:rsidR="00953130" w:rsidRPr="001D41EA" w:rsidRDefault="00953130" w:rsidP="001D41EA">
            <w:pPr>
              <w:spacing w:before="40" w:after="40"/>
              <w:jc w:val="right"/>
              <w:rPr>
                <w:rFonts w:cs="Arial"/>
                <w:sz w:val="18"/>
                <w:szCs w:val="18"/>
              </w:rPr>
            </w:pPr>
            <w:r w:rsidRPr="001D41EA">
              <w:rPr>
                <w:rFonts w:cs="Arial"/>
                <w:sz w:val="18"/>
                <w:szCs w:val="18"/>
              </w:rPr>
              <w:t>53,857</w:t>
            </w:r>
          </w:p>
        </w:tc>
        <w:tc>
          <w:tcPr>
            <w:tcW w:w="1134" w:type="dxa"/>
            <w:tcBorders>
              <w:top w:val="nil"/>
              <w:left w:val="nil"/>
              <w:bottom w:val="nil"/>
              <w:right w:val="nil"/>
            </w:tcBorders>
            <w:shd w:val="clear" w:color="auto" w:fill="auto"/>
            <w:vAlign w:val="bottom"/>
          </w:tcPr>
          <w:p w14:paraId="427110F7" w14:textId="5D2CFE21" w:rsidR="00953130" w:rsidRPr="001D41EA" w:rsidRDefault="00953130" w:rsidP="001D41EA">
            <w:pPr>
              <w:spacing w:before="40" w:after="40"/>
              <w:jc w:val="right"/>
              <w:rPr>
                <w:rFonts w:cs="Arial"/>
                <w:sz w:val="18"/>
                <w:szCs w:val="18"/>
              </w:rPr>
            </w:pPr>
            <w:r w:rsidRPr="001D41EA">
              <w:rPr>
                <w:rFonts w:cs="Arial"/>
                <w:sz w:val="18"/>
                <w:szCs w:val="18"/>
              </w:rPr>
              <w:t>70,228</w:t>
            </w:r>
          </w:p>
        </w:tc>
      </w:tr>
      <w:tr w:rsidR="00953130" w:rsidRPr="001D41EA" w14:paraId="4152AC42"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56D19AD" w14:textId="77777777" w:rsidR="00953130" w:rsidRPr="001D41EA" w:rsidRDefault="00953130" w:rsidP="001D41EA">
            <w:pPr>
              <w:spacing w:before="40" w:after="40"/>
              <w:rPr>
                <w:rFonts w:cs="Arial"/>
                <w:sz w:val="18"/>
                <w:szCs w:val="18"/>
              </w:rPr>
            </w:pPr>
            <w:r w:rsidRPr="001D41EA">
              <w:rPr>
                <w:rFonts w:cs="Arial"/>
                <w:sz w:val="18"/>
                <w:szCs w:val="18"/>
              </w:rPr>
              <w:t>Buloke S</w:t>
            </w:r>
          </w:p>
        </w:tc>
        <w:tc>
          <w:tcPr>
            <w:tcW w:w="1134" w:type="dxa"/>
            <w:tcBorders>
              <w:top w:val="nil"/>
              <w:left w:val="single" w:sz="18" w:space="0" w:color="5F497A" w:themeColor="accent4" w:themeShade="BF"/>
              <w:bottom w:val="nil"/>
              <w:right w:val="nil"/>
            </w:tcBorders>
            <w:shd w:val="clear" w:color="auto" w:fill="auto"/>
            <w:vAlign w:val="bottom"/>
          </w:tcPr>
          <w:p w14:paraId="757EF250" w14:textId="221E1607" w:rsidR="00953130" w:rsidRPr="001D41EA" w:rsidRDefault="00953130" w:rsidP="001D41EA">
            <w:pPr>
              <w:spacing w:before="40" w:after="40"/>
              <w:jc w:val="right"/>
              <w:rPr>
                <w:rFonts w:cs="Arial"/>
                <w:sz w:val="18"/>
                <w:szCs w:val="18"/>
              </w:rPr>
            </w:pPr>
            <w:r w:rsidRPr="001D41EA">
              <w:rPr>
                <w:rFonts w:cs="Arial"/>
                <w:sz w:val="18"/>
                <w:szCs w:val="18"/>
              </w:rPr>
              <w:t>6,184</w:t>
            </w:r>
          </w:p>
        </w:tc>
        <w:tc>
          <w:tcPr>
            <w:tcW w:w="1134" w:type="dxa"/>
            <w:tcBorders>
              <w:top w:val="nil"/>
              <w:left w:val="nil"/>
              <w:bottom w:val="nil"/>
              <w:right w:val="nil"/>
            </w:tcBorders>
            <w:vAlign w:val="bottom"/>
          </w:tcPr>
          <w:p w14:paraId="2222D9A1" w14:textId="773FBC71" w:rsidR="00953130" w:rsidRPr="001D41EA" w:rsidRDefault="00953130" w:rsidP="001D41EA">
            <w:pPr>
              <w:spacing w:before="40" w:after="40"/>
              <w:jc w:val="right"/>
              <w:rPr>
                <w:rFonts w:cs="Arial"/>
                <w:sz w:val="18"/>
                <w:szCs w:val="18"/>
              </w:rPr>
            </w:pPr>
            <w:r w:rsidRPr="001D41EA">
              <w:rPr>
                <w:rFonts w:cs="Arial"/>
                <w:sz w:val="18"/>
                <w:szCs w:val="18"/>
              </w:rPr>
              <w:t>15,000</w:t>
            </w:r>
          </w:p>
        </w:tc>
        <w:tc>
          <w:tcPr>
            <w:tcW w:w="1134" w:type="dxa"/>
            <w:tcBorders>
              <w:top w:val="nil"/>
              <w:left w:val="nil"/>
              <w:bottom w:val="nil"/>
              <w:right w:val="nil"/>
            </w:tcBorders>
            <w:vAlign w:val="bottom"/>
          </w:tcPr>
          <w:p w14:paraId="72C20A86" w14:textId="632D3A34" w:rsidR="00953130" w:rsidRPr="001D41EA" w:rsidRDefault="00953130" w:rsidP="001D41EA">
            <w:pPr>
              <w:spacing w:before="40" w:after="40"/>
              <w:jc w:val="right"/>
              <w:rPr>
                <w:rFonts w:cs="Arial"/>
                <w:sz w:val="18"/>
                <w:szCs w:val="18"/>
              </w:rPr>
            </w:pPr>
            <w:r w:rsidRPr="001D41EA">
              <w:rPr>
                <w:rFonts w:cs="Arial"/>
                <w:sz w:val="18"/>
                <w:szCs w:val="18"/>
              </w:rPr>
              <w:t>20,000</w:t>
            </w:r>
          </w:p>
        </w:tc>
        <w:tc>
          <w:tcPr>
            <w:tcW w:w="1134" w:type="dxa"/>
            <w:tcBorders>
              <w:top w:val="nil"/>
              <w:left w:val="nil"/>
              <w:bottom w:val="nil"/>
              <w:right w:val="nil"/>
            </w:tcBorders>
            <w:shd w:val="clear" w:color="auto" w:fill="auto"/>
            <w:vAlign w:val="bottom"/>
          </w:tcPr>
          <w:p w14:paraId="2E03C4FD" w14:textId="591EC02B" w:rsidR="00953130" w:rsidRPr="001D41EA" w:rsidRDefault="00953130" w:rsidP="001D41EA">
            <w:pPr>
              <w:spacing w:before="40" w:after="40"/>
              <w:jc w:val="right"/>
              <w:rPr>
                <w:rFonts w:cs="Arial"/>
                <w:sz w:val="18"/>
                <w:szCs w:val="18"/>
              </w:rPr>
            </w:pPr>
            <w:r w:rsidRPr="001D41EA">
              <w:rPr>
                <w:rFonts w:cs="Arial"/>
                <w:sz w:val="18"/>
                <w:szCs w:val="18"/>
              </w:rPr>
              <w:t>6,348</w:t>
            </w:r>
          </w:p>
        </w:tc>
        <w:tc>
          <w:tcPr>
            <w:tcW w:w="1134" w:type="dxa"/>
            <w:tcBorders>
              <w:top w:val="nil"/>
              <w:left w:val="nil"/>
              <w:bottom w:val="nil"/>
              <w:right w:val="nil"/>
            </w:tcBorders>
            <w:vAlign w:val="bottom"/>
          </w:tcPr>
          <w:p w14:paraId="61A8ED08" w14:textId="0BBF2550" w:rsidR="00953130" w:rsidRPr="001D41EA" w:rsidRDefault="00953130" w:rsidP="001D41EA">
            <w:pPr>
              <w:spacing w:before="40" w:after="40"/>
              <w:jc w:val="right"/>
              <w:rPr>
                <w:rFonts w:cs="Arial"/>
                <w:sz w:val="18"/>
                <w:szCs w:val="18"/>
              </w:rPr>
            </w:pPr>
            <w:r w:rsidRPr="001D41EA">
              <w:rPr>
                <w:rFonts w:cs="Arial"/>
                <w:sz w:val="18"/>
                <w:szCs w:val="18"/>
              </w:rPr>
              <w:t>2,784</w:t>
            </w:r>
          </w:p>
        </w:tc>
        <w:tc>
          <w:tcPr>
            <w:tcW w:w="1134" w:type="dxa"/>
            <w:tcBorders>
              <w:top w:val="nil"/>
              <w:left w:val="nil"/>
              <w:bottom w:val="nil"/>
              <w:right w:val="nil"/>
            </w:tcBorders>
            <w:shd w:val="clear" w:color="auto" w:fill="auto"/>
            <w:vAlign w:val="bottom"/>
          </w:tcPr>
          <w:p w14:paraId="289A44EB" w14:textId="3F0732EC" w:rsidR="00953130" w:rsidRPr="001D41EA" w:rsidRDefault="00953130" w:rsidP="001D41EA">
            <w:pPr>
              <w:spacing w:before="40" w:after="40"/>
              <w:jc w:val="right"/>
              <w:rPr>
                <w:rFonts w:cs="Arial"/>
                <w:sz w:val="18"/>
                <w:szCs w:val="18"/>
              </w:rPr>
            </w:pPr>
            <w:r w:rsidRPr="001D41EA">
              <w:rPr>
                <w:rFonts w:cs="Arial"/>
                <w:sz w:val="18"/>
                <w:szCs w:val="18"/>
              </w:rPr>
              <w:t>3,169</w:t>
            </w:r>
          </w:p>
        </w:tc>
      </w:tr>
      <w:tr w:rsidR="00953130" w:rsidRPr="001D41EA" w14:paraId="61842562"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BA7455B" w14:textId="77777777" w:rsidR="00953130" w:rsidRPr="001D41EA" w:rsidRDefault="00953130" w:rsidP="001D41EA">
            <w:pPr>
              <w:spacing w:before="40" w:after="40"/>
              <w:rPr>
                <w:rFonts w:cs="Arial"/>
                <w:sz w:val="18"/>
                <w:szCs w:val="18"/>
              </w:rPr>
            </w:pPr>
            <w:r w:rsidRPr="001D41EA">
              <w:rPr>
                <w:rFonts w:cs="Arial"/>
                <w:sz w:val="18"/>
                <w:szCs w:val="18"/>
              </w:rPr>
              <w:t>Campaspe S</w:t>
            </w:r>
          </w:p>
        </w:tc>
        <w:tc>
          <w:tcPr>
            <w:tcW w:w="1134" w:type="dxa"/>
            <w:tcBorders>
              <w:top w:val="nil"/>
              <w:left w:val="single" w:sz="18" w:space="0" w:color="5F497A" w:themeColor="accent4" w:themeShade="BF"/>
              <w:bottom w:val="nil"/>
              <w:right w:val="nil"/>
            </w:tcBorders>
            <w:shd w:val="clear" w:color="auto" w:fill="auto"/>
            <w:vAlign w:val="bottom"/>
          </w:tcPr>
          <w:p w14:paraId="7B1C84AE" w14:textId="12395ECE" w:rsidR="00953130" w:rsidRPr="001D41EA" w:rsidRDefault="00953130" w:rsidP="001D41EA">
            <w:pPr>
              <w:spacing w:before="40" w:after="40"/>
              <w:jc w:val="right"/>
              <w:rPr>
                <w:rFonts w:cs="Arial"/>
                <w:sz w:val="18"/>
                <w:szCs w:val="18"/>
              </w:rPr>
            </w:pPr>
            <w:r w:rsidRPr="001D41EA">
              <w:rPr>
                <w:rFonts w:cs="Arial"/>
                <w:sz w:val="18"/>
                <w:szCs w:val="18"/>
              </w:rPr>
              <w:t>37,592</w:t>
            </w:r>
          </w:p>
        </w:tc>
        <w:tc>
          <w:tcPr>
            <w:tcW w:w="1134" w:type="dxa"/>
            <w:tcBorders>
              <w:top w:val="nil"/>
              <w:left w:val="nil"/>
              <w:bottom w:val="nil"/>
              <w:right w:val="nil"/>
            </w:tcBorders>
            <w:vAlign w:val="bottom"/>
          </w:tcPr>
          <w:p w14:paraId="101AF223" w14:textId="3DF6BADC" w:rsidR="00953130" w:rsidRPr="001D41EA" w:rsidRDefault="00953130" w:rsidP="001D41EA">
            <w:pPr>
              <w:spacing w:before="40" w:after="40"/>
              <w:jc w:val="right"/>
              <w:rPr>
                <w:rFonts w:cs="Arial"/>
                <w:sz w:val="18"/>
                <w:szCs w:val="18"/>
              </w:rPr>
            </w:pPr>
            <w:r w:rsidRPr="001D41EA">
              <w:rPr>
                <w:rFonts w:cs="Arial"/>
                <w:sz w:val="18"/>
                <w:szCs w:val="18"/>
              </w:rPr>
              <w:t>37,759</w:t>
            </w:r>
          </w:p>
        </w:tc>
        <w:tc>
          <w:tcPr>
            <w:tcW w:w="1134" w:type="dxa"/>
            <w:tcBorders>
              <w:top w:val="nil"/>
              <w:left w:val="nil"/>
              <w:bottom w:val="nil"/>
              <w:right w:val="nil"/>
            </w:tcBorders>
            <w:vAlign w:val="bottom"/>
          </w:tcPr>
          <w:p w14:paraId="31D56331" w14:textId="3D6B6256" w:rsidR="00953130" w:rsidRPr="001D41EA" w:rsidRDefault="00953130" w:rsidP="001D41EA">
            <w:pPr>
              <w:spacing w:before="40" w:after="40"/>
              <w:jc w:val="right"/>
              <w:rPr>
                <w:rFonts w:cs="Arial"/>
                <w:sz w:val="18"/>
                <w:szCs w:val="18"/>
              </w:rPr>
            </w:pPr>
            <w:r w:rsidRPr="001D41EA">
              <w:rPr>
                <w:rFonts w:cs="Arial"/>
                <w:sz w:val="18"/>
                <w:szCs w:val="18"/>
              </w:rPr>
              <w:t>37,759</w:t>
            </w:r>
          </w:p>
        </w:tc>
        <w:tc>
          <w:tcPr>
            <w:tcW w:w="1134" w:type="dxa"/>
            <w:tcBorders>
              <w:top w:val="nil"/>
              <w:left w:val="nil"/>
              <w:bottom w:val="nil"/>
              <w:right w:val="nil"/>
            </w:tcBorders>
            <w:shd w:val="clear" w:color="auto" w:fill="auto"/>
            <w:vAlign w:val="bottom"/>
          </w:tcPr>
          <w:p w14:paraId="74C7E3FB" w14:textId="5BA863F8" w:rsidR="00953130" w:rsidRPr="001D41EA" w:rsidRDefault="00953130" w:rsidP="001D41EA">
            <w:pPr>
              <w:spacing w:before="40" w:after="40"/>
              <w:jc w:val="right"/>
              <w:rPr>
                <w:rFonts w:cs="Arial"/>
                <w:sz w:val="18"/>
                <w:szCs w:val="18"/>
              </w:rPr>
            </w:pPr>
            <w:r w:rsidRPr="001D41EA">
              <w:rPr>
                <w:rFonts w:cs="Arial"/>
                <w:sz w:val="18"/>
                <w:szCs w:val="18"/>
              </w:rPr>
              <w:t>37,759</w:t>
            </w:r>
          </w:p>
        </w:tc>
        <w:tc>
          <w:tcPr>
            <w:tcW w:w="1134" w:type="dxa"/>
            <w:tcBorders>
              <w:top w:val="nil"/>
              <w:left w:val="nil"/>
              <w:bottom w:val="nil"/>
              <w:right w:val="nil"/>
            </w:tcBorders>
            <w:vAlign w:val="bottom"/>
          </w:tcPr>
          <w:p w14:paraId="33820806" w14:textId="660FFC0E" w:rsidR="00953130" w:rsidRPr="001D41EA" w:rsidRDefault="00953130" w:rsidP="001D41EA">
            <w:pPr>
              <w:spacing w:before="40" w:after="40"/>
              <w:jc w:val="right"/>
              <w:rPr>
                <w:rFonts w:cs="Arial"/>
                <w:sz w:val="18"/>
                <w:szCs w:val="18"/>
              </w:rPr>
            </w:pPr>
            <w:r w:rsidRPr="001D41EA">
              <w:rPr>
                <w:rFonts w:cs="Arial"/>
                <w:sz w:val="18"/>
                <w:szCs w:val="18"/>
              </w:rPr>
              <w:t>13,969</w:t>
            </w:r>
          </w:p>
        </w:tc>
        <w:tc>
          <w:tcPr>
            <w:tcW w:w="1134" w:type="dxa"/>
            <w:tcBorders>
              <w:top w:val="nil"/>
              <w:left w:val="nil"/>
              <w:bottom w:val="nil"/>
              <w:right w:val="nil"/>
            </w:tcBorders>
            <w:shd w:val="clear" w:color="auto" w:fill="auto"/>
            <w:vAlign w:val="bottom"/>
          </w:tcPr>
          <w:p w14:paraId="1E7AA121" w14:textId="0E45928F" w:rsidR="00953130" w:rsidRPr="001D41EA" w:rsidRDefault="00953130" w:rsidP="001D41EA">
            <w:pPr>
              <w:spacing w:before="40" w:after="40"/>
              <w:jc w:val="right"/>
              <w:rPr>
                <w:rFonts w:cs="Arial"/>
                <w:sz w:val="18"/>
                <w:szCs w:val="18"/>
              </w:rPr>
            </w:pPr>
            <w:r w:rsidRPr="001D41EA">
              <w:rPr>
                <w:rFonts w:cs="Arial"/>
                <w:sz w:val="18"/>
                <w:szCs w:val="18"/>
              </w:rPr>
              <w:t>16,871</w:t>
            </w:r>
          </w:p>
        </w:tc>
      </w:tr>
      <w:tr w:rsidR="00953130" w:rsidRPr="001D41EA" w14:paraId="36D9E5F3"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59B1BDC" w14:textId="77777777" w:rsidR="00953130" w:rsidRPr="001D41EA" w:rsidRDefault="00953130" w:rsidP="001D41EA">
            <w:pPr>
              <w:spacing w:before="40" w:after="40"/>
              <w:rPr>
                <w:rFonts w:cs="Arial"/>
                <w:sz w:val="18"/>
                <w:szCs w:val="18"/>
              </w:rPr>
            </w:pPr>
            <w:r w:rsidRPr="001D41EA">
              <w:rPr>
                <w:rFonts w:cs="Arial"/>
                <w:sz w:val="18"/>
                <w:szCs w:val="18"/>
              </w:rPr>
              <w:t>Cardinia S</w:t>
            </w:r>
          </w:p>
        </w:tc>
        <w:tc>
          <w:tcPr>
            <w:tcW w:w="1134" w:type="dxa"/>
            <w:tcBorders>
              <w:top w:val="nil"/>
              <w:left w:val="single" w:sz="18" w:space="0" w:color="5F497A" w:themeColor="accent4" w:themeShade="BF"/>
              <w:bottom w:val="nil"/>
              <w:right w:val="nil"/>
            </w:tcBorders>
            <w:shd w:val="clear" w:color="auto" w:fill="auto"/>
            <w:vAlign w:val="bottom"/>
          </w:tcPr>
          <w:p w14:paraId="4A88990B" w14:textId="1E1439E3" w:rsidR="00953130" w:rsidRPr="001D41EA" w:rsidRDefault="00953130" w:rsidP="001D41EA">
            <w:pPr>
              <w:spacing w:before="40" w:after="40"/>
              <w:jc w:val="right"/>
              <w:rPr>
                <w:rFonts w:cs="Arial"/>
                <w:sz w:val="18"/>
                <w:szCs w:val="18"/>
              </w:rPr>
            </w:pPr>
            <w:r w:rsidRPr="001D41EA">
              <w:rPr>
                <w:rFonts w:cs="Arial"/>
                <w:sz w:val="18"/>
                <w:szCs w:val="18"/>
              </w:rPr>
              <w:t>107,120</w:t>
            </w:r>
          </w:p>
        </w:tc>
        <w:tc>
          <w:tcPr>
            <w:tcW w:w="1134" w:type="dxa"/>
            <w:tcBorders>
              <w:top w:val="nil"/>
              <w:left w:val="nil"/>
              <w:bottom w:val="nil"/>
              <w:right w:val="nil"/>
            </w:tcBorders>
            <w:vAlign w:val="bottom"/>
          </w:tcPr>
          <w:p w14:paraId="756417D4" w14:textId="08FD8D50" w:rsidR="00953130" w:rsidRPr="001D41EA" w:rsidRDefault="00953130" w:rsidP="001D41EA">
            <w:pPr>
              <w:spacing w:before="40" w:after="40"/>
              <w:jc w:val="right"/>
              <w:rPr>
                <w:rFonts w:cs="Arial"/>
                <w:sz w:val="18"/>
                <w:szCs w:val="18"/>
              </w:rPr>
            </w:pPr>
            <w:r w:rsidRPr="001D41EA">
              <w:rPr>
                <w:rFonts w:cs="Arial"/>
                <w:sz w:val="18"/>
                <w:szCs w:val="18"/>
              </w:rPr>
              <w:t>107,120</w:t>
            </w:r>
          </w:p>
        </w:tc>
        <w:tc>
          <w:tcPr>
            <w:tcW w:w="1134" w:type="dxa"/>
            <w:tcBorders>
              <w:top w:val="nil"/>
              <w:left w:val="nil"/>
              <w:bottom w:val="nil"/>
              <w:right w:val="nil"/>
            </w:tcBorders>
            <w:vAlign w:val="bottom"/>
          </w:tcPr>
          <w:p w14:paraId="7524329F" w14:textId="0222F35C" w:rsidR="00953130" w:rsidRPr="001D41EA" w:rsidRDefault="00953130" w:rsidP="001D41EA">
            <w:pPr>
              <w:spacing w:before="40" w:after="40"/>
              <w:jc w:val="right"/>
              <w:rPr>
                <w:rFonts w:cs="Arial"/>
                <w:sz w:val="18"/>
                <w:szCs w:val="18"/>
              </w:rPr>
            </w:pPr>
            <w:r w:rsidRPr="001D41EA">
              <w:rPr>
                <w:rFonts w:cs="Arial"/>
                <w:sz w:val="18"/>
                <w:szCs w:val="18"/>
              </w:rPr>
              <w:t>107,120</w:t>
            </w:r>
          </w:p>
        </w:tc>
        <w:tc>
          <w:tcPr>
            <w:tcW w:w="1134" w:type="dxa"/>
            <w:tcBorders>
              <w:top w:val="nil"/>
              <w:left w:val="nil"/>
              <w:bottom w:val="nil"/>
              <w:right w:val="nil"/>
            </w:tcBorders>
            <w:shd w:val="clear" w:color="auto" w:fill="auto"/>
            <w:vAlign w:val="bottom"/>
          </w:tcPr>
          <w:p w14:paraId="1BF3223E" w14:textId="11DEB3DE" w:rsidR="00953130" w:rsidRPr="001D41EA" w:rsidRDefault="00953130" w:rsidP="001D41EA">
            <w:pPr>
              <w:spacing w:before="40" w:after="40"/>
              <w:jc w:val="right"/>
              <w:rPr>
                <w:rFonts w:cs="Arial"/>
                <w:sz w:val="18"/>
                <w:szCs w:val="18"/>
              </w:rPr>
            </w:pPr>
            <w:r w:rsidRPr="001D41EA">
              <w:rPr>
                <w:rFonts w:cs="Arial"/>
                <w:sz w:val="18"/>
                <w:szCs w:val="18"/>
              </w:rPr>
              <w:t>107,120</w:t>
            </w:r>
          </w:p>
        </w:tc>
        <w:tc>
          <w:tcPr>
            <w:tcW w:w="1134" w:type="dxa"/>
            <w:tcBorders>
              <w:top w:val="nil"/>
              <w:left w:val="nil"/>
              <w:bottom w:val="nil"/>
              <w:right w:val="nil"/>
            </w:tcBorders>
            <w:vAlign w:val="bottom"/>
          </w:tcPr>
          <w:p w14:paraId="597572AC" w14:textId="27A6FBE8" w:rsidR="00953130" w:rsidRPr="001D41EA" w:rsidRDefault="00953130" w:rsidP="001D41EA">
            <w:pPr>
              <w:spacing w:before="40" w:after="40"/>
              <w:jc w:val="right"/>
              <w:rPr>
                <w:rFonts w:cs="Arial"/>
                <w:sz w:val="18"/>
                <w:szCs w:val="18"/>
              </w:rPr>
            </w:pPr>
            <w:r w:rsidRPr="001D41EA">
              <w:rPr>
                <w:rFonts w:cs="Arial"/>
                <w:sz w:val="18"/>
                <w:szCs w:val="18"/>
              </w:rPr>
              <w:t>22,242</w:t>
            </w:r>
          </w:p>
        </w:tc>
        <w:tc>
          <w:tcPr>
            <w:tcW w:w="1134" w:type="dxa"/>
            <w:tcBorders>
              <w:top w:val="nil"/>
              <w:left w:val="nil"/>
              <w:bottom w:val="nil"/>
              <w:right w:val="nil"/>
            </w:tcBorders>
            <w:shd w:val="clear" w:color="auto" w:fill="auto"/>
            <w:vAlign w:val="bottom"/>
          </w:tcPr>
          <w:p w14:paraId="09BD1BA3" w14:textId="4C1ABCDC" w:rsidR="00953130" w:rsidRPr="001D41EA" w:rsidRDefault="00953130" w:rsidP="001D41EA">
            <w:pPr>
              <w:spacing w:before="40" w:after="40"/>
              <w:jc w:val="right"/>
              <w:rPr>
                <w:rFonts w:cs="Arial"/>
                <w:sz w:val="18"/>
                <w:szCs w:val="18"/>
              </w:rPr>
            </w:pPr>
            <w:r w:rsidRPr="001D41EA">
              <w:rPr>
                <w:rFonts w:cs="Arial"/>
                <w:sz w:val="18"/>
                <w:szCs w:val="18"/>
              </w:rPr>
              <w:t>38,490</w:t>
            </w:r>
          </w:p>
        </w:tc>
      </w:tr>
      <w:tr w:rsidR="00953130" w:rsidRPr="001D41EA" w14:paraId="2E52A5EC"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0577BC9" w14:textId="77777777" w:rsidR="00953130" w:rsidRPr="001D41EA" w:rsidRDefault="00953130" w:rsidP="001D41EA">
            <w:pPr>
              <w:spacing w:before="40" w:after="40"/>
              <w:rPr>
                <w:rFonts w:cs="Arial"/>
                <w:sz w:val="18"/>
                <w:szCs w:val="18"/>
              </w:rPr>
            </w:pPr>
            <w:r w:rsidRPr="001D41EA">
              <w:rPr>
                <w:rFonts w:cs="Arial"/>
                <w:sz w:val="18"/>
                <w:szCs w:val="18"/>
              </w:rPr>
              <w:t>Casey C</w:t>
            </w:r>
          </w:p>
        </w:tc>
        <w:tc>
          <w:tcPr>
            <w:tcW w:w="1134" w:type="dxa"/>
            <w:tcBorders>
              <w:top w:val="nil"/>
              <w:left w:val="single" w:sz="18" w:space="0" w:color="5F497A" w:themeColor="accent4" w:themeShade="BF"/>
              <w:bottom w:val="nil"/>
              <w:right w:val="nil"/>
            </w:tcBorders>
            <w:shd w:val="clear" w:color="auto" w:fill="auto"/>
            <w:vAlign w:val="bottom"/>
          </w:tcPr>
          <w:p w14:paraId="1734A610" w14:textId="38CC2BFF" w:rsidR="00953130" w:rsidRPr="001D41EA" w:rsidRDefault="00953130" w:rsidP="001D41EA">
            <w:pPr>
              <w:spacing w:before="40" w:after="40"/>
              <w:jc w:val="right"/>
              <w:rPr>
                <w:rFonts w:cs="Arial"/>
                <w:sz w:val="18"/>
                <w:szCs w:val="18"/>
              </w:rPr>
            </w:pPr>
            <w:r w:rsidRPr="001D41EA">
              <w:rPr>
                <w:rFonts w:cs="Arial"/>
                <w:sz w:val="18"/>
                <w:szCs w:val="18"/>
              </w:rPr>
              <w:t>340,419</w:t>
            </w:r>
          </w:p>
        </w:tc>
        <w:tc>
          <w:tcPr>
            <w:tcW w:w="1134" w:type="dxa"/>
            <w:tcBorders>
              <w:top w:val="nil"/>
              <w:left w:val="nil"/>
              <w:bottom w:val="nil"/>
              <w:right w:val="nil"/>
            </w:tcBorders>
            <w:vAlign w:val="bottom"/>
          </w:tcPr>
          <w:p w14:paraId="59D377B2" w14:textId="0BC0BAF1" w:rsidR="00953130" w:rsidRPr="001D41EA" w:rsidRDefault="00953130" w:rsidP="001D41EA">
            <w:pPr>
              <w:spacing w:before="40" w:after="40"/>
              <w:jc w:val="right"/>
              <w:rPr>
                <w:rFonts w:cs="Arial"/>
                <w:sz w:val="18"/>
                <w:szCs w:val="18"/>
              </w:rPr>
            </w:pPr>
            <w:r w:rsidRPr="001D41EA">
              <w:rPr>
                <w:rFonts w:cs="Arial"/>
                <w:sz w:val="18"/>
                <w:szCs w:val="18"/>
              </w:rPr>
              <w:t>340,419</w:t>
            </w:r>
          </w:p>
        </w:tc>
        <w:tc>
          <w:tcPr>
            <w:tcW w:w="1134" w:type="dxa"/>
            <w:tcBorders>
              <w:top w:val="nil"/>
              <w:left w:val="nil"/>
              <w:bottom w:val="nil"/>
              <w:right w:val="nil"/>
            </w:tcBorders>
            <w:vAlign w:val="bottom"/>
          </w:tcPr>
          <w:p w14:paraId="6F6A9C34" w14:textId="7BD07934" w:rsidR="00953130" w:rsidRPr="001D41EA" w:rsidRDefault="00953130" w:rsidP="001D41EA">
            <w:pPr>
              <w:spacing w:before="40" w:after="40"/>
              <w:jc w:val="right"/>
              <w:rPr>
                <w:rFonts w:cs="Arial"/>
                <w:sz w:val="18"/>
                <w:szCs w:val="18"/>
              </w:rPr>
            </w:pPr>
            <w:r w:rsidRPr="001D41EA">
              <w:rPr>
                <w:rFonts w:cs="Arial"/>
                <w:sz w:val="18"/>
                <w:szCs w:val="18"/>
              </w:rPr>
              <w:t>340,419</w:t>
            </w:r>
          </w:p>
        </w:tc>
        <w:tc>
          <w:tcPr>
            <w:tcW w:w="1134" w:type="dxa"/>
            <w:tcBorders>
              <w:top w:val="nil"/>
              <w:left w:val="nil"/>
              <w:bottom w:val="nil"/>
              <w:right w:val="nil"/>
            </w:tcBorders>
            <w:shd w:val="clear" w:color="auto" w:fill="auto"/>
            <w:vAlign w:val="bottom"/>
          </w:tcPr>
          <w:p w14:paraId="20A3D73C" w14:textId="07C6AEF0" w:rsidR="00953130" w:rsidRPr="001D41EA" w:rsidRDefault="00953130" w:rsidP="001D41EA">
            <w:pPr>
              <w:spacing w:before="40" w:after="40"/>
              <w:jc w:val="right"/>
              <w:rPr>
                <w:rFonts w:cs="Arial"/>
                <w:sz w:val="18"/>
                <w:szCs w:val="18"/>
              </w:rPr>
            </w:pPr>
            <w:r w:rsidRPr="001D41EA">
              <w:rPr>
                <w:rFonts w:cs="Arial"/>
                <w:sz w:val="18"/>
                <w:szCs w:val="18"/>
              </w:rPr>
              <w:t>340,419</w:t>
            </w:r>
          </w:p>
        </w:tc>
        <w:tc>
          <w:tcPr>
            <w:tcW w:w="1134" w:type="dxa"/>
            <w:tcBorders>
              <w:top w:val="nil"/>
              <w:left w:val="nil"/>
              <w:bottom w:val="nil"/>
              <w:right w:val="nil"/>
            </w:tcBorders>
            <w:vAlign w:val="bottom"/>
          </w:tcPr>
          <w:p w14:paraId="4884DE08" w14:textId="6C31E827" w:rsidR="00953130" w:rsidRPr="001D41EA" w:rsidRDefault="00953130" w:rsidP="001D41EA">
            <w:pPr>
              <w:spacing w:before="40" w:after="40"/>
              <w:jc w:val="right"/>
              <w:rPr>
                <w:rFonts w:cs="Arial"/>
                <w:sz w:val="18"/>
                <w:szCs w:val="18"/>
              </w:rPr>
            </w:pPr>
            <w:r w:rsidRPr="001D41EA">
              <w:rPr>
                <w:rFonts w:cs="Arial"/>
                <w:sz w:val="18"/>
                <w:szCs w:val="18"/>
              </w:rPr>
              <w:t>66,816</w:t>
            </w:r>
          </w:p>
        </w:tc>
        <w:tc>
          <w:tcPr>
            <w:tcW w:w="1134" w:type="dxa"/>
            <w:tcBorders>
              <w:top w:val="nil"/>
              <w:left w:val="nil"/>
              <w:bottom w:val="nil"/>
              <w:right w:val="nil"/>
            </w:tcBorders>
            <w:shd w:val="clear" w:color="auto" w:fill="auto"/>
            <w:vAlign w:val="bottom"/>
          </w:tcPr>
          <w:p w14:paraId="2C46AC74" w14:textId="51A41E7F" w:rsidR="00953130" w:rsidRPr="001D41EA" w:rsidRDefault="00953130" w:rsidP="001D41EA">
            <w:pPr>
              <w:spacing w:before="40" w:after="40"/>
              <w:jc w:val="right"/>
              <w:rPr>
                <w:rFonts w:cs="Arial"/>
                <w:sz w:val="18"/>
                <w:szCs w:val="18"/>
              </w:rPr>
            </w:pPr>
            <w:r w:rsidRPr="001D41EA">
              <w:rPr>
                <w:rFonts w:cs="Arial"/>
                <w:sz w:val="18"/>
                <w:szCs w:val="18"/>
              </w:rPr>
              <w:t>110,755</w:t>
            </w:r>
          </w:p>
        </w:tc>
      </w:tr>
      <w:tr w:rsidR="00953130" w:rsidRPr="001D41EA" w14:paraId="343DFB08"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33B42906" w14:textId="77777777" w:rsidR="00953130" w:rsidRPr="001D41EA" w:rsidRDefault="00953130" w:rsidP="001D41EA">
            <w:pPr>
              <w:spacing w:before="40" w:after="40"/>
              <w:rPr>
                <w:rFonts w:cs="Arial"/>
                <w:sz w:val="18"/>
                <w:szCs w:val="18"/>
              </w:rPr>
            </w:pPr>
            <w:r w:rsidRPr="001D41EA">
              <w:rPr>
                <w:rFonts w:cs="Arial"/>
                <w:sz w:val="18"/>
                <w:szCs w:val="18"/>
              </w:rPr>
              <w:t>Central Goldfields S</w:t>
            </w:r>
          </w:p>
        </w:tc>
        <w:tc>
          <w:tcPr>
            <w:tcW w:w="1134" w:type="dxa"/>
            <w:tcBorders>
              <w:top w:val="nil"/>
              <w:left w:val="single" w:sz="18" w:space="0" w:color="5F497A" w:themeColor="accent4" w:themeShade="BF"/>
              <w:bottom w:val="nil"/>
              <w:right w:val="nil"/>
            </w:tcBorders>
            <w:shd w:val="clear" w:color="auto" w:fill="auto"/>
            <w:vAlign w:val="bottom"/>
          </w:tcPr>
          <w:p w14:paraId="2196A04D" w14:textId="2032D192" w:rsidR="00953130" w:rsidRPr="001D41EA" w:rsidRDefault="00953130" w:rsidP="001D41EA">
            <w:pPr>
              <w:spacing w:before="40" w:after="40"/>
              <w:jc w:val="right"/>
              <w:rPr>
                <w:rFonts w:cs="Arial"/>
                <w:sz w:val="18"/>
                <w:szCs w:val="18"/>
              </w:rPr>
            </w:pPr>
            <w:r w:rsidRPr="001D41EA">
              <w:rPr>
                <w:rFonts w:cs="Arial"/>
                <w:sz w:val="18"/>
                <w:szCs w:val="18"/>
              </w:rPr>
              <w:t>13,209</w:t>
            </w:r>
          </w:p>
        </w:tc>
        <w:tc>
          <w:tcPr>
            <w:tcW w:w="1134" w:type="dxa"/>
            <w:tcBorders>
              <w:top w:val="nil"/>
              <w:left w:val="nil"/>
              <w:bottom w:val="nil"/>
              <w:right w:val="nil"/>
            </w:tcBorders>
            <w:vAlign w:val="bottom"/>
          </w:tcPr>
          <w:p w14:paraId="2A906AA3" w14:textId="589E82F0" w:rsidR="00953130" w:rsidRPr="001D41EA" w:rsidRDefault="00953130" w:rsidP="001D41EA">
            <w:pPr>
              <w:spacing w:before="40" w:after="40"/>
              <w:jc w:val="right"/>
              <w:rPr>
                <w:rFonts w:cs="Arial"/>
                <w:sz w:val="18"/>
                <w:szCs w:val="18"/>
              </w:rPr>
            </w:pPr>
            <w:r w:rsidRPr="001D41EA">
              <w:rPr>
                <w:rFonts w:cs="Arial"/>
                <w:sz w:val="18"/>
                <w:szCs w:val="18"/>
              </w:rPr>
              <w:t>15,000</w:t>
            </w:r>
          </w:p>
        </w:tc>
        <w:tc>
          <w:tcPr>
            <w:tcW w:w="1134" w:type="dxa"/>
            <w:tcBorders>
              <w:top w:val="nil"/>
              <w:left w:val="nil"/>
              <w:bottom w:val="nil"/>
              <w:right w:val="nil"/>
            </w:tcBorders>
            <w:vAlign w:val="bottom"/>
          </w:tcPr>
          <w:p w14:paraId="16CF7D06" w14:textId="5412142B" w:rsidR="00953130" w:rsidRPr="001D41EA" w:rsidRDefault="00953130" w:rsidP="001D41EA">
            <w:pPr>
              <w:spacing w:before="40" w:after="40"/>
              <w:jc w:val="right"/>
              <w:rPr>
                <w:rFonts w:cs="Arial"/>
                <w:sz w:val="18"/>
                <w:szCs w:val="18"/>
              </w:rPr>
            </w:pPr>
            <w:r w:rsidRPr="001D41EA">
              <w:rPr>
                <w:rFonts w:cs="Arial"/>
                <w:sz w:val="18"/>
                <w:szCs w:val="18"/>
              </w:rPr>
              <w:t>20,000</w:t>
            </w:r>
          </w:p>
        </w:tc>
        <w:tc>
          <w:tcPr>
            <w:tcW w:w="1134" w:type="dxa"/>
            <w:tcBorders>
              <w:top w:val="nil"/>
              <w:left w:val="nil"/>
              <w:bottom w:val="nil"/>
              <w:right w:val="nil"/>
            </w:tcBorders>
            <w:shd w:val="clear" w:color="auto" w:fill="auto"/>
            <w:vAlign w:val="bottom"/>
          </w:tcPr>
          <w:p w14:paraId="0157BFB1" w14:textId="549C8D70" w:rsidR="00953130" w:rsidRPr="001D41EA" w:rsidRDefault="00953130" w:rsidP="001D41EA">
            <w:pPr>
              <w:spacing w:before="40" w:after="40"/>
              <w:jc w:val="right"/>
              <w:rPr>
                <w:rFonts w:cs="Arial"/>
                <w:sz w:val="18"/>
                <w:szCs w:val="18"/>
              </w:rPr>
            </w:pPr>
            <w:r w:rsidRPr="001D41EA">
              <w:rPr>
                <w:rFonts w:cs="Arial"/>
                <w:sz w:val="18"/>
                <w:szCs w:val="18"/>
              </w:rPr>
              <w:t>13,336</w:t>
            </w:r>
          </w:p>
        </w:tc>
        <w:tc>
          <w:tcPr>
            <w:tcW w:w="1134" w:type="dxa"/>
            <w:tcBorders>
              <w:top w:val="nil"/>
              <w:left w:val="nil"/>
              <w:bottom w:val="nil"/>
              <w:right w:val="nil"/>
            </w:tcBorders>
            <w:vAlign w:val="bottom"/>
          </w:tcPr>
          <w:p w14:paraId="1E619FED" w14:textId="14EAD709" w:rsidR="00953130" w:rsidRPr="001D41EA" w:rsidRDefault="00953130" w:rsidP="001D41EA">
            <w:pPr>
              <w:spacing w:before="40" w:after="40"/>
              <w:jc w:val="right"/>
              <w:rPr>
                <w:rFonts w:cs="Arial"/>
                <w:sz w:val="18"/>
                <w:szCs w:val="18"/>
              </w:rPr>
            </w:pPr>
            <w:r w:rsidRPr="001D41EA">
              <w:rPr>
                <w:rFonts w:cs="Arial"/>
                <w:sz w:val="18"/>
                <w:szCs w:val="18"/>
              </w:rPr>
              <w:t>6,524</w:t>
            </w:r>
          </w:p>
        </w:tc>
        <w:tc>
          <w:tcPr>
            <w:tcW w:w="1134" w:type="dxa"/>
            <w:tcBorders>
              <w:top w:val="nil"/>
              <w:left w:val="nil"/>
              <w:bottom w:val="nil"/>
              <w:right w:val="nil"/>
            </w:tcBorders>
            <w:shd w:val="clear" w:color="auto" w:fill="auto"/>
            <w:vAlign w:val="bottom"/>
          </w:tcPr>
          <w:p w14:paraId="22410A89" w14:textId="1048237A" w:rsidR="00953130" w:rsidRPr="001D41EA" w:rsidRDefault="00953130" w:rsidP="001D41EA">
            <w:pPr>
              <w:spacing w:before="40" w:after="40"/>
              <w:jc w:val="right"/>
              <w:rPr>
                <w:rFonts w:cs="Arial"/>
                <w:sz w:val="18"/>
                <w:szCs w:val="18"/>
              </w:rPr>
            </w:pPr>
            <w:r w:rsidRPr="001D41EA">
              <w:rPr>
                <w:rFonts w:cs="Arial"/>
                <w:sz w:val="18"/>
                <w:szCs w:val="18"/>
              </w:rPr>
              <w:t>6,721</w:t>
            </w:r>
          </w:p>
        </w:tc>
      </w:tr>
      <w:tr w:rsidR="00953130" w:rsidRPr="001D41EA" w14:paraId="40F13131"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8D42827" w14:textId="77777777" w:rsidR="00953130" w:rsidRPr="001D41EA" w:rsidRDefault="00953130" w:rsidP="001D41EA">
            <w:pPr>
              <w:spacing w:before="40" w:after="40"/>
              <w:rPr>
                <w:rFonts w:cs="Arial"/>
                <w:sz w:val="18"/>
                <w:szCs w:val="18"/>
              </w:rPr>
            </w:pPr>
            <w:r w:rsidRPr="001D41EA">
              <w:rPr>
                <w:rFonts w:cs="Arial"/>
                <w:sz w:val="18"/>
                <w:szCs w:val="18"/>
              </w:rPr>
              <w:t>Colac Otway S</w:t>
            </w:r>
          </w:p>
        </w:tc>
        <w:tc>
          <w:tcPr>
            <w:tcW w:w="1134" w:type="dxa"/>
            <w:tcBorders>
              <w:top w:val="nil"/>
              <w:left w:val="single" w:sz="18" w:space="0" w:color="5F497A" w:themeColor="accent4" w:themeShade="BF"/>
              <w:bottom w:val="nil"/>
              <w:right w:val="nil"/>
            </w:tcBorders>
            <w:shd w:val="clear" w:color="auto" w:fill="auto"/>
            <w:vAlign w:val="bottom"/>
          </w:tcPr>
          <w:p w14:paraId="0E1531E1" w14:textId="3A85C36E" w:rsidR="00953130" w:rsidRPr="001D41EA" w:rsidRDefault="00953130" w:rsidP="001D41EA">
            <w:pPr>
              <w:spacing w:before="40" w:after="40"/>
              <w:jc w:val="right"/>
              <w:rPr>
                <w:rFonts w:cs="Arial"/>
                <w:sz w:val="18"/>
                <w:szCs w:val="18"/>
              </w:rPr>
            </w:pPr>
            <w:r w:rsidRPr="001D41EA">
              <w:rPr>
                <w:rFonts w:cs="Arial"/>
                <w:sz w:val="18"/>
                <w:szCs w:val="18"/>
              </w:rPr>
              <w:t>21,503</w:t>
            </w:r>
          </w:p>
        </w:tc>
        <w:tc>
          <w:tcPr>
            <w:tcW w:w="1134" w:type="dxa"/>
            <w:tcBorders>
              <w:top w:val="nil"/>
              <w:left w:val="nil"/>
              <w:bottom w:val="nil"/>
              <w:right w:val="nil"/>
            </w:tcBorders>
            <w:vAlign w:val="bottom"/>
          </w:tcPr>
          <w:p w14:paraId="5E274E77" w14:textId="38A73112" w:rsidR="00953130" w:rsidRPr="001D41EA" w:rsidRDefault="00953130" w:rsidP="001D41EA">
            <w:pPr>
              <w:spacing w:before="40" w:after="40"/>
              <w:jc w:val="right"/>
              <w:rPr>
                <w:rFonts w:cs="Arial"/>
                <w:sz w:val="18"/>
                <w:szCs w:val="18"/>
              </w:rPr>
            </w:pPr>
            <w:r w:rsidRPr="001D41EA">
              <w:rPr>
                <w:rFonts w:cs="Arial"/>
                <w:sz w:val="18"/>
                <w:szCs w:val="18"/>
              </w:rPr>
              <w:t>23,644</w:t>
            </w:r>
          </w:p>
        </w:tc>
        <w:tc>
          <w:tcPr>
            <w:tcW w:w="1134" w:type="dxa"/>
            <w:tcBorders>
              <w:top w:val="nil"/>
              <w:left w:val="nil"/>
              <w:bottom w:val="nil"/>
              <w:right w:val="nil"/>
            </w:tcBorders>
            <w:vAlign w:val="bottom"/>
          </w:tcPr>
          <w:p w14:paraId="517FBBDD" w14:textId="01125EC7" w:rsidR="00953130" w:rsidRPr="001D41EA" w:rsidRDefault="00953130" w:rsidP="001D41EA">
            <w:pPr>
              <w:spacing w:before="40" w:after="40"/>
              <w:jc w:val="right"/>
              <w:rPr>
                <w:rFonts w:cs="Arial"/>
                <w:sz w:val="18"/>
                <w:szCs w:val="18"/>
              </w:rPr>
            </w:pPr>
            <w:r w:rsidRPr="001D41EA">
              <w:rPr>
                <w:rFonts w:cs="Arial"/>
                <w:sz w:val="18"/>
                <w:szCs w:val="18"/>
              </w:rPr>
              <w:t>23,644</w:t>
            </w:r>
          </w:p>
        </w:tc>
        <w:tc>
          <w:tcPr>
            <w:tcW w:w="1134" w:type="dxa"/>
            <w:tcBorders>
              <w:top w:val="nil"/>
              <w:left w:val="nil"/>
              <w:bottom w:val="nil"/>
              <w:right w:val="nil"/>
            </w:tcBorders>
            <w:shd w:val="clear" w:color="auto" w:fill="auto"/>
            <w:vAlign w:val="bottom"/>
          </w:tcPr>
          <w:p w14:paraId="24FA213F" w14:textId="38CAA699" w:rsidR="00953130" w:rsidRPr="001D41EA" w:rsidRDefault="00953130" w:rsidP="001D41EA">
            <w:pPr>
              <w:spacing w:before="40" w:after="40"/>
              <w:jc w:val="right"/>
              <w:rPr>
                <w:rFonts w:cs="Arial"/>
                <w:sz w:val="18"/>
                <w:szCs w:val="18"/>
              </w:rPr>
            </w:pPr>
            <w:r w:rsidRPr="001D41EA">
              <w:rPr>
                <w:rFonts w:cs="Arial"/>
                <w:sz w:val="18"/>
                <w:szCs w:val="18"/>
              </w:rPr>
              <w:t>23,644</w:t>
            </w:r>
          </w:p>
        </w:tc>
        <w:tc>
          <w:tcPr>
            <w:tcW w:w="1134" w:type="dxa"/>
            <w:tcBorders>
              <w:top w:val="nil"/>
              <w:left w:val="nil"/>
              <w:bottom w:val="nil"/>
              <w:right w:val="nil"/>
            </w:tcBorders>
            <w:vAlign w:val="bottom"/>
          </w:tcPr>
          <w:p w14:paraId="2ADA2496" w14:textId="51661F2A" w:rsidR="00953130" w:rsidRPr="001D41EA" w:rsidRDefault="00953130" w:rsidP="001D41EA">
            <w:pPr>
              <w:spacing w:before="40" w:after="40"/>
              <w:jc w:val="right"/>
              <w:rPr>
                <w:rFonts w:cs="Arial"/>
                <w:sz w:val="18"/>
                <w:szCs w:val="18"/>
              </w:rPr>
            </w:pPr>
            <w:r w:rsidRPr="001D41EA">
              <w:rPr>
                <w:rFonts w:cs="Arial"/>
                <w:sz w:val="18"/>
                <w:szCs w:val="18"/>
              </w:rPr>
              <w:t>7,793</w:t>
            </w:r>
          </w:p>
        </w:tc>
        <w:tc>
          <w:tcPr>
            <w:tcW w:w="1134" w:type="dxa"/>
            <w:tcBorders>
              <w:top w:val="nil"/>
              <w:left w:val="nil"/>
              <w:bottom w:val="nil"/>
              <w:right w:val="nil"/>
            </w:tcBorders>
            <w:shd w:val="clear" w:color="auto" w:fill="auto"/>
            <w:vAlign w:val="bottom"/>
          </w:tcPr>
          <w:p w14:paraId="0DBA58E6" w14:textId="55C65C8F" w:rsidR="00953130" w:rsidRPr="001D41EA" w:rsidRDefault="00953130" w:rsidP="001D41EA">
            <w:pPr>
              <w:spacing w:before="40" w:after="40"/>
              <w:jc w:val="right"/>
              <w:rPr>
                <w:rFonts w:cs="Arial"/>
                <w:sz w:val="18"/>
                <w:szCs w:val="18"/>
              </w:rPr>
            </w:pPr>
            <w:r w:rsidRPr="001D41EA">
              <w:rPr>
                <w:rFonts w:cs="Arial"/>
                <w:sz w:val="18"/>
                <w:szCs w:val="18"/>
              </w:rPr>
              <w:t>11,753</w:t>
            </w:r>
          </w:p>
        </w:tc>
      </w:tr>
      <w:tr w:rsidR="00953130" w:rsidRPr="001D41EA" w14:paraId="5B5BDE44"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FF90322" w14:textId="77777777" w:rsidR="00953130" w:rsidRPr="001D41EA" w:rsidRDefault="00953130" w:rsidP="001D41EA">
            <w:pPr>
              <w:spacing w:before="40" w:after="40"/>
              <w:rPr>
                <w:rFonts w:cs="Arial"/>
                <w:sz w:val="18"/>
                <w:szCs w:val="18"/>
              </w:rPr>
            </w:pPr>
            <w:r w:rsidRPr="001D41EA">
              <w:rPr>
                <w:rFonts w:cs="Arial"/>
                <w:sz w:val="18"/>
                <w:szCs w:val="18"/>
              </w:rPr>
              <w:t>Corangamite S</w:t>
            </w:r>
          </w:p>
        </w:tc>
        <w:tc>
          <w:tcPr>
            <w:tcW w:w="1134" w:type="dxa"/>
            <w:tcBorders>
              <w:top w:val="nil"/>
              <w:left w:val="single" w:sz="18" w:space="0" w:color="5F497A" w:themeColor="accent4" w:themeShade="BF"/>
              <w:bottom w:val="nil"/>
              <w:right w:val="nil"/>
            </w:tcBorders>
            <w:shd w:val="clear" w:color="auto" w:fill="auto"/>
            <w:vAlign w:val="bottom"/>
          </w:tcPr>
          <w:p w14:paraId="0EFA237E" w14:textId="35D9ACAC" w:rsidR="00953130" w:rsidRPr="001D41EA" w:rsidRDefault="00953130" w:rsidP="001D41EA">
            <w:pPr>
              <w:spacing w:before="40" w:after="40"/>
              <w:jc w:val="right"/>
              <w:rPr>
                <w:rFonts w:cs="Arial"/>
                <w:sz w:val="18"/>
                <w:szCs w:val="18"/>
              </w:rPr>
            </w:pPr>
            <w:r w:rsidRPr="001D41EA">
              <w:rPr>
                <w:rFonts w:cs="Arial"/>
                <w:sz w:val="18"/>
                <w:szCs w:val="18"/>
              </w:rPr>
              <w:t>16,140</w:t>
            </w:r>
          </w:p>
        </w:tc>
        <w:tc>
          <w:tcPr>
            <w:tcW w:w="1134" w:type="dxa"/>
            <w:tcBorders>
              <w:top w:val="nil"/>
              <w:left w:val="nil"/>
              <w:bottom w:val="nil"/>
              <w:right w:val="nil"/>
            </w:tcBorders>
            <w:vAlign w:val="bottom"/>
          </w:tcPr>
          <w:p w14:paraId="2D30613B" w14:textId="7AC20A56" w:rsidR="00953130" w:rsidRPr="001D41EA" w:rsidRDefault="00953130" w:rsidP="001D41EA">
            <w:pPr>
              <w:spacing w:before="40" w:after="40"/>
              <w:jc w:val="right"/>
              <w:rPr>
                <w:rFonts w:cs="Arial"/>
                <w:sz w:val="18"/>
                <w:szCs w:val="18"/>
              </w:rPr>
            </w:pPr>
            <w:r w:rsidRPr="001D41EA">
              <w:rPr>
                <w:rFonts w:cs="Arial"/>
                <w:sz w:val="18"/>
                <w:szCs w:val="18"/>
              </w:rPr>
              <w:t>16,591</w:t>
            </w:r>
          </w:p>
        </w:tc>
        <w:tc>
          <w:tcPr>
            <w:tcW w:w="1134" w:type="dxa"/>
            <w:tcBorders>
              <w:top w:val="nil"/>
              <w:left w:val="nil"/>
              <w:bottom w:val="nil"/>
              <w:right w:val="nil"/>
            </w:tcBorders>
            <w:vAlign w:val="bottom"/>
          </w:tcPr>
          <w:p w14:paraId="1D1E661A" w14:textId="01138CDE" w:rsidR="00953130" w:rsidRPr="001D41EA" w:rsidRDefault="00953130" w:rsidP="001D41EA">
            <w:pPr>
              <w:spacing w:before="40" w:after="40"/>
              <w:jc w:val="right"/>
              <w:rPr>
                <w:rFonts w:cs="Arial"/>
                <w:sz w:val="18"/>
                <w:szCs w:val="18"/>
              </w:rPr>
            </w:pPr>
            <w:r w:rsidRPr="001D41EA">
              <w:rPr>
                <w:rFonts w:cs="Arial"/>
                <w:sz w:val="18"/>
                <w:szCs w:val="18"/>
              </w:rPr>
              <w:t>20,000</w:t>
            </w:r>
          </w:p>
        </w:tc>
        <w:tc>
          <w:tcPr>
            <w:tcW w:w="1134" w:type="dxa"/>
            <w:tcBorders>
              <w:top w:val="nil"/>
              <w:left w:val="nil"/>
              <w:bottom w:val="nil"/>
              <w:right w:val="nil"/>
            </w:tcBorders>
            <w:shd w:val="clear" w:color="auto" w:fill="auto"/>
            <w:vAlign w:val="bottom"/>
          </w:tcPr>
          <w:p w14:paraId="340EE0B6" w14:textId="660FCB6E" w:rsidR="00953130" w:rsidRPr="001D41EA" w:rsidRDefault="00953130" w:rsidP="001D41EA">
            <w:pPr>
              <w:spacing w:before="40" w:after="40"/>
              <w:jc w:val="right"/>
              <w:rPr>
                <w:rFonts w:cs="Arial"/>
                <w:sz w:val="18"/>
                <w:szCs w:val="18"/>
              </w:rPr>
            </w:pPr>
            <w:r w:rsidRPr="001D41EA">
              <w:rPr>
                <w:rFonts w:cs="Arial"/>
                <w:sz w:val="18"/>
                <w:szCs w:val="18"/>
              </w:rPr>
              <w:t>16,591</w:t>
            </w:r>
          </w:p>
        </w:tc>
        <w:tc>
          <w:tcPr>
            <w:tcW w:w="1134" w:type="dxa"/>
            <w:tcBorders>
              <w:top w:val="nil"/>
              <w:left w:val="nil"/>
              <w:bottom w:val="nil"/>
              <w:right w:val="nil"/>
            </w:tcBorders>
            <w:vAlign w:val="bottom"/>
          </w:tcPr>
          <w:p w14:paraId="39CF7C83" w14:textId="06FC304E" w:rsidR="00953130" w:rsidRPr="001D41EA" w:rsidRDefault="00953130" w:rsidP="001D41EA">
            <w:pPr>
              <w:spacing w:before="40" w:after="40"/>
              <w:jc w:val="right"/>
              <w:rPr>
                <w:rFonts w:cs="Arial"/>
                <w:sz w:val="18"/>
                <w:szCs w:val="18"/>
              </w:rPr>
            </w:pPr>
            <w:r w:rsidRPr="001D41EA">
              <w:rPr>
                <w:rFonts w:cs="Arial"/>
                <w:sz w:val="18"/>
                <w:szCs w:val="18"/>
              </w:rPr>
              <w:t>5,882</w:t>
            </w:r>
          </w:p>
        </w:tc>
        <w:tc>
          <w:tcPr>
            <w:tcW w:w="1134" w:type="dxa"/>
            <w:tcBorders>
              <w:top w:val="nil"/>
              <w:left w:val="nil"/>
              <w:bottom w:val="nil"/>
              <w:right w:val="nil"/>
            </w:tcBorders>
            <w:shd w:val="clear" w:color="auto" w:fill="auto"/>
            <w:vAlign w:val="bottom"/>
          </w:tcPr>
          <w:p w14:paraId="67E8719F" w14:textId="13D5CA26" w:rsidR="00953130" w:rsidRPr="001D41EA" w:rsidRDefault="00953130" w:rsidP="001D41EA">
            <w:pPr>
              <w:spacing w:before="40" w:after="40"/>
              <w:jc w:val="right"/>
              <w:rPr>
                <w:rFonts w:cs="Arial"/>
                <w:sz w:val="18"/>
                <w:szCs w:val="18"/>
              </w:rPr>
            </w:pPr>
            <w:r w:rsidRPr="001D41EA">
              <w:rPr>
                <w:rFonts w:cs="Arial"/>
                <w:sz w:val="18"/>
                <w:szCs w:val="18"/>
              </w:rPr>
              <w:t>7,700</w:t>
            </w:r>
          </w:p>
        </w:tc>
      </w:tr>
      <w:tr w:rsidR="00953130" w:rsidRPr="001D41EA" w14:paraId="35D26C45"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E6ABA0E" w14:textId="77777777" w:rsidR="00953130" w:rsidRPr="001D41EA" w:rsidRDefault="00953130" w:rsidP="001D41EA">
            <w:pPr>
              <w:spacing w:before="40" w:after="40"/>
              <w:rPr>
                <w:rFonts w:cs="Arial"/>
                <w:sz w:val="18"/>
                <w:szCs w:val="18"/>
              </w:rPr>
            </w:pPr>
            <w:r w:rsidRPr="001D41EA">
              <w:rPr>
                <w:rFonts w:cs="Arial"/>
                <w:sz w:val="18"/>
                <w:szCs w:val="18"/>
              </w:rPr>
              <w:t>Darebin C</w:t>
            </w:r>
          </w:p>
        </w:tc>
        <w:tc>
          <w:tcPr>
            <w:tcW w:w="1134" w:type="dxa"/>
            <w:tcBorders>
              <w:top w:val="nil"/>
              <w:left w:val="single" w:sz="18" w:space="0" w:color="5F497A" w:themeColor="accent4" w:themeShade="BF"/>
              <w:bottom w:val="nil"/>
              <w:right w:val="nil"/>
            </w:tcBorders>
            <w:shd w:val="clear" w:color="auto" w:fill="auto"/>
            <w:vAlign w:val="bottom"/>
          </w:tcPr>
          <w:p w14:paraId="0F70A5BF" w14:textId="0BB8D4EC" w:rsidR="00953130" w:rsidRPr="001D41EA" w:rsidRDefault="00953130" w:rsidP="001D41EA">
            <w:pPr>
              <w:spacing w:before="40" w:after="40"/>
              <w:jc w:val="right"/>
              <w:rPr>
                <w:rFonts w:cs="Arial"/>
                <w:sz w:val="18"/>
                <w:szCs w:val="18"/>
              </w:rPr>
            </w:pPr>
            <w:r w:rsidRPr="001D41EA">
              <w:rPr>
                <w:rFonts w:cs="Arial"/>
                <w:sz w:val="18"/>
                <w:szCs w:val="18"/>
              </w:rPr>
              <w:t>161,609</w:t>
            </w:r>
          </w:p>
        </w:tc>
        <w:tc>
          <w:tcPr>
            <w:tcW w:w="1134" w:type="dxa"/>
            <w:tcBorders>
              <w:top w:val="nil"/>
              <w:left w:val="nil"/>
              <w:bottom w:val="nil"/>
              <w:right w:val="nil"/>
            </w:tcBorders>
            <w:vAlign w:val="bottom"/>
          </w:tcPr>
          <w:p w14:paraId="6F935132" w14:textId="4CCD0F4A" w:rsidR="00953130" w:rsidRPr="001D41EA" w:rsidRDefault="00953130" w:rsidP="001D41EA">
            <w:pPr>
              <w:spacing w:before="40" w:after="40"/>
              <w:jc w:val="right"/>
              <w:rPr>
                <w:rFonts w:cs="Arial"/>
                <w:sz w:val="18"/>
                <w:szCs w:val="18"/>
              </w:rPr>
            </w:pPr>
            <w:r w:rsidRPr="001D41EA">
              <w:rPr>
                <w:rFonts w:cs="Arial"/>
                <w:sz w:val="18"/>
                <w:szCs w:val="18"/>
              </w:rPr>
              <w:t>161,609</w:t>
            </w:r>
          </w:p>
        </w:tc>
        <w:tc>
          <w:tcPr>
            <w:tcW w:w="1134" w:type="dxa"/>
            <w:tcBorders>
              <w:top w:val="nil"/>
              <w:left w:val="nil"/>
              <w:bottom w:val="nil"/>
              <w:right w:val="nil"/>
            </w:tcBorders>
            <w:vAlign w:val="bottom"/>
          </w:tcPr>
          <w:p w14:paraId="4FE212AC" w14:textId="71D07481" w:rsidR="00953130" w:rsidRPr="001D41EA" w:rsidRDefault="00953130" w:rsidP="001D41EA">
            <w:pPr>
              <w:spacing w:before="40" w:after="40"/>
              <w:jc w:val="right"/>
              <w:rPr>
                <w:rFonts w:cs="Arial"/>
                <w:sz w:val="18"/>
                <w:szCs w:val="18"/>
              </w:rPr>
            </w:pPr>
            <w:r w:rsidRPr="001D41EA">
              <w:rPr>
                <w:rFonts w:cs="Arial"/>
                <w:sz w:val="18"/>
                <w:szCs w:val="18"/>
              </w:rPr>
              <w:t>161,609</w:t>
            </w:r>
          </w:p>
        </w:tc>
        <w:tc>
          <w:tcPr>
            <w:tcW w:w="1134" w:type="dxa"/>
            <w:tcBorders>
              <w:top w:val="nil"/>
              <w:left w:val="nil"/>
              <w:bottom w:val="nil"/>
              <w:right w:val="nil"/>
            </w:tcBorders>
            <w:shd w:val="clear" w:color="auto" w:fill="auto"/>
            <w:vAlign w:val="bottom"/>
          </w:tcPr>
          <w:p w14:paraId="019EEFF1" w14:textId="651264E8" w:rsidR="00953130" w:rsidRPr="001D41EA" w:rsidRDefault="00953130" w:rsidP="001D41EA">
            <w:pPr>
              <w:spacing w:before="40" w:after="40"/>
              <w:jc w:val="right"/>
              <w:rPr>
                <w:rFonts w:cs="Arial"/>
                <w:sz w:val="18"/>
                <w:szCs w:val="18"/>
              </w:rPr>
            </w:pPr>
            <w:r w:rsidRPr="001D41EA">
              <w:rPr>
                <w:rFonts w:cs="Arial"/>
                <w:sz w:val="18"/>
                <w:szCs w:val="18"/>
              </w:rPr>
              <w:t>161,609</w:t>
            </w:r>
          </w:p>
        </w:tc>
        <w:tc>
          <w:tcPr>
            <w:tcW w:w="1134" w:type="dxa"/>
            <w:tcBorders>
              <w:top w:val="nil"/>
              <w:left w:val="nil"/>
              <w:bottom w:val="nil"/>
              <w:right w:val="nil"/>
            </w:tcBorders>
            <w:vAlign w:val="bottom"/>
          </w:tcPr>
          <w:p w14:paraId="49679EEE" w14:textId="0DB615CA" w:rsidR="00953130" w:rsidRPr="001D41EA" w:rsidRDefault="00953130" w:rsidP="001D41EA">
            <w:pPr>
              <w:spacing w:before="40" w:after="40"/>
              <w:jc w:val="right"/>
              <w:rPr>
                <w:rFonts w:cs="Arial"/>
                <w:sz w:val="18"/>
                <w:szCs w:val="18"/>
              </w:rPr>
            </w:pPr>
            <w:r w:rsidRPr="001D41EA">
              <w:rPr>
                <w:rFonts w:cs="Arial"/>
                <w:sz w:val="18"/>
                <w:szCs w:val="18"/>
              </w:rPr>
              <w:t>38,692</w:t>
            </w:r>
          </w:p>
        </w:tc>
        <w:tc>
          <w:tcPr>
            <w:tcW w:w="1134" w:type="dxa"/>
            <w:tcBorders>
              <w:top w:val="nil"/>
              <w:left w:val="nil"/>
              <w:bottom w:val="nil"/>
              <w:right w:val="nil"/>
            </w:tcBorders>
            <w:shd w:val="clear" w:color="auto" w:fill="auto"/>
            <w:vAlign w:val="bottom"/>
          </w:tcPr>
          <w:p w14:paraId="2748FB03" w14:textId="1D6EA360" w:rsidR="00953130" w:rsidRPr="001D41EA" w:rsidRDefault="00953130" w:rsidP="001D41EA">
            <w:pPr>
              <w:spacing w:before="40" w:after="40"/>
              <w:jc w:val="right"/>
              <w:rPr>
                <w:rFonts w:cs="Arial"/>
                <w:sz w:val="18"/>
                <w:szCs w:val="18"/>
              </w:rPr>
            </w:pPr>
            <w:r w:rsidRPr="001D41EA">
              <w:rPr>
                <w:rFonts w:cs="Arial"/>
                <w:sz w:val="18"/>
                <w:szCs w:val="18"/>
              </w:rPr>
              <w:t>66,191</w:t>
            </w:r>
          </w:p>
        </w:tc>
      </w:tr>
      <w:tr w:rsidR="00953130" w:rsidRPr="001D41EA" w14:paraId="623370C8"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4906629" w14:textId="77777777" w:rsidR="00953130" w:rsidRPr="001D41EA" w:rsidRDefault="00953130" w:rsidP="001D41EA">
            <w:pPr>
              <w:spacing w:before="40" w:after="40"/>
              <w:rPr>
                <w:rFonts w:cs="Arial"/>
                <w:sz w:val="18"/>
                <w:szCs w:val="18"/>
              </w:rPr>
            </w:pPr>
            <w:r w:rsidRPr="001D41EA">
              <w:rPr>
                <w:rFonts w:cs="Arial"/>
                <w:sz w:val="18"/>
                <w:szCs w:val="18"/>
              </w:rPr>
              <w:t>East Gippsland S</w:t>
            </w:r>
          </w:p>
        </w:tc>
        <w:tc>
          <w:tcPr>
            <w:tcW w:w="1134" w:type="dxa"/>
            <w:tcBorders>
              <w:top w:val="nil"/>
              <w:left w:val="single" w:sz="18" w:space="0" w:color="5F497A" w:themeColor="accent4" w:themeShade="BF"/>
              <w:bottom w:val="nil"/>
              <w:right w:val="nil"/>
            </w:tcBorders>
            <w:shd w:val="clear" w:color="auto" w:fill="auto"/>
            <w:vAlign w:val="bottom"/>
          </w:tcPr>
          <w:p w14:paraId="12AC1D98" w14:textId="387E6E2C" w:rsidR="00953130" w:rsidRPr="001D41EA" w:rsidRDefault="00953130" w:rsidP="001D41EA">
            <w:pPr>
              <w:spacing w:before="40" w:after="40"/>
              <w:jc w:val="right"/>
              <w:rPr>
                <w:rFonts w:cs="Arial"/>
                <w:sz w:val="18"/>
                <w:szCs w:val="18"/>
              </w:rPr>
            </w:pPr>
            <w:r w:rsidRPr="001D41EA">
              <w:rPr>
                <w:rFonts w:cs="Arial"/>
                <w:sz w:val="18"/>
                <w:szCs w:val="18"/>
              </w:rPr>
              <w:t>46,818</w:t>
            </w:r>
          </w:p>
        </w:tc>
        <w:tc>
          <w:tcPr>
            <w:tcW w:w="1134" w:type="dxa"/>
            <w:tcBorders>
              <w:top w:val="nil"/>
              <w:left w:val="nil"/>
              <w:bottom w:val="nil"/>
              <w:right w:val="nil"/>
            </w:tcBorders>
            <w:vAlign w:val="bottom"/>
          </w:tcPr>
          <w:p w14:paraId="6FF81CDE" w14:textId="65554EB8" w:rsidR="00953130" w:rsidRPr="001D41EA" w:rsidRDefault="00953130" w:rsidP="001D41EA">
            <w:pPr>
              <w:spacing w:before="40" w:after="40"/>
              <w:jc w:val="right"/>
              <w:rPr>
                <w:rFonts w:cs="Arial"/>
                <w:sz w:val="18"/>
                <w:szCs w:val="18"/>
              </w:rPr>
            </w:pPr>
            <w:r w:rsidRPr="001D41EA">
              <w:rPr>
                <w:rFonts w:cs="Arial"/>
                <w:sz w:val="18"/>
                <w:szCs w:val="18"/>
              </w:rPr>
              <w:t>49,607</w:t>
            </w:r>
          </w:p>
        </w:tc>
        <w:tc>
          <w:tcPr>
            <w:tcW w:w="1134" w:type="dxa"/>
            <w:tcBorders>
              <w:top w:val="nil"/>
              <w:left w:val="nil"/>
              <w:bottom w:val="nil"/>
              <w:right w:val="nil"/>
            </w:tcBorders>
            <w:vAlign w:val="bottom"/>
          </w:tcPr>
          <w:p w14:paraId="4215DF0A" w14:textId="14B9E6A7" w:rsidR="00953130" w:rsidRPr="001D41EA" w:rsidRDefault="00953130" w:rsidP="001D41EA">
            <w:pPr>
              <w:spacing w:before="40" w:after="40"/>
              <w:jc w:val="right"/>
              <w:rPr>
                <w:rFonts w:cs="Arial"/>
                <w:sz w:val="18"/>
                <w:szCs w:val="18"/>
              </w:rPr>
            </w:pPr>
            <w:r w:rsidRPr="001D41EA">
              <w:rPr>
                <w:rFonts w:cs="Arial"/>
                <w:sz w:val="18"/>
                <w:szCs w:val="18"/>
              </w:rPr>
              <w:t>49,607</w:t>
            </w:r>
          </w:p>
        </w:tc>
        <w:tc>
          <w:tcPr>
            <w:tcW w:w="1134" w:type="dxa"/>
            <w:tcBorders>
              <w:top w:val="nil"/>
              <w:left w:val="nil"/>
              <w:bottom w:val="nil"/>
              <w:right w:val="nil"/>
            </w:tcBorders>
            <w:shd w:val="clear" w:color="auto" w:fill="auto"/>
            <w:vAlign w:val="bottom"/>
          </w:tcPr>
          <w:p w14:paraId="1C7869E3" w14:textId="3AD2472C" w:rsidR="00953130" w:rsidRPr="001D41EA" w:rsidRDefault="00953130" w:rsidP="001D41EA">
            <w:pPr>
              <w:spacing w:before="40" w:after="40"/>
              <w:jc w:val="right"/>
              <w:rPr>
                <w:rFonts w:cs="Arial"/>
                <w:sz w:val="18"/>
                <w:szCs w:val="18"/>
              </w:rPr>
            </w:pPr>
            <w:r w:rsidRPr="001D41EA">
              <w:rPr>
                <w:rFonts w:cs="Arial"/>
                <w:sz w:val="18"/>
                <w:szCs w:val="18"/>
              </w:rPr>
              <w:t>49,607</w:t>
            </w:r>
          </w:p>
        </w:tc>
        <w:tc>
          <w:tcPr>
            <w:tcW w:w="1134" w:type="dxa"/>
            <w:tcBorders>
              <w:top w:val="nil"/>
              <w:left w:val="nil"/>
              <w:bottom w:val="nil"/>
              <w:right w:val="nil"/>
            </w:tcBorders>
            <w:vAlign w:val="bottom"/>
          </w:tcPr>
          <w:p w14:paraId="5282D90B" w14:textId="300126CC" w:rsidR="00953130" w:rsidRPr="001D41EA" w:rsidRDefault="00953130" w:rsidP="001D41EA">
            <w:pPr>
              <w:spacing w:before="40" w:after="40"/>
              <w:jc w:val="right"/>
              <w:rPr>
                <w:rFonts w:cs="Arial"/>
                <w:sz w:val="18"/>
                <w:szCs w:val="18"/>
              </w:rPr>
            </w:pPr>
            <w:r w:rsidRPr="001D41EA">
              <w:rPr>
                <w:rFonts w:cs="Arial"/>
                <w:sz w:val="18"/>
                <w:szCs w:val="18"/>
              </w:rPr>
              <w:t>21,158</w:t>
            </w:r>
          </w:p>
        </w:tc>
        <w:tc>
          <w:tcPr>
            <w:tcW w:w="1134" w:type="dxa"/>
            <w:tcBorders>
              <w:top w:val="nil"/>
              <w:left w:val="nil"/>
              <w:bottom w:val="nil"/>
              <w:right w:val="nil"/>
            </w:tcBorders>
            <w:shd w:val="clear" w:color="auto" w:fill="auto"/>
            <w:vAlign w:val="bottom"/>
          </w:tcPr>
          <w:p w14:paraId="00CD61F4" w14:textId="373A2259" w:rsidR="00953130" w:rsidRPr="001D41EA" w:rsidRDefault="00953130" w:rsidP="001D41EA">
            <w:pPr>
              <w:spacing w:before="40" w:after="40"/>
              <w:jc w:val="right"/>
              <w:rPr>
                <w:rFonts w:cs="Arial"/>
                <w:sz w:val="18"/>
                <w:szCs w:val="18"/>
              </w:rPr>
            </w:pPr>
            <w:r w:rsidRPr="001D41EA">
              <w:rPr>
                <w:rFonts w:cs="Arial"/>
                <w:sz w:val="18"/>
                <w:szCs w:val="18"/>
              </w:rPr>
              <w:t>24,821</w:t>
            </w:r>
          </w:p>
        </w:tc>
      </w:tr>
      <w:tr w:rsidR="00953130" w:rsidRPr="001D41EA" w14:paraId="07131286"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A7A89C3" w14:textId="77777777" w:rsidR="00953130" w:rsidRPr="001D41EA" w:rsidRDefault="00953130" w:rsidP="001D41EA">
            <w:pPr>
              <w:spacing w:before="40" w:after="40"/>
              <w:rPr>
                <w:rFonts w:cs="Arial"/>
                <w:sz w:val="18"/>
                <w:szCs w:val="18"/>
              </w:rPr>
            </w:pPr>
            <w:r w:rsidRPr="001D41EA">
              <w:rPr>
                <w:rFonts w:cs="Arial"/>
                <w:sz w:val="18"/>
                <w:szCs w:val="18"/>
              </w:rPr>
              <w:t>Frankston C</w:t>
            </w:r>
          </w:p>
        </w:tc>
        <w:tc>
          <w:tcPr>
            <w:tcW w:w="1134" w:type="dxa"/>
            <w:tcBorders>
              <w:top w:val="nil"/>
              <w:left w:val="single" w:sz="18" w:space="0" w:color="5F497A" w:themeColor="accent4" w:themeShade="BF"/>
              <w:bottom w:val="nil"/>
              <w:right w:val="nil"/>
            </w:tcBorders>
            <w:shd w:val="clear" w:color="auto" w:fill="auto"/>
            <w:vAlign w:val="bottom"/>
          </w:tcPr>
          <w:p w14:paraId="7A03F2BA" w14:textId="4C4479B0" w:rsidR="00953130" w:rsidRPr="001D41EA" w:rsidRDefault="00953130" w:rsidP="001D41EA">
            <w:pPr>
              <w:spacing w:before="40" w:after="40"/>
              <w:jc w:val="right"/>
              <w:rPr>
                <w:rFonts w:cs="Arial"/>
                <w:sz w:val="18"/>
                <w:szCs w:val="18"/>
              </w:rPr>
            </w:pPr>
            <w:r w:rsidRPr="001D41EA">
              <w:rPr>
                <w:rFonts w:cs="Arial"/>
                <w:sz w:val="18"/>
                <w:szCs w:val="18"/>
              </w:rPr>
              <w:t>141,845</w:t>
            </w:r>
          </w:p>
        </w:tc>
        <w:tc>
          <w:tcPr>
            <w:tcW w:w="1134" w:type="dxa"/>
            <w:tcBorders>
              <w:top w:val="nil"/>
              <w:left w:val="nil"/>
              <w:bottom w:val="nil"/>
              <w:right w:val="nil"/>
            </w:tcBorders>
            <w:vAlign w:val="bottom"/>
          </w:tcPr>
          <w:p w14:paraId="0483B133" w14:textId="79FD281B" w:rsidR="00953130" w:rsidRPr="001D41EA" w:rsidRDefault="00953130" w:rsidP="001D41EA">
            <w:pPr>
              <w:spacing w:before="40" w:after="40"/>
              <w:jc w:val="right"/>
              <w:rPr>
                <w:rFonts w:cs="Arial"/>
                <w:sz w:val="18"/>
                <w:szCs w:val="18"/>
              </w:rPr>
            </w:pPr>
            <w:r w:rsidRPr="001D41EA">
              <w:rPr>
                <w:rFonts w:cs="Arial"/>
                <w:sz w:val="18"/>
                <w:szCs w:val="18"/>
              </w:rPr>
              <w:t>141,845</w:t>
            </w:r>
          </w:p>
        </w:tc>
        <w:tc>
          <w:tcPr>
            <w:tcW w:w="1134" w:type="dxa"/>
            <w:tcBorders>
              <w:top w:val="nil"/>
              <w:left w:val="nil"/>
              <w:bottom w:val="nil"/>
              <w:right w:val="nil"/>
            </w:tcBorders>
            <w:vAlign w:val="bottom"/>
          </w:tcPr>
          <w:p w14:paraId="7A6E7EB8" w14:textId="7FF88579" w:rsidR="00953130" w:rsidRPr="001D41EA" w:rsidRDefault="00953130" w:rsidP="001D41EA">
            <w:pPr>
              <w:spacing w:before="40" w:after="40"/>
              <w:jc w:val="right"/>
              <w:rPr>
                <w:rFonts w:cs="Arial"/>
                <w:sz w:val="18"/>
                <w:szCs w:val="18"/>
              </w:rPr>
            </w:pPr>
            <w:r w:rsidRPr="001D41EA">
              <w:rPr>
                <w:rFonts w:cs="Arial"/>
                <w:sz w:val="18"/>
                <w:szCs w:val="18"/>
              </w:rPr>
              <w:t>141,845</w:t>
            </w:r>
          </w:p>
        </w:tc>
        <w:tc>
          <w:tcPr>
            <w:tcW w:w="1134" w:type="dxa"/>
            <w:tcBorders>
              <w:top w:val="nil"/>
              <w:left w:val="nil"/>
              <w:bottom w:val="nil"/>
              <w:right w:val="nil"/>
            </w:tcBorders>
            <w:shd w:val="clear" w:color="auto" w:fill="auto"/>
            <w:vAlign w:val="bottom"/>
          </w:tcPr>
          <w:p w14:paraId="4B31AD18" w14:textId="7C2561EC" w:rsidR="00953130" w:rsidRPr="001D41EA" w:rsidRDefault="00953130" w:rsidP="001D41EA">
            <w:pPr>
              <w:spacing w:before="40" w:after="40"/>
              <w:jc w:val="right"/>
              <w:rPr>
                <w:rFonts w:cs="Arial"/>
                <w:sz w:val="18"/>
                <w:szCs w:val="18"/>
              </w:rPr>
            </w:pPr>
            <w:r w:rsidRPr="001D41EA">
              <w:rPr>
                <w:rFonts w:cs="Arial"/>
                <w:sz w:val="18"/>
                <w:szCs w:val="18"/>
              </w:rPr>
              <w:t>141,845</w:t>
            </w:r>
          </w:p>
        </w:tc>
        <w:tc>
          <w:tcPr>
            <w:tcW w:w="1134" w:type="dxa"/>
            <w:tcBorders>
              <w:top w:val="nil"/>
              <w:left w:val="nil"/>
              <w:bottom w:val="nil"/>
              <w:right w:val="nil"/>
            </w:tcBorders>
            <w:vAlign w:val="bottom"/>
          </w:tcPr>
          <w:p w14:paraId="4BCA5B11" w14:textId="412A9B63" w:rsidR="00953130" w:rsidRPr="001D41EA" w:rsidRDefault="00953130" w:rsidP="001D41EA">
            <w:pPr>
              <w:spacing w:before="40" w:after="40"/>
              <w:jc w:val="right"/>
              <w:rPr>
                <w:rFonts w:cs="Arial"/>
                <w:sz w:val="18"/>
                <w:szCs w:val="18"/>
              </w:rPr>
            </w:pPr>
            <w:r w:rsidRPr="001D41EA">
              <w:rPr>
                <w:rFonts w:cs="Arial"/>
                <w:sz w:val="18"/>
                <w:szCs w:val="18"/>
              </w:rPr>
              <w:t>38,464</w:t>
            </w:r>
          </w:p>
        </w:tc>
        <w:tc>
          <w:tcPr>
            <w:tcW w:w="1134" w:type="dxa"/>
            <w:tcBorders>
              <w:top w:val="nil"/>
              <w:left w:val="nil"/>
              <w:bottom w:val="nil"/>
              <w:right w:val="nil"/>
            </w:tcBorders>
            <w:shd w:val="clear" w:color="auto" w:fill="auto"/>
            <w:vAlign w:val="bottom"/>
          </w:tcPr>
          <w:p w14:paraId="2D1483DA" w14:textId="1A97FA29" w:rsidR="00953130" w:rsidRPr="001D41EA" w:rsidRDefault="00953130" w:rsidP="001D41EA">
            <w:pPr>
              <w:spacing w:before="40" w:after="40"/>
              <w:jc w:val="right"/>
              <w:rPr>
                <w:rFonts w:cs="Arial"/>
                <w:sz w:val="18"/>
                <w:szCs w:val="18"/>
              </w:rPr>
            </w:pPr>
            <w:r w:rsidRPr="001D41EA">
              <w:rPr>
                <w:rFonts w:cs="Arial"/>
                <w:sz w:val="18"/>
                <w:szCs w:val="18"/>
              </w:rPr>
              <w:t>57,821</w:t>
            </w:r>
          </w:p>
        </w:tc>
      </w:tr>
      <w:tr w:rsidR="00953130" w:rsidRPr="001D41EA" w14:paraId="0165A62A"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1BA475F" w14:textId="77777777" w:rsidR="00953130" w:rsidRPr="001D41EA" w:rsidRDefault="00953130" w:rsidP="001D41EA">
            <w:pPr>
              <w:spacing w:before="40" w:after="40"/>
              <w:rPr>
                <w:rFonts w:cs="Arial"/>
                <w:sz w:val="18"/>
                <w:szCs w:val="18"/>
              </w:rPr>
            </w:pPr>
            <w:r w:rsidRPr="001D41EA">
              <w:rPr>
                <w:rFonts w:cs="Arial"/>
                <w:sz w:val="18"/>
                <w:szCs w:val="18"/>
              </w:rPr>
              <w:t>Gannawarra S</w:t>
            </w:r>
          </w:p>
        </w:tc>
        <w:tc>
          <w:tcPr>
            <w:tcW w:w="1134" w:type="dxa"/>
            <w:tcBorders>
              <w:top w:val="nil"/>
              <w:left w:val="single" w:sz="18" w:space="0" w:color="5F497A" w:themeColor="accent4" w:themeShade="BF"/>
              <w:bottom w:val="nil"/>
              <w:right w:val="nil"/>
            </w:tcBorders>
            <w:shd w:val="clear" w:color="auto" w:fill="auto"/>
            <w:vAlign w:val="bottom"/>
          </w:tcPr>
          <w:p w14:paraId="6250ACD3" w14:textId="5364BE86" w:rsidR="00953130" w:rsidRPr="001D41EA" w:rsidRDefault="00953130" w:rsidP="001D41EA">
            <w:pPr>
              <w:spacing w:before="40" w:after="40"/>
              <w:jc w:val="right"/>
              <w:rPr>
                <w:rFonts w:cs="Arial"/>
                <w:sz w:val="18"/>
                <w:szCs w:val="18"/>
              </w:rPr>
            </w:pPr>
            <w:r w:rsidRPr="001D41EA">
              <w:rPr>
                <w:rFonts w:cs="Arial"/>
                <w:sz w:val="18"/>
                <w:szCs w:val="18"/>
              </w:rPr>
              <w:t>10,547</w:t>
            </w:r>
          </w:p>
        </w:tc>
        <w:tc>
          <w:tcPr>
            <w:tcW w:w="1134" w:type="dxa"/>
            <w:tcBorders>
              <w:top w:val="nil"/>
              <w:left w:val="nil"/>
              <w:bottom w:val="nil"/>
              <w:right w:val="nil"/>
            </w:tcBorders>
            <w:vAlign w:val="bottom"/>
          </w:tcPr>
          <w:p w14:paraId="4C030607" w14:textId="5AEE0D65" w:rsidR="00953130" w:rsidRPr="001D41EA" w:rsidRDefault="00953130" w:rsidP="001D41EA">
            <w:pPr>
              <w:spacing w:before="40" w:after="40"/>
              <w:jc w:val="right"/>
              <w:rPr>
                <w:rFonts w:cs="Arial"/>
                <w:sz w:val="18"/>
                <w:szCs w:val="18"/>
              </w:rPr>
            </w:pPr>
            <w:r w:rsidRPr="001D41EA">
              <w:rPr>
                <w:rFonts w:cs="Arial"/>
                <w:sz w:val="18"/>
                <w:szCs w:val="18"/>
              </w:rPr>
              <w:t>15,000</w:t>
            </w:r>
          </w:p>
        </w:tc>
        <w:tc>
          <w:tcPr>
            <w:tcW w:w="1134" w:type="dxa"/>
            <w:tcBorders>
              <w:top w:val="nil"/>
              <w:left w:val="nil"/>
              <w:bottom w:val="nil"/>
              <w:right w:val="nil"/>
            </w:tcBorders>
            <w:vAlign w:val="bottom"/>
          </w:tcPr>
          <w:p w14:paraId="35C0C362" w14:textId="7984B90D" w:rsidR="00953130" w:rsidRPr="001D41EA" w:rsidRDefault="00953130" w:rsidP="001D41EA">
            <w:pPr>
              <w:spacing w:before="40" w:after="40"/>
              <w:jc w:val="right"/>
              <w:rPr>
                <w:rFonts w:cs="Arial"/>
                <w:sz w:val="18"/>
                <w:szCs w:val="18"/>
              </w:rPr>
            </w:pPr>
            <w:r w:rsidRPr="001D41EA">
              <w:rPr>
                <w:rFonts w:cs="Arial"/>
                <w:sz w:val="18"/>
                <w:szCs w:val="18"/>
              </w:rPr>
              <w:t>20,000</w:t>
            </w:r>
          </w:p>
        </w:tc>
        <w:tc>
          <w:tcPr>
            <w:tcW w:w="1134" w:type="dxa"/>
            <w:tcBorders>
              <w:top w:val="nil"/>
              <w:left w:val="nil"/>
              <w:bottom w:val="nil"/>
              <w:right w:val="nil"/>
            </w:tcBorders>
            <w:shd w:val="clear" w:color="auto" w:fill="auto"/>
            <w:vAlign w:val="bottom"/>
          </w:tcPr>
          <w:p w14:paraId="2B0B1030" w14:textId="73BC0DFF" w:rsidR="00953130" w:rsidRPr="001D41EA" w:rsidRDefault="00953130" w:rsidP="001D41EA">
            <w:pPr>
              <w:spacing w:before="40" w:after="40"/>
              <w:jc w:val="right"/>
              <w:rPr>
                <w:rFonts w:cs="Arial"/>
                <w:sz w:val="18"/>
                <w:szCs w:val="18"/>
              </w:rPr>
            </w:pPr>
            <w:r w:rsidRPr="001D41EA">
              <w:rPr>
                <w:rFonts w:cs="Arial"/>
                <w:sz w:val="18"/>
                <w:szCs w:val="18"/>
              </w:rPr>
              <w:t>10,767</w:t>
            </w:r>
          </w:p>
        </w:tc>
        <w:tc>
          <w:tcPr>
            <w:tcW w:w="1134" w:type="dxa"/>
            <w:tcBorders>
              <w:top w:val="nil"/>
              <w:left w:val="nil"/>
              <w:bottom w:val="nil"/>
              <w:right w:val="nil"/>
            </w:tcBorders>
            <w:vAlign w:val="bottom"/>
          </w:tcPr>
          <w:p w14:paraId="6278CC84" w14:textId="1071ED98" w:rsidR="00953130" w:rsidRPr="001D41EA" w:rsidRDefault="00953130" w:rsidP="001D41EA">
            <w:pPr>
              <w:spacing w:before="40" w:after="40"/>
              <w:jc w:val="right"/>
              <w:rPr>
                <w:rFonts w:cs="Arial"/>
                <w:sz w:val="18"/>
                <w:szCs w:val="18"/>
              </w:rPr>
            </w:pPr>
            <w:r w:rsidRPr="001D41EA">
              <w:rPr>
                <w:rFonts w:cs="Arial"/>
                <w:sz w:val="18"/>
                <w:szCs w:val="18"/>
              </w:rPr>
              <w:t>4,536</w:t>
            </w:r>
          </w:p>
        </w:tc>
        <w:tc>
          <w:tcPr>
            <w:tcW w:w="1134" w:type="dxa"/>
            <w:tcBorders>
              <w:top w:val="nil"/>
              <w:left w:val="nil"/>
              <w:bottom w:val="nil"/>
              <w:right w:val="nil"/>
            </w:tcBorders>
            <w:shd w:val="clear" w:color="auto" w:fill="auto"/>
            <w:vAlign w:val="bottom"/>
          </w:tcPr>
          <w:p w14:paraId="4F4ABDF1" w14:textId="7DB4A0BB" w:rsidR="00953130" w:rsidRPr="001D41EA" w:rsidRDefault="00953130" w:rsidP="001D41EA">
            <w:pPr>
              <w:spacing w:before="40" w:after="40"/>
              <w:jc w:val="right"/>
              <w:rPr>
                <w:rFonts w:cs="Arial"/>
                <w:sz w:val="18"/>
                <w:szCs w:val="18"/>
              </w:rPr>
            </w:pPr>
            <w:r w:rsidRPr="001D41EA">
              <w:rPr>
                <w:rFonts w:cs="Arial"/>
                <w:sz w:val="18"/>
                <w:szCs w:val="18"/>
              </w:rPr>
              <w:t>5,271</w:t>
            </w:r>
          </w:p>
        </w:tc>
      </w:tr>
      <w:tr w:rsidR="00953130" w:rsidRPr="001D41EA" w14:paraId="58937FEE"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33A4440B" w14:textId="77777777" w:rsidR="00953130" w:rsidRPr="001D41EA" w:rsidRDefault="00953130" w:rsidP="001D41EA">
            <w:pPr>
              <w:spacing w:before="40" w:after="40"/>
              <w:rPr>
                <w:rFonts w:cs="Arial"/>
                <w:sz w:val="18"/>
                <w:szCs w:val="18"/>
              </w:rPr>
            </w:pPr>
            <w:r w:rsidRPr="001D41EA">
              <w:rPr>
                <w:rFonts w:cs="Arial"/>
                <w:sz w:val="18"/>
                <w:szCs w:val="18"/>
              </w:rPr>
              <w:t>Glen Eira C</w:t>
            </w:r>
          </w:p>
        </w:tc>
        <w:tc>
          <w:tcPr>
            <w:tcW w:w="1134" w:type="dxa"/>
            <w:tcBorders>
              <w:top w:val="nil"/>
              <w:left w:val="single" w:sz="18" w:space="0" w:color="5F497A" w:themeColor="accent4" w:themeShade="BF"/>
              <w:bottom w:val="nil"/>
              <w:right w:val="nil"/>
            </w:tcBorders>
            <w:shd w:val="clear" w:color="auto" w:fill="auto"/>
            <w:vAlign w:val="bottom"/>
          </w:tcPr>
          <w:p w14:paraId="3FD328F9" w14:textId="15870ED6" w:rsidR="00953130" w:rsidRPr="001D41EA" w:rsidRDefault="00953130" w:rsidP="001D41EA">
            <w:pPr>
              <w:spacing w:before="40" w:after="40"/>
              <w:jc w:val="right"/>
              <w:rPr>
                <w:rFonts w:cs="Arial"/>
                <w:sz w:val="18"/>
                <w:szCs w:val="18"/>
              </w:rPr>
            </w:pPr>
            <w:r w:rsidRPr="001D41EA">
              <w:rPr>
                <w:rFonts w:cs="Arial"/>
                <w:sz w:val="18"/>
                <w:szCs w:val="18"/>
              </w:rPr>
              <w:t>153,858</w:t>
            </w:r>
          </w:p>
        </w:tc>
        <w:tc>
          <w:tcPr>
            <w:tcW w:w="1134" w:type="dxa"/>
            <w:tcBorders>
              <w:top w:val="nil"/>
              <w:left w:val="nil"/>
              <w:bottom w:val="nil"/>
              <w:right w:val="nil"/>
            </w:tcBorders>
            <w:vAlign w:val="bottom"/>
          </w:tcPr>
          <w:p w14:paraId="22D7A8AB" w14:textId="7950E69B" w:rsidR="00953130" w:rsidRPr="001D41EA" w:rsidRDefault="00953130" w:rsidP="001D41EA">
            <w:pPr>
              <w:spacing w:before="40" w:after="40"/>
              <w:jc w:val="right"/>
              <w:rPr>
                <w:rFonts w:cs="Arial"/>
                <w:sz w:val="18"/>
                <w:szCs w:val="18"/>
              </w:rPr>
            </w:pPr>
            <w:r w:rsidRPr="001D41EA">
              <w:rPr>
                <w:rFonts w:cs="Arial"/>
                <w:sz w:val="18"/>
                <w:szCs w:val="18"/>
              </w:rPr>
              <w:t>153,858</w:t>
            </w:r>
          </w:p>
        </w:tc>
        <w:tc>
          <w:tcPr>
            <w:tcW w:w="1134" w:type="dxa"/>
            <w:tcBorders>
              <w:top w:val="nil"/>
              <w:left w:val="nil"/>
              <w:bottom w:val="nil"/>
              <w:right w:val="nil"/>
            </w:tcBorders>
            <w:vAlign w:val="bottom"/>
          </w:tcPr>
          <w:p w14:paraId="0BB9213E" w14:textId="2FABB15C" w:rsidR="00953130" w:rsidRPr="001D41EA" w:rsidRDefault="00953130" w:rsidP="001D41EA">
            <w:pPr>
              <w:spacing w:before="40" w:after="40"/>
              <w:jc w:val="right"/>
              <w:rPr>
                <w:rFonts w:cs="Arial"/>
                <w:sz w:val="18"/>
                <w:szCs w:val="18"/>
              </w:rPr>
            </w:pPr>
            <w:r w:rsidRPr="001D41EA">
              <w:rPr>
                <w:rFonts w:cs="Arial"/>
                <w:sz w:val="18"/>
                <w:szCs w:val="18"/>
              </w:rPr>
              <w:t>153,858</w:t>
            </w:r>
          </w:p>
        </w:tc>
        <w:tc>
          <w:tcPr>
            <w:tcW w:w="1134" w:type="dxa"/>
            <w:tcBorders>
              <w:top w:val="nil"/>
              <w:left w:val="nil"/>
              <w:bottom w:val="nil"/>
              <w:right w:val="nil"/>
            </w:tcBorders>
            <w:shd w:val="clear" w:color="auto" w:fill="auto"/>
            <w:vAlign w:val="bottom"/>
          </w:tcPr>
          <w:p w14:paraId="466E7FF0" w14:textId="68BFE35F" w:rsidR="00953130" w:rsidRPr="001D41EA" w:rsidRDefault="00953130" w:rsidP="001D41EA">
            <w:pPr>
              <w:spacing w:before="40" w:after="40"/>
              <w:jc w:val="right"/>
              <w:rPr>
                <w:rFonts w:cs="Arial"/>
                <w:sz w:val="18"/>
                <w:szCs w:val="18"/>
              </w:rPr>
            </w:pPr>
            <w:r w:rsidRPr="001D41EA">
              <w:rPr>
                <w:rFonts w:cs="Arial"/>
                <w:sz w:val="18"/>
                <w:szCs w:val="18"/>
              </w:rPr>
              <w:t>153,858</w:t>
            </w:r>
          </w:p>
        </w:tc>
        <w:tc>
          <w:tcPr>
            <w:tcW w:w="1134" w:type="dxa"/>
            <w:tcBorders>
              <w:top w:val="nil"/>
              <w:left w:val="nil"/>
              <w:bottom w:val="nil"/>
              <w:right w:val="nil"/>
            </w:tcBorders>
            <w:vAlign w:val="bottom"/>
          </w:tcPr>
          <w:p w14:paraId="182EEF89" w14:textId="2482A242" w:rsidR="00953130" w:rsidRPr="001D41EA" w:rsidRDefault="00953130" w:rsidP="001D41EA">
            <w:pPr>
              <w:spacing w:before="40" w:after="40"/>
              <w:jc w:val="right"/>
              <w:rPr>
                <w:rFonts w:cs="Arial"/>
                <w:sz w:val="18"/>
                <w:szCs w:val="18"/>
              </w:rPr>
            </w:pPr>
            <w:r w:rsidRPr="001D41EA">
              <w:rPr>
                <w:rFonts w:cs="Arial"/>
                <w:sz w:val="18"/>
                <w:szCs w:val="18"/>
              </w:rPr>
              <w:t>35,258</w:t>
            </w:r>
          </w:p>
        </w:tc>
        <w:tc>
          <w:tcPr>
            <w:tcW w:w="1134" w:type="dxa"/>
            <w:tcBorders>
              <w:top w:val="nil"/>
              <w:left w:val="nil"/>
              <w:bottom w:val="nil"/>
              <w:right w:val="nil"/>
            </w:tcBorders>
            <w:shd w:val="clear" w:color="auto" w:fill="auto"/>
            <w:vAlign w:val="bottom"/>
          </w:tcPr>
          <w:p w14:paraId="5BA809F9" w14:textId="42978349" w:rsidR="00953130" w:rsidRPr="001D41EA" w:rsidRDefault="00953130" w:rsidP="001D41EA">
            <w:pPr>
              <w:spacing w:before="40" w:after="40"/>
              <w:jc w:val="right"/>
              <w:rPr>
                <w:rFonts w:cs="Arial"/>
                <w:sz w:val="18"/>
                <w:szCs w:val="18"/>
              </w:rPr>
            </w:pPr>
            <w:r w:rsidRPr="001D41EA">
              <w:rPr>
                <w:rFonts w:cs="Arial"/>
                <w:sz w:val="18"/>
                <w:szCs w:val="18"/>
              </w:rPr>
              <w:t>61,691</w:t>
            </w:r>
          </w:p>
        </w:tc>
      </w:tr>
      <w:tr w:rsidR="00953130" w:rsidRPr="001D41EA" w14:paraId="06F8B793"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9FAB93" w14:textId="77777777" w:rsidR="00953130" w:rsidRPr="001D41EA" w:rsidRDefault="00953130" w:rsidP="001D41EA">
            <w:pPr>
              <w:spacing w:before="40" w:after="40"/>
              <w:rPr>
                <w:rFonts w:cs="Arial"/>
                <w:sz w:val="18"/>
                <w:szCs w:val="18"/>
              </w:rPr>
            </w:pPr>
            <w:r w:rsidRPr="001D41EA">
              <w:rPr>
                <w:rFonts w:cs="Arial"/>
                <w:sz w:val="18"/>
                <w:szCs w:val="18"/>
              </w:rPr>
              <w:t>Glenelg S</w:t>
            </w:r>
          </w:p>
        </w:tc>
        <w:tc>
          <w:tcPr>
            <w:tcW w:w="1134" w:type="dxa"/>
            <w:tcBorders>
              <w:top w:val="nil"/>
              <w:left w:val="single" w:sz="18" w:space="0" w:color="5F497A" w:themeColor="accent4" w:themeShade="BF"/>
              <w:bottom w:val="nil"/>
              <w:right w:val="nil"/>
            </w:tcBorders>
            <w:shd w:val="clear" w:color="auto" w:fill="auto"/>
            <w:vAlign w:val="bottom"/>
          </w:tcPr>
          <w:p w14:paraId="6185DF45" w14:textId="49946208" w:rsidR="00953130" w:rsidRPr="001D41EA" w:rsidRDefault="00953130" w:rsidP="001D41EA">
            <w:pPr>
              <w:spacing w:before="40" w:after="40"/>
              <w:jc w:val="right"/>
              <w:rPr>
                <w:rFonts w:cs="Arial"/>
                <w:sz w:val="18"/>
                <w:szCs w:val="18"/>
              </w:rPr>
            </w:pPr>
            <w:r w:rsidRPr="001D41EA">
              <w:rPr>
                <w:rFonts w:cs="Arial"/>
                <w:sz w:val="18"/>
                <w:szCs w:val="18"/>
              </w:rPr>
              <w:t>19,665</w:t>
            </w:r>
          </w:p>
        </w:tc>
        <w:tc>
          <w:tcPr>
            <w:tcW w:w="1134" w:type="dxa"/>
            <w:tcBorders>
              <w:top w:val="nil"/>
              <w:left w:val="nil"/>
              <w:bottom w:val="nil"/>
              <w:right w:val="nil"/>
            </w:tcBorders>
            <w:vAlign w:val="bottom"/>
          </w:tcPr>
          <w:p w14:paraId="67D35519" w14:textId="5C81B6EE" w:rsidR="00953130" w:rsidRPr="001D41EA" w:rsidRDefault="00953130" w:rsidP="001D41EA">
            <w:pPr>
              <w:spacing w:before="40" w:after="40"/>
              <w:jc w:val="right"/>
              <w:rPr>
                <w:rFonts w:cs="Arial"/>
                <w:sz w:val="18"/>
                <w:szCs w:val="18"/>
              </w:rPr>
            </w:pPr>
            <w:r w:rsidRPr="001D41EA">
              <w:rPr>
                <w:rFonts w:cs="Arial"/>
                <w:sz w:val="18"/>
                <w:szCs w:val="18"/>
              </w:rPr>
              <w:t>20,348</w:t>
            </w:r>
          </w:p>
        </w:tc>
        <w:tc>
          <w:tcPr>
            <w:tcW w:w="1134" w:type="dxa"/>
            <w:tcBorders>
              <w:top w:val="nil"/>
              <w:left w:val="nil"/>
              <w:bottom w:val="nil"/>
              <w:right w:val="nil"/>
            </w:tcBorders>
            <w:vAlign w:val="bottom"/>
          </w:tcPr>
          <w:p w14:paraId="38DD24FF" w14:textId="7753A31F" w:rsidR="00953130" w:rsidRPr="001D41EA" w:rsidRDefault="00953130" w:rsidP="001D41EA">
            <w:pPr>
              <w:spacing w:before="40" w:after="40"/>
              <w:jc w:val="right"/>
              <w:rPr>
                <w:rFonts w:cs="Arial"/>
                <w:sz w:val="18"/>
                <w:szCs w:val="18"/>
              </w:rPr>
            </w:pPr>
            <w:r w:rsidRPr="001D41EA">
              <w:rPr>
                <w:rFonts w:cs="Arial"/>
                <w:sz w:val="18"/>
                <w:szCs w:val="18"/>
              </w:rPr>
              <w:t>20,348</w:t>
            </w:r>
          </w:p>
        </w:tc>
        <w:tc>
          <w:tcPr>
            <w:tcW w:w="1134" w:type="dxa"/>
            <w:tcBorders>
              <w:top w:val="nil"/>
              <w:left w:val="nil"/>
              <w:bottom w:val="nil"/>
              <w:right w:val="nil"/>
            </w:tcBorders>
            <w:shd w:val="clear" w:color="auto" w:fill="auto"/>
            <w:vAlign w:val="bottom"/>
          </w:tcPr>
          <w:p w14:paraId="317483AA" w14:textId="5EA5D438" w:rsidR="00953130" w:rsidRPr="001D41EA" w:rsidRDefault="00953130" w:rsidP="001D41EA">
            <w:pPr>
              <w:spacing w:before="40" w:after="40"/>
              <w:jc w:val="right"/>
              <w:rPr>
                <w:rFonts w:cs="Arial"/>
                <w:sz w:val="18"/>
                <w:szCs w:val="18"/>
              </w:rPr>
            </w:pPr>
            <w:r w:rsidRPr="001D41EA">
              <w:rPr>
                <w:rFonts w:cs="Arial"/>
                <w:sz w:val="18"/>
                <w:szCs w:val="18"/>
              </w:rPr>
              <w:t>20,348</w:t>
            </w:r>
          </w:p>
        </w:tc>
        <w:tc>
          <w:tcPr>
            <w:tcW w:w="1134" w:type="dxa"/>
            <w:tcBorders>
              <w:top w:val="nil"/>
              <w:left w:val="nil"/>
              <w:bottom w:val="nil"/>
              <w:right w:val="nil"/>
            </w:tcBorders>
            <w:vAlign w:val="bottom"/>
          </w:tcPr>
          <w:p w14:paraId="5DEBD398" w14:textId="1ACB6135" w:rsidR="00953130" w:rsidRPr="001D41EA" w:rsidRDefault="00953130" w:rsidP="001D41EA">
            <w:pPr>
              <w:spacing w:before="40" w:after="40"/>
              <w:jc w:val="right"/>
              <w:rPr>
                <w:rFonts w:cs="Arial"/>
                <w:sz w:val="18"/>
                <w:szCs w:val="18"/>
              </w:rPr>
            </w:pPr>
            <w:r w:rsidRPr="001D41EA">
              <w:rPr>
                <w:rFonts w:cs="Arial"/>
                <w:sz w:val="18"/>
                <w:szCs w:val="18"/>
              </w:rPr>
              <w:t>7,753</w:t>
            </w:r>
          </w:p>
        </w:tc>
        <w:tc>
          <w:tcPr>
            <w:tcW w:w="1134" w:type="dxa"/>
            <w:tcBorders>
              <w:top w:val="nil"/>
              <w:left w:val="nil"/>
              <w:bottom w:val="nil"/>
              <w:right w:val="nil"/>
            </w:tcBorders>
            <w:shd w:val="clear" w:color="auto" w:fill="auto"/>
            <w:vAlign w:val="bottom"/>
          </w:tcPr>
          <w:p w14:paraId="3B2148F5" w14:textId="075CE135" w:rsidR="00953130" w:rsidRPr="001D41EA" w:rsidRDefault="00953130" w:rsidP="001D41EA">
            <w:pPr>
              <w:spacing w:before="40" w:after="40"/>
              <w:jc w:val="right"/>
              <w:rPr>
                <w:rFonts w:cs="Arial"/>
                <w:sz w:val="18"/>
                <w:szCs w:val="18"/>
              </w:rPr>
            </w:pPr>
            <w:r w:rsidRPr="001D41EA">
              <w:rPr>
                <w:rFonts w:cs="Arial"/>
                <w:sz w:val="18"/>
                <w:szCs w:val="18"/>
              </w:rPr>
              <w:t>9,885</w:t>
            </w:r>
          </w:p>
        </w:tc>
      </w:tr>
      <w:tr w:rsidR="00953130" w:rsidRPr="001D41EA" w14:paraId="3557836F"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EA72A58" w14:textId="77777777" w:rsidR="00953130" w:rsidRPr="001D41EA" w:rsidRDefault="00953130" w:rsidP="001D41EA">
            <w:pPr>
              <w:spacing w:before="40" w:after="40"/>
              <w:rPr>
                <w:rFonts w:cs="Arial"/>
                <w:sz w:val="18"/>
                <w:szCs w:val="18"/>
              </w:rPr>
            </w:pPr>
            <w:r w:rsidRPr="001D41EA">
              <w:rPr>
                <w:rFonts w:cs="Arial"/>
                <w:sz w:val="18"/>
                <w:szCs w:val="18"/>
              </w:rPr>
              <w:t>Golden Plains S</w:t>
            </w:r>
          </w:p>
        </w:tc>
        <w:tc>
          <w:tcPr>
            <w:tcW w:w="1134" w:type="dxa"/>
            <w:tcBorders>
              <w:top w:val="nil"/>
              <w:left w:val="single" w:sz="18" w:space="0" w:color="5F497A" w:themeColor="accent4" w:themeShade="BF"/>
              <w:bottom w:val="nil"/>
              <w:right w:val="nil"/>
            </w:tcBorders>
            <w:shd w:val="clear" w:color="auto" w:fill="auto"/>
            <w:vAlign w:val="bottom"/>
          </w:tcPr>
          <w:p w14:paraId="3E101E54" w14:textId="11387584" w:rsidR="00953130" w:rsidRPr="001D41EA" w:rsidRDefault="00953130" w:rsidP="001D41EA">
            <w:pPr>
              <w:spacing w:before="40" w:after="40"/>
              <w:jc w:val="right"/>
              <w:rPr>
                <w:rFonts w:cs="Arial"/>
                <w:sz w:val="18"/>
                <w:szCs w:val="18"/>
              </w:rPr>
            </w:pPr>
            <w:r w:rsidRPr="001D41EA">
              <w:rPr>
                <w:rFonts w:cs="Arial"/>
                <w:sz w:val="18"/>
                <w:szCs w:val="18"/>
              </w:rPr>
              <w:t>23,120</w:t>
            </w:r>
          </w:p>
        </w:tc>
        <w:tc>
          <w:tcPr>
            <w:tcW w:w="1134" w:type="dxa"/>
            <w:tcBorders>
              <w:top w:val="nil"/>
              <w:left w:val="nil"/>
              <w:bottom w:val="nil"/>
              <w:right w:val="nil"/>
            </w:tcBorders>
            <w:vAlign w:val="bottom"/>
          </w:tcPr>
          <w:p w14:paraId="0B684460" w14:textId="3E00F277" w:rsidR="00953130" w:rsidRPr="001D41EA" w:rsidRDefault="00953130" w:rsidP="001D41EA">
            <w:pPr>
              <w:spacing w:before="40" w:after="40"/>
              <w:jc w:val="right"/>
              <w:rPr>
                <w:rFonts w:cs="Arial"/>
                <w:sz w:val="18"/>
                <w:szCs w:val="18"/>
              </w:rPr>
            </w:pPr>
            <w:r w:rsidRPr="001D41EA">
              <w:rPr>
                <w:rFonts w:cs="Arial"/>
                <w:sz w:val="18"/>
                <w:szCs w:val="18"/>
              </w:rPr>
              <w:t>23,120</w:t>
            </w:r>
          </w:p>
        </w:tc>
        <w:tc>
          <w:tcPr>
            <w:tcW w:w="1134" w:type="dxa"/>
            <w:tcBorders>
              <w:top w:val="nil"/>
              <w:left w:val="nil"/>
              <w:bottom w:val="nil"/>
              <w:right w:val="nil"/>
            </w:tcBorders>
            <w:vAlign w:val="bottom"/>
          </w:tcPr>
          <w:p w14:paraId="56412DFE" w14:textId="45628AD5" w:rsidR="00953130" w:rsidRPr="001D41EA" w:rsidRDefault="00953130" w:rsidP="001D41EA">
            <w:pPr>
              <w:spacing w:before="40" w:after="40"/>
              <w:jc w:val="right"/>
              <w:rPr>
                <w:rFonts w:cs="Arial"/>
                <w:sz w:val="18"/>
                <w:szCs w:val="18"/>
              </w:rPr>
            </w:pPr>
            <w:r w:rsidRPr="001D41EA">
              <w:rPr>
                <w:rFonts w:cs="Arial"/>
                <w:sz w:val="18"/>
                <w:szCs w:val="18"/>
              </w:rPr>
              <w:t>23,120</w:t>
            </w:r>
          </w:p>
        </w:tc>
        <w:tc>
          <w:tcPr>
            <w:tcW w:w="1134" w:type="dxa"/>
            <w:tcBorders>
              <w:top w:val="nil"/>
              <w:left w:val="nil"/>
              <w:bottom w:val="nil"/>
              <w:right w:val="nil"/>
            </w:tcBorders>
            <w:shd w:val="clear" w:color="auto" w:fill="auto"/>
            <w:vAlign w:val="bottom"/>
          </w:tcPr>
          <w:p w14:paraId="3A13D1C5" w14:textId="7074F1C8" w:rsidR="00953130" w:rsidRPr="001D41EA" w:rsidRDefault="00953130" w:rsidP="001D41EA">
            <w:pPr>
              <w:spacing w:before="40" w:after="40"/>
              <w:jc w:val="right"/>
              <w:rPr>
                <w:rFonts w:cs="Arial"/>
                <w:sz w:val="18"/>
                <w:szCs w:val="18"/>
              </w:rPr>
            </w:pPr>
            <w:r w:rsidRPr="001D41EA">
              <w:rPr>
                <w:rFonts w:cs="Arial"/>
                <w:sz w:val="18"/>
                <w:szCs w:val="18"/>
              </w:rPr>
              <w:t>23,120</w:t>
            </w:r>
          </w:p>
        </w:tc>
        <w:tc>
          <w:tcPr>
            <w:tcW w:w="1134" w:type="dxa"/>
            <w:tcBorders>
              <w:top w:val="nil"/>
              <w:left w:val="nil"/>
              <w:bottom w:val="nil"/>
              <w:right w:val="nil"/>
            </w:tcBorders>
            <w:vAlign w:val="bottom"/>
          </w:tcPr>
          <w:p w14:paraId="25634391" w14:textId="516C6EC8" w:rsidR="00953130" w:rsidRPr="001D41EA" w:rsidRDefault="00953130" w:rsidP="001D41EA">
            <w:pPr>
              <w:spacing w:before="40" w:after="40"/>
              <w:jc w:val="right"/>
              <w:rPr>
                <w:rFonts w:cs="Arial"/>
                <w:sz w:val="18"/>
                <w:szCs w:val="18"/>
              </w:rPr>
            </w:pPr>
            <w:r w:rsidRPr="001D41EA">
              <w:rPr>
                <w:rFonts w:cs="Arial"/>
                <w:sz w:val="18"/>
                <w:szCs w:val="18"/>
              </w:rPr>
              <w:t>5,875</w:t>
            </w:r>
          </w:p>
        </w:tc>
        <w:tc>
          <w:tcPr>
            <w:tcW w:w="1134" w:type="dxa"/>
            <w:tcBorders>
              <w:top w:val="nil"/>
              <w:left w:val="nil"/>
              <w:bottom w:val="nil"/>
              <w:right w:val="nil"/>
            </w:tcBorders>
            <w:shd w:val="clear" w:color="auto" w:fill="auto"/>
            <w:vAlign w:val="bottom"/>
          </w:tcPr>
          <w:p w14:paraId="6C23D2B6" w14:textId="47E2C280" w:rsidR="00953130" w:rsidRPr="001D41EA" w:rsidRDefault="00953130" w:rsidP="001D41EA">
            <w:pPr>
              <w:spacing w:before="40" w:after="40"/>
              <w:jc w:val="right"/>
              <w:rPr>
                <w:rFonts w:cs="Arial"/>
                <w:sz w:val="18"/>
                <w:szCs w:val="18"/>
              </w:rPr>
            </w:pPr>
            <w:r w:rsidRPr="001D41EA">
              <w:rPr>
                <w:rFonts w:cs="Arial"/>
                <w:sz w:val="18"/>
                <w:szCs w:val="18"/>
              </w:rPr>
              <w:t>8,793</w:t>
            </w:r>
          </w:p>
        </w:tc>
      </w:tr>
      <w:tr w:rsidR="00953130" w:rsidRPr="001D41EA" w14:paraId="24769241"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95A01C7" w14:textId="77777777" w:rsidR="00953130" w:rsidRPr="001D41EA" w:rsidRDefault="00953130" w:rsidP="001D41EA">
            <w:pPr>
              <w:spacing w:before="40" w:after="40"/>
              <w:rPr>
                <w:rFonts w:cs="Arial"/>
                <w:sz w:val="18"/>
                <w:szCs w:val="18"/>
              </w:rPr>
            </w:pPr>
            <w:r w:rsidRPr="001D41EA">
              <w:rPr>
                <w:rFonts w:cs="Arial"/>
                <w:sz w:val="18"/>
                <w:szCs w:val="18"/>
              </w:rPr>
              <w:t>Greater Bendigo C</w:t>
            </w:r>
          </w:p>
        </w:tc>
        <w:tc>
          <w:tcPr>
            <w:tcW w:w="1134" w:type="dxa"/>
            <w:tcBorders>
              <w:top w:val="nil"/>
              <w:left w:val="single" w:sz="18" w:space="0" w:color="5F497A" w:themeColor="accent4" w:themeShade="BF"/>
              <w:bottom w:val="nil"/>
              <w:right w:val="nil"/>
            </w:tcBorders>
            <w:shd w:val="clear" w:color="auto" w:fill="auto"/>
            <w:vAlign w:val="bottom"/>
          </w:tcPr>
          <w:p w14:paraId="0D0321F0" w14:textId="614C8C27" w:rsidR="00953130" w:rsidRPr="001D41EA" w:rsidRDefault="00953130" w:rsidP="001D41EA">
            <w:pPr>
              <w:spacing w:before="40" w:after="40"/>
              <w:jc w:val="right"/>
              <w:rPr>
                <w:rFonts w:cs="Arial"/>
                <w:sz w:val="18"/>
                <w:szCs w:val="18"/>
              </w:rPr>
            </w:pPr>
            <w:r w:rsidRPr="001D41EA">
              <w:rPr>
                <w:rFonts w:cs="Arial"/>
                <w:sz w:val="18"/>
                <w:szCs w:val="18"/>
              </w:rPr>
              <w:t>116,045</w:t>
            </w:r>
          </w:p>
        </w:tc>
        <w:tc>
          <w:tcPr>
            <w:tcW w:w="1134" w:type="dxa"/>
            <w:tcBorders>
              <w:top w:val="nil"/>
              <w:left w:val="nil"/>
              <w:bottom w:val="nil"/>
              <w:right w:val="nil"/>
            </w:tcBorders>
            <w:vAlign w:val="bottom"/>
          </w:tcPr>
          <w:p w14:paraId="4C39A45E" w14:textId="50A9A456" w:rsidR="00953130" w:rsidRPr="001D41EA" w:rsidRDefault="00953130" w:rsidP="001D41EA">
            <w:pPr>
              <w:spacing w:before="40" w:after="40"/>
              <w:jc w:val="right"/>
              <w:rPr>
                <w:rFonts w:cs="Arial"/>
                <w:sz w:val="18"/>
                <w:szCs w:val="18"/>
              </w:rPr>
            </w:pPr>
            <w:r w:rsidRPr="001D41EA">
              <w:rPr>
                <w:rFonts w:cs="Arial"/>
                <w:sz w:val="18"/>
                <w:szCs w:val="18"/>
              </w:rPr>
              <w:t>116,045</w:t>
            </w:r>
          </w:p>
        </w:tc>
        <w:tc>
          <w:tcPr>
            <w:tcW w:w="1134" w:type="dxa"/>
            <w:tcBorders>
              <w:top w:val="nil"/>
              <w:left w:val="nil"/>
              <w:bottom w:val="nil"/>
              <w:right w:val="nil"/>
            </w:tcBorders>
            <w:vAlign w:val="bottom"/>
          </w:tcPr>
          <w:p w14:paraId="75A041FB" w14:textId="17124DDD" w:rsidR="00953130" w:rsidRPr="001D41EA" w:rsidRDefault="00953130" w:rsidP="001D41EA">
            <w:pPr>
              <w:spacing w:before="40" w:after="40"/>
              <w:jc w:val="right"/>
              <w:rPr>
                <w:rFonts w:cs="Arial"/>
                <w:sz w:val="18"/>
                <w:szCs w:val="18"/>
              </w:rPr>
            </w:pPr>
            <w:r w:rsidRPr="001D41EA">
              <w:rPr>
                <w:rFonts w:cs="Arial"/>
                <w:sz w:val="18"/>
                <w:szCs w:val="18"/>
              </w:rPr>
              <w:t>116,045</w:t>
            </w:r>
          </w:p>
        </w:tc>
        <w:tc>
          <w:tcPr>
            <w:tcW w:w="1134" w:type="dxa"/>
            <w:tcBorders>
              <w:top w:val="nil"/>
              <w:left w:val="nil"/>
              <w:bottom w:val="nil"/>
              <w:right w:val="nil"/>
            </w:tcBorders>
            <w:shd w:val="clear" w:color="auto" w:fill="auto"/>
            <w:vAlign w:val="bottom"/>
          </w:tcPr>
          <w:p w14:paraId="5A637C1E" w14:textId="3441C9DD" w:rsidR="00953130" w:rsidRPr="001D41EA" w:rsidRDefault="00953130" w:rsidP="001D41EA">
            <w:pPr>
              <w:spacing w:before="40" w:after="40"/>
              <w:jc w:val="right"/>
              <w:rPr>
                <w:rFonts w:cs="Arial"/>
                <w:sz w:val="18"/>
                <w:szCs w:val="18"/>
              </w:rPr>
            </w:pPr>
            <w:r w:rsidRPr="001D41EA">
              <w:rPr>
                <w:rFonts w:cs="Arial"/>
                <w:sz w:val="18"/>
                <w:szCs w:val="18"/>
              </w:rPr>
              <w:t>116,045</w:t>
            </w:r>
          </w:p>
        </w:tc>
        <w:tc>
          <w:tcPr>
            <w:tcW w:w="1134" w:type="dxa"/>
            <w:tcBorders>
              <w:top w:val="nil"/>
              <w:left w:val="nil"/>
              <w:bottom w:val="nil"/>
              <w:right w:val="nil"/>
            </w:tcBorders>
            <w:vAlign w:val="bottom"/>
          </w:tcPr>
          <w:p w14:paraId="359D802A" w14:textId="5AE9EE10" w:rsidR="00953130" w:rsidRPr="001D41EA" w:rsidRDefault="00953130" w:rsidP="001D41EA">
            <w:pPr>
              <w:spacing w:before="40" w:after="40"/>
              <w:jc w:val="right"/>
              <w:rPr>
                <w:rFonts w:cs="Arial"/>
                <w:sz w:val="18"/>
                <w:szCs w:val="18"/>
              </w:rPr>
            </w:pPr>
            <w:r w:rsidRPr="001D41EA">
              <w:rPr>
                <w:rFonts w:cs="Arial"/>
                <w:sz w:val="18"/>
                <w:szCs w:val="18"/>
              </w:rPr>
              <w:t>36,241</w:t>
            </w:r>
          </w:p>
        </w:tc>
        <w:tc>
          <w:tcPr>
            <w:tcW w:w="1134" w:type="dxa"/>
            <w:tcBorders>
              <w:top w:val="nil"/>
              <w:left w:val="nil"/>
              <w:bottom w:val="nil"/>
              <w:right w:val="nil"/>
            </w:tcBorders>
            <w:shd w:val="clear" w:color="auto" w:fill="auto"/>
            <w:vAlign w:val="bottom"/>
          </w:tcPr>
          <w:p w14:paraId="764A88FF" w14:textId="5B5EC04A" w:rsidR="00953130" w:rsidRPr="001D41EA" w:rsidRDefault="00953130" w:rsidP="001D41EA">
            <w:pPr>
              <w:spacing w:before="40" w:after="40"/>
              <w:jc w:val="right"/>
              <w:rPr>
                <w:rFonts w:cs="Arial"/>
                <w:sz w:val="18"/>
                <w:szCs w:val="18"/>
              </w:rPr>
            </w:pPr>
            <w:r w:rsidRPr="001D41EA">
              <w:rPr>
                <w:rFonts w:cs="Arial"/>
                <w:sz w:val="18"/>
                <w:szCs w:val="18"/>
              </w:rPr>
              <w:t>50,854</w:t>
            </w:r>
          </w:p>
        </w:tc>
      </w:tr>
      <w:tr w:rsidR="00953130" w:rsidRPr="001D41EA" w14:paraId="6FC955A2"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3D58593" w14:textId="77777777" w:rsidR="00953130" w:rsidRPr="001D41EA" w:rsidRDefault="00953130" w:rsidP="001D41EA">
            <w:pPr>
              <w:spacing w:before="40" w:after="40"/>
              <w:rPr>
                <w:rFonts w:cs="Arial"/>
                <w:sz w:val="18"/>
                <w:szCs w:val="18"/>
              </w:rPr>
            </w:pPr>
            <w:r w:rsidRPr="001D41EA">
              <w:rPr>
                <w:rFonts w:cs="Arial"/>
                <w:sz w:val="18"/>
                <w:szCs w:val="18"/>
              </w:rPr>
              <w:t>Greater Dandenong C</w:t>
            </w:r>
          </w:p>
        </w:tc>
        <w:tc>
          <w:tcPr>
            <w:tcW w:w="1134" w:type="dxa"/>
            <w:tcBorders>
              <w:top w:val="nil"/>
              <w:left w:val="single" w:sz="18" w:space="0" w:color="5F497A" w:themeColor="accent4" w:themeShade="BF"/>
              <w:bottom w:val="nil"/>
              <w:right w:val="nil"/>
            </w:tcBorders>
            <w:shd w:val="clear" w:color="auto" w:fill="auto"/>
            <w:vAlign w:val="bottom"/>
          </w:tcPr>
          <w:p w14:paraId="617260EC" w14:textId="5D03C6F9" w:rsidR="00953130" w:rsidRPr="001D41EA" w:rsidRDefault="00953130" w:rsidP="001D41EA">
            <w:pPr>
              <w:spacing w:before="40" w:after="40"/>
              <w:jc w:val="right"/>
              <w:rPr>
                <w:rFonts w:cs="Arial"/>
                <w:sz w:val="18"/>
                <w:szCs w:val="18"/>
              </w:rPr>
            </w:pPr>
            <w:r w:rsidRPr="001D41EA">
              <w:rPr>
                <w:rFonts w:cs="Arial"/>
                <w:sz w:val="18"/>
                <w:szCs w:val="18"/>
              </w:rPr>
              <w:t>166,094</w:t>
            </w:r>
          </w:p>
        </w:tc>
        <w:tc>
          <w:tcPr>
            <w:tcW w:w="1134" w:type="dxa"/>
            <w:tcBorders>
              <w:top w:val="nil"/>
              <w:left w:val="nil"/>
              <w:bottom w:val="nil"/>
              <w:right w:val="nil"/>
            </w:tcBorders>
            <w:vAlign w:val="bottom"/>
          </w:tcPr>
          <w:p w14:paraId="7BFD15C6" w14:textId="74F53477" w:rsidR="00953130" w:rsidRPr="001D41EA" w:rsidRDefault="00953130" w:rsidP="001D41EA">
            <w:pPr>
              <w:spacing w:before="40" w:after="40"/>
              <w:jc w:val="right"/>
              <w:rPr>
                <w:rFonts w:cs="Arial"/>
                <w:sz w:val="18"/>
                <w:szCs w:val="18"/>
              </w:rPr>
            </w:pPr>
            <w:r w:rsidRPr="001D41EA">
              <w:rPr>
                <w:rFonts w:cs="Arial"/>
                <w:sz w:val="18"/>
                <w:szCs w:val="18"/>
              </w:rPr>
              <w:t>166,094</w:t>
            </w:r>
          </w:p>
        </w:tc>
        <w:tc>
          <w:tcPr>
            <w:tcW w:w="1134" w:type="dxa"/>
            <w:tcBorders>
              <w:top w:val="nil"/>
              <w:left w:val="nil"/>
              <w:bottom w:val="nil"/>
              <w:right w:val="nil"/>
            </w:tcBorders>
            <w:vAlign w:val="bottom"/>
          </w:tcPr>
          <w:p w14:paraId="27805207" w14:textId="7DEABCA7" w:rsidR="00953130" w:rsidRPr="001D41EA" w:rsidRDefault="00953130" w:rsidP="001D41EA">
            <w:pPr>
              <w:spacing w:before="40" w:after="40"/>
              <w:jc w:val="right"/>
              <w:rPr>
                <w:rFonts w:cs="Arial"/>
                <w:sz w:val="18"/>
                <w:szCs w:val="18"/>
              </w:rPr>
            </w:pPr>
            <w:r w:rsidRPr="001D41EA">
              <w:rPr>
                <w:rFonts w:cs="Arial"/>
                <w:sz w:val="18"/>
                <w:szCs w:val="18"/>
              </w:rPr>
              <w:t>166,094</w:t>
            </w:r>
          </w:p>
        </w:tc>
        <w:tc>
          <w:tcPr>
            <w:tcW w:w="1134" w:type="dxa"/>
            <w:tcBorders>
              <w:top w:val="nil"/>
              <w:left w:val="nil"/>
              <w:bottom w:val="nil"/>
              <w:right w:val="nil"/>
            </w:tcBorders>
            <w:shd w:val="clear" w:color="auto" w:fill="auto"/>
            <w:vAlign w:val="bottom"/>
          </w:tcPr>
          <w:p w14:paraId="3739372E" w14:textId="31544396" w:rsidR="00953130" w:rsidRPr="001D41EA" w:rsidRDefault="00953130" w:rsidP="001D41EA">
            <w:pPr>
              <w:spacing w:before="40" w:after="40"/>
              <w:jc w:val="right"/>
              <w:rPr>
                <w:rFonts w:cs="Arial"/>
                <w:sz w:val="18"/>
                <w:szCs w:val="18"/>
              </w:rPr>
            </w:pPr>
            <w:r w:rsidRPr="001D41EA">
              <w:rPr>
                <w:rFonts w:cs="Arial"/>
                <w:sz w:val="18"/>
                <w:szCs w:val="18"/>
              </w:rPr>
              <w:t>166,094</w:t>
            </w:r>
          </w:p>
        </w:tc>
        <w:tc>
          <w:tcPr>
            <w:tcW w:w="1134" w:type="dxa"/>
            <w:tcBorders>
              <w:top w:val="nil"/>
              <w:left w:val="nil"/>
              <w:bottom w:val="nil"/>
              <w:right w:val="nil"/>
            </w:tcBorders>
            <w:vAlign w:val="bottom"/>
          </w:tcPr>
          <w:p w14:paraId="2906A911" w14:textId="08B1A125" w:rsidR="00953130" w:rsidRPr="001D41EA" w:rsidRDefault="00953130" w:rsidP="001D41EA">
            <w:pPr>
              <w:spacing w:before="40" w:after="40"/>
              <w:jc w:val="right"/>
              <w:rPr>
                <w:rFonts w:cs="Arial"/>
                <w:sz w:val="18"/>
                <w:szCs w:val="18"/>
              </w:rPr>
            </w:pPr>
            <w:r w:rsidRPr="001D41EA">
              <w:rPr>
                <w:rFonts w:cs="Arial"/>
                <w:sz w:val="18"/>
                <w:szCs w:val="18"/>
              </w:rPr>
              <w:t>43,161</w:t>
            </w:r>
          </w:p>
        </w:tc>
        <w:tc>
          <w:tcPr>
            <w:tcW w:w="1134" w:type="dxa"/>
            <w:tcBorders>
              <w:top w:val="nil"/>
              <w:left w:val="nil"/>
              <w:bottom w:val="nil"/>
              <w:right w:val="nil"/>
            </w:tcBorders>
            <w:shd w:val="clear" w:color="auto" w:fill="auto"/>
            <w:vAlign w:val="bottom"/>
          </w:tcPr>
          <w:p w14:paraId="7F90C458" w14:textId="217FBF24" w:rsidR="00953130" w:rsidRPr="001D41EA" w:rsidRDefault="00953130" w:rsidP="001D41EA">
            <w:pPr>
              <w:spacing w:before="40" w:after="40"/>
              <w:jc w:val="right"/>
              <w:rPr>
                <w:rFonts w:cs="Arial"/>
                <w:sz w:val="18"/>
                <w:szCs w:val="18"/>
              </w:rPr>
            </w:pPr>
            <w:r w:rsidRPr="001D41EA">
              <w:rPr>
                <w:rFonts w:cs="Arial"/>
                <w:sz w:val="18"/>
                <w:szCs w:val="18"/>
              </w:rPr>
              <w:t>56,436</w:t>
            </w:r>
          </w:p>
        </w:tc>
      </w:tr>
      <w:tr w:rsidR="00953130" w:rsidRPr="001D41EA" w14:paraId="2EF8F0FF"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9E716D3" w14:textId="77777777" w:rsidR="00953130" w:rsidRPr="001D41EA" w:rsidRDefault="00953130" w:rsidP="001D41EA">
            <w:pPr>
              <w:spacing w:before="40" w:after="40"/>
              <w:rPr>
                <w:rFonts w:cs="Arial"/>
                <w:sz w:val="18"/>
                <w:szCs w:val="18"/>
              </w:rPr>
            </w:pPr>
            <w:r w:rsidRPr="001D41EA">
              <w:rPr>
                <w:rFonts w:cs="Arial"/>
                <w:sz w:val="18"/>
                <w:szCs w:val="18"/>
              </w:rPr>
              <w:t>Greater Geelong C</w:t>
            </w:r>
          </w:p>
        </w:tc>
        <w:tc>
          <w:tcPr>
            <w:tcW w:w="1134" w:type="dxa"/>
            <w:tcBorders>
              <w:top w:val="nil"/>
              <w:left w:val="single" w:sz="18" w:space="0" w:color="5F497A" w:themeColor="accent4" w:themeShade="BF"/>
              <w:bottom w:val="nil"/>
              <w:right w:val="nil"/>
            </w:tcBorders>
            <w:shd w:val="clear" w:color="auto" w:fill="auto"/>
            <w:vAlign w:val="bottom"/>
          </w:tcPr>
          <w:p w14:paraId="51635094" w14:textId="3CD4927C" w:rsidR="00953130" w:rsidRPr="001D41EA" w:rsidRDefault="00953130" w:rsidP="001D41EA">
            <w:pPr>
              <w:spacing w:before="40" w:after="40"/>
              <w:jc w:val="right"/>
              <w:rPr>
                <w:rFonts w:cs="Arial"/>
                <w:sz w:val="18"/>
                <w:szCs w:val="18"/>
              </w:rPr>
            </w:pPr>
            <w:r w:rsidRPr="001D41EA">
              <w:rPr>
                <w:rFonts w:cs="Arial"/>
                <w:sz w:val="18"/>
                <w:szCs w:val="18"/>
              </w:rPr>
              <w:t>252,217</w:t>
            </w:r>
          </w:p>
        </w:tc>
        <w:tc>
          <w:tcPr>
            <w:tcW w:w="1134" w:type="dxa"/>
            <w:tcBorders>
              <w:top w:val="nil"/>
              <w:left w:val="nil"/>
              <w:bottom w:val="nil"/>
              <w:right w:val="nil"/>
            </w:tcBorders>
            <w:vAlign w:val="bottom"/>
          </w:tcPr>
          <w:p w14:paraId="6A1712E2" w14:textId="420460AF" w:rsidR="00953130" w:rsidRPr="001D41EA" w:rsidRDefault="00953130" w:rsidP="001D41EA">
            <w:pPr>
              <w:spacing w:before="40" w:after="40"/>
              <w:jc w:val="right"/>
              <w:rPr>
                <w:rFonts w:cs="Arial"/>
                <w:sz w:val="18"/>
                <w:szCs w:val="18"/>
              </w:rPr>
            </w:pPr>
            <w:r w:rsidRPr="001D41EA">
              <w:rPr>
                <w:rFonts w:cs="Arial"/>
                <w:sz w:val="18"/>
                <w:szCs w:val="18"/>
              </w:rPr>
              <w:t>255,685</w:t>
            </w:r>
          </w:p>
        </w:tc>
        <w:tc>
          <w:tcPr>
            <w:tcW w:w="1134" w:type="dxa"/>
            <w:tcBorders>
              <w:top w:val="nil"/>
              <w:left w:val="nil"/>
              <w:bottom w:val="nil"/>
              <w:right w:val="nil"/>
            </w:tcBorders>
            <w:vAlign w:val="bottom"/>
          </w:tcPr>
          <w:p w14:paraId="69F03B4D" w14:textId="3CFDF7E9" w:rsidR="00953130" w:rsidRPr="001D41EA" w:rsidRDefault="00953130" w:rsidP="001D41EA">
            <w:pPr>
              <w:spacing w:before="40" w:after="40"/>
              <w:jc w:val="right"/>
              <w:rPr>
                <w:rFonts w:cs="Arial"/>
                <w:sz w:val="18"/>
                <w:szCs w:val="18"/>
              </w:rPr>
            </w:pPr>
            <w:r w:rsidRPr="001D41EA">
              <w:rPr>
                <w:rFonts w:cs="Arial"/>
                <w:sz w:val="18"/>
                <w:szCs w:val="18"/>
              </w:rPr>
              <w:t>255,685</w:t>
            </w:r>
          </w:p>
        </w:tc>
        <w:tc>
          <w:tcPr>
            <w:tcW w:w="1134" w:type="dxa"/>
            <w:tcBorders>
              <w:top w:val="nil"/>
              <w:left w:val="nil"/>
              <w:bottom w:val="nil"/>
              <w:right w:val="nil"/>
            </w:tcBorders>
            <w:shd w:val="clear" w:color="auto" w:fill="auto"/>
            <w:vAlign w:val="bottom"/>
          </w:tcPr>
          <w:p w14:paraId="123C4F22" w14:textId="761C736B" w:rsidR="00953130" w:rsidRPr="001D41EA" w:rsidRDefault="00953130" w:rsidP="001D41EA">
            <w:pPr>
              <w:spacing w:before="40" w:after="40"/>
              <w:jc w:val="right"/>
              <w:rPr>
                <w:rFonts w:cs="Arial"/>
                <w:sz w:val="18"/>
                <w:szCs w:val="18"/>
              </w:rPr>
            </w:pPr>
            <w:r w:rsidRPr="001D41EA">
              <w:rPr>
                <w:rFonts w:cs="Arial"/>
                <w:sz w:val="18"/>
                <w:szCs w:val="18"/>
              </w:rPr>
              <w:t>255,685</w:t>
            </w:r>
          </w:p>
        </w:tc>
        <w:tc>
          <w:tcPr>
            <w:tcW w:w="1134" w:type="dxa"/>
            <w:tcBorders>
              <w:top w:val="nil"/>
              <w:left w:val="nil"/>
              <w:bottom w:val="nil"/>
              <w:right w:val="nil"/>
            </w:tcBorders>
            <w:vAlign w:val="bottom"/>
          </w:tcPr>
          <w:p w14:paraId="2EB47576" w14:textId="3C84BE8A" w:rsidR="00953130" w:rsidRPr="001D41EA" w:rsidRDefault="00953130" w:rsidP="001D41EA">
            <w:pPr>
              <w:spacing w:before="40" w:after="40"/>
              <w:jc w:val="right"/>
              <w:rPr>
                <w:rFonts w:cs="Arial"/>
                <w:sz w:val="18"/>
                <w:szCs w:val="18"/>
              </w:rPr>
            </w:pPr>
            <w:r w:rsidRPr="001D41EA">
              <w:rPr>
                <w:rFonts w:cs="Arial"/>
                <w:sz w:val="18"/>
                <w:szCs w:val="18"/>
              </w:rPr>
              <w:t>77,589</w:t>
            </w:r>
          </w:p>
        </w:tc>
        <w:tc>
          <w:tcPr>
            <w:tcW w:w="1134" w:type="dxa"/>
            <w:tcBorders>
              <w:top w:val="nil"/>
              <w:left w:val="nil"/>
              <w:bottom w:val="nil"/>
              <w:right w:val="nil"/>
            </w:tcBorders>
            <w:shd w:val="clear" w:color="auto" w:fill="auto"/>
            <w:vAlign w:val="bottom"/>
          </w:tcPr>
          <w:p w14:paraId="5C0B0CDA" w14:textId="4B8E98E9" w:rsidR="00953130" w:rsidRPr="001D41EA" w:rsidRDefault="00953130" w:rsidP="001D41EA">
            <w:pPr>
              <w:spacing w:before="40" w:after="40"/>
              <w:jc w:val="right"/>
              <w:rPr>
                <w:rFonts w:cs="Arial"/>
                <w:sz w:val="18"/>
                <w:szCs w:val="18"/>
              </w:rPr>
            </w:pPr>
            <w:r w:rsidRPr="001D41EA">
              <w:rPr>
                <w:rFonts w:cs="Arial"/>
                <w:sz w:val="18"/>
                <w:szCs w:val="18"/>
              </w:rPr>
              <w:t>112,067</w:t>
            </w:r>
          </w:p>
        </w:tc>
      </w:tr>
      <w:tr w:rsidR="00953130" w:rsidRPr="001D41EA" w14:paraId="6B574AC3"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F422C66" w14:textId="77777777" w:rsidR="00953130" w:rsidRPr="001D41EA" w:rsidRDefault="00953130" w:rsidP="001D41EA">
            <w:pPr>
              <w:spacing w:before="40" w:after="40"/>
              <w:rPr>
                <w:rFonts w:cs="Arial"/>
                <w:sz w:val="18"/>
                <w:szCs w:val="18"/>
              </w:rPr>
            </w:pPr>
            <w:r w:rsidRPr="001D41EA">
              <w:rPr>
                <w:rFonts w:cs="Arial"/>
                <w:sz w:val="18"/>
                <w:szCs w:val="18"/>
              </w:rPr>
              <w:t>Greater Shepparton C</w:t>
            </w:r>
          </w:p>
        </w:tc>
        <w:tc>
          <w:tcPr>
            <w:tcW w:w="1134" w:type="dxa"/>
            <w:tcBorders>
              <w:top w:val="nil"/>
              <w:left w:val="single" w:sz="18" w:space="0" w:color="5F497A" w:themeColor="accent4" w:themeShade="BF"/>
              <w:bottom w:val="nil"/>
              <w:right w:val="nil"/>
            </w:tcBorders>
            <w:shd w:val="clear" w:color="auto" w:fill="auto"/>
            <w:vAlign w:val="bottom"/>
          </w:tcPr>
          <w:p w14:paraId="48ADFCA7" w14:textId="388D0840" w:rsidR="00953130" w:rsidRPr="001D41EA" w:rsidRDefault="00953130" w:rsidP="001D41EA">
            <w:pPr>
              <w:spacing w:before="40" w:after="40"/>
              <w:jc w:val="right"/>
              <w:rPr>
                <w:rFonts w:cs="Arial"/>
                <w:sz w:val="18"/>
                <w:szCs w:val="18"/>
              </w:rPr>
            </w:pPr>
            <w:r w:rsidRPr="001D41EA">
              <w:rPr>
                <w:rFonts w:cs="Arial"/>
                <w:sz w:val="18"/>
                <w:szCs w:val="18"/>
              </w:rPr>
              <w:t>66,007</w:t>
            </w:r>
          </w:p>
        </w:tc>
        <w:tc>
          <w:tcPr>
            <w:tcW w:w="1134" w:type="dxa"/>
            <w:tcBorders>
              <w:top w:val="nil"/>
              <w:left w:val="nil"/>
              <w:bottom w:val="nil"/>
              <w:right w:val="nil"/>
            </w:tcBorders>
            <w:vAlign w:val="bottom"/>
          </w:tcPr>
          <w:p w14:paraId="55C263F7" w14:textId="15823E6B" w:rsidR="00953130" w:rsidRPr="001D41EA" w:rsidRDefault="00953130" w:rsidP="001D41EA">
            <w:pPr>
              <w:spacing w:before="40" w:after="40"/>
              <w:jc w:val="right"/>
              <w:rPr>
                <w:rFonts w:cs="Arial"/>
                <w:sz w:val="18"/>
                <w:szCs w:val="18"/>
              </w:rPr>
            </w:pPr>
            <w:r w:rsidRPr="001D41EA">
              <w:rPr>
                <w:rFonts w:cs="Arial"/>
                <w:sz w:val="18"/>
                <w:szCs w:val="18"/>
              </w:rPr>
              <w:t>66,007</w:t>
            </w:r>
          </w:p>
        </w:tc>
        <w:tc>
          <w:tcPr>
            <w:tcW w:w="1134" w:type="dxa"/>
            <w:tcBorders>
              <w:top w:val="nil"/>
              <w:left w:val="nil"/>
              <w:bottom w:val="nil"/>
              <w:right w:val="nil"/>
            </w:tcBorders>
            <w:vAlign w:val="bottom"/>
          </w:tcPr>
          <w:p w14:paraId="25147715" w14:textId="40A14711" w:rsidR="00953130" w:rsidRPr="001D41EA" w:rsidRDefault="00953130" w:rsidP="001D41EA">
            <w:pPr>
              <w:spacing w:before="40" w:after="40"/>
              <w:jc w:val="right"/>
              <w:rPr>
                <w:rFonts w:cs="Arial"/>
                <w:sz w:val="18"/>
                <w:szCs w:val="18"/>
              </w:rPr>
            </w:pPr>
            <w:r w:rsidRPr="001D41EA">
              <w:rPr>
                <w:rFonts w:cs="Arial"/>
                <w:sz w:val="18"/>
                <w:szCs w:val="18"/>
              </w:rPr>
              <w:t>66,007</w:t>
            </w:r>
          </w:p>
        </w:tc>
        <w:tc>
          <w:tcPr>
            <w:tcW w:w="1134" w:type="dxa"/>
            <w:tcBorders>
              <w:top w:val="nil"/>
              <w:left w:val="nil"/>
              <w:bottom w:val="nil"/>
              <w:right w:val="nil"/>
            </w:tcBorders>
            <w:shd w:val="clear" w:color="auto" w:fill="auto"/>
            <w:vAlign w:val="bottom"/>
          </w:tcPr>
          <w:p w14:paraId="1D81D7A5" w14:textId="063039DC" w:rsidR="00953130" w:rsidRPr="001D41EA" w:rsidRDefault="00953130" w:rsidP="001D41EA">
            <w:pPr>
              <w:spacing w:before="40" w:after="40"/>
              <w:jc w:val="right"/>
              <w:rPr>
                <w:rFonts w:cs="Arial"/>
                <w:sz w:val="18"/>
                <w:szCs w:val="18"/>
              </w:rPr>
            </w:pPr>
            <w:r w:rsidRPr="001D41EA">
              <w:rPr>
                <w:rFonts w:cs="Arial"/>
                <w:sz w:val="18"/>
                <w:szCs w:val="18"/>
              </w:rPr>
              <w:t>66,007</w:t>
            </w:r>
          </w:p>
        </w:tc>
        <w:tc>
          <w:tcPr>
            <w:tcW w:w="1134" w:type="dxa"/>
            <w:tcBorders>
              <w:top w:val="nil"/>
              <w:left w:val="nil"/>
              <w:bottom w:val="nil"/>
              <w:right w:val="nil"/>
            </w:tcBorders>
            <w:vAlign w:val="bottom"/>
          </w:tcPr>
          <w:p w14:paraId="193A9169" w14:textId="032868DE" w:rsidR="00953130" w:rsidRPr="001D41EA" w:rsidRDefault="00953130" w:rsidP="001D41EA">
            <w:pPr>
              <w:spacing w:before="40" w:after="40"/>
              <w:jc w:val="right"/>
              <w:rPr>
                <w:rFonts w:cs="Arial"/>
                <w:sz w:val="18"/>
                <w:szCs w:val="18"/>
              </w:rPr>
            </w:pPr>
            <w:r w:rsidRPr="001D41EA">
              <w:rPr>
                <w:rFonts w:cs="Arial"/>
                <w:sz w:val="18"/>
                <w:szCs w:val="18"/>
              </w:rPr>
              <w:t>20,933</w:t>
            </w:r>
          </w:p>
        </w:tc>
        <w:tc>
          <w:tcPr>
            <w:tcW w:w="1134" w:type="dxa"/>
            <w:tcBorders>
              <w:top w:val="nil"/>
              <w:left w:val="nil"/>
              <w:bottom w:val="nil"/>
              <w:right w:val="nil"/>
            </w:tcBorders>
            <w:shd w:val="clear" w:color="auto" w:fill="auto"/>
            <w:vAlign w:val="bottom"/>
          </w:tcPr>
          <w:p w14:paraId="76E93305" w14:textId="404BCC1D" w:rsidR="00953130" w:rsidRPr="001D41EA" w:rsidRDefault="00953130" w:rsidP="001D41EA">
            <w:pPr>
              <w:spacing w:before="40" w:after="40"/>
              <w:jc w:val="right"/>
              <w:rPr>
                <w:rFonts w:cs="Arial"/>
                <w:sz w:val="18"/>
                <w:szCs w:val="18"/>
              </w:rPr>
            </w:pPr>
            <w:r w:rsidRPr="001D41EA">
              <w:rPr>
                <w:rFonts w:cs="Arial"/>
                <w:sz w:val="18"/>
                <w:szCs w:val="18"/>
              </w:rPr>
              <w:t>27,265</w:t>
            </w:r>
          </w:p>
        </w:tc>
      </w:tr>
      <w:tr w:rsidR="00953130" w:rsidRPr="001D41EA" w14:paraId="41579ECB"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EDC161A" w14:textId="77777777" w:rsidR="00953130" w:rsidRPr="001D41EA" w:rsidRDefault="00953130" w:rsidP="001D41EA">
            <w:pPr>
              <w:spacing w:before="40" w:after="40"/>
              <w:rPr>
                <w:rFonts w:cs="Arial"/>
                <w:sz w:val="18"/>
                <w:szCs w:val="18"/>
              </w:rPr>
            </w:pPr>
            <w:r w:rsidRPr="001D41EA">
              <w:rPr>
                <w:rFonts w:cs="Arial"/>
                <w:sz w:val="18"/>
                <w:szCs w:val="18"/>
              </w:rPr>
              <w:t>Hepburn S</w:t>
            </w:r>
          </w:p>
        </w:tc>
        <w:tc>
          <w:tcPr>
            <w:tcW w:w="1134" w:type="dxa"/>
            <w:tcBorders>
              <w:top w:val="nil"/>
              <w:left w:val="single" w:sz="18" w:space="0" w:color="5F497A" w:themeColor="accent4" w:themeShade="BF"/>
              <w:bottom w:val="nil"/>
              <w:right w:val="nil"/>
            </w:tcBorders>
            <w:shd w:val="clear" w:color="auto" w:fill="auto"/>
            <w:vAlign w:val="bottom"/>
          </w:tcPr>
          <w:p w14:paraId="2C488F48" w14:textId="36E2489C" w:rsidR="00953130" w:rsidRPr="001D41EA" w:rsidRDefault="00953130" w:rsidP="001D41EA">
            <w:pPr>
              <w:spacing w:before="40" w:after="40"/>
              <w:jc w:val="right"/>
              <w:rPr>
                <w:rFonts w:cs="Arial"/>
                <w:sz w:val="18"/>
                <w:szCs w:val="18"/>
              </w:rPr>
            </w:pPr>
            <w:r w:rsidRPr="001D41EA">
              <w:rPr>
                <w:rFonts w:cs="Arial"/>
                <w:sz w:val="18"/>
                <w:szCs w:val="18"/>
              </w:rPr>
              <w:t>15,812</w:t>
            </w:r>
          </w:p>
        </w:tc>
        <w:tc>
          <w:tcPr>
            <w:tcW w:w="1134" w:type="dxa"/>
            <w:tcBorders>
              <w:top w:val="nil"/>
              <w:left w:val="nil"/>
              <w:bottom w:val="nil"/>
              <w:right w:val="nil"/>
            </w:tcBorders>
            <w:vAlign w:val="bottom"/>
          </w:tcPr>
          <w:p w14:paraId="76AD7A98" w14:textId="22084B83" w:rsidR="00953130" w:rsidRPr="001D41EA" w:rsidRDefault="00953130" w:rsidP="001D41EA">
            <w:pPr>
              <w:spacing w:before="40" w:after="40"/>
              <w:jc w:val="right"/>
              <w:rPr>
                <w:rFonts w:cs="Arial"/>
                <w:sz w:val="18"/>
                <w:szCs w:val="18"/>
              </w:rPr>
            </w:pPr>
            <w:r w:rsidRPr="001D41EA">
              <w:rPr>
                <w:rFonts w:cs="Arial"/>
                <w:sz w:val="18"/>
                <w:szCs w:val="18"/>
              </w:rPr>
              <w:t>17,097</w:t>
            </w:r>
          </w:p>
        </w:tc>
        <w:tc>
          <w:tcPr>
            <w:tcW w:w="1134" w:type="dxa"/>
            <w:tcBorders>
              <w:top w:val="nil"/>
              <w:left w:val="nil"/>
              <w:bottom w:val="nil"/>
              <w:right w:val="nil"/>
            </w:tcBorders>
            <w:vAlign w:val="bottom"/>
          </w:tcPr>
          <w:p w14:paraId="4D709069" w14:textId="334594F7" w:rsidR="00953130" w:rsidRPr="001D41EA" w:rsidRDefault="00953130" w:rsidP="001D41EA">
            <w:pPr>
              <w:spacing w:before="40" w:after="40"/>
              <w:jc w:val="right"/>
              <w:rPr>
                <w:rFonts w:cs="Arial"/>
                <w:sz w:val="18"/>
                <w:szCs w:val="18"/>
              </w:rPr>
            </w:pPr>
            <w:r w:rsidRPr="001D41EA">
              <w:rPr>
                <w:rFonts w:cs="Arial"/>
                <w:sz w:val="18"/>
                <w:szCs w:val="18"/>
              </w:rPr>
              <w:t>20,000</w:t>
            </w:r>
          </w:p>
        </w:tc>
        <w:tc>
          <w:tcPr>
            <w:tcW w:w="1134" w:type="dxa"/>
            <w:tcBorders>
              <w:top w:val="nil"/>
              <w:left w:val="nil"/>
              <w:bottom w:val="nil"/>
              <w:right w:val="nil"/>
            </w:tcBorders>
            <w:shd w:val="clear" w:color="auto" w:fill="auto"/>
            <w:vAlign w:val="bottom"/>
          </w:tcPr>
          <w:p w14:paraId="78451752" w14:textId="0F70A04D" w:rsidR="00953130" w:rsidRPr="001D41EA" w:rsidRDefault="00953130" w:rsidP="001D41EA">
            <w:pPr>
              <w:spacing w:before="40" w:after="40"/>
              <w:jc w:val="right"/>
              <w:rPr>
                <w:rFonts w:cs="Arial"/>
                <w:sz w:val="18"/>
                <w:szCs w:val="18"/>
              </w:rPr>
            </w:pPr>
            <w:r w:rsidRPr="001D41EA">
              <w:rPr>
                <w:rFonts w:cs="Arial"/>
                <w:sz w:val="18"/>
                <w:szCs w:val="18"/>
              </w:rPr>
              <w:t>17,097</w:t>
            </w:r>
          </w:p>
        </w:tc>
        <w:tc>
          <w:tcPr>
            <w:tcW w:w="1134" w:type="dxa"/>
            <w:tcBorders>
              <w:top w:val="nil"/>
              <w:left w:val="nil"/>
              <w:bottom w:val="nil"/>
              <w:right w:val="nil"/>
            </w:tcBorders>
            <w:vAlign w:val="bottom"/>
          </w:tcPr>
          <w:p w14:paraId="0D9C999B" w14:textId="6EC251E8" w:rsidR="00953130" w:rsidRPr="001D41EA" w:rsidRDefault="00953130" w:rsidP="001D41EA">
            <w:pPr>
              <w:spacing w:before="40" w:after="40"/>
              <w:jc w:val="right"/>
              <w:rPr>
                <w:rFonts w:cs="Arial"/>
                <w:sz w:val="18"/>
                <w:szCs w:val="18"/>
              </w:rPr>
            </w:pPr>
            <w:r w:rsidRPr="001D41EA">
              <w:rPr>
                <w:rFonts w:cs="Arial"/>
                <w:sz w:val="18"/>
                <w:szCs w:val="18"/>
              </w:rPr>
              <w:t>6,413</w:t>
            </w:r>
          </w:p>
        </w:tc>
        <w:tc>
          <w:tcPr>
            <w:tcW w:w="1134" w:type="dxa"/>
            <w:tcBorders>
              <w:top w:val="nil"/>
              <w:left w:val="nil"/>
              <w:bottom w:val="nil"/>
              <w:right w:val="nil"/>
            </w:tcBorders>
            <w:shd w:val="clear" w:color="auto" w:fill="auto"/>
            <w:vAlign w:val="bottom"/>
          </w:tcPr>
          <w:p w14:paraId="4BBD89AD" w14:textId="2FCD2A5E" w:rsidR="00953130" w:rsidRPr="001D41EA" w:rsidRDefault="00953130" w:rsidP="001D41EA">
            <w:pPr>
              <w:spacing w:before="40" w:after="40"/>
              <w:jc w:val="right"/>
              <w:rPr>
                <w:rFonts w:cs="Arial"/>
                <w:sz w:val="18"/>
                <w:szCs w:val="18"/>
              </w:rPr>
            </w:pPr>
            <w:r w:rsidRPr="001D41EA">
              <w:rPr>
                <w:rFonts w:cs="Arial"/>
                <w:sz w:val="18"/>
                <w:szCs w:val="18"/>
              </w:rPr>
              <w:t>8,813</w:t>
            </w:r>
          </w:p>
        </w:tc>
      </w:tr>
      <w:tr w:rsidR="00953130" w:rsidRPr="001D41EA" w14:paraId="06D7323D"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973AFA1" w14:textId="77777777" w:rsidR="00953130" w:rsidRPr="001D41EA" w:rsidRDefault="00953130" w:rsidP="001D41EA">
            <w:pPr>
              <w:spacing w:before="40" w:after="40"/>
              <w:rPr>
                <w:rFonts w:cs="Arial"/>
                <w:sz w:val="18"/>
                <w:szCs w:val="18"/>
              </w:rPr>
            </w:pPr>
            <w:r w:rsidRPr="001D41EA">
              <w:rPr>
                <w:rFonts w:cs="Arial"/>
                <w:sz w:val="18"/>
                <w:szCs w:val="18"/>
              </w:rPr>
              <w:t>Hindmarsh S</w:t>
            </w:r>
          </w:p>
        </w:tc>
        <w:tc>
          <w:tcPr>
            <w:tcW w:w="1134" w:type="dxa"/>
            <w:tcBorders>
              <w:top w:val="nil"/>
              <w:left w:val="single" w:sz="18" w:space="0" w:color="5F497A" w:themeColor="accent4" w:themeShade="BF"/>
              <w:bottom w:val="nil"/>
              <w:right w:val="nil"/>
            </w:tcBorders>
            <w:shd w:val="clear" w:color="auto" w:fill="auto"/>
            <w:vAlign w:val="bottom"/>
          </w:tcPr>
          <w:p w14:paraId="4625A42E" w14:textId="6CDF2001" w:rsidR="00953130" w:rsidRPr="001D41EA" w:rsidRDefault="00953130" w:rsidP="001D41EA">
            <w:pPr>
              <w:spacing w:before="40" w:after="40"/>
              <w:jc w:val="right"/>
              <w:rPr>
                <w:rFonts w:cs="Arial"/>
                <w:sz w:val="18"/>
                <w:szCs w:val="18"/>
              </w:rPr>
            </w:pPr>
            <w:r w:rsidRPr="001D41EA">
              <w:rPr>
                <w:rFonts w:cs="Arial"/>
                <w:sz w:val="18"/>
                <w:szCs w:val="18"/>
              </w:rPr>
              <w:t>5,645</w:t>
            </w:r>
          </w:p>
        </w:tc>
        <w:tc>
          <w:tcPr>
            <w:tcW w:w="1134" w:type="dxa"/>
            <w:tcBorders>
              <w:top w:val="nil"/>
              <w:left w:val="nil"/>
              <w:bottom w:val="nil"/>
              <w:right w:val="nil"/>
            </w:tcBorders>
            <w:vAlign w:val="bottom"/>
          </w:tcPr>
          <w:p w14:paraId="2D1859BF" w14:textId="46DBA79F" w:rsidR="00953130" w:rsidRPr="001D41EA" w:rsidRDefault="00953130" w:rsidP="001D41EA">
            <w:pPr>
              <w:spacing w:before="40" w:after="40"/>
              <w:jc w:val="right"/>
              <w:rPr>
                <w:rFonts w:cs="Arial"/>
                <w:sz w:val="18"/>
                <w:szCs w:val="18"/>
              </w:rPr>
            </w:pPr>
            <w:r w:rsidRPr="001D41EA">
              <w:rPr>
                <w:rFonts w:cs="Arial"/>
                <w:sz w:val="18"/>
                <w:szCs w:val="18"/>
              </w:rPr>
              <w:t>15,000</w:t>
            </w:r>
          </w:p>
        </w:tc>
        <w:tc>
          <w:tcPr>
            <w:tcW w:w="1134" w:type="dxa"/>
            <w:tcBorders>
              <w:top w:val="nil"/>
              <w:left w:val="nil"/>
              <w:bottom w:val="nil"/>
              <w:right w:val="nil"/>
            </w:tcBorders>
            <w:vAlign w:val="bottom"/>
          </w:tcPr>
          <w:p w14:paraId="094A12E5" w14:textId="73BA4FE8" w:rsidR="00953130" w:rsidRPr="001D41EA" w:rsidRDefault="00953130" w:rsidP="001D41EA">
            <w:pPr>
              <w:spacing w:before="40" w:after="40"/>
              <w:jc w:val="right"/>
              <w:rPr>
                <w:rFonts w:cs="Arial"/>
                <w:sz w:val="18"/>
                <w:szCs w:val="18"/>
              </w:rPr>
            </w:pPr>
            <w:r w:rsidRPr="001D41EA">
              <w:rPr>
                <w:rFonts w:cs="Arial"/>
                <w:sz w:val="18"/>
                <w:szCs w:val="18"/>
              </w:rPr>
              <w:t>20,000</w:t>
            </w:r>
          </w:p>
        </w:tc>
        <w:tc>
          <w:tcPr>
            <w:tcW w:w="1134" w:type="dxa"/>
            <w:tcBorders>
              <w:top w:val="nil"/>
              <w:left w:val="nil"/>
              <w:bottom w:val="nil"/>
              <w:right w:val="nil"/>
            </w:tcBorders>
            <w:shd w:val="clear" w:color="auto" w:fill="auto"/>
            <w:vAlign w:val="bottom"/>
          </w:tcPr>
          <w:p w14:paraId="1A37B07B" w14:textId="4D986C9E" w:rsidR="00953130" w:rsidRPr="001D41EA" w:rsidRDefault="00953130" w:rsidP="001D41EA">
            <w:pPr>
              <w:spacing w:before="40" w:after="40"/>
              <w:jc w:val="right"/>
              <w:rPr>
                <w:rFonts w:cs="Arial"/>
                <w:sz w:val="18"/>
                <w:szCs w:val="18"/>
              </w:rPr>
            </w:pPr>
            <w:r w:rsidRPr="001D41EA">
              <w:rPr>
                <w:rFonts w:cs="Arial"/>
                <w:sz w:val="18"/>
                <w:szCs w:val="18"/>
              </w:rPr>
              <w:t>5,917</w:t>
            </w:r>
          </w:p>
        </w:tc>
        <w:tc>
          <w:tcPr>
            <w:tcW w:w="1134" w:type="dxa"/>
            <w:tcBorders>
              <w:top w:val="nil"/>
              <w:left w:val="nil"/>
              <w:bottom w:val="nil"/>
              <w:right w:val="nil"/>
            </w:tcBorders>
            <w:vAlign w:val="bottom"/>
          </w:tcPr>
          <w:p w14:paraId="657A2C15" w14:textId="6B8BD49E" w:rsidR="00953130" w:rsidRPr="001D41EA" w:rsidRDefault="00953130" w:rsidP="001D41EA">
            <w:pPr>
              <w:spacing w:before="40" w:after="40"/>
              <w:jc w:val="right"/>
              <w:rPr>
                <w:rFonts w:cs="Arial"/>
                <w:sz w:val="18"/>
                <w:szCs w:val="18"/>
              </w:rPr>
            </w:pPr>
            <w:r w:rsidRPr="001D41EA">
              <w:rPr>
                <w:rFonts w:cs="Arial"/>
                <w:sz w:val="18"/>
                <w:szCs w:val="18"/>
              </w:rPr>
              <w:t>2,443</w:t>
            </w:r>
          </w:p>
        </w:tc>
        <w:tc>
          <w:tcPr>
            <w:tcW w:w="1134" w:type="dxa"/>
            <w:tcBorders>
              <w:top w:val="nil"/>
              <w:left w:val="nil"/>
              <w:bottom w:val="nil"/>
              <w:right w:val="nil"/>
            </w:tcBorders>
            <w:shd w:val="clear" w:color="auto" w:fill="auto"/>
            <w:vAlign w:val="bottom"/>
          </w:tcPr>
          <w:p w14:paraId="1AFA13D2" w14:textId="6E68AED3" w:rsidR="00953130" w:rsidRPr="001D41EA" w:rsidRDefault="00953130" w:rsidP="001D41EA">
            <w:pPr>
              <w:spacing w:before="40" w:after="40"/>
              <w:jc w:val="right"/>
              <w:rPr>
                <w:rFonts w:cs="Arial"/>
                <w:sz w:val="18"/>
                <w:szCs w:val="18"/>
              </w:rPr>
            </w:pPr>
            <w:r w:rsidRPr="001D41EA">
              <w:rPr>
                <w:rFonts w:cs="Arial"/>
                <w:sz w:val="18"/>
                <w:szCs w:val="18"/>
              </w:rPr>
              <w:t>2,970</w:t>
            </w:r>
          </w:p>
        </w:tc>
      </w:tr>
      <w:tr w:rsidR="00953130" w:rsidRPr="001D41EA" w14:paraId="3416E743"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8AF0490" w14:textId="77777777" w:rsidR="00953130" w:rsidRPr="001D41EA" w:rsidRDefault="00953130" w:rsidP="001D41EA">
            <w:pPr>
              <w:spacing w:before="40" w:after="40"/>
              <w:rPr>
                <w:rFonts w:cs="Arial"/>
                <w:sz w:val="18"/>
                <w:szCs w:val="18"/>
              </w:rPr>
            </w:pPr>
            <w:r w:rsidRPr="001D41EA">
              <w:rPr>
                <w:rFonts w:cs="Arial"/>
                <w:sz w:val="18"/>
                <w:szCs w:val="18"/>
              </w:rPr>
              <w:t>Hobsons Bay C</w:t>
            </w:r>
          </w:p>
        </w:tc>
        <w:tc>
          <w:tcPr>
            <w:tcW w:w="1134" w:type="dxa"/>
            <w:tcBorders>
              <w:top w:val="nil"/>
              <w:left w:val="single" w:sz="18" w:space="0" w:color="5F497A" w:themeColor="accent4" w:themeShade="BF"/>
              <w:bottom w:val="nil"/>
              <w:right w:val="nil"/>
            </w:tcBorders>
            <w:shd w:val="clear" w:color="auto" w:fill="auto"/>
            <w:vAlign w:val="bottom"/>
          </w:tcPr>
          <w:p w14:paraId="3D4EB6D8" w14:textId="4107D78D" w:rsidR="00953130" w:rsidRPr="001D41EA" w:rsidRDefault="00953130" w:rsidP="001D41EA">
            <w:pPr>
              <w:spacing w:before="40" w:after="40"/>
              <w:jc w:val="right"/>
              <w:rPr>
                <w:rFonts w:cs="Arial"/>
                <w:sz w:val="18"/>
                <w:szCs w:val="18"/>
              </w:rPr>
            </w:pPr>
            <w:r w:rsidRPr="001D41EA">
              <w:rPr>
                <w:rFonts w:cs="Arial"/>
                <w:sz w:val="18"/>
                <w:szCs w:val="18"/>
              </w:rPr>
              <w:t>96,470</w:t>
            </w:r>
          </w:p>
        </w:tc>
        <w:tc>
          <w:tcPr>
            <w:tcW w:w="1134" w:type="dxa"/>
            <w:tcBorders>
              <w:top w:val="nil"/>
              <w:left w:val="nil"/>
              <w:bottom w:val="nil"/>
              <w:right w:val="nil"/>
            </w:tcBorders>
            <w:vAlign w:val="bottom"/>
          </w:tcPr>
          <w:p w14:paraId="0FC94E98" w14:textId="64E522A6" w:rsidR="00953130" w:rsidRPr="001D41EA" w:rsidRDefault="00953130" w:rsidP="001D41EA">
            <w:pPr>
              <w:spacing w:before="40" w:after="40"/>
              <w:jc w:val="right"/>
              <w:rPr>
                <w:rFonts w:cs="Arial"/>
                <w:sz w:val="18"/>
                <w:szCs w:val="18"/>
              </w:rPr>
            </w:pPr>
            <w:r w:rsidRPr="001D41EA">
              <w:rPr>
                <w:rFonts w:cs="Arial"/>
                <w:sz w:val="18"/>
                <w:szCs w:val="18"/>
              </w:rPr>
              <w:t>96,470</w:t>
            </w:r>
          </w:p>
        </w:tc>
        <w:tc>
          <w:tcPr>
            <w:tcW w:w="1134" w:type="dxa"/>
            <w:tcBorders>
              <w:top w:val="nil"/>
              <w:left w:val="nil"/>
              <w:bottom w:val="nil"/>
              <w:right w:val="nil"/>
            </w:tcBorders>
            <w:vAlign w:val="bottom"/>
          </w:tcPr>
          <w:p w14:paraId="613BE5A6" w14:textId="456F1FC2" w:rsidR="00953130" w:rsidRPr="001D41EA" w:rsidRDefault="00953130" w:rsidP="001D41EA">
            <w:pPr>
              <w:spacing w:before="40" w:after="40"/>
              <w:jc w:val="right"/>
              <w:rPr>
                <w:rFonts w:cs="Arial"/>
                <w:sz w:val="18"/>
                <w:szCs w:val="18"/>
              </w:rPr>
            </w:pPr>
            <w:r w:rsidRPr="001D41EA">
              <w:rPr>
                <w:rFonts w:cs="Arial"/>
                <w:sz w:val="18"/>
                <w:szCs w:val="18"/>
              </w:rPr>
              <w:t>96,470</w:t>
            </w:r>
          </w:p>
        </w:tc>
        <w:tc>
          <w:tcPr>
            <w:tcW w:w="1134" w:type="dxa"/>
            <w:tcBorders>
              <w:top w:val="nil"/>
              <w:left w:val="nil"/>
              <w:bottom w:val="nil"/>
              <w:right w:val="nil"/>
            </w:tcBorders>
            <w:shd w:val="clear" w:color="auto" w:fill="auto"/>
            <w:vAlign w:val="bottom"/>
          </w:tcPr>
          <w:p w14:paraId="38D8D3B1" w14:textId="53222D11" w:rsidR="00953130" w:rsidRPr="001D41EA" w:rsidRDefault="00953130" w:rsidP="001D41EA">
            <w:pPr>
              <w:spacing w:before="40" w:after="40"/>
              <w:jc w:val="right"/>
              <w:rPr>
                <w:rFonts w:cs="Arial"/>
                <w:sz w:val="18"/>
                <w:szCs w:val="18"/>
              </w:rPr>
            </w:pPr>
            <w:r w:rsidRPr="001D41EA">
              <w:rPr>
                <w:rFonts w:cs="Arial"/>
                <w:sz w:val="18"/>
                <w:szCs w:val="18"/>
              </w:rPr>
              <w:t>96,470</w:t>
            </w:r>
          </w:p>
        </w:tc>
        <w:tc>
          <w:tcPr>
            <w:tcW w:w="1134" w:type="dxa"/>
            <w:tcBorders>
              <w:top w:val="nil"/>
              <w:left w:val="nil"/>
              <w:bottom w:val="nil"/>
              <w:right w:val="nil"/>
            </w:tcBorders>
            <w:vAlign w:val="bottom"/>
          </w:tcPr>
          <w:p w14:paraId="713E0929" w14:textId="6127CBFA" w:rsidR="00953130" w:rsidRPr="001D41EA" w:rsidRDefault="00953130" w:rsidP="001D41EA">
            <w:pPr>
              <w:spacing w:before="40" w:after="40"/>
              <w:jc w:val="right"/>
              <w:rPr>
                <w:rFonts w:cs="Arial"/>
                <w:sz w:val="18"/>
                <w:szCs w:val="18"/>
              </w:rPr>
            </w:pPr>
            <w:r w:rsidRPr="001D41EA">
              <w:rPr>
                <w:rFonts w:cs="Arial"/>
                <w:sz w:val="18"/>
                <w:szCs w:val="18"/>
              </w:rPr>
              <w:t>24,233</w:t>
            </w:r>
          </w:p>
        </w:tc>
        <w:tc>
          <w:tcPr>
            <w:tcW w:w="1134" w:type="dxa"/>
            <w:tcBorders>
              <w:top w:val="nil"/>
              <w:left w:val="nil"/>
              <w:bottom w:val="nil"/>
              <w:right w:val="nil"/>
            </w:tcBorders>
            <w:shd w:val="clear" w:color="auto" w:fill="auto"/>
            <w:vAlign w:val="bottom"/>
          </w:tcPr>
          <w:p w14:paraId="73F25E41" w14:textId="4EC917C0" w:rsidR="00953130" w:rsidRPr="001D41EA" w:rsidRDefault="00953130" w:rsidP="001D41EA">
            <w:pPr>
              <w:spacing w:before="40" w:after="40"/>
              <w:jc w:val="right"/>
              <w:rPr>
                <w:rFonts w:cs="Arial"/>
                <w:sz w:val="18"/>
                <w:szCs w:val="18"/>
              </w:rPr>
            </w:pPr>
            <w:r w:rsidRPr="001D41EA">
              <w:rPr>
                <w:rFonts w:cs="Arial"/>
                <w:sz w:val="18"/>
                <w:szCs w:val="18"/>
              </w:rPr>
              <w:t>38,371</w:t>
            </w:r>
          </w:p>
        </w:tc>
      </w:tr>
      <w:tr w:rsidR="00953130" w:rsidRPr="001D41EA" w14:paraId="71997870"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DB2D4B9" w14:textId="77777777" w:rsidR="00953130" w:rsidRPr="001D41EA" w:rsidRDefault="00953130" w:rsidP="001D41EA">
            <w:pPr>
              <w:spacing w:before="40" w:after="40"/>
              <w:rPr>
                <w:rFonts w:cs="Arial"/>
                <w:sz w:val="18"/>
                <w:szCs w:val="18"/>
              </w:rPr>
            </w:pPr>
            <w:r w:rsidRPr="001D41EA">
              <w:rPr>
                <w:rFonts w:cs="Arial"/>
                <w:sz w:val="18"/>
                <w:szCs w:val="18"/>
              </w:rPr>
              <w:t>Horsham RC</w:t>
            </w:r>
          </w:p>
        </w:tc>
        <w:tc>
          <w:tcPr>
            <w:tcW w:w="1134" w:type="dxa"/>
            <w:tcBorders>
              <w:top w:val="nil"/>
              <w:left w:val="single" w:sz="18" w:space="0" w:color="5F497A" w:themeColor="accent4" w:themeShade="BF"/>
              <w:bottom w:val="nil"/>
              <w:right w:val="nil"/>
            </w:tcBorders>
            <w:shd w:val="clear" w:color="auto" w:fill="auto"/>
            <w:vAlign w:val="bottom"/>
          </w:tcPr>
          <w:p w14:paraId="00979FD1" w14:textId="13A10A1A" w:rsidR="00953130" w:rsidRPr="001D41EA" w:rsidRDefault="00953130" w:rsidP="001D41EA">
            <w:pPr>
              <w:spacing w:before="40" w:after="40"/>
              <w:jc w:val="right"/>
              <w:rPr>
                <w:rFonts w:cs="Arial"/>
                <w:sz w:val="18"/>
                <w:szCs w:val="18"/>
              </w:rPr>
            </w:pPr>
            <w:r w:rsidRPr="001D41EA">
              <w:rPr>
                <w:rFonts w:cs="Arial"/>
                <w:sz w:val="18"/>
                <w:szCs w:val="18"/>
              </w:rPr>
              <w:t>19,875</w:t>
            </w:r>
          </w:p>
        </w:tc>
        <w:tc>
          <w:tcPr>
            <w:tcW w:w="1134" w:type="dxa"/>
            <w:tcBorders>
              <w:top w:val="nil"/>
              <w:left w:val="nil"/>
              <w:bottom w:val="nil"/>
              <w:right w:val="nil"/>
            </w:tcBorders>
            <w:vAlign w:val="bottom"/>
          </w:tcPr>
          <w:p w14:paraId="53DAC9E6" w14:textId="240D49C2" w:rsidR="00953130" w:rsidRPr="001D41EA" w:rsidRDefault="00953130" w:rsidP="001D41EA">
            <w:pPr>
              <w:spacing w:before="40" w:after="40"/>
              <w:jc w:val="right"/>
              <w:rPr>
                <w:rFonts w:cs="Arial"/>
                <w:sz w:val="18"/>
                <w:szCs w:val="18"/>
              </w:rPr>
            </w:pPr>
            <w:r w:rsidRPr="001D41EA">
              <w:rPr>
                <w:rFonts w:cs="Arial"/>
                <w:sz w:val="18"/>
                <w:szCs w:val="18"/>
              </w:rPr>
              <w:t>19,988</w:t>
            </w:r>
          </w:p>
        </w:tc>
        <w:tc>
          <w:tcPr>
            <w:tcW w:w="1134" w:type="dxa"/>
            <w:tcBorders>
              <w:top w:val="nil"/>
              <w:left w:val="nil"/>
              <w:bottom w:val="nil"/>
              <w:right w:val="nil"/>
            </w:tcBorders>
            <w:vAlign w:val="bottom"/>
          </w:tcPr>
          <w:p w14:paraId="001E1237" w14:textId="2CD367CD" w:rsidR="00953130" w:rsidRPr="001D41EA" w:rsidRDefault="00953130" w:rsidP="001D41EA">
            <w:pPr>
              <w:spacing w:before="40" w:after="40"/>
              <w:jc w:val="right"/>
              <w:rPr>
                <w:rFonts w:cs="Arial"/>
                <w:sz w:val="18"/>
                <w:szCs w:val="18"/>
              </w:rPr>
            </w:pPr>
            <w:r w:rsidRPr="001D41EA">
              <w:rPr>
                <w:rFonts w:cs="Arial"/>
                <w:sz w:val="18"/>
                <w:szCs w:val="18"/>
              </w:rPr>
              <w:t>20,000</w:t>
            </w:r>
          </w:p>
        </w:tc>
        <w:tc>
          <w:tcPr>
            <w:tcW w:w="1134" w:type="dxa"/>
            <w:tcBorders>
              <w:top w:val="nil"/>
              <w:left w:val="nil"/>
              <w:bottom w:val="nil"/>
              <w:right w:val="nil"/>
            </w:tcBorders>
            <w:shd w:val="clear" w:color="auto" w:fill="auto"/>
            <w:vAlign w:val="bottom"/>
          </w:tcPr>
          <w:p w14:paraId="0B806682" w14:textId="4541F286" w:rsidR="00953130" w:rsidRPr="001D41EA" w:rsidRDefault="00953130" w:rsidP="001D41EA">
            <w:pPr>
              <w:spacing w:before="40" w:after="40"/>
              <w:jc w:val="right"/>
              <w:rPr>
                <w:rFonts w:cs="Arial"/>
                <w:sz w:val="18"/>
                <w:szCs w:val="18"/>
              </w:rPr>
            </w:pPr>
            <w:r w:rsidRPr="001D41EA">
              <w:rPr>
                <w:rFonts w:cs="Arial"/>
                <w:sz w:val="18"/>
                <w:szCs w:val="18"/>
              </w:rPr>
              <w:t>19,988</w:t>
            </w:r>
          </w:p>
        </w:tc>
        <w:tc>
          <w:tcPr>
            <w:tcW w:w="1134" w:type="dxa"/>
            <w:tcBorders>
              <w:top w:val="nil"/>
              <w:left w:val="nil"/>
              <w:bottom w:val="nil"/>
              <w:right w:val="nil"/>
            </w:tcBorders>
            <w:vAlign w:val="bottom"/>
          </w:tcPr>
          <w:p w14:paraId="57E94205" w14:textId="0E01CA5C" w:rsidR="00953130" w:rsidRPr="001D41EA" w:rsidRDefault="00953130" w:rsidP="001D41EA">
            <w:pPr>
              <w:spacing w:before="40" w:after="40"/>
              <w:jc w:val="right"/>
              <w:rPr>
                <w:rFonts w:cs="Arial"/>
                <w:sz w:val="18"/>
                <w:szCs w:val="18"/>
              </w:rPr>
            </w:pPr>
            <w:r w:rsidRPr="001D41EA">
              <w:rPr>
                <w:rFonts w:cs="Arial"/>
                <w:sz w:val="18"/>
                <w:szCs w:val="18"/>
              </w:rPr>
              <w:t>6,667</w:t>
            </w:r>
          </w:p>
        </w:tc>
        <w:tc>
          <w:tcPr>
            <w:tcW w:w="1134" w:type="dxa"/>
            <w:tcBorders>
              <w:top w:val="nil"/>
              <w:left w:val="nil"/>
              <w:bottom w:val="nil"/>
              <w:right w:val="nil"/>
            </w:tcBorders>
            <w:shd w:val="clear" w:color="auto" w:fill="auto"/>
            <w:vAlign w:val="bottom"/>
          </w:tcPr>
          <w:p w14:paraId="2A96ADE2" w14:textId="75BCF06E" w:rsidR="00953130" w:rsidRPr="001D41EA" w:rsidRDefault="00953130" w:rsidP="001D41EA">
            <w:pPr>
              <w:spacing w:before="40" w:after="40"/>
              <w:jc w:val="right"/>
              <w:rPr>
                <w:rFonts w:cs="Arial"/>
                <w:sz w:val="18"/>
                <w:szCs w:val="18"/>
              </w:rPr>
            </w:pPr>
            <w:r w:rsidRPr="001D41EA">
              <w:rPr>
                <w:rFonts w:cs="Arial"/>
                <w:sz w:val="18"/>
                <w:szCs w:val="18"/>
              </w:rPr>
              <w:t>9,210</w:t>
            </w:r>
          </w:p>
        </w:tc>
      </w:tr>
      <w:tr w:rsidR="00953130" w:rsidRPr="001D41EA" w14:paraId="0823D13B"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7AE4984" w14:textId="77777777" w:rsidR="00953130" w:rsidRPr="001D41EA" w:rsidRDefault="00953130" w:rsidP="001D41EA">
            <w:pPr>
              <w:spacing w:before="40" w:after="40"/>
              <w:rPr>
                <w:rFonts w:cs="Arial"/>
                <w:sz w:val="18"/>
                <w:szCs w:val="18"/>
              </w:rPr>
            </w:pPr>
            <w:r w:rsidRPr="001D41EA">
              <w:rPr>
                <w:rFonts w:cs="Arial"/>
                <w:sz w:val="18"/>
                <w:szCs w:val="18"/>
              </w:rPr>
              <w:t>Hume C</w:t>
            </w:r>
          </w:p>
        </w:tc>
        <w:tc>
          <w:tcPr>
            <w:tcW w:w="1134" w:type="dxa"/>
            <w:tcBorders>
              <w:top w:val="nil"/>
              <w:left w:val="single" w:sz="18" w:space="0" w:color="5F497A" w:themeColor="accent4" w:themeShade="BF"/>
              <w:bottom w:val="nil"/>
              <w:right w:val="nil"/>
            </w:tcBorders>
            <w:shd w:val="clear" w:color="auto" w:fill="auto"/>
            <w:vAlign w:val="bottom"/>
          </w:tcPr>
          <w:p w14:paraId="644704EC" w14:textId="6C6090F6" w:rsidR="00953130" w:rsidRPr="001D41EA" w:rsidRDefault="00953130" w:rsidP="001D41EA">
            <w:pPr>
              <w:spacing w:before="40" w:after="40"/>
              <w:jc w:val="right"/>
              <w:rPr>
                <w:rFonts w:cs="Arial"/>
                <w:sz w:val="18"/>
                <w:szCs w:val="18"/>
              </w:rPr>
            </w:pPr>
            <w:r w:rsidRPr="001D41EA">
              <w:rPr>
                <w:rFonts w:cs="Arial"/>
                <w:sz w:val="18"/>
                <w:szCs w:val="18"/>
              </w:rPr>
              <w:t>224,394</w:t>
            </w:r>
          </w:p>
        </w:tc>
        <w:tc>
          <w:tcPr>
            <w:tcW w:w="1134" w:type="dxa"/>
            <w:tcBorders>
              <w:top w:val="nil"/>
              <w:left w:val="nil"/>
              <w:bottom w:val="nil"/>
              <w:right w:val="nil"/>
            </w:tcBorders>
            <w:vAlign w:val="bottom"/>
          </w:tcPr>
          <w:p w14:paraId="1394C5E0" w14:textId="4FA627E0" w:rsidR="00953130" w:rsidRPr="001D41EA" w:rsidRDefault="00953130" w:rsidP="001D41EA">
            <w:pPr>
              <w:spacing w:before="40" w:after="40"/>
              <w:jc w:val="right"/>
              <w:rPr>
                <w:rFonts w:cs="Arial"/>
                <w:sz w:val="18"/>
                <w:szCs w:val="18"/>
              </w:rPr>
            </w:pPr>
            <w:r w:rsidRPr="001D41EA">
              <w:rPr>
                <w:rFonts w:cs="Arial"/>
                <w:sz w:val="18"/>
                <w:szCs w:val="18"/>
              </w:rPr>
              <w:t>224,394</w:t>
            </w:r>
          </w:p>
        </w:tc>
        <w:tc>
          <w:tcPr>
            <w:tcW w:w="1134" w:type="dxa"/>
            <w:tcBorders>
              <w:top w:val="nil"/>
              <w:left w:val="nil"/>
              <w:bottom w:val="nil"/>
              <w:right w:val="nil"/>
            </w:tcBorders>
            <w:vAlign w:val="bottom"/>
          </w:tcPr>
          <w:p w14:paraId="47743D05" w14:textId="3454959E" w:rsidR="00953130" w:rsidRPr="001D41EA" w:rsidRDefault="00953130" w:rsidP="001D41EA">
            <w:pPr>
              <w:spacing w:before="40" w:after="40"/>
              <w:jc w:val="right"/>
              <w:rPr>
                <w:rFonts w:cs="Arial"/>
                <w:sz w:val="18"/>
                <w:szCs w:val="18"/>
              </w:rPr>
            </w:pPr>
            <w:r w:rsidRPr="001D41EA">
              <w:rPr>
                <w:rFonts w:cs="Arial"/>
                <w:sz w:val="18"/>
                <w:szCs w:val="18"/>
              </w:rPr>
              <w:t>224,394</w:t>
            </w:r>
          </w:p>
        </w:tc>
        <w:tc>
          <w:tcPr>
            <w:tcW w:w="1134" w:type="dxa"/>
            <w:tcBorders>
              <w:top w:val="nil"/>
              <w:left w:val="nil"/>
              <w:bottom w:val="nil"/>
              <w:right w:val="nil"/>
            </w:tcBorders>
            <w:shd w:val="clear" w:color="auto" w:fill="auto"/>
            <w:vAlign w:val="bottom"/>
          </w:tcPr>
          <w:p w14:paraId="4D77EAAE" w14:textId="2BFC8EB0" w:rsidR="00953130" w:rsidRPr="001D41EA" w:rsidRDefault="00953130" w:rsidP="001D41EA">
            <w:pPr>
              <w:spacing w:before="40" w:after="40"/>
              <w:jc w:val="right"/>
              <w:rPr>
                <w:rFonts w:cs="Arial"/>
                <w:sz w:val="18"/>
                <w:szCs w:val="18"/>
              </w:rPr>
            </w:pPr>
            <w:r w:rsidRPr="001D41EA">
              <w:rPr>
                <w:rFonts w:cs="Arial"/>
                <w:sz w:val="18"/>
                <w:szCs w:val="18"/>
              </w:rPr>
              <w:t>224,394</w:t>
            </w:r>
          </w:p>
        </w:tc>
        <w:tc>
          <w:tcPr>
            <w:tcW w:w="1134" w:type="dxa"/>
            <w:tcBorders>
              <w:top w:val="nil"/>
              <w:left w:val="nil"/>
              <w:bottom w:val="nil"/>
              <w:right w:val="nil"/>
            </w:tcBorders>
            <w:vAlign w:val="bottom"/>
          </w:tcPr>
          <w:p w14:paraId="0C72F9EB" w14:textId="12FAC9EF" w:rsidR="00953130" w:rsidRPr="001D41EA" w:rsidRDefault="00953130" w:rsidP="001D41EA">
            <w:pPr>
              <w:spacing w:before="40" w:after="40"/>
              <w:jc w:val="right"/>
              <w:rPr>
                <w:rFonts w:cs="Arial"/>
                <w:sz w:val="18"/>
                <w:szCs w:val="18"/>
              </w:rPr>
            </w:pPr>
            <w:r w:rsidRPr="001D41EA">
              <w:rPr>
                <w:rFonts w:cs="Arial"/>
                <w:sz w:val="18"/>
                <w:szCs w:val="18"/>
              </w:rPr>
              <w:t>51,542</w:t>
            </w:r>
          </w:p>
        </w:tc>
        <w:tc>
          <w:tcPr>
            <w:tcW w:w="1134" w:type="dxa"/>
            <w:tcBorders>
              <w:top w:val="nil"/>
              <w:left w:val="nil"/>
              <w:bottom w:val="nil"/>
              <w:right w:val="nil"/>
            </w:tcBorders>
            <w:shd w:val="clear" w:color="auto" w:fill="auto"/>
            <w:vAlign w:val="bottom"/>
          </w:tcPr>
          <w:p w14:paraId="31EA64A5" w14:textId="3A21A10E" w:rsidR="00953130" w:rsidRPr="001D41EA" w:rsidRDefault="00953130" w:rsidP="001D41EA">
            <w:pPr>
              <w:spacing w:before="40" w:after="40"/>
              <w:jc w:val="right"/>
              <w:rPr>
                <w:rFonts w:cs="Arial"/>
                <w:sz w:val="18"/>
                <w:szCs w:val="18"/>
              </w:rPr>
            </w:pPr>
            <w:r w:rsidRPr="001D41EA">
              <w:rPr>
                <w:rFonts w:cs="Arial"/>
                <w:sz w:val="18"/>
                <w:szCs w:val="18"/>
              </w:rPr>
              <w:t>72,724</w:t>
            </w:r>
          </w:p>
        </w:tc>
      </w:tr>
      <w:tr w:rsidR="00953130" w:rsidRPr="001D41EA" w14:paraId="43FA96F5"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11E7C41" w14:textId="77777777" w:rsidR="00953130" w:rsidRPr="001D41EA" w:rsidRDefault="00953130" w:rsidP="001D41EA">
            <w:pPr>
              <w:spacing w:before="40" w:after="40"/>
              <w:rPr>
                <w:rFonts w:cs="Arial"/>
                <w:sz w:val="18"/>
                <w:szCs w:val="18"/>
              </w:rPr>
            </w:pPr>
            <w:r w:rsidRPr="001D41EA">
              <w:rPr>
                <w:rFonts w:cs="Arial"/>
                <w:sz w:val="18"/>
                <w:szCs w:val="18"/>
              </w:rPr>
              <w:t>Indigo S</w:t>
            </w:r>
          </w:p>
        </w:tc>
        <w:tc>
          <w:tcPr>
            <w:tcW w:w="1134" w:type="dxa"/>
            <w:tcBorders>
              <w:top w:val="nil"/>
              <w:left w:val="single" w:sz="18" w:space="0" w:color="5F497A" w:themeColor="accent4" w:themeShade="BF"/>
              <w:bottom w:val="nil"/>
              <w:right w:val="nil"/>
            </w:tcBorders>
            <w:shd w:val="clear" w:color="auto" w:fill="auto"/>
            <w:vAlign w:val="bottom"/>
          </w:tcPr>
          <w:p w14:paraId="6991AFD0" w14:textId="372C57A6" w:rsidR="00953130" w:rsidRPr="001D41EA" w:rsidRDefault="00953130" w:rsidP="001D41EA">
            <w:pPr>
              <w:spacing w:before="40" w:after="40"/>
              <w:jc w:val="right"/>
              <w:rPr>
                <w:rFonts w:cs="Arial"/>
                <w:sz w:val="18"/>
                <w:szCs w:val="18"/>
              </w:rPr>
            </w:pPr>
            <w:r w:rsidRPr="001D41EA">
              <w:rPr>
                <w:rFonts w:cs="Arial"/>
                <w:sz w:val="18"/>
                <w:szCs w:val="18"/>
              </w:rPr>
              <w:t>16,490</w:t>
            </w:r>
          </w:p>
        </w:tc>
        <w:tc>
          <w:tcPr>
            <w:tcW w:w="1134" w:type="dxa"/>
            <w:tcBorders>
              <w:top w:val="nil"/>
              <w:left w:val="nil"/>
              <w:bottom w:val="nil"/>
              <w:right w:val="nil"/>
            </w:tcBorders>
            <w:vAlign w:val="bottom"/>
          </w:tcPr>
          <w:p w14:paraId="1512B57A" w14:textId="3B2B52AC" w:rsidR="00953130" w:rsidRPr="001D41EA" w:rsidRDefault="00953130" w:rsidP="001D41EA">
            <w:pPr>
              <w:spacing w:before="40" w:after="40"/>
              <w:jc w:val="right"/>
              <w:rPr>
                <w:rFonts w:cs="Arial"/>
                <w:sz w:val="18"/>
                <w:szCs w:val="18"/>
              </w:rPr>
            </w:pPr>
            <w:r w:rsidRPr="001D41EA">
              <w:rPr>
                <w:rFonts w:cs="Arial"/>
                <w:sz w:val="18"/>
                <w:szCs w:val="18"/>
              </w:rPr>
              <w:t>16,490</w:t>
            </w:r>
          </w:p>
        </w:tc>
        <w:tc>
          <w:tcPr>
            <w:tcW w:w="1134" w:type="dxa"/>
            <w:tcBorders>
              <w:top w:val="nil"/>
              <w:left w:val="nil"/>
              <w:bottom w:val="nil"/>
              <w:right w:val="nil"/>
            </w:tcBorders>
            <w:vAlign w:val="bottom"/>
          </w:tcPr>
          <w:p w14:paraId="63A0671D" w14:textId="080F6262" w:rsidR="00953130" w:rsidRPr="001D41EA" w:rsidRDefault="00953130" w:rsidP="001D41EA">
            <w:pPr>
              <w:spacing w:before="40" w:after="40"/>
              <w:jc w:val="right"/>
              <w:rPr>
                <w:rFonts w:cs="Arial"/>
                <w:sz w:val="18"/>
                <w:szCs w:val="18"/>
              </w:rPr>
            </w:pPr>
            <w:r w:rsidRPr="001D41EA">
              <w:rPr>
                <w:rFonts w:cs="Arial"/>
                <w:sz w:val="18"/>
                <w:szCs w:val="18"/>
              </w:rPr>
              <w:t>20,000</w:t>
            </w:r>
          </w:p>
        </w:tc>
        <w:tc>
          <w:tcPr>
            <w:tcW w:w="1134" w:type="dxa"/>
            <w:tcBorders>
              <w:top w:val="nil"/>
              <w:left w:val="nil"/>
              <w:bottom w:val="nil"/>
              <w:right w:val="nil"/>
            </w:tcBorders>
            <w:shd w:val="clear" w:color="auto" w:fill="auto"/>
            <w:vAlign w:val="bottom"/>
          </w:tcPr>
          <w:p w14:paraId="09C8C6EA" w14:textId="513E1188" w:rsidR="00953130" w:rsidRPr="001D41EA" w:rsidRDefault="00953130" w:rsidP="001D41EA">
            <w:pPr>
              <w:spacing w:before="40" w:after="40"/>
              <w:jc w:val="right"/>
              <w:rPr>
                <w:rFonts w:cs="Arial"/>
                <w:sz w:val="18"/>
                <w:szCs w:val="18"/>
              </w:rPr>
            </w:pPr>
            <w:r w:rsidRPr="001D41EA">
              <w:rPr>
                <w:rFonts w:cs="Arial"/>
                <w:sz w:val="18"/>
                <w:szCs w:val="18"/>
              </w:rPr>
              <w:t>16,490</w:t>
            </w:r>
          </w:p>
        </w:tc>
        <w:tc>
          <w:tcPr>
            <w:tcW w:w="1134" w:type="dxa"/>
            <w:tcBorders>
              <w:top w:val="nil"/>
              <w:left w:val="nil"/>
              <w:bottom w:val="nil"/>
              <w:right w:val="nil"/>
            </w:tcBorders>
            <w:vAlign w:val="bottom"/>
          </w:tcPr>
          <w:p w14:paraId="7683BE52" w14:textId="553376A1" w:rsidR="00953130" w:rsidRPr="001D41EA" w:rsidRDefault="00953130" w:rsidP="001D41EA">
            <w:pPr>
              <w:spacing w:before="40" w:after="40"/>
              <w:jc w:val="right"/>
              <w:rPr>
                <w:rFonts w:cs="Arial"/>
                <w:sz w:val="18"/>
                <w:szCs w:val="18"/>
              </w:rPr>
            </w:pPr>
            <w:r w:rsidRPr="001D41EA">
              <w:rPr>
                <w:rFonts w:cs="Arial"/>
                <w:sz w:val="18"/>
                <w:szCs w:val="18"/>
              </w:rPr>
              <w:t>5,570</w:t>
            </w:r>
          </w:p>
        </w:tc>
        <w:tc>
          <w:tcPr>
            <w:tcW w:w="1134" w:type="dxa"/>
            <w:tcBorders>
              <w:top w:val="nil"/>
              <w:left w:val="nil"/>
              <w:bottom w:val="nil"/>
              <w:right w:val="nil"/>
            </w:tcBorders>
            <w:shd w:val="clear" w:color="auto" w:fill="auto"/>
            <w:vAlign w:val="bottom"/>
          </w:tcPr>
          <w:p w14:paraId="37293C49" w14:textId="325AF1BB" w:rsidR="00953130" w:rsidRPr="001D41EA" w:rsidRDefault="00953130" w:rsidP="001D41EA">
            <w:pPr>
              <w:spacing w:before="40" w:after="40"/>
              <w:jc w:val="right"/>
              <w:rPr>
                <w:rFonts w:cs="Arial"/>
                <w:sz w:val="18"/>
                <w:szCs w:val="18"/>
              </w:rPr>
            </w:pPr>
            <w:r w:rsidRPr="001D41EA">
              <w:rPr>
                <w:rFonts w:cs="Arial"/>
                <w:sz w:val="18"/>
                <w:szCs w:val="18"/>
              </w:rPr>
              <w:t>7,192</w:t>
            </w:r>
          </w:p>
        </w:tc>
      </w:tr>
      <w:tr w:rsidR="00953130" w:rsidRPr="001D41EA" w14:paraId="0B0325B6"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F7E180E" w14:textId="77777777" w:rsidR="00953130" w:rsidRPr="001D41EA" w:rsidRDefault="00953130" w:rsidP="001D41EA">
            <w:pPr>
              <w:spacing w:before="40" w:after="40"/>
              <w:rPr>
                <w:rFonts w:cs="Arial"/>
                <w:sz w:val="18"/>
                <w:szCs w:val="18"/>
              </w:rPr>
            </w:pPr>
            <w:r w:rsidRPr="001D41EA">
              <w:rPr>
                <w:rFonts w:cs="Arial"/>
                <w:sz w:val="18"/>
                <w:szCs w:val="18"/>
              </w:rPr>
              <w:t>Kingston C</w:t>
            </w:r>
          </w:p>
        </w:tc>
        <w:tc>
          <w:tcPr>
            <w:tcW w:w="1134" w:type="dxa"/>
            <w:tcBorders>
              <w:top w:val="nil"/>
              <w:left w:val="single" w:sz="18" w:space="0" w:color="5F497A" w:themeColor="accent4" w:themeShade="BF"/>
              <w:bottom w:val="nil"/>
              <w:right w:val="nil"/>
            </w:tcBorders>
            <w:shd w:val="clear" w:color="auto" w:fill="auto"/>
            <w:vAlign w:val="bottom"/>
          </w:tcPr>
          <w:p w14:paraId="236DD63C" w14:textId="65F85458" w:rsidR="00953130" w:rsidRPr="001D41EA" w:rsidRDefault="00953130" w:rsidP="001D41EA">
            <w:pPr>
              <w:spacing w:before="40" w:after="40"/>
              <w:jc w:val="right"/>
              <w:rPr>
                <w:rFonts w:cs="Arial"/>
                <w:sz w:val="18"/>
                <w:szCs w:val="18"/>
              </w:rPr>
            </w:pPr>
            <w:r w:rsidRPr="001D41EA">
              <w:rPr>
                <w:rFonts w:cs="Arial"/>
                <w:sz w:val="18"/>
                <w:szCs w:val="18"/>
              </w:rPr>
              <w:t>163,431</w:t>
            </w:r>
          </w:p>
        </w:tc>
        <w:tc>
          <w:tcPr>
            <w:tcW w:w="1134" w:type="dxa"/>
            <w:tcBorders>
              <w:top w:val="nil"/>
              <w:left w:val="nil"/>
              <w:bottom w:val="nil"/>
              <w:right w:val="nil"/>
            </w:tcBorders>
            <w:vAlign w:val="bottom"/>
          </w:tcPr>
          <w:p w14:paraId="47C08D18" w14:textId="02C8A3C4" w:rsidR="00953130" w:rsidRPr="001D41EA" w:rsidRDefault="00953130" w:rsidP="001D41EA">
            <w:pPr>
              <w:spacing w:before="40" w:after="40"/>
              <w:jc w:val="right"/>
              <w:rPr>
                <w:rFonts w:cs="Arial"/>
                <w:sz w:val="18"/>
                <w:szCs w:val="18"/>
              </w:rPr>
            </w:pPr>
            <w:r w:rsidRPr="001D41EA">
              <w:rPr>
                <w:rFonts w:cs="Arial"/>
                <w:sz w:val="18"/>
                <w:szCs w:val="18"/>
              </w:rPr>
              <w:t>163,431</w:t>
            </w:r>
          </w:p>
        </w:tc>
        <w:tc>
          <w:tcPr>
            <w:tcW w:w="1134" w:type="dxa"/>
            <w:tcBorders>
              <w:top w:val="nil"/>
              <w:left w:val="nil"/>
              <w:bottom w:val="nil"/>
              <w:right w:val="nil"/>
            </w:tcBorders>
            <w:vAlign w:val="bottom"/>
          </w:tcPr>
          <w:p w14:paraId="7DEFE474" w14:textId="663F49FA" w:rsidR="00953130" w:rsidRPr="001D41EA" w:rsidRDefault="00953130" w:rsidP="001D41EA">
            <w:pPr>
              <w:spacing w:before="40" w:after="40"/>
              <w:jc w:val="right"/>
              <w:rPr>
                <w:rFonts w:cs="Arial"/>
                <w:sz w:val="18"/>
                <w:szCs w:val="18"/>
              </w:rPr>
            </w:pPr>
            <w:r w:rsidRPr="001D41EA">
              <w:rPr>
                <w:rFonts w:cs="Arial"/>
                <w:sz w:val="18"/>
                <w:szCs w:val="18"/>
              </w:rPr>
              <w:t>163,431</w:t>
            </w:r>
          </w:p>
        </w:tc>
        <w:tc>
          <w:tcPr>
            <w:tcW w:w="1134" w:type="dxa"/>
            <w:tcBorders>
              <w:top w:val="nil"/>
              <w:left w:val="nil"/>
              <w:bottom w:val="nil"/>
              <w:right w:val="nil"/>
            </w:tcBorders>
            <w:shd w:val="clear" w:color="auto" w:fill="auto"/>
            <w:vAlign w:val="bottom"/>
          </w:tcPr>
          <w:p w14:paraId="40F1AEA1" w14:textId="2505E95F" w:rsidR="00953130" w:rsidRPr="001D41EA" w:rsidRDefault="00953130" w:rsidP="001D41EA">
            <w:pPr>
              <w:spacing w:before="40" w:after="40"/>
              <w:jc w:val="right"/>
              <w:rPr>
                <w:rFonts w:cs="Arial"/>
                <w:sz w:val="18"/>
                <w:szCs w:val="18"/>
              </w:rPr>
            </w:pPr>
            <w:r w:rsidRPr="001D41EA">
              <w:rPr>
                <w:rFonts w:cs="Arial"/>
                <w:sz w:val="18"/>
                <w:szCs w:val="18"/>
              </w:rPr>
              <w:t>163,431</w:t>
            </w:r>
          </w:p>
        </w:tc>
        <w:tc>
          <w:tcPr>
            <w:tcW w:w="1134" w:type="dxa"/>
            <w:tcBorders>
              <w:top w:val="nil"/>
              <w:left w:val="nil"/>
              <w:bottom w:val="nil"/>
              <w:right w:val="nil"/>
            </w:tcBorders>
            <w:vAlign w:val="bottom"/>
          </w:tcPr>
          <w:p w14:paraId="12C53952" w14:textId="6ED69B0E" w:rsidR="00953130" w:rsidRPr="001D41EA" w:rsidRDefault="00953130" w:rsidP="001D41EA">
            <w:pPr>
              <w:spacing w:before="40" w:after="40"/>
              <w:jc w:val="right"/>
              <w:rPr>
                <w:rFonts w:cs="Arial"/>
                <w:sz w:val="18"/>
                <w:szCs w:val="18"/>
              </w:rPr>
            </w:pPr>
            <w:r w:rsidRPr="001D41EA">
              <w:rPr>
                <w:rFonts w:cs="Arial"/>
                <w:sz w:val="18"/>
                <w:szCs w:val="18"/>
              </w:rPr>
              <w:t>43,817</w:t>
            </w:r>
          </w:p>
        </w:tc>
        <w:tc>
          <w:tcPr>
            <w:tcW w:w="1134" w:type="dxa"/>
            <w:tcBorders>
              <w:top w:val="nil"/>
              <w:left w:val="nil"/>
              <w:bottom w:val="nil"/>
              <w:right w:val="nil"/>
            </w:tcBorders>
            <w:shd w:val="clear" w:color="auto" w:fill="auto"/>
            <w:vAlign w:val="bottom"/>
          </w:tcPr>
          <w:p w14:paraId="3334C8AB" w14:textId="3A07551B" w:rsidR="00953130" w:rsidRPr="001D41EA" w:rsidRDefault="00953130" w:rsidP="001D41EA">
            <w:pPr>
              <w:spacing w:before="40" w:after="40"/>
              <w:jc w:val="right"/>
              <w:rPr>
                <w:rFonts w:cs="Arial"/>
                <w:sz w:val="18"/>
                <w:szCs w:val="18"/>
              </w:rPr>
            </w:pPr>
            <w:r w:rsidRPr="001D41EA">
              <w:rPr>
                <w:rFonts w:cs="Arial"/>
                <w:sz w:val="18"/>
                <w:szCs w:val="18"/>
              </w:rPr>
              <w:t>65,565</w:t>
            </w:r>
          </w:p>
        </w:tc>
      </w:tr>
      <w:tr w:rsidR="00953130" w:rsidRPr="001D41EA" w14:paraId="495B06E3"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2CA6593" w14:textId="77777777" w:rsidR="00953130" w:rsidRPr="001D41EA" w:rsidRDefault="00953130" w:rsidP="001D41EA">
            <w:pPr>
              <w:spacing w:before="40" w:after="40"/>
              <w:rPr>
                <w:rFonts w:cs="Arial"/>
                <w:sz w:val="18"/>
                <w:szCs w:val="18"/>
              </w:rPr>
            </w:pPr>
            <w:r w:rsidRPr="001D41EA">
              <w:rPr>
                <w:rFonts w:cs="Arial"/>
                <w:sz w:val="18"/>
                <w:szCs w:val="18"/>
              </w:rPr>
              <w:t>Knox C</w:t>
            </w:r>
          </w:p>
        </w:tc>
        <w:tc>
          <w:tcPr>
            <w:tcW w:w="1134" w:type="dxa"/>
            <w:tcBorders>
              <w:top w:val="nil"/>
              <w:left w:val="single" w:sz="18" w:space="0" w:color="5F497A" w:themeColor="accent4" w:themeShade="BF"/>
              <w:bottom w:val="nil"/>
              <w:right w:val="nil"/>
            </w:tcBorders>
            <w:shd w:val="clear" w:color="auto" w:fill="auto"/>
            <w:vAlign w:val="bottom"/>
          </w:tcPr>
          <w:p w14:paraId="79A7838D" w14:textId="4658D1BD" w:rsidR="00953130" w:rsidRPr="001D41EA" w:rsidRDefault="00953130" w:rsidP="001D41EA">
            <w:pPr>
              <w:spacing w:before="40" w:after="40"/>
              <w:jc w:val="right"/>
              <w:rPr>
                <w:rFonts w:cs="Arial"/>
                <w:sz w:val="18"/>
                <w:szCs w:val="18"/>
              </w:rPr>
            </w:pPr>
            <w:r w:rsidRPr="001D41EA">
              <w:rPr>
                <w:rFonts w:cs="Arial"/>
                <w:sz w:val="18"/>
                <w:szCs w:val="18"/>
              </w:rPr>
              <w:t>163,203</w:t>
            </w:r>
          </w:p>
        </w:tc>
        <w:tc>
          <w:tcPr>
            <w:tcW w:w="1134" w:type="dxa"/>
            <w:tcBorders>
              <w:top w:val="nil"/>
              <w:left w:val="nil"/>
              <w:bottom w:val="nil"/>
              <w:right w:val="nil"/>
            </w:tcBorders>
            <w:vAlign w:val="bottom"/>
          </w:tcPr>
          <w:p w14:paraId="2A6EBF8B" w14:textId="58730CD6" w:rsidR="00953130" w:rsidRPr="001D41EA" w:rsidRDefault="00953130" w:rsidP="001D41EA">
            <w:pPr>
              <w:spacing w:before="40" w:after="40"/>
              <w:jc w:val="right"/>
              <w:rPr>
                <w:rFonts w:cs="Arial"/>
                <w:sz w:val="18"/>
                <w:szCs w:val="18"/>
              </w:rPr>
            </w:pPr>
            <w:r w:rsidRPr="001D41EA">
              <w:rPr>
                <w:rFonts w:cs="Arial"/>
                <w:sz w:val="18"/>
                <w:szCs w:val="18"/>
              </w:rPr>
              <w:t>163,203</w:t>
            </w:r>
          </w:p>
        </w:tc>
        <w:tc>
          <w:tcPr>
            <w:tcW w:w="1134" w:type="dxa"/>
            <w:tcBorders>
              <w:top w:val="nil"/>
              <w:left w:val="nil"/>
              <w:bottom w:val="nil"/>
              <w:right w:val="nil"/>
            </w:tcBorders>
            <w:vAlign w:val="bottom"/>
          </w:tcPr>
          <w:p w14:paraId="113815E4" w14:textId="50C04B07" w:rsidR="00953130" w:rsidRPr="001D41EA" w:rsidRDefault="00953130" w:rsidP="001D41EA">
            <w:pPr>
              <w:spacing w:before="40" w:after="40"/>
              <w:jc w:val="right"/>
              <w:rPr>
                <w:rFonts w:cs="Arial"/>
                <w:sz w:val="18"/>
                <w:szCs w:val="18"/>
              </w:rPr>
            </w:pPr>
            <w:r w:rsidRPr="001D41EA">
              <w:rPr>
                <w:rFonts w:cs="Arial"/>
                <w:sz w:val="18"/>
                <w:szCs w:val="18"/>
              </w:rPr>
              <w:t>163,203</w:t>
            </w:r>
          </w:p>
        </w:tc>
        <w:tc>
          <w:tcPr>
            <w:tcW w:w="1134" w:type="dxa"/>
            <w:tcBorders>
              <w:top w:val="nil"/>
              <w:left w:val="nil"/>
              <w:bottom w:val="nil"/>
              <w:right w:val="nil"/>
            </w:tcBorders>
            <w:shd w:val="clear" w:color="auto" w:fill="auto"/>
            <w:vAlign w:val="bottom"/>
          </w:tcPr>
          <w:p w14:paraId="75B71321" w14:textId="7C0B2AD9" w:rsidR="00953130" w:rsidRPr="001D41EA" w:rsidRDefault="00953130" w:rsidP="001D41EA">
            <w:pPr>
              <w:spacing w:before="40" w:after="40"/>
              <w:jc w:val="right"/>
              <w:rPr>
                <w:rFonts w:cs="Arial"/>
                <w:sz w:val="18"/>
                <w:szCs w:val="18"/>
              </w:rPr>
            </w:pPr>
            <w:r w:rsidRPr="001D41EA">
              <w:rPr>
                <w:rFonts w:cs="Arial"/>
                <w:sz w:val="18"/>
                <w:szCs w:val="18"/>
              </w:rPr>
              <w:t>163,203</w:t>
            </w:r>
          </w:p>
        </w:tc>
        <w:tc>
          <w:tcPr>
            <w:tcW w:w="1134" w:type="dxa"/>
            <w:tcBorders>
              <w:top w:val="nil"/>
              <w:left w:val="nil"/>
              <w:bottom w:val="nil"/>
              <w:right w:val="nil"/>
            </w:tcBorders>
            <w:vAlign w:val="bottom"/>
          </w:tcPr>
          <w:p w14:paraId="0B65DED0" w14:textId="5377C8D5" w:rsidR="00953130" w:rsidRPr="001D41EA" w:rsidRDefault="00953130" w:rsidP="001D41EA">
            <w:pPr>
              <w:spacing w:before="40" w:after="40"/>
              <w:jc w:val="right"/>
              <w:rPr>
                <w:rFonts w:cs="Arial"/>
                <w:sz w:val="18"/>
                <w:szCs w:val="18"/>
              </w:rPr>
            </w:pPr>
            <w:r w:rsidRPr="001D41EA">
              <w:rPr>
                <w:rFonts w:cs="Arial"/>
                <w:sz w:val="18"/>
                <w:szCs w:val="18"/>
              </w:rPr>
              <w:t>42,239</w:t>
            </w:r>
          </w:p>
        </w:tc>
        <w:tc>
          <w:tcPr>
            <w:tcW w:w="1134" w:type="dxa"/>
            <w:tcBorders>
              <w:top w:val="nil"/>
              <w:left w:val="nil"/>
              <w:bottom w:val="nil"/>
              <w:right w:val="nil"/>
            </w:tcBorders>
            <w:shd w:val="clear" w:color="auto" w:fill="auto"/>
            <w:vAlign w:val="bottom"/>
          </w:tcPr>
          <w:p w14:paraId="5E2194EC" w14:textId="356072EA" w:rsidR="00953130" w:rsidRPr="001D41EA" w:rsidRDefault="00953130" w:rsidP="001D41EA">
            <w:pPr>
              <w:spacing w:before="40" w:after="40"/>
              <w:jc w:val="right"/>
              <w:rPr>
                <w:rFonts w:cs="Arial"/>
                <w:sz w:val="18"/>
                <w:szCs w:val="18"/>
              </w:rPr>
            </w:pPr>
            <w:r w:rsidRPr="001D41EA">
              <w:rPr>
                <w:rFonts w:cs="Arial"/>
                <w:sz w:val="18"/>
                <w:szCs w:val="18"/>
              </w:rPr>
              <w:t>60,017</w:t>
            </w:r>
          </w:p>
        </w:tc>
      </w:tr>
      <w:tr w:rsidR="00953130" w:rsidRPr="001D41EA" w14:paraId="0CC82CDB"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424148C" w14:textId="77777777" w:rsidR="00953130" w:rsidRPr="001D41EA" w:rsidRDefault="00953130" w:rsidP="001D41EA">
            <w:pPr>
              <w:spacing w:before="40" w:after="40"/>
              <w:rPr>
                <w:rFonts w:cs="Arial"/>
                <w:sz w:val="18"/>
                <w:szCs w:val="18"/>
              </w:rPr>
            </w:pPr>
            <w:r w:rsidRPr="001D41EA">
              <w:rPr>
                <w:rFonts w:cs="Arial"/>
                <w:sz w:val="18"/>
                <w:szCs w:val="18"/>
              </w:rPr>
              <w:t>Latrobe C</w:t>
            </w:r>
          </w:p>
        </w:tc>
        <w:tc>
          <w:tcPr>
            <w:tcW w:w="1134" w:type="dxa"/>
            <w:tcBorders>
              <w:top w:val="nil"/>
              <w:left w:val="single" w:sz="18" w:space="0" w:color="5F497A" w:themeColor="accent4" w:themeShade="BF"/>
              <w:bottom w:val="nil"/>
              <w:right w:val="nil"/>
            </w:tcBorders>
            <w:shd w:val="clear" w:color="auto" w:fill="auto"/>
            <w:vAlign w:val="bottom"/>
          </w:tcPr>
          <w:p w14:paraId="37350FC8" w14:textId="50254530" w:rsidR="00953130" w:rsidRPr="001D41EA" w:rsidRDefault="00953130" w:rsidP="001D41EA">
            <w:pPr>
              <w:spacing w:before="40" w:after="40"/>
              <w:jc w:val="right"/>
              <w:rPr>
                <w:rFonts w:cs="Arial"/>
                <w:sz w:val="18"/>
                <w:szCs w:val="18"/>
              </w:rPr>
            </w:pPr>
            <w:r w:rsidRPr="001D41EA">
              <w:rPr>
                <w:rFonts w:cs="Arial"/>
                <w:sz w:val="18"/>
                <w:szCs w:val="18"/>
              </w:rPr>
              <w:t>75,211</w:t>
            </w:r>
          </w:p>
        </w:tc>
        <w:tc>
          <w:tcPr>
            <w:tcW w:w="1134" w:type="dxa"/>
            <w:tcBorders>
              <w:top w:val="nil"/>
              <w:left w:val="nil"/>
              <w:bottom w:val="nil"/>
              <w:right w:val="nil"/>
            </w:tcBorders>
            <w:vAlign w:val="bottom"/>
          </w:tcPr>
          <w:p w14:paraId="09AB4C18" w14:textId="40DC1589" w:rsidR="00953130" w:rsidRPr="001D41EA" w:rsidRDefault="00953130" w:rsidP="001D41EA">
            <w:pPr>
              <w:spacing w:before="40" w:after="40"/>
              <w:jc w:val="right"/>
              <w:rPr>
                <w:rFonts w:cs="Arial"/>
                <w:sz w:val="18"/>
                <w:szCs w:val="18"/>
              </w:rPr>
            </w:pPr>
            <w:r w:rsidRPr="001D41EA">
              <w:rPr>
                <w:rFonts w:cs="Arial"/>
                <w:sz w:val="18"/>
                <w:szCs w:val="18"/>
              </w:rPr>
              <w:t>75,291</w:t>
            </w:r>
          </w:p>
        </w:tc>
        <w:tc>
          <w:tcPr>
            <w:tcW w:w="1134" w:type="dxa"/>
            <w:tcBorders>
              <w:top w:val="nil"/>
              <w:left w:val="nil"/>
              <w:bottom w:val="nil"/>
              <w:right w:val="nil"/>
            </w:tcBorders>
            <w:vAlign w:val="bottom"/>
          </w:tcPr>
          <w:p w14:paraId="07A8247F" w14:textId="5632ED1A" w:rsidR="00953130" w:rsidRPr="001D41EA" w:rsidRDefault="00953130" w:rsidP="001D41EA">
            <w:pPr>
              <w:spacing w:before="40" w:after="40"/>
              <w:jc w:val="right"/>
              <w:rPr>
                <w:rFonts w:cs="Arial"/>
                <w:sz w:val="18"/>
                <w:szCs w:val="18"/>
              </w:rPr>
            </w:pPr>
            <w:r w:rsidRPr="001D41EA">
              <w:rPr>
                <w:rFonts w:cs="Arial"/>
                <w:sz w:val="18"/>
                <w:szCs w:val="18"/>
              </w:rPr>
              <w:t>75,291</w:t>
            </w:r>
          </w:p>
        </w:tc>
        <w:tc>
          <w:tcPr>
            <w:tcW w:w="1134" w:type="dxa"/>
            <w:tcBorders>
              <w:top w:val="nil"/>
              <w:left w:val="nil"/>
              <w:bottom w:val="nil"/>
              <w:right w:val="nil"/>
            </w:tcBorders>
            <w:shd w:val="clear" w:color="auto" w:fill="auto"/>
            <w:vAlign w:val="bottom"/>
          </w:tcPr>
          <w:p w14:paraId="0B92DF6E" w14:textId="7ABEF175" w:rsidR="00953130" w:rsidRPr="001D41EA" w:rsidRDefault="00953130" w:rsidP="001D41EA">
            <w:pPr>
              <w:spacing w:before="40" w:after="40"/>
              <w:jc w:val="right"/>
              <w:rPr>
                <w:rFonts w:cs="Arial"/>
                <w:sz w:val="18"/>
                <w:szCs w:val="18"/>
              </w:rPr>
            </w:pPr>
            <w:r w:rsidRPr="001D41EA">
              <w:rPr>
                <w:rFonts w:cs="Arial"/>
                <w:sz w:val="18"/>
                <w:szCs w:val="18"/>
              </w:rPr>
              <w:t>75,291</w:t>
            </w:r>
          </w:p>
        </w:tc>
        <w:tc>
          <w:tcPr>
            <w:tcW w:w="1134" w:type="dxa"/>
            <w:tcBorders>
              <w:top w:val="nil"/>
              <w:left w:val="nil"/>
              <w:bottom w:val="nil"/>
              <w:right w:val="nil"/>
            </w:tcBorders>
            <w:vAlign w:val="bottom"/>
          </w:tcPr>
          <w:p w14:paraId="1C9246F8" w14:textId="0A420EBE" w:rsidR="00953130" w:rsidRPr="001D41EA" w:rsidRDefault="00953130" w:rsidP="001D41EA">
            <w:pPr>
              <w:spacing w:before="40" w:after="40"/>
              <w:jc w:val="right"/>
              <w:rPr>
                <w:rFonts w:cs="Arial"/>
                <w:sz w:val="18"/>
                <w:szCs w:val="18"/>
              </w:rPr>
            </w:pPr>
            <w:r w:rsidRPr="001D41EA">
              <w:rPr>
                <w:rFonts w:cs="Arial"/>
                <w:sz w:val="18"/>
                <w:szCs w:val="18"/>
              </w:rPr>
              <w:t>26,299</w:t>
            </w:r>
          </w:p>
        </w:tc>
        <w:tc>
          <w:tcPr>
            <w:tcW w:w="1134" w:type="dxa"/>
            <w:tcBorders>
              <w:top w:val="nil"/>
              <w:left w:val="nil"/>
              <w:bottom w:val="nil"/>
              <w:right w:val="nil"/>
            </w:tcBorders>
            <w:shd w:val="clear" w:color="auto" w:fill="auto"/>
            <w:vAlign w:val="bottom"/>
          </w:tcPr>
          <w:p w14:paraId="32B960ED" w14:textId="233C3E9B" w:rsidR="00953130" w:rsidRPr="001D41EA" w:rsidRDefault="00953130" w:rsidP="001D41EA">
            <w:pPr>
              <w:spacing w:before="40" w:after="40"/>
              <w:jc w:val="right"/>
              <w:rPr>
                <w:rFonts w:cs="Arial"/>
                <w:sz w:val="18"/>
                <w:szCs w:val="18"/>
              </w:rPr>
            </w:pPr>
            <w:r w:rsidRPr="001D41EA">
              <w:rPr>
                <w:rFonts w:cs="Arial"/>
                <w:sz w:val="18"/>
                <w:szCs w:val="18"/>
              </w:rPr>
              <w:t>34,511</w:t>
            </w:r>
          </w:p>
        </w:tc>
      </w:tr>
      <w:tr w:rsidR="00953130" w:rsidRPr="001D41EA" w14:paraId="462806DE"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66D8F58" w14:textId="77777777" w:rsidR="00953130" w:rsidRPr="001D41EA" w:rsidRDefault="00953130" w:rsidP="001D41EA">
            <w:pPr>
              <w:spacing w:before="40" w:after="40"/>
              <w:rPr>
                <w:rFonts w:cs="Arial"/>
                <w:sz w:val="18"/>
                <w:szCs w:val="18"/>
              </w:rPr>
            </w:pPr>
            <w:r w:rsidRPr="001D41EA">
              <w:rPr>
                <w:rFonts w:cs="Arial"/>
                <w:sz w:val="18"/>
                <w:szCs w:val="18"/>
              </w:rPr>
              <w:t>Loddon S</w:t>
            </w:r>
          </w:p>
        </w:tc>
        <w:tc>
          <w:tcPr>
            <w:tcW w:w="1134" w:type="dxa"/>
            <w:tcBorders>
              <w:top w:val="nil"/>
              <w:left w:val="single" w:sz="18" w:space="0" w:color="5F497A" w:themeColor="accent4" w:themeShade="BF"/>
              <w:bottom w:val="nil"/>
              <w:right w:val="nil"/>
            </w:tcBorders>
            <w:shd w:val="clear" w:color="auto" w:fill="auto"/>
            <w:vAlign w:val="bottom"/>
          </w:tcPr>
          <w:p w14:paraId="64210F3D" w14:textId="593A80E5" w:rsidR="00953130" w:rsidRPr="001D41EA" w:rsidRDefault="00953130" w:rsidP="001D41EA">
            <w:pPr>
              <w:spacing w:before="40" w:after="40"/>
              <w:jc w:val="right"/>
              <w:rPr>
                <w:rFonts w:cs="Arial"/>
                <w:sz w:val="18"/>
                <w:szCs w:val="18"/>
              </w:rPr>
            </w:pPr>
            <w:r w:rsidRPr="001D41EA">
              <w:rPr>
                <w:rFonts w:cs="Arial"/>
                <w:sz w:val="18"/>
                <w:szCs w:val="18"/>
              </w:rPr>
              <w:t>7,513</w:t>
            </w:r>
          </w:p>
        </w:tc>
        <w:tc>
          <w:tcPr>
            <w:tcW w:w="1134" w:type="dxa"/>
            <w:tcBorders>
              <w:top w:val="nil"/>
              <w:left w:val="nil"/>
              <w:bottom w:val="nil"/>
              <w:right w:val="nil"/>
            </w:tcBorders>
            <w:vAlign w:val="bottom"/>
          </w:tcPr>
          <w:p w14:paraId="63528321" w14:textId="346FC10F" w:rsidR="00953130" w:rsidRPr="001D41EA" w:rsidRDefault="00953130" w:rsidP="001D41EA">
            <w:pPr>
              <w:spacing w:before="40" w:after="40"/>
              <w:jc w:val="right"/>
              <w:rPr>
                <w:rFonts w:cs="Arial"/>
                <w:sz w:val="18"/>
                <w:szCs w:val="18"/>
              </w:rPr>
            </w:pPr>
            <w:r w:rsidRPr="001D41EA">
              <w:rPr>
                <w:rFonts w:cs="Arial"/>
                <w:sz w:val="18"/>
                <w:szCs w:val="18"/>
              </w:rPr>
              <w:t>15,000</w:t>
            </w:r>
          </w:p>
        </w:tc>
        <w:tc>
          <w:tcPr>
            <w:tcW w:w="1134" w:type="dxa"/>
            <w:tcBorders>
              <w:top w:val="nil"/>
              <w:left w:val="nil"/>
              <w:bottom w:val="nil"/>
              <w:right w:val="nil"/>
            </w:tcBorders>
            <w:vAlign w:val="bottom"/>
          </w:tcPr>
          <w:p w14:paraId="2A7BE8F0" w14:textId="3E4E3D8F" w:rsidR="00953130" w:rsidRPr="001D41EA" w:rsidRDefault="00953130" w:rsidP="001D41EA">
            <w:pPr>
              <w:spacing w:before="40" w:after="40"/>
              <w:jc w:val="right"/>
              <w:rPr>
                <w:rFonts w:cs="Arial"/>
                <w:sz w:val="18"/>
                <w:szCs w:val="18"/>
              </w:rPr>
            </w:pPr>
            <w:r w:rsidRPr="001D41EA">
              <w:rPr>
                <w:rFonts w:cs="Arial"/>
                <w:sz w:val="18"/>
                <w:szCs w:val="18"/>
              </w:rPr>
              <w:t>20,000</w:t>
            </w:r>
          </w:p>
        </w:tc>
        <w:tc>
          <w:tcPr>
            <w:tcW w:w="1134" w:type="dxa"/>
            <w:tcBorders>
              <w:top w:val="nil"/>
              <w:left w:val="nil"/>
              <w:bottom w:val="nil"/>
              <w:right w:val="nil"/>
            </w:tcBorders>
            <w:shd w:val="clear" w:color="auto" w:fill="auto"/>
            <w:vAlign w:val="bottom"/>
          </w:tcPr>
          <w:p w14:paraId="6F7D7F5F" w14:textId="5A9C5A02" w:rsidR="00953130" w:rsidRPr="001D41EA" w:rsidRDefault="00953130" w:rsidP="001D41EA">
            <w:pPr>
              <w:spacing w:before="40" w:after="40"/>
              <w:jc w:val="right"/>
              <w:rPr>
                <w:rFonts w:cs="Arial"/>
                <w:sz w:val="18"/>
                <w:szCs w:val="18"/>
              </w:rPr>
            </w:pPr>
            <w:r w:rsidRPr="001D41EA">
              <w:rPr>
                <w:rFonts w:cs="Arial"/>
                <w:sz w:val="18"/>
                <w:szCs w:val="18"/>
              </w:rPr>
              <w:t>7,941</w:t>
            </w:r>
          </w:p>
        </w:tc>
        <w:tc>
          <w:tcPr>
            <w:tcW w:w="1134" w:type="dxa"/>
            <w:tcBorders>
              <w:top w:val="nil"/>
              <w:left w:val="nil"/>
              <w:bottom w:val="nil"/>
              <w:right w:val="nil"/>
            </w:tcBorders>
            <w:vAlign w:val="bottom"/>
          </w:tcPr>
          <w:p w14:paraId="3C8C5F6A" w14:textId="3B35EE5F" w:rsidR="00953130" w:rsidRPr="001D41EA" w:rsidRDefault="00953130" w:rsidP="001D41EA">
            <w:pPr>
              <w:spacing w:before="40" w:after="40"/>
              <w:jc w:val="right"/>
              <w:rPr>
                <w:rFonts w:cs="Arial"/>
                <w:sz w:val="18"/>
                <w:szCs w:val="18"/>
              </w:rPr>
            </w:pPr>
            <w:r w:rsidRPr="001D41EA">
              <w:rPr>
                <w:rFonts w:cs="Arial"/>
                <w:sz w:val="18"/>
                <w:szCs w:val="18"/>
              </w:rPr>
              <w:t>3,482</w:t>
            </w:r>
          </w:p>
        </w:tc>
        <w:tc>
          <w:tcPr>
            <w:tcW w:w="1134" w:type="dxa"/>
            <w:tcBorders>
              <w:top w:val="nil"/>
              <w:left w:val="nil"/>
              <w:bottom w:val="nil"/>
              <w:right w:val="nil"/>
            </w:tcBorders>
            <w:shd w:val="clear" w:color="auto" w:fill="auto"/>
            <w:vAlign w:val="bottom"/>
          </w:tcPr>
          <w:p w14:paraId="703541BE" w14:textId="1F067EB7" w:rsidR="00953130" w:rsidRPr="001D41EA" w:rsidRDefault="00953130" w:rsidP="001D41EA">
            <w:pPr>
              <w:spacing w:before="40" w:after="40"/>
              <w:jc w:val="right"/>
              <w:rPr>
                <w:rFonts w:cs="Arial"/>
                <w:sz w:val="18"/>
                <w:szCs w:val="18"/>
              </w:rPr>
            </w:pPr>
            <w:r w:rsidRPr="001D41EA">
              <w:rPr>
                <w:rFonts w:cs="Arial"/>
                <w:sz w:val="18"/>
                <w:szCs w:val="18"/>
              </w:rPr>
              <w:t>4,135</w:t>
            </w:r>
          </w:p>
        </w:tc>
      </w:tr>
    </w:tbl>
    <w:p w14:paraId="089C3B68" w14:textId="77777777" w:rsidR="00D50E04" w:rsidRPr="00A44829" w:rsidRDefault="00D50E04" w:rsidP="00FF36E8">
      <w:pPr>
        <w:spacing w:before="40" w:after="20"/>
        <w:rPr>
          <w:rFonts w:cs="Arial"/>
          <w:sz w:val="18"/>
          <w:szCs w:val="18"/>
        </w:rPr>
      </w:pPr>
    </w:p>
    <w:p w14:paraId="489194F2" w14:textId="50E8D260" w:rsidR="008C2184" w:rsidRDefault="006D154A" w:rsidP="00FF36E8">
      <w:pPr>
        <w:spacing w:before="40" w:after="20"/>
        <w:rPr>
          <w:rFonts w:cs="Arial"/>
          <w:i/>
          <w:sz w:val="16"/>
          <w:szCs w:val="16"/>
        </w:rPr>
      </w:pPr>
      <w:r w:rsidRPr="002A2397">
        <w:rPr>
          <w:rFonts w:cs="Arial"/>
          <w:i/>
          <w:sz w:val="16"/>
          <w:szCs w:val="16"/>
        </w:rPr>
        <w:t xml:space="preserve">* Modified Population - adjusted by </w:t>
      </w:r>
      <w:r w:rsidR="002A2397">
        <w:rPr>
          <w:rFonts w:cs="Arial"/>
          <w:i/>
          <w:sz w:val="16"/>
          <w:szCs w:val="16"/>
        </w:rPr>
        <w:t>half</w:t>
      </w:r>
      <w:r w:rsidRPr="002A2397">
        <w:rPr>
          <w:rFonts w:cs="Arial"/>
          <w:i/>
          <w:sz w:val="16"/>
          <w:szCs w:val="16"/>
        </w:rPr>
        <w:t xml:space="preserve"> vacancy rate to take account of part-time residents.</w:t>
      </w:r>
      <w:r w:rsidRPr="00A44829">
        <w:rPr>
          <w:rFonts w:cs="Arial"/>
          <w:i/>
          <w:sz w:val="16"/>
          <w:szCs w:val="16"/>
        </w:rPr>
        <w:t xml:space="preserve">  </w:t>
      </w:r>
    </w:p>
    <w:p w14:paraId="369BE095" w14:textId="420BB00E" w:rsidR="00BA1A67" w:rsidRDefault="00BA1A67">
      <w:pPr>
        <w:rPr>
          <w:rFonts w:cs="Arial"/>
          <w:i/>
          <w:sz w:val="16"/>
          <w:szCs w:val="16"/>
        </w:rPr>
      </w:pPr>
      <w:r>
        <w:rPr>
          <w:rFonts w:cs="Arial"/>
          <w:i/>
          <w:sz w:val="16"/>
          <w:szCs w:val="16"/>
        </w:rPr>
        <w:br w:type="page"/>
      </w:r>
    </w:p>
    <w:p w14:paraId="140BF3E4" w14:textId="20FFCF65" w:rsidR="00BF4614" w:rsidRPr="00A44829" w:rsidRDefault="00EE4593" w:rsidP="00C33713">
      <w:pPr>
        <w:pStyle w:val="VGC-Head10"/>
      </w:pPr>
      <w:r w:rsidRPr="00A44829">
        <w:lastRenderedPageBreak/>
        <w:t>2019-20</w:t>
      </w:r>
      <w:r w:rsidR="00A97ABE" w:rsidRPr="00A44829">
        <w:t xml:space="preserve"> </w:t>
      </w:r>
      <w:r w:rsidR="00BF4614" w:rsidRPr="00A44829">
        <w:t>General Purpose Grants</w:t>
      </w:r>
      <w:r w:rsidR="00CE4507" w:rsidRPr="00A44829">
        <w:tab/>
        <w:t>Appendix 4</w:t>
      </w:r>
    </w:p>
    <w:p w14:paraId="29981B7D" w14:textId="77777777" w:rsidR="004C2CCF" w:rsidRPr="00A44829" w:rsidRDefault="004F1184" w:rsidP="008C1A28">
      <w:pPr>
        <w:pStyle w:val="VGC-Head2"/>
      </w:pPr>
      <w:r w:rsidRPr="00A44829">
        <w:tab/>
      </w:r>
      <w:r w:rsidR="004C2CCF" w:rsidRPr="00A44829">
        <w:t xml:space="preserve">A.  </w:t>
      </w:r>
      <w:r w:rsidR="00674746" w:rsidRPr="00A44829">
        <w:t>Major Cost Drivers (Units)</w:t>
      </w:r>
    </w:p>
    <w:p w14:paraId="4B6363F3" w14:textId="77777777" w:rsidR="00CD20BD" w:rsidRPr="00A44829" w:rsidRDefault="00CD20BD"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6D154A" w:rsidRPr="002A2397" w14:paraId="72E8D1E0" w14:textId="77777777" w:rsidTr="006D154A">
        <w:trPr>
          <w:tblHeader/>
        </w:trPr>
        <w:tc>
          <w:tcPr>
            <w:tcW w:w="2268" w:type="dxa"/>
            <w:vMerge w:val="restart"/>
            <w:tcBorders>
              <w:top w:val="nil"/>
              <w:left w:val="nil"/>
              <w:right w:val="single" w:sz="18" w:space="0" w:color="5F497A" w:themeColor="accent4" w:themeShade="BF"/>
            </w:tcBorders>
            <w:shd w:val="clear" w:color="auto" w:fill="auto"/>
            <w:vAlign w:val="bottom"/>
          </w:tcPr>
          <w:p w14:paraId="3EFE3D71" w14:textId="77777777" w:rsidR="006D154A" w:rsidRPr="00A44829" w:rsidRDefault="006D154A" w:rsidP="008001AD">
            <w:pPr>
              <w:spacing w:before="40" w:after="20"/>
              <w:jc w:val="center"/>
              <w:rPr>
                <w:rFonts w:cs="Arial"/>
                <w:sz w:val="18"/>
                <w:szCs w:val="18"/>
              </w:rPr>
            </w:pPr>
          </w:p>
        </w:tc>
        <w:tc>
          <w:tcPr>
            <w:tcW w:w="1134" w:type="dxa"/>
            <w:vMerge w:val="restart"/>
            <w:tcBorders>
              <w:top w:val="nil"/>
              <w:left w:val="single" w:sz="18" w:space="0" w:color="5F497A" w:themeColor="accent4" w:themeShade="BF"/>
              <w:bottom w:val="single" w:sz="8" w:space="0" w:color="5F497A" w:themeColor="accent4" w:themeShade="BF"/>
              <w:right w:val="nil"/>
            </w:tcBorders>
            <w:shd w:val="clear" w:color="auto" w:fill="auto"/>
            <w:vAlign w:val="bottom"/>
          </w:tcPr>
          <w:p w14:paraId="3A87DB90" w14:textId="561CEEE8" w:rsidR="006D154A" w:rsidRPr="002A2397" w:rsidRDefault="006D154A" w:rsidP="008001AD">
            <w:pPr>
              <w:spacing w:before="40" w:after="20"/>
              <w:jc w:val="center"/>
              <w:rPr>
                <w:rFonts w:cs="Arial"/>
                <w:b/>
                <w:sz w:val="18"/>
                <w:szCs w:val="18"/>
              </w:rPr>
            </w:pPr>
            <w:r w:rsidRPr="002A2397">
              <w:rPr>
                <w:rFonts w:cs="Arial"/>
                <w:b/>
                <w:sz w:val="18"/>
                <w:szCs w:val="18"/>
              </w:rPr>
              <w:t xml:space="preserve">Estimated Resident Population </w:t>
            </w:r>
            <w:r w:rsidRPr="002A2397">
              <w:rPr>
                <w:rFonts w:cs="Arial"/>
                <w:sz w:val="16"/>
                <w:szCs w:val="16"/>
              </w:rPr>
              <w:t>(June 2018)</w:t>
            </w:r>
          </w:p>
        </w:tc>
        <w:tc>
          <w:tcPr>
            <w:tcW w:w="3402" w:type="dxa"/>
            <w:gridSpan w:val="3"/>
            <w:tcBorders>
              <w:top w:val="nil"/>
              <w:left w:val="nil"/>
              <w:bottom w:val="single" w:sz="8" w:space="0" w:color="5F497A" w:themeColor="accent4" w:themeShade="BF"/>
              <w:right w:val="nil"/>
            </w:tcBorders>
          </w:tcPr>
          <w:p w14:paraId="08FEF00B" w14:textId="55A1FA0B" w:rsidR="006D154A" w:rsidRPr="002A2397" w:rsidRDefault="006D154A" w:rsidP="008001AD">
            <w:pPr>
              <w:spacing w:before="40" w:after="20"/>
              <w:jc w:val="center"/>
              <w:rPr>
                <w:rFonts w:cs="Arial"/>
                <w:b/>
                <w:sz w:val="18"/>
                <w:szCs w:val="18"/>
              </w:rPr>
            </w:pPr>
            <w:r w:rsidRPr="002A2397">
              <w:rPr>
                <w:rFonts w:cs="Arial"/>
                <w:b/>
                <w:sz w:val="18"/>
                <w:szCs w:val="18"/>
              </w:rPr>
              <w:t>Modified Population</w:t>
            </w:r>
          </w:p>
        </w:tc>
        <w:tc>
          <w:tcPr>
            <w:tcW w:w="1134" w:type="dxa"/>
            <w:vMerge w:val="restart"/>
            <w:tcBorders>
              <w:top w:val="nil"/>
              <w:left w:val="nil"/>
              <w:bottom w:val="single" w:sz="8" w:space="0" w:color="5F497A" w:themeColor="accent4" w:themeShade="BF"/>
              <w:right w:val="nil"/>
            </w:tcBorders>
            <w:vAlign w:val="bottom"/>
          </w:tcPr>
          <w:p w14:paraId="374B8979" w14:textId="1C8B7806" w:rsidR="006D154A" w:rsidRPr="002A2397" w:rsidRDefault="006D154A" w:rsidP="008001AD">
            <w:pPr>
              <w:spacing w:before="40" w:after="20"/>
              <w:jc w:val="center"/>
              <w:rPr>
                <w:rFonts w:cs="Arial"/>
                <w:b/>
                <w:sz w:val="16"/>
                <w:szCs w:val="16"/>
              </w:rPr>
            </w:pPr>
            <w:r w:rsidRPr="002A2397">
              <w:rPr>
                <w:rFonts w:cs="Arial"/>
                <w:b/>
                <w:sz w:val="16"/>
                <w:szCs w:val="16"/>
              </w:rPr>
              <w:t xml:space="preserve">Population </w:t>
            </w:r>
            <w:r w:rsidRPr="002A2397">
              <w:rPr>
                <w:rFonts w:cs="Arial"/>
                <w:b/>
                <w:sz w:val="16"/>
                <w:szCs w:val="16"/>
              </w:rPr>
              <w:br/>
              <w:t xml:space="preserve">&gt; 60 Years </w:t>
            </w:r>
            <w:r w:rsidRPr="002A2397">
              <w:rPr>
                <w:rFonts w:cs="Arial"/>
                <w:b/>
                <w:sz w:val="16"/>
                <w:szCs w:val="16"/>
              </w:rPr>
              <w:br/>
              <w:t xml:space="preserve">+ Disabled Pensioners </w:t>
            </w:r>
            <w:r w:rsidRPr="002A2397">
              <w:rPr>
                <w:rFonts w:cs="Arial"/>
                <w:b/>
                <w:sz w:val="16"/>
                <w:szCs w:val="16"/>
              </w:rPr>
              <w:br/>
              <w:t>+ Carers</w:t>
            </w:r>
          </w:p>
        </w:tc>
        <w:tc>
          <w:tcPr>
            <w:tcW w:w="1134" w:type="dxa"/>
            <w:vMerge w:val="restart"/>
            <w:tcBorders>
              <w:top w:val="nil"/>
              <w:left w:val="nil"/>
              <w:bottom w:val="single" w:sz="8" w:space="0" w:color="5F497A" w:themeColor="accent4" w:themeShade="BF"/>
              <w:right w:val="nil"/>
            </w:tcBorders>
            <w:shd w:val="clear" w:color="auto" w:fill="auto"/>
            <w:vAlign w:val="bottom"/>
          </w:tcPr>
          <w:p w14:paraId="67E5B8A0" w14:textId="77777777" w:rsidR="006D154A" w:rsidRPr="002A2397" w:rsidRDefault="006D154A" w:rsidP="008001AD">
            <w:pPr>
              <w:spacing w:before="40" w:after="20"/>
              <w:jc w:val="center"/>
              <w:rPr>
                <w:rFonts w:cs="Arial"/>
                <w:b/>
                <w:sz w:val="18"/>
                <w:szCs w:val="18"/>
              </w:rPr>
            </w:pPr>
            <w:r w:rsidRPr="002A2397">
              <w:rPr>
                <w:rFonts w:cs="Arial"/>
                <w:b/>
                <w:sz w:val="18"/>
                <w:szCs w:val="18"/>
              </w:rPr>
              <w:t xml:space="preserve">No. of </w:t>
            </w:r>
            <w:r w:rsidRPr="002A2397">
              <w:rPr>
                <w:rFonts w:cs="Arial"/>
                <w:b/>
                <w:sz w:val="18"/>
                <w:szCs w:val="18"/>
              </w:rPr>
              <w:br/>
              <w:t>Dwellings</w:t>
            </w:r>
          </w:p>
        </w:tc>
      </w:tr>
      <w:tr w:rsidR="006D154A" w:rsidRPr="00A44829" w14:paraId="022BED2B" w14:textId="77777777" w:rsidTr="006D154A">
        <w:trPr>
          <w:tblHeader/>
        </w:trPr>
        <w:tc>
          <w:tcPr>
            <w:tcW w:w="2268" w:type="dxa"/>
            <w:vMerge/>
            <w:tcBorders>
              <w:left w:val="nil"/>
              <w:right w:val="single" w:sz="18" w:space="0" w:color="5F497A" w:themeColor="accent4" w:themeShade="BF"/>
            </w:tcBorders>
            <w:shd w:val="clear" w:color="auto" w:fill="auto"/>
            <w:vAlign w:val="bottom"/>
          </w:tcPr>
          <w:p w14:paraId="68C872F6" w14:textId="77777777" w:rsidR="006D154A" w:rsidRPr="002A2397" w:rsidRDefault="006D154A" w:rsidP="006D154A">
            <w:pPr>
              <w:spacing w:before="40" w:after="20"/>
              <w:jc w:val="center"/>
              <w:rPr>
                <w:rFonts w:cs="Arial"/>
                <w:sz w:val="18"/>
                <w:szCs w:val="18"/>
              </w:rPr>
            </w:pPr>
          </w:p>
        </w:tc>
        <w:tc>
          <w:tcPr>
            <w:tcW w:w="1134" w:type="dxa"/>
            <w:vMerge/>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6CEF397B" w14:textId="77777777" w:rsidR="006D154A" w:rsidRPr="002A2397" w:rsidRDefault="006D154A" w:rsidP="006D154A">
            <w:pPr>
              <w:spacing w:before="40" w:after="20"/>
              <w:jc w:val="center"/>
              <w:rPr>
                <w:rFonts w:cs="Arial"/>
                <w:b/>
                <w:sz w:val="18"/>
                <w:szCs w:val="18"/>
              </w:rPr>
            </w:pP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307D1607" w14:textId="70D44880" w:rsidR="006D154A" w:rsidRPr="002A2397" w:rsidRDefault="006D154A" w:rsidP="006D154A">
            <w:pPr>
              <w:spacing w:before="40" w:after="20"/>
              <w:jc w:val="center"/>
              <w:rPr>
                <w:rFonts w:cs="Arial"/>
                <w:sz w:val="16"/>
                <w:szCs w:val="16"/>
              </w:rPr>
            </w:pPr>
            <w:r w:rsidRPr="002A2397">
              <w:rPr>
                <w:rFonts w:cs="Arial"/>
                <w:sz w:val="16"/>
                <w:szCs w:val="16"/>
              </w:rPr>
              <w:t xml:space="preserve">Modified Population* </w:t>
            </w:r>
            <w:r w:rsidRPr="002A2397">
              <w:rPr>
                <w:rFonts w:cs="Arial"/>
                <w:sz w:val="16"/>
                <w:szCs w:val="16"/>
              </w:rPr>
              <w:br/>
              <w:t>(min 15,000)*</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1CFA5477" w14:textId="1AEE4FBD" w:rsidR="006D154A" w:rsidRPr="002A2397" w:rsidRDefault="006D154A" w:rsidP="006D154A">
            <w:pPr>
              <w:spacing w:before="40" w:after="20"/>
              <w:jc w:val="center"/>
              <w:rPr>
                <w:rFonts w:cs="Arial"/>
                <w:sz w:val="16"/>
                <w:szCs w:val="16"/>
              </w:rPr>
            </w:pPr>
            <w:r w:rsidRPr="002A2397">
              <w:rPr>
                <w:rFonts w:cs="Arial"/>
                <w:sz w:val="16"/>
                <w:szCs w:val="16"/>
              </w:rPr>
              <w:t>Modified Population*</w:t>
            </w:r>
            <w:r w:rsidRPr="002A2397">
              <w:rPr>
                <w:rFonts w:cs="Arial"/>
                <w:sz w:val="16"/>
                <w:szCs w:val="16"/>
              </w:rPr>
              <w:br/>
              <w:t>(min 20,000)</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49C2C536" w14:textId="15B6CC1D" w:rsidR="006D154A" w:rsidRPr="00A44829" w:rsidRDefault="006D154A" w:rsidP="006D154A">
            <w:pPr>
              <w:spacing w:before="40" w:after="20"/>
              <w:jc w:val="center"/>
              <w:rPr>
                <w:rFonts w:cs="Arial"/>
                <w:sz w:val="16"/>
                <w:szCs w:val="16"/>
              </w:rPr>
            </w:pPr>
            <w:r w:rsidRPr="002A2397">
              <w:rPr>
                <w:rFonts w:cs="Arial"/>
                <w:sz w:val="16"/>
                <w:szCs w:val="16"/>
              </w:rPr>
              <w:t>Modified Population*</w:t>
            </w:r>
            <w:r w:rsidRPr="002A2397">
              <w:rPr>
                <w:rFonts w:cs="Arial"/>
                <w:sz w:val="16"/>
                <w:szCs w:val="16"/>
              </w:rPr>
              <w:br/>
              <w:t>(no min)</w:t>
            </w:r>
          </w:p>
        </w:tc>
        <w:tc>
          <w:tcPr>
            <w:tcW w:w="1134" w:type="dxa"/>
            <w:vMerge/>
            <w:tcBorders>
              <w:top w:val="single" w:sz="8" w:space="0" w:color="5F497A" w:themeColor="accent4" w:themeShade="BF"/>
              <w:left w:val="nil"/>
              <w:bottom w:val="single" w:sz="8" w:space="0" w:color="5F497A" w:themeColor="accent4" w:themeShade="BF"/>
              <w:right w:val="nil"/>
            </w:tcBorders>
            <w:vAlign w:val="bottom"/>
          </w:tcPr>
          <w:p w14:paraId="50148B13" w14:textId="77777777" w:rsidR="006D154A" w:rsidRPr="00A44829" w:rsidRDefault="006D154A" w:rsidP="006D154A">
            <w:pPr>
              <w:spacing w:before="40" w:after="20"/>
              <w:jc w:val="center"/>
              <w:rPr>
                <w:rFonts w:cs="Arial"/>
                <w:b/>
                <w:sz w:val="18"/>
                <w:szCs w:val="18"/>
              </w:rPr>
            </w:pPr>
          </w:p>
        </w:tc>
        <w:tc>
          <w:tcPr>
            <w:tcW w:w="1134"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3F28254E" w14:textId="77777777" w:rsidR="006D154A" w:rsidRPr="00A44829" w:rsidRDefault="006D154A" w:rsidP="006D154A">
            <w:pPr>
              <w:spacing w:before="40" w:after="20"/>
              <w:jc w:val="center"/>
              <w:rPr>
                <w:rFonts w:cs="Arial"/>
                <w:b/>
                <w:sz w:val="18"/>
                <w:szCs w:val="18"/>
              </w:rPr>
            </w:pPr>
          </w:p>
        </w:tc>
      </w:tr>
      <w:tr w:rsidR="00953130" w:rsidRPr="001D41EA" w14:paraId="7246EA84" w14:textId="77777777" w:rsidTr="00953130">
        <w:trPr>
          <w:trHeight w:val="240"/>
          <w:tblHeader/>
        </w:trPr>
        <w:tc>
          <w:tcPr>
            <w:tcW w:w="2268" w:type="dxa"/>
            <w:tcBorders>
              <w:left w:val="nil"/>
              <w:bottom w:val="nil"/>
              <w:right w:val="single" w:sz="18" w:space="0" w:color="5F497A" w:themeColor="accent4" w:themeShade="BF"/>
            </w:tcBorders>
            <w:shd w:val="clear" w:color="auto" w:fill="auto"/>
            <w:vAlign w:val="center"/>
          </w:tcPr>
          <w:p w14:paraId="6A363734" w14:textId="77777777" w:rsidR="00953130" w:rsidRPr="001D41EA" w:rsidRDefault="00953130" w:rsidP="001D41EA">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3CF0A2A8" w14:textId="566E8BEF" w:rsidR="00953130" w:rsidRPr="001D41EA" w:rsidRDefault="00953130" w:rsidP="001D41EA">
            <w:pPr>
              <w:spacing w:before="40" w:after="2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vAlign w:val="bottom"/>
          </w:tcPr>
          <w:p w14:paraId="769CCC90" w14:textId="69FB3281" w:rsidR="00953130" w:rsidRPr="001D41EA" w:rsidRDefault="00953130" w:rsidP="001D41EA">
            <w:pPr>
              <w:spacing w:before="40" w:after="2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vAlign w:val="bottom"/>
          </w:tcPr>
          <w:p w14:paraId="3B9A5AEF" w14:textId="77777777" w:rsidR="00953130" w:rsidRPr="001D41EA" w:rsidRDefault="00953130" w:rsidP="001D41EA">
            <w:pPr>
              <w:spacing w:before="40" w:after="2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78609FBA" w14:textId="64CD612B" w:rsidR="00953130" w:rsidRPr="001D41EA" w:rsidRDefault="00953130" w:rsidP="001D41EA">
            <w:pPr>
              <w:spacing w:before="40" w:after="2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vAlign w:val="bottom"/>
          </w:tcPr>
          <w:p w14:paraId="2DDCA6AC" w14:textId="36159473" w:rsidR="00953130" w:rsidRPr="001D41EA" w:rsidRDefault="00953130" w:rsidP="001D41EA">
            <w:pPr>
              <w:spacing w:before="40" w:after="20"/>
              <w:jc w:val="right"/>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04F2D0F5" w14:textId="74ECD3D8" w:rsidR="00953130" w:rsidRPr="001D41EA" w:rsidRDefault="00953130" w:rsidP="001D41EA">
            <w:pPr>
              <w:spacing w:before="40" w:after="20"/>
              <w:jc w:val="right"/>
              <w:rPr>
                <w:rFonts w:cs="Arial"/>
                <w:sz w:val="18"/>
                <w:szCs w:val="18"/>
              </w:rPr>
            </w:pPr>
            <w:r w:rsidRPr="001D41EA">
              <w:rPr>
                <w:rFonts w:cs="Arial"/>
                <w:sz w:val="18"/>
                <w:szCs w:val="18"/>
              </w:rPr>
              <w:t> </w:t>
            </w:r>
          </w:p>
        </w:tc>
      </w:tr>
      <w:tr w:rsidR="00953130" w:rsidRPr="001D41EA" w14:paraId="54335A8B"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59FCDE7" w14:textId="77777777" w:rsidR="00953130" w:rsidRPr="001D41EA" w:rsidRDefault="00953130" w:rsidP="001D41EA">
            <w:pPr>
              <w:spacing w:before="40" w:after="20"/>
              <w:rPr>
                <w:rFonts w:cs="Arial"/>
                <w:sz w:val="18"/>
                <w:szCs w:val="18"/>
              </w:rPr>
            </w:pPr>
            <w:r w:rsidRPr="001D41EA">
              <w:rPr>
                <w:rFonts w:cs="Arial"/>
                <w:sz w:val="18"/>
                <w:szCs w:val="18"/>
              </w:rPr>
              <w:t>Macedon Ranges S</w:t>
            </w:r>
          </w:p>
        </w:tc>
        <w:tc>
          <w:tcPr>
            <w:tcW w:w="1134" w:type="dxa"/>
            <w:tcBorders>
              <w:top w:val="nil"/>
              <w:left w:val="single" w:sz="18" w:space="0" w:color="5F497A" w:themeColor="accent4" w:themeShade="BF"/>
              <w:bottom w:val="nil"/>
              <w:right w:val="nil"/>
            </w:tcBorders>
            <w:shd w:val="clear" w:color="auto" w:fill="auto"/>
            <w:vAlign w:val="bottom"/>
          </w:tcPr>
          <w:p w14:paraId="7EAAEBCF" w14:textId="3C87FE07" w:rsidR="00953130" w:rsidRPr="001D41EA" w:rsidRDefault="00953130" w:rsidP="001D41EA">
            <w:pPr>
              <w:spacing w:before="40" w:after="20"/>
              <w:jc w:val="right"/>
              <w:rPr>
                <w:rFonts w:cs="Arial"/>
                <w:sz w:val="18"/>
                <w:szCs w:val="18"/>
              </w:rPr>
            </w:pPr>
            <w:r w:rsidRPr="001D41EA">
              <w:rPr>
                <w:rFonts w:cs="Arial"/>
                <w:sz w:val="18"/>
                <w:szCs w:val="18"/>
              </w:rPr>
              <w:t>49,388</w:t>
            </w:r>
          </w:p>
        </w:tc>
        <w:tc>
          <w:tcPr>
            <w:tcW w:w="1134" w:type="dxa"/>
            <w:tcBorders>
              <w:top w:val="nil"/>
              <w:left w:val="nil"/>
              <w:bottom w:val="nil"/>
              <w:right w:val="nil"/>
            </w:tcBorders>
            <w:vAlign w:val="bottom"/>
          </w:tcPr>
          <w:p w14:paraId="7E255CAE" w14:textId="4829366C" w:rsidR="00953130" w:rsidRPr="001D41EA" w:rsidRDefault="00953130" w:rsidP="001D41EA">
            <w:pPr>
              <w:spacing w:before="40" w:after="20"/>
              <w:jc w:val="right"/>
              <w:rPr>
                <w:rFonts w:cs="Arial"/>
                <w:sz w:val="18"/>
                <w:szCs w:val="18"/>
              </w:rPr>
            </w:pPr>
            <w:r w:rsidRPr="001D41EA">
              <w:rPr>
                <w:rFonts w:cs="Arial"/>
                <w:sz w:val="18"/>
                <w:szCs w:val="18"/>
              </w:rPr>
              <w:t>49,388</w:t>
            </w:r>
          </w:p>
        </w:tc>
        <w:tc>
          <w:tcPr>
            <w:tcW w:w="1134" w:type="dxa"/>
            <w:tcBorders>
              <w:top w:val="nil"/>
              <w:left w:val="nil"/>
              <w:bottom w:val="nil"/>
              <w:right w:val="nil"/>
            </w:tcBorders>
            <w:vAlign w:val="bottom"/>
          </w:tcPr>
          <w:p w14:paraId="198DB022" w14:textId="7019ABF1" w:rsidR="00953130" w:rsidRPr="001D41EA" w:rsidRDefault="00953130" w:rsidP="001D41EA">
            <w:pPr>
              <w:spacing w:before="40" w:after="20"/>
              <w:jc w:val="right"/>
              <w:rPr>
                <w:rFonts w:cs="Arial"/>
                <w:sz w:val="18"/>
                <w:szCs w:val="18"/>
              </w:rPr>
            </w:pPr>
            <w:r w:rsidRPr="001D41EA">
              <w:rPr>
                <w:rFonts w:cs="Arial"/>
                <w:sz w:val="18"/>
                <w:szCs w:val="18"/>
              </w:rPr>
              <w:t>49,388</w:t>
            </w:r>
          </w:p>
        </w:tc>
        <w:tc>
          <w:tcPr>
            <w:tcW w:w="1134" w:type="dxa"/>
            <w:tcBorders>
              <w:top w:val="nil"/>
              <w:left w:val="nil"/>
              <w:bottom w:val="nil"/>
              <w:right w:val="nil"/>
            </w:tcBorders>
            <w:vAlign w:val="bottom"/>
          </w:tcPr>
          <w:p w14:paraId="7A618268" w14:textId="23E62D2C" w:rsidR="00953130" w:rsidRPr="001D41EA" w:rsidRDefault="00953130" w:rsidP="001D41EA">
            <w:pPr>
              <w:spacing w:before="40" w:after="20"/>
              <w:jc w:val="right"/>
              <w:rPr>
                <w:rFonts w:cs="Arial"/>
                <w:sz w:val="18"/>
                <w:szCs w:val="18"/>
              </w:rPr>
            </w:pPr>
            <w:r w:rsidRPr="001D41EA">
              <w:rPr>
                <w:rFonts w:cs="Arial"/>
                <w:sz w:val="18"/>
                <w:szCs w:val="18"/>
              </w:rPr>
              <w:t>49,388</w:t>
            </w:r>
          </w:p>
        </w:tc>
        <w:tc>
          <w:tcPr>
            <w:tcW w:w="1134" w:type="dxa"/>
            <w:tcBorders>
              <w:top w:val="nil"/>
              <w:left w:val="nil"/>
              <w:bottom w:val="nil"/>
              <w:right w:val="nil"/>
            </w:tcBorders>
            <w:shd w:val="clear" w:color="auto" w:fill="auto"/>
            <w:vAlign w:val="bottom"/>
          </w:tcPr>
          <w:p w14:paraId="09D4D216" w14:textId="505FA4C2" w:rsidR="00953130" w:rsidRPr="001D41EA" w:rsidRDefault="00953130" w:rsidP="001D41EA">
            <w:pPr>
              <w:spacing w:before="40" w:after="20"/>
              <w:jc w:val="right"/>
              <w:rPr>
                <w:rFonts w:cs="Arial"/>
                <w:sz w:val="18"/>
                <w:szCs w:val="18"/>
              </w:rPr>
            </w:pPr>
            <w:r w:rsidRPr="001D41EA">
              <w:rPr>
                <w:rFonts w:cs="Arial"/>
                <w:sz w:val="18"/>
                <w:szCs w:val="18"/>
              </w:rPr>
              <w:t>13,357</w:t>
            </w:r>
          </w:p>
        </w:tc>
        <w:tc>
          <w:tcPr>
            <w:tcW w:w="1134" w:type="dxa"/>
            <w:tcBorders>
              <w:top w:val="nil"/>
              <w:left w:val="nil"/>
              <w:bottom w:val="nil"/>
              <w:right w:val="nil"/>
            </w:tcBorders>
            <w:shd w:val="clear" w:color="auto" w:fill="auto"/>
            <w:vAlign w:val="bottom"/>
          </w:tcPr>
          <w:p w14:paraId="448C44AC" w14:textId="00409407" w:rsidR="00953130" w:rsidRPr="001D41EA" w:rsidRDefault="00953130" w:rsidP="001D41EA">
            <w:pPr>
              <w:spacing w:before="40" w:after="20"/>
              <w:jc w:val="right"/>
              <w:rPr>
                <w:rFonts w:cs="Arial"/>
                <w:sz w:val="18"/>
                <w:szCs w:val="18"/>
              </w:rPr>
            </w:pPr>
            <w:r w:rsidRPr="001D41EA">
              <w:rPr>
                <w:rFonts w:cs="Arial"/>
                <w:sz w:val="18"/>
                <w:szCs w:val="18"/>
              </w:rPr>
              <w:t>19,359</w:t>
            </w:r>
          </w:p>
        </w:tc>
      </w:tr>
      <w:tr w:rsidR="00953130" w:rsidRPr="001D41EA" w14:paraId="63C0C5D5"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1255B17" w14:textId="77777777" w:rsidR="00953130" w:rsidRPr="001D41EA" w:rsidRDefault="00953130" w:rsidP="001D41EA">
            <w:pPr>
              <w:spacing w:before="40" w:after="20"/>
              <w:rPr>
                <w:rFonts w:cs="Arial"/>
                <w:sz w:val="18"/>
                <w:szCs w:val="18"/>
              </w:rPr>
            </w:pPr>
            <w:r w:rsidRPr="001D41EA">
              <w:rPr>
                <w:rFonts w:cs="Arial"/>
                <w:sz w:val="18"/>
                <w:szCs w:val="18"/>
              </w:rPr>
              <w:t>Manningham C</w:t>
            </w:r>
          </w:p>
        </w:tc>
        <w:tc>
          <w:tcPr>
            <w:tcW w:w="1134" w:type="dxa"/>
            <w:tcBorders>
              <w:top w:val="nil"/>
              <w:left w:val="single" w:sz="18" w:space="0" w:color="5F497A" w:themeColor="accent4" w:themeShade="BF"/>
              <w:bottom w:val="nil"/>
              <w:right w:val="nil"/>
            </w:tcBorders>
            <w:shd w:val="clear" w:color="auto" w:fill="auto"/>
            <w:vAlign w:val="bottom"/>
          </w:tcPr>
          <w:p w14:paraId="21245DF8" w14:textId="487B7316" w:rsidR="00953130" w:rsidRPr="001D41EA" w:rsidRDefault="00953130" w:rsidP="001D41EA">
            <w:pPr>
              <w:spacing w:before="40" w:after="20"/>
              <w:jc w:val="right"/>
              <w:rPr>
                <w:rFonts w:cs="Arial"/>
                <w:sz w:val="18"/>
                <w:szCs w:val="18"/>
              </w:rPr>
            </w:pPr>
            <w:r w:rsidRPr="001D41EA">
              <w:rPr>
                <w:rFonts w:cs="Arial"/>
                <w:sz w:val="18"/>
                <w:szCs w:val="18"/>
              </w:rPr>
              <w:t>125,508</w:t>
            </w:r>
          </w:p>
        </w:tc>
        <w:tc>
          <w:tcPr>
            <w:tcW w:w="1134" w:type="dxa"/>
            <w:tcBorders>
              <w:top w:val="nil"/>
              <w:left w:val="nil"/>
              <w:bottom w:val="nil"/>
              <w:right w:val="nil"/>
            </w:tcBorders>
            <w:vAlign w:val="bottom"/>
          </w:tcPr>
          <w:p w14:paraId="0B35BA0E" w14:textId="42FAE2B8" w:rsidR="00953130" w:rsidRPr="001D41EA" w:rsidRDefault="00953130" w:rsidP="001D41EA">
            <w:pPr>
              <w:spacing w:before="40" w:after="20"/>
              <w:jc w:val="right"/>
              <w:rPr>
                <w:rFonts w:cs="Arial"/>
                <w:sz w:val="18"/>
                <w:szCs w:val="18"/>
              </w:rPr>
            </w:pPr>
            <w:r w:rsidRPr="001D41EA">
              <w:rPr>
                <w:rFonts w:cs="Arial"/>
                <w:sz w:val="18"/>
                <w:szCs w:val="18"/>
              </w:rPr>
              <w:t>125,508</w:t>
            </w:r>
          </w:p>
        </w:tc>
        <w:tc>
          <w:tcPr>
            <w:tcW w:w="1134" w:type="dxa"/>
            <w:tcBorders>
              <w:top w:val="nil"/>
              <w:left w:val="nil"/>
              <w:bottom w:val="nil"/>
              <w:right w:val="nil"/>
            </w:tcBorders>
            <w:vAlign w:val="bottom"/>
          </w:tcPr>
          <w:p w14:paraId="12DD0432" w14:textId="2DD878E6" w:rsidR="00953130" w:rsidRPr="001D41EA" w:rsidRDefault="00953130" w:rsidP="001D41EA">
            <w:pPr>
              <w:spacing w:before="40" w:after="20"/>
              <w:jc w:val="right"/>
              <w:rPr>
                <w:rFonts w:cs="Arial"/>
                <w:sz w:val="18"/>
                <w:szCs w:val="18"/>
              </w:rPr>
            </w:pPr>
            <w:r w:rsidRPr="001D41EA">
              <w:rPr>
                <w:rFonts w:cs="Arial"/>
                <w:sz w:val="18"/>
                <w:szCs w:val="18"/>
              </w:rPr>
              <w:t>125,508</w:t>
            </w:r>
          </w:p>
        </w:tc>
        <w:tc>
          <w:tcPr>
            <w:tcW w:w="1134" w:type="dxa"/>
            <w:tcBorders>
              <w:top w:val="nil"/>
              <w:left w:val="nil"/>
              <w:bottom w:val="nil"/>
              <w:right w:val="nil"/>
            </w:tcBorders>
            <w:vAlign w:val="bottom"/>
          </w:tcPr>
          <w:p w14:paraId="272F5F17" w14:textId="64A2D10A" w:rsidR="00953130" w:rsidRPr="001D41EA" w:rsidRDefault="00953130" w:rsidP="001D41EA">
            <w:pPr>
              <w:spacing w:before="40" w:after="20"/>
              <w:jc w:val="right"/>
              <w:rPr>
                <w:rFonts w:cs="Arial"/>
                <w:sz w:val="18"/>
                <w:szCs w:val="18"/>
              </w:rPr>
            </w:pPr>
            <w:r w:rsidRPr="001D41EA">
              <w:rPr>
                <w:rFonts w:cs="Arial"/>
                <w:sz w:val="18"/>
                <w:szCs w:val="18"/>
              </w:rPr>
              <w:t>125,508</w:t>
            </w:r>
          </w:p>
        </w:tc>
        <w:tc>
          <w:tcPr>
            <w:tcW w:w="1134" w:type="dxa"/>
            <w:tcBorders>
              <w:top w:val="nil"/>
              <w:left w:val="nil"/>
              <w:bottom w:val="nil"/>
              <w:right w:val="nil"/>
            </w:tcBorders>
            <w:shd w:val="clear" w:color="auto" w:fill="auto"/>
            <w:vAlign w:val="bottom"/>
          </w:tcPr>
          <w:p w14:paraId="5F5FAB14" w14:textId="553A6365" w:rsidR="00953130" w:rsidRPr="001D41EA" w:rsidRDefault="00953130" w:rsidP="001D41EA">
            <w:pPr>
              <w:spacing w:before="40" w:after="20"/>
              <w:jc w:val="right"/>
              <w:rPr>
                <w:rFonts w:cs="Arial"/>
                <w:sz w:val="18"/>
                <w:szCs w:val="18"/>
              </w:rPr>
            </w:pPr>
            <w:r w:rsidRPr="001D41EA">
              <w:rPr>
                <w:rFonts w:cs="Arial"/>
                <w:sz w:val="18"/>
                <w:szCs w:val="18"/>
              </w:rPr>
              <w:t>37,248</w:t>
            </w:r>
          </w:p>
        </w:tc>
        <w:tc>
          <w:tcPr>
            <w:tcW w:w="1134" w:type="dxa"/>
            <w:tcBorders>
              <w:top w:val="nil"/>
              <w:left w:val="nil"/>
              <w:bottom w:val="nil"/>
              <w:right w:val="nil"/>
            </w:tcBorders>
            <w:shd w:val="clear" w:color="auto" w:fill="auto"/>
            <w:vAlign w:val="bottom"/>
          </w:tcPr>
          <w:p w14:paraId="7433012B" w14:textId="3C03EFB6" w:rsidR="00953130" w:rsidRPr="001D41EA" w:rsidRDefault="00953130" w:rsidP="001D41EA">
            <w:pPr>
              <w:spacing w:before="40" w:after="20"/>
              <w:jc w:val="right"/>
              <w:rPr>
                <w:rFonts w:cs="Arial"/>
                <w:sz w:val="18"/>
                <w:szCs w:val="18"/>
              </w:rPr>
            </w:pPr>
            <w:r w:rsidRPr="001D41EA">
              <w:rPr>
                <w:rFonts w:cs="Arial"/>
                <w:sz w:val="18"/>
                <w:szCs w:val="18"/>
              </w:rPr>
              <w:t>46,320</w:t>
            </w:r>
          </w:p>
        </w:tc>
      </w:tr>
      <w:tr w:rsidR="00953130" w:rsidRPr="001D41EA" w14:paraId="1611A1D6"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57255EA" w14:textId="77777777" w:rsidR="00953130" w:rsidRPr="001D41EA" w:rsidRDefault="00953130" w:rsidP="001D41EA">
            <w:pPr>
              <w:spacing w:before="40" w:after="20"/>
              <w:rPr>
                <w:rFonts w:cs="Arial"/>
                <w:sz w:val="18"/>
                <w:szCs w:val="18"/>
              </w:rPr>
            </w:pPr>
            <w:r w:rsidRPr="001D41EA">
              <w:rPr>
                <w:rFonts w:cs="Arial"/>
                <w:sz w:val="18"/>
                <w:szCs w:val="18"/>
              </w:rPr>
              <w:t>Mansfield S</w:t>
            </w:r>
          </w:p>
        </w:tc>
        <w:tc>
          <w:tcPr>
            <w:tcW w:w="1134" w:type="dxa"/>
            <w:tcBorders>
              <w:top w:val="nil"/>
              <w:left w:val="single" w:sz="18" w:space="0" w:color="5F497A" w:themeColor="accent4" w:themeShade="BF"/>
              <w:bottom w:val="nil"/>
              <w:right w:val="nil"/>
            </w:tcBorders>
            <w:shd w:val="clear" w:color="auto" w:fill="auto"/>
            <w:vAlign w:val="bottom"/>
          </w:tcPr>
          <w:p w14:paraId="3E56F489" w14:textId="7E0FE0AC" w:rsidR="00953130" w:rsidRPr="001D41EA" w:rsidRDefault="00953130" w:rsidP="001D41EA">
            <w:pPr>
              <w:spacing w:before="40" w:after="20"/>
              <w:jc w:val="right"/>
              <w:rPr>
                <w:rFonts w:cs="Arial"/>
                <w:sz w:val="18"/>
                <w:szCs w:val="18"/>
              </w:rPr>
            </w:pPr>
            <w:r w:rsidRPr="001D41EA">
              <w:rPr>
                <w:rFonts w:cs="Arial"/>
                <w:sz w:val="18"/>
                <w:szCs w:val="18"/>
              </w:rPr>
              <w:t>9,253</w:t>
            </w:r>
          </w:p>
        </w:tc>
        <w:tc>
          <w:tcPr>
            <w:tcW w:w="1134" w:type="dxa"/>
            <w:tcBorders>
              <w:top w:val="nil"/>
              <w:left w:val="nil"/>
              <w:bottom w:val="nil"/>
              <w:right w:val="nil"/>
            </w:tcBorders>
            <w:vAlign w:val="bottom"/>
          </w:tcPr>
          <w:p w14:paraId="28EFEF6E" w14:textId="422B123B" w:rsidR="00953130" w:rsidRPr="001D41EA" w:rsidRDefault="00953130" w:rsidP="001D41EA">
            <w:pPr>
              <w:spacing w:before="40" w:after="20"/>
              <w:jc w:val="right"/>
              <w:rPr>
                <w:rFonts w:cs="Arial"/>
                <w:sz w:val="18"/>
                <w:szCs w:val="18"/>
              </w:rPr>
            </w:pPr>
            <w:r w:rsidRPr="001D41EA">
              <w:rPr>
                <w:rFonts w:cs="Arial"/>
                <w:sz w:val="18"/>
                <w:szCs w:val="18"/>
              </w:rPr>
              <w:t>15,000</w:t>
            </w:r>
          </w:p>
        </w:tc>
        <w:tc>
          <w:tcPr>
            <w:tcW w:w="1134" w:type="dxa"/>
            <w:tcBorders>
              <w:top w:val="nil"/>
              <w:left w:val="nil"/>
              <w:bottom w:val="nil"/>
              <w:right w:val="nil"/>
            </w:tcBorders>
            <w:vAlign w:val="bottom"/>
          </w:tcPr>
          <w:p w14:paraId="69348B20" w14:textId="09674312" w:rsidR="00953130" w:rsidRPr="001D41EA" w:rsidRDefault="00953130" w:rsidP="001D41EA">
            <w:pPr>
              <w:spacing w:before="40" w:after="20"/>
              <w:jc w:val="right"/>
              <w:rPr>
                <w:rFonts w:cs="Arial"/>
                <w:sz w:val="18"/>
                <w:szCs w:val="18"/>
              </w:rPr>
            </w:pPr>
            <w:r w:rsidRPr="001D41EA">
              <w:rPr>
                <w:rFonts w:cs="Arial"/>
                <w:sz w:val="18"/>
                <w:szCs w:val="18"/>
              </w:rPr>
              <w:t>20,000</w:t>
            </w:r>
          </w:p>
        </w:tc>
        <w:tc>
          <w:tcPr>
            <w:tcW w:w="1134" w:type="dxa"/>
            <w:tcBorders>
              <w:top w:val="nil"/>
              <w:left w:val="nil"/>
              <w:bottom w:val="nil"/>
              <w:right w:val="nil"/>
            </w:tcBorders>
            <w:vAlign w:val="bottom"/>
          </w:tcPr>
          <w:p w14:paraId="17C129A0" w14:textId="5984B0A7" w:rsidR="00953130" w:rsidRPr="001D41EA" w:rsidRDefault="00953130" w:rsidP="001D41EA">
            <w:pPr>
              <w:spacing w:before="40" w:after="20"/>
              <w:jc w:val="right"/>
              <w:rPr>
                <w:rFonts w:cs="Arial"/>
                <w:sz w:val="18"/>
                <w:szCs w:val="18"/>
              </w:rPr>
            </w:pPr>
            <w:r w:rsidRPr="001D41EA">
              <w:rPr>
                <w:rFonts w:cs="Arial"/>
                <w:sz w:val="18"/>
                <w:szCs w:val="18"/>
              </w:rPr>
              <w:t>11,794</w:t>
            </w:r>
          </w:p>
        </w:tc>
        <w:tc>
          <w:tcPr>
            <w:tcW w:w="1134" w:type="dxa"/>
            <w:tcBorders>
              <w:top w:val="nil"/>
              <w:left w:val="nil"/>
              <w:bottom w:val="nil"/>
              <w:right w:val="nil"/>
            </w:tcBorders>
            <w:shd w:val="clear" w:color="auto" w:fill="auto"/>
            <w:vAlign w:val="bottom"/>
          </w:tcPr>
          <w:p w14:paraId="6866B0B8" w14:textId="5279C977" w:rsidR="00953130" w:rsidRPr="001D41EA" w:rsidRDefault="00953130" w:rsidP="001D41EA">
            <w:pPr>
              <w:spacing w:before="40" w:after="20"/>
              <w:jc w:val="right"/>
              <w:rPr>
                <w:rFonts w:cs="Arial"/>
                <w:sz w:val="18"/>
                <w:szCs w:val="18"/>
              </w:rPr>
            </w:pPr>
            <w:r w:rsidRPr="001D41EA">
              <w:rPr>
                <w:rFonts w:cs="Arial"/>
                <w:sz w:val="18"/>
                <w:szCs w:val="18"/>
              </w:rPr>
              <w:t>3,351</w:t>
            </w:r>
          </w:p>
        </w:tc>
        <w:tc>
          <w:tcPr>
            <w:tcW w:w="1134" w:type="dxa"/>
            <w:tcBorders>
              <w:top w:val="nil"/>
              <w:left w:val="nil"/>
              <w:bottom w:val="nil"/>
              <w:right w:val="nil"/>
            </w:tcBorders>
            <w:shd w:val="clear" w:color="auto" w:fill="auto"/>
            <w:vAlign w:val="bottom"/>
          </w:tcPr>
          <w:p w14:paraId="46967BA1" w14:textId="2532A90F" w:rsidR="00953130" w:rsidRPr="001D41EA" w:rsidRDefault="00953130" w:rsidP="001D41EA">
            <w:pPr>
              <w:spacing w:before="40" w:after="20"/>
              <w:jc w:val="right"/>
              <w:rPr>
                <w:rFonts w:cs="Arial"/>
                <w:sz w:val="18"/>
                <w:szCs w:val="18"/>
              </w:rPr>
            </w:pPr>
            <w:r w:rsidRPr="001D41EA">
              <w:rPr>
                <w:rFonts w:cs="Arial"/>
                <w:sz w:val="18"/>
                <w:szCs w:val="18"/>
              </w:rPr>
              <w:t>6,676</w:t>
            </w:r>
          </w:p>
        </w:tc>
      </w:tr>
      <w:tr w:rsidR="00953130" w:rsidRPr="001D41EA" w14:paraId="688470FC"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3D7A5A1F" w14:textId="77777777" w:rsidR="00953130" w:rsidRPr="001D41EA" w:rsidRDefault="00953130" w:rsidP="001D41EA">
            <w:pPr>
              <w:spacing w:before="40" w:after="20"/>
              <w:rPr>
                <w:rFonts w:cs="Arial"/>
                <w:sz w:val="18"/>
                <w:szCs w:val="18"/>
              </w:rPr>
            </w:pPr>
            <w:r w:rsidRPr="001D41EA">
              <w:rPr>
                <w:rFonts w:cs="Arial"/>
                <w:sz w:val="18"/>
                <w:szCs w:val="18"/>
              </w:rPr>
              <w:t>Maribyrnong C</w:t>
            </w:r>
          </w:p>
        </w:tc>
        <w:tc>
          <w:tcPr>
            <w:tcW w:w="1134" w:type="dxa"/>
            <w:tcBorders>
              <w:top w:val="nil"/>
              <w:left w:val="single" w:sz="18" w:space="0" w:color="5F497A" w:themeColor="accent4" w:themeShade="BF"/>
              <w:bottom w:val="nil"/>
              <w:right w:val="nil"/>
            </w:tcBorders>
            <w:shd w:val="clear" w:color="auto" w:fill="auto"/>
            <w:vAlign w:val="bottom"/>
          </w:tcPr>
          <w:p w14:paraId="19E026C3" w14:textId="238C5B39" w:rsidR="00953130" w:rsidRPr="001D41EA" w:rsidRDefault="00953130" w:rsidP="001D41EA">
            <w:pPr>
              <w:spacing w:before="40" w:after="20"/>
              <w:jc w:val="right"/>
              <w:rPr>
                <w:rFonts w:cs="Arial"/>
                <w:sz w:val="18"/>
                <w:szCs w:val="18"/>
              </w:rPr>
            </w:pPr>
            <w:r w:rsidRPr="001D41EA">
              <w:rPr>
                <w:rFonts w:cs="Arial"/>
                <w:sz w:val="18"/>
                <w:szCs w:val="18"/>
              </w:rPr>
              <w:t>91,387</w:t>
            </w:r>
          </w:p>
        </w:tc>
        <w:tc>
          <w:tcPr>
            <w:tcW w:w="1134" w:type="dxa"/>
            <w:tcBorders>
              <w:top w:val="nil"/>
              <w:left w:val="nil"/>
              <w:bottom w:val="nil"/>
              <w:right w:val="nil"/>
            </w:tcBorders>
            <w:vAlign w:val="bottom"/>
          </w:tcPr>
          <w:p w14:paraId="473BD5F7" w14:textId="5A946B14" w:rsidR="00953130" w:rsidRPr="001D41EA" w:rsidRDefault="00953130" w:rsidP="001D41EA">
            <w:pPr>
              <w:spacing w:before="40" w:after="20"/>
              <w:jc w:val="right"/>
              <w:rPr>
                <w:rFonts w:cs="Arial"/>
                <w:sz w:val="18"/>
                <w:szCs w:val="18"/>
              </w:rPr>
            </w:pPr>
            <w:r w:rsidRPr="001D41EA">
              <w:rPr>
                <w:rFonts w:cs="Arial"/>
                <w:sz w:val="18"/>
                <w:szCs w:val="18"/>
              </w:rPr>
              <w:t>91,387</w:t>
            </w:r>
          </w:p>
        </w:tc>
        <w:tc>
          <w:tcPr>
            <w:tcW w:w="1134" w:type="dxa"/>
            <w:tcBorders>
              <w:top w:val="nil"/>
              <w:left w:val="nil"/>
              <w:bottom w:val="nil"/>
              <w:right w:val="nil"/>
            </w:tcBorders>
            <w:vAlign w:val="bottom"/>
          </w:tcPr>
          <w:p w14:paraId="2D35893E" w14:textId="0ADCC226" w:rsidR="00953130" w:rsidRPr="001D41EA" w:rsidRDefault="00953130" w:rsidP="001D41EA">
            <w:pPr>
              <w:spacing w:before="40" w:after="20"/>
              <w:jc w:val="right"/>
              <w:rPr>
                <w:rFonts w:cs="Arial"/>
                <w:sz w:val="18"/>
                <w:szCs w:val="18"/>
              </w:rPr>
            </w:pPr>
            <w:r w:rsidRPr="001D41EA">
              <w:rPr>
                <w:rFonts w:cs="Arial"/>
                <w:sz w:val="18"/>
                <w:szCs w:val="18"/>
              </w:rPr>
              <w:t>91,387</w:t>
            </w:r>
          </w:p>
        </w:tc>
        <w:tc>
          <w:tcPr>
            <w:tcW w:w="1134" w:type="dxa"/>
            <w:tcBorders>
              <w:top w:val="nil"/>
              <w:left w:val="nil"/>
              <w:bottom w:val="nil"/>
              <w:right w:val="nil"/>
            </w:tcBorders>
            <w:vAlign w:val="bottom"/>
          </w:tcPr>
          <w:p w14:paraId="5D8C3760" w14:textId="5210E426" w:rsidR="00953130" w:rsidRPr="001D41EA" w:rsidRDefault="00953130" w:rsidP="001D41EA">
            <w:pPr>
              <w:spacing w:before="40" w:after="20"/>
              <w:jc w:val="right"/>
              <w:rPr>
                <w:rFonts w:cs="Arial"/>
                <w:sz w:val="18"/>
                <w:szCs w:val="18"/>
              </w:rPr>
            </w:pPr>
            <w:r w:rsidRPr="001D41EA">
              <w:rPr>
                <w:rFonts w:cs="Arial"/>
                <w:sz w:val="18"/>
                <w:szCs w:val="18"/>
              </w:rPr>
              <w:t>91,387</w:t>
            </w:r>
          </w:p>
        </w:tc>
        <w:tc>
          <w:tcPr>
            <w:tcW w:w="1134" w:type="dxa"/>
            <w:tcBorders>
              <w:top w:val="nil"/>
              <w:left w:val="nil"/>
              <w:bottom w:val="nil"/>
              <w:right w:val="nil"/>
            </w:tcBorders>
            <w:shd w:val="clear" w:color="auto" w:fill="auto"/>
            <w:vAlign w:val="bottom"/>
          </w:tcPr>
          <w:p w14:paraId="67354520" w14:textId="6D0D766B" w:rsidR="00953130" w:rsidRPr="001D41EA" w:rsidRDefault="00953130" w:rsidP="001D41EA">
            <w:pPr>
              <w:spacing w:before="40" w:after="20"/>
              <w:jc w:val="right"/>
              <w:rPr>
                <w:rFonts w:cs="Arial"/>
                <w:sz w:val="18"/>
                <w:szCs w:val="18"/>
              </w:rPr>
            </w:pPr>
            <w:r w:rsidRPr="001D41EA">
              <w:rPr>
                <w:rFonts w:cs="Arial"/>
                <w:sz w:val="18"/>
                <w:szCs w:val="18"/>
              </w:rPr>
              <w:t>16,574</w:t>
            </w:r>
          </w:p>
        </w:tc>
        <w:tc>
          <w:tcPr>
            <w:tcW w:w="1134" w:type="dxa"/>
            <w:tcBorders>
              <w:top w:val="nil"/>
              <w:left w:val="nil"/>
              <w:bottom w:val="nil"/>
              <w:right w:val="nil"/>
            </w:tcBorders>
            <w:shd w:val="clear" w:color="auto" w:fill="auto"/>
            <w:vAlign w:val="bottom"/>
          </w:tcPr>
          <w:p w14:paraId="01A9C202" w14:textId="3884E74D" w:rsidR="00953130" w:rsidRPr="001D41EA" w:rsidRDefault="00953130" w:rsidP="001D41EA">
            <w:pPr>
              <w:spacing w:before="40" w:after="20"/>
              <w:jc w:val="right"/>
              <w:rPr>
                <w:rFonts w:cs="Arial"/>
                <w:sz w:val="18"/>
                <w:szCs w:val="18"/>
              </w:rPr>
            </w:pPr>
            <w:r w:rsidRPr="001D41EA">
              <w:rPr>
                <w:rFonts w:cs="Arial"/>
                <w:sz w:val="18"/>
                <w:szCs w:val="18"/>
              </w:rPr>
              <w:t>37,345</w:t>
            </w:r>
          </w:p>
        </w:tc>
      </w:tr>
      <w:tr w:rsidR="00953130" w:rsidRPr="001D41EA" w14:paraId="5F6090B4"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3BEF5E79" w14:textId="77777777" w:rsidR="00953130" w:rsidRPr="001D41EA" w:rsidRDefault="00953130" w:rsidP="001D41EA">
            <w:pPr>
              <w:spacing w:before="40" w:after="20"/>
              <w:rPr>
                <w:rFonts w:cs="Arial"/>
                <w:sz w:val="18"/>
                <w:szCs w:val="18"/>
              </w:rPr>
            </w:pPr>
            <w:r w:rsidRPr="001D41EA">
              <w:rPr>
                <w:rFonts w:cs="Arial"/>
                <w:sz w:val="18"/>
                <w:szCs w:val="18"/>
              </w:rPr>
              <w:t>Maroondah C</w:t>
            </w:r>
          </w:p>
        </w:tc>
        <w:tc>
          <w:tcPr>
            <w:tcW w:w="1134" w:type="dxa"/>
            <w:tcBorders>
              <w:top w:val="nil"/>
              <w:left w:val="single" w:sz="18" w:space="0" w:color="5F497A" w:themeColor="accent4" w:themeShade="BF"/>
              <w:bottom w:val="nil"/>
              <w:right w:val="nil"/>
            </w:tcBorders>
            <w:shd w:val="clear" w:color="auto" w:fill="auto"/>
            <w:vAlign w:val="bottom"/>
          </w:tcPr>
          <w:p w14:paraId="69080E9D" w14:textId="5DAA3556" w:rsidR="00953130" w:rsidRPr="001D41EA" w:rsidRDefault="00953130" w:rsidP="001D41EA">
            <w:pPr>
              <w:spacing w:before="40" w:after="20"/>
              <w:jc w:val="right"/>
              <w:rPr>
                <w:rFonts w:cs="Arial"/>
                <w:sz w:val="18"/>
                <w:szCs w:val="18"/>
              </w:rPr>
            </w:pPr>
            <w:r w:rsidRPr="001D41EA">
              <w:rPr>
                <w:rFonts w:cs="Arial"/>
                <w:sz w:val="18"/>
                <w:szCs w:val="18"/>
              </w:rPr>
              <w:t>117,498</w:t>
            </w:r>
          </w:p>
        </w:tc>
        <w:tc>
          <w:tcPr>
            <w:tcW w:w="1134" w:type="dxa"/>
            <w:tcBorders>
              <w:top w:val="nil"/>
              <w:left w:val="nil"/>
              <w:bottom w:val="nil"/>
              <w:right w:val="nil"/>
            </w:tcBorders>
            <w:vAlign w:val="bottom"/>
          </w:tcPr>
          <w:p w14:paraId="752581E3" w14:textId="65CCFF34" w:rsidR="00953130" w:rsidRPr="001D41EA" w:rsidRDefault="00953130" w:rsidP="001D41EA">
            <w:pPr>
              <w:spacing w:before="40" w:after="20"/>
              <w:jc w:val="right"/>
              <w:rPr>
                <w:rFonts w:cs="Arial"/>
                <w:sz w:val="18"/>
                <w:szCs w:val="18"/>
              </w:rPr>
            </w:pPr>
            <w:r w:rsidRPr="001D41EA">
              <w:rPr>
                <w:rFonts w:cs="Arial"/>
                <w:sz w:val="18"/>
                <w:szCs w:val="18"/>
              </w:rPr>
              <w:t>117,498</w:t>
            </w:r>
          </w:p>
        </w:tc>
        <w:tc>
          <w:tcPr>
            <w:tcW w:w="1134" w:type="dxa"/>
            <w:tcBorders>
              <w:top w:val="nil"/>
              <w:left w:val="nil"/>
              <w:bottom w:val="nil"/>
              <w:right w:val="nil"/>
            </w:tcBorders>
            <w:vAlign w:val="bottom"/>
          </w:tcPr>
          <w:p w14:paraId="762A37C9" w14:textId="04675B5D" w:rsidR="00953130" w:rsidRPr="001D41EA" w:rsidRDefault="00953130" w:rsidP="001D41EA">
            <w:pPr>
              <w:spacing w:before="40" w:after="20"/>
              <w:jc w:val="right"/>
              <w:rPr>
                <w:rFonts w:cs="Arial"/>
                <w:sz w:val="18"/>
                <w:szCs w:val="18"/>
              </w:rPr>
            </w:pPr>
            <w:r w:rsidRPr="001D41EA">
              <w:rPr>
                <w:rFonts w:cs="Arial"/>
                <w:sz w:val="18"/>
                <w:szCs w:val="18"/>
              </w:rPr>
              <w:t>117,498</w:t>
            </w:r>
          </w:p>
        </w:tc>
        <w:tc>
          <w:tcPr>
            <w:tcW w:w="1134" w:type="dxa"/>
            <w:tcBorders>
              <w:top w:val="nil"/>
              <w:left w:val="nil"/>
              <w:bottom w:val="nil"/>
              <w:right w:val="nil"/>
            </w:tcBorders>
            <w:vAlign w:val="bottom"/>
          </w:tcPr>
          <w:p w14:paraId="3AF4CE09" w14:textId="0C28C0BA" w:rsidR="00953130" w:rsidRPr="001D41EA" w:rsidRDefault="00953130" w:rsidP="001D41EA">
            <w:pPr>
              <w:spacing w:before="40" w:after="20"/>
              <w:jc w:val="right"/>
              <w:rPr>
                <w:rFonts w:cs="Arial"/>
                <w:sz w:val="18"/>
                <w:szCs w:val="18"/>
              </w:rPr>
            </w:pPr>
            <w:r w:rsidRPr="001D41EA">
              <w:rPr>
                <w:rFonts w:cs="Arial"/>
                <w:sz w:val="18"/>
                <w:szCs w:val="18"/>
              </w:rPr>
              <w:t>117,498</w:t>
            </w:r>
          </w:p>
        </w:tc>
        <w:tc>
          <w:tcPr>
            <w:tcW w:w="1134" w:type="dxa"/>
            <w:tcBorders>
              <w:top w:val="nil"/>
              <w:left w:val="nil"/>
              <w:bottom w:val="nil"/>
              <w:right w:val="nil"/>
            </w:tcBorders>
            <w:shd w:val="clear" w:color="auto" w:fill="auto"/>
            <w:vAlign w:val="bottom"/>
          </w:tcPr>
          <w:p w14:paraId="5C9110C0" w14:textId="12764D0E" w:rsidR="00953130" w:rsidRPr="001D41EA" w:rsidRDefault="00953130" w:rsidP="001D41EA">
            <w:pPr>
              <w:spacing w:before="40" w:after="20"/>
              <w:jc w:val="right"/>
              <w:rPr>
                <w:rFonts w:cs="Arial"/>
                <w:sz w:val="18"/>
                <w:szCs w:val="18"/>
              </w:rPr>
            </w:pPr>
            <w:r w:rsidRPr="001D41EA">
              <w:rPr>
                <w:rFonts w:cs="Arial"/>
                <w:sz w:val="18"/>
                <w:szCs w:val="18"/>
              </w:rPr>
              <w:t>30,297</w:t>
            </w:r>
          </w:p>
        </w:tc>
        <w:tc>
          <w:tcPr>
            <w:tcW w:w="1134" w:type="dxa"/>
            <w:tcBorders>
              <w:top w:val="nil"/>
              <w:left w:val="nil"/>
              <w:bottom w:val="nil"/>
              <w:right w:val="nil"/>
            </w:tcBorders>
            <w:shd w:val="clear" w:color="auto" w:fill="auto"/>
            <w:vAlign w:val="bottom"/>
          </w:tcPr>
          <w:p w14:paraId="443C7BA7" w14:textId="5F76CF60" w:rsidR="00953130" w:rsidRPr="001D41EA" w:rsidRDefault="00953130" w:rsidP="001D41EA">
            <w:pPr>
              <w:spacing w:before="40" w:after="20"/>
              <w:jc w:val="right"/>
              <w:rPr>
                <w:rFonts w:cs="Arial"/>
                <w:sz w:val="18"/>
                <w:szCs w:val="18"/>
              </w:rPr>
            </w:pPr>
            <w:r w:rsidRPr="001D41EA">
              <w:rPr>
                <w:rFonts w:cs="Arial"/>
                <w:sz w:val="18"/>
                <w:szCs w:val="18"/>
              </w:rPr>
              <w:t>45,399</w:t>
            </w:r>
          </w:p>
        </w:tc>
      </w:tr>
      <w:tr w:rsidR="00953130" w:rsidRPr="001D41EA" w14:paraId="7B90DC45"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69C3DD5" w14:textId="77777777" w:rsidR="00953130" w:rsidRPr="001D41EA" w:rsidRDefault="00953130" w:rsidP="001D41EA">
            <w:pPr>
              <w:spacing w:before="40" w:after="20"/>
              <w:rPr>
                <w:rFonts w:cs="Arial"/>
                <w:sz w:val="18"/>
                <w:szCs w:val="18"/>
              </w:rPr>
            </w:pPr>
            <w:r w:rsidRPr="001D41EA">
              <w:rPr>
                <w:rFonts w:cs="Arial"/>
                <w:sz w:val="18"/>
                <w:szCs w:val="18"/>
              </w:rPr>
              <w:t>Melbourne C</w:t>
            </w:r>
          </w:p>
        </w:tc>
        <w:tc>
          <w:tcPr>
            <w:tcW w:w="1134" w:type="dxa"/>
            <w:tcBorders>
              <w:top w:val="nil"/>
              <w:left w:val="single" w:sz="18" w:space="0" w:color="5F497A" w:themeColor="accent4" w:themeShade="BF"/>
              <w:bottom w:val="nil"/>
              <w:right w:val="nil"/>
            </w:tcBorders>
            <w:shd w:val="clear" w:color="auto" w:fill="auto"/>
            <w:vAlign w:val="bottom"/>
          </w:tcPr>
          <w:p w14:paraId="02FCD233" w14:textId="6BFE860A" w:rsidR="00953130" w:rsidRPr="001D41EA" w:rsidRDefault="00953130" w:rsidP="001D41EA">
            <w:pPr>
              <w:spacing w:before="40" w:after="20"/>
              <w:jc w:val="right"/>
              <w:rPr>
                <w:rFonts w:cs="Arial"/>
                <w:sz w:val="18"/>
                <w:szCs w:val="18"/>
              </w:rPr>
            </w:pPr>
            <w:r w:rsidRPr="001D41EA">
              <w:rPr>
                <w:rFonts w:cs="Arial"/>
                <w:sz w:val="18"/>
                <w:szCs w:val="18"/>
              </w:rPr>
              <w:t>169,961</w:t>
            </w:r>
          </w:p>
        </w:tc>
        <w:tc>
          <w:tcPr>
            <w:tcW w:w="1134" w:type="dxa"/>
            <w:tcBorders>
              <w:top w:val="nil"/>
              <w:left w:val="nil"/>
              <w:bottom w:val="nil"/>
              <w:right w:val="nil"/>
            </w:tcBorders>
            <w:vAlign w:val="bottom"/>
          </w:tcPr>
          <w:p w14:paraId="38189C62" w14:textId="1E692A9E" w:rsidR="00953130" w:rsidRPr="001D41EA" w:rsidRDefault="00953130" w:rsidP="001D41EA">
            <w:pPr>
              <w:spacing w:before="40" w:after="20"/>
              <w:jc w:val="right"/>
              <w:rPr>
                <w:rFonts w:cs="Arial"/>
                <w:sz w:val="18"/>
                <w:szCs w:val="18"/>
              </w:rPr>
            </w:pPr>
            <w:r w:rsidRPr="001D41EA">
              <w:rPr>
                <w:rFonts w:cs="Arial"/>
                <w:sz w:val="18"/>
                <w:szCs w:val="18"/>
              </w:rPr>
              <w:t>171,761</w:t>
            </w:r>
          </w:p>
        </w:tc>
        <w:tc>
          <w:tcPr>
            <w:tcW w:w="1134" w:type="dxa"/>
            <w:tcBorders>
              <w:top w:val="nil"/>
              <w:left w:val="nil"/>
              <w:bottom w:val="nil"/>
              <w:right w:val="nil"/>
            </w:tcBorders>
            <w:vAlign w:val="bottom"/>
          </w:tcPr>
          <w:p w14:paraId="578D7752" w14:textId="4394A1FA" w:rsidR="00953130" w:rsidRPr="001D41EA" w:rsidRDefault="00953130" w:rsidP="001D41EA">
            <w:pPr>
              <w:spacing w:before="40" w:after="20"/>
              <w:jc w:val="right"/>
              <w:rPr>
                <w:rFonts w:cs="Arial"/>
                <w:sz w:val="18"/>
                <w:szCs w:val="18"/>
              </w:rPr>
            </w:pPr>
            <w:r w:rsidRPr="001D41EA">
              <w:rPr>
                <w:rFonts w:cs="Arial"/>
                <w:sz w:val="18"/>
                <w:szCs w:val="18"/>
              </w:rPr>
              <w:t>171,761</w:t>
            </w:r>
          </w:p>
        </w:tc>
        <w:tc>
          <w:tcPr>
            <w:tcW w:w="1134" w:type="dxa"/>
            <w:tcBorders>
              <w:top w:val="nil"/>
              <w:left w:val="nil"/>
              <w:bottom w:val="nil"/>
              <w:right w:val="nil"/>
            </w:tcBorders>
            <w:vAlign w:val="bottom"/>
          </w:tcPr>
          <w:p w14:paraId="23343BBD" w14:textId="3816BE99" w:rsidR="00953130" w:rsidRPr="001D41EA" w:rsidRDefault="00953130" w:rsidP="001D41EA">
            <w:pPr>
              <w:spacing w:before="40" w:after="20"/>
              <w:jc w:val="right"/>
              <w:rPr>
                <w:rFonts w:cs="Arial"/>
                <w:sz w:val="18"/>
                <w:szCs w:val="18"/>
              </w:rPr>
            </w:pPr>
            <w:r w:rsidRPr="001D41EA">
              <w:rPr>
                <w:rFonts w:cs="Arial"/>
                <w:sz w:val="18"/>
                <w:szCs w:val="18"/>
              </w:rPr>
              <w:t>171,761</w:t>
            </w:r>
          </w:p>
        </w:tc>
        <w:tc>
          <w:tcPr>
            <w:tcW w:w="1134" w:type="dxa"/>
            <w:tcBorders>
              <w:top w:val="nil"/>
              <w:left w:val="nil"/>
              <w:bottom w:val="nil"/>
              <w:right w:val="nil"/>
            </w:tcBorders>
            <w:shd w:val="clear" w:color="auto" w:fill="auto"/>
            <w:vAlign w:val="bottom"/>
          </w:tcPr>
          <w:p w14:paraId="25E48DDD" w14:textId="5B9AD80F" w:rsidR="00953130" w:rsidRPr="001D41EA" w:rsidRDefault="00953130" w:rsidP="001D41EA">
            <w:pPr>
              <w:spacing w:before="40" w:after="20"/>
              <w:jc w:val="right"/>
              <w:rPr>
                <w:rFonts w:cs="Arial"/>
                <w:sz w:val="18"/>
                <w:szCs w:val="18"/>
              </w:rPr>
            </w:pPr>
            <w:r w:rsidRPr="001D41EA">
              <w:rPr>
                <w:rFonts w:cs="Arial"/>
                <w:sz w:val="18"/>
                <w:szCs w:val="18"/>
              </w:rPr>
              <w:t>18,364</w:t>
            </w:r>
          </w:p>
        </w:tc>
        <w:tc>
          <w:tcPr>
            <w:tcW w:w="1134" w:type="dxa"/>
            <w:tcBorders>
              <w:top w:val="nil"/>
              <w:left w:val="nil"/>
              <w:bottom w:val="nil"/>
              <w:right w:val="nil"/>
            </w:tcBorders>
            <w:shd w:val="clear" w:color="auto" w:fill="auto"/>
            <w:vAlign w:val="bottom"/>
          </w:tcPr>
          <w:p w14:paraId="4C2326B5" w14:textId="5E5FA78A" w:rsidR="00953130" w:rsidRPr="001D41EA" w:rsidRDefault="00953130" w:rsidP="001D41EA">
            <w:pPr>
              <w:spacing w:before="40" w:after="20"/>
              <w:jc w:val="right"/>
              <w:rPr>
                <w:rFonts w:cs="Arial"/>
                <w:sz w:val="18"/>
                <w:szCs w:val="18"/>
              </w:rPr>
            </w:pPr>
            <w:r w:rsidRPr="001D41EA">
              <w:rPr>
                <w:rFonts w:cs="Arial"/>
                <w:sz w:val="18"/>
                <w:szCs w:val="18"/>
              </w:rPr>
              <w:t>86,689</w:t>
            </w:r>
          </w:p>
        </w:tc>
      </w:tr>
      <w:tr w:rsidR="00953130" w:rsidRPr="001D41EA" w14:paraId="52BC40D5"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F5F4031" w14:textId="77777777" w:rsidR="00953130" w:rsidRPr="001D41EA" w:rsidRDefault="00953130" w:rsidP="001D41EA">
            <w:pPr>
              <w:spacing w:before="40" w:after="20"/>
              <w:rPr>
                <w:rFonts w:cs="Arial"/>
                <w:sz w:val="18"/>
                <w:szCs w:val="18"/>
              </w:rPr>
            </w:pPr>
            <w:r w:rsidRPr="001D41EA">
              <w:rPr>
                <w:rFonts w:cs="Arial"/>
                <w:sz w:val="18"/>
                <w:szCs w:val="18"/>
              </w:rPr>
              <w:t>Melton C</w:t>
            </w:r>
          </w:p>
        </w:tc>
        <w:tc>
          <w:tcPr>
            <w:tcW w:w="1134" w:type="dxa"/>
            <w:tcBorders>
              <w:top w:val="nil"/>
              <w:left w:val="single" w:sz="18" w:space="0" w:color="5F497A" w:themeColor="accent4" w:themeShade="BF"/>
              <w:bottom w:val="nil"/>
              <w:right w:val="nil"/>
            </w:tcBorders>
            <w:shd w:val="clear" w:color="auto" w:fill="auto"/>
            <w:vAlign w:val="bottom"/>
          </w:tcPr>
          <w:p w14:paraId="042EA532" w14:textId="16AB4F26" w:rsidR="00953130" w:rsidRPr="001D41EA" w:rsidRDefault="00953130" w:rsidP="001D41EA">
            <w:pPr>
              <w:spacing w:before="40" w:after="20"/>
              <w:jc w:val="right"/>
              <w:rPr>
                <w:rFonts w:cs="Arial"/>
                <w:sz w:val="18"/>
                <w:szCs w:val="18"/>
              </w:rPr>
            </w:pPr>
            <w:r w:rsidRPr="001D41EA">
              <w:rPr>
                <w:rFonts w:cs="Arial"/>
                <w:sz w:val="18"/>
                <w:szCs w:val="18"/>
              </w:rPr>
              <w:t>156,713</w:t>
            </w:r>
          </w:p>
        </w:tc>
        <w:tc>
          <w:tcPr>
            <w:tcW w:w="1134" w:type="dxa"/>
            <w:tcBorders>
              <w:top w:val="nil"/>
              <w:left w:val="nil"/>
              <w:bottom w:val="nil"/>
              <w:right w:val="nil"/>
            </w:tcBorders>
            <w:vAlign w:val="bottom"/>
          </w:tcPr>
          <w:p w14:paraId="0C84195A" w14:textId="45081B81" w:rsidR="00953130" w:rsidRPr="001D41EA" w:rsidRDefault="00953130" w:rsidP="001D41EA">
            <w:pPr>
              <w:spacing w:before="40" w:after="20"/>
              <w:jc w:val="right"/>
              <w:rPr>
                <w:rFonts w:cs="Arial"/>
                <w:sz w:val="18"/>
                <w:szCs w:val="18"/>
              </w:rPr>
            </w:pPr>
            <w:r w:rsidRPr="001D41EA">
              <w:rPr>
                <w:rFonts w:cs="Arial"/>
                <w:sz w:val="18"/>
                <w:szCs w:val="18"/>
              </w:rPr>
              <w:t>156,713</w:t>
            </w:r>
          </w:p>
        </w:tc>
        <w:tc>
          <w:tcPr>
            <w:tcW w:w="1134" w:type="dxa"/>
            <w:tcBorders>
              <w:top w:val="nil"/>
              <w:left w:val="nil"/>
              <w:bottom w:val="nil"/>
              <w:right w:val="nil"/>
            </w:tcBorders>
            <w:vAlign w:val="bottom"/>
          </w:tcPr>
          <w:p w14:paraId="270FB088" w14:textId="6313EE44" w:rsidR="00953130" w:rsidRPr="001D41EA" w:rsidRDefault="00953130" w:rsidP="001D41EA">
            <w:pPr>
              <w:spacing w:before="40" w:after="20"/>
              <w:jc w:val="right"/>
              <w:rPr>
                <w:rFonts w:cs="Arial"/>
                <w:sz w:val="18"/>
                <w:szCs w:val="18"/>
              </w:rPr>
            </w:pPr>
            <w:r w:rsidRPr="001D41EA">
              <w:rPr>
                <w:rFonts w:cs="Arial"/>
                <w:sz w:val="18"/>
                <w:szCs w:val="18"/>
              </w:rPr>
              <w:t>156,713</w:t>
            </w:r>
          </w:p>
        </w:tc>
        <w:tc>
          <w:tcPr>
            <w:tcW w:w="1134" w:type="dxa"/>
            <w:tcBorders>
              <w:top w:val="nil"/>
              <w:left w:val="nil"/>
              <w:bottom w:val="nil"/>
              <w:right w:val="nil"/>
            </w:tcBorders>
            <w:vAlign w:val="bottom"/>
          </w:tcPr>
          <w:p w14:paraId="42CD4F49" w14:textId="0EA88EB5" w:rsidR="00953130" w:rsidRPr="001D41EA" w:rsidRDefault="00953130" w:rsidP="001D41EA">
            <w:pPr>
              <w:spacing w:before="40" w:after="20"/>
              <w:jc w:val="right"/>
              <w:rPr>
                <w:rFonts w:cs="Arial"/>
                <w:sz w:val="18"/>
                <w:szCs w:val="18"/>
              </w:rPr>
            </w:pPr>
            <w:r w:rsidRPr="001D41EA">
              <w:rPr>
                <w:rFonts w:cs="Arial"/>
                <w:sz w:val="18"/>
                <w:szCs w:val="18"/>
              </w:rPr>
              <w:t>156,713</w:t>
            </w:r>
          </w:p>
        </w:tc>
        <w:tc>
          <w:tcPr>
            <w:tcW w:w="1134" w:type="dxa"/>
            <w:tcBorders>
              <w:top w:val="nil"/>
              <w:left w:val="nil"/>
              <w:bottom w:val="nil"/>
              <w:right w:val="nil"/>
            </w:tcBorders>
            <w:shd w:val="clear" w:color="auto" w:fill="auto"/>
            <w:vAlign w:val="bottom"/>
          </w:tcPr>
          <w:p w14:paraId="59678932" w14:textId="73776DB9" w:rsidR="00953130" w:rsidRPr="001D41EA" w:rsidRDefault="00953130" w:rsidP="001D41EA">
            <w:pPr>
              <w:spacing w:before="40" w:after="20"/>
              <w:jc w:val="right"/>
              <w:rPr>
                <w:rFonts w:cs="Arial"/>
                <w:sz w:val="18"/>
                <w:szCs w:val="18"/>
              </w:rPr>
            </w:pPr>
            <w:r w:rsidRPr="001D41EA">
              <w:rPr>
                <w:rFonts w:cs="Arial"/>
                <w:sz w:val="18"/>
                <w:szCs w:val="18"/>
              </w:rPr>
              <w:t>29,118</w:t>
            </w:r>
          </w:p>
        </w:tc>
        <w:tc>
          <w:tcPr>
            <w:tcW w:w="1134" w:type="dxa"/>
            <w:tcBorders>
              <w:top w:val="nil"/>
              <w:left w:val="nil"/>
              <w:bottom w:val="nil"/>
              <w:right w:val="nil"/>
            </w:tcBorders>
            <w:shd w:val="clear" w:color="auto" w:fill="auto"/>
            <w:vAlign w:val="bottom"/>
          </w:tcPr>
          <w:p w14:paraId="74072FA8" w14:textId="47B94659" w:rsidR="00953130" w:rsidRPr="001D41EA" w:rsidRDefault="00953130" w:rsidP="001D41EA">
            <w:pPr>
              <w:spacing w:before="40" w:after="20"/>
              <w:jc w:val="right"/>
              <w:rPr>
                <w:rFonts w:cs="Arial"/>
                <w:sz w:val="18"/>
                <w:szCs w:val="18"/>
              </w:rPr>
            </w:pPr>
            <w:r w:rsidRPr="001D41EA">
              <w:rPr>
                <w:rFonts w:cs="Arial"/>
                <w:sz w:val="18"/>
                <w:szCs w:val="18"/>
              </w:rPr>
              <w:t>51,619</w:t>
            </w:r>
          </w:p>
        </w:tc>
      </w:tr>
      <w:tr w:rsidR="00953130" w:rsidRPr="001D41EA" w14:paraId="48C61DDE"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B100E83" w14:textId="77777777" w:rsidR="00953130" w:rsidRPr="001D41EA" w:rsidRDefault="00953130" w:rsidP="001D41EA">
            <w:pPr>
              <w:spacing w:before="40" w:after="20"/>
              <w:rPr>
                <w:rFonts w:cs="Arial"/>
                <w:sz w:val="18"/>
                <w:szCs w:val="18"/>
              </w:rPr>
            </w:pPr>
            <w:r w:rsidRPr="001D41EA">
              <w:rPr>
                <w:rFonts w:cs="Arial"/>
                <w:sz w:val="18"/>
                <w:szCs w:val="18"/>
              </w:rPr>
              <w:t>Mildura RC</w:t>
            </w:r>
          </w:p>
        </w:tc>
        <w:tc>
          <w:tcPr>
            <w:tcW w:w="1134" w:type="dxa"/>
            <w:tcBorders>
              <w:top w:val="nil"/>
              <w:left w:val="single" w:sz="18" w:space="0" w:color="5F497A" w:themeColor="accent4" w:themeShade="BF"/>
              <w:bottom w:val="nil"/>
              <w:right w:val="nil"/>
            </w:tcBorders>
            <w:shd w:val="clear" w:color="auto" w:fill="auto"/>
            <w:vAlign w:val="bottom"/>
          </w:tcPr>
          <w:p w14:paraId="520976FA" w14:textId="29CC8CCA" w:rsidR="00953130" w:rsidRPr="001D41EA" w:rsidRDefault="00953130" w:rsidP="001D41EA">
            <w:pPr>
              <w:spacing w:before="40" w:after="20"/>
              <w:jc w:val="right"/>
              <w:rPr>
                <w:rFonts w:cs="Arial"/>
                <w:sz w:val="18"/>
                <w:szCs w:val="18"/>
              </w:rPr>
            </w:pPr>
            <w:r w:rsidRPr="001D41EA">
              <w:rPr>
                <w:rFonts w:cs="Arial"/>
                <w:sz w:val="18"/>
                <w:szCs w:val="18"/>
              </w:rPr>
              <w:t>55,515</w:t>
            </w:r>
          </w:p>
        </w:tc>
        <w:tc>
          <w:tcPr>
            <w:tcW w:w="1134" w:type="dxa"/>
            <w:tcBorders>
              <w:top w:val="nil"/>
              <w:left w:val="nil"/>
              <w:bottom w:val="nil"/>
              <w:right w:val="nil"/>
            </w:tcBorders>
            <w:vAlign w:val="bottom"/>
          </w:tcPr>
          <w:p w14:paraId="50264849" w14:textId="2741EDA9" w:rsidR="00953130" w:rsidRPr="001D41EA" w:rsidRDefault="00953130" w:rsidP="001D41EA">
            <w:pPr>
              <w:spacing w:before="40" w:after="20"/>
              <w:jc w:val="right"/>
              <w:rPr>
                <w:rFonts w:cs="Arial"/>
                <w:sz w:val="18"/>
                <w:szCs w:val="18"/>
              </w:rPr>
            </w:pPr>
            <w:r w:rsidRPr="001D41EA">
              <w:rPr>
                <w:rFonts w:cs="Arial"/>
                <w:sz w:val="18"/>
                <w:szCs w:val="18"/>
              </w:rPr>
              <w:t>55,515</w:t>
            </w:r>
          </w:p>
        </w:tc>
        <w:tc>
          <w:tcPr>
            <w:tcW w:w="1134" w:type="dxa"/>
            <w:tcBorders>
              <w:top w:val="nil"/>
              <w:left w:val="nil"/>
              <w:bottom w:val="nil"/>
              <w:right w:val="nil"/>
            </w:tcBorders>
            <w:vAlign w:val="bottom"/>
          </w:tcPr>
          <w:p w14:paraId="732958B5" w14:textId="274742CA" w:rsidR="00953130" w:rsidRPr="001D41EA" w:rsidRDefault="00953130" w:rsidP="001D41EA">
            <w:pPr>
              <w:spacing w:before="40" w:after="20"/>
              <w:jc w:val="right"/>
              <w:rPr>
                <w:rFonts w:cs="Arial"/>
                <w:sz w:val="18"/>
                <w:szCs w:val="18"/>
              </w:rPr>
            </w:pPr>
            <w:r w:rsidRPr="001D41EA">
              <w:rPr>
                <w:rFonts w:cs="Arial"/>
                <w:sz w:val="18"/>
                <w:szCs w:val="18"/>
              </w:rPr>
              <w:t>55,515</w:t>
            </w:r>
          </w:p>
        </w:tc>
        <w:tc>
          <w:tcPr>
            <w:tcW w:w="1134" w:type="dxa"/>
            <w:tcBorders>
              <w:top w:val="nil"/>
              <w:left w:val="nil"/>
              <w:bottom w:val="nil"/>
              <w:right w:val="nil"/>
            </w:tcBorders>
            <w:vAlign w:val="bottom"/>
          </w:tcPr>
          <w:p w14:paraId="67AFEED6" w14:textId="73DA036A" w:rsidR="00953130" w:rsidRPr="001D41EA" w:rsidRDefault="00953130" w:rsidP="001D41EA">
            <w:pPr>
              <w:spacing w:before="40" w:after="20"/>
              <w:jc w:val="right"/>
              <w:rPr>
                <w:rFonts w:cs="Arial"/>
                <w:sz w:val="18"/>
                <w:szCs w:val="18"/>
              </w:rPr>
            </w:pPr>
            <w:r w:rsidRPr="001D41EA">
              <w:rPr>
                <w:rFonts w:cs="Arial"/>
                <w:sz w:val="18"/>
                <w:szCs w:val="18"/>
              </w:rPr>
              <w:t>55,515</w:t>
            </w:r>
          </w:p>
        </w:tc>
        <w:tc>
          <w:tcPr>
            <w:tcW w:w="1134" w:type="dxa"/>
            <w:tcBorders>
              <w:top w:val="nil"/>
              <w:left w:val="nil"/>
              <w:bottom w:val="nil"/>
              <w:right w:val="nil"/>
            </w:tcBorders>
            <w:shd w:val="clear" w:color="auto" w:fill="auto"/>
            <w:vAlign w:val="bottom"/>
          </w:tcPr>
          <w:p w14:paraId="636A6B2C" w14:textId="0DC1F704" w:rsidR="00953130" w:rsidRPr="001D41EA" w:rsidRDefault="00953130" w:rsidP="001D41EA">
            <w:pPr>
              <w:spacing w:before="40" w:after="20"/>
              <w:jc w:val="right"/>
              <w:rPr>
                <w:rFonts w:cs="Arial"/>
                <w:sz w:val="18"/>
                <w:szCs w:val="18"/>
              </w:rPr>
            </w:pPr>
            <w:r w:rsidRPr="001D41EA">
              <w:rPr>
                <w:rFonts w:cs="Arial"/>
                <w:sz w:val="18"/>
                <w:szCs w:val="18"/>
              </w:rPr>
              <w:t>18,508</w:t>
            </w:r>
          </w:p>
        </w:tc>
        <w:tc>
          <w:tcPr>
            <w:tcW w:w="1134" w:type="dxa"/>
            <w:tcBorders>
              <w:top w:val="nil"/>
              <w:left w:val="nil"/>
              <w:bottom w:val="nil"/>
              <w:right w:val="nil"/>
            </w:tcBorders>
            <w:shd w:val="clear" w:color="auto" w:fill="auto"/>
            <w:vAlign w:val="bottom"/>
          </w:tcPr>
          <w:p w14:paraId="049E5240" w14:textId="652E1185" w:rsidR="00953130" w:rsidRPr="001D41EA" w:rsidRDefault="00953130" w:rsidP="001D41EA">
            <w:pPr>
              <w:spacing w:before="40" w:after="20"/>
              <w:jc w:val="right"/>
              <w:rPr>
                <w:rFonts w:cs="Arial"/>
                <w:sz w:val="18"/>
                <w:szCs w:val="18"/>
              </w:rPr>
            </w:pPr>
            <w:r w:rsidRPr="001D41EA">
              <w:rPr>
                <w:rFonts w:cs="Arial"/>
                <w:sz w:val="18"/>
                <w:szCs w:val="18"/>
              </w:rPr>
              <w:t>24,442</w:t>
            </w:r>
          </w:p>
        </w:tc>
      </w:tr>
      <w:tr w:rsidR="00953130" w:rsidRPr="001D41EA" w14:paraId="65AE86A6"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374A576" w14:textId="77777777" w:rsidR="00953130" w:rsidRPr="001D41EA" w:rsidRDefault="00953130" w:rsidP="001D41EA">
            <w:pPr>
              <w:spacing w:before="40" w:after="20"/>
              <w:rPr>
                <w:rFonts w:cs="Arial"/>
                <w:sz w:val="18"/>
                <w:szCs w:val="18"/>
              </w:rPr>
            </w:pPr>
            <w:r w:rsidRPr="001D41EA">
              <w:rPr>
                <w:rFonts w:cs="Arial"/>
                <w:sz w:val="18"/>
                <w:szCs w:val="18"/>
              </w:rPr>
              <w:t>Mitchell S</w:t>
            </w:r>
          </w:p>
        </w:tc>
        <w:tc>
          <w:tcPr>
            <w:tcW w:w="1134" w:type="dxa"/>
            <w:tcBorders>
              <w:top w:val="nil"/>
              <w:left w:val="single" w:sz="18" w:space="0" w:color="5F497A" w:themeColor="accent4" w:themeShade="BF"/>
              <w:bottom w:val="nil"/>
              <w:right w:val="nil"/>
            </w:tcBorders>
            <w:shd w:val="clear" w:color="auto" w:fill="auto"/>
            <w:vAlign w:val="bottom"/>
          </w:tcPr>
          <w:p w14:paraId="5CFC9B93" w14:textId="3362F695" w:rsidR="00953130" w:rsidRPr="001D41EA" w:rsidRDefault="00953130" w:rsidP="001D41EA">
            <w:pPr>
              <w:spacing w:before="40" w:after="20"/>
              <w:jc w:val="right"/>
              <w:rPr>
                <w:rFonts w:cs="Arial"/>
                <w:sz w:val="18"/>
                <w:szCs w:val="18"/>
              </w:rPr>
            </w:pPr>
            <w:r w:rsidRPr="001D41EA">
              <w:rPr>
                <w:rFonts w:cs="Arial"/>
                <w:sz w:val="18"/>
                <w:szCs w:val="18"/>
              </w:rPr>
              <w:t>44,299</w:t>
            </w:r>
          </w:p>
        </w:tc>
        <w:tc>
          <w:tcPr>
            <w:tcW w:w="1134" w:type="dxa"/>
            <w:tcBorders>
              <w:top w:val="nil"/>
              <w:left w:val="nil"/>
              <w:bottom w:val="nil"/>
              <w:right w:val="nil"/>
            </w:tcBorders>
            <w:vAlign w:val="bottom"/>
          </w:tcPr>
          <w:p w14:paraId="61E92C0B" w14:textId="769A6EBE" w:rsidR="00953130" w:rsidRPr="001D41EA" w:rsidRDefault="00953130" w:rsidP="001D41EA">
            <w:pPr>
              <w:spacing w:before="40" w:after="20"/>
              <w:jc w:val="right"/>
              <w:rPr>
                <w:rFonts w:cs="Arial"/>
                <w:sz w:val="18"/>
                <w:szCs w:val="18"/>
              </w:rPr>
            </w:pPr>
            <w:r w:rsidRPr="001D41EA">
              <w:rPr>
                <w:rFonts w:cs="Arial"/>
                <w:sz w:val="18"/>
                <w:szCs w:val="18"/>
              </w:rPr>
              <w:t>44,299</w:t>
            </w:r>
          </w:p>
        </w:tc>
        <w:tc>
          <w:tcPr>
            <w:tcW w:w="1134" w:type="dxa"/>
            <w:tcBorders>
              <w:top w:val="nil"/>
              <w:left w:val="nil"/>
              <w:bottom w:val="nil"/>
              <w:right w:val="nil"/>
            </w:tcBorders>
            <w:vAlign w:val="bottom"/>
          </w:tcPr>
          <w:p w14:paraId="024C37B0" w14:textId="1D976D35" w:rsidR="00953130" w:rsidRPr="001D41EA" w:rsidRDefault="00953130" w:rsidP="001D41EA">
            <w:pPr>
              <w:spacing w:before="40" w:after="20"/>
              <w:jc w:val="right"/>
              <w:rPr>
                <w:rFonts w:cs="Arial"/>
                <w:sz w:val="18"/>
                <w:szCs w:val="18"/>
              </w:rPr>
            </w:pPr>
            <w:r w:rsidRPr="001D41EA">
              <w:rPr>
                <w:rFonts w:cs="Arial"/>
                <w:sz w:val="18"/>
                <w:szCs w:val="18"/>
              </w:rPr>
              <w:t>44,299</w:t>
            </w:r>
          </w:p>
        </w:tc>
        <w:tc>
          <w:tcPr>
            <w:tcW w:w="1134" w:type="dxa"/>
            <w:tcBorders>
              <w:top w:val="nil"/>
              <w:left w:val="nil"/>
              <w:bottom w:val="nil"/>
              <w:right w:val="nil"/>
            </w:tcBorders>
            <w:vAlign w:val="bottom"/>
          </w:tcPr>
          <w:p w14:paraId="494B9370" w14:textId="5545393C" w:rsidR="00953130" w:rsidRPr="001D41EA" w:rsidRDefault="00953130" w:rsidP="001D41EA">
            <w:pPr>
              <w:spacing w:before="40" w:after="20"/>
              <w:jc w:val="right"/>
              <w:rPr>
                <w:rFonts w:cs="Arial"/>
                <w:sz w:val="18"/>
                <w:szCs w:val="18"/>
              </w:rPr>
            </w:pPr>
            <w:r w:rsidRPr="001D41EA">
              <w:rPr>
                <w:rFonts w:cs="Arial"/>
                <w:sz w:val="18"/>
                <w:szCs w:val="18"/>
              </w:rPr>
              <w:t>44,299</w:t>
            </w:r>
          </w:p>
        </w:tc>
        <w:tc>
          <w:tcPr>
            <w:tcW w:w="1134" w:type="dxa"/>
            <w:tcBorders>
              <w:top w:val="nil"/>
              <w:left w:val="nil"/>
              <w:bottom w:val="nil"/>
              <w:right w:val="nil"/>
            </w:tcBorders>
            <w:shd w:val="clear" w:color="auto" w:fill="auto"/>
            <w:vAlign w:val="bottom"/>
          </w:tcPr>
          <w:p w14:paraId="736409AC" w14:textId="5BB1885D" w:rsidR="00953130" w:rsidRPr="001D41EA" w:rsidRDefault="00953130" w:rsidP="001D41EA">
            <w:pPr>
              <w:spacing w:before="40" w:after="20"/>
              <w:jc w:val="right"/>
              <w:rPr>
                <w:rFonts w:cs="Arial"/>
                <w:sz w:val="18"/>
                <w:szCs w:val="18"/>
              </w:rPr>
            </w:pPr>
            <w:r w:rsidRPr="001D41EA">
              <w:rPr>
                <w:rFonts w:cs="Arial"/>
                <w:sz w:val="18"/>
                <w:szCs w:val="18"/>
              </w:rPr>
              <w:t>11,607</w:t>
            </w:r>
          </w:p>
        </w:tc>
        <w:tc>
          <w:tcPr>
            <w:tcW w:w="1134" w:type="dxa"/>
            <w:tcBorders>
              <w:top w:val="nil"/>
              <w:left w:val="nil"/>
              <w:bottom w:val="nil"/>
              <w:right w:val="nil"/>
            </w:tcBorders>
            <w:shd w:val="clear" w:color="auto" w:fill="auto"/>
            <w:vAlign w:val="bottom"/>
          </w:tcPr>
          <w:p w14:paraId="5FD41174" w14:textId="44C94242" w:rsidR="00953130" w:rsidRPr="001D41EA" w:rsidRDefault="00953130" w:rsidP="001D41EA">
            <w:pPr>
              <w:spacing w:before="40" w:after="20"/>
              <w:jc w:val="right"/>
              <w:rPr>
                <w:rFonts w:cs="Arial"/>
                <w:sz w:val="18"/>
                <w:szCs w:val="18"/>
              </w:rPr>
            </w:pPr>
            <w:r w:rsidRPr="001D41EA">
              <w:rPr>
                <w:rFonts w:cs="Arial"/>
                <w:sz w:val="18"/>
                <w:szCs w:val="18"/>
              </w:rPr>
              <w:t>17,331</w:t>
            </w:r>
          </w:p>
        </w:tc>
      </w:tr>
      <w:tr w:rsidR="00953130" w:rsidRPr="001D41EA" w14:paraId="570493EA"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37083A4" w14:textId="77777777" w:rsidR="00953130" w:rsidRPr="001D41EA" w:rsidRDefault="00953130" w:rsidP="001D41EA">
            <w:pPr>
              <w:spacing w:before="40" w:after="20"/>
              <w:rPr>
                <w:rFonts w:cs="Arial"/>
                <w:sz w:val="18"/>
                <w:szCs w:val="18"/>
              </w:rPr>
            </w:pPr>
            <w:r w:rsidRPr="001D41EA">
              <w:rPr>
                <w:rFonts w:cs="Arial"/>
                <w:sz w:val="18"/>
                <w:szCs w:val="18"/>
              </w:rPr>
              <w:t>Moira S</w:t>
            </w:r>
          </w:p>
        </w:tc>
        <w:tc>
          <w:tcPr>
            <w:tcW w:w="1134" w:type="dxa"/>
            <w:tcBorders>
              <w:top w:val="nil"/>
              <w:left w:val="single" w:sz="18" w:space="0" w:color="5F497A" w:themeColor="accent4" w:themeShade="BF"/>
              <w:bottom w:val="nil"/>
              <w:right w:val="nil"/>
            </w:tcBorders>
            <w:shd w:val="clear" w:color="auto" w:fill="auto"/>
            <w:vAlign w:val="bottom"/>
          </w:tcPr>
          <w:p w14:paraId="3E7715A7" w14:textId="77FFBC15" w:rsidR="00953130" w:rsidRPr="001D41EA" w:rsidRDefault="00953130" w:rsidP="001D41EA">
            <w:pPr>
              <w:spacing w:before="40" w:after="20"/>
              <w:jc w:val="right"/>
              <w:rPr>
                <w:rFonts w:cs="Arial"/>
                <w:sz w:val="18"/>
                <w:szCs w:val="18"/>
              </w:rPr>
            </w:pPr>
            <w:r w:rsidRPr="001D41EA">
              <w:rPr>
                <w:rFonts w:cs="Arial"/>
                <w:sz w:val="18"/>
                <w:szCs w:val="18"/>
              </w:rPr>
              <w:t>29,799</w:t>
            </w:r>
          </w:p>
        </w:tc>
        <w:tc>
          <w:tcPr>
            <w:tcW w:w="1134" w:type="dxa"/>
            <w:tcBorders>
              <w:top w:val="nil"/>
              <w:left w:val="nil"/>
              <w:bottom w:val="nil"/>
              <w:right w:val="nil"/>
            </w:tcBorders>
            <w:vAlign w:val="bottom"/>
          </w:tcPr>
          <w:p w14:paraId="798670DF" w14:textId="28DF773A" w:rsidR="00953130" w:rsidRPr="001D41EA" w:rsidRDefault="00953130" w:rsidP="001D41EA">
            <w:pPr>
              <w:spacing w:before="40" w:after="20"/>
              <w:jc w:val="right"/>
              <w:rPr>
                <w:rFonts w:cs="Arial"/>
                <w:sz w:val="18"/>
                <w:szCs w:val="18"/>
              </w:rPr>
            </w:pPr>
            <w:r w:rsidRPr="001D41EA">
              <w:rPr>
                <w:rFonts w:cs="Arial"/>
                <w:sz w:val="18"/>
                <w:szCs w:val="18"/>
              </w:rPr>
              <w:t>30,439</w:t>
            </w:r>
          </w:p>
        </w:tc>
        <w:tc>
          <w:tcPr>
            <w:tcW w:w="1134" w:type="dxa"/>
            <w:tcBorders>
              <w:top w:val="nil"/>
              <w:left w:val="nil"/>
              <w:bottom w:val="nil"/>
              <w:right w:val="nil"/>
            </w:tcBorders>
            <w:vAlign w:val="bottom"/>
          </w:tcPr>
          <w:p w14:paraId="63084DDC" w14:textId="1FEDC0D1" w:rsidR="00953130" w:rsidRPr="001D41EA" w:rsidRDefault="00953130" w:rsidP="001D41EA">
            <w:pPr>
              <w:spacing w:before="40" w:after="20"/>
              <w:jc w:val="right"/>
              <w:rPr>
                <w:rFonts w:cs="Arial"/>
                <w:sz w:val="18"/>
                <w:szCs w:val="18"/>
              </w:rPr>
            </w:pPr>
            <w:r w:rsidRPr="001D41EA">
              <w:rPr>
                <w:rFonts w:cs="Arial"/>
                <w:sz w:val="18"/>
                <w:szCs w:val="18"/>
              </w:rPr>
              <w:t>30,439</w:t>
            </w:r>
          </w:p>
        </w:tc>
        <w:tc>
          <w:tcPr>
            <w:tcW w:w="1134" w:type="dxa"/>
            <w:tcBorders>
              <w:top w:val="nil"/>
              <w:left w:val="nil"/>
              <w:bottom w:val="nil"/>
              <w:right w:val="nil"/>
            </w:tcBorders>
            <w:vAlign w:val="bottom"/>
          </w:tcPr>
          <w:p w14:paraId="35A5069C" w14:textId="7F0AD61B" w:rsidR="00953130" w:rsidRPr="001D41EA" w:rsidRDefault="00953130" w:rsidP="001D41EA">
            <w:pPr>
              <w:spacing w:before="40" w:after="20"/>
              <w:jc w:val="right"/>
              <w:rPr>
                <w:rFonts w:cs="Arial"/>
                <w:sz w:val="18"/>
                <w:szCs w:val="18"/>
              </w:rPr>
            </w:pPr>
            <w:r w:rsidRPr="001D41EA">
              <w:rPr>
                <w:rFonts w:cs="Arial"/>
                <w:sz w:val="18"/>
                <w:szCs w:val="18"/>
              </w:rPr>
              <w:t>30,439</w:t>
            </w:r>
          </w:p>
        </w:tc>
        <w:tc>
          <w:tcPr>
            <w:tcW w:w="1134" w:type="dxa"/>
            <w:tcBorders>
              <w:top w:val="nil"/>
              <w:left w:val="nil"/>
              <w:bottom w:val="nil"/>
              <w:right w:val="nil"/>
            </w:tcBorders>
            <w:shd w:val="clear" w:color="auto" w:fill="auto"/>
            <w:vAlign w:val="bottom"/>
          </w:tcPr>
          <w:p w14:paraId="16FB6238" w14:textId="5DC4D540" w:rsidR="00953130" w:rsidRPr="001D41EA" w:rsidRDefault="00953130" w:rsidP="001D41EA">
            <w:pPr>
              <w:spacing w:before="40" w:after="20"/>
              <w:jc w:val="right"/>
              <w:rPr>
                <w:rFonts w:cs="Arial"/>
                <w:sz w:val="18"/>
                <w:szCs w:val="18"/>
              </w:rPr>
            </w:pPr>
            <w:r w:rsidRPr="001D41EA">
              <w:rPr>
                <w:rFonts w:cs="Arial"/>
                <w:sz w:val="18"/>
                <w:szCs w:val="18"/>
              </w:rPr>
              <w:t>11,951</w:t>
            </w:r>
          </w:p>
        </w:tc>
        <w:tc>
          <w:tcPr>
            <w:tcW w:w="1134" w:type="dxa"/>
            <w:tcBorders>
              <w:top w:val="nil"/>
              <w:left w:val="nil"/>
              <w:bottom w:val="nil"/>
              <w:right w:val="nil"/>
            </w:tcBorders>
            <w:shd w:val="clear" w:color="auto" w:fill="auto"/>
            <w:vAlign w:val="bottom"/>
          </w:tcPr>
          <w:p w14:paraId="44F3C620" w14:textId="6335D370" w:rsidR="00953130" w:rsidRPr="001D41EA" w:rsidRDefault="00953130" w:rsidP="001D41EA">
            <w:pPr>
              <w:spacing w:before="40" w:after="20"/>
              <w:jc w:val="right"/>
              <w:rPr>
                <w:rFonts w:cs="Arial"/>
                <w:sz w:val="18"/>
                <w:szCs w:val="18"/>
              </w:rPr>
            </w:pPr>
            <w:r w:rsidRPr="001D41EA">
              <w:rPr>
                <w:rFonts w:cs="Arial"/>
                <w:sz w:val="18"/>
                <w:szCs w:val="18"/>
              </w:rPr>
              <w:t>13,987</w:t>
            </w:r>
          </w:p>
        </w:tc>
      </w:tr>
      <w:tr w:rsidR="00953130" w:rsidRPr="001D41EA" w14:paraId="7A4E6CED"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5AB4D20" w14:textId="77777777" w:rsidR="00953130" w:rsidRPr="001D41EA" w:rsidRDefault="00953130" w:rsidP="001D41EA">
            <w:pPr>
              <w:spacing w:before="40" w:after="20"/>
              <w:rPr>
                <w:rFonts w:cs="Arial"/>
                <w:sz w:val="18"/>
                <w:szCs w:val="18"/>
              </w:rPr>
            </w:pPr>
            <w:r w:rsidRPr="001D41EA">
              <w:rPr>
                <w:rFonts w:cs="Arial"/>
                <w:sz w:val="18"/>
                <w:szCs w:val="18"/>
              </w:rPr>
              <w:t>Monash C</w:t>
            </w:r>
          </w:p>
        </w:tc>
        <w:tc>
          <w:tcPr>
            <w:tcW w:w="1134" w:type="dxa"/>
            <w:tcBorders>
              <w:top w:val="nil"/>
              <w:left w:val="single" w:sz="18" w:space="0" w:color="5F497A" w:themeColor="accent4" w:themeShade="BF"/>
              <w:bottom w:val="nil"/>
              <w:right w:val="nil"/>
            </w:tcBorders>
            <w:shd w:val="clear" w:color="auto" w:fill="auto"/>
            <w:vAlign w:val="bottom"/>
          </w:tcPr>
          <w:p w14:paraId="77BAABA6" w14:textId="22FD4BB4" w:rsidR="00953130" w:rsidRPr="001D41EA" w:rsidRDefault="00953130" w:rsidP="001D41EA">
            <w:pPr>
              <w:spacing w:before="40" w:after="20"/>
              <w:jc w:val="right"/>
              <w:rPr>
                <w:rFonts w:cs="Arial"/>
                <w:sz w:val="18"/>
                <w:szCs w:val="18"/>
              </w:rPr>
            </w:pPr>
            <w:r w:rsidRPr="001D41EA">
              <w:rPr>
                <w:rFonts w:cs="Arial"/>
                <w:sz w:val="18"/>
                <w:szCs w:val="18"/>
              </w:rPr>
              <w:t>200,077</w:t>
            </w:r>
          </w:p>
        </w:tc>
        <w:tc>
          <w:tcPr>
            <w:tcW w:w="1134" w:type="dxa"/>
            <w:tcBorders>
              <w:top w:val="nil"/>
              <w:left w:val="nil"/>
              <w:bottom w:val="nil"/>
              <w:right w:val="nil"/>
            </w:tcBorders>
            <w:vAlign w:val="bottom"/>
          </w:tcPr>
          <w:p w14:paraId="4F57F624" w14:textId="6A4DEDF6" w:rsidR="00953130" w:rsidRPr="001D41EA" w:rsidRDefault="00953130" w:rsidP="001D41EA">
            <w:pPr>
              <w:spacing w:before="40" w:after="20"/>
              <w:jc w:val="right"/>
              <w:rPr>
                <w:rFonts w:cs="Arial"/>
                <w:sz w:val="18"/>
                <w:szCs w:val="18"/>
              </w:rPr>
            </w:pPr>
            <w:r w:rsidRPr="001D41EA">
              <w:rPr>
                <w:rFonts w:cs="Arial"/>
                <w:sz w:val="18"/>
                <w:szCs w:val="18"/>
              </w:rPr>
              <w:t>200,077</w:t>
            </w:r>
          </w:p>
        </w:tc>
        <w:tc>
          <w:tcPr>
            <w:tcW w:w="1134" w:type="dxa"/>
            <w:tcBorders>
              <w:top w:val="nil"/>
              <w:left w:val="nil"/>
              <w:bottom w:val="nil"/>
              <w:right w:val="nil"/>
            </w:tcBorders>
            <w:vAlign w:val="bottom"/>
          </w:tcPr>
          <w:p w14:paraId="1D8E6860" w14:textId="4AAEF1B3" w:rsidR="00953130" w:rsidRPr="001D41EA" w:rsidRDefault="00953130" w:rsidP="001D41EA">
            <w:pPr>
              <w:spacing w:before="40" w:after="20"/>
              <w:jc w:val="right"/>
              <w:rPr>
                <w:rFonts w:cs="Arial"/>
                <w:sz w:val="18"/>
                <w:szCs w:val="18"/>
              </w:rPr>
            </w:pPr>
            <w:r w:rsidRPr="001D41EA">
              <w:rPr>
                <w:rFonts w:cs="Arial"/>
                <w:sz w:val="18"/>
                <w:szCs w:val="18"/>
              </w:rPr>
              <w:t>200,077</w:t>
            </w:r>
          </w:p>
        </w:tc>
        <w:tc>
          <w:tcPr>
            <w:tcW w:w="1134" w:type="dxa"/>
            <w:tcBorders>
              <w:top w:val="nil"/>
              <w:left w:val="nil"/>
              <w:bottom w:val="nil"/>
              <w:right w:val="nil"/>
            </w:tcBorders>
            <w:vAlign w:val="bottom"/>
          </w:tcPr>
          <w:p w14:paraId="7C8AA036" w14:textId="347B391E" w:rsidR="00953130" w:rsidRPr="001D41EA" w:rsidRDefault="00953130" w:rsidP="001D41EA">
            <w:pPr>
              <w:spacing w:before="40" w:after="20"/>
              <w:jc w:val="right"/>
              <w:rPr>
                <w:rFonts w:cs="Arial"/>
                <w:sz w:val="18"/>
                <w:szCs w:val="18"/>
              </w:rPr>
            </w:pPr>
            <w:r w:rsidRPr="001D41EA">
              <w:rPr>
                <w:rFonts w:cs="Arial"/>
                <w:sz w:val="18"/>
                <w:szCs w:val="18"/>
              </w:rPr>
              <w:t>200,077</w:t>
            </w:r>
          </w:p>
        </w:tc>
        <w:tc>
          <w:tcPr>
            <w:tcW w:w="1134" w:type="dxa"/>
            <w:tcBorders>
              <w:top w:val="nil"/>
              <w:left w:val="nil"/>
              <w:bottom w:val="nil"/>
              <w:right w:val="nil"/>
            </w:tcBorders>
            <w:shd w:val="clear" w:color="auto" w:fill="auto"/>
            <w:vAlign w:val="bottom"/>
          </w:tcPr>
          <w:p w14:paraId="6D312F5A" w14:textId="764B0C9C" w:rsidR="00953130" w:rsidRPr="001D41EA" w:rsidRDefault="00953130" w:rsidP="001D41EA">
            <w:pPr>
              <w:spacing w:before="40" w:after="20"/>
              <w:jc w:val="right"/>
              <w:rPr>
                <w:rFonts w:cs="Arial"/>
                <w:sz w:val="18"/>
                <w:szCs w:val="18"/>
              </w:rPr>
            </w:pPr>
            <w:r w:rsidRPr="001D41EA">
              <w:rPr>
                <w:rFonts w:cs="Arial"/>
                <w:sz w:val="18"/>
                <w:szCs w:val="18"/>
              </w:rPr>
              <w:t>49,251</w:t>
            </w:r>
          </w:p>
        </w:tc>
        <w:tc>
          <w:tcPr>
            <w:tcW w:w="1134" w:type="dxa"/>
            <w:tcBorders>
              <w:top w:val="nil"/>
              <w:left w:val="nil"/>
              <w:bottom w:val="nil"/>
              <w:right w:val="nil"/>
            </w:tcBorders>
            <w:shd w:val="clear" w:color="auto" w:fill="auto"/>
            <w:vAlign w:val="bottom"/>
          </w:tcPr>
          <w:p w14:paraId="12F273BA" w14:textId="382FBF46" w:rsidR="00953130" w:rsidRPr="001D41EA" w:rsidRDefault="00953130" w:rsidP="001D41EA">
            <w:pPr>
              <w:spacing w:before="40" w:after="20"/>
              <w:jc w:val="right"/>
              <w:rPr>
                <w:rFonts w:cs="Arial"/>
                <w:sz w:val="18"/>
                <w:szCs w:val="18"/>
              </w:rPr>
            </w:pPr>
            <w:r w:rsidRPr="001D41EA">
              <w:rPr>
                <w:rFonts w:cs="Arial"/>
                <w:sz w:val="18"/>
                <w:szCs w:val="18"/>
              </w:rPr>
              <w:t>73,153</w:t>
            </w:r>
          </w:p>
        </w:tc>
      </w:tr>
      <w:tr w:rsidR="00953130" w:rsidRPr="001D41EA" w14:paraId="64A86CB7"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B5AF71" w14:textId="77777777" w:rsidR="00953130" w:rsidRPr="001D41EA" w:rsidRDefault="00953130" w:rsidP="001D41EA">
            <w:pPr>
              <w:spacing w:before="40" w:after="20"/>
              <w:rPr>
                <w:rFonts w:cs="Arial"/>
                <w:sz w:val="18"/>
                <w:szCs w:val="18"/>
              </w:rPr>
            </w:pPr>
            <w:r w:rsidRPr="001D41EA">
              <w:rPr>
                <w:rFonts w:cs="Arial"/>
                <w:sz w:val="18"/>
                <w:szCs w:val="18"/>
              </w:rPr>
              <w:t>Moonee Valley C</w:t>
            </w:r>
          </w:p>
        </w:tc>
        <w:tc>
          <w:tcPr>
            <w:tcW w:w="1134" w:type="dxa"/>
            <w:tcBorders>
              <w:top w:val="nil"/>
              <w:left w:val="single" w:sz="18" w:space="0" w:color="5F497A" w:themeColor="accent4" w:themeShade="BF"/>
              <w:bottom w:val="nil"/>
              <w:right w:val="nil"/>
            </w:tcBorders>
            <w:shd w:val="clear" w:color="auto" w:fill="auto"/>
            <w:vAlign w:val="bottom"/>
          </w:tcPr>
          <w:p w14:paraId="2E1858E5" w14:textId="1AC9AAFC" w:rsidR="00953130" w:rsidRPr="001D41EA" w:rsidRDefault="00953130" w:rsidP="001D41EA">
            <w:pPr>
              <w:spacing w:before="40" w:after="20"/>
              <w:jc w:val="right"/>
              <w:rPr>
                <w:rFonts w:cs="Arial"/>
                <w:sz w:val="18"/>
                <w:szCs w:val="18"/>
              </w:rPr>
            </w:pPr>
            <w:r w:rsidRPr="001D41EA">
              <w:rPr>
                <w:rFonts w:cs="Arial"/>
                <w:sz w:val="18"/>
                <w:szCs w:val="18"/>
              </w:rPr>
              <w:t>127,883</w:t>
            </w:r>
          </w:p>
        </w:tc>
        <w:tc>
          <w:tcPr>
            <w:tcW w:w="1134" w:type="dxa"/>
            <w:tcBorders>
              <w:top w:val="nil"/>
              <w:left w:val="nil"/>
              <w:bottom w:val="nil"/>
              <w:right w:val="nil"/>
            </w:tcBorders>
            <w:vAlign w:val="bottom"/>
          </w:tcPr>
          <w:p w14:paraId="771710AC" w14:textId="45B1551F" w:rsidR="00953130" w:rsidRPr="001D41EA" w:rsidRDefault="00953130" w:rsidP="001D41EA">
            <w:pPr>
              <w:spacing w:before="40" w:after="20"/>
              <w:jc w:val="right"/>
              <w:rPr>
                <w:rFonts w:cs="Arial"/>
                <w:sz w:val="18"/>
                <w:szCs w:val="18"/>
              </w:rPr>
            </w:pPr>
            <w:r w:rsidRPr="001D41EA">
              <w:rPr>
                <w:rFonts w:cs="Arial"/>
                <w:sz w:val="18"/>
                <w:szCs w:val="18"/>
              </w:rPr>
              <w:t>127,883</w:t>
            </w:r>
          </w:p>
        </w:tc>
        <w:tc>
          <w:tcPr>
            <w:tcW w:w="1134" w:type="dxa"/>
            <w:tcBorders>
              <w:top w:val="nil"/>
              <w:left w:val="nil"/>
              <w:bottom w:val="nil"/>
              <w:right w:val="nil"/>
            </w:tcBorders>
            <w:vAlign w:val="bottom"/>
          </w:tcPr>
          <w:p w14:paraId="6BF78FE5" w14:textId="3F1B5C5B" w:rsidR="00953130" w:rsidRPr="001D41EA" w:rsidRDefault="00953130" w:rsidP="001D41EA">
            <w:pPr>
              <w:spacing w:before="40" w:after="20"/>
              <w:jc w:val="right"/>
              <w:rPr>
                <w:rFonts w:cs="Arial"/>
                <w:sz w:val="18"/>
                <w:szCs w:val="18"/>
              </w:rPr>
            </w:pPr>
            <w:r w:rsidRPr="001D41EA">
              <w:rPr>
                <w:rFonts w:cs="Arial"/>
                <w:sz w:val="18"/>
                <w:szCs w:val="18"/>
              </w:rPr>
              <w:t>127,883</w:t>
            </w:r>
          </w:p>
        </w:tc>
        <w:tc>
          <w:tcPr>
            <w:tcW w:w="1134" w:type="dxa"/>
            <w:tcBorders>
              <w:top w:val="nil"/>
              <w:left w:val="nil"/>
              <w:bottom w:val="nil"/>
              <w:right w:val="nil"/>
            </w:tcBorders>
            <w:vAlign w:val="bottom"/>
          </w:tcPr>
          <w:p w14:paraId="4AE77B43" w14:textId="17B2DD96" w:rsidR="00953130" w:rsidRPr="001D41EA" w:rsidRDefault="00953130" w:rsidP="001D41EA">
            <w:pPr>
              <w:spacing w:before="40" w:after="20"/>
              <w:jc w:val="right"/>
              <w:rPr>
                <w:rFonts w:cs="Arial"/>
                <w:sz w:val="18"/>
                <w:szCs w:val="18"/>
              </w:rPr>
            </w:pPr>
            <w:r w:rsidRPr="001D41EA">
              <w:rPr>
                <w:rFonts w:cs="Arial"/>
                <w:sz w:val="18"/>
                <w:szCs w:val="18"/>
              </w:rPr>
              <w:t>127,883</w:t>
            </w:r>
          </w:p>
        </w:tc>
        <w:tc>
          <w:tcPr>
            <w:tcW w:w="1134" w:type="dxa"/>
            <w:tcBorders>
              <w:top w:val="nil"/>
              <w:left w:val="nil"/>
              <w:bottom w:val="nil"/>
              <w:right w:val="nil"/>
            </w:tcBorders>
            <w:shd w:val="clear" w:color="auto" w:fill="auto"/>
            <w:vAlign w:val="bottom"/>
          </w:tcPr>
          <w:p w14:paraId="2D709F05" w14:textId="43EB84C1" w:rsidR="00953130" w:rsidRPr="001D41EA" w:rsidRDefault="00953130" w:rsidP="001D41EA">
            <w:pPr>
              <w:spacing w:before="40" w:after="20"/>
              <w:jc w:val="right"/>
              <w:rPr>
                <w:rFonts w:cs="Arial"/>
                <w:sz w:val="18"/>
                <w:szCs w:val="18"/>
              </w:rPr>
            </w:pPr>
            <w:r w:rsidRPr="001D41EA">
              <w:rPr>
                <w:rFonts w:cs="Arial"/>
                <w:sz w:val="18"/>
                <w:szCs w:val="18"/>
              </w:rPr>
              <w:t>32,292</w:t>
            </w:r>
          </w:p>
        </w:tc>
        <w:tc>
          <w:tcPr>
            <w:tcW w:w="1134" w:type="dxa"/>
            <w:tcBorders>
              <w:top w:val="nil"/>
              <w:left w:val="nil"/>
              <w:bottom w:val="nil"/>
              <w:right w:val="nil"/>
            </w:tcBorders>
            <w:shd w:val="clear" w:color="auto" w:fill="auto"/>
            <w:vAlign w:val="bottom"/>
          </w:tcPr>
          <w:p w14:paraId="549148F3" w14:textId="3D50C1F8" w:rsidR="00953130" w:rsidRPr="001D41EA" w:rsidRDefault="00953130" w:rsidP="001D41EA">
            <w:pPr>
              <w:spacing w:before="40" w:after="20"/>
              <w:jc w:val="right"/>
              <w:rPr>
                <w:rFonts w:cs="Arial"/>
                <w:sz w:val="18"/>
                <w:szCs w:val="18"/>
              </w:rPr>
            </w:pPr>
            <w:r w:rsidRPr="001D41EA">
              <w:rPr>
                <w:rFonts w:cs="Arial"/>
                <w:sz w:val="18"/>
                <w:szCs w:val="18"/>
              </w:rPr>
              <w:t>52,125</w:t>
            </w:r>
          </w:p>
        </w:tc>
      </w:tr>
      <w:tr w:rsidR="00953130" w:rsidRPr="001D41EA" w14:paraId="4C54F166"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C5F8B8A" w14:textId="77777777" w:rsidR="00953130" w:rsidRPr="001D41EA" w:rsidRDefault="00953130" w:rsidP="001D41EA">
            <w:pPr>
              <w:spacing w:before="40" w:after="20"/>
              <w:rPr>
                <w:rFonts w:cs="Arial"/>
                <w:sz w:val="18"/>
                <w:szCs w:val="18"/>
              </w:rPr>
            </w:pPr>
            <w:r w:rsidRPr="001D41EA">
              <w:rPr>
                <w:rFonts w:cs="Arial"/>
                <w:sz w:val="18"/>
                <w:szCs w:val="18"/>
              </w:rPr>
              <w:t>Moorabool S</w:t>
            </w:r>
          </w:p>
        </w:tc>
        <w:tc>
          <w:tcPr>
            <w:tcW w:w="1134" w:type="dxa"/>
            <w:tcBorders>
              <w:top w:val="nil"/>
              <w:left w:val="single" w:sz="18" w:space="0" w:color="5F497A" w:themeColor="accent4" w:themeShade="BF"/>
              <w:bottom w:val="nil"/>
              <w:right w:val="nil"/>
            </w:tcBorders>
            <w:shd w:val="clear" w:color="auto" w:fill="auto"/>
            <w:vAlign w:val="bottom"/>
          </w:tcPr>
          <w:p w14:paraId="6878E58D" w14:textId="5E2E2979" w:rsidR="00953130" w:rsidRPr="001D41EA" w:rsidRDefault="00953130" w:rsidP="001D41EA">
            <w:pPr>
              <w:spacing w:before="40" w:after="20"/>
              <w:jc w:val="right"/>
              <w:rPr>
                <w:rFonts w:cs="Arial"/>
                <w:sz w:val="18"/>
                <w:szCs w:val="18"/>
              </w:rPr>
            </w:pPr>
            <w:r w:rsidRPr="001D41EA">
              <w:rPr>
                <w:rFonts w:cs="Arial"/>
                <w:sz w:val="18"/>
                <w:szCs w:val="18"/>
              </w:rPr>
              <w:t>34,158</w:t>
            </w:r>
          </w:p>
        </w:tc>
        <w:tc>
          <w:tcPr>
            <w:tcW w:w="1134" w:type="dxa"/>
            <w:tcBorders>
              <w:top w:val="nil"/>
              <w:left w:val="nil"/>
              <w:bottom w:val="nil"/>
              <w:right w:val="nil"/>
            </w:tcBorders>
            <w:vAlign w:val="bottom"/>
          </w:tcPr>
          <w:p w14:paraId="010B49D0" w14:textId="2BF9F3C1" w:rsidR="00953130" w:rsidRPr="001D41EA" w:rsidRDefault="00953130" w:rsidP="001D41EA">
            <w:pPr>
              <w:spacing w:before="40" w:after="20"/>
              <w:jc w:val="right"/>
              <w:rPr>
                <w:rFonts w:cs="Arial"/>
                <w:sz w:val="18"/>
                <w:szCs w:val="18"/>
              </w:rPr>
            </w:pPr>
            <w:r w:rsidRPr="001D41EA">
              <w:rPr>
                <w:rFonts w:cs="Arial"/>
                <w:sz w:val="18"/>
                <w:szCs w:val="18"/>
              </w:rPr>
              <w:t>34,158</w:t>
            </w:r>
          </w:p>
        </w:tc>
        <w:tc>
          <w:tcPr>
            <w:tcW w:w="1134" w:type="dxa"/>
            <w:tcBorders>
              <w:top w:val="nil"/>
              <w:left w:val="nil"/>
              <w:bottom w:val="nil"/>
              <w:right w:val="nil"/>
            </w:tcBorders>
            <w:vAlign w:val="bottom"/>
          </w:tcPr>
          <w:p w14:paraId="3A843C9D" w14:textId="2F090310" w:rsidR="00953130" w:rsidRPr="001D41EA" w:rsidRDefault="00953130" w:rsidP="001D41EA">
            <w:pPr>
              <w:spacing w:before="40" w:after="20"/>
              <w:jc w:val="right"/>
              <w:rPr>
                <w:rFonts w:cs="Arial"/>
                <w:sz w:val="18"/>
                <w:szCs w:val="18"/>
              </w:rPr>
            </w:pPr>
            <w:r w:rsidRPr="001D41EA">
              <w:rPr>
                <w:rFonts w:cs="Arial"/>
                <w:sz w:val="18"/>
                <w:szCs w:val="18"/>
              </w:rPr>
              <w:t>34,158</w:t>
            </w:r>
          </w:p>
        </w:tc>
        <w:tc>
          <w:tcPr>
            <w:tcW w:w="1134" w:type="dxa"/>
            <w:tcBorders>
              <w:top w:val="nil"/>
              <w:left w:val="nil"/>
              <w:bottom w:val="nil"/>
              <w:right w:val="nil"/>
            </w:tcBorders>
            <w:vAlign w:val="bottom"/>
          </w:tcPr>
          <w:p w14:paraId="291B6025" w14:textId="07C74F63" w:rsidR="00953130" w:rsidRPr="001D41EA" w:rsidRDefault="00953130" w:rsidP="001D41EA">
            <w:pPr>
              <w:spacing w:before="40" w:after="20"/>
              <w:jc w:val="right"/>
              <w:rPr>
                <w:rFonts w:cs="Arial"/>
                <w:sz w:val="18"/>
                <w:szCs w:val="18"/>
              </w:rPr>
            </w:pPr>
            <w:r w:rsidRPr="001D41EA">
              <w:rPr>
                <w:rFonts w:cs="Arial"/>
                <w:sz w:val="18"/>
                <w:szCs w:val="18"/>
              </w:rPr>
              <w:t>34,158</w:t>
            </w:r>
          </w:p>
        </w:tc>
        <w:tc>
          <w:tcPr>
            <w:tcW w:w="1134" w:type="dxa"/>
            <w:tcBorders>
              <w:top w:val="nil"/>
              <w:left w:val="nil"/>
              <w:bottom w:val="nil"/>
              <w:right w:val="nil"/>
            </w:tcBorders>
            <w:shd w:val="clear" w:color="auto" w:fill="auto"/>
            <w:vAlign w:val="bottom"/>
          </w:tcPr>
          <w:p w14:paraId="1A442C09" w14:textId="043D42E3" w:rsidR="00953130" w:rsidRPr="001D41EA" w:rsidRDefault="00953130" w:rsidP="001D41EA">
            <w:pPr>
              <w:spacing w:before="40" w:after="20"/>
              <w:jc w:val="right"/>
              <w:rPr>
                <w:rFonts w:cs="Arial"/>
                <w:sz w:val="18"/>
                <w:szCs w:val="18"/>
              </w:rPr>
            </w:pPr>
            <w:r w:rsidRPr="001D41EA">
              <w:rPr>
                <w:rFonts w:cs="Arial"/>
                <w:sz w:val="18"/>
                <w:szCs w:val="18"/>
              </w:rPr>
              <w:t>9,293</w:t>
            </w:r>
          </w:p>
        </w:tc>
        <w:tc>
          <w:tcPr>
            <w:tcW w:w="1134" w:type="dxa"/>
            <w:tcBorders>
              <w:top w:val="nil"/>
              <w:left w:val="nil"/>
              <w:bottom w:val="nil"/>
              <w:right w:val="nil"/>
            </w:tcBorders>
            <w:shd w:val="clear" w:color="auto" w:fill="auto"/>
            <w:vAlign w:val="bottom"/>
          </w:tcPr>
          <w:p w14:paraId="445A03EA" w14:textId="3D3BC19A" w:rsidR="00953130" w:rsidRPr="001D41EA" w:rsidRDefault="00953130" w:rsidP="001D41EA">
            <w:pPr>
              <w:spacing w:before="40" w:after="20"/>
              <w:jc w:val="right"/>
              <w:rPr>
                <w:rFonts w:cs="Arial"/>
                <w:sz w:val="18"/>
                <w:szCs w:val="18"/>
              </w:rPr>
            </w:pPr>
            <w:r w:rsidRPr="001D41EA">
              <w:rPr>
                <w:rFonts w:cs="Arial"/>
                <w:sz w:val="18"/>
                <w:szCs w:val="18"/>
              </w:rPr>
              <w:t>13,702</w:t>
            </w:r>
          </w:p>
        </w:tc>
      </w:tr>
      <w:tr w:rsidR="00953130" w:rsidRPr="001D41EA" w14:paraId="3320FDE1"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1BDBFDA" w14:textId="77777777" w:rsidR="00953130" w:rsidRPr="001D41EA" w:rsidRDefault="00953130" w:rsidP="001D41EA">
            <w:pPr>
              <w:spacing w:before="40" w:after="20"/>
              <w:rPr>
                <w:rFonts w:cs="Arial"/>
                <w:sz w:val="18"/>
                <w:szCs w:val="18"/>
              </w:rPr>
            </w:pPr>
            <w:r w:rsidRPr="001D41EA">
              <w:rPr>
                <w:rFonts w:cs="Arial"/>
                <w:sz w:val="18"/>
                <w:szCs w:val="18"/>
              </w:rPr>
              <w:t>Moreland C</w:t>
            </w:r>
          </w:p>
        </w:tc>
        <w:tc>
          <w:tcPr>
            <w:tcW w:w="1134" w:type="dxa"/>
            <w:tcBorders>
              <w:top w:val="nil"/>
              <w:left w:val="single" w:sz="18" w:space="0" w:color="5F497A" w:themeColor="accent4" w:themeShade="BF"/>
              <w:bottom w:val="nil"/>
              <w:right w:val="nil"/>
            </w:tcBorders>
            <w:shd w:val="clear" w:color="auto" w:fill="auto"/>
            <w:vAlign w:val="bottom"/>
          </w:tcPr>
          <w:p w14:paraId="1775FA52" w14:textId="387F0132" w:rsidR="00953130" w:rsidRPr="001D41EA" w:rsidRDefault="00953130" w:rsidP="001D41EA">
            <w:pPr>
              <w:spacing w:before="40" w:after="20"/>
              <w:jc w:val="right"/>
              <w:rPr>
                <w:rFonts w:cs="Arial"/>
                <w:sz w:val="18"/>
                <w:szCs w:val="18"/>
              </w:rPr>
            </w:pPr>
            <w:r w:rsidRPr="001D41EA">
              <w:rPr>
                <w:rFonts w:cs="Arial"/>
                <w:sz w:val="18"/>
                <w:szCs w:val="18"/>
              </w:rPr>
              <w:t>181,725</w:t>
            </w:r>
          </w:p>
        </w:tc>
        <w:tc>
          <w:tcPr>
            <w:tcW w:w="1134" w:type="dxa"/>
            <w:tcBorders>
              <w:top w:val="nil"/>
              <w:left w:val="nil"/>
              <w:bottom w:val="nil"/>
              <w:right w:val="nil"/>
            </w:tcBorders>
            <w:vAlign w:val="bottom"/>
          </w:tcPr>
          <w:p w14:paraId="2410D376" w14:textId="7B5DA33E" w:rsidR="00953130" w:rsidRPr="001D41EA" w:rsidRDefault="00953130" w:rsidP="001D41EA">
            <w:pPr>
              <w:spacing w:before="40" w:after="20"/>
              <w:jc w:val="right"/>
              <w:rPr>
                <w:rFonts w:cs="Arial"/>
                <w:sz w:val="18"/>
                <w:szCs w:val="18"/>
              </w:rPr>
            </w:pPr>
            <w:r w:rsidRPr="001D41EA">
              <w:rPr>
                <w:rFonts w:cs="Arial"/>
                <w:sz w:val="18"/>
                <w:szCs w:val="18"/>
              </w:rPr>
              <w:t>181,725</w:t>
            </w:r>
          </w:p>
        </w:tc>
        <w:tc>
          <w:tcPr>
            <w:tcW w:w="1134" w:type="dxa"/>
            <w:tcBorders>
              <w:top w:val="nil"/>
              <w:left w:val="nil"/>
              <w:bottom w:val="nil"/>
              <w:right w:val="nil"/>
            </w:tcBorders>
            <w:vAlign w:val="bottom"/>
          </w:tcPr>
          <w:p w14:paraId="335A03D5" w14:textId="524C77AF" w:rsidR="00953130" w:rsidRPr="001D41EA" w:rsidRDefault="00953130" w:rsidP="001D41EA">
            <w:pPr>
              <w:spacing w:before="40" w:after="20"/>
              <w:jc w:val="right"/>
              <w:rPr>
                <w:rFonts w:cs="Arial"/>
                <w:sz w:val="18"/>
                <w:szCs w:val="18"/>
              </w:rPr>
            </w:pPr>
            <w:r w:rsidRPr="001D41EA">
              <w:rPr>
                <w:rFonts w:cs="Arial"/>
                <w:sz w:val="18"/>
                <w:szCs w:val="18"/>
              </w:rPr>
              <w:t>181,725</w:t>
            </w:r>
          </w:p>
        </w:tc>
        <w:tc>
          <w:tcPr>
            <w:tcW w:w="1134" w:type="dxa"/>
            <w:tcBorders>
              <w:top w:val="nil"/>
              <w:left w:val="nil"/>
              <w:bottom w:val="nil"/>
              <w:right w:val="nil"/>
            </w:tcBorders>
            <w:vAlign w:val="bottom"/>
          </w:tcPr>
          <w:p w14:paraId="348D2E22" w14:textId="5A985FA5" w:rsidR="00953130" w:rsidRPr="001D41EA" w:rsidRDefault="00953130" w:rsidP="001D41EA">
            <w:pPr>
              <w:spacing w:before="40" w:after="20"/>
              <w:jc w:val="right"/>
              <w:rPr>
                <w:rFonts w:cs="Arial"/>
                <w:sz w:val="18"/>
                <w:szCs w:val="18"/>
              </w:rPr>
            </w:pPr>
            <w:r w:rsidRPr="001D41EA">
              <w:rPr>
                <w:rFonts w:cs="Arial"/>
                <w:sz w:val="18"/>
                <w:szCs w:val="18"/>
              </w:rPr>
              <w:t>181,725</w:t>
            </w:r>
          </w:p>
        </w:tc>
        <w:tc>
          <w:tcPr>
            <w:tcW w:w="1134" w:type="dxa"/>
            <w:tcBorders>
              <w:top w:val="nil"/>
              <w:left w:val="nil"/>
              <w:bottom w:val="nil"/>
              <w:right w:val="nil"/>
            </w:tcBorders>
            <w:shd w:val="clear" w:color="auto" w:fill="auto"/>
            <w:vAlign w:val="bottom"/>
          </w:tcPr>
          <w:p w14:paraId="272FA725" w14:textId="229A2C70" w:rsidR="00953130" w:rsidRPr="001D41EA" w:rsidRDefault="00953130" w:rsidP="001D41EA">
            <w:pPr>
              <w:spacing w:before="40" w:after="20"/>
              <w:jc w:val="right"/>
              <w:rPr>
                <w:rFonts w:cs="Arial"/>
                <w:sz w:val="18"/>
                <w:szCs w:val="18"/>
              </w:rPr>
            </w:pPr>
            <w:r w:rsidRPr="001D41EA">
              <w:rPr>
                <w:rFonts w:cs="Arial"/>
                <w:sz w:val="18"/>
                <w:szCs w:val="18"/>
              </w:rPr>
              <w:t>41,053</w:t>
            </w:r>
          </w:p>
        </w:tc>
        <w:tc>
          <w:tcPr>
            <w:tcW w:w="1134" w:type="dxa"/>
            <w:tcBorders>
              <w:top w:val="nil"/>
              <w:left w:val="nil"/>
              <w:bottom w:val="nil"/>
              <w:right w:val="nil"/>
            </w:tcBorders>
            <w:shd w:val="clear" w:color="auto" w:fill="auto"/>
            <w:vAlign w:val="bottom"/>
          </w:tcPr>
          <w:p w14:paraId="6A2BF348" w14:textId="0FA782F5" w:rsidR="00953130" w:rsidRPr="001D41EA" w:rsidRDefault="00953130" w:rsidP="001D41EA">
            <w:pPr>
              <w:spacing w:before="40" w:after="20"/>
              <w:jc w:val="right"/>
              <w:rPr>
                <w:rFonts w:cs="Arial"/>
                <w:sz w:val="18"/>
                <w:szCs w:val="18"/>
              </w:rPr>
            </w:pPr>
            <w:r w:rsidRPr="001D41EA">
              <w:rPr>
                <w:rFonts w:cs="Arial"/>
                <w:sz w:val="18"/>
                <w:szCs w:val="18"/>
              </w:rPr>
              <w:t>74,600</w:t>
            </w:r>
          </w:p>
        </w:tc>
      </w:tr>
      <w:tr w:rsidR="00953130" w:rsidRPr="001D41EA" w14:paraId="5C5CC7D6"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3B869B9" w14:textId="77777777" w:rsidR="00953130" w:rsidRPr="001D41EA" w:rsidRDefault="00953130" w:rsidP="001D41EA">
            <w:pPr>
              <w:spacing w:before="40" w:after="20"/>
              <w:rPr>
                <w:rFonts w:cs="Arial"/>
                <w:sz w:val="18"/>
                <w:szCs w:val="18"/>
              </w:rPr>
            </w:pPr>
            <w:r w:rsidRPr="001D41EA">
              <w:rPr>
                <w:rFonts w:cs="Arial"/>
                <w:sz w:val="18"/>
                <w:szCs w:val="18"/>
              </w:rPr>
              <w:t>Mornington Peninsula S</w:t>
            </w:r>
          </w:p>
        </w:tc>
        <w:tc>
          <w:tcPr>
            <w:tcW w:w="1134" w:type="dxa"/>
            <w:tcBorders>
              <w:top w:val="nil"/>
              <w:left w:val="single" w:sz="18" w:space="0" w:color="5F497A" w:themeColor="accent4" w:themeShade="BF"/>
              <w:bottom w:val="nil"/>
              <w:right w:val="nil"/>
            </w:tcBorders>
            <w:shd w:val="clear" w:color="auto" w:fill="auto"/>
            <w:vAlign w:val="bottom"/>
          </w:tcPr>
          <w:p w14:paraId="24BC8E8A" w14:textId="2857A24F" w:rsidR="00953130" w:rsidRPr="001D41EA" w:rsidRDefault="00953130" w:rsidP="001D41EA">
            <w:pPr>
              <w:spacing w:before="40" w:after="20"/>
              <w:jc w:val="right"/>
              <w:rPr>
                <w:rFonts w:cs="Arial"/>
                <w:sz w:val="18"/>
                <w:szCs w:val="18"/>
              </w:rPr>
            </w:pPr>
            <w:r w:rsidRPr="001D41EA">
              <w:rPr>
                <w:rFonts w:cs="Arial"/>
                <w:sz w:val="18"/>
                <w:szCs w:val="18"/>
              </w:rPr>
              <w:t>165,822</w:t>
            </w:r>
          </w:p>
        </w:tc>
        <w:tc>
          <w:tcPr>
            <w:tcW w:w="1134" w:type="dxa"/>
            <w:tcBorders>
              <w:top w:val="nil"/>
              <w:left w:val="nil"/>
              <w:bottom w:val="nil"/>
              <w:right w:val="nil"/>
            </w:tcBorders>
            <w:vAlign w:val="bottom"/>
          </w:tcPr>
          <w:p w14:paraId="70B4FDAD" w14:textId="44FA781B" w:rsidR="00953130" w:rsidRPr="001D41EA" w:rsidRDefault="00953130" w:rsidP="001D41EA">
            <w:pPr>
              <w:spacing w:before="40" w:after="20"/>
              <w:jc w:val="right"/>
              <w:rPr>
                <w:rFonts w:cs="Arial"/>
                <w:sz w:val="18"/>
                <w:szCs w:val="18"/>
              </w:rPr>
            </w:pPr>
            <w:r w:rsidRPr="001D41EA">
              <w:rPr>
                <w:rFonts w:cs="Arial"/>
                <w:sz w:val="18"/>
                <w:szCs w:val="18"/>
              </w:rPr>
              <w:t>190,352</w:t>
            </w:r>
          </w:p>
        </w:tc>
        <w:tc>
          <w:tcPr>
            <w:tcW w:w="1134" w:type="dxa"/>
            <w:tcBorders>
              <w:top w:val="nil"/>
              <w:left w:val="nil"/>
              <w:bottom w:val="nil"/>
              <w:right w:val="nil"/>
            </w:tcBorders>
            <w:vAlign w:val="bottom"/>
          </w:tcPr>
          <w:p w14:paraId="22466458" w14:textId="57DE819E" w:rsidR="00953130" w:rsidRPr="001D41EA" w:rsidRDefault="00953130" w:rsidP="001D41EA">
            <w:pPr>
              <w:spacing w:before="40" w:after="20"/>
              <w:jc w:val="right"/>
              <w:rPr>
                <w:rFonts w:cs="Arial"/>
                <w:sz w:val="18"/>
                <w:szCs w:val="18"/>
              </w:rPr>
            </w:pPr>
            <w:r w:rsidRPr="001D41EA">
              <w:rPr>
                <w:rFonts w:cs="Arial"/>
                <w:sz w:val="18"/>
                <w:szCs w:val="18"/>
              </w:rPr>
              <w:t>190,352</w:t>
            </w:r>
          </w:p>
        </w:tc>
        <w:tc>
          <w:tcPr>
            <w:tcW w:w="1134" w:type="dxa"/>
            <w:tcBorders>
              <w:top w:val="nil"/>
              <w:left w:val="nil"/>
              <w:bottom w:val="nil"/>
              <w:right w:val="nil"/>
            </w:tcBorders>
            <w:vAlign w:val="bottom"/>
          </w:tcPr>
          <w:p w14:paraId="6A74C2DE" w14:textId="0E1F7420" w:rsidR="00953130" w:rsidRPr="001D41EA" w:rsidRDefault="00953130" w:rsidP="001D41EA">
            <w:pPr>
              <w:spacing w:before="40" w:after="20"/>
              <w:jc w:val="right"/>
              <w:rPr>
                <w:rFonts w:cs="Arial"/>
                <w:sz w:val="18"/>
                <w:szCs w:val="18"/>
              </w:rPr>
            </w:pPr>
            <w:r w:rsidRPr="001D41EA">
              <w:rPr>
                <w:rFonts w:cs="Arial"/>
                <w:sz w:val="18"/>
                <w:szCs w:val="18"/>
              </w:rPr>
              <w:t>190,352</w:t>
            </w:r>
          </w:p>
        </w:tc>
        <w:tc>
          <w:tcPr>
            <w:tcW w:w="1134" w:type="dxa"/>
            <w:tcBorders>
              <w:top w:val="nil"/>
              <w:left w:val="nil"/>
              <w:bottom w:val="nil"/>
              <w:right w:val="nil"/>
            </w:tcBorders>
            <w:shd w:val="clear" w:color="auto" w:fill="auto"/>
            <w:vAlign w:val="bottom"/>
          </w:tcPr>
          <w:p w14:paraId="1C64A394" w14:textId="67B6AE6A" w:rsidR="00953130" w:rsidRPr="001D41EA" w:rsidRDefault="00953130" w:rsidP="001D41EA">
            <w:pPr>
              <w:spacing w:before="40" w:after="20"/>
              <w:jc w:val="right"/>
              <w:rPr>
                <w:rFonts w:cs="Arial"/>
                <w:sz w:val="18"/>
                <w:szCs w:val="18"/>
              </w:rPr>
            </w:pPr>
            <w:r w:rsidRPr="001D41EA">
              <w:rPr>
                <w:rFonts w:cs="Arial"/>
                <w:sz w:val="18"/>
                <w:szCs w:val="18"/>
              </w:rPr>
              <w:t>60,105</w:t>
            </w:r>
          </w:p>
        </w:tc>
        <w:tc>
          <w:tcPr>
            <w:tcW w:w="1134" w:type="dxa"/>
            <w:tcBorders>
              <w:top w:val="nil"/>
              <w:left w:val="nil"/>
              <w:bottom w:val="nil"/>
              <w:right w:val="nil"/>
            </w:tcBorders>
            <w:shd w:val="clear" w:color="auto" w:fill="auto"/>
            <w:vAlign w:val="bottom"/>
          </w:tcPr>
          <w:p w14:paraId="5BE431F1" w14:textId="664DFA96" w:rsidR="00953130" w:rsidRPr="001D41EA" w:rsidRDefault="00953130" w:rsidP="001D41EA">
            <w:pPr>
              <w:spacing w:before="40" w:after="20"/>
              <w:jc w:val="right"/>
              <w:rPr>
                <w:rFonts w:cs="Arial"/>
                <w:sz w:val="18"/>
                <w:szCs w:val="18"/>
              </w:rPr>
            </w:pPr>
            <w:r w:rsidRPr="001D41EA">
              <w:rPr>
                <w:rFonts w:cs="Arial"/>
                <w:sz w:val="18"/>
                <w:szCs w:val="18"/>
              </w:rPr>
              <w:t>91,738</w:t>
            </w:r>
          </w:p>
        </w:tc>
      </w:tr>
      <w:tr w:rsidR="00953130" w:rsidRPr="001D41EA" w14:paraId="47990F71"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E6B3C0C" w14:textId="77777777" w:rsidR="00953130" w:rsidRPr="001D41EA" w:rsidRDefault="00953130" w:rsidP="001D41EA">
            <w:pPr>
              <w:spacing w:before="40" w:after="20"/>
              <w:rPr>
                <w:rFonts w:cs="Arial"/>
                <w:sz w:val="18"/>
                <w:szCs w:val="18"/>
              </w:rPr>
            </w:pPr>
            <w:r w:rsidRPr="001D41EA">
              <w:rPr>
                <w:rFonts w:cs="Arial"/>
                <w:sz w:val="18"/>
                <w:szCs w:val="18"/>
              </w:rPr>
              <w:t>Mount Alexander S</w:t>
            </w:r>
          </w:p>
        </w:tc>
        <w:tc>
          <w:tcPr>
            <w:tcW w:w="1134" w:type="dxa"/>
            <w:tcBorders>
              <w:top w:val="nil"/>
              <w:left w:val="single" w:sz="18" w:space="0" w:color="5F497A" w:themeColor="accent4" w:themeShade="BF"/>
              <w:bottom w:val="nil"/>
              <w:right w:val="nil"/>
            </w:tcBorders>
            <w:shd w:val="clear" w:color="auto" w:fill="auto"/>
            <w:vAlign w:val="bottom"/>
          </w:tcPr>
          <w:p w14:paraId="22EB9A5D" w14:textId="589343C7" w:rsidR="00953130" w:rsidRPr="001D41EA" w:rsidRDefault="00953130" w:rsidP="001D41EA">
            <w:pPr>
              <w:spacing w:before="40" w:after="20"/>
              <w:jc w:val="right"/>
              <w:rPr>
                <w:rFonts w:cs="Arial"/>
                <w:sz w:val="18"/>
                <w:szCs w:val="18"/>
              </w:rPr>
            </w:pPr>
            <w:r w:rsidRPr="001D41EA">
              <w:rPr>
                <w:rFonts w:cs="Arial"/>
                <w:sz w:val="18"/>
                <w:szCs w:val="18"/>
              </w:rPr>
              <w:t>19,514</w:t>
            </w:r>
          </w:p>
        </w:tc>
        <w:tc>
          <w:tcPr>
            <w:tcW w:w="1134" w:type="dxa"/>
            <w:tcBorders>
              <w:top w:val="nil"/>
              <w:left w:val="nil"/>
              <w:bottom w:val="nil"/>
              <w:right w:val="nil"/>
            </w:tcBorders>
            <w:vAlign w:val="bottom"/>
          </w:tcPr>
          <w:p w14:paraId="438D9AF5" w14:textId="249C09BA" w:rsidR="00953130" w:rsidRPr="001D41EA" w:rsidRDefault="00953130" w:rsidP="001D41EA">
            <w:pPr>
              <w:spacing w:before="40" w:after="20"/>
              <w:jc w:val="right"/>
              <w:rPr>
                <w:rFonts w:cs="Arial"/>
                <w:sz w:val="18"/>
                <w:szCs w:val="18"/>
              </w:rPr>
            </w:pPr>
            <w:r w:rsidRPr="001D41EA">
              <w:rPr>
                <w:rFonts w:cs="Arial"/>
                <w:sz w:val="18"/>
                <w:szCs w:val="18"/>
              </w:rPr>
              <w:t>19,916</w:t>
            </w:r>
          </w:p>
        </w:tc>
        <w:tc>
          <w:tcPr>
            <w:tcW w:w="1134" w:type="dxa"/>
            <w:tcBorders>
              <w:top w:val="nil"/>
              <w:left w:val="nil"/>
              <w:bottom w:val="nil"/>
              <w:right w:val="nil"/>
            </w:tcBorders>
            <w:vAlign w:val="bottom"/>
          </w:tcPr>
          <w:p w14:paraId="4D9CA50B" w14:textId="112DF5A5" w:rsidR="00953130" w:rsidRPr="001D41EA" w:rsidRDefault="00953130" w:rsidP="001D41EA">
            <w:pPr>
              <w:spacing w:before="40" w:after="20"/>
              <w:jc w:val="right"/>
              <w:rPr>
                <w:rFonts w:cs="Arial"/>
                <w:sz w:val="18"/>
                <w:szCs w:val="18"/>
              </w:rPr>
            </w:pPr>
            <w:r w:rsidRPr="001D41EA">
              <w:rPr>
                <w:rFonts w:cs="Arial"/>
                <w:sz w:val="18"/>
                <w:szCs w:val="18"/>
              </w:rPr>
              <w:t>20,000</w:t>
            </w:r>
          </w:p>
        </w:tc>
        <w:tc>
          <w:tcPr>
            <w:tcW w:w="1134" w:type="dxa"/>
            <w:tcBorders>
              <w:top w:val="nil"/>
              <w:left w:val="nil"/>
              <w:bottom w:val="nil"/>
              <w:right w:val="nil"/>
            </w:tcBorders>
            <w:vAlign w:val="bottom"/>
          </w:tcPr>
          <w:p w14:paraId="2A7E732F" w14:textId="2B3582F3" w:rsidR="00953130" w:rsidRPr="001D41EA" w:rsidRDefault="00953130" w:rsidP="001D41EA">
            <w:pPr>
              <w:spacing w:before="40" w:after="20"/>
              <w:jc w:val="right"/>
              <w:rPr>
                <w:rFonts w:cs="Arial"/>
                <w:sz w:val="18"/>
                <w:szCs w:val="18"/>
              </w:rPr>
            </w:pPr>
            <w:r w:rsidRPr="001D41EA">
              <w:rPr>
                <w:rFonts w:cs="Arial"/>
                <w:sz w:val="18"/>
                <w:szCs w:val="18"/>
              </w:rPr>
              <w:t>19,916</w:t>
            </w:r>
          </w:p>
        </w:tc>
        <w:tc>
          <w:tcPr>
            <w:tcW w:w="1134" w:type="dxa"/>
            <w:tcBorders>
              <w:top w:val="nil"/>
              <w:left w:val="nil"/>
              <w:bottom w:val="nil"/>
              <w:right w:val="nil"/>
            </w:tcBorders>
            <w:shd w:val="clear" w:color="auto" w:fill="auto"/>
            <w:vAlign w:val="bottom"/>
          </w:tcPr>
          <w:p w14:paraId="5015A52B" w14:textId="3EED6D1C" w:rsidR="00953130" w:rsidRPr="001D41EA" w:rsidRDefault="00953130" w:rsidP="001D41EA">
            <w:pPr>
              <w:spacing w:before="40" w:after="20"/>
              <w:jc w:val="right"/>
              <w:rPr>
                <w:rFonts w:cs="Arial"/>
                <w:sz w:val="18"/>
                <w:szCs w:val="18"/>
              </w:rPr>
            </w:pPr>
            <w:r w:rsidRPr="001D41EA">
              <w:rPr>
                <w:rFonts w:cs="Arial"/>
                <w:sz w:val="18"/>
                <w:szCs w:val="18"/>
              </w:rPr>
              <w:t>7,708</w:t>
            </w:r>
          </w:p>
        </w:tc>
        <w:tc>
          <w:tcPr>
            <w:tcW w:w="1134" w:type="dxa"/>
            <w:tcBorders>
              <w:top w:val="nil"/>
              <w:left w:val="nil"/>
              <w:bottom w:val="nil"/>
              <w:right w:val="nil"/>
            </w:tcBorders>
            <w:shd w:val="clear" w:color="auto" w:fill="auto"/>
            <w:vAlign w:val="bottom"/>
          </w:tcPr>
          <w:p w14:paraId="696E4D51" w14:textId="357F93EE" w:rsidR="00953130" w:rsidRPr="001D41EA" w:rsidRDefault="00953130" w:rsidP="001D41EA">
            <w:pPr>
              <w:spacing w:before="40" w:after="20"/>
              <w:jc w:val="right"/>
              <w:rPr>
                <w:rFonts w:cs="Arial"/>
                <w:sz w:val="18"/>
                <w:szCs w:val="18"/>
              </w:rPr>
            </w:pPr>
            <w:r w:rsidRPr="001D41EA">
              <w:rPr>
                <w:rFonts w:cs="Arial"/>
                <w:sz w:val="18"/>
                <w:szCs w:val="18"/>
              </w:rPr>
              <w:t>9,558</w:t>
            </w:r>
          </w:p>
        </w:tc>
      </w:tr>
      <w:tr w:rsidR="00953130" w:rsidRPr="001D41EA" w14:paraId="780E5325"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5F234EC" w14:textId="77777777" w:rsidR="00953130" w:rsidRPr="001D41EA" w:rsidRDefault="00953130" w:rsidP="001D41EA">
            <w:pPr>
              <w:spacing w:before="40" w:after="20"/>
              <w:rPr>
                <w:rFonts w:cs="Arial"/>
                <w:sz w:val="18"/>
                <w:szCs w:val="18"/>
              </w:rPr>
            </w:pPr>
            <w:r w:rsidRPr="001D41EA">
              <w:rPr>
                <w:rFonts w:cs="Arial"/>
                <w:sz w:val="18"/>
                <w:szCs w:val="18"/>
              </w:rPr>
              <w:t>Moyne S</w:t>
            </w:r>
          </w:p>
        </w:tc>
        <w:tc>
          <w:tcPr>
            <w:tcW w:w="1134" w:type="dxa"/>
            <w:tcBorders>
              <w:top w:val="nil"/>
              <w:left w:val="single" w:sz="18" w:space="0" w:color="5F497A" w:themeColor="accent4" w:themeShade="BF"/>
              <w:bottom w:val="nil"/>
              <w:right w:val="nil"/>
            </w:tcBorders>
            <w:shd w:val="clear" w:color="auto" w:fill="auto"/>
            <w:vAlign w:val="bottom"/>
          </w:tcPr>
          <w:p w14:paraId="47E51787" w14:textId="7A5AD33F" w:rsidR="00953130" w:rsidRPr="001D41EA" w:rsidRDefault="00953130" w:rsidP="001D41EA">
            <w:pPr>
              <w:spacing w:before="40" w:after="20"/>
              <w:jc w:val="right"/>
              <w:rPr>
                <w:rFonts w:cs="Arial"/>
                <w:sz w:val="18"/>
                <w:szCs w:val="18"/>
              </w:rPr>
            </w:pPr>
            <w:r w:rsidRPr="001D41EA">
              <w:rPr>
                <w:rFonts w:cs="Arial"/>
                <w:sz w:val="18"/>
                <w:szCs w:val="18"/>
              </w:rPr>
              <w:t>16,887</w:t>
            </w:r>
          </w:p>
        </w:tc>
        <w:tc>
          <w:tcPr>
            <w:tcW w:w="1134" w:type="dxa"/>
            <w:tcBorders>
              <w:top w:val="nil"/>
              <w:left w:val="nil"/>
              <w:bottom w:val="nil"/>
              <w:right w:val="nil"/>
            </w:tcBorders>
            <w:vAlign w:val="bottom"/>
          </w:tcPr>
          <w:p w14:paraId="3AC46F0F" w14:textId="09670429" w:rsidR="00953130" w:rsidRPr="001D41EA" w:rsidRDefault="00953130" w:rsidP="001D41EA">
            <w:pPr>
              <w:spacing w:before="40" w:after="20"/>
              <w:jc w:val="right"/>
              <w:rPr>
                <w:rFonts w:cs="Arial"/>
                <w:sz w:val="18"/>
                <w:szCs w:val="18"/>
              </w:rPr>
            </w:pPr>
            <w:r w:rsidRPr="001D41EA">
              <w:rPr>
                <w:rFonts w:cs="Arial"/>
                <w:sz w:val="18"/>
                <w:szCs w:val="18"/>
              </w:rPr>
              <w:t>17,938</w:t>
            </w:r>
          </w:p>
        </w:tc>
        <w:tc>
          <w:tcPr>
            <w:tcW w:w="1134" w:type="dxa"/>
            <w:tcBorders>
              <w:top w:val="nil"/>
              <w:left w:val="nil"/>
              <w:bottom w:val="nil"/>
              <w:right w:val="nil"/>
            </w:tcBorders>
            <w:vAlign w:val="bottom"/>
          </w:tcPr>
          <w:p w14:paraId="48BD4BFF" w14:textId="50175E81" w:rsidR="00953130" w:rsidRPr="001D41EA" w:rsidRDefault="00953130" w:rsidP="001D41EA">
            <w:pPr>
              <w:spacing w:before="40" w:after="20"/>
              <w:jc w:val="right"/>
              <w:rPr>
                <w:rFonts w:cs="Arial"/>
                <w:sz w:val="18"/>
                <w:szCs w:val="18"/>
              </w:rPr>
            </w:pPr>
            <w:r w:rsidRPr="001D41EA">
              <w:rPr>
                <w:rFonts w:cs="Arial"/>
                <w:sz w:val="18"/>
                <w:szCs w:val="18"/>
              </w:rPr>
              <w:t>20,000</w:t>
            </w:r>
          </w:p>
        </w:tc>
        <w:tc>
          <w:tcPr>
            <w:tcW w:w="1134" w:type="dxa"/>
            <w:tcBorders>
              <w:top w:val="nil"/>
              <w:left w:val="nil"/>
              <w:bottom w:val="nil"/>
              <w:right w:val="nil"/>
            </w:tcBorders>
            <w:vAlign w:val="bottom"/>
          </w:tcPr>
          <w:p w14:paraId="1CE56433" w14:textId="2B914AE3" w:rsidR="00953130" w:rsidRPr="001D41EA" w:rsidRDefault="00953130" w:rsidP="001D41EA">
            <w:pPr>
              <w:spacing w:before="40" w:after="20"/>
              <w:jc w:val="right"/>
              <w:rPr>
                <w:rFonts w:cs="Arial"/>
                <w:sz w:val="18"/>
                <w:szCs w:val="18"/>
              </w:rPr>
            </w:pPr>
            <w:r w:rsidRPr="001D41EA">
              <w:rPr>
                <w:rFonts w:cs="Arial"/>
                <w:sz w:val="18"/>
                <w:szCs w:val="18"/>
              </w:rPr>
              <w:t>17,938</w:t>
            </w:r>
          </w:p>
        </w:tc>
        <w:tc>
          <w:tcPr>
            <w:tcW w:w="1134" w:type="dxa"/>
            <w:tcBorders>
              <w:top w:val="nil"/>
              <w:left w:val="nil"/>
              <w:bottom w:val="nil"/>
              <w:right w:val="nil"/>
            </w:tcBorders>
            <w:shd w:val="clear" w:color="auto" w:fill="auto"/>
            <w:vAlign w:val="bottom"/>
          </w:tcPr>
          <w:p w14:paraId="2741B286" w14:textId="7FF2C000" w:rsidR="00953130" w:rsidRPr="001D41EA" w:rsidRDefault="00953130" w:rsidP="001D41EA">
            <w:pPr>
              <w:spacing w:before="40" w:after="20"/>
              <w:jc w:val="right"/>
              <w:rPr>
                <w:rFonts w:cs="Arial"/>
                <w:sz w:val="18"/>
                <w:szCs w:val="18"/>
              </w:rPr>
            </w:pPr>
            <w:r w:rsidRPr="001D41EA">
              <w:rPr>
                <w:rFonts w:cs="Arial"/>
                <w:sz w:val="18"/>
                <w:szCs w:val="18"/>
              </w:rPr>
              <w:t>5,291</w:t>
            </w:r>
          </w:p>
        </w:tc>
        <w:tc>
          <w:tcPr>
            <w:tcW w:w="1134" w:type="dxa"/>
            <w:tcBorders>
              <w:top w:val="nil"/>
              <w:left w:val="nil"/>
              <w:bottom w:val="nil"/>
              <w:right w:val="nil"/>
            </w:tcBorders>
            <w:shd w:val="clear" w:color="auto" w:fill="auto"/>
            <w:vAlign w:val="bottom"/>
          </w:tcPr>
          <w:p w14:paraId="1E6A88C9" w14:textId="1EBCC287" w:rsidR="00953130" w:rsidRPr="001D41EA" w:rsidRDefault="00953130" w:rsidP="001D41EA">
            <w:pPr>
              <w:spacing w:before="40" w:after="20"/>
              <w:jc w:val="right"/>
              <w:rPr>
                <w:rFonts w:cs="Arial"/>
                <w:sz w:val="18"/>
                <w:szCs w:val="18"/>
              </w:rPr>
            </w:pPr>
            <w:r w:rsidRPr="001D41EA">
              <w:rPr>
                <w:rFonts w:cs="Arial"/>
                <w:sz w:val="18"/>
                <w:szCs w:val="18"/>
              </w:rPr>
              <w:t>8,147</w:t>
            </w:r>
          </w:p>
        </w:tc>
      </w:tr>
      <w:tr w:rsidR="00953130" w:rsidRPr="001D41EA" w14:paraId="73CC49D5"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898A142" w14:textId="77777777" w:rsidR="00953130" w:rsidRPr="001D41EA" w:rsidRDefault="00953130" w:rsidP="001D41EA">
            <w:pPr>
              <w:spacing w:before="40" w:after="20"/>
              <w:rPr>
                <w:rFonts w:cs="Arial"/>
                <w:sz w:val="18"/>
                <w:szCs w:val="18"/>
              </w:rPr>
            </w:pPr>
            <w:r w:rsidRPr="001D41EA">
              <w:rPr>
                <w:rFonts w:cs="Arial"/>
                <w:sz w:val="18"/>
                <w:szCs w:val="18"/>
              </w:rPr>
              <w:t>Murrindindi S</w:t>
            </w:r>
          </w:p>
        </w:tc>
        <w:tc>
          <w:tcPr>
            <w:tcW w:w="1134" w:type="dxa"/>
            <w:tcBorders>
              <w:top w:val="nil"/>
              <w:left w:val="single" w:sz="18" w:space="0" w:color="5F497A" w:themeColor="accent4" w:themeShade="BF"/>
              <w:bottom w:val="nil"/>
              <w:right w:val="nil"/>
            </w:tcBorders>
            <w:shd w:val="clear" w:color="auto" w:fill="auto"/>
            <w:vAlign w:val="bottom"/>
          </w:tcPr>
          <w:p w14:paraId="726F53B0" w14:textId="4A7F78B4" w:rsidR="00953130" w:rsidRPr="001D41EA" w:rsidRDefault="00953130" w:rsidP="001D41EA">
            <w:pPr>
              <w:spacing w:before="40" w:after="20"/>
              <w:jc w:val="right"/>
              <w:rPr>
                <w:rFonts w:cs="Arial"/>
                <w:sz w:val="18"/>
                <w:szCs w:val="18"/>
              </w:rPr>
            </w:pPr>
            <w:r w:rsidRPr="001D41EA">
              <w:rPr>
                <w:rFonts w:cs="Arial"/>
                <w:sz w:val="18"/>
                <w:szCs w:val="18"/>
              </w:rPr>
              <w:t>14,478</w:t>
            </w:r>
          </w:p>
        </w:tc>
        <w:tc>
          <w:tcPr>
            <w:tcW w:w="1134" w:type="dxa"/>
            <w:tcBorders>
              <w:top w:val="nil"/>
              <w:left w:val="nil"/>
              <w:bottom w:val="nil"/>
              <w:right w:val="nil"/>
            </w:tcBorders>
            <w:vAlign w:val="bottom"/>
          </w:tcPr>
          <w:p w14:paraId="33EA8AAA" w14:textId="17466C0F" w:rsidR="00953130" w:rsidRPr="001D41EA" w:rsidRDefault="00953130" w:rsidP="001D41EA">
            <w:pPr>
              <w:spacing w:before="40" w:after="20"/>
              <w:jc w:val="right"/>
              <w:rPr>
                <w:rFonts w:cs="Arial"/>
                <w:sz w:val="18"/>
                <w:szCs w:val="18"/>
              </w:rPr>
            </w:pPr>
            <w:r w:rsidRPr="001D41EA">
              <w:rPr>
                <w:rFonts w:cs="Arial"/>
                <w:sz w:val="18"/>
                <w:szCs w:val="18"/>
              </w:rPr>
              <w:t>15,653</w:t>
            </w:r>
          </w:p>
        </w:tc>
        <w:tc>
          <w:tcPr>
            <w:tcW w:w="1134" w:type="dxa"/>
            <w:tcBorders>
              <w:top w:val="nil"/>
              <w:left w:val="nil"/>
              <w:bottom w:val="nil"/>
              <w:right w:val="nil"/>
            </w:tcBorders>
            <w:vAlign w:val="bottom"/>
          </w:tcPr>
          <w:p w14:paraId="6397A6A7" w14:textId="03AC26B0" w:rsidR="00953130" w:rsidRPr="001D41EA" w:rsidRDefault="00953130" w:rsidP="001D41EA">
            <w:pPr>
              <w:spacing w:before="40" w:after="20"/>
              <w:jc w:val="right"/>
              <w:rPr>
                <w:rFonts w:cs="Arial"/>
                <w:sz w:val="18"/>
                <w:szCs w:val="18"/>
              </w:rPr>
            </w:pPr>
            <w:r w:rsidRPr="001D41EA">
              <w:rPr>
                <w:rFonts w:cs="Arial"/>
                <w:sz w:val="18"/>
                <w:szCs w:val="18"/>
              </w:rPr>
              <w:t>20,000</w:t>
            </w:r>
          </w:p>
        </w:tc>
        <w:tc>
          <w:tcPr>
            <w:tcW w:w="1134" w:type="dxa"/>
            <w:tcBorders>
              <w:top w:val="nil"/>
              <w:left w:val="nil"/>
              <w:bottom w:val="nil"/>
              <w:right w:val="nil"/>
            </w:tcBorders>
            <w:vAlign w:val="bottom"/>
          </w:tcPr>
          <w:p w14:paraId="47D65BD2" w14:textId="7E54D9FE" w:rsidR="00953130" w:rsidRPr="001D41EA" w:rsidRDefault="00953130" w:rsidP="001D41EA">
            <w:pPr>
              <w:spacing w:before="40" w:after="20"/>
              <w:jc w:val="right"/>
              <w:rPr>
                <w:rFonts w:cs="Arial"/>
                <w:sz w:val="18"/>
                <w:szCs w:val="18"/>
              </w:rPr>
            </w:pPr>
            <w:r w:rsidRPr="001D41EA">
              <w:rPr>
                <w:rFonts w:cs="Arial"/>
                <w:sz w:val="18"/>
                <w:szCs w:val="18"/>
              </w:rPr>
              <w:t>15,653</w:t>
            </w:r>
          </w:p>
        </w:tc>
        <w:tc>
          <w:tcPr>
            <w:tcW w:w="1134" w:type="dxa"/>
            <w:tcBorders>
              <w:top w:val="nil"/>
              <w:left w:val="nil"/>
              <w:bottom w:val="nil"/>
              <w:right w:val="nil"/>
            </w:tcBorders>
            <w:shd w:val="clear" w:color="auto" w:fill="auto"/>
            <w:vAlign w:val="bottom"/>
          </w:tcPr>
          <w:p w14:paraId="058D6CBF" w14:textId="183BDDFC" w:rsidR="00953130" w:rsidRPr="001D41EA" w:rsidRDefault="00953130" w:rsidP="001D41EA">
            <w:pPr>
              <w:spacing w:before="40" w:after="20"/>
              <w:jc w:val="right"/>
              <w:rPr>
                <w:rFonts w:cs="Arial"/>
                <w:sz w:val="18"/>
                <w:szCs w:val="18"/>
              </w:rPr>
            </w:pPr>
            <w:r w:rsidRPr="001D41EA">
              <w:rPr>
                <w:rFonts w:cs="Arial"/>
                <w:sz w:val="18"/>
                <w:szCs w:val="18"/>
              </w:rPr>
              <w:t>5,577</w:t>
            </w:r>
          </w:p>
        </w:tc>
        <w:tc>
          <w:tcPr>
            <w:tcW w:w="1134" w:type="dxa"/>
            <w:tcBorders>
              <w:top w:val="nil"/>
              <w:left w:val="nil"/>
              <w:bottom w:val="nil"/>
              <w:right w:val="nil"/>
            </w:tcBorders>
            <w:shd w:val="clear" w:color="auto" w:fill="auto"/>
            <w:vAlign w:val="bottom"/>
          </w:tcPr>
          <w:p w14:paraId="1D918C9E" w14:textId="4BBFD800" w:rsidR="00953130" w:rsidRPr="001D41EA" w:rsidRDefault="00953130" w:rsidP="001D41EA">
            <w:pPr>
              <w:spacing w:before="40" w:after="20"/>
              <w:jc w:val="right"/>
              <w:rPr>
                <w:rFonts w:cs="Arial"/>
                <w:sz w:val="18"/>
                <w:szCs w:val="18"/>
              </w:rPr>
            </w:pPr>
            <w:r w:rsidRPr="001D41EA">
              <w:rPr>
                <w:rFonts w:cs="Arial"/>
                <w:sz w:val="18"/>
                <w:szCs w:val="18"/>
              </w:rPr>
              <w:t>7,775</w:t>
            </w:r>
          </w:p>
        </w:tc>
      </w:tr>
      <w:tr w:rsidR="00953130" w:rsidRPr="001D41EA" w14:paraId="391941C1"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F3978AC" w14:textId="77777777" w:rsidR="00953130" w:rsidRPr="001D41EA" w:rsidRDefault="00953130" w:rsidP="001D41EA">
            <w:pPr>
              <w:spacing w:before="40" w:after="20"/>
              <w:rPr>
                <w:rFonts w:cs="Arial"/>
                <w:sz w:val="18"/>
                <w:szCs w:val="18"/>
              </w:rPr>
            </w:pPr>
            <w:r w:rsidRPr="001D41EA">
              <w:rPr>
                <w:rFonts w:cs="Arial"/>
                <w:sz w:val="18"/>
                <w:szCs w:val="18"/>
              </w:rPr>
              <w:t>Nillumbik S</w:t>
            </w:r>
          </w:p>
        </w:tc>
        <w:tc>
          <w:tcPr>
            <w:tcW w:w="1134" w:type="dxa"/>
            <w:tcBorders>
              <w:top w:val="nil"/>
              <w:left w:val="single" w:sz="18" w:space="0" w:color="5F497A" w:themeColor="accent4" w:themeShade="BF"/>
              <w:bottom w:val="nil"/>
              <w:right w:val="nil"/>
            </w:tcBorders>
            <w:shd w:val="clear" w:color="auto" w:fill="auto"/>
            <w:vAlign w:val="bottom"/>
          </w:tcPr>
          <w:p w14:paraId="5AD747E8" w14:textId="19CE4E78" w:rsidR="00953130" w:rsidRPr="001D41EA" w:rsidRDefault="00953130" w:rsidP="001D41EA">
            <w:pPr>
              <w:spacing w:before="40" w:after="20"/>
              <w:jc w:val="right"/>
              <w:rPr>
                <w:rFonts w:cs="Arial"/>
                <w:sz w:val="18"/>
                <w:szCs w:val="18"/>
              </w:rPr>
            </w:pPr>
            <w:r w:rsidRPr="001D41EA">
              <w:rPr>
                <w:rFonts w:cs="Arial"/>
                <w:sz w:val="18"/>
                <w:szCs w:val="18"/>
              </w:rPr>
              <w:t>64,941</w:t>
            </w:r>
          </w:p>
        </w:tc>
        <w:tc>
          <w:tcPr>
            <w:tcW w:w="1134" w:type="dxa"/>
            <w:tcBorders>
              <w:top w:val="nil"/>
              <w:left w:val="nil"/>
              <w:bottom w:val="nil"/>
              <w:right w:val="nil"/>
            </w:tcBorders>
            <w:vAlign w:val="bottom"/>
          </w:tcPr>
          <w:p w14:paraId="0FEE7F01" w14:textId="1AA51C99" w:rsidR="00953130" w:rsidRPr="001D41EA" w:rsidRDefault="00953130" w:rsidP="001D41EA">
            <w:pPr>
              <w:spacing w:before="40" w:after="20"/>
              <w:jc w:val="right"/>
              <w:rPr>
                <w:rFonts w:cs="Arial"/>
                <w:sz w:val="18"/>
                <w:szCs w:val="18"/>
              </w:rPr>
            </w:pPr>
            <w:r w:rsidRPr="001D41EA">
              <w:rPr>
                <w:rFonts w:cs="Arial"/>
                <w:sz w:val="18"/>
                <w:szCs w:val="18"/>
              </w:rPr>
              <w:t>64,941</w:t>
            </w:r>
          </w:p>
        </w:tc>
        <w:tc>
          <w:tcPr>
            <w:tcW w:w="1134" w:type="dxa"/>
            <w:tcBorders>
              <w:top w:val="nil"/>
              <w:left w:val="nil"/>
              <w:bottom w:val="nil"/>
              <w:right w:val="nil"/>
            </w:tcBorders>
            <w:vAlign w:val="bottom"/>
          </w:tcPr>
          <w:p w14:paraId="1CEC72EC" w14:textId="4B46EC9A" w:rsidR="00953130" w:rsidRPr="001D41EA" w:rsidRDefault="00953130" w:rsidP="001D41EA">
            <w:pPr>
              <w:spacing w:before="40" w:after="20"/>
              <w:jc w:val="right"/>
              <w:rPr>
                <w:rFonts w:cs="Arial"/>
                <w:sz w:val="18"/>
                <w:szCs w:val="18"/>
              </w:rPr>
            </w:pPr>
            <w:r w:rsidRPr="001D41EA">
              <w:rPr>
                <w:rFonts w:cs="Arial"/>
                <w:sz w:val="18"/>
                <w:szCs w:val="18"/>
              </w:rPr>
              <w:t>64,941</w:t>
            </w:r>
          </w:p>
        </w:tc>
        <w:tc>
          <w:tcPr>
            <w:tcW w:w="1134" w:type="dxa"/>
            <w:tcBorders>
              <w:top w:val="nil"/>
              <w:left w:val="nil"/>
              <w:bottom w:val="nil"/>
              <w:right w:val="nil"/>
            </w:tcBorders>
            <w:vAlign w:val="bottom"/>
          </w:tcPr>
          <w:p w14:paraId="4B8AF62C" w14:textId="7AEFB3AC" w:rsidR="00953130" w:rsidRPr="001D41EA" w:rsidRDefault="00953130" w:rsidP="001D41EA">
            <w:pPr>
              <w:spacing w:before="40" w:after="20"/>
              <w:jc w:val="right"/>
              <w:rPr>
                <w:rFonts w:cs="Arial"/>
                <w:sz w:val="18"/>
                <w:szCs w:val="18"/>
              </w:rPr>
            </w:pPr>
            <w:r w:rsidRPr="001D41EA">
              <w:rPr>
                <w:rFonts w:cs="Arial"/>
                <w:sz w:val="18"/>
                <w:szCs w:val="18"/>
              </w:rPr>
              <w:t>64,941</w:t>
            </w:r>
          </w:p>
        </w:tc>
        <w:tc>
          <w:tcPr>
            <w:tcW w:w="1134" w:type="dxa"/>
            <w:tcBorders>
              <w:top w:val="nil"/>
              <w:left w:val="nil"/>
              <w:bottom w:val="nil"/>
              <w:right w:val="nil"/>
            </w:tcBorders>
            <w:shd w:val="clear" w:color="auto" w:fill="auto"/>
            <w:vAlign w:val="bottom"/>
          </w:tcPr>
          <w:p w14:paraId="2D12C14A" w14:textId="58CCC49F" w:rsidR="00953130" w:rsidRPr="001D41EA" w:rsidRDefault="00953130" w:rsidP="001D41EA">
            <w:pPr>
              <w:spacing w:before="40" w:after="20"/>
              <w:jc w:val="right"/>
              <w:rPr>
                <w:rFonts w:cs="Arial"/>
                <w:sz w:val="18"/>
                <w:szCs w:val="18"/>
              </w:rPr>
            </w:pPr>
            <w:r w:rsidRPr="001D41EA">
              <w:rPr>
                <w:rFonts w:cs="Arial"/>
                <w:sz w:val="18"/>
                <w:szCs w:val="18"/>
              </w:rPr>
              <w:t>14,854</w:t>
            </w:r>
          </w:p>
        </w:tc>
        <w:tc>
          <w:tcPr>
            <w:tcW w:w="1134" w:type="dxa"/>
            <w:tcBorders>
              <w:top w:val="nil"/>
              <w:left w:val="nil"/>
              <w:bottom w:val="nil"/>
              <w:right w:val="nil"/>
            </w:tcBorders>
            <w:shd w:val="clear" w:color="auto" w:fill="auto"/>
            <w:vAlign w:val="bottom"/>
          </w:tcPr>
          <w:p w14:paraId="438DFC6A" w14:textId="429FDA68" w:rsidR="00953130" w:rsidRPr="001D41EA" w:rsidRDefault="00953130" w:rsidP="001D41EA">
            <w:pPr>
              <w:spacing w:before="40" w:after="20"/>
              <w:jc w:val="right"/>
              <w:rPr>
                <w:rFonts w:cs="Arial"/>
                <w:sz w:val="18"/>
                <w:szCs w:val="18"/>
              </w:rPr>
            </w:pPr>
            <w:r w:rsidRPr="001D41EA">
              <w:rPr>
                <w:rFonts w:cs="Arial"/>
                <w:sz w:val="18"/>
                <w:szCs w:val="18"/>
              </w:rPr>
              <w:t>21,967</w:t>
            </w:r>
          </w:p>
        </w:tc>
      </w:tr>
      <w:tr w:rsidR="00953130" w:rsidRPr="001D41EA" w14:paraId="76732278"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8FC5B63" w14:textId="77777777" w:rsidR="00953130" w:rsidRPr="001D41EA" w:rsidRDefault="00953130" w:rsidP="001D41EA">
            <w:pPr>
              <w:spacing w:before="40" w:after="20"/>
              <w:rPr>
                <w:rFonts w:cs="Arial"/>
                <w:sz w:val="18"/>
                <w:szCs w:val="18"/>
              </w:rPr>
            </w:pPr>
            <w:r w:rsidRPr="001D41EA">
              <w:rPr>
                <w:rFonts w:cs="Arial"/>
                <w:sz w:val="18"/>
                <w:szCs w:val="18"/>
              </w:rPr>
              <w:t>Northern Grampians S</w:t>
            </w:r>
          </w:p>
        </w:tc>
        <w:tc>
          <w:tcPr>
            <w:tcW w:w="1134" w:type="dxa"/>
            <w:tcBorders>
              <w:top w:val="nil"/>
              <w:left w:val="single" w:sz="18" w:space="0" w:color="5F497A" w:themeColor="accent4" w:themeShade="BF"/>
              <w:bottom w:val="nil"/>
              <w:right w:val="nil"/>
            </w:tcBorders>
            <w:shd w:val="clear" w:color="auto" w:fill="auto"/>
            <w:vAlign w:val="bottom"/>
          </w:tcPr>
          <w:p w14:paraId="244AA960" w14:textId="098AAF09" w:rsidR="00953130" w:rsidRPr="001D41EA" w:rsidRDefault="00953130" w:rsidP="001D41EA">
            <w:pPr>
              <w:spacing w:before="40" w:after="20"/>
              <w:jc w:val="right"/>
              <w:rPr>
                <w:rFonts w:cs="Arial"/>
                <w:sz w:val="18"/>
                <w:szCs w:val="18"/>
              </w:rPr>
            </w:pPr>
            <w:r w:rsidRPr="001D41EA">
              <w:rPr>
                <w:rFonts w:cs="Arial"/>
                <w:sz w:val="18"/>
                <w:szCs w:val="18"/>
              </w:rPr>
              <w:t>11,431</w:t>
            </w:r>
          </w:p>
        </w:tc>
        <w:tc>
          <w:tcPr>
            <w:tcW w:w="1134" w:type="dxa"/>
            <w:tcBorders>
              <w:top w:val="nil"/>
              <w:left w:val="nil"/>
              <w:bottom w:val="nil"/>
              <w:right w:val="nil"/>
            </w:tcBorders>
            <w:vAlign w:val="bottom"/>
          </w:tcPr>
          <w:p w14:paraId="5F509B7E" w14:textId="2869AB49" w:rsidR="00953130" w:rsidRPr="001D41EA" w:rsidRDefault="00953130" w:rsidP="001D41EA">
            <w:pPr>
              <w:spacing w:before="40" w:after="20"/>
              <w:jc w:val="right"/>
              <w:rPr>
                <w:rFonts w:cs="Arial"/>
                <w:sz w:val="18"/>
                <w:szCs w:val="18"/>
              </w:rPr>
            </w:pPr>
            <w:r w:rsidRPr="001D41EA">
              <w:rPr>
                <w:rFonts w:cs="Arial"/>
                <w:sz w:val="18"/>
                <w:szCs w:val="18"/>
              </w:rPr>
              <w:t>15,000</w:t>
            </w:r>
          </w:p>
        </w:tc>
        <w:tc>
          <w:tcPr>
            <w:tcW w:w="1134" w:type="dxa"/>
            <w:tcBorders>
              <w:top w:val="nil"/>
              <w:left w:val="nil"/>
              <w:bottom w:val="nil"/>
              <w:right w:val="nil"/>
            </w:tcBorders>
            <w:vAlign w:val="bottom"/>
          </w:tcPr>
          <w:p w14:paraId="72A6EF5D" w14:textId="78DCE024" w:rsidR="00953130" w:rsidRPr="001D41EA" w:rsidRDefault="00953130" w:rsidP="001D41EA">
            <w:pPr>
              <w:spacing w:before="40" w:after="20"/>
              <w:jc w:val="right"/>
              <w:rPr>
                <w:rFonts w:cs="Arial"/>
                <w:sz w:val="18"/>
                <w:szCs w:val="18"/>
              </w:rPr>
            </w:pPr>
            <w:r w:rsidRPr="001D41EA">
              <w:rPr>
                <w:rFonts w:cs="Arial"/>
                <w:sz w:val="18"/>
                <w:szCs w:val="18"/>
              </w:rPr>
              <w:t>20,000</w:t>
            </w:r>
          </w:p>
        </w:tc>
        <w:tc>
          <w:tcPr>
            <w:tcW w:w="1134" w:type="dxa"/>
            <w:tcBorders>
              <w:top w:val="nil"/>
              <w:left w:val="nil"/>
              <w:bottom w:val="nil"/>
              <w:right w:val="nil"/>
            </w:tcBorders>
            <w:vAlign w:val="bottom"/>
          </w:tcPr>
          <w:p w14:paraId="326A25E3" w14:textId="4C8FB000" w:rsidR="00953130" w:rsidRPr="001D41EA" w:rsidRDefault="00953130" w:rsidP="001D41EA">
            <w:pPr>
              <w:spacing w:before="40" w:after="20"/>
              <w:jc w:val="right"/>
              <w:rPr>
                <w:rFonts w:cs="Arial"/>
                <w:sz w:val="18"/>
                <w:szCs w:val="18"/>
              </w:rPr>
            </w:pPr>
            <w:r w:rsidRPr="001D41EA">
              <w:rPr>
                <w:rFonts w:cs="Arial"/>
                <w:sz w:val="18"/>
                <w:szCs w:val="18"/>
              </w:rPr>
              <w:t>11,759</w:t>
            </w:r>
          </w:p>
        </w:tc>
        <w:tc>
          <w:tcPr>
            <w:tcW w:w="1134" w:type="dxa"/>
            <w:tcBorders>
              <w:top w:val="nil"/>
              <w:left w:val="nil"/>
              <w:bottom w:val="nil"/>
              <w:right w:val="nil"/>
            </w:tcBorders>
            <w:shd w:val="clear" w:color="auto" w:fill="auto"/>
            <w:vAlign w:val="bottom"/>
          </w:tcPr>
          <w:p w14:paraId="2D3C4BA2" w14:textId="3F5FD1A2" w:rsidR="00953130" w:rsidRPr="001D41EA" w:rsidRDefault="00953130" w:rsidP="001D41EA">
            <w:pPr>
              <w:spacing w:before="40" w:after="20"/>
              <w:jc w:val="right"/>
              <w:rPr>
                <w:rFonts w:cs="Arial"/>
                <w:sz w:val="18"/>
                <w:szCs w:val="18"/>
              </w:rPr>
            </w:pPr>
            <w:r w:rsidRPr="001D41EA">
              <w:rPr>
                <w:rFonts w:cs="Arial"/>
                <w:sz w:val="18"/>
                <w:szCs w:val="18"/>
              </w:rPr>
              <w:t>4,905</w:t>
            </w:r>
          </w:p>
        </w:tc>
        <w:tc>
          <w:tcPr>
            <w:tcW w:w="1134" w:type="dxa"/>
            <w:tcBorders>
              <w:top w:val="nil"/>
              <w:left w:val="nil"/>
              <w:bottom w:val="nil"/>
              <w:right w:val="nil"/>
            </w:tcBorders>
            <w:shd w:val="clear" w:color="auto" w:fill="auto"/>
            <w:vAlign w:val="bottom"/>
          </w:tcPr>
          <w:p w14:paraId="7D2E5B57" w14:textId="59FA0153" w:rsidR="00953130" w:rsidRPr="001D41EA" w:rsidRDefault="00953130" w:rsidP="001D41EA">
            <w:pPr>
              <w:spacing w:before="40" w:after="20"/>
              <w:jc w:val="right"/>
              <w:rPr>
                <w:rFonts w:cs="Arial"/>
                <w:sz w:val="18"/>
                <w:szCs w:val="18"/>
              </w:rPr>
            </w:pPr>
            <w:r w:rsidRPr="001D41EA">
              <w:rPr>
                <w:rFonts w:cs="Arial"/>
                <w:sz w:val="18"/>
                <w:szCs w:val="18"/>
              </w:rPr>
              <w:t>5,990</w:t>
            </w:r>
          </w:p>
        </w:tc>
      </w:tr>
      <w:tr w:rsidR="00953130" w:rsidRPr="001D41EA" w14:paraId="466E1DDA"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39FE5E30" w14:textId="77777777" w:rsidR="00953130" w:rsidRPr="001D41EA" w:rsidRDefault="00953130" w:rsidP="001D41EA">
            <w:pPr>
              <w:spacing w:before="40" w:after="20"/>
              <w:rPr>
                <w:rFonts w:cs="Arial"/>
                <w:sz w:val="18"/>
                <w:szCs w:val="18"/>
              </w:rPr>
            </w:pPr>
            <w:r w:rsidRPr="001D41EA">
              <w:rPr>
                <w:rFonts w:cs="Arial"/>
                <w:sz w:val="18"/>
                <w:szCs w:val="18"/>
              </w:rPr>
              <w:t>Port Phillip C</w:t>
            </w:r>
          </w:p>
        </w:tc>
        <w:tc>
          <w:tcPr>
            <w:tcW w:w="1134" w:type="dxa"/>
            <w:tcBorders>
              <w:top w:val="nil"/>
              <w:left w:val="single" w:sz="18" w:space="0" w:color="5F497A" w:themeColor="accent4" w:themeShade="BF"/>
              <w:bottom w:val="nil"/>
              <w:right w:val="nil"/>
            </w:tcBorders>
            <w:shd w:val="clear" w:color="auto" w:fill="auto"/>
            <w:vAlign w:val="bottom"/>
          </w:tcPr>
          <w:p w14:paraId="6E70365E" w14:textId="6711C64F" w:rsidR="00953130" w:rsidRPr="001D41EA" w:rsidRDefault="00953130" w:rsidP="001D41EA">
            <w:pPr>
              <w:spacing w:before="40" w:after="20"/>
              <w:jc w:val="right"/>
              <w:rPr>
                <w:rFonts w:cs="Arial"/>
                <w:sz w:val="18"/>
                <w:szCs w:val="18"/>
              </w:rPr>
            </w:pPr>
            <w:r w:rsidRPr="001D41EA">
              <w:rPr>
                <w:rFonts w:cs="Arial"/>
                <w:sz w:val="18"/>
                <w:szCs w:val="18"/>
              </w:rPr>
              <w:t>113,200</w:t>
            </w:r>
          </w:p>
        </w:tc>
        <w:tc>
          <w:tcPr>
            <w:tcW w:w="1134" w:type="dxa"/>
            <w:tcBorders>
              <w:top w:val="nil"/>
              <w:left w:val="nil"/>
              <w:bottom w:val="nil"/>
              <w:right w:val="nil"/>
            </w:tcBorders>
            <w:vAlign w:val="bottom"/>
          </w:tcPr>
          <w:p w14:paraId="61E2B9AB" w14:textId="2FF1B9E3" w:rsidR="00953130" w:rsidRPr="001D41EA" w:rsidRDefault="00953130" w:rsidP="001D41EA">
            <w:pPr>
              <w:spacing w:before="40" w:after="20"/>
              <w:jc w:val="right"/>
              <w:rPr>
                <w:rFonts w:cs="Arial"/>
                <w:sz w:val="18"/>
                <w:szCs w:val="18"/>
              </w:rPr>
            </w:pPr>
            <w:r w:rsidRPr="001D41EA">
              <w:rPr>
                <w:rFonts w:cs="Arial"/>
                <w:sz w:val="18"/>
                <w:szCs w:val="18"/>
              </w:rPr>
              <w:t>114,065</w:t>
            </w:r>
          </w:p>
        </w:tc>
        <w:tc>
          <w:tcPr>
            <w:tcW w:w="1134" w:type="dxa"/>
            <w:tcBorders>
              <w:top w:val="nil"/>
              <w:left w:val="nil"/>
              <w:bottom w:val="nil"/>
              <w:right w:val="nil"/>
            </w:tcBorders>
            <w:vAlign w:val="bottom"/>
          </w:tcPr>
          <w:p w14:paraId="058A71CD" w14:textId="67751699" w:rsidR="00953130" w:rsidRPr="001D41EA" w:rsidRDefault="00953130" w:rsidP="001D41EA">
            <w:pPr>
              <w:spacing w:before="40" w:after="20"/>
              <w:jc w:val="right"/>
              <w:rPr>
                <w:rFonts w:cs="Arial"/>
                <w:sz w:val="18"/>
                <w:szCs w:val="18"/>
              </w:rPr>
            </w:pPr>
            <w:r w:rsidRPr="001D41EA">
              <w:rPr>
                <w:rFonts w:cs="Arial"/>
                <w:sz w:val="18"/>
                <w:szCs w:val="18"/>
              </w:rPr>
              <w:t>114,065</w:t>
            </w:r>
          </w:p>
        </w:tc>
        <w:tc>
          <w:tcPr>
            <w:tcW w:w="1134" w:type="dxa"/>
            <w:tcBorders>
              <w:top w:val="nil"/>
              <w:left w:val="nil"/>
              <w:bottom w:val="nil"/>
              <w:right w:val="nil"/>
            </w:tcBorders>
            <w:vAlign w:val="bottom"/>
          </w:tcPr>
          <w:p w14:paraId="51F9C956" w14:textId="11F0E352" w:rsidR="00953130" w:rsidRPr="001D41EA" w:rsidRDefault="00953130" w:rsidP="001D41EA">
            <w:pPr>
              <w:spacing w:before="40" w:after="20"/>
              <w:jc w:val="right"/>
              <w:rPr>
                <w:rFonts w:cs="Arial"/>
                <w:sz w:val="18"/>
                <w:szCs w:val="18"/>
              </w:rPr>
            </w:pPr>
            <w:r w:rsidRPr="001D41EA">
              <w:rPr>
                <w:rFonts w:cs="Arial"/>
                <w:sz w:val="18"/>
                <w:szCs w:val="18"/>
              </w:rPr>
              <w:t>114,065</w:t>
            </w:r>
          </w:p>
        </w:tc>
        <w:tc>
          <w:tcPr>
            <w:tcW w:w="1134" w:type="dxa"/>
            <w:tcBorders>
              <w:top w:val="nil"/>
              <w:left w:val="nil"/>
              <w:bottom w:val="nil"/>
              <w:right w:val="nil"/>
            </w:tcBorders>
            <w:shd w:val="clear" w:color="auto" w:fill="auto"/>
            <w:vAlign w:val="bottom"/>
          </w:tcPr>
          <w:p w14:paraId="76ADB783" w14:textId="614D7E4E" w:rsidR="00953130" w:rsidRPr="001D41EA" w:rsidRDefault="00953130" w:rsidP="001D41EA">
            <w:pPr>
              <w:spacing w:before="40" w:after="20"/>
              <w:jc w:val="right"/>
              <w:rPr>
                <w:rFonts w:cs="Arial"/>
                <w:sz w:val="18"/>
                <w:szCs w:val="18"/>
              </w:rPr>
            </w:pPr>
            <w:r w:rsidRPr="001D41EA">
              <w:rPr>
                <w:rFonts w:cs="Arial"/>
                <w:sz w:val="18"/>
                <w:szCs w:val="18"/>
              </w:rPr>
              <w:t>22,880</w:t>
            </w:r>
          </w:p>
        </w:tc>
        <w:tc>
          <w:tcPr>
            <w:tcW w:w="1134" w:type="dxa"/>
            <w:tcBorders>
              <w:top w:val="nil"/>
              <w:left w:val="nil"/>
              <w:bottom w:val="nil"/>
              <w:right w:val="nil"/>
            </w:tcBorders>
            <w:shd w:val="clear" w:color="auto" w:fill="auto"/>
            <w:vAlign w:val="bottom"/>
          </w:tcPr>
          <w:p w14:paraId="0166238A" w14:textId="74F3550B" w:rsidR="00953130" w:rsidRPr="001D41EA" w:rsidRDefault="00953130" w:rsidP="001D41EA">
            <w:pPr>
              <w:spacing w:before="40" w:after="20"/>
              <w:jc w:val="right"/>
              <w:rPr>
                <w:rFonts w:cs="Arial"/>
                <w:sz w:val="18"/>
                <w:szCs w:val="18"/>
              </w:rPr>
            </w:pPr>
            <w:r w:rsidRPr="001D41EA">
              <w:rPr>
                <w:rFonts w:cs="Arial"/>
                <w:sz w:val="18"/>
                <w:szCs w:val="18"/>
              </w:rPr>
              <w:t>60,210</w:t>
            </w:r>
          </w:p>
        </w:tc>
      </w:tr>
      <w:tr w:rsidR="00953130" w:rsidRPr="001D41EA" w14:paraId="3343EBB6"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97C214C" w14:textId="77777777" w:rsidR="00953130" w:rsidRPr="001D41EA" w:rsidRDefault="00953130" w:rsidP="001D41EA">
            <w:pPr>
              <w:spacing w:before="40" w:after="20"/>
              <w:rPr>
                <w:rFonts w:cs="Arial"/>
                <w:sz w:val="18"/>
                <w:szCs w:val="18"/>
              </w:rPr>
            </w:pPr>
            <w:r w:rsidRPr="001D41EA">
              <w:rPr>
                <w:rFonts w:cs="Arial"/>
                <w:sz w:val="18"/>
                <w:szCs w:val="18"/>
              </w:rPr>
              <w:t>Pyrenees S</w:t>
            </w:r>
          </w:p>
        </w:tc>
        <w:tc>
          <w:tcPr>
            <w:tcW w:w="1134" w:type="dxa"/>
            <w:tcBorders>
              <w:top w:val="nil"/>
              <w:left w:val="single" w:sz="18" w:space="0" w:color="5F497A" w:themeColor="accent4" w:themeShade="BF"/>
              <w:bottom w:val="nil"/>
              <w:right w:val="nil"/>
            </w:tcBorders>
            <w:shd w:val="clear" w:color="auto" w:fill="auto"/>
            <w:vAlign w:val="bottom"/>
          </w:tcPr>
          <w:p w14:paraId="7A160B2A" w14:textId="3612779D" w:rsidR="00953130" w:rsidRPr="001D41EA" w:rsidRDefault="00953130" w:rsidP="001D41EA">
            <w:pPr>
              <w:spacing w:before="40" w:after="20"/>
              <w:jc w:val="right"/>
              <w:rPr>
                <w:rFonts w:cs="Arial"/>
                <w:sz w:val="18"/>
                <w:szCs w:val="18"/>
              </w:rPr>
            </w:pPr>
            <w:r w:rsidRPr="001D41EA">
              <w:rPr>
                <w:rFonts w:cs="Arial"/>
                <w:sz w:val="18"/>
                <w:szCs w:val="18"/>
              </w:rPr>
              <w:t>7,353</w:t>
            </w:r>
          </w:p>
        </w:tc>
        <w:tc>
          <w:tcPr>
            <w:tcW w:w="1134" w:type="dxa"/>
            <w:tcBorders>
              <w:top w:val="nil"/>
              <w:left w:val="nil"/>
              <w:bottom w:val="nil"/>
              <w:right w:val="nil"/>
            </w:tcBorders>
            <w:vAlign w:val="bottom"/>
          </w:tcPr>
          <w:p w14:paraId="3AB7510E" w14:textId="7D839C2C" w:rsidR="00953130" w:rsidRPr="001D41EA" w:rsidRDefault="00953130" w:rsidP="001D41EA">
            <w:pPr>
              <w:spacing w:before="40" w:after="20"/>
              <w:jc w:val="right"/>
              <w:rPr>
                <w:rFonts w:cs="Arial"/>
                <w:sz w:val="18"/>
                <w:szCs w:val="18"/>
              </w:rPr>
            </w:pPr>
            <w:r w:rsidRPr="001D41EA">
              <w:rPr>
                <w:rFonts w:cs="Arial"/>
                <w:sz w:val="18"/>
                <w:szCs w:val="18"/>
              </w:rPr>
              <w:t>15,000</w:t>
            </w:r>
          </w:p>
        </w:tc>
        <w:tc>
          <w:tcPr>
            <w:tcW w:w="1134" w:type="dxa"/>
            <w:tcBorders>
              <w:top w:val="nil"/>
              <w:left w:val="nil"/>
              <w:bottom w:val="nil"/>
              <w:right w:val="nil"/>
            </w:tcBorders>
            <w:vAlign w:val="bottom"/>
          </w:tcPr>
          <w:p w14:paraId="48078A53" w14:textId="3D0B3188" w:rsidR="00953130" w:rsidRPr="001D41EA" w:rsidRDefault="00953130" w:rsidP="001D41EA">
            <w:pPr>
              <w:spacing w:before="40" w:after="20"/>
              <w:jc w:val="right"/>
              <w:rPr>
                <w:rFonts w:cs="Arial"/>
                <w:sz w:val="18"/>
                <w:szCs w:val="18"/>
              </w:rPr>
            </w:pPr>
            <w:r w:rsidRPr="001D41EA">
              <w:rPr>
                <w:rFonts w:cs="Arial"/>
                <w:sz w:val="18"/>
                <w:szCs w:val="18"/>
              </w:rPr>
              <w:t>20,000</w:t>
            </w:r>
          </w:p>
        </w:tc>
        <w:tc>
          <w:tcPr>
            <w:tcW w:w="1134" w:type="dxa"/>
            <w:tcBorders>
              <w:top w:val="nil"/>
              <w:left w:val="nil"/>
              <w:bottom w:val="nil"/>
              <w:right w:val="nil"/>
            </w:tcBorders>
            <w:vAlign w:val="bottom"/>
          </w:tcPr>
          <w:p w14:paraId="25AD573C" w14:textId="7177F775" w:rsidR="00953130" w:rsidRPr="001D41EA" w:rsidRDefault="00953130" w:rsidP="001D41EA">
            <w:pPr>
              <w:spacing w:before="40" w:after="20"/>
              <w:jc w:val="right"/>
              <w:rPr>
                <w:rFonts w:cs="Arial"/>
                <w:sz w:val="18"/>
                <w:szCs w:val="18"/>
              </w:rPr>
            </w:pPr>
            <w:r w:rsidRPr="001D41EA">
              <w:rPr>
                <w:rFonts w:cs="Arial"/>
                <w:sz w:val="18"/>
                <w:szCs w:val="18"/>
              </w:rPr>
              <w:t>7,642</w:t>
            </w:r>
          </w:p>
        </w:tc>
        <w:tc>
          <w:tcPr>
            <w:tcW w:w="1134" w:type="dxa"/>
            <w:tcBorders>
              <w:top w:val="nil"/>
              <w:left w:val="nil"/>
              <w:bottom w:val="nil"/>
              <w:right w:val="nil"/>
            </w:tcBorders>
            <w:shd w:val="clear" w:color="auto" w:fill="auto"/>
            <w:vAlign w:val="bottom"/>
          </w:tcPr>
          <w:p w14:paraId="05F867C6" w14:textId="225D4788" w:rsidR="00953130" w:rsidRPr="001D41EA" w:rsidRDefault="00953130" w:rsidP="001D41EA">
            <w:pPr>
              <w:spacing w:before="40" w:after="20"/>
              <w:jc w:val="right"/>
              <w:rPr>
                <w:rFonts w:cs="Arial"/>
                <w:sz w:val="18"/>
                <w:szCs w:val="18"/>
              </w:rPr>
            </w:pPr>
            <w:r w:rsidRPr="001D41EA">
              <w:rPr>
                <w:rFonts w:cs="Arial"/>
                <w:sz w:val="18"/>
                <w:szCs w:val="18"/>
              </w:rPr>
              <w:t>3,201</w:t>
            </w:r>
          </w:p>
        </w:tc>
        <w:tc>
          <w:tcPr>
            <w:tcW w:w="1134" w:type="dxa"/>
            <w:tcBorders>
              <w:top w:val="nil"/>
              <w:left w:val="nil"/>
              <w:bottom w:val="nil"/>
              <w:right w:val="nil"/>
            </w:tcBorders>
            <w:shd w:val="clear" w:color="auto" w:fill="auto"/>
            <w:vAlign w:val="bottom"/>
          </w:tcPr>
          <w:p w14:paraId="25B1DBA4" w14:textId="6F8DE1FA" w:rsidR="00953130" w:rsidRPr="001D41EA" w:rsidRDefault="00953130" w:rsidP="001D41EA">
            <w:pPr>
              <w:spacing w:before="40" w:after="20"/>
              <w:jc w:val="right"/>
              <w:rPr>
                <w:rFonts w:cs="Arial"/>
                <w:sz w:val="18"/>
                <w:szCs w:val="18"/>
              </w:rPr>
            </w:pPr>
            <w:r w:rsidRPr="001D41EA">
              <w:rPr>
                <w:rFonts w:cs="Arial"/>
                <w:sz w:val="18"/>
                <w:szCs w:val="18"/>
              </w:rPr>
              <w:t>3,591</w:t>
            </w:r>
          </w:p>
        </w:tc>
      </w:tr>
      <w:tr w:rsidR="00953130" w:rsidRPr="001D41EA" w14:paraId="7F41457A"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FB66362" w14:textId="77777777" w:rsidR="00953130" w:rsidRPr="001D41EA" w:rsidRDefault="00953130" w:rsidP="001D41EA">
            <w:pPr>
              <w:spacing w:before="40" w:after="20"/>
              <w:rPr>
                <w:rFonts w:cs="Arial"/>
                <w:sz w:val="18"/>
                <w:szCs w:val="18"/>
              </w:rPr>
            </w:pPr>
            <w:r w:rsidRPr="001D41EA">
              <w:rPr>
                <w:rFonts w:cs="Arial"/>
                <w:sz w:val="18"/>
                <w:szCs w:val="18"/>
              </w:rPr>
              <w:t>Queenscliffe B</w:t>
            </w:r>
          </w:p>
        </w:tc>
        <w:tc>
          <w:tcPr>
            <w:tcW w:w="1134" w:type="dxa"/>
            <w:tcBorders>
              <w:top w:val="nil"/>
              <w:left w:val="single" w:sz="18" w:space="0" w:color="5F497A" w:themeColor="accent4" w:themeShade="BF"/>
              <w:bottom w:val="nil"/>
              <w:right w:val="nil"/>
            </w:tcBorders>
            <w:shd w:val="clear" w:color="auto" w:fill="auto"/>
            <w:vAlign w:val="bottom"/>
          </w:tcPr>
          <w:p w14:paraId="230F7E45" w14:textId="31232F27" w:rsidR="00953130" w:rsidRPr="001D41EA" w:rsidRDefault="00953130" w:rsidP="001D41EA">
            <w:pPr>
              <w:spacing w:before="40" w:after="20"/>
              <w:jc w:val="right"/>
              <w:rPr>
                <w:rFonts w:cs="Arial"/>
                <w:sz w:val="18"/>
                <w:szCs w:val="18"/>
              </w:rPr>
            </w:pPr>
            <w:r w:rsidRPr="001D41EA">
              <w:rPr>
                <w:rFonts w:cs="Arial"/>
                <w:sz w:val="18"/>
                <w:szCs w:val="18"/>
              </w:rPr>
              <w:t>2,982</w:t>
            </w:r>
          </w:p>
        </w:tc>
        <w:tc>
          <w:tcPr>
            <w:tcW w:w="1134" w:type="dxa"/>
            <w:tcBorders>
              <w:top w:val="nil"/>
              <w:left w:val="nil"/>
              <w:bottom w:val="nil"/>
              <w:right w:val="nil"/>
            </w:tcBorders>
            <w:vAlign w:val="bottom"/>
          </w:tcPr>
          <w:p w14:paraId="246BE47A" w14:textId="2DD4C469" w:rsidR="00953130" w:rsidRPr="001D41EA" w:rsidRDefault="00953130" w:rsidP="001D41EA">
            <w:pPr>
              <w:spacing w:before="40" w:after="20"/>
              <w:jc w:val="right"/>
              <w:rPr>
                <w:rFonts w:cs="Arial"/>
                <w:sz w:val="18"/>
                <w:szCs w:val="18"/>
              </w:rPr>
            </w:pPr>
            <w:r w:rsidRPr="001D41EA">
              <w:rPr>
                <w:rFonts w:cs="Arial"/>
                <w:sz w:val="18"/>
                <w:szCs w:val="18"/>
              </w:rPr>
              <w:t>15,000</w:t>
            </w:r>
          </w:p>
        </w:tc>
        <w:tc>
          <w:tcPr>
            <w:tcW w:w="1134" w:type="dxa"/>
            <w:tcBorders>
              <w:top w:val="nil"/>
              <w:left w:val="nil"/>
              <w:bottom w:val="nil"/>
              <w:right w:val="nil"/>
            </w:tcBorders>
            <w:vAlign w:val="bottom"/>
          </w:tcPr>
          <w:p w14:paraId="46903D44" w14:textId="567FB06F" w:rsidR="00953130" w:rsidRPr="001D41EA" w:rsidRDefault="00953130" w:rsidP="001D41EA">
            <w:pPr>
              <w:spacing w:before="40" w:after="20"/>
              <w:jc w:val="right"/>
              <w:rPr>
                <w:rFonts w:cs="Arial"/>
                <w:sz w:val="18"/>
                <w:szCs w:val="18"/>
              </w:rPr>
            </w:pPr>
            <w:r w:rsidRPr="001D41EA">
              <w:rPr>
                <w:rFonts w:cs="Arial"/>
                <w:sz w:val="18"/>
                <w:szCs w:val="18"/>
              </w:rPr>
              <w:t>20,000</w:t>
            </w:r>
          </w:p>
        </w:tc>
        <w:tc>
          <w:tcPr>
            <w:tcW w:w="1134" w:type="dxa"/>
            <w:tcBorders>
              <w:top w:val="nil"/>
              <w:left w:val="nil"/>
              <w:bottom w:val="nil"/>
              <w:right w:val="nil"/>
            </w:tcBorders>
            <w:vAlign w:val="bottom"/>
          </w:tcPr>
          <w:p w14:paraId="5A28D3C4" w14:textId="7BA06651" w:rsidR="00953130" w:rsidRPr="001D41EA" w:rsidRDefault="00953130" w:rsidP="001D41EA">
            <w:pPr>
              <w:spacing w:before="40" w:after="20"/>
              <w:jc w:val="right"/>
              <w:rPr>
                <w:rFonts w:cs="Arial"/>
                <w:sz w:val="18"/>
                <w:szCs w:val="18"/>
              </w:rPr>
            </w:pPr>
            <w:r w:rsidRPr="001D41EA">
              <w:rPr>
                <w:rFonts w:cs="Arial"/>
                <w:sz w:val="18"/>
                <w:szCs w:val="18"/>
              </w:rPr>
              <w:t>4,351</w:t>
            </w:r>
          </w:p>
        </w:tc>
        <w:tc>
          <w:tcPr>
            <w:tcW w:w="1134" w:type="dxa"/>
            <w:tcBorders>
              <w:top w:val="nil"/>
              <w:left w:val="nil"/>
              <w:bottom w:val="nil"/>
              <w:right w:val="nil"/>
            </w:tcBorders>
            <w:shd w:val="clear" w:color="auto" w:fill="auto"/>
            <w:vAlign w:val="bottom"/>
          </w:tcPr>
          <w:p w14:paraId="6B50EFED" w14:textId="53822304" w:rsidR="00953130" w:rsidRPr="001D41EA" w:rsidRDefault="00953130" w:rsidP="001D41EA">
            <w:pPr>
              <w:spacing w:before="40" w:after="20"/>
              <w:jc w:val="right"/>
              <w:rPr>
                <w:rFonts w:cs="Arial"/>
                <w:sz w:val="18"/>
                <w:szCs w:val="18"/>
              </w:rPr>
            </w:pPr>
            <w:r w:rsidRPr="001D41EA">
              <w:rPr>
                <w:rFonts w:cs="Arial"/>
                <w:sz w:val="18"/>
                <w:szCs w:val="18"/>
              </w:rPr>
              <w:t>1,612</w:t>
            </w:r>
          </w:p>
        </w:tc>
        <w:tc>
          <w:tcPr>
            <w:tcW w:w="1134" w:type="dxa"/>
            <w:tcBorders>
              <w:top w:val="nil"/>
              <w:left w:val="nil"/>
              <w:bottom w:val="nil"/>
              <w:right w:val="nil"/>
            </w:tcBorders>
            <w:shd w:val="clear" w:color="auto" w:fill="auto"/>
            <w:vAlign w:val="bottom"/>
          </w:tcPr>
          <w:p w14:paraId="1B113C41" w14:textId="42863861" w:rsidR="00953130" w:rsidRPr="001D41EA" w:rsidRDefault="00953130" w:rsidP="001D41EA">
            <w:pPr>
              <w:spacing w:before="40" w:after="20"/>
              <w:jc w:val="right"/>
              <w:rPr>
                <w:rFonts w:cs="Arial"/>
                <w:sz w:val="18"/>
                <w:szCs w:val="18"/>
              </w:rPr>
            </w:pPr>
            <w:r w:rsidRPr="001D41EA">
              <w:rPr>
                <w:rFonts w:cs="Arial"/>
                <w:sz w:val="18"/>
                <w:szCs w:val="18"/>
              </w:rPr>
              <w:t>2,873</w:t>
            </w:r>
          </w:p>
        </w:tc>
      </w:tr>
      <w:tr w:rsidR="00953130" w:rsidRPr="001D41EA" w14:paraId="0E4C767F"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6135E8C" w14:textId="77777777" w:rsidR="00953130" w:rsidRPr="001D41EA" w:rsidRDefault="00953130" w:rsidP="001D41EA">
            <w:pPr>
              <w:spacing w:before="40" w:after="20"/>
              <w:rPr>
                <w:rFonts w:cs="Arial"/>
                <w:sz w:val="18"/>
                <w:szCs w:val="18"/>
              </w:rPr>
            </w:pPr>
            <w:r w:rsidRPr="001D41EA">
              <w:rPr>
                <w:rFonts w:cs="Arial"/>
                <w:sz w:val="18"/>
                <w:szCs w:val="18"/>
              </w:rPr>
              <w:t>South Gippsland S</w:t>
            </w:r>
          </w:p>
        </w:tc>
        <w:tc>
          <w:tcPr>
            <w:tcW w:w="1134" w:type="dxa"/>
            <w:tcBorders>
              <w:top w:val="nil"/>
              <w:left w:val="single" w:sz="18" w:space="0" w:color="5F497A" w:themeColor="accent4" w:themeShade="BF"/>
              <w:bottom w:val="nil"/>
              <w:right w:val="nil"/>
            </w:tcBorders>
            <w:shd w:val="clear" w:color="auto" w:fill="auto"/>
            <w:vAlign w:val="bottom"/>
          </w:tcPr>
          <w:p w14:paraId="301ED2D6" w14:textId="322DB89B" w:rsidR="00953130" w:rsidRPr="001D41EA" w:rsidRDefault="00953130" w:rsidP="001D41EA">
            <w:pPr>
              <w:spacing w:before="40" w:after="20"/>
              <w:jc w:val="right"/>
              <w:rPr>
                <w:rFonts w:cs="Arial"/>
                <w:sz w:val="18"/>
                <w:szCs w:val="18"/>
              </w:rPr>
            </w:pPr>
            <w:r w:rsidRPr="001D41EA">
              <w:rPr>
                <w:rFonts w:cs="Arial"/>
                <w:sz w:val="18"/>
                <w:szCs w:val="18"/>
              </w:rPr>
              <w:t>29,576</w:t>
            </w:r>
          </w:p>
        </w:tc>
        <w:tc>
          <w:tcPr>
            <w:tcW w:w="1134" w:type="dxa"/>
            <w:tcBorders>
              <w:top w:val="nil"/>
              <w:left w:val="nil"/>
              <w:bottom w:val="nil"/>
              <w:right w:val="nil"/>
            </w:tcBorders>
            <w:vAlign w:val="bottom"/>
          </w:tcPr>
          <w:p w14:paraId="298B3B81" w14:textId="1F0FE435" w:rsidR="00953130" w:rsidRPr="001D41EA" w:rsidRDefault="00953130" w:rsidP="001D41EA">
            <w:pPr>
              <w:spacing w:before="40" w:after="20"/>
              <w:jc w:val="right"/>
              <w:rPr>
                <w:rFonts w:cs="Arial"/>
                <w:sz w:val="18"/>
                <w:szCs w:val="18"/>
              </w:rPr>
            </w:pPr>
            <w:r w:rsidRPr="001D41EA">
              <w:rPr>
                <w:rFonts w:cs="Arial"/>
                <w:sz w:val="18"/>
                <w:szCs w:val="18"/>
              </w:rPr>
              <w:t>32,607</w:t>
            </w:r>
          </w:p>
        </w:tc>
        <w:tc>
          <w:tcPr>
            <w:tcW w:w="1134" w:type="dxa"/>
            <w:tcBorders>
              <w:top w:val="nil"/>
              <w:left w:val="nil"/>
              <w:bottom w:val="nil"/>
              <w:right w:val="nil"/>
            </w:tcBorders>
            <w:vAlign w:val="bottom"/>
          </w:tcPr>
          <w:p w14:paraId="48392B28" w14:textId="3FB28D2F" w:rsidR="00953130" w:rsidRPr="001D41EA" w:rsidRDefault="00953130" w:rsidP="001D41EA">
            <w:pPr>
              <w:spacing w:before="40" w:after="20"/>
              <w:jc w:val="right"/>
              <w:rPr>
                <w:rFonts w:cs="Arial"/>
                <w:sz w:val="18"/>
                <w:szCs w:val="18"/>
              </w:rPr>
            </w:pPr>
            <w:r w:rsidRPr="001D41EA">
              <w:rPr>
                <w:rFonts w:cs="Arial"/>
                <w:sz w:val="18"/>
                <w:szCs w:val="18"/>
              </w:rPr>
              <w:t>32,607</w:t>
            </w:r>
          </w:p>
        </w:tc>
        <w:tc>
          <w:tcPr>
            <w:tcW w:w="1134" w:type="dxa"/>
            <w:tcBorders>
              <w:top w:val="nil"/>
              <w:left w:val="nil"/>
              <w:bottom w:val="nil"/>
              <w:right w:val="nil"/>
            </w:tcBorders>
            <w:vAlign w:val="bottom"/>
          </w:tcPr>
          <w:p w14:paraId="5D767C95" w14:textId="3FDF2C4D" w:rsidR="00953130" w:rsidRPr="001D41EA" w:rsidRDefault="00953130" w:rsidP="001D41EA">
            <w:pPr>
              <w:spacing w:before="40" w:after="20"/>
              <w:jc w:val="right"/>
              <w:rPr>
                <w:rFonts w:cs="Arial"/>
                <w:sz w:val="18"/>
                <w:szCs w:val="18"/>
              </w:rPr>
            </w:pPr>
            <w:r w:rsidRPr="001D41EA">
              <w:rPr>
                <w:rFonts w:cs="Arial"/>
                <w:sz w:val="18"/>
                <w:szCs w:val="18"/>
              </w:rPr>
              <w:t>32,607</w:t>
            </w:r>
          </w:p>
        </w:tc>
        <w:tc>
          <w:tcPr>
            <w:tcW w:w="1134" w:type="dxa"/>
            <w:tcBorders>
              <w:top w:val="nil"/>
              <w:left w:val="nil"/>
              <w:bottom w:val="nil"/>
              <w:right w:val="nil"/>
            </w:tcBorders>
            <w:shd w:val="clear" w:color="auto" w:fill="auto"/>
            <w:vAlign w:val="bottom"/>
          </w:tcPr>
          <w:p w14:paraId="25964D3A" w14:textId="6FB352D9" w:rsidR="00953130" w:rsidRPr="001D41EA" w:rsidRDefault="00953130" w:rsidP="001D41EA">
            <w:pPr>
              <w:spacing w:before="40" w:after="20"/>
              <w:jc w:val="right"/>
              <w:rPr>
                <w:rFonts w:cs="Arial"/>
                <w:sz w:val="18"/>
                <w:szCs w:val="18"/>
              </w:rPr>
            </w:pPr>
            <w:r w:rsidRPr="001D41EA">
              <w:rPr>
                <w:rFonts w:cs="Arial"/>
                <w:sz w:val="18"/>
                <w:szCs w:val="18"/>
              </w:rPr>
              <w:t>11,123</w:t>
            </w:r>
          </w:p>
        </w:tc>
        <w:tc>
          <w:tcPr>
            <w:tcW w:w="1134" w:type="dxa"/>
            <w:tcBorders>
              <w:top w:val="nil"/>
              <w:left w:val="nil"/>
              <w:bottom w:val="nil"/>
              <w:right w:val="nil"/>
            </w:tcBorders>
            <w:shd w:val="clear" w:color="auto" w:fill="auto"/>
            <w:vAlign w:val="bottom"/>
          </w:tcPr>
          <w:p w14:paraId="121D6F88" w14:textId="4D7E369B" w:rsidR="00953130" w:rsidRPr="001D41EA" w:rsidRDefault="00953130" w:rsidP="001D41EA">
            <w:pPr>
              <w:spacing w:before="40" w:after="20"/>
              <w:jc w:val="right"/>
              <w:rPr>
                <w:rFonts w:cs="Arial"/>
                <w:sz w:val="18"/>
                <w:szCs w:val="18"/>
              </w:rPr>
            </w:pPr>
            <w:r w:rsidRPr="001D41EA">
              <w:rPr>
                <w:rFonts w:cs="Arial"/>
                <w:sz w:val="18"/>
                <w:szCs w:val="18"/>
              </w:rPr>
              <w:t>16,221</w:t>
            </w:r>
          </w:p>
        </w:tc>
      </w:tr>
      <w:tr w:rsidR="00953130" w:rsidRPr="001D41EA" w14:paraId="6A3428F3"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66AA18F" w14:textId="77777777" w:rsidR="00953130" w:rsidRPr="001D41EA" w:rsidRDefault="00953130" w:rsidP="001D41EA">
            <w:pPr>
              <w:spacing w:before="40" w:after="20"/>
              <w:rPr>
                <w:rFonts w:cs="Arial"/>
                <w:sz w:val="18"/>
                <w:szCs w:val="18"/>
              </w:rPr>
            </w:pPr>
            <w:r w:rsidRPr="001D41EA">
              <w:rPr>
                <w:rFonts w:cs="Arial"/>
                <w:sz w:val="18"/>
                <w:szCs w:val="18"/>
              </w:rPr>
              <w:t>Southern Grampians S</w:t>
            </w:r>
          </w:p>
        </w:tc>
        <w:tc>
          <w:tcPr>
            <w:tcW w:w="1134" w:type="dxa"/>
            <w:tcBorders>
              <w:top w:val="nil"/>
              <w:left w:val="single" w:sz="18" w:space="0" w:color="5F497A" w:themeColor="accent4" w:themeShade="BF"/>
              <w:bottom w:val="nil"/>
              <w:right w:val="nil"/>
            </w:tcBorders>
            <w:shd w:val="clear" w:color="auto" w:fill="auto"/>
            <w:vAlign w:val="bottom"/>
          </w:tcPr>
          <w:p w14:paraId="63C49FFF" w14:textId="7E01C82C" w:rsidR="00953130" w:rsidRPr="001D41EA" w:rsidRDefault="00953130" w:rsidP="001D41EA">
            <w:pPr>
              <w:spacing w:before="40" w:after="20"/>
              <w:jc w:val="right"/>
              <w:rPr>
                <w:rFonts w:cs="Arial"/>
                <w:sz w:val="18"/>
                <w:szCs w:val="18"/>
              </w:rPr>
            </w:pPr>
            <w:r w:rsidRPr="001D41EA">
              <w:rPr>
                <w:rFonts w:cs="Arial"/>
                <w:sz w:val="18"/>
                <w:szCs w:val="18"/>
              </w:rPr>
              <w:t>16,135</w:t>
            </w:r>
          </w:p>
        </w:tc>
        <w:tc>
          <w:tcPr>
            <w:tcW w:w="1134" w:type="dxa"/>
            <w:tcBorders>
              <w:top w:val="nil"/>
              <w:left w:val="nil"/>
              <w:bottom w:val="nil"/>
              <w:right w:val="nil"/>
            </w:tcBorders>
            <w:vAlign w:val="bottom"/>
          </w:tcPr>
          <w:p w14:paraId="093AEA8F" w14:textId="25694775" w:rsidR="00953130" w:rsidRPr="001D41EA" w:rsidRDefault="00953130" w:rsidP="001D41EA">
            <w:pPr>
              <w:spacing w:before="40" w:after="20"/>
              <w:jc w:val="right"/>
              <w:rPr>
                <w:rFonts w:cs="Arial"/>
                <w:sz w:val="18"/>
                <w:szCs w:val="18"/>
              </w:rPr>
            </w:pPr>
            <w:r w:rsidRPr="001D41EA">
              <w:rPr>
                <w:rFonts w:cs="Arial"/>
                <w:sz w:val="18"/>
                <w:szCs w:val="18"/>
              </w:rPr>
              <w:t>16,634</w:t>
            </w:r>
          </w:p>
        </w:tc>
        <w:tc>
          <w:tcPr>
            <w:tcW w:w="1134" w:type="dxa"/>
            <w:tcBorders>
              <w:top w:val="nil"/>
              <w:left w:val="nil"/>
              <w:bottom w:val="nil"/>
              <w:right w:val="nil"/>
            </w:tcBorders>
            <w:vAlign w:val="bottom"/>
          </w:tcPr>
          <w:p w14:paraId="3A213AA5" w14:textId="52E71690" w:rsidR="00953130" w:rsidRPr="001D41EA" w:rsidRDefault="00953130" w:rsidP="001D41EA">
            <w:pPr>
              <w:spacing w:before="40" w:after="20"/>
              <w:jc w:val="right"/>
              <w:rPr>
                <w:rFonts w:cs="Arial"/>
                <w:sz w:val="18"/>
                <w:szCs w:val="18"/>
              </w:rPr>
            </w:pPr>
            <w:r w:rsidRPr="001D41EA">
              <w:rPr>
                <w:rFonts w:cs="Arial"/>
                <w:sz w:val="18"/>
                <w:szCs w:val="18"/>
              </w:rPr>
              <w:t>20,000</w:t>
            </w:r>
          </w:p>
        </w:tc>
        <w:tc>
          <w:tcPr>
            <w:tcW w:w="1134" w:type="dxa"/>
            <w:tcBorders>
              <w:top w:val="nil"/>
              <w:left w:val="nil"/>
              <w:bottom w:val="nil"/>
              <w:right w:val="nil"/>
            </w:tcBorders>
            <w:vAlign w:val="bottom"/>
          </w:tcPr>
          <w:p w14:paraId="34451929" w14:textId="065981F6" w:rsidR="00953130" w:rsidRPr="001D41EA" w:rsidRDefault="00953130" w:rsidP="001D41EA">
            <w:pPr>
              <w:spacing w:before="40" w:after="20"/>
              <w:jc w:val="right"/>
              <w:rPr>
                <w:rFonts w:cs="Arial"/>
                <w:sz w:val="18"/>
                <w:szCs w:val="18"/>
              </w:rPr>
            </w:pPr>
            <w:r w:rsidRPr="001D41EA">
              <w:rPr>
                <w:rFonts w:cs="Arial"/>
                <w:sz w:val="18"/>
                <w:szCs w:val="18"/>
              </w:rPr>
              <w:t>16,634</w:t>
            </w:r>
          </w:p>
        </w:tc>
        <w:tc>
          <w:tcPr>
            <w:tcW w:w="1134" w:type="dxa"/>
            <w:tcBorders>
              <w:top w:val="nil"/>
              <w:left w:val="nil"/>
              <w:bottom w:val="nil"/>
              <w:right w:val="nil"/>
            </w:tcBorders>
            <w:shd w:val="clear" w:color="auto" w:fill="auto"/>
            <w:vAlign w:val="bottom"/>
          </w:tcPr>
          <w:p w14:paraId="59E30FFC" w14:textId="32DB6035" w:rsidR="00953130" w:rsidRPr="001D41EA" w:rsidRDefault="00953130" w:rsidP="001D41EA">
            <w:pPr>
              <w:spacing w:before="40" w:after="20"/>
              <w:jc w:val="right"/>
              <w:rPr>
                <w:rFonts w:cs="Arial"/>
                <w:sz w:val="18"/>
                <w:szCs w:val="18"/>
              </w:rPr>
            </w:pPr>
            <w:r w:rsidRPr="001D41EA">
              <w:rPr>
                <w:rFonts w:cs="Arial"/>
                <w:sz w:val="18"/>
                <w:szCs w:val="18"/>
              </w:rPr>
              <w:t>6,038</w:t>
            </w:r>
          </w:p>
        </w:tc>
        <w:tc>
          <w:tcPr>
            <w:tcW w:w="1134" w:type="dxa"/>
            <w:tcBorders>
              <w:top w:val="nil"/>
              <w:left w:val="nil"/>
              <w:bottom w:val="nil"/>
              <w:right w:val="nil"/>
            </w:tcBorders>
            <w:shd w:val="clear" w:color="auto" w:fill="auto"/>
            <w:vAlign w:val="bottom"/>
          </w:tcPr>
          <w:p w14:paraId="76E92B6F" w14:textId="2506A0AE" w:rsidR="00953130" w:rsidRPr="001D41EA" w:rsidRDefault="00953130" w:rsidP="001D41EA">
            <w:pPr>
              <w:spacing w:before="40" w:after="20"/>
              <w:jc w:val="right"/>
              <w:rPr>
                <w:rFonts w:cs="Arial"/>
                <w:sz w:val="18"/>
                <w:szCs w:val="18"/>
              </w:rPr>
            </w:pPr>
            <w:r w:rsidRPr="001D41EA">
              <w:rPr>
                <w:rFonts w:cs="Arial"/>
                <w:sz w:val="18"/>
                <w:szCs w:val="18"/>
              </w:rPr>
              <w:t>7,994</w:t>
            </w:r>
          </w:p>
        </w:tc>
      </w:tr>
      <w:tr w:rsidR="00953130" w:rsidRPr="001D41EA" w14:paraId="6F35F677"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E13D435" w14:textId="77777777" w:rsidR="00953130" w:rsidRPr="001D41EA" w:rsidRDefault="00953130" w:rsidP="001D41EA">
            <w:pPr>
              <w:spacing w:before="40" w:after="20"/>
              <w:rPr>
                <w:rFonts w:cs="Arial"/>
                <w:sz w:val="18"/>
                <w:szCs w:val="18"/>
              </w:rPr>
            </w:pPr>
            <w:r w:rsidRPr="001D41EA">
              <w:rPr>
                <w:rFonts w:cs="Arial"/>
                <w:sz w:val="18"/>
                <w:szCs w:val="18"/>
              </w:rPr>
              <w:t>Stonnington C</w:t>
            </w:r>
          </w:p>
        </w:tc>
        <w:tc>
          <w:tcPr>
            <w:tcW w:w="1134" w:type="dxa"/>
            <w:tcBorders>
              <w:top w:val="nil"/>
              <w:left w:val="single" w:sz="18" w:space="0" w:color="5F497A" w:themeColor="accent4" w:themeShade="BF"/>
              <w:bottom w:val="nil"/>
              <w:right w:val="nil"/>
            </w:tcBorders>
            <w:shd w:val="clear" w:color="auto" w:fill="auto"/>
            <w:vAlign w:val="bottom"/>
          </w:tcPr>
          <w:p w14:paraId="09C0DE9B" w14:textId="0A4EFB5F" w:rsidR="00953130" w:rsidRPr="001D41EA" w:rsidRDefault="00953130" w:rsidP="001D41EA">
            <w:pPr>
              <w:spacing w:before="40" w:after="20"/>
              <w:jc w:val="right"/>
              <w:rPr>
                <w:rFonts w:cs="Arial"/>
                <w:sz w:val="18"/>
                <w:szCs w:val="18"/>
              </w:rPr>
            </w:pPr>
            <w:r w:rsidRPr="001D41EA">
              <w:rPr>
                <w:rFonts w:cs="Arial"/>
                <w:sz w:val="18"/>
                <w:szCs w:val="18"/>
              </w:rPr>
              <w:t>116,207</w:t>
            </w:r>
          </w:p>
        </w:tc>
        <w:tc>
          <w:tcPr>
            <w:tcW w:w="1134" w:type="dxa"/>
            <w:tcBorders>
              <w:top w:val="nil"/>
              <w:left w:val="nil"/>
              <w:bottom w:val="nil"/>
              <w:right w:val="nil"/>
            </w:tcBorders>
            <w:vAlign w:val="bottom"/>
          </w:tcPr>
          <w:p w14:paraId="4728A2C5" w14:textId="130E1BEB" w:rsidR="00953130" w:rsidRPr="001D41EA" w:rsidRDefault="00953130" w:rsidP="001D41EA">
            <w:pPr>
              <w:spacing w:before="40" w:after="20"/>
              <w:jc w:val="right"/>
              <w:rPr>
                <w:rFonts w:cs="Arial"/>
                <w:sz w:val="18"/>
                <w:szCs w:val="18"/>
              </w:rPr>
            </w:pPr>
            <w:r w:rsidRPr="001D41EA">
              <w:rPr>
                <w:rFonts w:cs="Arial"/>
                <w:sz w:val="18"/>
                <w:szCs w:val="18"/>
              </w:rPr>
              <w:t>117,097</w:t>
            </w:r>
          </w:p>
        </w:tc>
        <w:tc>
          <w:tcPr>
            <w:tcW w:w="1134" w:type="dxa"/>
            <w:tcBorders>
              <w:top w:val="nil"/>
              <w:left w:val="nil"/>
              <w:bottom w:val="nil"/>
              <w:right w:val="nil"/>
            </w:tcBorders>
            <w:vAlign w:val="bottom"/>
          </w:tcPr>
          <w:p w14:paraId="7A9D7D14" w14:textId="1F51C6E3" w:rsidR="00953130" w:rsidRPr="001D41EA" w:rsidRDefault="00953130" w:rsidP="001D41EA">
            <w:pPr>
              <w:spacing w:before="40" w:after="20"/>
              <w:jc w:val="right"/>
              <w:rPr>
                <w:rFonts w:cs="Arial"/>
                <w:sz w:val="18"/>
                <w:szCs w:val="18"/>
              </w:rPr>
            </w:pPr>
            <w:r w:rsidRPr="001D41EA">
              <w:rPr>
                <w:rFonts w:cs="Arial"/>
                <w:sz w:val="18"/>
                <w:szCs w:val="18"/>
              </w:rPr>
              <w:t>117,097</w:t>
            </w:r>
          </w:p>
        </w:tc>
        <w:tc>
          <w:tcPr>
            <w:tcW w:w="1134" w:type="dxa"/>
            <w:tcBorders>
              <w:top w:val="nil"/>
              <w:left w:val="nil"/>
              <w:bottom w:val="nil"/>
              <w:right w:val="nil"/>
            </w:tcBorders>
            <w:vAlign w:val="bottom"/>
          </w:tcPr>
          <w:p w14:paraId="7CF93DD3" w14:textId="1F47B501" w:rsidR="00953130" w:rsidRPr="001D41EA" w:rsidRDefault="00953130" w:rsidP="001D41EA">
            <w:pPr>
              <w:spacing w:before="40" w:after="20"/>
              <w:jc w:val="right"/>
              <w:rPr>
                <w:rFonts w:cs="Arial"/>
                <w:sz w:val="18"/>
                <w:szCs w:val="18"/>
              </w:rPr>
            </w:pPr>
            <w:r w:rsidRPr="001D41EA">
              <w:rPr>
                <w:rFonts w:cs="Arial"/>
                <w:sz w:val="18"/>
                <w:szCs w:val="18"/>
              </w:rPr>
              <w:t>117,097</w:t>
            </w:r>
          </w:p>
        </w:tc>
        <w:tc>
          <w:tcPr>
            <w:tcW w:w="1134" w:type="dxa"/>
            <w:tcBorders>
              <w:top w:val="nil"/>
              <w:left w:val="nil"/>
              <w:bottom w:val="nil"/>
              <w:right w:val="nil"/>
            </w:tcBorders>
            <w:shd w:val="clear" w:color="auto" w:fill="auto"/>
            <w:vAlign w:val="bottom"/>
          </w:tcPr>
          <w:p w14:paraId="00C5B4D4" w14:textId="1CF7A63B" w:rsidR="00953130" w:rsidRPr="001D41EA" w:rsidRDefault="00953130" w:rsidP="001D41EA">
            <w:pPr>
              <w:spacing w:before="40" w:after="20"/>
              <w:jc w:val="right"/>
              <w:rPr>
                <w:rFonts w:cs="Arial"/>
                <w:sz w:val="18"/>
                <w:szCs w:val="18"/>
              </w:rPr>
            </w:pPr>
            <w:r w:rsidRPr="001D41EA">
              <w:rPr>
                <w:rFonts w:cs="Arial"/>
                <w:sz w:val="18"/>
                <w:szCs w:val="18"/>
              </w:rPr>
              <w:t>25,154</w:t>
            </w:r>
          </w:p>
        </w:tc>
        <w:tc>
          <w:tcPr>
            <w:tcW w:w="1134" w:type="dxa"/>
            <w:tcBorders>
              <w:top w:val="nil"/>
              <w:left w:val="nil"/>
              <w:bottom w:val="nil"/>
              <w:right w:val="nil"/>
            </w:tcBorders>
            <w:shd w:val="clear" w:color="auto" w:fill="auto"/>
            <w:vAlign w:val="bottom"/>
          </w:tcPr>
          <w:p w14:paraId="3BB6CF28" w14:textId="63B0E81E" w:rsidR="00953130" w:rsidRPr="001D41EA" w:rsidRDefault="00953130" w:rsidP="001D41EA">
            <w:pPr>
              <w:spacing w:before="40" w:after="20"/>
              <w:jc w:val="right"/>
              <w:rPr>
                <w:rFonts w:cs="Arial"/>
                <w:sz w:val="18"/>
                <w:szCs w:val="18"/>
              </w:rPr>
            </w:pPr>
            <w:r w:rsidRPr="001D41EA">
              <w:rPr>
                <w:rFonts w:cs="Arial"/>
                <w:sz w:val="18"/>
                <w:szCs w:val="18"/>
              </w:rPr>
              <w:t>56,337</w:t>
            </w:r>
          </w:p>
        </w:tc>
      </w:tr>
      <w:tr w:rsidR="00953130" w:rsidRPr="001D41EA" w14:paraId="4EB2CF5C"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43D1CBC" w14:textId="77777777" w:rsidR="00953130" w:rsidRPr="001D41EA" w:rsidRDefault="00953130" w:rsidP="001D41EA">
            <w:pPr>
              <w:spacing w:before="40" w:after="20"/>
              <w:rPr>
                <w:rFonts w:cs="Arial"/>
                <w:sz w:val="18"/>
                <w:szCs w:val="18"/>
              </w:rPr>
            </w:pPr>
            <w:r w:rsidRPr="001D41EA">
              <w:rPr>
                <w:rFonts w:cs="Arial"/>
                <w:sz w:val="18"/>
                <w:szCs w:val="18"/>
              </w:rPr>
              <w:t>Strathbogie S</w:t>
            </w:r>
          </w:p>
        </w:tc>
        <w:tc>
          <w:tcPr>
            <w:tcW w:w="1134" w:type="dxa"/>
            <w:tcBorders>
              <w:top w:val="nil"/>
              <w:left w:val="single" w:sz="18" w:space="0" w:color="5F497A" w:themeColor="accent4" w:themeShade="BF"/>
              <w:bottom w:val="nil"/>
              <w:right w:val="nil"/>
            </w:tcBorders>
            <w:shd w:val="clear" w:color="auto" w:fill="auto"/>
            <w:vAlign w:val="bottom"/>
          </w:tcPr>
          <w:p w14:paraId="3784022F" w14:textId="14C5BA11" w:rsidR="00953130" w:rsidRPr="001D41EA" w:rsidRDefault="00953130" w:rsidP="001D41EA">
            <w:pPr>
              <w:spacing w:before="40" w:after="20"/>
              <w:jc w:val="right"/>
              <w:rPr>
                <w:rFonts w:cs="Arial"/>
                <w:sz w:val="18"/>
                <w:szCs w:val="18"/>
              </w:rPr>
            </w:pPr>
            <w:r w:rsidRPr="001D41EA">
              <w:rPr>
                <w:rFonts w:cs="Arial"/>
                <w:sz w:val="18"/>
                <w:szCs w:val="18"/>
              </w:rPr>
              <w:t>10,645</w:t>
            </w:r>
          </w:p>
        </w:tc>
        <w:tc>
          <w:tcPr>
            <w:tcW w:w="1134" w:type="dxa"/>
            <w:tcBorders>
              <w:top w:val="nil"/>
              <w:left w:val="nil"/>
              <w:bottom w:val="nil"/>
              <w:right w:val="nil"/>
            </w:tcBorders>
            <w:vAlign w:val="bottom"/>
          </w:tcPr>
          <w:p w14:paraId="5E548D27" w14:textId="007FD8A0" w:rsidR="00953130" w:rsidRPr="001D41EA" w:rsidRDefault="00953130" w:rsidP="001D41EA">
            <w:pPr>
              <w:spacing w:before="40" w:after="20"/>
              <w:jc w:val="right"/>
              <w:rPr>
                <w:rFonts w:cs="Arial"/>
                <w:sz w:val="18"/>
                <w:szCs w:val="18"/>
              </w:rPr>
            </w:pPr>
            <w:r w:rsidRPr="001D41EA">
              <w:rPr>
                <w:rFonts w:cs="Arial"/>
                <w:sz w:val="18"/>
                <w:szCs w:val="18"/>
              </w:rPr>
              <w:t>15,000</w:t>
            </w:r>
          </w:p>
        </w:tc>
        <w:tc>
          <w:tcPr>
            <w:tcW w:w="1134" w:type="dxa"/>
            <w:tcBorders>
              <w:top w:val="nil"/>
              <w:left w:val="nil"/>
              <w:bottom w:val="nil"/>
              <w:right w:val="nil"/>
            </w:tcBorders>
            <w:vAlign w:val="bottom"/>
          </w:tcPr>
          <w:p w14:paraId="1DDDF396" w14:textId="43A61950" w:rsidR="00953130" w:rsidRPr="001D41EA" w:rsidRDefault="00953130" w:rsidP="001D41EA">
            <w:pPr>
              <w:spacing w:before="40" w:after="20"/>
              <w:jc w:val="right"/>
              <w:rPr>
                <w:rFonts w:cs="Arial"/>
                <w:sz w:val="18"/>
                <w:szCs w:val="18"/>
              </w:rPr>
            </w:pPr>
            <w:r w:rsidRPr="001D41EA">
              <w:rPr>
                <w:rFonts w:cs="Arial"/>
                <w:sz w:val="18"/>
                <w:szCs w:val="18"/>
              </w:rPr>
              <w:t>20,000</w:t>
            </w:r>
          </w:p>
        </w:tc>
        <w:tc>
          <w:tcPr>
            <w:tcW w:w="1134" w:type="dxa"/>
            <w:tcBorders>
              <w:top w:val="nil"/>
              <w:left w:val="nil"/>
              <w:bottom w:val="nil"/>
              <w:right w:val="nil"/>
            </w:tcBorders>
            <w:vAlign w:val="bottom"/>
          </w:tcPr>
          <w:p w14:paraId="6CB80754" w14:textId="5625EBD4" w:rsidR="00953130" w:rsidRPr="001D41EA" w:rsidRDefault="00953130" w:rsidP="001D41EA">
            <w:pPr>
              <w:spacing w:before="40" w:after="20"/>
              <w:jc w:val="right"/>
              <w:rPr>
                <w:rFonts w:cs="Arial"/>
                <w:sz w:val="18"/>
                <w:szCs w:val="18"/>
              </w:rPr>
            </w:pPr>
            <w:r w:rsidRPr="001D41EA">
              <w:rPr>
                <w:rFonts w:cs="Arial"/>
                <w:sz w:val="18"/>
                <w:szCs w:val="18"/>
              </w:rPr>
              <w:t>11,243</w:t>
            </w:r>
          </w:p>
        </w:tc>
        <w:tc>
          <w:tcPr>
            <w:tcW w:w="1134" w:type="dxa"/>
            <w:tcBorders>
              <w:top w:val="nil"/>
              <w:left w:val="nil"/>
              <w:bottom w:val="nil"/>
              <w:right w:val="nil"/>
            </w:tcBorders>
            <w:shd w:val="clear" w:color="auto" w:fill="auto"/>
            <w:vAlign w:val="bottom"/>
          </w:tcPr>
          <w:p w14:paraId="6AFE0C83" w14:textId="07D4FA30" w:rsidR="00953130" w:rsidRPr="001D41EA" w:rsidRDefault="00953130" w:rsidP="001D41EA">
            <w:pPr>
              <w:spacing w:before="40" w:after="20"/>
              <w:jc w:val="right"/>
              <w:rPr>
                <w:rFonts w:cs="Arial"/>
                <w:sz w:val="18"/>
                <w:szCs w:val="18"/>
              </w:rPr>
            </w:pPr>
            <w:r w:rsidRPr="001D41EA">
              <w:rPr>
                <w:rFonts w:cs="Arial"/>
                <w:sz w:val="18"/>
                <w:szCs w:val="18"/>
              </w:rPr>
              <w:t>4,728</w:t>
            </w:r>
          </w:p>
        </w:tc>
        <w:tc>
          <w:tcPr>
            <w:tcW w:w="1134" w:type="dxa"/>
            <w:tcBorders>
              <w:top w:val="nil"/>
              <w:left w:val="nil"/>
              <w:bottom w:val="nil"/>
              <w:right w:val="nil"/>
            </w:tcBorders>
            <w:shd w:val="clear" w:color="auto" w:fill="auto"/>
            <w:vAlign w:val="bottom"/>
          </w:tcPr>
          <w:p w14:paraId="2F32E61E" w14:textId="108EB292" w:rsidR="00953130" w:rsidRPr="001D41EA" w:rsidRDefault="00953130" w:rsidP="001D41EA">
            <w:pPr>
              <w:spacing w:before="40" w:after="20"/>
              <w:jc w:val="right"/>
              <w:rPr>
                <w:rFonts w:cs="Arial"/>
                <w:sz w:val="18"/>
                <w:szCs w:val="18"/>
              </w:rPr>
            </w:pPr>
            <w:r w:rsidRPr="001D41EA">
              <w:rPr>
                <w:rFonts w:cs="Arial"/>
                <w:sz w:val="18"/>
                <w:szCs w:val="18"/>
              </w:rPr>
              <w:t>5,839</w:t>
            </w:r>
          </w:p>
        </w:tc>
      </w:tr>
      <w:tr w:rsidR="00953130" w:rsidRPr="001D41EA" w14:paraId="2C36ADE7"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3CC9DAAF" w14:textId="77777777" w:rsidR="00953130" w:rsidRPr="001D41EA" w:rsidRDefault="00953130" w:rsidP="001D41EA">
            <w:pPr>
              <w:spacing w:before="40" w:after="20"/>
              <w:rPr>
                <w:rFonts w:cs="Arial"/>
                <w:sz w:val="18"/>
                <w:szCs w:val="18"/>
              </w:rPr>
            </w:pPr>
            <w:r w:rsidRPr="001D41EA">
              <w:rPr>
                <w:rFonts w:cs="Arial"/>
                <w:sz w:val="18"/>
                <w:szCs w:val="18"/>
              </w:rPr>
              <w:t>Surf Coast S</w:t>
            </w:r>
          </w:p>
        </w:tc>
        <w:tc>
          <w:tcPr>
            <w:tcW w:w="1134" w:type="dxa"/>
            <w:tcBorders>
              <w:top w:val="nil"/>
              <w:left w:val="single" w:sz="18" w:space="0" w:color="5F497A" w:themeColor="accent4" w:themeShade="BF"/>
              <w:bottom w:val="nil"/>
              <w:right w:val="nil"/>
            </w:tcBorders>
            <w:shd w:val="clear" w:color="auto" w:fill="auto"/>
            <w:vAlign w:val="bottom"/>
          </w:tcPr>
          <w:p w14:paraId="26D73262" w14:textId="4D65482E" w:rsidR="00953130" w:rsidRPr="001D41EA" w:rsidRDefault="00953130" w:rsidP="001D41EA">
            <w:pPr>
              <w:spacing w:before="40" w:after="20"/>
              <w:jc w:val="right"/>
              <w:rPr>
                <w:rFonts w:cs="Arial"/>
                <w:sz w:val="18"/>
                <w:szCs w:val="18"/>
              </w:rPr>
            </w:pPr>
            <w:r w:rsidRPr="001D41EA">
              <w:rPr>
                <w:rFonts w:cs="Arial"/>
                <w:sz w:val="18"/>
                <w:szCs w:val="18"/>
              </w:rPr>
              <w:t>32,251</w:t>
            </w:r>
          </w:p>
        </w:tc>
        <w:tc>
          <w:tcPr>
            <w:tcW w:w="1134" w:type="dxa"/>
            <w:tcBorders>
              <w:top w:val="nil"/>
              <w:left w:val="nil"/>
              <w:bottom w:val="nil"/>
              <w:right w:val="nil"/>
            </w:tcBorders>
            <w:vAlign w:val="bottom"/>
          </w:tcPr>
          <w:p w14:paraId="28B4A608" w14:textId="418EEEF1" w:rsidR="00953130" w:rsidRPr="001D41EA" w:rsidRDefault="00953130" w:rsidP="001D41EA">
            <w:pPr>
              <w:spacing w:before="40" w:after="20"/>
              <w:jc w:val="right"/>
              <w:rPr>
                <w:rFonts w:cs="Arial"/>
                <w:sz w:val="18"/>
                <w:szCs w:val="18"/>
              </w:rPr>
            </w:pPr>
            <w:r w:rsidRPr="001D41EA">
              <w:rPr>
                <w:rFonts w:cs="Arial"/>
                <w:sz w:val="18"/>
                <w:szCs w:val="18"/>
              </w:rPr>
              <w:t>40,141</w:t>
            </w:r>
          </w:p>
        </w:tc>
        <w:tc>
          <w:tcPr>
            <w:tcW w:w="1134" w:type="dxa"/>
            <w:tcBorders>
              <w:top w:val="nil"/>
              <w:left w:val="nil"/>
              <w:bottom w:val="nil"/>
              <w:right w:val="nil"/>
            </w:tcBorders>
            <w:vAlign w:val="bottom"/>
          </w:tcPr>
          <w:p w14:paraId="4FB91894" w14:textId="23717269" w:rsidR="00953130" w:rsidRPr="001D41EA" w:rsidRDefault="00953130" w:rsidP="001D41EA">
            <w:pPr>
              <w:spacing w:before="40" w:after="20"/>
              <w:jc w:val="right"/>
              <w:rPr>
                <w:rFonts w:cs="Arial"/>
                <w:sz w:val="18"/>
                <w:szCs w:val="18"/>
              </w:rPr>
            </w:pPr>
            <w:r w:rsidRPr="001D41EA">
              <w:rPr>
                <w:rFonts w:cs="Arial"/>
                <w:sz w:val="18"/>
                <w:szCs w:val="18"/>
              </w:rPr>
              <w:t>40,141</w:t>
            </w:r>
          </w:p>
        </w:tc>
        <w:tc>
          <w:tcPr>
            <w:tcW w:w="1134" w:type="dxa"/>
            <w:tcBorders>
              <w:top w:val="nil"/>
              <w:left w:val="nil"/>
              <w:bottom w:val="nil"/>
              <w:right w:val="nil"/>
            </w:tcBorders>
            <w:vAlign w:val="bottom"/>
          </w:tcPr>
          <w:p w14:paraId="35523EDF" w14:textId="523EFE56" w:rsidR="00953130" w:rsidRPr="001D41EA" w:rsidRDefault="00953130" w:rsidP="001D41EA">
            <w:pPr>
              <w:spacing w:before="40" w:after="20"/>
              <w:jc w:val="right"/>
              <w:rPr>
                <w:rFonts w:cs="Arial"/>
                <w:sz w:val="18"/>
                <w:szCs w:val="18"/>
              </w:rPr>
            </w:pPr>
            <w:r w:rsidRPr="001D41EA">
              <w:rPr>
                <w:rFonts w:cs="Arial"/>
                <w:sz w:val="18"/>
                <w:szCs w:val="18"/>
              </w:rPr>
              <w:t>40,141</w:t>
            </w:r>
          </w:p>
        </w:tc>
        <w:tc>
          <w:tcPr>
            <w:tcW w:w="1134" w:type="dxa"/>
            <w:tcBorders>
              <w:top w:val="nil"/>
              <w:left w:val="nil"/>
              <w:bottom w:val="nil"/>
              <w:right w:val="nil"/>
            </w:tcBorders>
            <w:shd w:val="clear" w:color="auto" w:fill="auto"/>
            <w:vAlign w:val="bottom"/>
          </w:tcPr>
          <w:p w14:paraId="2F42D32B" w14:textId="55AFFB10" w:rsidR="00953130" w:rsidRPr="001D41EA" w:rsidRDefault="00953130" w:rsidP="001D41EA">
            <w:pPr>
              <w:spacing w:before="40" w:after="20"/>
              <w:jc w:val="right"/>
              <w:rPr>
                <w:rFonts w:cs="Arial"/>
                <w:sz w:val="18"/>
                <w:szCs w:val="18"/>
              </w:rPr>
            </w:pPr>
            <w:r w:rsidRPr="001D41EA">
              <w:rPr>
                <w:rFonts w:cs="Arial"/>
                <w:sz w:val="18"/>
                <w:szCs w:val="18"/>
              </w:rPr>
              <w:t>8,786</w:t>
            </w:r>
          </w:p>
        </w:tc>
        <w:tc>
          <w:tcPr>
            <w:tcW w:w="1134" w:type="dxa"/>
            <w:tcBorders>
              <w:top w:val="nil"/>
              <w:left w:val="nil"/>
              <w:bottom w:val="nil"/>
              <w:right w:val="nil"/>
            </w:tcBorders>
            <w:shd w:val="clear" w:color="auto" w:fill="auto"/>
            <w:vAlign w:val="bottom"/>
          </w:tcPr>
          <w:p w14:paraId="31ABF083" w14:textId="5B3F7C23" w:rsidR="00953130" w:rsidRPr="001D41EA" w:rsidRDefault="00953130" w:rsidP="001D41EA">
            <w:pPr>
              <w:spacing w:before="40" w:after="20"/>
              <w:jc w:val="right"/>
              <w:rPr>
                <w:rFonts w:cs="Arial"/>
                <w:sz w:val="18"/>
                <w:szCs w:val="18"/>
              </w:rPr>
            </w:pPr>
            <w:r w:rsidRPr="001D41EA">
              <w:rPr>
                <w:rFonts w:cs="Arial"/>
                <w:sz w:val="18"/>
                <w:szCs w:val="18"/>
              </w:rPr>
              <w:t>19,289</w:t>
            </w:r>
          </w:p>
        </w:tc>
      </w:tr>
      <w:tr w:rsidR="00953130" w:rsidRPr="001D41EA" w14:paraId="5B5879E4"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48BA485D" w14:textId="77777777" w:rsidR="00953130" w:rsidRPr="001D41EA" w:rsidRDefault="00953130" w:rsidP="001D41EA">
            <w:pPr>
              <w:spacing w:before="40" w:after="20"/>
              <w:rPr>
                <w:rFonts w:cs="Arial"/>
                <w:sz w:val="18"/>
                <w:szCs w:val="18"/>
              </w:rPr>
            </w:pPr>
            <w:r w:rsidRPr="001D41EA">
              <w:rPr>
                <w:rFonts w:cs="Arial"/>
                <w:sz w:val="18"/>
                <w:szCs w:val="18"/>
              </w:rPr>
              <w:t>Swan Hill RC</w:t>
            </w:r>
          </w:p>
        </w:tc>
        <w:tc>
          <w:tcPr>
            <w:tcW w:w="1134" w:type="dxa"/>
            <w:tcBorders>
              <w:top w:val="nil"/>
              <w:left w:val="single" w:sz="18" w:space="0" w:color="5F497A" w:themeColor="accent4" w:themeShade="BF"/>
              <w:bottom w:val="nil"/>
              <w:right w:val="nil"/>
            </w:tcBorders>
            <w:shd w:val="clear" w:color="auto" w:fill="auto"/>
            <w:vAlign w:val="bottom"/>
          </w:tcPr>
          <w:p w14:paraId="2D7702A2" w14:textId="2D8A3710" w:rsidR="00953130" w:rsidRPr="001D41EA" w:rsidRDefault="00953130" w:rsidP="001D41EA">
            <w:pPr>
              <w:spacing w:before="40" w:after="20"/>
              <w:jc w:val="right"/>
              <w:rPr>
                <w:rFonts w:cs="Arial"/>
                <w:sz w:val="18"/>
                <w:szCs w:val="18"/>
              </w:rPr>
            </w:pPr>
            <w:r w:rsidRPr="001D41EA">
              <w:rPr>
                <w:rFonts w:cs="Arial"/>
                <w:sz w:val="18"/>
                <w:szCs w:val="18"/>
              </w:rPr>
              <w:t>20,759</w:t>
            </w:r>
          </w:p>
        </w:tc>
        <w:tc>
          <w:tcPr>
            <w:tcW w:w="1134" w:type="dxa"/>
            <w:tcBorders>
              <w:top w:val="nil"/>
              <w:left w:val="nil"/>
              <w:bottom w:val="nil"/>
              <w:right w:val="nil"/>
            </w:tcBorders>
            <w:vAlign w:val="bottom"/>
          </w:tcPr>
          <w:p w14:paraId="49ACDB71" w14:textId="2A6F2D51" w:rsidR="00953130" w:rsidRPr="001D41EA" w:rsidRDefault="00953130" w:rsidP="001D41EA">
            <w:pPr>
              <w:spacing w:before="40" w:after="20"/>
              <w:jc w:val="right"/>
              <w:rPr>
                <w:rFonts w:cs="Arial"/>
                <w:sz w:val="18"/>
                <w:szCs w:val="18"/>
              </w:rPr>
            </w:pPr>
            <w:r w:rsidRPr="001D41EA">
              <w:rPr>
                <w:rFonts w:cs="Arial"/>
                <w:sz w:val="18"/>
                <w:szCs w:val="18"/>
              </w:rPr>
              <w:t>20,759</w:t>
            </w:r>
          </w:p>
        </w:tc>
        <w:tc>
          <w:tcPr>
            <w:tcW w:w="1134" w:type="dxa"/>
            <w:tcBorders>
              <w:top w:val="nil"/>
              <w:left w:val="nil"/>
              <w:bottom w:val="nil"/>
              <w:right w:val="nil"/>
            </w:tcBorders>
            <w:vAlign w:val="bottom"/>
          </w:tcPr>
          <w:p w14:paraId="537A31E2" w14:textId="062A415D" w:rsidR="00953130" w:rsidRPr="001D41EA" w:rsidRDefault="00953130" w:rsidP="001D41EA">
            <w:pPr>
              <w:spacing w:before="40" w:after="20"/>
              <w:jc w:val="right"/>
              <w:rPr>
                <w:rFonts w:cs="Arial"/>
                <w:sz w:val="18"/>
                <w:szCs w:val="18"/>
              </w:rPr>
            </w:pPr>
            <w:r w:rsidRPr="001D41EA">
              <w:rPr>
                <w:rFonts w:cs="Arial"/>
                <w:sz w:val="18"/>
                <w:szCs w:val="18"/>
              </w:rPr>
              <w:t>20,759</w:t>
            </w:r>
          </w:p>
        </w:tc>
        <w:tc>
          <w:tcPr>
            <w:tcW w:w="1134" w:type="dxa"/>
            <w:tcBorders>
              <w:top w:val="nil"/>
              <w:left w:val="nil"/>
              <w:bottom w:val="nil"/>
              <w:right w:val="nil"/>
            </w:tcBorders>
            <w:vAlign w:val="bottom"/>
          </w:tcPr>
          <w:p w14:paraId="076B48AF" w14:textId="1E1A4476" w:rsidR="00953130" w:rsidRPr="001D41EA" w:rsidRDefault="00953130" w:rsidP="001D41EA">
            <w:pPr>
              <w:spacing w:before="40" w:after="20"/>
              <w:jc w:val="right"/>
              <w:rPr>
                <w:rFonts w:cs="Arial"/>
                <w:sz w:val="18"/>
                <w:szCs w:val="18"/>
              </w:rPr>
            </w:pPr>
            <w:r w:rsidRPr="001D41EA">
              <w:rPr>
                <w:rFonts w:cs="Arial"/>
                <w:sz w:val="18"/>
                <w:szCs w:val="18"/>
              </w:rPr>
              <w:t>20,759</w:t>
            </w:r>
          </w:p>
        </w:tc>
        <w:tc>
          <w:tcPr>
            <w:tcW w:w="1134" w:type="dxa"/>
            <w:tcBorders>
              <w:top w:val="nil"/>
              <w:left w:val="nil"/>
              <w:bottom w:val="nil"/>
              <w:right w:val="nil"/>
            </w:tcBorders>
            <w:shd w:val="clear" w:color="auto" w:fill="auto"/>
            <w:vAlign w:val="bottom"/>
          </w:tcPr>
          <w:p w14:paraId="39D011C1" w14:textId="70C114C4" w:rsidR="00953130" w:rsidRPr="001D41EA" w:rsidRDefault="00953130" w:rsidP="001D41EA">
            <w:pPr>
              <w:spacing w:before="40" w:after="20"/>
              <w:jc w:val="right"/>
              <w:rPr>
                <w:rFonts w:cs="Arial"/>
                <w:sz w:val="18"/>
                <w:szCs w:val="18"/>
              </w:rPr>
            </w:pPr>
            <w:r w:rsidRPr="001D41EA">
              <w:rPr>
                <w:rFonts w:cs="Arial"/>
                <w:sz w:val="18"/>
                <w:szCs w:val="18"/>
              </w:rPr>
              <w:t>6,739</w:t>
            </w:r>
          </w:p>
        </w:tc>
        <w:tc>
          <w:tcPr>
            <w:tcW w:w="1134" w:type="dxa"/>
            <w:tcBorders>
              <w:top w:val="nil"/>
              <w:left w:val="nil"/>
              <w:bottom w:val="nil"/>
              <w:right w:val="nil"/>
            </w:tcBorders>
            <w:shd w:val="clear" w:color="auto" w:fill="auto"/>
            <w:vAlign w:val="bottom"/>
          </w:tcPr>
          <w:p w14:paraId="7E45EB15" w14:textId="3A46A25B" w:rsidR="00953130" w:rsidRPr="001D41EA" w:rsidRDefault="00953130" w:rsidP="001D41EA">
            <w:pPr>
              <w:spacing w:before="40" w:after="20"/>
              <w:jc w:val="right"/>
              <w:rPr>
                <w:rFonts w:cs="Arial"/>
                <w:sz w:val="18"/>
                <w:szCs w:val="18"/>
              </w:rPr>
            </w:pPr>
            <w:r w:rsidRPr="001D41EA">
              <w:rPr>
                <w:rFonts w:cs="Arial"/>
                <w:sz w:val="18"/>
                <w:szCs w:val="18"/>
              </w:rPr>
              <w:t>9,089</w:t>
            </w:r>
          </w:p>
        </w:tc>
      </w:tr>
      <w:tr w:rsidR="00953130" w:rsidRPr="001D41EA" w14:paraId="5CD4EF42"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490401" w14:textId="77777777" w:rsidR="00953130" w:rsidRPr="001D41EA" w:rsidRDefault="00953130" w:rsidP="001D41EA">
            <w:pPr>
              <w:spacing w:before="40" w:after="20"/>
              <w:rPr>
                <w:rFonts w:cs="Arial"/>
                <w:sz w:val="18"/>
                <w:szCs w:val="18"/>
              </w:rPr>
            </w:pPr>
            <w:r w:rsidRPr="001D41EA">
              <w:rPr>
                <w:rFonts w:cs="Arial"/>
                <w:sz w:val="18"/>
                <w:szCs w:val="18"/>
              </w:rPr>
              <w:t>Towong S</w:t>
            </w:r>
          </w:p>
        </w:tc>
        <w:tc>
          <w:tcPr>
            <w:tcW w:w="1134" w:type="dxa"/>
            <w:tcBorders>
              <w:top w:val="nil"/>
              <w:left w:val="single" w:sz="18" w:space="0" w:color="5F497A" w:themeColor="accent4" w:themeShade="BF"/>
              <w:bottom w:val="nil"/>
              <w:right w:val="nil"/>
            </w:tcBorders>
            <w:shd w:val="clear" w:color="auto" w:fill="auto"/>
            <w:vAlign w:val="bottom"/>
          </w:tcPr>
          <w:p w14:paraId="482B94F2" w14:textId="42CF6057" w:rsidR="00953130" w:rsidRPr="001D41EA" w:rsidRDefault="00953130" w:rsidP="001D41EA">
            <w:pPr>
              <w:spacing w:before="40" w:after="20"/>
              <w:jc w:val="right"/>
              <w:rPr>
                <w:rFonts w:cs="Arial"/>
                <w:sz w:val="18"/>
                <w:szCs w:val="18"/>
              </w:rPr>
            </w:pPr>
            <w:r w:rsidRPr="001D41EA">
              <w:rPr>
                <w:rFonts w:cs="Arial"/>
                <w:sz w:val="18"/>
                <w:szCs w:val="18"/>
              </w:rPr>
              <w:t>6,054</w:t>
            </w:r>
          </w:p>
        </w:tc>
        <w:tc>
          <w:tcPr>
            <w:tcW w:w="1134" w:type="dxa"/>
            <w:tcBorders>
              <w:top w:val="nil"/>
              <w:left w:val="nil"/>
              <w:bottom w:val="nil"/>
              <w:right w:val="nil"/>
            </w:tcBorders>
            <w:vAlign w:val="bottom"/>
          </w:tcPr>
          <w:p w14:paraId="4AFDE80C" w14:textId="28AFB6EF" w:rsidR="00953130" w:rsidRPr="001D41EA" w:rsidRDefault="00953130" w:rsidP="001D41EA">
            <w:pPr>
              <w:spacing w:before="40" w:after="20"/>
              <w:jc w:val="right"/>
              <w:rPr>
                <w:rFonts w:cs="Arial"/>
                <w:sz w:val="18"/>
                <w:szCs w:val="18"/>
              </w:rPr>
            </w:pPr>
            <w:r w:rsidRPr="001D41EA">
              <w:rPr>
                <w:rFonts w:cs="Arial"/>
                <w:sz w:val="18"/>
                <w:szCs w:val="18"/>
              </w:rPr>
              <w:t>15,000</w:t>
            </w:r>
          </w:p>
        </w:tc>
        <w:tc>
          <w:tcPr>
            <w:tcW w:w="1134" w:type="dxa"/>
            <w:tcBorders>
              <w:top w:val="nil"/>
              <w:left w:val="nil"/>
              <w:bottom w:val="nil"/>
              <w:right w:val="nil"/>
            </w:tcBorders>
            <w:vAlign w:val="bottom"/>
          </w:tcPr>
          <w:p w14:paraId="39658F40" w14:textId="7809B3AE" w:rsidR="00953130" w:rsidRPr="001D41EA" w:rsidRDefault="00953130" w:rsidP="001D41EA">
            <w:pPr>
              <w:spacing w:before="40" w:after="20"/>
              <w:jc w:val="right"/>
              <w:rPr>
                <w:rFonts w:cs="Arial"/>
                <w:sz w:val="18"/>
                <w:szCs w:val="18"/>
              </w:rPr>
            </w:pPr>
            <w:r w:rsidRPr="001D41EA">
              <w:rPr>
                <w:rFonts w:cs="Arial"/>
                <w:sz w:val="18"/>
                <w:szCs w:val="18"/>
              </w:rPr>
              <w:t>20,000</w:t>
            </w:r>
          </w:p>
        </w:tc>
        <w:tc>
          <w:tcPr>
            <w:tcW w:w="1134" w:type="dxa"/>
            <w:tcBorders>
              <w:top w:val="nil"/>
              <w:left w:val="nil"/>
              <w:bottom w:val="nil"/>
              <w:right w:val="nil"/>
            </w:tcBorders>
            <w:vAlign w:val="bottom"/>
          </w:tcPr>
          <w:p w14:paraId="09BBEFED" w14:textId="273F17A5" w:rsidR="00953130" w:rsidRPr="001D41EA" w:rsidRDefault="00953130" w:rsidP="001D41EA">
            <w:pPr>
              <w:spacing w:before="40" w:after="20"/>
              <w:jc w:val="right"/>
              <w:rPr>
                <w:rFonts w:cs="Arial"/>
                <w:sz w:val="18"/>
                <w:szCs w:val="18"/>
              </w:rPr>
            </w:pPr>
            <w:r w:rsidRPr="001D41EA">
              <w:rPr>
                <w:rFonts w:cs="Arial"/>
                <w:sz w:val="18"/>
                <w:szCs w:val="18"/>
              </w:rPr>
              <w:t>6,346</w:t>
            </w:r>
          </w:p>
        </w:tc>
        <w:tc>
          <w:tcPr>
            <w:tcW w:w="1134" w:type="dxa"/>
            <w:tcBorders>
              <w:top w:val="nil"/>
              <w:left w:val="nil"/>
              <w:bottom w:val="nil"/>
              <w:right w:val="nil"/>
            </w:tcBorders>
            <w:shd w:val="clear" w:color="auto" w:fill="auto"/>
            <w:vAlign w:val="bottom"/>
          </w:tcPr>
          <w:p w14:paraId="09F0093A" w14:textId="3A7ACB1D" w:rsidR="00953130" w:rsidRPr="001D41EA" w:rsidRDefault="00953130" w:rsidP="001D41EA">
            <w:pPr>
              <w:spacing w:before="40" w:after="20"/>
              <w:jc w:val="right"/>
              <w:rPr>
                <w:rFonts w:cs="Arial"/>
                <w:sz w:val="18"/>
                <w:szCs w:val="18"/>
              </w:rPr>
            </w:pPr>
            <w:r w:rsidRPr="001D41EA">
              <w:rPr>
                <w:rFonts w:cs="Arial"/>
                <w:sz w:val="18"/>
                <w:szCs w:val="18"/>
              </w:rPr>
              <w:t>2,505</w:t>
            </w:r>
          </w:p>
        </w:tc>
        <w:tc>
          <w:tcPr>
            <w:tcW w:w="1134" w:type="dxa"/>
            <w:tcBorders>
              <w:top w:val="nil"/>
              <w:left w:val="nil"/>
              <w:bottom w:val="nil"/>
              <w:right w:val="nil"/>
            </w:tcBorders>
            <w:shd w:val="clear" w:color="auto" w:fill="auto"/>
            <w:vAlign w:val="bottom"/>
          </w:tcPr>
          <w:p w14:paraId="589EBD67" w14:textId="13CEFDE4" w:rsidR="00953130" w:rsidRPr="001D41EA" w:rsidRDefault="00953130" w:rsidP="001D41EA">
            <w:pPr>
              <w:spacing w:before="40" w:after="20"/>
              <w:jc w:val="right"/>
              <w:rPr>
                <w:rFonts w:cs="Arial"/>
                <w:sz w:val="18"/>
                <w:szCs w:val="18"/>
              </w:rPr>
            </w:pPr>
            <w:r w:rsidRPr="001D41EA">
              <w:rPr>
                <w:rFonts w:cs="Arial"/>
                <w:sz w:val="18"/>
                <w:szCs w:val="18"/>
              </w:rPr>
              <w:t>3,133</w:t>
            </w:r>
          </w:p>
        </w:tc>
      </w:tr>
      <w:tr w:rsidR="00953130" w:rsidRPr="001D41EA" w14:paraId="2D583D44"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6FEBA4D2" w14:textId="77777777" w:rsidR="00953130" w:rsidRPr="001D41EA" w:rsidRDefault="00953130" w:rsidP="001D41EA">
            <w:pPr>
              <w:spacing w:before="40" w:after="20"/>
              <w:rPr>
                <w:rFonts w:cs="Arial"/>
                <w:sz w:val="18"/>
                <w:szCs w:val="18"/>
              </w:rPr>
            </w:pPr>
            <w:r w:rsidRPr="001D41EA">
              <w:rPr>
                <w:rFonts w:cs="Arial"/>
                <w:sz w:val="18"/>
                <w:szCs w:val="18"/>
              </w:rPr>
              <w:t>Wangaratta RC</w:t>
            </w:r>
          </w:p>
        </w:tc>
        <w:tc>
          <w:tcPr>
            <w:tcW w:w="1134" w:type="dxa"/>
            <w:tcBorders>
              <w:top w:val="nil"/>
              <w:left w:val="single" w:sz="18" w:space="0" w:color="5F497A" w:themeColor="accent4" w:themeShade="BF"/>
              <w:bottom w:val="nil"/>
              <w:right w:val="nil"/>
            </w:tcBorders>
            <w:shd w:val="clear" w:color="auto" w:fill="auto"/>
            <w:vAlign w:val="bottom"/>
          </w:tcPr>
          <w:p w14:paraId="3E1EF111" w14:textId="06EECBF4" w:rsidR="00953130" w:rsidRPr="001D41EA" w:rsidRDefault="00953130" w:rsidP="001D41EA">
            <w:pPr>
              <w:spacing w:before="40" w:after="20"/>
              <w:jc w:val="right"/>
              <w:rPr>
                <w:rFonts w:cs="Arial"/>
                <w:sz w:val="18"/>
                <w:szCs w:val="18"/>
              </w:rPr>
            </w:pPr>
            <w:r w:rsidRPr="001D41EA">
              <w:rPr>
                <w:rFonts w:cs="Arial"/>
                <w:sz w:val="18"/>
                <w:szCs w:val="18"/>
              </w:rPr>
              <w:t>29,087</w:t>
            </w:r>
          </w:p>
        </w:tc>
        <w:tc>
          <w:tcPr>
            <w:tcW w:w="1134" w:type="dxa"/>
            <w:tcBorders>
              <w:top w:val="nil"/>
              <w:left w:val="nil"/>
              <w:bottom w:val="nil"/>
              <w:right w:val="nil"/>
            </w:tcBorders>
            <w:vAlign w:val="bottom"/>
          </w:tcPr>
          <w:p w14:paraId="4412FEDB" w14:textId="121304FE" w:rsidR="00953130" w:rsidRPr="001D41EA" w:rsidRDefault="00953130" w:rsidP="001D41EA">
            <w:pPr>
              <w:spacing w:before="40" w:after="20"/>
              <w:jc w:val="right"/>
              <w:rPr>
                <w:rFonts w:cs="Arial"/>
                <w:sz w:val="18"/>
                <w:szCs w:val="18"/>
              </w:rPr>
            </w:pPr>
            <w:r w:rsidRPr="001D41EA">
              <w:rPr>
                <w:rFonts w:cs="Arial"/>
                <w:sz w:val="18"/>
                <w:szCs w:val="18"/>
              </w:rPr>
              <w:t>29,087</w:t>
            </w:r>
          </w:p>
        </w:tc>
        <w:tc>
          <w:tcPr>
            <w:tcW w:w="1134" w:type="dxa"/>
            <w:tcBorders>
              <w:top w:val="nil"/>
              <w:left w:val="nil"/>
              <w:bottom w:val="nil"/>
              <w:right w:val="nil"/>
            </w:tcBorders>
            <w:vAlign w:val="bottom"/>
          </w:tcPr>
          <w:p w14:paraId="032DF974" w14:textId="7EB34455" w:rsidR="00953130" w:rsidRPr="001D41EA" w:rsidRDefault="00953130" w:rsidP="001D41EA">
            <w:pPr>
              <w:spacing w:before="40" w:after="20"/>
              <w:jc w:val="right"/>
              <w:rPr>
                <w:rFonts w:cs="Arial"/>
                <w:sz w:val="18"/>
                <w:szCs w:val="18"/>
              </w:rPr>
            </w:pPr>
            <w:r w:rsidRPr="001D41EA">
              <w:rPr>
                <w:rFonts w:cs="Arial"/>
                <w:sz w:val="18"/>
                <w:szCs w:val="18"/>
              </w:rPr>
              <w:t>29,087</w:t>
            </w:r>
          </w:p>
        </w:tc>
        <w:tc>
          <w:tcPr>
            <w:tcW w:w="1134" w:type="dxa"/>
            <w:tcBorders>
              <w:top w:val="nil"/>
              <w:left w:val="nil"/>
              <w:bottom w:val="nil"/>
              <w:right w:val="nil"/>
            </w:tcBorders>
            <w:vAlign w:val="bottom"/>
          </w:tcPr>
          <w:p w14:paraId="27C7DDB1" w14:textId="3E517CB2" w:rsidR="00953130" w:rsidRPr="001D41EA" w:rsidRDefault="00953130" w:rsidP="001D41EA">
            <w:pPr>
              <w:spacing w:before="40" w:after="20"/>
              <w:jc w:val="right"/>
              <w:rPr>
                <w:rFonts w:cs="Arial"/>
                <w:sz w:val="18"/>
                <w:szCs w:val="18"/>
              </w:rPr>
            </w:pPr>
            <w:r w:rsidRPr="001D41EA">
              <w:rPr>
                <w:rFonts w:cs="Arial"/>
                <w:sz w:val="18"/>
                <w:szCs w:val="18"/>
              </w:rPr>
              <w:t>29,087</w:t>
            </w:r>
          </w:p>
        </w:tc>
        <w:tc>
          <w:tcPr>
            <w:tcW w:w="1134" w:type="dxa"/>
            <w:tcBorders>
              <w:top w:val="nil"/>
              <w:left w:val="nil"/>
              <w:bottom w:val="nil"/>
              <w:right w:val="nil"/>
            </w:tcBorders>
            <w:shd w:val="clear" w:color="auto" w:fill="auto"/>
            <w:vAlign w:val="bottom"/>
          </w:tcPr>
          <w:p w14:paraId="3990A9BD" w14:textId="57299067" w:rsidR="00953130" w:rsidRPr="001D41EA" w:rsidRDefault="00953130" w:rsidP="001D41EA">
            <w:pPr>
              <w:spacing w:before="40" w:after="20"/>
              <w:jc w:val="right"/>
              <w:rPr>
                <w:rFonts w:cs="Arial"/>
                <w:sz w:val="18"/>
                <w:szCs w:val="18"/>
              </w:rPr>
            </w:pPr>
            <w:r w:rsidRPr="001D41EA">
              <w:rPr>
                <w:rFonts w:cs="Arial"/>
                <w:sz w:val="18"/>
                <w:szCs w:val="18"/>
              </w:rPr>
              <w:t>10,564</w:t>
            </w:r>
          </w:p>
        </w:tc>
        <w:tc>
          <w:tcPr>
            <w:tcW w:w="1134" w:type="dxa"/>
            <w:tcBorders>
              <w:top w:val="nil"/>
              <w:left w:val="nil"/>
              <w:bottom w:val="nil"/>
              <w:right w:val="nil"/>
            </w:tcBorders>
            <w:shd w:val="clear" w:color="auto" w:fill="auto"/>
            <w:vAlign w:val="bottom"/>
          </w:tcPr>
          <w:p w14:paraId="7DCC9AB6" w14:textId="7095B427" w:rsidR="00953130" w:rsidRPr="001D41EA" w:rsidRDefault="00953130" w:rsidP="001D41EA">
            <w:pPr>
              <w:spacing w:before="40" w:after="20"/>
              <w:jc w:val="right"/>
              <w:rPr>
                <w:rFonts w:cs="Arial"/>
                <w:sz w:val="18"/>
                <w:szCs w:val="18"/>
              </w:rPr>
            </w:pPr>
            <w:r w:rsidRPr="001D41EA">
              <w:rPr>
                <w:rFonts w:cs="Arial"/>
                <w:sz w:val="18"/>
                <w:szCs w:val="18"/>
              </w:rPr>
              <w:t>13,275</w:t>
            </w:r>
          </w:p>
        </w:tc>
      </w:tr>
      <w:tr w:rsidR="00953130" w:rsidRPr="001D41EA" w14:paraId="6BAD6F36"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332B00" w14:textId="77777777" w:rsidR="00953130" w:rsidRPr="001D41EA" w:rsidRDefault="00953130" w:rsidP="001D41EA">
            <w:pPr>
              <w:spacing w:before="40" w:after="20"/>
              <w:rPr>
                <w:rFonts w:cs="Arial"/>
                <w:sz w:val="18"/>
                <w:szCs w:val="18"/>
              </w:rPr>
            </w:pPr>
            <w:r w:rsidRPr="001D41EA">
              <w:rPr>
                <w:rFonts w:cs="Arial"/>
                <w:sz w:val="18"/>
                <w:szCs w:val="18"/>
              </w:rPr>
              <w:t>Warrnambool C</w:t>
            </w:r>
          </w:p>
        </w:tc>
        <w:tc>
          <w:tcPr>
            <w:tcW w:w="1134" w:type="dxa"/>
            <w:tcBorders>
              <w:top w:val="nil"/>
              <w:left w:val="single" w:sz="18" w:space="0" w:color="5F497A" w:themeColor="accent4" w:themeShade="BF"/>
              <w:bottom w:val="nil"/>
              <w:right w:val="nil"/>
            </w:tcBorders>
            <w:shd w:val="clear" w:color="auto" w:fill="auto"/>
            <w:vAlign w:val="bottom"/>
          </w:tcPr>
          <w:p w14:paraId="1F057BEA" w14:textId="3A2D3C39" w:rsidR="00953130" w:rsidRPr="001D41EA" w:rsidRDefault="00953130" w:rsidP="001D41EA">
            <w:pPr>
              <w:spacing w:before="40" w:after="20"/>
              <w:jc w:val="right"/>
              <w:rPr>
                <w:rFonts w:cs="Arial"/>
                <w:sz w:val="18"/>
                <w:szCs w:val="18"/>
              </w:rPr>
            </w:pPr>
            <w:r w:rsidRPr="001D41EA">
              <w:rPr>
                <w:rFonts w:cs="Arial"/>
                <w:sz w:val="18"/>
                <w:szCs w:val="18"/>
              </w:rPr>
              <w:t>34,862</w:t>
            </w:r>
          </w:p>
        </w:tc>
        <w:tc>
          <w:tcPr>
            <w:tcW w:w="1134" w:type="dxa"/>
            <w:tcBorders>
              <w:top w:val="nil"/>
              <w:left w:val="nil"/>
              <w:bottom w:val="nil"/>
              <w:right w:val="nil"/>
            </w:tcBorders>
            <w:vAlign w:val="bottom"/>
          </w:tcPr>
          <w:p w14:paraId="306F7C7A" w14:textId="746C1A84" w:rsidR="00953130" w:rsidRPr="001D41EA" w:rsidRDefault="00953130" w:rsidP="001D41EA">
            <w:pPr>
              <w:spacing w:before="40" w:after="20"/>
              <w:jc w:val="right"/>
              <w:rPr>
                <w:rFonts w:cs="Arial"/>
                <w:sz w:val="18"/>
                <w:szCs w:val="18"/>
              </w:rPr>
            </w:pPr>
            <w:r w:rsidRPr="001D41EA">
              <w:rPr>
                <w:rFonts w:cs="Arial"/>
                <w:sz w:val="18"/>
                <w:szCs w:val="18"/>
              </w:rPr>
              <w:t>34,862</w:t>
            </w:r>
          </w:p>
        </w:tc>
        <w:tc>
          <w:tcPr>
            <w:tcW w:w="1134" w:type="dxa"/>
            <w:tcBorders>
              <w:top w:val="nil"/>
              <w:left w:val="nil"/>
              <w:bottom w:val="nil"/>
              <w:right w:val="nil"/>
            </w:tcBorders>
            <w:vAlign w:val="bottom"/>
          </w:tcPr>
          <w:p w14:paraId="2417B5D3" w14:textId="7242228D" w:rsidR="00953130" w:rsidRPr="001D41EA" w:rsidRDefault="00953130" w:rsidP="001D41EA">
            <w:pPr>
              <w:spacing w:before="40" w:after="20"/>
              <w:jc w:val="right"/>
              <w:rPr>
                <w:rFonts w:cs="Arial"/>
                <w:sz w:val="18"/>
                <w:szCs w:val="18"/>
              </w:rPr>
            </w:pPr>
            <w:r w:rsidRPr="001D41EA">
              <w:rPr>
                <w:rFonts w:cs="Arial"/>
                <w:sz w:val="18"/>
                <w:szCs w:val="18"/>
              </w:rPr>
              <w:t>34,862</w:t>
            </w:r>
          </w:p>
        </w:tc>
        <w:tc>
          <w:tcPr>
            <w:tcW w:w="1134" w:type="dxa"/>
            <w:tcBorders>
              <w:top w:val="nil"/>
              <w:left w:val="nil"/>
              <w:bottom w:val="nil"/>
              <w:right w:val="nil"/>
            </w:tcBorders>
            <w:vAlign w:val="bottom"/>
          </w:tcPr>
          <w:p w14:paraId="40071E33" w14:textId="6E346AF0" w:rsidR="00953130" w:rsidRPr="001D41EA" w:rsidRDefault="00953130" w:rsidP="001D41EA">
            <w:pPr>
              <w:spacing w:before="40" w:after="20"/>
              <w:jc w:val="right"/>
              <w:rPr>
                <w:rFonts w:cs="Arial"/>
                <w:sz w:val="18"/>
                <w:szCs w:val="18"/>
              </w:rPr>
            </w:pPr>
            <w:r w:rsidRPr="001D41EA">
              <w:rPr>
                <w:rFonts w:cs="Arial"/>
                <w:sz w:val="18"/>
                <w:szCs w:val="18"/>
              </w:rPr>
              <w:t>34,862</w:t>
            </w:r>
          </w:p>
        </w:tc>
        <w:tc>
          <w:tcPr>
            <w:tcW w:w="1134" w:type="dxa"/>
            <w:tcBorders>
              <w:top w:val="nil"/>
              <w:left w:val="nil"/>
              <w:bottom w:val="nil"/>
              <w:right w:val="nil"/>
            </w:tcBorders>
            <w:shd w:val="clear" w:color="auto" w:fill="auto"/>
            <w:vAlign w:val="bottom"/>
          </w:tcPr>
          <w:p w14:paraId="6C1E681C" w14:textId="6BF772CB" w:rsidR="00953130" w:rsidRPr="001D41EA" w:rsidRDefault="00953130" w:rsidP="001D41EA">
            <w:pPr>
              <w:spacing w:before="40" w:after="20"/>
              <w:jc w:val="right"/>
              <w:rPr>
                <w:rFonts w:cs="Arial"/>
                <w:sz w:val="18"/>
                <w:szCs w:val="18"/>
              </w:rPr>
            </w:pPr>
            <w:r w:rsidRPr="001D41EA">
              <w:rPr>
                <w:rFonts w:cs="Arial"/>
                <w:sz w:val="18"/>
                <w:szCs w:val="18"/>
              </w:rPr>
              <w:t>10,953</w:t>
            </w:r>
          </w:p>
        </w:tc>
        <w:tc>
          <w:tcPr>
            <w:tcW w:w="1134" w:type="dxa"/>
            <w:tcBorders>
              <w:top w:val="nil"/>
              <w:left w:val="nil"/>
              <w:bottom w:val="nil"/>
              <w:right w:val="nil"/>
            </w:tcBorders>
            <w:shd w:val="clear" w:color="auto" w:fill="auto"/>
            <w:vAlign w:val="bottom"/>
          </w:tcPr>
          <w:p w14:paraId="658CF55A" w14:textId="0EFBCE75" w:rsidR="00953130" w:rsidRPr="001D41EA" w:rsidRDefault="00953130" w:rsidP="001D41EA">
            <w:pPr>
              <w:spacing w:before="40" w:after="20"/>
              <w:jc w:val="right"/>
              <w:rPr>
                <w:rFonts w:cs="Arial"/>
                <w:sz w:val="18"/>
                <w:szCs w:val="18"/>
              </w:rPr>
            </w:pPr>
            <w:r w:rsidRPr="001D41EA">
              <w:rPr>
                <w:rFonts w:cs="Arial"/>
                <w:sz w:val="18"/>
                <w:szCs w:val="18"/>
              </w:rPr>
              <w:t>15,409</w:t>
            </w:r>
          </w:p>
        </w:tc>
      </w:tr>
      <w:tr w:rsidR="00953130" w:rsidRPr="001D41EA" w14:paraId="26769018"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77904B92" w14:textId="77777777" w:rsidR="00953130" w:rsidRPr="001D41EA" w:rsidRDefault="00953130" w:rsidP="001D41EA">
            <w:pPr>
              <w:spacing w:before="40" w:after="20"/>
              <w:rPr>
                <w:rFonts w:cs="Arial"/>
                <w:sz w:val="18"/>
                <w:szCs w:val="18"/>
              </w:rPr>
            </w:pPr>
            <w:r w:rsidRPr="001D41EA">
              <w:rPr>
                <w:rFonts w:cs="Arial"/>
                <w:sz w:val="18"/>
                <w:szCs w:val="18"/>
              </w:rPr>
              <w:t>Wellington S</w:t>
            </w:r>
          </w:p>
        </w:tc>
        <w:tc>
          <w:tcPr>
            <w:tcW w:w="1134" w:type="dxa"/>
            <w:tcBorders>
              <w:top w:val="nil"/>
              <w:left w:val="single" w:sz="18" w:space="0" w:color="5F497A" w:themeColor="accent4" w:themeShade="BF"/>
              <w:bottom w:val="nil"/>
              <w:right w:val="nil"/>
            </w:tcBorders>
            <w:shd w:val="clear" w:color="auto" w:fill="auto"/>
            <w:vAlign w:val="bottom"/>
          </w:tcPr>
          <w:p w14:paraId="75B02209" w14:textId="6D2C29F4" w:rsidR="00953130" w:rsidRPr="001D41EA" w:rsidRDefault="00953130" w:rsidP="001D41EA">
            <w:pPr>
              <w:spacing w:before="40" w:after="20"/>
              <w:jc w:val="right"/>
              <w:rPr>
                <w:rFonts w:cs="Arial"/>
                <w:sz w:val="18"/>
                <w:szCs w:val="18"/>
              </w:rPr>
            </w:pPr>
            <w:r w:rsidRPr="001D41EA">
              <w:rPr>
                <w:rFonts w:cs="Arial"/>
                <w:sz w:val="18"/>
                <w:szCs w:val="18"/>
              </w:rPr>
              <w:t>44,019</w:t>
            </w:r>
          </w:p>
        </w:tc>
        <w:tc>
          <w:tcPr>
            <w:tcW w:w="1134" w:type="dxa"/>
            <w:tcBorders>
              <w:top w:val="nil"/>
              <w:left w:val="nil"/>
              <w:bottom w:val="nil"/>
              <w:right w:val="nil"/>
            </w:tcBorders>
            <w:vAlign w:val="bottom"/>
          </w:tcPr>
          <w:p w14:paraId="0116B92C" w14:textId="52527278" w:rsidR="00953130" w:rsidRPr="001D41EA" w:rsidRDefault="00953130" w:rsidP="001D41EA">
            <w:pPr>
              <w:spacing w:before="40" w:after="20"/>
              <w:jc w:val="right"/>
              <w:rPr>
                <w:rFonts w:cs="Arial"/>
                <w:sz w:val="18"/>
                <w:szCs w:val="18"/>
              </w:rPr>
            </w:pPr>
            <w:r w:rsidRPr="001D41EA">
              <w:rPr>
                <w:rFonts w:cs="Arial"/>
                <w:sz w:val="18"/>
                <w:szCs w:val="18"/>
              </w:rPr>
              <w:t>47,062</w:t>
            </w:r>
          </w:p>
        </w:tc>
        <w:tc>
          <w:tcPr>
            <w:tcW w:w="1134" w:type="dxa"/>
            <w:tcBorders>
              <w:top w:val="nil"/>
              <w:left w:val="nil"/>
              <w:bottom w:val="nil"/>
              <w:right w:val="nil"/>
            </w:tcBorders>
            <w:vAlign w:val="bottom"/>
          </w:tcPr>
          <w:p w14:paraId="71FA1A9F" w14:textId="3FFE571C" w:rsidR="00953130" w:rsidRPr="001D41EA" w:rsidRDefault="00953130" w:rsidP="001D41EA">
            <w:pPr>
              <w:spacing w:before="40" w:after="20"/>
              <w:jc w:val="right"/>
              <w:rPr>
                <w:rFonts w:cs="Arial"/>
                <w:sz w:val="18"/>
                <w:szCs w:val="18"/>
              </w:rPr>
            </w:pPr>
            <w:r w:rsidRPr="001D41EA">
              <w:rPr>
                <w:rFonts w:cs="Arial"/>
                <w:sz w:val="18"/>
                <w:szCs w:val="18"/>
              </w:rPr>
              <w:t>47,062</w:t>
            </w:r>
          </w:p>
        </w:tc>
        <w:tc>
          <w:tcPr>
            <w:tcW w:w="1134" w:type="dxa"/>
            <w:tcBorders>
              <w:top w:val="nil"/>
              <w:left w:val="nil"/>
              <w:bottom w:val="nil"/>
              <w:right w:val="nil"/>
            </w:tcBorders>
            <w:vAlign w:val="bottom"/>
          </w:tcPr>
          <w:p w14:paraId="5FCA70E0" w14:textId="1B60AE22" w:rsidR="00953130" w:rsidRPr="001D41EA" w:rsidRDefault="00953130" w:rsidP="001D41EA">
            <w:pPr>
              <w:spacing w:before="40" w:after="20"/>
              <w:jc w:val="right"/>
              <w:rPr>
                <w:rFonts w:cs="Arial"/>
                <w:sz w:val="18"/>
                <w:szCs w:val="18"/>
              </w:rPr>
            </w:pPr>
            <w:r w:rsidRPr="001D41EA">
              <w:rPr>
                <w:rFonts w:cs="Arial"/>
                <w:sz w:val="18"/>
                <w:szCs w:val="18"/>
              </w:rPr>
              <w:t>47,062</w:t>
            </w:r>
          </w:p>
        </w:tc>
        <w:tc>
          <w:tcPr>
            <w:tcW w:w="1134" w:type="dxa"/>
            <w:tcBorders>
              <w:top w:val="nil"/>
              <w:left w:val="nil"/>
              <w:bottom w:val="nil"/>
              <w:right w:val="nil"/>
            </w:tcBorders>
            <w:shd w:val="clear" w:color="auto" w:fill="auto"/>
            <w:vAlign w:val="bottom"/>
          </w:tcPr>
          <w:p w14:paraId="74591B70" w14:textId="67050379" w:rsidR="00953130" w:rsidRPr="001D41EA" w:rsidRDefault="00953130" w:rsidP="001D41EA">
            <w:pPr>
              <w:spacing w:before="40" w:after="20"/>
              <w:jc w:val="right"/>
              <w:rPr>
                <w:rFonts w:cs="Arial"/>
                <w:sz w:val="18"/>
                <w:szCs w:val="18"/>
              </w:rPr>
            </w:pPr>
            <w:r w:rsidRPr="001D41EA">
              <w:rPr>
                <w:rFonts w:cs="Arial"/>
                <w:sz w:val="18"/>
                <w:szCs w:val="18"/>
              </w:rPr>
              <w:t>15,411</w:t>
            </w:r>
          </w:p>
        </w:tc>
        <w:tc>
          <w:tcPr>
            <w:tcW w:w="1134" w:type="dxa"/>
            <w:tcBorders>
              <w:top w:val="nil"/>
              <w:left w:val="nil"/>
              <w:bottom w:val="nil"/>
              <w:right w:val="nil"/>
            </w:tcBorders>
            <w:shd w:val="clear" w:color="auto" w:fill="auto"/>
            <w:vAlign w:val="bottom"/>
          </w:tcPr>
          <w:p w14:paraId="197E89BB" w14:textId="466330D8" w:rsidR="00953130" w:rsidRPr="001D41EA" w:rsidRDefault="00953130" w:rsidP="001D41EA">
            <w:pPr>
              <w:spacing w:before="40" w:after="20"/>
              <w:jc w:val="right"/>
              <w:rPr>
                <w:rFonts w:cs="Arial"/>
                <w:sz w:val="18"/>
                <w:szCs w:val="18"/>
              </w:rPr>
            </w:pPr>
            <w:r w:rsidRPr="001D41EA">
              <w:rPr>
                <w:rFonts w:cs="Arial"/>
                <w:sz w:val="18"/>
                <w:szCs w:val="18"/>
              </w:rPr>
              <w:t>22,467</w:t>
            </w:r>
          </w:p>
        </w:tc>
      </w:tr>
      <w:tr w:rsidR="00953130" w:rsidRPr="001D41EA" w14:paraId="4A9E5CDF"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82B54C" w14:textId="77777777" w:rsidR="00953130" w:rsidRPr="001D41EA" w:rsidRDefault="00953130" w:rsidP="001D41EA">
            <w:pPr>
              <w:spacing w:before="40" w:after="20"/>
              <w:rPr>
                <w:rFonts w:cs="Arial"/>
                <w:sz w:val="18"/>
                <w:szCs w:val="18"/>
              </w:rPr>
            </w:pPr>
            <w:r w:rsidRPr="001D41EA">
              <w:rPr>
                <w:rFonts w:cs="Arial"/>
                <w:sz w:val="18"/>
                <w:szCs w:val="18"/>
              </w:rPr>
              <w:t>West Wimmera S</w:t>
            </w:r>
          </w:p>
        </w:tc>
        <w:tc>
          <w:tcPr>
            <w:tcW w:w="1134" w:type="dxa"/>
            <w:tcBorders>
              <w:top w:val="nil"/>
              <w:left w:val="single" w:sz="18" w:space="0" w:color="5F497A" w:themeColor="accent4" w:themeShade="BF"/>
              <w:bottom w:val="nil"/>
              <w:right w:val="nil"/>
            </w:tcBorders>
            <w:shd w:val="clear" w:color="auto" w:fill="auto"/>
            <w:vAlign w:val="bottom"/>
          </w:tcPr>
          <w:p w14:paraId="0A71F084" w14:textId="665599EB" w:rsidR="00953130" w:rsidRPr="001D41EA" w:rsidRDefault="00953130" w:rsidP="001D41EA">
            <w:pPr>
              <w:spacing w:before="40" w:after="20"/>
              <w:jc w:val="right"/>
              <w:rPr>
                <w:rFonts w:cs="Arial"/>
                <w:sz w:val="18"/>
                <w:szCs w:val="18"/>
              </w:rPr>
            </w:pPr>
            <w:r w:rsidRPr="001D41EA">
              <w:rPr>
                <w:rFonts w:cs="Arial"/>
                <w:sz w:val="18"/>
                <w:szCs w:val="18"/>
              </w:rPr>
              <w:t>3,862</w:t>
            </w:r>
          </w:p>
        </w:tc>
        <w:tc>
          <w:tcPr>
            <w:tcW w:w="1134" w:type="dxa"/>
            <w:tcBorders>
              <w:top w:val="nil"/>
              <w:left w:val="nil"/>
              <w:bottom w:val="nil"/>
              <w:right w:val="nil"/>
            </w:tcBorders>
            <w:vAlign w:val="bottom"/>
          </w:tcPr>
          <w:p w14:paraId="5024AB81" w14:textId="7CFEC933" w:rsidR="00953130" w:rsidRPr="001D41EA" w:rsidRDefault="00953130" w:rsidP="001D41EA">
            <w:pPr>
              <w:spacing w:before="40" w:after="20"/>
              <w:jc w:val="right"/>
              <w:rPr>
                <w:rFonts w:cs="Arial"/>
                <w:sz w:val="18"/>
                <w:szCs w:val="18"/>
              </w:rPr>
            </w:pPr>
            <w:r w:rsidRPr="001D41EA">
              <w:rPr>
                <w:rFonts w:cs="Arial"/>
                <w:sz w:val="18"/>
                <w:szCs w:val="18"/>
              </w:rPr>
              <w:t>15,000</w:t>
            </w:r>
          </w:p>
        </w:tc>
        <w:tc>
          <w:tcPr>
            <w:tcW w:w="1134" w:type="dxa"/>
            <w:tcBorders>
              <w:top w:val="nil"/>
              <w:left w:val="nil"/>
              <w:bottom w:val="nil"/>
              <w:right w:val="nil"/>
            </w:tcBorders>
            <w:vAlign w:val="bottom"/>
          </w:tcPr>
          <w:p w14:paraId="758C3C76" w14:textId="55799AE5" w:rsidR="00953130" w:rsidRPr="001D41EA" w:rsidRDefault="00953130" w:rsidP="001D41EA">
            <w:pPr>
              <w:spacing w:before="40" w:after="20"/>
              <w:jc w:val="right"/>
              <w:rPr>
                <w:rFonts w:cs="Arial"/>
                <w:sz w:val="18"/>
                <w:szCs w:val="18"/>
              </w:rPr>
            </w:pPr>
            <w:r w:rsidRPr="001D41EA">
              <w:rPr>
                <w:rFonts w:cs="Arial"/>
                <w:sz w:val="18"/>
                <w:szCs w:val="18"/>
              </w:rPr>
              <w:t>20,000</w:t>
            </w:r>
          </w:p>
        </w:tc>
        <w:tc>
          <w:tcPr>
            <w:tcW w:w="1134" w:type="dxa"/>
            <w:tcBorders>
              <w:top w:val="nil"/>
              <w:left w:val="nil"/>
              <w:bottom w:val="nil"/>
              <w:right w:val="nil"/>
            </w:tcBorders>
            <w:vAlign w:val="bottom"/>
          </w:tcPr>
          <w:p w14:paraId="29D44C81" w14:textId="3538164A" w:rsidR="00953130" w:rsidRPr="001D41EA" w:rsidRDefault="00953130" w:rsidP="001D41EA">
            <w:pPr>
              <w:spacing w:before="40" w:after="20"/>
              <w:jc w:val="right"/>
              <w:rPr>
                <w:rFonts w:cs="Arial"/>
                <w:sz w:val="18"/>
                <w:szCs w:val="18"/>
              </w:rPr>
            </w:pPr>
            <w:r w:rsidRPr="001D41EA">
              <w:rPr>
                <w:rFonts w:cs="Arial"/>
                <w:sz w:val="18"/>
                <w:szCs w:val="18"/>
              </w:rPr>
              <w:t>4,241</w:t>
            </w:r>
          </w:p>
        </w:tc>
        <w:tc>
          <w:tcPr>
            <w:tcW w:w="1134" w:type="dxa"/>
            <w:tcBorders>
              <w:top w:val="nil"/>
              <w:left w:val="nil"/>
              <w:bottom w:val="nil"/>
              <w:right w:val="nil"/>
            </w:tcBorders>
            <w:shd w:val="clear" w:color="auto" w:fill="auto"/>
            <w:vAlign w:val="bottom"/>
          </w:tcPr>
          <w:p w14:paraId="5087C622" w14:textId="43BBD938" w:rsidR="00953130" w:rsidRPr="001D41EA" w:rsidRDefault="00953130" w:rsidP="001D41EA">
            <w:pPr>
              <w:spacing w:before="40" w:after="20"/>
              <w:jc w:val="right"/>
              <w:rPr>
                <w:rFonts w:cs="Arial"/>
                <w:sz w:val="18"/>
                <w:szCs w:val="18"/>
              </w:rPr>
            </w:pPr>
            <w:r w:rsidRPr="001D41EA">
              <w:rPr>
                <w:rFonts w:cs="Arial"/>
                <w:sz w:val="18"/>
                <w:szCs w:val="18"/>
              </w:rPr>
              <w:t>1,491</w:t>
            </w:r>
          </w:p>
        </w:tc>
        <w:tc>
          <w:tcPr>
            <w:tcW w:w="1134" w:type="dxa"/>
            <w:tcBorders>
              <w:top w:val="nil"/>
              <w:left w:val="nil"/>
              <w:bottom w:val="nil"/>
              <w:right w:val="nil"/>
            </w:tcBorders>
            <w:shd w:val="clear" w:color="auto" w:fill="auto"/>
            <w:vAlign w:val="bottom"/>
          </w:tcPr>
          <w:p w14:paraId="03C8D4F5" w14:textId="18890600" w:rsidR="00953130" w:rsidRPr="001D41EA" w:rsidRDefault="00953130" w:rsidP="001D41EA">
            <w:pPr>
              <w:spacing w:before="40" w:after="20"/>
              <w:jc w:val="right"/>
              <w:rPr>
                <w:rFonts w:cs="Arial"/>
                <w:sz w:val="18"/>
                <w:szCs w:val="18"/>
              </w:rPr>
            </w:pPr>
            <w:r w:rsidRPr="001D41EA">
              <w:rPr>
                <w:rFonts w:cs="Arial"/>
                <w:sz w:val="18"/>
                <w:szCs w:val="18"/>
              </w:rPr>
              <w:t>2,197</w:t>
            </w:r>
          </w:p>
        </w:tc>
      </w:tr>
      <w:tr w:rsidR="00953130" w:rsidRPr="001D41EA" w14:paraId="696FC5C4"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385DB4BF" w14:textId="77777777" w:rsidR="00953130" w:rsidRPr="001D41EA" w:rsidRDefault="00953130" w:rsidP="001D41EA">
            <w:pPr>
              <w:spacing w:before="40" w:after="20"/>
              <w:rPr>
                <w:rFonts w:cs="Arial"/>
                <w:sz w:val="18"/>
                <w:szCs w:val="18"/>
              </w:rPr>
            </w:pPr>
            <w:r w:rsidRPr="001D41EA">
              <w:rPr>
                <w:rFonts w:cs="Arial"/>
                <w:sz w:val="18"/>
                <w:szCs w:val="18"/>
              </w:rPr>
              <w:t>Whitehorse C</w:t>
            </w:r>
          </w:p>
        </w:tc>
        <w:tc>
          <w:tcPr>
            <w:tcW w:w="1134" w:type="dxa"/>
            <w:tcBorders>
              <w:top w:val="nil"/>
              <w:left w:val="single" w:sz="18" w:space="0" w:color="5F497A" w:themeColor="accent4" w:themeShade="BF"/>
              <w:bottom w:val="nil"/>
              <w:right w:val="nil"/>
            </w:tcBorders>
            <w:shd w:val="clear" w:color="auto" w:fill="auto"/>
            <w:vAlign w:val="bottom"/>
          </w:tcPr>
          <w:p w14:paraId="7DEBE624" w14:textId="5BB7DA82" w:rsidR="00953130" w:rsidRPr="001D41EA" w:rsidRDefault="00953130" w:rsidP="001D41EA">
            <w:pPr>
              <w:spacing w:before="40" w:after="20"/>
              <w:jc w:val="right"/>
              <w:rPr>
                <w:rFonts w:cs="Arial"/>
                <w:sz w:val="18"/>
                <w:szCs w:val="18"/>
              </w:rPr>
            </w:pPr>
            <w:r w:rsidRPr="001D41EA">
              <w:rPr>
                <w:rFonts w:cs="Arial"/>
                <w:sz w:val="18"/>
                <w:szCs w:val="18"/>
              </w:rPr>
              <w:t>176,196</w:t>
            </w:r>
          </w:p>
        </w:tc>
        <w:tc>
          <w:tcPr>
            <w:tcW w:w="1134" w:type="dxa"/>
            <w:tcBorders>
              <w:top w:val="nil"/>
              <w:left w:val="nil"/>
              <w:bottom w:val="nil"/>
              <w:right w:val="nil"/>
            </w:tcBorders>
            <w:vAlign w:val="bottom"/>
          </w:tcPr>
          <w:p w14:paraId="5DE8DC5A" w14:textId="37468305" w:rsidR="00953130" w:rsidRPr="001D41EA" w:rsidRDefault="00953130" w:rsidP="001D41EA">
            <w:pPr>
              <w:spacing w:before="40" w:after="20"/>
              <w:jc w:val="right"/>
              <w:rPr>
                <w:rFonts w:cs="Arial"/>
                <w:sz w:val="18"/>
                <w:szCs w:val="18"/>
              </w:rPr>
            </w:pPr>
            <w:r w:rsidRPr="001D41EA">
              <w:rPr>
                <w:rFonts w:cs="Arial"/>
                <w:sz w:val="18"/>
                <w:szCs w:val="18"/>
              </w:rPr>
              <w:t>176,196</w:t>
            </w:r>
          </w:p>
        </w:tc>
        <w:tc>
          <w:tcPr>
            <w:tcW w:w="1134" w:type="dxa"/>
            <w:tcBorders>
              <w:top w:val="nil"/>
              <w:left w:val="nil"/>
              <w:bottom w:val="nil"/>
              <w:right w:val="nil"/>
            </w:tcBorders>
            <w:vAlign w:val="bottom"/>
          </w:tcPr>
          <w:p w14:paraId="1751B8D9" w14:textId="271D2FD5" w:rsidR="00953130" w:rsidRPr="001D41EA" w:rsidRDefault="00953130" w:rsidP="001D41EA">
            <w:pPr>
              <w:spacing w:before="40" w:after="20"/>
              <w:jc w:val="right"/>
              <w:rPr>
                <w:rFonts w:cs="Arial"/>
                <w:sz w:val="18"/>
                <w:szCs w:val="18"/>
              </w:rPr>
            </w:pPr>
            <w:r w:rsidRPr="001D41EA">
              <w:rPr>
                <w:rFonts w:cs="Arial"/>
                <w:sz w:val="18"/>
                <w:szCs w:val="18"/>
              </w:rPr>
              <w:t>176,196</w:t>
            </w:r>
          </w:p>
        </w:tc>
        <w:tc>
          <w:tcPr>
            <w:tcW w:w="1134" w:type="dxa"/>
            <w:tcBorders>
              <w:top w:val="nil"/>
              <w:left w:val="nil"/>
              <w:bottom w:val="nil"/>
              <w:right w:val="nil"/>
            </w:tcBorders>
            <w:vAlign w:val="bottom"/>
          </w:tcPr>
          <w:p w14:paraId="495A4A7A" w14:textId="25C0D021" w:rsidR="00953130" w:rsidRPr="001D41EA" w:rsidRDefault="00953130" w:rsidP="001D41EA">
            <w:pPr>
              <w:spacing w:before="40" w:after="20"/>
              <w:jc w:val="right"/>
              <w:rPr>
                <w:rFonts w:cs="Arial"/>
                <w:sz w:val="18"/>
                <w:szCs w:val="18"/>
              </w:rPr>
            </w:pPr>
            <w:r w:rsidRPr="001D41EA">
              <w:rPr>
                <w:rFonts w:cs="Arial"/>
                <w:sz w:val="18"/>
                <w:szCs w:val="18"/>
              </w:rPr>
              <w:t>176,196</w:t>
            </w:r>
          </w:p>
        </w:tc>
        <w:tc>
          <w:tcPr>
            <w:tcW w:w="1134" w:type="dxa"/>
            <w:tcBorders>
              <w:top w:val="nil"/>
              <w:left w:val="nil"/>
              <w:bottom w:val="nil"/>
              <w:right w:val="nil"/>
            </w:tcBorders>
            <w:shd w:val="clear" w:color="auto" w:fill="auto"/>
            <w:vAlign w:val="bottom"/>
          </w:tcPr>
          <w:p w14:paraId="27E805BC" w14:textId="70FD3BFB" w:rsidR="00953130" w:rsidRPr="001D41EA" w:rsidRDefault="00953130" w:rsidP="001D41EA">
            <w:pPr>
              <w:spacing w:before="40" w:after="20"/>
              <w:jc w:val="right"/>
              <w:rPr>
                <w:rFonts w:cs="Arial"/>
                <w:sz w:val="18"/>
                <w:szCs w:val="18"/>
              </w:rPr>
            </w:pPr>
            <w:r w:rsidRPr="001D41EA">
              <w:rPr>
                <w:rFonts w:cs="Arial"/>
                <w:sz w:val="18"/>
                <w:szCs w:val="18"/>
              </w:rPr>
              <w:t>44,289</w:t>
            </w:r>
          </w:p>
        </w:tc>
        <w:tc>
          <w:tcPr>
            <w:tcW w:w="1134" w:type="dxa"/>
            <w:tcBorders>
              <w:top w:val="nil"/>
              <w:left w:val="nil"/>
              <w:bottom w:val="nil"/>
              <w:right w:val="nil"/>
            </w:tcBorders>
            <w:shd w:val="clear" w:color="auto" w:fill="auto"/>
            <w:vAlign w:val="bottom"/>
          </w:tcPr>
          <w:p w14:paraId="0B30C7DB" w14:textId="3DF2FCA7" w:rsidR="00953130" w:rsidRPr="001D41EA" w:rsidRDefault="00953130" w:rsidP="001D41EA">
            <w:pPr>
              <w:spacing w:before="40" w:after="20"/>
              <w:jc w:val="right"/>
              <w:rPr>
                <w:rFonts w:cs="Arial"/>
                <w:sz w:val="18"/>
                <w:szCs w:val="18"/>
              </w:rPr>
            </w:pPr>
            <w:r w:rsidRPr="001D41EA">
              <w:rPr>
                <w:rFonts w:cs="Arial"/>
                <w:sz w:val="18"/>
                <w:szCs w:val="18"/>
              </w:rPr>
              <w:t>68,133</w:t>
            </w:r>
          </w:p>
        </w:tc>
      </w:tr>
      <w:tr w:rsidR="00953130" w:rsidRPr="001D41EA" w14:paraId="2E8C1BE0"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0002ECAA" w14:textId="77777777" w:rsidR="00953130" w:rsidRPr="001D41EA" w:rsidRDefault="00953130" w:rsidP="001D41EA">
            <w:pPr>
              <w:spacing w:before="40" w:after="20"/>
              <w:rPr>
                <w:rFonts w:cs="Arial"/>
                <w:sz w:val="18"/>
                <w:szCs w:val="18"/>
              </w:rPr>
            </w:pPr>
            <w:r w:rsidRPr="001D41EA">
              <w:rPr>
                <w:rFonts w:cs="Arial"/>
                <w:sz w:val="18"/>
                <w:szCs w:val="18"/>
              </w:rPr>
              <w:t>Whittlesea C</w:t>
            </w:r>
          </w:p>
        </w:tc>
        <w:tc>
          <w:tcPr>
            <w:tcW w:w="1134" w:type="dxa"/>
            <w:tcBorders>
              <w:top w:val="nil"/>
              <w:left w:val="single" w:sz="18" w:space="0" w:color="5F497A" w:themeColor="accent4" w:themeShade="BF"/>
              <w:bottom w:val="nil"/>
              <w:right w:val="nil"/>
            </w:tcBorders>
            <w:shd w:val="clear" w:color="auto" w:fill="auto"/>
            <w:vAlign w:val="bottom"/>
          </w:tcPr>
          <w:p w14:paraId="0B3DDDEC" w14:textId="2DD35EDF" w:rsidR="00953130" w:rsidRPr="001D41EA" w:rsidRDefault="00953130" w:rsidP="001D41EA">
            <w:pPr>
              <w:spacing w:before="40" w:after="20"/>
              <w:jc w:val="right"/>
              <w:rPr>
                <w:rFonts w:cs="Arial"/>
                <w:sz w:val="18"/>
                <w:szCs w:val="18"/>
              </w:rPr>
            </w:pPr>
            <w:r w:rsidRPr="001D41EA">
              <w:rPr>
                <w:rFonts w:cs="Arial"/>
                <w:sz w:val="18"/>
                <w:szCs w:val="18"/>
              </w:rPr>
              <w:t>223,322</w:t>
            </w:r>
          </w:p>
        </w:tc>
        <w:tc>
          <w:tcPr>
            <w:tcW w:w="1134" w:type="dxa"/>
            <w:tcBorders>
              <w:top w:val="nil"/>
              <w:left w:val="nil"/>
              <w:bottom w:val="nil"/>
              <w:right w:val="nil"/>
            </w:tcBorders>
            <w:vAlign w:val="bottom"/>
          </w:tcPr>
          <w:p w14:paraId="5F7767FF" w14:textId="20EB6070" w:rsidR="00953130" w:rsidRPr="001D41EA" w:rsidRDefault="00953130" w:rsidP="001D41EA">
            <w:pPr>
              <w:spacing w:before="40" w:after="20"/>
              <w:jc w:val="right"/>
              <w:rPr>
                <w:rFonts w:cs="Arial"/>
                <w:sz w:val="18"/>
                <w:szCs w:val="18"/>
              </w:rPr>
            </w:pPr>
            <w:r w:rsidRPr="001D41EA">
              <w:rPr>
                <w:rFonts w:cs="Arial"/>
                <w:sz w:val="18"/>
                <w:szCs w:val="18"/>
              </w:rPr>
              <w:t>223,322</w:t>
            </w:r>
          </w:p>
        </w:tc>
        <w:tc>
          <w:tcPr>
            <w:tcW w:w="1134" w:type="dxa"/>
            <w:tcBorders>
              <w:top w:val="nil"/>
              <w:left w:val="nil"/>
              <w:bottom w:val="nil"/>
              <w:right w:val="nil"/>
            </w:tcBorders>
            <w:vAlign w:val="bottom"/>
          </w:tcPr>
          <w:p w14:paraId="1E4487F3" w14:textId="00DF70D9" w:rsidR="00953130" w:rsidRPr="001D41EA" w:rsidRDefault="00953130" w:rsidP="001D41EA">
            <w:pPr>
              <w:spacing w:before="40" w:after="20"/>
              <w:jc w:val="right"/>
              <w:rPr>
                <w:rFonts w:cs="Arial"/>
                <w:sz w:val="18"/>
                <w:szCs w:val="18"/>
              </w:rPr>
            </w:pPr>
            <w:r w:rsidRPr="001D41EA">
              <w:rPr>
                <w:rFonts w:cs="Arial"/>
                <w:sz w:val="18"/>
                <w:szCs w:val="18"/>
              </w:rPr>
              <w:t>223,322</w:t>
            </w:r>
          </w:p>
        </w:tc>
        <w:tc>
          <w:tcPr>
            <w:tcW w:w="1134" w:type="dxa"/>
            <w:tcBorders>
              <w:top w:val="nil"/>
              <w:left w:val="nil"/>
              <w:bottom w:val="nil"/>
              <w:right w:val="nil"/>
            </w:tcBorders>
            <w:vAlign w:val="bottom"/>
          </w:tcPr>
          <w:p w14:paraId="02DD9155" w14:textId="16F8E53D" w:rsidR="00953130" w:rsidRPr="001D41EA" w:rsidRDefault="00953130" w:rsidP="001D41EA">
            <w:pPr>
              <w:spacing w:before="40" w:after="20"/>
              <w:jc w:val="right"/>
              <w:rPr>
                <w:rFonts w:cs="Arial"/>
                <w:sz w:val="18"/>
                <w:szCs w:val="18"/>
              </w:rPr>
            </w:pPr>
            <w:r w:rsidRPr="001D41EA">
              <w:rPr>
                <w:rFonts w:cs="Arial"/>
                <w:sz w:val="18"/>
                <w:szCs w:val="18"/>
              </w:rPr>
              <w:t>223,322</w:t>
            </w:r>
          </w:p>
        </w:tc>
        <w:tc>
          <w:tcPr>
            <w:tcW w:w="1134" w:type="dxa"/>
            <w:tcBorders>
              <w:top w:val="nil"/>
              <w:left w:val="nil"/>
              <w:bottom w:val="nil"/>
              <w:right w:val="nil"/>
            </w:tcBorders>
            <w:shd w:val="clear" w:color="auto" w:fill="auto"/>
            <w:vAlign w:val="bottom"/>
          </w:tcPr>
          <w:p w14:paraId="091D0F46" w14:textId="657F15AC" w:rsidR="00953130" w:rsidRPr="001D41EA" w:rsidRDefault="00953130" w:rsidP="001D41EA">
            <w:pPr>
              <w:spacing w:before="40" w:after="20"/>
              <w:jc w:val="right"/>
              <w:rPr>
                <w:rFonts w:cs="Arial"/>
                <w:sz w:val="18"/>
                <w:szCs w:val="18"/>
              </w:rPr>
            </w:pPr>
            <w:r w:rsidRPr="001D41EA">
              <w:rPr>
                <w:rFonts w:cs="Arial"/>
                <w:sz w:val="18"/>
                <w:szCs w:val="18"/>
              </w:rPr>
              <w:t>50,435</w:t>
            </w:r>
          </w:p>
        </w:tc>
        <w:tc>
          <w:tcPr>
            <w:tcW w:w="1134" w:type="dxa"/>
            <w:tcBorders>
              <w:top w:val="nil"/>
              <w:left w:val="nil"/>
              <w:bottom w:val="nil"/>
              <w:right w:val="nil"/>
            </w:tcBorders>
            <w:shd w:val="clear" w:color="auto" w:fill="auto"/>
            <w:vAlign w:val="bottom"/>
          </w:tcPr>
          <w:p w14:paraId="3ADF960C" w14:textId="576F5BE2" w:rsidR="00953130" w:rsidRPr="001D41EA" w:rsidRDefault="00953130" w:rsidP="001D41EA">
            <w:pPr>
              <w:spacing w:before="40" w:after="20"/>
              <w:jc w:val="right"/>
              <w:rPr>
                <w:rFonts w:cs="Arial"/>
                <w:sz w:val="18"/>
                <w:szCs w:val="18"/>
              </w:rPr>
            </w:pPr>
            <w:r w:rsidRPr="001D41EA">
              <w:rPr>
                <w:rFonts w:cs="Arial"/>
                <w:sz w:val="18"/>
                <w:szCs w:val="18"/>
              </w:rPr>
              <w:t>76,259</w:t>
            </w:r>
          </w:p>
        </w:tc>
      </w:tr>
      <w:tr w:rsidR="00953130" w:rsidRPr="001D41EA" w14:paraId="3F117AA8"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0161C8B" w14:textId="77777777" w:rsidR="00953130" w:rsidRPr="001D41EA" w:rsidRDefault="00953130" w:rsidP="001D41EA">
            <w:pPr>
              <w:spacing w:before="40" w:after="20"/>
              <w:rPr>
                <w:rFonts w:cs="Arial"/>
                <w:sz w:val="18"/>
                <w:szCs w:val="18"/>
              </w:rPr>
            </w:pPr>
            <w:r w:rsidRPr="001D41EA">
              <w:rPr>
                <w:rFonts w:cs="Arial"/>
                <w:sz w:val="18"/>
                <w:szCs w:val="18"/>
              </w:rPr>
              <w:t>Wodonga C</w:t>
            </w:r>
          </w:p>
        </w:tc>
        <w:tc>
          <w:tcPr>
            <w:tcW w:w="1134" w:type="dxa"/>
            <w:tcBorders>
              <w:top w:val="nil"/>
              <w:left w:val="single" w:sz="18" w:space="0" w:color="5F497A" w:themeColor="accent4" w:themeShade="BF"/>
              <w:bottom w:val="nil"/>
              <w:right w:val="nil"/>
            </w:tcBorders>
            <w:shd w:val="clear" w:color="auto" w:fill="auto"/>
            <w:vAlign w:val="bottom"/>
          </w:tcPr>
          <w:p w14:paraId="7B51D4DD" w14:textId="6624E0F0" w:rsidR="00953130" w:rsidRPr="001D41EA" w:rsidRDefault="00953130" w:rsidP="001D41EA">
            <w:pPr>
              <w:spacing w:before="40" w:after="20"/>
              <w:jc w:val="right"/>
              <w:rPr>
                <w:rFonts w:cs="Arial"/>
                <w:sz w:val="18"/>
                <w:szCs w:val="18"/>
              </w:rPr>
            </w:pPr>
            <w:r w:rsidRPr="001D41EA">
              <w:rPr>
                <w:rFonts w:cs="Arial"/>
                <w:sz w:val="18"/>
                <w:szCs w:val="18"/>
              </w:rPr>
              <w:t>41,429</w:t>
            </w:r>
          </w:p>
        </w:tc>
        <w:tc>
          <w:tcPr>
            <w:tcW w:w="1134" w:type="dxa"/>
            <w:tcBorders>
              <w:top w:val="nil"/>
              <w:left w:val="nil"/>
              <w:bottom w:val="nil"/>
              <w:right w:val="nil"/>
            </w:tcBorders>
            <w:vAlign w:val="bottom"/>
          </w:tcPr>
          <w:p w14:paraId="0D60105C" w14:textId="2FD65059" w:rsidR="00953130" w:rsidRPr="001D41EA" w:rsidRDefault="00953130" w:rsidP="001D41EA">
            <w:pPr>
              <w:spacing w:before="40" w:after="20"/>
              <w:jc w:val="right"/>
              <w:rPr>
                <w:rFonts w:cs="Arial"/>
                <w:sz w:val="18"/>
                <w:szCs w:val="18"/>
              </w:rPr>
            </w:pPr>
            <w:r w:rsidRPr="001D41EA">
              <w:rPr>
                <w:rFonts w:cs="Arial"/>
                <w:sz w:val="18"/>
                <w:szCs w:val="18"/>
              </w:rPr>
              <w:t>41,429</w:t>
            </w:r>
          </w:p>
        </w:tc>
        <w:tc>
          <w:tcPr>
            <w:tcW w:w="1134" w:type="dxa"/>
            <w:tcBorders>
              <w:top w:val="nil"/>
              <w:left w:val="nil"/>
              <w:bottom w:val="nil"/>
              <w:right w:val="nil"/>
            </w:tcBorders>
            <w:vAlign w:val="bottom"/>
          </w:tcPr>
          <w:p w14:paraId="5CC50EE5" w14:textId="4BD53528" w:rsidR="00953130" w:rsidRPr="001D41EA" w:rsidRDefault="00953130" w:rsidP="001D41EA">
            <w:pPr>
              <w:spacing w:before="40" w:after="20"/>
              <w:jc w:val="right"/>
              <w:rPr>
                <w:rFonts w:cs="Arial"/>
                <w:sz w:val="18"/>
                <w:szCs w:val="18"/>
              </w:rPr>
            </w:pPr>
            <w:r w:rsidRPr="001D41EA">
              <w:rPr>
                <w:rFonts w:cs="Arial"/>
                <w:sz w:val="18"/>
                <w:szCs w:val="18"/>
              </w:rPr>
              <w:t>41,429</w:t>
            </w:r>
          </w:p>
        </w:tc>
        <w:tc>
          <w:tcPr>
            <w:tcW w:w="1134" w:type="dxa"/>
            <w:tcBorders>
              <w:top w:val="nil"/>
              <w:left w:val="nil"/>
              <w:bottom w:val="nil"/>
              <w:right w:val="nil"/>
            </w:tcBorders>
            <w:vAlign w:val="bottom"/>
          </w:tcPr>
          <w:p w14:paraId="39604674" w14:textId="4D651CAB" w:rsidR="00953130" w:rsidRPr="001D41EA" w:rsidRDefault="00953130" w:rsidP="001D41EA">
            <w:pPr>
              <w:spacing w:before="40" w:after="20"/>
              <w:jc w:val="right"/>
              <w:rPr>
                <w:rFonts w:cs="Arial"/>
                <w:sz w:val="18"/>
                <w:szCs w:val="18"/>
              </w:rPr>
            </w:pPr>
            <w:r w:rsidRPr="001D41EA">
              <w:rPr>
                <w:rFonts w:cs="Arial"/>
                <w:sz w:val="18"/>
                <w:szCs w:val="18"/>
              </w:rPr>
              <w:t>41,429</w:t>
            </w:r>
          </w:p>
        </w:tc>
        <w:tc>
          <w:tcPr>
            <w:tcW w:w="1134" w:type="dxa"/>
            <w:tcBorders>
              <w:top w:val="nil"/>
              <w:left w:val="nil"/>
              <w:bottom w:val="nil"/>
              <w:right w:val="nil"/>
            </w:tcBorders>
            <w:shd w:val="clear" w:color="auto" w:fill="auto"/>
            <w:vAlign w:val="bottom"/>
          </w:tcPr>
          <w:p w14:paraId="3D7BB059" w14:textId="3B099D7E" w:rsidR="00953130" w:rsidRPr="001D41EA" w:rsidRDefault="00953130" w:rsidP="001D41EA">
            <w:pPr>
              <w:spacing w:before="40" w:after="20"/>
              <w:jc w:val="right"/>
              <w:rPr>
                <w:rFonts w:cs="Arial"/>
                <w:sz w:val="18"/>
                <w:szCs w:val="18"/>
              </w:rPr>
            </w:pPr>
            <w:r w:rsidRPr="001D41EA">
              <w:rPr>
                <w:rFonts w:cs="Arial"/>
                <w:sz w:val="18"/>
                <w:szCs w:val="18"/>
              </w:rPr>
              <w:t>11,491</w:t>
            </w:r>
          </w:p>
        </w:tc>
        <w:tc>
          <w:tcPr>
            <w:tcW w:w="1134" w:type="dxa"/>
            <w:tcBorders>
              <w:top w:val="nil"/>
              <w:left w:val="nil"/>
              <w:bottom w:val="nil"/>
              <w:right w:val="nil"/>
            </w:tcBorders>
            <w:shd w:val="clear" w:color="auto" w:fill="auto"/>
            <w:vAlign w:val="bottom"/>
          </w:tcPr>
          <w:p w14:paraId="4D2928DD" w14:textId="7AEBCEA6" w:rsidR="00953130" w:rsidRPr="001D41EA" w:rsidRDefault="00953130" w:rsidP="001D41EA">
            <w:pPr>
              <w:spacing w:before="40" w:after="20"/>
              <w:jc w:val="right"/>
              <w:rPr>
                <w:rFonts w:cs="Arial"/>
                <w:sz w:val="18"/>
                <w:szCs w:val="18"/>
              </w:rPr>
            </w:pPr>
            <w:r w:rsidRPr="001D41EA">
              <w:rPr>
                <w:rFonts w:cs="Arial"/>
                <w:sz w:val="18"/>
                <w:szCs w:val="18"/>
              </w:rPr>
              <w:t>17,152</w:t>
            </w:r>
          </w:p>
        </w:tc>
      </w:tr>
      <w:tr w:rsidR="00953130" w:rsidRPr="001D41EA" w14:paraId="357140A5"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1C9B46BD" w14:textId="77777777" w:rsidR="00953130" w:rsidRPr="001D41EA" w:rsidRDefault="00953130" w:rsidP="001D41EA">
            <w:pPr>
              <w:spacing w:before="40" w:after="20"/>
              <w:rPr>
                <w:rFonts w:cs="Arial"/>
                <w:sz w:val="18"/>
                <w:szCs w:val="18"/>
              </w:rPr>
            </w:pPr>
            <w:r w:rsidRPr="001D41EA">
              <w:rPr>
                <w:rFonts w:cs="Arial"/>
                <w:sz w:val="18"/>
                <w:szCs w:val="18"/>
              </w:rPr>
              <w:t>Wyndham C</w:t>
            </w:r>
          </w:p>
        </w:tc>
        <w:tc>
          <w:tcPr>
            <w:tcW w:w="1134" w:type="dxa"/>
            <w:tcBorders>
              <w:top w:val="nil"/>
              <w:left w:val="single" w:sz="18" w:space="0" w:color="5F497A" w:themeColor="accent4" w:themeShade="BF"/>
              <w:bottom w:val="nil"/>
              <w:right w:val="nil"/>
            </w:tcBorders>
            <w:shd w:val="clear" w:color="auto" w:fill="auto"/>
            <w:vAlign w:val="bottom"/>
          </w:tcPr>
          <w:p w14:paraId="0BF593FC" w14:textId="4363BB61" w:rsidR="00953130" w:rsidRPr="001D41EA" w:rsidRDefault="00953130" w:rsidP="001D41EA">
            <w:pPr>
              <w:spacing w:before="40" w:after="20"/>
              <w:jc w:val="right"/>
              <w:rPr>
                <w:rFonts w:cs="Arial"/>
                <w:sz w:val="18"/>
                <w:szCs w:val="18"/>
              </w:rPr>
            </w:pPr>
            <w:r w:rsidRPr="001D41EA">
              <w:rPr>
                <w:rFonts w:cs="Arial"/>
                <w:sz w:val="18"/>
                <w:szCs w:val="18"/>
              </w:rPr>
              <w:t>255,322</w:t>
            </w:r>
          </w:p>
        </w:tc>
        <w:tc>
          <w:tcPr>
            <w:tcW w:w="1134" w:type="dxa"/>
            <w:tcBorders>
              <w:top w:val="nil"/>
              <w:left w:val="nil"/>
              <w:bottom w:val="nil"/>
              <w:right w:val="nil"/>
            </w:tcBorders>
            <w:vAlign w:val="bottom"/>
          </w:tcPr>
          <w:p w14:paraId="673ADD6C" w14:textId="6418427E" w:rsidR="00953130" w:rsidRPr="001D41EA" w:rsidRDefault="00953130" w:rsidP="001D41EA">
            <w:pPr>
              <w:spacing w:before="40" w:after="20"/>
              <w:jc w:val="right"/>
              <w:rPr>
                <w:rFonts w:cs="Arial"/>
                <w:sz w:val="18"/>
                <w:szCs w:val="18"/>
              </w:rPr>
            </w:pPr>
            <w:r w:rsidRPr="001D41EA">
              <w:rPr>
                <w:rFonts w:cs="Arial"/>
                <w:sz w:val="18"/>
                <w:szCs w:val="18"/>
              </w:rPr>
              <w:t>255,322</w:t>
            </w:r>
          </w:p>
        </w:tc>
        <w:tc>
          <w:tcPr>
            <w:tcW w:w="1134" w:type="dxa"/>
            <w:tcBorders>
              <w:top w:val="nil"/>
              <w:left w:val="nil"/>
              <w:bottom w:val="nil"/>
              <w:right w:val="nil"/>
            </w:tcBorders>
            <w:vAlign w:val="bottom"/>
          </w:tcPr>
          <w:p w14:paraId="3F7B4342" w14:textId="11BBB5D7" w:rsidR="00953130" w:rsidRPr="001D41EA" w:rsidRDefault="00953130" w:rsidP="001D41EA">
            <w:pPr>
              <w:spacing w:before="40" w:after="20"/>
              <w:jc w:val="right"/>
              <w:rPr>
                <w:rFonts w:cs="Arial"/>
                <w:sz w:val="18"/>
                <w:szCs w:val="18"/>
              </w:rPr>
            </w:pPr>
            <w:r w:rsidRPr="001D41EA">
              <w:rPr>
                <w:rFonts w:cs="Arial"/>
                <w:sz w:val="18"/>
                <w:szCs w:val="18"/>
              </w:rPr>
              <w:t>255,322</w:t>
            </w:r>
          </w:p>
        </w:tc>
        <w:tc>
          <w:tcPr>
            <w:tcW w:w="1134" w:type="dxa"/>
            <w:tcBorders>
              <w:top w:val="nil"/>
              <w:left w:val="nil"/>
              <w:bottom w:val="nil"/>
              <w:right w:val="nil"/>
            </w:tcBorders>
            <w:vAlign w:val="bottom"/>
          </w:tcPr>
          <w:p w14:paraId="584D5EE3" w14:textId="693BB951" w:rsidR="00953130" w:rsidRPr="001D41EA" w:rsidRDefault="00953130" w:rsidP="001D41EA">
            <w:pPr>
              <w:spacing w:before="40" w:after="20"/>
              <w:jc w:val="right"/>
              <w:rPr>
                <w:rFonts w:cs="Arial"/>
                <w:sz w:val="18"/>
                <w:szCs w:val="18"/>
              </w:rPr>
            </w:pPr>
            <w:r w:rsidRPr="001D41EA">
              <w:rPr>
                <w:rFonts w:cs="Arial"/>
                <w:sz w:val="18"/>
                <w:szCs w:val="18"/>
              </w:rPr>
              <w:t>255,322</w:t>
            </w:r>
          </w:p>
        </w:tc>
        <w:tc>
          <w:tcPr>
            <w:tcW w:w="1134" w:type="dxa"/>
            <w:tcBorders>
              <w:top w:val="nil"/>
              <w:left w:val="nil"/>
              <w:bottom w:val="nil"/>
              <w:right w:val="nil"/>
            </w:tcBorders>
            <w:shd w:val="clear" w:color="auto" w:fill="auto"/>
            <w:vAlign w:val="bottom"/>
          </w:tcPr>
          <w:p w14:paraId="2B3DFE76" w14:textId="33414BD1" w:rsidR="00953130" w:rsidRPr="001D41EA" w:rsidRDefault="00953130" w:rsidP="001D41EA">
            <w:pPr>
              <w:spacing w:before="40" w:after="20"/>
              <w:jc w:val="right"/>
              <w:rPr>
                <w:rFonts w:cs="Arial"/>
                <w:sz w:val="18"/>
                <w:szCs w:val="18"/>
              </w:rPr>
            </w:pPr>
            <w:r w:rsidRPr="001D41EA">
              <w:rPr>
                <w:rFonts w:cs="Arial"/>
                <w:sz w:val="18"/>
                <w:szCs w:val="18"/>
              </w:rPr>
              <w:t>38,910</w:t>
            </w:r>
          </w:p>
        </w:tc>
        <w:tc>
          <w:tcPr>
            <w:tcW w:w="1134" w:type="dxa"/>
            <w:tcBorders>
              <w:top w:val="nil"/>
              <w:left w:val="nil"/>
              <w:bottom w:val="nil"/>
              <w:right w:val="nil"/>
            </w:tcBorders>
            <w:shd w:val="clear" w:color="auto" w:fill="auto"/>
            <w:vAlign w:val="bottom"/>
          </w:tcPr>
          <w:p w14:paraId="0457C019" w14:textId="6B066046" w:rsidR="00953130" w:rsidRPr="001D41EA" w:rsidRDefault="00953130" w:rsidP="001D41EA">
            <w:pPr>
              <w:spacing w:before="40" w:after="20"/>
              <w:jc w:val="right"/>
              <w:rPr>
                <w:rFonts w:cs="Arial"/>
                <w:sz w:val="18"/>
                <w:szCs w:val="18"/>
              </w:rPr>
            </w:pPr>
            <w:r w:rsidRPr="001D41EA">
              <w:rPr>
                <w:rFonts w:cs="Arial"/>
                <w:sz w:val="18"/>
                <w:szCs w:val="18"/>
              </w:rPr>
              <w:t>84,275</w:t>
            </w:r>
          </w:p>
        </w:tc>
      </w:tr>
      <w:tr w:rsidR="00953130" w:rsidRPr="001D41EA" w14:paraId="78D671AD"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4C9D14F" w14:textId="77777777" w:rsidR="00953130" w:rsidRPr="001D41EA" w:rsidRDefault="00953130" w:rsidP="001D41EA">
            <w:pPr>
              <w:spacing w:before="40" w:after="20"/>
              <w:rPr>
                <w:rFonts w:cs="Arial"/>
                <w:sz w:val="18"/>
                <w:szCs w:val="18"/>
              </w:rPr>
            </w:pPr>
            <w:r w:rsidRPr="001D41EA">
              <w:rPr>
                <w:rFonts w:cs="Arial"/>
                <w:sz w:val="18"/>
                <w:szCs w:val="18"/>
              </w:rPr>
              <w:t>Yarra C</w:t>
            </w:r>
          </w:p>
        </w:tc>
        <w:tc>
          <w:tcPr>
            <w:tcW w:w="1134" w:type="dxa"/>
            <w:tcBorders>
              <w:top w:val="nil"/>
              <w:left w:val="single" w:sz="18" w:space="0" w:color="5F497A" w:themeColor="accent4" w:themeShade="BF"/>
              <w:bottom w:val="nil"/>
              <w:right w:val="nil"/>
            </w:tcBorders>
            <w:shd w:val="clear" w:color="auto" w:fill="auto"/>
            <w:vAlign w:val="bottom"/>
          </w:tcPr>
          <w:p w14:paraId="5D6F9598" w14:textId="6EA844FA" w:rsidR="00953130" w:rsidRPr="001D41EA" w:rsidRDefault="00953130" w:rsidP="001D41EA">
            <w:pPr>
              <w:spacing w:before="40" w:after="20"/>
              <w:jc w:val="right"/>
              <w:rPr>
                <w:rFonts w:cs="Arial"/>
                <w:sz w:val="18"/>
                <w:szCs w:val="18"/>
              </w:rPr>
            </w:pPr>
            <w:r w:rsidRPr="001D41EA">
              <w:rPr>
                <w:rFonts w:cs="Arial"/>
                <w:sz w:val="18"/>
                <w:szCs w:val="18"/>
              </w:rPr>
              <w:t>98,521</w:t>
            </w:r>
          </w:p>
        </w:tc>
        <w:tc>
          <w:tcPr>
            <w:tcW w:w="1134" w:type="dxa"/>
            <w:tcBorders>
              <w:top w:val="nil"/>
              <w:left w:val="nil"/>
              <w:bottom w:val="nil"/>
              <w:right w:val="nil"/>
            </w:tcBorders>
            <w:vAlign w:val="bottom"/>
          </w:tcPr>
          <w:p w14:paraId="1CCAD684" w14:textId="486B2C39" w:rsidR="00953130" w:rsidRPr="001D41EA" w:rsidRDefault="00953130" w:rsidP="001D41EA">
            <w:pPr>
              <w:spacing w:before="40" w:after="20"/>
              <w:jc w:val="right"/>
              <w:rPr>
                <w:rFonts w:cs="Arial"/>
                <w:sz w:val="18"/>
                <w:szCs w:val="18"/>
              </w:rPr>
            </w:pPr>
            <w:r w:rsidRPr="001D41EA">
              <w:rPr>
                <w:rFonts w:cs="Arial"/>
                <w:sz w:val="18"/>
                <w:szCs w:val="18"/>
              </w:rPr>
              <w:t>98,521</w:t>
            </w:r>
          </w:p>
        </w:tc>
        <w:tc>
          <w:tcPr>
            <w:tcW w:w="1134" w:type="dxa"/>
            <w:tcBorders>
              <w:top w:val="nil"/>
              <w:left w:val="nil"/>
              <w:bottom w:val="nil"/>
              <w:right w:val="nil"/>
            </w:tcBorders>
            <w:vAlign w:val="bottom"/>
          </w:tcPr>
          <w:p w14:paraId="29F1AE1F" w14:textId="528C54DB" w:rsidR="00953130" w:rsidRPr="001D41EA" w:rsidRDefault="00953130" w:rsidP="001D41EA">
            <w:pPr>
              <w:spacing w:before="40" w:after="20"/>
              <w:jc w:val="right"/>
              <w:rPr>
                <w:rFonts w:cs="Arial"/>
                <w:sz w:val="18"/>
                <w:szCs w:val="18"/>
              </w:rPr>
            </w:pPr>
            <w:r w:rsidRPr="001D41EA">
              <w:rPr>
                <w:rFonts w:cs="Arial"/>
                <w:sz w:val="18"/>
                <w:szCs w:val="18"/>
              </w:rPr>
              <w:t>98,521</w:t>
            </w:r>
          </w:p>
        </w:tc>
        <w:tc>
          <w:tcPr>
            <w:tcW w:w="1134" w:type="dxa"/>
            <w:tcBorders>
              <w:top w:val="nil"/>
              <w:left w:val="nil"/>
              <w:bottom w:val="nil"/>
              <w:right w:val="nil"/>
            </w:tcBorders>
            <w:vAlign w:val="bottom"/>
          </w:tcPr>
          <w:p w14:paraId="2C9447D1" w14:textId="6CA040B4" w:rsidR="00953130" w:rsidRPr="001D41EA" w:rsidRDefault="00953130" w:rsidP="001D41EA">
            <w:pPr>
              <w:spacing w:before="40" w:after="20"/>
              <w:jc w:val="right"/>
              <w:rPr>
                <w:rFonts w:cs="Arial"/>
                <w:sz w:val="18"/>
                <w:szCs w:val="18"/>
              </w:rPr>
            </w:pPr>
            <w:r w:rsidRPr="001D41EA">
              <w:rPr>
                <w:rFonts w:cs="Arial"/>
                <w:sz w:val="18"/>
                <w:szCs w:val="18"/>
              </w:rPr>
              <w:t>98,521</w:t>
            </w:r>
          </w:p>
        </w:tc>
        <w:tc>
          <w:tcPr>
            <w:tcW w:w="1134" w:type="dxa"/>
            <w:tcBorders>
              <w:top w:val="nil"/>
              <w:left w:val="nil"/>
              <w:bottom w:val="nil"/>
              <w:right w:val="nil"/>
            </w:tcBorders>
            <w:shd w:val="clear" w:color="auto" w:fill="auto"/>
            <w:vAlign w:val="bottom"/>
          </w:tcPr>
          <w:p w14:paraId="4F93E9CD" w14:textId="5ADF2FDA" w:rsidR="00953130" w:rsidRPr="001D41EA" w:rsidRDefault="00953130" w:rsidP="001D41EA">
            <w:pPr>
              <w:spacing w:before="40" w:after="20"/>
              <w:jc w:val="right"/>
              <w:rPr>
                <w:rFonts w:cs="Arial"/>
                <w:sz w:val="18"/>
                <w:szCs w:val="18"/>
              </w:rPr>
            </w:pPr>
            <w:r w:rsidRPr="001D41EA">
              <w:rPr>
                <w:rFonts w:cs="Arial"/>
                <w:sz w:val="18"/>
                <w:szCs w:val="18"/>
              </w:rPr>
              <w:t>18,152</w:t>
            </w:r>
          </w:p>
        </w:tc>
        <w:tc>
          <w:tcPr>
            <w:tcW w:w="1134" w:type="dxa"/>
            <w:tcBorders>
              <w:top w:val="nil"/>
              <w:left w:val="nil"/>
              <w:bottom w:val="nil"/>
              <w:right w:val="nil"/>
            </w:tcBorders>
            <w:shd w:val="clear" w:color="auto" w:fill="auto"/>
            <w:vAlign w:val="bottom"/>
          </w:tcPr>
          <w:p w14:paraId="787D453F" w14:textId="3F3B9EC7" w:rsidR="00953130" w:rsidRPr="001D41EA" w:rsidRDefault="00953130" w:rsidP="001D41EA">
            <w:pPr>
              <w:spacing w:before="40" w:after="20"/>
              <w:jc w:val="right"/>
              <w:rPr>
                <w:rFonts w:cs="Arial"/>
                <w:sz w:val="18"/>
                <w:szCs w:val="18"/>
              </w:rPr>
            </w:pPr>
            <w:r w:rsidRPr="001D41EA">
              <w:rPr>
                <w:rFonts w:cs="Arial"/>
                <w:sz w:val="18"/>
                <w:szCs w:val="18"/>
              </w:rPr>
              <w:t>46,356</w:t>
            </w:r>
          </w:p>
        </w:tc>
      </w:tr>
      <w:tr w:rsidR="00953130" w:rsidRPr="001D41EA" w14:paraId="422B470A" w14:textId="77777777" w:rsidTr="00953130">
        <w:trPr>
          <w:trHeight w:val="240"/>
        </w:trPr>
        <w:tc>
          <w:tcPr>
            <w:tcW w:w="2268" w:type="dxa"/>
            <w:tcBorders>
              <w:top w:val="nil"/>
              <w:left w:val="nil"/>
              <w:bottom w:val="nil"/>
              <w:right w:val="single" w:sz="18" w:space="0" w:color="5F497A" w:themeColor="accent4" w:themeShade="BF"/>
            </w:tcBorders>
            <w:shd w:val="clear" w:color="auto" w:fill="auto"/>
            <w:vAlign w:val="center"/>
          </w:tcPr>
          <w:p w14:paraId="55D3FA59" w14:textId="77777777" w:rsidR="00953130" w:rsidRPr="001D41EA" w:rsidRDefault="00953130" w:rsidP="001D41EA">
            <w:pPr>
              <w:spacing w:before="40" w:after="20"/>
              <w:rPr>
                <w:rFonts w:cs="Arial"/>
                <w:sz w:val="18"/>
                <w:szCs w:val="18"/>
              </w:rPr>
            </w:pPr>
            <w:r w:rsidRPr="001D41EA">
              <w:rPr>
                <w:rFonts w:cs="Arial"/>
                <w:sz w:val="18"/>
                <w:szCs w:val="18"/>
              </w:rPr>
              <w:t>Yarra Ranges S</w:t>
            </w:r>
          </w:p>
        </w:tc>
        <w:tc>
          <w:tcPr>
            <w:tcW w:w="1134" w:type="dxa"/>
            <w:tcBorders>
              <w:top w:val="nil"/>
              <w:left w:val="single" w:sz="18" w:space="0" w:color="5F497A" w:themeColor="accent4" w:themeShade="BF"/>
              <w:bottom w:val="nil"/>
              <w:right w:val="nil"/>
            </w:tcBorders>
            <w:shd w:val="clear" w:color="auto" w:fill="auto"/>
            <w:vAlign w:val="bottom"/>
          </w:tcPr>
          <w:p w14:paraId="403815F4" w14:textId="6D47174D" w:rsidR="00953130" w:rsidRPr="001D41EA" w:rsidRDefault="00953130" w:rsidP="001D41EA">
            <w:pPr>
              <w:spacing w:before="40" w:after="20"/>
              <w:jc w:val="right"/>
              <w:rPr>
                <w:rFonts w:cs="Arial"/>
                <w:sz w:val="18"/>
                <w:szCs w:val="18"/>
              </w:rPr>
            </w:pPr>
            <w:r w:rsidRPr="001D41EA">
              <w:rPr>
                <w:rFonts w:cs="Arial"/>
                <w:sz w:val="18"/>
                <w:szCs w:val="18"/>
              </w:rPr>
              <w:t>158,173</w:t>
            </w:r>
          </w:p>
        </w:tc>
        <w:tc>
          <w:tcPr>
            <w:tcW w:w="1134" w:type="dxa"/>
            <w:tcBorders>
              <w:top w:val="nil"/>
              <w:left w:val="nil"/>
              <w:bottom w:val="nil"/>
              <w:right w:val="nil"/>
            </w:tcBorders>
            <w:vAlign w:val="bottom"/>
          </w:tcPr>
          <w:p w14:paraId="42AF0184" w14:textId="5B55CB19" w:rsidR="00953130" w:rsidRPr="001D41EA" w:rsidRDefault="00953130" w:rsidP="001D41EA">
            <w:pPr>
              <w:spacing w:before="40" w:after="20"/>
              <w:jc w:val="right"/>
              <w:rPr>
                <w:rFonts w:cs="Arial"/>
                <w:sz w:val="18"/>
                <w:szCs w:val="18"/>
              </w:rPr>
            </w:pPr>
            <w:r w:rsidRPr="001D41EA">
              <w:rPr>
                <w:rFonts w:cs="Arial"/>
                <w:sz w:val="18"/>
                <w:szCs w:val="18"/>
              </w:rPr>
              <w:t>158,173</w:t>
            </w:r>
          </w:p>
        </w:tc>
        <w:tc>
          <w:tcPr>
            <w:tcW w:w="1134" w:type="dxa"/>
            <w:tcBorders>
              <w:top w:val="nil"/>
              <w:left w:val="nil"/>
              <w:bottom w:val="nil"/>
              <w:right w:val="nil"/>
            </w:tcBorders>
            <w:vAlign w:val="bottom"/>
          </w:tcPr>
          <w:p w14:paraId="36808380" w14:textId="055D6E1B" w:rsidR="00953130" w:rsidRPr="001D41EA" w:rsidRDefault="00953130" w:rsidP="001D41EA">
            <w:pPr>
              <w:spacing w:before="40" w:after="20"/>
              <w:jc w:val="right"/>
              <w:rPr>
                <w:rFonts w:cs="Arial"/>
                <w:sz w:val="18"/>
                <w:szCs w:val="18"/>
              </w:rPr>
            </w:pPr>
            <w:r w:rsidRPr="001D41EA">
              <w:rPr>
                <w:rFonts w:cs="Arial"/>
                <w:sz w:val="18"/>
                <w:szCs w:val="18"/>
              </w:rPr>
              <w:t>158,173</w:t>
            </w:r>
          </w:p>
        </w:tc>
        <w:tc>
          <w:tcPr>
            <w:tcW w:w="1134" w:type="dxa"/>
            <w:tcBorders>
              <w:top w:val="nil"/>
              <w:left w:val="nil"/>
              <w:bottom w:val="nil"/>
              <w:right w:val="nil"/>
            </w:tcBorders>
            <w:vAlign w:val="bottom"/>
          </w:tcPr>
          <w:p w14:paraId="4ED9F08E" w14:textId="6C55A420" w:rsidR="00953130" w:rsidRPr="001D41EA" w:rsidRDefault="00953130" w:rsidP="001D41EA">
            <w:pPr>
              <w:spacing w:before="40" w:after="20"/>
              <w:jc w:val="right"/>
              <w:rPr>
                <w:rFonts w:cs="Arial"/>
                <w:sz w:val="18"/>
                <w:szCs w:val="18"/>
              </w:rPr>
            </w:pPr>
            <w:r w:rsidRPr="001D41EA">
              <w:rPr>
                <w:rFonts w:cs="Arial"/>
                <w:sz w:val="18"/>
                <w:szCs w:val="18"/>
              </w:rPr>
              <w:t>158,173</w:t>
            </w:r>
          </w:p>
        </w:tc>
        <w:tc>
          <w:tcPr>
            <w:tcW w:w="1134" w:type="dxa"/>
            <w:tcBorders>
              <w:top w:val="nil"/>
              <w:left w:val="nil"/>
              <w:bottom w:val="nil"/>
              <w:right w:val="nil"/>
            </w:tcBorders>
            <w:shd w:val="clear" w:color="auto" w:fill="auto"/>
            <w:vAlign w:val="bottom"/>
          </w:tcPr>
          <w:p w14:paraId="19EE5BFE" w14:textId="2C8640CF" w:rsidR="00953130" w:rsidRPr="001D41EA" w:rsidRDefault="00953130" w:rsidP="001D41EA">
            <w:pPr>
              <w:spacing w:before="40" w:after="20"/>
              <w:jc w:val="right"/>
              <w:rPr>
                <w:rFonts w:cs="Arial"/>
                <w:sz w:val="18"/>
                <w:szCs w:val="18"/>
              </w:rPr>
            </w:pPr>
            <w:r w:rsidRPr="001D41EA">
              <w:rPr>
                <w:rFonts w:cs="Arial"/>
                <w:sz w:val="18"/>
                <w:szCs w:val="18"/>
              </w:rPr>
              <w:t>41,997</w:t>
            </w:r>
          </w:p>
        </w:tc>
        <w:tc>
          <w:tcPr>
            <w:tcW w:w="1134" w:type="dxa"/>
            <w:tcBorders>
              <w:top w:val="nil"/>
              <w:left w:val="nil"/>
              <w:bottom w:val="nil"/>
              <w:right w:val="nil"/>
            </w:tcBorders>
            <w:shd w:val="clear" w:color="auto" w:fill="auto"/>
            <w:vAlign w:val="bottom"/>
          </w:tcPr>
          <w:p w14:paraId="684BE208" w14:textId="35710F4E" w:rsidR="00953130" w:rsidRPr="001D41EA" w:rsidRDefault="00953130" w:rsidP="001D41EA">
            <w:pPr>
              <w:spacing w:before="40" w:after="20"/>
              <w:jc w:val="right"/>
              <w:rPr>
                <w:rFonts w:cs="Arial"/>
                <w:sz w:val="18"/>
                <w:szCs w:val="18"/>
              </w:rPr>
            </w:pPr>
            <w:r w:rsidRPr="001D41EA">
              <w:rPr>
                <w:rFonts w:cs="Arial"/>
                <w:sz w:val="18"/>
                <w:szCs w:val="18"/>
              </w:rPr>
              <w:t>59,923</w:t>
            </w:r>
          </w:p>
        </w:tc>
      </w:tr>
      <w:tr w:rsidR="00953130" w:rsidRPr="001D41EA" w14:paraId="719FBE22" w14:textId="77777777" w:rsidTr="00953130">
        <w:trPr>
          <w:trHeight w:val="240"/>
        </w:trPr>
        <w:tc>
          <w:tcPr>
            <w:tcW w:w="2268" w:type="dxa"/>
            <w:tcBorders>
              <w:top w:val="nil"/>
              <w:left w:val="nil"/>
              <w:right w:val="single" w:sz="18" w:space="0" w:color="5F497A" w:themeColor="accent4" w:themeShade="BF"/>
            </w:tcBorders>
            <w:shd w:val="clear" w:color="auto" w:fill="auto"/>
            <w:vAlign w:val="center"/>
          </w:tcPr>
          <w:p w14:paraId="11512753" w14:textId="77777777" w:rsidR="00953130" w:rsidRPr="001D41EA" w:rsidRDefault="00953130" w:rsidP="001D41EA">
            <w:pPr>
              <w:spacing w:before="40" w:after="20"/>
              <w:rPr>
                <w:rFonts w:cs="Arial"/>
                <w:sz w:val="18"/>
                <w:szCs w:val="18"/>
              </w:rPr>
            </w:pPr>
            <w:r w:rsidRPr="001D41EA">
              <w:rPr>
                <w:rFonts w:cs="Arial"/>
                <w:sz w:val="18"/>
                <w:szCs w:val="18"/>
              </w:rPr>
              <w:t>Yarriambiack S</w:t>
            </w:r>
          </w:p>
        </w:tc>
        <w:tc>
          <w:tcPr>
            <w:tcW w:w="1134" w:type="dxa"/>
            <w:tcBorders>
              <w:top w:val="nil"/>
              <w:left w:val="single" w:sz="18" w:space="0" w:color="5F497A" w:themeColor="accent4" w:themeShade="BF"/>
              <w:right w:val="nil"/>
            </w:tcBorders>
            <w:shd w:val="clear" w:color="auto" w:fill="auto"/>
            <w:vAlign w:val="bottom"/>
          </w:tcPr>
          <w:p w14:paraId="715E42B6" w14:textId="4D64EF76" w:rsidR="00953130" w:rsidRPr="001D41EA" w:rsidRDefault="00953130" w:rsidP="001D41EA">
            <w:pPr>
              <w:spacing w:before="40" w:after="20"/>
              <w:jc w:val="right"/>
              <w:rPr>
                <w:rFonts w:cs="Arial"/>
                <w:sz w:val="18"/>
                <w:szCs w:val="18"/>
              </w:rPr>
            </w:pPr>
            <w:r w:rsidRPr="001D41EA">
              <w:rPr>
                <w:rFonts w:cs="Arial"/>
                <w:sz w:val="18"/>
                <w:szCs w:val="18"/>
              </w:rPr>
              <w:t>6,658</w:t>
            </w:r>
          </w:p>
        </w:tc>
        <w:tc>
          <w:tcPr>
            <w:tcW w:w="1134" w:type="dxa"/>
            <w:tcBorders>
              <w:top w:val="nil"/>
              <w:left w:val="nil"/>
              <w:right w:val="nil"/>
            </w:tcBorders>
            <w:vAlign w:val="bottom"/>
          </w:tcPr>
          <w:p w14:paraId="48323CB9" w14:textId="344370B0" w:rsidR="00953130" w:rsidRPr="001D41EA" w:rsidRDefault="00953130" w:rsidP="001D41EA">
            <w:pPr>
              <w:spacing w:before="40" w:after="20"/>
              <w:jc w:val="right"/>
              <w:rPr>
                <w:rFonts w:cs="Arial"/>
                <w:sz w:val="18"/>
                <w:szCs w:val="18"/>
              </w:rPr>
            </w:pPr>
            <w:r w:rsidRPr="001D41EA">
              <w:rPr>
                <w:rFonts w:cs="Arial"/>
                <w:sz w:val="18"/>
                <w:szCs w:val="18"/>
              </w:rPr>
              <w:t>15,000</w:t>
            </w:r>
          </w:p>
        </w:tc>
        <w:tc>
          <w:tcPr>
            <w:tcW w:w="1134" w:type="dxa"/>
            <w:tcBorders>
              <w:top w:val="nil"/>
              <w:left w:val="nil"/>
              <w:right w:val="nil"/>
            </w:tcBorders>
            <w:vAlign w:val="bottom"/>
          </w:tcPr>
          <w:p w14:paraId="1C548344" w14:textId="1A46DC38" w:rsidR="00953130" w:rsidRPr="001D41EA" w:rsidRDefault="00953130" w:rsidP="001D41EA">
            <w:pPr>
              <w:spacing w:before="40" w:after="20"/>
              <w:jc w:val="right"/>
              <w:rPr>
                <w:rFonts w:cs="Arial"/>
                <w:sz w:val="18"/>
                <w:szCs w:val="18"/>
              </w:rPr>
            </w:pPr>
            <w:r w:rsidRPr="001D41EA">
              <w:rPr>
                <w:rFonts w:cs="Arial"/>
                <w:sz w:val="18"/>
                <w:szCs w:val="18"/>
              </w:rPr>
              <w:t>20,000</w:t>
            </w:r>
          </w:p>
        </w:tc>
        <w:tc>
          <w:tcPr>
            <w:tcW w:w="1134" w:type="dxa"/>
            <w:tcBorders>
              <w:top w:val="nil"/>
              <w:left w:val="nil"/>
              <w:right w:val="nil"/>
            </w:tcBorders>
            <w:vAlign w:val="bottom"/>
          </w:tcPr>
          <w:p w14:paraId="4A5061BE" w14:textId="2B7B0060" w:rsidR="00953130" w:rsidRPr="001D41EA" w:rsidRDefault="00953130" w:rsidP="001D41EA">
            <w:pPr>
              <w:spacing w:before="40" w:after="20"/>
              <w:jc w:val="right"/>
              <w:rPr>
                <w:rFonts w:cs="Arial"/>
                <w:sz w:val="18"/>
                <w:szCs w:val="18"/>
              </w:rPr>
            </w:pPr>
            <w:r w:rsidRPr="001D41EA">
              <w:rPr>
                <w:rFonts w:cs="Arial"/>
                <w:sz w:val="18"/>
                <w:szCs w:val="18"/>
              </w:rPr>
              <w:t>6,990</w:t>
            </w:r>
          </w:p>
        </w:tc>
        <w:tc>
          <w:tcPr>
            <w:tcW w:w="1134" w:type="dxa"/>
            <w:tcBorders>
              <w:top w:val="nil"/>
              <w:left w:val="nil"/>
              <w:right w:val="nil"/>
            </w:tcBorders>
            <w:shd w:val="clear" w:color="auto" w:fill="auto"/>
            <w:vAlign w:val="bottom"/>
          </w:tcPr>
          <w:p w14:paraId="08C29C61" w14:textId="28CA26E9" w:rsidR="00953130" w:rsidRPr="001D41EA" w:rsidRDefault="00953130" w:rsidP="001D41EA">
            <w:pPr>
              <w:spacing w:before="40" w:after="20"/>
              <w:jc w:val="right"/>
              <w:rPr>
                <w:rFonts w:cs="Arial"/>
                <w:sz w:val="18"/>
                <w:szCs w:val="18"/>
              </w:rPr>
            </w:pPr>
            <w:r w:rsidRPr="001D41EA">
              <w:rPr>
                <w:rFonts w:cs="Arial"/>
                <w:sz w:val="18"/>
                <w:szCs w:val="18"/>
              </w:rPr>
              <w:t>3,141</w:t>
            </w:r>
          </w:p>
        </w:tc>
        <w:tc>
          <w:tcPr>
            <w:tcW w:w="1134" w:type="dxa"/>
            <w:tcBorders>
              <w:top w:val="nil"/>
              <w:left w:val="nil"/>
              <w:right w:val="nil"/>
            </w:tcBorders>
            <w:shd w:val="clear" w:color="auto" w:fill="auto"/>
            <w:vAlign w:val="bottom"/>
          </w:tcPr>
          <w:p w14:paraId="2CF5ED5C" w14:textId="6E438FC9" w:rsidR="00953130" w:rsidRPr="001D41EA" w:rsidRDefault="00953130" w:rsidP="001D41EA">
            <w:pPr>
              <w:spacing w:before="40" w:after="20"/>
              <w:jc w:val="right"/>
              <w:rPr>
                <w:rFonts w:cs="Arial"/>
                <w:sz w:val="18"/>
                <w:szCs w:val="18"/>
              </w:rPr>
            </w:pPr>
            <w:r w:rsidRPr="001D41EA">
              <w:rPr>
                <w:rFonts w:cs="Arial"/>
                <w:sz w:val="18"/>
                <w:szCs w:val="18"/>
              </w:rPr>
              <w:t>3,504</w:t>
            </w:r>
          </w:p>
        </w:tc>
      </w:tr>
      <w:tr w:rsidR="00953130" w:rsidRPr="001D41EA" w14:paraId="5ED7DBC6" w14:textId="77777777" w:rsidTr="00953130">
        <w:trPr>
          <w:trHeight w:val="240"/>
        </w:trPr>
        <w:tc>
          <w:tcPr>
            <w:tcW w:w="2268" w:type="dxa"/>
            <w:tcBorders>
              <w:left w:val="nil"/>
              <w:right w:val="single" w:sz="18" w:space="0" w:color="5F497A" w:themeColor="accent4" w:themeShade="BF"/>
            </w:tcBorders>
            <w:shd w:val="clear" w:color="auto" w:fill="auto"/>
            <w:vAlign w:val="center"/>
          </w:tcPr>
          <w:p w14:paraId="184E04C8" w14:textId="77777777" w:rsidR="00953130" w:rsidRPr="001D41EA" w:rsidRDefault="00953130" w:rsidP="001D41EA">
            <w:pPr>
              <w:spacing w:before="40" w:after="20"/>
              <w:rPr>
                <w:rFonts w:cs="Arial"/>
                <w:sz w:val="18"/>
                <w:szCs w:val="18"/>
              </w:rPr>
            </w:pPr>
          </w:p>
        </w:tc>
        <w:tc>
          <w:tcPr>
            <w:tcW w:w="1134" w:type="dxa"/>
            <w:tcBorders>
              <w:left w:val="single" w:sz="18" w:space="0" w:color="5F497A" w:themeColor="accent4" w:themeShade="BF"/>
              <w:bottom w:val="single" w:sz="8" w:space="0" w:color="5F497A" w:themeColor="accent4" w:themeShade="BF"/>
              <w:right w:val="nil"/>
            </w:tcBorders>
            <w:shd w:val="clear" w:color="auto" w:fill="auto"/>
            <w:vAlign w:val="bottom"/>
          </w:tcPr>
          <w:p w14:paraId="041A2BD3" w14:textId="30EFF560" w:rsidR="00953130" w:rsidRPr="001D41EA" w:rsidRDefault="00953130" w:rsidP="001D41EA">
            <w:pPr>
              <w:spacing w:before="40" w:after="20"/>
              <w:jc w:val="right"/>
              <w:rPr>
                <w:rFonts w:cs="Arial"/>
                <w:sz w:val="18"/>
                <w:szCs w:val="18"/>
              </w:rPr>
            </w:pPr>
            <w:r w:rsidRPr="001D41EA">
              <w:rPr>
                <w:rFonts w:cs="Arial"/>
                <w:sz w:val="18"/>
                <w:szCs w:val="18"/>
              </w:rPr>
              <w:t> </w:t>
            </w:r>
          </w:p>
        </w:tc>
        <w:tc>
          <w:tcPr>
            <w:tcW w:w="1134" w:type="dxa"/>
            <w:tcBorders>
              <w:left w:val="nil"/>
              <w:bottom w:val="single" w:sz="8" w:space="0" w:color="5F497A" w:themeColor="accent4" w:themeShade="BF"/>
              <w:right w:val="nil"/>
            </w:tcBorders>
            <w:vAlign w:val="bottom"/>
          </w:tcPr>
          <w:p w14:paraId="7B0FF5D8" w14:textId="00A53853" w:rsidR="00953130" w:rsidRPr="001D41EA" w:rsidRDefault="00953130" w:rsidP="001D41EA">
            <w:pPr>
              <w:spacing w:before="40" w:after="20"/>
              <w:jc w:val="right"/>
              <w:rPr>
                <w:rFonts w:cs="Arial"/>
                <w:sz w:val="18"/>
                <w:szCs w:val="18"/>
              </w:rPr>
            </w:pPr>
            <w:r w:rsidRPr="001D41EA">
              <w:rPr>
                <w:rFonts w:cs="Arial"/>
                <w:sz w:val="18"/>
                <w:szCs w:val="18"/>
              </w:rPr>
              <w:t> </w:t>
            </w:r>
          </w:p>
        </w:tc>
        <w:tc>
          <w:tcPr>
            <w:tcW w:w="1134" w:type="dxa"/>
            <w:tcBorders>
              <w:left w:val="nil"/>
              <w:bottom w:val="single" w:sz="8" w:space="0" w:color="5F497A" w:themeColor="accent4" w:themeShade="BF"/>
              <w:right w:val="nil"/>
            </w:tcBorders>
            <w:vAlign w:val="bottom"/>
          </w:tcPr>
          <w:p w14:paraId="3C64B64F" w14:textId="77777777" w:rsidR="00953130" w:rsidRPr="001D41EA" w:rsidRDefault="00953130" w:rsidP="001D41EA">
            <w:pPr>
              <w:spacing w:before="40" w:after="20"/>
              <w:jc w:val="right"/>
              <w:rPr>
                <w:rFonts w:cs="Arial"/>
                <w:sz w:val="18"/>
                <w:szCs w:val="18"/>
              </w:rPr>
            </w:pPr>
          </w:p>
        </w:tc>
        <w:tc>
          <w:tcPr>
            <w:tcW w:w="1134" w:type="dxa"/>
            <w:tcBorders>
              <w:left w:val="nil"/>
              <w:bottom w:val="single" w:sz="8" w:space="0" w:color="5F497A" w:themeColor="accent4" w:themeShade="BF"/>
              <w:right w:val="nil"/>
            </w:tcBorders>
            <w:vAlign w:val="bottom"/>
          </w:tcPr>
          <w:p w14:paraId="2E576884" w14:textId="5D6E7076" w:rsidR="00953130" w:rsidRPr="001D41EA" w:rsidRDefault="00953130" w:rsidP="001D41EA">
            <w:pPr>
              <w:spacing w:before="40" w:after="20"/>
              <w:jc w:val="right"/>
              <w:rPr>
                <w:rFonts w:cs="Arial"/>
                <w:sz w:val="18"/>
                <w:szCs w:val="18"/>
              </w:rPr>
            </w:pPr>
            <w:r w:rsidRPr="001D41EA">
              <w:rPr>
                <w:rFonts w:cs="Arial"/>
                <w:sz w:val="18"/>
                <w:szCs w:val="18"/>
              </w:rPr>
              <w:t> </w:t>
            </w:r>
          </w:p>
        </w:tc>
        <w:tc>
          <w:tcPr>
            <w:tcW w:w="1134" w:type="dxa"/>
            <w:tcBorders>
              <w:left w:val="nil"/>
              <w:bottom w:val="single" w:sz="8" w:space="0" w:color="5F497A" w:themeColor="accent4" w:themeShade="BF"/>
              <w:right w:val="nil"/>
            </w:tcBorders>
            <w:shd w:val="clear" w:color="auto" w:fill="auto"/>
            <w:vAlign w:val="bottom"/>
          </w:tcPr>
          <w:p w14:paraId="6A514BF8" w14:textId="70DD546E" w:rsidR="00953130" w:rsidRPr="001D41EA" w:rsidRDefault="00953130" w:rsidP="001D41EA">
            <w:pPr>
              <w:spacing w:before="40" w:after="20"/>
              <w:jc w:val="right"/>
              <w:rPr>
                <w:rFonts w:cs="Arial"/>
                <w:sz w:val="18"/>
                <w:szCs w:val="18"/>
              </w:rPr>
            </w:pPr>
            <w:r w:rsidRPr="001D41EA">
              <w:rPr>
                <w:rFonts w:cs="Arial"/>
                <w:sz w:val="18"/>
                <w:szCs w:val="18"/>
              </w:rPr>
              <w:t> </w:t>
            </w:r>
          </w:p>
        </w:tc>
        <w:tc>
          <w:tcPr>
            <w:tcW w:w="1134" w:type="dxa"/>
            <w:tcBorders>
              <w:left w:val="nil"/>
              <w:bottom w:val="single" w:sz="8" w:space="0" w:color="5F497A" w:themeColor="accent4" w:themeShade="BF"/>
              <w:right w:val="nil"/>
            </w:tcBorders>
            <w:shd w:val="clear" w:color="auto" w:fill="auto"/>
            <w:vAlign w:val="bottom"/>
          </w:tcPr>
          <w:p w14:paraId="4BDC55E4" w14:textId="75FCE509" w:rsidR="00953130" w:rsidRPr="001D41EA" w:rsidRDefault="00953130" w:rsidP="001D41EA">
            <w:pPr>
              <w:spacing w:before="40" w:after="20"/>
              <w:jc w:val="right"/>
              <w:rPr>
                <w:rFonts w:cs="Arial"/>
                <w:sz w:val="18"/>
                <w:szCs w:val="18"/>
              </w:rPr>
            </w:pPr>
            <w:r w:rsidRPr="001D41EA">
              <w:rPr>
                <w:rFonts w:cs="Arial"/>
                <w:sz w:val="18"/>
                <w:szCs w:val="18"/>
              </w:rPr>
              <w:t> </w:t>
            </w:r>
          </w:p>
        </w:tc>
      </w:tr>
      <w:tr w:rsidR="00953130" w:rsidRPr="001D41EA" w14:paraId="3437097A" w14:textId="77777777" w:rsidTr="00953130">
        <w:trPr>
          <w:trHeight w:val="240"/>
        </w:trPr>
        <w:tc>
          <w:tcPr>
            <w:tcW w:w="2268" w:type="dxa"/>
            <w:tcBorders>
              <w:left w:val="nil"/>
              <w:right w:val="single" w:sz="18" w:space="0" w:color="5F497A" w:themeColor="accent4" w:themeShade="BF"/>
            </w:tcBorders>
            <w:shd w:val="clear" w:color="auto" w:fill="auto"/>
            <w:vAlign w:val="center"/>
          </w:tcPr>
          <w:p w14:paraId="1A1733DE" w14:textId="77777777" w:rsidR="00953130" w:rsidRPr="001D41EA" w:rsidRDefault="00953130" w:rsidP="001D41EA">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right w:val="nil"/>
            </w:tcBorders>
            <w:shd w:val="clear" w:color="auto" w:fill="auto"/>
            <w:vAlign w:val="bottom"/>
          </w:tcPr>
          <w:p w14:paraId="072D8592" w14:textId="01EB8BD3" w:rsidR="00953130" w:rsidRPr="001D41EA" w:rsidRDefault="00953130" w:rsidP="001D41EA">
            <w:pPr>
              <w:spacing w:before="40" w:after="20"/>
              <w:jc w:val="right"/>
              <w:rPr>
                <w:rFonts w:cs="Arial"/>
                <w:b/>
                <w:sz w:val="18"/>
                <w:szCs w:val="18"/>
              </w:rPr>
            </w:pPr>
            <w:r w:rsidRPr="001D41EA">
              <w:rPr>
                <w:rFonts w:cs="Arial"/>
                <w:b/>
                <w:sz w:val="18"/>
                <w:szCs w:val="18"/>
              </w:rPr>
              <w:t>6,460,628</w:t>
            </w:r>
          </w:p>
        </w:tc>
        <w:tc>
          <w:tcPr>
            <w:tcW w:w="1134" w:type="dxa"/>
            <w:tcBorders>
              <w:top w:val="single" w:sz="8" w:space="0" w:color="5F497A" w:themeColor="accent4" w:themeShade="BF"/>
              <w:left w:val="nil"/>
              <w:right w:val="nil"/>
            </w:tcBorders>
            <w:vAlign w:val="bottom"/>
          </w:tcPr>
          <w:p w14:paraId="7869F52C" w14:textId="445FD360" w:rsidR="00953130" w:rsidRPr="001D41EA" w:rsidRDefault="00953130" w:rsidP="001D41EA">
            <w:pPr>
              <w:spacing w:before="40" w:after="20"/>
              <w:jc w:val="right"/>
              <w:rPr>
                <w:rFonts w:cs="Arial"/>
                <w:b/>
                <w:sz w:val="18"/>
                <w:szCs w:val="18"/>
              </w:rPr>
            </w:pPr>
            <w:r w:rsidRPr="001D41EA">
              <w:rPr>
                <w:rFonts w:cs="Arial"/>
                <w:b/>
                <w:sz w:val="18"/>
                <w:szCs w:val="18"/>
              </w:rPr>
              <w:t>6,627,829</w:t>
            </w:r>
          </w:p>
        </w:tc>
        <w:tc>
          <w:tcPr>
            <w:tcW w:w="1134" w:type="dxa"/>
            <w:tcBorders>
              <w:top w:val="single" w:sz="8" w:space="0" w:color="5F497A" w:themeColor="accent4" w:themeShade="BF"/>
              <w:left w:val="nil"/>
              <w:right w:val="nil"/>
            </w:tcBorders>
            <w:vAlign w:val="bottom"/>
          </w:tcPr>
          <w:p w14:paraId="2C095D0C" w14:textId="2B3CECC9" w:rsidR="00953130" w:rsidRPr="001D41EA" w:rsidRDefault="00953130" w:rsidP="001D41EA">
            <w:pPr>
              <w:spacing w:before="40" w:after="20"/>
              <w:jc w:val="right"/>
              <w:rPr>
                <w:rFonts w:cs="Arial"/>
                <w:b/>
                <w:sz w:val="18"/>
                <w:szCs w:val="18"/>
              </w:rPr>
            </w:pPr>
            <w:r w:rsidRPr="001D41EA">
              <w:rPr>
                <w:rFonts w:cs="Arial"/>
                <w:b/>
                <w:sz w:val="18"/>
                <w:szCs w:val="18"/>
              </w:rPr>
              <w:t>6,727,521</w:t>
            </w:r>
          </w:p>
        </w:tc>
        <w:tc>
          <w:tcPr>
            <w:tcW w:w="1134" w:type="dxa"/>
            <w:tcBorders>
              <w:top w:val="single" w:sz="8" w:space="0" w:color="5F497A" w:themeColor="accent4" w:themeShade="BF"/>
              <w:left w:val="nil"/>
              <w:right w:val="nil"/>
            </w:tcBorders>
            <w:vAlign w:val="bottom"/>
          </w:tcPr>
          <w:p w14:paraId="13EF8F99" w14:textId="5B549C81" w:rsidR="00953130" w:rsidRPr="001D41EA" w:rsidRDefault="00953130" w:rsidP="001D41EA">
            <w:pPr>
              <w:spacing w:before="40" w:after="20"/>
              <w:jc w:val="right"/>
              <w:rPr>
                <w:rFonts w:cs="Arial"/>
                <w:b/>
                <w:sz w:val="18"/>
                <w:szCs w:val="18"/>
              </w:rPr>
            </w:pPr>
            <w:r w:rsidRPr="001D41EA">
              <w:rPr>
                <w:rFonts w:cs="Arial"/>
                <w:b/>
                <w:sz w:val="18"/>
                <w:szCs w:val="18"/>
              </w:rPr>
              <w:t>6,536,705</w:t>
            </w:r>
          </w:p>
        </w:tc>
        <w:tc>
          <w:tcPr>
            <w:tcW w:w="1134" w:type="dxa"/>
            <w:tcBorders>
              <w:top w:val="single" w:sz="8" w:space="0" w:color="5F497A" w:themeColor="accent4" w:themeShade="BF"/>
              <w:left w:val="nil"/>
              <w:right w:val="nil"/>
            </w:tcBorders>
            <w:shd w:val="clear" w:color="auto" w:fill="auto"/>
            <w:vAlign w:val="bottom"/>
          </w:tcPr>
          <w:p w14:paraId="6864A8BC" w14:textId="5804F7A0" w:rsidR="00953130" w:rsidRPr="001D41EA" w:rsidRDefault="00953130" w:rsidP="001D41EA">
            <w:pPr>
              <w:spacing w:before="40" w:after="20"/>
              <w:jc w:val="right"/>
              <w:rPr>
                <w:rFonts w:cs="Arial"/>
                <w:b/>
                <w:sz w:val="18"/>
                <w:szCs w:val="18"/>
              </w:rPr>
            </w:pPr>
            <w:r w:rsidRPr="001D41EA">
              <w:rPr>
                <w:rFonts w:cs="Arial"/>
                <w:b/>
                <w:sz w:val="18"/>
                <w:szCs w:val="18"/>
              </w:rPr>
              <w:t>1,669,908</w:t>
            </w:r>
          </w:p>
        </w:tc>
        <w:tc>
          <w:tcPr>
            <w:tcW w:w="1134" w:type="dxa"/>
            <w:tcBorders>
              <w:top w:val="single" w:sz="8" w:space="0" w:color="5F497A" w:themeColor="accent4" w:themeShade="BF"/>
              <w:left w:val="nil"/>
              <w:right w:val="nil"/>
            </w:tcBorders>
            <w:shd w:val="clear" w:color="auto" w:fill="auto"/>
            <w:vAlign w:val="bottom"/>
          </w:tcPr>
          <w:p w14:paraId="78AA316D" w14:textId="519C8B24" w:rsidR="00953130" w:rsidRPr="001D41EA" w:rsidRDefault="00953130" w:rsidP="001D41EA">
            <w:pPr>
              <w:spacing w:before="40" w:after="20"/>
              <w:jc w:val="right"/>
              <w:rPr>
                <w:rFonts w:cs="Arial"/>
                <w:b/>
                <w:sz w:val="18"/>
                <w:szCs w:val="18"/>
              </w:rPr>
            </w:pPr>
            <w:r w:rsidRPr="001D41EA">
              <w:rPr>
                <w:rFonts w:cs="Arial"/>
                <w:b/>
                <w:sz w:val="18"/>
                <w:szCs w:val="18"/>
              </w:rPr>
              <w:t>2,632,586</w:t>
            </w:r>
          </w:p>
        </w:tc>
      </w:tr>
    </w:tbl>
    <w:p w14:paraId="3F5BACA1" w14:textId="77777777" w:rsidR="002A2397" w:rsidRDefault="002A2397" w:rsidP="00FF36E8">
      <w:pPr>
        <w:spacing w:before="40" w:after="20"/>
        <w:rPr>
          <w:rFonts w:cs="Arial"/>
          <w:i/>
          <w:sz w:val="16"/>
          <w:szCs w:val="16"/>
        </w:rPr>
      </w:pPr>
    </w:p>
    <w:p w14:paraId="3E734FEF" w14:textId="45433BD8" w:rsidR="00282D8A" w:rsidRPr="00A44829" w:rsidRDefault="006D154A" w:rsidP="00FF36E8">
      <w:pPr>
        <w:spacing w:before="40" w:after="20"/>
        <w:rPr>
          <w:rFonts w:cs="Arial"/>
          <w:sz w:val="18"/>
          <w:szCs w:val="18"/>
        </w:rPr>
      </w:pPr>
      <w:r w:rsidRPr="002A2397">
        <w:rPr>
          <w:rFonts w:cs="Arial"/>
          <w:i/>
          <w:sz w:val="16"/>
          <w:szCs w:val="16"/>
        </w:rPr>
        <w:t xml:space="preserve">* Modified Population - adjusted by </w:t>
      </w:r>
      <w:r w:rsidR="002A2397">
        <w:rPr>
          <w:rFonts w:cs="Arial"/>
          <w:i/>
          <w:sz w:val="16"/>
          <w:szCs w:val="16"/>
        </w:rPr>
        <w:t>half</w:t>
      </w:r>
      <w:r w:rsidRPr="002A2397">
        <w:rPr>
          <w:rFonts w:cs="Arial"/>
          <w:i/>
          <w:sz w:val="16"/>
          <w:szCs w:val="16"/>
        </w:rPr>
        <w:t xml:space="preserve"> vacancy rate to take account of part-time residents.  </w:t>
      </w:r>
    </w:p>
    <w:p w14:paraId="5AA2655E" w14:textId="2317BA64" w:rsidR="00BA1A67" w:rsidRPr="002A2397" w:rsidRDefault="00BA1A67">
      <w:pPr>
        <w:rPr>
          <w:rFonts w:cs="Arial"/>
          <w:sz w:val="8"/>
          <w:szCs w:val="8"/>
        </w:rPr>
      </w:pPr>
      <w:r>
        <w:rPr>
          <w:rFonts w:cs="Arial"/>
          <w:sz w:val="18"/>
          <w:szCs w:val="18"/>
        </w:rPr>
        <w:br w:type="page"/>
      </w:r>
    </w:p>
    <w:p w14:paraId="60564FBD" w14:textId="77777777" w:rsidR="00BA1A67" w:rsidRPr="00A44829" w:rsidRDefault="00BA1A67" w:rsidP="00FF36E8">
      <w:pPr>
        <w:spacing w:before="40" w:after="20"/>
        <w:rPr>
          <w:rFonts w:cs="Arial"/>
          <w:sz w:val="18"/>
          <w:szCs w:val="18"/>
        </w:rPr>
      </w:pPr>
    </w:p>
    <w:p w14:paraId="4CEC96F6" w14:textId="77777777" w:rsidR="00282D8A" w:rsidRPr="00A44829" w:rsidRDefault="00282D8A" w:rsidP="00FF36E8">
      <w:pPr>
        <w:spacing w:before="40" w:after="20"/>
        <w:rPr>
          <w:rFonts w:cs="Arial"/>
          <w:sz w:val="18"/>
          <w:szCs w:val="18"/>
        </w:rPr>
      </w:pPr>
    </w:p>
    <w:p w14:paraId="2B68288B" w14:textId="77777777" w:rsidR="0058215B" w:rsidRPr="00A44829" w:rsidRDefault="0058215B" w:rsidP="00FF36E8">
      <w:pPr>
        <w:spacing w:before="40" w:after="20"/>
        <w:rPr>
          <w:rFonts w:cs="Arial"/>
          <w:sz w:val="18"/>
          <w:szCs w:val="18"/>
        </w:rPr>
      </w:pPr>
    </w:p>
    <w:p w14:paraId="55E839C8" w14:textId="77777777" w:rsidR="00675E14" w:rsidRPr="00A44829" w:rsidRDefault="00675E14" w:rsidP="00FF36E8">
      <w:pPr>
        <w:spacing w:before="40" w:after="20"/>
        <w:rPr>
          <w:rFonts w:cs="Arial"/>
          <w:sz w:val="18"/>
          <w:szCs w:val="18"/>
        </w:rPr>
      </w:pPr>
    </w:p>
    <w:p w14:paraId="48FD8CF7" w14:textId="77777777" w:rsidR="0058215B" w:rsidRPr="00A44829" w:rsidRDefault="0058215B" w:rsidP="00FF36E8">
      <w:pPr>
        <w:spacing w:before="40" w:after="20"/>
        <w:rPr>
          <w:rFonts w:cs="Arial"/>
          <w:sz w:val="18"/>
          <w:szCs w:val="18"/>
        </w:rPr>
      </w:pPr>
    </w:p>
    <w:p w14:paraId="4215BB5E" w14:textId="77777777" w:rsidR="0058215B" w:rsidRPr="00A44829" w:rsidRDefault="0058215B" w:rsidP="00FF36E8">
      <w:pPr>
        <w:spacing w:before="40" w:after="20"/>
        <w:rPr>
          <w:rFonts w:cs="Arial"/>
          <w:sz w:val="18"/>
          <w:szCs w:val="18"/>
        </w:rPr>
      </w:pPr>
    </w:p>
    <w:p w14:paraId="56C1E49B" w14:textId="77777777" w:rsidR="0058215B" w:rsidRPr="00A44829" w:rsidRDefault="0058215B" w:rsidP="00FF36E8">
      <w:pPr>
        <w:spacing w:before="40" w:after="20"/>
        <w:rPr>
          <w:rFonts w:cs="Arial"/>
          <w:sz w:val="18"/>
          <w:szCs w:val="18"/>
        </w:rPr>
      </w:pPr>
    </w:p>
    <w:p w14:paraId="676BF7E1" w14:textId="77777777" w:rsidR="0058215B" w:rsidRPr="00A44829" w:rsidRDefault="0058215B" w:rsidP="00FF36E8">
      <w:pPr>
        <w:spacing w:before="40" w:after="20"/>
        <w:rPr>
          <w:rFonts w:cs="Arial"/>
          <w:sz w:val="18"/>
          <w:szCs w:val="18"/>
        </w:rPr>
      </w:pPr>
    </w:p>
    <w:p w14:paraId="34117052" w14:textId="77777777" w:rsidR="0058215B" w:rsidRPr="00A44829" w:rsidRDefault="00BE7A13" w:rsidP="00FF36E8">
      <w:pPr>
        <w:spacing w:before="40" w:after="20"/>
        <w:rPr>
          <w:rFonts w:cs="Arial"/>
          <w:sz w:val="18"/>
          <w:szCs w:val="18"/>
        </w:rPr>
      </w:pPr>
      <w:r w:rsidRPr="00A44829">
        <w:rPr>
          <w:rFonts w:cs="Arial"/>
          <w:sz w:val="18"/>
          <w:szCs w:val="18"/>
        </w:rPr>
        <w:br w:type="page"/>
      </w:r>
    </w:p>
    <w:p w14:paraId="1C0EBDC0" w14:textId="4BAC031A" w:rsidR="00C94778" w:rsidRPr="00A44829" w:rsidRDefault="00EE4593" w:rsidP="00C33713">
      <w:pPr>
        <w:pStyle w:val="VGC-Head10"/>
      </w:pPr>
      <w:r w:rsidRPr="00A44829">
        <w:lastRenderedPageBreak/>
        <w:t>2019-20</w:t>
      </w:r>
      <w:r w:rsidR="00A97ABE" w:rsidRPr="00A44829">
        <w:t xml:space="preserve"> </w:t>
      </w:r>
      <w:r w:rsidR="00C94778" w:rsidRPr="00A44829">
        <w:t>General Purpose Grants</w:t>
      </w:r>
      <w:r w:rsidR="00CE4507" w:rsidRPr="00A44829">
        <w:tab/>
        <w:t>Appendix 4</w:t>
      </w:r>
    </w:p>
    <w:p w14:paraId="7C923EEB" w14:textId="77777777" w:rsidR="00C94778" w:rsidRPr="00A44829" w:rsidRDefault="004F1184" w:rsidP="008C1A28">
      <w:pPr>
        <w:pStyle w:val="VGC-Head2"/>
      </w:pPr>
      <w:r w:rsidRPr="00A44829">
        <w:tab/>
      </w:r>
      <w:r w:rsidR="00CE520A" w:rsidRPr="00A44829">
        <w:t xml:space="preserve">B.  </w:t>
      </w:r>
      <w:r w:rsidR="00A02A28" w:rsidRPr="00A44829">
        <w:t xml:space="preserve">Statewide </w:t>
      </w:r>
      <w:r w:rsidR="00C94778" w:rsidRPr="00A44829">
        <w:t>Average Expenditure &amp; Revenue Data</w:t>
      </w:r>
    </w:p>
    <w:p w14:paraId="1184CB37" w14:textId="77777777" w:rsidR="00C94778" w:rsidRPr="00A44829" w:rsidRDefault="00C94778" w:rsidP="00FF36E8">
      <w:pPr>
        <w:spacing w:before="40" w:after="20"/>
        <w:rPr>
          <w:rFonts w:cs="Arial"/>
          <w:sz w:val="18"/>
          <w:szCs w:val="18"/>
        </w:rPr>
      </w:pPr>
    </w:p>
    <w:p w14:paraId="2E74AA9D" w14:textId="77777777" w:rsidR="00F37491" w:rsidRPr="00A44829" w:rsidRDefault="00F37491" w:rsidP="00FF36E8">
      <w:pPr>
        <w:spacing w:before="40" w:after="20"/>
        <w:rPr>
          <w:rFonts w:cs="Arial"/>
          <w:sz w:val="18"/>
          <w:szCs w:val="18"/>
        </w:rPr>
      </w:pPr>
    </w:p>
    <w:p w14:paraId="4CC21443" w14:textId="77777777" w:rsidR="00712E97" w:rsidRPr="00A44829" w:rsidRDefault="00712E97" w:rsidP="00FF36E8">
      <w:pPr>
        <w:spacing w:before="40" w:after="20"/>
        <w:rPr>
          <w:rFonts w:cs="Arial"/>
          <w:sz w:val="18"/>
          <w:szCs w:val="18"/>
        </w:rPr>
      </w:pPr>
    </w:p>
    <w:p w14:paraId="4C903644" w14:textId="77777777" w:rsidR="00712E97" w:rsidRPr="00A44829" w:rsidRDefault="00712E97" w:rsidP="00FF36E8">
      <w:pPr>
        <w:spacing w:before="40" w:after="20"/>
        <w:rPr>
          <w:rFonts w:cs="Arial"/>
          <w:sz w:val="18"/>
          <w:szCs w:val="18"/>
        </w:rPr>
      </w:pPr>
    </w:p>
    <w:tbl>
      <w:tblPr>
        <w:tblW w:w="9190" w:type="dxa"/>
        <w:tblInd w:w="91" w:type="dxa"/>
        <w:tblLayout w:type="fixed"/>
        <w:tblCellMar>
          <w:left w:w="57" w:type="dxa"/>
          <w:right w:w="57" w:type="dxa"/>
        </w:tblCellMar>
        <w:tblLook w:val="0000" w:firstRow="0" w:lastRow="0" w:firstColumn="0" w:lastColumn="0" w:noHBand="0" w:noVBand="0"/>
      </w:tblPr>
      <w:tblGrid>
        <w:gridCol w:w="2268"/>
        <w:gridCol w:w="1247"/>
        <w:gridCol w:w="1474"/>
        <w:gridCol w:w="1247"/>
        <w:gridCol w:w="170"/>
        <w:gridCol w:w="1361"/>
        <w:gridCol w:w="1247"/>
        <w:gridCol w:w="176"/>
      </w:tblGrid>
      <w:tr w:rsidR="004873B8" w:rsidRPr="00A44829" w14:paraId="2656DA9F" w14:textId="77777777" w:rsidTr="00C60457">
        <w:trPr>
          <w:trHeight w:val="20"/>
        </w:trPr>
        <w:tc>
          <w:tcPr>
            <w:tcW w:w="2268" w:type="dxa"/>
            <w:tcBorders>
              <w:right w:val="single" w:sz="18" w:space="0" w:color="5F497A" w:themeColor="accent4" w:themeShade="BF"/>
            </w:tcBorders>
            <w:vAlign w:val="bottom"/>
          </w:tcPr>
          <w:p w14:paraId="537EA612" w14:textId="77777777" w:rsidR="004873B8" w:rsidRPr="00A44829" w:rsidRDefault="004873B8" w:rsidP="006D4C53">
            <w:pPr>
              <w:spacing w:before="40" w:after="20"/>
              <w:rPr>
                <w:rFonts w:cs="Arial"/>
                <w:b/>
                <w:sz w:val="18"/>
                <w:szCs w:val="18"/>
              </w:rPr>
            </w:pPr>
          </w:p>
        </w:tc>
        <w:tc>
          <w:tcPr>
            <w:tcW w:w="6922" w:type="dxa"/>
            <w:gridSpan w:val="7"/>
            <w:tcBorders>
              <w:left w:val="single" w:sz="18" w:space="0" w:color="5F497A" w:themeColor="accent4" w:themeShade="BF"/>
              <w:bottom w:val="single" w:sz="8" w:space="0" w:color="5F497A" w:themeColor="accent4" w:themeShade="BF"/>
            </w:tcBorders>
            <w:shd w:val="clear" w:color="auto" w:fill="auto"/>
            <w:vAlign w:val="bottom"/>
          </w:tcPr>
          <w:p w14:paraId="3CB5D270" w14:textId="77777777" w:rsidR="004873B8" w:rsidRPr="00A44829" w:rsidRDefault="004873B8" w:rsidP="008001AD">
            <w:pPr>
              <w:spacing w:before="40" w:after="20"/>
              <w:jc w:val="center"/>
              <w:rPr>
                <w:rFonts w:cs="Arial"/>
                <w:b/>
                <w:sz w:val="18"/>
                <w:szCs w:val="18"/>
              </w:rPr>
            </w:pPr>
            <w:r w:rsidRPr="00A44829">
              <w:rPr>
                <w:rFonts w:cs="Arial"/>
                <w:b/>
                <w:sz w:val="18"/>
                <w:szCs w:val="18"/>
              </w:rPr>
              <w:t>Function Summary</w:t>
            </w:r>
          </w:p>
        </w:tc>
      </w:tr>
      <w:tr w:rsidR="004873B8" w:rsidRPr="00A44829" w14:paraId="015E6F22" w14:textId="77777777" w:rsidTr="00C60457">
        <w:trPr>
          <w:trHeight w:val="20"/>
        </w:trPr>
        <w:tc>
          <w:tcPr>
            <w:tcW w:w="2268" w:type="dxa"/>
            <w:tcBorders>
              <w:right w:val="single" w:sz="18" w:space="0" w:color="5F497A" w:themeColor="accent4" w:themeShade="BF"/>
            </w:tcBorders>
            <w:vAlign w:val="bottom"/>
          </w:tcPr>
          <w:p w14:paraId="6D0DC79F" w14:textId="77777777" w:rsidR="004873B8" w:rsidRPr="002A2397" w:rsidRDefault="004873B8" w:rsidP="006D4C53">
            <w:pPr>
              <w:spacing w:before="40" w:after="20"/>
              <w:rPr>
                <w:rFonts w:cs="Arial"/>
                <w:b/>
                <w:sz w:val="18"/>
                <w:szCs w:val="18"/>
              </w:rPr>
            </w:pPr>
          </w:p>
        </w:tc>
        <w:tc>
          <w:tcPr>
            <w:tcW w:w="3968" w:type="dxa"/>
            <w:gridSpan w:val="3"/>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44B01200" w14:textId="77777777" w:rsidR="004873B8" w:rsidRPr="00A44829" w:rsidRDefault="004873B8" w:rsidP="008001AD">
            <w:pPr>
              <w:spacing w:before="40" w:after="20"/>
              <w:jc w:val="center"/>
              <w:rPr>
                <w:rFonts w:cs="Arial"/>
                <w:b/>
                <w:sz w:val="18"/>
                <w:szCs w:val="18"/>
              </w:rPr>
            </w:pPr>
            <w:r w:rsidRPr="00A44829">
              <w:rPr>
                <w:rFonts w:cs="Arial"/>
                <w:b/>
                <w:sz w:val="18"/>
                <w:szCs w:val="18"/>
              </w:rPr>
              <w:t>Expenditure</w:t>
            </w:r>
          </w:p>
        </w:tc>
        <w:tc>
          <w:tcPr>
            <w:tcW w:w="170" w:type="dxa"/>
            <w:vMerge w:val="restart"/>
            <w:tcBorders>
              <w:top w:val="single" w:sz="8" w:space="0" w:color="5F497A" w:themeColor="accent4" w:themeShade="BF"/>
              <w:bottom w:val="single" w:sz="8" w:space="0" w:color="5F497A" w:themeColor="accent4" w:themeShade="BF"/>
            </w:tcBorders>
            <w:shd w:val="clear" w:color="auto" w:fill="auto"/>
            <w:vAlign w:val="bottom"/>
          </w:tcPr>
          <w:p w14:paraId="31AF71ED" w14:textId="77777777" w:rsidR="004873B8" w:rsidRPr="00A44829" w:rsidRDefault="004873B8" w:rsidP="008001AD">
            <w:pPr>
              <w:spacing w:before="40" w:after="20"/>
              <w:jc w:val="center"/>
              <w:rPr>
                <w:rFonts w:cs="Arial"/>
                <w:b/>
                <w:sz w:val="18"/>
                <w:szCs w:val="18"/>
              </w:rPr>
            </w:pPr>
          </w:p>
        </w:tc>
        <w:tc>
          <w:tcPr>
            <w:tcW w:w="2784" w:type="dxa"/>
            <w:gridSpan w:val="3"/>
            <w:tcBorders>
              <w:top w:val="single" w:sz="8" w:space="0" w:color="5F497A" w:themeColor="accent4" w:themeShade="BF"/>
              <w:bottom w:val="single" w:sz="8" w:space="0" w:color="5F497A" w:themeColor="accent4" w:themeShade="BF"/>
            </w:tcBorders>
            <w:shd w:val="clear" w:color="auto" w:fill="auto"/>
            <w:vAlign w:val="bottom"/>
          </w:tcPr>
          <w:p w14:paraId="32B26877" w14:textId="77777777" w:rsidR="004873B8" w:rsidRPr="00A44829" w:rsidRDefault="004873B8" w:rsidP="008001AD">
            <w:pPr>
              <w:spacing w:before="40" w:after="20"/>
              <w:jc w:val="center"/>
              <w:rPr>
                <w:rFonts w:cs="Arial"/>
                <w:b/>
                <w:sz w:val="18"/>
                <w:szCs w:val="18"/>
              </w:rPr>
            </w:pPr>
            <w:r w:rsidRPr="00A44829">
              <w:rPr>
                <w:rFonts w:cs="Arial"/>
                <w:b/>
                <w:sz w:val="18"/>
                <w:szCs w:val="18"/>
              </w:rPr>
              <w:t>Revenue</w:t>
            </w:r>
          </w:p>
        </w:tc>
      </w:tr>
      <w:tr w:rsidR="00FB220A" w:rsidRPr="00A44829" w14:paraId="54762177" w14:textId="77777777" w:rsidTr="00C60457">
        <w:trPr>
          <w:gridAfter w:val="1"/>
          <w:wAfter w:w="176" w:type="dxa"/>
          <w:trHeight w:val="20"/>
        </w:trPr>
        <w:tc>
          <w:tcPr>
            <w:tcW w:w="2268" w:type="dxa"/>
            <w:tcBorders>
              <w:right w:val="single" w:sz="18" w:space="0" w:color="5F497A" w:themeColor="accent4" w:themeShade="BF"/>
            </w:tcBorders>
            <w:shd w:val="clear" w:color="auto" w:fill="auto"/>
            <w:vAlign w:val="bottom"/>
          </w:tcPr>
          <w:p w14:paraId="1EDA0CEC" w14:textId="77777777" w:rsidR="00FB220A" w:rsidRPr="002A2397" w:rsidRDefault="00FB220A" w:rsidP="006D4C53">
            <w:pPr>
              <w:spacing w:before="40" w:after="20"/>
              <w:rPr>
                <w:rFonts w:cs="Arial"/>
                <w:b/>
                <w:sz w:val="18"/>
                <w:szCs w:val="18"/>
              </w:rPr>
            </w:pPr>
            <w:r w:rsidRPr="002A2397">
              <w:rPr>
                <w:rFonts w:cs="Arial"/>
                <w:b/>
                <w:sz w:val="18"/>
                <w:szCs w:val="18"/>
              </w:rPr>
              <w:t xml:space="preserve">Function </w:t>
            </w:r>
          </w:p>
          <w:p w14:paraId="2E2E7B99" w14:textId="77777777" w:rsidR="00FB220A" w:rsidRPr="002A2397" w:rsidRDefault="00FB220A" w:rsidP="006D4C53">
            <w:pPr>
              <w:spacing w:before="40" w:after="20"/>
              <w:rPr>
                <w:rFonts w:cs="Arial"/>
                <w:sz w:val="16"/>
                <w:szCs w:val="16"/>
              </w:rPr>
            </w:pPr>
            <w:r w:rsidRPr="002A2397">
              <w:rPr>
                <w:rFonts w:cs="Arial"/>
                <w:sz w:val="16"/>
                <w:szCs w:val="16"/>
              </w:rPr>
              <w:t>Major Cost Drivers</w:t>
            </w:r>
          </w:p>
        </w:tc>
        <w:tc>
          <w:tcPr>
            <w:tcW w:w="1247"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484874F6" w14:textId="21D2510C" w:rsidR="00FB220A" w:rsidRPr="00A44829" w:rsidRDefault="00FB220A" w:rsidP="009F5050">
            <w:pPr>
              <w:spacing w:before="40" w:after="20"/>
              <w:jc w:val="center"/>
              <w:rPr>
                <w:rFonts w:cs="Arial"/>
                <w:sz w:val="16"/>
                <w:szCs w:val="16"/>
              </w:rPr>
            </w:pPr>
            <w:r w:rsidRPr="00A44829">
              <w:rPr>
                <w:rFonts w:cs="Arial"/>
                <w:sz w:val="16"/>
                <w:szCs w:val="16"/>
              </w:rPr>
              <w:t>Unit</w:t>
            </w:r>
            <w:r w:rsidR="00F1570F" w:rsidRPr="00A44829">
              <w:rPr>
                <w:rFonts w:cs="Arial"/>
                <w:sz w:val="16"/>
                <w:szCs w:val="16"/>
              </w:rPr>
              <w:br/>
            </w:r>
          </w:p>
        </w:tc>
        <w:tc>
          <w:tcPr>
            <w:tcW w:w="1474" w:type="dxa"/>
            <w:tcBorders>
              <w:top w:val="single" w:sz="8" w:space="0" w:color="5F497A" w:themeColor="accent4" w:themeShade="BF"/>
              <w:bottom w:val="single" w:sz="8" w:space="0" w:color="5F497A" w:themeColor="accent4" w:themeShade="BF"/>
            </w:tcBorders>
          </w:tcPr>
          <w:p w14:paraId="1EBBD16E" w14:textId="083795C4" w:rsidR="00FB220A" w:rsidRPr="00A44829" w:rsidRDefault="00FB220A" w:rsidP="009F5050">
            <w:pPr>
              <w:spacing w:before="40" w:after="20"/>
              <w:jc w:val="center"/>
              <w:rPr>
                <w:rFonts w:cs="Arial"/>
                <w:sz w:val="16"/>
                <w:szCs w:val="16"/>
              </w:rPr>
            </w:pPr>
            <w:r w:rsidRPr="00A44829">
              <w:rPr>
                <w:rFonts w:cs="Arial"/>
                <w:sz w:val="16"/>
                <w:szCs w:val="16"/>
              </w:rPr>
              <w:t>State</w:t>
            </w:r>
            <w:r w:rsidR="00322BE9" w:rsidRPr="00A44829">
              <w:rPr>
                <w:rFonts w:cs="Arial"/>
                <w:sz w:val="16"/>
                <w:szCs w:val="16"/>
              </w:rPr>
              <w:t>w</w:t>
            </w:r>
            <w:r w:rsidRPr="00A44829">
              <w:rPr>
                <w:rFonts w:cs="Arial"/>
                <w:sz w:val="16"/>
                <w:szCs w:val="16"/>
              </w:rPr>
              <w:t xml:space="preserve">ide </w:t>
            </w:r>
            <w:r w:rsidRPr="00A44829">
              <w:rPr>
                <w:rFonts w:cs="Arial"/>
                <w:sz w:val="16"/>
                <w:szCs w:val="16"/>
              </w:rPr>
              <w:br/>
              <w:t xml:space="preserve">Actual </w:t>
            </w:r>
            <w:r w:rsidRPr="00A44829">
              <w:rPr>
                <w:rFonts w:cs="Arial"/>
                <w:sz w:val="16"/>
                <w:szCs w:val="16"/>
              </w:rPr>
              <w:br/>
              <w:t xml:space="preserve">Expenditure </w:t>
            </w:r>
            <w:r w:rsidR="00322BE9" w:rsidRPr="00A44829">
              <w:rPr>
                <w:rFonts w:cs="Arial"/>
                <w:sz w:val="16"/>
                <w:szCs w:val="16"/>
              </w:rPr>
              <w:br/>
            </w:r>
            <w:r w:rsidRPr="00A44829">
              <w:rPr>
                <w:rFonts w:cs="Arial"/>
                <w:sz w:val="16"/>
                <w:szCs w:val="16"/>
              </w:rPr>
              <w:br/>
              <w:t>($)</w:t>
            </w:r>
          </w:p>
        </w:tc>
        <w:tc>
          <w:tcPr>
            <w:tcW w:w="1247" w:type="dxa"/>
            <w:tcBorders>
              <w:top w:val="single" w:sz="8" w:space="0" w:color="5F497A" w:themeColor="accent4" w:themeShade="BF"/>
              <w:bottom w:val="single" w:sz="8" w:space="0" w:color="5F497A" w:themeColor="accent4" w:themeShade="BF"/>
            </w:tcBorders>
          </w:tcPr>
          <w:p w14:paraId="265E32D8" w14:textId="22248BB0" w:rsidR="00FB220A" w:rsidRPr="00A44829" w:rsidRDefault="00FB220A" w:rsidP="009F5050">
            <w:pPr>
              <w:spacing w:before="40" w:after="20"/>
              <w:jc w:val="center"/>
              <w:rPr>
                <w:rFonts w:cs="Arial"/>
                <w:sz w:val="16"/>
                <w:szCs w:val="16"/>
              </w:rPr>
            </w:pPr>
            <w:r w:rsidRPr="00A44829">
              <w:rPr>
                <w:rFonts w:cs="Arial"/>
                <w:sz w:val="16"/>
                <w:szCs w:val="16"/>
              </w:rPr>
              <w:t xml:space="preserve">Statewide Average Expenditure </w:t>
            </w:r>
            <w:r w:rsidR="005857EC" w:rsidRPr="00A44829">
              <w:rPr>
                <w:rFonts w:cs="Arial"/>
                <w:sz w:val="16"/>
                <w:szCs w:val="16"/>
              </w:rPr>
              <w:br/>
              <w:t>p</w:t>
            </w:r>
            <w:r w:rsidRPr="00A44829">
              <w:rPr>
                <w:rFonts w:cs="Arial"/>
                <w:sz w:val="16"/>
                <w:szCs w:val="16"/>
              </w:rPr>
              <w:t xml:space="preserve">er </w:t>
            </w:r>
            <w:r w:rsidR="005857EC" w:rsidRPr="00A44829">
              <w:rPr>
                <w:rFonts w:cs="Arial"/>
                <w:sz w:val="16"/>
                <w:szCs w:val="16"/>
              </w:rPr>
              <w:t>u</w:t>
            </w:r>
            <w:r w:rsidRPr="00A44829">
              <w:rPr>
                <w:rFonts w:cs="Arial"/>
                <w:sz w:val="16"/>
                <w:szCs w:val="16"/>
              </w:rPr>
              <w:t xml:space="preserve">nit </w:t>
            </w:r>
            <w:r w:rsidRPr="00A44829">
              <w:rPr>
                <w:rFonts w:cs="Arial"/>
                <w:sz w:val="16"/>
                <w:szCs w:val="16"/>
              </w:rPr>
              <w:br/>
              <w:t>($/unit)</w:t>
            </w:r>
          </w:p>
        </w:tc>
        <w:tc>
          <w:tcPr>
            <w:tcW w:w="170" w:type="dxa"/>
            <w:vMerge/>
            <w:tcBorders>
              <w:top w:val="single" w:sz="8" w:space="0" w:color="5F497A" w:themeColor="accent4" w:themeShade="BF"/>
              <w:bottom w:val="single" w:sz="8" w:space="0" w:color="5F497A" w:themeColor="accent4" w:themeShade="BF"/>
            </w:tcBorders>
            <w:shd w:val="clear" w:color="auto" w:fill="auto"/>
            <w:vAlign w:val="bottom"/>
          </w:tcPr>
          <w:p w14:paraId="06D13FB2" w14:textId="77777777" w:rsidR="00FB220A" w:rsidRPr="00A44829" w:rsidRDefault="00FB220A" w:rsidP="009F5050">
            <w:pPr>
              <w:spacing w:before="40" w:after="20"/>
              <w:jc w:val="center"/>
              <w:rPr>
                <w:rFonts w:cs="Arial"/>
                <w:sz w:val="16"/>
                <w:szCs w:val="16"/>
              </w:rPr>
            </w:pP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24853E1F" w14:textId="77777777" w:rsidR="00FB220A" w:rsidRPr="00A44829" w:rsidRDefault="00FB220A" w:rsidP="009F5050">
            <w:pPr>
              <w:spacing w:before="40" w:after="20"/>
              <w:jc w:val="center"/>
              <w:rPr>
                <w:rFonts w:cs="Arial"/>
                <w:sz w:val="16"/>
                <w:szCs w:val="16"/>
              </w:rPr>
            </w:pPr>
            <w:r w:rsidRPr="00A44829">
              <w:rPr>
                <w:rFonts w:cs="Arial"/>
                <w:sz w:val="16"/>
                <w:szCs w:val="16"/>
              </w:rPr>
              <w:t xml:space="preserve">Statewide </w:t>
            </w:r>
            <w:r w:rsidRPr="00A44829">
              <w:rPr>
                <w:rFonts w:cs="Arial"/>
                <w:sz w:val="16"/>
                <w:szCs w:val="16"/>
              </w:rPr>
              <w:br/>
              <w:t xml:space="preserve">Actual </w:t>
            </w:r>
            <w:r w:rsidRPr="00A44829">
              <w:rPr>
                <w:rFonts w:cs="Arial"/>
                <w:sz w:val="16"/>
                <w:szCs w:val="16"/>
              </w:rPr>
              <w:br/>
              <w:t xml:space="preserve">Grant </w:t>
            </w:r>
            <w:r w:rsidRPr="00A44829">
              <w:rPr>
                <w:rFonts w:cs="Arial"/>
                <w:sz w:val="16"/>
                <w:szCs w:val="16"/>
              </w:rPr>
              <w:br/>
              <w:t>Revenue</w:t>
            </w:r>
            <w:r w:rsidRPr="00A44829">
              <w:rPr>
                <w:rFonts w:cs="Arial"/>
                <w:sz w:val="16"/>
                <w:szCs w:val="16"/>
              </w:rPr>
              <w:br/>
              <w:t>($)</w:t>
            </w:r>
          </w:p>
        </w:tc>
        <w:tc>
          <w:tcPr>
            <w:tcW w:w="1247" w:type="dxa"/>
            <w:tcBorders>
              <w:top w:val="single" w:sz="8" w:space="0" w:color="5F497A" w:themeColor="accent4" w:themeShade="BF"/>
              <w:bottom w:val="single" w:sz="8" w:space="0" w:color="5F497A" w:themeColor="accent4" w:themeShade="BF"/>
            </w:tcBorders>
            <w:vAlign w:val="bottom"/>
          </w:tcPr>
          <w:p w14:paraId="26ACF66B" w14:textId="6C68FA8D" w:rsidR="00FB220A" w:rsidRPr="00A44829" w:rsidRDefault="00FB220A" w:rsidP="009F5050">
            <w:pPr>
              <w:spacing w:before="40" w:after="20"/>
              <w:jc w:val="center"/>
              <w:rPr>
                <w:rFonts w:cs="Arial"/>
                <w:sz w:val="16"/>
                <w:szCs w:val="16"/>
              </w:rPr>
            </w:pPr>
            <w:r w:rsidRPr="00A44829">
              <w:rPr>
                <w:rFonts w:cs="Arial"/>
                <w:sz w:val="16"/>
                <w:szCs w:val="16"/>
              </w:rPr>
              <w:t xml:space="preserve">Statewide Average Grant Revenue </w:t>
            </w:r>
            <w:r w:rsidRPr="00A44829">
              <w:rPr>
                <w:rFonts w:cs="Arial"/>
                <w:sz w:val="16"/>
                <w:szCs w:val="16"/>
              </w:rPr>
              <w:br/>
            </w:r>
            <w:r w:rsidR="005857EC" w:rsidRPr="00A44829">
              <w:rPr>
                <w:rFonts w:cs="Arial"/>
                <w:sz w:val="16"/>
                <w:szCs w:val="16"/>
              </w:rPr>
              <w:t>per u</w:t>
            </w:r>
            <w:r w:rsidRPr="00A44829">
              <w:rPr>
                <w:rFonts w:cs="Arial"/>
                <w:sz w:val="16"/>
                <w:szCs w:val="16"/>
              </w:rPr>
              <w:t>nit</w:t>
            </w:r>
            <w:r w:rsidRPr="00A44829">
              <w:rPr>
                <w:rFonts w:cs="Arial"/>
                <w:sz w:val="16"/>
                <w:szCs w:val="16"/>
              </w:rPr>
              <w:br/>
              <w:t>($/unit)</w:t>
            </w:r>
          </w:p>
        </w:tc>
      </w:tr>
      <w:tr w:rsidR="00FB220A" w:rsidRPr="00A44829" w14:paraId="0F91EB4D" w14:textId="77777777" w:rsidTr="00CA09E3">
        <w:tc>
          <w:tcPr>
            <w:tcW w:w="2268" w:type="dxa"/>
            <w:tcBorders>
              <w:right w:val="single" w:sz="18" w:space="0" w:color="5F497A" w:themeColor="accent4" w:themeShade="BF"/>
            </w:tcBorders>
            <w:vAlign w:val="center"/>
          </w:tcPr>
          <w:p w14:paraId="52EEADB8" w14:textId="77777777" w:rsidR="00FB220A" w:rsidRPr="002A2397" w:rsidRDefault="00FB220A" w:rsidP="001D41EA">
            <w:pPr>
              <w:spacing w:before="40" w:after="40"/>
              <w:rPr>
                <w:rFonts w:cs="Arial"/>
                <w:sz w:val="18"/>
                <w:szCs w:val="18"/>
              </w:rPr>
            </w:pPr>
          </w:p>
          <w:p w14:paraId="298B3D5E" w14:textId="77777777" w:rsidR="004873B8" w:rsidRPr="002A2397" w:rsidRDefault="004873B8" w:rsidP="001D41EA">
            <w:pPr>
              <w:spacing w:before="40" w:after="40"/>
              <w:rPr>
                <w:rFonts w:cs="Arial"/>
                <w:sz w:val="18"/>
                <w:szCs w:val="18"/>
              </w:rPr>
            </w:pPr>
          </w:p>
        </w:tc>
        <w:tc>
          <w:tcPr>
            <w:tcW w:w="1247" w:type="dxa"/>
            <w:tcBorders>
              <w:left w:val="single" w:sz="18" w:space="0" w:color="5F497A" w:themeColor="accent4" w:themeShade="BF"/>
            </w:tcBorders>
            <w:shd w:val="clear" w:color="auto" w:fill="auto"/>
          </w:tcPr>
          <w:p w14:paraId="5DBE0A9A" w14:textId="77777777" w:rsidR="00FB220A" w:rsidRPr="00A44829" w:rsidRDefault="00FB220A" w:rsidP="001D41EA">
            <w:pPr>
              <w:spacing w:before="40" w:after="40"/>
              <w:jc w:val="right"/>
              <w:rPr>
                <w:rFonts w:cs="Arial"/>
                <w:sz w:val="18"/>
                <w:szCs w:val="18"/>
              </w:rPr>
            </w:pPr>
          </w:p>
        </w:tc>
        <w:tc>
          <w:tcPr>
            <w:tcW w:w="1474" w:type="dxa"/>
          </w:tcPr>
          <w:p w14:paraId="5EA98C69" w14:textId="77777777" w:rsidR="00FB220A" w:rsidRPr="00A44829" w:rsidRDefault="00FB220A" w:rsidP="001D41EA">
            <w:pPr>
              <w:spacing w:before="40" w:after="40"/>
              <w:jc w:val="right"/>
              <w:rPr>
                <w:rFonts w:cs="Arial"/>
                <w:sz w:val="18"/>
                <w:szCs w:val="18"/>
              </w:rPr>
            </w:pPr>
          </w:p>
        </w:tc>
        <w:tc>
          <w:tcPr>
            <w:tcW w:w="1247" w:type="dxa"/>
          </w:tcPr>
          <w:p w14:paraId="297C8983" w14:textId="77777777" w:rsidR="00FB220A" w:rsidRPr="00A44829" w:rsidRDefault="00FB220A" w:rsidP="001D41EA">
            <w:pPr>
              <w:spacing w:before="40" w:after="40"/>
              <w:jc w:val="right"/>
              <w:rPr>
                <w:rFonts w:cs="Arial"/>
                <w:sz w:val="18"/>
                <w:szCs w:val="18"/>
              </w:rPr>
            </w:pPr>
          </w:p>
        </w:tc>
        <w:tc>
          <w:tcPr>
            <w:tcW w:w="170" w:type="dxa"/>
            <w:shd w:val="clear" w:color="auto" w:fill="auto"/>
          </w:tcPr>
          <w:p w14:paraId="29B4399D" w14:textId="77777777" w:rsidR="00FB220A" w:rsidRPr="00A44829" w:rsidRDefault="00FB220A" w:rsidP="001D41EA">
            <w:pPr>
              <w:spacing w:before="40" w:after="40"/>
              <w:jc w:val="right"/>
              <w:rPr>
                <w:rFonts w:cs="Arial"/>
                <w:sz w:val="18"/>
                <w:szCs w:val="18"/>
              </w:rPr>
            </w:pPr>
          </w:p>
        </w:tc>
        <w:tc>
          <w:tcPr>
            <w:tcW w:w="1361" w:type="dxa"/>
            <w:shd w:val="clear" w:color="auto" w:fill="auto"/>
          </w:tcPr>
          <w:p w14:paraId="0212F968" w14:textId="77777777" w:rsidR="00FB220A" w:rsidRPr="00A44829" w:rsidRDefault="00FB220A" w:rsidP="001D41EA">
            <w:pPr>
              <w:spacing w:before="40" w:after="40"/>
              <w:jc w:val="right"/>
              <w:rPr>
                <w:rFonts w:cs="Arial"/>
                <w:sz w:val="18"/>
                <w:szCs w:val="18"/>
              </w:rPr>
            </w:pPr>
          </w:p>
        </w:tc>
        <w:tc>
          <w:tcPr>
            <w:tcW w:w="1423" w:type="dxa"/>
            <w:gridSpan w:val="2"/>
            <w:shd w:val="clear" w:color="auto" w:fill="auto"/>
          </w:tcPr>
          <w:p w14:paraId="2CF6B531" w14:textId="77777777" w:rsidR="00FB220A" w:rsidRPr="00A44829" w:rsidRDefault="00FB220A" w:rsidP="001D41EA">
            <w:pPr>
              <w:spacing w:before="40" w:after="40"/>
              <w:jc w:val="right"/>
              <w:rPr>
                <w:rFonts w:cs="Arial"/>
                <w:sz w:val="18"/>
                <w:szCs w:val="18"/>
              </w:rPr>
            </w:pPr>
          </w:p>
        </w:tc>
      </w:tr>
      <w:tr w:rsidR="00953130" w:rsidRPr="00A44829" w14:paraId="6F25EA8E" w14:textId="77777777" w:rsidTr="00CA09E3">
        <w:tc>
          <w:tcPr>
            <w:tcW w:w="2268" w:type="dxa"/>
            <w:tcBorders>
              <w:right w:val="single" w:sz="18" w:space="0" w:color="5F497A" w:themeColor="accent4" w:themeShade="BF"/>
            </w:tcBorders>
            <w:vAlign w:val="center"/>
          </w:tcPr>
          <w:p w14:paraId="6BFCB2ED" w14:textId="77777777" w:rsidR="00953130" w:rsidRPr="002A2397" w:rsidRDefault="00953130" w:rsidP="001D41EA">
            <w:pPr>
              <w:spacing w:before="40" w:after="40"/>
              <w:rPr>
                <w:rFonts w:cs="Arial"/>
                <w:sz w:val="16"/>
                <w:szCs w:val="16"/>
              </w:rPr>
            </w:pPr>
            <w:r w:rsidRPr="002A2397">
              <w:rPr>
                <w:rFonts w:cs="Arial"/>
                <w:b/>
                <w:sz w:val="18"/>
                <w:szCs w:val="18"/>
              </w:rPr>
              <w:t>Governance</w:t>
            </w:r>
          </w:p>
          <w:p w14:paraId="586912A6" w14:textId="578EB7A7" w:rsidR="00953130" w:rsidRPr="002A2397" w:rsidRDefault="00953130" w:rsidP="001D41EA">
            <w:pPr>
              <w:spacing w:before="40" w:after="40"/>
              <w:rPr>
                <w:rFonts w:cs="Arial"/>
                <w:sz w:val="16"/>
                <w:szCs w:val="16"/>
              </w:rPr>
            </w:pPr>
            <w:r w:rsidRPr="002A2397">
              <w:rPr>
                <w:rFonts w:cs="Arial"/>
                <w:sz w:val="16"/>
                <w:szCs w:val="16"/>
              </w:rPr>
              <w:t xml:space="preserve">Modified Population* </w:t>
            </w:r>
            <w:r w:rsidRPr="002A2397">
              <w:rPr>
                <w:rFonts w:cs="Arial"/>
                <w:sz w:val="16"/>
                <w:szCs w:val="16"/>
              </w:rPr>
              <w:br/>
              <w:t xml:space="preserve">(min 20,000) </w:t>
            </w:r>
            <w:r w:rsidRPr="002A2397">
              <w:rPr>
                <w:rFonts w:cs="Arial"/>
                <w:sz w:val="16"/>
                <w:szCs w:val="16"/>
              </w:rPr>
              <w:br/>
            </w:r>
          </w:p>
        </w:tc>
        <w:tc>
          <w:tcPr>
            <w:tcW w:w="1247" w:type="dxa"/>
            <w:tcBorders>
              <w:left w:val="single" w:sz="18" w:space="0" w:color="5F497A" w:themeColor="accent4" w:themeShade="BF"/>
            </w:tcBorders>
            <w:shd w:val="clear" w:color="auto" w:fill="auto"/>
            <w:vAlign w:val="center"/>
          </w:tcPr>
          <w:p w14:paraId="51FD6184" w14:textId="3FAD6785" w:rsidR="00953130" w:rsidRPr="00A44829" w:rsidRDefault="00953130" w:rsidP="001D41EA">
            <w:pPr>
              <w:spacing w:before="40" w:after="40"/>
              <w:jc w:val="right"/>
              <w:rPr>
                <w:rFonts w:cs="Arial"/>
                <w:sz w:val="18"/>
                <w:szCs w:val="18"/>
              </w:rPr>
            </w:pPr>
            <w:r w:rsidRPr="00A44829">
              <w:rPr>
                <w:rFonts w:cs="Arial"/>
                <w:sz w:val="18"/>
                <w:szCs w:val="18"/>
              </w:rPr>
              <w:t>6,727,521</w:t>
            </w:r>
          </w:p>
        </w:tc>
        <w:tc>
          <w:tcPr>
            <w:tcW w:w="1474" w:type="dxa"/>
            <w:vAlign w:val="center"/>
          </w:tcPr>
          <w:p w14:paraId="0092DE6C" w14:textId="7A692D9C" w:rsidR="00953130" w:rsidRPr="00A44829" w:rsidRDefault="00953130" w:rsidP="001D41EA">
            <w:pPr>
              <w:spacing w:before="40" w:after="40"/>
              <w:jc w:val="right"/>
              <w:rPr>
                <w:rFonts w:cs="Arial"/>
                <w:sz w:val="18"/>
                <w:szCs w:val="18"/>
              </w:rPr>
            </w:pPr>
            <w:r w:rsidRPr="00A44829">
              <w:rPr>
                <w:rFonts w:cs="Arial"/>
                <w:sz w:val="18"/>
                <w:szCs w:val="18"/>
              </w:rPr>
              <w:t>431,224,709</w:t>
            </w:r>
          </w:p>
        </w:tc>
        <w:tc>
          <w:tcPr>
            <w:tcW w:w="1247" w:type="dxa"/>
            <w:vAlign w:val="center"/>
          </w:tcPr>
          <w:p w14:paraId="1D6B8411" w14:textId="3007A0C6" w:rsidR="00953130" w:rsidRPr="00A44829" w:rsidRDefault="00953130" w:rsidP="001D41EA">
            <w:pPr>
              <w:spacing w:before="40" w:after="40"/>
              <w:jc w:val="right"/>
              <w:rPr>
                <w:rFonts w:cs="Arial"/>
                <w:sz w:val="18"/>
                <w:szCs w:val="18"/>
              </w:rPr>
            </w:pPr>
            <w:r w:rsidRPr="00A44829">
              <w:rPr>
                <w:rFonts w:cs="Arial"/>
                <w:sz w:val="18"/>
                <w:szCs w:val="18"/>
              </w:rPr>
              <w:t>64.10</w:t>
            </w:r>
          </w:p>
        </w:tc>
        <w:tc>
          <w:tcPr>
            <w:tcW w:w="170" w:type="dxa"/>
            <w:shd w:val="clear" w:color="auto" w:fill="auto"/>
          </w:tcPr>
          <w:p w14:paraId="40B647CF" w14:textId="77777777" w:rsidR="00953130" w:rsidRPr="00A44829" w:rsidRDefault="00953130" w:rsidP="001D41EA">
            <w:pPr>
              <w:spacing w:before="40" w:after="40"/>
              <w:jc w:val="right"/>
              <w:rPr>
                <w:rFonts w:cs="Arial"/>
                <w:sz w:val="18"/>
                <w:szCs w:val="18"/>
              </w:rPr>
            </w:pPr>
          </w:p>
        </w:tc>
        <w:tc>
          <w:tcPr>
            <w:tcW w:w="1361" w:type="dxa"/>
            <w:shd w:val="clear" w:color="auto" w:fill="auto"/>
            <w:vAlign w:val="center"/>
          </w:tcPr>
          <w:p w14:paraId="2BEDA80E" w14:textId="62B4B898" w:rsidR="00953130" w:rsidRPr="00A44829" w:rsidRDefault="00953130" w:rsidP="001D41EA">
            <w:pPr>
              <w:spacing w:before="40" w:after="40"/>
              <w:jc w:val="right"/>
              <w:rPr>
                <w:rFonts w:cs="Arial"/>
                <w:sz w:val="18"/>
                <w:szCs w:val="18"/>
              </w:rPr>
            </w:pPr>
            <w:r w:rsidRPr="00A44829">
              <w:rPr>
                <w:rFonts w:cs="Arial"/>
                <w:sz w:val="18"/>
                <w:szCs w:val="18"/>
              </w:rPr>
              <w:t>29,973,749</w:t>
            </w:r>
          </w:p>
        </w:tc>
        <w:tc>
          <w:tcPr>
            <w:tcW w:w="1423" w:type="dxa"/>
            <w:gridSpan w:val="2"/>
            <w:shd w:val="clear" w:color="auto" w:fill="auto"/>
            <w:vAlign w:val="center"/>
          </w:tcPr>
          <w:p w14:paraId="5754E6C5" w14:textId="4A1A99A7" w:rsidR="00953130" w:rsidRPr="00A44829" w:rsidRDefault="00953130" w:rsidP="001D41EA">
            <w:pPr>
              <w:spacing w:before="40" w:after="40"/>
              <w:jc w:val="right"/>
              <w:rPr>
                <w:rFonts w:cs="Arial"/>
                <w:sz w:val="18"/>
                <w:szCs w:val="18"/>
              </w:rPr>
            </w:pPr>
            <w:r w:rsidRPr="00A44829">
              <w:rPr>
                <w:rFonts w:cs="Arial"/>
                <w:sz w:val="18"/>
                <w:szCs w:val="18"/>
              </w:rPr>
              <w:t>4.46</w:t>
            </w:r>
          </w:p>
        </w:tc>
      </w:tr>
      <w:tr w:rsidR="00953130" w:rsidRPr="00A44829" w14:paraId="0F70A665" w14:textId="77777777" w:rsidTr="00CA09E3">
        <w:tc>
          <w:tcPr>
            <w:tcW w:w="2268" w:type="dxa"/>
            <w:tcBorders>
              <w:right w:val="single" w:sz="18" w:space="0" w:color="5F497A" w:themeColor="accent4" w:themeShade="BF"/>
            </w:tcBorders>
            <w:vAlign w:val="center"/>
          </w:tcPr>
          <w:p w14:paraId="1CA4455F" w14:textId="77777777" w:rsidR="00953130" w:rsidRPr="002A2397" w:rsidRDefault="00953130" w:rsidP="001D41EA">
            <w:pPr>
              <w:spacing w:before="40" w:after="40"/>
              <w:rPr>
                <w:rFonts w:cs="Arial"/>
                <w:sz w:val="16"/>
                <w:szCs w:val="16"/>
              </w:rPr>
            </w:pPr>
            <w:r w:rsidRPr="002A2397">
              <w:rPr>
                <w:rFonts w:cs="Arial"/>
                <w:b/>
                <w:sz w:val="18"/>
                <w:szCs w:val="18"/>
              </w:rPr>
              <w:t xml:space="preserve">Family &amp; </w:t>
            </w:r>
            <w:r w:rsidRPr="002A2397">
              <w:rPr>
                <w:rFonts w:cs="Arial"/>
                <w:b/>
                <w:sz w:val="18"/>
                <w:szCs w:val="18"/>
              </w:rPr>
              <w:br/>
              <w:t>Community Services</w:t>
            </w:r>
          </w:p>
          <w:p w14:paraId="650603AF" w14:textId="63D0C396" w:rsidR="00953130" w:rsidRPr="002A2397" w:rsidRDefault="00953130" w:rsidP="001D41EA">
            <w:pPr>
              <w:spacing w:before="40" w:after="40"/>
              <w:rPr>
                <w:rFonts w:cs="Arial"/>
                <w:sz w:val="16"/>
                <w:szCs w:val="16"/>
              </w:rPr>
            </w:pPr>
            <w:r w:rsidRPr="002A2397">
              <w:rPr>
                <w:rFonts w:cs="Arial"/>
                <w:sz w:val="16"/>
                <w:szCs w:val="16"/>
              </w:rPr>
              <w:t xml:space="preserve">Population </w:t>
            </w:r>
            <w:r w:rsidRPr="002A2397">
              <w:rPr>
                <w:rFonts w:cs="Arial"/>
                <w:sz w:val="16"/>
                <w:szCs w:val="16"/>
              </w:rPr>
              <w:br/>
            </w:r>
          </w:p>
        </w:tc>
        <w:tc>
          <w:tcPr>
            <w:tcW w:w="1247" w:type="dxa"/>
            <w:tcBorders>
              <w:left w:val="single" w:sz="18" w:space="0" w:color="5F497A" w:themeColor="accent4" w:themeShade="BF"/>
            </w:tcBorders>
            <w:shd w:val="clear" w:color="auto" w:fill="auto"/>
            <w:vAlign w:val="center"/>
          </w:tcPr>
          <w:p w14:paraId="32C836ED" w14:textId="2FAFA35F" w:rsidR="00953130" w:rsidRPr="00A44829" w:rsidRDefault="00953130" w:rsidP="001D41EA">
            <w:pPr>
              <w:spacing w:before="40" w:after="40"/>
              <w:jc w:val="right"/>
              <w:rPr>
                <w:rFonts w:cs="Arial"/>
                <w:sz w:val="18"/>
                <w:szCs w:val="18"/>
              </w:rPr>
            </w:pPr>
            <w:r w:rsidRPr="00A44829">
              <w:rPr>
                <w:rFonts w:cs="Arial"/>
                <w:sz w:val="18"/>
                <w:szCs w:val="18"/>
              </w:rPr>
              <w:t>6,460,628</w:t>
            </w:r>
          </w:p>
        </w:tc>
        <w:tc>
          <w:tcPr>
            <w:tcW w:w="1474" w:type="dxa"/>
            <w:vAlign w:val="center"/>
          </w:tcPr>
          <w:p w14:paraId="45F00095" w14:textId="001B4C62" w:rsidR="00953130" w:rsidRPr="00A44829" w:rsidRDefault="00953130" w:rsidP="001D41EA">
            <w:pPr>
              <w:spacing w:before="40" w:after="40"/>
              <w:jc w:val="right"/>
              <w:rPr>
                <w:rFonts w:cs="Arial"/>
                <w:sz w:val="18"/>
                <w:szCs w:val="18"/>
              </w:rPr>
            </w:pPr>
            <w:r w:rsidRPr="00A44829">
              <w:rPr>
                <w:rFonts w:cs="Arial"/>
                <w:sz w:val="18"/>
                <w:szCs w:val="18"/>
              </w:rPr>
              <w:t>889,176,584</w:t>
            </w:r>
          </w:p>
        </w:tc>
        <w:tc>
          <w:tcPr>
            <w:tcW w:w="1247" w:type="dxa"/>
            <w:vAlign w:val="center"/>
          </w:tcPr>
          <w:p w14:paraId="23532FD8" w14:textId="324DE90D" w:rsidR="00953130" w:rsidRPr="00A44829" w:rsidRDefault="00953130" w:rsidP="001D41EA">
            <w:pPr>
              <w:spacing w:before="40" w:after="40"/>
              <w:jc w:val="right"/>
              <w:rPr>
                <w:rFonts w:cs="Arial"/>
                <w:sz w:val="18"/>
                <w:szCs w:val="18"/>
              </w:rPr>
            </w:pPr>
            <w:r w:rsidRPr="00A44829">
              <w:rPr>
                <w:rFonts w:cs="Arial"/>
                <w:sz w:val="18"/>
                <w:szCs w:val="18"/>
              </w:rPr>
              <w:t>137.63</w:t>
            </w:r>
          </w:p>
        </w:tc>
        <w:tc>
          <w:tcPr>
            <w:tcW w:w="170" w:type="dxa"/>
            <w:shd w:val="clear" w:color="auto" w:fill="auto"/>
          </w:tcPr>
          <w:p w14:paraId="495F3188" w14:textId="77777777" w:rsidR="00953130" w:rsidRPr="00A44829" w:rsidRDefault="00953130" w:rsidP="001D41EA">
            <w:pPr>
              <w:spacing w:before="40" w:after="40"/>
              <w:jc w:val="right"/>
              <w:rPr>
                <w:rFonts w:cs="Arial"/>
                <w:sz w:val="18"/>
                <w:szCs w:val="18"/>
              </w:rPr>
            </w:pPr>
          </w:p>
        </w:tc>
        <w:tc>
          <w:tcPr>
            <w:tcW w:w="1361" w:type="dxa"/>
            <w:shd w:val="clear" w:color="auto" w:fill="auto"/>
            <w:vAlign w:val="center"/>
          </w:tcPr>
          <w:p w14:paraId="63FC13DB" w14:textId="79856DDC" w:rsidR="00953130" w:rsidRPr="00A44829" w:rsidRDefault="00953130" w:rsidP="001D41EA">
            <w:pPr>
              <w:spacing w:before="40" w:after="40"/>
              <w:jc w:val="right"/>
              <w:rPr>
                <w:rFonts w:cs="Arial"/>
                <w:sz w:val="18"/>
                <w:szCs w:val="18"/>
              </w:rPr>
            </w:pPr>
            <w:r w:rsidRPr="00A44829">
              <w:rPr>
                <w:rFonts w:cs="Arial"/>
                <w:sz w:val="18"/>
                <w:szCs w:val="18"/>
              </w:rPr>
              <w:t>241,637,882</w:t>
            </w:r>
          </w:p>
        </w:tc>
        <w:tc>
          <w:tcPr>
            <w:tcW w:w="1423" w:type="dxa"/>
            <w:gridSpan w:val="2"/>
            <w:shd w:val="clear" w:color="auto" w:fill="auto"/>
            <w:vAlign w:val="center"/>
          </w:tcPr>
          <w:p w14:paraId="5892B683" w14:textId="0ED49B18" w:rsidR="00953130" w:rsidRPr="00A44829" w:rsidRDefault="00953130" w:rsidP="001D41EA">
            <w:pPr>
              <w:spacing w:before="40" w:after="40"/>
              <w:jc w:val="right"/>
              <w:rPr>
                <w:rFonts w:cs="Arial"/>
                <w:sz w:val="18"/>
                <w:szCs w:val="18"/>
              </w:rPr>
            </w:pPr>
            <w:r w:rsidRPr="00A44829">
              <w:rPr>
                <w:rFonts w:cs="Arial"/>
                <w:sz w:val="18"/>
                <w:szCs w:val="18"/>
              </w:rPr>
              <w:t>37.40</w:t>
            </w:r>
          </w:p>
        </w:tc>
      </w:tr>
      <w:tr w:rsidR="00953130" w:rsidRPr="00A44829" w14:paraId="7A60ECAD" w14:textId="77777777" w:rsidTr="00CA09E3">
        <w:tc>
          <w:tcPr>
            <w:tcW w:w="2268" w:type="dxa"/>
            <w:tcBorders>
              <w:right w:val="single" w:sz="18" w:space="0" w:color="5F497A" w:themeColor="accent4" w:themeShade="BF"/>
            </w:tcBorders>
            <w:vAlign w:val="center"/>
          </w:tcPr>
          <w:p w14:paraId="6FAC2C42" w14:textId="77777777" w:rsidR="00953130" w:rsidRPr="002A2397" w:rsidRDefault="00953130" w:rsidP="001D41EA">
            <w:pPr>
              <w:spacing w:before="40" w:after="40"/>
              <w:rPr>
                <w:rFonts w:cs="Arial"/>
                <w:sz w:val="16"/>
                <w:szCs w:val="16"/>
              </w:rPr>
            </w:pPr>
            <w:r w:rsidRPr="002A2397">
              <w:rPr>
                <w:rFonts w:cs="Arial"/>
                <w:b/>
                <w:sz w:val="18"/>
                <w:szCs w:val="18"/>
              </w:rPr>
              <w:t xml:space="preserve">Aged &amp; </w:t>
            </w:r>
            <w:r w:rsidRPr="002A2397">
              <w:rPr>
                <w:rFonts w:cs="Arial"/>
                <w:b/>
                <w:sz w:val="18"/>
                <w:szCs w:val="18"/>
              </w:rPr>
              <w:br/>
              <w:t>Disabled Services</w:t>
            </w:r>
          </w:p>
          <w:p w14:paraId="3B2AC954" w14:textId="5AEC384B" w:rsidR="00953130" w:rsidRPr="002A2397" w:rsidRDefault="00953130" w:rsidP="001D41EA">
            <w:pPr>
              <w:spacing w:before="40" w:after="40"/>
              <w:rPr>
                <w:rFonts w:cs="Arial"/>
                <w:sz w:val="16"/>
                <w:szCs w:val="16"/>
              </w:rPr>
            </w:pPr>
            <w:r w:rsidRPr="002A2397">
              <w:rPr>
                <w:rFonts w:cs="Arial"/>
                <w:sz w:val="16"/>
                <w:szCs w:val="16"/>
              </w:rPr>
              <w:t xml:space="preserve">Pop. &gt;60 yrs + Disabled Pensioners + Carers </w:t>
            </w:r>
            <w:r w:rsidRPr="002A2397">
              <w:rPr>
                <w:rFonts w:cs="Arial"/>
                <w:sz w:val="16"/>
                <w:szCs w:val="16"/>
              </w:rPr>
              <w:br/>
            </w:r>
          </w:p>
        </w:tc>
        <w:tc>
          <w:tcPr>
            <w:tcW w:w="1247" w:type="dxa"/>
            <w:tcBorders>
              <w:left w:val="single" w:sz="18" w:space="0" w:color="5F497A" w:themeColor="accent4" w:themeShade="BF"/>
            </w:tcBorders>
            <w:shd w:val="clear" w:color="auto" w:fill="auto"/>
            <w:vAlign w:val="center"/>
          </w:tcPr>
          <w:p w14:paraId="737A5DF9" w14:textId="71F259F5" w:rsidR="00953130" w:rsidRPr="00A44829" w:rsidRDefault="00953130" w:rsidP="001D41EA">
            <w:pPr>
              <w:spacing w:before="40" w:after="40"/>
              <w:jc w:val="right"/>
              <w:rPr>
                <w:rFonts w:cs="Arial"/>
                <w:sz w:val="18"/>
                <w:szCs w:val="18"/>
              </w:rPr>
            </w:pPr>
            <w:r w:rsidRPr="00A44829">
              <w:rPr>
                <w:rFonts w:cs="Arial"/>
                <w:sz w:val="18"/>
                <w:szCs w:val="18"/>
              </w:rPr>
              <w:t>1,669,908</w:t>
            </w:r>
          </w:p>
        </w:tc>
        <w:tc>
          <w:tcPr>
            <w:tcW w:w="1474" w:type="dxa"/>
            <w:vAlign w:val="center"/>
          </w:tcPr>
          <w:p w14:paraId="38741E15" w14:textId="79720A1B" w:rsidR="00953130" w:rsidRPr="00A44829" w:rsidRDefault="00953130" w:rsidP="001D41EA">
            <w:pPr>
              <w:spacing w:before="40" w:after="40"/>
              <w:jc w:val="right"/>
              <w:rPr>
                <w:rFonts w:cs="Arial"/>
                <w:sz w:val="18"/>
                <w:szCs w:val="18"/>
              </w:rPr>
            </w:pPr>
            <w:r w:rsidRPr="00A44829">
              <w:rPr>
                <w:rFonts w:cs="Arial"/>
                <w:sz w:val="18"/>
                <w:szCs w:val="18"/>
              </w:rPr>
              <w:t>586,205,579</w:t>
            </w:r>
          </w:p>
        </w:tc>
        <w:tc>
          <w:tcPr>
            <w:tcW w:w="1247" w:type="dxa"/>
            <w:vAlign w:val="center"/>
          </w:tcPr>
          <w:p w14:paraId="59B2D296" w14:textId="26FAA2A0" w:rsidR="00953130" w:rsidRPr="00A44829" w:rsidRDefault="00953130" w:rsidP="001D41EA">
            <w:pPr>
              <w:spacing w:before="40" w:after="40"/>
              <w:jc w:val="right"/>
              <w:rPr>
                <w:rFonts w:cs="Arial"/>
                <w:sz w:val="18"/>
                <w:szCs w:val="18"/>
              </w:rPr>
            </w:pPr>
            <w:r w:rsidRPr="00A44829">
              <w:rPr>
                <w:rFonts w:cs="Arial"/>
                <w:sz w:val="18"/>
                <w:szCs w:val="18"/>
              </w:rPr>
              <w:t>351.04</w:t>
            </w:r>
          </w:p>
        </w:tc>
        <w:tc>
          <w:tcPr>
            <w:tcW w:w="170" w:type="dxa"/>
            <w:shd w:val="clear" w:color="auto" w:fill="auto"/>
          </w:tcPr>
          <w:p w14:paraId="3C459EDB" w14:textId="77777777" w:rsidR="00953130" w:rsidRPr="00A44829" w:rsidRDefault="00953130" w:rsidP="001D41EA">
            <w:pPr>
              <w:spacing w:before="40" w:after="40"/>
              <w:jc w:val="right"/>
              <w:rPr>
                <w:rFonts w:cs="Arial"/>
                <w:sz w:val="18"/>
                <w:szCs w:val="18"/>
              </w:rPr>
            </w:pPr>
          </w:p>
        </w:tc>
        <w:tc>
          <w:tcPr>
            <w:tcW w:w="1361" w:type="dxa"/>
            <w:shd w:val="clear" w:color="auto" w:fill="auto"/>
            <w:vAlign w:val="center"/>
          </w:tcPr>
          <w:p w14:paraId="55EC13A5" w14:textId="0D4E991A" w:rsidR="00953130" w:rsidRPr="00A44829" w:rsidRDefault="00953130" w:rsidP="001D41EA">
            <w:pPr>
              <w:spacing w:before="40" w:after="40"/>
              <w:jc w:val="right"/>
              <w:rPr>
                <w:rFonts w:cs="Arial"/>
                <w:sz w:val="18"/>
                <w:szCs w:val="18"/>
              </w:rPr>
            </w:pPr>
            <w:r w:rsidRPr="00A44829">
              <w:rPr>
                <w:rFonts w:cs="Arial"/>
                <w:sz w:val="18"/>
                <w:szCs w:val="18"/>
              </w:rPr>
              <w:t>293,202,453</w:t>
            </w:r>
          </w:p>
        </w:tc>
        <w:tc>
          <w:tcPr>
            <w:tcW w:w="1423" w:type="dxa"/>
            <w:gridSpan w:val="2"/>
            <w:shd w:val="clear" w:color="auto" w:fill="auto"/>
            <w:vAlign w:val="center"/>
          </w:tcPr>
          <w:p w14:paraId="5CBA83D8" w14:textId="1B542276" w:rsidR="00953130" w:rsidRPr="00A44829" w:rsidRDefault="00953130" w:rsidP="001D41EA">
            <w:pPr>
              <w:spacing w:before="40" w:after="40"/>
              <w:jc w:val="right"/>
              <w:rPr>
                <w:rFonts w:cs="Arial"/>
                <w:sz w:val="18"/>
                <w:szCs w:val="18"/>
              </w:rPr>
            </w:pPr>
            <w:r w:rsidRPr="00A44829">
              <w:rPr>
                <w:rFonts w:cs="Arial"/>
                <w:sz w:val="18"/>
                <w:szCs w:val="18"/>
              </w:rPr>
              <w:t>175.58</w:t>
            </w:r>
          </w:p>
        </w:tc>
      </w:tr>
      <w:tr w:rsidR="00953130" w:rsidRPr="00A44829" w14:paraId="31381517" w14:textId="77777777" w:rsidTr="00CA09E3">
        <w:tc>
          <w:tcPr>
            <w:tcW w:w="2268" w:type="dxa"/>
            <w:tcBorders>
              <w:right w:val="single" w:sz="18" w:space="0" w:color="5F497A" w:themeColor="accent4" w:themeShade="BF"/>
            </w:tcBorders>
            <w:vAlign w:val="center"/>
          </w:tcPr>
          <w:p w14:paraId="7364A8AC" w14:textId="77777777" w:rsidR="00953130" w:rsidRPr="002A2397" w:rsidRDefault="00953130" w:rsidP="001D41EA">
            <w:pPr>
              <w:spacing w:before="40" w:after="40"/>
              <w:rPr>
                <w:rFonts w:cs="Arial"/>
                <w:sz w:val="16"/>
                <w:szCs w:val="16"/>
              </w:rPr>
            </w:pPr>
            <w:r w:rsidRPr="002A2397">
              <w:rPr>
                <w:rFonts w:cs="Arial"/>
                <w:b/>
                <w:sz w:val="18"/>
                <w:szCs w:val="18"/>
              </w:rPr>
              <w:t>Recreation &amp; Culture</w:t>
            </w:r>
          </w:p>
          <w:p w14:paraId="77A7CA30" w14:textId="66AEE383" w:rsidR="00953130" w:rsidRPr="002A2397" w:rsidRDefault="00953130" w:rsidP="001D41EA">
            <w:pPr>
              <w:spacing w:before="40" w:after="40"/>
              <w:rPr>
                <w:rFonts w:cs="Arial"/>
                <w:sz w:val="16"/>
                <w:szCs w:val="16"/>
              </w:rPr>
            </w:pPr>
            <w:r w:rsidRPr="002A2397">
              <w:rPr>
                <w:rFonts w:cs="Arial"/>
                <w:sz w:val="16"/>
                <w:szCs w:val="16"/>
              </w:rPr>
              <w:t xml:space="preserve">Modified Population* </w:t>
            </w:r>
            <w:r w:rsidRPr="002A2397">
              <w:rPr>
                <w:rFonts w:cs="Arial"/>
                <w:sz w:val="16"/>
                <w:szCs w:val="16"/>
              </w:rPr>
              <w:br/>
            </w:r>
          </w:p>
        </w:tc>
        <w:tc>
          <w:tcPr>
            <w:tcW w:w="1247" w:type="dxa"/>
            <w:tcBorders>
              <w:left w:val="single" w:sz="18" w:space="0" w:color="5F497A" w:themeColor="accent4" w:themeShade="BF"/>
            </w:tcBorders>
            <w:shd w:val="clear" w:color="auto" w:fill="auto"/>
            <w:vAlign w:val="center"/>
          </w:tcPr>
          <w:p w14:paraId="7B048F71" w14:textId="783D8E7E" w:rsidR="00953130" w:rsidRPr="00A44829" w:rsidRDefault="00953130" w:rsidP="001D41EA">
            <w:pPr>
              <w:spacing w:before="40" w:after="40"/>
              <w:jc w:val="right"/>
              <w:rPr>
                <w:rFonts w:cs="Arial"/>
                <w:sz w:val="18"/>
                <w:szCs w:val="18"/>
              </w:rPr>
            </w:pPr>
            <w:r w:rsidRPr="00A44829">
              <w:rPr>
                <w:rFonts w:cs="Arial"/>
                <w:sz w:val="18"/>
                <w:szCs w:val="18"/>
              </w:rPr>
              <w:t>6,536,705</w:t>
            </w:r>
          </w:p>
        </w:tc>
        <w:tc>
          <w:tcPr>
            <w:tcW w:w="1474" w:type="dxa"/>
            <w:vAlign w:val="center"/>
          </w:tcPr>
          <w:p w14:paraId="78FFD390" w14:textId="6C9064B7" w:rsidR="00953130" w:rsidRPr="00A44829" w:rsidRDefault="00953130" w:rsidP="001D41EA">
            <w:pPr>
              <w:spacing w:before="40" w:after="40"/>
              <w:jc w:val="right"/>
              <w:rPr>
                <w:rFonts w:cs="Arial"/>
                <w:sz w:val="18"/>
                <w:szCs w:val="18"/>
              </w:rPr>
            </w:pPr>
            <w:r w:rsidRPr="00A44829">
              <w:rPr>
                <w:rFonts w:cs="Arial"/>
                <w:sz w:val="18"/>
                <w:szCs w:val="18"/>
              </w:rPr>
              <w:t>1,954,595,939</w:t>
            </w:r>
          </w:p>
        </w:tc>
        <w:tc>
          <w:tcPr>
            <w:tcW w:w="1247" w:type="dxa"/>
            <w:vAlign w:val="center"/>
          </w:tcPr>
          <w:p w14:paraId="096442B6" w14:textId="7A74C4E0" w:rsidR="00953130" w:rsidRPr="00A44829" w:rsidRDefault="00953130" w:rsidP="001D41EA">
            <w:pPr>
              <w:spacing w:before="40" w:after="40"/>
              <w:jc w:val="right"/>
              <w:rPr>
                <w:rFonts w:cs="Arial"/>
                <w:sz w:val="18"/>
                <w:szCs w:val="18"/>
              </w:rPr>
            </w:pPr>
            <w:r w:rsidRPr="00A44829">
              <w:rPr>
                <w:rFonts w:cs="Arial"/>
                <w:sz w:val="18"/>
                <w:szCs w:val="18"/>
              </w:rPr>
              <w:t>299.02</w:t>
            </w:r>
          </w:p>
        </w:tc>
        <w:tc>
          <w:tcPr>
            <w:tcW w:w="170" w:type="dxa"/>
            <w:shd w:val="clear" w:color="auto" w:fill="auto"/>
          </w:tcPr>
          <w:p w14:paraId="665FFC48" w14:textId="77777777" w:rsidR="00953130" w:rsidRPr="00A44829" w:rsidRDefault="00953130" w:rsidP="001D41EA">
            <w:pPr>
              <w:spacing w:before="40" w:after="40"/>
              <w:jc w:val="right"/>
              <w:rPr>
                <w:rFonts w:cs="Arial"/>
                <w:sz w:val="18"/>
                <w:szCs w:val="18"/>
              </w:rPr>
            </w:pPr>
          </w:p>
        </w:tc>
        <w:tc>
          <w:tcPr>
            <w:tcW w:w="1361" w:type="dxa"/>
            <w:shd w:val="clear" w:color="auto" w:fill="auto"/>
            <w:vAlign w:val="center"/>
          </w:tcPr>
          <w:p w14:paraId="0B5E50E4" w14:textId="05BABC32" w:rsidR="00953130" w:rsidRPr="00A44829" w:rsidRDefault="00953130" w:rsidP="001D41EA">
            <w:pPr>
              <w:spacing w:before="40" w:after="40"/>
              <w:jc w:val="right"/>
              <w:rPr>
                <w:rFonts w:cs="Arial"/>
                <w:sz w:val="18"/>
                <w:szCs w:val="18"/>
              </w:rPr>
            </w:pPr>
            <w:r w:rsidRPr="00A44829">
              <w:rPr>
                <w:rFonts w:cs="Arial"/>
                <w:sz w:val="18"/>
                <w:szCs w:val="18"/>
              </w:rPr>
              <w:t>42,403,705</w:t>
            </w:r>
          </w:p>
        </w:tc>
        <w:tc>
          <w:tcPr>
            <w:tcW w:w="1423" w:type="dxa"/>
            <w:gridSpan w:val="2"/>
            <w:shd w:val="clear" w:color="auto" w:fill="auto"/>
            <w:vAlign w:val="center"/>
          </w:tcPr>
          <w:p w14:paraId="3C520289" w14:textId="67D28DE6" w:rsidR="00953130" w:rsidRPr="00A44829" w:rsidRDefault="00953130" w:rsidP="001D41EA">
            <w:pPr>
              <w:spacing w:before="40" w:after="40"/>
              <w:jc w:val="right"/>
              <w:rPr>
                <w:rFonts w:cs="Arial"/>
                <w:sz w:val="18"/>
                <w:szCs w:val="18"/>
              </w:rPr>
            </w:pPr>
            <w:r w:rsidRPr="00A44829">
              <w:rPr>
                <w:rFonts w:cs="Arial"/>
                <w:sz w:val="18"/>
                <w:szCs w:val="18"/>
              </w:rPr>
              <w:t>6.49</w:t>
            </w:r>
          </w:p>
        </w:tc>
      </w:tr>
      <w:tr w:rsidR="00953130" w:rsidRPr="00A44829" w14:paraId="365AEEFF" w14:textId="77777777" w:rsidTr="00CA09E3">
        <w:tc>
          <w:tcPr>
            <w:tcW w:w="2268" w:type="dxa"/>
            <w:tcBorders>
              <w:right w:val="single" w:sz="18" w:space="0" w:color="5F497A" w:themeColor="accent4" w:themeShade="BF"/>
            </w:tcBorders>
            <w:vAlign w:val="center"/>
          </w:tcPr>
          <w:p w14:paraId="4F8DEC98" w14:textId="77777777" w:rsidR="00953130" w:rsidRPr="002A2397" w:rsidRDefault="00953130" w:rsidP="001D41EA">
            <w:pPr>
              <w:spacing w:before="40" w:after="40"/>
              <w:rPr>
                <w:rFonts w:cs="Arial"/>
                <w:sz w:val="16"/>
                <w:szCs w:val="16"/>
              </w:rPr>
            </w:pPr>
            <w:r w:rsidRPr="002A2397">
              <w:rPr>
                <w:rFonts w:cs="Arial"/>
                <w:b/>
                <w:sz w:val="18"/>
                <w:szCs w:val="18"/>
              </w:rPr>
              <w:t>Waste Management</w:t>
            </w:r>
          </w:p>
          <w:p w14:paraId="12BA69E0" w14:textId="5E5AFE0B" w:rsidR="00953130" w:rsidRPr="002A2397" w:rsidRDefault="00953130" w:rsidP="001D41EA">
            <w:pPr>
              <w:spacing w:before="40" w:after="40"/>
              <w:rPr>
                <w:rFonts w:cs="Arial"/>
                <w:sz w:val="16"/>
                <w:szCs w:val="16"/>
              </w:rPr>
            </w:pPr>
            <w:r w:rsidRPr="002A2397">
              <w:rPr>
                <w:rFonts w:cs="Arial"/>
                <w:sz w:val="16"/>
                <w:szCs w:val="16"/>
              </w:rPr>
              <w:t xml:space="preserve">No. of Dwellings </w:t>
            </w:r>
            <w:r w:rsidRPr="002A2397">
              <w:rPr>
                <w:rFonts w:cs="Arial"/>
                <w:sz w:val="16"/>
                <w:szCs w:val="16"/>
              </w:rPr>
              <w:br/>
            </w:r>
          </w:p>
        </w:tc>
        <w:tc>
          <w:tcPr>
            <w:tcW w:w="1247" w:type="dxa"/>
            <w:tcBorders>
              <w:left w:val="single" w:sz="18" w:space="0" w:color="5F497A" w:themeColor="accent4" w:themeShade="BF"/>
            </w:tcBorders>
            <w:shd w:val="clear" w:color="auto" w:fill="auto"/>
            <w:vAlign w:val="center"/>
          </w:tcPr>
          <w:p w14:paraId="147C6402" w14:textId="6CB1C414" w:rsidR="00953130" w:rsidRPr="00A44829" w:rsidRDefault="00953130" w:rsidP="001D41EA">
            <w:pPr>
              <w:spacing w:before="40" w:after="40"/>
              <w:jc w:val="right"/>
              <w:rPr>
                <w:rFonts w:cs="Arial"/>
                <w:sz w:val="18"/>
                <w:szCs w:val="18"/>
              </w:rPr>
            </w:pPr>
            <w:r w:rsidRPr="00A44829">
              <w:rPr>
                <w:rFonts w:cs="Arial"/>
                <w:sz w:val="18"/>
                <w:szCs w:val="18"/>
              </w:rPr>
              <w:t>2,632,586</w:t>
            </w:r>
          </w:p>
        </w:tc>
        <w:tc>
          <w:tcPr>
            <w:tcW w:w="1474" w:type="dxa"/>
            <w:vAlign w:val="center"/>
          </w:tcPr>
          <w:p w14:paraId="03156BF5" w14:textId="7ABC1318" w:rsidR="00953130" w:rsidRPr="00A44829" w:rsidRDefault="00953130" w:rsidP="001D41EA">
            <w:pPr>
              <w:spacing w:before="40" w:after="40"/>
              <w:jc w:val="right"/>
              <w:rPr>
                <w:rFonts w:cs="Arial"/>
                <w:sz w:val="18"/>
                <w:szCs w:val="18"/>
              </w:rPr>
            </w:pPr>
            <w:r w:rsidRPr="00A44829">
              <w:rPr>
                <w:rFonts w:cs="Arial"/>
                <w:sz w:val="18"/>
                <w:szCs w:val="18"/>
              </w:rPr>
              <w:t>932,812,145</w:t>
            </w:r>
          </w:p>
        </w:tc>
        <w:tc>
          <w:tcPr>
            <w:tcW w:w="1247" w:type="dxa"/>
            <w:vAlign w:val="center"/>
          </w:tcPr>
          <w:p w14:paraId="67DB5790" w14:textId="1C358C36" w:rsidR="00953130" w:rsidRPr="00A44829" w:rsidRDefault="00953130" w:rsidP="001D41EA">
            <w:pPr>
              <w:spacing w:before="40" w:after="40"/>
              <w:jc w:val="right"/>
              <w:rPr>
                <w:rFonts w:cs="Arial"/>
                <w:sz w:val="18"/>
                <w:szCs w:val="18"/>
              </w:rPr>
            </w:pPr>
            <w:r w:rsidRPr="00A44829">
              <w:rPr>
                <w:rFonts w:cs="Arial"/>
                <w:sz w:val="18"/>
                <w:szCs w:val="18"/>
              </w:rPr>
              <w:t>354.33</w:t>
            </w:r>
          </w:p>
        </w:tc>
        <w:tc>
          <w:tcPr>
            <w:tcW w:w="170" w:type="dxa"/>
            <w:shd w:val="clear" w:color="auto" w:fill="auto"/>
          </w:tcPr>
          <w:p w14:paraId="64BB2D0B" w14:textId="77777777" w:rsidR="00953130" w:rsidRPr="00A44829" w:rsidRDefault="00953130" w:rsidP="001D41EA">
            <w:pPr>
              <w:spacing w:before="40" w:after="40"/>
              <w:jc w:val="right"/>
              <w:rPr>
                <w:rFonts w:cs="Arial"/>
                <w:sz w:val="18"/>
                <w:szCs w:val="18"/>
              </w:rPr>
            </w:pPr>
          </w:p>
        </w:tc>
        <w:tc>
          <w:tcPr>
            <w:tcW w:w="1361" w:type="dxa"/>
            <w:shd w:val="clear" w:color="auto" w:fill="auto"/>
            <w:vAlign w:val="center"/>
          </w:tcPr>
          <w:p w14:paraId="7BBBE7E4" w14:textId="139A9230" w:rsidR="00953130" w:rsidRPr="00A44829" w:rsidRDefault="00953130" w:rsidP="001D41EA">
            <w:pPr>
              <w:spacing w:before="40" w:after="40"/>
              <w:jc w:val="right"/>
              <w:rPr>
                <w:rFonts w:cs="Arial"/>
                <w:sz w:val="18"/>
                <w:szCs w:val="18"/>
              </w:rPr>
            </w:pPr>
            <w:r w:rsidRPr="00A44829">
              <w:rPr>
                <w:rFonts w:cs="Arial"/>
                <w:sz w:val="18"/>
                <w:szCs w:val="18"/>
              </w:rPr>
              <w:t>2,124,162</w:t>
            </w:r>
          </w:p>
        </w:tc>
        <w:tc>
          <w:tcPr>
            <w:tcW w:w="1423" w:type="dxa"/>
            <w:gridSpan w:val="2"/>
            <w:shd w:val="clear" w:color="auto" w:fill="auto"/>
            <w:vAlign w:val="center"/>
          </w:tcPr>
          <w:p w14:paraId="72BC216B" w14:textId="2BE708EA" w:rsidR="00953130" w:rsidRPr="00A44829" w:rsidRDefault="00953130" w:rsidP="001D41EA">
            <w:pPr>
              <w:spacing w:before="40" w:after="40"/>
              <w:jc w:val="right"/>
              <w:rPr>
                <w:rFonts w:cs="Arial"/>
                <w:sz w:val="18"/>
                <w:szCs w:val="18"/>
              </w:rPr>
            </w:pPr>
            <w:r w:rsidRPr="00A44829">
              <w:rPr>
                <w:rFonts w:cs="Arial"/>
                <w:sz w:val="18"/>
                <w:szCs w:val="18"/>
              </w:rPr>
              <w:t>0.81</w:t>
            </w:r>
          </w:p>
        </w:tc>
      </w:tr>
      <w:tr w:rsidR="00953130" w:rsidRPr="00A44829" w14:paraId="0C8DBA3C" w14:textId="77777777" w:rsidTr="00CA09E3">
        <w:tc>
          <w:tcPr>
            <w:tcW w:w="2268" w:type="dxa"/>
            <w:tcBorders>
              <w:right w:val="single" w:sz="18" w:space="0" w:color="5F497A" w:themeColor="accent4" w:themeShade="BF"/>
            </w:tcBorders>
            <w:vAlign w:val="center"/>
          </w:tcPr>
          <w:p w14:paraId="598F807B" w14:textId="77777777" w:rsidR="00953130" w:rsidRPr="002A2397" w:rsidRDefault="00953130" w:rsidP="001D41EA">
            <w:pPr>
              <w:spacing w:before="40" w:after="40"/>
              <w:rPr>
                <w:rFonts w:cs="Arial"/>
                <w:sz w:val="16"/>
                <w:szCs w:val="16"/>
              </w:rPr>
            </w:pPr>
            <w:r w:rsidRPr="002A2397">
              <w:rPr>
                <w:rFonts w:cs="Arial"/>
                <w:b/>
                <w:sz w:val="18"/>
                <w:szCs w:val="18"/>
              </w:rPr>
              <w:t>Traffic &amp; Street Management</w:t>
            </w:r>
          </w:p>
          <w:p w14:paraId="7140D256" w14:textId="5C472E44" w:rsidR="00953130" w:rsidRPr="002A2397" w:rsidRDefault="00953130" w:rsidP="001D41EA">
            <w:pPr>
              <w:spacing w:before="40" w:after="40"/>
              <w:rPr>
                <w:rFonts w:cs="Arial"/>
                <w:sz w:val="16"/>
                <w:szCs w:val="16"/>
              </w:rPr>
            </w:pPr>
            <w:r w:rsidRPr="002A2397">
              <w:rPr>
                <w:rFonts w:cs="Arial"/>
                <w:sz w:val="16"/>
                <w:szCs w:val="16"/>
              </w:rPr>
              <w:t xml:space="preserve">Modified Population* </w:t>
            </w:r>
            <w:r w:rsidRPr="002A2397">
              <w:rPr>
                <w:rFonts w:cs="Arial"/>
                <w:sz w:val="16"/>
                <w:szCs w:val="16"/>
              </w:rPr>
              <w:br/>
            </w:r>
          </w:p>
        </w:tc>
        <w:tc>
          <w:tcPr>
            <w:tcW w:w="1247" w:type="dxa"/>
            <w:tcBorders>
              <w:left w:val="single" w:sz="18" w:space="0" w:color="5F497A" w:themeColor="accent4" w:themeShade="BF"/>
            </w:tcBorders>
            <w:shd w:val="clear" w:color="auto" w:fill="auto"/>
            <w:vAlign w:val="center"/>
          </w:tcPr>
          <w:p w14:paraId="5ED21D69" w14:textId="4D50BD45" w:rsidR="00953130" w:rsidRPr="00A44829" w:rsidRDefault="00953130" w:rsidP="001D41EA">
            <w:pPr>
              <w:spacing w:before="40" w:after="40"/>
              <w:jc w:val="right"/>
              <w:rPr>
                <w:rFonts w:cs="Arial"/>
                <w:sz w:val="18"/>
                <w:szCs w:val="18"/>
              </w:rPr>
            </w:pPr>
            <w:r w:rsidRPr="00A44829">
              <w:rPr>
                <w:rFonts w:cs="Arial"/>
                <w:sz w:val="18"/>
                <w:szCs w:val="18"/>
              </w:rPr>
              <w:t>6,536,705</w:t>
            </w:r>
          </w:p>
        </w:tc>
        <w:tc>
          <w:tcPr>
            <w:tcW w:w="1474" w:type="dxa"/>
            <w:vAlign w:val="center"/>
          </w:tcPr>
          <w:p w14:paraId="3DBF1BD6" w14:textId="2D79EF1D" w:rsidR="00953130" w:rsidRPr="00A44829" w:rsidRDefault="00953130" w:rsidP="001D41EA">
            <w:pPr>
              <w:spacing w:before="40" w:after="40"/>
              <w:jc w:val="right"/>
              <w:rPr>
                <w:rFonts w:cs="Arial"/>
                <w:sz w:val="18"/>
                <w:szCs w:val="18"/>
              </w:rPr>
            </w:pPr>
            <w:r w:rsidRPr="00A44829">
              <w:rPr>
                <w:rFonts w:cs="Arial"/>
                <w:sz w:val="18"/>
                <w:szCs w:val="18"/>
              </w:rPr>
              <w:t>876,158,269</w:t>
            </w:r>
          </w:p>
        </w:tc>
        <w:tc>
          <w:tcPr>
            <w:tcW w:w="1247" w:type="dxa"/>
            <w:vAlign w:val="center"/>
          </w:tcPr>
          <w:p w14:paraId="679BC0A6" w14:textId="39D6E65B" w:rsidR="00953130" w:rsidRPr="00A44829" w:rsidRDefault="00953130" w:rsidP="001D41EA">
            <w:pPr>
              <w:spacing w:before="40" w:after="40"/>
              <w:jc w:val="right"/>
              <w:rPr>
                <w:rFonts w:cs="Arial"/>
                <w:sz w:val="18"/>
                <w:szCs w:val="18"/>
              </w:rPr>
            </w:pPr>
            <w:r w:rsidRPr="00A44829">
              <w:rPr>
                <w:rFonts w:cs="Arial"/>
                <w:sz w:val="18"/>
                <w:szCs w:val="18"/>
              </w:rPr>
              <w:t>134.04</w:t>
            </w:r>
          </w:p>
        </w:tc>
        <w:tc>
          <w:tcPr>
            <w:tcW w:w="170" w:type="dxa"/>
            <w:shd w:val="clear" w:color="auto" w:fill="auto"/>
          </w:tcPr>
          <w:p w14:paraId="5D3A8D53" w14:textId="77777777" w:rsidR="00953130" w:rsidRPr="00A44829" w:rsidRDefault="00953130" w:rsidP="001D41EA">
            <w:pPr>
              <w:spacing w:before="40" w:after="40"/>
              <w:jc w:val="right"/>
              <w:rPr>
                <w:rFonts w:cs="Arial"/>
                <w:sz w:val="18"/>
                <w:szCs w:val="18"/>
              </w:rPr>
            </w:pPr>
          </w:p>
        </w:tc>
        <w:tc>
          <w:tcPr>
            <w:tcW w:w="1361" w:type="dxa"/>
            <w:shd w:val="clear" w:color="auto" w:fill="auto"/>
            <w:vAlign w:val="center"/>
          </w:tcPr>
          <w:p w14:paraId="2A4C8E02" w14:textId="594DCBCD" w:rsidR="00953130" w:rsidRPr="00A44829" w:rsidRDefault="00953130" w:rsidP="001D41EA">
            <w:pPr>
              <w:spacing w:before="40" w:after="40"/>
              <w:jc w:val="right"/>
              <w:rPr>
                <w:rFonts w:cs="Arial"/>
                <w:sz w:val="18"/>
                <w:szCs w:val="18"/>
              </w:rPr>
            </w:pPr>
            <w:r w:rsidRPr="00A44829">
              <w:rPr>
                <w:rFonts w:cs="Arial"/>
                <w:sz w:val="18"/>
                <w:szCs w:val="18"/>
              </w:rPr>
              <w:t>18,301,399</w:t>
            </w:r>
          </w:p>
        </w:tc>
        <w:tc>
          <w:tcPr>
            <w:tcW w:w="1423" w:type="dxa"/>
            <w:gridSpan w:val="2"/>
            <w:shd w:val="clear" w:color="auto" w:fill="auto"/>
            <w:vAlign w:val="center"/>
          </w:tcPr>
          <w:p w14:paraId="55F0A8EF" w14:textId="18906CAA" w:rsidR="00953130" w:rsidRPr="00A44829" w:rsidRDefault="00953130" w:rsidP="001D41EA">
            <w:pPr>
              <w:spacing w:before="40" w:after="40"/>
              <w:jc w:val="right"/>
              <w:rPr>
                <w:rFonts w:cs="Arial"/>
                <w:sz w:val="18"/>
                <w:szCs w:val="18"/>
              </w:rPr>
            </w:pPr>
            <w:r w:rsidRPr="00A44829">
              <w:rPr>
                <w:rFonts w:cs="Arial"/>
                <w:sz w:val="18"/>
                <w:szCs w:val="18"/>
              </w:rPr>
              <w:t>2.80</w:t>
            </w:r>
          </w:p>
        </w:tc>
      </w:tr>
      <w:tr w:rsidR="00953130" w:rsidRPr="00A44829" w14:paraId="664F709B" w14:textId="77777777" w:rsidTr="00CA09E3">
        <w:tc>
          <w:tcPr>
            <w:tcW w:w="2268" w:type="dxa"/>
            <w:tcBorders>
              <w:right w:val="single" w:sz="18" w:space="0" w:color="5F497A" w:themeColor="accent4" w:themeShade="BF"/>
            </w:tcBorders>
            <w:vAlign w:val="center"/>
          </w:tcPr>
          <w:p w14:paraId="342E485E" w14:textId="77777777" w:rsidR="00953130" w:rsidRPr="002A2397" w:rsidRDefault="00953130" w:rsidP="001D41EA">
            <w:pPr>
              <w:spacing w:before="40" w:after="40"/>
              <w:rPr>
                <w:rFonts w:cs="Arial"/>
                <w:sz w:val="16"/>
                <w:szCs w:val="16"/>
              </w:rPr>
            </w:pPr>
            <w:r w:rsidRPr="002A2397">
              <w:rPr>
                <w:rFonts w:cs="Arial"/>
                <w:b/>
                <w:sz w:val="18"/>
                <w:szCs w:val="18"/>
              </w:rPr>
              <w:t>Environment</w:t>
            </w:r>
          </w:p>
          <w:p w14:paraId="6E9B1D4E" w14:textId="664807CD" w:rsidR="00953130" w:rsidRPr="002A2397" w:rsidRDefault="00953130" w:rsidP="001D41EA">
            <w:pPr>
              <w:spacing w:before="40" w:after="40"/>
              <w:rPr>
                <w:rFonts w:cs="Arial"/>
                <w:sz w:val="16"/>
                <w:szCs w:val="16"/>
              </w:rPr>
            </w:pPr>
            <w:r w:rsidRPr="002A2397">
              <w:rPr>
                <w:rFonts w:cs="Arial"/>
                <w:sz w:val="16"/>
                <w:szCs w:val="16"/>
              </w:rPr>
              <w:t xml:space="preserve">Modified Population* </w:t>
            </w:r>
            <w:r w:rsidRPr="002A2397">
              <w:rPr>
                <w:rFonts w:cs="Arial"/>
                <w:sz w:val="16"/>
                <w:szCs w:val="16"/>
              </w:rPr>
              <w:br/>
              <w:t xml:space="preserve">(min 15,000) </w:t>
            </w:r>
            <w:r w:rsidRPr="002A2397">
              <w:rPr>
                <w:rFonts w:cs="Arial"/>
                <w:sz w:val="16"/>
                <w:szCs w:val="16"/>
              </w:rPr>
              <w:br/>
            </w:r>
          </w:p>
        </w:tc>
        <w:tc>
          <w:tcPr>
            <w:tcW w:w="1247" w:type="dxa"/>
            <w:tcBorders>
              <w:left w:val="single" w:sz="18" w:space="0" w:color="5F497A" w:themeColor="accent4" w:themeShade="BF"/>
            </w:tcBorders>
            <w:shd w:val="clear" w:color="auto" w:fill="auto"/>
            <w:vAlign w:val="center"/>
          </w:tcPr>
          <w:p w14:paraId="4FC02D66" w14:textId="044FFB17" w:rsidR="00953130" w:rsidRPr="00A44829" w:rsidRDefault="00953130" w:rsidP="001D41EA">
            <w:pPr>
              <w:spacing w:before="40" w:after="40"/>
              <w:jc w:val="right"/>
              <w:rPr>
                <w:rFonts w:cs="Arial"/>
                <w:sz w:val="18"/>
                <w:szCs w:val="18"/>
              </w:rPr>
            </w:pPr>
            <w:r w:rsidRPr="00A44829">
              <w:rPr>
                <w:rFonts w:cs="Arial"/>
                <w:sz w:val="18"/>
                <w:szCs w:val="18"/>
              </w:rPr>
              <w:t>6,627,829</w:t>
            </w:r>
          </w:p>
        </w:tc>
        <w:tc>
          <w:tcPr>
            <w:tcW w:w="1474" w:type="dxa"/>
            <w:vAlign w:val="center"/>
          </w:tcPr>
          <w:p w14:paraId="1A9A89D5" w14:textId="0B606685" w:rsidR="00953130" w:rsidRPr="00A44829" w:rsidRDefault="00953130" w:rsidP="001D41EA">
            <w:pPr>
              <w:spacing w:before="40" w:after="40"/>
              <w:jc w:val="right"/>
              <w:rPr>
                <w:rFonts w:cs="Arial"/>
                <w:sz w:val="18"/>
                <w:szCs w:val="18"/>
              </w:rPr>
            </w:pPr>
            <w:r w:rsidRPr="00A44829">
              <w:rPr>
                <w:rFonts w:cs="Arial"/>
                <w:sz w:val="18"/>
                <w:szCs w:val="18"/>
              </w:rPr>
              <w:t>447,843,932</w:t>
            </w:r>
          </w:p>
        </w:tc>
        <w:tc>
          <w:tcPr>
            <w:tcW w:w="1247" w:type="dxa"/>
            <w:vAlign w:val="center"/>
          </w:tcPr>
          <w:p w14:paraId="35A679CF" w14:textId="0C49A289" w:rsidR="00953130" w:rsidRPr="00A44829" w:rsidRDefault="00953130" w:rsidP="001D41EA">
            <w:pPr>
              <w:spacing w:before="40" w:after="40"/>
              <w:jc w:val="right"/>
              <w:rPr>
                <w:rFonts w:cs="Arial"/>
                <w:sz w:val="18"/>
                <w:szCs w:val="18"/>
              </w:rPr>
            </w:pPr>
            <w:r w:rsidRPr="00A44829">
              <w:rPr>
                <w:rFonts w:cs="Arial"/>
                <w:sz w:val="18"/>
                <w:szCs w:val="18"/>
              </w:rPr>
              <w:t>67.57</w:t>
            </w:r>
          </w:p>
        </w:tc>
        <w:tc>
          <w:tcPr>
            <w:tcW w:w="170" w:type="dxa"/>
            <w:shd w:val="clear" w:color="auto" w:fill="auto"/>
          </w:tcPr>
          <w:p w14:paraId="4E9BD456" w14:textId="77777777" w:rsidR="00953130" w:rsidRPr="00A44829" w:rsidRDefault="00953130" w:rsidP="001D41EA">
            <w:pPr>
              <w:spacing w:before="40" w:after="40"/>
              <w:jc w:val="right"/>
              <w:rPr>
                <w:rFonts w:cs="Arial"/>
                <w:sz w:val="18"/>
                <w:szCs w:val="18"/>
              </w:rPr>
            </w:pPr>
          </w:p>
        </w:tc>
        <w:tc>
          <w:tcPr>
            <w:tcW w:w="1361" w:type="dxa"/>
            <w:shd w:val="clear" w:color="auto" w:fill="auto"/>
            <w:vAlign w:val="center"/>
          </w:tcPr>
          <w:p w14:paraId="4B2DD4C9" w14:textId="77A56C87" w:rsidR="00953130" w:rsidRPr="00A44829" w:rsidRDefault="00953130" w:rsidP="001D41EA">
            <w:pPr>
              <w:spacing w:before="40" w:after="40"/>
              <w:jc w:val="right"/>
              <w:rPr>
                <w:rFonts w:cs="Arial"/>
                <w:sz w:val="18"/>
                <w:szCs w:val="18"/>
              </w:rPr>
            </w:pPr>
            <w:r w:rsidRPr="00A44829">
              <w:rPr>
                <w:rFonts w:cs="Arial"/>
                <w:sz w:val="18"/>
                <w:szCs w:val="18"/>
              </w:rPr>
              <w:t>5,174,780</w:t>
            </w:r>
          </w:p>
        </w:tc>
        <w:tc>
          <w:tcPr>
            <w:tcW w:w="1423" w:type="dxa"/>
            <w:gridSpan w:val="2"/>
            <w:shd w:val="clear" w:color="auto" w:fill="auto"/>
            <w:vAlign w:val="center"/>
          </w:tcPr>
          <w:p w14:paraId="3849124A" w14:textId="20416EC8" w:rsidR="00953130" w:rsidRPr="00A44829" w:rsidRDefault="00953130" w:rsidP="001D41EA">
            <w:pPr>
              <w:spacing w:before="40" w:after="40"/>
              <w:jc w:val="right"/>
              <w:rPr>
                <w:rFonts w:cs="Arial"/>
                <w:sz w:val="18"/>
                <w:szCs w:val="18"/>
              </w:rPr>
            </w:pPr>
            <w:r w:rsidRPr="00A44829">
              <w:rPr>
                <w:rFonts w:cs="Arial"/>
                <w:sz w:val="18"/>
                <w:szCs w:val="18"/>
              </w:rPr>
              <w:t>0.78</w:t>
            </w:r>
          </w:p>
        </w:tc>
      </w:tr>
      <w:tr w:rsidR="00953130" w:rsidRPr="00A44829" w14:paraId="61197313" w14:textId="77777777" w:rsidTr="00CA09E3">
        <w:tc>
          <w:tcPr>
            <w:tcW w:w="2268" w:type="dxa"/>
            <w:tcBorders>
              <w:right w:val="single" w:sz="18" w:space="0" w:color="5F497A" w:themeColor="accent4" w:themeShade="BF"/>
            </w:tcBorders>
            <w:vAlign w:val="center"/>
          </w:tcPr>
          <w:p w14:paraId="109FCE57" w14:textId="77777777" w:rsidR="00953130" w:rsidRPr="002A2397" w:rsidRDefault="00953130" w:rsidP="001D41EA">
            <w:pPr>
              <w:spacing w:before="40" w:after="40"/>
              <w:rPr>
                <w:rFonts w:cs="Arial"/>
                <w:sz w:val="16"/>
                <w:szCs w:val="16"/>
              </w:rPr>
            </w:pPr>
            <w:r w:rsidRPr="002A2397">
              <w:rPr>
                <w:rFonts w:cs="Arial"/>
                <w:b/>
                <w:sz w:val="18"/>
                <w:szCs w:val="18"/>
              </w:rPr>
              <w:t xml:space="preserve">Business &amp; </w:t>
            </w:r>
            <w:r w:rsidRPr="002A2397">
              <w:rPr>
                <w:rFonts w:cs="Arial"/>
                <w:b/>
                <w:sz w:val="18"/>
                <w:szCs w:val="18"/>
              </w:rPr>
              <w:br/>
              <w:t>Economic Services</w:t>
            </w:r>
          </w:p>
          <w:p w14:paraId="5DBBA5E3" w14:textId="4F83C4F6" w:rsidR="00953130" w:rsidRPr="002A2397" w:rsidRDefault="00953130" w:rsidP="001D41EA">
            <w:pPr>
              <w:spacing w:before="40" w:after="40"/>
              <w:rPr>
                <w:rFonts w:cs="Arial"/>
                <w:sz w:val="16"/>
                <w:szCs w:val="16"/>
              </w:rPr>
            </w:pPr>
            <w:r w:rsidRPr="002A2397">
              <w:rPr>
                <w:rFonts w:cs="Arial"/>
                <w:sz w:val="16"/>
                <w:szCs w:val="16"/>
              </w:rPr>
              <w:t xml:space="preserve">Modified Population* </w:t>
            </w:r>
            <w:r w:rsidRPr="002A2397">
              <w:rPr>
                <w:rFonts w:cs="Arial"/>
                <w:sz w:val="16"/>
                <w:szCs w:val="16"/>
              </w:rPr>
              <w:br/>
              <w:t xml:space="preserve">(min 15,000) </w:t>
            </w:r>
            <w:r w:rsidRPr="002A2397">
              <w:rPr>
                <w:rFonts w:cs="Arial"/>
                <w:sz w:val="16"/>
                <w:szCs w:val="16"/>
              </w:rPr>
              <w:br/>
            </w:r>
          </w:p>
        </w:tc>
        <w:tc>
          <w:tcPr>
            <w:tcW w:w="1247" w:type="dxa"/>
            <w:tcBorders>
              <w:left w:val="single" w:sz="18" w:space="0" w:color="5F497A" w:themeColor="accent4" w:themeShade="BF"/>
            </w:tcBorders>
            <w:shd w:val="clear" w:color="auto" w:fill="auto"/>
            <w:vAlign w:val="center"/>
          </w:tcPr>
          <w:p w14:paraId="02D7DDD8" w14:textId="7FED074E" w:rsidR="00953130" w:rsidRPr="00A44829" w:rsidRDefault="00953130" w:rsidP="001D41EA">
            <w:pPr>
              <w:spacing w:before="40" w:after="40"/>
              <w:jc w:val="right"/>
              <w:rPr>
                <w:rFonts w:cs="Arial"/>
                <w:sz w:val="18"/>
                <w:szCs w:val="18"/>
              </w:rPr>
            </w:pPr>
            <w:r w:rsidRPr="00A44829">
              <w:rPr>
                <w:rFonts w:cs="Arial"/>
                <w:sz w:val="18"/>
                <w:szCs w:val="18"/>
              </w:rPr>
              <w:t>6,627,829</w:t>
            </w:r>
          </w:p>
        </w:tc>
        <w:tc>
          <w:tcPr>
            <w:tcW w:w="1474" w:type="dxa"/>
            <w:vAlign w:val="center"/>
          </w:tcPr>
          <w:p w14:paraId="2E665BEC" w14:textId="433E3B9D" w:rsidR="00953130" w:rsidRPr="00A44829" w:rsidRDefault="00953130" w:rsidP="001D41EA">
            <w:pPr>
              <w:spacing w:before="40" w:after="40"/>
              <w:jc w:val="right"/>
              <w:rPr>
                <w:rFonts w:cs="Arial"/>
                <w:sz w:val="18"/>
                <w:szCs w:val="18"/>
              </w:rPr>
            </w:pPr>
            <w:r w:rsidRPr="00A44829">
              <w:rPr>
                <w:rFonts w:cs="Arial"/>
                <w:sz w:val="18"/>
                <w:szCs w:val="18"/>
              </w:rPr>
              <w:t>1,098,704,115</w:t>
            </w:r>
          </w:p>
        </w:tc>
        <w:tc>
          <w:tcPr>
            <w:tcW w:w="1247" w:type="dxa"/>
            <w:vAlign w:val="center"/>
          </w:tcPr>
          <w:p w14:paraId="27E125E9" w14:textId="4581CEAD" w:rsidR="00953130" w:rsidRPr="00A44829" w:rsidRDefault="00953130" w:rsidP="001D41EA">
            <w:pPr>
              <w:spacing w:before="40" w:after="40"/>
              <w:jc w:val="right"/>
              <w:rPr>
                <w:rFonts w:cs="Arial"/>
                <w:sz w:val="18"/>
                <w:szCs w:val="18"/>
              </w:rPr>
            </w:pPr>
            <w:r w:rsidRPr="00A44829">
              <w:rPr>
                <w:rFonts w:cs="Arial"/>
                <w:sz w:val="18"/>
                <w:szCs w:val="18"/>
              </w:rPr>
              <w:t>165.77</w:t>
            </w:r>
          </w:p>
        </w:tc>
        <w:tc>
          <w:tcPr>
            <w:tcW w:w="170" w:type="dxa"/>
            <w:shd w:val="clear" w:color="auto" w:fill="auto"/>
          </w:tcPr>
          <w:p w14:paraId="03781678" w14:textId="77777777" w:rsidR="00953130" w:rsidRPr="00A44829" w:rsidRDefault="00953130" w:rsidP="001D41EA">
            <w:pPr>
              <w:spacing w:before="40" w:after="40"/>
              <w:jc w:val="right"/>
              <w:rPr>
                <w:rFonts w:cs="Arial"/>
                <w:sz w:val="18"/>
                <w:szCs w:val="18"/>
              </w:rPr>
            </w:pPr>
          </w:p>
        </w:tc>
        <w:tc>
          <w:tcPr>
            <w:tcW w:w="1361" w:type="dxa"/>
            <w:shd w:val="clear" w:color="auto" w:fill="auto"/>
            <w:vAlign w:val="center"/>
          </w:tcPr>
          <w:p w14:paraId="31029D43" w14:textId="0943AC53" w:rsidR="00953130" w:rsidRPr="00A44829" w:rsidRDefault="00953130" w:rsidP="001D41EA">
            <w:pPr>
              <w:spacing w:before="40" w:after="40"/>
              <w:jc w:val="right"/>
              <w:rPr>
                <w:rFonts w:cs="Arial"/>
                <w:sz w:val="18"/>
                <w:szCs w:val="18"/>
              </w:rPr>
            </w:pPr>
            <w:r w:rsidRPr="00A44829">
              <w:rPr>
                <w:rFonts w:cs="Arial"/>
                <w:sz w:val="18"/>
                <w:szCs w:val="18"/>
              </w:rPr>
              <w:t>4,623,752</w:t>
            </w:r>
          </w:p>
        </w:tc>
        <w:tc>
          <w:tcPr>
            <w:tcW w:w="1423" w:type="dxa"/>
            <w:gridSpan w:val="2"/>
            <w:shd w:val="clear" w:color="auto" w:fill="auto"/>
            <w:vAlign w:val="center"/>
          </w:tcPr>
          <w:p w14:paraId="4C57D880" w14:textId="0436B270" w:rsidR="00953130" w:rsidRPr="00A44829" w:rsidRDefault="00953130" w:rsidP="001D41EA">
            <w:pPr>
              <w:spacing w:before="40" w:after="40"/>
              <w:jc w:val="right"/>
              <w:rPr>
                <w:rFonts w:cs="Arial"/>
                <w:sz w:val="18"/>
                <w:szCs w:val="18"/>
              </w:rPr>
            </w:pPr>
            <w:r w:rsidRPr="00A44829">
              <w:rPr>
                <w:rFonts w:cs="Arial"/>
                <w:sz w:val="18"/>
                <w:szCs w:val="18"/>
              </w:rPr>
              <w:t>0.70</w:t>
            </w:r>
          </w:p>
        </w:tc>
      </w:tr>
      <w:tr w:rsidR="00953130" w:rsidRPr="00A44829" w14:paraId="18169737" w14:textId="77777777" w:rsidTr="00CA09E3">
        <w:tc>
          <w:tcPr>
            <w:tcW w:w="2268" w:type="dxa"/>
            <w:tcBorders>
              <w:right w:val="single" w:sz="18" w:space="0" w:color="5F497A" w:themeColor="accent4" w:themeShade="BF"/>
            </w:tcBorders>
            <w:shd w:val="clear" w:color="auto" w:fill="auto"/>
            <w:vAlign w:val="center"/>
          </w:tcPr>
          <w:p w14:paraId="1BD4558A" w14:textId="34D54382" w:rsidR="00953130" w:rsidRPr="002A2397" w:rsidRDefault="00953130" w:rsidP="001D41EA">
            <w:pPr>
              <w:spacing w:before="40" w:after="40"/>
              <w:rPr>
                <w:rFonts w:cs="Arial"/>
                <w:sz w:val="16"/>
                <w:szCs w:val="16"/>
              </w:rPr>
            </w:pPr>
            <w:r w:rsidRPr="002A2397">
              <w:rPr>
                <w:rFonts w:cs="Arial"/>
                <w:b/>
                <w:sz w:val="18"/>
                <w:szCs w:val="18"/>
              </w:rPr>
              <w:t>Local Roads &amp; Bridges</w:t>
            </w:r>
          </w:p>
        </w:tc>
        <w:tc>
          <w:tcPr>
            <w:tcW w:w="1247" w:type="dxa"/>
            <w:tcBorders>
              <w:left w:val="single" w:sz="18" w:space="0" w:color="5F497A" w:themeColor="accent4" w:themeShade="BF"/>
            </w:tcBorders>
            <w:shd w:val="clear" w:color="auto" w:fill="auto"/>
            <w:vAlign w:val="center"/>
          </w:tcPr>
          <w:p w14:paraId="3BE24169" w14:textId="1FE2981E" w:rsidR="00953130" w:rsidRPr="00A44829" w:rsidRDefault="00953130" w:rsidP="001D41EA">
            <w:pPr>
              <w:spacing w:before="40" w:after="40"/>
              <w:jc w:val="right"/>
              <w:rPr>
                <w:rFonts w:cs="Arial"/>
                <w:sz w:val="18"/>
                <w:szCs w:val="18"/>
              </w:rPr>
            </w:pPr>
            <w:r w:rsidRPr="00A44829">
              <w:rPr>
                <w:rFonts w:cs="Arial"/>
                <w:sz w:val="18"/>
                <w:szCs w:val="18"/>
              </w:rPr>
              <w:t> </w:t>
            </w:r>
          </w:p>
        </w:tc>
        <w:tc>
          <w:tcPr>
            <w:tcW w:w="1474" w:type="dxa"/>
            <w:vAlign w:val="center"/>
          </w:tcPr>
          <w:p w14:paraId="71F42E69" w14:textId="52F2857F" w:rsidR="00953130" w:rsidRPr="00A44829" w:rsidRDefault="00953130" w:rsidP="001D41EA">
            <w:pPr>
              <w:spacing w:before="40" w:after="40"/>
              <w:jc w:val="right"/>
              <w:rPr>
                <w:rFonts w:cs="Arial"/>
                <w:sz w:val="18"/>
                <w:szCs w:val="18"/>
              </w:rPr>
            </w:pPr>
            <w:r w:rsidRPr="00A44829">
              <w:rPr>
                <w:rFonts w:cs="Arial"/>
                <w:sz w:val="18"/>
                <w:szCs w:val="18"/>
              </w:rPr>
              <w:t>1,293,169,770</w:t>
            </w:r>
          </w:p>
        </w:tc>
        <w:tc>
          <w:tcPr>
            <w:tcW w:w="1247" w:type="dxa"/>
            <w:vAlign w:val="center"/>
          </w:tcPr>
          <w:p w14:paraId="3FA5671C" w14:textId="5FA160BA" w:rsidR="00953130" w:rsidRPr="00A44829" w:rsidRDefault="00953130" w:rsidP="001D41EA">
            <w:pPr>
              <w:spacing w:before="40" w:after="40"/>
              <w:jc w:val="right"/>
              <w:rPr>
                <w:rFonts w:cs="Arial"/>
                <w:sz w:val="18"/>
                <w:szCs w:val="18"/>
              </w:rPr>
            </w:pPr>
          </w:p>
        </w:tc>
        <w:tc>
          <w:tcPr>
            <w:tcW w:w="170" w:type="dxa"/>
            <w:shd w:val="clear" w:color="auto" w:fill="auto"/>
          </w:tcPr>
          <w:p w14:paraId="4771657A" w14:textId="77777777" w:rsidR="00953130" w:rsidRPr="00A44829" w:rsidRDefault="00953130" w:rsidP="001D41EA">
            <w:pPr>
              <w:spacing w:before="40" w:after="40"/>
              <w:jc w:val="right"/>
              <w:rPr>
                <w:rFonts w:cs="Arial"/>
                <w:sz w:val="18"/>
                <w:szCs w:val="18"/>
              </w:rPr>
            </w:pPr>
          </w:p>
        </w:tc>
        <w:tc>
          <w:tcPr>
            <w:tcW w:w="1361" w:type="dxa"/>
            <w:shd w:val="clear" w:color="auto" w:fill="auto"/>
            <w:vAlign w:val="center"/>
          </w:tcPr>
          <w:p w14:paraId="644EDE06" w14:textId="416834B3" w:rsidR="00953130" w:rsidRPr="00A44829" w:rsidRDefault="00953130" w:rsidP="001D41EA">
            <w:pPr>
              <w:spacing w:before="40" w:after="40"/>
              <w:jc w:val="right"/>
              <w:rPr>
                <w:rFonts w:cs="Arial"/>
                <w:sz w:val="18"/>
                <w:szCs w:val="18"/>
              </w:rPr>
            </w:pPr>
            <w:r w:rsidRPr="00A44829">
              <w:rPr>
                <w:rFonts w:cs="Arial"/>
                <w:sz w:val="18"/>
                <w:szCs w:val="18"/>
              </w:rPr>
              <w:t>150,081,395</w:t>
            </w:r>
          </w:p>
        </w:tc>
        <w:tc>
          <w:tcPr>
            <w:tcW w:w="1423" w:type="dxa"/>
            <w:gridSpan w:val="2"/>
            <w:shd w:val="clear" w:color="auto" w:fill="auto"/>
            <w:vAlign w:val="center"/>
          </w:tcPr>
          <w:p w14:paraId="40A86AD0" w14:textId="55BA91D7" w:rsidR="00953130" w:rsidRPr="00A44829" w:rsidRDefault="00953130" w:rsidP="001D41EA">
            <w:pPr>
              <w:spacing w:before="40" w:after="40"/>
              <w:jc w:val="right"/>
              <w:rPr>
                <w:rFonts w:cs="Arial"/>
                <w:sz w:val="18"/>
                <w:szCs w:val="18"/>
              </w:rPr>
            </w:pPr>
            <w:r w:rsidRPr="00A44829">
              <w:rPr>
                <w:rFonts w:cs="Arial"/>
                <w:sz w:val="18"/>
                <w:szCs w:val="18"/>
              </w:rPr>
              <w:t> </w:t>
            </w:r>
          </w:p>
        </w:tc>
      </w:tr>
      <w:tr w:rsidR="00953130" w:rsidRPr="00A44829" w14:paraId="36D53B8B" w14:textId="77777777" w:rsidTr="00C60457">
        <w:tc>
          <w:tcPr>
            <w:tcW w:w="2268" w:type="dxa"/>
            <w:tcBorders>
              <w:right w:val="single" w:sz="18" w:space="0" w:color="5F497A" w:themeColor="accent4" w:themeShade="BF"/>
            </w:tcBorders>
            <w:vAlign w:val="center"/>
          </w:tcPr>
          <w:p w14:paraId="35B3D0CE" w14:textId="77777777" w:rsidR="00953130" w:rsidRPr="002A2397" w:rsidRDefault="00953130" w:rsidP="001D41EA">
            <w:pPr>
              <w:spacing w:before="40" w:after="40"/>
              <w:rPr>
                <w:rFonts w:cs="Arial"/>
                <w:sz w:val="16"/>
                <w:szCs w:val="16"/>
              </w:rPr>
            </w:pPr>
          </w:p>
        </w:tc>
        <w:tc>
          <w:tcPr>
            <w:tcW w:w="1247" w:type="dxa"/>
            <w:tcBorders>
              <w:left w:val="single" w:sz="18" w:space="0" w:color="5F497A" w:themeColor="accent4" w:themeShade="BF"/>
              <w:bottom w:val="single" w:sz="8" w:space="0" w:color="5F497A" w:themeColor="accent4" w:themeShade="BF"/>
            </w:tcBorders>
            <w:shd w:val="clear" w:color="auto" w:fill="auto"/>
            <w:vAlign w:val="center"/>
          </w:tcPr>
          <w:p w14:paraId="4E5E2EAD" w14:textId="3CF847BB" w:rsidR="00953130" w:rsidRPr="00A44829" w:rsidRDefault="00953130" w:rsidP="001D41EA">
            <w:pPr>
              <w:spacing w:before="40" w:after="40"/>
              <w:jc w:val="right"/>
              <w:rPr>
                <w:rFonts w:cs="Arial"/>
                <w:sz w:val="18"/>
                <w:szCs w:val="18"/>
              </w:rPr>
            </w:pPr>
            <w:r w:rsidRPr="00A44829">
              <w:rPr>
                <w:rFonts w:cs="Arial"/>
                <w:sz w:val="18"/>
                <w:szCs w:val="18"/>
              </w:rPr>
              <w:t> </w:t>
            </w:r>
          </w:p>
        </w:tc>
        <w:tc>
          <w:tcPr>
            <w:tcW w:w="1474" w:type="dxa"/>
            <w:tcBorders>
              <w:bottom w:val="single" w:sz="8" w:space="0" w:color="5F497A" w:themeColor="accent4" w:themeShade="BF"/>
            </w:tcBorders>
            <w:vAlign w:val="center"/>
          </w:tcPr>
          <w:p w14:paraId="0E317366" w14:textId="77777777" w:rsidR="00953130" w:rsidRPr="00A44829" w:rsidRDefault="00953130" w:rsidP="001D41EA">
            <w:pPr>
              <w:spacing w:before="40" w:after="40"/>
              <w:jc w:val="right"/>
              <w:rPr>
                <w:rFonts w:cs="Arial"/>
                <w:sz w:val="18"/>
                <w:szCs w:val="18"/>
              </w:rPr>
            </w:pPr>
          </w:p>
        </w:tc>
        <w:tc>
          <w:tcPr>
            <w:tcW w:w="1247" w:type="dxa"/>
            <w:tcBorders>
              <w:bottom w:val="single" w:sz="8" w:space="0" w:color="5F497A" w:themeColor="accent4" w:themeShade="BF"/>
            </w:tcBorders>
            <w:vAlign w:val="center"/>
          </w:tcPr>
          <w:p w14:paraId="1A24CDA6" w14:textId="77777777" w:rsidR="00953130" w:rsidRPr="00A44829" w:rsidRDefault="00953130" w:rsidP="001D41EA">
            <w:pPr>
              <w:spacing w:before="40" w:after="40"/>
              <w:jc w:val="right"/>
              <w:rPr>
                <w:rFonts w:cs="Arial"/>
                <w:sz w:val="18"/>
                <w:szCs w:val="18"/>
              </w:rPr>
            </w:pPr>
          </w:p>
        </w:tc>
        <w:tc>
          <w:tcPr>
            <w:tcW w:w="170" w:type="dxa"/>
            <w:tcBorders>
              <w:bottom w:val="single" w:sz="8" w:space="0" w:color="5F497A" w:themeColor="accent4" w:themeShade="BF"/>
            </w:tcBorders>
            <w:shd w:val="clear" w:color="auto" w:fill="auto"/>
          </w:tcPr>
          <w:p w14:paraId="10F2189F" w14:textId="77777777" w:rsidR="00953130" w:rsidRPr="00A44829" w:rsidRDefault="00953130" w:rsidP="001D41EA">
            <w:pPr>
              <w:spacing w:before="40" w:after="40"/>
              <w:jc w:val="right"/>
              <w:rPr>
                <w:rFonts w:cs="Arial"/>
                <w:sz w:val="18"/>
                <w:szCs w:val="18"/>
              </w:rPr>
            </w:pPr>
          </w:p>
        </w:tc>
        <w:tc>
          <w:tcPr>
            <w:tcW w:w="1361" w:type="dxa"/>
            <w:tcBorders>
              <w:bottom w:val="single" w:sz="8" w:space="0" w:color="5F497A" w:themeColor="accent4" w:themeShade="BF"/>
            </w:tcBorders>
            <w:shd w:val="clear" w:color="auto" w:fill="auto"/>
            <w:vAlign w:val="center"/>
          </w:tcPr>
          <w:p w14:paraId="32A751E5" w14:textId="7179C4A3" w:rsidR="00953130" w:rsidRPr="00A44829" w:rsidRDefault="00953130" w:rsidP="001D41EA">
            <w:pPr>
              <w:spacing w:before="40" w:after="40"/>
              <w:jc w:val="right"/>
              <w:rPr>
                <w:rFonts w:cs="Arial"/>
                <w:sz w:val="18"/>
                <w:szCs w:val="18"/>
              </w:rPr>
            </w:pPr>
            <w:r w:rsidRPr="00A44829">
              <w:rPr>
                <w:rFonts w:cs="Arial"/>
                <w:sz w:val="18"/>
                <w:szCs w:val="18"/>
              </w:rPr>
              <w:t> </w:t>
            </w:r>
          </w:p>
        </w:tc>
        <w:tc>
          <w:tcPr>
            <w:tcW w:w="1423" w:type="dxa"/>
            <w:gridSpan w:val="2"/>
            <w:tcBorders>
              <w:bottom w:val="single" w:sz="8" w:space="0" w:color="5F497A" w:themeColor="accent4" w:themeShade="BF"/>
            </w:tcBorders>
            <w:shd w:val="clear" w:color="auto" w:fill="auto"/>
            <w:vAlign w:val="center"/>
          </w:tcPr>
          <w:p w14:paraId="57FD98A1" w14:textId="677991C1" w:rsidR="00953130" w:rsidRPr="00A44829" w:rsidRDefault="00953130" w:rsidP="001D41EA">
            <w:pPr>
              <w:spacing w:before="40" w:after="40"/>
              <w:jc w:val="right"/>
              <w:rPr>
                <w:rFonts w:cs="Arial"/>
                <w:sz w:val="18"/>
                <w:szCs w:val="18"/>
              </w:rPr>
            </w:pPr>
            <w:r w:rsidRPr="00A44829">
              <w:rPr>
                <w:rFonts w:cs="Arial"/>
                <w:sz w:val="18"/>
                <w:szCs w:val="18"/>
              </w:rPr>
              <w:t> </w:t>
            </w:r>
          </w:p>
        </w:tc>
      </w:tr>
      <w:tr w:rsidR="00953130" w:rsidRPr="00A44829" w14:paraId="3659DBF5" w14:textId="77777777" w:rsidTr="00C60457">
        <w:tc>
          <w:tcPr>
            <w:tcW w:w="2268" w:type="dxa"/>
            <w:tcBorders>
              <w:right w:val="single" w:sz="18" w:space="0" w:color="5F497A" w:themeColor="accent4" w:themeShade="BF"/>
            </w:tcBorders>
            <w:vAlign w:val="center"/>
          </w:tcPr>
          <w:p w14:paraId="2D5A2248" w14:textId="77777777" w:rsidR="00953130" w:rsidRPr="002A2397" w:rsidRDefault="00953130" w:rsidP="001D41EA">
            <w:pPr>
              <w:autoSpaceDE w:val="0"/>
              <w:autoSpaceDN w:val="0"/>
              <w:adjustRightInd w:val="0"/>
              <w:spacing w:before="40" w:after="40"/>
              <w:rPr>
                <w:rFonts w:cs="Arial"/>
                <w:b/>
                <w:sz w:val="18"/>
                <w:szCs w:val="18"/>
              </w:rPr>
            </w:pPr>
          </w:p>
        </w:tc>
        <w:tc>
          <w:tcPr>
            <w:tcW w:w="1247" w:type="dxa"/>
            <w:tcBorders>
              <w:top w:val="single" w:sz="8" w:space="0" w:color="5F497A" w:themeColor="accent4" w:themeShade="BF"/>
              <w:left w:val="single" w:sz="18" w:space="0" w:color="5F497A" w:themeColor="accent4" w:themeShade="BF"/>
            </w:tcBorders>
            <w:shd w:val="clear" w:color="auto" w:fill="auto"/>
            <w:vAlign w:val="center"/>
          </w:tcPr>
          <w:p w14:paraId="75E1F560" w14:textId="1BE4AEAC" w:rsidR="00953130" w:rsidRPr="00A44829" w:rsidRDefault="00953130" w:rsidP="001D41EA">
            <w:pPr>
              <w:spacing w:before="40" w:after="40"/>
              <w:jc w:val="right"/>
              <w:rPr>
                <w:rFonts w:cs="Arial"/>
                <w:b/>
                <w:sz w:val="18"/>
                <w:szCs w:val="18"/>
              </w:rPr>
            </w:pPr>
            <w:r w:rsidRPr="00A44829">
              <w:rPr>
                <w:rFonts w:cs="Arial"/>
                <w:b/>
                <w:sz w:val="18"/>
                <w:szCs w:val="18"/>
              </w:rPr>
              <w:t>43,819,711</w:t>
            </w:r>
          </w:p>
        </w:tc>
        <w:tc>
          <w:tcPr>
            <w:tcW w:w="1474" w:type="dxa"/>
            <w:tcBorders>
              <w:top w:val="single" w:sz="8" w:space="0" w:color="5F497A" w:themeColor="accent4" w:themeShade="BF"/>
            </w:tcBorders>
            <w:vAlign w:val="center"/>
          </w:tcPr>
          <w:p w14:paraId="788F602E" w14:textId="2F0DB8E1" w:rsidR="00953130" w:rsidRPr="00A44829" w:rsidRDefault="00953130" w:rsidP="001D41EA">
            <w:pPr>
              <w:spacing w:before="40" w:after="40"/>
              <w:jc w:val="right"/>
              <w:rPr>
                <w:rFonts w:cs="Arial"/>
                <w:b/>
                <w:sz w:val="18"/>
                <w:szCs w:val="18"/>
              </w:rPr>
            </w:pPr>
            <w:r w:rsidRPr="00A44829">
              <w:rPr>
                <w:rFonts w:cs="Arial"/>
                <w:b/>
                <w:sz w:val="18"/>
                <w:szCs w:val="18"/>
              </w:rPr>
              <w:t>8,509,891,041</w:t>
            </w:r>
          </w:p>
        </w:tc>
        <w:tc>
          <w:tcPr>
            <w:tcW w:w="1247" w:type="dxa"/>
            <w:tcBorders>
              <w:top w:val="single" w:sz="8" w:space="0" w:color="5F497A" w:themeColor="accent4" w:themeShade="BF"/>
            </w:tcBorders>
            <w:vAlign w:val="center"/>
          </w:tcPr>
          <w:p w14:paraId="2F69ABBD" w14:textId="3C7A52A6" w:rsidR="00953130" w:rsidRPr="00A44829" w:rsidRDefault="00953130" w:rsidP="001D41EA">
            <w:pPr>
              <w:spacing w:before="40" w:after="40"/>
              <w:jc w:val="right"/>
              <w:rPr>
                <w:rFonts w:cs="Arial"/>
                <w:b/>
                <w:sz w:val="18"/>
                <w:szCs w:val="18"/>
              </w:rPr>
            </w:pPr>
            <w:r w:rsidRPr="00A44829">
              <w:rPr>
                <w:rFonts w:cs="Arial"/>
                <w:b/>
                <w:sz w:val="18"/>
                <w:szCs w:val="18"/>
              </w:rPr>
              <w:t> </w:t>
            </w:r>
          </w:p>
        </w:tc>
        <w:tc>
          <w:tcPr>
            <w:tcW w:w="170" w:type="dxa"/>
            <w:tcBorders>
              <w:top w:val="single" w:sz="8" w:space="0" w:color="5F497A" w:themeColor="accent4" w:themeShade="BF"/>
            </w:tcBorders>
            <w:shd w:val="clear" w:color="auto" w:fill="auto"/>
            <w:vAlign w:val="center"/>
          </w:tcPr>
          <w:p w14:paraId="03EE4236" w14:textId="77777777" w:rsidR="00953130" w:rsidRPr="00A44829" w:rsidRDefault="00953130" w:rsidP="001D41EA">
            <w:pPr>
              <w:spacing w:before="40" w:after="40"/>
              <w:jc w:val="right"/>
              <w:rPr>
                <w:rFonts w:cs="Arial"/>
                <w:b/>
                <w:sz w:val="18"/>
                <w:szCs w:val="18"/>
              </w:rPr>
            </w:pPr>
          </w:p>
        </w:tc>
        <w:tc>
          <w:tcPr>
            <w:tcW w:w="1361" w:type="dxa"/>
            <w:tcBorders>
              <w:top w:val="single" w:sz="8" w:space="0" w:color="5F497A" w:themeColor="accent4" w:themeShade="BF"/>
            </w:tcBorders>
            <w:shd w:val="clear" w:color="auto" w:fill="auto"/>
            <w:vAlign w:val="center"/>
          </w:tcPr>
          <w:p w14:paraId="666ECF35" w14:textId="3DD992B9" w:rsidR="00953130" w:rsidRPr="00A44829" w:rsidRDefault="00953130" w:rsidP="001D41EA">
            <w:pPr>
              <w:spacing w:before="40" w:after="40"/>
              <w:jc w:val="right"/>
              <w:rPr>
                <w:rFonts w:cs="Arial"/>
                <w:b/>
                <w:sz w:val="18"/>
                <w:szCs w:val="18"/>
              </w:rPr>
            </w:pPr>
            <w:r w:rsidRPr="00A44829">
              <w:rPr>
                <w:rFonts w:cs="Arial"/>
                <w:b/>
                <w:sz w:val="18"/>
                <w:szCs w:val="18"/>
              </w:rPr>
              <w:t>787,523,277</w:t>
            </w:r>
          </w:p>
        </w:tc>
        <w:tc>
          <w:tcPr>
            <w:tcW w:w="1423" w:type="dxa"/>
            <w:gridSpan w:val="2"/>
            <w:tcBorders>
              <w:top w:val="single" w:sz="8" w:space="0" w:color="5F497A" w:themeColor="accent4" w:themeShade="BF"/>
            </w:tcBorders>
            <w:shd w:val="clear" w:color="auto" w:fill="auto"/>
            <w:vAlign w:val="center"/>
          </w:tcPr>
          <w:p w14:paraId="441009EF" w14:textId="5EDE957A" w:rsidR="00953130" w:rsidRPr="00A44829" w:rsidRDefault="00953130" w:rsidP="001D41EA">
            <w:pPr>
              <w:spacing w:before="40" w:after="40"/>
              <w:jc w:val="right"/>
              <w:rPr>
                <w:rFonts w:cs="Arial"/>
                <w:b/>
                <w:sz w:val="18"/>
                <w:szCs w:val="18"/>
              </w:rPr>
            </w:pPr>
            <w:r w:rsidRPr="00A44829">
              <w:rPr>
                <w:rFonts w:cs="Arial"/>
                <w:b/>
                <w:sz w:val="18"/>
                <w:szCs w:val="18"/>
              </w:rPr>
              <w:t> </w:t>
            </w:r>
          </w:p>
        </w:tc>
      </w:tr>
    </w:tbl>
    <w:p w14:paraId="30582072" w14:textId="77777777" w:rsidR="00C94778" w:rsidRPr="00A44829" w:rsidRDefault="00C94778" w:rsidP="00FF36E8">
      <w:pPr>
        <w:spacing w:before="40" w:after="20"/>
        <w:rPr>
          <w:rFonts w:cs="Arial"/>
          <w:sz w:val="18"/>
          <w:szCs w:val="18"/>
        </w:rPr>
      </w:pPr>
    </w:p>
    <w:p w14:paraId="3FE1721B" w14:textId="2F226B80" w:rsidR="007F70F1" w:rsidRPr="00A44829" w:rsidRDefault="00F1570F" w:rsidP="00FF36E8">
      <w:pPr>
        <w:spacing w:before="40" w:after="20"/>
        <w:rPr>
          <w:rFonts w:cs="Arial"/>
          <w:i/>
          <w:sz w:val="16"/>
          <w:szCs w:val="16"/>
        </w:rPr>
      </w:pPr>
      <w:r w:rsidRPr="002A2397">
        <w:rPr>
          <w:rFonts w:cs="Arial"/>
          <w:i/>
          <w:sz w:val="16"/>
          <w:szCs w:val="16"/>
        </w:rPr>
        <w:t xml:space="preserve">* Modified Population - adjusted by </w:t>
      </w:r>
      <w:r w:rsidR="002A2397">
        <w:rPr>
          <w:rFonts w:cs="Arial"/>
          <w:i/>
          <w:sz w:val="16"/>
          <w:szCs w:val="16"/>
        </w:rPr>
        <w:t>half</w:t>
      </w:r>
      <w:r w:rsidRPr="002A2397">
        <w:rPr>
          <w:rFonts w:cs="Arial"/>
          <w:i/>
          <w:sz w:val="16"/>
          <w:szCs w:val="16"/>
        </w:rPr>
        <w:t xml:space="preserve"> vacancy rate to take account of part-time residents.</w:t>
      </w:r>
      <w:r w:rsidRPr="00A44829">
        <w:rPr>
          <w:rFonts w:cs="Arial"/>
          <w:i/>
          <w:sz w:val="16"/>
          <w:szCs w:val="16"/>
        </w:rPr>
        <w:t xml:space="preserve">  </w:t>
      </w:r>
    </w:p>
    <w:p w14:paraId="46E35498" w14:textId="77777777" w:rsidR="007F70F1" w:rsidRPr="00A44829" w:rsidRDefault="007F70F1" w:rsidP="00FF36E8">
      <w:pPr>
        <w:spacing w:before="40" w:after="20"/>
        <w:rPr>
          <w:rFonts w:cs="Arial"/>
          <w:sz w:val="18"/>
          <w:szCs w:val="18"/>
        </w:rPr>
      </w:pPr>
    </w:p>
    <w:p w14:paraId="1A311C72" w14:textId="77777777" w:rsidR="00C94778" w:rsidRPr="00A44829" w:rsidRDefault="00C94778" w:rsidP="00FF36E8">
      <w:pPr>
        <w:spacing w:before="40" w:after="20"/>
        <w:rPr>
          <w:rFonts w:cs="Arial"/>
          <w:sz w:val="18"/>
          <w:szCs w:val="18"/>
        </w:rPr>
      </w:pPr>
    </w:p>
    <w:p w14:paraId="691CF0FE" w14:textId="77777777" w:rsidR="00C94778" w:rsidRPr="00A44829" w:rsidRDefault="00C94778" w:rsidP="00FF36E8">
      <w:pPr>
        <w:spacing w:before="40" w:after="20"/>
        <w:rPr>
          <w:rFonts w:cs="Arial"/>
          <w:sz w:val="18"/>
          <w:szCs w:val="18"/>
        </w:rPr>
      </w:pPr>
      <w:r w:rsidRPr="00A44829">
        <w:rPr>
          <w:rFonts w:cs="Arial"/>
          <w:sz w:val="18"/>
          <w:szCs w:val="18"/>
        </w:rPr>
        <w:br w:type="page"/>
      </w:r>
    </w:p>
    <w:p w14:paraId="1656273A" w14:textId="10C40C18" w:rsidR="00C94778" w:rsidRPr="00A44829" w:rsidRDefault="00CE4507" w:rsidP="00C33713">
      <w:pPr>
        <w:pStyle w:val="VGC-Head10"/>
      </w:pPr>
      <w:r w:rsidRPr="00A44829">
        <w:lastRenderedPageBreak/>
        <w:t>Appendix 4</w:t>
      </w:r>
      <w:r w:rsidR="006E50A4" w:rsidRPr="00A44829">
        <w:tab/>
      </w:r>
      <w:r w:rsidR="00EE4593" w:rsidRPr="00A44829">
        <w:t>2019-20</w:t>
      </w:r>
      <w:r w:rsidR="00A97ABE" w:rsidRPr="00A44829">
        <w:t xml:space="preserve"> </w:t>
      </w:r>
      <w:r w:rsidR="006E50A4" w:rsidRPr="00A44829">
        <w:t xml:space="preserve">General Purpose Grants </w:t>
      </w:r>
    </w:p>
    <w:p w14:paraId="022BA594" w14:textId="77777777" w:rsidR="00C94778" w:rsidRPr="00A44829" w:rsidRDefault="00CE520A" w:rsidP="008C1A28">
      <w:pPr>
        <w:pStyle w:val="VGC-Head2"/>
      </w:pPr>
      <w:r w:rsidRPr="00A44829">
        <w:t xml:space="preserve">C.  </w:t>
      </w:r>
      <w:r w:rsidR="00C94778" w:rsidRPr="00A44829">
        <w:t>Cost Adjustors – Raw Data</w:t>
      </w:r>
    </w:p>
    <w:p w14:paraId="5F7BD982" w14:textId="77777777" w:rsidR="00BE3B95" w:rsidRPr="00A44829"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7613F5" w:rsidRPr="00A44829" w14:paraId="358C5050"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2D5439A8" w14:textId="77777777" w:rsidR="007613F5" w:rsidRPr="00A44829" w:rsidRDefault="007613F5" w:rsidP="008001AD">
            <w:pPr>
              <w:spacing w:before="40" w:after="20"/>
              <w:jc w:val="center"/>
              <w:rPr>
                <w:rFonts w:cs="Arial"/>
                <w:sz w:val="18"/>
                <w:szCs w:val="18"/>
              </w:rPr>
            </w:pPr>
          </w:p>
        </w:tc>
        <w:tc>
          <w:tcPr>
            <w:tcW w:w="2836" w:type="dxa"/>
            <w:gridSpan w:val="2"/>
            <w:tcBorders>
              <w:top w:val="nil"/>
              <w:left w:val="single" w:sz="18" w:space="0" w:color="5F497A" w:themeColor="accent4" w:themeShade="BF"/>
              <w:bottom w:val="single" w:sz="8" w:space="0" w:color="5F497A" w:themeColor="accent4" w:themeShade="BF"/>
              <w:right w:val="nil"/>
            </w:tcBorders>
            <w:shd w:val="clear" w:color="auto" w:fill="auto"/>
            <w:vAlign w:val="bottom"/>
          </w:tcPr>
          <w:p w14:paraId="13349BF4" w14:textId="0191C2F9" w:rsidR="007613F5" w:rsidRPr="00A44829" w:rsidRDefault="007613F5" w:rsidP="008001AD">
            <w:pPr>
              <w:spacing w:before="40" w:after="20"/>
              <w:jc w:val="center"/>
              <w:rPr>
                <w:rFonts w:cs="Arial"/>
                <w:b/>
                <w:sz w:val="18"/>
                <w:szCs w:val="18"/>
              </w:rPr>
            </w:pPr>
            <w:r w:rsidRPr="00A44829">
              <w:rPr>
                <w:rFonts w:cs="Arial"/>
                <w:b/>
                <w:sz w:val="18"/>
                <w:szCs w:val="18"/>
              </w:rPr>
              <w:t>Aged Pensioners</w:t>
            </w:r>
            <w:r w:rsidR="00B23A90" w:rsidRPr="00A44829">
              <w:rPr>
                <w:rFonts w:cs="Arial"/>
                <w:b/>
                <w:sz w:val="18"/>
                <w:szCs w:val="18"/>
              </w:rPr>
              <w:t xml:space="preserve"> </w:t>
            </w:r>
          </w:p>
        </w:tc>
        <w:tc>
          <w:tcPr>
            <w:tcW w:w="170" w:type="dxa"/>
            <w:vMerge w:val="restart"/>
            <w:tcBorders>
              <w:top w:val="nil"/>
              <w:left w:val="nil"/>
              <w:bottom w:val="single" w:sz="8" w:space="0" w:color="5F497A" w:themeColor="accent4" w:themeShade="BF"/>
              <w:right w:val="nil"/>
            </w:tcBorders>
            <w:vAlign w:val="bottom"/>
          </w:tcPr>
          <w:p w14:paraId="644FA2C6" w14:textId="77777777" w:rsidR="007613F5" w:rsidRPr="00A44829" w:rsidRDefault="007613F5" w:rsidP="008001AD">
            <w:pPr>
              <w:spacing w:before="40" w:after="20"/>
              <w:jc w:val="center"/>
              <w:rPr>
                <w:rFonts w:cs="Arial"/>
                <w:b/>
                <w:sz w:val="18"/>
                <w:szCs w:val="18"/>
              </w:rPr>
            </w:pPr>
          </w:p>
        </w:tc>
        <w:tc>
          <w:tcPr>
            <w:tcW w:w="1418" w:type="dxa"/>
            <w:tcBorders>
              <w:top w:val="nil"/>
              <w:left w:val="nil"/>
              <w:bottom w:val="single" w:sz="8" w:space="0" w:color="5F497A" w:themeColor="accent4" w:themeShade="BF"/>
              <w:right w:val="nil"/>
            </w:tcBorders>
            <w:shd w:val="clear" w:color="auto" w:fill="auto"/>
            <w:vAlign w:val="bottom"/>
          </w:tcPr>
          <w:p w14:paraId="5E247C8A" w14:textId="4FF16C66" w:rsidR="007613F5" w:rsidRPr="00A44829" w:rsidRDefault="007613F5" w:rsidP="008001AD">
            <w:pPr>
              <w:spacing w:before="40" w:after="20"/>
              <w:jc w:val="center"/>
              <w:rPr>
                <w:rFonts w:cs="Arial"/>
                <w:b/>
                <w:sz w:val="18"/>
                <w:szCs w:val="18"/>
              </w:rPr>
            </w:pPr>
            <w:r w:rsidRPr="00A44829">
              <w:rPr>
                <w:rFonts w:cs="Arial"/>
                <w:b/>
                <w:sz w:val="18"/>
                <w:szCs w:val="18"/>
              </w:rPr>
              <w:t xml:space="preserve">Economies </w:t>
            </w:r>
            <w:r w:rsidRPr="00A44829">
              <w:rPr>
                <w:rFonts w:cs="Arial"/>
                <w:b/>
                <w:sz w:val="18"/>
                <w:szCs w:val="18"/>
              </w:rPr>
              <w:br/>
              <w:t>of Scale</w:t>
            </w:r>
            <w:r w:rsidR="00B23A90" w:rsidRPr="00A44829">
              <w:rPr>
                <w:rFonts w:cs="Arial"/>
                <w:b/>
                <w:sz w:val="18"/>
                <w:szCs w:val="18"/>
              </w:rPr>
              <w:t xml:space="preserve"> </w:t>
            </w:r>
          </w:p>
        </w:tc>
        <w:tc>
          <w:tcPr>
            <w:tcW w:w="170" w:type="dxa"/>
            <w:vMerge w:val="restart"/>
            <w:tcBorders>
              <w:top w:val="nil"/>
              <w:left w:val="nil"/>
              <w:bottom w:val="single" w:sz="8" w:space="0" w:color="5F497A" w:themeColor="accent4" w:themeShade="BF"/>
              <w:right w:val="nil"/>
            </w:tcBorders>
            <w:vAlign w:val="bottom"/>
          </w:tcPr>
          <w:p w14:paraId="38CAA894" w14:textId="77777777" w:rsidR="007613F5" w:rsidRPr="00A44829" w:rsidRDefault="007613F5" w:rsidP="008001AD">
            <w:pPr>
              <w:spacing w:before="40" w:after="20"/>
              <w:jc w:val="center"/>
              <w:rPr>
                <w:rFonts w:cs="Arial"/>
                <w:b/>
                <w:sz w:val="18"/>
                <w:szCs w:val="18"/>
              </w:rPr>
            </w:pPr>
          </w:p>
        </w:tc>
        <w:tc>
          <w:tcPr>
            <w:tcW w:w="1418" w:type="dxa"/>
            <w:vMerge w:val="restart"/>
            <w:tcBorders>
              <w:top w:val="nil"/>
              <w:left w:val="nil"/>
              <w:bottom w:val="single" w:sz="8" w:space="0" w:color="5F497A" w:themeColor="accent4" w:themeShade="BF"/>
              <w:right w:val="nil"/>
            </w:tcBorders>
            <w:vAlign w:val="bottom"/>
          </w:tcPr>
          <w:p w14:paraId="51B20590" w14:textId="7BD869C2" w:rsidR="007613F5" w:rsidRPr="00A44829" w:rsidRDefault="007613F5" w:rsidP="008001AD">
            <w:pPr>
              <w:spacing w:before="40" w:after="20"/>
              <w:jc w:val="center"/>
              <w:rPr>
                <w:rFonts w:cs="Arial"/>
                <w:b/>
                <w:sz w:val="18"/>
                <w:szCs w:val="18"/>
              </w:rPr>
            </w:pPr>
            <w:r w:rsidRPr="00A44829">
              <w:rPr>
                <w:rFonts w:cs="Arial"/>
                <w:b/>
                <w:sz w:val="18"/>
                <w:szCs w:val="18"/>
              </w:rPr>
              <w:t>Environment</w:t>
            </w:r>
            <w:r w:rsidR="006B574F" w:rsidRPr="00A44829">
              <w:rPr>
                <w:rFonts w:cs="Arial"/>
                <w:b/>
                <w:sz w:val="18"/>
                <w:szCs w:val="18"/>
              </w:rPr>
              <w:t>al</w:t>
            </w:r>
            <w:r w:rsidRPr="00A44829">
              <w:rPr>
                <w:rFonts w:cs="Arial"/>
                <w:b/>
                <w:sz w:val="18"/>
                <w:szCs w:val="18"/>
              </w:rPr>
              <w:br/>
              <w:t xml:space="preserve">Risk </w:t>
            </w:r>
            <w:r w:rsidR="006B574F" w:rsidRPr="00A44829">
              <w:rPr>
                <w:rFonts w:cs="Arial"/>
                <w:b/>
                <w:sz w:val="18"/>
                <w:szCs w:val="18"/>
              </w:rPr>
              <w:br/>
            </w:r>
            <w:r w:rsidR="006B574F" w:rsidRPr="00F705DD">
              <w:rPr>
                <w:rFonts w:cs="Arial"/>
                <w:b/>
                <w:sz w:val="16"/>
                <w:szCs w:val="16"/>
              </w:rPr>
              <w:t>(Fire &amp; Flood)</w:t>
            </w:r>
            <w:r w:rsidR="006D721B" w:rsidRPr="00A44829">
              <w:rPr>
                <w:rFonts w:cs="Arial"/>
                <w:b/>
                <w:sz w:val="18"/>
                <w:szCs w:val="18"/>
              </w:rPr>
              <w:br/>
            </w:r>
            <w:r w:rsidRPr="00A44829">
              <w:rPr>
                <w:rFonts w:cs="Arial"/>
                <w:b/>
                <w:sz w:val="18"/>
                <w:szCs w:val="18"/>
              </w:rPr>
              <w:t>Rating</w:t>
            </w:r>
            <w:r w:rsidR="00B23A90" w:rsidRPr="00A44829">
              <w:rPr>
                <w:rFonts w:cs="Arial"/>
                <w:b/>
                <w:sz w:val="18"/>
                <w:szCs w:val="18"/>
              </w:rPr>
              <w:t xml:space="preserve"> </w:t>
            </w:r>
          </w:p>
        </w:tc>
      </w:tr>
      <w:tr w:rsidR="00A32B54" w:rsidRPr="00A44829" w14:paraId="6FD0CB05"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62F1CF39" w14:textId="77777777" w:rsidR="00A32B54" w:rsidRPr="00A44829" w:rsidRDefault="00A32B54" w:rsidP="008001AD">
            <w:pPr>
              <w:spacing w:before="40" w:after="20"/>
              <w:jc w:val="center"/>
              <w:rPr>
                <w:rFonts w:cs="Arial"/>
                <w:sz w:val="18"/>
                <w:szCs w:val="18"/>
              </w:rPr>
            </w:pPr>
          </w:p>
        </w:tc>
        <w:tc>
          <w:tcPr>
            <w:tcW w:w="1418"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71A7A674" w14:textId="77777777" w:rsidR="00A32B54" w:rsidRPr="00A44829" w:rsidRDefault="00A32B54" w:rsidP="008001AD">
            <w:pPr>
              <w:spacing w:before="40" w:after="20"/>
              <w:jc w:val="center"/>
              <w:rPr>
                <w:rFonts w:cs="Arial"/>
                <w:sz w:val="16"/>
                <w:szCs w:val="16"/>
              </w:rPr>
            </w:pPr>
            <w:r w:rsidRPr="00A44829">
              <w:rPr>
                <w:rFonts w:cs="Arial"/>
                <w:sz w:val="16"/>
                <w:szCs w:val="16"/>
              </w:rPr>
              <w:t>No.</w:t>
            </w: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47A9ADCC" w14:textId="3F68EB54" w:rsidR="00A32B54" w:rsidRPr="00A44829" w:rsidRDefault="00A32B54" w:rsidP="005D04BF">
            <w:pPr>
              <w:spacing w:before="40" w:after="20"/>
              <w:jc w:val="center"/>
              <w:rPr>
                <w:rFonts w:cs="Arial"/>
                <w:sz w:val="16"/>
                <w:szCs w:val="16"/>
              </w:rPr>
            </w:pPr>
            <w:r w:rsidRPr="00A44829">
              <w:rPr>
                <w:rFonts w:cs="Arial"/>
                <w:sz w:val="16"/>
                <w:szCs w:val="16"/>
              </w:rPr>
              <w:t>No./ Pop &gt;60</w:t>
            </w:r>
            <w:r w:rsidRPr="00A44829">
              <w:rPr>
                <w:rFonts w:cs="Arial"/>
                <w:sz w:val="16"/>
                <w:szCs w:val="16"/>
              </w:rPr>
              <w:br/>
              <w:t>+Disabled</w:t>
            </w:r>
            <w:r w:rsidR="00D818D2" w:rsidRPr="00A44829">
              <w:rPr>
                <w:rFonts w:cs="Arial"/>
                <w:sz w:val="16"/>
                <w:szCs w:val="16"/>
              </w:rPr>
              <w:t xml:space="preserve"> </w:t>
            </w:r>
            <w:r w:rsidR="005D04BF" w:rsidRPr="00A44829">
              <w:rPr>
                <w:rFonts w:cs="Arial"/>
                <w:sz w:val="16"/>
                <w:szCs w:val="16"/>
              </w:rPr>
              <w:t>+</w:t>
            </w:r>
            <w:r w:rsidRPr="00A44829">
              <w:rPr>
                <w:rFonts w:cs="Arial"/>
                <w:sz w:val="16"/>
                <w:szCs w:val="16"/>
              </w:rPr>
              <w:t xml:space="preserve">Carers </w:t>
            </w:r>
            <w:r w:rsidRPr="00A44829">
              <w:rPr>
                <w:rFonts w:cs="Arial"/>
                <w:sz w:val="16"/>
                <w:szCs w:val="16"/>
              </w:rPr>
              <w:br/>
              <w:t>(%)</w:t>
            </w:r>
          </w:p>
        </w:tc>
        <w:tc>
          <w:tcPr>
            <w:tcW w:w="170" w:type="dxa"/>
            <w:vMerge/>
            <w:tcBorders>
              <w:top w:val="single" w:sz="8" w:space="0" w:color="5F497A" w:themeColor="accent4" w:themeShade="BF"/>
              <w:left w:val="nil"/>
              <w:bottom w:val="single" w:sz="8" w:space="0" w:color="5F497A" w:themeColor="accent4" w:themeShade="BF"/>
              <w:right w:val="nil"/>
            </w:tcBorders>
            <w:vAlign w:val="bottom"/>
          </w:tcPr>
          <w:p w14:paraId="537D361D" w14:textId="77777777" w:rsidR="00A32B54" w:rsidRPr="00A44829" w:rsidRDefault="00A32B54" w:rsidP="008001AD">
            <w:pPr>
              <w:spacing w:before="40" w:after="20"/>
              <w:jc w:val="center"/>
              <w:rPr>
                <w:rFonts w:cs="Arial"/>
                <w:sz w:val="16"/>
                <w:szCs w:val="16"/>
              </w:rPr>
            </w:pP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0591C98F" w14:textId="1A7D7590" w:rsidR="00A32B54" w:rsidRPr="00A44829" w:rsidRDefault="00A32B54" w:rsidP="008001AD">
            <w:pPr>
              <w:spacing w:before="40" w:after="20"/>
              <w:jc w:val="center"/>
              <w:rPr>
                <w:rFonts w:cs="Arial"/>
                <w:sz w:val="16"/>
                <w:szCs w:val="16"/>
              </w:rPr>
            </w:pPr>
            <w:r w:rsidRPr="00A44829">
              <w:rPr>
                <w:rFonts w:cs="Arial"/>
                <w:sz w:val="16"/>
                <w:szCs w:val="16"/>
              </w:rPr>
              <w:t xml:space="preserve">ERP (p) </w:t>
            </w:r>
            <w:r w:rsidRPr="00A44829">
              <w:rPr>
                <w:rFonts w:cs="Arial"/>
                <w:sz w:val="16"/>
                <w:szCs w:val="16"/>
              </w:rPr>
              <w:br/>
            </w:r>
            <w:r w:rsidR="00EE4593" w:rsidRPr="00A44829">
              <w:rPr>
                <w:rFonts w:cs="Arial"/>
                <w:sz w:val="16"/>
                <w:szCs w:val="16"/>
              </w:rPr>
              <w:t>June 2018</w:t>
            </w:r>
          </w:p>
        </w:tc>
        <w:tc>
          <w:tcPr>
            <w:tcW w:w="170" w:type="dxa"/>
            <w:vMerge/>
            <w:tcBorders>
              <w:top w:val="single" w:sz="8" w:space="0" w:color="5F497A" w:themeColor="accent4" w:themeShade="BF"/>
              <w:left w:val="nil"/>
              <w:bottom w:val="single" w:sz="8" w:space="0" w:color="5F497A" w:themeColor="accent4" w:themeShade="BF"/>
              <w:right w:val="nil"/>
            </w:tcBorders>
            <w:vAlign w:val="bottom"/>
          </w:tcPr>
          <w:p w14:paraId="44EE3051" w14:textId="77777777" w:rsidR="00A32B54" w:rsidRPr="00A44829" w:rsidRDefault="00A32B54" w:rsidP="008001AD">
            <w:pPr>
              <w:spacing w:before="40" w:after="20"/>
              <w:jc w:val="center"/>
              <w:rPr>
                <w:rFonts w:cs="Arial"/>
                <w:sz w:val="16"/>
                <w:szCs w:val="16"/>
              </w:rPr>
            </w:pPr>
          </w:p>
        </w:tc>
        <w:tc>
          <w:tcPr>
            <w:tcW w:w="1418" w:type="dxa"/>
            <w:vMerge/>
            <w:tcBorders>
              <w:top w:val="single" w:sz="8" w:space="0" w:color="5F497A" w:themeColor="accent4" w:themeShade="BF"/>
              <w:left w:val="nil"/>
              <w:bottom w:val="single" w:sz="8" w:space="0" w:color="5F497A" w:themeColor="accent4" w:themeShade="BF"/>
              <w:right w:val="nil"/>
            </w:tcBorders>
            <w:vAlign w:val="bottom"/>
          </w:tcPr>
          <w:p w14:paraId="00C06434" w14:textId="77777777" w:rsidR="00A32B54" w:rsidRPr="00A44829" w:rsidRDefault="00A32B54" w:rsidP="008001AD">
            <w:pPr>
              <w:spacing w:before="40" w:after="20"/>
              <w:jc w:val="center"/>
              <w:rPr>
                <w:rFonts w:cs="Arial"/>
                <w:sz w:val="16"/>
                <w:szCs w:val="16"/>
              </w:rPr>
            </w:pPr>
          </w:p>
        </w:tc>
      </w:tr>
      <w:tr w:rsidR="00B33D8D" w:rsidRPr="001D41EA" w14:paraId="2D780124" w14:textId="77777777" w:rsidTr="00C60457">
        <w:tc>
          <w:tcPr>
            <w:tcW w:w="2268" w:type="dxa"/>
            <w:tcBorders>
              <w:top w:val="nil"/>
              <w:left w:val="nil"/>
              <w:bottom w:val="nil"/>
              <w:right w:val="single" w:sz="18" w:space="0" w:color="5F497A" w:themeColor="accent4" w:themeShade="BF"/>
            </w:tcBorders>
            <w:shd w:val="clear" w:color="auto" w:fill="auto"/>
            <w:vAlign w:val="center"/>
          </w:tcPr>
          <w:p w14:paraId="38097E7F" w14:textId="77777777" w:rsidR="00B33D8D" w:rsidRPr="001D41EA" w:rsidRDefault="00B33D8D" w:rsidP="001D41EA">
            <w:pPr>
              <w:spacing w:before="40" w:after="40"/>
              <w:rPr>
                <w:rFonts w:cs="Arial"/>
                <w:sz w:val="18"/>
                <w:szCs w:val="18"/>
              </w:rPr>
            </w:pPr>
          </w:p>
        </w:tc>
        <w:tc>
          <w:tcPr>
            <w:tcW w:w="1418"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F46A0EE" w14:textId="44638DCF"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3398BFA6" w14:textId="3C195105" w:rsidR="00B33D8D" w:rsidRPr="001D41EA" w:rsidRDefault="00B33D8D" w:rsidP="00F705DD">
            <w:pPr>
              <w:spacing w:before="40" w:after="4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05FD2072" w14:textId="4DB1E133" w:rsidR="00B33D8D" w:rsidRPr="001D41EA" w:rsidRDefault="00B33D8D" w:rsidP="00F705DD">
            <w:pPr>
              <w:spacing w:before="40" w:after="40"/>
              <w:jc w:val="center"/>
              <w:rPr>
                <w:rFonts w:cs="Arial"/>
                <w:sz w:val="18"/>
                <w:szCs w:val="18"/>
              </w:rPr>
            </w:pPr>
          </w:p>
        </w:tc>
        <w:tc>
          <w:tcPr>
            <w:tcW w:w="1418" w:type="dxa"/>
            <w:tcBorders>
              <w:top w:val="single" w:sz="8" w:space="0" w:color="5F497A" w:themeColor="accent4" w:themeShade="BF"/>
              <w:left w:val="nil"/>
              <w:bottom w:val="nil"/>
              <w:right w:val="nil"/>
            </w:tcBorders>
            <w:shd w:val="clear" w:color="auto" w:fill="auto"/>
            <w:vAlign w:val="bottom"/>
          </w:tcPr>
          <w:p w14:paraId="5AD2606C" w14:textId="5EB1C7F4" w:rsidR="00B33D8D" w:rsidRPr="001D41EA" w:rsidRDefault="00B33D8D" w:rsidP="001D41EA">
            <w:pPr>
              <w:spacing w:before="40" w:after="40"/>
              <w:jc w:val="right"/>
              <w:rPr>
                <w:rFonts w:cs="Arial"/>
                <w:sz w:val="18"/>
                <w:szCs w:val="18"/>
              </w:rPr>
            </w:pPr>
            <w:r w:rsidRPr="001D41EA">
              <w:rPr>
                <w:rFonts w:cs="Arial"/>
                <w:sz w:val="18"/>
                <w:szCs w:val="18"/>
              </w:rPr>
              <w:t> </w:t>
            </w:r>
          </w:p>
        </w:tc>
        <w:tc>
          <w:tcPr>
            <w:tcW w:w="170" w:type="dxa"/>
            <w:tcBorders>
              <w:top w:val="single" w:sz="8" w:space="0" w:color="5F497A" w:themeColor="accent4" w:themeShade="BF"/>
              <w:left w:val="nil"/>
              <w:bottom w:val="nil"/>
              <w:right w:val="nil"/>
            </w:tcBorders>
            <w:vAlign w:val="bottom"/>
          </w:tcPr>
          <w:p w14:paraId="53C9F31D" w14:textId="66E143BD"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single" w:sz="8" w:space="0" w:color="5F497A" w:themeColor="accent4" w:themeShade="BF"/>
              <w:left w:val="nil"/>
              <w:bottom w:val="nil"/>
              <w:right w:val="nil"/>
            </w:tcBorders>
            <w:vAlign w:val="bottom"/>
          </w:tcPr>
          <w:p w14:paraId="05807E40" w14:textId="2A2D9D70" w:rsidR="00B33D8D" w:rsidRPr="001D41EA" w:rsidRDefault="00B33D8D" w:rsidP="001D41EA">
            <w:pPr>
              <w:spacing w:before="40" w:after="40"/>
              <w:jc w:val="right"/>
              <w:rPr>
                <w:rFonts w:cs="Arial"/>
                <w:sz w:val="18"/>
                <w:szCs w:val="18"/>
              </w:rPr>
            </w:pPr>
            <w:r w:rsidRPr="001D41EA">
              <w:rPr>
                <w:rFonts w:cs="Arial"/>
                <w:sz w:val="18"/>
                <w:szCs w:val="18"/>
              </w:rPr>
              <w:t> </w:t>
            </w:r>
          </w:p>
        </w:tc>
      </w:tr>
      <w:tr w:rsidR="00B33D8D" w:rsidRPr="001D41EA" w14:paraId="283FC65C"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FD09C24" w14:textId="77777777" w:rsidR="00B33D8D" w:rsidRPr="001D41EA" w:rsidRDefault="00B33D8D" w:rsidP="001D41EA">
            <w:pPr>
              <w:spacing w:before="40" w:after="40"/>
              <w:rPr>
                <w:rFonts w:cs="Arial"/>
                <w:sz w:val="18"/>
                <w:szCs w:val="18"/>
              </w:rPr>
            </w:pPr>
            <w:r w:rsidRPr="001D41EA">
              <w:rPr>
                <w:rFonts w:cs="Arial"/>
                <w:sz w:val="18"/>
                <w:szCs w:val="18"/>
              </w:rPr>
              <w:t>Alpine S</w:t>
            </w:r>
          </w:p>
        </w:tc>
        <w:tc>
          <w:tcPr>
            <w:tcW w:w="1418" w:type="dxa"/>
            <w:tcBorders>
              <w:top w:val="nil"/>
              <w:left w:val="single" w:sz="18" w:space="0" w:color="5F497A" w:themeColor="accent4" w:themeShade="BF"/>
              <w:bottom w:val="nil"/>
              <w:right w:val="nil"/>
            </w:tcBorders>
            <w:shd w:val="clear" w:color="auto" w:fill="auto"/>
            <w:vAlign w:val="bottom"/>
          </w:tcPr>
          <w:p w14:paraId="3102F7A8" w14:textId="32FD9CB1" w:rsidR="00B33D8D" w:rsidRPr="001D41EA" w:rsidRDefault="00B33D8D" w:rsidP="001D41EA">
            <w:pPr>
              <w:spacing w:before="40" w:after="40"/>
              <w:jc w:val="right"/>
              <w:rPr>
                <w:rFonts w:cs="Arial"/>
                <w:sz w:val="18"/>
                <w:szCs w:val="18"/>
              </w:rPr>
            </w:pPr>
            <w:r w:rsidRPr="001D41EA">
              <w:rPr>
                <w:rFonts w:cs="Arial"/>
                <w:sz w:val="18"/>
                <w:szCs w:val="18"/>
              </w:rPr>
              <w:t>2,036</w:t>
            </w:r>
          </w:p>
        </w:tc>
        <w:tc>
          <w:tcPr>
            <w:tcW w:w="1418" w:type="dxa"/>
            <w:tcBorders>
              <w:top w:val="nil"/>
              <w:left w:val="nil"/>
              <w:bottom w:val="nil"/>
              <w:right w:val="nil"/>
            </w:tcBorders>
            <w:shd w:val="clear" w:color="auto" w:fill="auto"/>
            <w:vAlign w:val="bottom"/>
          </w:tcPr>
          <w:p w14:paraId="59E3B522" w14:textId="46710552" w:rsidR="00B33D8D" w:rsidRPr="001D41EA" w:rsidRDefault="00B33D8D" w:rsidP="00F705DD">
            <w:pPr>
              <w:spacing w:before="40" w:after="40"/>
              <w:jc w:val="center"/>
              <w:rPr>
                <w:rFonts w:cs="Arial"/>
                <w:sz w:val="18"/>
                <w:szCs w:val="18"/>
              </w:rPr>
            </w:pPr>
            <w:r w:rsidRPr="001D41EA">
              <w:rPr>
                <w:rFonts w:cs="Arial"/>
                <w:sz w:val="18"/>
                <w:szCs w:val="18"/>
              </w:rPr>
              <w:t>41.4</w:t>
            </w:r>
          </w:p>
        </w:tc>
        <w:tc>
          <w:tcPr>
            <w:tcW w:w="170" w:type="dxa"/>
            <w:tcBorders>
              <w:top w:val="nil"/>
              <w:left w:val="nil"/>
              <w:bottom w:val="nil"/>
              <w:right w:val="nil"/>
            </w:tcBorders>
            <w:vAlign w:val="bottom"/>
          </w:tcPr>
          <w:p w14:paraId="0FA8AFAC" w14:textId="7BA67AFC"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5568168D" w14:textId="78E5FE84" w:rsidR="00B33D8D" w:rsidRPr="001D41EA" w:rsidRDefault="00B33D8D" w:rsidP="001D41EA">
            <w:pPr>
              <w:spacing w:before="40" w:after="40"/>
              <w:jc w:val="right"/>
              <w:rPr>
                <w:rFonts w:cs="Arial"/>
                <w:sz w:val="18"/>
                <w:szCs w:val="18"/>
              </w:rPr>
            </w:pPr>
            <w:r w:rsidRPr="001D41EA">
              <w:rPr>
                <w:rFonts w:cs="Arial"/>
                <w:sz w:val="18"/>
                <w:szCs w:val="18"/>
              </w:rPr>
              <w:t>13,202</w:t>
            </w:r>
          </w:p>
        </w:tc>
        <w:tc>
          <w:tcPr>
            <w:tcW w:w="170" w:type="dxa"/>
            <w:tcBorders>
              <w:top w:val="nil"/>
              <w:left w:val="nil"/>
              <w:bottom w:val="nil"/>
              <w:right w:val="nil"/>
            </w:tcBorders>
            <w:vAlign w:val="bottom"/>
          </w:tcPr>
          <w:p w14:paraId="1535FA7D" w14:textId="2A620517"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52D74A07" w14:textId="0D6A1601" w:rsidR="00B33D8D" w:rsidRPr="001D41EA" w:rsidRDefault="00B33D8D" w:rsidP="001D41EA">
            <w:pPr>
              <w:spacing w:before="40" w:after="40"/>
              <w:jc w:val="right"/>
              <w:rPr>
                <w:rFonts w:cs="Arial"/>
                <w:sz w:val="18"/>
                <w:szCs w:val="18"/>
              </w:rPr>
            </w:pPr>
            <w:r w:rsidRPr="001D41EA">
              <w:rPr>
                <w:rFonts w:cs="Arial"/>
                <w:sz w:val="18"/>
                <w:szCs w:val="18"/>
              </w:rPr>
              <w:t>45.7</w:t>
            </w:r>
          </w:p>
        </w:tc>
      </w:tr>
      <w:tr w:rsidR="00B33D8D" w:rsidRPr="001D41EA" w14:paraId="05803D85"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1A98CC4" w14:textId="77777777" w:rsidR="00B33D8D" w:rsidRPr="001D41EA" w:rsidRDefault="00B33D8D" w:rsidP="001D41EA">
            <w:pPr>
              <w:spacing w:before="40" w:after="40"/>
              <w:rPr>
                <w:rFonts w:cs="Arial"/>
                <w:sz w:val="18"/>
                <w:szCs w:val="18"/>
              </w:rPr>
            </w:pPr>
            <w:r w:rsidRPr="001D41EA">
              <w:rPr>
                <w:rFonts w:cs="Arial"/>
                <w:sz w:val="18"/>
                <w:szCs w:val="18"/>
              </w:rPr>
              <w:t>Ararat RC</w:t>
            </w:r>
          </w:p>
        </w:tc>
        <w:tc>
          <w:tcPr>
            <w:tcW w:w="1418" w:type="dxa"/>
            <w:tcBorders>
              <w:top w:val="nil"/>
              <w:left w:val="single" w:sz="18" w:space="0" w:color="5F497A" w:themeColor="accent4" w:themeShade="BF"/>
              <w:bottom w:val="nil"/>
              <w:right w:val="nil"/>
            </w:tcBorders>
            <w:shd w:val="clear" w:color="auto" w:fill="auto"/>
            <w:vAlign w:val="bottom"/>
          </w:tcPr>
          <w:p w14:paraId="508A10C5" w14:textId="39DAE540" w:rsidR="00B33D8D" w:rsidRPr="001D41EA" w:rsidRDefault="00B33D8D" w:rsidP="001D41EA">
            <w:pPr>
              <w:spacing w:before="40" w:after="40"/>
              <w:jc w:val="right"/>
              <w:rPr>
                <w:rFonts w:cs="Arial"/>
                <w:sz w:val="18"/>
                <w:szCs w:val="18"/>
              </w:rPr>
            </w:pPr>
            <w:r w:rsidRPr="001D41EA">
              <w:rPr>
                <w:rFonts w:cs="Arial"/>
                <w:sz w:val="18"/>
                <w:szCs w:val="18"/>
              </w:rPr>
              <w:t>1,767</w:t>
            </w:r>
          </w:p>
        </w:tc>
        <w:tc>
          <w:tcPr>
            <w:tcW w:w="1418" w:type="dxa"/>
            <w:tcBorders>
              <w:top w:val="nil"/>
              <w:left w:val="nil"/>
              <w:bottom w:val="nil"/>
              <w:right w:val="nil"/>
            </w:tcBorders>
            <w:shd w:val="clear" w:color="auto" w:fill="auto"/>
            <w:vAlign w:val="bottom"/>
          </w:tcPr>
          <w:p w14:paraId="5BB2400A" w14:textId="1D99ADA1" w:rsidR="00B33D8D" w:rsidRPr="001D41EA" w:rsidRDefault="00B33D8D" w:rsidP="00F705DD">
            <w:pPr>
              <w:spacing w:before="40" w:after="40"/>
              <w:jc w:val="center"/>
              <w:rPr>
                <w:rFonts w:cs="Arial"/>
                <w:sz w:val="18"/>
                <w:szCs w:val="18"/>
              </w:rPr>
            </w:pPr>
            <w:r w:rsidRPr="001D41EA">
              <w:rPr>
                <w:rFonts w:cs="Arial"/>
                <w:sz w:val="18"/>
                <w:szCs w:val="18"/>
              </w:rPr>
              <w:t>38.5</w:t>
            </w:r>
          </w:p>
        </w:tc>
        <w:tc>
          <w:tcPr>
            <w:tcW w:w="170" w:type="dxa"/>
            <w:tcBorders>
              <w:top w:val="nil"/>
              <w:left w:val="nil"/>
              <w:bottom w:val="nil"/>
              <w:right w:val="nil"/>
            </w:tcBorders>
            <w:vAlign w:val="bottom"/>
          </w:tcPr>
          <w:p w14:paraId="604F9DBE" w14:textId="19913D5E"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69636141" w14:textId="2BA6CA1D" w:rsidR="00B33D8D" w:rsidRPr="001D41EA" w:rsidRDefault="00B33D8D" w:rsidP="001D41EA">
            <w:pPr>
              <w:spacing w:before="40" w:after="40"/>
              <w:jc w:val="right"/>
              <w:rPr>
                <w:rFonts w:cs="Arial"/>
                <w:sz w:val="18"/>
                <w:szCs w:val="18"/>
              </w:rPr>
            </w:pPr>
            <w:r w:rsidRPr="001D41EA">
              <w:rPr>
                <w:rFonts w:cs="Arial"/>
                <w:sz w:val="18"/>
                <w:szCs w:val="18"/>
              </w:rPr>
              <w:t>11,795</w:t>
            </w:r>
          </w:p>
        </w:tc>
        <w:tc>
          <w:tcPr>
            <w:tcW w:w="170" w:type="dxa"/>
            <w:tcBorders>
              <w:top w:val="nil"/>
              <w:left w:val="nil"/>
              <w:bottom w:val="nil"/>
              <w:right w:val="nil"/>
            </w:tcBorders>
            <w:vAlign w:val="bottom"/>
          </w:tcPr>
          <w:p w14:paraId="2496F5A6" w14:textId="38A47F18"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E5A9E85" w14:textId="19AC9D47" w:rsidR="00B33D8D" w:rsidRPr="001D41EA" w:rsidRDefault="00B33D8D" w:rsidP="001D41EA">
            <w:pPr>
              <w:spacing w:before="40" w:after="40"/>
              <w:jc w:val="right"/>
              <w:rPr>
                <w:rFonts w:cs="Arial"/>
                <w:sz w:val="18"/>
                <w:szCs w:val="18"/>
              </w:rPr>
            </w:pPr>
            <w:r w:rsidRPr="001D41EA">
              <w:rPr>
                <w:rFonts w:cs="Arial"/>
                <w:sz w:val="18"/>
                <w:szCs w:val="18"/>
              </w:rPr>
              <w:t>18.3</w:t>
            </w:r>
          </w:p>
        </w:tc>
      </w:tr>
      <w:tr w:rsidR="00B33D8D" w:rsidRPr="001D41EA" w14:paraId="70E5902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3C4CBB1" w14:textId="77777777" w:rsidR="00B33D8D" w:rsidRPr="001D41EA" w:rsidRDefault="00B33D8D" w:rsidP="001D41EA">
            <w:pPr>
              <w:spacing w:before="40" w:after="40"/>
              <w:rPr>
                <w:rFonts w:cs="Arial"/>
                <w:sz w:val="18"/>
                <w:szCs w:val="18"/>
              </w:rPr>
            </w:pPr>
            <w:r w:rsidRPr="001D41EA">
              <w:rPr>
                <w:rFonts w:cs="Arial"/>
                <w:sz w:val="18"/>
                <w:szCs w:val="18"/>
              </w:rPr>
              <w:t>Ballarat C</w:t>
            </w:r>
          </w:p>
        </w:tc>
        <w:tc>
          <w:tcPr>
            <w:tcW w:w="1418" w:type="dxa"/>
            <w:tcBorders>
              <w:top w:val="nil"/>
              <w:left w:val="single" w:sz="18" w:space="0" w:color="5F497A" w:themeColor="accent4" w:themeShade="BF"/>
              <w:bottom w:val="nil"/>
              <w:right w:val="nil"/>
            </w:tcBorders>
            <w:shd w:val="clear" w:color="auto" w:fill="auto"/>
            <w:vAlign w:val="bottom"/>
          </w:tcPr>
          <w:p w14:paraId="4FC71DDE" w14:textId="0E1A734E" w:rsidR="00B33D8D" w:rsidRPr="001D41EA" w:rsidRDefault="00B33D8D" w:rsidP="001D41EA">
            <w:pPr>
              <w:spacing w:before="40" w:after="40"/>
              <w:jc w:val="right"/>
              <w:rPr>
                <w:rFonts w:cs="Arial"/>
                <w:sz w:val="18"/>
                <w:szCs w:val="18"/>
              </w:rPr>
            </w:pPr>
            <w:r w:rsidRPr="001D41EA">
              <w:rPr>
                <w:rFonts w:cs="Arial"/>
                <w:sz w:val="18"/>
                <w:szCs w:val="18"/>
              </w:rPr>
              <w:t>12,515</w:t>
            </w:r>
          </w:p>
        </w:tc>
        <w:tc>
          <w:tcPr>
            <w:tcW w:w="1418" w:type="dxa"/>
            <w:tcBorders>
              <w:top w:val="nil"/>
              <w:left w:val="nil"/>
              <w:bottom w:val="nil"/>
              <w:right w:val="nil"/>
            </w:tcBorders>
            <w:shd w:val="clear" w:color="auto" w:fill="auto"/>
            <w:vAlign w:val="bottom"/>
          </w:tcPr>
          <w:p w14:paraId="24D19BF3" w14:textId="27C627E4" w:rsidR="00B33D8D" w:rsidRPr="001D41EA" w:rsidRDefault="00B33D8D" w:rsidP="00F705DD">
            <w:pPr>
              <w:spacing w:before="40" w:after="40"/>
              <w:jc w:val="center"/>
              <w:rPr>
                <w:rFonts w:cs="Arial"/>
                <w:sz w:val="18"/>
                <w:szCs w:val="18"/>
              </w:rPr>
            </w:pPr>
            <w:r w:rsidRPr="001D41EA">
              <w:rPr>
                <w:rFonts w:cs="Arial"/>
                <w:sz w:val="18"/>
                <w:szCs w:val="18"/>
              </w:rPr>
              <w:t>38.1</w:t>
            </w:r>
          </w:p>
        </w:tc>
        <w:tc>
          <w:tcPr>
            <w:tcW w:w="170" w:type="dxa"/>
            <w:tcBorders>
              <w:top w:val="nil"/>
              <w:left w:val="nil"/>
              <w:bottom w:val="nil"/>
              <w:right w:val="nil"/>
            </w:tcBorders>
            <w:vAlign w:val="bottom"/>
          </w:tcPr>
          <w:p w14:paraId="18588C00" w14:textId="5BAFF139"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17FFA3DC" w14:textId="77F52446" w:rsidR="00B33D8D" w:rsidRPr="001D41EA" w:rsidRDefault="00B33D8D" w:rsidP="001D41EA">
            <w:pPr>
              <w:spacing w:before="40" w:after="40"/>
              <w:jc w:val="right"/>
              <w:rPr>
                <w:rFonts w:cs="Arial"/>
                <w:sz w:val="18"/>
                <w:szCs w:val="18"/>
              </w:rPr>
            </w:pPr>
            <w:r w:rsidRPr="001D41EA">
              <w:rPr>
                <w:rFonts w:cs="Arial"/>
                <w:sz w:val="18"/>
                <w:szCs w:val="18"/>
              </w:rPr>
              <w:t>107,325</w:t>
            </w:r>
          </w:p>
        </w:tc>
        <w:tc>
          <w:tcPr>
            <w:tcW w:w="170" w:type="dxa"/>
            <w:tcBorders>
              <w:top w:val="nil"/>
              <w:left w:val="nil"/>
              <w:bottom w:val="nil"/>
              <w:right w:val="nil"/>
            </w:tcBorders>
            <w:vAlign w:val="bottom"/>
          </w:tcPr>
          <w:p w14:paraId="453DE9D1" w14:textId="127D9874"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733FC7EC" w14:textId="774E59E7" w:rsidR="00B33D8D" w:rsidRPr="001D41EA" w:rsidRDefault="00B33D8D" w:rsidP="001D41EA">
            <w:pPr>
              <w:spacing w:before="40" w:after="40"/>
              <w:jc w:val="right"/>
              <w:rPr>
                <w:rFonts w:cs="Arial"/>
                <w:sz w:val="18"/>
                <w:szCs w:val="18"/>
              </w:rPr>
            </w:pPr>
            <w:r w:rsidRPr="001D41EA">
              <w:rPr>
                <w:rFonts w:cs="Arial"/>
                <w:sz w:val="18"/>
                <w:szCs w:val="18"/>
              </w:rPr>
              <w:t>15.3</w:t>
            </w:r>
          </w:p>
        </w:tc>
      </w:tr>
      <w:tr w:rsidR="00B33D8D" w:rsidRPr="001D41EA" w14:paraId="7B6C246F"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1D75BAB" w14:textId="77777777" w:rsidR="00B33D8D" w:rsidRPr="001D41EA" w:rsidRDefault="00B33D8D" w:rsidP="001D41EA">
            <w:pPr>
              <w:spacing w:before="40" w:after="40"/>
              <w:rPr>
                <w:rFonts w:cs="Arial"/>
                <w:sz w:val="18"/>
                <w:szCs w:val="18"/>
              </w:rPr>
            </w:pPr>
            <w:r w:rsidRPr="001D41EA">
              <w:rPr>
                <w:rFonts w:cs="Arial"/>
                <w:sz w:val="18"/>
                <w:szCs w:val="18"/>
              </w:rPr>
              <w:t>Banyule C</w:t>
            </w:r>
          </w:p>
        </w:tc>
        <w:tc>
          <w:tcPr>
            <w:tcW w:w="1418" w:type="dxa"/>
            <w:tcBorders>
              <w:top w:val="nil"/>
              <w:left w:val="single" w:sz="18" w:space="0" w:color="5F497A" w:themeColor="accent4" w:themeShade="BF"/>
              <w:bottom w:val="nil"/>
              <w:right w:val="nil"/>
            </w:tcBorders>
            <w:shd w:val="clear" w:color="auto" w:fill="auto"/>
            <w:vAlign w:val="bottom"/>
          </w:tcPr>
          <w:p w14:paraId="2DE47794" w14:textId="13DBE2DD" w:rsidR="00B33D8D" w:rsidRPr="001D41EA" w:rsidRDefault="00B33D8D" w:rsidP="001D41EA">
            <w:pPr>
              <w:spacing w:before="40" w:after="40"/>
              <w:jc w:val="right"/>
              <w:rPr>
                <w:rFonts w:cs="Arial"/>
                <w:sz w:val="18"/>
                <w:szCs w:val="18"/>
              </w:rPr>
            </w:pPr>
            <w:r w:rsidRPr="001D41EA">
              <w:rPr>
                <w:rFonts w:cs="Arial"/>
                <w:sz w:val="18"/>
                <w:szCs w:val="18"/>
              </w:rPr>
              <w:t>12,062</w:t>
            </w:r>
          </w:p>
        </w:tc>
        <w:tc>
          <w:tcPr>
            <w:tcW w:w="1418" w:type="dxa"/>
            <w:tcBorders>
              <w:top w:val="nil"/>
              <w:left w:val="nil"/>
              <w:bottom w:val="nil"/>
              <w:right w:val="nil"/>
            </w:tcBorders>
            <w:shd w:val="clear" w:color="auto" w:fill="auto"/>
            <w:vAlign w:val="bottom"/>
          </w:tcPr>
          <w:p w14:paraId="30CC350B" w14:textId="759AFA25" w:rsidR="00B33D8D" w:rsidRPr="001D41EA" w:rsidRDefault="00B33D8D" w:rsidP="00F705DD">
            <w:pPr>
              <w:spacing w:before="40" w:after="40"/>
              <w:jc w:val="center"/>
              <w:rPr>
                <w:rFonts w:cs="Arial"/>
                <w:sz w:val="18"/>
                <w:szCs w:val="18"/>
              </w:rPr>
            </w:pPr>
            <w:r w:rsidRPr="001D41EA">
              <w:rPr>
                <w:rFonts w:cs="Arial"/>
                <w:sz w:val="18"/>
                <w:szCs w:val="18"/>
              </w:rPr>
              <w:t>33.8</w:t>
            </w:r>
          </w:p>
        </w:tc>
        <w:tc>
          <w:tcPr>
            <w:tcW w:w="170" w:type="dxa"/>
            <w:tcBorders>
              <w:top w:val="nil"/>
              <w:left w:val="nil"/>
              <w:bottom w:val="nil"/>
              <w:right w:val="nil"/>
            </w:tcBorders>
            <w:vAlign w:val="bottom"/>
          </w:tcPr>
          <w:p w14:paraId="251BBD64" w14:textId="354FC651"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343D695D" w14:textId="557B50AE" w:rsidR="00B33D8D" w:rsidRPr="001D41EA" w:rsidRDefault="00B33D8D" w:rsidP="001D41EA">
            <w:pPr>
              <w:spacing w:before="40" w:after="40"/>
              <w:jc w:val="right"/>
              <w:rPr>
                <w:rFonts w:cs="Arial"/>
                <w:sz w:val="18"/>
                <w:szCs w:val="18"/>
              </w:rPr>
            </w:pPr>
            <w:r w:rsidRPr="001D41EA">
              <w:rPr>
                <w:rFonts w:cs="Arial"/>
                <w:sz w:val="18"/>
                <w:szCs w:val="18"/>
              </w:rPr>
              <w:t>130,237</w:t>
            </w:r>
          </w:p>
        </w:tc>
        <w:tc>
          <w:tcPr>
            <w:tcW w:w="170" w:type="dxa"/>
            <w:tcBorders>
              <w:top w:val="nil"/>
              <w:left w:val="nil"/>
              <w:bottom w:val="nil"/>
              <w:right w:val="nil"/>
            </w:tcBorders>
            <w:vAlign w:val="bottom"/>
          </w:tcPr>
          <w:p w14:paraId="32FFEBEE" w14:textId="76D30B22"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1F0AC674" w14:textId="195F1515" w:rsidR="00B33D8D" w:rsidRPr="001D41EA" w:rsidRDefault="00B33D8D" w:rsidP="001D41EA">
            <w:pPr>
              <w:spacing w:before="40" w:after="40"/>
              <w:jc w:val="right"/>
              <w:rPr>
                <w:rFonts w:cs="Arial"/>
                <w:sz w:val="18"/>
                <w:szCs w:val="18"/>
              </w:rPr>
            </w:pPr>
            <w:r w:rsidRPr="001D41EA">
              <w:rPr>
                <w:rFonts w:cs="Arial"/>
                <w:sz w:val="18"/>
                <w:szCs w:val="18"/>
              </w:rPr>
              <w:t>1.7</w:t>
            </w:r>
          </w:p>
        </w:tc>
      </w:tr>
      <w:tr w:rsidR="00B33D8D" w:rsidRPr="001D41EA" w14:paraId="11ECA085"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EBE9D6C" w14:textId="77777777" w:rsidR="00B33D8D" w:rsidRPr="001D41EA" w:rsidRDefault="00B33D8D" w:rsidP="001D41EA">
            <w:pPr>
              <w:spacing w:before="40" w:after="40"/>
              <w:rPr>
                <w:rFonts w:cs="Arial"/>
                <w:sz w:val="18"/>
                <w:szCs w:val="18"/>
              </w:rPr>
            </w:pPr>
            <w:r w:rsidRPr="001D41EA">
              <w:rPr>
                <w:rFonts w:cs="Arial"/>
                <w:sz w:val="18"/>
                <w:szCs w:val="18"/>
              </w:rPr>
              <w:t>Bass Coast S</w:t>
            </w:r>
          </w:p>
        </w:tc>
        <w:tc>
          <w:tcPr>
            <w:tcW w:w="1418" w:type="dxa"/>
            <w:tcBorders>
              <w:top w:val="nil"/>
              <w:left w:val="single" w:sz="18" w:space="0" w:color="5F497A" w:themeColor="accent4" w:themeShade="BF"/>
              <w:bottom w:val="nil"/>
              <w:right w:val="nil"/>
            </w:tcBorders>
            <w:shd w:val="clear" w:color="auto" w:fill="auto"/>
            <w:vAlign w:val="bottom"/>
          </w:tcPr>
          <w:p w14:paraId="71AA3609" w14:textId="6FB898AC" w:rsidR="00B33D8D" w:rsidRPr="001D41EA" w:rsidRDefault="00B33D8D" w:rsidP="001D41EA">
            <w:pPr>
              <w:spacing w:before="40" w:after="40"/>
              <w:jc w:val="right"/>
              <w:rPr>
                <w:rFonts w:cs="Arial"/>
                <w:sz w:val="18"/>
                <w:szCs w:val="18"/>
              </w:rPr>
            </w:pPr>
            <w:r w:rsidRPr="001D41EA">
              <w:rPr>
                <w:rFonts w:cs="Arial"/>
                <w:sz w:val="18"/>
                <w:szCs w:val="18"/>
              </w:rPr>
              <w:t>6,552</w:t>
            </w:r>
          </w:p>
        </w:tc>
        <w:tc>
          <w:tcPr>
            <w:tcW w:w="1418" w:type="dxa"/>
            <w:tcBorders>
              <w:top w:val="nil"/>
              <w:left w:val="nil"/>
              <w:bottom w:val="nil"/>
              <w:right w:val="nil"/>
            </w:tcBorders>
            <w:shd w:val="clear" w:color="auto" w:fill="auto"/>
            <w:vAlign w:val="bottom"/>
          </w:tcPr>
          <w:p w14:paraId="29E7F693" w14:textId="17C5FAB8" w:rsidR="00B33D8D" w:rsidRPr="001D41EA" w:rsidRDefault="00B33D8D" w:rsidP="00F705DD">
            <w:pPr>
              <w:spacing w:before="40" w:after="40"/>
              <w:jc w:val="center"/>
              <w:rPr>
                <w:rFonts w:cs="Arial"/>
                <w:sz w:val="18"/>
                <w:szCs w:val="18"/>
              </w:rPr>
            </w:pPr>
            <w:r w:rsidRPr="001D41EA">
              <w:rPr>
                <w:rFonts w:cs="Arial"/>
                <w:sz w:val="18"/>
                <w:szCs w:val="18"/>
              </w:rPr>
              <w:t>43.1</w:t>
            </w:r>
          </w:p>
        </w:tc>
        <w:tc>
          <w:tcPr>
            <w:tcW w:w="170" w:type="dxa"/>
            <w:tcBorders>
              <w:top w:val="nil"/>
              <w:left w:val="nil"/>
              <w:bottom w:val="nil"/>
              <w:right w:val="nil"/>
            </w:tcBorders>
            <w:vAlign w:val="bottom"/>
          </w:tcPr>
          <w:p w14:paraId="42EB3041" w14:textId="77C5A754"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53A7190F" w14:textId="21301E9E" w:rsidR="00B33D8D" w:rsidRPr="001D41EA" w:rsidRDefault="00B33D8D" w:rsidP="001D41EA">
            <w:pPr>
              <w:spacing w:before="40" w:after="40"/>
              <w:jc w:val="right"/>
              <w:rPr>
                <w:rFonts w:cs="Arial"/>
                <w:sz w:val="18"/>
                <w:szCs w:val="18"/>
              </w:rPr>
            </w:pPr>
            <w:r w:rsidRPr="001D41EA">
              <w:rPr>
                <w:rFonts w:cs="Arial"/>
                <w:sz w:val="18"/>
                <w:szCs w:val="18"/>
              </w:rPr>
              <w:t>35,327</w:t>
            </w:r>
          </w:p>
        </w:tc>
        <w:tc>
          <w:tcPr>
            <w:tcW w:w="170" w:type="dxa"/>
            <w:tcBorders>
              <w:top w:val="nil"/>
              <w:left w:val="nil"/>
              <w:bottom w:val="nil"/>
              <w:right w:val="nil"/>
            </w:tcBorders>
            <w:vAlign w:val="bottom"/>
          </w:tcPr>
          <w:p w14:paraId="4C79406C" w14:textId="4E134899"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2A93F42" w14:textId="54D4EE12" w:rsidR="00B33D8D" w:rsidRPr="001D41EA" w:rsidRDefault="00B33D8D" w:rsidP="001D41EA">
            <w:pPr>
              <w:spacing w:before="40" w:after="40"/>
              <w:jc w:val="right"/>
              <w:rPr>
                <w:rFonts w:cs="Arial"/>
                <w:sz w:val="18"/>
                <w:szCs w:val="18"/>
              </w:rPr>
            </w:pPr>
            <w:r w:rsidRPr="001D41EA">
              <w:rPr>
                <w:rFonts w:cs="Arial"/>
                <w:sz w:val="18"/>
                <w:szCs w:val="18"/>
              </w:rPr>
              <w:t>15.0</w:t>
            </w:r>
          </w:p>
        </w:tc>
      </w:tr>
      <w:tr w:rsidR="00B33D8D" w:rsidRPr="001D41EA" w14:paraId="0E515C54"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DD6C41E" w14:textId="77777777" w:rsidR="00B33D8D" w:rsidRPr="001D41EA" w:rsidRDefault="00B33D8D" w:rsidP="001D41EA">
            <w:pPr>
              <w:spacing w:before="40" w:after="40"/>
              <w:rPr>
                <w:rFonts w:cs="Arial"/>
                <w:sz w:val="18"/>
                <w:szCs w:val="18"/>
              </w:rPr>
            </w:pPr>
            <w:r w:rsidRPr="001D41EA">
              <w:rPr>
                <w:rFonts w:cs="Arial"/>
                <w:sz w:val="18"/>
                <w:szCs w:val="18"/>
              </w:rPr>
              <w:t>Baw Baw S</w:t>
            </w:r>
          </w:p>
        </w:tc>
        <w:tc>
          <w:tcPr>
            <w:tcW w:w="1418" w:type="dxa"/>
            <w:tcBorders>
              <w:top w:val="nil"/>
              <w:left w:val="single" w:sz="18" w:space="0" w:color="5F497A" w:themeColor="accent4" w:themeShade="BF"/>
              <w:bottom w:val="nil"/>
              <w:right w:val="nil"/>
            </w:tcBorders>
            <w:shd w:val="clear" w:color="auto" w:fill="auto"/>
            <w:vAlign w:val="bottom"/>
          </w:tcPr>
          <w:p w14:paraId="732E7668" w14:textId="07BE163D" w:rsidR="00B33D8D" w:rsidRPr="001D41EA" w:rsidRDefault="00B33D8D" w:rsidP="001D41EA">
            <w:pPr>
              <w:spacing w:before="40" w:after="40"/>
              <w:jc w:val="right"/>
              <w:rPr>
                <w:rFonts w:cs="Arial"/>
                <w:sz w:val="18"/>
                <w:szCs w:val="18"/>
              </w:rPr>
            </w:pPr>
            <w:r w:rsidRPr="001D41EA">
              <w:rPr>
                <w:rFonts w:cs="Arial"/>
                <w:sz w:val="18"/>
                <w:szCs w:val="18"/>
              </w:rPr>
              <w:t>6,660</w:t>
            </w:r>
          </w:p>
        </w:tc>
        <w:tc>
          <w:tcPr>
            <w:tcW w:w="1418" w:type="dxa"/>
            <w:tcBorders>
              <w:top w:val="nil"/>
              <w:left w:val="nil"/>
              <w:bottom w:val="nil"/>
              <w:right w:val="nil"/>
            </w:tcBorders>
            <w:shd w:val="clear" w:color="auto" w:fill="auto"/>
            <w:vAlign w:val="bottom"/>
          </w:tcPr>
          <w:p w14:paraId="588166DF" w14:textId="2267D2A4" w:rsidR="00B33D8D" w:rsidRPr="001D41EA" w:rsidRDefault="00B33D8D" w:rsidP="00F705DD">
            <w:pPr>
              <w:spacing w:before="40" w:after="40"/>
              <w:jc w:val="center"/>
              <w:rPr>
                <w:rFonts w:cs="Arial"/>
                <w:sz w:val="18"/>
                <w:szCs w:val="18"/>
              </w:rPr>
            </w:pPr>
            <w:r w:rsidRPr="001D41EA">
              <w:rPr>
                <w:rFonts w:cs="Arial"/>
                <w:sz w:val="18"/>
                <w:szCs w:val="18"/>
              </w:rPr>
              <w:t>39.4</w:t>
            </w:r>
          </w:p>
        </w:tc>
        <w:tc>
          <w:tcPr>
            <w:tcW w:w="170" w:type="dxa"/>
            <w:tcBorders>
              <w:top w:val="nil"/>
              <w:left w:val="nil"/>
              <w:bottom w:val="nil"/>
              <w:right w:val="nil"/>
            </w:tcBorders>
            <w:vAlign w:val="bottom"/>
          </w:tcPr>
          <w:p w14:paraId="775452D9" w14:textId="4C50827B"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78FB46DD" w14:textId="0408A510" w:rsidR="00B33D8D" w:rsidRPr="001D41EA" w:rsidRDefault="00B33D8D" w:rsidP="001D41EA">
            <w:pPr>
              <w:spacing w:before="40" w:after="40"/>
              <w:jc w:val="right"/>
              <w:rPr>
                <w:rFonts w:cs="Arial"/>
                <w:sz w:val="18"/>
                <w:szCs w:val="18"/>
              </w:rPr>
            </w:pPr>
            <w:r w:rsidRPr="001D41EA">
              <w:rPr>
                <w:rFonts w:cs="Arial"/>
                <w:sz w:val="18"/>
                <w:szCs w:val="18"/>
              </w:rPr>
              <w:t>52,111</w:t>
            </w:r>
          </w:p>
        </w:tc>
        <w:tc>
          <w:tcPr>
            <w:tcW w:w="170" w:type="dxa"/>
            <w:tcBorders>
              <w:top w:val="nil"/>
              <w:left w:val="nil"/>
              <w:bottom w:val="nil"/>
              <w:right w:val="nil"/>
            </w:tcBorders>
            <w:vAlign w:val="bottom"/>
          </w:tcPr>
          <w:p w14:paraId="5ADA8C30" w14:textId="5AB1153A"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D40E9AD" w14:textId="568837AC" w:rsidR="00B33D8D" w:rsidRPr="001D41EA" w:rsidRDefault="00B33D8D" w:rsidP="001D41EA">
            <w:pPr>
              <w:spacing w:before="40" w:after="40"/>
              <w:jc w:val="right"/>
              <w:rPr>
                <w:rFonts w:cs="Arial"/>
                <w:sz w:val="18"/>
                <w:szCs w:val="18"/>
              </w:rPr>
            </w:pPr>
            <w:r w:rsidRPr="001D41EA">
              <w:rPr>
                <w:rFonts w:cs="Arial"/>
                <w:sz w:val="18"/>
                <w:szCs w:val="18"/>
              </w:rPr>
              <w:t>11.3</w:t>
            </w:r>
          </w:p>
        </w:tc>
      </w:tr>
      <w:tr w:rsidR="00B33D8D" w:rsidRPr="001D41EA" w14:paraId="5FE7F98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24FCB1F" w14:textId="77777777" w:rsidR="00B33D8D" w:rsidRPr="001D41EA" w:rsidRDefault="00B33D8D" w:rsidP="001D41EA">
            <w:pPr>
              <w:spacing w:before="40" w:after="40"/>
              <w:rPr>
                <w:rFonts w:cs="Arial"/>
                <w:sz w:val="18"/>
                <w:szCs w:val="18"/>
              </w:rPr>
            </w:pPr>
            <w:r w:rsidRPr="001D41EA">
              <w:rPr>
                <w:rFonts w:cs="Arial"/>
                <w:sz w:val="18"/>
                <w:szCs w:val="18"/>
              </w:rPr>
              <w:t>Bayside C</w:t>
            </w:r>
          </w:p>
        </w:tc>
        <w:tc>
          <w:tcPr>
            <w:tcW w:w="1418" w:type="dxa"/>
            <w:tcBorders>
              <w:top w:val="nil"/>
              <w:left w:val="single" w:sz="18" w:space="0" w:color="5F497A" w:themeColor="accent4" w:themeShade="BF"/>
              <w:bottom w:val="nil"/>
              <w:right w:val="nil"/>
            </w:tcBorders>
            <w:shd w:val="clear" w:color="auto" w:fill="auto"/>
            <w:vAlign w:val="bottom"/>
          </w:tcPr>
          <w:p w14:paraId="2A303E7A" w14:textId="42CCA703" w:rsidR="00B33D8D" w:rsidRPr="001D41EA" w:rsidRDefault="00B33D8D" w:rsidP="001D41EA">
            <w:pPr>
              <w:spacing w:before="40" w:after="40"/>
              <w:jc w:val="right"/>
              <w:rPr>
                <w:rFonts w:cs="Arial"/>
                <w:sz w:val="18"/>
                <w:szCs w:val="18"/>
              </w:rPr>
            </w:pPr>
            <w:r w:rsidRPr="001D41EA">
              <w:rPr>
                <w:rFonts w:cs="Arial"/>
                <w:sz w:val="18"/>
                <w:szCs w:val="18"/>
              </w:rPr>
              <w:t>7,059</w:t>
            </w:r>
          </w:p>
        </w:tc>
        <w:tc>
          <w:tcPr>
            <w:tcW w:w="1418" w:type="dxa"/>
            <w:tcBorders>
              <w:top w:val="nil"/>
              <w:left w:val="nil"/>
              <w:bottom w:val="nil"/>
              <w:right w:val="nil"/>
            </w:tcBorders>
            <w:shd w:val="clear" w:color="auto" w:fill="auto"/>
            <w:vAlign w:val="bottom"/>
          </w:tcPr>
          <w:p w14:paraId="17D99C79" w14:textId="402FFCA6" w:rsidR="00B33D8D" w:rsidRPr="001D41EA" w:rsidRDefault="00B33D8D" w:rsidP="00F705DD">
            <w:pPr>
              <w:spacing w:before="40" w:after="40"/>
              <w:jc w:val="center"/>
              <w:rPr>
                <w:rFonts w:cs="Arial"/>
                <w:sz w:val="18"/>
                <w:szCs w:val="18"/>
              </w:rPr>
            </w:pPr>
            <w:r w:rsidRPr="001D41EA">
              <w:rPr>
                <w:rFonts w:cs="Arial"/>
                <w:sz w:val="18"/>
                <w:szCs w:val="18"/>
              </w:rPr>
              <w:t>24.2</w:t>
            </w:r>
          </w:p>
        </w:tc>
        <w:tc>
          <w:tcPr>
            <w:tcW w:w="170" w:type="dxa"/>
            <w:tcBorders>
              <w:top w:val="nil"/>
              <w:left w:val="nil"/>
              <w:bottom w:val="nil"/>
              <w:right w:val="nil"/>
            </w:tcBorders>
            <w:vAlign w:val="bottom"/>
          </w:tcPr>
          <w:p w14:paraId="125492BF" w14:textId="7EF2A269"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518E531F" w14:textId="0BFC4EFD" w:rsidR="00B33D8D" w:rsidRPr="001D41EA" w:rsidRDefault="00B33D8D" w:rsidP="001D41EA">
            <w:pPr>
              <w:spacing w:before="40" w:after="40"/>
              <w:jc w:val="right"/>
              <w:rPr>
                <w:rFonts w:cs="Arial"/>
                <w:sz w:val="18"/>
                <w:szCs w:val="18"/>
              </w:rPr>
            </w:pPr>
            <w:r w:rsidRPr="001D41EA">
              <w:rPr>
                <w:rFonts w:cs="Arial"/>
                <w:sz w:val="18"/>
                <w:szCs w:val="18"/>
              </w:rPr>
              <w:t>105,718</w:t>
            </w:r>
          </w:p>
        </w:tc>
        <w:tc>
          <w:tcPr>
            <w:tcW w:w="170" w:type="dxa"/>
            <w:tcBorders>
              <w:top w:val="nil"/>
              <w:left w:val="nil"/>
              <w:bottom w:val="nil"/>
              <w:right w:val="nil"/>
            </w:tcBorders>
            <w:vAlign w:val="bottom"/>
          </w:tcPr>
          <w:p w14:paraId="5C17ACC5" w14:textId="696EFBDA"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134BD99C" w14:textId="61C0C005" w:rsidR="00B33D8D" w:rsidRPr="001D41EA" w:rsidRDefault="00B33D8D" w:rsidP="001D41EA">
            <w:pPr>
              <w:spacing w:before="40" w:after="40"/>
              <w:jc w:val="right"/>
              <w:rPr>
                <w:rFonts w:cs="Arial"/>
                <w:sz w:val="18"/>
                <w:szCs w:val="18"/>
              </w:rPr>
            </w:pPr>
            <w:r w:rsidRPr="001D41EA">
              <w:rPr>
                <w:rFonts w:cs="Arial"/>
                <w:sz w:val="18"/>
                <w:szCs w:val="18"/>
              </w:rPr>
              <w:t> </w:t>
            </w:r>
          </w:p>
        </w:tc>
      </w:tr>
      <w:tr w:rsidR="00B33D8D" w:rsidRPr="001D41EA" w14:paraId="6B4B0B0B"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15DAC27" w14:textId="77777777" w:rsidR="00B33D8D" w:rsidRPr="001D41EA" w:rsidRDefault="00B33D8D" w:rsidP="001D41EA">
            <w:pPr>
              <w:spacing w:before="40" w:after="40"/>
              <w:rPr>
                <w:rFonts w:cs="Arial"/>
                <w:sz w:val="18"/>
                <w:szCs w:val="18"/>
              </w:rPr>
            </w:pPr>
            <w:r w:rsidRPr="001D41EA">
              <w:rPr>
                <w:rFonts w:cs="Arial"/>
                <w:sz w:val="18"/>
                <w:szCs w:val="18"/>
              </w:rPr>
              <w:t>Benalla RC</w:t>
            </w:r>
          </w:p>
        </w:tc>
        <w:tc>
          <w:tcPr>
            <w:tcW w:w="1418" w:type="dxa"/>
            <w:tcBorders>
              <w:top w:val="nil"/>
              <w:left w:val="single" w:sz="18" w:space="0" w:color="5F497A" w:themeColor="accent4" w:themeShade="BF"/>
              <w:bottom w:val="nil"/>
              <w:right w:val="nil"/>
            </w:tcBorders>
            <w:shd w:val="clear" w:color="auto" w:fill="auto"/>
            <w:vAlign w:val="bottom"/>
          </w:tcPr>
          <w:p w14:paraId="61A23FC3" w14:textId="3A937A40" w:rsidR="00B33D8D" w:rsidRPr="001D41EA" w:rsidRDefault="00B33D8D" w:rsidP="001D41EA">
            <w:pPr>
              <w:spacing w:before="40" w:after="40"/>
              <w:jc w:val="right"/>
              <w:rPr>
                <w:rFonts w:cs="Arial"/>
                <w:sz w:val="18"/>
                <w:szCs w:val="18"/>
              </w:rPr>
            </w:pPr>
            <w:r w:rsidRPr="001D41EA">
              <w:rPr>
                <w:rFonts w:cs="Arial"/>
                <w:sz w:val="18"/>
                <w:szCs w:val="18"/>
              </w:rPr>
              <w:t>2,476</w:t>
            </w:r>
          </w:p>
        </w:tc>
        <w:tc>
          <w:tcPr>
            <w:tcW w:w="1418" w:type="dxa"/>
            <w:tcBorders>
              <w:top w:val="nil"/>
              <w:left w:val="nil"/>
              <w:bottom w:val="nil"/>
              <w:right w:val="nil"/>
            </w:tcBorders>
            <w:shd w:val="clear" w:color="auto" w:fill="auto"/>
            <w:vAlign w:val="bottom"/>
          </w:tcPr>
          <w:p w14:paraId="287515C0" w14:textId="46C5BB72" w:rsidR="00B33D8D" w:rsidRPr="001D41EA" w:rsidRDefault="00B33D8D" w:rsidP="00F705DD">
            <w:pPr>
              <w:spacing w:before="40" w:after="40"/>
              <w:jc w:val="center"/>
              <w:rPr>
                <w:rFonts w:cs="Arial"/>
                <w:sz w:val="18"/>
                <w:szCs w:val="18"/>
              </w:rPr>
            </w:pPr>
            <w:r w:rsidRPr="001D41EA">
              <w:rPr>
                <w:rFonts w:cs="Arial"/>
                <w:sz w:val="18"/>
                <w:szCs w:val="18"/>
              </w:rPr>
              <w:t>41.6</w:t>
            </w:r>
          </w:p>
        </w:tc>
        <w:tc>
          <w:tcPr>
            <w:tcW w:w="170" w:type="dxa"/>
            <w:tcBorders>
              <w:top w:val="nil"/>
              <w:left w:val="nil"/>
              <w:bottom w:val="nil"/>
              <w:right w:val="nil"/>
            </w:tcBorders>
            <w:vAlign w:val="bottom"/>
          </w:tcPr>
          <w:p w14:paraId="2ED02E88" w14:textId="342A5007"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0395F1B3" w14:textId="2AB4E838" w:rsidR="00B33D8D" w:rsidRPr="001D41EA" w:rsidRDefault="00B33D8D" w:rsidP="001D41EA">
            <w:pPr>
              <w:spacing w:before="40" w:after="40"/>
              <w:jc w:val="right"/>
              <w:rPr>
                <w:rFonts w:cs="Arial"/>
                <w:sz w:val="18"/>
                <w:szCs w:val="18"/>
              </w:rPr>
            </w:pPr>
            <w:r w:rsidRPr="001D41EA">
              <w:rPr>
                <w:rFonts w:cs="Arial"/>
                <w:sz w:val="18"/>
                <w:szCs w:val="18"/>
              </w:rPr>
              <w:t>14,024</w:t>
            </w:r>
          </w:p>
        </w:tc>
        <w:tc>
          <w:tcPr>
            <w:tcW w:w="170" w:type="dxa"/>
            <w:tcBorders>
              <w:top w:val="nil"/>
              <w:left w:val="nil"/>
              <w:bottom w:val="nil"/>
              <w:right w:val="nil"/>
            </w:tcBorders>
            <w:vAlign w:val="bottom"/>
          </w:tcPr>
          <w:p w14:paraId="2A660EC9" w14:textId="793D8415"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851F5AF" w14:textId="48010E5E" w:rsidR="00B33D8D" w:rsidRPr="001D41EA" w:rsidRDefault="00B33D8D" w:rsidP="001D41EA">
            <w:pPr>
              <w:spacing w:before="40" w:after="40"/>
              <w:jc w:val="right"/>
              <w:rPr>
                <w:rFonts w:cs="Arial"/>
                <w:sz w:val="18"/>
                <w:szCs w:val="18"/>
              </w:rPr>
            </w:pPr>
            <w:r w:rsidRPr="001D41EA">
              <w:rPr>
                <w:rFonts w:cs="Arial"/>
                <w:sz w:val="18"/>
                <w:szCs w:val="18"/>
              </w:rPr>
              <w:t>63.5</w:t>
            </w:r>
          </w:p>
        </w:tc>
      </w:tr>
      <w:tr w:rsidR="00B33D8D" w:rsidRPr="001D41EA" w14:paraId="460E9684"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8F3A859" w14:textId="77777777" w:rsidR="00B33D8D" w:rsidRPr="001D41EA" w:rsidRDefault="00B33D8D" w:rsidP="001D41EA">
            <w:pPr>
              <w:spacing w:before="40" w:after="40"/>
              <w:rPr>
                <w:rFonts w:cs="Arial"/>
                <w:sz w:val="18"/>
                <w:szCs w:val="18"/>
              </w:rPr>
            </w:pPr>
            <w:r w:rsidRPr="001D41EA">
              <w:rPr>
                <w:rFonts w:cs="Arial"/>
                <w:sz w:val="18"/>
                <w:szCs w:val="18"/>
              </w:rPr>
              <w:t>Boroondara C</w:t>
            </w:r>
          </w:p>
        </w:tc>
        <w:tc>
          <w:tcPr>
            <w:tcW w:w="1418" w:type="dxa"/>
            <w:tcBorders>
              <w:top w:val="nil"/>
              <w:left w:val="single" w:sz="18" w:space="0" w:color="5F497A" w:themeColor="accent4" w:themeShade="BF"/>
              <w:bottom w:val="nil"/>
              <w:right w:val="nil"/>
            </w:tcBorders>
            <w:shd w:val="clear" w:color="auto" w:fill="auto"/>
            <w:vAlign w:val="bottom"/>
          </w:tcPr>
          <w:p w14:paraId="768E21D7" w14:textId="6B9105FC" w:rsidR="00B33D8D" w:rsidRPr="001D41EA" w:rsidRDefault="00B33D8D" w:rsidP="001D41EA">
            <w:pPr>
              <w:spacing w:before="40" w:after="40"/>
              <w:jc w:val="right"/>
              <w:rPr>
                <w:rFonts w:cs="Arial"/>
                <w:sz w:val="18"/>
                <w:szCs w:val="18"/>
              </w:rPr>
            </w:pPr>
            <w:r w:rsidRPr="001D41EA">
              <w:rPr>
                <w:rFonts w:cs="Arial"/>
                <w:sz w:val="18"/>
                <w:szCs w:val="18"/>
              </w:rPr>
              <w:t>8,759</w:t>
            </w:r>
          </w:p>
        </w:tc>
        <w:tc>
          <w:tcPr>
            <w:tcW w:w="1418" w:type="dxa"/>
            <w:tcBorders>
              <w:top w:val="nil"/>
              <w:left w:val="nil"/>
              <w:bottom w:val="nil"/>
              <w:right w:val="nil"/>
            </w:tcBorders>
            <w:shd w:val="clear" w:color="auto" w:fill="auto"/>
            <w:vAlign w:val="bottom"/>
          </w:tcPr>
          <w:p w14:paraId="45B52832" w14:textId="359F8C95" w:rsidR="00B33D8D" w:rsidRPr="001D41EA" w:rsidRDefault="00B33D8D" w:rsidP="00F705DD">
            <w:pPr>
              <w:spacing w:before="40" w:after="40"/>
              <w:jc w:val="center"/>
              <w:rPr>
                <w:rFonts w:cs="Arial"/>
                <w:sz w:val="18"/>
                <w:szCs w:val="18"/>
              </w:rPr>
            </w:pPr>
            <w:r w:rsidRPr="001D41EA">
              <w:rPr>
                <w:rFonts w:cs="Arial"/>
                <w:sz w:val="18"/>
                <w:szCs w:val="18"/>
              </w:rPr>
              <w:t>20.8</w:t>
            </w:r>
          </w:p>
        </w:tc>
        <w:tc>
          <w:tcPr>
            <w:tcW w:w="170" w:type="dxa"/>
            <w:tcBorders>
              <w:top w:val="nil"/>
              <w:left w:val="nil"/>
              <w:bottom w:val="nil"/>
              <w:right w:val="nil"/>
            </w:tcBorders>
            <w:vAlign w:val="bottom"/>
          </w:tcPr>
          <w:p w14:paraId="51D3E001" w14:textId="3A2CE002"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48455809" w14:textId="44E109AB" w:rsidR="00B33D8D" w:rsidRPr="001D41EA" w:rsidRDefault="00B33D8D" w:rsidP="001D41EA">
            <w:pPr>
              <w:spacing w:before="40" w:after="40"/>
              <w:jc w:val="right"/>
              <w:rPr>
                <w:rFonts w:cs="Arial"/>
                <w:sz w:val="18"/>
                <w:szCs w:val="18"/>
              </w:rPr>
            </w:pPr>
            <w:r w:rsidRPr="001D41EA">
              <w:rPr>
                <w:rFonts w:cs="Arial"/>
                <w:sz w:val="18"/>
                <w:szCs w:val="18"/>
              </w:rPr>
              <w:t>181,289</w:t>
            </w:r>
          </w:p>
        </w:tc>
        <w:tc>
          <w:tcPr>
            <w:tcW w:w="170" w:type="dxa"/>
            <w:tcBorders>
              <w:top w:val="nil"/>
              <w:left w:val="nil"/>
              <w:bottom w:val="nil"/>
              <w:right w:val="nil"/>
            </w:tcBorders>
            <w:vAlign w:val="bottom"/>
          </w:tcPr>
          <w:p w14:paraId="274F2AA9" w14:textId="083CC149"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324639F" w14:textId="1DCFD108" w:rsidR="00B33D8D" w:rsidRPr="001D41EA" w:rsidRDefault="00B33D8D" w:rsidP="001D41EA">
            <w:pPr>
              <w:spacing w:before="40" w:after="40"/>
              <w:jc w:val="right"/>
              <w:rPr>
                <w:rFonts w:cs="Arial"/>
                <w:sz w:val="18"/>
                <w:szCs w:val="18"/>
              </w:rPr>
            </w:pPr>
            <w:r w:rsidRPr="001D41EA">
              <w:rPr>
                <w:rFonts w:cs="Arial"/>
                <w:sz w:val="18"/>
                <w:szCs w:val="18"/>
              </w:rPr>
              <w:t>1.2</w:t>
            </w:r>
          </w:p>
        </w:tc>
      </w:tr>
      <w:tr w:rsidR="00B33D8D" w:rsidRPr="001D41EA" w14:paraId="53737749"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8B111EE" w14:textId="77777777" w:rsidR="00B33D8D" w:rsidRPr="001D41EA" w:rsidRDefault="00B33D8D" w:rsidP="001D41EA">
            <w:pPr>
              <w:spacing w:before="40" w:after="40"/>
              <w:rPr>
                <w:rFonts w:cs="Arial"/>
                <w:sz w:val="18"/>
                <w:szCs w:val="18"/>
              </w:rPr>
            </w:pPr>
            <w:r w:rsidRPr="001D41EA">
              <w:rPr>
                <w:rFonts w:cs="Arial"/>
                <w:sz w:val="18"/>
                <w:szCs w:val="18"/>
              </w:rPr>
              <w:t>Brimbank C</w:t>
            </w:r>
          </w:p>
        </w:tc>
        <w:tc>
          <w:tcPr>
            <w:tcW w:w="1418" w:type="dxa"/>
            <w:tcBorders>
              <w:top w:val="nil"/>
              <w:left w:val="single" w:sz="18" w:space="0" w:color="5F497A" w:themeColor="accent4" w:themeShade="BF"/>
              <w:bottom w:val="nil"/>
              <w:right w:val="nil"/>
            </w:tcBorders>
            <w:shd w:val="clear" w:color="auto" w:fill="auto"/>
            <w:vAlign w:val="bottom"/>
          </w:tcPr>
          <w:p w14:paraId="7C09B857" w14:textId="4892ECA2" w:rsidR="00B33D8D" w:rsidRPr="001D41EA" w:rsidRDefault="00B33D8D" w:rsidP="001D41EA">
            <w:pPr>
              <w:spacing w:before="40" w:after="40"/>
              <w:jc w:val="right"/>
              <w:rPr>
                <w:rFonts w:cs="Arial"/>
                <w:sz w:val="18"/>
                <w:szCs w:val="18"/>
              </w:rPr>
            </w:pPr>
            <w:r w:rsidRPr="001D41EA">
              <w:rPr>
                <w:rFonts w:cs="Arial"/>
                <w:sz w:val="18"/>
                <w:szCs w:val="18"/>
              </w:rPr>
              <w:t>20,748</w:t>
            </w:r>
          </w:p>
        </w:tc>
        <w:tc>
          <w:tcPr>
            <w:tcW w:w="1418" w:type="dxa"/>
            <w:tcBorders>
              <w:top w:val="nil"/>
              <w:left w:val="nil"/>
              <w:bottom w:val="nil"/>
              <w:right w:val="nil"/>
            </w:tcBorders>
            <w:shd w:val="clear" w:color="auto" w:fill="auto"/>
            <w:vAlign w:val="bottom"/>
          </w:tcPr>
          <w:p w14:paraId="1BF1DC7E" w14:textId="478CDCB1" w:rsidR="00B33D8D" w:rsidRPr="001D41EA" w:rsidRDefault="00B33D8D" w:rsidP="00F705DD">
            <w:pPr>
              <w:spacing w:before="40" w:after="40"/>
              <w:jc w:val="center"/>
              <w:rPr>
                <w:rFonts w:cs="Arial"/>
                <w:sz w:val="18"/>
                <w:szCs w:val="18"/>
              </w:rPr>
            </w:pPr>
            <w:r w:rsidRPr="001D41EA">
              <w:rPr>
                <w:rFonts w:cs="Arial"/>
                <w:sz w:val="18"/>
                <w:szCs w:val="18"/>
              </w:rPr>
              <w:t>38.5</w:t>
            </w:r>
          </w:p>
        </w:tc>
        <w:tc>
          <w:tcPr>
            <w:tcW w:w="170" w:type="dxa"/>
            <w:tcBorders>
              <w:top w:val="nil"/>
              <w:left w:val="nil"/>
              <w:bottom w:val="nil"/>
              <w:right w:val="nil"/>
            </w:tcBorders>
            <w:vAlign w:val="bottom"/>
          </w:tcPr>
          <w:p w14:paraId="28A47D0E" w14:textId="0956B76A"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495E4D2A" w14:textId="01FB43FA" w:rsidR="00B33D8D" w:rsidRPr="001D41EA" w:rsidRDefault="00B33D8D" w:rsidP="001D41EA">
            <w:pPr>
              <w:spacing w:before="40" w:after="40"/>
              <w:jc w:val="right"/>
              <w:rPr>
                <w:rFonts w:cs="Arial"/>
                <w:sz w:val="18"/>
                <w:szCs w:val="18"/>
              </w:rPr>
            </w:pPr>
            <w:r w:rsidRPr="001D41EA">
              <w:rPr>
                <w:rFonts w:cs="Arial"/>
                <w:sz w:val="18"/>
                <w:szCs w:val="18"/>
              </w:rPr>
              <w:t>208,714</w:t>
            </w:r>
          </w:p>
        </w:tc>
        <w:tc>
          <w:tcPr>
            <w:tcW w:w="170" w:type="dxa"/>
            <w:tcBorders>
              <w:top w:val="nil"/>
              <w:left w:val="nil"/>
              <w:bottom w:val="nil"/>
              <w:right w:val="nil"/>
            </w:tcBorders>
            <w:vAlign w:val="bottom"/>
          </w:tcPr>
          <w:p w14:paraId="41C31E3F" w14:textId="1F6B80D9"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756C367E" w14:textId="7A3AD30E" w:rsidR="00B33D8D" w:rsidRPr="001D41EA" w:rsidRDefault="00B33D8D" w:rsidP="001D41EA">
            <w:pPr>
              <w:spacing w:before="40" w:after="40"/>
              <w:jc w:val="right"/>
              <w:rPr>
                <w:rFonts w:cs="Arial"/>
                <w:sz w:val="18"/>
                <w:szCs w:val="18"/>
              </w:rPr>
            </w:pPr>
            <w:r w:rsidRPr="001D41EA">
              <w:rPr>
                <w:rFonts w:cs="Arial"/>
                <w:sz w:val="18"/>
                <w:szCs w:val="18"/>
              </w:rPr>
              <w:t>0.8</w:t>
            </w:r>
          </w:p>
        </w:tc>
      </w:tr>
      <w:tr w:rsidR="00B33D8D" w:rsidRPr="001D41EA" w14:paraId="628ABD06"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FB3FA92" w14:textId="77777777" w:rsidR="00B33D8D" w:rsidRPr="001D41EA" w:rsidRDefault="00B33D8D" w:rsidP="001D41EA">
            <w:pPr>
              <w:spacing w:before="40" w:after="40"/>
              <w:rPr>
                <w:rFonts w:cs="Arial"/>
                <w:sz w:val="18"/>
                <w:szCs w:val="18"/>
              </w:rPr>
            </w:pPr>
            <w:r w:rsidRPr="001D41EA">
              <w:rPr>
                <w:rFonts w:cs="Arial"/>
                <w:sz w:val="18"/>
                <w:szCs w:val="18"/>
              </w:rPr>
              <w:t>Buloke S</w:t>
            </w:r>
          </w:p>
        </w:tc>
        <w:tc>
          <w:tcPr>
            <w:tcW w:w="1418" w:type="dxa"/>
            <w:tcBorders>
              <w:top w:val="nil"/>
              <w:left w:val="single" w:sz="18" w:space="0" w:color="5F497A" w:themeColor="accent4" w:themeShade="BF"/>
              <w:bottom w:val="nil"/>
              <w:right w:val="nil"/>
            </w:tcBorders>
            <w:shd w:val="clear" w:color="auto" w:fill="auto"/>
            <w:vAlign w:val="bottom"/>
          </w:tcPr>
          <w:p w14:paraId="06A07EB8" w14:textId="3DBFC935" w:rsidR="00B33D8D" w:rsidRPr="001D41EA" w:rsidRDefault="00B33D8D" w:rsidP="001D41EA">
            <w:pPr>
              <w:spacing w:before="40" w:after="40"/>
              <w:jc w:val="right"/>
              <w:rPr>
                <w:rFonts w:cs="Arial"/>
                <w:sz w:val="18"/>
                <w:szCs w:val="18"/>
              </w:rPr>
            </w:pPr>
            <w:r w:rsidRPr="001D41EA">
              <w:rPr>
                <w:rFonts w:cs="Arial"/>
                <w:sz w:val="18"/>
                <w:szCs w:val="18"/>
              </w:rPr>
              <w:t>1,044</w:t>
            </w:r>
          </w:p>
        </w:tc>
        <w:tc>
          <w:tcPr>
            <w:tcW w:w="1418" w:type="dxa"/>
            <w:tcBorders>
              <w:top w:val="nil"/>
              <w:left w:val="nil"/>
              <w:bottom w:val="nil"/>
              <w:right w:val="nil"/>
            </w:tcBorders>
            <w:shd w:val="clear" w:color="auto" w:fill="auto"/>
            <w:vAlign w:val="bottom"/>
          </w:tcPr>
          <w:p w14:paraId="562A1DDA" w14:textId="0196B952" w:rsidR="00B33D8D" w:rsidRPr="001D41EA" w:rsidRDefault="00B33D8D" w:rsidP="00F705DD">
            <w:pPr>
              <w:spacing w:before="40" w:after="40"/>
              <w:jc w:val="center"/>
              <w:rPr>
                <w:rFonts w:cs="Arial"/>
                <w:sz w:val="18"/>
                <w:szCs w:val="18"/>
              </w:rPr>
            </w:pPr>
            <w:r w:rsidRPr="001D41EA">
              <w:rPr>
                <w:rFonts w:cs="Arial"/>
                <w:sz w:val="18"/>
                <w:szCs w:val="18"/>
              </w:rPr>
              <w:t>37.5</w:t>
            </w:r>
          </w:p>
        </w:tc>
        <w:tc>
          <w:tcPr>
            <w:tcW w:w="170" w:type="dxa"/>
            <w:tcBorders>
              <w:top w:val="nil"/>
              <w:left w:val="nil"/>
              <w:bottom w:val="nil"/>
              <w:right w:val="nil"/>
            </w:tcBorders>
            <w:vAlign w:val="bottom"/>
          </w:tcPr>
          <w:p w14:paraId="28C81933" w14:textId="656446F6"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1F7B8DAD" w14:textId="0E5021B6" w:rsidR="00B33D8D" w:rsidRPr="001D41EA" w:rsidRDefault="00B33D8D" w:rsidP="001D41EA">
            <w:pPr>
              <w:spacing w:before="40" w:after="40"/>
              <w:jc w:val="right"/>
              <w:rPr>
                <w:rFonts w:cs="Arial"/>
                <w:sz w:val="18"/>
                <w:szCs w:val="18"/>
              </w:rPr>
            </w:pPr>
            <w:r w:rsidRPr="001D41EA">
              <w:rPr>
                <w:rFonts w:cs="Arial"/>
                <w:sz w:val="18"/>
                <w:szCs w:val="18"/>
              </w:rPr>
              <w:t>6,184</w:t>
            </w:r>
          </w:p>
        </w:tc>
        <w:tc>
          <w:tcPr>
            <w:tcW w:w="170" w:type="dxa"/>
            <w:tcBorders>
              <w:top w:val="nil"/>
              <w:left w:val="nil"/>
              <w:bottom w:val="nil"/>
              <w:right w:val="nil"/>
            </w:tcBorders>
            <w:vAlign w:val="bottom"/>
          </w:tcPr>
          <w:p w14:paraId="61F6D8A6" w14:textId="3329E8F5"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55E237FD" w14:textId="69DAD9ED" w:rsidR="00B33D8D" w:rsidRPr="001D41EA" w:rsidRDefault="00B33D8D" w:rsidP="001D41EA">
            <w:pPr>
              <w:spacing w:before="40" w:after="40"/>
              <w:jc w:val="right"/>
              <w:rPr>
                <w:rFonts w:cs="Arial"/>
                <w:sz w:val="18"/>
                <w:szCs w:val="18"/>
              </w:rPr>
            </w:pPr>
            <w:r w:rsidRPr="001D41EA">
              <w:rPr>
                <w:rFonts w:cs="Arial"/>
                <w:sz w:val="18"/>
                <w:szCs w:val="18"/>
              </w:rPr>
              <w:t>25.5</w:t>
            </w:r>
          </w:p>
        </w:tc>
      </w:tr>
      <w:tr w:rsidR="00B33D8D" w:rsidRPr="001D41EA" w14:paraId="69729BA3"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F828065" w14:textId="77777777" w:rsidR="00B33D8D" w:rsidRPr="001D41EA" w:rsidRDefault="00B33D8D" w:rsidP="001D41EA">
            <w:pPr>
              <w:spacing w:before="40" w:after="40"/>
              <w:rPr>
                <w:rFonts w:cs="Arial"/>
                <w:sz w:val="18"/>
                <w:szCs w:val="18"/>
              </w:rPr>
            </w:pPr>
            <w:r w:rsidRPr="001D41EA">
              <w:rPr>
                <w:rFonts w:cs="Arial"/>
                <w:sz w:val="18"/>
                <w:szCs w:val="18"/>
              </w:rPr>
              <w:t>Campaspe S</w:t>
            </w:r>
          </w:p>
        </w:tc>
        <w:tc>
          <w:tcPr>
            <w:tcW w:w="1418" w:type="dxa"/>
            <w:tcBorders>
              <w:top w:val="nil"/>
              <w:left w:val="single" w:sz="18" w:space="0" w:color="5F497A" w:themeColor="accent4" w:themeShade="BF"/>
              <w:bottom w:val="nil"/>
              <w:right w:val="nil"/>
            </w:tcBorders>
            <w:shd w:val="clear" w:color="auto" w:fill="auto"/>
            <w:vAlign w:val="bottom"/>
          </w:tcPr>
          <w:p w14:paraId="4C848E23" w14:textId="0BE75645" w:rsidR="00B33D8D" w:rsidRPr="001D41EA" w:rsidRDefault="00B33D8D" w:rsidP="001D41EA">
            <w:pPr>
              <w:spacing w:before="40" w:after="40"/>
              <w:jc w:val="right"/>
              <w:rPr>
                <w:rFonts w:cs="Arial"/>
                <w:sz w:val="18"/>
                <w:szCs w:val="18"/>
              </w:rPr>
            </w:pPr>
            <w:r w:rsidRPr="001D41EA">
              <w:rPr>
                <w:rFonts w:cs="Arial"/>
                <w:sz w:val="18"/>
                <w:szCs w:val="18"/>
              </w:rPr>
              <w:t>5,843</w:t>
            </w:r>
          </w:p>
        </w:tc>
        <w:tc>
          <w:tcPr>
            <w:tcW w:w="1418" w:type="dxa"/>
            <w:tcBorders>
              <w:top w:val="nil"/>
              <w:left w:val="nil"/>
              <w:bottom w:val="nil"/>
              <w:right w:val="nil"/>
            </w:tcBorders>
            <w:shd w:val="clear" w:color="auto" w:fill="auto"/>
            <w:vAlign w:val="bottom"/>
          </w:tcPr>
          <w:p w14:paraId="144DC0D7" w14:textId="44E545EB" w:rsidR="00B33D8D" w:rsidRPr="001D41EA" w:rsidRDefault="00B33D8D" w:rsidP="00F705DD">
            <w:pPr>
              <w:spacing w:before="40" w:after="40"/>
              <w:jc w:val="center"/>
              <w:rPr>
                <w:rFonts w:cs="Arial"/>
                <w:sz w:val="18"/>
                <w:szCs w:val="18"/>
              </w:rPr>
            </w:pPr>
            <w:r w:rsidRPr="001D41EA">
              <w:rPr>
                <w:rFonts w:cs="Arial"/>
                <w:sz w:val="18"/>
                <w:szCs w:val="18"/>
              </w:rPr>
              <w:t>41.8</w:t>
            </w:r>
          </w:p>
        </w:tc>
        <w:tc>
          <w:tcPr>
            <w:tcW w:w="170" w:type="dxa"/>
            <w:tcBorders>
              <w:top w:val="nil"/>
              <w:left w:val="nil"/>
              <w:bottom w:val="nil"/>
              <w:right w:val="nil"/>
            </w:tcBorders>
            <w:vAlign w:val="bottom"/>
          </w:tcPr>
          <w:p w14:paraId="05EBAFB5" w14:textId="18B4AF9D"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3DC05DB0" w14:textId="2AB832B2" w:rsidR="00B33D8D" w:rsidRPr="001D41EA" w:rsidRDefault="00B33D8D" w:rsidP="001D41EA">
            <w:pPr>
              <w:spacing w:before="40" w:after="40"/>
              <w:jc w:val="right"/>
              <w:rPr>
                <w:rFonts w:cs="Arial"/>
                <w:sz w:val="18"/>
                <w:szCs w:val="18"/>
              </w:rPr>
            </w:pPr>
            <w:r w:rsidRPr="001D41EA">
              <w:rPr>
                <w:rFonts w:cs="Arial"/>
                <w:sz w:val="18"/>
                <w:szCs w:val="18"/>
              </w:rPr>
              <w:t>37,592</w:t>
            </w:r>
          </w:p>
        </w:tc>
        <w:tc>
          <w:tcPr>
            <w:tcW w:w="170" w:type="dxa"/>
            <w:tcBorders>
              <w:top w:val="nil"/>
              <w:left w:val="nil"/>
              <w:bottom w:val="nil"/>
              <w:right w:val="nil"/>
            </w:tcBorders>
            <w:vAlign w:val="bottom"/>
          </w:tcPr>
          <w:p w14:paraId="17D705DA" w14:textId="777DA6D6"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F0838AA" w14:textId="2A764738" w:rsidR="00B33D8D" w:rsidRPr="001D41EA" w:rsidRDefault="00B33D8D" w:rsidP="001D41EA">
            <w:pPr>
              <w:spacing w:before="40" w:after="40"/>
              <w:jc w:val="right"/>
              <w:rPr>
                <w:rFonts w:cs="Arial"/>
                <w:sz w:val="18"/>
                <w:szCs w:val="18"/>
              </w:rPr>
            </w:pPr>
            <w:r w:rsidRPr="001D41EA">
              <w:rPr>
                <w:rFonts w:cs="Arial"/>
                <w:sz w:val="18"/>
                <w:szCs w:val="18"/>
              </w:rPr>
              <w:t>24.9</w:t>
            </w:r>
          </w:p>
        </w:tc>
      </w:tr>
      <w:tr w:rsidR="00B33D8D" w:rsidRPr="001D41EA" w14:paraId="5820DE78"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CC999CC" w14:textId="77777777" w:rsidR="00B33D8D" w:rsidRPr="001D41EA" w:rsidRDefault="00B33D8D" w:rsidP="001D41EA">
            <w:pPr>
              <w:spacing w:before="40" w:after="40"/>
              <w:rPr>
                <w:rFonts w:cs="Arial"/>
                <w:sz w:val="18"/>
                <w:szCs w:val="18"/>
              </w:rPr>
            </w:pPr>
            <w:r w:rsidRPr="001D41EA">
              <w:rPr>
                <w:rFonts w:cs="Arial"/>
                <w:sz w:val="18"/>
                <w:szCs w:val="18"/>
              </w:rPr>
              <w:t>Cardinia S</w:t>
            </w:r>
          </w:p>
        </w:tc>
        <w:tc>
          <w:tcPr>
            <w:tcW w:w="1418" w:type="dxa"/>
            <w:tcBorders>
              <w:top w:val="nil"/>
              <w:left w:val="single" w:sz="18" w:space="0" w:color="5F497A" w:themeColor="accent4" w:themeShade="BF"/>
              <w:bottom w:val="nil"/>
              <w:right w:val="nil"/>
            </w:tcBorders>
            <w:shd w:val="clear" w:color="auto" w:fill="auto"/>
            <w:vAlign w:val="bottom"/>
          </w:tcPr>
          <w:p w14:paraId="0D1E224B" w14:textId="16970357" w:rsidR="00B33D8D" w:rsidRPr="001D41EA" w:rsidRDefault="00B33D8D" w:rsidP="001D41EA">
            <w:pPr>
              <w:spacing w:before="40" w:after="40"/>
              <w:jc w:val="right"/>
              <w:rPr>
                <w:rFonts w:cs="Arial"/>
                <w:sz w:val="18"/>
                <w:szCs w:val="18"/>
              </w:rPr>
            </w:pPr>
            <w:r w:rsidRPr="001D41EA">
              <w:rPr>
                <w:rFonts w:cs="Arial"/>
                <w:sz w:val="18"/>
                <w:szCs w:val="18"/>
              </w:rPr>
              <w:t>8,235</w:t>
            </w:r>
          </w:p>
        </w:tc>
        <w:tc>
          <w:tcPr>
            <w:tcW w:w="1418" w:type="dxa"/>
            <w:tcBorders>
              <w:top w:val="nil"/>
              <w:left w:val="nil"/>
              <w:bottom w:val="nil"/>
              <w:right w:val="nil"/>
            </w:tcBorders>
            <w:shd w:val="clear" w:color="auto" w:fill="auto"/>
            <w:vAlign w:val="bottom"/>
          </w:tcPr>
          <w:p w14:paraId="58166266" w14:textId="3A67EBD6" w:rsidR="00B33D8D" w:rsidRPr="001D41EA" w:rsidRDefault="00B33D8D" w:rsidP="00F705DD">
            <w:pPr>
              <w:spacing w:before="40" w:after="40"/>
              <w:jc w:val="center"/>
              <w:rPr>
                <w:rFonts w:cs="Arial"/>
                <w:sz w:val="18"/>
                <w:szCs w:val="18"/>
              </w:rPr>
            </w:pPr>
            <w:r w:rsidRPr="001D41EA">
              <w:rPr>
                <w:rFonts w:cs="Arial"/>
                <w:sz w:val="18"/>
                <w:szCs w:val="18"/>
              </w:rPr>
              <w:t>37.0</w:t>
            </w:r>
          </w:p>
        </w:tc>
        <w:tc>
          <w:tcPr>
            <w:tcW w:w="170" w:type="dxa"/>
            <w:tcBorders>
              <w:top w:val="nil"/>
              <w:left w:val="nil"/>
              <w:bottom w:val="nil"/>
              <w:right w:val="nil"/>
            </w:tcBorders>
            <w:vAlign w:val="bottom"/>
          </w:tcPr>
          <w:p w14:paraId="6DC9C402" w14:textId="7944A4BE"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70718293" w14:textId="3FCF324E" w:rsidR="00B33D8D" w:rsidRPr="001D41EA" w:rsidRDefault="00B33D8D" w:rsidP="001D41EA">
            <w:pPr>
              <w:spacing w:before="40" w:after="40"/>
              <w:jc w:val="right"/>
              <w:rPr>
                <w:rFonts w:cs="Arial"/>
                <w:sz w:val="18"/>
                <w:szCs w:val="18"/>
              </w:rPr>
            </w:pPr>
            <w:r w:rsidRPr="001D41EA">
              <w:rPr>
                <w:rFonts w:cs="Arial"/>
                <w:sz w:val="18"/>
                <w:szCs w:val="18"/>
              </w:rPr>
              <w:t>107,120</w:t>
            </w:r>
          </w:p>
        </w:tc>
        <w:tc>
          <w:tcPr>
            <w:tcW w:w="170" w:type="dxa"/>
            <w:tcBorders>
              <w:top w:val="nil"/>
              <w:left w:val="nil"/>
              <w:bottom w:val="nil"/>
              <w:right w:val="nil"/>
            </w:tcBorders>
            <w:vAlign w:val="bottom"/>
          </w:tcPr>
          <w:p w14:paraId="4DAB395D" w14:textId="0AC9B1B5"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3CC47748" w14:textId="76B31849" w:rsidR="00B33D8D" w:rsidRPr="001D41EA" w:rsidRDefault="00B33D8D" w:rsidP="001D41EA">
            <w:pPr>
              <w:spacing w:before="40" w:after="40"/>
              <w:jc w:val="right"/>
              <w:rPr>
                <w:rFonts w:cs="Arial"/>
                <w:sz w:val="18"/>
                <w:szCs w:val="18"/>
              </w:rPr>
            </w:pPr>
            <w:r w:rsidRPr="001D41EA">
              <w:rPr>
                <w:rFonts w:cs="Arial"/>
                <w:sz w:val="18"/>
                <w:szCs w:val="18"/>
              </w:rPr>
              <w:t>29.7</w:t>
            </w:r>
          </w:p>
        </w:tc>
      </w:tr>
      <w:tr w:rsidR="00B33D8D" w:rsidRPr="001D41EA" w14:paraId="5C8F21C3"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0038F38" w14:textId="77777777" w:rsidR="00B33D8D" w:rsidRPr="001D41EA" w:rsidRDefault="00B33D8D" w:rsidP="001D41EA">
            <w:pPr>
              <w:spacing w:before="40" w:after="40"/>
              <w:rPr>
                <w:rFonts w:cs="Arial"/>
                <w:sz w:val="18"/>
                <w:szCs w:val="18"/>
              </w:rPr>
            </w:pPr>
            <w:r w:rsidRPr="001D41EA">
              <w:rPr>
                <w:rFonts w:cs="Arial"/>
                <w:sz w:val="18"/>
                <w:szCs w:val="18"/>
              </w:rPr>
              <w:t>Casey C</w:t>
            </w:r>
          </w:p>
        </w:tc>
        <w:tc>
          <w:tcPr>
            <w:tcW w:w="1418" w:type="dxa"/>
            <w:tcBorders>
              <w:top w:val="nil"/>
              <w:left w:val="single" w:sz="18" w:space="0" w:color="5F497A" w:themeColor="accent4" w:themeShade="BF"/>
              <w:bottom w:val="nil"/>
              <w:right w:val="nil"/>
            </w:tcBorders>
            <w:shd w:val="clear" w:color="auto" w:fill="auto"/>
            <w:vAlign w:val="bottom"/>
          </w:tcPr>
          <w:p w14:paraId="239A00DB" w14:textId="4FB796D0" w:rsidR="00B33D8D" w:rsidRPr="001D41EA" w:rsidRDefault="00B33D8D" w:rsidP="001D41EA">
            <w:pPr>
              <w:spacing w:before="40" w:after="40"/>
              <w:jc w:val="right"/>
              <w:rPr>
                <w:rFonts w:cs="Arial"/>
                <w:sz w:val="18"/>
                <w:szCs w:val="18"/>
              </w:rPr>
            </w:pPr>
            <w:r w:rsidRPr="001D41EA">
              <w:rPr>
                <w:rFonts w:cs="Arial"/>
                <w:sz w:val="18"/>
                <w:szCs w:val="18"/>
              </w:rPr>
              <w:t>22,867</w:t>
            </w:r>
          </w:p>
        </w:tc>
        <w:tc>
          <w:tcPr>
            <w:tcW w:w="1418" w:type="dxa"/>
            <w:tcBorders>
              <w:top w:val="nil"/>
              <w:left w:val="nil"/>
              <w:bottom w:val="nil"/>
              <w:right w:val="nil"/>
            </w:tcBorders>
            <w:shd w:val="clear" w:color="auto" w:fill="auto"/>
            <w:vAlign w:val="bottom"/>
          </w:tcPr>
          <w:p w14:paraId="661F9D29" w14:textId="512191C9" w:rsidR="00B33D8D" w:rsidRPr="001D41EA" w:rsidRDefault="00B33D8D" w:rsidP="00F705DD">
            <w:pPr>
              <w:spacing w:before="40" w:after="40"/>
              <w:jc w:val="center"/>
              <w:rPr>
                <w:rFonts w:cs="Arial"/>
                <w:sz w:val="18"/>
                <w:szCs w:val="18"/>
              </w:rPr>
            </w:pPr>
            <w:r w:rsidRPr="001D41EA">
              <w:rPr>
                <w:rFonts w:cs="Arial"/>
                <w:sz w:val="18"/>
                <w:szCs w:val="18"/>
              </w:rPr>
              <w:t>34.2</w:t>
            </w:r>
          </w:p>
        </w:tc>
        <w:tc>
          <w:tcPr>
            <w:tcW w:w="170" w:type="dxa"/>
            <w:tcBorders>
              <w:top w:val="nil"/>
              <w:left w:val="nil"/>
              <w:bottom w:val="nil"/>
              <w:right w:val="nil"/>
            </w:tcBorders>
            <w:vAlign w:val="bottom"/>
          </w:tcPr>
          <w:p w14:paraId="65DD201F" w14:textId="7157E6A6"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6F262EE8" w14:textId="0FE2BF43" w:rsidR="00B33D8D" w:rsidRPr="001D41EA" w:rsidRDefault="00B33D8D" w:rsidP="001D41EA">
            <w:pPr>
              <w:spacing w:before="40" w:after="40"/>
              <w:jc w:val="right"/>
              <w:rPr>
                <w:rFonts w:cs="Arial"/>
                <w:sz w:val="18"/>
                <w:szCs w:val="18"/>
              </w:rPr>
            </w:pPr>
            <w:r w:rsidRPr="001D41EA">
              <w:rPr>
                <w:rFonts w:cs="Arial"/>
                <w:sz w:val="18"/>
                <w:szCs w:val="18"/>
              </w:rPr>
              <w:t>340,419</w:t>
            </w:r>
          </w:p>
        </w:tc>
        <w:tc>
          <w:tcPr>
            <w:tcW w:w="170" w:type="dxa"/>
            <w:tcBorders>
              <w:top w:val="nil"/>
              <w:left w:val="nil"/>
              <w:bottom w:val="nil"/>
              <w:right w:val="nil"/>
            </w:tcBorders>
            <w:vAlign w:val="bottom"/>
          </w:tcPr>
          <w:p w14:paraId="26E27ED5" w14:textId="08D02EC2"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5A28714B" w14:textId="359E6B8B" w:rsidR="00B33D8D" w:rsidRPr="001D41EA" w:rsidRDefault="00B33D8D" w:rsidP="001D41EA">
            <w:pPr>
              <w:spacing w:before="40" w:after="40"/>
              <w:jc w:val="right"/>
              <w:rPr>
                <w:rFonts w:cs="Arial"/>
                <w:sz w:val="18"/>
                <w:szCs w:val="18"/>
              </w:rPr>
            </w:pPr>
            <w:r w:rsidRPr="001D41EA">
              <w:rPr>
                <w:rFonts w:cs="Arial"/>
                <w:sz w:val="18"/>
                <w:szCs w:val="18"/>
              </w:rPr>
              <w:t>5.2</w:t>
            </w:r>
          </w:p>
        </w:tc>
      </w:tr>
      <w:tr w:rsidR="00B33D8D" w:rsidRPr="001D41EA" w14:paraId="3DB5B857"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A0F15AB" w14:textId="77777777" w:rsidR="00B33D8D" w:rsidRPr="001D41EA" w:rsidRDefault="00B33D8D" w:rsidP="001D41EA">
            <w:pPr>
              <w:spacing w:before="40" w:after="40"/>
              <w:rPr>
                <w:rFonts w:cs="Arial"/>
                <w:sz w:val="18"/>
                <w:szCs w:val="18"/>
              </w:rPr>
            </w:pPr>
            <w:r w:rsidRPr="001D41EA">
              <w:rPr>
                <w:rFonts w:cs="Arial"/>
                <w:sz w:val="18"/>
                <w:szCs w:val="18"/>
              </w:rPr>
              <w:t>Central Goldfields S</w:t>
            </w:r>
          </w:p>
        </w:tc>
        <w:tc>
          <w:tcPr>
            <w:tcW w:w="1418" w:type="dxa"/>
            <w:tcBorders>
              <w:top w:val="nil"/>
              <w:left w:val="single" w:sz="18" w:space="0" w:color="5F497A" w:themeColor="accent4" w:themeShade="BF"/>
              <w:bottom w:val="nil"/>
              <w:right w:val="nil"/>
            </w:tcBorders>
            <w:shd w:val="clear" w:color="auto" w:fill="auto"/>
            <w:vAlign w:val="bottom"/>
          </w:tcPr>
          <w:p w14:paraId="2FBF4D8A" w14:textId="19908DA3" w:rsidR="00B33D8D" w:rsidRPr="001D41EA" w:rsidRDefault="00B33D8D" w:rsidP="001D41EA">
            <w:pPr>
              <w:spacing w:before="40" w:after="40"/>
              <w:jc w:val="right"/>
              <w:rPr>
                <w:rFonts w:cs="Arial"/>
                <w:sz w:val="18"/>
                <w:szCs w:val="18"/>
              </w:rPr>
            </w:pPr>
            <w:r w:rsidRPr="001D41EA">
              <w:rPr>
                <w:rFonts w:cs="Arial"/>
                <w:sz w:val="18"/>
                <w:szCs w:val="18"/>
              </w:rPr>
              <w:t>2,993</w:t>
            </w:r>
          </w:p>
        </w:tc>
        <w:tc>
          <w:tcPr>
            <w:tcW w:w="1418" w:type="dxa"/>
            <w:tcBorders>
              <w:top w:val="nil"/>
              <w:left w:val="nil"/>
              <w:bottom w:val="nil"/>
              <w:right w:val="nil"/>
            </w:tcBorders>
            <w:shd w:val="clear" w:color="auto" w:fill="auto"/>
            <w:vAlign w:val="bottom"/>
          </w:tcPr>
          <w:p w14:paraId="590E69E5" w14:textId="59966D65" w:rsidR="00B33D8D" w:rsidRPr="001D41EA" w:rsidRDefault="00B33D8D" w:rsidP="00F705DD">
            <w:pPr>
              <w:spacing w:before="40" w:after="40"/>
              <w:jc w:val="center"/>
              <w:rPr>
                <w:rFonts w:cs="Arial"/>
                <w:sz w:val="18"/>
                <w:szCs w:val="18"/>
              </w:rPr>
            </w:pPr>
            <w:r w:rsidRPr="001D41EA">
              <w:rPr>
                <w:rFonts w:cs="Arial"/>
                <w:sz w:val="18"/>
                <w:szCs w:val="18"/>
              </w:rPr>
              <w:t>45.9</w:t>
            </w:r>
          </w:p>
        </w:tc>
        <w:tc>
          <w:tcPr>
            <w:tcW w:w="170" w:type="dxa"/>
            <w:tcBorders>
              <w:top w:val="nil"/>
              <w:left w:val="nil"/>
              <w:bottom w:val="nil"/>
              <w:right w:val="nil"/>
            </w:tcBorders>
            <w:vAlign w:val="bottom"/>
          </w:tcPr>
          <w:p w14:paraId="190149F7" w14:textId="23C4367F"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617F3F0D" w14:textId="7AEFAAF5" w:rsidR="00B33D8D" w:rsidRPr="001D41EA" w:rsidRDefault="00B33D8D" w:rsidP="001D41EA">
            <w:pPr>
              <w:spacing w:before="40" w:after="40"/>
              <w:jc w:val="right"/>
              <w:rPr>
                <w:rFonts w:cs="Arial"/>
                <w:sz w:val="18"/>
                <w:szCs w:val="18"/>
              </w:rPr>
            </w:pPr>
            <w:r w:rsidRPr="001D41EA">
              <w:rPr>
                <w:rFonts w:cs="Arial"/>
                <w:sz w:val="18"/>
                <w:szCs w:val="18"/>
              </w:rPr>
              <w:t>13,209</w:t>
            </w:r>
          </w:p>
        </w:tc>
        <w:tc>
          <w:tcPr>
            <w:tcW w:w="170" w:type="dxa"/>
            <w:tcBorders>
              <w:top w:val="nil"/>
              <w:left w:val="nil"/>
              <w:bottom w:val="nil"/>
              <w:right w:val="nil"/>
            </w:tcBorders>
            <w:vAlign w:val="bottom"/>
          </w:tcPr>
          <w:p w14:paraId="69A2CA02" w14:textId="577E6F17"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52CAB56" w14:textId="2878A963" w:rsidR="00B33D8D" w:rsidRPr="001D41EA" w:rsidRDefault="00B33D8D" w:rsidP="001D41EA">
            <w:pPr>
              <w:spacing w:before="40" w:after="40"/>
              <w:jc w:val="right"/>
              <w:rPr>
                <w:rFonts w:cs="Arial"/>
                <w:sz w:val="18"/>
                <w:szCs w:val="18"/>
              </w:rPr>
            </w:pPr>
            <w:r w:rsidRPr="001D41EA">
              <w:rPr>
                <w:rFonts w:cs="Arial"/>
                <w:sz w:val="18"/>
                <w:szCs w:val="18"/>
              </w:rPr>
              <w:t>65.5</w:t>
            </w:r>
          </w:p>
        </w:tc>
      </w:tr>
      <w:tr w:rsidR="00B33D8D" w:rsidRPr="001D41EA" w14:paraId="5850B811"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F6DC0FC" w14:textId="77777777" w:rsidR="00B33D8D" w:rsidRPr="001D41EA" w:rsidRDefault="00B33D8D" w:rsidP="001D41EA">
            <w:pPr>
              <w:spacing w:before="40" w:after="40"/>
              <w:rPr>
                <w:rFonts w:cs="Arial"/>
                <w:sz w:val="18"/>
                <w:szCs w:val="18"/>
              </w:rPr>
            </w:pPr>
            <w:r w:rsidRPr="001D41EA">
              <w:rPr>
                <w:rFonts w:cs="Arial"/>
                <w:sz w:val="18"/>
                <w:szCs w:val="18"/>
              </w:rPr>
              <w:t>Colac Otway S</w:t>
            </w:r>
          </w:p>
        </w:tc>
        <w:tc>
          <w:tcPr>
            <w:tcW w:w="1418" w:type="dxa"/>
            <w:tcBorders>
              <w:top w:val="nil"/>
              <w:left w:val="single" w:sz="18" w:space="0" w:color="5F497A" w:themeColor="accent4" w:themeShade="BF"/>
              <w:bottom w:val="nil"/>
              <w:right w:val="nil"/>
            </w:tcBorders>
            <w:shd w:val="clear" w:color="auto" w:fill="auto"/>
            <w:vAlign w:val="bottom"/>
          </w:tcPr>
          <w:p w14:paraId="30918C84" w14:textId="38070140" w:rsidR="00B33D8D" w:rsidRPr="001D41EA" w:rsidRDefault="00B33D8D" w:rsidP="001D41EA">
            <w:pPr>
              <w:spacing w:before="40" w:after="40"/>
              <w:jc w:val="right"/>
              <w:rPr>
                <w:rFonts w:cs="Arial"/>
                <w:sz w:val="18"/>
                <w:szCs w:val="18"/>
              </w:rPr>
            </w:pPr>
            <w:r w:rsidRPr="001D41EA">
              <w:rPr>
                <w:rFonts w:cs="Arial"/>
                <w:sz w:val="18"/>
                <w:szCs w:val="18"/>
              </w:rPr>
              <w:t>2,960</w:t>
            </w:r>
          </w:p>
        </w:tc>
        <w:tc>
          <w:tcPr>
            <w:tcW w:w="1418" w:type="dxa"/>
            <w:tcBorders>
              <w:top w:val="nil"/>
              <w:left w:val="nil"/>
              <w:bottom w:val="nil"/>
              <w:right w:val="nil"/>
            </w:tcBorders>
            <w:shd w:val="clear" w:color="auto" w:fill="auto"/>
            <w:vAlign w:val="bottom"/>
          </w:tcPr>
          <w:p w14:paraId="5AC87F4A" w14:textId="7FC7B642" w:rsidR="00B33D8D" w:rsidRPr="001D41EA" w:rsidRDefault="00B33D8D" w:rsidP="00F705DD">
            <w:pPr>
              <w:spacing w:before="40" w:after="40"/>
              <w:jc w:val="center"/>
              <w:rPr>
                <w:rFonts w:cs="Arial"/>
                <w:sz w:val="18"/>
                <w:szCs w:val="18"/>
              </w:rPr>
            </w:pPr>
            <w:r w:rsidRPr="001D41EA">
              <w:rPr>
                <w:rFonts w:cs="Arial"/>
                <w:sz w:val="18"/>
                <w:szCs w:val="18"/>
              </w:rPr>
              <w:t>38.0</w:t>
            </w:r>
          </w:p>
        </w:tc>
        <w:tc>
          <w:tcPr>
            <w:tcW w:w="170" w:type="dxa"/>
            <w:tcBorders>
              <w:top w:val="nil"/>
              <w:left w:val="nil"/>
              <w:bottom w:val="nil"/>
              <w:right w:val="nil"/>
            </w:tcBorders>
            <w:vAlign w:val="bottom"/>
          </w:tcPr>
          <w:p w14:paraId="58C823D5" w14:textId="511C6528"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11137614" w14:textId="2BA80328" w:rsidR="00B33D8D" w:rsidRPr="001D41EA" w:rsidRDefault="00B33D8D" w:rsidP="001D41EA">
            <w:pPr>
              <w:spacing w:before="40" w:after="40"/>
              <w:jc w:val="right"/>
              <w:rPr>
                <w:rFonts w:cs="Arial"/>
                <w:sz w:val="18"/>
                <w:szCs w:val="18"/>
              </w:rPr>
            </w:pPr>
            <w:r w:rsidRPr="001D41EA">
              <w:rPr>
                <w:rFonts w:cs="Arial"/>
                <w:sz w:val="18"/>
                <w:szCs w:val="18"/>
              </w:rPr>
              <w:t>21,503</w:t>
            </w:r>
          </w:p>
        </w:tc>
        <w:tc>
          <w:tcPr>
            <w:tcW w:w="170" w:type="dxa"/>
            <w:tcBorders>
              <w:top w:val="nil"/>
              <w:left w:val="nil"/>
              <w:bottom w:val="nil"/>
              <w:right w:val="nil"/>
            </w:tcBorders>
            <w:vAlign w:val="bottom"/>
          </w:tcPr>
          <w:p w14:paraId="32A58C9F" w14:textId="678DCEB3"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141081D0" w14:textId="463F9992" w:rsidR="00B33D8D" w:rsidRPr="001D41EA" w:rsidRDefault="00B33D8D" w:rsidP="001D41EA">
            <w:pPr>
              <w:spacing w:before="40" w:after="40"/>
              <w:jc w:val="right"/>
              <w:rPr>
                <w:rFonts w:cs="Arial"/>
                <w:sz w:val="18"/>
                <w:szCs w:val="18"/>
              </w:rPr>
            </w:pPr>
            <w:r w:rsidRPr="001D41EA">
              <w:rPr>
                <w:rFonts w:cs="Arial"/>
                <w:sz w:val="18"/>
                <w:szCs w:val="18"/>
              </w:rPr>
              <w:t>35.4</w:t>
            </w:r>
          </w:p>
        </w:tc>
      </w:tr>
      <w:tr w:rsidR="00B33D8D" w:rsidRPr="001D41EA" w14:paraId="2858BACD"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BB24429" w14:textId="77777777" w:rsidR="00B33D8D" w:rsidRPr="001D41EA" w:rsidRDefault="00B33D8D" w:rsidP="001D41EA">
            <w:pPr>
              <w:spacing w:before="40" w:after="40"/>
              <w:rPr>
                <w:rFonts w:cs="Arial"/>
                <w:sz w:val="18"/>
                <w:szCs w:val="18"/>
              </w:rPr>
            </w:pPr>
            <w:r w:rsidRPr="001D41EA">
              <w:rPr>
                <w:rFonts w:cs="Arial"/>
                <w:sz w:val="18"/>
                <w:szCs w:val="18"/>
              </w:rPr>
              <w:t>Corangamite S</w:t>
            </w:r>
          </w:p>
        </w:tc>
        <w:tc>
          <w:tcPr>
            <w:tcW w:w="1418" w:type="dxa"/>
            <w:tcBorders>
              <w:top w:val="nil"/>
              <w:left w:val="single" w:sz="18" w:space="0" w:color="5F497A" w:themeColor="accent4" w:themeShade="BF"/>
              <w:bottom w:val="nil"/>
              <w:right w:val="nil"/>
            </w:tcBorders>
            <w:shd w:val="clear" w:color="auto" w:fill="auto"/>
            <w:vAlign w:val="bottom"/>
          </w:tcPr>
          <w:p w14:paraId="70EDA685" w14:textId="10F34923" w:rsidR="00B33D8D" w:rsidRPr="001D41EA" w:rsidRDefault="00B33D8D" w:rsidP="001D41EA">
            <w:pPr>
              <w:spacing w:before="40" w:after="40"/>
              <w:jc w:val="right"/>
              <w:rPr>
                <w:rFonts w:cs="Arial"/>
                <w:sz w:val="18"/>
                <w:szCs w:val="18"/>
              </w:rPr>
            </w:pPr>
            <w:r w:rsidRPr="001D41EA">
              <w:rPr>
                <w:rFonts w:cs="Arial"/>
                <w:sz w:val="18"/>
                <w:szCs w:val="18"/>
              </w:rPr>
              <w:t>2,213</w:t>
            </w:r>
          </w:p>
        </w:tc>
        <w:tc>
          <w:tcPr>
            <w:tcW w:w="1418" w:type="dxa"/>
            <w:tcBorders>
              <w:top w:val="nil"/>
              <w:left w:val="nil"/>
              <w:bottom w:val="nil"/>
              <w:right w:val="nil"/>
            </w:tcBorders>
            <w:shd w:val="clear" w:color="auto" w:fill="auto"/>
            <w:vAlign w:val="bottom"/>
          </w:tcPr>
          <w:p w14:paraId="681A1D0C" w14:textId="6049880C" w:rsidR="00B33D8D" w:rsidRPr="001D41EA" w:rsidRDefault="00B33D8D" w:rsidP="00F705DD">
            <w:pPr>
              <w:spacing w:before="40" w:after="40"/>
              <w:jc w:val="center"/>
              <w:rPr>
                <w:rFonts w:cs="Arial"/>
                <w:sz w:val="18"/>
                <w:szCs w:val="18"/>
              </w:rPr>
            </w:pPr>
            <w:r w:rsidRPr="001D41EA">
              <w:rPr>
                <w:rFonts w:cs="Arial"/>
                <w:sz w:val="18"/>
                <w:szCs w:val="18"/>
              </w:rPr>
              <w:t>37.6</w:t>
            </w:r>
          </w:p>
        </w:tc>
        <w:tc>
          <w:tcPr>
            <w:tcW w:w="170" w:type="dxa"/>
            <w:tcBorders>
              <w:top w:val="nil"/>
              <w:left w:val="nil"/>
              <w:bottom w:val="nil"/>
              <w:right w:val="nil"/>
            </w:tcBorders>
            <w:vAlign w:val="bottom"/>
          </w:tcPr>
          <w:p w14:paraId="4CD94261" w14:textId="7D924E9D"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45D46817" w14:textId="7FF5275F" w:rsidR="00B33D8D" w:rsidRPr="001D41EA" w:rsidRDefault="00B33D8D" w:rsidP="001D41EA">
            <w:pPr>
              <w:spacing w:before="40" w:after="40"/>
              <w:jc w:val="right"/>
              <w:rPr>
                <w:rFonts w:cs="Arial"/>
                <w:sz w:val="18"/>
                <w:szCs w:val="18"/>
              </w:rPr>
            </w:pPr>
            <w:r w:rsidRPr="001D41EA">
              <w:rPr>
                <w:rFonts w:cs="Arial"/>
                <w:sz w:val="18"/>
                <w:szCs w:val="18"/>
              </w:rPr>
              <w:t>16,140</w:t>
            </w:r>
          </w:p>
        </w:tc>
        <w:tc>
          <w:tcPr>
            <w:tcW w:w="170" w:type="dxa"/>
            <w:tcBorders>
              <w:top w:val="nil"/>
              <w:left w:val="nil"/>
              <w:bottom w:val="nil"/>
              <w:right w:val="nil"/>
            </w:tcBorders>
            <w:vAlign w:val="bottom"/>
          </w:tcPr>
          <w:p w14:paraId="00AA26EE" w14:textId="7AF460BE"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1AA43382" w14:textId="0C305555" w:rsidR="00B33D8D" w:rsidRPr="001D41EA" w:rsidRDefault="00B33D8D" w:rsidP="001D41EA">
            <w:pPr>
              <w:spacing w:before="40" w:after="40"/>
              <w:jc w:val="right"/>
              <w:rPr>
                <w:rFonts w:cs="Arial"/>
                <w:sz w:val="18"/>
                <w:szCs w:val="18"/>
              </w:rPr>
            </w:pPr>
            <w:r w:rsidRPr="001D41EA">
              <w:rPr>
                <w:rFonts w:cs="Arial"/>
                <w:sz w:val="18"/>
                <w:szCs w:val="18"/>
              </w:rPr>
              <w:t>22.8</w:t>
            </w:r>
          </w:p>
        </w:tc>
      </w:tr>
      <w:tr w:rsidR="00B33D8D" w:rsidRPr="001D41EA" w14:paraId="45E588F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F030EC4" w14:textId="77777777" w:rsidR="00B33D8D" w:rsidRPr="001D41EA" w:rsidRDefault="00B33D8D" w:rsidP="001D41EA">
            <w:pPr>
              <w:spacing w:before="40" w:after="40"/>
              <w:rPr>
                <w:rFonts w:cs="Arial"/>
                <w:sz w:val="18"/>
                <w:szCs w:val="18"/>
              </w:rPr>
            </w:pPr>
            <w:r w:rsidRPr="001D41EA">
              <w:rPr>
                <w:rFonts w:cs="Arial"/>
                <w:sz w:val="18"/>
                <w:szCs w:val="18"/>
              </w:rPr>
              <w:t>Darebin C</w:t>
            </w:r>
          </w:p>
        </w:tc>
        <w:tc>
          <w:tcPr>
            <w:tcW w:w="1418" w:type="dxa"/>
            <w:tcBorders>
              <w:top w:val="nil"/>
              <w:left w:val="single" w:sz="18" w:space="0" w:color="5F497A" w:themeColor="accent4" w:themeShade="BF"/>
              <w:bottom w:val="nil"/>
              <w:right w:val="nil"/>
            </w:tcBorders>
            <w:shd w:val="clear" w:color="auto" w:fill="auto"/>
            <w:vAlign w:val="bottom"/>
          </w:tcPr>
          <w:p w14:paraId="635A77EA" w14:textId="35465E8B" w:rsidR="00B33D8D" w:rsidRPr="001D41EA" w:rsidRDefault="00B33D8D" w:rsidP="001D41EA">
            <w:pPr>
              <w:spacing w:before="40" w:after="40"/>
              <w:jc w:val="right"/>
              <w:rPr>
                <w:rFonts w:cs="Arial"/>
                <w:sz w:val="18"/>
                <w:szCs w:val="18"/>
              </w:rPr>
            </w:pPr>
            <w:r w:rsidRPr="001D41EA">
              <w:rPr>
                <w:rFonts w:cs="Arial"/>
                <w:sz w:val="18"/>
                <w:szCs w:val="18"/>
              </w:rPr>
              <w:t>15,042</w:t>
            </w:r>
          </w:p>
        </w:tc>
        <w:tc>
          <w:tcPr>
            <w:tcW w:w="1418" w:type="dxa"/>
            <w:tcBorders>
              <w:top w:val="nil"/>
              <w:left w:val="nil"/>
              <w:bottom w:val="nil"/>
              <w:right w:val="nil"/>
            </w:tcBorders>
            <w:shd w:val="clear" w:color="auto" w:fill="auto"/>
            <w:vAlign w:val="bottom"/>
          </w:tcPr>
          <w:p w14:paraId="20B7343C" w14:textId="67A5CAF8" w:rsidR="00B33D8D" w:rsidRPr="001D41EA" w:rsidRDefault="00B33D8D" w:rsidP="00F705DD">
            <w:pPr>
              <w:spacing w:before="40" w:after="40"/>
              <w:jc w:val="center"/>
              <w:rPr>
                <w:rFonts w:cs="Arial"/>
                <w:sz w:val="18"/>
                <w:szCs w:val="18"/>
              </w:rPr>
            </w:pPr>
            <w:r w:rsidRPr="001D41EA">
              <w:rPr>
                <w:rFonts w:cs="Arial"/>
                <w:sz w:val="18"/>
                <w:szCs w:val="18"/>
              </w:rPr>
              <w:t>38.9</w:t>
            </w:r>
          </w:p>
        </w:tc>
        <w:tc>
          <w:tcPr>
            <w:tcW w:w="170" w:type="dxa"/>
            <w:tcBorders>
              <w:top w:val="nil"/>
              <w:left w:val="nil"/>
              <w:bottom w:val="nil"/>
              <w:right w:val="nil"/>
            </w:tcBorders>
            <w:vAlign w:val="bottom"/>
          </w:tcPr>
          <w:p w14:paraId="2F5BAEAD" w14:textId="653E4B05"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6B48E442" w14:textId="5E686914" w:rsidR="00B33D8D" w:rsidRPr="001D41EA" w:rsidRDefault="00B33D8D" w:rsidP="001D41EA">
            <w:pPr>
              <w:spacing w:before="40" w:after="40"/>
              <w:jc w:val="right"/>
              <w:rPr>
                <w:rFonts w:cs="Arial"/>
                <w:sz w:val="18"/>
                <w:szCs w:val="18"/>
              </w:rPr>
            </w:pPr>
            <w:r w:rsidRPr="001D41EA">
              <w:rPr>
                <w:rFonts w:cs="Arial"/>
                <w:sz w:val="18"/>
                <w:szCs w:val="18"/>
              </w:rPr>
              <w:t>161,609</w:t>
            </w:r>
          </w:p>
        </w:tc>
        <w:tc>
          <w:tcPr>
            <w:tcW w:w="170" w:type="dxa"/>
            <w:tcBorders>
              <w:top w:val="nil"/>
              <w:left w:val="nil"/>
              <w:bottom w:val="nil"/>
              <w:right w:val="nil"/>
            </w:tcBorders>
            <w:vAlign w:val="bottom"/>
          </w:tcPr>
          <w:p w14:paraId="6669A7C4" w14:textId="66940E10"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7E560AB4" w14:textId="58EC67EF" w:rsidR="00B33D8D" w:rsidRPr="001D41EA" w:rsidRDefault="00B33D8D" w:rsidP="001D41EA">
            <w:pPr>
              <w:spacing w:before="40" w:after="40"/>
              <w:jc w:val="right"/>
              <w:rPr>
                <w:rFonts w:cs="Arial"/>
                <w:sz w:val="18"/>
                <w:szCs w:val="18"/>
              </w:rPr>
            </w:pPr>
            <w:r w:rsidRPr="001D41EA">
              <w:rPr>
                <w:rFonts w:cs="Arial"/>
                <w:sz w:val="18"/>
                <w:szCs w:val="18"/>
              </w:rPr>
              <w:t>1.4</w:t>
            </w:r>
          </w:p>
        </w:tc>
      </w:tr>
      <w:tr w:rsidR="00B33D8D" w:rsidRPr="001D41EA" w14:paraId="0255B536"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1C3283F" w14:textId="77777777" w:rsidR="00B33D8D" w:rsidRPr="001D41EA" w:rsidRDefault="00B33D8D" w:rsidP="001D41EA">
            <w:pPr>
              <w:spacing w:before="40" w:after="40"/>
              <w:rPr>
                <w:rFonts w:cs="Arial"/>
                <w:sz w:val="18"/>
                <w:szCs w:val="18"/>
              </w:rPr>
            </w:pPr>
            <w:r w:rsidRPr="001D41EA">
              <w:rPr>
                <w:rFonts w:cs="Arial"/>
                <w:sz w:val="18"/>
                <w:szCs w:val="18"/>
              </w:rPr>
              <w:t>East Gippsland S</w:t>
            </w:r>
          </w:p>
        </w:tc>
        <w:tc>
          <w:tcPr>
            <w:tcW w:w="1418" w:type="dxa"/>
            <w:tcBorders>
              <w:top w:val="nil"/>
              <w:left w:val="single" w:sz="18" w:space="0" w:color="5F497A" w:themeColor="accent4" w:themeShade="BF"/>
              <w:bottom w:val="nil"/>
              <w:right w:val="nil"/>
            </w:tcBorders>
            <w:shd w:val="clear" w:color="auto" w:fill="auto"/>
            <w:vAlign w:val="bottom"/>
          </w:tcPr>
          <w:p w14:paraId="06EBB030" w14:textId="005C19CA" w:rsidR="00B33D8D" w:rsidRPr="001D41EA" w:rsidRDefault="00B33D8D" w:rsidP="001D41EA">
            <w:pPr>
              <w:spacing w:before="40" w:after="40"/>
              <w:jc w:val="right"/>
              <w:rPr>
                <w:rFonts w:cs="Arial"/>
                <w:sz w:val="18"/>
                <w:szCs w:val="18"/>
              </w:rPr>
            </w:pPr>
            <w:r w:rsidRPr="001D41EA">
              <w:rPr>
                <w:rFonts w:cs="Arial"/>
                <w:sz w:val="18"/>
                <w:szCs w:val="18"/>
              </w:rPr>
              <w:t>9,001</w:t>
            </w:r>
          </w:p>
        </w:tc>
        <w:tc>
          <w:tcPr>
            <w:tcW w:w="1418" w:type="dxa"/>
            <w:tcBorders>
              <w:top w:val="nil"/>
              <w:left w:val="nil"/>
              <w:bottom w:val="nil"/>
              <w:right w:val="nil"/>
            </w:tcBorders>
            <w:shd w:val="clear" w:color="auto" w:fill="auto"/>
            <w:vAlign w:val="bottom"/>
          </w:tcPr>
          <w:p w14:paraId="1AD2D6DD" w14:textId="68560551" w:rsidR="00B33D8D" w:rsidRPr="001D41EA" w:rsidRDefault="00B33D8D" w:rsidP="00F705DD">
            <w:pPr>
              <w:spacing w:before="40" w:after="40"/>
              <w:jc w:val="center"/>
              <w:rPr>
                <w:rFonts w:cs="Arial"/>
                <w:sz w:val="18"/>
                <w:szCs w:val="18"/>
              </w:rPr>
            </w:pPr>
            <w:r w:rsidRPr="001D41EA">
              <w:rPr>
                <w:rFonts w:cs="Arial"/>
                <w:sz w:val="18"/>
                <w:szCs w:val="18"/>
              </w:rPr>
              <w:t>42.5</w:t>
            </w:r>
          </w:p>
        </w:tc>
        <w:tc>
          <w:tcPr>
            <w:tcW w:w="170" w:type="dxa"/>
            <w:tcBorders>
              <w:top w:val="nil"/>
              <w:left w:val="nil"/>
              <w:bottom w:val="nil"/>
              <w:right w:val="nil"/>
            </w:tcBorders>
            <w:vAlign w:val="bottom"/>
          </w:tcPr>
          <w:p w14:paraId="2589A352" w14:textId="5F46F964"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2C4B3BC2" w14:textId="4716D157" w:rsidR="00B33D8D" w:rsidRPr="001D41EA" w:rsidRDefault="00B33D8D" w:rsidP="001D41EA">
            <w:pPr>
              <w:spacing w:before="40" w:after="40"/>
              <w:jc w:val="right"/>
              <w:rPr>
                <w:rFonts w:cs="Arial"/>
                <w:sz w:val="18"/>
                <w:szCs w:val="18"/>
              </w:rPr>
            </w:pPr>
            <w:r w:rsidRPr="001D41EA">
              <w:rPr>
                <w:rFonts w:cs="Arial"/>
                <w:sz w:val="18"/>
                <w:szCs w:val="18"/>
              </w:rPr>
              <w:t>46,818</w:t>
            </w:r>
          </w:p>
        </w:tc>
        <w:tc>
          <w:tcPr>
            <w:tcW w:w="170" w:type="dxa"/>
            <w:tcBorders>
              <w:top w:val="nil"/>
              <w:left w:val="nil"/>
              <w:bottom w:val="nil"/>
              <w:right w:val="nil"/>
            </w:tcBorders>
            <w:vAlign w:val="bottom"/>
          </w:tcPr>
          <w:p w14:paraId="5D405971" w14:textId="5169C175"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8B42756" w14:textId="612F90F3" w:rsidR="00B33D8D" w:rsidRPr="001D41EA" w:rsidRDefault="00B33D8D" w:rsidP="001D41EA">
            <w:pPr>
              <w:spacing w:before="40" w:after="40"/>
              <w:jc w:val="right"/>
              <w:rPr>
                <w:rFonts w:cs="Arial"/>
                <w:sz w:val="18"/>
                <w:szCs w:val="18"/>
              </w:rPr>
            </w:pPr>
            <w:r w:rsidRPr="001D41EA">
              <w:rPr>
                <w:rFonts w:cs="Arial"/>
                <w:sz w:val="18"/>
                <w:szCs w:val="18"/>
              </w:rPr>
              <w:t>27.5</w:t>
            </w:r>
          </w:p>
        </w:tc>
      </w:tr>
      <w:tr w:rsidR="00B33D8D" w:rsidRPr="001D41EA" w14:paraId="506D2D2F"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D15771D" w14:textId="77777777" w:rsidR="00B33D8D" w:rsidRPr="001D41EA" w:rsidRDefault="00B33D8D" w:rsidP="001D41EA">
            <w:pPr>
              <w:spacing w:before="40" w:after="40"/>
              <w:rPr>
                <w:rFonts w:cs="Arial"/>
                <w:sz w:val="18"/>
                <w:szCs w:val="18"/>
              </w:rPr>
            </w:pPr>
            <w:r w:rsidRPr="001D41EA">
              <w:rPr>
                <w:rFonts w:cs="Arial"/>
                <w:sz w:val="18"/>
                <w:szCs w:val="18"/>
              </w:rPr>
              <w:t>Frankston C</w:t>
            </w:r>
          </w:p>
        </w:tc>
        <w:tc>
          <w:tcPr>
            <w:tcW w:w="1418" w:type="dxa"/>
            <w:tcBorders>
              <w:top w:val="nil"/>
              <w:left w:val="single" w:sz="18" w:space="0" w:color="5F497A" w:themeColor="accent4" w:themeShade="BF"/>
              <w:bottom w:val="nil"/>
              <w:right w:val="nil"/>
            </w:tcBorders>
            <w:shd w:val="clear" w:color="auto" w:fill="auto"/>
            <w:vAlign w:val="bottom"/>
          </w:tcPr>
          <w:p w14:paraId="2B876A9B" w14:textId="78D8A63F" w:rsidR="00B33D8D" w:rsidRPr="001D41EA" w:rsidRDefault="00B33D8D" w:rsidP="001D41EA">
            <w:pPr>
              <w:spacing w:before="40" w:after="40"/>
              <w:jc w:val="right"/>
              <w:rPr>
                <w:rFonts w:cs="Arial"/>
                <w:sz w:val="18"/>
                <w:szCs w:val="18"/>
              </w:rPr>
            </w:pPr>
            <w:r w:rsidRPr="001D41EA">
              <w:rPr>
                <w:rFonts w:cs="Arial"/>
                <w:sz w:val="18"/>
                <w:szCs w:val="18"/>
              </w:rPr>
              <w:t>14,594</w:t>
            </w:r>
          </w:p>
        </w:tc>
        <w:tc>
          <w:tcPr>
            <w:tcW w:w="1418" w:type="dxa"/>
            <w:tcBorders>
              <w:top w:val="nil"/>
              <w:left w:val="nil"/>
              <w:bottom w:val="nil"/>
              <w:right w:val="nil"/>
            </w:tcBorders>
            <w:shd w:val="clear" w:color="auto" w:fill="auto"/>
            <w:vAlign w:val="bottom"/>
          </w:tcPr>
          <w:p w14:paraId="05118957" w14:textId="2A6EB546" w:rsidR="00B33D8D" w:rsidRPr="001D41EA" w:rsidRDefault="00B33D8D" w:rsidP="00F705DD">
            <w:pPr>
              <w:spacing w:before="40" w:after="40"/>
              <w:jc w:val="center"/>
              <w:rPr>
                <w:rFonts w:cs="Arial"/>
                <w:sz w:val="18"/>
                <w:szCs w:val="18"/>
              </w:rPr>
            </w:pPr>
            <w:r w:rsidRPr="001D41EA">
              <w:rPr>
                <w:rFonts w:cs="Arial"/>
                <w:sz w:val="18"/>
                <w:szCs w:val="18"/>
              </w:rPr>
              <w:t>37.9</w:t>
            </w:r>
          </w:p>
        </w:tc>
        <w:tc>
          <w:tcPr>
            <w:tcW w:w="170" w:type="dxa"/>
            <w:tcBorders>
              <w:top w:val="nil"/>
              <w:left w:val="nil"/>
              <w:bottom w:val="nil"/>
              <w:right w:val="nil"/>
            </w:tcBorders>
            <w:vAlign w:val="bottom"/>
          </w:tcPr>
          <w:p w14:paraId="0CCE7798" w14:textId="659E6555"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67CEC367" w14:textId="742D17F7" w:rsidR="00B33D8D" w:rsidRPr="001D41EA" w:rsidRDefault="00B33D8D" w:rsidP="001D41EA">
            <w:pPr>
              <w:spacing w:before="40" w:after="40"/>
              <w:jc w:val="right"/>
              <w:rPr>
                <w:rFonts w:cs="Arial"/>
                <w:sz w:val="18"/>
                <w:szCs w:val="18"/>
              </w:rPr>
            </w:pPr>
            <w:r w:rsidRPr="001D41EA">
              <w:rPr>
                <w:rFonts w:cs="Arial"/>
                <w:sz w:val="18"/>
                <w:szCs w:val="18"/>
              </w:rPr>
              <w:t>141,845</w:t>
            </w:r>
          </w:p>
        </w:tc>
        <w:tc>
          <w:tcPr>
            <w:tcW w:w="170" w:type="dxa"/>
            <w:tcBorders>
              <w:top w:val="nil"/>
              <w:left w:val="nil"/>
              <w:bottom w:val="nil"/>
              <w:right w:val="nil"/>
            </w:tcBorders>
            <w:vAlign w:val="bottom"/>
          </w:tcPr>
          <w:p w14:paraId="022B47AC" w14:textId="00FD6142"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5169519F" w14:textId="1388E4A4" w:rsidR="00B33D8D" w:rsidRPr="001D41EA" w:rsidRDefault="00B33D8D" w:rsidP="001D41EA">
            <w:pPr>
              <w:spacing w:before="40" w:after="40"/>
              <w:jc w:val="right"/>
              <w:rPr>
                <w:rFonts w:cs="Arial"/>
                <w:sz w:val="18"/>
                <w:szCs w:val="18"/>
              </w:rPr>
            </w:pPr>
            <w:r w:rsidRPr="001D41EA">
              <w:rPr>
                <w:rFonts w:cs="Arial"/>
                <w:sz w:val="18"/>
                <w:szCs w:val="18"/>
              </w:rPr>
              <w:t>11.4</w:t>
            </w:r>
          </w:p>
        </w:tc>
      </w:tr>
      <w:tr w:rsidR="00B33D8D" w:rsidRPr="001D41EA" w14:paraId="146F6C88"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76B4E8D" w14:textId="77777777" w:rsidR="00B33D8D" w:rsidRPr="001D41EA" w:rsidRDefault="00B33D8D" w:rsidP="001D41EA">
            <w:pPr>
              <w:spacing w:before="40" w:after="40"/>
              <w:rPr>
                <w:rFonts w:cs="Arial"/>
                <w:sz w:val="18"/>
                <w:szCs w:val="18"/>
              </w:rPr>
            </w:pPr>
            <w:r w:rsidRPr="001D41EA">
              <w:rPr>
                <w:rFonts w:cs="Arial"/>
                <w:sz w:val="18"/>
                <w:szCs w:val="18"/>
              </w:rPr>
              <w:t>Gannawarra S</w:t>
            </w:r>
          </w:p>
        </w:tc>
        <w:tc>
          <w:tcPr>
            <w:tcW w:w="1418" w:type="dxa"/>
            <w:tcBorders>
              <w:top w:val="nil"/>
              <w:left w:val="single" w:sz="18" w:space="0" w:color="5F497A" w:themeColor="accent4" w:themeShade="BF"/>
              <w:bottom w:val="nil"/>
              <w:right w:val="nil"/>
            </w:tcBorders>
            <w:shd w:val="clear" w:color="auto" w:fill="auto"/>
            <w:vAlign w:val="bottom"/>
          </w:tcPr>
          <w:p w14:paraId="3AB12EF8" w14:textId="05B81BE2" w:rsidR="00B33D8D" w:rsidRPr="001D41EA" w:rsidRDefault="00B33D8D" w:rsidP="001D41EA">
            <w:pPr>
              <w:spacing w:before="40" w:after="40"/>
              <w:jc w:val="right"/>
              <w:rPr>
                <w:rFonts w:cs="Arial"/>
                <w:sz w:val="18"/>
                <w:szCs w:val="18"/>
              </w:rPr>
            </w:pPr>
            <w:r w:rsidRPr="001D41EA">
              <w:rPr>
                <w:rFonts w:cs="Arial"/>
                <w:sz w:val="18"/>
                <w:szCs w:val="18"/>
              </w:rPr>
              <w:t>2,009</w:t>
            </w:r>
          </w:p>
        </w:tc>
        <w:tc>
          <w:tcPr>
            <w:tcW w:w="1418" w:type="dxa"/>
            <w:tcBorders>
              <w:top w:val="nil"/>
              <w:left w:val="nil"/>
              <w:bottom w:val="nil"/>
              <w:right w:val="nil"/>
            </w:tcBorders>
            <w:shd w:val="clear" w:color="auto" w:fill="auto"/>
            <w:vAlign w:val="bottom"/>
          </w:tcPr>
          <w:p w14:paraId="3A63BF54" w14:textId="031263D7" w:rsidR="00B33D8D" w:rsidRPr="001D41EA" w:rsidRDefault="00B33D8D" w:rsidP="00F705DD">
            <w:pPr>
              <w:spacing w:before="40" w:after="40"/>
              <w:jc w:val="center"/>
              <w:rPr>
                <w:rFonts w:cs="Arial"/>
                <w:sz w:val="18"/>
                <w:szCs w:val="18"/>
              </w:rPr>
            </w:pPr>
            <w:r w:rsidRPr="001D41EA">
              <w:rPr>
                <w:rFonts w:cs="Arial"/>
                <w:sz w:val="18"/>
                <w:szCs w:val="18"/>
              </w:rPr>
              <w:t>44.3</w:t>
            </w:r>
          </w:p>
        </w:tc>
        <w:tc>
          <w:tcPr>
            <w:tcW w:w="170" w:type="dxa"/>
            <w:tcBorders>
              <w:top w:val="nil"/>
              <w:left w:val="nil"/>
              <w:bottom w:val="nil"/>
              <w:right w:val="nil"/>
            </w:tcBorders>
            <w:vAlign w:val="bottom"/>
          </w:tcPr>
          <w:p w14:paraId="1FAFCE30" w14:textId="74BEC519"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3685C4A8" w14:textId="738CE9CF" w:rsidR="00B33D8D" w:rsidRPr="001D41EA" w:rsidRDefault="00B33D8D" w:rsidP="001D41EA">
            <w:pPr>
              <w:spacing w:before="40" w:after="40"/>
              <w:jc w:val="right"/>
              <w:rPr>
                <w:rFonts w:cs="Arial"/>
                <w:sz w:val="18"/>
                <w:szCs w:val="18"/>
              </w:rPr>
            </w:pPr>
            <w:r w:rsidRPr="001D41EA">
              <w:rPr>
                <w:rFonts w:cs="Arial"/>
                <w:sz w:val="18"/>
                <w:szCs w:val="18"/>
              </w:rPr>
              <w:t>10,547</w:t>
            </w:r>
          </w:p>
        </w:tc>
        <w:tc>
          <w:tcPr>
            <w:tcW w:w="170" w:type="dxa"/>
            <w:tcBorders>
              <w:top w:val="nil"/>
              <w:left w:val="nil"/>
              <w:bottom w:val="nil"/>
              <w:right w:val="nil"/>
            </w:tcBorders>
            <w:vAlign w:val="bottom"/>
          </w:tcPr>
          <w:p w14:paraId="44D623DE" w14:textId="7FF2A352"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62AD662" w14:textId="1A70765B" w:rsidR="00B33D8D" w:rsidRPr="001D41EA" w:rsidRDefault="00B33D8D" w:rsidP="001D41EA">
            <w:pPr>
              <w:spacing w:before="40" w:after="40"/>
              <w:jc w:val="right"/>
              <w:rPr>
                <w:rFonts w:cs="Arial"/>
                <w:sz w:val="18"/>
                <w:szCs w:val="18"/>
              </w:rPr>
            </w:pPr>
            <w:r w:rsidRPr="001D41EA">
              <w:rPr>
                <w:rFonts w:cs="Arial"/>
                <w:sz w:val="18"/>
                <w:szCs w:val="18"/>
              </w:rPr>
              <w:t>37.6</w:t>
            </w:r>
          </w:p>
        </w:tc>
      </w:tr>
      <w:tr w:rsidR="00B33D8D" w:rsidRPr="001D41EA" w14:paraId="4D37606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1A36BB6" w14:textId="77777777" w:rsidR="00B33D8D" w:rsidRPr="001D41EA" w:rsidRDefault="00B33D8D" w:rsidP="001D41EA">
            <w:pPr>
              <w:spacing w:before="40" w:after="40"/>
              <w:rPr>
                <w:rFonts w:cs="Arial"/>
                <w:sz w:val="18"/>
                <w:szCs w:val="18"/>
              </w:rPr>
            </w:pPr>
            <w:r w:rsidRPr="001D41EA">
              <w:rPr>
                <w:rFonts w:cs="Arial"/>
                <w:sz w:val="18"/>
                <w:szCs w:val="18"/>
              </w:rPr>
              <w:t>Glen Eira C</w:t>
            </w:r>
          </w:p>
        </w:tc>
        <w:tc>
          <w:tcPr>
            <w:tcW w:w="1418" w:type="dxa"/>
            <w:tcBorders>
              <w:top w:val="nil"/>
              <w:left w:val="single" w:sz="18" w:space="0" w:color="5F497A" w:themeColor="accent4" w:themeShade="BF"/>
              <w:bottom w:val="nil"/>
              <w:right w:val="nil"/>
            </w:tcBorders>
            <w:shd w:val="clear" w:color="auto" w:fill="auto"/>
            <w:vAlign w:val="bottom"/>
          </w:tcPr>
          <w:p w14:paraId="4567D17A" w14:textId="67793462" w:rsidR="00B33D8D" w:rsidRPr="001D41EA" w:rsidRDefault="00B33D8D" w:rsidP="001D41EA">
            <w:pPr>
              <w:spacing w:before="40" w:after="40"/>
              <w:jc w:val="right"/>
              <w:rPr>
                <w:rFonts w:cs="Arial"/>
                <w:sz w:val="18"/>
                <w:szCs w:val="18"/>
              </w:rPr>
            </w:pPr>
            <w:r w:rsidRPr="001D41EA">
              <w:rPr>
                <w:rFonts w:cs="Arial"/>
                <w:sz w:val="18"/>
                <w:szCs w:val="18"/>
              </w:rPr>
              <w:t>11,100</w:t>
            </w:r>
          </w:p>
        </w:tc>
        <w:tc>
          <w:tcPr>
            <w:tcW w:w="1418" w:type="dxa"/>
            <w:tcBorders>
              <w:top w:val="nil"/>
              <w:left w:val="nil"/>
              <w:bottom w:val="nil"/>
              <w:right w:val="nil"/>
            </w:tcBorders>
            <w:shd w:val="clear" w:color="auto" w:fill="auto"/>
            <w:vAlign w:val="bottom"/>
          </w:tcPr>
          <w:p w14:paraId="3ADBFD2D" w14:textId="2FDB7DB4" w:rsidR="00B33D8D" w:rsidRPr="001D41EA" w:rsidRDefault="00B33D8D" w:rsidP="00F705DD">
            <w:pPr>
              <w:spacing w:before="40" w:after="40"/>
              <w:jc w:val="center"/>
              <w:rPr>
                <w:rFonts w:cs="Arial"/>
                <w:sz w:val="18"/>
                <w:szCs w:val="18"/>
              </w:rPr>
            </w:pPr>
            <w:r w:rsidRPr="001D41EA">
              <w:rPr>
                <w:rFonts w:cs="Arial"/>
                <w:sz w:val="18"/>
                <w:szCs w:val="18"/>
              </w:rPr>
              <w:t>31.5</w:t>
            </w:r>
          </w:p>
        </w:tc>
        <w:tc>
          <w:tcPr>
            <w:tcW w:w="170" w:type="dxa"/>
            <w:tcBorders>
              <w:top w:val="nil"/>
              <w:left w:val="nil"/>
              <w:bottom w:val="nil"/>
              <w:right w:val="nil"/>
            </w:tcBorders>
            <w:vAlign w:val="bottom"/>
          </w:tcPr>
          <w:p w14:paraId="248C889B" w14:textId="036AC849"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3E61734E" w14:textId="12721DA9" w:rsidR="00B33D8D" w:rsidRPr="001D41EA" w:rsidRDefault="00B33D8D" w:rsidP="001D41EA">
            <w:pPr>
              <w:spacing w:before="40" w:after="40"/>
              <w:jc w:val="right"/>
              <w:rPr>
                <w:rFonts w:cs="Arial"/>
                <w:sz w:val="18"/>
                <w:szCs w:val="18"/>
              </w:rPr>
            </w:pPr>
            <w:r w:rsidRPr="001D41EA">
              <w:rPr>
                <w:rFonts w:cs="Arial"/>
                <w:sz w:val="18"/>
                <w:szCs w:val="18"/>
              </w:rPr>
              <w:t>153,858</w:t>
            </w:r>
          </w:p>
        </w:tc>
        <w:tc>
          <w:tcPr>
            <w:tcW w:w="170" w:type="dxa"/>
            <w:tcBorders>
              <w:top w:val="nil"/>
              <w:left w:val="nil"/>
              <w:bottom w:val="nil"/>
              <w:right w:val="nil"/>
            </w:tcBorders>
            <w:vAlign w:val="bottom"/>
          </w:tcPr>
          <w:p w14:paraId="3B915EBD" w14:textId="3EE8A9DF"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52EC459C" w14:textId="7EC9A2CE" w:rsidR="00B33D8D" w:rsidRPr="001D41EA" w:rsidRDefault="00B33D8D" w:rsidP="001D41EA">
            <w:pPr>
              <w:spacing w:before="40" w:after="40"/>
              <w:jc w:val="right"/>
              <w:rPr>
                <w:rFonts w:cs="Arial"/>
                <w:sz w:val="18"/>
                <w:szCs w:val="18"/>
              </w:rPr>
            </w:pPr>
            <w:r w:rsidRPr="001D41EA">
              <w:rPr>
                <w:rFonts w:cs="Arial"/>
                <w:sz w:val="18"/>
                <w:szCs w:val="18"/>
              </w:rPr>
              <w:t> </w:t>
            </w:r>
          </w:p>
        </w:tc>
      </w:tr>
      <w:tr w:rsidR="00B33D8D" w:rsidRPr="001D41EA" w14:paraId="50513B68"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07AAE2E" w14:textId="77777777" w:rsidR="00B33D8D" w:rsidRPr="001D41EA" w:rsidRDefault="00B33D8D" w:rsidP="001D41EA">
            <w:pPr>
              <w:spacing w:before="40" w:after="40"/>
              <w:rPr>
                <w:rFonts w:cs="Arial"/>
                <w:sz w:val="18"/>
                <w:szCs w:val="18"/>
              </w:rPr>
            </w:pPr>
            <w:r w:rsidRPr="001D41EA">
              <w:rPr>
                <w:rFonts w:cs="Arial"/>
                <w:sz w:val="18"/>
                <w:szCs w:val="18"/>
              </w:rPr>
              <w:t>Glenelg S</w:t>
            </w:r>
          </w:p>
        </w:tc>
        <w:tc>
          <w:tcPr>
            <w:tcW w:w="1418" w:type="dxa"/>
            <w:tcBorders>
              <w:top w:val="nil"/>
              <w:left w:val="single" w:sz="18" w:space="0" w:color="5F497A" w:themeColor="accent4" w:themeShade="BF"/>
              <w:bottom w:val="nil"/>
              <w:right w:val="nil"/>
            </w:tcBorders>
            <w:shd w:val="clear" w:color="auto" w:fill="auto"/>
            <w:vAlign w:val="bottom"/>
          </w:tcPr>
          <w:p w14:paraId="5D78F539" w14:textId="1877AE07" w:rsidR="00B33D8D" w:rsidRPr="001D41EA" w:rsidRDefault="00B33D8D" w:rsidP="001D41EA">
            <w:pPr>
              <w:spacing w:before="40" w:after="40"/>
              <w:jc w:val="right"/>
              <w:rPr>
                <w:rFonts w:cs="Arial"/>
                <w:sz w:val="18"/>
                <w:szCs w:val="18"/>
              </w:rPr>
            </w:pPr>
            <w:r w:rsidRPr="001D41EA">
              <w:rPr>
                <w:rFonts w:cs="Arial"/>
                <w:sz w:val="18"/>
                <w:szCs w:val="18"/>
              </w:rPr>
              <w:t>2,999</w:t>
            </w:r>
          </w:p>
        </w:tc>
        <w:tc>
          <w:tcPr>
            <w:tcW w:w="1418" w:type="dxa"/>
            <w:tcBorders>
              <w:top w:val="nil"/>
              <w:left w:val="nil"/>
              <w:bottom w:val="nil"/>
              <w:right w:val="nil"/>
            </w:tcBorders>
            <w:shd w:val="clear" w:color="auto" w:fill="auto"/>
            <w:vAlign w:val="bottom"/>
          </w:tcPr>
          <w:p w14:paraId="046475BC" w14:textId="425BF951" w:rsidR="00B33D8D" w:rsidRPr="001D41EA" w:rsidRDefault="00B33D8D" w:rsidP="00F705DD">
            <w:pPr>
              <w:spacing w:before="40" w:after="40"/>
              <w:jc w:val="center"/>
              <w:rPr>
                <w:rFonts w:cs="Arial"/>
                <w:sz w:val="18"/>
                <w:szCs w:val="18"/>
              </w:rPr>
            </w:pPr>
            <w:r w:rsidRPr="001D41EA">
              <w:rPr>
                <w:rFonts w:cs="Arial"/>
                <w:sz w:val="18"/>
                <w:szCs w:val="18"/>
              </w:rPr>
              <w:t>38.7</w:t>
            </w:r>
          </w:p>
        </w:tc>
        <w:tc>
          <w:tcPr>
            <w:tcW w:w="170" w:type="dxa"/>
            <w:tcBorders>
              <w:top w:val="nil"/>
              <w:left w:val="nil"/>
              <w:bottom w:val="nil"/>
              <w:right w:val="nil"/>
            </w:tcBorders>
            <w:vAlign w:val="bottom"/>
          </w:tcPr>
          <w:p w14:paraId="1D056199" w14:textId="72F3EB49"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727DFC2D" w14:textId="5D7869CC" w:rsidR="00B33D8D" w:rsidRPr="001D41EA" w:rsidRDefault="00B33D8D" w:rsidP="001D41EA">
            <w:pPr>
              <w:spacing w:before="40" w:after="40"/>
              <w:jc w:val="right"/>
              <w:rPr>
                <w:rFonts w:cs="Arial"/>
                <w:sz w:val="18"/>
                <w:szCs w:val="18"/>
              </w:rPr>
            </w:pPr>
            <w:r w:rsidRPr="001D41EA">
              <w:rPr>
                <w:rFonts w:cs="Arial"/>
                <w:sz w:val="18"/>
                <w:szCs w:val="18"/>
              </w:rPr>
              <w:t>19,665</w:t>
            </w:r>
          </w:p>
        </w:tc>
        <w:tc>
          <w:tcPr>
            <w:tcW w:w="170" w:type="dxa"/>
            <w:tcBorders>
              <w:top w:val="nil"/>
              <w:left w:val="nil"/>
              <w:bottom w:val="nil"/>
              <w:right w:val="nil"/>
            </w:tcBorders>
            <w:vAlign w:val="bottom"/>
          </w:tcPr>
          <w:p w14:paraId="66404321" w14:textId="6F7F9AFC"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A5C41B3" w14:textId="0D69BA9F" w:rsidR="00B33D8D" w:rsidRPr="001D41EA" w:rsidRDefault="00B33D8D" w:rsidP="001D41EA">
            <w:pPr>
              <w:spacing w:before="40" w:after="40"/>
              <w:jc w:val="right"/>
              <w:rPr>
                <w:rFonts w:cs="Arial"/>
                <w:sz w:val="18"/>
                <w:szCs w:val="18"/>
              </w:rPr>
            </w:pPr>
            <w:r w:rsidRPr="001D41EA">
              <w:rPr>
                <w:rFonts w:cs="Arial"/>
                <w:sz w:val="18"/>
                <w:szCs w:val="18"/>
              </w:rPr>
              <w:t>37.4</w:t>
            </w:r>
          </w:p>
        </w:tc>
      </w:tr>
      <w:tr w:rsidR="00B33D8D" w:rsidRPr="001D41EA" w14:paraId="39A24A1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760D447" w14:textId="77777777" w:rsidR="00B33D8D" w:rsidRPr="001D41EA" w:rsidRDefault="00B33D8D" w:rsidP="001D41EA">
            <w:pPr>
              <w:spacing w:before="40" w:after="40"/>
              <w:rPr>
                <w:rFonts w:cs="Arial"/>
                <w:sz w:val="18"/>
                <w:szCs w:val="18"/>
              </w:rPr>
            </w:pPr>
            <w:r w:rsidRPr="001D41EA">
              <w:rPr>
                <w:rFonts w:cs="Arial"/>
                <w:sz w:val="18"/>
                <w:szCs w:val="18"/>
              </w:rPr>
              <w:t>Golden Plains S</w:t>
            </w:r>
          </w:p>
        </w:tc>
        <w:tc>
          <w:tcPr>
            <w:tcW w:w="1418" w:type="dxa"/>
            <w:tcBorders>
              <w:top w:val="nil"/>
              <w:left w:val="single" w:sz="18" w:space="0" w:color="5F497A" w:themeColor="accent4" w:themeShade="BF"/>
              <w:bottom w:val="nil"/>
              <w:right w:val="nil"/>
            </w:tcBorders>
            <w:shd w:val="clear" w:color="auto" w:fill="auto"/>
            <w:vAlign w:val="bottom"/>
          </w:tcPr>
          <w:p w14:paraId="38BC9D48" w14:textId="2C293004" w:rsidR="00B33D8D" w:rsidRPr="001D41EA" w:rsidRDefault="00B33D8D" w:rsidP="001D41EA">
            <w:pPr>
              <w:spacing w:before="40" w:after="40"/>
              <w:jc w:val="right"/>
              <w:rPr>
                <w:rFonts w:cs="Arial"/>
                <w:sz w:val="18"/>
                <w:szCs w:val="18"/>
              </w:rPr>
            </w:pPr>
            <w:r w:rsidRPr="001D41EA">
              <w:rPr>
                <w:rFonts w:cs="Arial"/>
                <w:sz w:val="18"/>
                <w:szCs w:val="18"/>
              </w:rPr>
              <w:t>1,955</w:t>
            </w:r>
          </w:p>
        </w:tc>
        <w:tc>
          <w:tcPr>
            <w:tcW w:w="1418" w:type="dxa"/>
            <w:tcBorders>
              <w:top w:val="nil"/>
              <w:left w:val="nil"/>
              <w:bottom w:val="nil"/>
              <w:right w:val="nil"/>
            </w:tcBorders>
            <w:shd w:val="clear" w:color="auto" w:fill="auto"/>
            <w:vAlign w:val="bottom"/>
          </w:tcPr>
          <w:p w14:paraId="36EAA5CE" w14:textId="4323E384" w:rsidR="00B33D8D" w:rsidRPr="001D41EA" w:rsidRDefault="00B33D8D" w:rsidP="00F705DD">
            <w:pPr>
              <w:spacing w:before="40" w:after="40"/>
              <w:jc w:val="center"/>
              <w:rPr>
                <w:rFonts w:cs="Arial"/>
                <w:sz w:val="18"/>
                <w:szCs w:val="18"/>
              </w:rPr>
            </w:pPr>
            <w:r w:rsidRPr="001D41EA">
              <w:rPr>
                <w:rFonts w:cs="Arial"/>
                <w:sz w:val="18"/>
                <w:szCs w:val="18"/>
              </w:rPr>
              <w:t>33.3</w:t>
            </w:r>
          </w:p>
        </w:tc>
        <w:tc>
          <w:tcPr>
            <w:tcW w:w="170" w:type="dxa"/>
            <w:tcBorders>
              <w:top w:val="nil"/>
              <w:left w:val="nil"/>
              <w:bottom w:val="nil"/>
              <w:right w:val="nil"/>
            </w:tcBorders>
            <w:vAlign w:val="bottom"/>
          </w:tcPr>
          <w:p w14:paraId="62E790B9" w14:textId="36DF1FB8"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68A7EE95" w14:textId="52DC2587" w:rsidR="00B33D8D" w:rsidRPr="001D41EA" w:rsidRDefault="00B33D8D" w:rsidP="001D41EA">
            <w:pPr>
              <w:spacing w:before="40" w:after="40"/>
              <w:jc w:val="right"/>
              <w:rPr>
                <w:rFonts w:cs="Arial"/>
                <w:sz w:val="18"/>
                <w:szCs w:val="18"/>
              </w:rPr>
            </w:pPr>
            <w:r w:rsidRPr="001D41EA">
              <w:rPr>
                <w:rFonts w:cs="Arial"/>
                <w:sz w:val="18"/>
                <w:szCs w:val="18"/>
              </w:rPr>
              <w:t>23,120</w:t>
            </w:r>
          </w:p>
        </w:tc>
        <w:tc>
          <w:tcPr>
            <w:tcW w:w="170" w:type="dxa"/>
            <w:tcBorders>
              <w:top w:val="nil"/>
              <w:left w:val="nil"/>
              <w:bottom w:val="nil"/>
              <w:right w:val="nil"/>
            </w:tcBorders>
            <w:vAlign w:val="bottom"/>
          </w:tcPr>
          <w:p w14:paraId="0D78C11E" w14:textId="62989F6E"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C956075" w14:textId="142934AD" w:rsidR="00B33D8D" w:rsidRPr="001D41EA" w:rsidRDefault="00B33D8D" w:rsidP="001D41EA">
            <w:pPr>
              <w:spacing w:before="40" w:after="40"/>
              <w:jc w:val="right"/>
              <w:rPr>
                <w:rFonts w:cs="Arial"/>
                <w:sz w:val="18"/>
                <w:szCs w:val="18"/>
              </w:rPr>
            </w:pPr>
            <w:r w:rsidRPr="001D41EA">
              <w:rPr>
                <w:rFonts w:cs="Arial"/>
                <w:sz w:val="18"/>
                <w:szCs w:val="18"/>
              </w:rPr>
              <w:t>42.6</w:t>
            </w:r>
          </w:p>
        </w:tc>
      </w:tr>
      <w:tr w:rsidR="00B33D8D" w:rsidRPr="001D41EA" w14:paraId="37CC4408"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2000E79" w14:textId="77777777" w:rsidR="00B33D8D" w:rsidRPr="001D41EA" w:rsidRDefault="00B33D8D" w:rsidP="001D41EA">
            <w:pPr>
              <w:spacing w:before="40" w:after="40"/>
              <w:rPr>
                <w:rFonts w:cs="Arial"/>
                <w:sz w:val="18"/>
                <w:szCs w:val="18"/>
              </w:rPr>
            </w:pPr>
            <w:r w:rsidRPr="001D41EA">
              <w:rPr>
                <w:rFonts w:cs="Arial"/>
                <w:sz w:val="18"/>
                <w:szCs w:val="18"/>
              </w:rPr>
              <w:t>Greater Bendigo C</w:t>
            </w:r>
          </w:p>
        </w:tc>
        <w:tc>
          <w:tcPr>
            <w:tcW w:w="1418" w:type="dxa"/>
            <w:tcBorders>
              <w:top w:val="nil"/>
              <w:left w:val="single" w:sz="18" w:space="0" w:color="5F497A" w:themeColor="accent4" w:themeShade="BF"/>
              <w:bottom w:val="nil"/>
              <w:right w:val="nil"/>
            </w:tcBorders>
            <w:shd w:val="clear" w:color="auto" w:fill="auto"/>
            <w:vAlign w:val="bottom"/>
          </w:tcPr>
          <w:p w14:paraId="7737F672" w14:textId="0BD6920A" w:rsidR="00B33D8D" w:rsidRPr="001D41EA" w:rsidRDefault="00B33D8D" w:rsidP="001D41EA">
            <w:pPr>
              <w:spacing w:before="40" w:after="40"/>
              <w:jc w:val="right"/>
              <w:rPr>
                <w:rFonts w:cs="Arial"/>
                <w:sz w:val="18"/>
                <w:szCs w:val="18"/>
              </w:rPr>
            </w:pPr>
            <w:r w:rsidRPr="001D41EA">
              <w:rPr>
                <w:rFonts w:cs="Arial"/>
                <w:sz w:val="18"/>
                <w:szCs w:val="18"/>
              </w:rPr>
              <w:t>13,871</w:t>
            </w:r>
          </w:p>
        </w:tc>
        <w:tc>
          <w:tcPr>
            <w:tcW w:w="1418" w:type="dxa"/>
            <w:tcBorders>
              <w:top w:val="nil"/>
              <w:left w:val="nil"/>
              <w:bottom w:val="nil"/>
              <w:right w:val="nil"/>
            </w:tcBorders>
            <w:shd w:val="clear" w:color="auto" w:fill="auto"/>
            <w:vAlign w:val="bottom"/>
          </w:tcPr>
          <w:p w14:paraId="38F65FFC" w14:textId="41AD3E28" w:rsidR="00B33D8D" w:rsidRPr="001D41EA" w:rsidRDefault="00B33D8D" w:rsidP="00F705DD">
            <w:pPr>
              <w:spacing w:before="40" w:after="40"/>
              <w:jc w:val="center"/>
              <w:rPr>
                <w:rFonts w:cs="Arial"/>
                <w:sz w:val="18"/>
                <w:szCs w:val="18"/>
              </w:rPr>
            </w:pPr>
            <w:r w:rsidRPr="001D41EA">
              <w:rPr>
                <w:rFonts w:cs="Arial"/>
                <w:sz w:val="18"/>
                <w:szCs w:val="18"/>
              </w:rPr>
              <w:t>38.3</w:t>
            </w:r>
          </w:p>
        </w:tc>
        <w:tc>
          <w:tcPr>
            <w:tcW w:w="170" w:type="dxa"/>
            <w:tcBorders>
              <w:top w:val="nil"/>
              <w:left w:val="nil"/>
              <w:bottom w:val="nil"/>
              <w:right w:val="nil"/>
            </w:tcBorders>
            <w:vAlign w:val="bottom"/>
          </w:tcPr>
          <w:p w14:paraId="5ECD2807" w14:textId="5C165BED"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7F857A71" w14:textId="2E366B09" w:rsidR="00B33D8D" w:rsidRPr="001D41EA" w:rsidRDefault="00B33D8D" w:rsidP="001D41EA">
            <w:pPr>
              <w:spacing w:before="40" w:after="40"/>
              <w:jc w:val="right"/>
              <w:rPr>
                <w:rFonts w:cs="Arial"/>
                <w:sz w:val="18"/>
                <w:szCs w:val="18"/>
              </w:rPr>
            </w:pPr>
            <w:r w:rsidRPr="001D41EA">
              <w:rPr>
                <w:rFonts w:cs="Arial"/>
                <w:sz w:val="18"/>
                <w:szCs w:val="18"/>
              </w:rPr>
              <w:t>116,045</w:t>
            </w:r>
          </w:p>
        </w:tc>
        <w:tc>
          <w:tcPr>
            <w:tcW w:w="170" w:type="dxa"/>
            <w:tcBorders>
              <w:top w:val="nil"/>
              <w:left w:val="nil"/>
              <w:bottom w:val="nil"/>
              <w:right w:val="nil"/>
            </w:tcBorders>
            <w:vAlign w:val="bottom"/>
          </w:tcPr>
          <w:p w14:paraId="3EB74274" w14:textId="78B4FE53"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177D2A4B" w14:textId="528DAFFC" w:rsidR="00B33D8D" w:rsidRPr="001D41EA" w:rsidRDefault="00B33D8D" w:rsidP="001D41EA">
            <w:pPr>
              <w:spacing w:before="40" w:after="40"/>
              <w:jc w:val="right"/>
              <w:rPr>
                <w:rFonts w:cs="Arial"/>
                <w:sz w:val="18"/>
                <w:szCs w:val="18"/>
              </w:rPr>
            </w:pPr>
            <w:r w:rsidRPr="001D41EA">
              <w:rPr>
                <w:rFonts w:cs="Arial"/>
                <w:sz w:val="18"/>
                <w:szCs w:val="18"/>
              </w:rPr>
              <w:t>20.8</w:t>
            </w:r>
          </w:p>
        </w:tc>
      </w:tr>
      <w:tr w:rsidR="00B33D8D" w:rsidRPr="001D41EA" w14:paraId="55671E1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25AB701" w14:textId="77777777" w:rsidR="00B33D8D" w:rsidRPr="001D41EA" w:rsidRDefault="00B33D8D" w:rsidP="001D41EA">
            <w:pPr>
              <w:spacing w:before="40" w:after="40"/>
              <w:rPr>
                <w:rFonts w:cs="Arial"/>
                <w:sz w:val="18"/>
                <w:szCs w:val="18"/>
              </w:rPr>
            </w:pPr>
            <w:r w:rsidRPr="001D41EA">
              <w:rPr>
                <w:rFonts w:cs="Arial"/>
                <w:sz w:val="18"/>
                <w:szCs w:val="18"/>
              </w:rPr>
              <w:t>Greater Dandenong C</w:t>
            </w:r>
          </w:p>
        </w:tc>
        <w:tc>
          <w:tcPr>
            <w:tcW w:w="1418" w:type="dxa"/>
            <w:tcBorders>
              <w:top w:val="nil"/>
              <w:left w:val="single" w:sz="18" w:space="0" w:color="5F497A" w:themeColor="accent4" w:themeShade="BF"/>
              <w:bottom w:val="nil"/>
              <w:right w:val="nil"/>
            </w:tcBorders>
            <w:shd w:val="clear" w:color="auto" w:fill="auto"/>
            <w:vAlign w:val="bottom"/>
          </w:tcPr>
          <w:p w14:paraId="5D2B81DF" w14:textId="20A53DE0" w:rsidR="00B33D8D" w:rsidRPr="001D41EA" w:rsidRDefault="00B33D8D" w:rsidP="001D41EA">
            <w:pPr>
              <w:spacing w:before="40" w:after="40"/>
              <w:jc w:val="right"/>
              <w:rPr>
                <w:rFonts w:cs="Arial"/>
                <w:sz w:val="18"/>
                <w:szCs w:val="18"/>
              </w:rPr>
            </w:pPr>
            <w:r w:rsidRPr="001D41EA">
              <w:rPr>
                <w:rFonts w:cs="Arial"/>
                <w:sz w:val="18"/>
                <w:szCs w:val="18"/>
              </w:rPr>
              <w:t>16,987</w:t>
            </w:r>
          </w:p>
        </w:tc>
        <w:tc>
          <w:tcPr>
            <w:tcW w:w="1418" w:type="dxa"/>
            <w:tcBorders>
              <w:top w:val="nil"/>
              <w:left w:val="nil"/>
              <w:bottom w:val="nil"/>
              <w:right w:val="nil"/>
            </w:tcBorders>
            <w:shd w:val="clear" w:color="auto" w:fill="auto"/>
            <w:vAlign w:val="bottom"/>
          </w:tcPr>
          <w:p w14:paraId="6922200D" w14:textId="7E43805B" w:rsidR="00B33D8D" w:rsidRPr="001D41EA" w:rsidRDefault="00B33D8D" w:rsidP="00F705DD">
            <w:pPr>
              <w:spacing w:before="40" w:after="40"/>
              <w:jc w:val="center"/>
              <w:rPr>
                <w:rFonts w:cs="Arial"/>
                <w:sz w:val="18"/>
                <w:szCs w:val="18"/>
              </w:rPr>
            </w:pPr>
            <w:r w:rsidRPr="001D41EA">
              <w:rPr>
                <w:rFonts w:cs="Arial"/>
                <w:sz w:val="18"/>
                <w:szCs w:val="18"/>
              </w:rPr>
              <w:t>39.4</w:t>
            </w:r>
          </w:p>
        </w:tc>
        <w:tc>
          <w:tcPr>
            <w:tcW w:w="170" w:type="dxa"/>
            <w:tcBorders>
              <w:top w:val="nil"/>
              <w:left w:val="nil"/>
              <w:bottom w:val="nil"/>
              <w:right w:val="nil"/>
            </w:tcBorders>
            <w:vAlign w:val="bottom"/>
          </w:tcPr>
          <w:p w14:paraId="5D347CF8" w14:textId="21F0DD9D"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41AB25AA" w14:textId="7EA015EC" w:rsidR="00B33D8D" w:rsidRPr="001D41EA" w:rsidRDefault="00B33D8D" w:rsidP="001D41EA">
            <w:pPr>
              <w:spacing w:before="40" w:after="40"/>
              <w:jc w:val="right"/>
              <w:rPr>
                <w:rFonts w:cs="Arial"/>
                <w:sz w:val="18"/>
                <w:szCs w:val="18"/>
              </w:rPr>
            </w:pPr>
            <w:r w:rsidRPr="001D41EA">
              <w:rPr>
                <w:rFonts w:cs="Arial"/>
                <w:sz w:val="18"/>
                <w:szCs w:val="18"/>
              </w:rPr>
              <w:t>166,094</w:t>
            </w:r>
          </w:p>
        </w:tc>
        <w:tc>
          <w:tcPr>
            <w:tcW w:w="170" w:type="dxa"/>
            <w:tcBorders>
              <w:top w:val="nil"/>
              <w:left w:val="nil"/>
              <w:bottom w:val="nil"/>
              <w:right w:val="nil"/>
            </w:tcBorders>
            <w:vAlign w:val="bottom"/>
          </w:tcPr>
          <w:p w14:paraId="5DD0AFFD" w14:textId="5E75EA1B"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9FC76D2" w14:textId="6CA2F2E2" w:rsidR="00B33D8D" w:rsidRPr="001D41EA" w:rsidRDefault="00B33D8D" w:rsidP="001D41EA">
            <w:pPr>
              <w:spacing w:before="40" w:after="40"/>
              <w:jc w:val="right"/>
              <w:rPr>
                <w:rFonts w:cs="Arial"/>
                <w:sz w:val="18"/>
                <w:szCs w:val="18"/>
              </w:rPr>
            </w:pPr>
            <w:r w:rsidRPr="001D41EA">
              <w:rPr>
                <w:rFonts w:cs="Arial"/>
                <w:sz w:val="18"/>
                <w:szCs w:val="18"/>
              </w:rPr>
              <w:t>1.4</w:t>
            </w:r>
          </w:p>
        </w:tc>
      </w:tr>
      <w:tr w:rsidR="00B33D8D" w:rsidRPr="001D41EA" w14:paraId="7F908BE6"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FF972D3" w14:textId="77777777" w:rsidR="00B33D8D" w:rsidRPr="001D41EA" w:rsidRDefault="00B33D8D" w:rsidP="001D41EA">
            <w:pPr>
              <w:spacing w:before="40" w:after="40"/>
              <w:rPr>
                <w:rFonts w:cs="Arial"/>
                <w:sz w:val="18"/>
                <w:szCs w:val="18"/>
              </w:rPr>
            </w:pPr>
            <w:r w:rsidRPr="001D41EA">
              <w:rPr>
                <w:rFonts w:cs="Arial"/>
                <w:sz w:val="18"/>
                <w:szCs w:val="18"/>
              </w:rPr>
              <w:t>Greater Geelong C</w:t>
            </w:r>
          </w:p>
        </w:tc>
        <w:tc>
          <w:tcPr>
            <w:tcW w:w="1418" w:type="dxa"/>
            <w:tcBorders>
              <w:top w:val="nil"/>
              <w:left w:val="single" w:sz="18" w:space="0" w:color="5F497A" w:themeColor="accent4" w:themeShade="BF"/>
              <w:bottom w:val="nil"/>
              <w:right w:val="nil"/>
            </w:tcBorders>
            <w:shd w:val="clear" w:color="auto" w:fill="auto"/>
            <w:vAlign w:val="bottom"/>
          </w:tcPr>
          <w:p w14:paraId="4FB70422" w14:textId="424CC994" w:rsidR="00B33D8D" w:rsidRPr="001D41EA" w:rsidRDefault="00B33D8D" w:rsidP="001D41EA">
            <w:pPr>
              <w:spacing w:before="40" w:after="40"/>
              <w:jc w:val="right"/>
              <w:rPr>
                <w:rFonts w:cs="Arial"/>
                <w:sz w:val="18"/>
                <w:szCs w:val="18"/>
              </w:rPr>
            </w:pPr>
            <w:r w:rsidRPr="001D41EA">
              <w:rPr>
                <w:rFonts w:cs="Arial"/>
                <w:sz w:val="18"/>
                <w:szCs w:val="18"/>
              </w:rPr>
              <w:t>30,445</w:t>
            </w:r>
          </w:p>
        </w:tc>
        <w:tc>
          <w:tcPr>
            <w:tcW w:w="1418" w:type="dxa"/>
            <w:tcBorders>
              <w:top w:val="nil"/>
              <w:left w:val="nil"/>
              <w:bottom w:val="nil"/>
              <w:right w:val="nil"/>
            </w:tcBorders>
            <w:shd w:val="clear" w:color="auto" w:fill="auto"/>
            <w:vAlign w:val="bottom"/>
          </w:tcPr>
          <w:p w14:paraId="3B267361" w14:textId="16DE07D0" w:rsidR="00B33D8D" w:rsidRPr="001D41EA" w:rsidRDefault="00B33D8D" w:rsidP="00F705DD">
            <w:pPr>
              <w:spacing w:before="40" w:after="40"/>
              <w:jc w:val="center"/>
              <w:rPr>
                <w:rFonts w:cs="Arial"/>
                <w:sz w:val="18"/>
                <w:szCs w:val="18"/>
              </w:rPr>
            </w:pPr>
            <w:r w:rsidRPr="001D41EA">
              <w:rPr>
                <w:rFonts w:cs="Arial"/>
                <w:sz w:val="18"/>
                <w:szCs w:val="18"/>
              </w:rPr>
              <w:t>39.2</w:t>
            </w:r>
          </w:p>
        </w:tc>
        <w:tc>
          <w:tcPr>
            <w:tcW w:w="170" w:type="dxa"/>
            <w:tcBorders>
              <w:top w:val="nil"/>
              <w:left w:val="nil"/>
              <w:bottom w:val="nil"/>
              <w:right w:val="nil"/>
            </w:tcBorders>
            <w:vAlign w:val="bottom"/>
          </w:tcPr>
          <w:p w14:paraId="4D2520B6" w14:textId="69F16EEF"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2464C31B" w14:textId="5EDE7041" w:rsidR="00B33D8D" w:rsidRPr="001D41EA" w:rsidRDefault="00B33D8D" w:rsidP="001D41EA">
            <w:pPr>
              <w:spacing w:before="40" w:after="40"/>
              <w:jc w:val="right"/>
              <w:rPr>
                <w:rFonts w:cs="Arial"/>
                <w:sz w:val="18"/>
                <w:szCs w:val="18"/>
              </w:rPr>
            </w:pPr>
            <w:r w:rsidRPr="001D41EA">
              <w:rPr>
                <w:rFonts w:cs="Arial"/>
                <w:sz w:val="18"/>
                <w:szCs w:val="18"/>
              </w:rPr>
              <w:t>252,217</w:t>
            </w:r>
          </w:p>
        </w:tc>
        <w:tc>
          <w:tcPr>
            <w:tcW w:w="170" w:type="dxa"/>
            <w:tcBorders>
              <w:top w:val="nil"/>
              <w:left w:val="nil"/>
              <w:bottom w:val="nil"/>
              <w:right w:val="nil"/>
            </w:tcBorders>
            <w:vAlign w:val="bottom"/>
          </w:tcPr>
          <w:p w14:paraId="489DA63E" w14:textId="16856893"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2FF84A5" w14:textId="170985A7" w:rsidR="00B33D8D" w:rsidRPr="001D41EA" w:rsidRDefault="00B33D8D" w:rsidP="001D41EA">
            <w:pPr>
              <w:spacing w:before="40" w:after="40"/>
              <w:jc w:val="right"/>
              <w:rPr>
                <w:rFonts w:cs="Arial"/>
                <w:sz w:val="18"/>
                <w:szCs w:val="18"/>
              </w:rPr>
            </w:pPr>
            <w:r w:rsidRPr="001D41EA">
              <w:rPr>
                <w:rFonts w:cs="Arial"/>
                <w:sz w:val="18"/>
                <w:szCs w:val="18"/>
              </w:rPr>
              <w:t>10.1</w:t>
            </w:r>
          </w:p>
        </w:tc>
      </w:tr>
      <w:tr w:rsidR="00B33D8D" w:rsidRPr="001D41EA" w14:paraId="3E13083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753EE37" w14:textId="77777777" w:rsidR="00B33D8D" w:rsidRPr="001D41EA" w:rsidRDefault="00B33D8D" w:rsidP="001D41EA">
            <w:pPr>
              <w:spacing w:before="40" w:after="40"/>
              <w:rPr>
                <w:rFonts w:cs="Arial"/>
                <w:sz w:val="18"/>
                <w:szCs w:val="18"/>
              </w:rPr>
            </w:pPr>
            <w:r w:rsidRPr="001D41EA">
              <w:rPr>
                <w:rFonts w:cs="Arial"/>
                <w:sz w:val="18"/>
                <w:szCs w:val="18"/>
              </w:rPr>
              <w:t>Greater Shepparton C</w:t>
            </w:r>
          </w:p>
        </w:tc>
        <w:tc>
          <w:tcPr>
            <w:tcW w:w="1418" w:type="dxa"/>
            <w:tcBorders>
              <w:top w:val="nil"/>
              <w:left w:val="single" w:sz="18" w:space="0" w:color="5F497A" w:themeColor="accent4" w:themeShade="BF"/>
              <w:bottom w:val="nil"/>
              <w:right w:val="nil"/>
            </w:tcBorders>
            <w:shd w:val="clear" w:color="auto" w:fill="auto"/>
            <w:vAlign w:val="bottom"/>
          </w:tcPr>
          <w:p w14:paraId="19E690F8" w14:textId="63591EA0" w:rsidR="00B33D8D" w:rsidRPr="001D41EA" w:rsidRDefault="00B33D8D" w:rsidP="001D41EA">
            <w:pPr>
              <w:spacing w:before="40" w:after="40"/>
              <w:jc w:val="right"/>
              <w:rPr>
                <w:rFonts w:cs="Arial"/>
                <w:sz w:val="18"/>
                <w:szCs w:val="18"/>
              </w:rPr>
            </w:pPr>
            <w:r w:rsidRPr="001D41EA">
              <w:rPr>
                <w:rFonts w:cs="Arial"/>
                <w:sz w:val="18"/>
                <w:szCs w:val="18"/>
              </w:rPr>
              <w:t>7,716</w:t>
            </w:r>
          </w:p>
        </w:tc>
        <w:tc>
          <w:tcPr>
            <w:tcW w:w="1418" w:type="dxa"/>
            <w:tcBorders>
              <w:top w:val="nil"/>
              <w:left w:val="nil"/>
              <w:bottom w:val="nil"/>
              <w:right w:val="nil"/>
            </w:tcBorders>
            <w:shd w:val="clear" w:color="auto" w:fill="auto"/>
            <w:vAlign w:val="bottom"/>
          </w:tcPr>
          <w:p w14:paraId="3D543D88" w14:textId="6CF8BA7C" w:rsidR="00B33D8D" w:rsidRPr="001D41EA" w:rsidRDefault="00B33D8D" w:rsidP="00F705DD">
            <w:pPr>
              <w:spacing w:before="40" w:after="40"/>
              <w:jc w:val="center"/>
              <w:rPr>
                <w:rFonts w:cs="Arial"/>
                <w:sz w:val="18"/>
                <w:szCs w:val="18"/>
              </w:rPr>
            </w:pPr>
            <w:r w:rsidRPr="001D41EA">
              <w:rPr>
                <w:rFonts w:cs="Arial"/>
                <w:sz w:val="18"/>
                <w:szCs w:val="18"/>
              </w:rPr>
              <w:t>36.9</w:t>
            </w:r>
          </w:p>
        </w:tc>
        <w:tc>
          <w:tcPr>
            <w:tcW w:w="170" w:type="dxa"/>
            <w:tcBorders>
              <w:top w:val="nil"/>
              <w:left w:val="nil"/>
              <w:bottom w:val="nil"/>
              <w:right w:val="nil"/>
            </w:tcBorders>
            <w:vAlign w:val="bottom"/>
          </w:tcPr>
          <w:p w14:paraId="63C9502A" w14:textId="1EEE8533"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3D153938" w14:textId="1D172980" w:rsidR="00B33D8D" w:rsidRPr="001D41EA" w:rsidRDefault="00B33D8D" w:rsidP="001D41EA">
            <w:pPr>
              <w:spacing w:before="40" w:after="40"/>
              <w:jc w:val="right"/>
              <w:rPr>
                <w:rFonts w:cs="Arial"/>
                <w:sz w:val="18"/>
                <w:szCs w:val="18"/>
              </w:rPr>
            </w:pPr>
            <w:r w:rsidRPr="001D41EA">
              <w:rPr>
                <w:rFonts w:cs="Arial"/>
                <w:sz w:val="18"/>
                <w:szCs w:val="18"/>
              </w:rPr>
              <w:t>66,007</w:t>
            </w:r>
          </w:p>
        </w:tc>
        <w:tc>
          <w:tcPr>
            <w:tcW w:w="170" w:type="dxa"/>
            <w:tcBorders>
              <w:top w:val="nil"/>
              <w:left w:val="nil"/>
              <w:bottom w:val="nil"/>
              <w:right w:val="nil"/>
            </w:tcBorders>
            <w:vAlign w:val="bottom"/>
          </w:tcPr>
          <w:p w14:paraId="7240EAA3" w14:textId="1C9FD01F"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3F76727D" w14:textId="39FFE6B7" w:rsidR="00B33D8D" w:rsidRPr="001D41EA" w:rsidRDefault="00B33D8D" w:rsidP="001D41EA">
            <w:pPr>
              <w:spacing w:before="40" w:after="40"/>
              <w:jc w:val="right"/>
              <w:rPr>
                <w:rFonts w:cs="Arial"/>
                <w:sz w:val="18"/>
                <w:szCs w:val="18"/>
              </w:rPr>
            </w:pPr>
            <w:r w:rsidRPr="001D41EA">
              <w:rPr>
                <w:rFonts w:cs="Arial"/>
                <w:sz w:val="18"/>
                <w:szCs w:val="18"/>
              </w:rPr>
              <w:t>45.3</w:t>
            </w:r>
          </w:p>
        </w:tc>
      </w:tr>
      <w:tr w:rsidR="00B33D8D" w:rsidRPr="001D41EA" w14:paraId="372E1DB1"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B2FFC66" w14:textId="77777777" w:rsidR="00B33D8D" w:rsidRPr="001D41EA" w:rsidRDefault="00B33D8D" w:rsidP="001D41EA">
            <w:pPr>
              <w:spacing w:before="40" w:after="40"/>
              <w:rPr>
                <w:rFonts w:cs="Arial"/>
                <w:sz w:val="18"/>
                <w:szCs w:val="18"/>
              </w:rPr>
            </w:pPr>
            <w:r w:rsidRPr="001D41EA">
              <w:rPr>
                <w:rFonts w:cs="Arial"/>
                <w:sz w:val="18"/>
                <w:szCs w:val="18"/>
              </w:rPr>
              <w:t>Hepburn S</w:t>
            </w:r>
          </w:p>
        </w:tc>
        <w:tc>
          <w:tcPr>
            <w:tcW w:w="1418" w:type="dxa"/>
            <w:tcBorders>
              <w:top w:val="nil"/>
              <w:left w:val="single" w:sz="18" w:space="0" w:color="5F497A" w:themeColor="accent4" w:themeShade="BF"/>
              <w:bottom w:val="nil"/>
              <w:right w:val="nil"/>
            </w:tcBorders>
            <w:shd w:val="clear" w:color="auto" w:fill="auto"/>
            <w:vAlign w:val="bottom"/>
          </w:tcPr>
          <w:p w14:paraId="7AF2D900" w14:textId="2942CFD3" w:rsidR="00B33D8D" w:rsidRPr="001D41EA" w:rsidRDefault="00B33D8D" w:rsidP="001D41EA">
            <w:pPr>
              <w:spacing w:before="40" w:after="40"/>
              <w:jc w:val="right"/>
              <w:rPr>
                <w:rFonts w:cs="Arial"/>
                <w:sz w:val="18"/>
                <w:szCs w:val="18"/>
              </w:rPr>
            </w:pPr>
            <w:r w:rsidRPr="001D41EA">
              <w:rPr>
                <w:rFonts w:cs="Arial"/>
                <w:sz w:val="18"/>
                <w:szCs w:val="18"/>
              </w:rPr>
              <w:t>2,498</w:t>
            </w:r>
          </w:p>
        </w:tc>
        <w:tc>
          <w:tcPr>
            <w:tcW w:w="1418" w:type="dxa"/>
            <w:tcBorders>
              <w:top w:val="nil"/>
              <w:left w:val="nil"/>
              <w:bottom w:val="nil"/>
              <w:right w:val="nil"/>
            </w:tcBorders>
            <w:shd w:val="clear" w:color="auto" w:fill="auto"/>
            <w:vAlign w:val="bottom"/>
          </w:tcPr>
          <w:p w14:paraId="517BD042" w14:textId="032BA739" w:rsidR="00B33D8D" w:rsidRPr="001D41EA" w:rsidRDefault="00B33D8D" w:rsidP="00F705DD">
            <w:pPr>
              <w:spacing w:before="40" w:after="40"/>
              <w:jc w:val="center"/>
              <w:rPr>
                <w:rFonts w:cs="Arial"/>
                <w:sz w:val="18"/>
                <w:szCs w:val="18"/>
              </w:rPr>
            </w:pPr>
            <w:r w:rsidRPr="001D41EA">
              <w:rPr>
                <w:rFonts w:cs="Arial"/>
                <w:sz w:val="18"/>
                <w:szCs w:val="18"/>
              </w:rPr>
              <w:t>39.0</w:t>
            </w:r>
          </w:p>
        </w:tc>
        <w:tc>
          <w:tcPr>
            <w:tcW w:w="170" w:type="dxa"/>
            <w:tcBorders>
              <w:top w:val="nil"/>
              <w:left w:val="nil"/>
              <w:bottom w:val="nil"/>
              <w:right w:val="nil"/>
            </w:tcBorders>
            <w:vAlign w:val="bottom"/>
          </w:tcPr>
          <w:p w14:paraId="15F1462D" w14:textId="4D6EA6D0"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641DE9C9" w14:textId="3CBAF9D1" w:rsidR="00B33D8D" w:rsidRPr="001D41EA" w:rsidRDefault="00B33D8D" w:rsidP="001D41EA">
            <w:pPr>
              <w:spacing w:before="40" w:after="40"/>
              <w:jc w:val="right"/>
              <w:rPr>
                <w:rFonts w:cs="Arial"/>
                <w:sz w:val="18"/>
                <w:szCs w:val="18"/>
              </w:rPr>
            </w:pPr>
            <w:r w:rsidRPr="001D41EA">
              <w:rPr>
                <w:rFonts w:cs="Arial"/>
                <w:sz w:val="18"/>
                <w:szCs w:val="18"/>
              </w:rPr>
              <w:t>15,812</w:t>
            </w:r>
          </w:p>
        </w:tc>
        <w:tc>
          <w:tcPr>
            <w:tcW w:w="170" w:type="dxa"/>
            <w:tcBorders>
              <w:top w:val="nil"/>
              <w:left w:val="nil"/>
              <w:bottom w:val="nil"/>
              <w:right w:val="nil"/>
            </w:tcBorders>
            <w:vAlign w:val="bottom"/>
          </w:tcPr>
          <w:p w14:paraId="6A9EC21F" w14:textId="6C0EA509"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78A13FF" w14:textId="08DE4083" w:rsidR="00B33D8D" w:rsidRPr="001D41EA" w:rsidRDefault="00B33D8D" w:rsidP="001D41EA">
            <w:pPr>
              <w:spacing w:before="40" w:after="40"/>
              <w:jc w:val="right"/>
              <w:rPr>
                <w:rFonts w:cs="Arial"/>
                <w:sz w:val="18"/>
                <w:szCs w:val="18"/>
              </w:rPr>
            </w:pPr>
            <w:r w:rsidRPr="001D41EA">
              <w:rPr>
                <w:rFonts w:cs="Arial"/>
                <w:sz w:val="18"/>
                <w:szCs w:val="18"/>
              </w:rPr>
              <w:t>43.9</w:t>
            </w:r>
          </w:p>
        </w:tc>
      </w:tr>
      <w:tr w:rsidR="00B33D8D" w:rsidRPr="001D41EA" w14:paraId="79EAD1D6"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F35D308" w14:textId="77777777" w:rsidR="00B33D8D" w:rsidRPr="001D41EA" w:rsidRDefault="00B33D8D" w:rsidP="001D41EA">
            <w:pPr>
              <w:spacing w:before="40" w:after="40"/>
              <w:rPr>
                <w:rFonts w:cs="Arial"/>
                <w:sz w:val="18"/>
                <w:szCs w:val="18"/>
              </w:rPr>
            </w:pPr>
            <w:r w:rsidRPr="001D41EA">
              <w:rPr>
                <w:rFonts w:cs="Arial"/>
                <w:sz w:val="18"/>
                <w:szCs w:val="18"/>
              </w:rPr>
              <w:t>Hindmarsh S</w:t>
            </w:r>
          </w:p>
        </w:tc>
        <w:tc>
          <w:tcPr>
            <w:tcW w:w="1418" w:type="dxa"/>
            <w:tcBorders>
              <w:top w:val="nil"/>
              <w:left w:val="single" w:sz="18" w:space="0" w:color="5F497A" w:themeColor="accent4" w:themeShade="BF"/>
              <w:bottom w:val="nil"/>
              <w:right w:val="nil"/>
            </w:tcBorders>
            <w:shd w:val="clear" w:color="auto" w:fill="auto"/>
            <w:vAlign w:val="bottom"/>
          </w:tcPr>
          <w:p w14:paraId="4EEDE1E7" w14:textId="515D86FA" w:rsidR="00B33D8D" w:rsidRPr="001D41EA" w:rsidRDefault="00B33D8D" w:rsidP="001D41EA">
            <w:pPr>
              <w:spacing w:before="40" w:after="40"/>
              <w:jc w:val="right"/>
              <w:rPr>
                <w:rFonts w:cs="Arial"/>
                <w:sz w:val="18"/>
                <w:szCs w:val="18"/>
              </w:rPr>
            </w:pPr>
            <w:r w:rsidRPr="001D41EA">
              <w:rPr>
                <w:rFonts w:cs="Arial"/>
                <w:sz w:val="18"/>
                <w:szCs w:val="18"/>
              </w:rPr>
              <w:t>962</w:t>
            </w:r>
          </w:p>
        </w:tc>
        <w:tc>
          <w:tcPr>
            <w:tcW w:w="1418" w:type="dxa"/>
            <w:tcBorders>
              <w:top w:val="nil"/>
              <w:left w:val="nil"/>
              <w:bottom w:val="nil"/>
              <w:right w:val="nil"/>
            </w:tcBorders>
            <w:shd w:val="clear" w:color="auto" w:fill="auto"/>
            <w:vAlign w:val="bottom"/>
          </w:tcPr>
          <w:p w14:paraId="17002879" w14:textId="0C10172A" w:rsidR="00B33D8D" w:rsidRPr="001D41EA" w:rsidRDefault="00B33D8D" w:rsidP="00F705DD">
            <w:pPr>
              <w:spacing w:before="40" w:after="40"/>
              <w:jc w:val="center"/>
              <w:rPr>
                <w:rFonts w:cs="Arial"/>
                <w:sz w:val="18"/>
                <w:szCs w:val="18"/>
              </w:rPr>
            </w:pPr>
            <w:r w:rsidRPr="001D41EA">
              <w:rPr>
                <w:rFonts w:cs="Arial"/>
                <w:sz w:val="18"/>
                <w:szCs w:val="18"/>
              </w:rPr>
              <w:t>39.4</w:t>
            </w:r>
          </w:p>
        </w:tc>
        <w:tc>
          <w:tcPr>
            <w:tcW w:w="170" w:type="dxa"/>
            <w:tcBorders>
              <w:top w:val="nil"/>
              <w:left w:val="nil"/>
              <w:bottom w:val="nil"/>
              <w:right w:val="nil"/>
            </w:tcBorders>
            <w:vAlign w:val="bottom"/>
          </w:tcPr>
          <w:p w14:paraId="7C1D5D5B" w14:textId="74AD3D74"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0D935D21" w14:textId="605560C6" w:rsidR="00B33D8D" w:rsidRPr="001D41EA" w:rsidRDefault="00B33D8D" w:rsidP="001D41EA">
            <w:pPr>
              <w:spacing w:before="40" w:after="40"/>
              <w:jc w:val="right"/>
              <w:rPr>
                <w:rFonts w:cs="Arial"/>
                <w:sz w:val="18"/>
                <w:szCs w:val="18"/>
              </w:rPr>
            </w:pPr>
            <w:r w:rsidRPr="001D41EA">
              <w:rPr>
                <w:rFonts w:cs="Arial"/>
                <w:sz w:val="18"/>
                <w:szCs w:val="18"/>
              </w:rPr>
              <w:t>5,645</w:t>
            </w:r>
          </w:p>
        </w:tc>
        <w:tc>
          <w:tcPr>
            <w:tcW w:w="170" w:type="dxa"/>
            <w:tcBorders>
              <w:top w:val="nil"/>
              <w:left w:val="nil"/>
              <w:bottom w:val="nil"/>
              <w:right w:val="nil"/>
            </w:tcBorders>
            <w:vAlign w:val="bottom"/>
          </w:tcPr>
          <w:p w14:paraId="69687235" w14:textId="466E86D0"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6F2566F" w14:textId="1936AF35" w:rsidR="00B33D8D" w:rsidRPr="001D41EA" w:rsidRDefault="00B33D8D" w:rsidP="001D41EA">
            <w:pPr>
              <w:spacing w:before="40" w:after="40"/>
              <w:jc w:val="right"/>
              <w:rPr>
                <w:rFonts w:cs="Arial"/>
                <w:sz w:val="18"/>
                <w:szCs w:val="18"/>
              </w:rPr>
            </w:pPr>
            <w:r w:rsidRPr="001D41EA">
              <w:rPr>
                <w:rFonts w:cs="Arial"/>
                <w:sz w:val="18"/>
                <w:szCs w:val="18"/>
              </w:rPr>
              <w:t>13.3</w:t>
            </w:r>
          </w:p>
        </w:tc>
      </w:tr>
      <w:tr w:rsidR="00B33D8D" w:rsidRPr="001D41EA" w14:paraId="7F2C7168"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0810610" w14:textId="77777777" w:rsidR="00B33D8D" w:rsidRPr="001D41EA" w:rsidRDefault="00B33D8D" w:rsidP="001D41EA">
            <w:pPr>
              <w:spacing w:before="40" w:after="40"/>
              <w:rPr>
                <w:rFonts w:cs="Arial"/>
                <w:sz w:val="18"/>
                <w:szCs w:val="18"/>
              </w:rPr>
            </w:pPr>
            <w:r w:rsidRPr="001D41EA">
              <w:rPr>
                <w:rFonts w:cs="Arial"/>
                <w:sz w:val="18"/>
                <w:szCs w:val="18"/>
              </w:rPr>
              <w:t>Hobsons Bay C</w:t>
            </w:r>
          </w:p>
        </w:tc>
        <w:tc>
          <w:tcPr>
            <w:tcW w:w="1418" w:type="dxa"/>
            <w:tcBorders>
              <w:top w:val="nil"/>
              <w:left w:val="single" w:sz="18" w:space="0" w:color="5F497A" w:themeColor="accent4" w:themeShade="BF"/>
              <w:bottom w:val="nil"/>
              <w:right w:val="nil"/>
            </w:tcBorders>
            <w:shd w:val="clear" w:color="auto" w:fill="auto"/>
            <w:vAlign w:val="bottom"/>
          </w:tcPr>
          <w:p w14:paraId="30D26F73" w14:textId="61EC4F55" w:rsidR="00B33D8D" w:rsidRPr="001D41EA" w:rsidRDefault="00B33D8D" w:rsidP="001D41EA">
            <w:pPr>
              <w:spacing w:before="40" w:after="40"/>
              <w:jc w:val="right"/>
              <w:rPr>
                <w:rFonts w:cs="Arial"/>
                <w:sz w:val="18"/>
                <w:szCs w:val="18"/>
              </w:rPr>
            </w:pPr>
            <w:r w:rsidRPr="001D41EA">
              <w:rPr>
                <w:rFonts w:cs="Arial"/>
                <w:sz w:val="18"/>
                <w:szCs w:val="18"/>
              </w:rPr>
              <w:t>9,044</w:t>
            </w:r>
          </w:p>
        </w:tc>
        <w:tc>
          <w:tcPr>
            <w:tcW w:w="1418" w:type="dxa"/>
            <w:tcBorders>
              <w:top w:val="nil"/>
              <w:left w:val="nil"/>
              <w:bottom w:val="nil"/>
              <w:right w:val="nil"/>
            </w:tcBorders>
            <w:shd w:val="clear" w:color="auto" w:fill="auto"/>
            <w:vAlign w:val="bottom"/>
          </w:tcPr>
          <w:p w14:paraId="140A6E3D" w14:textId="41AC49DE" w:rsidR="00B33D8D" w:rsidRPr="001D41EA" w:rsidRDefault="00B33D8D" w:rsidP="00F705DD">
            <w:pPr>
              <w:spacing w:before="40" w:after="40"/>
              <w:jc w:val="center"/>
              <w:rPr>
                <w:rFonts w:cs="Arial"/>
                <w:sz w:val="18"/>
                <w:szCs w:val="18"/>
              </w:rPr>
            </w:pPr>
            <w:r w:rsidRPr="001D41EA">
              <w:rPr>
                <w:rFonts w:cs="Arial"/>
                <w:sz w:val="18"/>
                <w:szCs w:val="18"/>
              </w:rPr>
              <w:t>37.3</w:t>
            </w:r>
          </w:p>
        </w:tc>
        <w:tc>
          <w:tcPr>
            <w:tcW w:w="170" w:type="dxa"/>
            <w:tcBorders>
              <w:top w:val="nil"/>
              <w:left w:val="nil"/>
              <w:bottom w:val="nil"/>
              <w:right w:val="nil"/>
            </w:tcBorders>
            <w:vAlign w:val="bottom"/>
          </w:tcPr>
          <w:p w14:paraId="6F33DD5E" w14:textId="09B94154"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33C05CBB" w14:textId="099AA943" w:rsidR="00B33D8D" w:rsidRPr="001D41EA" w:rsidRDefault="00B33D8D" w:rsidP="001D41EA">
            <w:pPr>
              <w:spacing w:before="40" w:after="40"/>
              <w:jc w:val="right"/>
              <w:rPr>
                <w:rFonts w:cs="Arial"/>
                <w:sz w:val="18"/>
                <w:szCs w:val="18"/>
              </w:rPr>
            </w:pPr>
            <w:r w:rsidRPr="001D41EA">
              <w:rPr>
                <w:rFonts w:cs="Arial"/>
                <w:sz w:val="18"/>
                <w:szCs w:val="18"/>
              </w:rPr>
              <w:t>96,470</w:t>
            </w:r>
          </w:p>
        </w:tc>
        <w:tc>
          <w:tcPr>
            <w:tcW w:w="170" w:type="dxa"/>
            <w:tcBorders>
              <w:top w:val="nil"/>
              <w:left w:val="nil"/>
              <w:bottom w:val="nil"/>
              <w:right w:val="nil"/>
            </w:tcBorders>
            <w:vAlign w:val="bottom"/>
          </w:tcPr>
          <w:p w14:paraId="75B235E4" w14:textId="0D5C1A21"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50CA625D" w14:textId="21630C9A" w:rsidR="00B33D8D" w:rsidRPr="001D41EA" w:rsidRDefault="00B33D8D" w:rsidP="001D41EA">
            <w:pPr>
              <w:spacing w:before="40" w:after="40"/>
              <w:jc w:val="right"/>
              <w:rPr>
                <w:rFonts w:cs="Arial"/>
                <w:sz w:val="18"/>
                <w:szCs w:val="18"/>
              </w:rPr>
            </w:pPr>
            <w:r w:rsidRPr="001D41EA">
              <w:rPr>
                <w:rFonts w:cs="Arial"/>
                <w:sz w:val="18"/>
                <w:szCs w:val="18"/>
              </w:rPr>
              <w:t>0.7</w:t>
            </w:r>
          </w:p>
        </w:tc>
      </w:tr>
      <w:tr w:rsidR="00B33D8D" w:rsidRPr="001D41EA" w14:paraId="5BDF676F"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707AB00" w14:textId="77777777" w:rsidR="00B33D8D" w:rsidRPr="001D41EA" w:rsidRDefault="00B33D8D" w:rsidP="001D41EA">
            <w:pPr>
              <w:spacing w:before="40" w:after="40"/>
              <w:rPr>
                <w:rFonts w:cs="Arial"/>
                <w:sz w:val="18"/>
                <w:szCs w:val="18"/>
              </w:rPr>
            </w:pPr>
            <w:r w:rsidRPr="001D41EA">
              <w:rPr>
                <w:rFonts w:cs="Arial"/>
                <w:sz w:val="18"/>
                <w:szCs w:val="18"/>
              </w:rPr>
              <w:t>Horsham RC</w:t>
            </w:r>
          </w:p>
        </w:tc>
        <w:tc>
          <w:tcPr>
            <w:tcW w:w="1418" w:type="dxa"/>
            <w:tcBorders>
              <w:top w:val="nil"/>
              <w:left w:val="single" w:sz="18" w:space="0" w:color="5F497A" w:themeColor="accent4" w:themeShade="BF"/>
              <w:bottom w:val="nil"/>
              <w:right w:val="nil"/>
            </w:tcBorders>
            <w:shd w:val="clear" w:color="auto" w:fill="auto"/>
            <w:vAlign w:val="bottom"/>
          </w:tcPr>
          <w:p w14:paraId="2C380188" w14:textId="6FE734A7" w:rsidR="00B33D8D" w:rsidRPr="001D41EA" w:rsidRDefault="00B33D8D" w:rsidP="001D41EA">
            <w:pPr>
              <w:spacing w:before="40" w:after="40"/>
              <w:jc w:val="right"/>
              <w:rPr>
                <w:rFonts w:cs="Arial"/>
                <w:sz w:val="18"/>
                <w:szCs w:val="18"/>
              </w:rPr>
            </w:pPr>
            <w:r w:rsidRPr="001D41EA">
              <w:rPr>
                <w:rFonts w:cs="Arial"/>
                <w:sz w:val="18"/>
                <w:szCs w:val="18"/>
              </w:rPr>
              <w:t>2,624</w:t>
            </w:r>
          </w:p>
        </w:tc>
        <w:tc>
          <w:tcPr>
            <w:tcW w:w="1418" w:type="dxa"/>
            <w:tcBorders>
              <w:top w:val="nil"/>
              <w:left w:val="nil"/>
              <w:bottom w:val="nil"/>
              <w:right w:val="nil"/>
            </w:tcBorders>
            <w:shd w:val="clear" w:color="auto" w:fill="auto"/>
            <w:vAlign w:val="bottom"/>
          </w:tcPr>
          <w:p w14:paraId="7B9F92C6" w14:textId="13DBDA2A" w:rsidR="00B33D8D" w:rsidRPr="001D41EA" w:rsidRDefault="00B33D8D" w:rsidP="00F705DD">
            <w:pPr>
              <w:spacing w:before="40" w:after="40"/>
              <w:jc w:val="center"/>
              <w:rPr>
                <w:rFonts w:cs="Arial"/>
                <w:sz w:val="18"/>
                <w:szCs w:val="18"/>
              </w:rPr>
            </w:pPr>
            <w:r w:rsidRPr="001D41EA">
              <w:rPr>
                <w:rFonts w:cs="Arial"/>
                <w:sz w:val="18"/>
                <w:szCs w:val="18"/>
              </w:rPr>
              <w:t>39.4</w:t>
            </w:r>
          </w:p>
        </w:tc>
        <w:tc>
          <w:tcPr>
            <w:tcW w:w="170" w:type="dxa"/>
            <w:tcBorders>
              <w:top w:val="nil"/>
              <w:left w:val="nil"/>
              <w:bottom w:val="nil"/>
              <w:right w:val="nil"/>
            </w:tcBorders>
            <w:vAlign w:val="bottom"/>
          </w:tcPr>
          <w:p w14:paraId="33CEA400" w14:textId="05B747EB"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19766766" w14:textId="744D3B85" w:rsidR="00B33D8D" w:rsidRPr="001D41EA" w:rsidRDefault="00B33D8D" w:rsidP="001D41EA">
            <w:pPr>
              <w:spacing w:before="40" w:after="40"/>
              <w:jc w:val="right"/>
              <w:rPr>
                <w:rFonts w:cs="Arial"/>
                <w:sz w:val="18"/>
                <w:szCs w:val="18"/>
              </w:rPr>
            </w:pPr>
            <w:r w:rsidRPr="001D41EA">
              <w:rPr>
                <w:rFonts w:cs="Arial"/>
                <w:sz w:val="18"/>
                <w:szCs w:val="18"/>
              </w:rPr>
              <w:t>19,875</w:t>
            </w:r>
          </w:p>
        </w:tc>
        <w:tc>
          <w:tcPr>
            <w:tcW w:w="170" w:type="dxa"/>
            <w:tcBorders>
              <w:top w:val="nil"/>
              <w:left w:val="nil"/>
              <w:bottom w:val="nil"/>
              <w:right w:val="nil"/>
            </w:tcBorders>
            <w:vAlign w:val="bottom"/>
          </w:tcPr>
          <w:p w14:paraId="6E696DE6" w14:textId="51F15B58"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5DA9F315" w14:textId="334A2CE4" w:rsidR="00B33D8D" w:rsidRPr="001D41EA" w:rsidRDefault="00B33D8D" w:rsidP="001D41EA">
            <w:pPr>
              <w:spacing w:before="40" w:after="40"/>
              <w:jc w:val="right"/>
              <w:rPr>
                <w:rFonts w:cs="Arial"/>
                <w:sz w:val="18"/>
                <w:szCs w:val="18"/>
              </w:rPr>
            </w:pPr>
            <w:r w:rsidRPr="001D41EA">
              <w:rPr>
                <w:rFonts w:cs="Arial"/>
                <w:sz w:val="18"/>
                <w:szCs w:val="18"/>
              </w:rPr>
              <w:t>17.1</w:t>
            </w:r>
          </w:p>
        </w:tc>
      </w:tr>
      <w:tr w:rsidR="00B33D8D" w:rsidRPr="001D41EA" w14:paraId="039A9D25"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490025D" w14:textId="77777777" w:rsidR="00B33D8D" w:rsidRPr="001D41EA" w:rsidRDefault="00B33D8D" w:rsidP="001D41EA">
            <w:pPr>
              <w:spacing w:before="40" w:after="40"/>
              <w:rPr>
                <w:rFonts w:cs="Arial"/>
                <w:sz w:val="18"/>
                <w:szCs w:val="18"/>
              </w:rPr>
            </w:pPr>
            <w:r w:rsidRPr="001D41EA">
              <w:rPr>
                <w:rFonts w:cs="Arial"/>
                <w:sz w:val="18"/>
                <w:szCs w:val="18"/>
              </w:rPr>
              <w:t>Hume C</w:t>
            </w:r>
          </w:p>
        </w:tc>
        <w:tc>
          <w:tcPr>
            <w:tcW w:w="1418" w:type="dxa"/>
            <w:tcBorders>
              <w:top w:val="nil"/>
              <w:left w:val="single" w:sz="18" w:space="0" w:color="5F497A" w:themeColor="accent4" w:themeShade="BF"/>
              <w:bottom w:val="nil"/>
              <w:right w:val="nil"/>
            </w:tcBorders>
            <w:shd w:val="clear" w:color="auto" w:fill="auto"/>
            <w:vAlign w:val="bottom"/>
          </w:tcPr>
          <w:p w14:paraId="43B778FC" w14:textId="3FA8EC36" w:rsidR="00B33D8D" w:rsidRPr="001D41EA" w:rsidRDefault="00B33D8D" w:rsidP="001D41EA">
            <w:pPr>
              <w:spacing w:before="40" w:after="40"/>
              <w:jc w:val="right"/>
              <w:rPr>
                <w:rFonts w:cs="Arial"/>
                <w:sz w:val="18"/>
                <w:szCs w:val="18"/>
              </w:rPr>
            </w:pPr>
            <w:r w:rsidRPr="001D41EA">
              <w:rPr>
                <w:rFonts w:cs="Arial"/>
                <w:sz w:val="18"/>
                <w:szCs w:val="18"/>
              </w:rPr>
              <w:t>16,523</w:t>
            </w:r>
          </w:p>
        </w:tc>
        <w:tc>
          <w:tcPr>
            <w:tcW w:w="1418" w:type="dxa"/>
            <w:tcBorders>
              <w:top w:val="nil"/>
              <w:left w:val="nil"/>
              <w:bottom w:val="nil"/>
              <w:right w:val="nil"/>
            </w:tcBorders>
            <w:shd w:val="clear" w:color="auto" w:fill="auto"/>
            <w:vAlign w:val="bottom"/>
          </w:tcPr>
          <w:p w14:paraId="70A93529" w14:textId="4E7AB519" w:rsidR="00B33D8D" w:rsidRPr="001D41EA" w:rsidRDefault="00B33D8D" w:rsidP="00F705DD">
            <w:pPr>
              <w:spacing w:before="40" w:after="40"/>
              <w:jc w:val="center"/>
              <w:rPr>
                <w:rFonts w:cs="Arial"/>
                <w:sz w:val="18"/>
                <w:szCs w:val="18"/>
              </w:rPr>
            </w:pPr>
            <w:r w:rsidRPr="001D41EA">
              <w:rPr>
                <w:rFonts w:cs="Arial"/>
                <w:sz w:val="18"/>
                <w:szCs w:val="18"/>
              </w:rPr>
              <w:t>32.1</w:t>
            </w:r>
          </w:p>
        </w:tc>
        <w:tc>
          <w:tcPr>
            <w:tcW w:w="170" w:type="dxa"/>
            <w:tcBorders>
              <w:top w:val="nil"/>
              <w:left w:val="nil"/>
              <w:bottom w:val="nil"/>
              <w:right w:val="nil"/>
            </w:tcBorders>
            <w:vAlign w:val="bottom"/>
          </w:tcPr>
          <w:p w14:paraId="26694907" w14:textId="4CFBE8BA"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30235102" w14:textId="548265FC" w:rsidR="00B33D8D" w:rsidRPr="001D41EA" w:rsidRDefault="00B33D8D" w:rsidP="001D41EA">
            <w:pPr>
              <w:spacing w:before="40" w:after="40"/>
              <w:jc w:val="right"/>
              <w:rPr>
                <w:rFonts w:cs="Arial"/>
                <w:sz w:val="18"/>
                <w:szCs w:val="18"/>
              </w:rPr>
            </w:pPr>
            <w:r w:rsidRPr="001D41EA">
              <w:rPr>
                <w:rFonts w:cs="Arial"/>
                <w:sz w:val="18"/>
                <w:szCs w:val="18"/>
              </w:rPr>
              <w:t>224,394</w:t>
            </w:r>
          </w:p>
        </w:tc>
        <w:tc>
          <w:tcPr>
            <w:tcW w:w="170" w:type="dxa"/>
            <w:tcBorders>
              <w:top w:val="nil"/>
              <w:left w:val="nil"/>
              <w:bottom w:val="nil"/>
              <w:right w:val="nil"/>
            </w:tcBorders>
            <w:vAlign w:val="bottom"/>
          </w:tcPr>
          <w:p w14:paraId="55E78DCC" w14:textId="298F4F96"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F379D4F" w14:textId="79ECFB90" w:rsidR="00B33D8D" w:rsidRPr="001D41EA" w:rsidRDefault="00B33D8D" w:rsidP="001D41EA">
            <w:pPr>
              <w:spacing w:before="40" w:after="40"/>
              <w:jc w:val="right"/>
              <w:rPr>
                <w:rFonts w:cs="Arial"/>
                <w:sz w:val="18"/>
                <w:szCs w:val="18"/>
              </w:rPr>
            </w:pPr>
            <w:r w:rsidRPr="001D41EA">
              <w:rPr>
                <w:rFonts w:cs="Arial"/>
                <w:sz w:val="18"/>
                <w:szCs w:val="18"/>
              </w:rPr>
              <w:t>0.8</w:t>
            </w:r>
          </w:p>
        </w:tc>
      </w:tr>
      <w:tr w:rsidR="00B33D8D" w:rsidRPr="001D41EA" w14:paraId="6457AED6"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D8B45D1" w14:textId="77777777" w:rsidR="00B33D8D" w:rsidRPr="001D41EA" w:rsidRDefault="00B33D8D" w:rsidP="001D41EA">
            <w:pPr>
              <w:spacing w:before="40" w:after="40"/>
              <w:rPr>
                <w:rFonts w:cs="Arial"/>
                <w:sz w:val="18"/>
                <w:szCs w:val="18"/>
              </w:rPr>
            </w:pPr>
            <w:r w:rsidRPr="001D41EA">
              <w:rPr>
                <w:rFonts w:cs="Arial"/>
                <w:sz w:val="18"/>
                <w:szCs w:val="18"/>
              </w:rPr>
              <w:t>Indigo S</w:t>
            </w:r>
          </w:p>
        </w:tc>
        <w:tc>
          <w:tcPr>
            <w:tcW w:w="1418" w:type="dxa"/>
            <w:tcBorders>
              <w:top w:val="nil"/>
              <w:left w:val="single" w:sz="18" w:space="0" w:color="5F497A" w:themeColor="accent4" w:themeShade="BF"/>
              <w:bottom w:val="nil"/>
              <w:right w:val="nil"/>
            </w:tcBorders>
            <w:shd w:val="clear" w:color="auto" w:fill="auto"/>
            <w:vAlign w:val="bottom"/>
          </w:tcPr>
          <w:p w14:paraId="430257AA" w14:textId="137BCDDC" w:rsidR="00B33D8D" w:rsidRPr="001D41EA" w:rsidRDefault="00B33D8D" w:rsidP="001D41EA">
            <w:pPr>
              <w:spacing w:before="40" w:after="40"/>
              <w:jc w:val="right"/>
              <w:rPr>
                <w:rFonts w:cs="Arial"/>
                <w:sz w:val="18"/>
                <w:szCs w:val="18"/>
              </w:rPr>
            </w:pPr>
            <w:r w:rsidRPr="001D41EA">
              <w:rPr>
                <w:rFonts w:cs="Arial"/>
                <w:sz w:val="18"/>
                <w:szCs w:val="18"/>
              </w:rPr>
              <w:t>2,128</w:t>
            </w:r>
          </w:p>
        </w:tc>
        <w:tc>
          <w:tcPr>
            <w:tcW w:w="1418" w:type="dxa"/>
            <w:tcBorders>
              <w:top w:val="nil"/>
              <w:left w:val="nil"/>
              <w:bottom w:val="nil"/>
              <w:right w:val="nil"/>
            </w:tcBorders>
            <w:shd w:val="clear" w:color="auto" w:fill="auto"/>
            <w:vAlign w:val="bottom"/>
          </w:tcPr>
          <w:p w14:paraId="4BE9EE72" w14:textId="0F951EDB" w:rsidR="00B33D8D" w:rsidRPr="001D41EA" w:rsidRDefault="00B33D8D" w:rsidP="00F705DD">
            <w:pPr>
              <w:spacing w:before="40" w:after="40"/>
              <w:jc w:val="center"/>
              <w:rPr>
                <w:rFonts w:cs="Arial"/>
                <w:sz w:val="18"/>
                <w:szCs w:val="18"/>
              </w:rPr>
            </w:pPr>
            <w:r w:rsidRPr="001D41EA">
              <w:rPr>
                <w:rFonts w:cs="Arial"/>
                <w:sz w:val="18"/>
                <w:szCs w:val="18"/>
              </w:rPr>
              <w:t>38.2</w:t>
            </w:r>
          </w:p>
        </w:tc>
        <w:tc>
          <w:tcPr>
            <w:tcW w:w="170" w:type="dxa"/>
            <w:tcBorders>
              <w:top w:val="nil"/>
              <w:left w:val="nil"/>
              <w:bottom w:val="nil"/>
              <w:right w:val="nil"/>
            </w:tcBorders>
            <w:vAlign w:val="bottom"/>
          </w:tcPr>
          <w:p w14:paraId="686D7583" w14:textId="7B0E041B"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4A420439" w14:textId="66CD784B" w:rsidR="00B33D8D" w:rsidRPr="001D41EA" w:rsidRDefault="00B33D8D" w:rsidP="001D41EA">
            <w:pPr>
              <w:spacing w:before="40" w:after="40"/>
              <w:jc w:val="right"/>
              <w:rPr>
                <w:rFonts w:cs="Arial"/>
                <w:sz w:val="18"/>
                <w:szCs w:val="18"/>
              </w:rPr>
            </w:pPr>
            <w:r w:rsidRPr="001D41EA">
              <w:rPr>
                <w:rFonts w:cs="Arial"/>
                <w:sz w:val="18"/>
                <w:szCs w:val="18"/>
              </w:rPr>
              <w:t>16,490</w:t>
            </w:r>
          </w:p>
        </w:tc>
        <w:tc>
          <w:tcPr>
            <w:tcW w:w="170" w:type="dxa"/>
            <w:tcBorders>
              <w:top w:val="nil"/>
              <w:left w:val="nil"/>
              <w:bottom w:val="nil"/>
              <w:right w:val="nil"/>
            </w:tcBorders>
            <w:vAlign w:val="bottom"/>
          </w:tcPr>
          <w:p w14:paraId="61A8CC2E" w14:textId="738CD30C"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3ADF9DF" w14:textId="7C897296" w:rsidR="00B33D8D" w:rsidRPr="001D41EA" w:rsidRDefault="00B33D8D" w:rsidP="001D41EA">
            <w:pPr>
              <w:spacing w:before="40" w:after="40"/>
              <w:jc w:val="right"/>
              <w:rPr>
                <w:rFonts w:cs="Arial"/>
                <w:sz w:val="18"/>
                <w:szCs w:val="18"/>
              </w:rPr>
            </w:pPr>
            <w:r w:rsidRPr="001D41EA">
              <w:rPr>
                <w:rFonts w:cs="Arial"/>
                <w:sz w:val="18"/>
                <w:szCs w:val="18"/>
              </w:rPr>
              <w:t>30.2</w:t>
            </w:r>
          </w:p>
        </w:tc>
      </w:tr>
      <w:tr w:rsidR="00B33D8D" w:rsidRPr="001D41EA" w14:paraId="1A19799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2DB24E2" w14:textId="77777777" w:rsidR="00B33D8D" w:rsidRPr="001D41EA" w:rsidRDefault="00B33D8D" w:rsidP="001D41EA">
            <w:pPr>
              <w:spacing w:before="40" w:after="40"/>
              <w:rPr>
                <w:rFonts w:cs="Arial"/>
                <w:sz w:val="18"/>
                <w:szCs w:val="18"/>
              </w:rPr>
            </w:pPr>
            <w:r w:rsidRPr="001D41EA">
              <w:rPr>
                <w:rFonts w:cs="Arial"/>
                <w:sz w:val="18"/>
                <w:szCs w:val="18"/>
              </w:rPr>
              <w:t>Kingston C</w:t>
            </w:r>
          </w:p>
        </w:tc>
        <w:tc>
          <w:tcPr>
            <w:tcW w:w="1418" w:type="dxa"/>
            <w:tcBorders>
              <w:top w:val="nil"/>
              <w:left w:val="single" w:sz="18" w:space="0" w:color="5F497A" w:themeColor="accent4" w:themeShade="BF"/>
              <w:bottom w:val="nil"/>
              <w:right w:val="nil"/>
            </w:tcBorders>
            <w:shd w:val="clear" w:color="auto" w:fill="auto"/>
            <w:vAlign w:val="bottom"/>
          </w:tcPr>
          <w:p w14:paraId="7C229D1B" w14:textId="3FFDCED1" w:rsidR="00B33D8D" w:rsidRPr="001D41EA" w:rsidRDefault="00B33D8D" w:rsidP="001D41EA">
            <w:pPr>
              <w:spacing w:before="40" w:after="40"/>
              <w:jc w:val="right"/>
              <w:rPr>
                <w:rFonts w:cs="Arial"/>
                <w:sz w:val="18"/>
                <w:szCs w:val="18"/>
              </w:rPr>
            </w:pPr>
            <w:r w:rsidRPr="001D41EA">
              <w:rPr>
                <w:rFonts w:cs="Arial"/>
                <w:sz w:val="18"/>
                <w:szCs w:val="18"/>
              </w:rPr>
              <w:t>17,118</w:t>
            </w:r>
          </w:p>
        </w:tc>
        <w:tc>
          <w:tcPr>
            <w:tcW w:w="1418" w:type="dxa"/>
            <w:tcBorders>
              <w:top w:val="nil"/>
              <w:left w:val="nil"/>
              <w:bottom w:val="nil"/>
              <w:right w:val="nil"/>
            </w:tcBorders>
            <w:shd w:val="clear" w:color="auto" w:fill="auto"/>
            <w:vAlign w:val="bottom"/>
          </w:tcPr>
          <w:p w14:paraId="56F21F0D" w14:textId="06F3F82E" w:rsidR="00B33D8D" w:rsidRPr="001D41EA" w:rsidRDefault="00B33D8D" w:rsidP="00F705DD">
            <w:pPr>
              <w:spacing w:before="40" w:after="40"/>
              <w:jc w:val="center"/>
              <w:rPr>
                <w:rFonts w:cs="Arial"/>
                <w:sz w:val="18"/>
                <w:szCs w:val="18"/>
              </w:rPr>
            </w:pPr>
            <w:r w:rsidRPr="001D41EA">
              <w:rPr>
                <w:rFonts w:cs="Arial"/>
                <w:sz w:val="18"/>
                <w:szCs w:val="18"/>
              </w:rPr>
              <w:t>39.1</w:t>
            </w:r>
          </w:p>
        </w:tc>
        <w:tc>
          <w:tcPr>
            <w:tcW w:w="170" w:type="dxa"/>
            <w:tcBorders>
              <w:top w:val="nil"/>
              <w:left w:val="nil"/>
              <w:bottom w:val="nil"/>
              <w:right w:val="nil"/>
            </w:tcBorders>
            <w:vAlign w:val="bottom"/>
          </w:tcPr>
          <w:p w14:paraId="219E1482" w14:textId="2DD9F1B7"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48859073" w14:textId="58849E6D" w:rsidR="00B33D8D" w:rsidRPr="001D41EA" w:rsidRDefault="00B33D8D" w:rsidP="001D41EA">
            <w:pPr>
              <w:spacing w:before="40" w:after="40"/>
              <w:jc w:val="right"/>
              <w:rPr>
                <w:rFonts w:cs="Arial"/>
                <w:sz w:val="18"/>
                <w:szCs w:val="18"/>
              </w:rPr>
            </w:pPr>
            <w:r w:rsidRPr="001D41EA">
              <w:rPr>
                <w:rFonts w:cs="Arial"/>
                <w:sz w:val="18"/>
                <w:szCs w:val="18"/>
              </w:rPr>
              <w:t>163,431</w:t>
            </w:r>
          </w:p>
        </w:tc>
        <w:tc>
          <w:tcPr>
            <w:tcW w:w="170" w:type="dxa"/>
            <w:tcBorders>
              <w:top w:val="nil"/>
              <w:left w:val="nil"/>
              <w:bottom w:val="nil"/>
              <w:right w:val="nil"/>
            </w:tcBorders>
            <w:vAlign w:val="bottom"/>
          </w:tcPr>
          <w:p w14:paraId="470361B8" w14:textId="72BEB1C2"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7C8B6CB" w14:textId="18B64A7A" w:rsidR="00B33D8D" w:rsidRPr="001D41EA" w:rsidRDefault="00B33D8D" w:rsidP="001D41EA">
            <w:pPr>
              <w:spacing w:before="40" w:after="40"/>
              <w:jc w:val="right"/>
              <w:rPr>
                <w:rFonts w:cs="Arial"/>
                <w:sz w:val="18"/>
                <w:szCs w:val="18"/>
              </w:rPr>
            </w:pPr>
            <w:r w:rsidRPr="001D41EA">
              <w:rPr>
                <w:rFonts w:cs="Arial"/>
                <w:sz w:val="18"/>
                <w:szCs w:val="18"/>
              </w:rPr>
              <w:t>3.7</w:t>
            </w:r>
          </w:p>
        </w:tc>
      </w:tr>
      <w:tr w:rsidR="00B33D8D" w:rsidRPr="001D41EA" w14:paraId="15208D1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E5B5D24" w14:textId="77777777" w:rsidR="00B33D8D" w:rsidRPr="001D41EA" w:rsidRDefault="00B33D8D" w:rsidP="001D41EA">
            <w:pPr>
              <w:spacing w:before="40" w:after="40"/>
              <w:rPr>
                <w:rFonts w:cs="Arial"/>
                <w:sz w:val="18"/>
                <w:szCs w:val="18"/>
              </w:rPr>
            </w:pPr>
            <w:r w:rsidRPr="001D41EA">
              <w:rPr>
                <w:rFonts w:cs="Arial"/>
                <w:sz w:val="18"/>
                <w:szCs w:val="18"/>
              </w:rPr>
              <w:t>Knox C</w:t>
            </w:r>
          </w:p>
        </w:tc>
        <w:tc>
          <w:tcPr>
            <w:tcW w:w="1418" w:type="dxa"/>
            <w:tcBorders>
              <w:top w:val="nil"/>
              <w:left w:val="single" w:sz="18" w:space="0" w:color="5F497A" w:themeColor="accent4" w:themeShade="BF"/>
              <w:bottom w:val="nil"/>
              <w:right w:val="nil"/>
            </w:tcBorders>
            <w:shd w:val="clear" w:color="auto" w:fill="auto"/>
            <w:vAlign w:val="bottom"/>
          </w:tcPr>
          <w:p w14:paraId="72111780" w14:textId="2453EC7C" w:rsidR="00B33D8D" w:rsidRPr="001D41EA" w:rsidRDefault="00B33D8D" w:rsidP="001D41EA">
            <w:pPr>
              <w:spacing w:before="40" w:after="40"/>
              <w:jc w:val="right"/>
              <w:rPr>
                <w:rFonts w:cs="Arial"/>
                <w:sz w:val="18"/>
                <w:szCs w:val="18"/>
              </w:rPr>
            </w:pPr>
            <w:r w:rsidRPr="001D41EA">
              <w:rPr>
                <w:rFonts w:cs="Arial"/>
                <w:sz w:val="18"/>
                <w:szCs w:val="18"/>
              </w:rPr>
              <w:t>16,348</w:t>
            </w:r>
          </w:p>
        </w:tc>
        <w:tc>
          <w:tcPr>
            <w:tcW w:w="1418" w:type="dxa"/>
            <w:tcBorders>
              <w:top w:val="nil"/>
              <w:left w:val="nil"/>
              <w:bottom w:val="nil"/>
              <w:right w:val="nil"/>
            </w:tcBorders>
            <w:shd w:val="clear" w:color="auto" w:fill="auto"/>
            <w:vAlign w:val="bottom"/>
          </w:tcPr>
          <w:p w14:paraId="14BF7925" w14:textId="42A4136F" w:rsidR="00B33D8D" w:rsidRPr="001D41EA" w:rsidRDefault="00B33D8D" w:rsidP="00F705DD">
            <w:pPr>
              <w:spacing w:before="40" w:after="40"/>
              <w:jc w:val="center"/>
              <w:rPr>
                <w:rFonts w:cs="Arial"/>
                <w:sz w:val="18"/>
                <w:szCs w:val="18"/>
              </w:rPr>
            </w:pPr>
            <w:r w:rsidRPr="001D41EA">
              <w:rPr>
                <w:rFonts w:cs="Arial"/>
                <w:sz w:val="18"/>
                <w:szCs w:val="18"/>
              </w:rPr>
              <w:t>38.7</w:t>
            </w:r>
          </w:p>
        </w:tc>
        <w:tc>
          <w:tcPr>
            <w:tcW w:w="170" w:type="dxa"/>
            <w:tcBorders>
              <w:top w:val="nil"/>
              <w:left w:val="nil"/>
              <w:bottom w:val="nil"/>
              <w:right w:val="nil"/>
            </w:tcBorders>
            <w:vAlign w:val="bottom"/>
          </w:tcPr>
          <w:p w14:paraId="10974CCC" w14:textId="59E54DE3"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1769E51C" w14:textId="2B8A609E" w:rsidR="00B33D8D" w:rsidRPr="001D41EA" w:rsidRDefault="00B33D8D" w:rsidP="001D41EA">
            <w:pPr>
              <w:spacing w:before="40" w:after="40"/>
              <w:jc w:val="right"/>
              <w:rPr>
                <w:rFonts w:cs="Arial"/>
                <w:sz w:val="18"/>
                <w:szCs w:val="18"/>
              </w:rPr>
            </w:pPr>
            <w:r w:rsidRPr="001D41EA">
              <w:rPr>
                <w:rFonts w:cs="Arial"/>
                <w:sz w:val="18"/>
                <w:szCs w:val="18"/>
              </w:rPr>
              <w:t>163,203</w:t>
            </w:r>
          </w:p>
        </w:tc>
        <w:tc>
          <w:tcPr>
            <w:tcW w:w="170" w:type="dxa"/>
            <w:tcBorders>
              <w:top w:val="nil"/>
              <w:left w:val="nil"/>
              <w:bottom w:val="nil"/>
              <w:right w:val="nil"/>
            </w:tcBorders>
            <w:vAlign w:val="bottom"/>
          </w:tcPr>
          <w:p w14:paraId="54872316" w14:textId="76A95853"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5F59DA82" w14:textId="59AE5A91" w:rsidR="00B33D8D" w:rsidRPr="001D41EA" w:rsidRDefault="00B33D8D" w:rsidP="001D41EA">
            <w:pPr>
              <w:spacing w:before="40" w:after="40"/>
              <w:jc w:val="right"/>
              <w:rPr>
                <w:rFonts w:cs="Arial"/>
                <w:sz w:val="18"/>
                <w:szCs w:val="18"/>
              </w:rPr>
            </w:pPr>
            <w:r w:rsidRPr="001D41EA">
              <w:rPr>
                <w:rFonts w:cs="Arial"/>
                <w:sz w:val="18"/>
                <w:szCs w:val="18"/>
              </w:rPr>
              <w:t>5.1</w:t>
            </w:r>
          </w:p>
        </w:tc>
      </w:tr>
      <w:tr w:rsidR="00B33D8D" w:rsidRPr="001D41EA" w14:paraId="4302CCF7"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CD05E81" w14:textId="77777777" w:rsidR="00B33D8D" w:rsidRPr="001D41EA" w:rsidRDefault="00B33D8D" w:rsidP="001D41EA">
            <w:pPr>
              <w:spacing w:before="40" w:after="40"/>
              <w:rPr>
                <w:rFonts w:cs="Arial"/>
                <w:sz w:val="18"/>
                <w:szCs w:val="18"/>
              </w:rPr>
            </w:pPr>
            <w:r w:rsidRPr="001D41EA">
              <w:rPr>
                <w:rFonts w:cs="Arial"/>
                <w:sz w:val="18"/>
                <w:szCs w:val="18"/>
              </w:rPr>
              <w:t>Latrobe C</w:t>
            </w:r>
          </w:p>
        </w:tc>
        <w:tc>
          <w:tcPr>
            <w:tcW w:w="1418" w:type="dxa"/>
            <w:tcBorders>
              <w:top w:val="nil"/>
              <w:left w:val="single" w:sz="18" w:space="0" w:color="5F497A" w:themeColor="accent4" w:themeShade="BF"/>
              <w:bottom w:val="nil"/>
              <w:right w:val="nil"/>
            </w:tcBorders>
            <w:shd w:val="clear" w:color="auto" w:fill="auto"/>
            <w:vAlign w:val="bottom"/>
          </w:tcPr>
          <w:p w14:paraId="00C63D7B" w14:textId="10D5549B" w:rsidR="00B33D8D" w:rsidRPr="001D41EA" w:rsidRDefault="00B33D8D" w:rsidP="001D41EA">
            <w:pPr>
              <w:spacing w:before="40" w:after="40"/>
              <w:jc w:val="right"/>
              <w:rPr>
                <w:rFonts w:cs="Arial"/>
                <w:sz w:val="18"/>
                <w:szCs w:val="18"/>
              </w:rPr>
            </w:pPr>
            <w:r w:rsidRPr="001D41EA">
              <w:rPr>
                <w:rFonts w:cs="Arial"/>
                <w:sz w:val="18"/>
                <w:szCs w:val="18"/>
              </w:rPr>
              <w:t>10,090</w:t>
            </w:r>
          </w:p>
        </w:tc>
        <w:tc>
          <w:tcPr>
            <w:tcW w:w="1418" w:type="dxa"/>
            <w:tcBorders>
              <w:top w:val="nil"/>
              <w:left w:val="nil"/>
              <w:bottom w:val="nil"/>
              <w:right w:val="nil"/>
            </w:tcBorders>
            <w:shd w:val="clear" w:color="auto" w:fill="auto"/>
            <w:vAlign w:val="bottom"/>
          </w:tcPr>
          <w:p w14:paraId="50313727" w14:textId="631B6F4F" w:rsidR="00B33D8D" w:rsidRPr="001D41EA" w:rsidRDefault="00B33D8D" w:rsidP="00F705DD">
            <w:pPr>
              <w:spacing w:before="40" w:after="40"/>
              <w:jc w:val="center"/>
              <w:rPr>
                <w:rFonts w:cs="Arial"/>
                <w:sz w:val="18"/>
                <w:szCs w:val="18"/>
              </w:rPr>
            </w:pPr>
            <w:r w:rsidRPr="001D41EA">
              <w:rPr>
                <w:rFonts w:cs="Arial"/>
                <w:sz w:val="18"/>
                <w:szCs w:val="18"/>
              </w:rPr>
              <w:t>38.4</w:t>
            </w:r>
          </w:p>
        </w:tc>
        <w:tc>
          <w:tcPr>
            <w:tcW w:w="170" w:type="dxa"/>
            <w:tcBorders>
              <w:top w:val="nil"/>
              <w:left w:val="nil"/>
              <w:bottom w:val="nil"/>
              <w:right w:val="nil"/>
            </w:tcBorders>
            <w:vAlign w:val="bottom"/>
          </w:tcPr>
          <w:p w14:paraId="0B1DB81A" w14:textId="0D5E7031"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0E2C6FBA" w14:textId="2E8A21F6" w:rsidR="00B33D8D" w:rsidRPr="001D41EA" w:rsidRDefault="00B33D8D" w:rsidP="001D41EA">
            <w:pPr>
              <w:spacing w:before="40" w:after="40"/>
              <w:jc w:val="right"/>
              <w:rPr>
                <w:rFonts w:cs="Arial"/>
                <w:sz w:val="18"/>
                <w:szCs w:val="18"/>
              </w:rPr>
            </w:pPr>
            <w:r w:rsidRPr="001D41EA">
              <w:rPr>
                <w:rFonts w:cs="Arial"/>
                <w:sz w:val="18"/>
                <w:szCs w:val="18"/>
              </w:rPr>
              <w:t>75,211</w:t>
            </w:r>
          </w:p>
        </w:tc>
        <w:tc>
          <w:tcPr>
            <w:tcW w:w="170" w:type="dxa"/>
            <w:tcBorders>
              <w:top w:val="nil"/>
              <w:left w:val="nil"/>
              <w:bottom w:val="nil"/>
              <w:right w:val="nil"/>
            </w:tcBorders>
            <w:vAlign w:val="bottom"/>
          </w:tcPr>
          <w:p w14:paraId="59C6E179" w14:textId="0445A24D"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3DC4D3EC" w14:textId="7E7025D5" w:rsidR="00B33D8D" w:rsidRPr="001D41EA" w:rsidRDefault="00B33D8D" w:rsidP="001D41EA">
            <w:pPr>
              <w:spacing w:before="40" w:after="40"/>
              <w:jc w:val="right"/>
              <w:rPr>
                <w:rFonts w:cs="Arial"/>
                <w:sz w:val="18"/>
                <w:szCs w:val="18"/>
              </w:rPr>
            </w:pPr>
            <w:r w:rsidRPr="001D41EA">
              <w:rPr>
                <w:rFonts w:cs="Arial"/>
                <w:sz w:val="18"/>
                <w:szCs w:val="18"/>
              </w:rPr>
              <w:t>11.0</w:t>
            </w:r>
          </w:p>
        </w:tc>
      </w:tr>
      <w:tr w:rsidR="00B33D8D" w:rsidRPr="001D41EA" w14:paraId="4F78D46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D7DFD77" w14:textId="77777777" w:rsidR="00B33D8D" w:rsidRPr="001D41EA" w:rsidRDefault="00B33D8D" w:rsidP="001D41EA">
            <w:pPr>
              <w:spacing w:before="40" w:after="40"/>
              <w:rPr>
                <w:rFonts w:cs="Arial"/>
                <w:sz w:val="18"/>
                <w:szCs w:val="18"/>
              </w:rPr>
            </w:pPr>
            <w:r w:rsidRPr="001D41EA">
              <w:rPr>
                <w:rFonts w:cs="Arial"/>
                <w:sz w:val="18"/>
                <w:szCs w:val="18"/>
              </w:rPr>
              <w:t>Loddon S</w:t>
            </w:r>
          </w:p>
        </w:tc>
        <w:tc>
          <w:tcPr>
            <w:tcW w:w="1418" w:type="dxa"/>
            <w:tcBorders>
              <w:top w:val="nil"/>
              <w:left w:val="single" w:sz="18" w:space="0" w:color="5F497A" w:themeColor="accent4" w:themeShade="BF"/>
              <w:bottom w:val="nil"/>
              <w:right w:val="nil"/>
            </w:tcBorders>
            <w:shd w:val="clear" w:color="auto" w:fill="auto"/>
            <w:vAlign w:val="bottom"/>
          </w:tcPr>
          <w:p w14:paraId="4571A0FC" w14:textId="2F684F9F" w:rsidR="00B33D8D" w:rsidRPr="001D41EA" w:rsidRDefault="00B33D8D" w:rsidP="001D41EA">
            <w:pPr>
              <w:spacing w:before="40" w:after="40"/>
              <w:jc w:val="right"/>
              <w:rPr>
                <w:rFonts w:cs="Arial"/>
                <w:sz w:val="18"/>
                <w:szCs w:val="18"/>
              </w:rPr>
            </w:pPr>
            <w:r w:rsidRPr="001D41EA">
              <w:rPr>
                <w:rFonts w:cs="Arial"/>
                <w:sz w:val="18"/>
                <w:szCs w:val="18"/>
              </w:rPr>
              <w:t>1,344</w:t>
            </w:r>
          </w:p>
        </w:tc>
        <w:tc>
          <w:tcPr>
            <w:tcW w:w="1418" w:type="dxa"/>
            <w:tcBorders>
              <w:top w:val="nil"/>
              <w:left w:val="nil"/>
              <w:bottom w:val="nil"/>
              <w:right w:val="nil"/>
            </w:tcBorders>
            <w:shd w:val="clear" w:color="auto" w:fill="auto"/>
            <w:vAlign w:val="bottom"/>
          </w:tcPr>
          <w:p w14:paraId="3339CCD2" w14:textId="4FC34853" w:rsidR="00B33D8D" w:rsidRPr="001D41EA" w:rsidRDefault="00B33D8D" w:rsidP="00F705DD">
            <w:pPr>
              <w:spacing w:before="40" w:after="40"/>
              <w:jc w:val="center"/>
              <w:rPr>
                <w:rFonts w:cs="Arial"/>
                <w:sz w:val="18"/>
                <w:szCs w:val="18"/>
              </w:rPr>
            </w:pPr>
            <w:r w:rsidRPr="001D41EA">
              <w:rPr>
                <w:rFonts w:cs="Arial"/>
                <w:sz w:val="18"/>
                <w:szCs w:val="18"/>
              </w:rPr>
              <w:t>38.6</w:t>
            </w:r>
          </w:p>
        </w:tc>
        <w:tc>
          <w:tcPr>
            <w:tcW w:w="170" w:type="dxa"/>
            <w:tcBorders>
              <w:top w:val="nil"/>
              <w:left w:val="nil"/>
              <w:bottom w:val="nil"/>
              <w:right w:val="nil"/>
            </w:tcBorders>
            <w:vAlign w:val="bottom"/>
          </w:tcPr>
          <w:p w14:paraId="4B7375FF" w14:textId="23E02A0F" w:rsidR="00B33D8D" w:rsidRPr="001D41EA" w:rsidRDefault="00B33D8D" w:rsidP="00F705DD">
            <w:pPr>
              <w:spacing w:before="40" w:after="40"/>
              <w:jc w:val="center"/>
              <w:rPr>
                <w:rFonts w:cs="Arial"/>
                <w:sz w:val="18"/>
                <w:szCs w:val="18"/>
              </w:rPr>
            </w:pPr>
          </w:p>
        </w:tc>
        <w:tc>
          <w:tcPr>
            <w:tcW w:w="1418" w:type="dxa"/>
            <w:tcBorders>
              <w:top w:val="nil"/>
              <w:left w:val="nil"/>
              <w:bottom w:val="nil"/>
              <w:right w:val="nil"/>
            </w:tcBorders>
            <w:shd w:val="clear" w:color="auto" w:fill="auto"/>
            <w:vAlign w:val="bottom"/>
          </w:tcPr>
          <w:p w14:paraId="27828C15" w14:textId="11BA6F86" w:rsidR="00B33D8D" w:rsidRPr="001D41EA" w:rsidRDefault="00B33D8D" w:rsidP="001D41EA">
            <w:pPr>
              <w:spacing w:before="40" w:after="40"/>
              <w:jc w:val="right"/>
              <w:rPr>
                <w:rFonts w:cs="Arial"/>
                <w:sz w:val="18"/>
                <w:szCs w:val="18"/>
              </w:rPr>
            </w:pPr>
            <w:r w:rsidRPr="001D41EA">
              <w:rPr>
                <w:rFonts w:cs="Arial"/>
                <w:sz w:val="18"/>
                <w:szCs w:val="18"/>
              </w:rPr>
              <w:t>7,513</w:t>
            </w:r>
          </w:p>
        </w:tc>
        <w:tc>
          <w:tcPr>
            <w:tcW w:w="170" w:type="dxa"/>
            <w:tcBorders>
              <w:top w:val="nil"/>
              <w:left w:val="nil"/>
              <w:bottom w:val="nil"/>
              <w:right w:val="nil"/>
            </w:tcBorders>
            <w:vAlign w:val="bottom"/>
          </w:tcPr>
          <w:p w14:paraId="5644D04D" w14:textId="38551337"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8F80F89" w14:textId="32CEECEA" w:rsidR="00B33D8D" w:rsidRPr="001D41EA" w:rsidRDefault="00B33D8D" w:rsidP="001D41EA">
            <w:pPr>
              <w:spacing w:before="40" w:after="40"/>
              <w:jc w:val="right"/>
              <w:rPr>
                <w:rFonts w:cs="Arial"/>
                <w:sz w:val="18"/>
                <w:szCs w:val="18"/>
              </w:rPr>
            </w:pPr>
            <w:r w:rsidRPr="001D41EA">
              <w:rPr>
                <w:rFonts w:cs="Arial"/>
                <w:sz w:val="18"/>
                <w:szCs w:val="18"/>
              </w:rPr>
              <w:t>55.7</w:t>
            </w:r>
          </w:p>
        </w:tc>
      </w:tr>
    </w:tbl>
    <w:p w14:paraId="697896BB" w14:textId="77777777" w:rsidR="007E15CC" w:rsidRPr="00A44829" w:rsidRDefault="007E15CC" w:rsidP="00FF36E8">
      <w:pPr>
        <w:spacing w:before="40" w:after="20"/>
        <w:rPr>
          <w:rFonts w:cs="Arial"/>
          <w:sz w:val="18"/>
          <w:szCs w:val="18"/>
        </w:rPr>
      </w:pPr>
    </w:p>
    <w:p w14:paraId="523B69AF" w14:textId="77777777" w:rsidR="0022168A" w:rsidRPr="00A44829" w:rsidRDefault="0022168A" w:rsidP="00FF36E8">
      <w:pPr>
        <w:spacing w:before="40" w:after="20"/>
        <w:rPr>
          <w:rFonts w:cs="Arial"/>
          <w:sz w:val="18"/>
          <w:szCs w:val="18"/>
        </w:rPr>
      </w:pPr>
      <w:r w:rsidRPr="00A44829">
        <w:rPr>
          <w:rFonts w:cs="Arial"/>
          <w:i/>
          <w:sz w:val="18"/>
          <w:szCs w:val="18"/>
        </w:rPr>
        <w:br w:type="page"/>
      </w:r>
    </w:p>
    <w:p w14:paraId="4C52520A" w14:textId="4C10A340" w:rsidR="0022168A" w:rsidRPr="00A44829" w:rsidRDefault="00EE4593" w:rsidP="00C33713">
      <w:pPr>
        <w:pStyle w:val="VGC-Head10"/>
      </w:pPr>
      <w:r w:rsidRPr="00A44829">
        <w:lastRenderedPageBreak/>
        <w:t>2019-20</w:t>
      </w:r>
      <w:r w:rsidR="00A97ABE" w:rsidRPr="00A44829">
        <w:t xml:space="preserve"> </w:t>
      </w:r>
      <w:r w:rsidR="0022168A" w:rsidRPr="00A44829">
        <w:t>General Purpose Grants</w:t>
      </w:r>
      <w:r w:rsidR="00CE4507" w:rsidRPr="00A44829">
        <w:tab/>
        <w:t>Appendix 4</w:t>
      </w:r>
    </w:p>
    <w:p w14:paraId="0D221FF4" w14:textId="77777777" w:rsidR="0022168A" w:rsidRPr="00A44829" w:rsidRDefault="004F1184" w:rsidP="008C1A28">
      <w:pPr>
        <w:pStyle w:val="VGC-Head2"/>
      </w:pPr>
      <w:r w:rsidRPr="00A44829">
        <w:tab/>
      </w:r>
      <w:r w:rsidR="0022168A" w:rsidRPr="00A44829">
        <w:t>C.  Cost Adjustors – Raw Data</w:t>
      </w:r>
    </w:p>
    <w:p w14:paraId="713090B4" w14:textId="77777777" w:rsidR="0093671E" w:rsidRPr="00A44829" w:rsidRDefault="0093671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6D721B" w:rsidRPr="00A44829" w14:paraId="5CDCACF6"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6F2C4B04" w14:textId="77777777" w:rsidR="006D721B" w:rsidRPr="00A44829" w:rsidRDefault="006D721B" w:rsidP="008001AD">
            <w:pPr>
              <w:spacing w:before="40" w:after="20"/>
              <w:jc w:val="center"/>
              <w:rPr>
                <w:rFonts w:cs="Arial"/>
                <w:sz w:val="18"/>
                <w:szCs w:val="18"/>
              </w:rPr>
            </w:pPr>
          </w:p>
        </w:tc>
        <w:tc>
          <w:tcPr>
            <w:tcW w:w="2836" w:type="dxa"/>
            <w:gridSpan w:val="2"/>
            <w:tcBorders>
              <w:top w:val="nil"/>
              <w:left w:val="single" w:sz="18" w:space="0" w:color="5F497A" w:themeColor="accent4" w:themeShade="BF"/>
              <w:bottom w:val="single" w:sz="8" w:space="0" w:color="5F497A" w:themeColor="accent4" w:themeShade="BF"/>
              <w:right w:val="nil"/>
            </w:tcBorders>
            <w:vAlign w:val="bottom"/>
          </w:tcPr>
          <w:p w14:paraId="1146BB96" w14:textId="76E493B9" w:rsidR="006D721B" w:rsidRPr="00A44829" w:rsidRDefault="006D721B" w:rsidP="008001AD">
            <w:pPr>
              <w:spacing w:before="40" w:after="20"/>
              <w:jc w:val="center"/>
              <w:rPr>
                <w:rFonts w:cs="Arial"/>
                <w:b/>
                <w:sz w:val="18"/>
                <w:szCs w:val="18"/>
              </w:rPr>
            </w:pPr>
            <w:r w:rsidRPr="00A44829">
              <w:rPr>
                <w:rFonts w:cs="Arial"/>
                <w:b/>
                <w:sz w:val="18"/>
                <w:szCs w:val="18"/>
              </w:rPr>
              <w:t>Indigenous Population</w:t>
            </w:r>
            <w:r w:rsidR="00B23A90" w:rsidRPr="00A44829">
              <w:rPr>
                <w:rFonts w:cs="Arial"/>
                <w:b/>
                <w:sz w:val="18"/>
                <w:szCs w:val="18"/>
              </w:rPr>
              <w:t xml:space="preserve"> </w:t>
            </w:r>
          </w:p>
        </w:tc>
        <w:tc>
          <w:tcPr>
            <w:tcW w:w="170" w:type="dxa"/>
            <w:vMerge w:val="restart"/>
            <w:tcBorders>
              <w:top w:val="nil"/>
              <w:left w:val="nil"/>
              <w:bottom w:val="single" w:sz="8" w:space="0" w:color="5F497A" w:themeColor="accent4" w:themeShade="BF"/>
              <w:right w:val="nil"/>
            </w:tcBorders>
            <w:vAlign w:val="bottom"/>
          </w:tcPr>
          <w:p w14:paraId="619728F4" w14:textId="77777777" w:rsidR="006D721B" w:rsidRPr="00A44829" w:rsidRDefault="006D721B" w:rsidP="008001AD">
            <w:pPr>
              <w:spacing w:before="40" w:after="20"/>
              <w:jc w:val="center"/>
              <w:rPr>
                <w:rFonts w:cs="Arial"/>
                <w:b/>
                <w:sz w:val="18"/>
                <w:szCs w:val="18"/>
              </w:rPr>
            </w:pPr>
          </w:p>
        </w:tc>
        <w:tc>
          <w:tcPr>
            <w:tcW w:w="1418" w:type="dxa"/>
            <w:tcBorders>
              <w:top w:val="nil"/>
              <w:left w:val="nil"/>
              <w:bottom w:val="single" w:sz="8" w:space="0" w:color="5F497A" w:themeColor="accent4" w:themeShade="BF"/>
              <w:right w:val="nil"/>
            </w:tcBorders>
            <w:shd w:val="clear" w:color="auto" w:fill="auto"/>
            <w:vAlign w:val="bottom"/>
          </w:tcPr>
          <w:p w14:paraId="7F0B1312" w14:textId="3A0409DB" w:rsidR="006D721B" w:rsidRPr="00A44829" w:rsidRDefault="006D721B" w:rsidP="008001AD">
            <w:pPr>
              <w:spacing w:before="40" w:after="20"/>
              <w:jc w:val="center"/>
              <w:rPr>
                <w:rFonts w:cs="Arial"/>
                <w:b/>
                <w:sz w:val="18"/>
                <w:szCs w:val="18"/>
              </w:rPr>
            </w:pPr>
            <w:r w:rsidRPr="00A44829">
              <w:rPr>
                <w:rFonts w:cs="Arial"/>
                <w:b/>
                <w:sz w:val="18"/>
                <w:szCs w:val="18"/>
              </w:rPr>
              <w:t>Language</w:t>
            </w:r>
            <w:r w:rsidR="00B23A90" w:rsidRPr="00A44829">
              <w:rPr>
                <w:rFonts w:cs="Arial"/>
                <w:b/>
                <w:sz w:val="18"/>
                <w:szCs w:val="18"/>
              </w:rPr>
              <w:t xml:space="preserve"> </w:t>
            </w:r>
          </w:p>
        </w:tc>
        <w:tc>
          <w:tcPr>
            <w:tcW w:w="1418" w:type="dxa"/>
            <w:vMerge w:val="restart"/>
            <w:tcBorders>
              <w:top w:val="nil"/>
              <w:left w:val="nil"/>
              <w:bottom w:val="single" w:sz="8" w:space="0" w:color="5F497A" w:themeColor="accent4" w:themeShade="BF"/>
              <w:right w:val="nil"/>
            </w:tcBorders>
            <w:shd w:val="clear" w:color="auto" w:fill="auto"/>
            <w:vAlign w:val="bottom"/>
          </w:tcPr>
          <w:p w14:paraId="66E79219" w14:textId="47FAF4E5" w:rsidR="006D721B" w:rsidRPr="00A44829" w:rsidRDefault="006D721B" w:rsidP="008001AD">
            <w:pPr>
              <w:spacing w:before="40" w:after="20"/>
              <w:jc w:val="center"/>
              <w:rPr>
                <w:rFonts w:cs="Arial"/>
                <w:b/>
                <w:sz w:val="18"/>
                <w:szCs w:val="18"/>
              </w:rPr>
            </w:pPr>
            <w:r w:rsidRPr="00A44829">
              <w:rPr>
                <w:rFonts w:cs="Arial"/>
                <w:b/>
                <w:sz w:val="18"/>
                <w:szCs w:val="18"/>
              </w:rPr>
              <w:t>Population Dispersion Score</w:t>
            </w:r>
            <w:r w:rsidR="00B23A90" w:rsidRPr="00A44829">
              <w:rPr>
                <w:rFonts w:cs="Arial"/>
                <w:b/>
                <w:sz w:val="18"/>
                <w:szCs w:val="18"/>
              </w:rPr>
              <w:t xml:space="preserve"> </w:t>
            </w:r>
          </w:p>
        </w:tc>
      </w:tr>
      <w:tr w:rsidR="00A32B54" w:rsidRPr="00A44829" w14:paraId="1A84E28A"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18E43814" w14:textId="77777777" w:rsidR="00A32B54" w:rsidRPr="00A44829" w:rsidRDefault="00A32B54" w:rsidP="008001AD">
            <w:pPr>
              <w:spacing w:before="40" w:after="20"/>
              <w:jc w:val="center"/>
              <w:rPr>
                <w:rFonts w:cs="Arial"/>
                <w:sz w:val="18"/>
                <w:szCs w:val="18"/>
              </w:rPr>
            </w:pPr>
          </w:p>
        </w:tc>
        <w:tc>
          <w:tcPr>
            <w:tcW w:w="1418" w:type="dxa"/>
            <w:tcBorders>
              <w:top w:val="single" w:sz="8" w:space="0" w:color="5F497A" w:themeColor="accent4" w:themeShade="BF"/>
              <w:left w:val="single" w:sz="18" w:space="0" w:color="5F497A" w:themeColor="accent4" w:themeShade="BF"/>
              <w:bottom w:val="single" w:sz="8" w:space="0" w:color="5F497A" w:themeColor="accent4" w:themeShade="BF"/>
              <w:right w:val="nil"/>
            </w:tcBorders>
            <w:vAlign w:val="bottom"/>
          </w:tcPr>
          <w:p w14:paraId="06482186" w14:textId="2685384C" w:rsidR="00A32B54" w:rsidRPr="00A44829" w:rsidRDefault="00A32B54" w:rsidP="008001AD">
            <w:pPr>
              <w:spacing w:before="40" w:after="20"/>
              <w:jc w:val="center"/>
              <w:rPr>
                <w:rFonts w:cs="Arial"/>
                <w:sz w:val="16"/>
                <w:szCs w:val="16"/>
              </w:rPr>
            </w:pPr>
            <w:r w:rsidRPr="00A44829">
              <w:rPr>
                <w:rFonts w:cs="Arial"/>
                <w:sz w:val="16"/>
                <w:szCs w:val="16"/>
              </w:rPr>
              <w:t>No.</w:t>
            </w:r>
            <w:r w:rsidR="00CA7F17" w:rsidRPr="00A44829">
              <w:rPr>
                <w:rFonts w:cs="Arial"/>
                <w:sz w:val="16"/>
                <w:szCs w:val="16"/>
              </w:rPr>
              <w:t xml:space="preserve"> </w:t>
            </w:r>
            <w:r w:rsidR="00CA7F17" w:rsidRPr="00A44829">
              <w:rPr>
                <w:rFonts w:cs="Arial"/>
                <w:sz w:val="16"/>
                <w:szCs w:val="16"/>
              </w:rPr>
              <w:br/>
              <w:t>(</w:t>
            </w:r>
            <w:r w:rsidR="006D4C53" w:rsidRPr="00A44829">
              <w:rPr>
                <w:rFonts w:cs="Arial"/>
                <w:sz w:val="16"/>
                <w:szCs w:val="16"/>
              </w:rPr>
              <w:t>Census 2016</w:t>
            </w:r>
            <w:r w:rsidR="00CA7F17" w:rsidRPr="00A44829">
              <w:rPr>
                <w:rFonts w:cs="Arial"/>
                <w:sz w:val="16"/>
                <w:szCs w:val="16"/>
              </w:rPr>
              <w:t>)</w:t>
            </w:r>
          </w:p>
        </w:tc>
        <w:tc>
          <w:tcPr>
            <w:tcW w:w="1418" w:type="dxa"/>
            <w:tcBorders>
              <w:top w:val="single" w:sz="8" w:space="0" w:color="5F497A" w:themeColor="accent4" w:themeShade="BF"/>
              <w:left w:val="nil"/>
              <w:bottom w:val="single" w:sz="8" w:space="0" w:color="5F497A" w:themeColor="accent4" w:themeShade="BF"/>
              <w:right w:val="nil"/>
            </w:tcBorders>
            <w:vAlign w:val="bottom"/>
          </w:tcPr>
          <w:p w14:paraId="183AC562" w14:textId="68C1E81D" w:rsidR="00A32B54" w:rsidRPr="00A44829" w:rsidRDefault="00A32B54" w:rsidP="008001AD">
            <w:pPr>
              <w:spacing w:before="40" w:after="20"/>
              <w:jc w:val="center"/>
              <w:rPr>
                <w:rFonts w:cs="Arial"/>
                <w:sz w:val="16"/>
                <w:szCs w:val="16"/>
              </w:rPr>
            </w:pPr>
            <w:r w:rsidRPr="00A44829">
              <w:rPr>
                <w:rFonts w:cs="Arial"/>
                <w:sz w:val="16"/>
                <w:szCs w:val="16"/>
              </w:rPr>
              <w:t xml:space="preserve">No./ ERP (p) </w:t>
            </w:r>
            <w:r w:rsidRPr="00A44829">
              <w:rPr>
                <w:rFonts w:cs="Arial"/>
                <w:sz w:val="16"/>
                <w:szCs w:val="16"/>
              </w:rPr>
              <w:br/>
              <w:t>(%)</w:t>
            </w:r>
          </w:p>
        </w:tc>
        <w:tc>
          <w:tcPr>
            <w:tcW w:w="170" w:type="dxa"/>
            <w:vMerge/>
            <w:tcBorders>
              <w:top w:val="single" w:sz="8" w:space="0" w:color="5F497A" w:themeColor="accent4" w:themeShade="BF"/>
              <w:left w:val="nil"/>
              <w:bottom w:val="single" w:sz="8" w:space="0" w:color="5F497A" w:themeColor="accent4" w:themeShade="BF"/>
              <w:right w:val="nil"/>
            </w:tcBorders>
            <w:vAlign w:val="bottom"/>
          </w:tcPr>
          <w:p w14:paraId="21B300D1" w14:textId="77777777" w:rsidR="00A32B54" w:rsidRPr="00A44829" w:rsidRDefault="00A32B54" w:rsidP="008001AD">
            <w:pPr>
              <w:spacing w:before="40" w:after="20"/>
              <w:jc w:val="center"/>
              <w:rPr>
                <w:rFonts w:cs="Arial"/>
                <w:sz w:val="16"/>
                <w:szCs w:val="16"/>
              </w:rPr>
            </w:pP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6B331EF3" w14:textId="77777777" w:rsidR="00A32B54" w:rsidRPr="00A44829" w:rsidRDefault="00A32B54" w:rsidP="008001AD">
            <w:pPr>
              <w:spacing w:before="40" w:after="20"/>
              <w:jc w:val="center"/>
              <w:rPr>
                <w:rFonts w:cs="Arial"/>
                <w:sz w:val="16"/>
                <w:szCs w:val="16"/>
              </w:rPr>
            </w:pPr>
            <w:r w:rsidRPr="00A44829">
              <w:rPr>
                <w:rFonts w:cs="Arial"/>
                <w:sz w:val="16"/>
                <w:szCs w:val="16"/>
              </w:rPr>
              <w:t xml:space="preserve">% Pop with </w:t>
            </w:r>
            <w:r w:rsidRPr="00A44829">
              <w:rPr>
                <w:rFonts w:cs="Arial"/>
                <w:sz w:val="16"/>
                <w:szCs w:val="16"/>
              </w:rPr>
              <w:br/>
              <w:t xml:space="preserve">Low English Proficiency </w:t>
            </w:r>
            <w:r w:rsidRPr="00A44829">
              <w:rPr>
                <w:rFonts w:cs="Arial"/>
                <w:sz w:val="16"/>
                <w:szCs w:val="16"/>
              </w:rPr>
              <w:br/>
              <w:t>+ New Arrivals</w:t>
            </w:r>
          </w:p>
        </w:tc>
        <w:tc>
          <w:tcPr>
            <w:tcW w:w="1418"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233745FE" w14:textId="77777777" w:rsidR="00A32B54" w:rsidRPr="00A44829" w:rsidRDefault="00A32B54" w:rsidP="008001AD">
            <w:pPr>
              <w:spacing w:before="40" w:after="20"/>
              <w:jc w:val="center"/>
              <w:rPr>
                <w:rFonts w:cs="Arial"/>
                <w:sz w:val="16"/>
                <w:szCs w:val="16"/>
              </w:rPr>
            </w:pPr>
          </w:p>
        </w:tc>
      </w:tr>
      <w:tr w:rsidR="00143DD0" w:rsidRPr="001D41EA" w14:paraId="21AE5295" w14:textId="77777777" w:rsidTr="00C60457">
        <w:tc>
          <w:tcPr>
            <w:tcW w:w="2268" w:type="dxa"/>
            <w:tcBorders>
              <w:top w:val="nil"/>
              <w:left w:val="nil"/>
              <w:bottom w:val="nil"/>
              <w:right w:val="single" w:sz="18" w:space="0" w:color="5F497A" w:themeColor="accent4" w:themeShade="BF"/>
            </w:tcBorders>
            <w:shd w:val="clear" w:color="auto" w:fill="auto"/>
            <w:vAlign w:val="center"/>
          </w:tcPr>
          <w:p w14:paraId="76F3839F" w14:textId="77777777" w:rsidR="00143DD0" w:rsidRPr="001D41EA" w:rsidRDefault="00143DD0" w:rsidP="00143DD0">
            <w:pPr>
              <w:spacing w:before="40" w:after="40"/>
              <w:rPr>
                <w:rFonts w:cs="Arial"/>
                <w:sz w:val="18"/>
                <w:szCs w:val="18"/>
              </w:rPr>
            </w:pPr>
          </w:p>
        </w:tc>
        <w:tc>
          <w:tcPr>
            <w:tcW w:w="1418" w:type="dxa"/>
            <w:tcBorders>
              <w:top w:val="single" w:sz="8" w:space="0" w:color="5F497A" w:themeColor="accent4" w:themeShade="BF"/>
              <w:left w:val="single" w:sz="18" w:space="0" w:color="5F497A" w:themeColor="accent4" w:themeShade="BF"/>
              <w:bottom w:val="nil"/>
              <w:right w:val="nil"/>
            </w:tcBorders>
            <w:vAlign w:val="bottom"/>
          </w:tcPr>
          <w:p w14:paraId="770D7381" w14:textId="5AB814B1"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single" w:sz="8" w:space="0" w:color="5F497A" w:themeColor="accent4" w:themeShade="BF"/>
              <w:left w:val="nil"/>
              <w:bottom w:val="nil"/>
              <w:right w:val="nil"/>
            </w:tcBorders>
            <w:vAlign w:val="bottom"/>
          </w:tcPr>
          <w:p w14:paraId="5A1508BC" w14:textId="381EFB6D" w:rsidR="00143DD0" w:rsidRPr="001D41EA" w:rsidRDefault="00143DD0" w:rsidP="00143DD0">
            <w:pPr>
              <w:spacing w:before="40" w:after="4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73FCEB49" w14:textId="5D78CFEC"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48DB4B4D" w14:textId="126E9E68" w:rsidR="00143DD0" w:rsidRPr="001D41EA" w:rsidRDefault="00143DD0" w:rsidP="00143DD0">
            <w:pPr>
              <w:spacing w:before="40" w:after="40"/>
              <w:jc w:val="center"/>
              <w:rPr>
                <w:rFonts w:cs="Arial"/>
                <w:sz w:val="18"/>
                <w:szCs w:val="18"/>
              </w:rPr>
            </w:pPr>
            <w:r w:rsidRPr="00143DD0">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1FE4A583" w14:textId="6821E613" w:rsidR="00143DD0" w:rsidRPr="001D41EA" w:rsidRDefault="00143DD0" w:rsidP="00143DD0">
            <w:pPr>
              <w:spacing w:before="40" w:after="40"/>
              <w:jc w:val="right"/>
              <w:rPr>
                <w:rFonts w:cs="Arial"/>
                <w:sz w:val="18"/>
                <w:szCs w:val="18"/>
              </w:rPr>
            </w:pPr>
            <w:r w:rsidRPr="001D41EA">
              <w:rPr>
                <w:rFonts w:cs="Arial"/>
                <w:sz w:val="18"/>
                <w:szCs w:val="18"/>
              </w:rPr>
              <w:t> </w:t>
            </w:r>
          </w:p>
        </w:tc>
      </w:tr>
      <w:tr w:rsidR="00143DD0" w:rsidRPr="001D41EA" w14:paraId="20E709E8"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7A2D640" w14:textId="77777777" w:rsidR="00143DD0" w:rsidRPr="001D41EA" w:rsidRDefault="00143DD0" w:rsidP="00143DD0">
            <w:pPr>
              <w:spacing w:before="40" w:after="40"/>
              <w:rPr>
                <w:rFonts w:cs="Arial"/>
                <w:sz w:val="18"/>
                <w:szCs w:val="18"/>
              </w:rPr>
            </w:pPr>
            <w:r w:rsidRPr="001D41EA">
              <w:rPr>
                <w:rFonts w:cs="Arial"/>
                <w:sz w:val="18"/>
                <w:szCs w:val="18"/>
              </w:rPr>
              <w:t>Alpine S</w:t>
            </w:r>
          </w:p>
        </w:tc>
        <w:tc>
          <w:tcPr>
            <w:tcW w:w="1418" w:type="dxa"/>
            <w:tcBorders>
              <w:top w:val="nil"/>
              <w:left w:val="single" w:sz="18" w:space="0" w:color="5F497A" w:themeColor="accent4" w:themeShade="BF"/>
              <w:bottom w:val="nil"/>
              <w:right w:val="nil"/>
            </w:tcBorders>
            <w:vAlign w:val="bottom"/>
          </w:tcPr>
          <w:p w14:paraId="7D0230F5" w14:textId="77844994" w:rsidR="00143DD0" w:rsidRPr="001D41EA" w:rsidRDefault="00143DD0" w:rsidP="00143DD0">
            <w:pPr>
              <w:spacing w:before="40" w:after="40"/>
              <w:jc w:val="right"/>
              <w:rPr>
                <w:rFonts w:cs="Arial"/>
                <w:sz w:val="18"/>
                <w:szCs w:val="18"/>
              </w:rPr>
            </w:pPr>
            <w:r w:rsidRPr="001D41EA">
              <w:rPr>
                <w:rFonts w:cs="Arial"/>
                <w:sz w:val="18"/>
                <w:szCs w:val="18"/>
              </w:rPr>
              <w:t>112</w:t>
            </w:r>
          </w:p>
        </w:tc>
        <w:tc>
          <w:tcPr>
            <w:tcW w:w="1418" w:type="dxa"/>
            <w:tcBorders>
              <w:top w:val="nil"/>
              <w:left w:val="nil"/>
              <w:bottom w:val="nil"/>
              <w:right w:val="nil"/>
            </w:tcBorders>
            <w:vAlign w:val="bottom"/>
          </w:tcPr>
          <w:p w14:paraId="581D33CB" w14:textId="2907BB70" w:rsidR="00143DD0" w:rsidRPr="001D41EA" w:rsidRDefault="00143DD0" w:rsidP="00143DD0">
            <w:pPr>
              <w:spacing w:before="40" w:after="40"/>
              <w:jc w:val="center"/>
              <w:rPr>
                <w:rFonts w:cs="Arial"/>
                <w:sz w:val="18"/>
                <w:szCs w:val="18"/>
              </w:rPr>
            </w:pPr>
            <w:r w:rsidRPr="001D41EA">
              <w:rPr>
                <w:rFonts w:cs="Arial"/>
                <w:sz w:val="18"/>
                <w:szCs w:val="18"/>
              </w:rPr>
              <w:t>0.9</w:t>
            </w:r>
          </w:p>
        </w:tc>
        <w:tc>
          <w:tcPr>
            <w:tcW w:w="170" w:type="dxa"/>
            <w:tcBorders>
              <w:top w:val="nil"/>
              <w:left w:val="nil"/>
              <w:bottom w:val="nil"/>
              <w:right w:val="nil"/>
            </w:tcBorders>
            <w:vAlign w:val="bottom"/>
          </w:tcPr>
          <w:p w14:paraId="7358D845" w14:textId="28AE7727"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326DD3FE" w14:textId="2E1D785B" w:rsidR="00143DD0" w:rsidRPr="001D41EA" w:rsidRDefault="00143DD0" w:rsidP="00143DD0">
            <w:pPr>
              <w:spacing w:before="40" w:after="40"/>
              <w:jc w:val="center"/>
              <w:rPr>
                <w:rFonts w:cs="Arial"/>
                <w:sz w:val="18"/>
                <w:szCs w:val="18"/>
              </w:rPr>
            </w:pPr>
            <w:r w:rsidRPr="00143DD0">
              <w:rPr>
                <w:rFonts w:cs="Arial"/>
                <w:sz w:val="18"/>
                <w:szCs w:val="18"/>
              </w:rPr>
              <w:t>0.9</w:t>
            </w:r>
          </w:p>
        </w:tc>
        <w:tc>
          <w:tcPr>
            <w:tcW w:w="1418" w:type="dxa"/>
            <w:tcBorders>
              <w:top w:val="nil"/>
              <w:left w:val="nil"/>
              <w:bottom w:val="nil"/>
              <w:right w:val="nil"/>
            </w:tcBorders>
            <w:shd w:val="clear" w:color="auto" w:fill="auto"/>
            <w:vAlign w:val="bottom"/>
          </w:tcPr>
          <w:p w14:paraId="3A6A73BE" w14:textId="3E3CE15B" w:rsidR="00143DD0" w:rsidRPr="001D41EA" w:rsidRDefault="00143DD0" w:rsidP="00143DD0">
            <w:pPr>
              <w:spacing w:before="40" w:after="40"/>
              <w:jc w:val="right"/>
              <w:rPr>
                <w:rFonts w:cs="Arial"/>
                <w:sz w:val="18"/>
                <w:szCs w:val="18"/>
              </w:rPr>
            </w:pPr>
            <w:r w:rsidRPr="001D41EA">
              <w:rPr>
                <w:rFonts w:cs="Arial"/>
                <w:sz w:val="18"/>
                <w:szCs w:val="18"/>
              </w:rPr>
              <w:t>22.00</w:t>
            </w:r>
          </w:p>
        </w:tc>
      </w:tr>
      <w:tr w:rsidR="00143DD0" w:rsidRPr="001D41EA" w14:paraId="19E272D9"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A73C081" w14:textId="77777777" w:rsidR="00143DD0" w:rsidRPr="001D41EA" w:rsidRDefault="00143DD0" w:rsidP="00143DD0">
            <w:pPr>
              <w:spacing w:before="40" w:after="40"/>
              <w:rPr>
                <w:rFonts w:cs="Arial"/>
                <w:sz w:val="18"/>
                <w:szCs w:val="18"/>
              </w:rPr>
            </w:pPr>
            <w:r w:rsidRPr="001D41EA">
              <w:rPr>
                <w:rFonts w:cs="Arial"/>
                <w:sz w:val="18"/>
                <w:szCs w:val="18"/>
              </w:rPr>
              <w:t>Ararat RC</w:t>
            </w:r>
          </w:p>
        </w:tc>
        <w:tc>
          <w:tcPr>
            <w:tcW w:w="1418" w:type="dxa"/>
            <w:tcBorders>
              <w:top w:val="nil"/>
              <w:left w:val="single" w:sz="18" w:space="0" w:color="5F497A" w:themeColor="accent4" w:themeShade="BF"/>
              <w:bottom w:val="nil"/>
              <w:right w:val="nil"/>
            </w:tcBorders>
            <w:vAlign w:val="bottom"/>
          </w:tcPr>
          <w:p w14:paraId="25ACE9AF" w14:textId="409E43DD" w:rsidR="00143DD0" w:rsidRPr="001D41EA" w:rsidRDefault="00143DD0" w:rsidP="00143DD0">
            <w:pPr>
              <w:spacing w:before="40" w:after="40"/>
              <w:jc w:val="right"/>
              <w:rPr>
                <w:rFonts w:cs="Arial"/>
                <w:sz w:val="18"/>
                <w:szCs w:val="18"/>
              </w:rPr>
            </w:pPr>
            <w:r w:rsidRPr="001D41EA">
              <w:rPr>
                <w:rFonts w:cs="Arial"/>
                <w:sz w:val="18"/>
                <w:szCs w:val="18"/>
              </w:rPr>
              <w:t>172</w:t>
            </w:r>
          </w:p>
        </w:tc>
        <w:tc>
          <w:tcPr>
            <w:tcW w:w="1418" w:type="dxa"/>
            <w:tcBorders>
              <w:top w:val="nil"/>
              <w:left w:val="nil"/>
              <w:bottom w:val="nil"/>
              <w:right w:val="nil"/>
            </w:tcBorders>
            <w:vAlign w:val="bottom"/>
          </w:tcPr>
          <w:p w14:paraId="758DA9B9" w14:textId="129E4D07" w:rsidR="00143DD0" w:rsidRPr="001D41EA" w:rsidRDefault="00143DD0" w:rsidP="00143DD0">
            <w:pPr>
              <w:spacing w:before="40" w:after="40"/>
              <w:jc w:val="center"/>
              <w:rPr>
                <w:rFonts w:cs="Arial"/>
                <w:sz w:val="18"/>
                <w:szCs w:val="18"/>
              </w:rPr>
            </w:pPr>
            <w:r w:rsidRPr="001D41EA">
              <w:rPr>
                <w:rFonts w:cs="Arial"/>
                <w:sz w:val="18"/>
                <w:szCs w:val="18"/>
              </w:rPr>
              <w:t>1.5</w:t>
            </w:r>
          </w:p>
        </w:tc>
        <w:tc>
          <w:tcPr>
            <w:tcW w:w="170" w:type="dxa"/>
            <w:tcBorders>
              <w:top w:val="nil"/>
              <w:left w:val="nil"/>
              <w:bottom w:val="nil"/>
              <w:right w:val="nil"/>
            </w:tcBorders>
            <w:vAlign w:val="bottom"/>
          </w:tcPr>
          <w:p w14:paraId="56B52587" w14:textId="5DFDD3EB"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7E6D87AD" w14:textId="5DCCB170" w:rsidR="00143DD0" w:rsidRPr="001D41EA" w:rsidRDefault="00143DD0" w:rsidP="00143DD0">
            <w:pPr>
              <w:spacing w:before="40" w:after="40"/>
              <w:jc w:val="center"/>
              <w:rPr>
                <w:rFonts w:cs="Arial"/>
                <w:sz w:val="18"/>
                <w:szCs w:val="18"/>
              </w:rPr>
            </w:pPr>
            <w:r w:rsidRPr="00143DD0">
              <w:rPr>
                <w:rFonts w:cs="Arial"/>
                <w:sz w:val="18"/>
                <w:szCs w:val="18"/>
              </w:rPr>
              <w:t>0.7</w:t>
            </w:r>
          </w:p>
        </w:tc>
        <w:tc>
          <w:tcPr>
            <w:tcW w:w="1418" w:type="dxa"/>
            <w:tcBorders>
              <w:top w:val="nil"/>
              <w:left w:val="nil"/>
              <w:bottom w:val="nil"/>
              <w:right w:val="nil"/>
            </w:tcBorders>
            <w:shd w:val="clear" w:color="auto" w:fill="auto"/>
            <w:vAlign w:val="bottom"/>
          </w:tcPr>
          <w:p w14:paraId="4AFAFDAB" w14:textId="3C1D018C" w:rsidR="00143DD0" w:rsidRPr="001D41EA" w:rsidRDefault="00143DD0" w:rsidP="00143DD0">
            <w:pPr>
              <w:spacing w:before="40" w:after="40"/>
              <w:jc w:val="right"/>
              <w:rPr>
                <w:rFonts w:cs="Arial"/>
                <w:sz w:val="18"/>
                <w:szCs w:val="18"/>
              </w:rPr>
            </w:pPr>
            <w:r w:rsidRPr="001D41EA">
              <w:rPr>
                <w:rFonts w:cs="Arial"/>
                <w:sz w:val="18"/>
                <w:szCs w:val="18"/>
              </w:rPr>
              <w:t>7.78</w:t>
            </w:r>
          </w:p>
        </w:tc>
      </w:tr>
      <w:tr w:rsidR="00143DD0" w:rsidRPr="001D41EA" w14:paraId="60076948"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F5CADA0" w14:textId="77777777" w:rsidR="00143DD0" w:rsidRPr="001D41EA" w:rsidRDefault="00143DD0" w:rsidP="00143DD0">
            <w:pPr>
              <w:spacing w:before="40" w:after="40"/>
              <w:rPr>
                <w:rFonts w:cs="Arial"/>
                <w:sz w:val="18"/>
                <w:szCs w:val="18"/>
              </w:rPr>
            </w:pPr>
            <w:r w:rsidRPr="001D41EA">
              <w:rPr>
                <w:rFonts w:cs="Arial"/>
                <w:sz w:val="18"/>
                <w:szCs w:val="18"/>
              </w:rPr>
              <w:t>Ballarat C</w:t>
            </w:r>
          </w:p>
        </w:tc>
        <w:tc>
          <w:tcPr>
            <w:tcW w:w="1418" w:type="dxa"/>
            <w:tcBorders>
              <w:top w:val="nil"/>
              <w:left w:val="single" w:sz="18" w:space="0" w:color="5F497A" w:themeColor="accent4" w:themeShade="BF"/>
              <w:bottom w:val="nil"/>
              <w:right w:val="nil"/>
            </w:tcBorders>
            <w:vAlign w:val="bottom"/>
          </w:tcPr>
          <w:p w14:paraId="417D8ED8" w14:textId="3FD1397E" w:rsidR="00143DD0" w:rsidRPr="001D41EA" w:rsidRDefault="00143DD0" w:rsidP="00143DD0">
            <w:pPr>
              <w:spacing w:before="40" w:after="40"/>
              <w:jc w:val="right"/>
              <w:rPr>
                <w:rFonts w:cs="Arial"/>
                <w:sz w:val="18"/>
                <w:szCs w:val="18"/>
              </w:rPr>
            </w:pPr>
            <w:r w:rsidRPr="001D41EA">
              <w:rPr>
                <w:rFonts w:cs="Arial"/>
                <w:sz w:val="18"/>
                <w:szCs w:val="18"/>
              </w:rPr>
              <w:t>1,475</w:t>
            </w:r>
          </w:p>
        </w:tc>
        <w:tc>
          <w:tcPr>
            <w:tcW w:w="1418" w:type="dxa"/>
            <w:tcBorders>
              <w:top w:val="nil"/>
              <w:left w:val="nil"/>
              <w:bottom w:val="nil"/>
              <w:right w:val="nil"/>
            </w:tcBorders>
            <w:vAlign w:val="bottom"/>
          </w:tcPr>
          <w:p w14:paraId="08DDC565" w14:textId="58976440" w:rsidR="00143DD0" w:rsidRPr="001D41EA" w:rsidRDefault="00143DD0" w:rsidP="00143DD0">
            <w:pPr>
              <w:spacing w:before="40" w:after="40"/>
              <w:jc w:val="center"/>
              <w:rPr>
                <w:rFonts w:cs="Arial"/>
                <w:sz w:val="18"/>
                <w:szCs w:val="18"/>
              </w:rPr>
            </w:pPr>
            <w:r w:rsidRPr="001D41EA">
              <w:rPr>
                <w:rFonts w:cs="Arial"/>
                <w:sz w:val="18"/>
                <w:szCs w:val="18"/>
              </w:rPr>
              <w:t>1.5</w:t>
            </w:r>
          </w:p>
        </w:tc>
        <w:tc>
          <w:tcPr>
            <w:tcW w:w="170" w:type="dxa"/>
            <w:tcBorders>
              <w:top w:val="nil"/>
              <w:left w:val="nil"/>
              <w:bottom w:val="nil"/>
              <w:right w:val="nil"/>
            </w:tcBorders>
            <w:vAlign w:val="bottom"/>
          </w:tcPr>
          <w:p w14:paraId="3EEA6DC3" w14:textId="42EDBE0C"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4281A2EA" w14:textId="2EB69B52" w:rsidR="00143DD0" w:rsidRPr="001D41EA" w:rsidRDefault="00143DD0" w:rsidP="00143DD0">
            <w:pPr>
              <w:spacing w:before="40" w:after="40"/>
              <w:jc w:val="center"/>
              <w:rPr>
                <w:rFonts w:cs="Arial"/>
                <w:sz w:val="18"/>
                <w:szCs w:val="18"/>
              </w:rPr>
            </w:pPr>
            <w:r w:rsidRPr="00143DD0">
              <w:rPr>
                <w:rFonts w:cs="Arial"/>
                <w:sz w:val="18"/>
                <w:szCs w:val="18"/>
              </w:rPr>
              <w:t>0.6</w:t>
            </w:r>
          </w:p>
        </w:tc>
        <w:tc>
          <w:tcPr>
            <w:tcW w:w="1418" w:type="dxa"/>
            <w:tcBorders>
              <w:top w:val="nil"/>
              <w:left w:val="nil"/>
              <w:bottom w:val="nil"/>
              <w:right w:val="nil"/>
            </w:tcBorders>
            <w:shd w:val="clear" w:color="auto" w:fill="auto"/>
            <w:vAlign w:val="bottom"/>
          </w:tcPr>
          <w:p w14:paraId="0253B305" w14:textId="6E546535" w:rsidR="00143DD0" w:rsidRPr="001D41EA" w:rsidRDefault="00143DD0" w:rsidP="00143DD0">
            <w:pPr>
              <w:spacing w:before="40" w:after="40"/>
              <w:jc w:val="right"/>
              <w:rPr>
                <w:rFonts w:cs="Arial"/>
                <w:sz w:val="18"/>
                <w:szCs w:val="18"/>
              </w:rPr>
            </w:pPr>
            <w:r w:rsidRPr="001D41EA">
              <w:rPr>
                <w:rFonts w:cs="Arial"/>
                <w:sz w:val="18"/>
                <w:szCs w:val="18"/>
              </w:rPr>
              <w:t>0.69</w:t>
            </w:r>
          </w:p>
        </w:tc>
      </w:tr>
      <w:tr w:rsidR="00143DD0" w:rsidRPr="001D41EA" w14:paraId="63CCAB2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75EDE48" w14:textId="77777777" w:rsidR="00143DD0" w:rsidRPr="001D41EA" w:rsidRDefault="00143DD0" w:rsidP="00143DD0">
            <w:pPr>
              <w:spacing w:before="40" w:after="40"/>
              <w:rPr>
                <w:rFonts w:cs="Arial"/>
                <w:sz w:val="18"/>
                <w:szCs w:val="18"/>
              </w:rPr>
            </w:pPr>
            <w:r w:rsidRPr="001D41EA">
              <w:rPr>
                <w:rFonts w:cs="Arial"/>
                <w:sz w:val="18"/>
                <w:szCs w:val="18"/>
              </w:rPr>
              <w:t>Banyule C</w:t>
            </w:r>
          </w:p>
        </w:tc>
        <w:tc>
          <w:tcPr>
            <w:tcW w:w="1418" w:type="dxa"/>
            <w:tcBorders>
              <w:top w:val="nil"/>
              <w:left w:val="single" w:sz="18" w:space="0" w:color="5F497A" w:themeColor="accent4" w:themeShade="BF"/>
              <w:bottom w:val="nil"/>
              <w:right w:val="nil"/>
            </w:tcBorders>
            <w:vAlign w:val="bottom"/>
          </w:tcPr>
          <w:p w14:paraId="2D822296" w14:textId="36BB99FD" w:rsidR="00143DD0" w:rsidRPr="001D41EA" w:rsidRDefault="00143DD0" w:rsidP="00143DD0">
            <w:pPr>
              <w:spacing w:before="40" w:after="40"/>
              <w:jc w:val="right"/>
              <w:rPr>
                <w:rFonts w:cs="Arial"/>
                <w:sz w:val="18"/>
                <w:szCs w:val="18"/>
              </w:rPr>
            </w:pPr>
            <w:r w:rsidRPr="001D41EA">
              <w:rPr>
                <w:rFonts w:cs="Arial"/>
                <w:sz w:val="18"/>
                <w:szCs w:val="18"/>
              </w:rPr>
              <w:t>706</w:t>
            </w:r>
          </w:p>
        </w:tc>
        <w:tc>
          <w:tcPr>
            <w:tcW w:w="1418" w:type="dxa"/>
            <w:tcBorders>
              <w:top w:val="nil"/>
              <w:left w:val="nil"/>
              <w:bottom w:val="nil"/>
              <w:right w:val="nil"/>
            </w:tcBorders>
            <w:vAlign w:val="bottom"/>
          </w:tcPr>
          <w:p w14:paraId="74759155" w14:textId="560F62F0" w:rsidR="00143DD0" w:rsidRPr="001D41EA" w:rsidRDefault="00143DD0" w:rsidP="00143DD0">
            <w:pPr>
              <w:spacing w:before="40" w:after="40"/>
              <w:jc w:val="center"/>
              <w:rPr>
                <w:rFonts w:cs="Arial"/>
                <w:sz w:val="18"/>
                <w:szCs w:val="18"/>
              </w:rPr>
            </w:pPr>
            <w:r w:rsidRPr="001D41EA">
              <w:rPr>
                <w:rFonts w:cs="Arial"/>
                <w:sz w:val="18"/>
                <w:szCs w:val="18"/>
              </w:rPr>
              <w:t>0.6</w:t>
            </w:r>
          </w:p>
        </w:tc>
        <w:tc>
          <w:tcPr>
            <w:tcW w:w="170" w:type="dxa"/>
            <w:tcBorders>
              <w:top w:val="nil"/>
              <w:left w:val="nil"/>
              <w:bottom w:val="nil"/>
              <w:right w:val="nil"/>
            </w:tcBorders>
            <w:vAlign w:val="bottom"/>
          </w:tcPr>
          <w:p w14:paraId="5D555699" w14:textId="27537DD6"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2DE81B00" w14:textId="4D760821" w:rsidR="00143DD0" w:rsidRPr="001D41EA" w:rsidRDefault="00143DD0" w:rsidP="00143DD0">
            <w:pPr>
              <w:spacing w:before="40" w:after="40"/>
              <w:jc w:val="center"/>
              <w:rPr>
                <w:rFonts w:cs="Arial"/>
                <w:sz w:val="18"/>
                <w:szCs w:val="18"/>
              </w:rPr>
            </w:pPr>
            <w:r w:rsidRPr="00143DD0">
              <w:rPr>
                <w:rFonts w:cs="Arial"/>
                <w:sz w:val="18"/>
                <w:szCs w:val="18"/>
              </w:rPr>
              <w:t>2.5</w:t>
            </w:r>
          </w:p>
        </w:tc>
        <w:tc>
          <w:tcPr>
            <w:tcW w:w="1418" w:type="dxa"/>
            <w:tcBorders>
              <w:top w:val="nil"/>
              <w:left w:val="nil"/>
              <w:bottom w:val="nil"/>
              <w:right w:val="nil"/>
            </w:tcBorders>
            <w:shd w:val="clear" w:color="auto" w:fill="auto"/>
            <w:vAlign w:val="bottom"/>
          </w:tcPr>
          <w:p w14:paraId="3C60ACA9" w14:textId="689A92ED" w:rsidR="00143DD0" w:rsidRPr="001D41EA" w:rsidRDefault="00143DD0" w:rsidP="00143DD0">
            <w:pPr>
              <w:spacing w:before="40" w:after="40"/>
              <w:jc w:val="right"/>
              <w:rPr>
                <w:rFonts w:cs="Arial"/>
                <w:sz w:val="18"/>
                <w:szCs w:val="18"/>
              </w:rPr>
            </w:pPr>
            <w:r w:rsidRPr="001D41EA">
              <w:rPr>
                <w:rFonts w:cs="Arial"/>
                <w:sz w:val="18"/>
                <w:szCs w:val="18"/>
              </w:rPr>
              <w:t> </w:t>
            </w:r>
          </w:p>
        </w:tc>
      </w:tr>
      <w:tr w:rsidR="00143DD0" w:rsidRPr="001D41EA" w14:paraId="1223C3BD"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DCFF11B" w14:textId="77777777" w:rsidR="00143DD0" w:rsidRPr="001D41EA" w:rsidRDefault="00143DD0" w:rsidP="00143DD0">
            <w:pPr>
              <w:spacing w:before="40" w:after="40"/>
              <w:rPr>
                <w:rFonts w:cs="Arial"/>
                <w:sz w:val="18"/>
                <w:szCs w:val="18"/>
              </w:rPr>
            </w:pPr>
            <w:r w:rsidRPr="001D41EA">
              <w:rPr>
                <w:rFonts w:cs="Arial"/>
                <w:sz w:val="18"/>
                <w:szCs w:val="18"/>
              </w:rPr>
              <w:t>Bass Coast S</w:t>
            </w:r>
          </w:p>
        </w:tc>
        <w:tc>
          <w:tcPr>
            <w:tcW w:w="1418" w:type="dxa"/>
            <w:tcBorders>
              <w:top w:val="nil"/>
              <w:left w:val="single" w:sz="18" w:space="0" w:color="5F497A" w:themeColor="accent4" w:themeShade="BF"/>
              <w:bottom w:val="nil"/>
              <w:right w:val="nil"/>
            </w:tcBorders>
            <w:vAlign w:val="bottom"/>
          </w:tcPr>
          <w:p w14:paraId="6D617A23" w14:textId="0D036DA2" w:rsidR="00143DD0" w:rsidRPr="001D41EA" w:rsidRDefault="00143DD0" w:rsidP="00143DD0">
            <w:pPr>
              <w:spacing w:before="40" w:after="40"/>
              <w:jc w:val="right"/>
              <w:rPr>
                <w:rFonts w:cs="Arial"/>
                <w:sz w:val="18"/>
                <w:szCs w:val="18"/>
              </w:rPr>
            </w:pPr>
            <w:r w:rsidRPr="001D41EA">
              <w:rPr>
                <w:rFonts w:cs="Arial"/>
                <w:sz w:val="18"/>
                <w:szCs w:val="18"/>
              </w:rPr>
              <w:t>299</w:t>
            </w:r>
          </w:p>
        </w:tc>
        <w:tc>
          <w:tcPr>
            <w:tcW w:w="1418" w:type="dxa"/>
            <w:tcBorders>
              <w:top w:val="nil"/>
              <w:left w:val="nil"/>
              <w:bottom w:val="nil"/>
              <w:right w:val="nil"/>
            </w:tcBorders>
            <w:vAlign w:val="bottom"/>
          </w:tcPr>
          <w:p w14:paraId="4F978F0B" w14:textId="5791AA08" w:rsidR="00143DD0" w:rsidRPr="001D41EA" w:rsidRDefault="00143DD0" w:rsidP="00143DD0">
            <w:pPr>
              <w:spacing w:before="40" w:after="40"/>
              <w:jc w:val="center"/>
              <w:rPr>
                <w:rFonts w:cs="Arial"/>
                <w:sz w:val="18"/>
                <w:szCs w:val="18"/>
              </w:rPr>
            </w:pPr>
            <w:r w:rsidRPr="001D41EA">
              <w:rPr>
                <w:rFonts w:cs="Arial"/>
                <w:sz w:val="18"/>
                <w:szCs w:val="18"/>
              </w:rPr>
              <w:t>0.9</w:t>
            </w:r>
          </w:p>
        </w:tc>
        <w:tc>
          <w:tcPr>
            <w:tcW w:w="170" w:type="dxa"/>
            <w:tcBorders>
              <w:top w:val="nil"/>
              <w:left w:val="nil"/>
              <w:bottom w:val="nil"/>
              <w:right w:val="nil"/>
            </w:tcBorders>
            <w:vAlign w:val="bottom"/>
          </w:tcPr>
          <w:p w14:paraId="04577C6E" w14:textId="0A34C801"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2B4D3CDD" w14:textId="054ABBCF" w:rsidR="00143DD0" w:rsidRPr="001D41EA" w:rsidRDefault="00143DD0" w:rsidP="00143DD0">
            <w:pPr>
              <w:spacing w:before="40" w:after="40"/>
              <w:jc w:val="center"/>
              <w:rPr>
                <w:rFonts w:cs="Arial"/>
                <w:sz w:val="18"/>
                <w:szCs w:val="18"/>
              </w:rPr>
            </w:pPr>
            <w:r w:rsidRPr="00143DD0">
              <w:rPr>
                <w:rFonts w:cs="Arial"/>
                <w:sz w:val="18"/>
                <w:szCs w:val="18"/>
              </w:rPr>
              <w:t>0.5</w:t>
            </w:r>
          </w:p>
        </w:tc>
        <w:tc>
          <w:tcPr>
            <w:tcW w:w="1418" w:type="dxa"/>
            <w:tcBorders>
              <w:top w:val="nil"/>
              <w:left w:val="nil"/>
              <w:bottom w:val="nil"/>
              <w:right w:val="nil"/>
            </w:tcBorders>
            <w:shd w:val="clear" w:color="auto" w:fill="auto"/>
            <w:vAlign w:val="bottom"/>
          </w:tcPr>
          <w:p w14:paraId="4D24A6E7" w14:textId="0CADA9AF" w:rsidR="00143DD0" w:rsidRPr="001D41EA" w:rsidRDefault="00143DD0" w:rsidP="00143DD0">
            <w:pPr>
              <w:spacing w:before="40" w:after="40"/>
              <w:jc w:val="right"/>
              <w:rPr>
                <w:rFonts w:cs="Arial"/>
                <w:sz w:val="18"/>
                <w:szCs w:val="18"/>
              </w:rPr>
            </w:pPr>
            <w:r w:rsidRPr="001D41EA">
              <w:rPr>
                <w:rFonts w:cs="Arial"/>
                <w:sz w:val="18"/>
                <w:szCs w:val="18"/>
              </w:rPr>
              <w:t>18.82</w:t>
            </w:r>
          </w:p>
        </w:tc>
      </w:tr>
      <w:tr w:rsidR="00143DD0" w:rsidRPr="001D41EA" w14:paraId="6C5DE9A6"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118D8A5" w14:textId="77777777" w:rsidR="00143DD0" w:rsidRPr="001D41EA" w:rsidRDefault="00143DD0" w:rsidP="00143DD0">
            <w:pPr>
              <w:spacing w:before="40" w:after="40"/>
              <w:rPr>
                <w:rFonts w:cs="Arial"/>
                <w:sz w:val="18"/>
                <w:szCs w:val="18"/>
              </w:rPr>
            </w:pPr>
            <w:r w:rsidRPr="001D41EA">
              <w:rPr>
                <w:rFonts w:cs="Arial"/>
                <w:sz w:val="18"/>
                <w:szCs w:val="18"/>
              </w:rPr>
              <w:t>Baw Baw S</w:t>
            </w:r>
          </w:p>
        </w:tc>
        <w:tc>
          <w:tcPr>
            <w:tcW w:w="1418" w:type="dxa"/>
            <w:tcBorders>
              <w:top w:val="nil"/>
              <w:left w:val="single" w:sz="18" w:space="0" w:color="5F497A" w:themeColor="accent4" w:themeShade="BF"/>
              <w:bottom w:val="nil"/>
              <w:right w:val="nil"/>
            </w:tcBorders>
            <w:vAlign w:val="bottom"/>
          </w:tcPr>
          <w:p w14:paraId="313BE126" w14:textId="7D534B14" w:rsidR="00143DD0" w:rsidRPr="001D41EA" w:rsidRDefault="00143DD0" w:rsidP="00143DD0">
            <w:pPr>
              <w:spacing w:before="40" w:after="40"/>
              <w:jc w:val="right"/>
              <w:rPr>
                <w:rFonts w:cs="Arial"/>
                <w:sz w:val="18"/>
                <w:szCs w:val="18"/>
              </w:rPr>
            </w:pPr>
            <w:r w:rsidRPr="001D41EA">
              <w:rPr>
                <w:rFonts w:cs="Arial"/>
                <w:sz w:val="18"/>
                <w:szCs w:val="18"/>
              </w:rPr>
              <w:t>481</w:t>
            </w:r>
          </w:p>
        </w:tc>
        <w:tc>
          <w:tcPr>
            <w:tcW w:w="1418" w:type="dxa"/>
            <w:tcBorders>
              <w:top w:val="nil"/>
              <w:left w:val="nil"/>
              <w:bottom w:val="nil"/>
              <w:right w:val="nil"/>
            </w:tcBorders>
            <w:vAlign w:val="bottom"/>
          </w:tcPr>
          <w:p w14:paraId="613932EA" w14:textId="7F743A6B" w:rsidR="00143DD0" w:rsidRPr="001D41EA" w:rsidRDefault="00143DD0" w:rsidP="00143DD0">
            <w:pPr>
              <w:spacing w:before="40" w:after="40"/>
              <w:jc w:val="center"/>
              <w:rPr>
                <w:rFonts w:cs="Arial"/>
                <w:sz w:val="18"/>
                <w:szCs w:val="18"/>
              </w:rPr>
            </w:pPr>
            <w:r w:rsidRPr="001D41EA">
              <w:rPr>
                <w:rFonts w:cs="Arial"/>
                <w:sz w:val="18"/>
                <w:szCs w:val="18"/>
              </w:rPr>
              <w:t>1.0</w:t>
            </w:r>
          </w:p>
        </w:tc>
        <w:tc>
          <w:tcPr>
            <w:tcW w:w="170" w:type="dxa"/>
            <w:tcBorders>
              <w:top w:val="nil"/>
              <w:left w:val="nil"/>
              <w:bottom w:val="nil"/>
              <w:right w:val="nil"/>
            </w:tcBorders>
            <w:vAlign w:val="bottom"/>
          </w:tcPr>
          <w:p w14:paraId="6A63249E" w14:textId="28F21A53"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7880AF3D" w14:textId="4F2E73DD" w:rsidR="00143DD0" w:rsidRPr="001D41EA" w:rsidRDefault="00143DD0" w:rsidP="00143DD0">
            <w:pPr>
              <w:spacing w:before="40" w:after="40"/>
              <w:jc w:val="center"/>
              <w:rPr>
                <w:rFonts w:cs="Arial"/>
                <w:sz w:val="18"/>
                <w:szCs w:val="18"/>
              </w:rPr>
            </w:pPr>
            <w:r w:rsidRPr="00143DD0">
              <w:rPr>
                <w:rFonts w:cs="Arial"/>
                <w:sz w:val="18"/>
                <w:szCs w:val="18"/>
              </w:rPr>
              <w:t>0.4</w:t>
            </w:r>
          </w:p>
        </w:tc>
        <w:tc>
          <w:tcPr>
            <w:tcW w:w="1418" w:type="dxa"/>
            <w:tcBorders>
              <w:top w:val="nil"/>
              <w:left w:val="nil"/>
              <w:bottom w:val="nil"/>
              <w:right w:val="nil"/>
            </w:tcBorders>
            <w:shd w:val="clear" w:color="auto" w:fill="auto"/>
            <w:vAlign w:val="bottom"/>
          </w:tcPr>
          <w:p w14:paraId="7BCFC24C" w14:textId="7D5892C1" w:rsidR="00143DD0" w:rsidRPr="001D41EA" w:rsidRDefault="00143DD0" w:rsidP="00143DD0">
            <w:pPr>
              <w:spacing w:before="40" w:after="40"/>
              <w:jc w:val="right"/>
              <w:rPr>
                <w:rFonts w:cs="Arial"/>
                <w:sz w:val="18"/>
                <w:szCs w:val="18"/>
              </w:rPr>
            </w:pPr>
            <w:r w:rsidRPr="001D41EA">
              <w:rPr>
                <w:rFonts w:cs="Arial"/>
                <w:sz w:val="18"/>
                <w:szCs w:val="18"/>
              </w:rPr>
              <w:t>10.88</w:t>
            </w:r>
          </w:p>
        </w:tc>
      </w:tr>
      <w:tr w:rsidR="00143DD0" w:rsidRPr="001D41EA" w14:paraId="043E4C75"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9D971E0" w14:textId="77777777" w:rsidR="00143DD0" w:rsidRPr="001D41EA" w:rsidRDefault="00143DD0" w:rsidP="00143DD0">
            <w:pPr>
              <w:spacing w:before="40" w:after="40"/>
              <w:rPr>
                <w:rFonts w:cs="Arial"/>
                <w:sz w:val="18"/>
                <w:szCs w:val="18"/>
              </w:rPr>
            </w:pPr>
            <w:r w:rsidRPr="001D41EA">
              <w:rPr>
                <w:rFonts w:cs="Arial"/>
                <w:sz w:val="18"/>
                <w:szCs w:val="18"/>
              </w:rPr>
              <w:t>Bayside C</w:t>
            </w:r>
          </w:p>
        </w:tc>
        <w:tc>
          <w:tcPr>
            <w:tcW w:w="1418" w:type="dxa"/>
            <w:tcBorders>
              <w:top w:val="nil"/>
              <w:left w:val="single" w:sz="18" w:space="0" w:color="5F497A" w:themeColor="accent4" w:themeShade="BF"/>
              <w:bottom w:val="nil"/>
              <w:right w:val="nil"/>
            </w:tcBorders>
            <w:vAlign w:val="bottom"/>
          </w:tcPr>
          <w:p w14:paraId="55F27FDB" w14:textId="4A02E2D5" w:rsidR="00143DD0" w:rsidRPr="001D41EA" w:rsidRDefault="00143DD0" w:rsidP="00143DD0">
            <w:pPr>
              <w:spacing w:before="40" w:after="40"/>
              <w:jc w:val="right"/>
              <w:rPr>
                <w:rFonts w:cs="Arial"/>
                <w:sz w:val="18"/>
                <w:szCs w:val="18"/>
              </w:rPr>
            </w:pPr>
            <w:r w:rsidRPr="001D41EA">
              <w:rPr>
                <w:rFonts w:cs="Arial"/>
                <w:sz w:val="18"/>
                <w:szCs w:val="18"/>
              </w:rPr>
              <w:t>188</w:t>
            </w:r>
          </w:p>
        </w:tc>
        <w:tc>
          <w:tcPr>
            <w:tcW w:w="1418" w:type="dxa"/>
            <w:tcBorders>
              <w:top w:val="nil"/>
              <w:left w:val="nil"/>
              <w:bottom w:val="nil"/>
              <w:right w:val="nil"/>
            </w:tcBorders>
            <w:vAlign w:val="bottom"/>
          </w:tcPr>
          <w:p w14:paraId="531FDA76" w14:textId="6BC4F4CC" w:rsidR="00143DD0" w:rsidRPr="001D41EA" w:rsidRDefault="00143DD0" w:rsidP="00143DD0">
            <w:pPr>
              <w:spacing w:before="40" w:after="40"/>
              <w:jc w:val="center"/>
              <w:rPr>
                <w:rFonts w:cs="Arial"/>
                <w:sz w:val="18"/>
                <w:szCs w:val="18"/>
              </w:rPr>
            </w:pPr>
            <w:r w:rsidRPr="001D41EA">
              <w:rPr>
                <w:rFonts w:cs="Arial"/>
                <w:sz w:val="18"/>
                <w:szCs w:val="18"/>
              </w:rPr>
              <w:t>0.2</w:t>
            </w:r>
          </w:p>
        </w:tc>
        <w:tc>
          <w:tcPr>
            <w:tcW w:w="170" w:type="dxa"/>
            <w:tcBorders>
              <w:top w:val="nil"/>
              <w:left w:val="nil"/>
              <w:bottom w:val="nil"/>
              <w:right w:val="nil"/>
            </w:tcBorders>
            <w:vAlign w:val="bottom"/>
          </w:tcPr>
          <w:p w14:paraId="080CBBE9" w14:textId="7DF013C4"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6B91815B" w14:textId="144C99C3" w:rsidR="00143DD0" w:rsidRPr="001D41EA" w:rsidRDefault="00143DD0" w:rsidP="00143DD0">
            <w:pPr>
              <w:spacing w:before="40" w:after="40"/>
              <w:jc w:val="center"/>
              <w:rPr>
                <w:rFonts w:cs="Arial"/>
                <w:sz w:val="18"/>
                <w:szCs w:val="18"/>
              </w:rPr>
            </w:pPr>
            <w:r w:rsidRPr="00143DD0">
              <w:rPr>
                <w:rFonts w:cs="Arial"/>
                <w:sz w:val="18"/>
                <w:szCs w:val="18"/>
              </w:rPr>
              <w:t>1.5</w:t>
            </w:r>
          </w:p>
        </w:tc>
        <w:tc>
          <w:tcPr>
            <w:tcW w:w="1418" w:type="dxa"/>
            <w:tcBorders>
              <w:top w:val="nil"/>
              <w:left w:val="nil"/>
              <w:bottom w:val="nil"/>
              <w:right w:val="nil"/>
            </w:tcBorders>
            <w:shd w:val="clear" w:color="auto" w:fill="auto"/>
            <w:vAlign w:val="bottom"/>
          </w:tcPr>
          <w:p w14:paraId="481C643D" w14:textId="107151E9" w:rsidR="00143DD0" w:rsidRPr="001D41EA" w:rsidRDefault="00143DD0" w:rsidP="00143DD0">
            <w:pPr>
              <w:spacing w:before="40" w:after="40"/>
              <w:jc w:val="right"/>
              <w:rPr>
                <w:rFonts w:cs="Arial"/>
                <w:sz w:val="18"/>
                <w:szCs w:val="18"/>
              </w:rPr>
            </w:pPr>
            <w:r w:rsidRPr="001D41EA">
              <w:rPr>
                <w:rFonts w:cs="Arial"/>
                <w:sz w:val="18"/>
                <w:szCs w:val="18"/>
              </w:rPr>
              <w:t> </w:t>
            </w:r>
          </w:p>
        </w:tc>
      </w:tr>
      <w:tr w:rsidR="00143DD0" w:rsidRPr="001D41EA" w14:paraId="42714B3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507E53D" w14:textId="77777777" w:rsidR="00143DD0" w:rsidRPr="001D41EA" w:rsidRDefault="00143DD0" w:rsidP="00143DD0">
            <w:pPr>
              <w:spacing w:before="40" w:after="40"/>
              <w:rPr>
                <w:rFonts w:cs="Arial"/>
                <w:sz w:val="18"/>
                <w:szCs w:val="18"/>
              </w:rPr>
            </w:pPr>
            <w:r w:rsidRPr="001D41EA">
              <w:rPr>
                <w:rFonts w:cs="Arial"/>
                <w:sz w:val="18"/>
                <w:szCs w:val="18"/>
              </w:rPr>
              <w:t>Benalla RC</w:t>
            </w:r>
          </w:p>
        </w:tc>
        <w:tc>
          <w:tcPr>
            <w:tcW w:w="1418" w:type="dxa"/>
            <w:tcBorders>
              <w:top w:val="nil"/>
              <w:left w:val="single" w:sz="18" w:space="0" w:color="5F497A" w:themeColor="accent4" w:themeShade="BF"/>
              <w:bottom w:val="nil"/>
              <w:right w:val="nil"/>
            </w:tcBorders>
            <w:vAlign w:val="bottom"/>
          </w:tcPr>
          <w:p w14:paraId="7AF252F6" w14:textId="6660116A" w:rsidR="00143DD0" w:rsidRPr="001D41EA" w:rsidRDefault="00143DD0" w:rsidP="00143DD0">
            <w:pPr>
              <w:spacing w:before="40" w:after="40"/>
              <w:jc w:val="right"/>
              <w:rPr>
                <w:rFonts w:cs="Arial"/>
                <w:sz w:val="18"/>
                <w:szCs w:val="18"/>
              </w:rPr>
            </w:pPr>
            <w:r w:rsidRPr="001D41EA">
              <w:rPr>
                <w:rFonts w:cs="Arial"/>
                <w:sz w:val="18"/>
                <w:szCs w:val="18"/>
              </w:rPr>
              <w:t>225</w:t>
            </w:r>
          </w:p>
        </w:tc>
        <w:tc>
          <w:tcPr>
            <w:tcW w:w="1418" w:type="dxa"/>
            <w:tcBorders>
              <w:top w:val="nil"/>
              <w:left w:val="nil"/>
              <w:bottom w:val="nil"/>
              <w:right w:val="nil"/>
            </w:tcBorders>
            <w:vAlign w:val="bottom"/>
          </w:tcPr>
          <w:p w14:paraId="3D65A699" w14:textId="0E88EB13" w:rsidR="00143DD0" w:rsidRPr="001D41EA" w:rsidRDefault="00143DD0" w:rsidP="00143DD0">
            <w:pPr>
              <w:spacing w:before="40" w:after="40"/>
              <w:jc w:val="center"/>
              <w:rPr>
                <w:rFonts w:cs="Arial"/>
                <w:sz w:val="18"/>
                <w:szCs w:val="18"/>
              </w:rPr>
            </w:pPr>
            <w:r w:rsidRPr="001D41EA">
              <w:rPr>
                <w:rFonts w:cs="Arial"/>
                <w:sz w:val="18"/>
                <w:szCs w:val="18"/>
              </w:rPr>
              <w:t>1.6</w:t>
            </w:r>
          </w:p>
        </w:tc>
        <w:tc>
          <w:tcPr>
            <w:tcW w:w="170" w:type="dxa"/>
            <w:tcBorders>
              <w:top w:val="nil"/>
              <w:left w:val="nil"/>
              <w:bottom w:val="nil"/>
              <w:right w:val="nil"/>
            </w:tcBorders>
            <w:vAlign w:val="bottom"/>
          </w:tcPr>
          <w:p w14:paraId="7FB4FF8A" w14:textId="35AEEA08"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5DBC47AB" w14:textId="565253A6" w:rsidR="00143DD0" w:rsidRPr="001D41EA" w:rsidRDefault="00143DD0" w:rsidP="00143DD0">
            <w:pPr>
              <w:spacing w:before="40" w:after="40"/>
              <w:jc w:val="center"/>
              <w:rPr>
                <w:rFonts w:cs="Arial"/>
                <w:sz w:val="18"/>
                <w:szCs w:val="18"/>
              </w:rPr>
            </w:pPr>
            <w:r w:rsidRPr="00143DD0">
              <w:rPr>
                <w:rFonts w:cs="Arial"/>
                <w:sz w:val="18"/>
                <w:szCs w:val="18"/>
              </w:rPr>
              <w:t>0.3</w:t>
            </w:r>
          </w:p>
        </w:tc>
        <w:tc>
          <w:tcPr>
            <w:tcW w:w="1418" w:type="dxa"/>
            <w:tcBorders>
              <w:top w:val="nil"/>
              <w:left w:val="nil"/>
              <w:bottom w:val="nil"/>
              <w:right w:val="nil"/>
            </w:tcBorders>
            <w:shd w:val="clear" w:color="auto" w:fill="auto"/>
            <w:vAlign w:val="bottom"/>
          </w:tcPr>
          <w:p w14:paraId="1B1652C0" w14:textId="615D8700" w:rsidR="00143DD0" w:rsidRPr="001D41EA" w:rsidRDefault="00143DD0" w:rsidP="00143DD0">
            <w:pPr>
              <w:spacing w:before="40" w:after="40"/>
              <w:jc w:val="right"/>
              <w:rPr>
                <w:rFonts w:cs="Arial"/>
                <w:sz w:val="18"/>
                <w:szCs w:val="18"/>
              </w:rPr>
            </w:pPr>
            <w:r w:rsidRPr="001D41EA">
              <w:rPr>
                <w:rFonts w:cs="Arial"/>
                <w:sz w:val="18"/>
                <w:szCs w:val="18"/>
              </w:rPr>
              <w:t>4.51</w:t>
            </w:r>
          </w:p>
        </w:tc>
      </w:tr>
      <w:tr w:rsidR="00143DD0" w:rsidRPr="001D41EA" w14:paraId="26BF5C1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F606BE8" w14:textId="77777777" w:rsidR="00143DD0" w:rsidRPr="001D41EA" w:rsidRDefault="00143DD0" w:rsidP="00143DD0">
            <w:pPr>
              <w:spacing w:before="40" w:after="40"/>
              <w:rPr>
                <w:rFonts w:cs="Arial"/>
                <w:sz w:val="18"/>
                <w:szCs w:val="18"/>
              </w:rPr>
            </w:pPr>
            <w:r w:rsidRPr="001D41EA">
              <w:rPr>
                <w:rFonts w:cs="Arial"/>
                <w:sz w:val="18"/>
                <w:szCs w:val="18"/>
              </w:rPr>
              <w:t>Boroondara C</w:t>
            </w:r>
          </w:p>
        </w:tc>
        <w:tc>
          <w:tcPr>
            <w:tcW w:w="1418" w:type="dxa"/>
            <w:tcBorders>
              <w:top w:val="nil"/>
              <w:left w:val="single" w:sz="18" w:space="0" w:color="5F497A" w:themeColor="accent4" w:themeShade="BF"/>
              <w:bottom w:val="nil"/>
              <w:right w:val="nil"/>
            </w:tcBorders>
            <w:vAlign w:val="bottom"/>
          </w:tcPr>
          <w:p w14:paraId="011869B8" w14:textId="5C10F8D8" w:rsidR="00143DD0" w:rsidRPr="001D41EA" w:rsidRDefault="00143DD0" w:rsidP="00143DD0">
            <w:pPr>
              <w:spacing w:before="40" w:after="40"/>
              <w:jc w:val="right"/>
              <w:rPr>
                <w:rFonts w:cs="Arial"/>
                <w:sz w:val="18"/>
                <w:szCs w:val="18"/>
              </w:rPr>
            </w:pPr>
            <w:r w:rsidRPr="001D41EA">
              <w:rPr>
                <w:rFonts w:cs="Arial"/>
                <w:sz w:val="18"/>
                <w:szCs w:val="18"/>
              </w:rPr>
              <w:t>314</w:t>
            </w:r>
          </w:p>
        </w:tc>
        <w:tc>
          <w:tcPr>
            <w:tcW w:w="1418" w:type="dxa"/>
            <w:tcBorders>
              <w:top w:val="nil"/>
              <w:left w:val="nil"/>
              <w:bottom w:val="nil"/>
              <w:right w:val="nil"/>
            </w:tcBorders>
            <w:vAlign w:val="bottom"/>
          </w:tcPr>
          <w:p w14:paraId="209C616E" w14:textId="12275B40" w:rsidR="00143DD0" w:rsidRPr="001D41EA" w:rsidRDefault="00143DD0" w:rsidP="00143DD0">
            <w:pPr>
              <w:spacing w:before="40" w:after="40"/>
              <w:jc w:val="center"/>
              <w:rPr>
                <w:rFonts w:cs="Arial"/>
                <w:sz w:val="18"/>
                <w:szCs w:val="18"/>
              </w:rPr>
            </w:pPr>
            <w:r w:rsidRPr="001D41EA">
              <w:rPr>
                <w:rFonts w:cs="Arial"/>
                <w:sz w:val="18"/>
                <w:szCs w:val="18"/>
              </w:rPr>
              <w:t>0.2</w:t>
            </w:r>
          </w:p>
        </w:tc>
        <w:tc>
          <w:tcPr>
            <w:tcW w:w="170" w:type="dxa"/>
            <w:tcBorders>
              <w:top w:val="nil"/>
              <w:left w:val="nil"/>
              <w:bottom w:val="nil"/>
              <w:right w:val="nil"/>
            </w:tcBorders>
            <w:vAlign w:val="bottom"/>
          </w:tcPr>
          <w:p w14:paraId="2A528B89" w14:textId="0AE4657E"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3BBFCC31" w14:textId="0DE547C1" w:rsidR="00143DD0" w:rsidRPr="001D41EA" w:rsidRDefault="00143DD0" w:rsidP="00143DD0">
            <w:pPr>
              <w:spacing w:before="40" w:after="40"/>
              <w:jc w:val="center"/>
              <w:rPr>
                <w:rFonts w:cs="Arial"/>
                <w:sz w:val="18"/>
                <w:szCs w:val="18"/>
              </w:rPr>
            </w:pPr>
            <w:r w:rsidRPr="00143DD0">
              <w:rPr>
                <w:rFonts w:cs="Arial"/>
                <w:sz w:val="18"/>
                <w:szCs w:val="18"/>
              </w:rPr>
              <w:t>3.5</w:t>
            </w:r>
          </w:p>
        </w:tc>
        <w:tc>
          <w:tcPr>
            <w:tcW w:w="1418" w:type="dxa"/>
            <w:tcBorders>
              <w:top w:val="nil"/>
              <w:left w:val="nil"/>
              <w:bottom w:val="nil"/>
              <w:right w:val="nil"/>
            </w:tcBorders>
            <w:shd w:val="clear" w:color="auto" w:fill="auto"/>
            <w:vAlign w:val="bottom"/>
          </w:tcPr>
          <w:p w14:paraId="48094596" w14:textId="2E5242C0" w:rsidR="00143DD0" w:rsidRPr="001D41EA" w:rsidRDefault="00143DD0" w:rsidP="00143DD0">
            <w:pPr>
              <w:spacing w:before="40" w:after="40"/>
              <w:jc w:val="right"/>
              <w:rPr>
                <w:rFonts w:cs="Arial"/>
                <w:sz w:val="18"/>
                <w:szCs w:val="18"/>
              </w:rPr>
            </w:pPr>
            <w:r w:rsidRPr="001D41EA">
              <w:rPr>
                <w:rFonts w:cs="Arial"/>
                <w:sz w:val="18"/>
                <w:szCs w:val="18"/>
              </w:rPr>
              <w:t> </w:t>
            </w:r>
          </w:p>
        </w:tc>
      </w:tr>
      <w:tr w:rsidR="00143DD0" w:rsidRPr="001D41EA" w14:paraId="4EE0A2FC"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63DAF76" w14:textId="77777777" w:rsidR="00143DD0" w:rsidRPr="001D41EA" w:rsidRDefault="00143DD0" w:rsidP="00143DD0">
            <w:pPr>
              <w:spacing w:before="40" w:after="40"/>
              <w:rPr>
                <w:rFonts w:cs="Arial"/>
                <w:sz w:val="18"/>
                <w:szCs w:val="18"/>
              </w:rPr>
            </w:pPr>
            <w:r w:rsidRPr="001D41EA">
              <w:rPr>
                <w:rFonts w:cs="Arial"/>
                <w:sz w:val="18"/>
                <w:szCs w:val="18"/>
              </w:rPr>
              <w:t>Brimbank C</w:t>
            </w:r>
          </w:p>
        </w:tc>
        <w:tc>
          <w:tcPr>
            <w:tcW w:w="1418" w:type="dxa"/>
            <w:tcBorders>
              <w:top w:val="nil"/>
              <w:left w:val="single" w:sz="18" w:space="0" w:color="5F497A" w:themeColor="accent4" w:themeShade="BF"/>
              <w:bottom w:val="nil"/>
              <w:right w:val="nil"/>
            </w:tcBorders>
            <w:vAlign w:val="bottom"/>
          </w:tcPr>
          <w:p w14:paraId="5780FD0F" w14:textId="24D77C38" w:rsidR="00143DD0" w:rsidRPr="001D41EA" w:rsidRDefault="00143DD0" w:rsidP="00143DD0">
            <w:pPr>
              <w:spacing w:before="40" w:after="40"/>
              <w:jc w:val="right"/>
              <w:rPr>
                <w:rFonts w:cs="Arial"/>
                <w:sz w:val="18"/>
                <w:szCs w:val="18"/>
              </w:rPr>
            </w:pPr>
            <w:r w:rsidRPr="001D41EA">
              <w:rPr>
                <w:rFonts w:cs="Arial"/>
                <w:sz w:val="18"/>
                <w:szCs w:val="18"/>
              </w:rPr>
              <w:t>814</w:t>
            </w:r>
          </w:p>
        </w:tc>
        <w:tc>
          <w:tcPr>
            <w:tcW w:w="1418" w:type="dxa"/>
            <w:tcBorders>
              <w:top w:val="nil"/>
              <w:left w:val="nil"/>
              <w:bottom w:val="nil"/>
              <w:right w:val="nil"/>
            </w:tcBorders>
            <w:vAlign w:val="bottom"/>
          </w:tcPr>
          <w:p w14:paraId="0A791553" w14:textId="79C53A38" w:rsidR="00143DD0" w:rsidRPr="001D41EA" w:rsidRDefault="00143DD0" w:rsidP="00143DD0">
            <w:pPr>
              <w:spacing w:before="40" w:after="40"/>
              <w:jc w:val="center"/>
              <w:rPr>
                <w:rFonts w:cs="Arial"/>
                <w:sz w:val="18"/>
                <w:szCs w:val="18"/>
              </w:rPr>
            </w:pPr>
            <w:r w:rsidRPr="001D41EA">
              <w:rPr>
                <w:rFonts w:cs="Arial"/>
                <w:sz w:val="18"/>
                <w:szCs w:val="18"/>
              </w:rPr>
              <w:t>0.4</w:t>
            </w:r>
          </w:p>
        </w:tc>
        <w:tc>
          <w:tcPr>
            <w:tcW w:w="170" w:type="dxa"/>
            <w:tcBorders>
              <w:top w:val="nil"/>
              <w:left w:val="nil"/>
              <w:bottom w:val="nil"/>
              <w:right w:val="nil"/>
            </w:tcBorders>
            <w:vAlign w:val="bottom"/>
          </w:tcPr>
          <w:p w14:paraId="6233C1B4" w14:textId="1E577A4B"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769B0B33" w14:textId="4CC5061D" w:rsidR="00143DD0" w:rsidRPr="001D41EA" w:rsidRDefault="00143DD0" w:rsidP="00143DD0">
            <w:pPr>
              <w:spacing w:before="40" w:after="40"/>
              <w:jc w:val="center"/>
              <w:rPr>
                <w:rFonts w:cs="Arial"/>
                <w:sz w:val="18"/>
                <w:szCs w:val="18"/>
              </w:rPr>
            </w:pPr>
            <w:r w:rsidRPr="00143DD0">
              <w:rPr>
                <w:rFonts w:cs="Arial"/>
                <w:sz w:val="18"/>
                <w:szCs w:val="18"/>
              </w:rPr>
              <w:t>10.7</w:t>
            </w:r>
          </w:p>
        </w:tc>
        <w:tc>
          <w:tcPr>
            <w:tcW w:w="1418" w:type="dxa"/>
            <w:tcBorders>
              <w:top w:val="nil"/>
              <w:left w:val="nil"/>
              <w:bottom w:val="nil"/>
              <w:right w:val="nil"/>
            </w:tcBorders>
            <w:shd w:val="clear" w:color="auto" w:fill="auto"/>
            <w:vAlign w:val="bottom"/>
          </w:tcPr>
          <w:p w14:paraId="3509AA8D" w14:textId="733D8B32" w:rsidR="00143DD0" w:rsidRPr="001D41EA" w:rsidRDefault="00143DD0" w:rsidP="00143DD0">
            <w:pPr>
              <w:spacing w:before="40" w:after="40"/>
              <w:jc w:val="right"/>
              <w:rPr>
                <w:rFonts w:cs="Arial"/>
                <w:sz w:val="18"/>
                <w:szCs w:val="18"/>
              </w:rPr>
            </w:pPr>
            <w:r w:rsidRPr="001D41EA">
              <w:rPr>
                <w:rFonts w:cs="Arial"/>
                <w:sz w:val="18"/>
                <w:szCs w:val="18"/>
              </w:rPr>
              <w:t> </w:t>
            </w:r>
          </w:p>
        </w:tc>
      </w:tr>
      <w:tr w:rsidR="00143DD0" w:rsidRPr="001D41EA" w14:paraId="3B688E7B"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AD98D7E" w14:textId="77777777" w:rsidR="00143DD0" w:rsidRPr="001D41EA" w:rsidRDefault="00143DD0" w:rsidP="00143DD0">
            <w:pPr>
              <w:spacing w:before="40" w:after="40"/>
              <w:rPr>
                <w:rFonts w:cs="Arial"/>
                <w:sz w:val="18"/>
                <w:szCs w:val="18"/>
              </w:rPr>
            </w:pPr>
            <w:r w:rsidRPr="001D41EA">
              <w:rPr>
                <w:rFonts w:cs="Arial"/>
                <w:sz w:val="18"/>
                <w:szCs w:val="18"/>
              </w:rPr>
              <w:t>Buloke S</w:t>
            </w:r>
          </w:p>
        </w:tc>
        <w:tc>
          <w:tcPr>
            <w:tcW w:w="1418" w:type="dxa"/>
            <w:tcBorders>
              <w:top w:val="nil"/>
              <w:left w:val="single" w:sz="18" w:space="0" w:color="5F497A" w:themeColor="accent4" w:themeShade="BF"/>
              <w:bottom w:val="nil"/>
              <w:right w:val="nil"/>
            </w:tcBorders>
            <w:vAlign w:val="bottom"/>
          </w:tcPr>
          <w:p w14:paraId="2715DC7D" w14:textId="1B12005E" w:rsidR="00143DD0" w:rsidRPr="001D41EA" w:rsidRDefault="00143DD0" w:rsidP="00143DD0">
            <w:pPr>
              <w:spacing w:before="40" w:after="40"/>
              <w:jc w:val="right"/>
              <w:rPr>
                <w:rFonts w:cs="Arial"/>
                <w:sz w:val="18"/>
                <w:szCs w:val="18"/>
              </w:rPr>
            </w:pPr>
            <w:r w:rsidRPr="001D41EA">
              <w:rPr>
                <w:rFonts w:cs="Arial"/>
                <w:sz w:val="18"/>
                <w:szCs w:val="18"/>
              </w:rPr>
              <w:t>63</w:t>
            </w:r>
          </w:p>
        </w:tc>
        <w:tc>
          <w:tcPr>
            <w:tcW w:w="1418" w:type="dxa"/>
            <w:tcBorders>
              <w:top w:val="nil"/>
              <w:left w:val="nil"/>
              <w:bottom w:val="nil"/>
              <w:right w:val="nil"/>
            </w:tcBorders>
            <w:vAlign w:val="bottom"/>
          </w:tcPr>
          <w:p w14:paraId="0CB8665A" w14:textId="1CA4CBBA" w:rsidR="00143DD0" w:rsidRPr="001D41EA" w:rsidRDefault="00143DD0" w:rsidP="00143DD0">
            <w:pPr>
              <w:spacing w:before="40" w:after="40"/>
              <w:jc w:val="center"/>
              <w:rPr>
                <w:rFonts w:cs="Arial"/>
                <w:sz w:val="18"/>
                <w:szCs w:val="18"/>
              </w:rPr>
            </w:pPr>
            <w:r w:rsidRPr="001D41EA">
              <w:rPr>
                <w:rFonts w:cs="Arial"/>
                <w:sz w:val="18"/>
                <w:szCs w:val="18"/>
              </w:rPr>
              <w:t>1.0</w:t>
            </w:r>
          </w:p>
        </w:tc>
        <w:tc>
          <w:tcPr>
            <w:tcW w:w="170" w:type="dxa"/>
            <w:tcBorders>
              <w:top w:val="nil"/>
              <w:left w:val="nil"/>
              <w:bottom w:val="nil"/>
              <w:right w:val="nil"/>
            </w:tcBorders>
            <w:vAlign w:val="bottom"/>
          </w:tcPr>
          <w:p w14:paraId="193B545A" w14:textId="79284D2C"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141FC961" w14:textId="3755ACF9" w:rsidR="00143DD0" w:rsidRPr="001D41EA" w:rsidRDefault="00143DD0" w:rsidP="00143DD0">
            <w:pPr>
              <w:spacing w:before="40" w:after="40"/>
              <w:jc w:val="center"/>
              <w:rPr>
                <w:rFonts w:cs="Arial"/>
                <w:sz w:val="18"/>
                <w:szCs w:val="18"/>
              </w:rPr>
            </w:pPr>
            <w:r w:rsidRPr="00143DD0">
              <w:rPr>
                <w:rFonts w:cs="Arial"/>
                <w:sz w:val="18"/>
                <w:szCs w:val="18"/>
              </w:rPr>
              <w:t>0.3</w:t>
            </w:r>
          </w:p>
        </w:tc>
        <w:tc>
          <w:tcPr>
            <w:tcW w:w="1418" w:type="dxa"/>
            <w:tcBorders>
              <w:top w:val="nil"/>
              <w:left w:val="nil"/>
              <w:bottom w:val="nil"/>
              <w:right w:val="nil"/>
            </w:tcBorders>
            <w:shd w:val="clear" w:color="auto" w:fill="auto"/>
            <w:vAlign w:val="bottom"/>
          </w:tcPr>
          <w:p w14:paraId="227D490F" w14:textId="2E22F17B" w:rsidR="00143DD0" w:rsidRPr="001D41EA" w:rsidRDefault="00143DD0" w:rsidP="00143DD0">
            <w:pPr>
              <w:spacing w:before="40" w:after="40"/>
              <w:jc w:val="right"/>
              <w:rPr>
                <w:rFonts w:cs="Arial"/>
                <w:sz w:val="18"/>
                <w:szCs w:val="18"/>
              </w:rPr>
            </w:pPr>
            <w:r w:rsidRPr="001D41EA">
              <w:rPr>
                <w:rFonts w:cs="Arial"/>
                <w:sz w:val="18"/>
                <w:szCs w:val="18"/>
              </w:rPr>
              <w:t>34.61</w:t>
            </w:r>
          </w:p>
        </w:tc>
      </w:tr>
      <w:tr w:rsidR="00143DD0" w:rsidRPr="001D41EA" w14:paraId="237278B4"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52EC9D8" w14:textId="77777777" w:rsidR="00143DD0" w:rsidRPr="001D41EA" w:rsidRDefault="00143DD0" w:rsidP="00143DD0">
            <w:pPr>
              <w:spacing w:before="40" w:after="40"/>
              <w:rPr>
                <w:rFonts w:cs="Arial"/>
                <w:sz w:val="18"/>
                <w:szCs w:val="18"/>
              </w:rPr>
            </w:pPr>
            <w:r w:rsidRPr="001D41EA">
              <w:rPr>
                <w:rFonts w:cs="Arial"/>
                <w:sz w:val="18"/>
                <w:szCs w:val="18"/>
              </w:rPr>
              <w:t>Campaspe S</w:t>
            </w:r>
          </w:p>
        </w:tc>
        <w:tc>
          <w:tcPr>
            <w:tcW w:w="1418" w:type="dxa"/>
            <w:tcBorders>
              <w:top w:val="nil"/>
              <w:left w:val="single" w:sz="18" w:space="0" w:color="5F497A" w:themeColor="accent4" w:themeShade="BF"/>
              <w:bottom w:val="nil"/>
              <w:right w:val="nil"/>
            </w:tcBorders>
            <w:vAlign w:val="bottom"/>
          </w:tcPr>
          <w:p w14:paraId="5F02300B" w14:textId="0D96B887" w:rsidR="00143DD0" w:rsidRPr="001D41EA" w:rsidRDefault="00143DD0" w:rsidP="00143DD0">
            <w:pPr>
              <w:spacing w:before="40" w:after="40"/>
              <w:jc w:val="right"/>
              <w:rPr>
                <w:rFonts w:cs="Arial"/>
                <w:sz w:val="18"/>
                <w:szCs w:val="18"/>
              </w:rPr>
            </w:pPr>
            <w:r w:rsidRPr="001D41EA">
              <w:rPr>
                <w:rFonts w:cs="Arial"/>
                <w:sz w:val="18"/>
                <w:szCs w:val="18"/>
              </w:rPr>
              <w:t>878</w:t>
            </w:r>
          </w:p>
        </w:tc>
        <w:tc>
          <w:tcPr>
            <w:tcW w:w="1418" w:type="dxa"/>
            <w:tcBorders>
              <w:top w:val="nil"/>
              <w:left w:val="nil"/>
              <w:bottom w:val="nil"/>
              <w:right w:val="nil"/>
            </w:tcBorders>
            <w:vAlign w:val="bottom"/>
          </w:tcPr>
          <w:p w14:paraId="71FA0842" w14:textId="6A31D966" w:rsidR="00143DD0" w:rsidRPr="001D41EA" w:rsidRDefault="00143DD0" w:rsidP="00143DD0">
            <w:pPr>
              <w:spacing w:before="40" w:after="40"/>
              <w:jc w:val="center"/>
              <w:rPr>
                <w:rFonts w:cs="Arial"/>
                <w:sz w:val="18"/>
                <w:szCs w:val="18"/>
              </w:rPr>
            </w:pPr>
            <w:r w:rsidRPr="001D41EA">
              <w:rPr>
                <w:rFonts w:cs="Arial"/>
                <w:sz w:val="18"/>
                <w:szCs w:val="18"/>
              </w:rPr>
              <w:t>2.4</w:t>
            </w:r>
          </w:p>
        </w:tc>
        <w:tc>
          <w:tcPr>
            <w:tcW w:w="170" w:type="dxa"/>
            <w:tcBorders>
              <w:top w:val="nil"/>
              <w:left w:val="nil"/>
              <w:bottom w:val="nil"/>
              <w:right w:val="nil"/>
            </w:tcBorders>
            <w:vAlign w:val="bottom"/>
          </w:tcPr>
          <w:p w14:paraId="201BCC42" w14:textId="156E0D67"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6577B240" w14:textId="7579FB85" w:rsidR="00143DD0" w:rsidRPr="001D41EA" w:rsidRDefault="00143DD0" w:rsidP="00143DD0">
            <w:pPr>
              <w:spacing w:before="40" w:after="40"/>
              <w:jc w:val="center"/>
              <w:rPr>
                <w:rFonts w:cs="Arial"/>
                <w:sz w:val="18"/>
                <w:szCs w:val="18"/>
              </w:rPr>
            </w:pPr>
            <w:r w:rsidRPr="00143DD0">
              <w:rPr>
                <w:rFonts w:cs="Arial"/>
                <w:sz w:val="18"/>
                <w:szCs w:val="18"/>
              </w:rPr>
              <w:t>0.3</w:t>
            </w:r>
          </w:p>
        </w:tc>
        <w:tc>
          <w:tcPr>
            <w:tcW w:w="1418" w:type="dxa"/>
            <w:tcBorders>
              <w:top w:val="nil"/>
              <w:left w:val="nil"/>
              <w:bottom w:val="nil"/>
              <w:right w:val="nil"/>
            </w:tcBorders>
            <w:shd w:val="clear" w:color="auto" w:fill="auto"/>
            <w:vAlign w:val="bottom"/>
          </w:tcPr>
          <w:p w14:paraId="3BFE3CE2" w14:textId="66FBF74B" w:rsidR="00143DD0" w:rsidRPr="001D41EA" w:rsidRDefault="00143DD0" w:rsidP="00143DD0">
            <w:pPr>
              <w:spacing w:before="40" w:after="40"/>
              <w:jc w:val="right"/>
              <w:rPr>
                <w:rFonts w:cs="Arial"/>
                <w:sz w:val="18"/>
                <w:szCs w:val="18"/>
              </w:rPr>
            </w:pPr>
            <w:r w:rsidRPr="001D41EA">
              <w:rPr>
                <w:rFonts w:cs="Arial"/>
                <w:sz w:val="18"/>
                <w:szCs w:val="18"/>
              </w:rPr>
              <w:t>19.02</w:t>
            </w:r>
          </w:p>
        </w:tc>
      </w:tr>
      <w:tr w:rsidR="00143DD0" w:rsidRPr="001D41EA" w14:paraId="35FDE414"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98D599E" w14:textId="77777777" w:rsidR="00143DD0" w:rsidRPr="001D41EA" w:rsidRDefault="00143DD0" w:rsidP="00143DD0">
            <w:pPr>
              <w:spacing w:before="40" w:after="40"/>
              <w:rPr>
                <w:rFonts w:cs="Arial"/>
                <w:sz w:val="18"/>
                <w:szCs w:val="18"/>
              </w:rPr>
            </w:pPr>
            <w:r w:rsidRPr="001D41EA">
              <w:rPr>
                <w:rFonts w:cs="Arial"/>
                <w:sz w:val="18"/>
                <w:szCs w:val="18"/>
              </w:rPr>
              <w:t>Cardinia S</w:t>
            </w:r>
          </w:p>
        </w:tc>
        <w:tc>
          <w:tcPr>
            <w:tcW w:w="1418" w:type="dxa"/>
            <w:tcBorders>
              <w:top w:val="nil"/>
              <w:left w:val="single" w:sz="18" w:space="0" w:color="5F497A" w:themeColor="accent4" w:themeShade="BF"/>
              <w:bottom w:val="nil"/>
              <w:right w:val="nil"/>
            </w:tcBorders>
            <w:vAlign w:val="bottom"/>
          </w:tcPr>
          <w:p w14:paraId="3EB4067F" w14:textId="6B4AE544" w:rsidR="00143DD0" w:rsidRPr="001D41EA" w:rsidRDefault="00143DD0" w:rsidP="00143DD0">
            <w:pPr>
              <w:spacing w:before="40" w:after="40"/>
              <w:jc w:val="right"/>
              <w:rPr>
                <w:rFonts w:cs="Arial"/>
                <w:sz w:val="18"/>
                <w:szCs w:val="18"/>
              </w:rPr>
            </w:pPr>
            <w:r w:rsidRPr="001D41EA">
              <w:rPr>
                <w:rFonts w:cs="Arial"/>
                <w:sz w:val="18"/>
                <w:szCs w:val="18"/>
              </w:rPr>
              <w:t>782</w:t>
            </w:r>
          </w:p>
        </w:tc>
        <w:tc>
          <w:tcPr>
            <w:tcW w:w="1418" w:type="dxa"/>
            <w:tcBorders>
              <w:top w:val="nil"/>
              <w:left w:val="nil"/>
              <w:bottom w:val="nil"/>
              <w:right w:val="nil"/>
            </w:tcBorders>
            <w:vAlign w:val="bottom"/>
          </w:tcPr>
          <w:p w14:paraId="1B6A18F8" w14:textId="334A468F" w:rsidR="00143DD0" w:rsidRPr="001D41EA" w:rsidRDefault="00143DD0" w:rsidP="00143DD0">
            <w:pPr>
              <w:spacing w:before="40" w:after="40"/>
              <w:jc w:val="center"/>
              <w:rPr>
                <w:rFonts w:cs="Arial"/>
                <w:sz w:val="18"/>
                <w:szCs w:val="18"/>
              </w:rPr>
            </w:pPr>
            <w:r w:rsidRPr="001D41EA">
              <w:rPr>
                <w:rFonts w:cs="Arial"/>
                <w:sz w:val="18"/>
                <w:szCs w:val="18"/>
              </w:rPr>
              <w:t>0.8</w:t>
            </w:r>
          </w:p>
        </w:tc>
        <w:tc>
          <w:tcPr>
            <w:tcW w:w="170" w:type="dxa"/>
            <w:tcBorders>
              <w:top w:val="nil"/>
              <w:left w:val="nil"/>
              <w:bottom w:val="nil"/>
              <w:right w:val="nil"/>
            </w:tcBorders>
            <w:vAlign w:val="bottom"/>
          </w:tcPr>
          <w:p w14:paraId="504CABF9" w14:textId="4381A24F"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286E4D0B" w14:textId="66E56711" w:rsidR="00143DD0" w:rsidRPr="001D41EA" w:rsidRDefault="00143DD0" w:rsidP="00143DD0">
            <w:pPr>
              <w:spacing w:before="40" w:after="40"/>
              <w:jc w:val="center"/>
              <w:rPr>
                <w:rFonts w:cs="Arial"/>
                <w:sz w:val="18"/>
                <w:szCs w:val="18"/>
              </w:rPr>
            </w:pPr>
            <w:r w:rsidRPr="00143DD0">
              <w:rPr>
                <w:rFonts w:cs="Arial"/>
                <w:sz w:val="18"/>
                <w:szCs w:val="18"/>
              </w:rPr>
              <w:t>1.1</w:t>
            </w:r>
          </w:p>
        </w:tc>
        <w:tc>
          <w:tcPr>
            <w:tcW w:w="1418" w:type="dxa"/>
            <w:tcBorders>
              <w:top w:val="nil"/>
              <w:left w:val="nil"/>
              <w:bottom w:val="nil"/>
              <w:right w:val="nil"/>
            </w:tcBorders>
            <w:shd w:val="clear" w:color="auto" w:fill="auto"/>
            <w:vAlign w:val="bottom"/>
          </w:tcPr>
          <w:p w14:paraId="2A8E73D1" w14:textId="2E14DEE8" w:rsidR="00143DD0" w:rsidRPr="001D41EA" w:rsidRDefault="00143DD0" w:rsidP="00143DD0">
            <w:pPr>
              <w:spacing w:before="40" w:after="40"/>
              <w:jc w:val="right"/>
              <w:rPr>
                <w:rFonts w:cs="Arial"/>
                <w:sz w:val="18"/>
                <w:szCs w:val="18"/>
              </w:rPr>
            </w:pPr>
            <w:r w:rsidRPr="001D41EA">
              <w:rPr>
                <w:rFonts w:cs="Arial"/>
                <w:sz w:val="18"/>
                <w:szCs w:val="18"/>
              </w:rPr>
              <w:t>11.45</w:t>
            </w:r>
          </w:p>
        </w:tc>
      </w:tr>
      <w:tr w:rsidR="00143DD0" w:rsidRPr="001D41EA" w14:paraId="73AF2E8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823B439" w14:textId="77777777" w:rsidR="00143DD0" w:rsidRPr="001D41EA" w:rsidRDefault="00143DD0" w:rsidP="00143DD0">
            <w:pPr>
              <w:spacing w:before="40" w:after="40"/>
              <w:rPr>
                <w:rFonts w:cs="Arial"/>
                <w:sz w:val="18"/>
                <w:szCs w:val="18"/>
              </w:rPr>
            </w:pPr>
            <w:r w:rsidRPr="001D41EA">
              <w:rPr>
                <w:rFonts w:cs="Arial"/>
                <w:sz w:val="18"/>
                <w:szCs w:val="18"/>
              </w:rPr>
              <w:t>Casey C</w:t>
            </w:r>
          </w:p>
        </w:tc>
        <w:tc>
          <w:tcPr>
            <w:tcW w:w="1418" w:type="dxa"/>
            <w:tcBorders>
              <w:top w:val="nil"/>
              <w:left w:val="single" w:sz="18" w:space="0" w:color="5F497A" w:themeColor="accent4" w:themeShade="BF"/>
              <w:bottom w:val="nil"/>
              <w:right w:val="nil"/>
            </w:tcBorders>
            <w:vAlign w:val="bottom"/>
          </w:tcPr>
          <w:p w14:paraId="3CC5CA32" w14:textId="71B823D3" w:rsidR="00143DD0" w:rsidRPr="001D41EA" w:rsidRDefault="00143DD0" w:rsidP="00143DD0">
            <w:pPr>
              <w:spacing w:before="40" w:after="40"/>
              <w:jc w:val="right"/>
              <w:rPr>
                <w:rFonts w:cs="Arial"/>
                <w:sz w:val="18"/>
                <w:szCs w:val="18"/>
              </w:rPr>
            </w:pPr>
            <w:r w:rsidRPr="001D41EA">
              <w:rPr>
                <w:rFonts w:cs="Arial"/>
                <w:sz w:val="18"/>
                <w:szCs w:val="18"/>
              </w:rPr>
              <w:t>1,617</w:t>
            </w:r>
          </w:p>
        </w:tc>
        <w:tc>
          <w:tcPr>
            <w:tcW w:w="1418" w:type="dxa"/>
            <w:tcBorders>
              <w:top w:val="nil"/>
              <w:left w:val="nil"/>
              <w:bottom w:val="nil"/>
              <w:right w:val="nil"/>
            </w:tcBorders>
            <w:vAlign w:val="bottom"/>
          </w:tcPr>
          <w:p w14:paraId="0AEAB1B1" w14:textId="404342AC" w:rsidR="00143DD0" w:rsidRPr="001D41EA" w:rsidRDefault="00143DD0" w:rsidP="00143DD0">
            <w:pPr>
              <w:spacing w:before="40" w:after="40"/>
              <w:jc w:val="center"/>
              <w:rPr>
                <w:rFonts w:cs="Arial"/>
                <w:sz w:val="18"/>
                <w:szCs w:val="18"/>
              </w:rPr>
            </w:pPr>
            <w:r w:rsidRPr="001D41EA">
              <w:rPr>
                <w:rFonts w:cs="Arial"/>
                <w:sz w:val="18"/>
                <w:szCs w:val="18"/>
              </w:rPr>
              <w:t>0.5</w:t>
            </w:r>
          </w:p>
        </w:tc>
        <w:tc>
          <w:tcPr>
            <w:tcW w:w="170" w:type="dxa"/>
            <w:tcBorders>
              <w:top w:val="nil"/>
              <w:left w:val="nil"/>
              <w:bottom w:val="nil"/>
              <w:right w:val="nil"/>
            </w:tcBorders>
            <w:vAlign w:val="bottom"/>
          </w:tcPr>
          <w:p w14:paraId="68AF7863" w14:textId="6F61A569"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2EAA6ACC" w14:textId="3979720C" w:rsidR="00143DD0" w:rsidRPr="001D41EA" w:rsidRDefault="00143DD0" w:rsidP="00143DD0">
            <w:pPr>
              <w:spacing w:before="40" w:after="40"/>
              <w:jc w:val="center"/>
              <w:rPr>
                <w:rFonts w:cs="Arial"/>
                <w:sz w:val="18"/>
                <w:szCs w:val="18"/>
              </w:rPr>
            </w:pPr>
            <w:r w:rsidRPr="00143DD0">
              <w:rPr>
                <w:rFonts w:cs="Arial"/>
                <w:sz w:val="18"/>
                <w:szCs w:val="18"/>
              </w:rPr>
              <w:t>4.5</w:t>
            </w:r>
          </w:p>
        </w:tc>
        <w:tc>
          <w:tcPr>
            <w:tcW w:w="1418" w:type="dxa"/>
            <w:tcBorders>
              <w:top w:val="nil"/>
              <w:left w:val="nil"/>
              <w:bottom w:val="nil"/>
              <w:right w:val="nil"/>
            </w:tcBorders>
            <w:shd w:val="clear" w:color="auto" w:fill="auto"/>
            <w:vAlign w:val="bottom"/>
          </w:tcPr>
          <w:p w14:paraId="5ACFDF1C" w14:textId="5C083702" w:rsidR="00143DD0" w:rsidRPr="001D41EA" w:rsidRDefault="00143DD0" w:rsidP="00143DD0">
            <w:pPr>
              <w:spacing w:before="40" w:after="40"/>
              <w:jc w:val="right"/>
              <w:rPr>
                <w:rFonts w:cs="Arial"/>
                <w:sz w:val="18"/>
                <w:szCs w:val="18"/>
              </w:rPr>
            </w:pPr>
            <w:r w:rsidRPr="001D41EA">
              <w:rPr>
                <w:rFonts w:cs="Arial"/>
                <w:sz w:val="18"/>
                <w:szCs w:val="18"/>
              </w:rPr>
              <w:t>0.40</w:t>
            </w:r>
          </w:p>
        </w:tc>
      </w:tr>
      <w:tr w:rsidR="00143DD0" w:rsidRPr="001D41EA" w14:paraId="129BF93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299E151" w14:textId="77777777" w:rsidR="00143DD0" w:rsidRPr="001D41EA" w:rsidRDefault="00143DD0" w:rsidP="00143DD0">
            <w:pPr>
              <w:spacing w:before="40" w:after="40"/>
              <w:rPr>
                <w:rFonts w:cs="Arial"/>
                <w:sz w:val="18"/>
                <w:szCs w:val="18"/>
              </w:rPr>
            </w:pPr>
            <w:r w:rsidRPr="001D41EA">
              <w:rPr>
                <w:rFonts w:cs="Arial"/>
                <w:sz w:val="18"/>
                <w:szCs w:val="18"/>
              </w:rPr>
              <w:t>Central Goldfields S</w:t>
            </w:r>
          </w:p>
        </w:tc>
        <w:tc>
          <w:tcPr>
            <w:tcW w:w="1418" w:type="dxa"/>
            <w:tcBorders>
              <w:top w:val="nil"/>
              <w:left w:val="single" w:sz="18" w:space="0" w:color="5F497A" w:themeColor="accent4" w:themeShade="BF"/>
              <w:bottom w:val="nil"/>
              <w:right w:val="nil"/>
            </w:tcBorders>
            <w:vAlign w:val="bottom"/>
          </w:tcPr>
          <w:p w14:paraId="0465B147" w14:textId="423334F9" w:rsidR="00143DD0" w:rsidRPr="001D41EA" w:rsidRDefault="00143DD0" w:rsidP="00143DD0">
            <w:pPr>
              <w:spacing w:before="40" w:after="40"/>
              <w:jc w:val="right"/>
              <w:rPr>
                <w:rFonts w:cs="Arial"/>
                <w:sz w:val="18"/>
                <w:szCs w:val="18"/>
              </w:rPr>
            </w:pPr>
            <w:r w:rsidRPr="001D41EA">
              <w:rPr>
                <w:rFonts w:cs="Arial"/>
                <w:sz w:val="18"/>
                <w:szCs w:val="18"/>
              </w:rPr>
              <w:t>193</w:t>
            </w:r>
          </w:p>
        </w:tc>
        <w:tc>
          <w:tcPr>
            <w:tcW w:w="1418" w:type="dxa"/>
            <w:tcBorders>
              <w:top w:val="nil"/>
              <w:left w:val="nil"/>
              <w:bottom w:val="nil"/>
              <w:right w:val="nil"/>
            </w:tcBorders>
            <w:vAlign w:val="bottom"/>
          </w:tcPr>
          <w:p w14:paraId="4C4EA3E5" w14:textId="418407DA" w:rsidR="00143DD0" w:rsidRPr="001D41EA" w:rsidRDefault="00143DD0" w:rsidP="00143DD0">
            <w:pPr>
              <w:spacing w:before="40" w:after="40"/>
              <w:jc w:val="center"/>
              <w:rPr>
                <w:rFonts w:cs="Arial"/>
                <w:sz w:val="18"/>
                <w:szCs w:val="18"/>
              </w:rPr>
            </w:pPr>
            <w:r w:rsidRPr="001D41EA">
              <w:rPr>
                <w:rFonts w:cs="Arial"/>
                <w:sz w:val="18"/>
                <w:szCs w:val="18"/>
              </w:rPr>
              <w:t>1.5</w:t>
            </w:r>
          </w:p>
        </w:tc>
        <w:tc>
          <w:tcPr>
            <w:tcW w:w="170" w:type="dxa"/>
            <w:tcBorders>
              <w:top w:val="nil"/>
              <w:left w:val="nil"/>
              <w:bottom w:val="nil"/>
              <w:right w:val="nil"/>
            </w:tcBorders>
            <w:vAlign w:val="bottom"/>
          </w:tcPr>
          <w:p w14:paraId="7FF25D62" w14:textId="012E1668"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0FF56699" w14:textId="73362A35" w:rsidR="00143DD0" w:rsidRPr="001D41EA" w:rsidRDefault="00143DD0" w:rsidP="00143DD0">
            <w:pPr>
              <w:spacing w:before="40" w:after="40"/>
              <w:jc w:val="center"/>
              <w:rPr>
                <w:rFonts w:cs="Arial"/>
                <w:sz w:val="18"/>
                <w:szCs w:val="18"/>
              </w:rPr>
            </w:pPr>
            <w:r w:rsidRPr="00143DD0">
              <w:rPr>
                <w:rFonts w:cs="Arial"/>
                <w:sz w:val="18"/>
                <w:szCs w:val="18"/>
              </w:rPr>
              <w:t>0.2</w:t>
            </w:r>
          </w:p>
        </w:tc>
        <w:tc>
          <w:tcPr>
            <w:tcW w:w="1418" w:type="dxa"/>
            <w:tcBorders>
              <w:top w:val="nil"/>
              <w:left w:val="nil"/>
              <w:bottom w:val="nil"/>
              <w:right w:val="nil"/>
            </w:tcBorders>
            <w:shd w:val="clear" w:color="auto" w:fill="auto"/>
            <w:vAlign w:val="bottom"/>
          </w:tcPr>
          <w:p w14:paraId="546DC7EF" w14:textId="05EDF1A7" w:rsidR="00143DD0" w:rsidRPr="001D41EA" w:rsidRDefault="00143DD0" w:rsidP="00143DD0">
            <w:pPr>
              <w:spacing w:before="40" w:after="40"/>
              <w:jc w:val="right"/>
              <w:rPr>
                <w:rFonts w:cs="Arial"/>
                <w:sz w:val="18"/>
                <w:szCs w:val="18"/>
              </w:rPr>
            </w:pPr>
            <w:r w:rsidRPr="001D41EA">
              <w:rPr>
                <w:rFonts w:cs="Arial"/>
                <w:sz w:val="18"/>
                <w:szCs w:val="18"/>
              </w:rPr>
              <w:t>5.19</w:t>
            </w:r>
          </w:p>
        </w:tc>
      </w:tr>
      <w:tr w:rsidR="00143DD0" w:rsidRPr="001D41EA" w14:paraId="5BB7D9F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4B3665B" w14:textId="77777777" w:rsidR="00143DD0" w:rsidRPr="001D41EA" w:rsidRDefault="00143DD0" w:rsidP="00143DD0">
            <w:pPr>
              <w:spacing w:before="40" w:after="40"/>
              <w:rPr>
                <w:rFonts w:cs="Arial"/>
                <w:sz w:val="18"/>
                <w:szCs w:val="18"/>
              </w:rPr>
            </w:pPr>
            <w:r w:rsidRPr="001D41EA">
              <w:rPr>
                <w:rFonts w:cs="Arial"/>
                <w:sz w:val="18"/>
                <w:szCs w:val="18"/>
              </w:rPr>
              <w:t>Colac Otway S</w:t>
            </w:r>
          </w:p>
        </w:tc>
        <w:tc>
          <w:tcPr>
            <w:tcW w:w="1418" w:type="dxa"/>
            <w:tcBorders>
              <w:top w:val="nil"/>
              <w:left w:val="single" w:sz="18" w:space="0" w:color="5F497A" w:themeColor="accent4" w:themeShade="BF"/>
              <w:bottom w:val="nil"/>
              <w:right w:val="nil"/>
            </w:tcBorders>
            <w:vAlign w:val="bottom"/>
          </w:tcPr>
          <w:p w14:paraId="716A6235" w14:textId="145C407A" w:rsidR="00143DD0" w:rsidRPr="001D41EA" w:rsidRDefault="00143DD0" w:rsidP="00143DD0">
            <w:pPr>
              <w:spacing w:before="40" w:after="40"/>
              <w:jc w:val="right"/>
              <w:rPr>
                <w:rFonts w:cs="Arial"/>
                <w:sz w:val="18"/>
                <w:szCs w:val="18"/>
              </w:rPr>
            </w:pPr>
            <w:r w:rsidRPr="001D41EA">
              <w:rPr>
                <w:rFonts w:cs="Arial"/>
                <w:sz w:val="18"/>
                <w:szCs w:val="18"/>
              </w:rPr>
              <w:t>249</w:t>
            </w:r>
          </w:p>
        </w:tc>
        <w:tc>
          <w:tcPr>
            <w:tcW w:w="1418" w:type="dxa"/>
            <w:tcBorders>
              <w:top w:val="nil"/>
              <w:left w:val="nil"/>
              <w:bottom w:val="nil"/>
              <w:right w:val="nil"/>
            </w:tcBorders>
            <w:vAlign w:val="bottom"/>
          </w:tcPr>
          <w:p w14:paraId="19469174" w14:textId="322253A0" w:rsidR="00143DD0" w:rsidRPr="001D41EA" w:rsidRDefault="00143DD0" w:rsidP="00143DD0">
            <w:pPr>
              <w:spacing w:before="40" w:after="40"/>
              <w:jc w:val="center"/>
              <w:rPr>
                <w:rFonts w:cs="Arial"/>
                <w:sz w:val="18"/>
                <w:szCs w:val="18"/>
              </w:rPr>
            </w:pPr>
            <w:r w:rsidRPr="001D41EA">
              <w:rPr>
                <w:rFonts w:cs="Arial"/>
                <w:sz w:val="18"/>
                <w:szCs w:val="18"/>
              </w:rPr>
              <w:t>1.2</w:t>
            </w:r>
          </w:p>
        </w:tc>
        <w:tc>
          <w:tcPr>
            <w:tcW w:w="170" w:type="dxa"/>
            <w:tcBorders>
              <w:top w:val="nil"/>
              <w:left w:val="nil"/>
              <w:bottom w:val="nil"/>
              <w:right w:val="nil"/>
            </w:tcBorders>
            <w:vAlign w:val="bottom"/>
          </w:tcPr>
          <w:p w14:paraId="4346CEE8" w14:textId="69EEE9A7"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0E7C63DD" w14:textId="521DC563" w:rsidR="00143DD0" w:rsidRPr="001D41EA" w:rsidRDefault="00143DD0" w:rsidP="00143DD0">
            <w:pPr>
              <w:spacing w:before="40" w:after="40"/>
              <w:jc w:val="center"/>
              <w:rPr>
                <w:rFonts w:cs="Arial"/>
                <w:sz w:val="18"/>
                <w:szCs w:val="18"/>
              </w:rPr>
            </w:pPr>
            <w:r w:rsidRPr="00143DD0">
              <w:rPr>
                <w:rFonts w:cs="Arial"/>
                <w:sz w:val="18"/>
                <w:szCs w:val="18"/>
              </w:rPr>
              <w:t>0.6</w:t>
            </w:r>
          </w:p>
        </w:tc>
        <w:tc>
          <w:tcPr>
            <w:tcW w:w="1418" w:type="dxa"/>
            <w:tcBorders>
              <w:top w:val="nil"/>
              <w:left w:val="nil"/>
              <w:bottom w:val="nil"/>
              <w:right w:val="nil"/>
            </w:tcBorders>
            <w:shd w:val="clear" w:color="auto" w:fill="auto"/>
            <w:vAlign w:val="bottom"/>
          </w:tcPr>
          <w:p w14:paraId="550FD6FF" w14:textId="017F6712" w:rsidR="00143DD0" w:rsidRPr="001D41EA" w:rsidRDefault="00143DD0" w:rsidP="00143DD0">
            <w:pPr>
              <w:spacing w:before="40" w:after="40"/>
              <w:jc w:val="right"/>
              <w:rPr>
                <w:rFonts w:cs="Arial"/>
                <w:sz w:val="18"/>
                <w:szCs w:val="18"/>
              </w:rPr>
            </w:pPr>
            <w:r w:rsidRPr="001D41EA">
              <w:rPr>
                <w:rFonts w:cs="Arial"/>
                <w:sz w:val="18"/>
                <w:szCs w:val="18"/>
              </w:rPr>
              <w:t>11.63</w:t>
            </w:r>
          </w:p>
        </w:tc>
      </w:tr>
      <w:tr w:rsidR="00143DD0" w:rsidRPr="001D41EA" w14:paraId="3C1A1CA6"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730BC35" w14:textId="77777777" w:rsidR="00143DD0" w:rsidRPr="001D41EA" w:rsidRDefault="00143DD0" w:rsidP="00143DD0">
            <w:pPr>
              <w:spacing w:before="40" w:after="40"/>
              <w:rPr>
                <w:rFonts w:cs="Arial"/>
                <w:sz w:val="18"/>
                <w:szCs w:val="18"/>
              </w:rPr>
            </w:pPr>
            <w:r w:rsidRPr="001D41EA">
              <w:rPr>
                <w:rFonts w:cs="Arial"/>
                <w:sz w:val="18"/>
                <w:szCs w:val="18"/>
              </w:rPr>
              <w:t>Corangamite S</w:t>
            </w:r>
          </w:p>
        </w:tc>
        <w:tc>
          <w:tcPr>
            <w:tcW w:w="1418" w:type="dxa"/>
            <w:tcBorders>
              <w:top w:val="nil"/>
              <w:left w:val="single" w:sz="18" w:space="0" w:color="5F497A" w:themeColor="accent4" w:themeShade="BF"/>
              <w:bottom w:val="nil"/>
              <w:right w:val="nil"/>
            </w:tcBorders>
            <w:vAlign w:val="bottom"/>
          </w:tcPr>
          <w:p w14:paraId="63B105EF" w14:textId="0FA1BB97" w:rsidR="00143DD0" w:rsidRPr="001D41EA" w:rsidRDefault="00143DD0" w:rsidP="00143DD0">
            <w:pPr>
              <w:spacing w:before="40" w:after="40"/>
              <w:jc w:val="right"/>
              <w:rPr>
                <w:rFonts w:cs="Arial"/>
                <w:sz w:val="18"/>
                <w:szCs w:val="18"/>
              </w:rPr>
            </w:pPr>
            <w:r w:rsidRPr="001D41EA">
              <w:rPr>
                <w:rFonts w:cs="Arial"/>
                <w:sz w:val="18"/>
                <w:szCs w:val="18"/>
              </w:rPr>
              <w:t>150</w:t>
            </w:r>
          </w:p>
        </w:tc>
        <w:tc>
          <w:tcPr>
            <w:tcW w:w="1418" w:type="dxa"/>
            <w:tcBorders>
              <w:top w:val="nil"/>
              <w:left w:val="nil"/>
              <w:bottom w:val="nil"/>
              <w:right w:val="nil"/>
            </w:tcBorders>
            <w:vAlign w:val="bottom"/>
          </w:tcPr>
          <w:p w14:paraId="193D8302" w14:textId="4AA63D1D" w:rsidR="00143DD0" w:rsidRPr="001D41EA" w:rsidRDefault="00143DD0" w:rsidP="00143DD0">
            <w:pPr>
              <w:spacing w:before="40" w:after="40"/>
              <w:jc w:val="center"/>
              <w:rPr>
                <w:rFonts w:cs="Arial"/>
                <w:sz w:val="18"/>
                <w:szCs w:val="18"/>
              </w:rPr>
            </w:pPr>
            <w:r w:rsidRPr="001D41EA">
              <w:rPr>
                <w:rFonts w:cs="Arial"/>
                <w:sz w:val="18"/>
                <w:szCs w:val="18"/>
              </w:rPr>
              <w:t>0.9</w:t>
            </w:r>
          </w:p>
        </w:tc>
        <w:tc>
          <w:tcPr>
            <w:tcW w:w="170" w:type="dxa"/>
            <w:tcBorders>
              <w:top w:val="nil"/>
              <w:left w:val="nil"/>
              <w:bottom w:val="nil"/>
              <w:right w:val="nil"/>
            </w:tcBorders>
            <w:vAlign w:val="bottom"/>
          </w:tcPr>
          <w:p w14:paraId="67D7ADC1" w14:textId="66835BC9"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5831B0A2" w14:textId="01779452" w:rsidR="00143DD0" w:rsidRPr="001D41EA" w:rsidRDefault="00143DD0" w:rsidP="00143DD0">
            <w:pPr>
              <w:spacing w:before="40" w:after="40"/>
              <w:jc w:val="center"/>
              <w:rPr>
                <w:rFonts w:cs="Arial"/>
                <w:sz w:val="18"/>
                <w:szCs w:val="18"/>
              </w:rPr>
            </w:pPr>
            <w:r w:rsidRPr="00143DD0">
              <w:rPr>
                <w:rFonts w:cs="Arial"/>
                <w:sz w:val="18"/>
                <w:szCs w:val="18"/>
              </w:rPr>
              <w:t>0.1</w:t>
            </w:r>
          </w:p>
        </w:tc>
        <w:tc>
          <w:tcPr>
            <w:tcW w:w="1418" w:type="dxa"/>
            <w:tcBorders>
              <w:top w:val="nil"/>
              <w:left w:val="nil"/>
              <w:bottom w:val="nil"/>
              <w:right w:val="nil"/>
            </w:tcBorders>
            <w:shd w:val="clear" w:color="auto" w:fill="auto"/>
            <w:vAlign w:val="bottom"/>
          </w:tcPr>
          <w:p w14:paraId="055229CC" w14:textId="3891E195" w:rsidR="00143DD0" w:rsidRPr="001D41EA" w:rsidRDefault="00143DD0" w:rsidP="00143DD0">
            <w:pPr>
              <w:spacing w:before="40" w:after="40"/>
              <w:jc w:val="right"/>
              <w:rPr>
                <w:rFonts w:cs="Arial"/>
                <w:sz w:val="18"/>
                <w:szCs w:val="18"/>
              </w:rPr>
            </w:pPr>
            <w:r w:rsidRPr="001D41EA">
              <w:rPr>
                <w:rFonts w:cs="Arial"/>
                <w:sz w:val="18"/>
                <w:szCs w:val="18"/>
              </w:rPr>
              <w:t>18.88</w:t>
            </w:r>
          </w:p>
        </w:tc>
      </w:tr>
      <w:tr w:rsidR="00143DD0" w:rsidRPr="001D41EA" w14:paraId="296EF26C"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0C9E638" w14:textId="77777777" w:rsidR="00143DD0" w:rsidRPr="001D41EA" w:rsidRDefault="00143DD0" w:rsidP="00143DD0">
            <w:pPr>
              <w:spacing w:before="40" w:after="40"/>
              <w:rPr>
                <w:rFonts w:cs="Arial"/>
                <w:sz w:val="18"/>
                <w:szCs w:val="18"/>
              </w:rPr>
            </w:pPr>
            <w:r w:rsidRPr="001D41EA">
              <w:rPr>
                <w:rFonts w:cs="Arial"/>
                <w:sz w:val="18"/>
                <w:szCs w:val="18"/>
              </w:rPr>
              <w:t>Darebin C</w:t>
            </w:r>
          </w:p>
        </w:tc>
        <w:tc>
          <w:tcPr>
            <w:tcW w:w="1418" w:type="dxa"/>
            <w:tcBorders>
              <w:top w:val="nil"/>
              <w:left w:val="single" w:sz="18" w:space="0" w:color="5F497A" w:themeColor="accent4" w:themeShade="BF"/>
              <w:bottom w:val="nil"/>
              <w:right w:val="nil"/>
            </w:tcBorders>
            <w:vAlign w:val="bottom"/>
          </w:tcPr>
          <w:p w14:paraId="6C91CAFB" w14:textId="4F87F289" w:rsidR="00143DD0" w:rsidRPr="001D41EA" w:rsidRDefault="00143DD0" w:rsidP="00143DD0">
            <w:pPr>
              <w:spacing w:before="40" w:after="40"/>
              <w:jc w:val="right"/>
              <w:rPr>
                <w:rFonts w:cs="Arial"/>
                <w:sz w:val="18"/>
                <w:szCs w:val="18"/>
              </w:rPr>
            </w:pPr>
            <w:r w:rsidRPr="001D41EA">
              <w:rPr>
                <w:rFonts w:cs="Arial"/>
                <w:sz w:val="18"/>
                <w:szCs w:val="18"/>
              </w:rPr>
              <w:t>1,162</w:t>
            </w:r>
          </w:p>
        </w:tc>
        <w:tc>
          <w:tcPr>
            <w:tcW w:w="1418" w:type="dxa"/>
            <w:tcBorders>
              <w:top w:val="nil"/>
              <w:left w:val="nil"/>
              <w:bottom w:val="nil"/>
              <w:right w:val="nil"/>
            </w:tcBorders>
            <w:vAlign w:val="bottom"/>
          </w:tcPr>
          <w:p w14:paraId="3024FAD1" w14:textId="2D7050B5" w:rsidR="00143DD0" w:rsidRPr="001D41EA" w:rsidRDefault="00143DD0" w:rsidP="00143DD0">
            <w:pPr>
              <w:spacing w:before="40" w:after="40"/>
              <w:jc w:val="center"/>
              <w:rPr>
                <w:rFonts w:cs="Arial"/>
                <w:sz w:val="18"/>
                <w:szCs w:val="18"/>
              </w:rPr>
            </w:pPr>
            <w:r w:rsidRPr="001D41EA">
              <w:rPr>
                <w:rFonts w:cs="Arial"/>
                <w:sz w:val="18"/>
                <w:szCs w:val="18"/>
              </w:rPr>
              <w:t>0.8</w:t>
            </w:r>
          </w:p>
        </w:tc>
        <w:tc>
          <w:tcPr>
            <w:tcW w:w="170" w:type="dxa"/>
            <w:tcBorders>
              <w:top w:val="nil"/>
              <w:left w:val="nil"/>
              <w:bottom w:val="nil"/>
              <w:right w:val="nil"/>
            </w:tcBorders>
            <w:vAlign w:val="bottom"/>
          </w:tcPr>
          <w:p w14:paraId="15B6F2AE" w14:textId="48D4E88D"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2688AD04" w14:textId="0167BBD5" w:rsidR="00143DD0" w:rsidRPr="001D41EA" w:rsidRDefault="00143DD0" w:rsidP="00143DD0">
            <w:pPr>
              <w:spacing w:before="40" w:after="40"/>
              <w:jc w:val="center"/>
              <w:rPr>
                <w:rFonts w:cs="Arial"/>
                <w:sz w:val="18"/>
                <w:szCs w:val="18"/>
              </w:rPr>
            </w:pPr>
            <w:r w:rsidRPr="00143DD0">
              <w:rPr>
                <w:rFonts w:cs="Arial"/>
                <w:sz w:val="18"/>
                <w:szCs w:val="18"/>
              </w:rPr>
              <w:t>6.0</w:t>
            </w:r>
          </w:p>
        </w:tc>
        <w:tc>
          <w:tcPr>
            <w:tcW w:w="1418" w:type="dxa"/>
            <w:tcBorders>
              <w:top w:val="nil"/>
              <w:left w:val="nil"/>
              <w:bottom w:val="nil"/>
              <w:right w:val="nil"/>
            </w:tcBorders>
            <w:shd w:val="clear" w:color="auto" w:fill="auto"/>
            <w:vAlign w:val="bottom"/>
          </w:tcPr>
          <w:p w14:paraId="646247F2" w14:textId="7649E36F" w:rsidR="00143DD0" w:rsidRPr="001D41EA" w:rsidRDefault="00143DD0" w:rsidP="00143DD0">
            <w:pPr>
              <w:spacing w:before="40" w:after="40"/>
              <w:jc w:val="right"/>
              <w:rPr>
                <w:rFonts w:cs="Arial"/>
                <w:sz w:val="18"/>
                <w:szCs w:val="18"/>
              </w:rPr>
            </w:pPr>
            <w:r w:rsidRPr="001D41EA">
              <w:rPr>
                <w:rFonts w:cs="Arial"/>
                <w:sz w:val="18"/>
                <w:szCs w:val="18"/>
              </w:rPr>
              <w:t> </w:t>
            </w:r>
          </w:p>
        </w:tc>
      </w:tr>
      <w:tr w:rsidR="00143DD0" w:rsidRPr="001D41EA" w14:paraId="1645D731"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056D51B" w14:textId="77777777" w:rsidR="00143DD0" w:rsidRPr="001D41EA" w:rsidRDefault="00143DD0" w:rsidP="00143DD0">
            <w:pPr>
              <w:spacing w:before="40" w:after="40"/>
              <w:rPr>
                <w:rFonts w:cs="Arial"/>
                <w:sz w:val="18"/>
                <w:szCs w:val="18"/>
              </w:rPr>
            </w:pPr>
            <w:r w:rsidRPr="001D41EA">
              <w:rPr>
                <w:rFonts w:cs="Arial"/>
                <w:sz w:val="18"/>
                <w:szCs w:val="18"/>
              </w:rPr>
              <w:t>East Gippsland S</w:t>
            </w:r>
          </w:p>
        </w:tc>
        <w:tc>
          <w:tcPr>
            <w:tcW w:w="1418" w:type="dxa"/>
            <w:tcBorders>
              <w:top w:val="nil"/>
              <w:left w:val="single" w:sz="18" w:space="0" w:color="5F497A" w:themeColor="accent4" w:themeShade="BF"/>
              <w:bottom w:val="nil"/>
              <w:right w:val="nil"/>
            </w:tcBorders>
            <w:vAlign w:val="bottom"/>
          </w:tcPr>
          <w:p w14:paraId="3E3A254E" w14:textId="0BA70227" w:rsidR="00143DD0" w:rsidRPr="001D41EA" w:rsidRDefault="00143DD0" w:rsidP="00143DD0">
            <w:pPr>
              <w:spacing w:before="40" w:after="40"/>
              <w:jc w:val="right"/>
              <w:rPr>
                <w:rFonts w:cs="Arial"/>
                <w:sz w:val="18"/>
                <w:szCs w:val="18"/>
              </w:rPr>
            </w:pPr>
            <w:r w:rsidRPr="001D41EA">
              <w:rPr>
                <w:rFonts w:cs="Arial"/>
                <w:sz w:val="18"/>
                <w:szCs w:val="18"/>
              </w:rPr>
              <w:t>1,285</w:t>
            </w:r>
          </w:p>
        </w:tc>
        <w:tc>
          <w:tcPr>
            <w:tcW w:w="1418" w:type="dxa"/>
            <w:tcBorders>
              <w:top w:val="nil"/>
              <w:left w:val="nil"/>
              <w:bottom w:val="nil"/>
              <w:right w:val="nil"/>
            </w:tcBorders>
            <w:vAlign w:val="bottom"/>
          </w:tcPr>
          <w:p w14:paraId="57B5F987" w14:textId="210A4A24" w:rsidR="00143DD0" w:rsidRPr="001D41EA" w:rsidRDefault="00143DD0" w:rsidP="00143DD0">
            <w:pPr>
              <w:spacing w:before="40" w:after="40"/>
              <w:jc w:val="center"/>
              <w:rPr>
                <w:rFonts w:cs="Arial"/>
                <w:sz w:val="18"/>
                <w:szCs w:val="18"/>
              </w:rPr>
            </w:pPr>
            <w:r w:rsidRPr="001D41EA">
              <w:rPr>
                <w:rFonts w:cs="Arial"/>
                <w:sz w:val="18"/>
                <w:szCs w:val="18"/>
              </w:rPr>
              <w:t>2.9</w:t>
            </w:r>
          </w:p>
        </w:tc>
        <w:tc>
          <w:tcPr>
            <w:tcW w:w="170" w:type="dxa"/>
            <w:tcBorders>
              <w:top w:val="nil"/>
              <w:left w:val="nil"/>
              <w:bottom w:val="nil"/>
              <w:right w:val="nil"/>
            </w:tcBorders>
            <w:vAlign w:val="bottom"/>
          </w:tcPr>
          <w:p w14:paraId="7B3281DD" w14:textId="22CB14DB"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5BACE29C" w14:textId="4DE20189" w:rsidR="00143DD0" w:rsidRPr="001D41EA" w:rsidRDefault="00143DD0" w:rsidP="00143DD0">
            <w:pPr>
              <w:spacing w:before="40" w:after="40"/>
              <w:jc w:val="center"/>
              <w:rPr>
                <w:rFonts w:cs="Arial"/>
                <w:sz w:val="18"/>
                <w:szCs w:val="18"/>
              </w:rPr>
            </w:pPr>
            <w:r w:rsidRPr="00143DD0">
              <w:rPr>
                <w:rFonts w:cs="Arial"/>
                <w:sz w:val="18"/>
                <w:szCs w:val="18"/>
              </w:rPr>
              <w:t>0.4</w:t>
            </w:r>
          </w:p>
        </w:tc>
        <w:tc>
          <w:tcPr>
            <w:tcW w:w="1418" w:type="dxa"/>
            <w:tcBorders>
              <w:top w:val="nil"/>
              <w:left w:val="nil"/>
              <w:bottom w:val="nil"/>
              <w:right w:val="nil"/>
            </w:tcBorders>
            <w:shd w:val="clear" w:color="auto" w:fill="auto"/>
            <w:vAlign w:val="bottom"/>
          </w:tcPr>
          <w:p w14:paraId="127E6719" w14:textId="6AAB4BFD" w:rsidR="00143DD0" w:rsidRPr="001D41EA" w:rsidRDefault="00143DD0" w:rsidP="00143DD0">
            <w:pPr>
              <w:spacing w:before="40" w:after="40"/>
              <w:jc w:val="right"/>
              <w:rPr>
                <w:rFonts w:cs="Arial"/>
                <w:sz w:val="18"/>
                <w:szCs w:val="18"/>
              </w:rPr>
            </w:pPr>
            <w:r w:rsidRPr="001D41EA">
              <w:rPr>
                <w:rFonts w:cs="Arial"/>
                <w:sz w:val="18"/>
                <w:szCs w:val="18"/>
              </w:rPr>
              <w:t>32.61</w:t>
            </w:r>
          </w:p>
        </w:tc>
      </w:tr>
      <w:tr w:rsidR="00143DD0" w:rsidRPr="001D41EA" w14:paraId="7F5610AB"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05D339E" w14:textId="77777777" w:rsidR="00143DD0" w:rsidRPr="001D41EA" w:rsidRDefault="00143DD0" w:rsidP="00143DD0">
            <w:pPr>
              <w:spacing w:before="40" w:after="40"/>
              <w:rPr>
                <w:rFonts w:cs="Arial"/>
                <w:sz w:val="18"/>
                <w:szCs w:val="18"/>
              </w:rPr>
            </w:pPr>
            <w:r w:rsidRPr="001D41EA">
              <w:rPr>
                <w:rFonts w:cs="Arial"/>
                <w:sz w:val="18"/>
                <w:szCs w:val="18"/>
              </w:rPr>
              <w:t>Frankston C</w:t>
            </w:r>
          </w:p>
        </w:tc>
        <w:tc>
          <w:tcPr>
            <w:tcW w:w="1418" w:type="dxa"/>
            <w:tcBorders>
              <w:top w:val="nil"/>
              <w:left w:val="single" w:sz="18" w:space="0" w:color="5F497A" w:themeColor="accent4" w:themeShade="BF"/>
              <w:bottom w:val="nil"/>
              <w:right w:val="nil"/>
            </w:tcBorders>
            <w:vAlign w:val="bottom"/>
          </w:tcPr>
          <w:p w14:paraId="6291EC71" w14:textId="488F078B" w:rsidR="00143DD0" w:rsidRPr="001D41EA" w:rsidRDefault="00143DD0" w:rsidP="00143DD0">
            <w:pPr>
              <w:spacing w:before="40" w:after="40"/>
              <w:jc w:val="right"/>
              <w:rPr>
                <w:rFonts w:cs="Arial"/>
                <w:sz w:val="18"/>
                <w:szCs w:val="18"/>
              </w:rPr>
            </w:pPr>
            <w:r w:rsidRPr="001D41EA">
              <w:rPr>
                <w:rFonts w:cs="Arial"/>
                <w:sz w:val="18"/>
                <w:szCs w:val="18"/>
              </w:rPr>
              <w:t>1,346</w:t>
            </w:r>
          </w:p>
        </w:tc>
        <w:tc>
          <w:tcPr>
            <w:tcW w:w="1418" w:type="dxa"/>
            <w:tcBorders>
              <w:top w:val="nil"/>
              <w:left w:val="nil"/>
              <w:bottom w:val="nil"/>
              <w:right w:val="nil"/>
            </w:tcBorders>
            <w:vAlign w:val="bottom"/>
          </w:tcPr>
          <w:p w14:paraId="1328A629" w14:textId="32214925" w:rsidR="00143DD0" w:rsidRPr="001D41EA" w:rsidRDefault="00143DD0" w:rsidP="00143DD0">
            <w:pPr>
              <w:spacing w:before="40" w:after="40"/>
              <w:jc w:val="center"/>
              <w:rPr>
                <w:rFonts w:cs="Arial"/>
                <w:sz w:val="18"/>
                <w:szCs w:val="18"/>
              </w:rPr>
            </w:pPr>
            <w:r w:rsidRPr="001D41EA">
              <w:rPr>
                <w:rFonts w:cs="Arial"/>
                <w:sz w:val="18"/>
                <w:szCs w:val="18"/>
              </w:rPr>
              <w:t>1.0</w:t>
            </w:r>
          </w:p>
        </w:tc>
        <w:tc>
          <w:tcPr>
            <w:tcW w:w="170" w:type="dxa"/>
            <w:tcBorders>
              <w:top w:val="nil"/>
              <w:left w:val="nil"/>
              <w:bottom w:val="nil"/>
              <w:right w:val="nil"/>
            </w:tcBorders>
            <w:vAlign w:val="bottom"/>
          </w:tcPr>
          <w:p w14:paraId="197B3715" w14:textId="41FFEEA0"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26FCDF59" w14:textId="29154EBF" w:rsidR="00143DD0" w:rsidRPr="001D41EA" w:rsidRDefault="00143DD0" w:rsidP="00143DD0">
            <w:pPr>
              <w:spacing w:before="40" w:after="40"/>
              <w:jc w:val="center"/>
              <w:rPr>
                <w:rFonts w:cs="Arial"/>
                <w:sz w:val="18"/>
                <w:szCs w:val="18"/>
              </w:rPr>
            </w:pPr>
            <w:r w:rsidRPr="00143DD0">
              <w:rPr>
                <w:rFonts w:cs="Arial"/>
                <w:sz w:val="18"/>
                <w:szCs w:val="18"/>
              </w:rPr>
              <w:t>1.1</w:t>
            </w:r>
          </w:p>
        </w:tc>
        <w:tc>
          <w:tcPr>
            <w:tcW w:w="1418" w:type="dxa"/>
            <w:tcBorders>
              <w:top w:val="nil"/>
              <w:left w:val="nil"/>
              <w:bottom w:val="nil"/>
              <w:right w:val="nil"/>
            </w:tcBorders>
            <w:shd w:val="clear" w:color="auto" w:fill="auto"/>
            <w:vAlign w:val="bottom"/>
          </w:tcPr>
          <w:p w14:paraId="4E110E15" w14:textId="4766A510" w:rsidR="00143DD0" w:rsidRPr="001D41EA" w:rsidRDefault="00143DD0" w:rsidP="00143DD0">
            <w:pPr>
              <w:spacing w:before="40" w:after="40"/>
              <w:jc w:val="right"/>
              <w:rPr>
                <w:rFonts w:cs="Arial"/>
                <w:sz w:val="18"/>
                <w:szCs w:val="18"/>
              </w:rPr>
            </w:pPr>
            <w:r w:rsidRPr="001D41EA">
              <w:rPr>
                <w:rFonts w:cs="Arial"/>
                <w:sz w:val="18"/>
                <w:szCs w:val="18"/>
              </w:rPr>
              <w:t> </w:t>
            </w:r>
          </w:p>
        </w:tc>
      </w:tr>
      <w:tr w:rsidR="00143DD0" w:rsidRPr="001D41EA" w14:paraId="1D81431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3CA768B" w14:textId="77777777" w:rsidR="00143DD0" w:rsidRPr="001D41EA" w:rsidRDefault="00143DD0" w:rsidP="00143DD0">
            <w:pPr>
              <w:spacing w:before="40" w:after="40"/>
              <w:rPr>
                <w:rFonts w:cs="Arial"/>
                <w:sz w:val="18"/>
                <w:szCs w:val="18"/>
              </w:rPr>
            </w:pPr>
            <w:r w:rsidRPr="001D41EA">
              <w:rPr>
                <w:rFonts w:cs="Arial"/>
                <w:sz w:val="18"/>
                <w:szCs w:val="18"/>
              </w:rPr>
              <w:t>Gannawarra S</w:t>
            </w:r>
          </w:p>
        </w:tc>
        <w:tc>
          <w:tcPr>
            <w:tcW w:w="1418" w:type="dxa"/>
            <w:tcBorders>
              <w:top w:val="nil"/>
              <w:left w:val="single" w:sz="18" w:space="0" w:color="5F497A" w:themeColor="accent4" w:themeShade="BF"/>
              <w:bottom w:val="nil"/>
              <w:right w:val="nil"/>
            </w:tcBorders>
            <w:vAlign w:val="bottom"/>
          </w:tcPr>
          <w:p w14:paraId="2932873E" w14:textId="47D73AC4" w:rsidR="00143DD0" w:rsidRPr="001D41EA" w:rsidRDefault="00143DD0" w:rsidP="00143DD0">
            <w:pPr>
              <w:spacing w:before="40" w:after="40"/>
              <w:jc w:val="right"/>
              <w:rPr>
                <w:rFonts w:cs="Arial"/>
                <w:sz w:val="18"/>
                <w:szCs w:val="18"/>
              </w:rPr>
            </w:pPr>
            <w:r w:rsidRPr="001D41EA">
              <w:rPr>
                <w:rFonts w:cs="Arial"/>
                <w:sz w:val="18"/>
                <w:szCs w:val="18"/>
              </w:rPr>
              <w:t>195</w:t>
            </w:r>
          </w:p>
        </w:tc>
        <w:tc>
          <w:tcPr>
            <w:tcW w:w="1418" w:type="dxa"/>
            <w:tcBorders>
              <w:top w:val="nil"/>
              <w:left w:val="nil"/>
              <w:bottom w:val="nil"/>
              <w:right w:val="nil"/>
            </w:tcBorders>
            <w:vAlign w:val="bottom"/>
          </w:tcPr>
          <w:p w14:paraId="127B19B6" w14:textId="26F656E2" w:rsidR="00143DD0" w:rsidRPr="001D41EA" w:rsidRDefault="00143DD0" w:rsidP="00143DD0">
            <w:pPr>
              <w:spacing w:before="40" w:after="40"/>
              <w:jc w:val="center"/>
              <w:rPr>
                <w:rFonts w:cs="Arial"/>
                <w:sz w:val="18"/>
                <w:szCs w:val="18"/>
              </w:rPr>
            </w:pPr>
            <w:r w:rsidRPr="001D41EA">
              <w:rPr>
                <w:rFonts w:cs="Arial"/>
                <w:sz w:val="18"/>
                <w:szCs w:val="18"/>
              </w:rPr>
              <w:t>1.8</w:t>
            </w:r>
          </w:p>
        </w:tc>
        <w:tc>
          <w:tcPr>
            <w:tcW w:w="170" w:type="dxa"/>
            <w:tcBorders>
              <w:top w:val="nil"/>
              <w:left w:val="nil"/>
              <w:bottom w:val="nil"/>
              <w:right w:val="nil"/>
            </w:tcBorders>
            <w:vAlign w:val="bottom"/>
          </w:tcPr>
          <w:p w14:paraId="179619D6" w14:textId="536FE23C"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7469DB7D" w14:textId="4C6498A9" w:rsidR="00143DD0" w:rsidRPr="001D41EA" w:rsidRDefault="00143DD0" w:rsidP="00143DD0">
            <w:pPr>
              <w:spacing w:before="40" w:after="40"/>
              <w:jc w:val="center"/>
              <w:rPr>
                <w:rFonts w:cs="Arial"/>
                <w:sz w:val="18"/>
                <w:szCs w:val="18"/>
              </w:rPr>
            </w:pPr>
            <w:r w:rsidRPr="00143DD0">
              <w:rPr>
                <w:rFonts w:cs="Arial"/>
                <w:sz w:val="18"/>
                <w:szCs w:val="18"/>
              </w:rPr>
              <w:t>0.3</w:t>
            </w:r>
          </w:p>
        </w:tc>
        <w:tc>
          <w:tcPr>
            <w:tcW w:w="1418" w:type="dxa"/>
            <w:tcBorders>
              <w:top w:val="nil"/>
              <w:left w:val="nil"/>
              <w:bottom w:val="nil"/>
              <w:right w:val="nil"/>
            </w:tcBorders>
            <w:shd w:val="clear" w:color="auto" w:fill="auto"/>
            <w:vAlign w:val="bottom"/>
          </w:tcPr>
          <w:p w14:paraId="1C1645D2" w14:textId="6AC7CADA" w:rsidR="00143DD0" w:rsidRPr="001D41EA" w:rsidRDefault="00143DD0" w:rsidP="00143DD0">
            <w:pPr>
              <w:spacing w:before="40" w:after="40"/>
              <w:jc w:val="right"/>
              <w:rPr>
                <w:rFonts w:cs="Arial"/>
                <w:sz w:val="18"/>
                <w:szCs w:val="18"/>
              </w:rPr>
            </w:pPr>
            <w:r w:rsidRPr="001D41EA">
              <w:rPr>
                <w:rFonts w:cs="Arial"/>
                <w:sz w:val="18"/>
                <w:szCs w:val="18"/>
              </w:rPr>
              <w:t>15.68</w:t>
            </w:r>
          </w:p>
        </w:tc>
      </w:tr>
      <w:tr w:rsidR="00143DD0" w:rsidRPr="001D41EA" w14:paraId="02F39147"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2F67204" w14:textId="77777777" w:rsidR="00143DD0" w:rsidRPr="001D41EA" w:rsidRDefault="00143DD0" w:rsidP="00143DD0">
            <w:pPr>
              <w:spacing w:before="40" w:after="40"/>
              <w:rPr>
                <w:rFonts w:cs="Arial"/>
                <w:sz w:val="18"/>
                <w:szCs w:val="18"/>
              </w:rPr>
            </w:pPr>
            <w:r w:rsidRPr="001D41EA">
              <w:rPr>
                <w:rFonts w:cs="Arial"/>
                <w:sz w:val="18"/>
                <w:szCs w:val="18"/>
              </w:rPr>
              <w:t>Glen Eira C</w:t>
            </w:r>
          </w:p>
        </w:tc>
        <w:tc>
          <w:tcPr>
            <w:tcW w:w="1418" w:type="dxa"/>
            <w:tcBorders>
              <w:top w:val="nil"/>
              <w:left w:val="single" w:sz="18" w:space="0" w:color="5F497A" w:themeColor="accent4" w:themeShade="BF"/>
              <w:bottom w:val="nil"/>
              <w:right w:val="nil"/>
            </w:tcBorders>
            <w:vAlign w:val="bottom"/>
          </w:tcPr>
          <w:p w14:paraId="4380B595" w14:textId="0DBDEBFC" w:rsidR="00143DD0" w:rsidRPr="001D41EA" w:rsidRDefault="00143DD0" w:rsidP="00143DD0">
            <w:pPr>
              <w:spacing w:before="40" w:after="40"/>
              <w:jc w:val="right"/>
              <w:rPr>
                <w:rFonts w:cs="Arial"/>
                <w:sz w:val="18"/>
                <w:szCs w:val="18"/>
              </w:rPr>
            </w:pPr>
            <w:r w:rsidRPr="001D41EA">
              <w:rPr>
                <w:rFonts w:cs="Arial"/>
                <w:sz w:val="18"/>
                <w:szCs w:val="18"/>
              </w:rPr>
              <w:t>256</w:t>
            </w:r>
          </w:p>
        </w:tc>
        <w:tc>
          <w:tcPr>
            <w:tcW w:w="1418" w:type="dxa"/>
            <w:tcBorders>
              <w:top w:val="nil"/>
              <w:left w:val="nil"/>
              <w:bottom w:val="nil"/>
              <w:right w:val="nil"/>
            </w:tcBorders>
            <w:vAlign w:val="bottom"/>
          </w:tcPr>
          <w:p w14:paraId="3BC2DC77" w14:textId="4A12CD7B" w:rsidR="00143DD0" w:rsidRPr="001D41EA" w:rsidRDefault="00143DD0" w:rsidP="00143DD0">
            <w:pPr>
              <w:spacing w:before="40" w:after="40"/>
              <w:jc w:val="center"/>
              <w:rPr>
                <w:rFonts w:cs="Arial"/>
                <w:sz w:val="18"/>
                <w:szCs w:val="18"/>
              </w:rPr>
            </w:pPr>
            <w:r w:rsidRPr="001D41EA">
              <w:rPr>
                <w:rFonts w:cs="Arial"/>
                <w:sz w:val="18"/>
                <w:szCs w:val="18"/>
              </w:rPr>
              <w:t>0.2</w:t>
            </w:r>
          </w:p>
        </w:tc>
        <w:tc>
          <w:tcPr>
            <w:tcW w:w="170" w:type="dxa"/>
            <w:tcBorders>
              <w:top w:val="nil"/>
              <w:left w:val="nil"/>
              <w:bottom w:val="nil"/>
              <w:right w:val="nil"/>
            </w:tcBorders>
            <w:vAlign w:val="bottom"/>
          </w:tcPr>
          <w:p w14:paraId="3D9088B6" w14:textId="4E61C498"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6CD992E5" w14:textId="49CA00FC" w:rsidR="00143DD0" w:rsidRPr="001D41EA" w:rsidRDefault="00143DD0" w:rsidP="00143DD0">
            <w:pPr>
              <w:spacing w:before="40" w:after="40"/>
              <w:jc w:val="center"/>
              <w:rPr>
                <w:rFonts w:cs="Arial"/>
                <w:sz w:val="18"/>
                <w:szCs w:val="18"/>
              </w:rPr>
            </w:pPr>
            <w:r w:rsidRPr="00143DD0">
              <w:rPr>
                <w:rFonts w:cs="Arial"/>
                <w:sz w:val="18"/>
                <w:szCs w:val="18"/>
              </w:rPr>
              <w:t>3.6</w:t>
            </w:r>
          </w:p>
        </w:tc>
        <w:tc>
          <w:tcPr>
            <w:tcW w:w="1418" w:type="dxa"/>
            <w:tcBorders>
              <w:top w:val="nil"/>
              <w:left w:val="nil"/>
              <w:bottom w:val="nil"/>
              <w:right w:val="nil"/>
            </w:tcBorders>
            <w:shd w:val="clear" w:color="auto" w:fill="auto"/>
            <w:vAlign w:val="bottom"/>
          </w:tcPr>
          <w:p w14:paraId="71E540CB" w14:textId="36B6629A" w:rsidR="00143DD0" w:rsidRPr="001D41EA" w:rsidRDefault="00143DD0" w:rsidP="00143DD0">
            <w:pPr>
              <w:spacing w:before="40" w:after="40"/>
              <w:jc w:val="right"/>
              <w:rPr>
                <w:rFonts w:cs="Arial"/>
                <w:sz w:val="18"/>
                <w:szCs w:val="18"/>
              </w:rPr>
            </w:pPr>
            <w:r w:rsidRPr="001D41EA">
              <w:rPr>
                <w:rFonts w:cs="Arial"/>
                <w:sz w:val="18"/>
                <w:szCs w:val="18"/>
              </w:rPr>
              <w:t> </w:t>
            </w:r>
          </w:p>
        </w:tc>
      </w:tr>
      <w:tr w:rsidR="00143DD0" w:rsidRPr="001D41EA" w14:paraId="3AA7D327"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5190910" w14:textId="77777777" w:rsidR="00143DD0" w:rsidRPr="001D41EA" w:rsidRDefault="00143DD0" w:rsidP="00143DD0">
            <w:pPr>
              <w:spacing w:before="40" w:after="40"/>
              <w:rPr>
                <w:rFonts w:cs="Arial"/>
                <w:sz w:val="18"/>
                <w:szCs w:val="18"/>
              </w:rPr>
            </w:pPr>
            <w:r w:rsidRPr="001D41EA">
              <w:rPr>
                <w:rFonts w:cs="Arial"/>
                <w:sz w:val="18"/>
                <w:szCs w:val="18"/>
              </w:rPr>
              <w:t>Glenelg S</w:t>
            </w:r>
          </w:p>
        </w:tc>
        <w:tc>
          <w:tcPr>
            <w:tcW w:w="1418" w:type="dxa"/>
            <w:tcBorders>
              <w:top w:val="nil"/>
              <w:left w:val="single" w:sz="18" w:space="0" w:color="5F497A" w:themeColor="accent4" w:themeShade="BF"/>
              <w:bottom w:val="nil"/>
              <w:right w:val="nil"/>
            </w:tcBorders>
            <w:vAlign w:val="bottom"/>
          </w:tcPr>
          <w:p w14:paraId="3C7D9477" w14:textId="0DF18B89" w:rsidR="00143DD0" w:rsidRPr="001D41EA" w:rsidRDefault="00143DD0" w:rsidP="00143DD0">
            <w:pPr>
              <w:spacing w:before="40" w:after="40"/>
              <w:jc w:val="right"/>
              <w:rPr>
                <w:rFonts w:cs="Arial"/>
                <w:sz w:val="18"/>
                <w:szCs w:val="18"/>
              </w:rPr>
            </w:pPr>
            <w:r w:rsidRPr="001D41EA">
              <w:rPr>
                <w:rFonts w:cs="Arial"/>
                <w:sz w:val="18"/>
                <w:szCs w:val="18"/>
              </w:rPr>
              <w:t>478</w:t>
            </w:r>
          </w:p>
        </w:tc>
        <w:tc>
          <w:tcPr>
            <w:tcW w:w="1418" w:type="dxa"/>
            <w:tcBorders>
              <w:top w:val="nil"/>
              <w:left w:val="nil"/>
              <w:bottom w:val="nil"/>
              <w:right w:val="nil"/>
            </w:tcBorders>
            <w:vAlign w:val="bottom"/>
          </w:tcPr>
          <w:p w14:paraId="38B5680E" w14:textId="0682B53B" w:rsidR="00143DD0" w:rsidRPr="001D41EA" w:rsidRDefault="00143DD0" w:rsidP="00143DD0">
            <w:pPr>
              <w:spacing w:before="40" w:after="40"/>
              <w:jc w:val="center"/>
              <w:rPr>
                <w:rFonts w:cs="Arial"/>
                <w:sz w:val="18"/>
                <w:szCs w:val="18"/>
              </w:rPr>
            </w:pPr>
            <w:r w:rsidRPr="001D41EA">
              <w:rPr>
                <w:rFonts w:cs="Arial"/>
                <w:sz w:val="18"/>
                <w:szCs w:val="18"/>
              </w:rPr>
              <w:t>2.4</w:t>
            </w:r>
          </w:p>
        </w:tc>
        <w:tc>
          <w:tcPr>
            <w:tcW w:w="170" w:type="dxa"/>
            <w:tcBorders>
              <w:top w:val="nil"/>
              <w:left w:val="nil"/>
              <w:bottom w:val="nil"/>
              <w:right w:val="nil"/>
            </w:tcBorders>
            <w:vAlign w:val="bottom"/>
          </w:tcPr>
          <w:p w14:paraId="2265BE39" w14:textId="5F6F3D39"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343F6215" w14:textId="13CDD4F7" w:rsidR="00143DD0" w:rsidRPr="001D41EA" w:rsidRDefault="00143DD0" w:rsidP="00143DD0">
            <w:pPr>
              <w:spacing w:before="40" w:after="40"/>
              <w:jc w:val="center"/>
              <w:rPr>
                <w:rFonts w:cs="Arial"/>
                <w:sz w:val="18"/>
                <w:szCs w:val="18"/>
              </w:rPr>
            </w:pPr>
            <w:r w:rsidRPr="00143DD0">
              <w:rPr>
                <w:rFonts w:cs="Arial"/>
                <w:sz w:val="18"/>
                <w:szCs w:val="18"/>
              </w:rPr>
              <w:t>0.2</w:t>
            </w:r>
          </w:p>
        </w:tc>
        <w:tc>
          <w:tcPr>
            <w:tcW w:w="1418" w:type="dxa"/>
            <w:tcBorders>
              <w:top w:val="nil"/>
              <w:left w:val="nil"/>
              <w:bottom w:val="nil"/>
              <w:right w:val="nil"/>
            </w:tcBorders>
            <w:shd w:val="clear" w:color="auto" w:fill="auto"/>
            <w:vAlign w:val="bottom"/>
          </w:tcPr>
          <w:p w14:paraId="7EA27D24" w14:textId="3130193F" w:rsidR="00143DD0" w:rsidRPr="001D41EA" w:rsidRDefault="00143DD0" w:rsidP="00143DD0">
            <w:pPr>
              <w:spacing w:before="40" w:after="40"/>
              <w:jc w:val="right"/>
              <w:rPr>
                <w:rFonts w:cs="Arial"/>
                <w:sz w:val="18"/>
                <w:szCs w:val="18"/>
              </w:rPr>
            </w:pPr>
            <w:r w:rsidRPr="001D41EA">
              <w:rPr>
                <w:rFonts w:cs="Arial"/>
                <w:sz w:val="18"/>
                <w:szCs w:val="18"/>
              </w:rPr>
              <w:t>17.11</w:t>
            </w:r>
          </w:p>
        </w:tc>
      </w:tr>
      <w:tr w:rsidR="00143DD0" w:rsidRPr="001D41EA" w14:paraId="2D573951"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35C496C" w14:textId="77777777" w:rsidR="00143DD0" w:rsidRPr="001D41EA" w:rsidRDefault="00143DD0" w:rsidP="00143DD0">
            <w:pPr>
              <w:spacing w:before="40" w:after="40"/>
              <w:rPr>
                <w:rFonts w:cs="Arial"/>
                <w:sz w:val="18"/>
                <w:szCs w:val="18"/>
              </w:rPr>
            </w:pPr>
            <w:r w:rsidRPr="001D41EA">
              <w:rPr>
                <w:rFonts w:cs="Arial"/>
                <w:sz w:val="18"/>
                <w:szCs w:val="18"/>
              </w:rPr>
              <w:t>Golden Plains S</w:t>
            </w:r>
          </w:p>
        </w:tc>
        <w:tc>
          <w:tcPr>
            <w:tcW w:w="1418" w:type="dxa"/>
            <w:tcBorders>
              <w:top w:val="nil"/>
              <w:left w:val="single" w:sz="18" w:space="0" w:color="5F497A" w:themeColor="accent4" w:themeShade="BF"/>
              <w:bottom w:val="nil"/>
              <w:right w:val="nil"/>
            </w:tcBorders>
            <w:vAlign w:val="bottom"/>
          </w:tcPr>
          <w:p w14:paraId="16798E4D" w14:textId="1D455769" w:rsidR="00143DD0" w:rsidRPr="001D41EA" w:rsidRDefault="00143DD0" w:rsidP="00143DD0">
            <w:pPr>
              <w:spacing w:before="40" w:after="40"/>
              <w:jc w:val="right"/>
              <w:rPr>
                <w:rFonts w:cs="Arial"/>
                <w:sz w:val="18"/>
                <w:szCs w:val="18"/>
              </w:rPr>
            </w:pPr>
            <w:r w:rsidRPr="001D41EA">
              <w:rPr>
                <w:rFonts w:cs="Arial"/>
                <w:sz w:val="18"/>
                <w:szCs w:val="18"/>
              </w:rPr>
              <w:t>200</w:t>
            </w:r>
          </w:p>
        </w:tc>
        <w:tc>
          <w:tcPr>
            <w:tcW w:w="1418" w:type="dxa"/>
            <w:tcBorders>
              <w:top w:val="nil"/>
              <w:left w:val="nil"/>
              <w:bottom w:val="nil"/>
              <w:right w:val="nil"/>
            </w:tcBorders>
            <w:vAlign w:val="bottom"/>
          </w:tcPr>
          <w:p w14:paraId="5054E02F" w14:textId="0837229A" w:rsidR="00143DD0" w:rsidRPr="001D41EA" w:rsidRDefault="00143DD0" w:rsidP="00143DD0">
            <w:pPr>
              <w:spacing w:before="40" w:after="40"/>
              <w:jc w:val="center"/>
              <w:rPr>
                <w:rFonts w:cs="Arial"/>
                <w:sz w:val="18"/>
                <w:szCs w:val="18"/>
              </w:rPr>
            </w:pPr>
            <w:r w:rsidRPr="001D41EA">
              <w:rPr>
                <w:rFonts w:cs="Arial"/>
                <w:sz w:val="18"/>
                <w:szCs w:val="18"/>
              </w:rPr>
              <w:t>0.9</w:t>
            </w:r>
          </w:p>
        </w:tc>
        <w:tc>
          <w:tcPr>
            <w:tcW w:w="170" w:type="dxa"/>
            <w:tcBorders>
              <w:top w:val="nil"/>
              <w:left w:val="nil"/>
              <w:bottom w:val="nil"/>
              <w:right w:val="nil"/>
            </w:tcBorders>
            <w:vAlign w:val="bottom"/>
          </w:tcPr>
          <w:p w14:paraId="63295E76" w14:textId="46371E0D"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4519CA94" w14:textId="0B6DB1EE" w:rsidR="00143DD0" w:rsidRPr="001D41EA" w:rsidRDefault="00143DD0" w:rsidP="00143DD0">
            <w:pPr>
              <w:spacing w:before="40" w:after="40"/>
              <w:jc w:val="center"/>
              <w:rPr>
                <w:rFonts w:cs="Arial"/>
                <w:sz w:val="18"/>
                <w:szCs w:val="18"/>
              </w:rPr>
            </w:pPr>
            <w:r w:rsidRPr="00143DD0">
              <w:rPr>
                <w:rFonts w:cs="Arial"/>
                <w:sz w:val="18"/>
                <w:szCs w:val="18"/>
              </w:rPr>
              <w:t>0.2</w:t>
            </w:r>
          </w:p>
        </w:tc>
        <w:tc>
          <w:tcPr>
            <w:tcW w:w="1418" w:type="dxa"/>
            <w:tcBorders>
              <w:top w:val="nil"/>
              <w:left w:val="nil"/>
              <w:bottom w:val="nil"/>
              <w:right w:val="nil"/>
            </w:tcBorders>
            <w:shd w:val="clear" w:color="auto" w:fill="auto"/>
            <w:vAlign w:val="bottom"/>
          </w:tcPr>
          <w:p w14:paraId="097D7752" w14:textId="53FDE997" w:rsidR="00143DD0" w:rsidRPr="001D41EA" w:rsidRDefault="00143DD0" w:rsidP="00143DD0">
            <w:pPr>
              <w:spacing w:before="40" w:after="40"/>
              <w:jc w:val="right"/>
              <w:rPr>
                <w:rFonts w:cs="Arial"/>
                <w:sz w:val="18"/>
                <w:szCs w:val="18"/>
              </w:rPr>
            </w:pPr>
            <w:r w:rsidRPr="001D41EA">
              <w:rPr>
                <w:rFonts w:cs="Arial"/>
                <w:sz w:val="18"/>
                <w:szCs w:val="18"/>
              </w:rPr>
              <w:t>14.95</w:t>
            </w:r>
          </w:p>
        </w:tc>
      </w:tr>
      <w:tr w:rsidR="00143DD0" w:rsidRPr="001D41EA" w14:paraId="1D503BE9"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63E9891" w14:textId="77777777" w:rsidR="00143DD0" w:rsidRPr="001D41EA" w:rsidRDefault="00143DD0" w:rsidP="00143DD0">
            <w:pPr>
              <w:spacing w:before="40" w:after="40"/>
              <w:rPr>
                <w:rFonts w:cs="Arial"/>
                <w:sz w:val="18"/>
                <w:szCs w:val="18"/>
              </w:rPr>
            </w:pPr>
            <w:r w:rsidRPr="001D41EA">
              <w:rPr>
                <w:rFonts w:cs="Arial"/>
                <w:sz w:val="18"/>
                <w:szCs w:val="18"/>
              </w:rPr>
              <w:t>Greater Bendigo C</w:t>
            </w:r>
          </w:p>
        </w:tc>
        <w:tc>
          <w:tcPr>
            <w:tcW w:w="1418" w:type="dxa"/>
            <w:tcBorders>
              <w:top w:val="nil"/>
              <w:left w:val="single" w:sz="18" w:space="0" w:color="5F497A" w:themeColor="accent4" w:themeShade="BF"/>
              <w:bottom w:val="nil"/>
              <w:right w:val="nil"/>
            </w:tcBorders>
            <w:vAlign w:val="bottom"/>
          </w:tcPr>
          <w:p w14:paraId="2A6FB8BC" w14:textId="4EF72996" w:rsidR="00143DD0" w:rsidRPr="001D41EA" w:rsidRDefault="00143DD0" w:rsidP="00143DD0">
            <w:pPr>
              <w:spacing w:before="40" w:after="40"/>
              <w:jc w:val="right"/>
              <w:rPr>
                <w:rFonts w:cs="Arial"/>
                <w:sz w:val="18"/>
                <w:szCs w:val="18"/>
              </w:rPr>
            </w:pPr>
            <w:r w:rsidRPr="001D41EA">
              <w:rPr>
                <w:rFonts w:cs="Arial"/>
                <w:sz w:val="18"/>
                <w:szCs w:val="18"/>
              </w:rPr>
              <w:t>1,843</w:t>
            </w:r>
          </w:p>
        </w:tc>
        <w:tc>
          <w:tcPr>
            <w:tcW w:w="1418" w:type="dxa"/>
            <w:tcBorders>
              <w:top w:val="nil"/>
              <w:left w:val="nil"/>
              <w:bottom w:val="nil"/>
              <w:right w:val="nil"/>
            </w:tcBorders>
            <w:vAlign w:val="bottom"/>
          </w:tcPr>
          <w:p w14:paraId="1B0ED7C5" w14:textId="7B033043" w:rsidR="00143DD0" w:rsidRPr="001D41EA" w:rsidRDefault="00143DD0" w:rsidP="00143DD0">
            <w:pPr>
              <w:spacing w:before="40" w:after="40"/>
              <w:jc w:val="center"/>
              <w:rPr>
                <w:rFonts w:cs="Arial"/>
                <w:sz w:val="18"/>
                <w:szCs w:val="18"/>
              </w:rPr>
            </w:pPr>
            <w:r w:rsidRPr="001D41EA">
              <w:rPr>
                <w:rFonts w:cs="Arial"/>
                <w:sz w:val="18"/>
                <w:szCs w:val="18"/>
              </w:rPr>
              <w:t>1.7</w:t>
            </w:r>
          </w:p>
        </w:tc>
        <w:tc>
          <w:tcPr>
            <w:tcW w:w="170" w:type="dxa"/>
            <w:tcBorders>
              <w:top w:val="nil"/>
              <w:left w:val="nil"/>
              <w:bottom w:val="nil"/>
              <w:right w:val="nil"/>
            </w:tcBorders>
            <w:vAlign w:val="bottom"/>
          </w:tcPr>
          <w:p w14:paraId="23786162" w14:textId="445F7333"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5C3CA4A6" w14:textId="2D4C4BA3" w:rsidR="00143DD0" w:rsidRPr="001D41EA" w:rsidRDefault="00143DD0" w:rsidP="00143DD0">
            <w:pPr>
              <w:spacing w:before="40" w:after="40"/>
              <w:jc w:val="center"/>
              <w:rPr>
                <w:rFonts w:cs="Arial"/>
                <w:sz w:val="18"/>
                <w:szCs w:val="18"/>
              </w:rPr>
            </w:pPr>
            <w:r w:rsidRPr="00143DD0">
              <w:rPr>
                <w:rFonts w:cs="Arial"/>
                <w:sz w:val="18"/>
                <w:szCs w:val="18"/>
              </w:rPr>
              <w:t>0.9</w:t>
            </w:r>
          </w:p>
        </w:tc>
        <w:tc>
          <w:tcPr>
            <w:tcW w:w="1418" w:type="dxa"/>
            <w:tcBorders>
              <w:top w:val="nil"/>
              <w:left w:val="nil"/>
              <w:bottom w:val="nil"/>
              <w:right w:val="nil"/>
            </w:tcBorders>
            <w:shd w:val="clear" w:color="auto" w:fill="auto"/>
            <w:vAlign w:val="bottom"/>
          </w:tcPr>
          <w:p w14:paraId="1D85490D" w14:textId="7007B998" w:rsidR="00143DD0" w:rsidRPr="001D41EA" w:rsidRDefault="00143DD0" w:rsidP="00143DD0">
            <w:pPr>
              <w:spacing w:before="40" w:after="40"/>
              <w:jc w:val="right"/>
              <w:rPr>
                <w:rFonts w:cs="Arial"/>
                <w:sz w:val="18"/>
                <w:szCs w:val="18"/>
              </w:rPr>
            </w:pPr>
            <w:r w:rsidRPr="001D41EA">
              <w:rPr>
                <w:rFonts w:cs="Arial"/>
                <w:sz w:val="18"/>
                <w:szCs w:val="18"/>
              </w:rPr>
              <w:t>3.22</w:t>
            </w:r>
          </w:p>
        </w:tc>
      </w:tr>
      <w:tr w:rsidR="00143DD0" w:rsidRPr="001D41EA" w14:paraId="2600177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A17185C" w14:textId="77777777" w:rsidR="00143DD0" w:rsidRPr="001D41EA" w:rsidRDefault="00143DD0" w:rsidP="00143DD0">
            <w:pPr>
              <w:spacing w:before="40" w:after="40"/>
              <w:rPr>
                <w:rFonts w:cs="Arial"/>
                <w:sz w:val="18"/>
                <w:szCs w:val="18"/>
              </w:rPr>
            </w:pPr>
            <w:r w:rsidRPr="001D41EA">
              <w:rPr>
                <w:rFonts w:cs="Arial"/>
                <w:sz w:val="18"/>
                <w:szCs w:val="18"/>
              </w:rPr>
              <w:t>Greater Dandenong C</w:t>
            </w:r>
          </w:p>
        </w:tc>
        <w:tc>
          <w:tcPr>
            <w:tcW w:w="1418" w:type="dxa"/>
            <w:tcBorders>
              <w:top w:val="nil"/>
              <w:left w:val="single" w:sz="18" w:space="0" w:color="5F497A" w:themeColor="accent4" w:themeShade="BF"/>
              <w:bottom w:val="nil"/>
              <w:right w:val="nil"/>
            </w:tcBorders>
            <w:vAlign w:val="bottom"/>
          </w:tcPr>
          <w:p w14:paraId="530E5C89" w14:textId="7367EE55" w:rsidR="00143DD0" w:rsidRPr="001D41EA" w:rsidRDefault="00143DD0" w:rsidP="00143DD0">
            <w:pPr>
              <w:spacing w:before="40" w:after="40"/>
              <w:jc w:val="right"/>
              <w:rPr>
                <w:rFonts w:cs="Arial"/>
                <w:sz w:val="18"/>
                <w:szCs w:val="18"/>
              </w:rPr>
            </w:pPr>
            <w:r w:rsidRPr="001D41EA">
              <w:rPr>
                <w:rFonts w:cs="Arial"/>
                <w:sz w:val="18"/>
                <w:szCs w:val="18"/>
              </w:rPr>
              <w:t>511</w:t>
            </w:r>
          </w:p>
        </w:tc>
        <w:tc>
          <w:tcPr>
            <w:tcW w:w="1418" w:type="dxa"/>
            <w:tcBorders>
              <w:top w:val="nil"/>
              <w:left w:val="nil"/>
              <w:bottom w:val="nil"/>
              <w:right w:val="nil"/>
            </w:tcBorders>
            <w:vAlign w:val="bottom"/>
          </w:tcPr>
          <w:p w14:paraId="6900C8D0" w14:textId="752F254B" w:rsidR="00143DD0" w:rsidRPr="001D41EA" w:rsidRDefault="00143DD0" w:rsidP="00143DD0">
            <w:pPr>
              <w:spacing w:before="40" w:after="40"/>
              <w:jc w:val="center"/>
              <w:rPr>
                <w:rFonts w:cs="Arial"/>
                <w:sz w:val="18"/>
                <w:szCs w:val="18"/>
              </w:rPr>
            </w:pPr>
            <w:r w:rsidRPr="001D41EA">
              <w:rPr>
                <w:rFonts w:cs="Arial"/>
                <w:sz w:val="18"/>
                <w:szCs w:val="18"/>
              </w:rPr>
              <w:t>0.3</w:t>
            </w:r>
          </w:p>
        </w:tc>
        <w:tc>
          <w:tcPr>
            <w:tcW w:w="170" w:type="dxa"/>
            <w:tcBorders>
              <w:top w:val="nil"/>
              <w:left w:val="nil"/>
              <w:bottom w:val="nil"/>
              <w:right w:val="nil"/>
            </w:tcBorders>
            <w:vAlign w:val="bottom"/>
          </w:tcPr>
          <w:p w14:paraId="5E24B39E" w14:textId="2CB6962C"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410BAF5B" w14:textId="574D3112" w:rsidR="00143DD0" w:rsidRPr="001D41EA" w:rsidRDefault="00143DD0" w:rsidP="00143DD0">
            <w:pPr>
              <w:spacing w:before="40" w:after="40"/>
              <w:jc w:val="center"/>
              <w:rPr>
                <w:rFonts w:cs="Arial"/>
                <w:sz w:val="18"/>
                <w:szCs w:val="18"/>
              </w:rPr>
            </w:pPr>
            <w:r w:rsidRPr="00143DD0">
              <w:rPr>
                <w:rFonts w:cs="Arial"/>
                <w:sz w:val="18"/>
                <w:szCs w:val="18"/>
              </w:rPr>
              <w:t>13.7</w:t>
            </w:r>
          </w:p>
        </w:tc>
        <w:tc>
          <w:tcPr>
            <w:tcW w:w="1418" w:type="dxa"/>
            <w:tcBorders>
              <w:top w:val="nil"/>
              <w:left w:val="nil"/>
              <w:bottom w:val="nil"/>
              <w:right w:val="nil"/>
            </w:tcBorders>
            <w:shd w:val="clear" w:color="auto" w:fill="auto"/>
            <w:vAlign w:val="bottom"/>
          </w:tcPr>
          <w:p w14:paraId="785312AB" w14:textId="25C04777" w:rsidR="00143DD0" w:rsidRPr="001D41EA" w:rsidRDefault="00143DD0" w:rsidP="00143DD0">
            <w:pPr>
              <w:spacing w:before="40" w:after="40"/>
              <w:jc w:val="right"/>
              <w:rPr>
                <w:rFonts w:cs="Arial"/>
                <w:sz w:val="18"/>
                <w:szCs w:val="18"/>
              </w:rPr>
            </w:pPr>
            <w:r w:rsidRPr="001D41EA">
              <w:rPr>
                <w:rFonts w:cs="Arial"/>
                <w:sz w:val="18"/>
                <w:szCs w:val="18"/>
              </w:rPr>
              <w:t> </w:t>
            </w:r>
          </w:p>
        </w:tc>
      </w:tr>
      <w:tr w:rsidR="00143DD0" w:rsidRPr="001D41EA" w14:paraId="21BD896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C90247D" w14:textId="77777777" w:rsidR="00143DD0" w:rsidRPr="001D41EA" w:rsidRDefault="00143DD0" w:rsidP="00143DD0">
            <w:pPr>
              <w:spacing w:before="40" w:after="40"/>
              <w:rPr>
                <w:rFonts w:cs="Arial"/>
                <w:sz w:val="18"/>
                <w:szCs w:val="18"/>
              </w:rPr>
            </w:pPr>
            <w:r w:rsidRPr="001D41EA">
              <w:rPr>
                <w:rFonts w:cs="Arial"/>
                <w:sz w:val="18"/>
                <w:szCs w:val="18"/>
              </w:rPr>
              <w:t>Greater Geelong C</w:t>
            </w:r>
          </w:p>
        </w:tc>
        <w:tc>
          <w:tcPr>
            <w:tcW w:w="1418" w:type="dxa"/>
            <w:tcBorders>
              <w:top w:val="nil"/>
              <w:left w:val="single" w:sz="18" w:space="0" w:color="5F497A" w:themeColor="accent4" w:themeShade="BF"/>
              <w:bottom w:val="nil"/>
              <w:right w:val="nil"/>
            </w:tcBorders>
            <w:vAlign w:val="bottom"/>
          </w:tcPr>
          <w:p w14:paraId="70D4B276" w14:textId="5C826430" w:rsidR="00143DD0" w:rsidRPr="001D41EA" w:rsidRDefault="00143DD0" w:rsidP="00143DD0">
            <w:pPr>
              <w:spacing w:before="40" w:after="40"/>
              <w:jc w:val="right"/>
              <w:rPr>
                <w:rFonts w:cs="Arial"/>
                <w:sz w:val="18"/>
                <w:szCs w:val="18"/>
              </w:rPr>
            </w:pPr>
            <w:r w:rsidRPr="001D41EA">
              <w:rPr>
                <w:rFonts w:cs="Arial"/>
                <w:sz w:val="18"/>
                <w:szCs w:val="18"/>
              </w:rPr>
              <w:t>2,402</w:t>
            </w:r>
          </w:p>
        </w:tc>
        <w:tc>
          <w:tcPr>
            <w:tcW w:w="1418" w:type="dxa"/>
            <w:tcBorders>
              <w:top w:val="nil"/>
              <w:left w:val="nil"/>
              <w:bottom w:val="nil"/>
              <w:right w:val="nil"/>
            </w:tcBorders>
            <w:vAlign w:val="bottom"/>
          </w:tcPr>
          <w:p w14:paraId="2ACF5E2B" w14:textId="114A7BFA" w:rsidR="00143DD0" w:rsidRPr="001D41EA" w:rsidRDefault="00143DD0" w:rsidP="00143DD0">
            <w:pPr>
              <w:spacing w:before="40" w:after="40"/>
              <w:jc w:val="center"/>
              <w:rPr>
                <w:rFonts w:cs="Arial"/>
                <w:sz w:val="18"/>
                <w:szCs w:val="18"/>
              </w:rPr>
            </w:pPr>
            <w:r w:rsidRPr="001D41EA">
              <w:rPr>
                <w:rFonts w:cs="Arial"/>
                <w:sz w:val="18"/>
                <w:szCs w:val="18"/>
              </w:rPr>
              <w:t>1.0</w:t>
            </w:r>
          </w:p>
        </w:tc>
        <w:tc>
          <w:tcPr>
            <w:tcW w:w="170" w:type="dxa"/>
            <w:tcBorders>
              <w:top w:val="nil"/>
              <w:left w:val="nil"/>
              <w:bottom w:val="nil"/>
              <w:right w:val="nil"/>
            </w:tcBorders>
            <w:vAlign w:val="bottom"/>
          </w:tcPr>
          <w:p w14:paraId="705C507D" w14:textId="7182E6EE"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2088C672" w14:textId="575FE3C1" w:rsidR="00143DD0" w:rsidRPr="001D41EA" w:rsidRDefault="00143DD0" w:rsidP="00143DD0">
            <w:pPr>
              <w:spacing w:before="40" w:after="40"/>
              <w:jc w:val="center"/>
              <w:rPr>
                <w:rFonts w:cs="Arial"/>
                <w:sz w:val="18"/>
                <w:szCs w:val="18"/>
              </w:rPr>
            </w:pPr>
            <w:r w:rsidRPr="00143DD0">
              <w:rPr>
                <w:rFonts w:cs="Arial"/>
                <w:sz w:val="18"/>
                <w:szCs w:val="18"/>
              </w:rPr>
              <w:t>1.4</w:t>
            </w:r>
          </w:p>
        </w:tc>
        <w:tc>
          <w:tcPr>
            <w:tcW w:w="1418" w:type="dxa"/>
            <w:tcBorders>
              <w:top w:val="nil"/>
              <w:left w:val="nil"/>
              <w:bottom w:val="nil"/>
              <w:right w:val="nil"/>
            </w:tcBorders>
            <w:shd w:val="clear" w:color="auto" w:fill="auto"/>
            <w:vAlign w:val="bottom"/>
          </w:tcPr>
          <w:p w14:paraId="3A31C0C8" w14:textId="11C18DA6" w:rsidR="00143DD0" w:rsidRPr="001D41EA" w:rsidRDefault="00143DD0" w:rsidP="00143DD0">
            <w:pPr>
              <w:spacing w:before="40" w:after="40"/>
              <w:jc w:val="right"/>
              <w:rPr>
                <w:rFonts w:cs="Arial"/>
                <w:sz w:val="18"/>
                <w:szCs w:val="18"/>
              </w:rPr>
            </w:pPr>
            <w:r w:rsidRPr="001D41EA">
              <w:rPr>
                <w:rFonts w:cs="Arial"/>
                <w:sz w:val="18"/>
                <w:szCs w:val="18"/>
              </w:rPr>
              <w:t>6.46</w:t>
            </w:r>
          </w:p>
        </w:tc>
      </w:tr>
      <w:tr w:rsidR="00143DD0" w:rsidRPr="001D41EA" w14:paraId="3E15F755"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F4E1374" w14:textId="77777777" w:rsidR="00143DD0" w:rsidRPr="001D41EA" w:rsidRDefault="00143DD0" w:rsidP="00143DD0">
            <w:pPr>
              <w:spacing w:before="40" w:after="40"/>
              <w:rPr>
                <w:rFonts w:cs="Arial"/>
                <w:sz w:val="18"/>
                <w:szCs w:val="18"/>
              </w:rPr>
            </w:pPr>
            <w:r w:rsidRPr="001D41EA">
              <w:rPr>
                <w:rFonts w:cs="Arial"/>
                <w:sz w:val="18"/>
                <w:szCs w:val="18"/>
              </w:rPr>
              <w:t>Greater Shepparton C</w:t>
            </w:r>
          </w:p>
        </w:tc>
        <w:tc>
          <w:tcPr>
            <w:tcW w:w="1418" w:type="dxa"/>
            <w:tcBorders>
              <w:top w:val="nil"/>
              <w:left w:val="single" w:sz="18" w:space="0" w:color="5F497A" w:themeColor="accent4" w:themeShade="BF"/>
              <w:bottom w:val="nil"/>
              <w:right w:val="nil"/>
            </w:tcBorders>
            <w:vAlign w:val="bottom"/>
          </w:tcPr>
          <w:p w14:paraId="714D48D1" w14:textId="4963DEFD" w:rsidR="00143DD0" w:rsidRPr="001D41EA" w:rsidRDefault="00143DD0" w:rsidP="00143DD0">
            <w:pPr>
              <w:spacing w:before="40" w:after="40"/>
              <w:jc w:val="right"/>
              <w:rPr>
                <w:rFonts w:cs="Arial"/>
                <w:sz w:val="18"/>
                <w:szCs w:val="18"/>
              </w:rPr>
            </w:pPr>
            <w:r w:rsidRPr="001D41EA">
              <w:rPr>
                <w:rFonts w:cs="Arial"/>
                <w:sz w:val="18"/>
                <w:szCs w:val="18"/>
              </w:rPr>
              <w:t>2,185</w:t>
            </w:r>
          </w:p>
        </w:tc>
        <w:tc>
          <w:tcPr>
            <w:tcW w:w="1418" w:type="dxa"/>
            <w:tcBorders>
              <w:top w:val="nil"/>
              <w:left w:val="nil"/>
              <w:bottom w:val="nil"/>
              <w:right w:val="nil"/>
            </w:tcBorders>
            <w:vAlign w:val="bottom"/>
          </w:tcPr>
          <w:p w14:paraId="3CEF678C" w14:textId="176E66E8" w:rsidR="00143DD0" w:rsidRPr="001D41EA" w:rsidRDefault="00143DD0" w:rsidP="00143DD0">
            <w:pPr>
              <w:spacing w:before="40" w:after="40"/>
              <w:jc w:val="center"/>
              <w:rPr>
                <w:rFonts w:cs="Arial"/>
                <w:sz w:val="18"/>
                <w:szCs w:val="18"/>
              </w:rPr>
            </w:pPr>
            <w:r w:rsidRPr="001D41EA">
              <w:rPr>
                <w:rFonts w:cs="Arial"/>
                <w:sz w:val="18"/>
                <w:szCs w:val="18"/>
              </w:rPr>
              <w:t>3.4</w:t>
            </w:r>
          </w:p>
        </w:tc>
        <w:tc>
          <w:tcPr>
            <w:tcW w:w="170" w:type="dxa"/>
            <w:tcBorders>
              <w:top w:val="nil"/>
              <w:left w:val="nil"/>
              <w:bottom w:val="nil"/>
              <w:right w:val="nil"/>
            </w:tcBorders>
            <w:vAlign w:val="bottom"/>
          </w:tcPr>
          <w:p w14:paraId="476435CF" w14:textId="016E8157"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6A7118C5" w14:textId="6DDB358D" w:rsidR="00143DD0" w:rsidRPr="001D41EA" w:rsidRDefault="00143DD0" w:rsidP="00143DD0">
            <w:pPr>
              <w:spacing w:before="40" w:after="40"/>
              <w:jc w:val="center"/>
              <w:rPr>
                <w:rFonts w:cs="Arial"/>
                <w:sz w:val="18"/>
                <w:szCs w:val="18"/>
              </w:rPr>
            </w:pPr>
            <w:r w:rsidRPr="00143DD0">
              <w:rPr>
                <w:rFonts w:cs="Arial"/>
                <w:sz w:val="18"/>
                <w:szCs w:val="18"/>
              </w:rPr>
              <w:t>2.8</w:t>
            </w:r>
          </w:p>
        </w:tc>
        <w:tc>
          <w:tcPr>
            <w:tcW w:w="1418" w:type="dxa"/>
            <w:tcBorders>
              <w:top w:val="nil"/>
              <w:left w:val="nil"/>
              <w:bottom w:val="nil"/>
              <w:right w:val="nil"/>
            </w:tcBorders>
            <w:shd w:val="clear" w:color="auto" w:fill="auto"/>
            <w:vAlign w:val="bottom"/>
          </w:tcPr>
          <w:p w14:paraId="0FD01DDA" w14:textId="39DF64A6" w:rsidR="00143DD0" w:rsidRPr="001D41EA" w:rsidRDefault="00143DD0" w:rsidP="00143DD0">
            <w:pPr>
              <w:spacing w:before="40" w:after="40"/>
              <w:jc w:val="right"/>
              <w:rPr>
                <w:rFonts w:cs="Arial"/>
                <w:sz w:val="18"/>
                <w:szCs w:val="18"/>
              </w:rPr>
            </w:pPr>
            <w:r w:rsidRPr="001D41EA">
              <w:rPr>
                <w:rFonts w:cs="Arial"/>
                <w:sz w:val="18"/>
                <w:szCs w:val="18"/>
              </w:rPr>
              <w:t>4.76</w:t>
            </w:r>
          </w:p>
        </w:tc>
      </w:tr>
      <w:tr w:rsidR="00143DD0" w:rsidRPr="001D41EA" w14:paraId="6E9A2E2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BBE4820" w14:textId="77777777" w:rsidR="00143DD0" w:rsidRPr="001D41EA" w:rsidRDefault="00143DD0" w:rsidP="00143DD0">
            <w:pPr>
              <w:spacing w:before="40" w:after="40"/>
              <w:rPr>
                <w:rFonts w:cs="Arial"/>
                <w:sz w:val="18"/>
                <w:szCs w:val="18"/>
              </w:rPr>
            </w:pPr>
            <w:r w:rsidRPr="001D41EA">
              <w:rPr>
                <w:rFonts w:cs="Arial"/>
                <w:sz w:val="18"/>
                <w:szCs w:val="18"/>
              </w:rPr>
              <w:t>Hepburn S</w:t>
            </w:r>
          </w:p>
        </w:tc>
        <w:tc>
          <w:tcPr>
            <w:tcW w:w="1418" w:type="dxa"/>
            <w:tcBorders>
              <w:top w:val="nil"/>
              <w:left w:val="single" w:sz="18" w:space="0" w:color="5F497A" w:themeColor="accent4" w:themeShade="BF"/>
              <w:bottom w:val="nil"/>
              <w:right w:val="nil"/>
            </w:tcBorders>
            <w:vAlign w:val="bottom"/>
          </w:tcPr>
          <w:p w14:paraId="7DE1E211" w14:textId="4A24F7ED" w:rsidR="00143DD0" w:rsidRPr="001D41EA" w:rsidRDefault="00143DD0" w:rsidP="00143DD0">
            <w:pPr>
              <w:spacing w:before="40" w:after="40"/>
              <w:jc w:val="right"/>
              <w:rPr>
                <w:rFonts w:cs="Arial"/>
                <w:sz w:val="18"/>
                <w:szCs w:val="18"/>
              </w:rPr>
            </w:pPr>
            <w:r w:rsidRPr="001D41EA">
              <w:rPr>
                <w:rFonts w:cs="Arial"/>
                <w:sz w:val="18"/>
                <w:szCs w:val="18"/>
              </w:rPr>
              <w:t>153</w:t>
            </w:r>
          </w:p>
        </w:tc>
        <w:tc>
          <w:tcPr>
            <w:tcW w:w="1418" w:type="dxa"/>
            <w:tcBorders>
              <w:top w:val="nil"/>
              <w:left w:val="nil"/>
              <w:bottom w:val="nil"/>
              <w:right w:val="nil"/>
            </w:tcBorders>
            <w:vAlign w:val="bottom"/>
          </w:tcPr>
          <w:p w14:paraId="5DAA9C7C" w14:textId="07482980" w:rsidR="00143DD0" w:rsidRPr="001D41EA" w:rsidRDefault="00143DD0" w:rsidP="00143DD0">
            <w:pPr>
              <w:spacing w:before="40" w:after="40"/>
              <w:jc w:val="center"/>
              <w:rPr>
                <w:rFonts w:cs="Arial"/>
                <w:sz w:val="18"/>
                <w:szCs w:val="18"/>
              </w:rPr>
            </w:pPr>
            <w:r w:rsidRPr="001D41EA">
              <w:rPr>
                <w:rFonts w:cs="Arial"/>
                <w:sz w:val="18"/>
                <w:szCs w:val="18"/>
              </w:rPr>
              <w:t>1.0</w:t>
            </w:r>
          </w:p>
        </w:tc>
        <w:tc>
          <w:tcPr>
            <w:tcW w:w="170" w:type="dxa"/>
            <w:tcBorders>
              <w:top w:val="nil"/>
              <w:left w:val="nil"/>
              <w:bottom w:val="nil"/>
              <w:right w:val="nil"/>
            </w:tcBorders>
            <w:vAlign w:val="bottom"/>
          </w:tcPr>
          <w:p w14:paraId="75423A0E" w14:textId="766CC446"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08BA1257" w14:textId="29AC8116" w:rsidR="00143DD0" w:rsidRPr="001D41EA" w:rsidRDefault="00143DD0" w:rsidP="00143DD0">
            <w:pPr>
              <w:spacing w:before="40" w:after="40"/>
              <w:jc w:val="center"/>
              <w:rPr>
                <w:rFonts w:cs="Arial"/>
                <w:sz w:val="18"/>
                <w:szCs w:val="18"/>
              </w:rPr>
            </w:pPr>
            <w:r w:rsidRPr="00143DD0">
              <w:rPr>
                <w:rFonts w:cs="Arial"/>
                <w:sz w:val="18"/>
                <w:szCs w:val="18"/>
              </w:rPr>
              <w:t>0.4</w:t>
            </w:r>
          </w:p>
        </w:tc>
        <w:tc>
          <w:tcPr>
            <w:tcW w:w="1418" w:type="dxa"/>
            <w:tcBorders>
              <w:top w:val="nil"/>
              <w:left w:val="nil"/>
              <w:bottom w:val="nil"/>
              <w:right w:val="nil"/>
            </w:tcBorders>
            <w:shd w:val="clear" w:color="auto" w:fill="auto"/>
            <w:vAlign w:val="bottom"/>
          </w:tcPr>
          <w:p w14:paraId="655E52C5" w14:textId="74C2753F" w:rsidR="00143DD0" w:rsidRPr="001D41EA" w:rsidRDefault="00143DD0" w:rsidP="00143DD0">
            <w:pPr>
              <w:spacing w:before="40" w:after="40"/>
              <w:jc w:val="right"/>
              <w:rPr>
                <w:rFonts w:cs="Arial"/>
                <w:sz w:val="18"/>
                <w:szCs w:val="18"/>
              </w:rPr>
            </w:pPr>
            <w:r w:rsidRPr="001D41EA">
              <w:rPr>
                <w:rFonts w:cs="Arial"/>
                <w:sz w:val="18"/>
                <w:szCs w:val="18"/>
              </w:rPr>
              <w:t>14.67</w:t>
            </w:r>
          </w:p>
        </w:tc>
      </w:tr>
      <w:tr w:rsidR="00143DD0" w:rsidRPr="001D41EA" w14:paraId="1C9E7C0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BE8644F" w14:textId="77777777" w:rsidR="00143DD0" w:rsidRPr="001D41EA" w:rsidRDefault="00143DD0" w:rsidP="00143DD0">
            <w:pPr>
              <w:spacing w:before="40" w:after="40"/>
              <w:rPr>
                <w:rFonts w:cs="Arial"/>
                <w:sz w:val="18"/>
                <w:szCs w:val="18"/>
              </w:rPr>
            </w:pPr>
            <w:r w:rsidRPr="001D41EA">
              <w:rPr>
                <w:rFonts w:cs="Arial"/>
                <w:sz w:val="18"/>
                <w:szCs w:val="18"/>
              </w:rPr>
              <w:t>Hindmarsh S</w:t>
            </w:r>
          </w:p>
        </w:tc>
        <w:tc>
          <w:tcPr>
            <w:tcW w:w="1418" w:type="dxa"/>
            <w:tcBorders>
              <w:top w:val="nil"/>
              <w:left w:val="single" w:sz="18" w:space="0" w:color="5F497A" w:themeColor="accent4" w:themeShade="BF"/>
              <w:bottom w:val="nil"/>
              <w:right w:val="nil"/>
            </w:tcBorders>
            <w:vAlign w:val="bottom"/>
          </w:tcPr>
          <w:p w14:paraId="0D5CE6B8" w14:textId="6318E6EC" w:rsidR="00143DD0" w:rsidRPr="001D41EA" w:rsidRDefault="00143DD0" w:rsidP="00143DD0">
            <w:pPr>
              <w:spacing w:before="40" w:after="40"/>
              <w:jc w:val="right"/>
              <w:rPr>
                <w:rFonts w:cs="Arial"/>
                <w:sz w:val="18"/>
                <w:szCs w:val="18"/>
              </w:rPr>
            </w:pPr>
            <w:r w:rsidRPr="001D41EA">
              <w:rPr>
                <w:rFonts w:cs="Arial"/>
                <w:sz w:val="18"/>
                <w:szCs w:val="18"/>
              </w:rPr>
              <w:t>78</w:t>
            </w:r>
          </w:p>
        </w:tc>
        <w:tc>
          <w:tcPr>
            <w:tcW w:w="1418" w:type="dxa"/>
            <w:tcBorders>
              <w:top w:val="nil"/>
              <w:left w:val="nil"/>
              <w:bottom w:val="nil"/>
              <w:right w:val="nil"/>
            </w:tcBorders>
            <w:vAlign w:val="bottom"/>
          </w:tcPr>
          <w:p w14:paraId="400BE747" w14:textId="4D5FE172" w:rsidR="00143DD0" w:rsidRPr="001D41EA" w:rsidRDefault="00143DD0" w:rsidP="00143DD0">
            <w:pPr>
              <w:spacing w:before="40" w:after="40"/>
              <w:jc w:val="center"/>
              <w:rPr>
                <w:rFonts w:cs="Arial"/>
                <w:sz w:val="18"/>
                <w:szCs w:val="18"/>
              </w:rPr>
            </w:pPr>
            <w:r w:rsidRPr="001D41EA">
              <w:rPr>
                <w:rFonts w:cs="Arial"/>
                <w:sz w:val="18"/>
                <w:szCs w:val="18"/>
              </w:rPr>
              <w:t>1.4</w:t>
            </w:r>
          </w:p>
        </w:tc>
        <w:tc>
          <w:tcPr>
            <w:tcW w:w="170" w:type="dxa"/>
            <w:tcBorders>
              <w:top w:val="nil"/>
              <w:left w:val="nil"/>
              <w:bottom w:val="nil"/>
              <w:right w:val="nil"/>
            </w:tcBorders>
            <w:vAlign w:val="bottom"/>
          </w:tcPr>
          <w:p w14:paraId="23B45EBE" w14:textId="7258B9F6"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59A37198" w14:textId="27F45A07" w:rsidR="00143DD0" w:rsidRPr="001D41EA" w:rsidRDefault="00143DD0" w:rsidP="00143DD0">
            <w:pPr>
              <w:spacing w:before="40" w:after="40"/>
              <w:jc w:val="center"/>
              <w:rPr>
                <w:rFonts w:cs="Arial"/>
                <w:sz w:val="18"/>
                <w:szCs w:val="18"/>
              </w:rPr>
            </w:pPr>
            <w:r w:rsidRPr="00143DD0">
              <w:rPr>
                <w:rFonts w:cs="Arial"/>
                <w:sz w:val="18"/>
                <w:szCs w:val="18"/>
              </w:rPr>
              <w:t>1.5</w:t>
            </w:r>
          </w:p>
        </w:tc>
        <w:tc>
          <w:tcPr>
            <w:tcW w:w="1418" w:type="dxa"/>
            <w:tcBorders>
              <w:top w:val="nil"/>
              <w:left w:val="nil"/>
              <w:bottom w:val="nil"/>
              <w:right w:val="nil"/>
            </w:tcBorders>
            <w:shd w:val="clear" w:color="auto" w:fill="auto"/>
            <w:vAlign w:val="bottom"/>
          </w:tcPr>
          <w:p w14:paraId="6E49B480" w14:textId="32747AFA" w:rsidR="00143DD0" w:rsidRPr="001D41EA" w:rsidRDefault="00143DD0" w:rsidP="00143DD0">
            <w:pPr>
              <w:spacing w:before="40" w:after="40"/>
              <w:jc w:val="right"/>
              <w:rPr>
                <w:rFonts w:cs="Arial"/>
                <w:sz w:val="18"/>
                <w:szCs w:val="18"/>
              </w:rPr>
            </w:pPr>
            <w:r w:rsidRPr="001D41EA">
              <w:rPr>
                <w:rFonts w:cs="Arial"/>
                <w:sz w:val="18"/>
                <w:szCs w:val="18"/>
              </w:rPr>
              <w:t>25.26</w:t>
            </w:r>
          </w:p>
        </w:tc>
      </w:tr>
      <w:tr w:rsidR="00143DD0" w:rsidRPr="001D41EA" w14:paraId="78AA2D76"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707DC41" w14:textId="77777777" w:rsidR="00143DD0" w:rsidRPr="001D41EA" w:rsidRDefault="00143DD0" w:rsidP="00143DD0">
            <w:pPr>
              <w:spacing w:before="40" w:after="40"/>
              <w:rPr>
                <w:rFonts w:cs="Arial"/>
                <w:sz w:val="18"/>
                <w:szCs w:val="18"/>
              </w:rPr>
            </w:pPr>
            <w:r w:rsidRPr="001D41EA">
              <w:rPr>
                <w:rFonts w:cs="Arial"/>
                <w:sz w:val="18"/>
                <w:szCs w:val="18"/>
              </w:rPr>
              <w:t>Hobsons Bay C</w:t>
            </w:r>
          </w:p>
        </w:tc>
        <w:tc>
          <w:tcPr>
            <w:tcW w:w="1418" w:type="dxa"/>
            <w:tcBorders>
              <w:top w:val="nil"/>
              <w:left w:val="single" w:sz="18" w:space="0" w:color="5F497A" w:themeColor="accent4" w:themeShade="BF"/>
              <w:bottom w:val="nil"/>
              <w:right w:val="nil"/>
            </w:tcBorders>
            <w:vAlign w:val="bottom"/>
          </w:tcPr>
          <w:p w14:paraId="53994B55" w14:textId="399E95D9" w:rsidR="00143DD0" w:rsidRPr="001D41EA" w:rsidRDefault="00143DD0" w:rsidP="00143DD0">
            <w:pPr>
              <w:spacing w:before="40" w:after="40"/>
              <w:jc w:val="right"/>
              <w:rPr>
                <w:rFonts w:cs="Arial"/>
                <w:sz w:val="18"/>
                <w:szCs w:val="18"/>
              </w:rPr>
            </w:pPr>
            <w:r w:rsidRPr="001D41EA">
              <w:rPr>
                <w:rFonts w:cs="Arial"/>
                <w:sz w:val="18"/>
                <w:szCs w:val="18"/>
              </w:rPr>
              <w:t>491</w:t>
            </w:r>
          </w:p>
        </w:tc>
        <w:tc>
          <w:tcPr>
            <w:tcW w:w="1418" w:type="dxa"/>
            <w:tcBorders>
              <w:top w:val="nil"/>
              <w:left w:val="nil"/>
              <w:bottom w:val="nil"/>
              <w:right w:val="nil"/>
            </w:tcBorders>
            <w:vAlign w:val="bottom"/>
          </w:tcPr>
          <w:p w14:paraId="3AEBCBAE" w14:textId="13E7752F" w:rsidR="00143DD0" w:rsidRPr="001D41EA" w:rsidRDefault="00143DD0" w:rsidP="00143DD0">
            <w:pPr>
              <w:spacing w:before="40" w:after="40"/>
              <w:jc w:val="center"/>
              <w:rPr>
                <w:rFonts w:cs="Arial"/>
                <w:sz w:val="18"/>
                <w:szCs w:val="18"/>
              </w:rPr>
            </w:pPr>
            <w:r w:rsidRPr="001D41EA">
              <w:rPr>
                <w:rFonts w:cs="Arial"/>
                <w:sz w:val="18"/>
                <w:szCs w:val="18"/>
              </w:rPr>
              <w:t>0.6</w:t>
            </w:r>
          </w:p>
        </w:tc>
        <w:tc>
          <w:tcPr>
            <w:tcW w:w="170" w:type="dxa"/>
            <w:tcBorders>
              <w:top w:val="nil"/>
              <w:left w:val="nil"/>
              <w:bottom w:val="nil"/>
              <w:right w:val="nil"/>
            </w:tcBorders>
            <w:vAlign w:val="bottom"/>
          </w:tcPr>
          <w:p w14:paraId="02F196D9" w14:textId="31874D43"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0934C4FF" w14:textId="677C7D18" w:rsidR="00143DD0" w:rsidRPr="001D41EA" w:rsidRDefault="00143DD0" w:rsidP="00143DD0">
            <w:pPr>
              <w:spacing w:before="40" w:after="40"/>
              <w:jc w:val="center"/>
              <w:rPr>
                <w:rFonts w:cs="Arial"/>
                <w:sz w:val="18"/>
                <w:szCs w:val="18"/>
              </w:rPr>
            </w:pPr>
            <w:r w:rsidRPr="00143DD0">
              <w:rPr>
                <w:rFonts w:cs="Arial"/>
                <w:sz w:val="18"/>
                <w:szCs w:val="18"/>
              </w:rPr>
              <w:t>4.0</w:t>
            </w:r>
          </w:p>
        </w:tc>
        <w:tc>
          <w:tcPr>
            <w:tcW w:w="1418" w:type="dxa"/>
            <w:tcBorders>
              <w:top w:val="nil"/>
              <w:left w:val="nil"/>
              <w:bottom w:val="nil"/>
              <w:right w:val="nil"/>
            </w:tcBorders>
            <w:shd w:val="clear" w:color="auto" w:fill="auto"/>
            <w:vAlign w:val="bottom"/>
          </w:tcPr>
          <w:p w14:paraId="48762D06" w14:textId="12793D93" w:rsidR="00143DD0" w:rsidRPr="001D41EA" w:rsidRDefault="00143DD0" w:rsidP="00143DD0">
            <w:pPr>
              <w:spacing w:before="40" w:after="40"/>
              <w:jc w:val="right"/>
              <w:rPr>
                <w:rFonts w:cs="Arial"/>
                <w:sz w:val="18"/>
                <w:szCs w:val="18"/>
              </w:rPr>
            </w:pPr>
            <w:r w:rsidRPr="001D41EA">
              <w:rPr>
                <w:rFonts w:cs="Arial"/>
                <w:sz w:val="18"/>
                <w:szCs w:val="18"/>
              </w:rPr>
              <w:t> </w:t>
            </w:r>
          </w:p>
        </w:tc>
      </w:tr>
      <w:tr w:rsidR="00143DD0" w:rsidRPr="001D41EA" w14:paraId="6E8FBD5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39F072C" w14:textId="77777777" w:rsidR="00143DD0" w:rsidRPr="001D41EA" w:rsidRDefault="00143DD0" w:rsidP="00143DD0">
            <w:pPr>
              <w:spacing w:before="40" w:after="40"/>
              <w:rPr>
                <w:rFonts w:cs="Arial"/>
                <w:sz w:val="18"/>
                <w:szCs w:val="18"/>
              </w:rPr>
            </w:pPr>
            <w:r w:rsidRPr="001D41EA">
              <w:rPr>
                <w:rFonts w:cs="Arial"/>
                <w:sz w:val="18"/>
                <w:szCs w:val="18"/>
              </w:rPr>
              <w:t>Horsham RC</w:t>
            </w:r>
          </w:p>
        </w:tc>
        <w:tc>
          <w:tcPr>
            <w:tcW w:w="1418" w:type="dxa"/>
            <w:tcBorders>
              <w:top w:val="nil"/>
              <w:left w:val="single" w:sz="18" w:space="0" w:color="5F497A" w:themeColor="accent4" w:themeShade="BF"/>
              <w:bottom w:val="nil"/>
              <w:right w:val="nil"/>
            </w:tcBorders>
            <w:vAlign w:val="bottom"/>
          </w:tcPr>
          <w:p w14:paraId="76E2EDD6" w14:textId="503BF676" w:rsidR="00143DD0" w:rsidRPr="001D41EA" w:rsidRDefault="00143DD0" w:rsidP="00143DD0">
            <w:pPr>
              <w:spacing w:before="40" w:after="40"/>
              <w:jc w:val="right"/>
              <w:rPr>
                <w:rFonts w:cs="Arial"/>
                <w:sz w:val="18"/>
                <w:szCs w:val="18"/>
              </w:rPr>
            </w:pPr>
            <w:r w:rsidRPr="001D41EA">
              <w:rPr>
                <w:rFonts w:cs="Arial"/>
                <w:sz w:val="18"/>
                <w:szCs w:val="18"/>
              </w:rPr>
              <w:t>298</w:t>
            </w:r>
          </w:p>
        </w:tc>
        <w:tc>
          <w:tcPr>
            <w:tcW w:w="1418" w:type="dxa"/>
            <w:tcBorders>
              <w:top w:val="nil"/>
              <w:left w:val="nil"/>
              <w:bottom w:val="nil"/>
              <w:right w:val="nil"/>
            </w:tcBorders>
            <w:vAlign w:val="bottom"/>
          </w:tcPr>
          <w:p w14:paraId="7ACB1630" w14:textId="276AE057" w:rsidR="00143DD0" w:rsidRPr="001D41EA" w:rsidRDefault="00143DD0" w:rsidP="00143DD0">
            <w:pPr>
              <w:spacing w:before="40" w:after="40"/>
              <w:jc w:val="center"/>
              <w:rPr>
                <w:rFonts w:cs="Arial"/>
                <w:sz w:val="18"/>
                <w:szCs w:val="18"/>
              </w:rPr>
            </w:pPr>
            <w:r w:rsidRPr="001D41EA">
              <w:rPr>
                <w:rFonts w:cs="Arial"/>
                <w:sz w:val="18"/>
                <w:szCs w:val="18"/>
              </w:rPr>
              <w:t>1.5</w:t>
            </w:r>
          </w:p>
        </w:tc>
        <w:tc>
          <w:tcPr>
            <w:tcW w:w="170" w:type="dxa"/>
            <w:tcBorders>
              <w:top w:val="nil"/>
              <w:left w:val="nil"/>
              <w:bottom w:val="nil"/>
              <w:right w:val="nil"/>
            </w:tcBorders>
            <w:vAlign w:val="bottom"/>
          </w:tcPr>
          <w:p w14:paraId="5C1F1B8F" w14:textId="4A2D2A6B"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30711AFC" w14:textId="5155FD59" w:rsidR="00143DD0" w:rsidRPr="001D41EA" w:rsidRDefault="00143DD0" w:rsidP="00143DD0">
            <w:pPr>
              <w:spacing w:before="40" w:after="40"/>
              <w:jc w:val="center"/>
              <w:rPr>
                <w:rFonts w:cs="Arial"/>
                <w:sz w:val="18"/>
                <w:szCs w:val="18"/>
              </w:rPr>
            </w:pPr>
            <w:r w:rsidRPr="00143DD0">
              <w:rPr>
                <w:rFonts w:cs="Arial"/>
                <w:sz w:val="18"/>
                <w:szCs w:val="18"/>
              </w:rPr>
              <w:t>0.4</w:t>
            </w:r>
          </w:p>
        </w:tc>
        <w:tc>
          <w:tcPr>
            <w:tcW w:w="1418" w:type="dxa"/>
            <w:tcBorders>
              <w:top w:val="nil"/>
              <w:left w:val="nil"/>
              <w:bottom w:val="nil"/>
              <w:right w:val="nil"/>
            </w:tcBorders>
            <w:shd w:val="clear" w:color="auto" w:fill="auto"/>
            <w:vAlign w:val="bottom"/>
          </w:tcPr>
          <w:p w14:paraId="7E250DCF" w14:textId="2A5983E7" w:rsidR="00143DD0" w:rsidRPr="001D41EA" w:rsidRDefault="00143DD0" w:rsidP="00143DD0">
            <w:pPr>
              <w:spacing w:before="40" w:after="40"/>
              <w:jc w:val="right"/>
              <w:rPr>
                <w:rFonts w:cs="Arial"/>
                <w:sz w:val="18"/>
                <w:szCs w:val="18"/>
              </w:rPr>
            </w:pPr>
            <w:r w:rsidRPr="001D41EA">
              <w:rPr>
                <w:rFonts w:cs="Arial"/>
                <w:sz w:val="18"/>
                <w:szCs w:val="18"/>
              </w:rPr>
              <w:t>3.89</w:t>
            </w:r>
          </w:p>
        </w:tc>
      </w:tr>
      <w:tr w:rsidR="00143DD0" w:rsidRPr="001D41EA" w14:paraId="22A1E2D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B6008FA" w14:textId="77777777" w:rsidR="00143DD0" w:rsidRPr="001D41EA" w:rsidRDefault="00143DD0" w:rsidP="00143DD0">
            <w:pPr>
              <w:spacing w:before="40" w:after="40"/>
              <w:rPr>
                <w:rFonts w:cs="Arial"/>
                <w:sz w:val="18"/>
                <w:szCs w:val="18"/>
              </w:rPr>
            </w:pPr>
            <w:r w:rsidRPr="001D41EA">
              <w:rPr>
                <w:rFonts w:cs="Arial"/>
                <w:sz w:val="18"/>
                <w:szCs w:val="18"/>
              </w:rPr>
              <w:t>Hume C</w:t>
            </w:r>
          </w:p>
        </w:tc>
        <w:tc>
          <w:tcPr>
            <w:tcW w:w="1418" w:type="dxa"/>
            <w:tcBorders>
              <w:top w:val="nil"/>
              <w:left w:val="single" w:sz="18" w:space="0" w:color="5F497A" w:themeColor="accent4" w:themeShade="BF"/>
              <w:bottom w:val="nil"/>
              <w:right w:val="nil"/>
            </w:tcBorders>
            <w:vAlign w:val="bottom"/>
          </w:tcPr>
          <w:p w14:paraId="4E452C38" w14:textId="4725F91A" w:rsidR="00143DD0" w:rsidRPr="001D41EA" w:rsidRDefault="00143DD0" w:rsidP="00143DD0">
            <w:pPr>
              <w:spacing w:before="40" w:after="40"/>
              <w:jc w:val="right"/>
              <w:rPr>
                <w:rFonts w:cs="Arial"/>
                <w:sz w:val="18"/>
                <w:szCs w:val="18"/>
              </w:rPr>
            </w:pPr>
            <w:r w:rsidRPr="001D41EA">
              <w:rPr>
                <w:rFonts w:cs="Arial"/>
                <w:sz w:val="18"/>
                <w:szCs w:val="18"/>
              </w:rPr>
              <w:t>1,459</w:t>
            </w:r>
          </w:p>
        </w:tc>
        <w:tc>
          <w:tcPr>
            <w:tcW w:w="1418" w:type="dxa"/>
            <w:tcBorders>
              <w:top w:val="nil"/>
              <w:left w:val="nil"/>
              <w:bottom w:val="nil"/>
              <w:right w:val="nil"/>
            </w:tcBorders>
            <w:vAlign w:val="bottom"/>
          </w:tcPr>
          <w:p w14:paraId="4EBE5289" w14:textId="16D23F87" w:rsidR="00143DD0" w:rsidRPr="001D41EA" w:rsidRDefault="00143DD0" w:rsidP="00143DD0">
            <w:pPr>
              <w:spacing w:before="40" w:after="40"/>
              <w:jc w:val="center"/>
              <w:rPr>
                <w:rFonts w:cs="Arial"/>
                <w:sz w:val="18"/>
                <w:szCs w:val="18"/>
              </w:rPr>
            </w:pPr>
            <w:r w:rsidRPr="001D41EA">
              <w:rPr>
                <w:rFonts w:cs="Arial"/>
                <w:sz w:val="18"/>
                <w:szCs w:val="18"/>
              </w:rPr>
              <w:t>0.7</w:t>
            </w:r>
          </w:p>
        </w:tc>
        <w:tc>
          <w:tcPr>
            <w:tcW w:w="170" w:type="dxa"/>
            <w:tcBorders>
              <w:top w:val="nil"/>
              <w:left w:val="nil"/>
              <w:bottom w:val="nil"/>
              <w:right w:val="nil"/>
            </w:tcBorders>
            <w:vAlign w:val="bottom"/>
          </w:tcPr>
          <w:p w14:paraId="767124B6" w14:textId="1ADBD2CC"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6D9A5D3D" w14:textId="725C9AA5" w:rsidR="00143DD0" w:rsidRPr="001D41EA" w:rsidRDefault="00143DD0" w:rsidP="00143DD0">
            <w:pPr>
              <w:spacing w:before="40" w:after="40"/>
              <w:jc w:val="center"/>
              <w:rPr>
                <w:rFonts w:cs="Arial"/>
                <w:sz w:val="18"/>
                <w:szCs w:val="18"/>
              </w:rPr>
            </w:pPr>
            <w:r w:rsidRPr="00143DD0">
              <w:rPr>
                <w:rFonts w:cs="Arial"/>
                <w:sz w:val="18"/>
                <w:szCs w:val="18"/>
              </w:rPr>
              <w:t>6.7</w:t>
            </w:r>
          </w:p>
        </w:tc>
        <w:tc>
          <w:tcPr>
            <w:tcW w:w="1418" w:type="dxa"/>
            <w:tcBorders>
              <w:top w:val="nil"/>
              <w:left w:val="nil"/>
              <w:bottom w:val="nil"/>
              <w:right w:val="nil"/>
            </w:tcBorders>
            <w:shd w:val="clear" w:color="auto" w:fill="auto"/>
            <w:vAlign w:val="bottom"/>
          </w:tcPr>
          <w:p w14:paraId="55F7E891" w14:textId="74034770" w:rsidR="00143DD0" w:rsidRPr="001D41EA" w:rsidRDefault="00143DD0" w:rsidP="00143DD0">
            <w:pPr>
              <w:spacing w:before="40" w:after="40"/>
              <w:jc w:val="right"/>
              <w:rPr>
                <w:rFonts w:cs="Arial"/>
                <w:sz w:val="18"/>
                <w:szCs w:val="18"/>
              </w:rPr>
            </w:pPr>
            <w:r w:rsidRPr="001D41EA">
              <w:rPr>
                <w:rFonts w:cs="Arial"/>
                <w:sz w:val="18"/>
                <w:szCs w:val="18"/>
              </w:rPr>
              <w:t>4.85</w:t>
            </w:r>
          </w:p>
        </w:tc>
      </w:tr>
      <w:tr w:rsidR="00143DD0" w:rsidRPr="001D41EA" w14:paraId="19AF27D1"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786FAC3" w14:textId="77777777" w:rsidR="00143DD0" w:rsidRPr="001D41EA" w:rsidRDefault="00143DD0" w:rsidP="00143DD0">
            <w:pPr>
              <w:spacing w:before="40" w:after="40"/>
              <w:rPr>
                <w:rFonts w:cs="Arial"/>
                <w:sz w:val="18"/>
                <w:szCs w:val="18"/>
              </w:rPr>
            </w:pPr>
            <w:r w:rsidRPr="001D41EA">
              <w:rPr>
                <w:rFonts w:cs="Arial"/>
                <w:sz w:val="18"/>
                <w:szCs w:val="18"/>
              </w:rPr>
              <w:t>Indigo S</w:t>
            </w:r>
          </w:p>
        </w:tc>
        <w:tc>
          <w:tcPr>
            <w:tcW w:w="1418" w:type="dxa"/>
            <w:tcBorders>
              <w:top w:val="nil"/>
              <w:left w:val="single" w:sz="18" w:space="0" w:color="5F497A" w:themeColor="accent4" w:themeShade="BF"/>
              <w:bottom w:val="nil"/>
              <w:right w:val="nil"/>
            </w:tcBorders>
            <w:vAlign w:val="bottom"/>
          </w:tcPr>
          <w:p w14:paraId="504EE354" w14:textId="3CD88ECC" w:rsidR="00143DD0" w:rsidRPr="001D41EA" w:rsidRDefault="00143DD0" w:rsidP="00143DD0">
            <w:pPr>
              <w:spacing w:before="40" w:after="40"/>
              <w:jc w:val="right"/>
              <w:rPr>
                <w:rFonts w:cs="Arial"/>
                <w:sz w:val="18"/>
                <w:szCs w:val="18"/>
              </w:rPr>
            </w:pPr>
            <w:r w:rsidRPr="001D41EA">
              <w:rPr>
                <w:rFonts w:cs="Arial"/>
                <w:sz w:val="18"/>
                <w:szCs w:val="18"/>
              </w:rPr>
              <w:t>203</w:t>
            </w:r>
          </w:p>
        </w:tc>
        <w:tc>
          <w:tcPr>
            <w:tcW w:w="1418" w:type="dxa"/>
            <w:tcBorders>
              <w:top w:val="nil"/>
              <w:left w:val="nil"/>
              <w:bottom w:val="nil"/>
              <w:right w:val="nil"/>
            </w:tcBorders>
            <w:vAlign w:val="bottom"/>
          </w:tcPr>
          <w:p w14:paraId="7D73FB35" w14:textId="5AEAEC5E" w:rsidR="00143DD0" w:rsidRPr="001D41EA" w:rsidRDefault="00143DD0" w:rsidP="00143DD0">
            <w:pPr>
              <w:spacing w:before="40" w:after="40"/>
              <w:jc w:val="center"/>
              <w:rPr>
                <w:rFonts w:cs="Arial"/>
                <w:sz w:val="18"/>
                <w:szCs w:val="18"/>
              </w:rPr>
            </w:pPr>
            <w:r w:rsidRPr="001D41EA">
              <w:rPr>
                <w:rFonts w:cs="Arial"/>
                <w:sz w:val="18"/>
                <w:szCs w:val="18"/>
              </w:rPr>
              <w:t>1.3</w:t>
            </w:r>
          </w:p>
        </w:tc>
        <w:tc>
          <w:tcPr>
            <w:tcW w:w="170" w:type="dxa"/>
            <w:tcBorders>
              <w:top w:val="nil"/>
              <w:left w:val="nil"/>
              <w:bottom w:val="nil"/>
              <w:right w:val="nil"/>
            </w:tcBorders>
            <w:vAlign w:val="bottom"/>
          </w:tcPr>
          <w:p w14:paraId="65791D75" w14:textId="017ABE33"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726BFF6C" w14:textId="1DD5AFB1" w:rsidR="00143DD0" w:rsidRPr="001D41EA" w:rsidRDefault="00143DD0" w:rsidP="00143DD0">
            <w:pPr>
              <w:spacing w:before="40" w:after="40"/>
              <w:jc w:val="center"/>
              <w:rPr>
                <w:rFonts w:cs="Arial"/>
                <w:sz w:val="18"/>
                <w:szCs w:val="18"/>
              </w:rPr>
            </w:pPr>
            <w:r w:rsidRPr="00143DD0">
              <w:rPr>
                <w:rFonts w:cs="Arial"/>
                <w:sz w:val="18"/>
                <w:szCs w:val="18"/>
              </w:rPr>
              <w:t>0.1</w:t>
            </w:r>
          </w:p>
        </w:tc>
        <w:tc>
          <w:tcPr>
            <w:tcW w:w="1418" w:type="dxa"/>
            <w:tcBorders>
              <w:top w:val="nil"/>
              <w:left w:val="nil"/>
              <w:bottom w:val="nil"/>
              <w:right w:val="nil"/>
            </w:tcBorders>
            <w:shd w:val="clear" w:color="auto" w:fill="auto"/>
            <w:vAlign w:val="bottom"/>
          </w:tcPr>
          <w:p w14:paraId="3432BDFB" w14:textId="7FB8E2F2" w:rsidR="00143DD0" w:rsidRPr="001D41EA" w:rsidRDefault="00143DD0" w:rsidP="00143DD0">
            <w:pPr>
              <w:spacing w:before="40" w:after="40"/>
              <w:jc w:val="right"/>
              <w:rPr>
                <w:rFonts w:cs="Arial"/>
                <w:sz w:val="18"/>
                <w:szCs w:val="18"/>
              </w:rPr>
            </w:pPr>
            <w:r w:rsidRPr="001D41EA">
              <w:rPr>
                <w:rFonts w:cs="Arial"/>
                <w:sz w:val="18"/>
                <w:szCs w:val="18"/>
              </w:rPr>
              <w:t>21.58</w:t>
            </w:r>
          </w:p>
        </w:tc>
      </w:tr>
      <w:tr w:rsidR="00143DD0" w:rsidRPr="001D41EA" w14:paraId="7E2EBF44"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F974A66" w14:textId="77777777" w:rsidR="00143DD0" w:rsidRPr="001D41EA" w:rsidRDefault="00143DD0" w:rsidP="00143DD0">
            <w:pPr>
              <w:spacing w:before="40" w:after="40"/>
              <w:rPr>
                <w:rFonts w:cs="Arial"/>
                <w:sz w:val="18"/>
                <w:szCs w:val="18"/>
              </w:rPr>
            </w:pPr>
            <w:r w:rsidRPr="001D41EA">
              <w:rPr>
                <w:rFonts w:cs="Arial"/>
                <w:sz w:val="18"/>
                <w:szCs w:val="18"/>
              </w:rPr>
              <w:t>Kingston C</w:t>
            </w:r>
          </w:p>
        </w:tc>
        <w:tc>
          <w:tcPr>
            <w:tcW w:w="1418" w:type="dxa"/>
            <w:tcBorders>
              <w:top w:val="nil"/>
              <w:left w:val="single" w:sz="18" w:space="0" w:color="5F497A" w:themeColor="accent4" w:themeShade="BF"/>
              <w:bottom w:val="nil"/>
              <w:right w:val="nil"/>
            </w:tcBorders>
            <w:vAlign w:val="bottom"/>
          </w:tcPr>
          <w:p w14:paraId="1A0E2437" w14:textId="72E76C46" w:rsidR="00143DD0" w:rsidRPr="001D41EA" w:rsidRDefault="00143DD0" w:rsidP="00143DD0">
            <w:pPr>
              <w:spacing w:before="40" w:after="40"/>
              <w:jc w:val="right"/>
              <w:rPr>
                <w:rFonts w:cs="Arial"/>
                <w:sz w:val="18"/>
                <w:szCs w:val="18"/>
              </w:rPr>
            </w:pPr>
            <w:r w:rsidRPr="001D41EA">
              <w:rPr>
                <w:rFonts w:cs="Arial"/>
                <w:sz w:val="18"/>
                <w:szCs w:val="18"/>
              </w:rPr>
              <w:t>577</w:t>
            </w:r>
          </w:p>
        </w:tc>
        <w:tc>
          <w:tcPr>
            <w:tcW w:w="1418" w:type="dxa"/>
            <w:tcBorders>
              <w:top w:val="nil"/>
              <w:left w:val="nil"/>
              <w:bottom w:val="nil"/>
              <w:right w:val="nil"/>
            </w:tcBorders>
            <w:vAlign w:val="bottom"/>
          </w:tcPr>
          <w:p w14:paraId="2B9020E2" w14:textId="3331BE21" w:rsidR="00143DD0" w:rsidRPr="001D41EA" w:rsidRDefault="00143DD0" w:rsidP="00143DD0">
            <w:pPr>
              <w:spacing w:before="40" w:after="40"/>
              <w:jc w:val="center"/>
              <w:rPr>
                <w:rFonts w:cs="Arial"/>
                <w:sz w:val="18"/>
                <w:szCs w:val="18"/>
              </w:rPr>
            </w:pPr>
            <w:r w:rsidRPr="001D41EA">
              <w:rPr>
                <w:rFonts w:cs="Arial"/>
                <w:sz w:val="18"/>
                <w:szCs w:val="18"/>
              </w:rPr>
              <w:t>0.4</w:t>
            </w:r>
          </w:p>
        </w:tc>
        <w:tc>
          <w:tcPr>
            <w:tcW w:w="170" w:type="dxa"/>
            <w:tcBorders>
              <w:top w:val="nil"/>
              <w:left w:val="nil"/>
              <w:bottom w:val="nil"/>
              <w:right w:val="nil"/>
            </w:tcBorders>
            <w:vAlign w:val="bottom"/>
          </w:tcPr>
          <w:p w14:paraId="534A3BD7" w14:textId="1657C5D7"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61E69AB8" w14:textId="0FCD66EF" w:rsidR="00143DD0" w:rsidRPr="001D41EA" w:rsidRDefault="00143DD0" w:rsidP="00143DD0">
            <w:pPr>
              <w:spacing w:before="40" w:after="40"/>
              <w:jc w:val="center"/>
              <w:rPr>
                <w:rFonts w:cs="Arial"/>
                <w:sz w:val="18"/>
                <w:szCs w:val="18"/>
              </w:rPr>
            </w:pPr>
            <w:r w:rsidRPr="00143DD0">
              <w:rPr>
                <w:rFonts w:cs="Arial"/>
                <w:sz w:val="18"/>
                <w:szCs w:val="18"/>
              </w:rPr>
              <w:t>3.5</w:t>
            </w:r>
          </w:p>
        </w:tc>
        <w:tc>
          <w:tcPr>
            <w:tcW w:w="1418" w:type="dxa"/>
            <w:tcBorders>
              <w:top w:val="nil"/>
              <w:left w:val="nil"/>
              <w:bottom w:val="nil"/>
              <w:right w:val="nil"/>
            </w:tcBorders>
            <w:shd w:val="clear" w:color="auto" w:fill="auto"/>
            <w:vAlign w:val="bottom"/>
          </w:tcPr>
          <w:p w14:paraId="66CA6919" w14:textId="7BDBA1D1" w:rsidR="00143DD0" w:rsidRPr="001D41EA" w:rsidRDefault="00143DD0" w:rsidP="00143DD0">
            <w:pPr>
              <w:spacing w:before="40" w:after="40"/>
              <w:jc w:val="right"/>
              <w:rPr>
                <w:rFonts w:cs="Arial"/>
                <w:sz w:val="18"/>
                <w:szCs w:val="18"/>
              </w:rPr>
            </w:pPr>
            <w:r w:rsidRPr="001D41EA">
              <w:rPr>
                <w:rFonts w:cs="Arial"/>
                <w:sz w:val="18"/>
                <w:szCs w:val="18"/>
              </w:rPr>
              <w:t> </w:t>
            </w:r>
          </w:p>
        </w:tc>
      </w:tr>
      <w:tr w:rsidR="00143DD0" w:rsidRPr="001D41EA" w14:paraId="30145EC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26C9614" w14:textId="77777777" w:rsidR="00143DD0" w:rsidRPr="001D41EA" w:rsidRDefault="00143DD0" w:rsidP="00143DD0">
            <w:pPr>
              <w:spacing w:before="40" w:after="40"/>
              <w:rPr>
                <w:rFonts w:cs="Arial"/>
                <w:sz w:val="18"/>
                <w:szCs w:val="18"/>
              </w:rPr>
            </w:pPr>
            <w:r w:rsidRPr="001D41EA">
              <w:rPr>
                <w:rFonts w:cs="Arial"/>
                <w:sz w:val="18"/>
                <w:szCs w:val="18"/>
              </w:rPr>
              <w:t>Knox C</w:t>
            </w:r>
          </w:p>
        </w:tc>
        <w:tc>
          <w:tcPr>
            <w:tcW w:w="1418" w:type="dxa"/>
            <w:tcBorders>
              <w:top w:val="nil"/>
              <w:left w:val="single" w:sz="18" w:space="0" w:color="5F497A" w:themeColor="accent4" w:themeShade="BF"/>
              <w:bottom w:val="nil"/>
              <w:right w:val="nil"/>
            </w:tcBorders>
            <w:vAlign w:val="bottom"/>
          </w:tcPr>
          <w:p w14:paraId="7AC65933" w14:textId="33DBD44D" w:rsidR="00143DD0" w:rsidRPr="001D41EA" w:rsidRDefault="00143DD0" w:rsidP="00143DD0">
            <w:pPr>
              <w:spacing w:before="40" w:after="40"/>
              <w:jc w:val="right"/>
              <w:rPr>
                <w:rFonts w:cs="Arial"/>
                <w:sz w:val="18"/>
                <w:szCs w:val="18"/>
              </w:rPr>
            </w:pPr>
            <w:r w:rsidRPr="001D41EA">
              <w:rPr>
                <w:rFonts w:cs="Arial"/>
                <w:sz w:val="18"/>
                <w:szCs w:val="18"/>
              </w:rPr>
              <w:t>749</w:t>
            </w:r>
          </w:p>
        </w:tc>
        <w:tc>
          <w:tcPr>
            <w:tcW w:w="1418" w:type="dxa"/>
            <w:tcBorders>
              <w:top w:val="nil"/>
              <w:left w:val="nil"/>
              <w:bottom w:val="nil"/>
              <w:right w:val="nil"/>
            </w:tcBorders>
            <w:vAlign w:val="bottom"/>
          </w:tcPr>
          <w:p w14:paraId="2658F4DC" w14:textId="136C4DBD" w:rsidR="00143DD0" w:rsidRPr="001D41EA" w:rsidRDefault="00143DD0" w:rsidP="00143DD0">
            <w:pPr>
              <w:spacing w:before="40" w:after="40"/>
              <w:jc w:val="center"/>
              <w:rPr>
                <w:rFonts w:cs="Arial"/>
                <w:sz w:val="18"/>
                <w:szCs w:val="18"/>
              </w:rPr>
            </w:pPr>
            <w:r w:rsidRPr="001D41EA">
              <w:rPr>
                <w:rFonts w:cs="Arial"/>
                <w:sz w:val="18"/>
                <w:szCs w:val="18"/>
              </w:rPr>
              <w:t>0.5</w:t>
            </w:r>
          </w:p>
        </w:tc>
        <w:tc>
          <w:tcPr>
            <w:tcW w:w="170" w:type="dxa"/>
            <w:tcBorders>
              <w:top w:val="nil"/>
              <w:left w:val="nil"/>
              <w:bottom w:val="nil"/>
              <w:right w:val="nil"/>
            </w:tcBorders>
            <w:vAlign w:val="bottom"/>
          </w:tcPr>
          <w:p w14:paraId="3DB67529" w14:textId="3CEF153E"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1BB98C8D" w14:textId="596CDCE8" w:rsidR="00143DD0" w:rsidRPr="001D41EA" w:rsidRDefault="00143DD0" w:rsidP="00143DD0">
            <w:pPr>
              <w:spacing w:before="40" w:after="40"/>
              <w:jc w:val="center"/>
              <w:rPr>
                <w:rFonts w:cs="Arial"/>
                <w:sz w:val="18"/>
                <w:szCs w:val="18"/>
              </w:rPr>
            </w:pPr>
            <w:r w:rsidRPr="00143DD0">
              <w:rPr>
                <w:rFonts w:cs="Arial"/>
                <w:sz w:val="18"/>
                <w:szCs w:val="18"/>
              </w:rPr>
              <w:t>3.1</w:t>
            </w:r>
          </w:p>
        </w:tc>
        <w:tc>
          <w:tcPr>
            <w:tcW w:w="1418" w:type="dxa"/>
            <w:tcBorders>
              <w:top w:val="nil"/>
              <w:left w:val="nil"/>
              <w:bottom w:val="nil"/>
              <w:right w:val="nil"/>
            </w:tcBorders>
            <w:shd w:val="clear" w:color="auto" w:fill="auto"/>
            <w:vAlign w:val="bottom"/>
          </w:tcPr>
          <w:p w14:paraId="3851AADB" w14:textId="3D18BC1A" w:rsidR="00143DD0" w:rsidRPr="001D41EA" w:rsidRDefault="00143DD0" w:rsidP="00143DD0">
            <w:pPr>
              <w:spacing w:before="40" w:after="40"/>
              <w:jc w:val="right"/>
              <w:rPr>
                <w:rFonts w:cs="Arial"/>
                <w:sz w:val="18"/>
                <w:szCs w:val="18"/>
              </w:rPr>
            </w:pPr>
            <w:r w:rsidRPr="001D41EA">
              <w:rPr>
                <w:rFonts w:cs="Arial"/>
                <w:sz w:val="18"/>
                <w:szCs w:val="18"/>
              </w:rPr>
              <w:t> </w:t>
            </w:r>
          </w:p>
        </w:tc>
      </w:tr>
      <w:tr w:rsidR="00143DD0" w:rsidRPr="001D41EA" w14:paraId="7571C8B6"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8852CF3" w14:textId="77777777" w:rsidR="00143DD0" w:rsidRPr="001D41EA" w:rsidRDefault="00143DD0" w:rsidP="00143DD0">
            <w:pPr>
              <w:spacing w:before="40" w:after="40"/>
              <w:rPr>
                <w:rFonts w:cs="Arial"/>
                <w:sz w:val="18"/>
                <w:szCs w:val="18"/>
              </w:rPr>
            </w:pPr>
            <w:r w:rsidRPr="001D41EA">
              <w:rPr>
                <w:rFonts w:cs="Arial"/>
                <w:sz w:val="18"/>
                <w:szCs w:val="18"/>
              </w:rPr>
              <w:t>Latrobe C</w:t>
            </w:r>
          </w:p>
        </w:tc>
        <w:tc>
          <w:tcPr>
            <w:tcW w:w="1418" w:type="dxa"/>
            <w:tcBorders>
              <w:top w:val="nil"/>
              <w:left w:val="single" w:sz="18" w:space="0" w:color="5F497A" w:themeColor="accent4" w:themeShade="BF"/>
              <w:bottom w:val="nil"/>
              <w:right w:val="nil"/>
            </w:tcBorders>
            <w:vAlign w:val="bottom"/>
          </w:tcPr>
          <w:p w14:paraId="481A1748" w14:textId="78F4FB19" w:rsidR="00143DD0" w:rsidRPr="001D41EA" w:rsidRDefault="00143DD0" w:rsidP="00143DD0">
            <w:pPr>
              <w:spacing w:before="40" w:after="40"/>
              <w:jc w:val="right"/>
              <w:rPr>
                <w:rFonts w:cs="Arial"/>
                <w:sz w:val="18"/>
                <w:szCs w:val="18"/>
              </w:rPr>
            </w:pPr>
            <w:r w:rsidRPr="001D41EA">
              <w:rPr>
                <w:rFonts w:cs="Arial"/>
                <w:sz w:val="18"/>
                <w:szCs w:val="18"/>
              </w:rPr>
              <w:t>1,179</w:t>
            </w:r>
          </w:p>
        </w:tc>
        <w:tc>
          <w:tcPr>
            <w:tcW w:w="1418" w:type="dxa"/>
            <w:tcBorders>
              <w:top w:val="nil"/>
              <w:left w:val="nil"/>
              <w:bottom w:val="nil"/>
              <w:right w:val="nil"/>
            </w:tcBorders>
            <w:vAlign w:val="bottom"/>
          </w:tcPr>
          <w:p w14:paraId="2BFBF70E" w14:textId="6951DD20" w:rsidR="00143DD0" w:rsidRPr="001D41EA" w:rsidRDefault="00143DD0" w:rsidP="00143DD0">
            <w:pPr>
              <w:spacing w:before="40" w:after="40"/>
              <w:jc w:val="center"/>
              <w:rPr>
                <w:rFonts w:cs="Arial"/>
                <w:sz w:val="18"/>
                <w:szCs w:val="18"/>
              </w:rPr>
            </w:pPr>
            <w:r w:rsidRPr="001D41EA">
              <w:rPr>
                <w:rFonts w:cs="Arial"/>
                <w:sz w:val="18"/>
                <w:szCs w:val="18"/>
              </w:rPr>
              <w:t>1.6</w:t>
            </w:r>
          </w:p>
        </w:tc>
        <w:tc>
          <w:tcPr>
            <w:tcW w:w="170" w:type="dxa"/>
            <w:tcBorders>
              <w:top w:val="nil"/>
              <w:left w:val="nil"/>
              <w:bottom w:val="nil"/>
              <w:right w:val="nil"/>
            </w:tcBorders>
            <w:vAlign w:val="bottom"/>
          </w:tcPr>
          <w:p w14:paraId="7C419C04" w14:textId="049CF5F6"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7C0B2DAD" w14:textId="4693EEFA" w:rsidR="00143DD0" w:rsidRPr="001D41EA" w:rsidRDefault="00143DD0" w:rsidP="00143DD0">
            <w:pPr>
              <w:spacing w:before="40" w:after="40"/>
              <w:jc w:val="center"/>
              <w:rPr>
                <w:rFonts w:cs="Arial"/>
                <w:sz w:val="18"/>
                <w:szCs w:val="18"/>
              </w:rPr>
            </w:pPr>
            <w:r w:rsidRPr="00143DD0">
              <w:rPr>
                <w:rFonts w:cs="Arial"/>
                <w:sz w:val="18"/>
                <w:szCs w:val="18"/>
              </w:rPr>
              <w:t>0.7</w:t>
            </w:r>
          </w:p>
        </w:tc>
        <w:tc>
          <w:tcPr>
            <w:tcW w:w="1418" w:type="dxa"/>
            <w:tcBorders>
              <w:top w:val="nil"/>
              <w:left w:val="nil"/>
              <w:bottom w:val="nil"/>
              <w:right w:val="nil"/>
            </w:tcBorders>
            <w:shd w:val="clear" w:color="auto" w:fill="auto"/>
            <w:vAlign w:val="bottom"/>
          </w:tcPr>
          <w:p w14:paraId="53E43929" w14:textId="22640060" w:rsidR="00143DD0" w:rsidRPr="001D41EA" w:rsidRDefault="00143DD0" w:rsidP="00143DD0">
            <w:pPr>
              <w:spacing w:before="40" w:after="40"/>
              <w:jc w:val="right"/>
              <w:rPr>
                <w:rFonts w:cs="Arial"/>
                <w:sz w:val="18"/>
                <w:szCs w:val="18"/>
              </w:rPr>
            </w:pPr>
            <w:r w:rsidRPr="001D41EA">
              <w:rPr>
                <w:rFonts w:cs="Arial"/>
                <w:sz w:val="18"/>
                <w:szCs w:val="18"/>
              </w:rPr>
              <w:t>11.92</w:t>
            </w:r>
          </w:p>
        </w:tc>
      </w:tr>
      <w:tr w:rsidR="00143DD0" w:rsidRPr="001D41EA" w14:paraId="36AC981C"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92DE0C2" w14:textId="77777777" w:rsidR="00143DD0" w:rsidRPr="001D41EA" w:rsidRDefault="00143DD0" w:rsidP="00143DD0">
            <w:pPr>
              <w:spacing w:before="40" w:after="40"/>
              <w:rPr>
                <w:rFonts w:cs="Arial"/>
                <w:sz w:val="18"/>
                <w:szCs w:val="18"/>
              </w:rPr>
            </w:pPr>
            <w:r w:rsidRPr="001D41EA">
              <w:rPr>
                <w:rFonts w:cs="Arial"/>
                <w:sz w:val="18"/>
                <w:szCs w:val="18"/>
              </w:rPr>
              <w:t>Loddon S</w:t>
            </w:r>
          </w:p>
        </w:tc>
        <w:tc>
          <w:tcPr>
            <w:tcW w:w="1418" w:type="dxa"/>
            <w:tcBorders>
              <w:top w:val="nil"/>
              <w:left w:val="single" w:sz="18" w:space="0" w:color="5F497A" w:themeColor="accent4" w:themeShade="BF"/>
              <w:bottom w:val="nil"/>
              <w:right w:val="nil"/>
            </w:tcBorders>
            <w:vAlign w:val="bottom"/>
          </w:tcPr>
          <w:p w14:paraId="60144904" w14:textId="716F3033" w:rsidR="00143DD0" w:rsidRPr="001D41EA" w:rsidRDefault="00143DD0" w:rsidP="00143DD0">
            <w:pPr>
              <w:spacing w:before="40" w:after="40"/>
              <w:jc w:val="right"/>
              <w:rPr>
                <w:rFonts w:cs="Arial"/>
                <w:sz w:val="18"/>
                <w:szCs w:val="18"/>
              </w:rPr>
            </w:pPr>
            <w:r w:rsidRPr="001D41EA">
              <w:rPr>
                <w:rFonts w:cs="Arial"/>
                <w:sz w:val="18"/>
                <w:szCs w:val="18"/>
              </w:rPr>
              <w:t>111</w:t>
            </w:r>
          </w:p>
        </w:tc>
        <w:tc>
          <w:tcPr>
            <w:tcW w:w="1418" w:type="dxa"/>
            <w:tcBorders>
              <w:top w:val="nil"/>
              <w:left w:val="nil"/>
              <w:bottom w:val="nil"/>
              <w:right w:val="nil"/>
            </w:tcBorders>
            <w:vAlign w:val="bottom"/>
          </w:tcPr>
          <w:p w14:paraId="054216CB" w14:textId="5198FFC0" w:rsidR="00143DD0" w:rsidRPr="001D41EA" w:rsidRDefault="00143DD0" w:rsidP="00143DD0">
            <w:pPr>
              <w:spacing w:before="40" w:after="40"/>
              <w:jc w:val="center"/>
              <w:rPr>
                <w:rFonts w:cs="Arial"/>
                <w:sz w:val="18"/>
                <w:szCs w:val="18"/>
              </w:rPr>
            </w:pPr>
            <w:r w:rsidRPr="001D41EA">
              <w:rPr>
                <w:rFonts w:cs="Arial"/>
                <w:sz w:val="18"/>
                <w:szCs w:val="18"/>
              </w:rPr>
              <w:t>1.5</w:t>
            </w:r>
          </w:p>
        </w:tc>
        <w:tc>
          <w:tcPr>
            <w:tcW w:w="170" w:type="dxa"/>
            <w:tcBorders>
              <w:top w:val="nil"/>
              <w:left w:val="nil"/>
              <w:bottom w:val="nil"/>
              <w:right w:val="nil"/>
            </w:tcBorders>
            <w:vAlign w:val="bottom"/>
          </w:tcPr>
          <w:p w14:paraId="53711248" w14:textId="75983FE3" w:rsidR="00143DD0" w:rsidRPr="001D41EA" w:rsidRDefault="00143DD0" w:rsidP="00143DD0">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33D73843" w14:textId="258845D2" w:rsidR="00143DD0" w:rsidRPr="001D41EA" w:rsidRDefault="00143DD0" w:rsidP="00143DD0">
            <w:pPr>
              <w:spacing w:before="40" w:after="40"/>
              <w:jc w:val="center"/>
              <w:rPr>
                <w:rFonts w:cs="Arial"/>
                <w:sz w:val="18"/>
                <w:szCs w:val="18"/>
              </w:rPr>
            </w:pPr>
            <w:r w:rsidRPr="00143DD0">
              <w:rPr>
                <w:rFonts w:cs="Arial"/>
                <w:sz w:val="18"/>
                <w:szCs w:val="18"/>
              </w:rPr>
              <w:t>0.3</w:t>
            </w:r>
          </w:p>
        </w:tc>
        <w:tc>
          <w:tcPr>
            <w:tcW w:w="1418" w:type="dxa"/>
            <w:tcBorders>
              <w:top w:val="nil"/>
              <w:left w:val="nil"/>
              <w:bottom w:val="nil"/>
              <w:right w:val="nil"/>
            </w:tcBorders>
            <w:shd w:val="clear" w:color="auto" w:fill="auto"/>
            <w:vAlign w:val="bottom"/>
          </w:tcPr>
          <w:p w14:paraId="62962F97" w14:textId="334C6C85" w:rsidR="00143DD0" w:rsidRPr="001D41EA" w:rsidRDefault="00143DD0" w:rsidP="00143DD0">
            <w:pPr>
              <w:spacing w:before="40" w:after="40"/>
              <w:jc w:val="right"/>
              <w:rPr>
                <w:rFonts w:cs="Arial"/>
                <w:sz w:val="18"/>
                <w:szCs w:val="18"/>
              </w:rPr>
            </w:pPr>
            <w:r w:rsidRPr="001D41EA">
              <w:rPr>
                <w:rFonts w:cs="Arial"/>
                <w:sz w:val="18"/>
                <w:szCs w:val="18"/>
              </w:rPr>
              <w:t>27.78</w:t>
            </w:r>
          </w:p>
        </w:tc>
      </w:tr>
    </w:tbl>
    <w:p w14:paraId="1654455D" w14:textId="77777777" w:rsidR="0053278E" w:rsidRPr="00A44829" w:rsidRDefault="0053278E" w:rsidP="00FF36E8">
      <w:pPr>
        <w:spacing w:before="40" w:after="20"/>
        <w:rPr>
          <w:rFonts w:cs="Arial"/>
          <w:sz w:val="18"/>
          <w:szCs w:val="18"/>
        </w:rPr>
      </w:pPr>
    </w:p>
    <w:p w14:paraId="39F5B66F" w14:textId="77777777" w:rsidR="0022168A" w:rsidRPr="00A44829" w:rsidRDefault="0022168A" w:rsidP="00FF36E8">
      <w:pPr>
        <w:spacing w:before="40" w:after="20"/>
        <w:rPr>
          <w:rFonts w:cs="Arial"/>
          <w:sz w:val="18"/>
          <w:szCs w:val="18"/>
        </w:rPr>
      </w:pPr>
      <w:r w:rsidRPr="00A44829">
        <w:rPr>
          <w:rFonts w:cs="Arial"/>
          <w:sz w:val="18"/>
          <w:szCs w:val="18"/>
        </w:rPr>
        <w:br w:type="page"/>
      </w:r>
    </w:p>
    <w:p w14:paraId="22649C43" w14:textId="3553A05F" w:rsidR="0022168A" w:rsidRPr="00A44829" w:rsidRDefault="00CE4507" w:rsidP="00C33713">
      <w:pPr>
        <w:pStyle w:val="VGC-Head10"/>
      </w:pPr>
      <w:r w:rsidRPr="00A44829">
        <w:lastRenderedPageBreak/>
        <w:t>Appendix 4</w:t>
      </w:r>
      <w:r w:rsidR="006E50A4" w:rsidRPr="00A44829">
        <w:tab/>
      </w:r>
      <w:r w:rsidR="00EE4593" w:rsidRPr="00A44829">
        <w:t>2019-20</w:t>
      </w:r>
      <w:r w:rsidR="00A97ABE" w:rsidRPr="00A44829">
        <w:t xml:space="preserve"> </w:t>
      </w:r>
      <w:r w:rsidR="0022168A" w:rsidRPr="00A44829">
        <w:t>General Purpose Gr</w:t>
      </w:r>
      <w:r w:rsidR="006E50A4" w:rsidRPr="00A44829">
        <w:t xml:space="preserve">ants </w:t>
      </w:r>
    </w:p>
    <w:p w14:paraId="08CB8B50" w14:textId="77777777" w:rsidR="0022168A" w:rsidRPr="00A44829" w:rsidRDefault="0022168A" w:rsidP="008C1A28">
      <w:pPr>
        <w:pStyle w:val="VGC-Head2"/>
      </w:pPr>
      <w:r w:rsidRPr="00A44829">
        <w:t>C.  Cost Adjustors – Raw Data</w:t>
      </w:r>
    </w:p>
    <w:p w14:paraId="03AC2ECB" w14:textId="77777777" w:rsidR="00BE52C1" w:rsidRPr="00A44829" w:rsidRDefault="00BE52C1"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6D721B" w:rsidRPr="00A44829" w14:paraId="2AC11CBD"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7F8BD418" w14:textId="77777777" w:rsidR="006D721B" w:rsidRPr="00A44829" w:rsidRDefault="006D721B" w:rsidP="008001AD">
            <w:pPr>
              <w:spacing w:before="40" w:after="20"/>
              <w:jc w:val="center"/>
              <w:rPr>
                <w:rFonts w:cs="Arial"/>
                <w:sz w:val="18"/>
                <w:szCs w:val="18"/>
              </w:rPr>
            </w:pPr>
          </w:p>
        </w:tc>
        <w:tc>
          <w:tcPr>
            <w:tcW w:w="3741" w:type="dxa"/>
            <w:gridSpan w:val="3"/>
            <w:tcBorders>
              <w:top w:val="nil"/>
              <w:left w:val="single" w:sz="18" w:space="0" w:color="5F497A" w:themeColor="accent4" w:themeShade="BF"/>
              <w:bottom w:val="single" w:sz="8" w:space="0" w:color="5F497A" w:themeColor="accent4" w:themeShade="BF"/>
            </w:tcBorders>
            <w:shd w:val="clear" w:color="auto" w:fill="auto"/>
            <w:vAlign w:val="bottom"/>
          </w:tcPr>
          <w:p w14:paraId="32549F52" w14:textId="2641879C" w:rsidR="006D721B" w:rsidRPr="00A44829" w:rsidRDefault="006D721B" w:rsidP="008001AD">
            <w:pPr>
              <w:spacing w:before="40" w:after="20"/>
              <w:jc w:val="center"/>
              <w:rPr>
                <w:rFonts w:cs="Arial"/>
                <w:b/>
                <w:sz w:val="18"/>
                <w:szCs w:val="18"/>
              </w:rPr>
            </w:pPr>
            <w:r w:rsidRPr="00A44829">
              <w:rPr>
                <w:rFonts w:cs="Arial"/>
                <w:b/>
                <w:sz w:val="18"/>
                <w:szCs w:val="18"/>
              </w:rPr>
              <w:t>Population Growth</w:t>
            </w:r>
            <w:r w:rsidR="00B23A90" w:rsidRPr="00A44829">
              <w:rPr>
                <w:rFonts w:cs="Arial"/>
                <w:b/>
                <w:sz w:val="18"/>
                <w:szCs w:val="18"/>
              </w:rPr>
              <w:t xml:space="preserve"> </w:t>
            </w:r>
          </w:p>
        </w:tc>
        <w:tc>
          <w:tcPr>
            <w:tcW w:w="170" w:type="dxa"/>
            <w:vMerge w:val="restart"/>
            <w:tcBorders>
              <w:top w:val="nil"/>
              <w:left w:val="nil"/>
              <w:bottom w:val="single" w:sz="8" w:space="0" w:color="5F497A" w:themeColor="accent4" w:themeShade="BF"/>
              <w:right w:val="nil"/>
            </w:tcBorders>
            <w:shd w:val="clear" w:color="auto" w:fill="auto"/>
            <w:vAlign w:val="bottom"/>
          </w:tcPr>
          <w:p w14:paraId="7370D757" w14:textId="77777777" w:rsidR="006D721B" w:rsidRPr="00A44829" w:rsidRDefault="006D721B" w:rsidP="008001AD">
            <w:pPr>
              <w:spacing w:before="40" w:after="20"/>
              <w:jc w:val="center"/>
              <w:rPr>
                <w:rFonts w:cs="Arial"/>
                <w:b/>
                <w:sz w:val="18"/>
                <w:szCs w:val="18"/>
              </w:rPr>
            </w:pPr>
          </w:p>
        </w:tc>
        <w:tc>
          <w:tcPr>
            <w:tcW w:w="2494" w:type="dxa"/>
            <w:gridSpan w:val="2"/>
            <w:tcBorders>
              <w:top w:val="nil"/>
              <w:left w:val="nil"/>
              <w:bottom w:val="single" w:sz="8" w:space="0" w:color="5F497A" w:themeColor="accent4" w:themeShade="BF"/>
              <w:right w:val="nil"/>
            </w:tcBorders>
            <w:shd w:val="clear" w:color="auto" w:fill="auto"/>
            <w:vAlign w:val="bottom"/>
          </w:tcPr>
          <w:p w14:paraId="4B021A8B" w14:textId="3AFC2A03" w:rsidR="006D721B" w:rsidRPr="00A44829" w:rsidRDefault="006D721B" w:rsidP="008001AD">
            <w:pPr>
              <w:spacing w:before="40" w:after="20"/>
              <w:jc w:val="center"/>
              <w:rPr>
                <w:rFonts w:cs="Arial"/>
                <w:b/>
                <w:sz w:val="18"/>
                <w:szCs w:val="18"/>
              </w:rPr>
            </w:pPr>
            <w:r w:rsidRPr="00A44829">
              <w:rPr>
                <w:rFonts w:cs="Arial"/>
                <w:b/>
                <w:sz w:val="18"/>
                <w:szCs w:val="18"/>
              </w:rPr>
              <w:t xml:space="preserve">Population </w:t>
            </w:r>
            <w:r w:rsidRPr="00A44829">
              <w:rPr>
                <w:rFonts w:cs="Arial"/>
                <w:b/>
                <w:sz w:val="18"/>
                <w:szCs w:val="18"/>
              </w:rPr>
              <w:br/>
            </w:r>
            <w:r w:rsidR="00B23A90" w:rsidRPr="00A44829">
              <w:rPr>
                <w:rFonts w:cs="Arial"/>
                <w:b/>
                <w:sz w:val="18"/>
                <w:szCs w:val="18"/>
              </w:rPr>
              <w:t>U</w:t>
            </w:r>
            <w:r w:rsidRPr="00A44829">
              <w:rPr>
                <w:rFonts w:cs="Arial"/>
                <w:b/>
                <w:sz w:val="18"/>
                <w:szCs w:val="18"/>
              </w:rPr>
              <w:t>nder 6 years</w:t>
            </w:r>
            <w:r w:rsidR="00B23A90" w:rsidRPr="00A44829">
              <w:rPr>
                <w:rFonts w:cs="Arial"/>
                <w:b/>
                <w:sz w:val="18"/>
                <w:szCs w:val="18"/>
              </w:rPr>
              <w:t xml:space="preserve"> </w:t>
            </w:r>
          </w:p>
        </w:tc>
      </w:tr>
      <w:tr w:rsidR="007613F5" w:rsidRPr="00A44829" w14:paraId="5B43AB35"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4D785B1F" w14:textId="77777777" w:rsidR="007613F5" w:rsidRPr="00A44829" w:rsidRDefault="007613F5" w:rsidP="008001AD">
            <w:pPr>
              <w:spacing w:before="40" w:after="20"/>
              <w:jc w:val="center"/>
              <w:rPr>
                <w:rFonts w:cs="Arial"/>
                <w:sz w:val="18"/>
                <w:szCs w:val="18"/>
              </w:rPr>
            </w:pPr>
          </w:p>
        </w:tc>
        <w:tc>
          <w:tcPr>
            <w:tcW w:w="1247"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1D4C93A6" w14:textId="12898146" w:rsidR="007613F5" w:rsidRPr="00A44829" w:rsidRDefault="007613F5" w:rsidP="008001AD">
            <w:pPr>
              <w:spacing w:before="40" w:after="20"/>
              <w:jc w:val="center"/>
              <w:rPr>
                <w:rFonts w:cs="Arial"/>
                <w:sz w:val="16"/>
                <w:szCs w:val="16"/>
              </w:rPr>
            </w:pPr>
            <w:r w:rsidRPr="00A44829">
              <w:rPr>
                <w:rFonts w:cs="Arial"/>
                <w:sz w:val="16"/>
                <w:szCs w:val="16"/>
              </w:rPr>
              <w:t>ERP (</w:t>
            </w:r>
            <w:r w:rsidR="00B23A90" w:rsidRPr="00A44829">
              <w:rPr>
                <w:rFonts w:cs="Arial"/>
                <w:sz w:val="16"/>
                <w:szCs w:val="16"/>
              </w:rPr>
              <w:t>r</w:t>
            </w:r>
            <w:r w:rsidRPr="00A44829">
              <w:rPr>
                <w:rFonts w:cs="Arial"/>
                <w:sz w:val="16"/>
                <w:szCs w:val="16"/>
              </w:rPr>
              <w:t xml:space="preserve">) </w:t>
            </w:r>
            <w:r w:rsidRPr="00A44829">
              <w:rPr>
                <w:rFonts w:cs="Arial"/>
                <w:sz w:val="16"/>
                <w:szCs w:val="16"/>
              </w:rPr>
              <w:br/>
              <w:t>June 201</w:t>
            </w:r>
            <w:r w:rsidR="00B23A90" w:rsidRPr="00A44829">
              <w:rPr>
                <w:rFonts w:cs="Arial"/>
                <w:sz w:val="16"/>
                <w:szCs w:val="16"/>
              </w:rPr>
              <w:t>5</w:t>
            </w:r>
          </w:p>
        </w:tc>
        <w:tc>
          <w:tcPr>
            <w:tcW w:w="1247" w:type="dxa"/>
            <w:tcBorders>
              <w:top w:val="single" w:sz="8" w:space="0" w:color="5F497A" w:themeColor="accent4" w:themeShade="BF"/>
              <w:left w:val="nil"/>
              <w:bottom w:val="single" w:sz="8" w:space="0" w:color="5F497A" w:themeColor="accent4" w:themeShade="BF"/>
              <w:right w:val="nil"/>
            </w:tcBorders>
            <w:vAlign w:val="bottom"/>
          </w:tcPr>
          <w:p w14:paraId="1DC9038D" w14:textId="43B762CE" w:rsidR="007613F5" w:rsidRPr="00A44829" w:rsidRDefault="007613F5" w:rsidP="008001AD">
            <w:pPr>
              <w:spacing w:before="40" w:after="20"/>
              <w:jc w:val="center"/>
              <w:rPr>
                <w:rFonts w:cs="Arial"/>
                <w:sz w:val="16"/>
                <w:szCs w:val="16"/>
              </w:rPr>
            </w:pPr>
            <w:r w:rsidRPr="00A44829">
              <w:rPr>
                <w:rFonts w:cs="Arial"/>
                <w:sz w:val="16"/>
                <w:szCs w:val="16"/>
              </w:rPr>
              <w:t xml:space="preserve">ERP (p) </w:t>
            </w:r>
            <w:r w:rsidRPr="00A44829">
              <w:rPr>
                <w:rFonts w:cs="Arial"/>
                <w:sz w:val="16"/>
                <w:szCs w:val="16"/>
              </w:rPr>
              <w:br/>
            </w:r>
            <w:r w:rsidR="00EE4593" w:rsidRPr="00A44829">
              <w:rPr>
                <w:rFonts w:cs="Arial"/>
                <w:sz w:val="16"/>
                <w:szCs w:val="16"/>
              </w:rPr>
              <w:t>June 2018</w:t>
            </w: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4399ED32" w14:textId="77777777" w:rsidR="007613F5" w:rsidRPr="00A44829" w:rsidRDefault="007613F5" w:rsidP="008001AD">
            <w:pPr>
              <w:spacing w:before="40" w:after="20"/>
              <w:jc w:val="center"/>
              <w:rPr>
                <w:rFonts w:cs="Arial"/>
                <w:sz w:val="16"/>
                <w:szCs w:val="16"/>
              </w:rPr>
            </w:pPr>
            <w:r w:rsidRPr="00A44829">
              <w:rPr>
                <w:rFonts w:cs="Arial"/>
                <w:sz w:val="16"/>
                <w:szCs w:val="16"/>
              </w:rPr>
              <w:t>Growth</w:t>
            </w:r>
            <w:r w:rsidRPr="00A44829">
              <w:rPr>
                <w:rFonts w:cs="Arial"/>
                <w:sz w:val="16"/>
                <w:szCs w:val="16"/>
              </w:rPr>
              <w:br/>
              <w:t>(%)</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032D811E" w14:textId="77777777" w:rsidR="007613F5" w:rsidRPr="00A44829" w:rsidRDefault="007613F5" w:rsidP="008001AD">
            <w:pPr>
              <w:spacing w:before="40" w:after="20"/>
              <w:jc w:val="center"/>
              <w:rPr>
                <w:rFonts w:cs="Arial"/>
                <w:sz w:val="16"/>
                <w:szCs w:val="16"/>
              </w:rPr>
            </w:pP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03BF093C" w14:textId="77777777" w:rsidR="007613F5" w:rsidRPr="00A44829" w:rsidRDefault="007613F5" w:rsidP="008001AD">
            <w:pPr>
              <w:spacing w:before="40" w:after="20"/>
              <w:jc w:val="center"/>
              <w:rPr>
                <w:rFonts w:cs="Arial"/>
                <w:sz w:val="16"/>
                <w:szCs w:val="16"/>
              </w:rPr>
            </w:pPr>
            <w:r w:rsidRPr="00A44829">
              <w:rPr>
                <w:rFonts w:cs="Arial"/>
                <w:sz w:val="16"/>
                <w:szCs w:val="16"/>
              </w:rPr>
              <w:t>No.</w:t>
            </w: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2D1F227" w14:textId="3FB7DB37" w:rsidR="007613F5" w:rsidRPr="00A44829" w:rsidRDefault="007613F5" w:rsidP="008001AD">
            <w:pPr>
              <w:spacing w:before="40" w:after="20"/>
              <w:jc w:val="center"/>
              <w:rPr>
                <w:rFonts w:cs="Arial"/>
                <w:sz w:val="16"/>
                <w:szCs w:val="16"/>
              </w:rPr>
            </w:pPr>
            <w:r w:rsidRPr="00A44829">
              <w:rPr>
                <w:rFonts w:cs="Arial"/>
                <w:sz w:val="16"/>
                <w:szCs w:val="16"/>
              </w:rPr>
              <w:t xml:space="preserve">No. / </w:t>
            </w:r>
            <w:r w:rsidRPr="00A44829">
              <w:rPr>
                <w:rFonts w:cs="Arial"/>
                <w:sz w:val="16"/>
                <w:szCs w:val="16"/>
              </w:rPr>
              <w:br/>
              <w:t>ERP(p) 201</w:t>
            </w:r>
            <w:r w:rsidR="006D4C53" w:rsidRPr="00A44829">
              <w:rPr>
                <w:rFonts w:cs="Arial"/>
                <w:sz w:val="16"/>
                <w:szCs w:val="16"/>
              </w:rPr>
              <w:t>7</w:t>
            </w:r>
            <w:r w:rsidRPr="00A44829">
              <w:rPr>
                <w:rFonts w:cs="Arial"/>
                <w:sz w:val="16"/>
                <w:szCs w:val="16"/>
              </w:rPr>
              <w:t xml:space="preserve"> </w:t>
            </w:r>
            <w:r w:rsidRPr="00A44829">
              <w:rPr>
                <w:rFonts w:cs="Arial"/>
                <w:sz w:val="16"/>
                <w:szCs w:val="16"/>
              </w:rPr>
              <w:br/>
              <w:t>(%)</w:t>
            </w:r>
          </w:p>
        </w:tc>
      </w:tr>
      <w:tr w:rsidR="00B33D8D" w:rsidRPr="001D41EA" w14:paraId="0AA2B6F7" w14:textId="77777777" w:rsidTr="00C60457">
        <w:tc>
          <w:tcPr>
            <w:tcW w:w="2268" w:type="dxa"/>
            <w:tcBorders>
              <w:top w:val="nil"/>
              <w:left w:val="nil"/>
              <w:bottom w:val="nil"/>
              <w:right w:val="single" w:sz="18" w:space="0" w:color="5F497A" w:themeColor="accent4" w:themeShade="BF"/>
            </w:tcBorders>
            <w:shd w:val="clear" w:color="auto" w:fill="auto"/>
            <w:vAlign w:val="center"/>
          </w:tcPr>
          <w:p w14:paraId="4E0BF422" w14:textId="77777777" w:rsidR="00B33D8D" w:rsidRPr="001D41EA" w:rsidRDefault="00B33D8D" w:rsidP="001D41EA">
            <w:pPr>
              <w:spacing w:before="40" w:after="40"/>
              <w:rPr>
                <w:rFonts w:cs="Arial"/>
                <w:sz w:val="18"/>
                <w:szCs w:val="18"/>
              </w:rPr>
            </w:pPr>
          </w:p>
        </w:tc>
        <w:tc>
          <w:tcPr>
            <w:tcW w:w="1247"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3BA19B10" w14:textId="14258B22"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single" w:sz="8" w:space="0" w:color="5F497A" w:themeColor="accent4" w:themeShade="BF"/>
              <w:left w:val="nil"/>
              <w:bottom w:val="nil"/>
              <w:right w:val="nil"/>
            </w:tcBorders>
            <w:vAlign w:val="bottom"/>
          </w:tcPr>
          <w:p w14:paraId="41C67F11" w14:textId="77777777" w:rsidR="00B33D8D" w:rsidRPr="001D41EA" w:rsidRDefault="00B33D8D" w:rsidP="001D41EA">
            <w:pPr>
              <w:spacing w:before="40" w:after="40"/>
              <w:jc w:val="right"/>
              <w:rPr>
                <w:rFonts w:cs="Arial"/>
                <w:sz w:val="18"/>
                <w:szCs w:val="18"/>
              </w:rPr>
            </w:pPr>
          </w:p>
        </w:tc>
        <w:tc>
          <w:tcPr>
            <w:tcW w:w="1247" w:type="dxa"/>
            <w:tcBorders>
              <w:top w:val="single" w:sz="8" w:space="0" w:color="5F497A" w:themeColor="accent4" w:themeShade="BF"/>
              <w:left w:val="nil"/>
              <w:bottom w:val="nil"/>
              <w:right w:val="nil"/>
            </w:tcBorders>
            <w:shd w:val="clear" w:color="auto" w:fill="auto"/>
            <w:vAlign w:val="bottom"/>
          </w:tcPr>
          <w:p w14:paraId="7705893D" w14:textId="7F57608E" w:rsidR="00B33D8D" w:rsidRPr="001D41EA" w:rsidRDefault="00B33D8D" w:rsidP="001D41EA">
            <w:pPr>
              <w:spacing w:before="40" w:after="40"/>
              <w:jc w:val="right"/>
              <w:rPr>
                <w:rFonts w:cs="Arial"/>
                <w:sz w:val="18"/>
                <w:szCs w:val="18"/>
              </w:rPr>
            </w:pPr>
            <w:r w:rsidRPr="001D41EA">
              <w:rPr>
                <w:rFonts w:cs="Arial"/>
                <w:sz w:val="18"/>
                <w:szCs w:val="18"/>
              </w:rPr>
              <w:t> </w:t>
            </w:r>
          </w:p>
        </w:tc>
        <w:tc>
          <w:tcPr>
            <w:tcW w:w="170" w:type="dxa"/>
            <w:tcBorders>
              <w:top w:val="single" w:sz="8" w:space="0" w:color="5F497A" w:themeColor="accent4" w:themeShade="BF"/>
              <w:left w:val="nil"/>
              <w:bottom w:val="nil"/>
              <w:right w:val="nil"/>
            </w:tcBorders>
            <w:shd w:val="clear" w:color="auto" w:fill="auto"/>
            <w:vAlign w:val="bottom"/>
          </w:tcPr>
          <w:p w14:paraId="2A6ECFBD" w14:textId="278CC59F"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782452C2" w14:textId="5C67AAC9"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2487D929" w14:textId="45CB43BE" w:rsidR="00B33D8D" w:rsidRPr="001D41EA" w:rsidRDefault="00B33D8D" w:rsidP="001D41EA">
            <w:pPr>
              <w:spacing w:before="40" w:after="40"/>
              <w:jc w:val="right"/>
              <w:rPr>
                <w:rFonts w:cs="Arial"/>
                <w:sz w:val="18"/>
                <w:szCs w:val="18"/>
              </w:rPr>
            </w:pPr>
            <w:r w:rsidRPr="001D41EA">
              <w:rPr>
                <w:rFonts w:cs="Arial"/>
                <w:sz w:val="18"/>
                <w:szCs w:val="18"/>
              </w:rPr>
              <w:t> </w:t>
            </w:r>
          </w:p>
        </w:tc>
      </w:tr>
      <w:tr w:rsidR="00B33D8D" w:rsidRPr="001D41EA" w14:paraId="561BDB4B"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F51D6A2" w14:textId="77777777" w:rsidR="00B33D8D" w:rsidRPr="001D41EA" w:rsidRDefault="00B33D8D" w:rsidP="001D41EA">
            <w:pPr>
              <w:spacing w:before="40" w:after="40"/>
              <w:rPr>
                <w:rFonts w:cs="Arial"/>
                <w:sz w:val="18"/>
                <w:szCs w:val="18"/>
              </w:rPr>
            </w:pPr>
            <w:r w:rsidRPr="001D41EA">
              <w:rPr>
                <w:rFonts w:cs="Arial"/>
                <w:sz w:val="18"/>
                <w:szCs w:val="18"/>
              </w:rPr>
              <w:t>Alpine S</w:t>
            </w:r>
          </w:p>
        </w:tc>
        <w:tc>
          <w:tcPr>
            <w:tcW w:w="1247" w:type="dxa"/>
            <w:tcBorders>
              <w:top w:val="nil"/>
              <w:left w:val="single" w:sz="18" w:space="0" w:color="5F497A" w:themeColor="accent4" w:themeShade="BF"/>
              <w:bottom w:val="nil"/>
              <w:right w:val="nil"/>
            </w:tcBorders>
            <w:shd w:val="clear" w:color="auto" w:fill="auto"/>
            <w:vAlign w:val="bottom"/>
          </w:tcPr>
          <w:p w14:paraId="21A3C179" w14:textId="21F2A080" w:rsidR="00B33D8D" w:rsidRPr="001D41EA" w:rsidRDefault="00B33D8D" w:rsidP="001D41EA">
            <w:pPr>
              <w:spacing w:before="40" w:after="40"/>
              <w:jc w:val="right"/>
              <w:rPr>
                <w:rFonts w:cs="Arial"/>
                <w:sz w:val="18"/>
                <w:szCs w:val="18"/>
              </w:rPr>
            </w:pPr>
            <w:r w:rsidRPr="001D41EA">
              <w:rPr>
                <w:rFonts w:cs="Arial"/>
                <w:sz w:val="18"/>
                <w:szCs w:val="18"/>
              </w:rPr>
              <w:t>12,379</w:t>
            </w:r>
          </w:p>
        </w:tc>
        <w:tc>
          <w:tcPr>
            <w:tcW w:w="1247" w:type="dxa"/>
            <w:tcBorders>
              <w:top w:val="nil"/>
              <w:left w:val="nil"/>
              <w:bottom w:val="nil"/>
              <w:right w:val="nil"/>
            </w:tcBorders>
            <w:vAlign w:val="bottom"/>
          </w:tcPr>
          <w:p w14:paraId="2241F069" w14:textId="7404051F" w:rsidR="00B33D8D" w:rsidRPr="001D41EA" w:rsidRDefault="00B33D8D" w:rsidP="001D41EA">
            <w:pPr>
              <w:spacing w:before="40" w:after="40"/>
              <w:jc w:val="right"/>
              <w:rPr>
                <w:rFonts w:cs="Arial"/>
                <w:sz w:val="18"/>
                <w:szCs w:val="18"/>
              </w:rPr>
            </w:pPr>
            <w:r w:rsidRPr="001D41EA">
              <w:rPr>
                <w:rFonts w:cs="Arial"/>
                <w:sz w:val="18"/>
                <w:szCs w:val="18"/>
              </w:rPr>
              <w:t>13,202</w:t>
            </w:r>
          </w:p>
        </w:tc>
        <w:tc>
          <w:tcPr>
            <w:tcW w:w="1247" w:type="dxa"/>
            <w:tcBorders>
              <w:top w:val="nil"/>
              <w:left w:val="nil"/>
              <w:bottom w:val="nil"/>
              <w:right w:val="nil"/>
            </w:tcBorders>
            <w:shd w:val="clear" w:color="auto" w:fill="auto"/>
            <w:vAlign w:val="bottom"/>
          </w:tcPr>
          <w:p w14:paraId="56B0C17D" w14:textId="5945600F" w:rsidR="00B33D8D" w:rsidRPr="001D41EA" w:rsidRDefault="00B33D8D" w:rsidP="001D41EA">
            <w:pPr>
              <w:spacing w:before="40" w:after="40"/>
              <w:jc w:val="right"/>
              <w:rPr>
                <w:rFonts w:cs="Arial"/>
                <w:sz w:val="18"/>
                <w:szCs w:val="18"/>
              </w:rPr>
            </w:pPr>
            <w:r w:rsidRPr="001D41EA">
              <w:rPr>
                <w:rFonts w:cs="Arial"/>
                <w:sz w:val="18"/>
                <w:szCs w:val="18"/>
              </w:rPr>
              <w:t>6.6</w:t>
            </w:r>
          </w:p>
        </w:tc>
        <w:tc>
          <w:tcPr>
            <w:tcW w:w="170" w:type="dxa"/>
            <w:tcBorders>
              <w:top w:val="nil"/>
              <w:left w:val="nil"/>
              <w:bottom w:val="nil"/>
              <w:right w:val="nil"/>
            </w:tcBorders>
            <w:shd w:val="clear" w:color="auto" w:fill="auto"/>
            <w:vAlign w:val="bottom"/>
          </w:tcPr>
          <w:p w14:paraId="55FBADFA" w14:textId="55830B92"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334E3A4B" w14:textId="1F5FBE00" w:rsidR="00B33D8D" w:rsidRPr="001D41EA" w:rsidRDefault="00B33D8D" w:rsidP="001D41EA">
            <w:pPr>
              <w:spacing w:before="40" w:after="40"/>
              <w:jc w:val="right"/>
              <w:rPr>
                <w:rFonts w:cs="Arial"/>
                <w:sz w:val="18"/>
                <w:szCs w:val="18"/>
              </w:rPr>
            </w:pPr>
            <w:r w:rsidRPr="001D41EA">
              <w:rPr>
                <w:rFonts w:cs="Arial"/>
                <w:sz w:val="18"/>
                <w:szCs w:val="18"/>
              </w:rPr>
              <w:t>718</w:t>
            </w:r>
          </w:p>
        </w:tc>
        <w:tc>
          <w:tcPr>
            <w:tcW w:w="1247" w:type="dxa"/>
            <w:tcBorders>
              <w:top w:val="nil"/>
              <w:left w:val="nil"/>
              <w:bottom w:val="nil"/>
              <w:right w:val="nil"/>
            </w:tcBorders>
            <w:shd w:val="clear" w:color="auto" w:fill="auto"/>
            <w:vAlign w:val="bottom"/>
          </w:tcPr>
          <w:p w14:paraId="5B1F2D5B" w14:textId="3708D74C" w:rsidR="00B33D8D" w:rsidRPr="001D41EA" w:rsidRDefault="00B33D8D" w:rsidP="001D41EA">
            <w:pPr>
              <w:spacing w:before="40" w:after="40"/>
              <w:jc w:val="right"/>
              <w:rPr>
                <w:rFonts w:cs="Arial"/>
                <w:sz w:val="18"/>
                <w:szCs w:val="18"/>
              </w:rPr>
            </w:pPr>
            <w:r w:rsidRPr="001D41EA">
              <w:rPr>
                <w:rFonts w:cs="Arial"/>
                <w:sz w:val="18"/>
                <w:szCs w:val="18"/>
              </w:rPr>
              <w:t>5.4</w:t>
            </w:r>
          </w:p>
        </w:tc>
      </w:tr>
      <w:tr w:rsidR="00B33D8D" w:rsidRPr="001D41EA" w14:paraId="231CFB85"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5B8A0EB" w14:textId="77777777" w:rsidR="00B33D8D" w:rsidRPr="001D41EA" w:rsidRDefault="00B33D8D" w:rsidP="001D41EA">
            <w:pPr>
              <w:spacing w:before="40" w:after="40"/>
              <w:rPr>
                <w:rFonts w:cs="Arial"/>
                <w:sz w:val="18"/>
                <w:szCs w:val="18"/>
              </w:rPr>
            </w:pPr>
            <w:r w:rsidRPr="001D41EA">
              <w:rPr>
                <w:rFonts w:cs="Arial"/>
                <w:sz w:val="18"/>
                <w:szCs w:val="18"/>
              </w:rPr>
              <w:t>Ararat RC</w:t>
            </w:r>
          </w:p>
        </w:tc>
        <w:tc>
          <w:tcPr>
            <w:tcW w:w="1247" w:type="dxa"/>
            <w:tcBorders>
              <w:top w:val="nil"/>
              <w:left w:val="single" w:sz="18" w:space="0" w:color="5F497A" w:themeColor="accent4" w:themeShade="BF"/>
              <w:bottom w:val="nil"/>
              <w:right w:val="nil"/>
            </w:tcBorders>
            <w:shd w:val="clear" w:color="auto" w:fill="auto"/>
            <w:vAlign w:val="bottom"/>
          </w:tcPr>
          <w:p w14:paraId="17021497" w14:textId="69385B85" w:rsidR="00B33D8D" w:rsidRPr="001D41EA" w:rsidRDefault="00B33D8D" w:rsidP="001D41EA">
            <w:pPr>
              <w:spacing w:before="40" w:after="40"/>
              <w:jc w:val="right"/>
              <w:rPr>
                <w:rFonts w:cs="Arial"/>
                <w:sz w:val="18"/>
                <w:szCs w:val="18"/>
              </w:rPr>
            </w:pPr>
            <w:r w:rsidRPr="001D41EA">
              <w:rPr>
                <w:rFonts w:cs="Arial"/>
                <w:sz w:val="18"/>
                <w:szCs w:val="18"/>
              </w:rPr>
              <w:t>11,139</w:t>
            </w:r>
          </w:p>
        </w:tc>
        <w:tc>
          <w:tcPr>
            <w:tcW w:w="1247" w:type="dxa"/>
            <w:tcBorders>
              <w:top w:val="nil"/>
              <w:left w:val="nil"/>
              <w:bottom w:val="nil"/>
              <w:right w:val="nil"/>
            </w:tcBorders>
            <w:vAlign w:val="bottom"/>
          </w:tcPr>
          <w:p w14:paraId="45DCA7B1" w14:textId="321BE026" w:rsidR="00B33D8D" w:rsidRPr="001D41EA" w:rsidRDefault="00B33D8D" w:rsidP="001D41EA">
            <w:pPr>
              <w:spacing w:before="40" w:after="40"/>
              <w:jc w:val="right"/>
              <w:rPr>
                <w:rFonts w:cs="Arial"/>
                <w:sz w:val="18"/>
                <w:szCs w:val="18"/>
              </w:rPr>
            </w:pPr>
            <w:r w:rsidRPr="001D41EA">
              <w:rPr>
                <w:rFonts w:cs="Arial"/>
                <w:sz w:val="18"/>
                <w:szCs w:val="18"/>
              </w:rPr>
              <w:t>11,795</w:t>
            </w:r>
          </w:p>
        </w:tc>
        <w:tc>
          <w:tcPr>
            <w:tcW w:w="1247" w:type="dxa"/>
            <w:tcBorders>
              <w:top w:val="nil"/>
              <w:left w:val="nil"/>
              <w:bottom w:val="nil"/>
              <w:right w:val="nil"/>
            </w:tcBorders>
            <w:shd w:val="clear" w:color="auto" w:fill="auto"/>
            <w:vAlign w:val="bottom"/>
          </w:tcPr>
          <w:p w14:paraId="3D1A0C0A" w14:textId="7272DBAE" w:rsidR="00B33D8D" w:rsidRPr="001D41EA" w:rsidRDefault="00B33D8D" w:rsidP="001D41EA">
            <w:pPr>
              <w:spacing w:before="40" w:after="40"/>
              <w:jc w:val="right"/>
              <w:rPr>
                <w:rFonts w:cs="Arial"/>
                <w:sz w:val="18"/>
                <w:szCs w:val="18"/>
              </w:rPr>
            </w:pPr>
            <w:r w:rsidRPr="001D41EA">
              <w:rPr>
                <w:rFonts w:cs="Arial"/>
                <w:sz w:val="18"/>
                <w:szCs w:val="18"/>
              </w:rPr>
              <w:t>5.9</w:t>
            </w:r>
          </w:p>
        </w:tc>
        <w:tc>
          <w:tcPr>
            <w:tcW w:w="170" w:type="dxa"/>
            <w:tcBorders>
              <w:top w:val="nil"/>
              <w:left w:val="nil"/>
              <w:bottom w:val="nil"/>
              <w:right w:val="nil"/>
            </w:tcBorders>
            <w:shd w:val="clear" w:color="auto" w:fill="auto"/>
            <w:vAlign w:val="bottom"/>
          </w:tcPr>
          <w:p w14:paraId="2B4CB433" w14:textId="3B62A629"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38A9D6D4" w14:textId="528D47CA" w:rsidR="00B33D8D" w:rsidRPr="001D41EA" w:rsidRDefault="00B33D8D" w:rsidP="001D41EA">
            <w:pPr>
              <w:spacing w:before="40" w:after="40"/>
              <w:jc w:val="right"/>
              <w:rPr>
                <w:rFonts w:cs="Arial"/>
                <w:sz w:val="18"/>
                <w:szCs w:val="18"/>
              </w:rPr>
            </w:pPr>
            <w:r w:rsidRPr="001D41EA">
              <w:rPr>
                <w:rFonts w:cs="Arial"/>
                <w:sz w:val="18"/>
                <w:szCs w:val="18"/>
              </w:rPr>
              <w:t>739</w:t>
            </w:r>
          </w:p>
        </w:tc>
        <w:tc>
          <w:tcPr>
            <w:tcW w:w="1247" w:type="dxa"/>
            <w:tcBorders>
              <w:top w:val="nil"/>
              <w:left w:val="nil"/>
              <w:bottom w:val="nil"/>
              <w:right w:val="nil"/>
            </w:tcBorders>
            <w:shd w:val="clear" w:color="auto" w:fill="auto"/>
            <w:vAlign w:val="bottom"/>
          </w:tcPr>
          <w:p w14:paraId="66A355BC" w14:textId="1107E282" w:rsidR="00B33D8D" w:rsidRPr="001D41EA" w:rsidRDefault="00B33D8D" w:rsidP="001D41EA">
            <w:pPr>
              <w:spacing w:before="40" w:after="40"/>
              <w:jc w:val="right"/>
              <w:rPr>
                <w:rFonts w:cs="Arial"/>
                <w:sz w:val="18"/>
                <w:szCs w:val="18"/>
              </w:rPr>
            </w:pPr>
            <w:r w:rsidRPr="001D41EA">
              <w:rPr>
                <w:rFonts w:cs="Arial"/>
                <w:sz w:val="18"/>
                <w:szCs w:val="18"/>
              </w:rPr>
              <w:t>6.3</w:t>
            </w:r>
          </w:p>
        </w:tc>
      </w:tr>
      <w:tr w:rsidR="00B33D8D" w:rsidRPr="001D41EA" w14:paraId="611CE97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9E9D836" w14:textId="77777777" w:rsidR="00B33D8D" w:rsidRPr="001D41EA" w:rsidRDefault="00B33D8D" w:rsidP="001D41EA">
            <w:pPr>
              <w:spacing w:before="40" w:after="40"/>
              <w:rPr>
                <w:rFonts w:cs="Arial"/>
                <w:sz w:val="18"/>
                <w:szCs w:val="18"/>
              </w:rPr>
            </w:pPr>
            <w:r w:rsidRPr="001D41EA">
              <w:rPr>
                <w:rFonts w:cs="Arial"/>
                <w:sz w:val="18"/>
                <w:szCs w:val="18"/>
              </w:rPr>
              <w:t>Ballarat C</w:t>
            </w:r>
          </w:p>
        </w:tc>
        <w:tc>
          <w:tcPr>
            <w:tcW w:w="1247" w:type="dxa"/>
            <w:tcBorders>
              <w:top w:val="nil"/>
              <w:left w:val="single" w:sz="18" w:space="0" w:color="5F497A" w:themeColor="accent4" w:themeShade="BF"/>
              <w:bottom w:val="nil"/>
              <w:right w:val="nil"/>
            </w:tcBorders>
            <w:shd w:val="clear" w:color="auto" w:fill="auto"/>
            <w:vAlign w:val="bottom"/>
          </w:tcPr>
          <w:p w14:paraId="0B18609E" w14:textId="76894BB2" w:rsidR="00B33D8D" w:rsidRPr="001D41EA" w:rsidRDefault="00B33D8D" w:rsidP="001D41EA">
            <w:pPr>
              <w:spacing w:before="40" w:after="40"/>
              <w:jc w:val="right"/>
              <w:rPr>
                <w:rFonts w:cs="Arial"/>
                <w:sz w:val="18"/>
                <w:szCs w:val="18"/>
              </w:rPr>
            </w:pPr>
            <w:r w:rsidRPr="001D41EA">
              <w:rPr>
                <w:rFonts w:cs="Arial"/>
                <w:sz w:val="18"/>
                <w:szCs w:val="18"/>
              </w:rPr>
              <w:t>100,240</w:t>
            </w:r>
          </w:p>
        </w:tc>
        <w:tc>
          <w:tcPr>
            <w:tcW w:w="1247" w:type="dxa"/>
            <w:tcBorders>
              <w:top w:val="nil"/>
              <w:left w:val="nil"/>
              <w:bottom w:val="nil"/>
              <w:right w:val="nil"/>
            </w:tcBorders>
            <w:vAlign w:val="bottom"/>
          </w:tcPr>
          <w:p w14:paraId="413F4E70" w14:textId="0C29EDE5" w:rsidR="00B33D8D" w:rsidRPr="001D41EA" w:rsidRDefault="00B33D8D" w:rsidP="001D41EA">
            <w:pPr>
              <w:spacing w:before="40" w:after="40"/>
              <w:jc w:val="right"/>
              <w:rPr>
                <w:rFonts w:cs="Arial"/>
                <w:sz w:val="18"/>
                <w:szCs w:val="18"/>
              </w:rPr>
            </w:pPr>
            <w:r w:rsidRPr="001D41EA">
              <w:rPr>
                <w:rFonts w:cs="Arial"/>
                <w:sz w:val="18"/>
                <w:szCs w:val="18"/>
              </w:rPr>
              <w:t>107,325</w:t>
            </w:r>
          </w:p>
        </w:tc>
        <w:tc>
          <w:tcPr>
            <w:tcW w:w="1247" w:type="dxa"/>
            <w:tcBorders>
              <w:top w:val="nil"/>
              <w:left w:val="nil"/>
              <w:bottom w:val="nil"/>
              <w:right w:val="nil"/>
            </w:tcBorders>
            <w:shd w:val="clear" w:color="auto" w:fill="auto"/>
            <w:vAlign w:val="bottom"/>
          </w:tcPr>
          <w:p w14:paraId="34B0EBA4" w14:textId="3F9811FB" w:rsidR="00B33D8D" w:rsidRPr="001D41EA" w:rsidRDefault="00B33D8D" w:rsidP="001D41EA">
            <w:pPr>
              <w:spacing w:before="40" w:after="40"/>
              <w:jc w:val="right"/>
              <w:rPr>
                <w:rFonts w:cs="Arial"/>
                <w:sz w:val="18"/>
                <w:szCs w:val="18"/>
              </w:rPr>
            </w:pPr>
            <w:r w:rsidRPr="001D41EA">
              <w:rPr>
                <w:rFonts w:cs="Arial"/>
                <w:sz w:val="18"/>
                <w:szCs w:val="18"/>
              </w:rPr>
              <w:t>7.1</w:t>
            </w:r>
          </w:p>
        </w:tc>
        <w:tc>
          <w:tcPr>
            <w:tcW w:w="170" w:type="dxa"/>
            <w:tcBorders>
              <w:top w:val="nil"/>
              <w:left w:val="nil"/>
              <w:bottom w:val="nil"/>
              <w:right w:val="nil"/>
            </w:tcBorders>
            <w:shd w:val="clear" w:color="auto" w:fill="auto"/>
            <w:vAlign w:val="bottom"/>
          </w:tcPr>
          <w:p w14:paraId="024CBAF7" w14:textId="47F68EF8"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54AD34AD" w14:textId="58D79031" w:rsidR="00B33D8D" w:rsidRPr="001D41EA" w:rsidRDefault="00B33D8D" w:rsidP="001D41EA">
            <w:pPr>
              <w:spacing w:before="40" w:after="40"/>
              <w:jc w:val="right"/>
              <w:rPr>
                <w:rFonts w:cs="Arial"/>
                <w:sz w:val="18"/>
                <w:szCs w:val="18"/>
              </w:rPr>
            </w:pPr>
            <w:r w:rsidRPr="001D41EA">
              <w:rPr>
                <w:rFonts w:cs="Arial"/>
                <w:sz w:val="18"/>
                <w:szCs w:val="18"/>
              </w:rPr>
              <w:t>8,612</w:t>
            </w:r>
          </w:p>
        </w:tc>
        <w:tc>
          <w:tcPr>
            <w:tcW w:w="1247" w:type="dxa"/>
            <w:tcBorders>
              <w:top w:val="nil"/>
              <w:left w:val="nil"/>
              <w:bottom w:val="nil"/>
              <w:right w:val="nil"/>
            </w:tcBorders>
            <w:shd w:val="clear" w:color="auto" w:fill="auto"/>
            <w:vAlign w:val="bottom"/>
          </w:tcPr>
          <w:p w14:paraId="13CAAB5E" w14:textId="60C3884F" w:rsidR="00B33D8D" w:rsidRPr="001D41EA" w:rsidRDefault="00B33D8D" w:rsidP="001D41EA">
            <w:pPr>
              <w:spacing w:before="40" w:after="40"/>
              <w:jc w:val="right"/>
              <w:rPr>
                <w:rFonts w:cs="Arial"/>
                <w:sz w:val="18"/>
                <w:szCs w:val="18"/>
              </w:rPr>
            </w:pPr>
            <w:r w:rsidRPr="001D41EA">
              <w:rPr>
                <w:rFonts w:cs="Arial"/>
                <w:sz w:val="18"/>
                <w:szCs w:val="18"/>
              </w:rPr>
              <w:t>8.0</w:t>
            </w:r>
          </w:p>
        </w:tc>
      </w:tr>
      <w:tr w:rsidR="00B33D8D" w:rsidRPr="001D41EA" w14:paraId="311DF0D4"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D34B260" w14:textId="77777777" w:rsidR="00B33D8D" w:rsidRPr="001D41EA" w:rsidRDefault="00B33D8D" w:rsidP="001D41EA">
            <w:pPr>
              <w:spacing w:before="40" w:after="40"/>
              <w:rPr>
                <w:rFonts w:cs="Arial"/>
                <w:sz w:val="18"/>
                <w:szCs w:val="18"/>
              </w:rPr>
            </w:pPr>
            <w:r w:rsidRPr="001D41EA">
              <w:rPr>
                <w:rFonts w:cs="Arial"/>
                <w:sz w:val="18"/>
                <w:szCs w:val="18"/>
              </w:rPr>
              <w:t>Banyule C</w:t>
            </w:r>
          </w:p>
        </w:tc>
        <w:tc>
          <w:tcPr>
            <w:tcW w:w="1247" w:type="dxa"/>
            <w:tcBorders>
              <w:top w:val="nil"/>
              <w:left w:val="single" w:sz="18" w:space="0" w:color="5F497A" w:themeColor="accent4" w:themeShade="BF"/>
              <w:bottom w:val="nil"/>
              <w:right w:val="nil"/>
            </w:tcBorders>
            <w:shd w:val="clear" w:color="auto" w:fill="auto"/>
            <w:vAlign w:val="bottom"/>
          </w:tcPr>
          <w:p w14:paraId="59ABDF4B" w14:textId="485116BD" w:rsidR="00B33D8D" w:rsidRPr="001D41EA" w:rsidRDefault="00B33D8D" w:rsidP="001D41EA">
            <w:pPr>
              <w:spacing w:before="40" w:after="40"/>
              <w:jc w:val="right"/>
              <w:rPr>
                <w:rFonts w:cs="Arial"/>
                <w:sz w:val="18"/>
                <w:szCs w:val="18"/>
              </w:rPr>
            </w:pPr>
            <w:r w:rsidRPr="001D41EA">
              <w:rPr>
                <w:rFonts w:cs="Arial"/>
                <w:sz w:val="18"/>
                <w:szCs w:val="18"/>
              </w:rPr>
              <w:t>125,451</w:t>
            </w:r>
          </w:p>
        </w:tc>
        <w:tc>
          <w:tcPr>
            <w:tcW w:w="1247" w:type="dxa"/>
            <w:tcBorders>
              <w:top w:val="nil"/>
              <w:left w:val="nil"/>
              <w:bottom w:val="nil"/>
              <w:right w:val="nil"/>
            </w:tcBorders>
            <w:vAlign w:val="bottom"/>
          </w:tcPr>
          <w:p w14:paraId="31A238F5" w14:textId="69E23AE8" w:rsidR="00B33D8D" w:rsidRPr="001D41EA" w:rsidRDefault="00B33D8D" w:rsidP="001D41EA">
            <w:pPr>
              <w:spacing w:before="40" w:after="40"/>
              <w:jc w:val="right"/>
              <w:rPr>
                <w:rFonts w:cs="Arial"/>
                <w:sz w:val="18"/>
                <w:szCs w:val="18"/>
              </w:rPr>
            </w:pPr>
            <w:r w:rsidRPr="001D41EA">
              <w:rPr>
                <w:rFonts w:cs="Arial"/>
                <w:sz w:val="18"/>
                <w:szCs w:val="18"/>
              </w:rPr>
              <w:t>130,237</w:t>
            </w:r>
          </w:p>
        </w:tc>
        <w:tc>
          <w:tcPr>
            <w:tcW w:w="1247" w:type="dxa"/>
            <w:tcBorders>
              <w:top w:val="nil"/>
              <w:left w:val="nil"/>
              <w:bottom w:val="nil"/>
              <w:right w:val="nil"/>
            </w:tcBorders>
            <w:shd w:val="clear" w:color="auto" w:fill="auto"/>
            <w:vAlign w:val="bottom"/>
          </w:tcPr>
          <w:p w14:paraId="376FDA62" w14:textId="26FAC5DA" w:rsidR="00B33D8D" w:rsidRPr="001D41EA" w:rsidRDefault="00B33D8D" w:rsidP="001D41EA">
            <w:pPr>
              <w:spacing w:before="40" w:after="40"/>
              <w:jc w:val="right"/>
              <w:rPr>
                <w:rFonts w:cs="Arial"/>
                <w:sz w:val="18"/>
                <w:szCs w:val="18"/>
              </w:rPr>
            </w:pPr>
            <w:r w:rsidRPr="001D41EA">
              <w:rPr>
                <w:rFonts w:cs="Arial"/>
                <w:sz w:val="18"/>
                <w:szCs w:val="18"/>
              </w:rPr>
              <w:t>3.8</w:t>
            </w:r>
          </w:p>
        </w:tc>
        <w:tc>
          <w:tcPr>
            <w:tcW w:w="170" w:type="dxa"/>
            <w:tcBorders>
              <w:top w:val="nil"/>
              <w:left w:val="nil"/>
              <w:bottom w:val="nil"/>
              <w:right w:val="nil"/>
            </w:tcBorders>
            <w:shd w:val="clear" w:color="auto" w:fill="auto"/>
            <w:vAlign w:val="bottom"/>
          </w:tcPr>
          <w:p w14:paraId="5919B119" w14:textId="7D85016D"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49AC0192" w14:textId="7294AC81" w:rsidR="00B33D8D" w:rsidRPr="001D41EA" w:rsidRDefault="00B33D8D" w:rsidP="001D41EA">
            <w:pPr>
              <w:spacing w:before="40" w:after="40"/>
              <w:jc w:val="right"/>
              <w:rPr>
                <w:rFonts w:cs="Arial"/>
                <w:sz w:val="18"/>
                <w:szCs w:val="18"/>
              </w:rPr>
            </w:pPr>
            <w:r w:rsidRPr="001D41EA">
              <w:rPr>
                <w:rFonts w:cs="Arial"/>
                <w:sz w:val="18"/>
                <w:szCs w:val="18"/>
              </w:rPr>
              <w:t>10,155</w:t>
            </w:r>
          </w:p>
        </w:tc>
        <w:tc>
          <w:tcPr>
            <w:tcW w:w="1247" w:type="dxa"/>
            <w:tcBorders>
              <w:top w:val="nil"/>
              <w:left w:val="nil"/>
              <w:bottom w:val="nil"/>
              <w:right w:val="nil"/>
            </w:tcBorders>
            <w:shd w:val="clear" w:color="auto" w:fill="auto"/>
            <w:vAlign w:val="bottom"/>
          </w:tcPr>
          <w:p w14:paraId="66C510AF" w14:textId="4CAABF15" w:rsidR="00B33D8D" w:rsidRPr="001D41EA" w:rsidRDefault="00B33D8D" w:rsidP="001D41EA">
            <w:pPr>
              <w:spacing w:before="40" w:after="40"/>
              <w:jc w:val="right"/>
              <w:rPr>
                <w:rFonts w:cs="Arial"/>
                <w:sz w:val="18"/>
                <w:szCs w:val="18"/>
              </w:rPr>
            </w:pPr>
            <w:r w:rsidRPr="001D41EA">
              <w:rPr>
                <w:rFonts w:cs="Arial"/>
                <w:sz w:val="18"/>
                <w:szCs w:val="18"/>
              </w:rPr>
              <w:t>7.8</w:t>
            </w:r>
          </w:p>
        </w:tc>
      </w:tr>
      <w:tr w:rsidR="00B33D8D" w:rsidRPr="001D41EA" w14:paraId="66CD51C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4ACB407" w14:textId="77777777" w:rsidR="00B33D8D" w:rsidRPr="001D41EA" w:rsidRDefault="00B33D8D" w:rsidP="001D41EA">
            <w:pPr>
              <w:spacing w:before="40" w:after="40"/>
              <w:rPr>
                <w:rFonts w:cs="Arial"/>
                <w:sz w:val="18"/>
                <w:szCs w:val="18"/>
              </w:rPr>
            </w:pPr>
            <w:r w:rsidRPr="001D41EA">
              <w:rPr>
                <w:rFonts w:cs="Arial"/>
                <w:sz w:val="18"/>
                <w:szCs w:val="18"/>
              </w:rPr>
              <w:t>Bass Coast S</w:t>
            </w:r>
          </w:p>
        </w:tc>
        <w:tc>
          <w:tcPr>
            <w:tcW w:w="1247" w:type="dxa"/>
            <w:tcBorders>
              <w:top w:val="nil"/>
              <w:left w:val="single" w:sz="18" w:space="0" w:color="5F497A" w:themeColor="accent4" w:themeShade="BF"/>
              <w:bottom w:val="nil"/>
              <w:right w:val="nil"/>
            </w:tcBorders>
            <w:shd w:val="clear" w:color="auto" w:fill="auto"/>
            <w:vAlign w:val="bottom"/>
          </w:tcPr>
          <w:p w14:paraId="50836787" w14:textId="4D7169F6" w:rsidR="00B33D8D" w:rsidRPr="001D41EA" w:rsidRDefault="00B33D8D" w:rsidP="001D41EA">
            <w:pPr>
              <w:spacing w:before="40" w:after="40"/>
              <w:jc w:val="right"/>
              <w:rPr>
                <w:rFonts w:cs="Arial"/>
                <w:sz w:val="18"/>
                <w:szCs w:val="18"/>
              </w:rPr>
            </w:pPr>
            <w:r w:rsidRPr="001D41EA">
              <w:rPr>
                <w:rFonts w:cs="Arial"/>
                <w:sz w:val="18"/>
                <w:szCs w:val="18"/>
              </w:rPr>
              <w:t>31,610</w:t>
            </w:r>
          </w:p>
        </w:tc>
        <w:tc>
          <w:tcPr>
            <w:tcW w:w="1247" w:type="dxa"/>
            <w:tcBorders>
              <w:top w:val="nil"/>
              <w:left w:val="nil"/>
              <w:bottom w:val="nil"/>
              <w:right w:val="nil"/>
            </w:tcBorders>
            <w:vAlign w:val="bottom"/>
          </w:tcPr>
          <w:p w14:paraId="5C2790F7" w14:textId="12FADA56" w:rsidR="00B33D8D" w:rsidRPr="001D41EA" w:rsidRDefault="00B33D8D" w:rsidP="001D41EA">
            <w:pPr>
              <w:spacing w:before="40" w:after="40"/>
              <w:jc w:val="right"/>
              <w:rPr>
                <w:rFonts w:cs="Arial"/>
                <w:sz w:val="18"/>
                <w:szCs w:val="18"/>
              </w:rPr>
            </w:pPr>
            <w:r w:rsidRPr="001D41EA">
              <w:rPr>
                <w:rFonts w:cs="Arial"/>
                <w:sz w:val="18"/>
                <w:szCs w:val="18"/>
              </w:rPr>
              <w:t>35,327</w:t>
            </w:r>
          </w:p>
        </w:tc>
        <w:tc>
          <w:tcPr>
            <w:tcW w:w="1247" w:type="dxa"/>
            <w:tcBorders>
              <w:top w:val="nil"/>
              <w:left w:val="nil"/>
              <w:bottom w:val="nil"/>
              <w:right w:val="nil"/>
            </w:tcBorders>
            <w:shd w:val="clear" w:color="auto" w:fill="auto"/>
            <w:vAlign w:val="bottom"/>
          </w:tcPr>
          <w:p w14:paraId="74F13549" w14:textId="3C96D229" w:rsidR="00B33D8D" w:rsidRPr="001D41EA" w:rsidRDefault="00B33D8D" w:rsidP="001D41EA">
            <w:pPr>
              <w:spacing w:before="40" w:after="40"/>
              <w:jc w:val="right"/>
              <w:rPr>
                <w:rFonts w:cs="Arial"/>
                <w:sz w:val="18"/>
                <w:szCs w:val="18"/>
              </w:rPr>
            </w:pPr>
            <w:r w:rsidRPr="001D41EA">
              <w:rPr>
                <w:rFonts w:cs="Arial"/>
                <w:sz w:val="18"/>
                <w:szCs w:val="18"/>
              </w:rPr>
              <w:t>11.8</w:t>
            </w:r>
          </w:p>
        </w:tc>
        <w:tc>
          <w:tcPr>
            <w:tcW w:w="170" w:type="dxa"/>
            <w:tcBorders>
              <w:top w:val="nil"/>
              <w:left w:val="nil"/>
              <w:bottom w:val="nil"/>
              <w:right w:val="nil"/>
            </w:tcBorders>
            <w:shd w:val="clear" w:color="auto" w:fill="auto"/>
            <w:vAlign w:val="bottom"/>
          </w:tcPr>
          <w:p w14:paraId="64961E63" w14:textId="01093C3A"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E18B951" w14:textId="5A581B91" w:rsidR="00B33D8D" w:rsidRPr="001D41EA" w:rsidRDefault="00B33D8D" w:rsidP="001D41EA">
            <w:pPr>
              <w:spacing w:before="40" w:after="40"/>
              <w:jc w:val="right"/>
              <w:rPr>
                <w:rFonts w:cs="Arial"/>
                <w:sz w:val="18"/>
                <w:szCs w:val="18"/>
              </w:rPr>
            </w:pPr>
            <w:r w:rsidRPr="001D41EA">
              <w:rPr>
                <w:rFonts w:cs="Arial"/>
                <w:sz w:val="18"/>
                <w:szCs w:val="18"/>
              </w:rPr>
              <w:t>2,378</w:t>
            </w:r>
          </w:p>
        </w:tc>
        <w:tc>
          <w:tcPr>
            <w:tcW w:w="1247" w:type="dxa"/>
            <w:tcBorders>
              <w:top w:val="nil"/>
              <w:left w:val="nil"/>
              <w:bottom w:val="nil"/>
              <w:right w:val="nil"/>
            </w:tcBorders>
            <w:shd w:val="clear" w:color="auto" w:fill="auto"/>
            <w:vAlign w:val="bottom"/>
          </w:tcPr>
          <w:p w14:paraId="458A5435" w14:textId="012660BF" w:rsidR="00B33D8D" w:rsidRPr="001D41EA" w:rsidRDefault="00B33D8D" w:rsidP="001D41EA">
            <w:pPr>
              <w:spacing w:before="40" w:after="40"/>
              <w:jc w:val="right"/>
              <w:rPr>
                <w:rFonts w:cs="Arial"/>
                <w:sz w:val="18"/>
                <w:szCs w:val="18"/>
              </w:rPr>
            </w:pPr>
            <w:r w:rsidRPr="001D41EA">
              <w:rPr>
                <w:rFonts w:cs="Arial"/>
                <w:sz w:val="18"/>
                <w:szCs w:val="18"/>
              </w:rPr>
              <w:t>6.7</w:t>
            </w:r>
          </w:p>
        </w:tc>
      </w:tr>
      <w:tr w:rsidR="00B33D8D" w:rsidRPr="001D41EA" w14:paraId="6CB45625"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DC798BB" w14:textId="77777777" w:rsidR="00B33D8D" w:rsidRPr="001D41EA" w:rsidRDefault="00B33D8D" w:rsidP="001D41EA">
            <w:pPr>
              <w:spacing w:before="40" w:after="40"/>
              <w:rPr>
                <w:rFonts w:cs="Arial"/>
                <w:sz w:val="18"/>
                <w:szCs w:val="18"/>
              </w:rPr>
            </w:pPr>
            <w:r w:rsidRPr="001D41EA">
              <w:rPr>
                <w:rFonts w:cs="Arial"/>
                <w:sz w:val="18"/>
                <w:szCs w:val="18"/>
              </w:rPr>
              <w:t>Baw Baw S</w:t>
            </w:r>
          </w:p>
        </w:tc>
        <w:tc>
          <w:tcPr>
            <w:tcW w:w="1247" w:type="dxa"/>
            <w:tcBorders>
              <w:top w:val="nil"/>
              <w:left w:val="single" w:sz="18" w:space="0" w:color="5F497A" w:themeColor="accent4" w:themeShade="BF"/>
              <w:bottom w:val="nil"/>
              <w:right w:val="nil"/>
            </w:tcBorders>
            <w:shd w:val="clear" w:color="auto" w:fill="auto"/>
            <w:vAlign w:val="bottom"/>
          </w:tcPr>
          <w:p w14:paraId="1D3B42C9" w14:textId="385A40E0" w:rsidR="00B33D8D" w:rsidRPr="001D41EA" w:rsidRDefault="00B33D8D" w:rsidP="001D41EA">
            <w:pPr>
              <w:spacing w:before="40" w:after="40"/>
              <w:jc w:val="right"/>
              <w:rPr>
                <w:rFonts w:cs="Arial"/>
                <w:sz w:val="18"/>
                <w:szCs w:val="18"/>
              </w:rPr>
            </w:pPr>
            <w:r w:rsidRPr="001D41EA">
              <w:rPr>
                <w:rFonts w:cs="Arial"/>
                <w:sz w:val="18"/>
                <w:szCs w:val="18"/>
              </w:rPr>
              <w:t>46,055</w:t>
            </w:r>
          </w:p>
        </w:tc>
        <w:tc>
          <w:tcPr>
            <w:tcW w:w="1247" w:type="dxa"/>
            <w:tcBorders>
              <w:top w:val="nil"/>
              <w:left w:val="nil"/>
              <w:bottom w:val="nil"/>
              <w:right w:val="nil"/>
            </w:tcBorders>
            <w:vAlign w:val="bottom"/>
          </w:tcPr>
          <w:p w14:paraId="057DCE73" w14:textId="7977A1C5" w:rsidR="00B33D8D" w:rsidRPr="001D41EA" w:rsidRDefault="00B33D8D" w:rsidP="001D41EA">
            <w:pPr>
              <w:spacing w:before="40" w:after="40"/>
              <w:jc w:val="right"/>
              <w:rPr>
                <w:rFonts w:cs="Arial"/>
                <w:sz w:val="18"/>
                <w:szCs w:val="18"/>
              </w:rPr>
            </w:pPr>
            <w:r w:rsidRPr="001D41EA">
              <w:rPr>
                <w:rFonts w:cs="Arial"/>
                <w:sz w:val="18"/>
                <w:szCs w:val="18"/>
              </w:rPr>
              <w:t>52,111</w:t>
            </w:r>
          </w:p>
        </w:tc>
        <w:tc>
          <w:tcPr>
            <w:tcW w:w="1247" w:type="dxa"/>
            <w:tcBorders>
              <w:top w:val="nil"/>
              <w:left w:val="nil"/>
              <w:bottom w:val="nil"/>
              <w:right w:val="nil"/>
            </w:tcBorders>
            <w:shd w:val="clear" w:color="auto" w:fill="auto"/>
            <w:vAlign w:val="bottom"/>
          </w:tcPr>
          <w:p w14:paraId="4665B272" w14:textId="7D860A68" w:rsidR="00B33D8D" w:rsidRPr="001D41EA" w:rsidRDefault="00B33D8D" w:rsidP="001D41EA">
            <w:pPr>
              <w:spacing w:before="40" w:after="40"/>
              <w:jc w:val="right"/>
              <w:rPr>
                <w:rFonts w:cs="Arial"/>
                <w:sz w:val="18"/>
                <w:szCs w:val="18"/>
              </w:rPr>
            </w:pPr>
            <w:r w:rsidRPr="001D41EA">
              <w:rPr>
                <w:rFonts w:cs="Arial"/>
                <w:sz w:val="18"/>
                <w:szCs w:val="18"/>
              </w:rPr>
              <w:t>13.1</w:t>
            </w:r>
          </w:p>
        </w:tc>
        <w:tc>
          <w:tcPr>
            <w:tcW w:w="170" w:type="dxa"/>
            <w:tcBorders>
              <w:top w:val="nil"/>
              <w:left w:val="nil"/>
              <w:bottom w:val="nil"/>
              <w:right w:val="nil"/>
            </w:tcBorders>
            <w:shd w:val="clear" w:color="auto" w:fill="auto"/>
            <w:vAlign w:val="bottom"/>
          </w:tcPr>
          <w:p w14:paraId="467BA0BF" w14:textId="1A4A4420"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0FD2975B" w14:textId="2E243B58" w:rsidR="00B33D8D" w:rsidRPr="001D41EA" w:rsidRDefault="00B33D8D" w:rsidP="001D41EA">
            <w:pPr>
              <w:spacing w:before="40" w:after="40"/>
              <w:jc w:val="right"/>
              <w:rPr>
                <w:rFonts w:cs="Arial"/>
                <w:sz w:val="18"/>
                <w:szCs w:val="18"/>
              </w:rPr>
            </w:pPr>
            <w:r w:rsidRPr="001D41EA">
              <w:rPr>
                <w:rFonts w:cs="Arial"/>
                <w:sz w:val="18"/>
                <w:szCs w:val="18"/>
              </w:rPr>
              <w:t>4,051</w:t>
            </w:r>
          </w:p>
        </w:tc>
        <w:tc>
          <w:tcPr>
            <w:tcW w:w="1247" w:type="dxa"/>
            <w:tcBorders>
              <w:top w:val="nil"/>
              <w:left w:val="nil"/>
              <w:bottom w:val="nil"/>
              <w:right w:val="nil"/>
            </w:tcBorders>
            <w:shd w:val="clear" w:color="auto" w:fill="auto"/>
            <w:vAlign w:val="bottom"/>
          </w:tcPr>
          <w:p w14:paraId="1D053AFA" w14:textId="3F056FE4" w:rsidR="00B33D8D" w:rsidRPr="001D41EA" w:rsidRDefault="00B33D8D" w:rsidP="001D41EA">
            <w:pPr>
              <w:spacing w:before="40" w:after="40"/>
              <w:jc w:val="right"/>
              <w:rPr>
                <w:rFonts w:cs="Arial"/>
                <w:sz w:val="18"/>
                <w:szCs w:val="18"/>
              </w:rPr>
            </w:pPr>
            <w:r w:rsidRPr="001D41EA">
              <w:rPr>
                <w:rFonts w:cs="Arial"/>
                <w:sz w:val="18"/>
                <w:szCs w:val="18"/>
              </w:rPr>
              <w:t>7.8</w:t>
            </w:r>
          </w:p>
        </w:tc>
      </w:tr>
      <w:tr w:rsidR="00B33D8D" w:rsidRPr="001D41EA" w14:paraId="5C4390D4"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D59B4AA" w14:textId="77777777" w:rsidR="00B33D8D" w:rsidRPr="001D41EA" w:rsidRDefault="00B33D8D" w:rsidP="001D41EA">
            <w:pPr>
              <w:spacing w:before="40" w:after="40"/>
              <w:rPr>
                <w:rFonts w:cs="Arial"/>
                <w:sz w:val="18"/>
                <w:szCs w:val="18"/>
              </w:rPr>
            </w:pPr>
            <w:r w:rsidRPr="001D41EA">
              <w:rPr>
                <w:rFonts w:cs="Arial"/>
                <w:sz w:val="18"/>
                <w:szCs w:val="18"/>
              </w:rPr>
              <w:t>Bayside C</w:t>
            </w:r>
          </w:p>
        </w:tc>
        <w:tc>
          <w:tcPr>
            <w:tcW w:w="1247" w:type="dxa"/>
            <w:tcBorders>
              <w:top w:val="nil"/>
              <w:left w:val="single" w:sz="18" w:space="0" w:color="5F497A" w:themeColor="accent4" w:themeShade="BF"/>
              <w:bottom w:val="nil"/>
              <w:right w:val="nil"/>
            </w:tcBorders>
            <w:shd w:val="clear" w:color="auto" w:fill="auto"/>
            <w:vAlign w:val="bottom"/>
          </w:tcPr>
          <w:p w14:paraId="5574B4E6" w14:textId="4EA25E43" w:rsidR="00B33D8D" w:rsidRPr="001D41EA" w:rsidRDefault="00B33D8D" w:rsidP="001D41EA">
            <w:pPr>
              <w:spacing w:before="40" w:after="40"/>
              <w:jc w:val="right"/>
              <w:rPr>
                <w:rFonts w:cs="Arial"/>
                <w:sz w:val="18"/>
                <w:szCs w:val="18"/>
              </w:rPr>
            </w:pPr>
            <w:r w:rsidRPr="001D41EA">
              <w:rPr>
                <w:rFonts w:cs="Arial"/>
                <w:sz w:val="18"/>
                <w:szCs w:val="18"/>
              </w:rPr>
              <w:t>99,914</w:t>
            </w:r>
          </w:p>
        </w:tc>
        <w:tc>
          <w:tcPr>
            <w:tcW w:w="1247" w:type="dxa"/>
            <w:tcBorders>
              <w:top w:val="nil"/>
              <w:left w:val="nil"/>
              <w:bottom w:val="nil"/>
              <w:right w:val="nil"/>
            </w:tcBorders>
            <w:vAlign w:val="bottom"/>
          </w:tcPr>
          <w:p w14:paraId="794CBEE8" w14:textId="4607016A" w:rsidR="00B33D8D" w:rsidRPr="001D41EA" w:rsidRDefault="00B33D8D" w:rsidP="001D41EA">
            <w:pPr>
              <w:spacing w:before="40" w:after="40"/>
              <w:jc w:val="right"/>
              <w:rPr>
                <w:rFonts w:cs="Arial"/>
                <w:sz w:val="18"/>
                <w:szCs w:val="18"/>
              </w:rPr>
            </w:pPr>
            <w:r w:rsidRPr="001D41EA">
              <w:rPr>
                <w:rFonts w:cs="Arial"/>
                <w:sz w:val="18"/>
                <w:szCs w:val="18"/>
              </w:rPr>
              <w:t>105,718</w:t>
            </w:r>
          </w:p>
        </w:tc>
        <w:tc>
          <w:tcPr>
            <w:tcW w:w="1247" w:type="dxa"/>
            <w:tcBorders>
              <w:top w:val="nil"/>
              <w:left w:val="nil"/>
              <w:bottom w:val="nil"/>
              <w:right w:val="nil"/>
            </w:tcBorders>
            <w:shd w:val="clear" w:color="auto" w:fill="auto"/>
            <w:vAlign w:val="bottom"/>
          </w:tcPr>
          <w:p w14:paraId="1044C4F1" w14:textId="15CE0784" w:rsidR="00B33D8D" w:rsidRPr="001D41EA" w:rsidRDefault="00B33D8D" w:rsidP="001D41EA">
            <w:pPr>
              <w:spacing w:before="40" w:after="40"/>
              <w:jc w:val="right"/>
              <w:rPr>
                <w:rFonts w:cs="Arial"/>
                <w:sz w:val="18"/>
                <w:szCs w:val="18"/>
              </w:rPr>
            </w:pPr>
            <w:r w:rsidRPr="001D41EA">
              <w:rPr>
                <w:rFonts w:cs="Arial"/>
                <w:sz w:val="18"/>
                <w:szCs w:val="18"/>
              </w:rPr>
              <w:t>5.8</w:t>
            </w:r>
          </w:p>
        </w:tc>
        <w:tc>
          <w:tcPr>
            <w:tcW w:w="170" w:type="dxa"/>
            <w:tcBorders>
              <w:top w:val="nil"/>
              <w:left w:val="nil"/>
              <w:bottom w:val="nil"/>
              <w:right w:val="nil"/>
            </w:tcBorders>
            <w:shd w:val="clear" w:color="auto" w:fill="auto"/>
            <w:vAlign w:val="bottom"/>
          </w:tcPr>
          <w:p w14:paraId="3944125D" w14:textId="1C031BC9"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03815833" w14:textId="3E4DB6C6" w:rsidR="00B33D8D" w:rsidRPr="001D41EA" w:rsidRDefault="00B33D8D" w:rsidP="001D41EA">
            <w:pPr>
              <w:spacing w:before="40" w:after="40"/>
              <w:jc w:val="right"/>
              <w:rPr>
                <w:rFonts w:cs="Arial"/>
                <w:sz w:val="18"/>
                <w:szCs w:val="18"/>
              </w:rPr>
            </w:pPr>
            <w:r w:rsidRPr="001D41EA">
              <w:rPr>
                <w:rFonts w:cs="Arial"/>
                <w:sz w:val="18"/>
                <w:szCs w:val="18"/>
              </w:rPr>
              <w:t>6,831</w:t>
            </w:r>
          </w:p>
        </w:tc>
        <w:tc>
          <w:tcPr>
            <w:tcW w:w="1247" w:type="dxa"/>
            <w:tcBorders>
              <w:top w:val="nil"/>
              <w:left w:val="nil"/>
              <w:bottom w:val="nil"/>
              <w:right w:val="nil"/>
            </w:tcBorders>
            <w:shd w:val="clear" w:color="auto" w:fill="auto"/>
            <w:vAlign w:val="bottom"/>
          </w:tcPr>
          <w:p w14:paraId="14214AE9" w14:textId="4669B214" w:rsidR="00B33D8D" w:rsidRPr="001D41EA" w:rsidRDefault="00B33D8D" w:rsidP="001D41EA">
            <w:pPr>
              <w:spacing w:before="40" w:after="40"/>
              <w:jc w:val="right"/>
              <w:rPr>
                <w:rFonts w:cs="Arial"/>
                <w:sz w:val="18"/>
                <w:szCs w:val="18"/>
              </w:rPr>
            </w:pPr>
            <w:r w:rsidRPr="001D41EA">
              <w:rPr>
                <w:rFonts w:cs="Arial"/>
                <w:sz w:val="18"/>
                <w:szCs w:val="18"/>
              </w:rPr>
              <w:t>6.5</w:t>
            </w:r>
          </w:p>
        </w:tc>
      </w:tr>
      <w:tr w:rsidR="00B33D8D" w:rsidRPr="001D41EA" w14:paraId="6D4BACD6"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717FA19" w14:textId="77777777" w:rsidR="00B33D8D" w:rsidRPr="001D41EA" w:rsidRDefault="00B33D8D" w:rsidP="001D41EA">
            <w:pPr>
              <w:spacing w:before="40" w:after="40"/>
              <w:rPr>
                <w:rFonts w:cs="Arial"/>
                <w:sz w:val="18"/>
                <w:szCs w:val="18"/>
              </w:rPr>
            </w:pPr>
            <w:r w:rsidRPr="001D41EA">
              <w:rPr>
                <w:rFonts w:cs="Arial"/>
                <w:sz w:val="18"/>
                <w:szCs w:val="18"/>
              </w:rPr>
              <w:t>Benalla RC</w:t>
            </w:r>
          </w:p>
        </w:tc>
        <w:tc>
          <w:tcPr>
            <w:tcW w:w="1247" w:type="dxa"/>
            <w:tcBorders>
              <w:top w:val="nil"/>
              <w:left w:val="single" w:sz="18" w:space="0" w:color="5F497A" w:themeColor="accent4" w:themeShade="BF"/>
              <w:bottom w:val="nil"/>
              <w:right w:val="nil"/>
            </w:tcBorders>
            <w:shd w:val="clear" w:color="auto" w:fill="auto"/>
            <w:vAlign w:val="bottom"/>
          </w:tcPr>
          <w:p w14:paraId="5DE245D4" w14:textId="5FE19589" w:rsidR="00B33D8D" w:rsidRPr="001D41EA" w:rsidRDefault="00B33D8D" w:rsidP="001D41EA">
            <w:pPr>
              <w:spacing w:before="40" w:after="40"/>
              <w:jc w:val="right"/>
              <w:rPr>
                <w:rFonts w:cs="Arial"/>
                <w:sz w:val="18"/>
                <w:szCs w:val="18"/>
              </w:rPr>
            </w:pPr>
            <w:r w:rsidRPr="001D41EA">
              <w:rPr>
                <w:rFonts w:cs="Arial"/>
                <w:sz w:val="18"/>
                <w:szCs w:val="18"/>
              </w:rPr>
              <w:t>13,603</w:t>
            </w:r>
          </w:p>
        </w:tc>
        <w:tc>
          <w:tcPr>
            <w:tcW w:w="1247" w:type="dxa"/>
            <w:tcBorders>
              <w:top w:val="nil"/>
              <w:left w:val="nil"/>
              <w:bottom w:val="nil"/>
              <w:right w:val="nil"/>
            </w:tcBorders>
            <w:vAlign w:val="bottom"/>
          </w:tcPr>
          <w:p w14:paraId="4C9DD16C" w14:textId="6C3294AA" w:rsidR="00B33D8D" w:rsidRPr="001D41EA" w:rsidRDefault="00B33D8D" w:rsidP="001D41EA">
            <w:pPr>
              <w:spacing w:before="40" w:after="40"/>
              <w:jc w:val="right"/>
              <w:rPr>
                <w:rFonts w:cs="Arial"/>
                <w:sz w:val="18"/>
                <w:szCs w:val="18"/>
              </w:rPr>
            </w:pPr>
            <w:r w:rsidRPr="001D41EA">
              <w:rPr>
                <w:rFonts w:cs="Arial"/>
                <w:sz w:val="18"/>
                <w:szCs w:val="18"/>
              </w:rPr>
              <w:t>14,024</w:t>
            </w:r>
          </w:p>
        </w:tc>
        <w:tc>
          <w:tcPr>
            <w:tcW w:w="1247" w:type="dxa"/>
            <w:tcBorders>
              <w:top w:val="nil"/>
              <w:left w:val="nil"/>
              <w:bottom w:val="nil"/>
              <w:right w:val="nil"/>
            </w:tcBorders>
            <w:shd w:val="clear" w:color="auto" w:fill="auto"/>
            <w:vAlign w:val="bottom"/>
          </w:tcPr>
          <w:p w14:paraId="5D77FC4A" w14:textId="6B7E2D2D" w:rsidR="00B33D8D" w:rsidRPr="001D41EA" w:rsidRDefault="00B33D8D" w:rsidP="001D41EA">
            <w:pPr>
              <w:spacing w:before="40" w:after="40"/>
              <w:jc w:val="right"/>
              <w:rPr>
                <w:rFonts w:cs="Arial"/>
                <w:sz w:val="18"/>
                <w:szCs w:val="18"/>
              </w:rPr>
            </w:pPr>
            <w:r w:rsidRPr="001D41EA">
              <w:rPr>
                <w:rFonts w:cs="Arial"/>
                <w:sz w:val="18"/>
                <w:szCs w:val="18"/>
              </w:rPr>
              <w:t>3.1</w:t>
            </w:r>
          </w:p>
        </w:tc>
        <w:tc>
          <w:tcPr>
            <w:tcW w:w="170" w:type="dxa"/>
            <w:tcBorders>
              <w:top w:val="nil"/>
              <w:left w:val="nil"/>
              <w:bottom w:val="nil"/>
              <w:right w:val="nil"/>
            </w:tcBorders>
            <w:shd w:val="clear" w:color="auto" w:fill="auto"/>
            <w:vAlign w:val="bottom"/>
          </w:tcPr>
          <w:p w14:paraId="5F169DD7" w14:textId="6297F515"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01B21DB9" w14:textId="7AA20975" w:rsidR="00B33D8D" w:rsidRPr="001D41EA" w:rsidRDefault="00B33D8D" w:rsidP="001D41EA">
            <w:pPr>
              <w:spacing w:before="40" w:after="40"/>
              <w:jc w:val="right"/>
              <w:rPr>
                <w:rFonts w:cs="Arial"/>
                <w:sz w:val="18"/>
                <w:szCs w:val="18"/>
              </w:rPr>
            </w:pPr>
            <w:r w:rsidRPr="001D41EA">
              <w:rPr>
                <w:rFonts w:cs="Arial"/>
                <w:sz w:val="18"/>
                <w:szCs w:val="18"/>
              </w:rPr>
              <w:t>877</w:t>
            </w:r>
          </w:p>
        </w:tc>
        <w:tc>
          <w:tcPr>
            <w:tcW w:w="1247" w:type="dxa"/>
            <w:tcBorders>
              <w:top w:val="nil"/>
              <w:left w:val="nil"/>
              <w:bottom w:val="nil"/>
              <w:right w:val="nil"/>
            </w:tcBorders>
            <w:shd w:val="clear" w:color="auto" w:fill="auto"/>
            <w:vAlign w:val="bottom"/>
          </w:tcPr>
          <w:p w14:paraId="292AE2CD" w14:textId="3551BDBF" w:rsidR="00B33D8D" w:rsidRPr="001D41EA" w:rsidRDefault="00B33D8D" w:rsidP="001D41EA">
            <w:pPr>
              <w:spacing w:before="40" w:after="40"/>
              <w:jc w:val="right"/>
              <w:rPr>
                <w:rFonts w:cs="Arial"/>
                <w:sz w:val="18"/>
                <w:szCs w:val="18"/>
              </w:rPr>
            </w:pPr>
            <w:r w:rsidRPr="001D41EA">
              <w:rPr>
                <w:rFonts w:cs="Arial"/>
                <w:sz w:val="18"/>
                <w:szCs w:val="18"/>
              </w:rPr>
              <w:t>6.3</w:t>
            </w:r>
          </w:p>
        </w:tc>
      </w:tr>
      <w:tr w:rsidR="00B33D8D" w:rsidRPr="001D41EA" w14:paraId="4A2F2A96"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B3280D6" w14:textId="77777777" w:rsidR="00B33D8D" w:rsidRPr="001D41EA" w:rsidRDefault="00B33D8D" w:rsidP="001D41EA">
            <w:pPr>
              <w:spacing w:before="40" w:after="40"/>
              <w:rPr>
                <w:rFonts w:cs="Arial"/>
                <w:sz w:val="18"/>
                <w:szCs w:val="18"/>
              </w:rPr>
            </w:pPr>
            <w:r w:rsidRPr="001D41EA">
              <w:rPr>
                <w:rFonts w:cs="Arial"/>
                <w:sz w:val="18"/>
                <w:szCs w:val="18"/>
              </w:rPr>
              <w:t>Boroondara C</w:t>
            </w:r>
          </w:p>
        </w:tc>
        <w:tc>
          <w:tcPr>
            <w:tcW w:w="1247" w:type="dxa"/>
            <w:tcBorders>
              <w:top w:val="nil"/>
              <w:left w:val="single" w:sz="18" w:space="0" w:color="5F497A" w:themeColor="accent4" w:themeShade="BF"/>
              <w:bottom w:val="nil"/>
              <w:right w:val="nil"/>
            </w:tcBorders>
            <w:shd w:val="clear" w:color="auto" w:fill="auto"/>
            <w:vAlign w:val="bottom"/>
          </w:tcPr>
          <w:p w14:paraId="2B854538" w14:textId="1BE92620" w:rsidR="00B33D8D" w:rsidRPr="001D41EA" w:rsidRDefault="00B33D8D" w:rsidP="001D41EA">
            <w:pPr>
              <w:spacing w:before="40" w:after="40"/>
              <w:jc w:val="right"/>
              <w:rPr>
                <w:rFonts w:cs="Arial"/>
                <w:sz w:val="18"/>
                <w:szCs w:val="18"/>
              </w:rPr>
            </w:pPr>
            <w:r w:rsidRPr="001D41EA">
              <w:rPr>
                <w:rFonts w:cs="Arial"/>
                <w:sz w:val="18"/>
                <w:szCs w:val="18"/>
              </w:rPr>
              <w:t>172,551</w:t>
            </w:r>
          </w:p>
        </w:tc>
        <w:tc>
          <w:tcPr>
            <w:tcW w:w="1247" w:type="dxa"/>
            <w:tcBorders>
              <w:top w:val="nil"/>
              <w:left w:val="nil"/>
              <w:bottom w:val="nil"/>
              <w:right w:val="nil"/>
            </w:tcBorders>
            <w:vAlign w:val="bottom"/>
          </w:tcPr>
          <w:p w14:paraId="32BD4704" w14:textId="5A685604" w:rsidR="00B33D8D" w:rsidRPr="001D41EA" w:rsidRDefault="00B33D8D" w:rsidP="001D41EA">
            <w:pPr>
              <w:spacing w:before="40" w:after="40"/>
              <w:jc w:val="right"/>
              <w:rPr>
                <w:rFonts w:cs="Arial"/>
                <w:sz w:val="18"/>
                <w:szCs w:val="18"/>
              </w:rPr>
            </w:pPr>
            <w:r w:rsidRPr="001D41EA">
              <w:rPr>
                <w:rFonts w:cs="Arial"/>
                <w:sz w:val="18"/>
                <w:szCs w:val="18"/>
              </w:rPr>
              <w:t>181,289</w:t>
            </w:r>
          </w:p>
        </w:tc>
        <w:tc>
          <w:tcPr>
            <w:tcW w:w="1247" w:type="dxa"/>
            <w:tcBorders>
              <w:top w:val="nil"/>
              <w:left w:val="nil"/>
              <w:bottom w:val="nil"/>
              <w:right w:val="nil"/>
            </w:tcBorders>
            <w:shd w:val="clear" w:color="auto" w:fill="auto"/>
            <w:vAlign w:val="bottom"/>
          </w:tcPr>
          <w:p w14:paraId="225A3DD8" w14:textId="6FB8C0BA" w:rsidR="00B33D8D" w:rsidRPr="001D41EA" w:rsidRDefault="00B33D8D" w:rsidP="001D41EA">
            <w:pPr>
              <w:spacing w:before="40" w:after="40"/>
              <w:jc w:val="right"/>
              <w:rPr>
                <w:rFonts w:cs="Arial"/>
                <w:sz w:val="18"/>
                <w:szCs w:val="18"/>
              </w:rPr>
            </w:pPr>
            <w:r w:rsidRPr="001D41EA">
              <w:rPr>
                <w:rFonts w:cs="Arial"/>
                <w:sz w:val="18"/>
                <w:szCs w:val="18"/>
              </w:rPr>
              <w:t>5.1</w:t>
            </w:r>
          </w:p>
        </w:tc>
        <w:tc>
          <w:tcPr>
            <w:tcW w:w="170" w:type="dxa"/>
            <w:tcBorders>
              <w:top w:val="nil"/>
              <w:left w:val="nil"/>
              <w:bottom w:val="nil"/>
              <w:right w:val="nil"/>
            </w:tcBorders>
            <w:shd w:val="clear" w:color="auto" w:fill="auto"/>
            <w:vAlign w:val="bottom"/>
          </w:tcPr>
          <w:p w14:paraId="7B0355B1" w14:textId="1DC68147"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49FB596B" w14:textId="635A553C" w:rsidR="00B33D8D" w:rsidRPr="001D41EA" w:rsidRDefault="00B33D8D" w:rsidP="001D41EA">
            <w:pPr>
              <w:spacing w:before="40" w:after="40"/>
              <w:jc w:val="right"/>
              <w:rPr>
                <w:rFonts w:cs="Arial"/>
                <w:sz w:val="18"/>
                <w:szCs w:val="18"/>
              </w:rPr>
            </w:pPr>
            <w:r w:rsidRPr="001D41EA">
              <w:rPr>
                <w:rFonts w:cs="Arial"/>
                <w:sz w:val="18"/>
                <w:szCs w:val="18"/>
              </w:rPr>
              <w:t>10,381</w:t>
            </w:r>
          </w:p>
        </w:tc>
        <w:tc>
          <w:tcPr>
            <w:tcW w:w="1247" w:type="dxa"/>
            <w:tcBorders>
              <w:top w:val="nil"/>
              <w:left w:val="nil"/>
              <w:bottom w:val="nil"/>
              <w:right w:val="nil"/>
            </w:tcBorders>
            <w:shd w:val="clear" w:color="auto" w:fill="auto"/>
            <w:vAlign w:val="bottom"/>
          </w:tcPr>
          <w:p w14:paraId="4AA229EC" w14:textId="1B84D3D6" w:rsidR="00B33D8D" w:rsidRPr="001D41EA" w:rsidRDefault="00B33D8D" w:rsidP="001D41EA">
            <w:pPr>
              <w:spacing w:before="40" w:after="40"/>
              <w:jc w:val="right"/>
              <w:rPr>
                <w:rFonts w:cs="Arial"/>
                <w:sz w:val="18"/>
                <w:szCs w:val="18"/>
              </w:rPr>
            </w:pPr>
            <w:r w:rsidRPr="001D41EA">
              <w:rPr>
                <w:rFonts w:cs="Arial"/>
                <w:sz w:val="18"/>
                <w:szCs w:val="18"/>
              </w:rPr>
              <w:t>5.7</w:t>
            </w:r>
          </w:p>
        </w:tc>
      </w:tr>
      <w:tr w:rsidR="00B33D8D" w:rsidRPr="001D41EA" w14:paraId="64574179"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E818CE5" w14:textId="77777777" w:rsidR="00B33D8D" w:rsidRPr="001D41EA" w:rsidRDefault="00B33D8D" w:rsidP="001D41EA">
            <w:pPr>
              <w:spacing w:before="40" w:after="40"/>
              <w:rPr>
                <w:rFonts w:cs="Arial"/>
                <w:sz w:val="18"/>
                <w:szCs w:val="18"/>
              </w:rPr>
            </w:pPr>
            <w:r w:rsidRPr="001D41EA">
              <w:rPr>
                <w:rFonts w:cs="Arial"/>
                <w:sz w:val="18"/>
                <w:szCs w:val="18"/>
              </w:rPr>
              <w:t>Brimbank C</w:t>
            </w:r>
          </w:p>
        </w:tc>
        <w:tc>
          <w:tcPr>
            <w:tcW w:w="1247" w:type="dxa"/>
            <w:tcBorders>
              <w:top w:val="nil"/>
              <w:left w:val="single" w:sz="18" w:space="0" w:color="5F497A" w:themeColor="accent4" w:themeShade="BF"/>
              <w:bottom w:val="nil"/>
              <w:right w:val="nil"/>
            </w:tcBorders>
            <w:shd w:val="clear" w:color="auto" w:fill="auto"/>
            <w:vAlign w:val="bottom"/>
          </w:tcPr>
          <w:p w14:paraId="1B06DCD9" w14:textId="51BF87F1" w:rsidR="00B33D8D" w:rsidRPr="001D41EA" w:rsidRDefault="00B33D8D" w:rsidP="001D41EA">
            <w:pPr>
              <w:spacing w:before="40" w:after="40"/>
              <w:jc w:val="right"/>
              <w:rPr>
                <w:rFonts w:cs="Arial"/>
                <w:sz w:val="18"/>
                <w:szCs w:val="18"/>
              </w:rPr>
            </w:pPr>
            <w:r w:rsidRPr="001D41EA">
              <w:rPr>
                <w:rFonts w:cs="Arial"/>
                <w:sz w:val="18"/>
                <w:szCs w:val="18"/>
              </w:rPr>
              <w:t>197,637</w:t>
            </w:r>
          </w:p>
        </w:tc>
        <w:tc>
          <w:tcPr>
            <w:tcW w:w="1247" w:type="dxa"/>
            <w:tcBorders>
              <w:top w:val="nil"/>
              <w:left w:val="nil"/>
              <w:bottom w:val="nil"/>
              <w:right w:val="nil"/>
            </w:tcBorders>
            <w:vAlign w:val="bottom"/>
          </w:tcPr>
          <w:p w14:paraId="71533863" w14:textId="3BCF022A" w:rsidR="00B33D8D" w:rsidRPr="001D41EA" w:rsidRDefault="00B33D8D" w:rsidP="001D41EA">
            <w:pPr>
              <w:spacing w:before="40" w:after="40"/>
              <w:jc w:val="right"/>
              <w:rPr>
                <w:rFonts w:cs="Arial"/>
                <w:sz w:val="18"/>
                <w:szCs w:val="18"/>
              </w:rPr>
            </w:pPr>
            <w:r w:rsidRPr="001D41EA">
              <w:rPr>
                <w:rFonts w:cs="Arial"/>
                <w:sz w:val="18"/>
                <w:szCs w:val="18"/>
              </w:rPr>
              <w:t>208,714</w:t>
            </w:r>
          </w:p>
        </w:tc>
        <w:tc>
          <w:tcPr>
            <w:tcW w:w="1247" w:type="dxa"/>
            <w:tcBorders>
              <w:top w:val="nil"/>
              <w:left w:val="nil"/>
              <w:bottom w:val="nil"/>
              <w:right w:val="nil"/>
            </w:tcBorders>
            <w:shd w:val="clear" w:color="auto" w:fill="auto"/>
            <w:vAlign w:val="bottom"/>
          </w:tcPr>
          <w:p w14:paraId="20A719B7" w14:textId="0F92E864" w:rsidR="00B33D8D" w:rsidRPr="001D41EA" w:rsidRDefault="00B33D8D" w:rsidP="001D41EA">
            <w:pPr>
              <w:spacing w:before="40" w:after="40"/>
              <w:jc w:val="right"/>
              <w:rPr>
                <w:rFonts w:cs="Arial"/>
                <w:sz w:val="18"/>
                <w:szCs w:val="18"/>
              </w:rPr>
            </w:pPr>
            <w:r w:rsidRPr="001D41EA">
              <w:rPr>
                <w:rFonts w:cs="Arial"/>
                <w:sz w:val="18"/>
                <w:szCs w:val="18"/>
              </w:rPr>
              <w:t>5.6</w:t>
            </w:r>
          </w:p>
        </w:tc>
        <w:tc>
          <w:tcPr>
            <w:tcW w:w="170" w:type="dxa"/>
            <w:tcBorders>
              <w:top w:val="nil"/>
              <w:left w:val="nil"/>
              <w:bottom w:val="nil"/>
              <w:right w:val="nil"/>
            </w:tcBorders>
            <w:shd w:val="clear" w:color="auto" w:fill="auto"/>
            <w:vAlign w:val="bottom"/>
          </w:tcPr>
          <w:p w14:paraId="45923CC0" w14:textId="11EA03B8"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16315F3B" w14:textId="599D76F2" w:rsidR="00B33D8D" w:rsidRPr="001D41EA" w:rsidRDefault="00B33D8D" w:rsidP="001D41EA">
            <w:pPr>
              <w:spacing w:before="40" w:after="40"/>
              <w:jc w:val="right"/>
              <w:rPr>
                <w:rFonts w:cs="Arial"/>
                <w:sz w:val="18"/>
                <w:szCs w:val="18"/>
              </w:rPr>
            </w:pPr>
            <w:r w:rsidRPr="001D41EA">
              <w:rPr>
                <w:rFonts w:cs="Arial"/>
                <w:sz w:val="18"/>
                <w:szCs w:val="18"/>
              </w:rPr>
              <w:t>16,858</w:t>
            </w:r>
          </w:p>
        </w:tc>
        <w:tc>
          <w:tcPr>
            <w:tcW w:w="1247" w:type="dxa"/>
            <w:tcBorders>
              <w:top w:val="nil"/>
              <w:left w:val="nil"/>
              <w:bottom w:val="nil"/>
              <w:right w:val="nil"/>
            </w:tcBorders>
            <w:shd w:val="clear" w:color="auto" w:fill="auto"/>
            <w:vAlign w:val="bottom"/>
          </w:tcPr>
          <w:p w14:paraId="7F1F06DD" w14:textId="08E8F83C" w:rsidR="00B33D8D" w:rsidRPr="001D41EA" w:rsidRDefault="00B33D8D" w:rsidP="001D41EA">
            <w:pPr>
              <w:spacing w:before="40" w:after="40"/>
              <w:jc w:val="right"/>
              <w:rPr>
                <w:rFonts w:cs="Arial"/>
                <w:sz w:val="18"/>
                <w:szCs w:val="18"/>
              </w:rPr>
            </w:pPr>
            <w:r w:rsidRPr="001D41EA">
              <w:rPr>
                <w:rFonts w:cs="Arial"/>
                <w:sz w:val="18"/>
                <w:szCs w:val="18"/>
              </w:rPr>
              <w:t>8.1</w:t>
            </w:r>
          </w:p>
        </w:tc>
      </w:tr>
      <w:tr w:rsidR="00B33D8D" w:rsidRPr="001D41EA" w14:paraId="1FEBA579"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2779C19" w14:textId="77777777" w:rsidR="00B33D8D" w:rsidRPr="001D41EA" w:rsidRDefault="00B33D8D" w:rsidP="001D41EA">
            <w:pPr>
              <w:spacing w:before="40" w:after="40"/>
              <w:rPr>
                <w:rFonts w:cs="Arial"/>
                <w:sz w:val="18"/>
                <w:szCs w:val="18"/>
              </w:rPr>
            </w:pPr>
            <w:r w:rsidRPr="001D41EA">
              <w:rPr>
                <w:rFonts w:cs="Arial"/>
                <w:sz w:val="18"/>
                <w:szCs w:val="18"/>
              </w:rPr>
              <w:t>Buloke S</w:t>
            </w:r>
          </w:p>
        </w:tc>
        <w:tc>
          <w:tcPr>
            <w:tcW w:w="1247" w:type="dxa"/>
            <w:tcBorders>
              <w:top w:val="nil"/>
              <w:left w:val="single" w:sz="18" w:space="0" w:color="5F497A" w:themeColor="accent4" w:themeShade="BF"/>
              <w:bottom w:val="nil"/>
              <w:right w:val="nil"/>
            </w:tcBorders>
            <w:shd w:val="clear" w:color="auto" w:fill="auto"/>
            <w:vAlign w:val="bottom"/>
          </w:tcPr>
          <w:p w14:paraId="41AC1617" w14:textId="6C87D2DC" w:rsidR="00B33D8D" w:rsidRPr="001D41EA" w:rsidRDefault="00B33D8D" w:rsidP="001D41EA">
            <w:pPr>
              <w:spacing w:before="40" w:after="40"/>
              <w:jc w:val="right"/>
              <w:rPr>
                <w:rFonts w:cs="Arial"/>
                <w:sz w:val="18"/>
                <w:szCs w:val="18"/>
              </w:rPr>
            </w:pPr>
            <w:r w:rsidRPr="001D41EA">
              <w:rPr>
                <w:rFonts w:cs="Arial"/>
                <w:sz w:val="18"/>
                <w:szCs w:val="18"/>
              </w:rPr>
              <w:t>6,084</w:t>
            </w:r>
          </w:p>
        </w:tc>
        <w:tc>
          <w:tcPr>
            <w:tcW w:w="1247" w:type="dxa"/>
            <w:tcBorders>
              <w:top w:val="nil"/>
              <w:left w:val="nil"/>
              <w:bottom w:val="nil"/>
              <w:right w:val="nil"/>
            </w:tcBorders>
            <w:vAlign w:val="bottom"/>
          </w:tcPr>
          <w:p w14:paraId="01D8543E" w14:textId="31B1438D" w:rsidR="00B33D8D" w:rsidRPr="001D41EA" w:rsidRDefault="00B33D8D" w:rsidP="001D41EA">
            <w:pPr>
              <w:spacing w:before="40" w:after="40"/>
              <w:jc w:val="right"/>
              <w:rPr>
                <w:rFonts w:cs="Arial"/>
                <w:sz w:val="18"/>
                <w:szCs w:val="18"/>
              </w:rPr>
            </w:pPr>
            <w:r w:rsidRPr="001D41EA">
              <w:rPr>
                <w:rFonts w:cs="Arial"/>
                <w:sz w:val="18"/>
                <w:szCs w:val="18"/>
              </w:rPr>
              <w:t>6,184</w:t>
            </w:r>
          </w:p>
        </w:tc>
        <w:tc>
          <w:tcPr>
            <w:tcW w:w="1247" w:type="dxa"/>
            <w:tcBorders>
              <w:top w:val="nil"/>
              <w:left w:val="nil"/>
              <w:bottom w:val="nil"/>
              <w:right w:val="nil"/>
            </w:tcBorders>
            <w:shd w:val="clear" w:color="auto" w:fill="auto"/>
            <w:vAlign w:val="bottom"/>
          </w:tcPr>
          <w:p w14:paraId="63247782" w14:textId="787934FD" w:rsidR="00B33D8D" w:rsidRPr="001D41EA" w:rsidRDefault="00B33D8D" w:rsidP="001D41EA">
            <w:pPr>
              <w:spacing w:before="40" w:after="40"/>
              <w:jc w:val="right"/>
              <w:rPr>
                <w:rFonts w:cs="Arial"/>
                <w:sz w:val="18"/>
                <w:szCs w:val="18"/>
              </w:rPr>
            </w:pPr>
            <w:r w:rsidRPr="001D41EA">
              <w:rPr>
                <w:rFonts w:cs="Arial"/>
                <w:sz w:val="18"/>
                <w:szCs w:val="18"/>
              </w:rPr>
              <w:t>1.6</w:t>
            </w:r>
          </w:p>
        </w:tc>
        <w:tc>
          <w:tcPr>
            <w:tcW w:w="170" w:type="dxa"/>
            <w:tcBorders>
              <w:top w:val="nil"/>
              <w:left w:val="nil"/>
              <w:bottom w:val="nil"/>
              <w:right w:val="nil"/>
            </w:tcBorders>
            <w:shd w:val="clear" w:color="auto" w:fill="auto"/>
            <w:vAlign w:val="bottom"/>
          </w:tcPr>
          <w:p w14:paraId="09099DC9" w14:textId="5CF2B3A9"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50F6CD2F" w14:textId="65E34E02" w:rsidR="00B33D8D" w:rsidRPr="001D41EA" w:rsidRDefault="00B33D8D" w:rsidP="001D41EA">
            <w:pPr>
              <w:spacing w:before="40" w:after="40"/>
              <w:jc w:val="right"/>
              <w:rPr>
                <w:rFonts w:cs="Arial"/>
                <w:sz w:val="18"/>
                <w:szCs w:val="18"/>
              </w:rPr>
            </w:pPr>
            <w:r w:rsidRPr="001D41EA">
              <w:rPr>
                <w:rFonts w:cs="Arial"/>
                <w:sz w:val="18"/>
                <w:szCs w:val="18"/>
              </w:rPr>
              <w:t>334</w:t>
            </w:r>
          </w:p>
        </w:tc>
        <w:tc>
          <w:tcPr>
            <w:tcW w:w="1247" w:type="dxa"/>
            <w:tcBorders>
              <w:top w:val="nil"/>
              <w:left w:val="nil"/>
              <w:bottom w:val="nil"/>
              <w:right w:val="nil"/>
            </w:tcBorders>
            <w:shd w:val="clear" w:color="auto" w:fill="auto"/>
            <w:vAlign w:val="bottom"/>
          </w:tcPr>
          <w:p w14:paraId="272A6183" w14:textId="5C3486FB" w:rsidR="00B33D8D" w:rsidRPr="001D41EA" w:rsidRDefault="00B33D8D" w:rsidP="001D41EA">
            <w:pPr>
              <w:spacing w:before="40" w:after="40"/>
              <w:jc w:val="right"/>
              <w:rPr>
                <w:rFonts w:cs="Arial"/>
                <w:sz w:val="18"/>
                <w:szCs w:val="18"/>
              </w:rPr>
            </w:pPr>
            <w:r w:rsidRPr="001D41EA">
              <w:rPr>
                <w:rFonts w:cs="Arial"/>
                <w:sz w:val="18"/>
                <w:szCs w:val="18"/>
              </w:rPr>
              <w:t>5.4</w:t>
            </w:r>
          </w:p>
        </w:tc>
      </w:tr>
      <w:tr w:rsidR="00B33D8D" w:rsidRPr="001D41EA" w14:paraId="415576C1"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E37E65B" w14:textId="77777777" w:rsidR="00B33D8D" w:rsidRPr="001D41EA" w:rsidRDefault="00B33D8D" w:rsidP="001D41EA">
            <w:pPr>
              <w:spacing w:before="40" w:after="40"/>
              <w:rPr>
                <w:rFonts w:cs="Arial"/>
                <w:sz w:val="18"/>
                <w:szCs w:val="18"/>
              </w:rPr>
            </w:pPr>
            <w:r w:rsidRPr="001D41EA">
              <w:rPr>
                <w:rFonts w:cs="Arial"/>
                <w:sz w:val="18"/>
                <w:szCs w:val="18"/>
              </w:rPr>
              <w:t>Campaspe S</w:t>
            </w:r>
          </w:p>
        </w:tc>
        <w:tc>
          <w:tcPr>
            <w:tcW w:w="1247" w:type="dxa"/>
            <w:tcBorders>
              <w:top w:val="nil"/>
              <w:left w:val="single" w:sz="18" w:space="0" w:color="5F497A" w:themeColor="accent4" w:themeShade="BF"/>
              <w:bottom w:val="nil"/>
              <w:right w:val="nil"/>
            </w:tcBorders>
            <w:shd w:val="clear" w:color="auto" w:fill="auto"/>
            <w:vAlign w:val="bottom"/>
          </w:tcPr>
          <w:p w14:paraId="318CEAE8" w14:textId="662B265F" w:rsidR="00B33D8D" w:rsidRPr="001D41EA" w:rsidRDefault="00B33D8D" w:rsidP="001D41EA">
            <w:pPr>
              <w:spacing w:before="40" w:after="40"/>
              <w:jc w:val="right"/>
              <w:rPr>
                <w:rFonts w:cs="Arial"/>
                <w:sz w:val="18"/>
                <w:szCs w:val="18"/>
              </w:rPr>
            </w:pPr>
            <w:r w:rsidRPr="001D41EA">
              <w:rPr>
                <w:rFonts w:cs="Arial"/>
                <w:sz w:val="18"/>
                <w:szCs w:val="18"/>
              </w:rPr>
              <w:t>36,889</w:t>
            </w:r>
          </w:p>
        </w:tc>
        <w:tc>
          <w:tcPr>
            <w:tcW w:w="1247" w:type="dxa"/>
            <w:tcBorders>
              <w:top w:val="nil"/>
              <w:left w:val="nil"/>
              <w:bottom w:val="nil"/>
              <w:right w:val="nil"/>
            </w:tcBorders>
            <w:vAlign w:val="bottom"/>
          </w:tcPr>
          <w:p w14:paraId="061C8274" w14:textId="206BE687" w:rsidR="00B33D8D" w:rsidRPr="001D41EA" w:rsidRDefault="00B33D8D" w:rsidP="001D41EA">
            <w:pPr>
              <w:spacing w:before="40" w:after="40"/>
              <w:jc w:val="right"/>
              <w:rPr>
                <w:rFonts w:cs="Arial"/>
                <w:sz w:val="18"/>
                <w:szCs w:val="18"/>
              </w:rPr>
            </w:pPr>
            <w:r w:rsidRPr="001D41EA">
              <w:rPr>
                <w:rFonts w:cs="Arial"/>
                <w:sz w:val="18"/>
                <w:szCs w:val="18"/>
              </w:rPr>
              <w:t>37,592</w:t>
            </w:r>
          </w:p>
        </w:tc>
        <w:tc>
          <w:tcPr>
            <w:tcW w:w="1247" w:type="dxa"/>
            <w:tcBorders>
              <w:top w:val="nil"/>
              <w:left w:val="nil"/>
              <w:bottom w:val="nil"/>
              <w:right w:val="nil"/>
            </w:tcBorders>
            <w:shd w:val="clear" w:color="auto" w:fill="auto"/>
            <w:vAlign w:val="bottom"/>
          </w:tcPr>
          <w:p w14:paraId="0EC54A26" w14:textId="66777E9D" w:rsidR="00B33D8D" w:rsidRPr="001D41EA" w:rsidRDefault="00B33D8D" w:rsidP="001D41EA">
            <w:pPr>
              <w:spacing w:before="40" w:after="40"/>
              <w:jc w:val="right"/>
              <w:rPr>
                <w:rFonts w:cs="Arial"/>
                <w:sz w:val="18"/>
                <w:szCs w:val="18"/>
              </w:rPr>
            </w:pPr>
            <w:r w:rsidRPr="001D41EA">
              <w:rPr>
                <w:rFonts w:cs="Arial"/>
                <w:sz w:val="18"/>
                <w:szCs w:val="18"/>
              </w:rPr>
              <w:t>1.9</w:t>
            </w:r>
          </w:p>
        </w:tc>
        <w:tc>
          <w:tcPr>
            <w:tcW w:w="170" w:type="dxa"/>
            <w:tcBorders>
              <w:top w:val="nil"/>
              <w:left w:val="nil"/>
              <w:bottom w:val="nil"/>
              <w:right w:val="nil"/>
            </w:tcBorders>
            <w:shd w:val="clear" w:color="auto" w:fill="auto"/>
            <w:vAlign w:val="bottom"/>
          </w:tcPr>
          <w:p w14:paraId="41BA5B83" w14:textId="1141485F"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255583E9" w14:textId="1082173E" w:rsidR="00B33D8D" w:rsidRPr="001D41EA" w:rsidRDefault="00B33D8D" w:rsidP="001D41EA">
            <w:pPr>
              <w:spacing w:before="40" w:after="40"/>
              <w:jc w:val="right"/>
              <w:rPr>
                <w:rFonts w:cs="Arial"/>
                <w:sz w:val="18"/>
                <w:szCs w:val="18"/>
              </w:rPr>
            </w:pPr>
            <w:r w:rsidRPr="001D41EA">
              <w:rPr>
                <w:rFonts w:cs="Arial"/>
                <w:sz w:val="18"/>
                <w:szCs w:val="18"/>
              </w:rPr>
              <w:t>2,638</w:t>
            </w:r>
          </w:p>
        </w:tc>
        <w:tc>
          <w:tcPr>
            <w:tcW w:w="1247" w:type="dxa"/>
            <w:tcBorders>
              <w:top w:val="nil"/>
              <w:left w:val="nil"/>
              <w:bottom w:val="nil"/>
              <w:right w:val="nil"/>
            </w:tcBorders>
            <w:shd w:val="clear" w:color="auto" w:fill="auto"/>
            <w:vAlign w:val="bottom"/>
          </w:tcPr>
          <w:p w14:paraId="5CB25AE2" w14:textId="69C257DF" w:rsidR="00B33D8D" w:rsidRPr="001D41EA" w:rsidRDefault="00B33D8D" w:rsidP="001D41EA">
            <w:pPr>
              <w:spacing w:before="40" w:after="40"/>
              <w:jc w:val="right"/>
              <w:rPr>
                <w:rFonts w:cs="Arial"/>
                <w:sz w:val="18"/>
                <w:szCs w:val="18"/>
              </w:rPr>
            </w:pPr>
            <w:r w:rsidRPr="001D41EA">
              <w:rPr>
                <w:rFonts w:cs="Arial"/>
                <w:sz w:val="18"/>
                <w:szCs w:val="18"/>
              </w:rPr>
              <w:t>7.0</w:t>
            </w:r>
          </w:p>
        </w:tc>
      </w:tr>
      <w:tr w:rsidR="00B33D8D" w:rsidRPr="001D41EA" w14:paraId="5FFC3C6B"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6B99E1D" w14:textId="77777777" w:rsidR="00B33D8D" w:rsidRPr="001D41EA" w:rsidRDefault="00B33D8D" w:rsidP="001D41EA">
            <w:pPr>
              <w:spacing w:before="40" w:after="40"/>
              <w:rPr>
                <w:rFonts w:cs="Arial"/>
                <w:sz w:val="18"/>
                <w:szCs w:val="18"/>
              </w:rPr>
            </w:pPr>
            <w:r w:rsidRPr="001D41EA">
              <w:rPr>
                <w:rFonts w:cs="Arial"/>
                <w:sz w:val="18"/>
                <w:szCs w:val="18"/>
              </w:rPr>
              <w:t>Cardinia S</w:t>
            </w:r>
          </w:p>
        </w:tc>
        <w:tc>
          <w:tcPr>
            <w:tcW w:w="1247" w:type="dxa"/>
            <w:tcBorders>
              <w:top w:val="nil"/>
              <w:left w:val="single" w:sz="18" w:space="0" w:color="5F497A" w:themeColor="accent4" w:themeShade="BF"/>
              <w:bottom w:val="nil"/>
              <w:right w:val="nil"/>
            </w:tcBorders>
            <w:shd w:val="clear" w:color="auto" w:fill="auto"/>
            <w:vAlign w:val="bottom"/>
          </w:tcPr>
          <w:p w14:paraId="19F36367" w14:textId="5FB2089C" w:rsidR="00B33D8D" w:rsidRPr="001D41EA" w:rsidRDefault="00B33D8D" w:rsidP="001D41EA">
            <w:pPr>
              <w:spacing w:before="40" w:after="40"/>
              <w:jc w:val="right"/>
              <w:rPr>
                <w:rFonts w:cs="Arial"/>
                <w:sz w:val="18"/>
                <w:szCs w:val="18"/>
              </w:rPr>
            </w:pPr>
            <w:r w:rsidRPr="001D41EA">
              <w:rPr>
                <w:rFonts w:cs="Arial"/>
                <w:sz w:val="18"/>
                <w:szCs w:val="18"/>
              </w:rPr>
              <w:t>87,034</w:t>
            </w:r>
          </w:p>
        </w:tc>
        <w:tc>
          <w:tcPr>
            <w:tcW w:w="1247" w:type="dxa"/>
            <w:tcBorders>
              <w:top w:val="nil"/>
              <w:left w:val="nil"/>
              <w:bottom w:val="nil"/>
              <w:right w:val="nil"/>
            </w:tcBorders>
            <w:vAlign w:val="bottom"/>
          </w:tcPr>
          <w:p w14:paraId="293927FB" w14:textId="4C013983" w:rsidR="00B33D8D" w:rsidRPr="001D41EA" w:rsidRDefault="00B33D8D" w:rsidP="001D41EA">
            <w:pPr>
              <w:spacing w:before="40" w:after="40"/>
              <w:jc w:val="right"/>
              <w:rPr>
                <w:rFonts w:cs="Arial"/>
                <w:sz w:val="18"/>
                <w:szCs w:val="18"/>
              </w:rPr>
            </w:pPr>
            <w:r w:rsidRPr="001D41EA">
              <w:rPr>
                <w:rFonts w:cs="Arial"/>
                <w:sz w:val="18"/>
                <w:szCs w:val="18"/>
              </w:rPr>
              <w:t>107,120</w:t>
            </w:r>
          </w:p>
        </w:tc>
        <w:tc>
          <w:tcPr>
            <w:tcW w:w="1247" w:type="dxa"/>
            <w:tcBorders>
              <w:top w:val="nil"/>
              <w:left w:val="nil"/>
              <w:bottom w:val="nil"/>
              <w:right w:val="nil"/>
            </w:tcBorders>
            <w:shd w:val="clear" w:color="auto" w:fill="auto"/>
            <w:vAlign w:val="bottom"/>
          </w:tcPr>
          <w:p w14:paraId="10BF9F8E" w14:textId="6608458F" w:rsidR="00B33D8D" w:rsidRPr="001D41EA" w:rsidRDefault="00B33D8D" w:rsidP="001D41EA">
            <w:pPr>
              <w:spacing w:before="40" w:after="40"/>
              <w:jc w:val="right"/>
              <w:rPr>
                <w:rFonts w:cs="Arial"/>
                <w:sz w:val="18"/>
                <w:szCs w:val="18"/>
              </w:rPr>
            </w:pPr>
            <w:r w:rsidRPr="001D41EA">
              <w:rPr>
                <w:rFonts w:cs="Arial"/>
                <w:sz w:val="18"/>
                <w:szCs w:val="18"/>
              </w:rPr>
              <w:t>23.1</w:t>
            </w:r>
          </w:p>
        </w:tc>
        <w:tc>
          <w:tcPr>
            <w:tcW w:w="170" w:type="dxa"/>
            <w:tcBorders>
              <w:top w:val="nil"/>
              <w:left w:val="nil"/>
              <w:bottom w:val="nil"/>
              <w:right w:val="nil"/>
            </w:tcBorders>
            <w:shd w:val="clear" w:color="auto" w:fill="auto"/>
            <w:vAlign w:val="bottom"/>
          </w:tcPr>
          <w:p w14:paraId="2258B61F" w14:textId="66615929"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404F8B31" w14:textId="3FA66E69" w:rsidR="00B33D8D" w:rsidRPr="001D41EA" w:rsidRDefault="00B33D8D" w:rsidP="001D41EA">
            <w:pPr>
              <w:spacing w:before="40" w:after="40"/>
              <w:jc w:val="right"/>
              <w:rPr>
                <w:rFonts w:cs="Arial"/>
                <w:sz w:val="18"/>
                <w:szCs w:val="18"/>
              </w:rPr>
            </w:pPr>
            <w:r w:rsidRPr="001D41EA">
              <w:rPr>
                <w:rFonts w:cs="Arial"/>
                <w:sz w:val="18"/>
                <w:szCs w:val="18"/>
              </w:rPr>
              <w:t>10,929</w:t>
            </w:r>
          </w:p>
        </w:tc>
        <w:tc>
          <w:tcPr>
            <w:tcW w:w="1247" w:type="dxa"/>
            <w:tcBorders>
              <w:top w:val="nil"/>
              <w:left w:val="nil"/>
              <w:bottom w:val="nil"/>
              <w:right w:val="nil"/>
            </w:tcBorders>
            <w:shd w:val="clear" w:color="auto" w:fill="auto"/>
            <w:vAlign w:val="bottom"/>
          </w:tcPr>
          <w:p w14:paraId="469BBF07" w14:textId="6EE676ED" w:rsidR="00B33D8D" w:rsidRPr="001D41EA" w:rsidRDefault="00B33D8D" w:rsidP="001D41EA">
            <w:pPr>
              <w:spacing w:before="40" w:after="40"/>
              <w:jc w:val="right"/>
              <w:rPr>
                <w:rFonts w:cs="Arial"/>
                <w:sz w:val="18"/>
                <w:szCs w:val="18"/>
              </w:rPr>
            </w:pPr>
            <w:r w:rsidRPr="001D41EA">
              <w:rPr>
                <w:rFonts w:cs="Arial"/>
                <w:sz w:val="18"/>
                <w:szCs w:val="18"/>
              </w:rPr>
              <w:t>10.2</w:t>
            </w:r>
          </w:p>
        </w:tc>
      </w:tr>
      <w:tr w:rsidR="00B33D8D" w:rsidRPr="001D41EA" w14:paraId="13EA5009"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AA6BCA5" w14:textId="77777777" w:rsidR="00B33D8D" w:rsidRPr="001D41EA" w:rsidRDefault="00B33D8D" w:rsidP="001D41EA">
            <w:pPr>
              <w:spacing w:before="40" w:after="40"/>
              <w:rPr>
                <w:rFonts w:cs="Arial"/>
                <w:sz w:val="18"/>
                <w:szCs w:val="18"/>
              </w:rPr>
            </w:pPr>
            <w:r w:rsidRPr="001D41EA">
              <w:rPr>
                <w:rFonts w:cs="Arial"/>
                <w:sz w:val="18"/>
                <w:szCs w:val="18"/>
              </w:rPr>
              <w:t>Casey C</w:t>
            </w:r>
          </w:p>
        </w:tc>
        <w:tc>
          <w:tcPr>
            <w:tcW w:w="1247" w:type="dxa"/>
            <w:tcBorders>
              <w:top w:val="nil"/>
              <w:left w:val="single" w:sz="18" w:space="0" w:color="5F497A" w:themeColor="accent4" w:themeShade="BF"/>
              <w:bottom w:val="nil"/>
              <w:right w:val="nil"/>
            </w:tcBorders>
            <w:shd w:val="clear" w:color="auto" w:fill="auto"/>
            <w:vAlign w:val="bottom"/>
          </w:tcPr>
          <w:p w14:paraId="199FF5BD" w14:textId="1A6D5890" w:rsidR="00B33D8D" w:rsidRPr="001D41EA" w:rsidRDefault="00B33D8D" w:rsidP="001D41EA">
            <w:pPr>
              <w:spacing w:before="40" w:after="40"/>
              <w:jc w:val="right"/>
              <w:rPr>
                <w:rFonts w:cs="Arial"/>
                <w:sz w:val="18"/>
                <w:szCs w:val="18"/>
              </w:rPr>
            </w:pPr>
            <w:r w:rsidRPr="001D41EA">
              <w:rPr>
                <w:rFonts w:cs="Arial"/>
                <w:sz w:val="18"/>
                <w:szCs w:val="18"/>
              </w:rPr>
              <w:t>283,215</w:t>
            </w:r>
          </w:p>
        </w:tc>
        <w:tc>
          <w:tcPr>
            <w:tcW w:w="1247" w:type="dxa"/>
            <w:tcBorders>
              <w:top w:val="nil"/>
              <w:left w:val="nil"/>
              <w:bottom w:val="nil"/>
              <w:right w:val="nil"/>
            </w:tcBorders>
            <w:vAlign w:val="bottom"/>
          </w:tcPr>
          <w:p w14:paraId="28A30770" w14:textId="6FEB4687" w:rsidR="00B33D8D" w:rsidRPr="001D41EA" w:rsidRDefault="00B33D8D" w:rsidP="001D41EA">
            <w:pPr>
              <w:spacing w:before="40" w:after="40"/>
              <w:jc w:val="right"/>
              <w:rPr>
                <w:rFonts w:cs="Arial"/>
                <w:sz w:val="18"/>
                <w:szCs w:val="18"/>
              </w:rPr>
            </w:pPr>
            <w:r w:rsidRPr="001D41EA">
              <w:rPr>
                <w:rFonts w:cs="Arial"/>
                <w:sz w:val="18"/>
                <w:szCs w:val="18"/>
              </w:rPr>
              <w:t>340,419</w:t>
            </w:r>
          </w:p>
        </w:tc>
        <w:tc>
          <w:tcPr>
            <w:tcW w:w="1247" w:type="dxa"/>
            <w:tcBorders>
              <w:top w:val="nil"/>
              <w:left w:val="nil"/>
              <w:bottom w:val="nil"/>
              <w:right w:val="nil"/>
            </w:tcBorders>
            <w:shd w:val="clear" w:color="auto" w:fill="auto"/>
            <w:vAlign w:val="bottom"/>
          </w:tcPr>
          <w:p w14:paraId="11611ADF" w14:textId="2FFDAE6B" w:rsidR="00B33D8D" w:rsidRPr="001D41EA" w:rsidRDefault="00B33D8D" w:rsidP="001D41EA">
            <w:pPr>
              <w:spacing w:before="40" w:after="40"/>
              <w:jc w:val="right"/>
              <w:rPr>
                <w:rFonts w:cs="Arial"/>
                <w:sz w:val="18"/>
                <w:szCs w:val="18"/>
              </w:rPr>
            </w:pPr>
            <w:r w:rsidRPr="001D41EA">
              <w:rPr>
                <w:rFonts w:cs="Arial"/>
                <w:sz w:val="18"/>
                <w:szCs w:val="18"/>
              </w:rPr>
              <w:t>20.2</w:t>
            </w:r>
          </w:p>
        </w:tc>
        <w:tc>
          <w:tcPr>
            <w:tcW w:w="170" w:type="dxa"/>
            <w:tcBorders>
              <w:top w:val="nil"/>
              <w:left w:val="nil"/>
              <w:bottom w:val="nil"/>
              <w:right w:val="nil"/>
            </w:tcBorders>
            <w:shd w:val="clear" w:color="auto" w:fill="auto"/>
            <w:vAlign w:val="bottom"/>
          </w:tcPr>
          <w:p w14:paraId="5550A5EA" w14:textId="3218FEA3"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11F9F819" w14:textId="03ED7CCC" w:rsidR="00B33D8D" w:rsidRPr="001D41EA" w:rsidRDefault="00B33D8D" w:rsidP="001D41EA">
            <w:pPr>
              <w:spacing w:before="40" w:after="40"/>
              <w:jc w:val="right"/>
              <w:rPr>
                <w:rFonts w:cs="Arial"/>
                <w:sz w:val="18"/>
                <w:szCs w:val="18"/>
              </w:rPr>
            </w:pPr>
            <w:r w:rsidRPr="001D41EA">
              <w:rPr>
                <w:rFonts w:cs="Arial"/>
                <w:sz w:val="18"/>
                <w:szCs w:val="18"/>
              </w:rPr>
              <w:t>33,286</w:t>
            </w:r>
          </w:p>
        </w:tc>
        <w:tc>
          <w:tcPr>
            <w:tcW w:w="1247" w:type="dxa"/>
            <w:tcBorders>
              <w:top w:val="nil"/>
              <w:left w:val="nil"/>
              <w:bottom w:val="nil"/>
              <w:right w:val="nil"/>
            </w:tcBorders>
            <w:shd w:val="clear" w:color="auto" w:fill="auto"/>
            <w:vAlign w:val="bottom"/>
          </w:tcPr>
          <w:p w14:paraId="3DAF94C0" w14:textId="48D95FD2" w:rsidR="00B33D8D" w:rsidRPr="001D41EA" w:rsidRDefault="00B33D8D" w:rsidP="001D41EA">
            <w:pPr>
              <w:spacing w:before="40" w:after="40"/>
              <w:jc w:val="right"/>
              <w:rPr>
                <w:rFonts w:cs="Arial"/>
                <w:sz w:val="18"/>
                <w:szCs w:val="18"/>
              </w:rPr>
            </w:pPr>
            <w:r w:rsidRPr="001D41EA">
              <w:rPr>
                <w:rFonts w:cs="Arial"/>
                <w:sz w:val="18"/>
                <w:szCs w:val="18"/>
              </w:rPr>
              <w:t>9.8</w:t>
            </w:r>
          </w:p>
        </w:tc>
      </w:tr>
      <w:tr w:rsidR="00B33D8D" w:rsidRPr="001D41EA" w14:paraId="4A438528"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F0D2B49" w14:textId="77777777" w:rsidR="00B33D8D" w:rsidRPr="001D41EA" w:rsidRDefault="00B33D8D" w:rsidP="001D41EA">
            <w:pPr>
              <w:spacing w:before="40" w:after="40"/>
              <w:rPr>
                <w:rFonts w:cs="Arial"/>
                <w:sz w:val="18"/>
                <w:szCs w:val="18"/>
              </w:rPr>
            </w:pPr>
            <w:r w:rsidRPr="001D41EA">
              <w:rPr>
                <w:rFonts w:cs="Arial"/>
                <w:sz w:val="18"/>
                <w:szCs w:val="18"/>
              </w:rPr>
              <w:t>Central Goldfields S</w:t>
            </w:r>
          </w:p>
        </w:tc>
        <w:tc>
          <w:tcPr>
            <w:tcW w:w="1247" w:type="dxa"/>
            <w:tcBorders>
              <w:top w:val="nil"/>
              <w:left w:val="single" w:sz="18" w:space="0" w:color="5F497A" w:themeColor="accent4" w:themeShade="BF"/>
              <w:bottom w:val="nil"/>
              <w:right w:val="nil"/>
            </w:tcBorders>
            <w:shd w:val="clear" w:color="auto" w:fill="auto"/>
            <w:vAlign w:val="bottom"/>
          </w:tcPr>
          <w:p w14:paraId="574243F8" w14:textId="563DE097" w:rsidR="00B33D8D" w:rsidRPr="001D41EA" w:rsidRDefault="00B33D8D" w:rsidP="001D41EA">
            <w:pPr>
              <w:spacing w:before="40" w:after="40"/>
              <w:jc w:val="right"/>
              <w:rPr>
                <w:rFonts w:cs="Arial"/>
                <w:sz w:val="18"/>
                <w:szCs w:val="18"/>
              </w:rPr>
            </w:pPr>
            <w:r w:rsidRPr="001D41EA">
              <w:rPr>
                <w:rFonts w:cs="Arial"/>
                <w:sz w:val="18"/>
                <w:szCs w:val="18"/>
              </w:rPr>
              <w:t>12,609</w:t>
            </w:r>
          </w:p>
        </w:tc>
        <w:tc>
          <w:tcPr>
            <w:tcW w:w="1247" w:type="dxa"/>
            <w:tcBorders>
              <w:top w:val="nil"/>
              <w:left w:val="nil"/>
              <w:bottom w:val="nil"/>
              <w:right w:val="nil"/>
            </w:tcBorders>
            <w:vAlign w:val="bottom"/>
          </w:tcPr>
          <w:p w14:paraId="243660A1" w14:textId="1EDDF0E0" w:rsidR="00B33D8D" w:rsidRPr="001D41EA" w:rsidRDefault="00B33D8D" w:rsidP="001D41EA">
            <w:pPr>
              <w:spacing w:before="40" w:after="40"/>
              <w:jc w:val="right"/>
              <w:rPr>
                <w:rFonts w:cs="Arial"/>
                <w:sz w:val="18"/>
                <w:szCs w:val="18"/>
              </w:rPr>
            </w:pPr>
            <w:r w:rsidRPr="001D41EA">
              <w:rPr>
                <w:rFonts w:cs="Arial"/>
                <w:sz w:val="18"/>
                <w:szCs w:val="18"/>
              </w:rPr>
              <w:t>13,209</w:t>
            </w:r>
          </w:p>
        </w:tc>
        <w:tc>
          <w:tcPr>
            <w:tcW w:w="1247" w:type="dxa"/>
            <w:tcBorders>
              <w:top w:val="nil"/>
              <w:left w:val="nil"/>
              <w:bottom w:val="nil"/>
              <w:right w:val="nil"/>
            </w:tcBorders>
            <w:shd w:val="clear" w:color="auto" w:fill="auto"/>
            <w:vAlign w:val="bottom"/>
          </w:tcPr>
          <w:p w14:paraId="5525CAAB" w14:textId="436E8A0E" w:rsidR="00B33D8D" w:rsidRPr="001D41EA" w:rsidRDefault="00B33D8D" w:rsidP="001D41EA">
            <w:pPr>
              <w:spacing w:before="40" w:after="40"/>
              <w:jc w:val="right"/>
              <w:rPr>
                <w:rFonts w:cs="Arial"/>
                <w:sz w:val="18"/>
                <w:szCs w:val="18"/>
              </w:rPr>
            </w:pPr>
            <w:r w:rsidRPr="001D41EA">
              <w:rPr>
                <w:rFonts w:cs="Arial"/>
                <w:sz w:val="18"/>
                <w:szCs w:val="18"/>
              </w:rPr>
              <w:t>4.8</w:t>
            </w:r>
          </w:p>
        </w:tc>
        <w:tc>
          <w:tcPr>
            <w:tcW w:w="170" w:type="dxa"/>
            <w:tcBorders>
              <w:top w:val="nil"/>
              <w:left w:val="nil"/>
              <w:bottom w:val="nil"/>
              <w:right w:val="nil"/>
            </w:tcBorders>
            <w:shd w:val="clear" w:color="auto" w:fill="auto"/>
            <w:vAlign w:val="bottom"/>
          </w:tcPr>
          <w:p w14:paraId="25DCD538" w14:textId="02B31C46"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23EC89AE" w14:textId="2C504D19" w:rsidR="00B33D8D" w:rsidRPr="001D41EA" w:rsidRDefault="00B33D8D" w:rsidP="001D41EA">
            <w:pPr>
              <w:spacing w:before="40" w:after="40"/>
              <w:jc w:val="right"/>
              <w:rPr>
                <w:rFonts w:cs="Arial"/>
                <w:sz w:val="18"/>
                <w:szCs w:val="18"/>
              </w:rPr>
            </w:pPr>
            <w:r w:rsidRPr="001D41EA">
              <w:rPr>
                <w:rFonts w:cs="Arial"/>
                <w:sz w:val="18"/>
                <w:szCs w:val="18"/>
              </w:rPr>
              <w:t>787</w:t>
            </w:r>
          </w:p>
        </w:tc>
        <w:tc>
          <w:tcPr>
            <w:tcW w:w="1247" w:type="dxa"/>
            <w:tcBorders>
              <w:top w:val="nil"/>
              <w:left w:val="nil"/>
              <w:bottom w:val="nil"/>
              <w:right w:val="nil"/>
            </w:tcBorders>
            <w:shd w:val="clear" w:color="auto" w:fill="auto"/>
            <w:vAlign w:val="bottom"/>
          </w:tcPr>
          <w:p w14:paraId="446AA4DD" w14:textId="1FAA7D3F" w:rsidR="00B33D8D" w:rsidRPr="001D41EA" w:rsidRDefault="00B33D8D" w:rsidP="001D41EA">
            <w:pPr>
              <w:spacing w:before="40" w:after="40"/>
              <w:jc w:val="right"/>
              <w:rPr>
                <w:rFonts w:cs="Arial"/>
                <w:sz w:val="18"/>
                <w:szCs w:val="18"/>
              </w:rPr>
            </w:pPr>
            <w:r w:rsidRPr="001D41EA">
              <w:rPr>
                <w:rFonts w:cs="Arial"/>
                <w:sz w:val="18"/>
                <w:szCs w:val="18"/>
              </w:rPr>
              <w:t>6.0</w:t>
            </w:r>
          </w:p>
        </w:tc>
      </w:tr>
      <w:tr w:rsidR="00B33D8D" w:rsidRPr="001D41EA" w14:paraId="5E21695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B582554" w14:textId="77777777" w:rsidR="00B33D8D" w:rsidRPr="001D41EA" w:rsidRDefault="00B33D8D" w:rsidP="001D41EA">
            <w:pPr>
              <w:spacing w:before="40" w:after="40"/>
              <w:rPr>
                <w:rFonts w:cs="Arial"/>
                <w:sz w:val="18"/>
                <w:szCs w:val="18"/>
              </w:rPr>
            </w:pPr>
            <w:r w:rsidRPr="001D41EA">
              <w:rPr>
                <w:rFonts w:cs="Arial"/>
                <w:sz w:val="18"/>
                <w:szCs w:val="18"/>
              </w:rPr>
              <w:t>Colac Otway S</w:t>
            </w:r>
          </w:p>
        </w:tc>
        <w:tc>
          <w:tcPr>
            <w:tcW w:w="1247" w:type="dxa"/>
            <w:tcBorders>
              <w:top w:val="nil"/>
              <w:left w:val="single" w:sz="18" w:space="0" w:color="5F497A" w:themeColor="accent4" w:themeShade="BF"/>
              <w:bottom w:val="nil"/>
              <w:right w:val="nil"/>
            </w:tcBorders>
            <w:shd w:val="clear" w:color="auto" w:fill="auto"/>
            <w:vAlign w:val="bottom"/>
          </w:tcPr>
          <w:p w14:paraId="1F9CBA2B" w14:textId="6A93971A" w:rsidR="00B33D8D" w:rsidRPr="001D41EA" w:rsidRDefault="00B33D8D" w:rsidP="001D41EA">
            <w:pPr>
              <w:spacing w:before="40" w:after="40"/>
              <w:jc w:val="right"/>
              <w:rPr>
                <w:rFonts w:cs="Arial"/>
                <w:sz w:val="18"/>
                <w:szCs w:val="18"/>
              </w:rPr>
            </w:pPr>
            <w:r w:rsidRPr="001D41EA">
              <w:rPr>
                <w:rFonts w:cs="Arial"/>
                <w:sz w:val="18"/>
                <w:szCs w:val="18"/>
              </w:rPr>
              <w:t>20,504</w:t>
            </w:r>
          </w:p>
        </w:tc>
        <w:tc>
          <w:tcPr>
            <w:tcW w:w="1247" w:type="dxa"/>
            <w:tcBorders>
              <w:top w:val="nil"/>
              <w:left w:val="nil"/>
              <w:bottom w:val="nil"/>
              <w:right w:val="nil"/>
            </w:tcBorders>
            <w:vAlign w:val="bottom"/>
          </w:tcPr>
          <w:p w14:paraId="5A9ED55E" w14:textId="3B18A9A5" w:rsidR="00B33D8D" w:rsidRPr="001D41EA" w:rsidRDefault="00B33D8D" w:rsidP="001D41EA">
            <w:pPr>
              <w:spacing w:before="40" w:after="40"/>
              <w:jc w:val="right"/>
              <w:rPr>
                <w:rFonts w:cs="Arial"/>
                <w:sz w:val="18"/>
                <w:szCs w:val="18"/>
              </w:rPr>
            </w:pPr>
            <w:r w:rsidRPr="001D41EA">
              <w:rPr>
                <w:rFonts w:cs="Arial"/>
                <w:sz w:val="18"/>
                <w:szCs w:val="18"/>
              </w:rPr>
              <w:t>21,503</w:t>
            </w:r>
          </w:p>
        </w:tc>
        <w:tc>
          <w:tcPr>
            <w:tcW w:w="1247" w:type="dxa"/>
            <w:tcBorders>
              <w:top w:val="nil"/>
              <w:left w:val="nil"/>
              <w:bottom w:val="nil"/>
              <w:right w:val="nil"/>
            </w:tcBorders>
            <w:shd w:val="clear" w:color="auto" w:fill="auto"/>
            <w:vAlign w:val="bottom"/>
          </w:tcPr>
          <w:p w14:paraId="1A6C5782" w14:textId="3C30F9AE" w:rsidR="00B33D8D" w:rsidRPr="001D41EA" w:rsidRDefault="00B33D8D" w:rsidP="001D41EA">
            <w:pPr>
              <w:spacing w:before="40" w:after="40"/>
              <w:jc w:val="right"/>
              <w:rPr>
                <w:rFonts w:cs="Arial"/>
                <w:sz w:val="18"/>
                <w:szCs w:val="18"/>
              </w:rPr>
            </w:pPr>
            <w:r w:rsidRPr="001D41EA">
              <w:rPr>
                <w:rFonts w:cs="Arial"/>
                <w:sz w:val="18"/>
                <w:szCs w:val="18"/>
              </w:rPr>
              <w:t>4.9</w:t>
            </w:r>
          </w:p>
        </w:tc>
        <w:tc>
          <w:tcPr>
            <w:tcW w:w="170" w:type="dxa"/>
            <w:tcBorders>
              <w:top w:val="nil"/>
              <w:left w:val="nil"/>
              <w:bottom w:val="nil"/>
              <w:right w:val="nil"/>
            </w:tcBorders>
            <w:shd w:val="clear" w:color="auto" w:fill="auto"/>
            <w:vAlign w:val="bottom"/>
          </w:tcPr>
          <w:p w14:paraId="4965E055" w14:textId="3DE760C7"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45BE901" w14:textId="70788097" w:rsidR="00B33D8D" w:rsidRPr="001D41EA" w:rsidRDefault="00B33D8D" w:rsidP="001D41EA">
            <w:pPr>
              <w:spacing w:before="40" w:after="40"/>
              <w:jc w:val="right"/>
              <w:rPr>
                <w:rFonts w:cs="Arial"/>
                <w:sz w:val="18"/>
                <w:szCs w:val="18"/>
              </w:rPr>
            </w:pPr>
            <w:r w:rsidRPr="001D41EA">
              <w:rPr>
                <w:rFonts w:cs="Arial"/>
                <w:sz w:val="18"/>
                <w:szCs w:val="18"/>
              </w:rPr>
              <w:t>1,513</w:t>
            </w:r>
          </w:p>
        </w:tc>
        <w:tc>
          <w:tcPr>
            <w:tcW w:w="1247" w:type="dxa"/>
            <w:tcBorders>
              <w:top w:val="nil"/>
              <w:left w:val="nil"/>
              <w:bottom w:val="nil"/>
              <w:right w:val="nil"/>
            </w:tcBorders>
            <w:shd w:val="clear" w:color="auto" w:fill="auto"/>
            <w:vAlign w:val="bottom"/>
          </w:tcPr>
          <w:p w14:paraId="3506BA2F" w14:textId="59EA19F0" w:rsidR="00B33D8D" w:rsidRPr="001D41EA" w:rsidRDefault="00B33D8D" w:rsidP="001D41EA">
            <w:pPr>
              <w:spacing w:before="40" w:after="40"/>
              <w:jc w:val="right"/>
              <w:rPr>
                <w:rFonts w:cs="Arial"/>
                <w:sz w:val="18"/>
                <w:szCs w:val="18"/>
              </w:rPr>
            </w:pPr>
            <w:r w:rsidRPr="001D41EA">
              <w:rPr>
                <w:rFonts w:cs="Arial"/>
                <w:sz w:val="18"/>
                <w:szCs w:val="18"/>
              </w:rPr>
              <w:t>7.0</w:t>
            </w:r>
          </w:p>
        </w:tc>
      </w:tr>
      <w:tr w:rsidR="00B33D8D" w:rsidRPr="001D41EA" w14:paraId="5B229CE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2D37816" w14:textId="77777777" w:rsidR="00B33D8D" w:rsidRPr="001D41EA" w:rsidRDefault="00B33D8D" w:rsidP="001D41EA">
            <w:pPr>
              <w:spacing w:before="40" w:after="40"/>
              <w:rPr>
                <w:rFonts w:cs="Arial"/>
                <w:sz w:val="18"/>
                <w:szCs w:val="18"/>
              </w:rPr>
            </w:pPr>
            <w:r w:rsidRPr="001D41EA">
              <w:rPr>
                <w:rFonts w:cs="Arial"/>
                <w:sz w:val="18"/>
                <w:szCs w:val="18"/>
              </w:rPr>
              <w:t>Corangamite S</w:t>
            </w:r>
          </w:p>
        </w:tc>
        <w:tc>
          <w:tcPr>
            <w:tcW w:w="1247" w:type="dxa"/>
            <w:tcBorders>
              <w:top w:val="nil"/>
              <w:left w:val="single" w:sz="18" w:space="0" w:color="5F497A" w:themeColor="accent4" w:themeShade="BF"/>
              <w:bottom w:val="nil"/>
              <w:right w:val="nil"/>
            </w:tcBorders>
            <w:shd w:val="clear" w:color="auto" w:fill="auto"/>
            <w:vAlign w:val="bottom"/>
          </w:tcPr>
          <w:p w14:paraId="45B2CE64" w14:textId="04F1FA69" w:rsidR="00B33D8D" w:rsidRPr="001D41EA" w:rsidRDefault="00B33D8D" w:rsidP="001D41EA">
            <w:pPr>
              <w:spacing w:before="40" w:after="40"/>
              <w:jc w:val="right"/>
              <w:rPr>
                <w:rFonts w:cs="Arial"/>
                <w:sz w:val="18"/>
                <w:szCs w:val="18"/>
              </w:rPr>
            </w:pPr>
            <w:r w:rsidRPr="001D41EA">
              <w:rPr>
                <w:rFonts w:cs="Arial"/>
                <w:sz w:val="18"/>
                <w:szCs w:val="18"/>
              </w:rPr>
              <w:t>15,920</w:t>
            </w:r>
          </w:p>
        </w:tc>
        <w:tc>
          <w:tcPr>
            <w:tcW w:w="1247" w:type="dxa"/>
            <w:tcBorders>
              <w:top w:val="nil"/>
              <w:left w:val="nil"/>
              <w:bottom w:val="nil"/>
              <w:right w:val="nil"/>
            </w:tcBorders>
            <w:vAlign w:val="bottom"/>
          </w:tcPr>
          <w:p w14:paraId="77A4A977" w14:textId="5220490A" w:rsidR="00B33D8D" w:rsidRPr="001D41EA" w:rsidRDefault="00B33D8D" w:rsidP="001D41EA">
            <w:pPr>
              <w:spacing w:before="40" w:after="40"/>
              <w:jc w:val="right"/>
              <w:rPr>
                <w:rFonts w:cs="Arial"/>
                <w:sz w:val="18"/>
                <w:szCs w:val="18"/>
              </w:rPr>
            </w:pPr>
            <w:r w:rsidRPr="001D41EA">
              <w:rPr>
                <w:rFonts w:cs="Arial"/>
                <w:sz w:val="18"/>
                <w:szCs w:val="18"/>
              </w:rPr>
              <w:t>16,140</w:t>
            </w:r>
          </w:p>
        </w:tc>
        <w:tc>
          <w:tcPr>
            <w:tcW w:w="1247" w:type="dxa"/>
            <w:tcBorders>
              <w:top w:val="nil"/>
              <w:left w:val="nil"/>
              <w:bottom w:val="nil"/>
              <w:right w:val="nil"/>
            </w:tcBorders>
            <w:shd w:val="clear" w:color="auto" w:fill="auto"/>
            <w:vAlign w:val="bottom"/>
          </w:tcPr>
          <w:p w14:paraId="030643F4" w14:textId="3B9ED5A2" w:rsidR="00B33D8D" w:rsidRPr="001D41EA" w:rsidRDefault="00B33D8D" w:rsidP="001D41EA">
            <w:pPr>
              <w:spacing w:before="40" w:after="40"/>
              <w:jc w:val="right"/>
              <w:rPr>
                <w:rFonts w:cs="Arial"/>
                <w:sz w:val="18"/>
                <w:szCs w:val="18"/>
              </w:rPr>
            </w:pPr>
            <w:r w:rsidRPr="001D41EA">
              <w:rPr>
                <w:rFonts w:cs="Arial"/>
                <w:sz w:val="18"/>
                <w:szCs w:val="18"/>
              </w:rPr>
              <w:t>1.4</w:t>
            </w:r>
          </w:p>
        </w:tc>
        <w:tc>
          <w:tcPr>
            <w:tcW w:w="170" w:type="dxa"/>
            <w:tcBorders>
              <w:top w:val="nil"/>
              <w:left w:val="nil"/>
              <w:bottom w:val="nil"/>
              <w:right w:val="nil"/>
            </w:tcBorders>
            <w:shd w:val="clear" w:color="auto" w:fill="auto"/>
            <w:vAlign w:val="bottom"/>
          </w:tcPr>
          <w:p w14:paraId="226995B9" w14:textId="577668E3"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47A1A8E2" w14:textId="74A2BFC7" w:rsidR="00B33D8D" w:rsidRPr="001D41EA" w:rsidRDefault="00B33D8D" w:rsidP="001D41EA">
            <w:pPr>
              <w:spacing w:before="40" w:after="40"/>
              <w:jc w:val="right"/>
              <w:rPr>
                <w:rFonts w:cs="Arial"/>
                <w:sz w:val="18"/>
                <w:szCs w:val="18"/>
              </w:rPr>
            </w:pPr>
            <w:r w:rsidRPr="001D41EA">
              <w:rPr>
                <w:rFonts w:cs="Arial"/>
                <w:sz w:val="18"/>
                <w:szCs w:val="18"/>
              </w:rPr>
              <w:t>1,107</w:t>
            </w:r>
          </w:p>
        </w:tc>
        <w:tc>
          <w:tcPr>
            <w:tcW w:w="1247" w:type="dxa"/>
            <w:tcBorders>
              <w:top w:val="nil"/>
              <w:left w:val="nil"/>
              <w:bottom w:val="nil"/>
              <w:right w:val="nil"/>
            </w:tcBorders>
            <w:shd w:val="clear" w:color="auto" w:fill="auto"/>
            <w:vAlign w:val="bottom"/>
          </w:tcPr>
          <w:p w14:paraId="1FD8CC4E" w14:textId="22A4240A" w:rsidR="00B33D8D" w:rsidRPr="001D41EA" w:rsidRDefault="00B33D8D" w:rsidP="001D41EA">
            <w:pPr>
              <w:spacing w:before="40" w:after="40"/>
              <w:jc w:val="right"/>
              <w:rPr>
                <w:rFonts w:cs="Arial"/>
                <w:sz w:val="18"/>
                <w:szCs w:val="18"/>
              </w:rPr>
            </w:pPr>
            <w:r w:rsidRPr="001D41EA">
              <w:rPr>
                <w:rFonts w:cs="Arial"/>
                <w:sz w:val="18"/>
                <w:szCs w:val="18"/>
              </w:rPr>
              <w:t>6.9</w:t>
            </w:r>
          </w:p>
        </w:tc>
      </w:tr>
      <w:tr w:rsidR="00B33D8D" w:rsidRPr="001D41EA" w14:paraId="66B3CFA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9E96E0E" w14:textId="77777777" w:rsidR="00B33D8D" w:rsidRPr="001D41EA" w:rsidRDefault="00B33D8D" w:rsidP="001D41EA">
            <w:pPr>
              <w:spacing w:before="40" w:after="40"/>
              <w:rPr>
                <w:rFonts w:cs="Arial"/>
                <w:sz w:val="18"/>
                <w:szCs w:val="18"/>
              </w:rPr>
            </w:pPr>
            <w:r w:rsidRPr="001D41EA">
              <w:rPr>
                <w:rFonts w:cs="Arial"/>
                <w:sz w:val="18"/>
                <w:szCs w:val="18"/>
              </w:rPr>
              <w:t>Darebin C</w:t>
            </w:r>
          </w:p>
        </w:tc>
        <w:tc>
          <w:tcPr>
            <w:tcW w:w="1247" w:type="dxa"/>
            <w:tcBorders>
              <w:top w:val="nil"/>
              <w:left w:val="single" w:sz="18" w:space="0" w:color="5F497A" w:themeColor="accent4" w:themeShade="BF"/>
              <w:bottom w:val="nil"/>
              <w:right w:val="nil"/>
            </w:tcBorders>
            <w:shd w:val="clear" w:color="auto" w:fill="auto"/>
            <w:vAlign w:val="bottom"/>
          </w:tcPr>
          <w:p w14:paraId="6B2FF4C3" w14:textId="0E075918" w:rsidR="00B33D8D" w:rsidRPr="001D41EA" w:rsidRDefault="00B33D8D" w:rsidP="001D41EA">
            <w:pPr>
              <w:spacing w:before="40" w:after="40"/>
              <w:jc w:val="right"/>
              <w:rPr>
                <w:rFonts w:cs="Arial"/>
                <w:sz w:val="18"/>
                <w:szCs w:val="18"/>
              </w:rPr>
            </w:pPr>
            <w:r w:rsidRPr="001D41EA">
              <w:rPr>
                <w:rFonts w:cs="Arial"/>
                <w:sz w:val="18"/>
                <w:szCs w:val="18"/>
              </w:rPr>
              <w:t>148,675</w:t>
            </w:r>
          </w:p>
        </w:tc>
        <w:tc>
          <w:tcPr>
            <w:tcW w:w="1247" w:type="dxa"/>
            <w:tcBorders>
              <w:top w:val="nil"/>
              <w:left w:val="nil"/>
              <w:bottom w:val="nil"/>
              <w:right w:val="nil"/>
            </w:tcBorders>
            <w:vAlign w:val="bottom"/>
          </w:tcPr>
          <w:p w14:paraId="29CDC956" w14:textId="4AF1AFCE" w:rsidR="00B33D8D" w:rsidRPr="001D41EA" w:rsidRDefault="00B33D8D" w:rsidP="001D41EA">
            <w:pPr>
              <w:spacing w:before="40" w:after="40"/>
              <w:jc w:val="right"/>
              <w:rPr>
                <w:rFonts w:cs="Arial"/>
                <w:sz w:val="18"/>
                <w:szCs w:val="18"/>
              </w:rPr>
            </w:pPr>
            <w:r w:rsidRPr="001D41EA">
              <w:rPr>
                <w:rFonts w:cs="Arial"/>
                <w:sz w:val="18"/>
                <w:szCs w:val="18"/>
              </w:rPr>
              <w:t>161,609</w:t>
            </w:r>
          </w:p>
        </w:tc>
        <w:tc>
          <w:tcPr>
            <w:tcW w:w="1247" w:type="dxa"/>
            <w:tcBorders>
              <w:top w:val="nil"/>
              <w:left w:val="nil"/>
              <w:bottom w:val="nil"/>
              <w:right w:val="nil"/>
            </w:tcBorders>
            <w:shd w:val="clear" w:color="auto" w:fill="auto"/>
            <w:vAlign w:val="bottom"/>
          </w:tcPr>
          <w:p w14:paraId="56B1C2AE" w14:textId="34F2539E" w:rsidR="00B33D8D" w:rsidRPr="001D41EA" w:rsidRDefault="00B33D8D" w:rsidP="001D41EA">
            <w:pPr>
              <w:spacing w:before="40" w:after="40"/>
              <w:jc w:val="right"/>
              <w:rPr>
                <w:rFonts w:cs="Arial"/>
                <w:sz w:val="18"/>
                <w:szCs w:val="18"/>
              </w:rPr>
            </w:pPr>
            <w:r w:rsidRPr="001D41EA">
              <w:rPr>
                <w:rFonts w:cs="Arial"/>
                <w:sz w:val="18"/>
                <w:szCs w:val="18"/>
              </w:rPr>
              <w:t>8.7</w:t>
            </w:r>
          </w:p>
        </w:tc>
        <w:tc>
          <w:tcPr>
            <w:tcW w:w="170" w:type="dxa"/>
            <w:tcBorders>
              <w:top w:val="nil"/>
              <w:left w:val="nil"/>
              <w:bottom w:val="nil"/>
              <w:right w:val="nil"/>
            </w:tcBorders>
            <w:shd w:val="clear" w:color="auto" w:fill="auto"/>
            <w:vAlign w:val="bottom"/>
          </w:tcPr>
          <w:p w14:paraId="7C867043" w14:textId="4F7EAFCF"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4C8DBF7D" w14:textId="4A2B891E" w:rsidR="00B33D8D" w:rsidRPr="001D41EA" w:rsidRDefault="00B33D8D" w:rsidP="001D41EA">
            <w:pPr>
              <w:spacing w:before="40" w:after="40"/>
              <w:jc w:val="right"/>
              <w:rPr>
                <w:rFonts w:cs="Arial"/>
                <w:sz w:val="18"/>
                <w:szCs w:val="18"/>
              </w:rPr>
            </w:pPr>
            <w:r w:rsidRPr="001D41EA">
              <w:rPr>
                <w:rFonts w:cs="Arial"/>
                <w:sz w:val="18"/>
                <w:szCs w:val="18"/>
              </w:rPr>
              <w:t>11,681</w:t>
            </w:r>
          </w:p>
        </w:tc>
        <w:tc>
          <w:tcPr>
            <w:tcW w:w="1247" w:type="dxa"/>
            <w:tcBorders>
              <w:top w:val="nil"/>
              <w:left w:val="nil"/>
              <w:bottom w:val="nil"/>
              <w:right w:val="nil"/>
            </w:tcBorders>
            <w:shd w:val="clear" w:color="auto" w:fill="auto"/>
            <w:vAlign w:val="bottom"/>
          </w:tcPr>
          <w:p w14:paraId="74F7EFB4" w14:textId="0338137A" w:rsidR="00B33D8D" w:rsidRPr="001D41EA" w:rsidRDefault="00B33D8D" w:rsidP="001D41EA">
            <w:pPr>
              <w:spacing w:before="40" w:after="40"/>
              <w:jc w:val="right"/>
              <w:rPr>
                <w:rFonts w:cs="Arial"/>
                <w:sz w:val="18"/>
                <w:szCs w:val="18"/>
              </w:rPr>
            </w:pPr>
            <w:r w:rsidRPr="001D41EA">
              <w:rPr>
                <w:rFonts w:cs="Arial"/>
                <w:sz w:val="18"/>
                <w:szCs w:val="18"/>
              </w:rPr>
              <w:t>7.2</w:t>
            </w:r>
          </w:p>
        </w:tc>
      </w:tr>
      <w:tr w:rsidR="00B33D8D" w:rsidRPr="001D41EA" w14:paraId="30185519"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B328F97" w14:textId="77777777" w:rsidR="00B33D8D" w:rsidRPr="001D41EA" w:rsidRDefault="00B33D8D" w:rsidP="001D41EA">
            <w:pPr>
              <w:spacing w:before="40" w:after="40"/>
              <w:rPr>
                <w:rFonts w:cs="Arial"/>
                <w:sz w:val="18"/>
                <w:szCs w:val="18"/>
              </w:rPr>
            </w:pPr>
            <w:r w:rsidRPr="001D41EA">
              <w:rPr>
                <w:rFonts w:cs="Arial"/>
                <w:sz w:val="18"/>
                <w:szCs w:val="18"/>
              </w:rPr>
              <w:t>East Gippsland S</w:t>
            </w:r>
          </w:p>
        </w:tc>
        <w:tc>
          <w:tcPr>
            <w:tcW w:w="1247" w:type="dxa"/>
            <w:tcBorders>
              <w:top w:val="nil"/>
              <w:left w:val="single" w:sz="18" w:space="0" w:color="5F497A" w:themeColor="accent4" w:themeShade="BF"/>
              <w:bottom w:val="nil"/>
              <w:right w:val="nil"/>
            </w:tcBorders>
            <w:shd w:val="clear" w:color="auto" w:fill="auto"/>
            <w:vAlign w:val="bottom"/>
          </w:tcPr>
          <w:p w14:paraId="7DBB5DBB" w14:textId="194FDF0D" w:rsidR="00B33D8D" w:rsidRPr="001D41EA" w:rsidRDefault="00B33D8D" w:rsidP="001D41EA">
            <w:pPr>
              <w:spacing w:before="40" w:after="40"/>
              <w:jc w:val="right"/>
              <w:rPr>
                <w:rFonts w:cs="Arial"/>
                <w:sz w:val="18"/>
                <w:szCs w:val="18"/>
              </w:rPr>
            </w:pPr>
            <w:r w:rsidRPr="001D41EA">
              <w:rPr>
                <w:rFonts w:cs="Arial"/>
                <w:sz w:val="18"/>
                <w:szCs w:val="18"/>
              </w:rPr>
              <w:t>43,678</w:t>
            </w:r>
          </w:p>
        </w:tc>
        <w:tc>
          <w:tcPr>
            <w:tcW w:w="1247" w:type="dxa"/>
            <w:tcBorders>
              <w:top w:val="nil"/>
              <w:left w:val="nil"/>
              <w:bottom w:val="nil"/>
              <w:right w:val="nil"/>
            </w:tcBorders>
            <w:vAlign w:val="bottom"/>
          </w:tcPr>
          <w:p w14:paraId="1807D2E3" w14:textId="282CC440" w:rsidR="00B33D8D" w:rsidRPr="001D41EA" w:rsidRDefault="00B33D8D" w:rsidP="001D41EA">
            <w:pPr>
              <w:spacing w:before="40" w:after="40"/>
              <w:jc w:val="right"/>
              <w:rPr>
                <w:rFonts w:cs="Arial"/>
                <w:sz w:val="18"/>
                <w:szCs w:val="18"/>
              </w:rPr>
            </w:pPr>
            <w:r w:rsidRPr="001D41EA">
              <w:rPr>
                <w:rFonts w:cs="Arial"/>
                <w:sz w:val="18"/>
                <w:szCs w:val="18"/>
              </w:rPr>
              <w:t>46,818</w:t>
            </w:r>
          </w:p>
        </w:tc>
        <w:tc>
          <w:tcPr>
            <w:tcW w:w="1247" w:type="dxa"/>
            <w:tcBorders>
              <w:top w:val="nil"/>
              <w:left w:val="nil"/>
              <w:bottom w:val="nil"/>
              <w:right w:val="nil"/>
            </w:tcBorders>
            <w:shd w:val="clear" w:color="auto" w:fill="auto"/>
            <w:vAlign w:val="bottom"/>
          </w:tcPr>
          <w:p w14:paraId="7F31FCFE" w14:textId="5871A384" w:rsidR="00B33D8D" w:rsidRPr="001D41EA" w:rsidRDefault="00B33D8D" w:rsidP="001D41EA">
            <w:pPr>
              <w:spacing w:before="40" w:after="40"/>
              <w:jc w:val="right"/>
              <w:rPr>
                <w:rFonts w:cs="Arial"/>
                <w:sz w:val="18"/>
                <w:szCs w:val="18"/>
              </w:rPr>
            </w:pPr>
            <w:r w:rsidRPr="001D41EA">
              <w:rPr>
                <w:rFonts w:cs="Arial"/>
                <w:sz w:val="18"/>
                <w:szCs w:val="18"/>
              </w:rPr>
              <w:t>7.2</w:t>
            </w:r>
          </w:p>
        </w:tc>
        <w:tc>
          <w:tcPr>
            <w:tcW w:w="170" w:type="dxa"/>
            <w:tcBorders>
              <w:top w:val="nil"/>
              <w:left w:val="nil"/>
              <w:bottom w:val="nil"/>
              <w:right w:val="nil"/>
            </w:tcBorders>
            <w:shd w:val="clear" w:color="auto" w:fill="auto"/>
            <w:vAlign w:val="bottom"/>
          </w:tcPr>
          <w:p w14:paraId="3BC394C2" w14:textId="1A9AD7BF"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592EB350" w14:textId="4153773B" w:rsidR="00B33D8D" w:rsidRPr="001D41EA" w:rsidRDefault="00B33D8D" w:rsidP="001D41EA">
            <w:pPr>
              <w:spacing w:before="40" w:after="40"/>
              <w:jc w:val="right"/>
              <w:rPr>
                <w:rFonts w:cs="Arial"/>
                <w:sz w:val="18"/>
                <w:szCs w:val="18"/>
              </w:rPr>
            </w:pPr>
            <w:r w:rsidRPr="001D41EA">
              <w:rPr>
                <w:rFonts w:cs="Arial"/>
                <w:sz w:val="18"/>
                <w:szCs w:val="18"/>
              </w:rPr>
              <w:t>3,002</w:t>
            </w:r>
          </w:p>
        </w:tc>
        <w:tc>
          <w:tcPr>
            <w:tcW w:w="1247" w:type="dxa"/>
            <w:tcBorders>
              <w:top w:val="nil"/>
              <w:left w:val="nil"/>
              <w:bottom w:val="nil"/>
              <w:right w:val="nil"/>
            </w:tcBorders>
            <w:shd w:val="clear" w:color="auto" w:fill="auto"/>
            <w:vAlign w:val="bottom"/>
          </w:tcPr>
          <w:p w14:paraId="6FA1DFEC" w14:textId="3A11D8CB" w:rsidR="00B33D8D" w:rsidRPr="001D41EA" w:rsidRDefault="00B33D8D" w:rsidP="001D41EA">
            <w:pPr>
              <w:spacing w:before="40" w:after="40"/>
              <w:jc w:val="right"/>
              <w:rPr>
                <w:rFonts w:cs="Arial"/>
                <w:sz w:val="18"/>
                <w:szCs w:val="18"/>
              </w:rPr>
            </w:pPr>
            <w:r w:rsidRPr="001D41EA">
              <w:rPr>
                <w:rFonts w:cs="Arial"/>
                <w:sz w:val="18"/>
                <w:szCs w:val="18"/>
              </w:rPr>
              <w:t>6.4</w:t>
            </w:r>
          </w:p>
        </w:tc>
      </w:tr>
      <w:tr w:rsidR="00B33D8D" w:rsidRPr="001D41EA" w14:paraId="4454143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0857D5E" w14:textId="77777777" w:rsidR="00B33D8D" w:rsidRPr="001D41EA" w:rsidRDefault="00B33D8D" w:rsidP="001D41EA">
            <w:pPr>
              <w:spacing w:before="40" w:after="40"/>
              <w:rPr>
                <w:rFonts w:cs="Arial"/>
                <w:sz w:val="18"/>
                <w:szCs w:val="18"/>
              </w:rPr>
            </w:pPr>
            <w:r w:rsidRPr="001D41EA">
              <w:rPr>
                <w:rFonts w:cs="Arial"/>
                <w:sz w:val="18"/>
                <w:szCs w:val="18"/>
              </w:rPr>
              <w:t>Frankston C</w:t>
            </w:r>
          </w:p>
        </w:tc>
        <w:tc>
          <w:tcPr>
            <w:tcW w:w="1247" w:type="dxa"/>
            <w:tcBorders>
              <w:top w:val="nil"/>
              <w:left w:val="single" w:sz="18" w:space="0" w:color="5F497A" w:themeColor="accent4" w:themeShade="BF"/>
              <w:bottom w:val="nil"/>
              <w:right w:val="nil"/>
            </w:tcBorders>
            <w:shd w:val="clear" w:color="auto" w:fill="auto"/>
            <w:vAlign w:val="bottom"/>
          </w:tcPr>
          <w:p w14:paraId="0C275E76" w14:textId="59B6ACBA" w:rsidR="00B33D8D" w:rsidRPr="001D41EA" w:rsidRDefault="00B33D8D" w:rsidP="001D41EA">
            <w:pPr>
              <w:spacing w:before="40" w:after="40"/>
              <w:jc w:val="right"/>
              <w:rPr>
                <w:rFonts w:cs="Arial"/>
                <w:sz w:val="18"/>
                <w:szCs w:val="18"/>
              </w:rPr>
            </w:pPr>
            <w:r w:rsidRPr="001D41EA">
              <w:rPr>
                <w:rFonts w:cs="Arial"/>
                <w:sz w:val="18"/>
                <w:szCs w:val="18"/>
              </w:rPr>
              <w:t>134,899</w:t>
            </w:r>
          </w:p>
        </w:tc>
        <w:tc>
          <w:tcPr>
            <w:tcW w:w="1247" w:type="dxa"/>
            <w:tcBorders>
              <w:top w:val="nil"/>
              <w:left w:val="nil"/>
              <w:bottom w:val="nil"/>
              <w:right w:val="nil"/>
            </w:tcBorders>
            <w:vAlign w:val="bottom"/>
          </w:tcPr>
          <w:p w14:paraId="5D5F8A24" w14:textId="500D3243" w:rsidR="00B33D8D" w:rsidRPr="001D41EA" w:rsidRDefault="00B33D8D" w:rsidP="001D41EA">
            <w:pPr>
              <w:spacing w:before="40" w:after="40"/>
              <w:jc w:val="right"/>
              <w:rPr>
                <w:rFonts w:cs="Arial"/>
                <w:sz w:val="18"/>
                <w:szCs w:val="18"/>
              </w:rPr>
            </w:pPr>
            <w:r w:rsidRPr="001D41EA">
              <w:rPr>
                <w:rFonts w:cs="Arial"/>
                <w:sz w:val="18"/>
                <w:szCs w:val="18"/>
              </w:rPr>
              <w:t>141,845</w:t>
            </w:r>
          </w:p>
        </w:tc>
        <w:tc>
          <w:tcPr>
            <w:tcW w:w="1247" w:type="dxa"/>
            <w:tcBorders>
              <w:top w:val="nil"/>
              <w:left w:val="nil"/>
              <w:bottom w:val="nil"/>
              <w:right w:val="nil"/>
            </w:tcBorders>
            <w:shd w:val="clear" w:color="auto" w:fill="auto"/>
            <w:vAlign w:val="bottom"/>
          </w:tcPr>
          <w:p w14:paraId="3543668A" w14:textId="254E1440" w:rsidR="00B33D8D" w:rsidRPr="001D41EA" w:rsidRDefault="00B33D8D" w:rsidP="001D41EA">
            <w:pPr>
              <w:spacing w:before="40" w:after="40"/>
              <w:jc w:val="right"/>
              <w:rPr>
                <w:rFonts w:cs="Arial"/>
                <w:sz w:val="18"/>
                <w:szCs w:val="18"/>
              </w:rPr>
            </w:pPr>
            <w:r w:rsidRPr="001D41EA">
              <w:rPr>
                <w:rFonts w:cs="Arial"/>
                <w:sz w:val="18"/>
                <w:szCs w:val="18"/>
              </w:rPr>
              <w:t>5.1</w:t>
            </w:r>
          </w:p>
        </w:tc>
        <w:tc>
          <w:tcPr>
            <w:tcW w:w="170" w:type="dxa"/>
            <w:tcBorders>
              <w:top w:val="nil"/>
              <w:left w:val="nil"/>
              <w:bottom w:val="nil"/>
              <w:right w:val="nil"/>
            </w:tcBorders>
            <w:shd w:val="clear" w:color="auto" w:fill="auto"/>
            <w:vAlign w:val="bottom"/>
          </w:tcPr>
          <w:p w14:paraId="75C17F57" w14:textId="3F6BA1E8"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1B3F2A30" w14:textId="1F2F2623" w:rsidR="00B33D8D" w:rsidRPr="001D41EA" w:rsidRDefault="00B33D8D" w:rsidP="001D41EA">
            <w:pPr>
              <w:spacing w:before="40" w:after="40"/>
              <w:jc w:val="right"/>
              <w:rPr>
                <w:rFonts w:cs="Arial"/>
                <w:sz w:val="18"/>
                <w:szCs w:val="18"/>
              </w:rPr>
            </w:pPr>
            <w:r w:rsidRPr="001D41EA">
              <w:rPr>
                <w:rFonts w:cs="Arial"/>
                <w:sz w:val="18"/>
                <w:szCs w:val="18"/>
              </w:rPr>
              <w:t>11,780</w:t>
            </w:r>
          </w:p>
        </w:tc>
        <w:tc>
          <w:tcPr>
            <w:tcW w:w="1247" w:type="dxa"/>
            <w:tcBorders>
              <w:top w:val="nil"/>
              <w:left w:val="nil"/>
              <w:bottom w:val="nil"/>
              <w:right w:val="nil"/>
            </w:tcBorders>
            <w:shd w:val="clear" w:color="auto" w:fill="auto"/>
            <w:vAlign w:val="bottom"/>
          </w:tcPr>
          <w:p w14:paraId="61423765" w14:textId="6ED6D2EC" w:rsidR="00B33D8D" w:rsidRPr="001D41EA" w:rsidRDefault="00B33D8D" w:rsidP="001D41EA">
            <w:pPr>
              <w:spacing w:before="40" w:after="40"/>
              <w:jc w:val="right"/>
              <w:rPr>
                <w:rFonts w:cs="Arial"/>
                <w:sz w:val="18"/>
                <w:szCs w:val="18"/>
              </w:rPr>
            </w:pPr>
            <w:r w:rsidRPr="001D41EA">
              <w:rPr>
                <w:rFonts w:cs="Arial"/>
                <w:sz w:val="18"/>
                <w:szCs w:val="18"/>
              </w:rPr>
              <w:t>8.3</w:t>
            </w:r>
          </w:p>
        </w:tc>
      </w:tr>
      <w:tr w:rsidR="00B33D8D" w:rsidRPr="001D41EA" w14:paraId="38F7FD86"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898DC8B" w14:textId="77777777" w:rsidR="00B33D8D" w:rsidRPr="001D41EA" w:rsidRDefault="00B33D8D" w:rsidP="001D41EA">
            <w:pPr>
              <w:spacing w:before="40" w:after="40"/>
              <w:rPr>
                <w:rFonts w:cs="Arial"/>
                <w:sz w:val="18"/>
                <w:szCs w:val="18"/>
              </w:rPr>
            </w:pPr>
            <w:r w:rsidRPr="001D41EA">
              <w:rPr>
                <w:rFonts w:cs="Arial"/>
                <w:sz w:val="18"/>
                <w:szCs w:val="18"/>
              </w:rPr>
              <w:t>Gannawarra S</w:t>
            </w:r>
          </w:p>
        </w:tc>
        <w:tc>
          <w:tcPr>
            <w:tcW w:w="1247" w:type="dxa"/>
            <w:tcBorders>
              <w:top w:val="nil"/>
              <w:left w:val="single" w:sz="18" w:space="0" w:color="5F497A" w:themeColor="accent4" w:themeShade="BF"/>
              <w:bottom w:val="nil"/>
              <w:right w:val="nil"/>
            </w:tcBorders>
            <w:shd w:val="clear" w:color="auto" w:fill="auto"/>
            <w:vAlign w:val="bottom"/>
          </w:tcPr>
          <w:p w14:paraId="4B51BAC7" w14:textId="42668924" w:rsidR="00B33D8D" w:rsidRPr="001D41EA" w:rsidRDefault="00B33D8D" w:rsidP="001D41EA">
            <w:pPr>
              <w:spacing w:before="40" w:after="40"/>
              <w:jc w:val="right"/>
              <w:rPr>
                <w:rFonts w:cs="Arial"/>
                <w:sz w:val="18"/>
                <w:szCs w:val="18"/>
              </w:rPr>
            </w:pPr>
            <w:r w:rsidRPr="001D41EA">
              <w:rPr>
                <w:rFonts w:cs="Arial"/>
                <w:sz w:val="18"/>
                <w:szCs w:val="18"/>
              </w:rPr>
              <w:t>10,142</w:t>
            </w:r>
          </w:p>
        </w:tc>
        <w:tc>
          <w:tcPr>
            <w:tcW w:w="1247" w:type="dxa"/>
            <w:tcBorders>
              <w:top w:val="nil"/>
              <w:left w:val="nil"/>
              <w:bottom w:val="nil"/>
              <w:right w:val="nil"/>
            </w:tcBorders>
            <w:vAlign w:val="bottom"/>
          </w:tcPr>
          <w:p w14:paraId="19774EEB" w14:textId="72A80902" w:rsidR="00B33D8D" w:rsidRPr="001D41EA" w:rsidRDefault="00B33D8D" w:rsidP="001D41EA">
            <w:pPr>
              <w:spacing w:before="40" w:after="40"/>
              <w:jc w:val="right"/>
              <w:rPr>
                <w:rFonts w:cs="Arial"/>
                <w:sz w:val="18"/>
                <w:szCs w:val="18"/>
              </w:rPr>
            </w:pPr>
            <w:r w:rsidRPr="001D41EA">
              <w:rPr>
                <w:rFonts w:cs="Arial"/>
                <w:sz w:val="18"/>
                <w:szCs w:val="18"/>
              </w:rPr>
              <w:t>10,547</w:t>
            </w:r>
          </w:p>
        </w:tc>
        <w:tc>
          <w:tcPr>
            <w:tcW w:w="1247" w:type="dxa"/>
            <w:tcBorders>
              <w:top w:val="nil"/>
              <w:left w:val="nil"/>
              <w:bottom w:val="nil"/>
              <w:right w:val="nil"/>
            </w:tcBorders>
            <w:shd w:val="clear" w:color="auto" w:fill="auto"/>
            <w:vAlign w:val="bottom"/>
          </w:tcPr>
          <w:p w14:paraId="111B530F" w14:textId="336E9740" w:rsidR="00B33D8D" w:rsidRPr="001D41EA" w:rsidRDefault="00B33D8D" w:rsidP="001D41EA">
            <w:pPr>
              <w:spacing w:before="40" w:after="40"/>
              <w:jc w:val="right"/>
              <w:rPr>
                <w:rFonts w:cs="Arial"/>
                <w:sz w:val="18"/>
                <w:szCs w:val="18"/>
              </w:rPr>
            </w:pPr>
            <w:r w:rsidRPr="001D41EA">
              <w:rPr>
                <w:rFonts w:cs="Arial"/>
                <w:sz w:val="18"/>
                <w:szCs w:val="18"/>
              </w:rPr>
              <w:t>4.0</w:t>
            </w:r>
          </w:p>
        </w:tc>
        <w:tc>
          <w:tcPr>
            <w:tcW w:w="170" w:type="dxa"/>
            <w:tcBorders>
              <w:top w:val="nil"/>
              <w:left w:val="nil"/>
              <w:bottom w:val="nil"/>
              <w:right w:val="nil"/>
            </w:tcBorders>
            <w:shd w:val="clear" w:color="auto" w:fill="auto"/>
            <w:vAlign w:val="bottom"/>
          </w:tcPr>
          <w:p w14:paraId="604E1713" w14:textId="34AD401A"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2ED82FAF" w14:textId="7580F4B7" w:rsidR="00B33D8D" w:rsidRPr="001D41EA" w:rsidRDefault="00B33D8D" w:rsidP="001D41EA">
            <w:pPr>
              <w:spacing w:before="40" w:after="40"/>
              <w:jc w:val="right"/>
              <w:rPr>
                <w:rFonts w:cs="Arial"/>
                <w:sz w:val="18"/>
                <w:szCs w:val="18"/>
              </w:rPr>
            </w:pPr>
            <w:r w:rsidRPr="001D41EA">
              <w:rPr>
                <w:rFonts w:cs="Arial"/>
                <w:sz w:val="18"/>
                <w:szCs w:val="18"/>
              </w:rPr>
              <w:t>660</w:t>
            </w:r>
          </w:p>
        </w:tc>
        <w:tc>
          <w:tcPr>
            <w:tcW w:w="1247" w:type="dxa"/>
            <w:tcBorders>
              <w:top w:val="nil"/>
              <w:left w:val="nil"/>
              <w:bottom w:val="nil"/>
              <w:right w:val="nil"/>
            </w:tcBorders>
            <w:shd w:val="clear" w:color="auto" w:fill="auto"/>
            <w:vAlign w:val="bottom"/>
          </w:tcPr>
          <w:p w14:paraId="36AA291D" w14:textId="6F39176C" w:rsidR="00B33D8D" w:rsidRPr="001D41EA" w:rsidRDefault="00B33D8D" w:rsidP="001D41EA">
            <w:pPr>
              <w:spacing w:before="40" w:after="40"/>
              <w:jc w:val="right"/>
              <w:rPr>
                <w:rFonts w:cs="Arial"/>
                <w:sz w:val="18"/>
                <w:szCs w:val="18"/>
              </w:rPr>
            </w:pPr>
            <w:r w:rsidRPr="001D41EA">
              <w:rPr>
                <w:rFonts w:cs="Arial"/>
                <w:sz w:val="18"/>
                <w:szCs w:val="18"/>
              </w:rPr>
              <w:t>6.3</w:t>
            </w:r>
          </w:p>
        </w:tc>
      </w:tr>
      <w:tr w:rsidR="00B33D8D" w:rsidRPr="001D41EA" w14:paraId="079C7ECB"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CC5DC2B" w14:textId="77777777" w:rsidR="00B33D8D" w:rsidRPr="001D41EA" w:rsidRDefault="00B33D8D" w:rsidP="001D41EA">
            <w:pPr>
              <w:spacing w:before="40" w:after="40"/>
              <w:rPr>
                <w:rFonts w:cs="Arial"/>
                <w:sz w:val="18"/>
                <w:szCs w:val="18"/>
              </w:rPr>
            </w:pPr>
            <w:r w:rsidRPr="001D41EA">
              <w:rPr>
                <w:rFonts w:cs="Arial"/>
                <w:sz w:val="18"/>
                <w:szCs w:val="18"/>
              </w:rPr>
              <w:t>Glen Eira C</w:t>
            </w:r>
          </w:p>
        </w:tc>
        <w:tc>
          <w:tcPr>
            <w:tcW w:w="1247" w:type="dxa"/>
            <w:tcBorders>
              <w:top w:val="nil"/>
              <w:left w:val="single" w:sz="18" w:space="0" w:color="5F497A" w:themeColor="accent4" w:themeShade="BF"/>
              <w:bottom w:val="nil"/>
              <w:right w:val="nil"/>
            </w:tcBorders>
            <w:shd w:val="clear" w:color="auto" w:fill="auto"/>
            <w:vAlign w:val="bottom"/>
          </w:tcPr>
          <w:p w14:paraId="6D9C12F8" w14:textId="7C448FAE" w:rsidR="00B33D8D" w:rsidRPr="001D41EA" w:rsidRDefault="00B33D8D" w:rsidP="001D41EA">
            <w:pPr>
              <w:spacing w:before="40" w:after="40"/>
              <w:jc w:val="right"/>
              <w:rPr>
                <w:rFonts w:cs="Arial"/>
                <w:sz w:val="18"/>
                <w:szCs w:val="18"/>
              </w:rPr>
            </w:pPr>
            <w:r w:rsidRPr="001D41EA">
              <w:rPr>
                <w:rFonts w:cs="Arial"/>
                <w:sz w:val="18"/>
                <w:szCs w:val="18"/>
              </w:rPr>
              <w:t>144,009</w:t>
            </w:r>
          </w:p>
        </w:tc>
        <w:tc>
          <w:tcPr>
            <w:tcW w:w="1247" w:type="dxa"/>
            <w:tcBorders>
              <w:top w:val="nil"/>
              <w:left w:val="nil"/>
              <w:bottom w:val="nil"/>
              <w:right w:val="nil"/>
            </w:tcBorders>
            <w:vAlign w:val="bottom"/>
          </w:tcPr>
          <w:p w14:paraId="17909A86" w14:textId="6D48F361" w:rsidR="00B33D8D" w:rsidRPr="001D41EA" w:rsidRDefault="00B33D8D" w:rsidP="001D41EA">
            <w:pPr>
              <w:spacing w:before="40" w:after="40"/>
              <w:jc w:val="right"/>
              <w:rPr>
                <w:rFonts w:cs="Arial"/>
                <w:sz w:val="18"/>
                <w:szCs w:val="18"/>
              </w:rPr>
            </w:pPr>
            <w:r w:rsidRPr="001D41EA">
              <w:rPr>
                <w:rFonts w:cs="Arial"/>
                <w:sz w:val="18"/>
                <w:szCs w:val="18"/>
              </w:rPr>
              <w:t>153,858</w:t>
            </w:r>
          </w:p>
        </w:tc>
        <w:tc>
          <w:tcPr>
            <w:tcW w:w="1247" w:type="dxa"/>
            <w:tcBorders>
              <w:top w:val="nil"/>
              <w:left w:val="nil"/>
              <w:bottom w:val="nil"/>
              <w:right w:val="nil"/>
            </w:tcBorders>
            <w:shd w:val="clear" w:color="auto" w:fill="auto"/>
            <w:vAlign w:val="bottom"/>
          </w:tcPr>
          <w:p w14:paraId="2184C5D9" w14:textId="22ADC31B" w:rsidR="00B33D8D" w:rsidRPr="001D41EA" w:rsidRDefault="00B33D8D" w:rsidP="001D41EA">
            <w:pPr>
              <w:spacing w:before="40" w:after="40"/>
              <w:jc w:val="right"/>
              <w:rPr>
                <w:rFonts w:cs="Arial"/>
                <w:sz w:val="18"/>
                <w:szCs w:val="18"/>
              </w:rPr>
            </w:pPr>
            <w:r w:rsidRPr="001D41EA">
              <w:rPr>
                <w:rFonts w:cs="Arial"/>
                <w:sz w:val="18"/>
                <w:szCs w:val="18"/>
              </w:rPr>
              <w:t>6.8</w:t>
            </w:r>
          </w:p>
        </w:tc>
        <w:tc>
          <w:tcPr>
            <w:tcW w:w="170" w:type="dxa"/>
            <w:tcBorders>
              <w:top w:val="nil"/>
              <w:left w:val="nil"/>
              <w:bottom w:val="nil"/>
              <w:right w:val="nil"/>
            </w:tcBorders>
            <w:shd w:val="clear" w:color="auto" w:fill="auto"/>
            <w:vAlign w:val="bottom"/>
          </w:tcPr>
          <w:p w14:paraId="7DA6CE06" w14:textId="7F22A7D0"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033AC53A" w14:textId="6F8CE1ED" w:rsidR="00B33D8D" w:rsidRPr="001D41EA" w:rsidRDefault="00B33D8D" w:rsidP="001D41EA">
            <w:pPr>
              <w:spacing w:before="40" w:after="40"/>
              <w:jc w:val="right"/>
              <w:rPr>
                <w:rFonts w:cs="Arial"/>
                <w:sz w:val="18"/>
                <w:szCs w:val="18"/>
              </w:rPr>
            </w:pPr>
            <w:r w:rsidRPr="001D41EA">
              <w:rPr>
                <w:rFonts w:cs="Arial"/>
                <w:sz w:val="18"/>
                <w:szCs w:val="18"/>
              </w:rPr>
              <w:t>11,511</w:t>
            </w:r>
          </w:p>
        </w:tc>
        <w:tc>
          <w:tcPr>
            <w:tcW w:w="1247" w:type="dxa"/>
            <w:tcBorders>
              <w:top w:val="nil"/>
              <w:left w:val="nil"/>
              <w:bottom w:val="nil"/>
              <w:right w:val="nil"/>
            </w:tcBorders>
            <w:shd w:val="clear" w:color="auto" w:fill="auto"/>
            <w:vAlign w:val="bottom"/>
          </w:tcPr>
          <w:p w14:paraId="00ACFE18" w14:textId="0AC43B9C" w:rsidR="00B33D8D" w:rsidRPr="001D41EA" w:rsidRDefault="00B33D8D" w:rsidP="001D41EA">
            <w:pPr>
              <w:spacing w:before="40" w:after="40"/>
              <w:jc w:val="right"/>
              <w:rPr>
                <w:rFonts w:cs="Arial"/>
                <w:sz w:val="18"/>
                <w:szCs w:val="18"/>
              </w:rPr>
            </w:pPr>
            <w:r w:rsidRPr="001D41EA">
              <w:rPr>
                <w:rFonts w:cs="Arial"/>
                <w:sz w:val="18"/>
                <w:szCs w:val="18"/>
              </w:rPr>
              <w:t>7.5</w:t>
            </w:r>
          </w:p>
        </w:tc>
      </w:tr>
      <w:tr w:rsidR="00B33D8D" w:rsidRPr="001D41EA" w14:paraId="71C616F5"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9B8F255" w14:textId="77777777" w:rsidR="00B33D8D" w:rsidRPr="001D41EA" w:rsidRDefault="00B33D8D" w:rsidP="001D41EA">
            <w:pPr>
              <w:spacing w:before="40" w:after="40"/>
              <w:rPr>
                <w:rFonts w:cs="Arial"/>
                <w:sz w:val="18"/>
                <w:szCs w:val="18"/>
              </w:rPr>
            </w:pPr>
            <w:r w:rsidRPr="001D41EA">
              <w:rPr>
                <w:rFonts w:cs="Arial"/>
                <w:sz w:val="18"/>
                <w:szCs w:val="18"/>
              </w:rPr>
              <w:t>Glenelg S</w:t>
            </w:r>
          </w:p>
        </w:tc>
        <w:tc>
          <w:tcPr>
            <w:tcW w:w="1247" w:type="dxa"/>
            <w:tcBorders>
              <w:top w:val="nil"/>
              <w:left w:val="single" w:sz="18" w:space="0" w:color="5F497A" w:themeColor="accent4" w:themeShade="BF"/>
              <w:bottom w:val="nil"/>
              <w:right w:val="nil"/>
            </w:tcBorders>
            <w:shd w:val="clear" w:color="auto" w:fill="auto"/>
            <w:vAlign w:val="bottom"/>
          </w:tcPr>
          <w:p w14:paraId="67355D42" w14:textId="252F828D" w:rsidR="00B33D8D" w:rsidRPr="001D41EA" w:rsidRDefault="00B33D8D" w:rsidP="001D41EA">
            <w:pPr>
              <w:spacing w:before="40" w:after="40"/>
              <w:jc w:val="right"/>
              <w:rPr>
                <w:rFonts w:cs="Arial"/>
                <w:sz w:val="18"/>
                <w:szCs w:val="18"/>
              </w:rPr>
            </w:pPr>
            <w:r w:rsidRPr="001D41EA">
              <w:rPr>
                <w:rFonts w:cs="Arial"/>
                <w:sz w:val="18"/>
                <w:szCs w:val="18"/>
              </w:rPr>
              <w:t>19,355</w:t>
            </w:r>
          </w:p>
        </w:tc>
        <w:tc>
          <w:tcPr>
            <w:tcW w:w="1247" w:type="dxa"/>
            <w:tcBorders>
              <w:top w:val="nil"/>
              <w:left w:val="nil"/>
              <w:bottom w:val="nil"/>
              <w:right w:val="nil"/>
            </w:tcBorders>
            <w:vAlign w:val="bottom"/>
          </w:tcPr>
          <w:p w14:paraId="054789B9" w14:textId="2AB01B83" w:rsidR="00B33D8D" w:rsidRPr="001D41EA" w:rsidRDefault="00B33D8D" w:rsidP="001D41EA">
            <w:pPr>
              <w:spacing w:before="40" w:after="40"/>
              <w:jc w:val="right"/>
              <w:rPr>
                <w:rFonts w:cs="Arial"/>
                <w:sz w:val="18"/>
                <w:szCs w:val="18"/>
              </w:rPr>
            </w:pPr>
            <w:r w:rsidRPr="001D41EA">
              <w:rPr>
                <w:rFonts w:cs="Arial"/>
                <w:sz w:val="18"/>
                <w:szCs w:val="18"/>
              </w:rPr>
              <w:t>19,665</w:t>
            </w:r>
          </w:p>
        </w:tc>
        <w:tc>
          <w:tcPr>
            <w:tcW w:w="1247" w:type="dxa"/>
            <w:tcBorders>
              <w:top w:val="nil"/>
              <w:left w:val="nil"/>
              <w:bottom w:val="nil"/>
              <w:right w:val="nil"/>
            </w:tcBorders>
            <w:shd w:val="clear" w:color="auto" w:fill="auto"/>
            <w:vAlign w:val="bottom"/>
          </w:tcPr>
          <w:p w14:paraId="247B349B" w14:textId="411C4496" w:rsidR="00B33D8D" w:rsidRPr="001D41EA" w:rsidRDefault="00B33D8D" w:rsidP="001D41EA">
            <w:pPr>
              <w:spacing w:before="40" w:after="40"/>
              <w:jc w:val="right"/>
              <w:rPr>
                <w:rFonts w:cs="Arial"/>
                <w:sz w:val="18"/>
                <w:szCs w:val="18"/>
              </w:rPr>
            </w:pPr>
            <w:r w:rsidRPr="001D41EA">
              <w:rPr>
                <w:rFonts w:cs="Arial"/>
                <w:sz w:val="18"/>
                <w:szCs w:val="18"/>
              </w:rPr>
              <w:t>1.6</w:t>
            </w:r>
          </w:p>
        </w:tc>
        <w:tc>
          <w:tcPr>
            <w:tcW w:w="170" w:type="dxa"/>
            <w:tcBorders>
              <w:top w:val="nil"/>
              <w:left w:val="nil"/>
              <w:bottom w:val="nil"/>
              <w:right w:val="nil"/>
            </w:tcBorders>
            <w:shd w:val="clear" w:color="auto" w:fill="auto"/>
            <w:vAlign w:val="bottom"/>
          </w:tcPr>
          <w:p w14:paraId="259DF334" w14:textId="747FF9B8"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3787E403" w14:textId="6C9BEFC4" w:rsidR="00B33D8D" w:rsidRPr="001D41EA" w:rsidRDefault="00B33D8D" w:rsidP="001D41EA">
            <w:pPr>
              <w:spacing w:before="40" w:after="40"/>
              <w:jc w:val="right"/>
              <w:rPr>
                <w:rFonts w:cs="Arial"/>
                <w:sz w:val="18"/>
                <w:szCs w:val="18"/>
              </w:rPr>
            </w:pPr>
            <w:r w:rsidRPr="001D41EA">
              <w:rPr>
                <w:rFonts w:cs="Arial"/>
                <w:sz w:val="18"/>
                <w:szCs w:val="18"/>
              </w:rPr>
              <w:t>1,226</w:t>
            </w:r>
          </w:p>
        </w:tc>
        <w:tc>
          <w:tcPr>
            <w:tcW w:w="1247" w:type="dxa"/>
            <w:tcBorders>
              <w:top w:val="nil"/>
              <w:left w:val="nil"/>
              <w:bottom w:val="nil"/>
              <w:right w:val="nil"/>
            </w:tcBorders>
            <w:shd w:val="clear" w:color="auto" w:fill="auto"/>
            <w:vAlign w:val="bottom"/>
          </w:tcPr>
          <w:p w14:paraId="734323EC" w14:textId="354A3002" w:rsidR="00B33D8D" w:rsidRPr="001D41EA" w:rsidRDefault="00B33D8D" w:rsidP="001D41EA">
            <w:pPr>
              <w:spacing w:before="40" w:after="40"/>
              <w:jc w:val="right"/>
              <w:rPr>
                <w:rFonts w:cs="Arial"/>
                <w:sz w:val="18"/>
                <w:szCs w:val="18"/>
              </w:rPr>
            </w:pPr>
            <w:r w:rsidRPr="001D41EA">
              <w:rPr>
                <w:rFonts w:cs="Arial"/>
                <w:sz w:val="18"/>
                <w:szCs w:val="18"/>
              </w:rPr>
              <w:t>6.2</w:t>
            </w:r>
          </w:p>
        </w:tc>
      </w:tr>
      <w:tr w:rsidR="00B33D8D" w:rsidRPr="001D41EA" w14:paraId="17B8C60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76BA984" w14:textId="77777777" w:rsidR="00B33D8D" w:rsidRPr="001D41EA" w:rsidRDefault="00B33D8D" w:rsidP="001D41EA">
            <w:pPr>
              <w:spacing w:before="40" w:after="40"/>
              <w:rPr>
                <w:rFonts w:cs="Arial"/>
                <w:sz w:val="18"/>
                <w:szCs w:val="18"/>
              </w:rPr>
            </w:pPr>
            <w:r w:rsidRPr="001D41EA">
              <w:rPr>
                <w:rFonts w:cs="Arial"/>
                <w:sz w:val="18"/>
                <w:szCs w:val="18"/>
              </w:rPr>
              <w:t>Golden Plains S</w:t>
            </w:r>
          </w:p>
        </w:tc>
        <w:tc>
          <w:tcPr>
            <w:tcW w:w="1247" w:type="dxa"/>
            <w:tcBorders>
              <w:top w:val="nil"/>
              <w:left w:val="single" w:sz="18" w:space="0" w:color="5F497A" w:themeColor="accent4" w:themeShade="BF"/>
              <w:bottom w:val="nil"/>
              <w:right w:val="nil"/>
            </w:tcBorders>
            <w:shd w:val="clear" w:color="auto" w:fill="auto"/>
            <w:vAlign w:val="bottom"/>
          </w:tcPr>
          <w:p w14:paraId="5853182D" w14:textId="7A2095AA" w:rsidR="00B33D8D" w:rsidRPr="001D41EA" w:rsidRDefault="00B33D8D" w:rsidP="001D41EA">
            <w:pPr>
              <w:spacing w:before="40" w:after="40"/>
              <w:jc w:val="right"/>
              <w:rPr>
                <w:rFonts w:cs="Arial"/>
                <w:sz w:val="18"/>
                <w:szCs w:val="18"/>
              </w:rPr>
            </w:pPr>
            <w:r w:rsidRPr="001D41EA">
              <w:rPr>
                <w:rFonts w:cs="Arial"/>
                <w:sz w:val="18"/>
                <w:szCs w:val="18"/>
              </w:rPr>
              <w:t>20,538</w:t>
            </w:r>
          </w:p>
        </w:tc>
        <w:tc>
          <w:tcPr>
            <w:tcW w:w="1247" w:type="dxa"/>
            <w:tcBorders>
              <w:top w:val="nil"/>
              <w:left w:val="nil"/>
              <w:bottom w:val="nil"/>
              <w:right w:val="nil"/>
            </w:tcBorders>
            <w:vAlign w:val="bottom"/>
          </w:tcPr>
          <w:p w14:paraId="06D34D6B" w14:textId="4F1A8BE6" w:rsidR="00B33D8D" w:rsidRPr="001D41EA" w:rsidRDefault="00B33D8D" w:rsidP="001D41EA">
            <w:pPr>
              <w:spacing w:before="40" w:after="40"/>
              <w:jc w:val="right"/>
              <w:rPr>
                <w:rFonts w:cs="Arial"/>
                <w:sz w:val="18"/>
                <w:szCs w:val="18"/>
              </w:rPr>
            </w:pPr>
            <w:r w:rsidRPr="001D41EA">
              <w:rPr>
                <w:rFonts w:cs="Arial"/>
                <w:sz w:val="18"/>
                <w:szCs w:val="18"/>
              </w:rPr>
              <w:t>23,120</w:t>
            </w:r>
          </w:p>
        </w:tc>
        <w:tc>
          <w:tcPr>
            <w:tcW w:w="1247" w:type="dxa"/>
            <w:tcBorders>
              <w:top w:val="nil"/>
              <w:left w:val="nil"/>
              <w:bottom w:val="nil"/>
              <w:right w:val="nil"/>
            </w:tcBorders>
            <w:shd w:val="clear" w:color="auto" w:fill="auto"/>
            <w:vAlign w:val="bottom"/>
          </w:tcPr>
          <w:p w14:paraId="734DB7E4" w14:textId="4875DB2F" w:rsidR="00B33D8D" w:rsidRPr="001D41EA" w:rsidRDefault="00B33D8D" w:rsidP="001D41EA">
            <w:pPr>
              <w:spacing w:before="40" w:after="40"/>
              <w:jc w:val="right"/>
              <w:rPr>
                <w:rFonts w:cs="Arial"/>
                <w:sz w:val="18"/>
                <w:szCs w:val="18"/>
              </w:rPr>
            </w:pPr>
            <w:r w:rsidRPr="001D41EA">
              <w:rPr>
                <w:rFonts w:cs="Arial"/>
                <w:sz w:val="18"/>
                <w:szCs w:val="18"/>
              </w:rPr>
              <w:t>12.6</w:t>
            </w:r>
          </w:p>
        </w:tc>
        <w:tc>
          <w:tcPr>
            <w:tcW w:w="170" w:type="dxa"/>
            <w:tcBorders>
              <w:top w:val="nil"/>
              <w:left w:val="nil"/>
              <w:bottom w:val="nil"/>
              <w:right w:val="nil"/>
            </w:tcBorders>
            <w:shd w:val="clear" w:color="auto" w:fill="auto"/>
            <w:vAlign w:val="bottom"/>
          </w:tcPr>
          <w:p w14:paraId="0794A49C" w14:textId="6C6671BD"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C7BB508" w14:textId="31264D6E" w:rsidR="00B33D8D" w:rsidRPr="001D41EA" w:rsidRDefault="00B33D8D" w:rsidP="001D41EA">
            <w:pPr>
              <w:spacing w:before="40" w:after="40"/>
              <w:jc w:val="right"/>
              <w:rPr>
                <w:rFonts w:cs="Arial"/>
                <w:sz w:val="18"/>
                <w:szCs w:val="18"/>
              </w:rPr>
            </w:pPr>
            <w:r w:rsidRPr="001D41EA">
              <w:rPr>
                <w:rFonts w:cs="Arial"/>
                <w:sz w:val="18"/>
                <w:szCs w:val="18"/>
              </w:rPr>
              <w:t>1,911</w:t>
            </w:r>
          </w:p>
        </w:tc>
        <w:tc>
          <w:tcPr>
            <w:tcW w:w="1247" w:type="dxa"/>
            <w:tcBorders>
              <w:top w:val="nil"/>
              <w:left w:val="nil"/>
              <w:bottom w:val="nil"/>
              <w:right w:val="nil"/>
            </w:tcBorders>
            <w:shd w:val="clear" w:color="auto" w:fill="auto"/>
            <w:vAlign w:val="bottom"/>
          </w:tcPr>
          <w:p w14:paraId="60DCF53B" w14:textId="257552D9" w:rsidR="00B33D8D" w:rsidRPr="001D41EA" w:rsidRDefault="00B33D8D" w:rsidP="001D41EA">
            <w:pPr>
              <w:spacing w:before="40" w:after="40"/>
              <w:jc w:val="right"/>
              <w:rPr>
                <w:rFonts w:cs="Arial"/>
                <w:sz w:val="18"/>
                <w:szCs w:val="18"/>
              </w:rPr>
            </w:pPr>
            <w:r w:rsidRPr="001D41EA">
              <w:rPr>
                <w:rFonts w:cs="Arial"/>
                <w:sz w:val="18"/>
                <w:szCs w:val="18"/>
              </w:rPr>
              <w:t>8.3</w:t>
            </w:r>
          </w:p>
        </w:tc>
      </w:tr>
      <w:tr w:rsidR="00B33D8D" w:rsidRPr="001D41EA" w14:paraId="43C0ED13"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692D6F6" w14:textId="77777777" w:rsidR="00B33D8D" w:rsidRPr="001D41EA" w:rsidRDefault="00B33D8D" w:rsidP="001D41EA">
            <w:pPr>
              <w:spacing w:before="40" w:after="40"/>
              <w:rPr>
                <w:rFonts w:cs="Arial"/>
                <w:sz w:val="18"/>
                <w:szCs w:val="18"/>
              </w:rPr>
            </w:pPr>
            <w:r w:rsidRPr="001D41EA">
              <w:rPr>
                <w:rFonts w:cs="Arial"/>
                <w:sz w:val="18"/>
                <w:szCs w:val="18"/>
              </w:rPr>
              <w:t>Greater Bendigo C</w:t>
            </w:r>
          </w:p>
        </w:tc>
        <w:tc>
          <w:tcPr>
            <w:tcW w:w="1247" w:type="dxa"/>
            <w:tcBorders>
              <w:top w:val="nil"/>
              <w:left w:val="single" w:sz="18" w:space="0" w:color="5F497A" w:themeColor="accent4" w:themeShade="BF"/>
              <w:bottom w:val="nil"/>
              <w:right w:val="nil"/>
            </w:tcBorders>
            <w:shd w:val="clear" w:color="auto" w:fill="auto"/>
            <w:vAlign w:val="bottom"/>
          </w:tcPr>
          <w:p w14:paraId="6A4D66F8" w14:textId="20F8192A" w:rsidR="00B33D8D" w:rsidRPr="001D41EA" w:rsidRDefault="00B33D8D" w:rsidP="001D41EA">
            <w:pPr>
              <w:spacing w:before="40" w:after="40"/>
              <w:jc w:val="right"/>
              <w:rPr>
                <w:rFonts w:cs="Arial"/>
                <w:sz w:val="18"/>
                <w:szCs w:val="18"/>
              </w:rPr>
            </w:pPr>
            <w:r w:rsidRPr="001D41EA">
              <w:rPr>
                <w:rFonts w:cs="Arial"/>
                <w:sz w:val="18"/>
                <w:szCs w:val="18"/>
              </w:rPr>
              <w:t>107,051</w:t>
            </w:r>
          </w:p>
        </w:tc>
        <w:tc>
          <w:tcPr>
            <w:tcW w:w="1247" w:type="dxa"/>
            <w:tcBorders>
              <w:top w:val="nil"/>
              <w:left w:val="nil"/>
              <w:bottom w:val="nil"/>
              <w:right w:val="nil"/>
            </w:tcBorders>
            <w:vAlign w:val="bottom"/>
          </w:tcPr>
          <w:p w14:paraId="36741C80" w14:textId="68EA1AED" w:rsidR="00B33D8D" w:rsidRPr="001D41EA" w:rsidRDefault="00B33D8D" w:rsidP="001D41EA">
            <w:pPr>
              <w:spacing w:before="40" w:after="40"/>
              <w:jc w:val="right"/>
              <w:rPr>
                <w:rFonts w:cs="Arial"/>
                <w:sz w:val="18"/>
                <w:szCs w:val="18"/>
              </w:rPr>
            </w:pPr>
            <w:r w:rsidRPr="001D41EA">
              <w:rPr>
                <w:rFonts w:cs="Arial"/>
                <w:sz w:val="18"/>
                <w:szCs w:val="18"/>
              </w:rPr>
              <w:t>116,045</w:t>
            </w:r>
          </w:p>
        </w:tc>
        <w:tc>
          <w:tcPr>
            <w:tcW w:w="1247" w:type="dxa"/>
            <w:tcBorders>
              <w:top w:val="nil"/>
              <w:left w:val="nil"/>
              <w:bottom w:val="nil"/>
              <w:right w:val="nil"/>
            </w:tcBorders>
            <w:shd w:val="clear" w:color="auto" w:fill="auto"/>
            <w:vAlign w:val="bottom"/>
          </w:tcPr>
          <w:p w14:paraId="1F761D43" w14:textId="7817D88D" w:rsidR="00B33D8D" w:rsidRPr="001D41EA" w:rsidRDefault="00B33D8D" w:rsidP="001D41EA">
            <w:pPr>
              <w:spacing w:before="40" w:after="40"/>
              <w:jc w:val="right"/>
              <w:rPr>
                <w:rFonts w:cs="Arial"/>
                <w:sz w:val="18"/>
                <w:szCs w:val="18"/>
              </w:rPr>
            </w:pPr>
            <w:r w:rsidRPr="001D41EA">
              <w:rPr>
                <w:rFonts w:cs="Arial"/>
                <w:sz w:val="18"/>
                <w:szCs w:val="18"/>
              </w:rPr>
              <w:t>8.4</w:t>
            </w:r>
          </w:p>
        </w:tc>
        <w:tc>
          <w:tcPr>
            <w:tcW w:w="170" w:type="dxa"/>
            <w:tcBorders>
              <w:top w:val="nil"/>
              <w:left w:val="nil"/>
              <w:bottom w:val="nil"/>
              <w:right w:val="nil"/>
            </w:tcBorders>
            <w:shd w:val="clear" w:color="auto" w:fill="auto"/>
            <w:vAlign w:val="bottom"/>
          </w:tcPr>
          <w:p w14:paraId="114D671D" w14:textId="45DB8CFD"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17979DB" w14:textId="12BC91D1" w:rsidR="00B33D8D" w:rsidRPr="001D41EA" w:rsidRDefault="00B33D8D" w:rsidP="001D41EA">
            <w:pPr>
              <w:spacing w:before="40" w:after="40"/>
              <w:jc w:val="right"/>
              <w:rPr>
                <w:rFonts w:cs="Arial"/>
                <w:sz w:val="18"/>
                <w:szCs w:val="18"/>
              </w:rPr>
            </w:pPr>
            <w:r w:rsidRPr="001D41EA">
              <w:rPr>
                <w:rFonts w:cs="Arial"/>
                <w:sz w:val="18"/>
                <w:szCs w:val="18"/>
              </w:rPr>
              <w:t>9,274</w:t>
            </w:r>
          </w:p>
        </w:tc>
        <w:tc>
          <w:tcPr>
            <w:tcW w:w="1247" w:type="dxa"/>
            <w:tcBorders>
              <w:top w:val="nil"/>
              <w:left w:val="nil"/>
              <w:bottom w:val="nil"/>
              <w:right w:val="nil"/>
            </w:tcBorders>
            <w:shd w:val="clear" w:color="auto" w:fill="auto"/>
            <w:vAlign w:val="bottom"/>
          </w:tcPr>
          <w:p w14:paraId="0C44BADA" w14:textId="6732B279" w:rsidR="00B33D8D" w:rsidRPr="001D41EA" w:rsidRDefault="00B33D8D" w:rsidP="001D41EA">
            <w:pPr>
              <w:spacing w:before="40" w:after="40"/>
              <w:jc w:val="right"/>
              <w:rPr>
                <w:rFonts w:cs="Arial"/>
                <w:sz w:val="18"/>
                <w:szCs w:val="18"/>
              </w:rPr>
            </w:pPr>
            <w:r w:rsidRPr="001D41EA">
              <w:rPr>
                <w:rFonts w:cs="Arial"/>
                <w:sz w:val="18"/>
                <w:szCs w:val="18"/>
              </w:rPr>
              <w:t>8.0</w:t>
            </w:r>
          </w:p>
        </w:tc>
      </w:tr>
      <w:tr w:rsidR="00B33D8D" w:rsidRPr="001D41EA" w14:paraId="43D70A2C"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B53CE5D" w14:textId="77777777" w:rsidR="00B33D8D" w:rsidRPr="001D41EA" w:rsidRDefault="00B33D8D" w:rsidP="001D41EA">
            <w:pPr>
              <w:spacing w:before="40" w:after="40"/>
              <w:rPr>
                <w:rFonts w:cs="Arial"/>
                <w:sz w:val="18"/>
                <w:szCs w:val="18"/>
              </w:rPr>
            </w:pPr>
            <w:r w:rsidRPr="001D41EA">
              <w:rPr>
                <w:rFonts w:cs="Arial"/>
                <w:sz w:val="18"/>
                <w:szCs w:val="18"/>
              </w:rPr>
              <w:t>Greater Dandenong C</w:t>
            </w:r>
          </w:p>
        </w:tc>
        <w:tc>
          <w:tcPr>
            <w:tcW w:w="1247" w:type="dxa"/>
            <w:tcBorders>
              <w:top w:val="nil"/>
              <w:left w:val="single" w:sz="18" w:space="0" w:color="5F497A" w:themeColor="accent4" w:themeShade="BF"/>
              <w:bottom w:val="nil"/>
              <w:right w:val="nil"/>
            </w:tcBorders>
            <w:shd w:val="clear" w:color="auto" w:fill="auto"/>
            <w:vAlign w:val="bottom"/>
          </w:tcPr>
          <w:p w14:paraId="3920A52B" w14:textId="1EF5CAF6" w:rsidR="00B33D8D" w:rsidRPr="001D41EA" w:rsidRDefault="00B33D8D" w:rsidP="001D41EA">
            <w:pPr>
              <w:spacing w:before="40" w:after="40"/>
              <w:jc w:val="right"/>
              <w:rPr>
                <w:rFonts w:cs="Arial"/>
                <w:sz w:val="18"/>
                <w:szCs w:val="18"/>
              </w:rPr>
            </w:pPr>
            <w:r w:rsidRPr="001D41EA">
              <w:rPr>
                <w:rFonts w:cs="Arial"/>
                <w:sz w:val="18"/>
                <w:szCs w:val="18"/>
              </w:rPr>
              <w:t>149,466</w:t>
            </w:r>
          </w:p>
        </w:tc>
        <w:tc>
          <w:tcPr>
            <w:tcW w:w="1247" w:type="dxa"/>
            <w:tcBorders>
              <w:top w:val="nil"/>
              <w:left w:val="nil"/>
              <w:bottom w:val="nil"/>
              <w:right w:val="nil"/>
            </w:tcBorders>
            <w:vAlign w:val="bottom"/>
          </w:tcPr>
          <w:p w14:paraId="346D453A" w14:textId="567814A2" w:rsidR="00B33D8D" w:rsidRPr="001D41EA" w:rsidRDefault="00B33D8D" w:rsidP="001D41EA">
            <w:pPr>
              <w:spacing w:before="40" w:after="40"/>
              <w:jc w:val="right"/>
              <w:rPr>
                <w:rFonts w:cs="Arial"/>
                <w:sz w:val="18"/>
                <w:szCs w:val="18"/>
              </w:rPr>
            </w:pPr>
            <w:r w:rsidRPr="001D41EA">
              <w:rPr>
                <w:rFonts w:cs="Arial"/>
                <w:sz w:val="18"/>
                <w:szCs w:val="18"/>
              </w:rPr>
              <w:t>166,094</w:t>
            </w:r>
          </w:p>
        </w:tc>
        <w:tc>
          <w:tcPr>
            <w:tcW w:w="1247" w:type="dxa"/>
            <w:tcBorders>
              <w:top w:val="nil"/>
              <w:left w:val="nil"/>
              <w:bottom w:val="nil"/>
              <w:right w:val="nil"/>
            </w:tcBorders>
            <w:shd w:val="clear" w:color="auto" w:fill="auto"/>
            <w:vAlign w:val="bottom"/>
          </w:tcPr>
          <w:p w14:paraId="5F059D68" w14:textId="57BC7FD0" w:rsidR="00B33D8D" w:rsidRPr="001D41EA" w:rsidRDefault="00B33D8D" w:rsidP="001D41EA">
            <w:pPr>
              <w:spacing w:before="40" w:after="40"/>
              <w:jc w:val="right"/>
              <w:rPr>
                <w:rFonts w:cs="Arial"/>
                <w:sz w:val="18"/>
                <w:szCs w:val="18"/>
              </w:rPr>
            </w:pPr>
            <w:r w:rsidRPr="001D41EA">
              <w:rPr>
                <w:rFonts w:cs="Arial"/>
                <w:sz w:val="18"/>
                <w:szCs w:val="18"/>
              </w:rPr>
              <w:t>11.1</w:t>
            </w:r>
          </w:p>
        </w:tc>
        <w:tc>
          <w:tcPr>
            <w:tcW w:w="170" w:type="dxa"/>
            <w:tcBorders>
              <w:top w:val="nil"/>
              <w:left w:val="nil"/>
              <w:bottom w:val="nil"/>
              <w:right w:val="nil"/>
            </w:tcBorders>
            <w:shd w:val="clear" w:color="auto" w:fill="auto"/>
            <w:vAlign w:val="bottom"/>
          </w:tcPr>
          <w:p w14:paraId="757488BA" w14:textId="75803D27"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12AE41A2" w14:textId="53B70544" w:rsidR="00B33D8D" w:rsidRPr="001D41EA" w:rsidRDefault="00B33D8D" w:rsidP="001D41EA">
            <w:pPr>
              <w:spacing w:before="40" w:after="40"/>
              <w:jc w:val="right"/>
              <w:rPr>
                <w:rFonts w:cs="Arial"/>
                <w:sz w:val="18"/>
                <w:szCs w:val="18"/>
              </w:rPr>
            </w:pPr>
            <w:r w:rsidRPr="001D41EA">
              <w:rPr>
                <w:rFonts w:cs="Arial"/>
                <w:sz w:val="18"/>
                <w:szCs w:val="18"/>
              </w:rPr>
              <w:t>13,800</w:t>
            </w:r>
          </w:p>
        </w:tc>
        <w:tc>
          <w:tcPr>
            <w:tcW w:w="1247" w:type="dxa"/>
            <w:tcBorders>
              <w:top w:val="nil"/>
              <w:left w:val="nil"/>
              <w:bottom w:val="nil"/>
              <w:right w:val="nil"/>
            </w:tcBorders>
            <w:shd w:val="clear" w:color="auto" w:fill="auto"/>
            <w:vAlign w:val="bottom"/>
          </w:tcPr>
          <w:p w14:paraId="42189348" w14:textId="2F51E489" w:rsidR="00B33D8D" w:rsidRPr="001D41EA" w:rsidRDefault="00B33D8D" w:rsidP="001D41EA">
            <w:pPr>
              <w:spacing w:before="40" w:after="40"/>
              <w:jc w:val="right"/>
              <w:rPr>
                <w:rFonts w:cs="Arial"/>
                <w:sz w:val="18"/>
                <w:szCs w:val="18"/>
              </w:rPr>
            </w:pPr>
            <w:r w:rsidRPr="001D41EA">
              <w:rPr>
                <w:rFonts w:cs="Arial"/>
                <w:sz w:val="18"/>
                <w:szCs w:val="18"/>
              </w:rPr>
              <w:t>8.3</w:t>
            </w:r>
          </w:p>
        </w:tc>
      </w:tr>
      <w:tr w:rsidR="00B33D8D" w:rsidRPr="001D41EA" w14:paraId="3138F705"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BAE0BBC" w14:textId="77777777" w:rsidR="00B33D8D" w:rsidRPr="001D41EA" w:rsidRDefault="00B33D8D" w:rsidP="001D41EA">
            <w:pPr>
              <w:spacing w:before="40" w:after="40"/>
              <w:rPr>
                <w:rFonts w:cs="Arial"/>
                <w:sz w:val="18"/>
                <w:szCs w:val="18"/>
              </w:rPr>
            </w:pPr>
            <w:r w:rsidRPr="001D41EA">
              <w:rPr>
                <w:rFonts w:cs="Arial"/>
                <w:sz w:val="18"/>
                <w:szCs w:val="18"/>
              </w:rPr>
              <w:t>Greater Geelong C</w:t>
            </w:r>
          </w:p>
        </w:tc>
        <w:tc>
          <w:tcPr>
            <w:tcW w:w="1247" w:type="dxa"/>
            <w:tcBorders>
              <w:top w:val="nil"/>
              <w:left w:val="single" w:sz="18" w:space="0" w:color="5F497A" w:themeColor="accent4" w:themeShade="BF"/>
              <w:bottom w:val="nil"/>
              <w:right w:val="nil"/>
            </w:tcBorders>
            <w:shd w:val="clear" w:color="auto" w:fill="auto"/>
            <w:vAlign w:val="bottom"/>
          </w:tcPr>
          <w:p w14:paraId="4F04E54A" w14:textId="73B925A5" w:rsidR="00B33D8D" w:rsidRPr="001D41EA" w:rsidRDefault="00B33D8D" w:rsidP="001D41EA">
            <w:pPr>
              <w:spacing w:before="40" w:after="40"/>
              <w:jc w:val="right"/>
              <w:rPr>
                <w:rFonts w:cs="Arial"/>
                <w:sz w:val="18"/>
                <w:szCs w:val="18"/>
              </w:rPr>
            </w:pPr>
            <w:r w:rsidRPr="001D41EA">
              <w:rPr>
                <w:rFonts w:cs="Arial"/>
                <w:sz w:val="18"/>
                <w:szCs w:val="18"/>
              </w:rPr>
              <w:t>224,906</w:t>
            </w:r>
          </w:p>
        </w:tc>
        <w:tc>
          <w:tcPr>
            <w:tcW w:w="1247" w:type="dxa"/>
            <w:tcBorders>
              <w:top w:val="nil"/>
              <w:left w:val="nil"/>
              <w:bottom w:val="nil"/>
              <w:right w:val="nil"/>
            </w:tcBorders>
            <w:vAlign w:val="bottom"/>
          </w:tcPr>
          <w:p w14:paraId="09DD385B" w14:textId="20E62EE4" w:rsidR="00B33D8D" w:rsidRPr="001D41EA" w:rsidRDefault="00B33D8D" w:rsidP="001D41EA">
            <w:pPr>
              <w:spacing w:before="40" w:after="40"/>
              <w:jc w:val="right"/>
              <w:rPr>
                <w:rFonts w:cs="Arial"/>
                <w:sz w:val="18"/>
                <w:szCs w:val="18"/>
              </w:rPr>
            </w:pPr>
            <w:r w:rsidRPr="001D41EA">
              <w:rPr>
                <w:rFonts w:cs="Arial"/>
                <w:sz w:val="18"/>
                <w:szCs w:val="18"/>
              </w:rPr>
              <w:t>252,217</w:t>
            </w:r>
          </w:p>
        </w:tc>
        <w:tc>
          <w:tcPr>
            <w:tcW w:w="1247" w:type="dxa"/>
            <w:tcBorders>
              <w:top w:val="nil"/>
              <w:left w:val="nil"/>
              <w:bottom w:val="nil"/>
              <w:right w:val="nil"/>
            </w:tcBorders>
            <w:shd w:val="clear" w:color="auto" w:fill="auto"/>
            <w:vAlign w:val="bottom"/>
          </w:tcPr>
          <w:p w14:paraId="06C7A0D4" w14:textId="39A1B5B9" w:rsidR="00B33D8D" w:rsidRPr="001D41EA" w:rsidRDefault="00B33D8D" w:rsidP="001D41EA">
            <w:pPr>
              <w:spacing w:before="40" w:after="40"/>
              <w:jc w:val="right"/>
              <w:rPr>
                <w:rFonts w:cs="Arial"/>
                <w:sz w:val="18"/>
                <w:szCs w:val="18"/>
              </w:rPr>
            </w:pPr>
            <w:r w:rsidRPr="001D41EA">
              <w:rPr>
                <w:rFonts w:cs="Arial"/>
                <w:sz w:val="18"/>
                <w:szCs w:val="18"/>
              </w:rPr>
              <w:t>12.1</w:t>
            </w:r>
          </w:p>
        </w:tc>
        <w:tc>
          <w:tcPr>
            <w:tcW w:w="170" w:type="dxa"/>
            <w:tcBorders>
              <w:top w:val="nil"/>
              <w:left w:val="nil"/>
              <w:bottom w:val="nil"/>
              <w:right w:val="nil"/>
            </w:tcBorders>
            <w:shd w:val="clear" w:color="auto" w:fill="auto"/>
            <w:vAlign w:val="bottom"/>
          </w:tcPr>
          <w:p w14:paraId="3371871C" w14:textId="0BC54C55"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25590973" w14:textId="2B0E0F5A" w:rsidR="00B33D8D" w:rsidRPr="001D41EA" w:rsidRDefault="00B33D8D" w:rsidP="001D41EA">
            <w:pPr>
              <w:spacing w:before="40" w:after="40"/>
              <w:jc w:val="right"/>
              <w:rPr>
                <w:rFonts w:cs="Arial"/>
                <w:sz w:val="18"/>
                <w:szCs w:val="18"/>
              </w:rPr>
            </w:pPr>
            <w:r w:rsidRPr="001D41EA">
              <w:rPr>
                <w:rFonts w:cs="Arial"/>
                <w:sz w:val="18"/>
                <w:szCs w:val="18"/>
              </w:rPr>
              <w:t>19,357</w:t>
            </w:r>
          </w:p>
        </w:tc>
        <w:tc>
          <w:tcPr>
            <w:tcW w:w="1247" w:type="dxa"/>
            <w:tcBorders>
              <w:top w:val="nil"/>
              <w:left w:val="nil"/>
              <w:bottom w:val="nil"/>
              <w:right w:val="nil"/>
            </w:tcBorders>
            <w:shd w:val="clear" w:color="auto" w:fill="auto"/>
            <w:vAlign w:val="bottom"/>
          </w:tcPr>
          <w:p w14:paraId="63CC572B" w14:textId="556FCB8E" w:rsidR="00B33D8D" w:rsidRPr="001D41EA" w:rsidRDefault="00B33D8D" w:rsidP="001D41EA">
            <w:pPr>
              <w:spacing w:before="40" w:after="40"/>
              <w:jc w:val="right"/>
              <w:rPr>
                <w:rFonts w:cs="Arial"/>
                <w:sz w:val="18"/>
                <w:szCs w:val="18"/>
              </w:rPr>
            </w:pPr>
            <w:r w:rsidRPr="001D41EA">
              <w:rPr>
                <w:rFonts w:cs="Arial"/>
                <w:sz w:val="18"/>
                <w:szCs w:val="18"/>
              </w:rPr>
              <w:t>7.7</w:t>
            </w:r>
          </w:p>
        </w:tc>
      </w:tr>
      <w:tr w:rsidR="00B33D8D" w:rsidRPr="001D41EA" w14:paraId="6DED0323"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16951F5" w14:textId="77777777" w:rsidR="00B33D8D" w:rsidRPr="001D41EA" w:rsidRDefault="00B33D8D" w:rsidP="001D41EA">
            <w:pPr>
              <w:spacing w:before="40" w:after="40"/>
              <w:rPr>
                <w:rFonts w:cs="Arial"/>
                <w:sz w:val="18"/>
                <w:szCs w:val="18"/>
              </w:rPr>
            </w:pPr>
            <w:r w:rsidRPr="001D41EA">
              <w:rPr>
                <w:rFonts w:cs="Arial"/>
                <w:sz w:val="18"/>
                <w:szCs w:val="18"/>
              </w:rPr>
              <w:t>Greater Shepparton C</w:t>
            </w:r>
          </w:p>
        </w:tc>
        <w:tc>
          <w:tcPr>
            <w:tcW w:w="1247" w:type="dxa"/>
            <w:tcBorders>
              <w:top w:val="nil"/>
              <w:left w:val="single" w:sz="18" w:space="0" w:color="5F497A" w:themeColor="accent4" w:themeShade="BF"/>
              <w:bottom w:val="nil"/>
              <w:right w:val="nil"/>
            </w:tcBorders>
            <w:shd w:val="clear" w:color="auto" w:fill="auto"/>
            <w:vAlign w:val="bottom"/>
          </w:tcPr>
          <w:p w14:paraId="707A075B" w14:textId="3CE0FAF3" w:rsidR="00B33D8D" w:rsidRPr="001D41EA" w:rsidRDefault="00B33D8D" w:rsidP="001D41EA">
            <w:pPr>
              <w:spacing w:before="40" w:after="40"/>
              <w:jc w:val="right"/>
              <w:rPr>
                <w:rFonts w:cs="Arial"/>
                <w:sz w:val="18"/>
                <w:szCs w:val="18"/>
              </w:rPr>
            </w:pPr>
            <w:r w:rsidRPr="001D41EA">
              <w:rPr>
                <w:rFonts w:cs="Arial"/>
                <w:sz w:val="18"/>
                <w:szCs w:val="18"/>
              </w:rPr>
              <w:t>63,131</w:t>
            </w:r>
          </w:p>
        </w:tc>
        <w:tc>
          <w:tcPr>
            <w:tcW w:w="1247" w:type="dxa"/>
            <w:tcBorders>
              <w:top w:val="nil"/>
              <w:left w:val="nil"/>
              <w:bottom w:val="nil"/>
              <w:right w:val="nil"/>
            </w:tcBorders>
            <w:vAlign w:val="bottom"/>
          </w:tcPr>
          <w:p w14:paraId="147928DE" w14:textId="1E08197E" w:rsidR="00B33D8D" w:rsidRPr="001D41EA" w:rsidRDefault="00B33D8D" w:rsidP="001D41EA">
            <w:pPr>
              <w:spacing w:before="40" w:after="40"/>
              <w:jc w:val="right"/>
              <w:rPr>
                <w:rFonts w:cs="Arial"/>
                <w:sz w:val="18"/>
                <w:szCs w:val="18"/>
              </w:rPr>
            </w:pPr>
            <w:r w:rsidRPr="001D41EA">
              <w:rPr>
                <w:rFonts w:cs="Arial"/>
                <w:sz w:val="18"/>
                <w:szCs w:val="18"/>
              </w:rPr>
              <w:t>66,007</w:t>
            </w:r>
          </w:p>
        </w:tc>
        <w:tc>
          <w:tcPr>
            <w:tcW w:w="1247" w:type="dxa"/>
            <w:tcBorders>
              <w:top w:val="nil"/>
              <w:left w:val="nil"/>
              <w:bottom w:val="nil"/>
              <w:right w:val="nil"/>
            </w:tcBorders>
            <w:shd w:val="clear" w:color="auto" w:fill="auto"/>
            <w:vAlign w:val="bottom"/>
          </w:tcPr>
          <w:p w14:paraId="07219B67" w14:textId="37C6A8C0" w:rsidR="00B33D8D" w:rsidRPr="001D41EA" w:rsidRDefault="00B33D8D" w:rsidP="001D41EA">
            <w:pPr>
              <w:spacing w:before="40" w:after="40"/>
              <w:jc w:val="right"/>
              <w:rPr>
                <w:rFonts w:cs="Arial"/>
                <w:sz w:val="18"/>
                <w:szCs w:val="18"/>
              </w:rPr>
            </w:pPr>
            <w:r w:rsidRPr="001D41EA">
              <w:rPr>
                <w:rFonts w:cs="Arial"/>
                <w:sz w:val="18"/>
                <w:szCs w:val="18"/>
              </w:rPr>
              <w:t>4.6</w:t>
            </w:r>
          </w:p>
        </w:tc>
        <w:tc>
          <w:tcPr>
            <w:tcW w:w="170" w:type="dxa"/>
            <w:tcBorders>
              <w:top w:val="nil"/>
              <w:left w:val="nil"/>
              <w:bottom w:val="nil"/>
              <w:right w:val="nil"/>
            </w:tcBorders>
            <w:shd w:val="clear" w:color="auto" w:fill="auto"/>
            <w:vAlign w:val="bottom"/>
          </w:tcPr>
          <w:p w14:paraId="2F536E39" w14:textId="5B44AD82"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2EB85634" w14:textId="74C1334F" w:rsidR="00B33D8D" w:rsidRPr="001D41EA" w:rsidRDefault="00B33D8D" w:rsidP="001D41EA">
            <w:pPr>
              <w:spacing w:before="40" w:after="40"/>
              <w:jc w:val="right"/>
              <w:rPr>
                <w:rFonts w:cs="Arial"/>
                <w:sz w:val="18"/>
                <w:szCs w:val="18"/>
              </w:rPr>
            </w:pPr>
            <w:r w:rsidRPr="001D41EA">
              <w:rPr>
                <w:rFonts w:cs="Arial"/>
                <w:sz w:val="18"/>
                <w:szCs w:val="18"/>
              </w:rPr>
              <w:t>5,331</w:t>
            </w:r>
          </w:p>
        </w:tc>
        <w:tc>
          <w:tcPr>
            <w:tcW w:w="1247" w:type="dxa"/>
            <w:tcBorders>
              <w:top w:val="nil"/>
              <w:left w:val="nil"/>
              <w:bottom w:val="nil"/>
              <w:right w:val="nil"/>
            </w:tcBorders>
            <w:shd w:val="clear" w:color="auto" w:fill="auto"/>
            <w:vAlign w:val="bottom"/>
          </w:tcPr>
          <w:p w14:paraId="70CFC608" w14:textId="32DA4ACC" w:rsidR="00B33D8D" w:rsidRPr="001D41EA" w:rsidRDefault="00B33D8D" w:rsidP="001D41EA">
            <w:pPr>
              <w:spacing w:before="40" w:after="40"/>
              <w:jc w:val="right"/>
              <w:rPr>
                <w:rFonts w:cs="Arial"/>
                <w:sz w:val="18"/>
                <w:szCs w:val="18"/>
              </w:rPr>
            </w:pPr>
            <w:r w:rsidRPr="001D41EA">
              <w:rPr>
                <w:rFonts w:cs="Arial"/>
                <w:sz w:val="18"/>
                <w:szCs w:val="18"/>
              </w:rPr>
              <w:t>8.1</w:t>
            </w:r>
          </w:p>
        </w:tc>
      </w:tr>
      <w:tr w:rsidR="00B33D8D" w:rsidRPr="001D41EA" w14:paraId="3FD594FB"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89E34A6" w14:textId="77777777" w:rsidR="00B33D8D" w:rsidRPr="001D41EA" w:rsidRDefault="00B33D8D" w:rsidP="001D41EA">
            <w:pPr>
              <w:spacing w:before="40" w:after="40"/>
              <w:rPr>
                <w:rFonts w:cs="Arial"/>
                <w:sz w:val="18"/>
                <w:szCs w:val="18"/>
              </w:rPr>
            </w:pPr>
            <w:r w:rsidRPr="001D41EA">
              <w:rPr>
                <w:rFonts w:cs="Arial"/>
                <w:sz w:val="18"/>
                <w:szCs w:val="18"/>
              </w:rPr>
              <w:t>Hepburn S</w:t>
            </w:r>
          </w:p>
        </w:tc>
        <w:tc>
          <w:tcPr>
            <w:tcW w:w="1247" w:type="dxa"/>
            <w:tcBorders>
              <w:top w:val="nil"/>
              <w:left w:val="single" w:sz="18" w:space="0" w:color="5F497A" w:themeColor="accent4" w:themeShade="BF"/>
              <w:bottom w:val="nil"/>
              <w:right w:val="nil"/>
            </w:tcBorders>
            <w:shd w:val="clear" w:color="auto" w:fill="auto"/>
            <w:vAlign w:val="bottom"/>
          </w:tcPr>
          <w:p w14:paraId="2856A38A" w14:textId="7B743991" w:rsidR="00B33D8D" w:rsidRPr="001D41EA" w:rsidRDefault="00B33D8D" w:rsidP="001D41EA">
            <w:pPr>
              <w:spacing w:before="40" w:after="40"/>
              <w:jc w:val="right"/>
              <w:rPr>
                <w:rFonts w:cs="Arial"/>
                <w:sz w:val="18"/>
                <w:szCs w:val="18"/>
              </w:rPr>
            </w:pPr>
            <w:r w:rsidRPr="001D41EA">
              <w:rPr>
                <w:rFonts w:cs="Arial"/>
                <w:sz w:val="18"/>
                <w:szCs w:val="18"/>
              </w:rPr>
              <w:t>14,885</w:t>
            </w:r>
          </w:p>
        </w:tc>
        <w:tc>
          <w:tcPr>
            <w:tcW w:w="1247" w:type="dxa"/>
            <w:tcBorders>
              <w:top w:val="nil"/>
              <w:left w:val="nil"/>
              <w:bottom w:val="nil"/>
              <w:right w:val="nil"/>
            </w:tcBorders>
            <w:vAlign w:val="bottom"/>
          </w:tcPr>
          <w:p w14:paraId="1ECCB9CE" w14:textId="34D15820" w:rsidR="00B33D8D" w:rsidRPr="001D41EA" w:rsidRDefault="00B33D8D" w:rsidP="001D41EA">
            <w:pPr>
              <w:spacing w:before="40" w:after="40"/>
              <w:jc w:val="right"/>
              <w:rPr>
                <w:rFonts w:cs="Arial"/>
                <w:sz w:val="18"/>
                <w:szCs w:val="18"/>
              </w:rPr>
            </w:pPr>
            <w:r w:rsidRPr="001D41EA">
              <w:rPr>
                <w:rFonts w:cs="Arial"/>
                <w:sz w:val="18"/>
                <w:szCs w:val="18"/>
              </w:rPr>
              <w:t>15,812</w:t>
            </w:r>
          </w:p>
        </w:tc>
        <w:tc>
          <w:tcPr>
            <w:tcW w:w="1247" w:type="dxa"/>
            <w:tcBorders>
              <w:top w:val="nil"/>
              <w:left w:val="nil"/>
              <w:bottom w:val="nil"/>
              <w:right w:val="nil"/>
            </w:tcBorders>
            <w:shd w:val="clear" w:color="auto" w:fill="auto"/>
            <w:vAlign w:val="bottom"/>
          </w:tcPr>
          <w:p w14:paraId="2F00D10E" w14:textId="5E2EA58E" w:rsidR="00B33D8D" w:rsidRPr="001D41EA" w:rsidRDefault="00B33D8D" w:rsidP="001D41EA">
            <w:pPr>
              <w:spacing w:before="40" w:after="40"/>
              <w:jc w:val="right"/>
              <w:rPr>
                <w:rFonts w:cs="Arial"/>
                <w:sz w:val="18"/>
                <w:szCs w:val="18"/>
              </w:rPr>
            </w:pPr>
            <w:r w:rsidRPr="001D41EA">
              <w:rPr>
                <w:rFonts w:cs="Arial"/>
                <w:sz w:val="18"/>
                <w:szCs w:val="18"/>
              </w:rPr>
              <w:t>6.2</w:t>
            </w:r>
          </w:p>
        </w:tc>
        <w:tc>
          <w:tcPr>
            <w:tcW w:w="170" w:type="dxa"/>
            <w:tcBorders>
              <w:top w:val="nil"/>
              <w:left w:val="nil"/>
              <w:bottom w:val="nil"/>
              <w:right w:val="nil"/>
            </w:tcBorders>
            <w:shd w:val="clear" w:color="auto" w:fill="auto"/>
            <w:vAlign w:val="bottom"/>
          </w:tcPr>
          <w:p w14:paraId="4D60C8EC" w14:textId="3E9221EF"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1508E07A" w14:textId="072CB681" w:rsidR="00B33D8D" w:rsidRPr="001D41EA" w:rsidRDefault="00B33D8D" w:rsidP="001D41EA">
            <w:pPr>
              <w:spacing w:before="40" w:after="40"/>
              <w:jc w:val="right"/>
              <w:rPr>
                <w:rFonts w:cs="Arial"/>
                <w:sz w:val="18"/>
                <w:szCs w:val="18"/>
              </w:rPr>
            </w:pPr>
            <w:r w:rsidRPr="001D41EA">
              <w:rPr>
                <w:rFonts w:cs="Arial"/>
                <w:sz w:val="18"/>
                <w:szCs w:val="18"/>
              </w:rPr>
              <w:t>889</w:t>
            </w:r>
          </w:p>
        </w:tc>
        <w:tc>
          <w:tcPr>
            <w:tcW w:w="1247" w:type="dxa"/>
            <w:tcBorders>
              <w:top w:val="nil"/>
              <w:left w:val="nil"/>
              <w:bottom w:val="nil"/>
              <w:right w:val="nil"/>
            </w:tcBorders>
            <w:shd w:val="clear" w:color="auto" w:fill="auto"/>
            <w:vAlign w:val="bottom"/>
          </w:tcPr>
          <w:p w14:paraId="10985A87" w14:textId="59621CD2" w:rsidR="00B33D8D" w:rsidRPr="001D41EA" w:rsidRDefault="00B33D8D" w:rsidP="001D41EA">
            <w:pPr>
              <w:spacing w:before="40" w:after="40"/>
              <w:jc w:val="right"/>
              <w:rPr>
                <w:rFonts w:cs="Arial"/>
                <w:sz w:val="18"/>
                <w:szCs w:val="18"/>
              </w:rPr>
            </w:pPr>
            <w:r w:rsidRPr="001D41EA">
              <w:rPr>
                <w:rFonts w:cs="Arial"/>
                <w:sz w:val="18"/>
                <w:szCs w:val="18"/>
              </w:rPr>
              <w:t>5.6</w:t>
            </w:r>
          </w:p>
        </w:tc>
      </w:tr>
      <w:tr w:rsidR="00B33D8D" w:rsidRPr="001D41EA" w14:paraId="4ADC600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FC133E7" w14:textId="77777777" w:rsidR="00B33D8D" w:rsidRPr="001D41EA" w:rsidRDefault="00B33D8D" w:rsidP="001D41EA">
            <w:pPr>
              <w:spacing w:before="40" w:after="40"/>
              <w:rPr>
                <w:rFonts w:cs="Arial"/>
                <w:sz w:val="18"/>
                <w:szCs w:val="18"/>
              </w:rPr>
            </w:pPr>
            <w:r w:rsidRPr="001D41EA">
              <w:rPr>
                <w:rFonts w:cs="Arial"/>
                <w:sz w:val="18"/>
                <w:szCs w:val="18"/>
              </w:rPr>
              <w:t>Hindmarsh S</w:t>
            </w:r>
          </w:p>
        </w:tc>
        <w:tc>
          <w:tcPr>
            <w:tcW w:w="1247" w:type="dxa"/>
            <w:tcBorders>
              <w:top w:val="nil"/>
              <w:left w:val="single" w:sz="18" w:space="0" w:color="5F497A" w:themeColor="accent4" w:themeShade="BF"/>
              <w:bottom w:val="nil"/>
              <w:right w:val="nil"/>
            </w:tcBorders>
            <w:shd w:val="clear" w:color="auto" w:fill="auto"/>
            <w:vAlign w:val="bottom"/>
          </w:tcPr>
          <w:p w14:paraId="31F11324" w14:textId="23F899B4" w:rsidR="00B33D8D" w:rsidRPr="001D41EA" w:rsidRDefault="00B33D8D" w:rsidP="001D41EA">
            <w:pPr>
              <w:spacing w:before="40" w:after="40"/>
              <w:jc w:val="right"/>
              <w:rPr>
                <w:rFonts w:cs="Arial"/>
                <w:sz w:val="18"/>
                <w:szCs w:val="18"/>
              </w:rPr>
            </w:pPr>
            <w:r w:rsidRPr="001D41EA">
              <w:rPr>
                <w:rFonts w:cs="Arial"/>
                <w:sz w:val="18"/>
                <w:szCs w:val="18"/>
              </w:rPr>
              <w:t>5,642</w:t>
            </w:r>
          </w:p>
        </w:tc>
        <w:tc>
          <w:tcPr>
            <w:tcW w:w="1247" w:type="dxa"/>
            <w:tcBorders>
              <w:top w:val="nil"/>
              <w:left w:val="nil"/>
              <w:bottom w:val="nil"/>
              <w:right w:val="nil"/>
            </w:tcBorders>
            <w:vAlign w:val="bottom"/>
          </w:tcPr>
          <w:p w14:paraId="0878070D" w14:textId="132D5A12" w:rsidR="00B33D8D" w:rsidRPr="001D41EA" w:rsidRDefault="00B33D8D" w:rsidP="001D41EA">
            <w:pPr>
              <w:spacing w:before="40" w:after="40"/>
              <w:jc w:val="right"/>
              <w:rPr>
                <w:rFonts w:cs="Arial"/>
                <w:sz w:val="18"/>
                <w:szCs w:val="18"/>
              </w:rPr>
            </w:pPr>
            <w:r w:rsidRPr="001D41EA">
              <w:rPr>
                <w:rFonts w:cs="Arial"/>
                <w:sz w:val="18"/>
                <w:szCs w:val="18"/>
              </w:rPr>
              <w:t>5,645</w:t>
            </w:r>
          </w:p>
        </w:tc>
        <w:tc>
          <w:tcPr>
            <w:tcW w:w="1247" w:type="dxa"/>
            <w:tcBorders>
              <w:top w:val="nil"/>
              <w:left w:val="nil"/>
              <w:bottom w:val="nil"/>
              <w:right w:val="nil"/>
            </w:tcBorders>
            <w:shd w:val="clear" w:color="auto" w:fill="auto"/>
            <w:vAlign w:val="bottom"/>
          </w:tcPr>
          <w:p w14:paraId="7FB32F52" w14:textId="4DE5298C" w:rsidR="00B33D8D" w:rsidRPr="001D41EA" w:rsidRDefault="00B33D8D" w:rsidP="001D41EA">
            <w:pPr>
              <w:spacing w:before="40" w:after="40"/>
              <w:jc w:val="right"/>
              <w:rPr>
                <w:rFonts w:cs="Arial"/>
                <w:sz w:val="18"/>
                <w:szCs w:val="18"/>
              </w:rPr>
            </w:pPr>
            <w:r w:rsidRPr="001D41EA">
              <w:rPr>
                <w:rFonts w:cs="Arial"/>
                <w:sz w:val="18"/>
                <w:szCs w:val="18"/>
              </w:rPr>
              <w:t>0.1</w:t>
            </w:r>
          </w:p>
        </w:tc>
        <w:tc>
          <w:tcPr>
            <w:tcW w:w="170" w:type="dxa"/>
            <w:tcBorders>
              <w:top w:val="nil"/>
              <w:left w:val="nil"/>
              <w:bottom w:val="nil"/>
              <w:right w:val="nil"/>
            </w:tcBorders>
            <w:shd w:val="clear" w:color="auto" w:fill="auto"/>
            <w:vAlign w:val="bottom"/>
          </w:tcPr>
          <w:p w14:paraId="182B666F" w14:textId="6B77C4DC"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54057DB9" w14:textId="6CC8266D" w:rsidR="00B33D8D" w:rsidRPr="001D41EA" w:rsidRDefault="00B33D8D" w:rsidP="001D41EA">
            <w:pPr>
              <w:spacing w:before="40" w:after="40"/>
              <w:jc w:val="right"/>
              <w:rPr>
                <w:rFonts w:cs="Arial"/>
                <w:sz w:val="18"/>
                <w:szCs w:val="18"/>
              </w:rPr>
            </w:pPr>
            <w:r w:rsidRPr="001D41EA">
              <w:rPr>
                <w:rFonts w:cs="Arial"/>
                <w:sz w:val="18"/>
                <w:szCs w:val="18"/>
              </w:rPr>
              <w:t>348</w:t>
            </w:r>
          </w:p>
        </w:tc>
        <w:tc>
          <w:tcPr>
            <w:tcW w:w="1247" w:type="dxa"/>
            <w:tcBorders>
              <w:top w:val="nil"/>
              <w:left w:val="nil"/>
              <w:bottom w:val="nil"/>
              <w:right w:val="nil"/>
            </w:tcBorders>
            <w:shd w:val="clear" w:color="auto" w:fill="auto"/>
            <w:vAlign w:val="bottom"/>
          </w:tcPr>
          <w:p w14:paraId="71B51465" w14:textId="55772333" w:rsidR="00B33D8D" w:rsidRPr="001D41EA" w:rsidRDefault="00B33D8D" w:rsidP="001D41EA">
            <w:pPr>
              <w:spacing w:before="40" w:after="40"/>
              <w:jc w:val="right"/>
              <w:rPr>
                <w:rFonts w:cs="Arial"/>
                <w:sz w:val="18"/>
                <w:szCs w:val="18"/>
              </w:rPr>
            </w:pPr>
            <w:r w:rsidRPr="001D41EA">
              <w:rPr>
                <w:rFonts w:cs="Arial"/>
                <w:sz w:val="18"/>
                <w:szCs w:val="18"/>
              </w:rPr>
              <w:t>6.2</w:t>
            </w:r>
          </w:p>
        </w:tc>
      </w:tr>
      <w:tr w:rsidR="00B33D8D" w:rsidRPr="001D41EA" w14:paraId="0A63A17D"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35BBCD7" w14:textId="77777777" w:rsidR="00B33D8D" w:rsidRPr="001D41EA" w:rsidRDefault="00B33D8D" w:rsidP="001D41EA">
            <w:pPr>
              <w:spacing w:before="40" w:after="40"/>
              <w:rPr>
                <w:rFonts w:cs="Arial"/>
                <w:sz w:val="18"/>
                <w:szCs w:val="18"/>
              </w:rPr>
            </w:pPr>
            <w:r w:rsidRPr="001D41EA">
              <w:rPr>
                <w:rFonts w:cs="Arial"/>
                <w:sz w:val="18"/>
                <w:szCs w:val="18"/>
              </w:rPr>
              <w:t>Hobsons Bay C</w:t>
            </w:r>
          </w:p>
        </w:tc>
        <w:tc>
          <w:tcPr>
            <w:tcW w:w="1247" w:type="dxa"/>
            <w:tcBorders>
              <w:top w:val="nil"/>
              <w:left w:val="single" w:sz="18" w:space="0" w:color="5F497A" w:themeColor="accent4" w:themeShade="BF"/>
              <w:bottom w:val="nil"/>
              <w:right w:val="nil"/>
            </w:tcBorders>
            <w:shd w:val="clear" w:color="auto" w:fill="auto"/>
            <w:vAlign w:val="bottom"/>
          </w:tcPr>
          <w:p w14:paraId="7168399A" w14:textId="568E4241" w:rsidR="00B33D8D" w:rsidRPr="001D41EA" w:rsidRDefault="00B33D8D" w:rsidP="001D41EA">
            <w:pPr>
              <w:spacing w:before="40" w:after="40"/>
              <w:jc w:val="right"/>
              <w:rPr>
                <w:rFonts w:cs="Arial"/>
                <w:sz w:val="18"/>
                <w:szCs w:val="18"/>
              </w:rPr>
            </w:pPr>
            <w:r w:rsidRPr="001D41EA">
              <w:rPr>
                <w:rFonts w:cs="Arial"/>
                <w:sz w:val="18"/>
                <w:szCs w:val="18"/>
              </w:rPr>
              <w:t>91,118</w:t>
            </w:r>
          </w:p>
        </w:tc>
        <w:tc>
          <w:tcPr>
            <w:tcW w:w="1247" w:type="dxa"/>
            <w:tcBorders>
              <w:top w:val="nil"/>
              <w:left w:val="nil"/>
              <w:bottom w:val="nil"/>
              <w:right w:val="nil"/>
            </w:tcBorders>
            <w:vAlign w:val="bottom"/>
          </w:tcPr>
          <w:p w14:paraId="4676BD4F" w14:textId="2A909294" w:rsidR="00B33D8D" w:rsidRPr="001D41EA" w:rsidRDefault="00B33D8D" w:rsidP="001D41EA">
            <w:pPr>
              <w:spacing w:before="40" w:after="40"/>
              <w:jc w:val="right"/>
              <w:rPr>
                <w:rFonts w:cs="Arial"/>
                <w:sz w:val="18"/>
                <w:szCs w:val="18"/>
              </w:rPr>
            </w:pPr>
            <w:r w:rsidRPr="001D41EA">
              <w:rPr>
                <w:rFonts w:cs="Arial"/>
                <w:sz w:val="18"/>
                <w:szCs w:val="18"/>
              </w:rPr>
              <w:t>96,470</w:t>
            </w:r>
          </w:p>
        </w:tc>
        <w:tc>
          <w:tcPr>
            <w:tcW w:w="1247" w:type="dxa"/>
            <w:tcBorders>
              <w:top w:val="nil"/>
              <w:left w:val="nil"/>
              <w:bottom w:val="nil"/>
              <w:right w:val="nil"/>
            </w:tcBorders>
            <w:shd w:val="clear" w:color="auto" w:fill="auto"/>
            <w:vAlign w:val="bottom"/>
          </w:tcPr>
          <w:p w14:paraId="54495CFC" w14:textId="0753FEE0" w:rsidR="00B33D8D" w:rsidRPr="001D41EA" w:rsidRDefault="00B33D8D" w:rsidP="001D41EA">
            <w:pPr>
              <w:spacing w:before="40" w:after="40"/>
              <w:jc w:val="right"/>
              <w:rPr>
                <w:rFonts w:cs="Arial"/>
                <w:sz w:val="18"/>
                <w:szCs w:val="18"/>
              </w:rPr>
            </w:pPr>
            <w:r w:rsidRPr="001D41EA">
              <w:rPr>
                <w:rFonts w:cs="Arial"/>
                <w:sz w:val="18"/>
                <w:szCs w:val="18"/>
              </w:rPr>
              <w:t>5.9</w:t>
            </w:r>
          </w:p>
        </w:tc>
        <w:tc>
          <w:tcPr>
            <w:tcW w:w="170" w:type="dxa"/>
            <w:tcBorders>
              <w:top w:val="nil"/>
              <w:left w:val="nil"/>
              <w:bottom w:val="nil"/>
              <w:right w:val="nil"/>
            </w:tcBorders>
            <w:shd w:val="clear" w:color="auto" w:fill="auto"/>
            <w:vAlign w:val="bottom"/>
          </w:tcPr>
          <w:p w14:paraId="1D810EDC" w14:textId="3C659950"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7B23C331" w14:textId="20B765E9" w:rsidR="00B33D8D" w:rsidRPr="001D41EA" w:rsidRDefault="00B33D8D" w:rsidP="001D41EA">
            <w:pPr>
              <w:spacing w:before="40" w:after="40"/>
              <w:jc w:val="right"/>
              <w:rPr>
                <w:rFonts w:cs="Arial"/>
                <w:sz w:val="18"/>
                <w:szCs w:val="18"/>
              </w:rPr>
            </w:pPr>
            <w:r w:rsidRPr="001D41EA">
              <w:rPr>
                <w:rFonts w:cs="Arial"/>
                <w:sz w:val="18"/>
                <w:szCs w:val="18"/>
              </w:rPr>
              <w:t>8,008</w:t>
            </w:r>
          </w:p>
        </w:tc>
        <w:tc>
          <w:tcPr>
            <w:tcW w:w="1247" w:type="dxa"/>
            <w:tcBorders>
              <w:top w:val="nil"/>
              <w:left w:val="nil"/>
              <w:bottom w:val="nil"/>
              <w:right w:val="nil"/>
            </w:tcBorders>
            <w:shd w:val="clear" w:color="auto" w:fill="auto"/>
            <w:vAlign w:val="bottom"/>
          </w:tcPr>
          <w:p w14:paraId="260434A0" w14:textId="36CD58F0" w:rsidR="00B33D8D" w:rsidRPr="001D41EA" w:rsidRDefault="00B33D8D" w:rsidP="001D41EA">
            <w:pPr>
              <w:spacing w:before="40" w:after="40"/>
              <w:jc w:val="right"/>
              <w:rPr>
                <w:rFonts w:cs="Arial"/>
                <w:sz w:val="18"/>
                <w:szCs w:val="18"/>
              </w:rPr>
            </w:pPr>
            <w:r w:rsidRPr="001D41EA">
              <w:rPr>
                <w:rFonts w:cs="Arial"/>
                <w:sz w:val="18"/>
                <w:szCs w:val="18"/>
              </w:rPr>
              <w:t>8.3</w:t>
            </w:r>
          </w:p>
        </w:tc>
      </w:tr>
      <w:tr w:rsidR="00B33D8D" w:rsidRPr="001D41EA" w14:paraId="6AFB936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B36F734" w14:textId="77777777" w:rsidR="00B33D8D" w:rsidRPr="001D41EA" w:rsidRDefault="00B33D8D" w:rsidP="001D41EA">
            <w:pPr>
              <w:spacing w:before="40" w:after="40"/>
              <w:rPr>
                <w:rFonts w:cs="Arial"/>
                <w:sz w:val="18"/>
                <w:szCs w:val="18"/>
              </w:rPr>
            </w:pPr>
            <w:r w:rsidRPr="001D41EA">
              <w:rPr>
                <w:rFonts w:cs="Arial"/>
                <w:sz w:val="18"/>
                <w:szCs w:val="18"/>
              </w:rPr>
              <w:t>Horsham RC</w:t>
            </w:r>
          </w:p>
        </w:tc>
        <w:tc>
          <w:tcPr>
            <w:tcW w:w="1247" w:type="dxa"/>
            <w:tcBorders>
              <w:top w:val="nil"/>
              <w:left w:val="single" w:sz="18" w:space="0" w:color="5F497A" w:themeColor="accent4" w:themeShade="BF"/>
              <w:bottom w:val="nil"/>
              <w:right w:val="nil"/>
            </w:tcBorders>
            <w:shd w:val="clear" w:color="auto" w:fill="auto"/>
            <w:vAlign w:val="bottom"/>
          </w:tcPr>
          <w:p w14:paraId="76B6419B" w14:textId="7ED9B8FD" w:rsidR="00B33D8D" w:rsidRPr="001D41EA" w:rsidRDefault="00B33D8D" w:rsidP="001D41EA">
            <w:pPr>
              <w:spacing w:before="40" w:after="40"/>
              <w:jc w:val="right"/>
              <w:rPr>
                <w:rFonts w:cs="Arial"/>
                <w:sz w:val="18"/>
                <w:szCs w:val="18"/>
              </w:rPr>
            </w:pPr>
            <w:r w:rsidRPr="001D41EA">
              <w:rPr>
                <w:rFonts w:cs="Arial"/>
                <w:sz w:val="18"/>
                <w:szCs w:val="18"/>
              </w:rPr>
              <w:t>19,691</w:t>
            </w:r>
          </w:p>
        </w:tc>
        <w:tc>
          <w:tcPr>
            <w:tcW w:w="1247" w:type="dxa"/>
            <w:tcBorders>
              <w:top w:val="nil"/>
              <w:left w:val="nil"/>
              <w:bottom w:val="nil"/>
              <w:right w:val="nil"/>
            </w:tcBorders>
            <w:vAlign w:val="bottom"/>
          </w:tcPr>
          <w:p w14:paraId="48FFCE98" w14:textId="019ABEE5" w:rsidR="00B33D8D" w:rsidRPr="001D41EA" w:rsidRDefault="00B33D8D" w:rsidP="001D41EA">
            <w:pPr>
              <w:spacing w:before="40" w:after="40"/>
              <w:jc w:val="right"/>
              <w:rPr>
                <w:rFonts w:cs="Arial"/>
                <w:sz w:val="18"/>
                <w:szCs w:val="18"/>
              </w:rPr>
            </w:pPr>
            <w:r w:rsidRPr="001D41EA">
              <w:rPr>
                <w:rFonts w:cs="Arial"/>
                <w:sz w:val="18"/>
                <w:szCs w:val="18"/>
              </w:rPr>
              <w:t>19,875</w:t>
            </w:r>
          </w:p>
        </w:tc>
        <w:tc>
          <w:tcPr>
            <w:tcW w:w="1247" w:type="dxa"/>
            <w:tcBorders>
              <w:top w:val="nil"/>
              <w:left w:val="nil"/>
              <w:bottom w:val="nil"/>
              <w:right w:val="nil"/>
            </w:tcBorders>
            <w:shd w:val="clear" w:color="auto" w:fill="auto"/>
            <w:vAlign w:val="bottom"/>
          </w:tcPr>
          <w:p w14:paraId="18A57DA7" w14:textId="289A09C5" w:rsidR="00B33D8D" w:rsidRPr="001D41EA" w:rsidRDefault="00B33D8D" w:rsidP="001D41EA">
            <w:pPr>
              <w:spacing w:before="40" w:after="40"/>
              <w:jc w:val="right"/>
              <w:rPr>
                <w:rFonts w:cs="Arial"/>
                <w:sz w:val="18"/>
                <w:szCs w:val="18"/>
              </w:rPr>
            </w:pPr>
            <w:r w:rsidRPr="001D41EA">
              <w:rPr>
                <w:rFonts w:cs="Arial"/>
                <w:sz w:val="18"/>
                <w:szCs w:val="18"/>
              </w:rPr>
              <w:t>0.9</w:t>
            </w:r>
          </w:p>
        </w:tc>
        <w:tc>
          <w:tcPr>
            <w:tcW w:w="170" w:type="dxa"/>
            <w:tcBorders>
              <w:top w:val="nil"/>
              <w:left w:val="nil"/>
              <w:bottom w:val="nil"/>
              <w:right w:val="nil"/>
            </w:tcBorders>
            <w:shd w:val="clear" w:color="auto" w:fill="auto"/>
            <w:vAlign w:val="bottom"/>
          </w:tcPr>
          <w:p w14:paraId="1FD240BE" w14:textId="38759559"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00A8107" w14:textId="11EF40F4" w:rsidR="00B33D8D" w:rsidRPr="001D41EA" w:rsidRDefault="00B33D8D" w:rsidP="001D41EA">
            <w:pPr>
              <w:spacing w:before="40" w:after="40"/>
              <w:jc w:val="right"/>
              <w:rPr>
                <w:rFonts w:cs="Arial"/>
                <w:sz w:val="18"/>
                <w:szCs w:val="18"/>
              </w:rPr>
            </w:pPr>
            <w:r w:rsidRPr="001D41EA">
              <w:rPr>
                <w:rFonts w:cs="Arial"/>
                <w:sz w:val="18"/>
                <w:szCs w:val="18"/>
              </w:rPr>
              <w:t>1,546</w:t>
            </w:r>
          </w:p>
        </w:tc>
        <w:tc>
          <w:tcPr>
            <w:tcW w:w="1247" w:type="dxa"/>
            <w:tcBorders>
              <w:top w:val="nil"/>
              <w:left w:val="nil"/>
              <w:bottom w:val="nil"/>
              <w:right w:val="nil"/>
            </w:tcBorders>
            <w:shd w:val="clear" w:color="auto" w:fill="auto"/>
            <w:vAlign w:val="bottom"/>
          </w:tcPr>
          <w:p w14:paraId="0E04D8BD" w14:textId="229B82B2" w:rsidR="00B33D8D" w:rsidRPr="001D41EA" w:rsidRDefault="00B33D8D" w:rsidP="001D41EA">
            <w:pPr>
              <w:spacing w:before="40" w:after="40"/>
              <w:jc w:val="right"/>
              <w:rPr>
                <w:rFonts w:cs="Arial"/>
                <w:sz w:val="18"/>
                <w:szCs w:val="18"/>
              </w:rPr>
            </w:pPr>
            <w:r w:rsidRPr="001D41EA">
              <w:rPr>
                <w:rFonts w:cs="Arial"/>
                <w:sz w:val="18"/>
                <w:szCs w:val="18"/>
              </w:rPr>
              <w:t>7.8</w:t>
            </w:r>
          </w:p>
        </w:tc>
      </w:tr>
      <w:tr w:rsidR="00B33D8D" w:rsidRPr="001D41EA" w14:paraId="7D060F7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05331A8" w14:textId="77777777" w:rsidR="00B33D8D" w:rsidRPr="001D41EA" w:rsidRDefault="00B33D8D" w:rsidP="001D41EA">
            <w:pPr>
              <w:spacing w:before="40" w:after="40"/>
              <w:rPr>
                <w:rFonts w:cs="Arial"/>
                <w:sz w:val="18"/>
                <w:szCs w:val="18"/>
              </w:rPr>
            </w:pPr>
            <w:r w:rsidRPr="001D41EA">
              <w:rPr>
                <w:rFonts w:cs="Arial"/>
                <w:sz w:val="18"/>
                <w:szCs w:val="18"/>
              </w:rPr>
              <w:t>Hume C</w:t>
            </w:r>
          </w:p>
        </w:tc>
        <w:tc>
          <w:tcPr>
            <w:tcW w:w="1247" w:type="dxa"/>
            <w:tcBorders>
              <w:top w:val="nil"/>
              <w:left w:val="single" w:sz="18" w:space="0" w:color="5F497A" w:themeColor="accent4" w:themeShade="BF"/>
              <w:bottom w:val="nil"/>
              <w:right w:val="nil"/>
            </w:tcBorders>
            <w:shd w:val="clear" w:color="auto" w:fill="auto"/>
            <w:vAlign w:val="bottom"/>
          </w:tcPr>
          <w:p w14:paraId="22A4E674" w14:textId="42F1A707" w:rsidR="00B33D8D" w:rsidRPr="001D41EA" w:rsidRDefault="00B33D8D" w:rsidP="001D41EA">
            <w:pPr>
              <w:spacing w:before="40" w:after="40"/>
              <w:jc w:val="right"/>
              <w:rPr>
                <w:rFonts w:cs="Arial"/>
                <w:sz w:val="18"/>
                <w:szCs w:val="18"/>
              </w:rPr>
            </w:pPr>
            <w:r w:rsidRPr="001D41EA">
              <w:rPr>
                <w:rFonts w:cs="Arial"/>
                <w:sz w:val="18"/>
                <w:szCs w:val="18"/>
              </w:rPr>
              <w:t>188,669</w:t>
            </w:r>
          </w:p>
        </w:tc>
        <w:tc>
          <w:tcPr>
            <w:tcW w:w="1247" w:type="dxa"/>
            <w:tcBorders>
              <w:top w:val="nil"/>
              <w:left w:val="nil"/>
              <w:bottom w:val="nil"/>
              <w:right w:val="nil"/>
            </w:tcBorders>
            <w:vAlign w:val="bottom"/>
          </w:tcPr>
          <w:p w14:paraId="2B29C39D" w14:textId="4BA19281" w:rsidR="00B33D8D" w:rsidRPr="001D41EA" w:rsidRDefault="00B33D8D" w:rsidP="001D41EA">
            <w:pPr>
              <w:spacing w:before="40" w:after="40"/>
              <w:jc w:val="right"/>
              <w:rPr>
                <w:rFonts w:cs="Arial"/>
                <w:sz w:val="18"/>
                <w:szCs w:val="18"/>
              </w:rPr>
            </w:pPr>
            <w:r w:rsidRPr="001D41EA">
              <w:rPr>
                <w:rFonts w:cs="Arial"/>
                <w:sz w:val="18"/>
                <w:szCs w:val="18"/>
              </w:rPr>
              <w:t>224,394</w:t>
            </w:r>
          </w:p>
        </w:tc>
        <w:tc>
          <w:tcPr>
            <w:tcW w:w="1247" w:type="dxa"/>
            <w:tcBorders>
              <w:top w:val="nil"/>
              <w:left w:val="nil"/>
              <w:bottom w:val="nil"/>
              <w:right w:val="nil"/>
            </w:tcBorders>
            <w:shd w:val="clear" w:color="auto" w:fill="auto"/>
            <w:vAlign w:val="bottom"/>
          </w:tcPr>
          <w:p w14:paraId="7C421ED8" w14:textId="107E4C56" w:rsidR="00B33D8D" w:rsidRPr="001D41EA" w:rsidRDefault="00B33D8D" w:rsidP="001D41EA">
            <w:pPr>
              <w:spacing w:before="40" w:after="40"/>
              <w:jc w:val="right"/>
              <w:rPr>
                <w:rFonts w:cs="Arial"/>
                <w:sz w:val="18"/>
                <w:szCs w:val="18"/>
              </w:rPr>
            </w:pPr>
            <w:r w:rsidRPr="001D41EA">
              <w:rPr>
                <w:rFonts w:cs="Arial"/>
                <w:sz w:val="18"/>
                <w:szCs w:val="18"/>
              </w:rPr>
              <w:t>18.9</w:t>
            </w:r>
          </w:p>
        </w:tc>
        <w:tc>
          <w:tcPr>
            <w:tcW w:w="170" w:type="dxa"/>
            <w:tcBorders>
              <w:top w:val="nil"/>
              <w:left w:val="nil"/>
              <w:bottom w:val="nil"/>
              <w:right w:val="nil"/>
            </w:tcBorders>
            <w:shd w:val="clear" w:color="auto" w:fill="auto"/>
            <w:vAlign w:val="bottom"/>
          </w:tcPr>
          <w:p w14:paraId="0FA6493F" w14:textId="5843412E"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7954A444" w14:textId="2728558F" w:rsidR="00B33D8D" w:rsidRPr="001D41EA" w:rsidRDefault="00B33D8D" w:rsidP="001D41EA">
            <w:pPr>
              <w:spacing w:before="40" w:after="40"/>
              <w:jc w:val="right"/>
              <w:rPr>
                <w:rFonts w:cs="Arial"/>
                <w:sz w:val="18"/>
                <w:szCs w:val="18"/>
              </w:rPr>
            </w:pPr>
            <w:r w:rsidRPr="001D41EA">
              <w:rPr>
                <w:rFonts w:cs="Arial"/>
                <w:sz w:val="18"/>
                <w:szCs w:val="18"/>
              </w:rPr>
              <w:t>21,581</w:t>
            </w:r>
          </w:p>
        </w:tc>
        <w:tc>
          <w:tcPr>
            <w:tcW w:w="1247" w:type="dxa"/>
            <w:tcBorders>
              <w:top w:val="nil"/>
              <w:left w:val="nil"/>
              <w:bottom w:val="nil"/>
              <w:right w:val="nil"/>
            </w:tcBorders>
            <w:shd w:val="clear" w:color="auto" w:fill="auto"/>
            <w:vAlign w:val="bottom"/>
          </w:tcPr>
          <w:p w14:paraId="3F2EAF40" w14:textId="51670C3D" w:rsidR="00B33D8D" w:rsidRPr="001D41EA" w:rsidRDefault="00B33D8D" w:rsidP="001D41EA">
            <w:pPr>
              <w:spacing w:before="40" w:after="40"/>
              <w:jc w:val="right"/>
              <w:rPr>
                <w:rFonts w:cs="Arial"/>
                <w:sz w:val="18"/>
                <w:szCs w:val="18"/>
              </w:rPr>
            </w:pPr>
            <w:r w:rsidRPr="001D41EA">
              <w:rPr>
                <w:rFonts w:cs="Arial"/>
                <w:sz w:val="18"/>
                <w:szCs w:val="18"/>
              </w:rPr>
              <w:t>9.6</w:t>
            </w:r>
          </w:p>
        </w:tc>
      </w:tr>
      <w:tr w:rsidR="00B33D8D" w:rsidRPr="001D41EA" w14:paraId="0CFDF361"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C8CA45E" w14:textId="77777777" w:rsidR="00B33D8D" w:rsidRPr="001D41EA" w:rsidRDefault="00B33D8D" w:rsidP="001D41EA">
            <w:pPr>
              <w:spacing w:before="40" w:after="40"/>
              <w:rPr>
                <w:rFonts w:cs="Arial"/>
                <w:sz w:val="18"/>
                <w:szCs w:val="18"/>
              </w:rPr>
            </w:pPr>
            <w:r w:rsidRPr="001D41EA">
              <w:rPr>
                <w:rFonts w:cs="Arial"/>
                <w:sz w:val="18"/>
                <w:szCs w:val="18"/>
              </w:rPr>
              <w:t>Indigo S</w:t>
            </w:r>
          </w:p>
        </w:tc>
        <w:tc>
          <w:tcPr>
            <w:tcW w:w="1247" w:type="dxa"/>
            <w:tcBorders>
              <w:top w:val="nil"/>
              <w:left w:val="single" w:sz="18" w:space="0" w:color="5F497A" w:themeColor="accent4" w:themeShade="BF"/>
              <w:bottom w:val="nil"/>
              <w:right w:val="nil"/>
            </w:tcBorders>
            <w:shd w:val="clear" w:color="auto" w:fill="auto"/>
            <w:vAlign w:val="bottom"/>
          </w:tcPr>
          <w:p w14:paraId="6A8A9D76" w14:textId="794D7053" w:rsidR="00B33D8D" w:rsidRPr="001D41EA" w:rsidRDefault="00B33D8D" w:rsidP="001D41EA">
            <w:pPr>
              <w:spacing w:before="40" w:after="40"/>
              <w:jc w:val="right"/>
              <w:rPr>
                <w:rFonts w:cs="Arial"/>
                <w:sz w:val="18"/>
                <w:szCs w:val="18"/>
              </w:rPr>
            </w:pPr>
            <w:r w:rsidRPr="001D41EA">
              <w:rPr>
                <w:rFonts w:cs="Arial"/>
                <w:sz w:val="18"/>
                <w:szCs w:val="18"/>
              </w:rPr>
              <w:t>15,341</w:t>
            </w:r>
          </w:p>
        </w:tc>
        <w:tc>
          <w:tcPr>
            <w:tcW w:w="1247" w:type="dxa"/>
            <w:tcBorders>
              <w:top w:val="nil"/>
              <w:left w:val="nil"/>
              <w:bottom w:val="nil"/>
              <w:right w:val="nil"/>
            </w:tcBorders>
            <w:vAlign w:val="bottom"/>
          </w:tcPr>
          <w:p w14:paraId="62C7A6AF" w14:textId="2ADB1D22" w:rsidR="00B33D8D" w:rsidRPr="001D41EA" w:rsidRDefault="00B33D8D" w:rsidP="001D41EA">
            <w:pPr>
              <w:spacing w:before="40" w:after="40"/>
              <w:jc w:val="right"/>
              <w:rPr>
                <w:rFonts w:cs="Arial"/>
                <w:sz w:val="18"/>
                <w:szCs w:val="18"/>
              </w:rPr>
            </w:pPr>
            <w:r w:rsidRPr="001D41EA">
              <w:rPr>
                <w:rFonts w:cs="Arial"/>
                <w:sz w:val="18"/>
                <w:szCs w:val="18"/>
              </w:rPr>
              <w:t>16,490</w:t>
            </w:r>
          </w:p>
        </w:tc>
        <w:tc>
          <w:tcPr>
            <w:tcW w:w="1247" w:type="dxa"/>
            <w:tcBorders>
              <w:top w:val="nil"/>
              <w:left w:val="nil"/>
              <w:bottom w:val="nil"/>
              <w:right w:val="nil"/>
            </w:tcBorders>
            <w:shd w:val="clear" w:color="auto" w:fill="auto"/>
            <w:vAlign w:val="bottom"/>
          </w:tcPr>
          <w:p w14:paraId="20527A37" w14:textId="32F97A4B" w:rsidR="00B33D8D" w:rsidRPr="001D41EA" w:rsidRDefault="00B33D8D" w:rsidP="001D41EA">
            <w:pPr>
              <w:spacing w:before="40" w:after="40"/>
              <w:jc w:val="right"/>
              <w:rPr>
                <w:rFonts w:cs="Arial"/>
                <w:sz w:val="18"/>
                <w:szCs w:val="18"/>
              </w:rPr>
            </w:pPr>
            <w:r w:rsidRPr="001D41EA">
              <w:rPr>
                <w:rFonts w:cs="Arial"/>
                <w:sz w:val="18"/>
                <w:szCs w:val="18"/>
              </w:rPr>
              <w:t>7.5</w:t>
            </w:r>
          </w:p>
        </w:tc>
        <w:tc>
          <w:tcPr>
            <w:tcW w:w="170" w:type="dxa"/>
            <w:tcBorders>
              <w:top w:val="nil"/>
              <w:left w:val="nil"/>
              <w:bottom w:val="nil"/>
              <w:right w:val="nil"/>
            </w:tcBorders>
            <w:shd w:val="clear" w:color="auto" w:fill="auto"/>
            <w:vAlign w:val="bottom"/>
          </w:tcPr>
          <w:p w14:paraId="17276660" w14:textId="27D55A07"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5D8F34E9" w14:textId="3EEB7CA9" w:rsidR="00B33D8D" w:rsidRPr="001D41EA" w:rsidRDefault="00B33D8D" w:rsidP="001D41EA">
            <w:pPr>
              <w:spacing w:before="40" w:after="40"/>
              <w:jc w:val="right"/>
              <w:rPr>
                <w:rFonts w:cs="Arial"/>
                <w:sz w:val="18"/>
                <w:szCs w:val="18"/>
              </w:rPr>
            </w:pPr>
            <w:r w:rsidRPr="001D41EA">
              <w:rPr>
                <w:rFonts w:cs="Arial"/>
                <w:sz w:val="18"/>
                <w:szCs w:val="18"/>
              </w:rPr>
              <w:t>1,049</w:t>
            </w:r>
          </w:p>
        </w:tc>
        <w:tc>
          <w:tcPr>
            <w:tcW w:w="1247" w:type="dxa"/>
            <w:tcBorders>
              <w:top w:val="nil"/>
              <w:left w:val="nil"/>
              <w:bottom w:val="nil"/>
              <w:right w:val="nil"/>
            </w:tcBorders>
            <w:shd w:val="clear" w:color="auto" w:fill="auto"/>
            <w:vAlign w:val="bottom"/>
          </w:tcPr>
          <w:p w14:paraId="59EDA5C9" w14:textId="6B1A291F" w:rsidR="00B33D8D" w:rsidRPr="001D41EA" w:rsidRDefault="00B33D8D" w:rsidP="001D41EA">
            <w:pPr>
              <w:spacing w:before="40" w:after="40"/>
              <w:jc w:val="right"/>
              <w:rPr>
                <w:rFonts w:cs="Arial"/>
                <w:sz w:val="18"/>
                <w:szCs w:val="18"/>
              </w:rPr>
            </w:pPr>
            <w:r w:rsidRPr="001D41EA">
              <w:rPr>
                <w:rFonts w:cs="Arial"/>
                <w:sz w:val="18"/>
                <w:szCs w:val="18"/>
              </w:rPr>
              <w:t>6.4</w:t>
            </w:r>
          </w:p>
        </w:tc>
      </w:tr>
      <w:tr w:rsidR="00B33D8D" w:rsidRPr="001D41EA" w14:paraId="41CC234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56E7E2C" w14:textId="77777777" w:rsidR="00B33D8D" w:rsidRPr="001D41EA" w:rsidRDefault="00B33D8D" w:rsidP="001D41EA">
            <w:pPr>
              <w:spacing w:before="40" w:after="40"/>
              <w:rPr>
                <w:rFonts w:cs="Arial"/>
                <w:sz w:val="18"/>
                <w:szCs w:val="18"/>
              </w:rPr>
            </w:pPr>
            <w:r w:rsidRPr="001D41EA">
              <w:rPr>
                <w:rFonts w:cs="Arial"/>
                <w:sz w:val="18"/>
                <w:szCs w:val="18"/>
              </w:rPr>
              <w:t>Kingston C</w:t>
            </w:r>
          </w:p>
        </w:tc>
        <w:tc>
          <w:tcPr>
            <w:tcW w:w="1247" w:type="dxa"/>
            <w:tcBorders>
              <w:top w:val="nil"/>
              <w:left w:val="single" w:sz="18" w:space="0" w:color="5F497A" w:themeColor="accent4" w:themeShade="BF"/>
              <w:bottom w:val="nil"/>
              <w:right w:val="nil"/>
            </w:tcBorders>
            <w:shd w:val="clear" w:color="auto" w:fill="auto"/>
            <w:vAlign w:val="bottom"/>
          </w:tcPr>
          <w:p w14:paraId="7AEB1EB8" w14:textId="65A88046" w:rsidR="00B33D8D" w:rsidRPr="001D41EA" w:rsidRDefault="00B33D8D" w:rsidP="001D41EA">
            <w:pPr>
              <w:spacing w:before="40" w:after="40"/>
              <w:jc w:val="right"/>
              <w:rPr>
                <w:rFonts w:cs="Arial"/>
                <w:sz w:val="18"/>
                <w:szCs w:val="18"/>
              </w:rPr>
            </w:pPr>
            <w:r w:rsidRPr="001D41EA">
              <w:rPr>
                <w:rFonts w:cs="Arial"/>
                <w:sz w:val="18"/>
                <w:szCs w:val="18"/>
              </w:rPr>
              <w:t>153,034</w:t>
            </w:r>
          </w:p>
        </w:tc>
        <w:tc>
          <w:tcPr>
            <w:tcW w:w="1247" w:type="dxa"/>
            <w:tcBorders>
              <w:top w:val="nil"/>
              <w:left w:val="nil"/>
              <w:bottom w:val="nil"/>
              <w:right w:val="nil"/>
            </w:tcBorders>
            <w:vAlign w:val="bottom"/>
          </w:tcPr>
          <w:p w14:paraId="290676A6" w14:textId="0C4DDA92" w:rsidR="00B33D8D" w:rsidRPr="001D41EA" w:rsidRDefault="00B33D8D" w:rsidP="001D41EA">
            <w:pPr>
              <w:spacing w:before="40" w:after="40"/>
              <w:jc w:val="right"/>
              <w:rPr>
                <w:rFonts w:cs="Arial"/>
                <w:sz w:val="18"/>
                <w:szCs w:val="18"/>
              </w:rPr>
            </w:pPr>
            <w:r w:rsidRPr="001D41EA">
              <w:rPr>
                <w:rFonts w:cs="Arial"/>
                <w:sz w:val="18"/>
                <w:szCs w:val="18"/>
              </w:rPr>
              <w:t>163,431</w:t>
            </w:r>
          </w:p>
        </w:tc>
        <w:tc>
          <w:tcPr>
            <w:tcW w:w="1247" w:type="dxa"/>
            <w:tcBorders>
              <w:top w:val="nil"/>
              <w:left w:val="nil"/>
              <w:bottom w:val="nil"/>
              <w:right w:val="nil"/>
            </w:tcBorders>
            <w:shd w:val="clear" w:color="auto" w:fill="auto"/>
            <w:vAlign w:val="bottom"/>
          </w:tcPr>
          <w:p w14:paraId="7802973E" w14:textId="21C6BE0D" w:rsidR="00B33D8D" w:rsidRPr="001D41EA" w:rsidRDefault="00B33D8D" w:rsidP="001D41EA">
            <w:pPr>
              <w:spacing w:before="40" w:after="40"/>
              <w:jc w:val="right"/>
              <w:rPr>
                <w:rFonts w:cs="Arial"/>
                <w:sz w:val="18"/>
                <w:szCs w:val="18"/>
              </w:rPr>
            </w:pPr>
            <w:r w:rsidRPr="001D41EA">
              <w:rPr>
                <w:rFonts w:cs="Arial"/>
                <w:sz w:val="18"/>
                <w:szCs w:val="18"/>
              </w:rPr>
              <w:t>6.8</w:t>
            </w:r>
          </w:p>
        </w:tc>
        <w:tc>
          <w:tcPr>
            <w:tcW w:w="170" w:type="dxa"/>
            <w:tcBorders>
              <w:top w:val="nil"/>
              <w:left w:val="nil"/>
              <w:bottom w:val="nil"/>
              <w:right w:val="nil"/>
            </w:tcBorders>
            <w:shd w:val="clear" w:color="auto" w:fill="auto"/>
            <w:vAlign w:val="bottom"/>
          </w:tcPr>
          <w:p w14:paraId="167116AB" w14:textId="6075B63D"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0B7F5C64" w14:textId="1EDD20DF" w:rsidR="00B33D8D" w:rsidRPr="001D41EA" w:rsidRDefault="00B33D8D" w:rsidP="001D41EA">
            <w:pPr>
              <w:spacing w:before="40" w:after="40"/>
              <w:jc w:val="right"/>
              <w:rPr>
                <w:rFonts w:cs="Arial"/>
                <w:sz w:val="18"/>
                <w:szCs w:val="18"/>
              </w:rPr>
            </w:pPr>
            <w:r w:rsidRPr="001D41EA">
              <w:rPr>
                <w:rFonts w:cs="Arial"/>
                <w:sz w:val="18"/>
                <w:szCs w:val="18"/>
              </w:rPr>
              <w:t>12,049</w:t>
            </w:r>
          </w:p>
        </w:tc>
        <w:tc>
          <w:tcPr>
            <w:tcW w:w="1247" w:type="dxa"/>
            <w:tcBorders>
              <w:top w:val="nil"/>
              <w:left w:val="nil"/>
              <w:bottom w:val="nil"/>
              <w:right w:val="nil"/>
            </w:tcBorders>
            <w:shd w:val="clear" w:color="auto" w:fill="auto"/>
            <w:vAlign w:val="bottom"/>
          </w:tcPr>
          <w:p w14:paraId="300819A2" w14:textId="2442D545" w:rsidR="00B33D8D" w:rsidRPr="001D41EA" w:rsidRDefault="00B33D8D" w:rsidP="001D41EA">
            <w:pPr>
              <w:spacing w:before="40" w:after="40"/>
              <w:jc w:val="right"/>
              <w:rPr>
                <w:rFonts w:cs="Arial"/>
                <w:sz w:val="18"/>
                <w:szCs w:val="18"/>
              </w:rPr>
            </w:pPr>
            <w:r w:rsidRPr="001D41EA">
              <w:rPr>
                <w:rFonts w:cs="Arial"/>
                <w:sz w:val="18"/>
                <w:szCs w:val="18"/>
              </w:rPr>
              <w:t>7.4</w:t>
            </w:r>
          </w:p>
        </w:tc>
      </w:tr>
      <w:tr w:rsidR="00B33D8D" w:rsidRPr="001D41EA" w14:paraId="4D0A0E79"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F7178C9" w14:textId="77777777" w:rsidR="00B33D8D" w:rsidRPr="001D41EA" w:rsidRDefault="00B33D8D" w:rsidP="001D41EA">
            <w:pPr>
              <w:spacing w:before="40" w:after="40"/>
              <w:rPr>
                <w:rFonts w:cs="Arial"/>
                <w:sz w:val="18"/>
                <w:szCs w:val="18"/>
              </w:rPr>
            </w:pPr>
            <w:r w:rsidRPr="001D41EA">
              <w:rPr>
                <w:rFonts w:cs="Arial"/>
                <w:sz w:val="18"/>
                <w:szCs w:val="18"/>
              </w:rPr>
              <w:t>Knox C</w:t>
            </w:r>
          </w:p>
        </w:tc>
        <w:tc>
          <w:tcPr>
            <w:tcW w:w="1247" w:type="dxa"/>
            <w:tcBorders>
              <w:top w:val="nil"/>
              <w:left w:val="single" w:sz="18" w:space="0" w:color="5F497A" w:themeColor="accent4" w:themeShade="BF"/>
              <w:bottom w:val="nil"/>
              <w:right w:val="nil"/>
            </w:tcBorders>
            <w:shd w:val="clear" w:color="auto" w:fill="auto"/>
            <w:vAlign w:val="bottom"/>
          </w:tcPr>
          <w:p w14:paraId="4F33A0BE" w14:textId="32FC6BC5" w:rsidR="00B33D8D" w:rsidRPr="001D41EA" w:rsidRDefault="00B33D8D" w:rsidP="001D41EA">
            <w:pPr>
              <w:spacing w:before="40" w:after="40"/>
              <w:jc w:val="right"/>
              <w:rPr>
                <w:rFonts w:cs="Arial"/>
                <w:sz w:val="18"/>
                <w:szCs w:val="18"/>
              </w:rPr>
            </w:pPr>
            <w:r w:rsidRPr="001D41EA">
              <w:rPr>
                <w:rFonts w:cs="Arial"/>
                <w:sz w:val="18"/>
                <w:szCs w:val="18"/>
              </w:rPr>
              <w:t>155,279</w:t>
            </w:r>
          </w:p>
        </w:tc>
        <w:tc>
          <w:tcPr>
            <w:tcW w:w="1247" w:type="dxa"/>
            <w:tcBorders>
              <w:top w:val="nil"/>
              <w:left w:val="nil"/>
              <w:bottom w:val="nil"/>
              <w:right w:val="nil"/>
            </w:tcBorders>
            <w:vAlign w:val="bottom"/>
          </w:tcPr>
          <w:p w14:paraId="0AAA7E2E" w14:textId="18BF24C8" w:rsidR="00B33D8D" w:rsidRPr="001D41EA" w:rsidRDefault="00B33D8D" w:rsidP="001D41EA">
            <w:pPr>
              <w:spacing w:before="40" w:after="40"/>
              <w:jc w:val="right"/>
              <w:rPr>
                <w:rFonts w:cs="Arial"/>
                <w:sz w:val="18"/>
                <w:szCs w:val="18"/>
              </w:rPr>
            </w:pPr>
            <w:r w:rsidRPr="001D41EA">
              <w:rPr>
                <w:rFonts w:cs="Arial"/>
                <w:sz w:val="18"/>
                <w:szCs w:val="18"/>
              </w:rPr>
              <w:t>163,203</w:t>
            </w:r>
          </w:p>
        </w:tc>
        <w:tc>
          <w:tcPr>
            <w:tcW w:w="1247" w:type="dxa"/>
            <w:tcBorders>
              <w:top w:val="nil"/>
              <w:left w:val="nil"/>
              <w:bottom w:val="nil"/>
              <w:right w:val="nil"/>
            </w:tcBorders>
            <w:shd w:val="clear" w:color="auto" w:fill="auto"/>
            <w:vAlign w:val="bottom"/>
          </w:tcPr>
          <w:p w14:paraId="49B7666E" w14:textId="77F2D9AE" w:rsidR="00B33D8D" w:rsidRPr="001D41EA" w:rsidRDefault="00B33D8D" w:rsidP="001D41EA">
            <w:pPr>
              <w:spacing w:before="40" w:after="40"/>
              <w:jc w:val="right"/>
              <w:rPr>
                <w:rFonts w:cs="Arial"/>
                <w:sz w:val="18"/>
                <w:szCs w:val="18"/>
              </w:rPr>
            </w:pPr>
            <w:r w:rsidRPr="001D41EA">
              <w:rPr>
                <w:rFonts w:cs="Arial"/>
                <w:sz w:val="18"/>
                <w:szCs w:val="18"/>
              </w:rPr>
              <w:t>5.1</w:t>
            </w:r>
          </w:p>
        </w:tc>
        <w:tc>
          <w:tcPr>
            <w:tcW w:w="170" w:type="dxa"/>
            <w:tcBorders>
              <w:top w:val="nil"/>
              <w:left w:val="nil"/>
              <w:bottom w:val="nil"/>
              <w:right w:val="nil"/>
            </w:tcBorders>
            <w:shd w:val="clear" w:color="auto" w:fill="auto"/>
            <w:vAlign w:val="bottom"/>
          </w:tcPr>
          <w:p w14:paraId="1BE15AE3" w14:textId="3A95DDED"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2F687089" w14:textId="226F8E5D" w:rsidR="00B33D8D" w:rsidRPr="001D41EA" w:rsidRDefault="00B33D8D" w:rsidP="001D41EA">
            <w:pPr>
              <w:spacing w:before="40" w:after="40"/>
              <w:jc w:val="right"/>
              <w:rPr>
                <w:rFonts w:cs="Arial"/>
                <w:sz w:val="18"/>
                <w:szCs w:val="18"/>
              </w:rPr>
            </w:pPr>
            <w:r w:rsidRPr="001D41EA">
              <w:rPr>
                <w:rFonts w:cs="Arial"/>
                <w:sz w:val="18"/>
                <w:szCs w:val="18"/>
              </w:rPr>
              <w:t>11,886</w:t>
            </w:r>
          </w:p>
        </w:tc>
        <w:tc>
          <w:tcPr>
            <w:tcW w:w="1247" w:type="dxa"/>
            <w:tcBorders>
              <w:top w:val="nil"/>
              <w:left w:val="nil"/>
              <w:bottom w:val="nil"/>
              <w:right w:val="nil"/>
            </w:tcBorders>
            <w:shd w:val="clear" w:color="auto" w:fill="auto"/>
            <w:vAlign w:val="bottom"/>
          </w:tcPr>
          <w:p w14:paraId="54B208D7" w14:textId="2CB54148" w:rsidR="00B33D8D" w:rsidRPr="001D41EA" w:rsidRDefault="00B33D8D" w:rsidP="001D41EA">
            <w:pPr>
              <w:spacing w:before="40" w:after="40"/>
              <w:jc w:val="right"/>
              <w:rPr>
                <w:rFonts w:cs="Arial"/>
                <w:sz w:val="18"/>
                <w:szCs w:val="18"/>
              </w:rPr>
            </w:pPr>
            <w:r w:rsidRPr="001D41EA">
              <w:rPr>
                <w:rFonts w:cs="Arial"/>
                <w:sz w:val="18"/>
                <w:szCs w:val="18"/>
              </w:rPr>
              <w:t>7.3</w:t>
            </w:r>
          </w:p>
        </w:tc>
      </w:tr>
      <w:tr w:rsidR="00B33D8D" w:rsidRPr="001D41EA" w14:paraId="2006C8F7" w14:textId="77777777" w:rsidTr="00CA09E3">
        <w:trPr>
          <w:trHeight w:val="80"/>
        </w:trPr>
        <w:tc>
          <w:tcPr>
            <w:tcW w:w="2268" w:type="dxa"/>
            <w:tcBorders>
              <w:top w:val="nil"/>
              <w:left w:val="nil"/>
              <w:bottom w:val="nil"/>
              <w:right w:val="single" w:sz="18" w:space="0" w:color="5F497A" w:themeColor="accent4" w:themeShade="BF"/>
            </w:tcBorders>
            <w:shd w:val="clear" w:color="auto" w:fill="auto"/>
            <w:vAlign w:val="center"/>
          </w:tcPr>
          <w:p w14:paraId="15DA2727" w14:textId="77777777" w:rsidR="00B33D8D" w:rsidRPr="001D41EA" w:rsidRDefault="00B33D8D" w:rsidP="001D41EA">
            <w:pPr>
              <w:spacing w:before="40" w:after="40"/>
              <w:rPr>
                <w:rFonts w:cs="Arial"/>
                <w:sz w:val="18"/>
                <w:szCs w:val="18"/>
              </w:rPr>
            </w:pPr>
            <w:r w:rsidRPr="001D41EA">
              <w:rPr>
                <w:rFonts w:cs="Arial"/>
                <w:sz w:val="18"/>
                <w:szCs w:val="18"/>
              </w:rPr>
              <w:t>Latrobe C</w:t>
            </w:r>
          </w:p>
        </w:tc>
        <w:tc>
          <w:tcPr>
            <w:tcW w:w="1247" w:type="dxa"/>
            <w:tcBorders>
              <w:top w:val="nil"/>
              <w:left w:val="single" w:sz="18" w:space="0" w:color="5F497A" w:themeColor="accent4" w:themeShade="BF"/>
              <w:bottom w:val="nil"/>
              <w:right w:val="nil"/>
            </w:tcBorders>
            <w:shd w:val="clear" w:color="auto" w:fill="auto"/>
            <w:vAlign w:val="bottom"/>
          </w:tcPr>
          <w:p w14:paraId="6D1CCBEC" w14:textId="4096232D" w:rsidR="00B33D8D" w:rsidRPr="001D41EA" w:rsidRDefault="00B33D8D" w:rsidP="001D41EA">
            <w:pPr>
              <w:spacing w:before="40" w:after="40"/>
              <w:jc w:val="right"/>
              <w:rPr>
                <w:rFonts w:cs="Arial"/>
                <w:sz w:val="18"/>
                <w:szCs w:val="18"/>
              </w:rPr>
            </w:pPr>
            <w:r w:rsidRPr="001D41EA">
              <w:rPr>
                <w:rFonts w:cs="Arial"/>
                <w:sz w:val="18"/>
                <w:szCs w:val="18"/>
              </w:rPr>
              <w:t>73,619</w:t>
            </w:r>
          </w:p>
        </w:tc>
        <w:tc>
          <w:tcPr>
            <w:tcW w:w="1247" w:type="dxa"/>
            <w:tcBorders>
              <w:top w:val="nil"/>
              <w:left w:val="nil"/>
              <w:bottom w:val="nil"/>
              <w:right w:val="nil"/>
            </w:tcBorders>
            <w:vAlign w:val="bottom"/>
          </w:tcPr>
          <w:p w14:paraId="04C804E3" w14:textId="5AD03BC7" w:rsidR="00B33D8D" w:rsidRPr="001D41EA" w:rsidRDefault="00B33D8D" w:rsidP="001D41EA">
            <w:pPr>
              <w:spacing w:before="40" w:after="40"/>
              <w:jc w:val="right"/>
              <w:rPr>
                <w:rFonts w:cs="Arial"/>
                <w:sz w:val="18"/>
                <w:szCs w:val="18"/>
              </w:rPr>
            </w:pPr>
            <w:r w:rsidRPr="001D41EA">
              <w:rPr>
                <w:rFonts w:cs="Arial"/>
                <w:sz w:val="18"/>
                <w:szCs w:val="18"/>
              </w:rPr>
              <w:t>75,211</w:t>
            </w:r>
          </w:p>
        </w:tc>
        <w:tc>
          <w:tcPr>
            <w:tcW w:w="1247" w:type="dxa"/>
            <w:tcBorders>
              <w:top w:val="nil"/>
              <w:left w:val="nil"/>
              <w:bottom w:val="nil"/>
              <w:right w:val="nil"/>
            </w:tcBorders>
            <w:shd w:val="clear" w:color="auto" w:fill="auto"/>
            <w:vAlign w:val="bottom"/>
          </w:tcPr>
          <w:p w14:paraId="08703E87" w14:textId="0192379C" w:rsidR="00B33D8D" w:rsidRPr="001D41EA" w:rsidRDefault="00B33D8D" w:rsidP="001D41EA">
            <w:pPr>
              <w:spacing w:before="40" w:after="40"/>
              <w:jc w:val="right"/>
              <w:rPr>
                <w:rFonts w:cs="Arial"/>
                <w:sz w:val="18"/>
                <w:szCs w:val="18"/>
              </w:rPr>
            </w:pPr>
            <w:r w:rsidRPr="001D41EA">
              <w:rPr>
                <w:rFonts w:cs="Arial"/>
                <w:sz w:val="18"/>
                <w:szCs w:val="18"/>
              </w:rPr>
              <w:t>2.2</w:t>
            </w:r>
          </w:p>
        </w:tc>
        <w:tc>
          <w:tcPr>
            <w:tcW w:w="170" w:type="dxa"/>
            <w:tcBorders>
              <w:top w:val="nil"/>
              <w:left w:val="nil"/>
              <w:bottom w:val="nil"/>
              <w:right w:val="nil"/>
            </w:tcBorders>
            <w:shd w:val="clear" w:color="auto" w:fill="auto"/>
            <w:vAlign w:val="bottom"/>
          </w:tcPr>
          <w:p w14:paraId="551B6E26" w14:textId="616C07E1"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185D8EFC" w14:textId="08772307" w:rsidR="00B33D8D" w:rsidRPr="001D41EA" w:rsidRDefault="00B33D8D" w:rsidP="001D41EA">
            <w:pPr>
              <w:spacing w:before="40" w:after="40"/>
              <w:jc w:val="right"/>
              <w:rPr>
                <w:rFonts w:cs="Arial"/>
                <w:sz w:val="18"/>
                <w:szCs w:val="18"/>
              </w:rPr>
            </w:pPr>
            <w:r w:rsidRPr="001D41EA">
              <w:rPr>
                <w:rFonts w:cs="Arial"/>
                <w:sz w:val="18"/>
                <w:szCs w:val="18"/>
              </w:rPr>
              <w:t>5,593</w:t>
            </w:r>
          </w:p>
        </w:tc>
        <w:tc>
          <w:tcPr>
            <w:tcW w:w="1247" w:type="dxa"/>
            <w:tcBorders>
              <w:top w:val="nil"/>
              <w:left w:val="nil"/>
              <w:bottom w:val="nil"/>
              <w:right w:val="nil"/>
            </w:tcBorders>
            <w:shd w:val="clear" w:color="auto" w:fill="auto"/>
            <w:vAlign w:val="bottom"/>
          </w:tcPr>
          <w:p w14:paraId="58431198" w14:textId="5D876BC7" w:rsidR="00B33D8D" w:rsidRPr="001D41EA" w:rsidRDefault="00B33D8D" w:rsidP="001D41EA">
            <w:pPr>
              <w:spacing w:before="40" w:after="40"/>
              <w:jc w:val="right"/>
              <w:rPr>
                <w:rFonts w:cs="Arial"/>
                <w:sz w:val="18"/>
                <w:szCs w:val="18"/>
              </w:rPr>
            </w:pPr>
            <w:r w:rsidRPr="001D41EA">
              <w:rPr>
                <w:rFonts w:cs="Arial"/>
                <w:sz w:val="18"/>
                <w:szCs w:val="18"/>
              </w:rPr>
              <w:t>7.4</w:t>
            </w:r>
          </w:p>
        </w:tc>
      </w:tr>
      <w:tr w:rsidR="00B33D8D" w:rsidRPr="001D41EA" w14:paraId="3D4BB3B3"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F586FEA" w14:textId="77777777" w:rsidR="00B33D8D" w:rsidRPr="001D41EA" w:rsidRDefault="00B33D8D" w:rsidP="001D41EA">
            <w:pPr>
              <w:spacing w:before="40" w:after="40"/>
              <w:rPr>
                <w:rFonts w:cs="Arial"/>
                <w:sz w:val="18"/>
                <w:szCs w:val="18"/>
              </w:rPr>
            </w:pPr>
            <w:r w:rsidRPr="001D41EA">
              <w:rPr>
                <w:rFonts w:cs="Arial"/>
                <w:sz w:val="18"/>
                <w:szCs w:val="18"/>
              </w:rPr>
              <w:t>Loddon S</w:t>
            </w:r>
          </w:p>
        </w:tc>
        <w:tc>
          <w:tcPr>
            <w:tcW w:w="1247" w:type="dxa"/>
            <w:tcBorders>
              <w:top w:val="nil"/>
              <w:left w:val="single" w:sz="18" w:space="0" w:color="5F497A" w:themeColor="accent4" w:themeShade="BF"/>
              <w:bottom w:val="nil"/>
              <w:right w:val="nil"/>
            </w:tcBorders>
            <w:shd w:val="clear" w:color="auto" w:fill="auto"/>
            <w:vAlign w:val="bottom"/>
          </w:tcPr>
          <w:p w14:paraId="3ECA4916" w14:textId="2F3E9FE3" w:rsidR="00B33D8D" w:rsidRPr="001D41EA" w:rsidRDefault="00B33D8D" w:rsidP="001D41EA">
            <w:pPr>
              <w:spacing w:before="40" w:after="40"/>
              <w:jc w:val="right"/>
              <w:rPr>
                <w:rFonts w:cs="Arial"/>
                <w:sz w:val="18"/>
                <w:szCs w:val="18"/>
              </w:rPr>
            </w:pPr>
            <w:r w:rsidRPr="001D41EA">
              <w:rPr>
                <w:rFonts w:cs="Arial"/>
                <w:sz w:val="18"/>
                <w:szCs w:val="18"/>
              </w:rPr>
              <w:t>7,353</w:t>
            </w:r>
          </w:p>
        </w:tc>
        <w:tc>
          <w:tcPr>
            <w:tcW w:w="1247" w:type="dxa"/>
            <w:tcBorders>
              <w:top w:val="nil"/>
              <w:left w:val="nil"/>
              <w:bottom w:val="nil"/>
              <w:right w:val="nil"/>
            </w:tcBorders>
            <w:vAlign w:val="bottom"/>
          </w:tcPr>
          <w:p w14:paraId="7162AC1A" w14:textId="1088A534" w:rsidR="00B33D8D" w:rsidRPr="001D41EA" w:rsidRDefault="00B33D8D" w:rsidP="001D41EA">
            <w:pPr>
              <w:spacing w:before="40" w:after="40"/>
              <w:jc w:val="right"/>
              <w:rPr>
                <w:rFonts w:cs="Arial"/>
                <w:sz w:val="18"/>
                <w:szCs w:val="18"/>
              </w:rPr>
            </w:pPr>
            <w:r w:rsidRPr="001D41EA">
              <w:rPr>
                <w:rFonts w:cs="Arial"/>
                <w:sz w:val="18"/>
                <w:szCs w:val="18"/>
              </w:rPr>
              <w:t>7,513</w:t>
            </w:r>
          </w:p>
        </w:tc>
        <w:tc>
          <w:tcPr>
            <w:tcW w:w="1247" w:type="dxa"/>
            <w:tcBorders>
              <w:top w:val="nil"/>
              <w:left w:val="nil"/>
              <w:bottom w:val="nil"/>
              <w:right w:val="nil"/>
            </w:tcBorders>
            <w:shd w:val="clear" w:color="auto" w:fill="auto"/>
            <w:vAlign w:val="bottom"/>
          </w:tcPr>
          <w:p w14:paraId="71715CD9" w14:textId="65367848" w:rsidR="00B33D8D" w:rsidRPr="001D41EA" w:rsidRDefault="00B33D8D" w:rsidP="001D41EA">
            <w:pPr>
              <w:spacing w:before="40" w:after="40"/>
              <w:jc w:val="right"/>
              <w:rPr>
                <w:rFonts w:cs="Arial"/>
                <w:sz w:val="18"/>
                <w:szCs w:val="18"/>
              </w:rPr>
            </w:pPr>
            <w:r w:rsidRPr="001D41EA">
              <w:rPr>
                <w:rFonts w:cs="Arial"/>
                <w:sz w:val="18"/>
                <w:szCs w:val="18"/>
              </w:rPr>
              <w:t>2.2</w:t>
            </w:r>
          </w:p>
        </w:tc>
        <w:tc>
          <w:tcPr>
            <w:tcW w:w="170" w:type="dxa"/>
            <w:tcBorders>
              <w:top w:val="nil"/>
              <w:left w:val="nil"/>
              <w:bottom w:val="nil"/>
              <w:right w:val="nil"/>
            </w:tcBorders>
            <w:shd w:val="clear" w:color="auto" w:fill="auto"/>
            <w:vAlign w:val="bottom"/>
          </w:tcPr>
          <w:p w14:paraId="2503F755" w14:textId="75B14B6D" w:rsidR="00B33D8D" w:rsidRPr="001D41EA" w:rsidRDefault="00B33D8D" w:rsidP="001D41EA">
            <w:pPr>
              <w:spacing w:before="40" w:after="40"/>
              <w:jc w:val="right"/>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24342D28" w14:textId="2DA79CAB" w:rsidR="00B33D8D" w:rsidRPr="001D41EA" w:rsidRDefault="00B33D8D" w:rsidP="001D41EA">
            <w:pPr>
              <w:spacing w:before="40" w:after="40"/>
              <w:jc w:val="right"/>
              <w:rPr>
                <w:rFonts w:cs="Arial"/>
                <w:sz w:val="18"/>
                <w:szCs w:val="18"/>
              </w:rPr>
            </w:pPr>
            <w:r w:rsidRPr="001D41EA">
              <w:rPr>
                <w:rFonts w:cs="Arial"/>
                <w:sz w:val="18"/>
                <w:szCs w:val="18"/>
              </w:rPr>
              <w:t>423</w:t>
            </w:r>
          </w:p>
        </w:tc>
        <w:tc>
          <w:tcPr>
            <w:tcW w:w="1247" w:type="dxa"/>
            <w:tcBorders>
              <w:top w:val="nil"/>
              <w:left w:val="nil"/>
              <w:bottom w:val="nil"/>
              <w:right w:val="nil"/>
            </w:tcBorders>
            <w:shd w:val="clear" w:color="auto" w:fill="auto"/>
            <w:vAlign w:val="bottom"/>
          </w:tcPr>
          <w:p w14:paraId="00B510A1" w14:textId="12322092" w:rsidR="00B33D8D" w:rsidRPr="001D41EA" w:rsidRDefault="00B33D8D" w:rsidP="001D41EA">
            <w:pPr>
              <w:spacing w:before="40" w:after="40"/>
              <w:jc w:val="right"/>
              <w:rPr>
                <w:rFonts w:cs="Arial"/>
                <w:sz w:val="18"/>
                <w:szCs w:val="18"/>
              </w:rPr>
            </w:pPr>
            <w:r w:rsidRPr="001D41EA">
              <w:rPr>
                <w:rFonts w:cs="Arial"/>
                <w:sz w:val="18"/>
                <w:szCs w:val="18"/>
              </w:rPr>
              <w:t>5.6</w:t>
            </w:r>
          </w:p>
        </w:tc>
      </w:tr>
    </w:tbl>
    <w:p w14:paraId="1C39B13F" w14:textId="77777777" w:rsidR="00BE52C1" w:rsidRPr="001D41EA" w:rsidRDefault="00BE52C1" w:rsidP="001D41EA">
      <w:pPr>
        <w:spacing w:before="40" w:after="40"/>
        <w:rPr>
          <w:rFonts w:cs="Arial"/>
          <w:sz w:val="18"/>
          <w:szCs w:val="18"/>
        </w:rPr>
      </w:pPr>
    </w:p>
    <w:p w14:paraId="6C518D4F" w14:textId="77777777" w:rsidR="0022168A" w:rsidRPr="00A44829" w:rsidRDefault="0022168A" w:rsidP="00FF36E8">
      <w:pPr>
        <w:spacing w:before="40" w:after="20"/>
        <w:rPr>
          <w:rFonts w:cs="Arial"/>
          <w:sz w:val="18"/>
          <w:szCs w:val="18"/>
        </w:rPr>
      </w:pPr>
      <w:r w:rsidRPr="00A44829">
        <w:rPr>
          <w:rFonts w:cs="Arial"/>
          <w:sz w:val="18"/>
          <w:szCs w:val="18"/>
        </w:rPr>
        <w:br w:type="page"/>
      </w:r>
    </w:p>
    <w:p w14:paraId="0FA6FE39" w14:textId="7FBA4514" w:rsidR="0022168A" w:rsidRPr="00A44829" w:rsidRDefault="00EE4593" w:rsidP="00C33713">
      <w:pPr>
        <w:pStyle w:val="VGC-Head10"/>
      </w:pPr>
      <w:r w:rsidRPr="00A44829">
        <w:lastRenderedPageBreak/>
        <w:t>2019-20</w:t>
      </w:r>
      <w:r w:rsidR="00A97ABE" w:rsidRPr="00A44829">
        <w:t xml:space="preserve"> </w:t>
      </w:r>
      <w:r w:rsidR="0022168A" w:rsidRPr="00A44829">
        <w:t>General Purpose Grants</w:t>
      </w:r>
      <w:r w:rsidR="00CE4507" w:rsidRPr="00A44829">
        <w:tab/>
        <w:t>Appendix 4</w:t>
      </w:r>
    </w:p>
    <w:p w14:paraId="14738130" w14:textId="77777777" w:rsidR="0022168A" w:rsidRPr="00A44829" w:rsidRDefault="004F1184" w:rsidP="008C1A28">
      <w:pPr>
        <w:pStyle w:val="VGC-Head2"/>
      </w:pPr>
      <w:r w:rsidRPr="00A44829">
        <w:tab/>
      </w:r>
      <w:r w:rsidR="0022168A" w:rsidRPr="00A44829">
        <w:t>C.  Cost Adjustors – Raw Data</w:t>
      </w:r>
    </w:p>
    <w:p w14:paraId="2E2FD5EC" w14:textId="77777777" w:rsidR="008D48B4" w:rsidRPr="00A44829" w:rsidRDefault="008D48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6D721B" w:rsidRPr="00A44829" w14:paraId="6BAE1AA8"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7C2E7D25" w14:textId="77777777" w:rsidR="006D721B" w:rsidRPr="00A44829" w:rsidRDefault="006D721B" w:rsidP="008001AD">
            <w:pPr>
              <w:spacing w:before="40" w:after="20"/>
              <w:jc w:val="center"/>
              <w:rPr>
                <w:rFonts w:cs="Arial"/>
                <w:sz w:val="18"/>
                <w:szCs w:val="18"/>
              </w:rPr>
            </w:pPr>
          </w:p>
        </w:tc>
        <w:tc>
          <w:tcPr>
            <w:tcW w:w="4254" w:type="dxa"/>
            <w:gridSpan w:val="3"/>
            <w:tcBorders>
              <w:top w:val="nil"/>
              <w:left w:val="single" w:sz="18" w:space="0" w:color="5F497A" w:themeColor="accent4" w:themeShade="BF"/>
              <w:bottom w:val="single" w:sz="8" w:space="0" w:color="5F497A" w:themeColor="accent4" w:themeShade="BF"/>
            </w:tcBorders>
            <w:shd w:val="clear" w:color="auto" w:fill="auto"/>
            <w:vAlign w:val="bottom"/>
          </w:tcPr>
          <w:p w14:paraId="1E840069" w14:textId="634EACF1" w:rsidR="006D721B" w:rsidRPr="00A44829" w:rsidRDefault="006D721B" w:rsidP="008001AD">
            <w:pPr>
              <w:spacing w:before="40" w:after="20"/>
              <w:jc w:val="center"/>
              <w:rPr>
                <w:rFonts w:cs="Arial"/>
                <w:b/>
                <w:sz w:val="18"/>
                <w:szCs w:val="18"/>
              </w:rPr>
            </w:pPr>
            <w:r w:rsidRPr="00A44829">
              <w:rPr>
                <w:rFonts w:cs="Arial"/>
                <w:b/>
                <w:sz w:val="18"/>
                <w:szCs w:val="18"/>
              </w:rPr>
              <w:t xml:space="preserve">Regional </w:t>
            </w:r>
            <w:r w:rsidR="00B23A90" w:rsidRPr="00A44829">
              <w:rPr>
                <w:rFonts w:cs="Arial"/>
                <w:b/>
                <w:sz w:val="18"/>
                <w:szCs w:val="18"/>
              </w:rPr>
              <w:t xml:space="preserve">Services </w:t>
            </w:r>
          </w:p>
        </w:tc>
        <w:tc>
          <w:tcPr>
            <w:tcW w:w="170" w:type="dxa"/>
            <w:vMerge w:val="restart"/>
            <w:tcBorders>
              <w:top w:val="nil"/>
              <w:left w:val="nil"/>
              <w:bottom w:val="single" w:sz="8" w:space="0" w:color="5F497A" w:themeColor="accent4" w:themeShade="BF"/>
              <w:right w:val="nil"/>
            </w:tcBorders>
            <w:shd w:val="clear" w:color="auto" w:fill="auto"/>
            <w:vAlign w:val="bottom"/>
          </w:tcPr>
          <w:p w14:paraId="49107B4F" w14:textId="77777777" w:rsidR="006D721B" w:rsidRPr="00A44829" w:rsidRDefault="006D721B" w:rsidP="008001AD">
            <w:pPr>
              <w:spacing w:before="40" w:after="20"/>
              <w:jc w:val="center"/>
              <w:rPr>
                <w:rFonts w:cs="Arial"/>
                <w:b/>
                <w:sz w:val="18"/>
                <w:szCs w:val="18"/>
              </w:rPr>
            </w:pPr>
          </w:p>
        </w:tc>
        <w:tc>
          <w:tcPr>
            <w:tcW w:w="1418" w:type="dxa"/>
            <w:tcBorders>
              <w:top w:val="nil"/>
              <w:left w:val="nil"/>
              <w:bottom w:val="single" w:sz="8" w:space="0" w:color="5F497A" w:themeColor="accent4" w:themeShade="BF"/>
              <w:right w:val="nil"/>
            </w:tcBorders>
            <w:shd w:val="clear" w:color="auto" w:fill="auto"/>
            <w:tcMar>
              <w:left w:w="57" w:type="dxa"/>
              <w:right w:w="57" w:type="dxa"/>
            </w:tcMar>
            <w:vAlign w:val="bottom"/>
          </w:tcPr>
          <w:p w14:paraId="18576443" w14:textId="5C4D8DB0" w:rsidR="006D721B" w:rsidRPr="00A44829" w:rsidRDefault="006D721B" w:rsidP="008001AD">
            <w:pPr>
              <w:spacing w:before="40" w:after="20"/>
              <w:jc w:val="center"/>
              <w:rPr>
                <w:rFonts w:cs="Arial"/>
                <w:b/>
                <w:sz w:val="18"/>
                <w:szCs w:val="18"/>
              </w:rPr>
            </w:pPr>
            <w:r w:rsidRPr="00A44829">
              <w:rPr>
                <w:rFonts w:cs="Arial"/>
                <w:b/>
                <w:sz w:val="18"/>
                <w:szCs w:val="18"/>
              </w:rPr>
              <w:t>Remoteness</w:t>
            </w:r>
            <w:r w:rsidR="00B23A90" w:rsidRPr="00A44829">
              <w:rPr>
                <w:rFonts w:cs="Arial"/>
                <w:b/>
                <w:sz w:val="18"/>
                <w:szCs w:val="18"/>
              </w:rPr>
              <w:t xml:space="preserve"> </w:t>
            </w:r>
          </w:p>
        </w:tc>
      </w:tr>
      <w:tr w:rsidR="00A32B54" w:rsidRPr="00A44829" w14:paraId="4FB7415E"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11418157" w14:textId="77777777" w:rsidR="00A32B54" w:rsidRPr="00A44829" w:rsidRDefault="00A32B54" w:rsidP="008001AD">
            <w:pPr>
              <w:spacing w:before="40" w:after="20"/>
              <w:jc w:val="center"/>
              <w:rPr>
                <w:rFonts w:cs="Arial"/>
                <w:sz w:val="18"/>
                <w:szCs w:val="18"/>
              </w:rPr>
            </w:pPr>
          </w:p>
        </w:tc>
        <w:tc>
          <w:tcPr>
            <w:tcW w:w="1418"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190BA613" w14:textId="6C3056DA" w:rsidR="00A32B54" w:rsidRPr="00A44829" w:rsidRDefault="00A32B54" w:rsidP="008001AD">
            <w:pPr>
              <w:spacing w:before="40" w:after="20"/>
              <w:jc w:val="center"/>
              <w:rPr>
                <w:rFonts w:cs="Arial"/>
                <w:sz w:val="16"/>
                <w:szCs w:val="16"/>
              </w:rPr>
            </w:pPr>
            <w:r w:rsidRPr="00A44829">
              <w:rPr>
                <w:rFonts w:cs="Arial"/>
                <w:sz w:val="16"/>
                <w:szCs w:val="16"/>
              </w:rPr>
              <w:t>Population</w:t>
            </w:r>
            <w:r w:rsidRPr="00A44829">
              <w:rPr>
                <w:rFonts w:cs="Arial"/>
                <w:sz w:val="16"/>
                <w:szCs w:val="16"/>
              </w:rPr>
              <w:br/>
              <w:t>(</w:t>
            </w:r>
            <w:r w:rsidR="006D4C53" w:rsidRPr="00A44829">
              <w:rPr>
                <w:rFonts w:cs="Arial"/>
                <w:sz w:val="16"/>
                <w:szCs w:val="16"/>
              </w:rPr>
              <w:t>Census 2016</w:t>
            </w:r>
            <w:r w:rsidRPr="00A44829">
              <w:rPr>
                <w:rFonts w:cs="Arial"/>
                <w:sz w:val="16"/>
                <w:szCs w:val="16"/>
              </w:rPr>
              <w:t>)</w:t>
            </w:r>
          </w:p>
        </w:tc>
        <w:tc>
          <w:tcPr>
            <w:tcW w:w="1418" w:type="dxa"/>
            <w:tcBorders>
              <w:top w:val="single" w:sz="8" w:space="0" w:color="5F497A" w:themeColor="accent4" w:themeShade="BF"/>
              <w:left w:val="nil"/>
              <w:bottom w:val="single" w:sz="8" w:space="0" w:color="5F497A" w:themeColor="accent4" w:themeShade="BF"/>
              <w:right w:val="nil"/>
            </w:tcBorders>
            <w:vAlign w:val="bottom"/>
          </w:tcPr>
          <w:p w14:paraId="6EEED49B" w14:textId="77777777" w:rsidR="00A32B54" w:rsidRPr="00A44829" w:rsidRDefault="00A32B54" w:rsidP="008001AD">
            <w:pPr>
              <w:spacing w:before="40" w:after="20"/>
              <w:jc w:val="center"/>
              <w:rPr>
                <w:rFonts w:cs="Arial"/>
                <w:sz w:val="16"/>
                <w:szCs w:val="16"/>
              </w:rPr>
            </w:pPr>
            <w:r w:rsidRPr="00A44829">
              <w:rPr>
                <w:rFonts w:cs="Arial"/>
                <w:sz w:val="16"/>
                <w:szCs w:val="16"/>
              </w:rPr>
              <w:t xml:space="preserve">Employed </w:t>
            </w:r>
            <w:r w:rsidRPr="00A44829">
              <w:rPr>
                <w:rFonts w:cs="Arial"/>
                <w:sz w:val="16"/>
                <w:szCs w:val="16"/>
              </w:rPr>
              <w:br/>
              <w:t>in Service Industries (adjusted)</w:t>
            </w: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B5F36DE" w14:textId="77777777" w:rsidR="00A32B54" w:rsidRPr="00A44829" w:rsidRDefault="00A32B54" w:rsidP="005D04BF">
            <w:pPr>
              <w:spacing w:before="40" w:after="20"/>
              <w:jc w:val="center"/>
              <w:rPr>
                <w:rFonts w:cs="Arial"/>
                <w:sz w:val="16"/>
                <w:szCs w:val="16"/>
              </w:rPr>
            </w:pPr>
            <w:r w:rsidRPr="00A44829">
              <w:rPr>
                <w:rFonts w:cs="Arial"/>
                <w:sz w:val="16"/>
                <w:szCs w:val="16"/>
              </w:rPr>
              <w:t xml:space="preserve">Total </w:t>
            </w:r>
            <w:r w:rsidRPr="00A44829">
              <w:rPr>
                <w:rFonts w:cs="Arial"/>
                <w:sz w:val="16"/>
                <w:szCs w:val="16"/>
              </w:rPr>
              <w:br/>
              <w:t>per 100 people</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6EC8C686" w14:textId="77777777" w:rsidR="00A32B54" w:rsidRPr="00A44829" w:rsidRDefault="00A32B54" w:rsidP="008001AD">
            <w:pPr>
              <w:spacing w:before="40" w:after="20"/>
              <w:jc w:val="center"/>
              <w:rPr>
                <w:rFonts w:cs="Arial"/>
                <w:sz w:val="16"/>
                <w:szCs w:val="16"/>
              </w:rPr>
            </w:pP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277507C1" w14:textId="77777777" w:rsidR="00A32B54" w:rsidRPr="00A44829" w:rsidRDefault="00A32B54" w:rsidP="008001AD">
            <w:pPr>
              <w:spacing w:before="40" w:after="20"/>
              <w:jc w:val="center"/>
              <w:rPr>
                <w:rFonts w:cs="Arial"/>
                <w:sz w:val="16"/>
                <w:szCs w:val="16"/>
              </w:rPr>
            </w:pPr>
            <w:r w:rsidRPr="00A44829">
              <w:rPr>
                <w:rFonts w:cs="Arial"/>
                <w:sz w:val="16"/>
                <w:szCs w:val="16"/>
              </w:rPr>
              <w:t xml:space="preserve">Average </w:t>
            </w:r>
            <w:r w:rsidRPr="00A44829">
              <w:rPr>
                <w:rFonts w:cs="Arial"/>
                <w:sz w:val="16"/>
                <w:szCs w:val="16"/>
              </w:rPr>
              <w:br/>
              <w:t xml:space="preserve">Council </w:t>
            </w:r>
            <w:r w:rsidRPr="00A44829">
              <w:rPr>
                <w:rFonts w:cs="Arial"/>
                <w:sz w:val="16"/>
                <w:szCs w:val="16"/>
              </w:rPr>
              <w:br/>
              <w:t>ARIA Score</w:t>
            </w:r>
          </w:p>
        </w:tc>
      </w:tr>
      <w:tr w:rsidR="005D19CF" w:rsidRPr="001D41EA" w14:paraId="07389D7F" w14:textId="77777777" w:rsidTr="00C60457">
        <w:tc>
          <w:tcPr>
            <w:tcW w:w="2268" w:type="dxa"/>
            <w:tcBorders>
              <w:top w:val="nil"/>
              <w:left w:val="nil"/>
              <w:bottom w:val="nil"/>
              <w:right w:val="single" w:sz="18" w:space="0" w:color="5F497A" w:themeColor="accent4" w:themeShade="BF"/>
            </w:tcBorders>
            <w:shd w:val="clear" w:color="auto" w:fill="auto"/>
            <w:vAlign w:val="center"/>
          </w:tcPr>
          <w:p w14:paraId="44538D36" w14:textId="77777777" w:rsidR="005D19CF" w:rsidRPr="001D41EA" w:rsidRDefault="005D19CF" w:rsidP="005D19CF">
            <w:pPr>
              <w:spacing w:before="40" w:after="40"/>
              <w:rPr>
                <w:rFonts w:cs="Arial"/>
                <w:sz w:val="18"/>
                <w:szCs w:val="18"/>
              </w:rPr>
            </w:pPr>
          </w:p>
        </w:tc>
        <w:tc>
          <w:tcPr>
            <w:tcW w:w="1418"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45D3731" w14:textId="00F7B4C6"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single" w:sz="8" w:space="0" w:color="5F497A" w:themeColor="accent4" w:themeShade="BF"/>
              <w:left w:val="nil"/>
              <w:bottom w:val="nil"/>
              <w:right w:val="nil"/>
            </w:tcBorders>
            <w:vAlign w:val="bottom"/>
          </w:tcPr>
          <w:p w14:paraId="171B4631" w14:textId="77777777" w:rsidR="005D19CF" w:rsidRPr="001D41EA" w:rsidRDefault="005D19CF" w:rsidP="005D19CF">
            <w:pPr>
              <w:spacing w:before="40" w:after="40"/>
              <w:jc w:val="right"/>
              <w:rPr>
                <w:rFonts w:cs="Arial"/>
                <w:sz w:val="18"/>
                <w:szCs w:val="18"/>
              </w:rPr>
            </w:pPr>
          </w:p>
        </w:tc>
        <w:tc>
          <w:tcPr>
            <w:tcW w:w="1418" w:type="dxa"/>
            <w:tcBorders>
              <w:top w:val="single" w:sz="8" w:space="0" w:color="5F497A" w:themeColor="accent4" w:themeShade="BF"/>
              <w:left w:val="nil"/>
              <w:bottom w:val="nil"/>
              <w:right w:val="nil"/>
            </w:tcBorders>
            <w:shd w:val="clear" w:color="auto" w:fill="auto"/>
            <w:vAlign w:val="bottom"/>
          </w:tcPr>
          <w:p w14:paraId="0C609527" w14:textId="2D08E9BA" w:rsidR="005D19CF" w:rsidRPr="001D41EA" w:rsidRDefault="005D19CF" w:rsidP="005D19CF">
            <w:pPr>
              <w:spacing w:before="40" w:after="40"/>
              <w:jc w:val="center"/>
              <w:rPr>
                <w:rFonts w:cs="Arial"/>
                <w:sz w:val="18"/>
                <w:szCs w:val="18"/>
              </w:rPr>
            </w:pPr>
          </w:p>
        </w:tc>
        <w:tc>
          <w:tcPr>
            <w:tcW w:w="170" w:type="dxa"/>
            <w:tcBorders>
              <w:top w:val="single" w:sz="8" w:space="0" w:color="5F497A" w:themeColor="accent4" w:themeShade="BF"/>
              <w:left w:val="nil"/>
              <w:bottom w:val="nil"/>
              <w:right w:val="nil"/>
            </w:tcBorders>
            <w:shd w:val="clear" w:color="auto" w:fill="auto"/>
            <w:vAlign w:val="bottom"/>
          </w:tcPr>
          <w:p w14:paraId="7046BA5A" w14:textId="3162E54F"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single" w:sz="8" w:space="0" w:color="5F497A" w:themeColor="accent4" w:themeShade="BF"/>
              <w:left w:val="nil"/>
              <w:bottom w:val="nil"/>
              <w:right w:val="nil"/>
            </w:tcBorders>
            <w:vAlign w:val="bottom"/>
          </w:tcPr>
          <w:p w14:paraId="64680FF2" w14:textId="45FBBBB1" w:rsidR="005D19CF" w:rsidRPr="001D41EA" w:rsidRDefault="005D19CF" w:rsidP="005D19CF">
            <w:pPr>
              <w:spacing w:before="40" w:after="40"/>
              <w:jc w:val="center"/>
              <w:rPr>
                <w:rFonts w:cs="Arial"/>
                <w:sz w:val="18"/>
                <w:szCs w:val="18"/>
              </w:rPr>
            </w:pPr>
          </w:p>
        </w:tc>
      </w:tr>
      <w:tr w:rsidR="005D19CF" w:rsidRPr="001D41EA" w14:paraId="0828712B"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1FEB7CD" w14:textId="77777777" w:rsidR="005D19CF" w:rsidRPr="001D41EA" w:rsidRDefault="005D19CF" w:rsidP="005D19CF">
            <w:pPr>
              <w:spacing w:before="40" w:after="40"/>
              <w:rPr>
                <w:rFonts w:cs="Arial"/>
                <w:sz w:val="18"/>
                <w:szCs w:val="18"/>
              </w:rPr>
            </w:pPr>
            <w:r w:rsidRPr="001D41EA">
              <w:rPr>
                <w:rFonts w:cs="Arial"/>
                <w:sz w:val="18"/>
                <w:szCs w:val="18"/>
              </w:rPr>
              <w:t>Alpine S</w:t>
            </w:r>
          </w:p>
        </w:tc>
        <w:tc>
          <w:tcPr>
            <w:tcW w:w="1418" w:type="dxa"/>
            <w:tcBorders>
              <w:top w:val="nil"/>
              <w:left w:val="single" w:sz="18" w:space="0" w:color="5F497A" w:themeColor="accent4" w:themeShade="BF"/>
              <w:bottom w:val="nil"/>
              <w:right w:val="nil"/>
            </w:tcBorders>
            <w:shd w:val="clear" w:color="auto" w:fill="auto"/>
            <w:vAlign w:val="bottom"/>
          </w:tcPr>
          <w:p w14:paraId="43DE02D2" w14:textId="69996151" w:rsidR="005D19CF" w:rsidRPr="001D41EA" w:rsidRDefault="005D19CF" w:rsidP="005D19CF">
            <w:pPr>
              <w:spacing w:before="40" w:after="40"/>
              <w:jc w:val="right"/>
              <w:rPr>
                <w:rFonts w:cs="Arial"/>
                <w:sz w:val="18"/>
                <w:szCs w:val="18"/>
              </w:rPr>
            </w:pPr>
            <w:r w:rsidRPr="001D41EA">
              <w:rPr>
                <w:rFonts w:cs="Arial"/>
                <w:sz w:val="18"/>
                <w:szCs w:val="18"/>
              </w:rPr>
              <w:t>12,781</w:t>
            </w:r>
          </w:p>
        </w:tc>
        <w:tc>
          <w:tcPr>
            <w:tcW w:w="1418" w:type="dxa"/>
            <w:tcBorders>
              <w:top w:val="nil"/>
              <w:left w:val="nil"/>
              <w:bottom w:val="nil"/>
              <w:right w:val="nil"/>
            </w:tcBorders>
            <w:vAlign w:val="bottom"/>
          </w:tcPr>
          <w:p w14:paraId="371F19D7" w14:textId="3C375145" w:rsidR="005D19CF" w:rsidRPr="001D41EA" w:rsidRDefault="005D19CF" w:rsidP="005D19CF">
            <w:pPr>
              <w:spacing w:before="40" w:after="40"/>
              <w:jc w:val="right"/>
              <w:rPr>
                <w:rFonts w:cs="Arial"/>
                <w:sz w:val="18"/>
                <w:szCs w:val="18"/>
              </w:rPr>
            </w:pPr>
            <w:r w:rsidRPr="001D41EA">
              <w:rPr>
                <w:rFonts w:cs="Arial"/>
                <w:sz w:val="18"/>
                <w:szCs w:val="18"/>
              </w:rPr>
              <w:t>3,932</w:t>
            </w:r>
          </w:p>
        </w:tc>
        <w:tc>
          <w:tcPr>
            <w:tcW w:w="1418" w:type="dxa"/>
            <w:tcBorders>
              <w:top w:val="nil"/>
              <w:left w:val="nil"/>
              <w:bottom w:val="nil"/>
              <w:right w:val="nil"/>
            </w:tcBorders>
            <w:shd w:val="clear" w:color="auto" w:fill="auto"/>
            <w:vAlign w:val="bottom"/>
          </w:tcPr>
          <w:p w14:paraId="3F2F27FE" w14:textId="704D277F" w:rsidR="005D19CF" w:rsidRPr="001D41EA" w:rsidRDefault="005D19CF" w:rsidP="005D19CF">
            <w:pPr>
              <w:spacing w:before="40" w:after="40"/>
              <w:jc w:val="center"/>
              <w:rPr>
                <w:rFonts w:cs="Arial"/>
                <w:sz w:val="18"/>
                <w:szCs w:val="18"/>
              </w:rPr>
            </w:pPr>
            <w:r w:rsidRPr="005D19CF">
              <w:rPr>
                <w:rFonts w:cs="Arial"/>
                <w:sz w:val="18"/>
                <w:szCs w:val="18"/>
              </w:rPr>
              <w:t>30.8</w:t>
            </w:r>
          </w:p>
        </w:tc>
        <w:tc>
          <w:tcPr>
            <w:tcW w:w="170" w:type="dxa"/>
            <w:tcBorders>
              <w:top w:val="nil"/>
              <w:left w:val="nil"/>
              <w:bottom w:val="nil"/>
              <w:right w:val="nil"/>
            </w:tcBorders>
            <w:shd w:val="clear" w:color="auto" w:fill="auto"/>
            <w:vAlign w:val="bottom"/>
          </w:tcPr>
          <w:p w14:paraId="0F1E21C7" w14:textId="6E627CB2"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1202955B" w14:textId="5356AD2D" w:rsidR="005D19CF" w:rsidRPr="001D41EA" w:rsidRDefault="005D19CF" w:rsidP="005D19CF">
            <w:pPr>
              <w:spacing w:before="40" w:after="40"/>
              <w:jc w:val="center"/>
              <w:rPr>
                <w:rFonts w:cs="Arial"/>
                <w:sz w:val="18"/>
                <w:szCs w:val="18"/>
              </w:rPr>
            </w:pPr>
            <w:r w:rsidRPr="001D41EA">
              <w:rPr>
                <w:rFonts w:cs="Arial"/>
                <w:sz w:val="18"/>
                <w:szCs w:val="18"/>
              </w:rPr>
              <w:t>3.25</w:t>
            </w:r>
          </w:p>
        </w:tc>
      </w:tr>
      <w:tr w:rsidR="005D19CF" w:rsidRPr="001D41EA" w14:paraId="28008BD6"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28A3F70" w14:textId="77777777" w:rsidR="005D19CF" w:rsidRPr="001D41EA" w:rsidRDefault="005D19CF" w:rsidP="005D19CF">
            <w:pPr>
              <w:spacing w:before="40" w:after="40"/>
              <w:rPr>
                <w:rFonts w:cs="Arial"/>
                <w:sz w:val="18"/>
                <w:szCs w:val="18"/>
              </w:rPr>
            </w:pPr>
            <w:r w:rsidRPr="001D41EA">
              <w:rPr>
                <w:rFonts w:cs="Arial"/>
                <w:sz w:val="18"/>
                <w:szCs w:val="18"/>
              </w:rPr>
              <w:t>Ararat RC</w:t>
            </w:r>
          </w:p>
        </w:tc>
        <w:tc>
          <w:tcPr>
            <w:tcW w:w="1418" w:type="dxa"/>
            <w:tcBorders>
              <w:top w:val="nil"/>
              <w:left w:val="single" w:sz="18" w:space="0" w:color="5F497A" w:themeColor="accent4" w:themeShade="BF"/>
              <w:bottom w:val="nil"/>
              <w:right w:val="nil"/>
            </w:tcBorders>
            <w:shd w:val="clear" w:color="auto" w:fill="auto"/>
            <w:vAlign w:val="bottom"/>
          </w:tcPr>
          <w:p w14:paraId="5CB063BC" w14:textId="3F3E8292" w:rsidR="005D19CF" w:rsidRPr="001D41EA" w:rsidRDefault="005D19CF" w:rsidP="005D19CF">
            <w:pPr>
              <w:spacing w:before="40" w:after="40"/>
              <w:jc w:val="right"/>
              <w:rPr>
                <w:rFonts w:cs="Arial"/>
                <w:sz w:val="18"/>
                <w:szCs w:val="18"/>
              </w:rPr>
            </w:pPr>
            <w:r w:rsidRPr="001D41EA">
              <w:rPr>
                <w:rFonts w:cs="Arial"/>
                <w:sz w:val="18"/>
                <w:szCs w:val="18"/>
              </w:rPr>
              <w:t>11,599</w:t>
            </w:r>
          </w:p>
        </w:tc>
        <w:tc>
          <w:tcPr>
            <w:tcW w:w="1418" w:type="dxa"/>
            <w:tcBorders>
              <w:top w:val="nil"/>
              <w:left w:val="nil"/>
              <w:bottom w:val="nil"/>
              <w:right w:val="nil"/>
            </w:tcBorders>
            <w:vAlign w:val="bottom"/>
          </w:tcPr>
          <w:p w14:paraId="75EEF80A" w14:textId="5C23F21B" w:rsidR="005D19CF" w:rsidRPr="001D41EA" w:rsidRDefault="005D19CF" w:rsidP="005D19CF">
            <w:pPr>
              <w:spacing w:before="40" w:after="40"/>
              <w:jc w:val="right"/>
              <w:rPr>
                <w:rFonts w:cs="Arial"/>
                <w:sz w:val="18"/>
                <w:szCs w:val="18"/>
              </w:rPr>
            </w:pPr>
            <w:r w:rsidRPr="001D41EA">
              <w:rPr>
                <w:rFonts w:cs="Arial"/>
                <w:sz w:val="18"/>
                <w:szCs w:val="18"/>
              </w:rPr>
              <w:t>2,869</w:t>
            </w:r>
          </w:p>
        </w:tc>
        <w:tc>
          <w:tcPr>
            <w:tcW w:w="1418" w:type="dxa"/>
            <w:tcBorders>
              <w:top w:val="nil"/>
              <w:left w:val="nil"/>
              <w:bottom w:val="nil"/>
              <w:right w:val="nil"/>
            </w:tcBorders>
            <w:shd w:val="clear" w:color="auto" w:fill="auto"/>
            <w:vAlign w:val="bottom"/>
          </w:tcPr>
          <w:p w14:paraId="6BAE822E" w14:textId="71E3E701" w:rsidR="005D19CF" w:rsidRPr="001D41EA" w:rsidRDefault="005D19CF" w:rsidP="005D19CF">
            <w:pPr>
              <w:spacing w:before="40" w:after="40"/>
              <w:jc w:val="center"/>
              <w:rPr>
                <w:rFonts w:cs="Arial"/>
                <w:sz w:val="18"/>
                <w:szCs w:val="18"/>
              </w:rPr>
            </w:pPr>
            <w:r w:rsidRPr="005D19CF">
              <w:rPr>
                <w:rFonts w:cs="Arial"/>
                <w:sz w:val="18"/>
                <w:szCs w:val="18"/>
              </w:rPr>
              <w:t>24.7</w:t>
            </w:r>
          </w:p>
        </w:tc>
        <w:tc>
          <w:tcPr>
            <w:tcW w:w="170" w:type="dxa"/>
            <w:tcBorders>
              <w:top w:val="nil"/>
              <w:left w:val="nil"/>
              <w:bottom w:val="nil"/>
              <w:right w:val="nil"/>
            </w:tcBorders>
            <w:shd w:val="clear" w:color="auto" w:fill="auto"/>
            <w:vAlign w:val="bottom"/>
          </w:tcPr>
          <w:p w14:paraId="20C503F1" w14:textId="628BA094"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134F750" w14:textId="219C347F" w:rsidR="005D19CF" w:rsidRPr="001D41EA" w:rsidRDefault="005D19CF" w:rsidP="005D19CF">
            <w:pPr>
              <w:spacing w:before="40" w:after="40"/>
              <w:jc w:val="center"/>
              <w:rPr>
                <w:rFonts w:cs="Arial"/>
                <w:sz w:val="18"/>
                <w:szCs w:val="18"/>
              </w:rPr>
            </w:pPr>
            <w:r w:rsidRPr="001D41EA">
              <w:rPr>
                <w:rFonts w:cs="Arial"/>
                <w:sz w:val="18"/>
                <w:szCs w:val="18"/>
              </w:rPr>
              <w:t>2.55</w:t>
            </w:r>
          </w:p>
        </w:tc>
      </w:tr>
      <w:tr w:rsidR="005D19CF" w:rsidRPr="001D41EA" w14:paraId="018CB796"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8014711" w14:textId="77777777" w:rsidR="005D19CF" w:rsidRPr="001D41EA" w:rsidRDefault="005D19CF" w:rsidP="005D19CF">
            <w:pPr>
              <w:spacing w:before="40" w:after="40"/>
              <w:rPr>
                <w:rFonts w:cs="Arial"/>
                <w:sz w:val="18"/>
                <w:szCs w:val="18"/>
              </w:rPr>
            </w:pPr>
            <w:r w:rsidRPr="001D41EA">
              <w:rPr>
                <w:rFonts w:cs="Arial"/>
                <w:sz w:val="18"/>
                <w:szCs w:val="18"/>
              </w:rPr>
              <w:t>Ballarat C</w:t>
            </w:r>
          </w:p>
        </w:tc>
        <w:tc>
          <w:tcPr>
            <w:tcW w:w="1418" w:type="dxa"/>
            <w:tcBorders>
              <w:top w:val="nil"/>
              <w:left w:val="single" w:sz="18" w:space="0" w:color="5F497A" w:themeColor="accent4" w:themeShade="BF"/>
              <w:bottom w:val="nil"/>
              <w:right w:val="nil"/>
            </w:tcBorders>
            <w:shd w:val="clear" w:color="auto" w:fill="auto"/>
            <w:vAlign w:val="bottom"/>
          </w:tcPr>
          <w:p w14:paraId="2410251A" w14:textId="0096A0BE" w:rsidR="005D19CF" w:rsidRPr="001D41EA" w:rsidRDefault="005D19CF" w:rsidP="005D19CF">
            <w:pPr>
              <w:spacing w:before="40" w:after="40"/>
              <w:jc w:val="right"/>
              <w:rPr>
                <w:rFonts w:cs="Arial"/>
                <w:sz w:val="18"/>
                <w:szCs w:val="18"/>
              </w:rPr>
            </w:pPr>
            <w:r w:rsidRPr="001D41EA">
              <w:rPr>
                <w:rFonts w:cs="Arial"/>
                <w:sz w:val="18"/>
                <w:szCs w:val="18"/>
              </w:rPr>
              <w:t>101,689</w:t>
            </w:r>
          </w:p>
        </w:tc>
        <w:tc>
          <w:tcPr>
            <w:tcW w:w="1418" w:type="dxa"/>
            <w:tcBorders>
              <w:top w:val="nil"/>
              <w:left w:val="nil"/>
              <w:bottom w:val="nil"/>
              <w:right w:val="nil"/>
            </w:tcBorders>
            <w:vAlign w:val="bottom"/>
          </w:tcPr>
          <w:p w14:paraId="1A6C2CB1" w14:textId="2DA139C5" w:rsidR="005D19CF" w:rsidRPr="001D41EA" w:rsidRDefault="005D19CF" w:rsidP="005D19CF">
            <w:pPr>
              <w:spacing w:before="40" w:after="40"/>
              <w:jc w:val="right"/>
              <w:rPr>
                <w:rFonts w:cs="Arial"/>
                <w:sz w:val="18"/>
                <w:szCs w:val="18"/>
              </w:rPr>
            </w:pPr>
            <w:r w:rsidRPr="001D41EA">
              <w:rPr>
                <w:rFonts w:cs="Arial"/>
                <w:sz w:val="18"/>
                <w:szCs w:val="18"/>
              </w:rPr>
              <w:t>40,676</w:t>
            </w:r>
          </w:p>
        </w:tc>
        <w:tc>
          <w:tcPr>
            <w:tcW w:w="1418" w:type="dxa"/>
            <w:tcBorders>
              <w:top w:val="nil"/>
              <w:left w:val="nil"/>
              <w:bottom w:val="nil"/>
              <w:right w:val="nil"/>
            </w:tcBorders>
            <w:shd w:val="clear" w:color="auto" w:fill="auto"/>
            <w:vAlign w:val="bottom"/>
          </w:tcPr>
          <w:p w14:paraId="42FB3866" w14:textId="693F570A" w:rsidR="005D19CF" w:rsidRPr="001D41EA" w:rsidRDefault="005D19CF" w:rsidP="005D19CF">
            <w:pPr>
              <w:spacing w:before="40" w:after="40"/>
              <w:jc w:val="center"/>
              <w:rPr>
                <w:rFonts w:cs="Arial"/>
                <w:sz w:val="18"/>
                <w:szCs w:val="18"/>
              </w:rPr>
            </w:pPr>
            <w:r w:rsidRPr="005D19CF">
              <w:rPr>
                <w:rFonts w:cs="Arial"/>
                <w:sz w:val="18"/>
                <w:szCs w:val="18"/>
              </w:rPr>
              <w:t>40.0</w:t>
            </w:r>
          </w:p>
        </w:tc>
        <w:tc>
          <w:tcPr>
            <w:tcW w:w="170" w:type="dxa"/>
            <w:tcBorders>
              <w:top w:val="nil"/>
              <w:left w:val="nil"/>
              <w:bottom w:val="nil"/>
              <w:right w:val="nil"/>
            </w:tcBorders>
            <w:shd w:val="clear" w:color="auto" w:fill="auto"/>
            <w:vAlign w:val="bottom"/>
          </w:tcPr>
          <w:p w14:paraId="3AAF8070" w14:textId="21B0C036"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79DF2B4A" w14:textId="14CAA38F" w:rsidR="005D19CF" w:rsidRPr="001D41EA" w:rsidRDefault="005D19CF" w:rsidP="005D19CF">
            <w:pPr>
              <w:spacing w:before="40" w:after="40"/>
              <w:jc w:val="center"/>
              <w:rPr>
                <w:rFonts w:cs="Arial"/>
                <w:sz w:val="18"/>
                <w:szCs w:val="18"/>
              </w:rPr>
            </w:pPr>
            <w:r w:rsidRPr="001D41EA">
              <w:rPr>
                <w:rFonts w:cs="Arial"/>
                <w:sz w:val="18"/>
                <w:szCs w:val="18"/>
              </w:rPr>
              <w:t>0.47</w:t>
            </w:r>
          </w:p>
        </w:tc>
      </w:tr>
      <w:tr w:rsidR="005D19CF" w:rsidRPr="001D41EA" w14:paraId="0B117513"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E6BB928" w14:textId="77777777" w:rsidR="005D19CF" w:rsidRPr="001D41EA" w:rsidRDefault="005D19CF" w:rsidP="005D19CF">
            <w:pPr>
              <w:spacing w:before="40" w:after="40"/>
              <w:rPr>
                <w:rFonts w:cs="Arial"/>
                <w:sz w:val="18"/>
                <w:szCs w:val="18"/>
              </w:rPr>
            </w:pPr>
            <w:r w:rsidRPr="001D41EA">
              <w:rPr>
                <w:rFonts w:cs="Arial"/>
                <w:sz w:val="18"/>
                <w:szCs w:val="18"/>
              </w:rPr>
              <w:t>Banyule C</w:t>
            </w:r>
          </w:p>
        </w:tc>
        <w:tc>
          <w:tcPr>
            <w:tcW w:w="1418" w:type="dxa"/>
            <w:tcBorders>
              <w:top w:val="nil"/>
              <w:left w:val="single" w:sz="18" w:space="0" w:color="5F497A" w:themeColor="accent4" w:themeShade="BF"/>
              <w:bottom w:val="nil"/>
              <w:right w:val="nil"/>
            </w:tcBorders>
            <w:shd w:val="clear" w:color="auto" w:fill="auto"/>
            <w:vAlign w:val="bottom"/>
          </w:tcPr>
          <w:p w14:paraId="55AAE7D5" w14:textId="3CF16F2B" w:rsidR="005D19CF" w:rsidRPr="001D41EA" w:rsidRDefault="005D19CF" w:rsidP="005D19CF">
            <w:pPr>
              <w:spacing w:before="40" w:after="40"/>
              <w:jc w:val="right"/>
              <w:rPr>
                <w:rFonts w:cs="Arial"/>
                <w:sz w:val="18"/>
                <w:szCs w:val="18"/>
              </w:rPr>
            </w:pPr>
            <w:r w:rsidRPr="001D41EA">
              <w:rPr>
                <w:rFonts w:cs="Arial"/>
                <w:sz w:val="18"/>
                <w:szCs w:val="18"/>
              </w:rPr>
              <w:t>121,869</w:t>
            </w:r>
          </w:p>
        </w:tc>
        <w:tc>
          <w:tcPr>
            <w:tcW w:w="1418" w:type="dxa"/>
            <w:tcBorders>
              <w:top w:val="nil"/>
              <w:left w:val="nil"/>
              <w:bottom w:val="nil"/>
              <w:right w:val="nil"/>
            </w:tcBorders>
            <w:vAlign w:val="bottom"/>
          </w:tcPr>
          <w:p w14:paraId="188CB37B" w14:textId="15428806" w:rsidR="005D19CF" w:rsidRPr="001D41EA" w:rsidRDefault="005D19CF" w:rsidP="005D19CF">
            <w:pPr>
              <w:spacing w:before="40" w:after="40"/>
              <w:jc w:val="right"/>
              <w:rPr>
                <w:rFonts w:cs="Arial"/>
                <w:sz w:val="18"/>
                <w:szCs w:val="18"/>
              </w:rPr>
            </w:pPr>
            <w:r w:rsidRPr="001D41EA">
              <w:rPr>
                <w:rFonts w:cs="Arial"/>
                <w:sz w:val="18"/>
                <w:szCs w:val="18"/>
              </w:rPr>
              <w:t>32,337</w:t>
            </w:r>
          </w:p>
        </w:tc>
        <w:tc>
          <w:tcPr>
            <w:tcW w:w="1418" w:type="dxa"/>
            <w:tcBorders>
              <w:top w:val="nil"/>
              <w:left w:val="nil"/>
              <w:bottom w:val="nil"/>
              <w:right w:val="nil"/>
            </w:tcBorders>
            <w:shd w:val="clear" w:color="auto" w:fill="auto"/>
            <w:vAlign w:val="bottom"/>
          </w:tcPr>
          <w:p w14:paraId="68CE306D" w14:textId="614AA310" w:rsidR="005D19CF" w:rsidRPr="001D41EA" w:rsidRDefault="005D19CF" w:rsidP="005D19CF">
            <w:pPr>
              <w:spacing w:before="40" w:after="40"/>
              <w:jc w:val="center"/>
              <w:rPr>
                <w:rFonts w:cs="Arial"/>
                <w:sz w:val="18"/>
                <w:szCs w:val="18"/>
              </w:rPr>
            </w:pPr>
            <w:r w:rsidRPr="005D19CF">
              <w:rPr>
                <w:rFonts w:cs="Arial"/>
                <w:sz w:val="18"/>
                <w:szCs w:val="18"/>
              </w:rPr>
              <w:t>26.5</w:t>
            </w:r>
          </w:p>
        </w:tc>
        <w:tc>
          <w:tcPr>
            <w:tcW w:w="170" w:type="dxa"/>
            <w:tcBorders>
              <w:top w:val="nil"/>
              <w:left w:val="nil"/>
              <w:bottom w:val="nil"/>
              <w:right w:val="nil"/>
            </w:tcBorders>
            <w:shd w:val="clear" w:color="auto" w:fill="auto"/>
            <w:vAlign w:val="bottom"/>
          </w:tcPr>
          <w:p w14:paraId="4924AF06" w14:textId="3AC7C355"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1F5B4276" w14:textId="655C52BC" w:rsidR="005D19CF" w:rsidRPr="001D41EA" w:rsidRDefault="005D19CF" w:rsidP="005D19CF">
            <w:pPr>
              <w:spacing w:before="40" w:after="40"/>
              <w:jc w:val="center"/>
              <w:rPr>
                <w:rFonts w:cs="Arial"/>
                <w:sz w:val="18"/>
                <w:szCs w:val="18"/>
              </w:rPr>
            </w:pPr>
          </w:p>
        </w:tc>
      </w:tr>
      <w:tr w:rsidR="005D19CF" w:rsidRPr="001D41EA" w14:paraId="2410D14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7C502F7" w14:textId="77777777" w:rsidR="005D19CF" w:rsidRPr="001D41EA" w:rsidRDefault="005D19CF" w:rsidP="005D19CF">
            <w:pPr>
              <w:spacing w:before="40" w:after="40"/>
              <w:rPr>
                <w:rFonts w:cs="Arial"/>
                <w:sz w:val="18"/>
                <w:szCs w:val="18"/>
              </w:rPr>
            </w:pPr>
            <w:r w:rsidRPr="001D41EA">
              <w:rPr>
                <w:rFonts w:cs="Arial"/>
                <w:sz w:val="18"/>
                <w:szCs w:val="18"/>
              </w:rPr>
              <w:t>Bass Coast S</w:t>
            </w:r>
          </w:p>
        </w:tc>
        <w:tc>
          <w:tcPr>
            <w:tcW w:w="1418" w:type="dxa"/>
            <w:tcBorders>
              <w:top w:val="nil"/>
              <w:left w:val="single" w:sz="18" w:space="0" w:color="5F497A" w:themeColor="accent4" w:themeShade="BF"/>
              <w:bottom w:val="nil"/>
              <w:right w:val="nil"/>
            </w:tcBorders>
            <w:shd w:val="clear" w:color="auto" w:fill="auto"/>
            <w:vAlign w:val="bottom"/>
          </w:tcPr>
          <w:p w14:paraId="1C0F85E4" w14:textId="606707EB" w:rsidR="005D19CF" w:rsidRPr="001D41EA" w:rsidRDefault="005D19CF" w:rsidP="005D19CF">
            <w:pPr>
              <w:spacing w:before="40" w:after="40"/>
              <w:jc w:val="right"/>
              <w:rPr>
                <w:rFonts w:cs="Arial"/>
                <w:sz w:val="18"/>
                <w:szCs w:val="18"/>
              </w:rPr>
            </w:pPr>
            <w:r w:rsidRPr="001D41EA">
              <w:rPr>
                <w:rFonts w:cs="Arial"/>
                <w:sz w:val="18"/>
                <w:szCs w:val="18"/>
              </w:rPr>
              <w:t>32,806</w:t>
            </w:r>
          </w:p>
        </w:tc>
        <w:tc>
          <w:tcPr>
            <w:tcW w:w="1418" w:type="dxa"/>
            <w:tcBorders>
              <w:top w:val="nil"/>
              <w:left w:val="nil"/>
              <w:bottom w:val="nil"/>
              <w:right w:val="nil"/>
            </w:tcBorders>
            <w:vAlign w:val="bottom"/>
          </w:tcPr>
          <w:p w14:paraId="1A902C3C" w14:textId="6BA79E15" w:rsidR="005D19CF" w:rsidRPr="001D41EA" w:rsidRDefault="005D19CF" w:rsidP="005D19CF">
            <w:pPr>
              <w:spacing w:before="40" w:after="40"/>
              <w:jc w:val="right"/>
              <w:rPr>
                <w:rFonts w:cs="Arial"/>
                <w:sz w:val="18"/>
                <w:szCs w:val="18"/>
              </w:rPr>
            </w:pPr>
            <w:r w:rsidRPr="001D41EA">
              <w:rPr>
                <w:rFonts w:cs="Arial"/>
                <w:sz w:val="18"/>
                <w:szCs w:val="18"/>
              </w:rPr>
              <w:t>7,215</w:t>
            </w:r>
          </w:p>
        </w:tc>
        <w:tc>
          <w:tcPr>
            <w:tcW w:w="1418" w:type="dxa"/>
            <w:tcBorders>
              <w:top w:val="nil"/>
              <w:left w:val="nil"/>
              <w:bottom w:val="nil"/>
              <w:right w:val="nil"/>
            </w:tcBorders>
            <w:shd w:val="clear" w:color="auto" w:fill="auto"/>
            <w:vAlign w:val="bottom"/>
          </w:tcPr>
          <w:p w14:paraId="27FDBA50" w14:textId="53335A34" w:rsidR="005D19CF" w:rsidRPr="001D41EA" w:rsidRDefault="005D19CF" w:rsidP="005D19CF">
            <w:pPr>
              <w:spacing w:before="40" w:after="40"/>
              <w:jc w:val="center"/>
              <w:rPr>
                <w:rFonts w:cs="Arial"/>
                <w:sz w:val="18"/>
                <w:szCs w:val="18"/>
              </w:rPr>
            </w:pPr>
            <w:r w:rsidRPr="005D19CF">
              <w:rPr>
                <w:rFonts w:cs="Arial"/>
                <w:sz w:val="18"/>
                <w:szCs w:val="18"/>
              </w:rPr>
              <w:t>22.0</w:t>
            </w:r>
          </w:p>
        </w:tc>
        <w:tc>
          <w:tcPr>
            <w:tcW w:w="170" w:type="dxa"/>
            <w:tcBorders>
              <w:top w:val="nil"/>
              <w:left w:val="nil"/>
              <w:bottom w:val="nil"/>
              <w:right w:val="nil"/>
            </w:tcBorders>
            <w:shd w:val="clear" w:color="auto" w:fill="auto"/>
            <w:vAlign w:val="bottom"/>
          </w:tcPr>
          <w:p w14:paraId="4BE15199" w14:textId="79EC689C"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1E043FD0" w14:textId="7D762D97" w:rsidR="005D19CF" w:rsidRPr="001D41EA" w:rsidRDefault="005D19CF" w:rsidP="005D19CF">
            <w:pPr>
              <w:spacing w:before="40" w:after="40"/>
              <w:jc w:val="center"/>
              <w:rPr>
                <w:rFonts w:cs="Arial"/>
                <w:sz w:val="18"/>
                <w:szCs w:val="18"/>
              </w:rPr>
            </w:pPr>
            <w:r w:rsidRPr="001D41EA">
              <w:rPr>
                <w:rFonts w:cs="Arial"/>
                <w:sz w:val="18"/>
                <w:szCs w:val="18"/>
              </w:rPr>
              <w:t>1.29</w:t>
            </w:r>
          </w:p>
        </w:tc>
      </w:tr>
      <w:tr w:rsidR="005D19CF" w:rsidRPr="001D41EA" w14:paraId="22EB9DD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438510D" w14:textId="77777777" w:rsidR="005D19CF" w:rsidRPr="001D41EA" w:rsidRDefault="005D19CF" w:rsidP="005D19CF">
            <w:pPr>
              <w:spacing w:before="40" w:after="40"/>
              <w:rPr>
                <w:rFonts w:cs="Arial"/>
                <w:sz w:val="18"/>
                <w:szCs w:val="18"/>
              </w:rPr>
            </w:pPr>
            <w:r w:rsidRPr="001D41EA">
              <w:rPr>
                <w:rFonts w:cs="Arial"/>
                <w:sz w:val="18"/>
                <w:szCs w:val="18"/>
              </w:rPr>
              <w:t>Baw Baw S</w:t>
            </w:r>
          </w:p>
        </w:tc>
        <w:tc>
          <w:tcPr>
            <w:tcW w:w="1418" w:type="dxa"/>
            <w:tcBorders>
              <w:top w:val="nil"/>
              <w:left w:val="single" w:sz="18" w:space="0" w:color="5F497A" w:themeColor="accent4" w:themeShade="BF"/>
              <w:bottom w:val="nil"/>
              <w:right w:val="nil"/>
            </w:tcBorders>
            <w:shd w:val="clear" w:color="auto" w:fill="auto"/>
            <w:vAlign w:val="bottom"/>
          </w:tcPr>
          <w:p w14:paraId="6F8A4087" w14:textId="39C0030D" w:rsidR="005D19CF" w:rsidRPr="001D41EA" w:rsidRDefault="005D19CF" w:rsidP="005D19CF">
            <w:pPr>
              <w:spacing w:before="40" w:after="40"/>
              <w:jc w:val="right"/>
              <w:rPr>
                <w:rFonts w:cs="Arial"/>
                <w:sz w:val="18"/>
                <w:szCs w:val="18"/>
              </w:rPr>
            </w:pPr>
            <w:r w:rsidRPr="001D41EA">
              <w:rPr>
                <w:rFonts w:cs="Arial"/>
                <w:sz w:val="18"/>
                <w:szCs w:val="18"/>
              </w:rPr>
              <w:t>48,629</w:t>
            </w:r>
          </w:p>
        </w:tc>
        <w:tc>
          <w:tcPr>
            <w:tcW w:w="1418" w:type="dxa"/>
            <w:tcBorders>
              <w:top w:val="nil"/>
              <w:left w:val="nil"/>
              <w:bottom w:val="nil"/>
              <w:right w:val="nil"/>
            </w:tcBorders>
            <w:vAlign w:val="bottom"/>
          </w:tcPr>
          <w:p w14:paraId="25DA6EF5" w14:textId="1641D3AE" w:rsidR="005D19CF" w:rsidRPr="001D41EA" w:rsidRDefault="005D19CF" w:rsidP="005D19CF">
            <w:pPr>
              <w:spacing w:before="40" w:after="40"/>
              <w:jc w:val="right"/>
              <w:rPr>
                <w:rFonts w:cs="Arial"/>
                <w:sz w:val="18"/>
                <w:szCs w:val="18"/>
              </w:rPr>
            </w:pPr>
            <w:r w:rsidRPr="001D41EA">
              <w:rPr>
                <w:rFonts w:cs="Arial"/>
                <w:sz w:val="18"/>
                <w:szCs w:val="18"/>
              </w:rPr>
              <w:t>9,940</w:t>
            </w:r>
          </w:p>
        </w:tc>
        <w:tc>
          <w:tcPr>
            <w:tcW w:w="1418" w:type="dxa"/>
            <w:tcBorders>
              <w:top w:val="nil"/>
              <w:left w:val="nil"/>
              <w:bottom w:val="nil"/>
              <w:right w:val="nil"/>
            </w:tcBorders>
            <w:shd w:val="clear" w:color="auto" w:fill="auto"/>
            <w:vAlign w:val="bottom"/>
          </w:tcPr>
          <w:p w14:paraId="47DF86D8" w14:textId="64FAB325" w:rsidR="005D19CF" w:rsidRPr="001D41EA" w:rsidRDefault="005D19CF" w:rsidP="005D19CF">
            <w:pPr>
              <w:spacing w:before="40" w:after="40"/>
              <w:jc w:val="center"/>
              <w:rPr>
                <w:rFonts w:cs="Arial"/>
                <w:sz w:val="18"/>
                <w:szCs w:val="18"/>
              </w:rPr>
            </w:pPr>
            <w:r w:rsidRPr="005D19CF">
              <w:rPr>
                <w:rFonts w:cs="Arial"/>
                <w:sz w:val="18"/>
                <w:szCs w:val="18"/>
              </w:rPr>
              <w:t>20.4</w:t>
            </w:r>
          </w:p>
        </w:tc>
        <w:tc>
          <w:tcPr>
            <w:tcW w:w="170" w:type="dxa"/>
            <w:tcBorders>
              <w:top w:val="nil"/>
              <w:left w:val="nil"/>
              <w:bottom w:val="nil"/>
              <w:right w:val="nil"/>
            </w:tcBorders>
            <w:shd w:val="clear" w:color="auto" w:fill="auto"/>
            <w:vAlign w:val="bottom"/>
          </w:tcPr>
          <w:p w14:paraId="6544DE23" w14:textId="3AB1D81E"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1E0AE478" w14:textId="53BCC280" w:rsidR="005D19CF" w:rsidRPr="001D41EA" w:rsidRDefault="005D19CF" w:rsidP="005D19CF">
            <w:pPr>
              <w:spacing w:before="40" w:after="40"/>
              <w:jc w:val="center"/>
              <w:rPr>
                <w:rFonts w:cs="Arial"/>
                <w:sz w:val="18"/>
                <w:szCs w:val="18"/>
              </w:rPr>
            </w:pPr>
            <w:r w:rsidRPr="001D41EA">
              <w:rPr>
                <w:rFonts w:cs="Arial"/>
                <w:sz w:val="18"/>
                <w:szCs w:val="18"/>
              </w:rPr>
              <w:t>1.74</w:t>
            </w:r>
          </w:p>
        </w:tc>
      </w:tr>
      <w:tr w:rsidR="005D19CF" w:rsidRPr="001D41EA" w14:paraId="7C90A16D"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4124D0B" w14:textId="77777777" w:rsidR="005D19CF" w:rsidRPr="001D41EA" w:rsidRDefault="005D19CF" w:rsidP="005D19CF">
            <w:pPr>
              <w:spacing w:before="40" w:after="40"/>
              <w:rPr>
                <w:rFonts w:cs="Arial"/>
                <w:sz w:val="18"/>
                <w:szCs w:val="18"/>
              </w:rPr>
            </w:pPr>
            <w:r w:rsidRPr="001D41EA">
              <w:rPr>
                <w:rFonts w:cs="Arial"/>
                <w:sz w:val="18"/>
                <w:szCs w:val="18"/>
              </w:rPr>
              <w:t>Bayside C</w:t>
            </w:r>
          </w:p>
        </w:tc>
        <w:tc>
          <w:tcPr>
            <w:tcW w:w="1418" w:type="dxa"/>
            <w:tcBorders>
              <w:top w:val="nil"/>
              <w:left w:val="single" w:sz="18" w:space="0" w:color="5F497A" w:themeColor="accent4" w:themeShade="BF"/>
              <w:bottom w:val="nil"/>
              <w:right w:val="nil"/>
            </w:tcBorders>
            <w:shd w:val="clear" w:color="auto" w:fill="auto"/>
            <w:vAlign w:val="bottom"/>
          </w:tcPr>
          <w:p w14:paraId="0D226AFA" w14:textId="0B7E8CE8" w:rsidR="005D19CF" w:rsidRPr="001D41EA" w:rsidRDefault="005D19CF" w:rsidP="005D19CF">
            <w:pPr>
              <w:spacing w:before="40" w:after="40"/>
              <w:jc w:val="right"/>
              <w:rPr>
                <w:rFonts w:cs="Arial"/>
                <w:sz w:val="18"/>
                <w:szCs w:val="18"/>
              </w:rPr>
            </w:pPr>
            <w:r w:rsidRPr="001D41EA">
              <w:rPr>
                <w:rFonts w:cs="Arial"/>
                <w:sz w:val="18"/>
                <w:szCs w:val="18"/>
              </w:rPr>
              <w:t>97,092</w:t>
            </w:r>
          </w:p>
        </w:tc>
        <w:tc>
          <w:tcPr>
            <w:tcW w:w="1418" w:type="dxa"/>
            <w:tcBorders>
              <w:top w:val="nil"/>
              <w:left w:val="nil"/>
              <w:bottom w:val="nil"/>
              <w:right w:val="nil"/>
            </w:tcBorders>
            <w:vAlign w:val="bottom"/>
          </w:tcPr>
          <w:p w14:paraId="7C6EB356" w14:textId="10F0630C" w:rsidR="005D19CF" w:rsidRPr="001D41EA" w:rsidRDefault="005D19CF" w:rsidP="005D19CF">
            <w:pPr>
              <w:spacing w:before="40" w:after="40"/>
              <w:jc w:val="right"/>
              <w:rPr>
                <w:rFonts w:cs="Arial"/>
                <w:sz w:val="18"/>
                <w:szCs w:val="18"/>
              </w:rPr>
            </w:pPr>
            <w:r w:rsidRPr="001D41EA">
              <w:rPr>
                <w:rFonts w:cs="Arial"/>
                <w:sz w:val="18"/>
                <w:szCs w:val="18"/>
              </w:rPr>
              <w:t>23,293</w:t>
            </w:r>
          </w:p>
        </w:tc>
        <w:tc>
          <w:tcPr>
            <w:tcW w:w="1418" w:type="dxa"/>
            <w:tcBorders>
              <w:top w:val="nil"/>
              <w:left w:val="nil"/>
              <w:bottom w:val="nil"/>
              <w:right w:val="nil"/>
            </w:tcBorders>
            <w:shd w:val="clear" w:color="auto" w:fill="auto"/>
            <w:vAlign w:val="bottom"/>
          </w:tcPr>
          <w:p w14:paraId="3DE2E520" w14:textId="1D36D8FA" w:rsidR="005D19CF" w:rsidRPr="001D41EA" w:rsidRDefault="005D19CF" w:rsidP="005D19CF">
            <w:pPr>
              <w:spacing w:before="40" w:after="40"/>
              <w:jc w:val="center"/>
              <w:rPr>
                <w:rFonts w:cs="Arial"/>
                <w:sz w:val="18"/>
                <w:szCs w:val="18"/>
              </w:rPr>
            </w:pPr>
            <w:r w:rsidRPr="005D19CF">
              <w:rPr>
                <w:rFonts w:cs="Arial"/>
                <w:sz w:val="18"/>
                <w:szCs w:val="18"/>
              </w:rPr>
              <w:t>24.0</w:t>
            </w:r>
          </w:p>
        </w:tc>
        <w:tc>
          <w:tcPr>
            <w:tcW w:w="170" w:type="dxa"/>
            <w:tcBorders>
              <w:top w:val="nil"/>
              <w:left w:val="nil"/>
              <w:bottom w:val="nil"/>
              <w:right w:val="nil"/>
            </w:tcBorders>
            <w:shd w:val="clear" w:color="auto" w:fill="auto"/>
            <w:vAlign w:val="bottom"/>
          </w:tcPr>
          <w:p w14:paraId="447CD245" w14:textId="3836EBE4"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39B6C26" w14:textId="21DEE38B" w:rsidR="005D19CF" w:rsidRPr="001D41EA" w:rsidRDefault="005D19CF" w:rsidP="005D19CF">
            <w:pPr>
              <w:spacing w:before="40" w:after="40"/>
              <w:jc w:val="center"/>
              <w:rPr>
                <w:rFonts w:cs="Arial"/>
                <w:sz w:val="18"/>
                <w:szCs w:val="18"/>
              </w:rPr>
            </w:pPr>
          </w:p>
        </w:tc>
      </w:tr>
      <w:tr w:rsidR="005D19CF" w:rsidRPr="001D41EA" w14:paraId="75B1FA28"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38DD892" w14:textId="77777777" w:rsidR="005D19CF" w:rsidRPr="001D41EA" w:rsidRDefault="005D19CF" w:rsidP="005D19CF">
            <w:pPr>
              <w:spacing w:before="40" w:after="40"/>
              <w:rPr>
                <w:rFonts w:cs="Arial"/>
                <w:sz w:val="18"/>
                <w:szCs w:val="18"/>
              </w:rPr>
            </w:pPr>
            <w:r w:rsidRPr="001D41EA">
              <w:rPr>
                <w:rFonts w:cs="Arial"/>
                <w:sz w:val="18"/>
                <w:szCs w:val="18"/>
              </w:rPr>
              <w:t>Benalla RC</w:t>
            </w:r>
          </w:p>
        </w:tc>
        <w:tc>
          <w:tcPr>
            <w:tcW w:w="1418" w:type="dxa"/>
            <w:tcBorders>
              <w:top w:val="nil"/>
              <w:left w:val="single" w:sz="18" w:space="0" w:color="5F497A" w:themeColor="accent4" w:themeShade="BF"/>
              <w:bottom w:val="nil"/>
              <w:right w:val="nil"/>
            </w:tcBorders>
            <w:shd w:val="clear" w:color="auto" w:fill="auto"/>
            <w:vAlign w:val="bottom"/>
          </w:tcPr>
          <w:p w14:paraId="03BA2A31" w14:textId="77AA3D39" w:rsidR="005D19CF" w:rsidRPr="001D41EA" w:rsidRDefault="005D19CF" w:rsidP="005D19CF">
            <w:pPr>
              <w:spacing w:before="40" w:after="40"/>
              <w:jc w:val="right"/>
              <w:rPr>
                <w:rFonts w:cs="Arial"/>
                <w:sz w:val="18"/>
                <w:szCs w:val="18"/>
              </w:rPr>
            </w:pPr>
            <w:r w:rsidRPr="001D41EA">
              <w:rPr>
                <w:rFonts w:cs="Arial"/>
                <w:sz w:val="18"/>
                <w:szCs w:val="18"/>
              </w:rPr>
              <w:t>13,863</w:t>
            </w:r>
          </w:p>
        </w:tc>
        <w:tc>
          <w:tcPr>
            <w:tcW w:w="1418" w:type="dxa"/>
            <w:tcBorders>
              <w:top w:val="nil"/>
              <w:left w:val="nil"/>
              <w:bottom w:val="nil"/>
              <w:right w:val="nil"/>
            </w:tcBorders>
            <w:vAlign w:val="bottom"/>
          </w:tcPr>
          <w:p w14:paraId="17F1426A" w14:textId="58FBB269" w:rsidR="005D19CF" w:rsidRPr="001D41EA" w:rsidRDefault="005D19CF" w:rsidP="005D19CF">
            <w:pPr>
              <w:spacing w:before="40" w:after="40"/>
              <w:jc w:val="right"/>
              <w:rPr>
                <w:rFonts w:cs="Arial"/>
                <w:sz w:val="18"/>
                <w:szCs w:val="18"/>
              </w:rPr>
            </w:pPr>
            <w:r w:rsidRPr="001D41EA">
              <w:rPr>
                <w:rFonts w:cs="Arial"/>
                <w:sz w:val="18"/>
                <w:szCs w:val="18"/>
              </w:rPr>
              <w:t>2,961</w:t>
            </w:r>
          </w:p>
        </w:tc>
        <w:tc>
          <w:tcPr>
            <w:tcW w:w="1418" w:type="dxa"/>
            <w:tcBorders>
              <w:top w:val="nil"/>
              <w:left w:val="nil"/>
              <w:bottom w:val="nil"/>
              <w:right w:val="nil"/>
            </w:tcBorders>
            <w:shd w:val="clear" w:color="auto" w:fill="auto"/>
            <w:vAlign w:val="bottom"/>
          </w:tcPr>
          <w:p w14:paraId="1D8DA138" w14:textId="0892E70E" w:rsidR="005D19CF" w:rsidRPr="001D41EA" w:rsidRDefault="005D19CF" w:rsidP="005D19CF">
            <w:pPr>
              <w:spacing w:before="40" w:after="40"/>
              <w:jc w:val="center"/>
              <w:rPr>
                <w:rFonts w:cs="Arial"/>
                <w:sz w:val="18"/>
                <w:szCs w:val="18"/>
              </w:rPr>
            </w:pPr>
            <w:r w:rsidRPr="005D19CF">
              <w:rPr>
                <w:rFonts w:cs="Arial"/>
                <w:sz w:val="18"/>
                <w:szCs w:val="18"/>
              </w:rPr>
              <w:t>21.4</w:t>
            </w:r>
          </w:p>
        </w:tc>
        <w:tc>
          <w:tcPr>
            <w:tcW w:w="170" w:type="dxa"/>
            <w:tcBorders>
              <w:top w:val="nil"/>
              <w:left w:val="nil"/>
              <w:bottom w:val="nil"/>
              <w:right w:val="nil"/>
            </w:tcBorders>
            <w:shd w:val="clear" w:color="auto" w:fill="auto"/>
            <w:vAlign w:val="bottom"/>
          </w:tcPr>
          <w:p w14:paraId="5D6EAA79" w14:textId="31A16DE0"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798EC895" w14:textId="1900ECFD" w:rsidR="005D19CF" w:rsidRPr="001D41EA" w:rsidRDefault="005D19CF" w:rsidP="005D19CF">
            <w:pPr>
              <w:spacing w:before="40" w:after="40"/>
              <w:jc w:val="center"/>
              <w:rPr>
                <w:rFonts w:cs="Arial"/>
                <w:sz w:val="18"/>
                <w:szCs w:val="18"/>
              </w:rPr>
            </w:pPr>
            <w:r w:rsidRPr="001D41EA">
              <w:rPr>
                <w:rFonts w:cs="Arial"/>
                <w:sz w:val="18"/>
                <w:szCs w:val="18"/>
              </w:rPr>
              <w:t>2.03</w:t>
            </w:r>
          </w:p>
        </w:tc>
      </w:tr>
      <w:tr w:rsidR="005D19CF" w:rsidRPr="001D41EA" w14:paraId="73B147E5"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7D6BE73" w14:textId="77777777" w:rsidR="005D19CF" w:rsidRPr="001D41EA" w:rsidRDefault="005D19CF" w:rsidP="005D19CF">
            <w:pPr>
              <w:spacing w:before="40" w:after="40"/>
              <w:rPr>
                <w:rFonts w:cs="Arial"/>
                <w:sz w:val="18"/>
                <w:szCs w:val="18"/>
              </w:rPr>
            </w:pPr>
            <w:r w:rsidRPr="001D41EA">
              <w:rPr>
                <w:rFonts w:cs="Arial"/>
                <w:sz w:val="18"/>
                <w:szCs w:val="18"/>
              </w:rPr>
              <w:t>Boroondara C</w:t>
            </w:r>
          </w:p>
        </w:tc>
        <w:tc>
          <w:tcPr>
            <w:tcW w:w="1418" w:type="dxa"/>
            <w:tcBorders>
              <w:top w:val="nil"/>
              <w:left w:val="single" w:sz="18" w:space="0" w:color="5F497A" w:themeColor="accent4" w:themeShade="BF"/>
              <w:bottom w:val="nil"/>
              <w:right w:val="nil"/>
            </w:tcBorders>
            <w:shd w:val="clear" w:color="auto" w:fill="auto"/>
            <w:vAlign w:val="bottom"/>
          </w:tcPr>
          <w:p w14:paraId="14552D9A" w14:textId="53906BBE" w:rsidR="005D19CF" w:rsidRPr="001D41EA" w:rsidRDefault="005D19CF" w:rsidP="005D19CF">
            <w:pPr>
              <w:spacing w:before="40" w:after="40"/>
              <w:jc w:val="right"/>
              <w:rPr>
                <w:rFonts w:cs="Arial"/>
                <w:sz w:val="18"/>
                <w:szCs w:val="18"/>
              </w:rPr>
            </w:pPr>
            <w:r w:rsidRPr="001D41EA">
              <w:rPr>
                <w:rFonts w:cs="Arial"/>
                <w:sz w:val="18"/>
                <w:szCs w:val="18"/>
              </w:rPr>
              <w:t>167,232</w:t>
            </w:r>
          </w:p>
        </w:tc>
        <w:tc>
          <w:tcPr>
            <w:tcW w:w="1418" w:type="dxa"/>
            <w:tcBorders>
              <w:top w:val="nil"/>
              <w:left w:val="nil"/>
              <w:bottom w:val="nil"/>
              <w:right w:val="nil"/>
            </w:tcBorders>
            <w:vAlign w:val="bottom"/>
          </w:tcPr>
          <w:p w14:paraId="22C32F09" w14:textId="66823CF3" w:rsidR="005D19CF" w:rsidRPr="001D41EA" w:rsidRDefault="005D19CF" w:rsidP="005D19CF">
            <w:pPr>
              <w:spacing w:before="40" w:after="40"/>
              <w:jc w:val="right"/>
              <w:rPr>
                <w:rFonts w:cs="Arial"/>
                <w:sz w:val="18"/>
                <w:szCs w:val="18"/>
              </w:rPr>
            </w:pPr>
            <w:r w:rsidRPr="001D41EA">
              <w:rPr>
                <w:rFonts w:cs="Arial"/>
                <w:sz w:val="18"/>
                <w:szCs w:val="18"/>
              </w:rPr>
              <w:t>58,391</w:t>
            </w:r>
          </w:p>
        </w:tc>
        <w:tc>
          <w:tcPr>
            <w:tcW w:w="1418" w:type="dxa"/>
            <w:tcBorders>
              <w:top w:val="nil"/>
              <w:left w:val="nil"/>
              <w:bottom w:val="nil"/>
              <w:right w:val="nil"/>
            </w:tcBorders>
            <w:shd w:val="clear" w:color="auto" w:fill="auto"/>
            <w:vAlign w:val="bottom"/>
          </w:tcPr>
          <w:p w14:paraId="34F027B0" w14:textId="2CFA2679" w:rsidR="005D19CF" w:rsidRPr="001D41EA" w:rsidRDefault="005D19CF" w:rsidP="005D19CF">
            <w:pPr>
              <w:spacing w:before="40" w:after="40"/>
              <w:jc w:val="center"/>
              <w:rPr>
                <w:rFonts w:cs="Arial"/>
                <w:sz w:val="18"/>
                <w:szCs w:val="18"/>
              </w:rPr>
            </w:pPr>
            <w:r w:rsidRPr="005D19CF">
              <w:rPr>
                <w:rFonts w:cs="Arial"/>
                <w:sz w:val="18"/>
                <w:szCs w:val="18"/>
              </w:rPr>
              <w:t>34.9</w:t>
            </w:r>
          </w:p>
        </w:tc>
        <w:tc>
          <w:tcPr>
            <w:tcW w:w="170" w:type="dxa"/>
            <w:tcBorders>
              <w:top w:val="nil"/>
              <w:left w:val="nil"/>
              <w:bottom w:val="nil"/>
              <w:right w:val="nil"/>
            </w:tcBorders>
            <w:shd w:val="clear" w:color="auto" w:fill="auto"/>
            <w:vAlign w:val="bottom"/>
          </w:tcPr>
          <w:p w14:paraId="7C2F6659" w14:textId="36761436"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1765540" w14:textId="7ECC1EE3" w:rsidR="005D19CF" w:rsidRPr="001D41EA" w:rsidRDefault="005D19CF" w:rsidP="005D19CF">
            <w:pPr>
              <w:spacing w:before="40" w:after="40"/>
              <w:jc w:val="center"/>
              <w:rPr>
                <w:rFonts w:cs="Arial"/>
                <w:sz w:val="18"/>
                <w:szCs w:val="18"/>
              </w:rPr>
            </w:pPr>
          </w:p>
        </w:tc>
      </w:tr>
      <w:tr w:rsidR="005D19CF" w:rsidRPr="001D41EA" w14:paraId="016A81F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3201F9D" w14:textId="77777777" w:rsidR="005D19CF" w:rsidRPr="001D41EA" w:rsidRDefault="005D19CF" w:rsidP="005D19CF">
            <w:pPr>
              <w:spacing w:before="40" w:after="40"/>
              <w:rPr>
                <w:rFonts w:cs="Arial"/>
                <w:sz w:val="18"/>
                <w:szCs w:val="18"/>
              </w:rPr>
            </w:pPr>
            <w:r w:rsidRPr="001D41EA">
              <w:rPr>
                <w:rFonts w:cs="Arial"/>
                <w:sz w:val="18"/>
                <w:szCs w:val="18"/>
              </w:rPr>
              <w:t>Brimbank C</w:t>
            </w:r>
          </w:p>
        </w:tc>
        <w:tc>
          <w:tcPr>
            <w:tcW w:w="1418" w:type="dxa"/>
            <w:tcBorders>
              <w:top w:val="nil"/>
              <w:left w:val="single" w:sz="18" w:space="0" w:color="5F497A" w:themeColor="accent4" w:themeShade="BF"/>
              <w:bottom w:val="nil"/>
              <w:right w:val="nil"/>
            </w:tcBorders>
            <w:shd w:val="clear" w:color="auto" w:fill="auto"/>
            <w:vAlign w:val="bottom"/>
          </w:tcPr>
          <w:p w14:paraId="3269BAF4" w14:textId="69CB71BC" w:rsidR="005D19CF" w:rsidRPr="001D41EA" w:rsidRDefault="005D19CF" w:rsidP="005D19CF">
            <w:pPr>
              <w:spacing w:before="40" w:after="40"/>
              <w:jc w:val="right"/>
              <w:rPr>
                <w:rFonts w:cs="Arial"/>
                <w:sz w:val="18"/>
                <w:szCs w:val="18"/>
              </w:rPr>
            </w:pPr>
            <w:r w:rsidRPr="001D41EA">
              <w:rPr>
                <w:rFonts w:cs="Arial"/>
                <w:sz w:val="18"/>
                <w:szCs w:val="18"/>
              </w:rPr>
              <w:t>194,315</w:t>
            </w:r>
          </w:p>
        </w:tc>
        <w:tc>
          <w:tcPr>
            <w:tcW w:w="1418" w:type="dxa"/>
            <w:tcBorders>
              <w:top w:val="nil"/>
              <w:left w:val="nil"/>
              <w:bottom w:val="nil"/>
              <w:right w:val="nil"/>
            </w:tcBorders>
            <w:vAlign w:val="bottom"/>
          </w:tcPr>
          <w:p w14:paraId="1D35F24B" w14:textId="3CD718D5" w:rsidR="005D19CF" w:rsidRPr="001D41EA" w:rsidRDefault="005D19CF" w:rsidP="005D19CF">
            <w:pPr>
              <w:spacing w:before="40" w:after="40"/>
              <w:jc w:val="right"/>
              <w:rPr>
                <w:rFonts w:cs="Arial"/>
                <w:sz w:val="18"/>
                <w:szCs w:val="18"/>
              </w:rPr>
            </w:pPr>
            <w:r w:rsidRPr="001D41EA">
              <w:rPr>
                <w:rFonts w:cs="Arial"/>
                <w:sz w:val="18"/>
                <w:szCs w:val="18"/>
              </w:rPr>
              <w:t>34,557</w:t>
            </w:r>
          </w:p>
        </w:tc>
        <w:tc>
          <w:tcPr>
            <w:tcW w:w="1418" w:type="dxa"/>
            <w:tcBorders>
              <w:top w:val="nil"/>
              <w:left w:val="nil"/>
              <w:bottom w:val="nil"/>
              <w:right w:val="nil"/>
            </w:tcBorders>
            <w:shd w:val="clear" w:color="auto" w:fill="auto"/>
            <w:vAlign w:val="bottom"/>
          </w:tcPr>
          <w:p w14:paraId="399CDDF2" w14:textId="66F38AFA" w:rsidR="005D19CF" w:rsidRPr="001D41EA" w:rsidRDefault="005D19CF" w:rsidP="005D19CF">
            <w:pPr>
              <w:spacing w:before="40" w:after="40"/>
              <w:jc w:val="center"/>
              <w:rPr>
                <w:rFonts w:cs="Arial"/>
                <w:sz w:val="18"/>
                <w:szCs w:val="18"/>
              </w:rPr>
            </w:pPr>
            <w:r w:rsidRPr="005D19CF">
              <w:rPr>
                <w:rFonts w:cs="Arial"/>
                <w:sz w:val="18"/>
                <w:szCs w:val="18"/>
              </w:rPr>
              <w:t>17.8</w:t>
            </w:r>
          </w:p>
        </w:tc>
        <w:tc>
          <w:tcPr>
            <w:tcW w:w="170" w:type="dxa"/>
            <w:tcBorders>
              <w:top w:val="nil"/>
              <w:left w:val="nil"/>
              <w:bottom w:val="nil"/>
              <w:right w:val="nil"/>
            </w:tcBorders>
            <w:shd w:val="clear" w:color="auto" w:fill="auto"/>
            <w:vAlign w:val="bottom"/>
          </w:tcPr>
          <w:p w14:paraId="51FB5751" w14:textId="16D7DA0C"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3251A66D" w14:textId="77C9F108" w:rsidR="005D19CF" w:rsidRPr="001D41EA" w:rsidRDefault="005D19CF" w:rsidP="005D19CF">
            <w:pPr>
              <w:spacing w:before="40" w:after="40"/>
              <w:jc w:val="center"/>
              <w:rPr>
                <w:rFonts w:cs="Arial"/>
                <w:sz w:val="18"/>
                <w:szCs w:val="18"/>
              </w:rPr>
            </w:pPr>
          </w:p>
        </w:tc>
      </w:tr>
      <w:tr w:rsidR="005D19CF" w:rsidRPr="001D41EA" w14:paraId="73FDC8F4"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E077B99" w14:textId="77777777" w:rsidR="005D19CF" w:rsidRPr="001D41EA" w:rsidRDefault="005D19CF" w:rsidP="005D19CF">
            <w:pPr>
              <w:spacing w:before="40" w:after="40"/>
              <w:rPr>
                <w:rFonts w:cs="Arial"/>
                <w:sz w:val="18"/>
                <w:szCs w:val="18"/>
              </w:rPr>
            </w:pPr>
            <w:r w:rsidRPr="001D41EA">
              <w:rPr>
                <w:rFonts w:cs="Arial"/>
                <w:sz w:val="18"/>
                <w:szCs w:val="18"/>
              </w:rPr>
              <w:t>Buloke S</w:t>
            </w:r>
          </w:p>
        </w:tc>
        <w:tc>
          <w:tcPr>
            <w:tcW w:w="1418" w:type="dxa"/>
            <w:tcBorders>
              <w:top w:val="nil"/>
              <w:left w:val="single" w:sz="18" w:space="0" w:color="5F497A" w:themeColor="accent4" w:themeShade="BF"/>
              <w:bottom w:val="nil"/>
              <w:right w:val="nil"/>
            </w:tcBorders>
            <w:shd w:val="clear" w:color="auto" w:fill="auto"/>
            <w:vAlign w:val="bottom"/>
          </w:tcPr>
          <w:p w14:paraId="301D8B41" w14:textId="0A3DF352" w:rsidR="005D19CF" w:rsidRPr="001D41EA" w:rsidRDefault="005D19CF" w:rsidP="005D19CF">
            <w:pPr>
              <w:spacing w:before="40" w:after="40"/>
              <w:jc w:val="right"/>
              <w:rPr>
                <w:rFonts w:cs="Arial"/>
                <w:sz w:val="18"/>
                <w:szCs w:val="18"/>
              </w:rPr>
            </w:pPr>
            <w:r w:rsidRPr="001D41EA">
              <w:rPr>
                <w:rFonts w:cs="Arial"/>
                <w:sz w:val="18"/>
                <w:szCs w:val="18"/>
              </w:rPr>
              <w:t>6,202</w:t>
            </w:r>
          </w:p>
        </w:tc>
        <w:tc>
          <w:tcPr>
            <w:tcW w:w="1418" w:type="dxa"/>
            <w:tcBorders>
              <w:top w:val="nil"/>
              <w:left w:val="nil"/>
              <w:bottom w:val="nil"/>
              <w:right w:val="nil"/>
            </w:tcBorders>
            <w:vAlign w:val="bottom"/>
          </w:tcPr>
          <w:p w14:paraId="78740690" w14:textId="05AC3D60" w:rsidR="005D19CF" w:rsidRPr="001D41EA" w:rsidRDefault="005D19CF" w:rsidP="005D19CF">
            <w:pPr>
              <w:spacing w:before="40" w:after="40"/>
              <w:jc w:val="right"/>
              <w:rPr>
                <w:rFonts w:cs="Arial"/>
                <w:sz w:val="18"/>
                <w:szCs w:val="18"/>
              </w:rPr>
            </w:pPr>
            <w:r w:rsidRPr="001D41EA">
              <w:rPr>
                <w:rFonts w:cs="Arial"/>
                <w:sz w:val="18"/>
                <w:szCs w:val="18"/>
              </w:rPr>
              <w:t>1,196</w:t>
            </w:r>
          </w:p>
        </w:tc>
        <w:tc>
          <w:tcPr>
            <w:tcW w:w="1418" w:type="dxa"/>
            <w:tcBorders>
              <w:top w:val="nil"/>
              <w:left w:val="nil"/>
              <w:bottom w:val="nil"/>
              <w:right w:val="nil"/>
            </w:tcBorders>
            <w:shd w:val="clear" w:color="auto" w:fill="auto"/>
            <w:vAlign w:val="bottom"/>
          </w:tcPr>
          <w:p w14:paraId="162CCD3C" w14:textId="11153924" w:rsidR="005D19CF" w:rsidRPr="001D41EA" w:rsidRDefault="005D19CF" w:rsidP="005D19CF">
            <w:pPr>
              <w:spacing w:before="40" w:after="40"/>
              <w:jc w:val="center"/>
              <w:rPr>
                <w:rFonts w:cs="Arial"/>
                <w:sz w:val="18"/>
                <w:szCs w:val="18"/>
              </w:rPr>
            </w:pPr>
            <w:r w:rsidRPr="005D19CF">
              <w:rPr>
                <w:rFonts w:cs="Arial"/>
                <w:sz w:val="18"/>
                <w:szCs w:val="18"/>
              </w:rPr>
              <w:t>19.3</w:t>
            </w:r>
          </w:p>
        </w:tc>
        <w:tc>
          <w:tcPr>
            <w:tcW w:w="170" w:type="dxa"/>
            <w:tcBorders>
              <w:top w:val="nil"/>
              <w:left w:val="nil"/>
              <w:bottom w:val="nil"/>
              <w:right w:val="nil"/>
            </w:tcBorders>
            <w:shd w:val="clear" w:color="auto" w:fill="auto"/>
            <w:vAlign w:val="bottom"/>
          </w:tcPr>
          <w:p w14:paraId="4FCA2148" w14:textId="19EA4C53"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186BA0A0" w14:textId="4C7EDE46" w:rsidR="005D19CF" w:rsidRPr="001D41EA" w:rsidRDefault="005D19CF" w:rsidP="005D19CF">
            <w:pPr>
              <w:spacing w:before="40" w:after="40"/>
              <w:jc w:val="center"/>
              <w:rPr>
                <w:rFonts w:cs="Arial"/>
                <w:sz w:val="18"/>
                <w:szCs w:val="18"/>
              </w:rPr>
            </w:pPr>
            <w:r w:rsidRPr="001D41EA">
              <w:rPr>
                <w:rFonts w:cs="Arial"/>
                <w:sz w:val="18"/>
                <w:szCs w:val="18"/>
              </w:rPr>
              <w:t>4.64</w:t>
            </w:r>
          </w:p>
        </w:tc>
      </w:tr>
      <w:tr w:rsidR="005D19CF" w:rsidRPr="001D41EA" w14:paraId="0001504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A1326A2" w14:textId="77777777" w:rsidR="005D19CF" w:rsidRPr="001D41EA" w:rsidRDefault="005D19CF" w:rsidP="005D19CF">
            <w:pPr>
              <w:spacing w:before="40" w:after="40"/>
              <w:rPr>
                <w:rFonts w:cs="Arial"/>
                <w:sz w:val="18"/>
                <w:szCs w:val="18"/>
              </w:rPr>
            </w:pPr>
            <w:r w:rsidRPr="001D41EA">
              <w:rPr>
                <w:rFonts w:cs="Arial"/>
                <w:sz w:val="18"/>
                <w:szCs w:val="18"/>
              </w:rPr>
              <w:t>Campaspe S</w:t>
            </w:r>
          </w:p>
        </w:tc>
        <w:tc>
          <w:tcPr>
            <w:tcW w:w="1418" w:type="dxa"/>
            <w:tcBorders>
              <w:top w:val="nil"/>
              <w:left w:val="single" w:sz="18" w:space="0" w:color="5F497A" w:themeColor="accent4" w:themeShade="BF"/>
              <w:bottom w:val="nil"/>
              <w:right w:val="nil"/>
            </w:tcBorders>
            <w:shd w:val="clear" w:color="auto" w:fill="auto"/>
            <w:vAlign w:val="bottom"/>
          </w:tcPr>
          <w:p w14:paraId="7BBE0790" w14:textId="3A220044" w:rsidR="005D19CF" w:rsidRPr="001D41EA" w:rsidRDefault="005D19CF" w:rsidP="005D19CF">
            <w:pPr>
              <w:spacing w:before="40" w:after="40"/>
              <w:jc w:val="right"/>
              <w:rPr>
                <w:rFonts w:cs="Arial"/>
                <w:sz w:val="18"/>
                <w:szCs w:val="18"/>
              </w:rPr>
            </w:pPr>
            <w:r w:rsidRPr="001D41EA">
              <w:rPr>
                <w:rFonts w:cs="Arial"/>
                <w:sz w:val="18"/>
                <w:szCs w:val="18"/>
              </w:rPr>
              <w:t>37,054</w:t>
            </w:r>
          </w:p>
        </w:tc>
        <w:tc>
          <w:tcPr>
            <w:tcW w:w="1418" w:type="dxa"/>
            <w:tcBorders>
              <w:top w:val="nil"/>
              <w:left w:val="nil"/>
              <w:bottom w:val="nil"/>
              <w:right w:val="nil"/>
            </w:tcBorders>
            <w:vAlign w:val="bottom"/>
          </w:tcPr>
          <w:p w14:paraId="44352309" w14:textId="45710C91" w:rsidR="005D19CF" w:rsidRPr="001D41EA" w:rsidRDefault="005D19CF" w:rsidP="005D19CF">
            <w:pPr>
              <w:spacing w:before="40" w:after="40"/>
              <w:jc w:val="right"/>
              <w:rPr>
                <w:rFonts w:cs="Arial"/>
                <w:sz w:val="18"/>
                <w:szCs w:val="18"/>
              </w:rPr>
            </w:pPr>
            <w:r w:rsidRPr="001D41EA">
              <w:rPr>
                <w:rFonts w:cs="Arial"/>
                <w:sz w:val="18"/>
                <w:szCs w:val="18"/>
              </w:rPr>
              <w:t>8,617</w:t>
            </w:r>
          </w:p>
        </w:tc>
        <w:tc>
          <w:tcPr>
            <w:tcW w:w="1418" w:type="dxa"/>
            <w:tcBorders>
              <w:top w:val="nil"/>
              <w:left w:val="nil"/>
              <w:bottom w:val="nil"/>
              <w:right w:val="nil"/>
            </w:tcBorders>
            <w:shd w:val="clear" w:color="auto" w:fill="auto"/>
            <w:vAlign w:val="bottom"/>
          </w:tcPr>
          <w:p w14:paraId="458DF6B2" w14:textId="3D202574" w:rsidR="005D19CF" w:rsidRPr="001D41EA" w:rsidRDefault="005D19CF" w:rsidP="005D19CF">
            <w:pPr>
              <w:spacing w:before="40" w:after="40"/>
              <w:jc w:val="center"/>
              <w:rPr>
                <w:rFonts w:cs="Arial"/>
                <w:sz w:val="18"/>
                <w:szCs w:val="18"/>
              </w:rPr>
            </w:pPr>
            <w:r w:rsidRPr="005D19CF">
              <w:rPr>
                <w:rFonts w:cs="Arial"/>
                <w:sz w:val="18"/>
                <w:szCs w:val="18"/>
              </w:rPr>
              <w:t>23.3</w:t>
            </w:r>
          </w:p>
        </w:tc>
        <w:tc>
          <w:tcPr>
            <w:tcW w:w="170" w:type="dxa"/>
            <w:tcBorders>
              <w:top w:val="nil"/>
              <w:left w:val="nil"/>
              <w:bottom w:val="nil"/>
              <w:right w:val="nil"/>
            </w:tcBorders>
            <w:shd w:val="clear" w:color="auto" w:fill="auto"/>
            <w:vAlign w:val="bottom"/>
          </w:tcPr>
          <w:p w14:paraId="723DF01D" w14:textId="06809E10"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D31867D" w14:textId="0F3C7DCB" w:rsidR="005D19CF" w:rsidRPr="001D41EA" w:rsidRDefault="005D19CF" w:rsidP="005D19CF">
            <w:pPr>
              <w:spacing w:before="40" w:after="40"/>
              <w:jc w:val="center"/>
              <w:rPr>
                <w:rFonts w:cs="Arial"/>
                <w:sz w:val="18"/>
                <w:szCs w:val="18"/>
              </w:rPr>
            </w:pPr>
            <w:r w:rsidRPr="001D41EA">
              <w:rPr>
                <w:rFonts w:cs="Arial"/>
                <w:sz w:val="18"/>
                <w:szCs w:val="18"/>
              </w:rPr>
              <w:t>1.75</w:t>
            </w:r>
          </w:p>
        </w:tc>
      </w:tr>
      <w:tr w:rsidR="005D19CF" w:rsidRPr="001D41EA" w14:paraId="493B715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D71E96B" w14:textId="77777777" w:rsidR="005D19CF" w:rsidRPr="001D41EA" w:rsidRDefault="005D19CF" w:rsidP="005D19CF">
            <w:pPr>
              <w:spacing w:before="40" w:after="40"/>
              <w:rPr>
                <w:rFonts w:cs="Arial"/>
                <w:sz w:val="18"/>
                <w:szCs w:val="18"/>
              </w:rPr>
            </w:pPr>
            <w:r w:rsidRPr="001D41EA">
              <w:rPr>
                <w:rFonts w:cs="Arial"/>
                <w:sz w:val="18"/>
                <w:szCs w:val="18"/>
              </w:rPr>
              <w:t>Cardinia S</w:t>
            </w:r>
          </w:p>
        </w:tc>
        <w:tc>
          <w:tcPr>
            <w:tcW w:w="1418" w:type="dxa"/>
            <w:tcBorders>
              <w:top w:val="nil"/>
              <w:left w:val="single" w:sz="18" w:space="0" w:color="5F497A" w:themeColor="accent4" w:themeShade="BF"/>
              <w:bottom w:val="nil"/>
              <w:right w:val="nil"/>
            </w:tcBorders>
            <w:shd w:val="clear" w:color="auto" w:fill="auto"/>
            <w:vAlign w:val="bottom"/>
          </w:tcPr>
          <w:p w14:paraId="2614931A" w14:textId="1EB28E25" w:rsidR="005D19CF" w:rsidRPr="001D41EA" w:rsidRDefault="005D19CF" w:rsidP="005D19CF">
            <w:pPr>
              <w:spacing w:before="40" w:after="40"/>
              <w:jc w:val="right"/>
              <w:rPr>
                <w:rFonts w:cs="Arial"/>
                <w:sz w:val="18"/>
                <w:szCs w:val="18"/>
              </w:rPr>
            </w:pPr>
            <w:r w:rsidRPr="001D41EA">
              <w:rPr>
                <w:rFonts w:cs="Arial"/>
                <w:sz w:val="18"/>
                <w:szCs w:val="18"/>
              </w:rPr>
              <w:t>94,130</w:t>
            </w:r>
          </w:p>
        </w:tc>
        <w:tc>
          <w:tcPr>
            <w:tcW w:w="1418" w:type="dxa"/>
            <w:tcBorders>
              <w:top w:val="nil"/>
              <w:left w:val="nil"/>
              <w:bottom w:val="nil"/>
              <w:right w:val="nil"/>
            </w:tcBorders>
            <w:vAlign w:val="bottom"/>
          </w:tcPr>
          <w:p w14:paraId="7E5C1CFD" w14:textId="4303DA2A" w:rsidR="005D19CF" w:rsidRPr="001D41EA" w:rsidRDefault="005D19CF" w:rsidP="005D19CF">
            <w:pPr>
              <w:spacing w:before="40" w:after="40"/>
              <w:jc w:val="right"/>
              <w:rPr>
                <w:rFonts w:cs="Arial"/>
                <w:sz w:val="18"/>
                <w:szCs w:val="18"/>
              </w:rPr>
            </w:pPr>
            <w:r w:rsidRPr="001D41EA">
              <w:rPr>
                <w:rFonts w:cs="Arial"/>
                <w:sz w:val="18"/>
                <w:szCs w:val="18"/>
              </w:rPr>
              <w:t>14,255</w:t>
            </w:r>
          </w:p>
        </w:tc>
        <w:tc>
          <w:tcPr>
            <w:tcW w:w="1418" w:type="dxa"/>
            <w:tcBorders>
              <w:top w:val="nil"/>
              <w:left w:val="nil"/>
              <w:bottom w:val="nil"/>
              <w:right w:val="nil"/>
            </w:tcBorders>
            <w:shd w:val="clear" w:color="auto" w:fill="auto"/>
            <w:vAlign w:val="bottom"/>
          </w:tcPr>
          <w:p w14:paraId="2ED1203B" w14:textId="48891351" w:rsidR="005D19CF" w:rsidRPr="001D41EA" w:rsidRDefault="005D19CF" w:rsidP="005D19CF">
            <w:pPr>
              <w:spacing w:before="40" w:after="40"/>
              <w:jc w:val="center"/>
              <w:rPr>
                <w:rFonts w:cs="Arial"/>
                <w:sz w:val="18"/>
                <w:szCs w:val="18"/>
              </w:rPr>
            </w:pPr>
            <w:r w:rsidRPr="005D19CF">
              <w:rPr>
                <w:rFonts w:cs="Arial"/>
                <w:sz w:val="18"/>
                <w:szCs w:val="18"/>
              </w:rPr>
              <w:t>15.1</w:t>
            </w:r>
          </w:p>
        </w:tc>
        <w:tc>
          <w:tcPr>
            <w:tcW w:w="170" w:type="dxa"/>
            <w:tcBorders>
              <w:top w:val="nil"/>
              <w:left w:val="nil"/>
              <w:bottom w:val="nil"/>
              <w:right w:val="nil"/>
            </w:tcBorders>
            <w:shd w:val="clear" w:color="auto" w:fill="auto"/>
            <w:vAlign w:val="bottom"/>
          </w:tcPr>
          <w:p w14:paraId="27CE36E6" w14:textId="619E2CBB"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D1CE9A0" w14:textId="0C26EA63" w:rsidR="005D19CF" w:rsidRPr="001D41EA" w:rsidRDefault="005D19CF" w:rsidP="005D19CF">
            <w:pPr>
              <w:spacing w:before="40" w:after="40"/>
              <w:jc w:val="center"/>
              <w:rPr>
                <w:rFonts w:cs="Arial"/>
                <w:sz w:val="18"/>
                <w:szCs w:val="18"/>
              </w:rPr>
            </w:pPr>
            <w:r w:rsidRPr="001D41EA">
              <w:rPr>
                <w:rFonts w:cs="Arial"/>
                <w:sz w:val="18"/>
                <w:szCs w:val="18"/>
              </w:rPr>
              <w:t>0.43</w:t>
            </w:r>
          </w:p>
        </w:tc>
      </w:tr>
      <w:tr w:rsidR="005D19CF" w:rsidRPr="001D41EA" w14:paraId="58666C96"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8773A99" w14:textId="77777777" w:rsidR="005D19CF" w:rsidRPr="001D41EA" w:rsidRDefault="005D19CF" w:rsidP="005D19CF">
            <w:pPr>
              <w:spacing w:before="40" w:after="40"/>
              <w:rPr>
                <w:rFonts w:cs="Arial"/>
                <w:sz w:val="18"/>
                <w:szCs w:val="18"/>
              </w:rPr>
            </w:pPr>
            <w:r w:rsidRPr="001D41EA">
              <w:rPr>
                <w:rFonts w:cs="Arial"/>
                <w:sz w:val="18"/>
                <w:szCs w:val="18"/>
              </w:rPr>
              <w:t>Casey C</w:t>
            </w:r>
          </w:p>
        </w:tc>
        <w:tc>
          <w:tcPr>
            <w:tcW w:w="1418" w:type="dxa"/>
            <w:tcBorders>
              <w:top w:val="nil"/>
              <w:left w:val="single" w:sz="18" w:space="0" w:color="5F497A" w:themeColor="accent4" w:themeShade="BF"/>
              <w:bottom w:val="nil"/>
              <w:right w:val="nil"/>
            </w:tcBorders>
            <w:shd w:val="clear" w:color="auto" w:fill="auto"/>
            <w:vAlign w:val="bottom"/>
          </w:tcPr>
          <w:p w14:paraId="610FB0F5" w14:textId="4BFA9362" w:rsidR="005D19CF" w:rsidRPr="001D41EA" w:rsidRDefault="005D19CF" w:rsidP="005D19CF">
            <w:pPr>
              <w:spacing w:before="40" w:after="40"/>
              <w:jc w:val="right"/>
              <w:rPr>
                <w:rFonts w:cs="Arial"/>
                <w:sz w:val="18"/>
                <w:szCs w:val="18"/>
              </w:rPr>
            </w:pPr>
            <w:r w:rsidRPr="001D41EA">
              <w:rPr>
                <w:rFonts w:cs="Arial"/>
                <w:sz w:val="18"/>
                <w:szCs w:val="18"/>
              </w:rPr>
              <w:t>299,296</w:t>
            </w:r>
          </w:p>
        </w:tc>
        <w:tc>
          <w:tcPr>
            <w:tcW w:w="1418" w:type="dxa"/>
            <w:tcBorders>
              <w:top w:val="nil"/>
              <w:left w:val="nil"/>
              <w:bottom w:val="nil"/>
              <w:right w:val="nil"/>
            </w:tcBorders>
            <w:vAlign w:val="bottom"/>
          </w:tcPr>
          <w:p w14:paraId="32049BBE" w14:textId="66F4F203" w:rsidR="005D19CF" w:rsidRPr="001D41EA" w:rsidRDefault="005D19CF" w:rsidP="005D19CF">
            <w:pPr>
              <w:spacing w:before="40" w:after="40"/>
              <w:jc w:val="right"/>
              <w:rPr>
                <w:rFonts w:cs="Arial"/>
                <w:sz w:val="18"/>
                <w:szCs w:val="18"/>
              </w:rPr>
            </w:pPr>
            <w:r w:rsidRPr="001D41EA">
              <w:rPr>
                <w:rFonts w:cs="Arial"/>
                <w:sz w:val="18"/>
                <w:szCs w:val="18"/>
              </w:rPr>
              <w:t>44,289</w:t>
            </w:r>
          </w:p>
        </w:tc>
        <w:tc>
          <w:tcPr>
            <w:tcW w:w="1418" w:type="dxa"/>
            <w:tcBorders>
              <w:top w:val="nil"/>
              <w:left w:val="nil"/>
              <w:bottom w:val="nil"/>
              <w:right w:val="nil"/>
            </w:tcBorders>
            <w:shd w:val="clear" w:color="auto" w:fill="auto"/>
            <w:vAlign w:val="bottom"/>
          </w:tcPr>
          <w:p w14:paraId="75D7A1B6" w14:textId="7EE3B967" w:rsidR="005D19CF" w:rsidRPr="001D41EA" w:rsidRDefault="005D19CF" w:rsidP="005D19CF">
            <w:pPr>
              <w:spacing w:before="40" w:after="40"/>
              <w:jc w:val="center"/>
              <w:rPr>
                <w:rFonts w:cs="Arial"/>
                <w:sz w:val="18"/>
                <w:szCs w:val="18"/>
              </w:rPr>
            </w:pPr>
            <w:r w:rsidRPr="005D19CF">
              <w:rPr>
                <w:rFonts w:cs="Arial"/>
                <w:sz w:val="18"/>
                <w:szCs w:val="18"/>
              </w:rPr>
              <w:t>14.8</w:t>
            </w:r>
          </w:p>
        </w:tc>
        <w:tc>
          <w:tcPr>
            <w:tcW w:w="170" w:type="dxa"/>
            <w:tcBorders>
              <w:top w:val="nil"/>
              <w:left w:val="nil"/>
              <w:bottom w:val="nil"/>
              <w:right w:val="nil"/>
            </w:tcBorders>
            <w:shd w:val="clear" w:color="auto" w:fill="auto"/>
            <w:vAlign w:val="bottom"/>
          </w:tcPr>
          <w:p w14:paraId="6C63AD37" w14:textId="26BE724D"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6F8F89D" w14:textId="7333CA10" w:rsidR="005D19CF" w:rsidRPr="001D41EA" w:rsidRDefault="005D19CF" w:rsidP="005D19CF">
            <w:pPr>
              <w:spacing w:before="40" w:after="40"/>
              <w:jc w:val="center"/>
              <w:rPr>
                <w:rFonts w:cs="Arial"/>
                <w:sz w:val="18"/>
                <w:szCs w:val="18"/>
              </w:rPr>
            </w:pPr>
            <w:r w:rsidRPr="001D41EA">
              <w:rPr>
                <w:rFonts w:cs="Arial"/>
                <w:sz w:val="18"/>
                <w:szCs w:val="18"/>
              </w:rPr>
              <w:t>0.06</w:t>
            </w:r>
          </w:p>
        </w:tc>
      </w:tr>
      <w:tr w:rsidR="005D19CF" w:rsidRPr="001D41EA" w14:paraId="7A3B47C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C609041" w14:textId="77777777" w:rsidR="005D19CF" w:rsidRPr="001D41EA" w:rsidRDefault="005D19CF" w:rsidP="005D19CF">
            <w:pPr>
              <w:spacing w:before="40" w:after="40"/>
              <w:rPr>
                <w:rFonts w:cs="Arial"/>
                <w:sz w:val="18"/>
                <w:szCs w:val="18"/>
              </w:rPr>
            </w:pPr>
            <w:r w:rsidRPr="001D41EA">
              <w:rPr>
                <w:rFonts w:cs="Arial"/>
                <w:sz w:val="18"/>
                <w:szCs w:val="18"/>
              </w:rPr>
              <w:t>Central Goldfields S</w:t>
            </w:r>
          </w:p>
        </w:tc>
        <w:tc>
          <w:tcPr>
            <w:tcW w:w="1418" w:type="dxa"/>
            <w:tcBorders>
              <w:top w:val="nil"/>
              <w:left w:val="single" w:sz="18" w:space="0" w:color="5F497A" w:themeColor="accent4" w:themeShade="BF"/>
              <w:bottom w:val="nil"/>
              <w:right w:val="nil"/>
            </w:tcBorders>
            <w:shd w:val="clear" w:color="auto" w:fill="auto"/>
            <w:vAlign w:val="bottom"/>
          </w:tcPr>
          <w:p w14:paraId="4F8AFEAE" w14:textId="24DBBCB4" w:rsidR="005D19CF" w:rsidRPr="001D41EA" w:rsidRDefault="005D19CF" w:rsidP="005D19CF">
            <w:pPr>
              <w:spacing w:before="40" w:after="40"/>
              <w:jc w:val="right"/>
              <w:rPr>
                <w:rFonts w:cs="Arial"/>
                <w:sz w:val="18"/>
                <w:szCs w:val="18"/>
              </w:rPr>
            </w:pPr>
            <w:r w:rsidRPr="001D41EA">
              <w:rPr>
                <w:rFonts w:cs="Arial"/>
                <w:sz w:val="18"/>
                <w:szCs w:val="18"/>
              </w:rPr>
              <w:t>12,993</w:t>
            </w:r>
          </w:p>
        </w:tc>
        <w:tc>
          <w:tcPr>
            <w:tcW w:w="1418" w:type="dxa"/>
            <w:tcBorders>
              <w:top w:val="nil"/>
              <w:left w:val="nil"/>
              <w:bottom w:val="nil"/>
              <w:right w:val="nil"/>
            </w:tcBorders>
            <w:vAlign w:val="bottom"/>
          </w:tcPr>
          <w:p w14:paraId="225936CC" w14:textId="1CE306A8" w:rsidR="005D19CF" w:rsidRPr="001D41EA" w:rsidRDefault="005D19CF" w:rsidP="005D19CF">
            <w:pPr>
              <w:spacing w:before="40" w:after="40"/>
              <w:jc w:val="right"/>
              <w:rPr>
                <w:rFonts w:cs="Arial"/>
                <w:sz w:val="18"/>
                <w:szCs w:val="18"/>
              </w:rPr>
            </w:pPr>
            <w:r w:rsidRPr="001D41EA">
              <w:rPr>
                <w:rFonts w:cs="Arial"/>
                <w:sz w:val="18"/>
                <w:szCs w:val="18"/>
              </w:rPr>
              <w:t>2,676</w:t>
            </w:r>
          </w:p>
        </w:tc>
        <w:tc>
          <w:tcPr>
            <w:tcW w:w="1418" w:type="dxa"/>
            <w:tcBorders>
              <w:top w:val="nil"/>
              <w:left w:val="nil"/>
              <w:bottom w:val="nil"/>
              <w:right w:val="nil"/>
            </w:tcBorders>
            <w:shd w:val="clear" w:color="auto" w:fill="auto"/>
            <w:vAlign w:val="bottom"/>
          </w:tcPr>
          <w:p w14:paraId="539804ED" w14:textId="73E6FE6C" w:rsidR="005D19CF" w:rsidRPr="001D41EA" w:rsidRDefault="005D19CF" w:rsidP="005D19CF">
            <w:pPr>
              <w:spacing w:before="40" w:after="40"/>
              <w:jc w:val="center"/>
              <w:rPr>
                <w:rFonts w:cs="Arial"/>
                <w:sz w:val="18"/>
                <w:szCs w:val="18"/>
              </w:rPr>
            </w:pPr>
            <w:r w:rsidRPr="005D19CF">
              <w:rPr>
                <w:rFonts w:cs="Arial"/>
                <w:sz w:val="18"/>
                <w:szCs w:val="18"/>
              </w:rPr>
              <w:t>20.6</w:t>
            </w:r>
          </w:p>
        </w:tc>
        <w:tc>
          <w:tcPr>
            <w:tcW w:w="170" w:type="dxa"/>
            <w:tcBorders>
              <w:top w:val="nil"/>
              <w:left w:val="nil"/>
              <w:bottom w:val="nil"/>
              <w:right w:val="nil"/>
            </w:tcBorders>
            <w:shd w:val="clear" w:color="auto" w:fill="auto"/>
            <w:vAlign w:val="bottom"/>
          </w:tcPr>
          <w:p w14:paraId="0A01E99E" w14:textId="5C03F50F"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66C0CFF" w14:textId="1EDD2D3F" w:rsidR="005D19CF" w:rsidRPr="001D41EA" w:rsidRDefault="005D19CF" w:rsidP="005D19CF">
            <w:pPr>
              <w:spacing w:before="40" w:after="40"/>
              <w:jc w:val="center"/>
              <w:rPr>
                <w:rFonts w:cs="Arial"/>
                <w:sz w:val="18"/>
                <w:szCs w:val="18"/>
              </w:rPr>
            </w:pPr>
            <w:r w:rsidRPr="001D41EA">
              <w:rPr>
                <w:rFonts w:cs="Arial"/>
                <w:sz w:val="18"/>
                <w:szCs w:val="18"/>
              </w:rPr>
              <w:t>1.52</w:t>
            </w:r>
          </w:p>
        </w:tc>
      </w:tr>
      <w:tr w:rsidR="005D19CF" w:rsidRPr="001D41EA" w14:paraId="4727C764"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F3CD55C" w14:textId="77777777" w:rsidR="005D19CF" w:rsidRPr="001D41EA" w:rsidRDefault="005D19CF" w:rsidP="005D19CF">
            <w:pPr>
              <w:spacing w:before="40" w:after="40"/>
              <w:rPr>
                <w:rFonts w:cs="Arial"/>
                <w:sz w:val="18"/>
                <w:szCs w:val="18"/>
              </w:rPr>
            </w:pPr>
            <w:r w:rsidRPr="001D41EA">
              <w:rPr>
                <w:rFonts w:cs="Arial"/>
                <w:sz w:val="18"/>
                <w:szCs w:val="18"/>
              </w:rPr>
              <w:t>Colac Otway S</w:t>
            </w:r>
          </w:p>
        </w:tc>
        <w:tc>
          <w:tcPr>
            <w:tcW w:w="1418" w:type="dxa"/>
            <w:tcBorders>
              <w:top w:val="nil"/>
              <w:left w:val="single" w:sz="18" w:space="0" w:color="5F497A" w:themeColor="accent4" w:themeShade="BF"/>
              <w:bottom w:val="nil"/>
              <w:right w:val="nil"/>
            </w:tcBorders>
            <w:shd w:val="clear" w:color="auto" w:fill="auto"/>
            <w:vAlign w:val="bottom"/>
          </w:tcPr>
          <w:p w14:paraId="6BD21C3C" w14:textId="261D99D6" w:rsidR="005D19CF" w:rsidRPr="001D41EA" w:rsidRDefault="005D19CF" w:rsidP="005D19CF">
            <w:pPr>
              <w:spacing w:before="40" w:after="40"/>
              <w:jc w:val="right"/>
              <w:rPr>
                <w:rFonts w:cs="Arial"/>
                <w:sz w:val="18"/>
                <w:szCs w:val="18"/>
              </w:rPr>
            </w:pPr>
            <w:r w:rsidRPr="001D41EA">
              <w:rPr>
                <w:rFonts w:cs="Arial"/>
                <w:sz w:val="18"/>
                <w:szCs w:val="18"/>
              </w:rPr>
              <w:t>20,971</w:t>
            </w:r>
          </w:p>
        </w:tc>
        <w:tc>
          <w:tcPr>
            <w:tcW w:w="1418" w:type="dxa"/>
            <w:tcBorders>
              <w:top w:val="nil"/>
              <w:left w:val="nil"/>
              <w:bottom w:val="nil"/>
              <w:right w:val="nil"/>
            </w:tcBorders>
            <w:vAlign w:val="bottom"/>
          </w:tcPr>
          <w:p w14:paraId="769226A0" w14:textId="58A37950" w:rsidR="005D19CF" w:rsidRPr="001D41EA" w:rsidRDefault="005D19CF" w:rsidP="005D19CF">
            <w:pPr>
              <w:spacing w:before="40" w:after="40"/>
              <w:jc w:val="right"/>
              <w:rPr>
                <w:rFonts w:cs="Arial"/>
                <w:sz w:val="18"/>
                <w:szCs w:val="18"/>
              </w:rPr>
            </w:pPr>
            <w:r w:rsidRPr="001D41EA">
              <w:rPr>
                <w:rFonts w:cs="Arial"/>
                <w:sz w:val="18"/>
                <w:szCs w:val="18"/>
              </w:rPr>
              <w:t>5,336</w:t>
            </w:r>
          </w:p>
        </w:tc>
        <w:tc>
          <w:tcPr>
            <w:tcW w:w="1418" w:type="dxa"/>
            <w:tcBorders>
              <w:top w:val="nil"/>
              <w:left w:val="nil"/>
              <w:bottom w:val="nil"/>
              <w:right w:val="nil"/>
            </w:tcBorders>
            <w:shd w:val="clear" w:color="auto" w:fill="auto"/>
            <w:vAlign w:val="bottom"/>
          </w:tcPr>
          <w:p w14:paraId="5FE0B9A4" w14:textId="5148386E" w:rsidR="005D19CF" w:rsidRPr="001D41EA" w:rsidRDefault="005D19CF" w:rsidP="005D19CF">
            <w:pPr>
              <w:spacing w:before="40" w:after="40"/>
              <w:jc w:val="center"/>
              <w:rPr>
                <w:rFonts w:cs="Arial"/>
                <w:sz w:val="18"/>
                <w:szCs w:val="18"/>
              </w:rPr>
            </w:pPr>
            <w:r w:rsidRPr="005D19CF">
              <w:rPr>
                <w:rFonts w:cs="Arial"/>
                <w:sz w:val="18"/>
                <w:szCs w:val="18"/>
              </w:rPr>
              <w:t>25.4</w:t>
            </w:r>
          </w:p>
        </w:tc>
        <w:tc>
          <w:tcPr>
            <w:tcW w:w="170" w:type="dxa"/>
            <w:tcBorders>
              <w:top w:val="nil"/>
              <w:left w:val="nil"/>
              <w:bottom w:val="nil"/>
              <w:right w:val="nil"/>
            </w:tcBorders>
            <w:shd w:val="clear" w:color="auto" w:fill="auto"/>
            <w:vAlign w:val="bottom"/>
          </w:tcPr>
          <w:p w14:paraId="4B3EA99C" w14:textId="339F6378"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3DFDA821" w14:textId="04B7C2D9" w:rsidR="005D19CF" w:rsidRPr="001D41EA" w:rsidRDefault="005D19CF" w:rsidP="005D19CF">
            <w:pPr>
              <w:spacing w:before="40" w:after="40"/>
              <w:jc w:val="center"/>
              <w:rPr>
                <w:rFonts w:cs="Arial"/>
                <w:sz w:val="18"/>
                <w:szCs w:val="18"/>
              </w:rPr>
            </w:pPr>
            <w:r w:rsidRPr="001D41EA">
              <w:rPr>
                <w:rFonts w:cs="Arial"/>
                <w:sz w:val="18"/>
                <w:szCs w:val="18"/>
              </w:rPr>
              <w:t>2.05</w:t>
            </w:r>
          </w:p>
        </w:tc>
      </w:tr>
      <w:tr w:rsidR="005D19CF" w:rsidRPr="001D41EA" w14:paraId="2C68D89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C191327" w14:textId="77777777" w:rsidR="005D19CF" w:rsidRPr="001D41EA" w:rsidRDefault="005D19CF" w:rsidP="005D19CF">
            <w:pPr>
              <w:spacing w:before="40" w:after="40"/>
              <w:rPr>
                <w:rFonts w:cs="Arial"/>
                <w:sz w:val="18"/>
                <w:szCs w:val="18"/>
              </w:rPr>
            </w:pPr>
            <w:r w:rsidRPr="001D41EA">
              <w:rPr>
                <w:rFonts w:cs="Arial"/>
                <w:sz w:val="18"/>
                <w:szCs w:val="18"/>
              </w:rPr>
              <w:t>Corangamite S</w:t>
            </w:r>
          </w:p>
        </w:tc>
        <w:tc>
          <w:tcPr>
            <w:tcW w:w="1418" w:type="dxa"/>
            <w:tcBorders>
              <w:top w:val="nil"/>
              <w:left w:val="single" w:sz="18" w:space="0" w:color="5F497A" w:themeColor="accent4" w:themeShade="BF"/>
              <w:bottom w:val="nil"/>
              <w:right w:val="nil"/>
            </w:tcBorders>
            <w:shd w:val="clear" w:color="auto" w:fill="auto"/>
            <w:vAlign w:val="bottom"/>
          </w:tcPr>
          <w:p w14:paraId="4900B87A" w14:textId="18BAA08D" w:rsidR="005D19CF" w:rsidRPr="001D41EA" w:rsidRDefault="005D19CF" w:rsidP="005D19CF">
            <w:pPr>
              <w:spacing w:before="40" w:after="40"/>
              <w:jc w:val="right"/>
              <w:rPr>
                <w:rFonts w:cs="Arial"/>
                <w:sz w:val="18"/>
                <w:szCs w:val="18"/>
              </w:rPr>
            </w:pPr>
            <w:r w:rsidRPr="001D41EA">
              <w:rPr>
                <w:rFonts w:cs="Arial"/>
                <w:sz w:val="18"/>
                <w:szCs w:val="18"/>
              </w:rPr>
              <w:t>16,053</w:t>
            </w:r>
          </w:p>
        </w:tc>
        <w:tc>
          <w:tcPr>
            <w:tcW w:w="1418" w:type="dxa"/>
            <w:tcBorders>
              <w:top w:val="nil"/>
              <w:left w:val="nil"/>
              <w:bottom w:val="nil"/>
              <w:right w:val="nil"/>
            </w:tcBorders>
            <w:vAlign w:val="bottom"/>
          </w:tcPr>
          <w:p w14:paraId="3BB1FD15" w14:textId="4AAE1105" w:rsidR="005D19CF" w:rsidRPr="001D41EA" w:rsidRDefault="005D19CF" w:rsidP="005D19CF">
            <w:pPr>
              <w:spacing w:before="40" w:after="40"/>
              <w:jc w:val="right"/>
              <w:rPr>
                <w:rFonts w:cs="Arial"/>
                <w:sz w:val="18"/>
                <w:szCs w:val="18"/>
              </w:rPr>
            </w:pPr>
            <w:r w:rsidRPr="001D41EA">
              <w:rPr>
                <w:rFonts w:cs="Arial"/>
                <w:sz w:val="18"/>
                <w:szCs w:val="18"/>
              </w:rPr>
              <w:t>3,077</w:t>
            </w:r>
          </w:p>
        </w:tc>
        <w:tc>
          <w:tcPr>
            <w:tcW w:w="1418" w:type="dxa"/>
            <w:tcBorders>
              <w:top w:val="nil"/>
              <w:left w:val="nil"/>
              <w:bottom w:val="nil"/>
              <w:right w:val="nil"/>
            </w:tcBorders>
            <w:shd w:val="clear" w:color="auto" w:fill="auto"/>
            <w:vAlign w:val="bottom"/>
          </w:tcPr>
          <w:p w14:paraId="3646E386" w14:textId="3B189C29" w:rsidR="005D19CF" w:rsidRPr="001D41EA" w:rsidRDefault="005D19CF" w:rsidP="005D19CF">
            <w:pPr>
              <w:spacing w:before="40" w:after="40"/>
              <w:jc w:val="center"/>
              <w:rPr>
                <w:rFonts w:cs="Arial"/>
                <w:sz w:val="18"/>
                <w:szCs w:val="18"/>
              </w:rPr>
            </w:pPr>
            <w:r w:rsidRPr="005D19CF">
              <w:rPr>
                <w:rFonts w:cs="Arial"/>
                <w:sz w:val="18"/>
                <w:szCs w:val="18"/>
              </w:rPr>
              <w:t>19.2</w:t>
            </w:r>
          </w:p>
        </w:tc>
        <w:tc>
          <w:tcPr>
            <w:tcW w:w="170" w:type="dxa"/>
            <w:tcBorders>
              <w:top w:val="nil"/>
              <w:left w:val="nil"/>
              <w:bottom w:val="nil"/>
              <w:right w:val="nil"/>
            </w:tcBorders>
            <w:shd w:val="clear" w:color="auto" w:fill="auto"/>
            <w:vAlign w:val="bottom"/>
          </w:tcPr>
          <w:p w14:paraId="58935DCD" w14:textId="4A972F16"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8825E50" w14:textId="24F647BE" w:rsidR="005D19CF" w:rsidRPr="001D41EA" w:rsidRDefault="005D19CF" w:rsidP="005D19CF">
            <w:pPr>
              <w:spacing w:before="40" w:after="40"/>
              <w:jc w:val="center"/>
              <w:rPr>
                <w:rFonts w:cs="Arial"/>
                <w:sz w:val="18"/>
                <w:szCs w:val="18"/>
              </w:rPr>
            </w:pPr>
            <w:r w:rsidRPr="001D41EA">
              <w:rPr>
                <w:rFonts w:cs="Arial"/>
                <w:sz w:val="18"/>
                <w:szCs w:val="18"/>
              </w:rPr>
              <w:t>2.41</w:t>
            </w:r>
          </w:p>
        </w:tc>
      </w:tr>
      <w:tr w:rsidR="005D19CF" w:rsidRPr="001D41EA" w14:paraId="25B1E9E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D48DA50" w14:textId="77777777" w:rsidR="005D19CF" w:rsidRPr="001D41EA" w:rsidRDefault="005D19CF" w:rsidP="005D19CF">
            <w:pPr>
              <w:spacing w:before="40" w:after="40"/>
              <w:rPr>
                <w:rFonts w:cs="Arial"/>
                <w:sz w:val="18"/>
                <w:szCs w:val="18"/>
              </w:rPr>
            </w:pPr>
            <w:r w:rsidRPr="001D41EA">
              <w:rPr>
                <w:rFonts w:cs="Arial"/>
                <w:sz w:val="18"/>
                <w:szCs w:val="18"/>
              </w:rPr>
              <w:t>Darebin C</w:t>
            </w:r>
          </w:p>
        </w:tc>
        <w:tc>
          <w:tcPr>
            <w:tcW w:w="1418" w:type="dxa"/>
            <w:tcBorders>
              <w:top w:val="nil"/>
              <w:left w:val="single" w:sz="18" w:space="0" w:color="5F497A" w:themeColor="accent4" w:themeShade="BF"/>
              <w:bottom w:val="nil"/>
              <w:right w:val="nil"/>
            </w:tcBorders>
            <w:shd w:val="clear" w:color="auto" w:fill="auto"/>
            <w:vAlign w:val="bottom"/>
          </w:tcPr>
          <w:p w14:paraId="7EEC0C45" w14:textId="172B1B51" w:rsidR="005D19CF" w:rsidRPr="001D41EA" w:rsidRDefault="005D19CF" w:rsidP="005D19CF">
            <w:pPr>
              <w:spacing w:before="40" w:after="40"/>
              <w:jc w:val="right"/>
              <w:rPr>
                <w:rFonts w:cs="Arial"/>
                <w:sz w:val="18"/>
                <w:szCs w:val="18"/>
              </w:rPr>
            </w:pPr>
            <w:r w:rsidRPr="001D41EA">
              <w:rPr>
                <w:rFonts w:cs="Arial"/>
                <w:sz w:val="18"/>
                <w:szCs w:val="18"/>
              </w:rPr>
              <w:t>146,722</w:t>
            </w:r>
          </w:p>
        </w:tc>
        <w:tc>
          <w:tcPr>
            <w:tcW w:w="1418" w:type="dxa"/>
            <w:tcBorders>
              <w:top w:val="nil"/>
              <w:left w:val="nil"/>
              <w:bottom w:val="nil"/>
              <w:right w:val="nil"/>
            </w:tcBorders>
            <w:vAlign w:val="bottom"/>
          </w:tcPr>
          <w:p w14:paraId="409FB1C5" w14:textId="6BC3BD5A" w:rsidR="005D19CF" w:rsidRPr="001D41EA" w:rsidRDefault="005D19CF" w:rsidP="005D19CF">
            <w:pPr>
              <w:spacing w:before="40" w:after="40"/>
              <w:jc w:val="right"/>
              <w:rPr>
                <w:rFonts w:cs="Arial"/>
                <w:sz w:val="18"/>
                <w:szCs w:val="18"/>
              </w:rPr>
            </w:pPr>
            <w:r w:rsidRPr="001D41EA">
              <w:rPr>
                <w:rFonts w:cs="Arial"/>
                <w:sz w:val="18"/>
                <w:szCs w:val="18"/>
              </w:rPr>
              <w:t>34,398</w:t>
            </w:r>
          </w:p>
        </w:tc>
        <w:tc>
          <w:tcPr>
            <w:tcW w:w="1418" w:type="dxa"/>
            <w:tcBorders>
              <w:top w:val="nil"/>
              <w:left w:val="nil"/>
              <w:bottom w:val="nil"/>
              <w:right w:val="nil"/>
            </w:tcBorders>
            <w:shd w:val="clear" w:color="auto" w:fill="auto"/>
            <w:vAlign w:val="bottom"/>
          </w:tcPr>
          <w:p w14:paraId="4973B266" w14:textId="3955B38E" w:rsidR="005D19CF" w:rsidRPr="001D41EA" w:rsidRDefault="005D19CF" w:rsidP="005D19CF">
            <w:pPr>
              <w:spacing w:before="40" w:after="40"/>
              <w:jc w:val="center"/>
              <w:rPr>
                <w:rFonts w:cs="Arial"/>
                <w:sz w:val="18"/>
                <w:szCs w:val="18"/>
              </w:rPr>
            </w:pPr>
            <w:r w:rsidRPr="005D19CF">
              <w:rPr>
                <w:rFonts w:cs="Arial"/>
                <w:sz w:val="18"/>
                <w:szCs w:val="18"/>
              </w:rPr>
              <w:t>23.4</w:t>
            </w:r>
          </w:p>
        </w:tc>
        <w:tc>
          <w:tcPr>
            <w:tcW w:w="170" w:type="dxa"/>
            <w:tcBorders>
              <w:top w:val="nil"/>
              <w:left w:val="nil"/>
              <w:bottom w:val="nil"/>
              <w:right w:val="nil"/>
            </w:tcBorders>
            <w:shd w:val="clear" w:color="auto" w:fill="auto"/>
            <w:vAlign w:val="bottom"/>
          </w:tcPr>
          <w:p w14:paraId="768FD91B" w14:textId="025DD21A"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788C9C9" w14:textId="1930C8CE" w:rsidR="005D19CF" w:rsidRPr="001D41EA" w:rsidRDefault="005D19CF" w:rsidP="005D19CF">
            <w:pPr>
              <w:spacing w:before="40" w:after="40"/>
              <w:jc w:val="center"/>
              <w:rPr>
                <w:rFonts w:cs="Arial"/>
                <w:sz w:val="18"/>
                <w:szCs w:val="18"/>
              </w:rPr>
            </w:pPr>
          </w:p>
        </w:tc>
      </w:tr>
      <w:tr w:rsidR="005D19CF" w:rsidRPr="001D41EA" w14:paraId="112FD751"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56814FF" w14:textId="77777777" w:rsidR="005D19CF" w:rsidRPr="001D41EA" w:rsidRDefault="005D19CF" w:rsidP="005D19CF">
            <w:pPr>
              <w:spacing w:before="40" w:after="40"/>
              <w:rPr>
                <w:rFonts w:cs="Arial"/>
                <w:sz w:val="18"/>
                <w:szCs w:val="18"/>
              </w:rPr>
            </w:pPr>
            <w:r w:rsidRPr="001D41EA">
              <w:rPr>
                <w:rFonts w:cs="Arial"/>
                <w:sz w:val="18"/>
                <w:szCs w:val="18"/>
              </w:rPr>
              <w:t>East Gippsland S</w:t>
            </w:r>
          </w:p>
        </w:tc>
        <w:tc>
          <w:tcPr>
            <w:tcW w:w="1418" w:type="dxa"/>
            <w:tcBorders>
              <w:top w:val="nil"/>
              <w:left w:val="single" w:sz="18" w:space="0" w:color="5F497A" w:themeColor="accent4" w:themeShade="BF"/>
              <w:bottom w:val="nil"/>
              <w:right w:val="nil"/>
            </w:tcBorders>
            <w:shd w:val="clear" w:color="auto" w:fill="auto"/>
            <w:vAlign w:val="bottom"/>
          </w:tcPr>
          <w:p w14:paraId="74FA43B0" w14:textId="341C6DAD" w:rsidR="005D19CF" w:rsidRPr="001D41EA" w:rsidRDefault="005D19CF" w:rsidP="005D19CF">
            <w:pPr>
              <w:spacing w:before="40" w:after="40"/>
              <w:jc w:val="right"/>
              <w:rPr>
                <w:rFonts w:cs="Arial"/>
                <w:sz w:val="18"/>
                <w:szCs w:val="18"/>
              </w:rPr>
            </w:pPr>
            <w:r w:rsidRPr="001D41EA">
              <w:rPr>
                <w:rFonts w:cs="Arial"/>
                <w:sz w:val="18"/>
                <w:szCs w:val="18"/>
              </w:rPr>
              <w:t>45,041</w:t>
            </w:r>
          </w:p>
        </w:tc>
        <w:tc>
          <w:tcPr>
            <w:tcW w:w="1418" w:type="dxa"/>
            <w:tcBorders>
              <w:top w:val="nil"/>
              <w:left w:val="nil"/>
              <w:bottom w:val="nil"/>
              <w:right w:val="nil"/>
            </w:tcBorders>
            <w:vAlign w:val="bottom"/>
          </w:tcPr>
          <w:p w14:paraId="4003BAF6" w14:textId="41A864C8" w:rsidR="005D19CF" w:rsidRPr="001D41EA" w:rsidRDefault="005D19CF" w:rsidP="005D19CF">
            <w:pPr>
              <w:spacing w:before="40" w:after="40"/>
              <w:jc w:val="right"/>
              <w:rPr>
                <w:rFonts w:cs="Arial"/>
                <w:sz w:val="18"/>
                <w:szCs w:val="18"/>
              </w:rPr>
            </w:pPr>
            <w:r w:rsidRPr="001D41EA">
              <w:rPr>
                <w:rFonts w:cs="Arial"/>
                <w:sz w:val="18"/>
                <w:szCs w:val="18"/>
              </w:rPr>
              <w:t>10,210</w:t>
            </w:r>
          </w:p>
        </w:tc>
        <w:tc>
          <w:tcPr>
            <w:tcW w:w="1418" w:type="dxa"/>
            <w:tcBorders>
              <w:top w:val="nil"/>
              <w:left w:val="nil"/>
              <w:bottom w:val="nil"/>
              <w:right w:val="nil"/>
            </w:tcBorders>
            <w:shd w:val="clear" w:color="auto" w:fill="auto"/>
            <w:vAlign w:val="bottom"/>
          </w:tcPr>
          <w:p w14:paraId="6A284B4D" w14:textId="5BFC84BC" w:rsidR="005D19CF" w:rsidRPr="001D41EA" w:rsidRDefault="005D19CF" w:rsidP="005D19CF">
            <w:pPr>
              <w:spacing w:before="40" w:after="40"/>
              <w:jc w:val="center"/>
              <w:rPr>
                <w:rFonts w:cs="Arial"/>
                <w:sz w:val="18"/>
                <w:szCs w:val="18"/>
              </w:rPr>
            </w:pPr>
            <w:r w:rsidRPr="005D19CF">
              <w:rPr>
                <w:rFonts w:cs="Arial"/>
                <w:sz w:val="18"/>
                <w:szCs w:val="18"/>
              </w:rPr>
              <w:t>22.7</w:t>
            </w:r>
          </w:p>
        </w:tc>
        <w:tc>
          <w:tcPr>
            <w:tcW w:w="170" w:type="dxa"/>
            <w:tcBorders>
              <w:top w:val="nil"/>
              <w:left w:val="nil"/>
              <w:bottom w:val="nil"/>
              <w:right w:val="nil"/>
            </w:tcBorders>
            <w:shd w:val="clear" w:color="auto" w:fill="auto"/>
            <w:vAlign w:val="bottom"/>
          </w:tcPr>
          <w:p w14:paraId="26DDC44E" w14:textId="50B0BEA0"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4C0BD6D" w14:textId="278DE7E7" w:rsidR="005D19CF" w:rsidRPr="001D41EA" w:rsidRDefault="005D19CF" w:rsidP="005D19CF">
            <w:pPr>
              <w:spacing w:before="40" w:after="40"/>
              <w:jc w:val="center"/>
              <w:rPr>
                <w:rFonts w:cs="Arial"/>
                <w:sz w:val="18"/>
                <w:szCs w:val="18"/>
              </w:rPr>
            </w:pPr>
            <w:r w:rsidRPr="001D41EA">
              <w:rPr>
                <w:rFonts w:cs="Arial"/>
                <w:sz w:val="18"/>
                <w:szCs w:val="18"/>
              </w:rPr>
              <w:t>5.21</w:t>
            </w:r>
          </w:p>
        </w:tc>
      </w:tr>
      <w:tr w:rsidR="005D19CF" w:rsidRPr="001D41EA" w14:paraId="580933F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363F44C" w14:textId="77777777" w:rsidR="005D19CF" w:rsidRPr="001D41EA" w:rsidRDefault="005D19CF" w:rsidP="005D19CF">
            <w:pPr>
              <w:spacing w:before="40" w:after="40"/>
              <w:rPr>
                <w:rFonts w:cs="Arial"/>
                <w:sz w:val="18"/>
                <w:szCs w:val="18"/>
              </w:rPr>
            </w:pPr>
            <w:r w:rsidRPr="001D41EA">
              <w:rPr>
                <w:rFonts w:cs="Arial"/>
                <w:sz w:val="18"/>
                <w:szCs w:val="18"/>
              </w:rPr>
              <w:t>Frankston C</w:t>
            </w:r>
          </w:p>
        </w:tc>
        <w:tc>
          <w:tcPr>
            <w:tcW w:w="1418" w:type="dxa"/>
            <w:tcBorders>
              <w:top w:val="nil"/>
              <w:left w:val="single" w:sz="18" w:space="0" w:color="5F497A" w:themeColor="accent4" w:themeShade="BF"/>
              <w:bottom w:val="nil"/>
              <w:right w:val="nil"/>
            </w:tcBorders>
            <w:shd w:val="clear" w:color="auto" w:fill="auto"/>
            <w:vAlign w:val="bottom"/>
          </w:tcPr>
          <w:p w14:paraId="5C9FF873" w14:textId="0A06525A" w:rsidR="005D19CF" w:rsidRPr="001D41EA" w:rsidRDefault="005D19CF" w:rsidP="005D19CF">
            <w:pPr>
              <w:spacing w:before="40" w:after="40"/>
              <w:jc w:val="right"/>
              <w:rPr>
                <w:rFonts w:cs="Arial"/>
                <w:sz w:val="18"/>
                <w:szCs w:val="18"/>
              </w:rPr>
            </w:pPr>
            <w:r w:rsidRPr="001D41EA">
              <w:rPr>
                <w:rFonts w:cs="Arial"/>
                <w:sz w:val="18"/>
                <w:szCs w:val="18"/>
              </w:rPr>
              <w:t>134,144</w:t>
            </w:r>
          </w:p>
        </w:tc>
        <w:tc>
          <w:tcPr>
            <w:tcW w:w="1418" w:type="dxa"/>
            <w:tcBorders>
              <w:top w:val="nil"/>
              <w:left w:val="nil"/>
              <w:bottom w:val="nil"/>
              <w:right w:val="nil"/>
            </w:tcBorders>
            <w:vAlign w:val="bottom"/>
          </w:tcPr>
          <w:p w14:paraId="000B42E6" w14:textId="2F91FA79" w:rsidR="005D19CF" w:rsidRPr="001D41EA" w:rsidRDefault="005D19CF" w:rsidP="005D19CF">
            <w:pPr>
              <w:spacing w:before="40" w:after="40"/>
              <w:jc w:val="right"/>
              <w:rPr>
                <w:rFonts w:cs="Arial"/>
                <w:sz w:val="18"/>
                <w:szCs w:val="18"/>
              </w:rPr>
            </w:pPr>
            <w:r w:rsidRPr="001D41EA">
              <w:rPr>
                <w:rFonts w:cs="Arial"/>
                <w:sz w:val="18"/>
                <w:szCs w:val="18"/>
              </w:rPr>
              <w:t>30,239</w:t>
            </w:r>
          </w:p>
        </w:tc>
        <w:tc>
          <w:tcPr>
            <w:tcW w:w="1418" w:type="dxa"/>
            <w:tcBorders>
              <w:top w:val="nil"/>
              <w:left w:val="nil"/>
              <w:bottom w:val="nil"/>
              <w:right w:val="nil"/>
            </w:tcBorders>
            <w:shd w:val="clear" w:color="auto" w:fill="auto"/>
            <w:vAlign w:val="bottom"/>
          </w:tcPr>
          <w:p w14:paraId="4B123357" w14:textId="374C2C12" w:rsidR="005D19CF" w:rsidRPr="001D41EA" w:rsidRDefault="005D19CF" w:rsidP="005D19CF">
            <w:pPr>
              <w:spacing w:before="40" w:after="40"/>
              <w:jc w:val="center"/>
              <w:rPr>
                <w:rFonts w:cs="Arial"/>
                <w:sz w:val="18"/>
                <w:szCs w:val="18"/>
              </w:rPr>
            </w:pPr>
            <w:r w:rsidRPr="005D19CF">
              <w:rPr>
                <w:rFonts w:cs="Arial"/>
                <w:sz w:val="18"/>
                <w:szCs w:val="18"/>
              </w:rPr>
              <w:t>22.5</w:t>
            </w:r>
          </w:p>
        </w:tc>
        <w:tc>
          <w:tcPr>
            <w:tcW w:w="170" w:type="dxa"/>
            <w:tcBorders>
              <w:top w:val="nil"/>
              <w:left w:val="nil"/>
              <w:bottom w:val="nil"/>
              <w:right w:val="nil"/>
            </w:tcBorders>
            <w:shd w:val="clear" w:color="auto" w:fill="auto"/>
            <w:vAlign w:val="bottom"/>
          </w:tcPr>
          <w:p w14:paraId="14487CE2" w14:textId="31121CFC"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3BEB96E9" w14:textId="7F9434EA" w:rsidR="005D19CF" w:rsidRPr="001D41EA" w:rsidRDefault="005D19CF" w:rsidP="005D19CF">
            <w:pPr>
              <w:spacing w:before="40" w:after="40"/>
              <w:jc w:val="center"/>
              <w:rPr>
                <w:rFonts w:cs="Arial"/>
                <w:sz w:val="18"/>
                <w:szCs w:val="18"/>
              </w:rPr>
            </w:pPr>
          </w:p>
        </w:tc>
      </w:tr>
      <w:tr w:rsidR="005D19CF" w:rsidRPr="001D41EA" w14:paraId="2CF6B1D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41AB9CE" w14:textId="77777777" w:rsidR="005D19CF" w:rsidRPr="001D41EA" w:rsidRDefault="005D19CF" w:rsidP="005D19CF">
            <w:pPr>
              <w:spacing w:before="40" w:after="40"/>
              <w:rPr>
                <w:rFonts w:cs="Arial"/>
                <w:sz w:val="18"/>
                <w:szCs w:val="18"/>
              </w:rPr>
            </w:pPr>
            <w:r w:rsidRPr="001D41EA">
              <w:rPr>
                <w:rFonts w:cs="Arial"/>
                <w:sz w:val="18"/>
                <w:szCs w:val="18"/>
              </w:rPr>
              <w:t>Gannawarra S</w:t>
            </w:r>
          </w:p>
        </w:tc>
        <w:tc>
          <w:tcPr>
            <w:tcW w:w="1418" w:type="dxa"/>
            <w:tcBorders>
              <w:top w:val="nil"/>
              <w:left w:val="single" w:sz="18" w:space="0" w:color="5F497A" w:themeColor="accent4" w:themeShade="BF"/>
              <w:bottom w:val="nil"/>
              <w:right w:val="nil"/>
            </w:tcBorders>
            <w:shd w:val="clear" w:color="auto" w:fill="auto"/>
            <w:vAlign w:val="bottom"/>
          </w:tcPr>
          <w:p w14:paraId="40570D72" w14:textId="482C9E18" w:rsidR="005D19CF" w:rsidRPr="001D41EA" w:rsidRDefault="005D19CF" w:rsidP="005D19CF">
            <w:pPr>
              <w:spacing w:before="40" w:after="40"/>
              <w:jc w:val="right"/>
              <w:rPr>
                <w:rFonts w:cs="Arial"/>
                <w:sz w:val="18"/>
                <w:szCs w:val="18"/>
              </w:rPr>
            </w:pPr>
            <w:r w:rsidRPr="001D41EA">
              <w:rPr>
                <w:rFonts w:cs="Arial"/>
                <w:sz w:val="18"/>
                <w:szCs w:val="18"/>
              </w:rPr>
              <w:t>10,548</w:t>
            </w:r>
          </w:p>
        </w:tc>
        <w:tc>
          <w:tcPr>
            <w:tcW w:w="1418" w:type="dxa"/>
            <w:tcBorders>
              <w:top w:val="nil"/>
              <w:left w:val="nil"/>
              <w:bottom w:val="nil"/>
              <w:right w:val="nil"/>
            </w:tcBorders>
            <w:vAlign w:val="bottom"/>
          </w:tcPr>
          <w:p w14:paraId="66ABA0C2" w14:textId="72B9EB5D" w:rsidR="005D19CF" w:rsidRPr="001D41EA" w:rsidRDefault="005D19CF" w:rsidP="005D19CF">
            <w:pPr>
              <w:spacing w:before="40" w:after="40"/>
              <w:jc w:val="right"/>
              <w:rPr>
                <w:rFonts w:cs="Arial"/>
                <w:sz w:val="18"/>
                <w:szCs w:val="18"/>
              </w:rPr>
            </w:pPr>
            <w:r w:rsidRPr="001D41EA">
              <w:rPr>
                <w:rFonts w:cs="Arial"/>
                <w:sz w:val="18"/>
                <w:szCs w:val="18"/>
              </w:rPr>
              <w:t>1,891</w:t>
            </w:r>
          </w:p>
        </w:tc>
        <w:tc>
          <w:tcPr>
            <w:tcW w:w="1418" w:type="dxa"/>
            <w:tcBorders>
              <w:top w:val="nil"/>
              <w:left w:val="nil"/>
              <w:bottom w:val="nil"/>
              <w:right w:val="nil"/>
            </w:tcBorders>
            <w:shd w:val="clear" w:color="auto" w:fill="auto"/>
            <w:vAlign w:val="bottom"/>
          </w:tcPr>
          <w:p w14:paraId="61432437" w14:textId="391616E9" w:rsidR="005D19CF" w:rsidRPr="001D41EA" w:rsidRDefault="005D19CF" w:rsidP="005D19CF">
            <w:pPr>
              <w:spacing w:before="40" w:after="40"/>
              <w:jc w:val="center"/>
              <w:rPr>
                <w:rFonts w:cs="Arial"/>
                <w:sz w:val="18"/>
                <w:szCs w:val="18"/>
              </w:rPr>
            </w:pPr>
            <w:r w:rsidRPr="005D19CF">
              <w:rPr>
                <w:rFonts w:cs="Arial"/>
                <w:sz w:val="18"/>
                <w:szCs w:val="18"/>
              </w:rPr>
              <w:t>17.9</w:t>
            </w:r>
          </w:p>
        </w:tc>
        <w:tc>
          <w:tcPr>
            <w:tcW w:w="170" w:type="dxa"/>
            <w:tcBorders>
              <w:top w:val="nil"/>
              <w:left w:val="nil"/>
              <w:bottom w:val="nil"/>
              <w:right w:val="nil"/>
            </w:tcBorders>
            <w:shd w:val="clear" w:color="auto" w:fill="auto"/>
            <w:vAlign w:val="bottom"/>
          </w:tcPr>
          <w:p w14:paraId="67D147D7" w14:textId="1B5BFAC9"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2BDF897" w14:textId="32B0B129" w:rsidR="005D19CF" w:rsidRPr="001D41EA" w:rsidRDefault="005D19CF" w:rsidP="005D19CF">
            <w:pPr>
              <w:spacing w:before="40" w:after="40"/>
              <w:jc w:val="center"/>
              <w:rPr>
                <w:rFonts w:cs="Arial"/>
                <w:sz w:val="18"/>
                <w:szCs w:val="18"/>
              </w:rPr>
            </w:pPr>
            <w:r w:rsidRPr="001D41EA">
              <w:rPr>
                <w:rFonts w:cs="Arial"/>
                <w:sz w:val="18"/>
                <w:szCs w:val="18"/>
              </w:rPr>
              <w:t>3.39</w:t>
            </w:r>
          </w:p>
        </w:tc>
      </w:tr>
      <w:tr w:rsidR="005D19CF" w:rsidRPr="001D41EA" w14:paraId="642E8DE8"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F12528A" w14:textId="77777777" w:rsidR="005D19CF" w:rsidRPr="001D41EA" w:rsidRDefault="005D19CF" w:rsidP="005D19CF">
            <w:pPr>
              <w:spacing w:before="40" w:after="40"/>
              <w:rPr>
                <w:rFonts w:cs="Arial"/>
                <w:sz w:val="18"/>
                <w:szCs w:val="18"/>
              </w:rPr>
            </w:pPr>
            <w:r w:rsidRPr="001D41EA">
              <w:rPr>
                <w:rFonts w:cs="Arial"/>
                <w:sz w:val="18"/>
                <w:szCs w:val="18"/>
              </w:rPr>
              <w:t>Glen Eira C</w:t>
            </w:r>
          </w:p>
        </w:tc>
        <w:tc>
          <w:tcPr>
            <w:tcW w:w="1418" w:type="dxa"/>
            <w:tcBorders>
              <w:top w:val="nil"/>
              <w:left w:val="single" w:sz="18" w:space="0" w:color="5F497A" w:themeColor="accent4" w:themeShade="BF"/>
              <w:bottom w:val="nil"/>
              <w:right w:val="nil"/>
            </w:tcBorders>
            <w:shd w:val="clear" w:color="auto" w:fill="auto"/>
            <w:vAlign w:val="bottom"/>
          </w:tcPr>
          <w:p w14:paraId="4CF53726" w14:textId="3F8937F4" w:rsidR="005D19CF" w:rsidRPr="001D41EA" w:rsidRDefault="005D19CF" w:rsidP="005D19CF">
            <w:pPr>
              <w:spacing w:before="40" w:after="40"/>
              <w:jc w:val="right"/>
              <w:rPr>
                <w:rFonts w:cs="Arial"/>
                <w:sz w:val="18"/>
                <w:szCs w:val="18"/>
              </w:rPr>
            </w:pPr>
            <w:r w:rsidRPr="001D41EA">
              <w:rPr>
                <w:rFonts w:cs="Arial"/>
                <w:sz w:val="18"/>
                <w:szCs w:val="18"/>
              </w:rPr>
              <w:t>140,875</w:t>
            </w:r>
          </w:p>
        </w:tc>
        <w:tc>
          <w:tcPr>
            <w:tcW w:w="1418" w:type="dxa"/>
            <w:tcBorders>
              <w:top w:val="nil"/>
              <w:left w:val="nil"/>
              <w:bottom w:val="nil"/>
              <w:right w:val="nil"/>
            </w:tcBorders>
            <w:vAlign w:val="bottom"/>
          </w:tcPr>
          <w:p w14:paraId="76517D6D" w14:textId="0E345F1D" w:rsidR="005D19CF" w:rsidRPr="001D41EA" w:rsidRDefault="005D19CF" w:rsidP="005D19CF">
            <w:pPr>
              <w:spacing w:before="40" w:after="40"/>
              <w:jc w:val="right"/>
              <w:rPr>
                <w:rFonts w:cs="Arial"/>
                <w:sz w:val="18"/>
                <w:szCs w:val="18"/>
              </w:rPr>
            </w:pPr>
            <w:r w:rsidRPr="001D41EA">
              <w:rPr>
                <w:rFonts w:cs="Arial"/>
                <w:sz w:val="18"/>
                <w:szCs w:val="18"/>
              </w:rPr>
              <w:t>30,207</w:t>
            </w:r>
          </w:p>
        </w:tc>
        <w:tc>
          <w:tcPr>
            <w:tcW w:w="1418" w:type="dxa"/>
            <w:tcBorders>
              <w:top w:val="nil"/>
              <w:left w:val="nil"/>
              <w:bottom w:val="nil"/>
              <w:right w:val="nil"/>
            </w:tcBorders>
            <w:shd w:val="clear" w:color="auto" w:fill="auto"/>
            <w:vAlign w:val="bottom"/>
          </w:tcPr>
          <w:p w14:paraId="2F45A986" w14:textId="1C6657C6" w:rsidR="005D19CF" w:rsidRPr="001D41EA" w:rsidRDefault="005D19CF" w:rsidP="005D19CF">
            <w:pPr>
              <w:spacing w:before="40" w:after="40"/>
              <w:jc w:val="center"/>
              <w:rPr>
                <w:rFonts w:cs="Arial"/>
                <w:sz w:val="18"/>
                <w:szCs w:val="18"/>
              </w:rPr>
            </w:pPr>
            <w:r w:rsidRPr="005D19CF">
              <w:rPr>
                <w:rFonts w:cs="Arial"/>
                <w:sz w:val="18"/>
                <w:szCs w:val="18"/>
              </w:rPr>
              <w:t>21.4</w:t>
            </w:r>
          </w:p>
        </w:tc>
        <w:tc>
          <w:tcPr>
            <w:tcW w:w="170" w:type="dxa"/>
            <w:tcBorders>
              <w:top w:val="nil"/>
              <w:left w:val="nil"/>
              <w:bottom w:val="nil"/>
              <w:right w:val="nil"/>
            </w:tcBorders>
            <w:shd w:val="clear" w:color="auto" w:fill="auto"/>
            <w:vAlign w:val="bottom"/>
          </w:tcPr>
          <w:p w14:paraId="1E8534F3" w14:textId="2C47E0BE"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774D1BC0" w14:textId="73BEEA0B" w:rsidR="005D19CF" w:rsidRPr="001D41EA" w:rsidRDefault="005D19CF" w:rsidP="005D19CF">
            <w:pPr>
              <w:spacing w:before="40" w:after="40"/>
              <w:jc w:val="center"/>
              <w:rPr>
                <w:rFonts w:cs="Arial"/>
                <w:sz w:val="18"/>
                <w:szCs w:val="18"/>
              </w:rPr>
            </w:pPr>
          </w:p>
        </w:tc>
      </w:tr>
      <w:tr w:rsidR="005D19CF" w:rsidRPr="001D41EA" w14:paraId="6B0CF2CD"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906F28B" w14:textId="77777777" w:rsidR="005D19CF" w:rsidRPr="001D41EA" w:rsidRDefault="005D19CF" w:rsidP="005D19CF">
            <w:pPr>
              <w:spacing w:before="40" w:after="40"/>
              <w:rPr>
                <w:rFonts w:cs="Arial"/>
                <w:sz w:val="18"/>
                <w:szCs w:val="18"/>
              </w:rPr>
            </w:pPr>
            <w:r w:rsidRPr="001D41EA">
              <w:rPr>
                <w:rFonts w:cs="Arial"/>
                <w:sz w:val="18"/>
                <w:szCs w:val="18"/>
              </w:rPr>
              <w:t>Glenelg S</w:t>
            </w:r>
          </w:p>
        </w:tc>
        <w:tc>
          <w:tcPr>
            <w:tcW w:w="1418" w:type="dxa"/>
            <w:tcBorders>
              <w:top w:val="nil"/>
              <w:left w:val="single" w:sz="18" w:space="0" w:color="5F497A" w:themeColor="accent4" w:themeShade="BF"/>
              <w:bottom w:val="nil"/>
              <w:right w:val="nil"/>
            </w:tcBorders>
            <w:shd w:val="clear" w:color="auto" w:fill="auto"/>
            <w:vAlign w:val="bottom"/>
          </w:tcPr>
          <w:p w14:paraId="4A93A29A" w14:textId="0F6822C1" w:rsidR="005D19CF" w:rsidRPr="001D41EA" w:rsidRDefault="005D19CF" w:rsidP="005D19CF">
            <w:pPr>
              <w:spacing w:before="40" w:after="40"/>
              <w:jc w:val="right"/>
              <w:rPr>
                <w:rFonts w:cs="Arial"/>
                <w:sz w:val="18"/>
                <w:szCs w:val="18"/>
              </w:rPr>
            </w:pPr>
            <w:r w:rsidRPr="001D41EA">
              <w:rPr>
                <w:rFonts w:cs="Arial"/>
                <w:sz w:val="18"/>
                <w:szCs w:val="18"/>
              </w:rPr>
              <w:t>19,556</w:t>
            </w:r>
          </w:p>
        </w:tc>
        <w:tc>
          <w:tcPr>
            <w:tcW w:w="1418" w:type="dxa"/>
            <w:tcBorders>
              <w:top w:val="nil"/>
              <w:left w:val="nil"/>
              <w:bottom w:val="nil"/>
              <w:right w:val="nil"/>
            </w:tcBorders>
            <w:vAlign w:val="bottom"/>
          </w:tcPr>
          <w:p w14:paraId="1CD1BB33" w14:textId="290A04D4" w:rsidR="005D19CF" w:rsidRPr="001D41EA" w:rsidRDefault="005D19CF" w:rsidP="005D19CF">
            <w:pPr>
              <w:spacing w:before="40" w:after="40"/>
              <w:jc w:val="right"/>
              <w:rPr>
                <w:rFonts w:cs="Arial"/>
                <w:sz w:val="18"/>
                <w:szCs w:val="18"/>
              </w:rPr>
            </w:pPr>
            <w:r w:rsidRPr="001D41EA">
              <w:rPr>
                <w:rFonts w:cs="Arial"/>
                <w:sz w:val="18"/>
                <w:szCs w:val="18"/>
              </w:rPr>
              <w:t>4,148</w:t>
            </w:r>
          </w:p>
        </w:tc>
        <w:tc>
          <w:tcPr>
            <w:tcW w:w="1418" w:type="dxa"/>
            <w:tcBorders>
              <w:top w:val="nil"/>
              <w:left w:val="nil"/>
              <w:bottom w:val="nil"/>
              <w:right w:val="nil"/>
            </w:tcBorders>
            <w:shd w:val="clear" w:color="auto" w:fill="auto"/>
            <w:vAlign w:val="bottom"/>
          </w:tcPr>
          <w:p w14:paraId="3507516B" w14:textId="07895573" w:rsidR="005D19CF" w:rsidRPr="001D41EA" w:rsidRDefault="005D19CF" w:rsidP="005D19CF">
            <w:pPr>
              <w:spacing w:before="40" w:after="40"/>
              <w:jc w:val="center"/>
              <w:rPr>
                <w:rFonts w:cs="Arial"/>
                <w:sz w:val="18"/>
                <w:szCs w:val="18"/>
              </w:rPr>
            </w:pPr>
            <w:r w:rsidRPr="005D19CF">
              <w:rPr>
                <w:rFonts w:cs="Arial"/>
                <w:sz w:val="18"/>
                <w:szCs w:val="18"/>
              </w:rPr>
              <w:t>21.2</w:t>
            </w:r>
          </w:p>
        </w:tc>
        <w:tc>
          <w:tcPr>
            <w:tcW w:w="170" w:type="dxa"/>
            <w:tcBorders>
              <w:top w:val="nil"/>
              <w:left w:val="nil"/>
              <w:bottom w:val="nil"/>
              <w:right w:val="nil"/>
            </w:tcBorders>
            <w:shd w:val="clear" w:color="auto" w:fill="auto"/>
            <w:vAlign w:val="bottom"/>
          </w:tcPr>
          <w:p w14:paraId="74CB510E" w14:textId="33D90B08"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36F18876" w14:textId="288911F8" w:rsidR="005D19CF" w:rsidRPr="001D41EA" w:rsidRDefault="005D19CF" w:rsidP="005D19CF">
            <w:pPr>
              <w:spacing w:before="40" w:after="40"/>
              <w:jc w:val="center"/>
              <w:rPr>
                <w:rFonts w:cs="Arial"/>
                <w:sz w:val="18"/>
                <w:szCs w:val="18"/>
              </w:rPr>
            </w:pPr>
            <w:r w:rsidRPr="001D41EA">
              <w:rPr>
                <w:rFonts w:cs="Arial"/>
                <w:sz w:val="18"/>
                <w:szCs w:val="18"/>
              </w:rPr>
              <w:t>3.37</w:t>
            </w:r>
          </w:p>
        </w:tc>
      </w:tr>
      <w:tr w:rsidR="005D19CF" w:rsidRPr="001D41EA" w14:paraId="44EC0E48"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ACB9DCD" w14:textId="77777777" w:rsidR="005D19CF" w:rsidRPr="001D41EA" w:rsidRDefault="005D19CF" w:rsidP="005D19CF">
            <w:pPr>
              <w:spacing w:before="40" w:after="40"/>
              <w:rPr>
                <w:rFonts w:cs="Arial"/>
                <w:sz w:val="18"/>
                <w:szCs w:val="18"/>
              </w:rPr>
            </w:pPr>
            <w:r w:rsidRPr="001D41EA">
              <w:rPr>
                <w:rFonts w:cs="Arial"/>
                <w:sz w:val="18"/>
                <w:szCs w:val="18"/>
              </w:rPr>
              <w:t>Golden Plains S</w:t>
            </w:r>
          </w:p>
        </w:tc>
        <w:tc>
          <w:tcPr>
            <w:tcW w:w="1418" w:type="dxa"/>
            <w:tcBorders>
              <w:top w:val="nil"/>
              <w:left w:val="single" w:sz="18" w:space="0" w:color="5F497A" w:themeColor="accent4" w:themeShade="BF"/>
              <w:bottom w:val="nil"/>
              <w:right w:val="nil"/>
            </w:tcBorders>
            <w:shd w:val="clear" w:color="auto" w:fill="auto"/>
            <w:vAlign w:val="bottom"/>
          </w:tcPr>
          <w:p w14:paraId="2071C114" w14:textId="2D8313B6" w:rsidR="005D19CF" w:rsidRPr="001D41EA" w:rsidRDefault="005D19CF" w:rsidP="005D19CF">
            <w:pPr>
              <w:spacing w:before="40" w:after="40"/>
              <w:jc w:val="right"/>
              <w:rPr>
                <w:rFonts w:cs="Arial"/>
                <w:sz w:val="18"/>
                <w:szCs w:val="18"/>
              </w:rPr>
            </w:pPr>
            <w:r w:rsidRPr="001D41EA">
              <w:rPr>
                <w:rFonts w:cs="Arial"/>
                <w:sz w:val="18"/>
                <w:szCs w:val="18"/>
              </w:rPr>
              <w:t>21,687</w:t>
            </w:r>
          </w:p>
        </w:tc>
        <w:tc>
          <w:tcPr>
            <w:tcW w:w="1418" w:type="dxa"/>
            <w:tcBorders>
              <w:top w:val="nil"/>
              <w:left w:val="nil"/>
              <w:bottom w:val="nil"/>
              <w:right w:val="nil"/>
            </w:tcBorders>
            <w:vAlign w:val="bottom"/>
          </w:tcPr>
          <w:p w14:paraId="4708DCA1" w14:textId="189804F0" w:rsidR="005D19CF" w:rsidRPr="001D41EA" w:rsidRDefault="005D19CF" w:rsidP="005D19CF">
            <w:pPr>
              <w:spacing w:before="40" w:after="40"/>
              <w:jc w:val="right"/>
              <w:rPr>
                <w:rFonts w:cs="Arial"/>
                <w:sz w:val="18"/>
                <w:szCs w:val="18"/>
              </w:rPr>
            </w:pPr>
            <w:r w:rsidRPr="001D41EA">
              <w:rPr>
                <w:rFonts w:cs="Arial"/>
                <w:sz w:val="18"/>
                <w:szCs w:val="18"/>
              </w:rPr>
              <w:t>1,592</w:t>
            </w:r>
          </w:p>
        </w:tc>
        <w:tc>
          <w:tcPr>
            <w:tcW w:w="1418" w:type="dxa"/>
            <w:tcBorders>
              <w:top w:val="nil"/>
              <w:left w:val="nil"/>
              <w:bottom w:val="nil"/>
              <w:right w:val="nil"/>
            </w:tcBorders>
            <w:shd w:val="clear" w:color="auto" w:fill="auto"/>
            <w:vAlign w:val="bottom"/>
          </w:tcPr>
          <w:p w14:paraId="3A04E774" w14:textId="1E0E15EB" w:rsidR="005D19CF" w:rsidRPr="001D41EA" w:rsidRDefault="005D19CF" w:rsidP="005D19CF">
            <w:pPr>
              <w:spacing w:before="40" w:after="40"/>
              <w:jc w:val="center"/>
              <w:rPr>
                <w:rFonts w:cs="Arial"/>
                <w:sz w:val="18"/>
                <w:szCs w:val="18"/>
              </w:rPr>
            </w:pPr>
            <w:r w:rsidRPr="005D19CF">
              <w:rPr>
                <w:rFonts w:cs="Arial"/>
                <w:sz w:val="18"/>
                <w:szCs w:val="18"/>
              </w:rPr>
              <w:t>10.0</w:t>
            </w:r>
          </w:p>
        </w:tc>
        <w:tc>
          <w:tcPr>
            <w:tcW w:w="170" w:type="dxa"/>
            <w:tcBorders>
              <w:top w:val="nil"/>
              <w:left w:val="nil"/>
              <w:bottom w:val="nil"/>
              <w:right w:val="nil"/>
            </w:tcBorders>
            <w:shd w:val="clear" w:color="auto" w:fill="auto"/>
            <w:vAlign w:val="bottom"/>
          </w:tcPr>
          <w:p w14:paraId="6930143F" w14:textId="3AB2B931"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74859D2F" w14:textId="757750E8" w:rsidR="005D19CF" w:rsidRPr="001D41EA" w:rsidRDefault="005D19CF" w:rsidP="005D19CF">
            <w:pPr>
              <w:spacing w:before="40" w:after="40"/>
              <w:jc w:val="center"/>
              <w:rPr>
                <w:rFonts w:cs="Arial"/>
                <w:sz w:val="18"/>
                <w:szCs w:val="18"/>
              </w:rPr>
            </w:pPr>
            <w:r w:rsidRPr="001D41EA">
              <w:rPr>
                <w:rFonts w:cs="Arial"/>
                <w:sz w:val="18"/>
                <w:szCs w:val="18"/>
              </w:rPr>
              <w:t>1.29</w:t>
            </w:r>
          </w:p>
        </w:tc>
      </w:tr>
      <w:tr w:rsidR="005D19CF" w:rsidRPr="001D41EA" w14:paraId="643E7689"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EECC3E3" w14:textId="77777777" w:rsidR="005D19CF" w:rsidRPr="001D41EA" w:rsidRDefault="005D19CF" w:rsidP="005D19CF">
            <w:pPr>
              <w:spacing w:before="40" w:after="40"/>
              <w:rPr>
                <w:rFonts w:cs="Arial"/>
                <w:sz w:val="18"/>
                <w:szCs w:val="18"/>
              </w:rPr>
            </w:pPr>
            <w:r w:rsidRPr="001D41EA">
              <w:rPr>
                <w:rFonts w:cs="Arial"/>
                <w:sz w:val="18"/>
                <w:szCs w:val="18"/>
              </w:rPr>
              <w:t>Greater Bendigo C</w:t>
            </w:r>
          </w:p>
        </w:tc>
        <w:tc>
          <w:tcPr>
            <w:tcW w:w="1418" w:type="dxa"/>
            <w:tcBorders>
              <w:top w:val="nil"/>
              <w:left w:val="single" w:sz="18" w:space="0" w:color="5F497A" w:themeColor="accent4" w:themeShade="BF"/>
              <w:bottom w:val="nil"/>
              <w:right w:val="nil"/>
            </w:tcBorders>
            <w:shd w:val="clear" w:color="auto" w:fill="auto"/>
            <w:vAlign w:val="bottom"/>
          </w:tcPr>
          <w:p w14:paraId="4C23AC3D" w14:textId="7D67D8C0" w:rsidR="005D19CF" w:rsidRPr="001D41EA" w:rsidRDefault="005D19CF" w:rsidP="005D19CF">
            <w:pPr>
              <w:spacing w:before="40" w:after="40"/>
              <w:jc w:val="right"/>
              <w:rPr>
                <w:rFonts w:cs="Arial"/>
                <w:sz w:val="18"/>
                <w:szCs w:val="18"/>
              </w:rPr>
            </w:pPr>
            <w:r w:rsidRPr="001D41EA">
              <w:rPr>
                <w:rFonts w:cs="Arial"/>
                <w:sz w:val="18"/>
                <w:szCs w:val="18"/>
              </w:rPr>
              <w:t>110,479</w:t>
            </w:r>
          </w:p>
        </w:tc>
        <w:tc>
          <w:tcPr>
            <w:tcW w:w="1418" w:type="dxa"/>
            <w:tcBorders>
              <w:top w:val="nil"/>
              <w:left w:val="nil"/>
              <w:bottom w:val="nil"/>
              <w:right w:val="nil"/>
            </w:tcBorders>
            <w:vAlign w:val="bottom"/>
          </w:tcPr>
          <w:p w14:paraId="0F9372A9" w14:textId="13F3435A" w:rsidR="005D19CF" w:rsidRPr="001D41EA" w:rsidRDefault="005D19CF" w:rsidP="005D19CF">
            <w:pPr>
              <w:spacing w:before="40" w:after="40"/>
              <w:jc w:val="right"/>
              <w:rPr>
                <w:rFonts w:cs="Arial"/>
                <w:sz w:val="18"/>
                <w:szCs w:val="18"/>
              </w:rPr>
            </w:pPr>
            <w:r w:rsidRPr="001D41EA">
              <w:rPr>
                <w:rFonts w:cs="Arial"/>
                <w:sz w:val="18"/>
                <w:szCs w:val="18"/>
              </w:rPr>
              <w:t>44,192</w:t>
            </w:r>
          </w:p>
        </w:tc>
        <w:tc>
          <w:tcPr>
            <w:tcW w:w="1418" w:type="dxa"/>
            <w:tcBorders>
              <w:top w:val="nil"/>
              <w:left w:val="nil"/>
              <w:bottom w:val="nil"/>
              <w:right w:val="nil"/>
            </w:tcBorders>
            <w:shd w:val="clear" w:color="auto" w:fill="auto"/>
            <w:vAlign w:val="bottom"/>
          </w:tcPr>
          <w:p w14:paraId="26A27059" w14:textId="46674163" w:rsidR="005D19CF" w:rsidRPr="001D41EA" w:rsidRDefault="005D19CF" w:rsidP="005D19CF">
            <w:pPr>
              <w:spacing w:before="40" w:after="40"/>
              <w:jc w:val="center"/>
              <w:rPr>
                <w:rFonts w:cs="Arial"/>
                <w:sz w:val="18"/>
                <w:szCs w:val="18"/>
              </w:rPr>
            </w:pPr>
            <w:r w:rsidRPr="005D19CF">
              <w:rPr>
                <w:rFonts w:cs="Arial"/>
                <w:sz w:val="18"/>
                <w:szCs w:val="18"/>
              </w:rPr>
              <w:t>40.0</w:t>
            </w:r>
          </w:p>
        </w:tc>
        <w:tc>
          <w:tcPr>
            <w:tcW w:w="170" w:type="dxa"/>
            <w:tcBorders>
              <w:top w:val="nil"/>
              <w:left w:val="nil"/>
              <w:bottom w:val="nil"/>
              <w:right w:val="nil"/>
            </w:tcBorders>
            <w:shd w:val="clear" w:color="auto" w:fill="auto"/>
            <w:vAlign w:val="bottom"/>
          </w:tcPr>
          <w:p w14:paraId="40BCCD97" w14:textId="1569FD74"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627E9BB" w14:textId="1E2D0A02" w:rsidR="005D19CF" w:rsidRPr="001D41EA" w:rsidRDefault="005D19CF" w:rsidP="005D19CF">
            <w:pPr>
              <w:spacing w:before="40" w:after="40"/>
              <w:jc w:val="center"/>
              <w:rPr>
                <w:rFonts w:cs="Arial"/>
                <w:sz w:val="18"/>
                <w:szCs w:val="18"/>
              </w:rPr>
            </w:pPr>
            <w:r w:rsidRPr="001D41EA">
              <w:rPr>
                <w:rFonts w:cs="Arial"/>
                <w:sz w:val="18"/>
                <w:szCs w:val="18"/>
              </w:rPr>
              <w:t>0.94</w:t>
            </w:r>
          </w:p>
        </w:tc>
      </w:tr>
      <w:tr w:rsidR="005D19CF" w:rsidRPr="001D41EA" w14:paraId="4167D44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B564A2C" w14:textId="77777777" w:rsidR="005D19CF" w:rsidRPr="001D41EA" w:rsidRDefault="005D19CF" w:rsidP="005D19CF">
            <w:pPr>
              <w:spacing w:before="40" w:after="40"/>
              <w:rPr>
                <w:rFonts w:cs="Arial"/>
                <w:sz w:val="18"/>
                <w:szCs w:val="18"/>
              </w:rPr>
            </w:pPr>
            <w:r w:rsidRPr="001D41EA">
              <w:rPr>
                <w:rFonts w:cs="Arial"/>
                <w:sz w:val="18"/>
                <w:szCs w:val="18"/>
              </w:rPr>
              <w:t>Greater Dandenong C</w:t>
            </w:r>
          </w:p>
        </w:tc>
        <w:tc>
          <w:tcPr>
            <w:tcW w:w="1418" w:type="dxa"/>
            <w:tcBorders>
              <w:top w:val="nil"/>
              <w:left w:val="single" w:sz="18" w:space="0" w:color="5F497A" w:themeColor="accent4" w:themeShade="BF"/>
              <w:bottom w:val="nil"/>
              <w:right w:val="nil"/>
            </w:tcBorders>
            <w:shd w:val="clear" w:color="auto" w:fill="auto"/>
            <w:vAlign w:val="bottom"/>
          </w:tcPr>
          <w:p w14:paraId="4868631C" w14:textId="40E5B16A" w:rsidR="005D19CF" w:rsidRPr="001D41EA" w:rsidRDefault="005D19CF" w:rsidP="005D19CF">
            <w:pPr>
              <w:spacing w:before="40" w:after="40"/>
              <w:jc w:val="right"/>
              <w:rPr>
                <w:rFonts w:cs="Arial"/>
                <w:sz w:val="18"/>
                <w:szCs w:val="18"/>
              </w:rPr>
            </w:pPr>
            <w:r w:rsidRPr="001D41EA">
              <w:rPr>
                <w:rFonts w:cs="Arial"/>
                <w:sz w:val="18"/>
                <w:szCs w:val="18"/>
              </w:rPr>
              <w:t>152,052</w:t>
            </w:r>
          </w:p>
        </w:tc>
        <w:tc>
          <w:tcPr>
            <w:tcW w:w="1418" w:type="dxa"/>
            <w:tcBorders>
              <w:top w:val="nil"/>
              <w:left w:val="nil"/>
              <w:bottom w:val="nil"/>
              <w:right w:val="nil"/>
            </w:tcBorders>
            <w:vAlign w:val="bottom"/>
          </w:tcPr>
          <w:p w14:paraId="67AEFCF1" w14:textId="46D3FC4F" w:rsidR="005D19CF" w:rsidRPr="001D41EA" w:rsidRDefault="005D19CF" w:rsidP="005D19CF">
            <w:pPr>
              <w:spacing w:before="40" w:after="40"/>
              <w:jc w:val="right"/>
              <w:rPr>
                <w:rFonts w:cs="Arial"/>
                <w:sz w:val="18"/>
                <w:szCs w:val="18"/>
              </w:rPr>
            </w:pPr>
            <w:r w:rsidRPr="001D41EA">
              <w:rPr>
                <w:rFonts w:cs="Arial"/>
                <w:sz w:val="18"/>
                <w:szCs w:val="18"/>
              </w:rPr>
              <w:t>43,841</w:t>
            </w:r>
          </w:p>
        </w:tc>
        <w:tc>
          <w:tcPr>
            <w:tcW w:w="1418" w:type="dxa"/>
            <w:tcBorders>
              <w:top w:val="nil"/>
              <w:left w:val="nil"/>
              <w:bottom w:val="nil"/>
              <w:right w:val="nil"/>
            </w:tcBorders>
            <w:shd w:val="clear" w:color="auto" w:fill="auto"/>
            <w:vAlign w:val="bottom"/>
          </w:tcPr>
          <w:p w14:paraId="3F2A863D" w14:textId="0F85C08E" w:rsidR="005D19CF" w:rsidRPr="001D41EA" w:rsidRDefault="005D19CF" w:rsidP="005D19CF">
            <w:pPr>
              <w:spacing w:before="40" w:after="40"/>
              <w:jc w:val="center"/>
              <w:rPr>
                <w:rFonts w:cs="Arial"/>
                <w:sz w:val="18"/>
                <w:szCs w:val="18"/>
              </w:rPr>
            </w:pPr>
            <w:r w:rsidRPr="005D19CF">
              <w:rPr>
                <w:rFonts w:cs="Arial"/>
                <w:sz w:val="18"/>
                <w:szCs w:val="18"/>
              </w:rPr>
              <w:t>28.8</w:t>
            </w:r>
          </w:p>
        </w:tc>
        <w:tc>
          <w:tcPr>
            <w:tcW w:w="170" w:type="dxa"/>
            <w:tcBorders>
              <w:top w:val="nil"/>
              <w:left w:val="nil"/>
              <w:bottom w:val="nil"/>
              <w:right w:val="nil"/>
            </w:tcBorders>
            <w:shd w:val="clear" w:color="auto" w:fill="auto"/>
            <w:vAlign w:val="bottom"/>
          </w:tcPr>
          <w:p w14:paraId="5D6CA016" w14:textId="3FC19FC7"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B46423C" w14:textId="7E259DB4" w:rsidR="005D19CF" w:rsidRPr="001D41EA" w:rsidRDefault="005D19CF" w:rsidP="005D19CF">
            <w:pPr>
              <w:spacing w:before="40" w:after="40"/>
              <w:jc w:val="center"/>
              <w:rPr>
                <w:rFonts w:cs="Arial"/>
                <w:sz w:val="18"/>
                <w:szCs w:val="18"/>
              </w:rPr>
            </w:pPr>
          </w:p>
        </w:tc>
      </w:tr>
      <w:tr w:rsidR="005D19CF" w:rsidRPr="001D41EA" w14:paraId="1002DAE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746C75C" w14:textId="77777777" w:rsidR="005D19CF" w:rsidRPr="001D41EA" w:rsidRDefault="005D19CF" w:rsidP="005D19CF">
            <w:pPr>
              <w:spacing w:before="40" w:after="40"/>
              <w:rPr>
                <w:rFonts w:cs="Arial"/>
                <w:sz w:val="18"/>
                <w:szCs w:val="18"/>
              </w:rPr>
            </w:pPr>
            <w:r w:rsidRPr="001D41EA">
              <w:rPr>
                <w:rFonts w:cs="Arial"/>
                <w:sz w:val="18"/>
                <w:szCs w:val="18"/>
              </w:rPr>
              <w:t>Greater Geelong C</w:t>
            </w:r>
          </w:p>
        </w:tc>
        <w:tc>
          <w:tcPr>
            <w:tcW w:w="1418" w:type="dxa"/>
            <w:tcBorders>
              <w:top w:val="nil"/>
              <w:left w:val="single" w:sz="18" w:space="0" w:color="5F497A" w:themeColor="accent4" w:themeShade="BF"/>
              <w:bottom w:val="nil"/>
              <w:right w:val="nil"/>
            </w:tcBorders>
            <w:shd w:val="clear" w:color="auto" w:fill="auto"/>
            <w:vAlign w:val="bottom"/>
          </w:tcPr>
          <w:p w14:paraId="015AF708" w14:textId="71805D26" w:rsidR="005D19CF" w:rsidRPr="001D41EA" w:rsidRDefault="005D19CF" w:rsidP="005D19CF">
            <w:pPr>
              <w:spacing w:before="40" w:after="40"/>
              <w:jc w:val="right"/>
              <w:rPr>
                <w:rFonts w:cs="Arial"/>
                <w:sz w:val="18"/>
                <w:szCs w:val="18"/>
              </w:rPr>
            </w:pPr>
            <w:r w:rsidRPr="001D41EA">
              <w:rPr>
                <w:rFonts w:cs="Arial"/>
                <w:sz w:val="18"/>
                <w:szCs w:val="18"/>
              </w:rPr>
              <w:t>233,426</w:t>
            </w:r>
          </w:p>
        </w:tc>
        <w:tc>
          <w:tcPr>
            <w:tcW w:w="1418" w:type="dxa"/>
            <w:tcBorders>
              <w:top w:val="nil"/>
              <w:left w:val="nil"/>
              <w:bottom w:val="nil"/>
              <w:right w:val="nil"/>
            </w:tcBorders>
            <w:vAlign w:val="bottom"/>
          </w:tcPr>
          <w:p w14:paraId="19C3A2E2" w14:textId="64827EAE" w:rsidR="005D19CF" w:rsidRPr="001D41EA" w:rsidRDefault="005D19CF" w:rsidP="005D19CF">
            <w:pPr>
              <w:spacing w:before="40" w:after="40"/>
              <w:jc w:val="right"/>
              <w:rPr>
                <w:rFonts w:cs="Arial"/>
                <w:sz w:val="18"/>
                <w:szCs w:val="18"/>
              </w:rPr>
            </w:pPr>
            <w:r w:rsidRPr="001D41EA">
              <w:rPr>
                <w:rFonts w:cs="Arial"/>
                <w:sz w:val="18"/>
                <w:szCs w:val="18"/>
              </w:rPr>
              <w:t>93,370</w:t>
            </w:r>
          </w:p>
        </w:tc>
        <w:tc>
          <w:tcPr>
            <w:tcW w:w="1418" w:type="dxa"/>
            <w:tcBorders>
              <w:top w:val="nil"/>
              <w:left w:val="nil"/>
              <w:bottom w:val="nil"/>
              <w:right w:val="nil"/>
            </w:tcBorders>
            <w:shd w:val="clear" w:color="auto" w:fill="auto"/>
            <w:vAlign w:val="bottom"/>
          </w:tcPr>
          <w:p w14:paraId="014C7BB1" w14:textId="34193333" w:rsidR="005D19CF" w:rsidRPr="001D41EA" w:rsidRDefault="005D19CF" w:rsidP="005D19CF">
            <w:pPr>
              <w:spacing w:before="40" w:after="40"/>
              <w:jc w:val="center"/>
              <w:rPr>
                <w:rFonts w:cs="Arial"/>
                <w:sz w:val="18"/>
                <w:szCs w:val="18"/>
              </w:rPr>
            </w:pPr>
            <w:r w:rsidRPr="005D19CF">
              <w:rPr>
                <w:rFonts w:cs="Arial"/>
                <w:sz w:val="18"/>
                <w:szCs w:val="18"/>
              </w:rPr>
              <w:t>40.0</w:t>
            </w:r>
          </w:p>
        </w:tc>
        <w:tc>
          <w:tcPr>
            <w:tcW w:w="170" w:type="dxa"/>
            <w:tcBorders>
              <w:top w:val="nil"/>
              <w:left w:val="nil"/>
              <w:bottom w:val="nil"/>
              <w:right w:val="nil"/>
            </w:tcBorders>
            <w:shd w:val="clear" w:color="auto" w:fill="auto"/>
            <w:vAlign w:val="bottom"/>
          </w:tcPr>
          <w:p w14:paraId="6E31EE22" w14:textId="04853842"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C8972B9" w14:textId="05CBF30E" w:rsidR="005D19CF" w:rsidRPr="001D41EA" w:rsidRDefault="005D19CF" w:rsidP="005D19CF">
            <w:pPr>
              <w:spacing w:before="40" w:after="40"/>
              <w:jc w:val="center"/>
              <w:rPr>
                <w:rFonts w:cs="Arial"/>
                <w:sz w:val="18"/>
                <w:szCs w:val="18"/>
              </w:rPr>
            </w:pPr>
            <w:r w:rsidRPr="001D41EA">
              <w:rPr>
                <w:rFonts w:cs="Arial"/>
                <w:sz w:val="18"/>
                <w:szCs w:val="18"/>
              </w:rPr>
              <w:t>0.43</w:t>
            </w:r>
          </w:p>
        </w:tc>
      </w:tr>
      <w:tr w:rsidR="005D19CF" w:rsidRPr="001D41EA" w14:paraId="54599E87"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893C201" w14:textId="77777777" w:rsidR="005D19CF" w:rsidRPr="001D41EA" w:rsidRDefault="005D19CF" w:rsidP="005D19CF">
            <w:pPr>
              <w:spacing w:before="40" w:after="40"/>
              <w:rPr>
                <w:rFonts w:cs="Arial"/>
                <w:sz w:val="18"/>
                <w:szCs w:val="18"/>
              </w:rPr>
            </w:pPr>
            <w:r w:rsidRPr="001D41EA">
              <w:rPr>
                <w:rFonts w:cs="Arial"/>
                <w:sz w:val="18"/>
                <w:szCs w:val="18"/>
              </w:rPr>
              <w:t>Greater Shepparton C</w:t>
            </w:r>
          </w:p>
        </w:tc>
        <w:tc>
          <w:tcPr>
            <w:tcW w:w="1418" w:type="dxa"/>
            <w:tcBorders>
              <w:top w:val="nil"/>
              <w:left w:val="single" w:sz="18" w:space="0" w:color="5F497A" w:themeColor="accent4" w:themeShade="BF"/>
              <w:bottom w:val="nil"/>
              <w:right w:val="nil"/>
            </w:tcBorders>
            <w:shd w:val="clear" w:color="auto" w:fill="auto"/>
            <w:vAlign w:val="bottom"/>
          </w:tcPr>
          <w:p w14:paraId="37867927" w14:textId="7C38009A" w:rsidR="005D19CF" w:rsidRPr="001D41EA" w:rsidRDefault="005D19CF" w:rsidP="005D19CF">
            <w:pPr>
              <w:spacing w:before="40" w:after="40"/>
              <w:jc w:val="right"/>
              <w:rPr>
                <w:rFonts w:cs="Arial"/>
                <w:sz w:val="18"/>
                <w:szCs w:val="18"/>
              </w:rPr>
            </w:pPr>
            <w:r w:rsidRPr="001D41EA">
              <w:rPr>
                <w:rFonts w:cs="Arial"/>
                <w:sz w:val="18"/>
                <w:szCs w:val="18"/>
              </w:rPr>
              <w:t>63,839</w:t>
            </w:r>
          </w:p>
        </w:tc>
        <w:tc>
          <w:tcPr>
            <w:tcW w:w="1418" w:type="dxa"/>
            <w:tcBorders>
              <w:top w:val="nil"/>
              <w:left w:val="nil"/>
              <w:bottom w:val="nil"/>
              <w:right w:val="nil"/>
            </w:tcBorders>
            <w:vAlign w:val="bottom"/>
          </w:tcPr>
          <w:p w14:paraId="3CE2B060" w14:textId="0B7C0DB5" w:rsidR="005D19CF" w:rsidRPr="001D41EA" w:rsidRDefault="005D19CF" w:rsidP="005D19CF">
            <w:pPr>
              <w:spacing w:before="40" w:after="40"/>
              <w:jc w:val="right"/>
              <w:rPr>
                <w:rFonts w:cs="Arial"/>
                <w:sz w:val="18"/>
                <w:szCs w:val="18"/>
              </w:rPr>
            </w:pPr>
            <w:r w:rsidRPr="001D41EA">
              <w:rPr>
                <w:rFonts w:cs="Arial"/>
                <w:sz w:val="18"/>
                <w:szCs w:val="18"/>
              </w:rPr>
              <w:t>25,536</w:t>
            </w:r>
          </w:p>
        </w:tc>
        <w:tc>
          <w:tcPr>
            <w:tcW w:w="1418" w:type="dxa"/>
            <w:tcBorders>
              <w:top w:val="nil"/>
              <w:left w:val="nil"/>
              <w:bottom w:val="nil"/>
              <w:right w:val="nil"/>
            </w:tcBorders>
            <w:shd w:val="clear" w:color="auto" w:fill="auto"/>
            <w:vAlign w:val="bottom"/>
          </w:tcPr>
          <w:p w14:paraId="5F95193B" w14:textId="0988D1A8" w:rsidR="005D19CF" w:rsidRPr="001D41EA" w:rsidRDefault="005D19CF" w:rsidP="005D19CF">
            <w:pPr>
              <w:spacing w:before="40" w:after="40"/>
              <w:jc w:val="center"/>
              <w:rPr>
                <w:rFonts w:cs="Arial"/>
                <w:sz w:val="18"/>
                <w:szCs w:val="18"/>
              </w:rPr>
            </w:pPr>
            <w:r w:rsidRPr="005D19CF">
              <w:rPr>
                <w:rFonts w:cs="Arial"/>
                <w:sz w:val="18"/>
                <w:szCs w:val="18"/>
              </w:rPr>
              <w:t>40.0</w:t>
            </w:r>
          </w:p>
        </w:tc>
        <w:tc>
          <w:tcPr>
            <w:tcW w:w="170" w:type="dxa"/>
            <w:tcBorders>
              <w:top w:val="nil"/>
              <w:left w:val="nil"/>
              <w:bottom w:val="nil"/>
              <w:right w:val="nil"/>
            </w:tcBorders>
            <w:shd w:val="clear" w:color="auto" w:fill="auto"/>
            <w:vAlign w:val="bottom"/>
          </w:tcPr>
          <w:p w14:paraId="75F5DBC6" w14:textId="2FD5B9FC"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73FD37FB" w14:textId="354CC8CC" w:rsidR="005D19CF" w:rsidRPr="001D41EA" w:rsidRDefault="005D19CF" w:rsidP="005D19CF">
            <w:pPr>
              <w:spacing w:before="40" w:after="40"/>
              <w:jc w:val="center"/>
              <w:rPr>
                <w:rFonts w:cs="Arial"/>
                <w:sz w:val="18"/>
                <w:szCs w:val="18"/>
              </w:rPr>
            </w:pPr>
            <w:r w:rsidRPr="001D41EA">
              <w:rPr>
                <w:rFonts w:cs="Arial"/>
                <w:sz w:val="18"/>
                <w:szCs w:val="18"/>
              </w:rPr>
              <w:t>1.43</w:t>
            </w:r>
          </w:p>
        </w:tc>
      </w:tr>
      <w:tr w:rsidR="005D19CF" w:rsidRPr="001D41EA" w14:paraId="7DEA5E5F"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D23951C" w14:textId="77777777" w:rsidR="005D19CF" w:rsidRPr="001D41EA" w:rsidRDefault="005D19CF" w:rsidP="005D19CF">
            <w:pPr>
              <w:spacing w:before="40" w:after="40"/>
              <w:rPr>
                <w:rFonts w:cs="Arial"/>
                <w:sz w:val="18"/>
                <w:szCs w:val="18"/>
              </w:rPr>
            </w:pPr>
            <w:r w:rsidRPr="001D41EA">
              <w:rPr>
                <w:rFonts w:cs="Arial"/>
                <w:sz w:val="18"/>
                <w:szCs w:val="18"/>
              </w:rPr>
              <w:t>Hepburn S</w:t>
            </w:r>
          </w:p>
        </w:tc>
        <w:tc>
          <w:tcPr>
            <w:tcW w:w="1418" w:type="dxa"/>
            <w:tcBorders>
              <w:top w:val="nil"/>
              <w:left w:val="single" w:sz="18" w:space="0" w:color="5F497A" w:themeColor="accent4" w:themeShade="BF"/>
              <w:bottom w:val="nil"/>
              <w:right w:val="nil"/>
            </w:tcBorders>
            <w:shd w:val="clear" w:color="auto" w:fill="auto"/>
            <w:vAlign w:val="bottom"/>
          </w:tcPr>
          <w:p w14:paraId="291C1483" w14:textId="5DC00230" w:rsidR="005D19CF" w:rsidRPr="001D41EA" w:rsidRDefault="005D19CF" w:rsidP="005D19CF">
            <w:pPr>
              <w:spacing w:before="40" w:after="40"/>
              <w:jc w:val="right"/>
              <w:rPr>
                <w:rFonts w:cs="Arial"/>
                <w:sz w:val="18"/>
                <w:szCs w:val="18"/>
              </w:rPr>
            </w:pPr>
            <w:r w:rsidRPr="001D41EA">
              <w:rPr>
                <w:rFonts w:cs="Arial"/>
                <w:sz w:val="18"/>
                <w:szCs w:val="18"/>
              </w:rPr>
              <w:t>15,327</w:t>
            </w:r>
          </w:p>
        </w:tc>
        <w:tc>
          <w:tcPr>
            <w:tcW w:w="1418" w:type="dxa"/>
            <w:tcBorders>
              <w:top w:val="nil"/>
              <w:left w:val="nil"/>
              <w:bottom w:val="nil"/>
              <w:right w:val="nil"/>
            </w:tcBorders>
            <w:vAlign w:val="bottom"/>
          </w:tcPr>
          <w:p w14:paraId="354BA80D" w14:textId="2A20E19A" w:rsidR="005D19CF" w:rsidRPr="001D41EA" w:rsidRDefault="005D19CF" w:rsidP="005D19CF">
            <w:pPr>
              <w:spacing w:before="40" w:after="40"/>
              <w:jc w:val="right"/>
              <w:rPr>
                <w:rFonts w:cs="Arial"/>
                <w:sz w:val="18"/>
                <w:szCs w:val="18"/>
              </w:rPr>
            </w:pPr>
            <w:r w:rsidRPr="001D41EA">
              <w:rPr>
                <w:rFonts w:cs="Arial"/>
                <w:sz w:val="18"/>
                <w:szCs w:val="18"/>
              </w:rPr>
              <w:t>3,295</w:t>
            </w:r>
          </w:p>
        </w:tc>
        <w:tc>
          <w:tcPr>
            <w:tcW w:w="1418" w:type="dxa"/>
            <w:tcBorders>
              <w:top w:val="nil"/>
              <w:left w:val="nil"/>
              <w:bottom w:val="nil"/>
              <w:right w:val="nil"/>
            </w:tcBorders>
            <w:shd w:val="clear" w:color="auto" w:fill="auto"/>
            <w:vAlign w:val="bottom"/>
          </w:tcPr>
          <w:p w14:paraId="327AD8FC" w14:textId="02A29F82" w:rsidR="005D19CF" w:rsidRPr="001D41EA" w:rsidRDefault="005D19CF" w:rsidP="005D19CF">
            <w:pPr>
              <w:spacing w:before="40" w:after="40"/>
              <w:jc w:val="center"/>
              <w:rPr>
                <w:rFonts w:cs="Arial"/>
                <w:sz w:val="18"/>
                <w:szCs w:val="18"/>
              </w:rPr>
            </w:pPr>
            <w:r w:rsidRPr="005D19CF">
              <w:rPr>
                <w:rFonts w:cs="Arial"/>
                <w:sz w:val="18"/>
                <w:szCs w:val="18"/>
              </w:rPr>
              <w:t>21.5</w:t>
            </w:r>
          </w:p>
        </w:tc>
        <w:tc>
          <w:tcPr>
            <w:tcW w:w="170" w:type="dxa"/>
            <w:tcBorders>
              <w:top w:val="nil"/>
              <w:left w:val="nil"/>
              <w:bottom w:val="nil"/>
              <w:right w:val="nil"/>
            </w:tcBorders>
            <w:shd w:val="clear" w:color="auto" w:fill="auto"/>
            <w:vAlign w:val="bottom"/>
          </w:tcPr>
          <w:p w14:paraId="2DE3025B" w14:textId="0226374B"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78DE297B" w14:textId="0F23FAA3" w:rsidR="005D19CF" w:rsidRPr="001D41EA" w:rsidRDefault="005D19CF" w:rsidP="005D19CF">
            <w:pPr>
              <w:spacing w:before="40" w:after="40"/>
              <w:jc w:val="center"/>
              <w:rPr>
                <w:rFonts w:cs="Arial"/>
                <w:sz w:val="18"/>
                <w:szCs w:val="18"/>
              </w:rPr>
            </w:pPr>
            <w:r w:rsidRPr="001D41EA">
              <w:rPr>
                <w:rFonts w:cs="Arial"/>
                <w:sz w:val="18"/>
                <w:szCs w:val="18"/>
              </w:rPr>
              <w:t>1.07</w:t>
            </w:r>
          </w:p>
        </w:tc>
      </w:tr>
      <w:tr w:rsidR="005D19CF" w:rsidRPr="001D41EA" w14:paraId="1A99B053"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3336B1C" w14:textId="77777777" w:rsidR="005D19CF" w:rsidRPr="001D41EA" w:rsidRDefault="005D19CF" w:rsidP="005D19CF">
            <w:pPr>
              <w:spacing w:before="40" w:after="40"/>
              <w:rPr>
                <w:rFonts w:cs="Arial"/>
                <w:sz w:val="18"/>
                <w:szCs w:val="18"/>
              </w:rPr>
            </w:pPr>
            <w:r w:rsidRPr="001D41EA">
              <w:rPr>
                <w:rFonts w:cs="Arial"/>
                <w:sz w:val="18"/>
                <w:szCs w:val="18"/>
              </w:rPr>
              <w:t>Hindmarsh S</w:t>
            </w:r>
          </w:p>
        </w:tc>
        <w:tc>
          <w:tcPr>
            <w:tcW w:w="1418" w:type="dxa"/>
            <w:tcBorders>
              <w:top w:val="nil"/>
              <w:left w:val="single" w:sz="18" w:space="0" w:color="5F497A" w:themeColor="accent4" w:themeShade="BF"/>
              <w:bottom w:val="nil"/>
              <w:right w:val="nil"/>
            </w:tcBorders>
            <w:shd w:val="clear" w:color="auto" w:fill="auto"/>
            <w:vAlign w:val="bottom"/>
          </w:tcPr>
          <w:p w14:paraId="06A0C9BF" w14:textId="7252F025" w:rsidR="005D19CF" w:rsidRPr="001D41EA" w:rsidRDefault="005D19CF" w:rsidP="005D19CF">
            <w:pPr>
              <w:spacing w:before="40" w:after="40"/>
              <w:jc w:val="right"/>
              <w:rPr>
                <w:rFonts w:cs="Arial"/>
                <w:sz w:val="18"/>
                <w:szCs w:val="18"/>
              </w:rPr>
            </w:pPr>
            <w:r w:rsidRPr="001D41EA">
              <w:rPr>
                <w:rFonts w:cs="Arial"/>
                <w:sz w:val="18"/>
                <w:szCs w:val="18"/>
              </w:rPr>
              <w:t>5,725</w:t>
            </w:r>
          </w:p>
        </w:tc>
        <w:tc>
          <w:tcPr>
            <w:tcW w:w="1418" w:type="dxa"/>
            <w:tcBorders>
              <w:top w:val="nil"/>
              <w:left w:val="nil"/>
              <w:bottom w:val="nil"/>
              <w:right w:val="nil"/>
            </w:tcBorders>
            <w:vAlign w:val="bottom"/>
          </w:tcPr>
          <w:p w14:paraId="61685D2E" w14:textId="72D39D5F" w:rsidR="005D19CF" w:rsidRPr="001D41EA" w:rsidRDefault="005D19CF" w:rsidP="005D19CF">
            <w:pPr>
              <w:spacing w:before="40" w:after="40"/>
              <w:jc w:val="right"/>
              <w:rPr>
                <w:rFonts w:cs="Arial"/>
                <w:sz w:val="18"/>
                <w:szCs w:val="18"/>
              </w:rPr>
            </w:pPr>
            <w:r w:rsidRPr="001D41EA">
              <w:rPr>
                <w:rFonts w:cs="Arial"/>
                <w:sz w:val="18"/>
                <w:szCs w:val="18"/>
              </w:rPr>
              <w:t>1,099</w:t>
            </w:r>
          </w:p>
        </w:tc>
        <w:tc>
          <w:tcPr>
            <w:tcW w:w="1418" w:type="dxa"/>
            <w:tcBorders>
              <w:top w:val="nil"/>
              <w:left w:val="nil"/>
              <w:bottom w:val="nil"/>
              <w:right w:val="nil"/>
            </w:tcBorders>
            <w:shd w:val="clear" w:color="auto" w:fill="auto"/>
            <w:vAlign w:val="bottom"/>
          </w:tcPr>
          <w:p w14:paraId="7BCBA1C6" w14:textId="0039C6FF" w:rsidR="005D19CF" w:rsidRPr="001D41EA" w:rsidRDefault="005D19CF" w:rsidP="005D19CF">
            <w:pPr>
              <w:spacing w:before="40" w:after="40"/>
              <w:jc w:val="center"/>
              <w:rPr>
                <w:rFonts w:cs="Arial"/>
                <w:sz w:val="18"/>
                <w:szCs w:val="18"/>
              </w:rPr>
            </w:pPr>
            <w:r w:rsidRPr="005D19CF">
              <w:rPr>
                <w:rFonts w:cs="Arial"/>
                <w:sz w:val="18"/>
                <w:szCs w:val="18"/>
              </w:rPr>
              <w:t>19.2</w:t>
            </w:r>
          </w:p>
        </w:tc>
        <w:tc>
          <w:tcPr>
            <w:tcW w:w="170" w:type="dxa"/>
            <w:tcBorders>
              <w:top w:val="nil"/>
              <w:left w:val="nil"/>
              <w:bottom w:val="nil"/>
              <w:right w:val="nil"/>
            </w:tcBorders>
            <w:shd w:val="clear" w:color="auto" w:fill="auto"/>
            <w:vAlign w:val="bottom"/>
          </w:tcPr>
          <w:p w14:paraId="4E0A10A1" w14:textId="019A768C"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732CD94F" w14:textId="1DC285AB" w:rsidR="005D19CF" w:rsidRPr="001D41EA" w:rsidRDefault="005D19CF" w:rsidP="005D19CF">
            <w:pPr>
              <w:spacing w:before="40" w:after="40"/>
              <w:jc w:val="center"/>
              <w:rPr>
                <w:rFonts w:cs="Arial"/>
                <w:sz w:val="18"/>
                <w:szCs w:val="18"/>
              </w:rPr>
            </w:pPr>
            <w:r w:rsidRPr="001D41EA">
              <w:rPr>
                <w:rFonts w:cs="Arial"/>
                <w:sz w:val="18"/>
                <w:szCs w:val="18"/>
              </w:rPr>
              <w:t>5.62</w:t>
            </w:r>
          </w:p>
        </w:tc>
      </w:tr>
      <w:tr w:rsidR="005D19CF" w:rsidRPr="001D41EA" w14:paraId="29DDEB21"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50E271D" w14:textId="77777777" w:rsidR="005D19CF" w:rsidRPr="001D41EA" w:rsidRDefault="005D19CF" w:rsidP="005D19CF">
            <w:pPr>
              <w:spacing w:before="40" w:after="40"/>
              <w:rPr>
                <w:rFonts w:cs="Arial"/>
                <w:sz w:val="18"/>
                <w:szCs w:val="18"/>
              </w:rPr>
            </w:pPr>
            <w:r w:rsidRPr="001D41EA">
              <w:rPr>
                <w:rFonts w:cs="Arial"/>
                <w:sz w:val="18"/>
                <w:szCs w:val="18"/>
              </w:rPr>
              <w:t>Hobsons Bay C</w:t>
            </w:r>
          </w:p>
        </w:tc>
        <w:tc>
          <w:tcPr>
            <w:tcW w:w="1418" w:type="dxa"/>
            <w:tcBorders>
              <w:top w:val="nil"/>
              <w:left w:val="single" w:sz="18" w:space="0" w:color="5F497A" w:themeColor="accent4" w:themeShade="BF"/>
              <w:bottom w:val="nil"/>
              <w:right w:val="nil"/>
            </w:tcBorders>
            <w:shd w:val="clear" w:color="auto" w:fill="auto"/>
            <w:vAlign w:val="bottom"/>
          </w:tcPr>
          <w:p w14:paraId="5AFF3789" w14:textId="4A8EBC6D" w:rsidR="005D19CF" w:rsidRPr="001D41EA" w:rsidRDefault="005D19CF" w:rsidP="005D19CF">
            <w:pPr>
              <w:spacing w:before="40" w:after="40"/>
              <w:jc w:val="right"/>
              <w:rPr>
                <w:rFonts w:cs="Arial"/>
                <w:sz w:val="18"/>
                <w:szCs w:val="18"/>
              </w:rPr>
            </w:pPr>
            <w:r w:rsidRPr="001D41EA">
              <w:rPr>
                <w:rFonts w:cs="Arial"/>
                <w:sz w:val="18"/>
                <w:szCs w:val="18"/>
              </w:rPr>
              <w:t>88,777</w:t>
            </w:r>
          </w:p>
        </w:tc>
        <w:tc>
          <w:tcPr>
            <w:tcW w:w="1418" w:type="dxa"/>
            <w:tcBorders>
              <w:top w:val="nil"/>
              <w:left w:val="nil"/>
              <w:bottom w:val="nil"/>
              <w:right w:val="nil"/>
            </w:tcBorders>
            <w:vAlign w:val="bottom"/>
          </w:tcPr>
          <w:p w14:paraId="0C025EDC" w14:textId="60DF75A1" w:rsidR="005D19CF" w:rsidRPr="001D41EA" w:rsidRDefault="005D19CF" w:rsidP="005D19CF">
            <w:pPr>
              <w:spacing w:before="40" w:after="40"/>
              <w:jc w:val="right"/>
              <w:rPr>
                <w:rFonts w:cs="Arial"/>
                <w:sz w:val="18"/>
                <w:szCs w:val="18"/>
              </w:rPr>
            </w:pPr>
            <w:r w:rsidRPr="001D41EA">
              <w:rPr>
                <w:rFonts w:cs="Arial"/>
                <w:sz w:val="18"/>
                <w:szCs w:val="18"/>
              </w:rPr>
              <w:t>16,824</w:t>
            </w:r>
          </w:p>
        </w:tc>
        <w:tc>
          <w:tcPr>
            <w:tcW w:w="1418" w:type="dxa"/>
            <w:tcBorders>
              <w:top w:val="nil"/>
              <w:left w:val="nil"/>
              <w:bottom w:val="nil"/>
              <w:right w:val="nil"/>
            </w:tcBorders>
            <w:shd w:val="clear" w:color="auto" w:fill="auto"/>
            <w:vAlign w:val="bottom"/>
          </w:tcPr>
          <w:p w14:paraId="51FDDA77" w14:textId="1C2F672F" w:rsidR="005D19CF" w:rsidRPr="001D41EA" w:rsidRDefault="005D19CF" w:rsidP="005D19CF">
            <w:pPr>
              <w:spacing w:before="40" w:after="40"/>
              <w:jc w:val="center"/>
              <w:rPr>
                <w:rFonts w:cs="Arial"/>
                <w:sz w:val="18"/>
                <w:szCs w:val="18"/>
              </w:rPr>
            </w:pPr>
            <w:r w:rsidRPr="005D19CF">
              <w:rPr>
                <w:rFonts w:cs="Arial"/>
                <w:sz w:val="18"/>
                <w:szCs w:val="18"/>
              </w:rPr>
              <w:t>19.0</w:t>
            </w:r>
          </w:p>
        </w:tc>
        <w:tc>
          <w:tcPr>
            <w:tcW w:w="170" w:type="dxa"/>
            <w:tcBorders>
              <w:top w:val="nil"/>
              <w:left w:val="nil"/>
              <w:bottom w:val="nil"/>
              <w:right w:val="nil"/>
            </w:tcBorders>
            <w:shd w:val="clear" w:color="auto" w:fill="auto"/>
            <w:vAlign w:val="bottom"/>
          </w:tcPr>
          <w:p w14:paraId="12B2D815" w14:textId="49ABA959"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721850BA" w14:textId="04201062" w:rsidR="005D19CF" w:rsidRPr="001D41EA" w:rsidRDefault="005D19CF" w:rsidP="005D19CF">
            <w:pPr>
              <w:spacing w:before="40" w:after="40"/>
              <w:jc w:val="center"/>
              <w:rPr>
                <w:rFonts w:cs="Arial"/>
                <w:sz w:val="18"/>
                <w:szCs w:val="18"/>
              </w:rPr>
            </w:pPr>
          </w:p>
        </w:tc>
      </w:tr>
      <w:tr w:rsidR="005D19CF" w:rsidRPr="001D41EA" w14:paraId="2C6EB171"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19218B2" w14:textId="77777777" w:rsidR="005D19CF" w:rsidRPr="001D41EA" w:rsidRDefault="005D19CF" w:rsidP="005D19CF">
            <w:pPr>
              <w:spacing w:before="40" w:after="40"/>
              <w:rPr>
                <w:rFonts w:cs="Arial"/>
                <w:sz w:val="18"/>
                <w:szCs w:val="18"/>
              </w:rPr>
            </w:pPr>
            <w:r w:rsidRPr="001D41EA">
              <w:rPr>
                <w:rFonts w:cs="Arial"/>
                <w:sz w:val="18"/>
                <w:szCs w:val="18"/>
              </w:rPr>
              <w:t>Horsham RC</w:t>
            </w:r>
          </w:p>
        </w:tc>
        <w:tc>
          <w:tcPr>
            <w:tcW w:w="1418" w:type="dxa"/>
            <w:tcBorders>
              <w:top w:val="nil"/>
              <w:left w:val="single" w:sz="18" w:space="0" w:color="5F497A" w:themeColor="accent4" w:themeShade="BF"/>
              <w:bottom w:val="nil"/>
              <w:right w:val="nil"/>
            </w:tcBorders>
            <w:shd w:val="clear" w:color="auto" w:fill="auto"/>
            <w:vAlign w:val="bottom"/>
          </w:tcPr>
          <w:p w14:paraId="1CCA37FD" w14:textId="041DA9D0" w:rsidR="005D19CF" w:rsidRPr="001D41EA" w:rsidRDefault="005D19CF" w:rsidP="005D19CF">
            <w:pPr>
              <w:spacing w:before="40" w:after="40"/>
              <w:jc w:val="right"/>
              <w:rPr>
                <w:rFonts w:cs="Arial"/>
                <w:sz w:val="18"/>
                <w:szCs w:val="18"/>
              </w:rPr>
            </w:pPr>
            <w:r w:rsidRPr="001D41EA">
              <w:rPr>
                <w:rFonts w:cs="Arial"/>
                <w:sz w:val="18"/>
                <w:szCs w:val="18"/>
              </w:rPr>
              <w:t>19,641</w:t>
            </w:r>
          </w:p>
        </w:tc>
        <w:tc>
          <w:tcPr>
            <w:tcW w:w="1418" w:type="dxa"/>
            <w:tcBorders>
              <w:top w:val="nil"/>
              <w:left w:val="nil"/>
              <w:bottom w:val="nil"/>
              <w:right w:val="nil"/>
            </w:tcBorders>
            <w:vAlign w:val="bottom"/>
          </w:tcPr>
          <w:p w14:paraId="14D297CA" w14:textId="010838A7" w:rsidR="005D19CF" w:rsidRPr="001D41EA" w:rsidRDefault="005D19CF" w:rsidP="005D19CF">
            <w:pPr>
              <w:spacing w:before="40" w:after="40"/>
              <w:jc w:val="right"/>
              <w:rPr>
                <w:rFonts w:cs="Arial"/>
                <w:sz w:val="18"/>
                <w:szCs w:val="18"/>
              </w:rPr>
            </w:pPr>
            <w:r w:rsidRPr="001D41EA">
              <w:rPr>
                <w:rFonts w:cs="Arial"/>
                <w:sz w:val="18"/>
                <w:szCs w:val="18"/>
              </w:rPr>
              <w:t>7,856</w:t>
            </w:r>
          </w:p>
        </w:tc>
        <w:tc>
          <w:tcPr>
            <w:tcW w:w="1418" w:type="dxa"/>
            <w:tcBorders>
              <w:top w:val="nil"/>
              <w:left w:val="nil"/>
              <w:bottom w:val="nil"/>
              <w:right w:val="nil"/>
            </w:tcBorders>
            <w:shd w:val="clear" w:color="auto" w:fill="auto"/>
            <w:vAlign w:val="bottom"/>
          </w:tcPr>
          <w:p w14:paraId="6E15E0AB" w14:textId="58437DB7" w:rsidR="005D19CF" w:rsidRPr="001D41EA" w:rsidRDefault="005D19CF" w:rsidP="005D19CF">
            <w:pPr>
              <w:spacing w:before="40" w:after="40"/>
              <w:jc w:val="center"/>
              <w:rPr>
                <w:rFonts w:cs="Arial"/>
                <w:sz w:val="18"/>
                <w:szCs w:val="18"/>
              </w:rPr>
            </w:pPr>
            <w:r w:rsidRPr="005D19CF">
              <w:rPr>
                <w:rFonts w:cs="Arial"/>
                <w:sz w:val="18"/>
                <w:szCs w:val="18"/>
              </w:rPr>
              <w:t>40.0</w:t>
            </w:r>
          </w:p>
        </w:tc>
        <w:tc>
          <w:tcPr>
            <w:tcW w:w="170" w:type="dxa"/>
            <w:tcBorders>
              <w:top w:val="nil"/>
              <w:left w:val="nil"/>
              <w:bottom w:val="nil"/>
              <w:right w:val="nil"/>
            </w:tcBorders>
            <w:shd w:val="clear" w:color="auto" w:fill="auto"/>
            <w:vAlign w:val="bottom"/>
          </w:tcPr>
          <w:p w14:paraId="5858FA7A" w14:textId="3B347B59"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88E0BFC" w14:textId="676CCC79" w:rsidR="005D19CF" w:rsidRPr="001D41EA" w:rsidRDefault="005D19CF" w:rsidP="005D19CF">
            <w:pPr>
              <w:spacing w:before="40" w:after="40"/>
              <w:jc w:val="center"/>
              <w:rPr>
                <w:rFonts w:cs="Arial"/>
                <w:sz w:val="18"/>
                <w:szCs w:val="18"/>
              </w:rPr>
            </w:pPr>
            <w:r w:rsidRPr="001D41EA">
              <w:rPr>
                <w:rFonts w:cs="Arial"/>
                <w:sz w:val="18"/>
                <w:szCs w:val="18"/>
              </w:rPr>
              <w:t>3.79</w:t>
            </w:r>
          </w:p>
        </w:tc>
      </w:tr>
      <w:tr w:rsidR="005D19CF" w:rsidRPr="001D41EA" w14:paraId="11FA5DEC"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D9A0F4C" w14:textId="77777777" w:rsidR="005D19CF" w:rsidRPr="001D41EA" w:rsidRDefault="005D19CF" w:rsidP="005D19CF">
            <w:pPr>
              <w:spacing w:before="40" w:after="40"/>
              <w:rPr>
                <w:rFonts w:cs="Arial"/>
                <w:sz w:val="18"/>
                <w:szCs w:val="18"/>
              </w:rPr>
            </w:pPr>
            <w:r w:rsidRPr="001D41EA">
              <w:rPr>
                <w:rFonts w:cs="Arial"/>
                <w:sz w:val="18"/>
                <w:szCs w:val="18"/>
              </w:rPr>
              <w:t>Hume C</w:t>
            </w:r>
          </w:p>
        </w:tc>
        <w:tc>
          <w:tcPr>
            <w:tcW w:w="1418" w:type="dxa"/>
            <w:tcBorders>
              <w:top w:val="nil"/>
              <w:left w:val="single" w:sz="18" w:space="0" w:color="5F497A" w:themeColor="accent4" w:themeShade="BF"/>
              <w:bottom w:val="nil"/>
              <w:right w:val="nil"/>
            </w:tcBorders>
            <w:shd w:val="clear" w:color="auto" w:fill="auto"/>
            <w:vAlign w:val="bottom"/>
          </w:tcPr>
          <w:p w14:paraId="0A49A8E2" w14:textId="53ED3CE2" w:rsidR="005D19CF" w:rsidRPr="001D41EA" w:rsidRDefault="005D19CF" w:rsidP="005D19CF">
            <w:pPr>
              <w:spacing w:before="40" w:after="40"/>
              <w:jc w:val="right"/>
              <w:rPr>
                <w:rFonts w:cs="Arial"/>
                <w:sz w:val="18"/>
                <w:szCs w:val="18"/>
              </w:rPr>
            </w:pPr>
            <w:r w:rsidRPr="001D41EA">
              <w:rPr>
                <w:rFonts w:cs="Arial"/>
                <w:sz w:val="18"/>
                <w:szCs w:val="18"/>
              </w:rPr>
              <w:t>197,376</w:t>
            </w:r>
          </w:p>
        </w:tc>
        <w:tc>
          <w:tcPr>
            <w:tcW w:w="1418" w:type="dxa"/>
            <w:tcBorders>
              <w:top w:val="nil"/>
              <w:left w:val="nil"/>
              <w:bottom w:val="nil"/>
              <w:right w:val="nil"/>
            </w:tcBorders>
            <w:vAlign w:val="bottom"/>
          </w:tcPr>
          <w:p w14:paraId="46E0AA83" w14:textId="4F459EC4" w:rsidR="005D19CF" w:rsidRPr="001D41EA" w:rsidRDefault="005D19CF" w:rsidP="005D19CF">
            <w:pPr>
              <w:spacing w:before="40" w:after="40"/>
              <w:jc w:val="right"/>
              <w:rPr>
                <w:rFonts w:cs="Arial"/>
                <w:sz w:val="18"/>
                <w:szCs w:val="18"/>
              </w:rPr>
            </w:pPr>
            <w:r w:rsidRPr="001D41EA">
              <w:rPr>
                <w:rFonts w:cs="Arial"/>
                <w:sz w:val="18"/>
                <w:szCs w:val="18"/>
              </w:rPr>
              <w:t>38,905</w:t>
            </w:r>
          </w:p>
        </w:tc>
        <w:tc>
          <w:tcPr>
            <w:tcW w:w="1418" w:type="dxa"/>
            <w:tcBorders>
              <w:top w:val="nil"/>
              <w:left w:val="nil"/>
              <w:bottom w:val="nil"/>
              <w:right w:val="nil"/>
            </w:tcBorders>
            <w:shd w:val="clear" w:color="auto" w:fill="auto"/>
            <w:vAlign w:val="bottom"/>
          </w:tcPr>
          <w:p w14:paraId="33FA3736" w14:textId="555F1A3B" w:rsidR="005D19CF" w:rsidRPr="001D41EA" w:rsidRDefault="005D19CF" w:rsidP="005D19CF">
            <w:pPr>
              <w:spacing w:before="40" w:after="40"/>
              <w:jc w:val="center"/>
              <w:rPr>
                <w:rFonts w:cs="Arial"/>
                <w:sz w:val="18"/>
                <w:szCs w:val="18"/>
              </w:rPr>
            </w:pPr>
            <w:r w:rsidRPr="005D19CF">
              <w:rPr>
                <w:rFonts w:cs="Arial"/>
                <w:sz w:val="18"/>
                <w:szCs w:val="18"/>
              </w:rPr>
              <w:t>19.7</w:t>
            </w:r>
          </w:p>
        </w:tc>
        <w:tc>
          <w:tcPr>
            <w:tcW w:w="170" w:type="dxa"/>
            <w:tcBorders>
              <w:top w:val="nil"/>
              <w:left w:val="nil"/>
              <w:bottom w:val="nil"/>
              <w:right w:val="nil"/>
            </w:tcBorders>
            <w:shd w:val="clear" w:color="auto" w:fill="auto"/>
            <w:vAlign w:val="bottom"/>
          </w:tcPr>
          <w:p w14:paraId="2124E15E" w14:textId="421926F4"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1EE6A951" w14:textId="59F83FE5" w:rsidR="005D19CF" w:rsidRPr="001D41EA" w:rsidRDefault="005D19CF" w:rsidP="005D19CF">
            <w:pPr>
              <w:spacing w:before="40" w:after="40"/>
              <w:jc w:val="center"/>
              <w:rPr>
                <w:rFonts w:cs="Arial"/>
                <w:sz w:val="18"/>
                <w:szCs w:val="18"/>
              </w:rPr>
            </w:pPr>
            <w:r w:rsidRPr="001D41EA">
              <w:rPr>
                <w:rFonts w:cs="Arial"/>
                <w:sz w:val="18"/>
                <w:szCs w:val="18"/>
              </w:rPr>
              <w:t>0.08</w:t>
            </w:r>
          </w:p>
        </w:tc>
      </w:tr>
      <w:tr w:rsidR="005D19CF" w:rsidRPr="001D41EA" w14:paraId="22D8ABD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CF1E3E0" w14:textId="77777777" w:rsidR="005D19CF" w:rsidRPr="001D41EA" w:rsidRDefault="005D19CF" w:rsidP="005D19CF">
            <w:pPr>
              <w:spacing w:before="40" w:after="40"/>
              <w:rPr>
                <w:rFonts w:cs="Arial"/>
                <w:sz w:val="18"/>
                <w:szCs w:val="18"/>
              </w:rPr>
            </w:pPr>
            <w:r w:rsidRPr="001D41EA">
              <w:rPr>
                <w:rFonts w:cs="Arial"/>
                <w:sz w:val="18"/>
                <w:szCs w:val="18"/>
              </w:rPr>
              <w:t>Indigo S</w:t>
            </w:r>
          </w:p>
        </w:tc>
        <w:tc>
          <w:tcPr>
            <w:tcW w:w="1418" w:type="dxa"/>
            <w:tcBorders>
              <w:top w:val="nil"/>
              <w:left w:val="single" w:sz="18" w:space="0" w:color="5F497A" w:themeColor="accent4" w:themeShade="BF"/>
              <w:bottom w:val="nil"/>
              <w:right w:val="nil"/>
            </w:tcBorders>
            <w:shd w:val="clear" w:color="auto" w:fill="auto"/>
            <w:vAlign w:val="bottom"/>
          </w:tcPr>
          <w:p w14:paraId="76BFEA9A" w14:textId="23B82B8E" w:rsidR="005D19CF" w:rsidRPr="001D41EA" w:rsidRDefault="005D19CF" w:rsidP="005D19CF">
            <w:pPr>
              <w:spacing w:before="40" w:after="40"/>
              <w:jc w:val="right"/>
              <w:rPr>
                <w:rFonts w:cs="Arial"/>
                <w:sz w:val="18"/>
                <w:szCs w:val="18"/>
              </w:rPr>
            </w:pPr>
            <w:r w:rsidRPr="001D41EA">
              <w:rPr>
                <w:rFonts w:cs="Arial"/>
                <w:sz w:val="18"/>
                <w:szCs w:val="18"/>
              </w:rPr>
              <w:t>15,953</w:t>
            </w:r>
          </w:p>
        </w:tc>
        <w:tc>
          <w:tcPr>
            <w:tcW w:w="1418" w:type="dxa"/>
            <w:tcBorders>
              <w:top w:val="nil"/>
              <w:left w:val="nil"/>
              <w:bottom w:val="nil"/>
              <w:right w:val="nil"/>
            </w:tcBorders>
            <w:vAlign w:val="bottom"/>
          </w:tcPr>
          <w:p w14:paraId="3B981B2B" w14:textId="6B6BA79F" w:rsidR="005D19CF" w:rsidRPr="001D41EA" w:rsidRDefault="005D19CF" w:rsidP="005D19CF">
            <w:pPr>
              <w:spacing w:before="40" w:after="40"/>
              <w:jc w:val="right"/>
              <w:rPr>
                <w:rFonts w:cs="Arial"/>
                <w:sz w:val="18"/>
                <w:szCs w:val="18"/>
              </w:rPr>
            </w:pPr>
            <w:r w:rsidRPr="001D41EA">
              <w:rPr>
                <w:rFonts w:cs="Arial"/>
                <w:sz w:val="18"/>
                <w:szCs w:val="18"/>
              </w:rPr>
              <w:t>2,542</w:t>
            </w:r>
          </w:p>
        </w:tc>
        <w:tc>
          <w:tcPr>
            <w:tcW w:w="1418" w:type="dxa"/>
            <w:tcBorders>
              <w:top w:val="nil"/>
              <w:left w:val="nil"/>
              <w:bottom w:val="nil"/>
              <w:right w:val="nil"/>
            </w:tcBorders>
            <w:shd w:val="clear" w:color="auto" w:fill="auto"/>
            <w:vAlign w:val="bottom"/>
          </w:tcPr>
          <w:p w14:paraId="555718F6" w14:textId="4CC035C0" w:rsidR="005D19CF" w:rsidRPr="001D41EA" w:rsidRDefault="005D19CF" w:rsidP="005D19CF">
            <w:pPr>
              <w:spacing w:before="40" w:after="40"/>
              <w:jc w:val="center"/>
              <w:rPr>
                <w:rFonts w:cs="Arial"/>
                <w:sz w:val="18"/>
                <w:szCs w:val="18"/>
              </w:rPr>
            </w:pPr>
            <w:r w:rsidRPr="005D19CF">
              <w:rPr>
                <w:rFonts w:cs="Arial"/>
                <w:sz w:val="18"/>
                <w:szCs w:val="18"/>
              </w:rPr>
              <w:t>15.9</w:t>
            </w:r>
          </w:p>
        </w:tc>
        <w:tc>
          <w:tcPr>
            <w:tcW w:w="170" w:type="dxa"/>
            <w:tcBorders>
              <w:top w:val="nil"/>
              <w:left w:val="nil"/>
              <w:bottom w:val="nil"/>
              <w:right w:val="nil"/>
            </w:tcBorders>
            <w:shd w:val="clear" w:color="auto" w:fill="auto"/>
            <w:vAlign w:val="bottom"/>
          </w:tcPr>
          <w:p w14:paraId="09657521" w14:textId="57C731B8"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144B2BB6" w14:textId="0FCB527D" w:rsidR="005D19CF" w:rsidRPr="001D41EA" w:rsidRDefault="005D19CF" w:rsidP="005D19CF">
            <w:pPr>
              <w:spacing w:before="40" w:after="40"/>
              <w:jc w:val="center"/>
              <w:rPr>
                <w:rFonts w:cs="Arial"/>
                <w:sz w:val="18"/>
                <w:szCs w:val="18"/>
              </w:rPr>
            </w:pPr>
            <w:r w:rsidRPr="001D41EA">
              <w:rPr>
                <w:rFonts w:cs="Arial"/>
                <w:sz w:val="18"/>
                <w:szCs w:val="18"/>
              </w:rPr>
              <w:t>1.44</w:t>
            </w:r>
          </w:p>
        </w:tc>
      </w:tr>
      <w:tr w:rsidR="005D19CF" w:rsidRPr="001D41EA" w14:paraId="7559958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D458FA7" w14:textId="77777777" w:rsidR="005D19CF" w:rsidRPr="001D41EA" w:rsidRDefault="005D19CF" w:rsidP="005D19CF">
            <w:pPr>
              <w:spacing w:before="40" w:after="40"/>
              <w:rPr>
                <w:rFonts w:cs="Arial"/>
                <w:sz w:val="18"/>
                <w:szCs w:val="18"/>
              </w:rPr>
            </w:pPr>
            <w:r w:rsidRPr="001D41EA">
              <w:rPr>
                <w:rFonts w:cs="Arial"/>
                <w:sz w:val="18"/>
                <w:szCs w:val="18"/>
              </w:rPr>
              <w:t>Kingston C</w:t>
            </w:r>
          </w:p>
        </w:tc>
        <w:tc>
          <w:tcPr>
            <w:tcW w:w="1418" w:type="dxa"/>
            <w:tcBorders>
              <w:top w:val="nil"/>
              <w:left w:val="single" w:sz="18" w:space="0" w:color="5F497A" w:themeColor="accent4" w:themeShade="BF"/>
              <w:bottom w:val="nil"/>
              <w:right w:val="nil"/>
            </w:tcBorders>
            <w:shd w:val="clear" w:color="auto" w:fill="auto"/>
            <w:vAlign w:val="bottom"/>
          </w:tcPr>
          <w:p w14:paraId="20A4E21F" w14:textId="06283571" w:rsidR="005D19CF" w:rsidRPr="001D41EA" w:rsidRDefault="005D19CF" w:rsidP="005D19CF">
            <w:pPr>
              <w:spacing w:before="40" w:after="40"/>
              <w:jc w:val="right"/>
              <w:rPr>
                <w:rFonts w:cs="Arial"/>
                <w:sz w:val="18"/>
                <w:szCs w:val="18"/>
              </w:rPr>
            </w:pPr>
            <w:r w:rsidRPr="001D41EA">
              <w:rPr>
                <w:rFonts w:cs="Arial"/>
                <w:sz w:val="18"/>
                <w:szCs w:val="18"/>
              </w:rPr>
              <w:t>151,389</w:t>
            </w:r>
          </w:p>
        </w:tc>
        <w:tc>
          <w:tcPr>
            <w:tcW w:w="1418" w:type="dxa"/>
            <w:tcBorders>
              <w:top w:val="nil"/>
              <w:left w:val="nil"/>
              <w:bottom w:val="nil"/>
              <w:right w:val="nil"/>
            </w:tcBorders>
            <w:vAlign w:val="bottom"/>
          </w:tcPr>
          <w:p w14:paraId="70837AD4" w14:textId="4F96F416" w:rsidR="005D19CF" w:rsidRPr="001D41EA" w:rsidRDefault="005D19CF" w:rsidP="005D19CF">
            <w:pPr>
              <w:spacing w:before="40" w:after="40"/>
              <w:jc w:val="right"/>
              <w:rPr>
                <w:rFonts w:cs="Arial"/>
                <w:sz w:val="18"/>
                <w:szCs w:val="18"/>
              </w:rPr>
            </w:pPr>
            <w:r w:rsidRPr="001D41EA">
              <w:rPr>
                <w:rFonts w:cs="Arial"/>
                <w:sz w:val="18"/>
                <w:szCs w:val="18"/>
              </w:rPr>
              <w:t>39,177</w:t>
            </w:r>
          </w:p>
        </w:tc>
        <w:tc>
          <w:tcPr>
            <w:tcW w:w="1418" w:type="dxa"/>
            <w:tcBorders>
              <w:top w:val="nil"/>
              <w:left w:val="nil"/>
              <w:bottom w:val="nil"/>
              <w:right w:val="nil"/>
            </w:tcBorders>
            <w:shd w:val="clear" w:color="auto" w:fill="auto"/>
            <w:vAlign w:val="bottom"/>
          </w:tcPr>
          <w:p w14:paraId="7F0C005C" w14:textId="5BD2B36E" w:rsidR="005D19CF" w:rsidRPr="001D41EA" w:rsidRDefault="005D19CF" w:rsidP="005D19CF">
            <w:pPr>
              <w:spacing w:before="40" w:after="40"/>
              <w:jc w:val="center"/>
              <w:rPr>
                <w:rFonts w:cs="Arial"/>
                <w:sz w:val="18"/>
                <w:szCs w:val="18"/>
              </w:rPr>
            </w:pPr>
            <w:r w:rsidRPr="005D19CF">
              <w:rPr>
                <w:rFonts w:cs="Arial"/>
                <w:sz w:val="18"/>
                <w:szCs w:val="18"/>
              </w:rPr>
              <w:t>25.9</w:t>
            </w:r>
          </w:p>
        </w:tc>
        <w:tc>
          <w:tcPr>
            <w:tcW w:w="170" w:type="dxa"/>
            <w:tcBorders>
              <w:top w:val="nil"/>
              <w:left w:val="nil"/>
              <w:bottom w:val="nil"/>
              <w:right w:val="nil"/>
            </w:tcBorders>
            <w:shd w:val="clear" w:color="auto" w:fill="auto"/>
            <w:vAlign w:val="bottom"/>
          </w:tcPr>
          <w:p w14:paraId="0A76D89D" w14:textId="50CA46B5"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C60B703" w14:textId="5D213B2B" w:rsidR="005D19CF" w:rsidRPr="001D41EA" w:rsidRDefault="005D19CF" w:rsidP="005D19CF">
            <w:pPr>
              <w:spacing w:before="40" w:after="40"/>
              <w:jc w:val="center"/>
              <w:rPr>
                <w:rFonts w:cs="Arial"/>
                <w:sz w:val="18"/>
                <w:szCs w:val="18"/>
              </w:rPr>
            </w:pPr>
          </w:p>
        </w:tc>
      </w:tr>
      <w:tr w:rsidR="005D19CF" w:rsidRPr="001D41EA" w14:paraId="3830AFA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8C93E2C" w14:textId="77777777" w:rsidR="005D19CF" w:rsidRPr="001D41EA" w:rsidRDefault="005D19CF" w:rsidP="005D19CF">
            <w:pPr>
              <w:spacing w:before="40" w:after="40"/>
              <w:rPr>
                <w:rFonts w:cs="Arial"/>
                <w:sz w:val="18"/>
                <w:szCs w:val="18"/>
              </w:rPr>
            </w:pPr>
            <w:r w:rsidRPr="001D41EA">
              <w:rPr>
                <w:rFonts w:cs="Arial"/>
                <w:sz w:val="18"/>
                <w:szCs w:val="18"/>
              </w:rPr>
              <w:t>Knox C</w:t>
            </w:r>
          </w:p>
        </w:tc>
        <w:tc>
          <w:tcPr>
            <w:tcW w:w="1418" w:type="dxa"/>
            <w:tcBorders>
              <w:top w:val="nil"/>
              <w:left w:val="single" w:sz="18" w:space="0" w:color="5F497A" w:themeColor="accent4" w:themeShade="BF"/>
              <w:bottom w:val="nil"/>
              <w:right w:val="nil"/>
            </w:tcBorders>
            <w:shd w:val="clear" w:color="auto" w:fill="auto"/>
            <w:vAlign w:val="bottom"/>
          </w:tcPr>
          <w:p w14:paraId="2B62DC67" w14:textId="654F0D33" w:rsidR="005D19CF" w:rsidRPr="001D41EA" w:rsidRDefault="005D19CF" w:rsidP="005D19CF">
            <w:pPr>
              <w:spacing w:before="40" w:after="40"/>
              <w:jc w:val="right"/>
              <w:rPr>
                <w:rFonts w:cs="Arial"/>
                <w:sz w:val="18"/>
                <w:szCs w:val="18"/>
              </w:rPr>
            </w:pPr>
            <w:r w:rsidRPr="001D41EA">
              <w:rPr>
                <w:rFonts w:cs="Arial"/>
                <w:sz w:val="18"/>
                <w:szCs w:val="18"/>
              </w:rPr>
              <w:t>154,109</w:t>
            </w:r>
          </w:p>
        </w:tc>
        <w:tc>
          <w:tcPr>
            <w:tcW w:w="1418" w:type="dxa"/>
            <w:tcBorders>
              <w:top w:val="nil"/>
              <w:left w:val="nil"/>
              <w:bottom w:val="nil"/>
              <w:right w:val="nil"/>
            </w:tcBorders>
            <w:vAlign w:val="bottom"/>
          </w:tcPr>
          <w:p w14:paraId="0AAE1AA9" w14:textId="24BA533E" w:rsidR="005D19CF" w:rsidRPr="001D41EA" w:rsidRDefault="005D19CF" w:rsidP="005D19CF">
            <w:pPr>
              <w:spacing w:before="40" w:after="40"/>
              <w:jc w:val="right"/>
              <w:rPr>
                <w:rFonts w:cs="Arial"/>
                <w:sz w:val="18"/>
                <w:szCs w:val="18"/>
              </w:rPr>
            </w:pPr>
            <w:r w:rsidRPr="001D41EA">
              <w:rPr>
                <w:rFonts w:cs="Arial"/>
                <w:sz w:val="18"/>
                <w:szCs w:val="18"/>
              </w:rPr>
              <w:t>35,850</w:t>
            </w:r>
          </w:p>
        </w:tc>
        <w:tc>
          <w:tcPr>
            <w:tcW w:w="1418" w:type="dxa"/>
            <w:tcBorders>
              <w:top w:val="nil"/>
              <w:left w:val="nil"/>
              <w:bottom w:val="nil"/>
              <w:right w:val="nil"/>
            </w:tcBorders>
            <w:shd w:val="clear" w:color="auto" w:fill="auto"/>
            <w:vAlign w:val="bottom"/>
          </w:tcPr>
          <w:p w14:paraId="5441848F" w14:textId="07486522" w:rsidR="005D19CF" w:rsidRPr="001D41EA" w:rsidRDefault="005D19CF" w:rsidP="005D19CF">
            <w:pPr>
              <w:spacing w:before="40" w:after="40"/>
              <w:jc w:val="center"/>
              <w:rPr>
                <w:rFonts w:cs="Arial"/>
                <w:sz w:val="18"/>
                <w:szCs w:val="18"/>
              </w:rPr>
            </w:pPr>
            <w:r w:rsidRPr="005D19CF">
              <w:rPr>
                <w:rFonts w:cs="Arial"/>
                <w:sz w:val="18"/>
                <w:szCs w:val="18"/>
              </w:rPr>
              <w:t>23.3</w:t>
            </w:r>
          </w:p>
        </w:tc>
        <w:tc>
          <w:tcPr>
            <w:tcW w:w="170" w:type="dxa"/>
            <w:tcBorders>
              <w:top w:val="nil"/>
              <w:left w:val="nil"/>
              <w:bottom w:val="nil"/>
              <w:right w:val="nil"/>
            </w:tcBorders>
            <w:shd w:val="clear" w:color="auto" w:fill="auto"/>
            <w:vAlign w:val="bottom"/>
          </w:tcPr>
          <w:p w14:paraId="70874082" w14:textId="0A5E4B02"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FC29DE9" w14:textId="5EE7C9F8" w:rsidR="005D19CF" w:rsidRPr="001D41EA" w:rsidRDefault="005D19CF" w:rsidP="005D19CF">
            <w:pPr>
              <w:spacing w:before="40" w:after="40"/>
              <w:jc w:val="center"/>
              <w:rPr>
                <w:rFonts w:cs="Arial"/>
                <w:sz w:val="18"/>
                <w:szCs w:val="18"/>
              </w:rPr>
            </w:pPr>
          </w:p>
        </w:tc>
      </w:tr>
      <w:tr w:rsidR="005D19CF" w:rsidRPr="001D41EA" w14:paraId="6CFB752E" w14:textId="77777777" w:rsidTr="00CA09E3">
        <w:trPr>
          <w:trHeight w:val="80"/>
        </w:trPr>
        <w:tc>
          <w:tcPr>
            <w:tcW w:w="2268" w:type="dxa"/>
            <w:tcBorders>
              <w:top w:val="nil"/>
              <w:left w:val="nil"/>
              <w:bottom w:val="nil"/>
              <w:right w:val="single" w:sz="18" w:space="0" w:color="5F497A" w:themeColor="accent4" w:themeShade="BF"/>
            </w:tcBorders>
            <w:shd w:val="clear" w:color="auto" w:fill="auto"/>
            <w:vAlign w:val="center"/>
          </w:tcPr>
          <w:p w14:paraId="3ECFD331" w14:textId="77777777" w:rsidR="005D19CF" w:rsidRPr="001D41EA" w:rsidRDefault="005D19CF" w:rsidP="005D19CF">
            <w:pPr>
              <w:spacing w:before="40" w:after="40"/>
              <w:rPr>
                <w:rFonts w:cs="Arial"/>
                <w:sz w:val="18"/>
                <w:szCs w:val="18"/>
              </w:rPr>
            </w:pPr>
            <w:r w:rsidRPr="001D41EA">
              <w:rPr>
                <w:rFonts w:cs="Arial"/>
                <w:sz w:val="18"/>
                <w:szCs w:val="18"/>
              </w:rPr>
              <w:t>Latrobe C</w:t>
            </w:r>
          </w:p>
        </w:tc>
        <w:tc>
          <w:tcPr>
            <w:tcW w:w="1418" w:type="dxa"/>
            <w:tcBorders>
              <w:top w:val="nil"/>
              <w:left w:val="single" w:sz="18" w:space="0" w:color="5F497A" w:themeColor="accent4" w:themeShade="BF"/>
              <w:bottom w:val="nil"/>
              <w:right w:val="nil"/>
            </w:tcBorders>
            <w:shd w:val="clear" w:color="auto" w:fill="auto"/>
            <w:vAlign w:val="bottom"/>
          </w:tcPr>
          <w:p w14:paraId="45E5CEC0" w14:textId="151B49B6" w:rsidR="005D19CF" w:rsidRPr="001D41EA" w:rsidRDefault="005D19CF" w:rsidP="005D19CF">
            <w:pPr>
              <w:spacing w:before="40" w:after="40"/>
              <w:jc w:val="right"/>
              <w:rPr>
                <w:rFonts w:cs="Arial"/>
                <w:sz w:val="18"/>
                <w:szCs w:val="18"/>
              </w:rPr>
            </w:pPr>
            <w:r w:rsidRPr="001D41EA">
              <w:rPr>
                <w:rFonts w:cs="Arial"/>
                <w:sz w:val="18"/>
                <w:szCs w:val="18"/>
              </w:rPr>
              <w:t>73,257</w:t>
            </w:r>
          </w:p>
        </w:tc>
        <w:tc>
          <w:tcPr>
            <w:tcW w:w="1418" w:type="dxa"/>
            <w:tcBorders>
              <w:top w:val="nil"/>
              <w:left w:val="nil"/>
              <w:bottom w:val="nil"/>
              <w:right w:val="nil"/>
            </w:tcBorders>
            <w:vAlign w:val="bottom"/>
          </w:tcPr>
          <w:p w14:paraId="1C396E53" w14:textId="52E77839" w:rsidR="005D19CF" w:rsidRPr="001D41EA" w:rsidRDefault="005D19CF" w:rsidP="005D19CF">
            <w:pPr>
              <w:spacing w:before="40" w:after="40"/>
              <w:jc w:val="right"/>
              <w:rPr>
                <w:rFonts w:cs="Arial"/>
                <w:sz w:val="18"/>
                <w:szCs w:val="18"/>
              </w:rPr>
            </w:pPr>
            <w:r w:rsidRPr="001D41EA">
              <w:rPr>
                <w:rFonts w:cs="Arial"/>
                <w:sz w:val="18"/>
                <w:szCs w:val="18"/>
              </w:rPr>
              <w:t>29,303</w:t>
            </w:r>
          </w:p>
        </w:tc>
        <w:tc>
          <w:tcPr>
            <w:tcW w:w="1418" w:type="dxa"/>
            <w:tcBorders>
              <w:top w:val="nil"/>
              <w:left w:val="nil"/>
              <w:bottom w:val="nil"/>
              <w:right w:val="nil"/>
            </w:tcBorders>
            <w:shd w:val="clear" w:color="auto" w:fill="auto"/>
            <w:vAlign w:val="bottom"/>
          </w:tcPr>
          <w:p w14:paraId="624A2012" w14:textId="1BC2F074" w:rsidR="005D19CF" w:rsidRPr="001D41EA" w:rsidRDefault="005D19CF" w:rsidP="005D19CF">
            <w:pPr>
              <w:spacing w:before="40" w:after="40"/>
              <w:jc w:val="center"/>
              <w:rPr>
                <w:rFonts w:cs="Arial"/>
                <w:sz w:val="18"/>
                <w:szCs w:val="18"/>
              </w:rPr>
            </w:pPr>
            <w:r w:rsidRPr="005D19CF">
              <w:rPr>
                <w:rFonts w:cs="Arial"/>
                <w:sz w:val="18"/>
                <w:szCs w:val="18"/>
              </w:rPr>
              <w:t>40.0</w:t>
            </w:r>
          </w:p>
        </w:tc>
        <w:tc>
          <w:tcPr>
            <w:tcW w:w="170" w:type="dxa"/>
            <w:tcBorders>
              <w:top w:val="nil"/>
              <w:left w:val="nil"/>
              <w:bottom w:val="nil"/>
              <w:right w:val="nil"/>
            </w:tcBorders>
            <w:shd w:val="clear" w:color="auto" w:fill="auto"/>
            <w:vAlign w:val="bottom"/>
          </w:tcPr>
          <w:p w14:paraId="50BD3C0A" w14:textId="24140183"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6B51BE3" w14:textId="2E8AD356" w:rsidR="005D19CF" w:rsidRPr="001D41EA" w:rsidRDefault="005D19CF" w:rsidP="005D19CF">
            <w:pPr>
              <w:spacing w:before="40" w:after="40"/>
              <w:jc w:val="center"/>
              <w:rPr>
                <w:rFonts w:cs="Arial"/>
                <w:sz w:val="18"/>
                <w:szCs w:val="18"/>
              </w:rPr>
            </w:pPr>
            <w:r w:rsidRPr="001D41EA">
              <w:rPr>
                <w:rFonts w:cs="Arial"/>
                <w:sz w:val="18"/>
                <w:szCs w:val="18"/>
              </w:rPr>
              <w:t>1.18</w:t>
            </w:r>
          </w:p>
        </w:tc>
      </w:tr>
      <w:tr w:rsidR="005D19CF" w:rsidRPr="001D41EA" w14:paraId="33E03433"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5CB5BE0" w14:textId="77777777" w:rsidR="005D19CF" w:rsidRPr="001D41EA" w:rsidRDefault="005D19CF" w:rsidP="005D19CF">
            <w:pPr>
              <w:spacing w:before="40" w:after="40"/>
              <w:rPr>
                <w:rFonts w:cs="Arial"/>
                <w:sz w:val="18"/>
                <w:szCs w:val="18"/>
              </w:rPr>
            </w:pPr>
            <w:r w:rsidRPr="001D41EA">
              <w:rPr>
                <w:rFonts w:cs="Arial"/>
                <w:sz w:val="18"/>
                <w:szCs w:val="18"/>
              </w:rPr>
              <w:t>Loddon S</w:t>
            </w:r>
          </w:p>
        </w:tc>
        <w:tc>
          <w:tcPr>
            <w:tcW w:w="1418" w:type="dxa"/>
            <w:tcBorders>
              <w:top w:val="nil"/>
              <w:left w:val="single" w:sz="18" w:space="0" w:color="5F497A" w:themeColor="accent4" w:themeShade="BF"/>
              <w:bottom w:val="nil"/>
              <w:right w:val="nil"/>
            </w:tcBorders>
            <w:shd w:val="clear" w:color="auto" w:fill="auto"/>
            <w:vAlign w:val="bottom"/>
          </w:tcPr>
          <w:p w14:paraId="65906515" w14:textId="1EDA4E6E" w:rsidR="005D19CF" w:rsidRPr="001D41EA" w:rsidRDefault="005D19CF" w:rsidP="005D19CF">
            <w:pPr>
              <w:spacing w:before="40" w:after="40"/>
              <w:jc w:val="right"/>
              <w:rPr>
                <w:rFonts w:cs="Arial"/>
                <w:sz w:val="18"/>
                <w:szCs w:val="18"/>
              </w:rPr>
            </w:pPr>
            <w:r w:rsidRPr="001D41EA">
              <w:rPr>
                <w:rFonts w:cs="Arial"/>
                <w:sz w:val="18"/>
                <w:szCs w:val="18"/>
              </w:rPr>
              <w:t>7,512</w:t>
            </w:r>
          </w:p>
        </w:tc>
        <w:tc>
          <w:tcPr>
            <w:tcW w:w="1418" w:type="dxa"/>
            <w:tcBorders>
              <w:top w:val="nil"/>
              <w:left w:val="nil"/>
              <w:bottom w:val="nil"/>
              <w:right w:val="nil"/>
            </w:tcBorders>
            <w:vAlign w:val="bottom"/>
          </w:tcPr>
          <w:p w14:paraId="6F82C61F" w14:textId="37FF90AD" w:rsidR="005D19CF" w:rsidRPr="001D41EA" w:rsidRDefault="005D19CF" w:rsidP="005D19CF">
            <w:pPr>
              <w:spacing w:before="40" w:after="40"/>
              <w:jc w:val="right"/>
              <w:rPr>
                <w:rFonts w:cs="Arial"/>
                <w:sz w:val="18"/>
                <w:szCs w:val="18"/>
              </w:rPr>
            </w:pPr>
            <w:r w:rsidRPr="001D41EA">
              <w:rPr>
                <w:rFonts w:cs="Arial"/>
                <w:sz w:val="18"/>
                <w:szCs w:val="18"/>
              </w:rPr>
              <w:t>951</w:t>
            </w:r>
          </w:p>
        </w:tc>
        <w:tc>
          <w:tcPr>
            <w:tcW w:w="1418" w:type="dxa"/>
            <w:tcBorders>
              <w:top w:val="nil"/>
              <w:left w:val="nil"/>
              <w:bottom w:val="nil"/>
              <w:right w:val="nil"/>
            </w:tcBorders>
            <w:shd w:val="clear" w:color="auto" w:fill="auto"/>
            <w:vAlign w:val="bottom"/>
          </w:tcPr>
          <w:p w14:paraId="06F777E5" w14:textId="38485834" w:rsidR="005D19CF" w:rsidRPr="001D41EA" w:rsidRDefault="005D19CF" w:rsidP="005D19CF">
            <w:pPr>
              <w:spacing w:before="40" w:after="40"/>
              <w:jc w:val="center"/>
              <w:rPr>
                <w:rFonts w:cs="Arial"/>
                <w:sz w:val="18"/>
                <w:szCs w:val="18"/>
              </w:rPr>
            </w:pPr>
            <w:r w:rsidRPr="005D19CF">
              <w:rPr>
                <w:rFonts w:cs="Arial"/>
                <w:sz w:val="18"/>
                <w:szCs w:val="18"/>
              </w:rPr>
              <w:t>12.7</w:t>
            </w:r>
          </w:p>
        </w:tc>
        <w:tc>
          <w:tcPr>
            <w:tcW w:w="170" w:type="dxa"/>
            <w:tcBorders>
              <w:top w:val="nil"/>
              <w:left w:val="nil"/>
              <w:bottom w:val="nil"/>
              <w:right w:val="nil"/>
            </w:tcBorders>
            <w:shd w:val="clear" w:color="auto" w:fill="auto"/>
            <w:vAlign w:val="bottom"/>
          </w:tcPr>
          <w:p w14:paraId="5EBF3D91" w14:textId="4ECA0D69" w:rsidR="005D19CF" w:rsidRPr="001D41EA" w:rsidRDefault="005D19CF" w:rsidP="005D19CF">
            <w:pPr>
              <w:spacing w:before="40" w:after="4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9A9D869" w14:textId="38715534" w:rsidR="005D19CF" w:rsidRPr="001D41EA" w:rsidRDefault="005D19CF" w:rsidP="005D19CF">
            <w:pPr>
              <w:spacing w:before="40" w:after="40"/>
              <w:jc w:val="center"/>
              <w:rPr>
                <w:rFonts w:cs="Arial"/>
                <w:sz w:val="18"/>
                <w:szCs w:val="18"/>
              </w:rPr>
            </w:pPr>
            <w:r w:rsidRPr="001D41EA">
              <w:rPr>
                <w:rFonts w:cs="Arial"/>
                <w:sz w:val="18"/>
                <w:szCs w:val="18"/>
              </w:rPr>
              <w:t>2.73</w:t>
            </w:r>
          </w:p>
        </w:tc>
      </w:tr>
    </w:tbl>
    <w:p w14:paraId="3B3F4C43" w14:textId="77777777" w:rsidR="00D50E04" w:rsidRPr="00A44829" w:rsidRDefault="00D50E04" w:rsidP="00FF36E8">
      <w:pPr>
        <w:spacing w:before="40" w:after="20"/>
        <w:rPr>
          <w:rFonts w:cs="Arial"/>
          <w:sz w:val="18"/>
          <w:szCs w:val="18"/>
        </w:rPr>
      </w:pPr>
    </w:p>
    <w:p w14:paraId="065D87FA" w14:textId="77777777" w:rsidR="0022168A" w:rsidRPr="00A44829" w:rsidRDefault="0022168A" w:rsidP="00FF36E8">
      <w:pPr>
        <w:spacing w:before="40" w:after="20"/>
        <w:rPr>
          <w:rFonts w:cs="Arial"/>
          <w:sz w:val="18"/>
          <w:szCs w:val="18"/>
        </w:rPr>
      </w:pPr>
      <w:r w:rsidRPr="00A44829">
        <w:rPr>
          <w:rFonts w:cs="Arial"/>
          <w:sz w:val="18"/>
          <w:szCs w:val="18"/>
        </w:rPr>
        <w:br w:type="page"/>
      </w:r>
    </w:p>
    <w:p w14:paraId="4D3628EF" w14:textId="7570E731" w:rsidR="006E50A4" w:rsidRPr="00A44829" w:rsidRDefault="00CE4507" w:rsidP="00C33713">
      <w:pPr>
        <w:pStyle w:val="VGC-Head10"/>
      </w:pPr>
      <w:r w:rsidRPr="00A44829">
        <w:lastRenderedPageBreak/>
        <w:t>Appendix 4</w:t>
      </w:r>
      <w:r w:rsidR="006E50A4" w:rsidRPr="00A44829">
        <w:tab/>
      </w:r>
      <w:r w:rsidR="00EE4593" w:rsidRPr="00A44829">
        <w:t>2019-20</w:t>
      </w:r>
      <w:r w:rsidR="00A97ABE" w:rsidRPr="00A44829">
        <w:t xml:space="preserve"> </w:t>
      </w:r>
      <w:r w:rsidR="006E50A4" w:rsidRPr="00A44829">
        <w:t xml:space="preserve">General Purpose Grants </w:t>
      </w:r>
    </w:p>
    <w:p w14:paraId="31CD2B9F" w14:textId="77777777" w:rsidR="006E50A4" w:rsidRPr="00A44829" w:rsidRDefault="006E50A4" w:rsidP="008C1A28">
      <w:pPr>
        <w:pStyle w:val="VGC-Head2"/>
      </w:pPr>
      <w:r w:rsidRPr="00A44829">
        <w:t>C.  Cost Adjustors – Raw Data</w:t>
      </w:r>
    </w:p>
    <w:p w14:paraId="270F4197" w14:textId="77777777" w:rsidR="004D7FBD" w:rsidRPr="00A44829" w:rsidRDefault="004D7FBD"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A44829" w14:paraId="2D88232F"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0F53F4A2" w14:textId="77777777" w:rsidR="00C42174" w:rsidRPr="00A44829" w:rsidRDefault="00C42174" w:rsidP="008001AD">
            <w:pPr>
              <w:spacing w:before="40" w:after="20"/>
              <w:jc w:val="center"/>
              <w:rPr>
                <w:rFonts w:cs="Arial"/>
                <w:sz w:val="18"/>
                <w:szCs w:val="18"/>
              </w:rPr>
            </w:pPr>
          </w:p>
        </w:tc>
        <w:tc>
          <w:tcPr>
            <w:tcW w:w="1418" w:type="dxa"/>
            <w:vMerge w:val="restart"/>
            <w:tcBorders>
              <w:top w:val="nil"/>
              <w:left w:val="single" w:sz="18" w:space="0" w:color="5F497A" w:themeColor="accent4" w:themeShade="BF"/>
              <w:bottom w:val="single" w:sz="8" w:space="0" w:color="5F497A" w:themeColor="accent4" w:themeShade="BF"/>
            </w:tcBorders>
            <w:shd w:val="clear" w:color="auto" w:fill="auto"/>
            <w:tcMar>
              <w:left w:w="57" w:type="dxa"/>
              <w:right w:w="57" w:type="dxa"/>
            </w:tcMar>
            <w:vAlign w:val="bottom"/>
          </w:tcPr>
          <w:p w14:paraId="22DC95DD" w14:textId="385E2193" w:rsidR="00C42174" w:rsidRPr="00A44829" w:rsidRDefault="00C42174" w:rsidP="008001AD">
            <w:pPr>
              <w:spacing w:before="40" w:after="20"/>
              <w:jc w:val="center"/>
              <w:rPr>
                <w:rFonts w:cs="Arial"/>
                <w:b/>
                <w:sz w:val="18"/>
                <w:szCs w:val="18"/>
              </w:rPr>
            </w:pPr>
            <w:r w:rsidRPr="00A44829">
              <w:rPr>
                <w:rFonts w:cs="Arial"/>
                <w:b/>
                <w:sz w:val="18"/>
                <w:szCs w:val="18"/>
              </w:rPr>
              <w:t>Socio-Economic Index of Disadvantage</w:t>
            </w:r>
            <w:r w:rsidR="00B23A90" w:rsidRPr="00A44829">
              <w:rPr>
                <w:rFonts w:cs="Arial"/>
                <w:b/>
                <w:sz w:val="18"/>
                <w:szCs w:val="18"/>
              </w:rPr>
              <w:t xml:space="preserve"> </w:t>
            </w:r>
          </w:p>
        </w:tc>
        <w:tc>
          <w:tcPr>
            <w:tcW w:w="2836" w:type="dxa"/>
            <w:gridSpan w:val="2"/>
            <w:tcBorders>
              <w:top w:val="nil"/>
              <w:left w:val="nil"/>
              <w:bottom w:val="single" w:sz="8" w:space="0" w:color="5F497A" w:themeColor="accent4" w:themeShade="BF"/>
              <w:right w:val="nil"/>
            </w:tcBorders>
            <w:shd w:val="clear" w:color="auto" w:fill="auto"/>
            <w:vAlign w:val="bottom"/>
          </w:tcPr>
          <w:p w14:paraId="036DFCCE" w14:textId="0E3AE60A" w:rsidR="00C42174" w:rsidRPr="00A44829" w:rsidRDefault="00C42174" w:rsidP="008001AD">
            <w:pPr>
              <w:spacing w:before="40" w:after="20"/>
              <w:jc w:val="center"/>
              <w:rPr>
                <w:rFonts w:cs="Arial"/>
                <w:b/>
                <w:sz w:val="18"/>
                <w:szCs w:val="18"/>
              </w:rPr>
            </w:pPr>
            <w:r w:rsidRPr="00A44829">
              <w:rPr>
                <w:rFonts w:cs="Arial"/>
                <w:b/>
                <w:sz w:val="18"/>
                <w:szCs w:val="18"/>
              </w:rPr>
              <w:t>Tourism</w:t>
            </w:r>
            <w:r w:rsidR="00B23A90" w:rsidRPr="00A44829">
              <w:rPr>
                <w:rFonts w:cs="Arial"/>
                <w:b/>
                <w:sz w:val="18"/>
                <w:szCs w:val="18"/>
              </w:rPr>
              <w:t xml:space="preserve"> </w:t>
            </w:r>
          </w:p>
        </w:tc>
      </w:tr>
      <w:tr w:rsidR="00C42174" w:rsidRPr="00A44829" w14:paraId="46F9C1FC"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5ABA8C54" w14:textId="77777777" w:rsidR="00C42174" w:rsidRPr="00A44829" w:rsidRDefault="00C42174" w:rsidP="008001AD">
            <w:pPr>
              <w:spacing w:before="40" w:after="20"/>
              <w:jc w:val="center"/>
              <w:rPr>
                <w:rFonts w:cs="Arial"/>
                <w:sz w:val="18"/>
                <w:szCs w:val="18"/>
              </w:rPr>
            </w:pPr>
          </w:p>
        </w:tc>
        <w:tc>
          <w:tcPr>
            <w:tcW w:w="1418" w:type="dxa"/>
            <w:vMerge/>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41A64C94" w14:textId="77777777" w:rsidR="00C42174" w:rsidRPr="00A44829" w:rsidRDefault="00C42174" w:rsidP="008001AD">
            <w:pPr>
              <w:spacing w:before="40" w:after="20"/>
              <w:jc w:val="center"/>
              <w:rPr>
                <w:rFonts w:cs="Arial"/>
                <w:sz w:val="16"/>
                <w:szCs w:val="16"/>
              </w:rPr>
            </w:pPr>
          </w:p>
        </w:tc>
        <w:tc>
          <w:tcPr>
            <w:tcW w:w="1418"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23D4B058" w14:textId="77777777" w:rsidR="00C42174" w:rsidRPr="00A44829" w:rsidRDefault="00C42174" w:rsidP="008001AD">
            <w:pPr>
              <w:spacing w:before="40" w:after="20"/>
              <w:jc w:val="center"/>
              <w:rPr>
                <w:rFonts w:cs="Arial"/>
                <w:sz w:val="16"/>
                <w:szCs w:val="16"/>
              </w:rPr>
            </w:pPr>
            <w:r w:rsidRPr="00A44829">
              <w:rPr>
                <w:rFonts w:cs="Arial"/>
                <w:sz w:val="16"/>
                <w:szCs w:val="16"/>
              </w:rPr>
              <w:t xml:space="preserve">4 Year </w:t>
            </w:r>
            <w:r w:rsidRPr="00A44829">
              <w:rPr>
                <w:rFonts w:cs="Arial"/>
                <w:sz w:val="16"/>
                <w:szCs w:val="16"/>
              </w:rPr>
              <w:br/>
              <w:t>Average</w:t>
            </w:r>
            <w:r w:rsidRPr="00A44829">
              <w:rPr>
                <w:rFonts w:cs="Arial"/>
                <w:sz w:val="16"/>
                <w:szCs w:val="16"/>
              </w:rPr>
              <w:br/>
              <w:t>(visits)</w:t>
            </w:r>
          </w:p>
        </w:tc>
        <w:tc>
          <w:tcPr>
            <w:tcW w:w="1418"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317DECFF" w14:textId="77777777" w:rsidR="00C42174" w:rsidRPr="00A44829" w:rsidRDefault="00C42174" w:rsidP="008001AD">
            <w:pPr>
              <w:spacing w:before="40" w:after="20"/>
              <w:jc w:val="center"/>
              <w:rPr>
                <w:rFonts w:cs="Arial"/>
                <w:sz w:val="16"/>
                <w:szCs w:val="16"/>
              </w:rPr>
            </w:pPr>
            <w:r w:rsidRPr="00A44829">
              <w:rPr>
                <w:rFonts w:cs="Arial"/>
                <w:sz w:val="16"/>
                <w:szCs w:val="16"/>
              </w:rPr>
              <w:t xml:space="preserve">4 Year </w:t>
            </w:r>
            <w:r w:rsidRPr="00A44829">
              <w:rPr>
                <w:rFonts w:cs="Arial"/>
                <w:sz w:val="16"/>
                <w:szCs w:val="16"/>
              </w:rPr>
              <w:br/>
              <w:t>Average</w:t>
            </w:r>
            <w:r w:rsidRPr="00A44829">
              <w:rPr>
                <w:rFonts w:cs="Arial"/>
                <w:sz w:val="16"/>
                <w:szCs w:val="16"/>
              </w:rPr>
              <w:br/>
              <w:t>(per capita)</w:t>
            </w:r>
          </w:p>
        </w:tc>
      </w:tr>
      <w:tr w:rsidR="00C42174" w:rsidRPr="00A44829" w14:paraId="500DACF0"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7693C818" w14:textId="77777777" w:rsidR="00C42174" w:rsidRPr="00A44829" w:rsidRDefault="00C42174" w:rsidP="008001AD">
            <w:pPr>
              <w:spacing w:before="40" w:after="20"/>
              <w:jc w:val="center"/>
              <w:rPr>
                <w:rFonts w:cs="Arial"/>
                <w:sz w:val="18"/>
                <w:szCs w:val="18"/>
              </w:rPr>
            </w:pPr>
          </w:p>
        </w:tc>
        <w:tc>
          <w:tcPr>
            <w:tcW w:w="1418" w:type="dxa"/>
            <w:vMerge/>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1E7041F9" w14:textId="77777777" w:rsidR="00C42174" w:rsidRPr="00A44829" w:rsidRDefault="00C42174" w:rsidP="008001AD">
            <w:pPr>
              <w:spacing w:before="40" w:after="20"/>
              <w:jc w:val="center"/>
              <w:rPr>
                <w:rFonts w:cs="Arial"/>
                <w:sz w:val="16"/>
                <w:szCs w:val="16"/>
              </w:rPr>
            </w:pPr>
          </w:p>
        </w:tc>
        <w:tc>
          <w:tcPr>
            <w:tcW w:w="1418"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539FADAB" w14:textId="77777777" w:rsidR="00C42174" w:rsidRPr="00A44829" w:rsidRDefault="00C42174" w:rsidP="008001AD">
            <w:pPr>
              <w:spacing w:before="40" w:after="20"/>
              <w:jc w:val="center"/>
              <w:rPr>
                <w:rFonts w:cs="Arial"/>
                <w:sz w:val="16"/>
                <w:szCs w:val="16"/>
              </w:rPr>
            </w:pPr>
          </w:p>
        </w:tc>
        <w:tc>
          <w:tcPr>
            <w:tcW w:w="1418"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2FD66C83" w14:textId="77777777" w:rsidR="00C42174" w:rsidRPr="00A44829" w:rsidRDefault="00C42174" w:rsidP="008001AD">
            <w:pPr>
              <w:spacing w:before="40" w:after="20"/>
              <w:jc w:val="center"/>
              <w:rPr>
                <w:rFonts w:cs="Arial"/>
                <w:sz w:val="16"/>
                <w:szCs w:val="16"/>
              </w:rPr>
            </w:pPr>
          </w:p>
        </w:tc>
      </w:tr>
      <w:tr w:rsidR="00B33D8D" w:rsidRPr="001D41EA" w14:paraId="0F9AF6F1" w14:textId="77777777" w:rsidTr="00C60457">
        <w:tc>
          <w:tcPr>
            <w:tcW w:w="2268" w:type="dxa"/>
            <w:tcBorders>
              <w:top w:val="nil"/>
              <w:left w:val="nil"/>
              <w:bottom w:val="nil"/>
              <w:right w:val="single" w:sz="18" w:space="0" w:color="5F497A" w:themeColor="accent4" w:themeShade="BF"/>
            </w:tcBorders>
            <w:shd w:val="clear" w:color="auto" w:fill="auto"/>
            <w:vAlign w:val="center"/>
          </w:tcPr>
          <w:p w14:paraId="37B05ABD" w14:textId="77777777" w:rsidR="00B33D8D" w:rsidRPr="001D41EA" w:rsidRDefault="00B33D8D" w:rsidP="001D41EA">
            <w:pPr>
              <w:spacing w:before="40" w:after="40"/>
              <w:rPr>
                <w:rFonts w:cs="Arial"/>
                <w:sz w:val="18"/>
                <w:szCs w:val="18"/>
              </w:rPr>
            </w:pPr>
          </w:p>
        </w:tc>
        <w:tc>
          <w:tcPr>
            <w:tcW w:w="1418"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0395DF8D" w14:textId="7AB6372E" w:rsidR="00B33D8D" w:rsidRPr="001D41EA" w:rsidRDefault="00B33D8D" w:rsidP="001D41EA">
            <w:pPr>
              <w:spacing w:before="40" w:after="40"/>
              <w:jc w:val="right"/>
              <w:rPr>
                <w:rFonts w:cs="Arial"/>
                <w:sz w:val="18"/>
                <w:szCs w:val="18"/>
              </w:rPr>
            </w:pPr>
            <w:r w:rsidRPr="001D41EA">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27ADE45D" w14:textId="192B5505" w:rsidR="00B33D8D" w:rsidRPr="001D41EA" w:rsidRDefault="00B33D8D" w:rsidP="001D41EA">
            <w:pPr>
              <w:spacing w:before="40" w:after="40"/>
              <w:jc w:val="right"/>
              <w:rPr>
                <w:rFonts w:cs="Arial"/>
                <w:sz w:val="18"/>
                <w:szCs w:val="18"/>
              </w:rPr>
            </w:pPr>
          </w:p>
        </w:tc>
        <w:tc>
          <w:tcPr>
            <w:tcW w:w="1418" w:type="dxa"/>
            <w:tcBorders>
              <w:top w:val="single" w:sz="8" w:space="0" w:color="5F497A" w:themeColor="accent4" w:themeShade="BF"/>
              <w:left w:val="nil"/>
              <w:bottom w:val="nil"/>
              <w:right w:val="nil"/>
            </w:tcBorders>
            <w:shd w:val="clear" w:color="auto" w:fill="auto"/>
            <w:vAlign w:val="bottom"/>
          </w:tcPr>
          <w:p w14:paraId="551E89D8" w14:textId="4A44CFEA" w:rsidR="00B33D8D" w:rsidRPr="001D41EA" w:rsidRDefault="00B33D8D" w:rsidP="001D41EA">
            <w:pPr>
              <w:spacing w:before="40" w:after="40"/>
              <w:jc w:val="right"/>
              <w:rPr>
                <w:rFonts w:cs="Arial"/>
                <w:sz w:val="18"/>
                <w:szCs w:val="18"/>
              </w:rPr>
            </w:pPr>
            <w:r w:rsidRPr="001D41EA">
              <w:rPr>
                <w:rFonts w:cs="Arial"/>
                <w:sz w:val="18"/>
                <w:szCs w:val="18"/>
              </w:rPr>
              <w:t> </w:t>
            </w:r>
          </w:p>
        </w:tc>
      </w:tr>
      <w:tr w:rsidR="00517838" w:rsidRPr="001D41EA" w14:paraId="529F23F7"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47003C5D" w14:textId="77777777" w:rsidR="00517838" w:rsidRPr="001D41EA" w:rsidRDefault="00517838" w:rsidP="00517838">
            <w:pPr>
              <w:spacing w:before="40" w:after="40"/>
              <w:rPr>
                <w:rFonts w:cs="Arial"/>
                <w:sz w:val="18"/>
                <w:szCs w:val="18"/>
              </w:rPr>
            </w:pPr>
            <w:r w:rsidRPr="001D41EA">
              <w:rPr>
                <w:rFonts w:cs="Arial"/>
                <w:sz w:val="18"/>
                <w:szCs w:val="18"/>
              </w:rPr>
              <w:t>Alpine S</w:t>
            </w:r>
          </w:p>
        </w:tc>
        <w:tc>
          <w:tcPr>
            <w:tcW w:w="1418" w:type="dxa"/>
            <w:tcBorders>
              <w:top w:val="nil"/>
              <w:left w:val="single" w:sz="18" w:space="0" w:color="5F497A" w:themeColor="accent4" w:themeShade="BF"/>
              <w:bottom w:val="nil"/>
              <w:right w:val="nil"/>
            </w:tcBorders>
            <w:shd w:val="clear" w:color="auto" w:fill="auto"/>
          </w:tcPr>
          <w:p w14:paraId="6F189A31" w14:textId="482040A1" w:rsidR="00517838" w:rsidRPr="001D41EA" w:rsidRDefault="00517838" w:rsidP="00517838">
            <w:pPr>
              <w:spacing w:before="40" w:after="40"/>
              <w:jc w:val="right"/>
              <w:rPr>
                <w:rFonts w:cs="Arial"/>
                <w:sz w:val="18"/>
                <w:szCs w:val="18"/>
              </w:rPr>
            </w:pPr>
            <w:r w:rsidRPr="00517838">
              <w:rPr>
                <w:rFonts w:cs="Arial"/>
                <w:sz w:val="18"/>
                <w:szCs w:val="18"/>
              </w:rPr>
              <w:t>994</w:t>
            </w:r>
          </w:p>
        </w:tc>
        <w:tc>
          <w:tcPr>
            <w:tcW w:w="1418" w:type="dxa"/>
            <w:tcBorders>
              <w:top w:val="nil"/>
              <w:left w:val="nil"/>
              <w:bottom w:val="nil"/>
              <w:right w:val="nil"/>
            </w:tcBorders>
            <w:shd w:val="clear" w:color="auto" w:fill="auto"/>
            <w:vAlign w:val="bottom"/>
          </w:tcPr>
          <w:p w14:paraId="1DE044E9" w14:textId="2741B2F6" w:rsidR="00517838" w:rsidRPr="001D41EA" w:rsidRDefault="00517838" w:rsidP="00517838">
            <w:pPr>
              <w:spacing w:before="40" w:after="40"/>
              <w:jc w:val="right"/>
              <w:rPr>
                <w:rFonts w:cs="Arial"/>
                <w:sz w:val="18"/>
                <w:szCs w:val="18"/>
              </w:rPr>
            </w:pPr>
            <w:r w:rsidRPr="001D41EA">
              <w:rPr>
                <w:rFonts w:cs="Arial"/>
                <w:sz w:val="18"/>
                <w:szCs w:val="18"/>
              </w:rPr>
              <w:t>2,142,930</w:t>
            </w:r>
          </w:p>
        </w:tc>
        <w:tc>
          <w:tcPr>
            <w:tcW w:w="1418" w:type="dxa"/>
            <w:tcBorders>
              <w:top w:val="nil"/>
              <w:left w:val="nil"/>
              <w:bottom w:val="nil"/>
              <w:right w:val="nil"/>
            </w:tcBorders>
            <w:shd w:val="clear" w:color="auto" w:fill="auto"/>
            <w:vAlign w:val="bottom"/>
          </w:tcPr>
          <w:p w14:paraId="3FC062E8" w14:textId="1E7B50A6" w:rsidR="00517838" w:rsidRPr="001D41EA" w:rsidRDefault="00517838" w:rsidP="00517838">
            <w:pPr>
              <w:spacing w:before="40" w:after="40"/>
              <w:jc w:val="right"/>
              <w:rPr>
                <w:rFonts w:cs="Arial"/>
                <w:sz w:val="18"/>
                <w:szCs w:val="18"/>
              </w:rPr>
            </w:pPr>
            <w:r w:rsidRPr="001D41EA">
              <w:rPr>
                <w:rFonts w:cs="Arial"/>
                <w:sz w:val="18"/>
                <w:szCs w:val="18"/>
              </w:rPr>
              <w:t>162.3</w:t>
            </w:r>
          </w:p>
        </w:tc>
      </w:tr>
      <w:tr w:rsidR="00517838" w:rsidRPr="001D41EA" w14:paraId="38975FDF"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3E3391B9" w14:textId="77777777" w:rsidR="00517838" w:rsidRPr="001D41EA" w:rsidRDefault="00517838" w:rsidP="00517838">
            <w:pPr>
              <w:spacing w:before="40" w:after="40"/>
              <w:rPr>
                <w:rFonts w:cs="Arial"/>
                <w:sz w:val="18"/>
                <w:szCs w:val="18"/>
              </w:rPr>
            </w:pPr>
            <w:r w:rsidRPr="001D41EA">
              <w:rPr>
                <w:rFonts w:cs="Arial"/>
                <w:sz w:val="18"/>
                <w:szCs w:val="18"/>
              </w:rPr>
              <w:t>Ararat RC</w:t>
            </w:r>
          </w:p>
        </w:tc>
        <w:tc>
          <w:tcPr>
            <w:tcW w:w="1418" w:type="dxa"/>
            <w:tcBorders>
              <w:top w:val="nil"/>
              <w:left w:val="single" w:sz="18" w:space="0" w:color="5F497A" w:themeColor="accent4" w:themeShade="BF"/>
              <w:bottom w:val="nil"/>
              <w:right w:val="nil"/>
            </w:tcBorders>
            <w:shd w:val="clear" w:color="auto" w:fill="auto"/>
          </w:tcPr>
          <w:p w14:paraId="5B6A3BA0" w14:textId="268F6AAC" w:rsidR="00517838" w:rsidRPr="001D41EA" w:rsidRDefault="00517838" w:rsidP="00517838">
            <w:pPr>
              <w:spacing w:before="40" w:after="40"/>
              <w:jc w:val="right"/>
              <w:rPr>
                <w:rFonts w:cs="Arial"/>
                <w:sz w:val="18"/>
                <w:szCs w:val="18"/>
              </w:rPr>
            </w:pPr>
            <w:r w:rsidRPr="00517838">
              <w:rPr>
                <w:rFonts w:cs="Arial"/>
                <w:sz w:val="18"/>
                <w:szCs w:val="18"/>
              </w:rPr>
              <w:t>942</w:t>
            </w:r>
          </w:p>
        </w:tc>
        <w:tc>
          <w:tcPr>
            <w:tcW w:w="1418" w:type="dxa"/>
            <w:tcBorders>
              <w:top w:val="nil"/>
              <w:left w:val="nil"/>
              <w:bottom w:val="nil"/>
              <w:right w:val="nil"/>
            </w:tcBorders>
            <w:shd w:val="clear" w:color="auto" w:fill="auto"/>
            <w:vAlign w:val="bottom"/>
          </w:tcPr>
          <w:p w14:paraId="157E45AA" w14:textId="383996A7" w:rsidR="00517838" w:rsidRPr="001D41EA" w:rsidRDefault="00517838" w:rsidP="00517838">
            <w:pPr>
              <w:spacing w:before="40" w:after="40"/>
              <w:jc w:val="right"/>
              <w:rPr>
                <w:rFonts w:cs="Arial"/>
                <w:sz w:val="18"/>
                <w:szCs w:val="18"/>
              </w:rPr>
            </w:pPr>
            <w:r w:rsidRPr="001D41EA">
              <w:rPr>
                <w:rFonts w:cs="Arial"/>
                <w:sz w:val="18"/>
                <w:szCs w:val="18"/>
              </w:rPr>
              <w:t>463,128</w:t>
            </w:r>
          </w:p>
        </w:tc>
        <w:tc>
          <w:tcPr>
            <w:tcW w:w="1418" w:type="dxa"/>
            <w:tcBorders>
              <w:top w:val="nil"/>
              <w:left w:val="nil"/>
              <w:bottom w:val="nil"/>
              <w:right w:val="nil"/>
            </w:tcBorders>
            <w:shd w:val="clear" w:color="auto" w:fill="auto"/>
            <w:vAlign w:val="bottom"/>
          </w:tcPr>
          <w:p w14:paraId="28434AC0" w14:textId="14554CD4" w:rsidR="00517838" w:rsidRPr="001D41EA" w:rsidRDefault="00517838" w:rsidP="00517838">
            <w:pPr>
              <w:spacing w:before="40" w:after="40"/>
              <w:jc w:val="right"/>
              <w:rPr>
                <w:rFonts w:cs="Arial"/>
                <w:sz w:val="18"/>
                <w:szCs w:val="18"/>
              </w:rPr>
            </w:pPr>
            <w:r w:rsidRPr="001D41EA">
              <w:rPr>
                <w:rFonts w:cs="Arial"/>
                <w:sz w:val="18"/>
                <w:szCs w:val="18"/>
              </w:rPr>
              <w:t>39.3</w:t>
            </w:r>
          </w:p>
        </w:tc>
      </w:tr>
      <w:tr w:rsidR="00517838" w:rsidRPr="001D41EA" w14:paraId="2CAA35E7"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2245C9BA" w14:textId="77777777" w:rsidR="00517838" w:rsidRPr="001D41EA" w:rsidRDefault="00517838" w:rsidP="00517838">
            <w:pPr>
              <w:spacing w:before="40" w:after="40"/>
              <w:rPr>
                <w:rFonts w:cs="Arial"/>
                <w:sz w:val="18"/>
                <w:szCs w:val="18"/>
              </w:rPr>
            </w:pPr>
            <w:r w:rsidRPr="001D41EA">
              <w:rPr>
                <w:rFonts w:cs="Arial"/>
                <w:sz w:val="18"/>
                <w:szCs w:val="18"/>
              </w:rPr>
              <w:t>Ballarat C</w:t>
            </w:r>
          </w:p>
        </w:tc>
        <w:tc>
          <w:tcPr>
            <w:tcW w:w="1418" w:type="dxa"/>
            <w:tcBorders>
              <w:top w:val="nil"/>
              <w:left w:val="single" w:sz="18" w:space="0" w:color="5F497A" w:themeColor="accent4" w:themeShade="BF"/>
              <w:bottom w:val="nil"/>
              <w:right w:val="nil"/>
            </w:tcBorders>
            <w:shd w:val="clear" w:color="auto" w:fill="auto"/>
          </w:tcPr>
          <w:p w14:paraId="6A58A4A2" w14:textId="6C8D9792" w:rsidR="00517838" w:rsidRPr="001D41EA" w:rsidRDefault="00517838" w:rsidP="00517838">
            <w:pPr>
              <w:spacing w:before="40" w:after="40"/>
              <w:jc w:val="right"/>
              <w:rPr>
                <w:rFonts w:cs="Arial"/>
                <w:sz w:val="18"/>
                <w:szCs w:val="18"/>
              </w:rPr>
            </w:pPr>
            <w:r w:rsidRPr="00517838">
              <w:rPr>
                <w:rFonts w:cs="Arial"/>
                <w:sz w:val="18"/>
                <w:szCs w:val="18"/>
              </w:rPr>
              <w:t>980</w:t>
            </w:r>
          </w:p>
        </w:tc>
        <w:tc>
          <w:tcPr>
            <w:tcW w:w="1418" w:type="dxa"/>
            <w:tcBorders>
              <w:top w:val="nil"/>
              <w:left w:val="nil"/>
              <w:bottom w:val="nil"/>
              <w:right w:val="nil"/>
            </w:tcBorders>
            <w:shd w:val="clear" w:color="auto" w:fill="auto"/>
            <w:vAlign w:val="bottom"/>
          </w:tcPr>
          <w:p w14:paraId="65B0C04D" w14:textId="37B61CC0" w:rsidR="00517838" w:rsidRPr="001D41EA" w:rsidRDefault="00517838" w:rsidP="00517838">
            <w:pPr>
              <w:spacing w:before="40" w:after="40"/>
              <w:jc w:val="right"/>
              <w:rPr>
                <w:rFonts w:cs="Arial"/>
                <w:sz w:val="18"/>
                <w:szCs w:val="18"/>
              </w:rPr>
            </w:pPr>
            <w:r w:rsidRPr="001D41EA">
              <w:rPr>
                <w:rFonts w:cs="Arial"/>
                <w:sz w:val="18"/>
                <w:szCs w:val="18"/>
              </w:rPr>
              <w:t>3,455,054</w:t>
            </w:r>
          </w:p>
        </w:tc>
        <w:tc>
          <w:tcPr>
            <w:tcW w:w="1418" w:type="dxa"/>
            <w:tcBorders>
              <w:top w:val="nil"/>
              <w:left w:val="nil"/>
              <w:bottom w:val="nil"/>
              <w:right w:val="nil"/>
            </w:tcBorders>
            <w:shd w:val="clear" w:color="auto" w:fill="auto"/>
            <w:vAlign w:val="bottom"/>
          </w:tcPr>
          <w:p w14:paraId="48CE47ED" w14:textId="6079B449" w:rsidR="00517838" w:rsidRPr="001D41EA" w:rsidRDefault="00517838" w:rsidP="00517838">
            <w:pPr>
              <w:spacing w:before="40" w:after="40"/>
              <w:jc w:val="right"/>
              <w:rPr>
                <w:rFonts w:cs="Arial"/>
                <w:sz w:val="18"/>
                <w:szCs w:val="18"/>
              </w:rPr>
            </w:pPr>
            <w:r w:rsidRPr="001D41EA">
              <w:rPr>
                <w:rFonts w:cs="Arial"/>
                <w:sz w:val="18"/>
                <w:szCs w:val="18"/>
              </w:rPr>
              <w:t>32.2</w:t>
            </w:r>
          </w:p>
        </w:tc>
      </w:tr>
      <w:tr w:rsidR="00517838" w:rsidRPr="001D41EA" w14:paraId="5D2F5201"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18E29A7D" w14:textId="77777777" w:rsidR="00517838" w:rsidRPr="001D41EA" w:rsidRDefault="00517838" w:rsidP="00517838">
            <w:pPr>
              <w:spacing w:before="40" w:after="40"/>
              <w:rPr>
                <w:rFonts w:cs="Arial"/>
                <w:sz w:val="18"/>
                <w:szCs w:val="18"/>
              </w:rPr>
            </w:pPr>
            <w:r w:rsidRPr="001D41EA">
              <w:rPr>
                <w:rFonts w:cs="Arial"/>
                <w:sz w:val="18"/>
                <w:szCs w:val="18"/>
              </w:rPr>
              <w:t>Banyule C</w:t>
            </w:r>
          </w:p>
        </w:tc>
        <w:tc>
          <w:tcPr>
            <w:tcW w:w="1418" w:type="dxa"/>
            <w:tcBorders>
              <w:top w:val="nil"/>
              <w:left w:val="single" w:sz="18" w:space="0" w:color="5F497A" w:themeColor="accent4" w:themeShade="BF"/>
              <w:bottom w:val="nil"/>
              <w:right w:val="nil"/>
            </w:tcBorders>
            <w:shd w:val="clear" w:color="auto" w:fill="auto"/>
          </w:tcPr>
          <w:p w14:paraId="484D7065" w14:textId="0E9B019F" w:rsidR="00517838" w:rsidRPr="001D41EA" w:rsidRDefault="00517838" w:rsidP="00517838">
            <w:pPr>
              <w:spacing w:before="40" w:after="40"/>
              <w:jc w:val="right"/>
              <w:rPr>
                <w:rFonts w:cs="Arial"/>
                <w:sz w:val="18"/>
                <w:szCs w:val="18"/>
              </w:rPr>
            </w:pPr>
            <w:r w:rsidRPr="00517838">
              <w:rPr>
                <w:rFonts w:cs="Arial"/>
                <w:sz w:val="18"/>
                <w:szCs w:val="18"/>
              </w:rPr>
              <w:t>1,055</w:t>
            </w:r>
          </w:p>
        </w:tc>
        <w:tc>
          <w:tcPr>
            <w:tcW w:w="1418" w:type="dxa"/>
            <w:tcBorders>
              <w:top w:val="nil"/>
              <w:left w:val="nil"/>
              <w:bottom w:val="nil"/>
              <w:right w:val="nil"/>
            </w:tcBorders>
            <w:shd w:val="clear" w:color="auto" w:fill="auto"/>
            <w:vAlign w:val="bottom"/>
          </w:tcPr>
          <w:p w14:paraId="5DDDBB5D" w14:textId="61E23D6F" w:rsidR="00517838" w:rsidRPr="001D41EA" w:rsidRDefault="00517838" w:rsidP="00517838">
            <w:pPr>
              <w:spacing w:before="40" w:after="40"/>
              <w:jc w:val="right"/>
              <w:rPr>
                <w:rFonts w:cs="Arial"/>
                <w:sz w:val="18"/>
                <w:szCs w:val="18"/>
              </w:rPr>
            </w:pPr>
            <w:r w:rsidRPr="001D41EA">
              <w:rPr>
                <w:rFonts w:cs="Arial"/>
                <w:sz w:val="18"/>
                <w:szCs w:val="18"/>
              </w:rPr>
              <w:t>2,173,404</w:t>
            </w:r>
          </w:p>
        </w:tc>
        <w:tc>
          <w:tcPr>
            <w:tcW w:w="1418" w:type="dxa"/>
            <w:tcBorders>
              <w:top w:val="nil"/>
              <w:left w:val="nil"/>
              <w:bottom w:val="nil"/>
              <w:right w:val="nil"/>
            </w:tcBorders>
            <w:shd w:val="clear" w:color="auto" w:fill="auto"/>
            <w:vAlign w:val="bottom"/>
          </w:tcPr>
          <w:p w14:paraId="1E69D579" w14:textId="3F5BBE7D" w:rsidR="00517838" w:rsidRPr="001D41EA" w:rsidRDefault="00517838" w:rsidP="00517838">
            <w:pPr>
              <w:spacing w:before="40" w:after="40"/>
              <w:jc w:val="right"/>
              <w:rPr>
                <w:rFonts w:cs="Arial"/>
                <w:sz w:val="18"/>
                <w:szCs w:val="18"/>
              </w:rPr>
            </w:pPr>
            <w:r w:rsidRPr="001D41EA">
              <w:rPr>
                <w:rFonts w:cs="Arial"/>
                <w:sz w:val="18"/>
                <w:szCs w:val="18"/>
              </w:rPr>
              <w:t>16.7</w:t>
            </w:r>
          </w:p>
        </w:tc>
      </w:tr>
      <w:tr w:rsidR="00517838" w:rsidRPr="001D41EA" w14:paraId="7DC37539"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7B69E267" w14:textId="77777777" w:rsidR="00517838" w:rsidRPr="001D41EA" w:rsidRDefault="00517838" w:rsidP="00517838">
            <w:pPr>
              <w:spacing w:before="40" w:after="40"/>
              <w:rPr>
                <w:rFonts w:cs="Arial"/>
                <w:sz w:val="18"/>
                <w:szCs w:val="18"/>
              </w:rPr>
            </w:pPr>
            <w:r w:rsidRPr="001D41EA">
              <w:rPr>
                <w:rFonts w:cs="Arial"/>
                <w:sz w:val="18"/>
                <w:szCs w:val="18"/>
              </w:rPr>
              <w:t>Bass Coast S</w:t>
            </w:r>
          </w:p>
        </w:tc>
        <w:tc>
          <w:tcPr>
            <w:tcW w:w="1418" w:type="dxa"/>
            <w:tcBorders>
              <w:top w:val="nil"/>
              <w:left w:val="single" w:sz="18" w:space="0" w:color="5F497A" w:themeColor="accent4" w:themeShade="BF"/>
              <w:bottom w:val="nil"/>
              <w:right w:val="nil"/>
            </w:tcBorders>
            <w:shd w:val="clear" w:color="auto" w:fill="auto"/>
          </w:tcPr>
          <w:p w14:paraId="281F74CB" w14:textId="0B205AF7" w:rsidR="00517838" w:rsidRPr="001D41EA" w:rsidRDefault="00517838" w:rsidP="00517838">
            <w:pPr>
              <w:spacing w:before="40" w:after="40"/>
              <w:jc w:val="right"/>
              <w:rPr>
                <w:rFonts w:cs="Arial"/>
                <w:sz w:val="18"/>
                <w:szCs w:val="18"/>
              </w:rPr>
            </w:pPr>
            <w:r w:rsidRPr="00517838">
              <w:rPr>
                <w:rFonts w:cs="Arial"/>
                <w:sz w:val="18"/>
                <w:szCs w:val="18"/>
              </w:rPr>
              <w:t>967</w:t>
            </w:r>
          </w:p>
        </w:tc>
        <w:tc>
          <w:tcPr>
            <w:tcW w:w="1418" w:type="dxa"/>
            <w:tcBorders>
              <w:top w:val="nil"/>
              <w:left w:val="nil"/>
              <w:bottom w:val="nil"/>
              <w:right w:val="nil"/>
            </w:tcBorders>
            <w:shd w:val="clear" w:color="auto" w:fill="auto"/>
            <w:vAlign w:val="bottom"/>
          </w:tcPr>
          <w:p w14:paraId="59D04E76" w14:textId="63070BE5" w:rsidR="00517838" w:rsidRPr="001D41EA" w:rsidRDefault="00517838" w:rsidP="00517838">
            <w:pPr>
              <w:spacing w:before="40" w:after="40"/>
              <w:jc w:val="right"/>
              <w:rPr>
                <w:rFonts w:cs="Arial"/>
                <w:sz w:val="18"/>
                <w:szCs w:val="18"/>
              </w:rPr>
            </w:pPr>
            <w:r w:rsidRPr="001D41EA">
              <w:rPr>
                <w:rFonts w:cs="Arial"/>
                <w:sz w:val="18"/>
                <w:szCs w:val="18"/>
              </w:rPr>
              <w:t>3,824,638</w:t>
            </w:r>
          </w:p>
        </w:tc>
        <w:tc>
          <w:tcPr>
            <w:tcW w:w="1418" w:type="dxa"/>
            <w:tcBorders>
              <w:top w:val="nil"/>
              <w:left w:val="nil"/>
              <w:bottom w:val="nil"/>
              <w:right w:val="nil"/>
            </w:tcBorders>
            <w:shd w:val="clear" w:color="auto" w:fill="auto"/>
            <w:vAlign w:val="bottom"/>
          </w:tcPr>
          <w:p w14:paraId="275EDFFB" w14:textId="206029F5" w:rsidR="00517838" w:rsidRPr="001D41EA" w:rsidRDefault="00517838" w:rsidP="00517838">
            <w:pPr>
              <w:spacing w:before="40" w:after="40"/>
              <w:jc w:val="right"/>
              <w:rPr>
                <w:rFonts w:cs="Arial"/>
                <w:sz w:val="18"/>
                <w:szCs w:val="18"/>
              </w:rPr>
            </w:pPr>
            <w:r w:rsidRPr="001D41EA">
              <w:rPr>
                <w:rFonts w:cs="Arial"/>
                <w:sz w:val="18"/>
                <w:szCs w:val="18"/>
              </w:rPr>
              <w:t>108.3</w:t>
            </w:r>
          </w:p>
        </w:tc>
      </w:tr>
      <w:tr w:rsidR="00517838" w:rsidRPr="001D41EA" w14:paraId="3C11FAB2"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4E751221" w14:textId="77777777" w:rsidR="00517838" w:rsidRPr="001D41EA" w:rsidRDefault="00517838" w:rsidP="00517838">
            <w:pPr>
              <w:spacing w:before="40" w:after="40"/>
              <w:rPr>
                <w:rFonts w:cs="Arial"/>
                <w:sz w:val="18"/>
                <w:szCs w:val="18"/>
              </w:rPr>
            </w:pPr>
            <w:r w:rsidRPr="001D41EA">
              <w:rPr>
                <w:rFonts w:cs="Arial"/>
                <w:sz w:val="18"/>
                <w:szCs w:val="18"/>
              </w:rPr>
              <w:t>Baw Baw S</w:t>
            </w:r>
          </w:p>
        </w:tc>
        <w:tc>
          <w:tcPr>
            <w:tcW w:w="1418" w:type="dxa"/>
            <w:tcBorders>
              <w:top w:val="nil"/>
              <w:left w:val="single" w:sz="18" w:space="0" w:color="5F497A" w:themeColor="accent4" w:themeShade="BF"/>
              <w:bottom w:val="nil"/>
              <w:right w:val="nil"/>
            </w:tcBorders>
            <w:shd w:val="clear" w:color="auto" w:fill="auto"/>
          </w:tcPr>
          <w:p w14:paraId="7C4550BB" w14:textId="20103FFC" w:rsidR="00517838" w:rsidRPr="001D41EA" w:rsidRDefault="00517838" w:rsidP="00517838">
            <w:pPr>
              <w:spacing w:before="40" w:after="40"/>
              <w:jc w:val="right"/>
              <w:rPr>
                <w:rFonts w:cs="Arial"/>
                <w:sz w:val="18"/>
                <w:szCs w:val="18"/>
              </w:rPr>
            </w:pPr>
            <w:r w:rsidRPr="00517838">
              <w:rPr>
                <w:rFonts w:cs="Arial"/>
                <w:sz w:val="18"/>
                <w:szCs w:val="18"/>
              </w:rPr>
              <w:t>997</w:t>
            </w:r>
          </w:p>
        </w:tc>
        <w:tc>
          <w:tcPr>
            <w:tcW w:w="1418" w:type="dxa"/>
            <w:tcBorders>
              <w:top w:val="nil"/>
              <w:left w:val="nil"/>
              <w:bottom w:val="nil"/>
              <w:right w:val="nil"/>
            </w:tcBorders>
            <w:shd w:val="clear" w:color="auto" w:fill="auto"/>
            <w:vAlign w:val="bottom"/>
          </w:tcPr>
          <w:p w14:paraId="0A37007C" w14:textId="560F0B43" w:rsidR="00517838" w:rsidRPr="001D41EA" w:rsidRDefault="00517838" w:rsidP="00517838">
            <w:pPr>
              <w:spacing w:before="40" w:after="40"/>
              <w:jc w:val="right"/>
              <w:rPr>
                <w:rFonts w:cs="Arial"/>
                <w:sz w:val="18"/>
                <w:szCs w:val="18"/>
              </w:rPr>
            </w:pPr>
            <w:r w:rsidRPr="001D41EA">
              <w:rPr>
                <w:rFonts w:cs="Arial"/>
                <w:sz w:val="18"/>
                <w:szCs w:val="18"/>
              </w:rPr>
              <w:t>1,258,917</w:t>
            </w:r>
          </w:p>
        </w:tc>
        <w:tc>
          <w:tcPr>
            <w:tcW w:w="1418" w:type="dxa"/>
            <w:tcBorders>
              <w:top w:val="nil"/>
              <w:left w:val="nil"/>
              <w:bottom w:val="nil"/>
              <w:right w:val="nil"/>
            </w:tcBorders>
            <w:shd w:val="clear" w:color="auto" w:fill="auto"/>
            <w:vAlign w:val="bottom"/>
          </w:tcPr>
          <w:p w14:paraId="7B1A53E9" w14:textId="1A2FFD8E" w:rsidR="00517838" w:rsidRPr="001D41EA" w:rsidRDefault="00517838" w:rsidP="00517838">
            <w:pPr>
              <w:spacing w:before="40" w:after="40"/>
              <w:jc w:val="right"/>
              <w:rPr>
                <w:rFonts w:cs="Arial"/>
                <w:sz w:val="18"/>
                <w:szCs w:val="18"/>
              </w:rPr>
            </w:pPr>
            <w:r w:rsidRPr="001D41EA">
              <w:rPr>
                <w:rFonts w:cs="Arial"/>
                <w:sz w:val="18"/>
                <w:szCs w:val="18"/>
              </w:rPr>
              <w:t>24.2</w:t>
            </w:r>
          </w:p>
        </w:tc>
      </w:tr>
      <w:tr w:rsidR="00517838" w:rsidRPr="001D41EA" w14:paraId="2382C38D"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18CB4B9E" w14:textId="77777777" w:rsidR="00517838" w:rsidRPr="001D41EA" w:rsidRDefault="00517838" w:rsidP="00517838">
            <w:pPr>
              <w:spacing w:before="40" w:after="40"/>
              <w:rPr>
                <w:rFonts w:cs="Arial"/>
                <w:sz w:val="18"/>
                <w:szCs w:val="18"/>
              </w:rPr>
            </w:pPr>
            <w:r w:rsidRPr="001D41EA">
              <w:rPr>
                <w:rFonts w:cs="Arial"/>
                <w:sz w:val="18"/>
                <w:szCs w:val="18"/>
              </w:rPr>
              <w:t>Bayside C</w:t>
            </w:r>
          </w:p>
        </w:tc>
        <w:tc>
          <w:tcPr>
            <w:tcW w:w="1418" w:type="dxa"/>
            <w:tcBorders>
              <w:top w:val="nil"/>
              <w:left w:val="single" w:sz="18" w:space="0" w:color="5F497A" w:themeColor="accent4" w:themeShade="BF"/>
              <w:bottom w:val="nil"/>
              <w:right w:val="nil"/>
            </w:tcBorders>
            <w:shd w:val="clear" w:color="auto" w:fill="auto"/>
          </w:tcPr>
          <w:p w14:paraId="4A20B4C7" w14:textId="26236BEC" w:rsidR="00517838" w:rsidRPr="001D41EA" w:rsidRDefault="00517838" w:rsidP="00517838">
            <w:pPr>
              <w:spacing w:before="40" w:after="40"/>
              <w:jc w:val="right"/>
              <w:rPr>
                <w:rFonts w:cs="Arial"/>
                <w:sz w:val="18"/>
                <w:szCs w:val="18"/>
              </w:rPr>
            </w:pPr>
            <w:r w:rsidRPr="00517838">
              <w:rPr>
                <w:rFonts w:cs="Arial"/>
                <w:sz w:val="18"/>
                <w:szCs w:val="18"/>
              </w:rPr>
              <w:t>1,097</w:t>
            </w:r>
          </w:p>
        </w:tc>
        <w:tc>
          <w:tcPr>
            <w:tcW w:w="1418" w:type="dxa"/>
            <w:tcBorders>
              <w:top w:val="nil"/>
              <w:left w:val="nil"/>
              <w:bottom w:val="nil"/>
              <w:right w:val="nil"/>
            </w:tcBorders>
            <w:shd w:val="clear" w:color="auto" w:fill="auto"/>
            <w:vAlign w:val="bottom"/>
          </w:tcPr>
          <w:p w14:paraId="63C421F7" w14:textId="464A7B81" w:rsidR="00517838" w:rsidRPr="001D41EA" w:rsidRDefault="00517838" w:rsidP="00517838">
            <w:pPr>
              <w:spacing w:before="40" w:after="40"/>
              <w:jc w:val="right"/>
              <w:rPr>
                <w:rFonts w:cs="Arial"/>
                <w:sz w:val="18"/>
                <w:szCs w:val="18"/>
              </w:rPr>
            </w:pPr>
            <w:r w:rsidRPr="001D41EA">
              <w:rPr>
                <w:rFonts w:cs="Arial"/>
                <w:sz w:val="18"/>
                <w:szCs w:val="18"/>
              </w:rPr>
              <w:t>1,160,406</w:t>
            </w:r>
          </w:p>
        </w:tc>
        <w:tc>
          <w:tcPr>
            <w:tcW w:w="1418" w:type="dxa"/>
            <w:tcBorders>
              <w:top w:val="nil"/>
              <w:left w:val="nil"/>
              <w:bottom w:val="nil"/>
              <w:right w:val="nil"/>
            </w:tcBorders>
            <w:shd w:val="clear" w:color="auto" w:fill="auto"/>
            <w:vAlign w:val="bottom"/>
          </w:tcPr>
          <w:p w14:paraId="7657DB3E" w14:textId="3270E2E0" w:rsidR="00517838" w:rsidRPr="001D41EA" w:rsidRDefault="00517838" w:rsidP="00517838">
            <w:pPr>
              <w:spacing w:before="40" w:after="40"/>
              <w:jc w:val="right"/>
              <w:rPr>
                <w:rFonts w:cs="Arial"/>
                <w:sz w:val="18"/>
                <w:szCs w:val="18"/>
              </w:rPr>
            </w:pPr>
            <w:r w:rsidRPr="001D41EA">
              <w:rPr>
                <w:rFonts w:cs="Arial"/>
                <w:sz w:val="18"/>
                <w:szCs w:val="18"/>
              </w:rPr>
              <w:t>11.0</w:t>
            </w:r>
          </w:p>
        </w:tc>
      </w:tr>
      <w:tr w:rsidR="00517838" w:rsidRPr="001D41EA" w14:paraId="5C339943"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6A94AC98" w14:textId="77777777" w:rsidR="00517838" w:rsidRPr="001D41EA" w:rsidRDefault="00517838" w:rsidP="00517838">
            <w:pPr>
              <w:spacing w:before="40" w:after="40"/>
              <w:rPr>
                <w:rFonts w:cs="Arial"/>
                <w:sz w:val="18"/>
                <w:szCs w:val="18"/>
              </w:rPr>
            </w:pPr>
            <w:r w:rsidRPr="001D41EA">
              <w:rPr>
                <w:rFonts w:cs="Arial"/>
                <w:sz w:val="18"/>
                <w:szCs w:val="18"/>
              </w:rPr>
              <w:t>Benalla RC</w:t>
            </w:r>
          </w:p>
        </w:tc>
        <w:tc>
          <w:tcPr>
            <w:tcW w:w="1418" w:type="dxa"/>
            <w:tcBorders>
              <w:top w:val="nil"/>
              <w:left w:val="single" w:sz="18" w:space="0" w:color="5F497A" w:themeColor="accent4" w:themeShade="BF"/>
              <w:bottom w:val="nil"/>
              <w:right w:val="nil"/>
            </w:tcBorders>
            <w:shd w:val="clear" w:color="auto" w:fill="auto"/>
          </w:tcPr>
          <w:p w14:paraId="64AE4225" w14:textId="0EEFAA7A" w:rsidR="00517838" w:rsidRPr="001D41EA" w:rsidRDefault="00517838" w:rsidP="00517838">
            <w:pPr>
              <w:spacing w:before="40" w:after="40"/>
              <w:jc w:val="right"/>
              <w:rPr>
                <w:rFonts w:cs="Arial"/>
                <w:sz w:val="18"/>
                <w:szCs w:val="18"/>
              </w:rPr>
            </w:pPr>
            <w:r w:rsidRPr="00517838">
              <w:rPr>
                <w:rFonts w:cs="Arial"/>
                <w:sz w:val="18"/>
                <w:szCs w:val="18"/>
              </w:rPr>
              <w:t>951</w:t>
            </w:r>
          </w:p>
        </w:tc>
        <w:tc>
          <w:tcPr>
            <w:tcW w:w="1418" w:type="dxa"/>
            <w:tcBorders>
              <w:top w:val="nil"/>
              <w:left w:val="nil"/>
              <w:bottom w:val="nil"/>
              <w:right w:val="nil"/>
            </w:tcBorders>
            <w:shd w:val="clear" w:color="auto" w:fill="auto"/>
            <w:vAlign w:val="bottom"/>
          </w:tcPr>
          <w:p w14:paraId="0C2C7A1C" w14:textId="6A670DA8" w:rsidR="00517838" w:rsidRPr="001D41EA" w:rsidRDefault="00517838" w:rsidP="00517838">
            <w:pPr>
              <w:spacing w:before="40" w:after="40"/>
              <w:jc w:val="right"/>
              <w:rPr>
                <w:rFonts w:cs="Arial"/>
                <w:sz w:val="18"/>
                <w:szCs w:val="18"/>
              </w:rPr>
            </w:pPr>
            <w:r w:rsidRPr="001D41EA">
              <w:rPr>
                <w:rFonts w:cs="Arial"/>
                <w:sz w:val="18"/>
                <w:szCs w:val="18"/>
              </w:rPr>
              <w:t>461,871</w:t>
            </w:r>
          </w:p>
        </w:tc>
        <w:tc>
          <w:tcPr>
            <w:tcW w:w="1418" w:type="dxa"/>
            <w:tcBorders>
              <w:top w:val="nil"/>
              <w:left w:val="nil"/>
              <w:bottom w:val="nil"/>
              <w:right w:val="nil"/>
            </w:tcBorders>
            <w:shd w:val="clear" w:color="auto" w:fill="auto"/>
            <w:vAlign w:val="bottom"/>
          </w:tcPr>
          <w:p w14:paraId="21553088" w14:textId="0E83CE1C" w:rsidR="00517838" w:rsidRPr="001D41EA" w:rsidRDefault="00517838" w:rsidP="00517838">
            <w:pPr>
              <w:spacing w:before="40" w:after="40"/>
              <w:jc w:val="right"/>
              <w:rPr>
                <w:rFonts w:cs="Arial"/>
                <w:sz w:val="18"/>
                <w:szCs w:val="18"/>
              </w:rPr>
            </w:pPr>
            <w:r w:rsidRPr="001D41EA">
              <w:rPr>
                <w:rFonts w:cs="Arial"/>
                <w:sz w:val="18"/>
                <w:szCs w:val="18"/>
              </w:rPr>
              <w:t>32.9</w:t>
            </w:r>
          </w:p>
        </w:tc>
      </w:tr>
      <w:tr w:rsidR="00517838" w:rsidRPr="001D41EA" w14:paraId="2EE708C9"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428B8099" w14:textId="77777777" w:rsidR="00517838" w:rsidRPr="001D41EA" w:rsidRDefault="00517838" w:rsidP="00517838">
            <w:pPr>
              <w:spacing w:before="40" w:after="40"/>
              <w:rPr>
                <w:rFonts w:cs="Arial"/>
                <w:sz w:val="18"/>
                <w:szCs w:val="18"/>
              </w:rPr>
            </w:pPr>
            <w:r w:rsidRPr="001D41EA">
              <w:rPr>
                <w:rFonts w:cs="Arial"/>
                <w:sz w:val="18"/>
                <w:szCs w:val="18"/>
              </w:rPr>
              <w:t>Boroondara C</w:t>
            </w:r>
          </w:p>
        </w:tc>
        <w:tc>
          <w:tcPr>
            <w:tcW w:w="1418" w:type="dxa"/>
            <w:tcBorders>
              <w:top w:val="nil"/>
              <w:left w:val="single" w:sz="18" w:space="0" w:color="5F497A" w:themeColor="accent4" w:themeShade="BF"/>
              <w:bottom w:val="nil"/>
              <w:right w:val="nil"/>
            </w:tcBorders>
            <w:shd w:val="clear" w:color="auto" w:fill="auto"/>
          </w:tcPr>
          <w:p w14:paraId="7CD13E93" w14:textId="0FF2860F" w:rsidR="00517838" w:rsidRPr="001D41EA" w:rsidRDefault="00517838" w:rsidP="00517838">
            <w:pPr>
              <w:spacing w:before="40" w:after="40"/>
              <w:jc w:val="right"/>
              <w:rPr>
                <w:rFonts w:cs="Arial"/>
                <w:sz w:val="18"/>
                <w:szCs w:val="18"/>
              </w:rPr>
            </w:pPr>
            <w:r w:rsidRPr="00517838">
              <w:rPr>
                <w:rFonts w:cs="Arial"/>
                <w:sz w:val="18"/>
                <w:szCs w:val="18"/>
              </w:rPr>
              <w:t>1,097</w:t>
            </w:r>
          </w:p>
        </w:tc>
        <w:tc>
          <w:tcPr>
            <w:tcW w:w="1418" w:type="dxa"/>
            <w:tcBorders>
              <w:top w:val="nil"/>
              <w:left w:val="nil"/>
              <w:bottom w:val="nil"/>
              <w:right w:val="nil"/>
            </w:tcBorders>
            <w:shd w:val="clear" w:color="auto" w:fill="auto"/>
            <w:vAlign w:val="bottom"/>
          </w:tcPr>
          <w:p w14:paraId="025A9B2C" w14:textId="5A916D30" w:rsidR="00517838" w:rsidRPr="001D41EA" w:rsidRDefault="00517838" w:rsidP="00517838">
            <w:pPr>
              <w:spacing w:before="40" w:after="40"/>
              <w:jc w:val="right"/>
              <w:rPr>
                <w:rFonts w:cs="Arial"/>
                <w:sz w:val="18"/>
                <w:szCs w:val="18"/>
              </w:rPr>
            </w:pPr>
            <w:r w:rsidRPr="001D41EA">
              <w:rPr>
                <w:rFonts w:cs="Arial"/>
                <w:sz w:val="18"/>
                <w:szCs w:val="18"/>
              </w:rPr>
              <w:t>2,897,459</w:t>
            </w:r>
          </w:p>
        </w:tc>
        <w:tc>
          <w:tcPr>
            <w:tcW w:w="1418" w:type="dxa"/>
            <w:tcBorders>
              <w:top w:val="nil"/>
              <w:left w:val="nil"/>
              <w:bottom w:val="nil"/>
              <w:right w:val="nil"/>
            </w:tcBorders>
            <w:shd w:val="clear" w:color="auto" w:fill="auto"/>
            <w:vAlign w:val="bottom"/>
          </w:tcPr>
          <w:p w14:paraId="68FF8D92" w14:textId="1816B98F" w:rsidR="00517838" w:rsidRPr="001D41EA" w:rsidRDefault="00517838" w:rsidP="00517838">
            <w:pPr>
              <w:spacing w:before="40" w:after="40"/>
              <w:jc w:val="right"/>
              <w:rPr>
                <w:rFonts w:cs="Arial"/>
                <w:sz w:val="18"/>
                <w:szCs w:val="18"/>
              </w:rPr>
            </w:pPr>
            <w:r w:rsidRPr="001D41EA">
              <w:rPr>
                <w:rFonts w:cs="Arial"/>
                <w:sz w:val="18"/>
                <w:szCs w:val="18"/>
              </w:rPr>
              <w:t>16.0</w:t>
            </w:r>
          </w:p>
        </w:tc>
      </w:tr>
      <w:tr w:rsidR="00517838" w:rsidRPr="001D41EA" w14:paraId="10CE9361"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7048E354" w14:textId="77777777" w:rsidR="00517838" w:rsidRPr="001D41EA" w:rsidRDefault="00517838" w:rsidP="00517838">
            <w:pPr>
              <w:spacing w:before="40" w:after="40"/>
              <w:rPr>
                <w:rFonts w:cs="Arial"/>
                <w:sz w:val="18"/>
                <w:szCs w:val="18"/>
              </w:rPr>
            </w:pPr>
            <w:r w:rsidRPr="001D41EA">
              <w:rPr>
                <w:rFonts w:cs="Arial"/>
                <w:sz w:val="18"/>
                <w:szCs w:val="18"/>
              </w:rPr>
              <w:t>Brimbank C</w:t>
            </w:r>
          </w:p>
        </w:tc>
        <w:tc>
          <w:tcPr>
            <w:tcW w:w="1418" w:type="dxa"/>
            <w:tcBorders>
              <w:top w:val="nil"/>
              <w:left w:val="single" w:sz="18" w:space="0" w:color="5F497A" w:themeColor="accent4" w:themeShade="BF"/>
              <w:bottom w:val="nil"/>
              <w:right w:val="nil"/>
            </w:tcBorders>
            <w:shd w:val="clear" w:color="auto" w:fill="auto"/>
          </w:tcPr>
          <w:p w14:paraId="37460554" w14:textId="36339B21" w:rsidR="00517838" w:rsidRPr="001D41EA" w:rsidRDefault="00517838" w:rsidP="00517838">
            <w:pPr>
              <w:spacing w:before="40" w:after="40"/>
              <w:jc w:val="right"/>
              <w:rPr>
                <w:rFonts w:cs="Arial"/>
                <w:sz w:val="18"/>
                <w:szCs w:val="18"/>
              </w:rPr>
            </w:pPr>
            <w:r w:rsidRPr="00517838">
              <w:rPr>
                <w:rFonts w:cs="Arial"/>
                <w:sz w:val="18"/>
                <w:szCs w:val="18"/>
              </w:rPr>
              <w:t>921</w:t>
            </w:r>
          </w:p>
        </w:tc>
        <w:tc>
          <w:tcPr>
            <w:tcW w:w="1418" w:type="dxa"/>
            <w:tcBorders>
              <w:top w:val="nil"/>
              <w:left w:val="nil"/>
              <w:bottom w:val="nil"/>
              <w:right w:val="nil"/>
            </w:tcBorders>
            <w:shd w:val="clear" w:color="auto" w:fill="auto"/>
            <w:vAlign w:val="bottom"/>
          </w:tcPr>
          <w:p w14:paraId="14472C14" w14:textId="40FA6C92" w:rsidR="00517838" w:rsidRPr="001D41EA" w:rsidRDefault="00517838" w:rsidP="00517838">
            <w:pPr>
              <w:spacing w:before="40" w:after="40"/>
              <w:jc w:val="right"/>
              <w:rPr>
                <w:rFonts w:cs="Arial"/>
                <w:sz w:val="18"/>
                <w:szCs w:val="18"/>
              </w:rPr>
            </w:pPr>
            <w:r w:rsidRPr="001D41EA">
              <w:rPr>
                <w:rFonts w:cs="Arial"/>
                <w:sz w:val="18"/>
                <w:szCs w:val="18"/>
              </w:rPr>
              <w:t>1,511,868</w:t>
            </w:r>
          </w:p>
        </w:tc>
        <w:tc>
          <w:tcPr>
            <w:tcW w:w="1418" w:type="dxa"/>
            <w:tcBorders>
              <w:top w:val="nil"/>
              <w:left w:val="nil"/>
              <w:bottom w:val="nil"/>
              <w:right w:val="nil"/>
            </w:tcBorders>
            <w:shd w:val="clear" w:color="auto" w:fill="auto"/>
            <w:vAlign w:val="bottom"/>
          </w:tcPr>
          <w:p w14:paraId="0972B676" w14:textId="6223E292" w:rsidR="00517838" w:rsidRPr="001D41EA" w:rsidRDefault="00517838" w:rsidP="00517838">
            <w:pPr>
              <w:spacing w:before="40" w:after="40"/>
              <w:jc w:val="right"/>
              <w:rPr>
                <w:rFonts w:cs="Arial"/>
                <w:sz w:val="18"/>
                <w:szCs w:val="18"/>
              </w:rPr>
            </w:pPr>
            <w:r w:rsidRPr="001D41EA">
              <w:rPr>
                <w:rFonts w:cs="Arial"/>
                <w:sz w:val="18"/>
                <w:szCs w:val="18"/>
              </w:rPr>
              <w:t>7.2</w:t>
            </w:r>
          </w:p>
        </w:tc>
      </w:tr>
      <w:tr w:rsidR="00517838" w:rsidRPr="001D41EA" w14:paraId="7C0FC8B5"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5FF8A0CA" w14:textId="77777777" w:rsidR="00517838" w:rsidRPr="001D41EA" w:rsidRDefault="00517838" w:rsidP="00517838">
            <w:pPr>
              <w:spacing w:before="40" w:after="40"/>
              <w:rPr>
                <w:rFonts w:cs="Arial"/>
                <w:sz w:val="18"/>
                <w:szCs w:val="18"/>
              </w:rPr>
            </w:pPr>
            <w:r w:rsidRPr="001D41EA">
              <w:rPr>
                <w:rFonts w:cs="Arial"/>
                <w:sz w:val="18"/>
                <w:szCs w:val="18"/>
              </w:rPr>
              <w:t>Buloke S</w:t>
            </w:r>
          </w:p>
        </w:tc>
        <w:tc>
          <w:tcPr>
            <w:tcW w:w="1418" w:type="dxa"/>
            <w:tcBorders>
              <w:top w:val="nil"/>
              <w:left w:val="single" w:sz="18" w:space="0" w:color="5F497A" w:themeColor="accent4" w:themeShade="BF"/>
              <w:bottom w:val="nil"/>
              <w:right w:val="nil"/>
            </w:tcBorders>
            <w:shd w:val="clear" w:color="auto" w:fill="auto"/>
          </w:tcPr>
          <w:p w14:paraId="603D5A32" w14:textId="60EA11FF" w:rsidR="00517838" w:rsidRPr="001D41EA" w:rsidRDefault="00517838" w:rsidP="00517838">
            <w:pPr>
              <w:spacing w:before="40" w:after="40"/>
              <w:jc w:val="right"/>
              <w:rPr>
                <w:rFonts w:cs="Arial"/>
                <w:sz w:val="18"/>
                <w:szCs w:val="18"/>
              </w:rPr>
            </w:pPr>
            <w:r w:rsidRPr="00517838">
              <w:rPr>
                <w:rFonts w:cs="Arial"/>
                <w:sz w:val="18"/>
                <w:szCs w:val="18"/>
              </w:rPr>
              <w:t>967</w:t>
            </w:r>
          </w:p>
        </w:tc>
        <w:tc>
          <w:tcPr>
            <w:tcW w:w="1418" w:type="dxa"/>
            <w:tcBorders>
              <w:top w:val="nil"/>
              <w:left w:val="nil"/>
              <w:bottom w:val="nil"/>
              <w:right w:val="nil"/>
            </w:tcBorders>
            <w:shd w:val="clear" w:color="auto" w:fill="auto"/>
            <w:vAlign w:val="bottom"/>
          </w:tcPr>
          <w:p w14:paraId="2CBA10D3" w14:textId="4BAA682A" w:rsidR="00517838" w:rsidRPr="001D41EA" w:rsidRDefault="00517838" w:rsidP="00517838">
            <w:pPr>
              <w:spacing w:before="40" w:after="40"/>
              <w:jc w:val="right"/>
              <w:rPr>
                <w:rFonts w:cs="Arial"/>
                <w:sz w:val="18"/>
                <w:szCs w:val="18"/>
              </w:rPr>
            </w:pPr>
            <w:r w:rsidRPr="001D41EA">
              <w:rPr>
                <w:rFonts w:cs="Arial"/>
                <w:sz w:val="18"/>
                <w:szCs w:val="18"/>
              </w:rPr>
              <w:t>138,750</w:t>
            </w:r>
          </w:p>
        </w:tc>
        <w:tc>
          <w:tcPr>
            <w:tcW w:w="1418" w:type="dxa"/>
            <w:tcBorders>
              <w:top w:val="nil"/>
              <w:left w:val="nil"/>
              <w:bottom w:val="nil"/>
              <w:right w:val="nil"/>
            </w:tcBorders>
            <w:shd w:val="clear" w:color="auto" w:fill="auto"/>
            <w:vAlign w:val="bottom"/>
          </w:tcPr>
          <w:p w14:paraId="79242E43" w14:textId="636AEF0B" w:rsidR="00517838" w:rsidRPr="001D41EA" w:rsidRDefault="00517838" w:rsidP="00517838">
            <w:pPr>
              <w:spacing w:before="40" w:after="40"/>
              <w:jc w:val="right"/>
              <w:rPr>
                <w:rFonts w:cs="Arial"/>
                <w:sz w:val="18"/>
                <w:szCs w:val="18"/>
              </w:rPr>
            </w:pPr>
            <w:r w:rsidRPr="001D41EA">
              <w:rPr>
                <w:rFonts w:cs="Arial"/>
                <w:sz w:val="18"/>
                <w:szCs w:val="18"/>
              </w:rPr>
              <w:t>22.4</w:t>
            </w:r>
          </w:p>
        </w:tc>
      </w:tr>
      <w:tr w:rsidR="00517838" w:rsidRPr="001D41EA" w14:paraId="49A816B1"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0493B813" w14:textId="77777777" w:rsidR="00517838" w:rsidRPr="001D41EA" w:rsidRDefault="00517838" w:rsidP="00517838">
            <w:pPr>
              <w:spacing w:before="40" w:after="40"/>
              <w:rPr>
                <w:rFonts w:cs="Arial"/>
                <w:sz w:val="18"/>
                <w:szCs w:val="18"/>
              </w:rPr>
            </w:pPr>
            <w:r w:rsidRPr="001D41EA">
              <w:rPr>
                <w:rFonts w:cs="Arial"/>
                <w:sz w:val="18"/>
                <w:szCs w:val="18"/>
              </w:rPr>
              <w:t>Campaspe S</w:t>
            </w:r>
          </w:p>
        </w:tc>
        <w:tc>
          <w:tcPr>
            <w:tcW w:w="1418" w:type="dxa"/>
            <w:tcBorders>
              <w:top w:val="nil"/>
              <w:left w:val="single" w:sz="18" w:space="0" w:color="5F497A" w:themeColor="accent4" w:themeShade="BF"/>
              <w:bottom w:val="nil"/>
              <w:right w:val="nil"/>
            </w:tcBorders>
            <w:shd w:val="clear" w:color="auto" w:fill="auto"/>
          </w:tcPr>
          <w:p w14:paraId="32096F2B" w14:textId="2A8D92E2" w:rsidR="00517838" w:rsidRPr="001D41EA" w:rsidRDefault="00517838" w:rsidP="00517838">
            <w:pPr>
              <w:spacing w:before="40" w:after="40"/>
              <w:jc w:val="right"/>
              <w:rPr>
                <w:rFonts w:cs="Arial"/>
                <w:sz w:val="18"/>
                <w:szCs w:val="18"/>
              </w:rPr>
            </w:pPr>
            <w:r w:rsidRPr="00517838">
              <w:rPr>
                <w:rFonts w:cs="Arial"/>
                <w:sz w:val="18"/>
                <w:szCs w:val="18"/>
              </w:rPr>
              <w:t>967</w:t>
            </w:r>
          </w:p>
        </w:tc>
        <w:tc>
          <w:tcPr>
            <w:tcW w:w="1418" w:type="dxa"/>
            <w:tcBorders>
              <w:top w:val="nil"/>
              <w:left w:val="nil"/>
              <w:bottom w:val="nil"/>
              <w:right w:val="nil"/>
            </w:tcBorders>
            <w:shd w:val="clear" w:color="auto" w:fill="auto"/>
            <w:vAlign w:val="bottom"/>
          </w:tcPr>
          <w:p w14:paraId="2EFA9C4A" w14:textId="6BA1EBA8" w:rsidR="00517838" w:rsidRPr="001D41EA" w:rsidRDefault="00517838" w:rsidP="00517838">
            <w:pPr>
              <w:spacing w:before="40" w:after="40"/>
              <w:jc w:val="right"/>
              <w:rPr>
                <w:rFonts w:cs="Arial"/>
                <w:sz w:val="18"/>
                <w:szCs w:val="18"/>
              </w:rPr>
            </w:pPr>
            <w:r w:rsidRPr="001D41EA">
              <w:rPr>
                <w:rFonts w:cs="Arial"/>
                <w:sz w:val="18"/>
                <w:szCs w:val="18"/>
              </w:rPr>
              <w:t>1,887,688</w:t>
            </w:r>
          </w:p>
        </w:tc>
        <w:tc>
          <w:tcPr>
            <w:tcW w:w="1418" w:type="dxa"/>
            <w:tcBorders>
              <w:top w:val="nil"/>
              <w:left w:val="nil"/>
              <w:bottom w:val="nil"/>
              <w:right w:val="nil"/>
            </w:tcBorders>
            <w:shd w:val="clear" w:color="auto" w:fill="auto"/>
            <w:vAlign w:val="bottom"/>
          </w:tcPr>
          <w:p w14:paraId="5F4A8A4A" w14:textId="3DDA8A5C" w:rsidR="00517838" w:rsidRPr="001D41EA" w:rsidRDefault="00517838" w:rsidP="00517838">
            <w:pPr>
              <w:spacing w:before="40" w:after="40"/>
              <w:jc w:val="right"/>
              <w:rPr>
                <w:rFonts w:cs="Arial"/>
                <w:sz w:val="18"/>
                <w:szCs w:val="18"/>
              </w:rPr>
            </w:pPr>
            <w:r w:rsidRPr="001D41EA">
              <w:rPr>
                <w:rFonts w:cs="Arial"/>
                <w:sz w:val="18"/>
                <w:szCs w:val="18"/>
              </w:rPr>
              <w:t>50.2</w:t>
            </w:r>
          </w:p>
        </w:tc>
      </w:tr>
      <w:tr w:rsidR="00517838" w:rsidRPr="001D41EA" w14:paraId="2B9F0051"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507B6E06" w14:textId="77777777" w:rsidR="00517838" w:rsidRPr="001D41EA" w:rsidRDefault="00517838" w:rsidP="00517838">
            <w:pPr>
              <w:spacing w:before="40" w:after="40"/>
              <w:rPr>
                <w:rFonts w:cs="Arial"/>
                <w:sz w:val="18"/>
                <w:szCs w:val="18"/>
              </w:rPr>
            </w:pPr>
            <w:r w:rsidRPr="001D41EA">
              <w:rPr>
                <w:rFonts w:cs="Arial"/>
                <w:sz w:val="18"/>
                <w:szCs w:val="18"/>
              </w:rPr>
              <w:t>Cardinia S</w:t>
            </w:r>
          </w:p>
        </w:tc>
        <w:tc>
          <w:tcPr>
            <w:tcW w:w="1418" w:type="dxa"/>
            <w:tcBorders>
              <w:top w:val="nil"/>
              <w:left w:val="single" w:sz="18" w:space="0" w:color="5F497A" w:themeColor="accent4" w:themeShade="BF"/>
              <w:bottom w:val="nil"/>
              <w:right w:val="nil"/>
            </w:tcBorders>
            <w:shd w:val="clear" w:color="auto" w:fill="auto"/>
          </w:tcPr>
          <w:p w14:paraId="2A38C156" w14:textId="466D4A69" w:rsidR="00517838" w:rsidRPr="001D41EA" w:rsidRDefault="00517838" w:rsidP="00517838">
            <w:pPr>
              <w:spacing w:before="40" w:after="40"/>
              <w:jc w:val="right"/>
              <w:rPr>
                <w:rFonts w:cs="Arial"/>
                <w:sz w:val="18"/>
                <w:szCs w:val="18"/>
              </w:rPr>
            </w:pPr>
            <w:r w:rsidRPr="00517838">
              <w:rPr>
                <w:rFonts w:cs="Arial"/>
                <w:sz w:val="18"/>
                <w:szCs w:val="18"/>
              </w:rPr>
              <w:t>1,021</w:t>
            </w:r>
          </w:p>
        </w:tc>
        <w:tc>
          <w:tcPr>
            <w:tcW w:w="1418" w:type="dxa"/>
            <w:tcBorders>
              <w:top w:val="nil"/>
              <w:left w:val="nil"/>
              <w:bottom w:val="nil"/>
              <w:right w:val="nil"/>
            </w:tcBorders>
            <w:shd w:val="clear" w:color="auto" w:fill="auto"/>
            <w:vAlign w:val="bottom"/>
          </w:tcPr>
          <w:p w14:paraId="5E5DBBF5" w14:textId="47DE5C75" w:rsidR="00517838" w:rsidRPr="001D41EA" w:rsidRDefault="00517838" w:rsidP="00517838">
            <w:pPr>
              <w:spacing w:before="40" w:after="40"/>
              <w:jc w:val="right"/>
              <w:rPr>
                <w:rFonts w:cs="Arial"/>
                <w:sz w:val="18"/>
                <w:szCs w:val="18"/>
              </w:rPr>
            </w:pPr>
            <w:r w:rsidRPr="001D41EA">
              <w:rPr>
                <w:rFonts w:cs="Arial"/>
                <w:sz w:val="18"/>
                <w:szCs w:val="18"/>
              </w:rPr>
              <w:t>1,224,446</w:t>
            </w:r>
          </w:p>
        </w:tc>
        <w:tc>
          <w:tcPr>
            <w:tcW w:w="1418" w:type="dxa"/>
            <w:tcBorders>
              <w:top w:val="nil"/>
              <w:left w:val="nil"/>
              <w:bottom w:val="nil"/>
              <w:right w:val="nil"/>
            </w:tcBorders>
            <w:shd w:val="clear" w:color="auto" w:fill="auto"/>
            <w:vAlign w:val="bottom"/>
          </w:tcPr>
          <w:p w14:paraId="4D009D4A" w14:textId="388DD77C" w:rsidR="00517838" w:rsidRPr="001D41EA" w:rsidRDefault="00517838" w:rsidP="00517838">
            <w:pPr>
              <w:spacing w:before="40" w:after="40"/>
              <w:jc w:val="right"/>
              <w:rPr>
                <w:rFonts w:cs="Arial"/>
                <w:sz w:val="18"/>
                <w:szCs w:val="18"/>
              </w:rPr>
            </w:pPr>
            <w:r w:rsidRPr="001D41EA">
              <w:rPr>
                <w:rFonts w:cs="Arial"/>
                <w:sz w:val="18"/>
                <w:szCs w:val="18"/>
              </w:rPr>
              <w:t>11.4</w:t>
            </w:r>
          </w:p>
        </w:tc>
      </w:tr>
      <w:tr w:rsidR="00517838" w:rsidRPr="001D41EA" w14:paraId="16D2010B"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0DDBF480" w14:textId="77777777" w:rsidR="00517838" w:rsidRPr="001D41EA" w:rsidRDefault="00517838" w:rsidP="00517838">
            <w:pPr>
              <w:spacing w:before="40" w:after="40"/>
              <w:rPr>
                <w:rFonts w:cs="Arial"/>
                <w:sz w:val="18"/>
                <w:szCs w:val="18"/>
              </w:rPr>
            </w:pPr>
            <w:r w:rsidRPr="001D41EA">
              <w:rPr>
                <w:rFonts w:cs="Arial"/>
                <w:sz w:val="18"/>
                <w:szCs w:val="18"/>
              </w:rPr>
              <w:t>Casey C</w:t>
            </w:r>
          </w:p>
        </w:tc>
        <w:tc>
          <w:tcPr>
            <w:tcW w:w="1418" w:type="dxa"/>
            <w:tcBorders>
              <w:top w:val="nil"/>
              <w:left w:val="single" w:sz="18" w:space="0" w:color="5F497A" w:themeColor="accent4" w:themeShade="BF"/>
              <w:bottom w:val="nil"/>
              <w:right w:val="nil"/>
            </w:tcBorders>
            <w:shd w:val="clear" w:color="auto" w:fill="auto"/>
          </w:tcPr>
          <w:p w14:paraId="4A3F9A81" w14:textId="66ECB025" w:rsidR="00517838" w:rsidRPr="001D41EA" w:rsidRDefault="00517838" w:rsidP="00517838">
            <w:pPr>
              <w:spacing w:before="40" w:after="40"/>
              <w:jc w:val="right"/>
              <w:rPr>
                <w:rFonts w:cs="Arial"/>
                <w:sz w:val="18"/>
                <w:szCs w:val="18"/>
              </w:rPr>
            </w:pPr>
            <w:r w:rsidRPr="00517838">
              <w:rPr>
                <w:rFonts w:cs="Arial"/>
                <w:sz w:val="18"/>
                <w:szCs w:val="18"/>
              </w:rPr>
              <w:t>1,004</w:t>
            </w:r>
          </w:p>
        </w:tc>
        <w:tc>
          <w:tcPr>
            <w:tcW w:w="1418" w:type="dxa"/>
            <w:tcBorders>
              <w:top w:val="nil"/>
              <w:left w:val="nil"/>
              <w:bottom w:val="nil"/>
              <w:right w:val="nil"/>
            </w:tcBorders>
            <w:shd w:val="clear" w:color="auto" w:fill="auto"/>
            <w:vAlign w:val="bottom"/>
          </w:tcPr>
          <w:p w14:paraId="05173610" w14:textId="27B8FEA1" w:rsidR="00517838" w:rsidRPr="001D41EA" w:rsidRDefault="00517838" w:rsidP="00517838">
            <w:pPr>
              <w:spacing w:before="40" w:after="40"/>
              <w:jc w:val="right"/>
              <w:rPr>
                <w:rFonts w:cs="Arial"/>
                <w:sz w:val="18"/>
                <w:szCs w:val="18"/>
              </w:rPr>
            </w:pPr>
            <w:r w:rsidRPr="001D41EA">
              <w:rPr>
                <w:rFonts w:cs="Arial"/>
                <w:sz w:val="18"/>
                <w:szCs w:val="18"/>
              </w:rPr>
              <w:t>2,542,513</w:t>
            </w:r>
          </w:p>
        </w:tc>
        <w:tc>
          <w:tcPr>
            <w:tcW w:w="1418" w:type="dxa"/>
            <w:tcBorders>
              <w:top w:val="nil"/>
              <w:left w:val="nil"/>
              <w:bottom w:val="nil"/>
              <w:right w:val="nil"/>
            </w:tcBorders>
            <w:shd w:val="clear" w:color="auto" w:fill="auto"/>
            <w:vAlign w:val="bottom"/>
          </w:tcPr>
          <w:p w14:paraId="6681A634" w14:textId="7F0D3C0E" w:rsidR="00517838" w:rsidRPr="001D41EA" w:rsidRDefault="00517838" w:rsidP="00517838">
            <w:pPr>
              <w:spacing w:before="40" w:after="40"/>
              <w:jc w:val="right"/>
              <w:rPr>
                <w:rFonts w:cs="Arial"/>
                <w:sz w:val="18"/>
                <w:szCs w:val="18"/>
              </w:rPr>
            </w:pPr>
            <w:r w:rsidRPr="001D41EA">
              <w:rPr>
                <w:rFonts w:cs="Arial"/>
                <w:sz w:val="18"/>
                <w:szCs w:val="18"/>
              </w:rPr>
              <w:t>7.5</w:t>
            </w:r>
          </w:p>
        </w:tc>
      </w:tr>
      <w:tr w:rsidR="00517838" w:rsidRPr="001D41EA" w14:paraId="2660EB42"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117EC8E8" w14:textId="77777777" w:rsidR="00517838" w:rsidRPr="001D41EA" w:rsidRDefault="00517838" w:rsidP="00517838">
            <w:pPr>
              <w:spacing w:before="40" w:after="40"/>
              <w:rPr>
                <w:rFonts w:cs="Arial"/>
                <w:sz w:val="18"/>
                <w:szCs w:val="18"/>
              </w:rPr>
            </w:pPr>
            <w:r w:rsidRPr="001D41EA">
              <w:rPr>
                <w:rFonts w:cs="Arial"/>
                <w:sz w:val="18"/>
                <w:szCs w:val="18"/>
              </w:rPr>
              <w:t>Central Goldfields S</w:t>
            </w:r>
          </w:p>
        </w:tc>
        <w:tc>
          <w:tcPr>
            <w:tcW w:w="1418" w:type="dxa"/>
            <w:tcBorders>
              <w:top w:val="nil"/>
              <w:left w:val="single" w:sz="18" w:space="0" w:color="5F497A" w:themeColor="accent4" w:themeShade="BF"/>
              <w:bottom w:val="nil"/>
              <w:right w:val="nil"/>
            </w:tcBorders>
            <w:shd w:val="clear" w:color="auto" w:fill="auto"/>
          </w:tcPr>
          <w:p w14:paraId="47EE31D1" w14:textId="0B8A25D0" w:rsidR="00517838" w:rsidRPr="001D41EA" w:rsidRDefault="00517838" w:rsidP="00517838">
            <w:pPr>
              <w:spacing w:before="40" w:after="40"/>
              <w:jc w:val="right"/>
              <w:rPr>
                <w:rFonts w:cs="Arial"/>
                <w:sz w:val="18"/>
                <w:szCs w:val="18"/>
              </w:rPr>
            </w:pPr>
            <w:r w:rsidRPr="00517838">
              <w:rPr>
                <w:rFonts w:cs="Arial"/>
                <w:sz w:val="18"/>
                <w:szCs w:val="18"/>
              </w:rPr>
              <w:t>889</w:t>
            </w:r>
          </w:p>
        </w:tc>
        <w:tc>
          <w:tcPr>
            <w:tcW w:w="1418" w:type="dxa"/>
            <w:tcBorders>
              <w:top w:val="nil"/>
              <w:left w:val="nil"/>
              <w:bottom w:val="nil"/>
              <w:right w:val="nil"/>
            </w:tcBorders>
            <w:shd w:val="clear" w:color="auto" w:fill="auto"/>
            <w:vAlign w:val="bottom"/>
          </w:tcPr>
          <w:p w14:paraId="17F9E7FC" w14:textId="74B87F22" w:rsidR="00517838" w:rsidRPr="001D41EA" w:rsidRDefault="00517838" w:rsidP="00517838">
            <w:pPr>
              <w:spacing w:before="40" w:after="40"/>
              <w:jc w:val="right"/>
              <w:rPr>
                <w:rFonts w:cs="Arial"/>
                <w:sz w:val="18"/>
                <w:szCs w:val="18"/>
              </w:rPr>
            </w:pPr>
            <w:r w:rsidRPr="001D41EA">
              <w:rPr>
                <w:rFonts w:cs="Arial"/>
                <w:sz w:val="18"/>
                <w:szCs w:val="18"/>
              </w:rPr>
              <w:t>360,411</w:t>
            </w:r>
          </w:p>
        </w:tc>
        <w:tc>
          <w:tcPr>
            <w:tcW w:w="1418" w:type="dxa"/>
            <w:tcBorders>
              <w:top w:val="nil"/>
              <w:left w:val="nil"/>
              <w:bottom w:val="nil"/>
              <w:right w:val="nil"/>
            </w:tcBorders>
            <w:shd w:val="clear" w:color="auto" w:fill="auto"/>
            <w:vAlign w:val="bottom"/>
          </w:tcPr>
          <w:p w14:paraId="694565D7" w14:textId="64F2218D" w:rsidR="00517838" w:rsidRPr="001D41EA" w:rsidRDefault="00517838" w:rsidP="00517838">
            <w:pPr>
              <w:spacing w:before="40" w:after="40"/>
              <w:jc w:val="right"/>
              <w:rPr>
                <w:rFonts w:cs="Arial"/>
                <w:sz w:val="18"/>
                <w:szCs w:val="18"/>
              </w:rPr>
            </w:pPr>
            <w:r w:rsidRPr="001D41EA">
              <w:rPr>
                <w:rFonts w:cs="Arial"/>
                <w:sz w:val="18"/>
                <w:szCs w:val="18"/>
              </w:rPr>
              <w:t>27.3</w:t>
            </w:r>
          </w:p>
        </w:tc>
      </w:tr>
      <w:tr w:rsidR="00517838" w:rsidRPr="001D41EA" w14:paraId="7BC52C99"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6F2E0A02" w14:textId="77777777" w:rsidR="00517838" w:rsidRPr="001D41EA" w:rsidRDefault="00517838" w:rsidP="00517838">
            <w:pPr>
              <w:spacing w:before="40" w:after="40"/>
              <w:rPr>
                <w:rFonts w:cs="Arial"/>
                <w:sz w:val="18"/>
                <w:szCs w:val="18"/>
              </w:rPr>
            </w:pPr>
            <w:r w:rsidRPr="001D41EA">
              <w:rPr>
                <w:rFonts w:cs="Arial"/>
                <w:sz w:val="18"/>
                <w:szCs w:val="18"/>
              </w:rPr>
              <w:t>Colac Otway S</w:t>
            </w:r>
          </w:p>
        </w:tc>
        <w:tc>
          <w:tcPr>
            <w:tcW w:w="1418" w:type="dxa"/>
            <w:tcBorders>
              <w:top w:val="nil"/>
              <w:left w:val="single" w:sz="18" w:space="0" w:color="5F497A" w:themeColor="accent4" w:themeShade="BF"/>
              <w:bottom w:val="nil"/>
              <w:right w:val="nil"/>
            </w:tcBorders>
            <w:shd w:val="clear" w:color="auto" w:fill="auto"/>
          </w:tcPr>
          <w:p w14:paraId="5442D00F" w14:textId="241CEA1A" w:rsidR="00517838" w:rsidRPr="001D41EA" w:rsidRDefault="00517838" w:rsidP="00517838">
            <w:pPr>
              <w:spacing w:before="40" w:after="40"/>
              <w:jc w:val="right"/>
              <w:rPr>
                <w:rFonts w:cs="Arial"/>
                <w:sz w:val="18"/>
                <w:szCs w:val="18"/>
              </w:rPr>
            </w:pPr>
            <w:r w:rsidRPr="00517838">
              <w:rPr>
                <w:rFonts w:cs="Arial"/>
                <w:sz w:val="18"/>
                <w:szCs w:val="18"/>
              </w:rPr>
              <w:t>961</w:t>
            </w:r>
          </w:p>
        </w:tc>
        <w:tc>
          <w:tcPr>
            <w:tcW w:w="1418" w:type="dxa"/>
            <w:tcBorders>
              <w:top w:val="nil"/>
              <w:left w:val="nil"/>
              <w:bottom w:val="nil"/>
              <w:right w:val="nil"/>
            </w:tcBorders>
            <w:shd w:val="clear" w:color="auto" w:fill="auto"/>
            <w:vAlign w:val="bottom"/>
          </w:tcPr>
          <w:p w14:paraId="2234A77E" w14:textId="297D9D4F" w:rsidR="00517838" w:rsidRPr="001D41EA" w:rsidRDefault="00517838" w:rsidP="00517838">
            <w:pPr>
              <w:spacing w:before="40" w:after="40"/>
              <w:jc w:val="right"/>
              <w:rPr>
                <w:rFonts w:cs="Arial"/>
                <w:sz w:val="18"/>
                <w:szCs w:val="18"/>
              </w:rPr>
            </w:pPr>
            <w:r w:rsidRPr="001D41EA">
              <w:rPr>
                <w:rFonts w:cs="Arial"/>
                <w:sz w:val="18"/>
                <w:szCs w:val="18"/>
              </w:rPr>
              <w:t>1,619,935</w:t>
            </w:r>
          </w:p>
        </w:tc>
        <w:tc>
          <w:tcPr>
            <w:tcW w:w="1418" w:type="dxa"/>
            <w:tcBorders>
              <w:top w:val="nil"/>
              <w:left w:val="nil"/>
              <w:bottom w:val="nil"/>
              <w:right w:val="nil"/>
            </w:tcBorders>
            <w:shd w:val="clear" w:color="auto" w:fill="auto"/>
            <w:vAlign w:val="bottom"/>
          </w:tcPr>
          <w:p w14:paraId="590A50A8" w14:textId="53089F03" w:rsidR="00517838" w:rsidRPr="001D41EA" w:rsidRDefault="00517838" w:rsidP="00517838">
            <w:pPr>
              <w:spacing w:before="40" w:after="40"/>
              <w:jc w:val="right"/>
              <w:rPr>
                <w:rFonts w:cs="Arial"/>
                <w:sz w:val="18"/>
                <w:szCs w:val="18"/>
              </w:rPr>
            </w:pPr>
            <w:r w:rsidRPr="001D41EA">
              <w:rPr>
                <w:rFonts w:cs="Arial"/>
                <w:sz w:val="18"/>
                <w:szCs w:val="18"/>
              </w:rPr>
              <w:t>75.3</w:t>
            </w:r>
          </w:p>
        </w:tc>
      </w:tr>
      <w:tr w:rsidR="00517838" w:rsidRPr="001D41EA" w14:paraId="5E07B052"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564CD52E" w14:textId="77777777" w:rsidR="00517838" w:rsidRPr="001D41EA" w:rsidRDefault="00517838" w:rsidP="00517838">
            <w:pPr>
              <w:spacing w:before="40" w:after="40"/>
              <w:rPr>
                <w:rFonts w:cs="Arial"/>
                <w:sz w:val="18"/>
                <w:szCs w:val="18"/>
              </w:rPr>
            </w:pPr>
            <w:r w:rsidRPr="001D41EA">
              <w:rPr>
                <w:rFonts w:cs="Arial"/>
                <w:sz w:val="18"/>
                <w:szCs w:val="18"/>
              </w:rPr>
              <w:t>Corangamite S</w:t>
            </w:r>
          </w:p>
        </w:tc>
        <w:tc>
          <w:tcPr>
            <w:tcW w:w="1418" w:type="dxa"/>
            <w:tcBorders>
              <w:top w:val="nil"/>
              <w:left w:val="single" w:sz="18" w:space="0" w:color="5F497A" w:themeColor="accent4" w:themeShade="BF"/>
              <w:bottom w:val="nil"/>
              <w:right w:val="nil"/>
            </w:tcBorders>
            <w:shd w:val="clear" w:color="auto" w:fill="auto"/>
          </w:tcPr>
          <w:p w14:paraId="5C9B1941" w14:textId="31EC4E02" w:rsidR="00517838" w:rsidRPr="001D41EA" w:rsidRDefault="00517838" w:rsidP="00517838">
            <w:pPr>
              <w:spacing w:before="40" w:after="40"/>
              <w:jc w:val="right"/>
              <w:rPr>
                <w:rFonts w:cs="Arial"/>
                <w:sz w:val="18"/>
                <w:szCs w:val="18"/>
              </w:rPr>
            </w:pPr>
            <w:r w:rsidRPr="00517838">
              <w:rPr>
                <w:rFonts w:cs="Arial"/>
                <w:sz w:val="18"/>
                <w:szCs w:val="18"/>
              </w:rPr>
              <w:t>977</w:t>
            </w:r>
          </w:p>
        </w:tc>
        <w:tc>
          <w:tcPr>
            <w:tcW w:w="1418" w:type="dxa"/>
            <w:tcBorders>
              <w:top w:val="nil"/>
              <w:left w:val="nil"/>
              <w:bottom w:val="nil"/>
              <w:right w:val="nil"/>
            </w:tcBorders>
            <w:shd w:val="clear" w:color="auto" w:fill="auto"/>
            <w:vAlign w:val="bottom"/>
          </w:tcPr>
          <w:p w14:paraId="4524C0C2" w14:textId="1B40AEEF" w:rsidR="00517838" w:rsidRPr="001D41EA" w:rsidRDefault="00517838" w:rsidP="00517838">
            <w:pPr>
              <w:spacing w:before="40" w:after="40"/>
              <w:jc w:val="right"/>
              <w:rPr>
                <w:rFonts w:cs="Arial"/>
                <w:sz w:val="18"/>
                <w:szCs w:val="18"/>
              </w:rPr>
            </w:pPr>
            <w:r w:rsidRPr="001D41EA">
              <w:rPr>
                <w:rFonts w:cs="Arial"/>
                <w:sz w:val="18"/>
                <w:szCs w:val="18"/>
              </w:rPr>
              <w:t>650,352</w:t>
            </w:r>
          </w:p>
        </w:tc>
        <w:tc>
          <w:tcPr>
            <w:tcW w:w="1418" w:type="dxa"/>
            <w:tcBorders>
              <w:top w:val="nil"/>
              <w:left w:val="nil"/>
              <w:bottom w:val="nil"/>
              <w:right w:val="nil"/>
            </w:tcBorders>
            <w:shd w:val="clear" w:color="auto" w:fill="auto"/>
            <w:vAlign w:val="bottom"/>
          </w:tcPr>
          <w:p w14:paraId="2E03ACC4" w14:textId="1B83C385" w:rsidR="00517838" w:rsidRPr="001D41EA" w:rsidRDefault="00517838" w:rsidP="00517838">
            <w:pPr>
              <w:spacing w:before="40" w:after="40"/>
              <w:jc w:val="right"/>
              <w:rPr>
                <w:rFonts w:cs="Arial"/>
                <w:sz w:val="18"/>
                <w:szCs w:val="18"/>
              </w:rPr>
            </w:pPr>
            <w:r w:rsidRPr="001D41EA">
              <w:rPr>
                <w:rFonts w:cs="Arial"/>
                <w:sz w:val="18"/>
                <w:szCs w:val="18"/>
              </w:rPr>
              <w:t>40.3</w:t>
            </w:r>
          </w:p>
        </w:tc>
      </w:tr>
      <w:tr w:rsidR="00517838" w:rsidRPr="001D41EA" w14:paraId="1AC23896"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680420D0" w14:textId="77777777" w:rsidR="00517838" w:rsidRPr="001D41EA" w:rsidRDefault="00517838" w:rsidP="00517838">
            <w:pPr>
              <w:spacing w:before="40" w:after="40"/>
              <w:rPr>
                <w:rFonts w:cs="Arial"/>
                <w:sz w:val="18"/>
                <w:szCs w:val="18"/>
              </w:rPr>
            </w:pPr>
            <w:r w:rsidRPr="001D41EA">
              <w:rPr>
                <w:rFonts w:cs="Arial"/>
                <w:sz w:val="18"/>
                <w:szCs w:val="18"/>
              </w:rPr>
              <w:t>Darebin C</w:t>
            </w:r>
          </w:p>
        </w:tc>
        <w:tc>
          <w:tcPr>
            <w:tcW w:w="1418" w:type="dxa"/>
            <w:tcBorders>
              <w:top w:val="nil"/>
              <w:left w:val="single" w:sz="18" w:space="0" w:color="5F497A" w:themeColor="accent4" w:themeShade="BF"/>
              <w:bottom w:val="nil"/>
              <w:right w:val="nil"/>
            </w:tcBorders>
            <w:shd w:val="clear" w:color="auto" w:fill="auto"/>
          </w:tcPr>
          <w:p w14:paraId="016BC267" w14:textId="3BF4A0A0" w:rsidR="00517838" w:rsidRPr="001D41EA" w:rsidRDefault="00517838" w:rsidP="00517838">
            <w:pPr>
              <w:spacing w:before="40" w:after="40"/>
              <w:jc w:val="right"/>
              <w:rPr>
                <w:rFonts w:cs="Arial"/>
                <w:sz w:val="18"/>
                <w:szCs w:val="18"/>
              </w:rPr>
            </w:pPr>
            <w:r w:rsidRPr="00517838">
              <w:rPr>
                <w:rFonts w:cs="Arial"/>
                <w:sz w:val="18"/>
                <w:szCs w:val="18"/>
              </w:rPr>
              <w:t>1,004</w:t>
            </w:r>
          </w:p>
        </w:tc>
        <w:tc>
          <w:tcPr>
            <w:tcW w:w="1418" w:type="dxa"/>
            <w:tcBorders>
              <w:top w:val="nil"/>
              <w:left w:val="nil"/>
              <w:bottom w:val="nil"/>
              <w:right w:val="nil"/>
            </w:tcBorders>
            <w:shd w:val="clear" w:color="auto" w:fill="auto"/>
            <w:vAlign w:val="bottom"/>
          </w:tcPr>
          <w:p w14:paraId="1E0DA00B" w14:textId="2D148CE2" w:rsidR="00517838" w:rsidRPr="001D41EA" w:rsidRDefault="00517838" w:rsidP="00517838">
            <w:pPr>
              <w:spacing w:before="40" w:after="40"/>
              <w:jc w:val="right"/>
              <w:rPr>
                <w:rFonts w:cs="Arial"/>
                <w:sz w:val="18"/>
                <w:szCs w:val="18"/>
              </w:rPr>
            </w:pPr>
            <w:r w:rsidRPr="001D41EA">
              <w:rPr>
                <w:rFonts w:cs="Arial"/>
                <w:sz w:val="18"/>
                <w:szCs w:val="18"/>
              </w:rPr>
              <w:t>1,965,183</w:t>
            </w:r>
          </w:p>
        </w:tc>
        <w:tc>
          <w:tcPr>
            <w:tcW w:w="1418" w:type="dxa"/>
            <w:tcBorders>
              <w:top w:val="nil"/>
              <w:left w:val="nil"/>
              <w:bottom w:val="nil"/>
              <w:right w:val="nil"/>
            </w:tcBorders>
            <w:shd w:val="clear" w:color="auto" w:fill="auto"/>
            <w:vAlign w:val="bottom"/>
          </w:tcPr>
          <w:p w14:paraId="0BC18970" w14:textId="086D900C" w:rsidR="00517838" w:rsidRPr="001D41EA" w:rsidRDefault="00517838" w:rsidP="00517838">
            <w:pPr>
              <w:spacing w:before="40" w:after="40"/>
              <w:jc w:val="right"/>
              <w:rPr>
                <w:rFonts w:cs="Arial"/>
                <w:sz w:val="18"/>
                <w:szCs w:val="18"/>
              </w:rPr>
            </w:pPr>
            <w:r w:rsidRPr="001D41EA">
              <w:rPr>
                <w:rFonts w:cs="Arial"/>
                <w:sz w:val="18"/>
                <w:szCs w:val="18"/>
              </w:rPr>
              <w:t>12.2</w:t>
            </w:r>
          </w:p>
        </w:tc>
      </w:tr>
      <w:tr w:rsidR="00517838" w:rsidRPr="001D41EA" w14:paraId="5DDAC42A"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280198BD" w14:textId="77777777" w:rsidR="00517838" w:rsidRPr="001D41EA" w:rsidRDefault="00517838" w:rsidP="00517838">
            <w:pPr>
              <w:spacing w:before="40" w:after="40"/>
              <w:rPr>
                <w:rFonts w:cs="Arial"/>
                <w:sz w:val="18"/>
                <w:szCs w:val="18"/>
              </w:rPr>
            </w:pPr>
            <w:r w:rsidRPr="001D41EA">
              <w:rPr>
                <w:rFonts w:cs="Arial"/>
                <w:sz w:val="18"/>
                <w:szCs w:val="18"/>
              </w:rPr>
              <w:t>East Gippsland S</w:t>
            </w:r>
          </w:p>
        </w:tc>
        <w:tc>
          <w:tcPr>
            <w:tcW w:w="1418" w:type="dxa"/>
            <w:tcBorders>
              <w:top w:val="nil"/>
              <w:left w:val="single" w:sz="18" w:space="0" w:color="5F497A" w:themeColor="accent4" w:themeShade="BF"/>
              <w:bottom w:val="nil"/>
              <w:right w:val="nil"/>
            </w:tcBorders>
            <w:shd w:val="clear" w:color="auto" w:fill="auto"/>
          </w:tcPr>
          <w:p w14:paraId="604D5C5E" w14:textId="7B4CE574" w:rsidR="00517838" w:rsidRPr="001D41EA" w:rsidRDefault="00517838" w:rsidP="00517838">
            <w:pPr>
              <w:spacing w:before="40" w:after="40"/>
              <w:jc w:val="right"/>
              <w:rPr>
                <w:rFonts w:cs="Arial"/>
                <w:sz w:val="18"/>
                <w:szCs w:val="18"/>
              </w:rPr>
            </w:pPr>
            <w:r w:rsidRPr="00517838">
              <w:rPr>
                <w:rFonts w:cs="Arial"/>
                <w:sz w:val="18"/>
                <w:szCs w:val="18"/>
              </w:rPr>
              <w:t>958</w:t>
            </w:r>
          </w:p>
        </w:tc>
        <w:tc>
          <w:tcPr>
            <w:tcW w:w="1418" w:type="dxa"/>
            <w:tcBorders>
              <w:top w:val="nil"/>
              <w:left w:val="nil"/>
              <w:bottom w:val="nil"/>
              <w:right w:val="nil"/>
            </w:tcBorders>
            <w:shd w:val="clear" w:color="auto" w:fill="auto"/>
            <w:vAlign w:val="bottom"/>
          </w:tcPr>
          <w:p w14:paraId="12DD7235" w14:textId="09981FC9" w:rsidR="00517838" w:rsidRPr="001D41EA" w:rsidRDefault="00517838" w:rsidP="00517838">
            <w:pPr>
              <w:spacing w:before="40" w:after="40"/>
              <w:jc w:val="right"/>
              <w:rPr>
                <w:rFonts w:cs="Arial"/>
                <w:sz w:val="18"/>
                <w:szCs w:val="18"/>
              </w:rPr>
            </w:pPr>
            <w:r w:rsidRPr="001D41EA">
              <w:rPr>
                <w:rFonts w:cs="Arial"/>
                <w:sz w:val="18"/>
                <w:szCs w:val="18"/>
              </w:rPr>
              <w:t>2,740,184</w:t>
            </w:r>
          </w:p>
        </w:tc>
        <w:tc>
          <w:tcPr>
            <w:tcW w:w="1418" w:type="dxa"/>
            <w:tcBorders>
              <w:top w:val="nil"/>
              <w:left w:val="nil"/>
              <w:bottom w:val="nil"/>
              <w:right w:val="nil"/>
            </w:tcBorders>
            <w:shd w:val="clear" w:color="auto" w:fill="auto"/>
            <w:vAlign w:val="bottom"/>
          </w:tcPr>
          <w:p w14:paraId="54731433" w14:textId="2C081CD7" w:rsidR="00517838" w:rsidRPr="001D41EA" w:rsidRDefault="00517838" w:rsidP="00517838">
            <w:pPr>
              <w:spacing w:before="40" w:after="40"/>
              <w:jc w:val="right"/>
              <w:rPr>
                <w:rFonts w:cs="Arial"/>
                <w:sz w:val="18"/>
                <w:szCs w:val="18"/>
              </w:rPr>
            </w:pPr>
            <w:r w:rsidRPr="001D41EA">
              <w:rPr>
                <w:rFonts w:cs="Arial"/>
                <w:sz w:val="18"/>
                <w:szCs w:val="18"/>
              </w:rPr>
              <w:t>58.5</w:t>
            </w:r>
          </w:p>
        </w:tc>
      </w:tr>
      <w:tr w:rsidR="00517838" w:rsidRPr="001D41EA" w14:paraId="2B1933DC"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2CA45EB8" w14:textId="77777777" w:rsidR="00517838" w:rsidRPr="001D41EA" w:rsidRDefault="00517838" w:rsidP="00517838">
            <w:pPr>
              <w:spacing w:before="40" w:after="40"/>
              <w:rPr>
                <w:rFonts w:cs="Arial"/>
                <w:sz w:val="18"/>
                <w:szCs w:val="18"/>
              </w:rPr>
            </w:pPr>
            <w:r w:rsidRPr="001D41EA">
              <w:rPr>
                <w:rFonts w:cs="Arial"/>
                <w:sz w:val="18"/>
                <w:szCs w:val="18"/>
              </w:rPr>
              <w:t>Frankston C</w:t>
            </w:r>
          </w:p>
        </w:tc>
        <w:tc>
          <w:tcPr>
            <w:tcW w:w="1418" w:type="dxa"/>
            <w:tcBorders>
              <w:top w:val="nil"/>
              <w:left w:val="single" w:sz="18" w:space="0" w:color="5F497A" w:themeColor="accent4" w:themeShade="BF"/>
              <w:bottom w:val="nil"/>
              <w:right w:val="nil"/>
            </w:tcBorders>
            <w:shd w:val="clear" w:color="auto" w:fill="auto"/>
          </w:tcPr>
          <w:p w14:paraId="38D27C0E" w14:textId="644C094E" w:rsidR="00517838" w:rsidRPr="001D41EA" w:rsidRDefault="00517838" w:rsidP="00517838">
            <w:pPr>
              <w:spacing w:before="40" w:after="40"/>
              <w:jc w:val="right"/>
              <w:rPr>
                <w:rFonts w:cs="Arial"/>
                <w:sz w:val="18"/>
                <w:szCs w:val="18"/>
              </w:rPr>
            </w:pPr>
            <w:r w:rsidRPr="00517838">
              <w:rPr>
                <w:rFonts w:cs="Arial"/>
                <w:sz w:val="18"/>
                <w:szCs w:val="18"/>
              </w:rPr>
              <w:t>1,001</w:t>
            </w:r>
          </w:p>
        </w:tc>
        <w:tc>
          <w:tcPr>
            <w:tcW w:w="1418" w:type="dxa"/>
            <w:tcBorders>
              <w:top w:val="nil"/>
              <w:left w:val="nil"/>
              <w:bottom w:val="nil"/>
              <w:right w:val="nil"/>
            </w:tcBorders>
            <w:shd w:val="clear" w:color="auto" w:fill="auto"/>
            <w:vAlign w:val="bottom"/>
          </w:tcPr>
          <w:p w14:paraId="7DEDFC4D" w14:textId="1BC1B9E0" w:rsidR="00517838" w:rsidRPr="001D41EA" w:rsidRDefault="00517838" w:rsidP="00517838">
            <w:pPr>
              <w:spacing w:before="40" w:after="40"/>
              <w:jc w:val="right"/>
              <w:rPr>
                <w:rFonts w:cs="Arial"/>
                <w:sz w:val="18"/>
                <w:szCs w:val="18"/>
              </w:rPr>
            </w:pPr>
            <w:r w:rsidRPr="001D41EA">
              <w:rPr>
                <w:rFonts w:cs="Arial"/>
                <w:sz w:val="18"/>
                <w:szCs w:val="18"/>
              </w:rPr>
              <w:t>1,621,001</w:t>
            </w:r>
          </w:p>
        </w:tc>
        <w:tc>
          <w:tcPr>
            <w:tcW w:w="1418" w:type="dxa"/>
            <w:tcBorders>
              <w:top w:val="nil"/>
              <w:left w:val="nil"/>
              <w:bottom w:val="nil"/>
              <w:right w:val="nil"/>
            </w:tcBorders>
            <w:shd w:val="clear" w:color="auto" w:fill="auto"/>
            <w:vAlign w:val="bottom"/>
          </w:tcPr>
          <w:p w14:paraId="2DF5004C" w14:textId="720492F3" w:rsidR="00517838" w:rsidRPr="001D41EA" w:rsidRDefault="00517838" w:rsidP="00517838">
            <w:pPr>
              <w:spacing w:before="40" w:after="40"/>
              <w:jc w:val="right"/>
              <w:rPr>
                <w:rFonts w:cs="Arial"/>
                <w:sz w:val="18"/>
                <w:szCs w:val="18"/>
              </w:rPr>
            </w:pPr>
            <w:r w:rsidRPr="001D41EA">
              <w:rPr>
                <w:rFonts w:cs="Arial"/>
                <w:sz w:val="18"/>
                <w:szCs w:val="18"/>
              </w:rPr>
              <w:t>11.4</w:t>
            </w:r>
          </w:p>
        </w:tc>
      </w:tr>
      <w:tr w:rsidR="00517838" w:rsidRPr="001D41EA" w14:paraId="129AA4A9"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00E74702" w14:textId="77777777" w:rsidR="00517838" w:rsidRPr="001D41EA" w:rsidRDefault="00517838" w:rsidP="00517838">
            <w:pPr>
              <w:spacing w:before="40" w:after="40"/>
              <w:rPr>
                <w:rFonts w:cs="Arial"/>
                <w:sz w:val="18"/>
                <w:szCs w:val="18"/>
              </w:rPr>
            </w:pPr>
            <w:r w:rsidRPr="001D41EA">
              <w:rPr>
                <w:rFonts w:cs="Arial"/>
                <w:sz w:val="18"/>
                <w:szCs w:val="18"/>
              </w:rPr>
              <w:t>Gannawarra S</w:t>
            </w:r>
          </w:p>
        </w:tc>
        <w:tc>
          <w:tcPr>
            <w:tcW w:w="1418" w:type="dxa"/>
            <w:tcBorders>
              <w:top w:val="nil"/>
              <w:left w:val="single" w:sz="18" w:space="0" w:color="5F497A" w:themeColor="accent4" w:themeShade="BF"/>
              <w:bottom w:val="nil"/>
              <w:right w:val="nil"/>
            </w:tcBorders>
            <w:shd w:val="clear" w:color="auto" w:fill="auto"/>
          </w:tcPr>
          <w:p w14:paraId="439BC129" w14:textId="3233531D" w:rsidR="00517838" w:rsidRPr="001D41EA" w:rsidRDefault="00517838" w:rsidP="00517838">
            <w:pPr>
              <w:spacing w:before="40" w:after="40"/>
              <w:jc w:val="right"/>
              <w:rPr>
                <w:rFonts w:cs="Arial"/>
                <w:sz w:val="18"/>
                <w:szCs w:val="18"/>
              </w:rPr>
            </w:pPr>
            <w:r w:rsidRPr="00517838">
              <w:rPr>
                <w:rFonts w:cs="Arial"/>
                <w:sz w:val="18"/>
                <w:szCs w:val="18"/>
              </w:rPr>
              <w:t>957</w:t>
            </w:r>
          </w:p>
        </w:tc>
        <w:tc>
          <w:tcPr>
            <w:tcW w:w="1418" w:type="dxa"/>
            <w:tcBorders>
              <w:top w:val="nil"/>
              <w:left w:val="nil"/>
              <w:bottom w:val="nil"/>
              <w:right w:val="nil"/>
            </w:tcBorders>
            <w:shd w:val="clear" w:color="auto" w:fill="auto"/>
            <w:vAlign w:val="bottom"/>
          </w:tcPr>
          <w:p w14:paraId="494E2CE5" w14:textId="2318BC7D" w:rsidR="00517838" w:rsidRPr="001D41EA" w:rsidRDefault="00517838" w:rsidP="00517838">
            <w:pPr>
              <w:spacing w:before="40" w:after="40"/>
              <w:jc w:val="right"/>
              <w:rPr>
                <w:rFonts w:cs="Arial"/>
                <w:sz w:val="18"/>
                <w:szCs w:val="18"/>
              </w:rPr>
            </w:pPr>
            <w:r w:rsidRPr="001D41EA">
              <w:rPr>
                <w:rFonts w:cs="Arial"/>
                <w:sz w:val="18"/>
                <w:szCs w:val="18"/>
              </w:rPr>
              <w:t>147,250</w:t>
            </w:r>
          </w:p>
        </w:tc>
        <w:tc>
          <w:tcPr>
            <w:tcW w:w="1418" w:type="dxa"/>
            <w:tcBorders>
              <w:top w:val="nil"/>
              <w:left w:val="nil"/>
              <w:bottom w:val="nil"/>
              <w:right w:val="nil"/>
            </w:tcBorders>
            <w:shd w:val="clear" w:color="auto" w:fill="auto"/>
            <w:vAlign w:val="bottom"/>
          </w:tcPr>
          <w:p w14:paraId="571D1AD1" w14:textId="0703C0A9" w:rsidR="00517838" w:rsidRPr="001D41EA" w:rsidRDefault="00517838" w:rsidP="00517838">
            <w:pPr>
              <w:spacing w:before="40" w:after="40"/>
              <w:jc w:val="right"/>
              <w:rPr>
                <w:rFonts w:cs="Arial"/>
                <w:sz w:val="18"/>
                <w:szCs w:val="18"/>
              </w:rPr>
            </w:pPr>
            <w:r w:rsidRPr="001D41EA">
              <w:rPr>
                <w:rFonts w:cs="Arial"/>
                <w:sz w:val="18"/>
                <w:szCs w:val="18"/>
              </w:rPr>
              <w:t>14.0</w:t>
            </w:r>
          </w:p>
        </w:tc>
      </w:tr>
      <w:tr w:rsidR="00517838" w:rsidRPr="001D41EA" w14:paraId="2653FEDA"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51ABADFA" w14:textId="77777777" w:rsidR="00517838" w:rsidRPr="001D41EA" w:rsidRDefault="00517838" w:rsidP="00517838">
            <w:pPr>
              <w:spacing w:before="40" w:after="40"/>
              <w:rPr>
                <w:rFonts w:cs="Arial"/>
                <w:sz w:val="18"/>
                <w:szCs w:val="18"/>
              </w:rPr>
            </w:pPr>
            <w:r w:rsidRPr="001D41EA">
              <w:rPr>
                <w:rFonts w:cs="Arial"/>
                <w:sz w:val="18"/>
                <w:szCs w:val="18"/>
              </w:rPr>
              <w:t>Glen Eira C</w:t>
            </w:r>
          </w:p>
        </w:tc>
        <w:tc>
          <w:tcPr>
            <w:tcW w:w="1418" w:type="dxa"/>
            <w:tcBorders>
              <w:top w:val="nil"/>
              <w:left w:val="single" w:sz="18" w:space="0" w:color="5F497A" w:themeColor="accent4" w:themeShade="BF"/>
              <w:bottom w:val="nil"/>
              <w:right w:val="nil"/>
            </w:tcBorders>
            <w:shd w:val="clear" w:color="auto" w:fill="auto"/>
          </w:tcPr>
          <w:p w14:paraId="423E2DB5" w14:textId="380EF86C" w:rsidR="00517838" w:rsidRPr="001D41EA" w:rsidRDefault="00517838" w:rsidP="00517838">
            <w:pPr>
              <w:spacing w:before="40" w:after="40"/>
              <w:jc w:val="right"/>
              <w:rPr>
                <w:rFonts w:cs="Arial"/>
                <w:sz w:val="18"/>
                <w:szCs w:val="18"/>
              </w:rPr>
            </w:pPr>
            <w:r w:rsidRPr="00517838">
              <w:rPr>
                <w:rFonts w:cs="Arial"/>
                <w:sz w:val="18"/>
                <w:szCs w:val="18"/>
              </w:rPr>
              <w:t>1,074</w:t>
            </w:r>
          </w:p>
        </w:tc>
        <w:tc>
          <w:tcPr>
            <w:tcW w:w="1418" w:type="dxa"/>
            <w:tcBorders>
              <w:top w:val="nil"/>
              <w:left w:val="nil"/>
              <w:bottom w:val="nil"/>
              <w:right w:val="nil"/>
            </w:tcBorders>
            <w:shd w:val="clear" w:color="auto" w:fill="auto"/>
            <w:vAlign w:val="bottom"/>
          </w:tcPr>
          <w:p w14:paraId="666C4315" w14:textId="2246B9B0" w:rsidR="00517838" w:rsidRPr="001D41EA" w:rsidRDefault="00517838" w:rsidP="00517838">
            <w:pPr>
              <w:spacing w:before="40" w:after="40"/>
              <w:jc w:val="right"/>
              <w:rPr>
                <w:rFonts w:cs="Arial"/>
                <w:sz w:val="18"/>
                <w:szCs w:val="18"/>
              </w:rPr>
            </w:pPr>
            <w:r w:rsidRPr="001D41EA">
              <w:rPr>
                <w:rFonts w:cs="Arial"/>
                <w:sz w:val="18"/>
                <w:szCs w:val="18"/>
              </w:rPr>
              <w:t>2,200,645</w:t>
            </w:r>
          </w:p>
        </w:tc>
        <w:tc>
          <w:tcPr>
            <w:tcW w:w="1418" w:type="dxa"/>
            <w:tcBorders>
              <w:top w:val="nil"/>
              <w:left w:val="nil"/>
              <w:bottom w:val="nil"/>
              <w:right w:val="nil"/>
            </w:tcBorders>
            <w:shd w:val="clear" w:color="auto" w:fill="auto"/>
            <w:vAlign w:val="bottom"/>
          </w:tcPr>
          <w:p w14:paraId="62565DA9" w14:textId="0E4E59A6" w:rsidR="00517838" w:rsidRPr="001D41EA" w:rsidRDefault="00517838" w:rsidP="00517838">
            <w:pPr>
              <w:spacing w:before="40" w:after="40"/>
              <w:jc w:val="right"/>
              <w:rPr>
                <w:rFonts w:cs="Arial"/>
                <w:sz w:val="18"/>
                <w:szCs w:val="18"/>
              </w:rPr>
            </w:pPr>
            <w:r w:rsidRPr="001D41EA">
              <w:rPr>
                <w:rFonts w:cs="Arial"/>
                <w:sz w:val="18"/>
                <w:szCs w:val="18"/>
              </w:rPr>
              <w:t>14.3</w:t>
            </w:r>
          </w:p>
        </w:tc>
      </w:tr>
      <w:tr w:rsidR="00517838" w:rsidRPr="001D41EA" w14:paraId="20A308F2"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7F64BE98" w14:textId="77777777" w:rsidR="00517838" w:rsidRPr="001D41EA" w:rsidRDefault="00517838" w:rsidP="00517838">
            <w:pPr>
              <w:spacing w:before="40" w:after="40"/>
              <w:rPr>
                <w:rFonts w:cs="Arial"/>
                <w:sz w:val="18"/>
                <w:szCs w:val="18"/>
              </w:rPr>
            </w:pPr>
            <w:r w:rsidRPr="001D41EA">
              <w:rPr>
                <w:rFonts w:cs="Arial"/>
                <w:sz w:val="18"/>
                <w:szCs w:val="18"/>
              </w:rPr>
              <w:t>Glenelg S</w:t>
            </w:r>
          </w:p>
        </w:tc>
        <w:tc>
          <w:tcPr>
            <w:tcW w:w="1418" w:type="dxa"/>
            <w:tcBorders>
              <w:top w:val="nil"/>
              <w:left w:val="single" w:sz="18" w:space="0" w:color="5F497A" w:themeColor="accent4" w:themeShade="BF"/>
              <w:bottom w:val="nil"/>
              <w:right w:val="nil"/>
            </w:tcBorders>
            <w:shd w:val="clear" w:color="auto" w:fill="auto"/>
          </w:tcPr>
          <w:p w14:paraId="56F0BF69" w14:textId="5904D307" w:rsidR="00517838" w:rsidRPr="001D41EA" w:rsidRDefault="00517838" w:rsidP="00517838">
            <w:pPr>
              <w:spacing w:before="40" w:after="40"/>
              <w:jc w:val="right"/>
              <w:rPr>
                <w:rFonts w:cs="Arial"/>
                <w:sz w:val="18"/>
                <w:szCs w:val="18"/>
              </w:rPr>
            </w:pPr>
            <w:r w:rsidRPr="00517838">
              <w:rPr>
                <w:rFonts w:cs="Arial"/>
                <w:sz w:val="18"/>
                <w:szCs w:val="18"/>
              </w:rPr>
              <w:t>947</w:t>
            </w:r>
          </w:p>
        </w:tc>
        <w:tc>
          <w:tcPr>
            <w:tcW w:w="1418" w:type="dxa"/>
            <w:tcBorders>
              <w:top w:val="nil"/>
              <w:left w:val="nil"/>
              <w:bottom w:val="nil"/>
              <w:right w:val="nil"/>
            </w:tcBorders>
            <w:shd w:val="clear" w:color="auto" w:fill="auto"/>
            <w:vAlign w:val="bottom"/>
          </w:tcPr>
          <w:p w14:paraId="6CEBF216" w14:textId="091ACCF5" w:rsidR="00517838" w:rsidRPr="001D41EA" w:rsidRDefault="00517838" w:rsidP="00517838">
            <w:pPr>
              <w:spacing w:before="40" w:after="40"/>
              <w:jc w:val="right"/>
              <w:rPr>
                <w:rFonts w:cs="Arial"/>
                <w:sz w:val="18"/>
                <w:szCs w:val="18"/>
              </w:rPr>
            </w:pPr>
            <w:r w:rsidRPr="001D41EA">
              <w:rPr>
                <w:rFonts w:cs="Arial"/>
                <w:sz w:val="18"/>
                <w:szCs w:val="18"/>
              </w:rPr>
              <w:t>626,664</w:t>
            </w:r>
          </w:p>
        </w:tc>
        <w:tc>
          <w:tcPr>
            <w:tcW w:w="1418" w:type="dxa"/>
            <w:tcBorders>
              <w:top w:val="nil"/>
              <w:left w:val="nil"/>
              <w:bottom w:val="nil"/>
              <w:right w:val="nil"/>
            </w:tcBorders>
            <w:shd w:val="clear" w:color="auto" w:fill="auto"/>
            <w:vAlign w:val="bottom"/>
          </w:tcPr>
          <w:p w14:paraId="32B3391E" w14:textId="64358461" w:rsidR="00517838" w:rsidRPr="001D41EA" w:rsidRDefault="00517838" w:rsidP="00517838">
            <w:pPr>
              <w:spacing w:before="40" w:after="40"/>
              <w:jc w:val="right"/>
              <w:rPr>
                <w:rFonts w:cs="Arial"/>
                <w:sz w:val="18"/>
                <w:szCs w:val="18"/>
              </w:rPr>
            </w:pPr>
            <w:r w:rsidRPr="001D41EA">
              <w:rPr>
                <w:rFonts w:cs="Arial"/>
                <w:sz w:val="18"/>
                <w:szCs w:val="18"/>
              </w:rPr>
              <w:t>31.9</w:t>
            </w:r>
          </w:p>
        </w:tc>
      </w:tr>
      <w:tr w:rsidR="00517838" w:rsidRPr="001D41EA" w14:paraId="0C4BBEF8"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299AE59C" w14:textId="77777777" w:rsidR="00517838" w:rsidRPr="001D41EA" w:rsidRDefault="00517838" w:rsidP="00517838">
            <w:pPr>
              <w:spacing w:before="40" w:after="40"/>
              <w:rPr>
                <w:rFonts w:cs="Arial"/>
                <w:sz w:val="18"/>
                <w:szCs w:val="18"/>
              </w:rPr>
            </w:pPr>
            <w:r w:rsidRPr="001D41EA">
              <w:rPr>
                <w:rFonts w:cs="Arial"/>
                <w:sz w:val="18"/>
                <w:szCs w:val="18"/>
              </w:rPr>
              <w:t>Golden Plains S</w:t>
            </w:r>
          </w:p>
        </w:tc>
        <w:tc>
          <w:tcPr>
            <w:tcW w:w="1418" w:type="dxa"/>
            <w:tcBorders>
              <w:top w:val="nil"/>
              <w:left w:val="single" w:sz="18" w:space="0" w:color="5F497A" w:themeColor="accent4" w:themeShade="BF"/>
              <w:bottom w:val="nil"/>
              <w:right w:val="nil"/>
            </w:tcBorders>
            <w:shd w:val="clear" w:color="auto" w:fill="auto"/>
          </w:tcPr>
          <w:p w14:paraId="36676644" w14:textId="615574D7" w:rsidR="00517838" w:rsidRPr="001D41EA" w:rsidRDefault="00517838" w:rsidP="00517838">
            <w:pPr>
              <w:spacing w:before="40" w:after="40"/>
              <w:jc w:val="right"/>
              <w:rPr>
                <w:rFonts w:cs="Arial"/>
                <w:sz w:val="18"/>
                <w:szCs w:val="18"/>
              </w:rPr>
            </w:pPr>
            <w:r w:rsidRPr="00517838">
              <w:rPr>
                <w:rFonts w:cs="Arial"/>
                <w:sz w:val="18"/>
                <w:szCs w:val="18"/>
              </w:rPr>
              <w:t>1,035</w:t>
            </w:r>
          </w:p>
        </w:tc>
        <w:tc>
          <w:tcPr>
            <w:tcW w:w="1418" w:type="dxa"/>
            <w:tcBorders>
              <w:top w:val="nil"/>
              <w:left w:val="nil"/>
              <w:bottom w:val="nil"/>
              <w:right w:val="nil"/>
            </w:tcBorders>
            <w:shd w:val="clear" w:color="auto" w:fill="auto"/>
            <w:vAlign w:val="bottom"/>
          </w:tcPr>
          <w:p w14:paraId="37CB1B51" w14:textId="35355D83" w:rsidR="00517838" w:rsidRPr="001D41EA" w:rsidRDefault="00517838" w:rsidP="00517838">
            <w:pPr>
              <w:spacing w:before="40" w:after="40"/>
              <w:jc w:val="right"/>
              <w:rPr>
                <w:rFonts w:cs="Arial"/>
                <w:sz w:val="18"/>
                <w:szCs w:val="18"/>
              </w:rPr>
            </w:pPr>
            <w:r w:rsidRPr="001D41EA">
              <w:rPr>
                <w:rFonts w:cs="Arial"/>
                <w:sz w:val="18"/>
                <w:szCs w:val="18"/>
              </w:rPr>
              <w:t>266,000</w:t>
            </w:r>
          </w:p>
        </w:tc>
        <w:tc>
          <w:tcPr>
            <w:tcW w:w="1418" w:type="dxa"/>
            <w:tcBorders>
              <w:top w:val="nil"/>
              <w:left w:val="nil"/>
              <w:bottom w:val="nil"/>
              <w:right w:val="nil"/>
            </w:tcBorders>
            <w:shd w:val="clear" w:color="auto" w:fill="auto"/>
            <w:vAlign w:val="bottom"/>
          </w:tcPr>
          <w:p w14:paraId="05E3B963" w14:textId="5B512E66" w:rsidR="00517838" w:rsidRPr="001D41EA" w:rsidRDefault="00517838" w:rsidP="00517838">
            <w:pPr>
              <w:spacing w:before="40" w:after="40"/>
              <w:jc w:val="right"/>
              <w:rPr>
                <w:rFonts w:cs="Arial"/>
                <w:sz w:val="18"/>
                <w:szCs w:val="18"/>
              </w:rPr>
            </w:pPr>
            <w:r w:rsidRPr="001D41EA">
              <w:rPr>
                <w:rFonts w:cs="Arial"/>
                <w:sz w:val="18"/>
                <w:szCs w:val="18"/>
              </w:rPr>
              <w:t>11.5</w:t>
            </w:r>
          </w:p>
        </w:tc>
      </w:tr>
      <w:tr w:rsidR="00517838" w:rsidRPr="001D41EA" w14:paraId="7BF013F6"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50E9E5D1" w14:textId="77777777" w:rsidR="00517838" w:rsidRPr="001D41EA" w:rsidRDefault="00517838" w:rsidP="00517838">
            <w:pPr>
              <w:spacing w:before="40" w:after="40"/>
              <w:rPr>
                <w:rFonts w:cs="Arial"/>
                <w:sz w:val="18"/>
                <w:szCs w:val="18"/>
              </w:rPr>
            </w:pPr>
            <w:r w:rsidRPr="001D41EA">
              <w:rPr>
                <w:rFonts w:cs="Arial"/>
                <w:sz w:val="18"/>
                <w:szCs w:val="18"/>
              </w:rPr>
              <w:t>Greater Bendigo C</w:t>
            </w:r>
          </w:p>
        </w:tc>
        <w:tc>
          <w:tcPr>
            <w:tcW w:w="1418" w:type="dxa"/>
            <w:tcBorders>
              <w:top w:val="nil"/>
              <w:left w:val="single" w:sz="18" w:space="0" w:color="5F497A" w:themeColor="accent4" w:themeShade="BF"/>
              <w:bottom w:val="nil"/>
              <w:right w:val="nil"/>
            </w:tcBorders>
            <w:shd w:val="clear" w:color="auto" w:fill="auto"/>
          </w:tcPr>
          <w:p w14:paraId="382265D5" w14:textId="3C8FB708" w:rsidR="00517838" w:rsidRPr="001D41EA" w:rsidRDefault="00517838" w:rsidP="00517838">
            <w:pPr>
              <w:spacing w:before="40" w:after="40"/>
              <w:jc w:val="right"/>
              <w:rPr>
                <w:rFonts w:cs="Arial"/>
                <w:sz w:val="18"/>
                <w:szCs w:val="18"/>
              </w:rPr>
            </w:pPr>
            <w:r w:rsidRPr="00517838">
              <w:rPr>
                <w:rFonts w:cs="Arial"/>
                <w:sz w:val="18"/>
                <w:szCs w:val="18"/>
              </w:rPr>
              <w:t>981</w:t>
            </w:r>
          </w:p>
        </w:tc>
        <w:tc>
          <w:tcPr>
            <w:tcW w:w="1418" w:type="dxa"/>
            <w:tcBorders>
              <w:top w:val="nil"/>
              <w:left w:val="nil"/>
              <w:bottom w:val="nil"/>
              <w:right w:val="nil"/>
            </w:tcBorders>
            <w:shd w:val="clear" w:color="auto" w:fill="auto"/>
            <w:vAlign w:val="bottom"/>
          </w:tcPr>
          <w:p w14:paraId="1AA96D3B" w14:textId="175CE164" w:rsidR="00517838" w:rsidRPr="001D41EA" w:rsidRDefault="00517838" w:rsidP="00517838">
            <w:pPr>
              <w:spacing w:before="40" w:after="40"/>
              <w:jc w:val="right"/>
              <w:rPr>
                <w:rFonts w:cs="Arial"/>
                <w:sz w:val="18"/>
                <w:szCs w:val="18"/>
              </w:rPr>
            </w:pPr>
            <w:r w:rsidRPr="001D41EA">
              <w:rPr>
                <w:rFonts w:cs="Arial"/>
                <w:sz w:val="18"/>
                <w:szCs w:val="18"/>
              </w:rPr>
              <w:t>3,580,123</w:t>
            </w:r>
          </w:p>
        </w:tc>
        <w:tc>
          <w:tcPr>
            <w:tcW w:w="1418" w:type="dxa"/>
            <w:tcBorders>
              <w:top w:val="nil"/>
              <w:left w:val="nil"/>
              <w:bottom w:val="nil"/>
              <w:right w:val="nil"/>
            </w:tcBorders>
            <w:shd w:val="clear" w:color="auto" w:fill="auto"/>
            <w:vAlign w:val="bottom"/>
          </w:tcPr>
          <w:p w14:paraId="70D02388" w14:textId="613F6622" w:rsidR="00517838" w:rsidRPr="001D41EA" w:rsidRDefault="00517838" w:rsidP="00517838">
            <w:pPr>
              <w:spacing w:before="40" w:after="40"/>
              <w:jc w:val="right"/>
              <w:rPr>
                <w:rFonts w:cs="Arial"/>
                <w:sz w:val="18"/>
                <w:szCs w:val="18"/>
              </w:rPr>
            </w:pPr>
            <w:r w:rsidRPr="001D41EA">
              <w:rPr>
                <w:rFonts w:cs="Arial"/>
                <w:sz w:val="18"/>
                <w:szCs w:val="18"/>
              </w:rPr>
              <w:t>30.9</w:t>
            </w:r>
          </w:p>
        </w:tc>
      </w:tr>
      <w:tr w:rsidR="00517838" w:rsidRPr="001D41EA" w14:paraId="43E640CD"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443AB270" w14:textId="77777777" w:rsidR="00517838" w:rsidRPr="001D41EA" w:rsidRDefault="00517838" w:rsidP="00517838">
            <w:pPr>
              <w:spacing w:before="40" w:after="40"/>
              <w:rPr>
                <w:rFonts w:cs="Arial"/>
                <w:sz w:val="18"/>
                <w:szCs w:val="18"/>
              </w:rPr>
            </w:pPr>
            <w:r w:rsidRPr="001D41EA">
              <w:rPr>
                <w:rFonts w:cs="Arial"/>
                <w:sz w:val="18"/>
                <w:szCs w:val="18"/>
              </w:rPr>
              <w:t>Greater Dandenong C</w:t>
            </w:r>
          </w:p>
        </w:tc>
        <w:tc>
          <w:tcPr>
            <w:tcW w:w="1418" w:type="dxa"/>
            <w:tcBorders>
              <w:top w:val="nil"/>
              <w:left w:val="single" w:sz="18" w:space="0" w:color="5F497A" w:themeColor="accent4" w:themeShade="BF"/>
              <w:bottom w:val="nil"/>
              <w:right w:val="nil"/>
            </w:tcBorders>
            <w:shd w:val="clear" w:color="auto" w:fill="auto"/>
          </w:tcPr>
          <w:p w14:paraId="1ADC4616" w14:textId="33B5CACE" w:rsidR="00517838" w:rsidRPr="001D41EA" w:rsidRDefault="00517838" w:rsidP="00517838">
            <w:pPr>
              <w:spacing w:before="40" w:after="40"/>
              <w:jc w:val="right"/>
              <w:rPr>
                <w:rFonts w:cs="Arial"/>
                <w:sz w:val="18"/>
                <w:szCs w:val="18"/>
              </w:rPr>
            </w:pPr>
            <w:r w:rsidRPr="00517838">
              <w:rPr>
                <w:rFonts w:cs="Arial"/>
                <w:sz w:val="18"/>
                <w:szCs w:val="18"/>
              </w:rPr>
              <w:t>896</w:t>
            </w:r>
          </w:p>
        </w:tc>
        <w:tc>
          <w:tcPr>
            <w:tcW w:w="1418" w:type="dxa"/>
            <w:tcBorders>
              <w:top w:val="nil"/>
              <w:left w:val="nil"/>
              <w:bottom w:val="nil"/>
              <w:right w:val="nil"/>
            </w:tcBorders>
            <w:shd w:val="clear" w:color="auto" w:fill="auto"/>
            <w:vAlign w:val="bottom"/>
          </w:tcPr>
          <w:p w14:paraId="0F7973D7" w14:textId="612C4058" w:rsidR="00517838" w:rsidRPr="001D41EA" w:rsidRDefault="00517838" w:rsidP="00517838">
            <w:pPr>
              <w:spacing w:before="40" w:after="40"/>
              <w:jc w:val="right"/>
              <w:rPr>
                <w:rFonts w:cs="Arial"/>
                <w:sz w:val="18"/>
                <w:szCs w:val="18"/>
              </w:rPr>
            </w:pPr>
            <w:r w:rsidRPr="001D41EA">
              <w:rPr>
                <w:rFonts w:cs="Arial"/>
                <w:sz w:val="18"/>
                <w:szCs w:val="18"/>
              </w:rPr>
              <w:t>2,107,884</w:t>
            </w:r>
          </w:p>
        </w:tc>
        <w:tc>
          <w:tcPr>
            <w:tcW w:w="1418" w:type="dxa"/>
            <w:tcBorders>
              <w:top w:val="nil"/>
              <w:left w:val="nil"/>
              <w:bottom w:val="nil"/>
              <w:right w:val="nil"/>
            </w:tcBorders>
            <w:shd w:val="clear" w:color="auto" w:fill="auto"/>
            <w:vAlign w:val="bottom"/>
          </w:tcPr>
          <w:p w14:paraId="415DBB46" w14:textId="79AD6993" w:rsidR="00517838" w:rsidRPr="001D41EA" w:rsidRDefault="00517838" w:rsidP="00517838">
            <w:pPr>
              <w:spacing w:before="40" w:after="40"/>
              <w:jc w:val="right"/>
              <w:rPr>
                <w:rFonts w:cs="Arial"/>
                <w:sz w:val="18"/>
                <w:szCs w:val="18"/>
              </w:rPr>
            </w:pPr>
            <w:r w:rsidRPr="001D41EA">
              <w:rPr>
                <w:rFonts w:cs="Arial"/>
                <w:sz w:val="18"/>
                <w:szCs w:val="18"/>
              </w:rPr>
              <w:t>12.7</w:t>
            </w:r>
          </w:p>
        </w:tc>
      </w:tr>
      <w:tr w:rsidR="00517838" w:rsidRPr="001D41EA" w14:paraId="77E57A95"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7350C02D" w14:textId="77777777" w:rsidR="00517838" w:rsidRPr="001D41EA" w:rsidRDefault="00517838" w:rsidP="00517838">
            <w:pPr>
              <w:spacing w:before="40" w:after="40"/>
              <w:rPr>
                <w:rFonts w:cs="Arial"/>
                <w:sz w:val="18"/>
                <w:szCs w:val="18"/>
              </w:rPr>
            </w:pPr>
            <w:r w:rsidRPr="001D41EA">
              <w:rPr>
                <w:rFonts w:cs="Arial"/>
                <w:sz w:val="18"/>
                <w:szCs w:val="18"/>
              </w:rPr>
              <w:t>Greater Geelong C</w:t>
            </w:r>
          </w:p>
        </w:tc>
        <w:tc>
          <w:tcPr>
            <w:tcW w:w="1418" w:type="dxa"/>
            <w:tcBorders>
              <w:top w:val="nil"/>
              <w:left w:val="single" w:sz="18" w:space="0" w:color="5F497A" w:themeColor="accent4" w:themeShade="BF"/>
              <w:bottom w:val="nil"/>
              <w:right w:val="nil"/>
            </w:tcBorders>
            <w:shd w:val="clear" w:color="auto" w:fill="auto"/>
          </w:tcPr>
          <w:p w14:paraId="7BE97807" w14:textId="78CF6336" w:rsidR="00517838" w:rsidRPr="001D41EA" w:rsidRDefault="00517838" w:rsidP="00517838">
            <w:pPr>
              <w:spacing w:before="40" w:after="40"/>
              <w:jc w:val="right"/>
              <w:rPr>
                <w:rFonts w:cs="Arial"/>
                <w:sz w:val="18"/>
                <w:szCs w:val="18"/>
              </w:rPr>
            </w:pPr>
            <w:r w:rsidRPr="00517838">
              <w:rPr>
                <w:rFonts w:cs="Arial"/>
                <w:sz w:val="18"/>
                <w:szCs w:val="18"/>
              </w:rPr>
              <w:t>994</w:t>
            </w:r>
          </w:p>
        </w:tc>
        <w:tc>
          <w:tcPr>
            <w:tcW w:w="1418" w:type="dxa"/>
            <w:tcBorders>
              <w:top w:val="nil"/>
              <w:left w:val="nil"/>
              <w:bottom w:val="nil"/>
              <w:right w:val="nil"/>
            </w:tcBorders>
            <w:shd w:val="clear" w:color="auto" w:fill="auto"/>
            <w:vAlign w:val="bottom"/>
          </w:tcPr>
          <w:p w14:paraId="46AEA425" w14:textId="0F71B532" w:rsidR="00517838" w:rsidRPr="001D41EA" w:rsidRDefault="00517838" w:rsidP="00517838">
            <w:pPr>
              <w:spacing w:before="40" w:after="40"/>
              <w:jc w:val="right"/>
              <w:rPr>
                <w:rFonts w:cs="Arial"/>
                <w:sz w:val="18"/>
                <w:szCs w:val="18"/>
              </w:rPr>
            </w:pPr>
            <w:r w:rsidRPr="001D41EA">
              <w:rPr>
                <w:rFonts w:cs="Arial"/>
                <w:sz w:val="18"/>
                <w:szCs w:val="18"/>
              </w:rPr>
              <w:t>6,703,693</w:t>
            </w:r>
          </w:p>
        </w:tc>
        <w:tc>
          <w:tcPr>
            <w:tcW w:w="1418" w:type="dxa"/>
            <w:tcBorders>
              <w:top w:val="nil"/>
              <w:left w:val="nil"/>
              <w:bottom w:val="nil"/>
              <w:right w:val="nil"/>
            </w:tcBorders>
            <w:shd w:val="clear" w:color="auto" w:fill="auto"/>
            <w:vAlign w:val="bottom"/>
          </w:tcPr>
          <w:p w14:paraId="34DC062B" w14:textId="1840FA5C" w:rsidR="00517838" w:rsidRPr="001D41EA" w:rsidRDefault="00517838" w:rsidP="00517838">
            <w:pPr>
              <w:spacing w:before="40" w:after="40"/>
              <w:jc w:val="right"/>
              <w:rPr>
                <w:rFonts w:cs="Arial"/>
                <w:sz w:val="18"/>
                <w:szCs w:val="18"/>
              </w:rPr>
            </w:pPr>
            <w:r w:rsidRPr="001D41EA">
              <w:rPr>
                <w:rFonts w:cs="Arial"/>
                <w:sz w:val="18"/>
                <w:szCs w:val="18"/>
              </w:rPr>
              <w:t>26.6</w:t>
            </w:r>
          </w:p>
        </w:tc>
      </w:tr>
      <w:tr w:rsidR="00517838" w:rsidRPr="001D41EA" w14:paraId="277E4B0C"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399C939A" w14:textId="77777777" w:rsidR="00517838" w:rsidRPr="001D41EA" w:rsidRDefault="00517838" w:rsidP="00517838">
            <w:pPr>
              <w:spacing w:before="40" w:after="40"/>
              <w:rPr>
                <w:rFonts w:cs="Arial"/>
                <w:sz w:val="18"/>
                <w:szCs w:val="18"/>
              </w:rPr>
            </w:pPr>
            <w:r w:rsidRPr="001D41EA">
              <w:rPr>
                <w:rFonts w:cs="Arial"/>
                <w:sz w:val="18"/>
                <w:szCs w:val="18"/>
              </w:rPr>
              <w:t>Greater Shepparton C</w:t>
            </w:r>
          </w:p>
        </w:tc>
        <w:tc>
          <w:tcPr>
            <w:tcW w:w="1418" w:type="dxa"/>
            <w:tcBorders>
              <w:top w:val="nil"/>
              <w:left w:val="single" w:sz="18" w:space="0" w:color="5F497A" w:themeColor="accent4" w:themeShade="BF"/>
              <w:bottom w:val="nil"/>
              <w:right w:val="nil"/>
            </w:tcBorders>
            <w:shd w:val="clear" w:color="auto" w:fill="auto"/>
          </w:tcPr>
          <w:p w14:paraId="46D73CF5" w14:textId="67BB1991" w:rsidR="00517838" w:rsidRPr="001D41EA" w:rsidRDefault="00517838" w:rsidP="00517838">
            <w:pPr>
              <w:spacing w:before="40" w:after="40"/>
              <w:jc w:val="right"/>
              <w:rPr>
                <w:rFonts w:cs="Arial"/>
                <w:sz w:val="18"/>
                <w:szCs w:val="18"/>
              </w:rPr>
            </w:pPr>
            <w:r w:rsidRPr="00517838">
              <w:rPr>
                <w:rFonts w:cs="Arial"/>
                <w:sz w:val="18"/>
                <w:szCs w:val="18"/>
              </w:rPr>
              <w:t>948</w:t>
            </w:r>
          </w:p>
        </w:tc>
        <w:tc>
          <w:tcPr>
            <w:tcW w:w="1418" w:type="dxa"/>
            <w:tcBorders>
              <w:top w:val="nil"/>
              <w:left w:val="nil"/>
              <w:bottom w:val="nil"/>
              <w:right w:val="nil"/>
            </w:tcBorders>
            <w:shd w:val="clear" w:color="auto" w:fill="auto"/>
            <w:vAlign w:val="bottom"/>
          </w:tcPr>
          <w:p w14:paraId="4A4A5DD1" w14:textId="6EA6BE60" w:rsidR="00517838" w:rsidRPr="001D41EA" w:rsidRDefault="00517838" w:rsidP="00517838">
            <w:pPr>
              <w:spacing w:before="40" w:after="40"/>
              <w:jc w:val="right"/>
              <w:rPr>
                <w:rFonts w:cs="Arial"/>
                <w:sz w:val="18"/>
                <w:szCs w:val="18"/>
              </w:rPr>
            </w:pPr>
            <w:r w:rsidRPr="001D41EA">
              <w:rPr>
                <w:rFonts w:cs="Arial"/>
                <w:sz w:val="18"/>
                <w:szCs w:val="18"/>
              </w:rPr>
              <w:t>1,803,650</w:t>
            </w:r>
          </w:p>
        </w:tc>
        <w:tc>
          <w:tcPr>
            <w:tcW w:w="1418" w:type="dxa"/>
            <w:tcBorders>
              <w:top w:val="nil"/>
              <w:left w:val="nil"/>
              <w:bottom w:val="nil"/>
              <w:right w:val="nil"/>
            </w:tcBorders>
            <w:shd w:val="clear" w:color="auto" w:fill="auto"/>
            <w:vAlign w:val="bottom"/>
          </w:tcPr>
          <w:p w14:paraId="21FDFA76" w14:textId="0DE25DB1" w:rsidR="00517838" w:rsidRPr="001D41EA" w:rsidRDefault="00517838" w:rsidP="00517838">
            <w:pPr>
              <w:spacing w:before="40" w:after="40"/>
              <w:jc w:val="right"/>
              <w:rPr>
                <w:rFonts w:cs="Arial"/>
                <w:sz w:val="18"/>
                <w:szCs w:val="18"/>
              </w:rPr>
            </w:pPr>
            <w:r w:rsidRPr="001D41EA">
              <w:rPr>
                <w:rFonts w:cs="Arial"/>
                <w:sz w:val="18"/>
                <w:szCs w:val="18"/>
              </w:rPr>
              <w:t>27.3</w:t>
            </w:r>
          </w:p>
        </w:tc>
      </w:tr>
      <w:tr w:rsidR="00517838" w:rsidRPr="001D41EA" w14:paraId="387C3B20"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3311DE75" w14:textId="77777777" w:rsidR="00517838" w:rsidRPr="001D41EA" w:rsidRDefault="00517838" w:rsidP="00517838">
            <w:pPr>
              <w:spacing w:before="40" w:after="40"/>
              <w:rPr>
                <w:rFonts w:cs="Arial"/>
                <w:sz w:val="18"/>
                <w:szCs w:val="18"/>
              </w:rPr>
            </w:pPr>
            <w:r w:rsidRPr="001D41EA">
              <w:rPr>
                <w:rFonts w:cs="Arial"/>
                <w:sz w:val="18"/>
                <w:szCs w:val="18"/>
              </w:rPr>
              <w:t>Hepburn S</w:t>
            </w:r>
          </w:p>
        </w:tc>
        <w:tc>
          <w:tcPr>
            <w:tcW w:w="1418" w:type="dxa"/>
            <w:tcBorders>
              <w:top w:val="nil"/>
              <w:left w:val="single" w:sz="18" w:space="0" w:color="5F497A" w:themeColor="accent4" w:themeShade="BF"/>
              <w:bottom w:val="nil"/>
              <w:right w:val="nil"/>
            </w:tcBorders>
            <w:shd w:val="clear" w:color="auto" w:fill="auto"/>
          </w:tcPr>
          <w:p w14:paraId="4F8FF2D6" w14:textId="579BA9BB" w:rsidR="00517838" w:rsidRPr="001D41EA" w:rsidRDefault="00517838" w:rsidP="00517838">
            <w:pPr>
              <w:spacing w:before="40" w:after="40"/>
              <w:jc w:val="right"/>
              <w:rPr>
                <w:rFonts w:cs="Arial"/>
                <w:sz w:val="18"/>
                <w:szCs w:val="18"/>
              </w:rPr>
            </w:pPr>
            <w:r w:rsidRPr="00517838">
              <w:rPr>
                <w:rFonts w:cs="Arial"/>
                <w:sz w:val="18"/>
                <w:szCs w:val="18"/>
              </w:rPr>
              <w:t>995</w:t>
            </w:r>
          </w:p>
        </w:tc>
        <w:tc>
          <w:tcPr>
            <w:tcW w:w="1418" w:type="dxa"/>
            <w:tcBorders>
              <w:top w:val="nil"/>
              <w:left w:val="nil"/>
              <w:bottom w:val="nil"/>
              <w:right w:val="nil"/>
            </w:tcBorders>
            <w:shd w:val="clear" w:color="auto" w:fill="auto"/>
            <w:vAlign w:val="bottom"/>
          </w:tcPr>
          <w:p w14:paraId="6063EEC1" w14:textId="344CD211" w:rsidR="00517838" w:rsidRPr="001D41EA" w:rsidRDefault="00517838" w:rsidP="00517838">
            <w:pPr>
              <w:spacing w:before="40" w:after="40"/>
              <w:jc w:val="right"/>
              <w:rPr>
                <w:rFonts w:cs="Arial"/>
                <w:sz w:val="18"/>
                <w:szCs w:val="18"/>
              </w:rPr>
            </w:pPr>
            <w:r w:rsidRPr="001D41EA">
              <w:rPr>
                <w:rFonts w:cs="Arial"/>
                <w:sz w:val="18"/>
                <w:szCs w:val="18"/>
              </w:rPr>
              <w:t>1,505,339</w:t>
            </w:r>
          </w:p>
        </w:tc>
        <w:tc>
          <w:tcPr>
            <w:tcW w:w="1418" w:type="dxa"/>
            <w:tcBorders>
              <w:top w:val="nil"/>
              <w:left w:val="nil"/>
              <w:bottom w:val="nil"/>
              <w:right w:val="nil"/>
            </w:tcBorders>
            <w:shd w:val="clear" w:color="auto" w:fill="auto"/>
            <w:vAlign w:val="bottom"/>
          </w:tcPr>
          <w:p w14:paraId="74CB5B58" w14:textId="0223B411" w:rsidR="00517838" w:rsidRPr="001D41EA" w:rsidRDefault="00517838" w:rsidP="00517838">
            <w:pPr>
              <w:spacing w:before="40" w:after="40"/>
              <w:jc w:val="right"/>
              <w:rPr>
                <w:rFonts w:cs="Arial"/>
                <w:sz w:val="18"/>
                <w:szCs w:val="18"/>
              </w:rPr>
            </w:pPr>
            <w:r w:rsidRPr="001D41EA">
              <w:rPr>
                <w:rFonts w:cs="Arial"/>
                <w:sz w:val="18"/>
                <w:szCs w:val="18"/>
              </w:rPr>
              <w:t>95.2</w:t>
            </w:r>
          </w:p>
        </w:tc>
      </w:tr>
      <w:tr w:rsidR="00517838" w:rsidRPr="001D41EA" w14:paraId="43BD7B29"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10F513B8" w14:textId="77777777" w:rsidR="00517838" w:rsidRPr="001D41EA" w:rsidRDefault="00517838" w:rsidP="00517838">
            <w:pPr>
              <w:spacing w:before="40" w:after="40"/>
              <w:rPr>
                <w:rFonts w:cs="Arial"/>
                <w:sz w:val="18"/>
                <w:szCs w:val="18"/>
              </w:rPr>
            </w:pPr>
            <w:r w:rsidRPr="001D41EA">
              <w:rPr>
                <w:rFonts w:cs="Arial"/>
                <w:sz w:val="18"/>
                <w:szCs w:val="18"/>
              </w:rPr>
              <w:t>Hindmarsh S</w:t>
            </w:r>
          </w:p>
        </w:tc>
        <w:tc>
          <w:tcPr>
            <w:tcW w:w="1418" w:type="dxa"/>
            <w:tcBorders>
              <w:top w:val="nil"/>
              <w:left w:val="single" w:sz="18" w:space="0" w:color="5F497A" w:themeColor="accent4" w:themeShade="BF"/>
              <w:bottom w:val="nil"/>
              <w:right w:val="nil"/>
            </w:tcBorders>
            <w:shd w:val="clear" w:color="auto" w:fill="auto"/>
          </w:tcPr>
          <w:p w14:paraId="25022C33" w14:textId="5667CE1C" w:rsidR="00517838" w:rsidRPr="001D41EA" w:rsidRDefault="00517838" w:rsidP="00517838">
            <w:pPr>
              <w:spacing w:before="40" w:after="40"/>
              <w:jc w:val="right"/>
              <w:rPr>
                <w:rFonts w:cs="Arial"/>
                <w:sz w:val="18"/>
                <w:szCs w:val="18"/>
              </w:rPr>
            </w:pPr>
            <w:r w:rsidRPr="00517838">
              <w:rPr>
                <w:rFonts w:cs="Arial"/>
                <w:sz w:val="18"/>
                <w:szCs w:val="18"/>
              </w:rPr>
              <w:t>945</w:t>
            </w:r>
          </w:p>
        </w:tc>
        <w:tc>
          <w:tcPr>
            <w:tcW w:w="1418" w:type="dxa"/>
            <w:tcBorders>
              <w:top w:val="nil"/>
              <w:left w:val="nil"/>
              <w:bottom w:val="nil"/>
              <w:right w:val="nil"/>
            </w:tcBorders>
            <w:shd w:val="clear" w:color="auto" w:fill="auto"/>
            <w:vAlign w:val="bottom"/>
          </w:tcPr>
          <w:p w14:paraId="5F665666" w14:textId="06A30A1E" w:rsidR="00517838" w:rsidRPr="001D41EA" w:rsidRDefault="00517838" w:rsidP="00517838">
            <w:pPr>
              <w:spacing w:before="40" w:after="40"/>
              <w:jc w:val="right"/>
              <w:rPr>
                <w:rFonts w:cs="Arial"/>
                <w:sz w:val="18"/>
                <w:szCs w:val="18"/>
              </w:rPr>
            </w:pPr>
            <w:r w:rsidRPr="001D41EA">
              <w:rPr>
                <w:rFonts w:cs="Arial"/>
                <w:sz w:val="18"/>
                <w:szCs w:val="18"/>
              </w:rPr>
              <w:t>112,000</w:t>
            </w:r>
          </w:p>
        </w:tc>
        <w:tc>
          <w:tcPr>
            <w:tcW w:w="1418" w:type="dxa"/>
            <w:tcBorders>
              <w:top w:val="nil"/>
              <w:left w:val="nil"/>
              <w:bottom w:val="nil"/>
              <w:right w:val="nil"/>
            </w:tcBorders>
            <w:shd w:val="clear" w:color="auto" w:fill="auto"/>
            <w:vAlign w:val="bottom"/>
          </w:tcPr>
          <w:p w14:paraId="740D77E5" w14:textId="37C7CDA2" w:rsidR="00517838" w:rsidRPr="001D41EA" w:rsidRDefault="00517838" w:rsidP="00517838">
            <w:pPr>
              <w:spacing w:before="40" w:after="40"/>
              <w:jc w:val="right"/>
              <w:rPr>
                <w:rFonts w:cs="Arial"/>
                <w:sz w:val="18"/>
                <w:szCs w:val="18"/>
              </w:rPr>
            </w:pPr>
            <w:r w:rsidRPr="001D41EA">
              <w:rPr>
                <w:rFonts w:cs="Arial"/>
                <w:sz w:val="18"/>
                <w:szCs w:val="18"/>
              </w:rPr>
              <w:t>19.8</w:t>
            </w:r>
          </w:p>
        </w:tc>
      </w:tr>
      <w:tr w:rsidR="00517838" w:rsidRPr="001D41EA" w14:paraId="5357D565"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572AAE2F" w14:textId="77777777" w:rsidR="00517838" w:rsidRPr="001D41EA" w:rsidRDefault="00517838" w:rsidP="00517838">
            <w:pPr>
              <w:spacing w:before="40" w:after="40"/>
              <w:rPr>
                <w:rFonts w:cs="Arial"/>
                <w:sz w:val="18"/>
                <w:szCs w:val="18"/>
              </w:rPr>
            </w:pPr>
            <w:r w:rsidRPr="001D41EA">
              <w:rPr>
                <w:rFonts w:cs="Arial"/>
                <w:sz w:val="18"/>
                <w:szCs w:val="18"/>
              </w:rPr>
              <w:t>Hobsons Bay C</w:t>
            </w:r>
          </w:p>
        </w:tc>
        <w:tc>
          <w:tcPr>
            <w:tcW w:w="1418" w:type="dxa"/>
            <w:tcBorders>
              <w:top w:val="nil"/>
              <w:left w:val="single" w:sz="18" w:space="0" w:color="5F497A" w:themeColor="accent4" w:themeShade="BF"/>
              <w:bottom w:val="nil"/>
              <w:right w:val="nil"/>
            </w:tcBorders>
            <w:shd w:val="clear" w:color="auto" w:fill="auto"/>
          </w:tcPr>
          <w:p w14:paraId="1B691632" w14:textId="251EB8F2" w:rsidR="00517838" w:rsidRPr="001D41EA" w:rsidRDefault="00517838" w:rsidP="00517838">
            <w:pPr>
              <w:spacing w:before="40" w:after="40"/>
              <w:jc w:val="right"/>
              <w:rPr>
                <w:rFonts w:cs="Arial"/>
                <w:sz w:val="18"/>
                <w:szCs w:val="18"/>
              </w:rPr>
            </w:pPr>
            <w:r w:rsidRPr="00517838">
              <w:rPr>
                <w:rFonts w:cs="Arial"/>
                <w:sz w:val="18"/>
                <w:szCs w:val="18"/>
              </w:rPr>
              <w:t>1,015</w:t>
            </w:r>
          </w:p>
        </w:tc>
        <w:tc>
          <w:tcPr>
            <w:tcW w:w="1418" w:type="dxa"/>
            <w:tcBorders>
              <w:top w:val="nil"/>
              <w:left w:val="nil"/>
              <w:bottom w:val="nil"/>
              <w:right w:val="nil"/>
            </w:tcBorders>
            <w:shd w:val="clear" w:color="auto" w:fill="auto"/>
            <w:vAlign w:val="bottom"/>
          </w:tcPr>
          <w:p w14:paraId="29853CD4" w14:textId="3863F217" w:rsidR="00517838" w:rsidRPr="001D41EA" w:rsidRDefault="00517838" w:rsidP="00517838">
            <w:pPr>
              <w:spacing w:before="40" w:after="40"/>
              <w:jc w:val="right"/>
              <w:rPr>
                <w:rFonts w:cs="Arial"/>
                <w:sz w:val="18"/>
                <w:szCs w:val="18"/>
              </w:rPr>
            </w:pPr>
            <w:r w:rsidRPr="001D41EA">
              <w:rPr>
                <w:rFonts w:cs="Arial"/>
                <w:sz w:val="18"/>
                <w:szCs w:val="18"/>
              </w:rPr>
              <w:t>1,142,405</w:t>
            </w:r>
          </w:p>
        </w:tc>
        <w:tc>
          <w:tcPr>
            <w:tcW w:w="1418" w:type="dxa"/>
            <w:tcBorders>
              <w:top w:val="nil"/>
              <w:left w:val="nil"/>
              <w:bottom w:val="nil"/>
              <w:right w:val="nil"/>
            </w:tcBorders>
            <w:shd w:val="clear" w:color="auto" w:fill="auto"/>
            <w:vAlign w:val="bottom"/>
          </w:tcPr>
          <w:p w14:paraId="777B617C" w14:textId="6D4B2F39" w:rsidR="00517838" w:rsidRPr="001D41EA" w:rsidRDefault="00517838" w:rsidP="00517838">
            <w:pPr>
              <w:spacing w:before="40" w:after="40"/>
              <w:jc w:val="right"/>
              <w:rPr>
                <w:rFonts w:cs="Arial"/>
                <w:sz w:val="18"/>
                <w:szCs w:val="18"/>
              </w:rPr>
            </w:pPr>
            <w:r w:rsidRPr="001D41EA">
              <w:rPr>
                <w:rFonts w:cs="Arial"/>
                <w:sz w:val="18"/>
                <w:szCs w:val="18"/>
              </w:rPr>
              <w:t>11.8</w:t>
            </w:r>
          </w:p>
        </w:tc>
      </w:tr>
      <w:tr w:rsidR="00517838" w:rsidRPr="001D41EA" w14:paraId="12F86BB2"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6BA26D90" w14:textId="77777777" w:rsidR="00517838" w:rsidRPr="001D41EA" w:rsidRDefault="00517838" w:rsidP="00517838">
            <w:pPr>
              <w:spacing w:before="40" w:after="40"/>
              <w:rPr>
                <w:rFonts w:cs="Arial"/>
                <w:sz w:val="18"/>
                <w:szCs w:val="18"/>
              </w:rPr>
            </w:pPr>
            <w:r w:rsidRPr="001D41EA">
              <w:rPr>
                <w:rFonts w:cs="Arial"/>
                <w:sz w:val="18"/>
                <w:szCs w:val="18"/>
              </w:rPr>
              <w:t>Horsham RC</w:t>
            </w:r>
          </w:p>
        </w:tc>
        <w:tc>
          <w:tcPr>
            <w:tcW w:w="1418" w:type="dxa"/>
            <w:tcBorders>
              <w:top w:val="nil"/>
              <w:left w:val="single" w:sz="18" w:space="0" w:color="5F497A" w:themeColor="accent4" w:themeShade="BF"/>
              <w:bottom w:val="nil"/>
              <w:right w:val="nil"/>
            </w:tcBorders>
            <w:shd w:val="clear" w:color="auto" w:fill="auto"/>
          </w:tcPr>
          <w:p w14:paraId="51522067" w14:textId="5C6916C8" w:rsidR="00517838" w:rsidRPr="001D41EA" w:rsidRDefault="00517838" w:rsidP="00517838">
            <w:pPr>
              <w:spacing w:before="40" w:after="40"/>
              <w:jc w:val="right"/>
              <w:rPr>
                <w:rFonts w:cs="Arial"/>
                <w:sz w:val="18"/>
                <w:szCs w:val="18"/>
              </w:rPr>
            </w:pPr>
            <w:r w:rsidRPr="00517838">
              <w:rPr>
                <w:rFonts w:cs="Arial"/>
                <w:sz w:val="18"/>
                <w:szCs w:val="18"/>
              </w:rPr>
              <w:t>980</w:t>
            </w:r>
          </w:p>
        </w:tc>
        <w:tc>
          <w:tcPr>
            <w:tcW w:w="1418" w:type="dxa"/>
            <w:tcBorders>
              <w:top w:val="nil"/>
              <w:left w:val="nil"/>
              <w:bottom w:val="nil"/>
              <w:right w:val="nil"/>
            </w:tcBorders>
            <w:shd w:val="clear" w:color="auto" w:fill="auto"/>
            <w:vAlign w:val="bottom"/>
          </w:tcPr>
          <w:p w14:paraId="56B1E942" w14:textId="069E8C61" w:rsidR="00517838" w:rsidRPr="001D41EA" w:rsidRDefault="00517838" w:rsidP="00517838">
            <w:pPr>
              <w:spacing w:before="40" w:after="40"/>
              <w:jc w:val="right"/>
              <w:rPr>
                <w:rFonts w:cs="Arial"/>
                <w:sz w:val="18"/>
                <w:szCs w:val="18"/>
              </w:rPr>
            </w:pPr>
            <w:r w:rsidRPr="001D41EA">
              <w:rPr>
                <w:rFonts w:cs="Arial"/>
                <w:sz w:val="18"/>
                <w:szCs w:val="18"/>
              </w:rPr>
              <w:t>768,909</w:t>
            </w:r>
          </w:p>
        </w:tc>
        <w:tc>
          <w:tcPr>
            <w:tcW w:w="1418" w:type="dxa"/>
            <w:tcBorders>
              <w:top w:val="nil"/>
              <w:left w:val="nil"/>
              <w:bottom w:val="nil"/>
              <w:right w:val="nil"/>
            </w:tcBorders>
            <w:shd w:val="clear" w:color="auto" w:fill="auto"/>
            <w:vAlign w:val="bottom"/>
          </w:tcPr>
          <w:p w14:paraId="024E5AA7" w14:textId="0B7C17AB" w:rsidR="00517838" w:rsidRPr="001D41EA" w:rsidRDefault="00517838" w:rsidP="00517838">
            <w:pPr>
              <w:spacing w:before="40" w:after="40"/>
              <w:jc w:val="right"/>
              <w:rPr>
                <w:rFonts w:cs="Arial"/>
                <w:sz w:val="18"/>
                <w:szCs w:val="18"/>
              </w:rPr>
            </w:pPr>
            <w:r w:rsidRPr="001D41EA">
              <w:rPr>
                <w:rFonts w:cs="Arial"/>
                <w:sz w:val="18"/>
                <w:szCs w:val="18"/>
              </w:rPr>
              <w:t>38.7</w:t>
            </w:r>
          </w:p>
        </w:tc>
      </w:tr>
      <w:tr w:rsidR="00517838" w:rsidRPr="001D41EA" w14:paraId="050ABBF2"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5F4859E4" w14:textId="77777777" w:rsidR="00517838" w:rsidRPr="001D41EA" w:rsidRDefault="00517838" w:rsidP="00517838">
            <w:pPr>
              <w:spacing w:before="40" w:after="40"/>
              <w:rPr>
                <w:rFonts w:cs="Arial"/>
                <w:sz w:val="18"/>
                <w:szCs w:val="18"/>
              </w:rPr>
            </w:pPr>
            <w:r w:rsidRPr="001D41EA">
              <w:rPr>
                <w:rFonts w:cs="Arial"/>
                <w:sz w:val="18"/>
                <w:szCs w:val="18"/>
              </w:rPr>
              <w:t>Hume C</w:t>
            </w:r>
          </w:p>
        </w:tc>
        <w:tc>
          <w:tcPr>
            <w:tcW w:w="1418" w:type="dxa"/>
            <w:tcBorders>
              <w:top w:val="nil"/>
              <w:left w:val="single" w:sz="18" w:space="0" w:color="5F497A" w:themeColor="accent4" w:themeShade="BF"/>
              <w:bottom w:val="nil"/>
              <w:right w:val="nil"/>
            </w:tcBorders>
            <w:shd w:val="clear" w:color="auto" w:fill="auto"/>
          </w:tcPr>
          <w:p w14:paraId="75AD6295" w14:textId="657D2892" w:rsidR="00517838" w:rsidRPr="001D41EA" w:rsidRDefault="00517838" w:rsidP="00517838">
            <w:pPr>
              <w:spacing w:before="40" w:after="40"/>
              <w:jc w:val="right"/>
              <w:rPr>
                <w:rFonts w:cs="Arial"/>
                <w:sz w:val="18"/>
                <w:szCs w:val="18"/>
              </w:rPr>
            </w:pPr>
            <w:r w:rsidRPr="00517838">
              <w:rPr>
                <w:rFonts w:cs="Arial"/>
                <w:sz w:val="18"/>
                <w:szCs w:val="18"/>
              </w:rPr>
              <w:t>947</w:t>
            </w:r>
          </w:p>
        </w:tc>
        <w:tc>
          <w:tcPr>
            <w:tcW w:w="1418" w:type="dxa"/>
            <w:tcBorders>
              <w:top w:val="nil"/>
              <w:left w:val="nil"/>
              <w:bottom w:val="nil"/>
              <w:right w:val="nil"/>
            </w:tcBorders>
            <w:shd w:val="clear" w:color="auto" w:fill="auto"/>
            <w:vAlign w:val="bottom"/>
          </w:tcPr>
          <w:p w14:paraId="17ABD768" w14:textId="74324516" w:rsidR="00517838" w:rsidRPr="001D41EA" w:rsidRDefault="00517838" w:rsidP="00517838">
            <w:pPr>
              <w:spacing w:before="40" w:after="40"/>
              <w:jc w:val="right"/>
              <w:rPr>
                <w:rFonts w:cs="Arial"/>
                <w:sz w:val="18"/>
                <w:szCs w:val="18"/>
              </w:rPr>
            </w:pPr>
            <w:r w:rsidRPr="001D41EA">
              <w:rPr>
                <w:rFonts w:cs="Arial"/>
                <w:sz w:val="18"/>
                <w:szCs w:val="18"/>
              </w:rPr>
              <w:t>2,119,393</w:t>
            </w:r>
          </w:p>
        </w:tc>
        <w:tc>
          <w:tcPr>
            <w:tcW w:w="1418" w:type="dxa"/>
            <w:tcBorders>
              <w:top w:val="nil"/>
              <w:left w:val="nil"/>
              <w:bottom w:val="nil"/>
              <w:right w:val="nil"/>
            </w:tcBorders>
            <w:shd w:val="clear" w:color="auto" w:fill="auto"/>
            <w:vAlign w:val="bottom"/>
          </w:tcPr>
          <w:p w14:paraId="36736C33" w14:textId="47914C56" w:rsidR="00517838" w:rsidRPr="001D41EA" w:rsidRDefault="00517838" w:rsidP="00517838">
            <w:pPr>
              <w:spacing w:before="40" w:after="40"/>
              <w:jc w:val="right"/>
              <w:rPr>
                <w:rFonts w:cs="Arial"/>
                <w:sz w:val="18"/>
                <w:szCs w:val="18"/>
              </w:rPr>
            </w:pPr>
            <w:r w:rsidRPr="001D41EA">
              <w:rPr>
                <w:rFonts w:cs="Arial"/>
                <w:sz w:val="18"/>
                <w:szCs w:val="18"/>
              </w:rPr>
              <w:t>9.4</w:t>
            </w:r>
          </w:p>
        </w:tc>
      </w:tr>
      <w:tr w:rsidR="00517838" w:rsidRPr="001D41EA" w14:paraId="636F0310"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07D8D71C" w14:textId="77777777" w:rsidR="00517838" w:rsidRPr="001D41EA" w:rsidRDefault="00517838" w:rsidP="00517838">
            <w:pPr>
              <w:spacing w:before="40" w:after="40"/>
              <w:rPr>
                <w:rFonts w:cs="Arial"/>
                <w:sz w:val="18"/>
                <w:szCs w:val="18"/>
              </w:rPr>
            </w:pPr>
            <w:r w:rsidRPr="001D41EA">
              <w:rPr>
                <w:rFonts w:cs="Arial"/>
                <w:sz w:val="18"/>
                <w:szCs w:val="18"/>
              </w:rPr>
              <w:t>Indigo S</w:t>
            </w:r>
          </w:p>
        </w:tc>
        <w:tc>
          <w:tcPr>
            <w:tcW w:w="1418" w:type="dxa"/>
            <w:tcBorders>
              <w:top w:val="nil"/>
              <w:left w:val="single" w:sz="18" w:space="0" w:color="5F497A" w:themeColor="accent4" w:themeShade="BF"/>
              <w:bottom w:val="nil"/>
              <w:right w:val="nil"/>
            </w:tcBorders>
            <w:shd w:val="clear" w:color="auto" w:fill="auto"/>
          </w:tcPr>
          <w:p w14:paraId="24C0F662" w14:textId="0E650A32" w:rsidR="00517838" w:rsidRPr="001D41EA" w:rsidRDefault="00517838" w:rsidP="00517838">
            <w:pPr>
              <w:spacing w:before="40" w:after="40"/>
              <w:jc w:val="right"/>
              <w:rPr>
                <w:rFonts w:cs="Arial"/>
                <w:sz w:val="18"/>
                <w:szCs w:val="18"/>
              </w:rPr>
            </w:pPr>
            <w:r w:rsidRPr="00517838">
              <w:rPr>
                <w:rFonts w:cs="Arial"/>
                <w:sz w:val="18"/>
                <w:szCs w:val="18"/>
              </w:rPr>
              <w:t>1,016</w:t>
            </w:r>
          </w:p>
        </w:tc>
        <w:tc>
          <w:tcPr>
            <w:tcW w:w="1418" w:type="dxa"/>
            <w:tcBorders>
              <w:top w:val="nil"/>
              <w:left w:val="nil"/>
              <w:bottom w:val="nil"/>
              <w:right w:val="nil"/>
            </w:tcBorders>
            <w:shd w:val="clear" w:color="auto" w:fill="auto"/>
            <w:vAlign w:val="bottom"/>
          </w:tcPr>
          <w:p w14:paraId="19B8E3B2" w14:textId="6F355179" w:rsidR="00517838" w:rsidRPr="001D41EA" w:rsidRDefault="00517838" w:rsidP="00517838">
            <w:pPr>
              <w:spacing w:before="40" w:after="40"/>
              <w:jc w:val="right"/>
              <w:rPr>
                <w:rFonts w:cs="Arial"/>
                <w:sz w:val="18"/>
                <w:szCs w:val="18"/>
              </w:rPr>
            </w:pPr>
            <w:r w:rsidRPr="001D41EA">
              <w:rPr>
                <w:rFonts w:cs="Arial"/>
                <w:sz w:val="18"/>
                <w:szCs w:val="18"/>
              </w:rPr>
              <w:t>831,586</w:t>
            </w:r>
          </w:p>
        </w:tc>
        <w:tc>
          <w:tcPr>
            <w:tcW w:w="1418" w:type="dxa"/>
            <w:tcBorders>
              <w:top w:val="nil"/>
              <w:left w:val="nil"/>
              <w:bottom w:val="nil"/>
              <w:right w:val="nil"/>
            </w:tcBorders>
            <w:shd w:val="clear" w:color="auto" w:fill="auto"/>
            <w:vAlign w:val="bottom"/>
          </w:tcPr>
          <w:p w14:paraId="6503F230" w14:textId="6B8373BC" w:rsidR="00517838" w:rsidRPr="001D41EA" w:rsidRDefault="00517838" w:rsidP="00517838">
            <w:pPr>
              <w:spacing w:before="40" w:after="40"/>
              <w:jc w:val="right"/>
              <w:rPr>
                <w:rFonts w:cs="Arial"/>
                <w:sz w:val="18"/>
                <w:szCs w:val="18"/>
              </w:rPr>
            </w:pPr>
            <w:r w:rsidRPr="001D41EA">
              <w:rPr>
                <w:rFonts w:cs="Arial"/>
                <w:sz w:val="18"/>
                <w:szCs w:val="18"/>
              </w:rPr>
              <w:t>50.4</w:t>
            </w:r>
          </w:p>
        </w:tc>
      </w:tr>
      <w:tr w:rsidR="00517838" w:rsidRPr="001D41EA" w14:paraId="2DF74286"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34D55EAB" w14:textId="77777777" w:rsidR="00517838" w:rsidRPr="001D41EA" w:rsidRDefault="00517838" w:rsidP="00517838">
            <w:pPr>
              <w:spacing w:before="40" w:after="40"/>
              <w:rPr>
                <w:rFonts w:cs="Arial"/>
                <w:sz w:val="18"/>
                <w:szCs w:val="18"/>
              </w:rPr>
            </w:pPr>
            <w:r w:rsidRPr="001D41EA">
              <w:rPr>
                <w:rFonts w:cs="Arial"/>
                <w:sz w:val="18"/>
                <w:szCs w:val="18"/>
              </w:rPr>
              <w:t>Kingston C</w:t>
            </w:r>
          </w:p>
        </w:tc>
        <w:tc>
          <w:tcPr>
            <w:tcW w:w="1418" w:type="dxa"/>
            <w:tcBorders>
              <w:top w:val="nil"/>
              <w:left w:val="single" w:sz="18" w:space="0" w:color="5F497A" w:themeColor="accent4" w:themeShade="BF"/>
              <w:bottom w:val="nil"/>
              <w:right w:val="nil"/>
            </w:tcBorders>
            <w:shd w:val="clear" w:color="auto" w:fill="auto"/>
          </w:tcPr>
          <w:p w14:paraId="789DA880" w14:textId="4CB46989" w:rsidR="00517838" w:rsidRPr="001D41EA" w:rsidRDefault="00517838" w:rsidP="00517838">
            <w:pPr>
              <w:spacing w:before="40" w:after="40"/>
              <w:jc w:val="right"/>
              <w:rPr>
                <w:rFonts w:cs="Arial"/>
                <w:sz w:val="18"/>
                <w:szCs w:val="18"/>
              </w:rPr>
            </w:pPr>
            <w:r w:rsidRPr="00517838">
              <w:rPr>
                <w:rFonts w:cs="Arial"/>
                <w:sz w:val="18"/>
                <w:szCs w:val="18"/>
              </w:rPr>
              <w:t>1,044</w:t>
            </w:r>
          </w:p>
        </w:tc>
        <w:tc>
          <w:tcPr>
            <w:tcW w:w="1418" w:type="dxa"/>
            <w:tcBorders>
              <w:top w:val="nil"/>
              <w:left w:val="nil"/>
              <w:bottom w:val="nil"/>
              <w:right w:val="nil"/>
            </w:tcBorders>
            <w:shd w:val="clear" w:color="auto" w:fill="auto"/>
            <w:vAlign w:val="bottom"/>
          </w:tcPr>
          <w:p w14:paraId="5356234C" w14:textId="54BFB507" w:rsidR="00517838" w:rsidRPr="001D41EA" w:rsidRDefault="00517838" w:rsidP="00517838">
            <w:pPr>
              <w:spacing w:before="40" w:after="40"/>
              <w:jc w:val="right"/>
              <w:rPr>
                <w:rFonts w:cs="Arial"/>
                <w:sz w:val="18"/>
                <w:szCs w:val="18"/>
              </w:rPr>
            </w:pPr>
            <w:r w:rsidRPr="001D41EA">
              <w:rPr>
                <w:rFonts w:cs="Arial"/>
                <w:sz w:val="18"/>
                <w:szCs w:val="18"/>
              </w:rPr>
              <w:t>1,473,314</w:t>
            </w:r>
          </w:p>
        </w:tc>
        <w:tc>
          <w:tcPr>
            <w:tcW w:w="1418" w:type="dxa"/>
            <w:tcBorders>
              <w:top w:val="nil"/>
              <w:left w:val="nil"/>
              <w:bottom w:val="nil"/>
              <w:right w:val="nil"/>
            </w:tcBorders>
            <w:shd w:val="clear" w:color="auto" w:fill="auto"/>
            <w:vAlign w:val="bottom"/>
          </w:tcPr>
          <w:p w14:paraId="2A94EA8F" w14:textId="5990AEF3" w:rsidR="00517838" w:rsidRPr="001D41EA" w:rsidRDefault="00517838" w:rsidP="00517838">
            <w:pPr>
              <w:spacing w:before="40" w:after="40"/>
              <w:jc w:val="right"/>
              <w:rPr>
                <w:rFonts w:cs="Arial"/>
                <w:sz w:val="18"/>
                <w:szCs w:val="18"/>
              </w:rPr>
            </w:pPr>
            <w:r w:rsidRPr="001D41EA">
              <w:rPr>
                <w:rFonts w:cs="Arial"/>
                <w:sz w:val="18"/>
                <w:szCs w:val="18"/>
              </w:rPr>
              <w:t>9.0</w:t>
            </w:r>
          </w:p>
        </w:tc>
      </w:tr>
      <w:tr w:rsidR="00517838" w:rsidRPr="001D41EA" w14:paraId="0B7ABB77"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01BFC89A" w14:textId="77777777" w:rsidR="00517838" w:rsidRPr="001D41EA" w:rsidRDefault="00517838" w:rsidP="00517838">
            <w:pPr>
              <w:spacing w:before="40" w:after="40"/>
              <w:rPr>
                <w:rFonts w:cs="Arial"/>
                <w:sz w:val="18"/>
                <w:szCs w:val="18"/>
              </w:rPr>
            </w:pPr>
            <w:r w:rsidRPr="001D41EA">
              <w:rPr>
                <w:rFonts w:cs="Arial"/>
                <w:sz w:val="18"/>
                <w:szCs w:val="18"/>
              </w:rPr>
              <w:t>Knox C</w:t>
            </w:r>
          </w:p>
        </w:tc>
        <w:tc>
          <w:tcPr>
            <w:tcW w:w="1418" w:type="dxa"/>
            <w:tcBorders>
              <w:top w:val="nil"/>
              <w:left w:val="single" w:sz="18" w:space="0" w:color="5F497A" w:themeColor="accent4" w:themeShade="BF"/>
              <w:bottom w:val="nil"/>
              <w:right w:val="nil"/>
            </w:tcBorders>
            <w:shd w:val="clear" w:color="auto" w:fill="auto"/>
          </w:tcPr>
          <w:p w14:paraId="357F7F15" w14:textId="2B4C1210" w:rsidR="00517838" w:rsidRPr="001D41EA" w:rsidRDefault="00517838" w:rsidP="00517838">
            <w:pPr>
              <w:spacing w:before="40" w:after="40"/>
              <w:jc w:val="right"/>
              <w:rPr>
                <w:rFonts w:cs="Arial"/>
                <w:sz w:val="18"/>
                <w:szCs w:val="18"/>
              </w:rPr>
            </w:pPr>
            <w:r w:rsidRPr="00517838">
              <w:rPr>
                <w:rFonts w:cs="Arial"/>
                <w:sz w:val="18"/>
                <w:szCs w:val="18"/>
              </w:rPr>
              <w:t>1,048</w:t>
            </w:r>
          </w:p>
        </w:tc>
        <w:tc>
          <w:tcPr>
            <w:tcW w:w="1418" w:type="dxa"/>
            <w:tcBorders>
              <w:top w:val="nil"/>
              <w:left w:val="nil"/>
              <w:bottom w:val="nil"/>
              <w:right w:val="nil"/>
            </w:tcBorders>
            <w:shd w:val="clear" w:color="auto" w:fill="auto"/>
            <w:vAlign w:val="bottom"/>
          </w:tcPr>
          <w:p w14:paraId="773B18E0" w14:textId="41E119C7" w:rsidR="00517838" w:rsidRPr="001D41EA" w:rsidRDefault="00517838" w:rsidP="00517838">
            <w:pPr>
              <w:spacing w:before="40" w:after="40"/>
              <w:jc w:val="right"/>
              <w:rPr>
                <w:rFonts w:cs="Arial"/>
                <w:sz w:val="18"/>
                <w:szCs w:val="18"/>
              </w:rPr>
            </w:pPr>
            <w:r w:rsidRPr="001D41EA">
              <w:rPr>
                <w:rFonts w:cs="Arial"/>
                <w:sz w:val="18"/>
                <w:szCs w:val="18"/>
              </w:rPr>
              <w:t>1,550,576</w:t>
            </w:r>
          </w:p>
        </w:tc>
        <w:tc>
          <w:tcPr>
            <w:tcW w:w="1418" w:type="dxa"/>
            <w:tcBorders>
              <w:top w:val="nil"/>
              <w:left w:val="nil"/>
              <w:bottom w:val="nil"/>
              <w:right w:val="nil"/>
            </w:tcBorders>
            <w:shd w:val="clear" w:color="auto" w:fill="auto"/>
            <w:vAlign w:val="bottom"/>
          </w:tcPr>
          <w:p w14:paraId="31364ED3" w14:textId="73A6B4FE" w:rsidR="00517838" w:rsidRPr="001D41EA" w:rsidRDefault="00517838" w:rsidP="00517838">
            <w:pPr>
              <w:spacing w:before="40" w:after="40"/>
              <w:jc w:val="right"/>
              <w:rPr>
                <w:rFonts w:cs="Arial"/>
                <w:sz w:val="18"/>
                <w:szCs w:val="18"/>
              </w:rPr>
            </w:pPr>
            <w:r w:rsidRPr="001D41EA">
              <w:rPr>
                <w:rFonts w:cs="Arial"/>
                <w:sz w:val="18"/>
                <w:szCs w:val="18"/>
              </w:rPr>
              <w:t>9.5</w:t>
            </w:r>
          </w:p>
        </w:tc>
      </w:tr>
      <w:tr w:rsidR="00517838" w:rsidRPr="001D41EA" w14:paraId="1E25AF4F" w14:textId="77777777" w:rsidTr="00143DD0">
        <w:trPr>
          <w:trHeight w:val="80"/>
        </w:trPr>
        <w:tc>
          <w:tcPr>
            <w:tcW w:w="2268" w:type="dxa"/>
            <w:tcBorders>
              <w:top w:val="nil"/>
              <w:left w:val="nil"/>
              <w:bottom w:val="nil"/>
              <w:right w:val="single" w:sz="18" w:space="0" w:color="5F497A" w:themeColor="accent4" w:themeShade="BF"/>
            </w:tcBorders>
            <w:shd w:val="clear" w:color="auto" w:fill="auto"/>
            <w:vAlign w:val="center"/>
          </w:tcPr>
          <w:p w14:paraId="7E766A4A" w14:textId="77777777" w:rsidR="00517838" w:rsidRPr="001D41EA" w:rsidRDefault="00517838" w:rsidP="00517838">
            <w:pPr>
              <w:spacing w:before="40" w:after="40"/>
              <w:rPr>
                <w:rFonts w:cs="Arial"/>
                <w:sz w:val="18"/>
                <w:szCs w:val="18"/>
              </w:rPr>
            </w:pPr>
            <w:r w:rsidRPr="001D41EA">
              <w:rPr>
                <w:rFonts w:cs="Arial"/>
                <w:sz w:val="18"/>
                <w:szCs w:val="18"/>
              </w:rPr>
              <w:t>Latrobe C</w:t>
            </w:r>
          </w:p>
        </w:tc>
        <w:tc>
          <w:tcPr>
            <w:tcW w:w="1418" w:type="dxa"/>
            <w:tcBorders>
              <w:top w:val="nil"/>
              <w:left w:val="single" w:sz="18" w:space="0" w:color="5F497A" w:themeColor="accent4" w:themeShade="BF"/>
              <w:bottom w:val="nil"/>
              <w:right w:val="nil"/>
            </w:tcBorders>
            <w:shd w:val="clear" w:color="auto" w:fill="auto"/>
          </w:tcPr>
          <w:p w14:paraId="1FD8A394" w14:textId="475BD0DE" w:rsidR="00517838" w:rsidRPr="001D41EA" w:rsidRDefault="00517838" w:rsidP="00517838">
            <w:pPr>
              <w:spacing w:before="40" w:after="40"/>
              <w:jc w:val="right"/>
              <w:rPr>
                <w:rFonts w:cs="Arial"/>
                <w:sz w:val="18"/>
                <w:szCs w:val="18"/>
              </w:rPr>
            </w:pPr>
            <w:r w:rsidRPr="00517838">
              <w:rPr>
                <w:rFonts w:cs="Arial"/>
                <w:sz w:val="18"/>
                <w:szCs w:val="18"/>
              </w:rPr>
              <w:t>931</w:t>
            </w:r>
          </w:p>
        </w:tc>
        <w:tc>
          <w:tcPr>
            <w:tcW w:w="1418" w:type="dxa"/>
            <w:tcBorders>
              <w:top w:val="nil"/>
              <w:left w:val="nil"/>
              <w:bottom w:val="nil"/>
              <w:right w:val="nil"/>
            </w:tcBorders>
            <w:shd w:val="clear" w:color="auto" w:fill="auto"/>
            <w:vAlign w:val="bottom"/>
          </w:tcPr>
          <w:p w14:paraId="550820A2" w14:textId="3A274848" w:rsidR="00517838" w:rsidRPr="001D41EA" w:rsidRDefault="00517838" w:rsidP="00517838">
            <w:pPr>
              <w:spacing w:before="40" w:after="40"/>
              <w:jc w:val="right"/>
              <w:rPr>
                <w:rFonts w:cs="Arial"/>
                <w:sz w:val="18"/>
                <w:szCs w:val="18"/>
              </w:rPr>
            </w:pPr>
            <w:r w:rsidRPr="001D41EA">
              <w:rPr>
                <w:rFonts w:cs="Arial"/>
                <w:sz w:val="18"/>
                <w:szCs w:val="18"/>
              </w:rPr>
              <w:t>1,472,230</w:t>
            </w:r>
          </w:p>
        </w:tc>
        <w:tc>
          <w:tcPr>
            <w:tcW w:w="1418" w:type="dxa"/>
            <w:tcBorders>
              <w:top w:val="nil"/>
              <w:left w:val="nil"/>
              <w:bottom w:val="nil"/>
              <w:right w:val="nil"/>
            </w:tcBorders>
            <w:shd w:val="clear" w:color="auto" w:fill="auto"/>
            <w:vAlign w:val="bottom"/>
          </w:tcPr>
          <w:p w14:paraId="33D8C5B6" w14:textId="100CD06B" w:rsidR="00517838" w:rsidRPr="001D41EA" w:rsidRDefault="00517838" w:rsidP="00517838">
            <w:pPr>
              <w:spacing w:before="40" w:after="40"/>
              <w:jc w:val="right"/>
              <w:rPr>
                <w:rFonts w:cs="Arial"/>
                <w:sz w:val="18"/>
                <w:szCs w:val="18"/>
              </w:rPr>
            </w:pPr>
            <w:r w:rsidRPr="001D41EA">
              <w:rPr>
                <w:rFonts w:cs="Arial"/>
                <w:sz w:val="18"/>
                <w:szCs w:val="18"/>
              </w:rPr>
              <w:t>19.6</w:t>
            </w:r>
          </w:p>
        </w:tc>
      </w:tr>
      <w:tr w:rsidR="00517838" w:rsidRPr="001D41EA" w14:paraId="36F0F3F5"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26C33B86" w14:textId="77777777" w:rsidR="00517838" w:rsidRPr="001D41EA" w:rsidRDefault="00517838" w:rsidP="00517838">
            <w:pPr>
              <w:spacing w:before="40" w:after="40"/>
              <w:rPr>
                <w:rFonts w:cs="Arial"/>
                <w:sz w:val="18"/>
                <w:szCs w:val="18"/>
              </w:rPr>
            </w:pPr>
            <w:r w:rsidRPr="001D41EA">
              <w:rPr>
                <w:rFonts w:cs="Arial"/>
                <w:sz w:val="18"/>
                <w:szCs w:val="18"/>
              </w:rPr>
              <w:t>Loddon S</w:t>
            </w:r>
          </w:p>
        </w:tc>
        <w:tc>
          <w:tcPr>
            <w:tcW w:w="1418" w:type="dxa"/>
            <w:tcBorders>
              <w:top w:val="nil"/>
              <w:left w:val="single" w:sz="18" w:space="0" w:color="5F497A" w:themeColor="accent4" w:themeShade="BF"/>
              <w:bottom w:val="nil"/>
              <w:right w:val="nil"/>
            </w:tcBorders>
            <w:shd w:val="clear" w:color="auto" w:fill="auto"/>
          </w:tcPr>
          <w:p w14:paraId="2ACF44A5" w14:textId="542E553E" w:rsidR="00517838" w:rsidRPr="001D41EA" w:rsidRDefault="00517838" w:rsidP="00517838">
            <w:pPr>
              <w:spacing w:before="40" w:after="40"/>
              <w:jc w:val="right"/>
              <w:rPr>
                <w:rFonts w:cs="Arial"/>
                <w:sz w:val="18"/>
                <w:szCs w:val="18"/>
              </w:rPr>
            </w:pPr>
            <w:r w:rsidRPr="00517838">
              <w:rPr>
                <w:rFonts w:cs="Arial"/>
                <w:sz w:val="18"/>
                <w:szCs w:val="18"/>
              </w:rPr>
              <w:t>942</w:t>
            </w:r>
          </w:p>
        </w:tc>
        <w:tc>
          <w:tcPr>
            <w:tcW w:w="1418" w:type="dxa"/>
            <w:tcBorders>
              <w:top w:val="nil"/>
              <w:left w:val="nil"/>
              <w:bottom w:val="nil"/>
              <w:right w:val="nil"/>
            </w:tcBorders>
            <w:shd w:val="clear" w:color="auto" w:fill="auto"/>
            <w:vAlign w:val="bottom"/>
          </w:tcPr>
          <w:p w14:paraId="6C8933EC" w14:textId="7AF762A2" w:rsidR="00517838" w:rsidRPr="001D41EA" w:rsidRDefault="00517838" w:rsidP="00517838">
            <w:pPr>
              <w:spacing w:before="40" w:after="40"/>
              <w:jc w:val="right"/>
              <w:rPr>
                <w:rFonts w:cs="Arial"/>
                <w:sz w:val="18"/>
                <w:szCs w:val="18"/>
              </w:rPr>
            </w:pPr>
            <w:r w:rsidRPr="001D41EA">
              <w:rPr>
                <w:rFonts w:cs="Arial"/>
                <w:sz w:val="18"/>
                <w:szCs w:val="18"/>
              </w:rPr>
              <w:t>288,000</w:t>
            </w:r>
          </w:p>
        </w:tc>
        <w:tc>
          <w:tcPr>
            <w:tcW w:w="1418" w:type="dxa"/>
            <w:tcBorders>
              <w:top w:val="nil"/>
              <w:left w:val="nil"/>
              <w:bottom w:val="nil"/>
              <w:right w:val="nil"/>
            </w:tcBorders>
            <w:shd w:val="clear" w:color="auto" w:fill="auto"/>
            <w:vAlign w:val="bottom"/>
          </w:tcPr>
          <w:p w14:paraId="6699D799" w14:textId="7F8FEB8A" w:rsidR="00517838" w:rsidRPr="001D41EA" w:rsidRDefault="00517838" w:rsidP="00517838">
            <w:pPr>
              <w:spacing w:before="40" w:after="40"/>
              <w:jc w:val="right"/>
              <w:rPr>
                <w:rFonts w:cs="Arial"/>
                <w:sz w:val="18"/>
                <w:szCs w:val="18"/>
              </w:rPr>
            </w:pPr>
            <w:r w:rsidRPr="001D41EA">
              <w:rPr>
                <w:rFonts w:cs="Arial"/>
                <w:sz w:val="18"/>
                <w:szCs w:val="18"/>
              </w:rPr>
              <w:t>38.3</w:t>
            </w:r>
          </w:p>
        </w:tc>
      </w:tr>
    </w:tbl>
    <w:p w14:paraId="54CBBCA5" w14:textId="77777777" w:rsidR="00D50E04" w:rsidRPr="00A44829" w:rsidRDefault="00D50E04" w:rsidP="00FF36E8">
      <w:pPr>
        <w:spacing w:before="40" w:after="20"/>
        <w:rPr>
          <w:rFonts w:cs="Arial"/>
          <w:sz w:val="18"/>
          <w:szCs w:val="18"/>
        </w:rPr>
      </w:pPr>
    </w:p>
    <w:p w14:paraId="2710DA16" w14:textId="77777777" w:rsidR="008D440D" w:rsidRPr="00A44829" w:rsidRDefault="008D440D" w:rsidP="00FF36E8">
      <w:pPr>
        <w:spacing w:before="40" w:after="20"/>
        <w:rPr>
          <w:rFonts w:cs="Arial"/>
          <w:sz w:val="18"/>
          <w:szCs w:val="18"/>
        </w:rPr>
      </w:pPr>
    </w:p>
    <w:p w14:paraId="4C8B5728" w14:textId="77777777" w:rsidR="0022168A" w:rsidRPr="00A44829" w:rsidRDefault="0022168A" w:rsidP="00FF36E8">
      <w:pPr>
        <w:spacing w:before="40" w:after="20"/>
        <w:rPr>
          <w:rFonts w:cs="Arial"/>
          <w:sz w:val="18"/>
          <w:szCs w:val="18"/>
        </w:rPr>
      </w:pPr>
      <w:r w:rsidRPr="00A44829">
        <w:rPr>
          <w:rFonts w:cs="Arial"/>
          <w:sz w:val="18"/>
          <w:szCs w:val="18"/>
        </w:rPr>
        <w:br w:type="page"/>
      </w:r>
    </w:p>
    <w:p w14:paraId="189B7938" w14:textId="643C3959" w:rsidR="006E50A4" w:rsidRPr="00A44829" w:rsidRDefault="00EE4593" w:rsidP="00C33713">
      <w:pPr>
        <w:pStyle w:val="VGC-Head10"/>
      </w:pPr>
      <w:r w:rsidRPr="00A44829">
        <w:lastRenderedPageBreak/>
        <w:t>2019-20</w:t>
      </w:r>
      <w:r w:rsidR="00A97ABE" w:rsidRPr="00A44829">
        <w:t xml:space="preserve"> </w:t>
      </w:r>
      <w:r w:rsidR="006E50A4" w:rsidRPr="00A44829">
        <w:t>General Purpose Grants</w:t>
      </w:r>
      <w:r w:rsidR="00CE4507" w:rsidRPr="00A44829">
        <w:tab/>
        <w:t>Appendix 4</w:t>
      </w:r>
    </w:p>
    <w:p w14:paraId="1F860B19" w14:textId="77777777" w:rsidR="006E50A4" w:rsidRPr="00A44829" w:rsidRDefault="004F1184" w:rsidP="008C1A28">
      <w:pPr>
        <w:pStyle w:val="VGC-Head2"/>
      </w:pPr>
      <w:r w:rsidRPr="00A44829">
        <w:tab/>
      </w:r>
      <w:r w:rsidR="006E50A4" w:rsidRPr="00A44829">
        <w:t>C.  Cost Adjustors – Raw Data</w:t>
      </w: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9C2110" w:rsidRPr="00A44829" w14:paraId="1F9FE4F6"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4FE62445" w14:textId="77777777" w:rsidR="009C2110" w:rsidRPr="00A44829" w:rsidRDefault="009C2110" w:rsidP="008001AD">
            <w:pPr>
              <w:spacing w:before="40" w:after="20"/>
              <w:jc w:val="center"/>
              <w:rPr>
                <w:rFonts w:cs="Arial"/>
                <w:sz w:val="18"/>
                <w:szCs w:val="18"/>
              </w:rPr>
            </w:pPr>
          </w:p>
        </w:tc>
        <w:tc>
          <w:tcPr>
            <w:tcW w:w="2836" w:type="dxa"/>
            <w:gridSpan w:val="2"/>
            <w:tcBorders>
              <w:top w:val="nil"/>
              <w:left w:val="single" w:sz="18" w:space="0" w:color="5F497A" w:themeColor="accent4" w:themeShade="BF"/>
              <w:bottom w:val="single" w:sz="8" w:space="0" w:color="5F497A" w:themeColor="accent4" w:themeShade="BF"/>
              <w:right w:val="nil"/>
            </w:tcBorders>
            <w:shd w:val="clear" w:color="auto" w:fill="auto"/>
            <w:vAlign w:val="bottom"/>
          </w:tcPr>
          <w:p w14:paraId="4B0A5730" w14:textId="20845ED8" w:rsidR="009C2110" w:rsidRPr="00A44829" w:rsidRDefault="009C2110" w:rsidP="008001AD">
            <w:pPr>
              <w:spacing w:before="40" w:after="20"/>
              <w:jc w:val="center"/>
              <w:rPr>
                <w:rFonts w:cs="Arial"/>
                <w:b/>
                <w:sz w:val="18"/>
                <w:szCs w:val="18"/>
              </w:rPr>
            </w:pPr>
            <w:r w:rsidRPr="00A44829">
              <w:rPr>
                <w:rFonts w:cs="Arial"/>
                <w:b/>
                <w:sz w:val="18"/>
                <w:szCs w:val="18"/>
              </w:rPr>
              <w:t>Aged Pensioners</w:t>
            </w:r>
            <w:r w:rsidR="00D63DBA" w:rsidRPr="00A44829">
              <w:rPr>
                <w:rFonts w:cs="Arial"/>
                <w:b/>
                <w:sz w:val="18"/>
                <w:szCs w:val="18"/>
              </w:rPr>
              <w:t xml:space="preserve"> </w:t>
            </w:r>
          </w:p>
        </w:tc>
        <w:tc>
          <w:tcPr>
            <w:tcW w:w="170" w:type="dxa"/>
            <w:vMerge w:val="restart"/>
            <w:tcBorders>
              <w:top w:val="nil"/>
              <w:left w:val="nil"/>
              <w:bottom w:val="single" w:sz="8" w:space="0" w:color="5F497A" w:themeColor="accent4" w:themeShade="BF"/>
              <w:right w:val="nil"/>
            </w:tcBorders>
            <w:vAlign w:val="bottom"/>
          </w:tcPr>
          <w:p w14:paraId="66BFAA65" w14:textId="77777777" w:rsidR="009C2110" w:rsidRPr="00A44829" w:rsidRDefault="009C2110" w:rsidP="008001AD">
            <w:pPr>
              <w:spacing w:before="40" w:after="20"/>
              <w:jc w:val="center"/>
              <w:rPr>
                <w:rFonts w:cs="Arial"/>
                <w:b/>
                <w:sz w:val="18"/>
                <w:szCs w:val="18"/>
              </w:rPr>
            </w:pPr>
          </w:p>
        </w:tc>
        <w:tc>
          <w:tcPr>
            <w:tcW w:w="1418" w:type="dxa"/>
            <w:tcBorders>
              <w:top w:val="nil"/>
              <w:left w:val="nil"/>
              <w:bottom w:val="single" w:sz="8" w:space="0" w:color="5F497A" w:themeColor="accent4" w:themeShade="BF"/>
              <w:right w:val="nil"/>
            </w:tcBorders>
            <w:shd w:val="clear" w:color="auto" w:fill="auto"/>
            <w:vAlign w:val="bottom"/>
          </w:tcPr>
          <w:p w14:paraId="61F8DC5A" w14:textId="11374CDA" w:rsidR="009C2110" w:rsidRPr="00A44829" w:rsidRDefault="009C2110" w:rsidP="008001AD">
            <w:pPr>
              <w:spacing w:before="40" w:after="20"/>
              <w:jc w:val="center"/>
              <w:rPr>
                <w:rFonts w:cs="Arial"/>
                <w:b/>
                <w:sz w:val="18"/>
                <w:szCs w:val="18"/>
              </w:rPr>
            </w:pPr>
            <w:r w:rsidRPr="00A44829">
              <w:rPr>
                <w:rFonts w:cs="Arial"/>
                <w:b/>
                <w:sz w:val="18"/>
                <w:szCs w:val="18"/>
              </w:rPr>
              <w:t>Economies of Scale</w:t>
            </w:r>
            <w:r w:rsidR="00D63DBA" w:rsidRPr="00A44829">
              <w:rPr>
                <w:rFonts w:cs="Arial"/>
                <w:b/>
                <w:sz w:val="18"/>
                <w:szCs w:val="18"/>
              </w:rPr>
              <w:t xml:space="preserve"> </w:t>
            </w:r>
          </w:p>
        </w:tc>
        <w:tc>
          <w:tcPr>
            <w:tcW w:w="170" w:type="dxa"/>
            <w:vMerge w:val="restart"/>
            <w:tcBorders>
              <w:top w:val="nil"/>
              <w:left w:val="nil"/>
              <w:bottom w:val="single" w:sz="8" w:space="0" w:color="5F497A" w:themeColor="accent4" w:themeShade="BF"/>
              <w:right w:val="nil"/>
            </w:tcBorders>
            <w:shd w:val="clear" w:color="auto" w:fill="auto"/>
            <w:vAlign w:val="bottom"/>
          </w:tcPr>
          <w:p w14:paraId="232A459C" w14:textId="77777777" w:rsidR="009C2110" w:rsidRPr="00A44829" w:rsidRDefault="009C2110" w:rsidP="008001AD">
            <w:pPr>
              <w:spacing w:before="40" w:after="20"/>
              <w:jc w:val="center"/>
              <w:rPr>
                <w:rFonts w:cs="Arial"/>
                <w:b/>
                <w:sz w:val="18"/>
                <w:szCs w:val="18"/>
              </w:rPr>
            </w:pPr>
          </w:p>
        </w:tc>
        <w:tc>
          <w:tcPr>
            <w:tcW w:w="1418" w:type="dxa"/>
            <w:vMerge w:val="restart"/>
            <w:tcBorders>
              <w:top w:val="nil"/>
              <w:left w:val="nil"/>
              <w:bottom w:val="single" w:sz="8" w:space="0" w:color="5F497A" w:themeColor="accent4" w:themeShade="BF"/>
              <w:right w:val="nil"/>
            </w:tcBorders>
            <w:shd w:val="clear" w:color="auto" w:fill="auto"/>
            <w:vAlign w:val="bottom"/>
          </w:tcPr>
          <w:p w14:paraId="27BD2E24" w14:textId="118C0C82" w:rsidR="009C2110" w:rsidRPr="00A44829" w:rsidRDefault="006B574F" w:rsidP="008001AD">
            <w:pPr>
              <w:spacing w:before="40" w:after="20"/>
              <w:jc w:val="center"/>
              <w:rPr>
                <w:rFonts w:cs="Arial"/>
                <w:b/>
                <w:sz w:val="18"/>
                <w:szCs w:val="18"/>
              </w:rPr>
            </w:pPr>
            <w:r w:rsidRPr="00A44829">
              <w:rPr>
                <w:rFonts w:cs="Arial"/>
                <w:b/>
                <w:sz w:val="18"/>
                <w:szCs w:val="18"/>
              </w:rPr>
              <w:t>Environmental</w:t>
            </w:r>
            <w:r w:rsidRPr="00A44829">
              <w:rPr>
                <w:rFonts w:cs="Arial"/>
                <w:b/>
                <w:sz w:val="18"/>
                <w:szCs w:val="18"/>
              </w:rPr>
              <w:br/>
              <w:t xml:space="preserve">Risk </w:t>
            </w:r>
            <w:r w:rsidRPr="00A44829">
              <w:rPr>
                <w:rFonts w:cs="Arial"/>
                <w:b/>
                <w:sz w:val="18"/>
                <w:szCs w:val="18"/>
              </w:rPr>
              <w:br/>
            </w:r>
            <w:r w:rsidRPr="00F705DD">
              <w:rPr>
                <w:rFonts w:cs="Arial"/>
                <w:b/>
                <w:sz w:val="16"/>
                <w:szCs w:val="16"/>
              </w:rPr>
              <w:t>(Fire &amp; Flood)</w:t>
            </w:r>
            <w:r w:rsidR="009C2110" w:rsidRPr="00A44829">
              <w:rPr>
                <w:rFonts w:cs="Arial"/>
                <w:b/>
                <w:sz w:val="18"/>
                <w:szCs w:val="18"/>
              </w:rPr>
              <w:br/>
              <w:t>Rating</w:t>
            </w:r>
            <w:r w:rsidR="00D63DBA" w:rsidRPr="00A44829">
              <w:rPr>
                <w:rFonts w:cs="Arial"/>
                <w:b/>
                <w:sz w:val="18"/>
                <w:szCs w:val="18"/>
              </w:rPr>
              <w:t xml:space="preserve"> </w:t>
            </w:r>
          </w:p>
        </w:tc>
      </w:tr>
      <w:tr w:rsidR="009C2110" w:rsidRPr="00A44829" w14:paraId="4F8ECA88"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541F6897" w14:textId="77777777" w:rsidR="009C2110" w:rsidRPr="00A44829" w:rsidRDefault="009C2110" w:rsidP="008001AD">
            <w:pPr>
              <w:spacing w:before="40" w:after="20"/>
              <w:jc w:val="center"/>
              <w:rPr>
                <w:rFonts w:cs="Arial"/>
                <w:sz w:val="18"/>
                <w:szCs w:val="18"/>
              </w:rPr>
            </w:pPr>
          </w:p>
        </w:tc>
        <w:tc>
          <w:tcPr>
            <w:tcW w:w="1418"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53FC3DAC" w14:textId="77777777" w:rsidR="009C2110" w:rsidRPr="00A44829" w:rsidRDefault="009C2110" w:rsidP="008001AD">
            <w:pPr>
              <w:spacing w:before="40" w:after="20"/>
              <w:jc w:val="center"/>
              <w:rPr>
                <w:rFonts w:cs="Arial"/>
                <w:sz w:val="16"/>
                <w:szCs w:val="16"/>
              </w:rPr>
            </w:pPr>
            <w:r w:rsidRPr="00A44829">
              <w:rPr>
                <w:rFonts w:cs="Arial"/>
                <w:sz w:val="16"/>
                <w:szCs w:val="16"/>
              </w:rPr>
              <w:t>No.</w:t>
            </w: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64829DF5" w14:textId="070E97E7" w:rsidR="009C2110" w:rsidRPr="00A44829" w:rsidRDefault="009C2110" w:rsidP="00B23A90">
            <w:pPr>
              <w:spacing w:before="40" w:after="20"/>
              <w:jc w:val="center"/>
              <w:rPr>
                <w:rFonts w:cs="Arial"/>
                <w:sz w:val="16"/>
                <w:szCs w:val="16"/>
              </w:rPr>
            </w:pPr>
            <w:r w:rsidRPr="00A44829">
              <w:rPr>
                <w:rFonts w:cs="Arial"/>
                <w:sz w:val="16"/>
                <w:szCs w:val="16"/>
              </w:rPr>
              <w:t>No. / Pop &gt;60</w:t>
            </w:r>
            <w:r w:rsidR="00B23A90" w:rsidRPr="00A44829">
              <w:rPr>
                <w:rFonts w:cs="Arial"/>
                <w:sz w:val="16"/>
                <w:szCs w:val="16"/>
              </w:rPr>
              <w:t xml:space="preserve"> </w:t>
            </w:r>
            <w:r w:rsidR="00B23A90" w:rsidRPr="00A44829">
              <w:rPr>
                <w:rFonts w:cs="Arial"/>
                <w:sz w:val="16"/>
                <w:szCs w:val="16"/>
              </w:rPr>
              <w:br/>
            </w:r>
            <w:r w:rsidR="009051D6" w:rsidRPr="00A44829">
              <w:rPr>
                <w:rFonts w:cs="Arial"/>
                <w:sz w:val="16"/>
                <w:szCs w:val="16"/>
              </w:rPr>
              <w:t>+Disabled</w:t>
            </w:r>
            <w:r w:rsidR="00D818D2" w:rsidRPr="00A44829">
              <w:rPr>
                <w:rFonts w:cs="Arial"/>
                <w:sz w:val="16"/>
                <w:szCs w:val="16"/>
              </w:rPr>
              <w:t xml:space="preserve"> </w:t>
            </w:r>
            <w:r w:rsidRPr="00A44829">
              <w:rPr>
                <w:rFonts w:cs="Arial"/>
                <w:sz w:val="16"/>
                <w:szCs w:val="16"/>
              </w:rPr>
              <w:t>+Carers</w:t>
            </w:r>
            <w:r w:rsidRPr="00A44829">
              <w:rPr>
                <w:rFonts w:cs="Arial"/>
                <w:sz w:val="16"/>
                <w:szCs w:val="16"/>
              </w:rPr>
              <w:br/>
              <w:t>(%)</w:t>
            </w:r>
          </w:p>
        </w:tc>
        <w:tc>
          <w:tcPr>
            <w:tcW w:w="170" w:type="dxa"/>
            <w:vMerge/>
            <w:tcBorders>
              <w:top w:val="single" w:sz="8" w:space="0" w:color="5F497A" w:themeColor="accent4" w:themeShade="BF"/>
              <w:left w:val="nil"/>
              <w:bottom w:val="single" w:sz="8" w:space="0" w:color="5F497A" w:themeColor="accent4" w:themeShade="BF"/>
              <w:right w:val="nil"/>
            </w:tcBorders>
            <w:vAlign w:val="bottom"/>
          </w:tcPr>
          <w:p w14:paraId="01F29B7F" w14:textId="77777777" w:rsidR="009C2110" w:rsidRPr="00A44829" w:rsidRDefault="009C2110" w:rsidP="008001AD">
            <w:pPr>
              <w:spacing w:before="40" w:after="20"/>
              <w:jc w:val="center"/>
              <w:rPr>
                <w:rFonts w:cs="Arial"/>
                <w:sz w:val="16"/>
                <w:szCs w:val="16"/>
              </w:rPr>
            </w:pP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344024B" w14:textId="2446E1AB" w:rsidR="009C2110" w:rsidRPr="00A44829" w:rsidRDefault="009C2110" w:rsidP="008001AD">
            <w:pPr>
              <w:spacing w:before="40" w:after="20"/>
              <w:jc w:val="center"/>
              <w:rPr>
                <w:rFonts w:cs="Arial"/>
                <w:sz w:val="16"/>
                <w:szCs w:val="16"/>
              </w:rPr>
            </w:pPr>
            <w:r w:rsidRPr="00A44829">
              <w:rPr>
                <w:rFonts w:cs="Arial"/>
                <w:sz w:val="16"/>
                <w:szCs w:val="16"/>
              </w:rPr>
              <w:t xml:space="preserve">ERP (p) </w:t>
            </w:r>
            <w:r w:rsidRPr="00A44829">
              <w:rPr>
                <w:rFonts w:cs="Arial"/>
                <w:sz w:val="16"/>
                <w:szCs w:val="16"/>
              </w:rPr>
              <w:br/>
            </w:r>
            <w:r w:rsidR="00EE4593" w:rsidRPr="00A44829">
              <w:rPr>
                <w:rFonts w:cs="Arial"/>
                <w:sz w:val="16"/>
                <w:szCs w:val="16"/>
              </w:rPr>
              <w:t>June 2018</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7318E910" w14:textId="77777777" w:rsidR="009C2110" w:rsidRPr="00A44829" w:rsidRDefault="009C2110" w:rsidP="008001AD">
            <w:pPr>
              <w:spacing w:before="40" w:after="20"/>
              <w:jc w:val="center"/>
              <w:rPr>
                <w:rFonts w:cs="Arial"/>
                <w:sz w:val="16"/>
                <w:szCs w:val="16"/>
              </w:rPr>
            </w:pPr>
          </w:p>
        </w:tc>
        <w:tc>
          <w:tcPr>
            <w:tcW w:w="1418" w:type="dxa"/>
            <w:vMerge/>
            <w:tcBorders>
              <w:top w:val="single" w:sz="8" w:space="0" w:color="5F497A" w:themeColor="accent4" w:themeShade="BF"/>
              <w:left w:val="nil"/>
              <w:bottom w:val="single" w:sz="8" w:space="0" w:color="5F497A" w:themeColor="accent4" w:themeShade="BF"/>
              <w:right w:val="nil"/>
            </w:tcBorders>
            <w:vAlign w:val="bottom"/>
          </w:tcPr>
          <w:p w14:paraId="1DB1F849" w14:textId="77777777" w:rsidR="009C2110" w:rsidRPr="00A44829" w:rsidRDefault="009C2110" w:rsidP="008001AD">
            <w:pPr>
              <w:spacing w:before="40" w:after="20"/>
              <w:jc w:val="center"/>
              <w:rPr>
                <w:rFonts w:cs="Arial"/>
                <w:sz w:val="16"/>
                <w:szCs w:val="16"/>
              </w:rPr>
            </w:pPr>
          </w:p>
        </w:tc>
      </w:tr>
      <w:tr w:rsidR="00B33D8D" w:rsidRPr="001D41EA" w14:paraId="0249CF3F"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33FC9E38" w14:textId="77777777" w:rsidR="00B33D8D" w:rsidRPr="001D41EA" w:rsidRDefault="00B33D8D" w:rsidP="001D41EA">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7D4EA9E0" w14:textId="513EF77C"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4DD7E6EB" w14:textId="58769AD3" w:rsidR="00B33D8D" w:rsidRPr="001D41EA" w:rsidRDefault="00B33D8D" w:rsidP="00F705DD">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6EC2989D" w14:textId="77777777" w:rsidR="00B33D8D" w:rsidRPr="001D41EA" w:rsidRDefault="00B33D8D" w:rsidP="001D41EA">
            <w:pPr>
              <w:spacing w:before="40" w:after="20"/>
              <w:jc w:val="right"/>
              <w:rPr>
                <w:rFonts w:cs="Arial"/>
                <w:sz w:val="18"/>
                <w:szCs w:val="18"/>
              </w:rPr>
            </w:pPr>
          </w:p>
        </w:tc>
        <w:tc>
          <w:tcPr>
            <w:tcW w:w="1418" w:type="dxa"/>
            <w:tcBorders>
              <w:top w:val="single" w:sz="8" w:space="0" w:color="5F497A" w:themeColor="accent4" w:themeShade="BF"/>
              <w:left w:val="nil"/>
              <w:bottom w:val="nil"/>
              <w:right w:val="nil"/>
            </w:tcBorders>
            <w:shd w:val="clear" w:color="auto" w:fill="auto"/>
            <w:vAlign w:val="bottom"/>
          </w:tcPr>
          <w:p w14:paraId="3A65B7AC" w14:textId="2F9BFC6E" w:rsidR="00B33D8D" w:rsidRPr="001D41EA" w:rsidRDefault="00B33D8D" w:rsidP="001D41EA">
            <w:pPr>
              <w:spacing w:before="40" w:after="20"/>
              <w:jc w:val="right"/>
              <w:rPr>
                <w:rFonts w:cs="Arial"/>
                <w:sz w:val="18"/>
                <w:szCs w:val="18"/>
              </w:rPr>
            </w:pPr>
            <w:r w:rsidRPr="001D41EA">
              <w:rPr>
                <w:rFonts w:cs="Arial"/>
                <w:sz w:val="18"/>
                <w:szCs w:val="18"/>
              </w:rPr>
              <w:t> </w:t>
            </w:r>
          </w:p>
        </w:tc>
        <w:tc>
          <w:tcPr>
            <w:tcW w:w="170" w:type="dxa"/>
            <w:tcBorders>
              <w:top w:val="single" w:sz="8" w:space="0" w:color="5F497A" w:themeColor="accent4" w:themeShade="BF"/>
              <w:left w:val="nil"/>
              <w:bottom w:val="nil"/>
              <w:right w:val="nil"/>
            </w:tcBorders>
            <w:shd w:val="clear" w:color="auto" w:fill="auto"/>
            <w:vAlign w:val="bottom"/>
          </w:tcPr>
          <w:p w14:paraId="6B44060B" w14:textId="5E524301"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single" w:sz="8" w:space="0" w:color="5F497A" w:themeColor="accent4" w:themeShade="BF"/>
              <w:left w:val="nil"/>
              <w:bottom w:val="nil"/>
              <w:right w:val="nil"/>
            </w:tcBorders>
            <w:vAlign w:val="bottom"/>
          </w:tcPr>
          <w:p w14:paraId="2BA8B58E" w14:textId="2705D318" w:rsidR="00B33D8D" w:rsidRPr="001D41EA" w:rsidRDefault="00B33D8D" w:rsidP="001D41EA">
            <w:pPr>
              <w:spacing w:before="40" w:after="20"/>
              <w:jc w:val="right"/>
              <w:rPr>
                <w:rFonts w:cs="Arial"/>
                <w:sz w:val="18"/>
                <w:szCs w:val="18"/>
              </w:rPr>
            </w:pPr>
            <w:r w:rsidRPr="001D41EA">
              <w:rPr>
                <w:rFonts w:cs="Arial"/>
                <w:sz w:val="18"/>
                <w:szCs w:val="18"/>
              </w:rPr>
              <w:t> </w:t>
            </w:r>
          </w:p>
        </w:tc>
      </w:tr>
      <w:tr w:rsidR="00B33D8D" w:rsidRPr="001D41EA" w14:paraId="1CD06A61"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64A06260" w14:textId="77777777" w:rsidR="00B33D8D" w:rsidRPr="001D41EA" w:rsidRDefault="00B33D8D" w:rsidP="001D41EA">
            <w:pPr>
              <w:spacing w:before="40" w:after="20"/>
              <w:rPr>
                <w:rFonts w:cs="Arial"/>
                <w:sz w:val="18"/>
                <w:szCs w:val="18"/>
              </w:rPr>
            </w:pPr>
            <w:r w:rsidRPr="001D41EA">
              <w:rPr>
                <w:rFonts w:cs="Arial"/>
                <w:sz w:val="18"/>
                <w:szCs w:val="18"/>
              </w:rPr>
              <w:t>Macedon Ranges S</w:t>
            </w:r>
          </w:p>
        </w:tc>
        <w:tc>
          <w:tcPr>
            <w:tcW w:w="1418" w:type="dxa"/>
            <w:tcBorders>
              <w:top w:val="nil"/>
              <w:left w:val="single" w:sz="18" w:space="0" w:color="5F497A" w:themeColor="accent4" w:themeShade="BF"/>
              <w:bottom w:val="nil"/>
              <w:right w:val="nil"/>
            </w:tcBorders>
            <w:shd w:val="clear" w:color="auto" w:fill="auto"/>
            <w:vAlign w:val="bottom"/>
          </w:tcPr>
          <w:p w14:paraId="77EAE972" w14:textId="25800DDF" w:rsidR="00B33D8D" w:rsidRPr="001D41EA" w:rsidRDefault="00B33D8D" w:rsidP="001D41EA">
            <w:pPr>
              <w:spacing w:before="40" w:after="20"/>
              <w:jc w:val="right"/>
              <w:rPr>
                <w:rFonts w:cs="Arial"/>
                <w:sz w:val="18"/>
                <w:szCs w:val="18"/>
              </w:rPr>
            </w:pPr>
            <w:r w:rsidRPr="001D41EA">
              <w:rPr>
                <w:rFonts w:cs="Arial"/>
                <w:sz w:val="18"/>
                <w:szCs w:val="18"/>
              </w:rPr>
              <w:t>4,571</w:t>
            </w:r>
          </w:p>
        </w:tc>
        <w:tc>
          <w:tcPr>
            <w:tcW w:w="1418" w:type="dxa"/>
            <w:tcBorders>
              <w:top w:val="nil"/>
              <w:left w:val="nil"/>
              <w:bottom w:val="nil"/>
              <w:right w:val="nil"/>
            </w:tcBorders>
            <w:shd w:val="clear" w:color="auto" w:fill="auto"/>
            <w:vAlign w:val="bottom"/>
          </w:tcPr>
          <w:p w14:paraId="0A0AB2D4" w14:textId="3CA0E8CC" w:rsidR="00B33D8D" w:rsidRPr="001D41EA" w:rsidRDefault="00B33D8D" w:rsidP="00F705DD">
            <w:pPr>
              <w:spacing w:before="40" w:after="20"/>
              <w:jc w:val="center"/>
              <w:rPr>
                <w:rFonts w:cs="Arial"/>
                <w:sz w:val="18"/>
                <w:szCs w:val="18"/>
              </w:rPr>
            </w:pPr>
            <w:r w:rsidRPr="001D41EA">
              <w:rPr>
                <w:rFonts w:cs="Arial"/>
                <w:sz w:val="18"/>
                <w:szCs w:val="18"/>
              </w:rPr>
              <w:t>34.2</w:t>
            </w:r>
          </w:p>
        </w:tc>
        <w:tc>
          <w:tcPr>
            <w:tcW w:w="170" w:type="dxa"/>
            <w:tcBorders>
              <w:top w:val="nil"/>
              <w:left w:val="nil"/>
              <w:bottom w:val="nil"/>
              <w:right w:val="nil"/>
            </w:tcBorders>
            <w:vAlign w:val="bottom"/>
          </w:tcPr>
          <w:p w14:paraId="577B1E98"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951942C" w14:textId="040FAA36" w:rsidR="00B33D8D" w:rsidRPr="001D41EA" w:rsidRDefault="00B33D8D" w:rsidP="001D41EA">
            <w:pPr>
              <w:spacing w:before="40" w:after="20"/>
              <w:jc w:val="right"/>
              <w:rPr>
                <w:rFonts w:cs="Arial"/>
                <w:sz w:val="18"/>
                <w:szCs w:val="18"/>
              </w:rPr>
            </w:pPr>
            <w:r w:rsidRPr="001D41EA">
              <w:rPr>
                <w:rFonts w:cs="Arial"/>
                <w:sz w:val="18"/>
                <w:szCs w:val="18"/>
              </w:rPr>
              <w:t>49,388</w:t>
            </w:r>
          </w:p>
        </w:tc>
        <w:tc>
          <w:tcPr>
            <w:tcW w:w="170" w:type="dxa"/>
            <w:tcBorders>
              <w:top w:val="nil"/>
              <w:left w:val="nil"/>
              <w:bottom w:val="nil"/>
              <w:right w:val="nil"/>
            </w:tcBorders>
            <w:shd w:val="clear" w:color="auto" w:fill="auto"/>
            <w:vAlign w:val="bottom"/>
          </w:tcPr>
          <w:p w14:paraId="39AE257D" w14:textId="680193C2"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8E10D84" w14:textId="1F8E77E2" w:rsidR="00B33D8D" w:rsidRPr="001D41EA" w:rsidRDefault="00B33D8D" w:rsidP="001D41EA">
            <w:pPr>
              <w:spacing w:before="40" w:after="20"/>
              <w:jc w:val="right"/>
              <w:rPr>
                <w:rFonts w:cs="Arial"/>
                <w:sz w:val="18"/>
                <w:szCs w:val="18"/>
              </w:rPr>
            </w:pPr>
            <w:r w:rsidRPr="001D41EA">
              <w:rPr>
                <w:rFonts w:cs="Arial"/>
                <w:sz w:val="18"/>
                <w:szCs w:val="18"/>
              </w:rPr>
              <w:t>29.0</w:t>
            </w:r>
          </w:p>
        </w:tc>
      </w:tr>
      <w:tr w:rsidR="00B33D8D" w:rsidRPr="001D41EA" w14:paraId="3D9F2266"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028DD486" w14:textId="77777777" w:rsidR="00B33D8D" w:rsidRPr="001D41EA" w:rsidRDefault="00B33D8D" w:rsidP="001D41EA">
            <w:pPr>
              <w:spacing w:before="40" w:after="20"/>
              <w:rPr>
                <w:rFonts w:cs="Arial"/>
                <w:sz w:val="18"/>
                <w:szCs w:val="18"/>
              </w:rPr>
            </w:pPr>
            <w:r w:rsidRPr="001D41EA">
              <w:rPr>
                <w:rFonts w:cs="Arial"/>
                <w:sz w:val="18"/>
                <w:szCs w:val="18"/>
              </w:rPr>
              <w:t>Manningham C</w:t>
            </w:r>
          </w:p>
        </w:tc>
        <w:tc>
          <w:tcPr>
            <w:tcW w:w="1418" w:type="dxa"/>
            <w:tcBorders>
              <w:top w:val="nil"/>
              <w:left w:val="single" w:sz="18" w:space="0" w:color="5F497A" w:themeColor="accent4" w:themeShade="BF"/>
              <w:bottom w:val="nil"/>
              <w:right w:val="nil"/>
            </w:tcBorders>
            <w:shd w:val="clear" w:color="auto" w:fill="auto"/>
            <w:vAlign w:val="bottom"/>
          </w:tcPr>
          <w:p w14:paraId="161EBE85" w14:textId="3799DCFD" w:rsidR="00B33D8D" w:rsidRPr="001D41EA" w:rsidRDefault="00B33D8D" w:rsidP="001D41EA">
            <w:pPr>
              <w:spacing w:before="40" w:after="20"/>
              <w:jc w:val="right"/>
              <w:rPr>
                <w:rFonts w:cs="Arial"/>
                <w:sz w:val="18"/>
                <w:szCs w:val="18"/>
              </w:rPr>
            </w:pPr>
            <w:r w:rsidRPr="001D41EA">
              <w:rPr>
                <w:rFonts w:cs="Arial"/>
                <w:sz w:val="18"/>
                <w:szCs w:val="18"/>
              </w:rPr>
              <w:t>12,663</w:t>
            </w:r>
          </w:p>
        </w:tc>
        <w:tc>
          <w:tcPr>
            <w:tcW w:w="1418" w:type="dxa"/>
            <w:tcBorders>
              <w:top w:val="nil"/>
              <w:left w:val="nil"/>
              <w:bottom w:val="nil"/>
              <w:right w:val="nil"/>
            </w:tcBorders>
            <w:shd w:val="clear" w:color="auto" w:fill="auto"/>
            <w:vAlign w:val="bottom"/>
          </w:tcPr>
          <w:p w14:paraId="347FC3BE" w14:textId="24BF9F1E" w:rsidR="00B33D8D" w:rsidRPr="001D41EA" w:rsidRDefault="00B33D8D" w:rsidP="00F705DD">
            <w:pPr>
              <w:spacing w:before="40" w:after="20"/>
              <w:jc w:val="center"/>
              <w:rPr>
                <w:rFonts w:cs="Arial"/>
                <w:sz w:val="18"/>
                <w:szCs w:val="18"/>
              </w:rPr>
            </w:pPr>
            <w:r w:rsidRPr="001D41EA">
              <w:rPr>
                <w:rFonts w:cs="Arial"/>
                <w:sz w:val="18"/>
                <w:szCs w:val="18"/>
              </w:rPr>
              <w:t>34.0</w:t>
            </w:r>
          </w:p>
        </w:tc>
        <w:tc>
          <w:tcPr>
            <w:tcW w:w="170" w:type="dxa"/>
            <w:tcBorders>
              <w:top w:val="nil"/>
              <w:left w:val="nil"/>
              <w:bottom w:val="nil"/>
              <w:right w:val="nil"/>
            </w:tcBorders>
            <w:vAlign w:val="bottom"/>
          </w:tcPr>
          <w:p w14:paraId="24852F2F"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46FEBC7" w14:textId="66480721" w:rsidR="00B33D8D" w:rsidRPr="001D41EA" w:rsidRDefault="00B33D8D" w:rsidP="001D41EA">
            <w:pPr>
              <w:spacing w:before="40" w:after="20"/>
              <w:jc w:val="right"/>
              <w:rPr>
                <w:rFonts w:cs="Arial"/>
                <w:sz w:val="18"/>
                <w:szCs w:val="18"/>
              </w:rPr>
            </w:pPr>
            <w:r w:rsidRPr="001D41EA">
              <w:rPr>
                <w:rFonts w:cs="Arial"/>
                <w:sz w:val="18"/>
                <w:szCs w:val="18"/>
              </w:rPr>
              <w:t>125,508</w:t>
            </w:r>
          </w:p>
        </w:tc>
        <w:tc>
          <w:tcPr>
            <w:tcW w:w="170" w:type="dxa"/>
            <w:tcBorders>
              <w:top w:val="nil"/>
              <w:left w:val="nil"/>
              <w:bottom w:val="nil"/>
              <w:right w:val="nil"/>
            </w:tcBorders>
            <w:shd w:val="clear" w:color="auto" w:fill="auto"/>
            <w:vAlign w:val="bottom"/>
          </w:tcPr>
          <w:p w14:paraId="74B4F2A1" w14:textId="744676E5"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5CCCF350" w14:textId="4E4C1D56" w:rsidR="00B33D8D" w:rsidRPr="001D41EA" w:rsidRDefault="00B33D8D" w:rsidP="001D41EA">
            <w:pPr>
              <w:spacing w:before="40" w:after="20"/>
              <w:jc w:val="right"/>
              <w:rPr>
                <w:rFonts w:cs="Arial"/>
                <w:sz w:val="18"/>
                <w:szCs w:val="18"/>
              </w:rPr>
            </w:pPr>
            <w:r w:rsidRPr="001D41EA">
              <w:rPr>
                <w:rFonts w:cs="Arial"/>
                <w:sz w:val="18"/>
                <w:szCs w:val="18"/>
              </w:rPr>
              <w:t>12.5</w:t>
            </w:r>
          </w:p>
        </w:tc>
      </w:tr>
      <w:tr w:rsidR="00B33D8D" w:rsidRPr="001D41EA" w14:paraId="046C5693"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1CF770D5" w14:textId="77777777" w:rsidR="00B33D8D" w:rsidRPr="001D41EA" w:rsidRDefault="00B33D8D" w:rsidP="001D41EA">
            <w:pPr>
              <w:spacing w:before="40" w:after="20"/>
              <w:rPr>
                <w:rFonts w:cs="Arial"/>
                <w:sz w:val="18"/>
                <w:szCs w:val="18"/>
              </w:rPr>
            </w:pPr>
            <w:r w:rsidRPr="001D41EA">
              <w:rPr>
                <w:rFonts w:cs="Arial"/>
                <w:sz w:val="18"/>
                <w:szCs w:val="18"/>
              </w:rPr>
              <w:t>Mansfield S</w:t>
            </w:r>
          </w:p>
        </w:tc>
        <w:tc>
          <w:tcPr>
            <w:tcW w:w="1418" w:type="dxa"/>
            <w:tcBorders>
              <w:top w:val="nil"/>
              <w:left w:val="single" w:sz="18" w:space="0" w:color="5F497A" w:themeColor="accent4" w:themeShade="BF"/>
              <w:bottom w:val="nil"/>
              <w:right w:val="nil"/>
            </w:tcBorders>
            <w:shd w:val="clear" w:color="auto" w:fill="auto"/>
            <w:vAlign w:val="bottom"/>
          </w:tcPr>
          <w:p w14:paraId="5BB063AF" w14:textId="590E46AE" w:rsidR="00B33D8D" w:rsidRPr="001D41EA" w:rsidRDefault="00B33D8D" w:rsidP="001D41EA">
            <w:pPr>
              <w:spacing w:before="40" w:after="20"/>
              <w:jc w:val="right"/>
              <w:rPr>
                <w:rFonts w:cs="Arial"/>
                <w:sz w:val="18"/>
                <w:szCs w:val="18"/>
              </w:rPr>
            </w:pPr>
            <w:r w:rsidRPr="001D41EA">
              <w:rPr>
                <w:rFonts w:cs="Arial"/>
                <w:sz w:val="18"/>
                <w:szCs w:val="18"/>
              </w:rPr>
              <w:t>1,323</w:t>
            </w:r>
          </w:p>
        </w:tc>
        <w:tc>
          <w:tcPr>
            <w:tcW w:w="1418" w:type="dxa"/>
            <w:tcBorders>
              <w:top w:val="nil"/>
              <w:left w:val="nil"/>
              <w:bottom w:val="nil"/>
              <w:right w:val="nil"/>
            </w:tcBorders>
            <w:shd w:val="clear" w:color="auto" w:fill="auto"/>
            <w:vAlign w:val="bottom"/>
          </w:tcPr>
          <w:p w14:paraId="18ED1548" w14:textId="13BA6445" w:rsidR="00B33D8D" w:rsidRPr="001D41EA" w:rsidRDefault="00B33D8D" w:rsidP="00F705DD">
            <w:pPr>
              <w:spacing w:before="40" w:after="20"/>
              <w:jc w:val="center"/>
              <w:rPr>
                <w:rFonts w:cs="Arial"/>
                <w:sz w:val="18"/>
                <w:szCs w:val="18"/>
              </w:rPr>
            </w:pPr>
            <w:r w:rsidRPr="001D41EA">
              <w:rPr>
                <w:rFonts w:cs="Arial"/>
                <w:sz w:val="18"/>
                <w:szCs w:val="18"/>
              </w:rPr>
              <w:t>39.5</w:t>
            </w:r>
          </w:p>
        </w:tc>
        <w:tc>
          <w:tcPr>
            <w:tcW w:w="170" w:type="dxa"/>
            <w:tcBorders>
              <w:top w:val="nil"/>
              <w:left w:val="nil"/>
              <w:bottom w:val="nil"/>
              <w:right w:val="nil"/>
            </w:tcBorders>
            <w:vAlign w:val="bottom"/>
          </w:tcPr>
          <w:p w14:paraId="5A56236D"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599F63F" w14:textId="70A5637C" w:rsidR="00B33D8D" w:rsidRPr="001D41EA" w:rsidRDefault="00B33D8D" w:rsidP="001D41EA">
            <w:pPr>
              <w:spacing w:before="40" w:after="20"/>
              <w:jc w:val="right"/>
              <w:rPr>
                <w:rFonts w:cs="Arial"/>
                <w:sz w:val="18"/>
                <w:szCs w:val="18"/>
              </w:rPr>
            </w:pPr>
            <w:r w:rsidRPr="001D41EA">
              <w:rPr>
                <w:rFonts w:cs="Arial"/>
                <w:sz w:val="18"/>
                <w:szCs w:val="18"/>
              </w:rPr>
              <w:t>9,253</w:t>
            </w:r>
          </w:p>
        </w:tc>
        <w:tc>
          <w:tcPr>
            <w:tcW w:w="170" w:type="dxa"/>
            <w:tcBorders>
              <w:top w:val="nil"/>
              <w:left w:val="nil"/>
              <w:bottom w:val="nil"/>
              <w:right w:val="nil"/>
            </w:tcBorders>
            <w:shd w:val="clear" w:color="auto" w:fill="auto"/>
            <w:vAlign w:val="bottom"/>
          </w:tcPr>
          <w:p w14:paraId="6E88AD12" w14:textId="13E683A3"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C6471BF" w14:textId="0D54B3CC" w:rsidR="00B33D8D" w:rsidRPr="001D41EA" w:rsidRDefault="00B33D8D" w:rsidP="001D41EA">
            <w:pPr>
              <w:spacing w:before="40" w:after="20"/>
              <w:jc w:val="right"/>
              <w:rPr>
                <w:rFonts w:cs="Arial"/>
                <w:sz w:val="18"/>
                <w:szCs w:val="18"/>
              </w:rPr>
            </w:pPr>
            <w:r w:rsidRPr="001D41EA">
              <w:rPr>
                <w:rFonts w:cs="Arial"/>
                <w:sz w:val="18"/>
                <w:szCs w:val="18"/>
              </w:rPr>
              <w:t>55.3</w:t>
            </w:r>
          </w:p>
        </w:tc>
      </w:tr>
      <w:tr w:rsidR="00B33D8D" w:rsidRPr="001D41EA" w14:paraId="70EB377B"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4B4202FE" w14:textId="77777777" w:rsidR="00B33D8D" w:rsidRPr="001D41EA" w:rsidRDefault="00B33D8D" w:rsidP="001D41EA">
            <w:pPr>
              <w:spacing w:before="40" w:after="20"/>
              <w:rPr>
                <w:rFonts w:cs="Arial"/>
                <w:sz w:val="18"/>
                <w:szCs w:val="18"/>
              </w:rPr>
            </w:pPr>
            <w:r w:rsidRPr="001D41EA">
              <w:rPr>
                <w:rFonts w:cs="Arial"/>
                <w:sz w:val="18"/>
                <w:szCs w:val="18"/>
              </w:rPr>
              <w:t>Maribyrnong C</w:t>
            </w:r>
          </w:p>
        </w:tc>
        <w:tc>
          <w:tcPr>
            <w:tcW w:w="1418" w:type="dxa"/>
            <w:tcBorders>
              <w:top w:val="nil"/>
              <w:left w:val="single" w:sz="18" w:space="0" w:color="5F497A" w:themeColor="accent4" w:themeShade="BF"/>
              <w:bottom w:val="nil"/>
              <w:right w:val="nil"/>
            </w:tcBorders>
            <w:shd w:val="clear" w:color="auto" w:fill="auto"/>
            <w:vAlign w:val="bottom"/>
          </w:tcPr>
          <w:p w14:paraId="3E79AFF4" w14:textId="058259B4" w:rsidR="00B33D8D" w:rsidRPr="001D41EA" w:rsidRDefault="00B33D8D" w:rsidP="001D41EA">
            <w:pPr>
              <w:spacing w:before="40" w:after="20"/>
              <w:jc w:val="right"/>
              <w:rPr>
                <w:rFonts w:cs="Arial"/>
                <w:sz w:val="18"/>
                <w:szCs w:val="18"/>
              </w:rPr>
            </w:pPr>
            <w:r w:rsidRPr="001D41EA">
              <w:rPr>
                <w:rFonts w:cs="Arial"/>
                <w:sz w:val="18"/>
                <w:szCs w:val="18"/>
              </w:rPr>
              <w:t>5,744</w:t>
            </w:r>
          </w:p>
        </w:tc>
        <w:tc>
          <w:tcPr>
            <w:tcW w:w="1418" w:type="dxa"/>
            <w:tcBorders>
              <w:top w:val="nil"/>
              <w:left w:val="nil"/>
              <w:bottom w:val="nil"/>
              <w:right w:val="nil"/>
            </w:tcBorders>
            <w:shd w:val="clear" w:color="auto" w:fill="auto"/>
            <w:vAlign w:val="bottom"/>
          </w:tcPr>
          <w:p w14:paraId="5D5FE9C6" w14:textId="74B7F187" w:rsidR="00B33D8D" w:rsidRPr="001D41EA" w:rsidRDefault="00B33D8D" w:rsidP="00F705DD">
            <w:pPr>
              <w:spacing w:before="40" w:after="20"/>
              <w:jc w:val="center"/>
              <w:rPr>
                <w:rFonts w:cs="Arial"/>
                <w:sz w:val="18"/>
                <w:szCs w:val="18"/>
              </w:rPr>
            </w:pPr>
            <w:r w:rsidRPr="001D41EA">
              <w:rPr>
                <w:rFonts w:cs="Arial"/>
                <w:sz w:val="18"/>
                <w:szCs w:val="18"/>
              </w:rPr>
              <w:t>34.7</w:t>
            </w:r>
          </w:p>
        </w:tc>
        <w:tc>
          <w:tcPr>
            <w:tcW w:w="170" w:type="dxa"/>
            <w:tcBorders>
              <w:top w:val="nil"/>
              <w:left w:val="nil"/>
              <w:bottom w:val="nil"/>
              <w:right w:val="nil"/>
            </w:tcBorders>
            <w:vAlign w:val="bottom"/>
          </w:tcPr>
          <w:p w14:paraId="43982B5E"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FC49834" w14:textId="4FB9CF83" w:rsidR="00B33D8D" w:rsidRPr="001D41EA" w:rsidRDefault="00B33D8D" w:rsidP="001D41EA">
            <w:pPr>
              <w:spacing w:before="40" w:after="20"/>
              <w:jc w:val="right"/>
              <w:rPr>
                <w:rFonts w:cs="Arial"/>
                <w:sz w:val="18"/>
                <w:szCs w:val="18"/>
              </w:rPr>
            </w:pPr>
            <w:r w:rsidRPr="001D41EA">
              <w:rPr>
                <w:rFonts w:cs="Arial"/>
                <w:sz w:val="18"/>
                <w:szCs w:val="18"/>
              </w:rPr>
              <w:t>91,387</w:t>
            </w:r>
          </w:p>
        </w:tc>
        <w:tc>
          <w:tcPr>
            <w:tcW w:w="170" w:type="dxa"/>
            <w:tcBorders>
              <w:top w:val="nil"/>
              <w:left w:val="nil"/>
              <w:bottom w:val="nil"/>
              <w:right w:val="nil"/>
            </w:tcBorders>
            <w:shd w:val="clear" w:color="auto" w:fill="auto"/>
            <w:vAlign w:val="bottom"/>
          </w:tcPr>
          <w:p w14:paraId="740FE1AC" w14:textId="265ABE04"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0517B12" w14:textId="023868BD" w:rsidR="00B33D8D" w:rsidRPr="001D41EA" w:rsidRDefault="00B33D8D" w:rsidP="001D41EA">
            <w:pPr>
              <w:spacing w:before="40" w:after="20"/>
              <w:jc w:val="right"/>
              <w:rPr>
                <w:rFonts w:cs="Arial"/>
                <w:sz w:val="18"/>
                <w:szCs w:val="18"/>
              </w:rPr>
            </w:pPr>
            <w:r w:rsidRPr="001D41EA">
              <w:rPr>
                <w:rFonts w:cs="Arial"/>
                <w:sz w:val="18"/>
                <w:szCs w:val="18"/>
              </w:rPr>
              <w:t>2.2</w:t>
            </w:r>
          </w:p>
        </w:tc>
      </w:tr>
      <w:tr w:rsidR="00B33D8D" w:rsidRPr="001D41EA" w14:paraId="605D55DB"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0ABC50A3" w14:textId="77777777" w:rsidR="00B33D8D" w:rsidRPr="001D41EA" w:rsidRDefault="00B33D8D" w:rsidP="001D41EA">
            <w:pPr>
              <w:spacing w:before="40" w:after="20"/>
              <w:rPr>
                <w:rFonts w:cs="Arial"/>
                <w:sz w:val="18"/>
                <w:szCs w:val="18"/>
              </w:rPr>
            </w:pPr>
            <w:r w:rsidRPr="001D41EA">
              <w:rPr>
                <w:rFonts w:cs="Arial"/>
                <w:sz w:val="18"/>
                <w:szCs w:val="18"/>
              </w:rPr>
              <w:t>Maroondah C</w:t>
            </w:r>
          </w:p>
        </w:tc>
        <w:tc>
          <w:tcPr>
            <w:tcW w:w="1418" w:type="dxa"/>
            <w:tcBorders>
              <w:top w:val="nil"/>
              <w:left w:val="single" w:sz="18" w:space="0" w:color="5F497A" w:themeColor="accent4" w:themeShade="BF"/>
              <w:bottom w:val="nil"/>
              <w:right w:val="nil"/>
            </w:tcBorders>
            <w:shd w:val="clear" w:color="auto" w:fill="auto"/>
            <w:vAlign w:val="bottom"/>
          </w:tcPr>
          <w:p w14:paraId="756E46DE" w14:textId="4916C080" w:rsidR="00B33D8D" w:rsidRPr="001D41EA" w:rsidRDefault="00B33D8D" w:rsidP="001D41EA">
            <w:pPr>
              <w:spacing w:before="40" w:after="20"/>
              <w:jc w:val="right"/>
              <w:rPr>
                <w:rFonts w:cs="Arial"/>
                <w:sz w:val="18"/>
                <w:szCs w:val="18"/>
              </w:rPr>
            </w:pPr>
            <w:r w:rsidRPr="001D41EA">
              <w:rPr>
                <w:rFonts w:cs="Arial"/>
                <w:sz w:val="18"/>
                <w:szCs w:val="18"/>
              </w:rPr>
              <w:t>11,357</w:t>
            </w:r>
          </w:p>
        </w:tc>
        <w:tc>
          <w:tcPr>
            <w:tcW w:w="1418" w:type="dxa"/>
            <w:tcBorders>
              <w:top w:val="nil"/>
              <w:left w:val="nil"/>
              <w:bottom w:val="nil"/>
              <w:right w:val="nil"/>
            </w:tcBorders>
            <w:shd w:val="clear" w:color="auto" w:fill="auto"/>
            <w:vAlign w:val="bottom"/>
          </w:tcPr>
          <w:p w14:paraId="22A1A1B2" w14:textId="08E3BDEE" w:rsidR="00B33D8D" w:rsidRPr="001D41EA" w:rsidRDefault="00B33D8D" w:rsidP="00F705DD">
            <w:pPr>
              <w:spacing w:before="40" w:after="20"/>
              <w:jc w:val="center"/>
              <w:rPr>
                <w:rFonts w:cs="Arial"/>
                <w:sz w:val="18"/>
                <w:szCs w:val="18"/>
              </w:rPr>
            </w:pPr>
            <w:r w:rsidRPr="001D41EA">
              <w:rPr>
                <w:rFonts w:cs="Arial"/>
                <w:sz w:val="18"/>
                <w:szCs w:val="18"/>
              </w:rPr>
              <w:t>37.5</w:t>
            </w:r>
          </w:p>
        </w:tc>
        <w:tc>
          <w:tcPr>
            <w:tcW w:w="170" w:type="dxa"/>
            <w:tcBorders>
              <w:top w:val="nil"/>
              <w:left w:val="nil"/>
              <w:bottom w:val="nil"/>
              <w:right w:val="nil"/>
            </w:tcBorders>
            <w:vAlign w:val="bottom"/>
          </w:tcPr>
          <w:p w14:paraId="2DC4E4A2"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583F2D0" w14:textId="23FA0C42" w:rsidR="00B33D8D" w:rsidRPr="001D41EA" w:rsidRDefault="00B33D8D" w:rsidP="001D41EA">
            <w:pPr>
              <w:spacing w:before="40" w:after="20"/>
              <w:jc w:val="right"/>
              <w:rPr>
                <w:rFonts w:cs="Arial"/>
                <w:sz w:val="18"/>
                <w:szCs w:val="18"/>
              </w:rPr>
            </w:pPr>
            <w:r w:rsidRPr="001D41EA">
              <w:rPr>
                <w:rFonts w:cs="Arial"/>
                <w:sz w:val="18"/>
                <w:szCs w:val="18"/>
              </w:rPr>
              <w:t>117,498</w:t>
            </w:r>
          </w:p>
        </w:tc>
        <w:tc>
          <w:tcPr>
            <w:tcW w:w="170" w:type="dxa"/>
            <w:tcBorders>
              <w:top w:val="nil"/>
              <w:left w:val="nil"/>
              <w:bottom w:val="nil"/>
              <w:right w:val="nil"/>
            </w:tcBorders>
            <w:shd w:val="clear" w:color="auto" w:fill="auto"/>
            <w:vAlign w:val="bottom"/>
          </w:tcPr>
          <w:p w14:paraId="62071F34" w14:textId="4AB50DAD"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64501A8" w14:textId="1EDA8D8D" w:rsidR="00B33D8D" w:rsidRPr="001D41EA" w:rsidRDefault="00B33D8D" w:rsidP="001D41EA">
            <w:pPr>
              <w:spacing w:before="40" w:after="20"/>
              <w:jc w:val="right"/>
              <w:rPr>
                <w:rFonts w:cs="Arial"/>
                <w:sz w:val="18"/>
                <w:szCs w:val="18"/>
              </w:rPr>
            </w:pPr>
            <w:r w:rsidRPr="001D41EA">
              <w:rPr>
                <w:rFonts w:cs="Arial"/>
                <w:sz w:val="18"/>
                <w:szCs w:val="18"/>
              </w:rPr>
              <w:t>4.5</w:t>
            </w:r>
          </w:p>
        </w:tc>
      </w:tr>
      <w:tr w:rsidR="00B33D8D" w:rsidRPr="001D41EA" w14:paraId="5382654A"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77B3ABDD" w14:textId="77777777" w:rsidR="00B33D8D" w:rsidRPr="001D41EA" w:rsidRDefault="00B33D8D" w:rsidP="001D41EA">
            <w:pPr>
              <w:spacing w:before="40" w:after="20"/>
              <w:rPr>
                <w:rFonts w:cs="Arial"/>
                <w:sz w:val="18"/>
                <w:szCs w:val="18"/>
              </w:rPr>
            </w:pPr>
            <w:r w:rsidRPr="001D41EA">
              <w:rPr>
                <w:rFonts w:cs="Arial"/>
                <w:sz w:val="18"/>
                <w:szCs w:val="18"/>
              </w:rPr>
              <w:t>Melbourne C</w:t>
            </w:r>
          </w:p>
        </w:tc>
        <w:tc>
          <w:tcPr>
            <w:tcW w:w="1418" w:type="dxa"/>
            <w:tcBorders>
              <w:top w:val="nil"/>
              <w:left w:val="single" w:sz="18" w:space="0" w:color="5F497A" w:themeColor="accent4" w:themeShade="BF"/>
              <w:bottom w:val="nil"/>
              <w:right w:val="nil"/>
            </w:tcBorders>
            <w:shd w:val="clear" w:color="auto" w:fill="auto"/>
            <w:vAlign w:val="bottom"/>
          </w:tcPr>
          <w:p w14:paraId="42D54069" w14:textId="41751CAF" w:rsidR="00B33D8D" w:rsidRPr="001D41EA" w:rsidRDefault="00B33D8D" w:rsidP="001D41EA">
            <w:pPr>
              <w:spacing w:before="40" w:after="20"/>
              <w:jc w:val="right"/>
              <w:rPr>
                <w:rFonts w:cs="Arial"/>
                <w:sz w:val="18"/>
                <w:szCs w:val="18"/>
              </w:rPr>
            </w:pPr>
            <w:r w:rsidRPr="001D41EA">
              <w:rPr>
                <w:rFonts w:cs="Arial"/>
                <w:sz w:val="18"/>
                <w:szCs w:val="18"/>
              </w:rPr>
              <w:t>3,310</w:t>
            </w:r>
          </w:p>
        </w:tc>
        <w:tc>
          <w:tcPr>
            <w:tcW w:w="1418" w:type="dxa"/>
            <w:tcBorders>
              <w:top w:val="nil"/>
              <w:left w:val="nil"/>
              <w:bottom w:val="nil"/>
              <w:right w:val="nil"/>
            </w:tcBorders>
            <w:shd w:val="clear" w:color="auto" w:fill="auto"/>
            <w:vAlign w:val="bottom"/>
          </w:tcPr>
          <w:p w14:paraId="0A14D131" w14:textId="44DA43D6" w:rsidR="00B33D8D" w:rsidRPr="001D41EA" w:rsidRDefault="00B33D8D" w:rsidP="00F705DD">
            <w:pPr>
              <w:spacing w:before="40" w:after="20"/>
              <w:jc w:val="center"/>
              <w:rPr>
                <w:rFonts w:cs="Arial"/>
                <w:sz w:val="18"/>
                <w:szCs w:val="18"/>
              </w:rPr>
            </w:pPr>
            <w:r w:rsidRPr="001D41EA">
              <w:rPr>
                <w:rFonts w:cs="Arial"/>
                <w:sz w:val="18"/>
                <w:szCs w:val="18"/>
              </w:rPr>
              <w:t>18.0</w:t>
            </w:r>
          </w:p>
        </w:tc>
        <w:tc>
          <w:tcPr>
            <w:tcW w:w="170" w:type="dxa"/>
            <w:tcBorders>
              <w:top w:val="nil"/>
              <w:left w:val="nil"/>
              <w:bottom w:val="nil"/>
              <w:right w:val="nil"/>
            </w:tcBorders>
            <w:vAlign w:val="bottom"/>
          </w:tcPr>
          <w:p w14:paraId="5BA9FE7F"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39522BC" w14:textId="04692F8E" w:rsidR="00B33D8D" w:rsidRPr="001D41EA" w:rsidRDefault="00B33D8D" w:rsidP="001D41EA">
            <w:pPr>
              <w:spacing w:before="40" w:after="20"/>
              <w:jc w:val="right"/>
              <w:rPr>
                <w:rFonts w:cs="Arial"/>
                <w:sz w:val="18"/>
                <w:szCs w:val="18"/>
              </w:rPr>
            </w:pPr>
            <w:r w:rsidRPr="001D41EA">
              <w:rPr>
                <w:rFonts w:cs="Arial"/>
                <w:sz w:val="18"/>
                <w:szCs w:val="18"/>
              </w:rPr>
              <w:t>169,961</w:t>
            </w:r>
          </w:p>
        </w:tc>
        <w:tc>
          <w:tcPr>
            <w:tcW w:w="170" w:type="dxa"/>
            <w:tcBorders>
              <w:top w:val="nil"/>
              <w:left w:val="nil"/>
              <w:bottom w:val="nil"/>
              <w:right w:val="nil"/>
            </w:tcBorders>
            <w:shd w:val="clear" w:color="auto" w:fill="auto"/>
            <w:vAlign w:val="bottom"/>
          </w:tcPr>
          <w:p w14:paraId="2B623C8C" w14:textId="525200A6"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72B98DD0" w14:textId="2EEFC4A3" w:rsidR="00B33D8D" w:rsidRPr="001D41EA" w:rsidRDefault="00B33D8D" w:rsidP="001D41EA">
            <w:pPr>
              <w:spacing w:before="40" w:after="20"/>
              <w:jc w:val="right"/>
              <w:rPr>
                <w:rFonts w:cs="Arial"/>
                <w:sz w:val="18"/>
                <w:szCs w:val="18"/>
              </w:rPr>
            </w:pPr>
            <w:r w:rsidRPr="001D41EA">
              <w:rPr>
                <w:rFonts w:cs="Arial"/>
                <w:sz w:val="18"/>
                <w:szCs w:val="18"/>
              </w:rPr>
              <w:t>0.7</w:t>
            </w:r>
          </w:p>
        </w:tc>
      </w:tr>
      <w:tr w:rsidR="00B33D8D" w:rsidRPr="001D41EA" w14:paraId="7CDF261E"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4C74A41E" w14:textId="77777777" w:rsidR="00B33D8D" w:rsidRPr="001D41EA" w:rsidRDefault="00B33D8D" w:rsidP="001D41EA">
            <w:pPr>
              <w:spacing w:before="40" w:after="20"/>
              <w:rPr>
                <w:rFonts w:cs="Arial"/>
                <w:sz w:val="18"/>
                <w:szCs w:val="18"/>
              </w:rPr>
            </w:pPr>
            <w:r w:rsidRPr="001D41EA">
              <w:rPr>
                <w:rFonts w:cs="Arial"/>
                <w:sz w:val="18"/>
                <w:szCs w:val="18"/>
              </w:rPr>
              <w:t>Melton C</w:t>
            </w:r>
          </w:p>
        </w:tc>
        <w:tc>
          <w:tcPr>
            <w:tcW w:w="1418" w:type="dxa"/>
            <w:tcBorders>
              <w:top w:val="nil"/>
              <w:left w:val="single" w:sz="18" w:space="0" w:color="5F497A" w:themeColor="accent4" w:themeShade="BF"/>
              <w:bottom w:val="nil"/>
              <w:right w:val="nil"/>
            </w:tcBorders>
            <w:shd w:val="clear" w:color="auto" w:fill="auto"/>
            <w:vAlign w:val="bottom"/>
          </w:tcPr>
          <w:p w14:paraId="31C903BE" w14:textId="3F575D02" w:rsidR="00B33D8D" w:rsidRPr="001D41EA" w:rsidRDefault="00B33D8D" w:rsidP="001D41EA">
            <w:pPr>
              <w:spacing w:before="40" w:after="20"/>
              <w:jc w:val="right"/>
              <w:rPr>
                <w:rFonts w:cs="Arial"/>
                <w:sz w:val="18"/>
                <w:szCs w:val="18"/>
              </w:rPr>
            </w:pPr>
            <w:r w:rsidRPr="001D41EA">
              <w:rPr>
                <w:rFonts w:cs="Arial"/>
                <w:sz w:val="18"/>
                <w:szCs w:val="18"/>
              </w:rPr>
              <w:t>8,934</w:t>
            </w:r>
          </w:p>
        </w:tc>
        <w:tc>
          <w:tcPr>
            <w:tcW w:w="1418" w:type="dxa"/>
            <w:tcBorders>
              <w:top w:val="nil"/>
              <w:left w:val="nil"/>
              <w:bottom w:val="nil"/>
              <w:right w:val="nil"/>
            </w:tcBorders>
            <w:shd w:val="clear" w:color="auto" w:fill="auto"/>
            <w:vAlign w:val="bottom"/>
          </w:tcPr>
          <w:p w14:paraId="07A158A2" w14:textId="1597ED9F" w:rsidR="00B33D8D" w:rsidRPr="001D41EA" w:rsidRDefault="00B33D8D" w:rsidP="00F705DD">
            <w:pPr>
              <w:spacing w:before="40" w:after="20"/>
              <w:jc w:val="center"/>
              <w:rPr>
                <w:rFonts w:cs="Arial"/>
                <w:sz w:val="18"/>
                <w:szCs w:val="18"/>
              </w:rPr>
            </w:pPr>
            <w:r w:rsidRPr="001D41EA">
              <w:rPr>
                <w:rFonts w:cs="Arial"/>
                <w:sz w:val="18"/>
                <w:szCs w:val="18"/>
              </w:rPr>
              <w:t>30.7</w:t>
            </w:r>
          </w:p>
        </w:tc>
        <w:tc>
          <w:tcPr>
            <w:tcW w:w="170" w:type="dxa"/>
            <w:tcBorders>
              <w:top w:val="nil"/>
              <w:left w:val="nil"/>
              <w:bottom w:val="nil"/>
              <w:right w:val="nil"/>
            </w:tcBorders>
            <w:vAlign w:val="bottom"/>
          </w:tcPr>
          <w:p w14:paraId="53D1F2B3"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858B18B" w14:textId="0083A2B7" w:rsidR="00B33D8D" w:rsidRPr="001D41EA" w:rsidRDefault="00B33D8D" w:rsidP="001D41EA">
            <w:pPr>
              <w:spacing w:before="40" w:after="20"/>
              <w:jc w:val="right"/>
              <w:rPr>
                <w:rFonts w:cs="Arial"/>
                <w:sz w:val="18"/>
                <w:szCs w:val="18"/>
              </w:rPr>
            </w:pPr>
            <w:r w:rsidRPr="001D41EA">
              <w:rPr>
                <w:rFonts w:cs="Arial"/>
                <w:sz w:val="18"/>
                <w:szCs w:val="18"/>
              </w:rPr>
              <w:t>156,713</w:t>
            </w:r>
          </w:p>
        </w:tc>
        <w:tc>
          <w:tcPr>
            <w:tcW w:w="170" w:type="dxa"/>
            <w:tcBorders>
              <w:top w:val="nil"/>
              <w:left w:val="nil"/>
              <w:bottom w:val="nil"/>
              <w:right w:val="nil"/>
            </w:tcBorders>
            <w:shd w:val="clear" w:color="auto" w:fill="auto"/>
            <w:vAlign w:val="bottom"/>
          </w:tcPr>
          <w:p w14:paraId="3D9FE648" w14:textId="5505F190"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3A522841" w14:textId="60110C29" w:rsidR="00B33D8D" w:rsidRPr="001D41EA" w:rsidRDefault="00B33D8D" w:rsidP="001D41EA">
            <w:pPr>
              <w:spacing w:before="40" w:after="20"/>
              <w:jc w:val="right"/>
              <w:rPr>
                <w:rFonts w:cs="Arial"/>
                <w:sz w:val="18"/>
                <w:szCs w:val="18"/>
              </w:rPr>
            </w:pPr>
            <w:r w:rsidRPr="001D41EA">
              <w:rPr>
                <w:rFonts w:cs="Arial"/>
                <w:sz w:val="18"/>
                <w:szCs w:val="18"/>
              </w:rPr>
              <w:t>2.6</w:t>
            </w:r>
          </w:p>
        </w:tc>
      </w:tr>
      <w:tr w:rsidR="00B33D8D" w:rsidRPr="001D41EA" w14:paraId="279C108A"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17C64B4E" w14:textId="77777777" w:rsidR="00B33D8D" w:rsidRPr="001D41EA" w:rsidRDefault="00B33D8D" w:rsidP="001D41EA">
            <w:pPr>
              <w:spacing w:before="40" w:after="20"/>
              <w:rPr>
                <w:rFonts w:cs="Arial"/>
                <w:sz w:val="18"/>
                <w:szCs w:val="18"/>
              </w:rPr>
            </w:pPr>
            <w:r w:rsidRPr="001D41EA">
              <w:rPr>
                <w:rFonts w:cs="Arial"/>
                <w:sz w:val="18"/>
                <w:szCs w:val="18"/>
              </w:rPr>
              <w:t>Mildura RC</w:t>
            </w:r>
          </w:p>
        </w:tc>
        <w:tc>
          <w:tcPr>
            <w:tcW w:w="1418" w:type="dxa"/>
            <w:tcBorders>
              <w:top w:val="nil"/>
              <w:left w:val="single" w:sz="18" w:space="0" w:color="5F497A" w:themeColor="accent4" w:themeShade="BF"/>
              <w:bottom w:val="nil"/>
              <w:right w:val="nil"/>
            </w:tcBorders>
            <w:shd w:val="clear" w:color="auto" w:fill="auto"/>
            <w:vAlign w:val="bottom"/>
          </w:tcPr>
          <w:p w14:paraId="2D43B34C" w14:textId="090C66F3" w:rsidR="00B33D8D" w:rsidRPr="001D41EA" w:rsidRDefault="00B33D8D" w:rsidP="001D41EA">
            <w:pPr>
              <w:spacing w:before="40" w:after="20"/>
              <w:jc w:val="right"/>
              <w:rPr>
                <w:rFonts w:cs="Arial"/>
                <w:sz w:val="18"/>
                <w:szCs w:val="18"/>
              </w:rPr>
            </w:pPr>
            <w:r w:rsidRPr="001D41EA">
              <w:rPr>
                <w:rFonts w:cs="Arial"/>
                <w:sz w:val="18"/>
                <w:szCs w:val="18"/>
              </w:rPr>
              <w:t>7,193</w:t>
            </w:r>
          </w:p>
        </w:tc>
        <w:tc>
          <w:tcPr>
            <w:tcW w:w="1418" w:type="dxa"/>
            <w:tcBorders>
              <w:top w:val="nil"/>
              <w:left w:val="nil"/>
              <w:bottom w:val="nil"/>
              <w:right w:val="nil"/>
            </w:tcBorders>
            <w:shd w:val="clear" w:color="auto" w:fill="auto"/>
            <w:vAlign w:val="bottom"/>
          </w:tcPr>
          <w:p w14:paraId="19423AC9" w14:textId="3BD63AE4" w:rsidR="00B33D8D" w:rsidRPr="001D41EA" w:rsidRDefault="00B33D8D" w:rsidP="00F705DD">
            <w:pPr>
              <w:spacing w:before="40" w:after="20"/>
              <w:jc w:val="center"/>
              <w:rPr>
                <w:rFonts w:cs="Arial"/>
                <w:sz w:val="18"/>
                <w:szCs w:val="18"/>
              </w:rPr>
            </w:pPr>
            <w:r w:rsidRPr="001D41EA">
              <w:rPr>
                <w:rFonts w:cs="Arial"/>
                <w:sz w:val="18"/>
                <w:szCs w:val="18"/>
              </w:rPr>
              <w:t>38.9</w:t>
            </w:r>
          </w:p>
        </w:tc>
        <w:tc>
          <w:tcPr>
            <w:tcW w:w="170" w:type="dxa"/>
            <w:tcBorders>
              <w:top w:val="nil"/>
              <w:left w:val="nil"/>
              <w:bottom w:val="nil"/>
              <w:right w:val="nil"/>
            </w:tcBorders>
            <w:vAlign w:val="bottom"/>
          </w:tcPr>
          <w:p w14:paraId="1CD5F222"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6B6D645" w14:textId="249E02AA" w:rsidR="00B33D8D" w:rsidRPr="001D41EA" w:rsidRDefault="00B33D8D" w:rsidP="001D41EA">
            <w:pPr>
              <w:spacing w:before="40" w:after="20"/>
              <w:jc w:val="right"/>
              <w:rPr>
                <w:rFonts w:cs="Arial"/>
                <w:sz w:val="18"/>
                <w:szCs w:val="18"/>
              </w:rPr>
            </w:pPr>
            <w:r w:rsidRPr="001D41EA">
              <w:rPr>
                <w:rFonts w:cs="Arial"/>
                <w:sz w:val="18"/>
                <w:szCs w:val="18"/>
              </w:rPr>
              <w:t>55,515</w:t>
            </w:r>
          </w:p>
        </w:tc>
        <w:tc>
          <w:tcPr>
            <w:tcW w:w="170" w:type="dxa"/>
            <w:tcBorders>
              <w:top w:val="nil"/>
              <w:left w:val="nil"/>
              <w:bottom w:val="nil"/>
              <w:right w:val="nil"/>
            </w:tcBorders>
            <w:shd w:val="clear" w:color="auto" w:fill="auto"/>
            <w:vAlign w:val="bottom"/>
          </w:tcPr>
          <w:p w14:paraId="3F46FFB1" w14:textId="5CD8F252"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1CBEEFC" w14:textId="09D52755" w:rsidR="00B33D8D" w:rsidRPr="001D41EA" w:rsidRDefault="00B33D8D" w:rsidP="001D41EA">
            <w:pPr>
              <w:spacing w:before="40" w:after="20"/>
              <w:jc w:val="right"/>
              <w:rPr>
                <w:rFonts w:cs="Arial"/>
                <w:sz w:val="18"/>
                <w:szCs w:val="18"/>
              </w:rPr>
            </w:pPr>
            <w:r w:rsidRPr="001D41EA">
              <w:rPr>
                <w:rFonts w:cs="Arial"/>
                <w:sz w:val="18"/>
                <w:szCs w:val="18"/>
              </w:rPr>
              <w:t>4.4</w:t>
            </w:r>
          </w:p>
        </w:tc>
      </w:tr>
      <w:tr w:rsidR="00B33D8D" w:rsidRPr="001D41EA" w14:paraId="242F615F"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2933538E" w14:textId="77777777" w:rsidR="00B33D8D" w:rsidRPr="001D41EA" w:rsidRDefault="00B33D8D" w:rsidP="001D41EA">
            <w:pPr>
              <w:spacing w:before="40" w:after="20"/>
              <w:rPr>
                <w:rFonts w:cs="Arial"/>
                <w:sz w:val="18"/>
                <w:szCs w:val="18"/>
              </w:rPr>
            </w:pPr>
            <w:r w:rsidRPr="001D41EA">
              <w:rPr>
                <w:rFonts w:cs="Arial"/>
                <w:sz w:val="18"/>
                <w:szCs w:val="18"/>
              </w:rPr>
              <w:t>Mitchell S</w:t>
            </w:r>
          </w:p>
        </w:tc>
        <w:tc>
          <w:tcPr>
            <w:tcW w:w="1418" w:type="dxa"/>
            <w:tcBorders>
              <w:top w:val="nil"/>
              <w:left w:val="single" w:sz="18" w:space="0" w:color="5F497A" w:themeColor="accent4" w:themeShade="BF"/>
              <w:bottom w:val="nil"/>
              <w:right w:val="nil"/>
            </w:tcBorders>
            <w:shd w:val="clear" w:color="auto" w:fill="auto"/>
            <w:vAlign w:val="bottom"/>
          </w:tcPr>
          <w:p w14:paraId="311924C3" w14:textId="51529ECD" w:rsidR="00B33D8D" w:rsidRPr="001D41EA" w:rsidRDefault="00B33D8D" w:rsidP="001D41EA">
            <w:pPr>
              <w:spacing w:before="40" w:after="20"/>
              <w:jc w:val="right"/>
              <w:rPr>
                <w:rFonts w:cs="Arial"/>
                <w:sz w:val="18"/>
                <w:szCs w:val="18"/>
              </w:rPr>
            </w:pPr>
            <w:r w:rsidRPr="001D41EA">
              <w:rPr>
                <w:rFonts w:cs="Arial"/>
                <w:sz w:val="18"/>
                <w:szCs w:val="18"/>
              </w:rPr>
              <w:t>4,088</w:t>
            </w:r>
          </w:p>
        </w:tc>
        <w:tc>
          <w:tcPr>
            <w:tcW w:w="1418" w:type="dxa"/>
            <w:tcBorders>
              <w:top w:val="nil"/>
              <w:left w:val="nil"/>
              <w:bottom w:val="nil"/>
              <w:right w:val="nil"/>
            </w:tcBorders>
            <w:shd w:val="clear" w:color="auto" w:fill="auto"/>
            <w:vAlign w:val="bottom"/>
          </w:tcPr>
          <w:p w14:paraId="2CA40CD5" w14:textId="69A2FDC7" w:rsidR="00B33D8D" w:rsidRPr="001D41EA" w:rsidRDefault="00B33D8D" w:rsidP="00F705DD">
            <w:pPr>
              <w:spacing w:before="40" w:after="20"/>
              <w:jc w:val="center"/>
              <w:rPr>
                <w:rFonts w:cs="Arial"/>
                <w:sz w:val="18"/>
                <w:szCs w:val="18"/>
              </w:rPr>
            </w:pPr>
            <w:r w:rsidRPr="001D41EA">
              <w:rPr>
                <w:rFonts w:cs="Arial"/>
                <w:sz w:val="18"/>
                <w:szCs w:val="18"/>
              </w:rPr>
              <w:t>35.2</w:t>
            </w:r>
          </w:p>
        </w:tc>
        <w:tc>
          <w:tcPr>
            <w:tcW w:w="170" w:type="dxa"/>
            <w:tcBorders>
              <w:top w:val="nil"/>
              <w:left w:val="nil"/>
              <w:bottom w:val="nil"/>
              <w:right w:val="nil"/>
            </w:tcBorders>
            <w:vAlign w:val="bottom"/>
          </w:tcPr>
          <w:p w14:paraId="2C8CFF80"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832AD37" w14:textId="2CEEBD4C" w:rsidR="00B33D8D" w:rsidRPr="001D41EA" w:rsidRDefault="00B33D8D" w:rsidP="001D41EA">
            <w:pPr>
              <w:spacing w:before="40" w:after="20"/>
              <w:jc w:val="right"/>
              <w:rPr>
                <w:rFonts w:cs="Arial"/>
                <w:sz w:val="18"/>
                <w:szCs w:val="18"/>
              </w:rPr>
            </w:pPr>
            <w:r w:rsidRPr="001D41EA">
              <w:rPr>
                <w:rFonts w:cs="Arial"/>
                <w:sz w:val="18"/>
                <w:szCs w:val="18"/>
              </w:rPr>
              <w:t>44,299</w:t>
            </w:r>
          </w:p>
        </w:tc>
        <w:tc>
          <w:tcPr>
            <w:tcW w:w="170" w:type="dxa"/>
            <w:tcBorders>
              <w:top w:val="nil"/>
              <w:left w:val="nil"/>
              <w:bottom w:val="nil"/>
              <w:right w:val="nil"/>
            </w:tcBorders>
            <w:shd w:val="clear" w:color="auto" w:fill="auto"/>
            <w:vAlign w:val="bottom"/>
          </w:tcPr>
          <w:p w14:paraId="0B2BD70C" w14:textId="5DE0C5B4"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BE5A673" w14:textId="130D73F8" w:rsidR="00B33D8D" w:rsidRPr="001D41EA" w:rsidRDefault="00B33D8D" w:rsidP="001D41EA">
            <w:pPr>
              <w:spacing w:before="40" w:after="20"/>
              <w:jc w:val="right"/>
              <w:rPr>
                <w:rFonts w:cs="Arial"/>
                <w:sz w:val="18"/>
                <w:szCs w:val="18"/>
              </w:rPr>
            </w:pPr>
            <w:r w:rsidRPr="001D41EA">
              <w:rPr>
                <w:rFonts w:cs="Arial"/>
                <w:sz w:val="18"/>
                <w:szCs w:val="18"/>
              </w:rPr>
              <w:t>20.3</w:t>
            </w:r>
          </w:p>
        </w:tc>
      </w:tr>
      <w:tr w:rsidR="00B33D8D" w:rsidRPr="001D41EA" w14:paraId="14F0E3F0"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48B739F3" w14:textId="77777777" w:rsidR="00B33D8D" w:rsidRPr="001D41EA" w:rsidRDefault="00B33D8D" w:rsidP="001D41EA">
            <w:pPr>
              <w:spacing w:before="40" w:after="20"/>
              <w:rPr>
                <w:rFonts w:cs="Arial"/>
                <w:sz w:val="18"/>
                <w:szCs w:val="18"/>
              </w:rPr>
            </w:pPr>
            <w:r w:rsidRPr="001D41EA">
              <w:rPr>
                <w:rFonts w:cs="Arial"/>
                <w:sz w:val="18"/>
                <w:szCs w:val="18"/>
              </w:rPr>
              <w:t>Moira S</w:t>
            </w:r>
          </w:p>
        </w:tc>
        <w:tc>
          <w:tcPr>
            <w:tcW w:w="1418" w:type="dxa"/>
            <w:tcBorders>
              <w:top w:val="nil"/>
              <w:left w:val="single" w:sz="18" w:space="0" w:color="5F497A" w:themeColor="accent4" w:themeShade="BF"/>
              <w:bottom w:val="nil"/>
              <w:right w:val="nil"/>
            </w:tcBorders>
            <w:shd w:val="clear" w:color="auto" w:fill="auto"/>
            <w:vAlign w:val="bottom"/>
          </w:tcPr>
          <w:p w14:paraId="38370136" w14:textId="0626A1F3" w:rsidR="00B33D8D" w:rsidRPr="001D41EA" w:rsidRDefault="00B33D8D" w:rsidP="001D41EA">
            <w:pPr>
              <w:spacing w:before="40" w:after="20"/>
              <w:jc w:val="right"/>
              <w:rPr>
                <w:rFonts w:cs="Arial"/>
                <w:sz w:val="18"/>
                <w:szCs w:val="18"/>
              </w:rPr>
            </w:pPr>
            <w:r w:rsidRPr="001D41EA">
              <w:rPr>
                <w:rFonts w:cs="Arial"/>
                <w:sz w:val="18"/>
                <w:szCs w:val="18"/>
              </w:rPr>
              <w:t>5,267</w:t>
            </w:r>
          </w:p>
        </w:tc>
        <w:tc>
          <w:tcPr>
            <w:tcW w:w="1418" w:type="dxa"/>
            <w:tcBorders>
              <w:top w:val="nil"/>
              <w:left w:val="nil"/>
              <w:bottom w:val="nil"/>
              <w:right w:val="nil"/>
            </w:tcBorders>
            <w:shd w:val="clear" w:color="auto" w:fill="auto"/>
            <w:vAlign w:val="bottom"/>
          </w:tcPr>
          <w:p w14:paraId="3136379B" w14:textId="131FAB3E" w:rsidR="00B33D8D" w:rsidRPr="001D41EA" w:rsidRDefault="00B33D8D" w:rsidP="00F705DD">
            <w:pPr>
              <w:spacing w:before="40" w:after="20"/>
              <w:jc w:val="center"/>
              <w:rPr>
                <w:rFonts w:cs="Arial"/>
                <w:sz w:val="18"/>
                <w:szCs w:val="18"/>
              </w:rPr>
            </w:pPr>
            <w:r w:rsidRPr="001D41EA">
              <w:rPr>
                <w:rFonts w:cs="Arial"/>
                <w:sz w:val="18"/>
                <w:szCs w:val="18"/>
              </w:rPr>
              <w:t>44.1</w:t>
            </w:r>
          </w:p>
        </w:tc>
        <w:tc>
          <w:tcPr>
            <w:tcW w:w="170" w:type="dxa"/>
            <w:tcBorders>
              <w:top w:val="nil"/>
              <w:left w:val="nil"/>
              <w:bottom w:val="nil"/>
              <w:right w:val="nil"/>
            </w:tcBorders>
            <w:vAlign w:val="bottom"/>
          </w:tcPr>
          <w:p w14:paraId="07FFF7A0"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1CB5F17" w14:textId="40F91355" w:rsidR="00B33D8D" w:rsidRPr="001D41EA" w:rsidRDefault="00B33D8D" w:rsidP="001D41EA">
            <w:pPr>
              <w:spacing w:before="40" w:after="20"/>
              <w:jc w:val="right"/>
              <w:rPr>
                <w:rFonts w:cs="Arial"/>
                <w:sz w:val="18"/>
                <w:szCs w:val="18"/>
              </w:rPr>
            </w:pPr>
            <w:r w:rsidRPr="001D41EA">
              <w:rPr>
                <w:rFonts w:cs="Arial"/>
                <w:sz w:val="18"/>
                <w:szCs w:val="18"/>
              </w:rPr>
              <w:t>29,799</w:t>
            </w:r>
          </w:p>
        </w:tc>
        <w:tc>
          <w:tcPr>
            <w:tcW w:w="170" w:type="dxa"/>
            <w:tcBorders>
              <w:top w:val="nil"/>
              <w:left w:val="nil"/>
              <w:bottom w:val="nil"/>
              <w:right w:val="nil"/>
            </w:tcBorders>
            <w:shd w:val="clear" w:color="auto" w:fill="auto"/>
            <w:vAlign w:val="bottom"/>
          </w:tcPr>
          <w:p w14:paraId="720B9E0A" w14:textId="2E678B5B"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2BAD7AD" w14:textId="5559F5FA" w:rsidR="00B33D8D" w:rsidRPr="001D41EA" w:rsidRDefault="00B33D8D" w:rsidP="001D41EA">
            <w:pPr>
              <w:spacing w:before="40" w:after="20"/>
              <w:jc w:val="right"/>
              <w:rPr>
                <w:rFonts w:cs="Arial"/>
                <w:sz w:val="18"/>
                <w:szCs w:val="18"/>
              </w:rPr>
            </w:pPr>
            <w:r w:rsidRPr="001D41EA">
              <w:rPr>
                <w:rFonts w:cs="Arial"/>
                <w:sz w:val="18"/>
                <w:szCs w:val="18"/>
              </w:rPr>
              <w:t>29.5</w:t>
            </w:r>
          </w:p>
        </w:tc>
      </w:tr>
      <w:tr w:rsidR="00B33D8D" w:rsidRPr="001D41EA" w14:paraId="2FB4CED8"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78652ABA" w14:textId="77777777" w:rsidR="00B33D8D" w:rsidRPr="001D41EA" w:rsidRDefault="00B33D8D" w:rsidP="001D41EA">
            <w:pPr>
              <w:spacing w:before="40" w:after="20"/>
              <w:rPr>
                <w:rFonts w:cs="Arial"/>
                <w:sz w:val="18"/>
                <w:szCs w:val="18"/>
              </w:rPr>
            </w:pPr>
            <w:r w:rsidRPr="001D41EA">
              <w:rPr>
                <w:rFonts w:cs="Arial"/>
                <w:sz w:val="18"/>
                <w:szCs w:val="18"/>
              </w:rPr>
              <w:t>Monash C</w:t>
            </w:r>
          </w:p>
        </w:tc>
        <w:tc>
          <w:tcPr>
            <w:tcW w:w="1418" w:type="dxa"/>
            <w:tcBorders>
              <w:top w:val="nil"/>
              <w:left w:val="single" w:sz="18" w:space="0" w:color="5F497A" w:themeColor="accent4" w:themeShade="BF"/>
              <w:bottom w:val="nil"/>
              <w:right w:val="nil"/>
            </w:tcBorders>
            <w:shd w:val="clear" w:color="auto" w:fill="auto"/>
            <w:vAlign w:val="bottom"/>
          </w:tcPr>
          <w:p w14:paraId="5C2518C8" w14:textId="773E6271" w:rsidR="00B33D8D" w:rsidRPr="001D41EA" w:rsidRDefault="00B33D8D" w:rsidP="001D41EA">
            <w:pPr>
              <w:spacing w:before="40" w:after="20"/>
              <w:jc w:val="right"/>
              <w:rPr>
                <w:rFonts w:cs="Arial"/>
                <w:sz w:val="18"/>
                <w:szCs w:val="18"/>
              </w:rPr>
            </w:pPr>
            <w:r w:rsidRPr="001D41EA">
              <w:rPr>
                <w:rFonts w:cs="Arial"/>
                <w:sz w:val="18"/>
                <w:szCs w:val="18"/>
              </w:rPr>
              <w:t>18,167</w:t>
            </w:r>
          </w:p>
        </w:tc>
        <w:tc>
          <w:tcPr>
            <w:tcW w:w="1418" w:type="dxa"/>
            <w:tcBorders>
              <w:top w:val="nil"/>
              <w:left w:val="nil"/>
              <w:bottom w:val="nil"/>
              <w:right w:val="nil"/>
            </w:tcBorders>
            <w:shd w:val="clear" w:color="auto" w:fill="auto"/>
            <w:vAlign w:val="bottom"/>
          </w:tcPr>
          <w:p w14:paraId="16348A33" w14:textId="2F537519" w:rsidR="00B33D8D" w:rsidRPr="001D41EA" w:rsidRDefault="00B33D8D" w:rsidP="00F705DD">
            <w:pPr>
              <w:spacing w:before="40" w:after="20"/>
              <w:jc w:val="center"/>
              <w:rPr>
                <w:rFonts w:cs="Arial"/>
                <w:sz w:val="18"/>
                <w:szCs w:val="18"/>
              </w:rPr>
            </w:pPr>
            <w:r w:rsidRPr="001D41EA">
              <w:rPr>
                <w:rFonts w:cs="Arial"/>
                <w:sz w:val="18"/>
                <w:szCs w:val="18"/>
              </w:rPr>
              <w:t>36.9</w:t>
            </w:r>
          </w:p>
        </w:tc>
        <w:tc>
          <w:tcPr>
            <w:tcW w:w="170" w:type="dxa"/>
            <w:tcBorders>
              <w:top w:val="nil"/>
              <w:left w:val="nil"/>
              <w:bottom w:val="nil"/>
              <w:right w:val="nil"/>
            </w:tcBorders>
            <w:vAlign w:val="bottom"/>
          </w:tcPr>
          <w:p w14:paraId="78A67C53"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5FC6607" w14:textId="2FC0173A" w:rsidR="00B33D8D" w:rsidRPr="001D41EA" w:rsidRDefault="00B33D8D" w:rsidP="001D41EA">
            <w:pPr>
              <w:spacing w:before="40" w:after="20"/>
              <w:jc w:val="right"/>
              <w:rPr>
                <w:rFonts w:cs="Arial"/>
                <w:sz w:val="18"/>
                <w:szCs w:val="18"/>
              </w:rPr>
            </w:pPr>
            <w:r w:rsidRPr="001D41EA">
              <w:rPr>
                <w:rFonts w:cs="Arial"/>
                <w:sz w:val="18"/>
                <w:szCs w:val="18"/>
              </w:rPr>
              <w:t>200,077</w:t>
            </w:r>
          </w:p>
        </w:tc>
        <w:tc>
          <w:tcPr>
            <w:tcW w:w="170" w:type="dxa"/>
            <w:tcBorders>
              <w:top w:val="nil"/>
              <w:left w:val="nil"/>
              <w:bottom w:val="nil"/>
              <w:right w:val="nil"/>
            </w:tcBorders>
            <w:shd w:val="clear" w:color="auto" w:fill="auto"/>
            <w:vAlign w:val="bottom"/>
          </w:tcPr>
          <w:p w14:paraId="5EE2E758" w14:textId="7747C90F"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1D1FBC7" w14:textId="17F93F1C" w:rsidR="00B33D8D" w:rsidRPr="001D41EA" w:rsidRDefault="00B33D8D" w:rsidP="001D41EA">
            <w:pPr>
              <w:spacing w:before="40" w:after="20"/>
              <w:jc w:val="right"/>
              <w:rPr>
                <w:rFonts w:cs="Arial"/>
                <w:sz w:val="18"/>
                <w:szCs w:val="18"/>
              </w:rPr>
            </w:pPr>
            <w:r w:rsidRPr="001D41EA">
              <w:rPr>
                <w:rFonts w:cs="Arial"/>
                <w:sz w:val="18"/>
                <w:szCs w:val="18"/>
              </w:rPr>
              <w:t>0.3</w:t>
            </w:r>
          </w:p>
        </w:tc>
      </w:tr>
      <w:tr w:rsidR="00B33D8D" w:rsidRPr="001D41EA" w14:paraId="38FC0DF7"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46700E3C" w14:textId="77777777" w:rsidR="00B33D8D" w:rsidRPr="001D41EA" w:rsidRDefault="00B33D8D" w:rsidP="001D41EA">
            <w:pPr>
              <w:spacing w:before="40" w:after="20"/>
              <w:rPr>
                <w:rFonts w:cs="Arial"/>
                <w:sz w:val="18"/>
                <w:szCs w:val="18"/>
              </w:rPr>
            </w:pPr>
            <w:r w:rsidRPr="001D41EA">
              <w:rPr>
                <w:rFonts w:cs="Arial"/>
                <w:sz w:val="18"/>
                <w:szCs w:val="18"/>
              </w:rPr>
              <w:t>Moonee Valley C</w:t>
            </w:r>
          </w:p>
        </w:tc>
        <w:tc>
          <w:tcPr>
            <w:tcW w:w="1418" w:type="dxa"/>
            <w:tcBorders>
              <w:top w:val="nil"/>
              <w:left w:val="single" w:sz="18" w:space="0" w:color="5F497A" w:themeColor="accent4" w:themeShade="BF"/>
              <w:bottom w:val="nil"/>
              <w:right w:val="nil"/>
            </w:tcBorders>
            <w:shd w:val="clear" w:color="auto" w:fill="auto"/>
            <w:vAlign w:val="bottom"/>
          </w:tcPr>
          <w:p w14:paraId="53DEDE80" w14:textId="4FF6D5FC" w:rsidR="00B33D8D" w:rsidRPr="001D41EA" w:rsidRDefault="00B33D8D" w:rsidP="001D41EA">
            <w:pPr>
              <w:spacing w:before="40" w:after="20"/>
              <w:jc w:val="right"/>
              <w:rPr>
                <w:rFonts w:cs="Arial"/>
                <w:sz w:val="18"/>
                <w:szCs w:val="18"/>
              </w:rPr>
            </w:pPr>
            <w:r w:rsidRPr="001D41EA">
              <w:rPr>
                <w:rFonts w:cs="Arial"/>
                <w:sz w:val="18"/>
                <w:szCs w:val="18"/>
              </w:rPr>
              <w:t>11,898</w:t>
            </w:r>
          </w:p>
        </w:tc>
        <w:tc>
          <w:tcPr>
            <w:tcW w:w="1418" w:type="dxa"/>
            <w:tcBorders>
              <w:top w:val="nil"/>
              <w:left w:val="nil"/>
              <w:bottom w:val="nil"/>
              <w:right w:val="nil"/>
            </w:tcBorders>
            <w:shd w:val="clear" w:color="auto" w:fill="auto"/>
            <w:vAlign w:val="bottom"/>
          </w:tcPr>
          <w:p w14:paraId="280AB203" w14:textId="4B7C02F5" w:rsidR="00B33D8D" w:rsidRPr="001D41EA" w:rsidRDefault="00B33D8D" w:rsidP="00F705DD">
            <w:pPr>
              <w:spacing w:before="40" w:after="20"/>
              <w:jc w:val="center"/>
              <w:rPr>
                <w:rFonts w:cs="Arial"/>
                <w:sz w:val="18"/>
                <w:szCs w:val="18"/>
              </w:rPr>
            </w:pPr>
            <w:r w:rsidRPr="001D41EA">
              <w:rPr>
                <w:rFonts w:cs="Arial"/>
                <w:sz w:val="18"/>
                <w:szCs w:val="18"/>
              </w:rPr>
              <w:t>36.8</w:t>
            </w:r>
          </w:p>
        </w:tc>
        <w:tc>
          <w:tcPr>
            <w:tcW w:w="170" w:type="dxa"/>
            <w:tcBorders>
              <w:top w:val="nil"/>
              <w:left w:val="nil"/>
              <w:bottom w:val="nil"/>
              <w:right w:val="nil"/>
            </w:tcBorders>
            <w:vAlign w:val="bottom"/>
          </w:tcPr>
          <w:p w14:paraId="3D5BEAF1"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A50EED4" w14:textId="6F8A45BF" w:rsidR="00B33D8D" w:rsidRPr="001D41EA" w:rsidRDefault="00B33D8D" w:rsidP="001D41EA">
            <w:pPr>
              <w:spacing w:before="40" w:after="20"/>
              <w:jc w:val="right"/>
              <w:rPr>
                <w:rFonts w:cs="Arial"/>
                <w:sz w:val="18"/>
                <w:szCs w:val="18"/>
              </w:rPr>
            </w:pPr>
            <w:r w:rsidRPr="001D41EA">
              <w:rPr>
                <w:rFonts w:cs="Arial"/>
                <w:sz w:val="18"/>
                <w:szCs w:val="18"/>
              </w:rPr>
              <w:t>127,883</w:t>
            </w:r>
          </w:p>
        </w:tc>
        <w:tc>
          <w:tcPr>
            <w:tcW w:w="170" w:type="dxa"/>
            <w:tcBorders>
              <w:top w:val="nil"/>
              <w:left w:val="nil"/>
              <w:bottom w:val="nil"/>
              <w:right w:val="nil"/>
            </w:tcBorders>
            <w:shd w:val="clear" w:color="auto" w:fill="auto"/>
            <w:vAlign w:val="bottom"/>
          </w:tcPr>
          <w:p w14:paraId="5DE6F53C" w14:textId="26A29AF0"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05ADDCF" w14:textId="471EA80D" w:rsidR="00B33D8D" w:rsidRPr="001D41EA" w:rsidRDefault="00B33D8D" w:rsidP="001D41EA">
            <w:pPr>
              <w:spacing w:before="40" w:after="20"/>
              <w:jc w:val="right"/>
              <w:rPr>
                <w:rFonts w:cs="Arial"/>
                <w:sz w:val="18"/>
                <w:szCs w:val="18"/>
              </w:rPr>
            </w:pPr>
            <w:r w:rsidRPr="001D41EA">
              <w:rPr>
                <w:rFonts w:cs="Arial"/>
                <w:sz w:val="18"/>
                <w:szCs w:val="18"/>
              </w:rPr>
              <w:t>0.9</w:t>
            </w:r>
          </w:p>
        </w:tc>
      </w:tr>
      <w:tr w:rsidR="00B33D8D" w:rsidRPr="001D41EA" w14:paraId="5C766EED"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38B08650" w14:textId="77777777" w:rsidR="00B33D8D" w:rsidRPr="001D41EA" w:rsidRDefault="00B33D8D" w:rsidP="001D41EA">
            <w:pPr>
              <w:spacing w:before="40" w:after="20"/>
              <w:rPr>
                <w:rFonts w:cs="Arial"/>
                <w:sz w:val="18"/>
                <w:szCs w:val="18"/>
              </w:rPr>
            </w:pPr>
            <w:r w:rsidRPr="001D41EA">
              <w:rPr>
                <w:rFonts w:cs="Arial"/>
                <w:sz w:val="18"/>
                <w:szCs w:val="18"/>
              </w:rPr>
              <w:t>Moorabool S</w:t>
            </w:r>
          </w:p>
        </w:tc>
        <w:tc>
          <w:tcPr>
            <w:tcW w:w="1418" w:type="dxa"/>
            <w:tcBorders>
              <w:top w:val="nil"/>
              <w:left w:val="single" w:sz="18" w:space="0" w:color="5F497A" w:themeColor="accent4" w:themeShade="BF"/>
              <w:bottom w:val="nil"/>
              <w:right w:val="nil"/>
            </w:tcBorders>
            <w:shd w:val="clear" w:color="auto" w:fill="auto"/>
            <w:vAlign w:val="bottom"/>
          </w:tcPr>
          <w:p w14:paraId="671D7B29" w14:textId="7E21E3C5" w:rsidR="00B33D8D" w:rsidRPr="001D41EA" w:rsidRDefault="00B33D8D" w:rsidP="001D41EA">
            <w:pPr>
              <w:spacing w:before="40" w:after="20"/>
              <w:jc w:val="right"/>
              <w:rPr>
                <w:rFonts w:cs="Arial"/>
                <w:sz w:val="18"/>
                <w:szCs w:val="18"/>
              </w:rPr>
            </w:pPr>
            <w:r w:rsidRPr="001D41EA">
              <w:rPr>
                <w:rFonts w:cs="Arial"/>
                <w:sz w:val="18"/>
                <w:szCs w:val="18"/>
              </w:rPr>
              <w:t>3,394</w:t>
            </w:r>
          </w:p>
        </w:tc>
        <w:tc>
          <w:tcPr>
            <w:tcW w:w="1418" w:type="dxa"/>
            <w:tcBorders>
              <w:top w:val="nil"/>
              <w:left w:val="nil"/>
              <w:bottom w:val="nil"/>
              <w:right w:val="nil"/>
            </w:tcBorders>
            <w:shd w:val="clear" w:color="auto" w:fill="auto"/>
            <w:vAlign w:val="bottom"/>
          </w:tcPr>
          <w:p w14:paraId="710AB466" w14:textId="752BEFBA" w:rsidR="00B33D8D" w:rsidRPr="001D41EA" w:rsidRDefault="00B33D8D" w:rsidP="00F705DD">
            <w:pPr>
              <w:spacing w:before="40" w:after="20"/>
              <w:jc w:val="center"/>
              <w:rPr>
                <w:rFonts w:cs="Arial"/>
                <w:sz w:val="18"/>
                <w:szCs w:val="18"/>
              </w:rPr>
            </w:pPr>
            <w:r w:rsidRPr="001D41EA">
              <w:rPr>
                <w:rFonts w:cs="Arial"/>
                <w:sz w:val="18"/>
                <w:szCs w:val="18"/>
              </w:rPr>
              <w:t>36.5</w:t>
            </w:r>
          </w:p>
        </w:tc>
        <w:tc>
          <w:tcPr>
            <w:tcW w:w="170" w:type="dxa"/>
            <w:tcBorders>
              <w:top w:val="nil"/>
              <w:left w:val="nil"/>
              <w:bottom w:val="nil"/>
              <w:right w:val="nil"/>
            </w:tcBorders>
            <w:vAlign w:val="bottom"/>
          </w:tcPr>
          <w:p w14:paraId="42B7AB75"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B3991D4" w14:textId="3198B9D1" w:rsidR="00B33D8D" w:rsidRPr="001D41EA" w:rsidRDefault="00B33D8D" w:rsidP="001D41EA">
            <w:pPr>
              <w:spacing w:before="40" w:after="20"/>
              <w:jc w:val="right"/>
              <w:rPr>
                <w:rFonts w:cs="Arial"/>
                <w:sz w:val="18"/>
                <w:szCs w:val="18"/>
              </w:rPr>
            </w:pPr>
            <w:r w:rsidRPr="001D41EA">
              <w:rPr>
                <w:rFonts w:cs="Arial"/>
                <w:sz w:val="18"/>
                <w:szCs w:val="18"/>
              </w:rPr>
              <w:t>34,158</w:t>
            </w:r>
          </w:p>
        </w:tc>
        <w:tc>
          <w:tcPr>
            <w:tcW w:w="170" w:type="dxa"/>
            <w:tcBorders>
              <w:top w:val="nil"/>
              <w:left w:val="nil"/>
              <w:bottom w:val="nil"/>
              <w:right w:val="nil"/>
            </w:tcBorders>
            <w:shd w:val="clear" w:color="auto" w:fill="auto"/>
            <w:vAlign w:val="bottom"/>
          </w:tcPr>
          <w:p w14:paraId="0A9C4231" w14:textId="4B1D5B85"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7A412EA" w14:textId="404CD9EE" w:rsidR="00B33D8D" w:rsidRPr="001D41EA" w:rsidRDefault="00B33D8D" w:rsidP="001D41EA">
            <w:pPr>
              <w:spacing w:before="40" w:after="20"/>
              <w:jc w:val="right"/>
              <w:rPr>
                <w:rFonts w:cs="Arial"/>
                <w:sz w:val="18"/>
                <w:szCs w:val="18"/>
              </w:rPr>
            </w:pPr>
            <w:r w:rsidRPr="001D41EA">
              <w:rPr>
                <w:rFonts w:cs="Arial"/>
                <w:sz w:val="18"/>
                <w:szCs w:val="18"/>
              </w:rPr>
              <w:t>28.1</w:t>
            </w:r>
          </w:p>
        </w:tc>
      </w:tr>
      <w:tr w:rsidR="00B33D8D" w:rsidRPr="001D41EA" w14:paraId="68E76EDE"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468A64B8" w14:textId="77777777" w:rsidR="00B33D8D" w:rsidRPr="001D41EA" w:rsidRDefault="00B33D8D" w:rsidP="001D41EA">
            <w:pPr>
              <w:spacing w:before="40" w:after="20"/>
              <w:rPr>
                <w:rFonts w:cs="Arial"/>
                <w:sz w:val="18"/>
                <w:szCs w:val="18"/>
              </w:rPr>
            </w:pPr>
            <w:r w:rsidRPr="001D41EA">
              <w:rPr>
                <w:rFonts w:cs="Arial"/>
                <w:sz w:val="18"/>
                <w:szCs w:val="18"/>
              </w:rPr>
              <w:t>Moreland C</w:t>
            </w:r>
          </w:p>
        </w:tc>
        <w:tc>
          <w:tcPr>
            <w:tcW w:w="1418" w:type="dxa"/>
            <w:tcBorders>
              <w:top w:val="nil"/>
              <w:left w:val="single" w:sz="18" w:space="0" w:color="5F497A" w:themeColor="accent4" w:themeShade="BF"/>
              <w:bottom w:val="nil"/>
              <w:right w:val="nil"/>
            </w:tcBorders>
            <w:shd w:val="clear" w:color="auto" w:fill="auto"/>
            <w:vAlign w:val="bottom"/>
          </w:tcPr>
          <w:p w14:paraId="4646D2E4" w14:textId="5F51466B" w:rsidR="00B33D8D" w:rsidRPr="001D41EA" w:rsidRDefault="00B33D8D" w:rsidP="001D41EA">
            <w:pPr>
              <w:spacing w:before="40" w:after="20"/>
              <w:jc w:val="right"/>
              <w:rPr>
                <w:rFonts w:cs="Arial"/>
                <w:sz w:val="18"/>
                <w:szCs w:val="18"/>
              </w:rPr>
            </w:pPr>
            <w:r w:rsidRPr="001D41EA">
              <w:rPr>
                <w:rFonts w:cs="Arial"/>
                <w:sz w:val="18"/>
                <w:szCs w:val="18"/>
              </w:rPr>
              <w:t>16,216</w:t>
            </w:r>
          </w:p>
        </w:tc>
        <w:tc>
          <w:tcPr>
            <w:tcW w:w="1418" w:type="dxa"/>
            <w:tcBorders>
              <w:top w:val="nil"/>
              <w:left w:val="nil"/>
              <w:bottom w:val="nil"/>
              <w:right w:val="nil"/>
            </w:tcBorders>
            <w:shd w:val="clear" w:color="auto" w:fill="auto"/>
            <w:vAlign w:val="bottom"/>
          </w:tcPr>
          <w:p w14:paraId="26154BD2" w14:textId="4C07513C" w:rsidR="00B33D8D" w:rsidRPr="001D41EA" w:rsidRDefault="00B33D8D" w:rsidP="00F705DD">
            <w:pPr>
              <w:spacing w:before="40" w:after="20"/>
              <w:jc w:val="center"/>
              <w:rPr>
                <w:rFonts w:cs="Arial"/>
                <w:sz w:val="18"/>
                <w:szCs w:val="18"/>
              </w:rPr>
            </w:pPr>
            <w:r w:rsidRPr="001D41EA">
              <w:rPr>
                <w:rFonts w:cs="Arial"/>
                <w:sz w:val="18"/>
                <w:szCs w:val="18"/>
              </w:rPr>
              <w:t>39.5</w:t>
            </w:r>
          </w:p>
        </w:tc>
        <w:tc>
          <w:tcPr>
            <w:tcW w:w="170" w:type="dxa"/>
            <w:tcBorders>
              <w:top w:val="nil"/>
              <w:left w:val="nil"/>
              <w:bottom w:val="nil"/>
              <w:right w:val="nil"/>
            </w:tcBorders>
            <w:vAlign w:val="bottom"/>
          </w:tcPr>
          <w:p w14:paraId="1A0A8CB6"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1C4D84B" w14:textId="4FC446E2" w:rsidR="00B33D8D" w:rsidRPr="001D41EA" w:rsidRDefault="00B33D8D" w:rsidP="001D41EA">
            <w:pPr>
              <w:spacing w:before="40" w:after="20"/>
              <w:jc w:val="right"/>
              <w:rPr>
                <w:rFonts w:cs="Arial"/>
                <w:sz w:val="18"/>
                <w:szCs w:val="18"/>
              </w:rPr>
            </w:pPr>
            <w:r w:rsidRPr="001D41EA">
              <w:rPr>
                <w:rFonts w:cs="Arial"/>
                <w:sz w:val="18"/>
                <w:szCs w:val="18"/>
              </w:rPr>
              <w:t>181,725</w:t>
            </w:r>
          </w:p>
        </w:tc>
        <w:tc>
          <w:tcPr>
            <w:tcW w:w="170" w:type="dxa"/>
            <w:tcBorders>
              <w:top w:val="nil"/>
              <w:left w:val="nil"/>
              <w:bottom w:val="nil"/>
              <w:right w:val="nil"/>
            </w:tcBorders>
            <w:shd w:val="clear" w:color="auto" w:fill="auto"/>
            <w:vAlign w:val="bottom"/>
          </w:tcPr>
          <w:p w14:paraId="17AA753D" w14:textId="37E02F02"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1605D49" w14:textId="2E783093" w:rsidR="00B33D8D" w:rsidRPr="001D41EA" w:rsidRDefault="00B33D8D" w:rsidP="001D41EA">
            <w:pPr>
              <w:spacing w:before="40" w:after="20"/>
              <w:jc w:val="right"/>
              <w:rPr>
                <w:rFonts w:cs="Arial"/>
                <w:sz w:val="18"/>
                <w:szCs w:val="18"/>
              </w:rPr>
            </w:pPr>
            <w:r w:rsidRPr="001D41EA">
              <w:rPr>
                <w:rFonts w:cs="Arial"/>
                <w:sz w:val="18"/>
                <w:szCs w:val="18"/>
              </w:rPr>
              <w:t>0.5</w:t>
            </w:r>
          </w:p>
        </w:tc>
      </w:tr>
      <w:tr w:rsidR="00B33D8D" w:rsidRPr="001D41EA" w14:paraId="61ADC15F"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11952114" w14:textId="77777777" w:rsidR="00B33D8D" w:rsidRPr="001D41EA" w:rsidRDefault="00B33D8D" w:rsidP="001D41EA">
            <w:pPr>
              <w:spacing w:before="40" w:after="20"/>
              <w:rPr>
                <w:rFonts w:cs="Arial"/>
                <w:sz w:val="18"/>
                <w:szCs w:val="18"/>
              </w:rPr>
            </w:pPr>
            <w:r w:rsidRPr="001D41EA">
              <w:rPr>
                <w:rFonts w:cs="Arial"/>
                <w:sz w:val="18"/>
                <w:szCs w:val="18"/>
              </w:rPr>
              <w:t>Mornington Peninsula S</w:t>
            </w:r>
          </w:p>
        </w:tc>
        <w:tc>
          <w:tcPr>
            <w:tcW w:w="1418" w:type="dxa"/>
            <w:tcBorders>
              <w:top w:val="nil"/>
              <w:left w:val="single" w:sz="18" w:space="0" w:color="5F497A" w:themeColor="accent4" w:themeShade="BF"/>
              <w:bottom w:val="nil"/>
              <w:right w:val="nil"/>
            </w:tcBorders>
            <w:shd w:val="clear" w:color="auto" w:fill="auto"/>
            <w:vAlign w:val="bottom"/>
          </w:tcPr>
          <w:p w14:paraId="2122C6D2" w14:textId="53EC50DE" w:rsidR="00B33D8D" w:rsidRPr="001D41EA" w:rsidRDefault="00B33D8D" w:rsidP="001D41EA">
            <w:pPr>
              <w:spacing w:before="40" w:after="20"/>
              <w:jc w:val="right"/>
              <w:rPr>
                <w:rFonts w:cs="Arial"/>
                <w:sz w:val="18"/>
                <w:szCs w:val="18"/>
              </w:rPr>
            </w:pPr>
            <w:r w:rsidRPr="001D41EA">
              <w:rPr>
                <w:rFonts w:cs="Arial"/>
                <w:sz w:val="18"/>
                <w:szCs w:val="18"/>
              </w:rPr>
              <w:t>23,796</w:t>
            </w:r>
          </w:p>
        </w:tc>
        <w:tc>
          <w:tcPr>
            <w:tcW w:w="1418" w:type="dxa"/>
            <w:tcBorders>
              <w:top w:val="nil"/>
              <w:left w:val="nil"/>
              <w:bottom w:val="nil"/>
              <w:right w:val="nil"/>
            </w:tcBorders>
            <w:shd w:val="clear" w:color="auto" w:fill="auto"/>
            <w:vAlign w:val="bottom"/>
          </w:tcPr>
          <w:p w14:paraId="4E3235DD" w14:textId="2BE729D8" w:rsidR="00B33D8D" w:rsidRPr="001D41EA" w:rsidRDefault="00B33D8D" w:rsidP="00F705DD">
            <w:pPr>
              <w:spacing w:before="40" w:after="20"/>
              <w:jc w:val="center"/>
              <w:rPr>
                <w:rFonts w:cs="Arial"/>
                <w:sz w:val="18"/>
                <w:szCs w:val="18"/>
              </w:rPr>
            </w:pPr>
            <w:r w:rsidRPr="001D41EA">
              <w:rPr>
                <w:rFonts w:cs="Arial"/>
                <w:sz w:val="18"/>
                <w:szCs w:val="18"/>
              </w:rPr>
              <w:t>39.6</w:t>
            </w:r>
          </w:p>
        </w:tc>
        <w:tc>
          <w:tcPr>
            <w:tcW w:w="170" w:type="dxa"/>
            <w:tcBorders>
              <w:top w:val="nil"/>
              <w:left w:val="nil"/>
              <w:bottom w:val="nil"/>
              <w:right w:val="nil"/>
            </w:tcBorders>
            <w:vAlign w:val="bottom"/>
          </w:tcPr>
          <w:p w14:paraId="77493560"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E9198C3" w14:textId="5E3D0B19" w:rsidR="00B33D8D" w:rsidRPr="001D41EA" w:rsidRDefault="00B33D8D" w:rsidP="001D41EA">
            <w:pPr>
              <w:spacing w:before="40" w:after="20"/>
              <w:jc w:val="right"/>
              <w:rPr>
                <w:rFonts w:cs="Arial"/>
                <w:sz w:val="18"/>
                <w:szCs w:val="18"/>
              </w:rPr>
            </w:pPr>
            <w:r w:rsidRPr="001D41EA">
              <w:rPr>
                <w:rFonts w:cs="Arial"/>
                <w:sz w:val="18"/>
                <w:szCs w:val="18"/>
              </w:rPr>
              <w:t>165,822</w:t>
            </w:r>
          </w:p>
        </w:tc>
        <w:tc>
          <w:tcPr>
            <w:tcW w:w="170" w:type="dxa"/>
            <w:tcBorders>
              <w:top w:val="nil"/>
              <w:left w:val="nil"/>
              <w:bottom w:val="nil"/>
              <w:right w:val="nil"/>
            </w:tcBorders>
            <w:shd w:val="clear" w:color="auto" w:fill="auto"/>
            <w:vAlign w:val="bottom"/>
          </w:tcPr>
          <w:p w14:paraId="429E5877" w14:textId="66DFB0CC"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FB4AF16" w14:textId="2E8E5F79" w:rsidR="00B33D8D" w:rsidRPr="001D41EA" w:rsidRDefault="00B33D8D" w:rsidP="001D41EA">
            <w:pPr>
              <w:spacing w:before="40" w:after="20"/>
              <w:jc w:val="right"/>
              <w:rPr>
                <w:rFonts w:cs="Arial"/>
                <w:sz w:val="18"/>
                <w:szCs w:val="18"/>
              </w:rPr>
            </w:pPr>
            <w:r w:rsidRPr="001D41EA">
              <w:rPr>
                <w:rFonts w:cs="Arial"/>
                <w:sz w:val="18"/>
                <w:szCs w:val="18"/>
              </w:rPr>
              <w:t>17.2</w:t>
            </w:r>
          </w:p>
        </w:tc>
      </w:tr>
      <w:tr w:rsidR="00B33D8D" w:rsidRPr="001D41EA" w14:paraId="63ECBE12"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61E0464E" w14:textId="77777777" w:rsidR="00B33D8D" w:rsidRPr="001D41EA" w:rsidRDefault="00B33D8D" w:rsidP="001D41EA">
            <w:pPr>
              <w:spacing w:before="40" w:after="20"/>
              <w:rPr>
                <w:rFonts w:cs="Arial"/>
                <w:sz w:val="18"/>
                <w:szCs w:val="18"/>
              </w:rPr>
            </w:pPr>
            <w:r w:rsidRPr="001D41EA">
              <w:rPr>
                <w:rFonts w:cs="Arial"/>
                <w:sz w:val="18"/>
                <w:szCs w:val="18"/>
              </w:rPr>
              <w:t>Mount Alexander S</w:t>
            </w:r>
          </w:p>
        </w:tc>
        <w:tc>
          <w:tcPr>
            <w:tcW w:w="1418" w:type="dxa"/>
            <w:tcBorders>
              <w:top w:val="nil"/>
              <w:left w:val="single" w:sz="18" w:space="0" w:color="5F497A" w:themeColor="accent4" w:themeShade="BF"/>
              <w:bottom w:val="nil"/>
              <w:right w:val="nil"/>
            </w:tcBorders>
            <w:shd w:val="clear" w:color="auto" w:fill="auto"/>
            <w:vAlign w:val="bottom"/>
          </w:tcPr>
          <w:p w14:paraId="73F614A5" w14:textId="26F164DF" w:rsidR="00B33D8D" w:rsidRPr="001D41EA" w:rsidRDefault="00B33D8D" w:rsidP="001D41EA">
            <w:pPr>
              <w:spacing w:before="40" w:after="20"/>
              <w:jc w:val="right"/>
              <w:rPr>
                <w:rFonts w:cs="Arial"/>
                <w:sz w:val="18"/>
                <w:szCs w:val="18"/>
              </w:rPr>
            </w:pPr>
            <w:r w:rsidRPr="001D41EA">
              <w:rPr>
                <w:rFonts w:cs="Arial"/>
                <w:sz w:val="18"/>
                <w:szCs w:val="18"/>
              </w:rPr>
              <w:t>3,051</w:t>
            </w:r>
          </w:p>
        </w:tc>
        <w:tc>
          <w:tcPr>
            <w:tcW w:w="1418" w:type="dxa"/>
            <w:tcBorders>
              <w:top w:val="nil"/>
              <w:left w:val="nil"/>
              <w:bottom w:val="nil"/>
              <w:right w:val="nil"/>
            </w:tcBorders>
            <w:shd w:val="clear" w:color="auto" w:fill="auto"/>
            <w:vAlign w:val="bottom"/>
          </w:tcPr>
          <w:p w14:paraId="4282F6E0" w14:textId="15B79688" w:rsidR="00B33D8D" w:rsidRPr="001D41EA" w:rsidRDefault="00B33D8D" w:rsidP="00F705DD">
            <w:pPr>
              <w:spacing w:before="40" w:after="20"/>
              <w:jc w:val="center"/>
              <w:rPr>
                <w:rFonts w:cs="Arial"/>
                <w:sz w:val="18"/>
                <w:szCs w:val="18"/>
              </w:rPr>
            </w:pPr>
            <w:r w:rsidRPr="001D41EA">
              <w:rPr>
                <w:rFonts w:cs="Arial"/>
                <w:sz w:val="18"/>
                <w:szCs w:val="18"/>
              </w:rPr>
              <w:t>39.6</w:t>
            </w:r>
          </w:p>
        </w:tc>
        <w:tc>
          <w:tcPr>
            <w:tcW w:w="170" w:type="dxa"/>
            <w:tcBorders>
              <w:top w:val="nil"/>
              <w:left w:val="nil"/>
              <w:bottom w:val="nil"/>
              <w:right w:val="nil"/>
            </w:tcBorders>
            <w:vAlign w:val="bottom"/>
          </w:tcPr>
          <w:p w14:paraId="3545CFCF"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2420945" w14:textId="3F1698E0" w:rsidR="00B33D8D" w:rsidRPr="001D41EA" w:rsidRDefault="00B33D8D" w:rsidP="001D41EA">
            <w:pPr>
              <w:spacing w:before="40" w:after="20"/>
              <w:jc w:val="right"/>
              <w:rPr>
                <w:rFonts w:cs="Arial"/>
                <w:sz w:val="18"/>
                <w:szCs w:val="18"/>
              </w:rPr>
            </w:pPr>
            <w:r w:rsidRPr="001D41EA">
              <w:rPr>
                <w:rFonts w:cs="Arial"/>
                <w:sz w:val="18"/>
                <w:szCs w:val="18"/>
              </w:rPr>
              <w:t>19,514</w:t>
            </w:r>
          </w:p>
        </w:tc>
        <w:tc>
          <w:tcPr>
            <w:tcW w:w="170" w:type="dxa"/>
            <w:tcBorders>
              <w:top w:val="nil"/>
              <w:left w:val="nil"/>
              <w:bottom w:val="nil"/>
              <w:right w:val="nil"/>
            </w:tcBorders>
            <w:shd w:val="clear" w:color="auto" w:fill="auto"/>
            <w:vAlign w:val="bottom"/>
          </w:tcPr>
          <w:p w14:paraId="4A6A8A6F" w14:textId="60F3AF6D"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744DB384" w14:textId="7F9DD192" w:rsidR="00B33D8D" w:rsidRPr="001D41EA" w:rsidRDefault="00B33D8D" w:rsidP="001D41EA">
            <w:pPr>
              <w:spacing w:before="40" w:after="20"/>
              <w:jc w:val="right"/>
              <w:rPr>
                <w:rFonts w:cs="Arial"/>
                <w:sz w:val="18"/>
                <w:szCs w:val="18"/>
              </w:rPr>
            </w:pPr>
            <w:r w:rsidRPr="001D41EA">
              <w:rPr>
                <w:rFonts w:cs="Arial"/>
                <w:sz w:val="18"/>
                <w:szCs w:val="18"/>
              </w:rPr>
              <w:t>19.1</w:t>
            </w:r>
          </w:p>
        </w:tc>
      </w:tr>
      <w:tr w:rsidR="00B33D8D" w:rsidRPr="001D41EA" w14:paraId="09FDCFAD"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0C44A0C5" w14:textId="77777777" w:rsidR="00B33D8D" w:rsidRPr="001D41EA" w:rsidRDefault="00B33D8D" w:rsidP="001D41EA">
            <w:pPr>
              <w:spacing w:before="40" w:after="20"/>
              <w:rPr>
                <w:rFonts w:cs="Arial"/>
                <w:sz w:val="18"/>
                <w:szCs w:val="18"/>
              </w:rPr>
            </w:pPr>
            <w:r w:rsidRPr="001D41EA">
              <w:rPr>
                <w:rFonts w:cs="Arial"/>
                <w:sz w:val="18"/>
                <w:szCs w:val="18"/>
              </w:rPr>
              <w:t>Moyne S</w:t>
            </w:r>
          </w:p>
        </w:tc>
        <w:tc>
          <w:tcPr>
            <w:tcW w:w="1418" w:type="dxa"/>
            <w:tcBorders>
              <w:top w:val="nil"/>
              <w:left w:val="single" w:sz="18" w:space="0" w:color="5F497A" w:themeColor="accent4" w:themeShade="BF"/>
              <w:bottom w:val="nil"/>
              <w:right w:val="nil"/>
            </w:tcBorders>
            <w:shd w:val="clear" w:color="auto" w:fill="auto"/>
            <w:vAlign w:val="bottom"/>
          </w:tcPr>
          <w:p w14:paraId="3FD84C14" w14:textId="647DBA3C" w:rsidR="00B33D8D" w:rsidRPr="001D41EA" w:rsidRDefault="00B33D8D" w:rsidP="001D41EA">
            <w:pPr>
              <w:spacing w:before="40" w:after="20"/>
              <w:jc w:val="right"/>
              <w:rPr>
                <w:rFonts w:cs="Arial"/>
                <w:sz w:val="18"/>
                <w:szCs w:val="18"/>
              </w:rPr>
            </w:pPr>
            <w:r w:rsidRPr="001D41EA">
              <w:rPr>
                <w:rFonts w:cs="Arial"/>
                <w:sz w:val="18"/>
                <w:szCs w:val="18"/>
              </w:rPr>
              <w:t>1,792</w:t>
            </w:r>
          </w:p>
        </w:tc>
        <w:tc>
          <w:tcPr>
            <w:tcW w:w="1418" w:type="dxa"/>
            <w:tcBorders>
              <w:top w:val="nil"/>
              <w:left w:val="nil"/>
              <w:bottom w:val="nil"/>
              <w:right w:val="nil"/>
            </w:tcBorders>
            <w:shd w:val="clear" w:color="auto" w:fill="auto"/>
            <w:vAlign w:val="bottom"/>
          </w:tcPr>
          <w:p w14:paraId="67EB830A" w14:textId="465E74BA" w:rsidR="00B33D8D" w:rsidRPr="001D41EA" w:rsidRDefault="00B33D8D" w:rsidP="00F705DD">
            <w:pPr>
              <w:spacing w:before="40" w:after="20"/>
              <w:jc w:val="center"/>
              <w:rPr>
                <w:rFonts w:cs="Arial"/>
                <w:sz w:val="18"/>
                <w:szCs w:val="18"/>
              </w:rPr>
            </w:pPr>
            <w:r w:rsidRPr="001D41EA">
              <w:rPr>
                <w:rFonts w:cs="Arial"/>
                <w:sz w:val="18"/>
                <w:szCs w:val="18"/>
              </w:rPr>
              <w:t>33.9</w:t>
            </w:r>
          </w:p>
        </w:tc>
        <w:tc>
          <w:tcPr>
            <w:tcW w:w="170" w:type="dxa"/>
            <w:tcBorders>
              <w:top w:val="nil"/>
              <w:left w:val="nil"/>
              <w:bottom w:val="nil"/>
              <w:right w:val="nil"/>
            </w:tcBorders>
            <w:vAlign w:val="bottom"/>
          </w:tcPr>
          <w:p w14:paraId="510F066D"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8765DBC" w14:textId="30B0D0BF" w:rsidR="00B33D8D" w:rsidRPr="001D41EA" w:rsidRDefault="00B33D8D" w:rsidP="001D41EA">
            <w:pPr>
              <w:spacing w:before="40" w:after="20"/>
              <w:jc w:val="right"/>
              <w:rPr>
                <w:rFonts w:cs="Arial"/>
                <w:sz w:val="18"/>
                <w:szCs w:val="18"/>
              </w:rPr>
            </w:pPr>
            <w:r w:rsidRPr="001D41EA">
              <w:rPr>
                <w:rFonts w:cs="Arial"/>
                <w:sz w:val="18"/>
                <w:szCs w:val="18"/>
              </w:rPr>
              <w:t>16,887</w:t>
            </w:r>
          </w:p>
        </w:tc>
        <w:tc>
          <w:tcPr>
            <w:tcW w:w="170" w:type="dxa"/>
            <w:tcBorders>
              <w:top w:val="nil"/>
              <w:left w:val="nil"/>
              <w:bottom w:val="nil"/>
              <w:right w:val="nil"/>
            </w:tcBorders>
            <w:shd w:val="clear" w:color="auto" w:fill="auto"/>
            <w:vAlign w:val="bottom"/>
          </w:tcPr>
          <w:p w14:paraId="7FF6E2D7" w14:textId="0A450CAD"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3D694160" w14:textId="160401CC" w:rsidR="00B33D8D" w:rsidRPr="001D41EA" w:rsidRDefault="00B33D8D" w:rsidP="001D41EA">
            <w:pPr>
              <w:spacing w:before="40" w:after="20"/>
              <w:jc w:val="right"/>
              <w:rPr>
                <w:rFonts w:cs="Arial"/>
                <w:sz w:val="18"/>
                <w:szCs w:val="18"/>
              </w:rPr>
            </w:pPr>
            <w:r w:rsidRPr="001D41EA">
              <w:rPr>
                <w:rFonts w:cs="Arial"/>
                <w:sz w:val="18"/>
                <w:szCs w:val="18"/>
              </w:rPr>
              <w:t>16.7</w:t>
            </w:r>
          </w:p>
        </w:tc>
      </w:tr>
      <w:tr w:rsidR="00B33D8D" w:rsidRPr="001D41EA" w14:paraId="7F61CF9A"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6914E47B" w14:textId="77777777" w:rsidR="00B33D8D" w:rsidRPr="001D41EA" w:rsidRDefault="00B33D8D" w:rsidP="001D41EA">
            <w:pPr>
              <w:spacing w:before="40" w:after="20"/>
              <w:rPr>
                <w:rFonts w:cs="Arial"/>
                <w:sz w:val="18"/>
                <w:szCs w:val="18"/>
              </w:rPr>
            </w:pPr>
            <w:r w:rsidRPr="001D41EA">
              <w:rPr>
                <w:rFonts w:cs="Arial"/>
                <w:sz w:val="18"/>
                <w:szCs w:val="18"/>
              </w:rPr>
              <w:t>Murrindindi S</w:t>
            </w:r>
          </w:p>
        </w:tc>
        <w:tc>
          <w:tcPr>
            <w:tcW w:w="1418" w:type="dxa"/>
            <w:tcBorders>
              <w:top w:val="nil"/>
              <w:left w:val="single" w:sz="18" w:space="0" w:color="5F497A" w:themeColor="accent4" w:themeShade="BF"/>
              <w:bottom w:val="nil"/>
              <w:right w:val="nil"/>
            </w:tcBorders>
            <w:shd w:val="clear" w:color="auto" w:fill="auto"/>
            <w:vAlign w:val="bottom"/>
          </w:tcPr>
          <w:p w14:paraId="618E2B35" w14:textId="32C5A462" w:rsidR="00B33D8D" w:rsidRPr="001D41EA" w:rsidRDefault="00B33D8D" w:rsidP="001D41EA">
            <w:pPr>
              <w:spacing w:before="40" w:after="20"/>
              <w:jc w:val="right"/>
              <w:rPr>
                <w:rFonts w:cs="Arial"/>
                <w:sz w:val="18"/>
                <w:szCs w:val="18"/>
              </w:rPr>
            </w:pPr>
            <w:r w:rsidRPr="001D41EA">
              <w:rPr>
                <w:rFonts w:cs="Arial"/>
                <w:sz w:val="18"/>
                <w:szCs w:val="18"/>
              </w:rPr>
              <w:t>2,066</w:t>
            </w:r>
          </w:p>
        </w:tc>
        <w:tc>
          <w:tcPr>
            <w:tcW w:w="1418" w:type="dxa"/>
            <w:tcBorders>
              <w:top w:val="nil"/>
              <w:left w:val="nil"/>
              <w:bottom w:val="nil"/>
              <w:right w:val="nil"/>
            </w:tcBorders>
            <w:shd w:val="clear" w:color="auto" w:fill="auto"/>
            <w:vAlign w:val="bottom"/>
          </w:tcPr>
          <w:p w14:paraId="261C7901" w14:textId="6340230F" w:rsidR="00B33D8D" w:rsidRPr="001D41EA" w:rsidRDefault="00B33D8D" w:rsidP="00F705DD">
            <w:pPr>
              <w:spacing w:before="40" w:after="20"/>
              <w:jc w:val="center"/>
              <w:rPr>
                <w:rFonts w:cs="Arial"/>
                <w:sz w:val="18"/>
                <w:szCs w:val="18"/>
              </w:rPr>
            </w:pPr>
            <w:r w:rsidRPr="001D41EA">
              <w:rPr>
                <w:rFonts w:cs="Arial"/>
                <w:sz w:val="18"/>
                <w:szCs w:val="18"/>
              </w:rPr>
              <w:t>37.0</w:t>
            </w:r>
          </w:p>
        </w:tc>
        <w:tc>
          <w:tcPr>
            <w:tcW w:w="170" w:type="dxa"/>
            <w:tcBorders>
              <w:top w:val="nil"/>
              <w:left w:val="nil"/>
              <w:bottom w:val="nil"/>
              <w:right w:val="nil"/>
            </w:tcBorders>
            <w:vAlign w:val="bottom"/>
          </w:tcPr>
          <w:p w14:paraId="2D5AF2A8"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51BE1F6" w14:textId="2E8DE006" w:rsidR="00B33D8D" w:rsidRPr="001D41EA" w:rsidRDefault="00B33D8D" w:rsidP="001D41EA">
            <w:pPr>
              <w:spacing w:before="40" w:after="20"/>
              <w:jc w:val="right"/>
              <w:rPr>
                <w:rFonts w:cs="Arial"/>
                <w:sz w:val="18"/>
                <w:szCs w:val="18"/>
              </w:rPr>
            </w:pPr>
            <w:r w:rsidRPr="001D41EA">
              <w:rPr>
                <w:rFonts w:cs="Arial"/>
                <w:sz w:val="18"/>
                <w:szCs w:val="18"/>
              </w:rPr>
              <w:t>14,478</w:t>
            </w:r>
          </w:p>
        </w:tc>
        <w:tc>
          <w:tcPr>
            <w:tcW w:w="170" w:type="dxa"/>
            <w:tcBorders>
              <w:top w:val="nil"/>
              <w:left w:val="nil"/>
              <w:bottom w:val="nil"/>
              <w:right w:val="nil"/>
            </w:tcBorders>
            <w:shd w:val="clear" w:color="auto" w:fill="auto"/>
            <w:vAlign w:val="bottom"/>
          </w:tcPr>
          <w:p w14:paraId="69B8666B" w14:textId="13D81D66"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23DFEB8" w14:textId="64EC9603" w:rsidR="00B33D8D" w:rsidRPr="001D41EA" w:rsidRDefault="00B33D8D" w:rsidP="001D41EA">
            <w:pPr>
              <w:spacing w:before="40" w:after="20"/>
              <w:jc w:val="right"/>
              <w:rPr>
                <w:rFonts w:cs="Arial"/>
                <w:sz w:val="18"/>
                <w:szCs w:val="18"/>
              </w:rPr>
            </w:pPr>
            <w:r w:rsidRPr="001D41EA">
              <w:rPr>
                <w:rFonts w:cs="Arial"/>
                <w:sz w:val="18"/>
                <w:szCs w:val="18"/>
              </w:rPr>
              <w:t>37.4</w:t>
            </w:r>
          </w:p>
        </w:tc>
      </w:tr>
      <w:tr w:rsidR="00B33D8D" w:rsidRPr="001D41EA" w14:paraId="15DD717C"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66664353" w14:textId="77777777" w:rsidR="00B33D8D" w:rsidRPr="001D41EA" w:rsidRDefault="00B33D8D" w:rsidP="001D41EA">
            <w:pPr>
              <w:spacing w:before="40" w:after="20"/>
              <w:rPr>
                <w:rFonts w:cs="Arial"/>
                <w:sz w:val="18"/>
                <w:szCs w:val="18"/>
              </w:rPr>
            </w:pPr>
            <w:r w:rsidRPr="001D41EA">
              <w:rPr>
                <w:rFonts w:cs="Arial"/>
                <w:sz w:val="18"/>
                <w:szCs w:val="18"/>
              </w:rPr>
              <w:t>Nillumbik S</w:t>
            </w:r>
          </w:p>
        </w:tc>
        <w:tc>
          <w:tcPr>
            <w:tcW w:w="1418" w:type="dxa"/>
            <w:tcBorders>
              <w:top w:val="nil"/>
              <w:left w:val="single" w:sz="18" w:space="0" w:color="5F497A" w:themeColor="accent4" w:themeShade="BF"/>
              <w:bottom w:val="nil"/>
              <w:right w:val="nil"/>
            </w:tcBorders>
            <w:shd w:val="clear" w:color="auto" w:fill="auto"/>
            <w:vAlign w:val="bottom"/>
          </w:tcPr>
          <w:p w14:paraId="7C31B512" w14:textId="6343E7A0" w:rsidR="00B33D8D" w:rsidRPr="001D41EA" w:rsidRDefault="00B33D8D" w:rsidP="001D41EA">
            <w:pPr>
              <w:spacing w:before="40" w:after="20"/>
              <w:jc w:val="right"/>
              <w:rPr>
                <w:rFonts w:cs="Arial"/>
                <w:sz w:val="18"/>
                <w:szCs w:val="18"/>
              </w:rPr>
            </w:pPr>
            <w:r w:rsidRPr="001D41EA">
              <w:rPr>
                <w:rFonts w:cs="Arial"/>
                <w:sz w:val="18"/>
                <w:szCs w:val="18"/>
              </w:rPr>
              <w:t>4,020</w:t>
            </w:r>
          </w:p>
        </w:tc>
        <w:tc>
          <w:tcPr>
            <w:tcW w:w="1418" w:type="dxa"/>
            <w:tcBorders>
              <w:top w:val="nil"/>
              <w:left w:val="nil"/>
              <w:bottom w:val="nil"/>
              <w:right w:val="nil"/>
            </w:tcBorders>
            <w:shd w:val="clear" w:color="auto" w:fill="auto"/>
            <w:vAlign w:val="bottom"/>
          </w:tcPr>
          <w:p w14:paraId="19FC5F4A" w14:textId="3F19CC9A" w:rsidR="00B33D8D" w:rsidRPr="001D41EA" w:rsidRDefault="00B33D8D" w:rsidP="00F705DD">
            <w:pPr>
              <w:spacing w:before="40" w:after="20"/>
              <w:jc w:val="center"/>
              <w:rPr>
                <w:rFonts w:cs="Arial"/>
                <w:sz w:val="18"/>
                <w:szCs w:val="18"/>
              </w:rPr>
            </w:pPr>
            <w:r w:rsidRPr="001D41EA">
              <w:rPr>
                <w:rFonts w:cs="Arial"/>
                <w:sz w:val="18"/>
                <w:szCs w:val="18"/>
              </w:rPr>
              <w:t>27.1</w:t>
            </w:r>
          </w:p>
        </w:tc>
        <w:tc>
          <w:tcPr>
            <w:tcW w:w="170" w:type="dxa"/>
            <w:tcBorders>
              <w:top w:val="nil"/>
              <w:left w:val="nil"/>
              <w:bottom w:val="nil"/>
              <w:right w:val="nil"/>
            </w:tcBorders>
            <w:vAlign w:val="bottom"/>
          </w:tcPr>
          <w:p w14:paraId="01E05528"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62F86A6" w14:textId="5BCB03DD" w:rsidR="00B33D8D" w:rsidRPr="001D41EA" w:rsidRDefault="00B33D8D" w:rsidP="001D41EA">
            <w:pPr>
              <w:spacing w:before="40" w:after="20"/>
              <w:jc w:val="right"/>
              <w:rPr>
                <w:rFonts w:cs="Arial"/>
                <w:sz w:val="18"/>
                <w:szCs w:val="18"/>
              </w:rPr>
            </w:pPr>
            <w:r w:rsidRPr="001D41EA">
              <w:rPr>
                <w:rFonts w:cs="Arial"/>
                <w:sz w:val="18"/>
                <w:szCs w:val="18"/>
              </w:rPr>
              <w:t>64,941</w:t>
            </w:r>
          </w:p>
        </w:tc>
        <w:tc>
          <w:tcPr>
            <w:tcW w:w="170" w:type="dxa"/>
            <w:tcBorders>
              <w:top w:val="nil"/>
              <w:left w:val="nil"/>
              <w:bottom w:val="nil"/>
              <w:right w:val="nil"/>
            </w:tcBorders>
            <w:shd w:val="clear" w:color="auto" w:fill="auto"/>
            <w:vAlign w:val="bottom"/>
          </w:tcPr>
          <w:p w14:paraId="384D3ABE" w14:textId="16601FE9"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5D34A7E" w14:textId="00B4F355" w:rsidR="00B33D8D" w:rsidRPr="001D41EA" w:rsidRDefault="00B33D8D" w:rsidP="001D41EA">
            <w:pPr>
              <w:spacing w:before="40" w:after="20"/>
              <w:jc w:val="right"/>
              <w:rPr>
                <w:rFonts w:cs="Arial"/>
                <w:sz w:val="18"/>
                <w:szCs w:val="18"/>
              </w:rPr>
            </w:pPr>
            <w:r w:rsidRPr="001D41EA">
              <w:rPr>
                <w:rFonts w:cs="Arial"/>
                <w:sz w:val="18"/>
                <w:szCs w:val="18"/>
              </w:rPr>
              <w:t>29.0</w:t>
            </w:r>
          </w:p>
        </w:tc>
      </w:tr>
      <w:tr w:rsidR="00B33D8D" w:rsidRPr="001D41EA" w14:paraId="6C3FA53D"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6B574DE1" w14:textId="77777777" w:rsidR="00B33D8D" w:rsidRPr="001D41EA" w:rsidRDefault="00B33D8D" w:rsidP="001D41EA">
            <w:pPr>
              <w:spacing w:before="40" w:after="20"/>
              <w:rPr>
                <w:rFonts w:cs="Arial"/>
                <w:sz w:val="18"/>
                <w:szCs w:val="18"/>
              </w:rPr>
            </w:pPr>
            <w:r w:rsidRPr="001D41EA">
              <w:rPr>
                <w:rFonts w:cs="Arial"/>
                <w:sz w:val="18"/>
                <w:szCs w:val="18"/>
              </w:rPr>
              <w:t>Northern Grampians S</w:t>
            </w:r>
          </w:p>
        </w:tc>
        <w:tc>
          <w:tcPr>
            <w:tcW w:w="1418" w:type="dxa"/>
            <w:tcBorders>
              <w:top w:val="nil"/>
              <w:left w:val="single" w:sz="18" w:space="0" w:color="5F497A" w:themeColor="accent4" w:themeShade="BF"/>
              <w:bottom w:val="nil"/>
              <w:right w:val="nil"/>
            </w:tcBorders>
            <w:shd w:val="clear" w:color="auto" w:fill="auto"/>
            <w:vAlign w:val="bottom"/>
          </w:tcPr>
          <w:p w14:paraId="0F53948C" w14:textId="38E7B482" w:rsidR="00B33D8D" w:rsidRPr="001D41EA" w:rsidRDefault="00B33D8D" w:rsidP="001D41EA">
            <w:pPr>
              <w:spacing w:before="40" w:after="20"/>
              <w:jc w:val="right"/>
              <w:rPr>
                <w:rFonts w:cs="Arial"/>
                <w:sz w:val="18"/>
                <w:szCs w:val="18"/>
              </w:rPr>
            </w:pPr>
            <w:r w:rsidRPr="001D41EA">
              <w:rPr>
                <w:rFonts w:cs="Arial"/>
                <w:sz w:val="18"/>
                <w:szCs w:val="18"/>
              </w:rPr>
              <w:t>2,014</w:t>
            </w:r>
          </w:p>
        </w:tc>
        <w:tc>
          <w:tcPr>
            <w:tcW w:w="1418" w:type="dxa"/>
            <w:tcBorders>
              <w:top w:val="nil"/>
              <w:left w:val="nil"/>
              <w:bottom w:val="nil"/>
              <w:right w:val="nil"/>
            </w:tcBorders>
            <w:shd w:val="clear" w:color="auto" w:fill="auto"/>
            <w:vAlign w:val="bottom"/>
          </w:tcPr>
          <w:p w14:paraId="1476703D" w14:textId="2C04B4A6" w:rsidR="00B33D8D" w:rsidRPr="001D41EA" w:rsidRDefault="00B33D8D" w:rsidP="00F705DD">
            <w:pPr>
              <w:spacing w:before="40" w:after="20"/>
              <w:jc w:val="center"/>
              <w:rPr>
                <w:rFonts w:cs="Arial"/>
                <w:sz w:val="18"/>
                <w:szCs w:val="18"/>
              </w:rPr>
            </w:pPr>
            <w:r w:rsidRPr="001D41EA">
              <w:rPr>
                <w:rFonts w:cs="Arial"/>
                <w:sz w:val="18"/>
                <w:szCs w:val="18"/>
              </w:rPr>
              <w:t>41.1</w:t>
            </w:r>
          </w:p>
        </w:tc>
        <w:tc>
          <w:tcPr>
            <w:tcW w:w="170" w:type="dxa"/>
            <w:tcBorders>
              <w:top w:val="nil"/>
              <w:left w:val="nil"/>
              <w:bottom w:val="nil"/>
              <w:right w:val="nil"/>
            </w:tcBorders>
            <w:vAlign w:val="bottom"/>
          </w:tcPr>
          <w:p w14:paraId="1EBCA28A"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5B43B75" w14:textId="4B9305F1" w:rsidR="00B33D8D" w:rsidRPr="001D41EA" w:rsidRDefault="00B33D8D" w:rsidP="001D41EA">
            <w:pPr>
              <w:spacing w:before="40" w:after="20"/>
              <w:jc w:val="right"/>
              <w:rPr>
                <w:rFonts w:cs="Arial"/>
                <w:sz w:val="18"/>
                <w:szCs w:val="18"/>
              </w:rPr>
            </w:pPr>
            <w:r w:rsidRPr="001D41EA">
              <w:rPr>
                <w:rFonts w:cs="Arial"/>
                <w:sz w:val="18"/>
                <w:szCs w:val="18"/>
              </w:rPr>
              <w:t>11,431</w:t>
            </w:r>
          </w:p>
        </w:tc>
        <w:tc>
          <w:tcPr>
            <w:tcW w:w="170" w:type="dxa"/>
            <w:tcBorders>
              <w:top w:val="nil"/>
              <w:left w:val="nil"/>
              <w:bottom w:val="nil"/>
              <w:right w:val="nil"/>
            </w:tcBorders>
            <w:shd w:val="clear" w:color="auto" w:fill="auto"/>
            <w:vAlign w:val="bottom"/>
          </w:tcPr>
          <w:p w14:paraId="2E59E19B" w14:textId="6257CCE2"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930B294" w14:textId="5D5BEE3D" w:rsidR="00B33D8D" w:rsidRPr="001D41EA" w:rsidRDefault="00B33D8D" w:rsidP="001D41EA">
            <w:pPr>
              <w:spacing w:before="40" w:after="20"/>
              <w:jc w:val="right"/>
              <w:rPr>
                <w:rFonts w:cs="Arial"/>
                <w:sz w:val="18"/>
                <w:szCs w:val="18"/>
              </w:rPr>
            </w:pPr>
            <w:r w:rsidRPr="001D41EA">
              <w:rPr>
                <w:rFonts w:cs="Arial"/>
                <w:sz w:val="18"/>
                <w:szCs w:val="18"/>
              </w:rPr>
              <w:t>57.0</w:t>
            </w:r>
          </w:p>
        </w:tc>
      </w:tr>
      <w:tr w:rsidR="00B33D8D" w:rsidRPr="001D41EA" w14:paraId="0B0BE26C"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60B30E51" w14:textId="77777777" w:rsidR="00B33D8D" w:rsidRPr="001D41EA" w:rsidRDefault="00B33D8D" w:rsidP="001D41EA">
            <w:pPr>
              <w:spacing w:before="40" w:after="20"/>
              <w:rPr>
                <w:rFonts w:cs="Arial"/>
                <w:sz w:val="18"/>
                <w:szCs w:val="18"/>
              </w:rPr>
            </w:pPr>
            <w:r w:rsidRPr="001D41EA">
              <w:rPr>
                <w:rFonts w:cs="Arial"/>
                <w:sz w:val="18"/>
                <w:szCs w:val="18"/>
              </w:rPr>
              <w:t>Port Phillip C</w:t>
            </w:r>
          </w:p>
        </w:tc>
        <w:tc>
          <w:tcPr>
            <w:tcW w:w="1418" w:type="dxa"/>
            <w:tcBorders>
              <w:top w:val="nil"/>
              <w:left w:val="single" w:sz="18" w:space="0" w:color="5F497A" w:themeColor="accent4" w:themeShade="BF"/>
              <w:bottom w:val="nil"/>
              <w:right w:val="nil"/>
            </w:tcBorders>
            <w:shd w:val="clear" w:color="auto" w:fill="auto"/>
            <w:vAlign w:val="bottom"/>
          </w:tcPr>
          <w:p w14:paraId="50392EB0" w14:textId="2ACF88D5" w:rsidR="00B33D8D" w:rsidRPr="001D41EA" w:rsidRDefault="00B33D8D" w:rsidP="001D41EA">
            <w:pPr>
              <w:spacing w:before="40" w:after="20"/>
              <w:jc w:val="right"/>
              <w:rPr>
                <w:rFonts w:cs="Arial"/>
                <w:sz w:val="18"/>
                <w:szCs w:val="18"/>
              </w:rPr>
            </w:pPr>
            <w:r w:rsidRPr="001D41EA">
              <w:rPr>
                <w:rFonts w:cs="Arial"/>
                <w:sz w:val="18"/>
                <w:szCs w:val="18"/>
              </w:rPr>
              <w:t>5,509</w:t>
            </w:r>
          </w:p>
        </w:tc>
        <w:tc>
          <w:tcPr>
            <w:tcW w:w="1418" w:type="dxa"/>
            <w:tcBorders>
              <w:top w:val="nil"/>
              <w:left w:val="nil"/>
              <w:bottom w:val="nil"/>
              <w:right w:val="nil"/>
            </w:tcBorders>
            <w:shd w:val="clear" w:color="auto" w:fill="auto"/>
            <w:vAlign w:val="bottom"/>
          </w:tcPr>
          <w:p w14:paraId="3CC0FA0B" w14:textId="76C111B7" w:rsidR="00B33D8D" w:rsidRPr="001D41EA" w:rsidRDefault="00B33D8D" w:rsidP="00F705DD">
            <w:pPr>
              <w:spacing w:before="40" w:after="20"/>
              <w:jc w:val="center"/>
              <w:rPr>
                <w:rFonts w:cs="Arial"/>
                <w:sz w:val="18"/>
                <w:szCs w:val="18"/>
              </w:rPr>
            </w:pPr>
            <w:r w:rsidRPr="001D41EA">
              <w:rPr>
                <w:rFonts w:cs="Arial"/>
                <w:sz w:val="18"/>
                <w:szCs w:val="18"/>
              </w:rPr>
              <w:t>24.1</w:t>
            </w:r>
          </w:p>
        </w:tc>
        <w:tc>
          <w:tcPr>
            <w:tcW w:w="170" w:type="dxa"/>
            <w:tcBorders>
              <w:top w:val="nil"/>
              <w:left w:val="nil"/>
              <w:bottom w:val="nil"/>
              <w:right w:val="nil"/>
            </w:tcBorders>
            <w:vAlign w:val="bottom"/>
          </w:tcPr>
          <w:p w14:paraId="5245453F"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67E6624" w14:textId="67D19E7A" w:rsidR="00B33D8D" w:rsidRPr="001D41EA" w:rsidRDefault="00B33D8D" w:rsidP="001D41EA">
            <w:pPr>
              <w:spacing w:before="40" w:after="20"/>
              <w:jc w:val="right"/>
              <w:rPr>
                <w:rFonts w:cs="Arial"/>
                <w:sz w:val="18"/>
                <w:szCs w:val="18"/>
              </w:rPr>
            </w:pPr>
            <w:r w:rsidRPr="001D41EA">
              <w:rPr>
                <w:rFonts w:cs="Arial"/>
                <w:sz w:val="18"/>
                <w:szCs w:val="18"/>
              </w:rPr>
              <w:t>113,200</w:t>
            </w:r>
          </w:p>
        </w:tc>
        <w:tc>
          <w:tcPr>
            <w:tcW w:w="170" w:type="dxa"/>
            <w:tcBorders>
              <w:top w:val="nil"/>
              <w:left w:val="nil"/>
              <w:bottom w:val="nil"/>
              <w:right w:val="nil"/>
            </w:tcBorders>
            <w:shd w:val="clear" w:color="auto" w:fill="auto"/>
            <w:vAlign w:val="bottom"/>
          </w:tcPr>
          <w:p w14:paraId="7A214E43" w14:textId="6FB9980B"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AC462B6" w14:textId="3E0AC326" w:rsidR="00B33D8D" w:rsidRPr="001D41EA" w:rsidRDefault="00B33D8D" w:rsidP="001D41EA">
            <w:pPr>
              <w:spacing w:before="40" w:after="20"/>
              <w:jc w:val="right"/>
              <w:rPr>
                <w:rFonts w:cs="Arial"/>
                <w:sz w:val="18"/>
                <w:szCs w:val="18"/>
              </w:rPr>
            </w:pPr>
            <w:r w:rsidRPr="001D41EA">
              <w:rPr>
                <w:rFonts w:cs="Arial"/>
                <w:sz w:val="18"/>
                <w:szCs w:val="18"/>
              </w:rPr>
              <w:t> </w:t>
            </w:r>
          </w:p>
        </w:tc>
      </w:tr>
      <w:tr w:rsidR="00B33D8D" w:rsidRPr="001D41EA" w14:paraId="4582D742"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61F9F7EA" w14:textId="77777777" w:rsidR="00B33D8D" w:rsidRPr="001D41EA" w:rsidRDefault="00B33D8D" w:rsidP="001D41EA">
            <w:pPr>
              <w:spacing w:before="40" w:after="20"/>
              <w:rPr>
                <w:rFonts w:cs="Arial"/>
                <w:sz w:val="18"/>
                <w:szCs w:val="18"/>
              </w:rPr>
            </w:pPr>
            <w:r w:rsidRPr="001D41EA">
              <w:rPr>
                <w:rFonts w:cs="Arial"/>
                <w:sz w:val="18"/>
                <w:szCs w:val="18"/>
              </w:rPr>
              <w:t>Pyrenees S</w:t>
            </w:r>
          </w:p>
        </w:tc>
        <w:tc>
          <w:tcPr>
            <w:tcW w:w="1418" w:type="dxa"/>
            <w:tcBorders>
              <w:top w:val="nil"/>
              <w:left w:val="single" w:sz="18" w:space="0" w:color="5F497A" w:themeColor="accent4" w:themeShade="BF"/>
              <w:bottom w:val="nil"/>
              <w:right w:val="nil"/>
            </w:tcBorders>
            <w:shd w:val="clear" w:color="auto" w:fill="auto"/>
            <w:vAlign w:val="bottom"/>
          </w:tcPr>
          <w:p w14:paraId="4DA8AC11" w14:textId="3DED6B09" w:rsidR="00B33D8D" w:rsidRPr="001D41EA" w:rsidRDefault="00B33D8D" w:rsidP="001D41EA">
            <w:pPr>
              <w:spacing w:before="40" w:after="20"/>
              <w:jc w:val="right"/>
              <w:rPr>
                <w:rFonts w:cs="Arial"/>
                <w:sz w:val="18"/>
                <w:szCs w:val="18"/>
              </w:rPr>
            </w:pPr>
            <w:r w:rsidRPr="001D41EA">
              <w:rPr>
                <w:rFonts w:cs="Arial"/>
                <w:sz w:val="18"/>
                <w:szCs w:val="18"/>
              </w:rPr>
              <w:t>1,229</w:t>
            </w:r>
          </w:p>
        </w:tc>
        <w:tc>
          <w:tcPr>
            <w:tcW w:w="1418" w:type="dxa"/>
            <w:tcBorders>
              <w:top w:val="nil"/>
              <w:left w:val="nil"/>
              <w:bottom w:val="nil"/>
              <w:right w:val="nil"/>
            </w:tcBorders>
            <w:shd w:val="clear" w:color="auto" w:fill="auto"/>
            <w:vAlign w:val="bottom"/>
          </w:tcPr>
          <w:p w14:paraId="5ADDDCC5" w14:textId="58301721" w:rsidR="00B33D8D" w:rsidRPr="001D41EA" w:rsidRDefault="00B33D8D" w:rsidP="00F705DD">
            <w:pPr>
              <w:spacing w:before="40" w:after="20"/>
              <w:jc w:val="center"/>
              <w:rPr>
                <w:rFonts w:cs="Arial"/>
                <w:sz w:val="18"/>
                <w:szCs w:val="18"/>
              </w:rPr>
            </w:pPr>
            <w:r w:rsidRPr="001D41EA">
              <w:rPr>
                <w:rFonts w:cs="Arial"/>
                <w:sz w:val="18"/>
                <w:szCs w:val="18"/>
              </w:rPr>
              <w:t>38.4</w:t>
            </w:r>
          </w:p>
        </w:tc>
        <w:tc>
          <w:tcPr>
            <w:tcW w:w="170" w:type="dxa"/>
            <w:tcBorders>
              <w:top w:val="nil"/>
              <w:left w:val="nil"/>
              <w:bottom w:val="nil"/>
              <w:right w:val="nil"/>
            </w:tcBorders>
            <w:vAlign w:val="bottom"/>
          </w:tcPr>
          <w:p w14:paraId="0C6B4E2E"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BA301AC" w14:textId="47F4252E" w:rsidR="00B33D8D" w:rsidRPr="001D41EA" w:rsidRDefault="00B33D8D" w:rsidP="001D41EA">
            <w:pPr>
              <w:spacing w:before="40" w:after="20"/>
              <w:jc w:val="right"/>
              <w:rPr>
                <w:rFonts w:cs="Arial"/>
                <w:sz w:val="18"/>
                <w:szCs w:val="18"/>
              </w:rPr>
            </w:pPr>
            <w:r w:rsidRPr="001D41EA">
              <w:rPr>
                <w:rFonts w:cs="Arial"/>
                <w:sz w:val="18"/>
                <w:szCs w:val="18"/>
              </w:rPr>
              <w:t>7,353</w:t>
            </w:r>
          </w:p>
        </w:tc>
        <w:tc>
          <w:tcPr>
            <w:tcW w:w="170" w:type="dxa"/>
            <w:tcBorders>
              <w:top w:val="nil"/>
              <w:left w:val="nil"/>
              <w:bottom w:val="nil"/>
              <w:right w:val="nil"/>
            </w:tcBorders>
            <w:shd w:val="clear" w:color="auto" w:fill="auto"/>
            <w:vAlign w:val="bottom"/>
          </w:tcPr>
          <w:p w14:paraId="0783D77D" w14:textId="7C432787"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7EE8C22" w14:textId="375073BC" w:rsidR="00B33D8D" w:rsidRPr="001D41EA" w:rsidRDefault="00B33D8D" w:rsidP="001D41EA">
            <w:pPr>
              <w:spacing w:before="40" w:after="20"/>
              <w:jc w:val="right"/>
              <w:rPr>
                <w:rFonts w:cs="Arial"/>
                <w:sz w:val="18"/>
                <w:szCs w:val="18"/>
              </w:rPr>
            </w:pPr>
            <w:r w:rsidRPr="001D41EA">
              <w:rPr>
                <w:rFonts w:cs="Arial"/>
                <w:sz w:val="18"/>
                <w:szCs w:val="18"/>
              </w:rPr>
              <w:t>61.9</w:t>
            </w:r>
          </w:p>
        </w:tc>
      </w:tr>
      <w:tr w:rsidR="00B33D8D" w:rsidRPr="001D41EA" w14:paraId="253966C8"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4788CFD3" w14:textId="77777777" w:rsidR="00B33D8D" w:rsidRPr="001D41EA" w:rsidRDefault="00B33D8D" w:rsidP="001D41EA">
            <w:pPr>
              <w:spacing w:before="40" w:after="20"/>
              <w:rPr>
                <w:rFonts w:cs="Arial"/>
                <w:sz w:val="18"/>
                <w:szCs w:val="18"/>
              </w:rPr>
            </w:pPr>
            <w:r w:rsidRPr="001D41EA">
              <w:rPr>
                <w:rFonts w:cs="Arial"/>
                <w:sz w:val="18"/>
                <w:szCs w:val="18"/>
              </w:rPr>
              <w:t>Queenscliffe B</w:t>
            </w:r>
          </w:p>
        </w:tc>
        <w:tc>
          <w:tcPr>
            <w:tcW w:w="1418" w:type="dxa"/>
            <w:tcBorders>
              <w:top w:val="nil"/>
              <w:left w:val="single" w:sz="18" w:space="0" w:color="5F497A" w:themeColor="accent4" w:themeShade="BF"/>
              <w:bottom w:val="nil"/>
              <w:right w:val="nil"/>
            </w:tcBorders>
            <w:shd w:val="clear" w:color="auto" w:fill="auto"/>
            <w:vAlign w:val="bottom"/>
          </w:tcPr>
          <w:p w14:paraId="6699AB1D" w14:textId="2474B95B" w:rsidR="00B33D8D" w:rsidRPr="001D41EA" w:rsidRDefault="00B33D8D" w:rsidP="001D41EA">
            <w:pPr>
              <w:spacing w:before="40" w:after="20"/>
              <w:jc w:val="right"/>
              <w:rPr>
                <w:rFonts w:cs="Arial"/>
                <w:sz w:val="18"/>
                <w:szCs w:val="18"/>
              </w:rPr>
            </w:pPr>
            <w:r w:rsidRPr="001D41EA">
              <w:rPr>
                <w:rFonts w:cs="Arial"/>
                <w:sz w:val="18"/>
                <w:szCs w:val="18"/>
              </w:rPr>
              <w:t>538</w:t>
            </w:r>
          </w:p>
        </w:tc>
        <w:tc>
          <w:tcPr>
            <w:tcW w:w="1418" w:type="dxa"/>
            <w:tcBorders>
              <w:top w:val="nil"/>
              <w:left w:val="nil"/>
              <w:bottom w:val="nil"/>
              <w:right w:val="nil"/>
            </w:tcBorders>
            <w:shd w:val="clear" w:color="auto" w:fill="auto"/>
            <w:vAlign w:val="bottom"/>
          </w:tcPr>
          <w:p w14:paraId="30467318" w14:textId="2CF7AB88" w:rsidR="00B33D8D" w:rsidRPr="001D41EA" w:rsidRDefault="00B33D8D" w:rsidP="00F705DD">
            <w:pPr>
              <w:spacing w:before="40" w:after="20"/>
              <w:jc w:val="center"/>
              <w:rPr>
                <w:rFonts w:cs="Arial"/>
                <w:sz w:val="18"/>
                <w:szCs w:val="18"/>
              </w:rPr>
            </w:pPr>
            <w:r w:rsidRPr="001D41EA">
              <w:rPr>
                <w:rFonts w:cs="Arial"/>
                <w:sz w:val="18"/>
                <w:szCs w:val="18"/>
              </w:rPr>
              <w:t>33.4</w:t>
            </w:r>
          </w:p>
        </w:tc>
        <w:tc>
          <w:tcPr>
            <w:tcW w:w="170" w:type="dxa"/>
            <w:tcBorders>
              <w:top w:val="nil"/>
              <w:left w:val="nil"/>
              <w:bottom w:val="nil"/>
              <w:right w:val="nil"/>
            </w:tcBorders>
            <w:vAlign w:val="bottom"/>
          </w:tcPr>
          <w:p w14:paraId="19BA275A"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584740D" w14:textId="347C4138" w:rsidR="00B33D8D" w:rsidRPr="001D41EA" w:rsidRDefault="00B33D8D" w:rsidP="001D41EA">
            <w:pPr>
              <w:spacing w:before="40" w:after="20"/>
              <w:jc w:val="right"/>
              <w:rPr>
                <w:rFonts w:cs="Arial"/>
                <w:sz w:val="18"/>
                <w:szCs w:val="18"/>
              </w:rPr>
            </w:pPr>
            <w:r w:rsidRPr="001D41EA">
              <w:rPr>
                <w:rFonts w:cs="Arial"/>
                <w:sz w:val="18"/>
                <w:szCs w:val="18"/>
              </w:rPr>
              <w:t>2,982</w:t>
            </w:r>
          </w:p>
        </w:tc>
        <w:tc>
          <w:tcPr>
            <w:tcW w:w="170" w:type="dxa"/>
            <w:tcBorders>
              <w:top w:val="nil"/>
              <w:left w:val="nil"/>
              <w:bottom w:val="nil"/>
              <w:right w:val="nil"/>
            </w:tcBorders>
            <w:shd w:val="clear" w:color="auto" w:fill="auto"/>
            <w:vAlign w:val="bottom"/>
          </w:tcPr>
          <w:p w14:paraId="1564CDB9" w14:textId="1DDEDFC1"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5734F21F" w14:textId="0A3AC3DC" w:rsidR="00B33D8D" w:rsidRPr="001D41EA" w:rsidRDefault="00B33D8D" w:rsidP="001D41EA">
            <w:pPr>
              <w:spacing w:before="40" w:after="20"/>
              <w:jc w:val="right"/>
              <w:rPr>
                <w:rFonts w:cs="Arial"/>
                <w:sz w:val="18"/>
                <w:szCs w:val="18"/>
              </w:rPr>
            </w:pPr>
            <w:r w:rsidRPr="001D41EA">
              <w:rPr>
                <w:rFonts w:cs="Arial"/>
                <w:sz w:val="18"/>
                <w:szCs w:val="18"/>
              </w:rPr>
              <w:t>54.5</w:t>
            </w:r>
          </w:p>
        </w:tc>
      </w:tr>
      <w:tr w:rsidR="00B33D8D" w:rsidRPr="001D41EA" w14:paraId="72E463EE"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2628C021" w14:textId="77777777" w:rsidR="00B33D8D" w:rsidRPr="001D41EA" w:rsidRDefault="00B33D8D" w:rsidP="001D41EA">
            <w:pPr>
              <w:spacing w:before="40" w:after="20"/>
              <w:rPr>
                <w:rFonts w:cs="Arial"/>
                <w:sz w:val="18"/>
                <w:szCs w:val="18"/>
              </w:rPr>
            </w:pPr>
            <w:r w:rsidRPr="001D41EA">
              <w:rPr>
                <w:rFonts w:cs="Arial"/>
                <w:sz w:val="18"/>
                <w:szCs w:val="18"/>
              </w:rPr>
              <w:t>South Gippsland S</w:t>
            </w:r>
          </w:p>
        </w:tc>
        <w:tc>
          <w:tcPr>
            <w:tcW w:w="1418" w:type="dxa"/>
            <w:tcBorders>
              <w:top w:val="nil"/>
              <w:left w:val="single" w:sz="18" w:space="0" w:color="5F497A" w:themeColor="accent4" w:themeShade="BF"/>
              <w:bottom w:val="nil"/>
              <w:right w:val="nil"/>
            </w:tcBorders>
            <w:shd w:val="clear" w:color="auto" w:fill="auto"/>
            <w:vAlign w:val="bottom"/>
          </w:tcPr>
          <w:p w14:paraId="045F71AE" w14:textId="0B78931C" w:rsidR="00B33D8D" w:rsidRPr="001D41EA" w:rsidRDefault="00B33D8D" w:rsidP="001D41EA">
            <w:pPr>
              <w:spacing w:before="40" w:after="20"/>
              <w:jc w:val="right"/>
              <w:rPr>
                <w:rFonts w:cs="Arial"/>
                <w:sz w:val="18"/>
                <w:szCs w:val="18"/>
              </w:rPr>
            </w:pPr>
            <w:r w:rsidRPr="001D41EA">
              <w:rPr>
                <w:rFonts w:cs="Arial"/>
                <w:sz w:val="18"/>
                <w:szCs w:val="18"/>
              </w:rPr>
              <w:t>4,287</w:t>
            </w:r>
          </w:p>
        </w:tc>
        <w:tc>
          <w:tcPr>
            <w:tcW w:w="1418" w:type="dxa"/>
            <w:tcBorders>
              <w:top w:val="nil"/>
              <w:left w:val="nil"/>
              <w:bottom w:val="nil"/>
              <w:right w:val="nil"/>
            </w:tcBorders>
            <w:shd w:val="clear" w:color="auto" w:fill="auto"/>
            <w:vAlign w:val="bottom"/>
          </w:tcPr>
          <w:p w14:paraId="5C98E2D2" w14:textId="2BB057E3" w:rsidR="00B33D8D" w:rsidRPr="001D41EA" w:rsidRDefault="00B33D8D" w:rsidP="00F705DD">
            <w:pPr>
              <w:spacing w:before="40" w:after="20"/>
              <w:jc w:val="center"/>
              <w:rPr>
                <w:rFonts w:cs="Arial"/>
                <w:sz w:val="18"/>
                <w:szCs w:val="18"/>
              </w:rPr>
            </w:pPr>
            <w:r w:rsidRPr="001D41EA">
              <w:rPr>
                <w:rFonts w:cs="Arial"/>
                <w:sz w:val="18"/>
                <w:szCs w:val="18"/>
              </w:rPr>
              <w:t>38.5</w:t>
            </w:r>
          </w:p>
        </w:tc>
        <w:tc>
          <w:tcPr>
            <w:tcW w:w="170" w:type="dxa"/>
            <w:tcBorders>
              <w:top w:val="nil"/>
              <w:left w:val="nil"/>
              <w:bottom w:val="nil"/>
              <w:right w:val="nil"/>
            </w:tcBorders>
            <w:vAlign w:val="bottom"/>
          </w:tcPr>
          <w:p w14:paraId="70427E7C"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1FB3FFA" w14:textId="27287A94" w:rsidR="00B33D8D" w:rsidRPr="001D41EA" w:rsidRDefault="00B33D8D" w:rsidP="001D41EA">
            <w:pPr>
              <w:spacing w:before="40" w:after="20"/>
              <w:jc w:val="right"/>
              <w:rPr>
                <w:rFonts w:cs="Arial"/>
                <w:sz w:val="18"/>
                <w:szCs w:val="18"/>
              </w:rPr>
            </w:pPr>
            <w:r w:rsidRPr="001D41EA">
              <w:rPr>
                <w:rFonts w:cs="Arial"/>
                <w:sz w:val="18"/>
                <w:szCs w:val="18"/>
              </w:rPr>
              <w:t>29,576</w:t>
            </w:r>
          </w:p>
        </w:tc>
        <w:tc>
          <w:tcPr>
            <w:tcW w:w="170" w:type="dxa"/>
            <w:tcBorders>
              <w:top w:val="nil"/>
              <w:left w:val="nil"/>
              <w:bottom w:val="nil"/>
              <w:right w:val="nil"/>
            </w:tcBorders>
            <w:shd w:val="clear" w:color="auto" w:fill="auto"/>
            <w:vAlign w:val="bottom"/>
          </w:tcPr>
          <w:p w14:paraId="5ED22712" w14:textId="56F354CF"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3F31C1CB" w14:textId="50096942" w:rsidR="00B33D8D" w:rsidRPr="001D41EA" w:rsidRDefault="00B33D8D" w:rsidP="001D41EA">
            <w:pPr>
              <w:spacing w:before="40" w:after="20"/>
              <w:jc w:val="right"/>
              <w:rPr>
                <w:rFonts w:cs="Arial"/>
                <w:sz w:val="18"/>
                <w:szCs w:val="18"/>
              </w:rPr>
            </w:pPr>
            <w:r w:rsidRPr="001D41EA">
              <w:rPr>
                <w:rFonts w:cs="Arial"/>
                <w:sz w:val="18"/>
                <w:szCs w:val="18"/>
              </w:rPr>
              <w:t>14.4</w:t>
            </w:r>
          </w:p>
        </w:tc>
      </w:tr>
      <w:tr w:rsidR="00B33D8D" w:rsidRPr="001D41EA" w14:paraId="09897D20"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3EDAA3D6" w14:textId="77777777" w:rsidR="00B33D8D" w:rsidRPr="001D41EA" w:rsidRDefault="00B33D8D" w:rsidP="001D41EA">
            <w:pPr>
              <w:spacing w:before="40" w:after="20"/>
              <w:rPr>
                <w:rFonts w:cs="Arial"/>
                <w:sz w:val="18"/>
                <w:szCs w:val="18"/>
              </w:rPr>
            </w:pPr>
            <w:r w:rsidRPr="001D41EA">
              <w:rPr>
                <w:rFonts w:cs="Arial"/>
                <w:sz w:val="18"/>
                <w:szCs w:val="18"/>
              </w:rPr>
              <w:t>Southern Grampians S</w:t>
            </w:r>
          </w:p>
        </w:tc>
        <w:tc>
          <w:tcPr>
            <w:tcW w:w="1418" w:type="dxa"/>
            <w:tcBorders>
              <w:top w:val="nil"/>
              <w:left w:val="single" w:sz="18" w:space="0" w:color="5F497A" w:themeColor="accent4" w:themeShade="BF"/>
              <w:bottom w:val="nil"/>
              <w:right w:val="nil"/>
            </w:tcBorders>
            <w:shd w:val="clear" w:color="auto" w:fill="auto"/>
            <w:vAlign w:val="bottom"/>
          </w:tcPr>
          <w:p w14:paraId="64CC24AD" w14:textId="1417DD93" w:rsidR="00B33D8D" w:rsidRPr="001D41EA" w:rsidRDefault="00B33D8D" w:rsidP="001D41EA">
            <w:pPr>
              <w:spacing w:before="40" w:after="20"/>
              <w:jc w:val="right"/>
              <w:rPr>
                <w:rFonts w:cs="Arial"/>
                <w:sz w:val="18"/>
                <w:szCs w:val="18"/>
              </w:rPr>
            </w:pPr>
            <w:r w:rsidRPr="001D41EA">
              <w:rPr>
                <w:rFonts w:cs="Arial"/>
                <w:sz w:val="18"/>
                <w:szCs w:val="18"/>
              </w:rPr>
              <w:t>2,371</w:t>
            </w:r>
          </w:p>
        </w:tc>
        <w:tc>
          <w:tcPr>
            <w:tcW w:w="1418" w:type="dxa"/>
            <w:tcBorders>
              <w:top w:val="nil"/>
              <w:left w:val="nil"/>
              <w:bottom w:val="nil"/>
              <w:right w:val="nil"/>
            </w:tcBorders>
            <w:shd w:val="clear" w:color="auto" w:fill="auto"/>
            <w:vAlign w:val="bottom"/>
          </w:tcPr>
          <w:p w14:paraId="06A7FC2F" w14:textId="729C06A6" w:rsidR="00B33D8D" w:rsidRPr="001D41EA" w:rsidRDefault="00B33D8D" w:rsidP="00F705DD">
            <w:pPr>
              <w:spacing w:before="40" w:after="20"/>
              <w:jc w:val="center"/>
              <w:rPr>
                <w:rFonts w:cs="Arial"/>
                <w:sz w:val="18"/>
                <w:szCs w:val="18"/>
              </w:rPr>
            </w:pPr>
            <w:r w:rsidRPr="001D41EA">
              <w:rPr>
                <w:rFonts w:cs="Arial"/>
                <w:sz w:val="18"/>
                <w:szCs w:val="18"/>
              </w:rPr>
              <w:t>39.3</w:t>
            </w:r>
          </w:p>
        </w:tc>
        <w:tc>
          <w:tcPr>
            <w:tcW w:w="170" w:type="dxa"/>
            <w:tcBorders>
              <w:top w:val="nil"/>
              <w:left w:val="nil"/>
              <w:bottom w:val="nil"/>
              <w:right w:val="nil"/>
            </w:tcBorders>
            <w:vAlign w:val="bottom"/>
          </w:tcPr>
          <w:p w14:paraId="758249CC"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2561631" w14:textId="66B7FB9F" w:rsidR="00B33D8D" w:rsidRPr="001D41EA" w:rsidRDefault="00B33D8D" w:rsidP="001D41EA">
            <w:pPr>
              <w:spacing w:before="40" w:after="20"/>
              <w:jc w:val="right"/>
              <w:rPr>
                <w:rFonts w:cs="Arial"/>
                <w:sz w:val="18"/>
                <w:szCs w:val="18"/>
              </w:rPr>
            </w:pPr>
            <w:r w:rsidRPr="001D41EA">
              <w:rPr>
                <w:rFonts w:cs="Arial"/>
                <w:sz w:val="18"/>
                <w:szCs w:val="18"/>
              </w:rPr>
              <w:t>16,135</w:t>
            </w:r>
          </w:p>
        </w:tc>
        <w:tc>
          <w:tcPr>
            <w:tcW w:w="170" w:type="dxa"/>
            <w:tcBorders>
              <w:top w:val="nil"/>
              <w:left w:val="nil"/>
              <w:bottom w:val="nil"/>
              <w:right w:val="nil"/>
            </w:tcBorders>
            <w:shd w:val="clear" w:color="auto" w:fill="auto"/>
            <w:vAlign w:val="bottom"/>
          </w:tcPr>
          <w:p w14:paraId="5B9E0BAC" w14:textId="3B3D0390"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5932B653" w14:textId="2EBE8E5E" w:rsidR="00B33D8D" w:rsidRPr="001D41EA" w:rsidRDefault="00B33D8D" w:rsidP="001D41EA">
            <w:pPr>
              <w:spacing w:before="40" w:after="20"/>
              <w:jc w:val="right"/>
              <w:rPr>
                <w:rFonts w:cs="Arial"/>
                <w:sz w:val="18"/>
                <w:szCs w:val="18"/>
              </w:rPr>
            </w:pPr>
            <w:r w:rsidRPr="001D41EA">
              <w:rPr>
                <w:rFonts w:cs="Arial"/>
                <w:sz w:val="18"/>
                <w:szCs w:val="18"/>
              </w:rPr>
              <w:t>16.3</w:t>
            </w:r>
          </w:p>
        </w:tc>
      </w:tr>
      <w:tr w:rsidR="00B33D8D" w:rsidRPr="001D41EA" w14:paraId="653CE10F"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7A91E879" w14:textId="77777777" w:rsidR="00B33D8D" w:rsidRPr="001D41EA" w:rsidRDefault="00B33D8D" w:rsidP="001D41EA">
            <w:pPr>
              <w:spacing w:before="40" w:after="20"/>
              <w:rPr>
                <w:rFonts w:cs="Arial"/>
                <w:sz w:val="18"/>
                <w:szCs w:val="18"/>
              </w:rPr>
            </w:pPr>
            <w:r w:rsidRPr="001D41EA">
              <w:rPr>
                <w:rFonts w:cs="Arial"/>
                <w:sz w:val="18"/>
                <w:szCs w:val="18"/>
              </w:rPr>
              <w:t>Stonnington C</w:t>
            </w:r>
          </w:p>
        </w:tc>
        <w:tc>
          <w:tcPr>
            <w:tcW w:w="1418" w:type="dxa"/>
            <w:tcBorders>
              <w:top w:val="nil"/>
              <w:left w:val="single" w:sz="18" w:space="0" w:color="5F497A" w:themeColor="accent4" w:themeShade="BF"/>
              <w:bottom w:val="nil"/>
              <w:right w:val="nil"/>
            </w:tcBorders>
            <w:shd w:val="clear" w:color="auto" w:fill="auto"/>
            <w:vAlign w:val="bottom"/>
          </w:tcPr>
          <w:p w14:paraId="4A905E78" w14:textId="5F688AEE" w:rsidR="00B33D8D" w:rsidRPr="001D41EA" w:rsidRDefault="00B33D8D" w:rsidP="001D41EA">
            <w:pPr>
              <w:spacing w:before="40" w:after="20"/>
              <w:jc w:val="right"/>
              <w:rPr>
                <w:rFonts w:cs="Arial"/>
                <w:sz w:val="18"/>
                <w:szCs w:val="18"/>
              </w:rPr>
            </w:pPr>
            <w:r w:rsidRPr="001D41EA">
              <w:rPr>
                <w:rFonts w:cs="Arial"/>
                <w:sz w:val="18"/>
                <w:szCs w:val="18"/>
              </w:rPr>
              <w:t>5,678</w:t>
            </w:r>
          </w:p>
        </w:tc>
        <w:tc>
          <w:tcPr>
            <w:tcW w:w="1418" w:type="dxa"/>
            <w:tcBorders>
              <w:top w:val="nil"/>
              <w:left w:val="nil"/>
              <w:bottom w:val="nil"/>
              <w:right w:val="nil"/>
            </w:tcBorders>
            <w:shd w:val="clear" w:color="auto" w:fill="auto"/>
            <w:vAlign w:val="bottom"/>
          </w:tcPr>
          <w:p w14:paraId="1F850CD2" w14:textId="48A6C40C" w:rsidR="00B33D8D" w:rsidRPr="001D41EA" w:rsidRDefault="00B33D8D" w:rsidP="00F705DD">
            <w:pPr>
              <w:spacing w:before="40" w:after="20"/>
              <w:jc w:val="center"/>
              <w:rPr>
                <w:rFonts w:cs="Arial"/>
                <w:sz w:val="18"/>
                <w:szCs w:val="18"/>
              </w:rPr>
            </w:pPr>
            <w:r w:rsidRPr="001D41EA">
              <w:rPr>
                <w:rFonts w:cs="Arial"/>
                <w:sz w:val="18"/>
                <w:szCs w:val="18"/>
              </w:rPr>
              <w:t>22.6</w:t>
            </w:r>
          </w:p>
        </w:tc>
        <w:tc>
          <w:tcPr>
            <w:tcW w:w="170" w:type="dxa"/>
            <w:tcBorders>
              <w:top w:val="nil"/>
              <w:left w:val="nil"/>
              <w:bottom w:val="nil"/>
              <w:right w:val="nil"/>
            </w:tcBorders>
            <w:vAlign w:val="bottom"/>
          </w:tcPr>
          <w:p w14:paraId="4E4984FE"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57FE0A8" w14:textId="40BBD64D" w:rsidR="00B33D8D" w:rsidRPr="001D41EA" w:rsidRDefault="00B33D8D" w:rsidP="001D41EA">
            <w:pPr>
              <w:spacing w:before="40" w:after="20"/>
              <w:jc w:val="right"/>
              <w:rPr>
                <w:rFonts w:cs="Arial"/>
                <w:sz w:val="18"/>
                <w:szCs w:val="18"/>
              </w:rPr>
            </w:pPr>
            <w:r w:rsidRPr="001D41EA">
              <w:rPr>
                <w:rFonts w:cs="Arial"/>
                <w:sz w:val="18"/>
                <w:szCs w:val="18"/>
              </w:rPr>
              <w:t>116,207</w:t>
            </w:r>
          </w:p>
        </w:tc>
        <w:tc>
          <w:tcPr>
            <w:tcW w:w="170" w:type="dxa"/>
            <w:tcBorders>
              <w:top w:val="nil"/>
              <w:left w:val="nil"/>
              <w:bottom w:val="nil"/>
              <w:right w:val="nil"/>
            </w:tcBorders>
            <w:shd w:val="clear" w:color="auto" w:fill="auto"/>
            <w:vAlign w:val="bottom"/>
          </w:tcPr>
          <w:p w14:paraId="45DA8BCF" w14:textId="01192EEE"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C326AEC" w14:textId="3E2A039A" w:rsidR="00B33D8D" w:rsidRPr="001D41EA" w:rsidRDefault="00B33D8D" w:rsidP="001D41EA">
            <w:pPr>
              <w:spacing w:before="40" w:after="20"/>
              <w:jc w:val="right"/>
              <w:rPr>
                <w:rFonts w:cs="Arial"/>
                <w:sz w:val="18"/>
                <w:szCs w:val="18"/>
              </w:rPr>
            </w:pPr>
            <w:r w:rsidRPr="001D41EA">
              <w:rPr>
                <w:rFonts w:cs="Arial"/>
                <w:sz w:val="18"/>
                <w:szCs w:val="18"/>
              </w:rPr>
              <w:t>3.9</w:t>
            </w:r>
          </w:p>
        </w:tc>
      </w:tr>
      <w:tr w:rsidR="00B33D8D" w:rsidRPr="001D41EA" w14:paraId="7BB4485B"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6B92EA11" w14:textId="77777777" w:rsidR="00B33D8D" w:rsidRPr="001D41EA" w:rsidRDefault="00B33D8D" w:rsidP="001D41EA">
            <w:pPr>
              <w:spacing w:before="40" w:after="20"/>
              <w:rPr>
                <w:rFonts w:cs="Arial"/>
                <w:sz w:val="18"/>
                <w:szCs w:val="18"/>
              </w:rPr>
            </w:pPr>
            <w:r w:rsidRPr="001D41EA">
              <w:rPr>
                <w:rFonts w:cs="Arial"/>
                <w:sz w:val="18"/>
                <w:szCs w:val="18"/>
              </w:rPr>
              <w:t>Strathbogie S</w:t>
            </w:r>
          </w:p>
        </w:tc>
        <w:tc>
          <w:tcPr>
            <w:tcW w:w="1418" w:type="dxa"/>
            <w:tcBorders>
              <w:top w:val="nil"/>
              <w:left w:val="single" w:sz="18" w:space="0" w:color="5F497A" w:themeColor="accent4" w:themeShade="BF"/>
              <w:bottom w:val="nil"/>
              <w:right w:val="nil"/>
            </w:tcBorders>
            <w:shd w:val="clear" w:color="auto" w:fill="auto"/>
            <w:vAlign w:val="bottom"/>
          </w:tcPr>
          <w:p w14:paraId="7E2A8469" w14:textId="6CD90C0D" w:rsidR="00B33D8D" w:rsidRPr="001D41EA" w:rsidRDefault="00B33D8D" w:rsidP="001D41EA">
            <w:pPr>
              <w:spacing w:before="40" w:after="20"/>
              <w:jc w:val="right"/>
              <w:rPr>
                <w:rFonts w:cs="Arial"/>
                <w:sz w:val="18"/>
                <w:szCs w:val="18"/>
              </w:rPr>
            </w:pPr>
            <w:r w:rsidRPr="001D41EA">
              <w:rPr>
                <w:rFonts w:cs="Arial"/>
                <w:sz w:val="18"/>
                <w:szCs w:val="18"/>
              </w:rPr>
              <w:t>1,931</w:t>
            </w:r>
          </w:p>
        </w:tc>
        <w:tc>
          <w:tcPr>
            <w:tcW w:w="1418" w:type="dxa"/>
            <w:tcBorders>
              <w:top w:val="nil"/>
              <w:left w:val="nil"/>
              <w:bottom w:val="nil"/>
              <w:right w:val="nil"/>
            </w:tcBorders>
            <w:shd w:val="clear" w:color="auto" w:fill="auto"/>
            <w:vAlign w:val="bottom"/>
          </w:tcPr>
          <w:p w14:paraId="4026A243" w14:textId="5DB0439C" w:rsidR="00B33D8D" w:rsidRPr="001D41EA" w:rsidRDefault="00B33D8D" w:rsidP="00F705DD">
            <w:pPr>
              <w:spacing w:before="40" w:after="20"/>
              <w:jc w:val="center"/>
              <w:rPr>
                <w:rFonts w:cs="Arial"/>
                <w:sz w:val="18"/>
                <w:szCs w:val="18"/>
              </w:rPr>
            </w:pPr>
            <w:r w:rsidRPr="001D41EA">
              <w:rPr>
                <w:rFonts w:cs="Arial"/>
                <w:sz w:val="18"/>
                <w:szCs w:val="18"/>
              </w:rPr>
              <w:t>40.8</w:t>
            </w:r>
          </w:p>
        </w:tc>
        <w:tc>
          <w:tcPr>
            <w:tcW w:w="170" w:type="dxa"/>
            <w:tcBorders>
              <w:top w:val="nil"/>
              <w:left w:val="nil"/>
              <w:bottom w:val="nil"/>
              <w:right w:val="nil"/>
            </w:tcBorders>
            <w:vAlign w:val="bottom"/>
          </w:tcPr>
          <w:p w14:paraId="252BB065"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81AD42E" w14:textId="4E1E9F4C" w:rsidR="00B33D8D" w:rsidRPr="001D41EA" w:rsidRDefault="00B33D8D" w:rsidP="001D41EA">
            <w:pPr>
              <w:spacing w:before="40" w:after="20"/>
              <w:jc w:val="right"/>
              <w:rPr>
                <w:rFonts w:cs="Arial"/>
                <w:sz w:val="18"/>
                <w:szCs w:val="18"/>
              </w:rPr>
            </w:pPr>
            <w:r w:rsidRPr="001D41EA">
              <w:rPr>
                <w:rFonts w:cs="Arial"/>
                <w:sz w:val="18"/>
                <w:szCs w:val="18"/>
              </w:rPr>
              <w:t>10,645</w:t>
            </w:r>
          </w:p>
        </w:tc>
        <w:tc>
          <w:tcPr>
            <w:tcW w:w="170" w:type="dxa"/>
            <w:tcBorders>
              <w:top w:val="nil"/>
              <w:left w:val="nil"/>
              <w:bottom w:val="nil"/>
              <w:right w:val="nil"/>
            </w:tcBorders>
            <w:shd w:val="clear" w:color="auto" w:fill="auto"/>
            <w:vAlign w:val="bottom"/>
          </w:tcPr>
          <w:p w14:paraId="584AB91C" w14:textId="07D20878"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5AC3D31" w14:textId="1F9B9F9D" w:rsidR="00B33D8D" w:rsidRPr="001D41EA" w:rsidRDefault="00B33D8D" w:rsidP="001D41EA">
            <w:pPr>
              <w:spacing w:before="40" w:after="20"/>
              <w:jc w:val="right"/>
              <w:rPr>
                <w:rFonts w:cs="Arial"/>
                <w:sz w:val="18"/>
                <w:szCs w:val="18"/>
              </w:rPr>
            </w:pPr>
            <w:r w:rsidRPr="001D41EA">
              <w:rPr>
                <w:rFonts w:cs="Arial"/>
                <w:sz w:val="18"/>
                <w:szCs w:val="18"/>
              </w:rPr>
              <w:t>64.5</w:t>
            </w:r>
          </w:p>
        </w:tc>
      </w:tr>
      <w:tr w:rsidR="00B33D8D" w:rsidRPr="001D41EA" w14:paraId="03949F35"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4E48B6CE" w14:textId="77777777" w:rsidR="00B33D8D" w:rsidRPr="001D41EA" w:rsidRDefault="00B33D8D" w:rsidP="001D41EA">
            <w:pPr>
              <w:spacing w:before="40" w:after="20"/>
              <w:rPr>
                <w:rFonts w:cs="Arial"/>
                <w:sz w:val="18"/>
                <w:szCs w:val="18"/>
              </w:rPr>
            </w:pPr>
            <w:r w:rsidRPr="001D41EA">
              <w:rPr>
                <w:rFonts w:cs="Arial"/>
                <w:sz w:val="18"/>
                <w:szCs w:val="18"/>
              </w:rPr>
              <w:t>Surf Coast S</w:t>
            </w:r>
          </w:p>
        </w:tc>
        <w:tc>
          <w:tcPr>
            <w:tcW w:w="1418" w:type="dxa"/>
            <w:tcBorders>
              <w:top w:val="nil"/>
              <w:left w:val="single" w:sz="18" w:space="0" w:color="5F497A" w:themeColor="accent4" w:themeShade="BF"/>
              <w:bottom w:val="nil"/>
              <w:right w:val="nil"/>
            </w:tcBorders>
            <w:shd w:val="clear" w:color="auto" w:fill="auto"/>
            <w:vAlign w:val="bottom"/>
          </w:tcPr>
          <w:p w14:paraId="5699DE77" w14:textId="30471078" w:rsidR="00B33D8D" w:rsidRPr="001D41EA" w:rsidRDefault="00B33D8D" w:rsidP="001D41EA">
            <w:pPr>
              <w:spacing w:before="40" w:after="20"/>
              <w:jc w:val="right"/>
              <w:rPr>
                <w:rFonts w:cs="Arial"/>
                <w:sz w:val="18"/>
                <w:szCs w:val="18"/>
              </w:rPr>
            </w:pPr>
            <w:r w:rsidRPr="001D41EA">
              <w:rPr>
                <w:rFonts w:cs="Arial"/>
                <w:sz w:val="18"/>
                <w:szCs w:val="18"/>
              </w:rPr>
              <w:t>2,801</w:t>
            </w:r>
          </w:p>
        </w:tc>
        <w:tc>
          <w:tcPr>
            <w:tcW w:w="1418" w:type="dxa"/>
            <w:tcBorders>
              <w:top w:val="nil"/>
              <w:left w:val="nil"/>
              <w:bottom w:val="nil"/>
              <w:right w:val="nil"/>
            </w:tcBorders>
            <w:shd w:val="clear" w:color="auto" w:fill="auto"/>
            <w:vAlign w:val="bottom"/>
          </w:tcPr>
          <w:p w14:paraId="67F86F11" w14:textId="314F9B8B" w:rsidR="00B33D8D" w:rsidRPr="001D41EA" w:rsidRDefault="00B33D8D" w:rsidP="00F705DD">
            <w:pPr>
              <w:spacing w:before="40" w:after="20"/>
              <w:jc w:val="center"/>
              <w:rPr>
                <w:rFonts w:cs="Arial"/>
                <w:sz w:val="18"/>
                <w:szCs w:val="18"/>
              </w:rPr>
            </w:pPr>
            <w:r w:rsidRPr="001D41EA">
              <w:rPr>
                <w:rFonts w:cs="Arial"/>
                <w:sz w:val="18"/>
                <w:szCs w:val="18"/>
              </w:rPr>
              <w:t>31.9</w:t>
            </w:r>
          </w:p>
        </w:tc>
        <w:tc>
          <w:tcPr>
            <w:tcW w:w="170" w:type="dxa"/>
            <w:tcBorders>
              <w:top w:val="nil"/>
              <w:left w:val="nil"/>
              <w:bottom w:val="nil"/>
              <w:right w:val="nil"/>
            </w:tcBorders>
            <w:vAlign w:val="bottom"/>
          </w:tcPr>
          <w:p w14:paraId="40C9D856"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A7D2A12" w14:textId="560EF611" w:rsidR="00B33D8D" w:rsidRPr="001D41EA" w:rsidRDefault="00B33D8D" w:rsidP="001D41EA">
            <w:pPr>
              <w:spacing w:before="40" w:after="20"/>
              <w:jc w:val="right"/>
              <w:rPr>
                <w:rFonts w:cs="Arial"/>
                <w:sz w:val="18"/>
                <w:szCs w:val="18"/>
              </w:rPr>
            </w:pPr>
            <w:r w:rsidRPr="001D41EA">
              <w:rPr>
                <w:rFonts w:cs="Arial"/>
                <w:sz w:val="18"/>
                <w:szCs w:val="18"/>
              </w:rPr>
              <w:t>32,251</w:t>
            </w:r>
          </w:p>
        </w:tc>
        <w:tc>
          <w:tcPr>
            <w:tcW w:w="170" w:type="dxa"/>
            <w:tcBorders>
              <w:top w:val="nil"/>
              <w:left w:val="nil"/>
              <w:bottom w:val="nil"/>
              <w:right w:val="nil"/>
            </w:tcBorders>
            <w:shd w:val="clear" w:color="auto" w:fill="auto"/>
            <w:vAlign w:val="bottom"/>
          </w:tcPr>
          <w:p w14:paraId="4EC3AB50" w14:textId="1702CA76"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38FED6F" w14:textId="611DD400" w:rsidR="00B33D8D" w:rsidRPr="001D41EA" w:rsidRDefault="00B33D8D" w:rsidP="001D41EA">
            <w:pPr>
              <w:spacing w:before="40" w:after="20"/>
              <w:jc w:val="right"/>
              <w:rPr>
                <w:rFonts w:cs="Arial"/>
                <w:sz w:val="18"/>
                <w:szCs w:val="18"/>
              </w:rPr>
            </w:pPr>
            <w:r w:rsidRPr="001D41EA">
              <w:rPr>
                <w:rFonts w:cs="Arial"/>
                <w:sz w:val="18"/>
                <w:szCs w:val="18"/>
              </w:rPr>
              <w:t>46.5</w:t>
            </w:r>
          </w:p>
        </w:tc>
      </w:tr>
      <w:tr w:rsidR="00B33D8D" w:rsidRPr="001D41EA" w14:paraId="753EF98B"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77AC6C99" w14:textId="77777777" w:rsidR="00B33D8D" w:rsidRPr="001D41EA" w:rsidRDefault="00B33D8D" w:rsidP="001D41EA">
            <w:pPr>
              <w:spacing w:before="40" w:after="20"/>
              <w:rPr>
                <w:rFonts w:cs="Arial"/>
                <w:sz w:val="18"/>
                <w:szCs w:val="18"/>
              </w:rPr>
            </w:pPr>
            <w:r w:rsidRPr="001D41EA">
              <w:rPr>
                <w:rFonts w:cs="Arial"/>
                <w:sz w:val="18"/>
                <w:szCs w:val="18"/>
              </w:rPr>
              <w:t>Swan Hill RC</w:t>
            </w:r>
          </w:p>
        </w:tc>
        <w:tc>
          <w:tcPr>
            <w:tcW w:w="1418" w:type="dxa"/>
            <w:tcBorders>
              <w:top w:val="nil"/>
              <w:left w:val="single" w:sz="18" w:space="0" w:color="5F497A" w:themeColor="accent4" w:themeShade="BF"/>
              <w:bottom w:val="nil"/>
              <w:right w:val="nil"/>
            </w:tcBorders>
            <w:shd w:val="clear" w:color="auto" w:fill="auto"/>
            <w:vAlign w:val="bottom"/>
          </w:tcPr>
          <w:p w14:paraId="2CCF1A33" w14:textId="505AFA9C" w:rsidR="00B33D8D" w:rsidRPr="001D41EA" w:rsidRDefault="00B33D8D" w:rsidP="001D41EA">
            <w:pPr>
              <w:spacing w:before="40" w:after="20"/>
              <w:jc w:val="right"/>
              <w:rPr>
                <w:rFonts w:cs="Arial"/>
                <w:sz w:val="18"/>
                <w:szCs w:val="18"/>
              </w:rPr>
            </w:pPr>
            <w:r w:rsidRPr="001D41EA">
              <w:rPr>
                <w:rFonts w:cs="Arial"/>
                <w:sz w:val="18"/>
                <w:szCs w:val="18"/>
              </w:rPr>
              <w:t>2,604</w:t>
            </w:r>
          </w:p>
        </w:tc>
        <w:tc>
          <w:tcPr>
            <w:tcW w:w="1418" w:type="dxa"/>
            <w:tcBorders>
              <w:top w:val="nil"/>
              <w:left w:val="nil"/>
              <w:bottom w:val="nil"/>
              <w:right w:val="nil"/>
            </w:tcBorders>
            <w:shd w:val="clear" w:color="auto" w:fill="auto"/>
            <w:vAlign w:val="bottom"/>
          </w:tcPr>
          <w:p w14:paraId="202CF0AB" w14:textId="4D4D211E" w:rsidR="00B33D8D" w:rsidRPr="001D41EA" w:rsidRDefault="00B33D8D" w:rsidP="00F705DD">
            <w:pPr>
              <w:spacing w:before="40" w:after="20"/>
              <w:jc w:val="center"/>
              <w:rPr>
                <w:rFonts w:cs="Arial"/>
                <w:sz w:val="18"/>
                <w:szCs w:val="18"/>
              </w:rPr>
            </w:pPr>
            <w:r w:rsidRPr="001D41EA">
              <w:rPr>
                <w:rFonts w:cs="Arial"/>
                <w:sz w:val="18"/>
                <w:szCs w:val="18"/>
              </w:rPr>
              <w:t>38.6</w:t>
            </w:r>
          </w:p>
        </w:tc>
        <w:tc>
          <w:tcPr>
            <w:tcW w:w="170" w:type="dxa"/>
            <w:tcBorders>
              <w:top w:val="nil"/>
              <w:left w:val="nil"/>
              <w:bottom w:val="nil"/>
              <w:right w:val="nil"/>
            </w:tcBorders>
            <w:vAlign w:val="bottom"/>
          </w:tcPr>
          <w:p w14:paraId="7719974D"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BCE543E" w14:textId="22FC4BB3" w:rsidR="00B33D8D" w:rsidRPr="001D41EA" w:rsidRDefault="00B33D8D" w:rsidP="001D41EA">
            <w:pPr>
              <w:spacing w:before="40" w:after="20"/>
              <w:jc w:val="right"/>
              <w:rPr>
                <w:rFonts w:cs="Arial"/>
                <w:sz w:val="18"/>
                <w:szCs w:val="18"/>
              </w:rPr>
            </w:pPr>
            <w:r w:rsidRPr="001D41EA">
              <w:rPr>
                <w:rFonts w:cs="Arial"/>
                <w:sz w:val="18"/>
                <w:szCs w:val="18"/>
              </w:rPr>
              <w:t>20,759</w:t>
            </w:r>
          </w:p>
        </w:tc>
        <w:tc>
          <w:tcPr>
            <w:tcW w:w="170" w:type="dxa"/>
            <w:tcBorders>
              <w:top w:val="nil"/>
              <w:left w:val="nil"/>
              <w:bottom w:val="nil"/>
              <w:right w:val="nil"/>
            </w:tcBorders>
            <w:shd w:val="clear" w:color="auto" w:fill="auto"/>
            <w:vAlign w:val="bottom"/>
          </w:tcPr>
          <w:p w14:paraId="25829E53" w14:textId="43F0D6A9"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1F009ACA" w14:textId="0967F9EC" w:rsidR="00B33D8D" w:rsidRPr="001D41EA" w:rsidRDefault="00B33D8D" w:rsidP="001D41EA">
            <w:pPr>
              <w:spacing w:before="40" w:after="20"/>
              <w:jc w:val="right"/>
              <w:rPr>
                <w:rFonts w:cs="Arial"/>
                <w:sz w:val="18"/>
                <w:szCs w:val="18"/>
              </w:rPr>
            </w:pPr>
            <w:r w:rsidRPr="001D41EA">
              <w:rPr>
                <w:rFonts w:cs="Arial"/>
                <w:sz w:val="18"/>
                <w:szCs w:val="18"/>
              </w:rPr>
              <w:t>2.5</w:t>
            </w:r>
          </w:p>
        </w:tc>
      </w:tr>
      <w:tr w:rsidR="00B33D8D" w:rsidRPr="001D41EA" w14:paraId="2BFE01C4"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0BF83240" w14:textId="77777777" w:rsidR="00B33D8D" w:rsidRPr="001D41EA" w:rsidRDefault="00B33D8D" w:rsidP="001D41EA">
            <w:pPr>
              <w:spacing w:before="40" w:after="20"/>
              <w:rPr>
                <w:rFonts w:cs="Arial"/>
                <w:sz w:val="18"/>
                <w:szCs w:val="18"/>
              </w:rPr>
            </w:pPr>
            <w:r w:rsidRPr="001D41EA">
              <w:rPr>
                <w:rFonts w:cs="Arial"/>
                <w:sz w:val="18"/>
                <w:szCs w:val="18"/>
              </w:rPr>
              <w:t>Towong S</w:t>
            </w:r>
          </w:p>
        </w:tc>
        <w:tc>
          <w:tcPr>
            <w:tcW w:w="1418" w:type="dxa"/>
            <w:tcBorders>
              <w:top w:val="nil"/>
              <w:left w:val="single" w:sz="18" w:space="0" w:color="5F497A" w:themeColor="accent4" w:themeShade="BF"/>
              <w:bottom w:val="nil"/>
              <w:right w:val="nil"/>
            </w:tcBorders>
            <w:shd w:val="clear" w:color="auto" w:fill="auto"/>
            <w:vAlign w:val="bottom"/>
          </w:tcPr>
          <w:p w14:paraId="4BAC7254" w14:textId="74EB951E" w:rsidR="00B33D8D" w:rsidRPr="001D41EA" w:rsidRDefault="00B33D8D" w:rsidP="001D41EA">
            <w:pPr>
              <w:spacing w:before="40" w:after="20"/>
              <w:jc w:val="right"/>
              <w:rPr>
                <w:rFonts w:cs="Arial"/>
                <w:sz w:val="18"/>
                <w:szCs w:val="18"/>
              </w:rPr>
            </w:pPr>
            <w:r w:rsidRPr="001D41EA">
              <w:rPr>
                <w:rFonts w:cs="Arial"/>
                <w:sz w:val="18"/>
                <w:szCs w:val="18"/>
              </w:rPr>
              <w:t>939</w:t>
            </w:r>
          </w:p>
        </w:tc>
        <w:tc>
          <w:tcPr>
            <w:tcW w:w="1418" w:type="dxa"/>
            <w:tcBorders>
              <w:top w:val="nil"/>
              <w:left w:val="nil"/>
              <w:bottom w:val="nil"/>
              <w:right w:val="nil"/>
            </w:tcBorders>
            <w:shd w:val="clear" w:color="auto" w:fill="auto"/>
            <w:vAlign w:val="bottom"/>
          </w:tcPr>
          <w:p w14:paraId="31AAD962" w14:textId="0CC49D8E" w:rsidR="00B33D8D" w:rsidRPr="001D41EA" w:rsidRDefault="00B33D8D" w:rsidP="00F705DD">
            <w:pPr>
              <w:spacing w:before="40" w:after="20"/>
              <w:jc w:val="center"/>
              <w:rPr>
                <w:rFonts w:cs="Arial"/>
                <w:sz w:val="18"/>
                <w:szCs w:val="18"/>
              </w:rPr>
            </w:pPr>
            <w:r w:rsidRPr="001D41EA">
              <w:rPr>
                <w:rFonts w:cs="Arial"/>
                <w:sz w:val="18"/>
                <w:szCs w:val="18"/>
              </w:rPr>
              <w:t>37.5</w:t>
            </w:r>
          </w:p>
        </w:tc>
        <w:tc>
          <w:tcPr>
            <w:tcW w:w="170" w:type="dxa"/>
            <w:tcBorders>
              <w:top w:val="nil"/>
              <w:left w:val="nil"/>
              <w:bottom w:val="nil"/>
              <w:right w:val="nil"/>
            </w:tcBorders>
            <w:vAlign w:val="bottom"/>
          </w:tcPr>
          <w:p w14:paraId="0262486A"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F80CCBF" w14:textId="6DDD1B96" w:rsidR="00B33D8D" w:rsidRPr="001D41EA" w:rsidRDefault="00B33D8D" w:rsidP="001D41EA">
            <w:pPr>
              <w:spacing w:before="40" w:after="20"/>
              <w:jc w:val="right"/>
              <w:rPr>
                <w:rFonts w:cs="Arial"/>
                <w:sz w:val="18"/>
                <w:szCs w:val="18"/>
              </w:rPr>
            </w:pPr>
            <w:r w:rsidRPr="001D41EA">
              <w:rPr>
                <w:rFonts w:cs="Arial"/>
                <w:sz w:val="18"/>
                <w:szCs w:val="18"/>
              </w:rPr>
              <w:t>6,054</w:t>
            </w:r>
          </w:p>
        </w:tc>
        <w:tc>
          <w:tcPr>
            <w:tcW w:w="170" w:type="dxa"/>
            <w:tcBorders>
              <w:top w:val="nil"/>
              <w:left w:val="nil"/>
              <w:bottom w:val="nil"/>
              <w:right w:val="nil"/>
            </w:tcBorders>
            <w:shd w:val="clear" w:color="auto" w:fill="auto"/>
            <w:vAlign w:val="bottom"/>
          </w:tcPr>
          <w:p w14:paraId="5B3B84BE" w14:textId="567842E0"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15605733" w14:textId="5EAA6F1A" w:rsidR="00B33D8D" w:rsidRPr="001D41EA" w:rsidRDefault="00B33D8D" w:rsidP="001D41EA">
            <w:pPr>
              <w:spacing w:before="40" w:after="20"/>
              <w:jc w:val="right"/>
              <w:rPr>
                <w:rFonts w:cs="Arial"/>
                <w:sz w:val="18"/>
                <w:szCs w:val="18"/>
              </w:rPr>
            </w:pPr>
            <w:r w:rsidRPr="001D41EA">
              <w:rPr>
                <w:rFonts w:cs="Arial"/>
                <w:sz w:val="18"/>
                <w:szCs w:val="18"/>
              </w:rPr>
              <w:t>24.3</w:t>
            </w:r>
          </w:p>
        </w:tc>
      </w:tr>
      <w:tr w:rsidR="00B33D8D" w:rsidRPr="001D41EA" w14:paraId="379F463A"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4A96858F" w14:textId="77777777" w:rsidR="00B33D8D" w:rsidRPr="001D41EA" w:rsidRDefault="00B33D8D" w:rsidP="001D41EA">
            <w:pPr>
              <w:spacing w:before="40" w:after="20"/>
              <w:rPr>
                <w:rFonts w:cs="Arial"/>
                <w:sz w:val="18"/>
                <w:szCs w:val="18"/>
              </w:rPr>
            </w:pPr>
            <w:r w:rsidRPr="001D41EA">
              <w:rPr>
                <w:rFonts w:cs="Arial"/>
                <w:sz w:val="18"/>
                <w:szCs w:val="18"/>
              </w:rPr>
              <w:t>Wangaratta RC</w:t>
            </w:r>
          </w:p>
        </w:tc>
        <w:tc>
          <w:tcPr>
            <w:tcW w:w="1418" w:type="dxa"/>
            <w:tcBorders>
              <w:top w:val="nil"/>
              <w:left w:val="single" w:sz="18" w:space="0" w:color="5F497A" w:themeColor="accent4" w:themeShade="BF"/>
              <w:bottom w:val="nil"/>
              <w:right w:val="nil"/>
            </w:tcBorders>
            <w:shd w:val="clear" w:color="auto" w:fill="auto"/>
            <w:vAlign w:val="bottom"/>
          </w:tcPr>
          <w:p w14:paraId="0B8E9220" w14:textId="4B752F95" w:rsidR="00B33D8D" w:rsidRPr="001D41EA" w:rsidRDefault="00B33D8D" w:rsidP="001D41EA">
            <w:pPr>
              <w:spacing w:before="40" w:after="20"/>
              <w:jc w:val="right"/>
              <w:rPr>
                <w:rFonts w:cs="Arial"/>
                <w:sz w:val="18"/>
                <w:szCs w:val="18"/>
              </w:rPr>
            </w:pPr>
            <w:r w:rsidRPr="001D41EA">
              <w:rPr>
                <w:rFonts w:cs="Arial"/>
                <w:sz w:val="18"/>
                <w:szCs w:val="18"/>
              </w:rPr>
              <w:t>4,315</w:t>
            </w:r>
          </w:p>
        </w:tc>
        <w:tc>
          <w:tcPr>
            <w:tcW w:w="1418" w:type="dxa"/>
            <w:tcBorders>
              <w:top w:val="nil"/>
              <w:left w:val="nil"/>
              <w:bottom w:val="nil"/>
              <w:right w:val="nil"/>
            </w:tcBorders>
            <w:shd w:val="clear" w:color="auto" w:fill="auto"/>
            <w:vAlign w:val="bottom"/>
          </w:tcPr>
          <w:p w14:paraId="77887A90" w14:textId="69AF399F" w:rsidR="00B33D8D" w:rsidRPr="001D41EA" w:rsidRDefault="00B33D8D" w:rsidP="00F705DD">
            <w:pPr>
              <w:spacing w:before="40" w:after="20"/>
              <w:jc w:val="center"/>
              <w:rPr>
                <w:rFonts w:cs="Arial"/>
                <w:sz w:val="18"/>
                <w:szCs w:val="18"/>
              </w:rPr>
            </w:pPr>
            <w:r w:rsidRPr="001D41EA">
              <w:rPr>
                <w:rFonts w:cs="Arial"/>
                <w:sz w:val="18"/>
                <w:szCs w:val="18"/>
              </w:rPr>
              <w:t>40.8</w:t>
            </w:r>
          </w:p>
        </w:tc>
        <w:tc>
          <w:tcPr>
            <w:tcW w:w="170" w:type="dxa"/>
            <w:tcBorders>
              <w:top w:val="nil"/>
              <w:left w:val="nil"/>
              <w:bottom w:val="nil"/>
              <w:right w:val="nil"/>
            </w:tcBorders>
            <w:vAlign w:val="bottom"/>
          </w:tcPr>
          <w:p w14:paraId="49D2D535"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84A2580" w14:textId="02428872" w:rsidR="00B33D8D" w:rsidRPr="001D41EA" w:rsidRDefault="00B33D8D" w:rsidP="001D41EA">
            <w:pPr>
              <w:spacing w:before="40" w:after="20"/>
              <w:jc w:val="right"/>
              <w:rPr>
                <w:rFonts w:cs="Arial"/>
                <w:sz w:val="18"/>
                <w:szCs w:val="18"/>
              </w:rPr>
            </w:pPr>
            <w:r w:rsidRPr="001D41EA">
              <w:rPr>
                <w:rFonts w:cs="Arial"/>
                <w:sz w:val="18"/>
                <w:szCs w:val="18"/>
              </w:rPr>
              <w:t>29,087</w:t>
            </w:r>
          </w:p>
        </w:tc>
        <w:tc>
          <w:tcPr>
            <w:tcW w:w="170" w:type="dxa"/>
            <w:tcBorders>
              <w:top w:val="nil"/>
              <w:left w:val="nil"/>
              <w:bottom w:val="nil"/>
              <w:right w:val="nil"/>
            </w:tcBorders>
            <w:shd w:val="clear" w:color="auto" w:fill="auto"/>
            <w:vAlign w:val="bottom"/>
          </w:tcPr>
          <w:p w14:paraId="0F8D71C6" w14:textId="4D791E4F"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0527D57" w14:textId="3A8C8C93" w:rsidR="00B33D8D" w:rsidRPr="001D41EA" w:rsidRDefault="00B33D8D" w:rsidP="001D41EA">
            <w:pPr>
              <w:spacing w:before="40" w:after="20"/>
              <w:jc w:val="right"/>
              <w:rPr>
                <w:rFonts w:cs="Arial"/>
                <w:sz w:val="18"/>
                <w:szCs w:val="18"/>
              </w:rPr>
            </w:pPr>
            <w:r w:rsidRPr="001D41EA">
              <w:rPr>
                <w:rFonts w:cs="Arial"/>
                <w:sz w:val="18"/>
                <w:szCs w:val="18"/>
              </w:rPr>
              <w:t>19.2</w:t>
            </w:r>
          </w:p>
        </w:tc>
      </w:tr>
      <w:tr w:rsidR="00B33D8D" w:rsidRPr="001D41EA" w14:paraId="4C50769A"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7455EDD1" w14:textId="77777777" w:rsidR="00B33D8D" w:rsidRPr="001D41EA" w:rsidRDefault="00B33D8D" w:rsidP="001D41EA">
            <w:pPr>
              <w:spacing w:before="40" w:after="20"/>
              <w:rPr>
                <w:rFonts w:cs="Arial"/>
                <w:sz w:val="18"/>
                <w:szCs w:val="18"/>
              </w:rPr>
            </w:pPr>
            <w:r w:rsidRPr="001D41EA">
              <w:rPr>
                <w:rFonts w:cs="Arial"/>
                <w:sz w:val="18"/>
                <w:szCs w:val="18"/>
              </w:rPr>
              <w:t>Warrnambool C</w:t>
            </w:r>
          </w:p>
        </w:tc>
        <w:tc>
          <w:tcPr>
            <w:tcW w:w="1418" w:type="dxa"/>
            <w:tcBorders>
              <w:top w:val="nil"/>
              <w:left w:val="single" w:sz="18" w:space="0" w:color="5F497A" w:themeColor="accent4" w:themeShade="BF"/>
              <w:bottom w:val="nil"/>
              <w:right w:val="nil"/>
            </w:tcBorders>
            <w:shd w:val="clear" w:color="auto" w:fill="auto"/>
            <w:vAlign w:val="bottom"/>
          </w:tcPr>
          <w:p w14:paraId="1F916775" w14:textId="3CF9C602" w:rsidR="00B33D8D" w:rsidRPr="001D41EA" w:rsidRDefault="00B33D8D" w:rsidP="001D41EA">
            <w:pPr>
              <w:spacing w:before="40" w:after="20"/>
              <w:jc w:val="right"/>
              <w:rPr>
                <w:rFonts w:cs="Arial"/>
                <w:sz w:val="18"/>
                <w:szCs w:val="18"/>
              </w:rPr>
            </w:pPr>
            <w:r w:rsidRPr="001D41EA">
              <w:rPr>
                <w:rFonts w:cs="Arial"/>
                <w:sz w:val="18"/>
                <w:szCs w:val="18"/>
              </w:rPr>
              <w:t>4,408</w:t>
            </w:r>
          </w:p>
        </w:tc>
        <w:tc>
          <w:tcPr>
            <w:tcW w:w="1418" w:type="dxa"/>
            <w:tcBorders>
              <w:top w:val="nil"/>
              <w:left w:val="nil"/>
              <w:bottom w:val="nil"/>
              <w:right w:val="nil"/>
            </w:tcBorders>
            <w:shd w:val="clear" w:color="auto" w:fill="auto"/>
            <w:vAlign w:val="bottom"/>
          </w:tcPr>
          <w:p w14:paraId="283AC926" w14:textId="552E1610" w:rsidR="00B33D8D" w:rsidRPr="001D41EA" w:rsidRDefault="00B33D8D" w:rsidP="00F705DD">
            <w:pPr>
              <w:spacing w:before="40" w:after="20"/>
              <w:jc w:val="center"/>
              <w:rPr>
                <w:rFonts w:cs="Arial"/>
                <w:sz w:val="18"/>
                <w:szCs w:val="18"/>
              </w:rPr>
            </w:pPr>
            <w:r w:rsidRPr="001D41EA">
              <w:rPr>
                <w:rFonts w:cs="Arial"/>
                <w:sz w:val="18"/>
                <w:szCs w:val="18"/>
              </w:rPr>
              <w:t>40.2</w:t>
            </w:r>
          </w:p>
        </w:tc>
        <w:tc>
          <w:tcPr>
            <w:tcW w:w="170" w:type="dxa"/>
            <w:tcBorders>
              <w:top w:val="nil"/>
              <w:left w:val="nil"/>
              <w:bottom w:val="nil"/>
              <w:right w:val="nil"/>
            </w:tcBorders>
            <w:vAlign w:val="bottom"/>
          </w:tcPr>
          <w:p w14:paraId="724381E1"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2DA9518" w14:textId="64114DC2" w:rsidR="00B33D8D" w:rsidRPr="001D41EA" w:rsidRDefault="00B33D8D" w:rsidP="001D41EA">
            <w:pPr>
              <w:spacing w:before="40" w:after="20"/>
              <w:jc w:val="right"/>
              <w:rPr>
                <w:rFonts w:cs="Arial"/>
                <w:sz w:val="18"/>
                <w:szCs w:val="18"/>
              </w:rPr>
            </w:pPr>
            <w:r w:rsidRPr="001D41EA">
              <w:rPr>
                <w:rFonts w:cs="Arial"/>
                <w:sz w:val="18"/>
                <w:szCs w:val="18"/>
              </w:rPr>
              <w:t>34,862</w:t>
            </w:r>
          </w:p>
        </w:tc>
        <w:tc>
          <w:tcPr>
            <w:tcW w:w="170" w:type="dxa"/>
            <w:tcBorders>
              <w:top w:val="nil"/>
              <w:left w:val="nil"/>
              <w:bottom w:val="nil"/>
              <w:right w:val="nil"/>
            </w:tcBorders>
            <w:shd w:val="clear" w:color="auto" w:fill="auto"/>
            <w:vAlign w:val="bottom"/>
          </w:tcPr>
          <w:p w14:paraId="3696730A" w14:textId="06E1058A"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4C81EC0" w14:textId="019E2E7E" w:rsidR="00B33D8D" w:rsidRPr="001D41EA" w:rsidRDefault="00B33D8D" w:rsidP="001D41EA">
            <w:pPr>
              <w:spacing w:before="40" w:after="20"/>
              <w:jc w:val="right"/>
              <w:rPr>
                <w:rFonts w:cs="Arial"/>
                <w:sz w:val="18"/>
                <w:szCs w:val="18"/>
              </w:rPr>
            </w:pPr>
            <w:r w:rsidRPr="001D41EA">
              <w:rPr>
                <w:rFonts w:cs="Arial"/>
                <w:sz w:val="18"/>
                <w:szCs w:val="18"/>
              </w:rPr>
              <w:t>7.6</w:t>
            </w:r>
          </w:p>
        </w:tc>
      </w:tr>
      <w:tr w:rsidR="00B33D8D" w:rsidRPr="001D41EA" w14:paraId="0F51A8D4"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45E2DD64" w14:textId="77777777" w:rsidR="00B33D8D" w:rsidRPr="001D41EA" w:rsidRDefault="00B33D8D" w:rsidP="001D41EA">
            <w:pPr>
              <w:spacing w:before="40" w:after="20"/>
              <w:rPr>
                <w:rFonts w:cs="Arial"/>
                <w:sz w:val="18"/>
                <w:szCs w:val="18"/>
              </w:rPr>
            </w:pPr>
            <w:r w:rsidRPr="001D41EA">
              <w:rPr>
                <w:rFonts w:cs="Arial"/>
                <w:sz w:val="18"/>
                <w:szCs w:val="18"/>
              </w:rPr>
              <w:t>Wellington S</w:t>
            </w:r>
          </w:p>
        </w:tc>
        <w:tc>
          <w:tcPr>
            <w:tcW w:w="1418" w:type="dxa"/>
            <w:tcBorders>
              <w:top w:val="nil"/>
              <w:left w:val="single" w:sz="18" w:space="0" w:color="5F497A" w:themeColor="accent4" w:themeShade="BF"/>
              <w:bottom w:val="nil"/>
              <w:right w:val="nil"/>
            </w:tcBorders>
            <w:shd w:val="clear" w:color="auto" w:fill="auto"/>
            <w:vAlign w:val="bottom"/>
          </w:tcPr>
          <w:p w14:paraId="2B54314D" w14:textId="2C6A4375" w:rsidR="00B33D8D" w:rsidRPr="001D41EA" w:rsidRDefault="00B33D8D" w:rsidP="001D41EA">
            <w:pPr>
              <w:spacing w:before="40" w:after="20"/>
              <w:jc w:val="right"/>
              <w:rPr>
                <w:rFonts w:cs="Arial"/>
                <w:sz w:val="18"/>
                <w:szCs w:val="18"/>
              </w:rPr>
            </w:pPr>
            <w:r w:rsidRPr="001D41EA">
              <w:rPr>
                <w:rFonts w:cs="Arial"/>
                <w:sz w:val="18"/>
                <w:szCs w:val="18"/>
              </w:rPr>
              <w:t>5,871</w:t>
            </w:r>
          </w:p>
        </w:tc>
        <w:tc>
          <w:tcPr>
            <w:tcW w:w="1418" w:type="dxa"/>
            <w:tcBorders>
              <w:top w:val="nil"/>
              <w:left w:val="nil"/>
              <w:bottom w:val="nil"/>
              <w:right w:val="nil"/>
            </w:tcBorders>
            <w:shd w:val="clear" w:color="auto" w:fill="auto"/>
            <w:vAlign w:val="bottom"/>
          </w:tcPr>
          <w:p w14:paraId="57F426FF" w14:textId="03AAB560" w:rsidR="00B33D8D" w:rsidRPr="001D41EA" w:rsidRDefault="00B33D8D" w:rsidP="00F705DD">
            <w:pPr>
              <w:spacing w:before="40" w:after="20"/>
              <w:jc w:val="center"/>
              <w:rPr>
                <w:rFonts w:cs="Arial"/>
                <w:sz w:val="18"/>
                <w:szCs w:val="18"/>
              </w:rPr>
            </w:pPr>
            <w:r w:rsidRPr="001D41EA">
              <w:rPr>
                <w:rFonts w:cs="Arial"/>
                <w:sz w:val="18"/>
                <w:szCs w:val="18"/>
              </w:rPr>
              <w:t>38.1</w:t>
            </w:r>
          </w:p>
        </w:tc>
        <w:tc>
          <w:tcPr>
            <w:tcW w:w="170" w:type="dxa"/>
            <w:tcBorders>
              <w:top w:val="nil"/>
              <w:left w:val="nil"/>
              <w:bottom w:val="nil"/>
              <w:right w:val="nil"/>
            </w:tcBorders>
            <w:vAlign w:val="bottom"/>
          </w:tcPr>
          <w:p w14:paraId="4C88DE2D"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9C04083" w14:textId="46FCE8FF" w:rsidR="00B33D8D" w:rsidRPr="001D41EA" w:rsidRDefault="00B33D8D" w:rsidP="001D41EA">
            <w:pPr>
              <w:spacing w:before="40" w:after="20"/>
              <w:jc w:val="right"/>
              <w:rPr>
                <w:rFonts w:cs="Arial"/>
                <w:sz w:val="18"/>
                <w:szCs w:val="18"/>
              </w:rPr>
            </w:pPr>
            <w:r w:rsidRPr="001D41EA">
              <w:rPr>
                <w:rFonts w:cs="Arial"/>
                <w:sz w:val="18"/>
                <w:szCs w:val="18"/>
              </w:rPr>
              <w:t>44,019</w:t>
            </w:r>
          </w:p>
        </w:tc>
        <w:tc>
          <w:tcPr>
            <w:tcW w:w="170" w:type="dxa"/>
            <w:tcBorders>
              <w:top w:val="nil"/>
              <w:left w:val="nil"/>
              <w:bottom w:val="nil"/>
              <w:right w:val="nil"/>
            </w:tcBorders>
            <w:shd w:val="clear" w:color="auto" w:fill="auto"/>
            <w:vAlign w:val="bottom"/>
          </w:tcPr>
          <w:p w14:paraId="1F77A51A" w14:textId="6F835AE9"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C05A32C" w14:textId="1D437DC1" w:rsidR="00B33D8D" w:rsidRPr="001D41EA" w:rsidRDefault="00B33D8D" w:rsidP="001D41EA">
            <w:pPr>
              <w:spacing w:before="40" w:after="20"/>
              <w:jc w:val="right"/>
              <w:rPr>
                <w:rFonts w:cs="Arial"/>
                <w:sz w:val="18"/>
                <w:szCs w:val="18"/>
              </w:rPr>
            </w:pPr>
            <w:r w:rsidRPr="001D41EA">
              <w:rPr>
                <w:rFonts w:cs="Arial"/>
                <w:sz w:val="18"/>
                <w:szCs w:val="18"/>
              </w:rPr>
              <w:t>42.4</w:t>
            </w:r>
          </w:p>
        </w:tc>
      </w:tr>
      <w:tr w:rsidR="00B33D8D" w:rsidRPr="001D41EA" w14:paraId="387F4954"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4AC67853" w14:textId="77777777" w:rsidR="00B33D8D" w:rsidRPr="001D41EA" w:rsidRDefault="00B33D8D" w:rsidP="001D41EA">
            <w:pPr>
              <w:spacing w:before="40" w:after="20"/>
              <w:rPr>
                <w:rFonts w:cs="Arial"/>
                <w:sz w:val="18"/>
                <w:szCs w:val="18"/>
              </w:rPr>
            </w:pPr>
            <w:r w:rsidRPr="001D41EA">
              <w:rPr>
                <w:rFonts w:cs="Arial"/>
                <w:sz w:val="18"/>
                <w:szCs w:val="18"/>
              </w:rPr>
              <w:t>West Wimmera S</w:t>
            </w:r>
          </w:p>
        </w:tc>
        <w:tc>
          <w:tcPr>
            <w:tcW w:w="1418" w:type="dxa"/>
            <w:tcBorders>
              <w:top w:val="nil"/>
              <w:left w:val="single" w:sz="18" w:space="0" w:color="5F497A" w:themeColor="accent4" w:themeShade="BF"/>
              <w:bottom w:val="nil"/>
              <w:right w:val="nil"/>
            </w:tcBorders>
            <w:shd w:val="clear" w:color="auto" w:fill="auto"/>
            <w:vAlign w:val="bottom"/>
          </w:tcPr>
          <w:p w14:paraId="3B02E18B" w14:textId="413C182D" w:rsidR="00B33D8D" w:rsidRPr="001D41EA" w:rsidRDefault="00B33D8D" w:rsidP="001D41EA">
            <w:pPr>
              <w:spacing w:before="40" w:after="20"/>
              <w:jc w:val="right"/>
              <w:rPr>
                <w:rFonts w:cs="Arial"/>
                <w:sz w:val="18"/>
                <w:szCs w:val="18"/>
              </w:rPr>
            </w:pPr>
            <w:r w:rsidRPr="001D41EA">
              <w:rPr>
                <w:rFonts w:cs="Arial"/>
                <w:sz w:val="18"/>
                <w:szCs w:val="18"/>
              </w:rPr>
              <w:t>588</w:t>
            </w:r>
          </w:p>
        </w:tc>
        <w:tc>
          <w:tcPr>
            <w:tcW w:w="1418" w:type="dxa"/>
            <w:tcBorders>
              <w:top w:val="nil"/>
              <w:left w:val="nil"/>
              <w:bottom w:val="nil"/>
              <w:right w:val="nil"/>
            </w:tcBorders>
            <w:shd w:val="clear" w:color="auto" w:fill="auto"/>
            <w:vAlign w:val="bottom"/>
          </w:tcPr>
          <w:p w14:paraId="78935FB8" w14:textId="39783FA1" w:rsidR="00B33D8D" w:rsidRPr="001D41EA" w:rsidRDefault="00B33D8D" w:rsidP="00F705DD">
            <w:pPr>
              <w:spacing w:before="40" w:after="20"/>
              <w:jc w:val="center"/>
              <w:rPr>
                <w:rFonts w:cs="Arial"/>
                <w:sz w:val="18"/>
                <w:szCs w:val="18"/>
              </w:rPr>
            </w:pPr>
            <w:r w:rsidRPr="001D41EA">
              <w:rPr>
                <w:rFonts w:cs="Arial"/>
                <w:sz w:val="18"/>
                <w:szCs w:val="18"/>
              </w:rPr>
              <w:t>39.4</w:t>
            </w:r>
          </w:p>
        </w:tc>
        <w:tc>
          <w:tcPr>
            <w:tcW w:w="170" w:type="dxa"/>
            <w:tcBorders>
              <w:top w:val="nil"/>
              <w:left w:val="nil"/>
              <w:bottom w:val="nil"/>
              <w:right w:val="nil"/>
            </w:tcBorders>
            <w:vAlign w:val="bottom"/>
          </w:tcPr>
          <w:p w14:paraId="48CC07F6"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65A346B" w14:textId="552DCFB0" w:rsidR="00B33D8D" w:rsidRPr="001D41EA" w:rsidRDefault="00B33D8D" w:rsidP="001D41EA">
            <w:pPr>
              <w:spacing w:before="40" w:after="20"/>
              <w:jc w:val="right"/>
              <w:rPr>
                <w:rFonts w:cs="Arial"/>
                <w:sz w:val="18"/>
                <w:szCs w:val="18"/>
              </w:rPr>
            </w:pPr>
            <w:r w:rsidRPr="001D41EA">
              <w:rPr>
                <w:rFonts w:cs="Arial"/>
                <w:sz w:val="18"/>
                <w:szCs w:val="18"/>
              </w:rPr>
              <w:t>3,862</w:t>
            </w:r>
          </w:p>
        </w:tc>
        <w:tc>
          <w:tcPr>
            <w:tcW w:w="170" w:type="dxa"/>
            <w:tcBorders>
              <w:top w:val="nil"/>
              <w:left w:val="nil"/>
              <w:bottom w:val="nil"/>
              <w:right w:val="nil"/>
            </w:tcBorders>
            <w:shd w:val="clear" w:color="auto" w:fill="auto"/>
            <w:vAlign w:val="bottom"/>
          </w:tcPr>
          <w:p w14:paraId="5D99D4B8" w14:textId="598588B9"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71828D9A" w14:textId="72DB0FB9" w:rsidR="00B33D8D" w:rsidRPr="001D41EA" w:rsidRDefault="00B33D8D" w:rsidP="001D41EA">
            <w:pPr>
              <w:spacing w:before="40" w:after="20"/>
              <w:jc w:val="right"/>
              <w:rPr>
                <w:rFonts w:cs="Arial"/>
                <w:sz w:val="18"/>
                <w:szCs w:val="18"/>
              </w:rPr>
            </w:pPr>
            <w:r w:rsidRPr="001D41EA">
              <w:rPr>
                <w:rFonts w:cs="Arial"/>
                <w:sz w:val="18"/>
                <w:szCs w:val="18"/>
              </w:rPr>
              <w:t>61.9</w:t>
            </w:r>
          </w:p>
        </w:tc>
      </w:tr>
      <w:tr w:rsidR="00B33D8D" w:rsidRPr="001D41EA" w14:paraId="41F793D0"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062CE313" w14:textId="77777777" w:rsidR="00B33D8D" w:rsidRPr="001D41EA" w:rsidRDefault="00B33D8D" w:rsidP="001D41EA">
            <w:pPr>
              <w:spacing w:before="40" w:after="20"/>
              <w:rPr>
                <w:rFonts w:cs="Arial"/>
                <w:sz w:val="18"/>
                <w:szCs w:val="18"/>
              </w:rPr>
            </w:pPr>
            <w:r w:rsidRPr="001D41EA">
              <w:rPr>
                <w:rFonts w:cs="Arial"/>
                <w:sz w:val="18"/>
                <w:szCs w:val="18"/>
              </w:rPr>
              <w:t>Whitehorse C</w:t>
            </w:r>
          </w:p>
        </w:tc>
        <w:tc>
          <w:tcPr>
            <w:tcW w:w="1418" w:type="dxa"/>
            <w:tcBorders>
              <w:top w:val="nil"/>
              <w:left w:val="single" w:sz="18" w:space="0" w:color="5F497A" w:themeColor="accent4" w:themeShade="BF"/>
              <w:bottom w:val="nil"/>
              <w:right w:val="nil"/>
            </w:tcBorders>
            <w:shd w:val="clear" w:color="auto" w:fill="auto"/>
            <w:vAlign w:val="bottom"/>
          </w:tcPr>
          <w:p w14:paraId="0310154A" w14:textId="58F72956" w:rsidR="00B33D8D" w:rsidRPr="001D41EA" w:rsidRDefault="00B33D8D" w:rsidP="001D41EA">
            <w:pPr>
              <w:spacing w:before="40" w:after="20"/>
              <w:jc w:val="right"/>
              <w:rPr>
                <w:rFonts w:cs="Arial"/>
                <w:sz w:val="18"/>
                <w:szCs w:val="18"/>
              </w:rPr>
            </w:pPr>
            <w:r w:rsidRPr="001D41EA">
              <w:rPr>
                <w:rFonts w:cs="Arial"/>
                <w:sz w:val="18"/>
                <w:szCs w:val="18"/>
              </w:rPr>
              <w:t>15,924</w:t>
            </w:r>
          </w:p>
        </w:tc>
        <w:tc>
          <w:tcPr>
            <w:tcW w:w="1418" w:type="dxa"/>
            <w:tcBorders>
              <w:top w:val="nil"/>
              <w:left w:val="nil"/>
              <w:bottom w:val="nil"/>
              <w:right w:val="nil"/>
            </w:tcBorders>
            <w:shd w:val="clear" w:color="auto" w:fill="auto"/>
            <w:vAlign w:val="bottom"/>
          </w:tcPr>
          <w:p w14:paraId="1B0D7301" w14:textId="1CF9AF45" w:rsidR="00B33D8D" w:rsidRPr="001D41EA" w:rsidRDefault="00B33D8D" w:rsidP="00F705DD">
            <w:pPr>
              <w:spacing w:before="40" w:after="20"/>
              <w:jc w:val="center"/>
              <w:rPr>
                <w:rFonts w:cs="Arial"/>
                <w:sz w:val="18"/>
                <w:szCs w:val="18"/>
              </w:rPr>
            </w:pPr>
            <w:r w:rsidRPr="001D41EA">
              <w:rPr>
                <w:rFonts w:cs="Arial"/>
                <w:sz w:val="18"/>
                <w:szCs w:val="18"/>
              </w:rPr>
              <w:t>36.0</w:t>
            </w:r>
          </w:p>
        </w:tc>
        <w:tc>
          <w:tcPr>
            <w:tcW w:w="170" w:type="dxa"/>
            <w:tcBorders>
              <w:top w:val="nil"/>
              <w:left w:val="nil"/>
              <w:bottom w:val="nil"/>
              <w:right w:val="nil"/>
            </w:tcBorders>
            <w:vAlign w:val="bottom"/>
          </w:tcPr>
          <w:p w14:paraId="6E01ACE7"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1530BF5" w14:textId="31C5BA8A" w:rsidR="00B33D8D" w:rsidRPr="001D41EA" w:rsidRDefault="00B33D8D" w:rsidP="001D41EA">
            <w:pPr>
              <w:spacing w:before="40" w:after="20"/>
              <w:jc w:val="right"/>
              <w:rPr>
                <w:rFonts w:cs="Arial"/>
                <w:sz w:val="18"/>
                <w:szCs w:val="18"/>
              </w:rPr>
            </w:pPr>
            <w:r w:rsidRPr="001D41EA">
              <w:rPr>
                <w:rFonts w:cs="Arial"/>
                <w:sz w:val="18"/>
                <w:szCs w:val="18"/>
              </w:rPr>
              <w:t>176,196</w:t>
            </w:r>
          </w:p>
        </w:tc>
        <w:tc>
          <w:tcPr>
            <w:tcW w:w="170" w:type="dxa"/>
            <w:tcBorders>
              <w:top w:val="nil"/>
              <w:left w:val="nil"/>
              <w:bottom w:val="nil"/>
              <w:right w:val="nil"/>
            </w:tcBorders>
            <w:shd w:val="clear" w:color="auto" w:fill="auto"/>
            <w:vAlign w:val="bottom"/>
          </w:tcPr>
          <w:p w14:paraId="79FEA186" w14:textId="09921D1F"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3887849F" w14:textId="4573F1B2" w:rsidR="00B33D8D" w:rsidRPr="001D41EA" w:rsidRDefault="00B33D8D" w:rsidP="001D41EA">
            <w:pPr>
              <w:spacing w:before="40" w:after="20"/>
              <w:jc w:val="right"/>
              <w:rPr>
                <w:rFonts w:cs="Arial"/>
                <w:sz w:val="18"/>
                <w:szCs w:val="18"/>
              </w:rPr>
            </w:pPr>
            <w:r w:rsidRPr="001D41EA">
              <w:rPr>
                <w:rFonts w:cs="Arial"/>
                <w:sz w:val="18"/>
                <w:szCs w:val="18"/>
              </w:rPr>
              <w:t>0.6</w:t>
            </w:r>
          </w:p>
        </w:tc>
      </w:tr>
      <w:tr w:rsidR="00B33D8D" w:rsidRPr="001D41EA" w14:paraId="2CE62B7A"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51EE7A6A" w14:textId="77777777" w:rsidR="00B33D8D" w:rsidRPr="001D41EA" w:rsidRDefault="00B33D8D" w:rsidP="001D41EA">
            <w:pPr>
              <w:spacing w:before="40" w:after="20"/>
              <w:rPr>
                <w:rFonts w:cs="Arial"/>
                <w:sz w:val="18"/>
                <w:szCs w:val="18"/>
              </w:rPr>
            </w:pPr>
            <w:r w:rsidRPr="001D41EA">
              <w:rPr>
                <w:rFonts w:cs="Arial"/>
                <w:sz w:val="18"/>
                <w:szCs w:val="18"/>
              </w:rPr>
              <w:t>Whittlesea C</w:t>
            </w:r>
          </w:p>
        </w:tc>
        <w:tc>
          <w:tcPr>
            <w:tcW w:w="1418" w:type="dxa"/>
            <w:tcBorders>
              <w:top w:val="nil"/>
              <w:left w:val="single" w:sz="18" w:space="0" w:color="5F497A" w:themeColor="accent4" w:themeShade="BF"/>
              <w:bottom w:val="nil"/>
              <w:right w:val="nil"/>
            </w:tcBorders>
            <w:shd w:val="clear" w:color="auto" w:fill="auto"/>
            <w:vAlign w:val="bottom"/>
          </w:tcPr>
          <w:p w14:paraId="44DB04E8" w14:textId="0C0C25CA" w:rsidR="00B33D8D" w:rsidRPr="001D41EA" w:rsidRDefault="00B33D8D" w:rsidP="001D41EA">
            <w:pPr>
              <w:spacing w:before="40" w:after="20"/>
              <w:jc w:val="right"/>
              <w:rPr>
                <w:rFonts w:cs="Arial"/>
                <w:sz w:val="18"/>
                <w:szCs w:val="18"/>
              </w:rPr>
            </w:pPr>
            <w:r w:rsidRPr="001D41EA">
              <w:rPr>
                <w:rFonts w:cs="Arial"/>
                <w:sz w:val="18"/>
                <w:szCs w:val="18"/>
              </w:rPr>
              <w:t>18,550</w:t>
            </w:r>
          </w:p>
        </w:tc>
        <w:tc>
          <w:tcPr>
            <w:tcW w:w="1418" w:type="dxa"/>
            <w:tcBorders>
              <w:top w:val="nil"/>
              <w:left w:val="nil"/>
              <w:bottom w:val="nil"/>
              <w:right w:val="nil"/>
            </w:tcBorders>
            <w:shd w:val="clear" w:color="auto" w:fill="auto"/>
            <w:vAlign w:val="bottom"/>
          </w:tcPr>
          <w:p w14:paraId="21580E4D" w14:textId="49126DFB" w:rsidR="00B33D8D" w:rsidRPr="001D41EA" w:rsidRDefault="00B33D8D" w:rsidP="00F705DD">
            <w:pPr>
              <w:spacing w:before="40" w:after="20"/>
              <w:jc w:val="center"/>
              <w:rPr>
                <w:rFonts w:cs="Arial"/>
                <w:sz w:val="18"/>
                <w:szCs w:val="18"/>
              </w:rPr>
            </w:pPr>
            <w:r w:rsidRPr="001D41EA">
              <w:rPr>
                <w:rFonts w:cs="Arial"/>
                <w:sz w:val="18"/>
                <w:szCs w:val="18"/>
              </w:rPr>
              <w:t>36.8</w:t>
            </w:r>
          </w:p>
        </w:tc>
        <w:tc>
          <w:tcPr>
            <w:tcW w:w="170" w:type="dxa"/>
            <w:tcBorders>
              <w:top w:val="nil"/>
              <w:left w:val="nil"/>
              <w:bottom w:val="nil"/>
              <w:right w:val="nil"/>
            </w:tcBorders>
            <w:vAlign w:val="bottom"/>
          </w:tcPr>
          <w:p w14:paraId="4A296787"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17591CB" w14:textId="6312077B" w:rsidR="00B33D8D" w:rsidRPr="001D41EA" w:rsidRDefault="00B33D8D" w:rsidP="001D41EA">
            <w:pPr>
              <w:spacing w:before="40" w:after="20"/>
              <w:jc w:val="right"/>
              <w:rPr>
                <w:rFonts w:cs="Arial"/>
                <w:sz w:val="18"/>
                <w:szCs w:val="18"/>
              </w:rPr>
            </w:pPr>
            <w:r w:rsidRPr="001D41EA">
              <w:rPr>
                <w:rFonts w:cs="Arial"/>
                <w:sz w:val="18"/>
                <w:szCs w:val="18"/>
              </w:rPr>
              <w:t>223,322</w:t>
            </w:r>
          </w:p>
        </w:tc>
        <w:tc>
          <w:tcPr>
            <w:tcW w:w="170" w:type="dxa"/>
            <w:tcBorders>
              <w:top w:val="nil"/>
              <w:left w:val="nil"/>
              <w:bottom w:val="nil"/>
              <w:right w:val="nil"/>
            </w:tcBorders>
            <w:shd w:val="clear" w:color="auto" w:fill="auto"/>
            <w:vAlign w:val="bottom"/>
          </w:tcPr>
          <w:p w14:paraId="0666D3DE" w14:textId="45B5D698"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31DAAB30" w14:textId="6BF6680C" w:rsidR="00B33D8D" w:rsidRPr="001D41EA" w:rsidRDefault="00B33D8D" w:rsidP="001D41EA">
            <w:pPr>
              <w:spacing w:before="40" w:after="20"/>
              <w:jc w:val="right"/>
              <w:rPr>
                <w:rFonts w:cs="Arial"/>
                <w:sz w:val="18"/>
                <w:szCs w:val="18"/>
              </w:rPr>
            </w:pPr>
            <w:r w:rsidRPr="001D41EA">
              <w:rPr>
                <w:rFonts w:cs="Arial"/>
                <w:sz w:val="18"/>
                <w:szCs w:val="18"/>
              </w:rPr>
              <w:t>2.1</w:t>
            </w:r>
          </w:p>
        </w:tc>
      </w:tr>
      <w:tr w:rsidR="00B33D8D" w:rsidRPr="001D41EA" w14:paraId="2FF49FD8"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151EB566" w14:textId="77777777" w:rsidR="00B33D8D" w:rsidRPr="001D41EA" w:rsidRDefault="00B33D8D" w:rsidP="001D41EA">
            <w:pPr>
              <w:spacing w:before="40" w:after="20"/>
              <w:rPr>
                <w:rFonts w:cs="Arial"/>
                <w:sz w:val="18"/>
                <w:szCs w:val="18"/>
              </w:rPr>
            </w:pPr>
            <w:r w:rsidRPr="001D41EA">
              <w:rPr>
                <w:rFonts w:cs="Arial"/>
                <w:sz w:val="18"/>
                <w:szCs w:val="18"/>
              </w:rPr>
              <w:t>Wodonga C</w:t>
            </w:r>
          </w:p>
        </w:tc>
        <w:tc>
          <w:tcPr>
            <w:tcW w:w="1418" w:type="dxa"/>
            <w:tcBorders>
              <w:top w:val="nil"/>
              <w:left w:val="single" w:sz="18" w:space="0" w:color="5F497A" w:themeColor="accent4" w:themeShade="BF"/>
              <w:bottom w:val="nil"/>
              <w:right w:val="nil"/>
            </w:tcBorders>
            <w:shd w:val="clear" w:color="auto" w:fill="auto"/>
            <w:vAlign w:val="bottom"/>
          </w:tcPr>
          <w:p w14:paraId="5621C7DF" w14:textId="6702849A" w:rsidR="00B33D8D" w:rsidRPr="001D41EA" w:rsidRDefault="00B33D8D" w:rsidP="001D41EA">
            <w:pPr>
              <w:spacing w:before="40" w:after="20"/>
              <w:jc w:val="right"/>
              <w:rPr>
                <w:rFonts w:cs="Arial"/>
                <w:sz w:val="18"/>
                <w:szCs w:val="18"/>
              </w:rPr>
            </w:pPr>
            <w:r w:rsidRPr="001D41EA">
              <w:rPr>
                <w:rFonts w:cs="Arial"/>
                <w:sz w:val="18"/>
                <w:szCs w:val="18"/>
              </w:rPr>
              <w:t>4,374</w:t>
            </w:r>
          </w:p>
        </w:tc>
        <w:tc>
          <w:tcPr>
            <w:tcW w:w="1418" w:type="dxa"/>
            <w:tcBorders>
              <w:top w:val="nil"/>
              <w:left w:val="nil"/>
              <w:bottom w:val="nil"/>
              <w:right w:val="nil"/>
            </w:tcBorders>
            <w:shd w:val="clear" w:color="auto" w:fill="auto"/>
            <w:vAlign w:val="bottom"/>
          </w:tcPr>
          <w:p w14:paraId="68FD8A3B" w14:textId="66A5E5AE" w:rsidR="00B33D8D" w:rsidRPr="001D41EA" w:rsidRDefault="00B33D8D" w:rsidP="00F705DD">
            <w:pPr>
              <w:spacing w:before="40" w:after="20"/>
              <w:jc w:val="center"/>
              <w:rPr>
                <w:rFonts w:cs="Arial"/>
                <w:sz w:val="18"/>
                <w:szCs w:val="18"/>
              </w:rPr>
            </w:pPr>
            <w:r w:rsidRPr="001D41EA">
              <w:rPr>
                <w:rFonts w:cs="Arial"/>
                <w:sz w:val="18"/>
                <w:szCs w:val="18"/>
              </w:rPr>
              <w:t>38.1</w:t>
            </w:r>
          </w:p>
        </w:tc>
        <w:tc>
          <w:tcPr>
            <w:tcW w:w="170" w:type="dxa"/>
            <w:tcBorders>
              <w:top w:val="nil"/>
              <w:left w:val="nil"/>
              <w:bottom w:val="nil"/>
              <w:right w:val="nil"/>
            </w:tcBorders>
            <w:vAlign w:val="bottom"/>
          </w:tcPr>
          <w:p w14:paraId="61ACD991"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F236B3D" w14:textId="056926F8" w:rsidR="00B33D8D" w:rsidRPr="001D41EA" w:rsidRDefault="00B33D8D" w:rsidP="001D41EA">
            <w:pPr>
              <w:spacing w:before="40" w:after="20"/>
              <w:jc w:val="right"/>
              <w:rPr>
                <w:rFonts w:cs="Arial"/>
                <w:sz w:val="18"/>
                <w:szCs w:val="18"/>
              </w:rPr>
            </w:pPr>
            <w:r w:rsidRPr="001D41EA">
              <w:rPr>
                <w:rFonts w:cs="Arial"/>
                <w:sz w:val="18"/>
                <w:szCs w:val="18"/>
              </w:rPr>
              <w:t>41,429</w:t>
            </w:r>
          </w:p>
        </w:tc>
        <w:tc>
          <w:tcPr>
            <w:tcW w:w="170" w:type="dxa"/>
            <w:tcBorders>
              <w:top w:val="nil"/>
              <w:left w:val="nil"/>
              <w:bottom w:val="nil"/>
              <w:right w:val="nil"/>
            </w:tcBorders>
            <w:shd w:val="clear" w:color="auto" w:fill="auto"/>
            <w:vAlign w:val="bottom"/>
          </w:tcPr>
          <w:p w14:paraId="4CD5DBA6" w14:textId="2E08BB02"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3585D00" w14:textId="1FFAF712" w:rsidR="00B33D8D" w:rsidRPr="001D41EA" w:rsidRDefault="00B33D8D" w:rsidP="001D41EA">
            <w:pPr>
              <w:spacing w:before="40" w:after="20"/>
              <w:jc w:val="right"/>
              <w:rPr>
                <w:rFonts w:cs="Arial"/>
                <w:sz w:val="18"/>
                <w:szCs w:val="18"/>
              </w:rPr>
            </w:pPr>
            <w:r w:rsidRPr="001D41EA">
              <w:rPr>
                <w:rFonts w:cs="Arial"/>
                <w:sz w:val="18"/>
                <w:szCs w:val="18"/>
              </w:rPr>
              <w:t>7.8</w:t>
            </w:r>
          </w:p>
        </w:tc>
      </w:tr>
      <w:tr w:rsidR="00B33D8D" w:rsidRPr="001D41EA" w14:paraId="5785ADBA"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56A4E8F3" w14:textId="77777777" w:rsidR="00B33D8D" w:rsidRPr="001D41EA" w:rsidRDefault="00B33D8D" w:rsidP="001D41EA">
            <w:pPr>
              <w:spacing w:before="40" w:after="20"/>
              <w:rPr>
                <w:rFonts w:cs="Arial"/>
                <w:sz w:val="18"/>
                <w:szCs w:val="18"/>
              </w:rPr>
            </w:pPr>
            <w:r w:rsidRPr="001D41EA">
              <w:rPr>
                <w:rFonts w:cs="Arial"/>
                <w:sz w:val="18"/>
                <w:szCs w:val="18"/>
              </w:rPr>
              <w:t>Wyndham C</w:t>
            </w:r>
          </w:p>
        </w:tc>
        <w:tc>
          <w:tcPr>
            <w:tcW w:w="1418" w:type="dxa"/>
            <w:tcBorders>
              <w:top w:val="nil"/>
              <w:left w:val="single" w:sz="18" w:space="0" w:color="5F497A" w:themeColor="accent4" w:themeShade="BF"/>
              <w:bottom w:val="nil"/>
              <w:right w:val="nil"/>
            </w:tcBorders>
            <w:shd w:val="clear" w:color="auto" w:fill="auto"/>
            <w:vAlign w:val="bottom"/>
          </w:tcPr>
          <w:p w14:paraId="0F89970F" w14:textId="79E541FB" w:rsidR="00B33D8D" w:rsidRPr="001D41EA" w:rsidRDefault="00B33D8D" w:rsidP="001D41EA">
            <w:pPr>
              <w:spacing w:before="40" w:after="20"/>
              <w:jc w:val="right"/>
              <w:rPr>
                <w:rFonts w:cs="Arial"/>
                <w:sz w:val="18"/>
                <w:szCs w:val="18"/>
              </w:rPr>
            </w:pPr>
            <w:r w:rsidRPr="001D41EA">
              <w:rPr>
                <w:rFonts w:cs="Arial"/>
                <w:sz w:val="18"/>
                <w:szCs w:val="18"/>
              </w:rPr>
              <w:t>11,718</w:t>
            </w:r>
          </w:p>
        </w:tc>
        <w:tc>
          <w:tcPr>
            <w:tcW w:w="1418" w:type="dxa"/>
            <w:tcBorders>
              <w:top w:val="nil"/>
              <w:left w:val="nil"/>
              <w:bottom w:val="nil"/>
              <w:right w:val="nil"/>
            </w:tcBorders>
            <w:shd w:val="clear" w:color="auto" w:fill="auto"/>
            <w:vAlign w:val="bottom"/>
          </w:tcPr>
          <w:p w14:paraId="2C74D9B1" w14:textId="6B212F38" w:rsidR="00B33D8D" w:rsidRPr="001D41EA" w:rsidRDefault="00B33D8D" w:rsidP="00F705DD">
            <w:pPr>
              <w:spacing w:before="40" w:after="20"/>
              <w:jc w:val="center"/>
              <w:rPr>
                <w:rFonts w:cs="Arial"/>
                <w:sz w:val="18"/>
                <w:szCs w:val="18"/>
              </w:rPr>
            </w:pPr>
            <w:r w:rsidRPr="001D41EA">
              <w:rPr>
                <w:rFonts w:cs="Arial"/>
                <w:sz w:val="18"/>
                <w:szCs w:val="18"/>
              </w:rPr>
              <w:t>30.1</w:t>
            </w:r>
          </w:p>
        </w:tc>
        <w:tc>
          <w:tcPr>
            <w:tcW w:w="170" w:type="dxa"/>
            <w:tcBorders>
              <w:top w:val="nil"/>
              <w:left w:val="nil"/>
              <w:bottom w:val="nil"/>
              <w:right w:val="nil"/>
            </w:tcBorders>
            <w:vAlign w:val="bottom"/>
          </w:tcPr>
          <w:p w14:paraId="19D01A78"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F9425CA" w14:textId="731D6D0E" w:rsidR="00B33D8D" w:rsidRPr="001D41EA" w:rsidRDefault="00B33D8D" w:rsidP="001D41EA">
            <w:pPr>
              <w:spacing w:before="40" w:after="20"/>
              <w:jc w:val="right"/>
              <w:rPr>
                <w:rFonts w:cs="Arial"/>
                <w:sz w:val="18"/>
                <w:szCs w:val="18"/>
              </w:rPr>
            </w:pPr>
            <w:r w:rsidRPr="001D41EA">
              <w:rPr>
                <w:rFonts w:cs="Arial"/>
                <w:sz w:val="18"/>
                <w:szCs w:val="18"/>
              </w:rPr>
              <w:t>255,322</w:t>
            </w:r>
          </w:p>
        </w:tc>
        <w:tc>
          <w:tcPr>
            <w:tcW w:w="170" w:type="dxa"/>
            <w:tcBorders>
              <w:top w:val="nil"/>
              <w:left w:val="nil"/>
              <w:bottom w:val="nil"/>
              <w:right w:val="nil"/>
            </w:tcBorders>
            <w:shd w:val="clear" w:color="auto" w:fill="auto"/>
            <w:vAlign w:val="bottom"/>
          </w:tcPr>
          <w:p w14:paraId="517A9910" w14:textId="4AED99B6"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74EDD1E" w14:textId="182EBD0D" w:rsidR="00B33D8D" w:rsidRPr="001D41EA" w:rsidRDefault="00B33D8D" w:rsidP="001D41EA">
            <w:pPr>
              <w:spacing w:before="40" w:after="20"/>
              <w:jc w:val="right"/>
              <w:rPr>
                <w:rFonts w:cs="Arial"/>
                <w:sz w:val="18"/>
                <w:szCs w:val="18"/>
              </w:rPr>
            </w:pPr>
            <w:r w:rsidRPr="001D41EA">
              <w:rPr>
                <w:rFonts w:cs="Arial"/>
                <w:sz w:val="18"/>
                <w:szCs w:val="18"/>
              </w:rPr>
              <w:t>3.1</w:t>
            </w:r>
          </w:p>
        </w:tc>
      </w:tr>
      <w:tr w:rsidR="00B33D8D" w:rsidRPr="001D41EA" w14:paraId="115193F1"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3E668CA4" w14:textId="77777777" w:rsidR="00B33D8D" w:rsidRPr="001D41EA" w:rsidRDefault="00B33D8D" w:rsidP="001D41EA">
            <w:pPr>
              <w:spacing w:before="40" w:after="20"/>
              <w:rPr>
                <w:rFonts w:cs="Arial"/>
                <w:sz w:val="18"/>
                <w:szCs w:val="18"/>
              </w:rPr>
            </w:pPr>
            <w:r w:rsidRPr="001D41EA">
              <w:rPr>
                <w:rFonts w:cs="Arial"/>
                <w:sz w:val="18"/>
                <w:szCs w:val="18"/>
              </w:rPr>
              <w:t>Yarra C</w:t>
            </w:r>
          </w:p>
        </w:tc>
        <w:tc>
          <w:tcPr>
            <w:tcW w:w="1418" w:type="dxa"/>
            <w:tcBorders>
              <w:top w:val="nil"/>
              <w:left w:val="single" w:sz="18" w:space="0" w:color="5F497A" w:themeColor="accent4" w:themeShade="BF"/>
              <w:bottom w:val="nil"/>
              <w:right w:val="nil"/>
            </w:tcBorders>
            <w:shd w:val="clear" w:color="auto" w:fill="auto"/>
            <w:vAlign w:val="bottom"/>
          </w:tcPr>
          <w:p w14:paraId="7F2E41C5" w14:textId="54175EB5" w:rsidR="00B33D8D" w:rsidRPr="001D41EA" w:rsidRDefault="00B33D8D" w:rsidP="001D41EA">
            <w:pPr>
              <w:spacing w:before="40" w:after="20"/>
              <w:jc w:val="right"/>
              <w:rPr>
                <w:rFonts w:cs="Arial"/>
                <w:sz w:val="18"/>
                <w:szCs w:val="18"/>
              </w:rPr>
            </w:pPr>
            <w:r w:rsidRPr="001D41EA">
              <w:rPr>
                <w:rFonts w:cs="Arial"/>
                <w:sz w:val="18"/>
                <w:szCs w:val="18"/>
              </w:rPr>
              <w:t>4,753</w:t>
            </w:r>
          </w:p>
        </w:tc>
        <w:tc>
          <w:tcPr>
            <w:tcW w:w="1418" w:type="dxa"/>
            <w:tcBorders>
              <w:top w:val="nil"/>
              <w:left w:val="nil"/>
              <w:bottom w:val="nil"/>
              <w:right w:val="nil"/>
            </w:tcBorders>
            <w:shd w:val="clear" w:color="auto" w:fill="auto"/>
            <w:vAlign w:val="bottom"/>
          </w:tcPr>
          <w:p w14:paraId="2C9E2CBC" w14:textId="1F992E6E" w:rsidR="00B33D8D" w:rsidRPr="001D41EA" w:rsidRDefault="00B33D8D" w:rsidP="00F705DD">
            <w:pPr>
              <w:spacing w:before="40" w:after="20"/>
              <w:jc w:val="center"/>
              <w:rPr>
                <w:rFonts w:cs="Arial"/>
                <w:sz w:val="18"/>
                <w:szCs w:val="18"/>
              </w:rPr>
            </w:pPr>
            <w:r w:rsidRPr="001D41EA">
              <w:rPr>
                <w:rFonts w:cs="Arial"/>
                <w:sz w:val="18"/>
                <w:szCs w:val="18"/>
              </w:rPr>
              <w:t>26.2</w:t>
            </w:r>
          </w:p>
        </w:tc>
        <w:tc>
          <w:tcPr>
            <w:tcW w:w="170" w:type="dxa"/>
            <w:tcBorders>
              <w:top w:val="nil"/>
              <w:left w:val="nil"/>
              <w:bottom w:val="nil"/>
              <w:right w:val="nil"/>
            </w:tcBorders>
            <w:vAlign w:val="bottom"/>
          </w:tcPr>
          <w:p w14:paraId="4B27000A"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2394E02" w14:textId="52970249" w:rsidR="00B33D8D" w:rsidRPr="001D41EA" w:rsidRDefault="00B33D8D" w:rsidP="001D41EA">
            <w:pPr>
              <w:spacing w:before="40" w:after="20"/>
              <w:jc w:val="right"/>
              <w:rPr>
                <w:rFonts w:cs="Arial"/>
                <w:sz w:val="18"/>
                <w:szCs w:val="18"/>
              </w:rPr>
            </w:pPr>
            <w:r w:rsidRPr="001D41EA">
              <w:rPr>
                <w:rFonts w:cs="Arial"/>
                <w:sz w:val="18"/>
                <w:szCs w:val="18"/>
              </w:rPr>
              <w:t>98,521</w:t>
            </w:r>
          </w:p>
        </w:tc>
        <w:tc>
          <w:tcPr>
            <w:tcW w:w="170" w:type="dxa"/>
            <w:tcBorders>
              <w:top w:val="nil"/>
              <w:left w:val="nil"/>
              <w:bottom w:val="nil"/>
              <w:right w:val="nil"/>
            </w:tcBorders>
            <w:shd w:val="clear" w:color="auto" w:fill="auto"/>
            <w:vAlign w:val="bottom"/>
          </w:tcPr>
          <w:p w14:paraId="5B727C6A" w14:textId="063F7993"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521BD89B" w14:textId="4C27A1B7" w:rsidR="00B33D8D" w:rsidRPr="001D41EA" w:rsidRDefault="00B33D8D" w:rsidP="001D41EA">
            <w:pPr>
              <w:spacing w:before="40" w:after="20"/>
              <w:jc w:val="right"/>
              <w:rPr>
                <w:rFonts w:cs="Arial"/>
                <w:sz w:val="18"/>
                <w:szCs w:val="18"/>
              </w:rPr>
            </w:pPr>
            <w:r w:rsidRPr="001D41EA">
              <w:rPr>
                <w:rFonts w:cs="Arial"/>
                <w:sz w:val="18"/>
                <w:szCs w:val="18"/>
              </w:rPr>
              <w:t>5.7</w:t>
            </w:r>
          </w:p>
        </w:tc>
      </w:tr>
      <w:tr w:rsidR="00B33D8D" w:rsidRPr="001D41EA" w14:paraId="3DEE74A5"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01A55208" w14:textId="77777777" w:rsidR="00B33D8D" w:rsidRPr="001D41EA" w:rsidRDefault="00B33D8D" w:rsidP="001D41EA">
            <w:pPr>
              <w:spacing w:before="40" w:after="20"/>
              <w:rPr>
                <w:rFonts w:cs="Arial"/>
                <w:sz w:val="18"/>
                <w:szCs w:val="18"/>
              </w:rPr>
            </w:pPr>
            <w:r w:rsidRPr="001D41EA">
              <w:rPr>
                <w:rFonts w:cs="Arial"/>
                <w:sz w:val="18"/>
                <w:szCs w:val="18"/>
              </w:rPr>
              <w:t>Yarra Ranges S</w:t>
            </w:r>
          </w:p>
        </w:tc>
        <w:tc>
          <w:tcPr>
            <w:tcW w:w="1418" w:type="dxa"/>
            <w:tcBorders>
              <w:top w:val="nil"/>
              <w:left w:val="single" w:sz="18" w:space="0" w:color="5F497A" w:themeColor="accent4" w:themeShade="BF"/>
              <w:bottom w:val="nil"/>
              <w:right w:val="nil"/>
            </w:tcBorders>
            <w:shd w:val="clear" w:color="auto" w:fill="auto"/>
            <w:vAlign w:val="bottom"/>
          </w:tcPr>
          <w:p w14:paraId="3E48A957" w14:textId="2773D4DB" w:rsidR="00B33D8D" w:rsidRPr="001D41EA" w:rsidRDefault="00B33D8D" w:rsidP="001D41EA">
            <w:pPr>
              <w:spacing w:before="40" w:after="20"/>
              <w:jc w:val="right"/>
              <w:rPr>
                <w:rFonts w:cs="Arial"/>
                <w:sz w:val="18"/>
                <w:szCs w:val="18"/>
              </w:rPr>
            </w:pPr>
            <w:r w:rsidRPr="001D41EA">
              <w:rPr>
                <w:rFonts w:cs="Arial"/>
                <w:sz w:val="18"/>
                <w:szCs w:val="18"/>
              </w:rPr>
              <w:t>15,625</w:t>
            </w:r>
          </w:p>
        </w:tc>
        <w:tc>
          <w:tcPr>
            <w:tcW w:w="1418" w:type="dxa"/>
            <w:tcBorders>
              <w:top w:val="nil"/>
              <w:left w:val="nil"/>
              <w:bottom w:val="nil"/>
              <w:right w:val="nil"/>
            </w:tcBorders>
            <w:shd w:val="clear" w:color="auto" w:fill="auto"/>
            <w:vAlign w:val="bottom"/>
          </w:tcPr>
          <w:p w14:paraId="04953D6F" w14:textId="21B99433" w:rsidR="00B33D8D" w:rsidRPr="001D41EA" w:rsidRDefault="00B33D8D" w:rsidP="00F705DD">
            <w:pPr>
              <w:spacing w:before="40" w:after="20"/>
              <w:jc w:val="center"/>
              <w:rPr>
                <w:rFonts w:cs="Arial"/>
                <w:sz w:val="18"/>
                <w:szCs w:val="18"/>
              </w:rPr>
            </w:pPr>
            <w:r w:rsidRPr="001D41EA">
              <w:rPr>
                <w:rFonts w:cs="Arial"/>
                <w:sz w:val="18"/>
                <w:szCs w:val="18"/>
              </w:rPr>
              <w:t>37.2</w:t>
            </w:r>
          </w:p>
        </w:tc>
        <w:tc>
          <w:tcPr>
            <w:tcW w:w="170" w:type="dxa"/>
            <w:tcBorders>
              <w:top w:val="nil"/>
              <w:left w:val="nil"/>
              <w:bottom w:val="nil"/>
              <w:right w:val="nil"/>
            </w:tcBorders>
            <w:vAlign w:val="bottom"/>
          </w:tcPr>
          <w:p w14:paraId="6C628D8F"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BDD96AB" w14:textId="67773CAB" w:rsidR="00B33D8D" w:rsidRPr="001D41EA" w:rsidRDefault="00B33D8D" w:rsidP="001D41EA">
            <w:pPr>
              <w:spacing w:before="40" w:after="20"/>
              <w:jc w:val="right"/>
              <w:rPr>
                <w:rFonts w:cs="Arial"/>
                <w:sz w:val="18"/>
                <w:szCs w:val="18"/>
              </w:rPr>
            </w:pPr>
            <w:r w:rsidRPr="001D41EA">
              <w:rPr>
                <w:rFonts w:cs="Arial"/>
                <w:sz w:val="18"/>
                <w:szCs w:val="18"/>
              </w:rPr>
              <w:t>158,173</w:t>
            </w:r>
          </w:p>
        </w:tc>
        <w:tc>
          <w:tcPr>
            <w:tcW w:w="170" w:type="dxa"/>
            <w:tcBorders>
              <w:top w:val="nil"/>
              <w:left w:val="nil"/>
              <w:bottom w:val="nil"/>
              <w:right w:val="nil"/>
            </w:tcBorders>
            <w:shd w:val="clear" w:color="auto" w:fill="auto"/>
            <w:vAlign w:val="bottom"/>
          </w:tcPr>
          <w:p w14:paraId="1EE9F15E" w14:textId="645F6BA6"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FDD756C" w14:textId="3BB19EFD" w:rsidR="00B33D8D" w:rsidRPr="001D41EA" w:rsidRDefault="00B33D8D" w:rsidP="001D41EA">
            <w:pPr>
              <w:spacing w:before="40" w:after="20"/>
              <w:jc w:val="right"/>
              <w:rPr>
                <w:rFonts w:cs="Arial"/>
                <w:sz w:val="18"/>
                <w:szCs w:val="18"/>
              </w:rPr>
            </w:pPr>
            <w:r w:rsidRPr="001D41EA">
              <w:rPr>
                <w:rFonts w:cs="Arial"/>
                <w:sz w:val="18"/>
                <w:szCs w:val="18"/>
              </w:rPr>
              <w:t>40.6</w:t>
            </w:r>
          </w:p>
        </w:tc>
      </w:tr>
      <w:tr w:rsidR="00B33D8D" w:rsidRPr="001D41EA" w14:paraId="03C82B1B"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7FFDB18F" w14:textId="77777777" w:rsidR="00B33D8D" w:rsidRPr="001D41EA" w:rsidRDefault="00B33D8D" w:rsidP="001D41EA">
            <w:pPr>
              <w:spacing w:before="40" w:after="20"/>
              <w:rPr>
                <w:rFonts w:cs="Arial"/>
                <w:sz w:val="18"/>
                <w:szCs w:val="18"/>
              </w:rPr>
            </w:pPr>
            <w:r w:rsidRPr="001D41EA">
              <w:rPr>
                <w:rFonts w:cs="Arial"/>
                <w:sz w:val="18"/>
                <w:szCs w:val="18"/>
              </w:rPr>
              <w:t>Yarriambiack S</w:t>
            </w:r>
          </w:p>
        </w:tc>
        <w:tc>
          <w:tcPr>
            <w:tcW w:w="1418" w:type="dxa"/>
            <w:tcBorders>
              <w:top w:val="nil"/>
              <w:left w:val="single" w:sz="18" w:space="0" w:color="5F497A" w:themeColor="accent4" w:themeShade="BF"/>
              <w:bottom w:val="nil"/>
              <w:right w:val="nil"/>
            </w:tcBorders>
            <w:shd w:val="clear" w:color="auto" w:fill="auto"/>
            <w:vAlign w:val="bottom"/>
          </w:tcPr>
          <w:p w14:paraId="4291B010" w14:textId="282D2807" w:rsidR="00B33D8D" w:rsidRPr="001D41EA" w:rsidRDefault="00B33D8D" w:rsidP="001D41EA">
            <w:pPr>
              <w:spacing w:before="40" w:after="20"/>
              <w:jc w:val="right"/>
              <w:rPr>
                <w:rFonts w:cs="Arial"/>
                <w:sz w:val="18"/>
                <w:szCs w:val="18"/>
              </w:rPr>
            </w:pPr>
            <w:r w:rsidRPr="001D41EA">
              <w:rPr>
                <w:rFonts w:cs="Arial"/>
                <w:sz w:val="18"/>
                <w:szCs w:val="18"/>
              </w:rPr>
              <w:t>1,151</w:t>
            </w:r>
          </w:p>
        </w:tc>
        <w:tc>
          <w:tcPr>
            <w:tcW w:w="1418" w:type="dxa"/>
            <w:tcBorders>
              <w:top w:val="nil"/>
              <w:left w:val="nil"/>
              <w:bottom w:val="nil"/>
              <w:right w:val="nil"/>
            </w:tcBorders>
            <w:shd w:val="clear" w:color="auto" w:fill="auto"/>
            <w:vAlign w:val="bottom"/>
          </w:tcPr>
          <w:p w14:paraId="6A1C2C0D" w14:textId="67655F65" w:rsidR="00B33D8D" w:rsidRPr="001D41EA" w:rsidRDefault="00B33D8D" w:rsidP="00F705DD">
            <w:pPr>
              <w:spacing w:before="40" w:after="20"/>
              <w:jc w:val="center"/>
              <w:rPr>
                <w:rFonts w:cs="Arial"/>
                <w:sz w:val="18"/>
                <w:szCs w:val="18"/>
              </w:rPr>
            </w:pPr>
            <w:r w:rsidRPr="001D41EA">
              <w:rPr>
                <w:rFonts w:cs="Arial"/>
                <w:sz w:val="18"/>
                <w:szCs w:val="18"/>
              </w:rPr>
              <w:t>36.6</w:t>
            </w:r>
          </w:p>
        </w:tc>
        <w:tc>
          <w:tcPr>
            <w:tcW w:w="170" w:type="dxa"/>
            <w:tcBorders>
              <w:top w:val="nil"/>
              <w:left w:val="nil"/>
              <w:bottom w:val="nil"/>
              <w:right w:val="nil"/>
            </w:tcBorders>
            <w:vAlign w:val="bottom"/>
          </w:tcPr>
          <w:p w14:paraId="55D2F18C" w14:textId="77777777" w:rsidR="00B33D8D" w:rsidRPr="001D41EA" w:rsidRDefault="00B33D8D" w:rsidP="001D41EA">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889673F" w14:textId="37099124" w:rsidR="00B33D8D" w:rsidRPr="001D41EA" w:rsidRDefault="00B33D8D" w:rsidP="001D41EA">
            <w:pPr>
              <w:spacing w:before="40" w:after="20"/>
              <w:jc w:val="right"/>
              <w:rPr>
                <w:rFonts w:cs="Arial"/>
                <w:sz w:val="18"/>
                <w:szCs w:val="18"/>
              </w:rPr>
            </w:pPr>
            <w:r w:rsidRPr="001D41EA">
              <w:rPr>
                <w:rFonts w:cs="Arial"/>
                <w:sz w:val="18"/>
                <w:szCs w:val="18"/>
              </w:rPr>
              <w:t>6,658</w:t>
            </w:r>
          </w:p>
        </w:tc>
        <w:tc>
          <w:tcPr>
            <w:tcW w:w="170" w:type="dxa"/>
            <w:tcBorders>
              <w:top w:val="nil"/>
              <w:left w:val="nil"/>
              <w:bottom w:val="nil"/>
              <w:right w:val="nil"/>
            </w:tcBorders>
            <w:shd w:val="clear" w:color="auto" w:fill="auto"/>
            <w:vAlign w:val="bottom"/>
          </w:tcPr>
          <w:p w14:paraId="6A4A9820" w14:textId="0511D7B1"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ABB0553" w14:textId="188C4AF7" w:rsidR="00B33D8D" w:rsidRPr="001D41EA" w:rsidRDefault="00B33D8D" w:rsidP="001D41EA">
            <w:pPr>
              <w:spacing w:before="40" w:after="20"/>
              <w:jc w:val="right"/>
              <w:rPr>
                <w:rFonts w:cs="Arial"/>
                <w:sz w:val="18"/>
                <w:szCs w:val="18"/>
              </w:rPr>
            </w:pPr>
            <w:r w:rsidRPr="001D41EA">
              <w:rPr>
                <w:rFonts w:cs="Arial"/>
                <w:sz w:val="18"/>
                <w:szCs w:val="18"/>
              </w:rPr>
              <w:t>7.1</w:t>
            </w:r>
          </w:p>
        </w:tc>
      </w:tr>
      <w:tr w:rsidR="00B33D8D" w:rsidRPr="001D41EA" w14:paraId="2E46568A"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312A5824" w14:textId="77777777" w:rsidR="00B33D8D" w:rsidRPr="001D41EA" w:rsidRDefault="00B33D8D" w:rsidP="001D41EA">
            <w:pPr>
              <w:spacing w:before="40" w:after="20"/>
              <w:rPr>
                <w:rFonts w:cs="Arial"/>
                <w:sz w:val="18"/>
                <w:szCs w:val="18"/>
              </w:rPr>
            </w:pPr>
          </w:p>
        </w:tc>
        <w:tc>
          <w:tcPr>
            <w:tcW w:w="1418"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408432CC" w14:textId="592498E8"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single" w:sz="8" w:space="0" w:color="5F497A" w:themeColor="accent4" w:themeShade="BF"/>
              <w:right w:val="nil"/>
            </w:tcBorders>
            <w:shd w:val="clear" w:color="auto" w:fill="auto"/>
            <w:vAlign w:val="bottom"/>
          </w:tcPr>
          <w:p w14:paraId="2A9D8E28" w14:textId="7A706A01" w:rsidR="00B33D8D" w:rsidRPr="001D41EA" w:rsidRDefault="00B33D8D" w:rsidP="00F705DD">
            <w:pPr>
              <w:spacing w:before="40" w:after="20"/>
              <w:jc w:val="center"/>
              <w:rPr>
                <w:rFonts w:cs="Arial"/>
                <w:sz w:val="18"/>
                <w:szCs w:val="18"/>
              </w:rPr>
            </w:pPr>
          </w:p>
        </w:tc>
        <w:tc>
          <w:tcPr>
            <w:tcW w:w="170" w:type="dxa"/>
            <w:tcBorders>
              <w:top w:val="nil"/>
              <w:left w:val="nil"/>
              <w:bottom w:val="single" w:sz="8" w:space="0" w:color="5F497A" w:themeColor="accent4" w:themeShade="BF"/>
              <w:right w:val="nil"/>
            </w:tcBorders>
            <w:vAlign w:val="bottom"/>
          </w:tcPr>
          <w:p w14:paraId="79636A65" w14:textId="77777777" w:rsidR="00B33D8D" w:rsidRPr="001D41EA" w:rsidRDefault="00B33D8D" w:rsidP="001D41EA">
            <w:pPr>
              <w:spacing w:before="40" w:after="20"/>
              <w:jc w:val="right"/>
              <w:rPr>
                <w:rFonts w:cs="Arial"/>
                <w:sz w:val="18"/>
                <w:szCs w:val="18"/>
              </w:rPr>
            </w:pPr>
          </w:p>
        </w:tc>
        <w:tc>
          <w:tcPr>
            <w:tcW w:w="1418" w:type="dxa"/>
            <w:tcBorders>
              <w:top w:val="nil"/>
              <w:left w:val="nil"/>
              <w:bottom w:val="single" w:sz="8" w:space="0" w:color="5F497A" w:themeColor="accent4" w:themeShade="BF"/>
              <w:right w:val="nil"/>
            </w:tcBorders>
            <w:shd w:val="clear" w:color="auto" w:fill="auto"/>
            <w:vAlign w:val="bottom"/>
          </w:tcPr>
          <w:p w14:paraId="75F5AB09" w14:textId="6C0AD871" w:rsidR="00B33D8D" w:rsidRPr="001D41EA" w:rsidRDefault="00B33D8D" w:rsidP="001D41EA">
            <w:pPr>
              <w:spacing w:before="40" w:after="20"/>
              <w:jc w:val="right"/>
              <w:rPr>
                <w:rFonts w:cs="Arial"/>
                <w:sz w:val="18"/>
                <w:szCs w:val="18"/>
              </w:rPr>
            </w:pPr>
            <w:r w:rsidRPr="001D41EA">
              <w:rPr>
                <w:rFonts w:cs="Arial"/>
                <w:sz w:val="18"/>
                <w:szCs w:val="18"/>
              </w:rPr>
              <w:t> </w:t>
            </w:r>
          </w:p>
        </w:tc>
        <w:tc>
          <w:tcPr>
            <w:tcW w:w="170" w:type="dxa"/>
            <w:tcBorders>
              <w:top w:val="nil"/>
              <w:left w:val="nil"/>
              <w:bottom w:val="single" w:sz="8" w:space="0" w:color="5F497A" w:themeColor="accent4" w:themeShade="BF"/>
              <w:right w:val="nil"/>
            </w:tcBorders>
            <w:shd w:val="clear" w:color="auto" w:fill="auto"/>
            <w:vAlign w:val="bottom"/>
          </w:tcPr>
          <w:p w14:paraId="6CAF6C55" w14:textId="771E50EC"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single" w:sz="8" w:space="0" w:color="5F497A" w:themeColor="accent4" w:themeShade="BF"/>
              <w:right w:val="nil"/>
            </w:tcBorders>
            <w:vAlign w:val="bottom"/>
          </w:tcPr>
          <w:p w14:paraId="20DBE0A8" w14:textId="611360E6" w:rsidR="00B33D8D" w:rsidRPr="001D41EA" w:rsidRDefault="00B33D8D" w:rsidP="001D41EA">
            <w:pPr>
              <w:spacing w:before="40" w:after="20"/>
              <w:jc w:val="right"/>
              <w:rPr>
                <w:rFonts w:cs="Arial"/>
                <w:sz w:val="18"/>
                <w:szCs w:val="18"/>
              </w:rPr>
            </w:pPr>
            <w:r w:rsidRPr="001D41EA">
              <w:rPr>
                <w:rFonts w:cs="Arial"/>
                <w:sz w:val="18"/>
                <w:szCs w:val="18"/>
              </w:rPr>
              <w:t> </w:t>
            </w:r>
          </w:p>
        </w:tc>
      </w:tr>
      <w:tr w:rsidR="00B33D8D" w:rsidRPr="001D41EA" w14:paraId="7488EEBE" w14:textId="77777777" w:rsidTr="00B33D8D">
        <w:tc>
          <w:tcPr>
            <w:tcW w:w="2268" w:type="dxa"/>
            <w:tcBorders>
              <w:top w:val="nil"/>
              <w:left w:val="nil"/>
              <w:bottom w:val="nil"/>
              <w:right w:val="single" w:sz="18" w:space="0" w:color="5F497A" w:themeColor="accent4" w:themeShade="BF"/>
            </w:tcBorders>
            <w:shd w:val="clear" w:color="auto" w:fill="auto"/>
            <w:vAlign w:val="center"/>
          </w:tcPr>
          <w:p w14:paraId="5B72A6E0" w14:textId="77777777" w:rsidR="00B33D8D" w:rsidRPr="001D41EA" w:rsidRDefault="00B33D8D" w:rsidP="001D41EA">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right w:val="nil"/>
            </w:tcBorders>
            <w:shd w:val="clear" w:color="auto" w:fill="auto"/>
            <w:vAlign w:val="bottom"/>
          </w:tcPr>
          <w:p w14:paraId="5878C8CC" w14:textId="3F793870" w:rsidR="00B33D8D" w:rsidRPr="001D41EA" w:rsidRDefault="00B33D8D" w:rsidP="001D41EA">
            <w:pPr>
              <w:spacing w:before="40" w:after="20"/>
              <w:jc w:val="right"/>
              <w:rPr>
                <w:rFonts w:cs="Arial"/>
                <w:b/>
                <w:sz w:val="18"/>
                <w:szCs w:val="18"/>
              </w:rPr>
            </w:pPr>
            <w:r w:rsidRPr="001D41EA">
              <w:rPr>
                <w:rFonts w:cs="Arial"/>
                <w:b/>
                <w:sz w:val="18"/>
                <w:szCs w:val="18"/>
              </w:rPr>
              <w:t>597,215</w:t>
            </w:r>
          </w:p>
        </w:tc>
        <w:tc>
          <w:tcPr>
            <w:tcW w:w="1418" w:type="dxa"/>
            <w:tcBorders>
              <w:top w:val="single" w:sz="8" w:space="0" w:color="5F497A" w:themeColor="accent4" w:themeShade="BF"/>
              <w:left w:val="nil"/>
              <w:right w:val="nil"/>
            </w:tcBorders>
            <w:shd w:val="clear" w:color="auto" w:fill="auto"/>
            <w:vAlign w:val="bottom"/>
          </w:tcPr>
          <w:p w14:paraId="2CBC29C1" w14:textId="2876F535" w:rsidR="00B33D8D" w:rsidRPr="001D41EA" w:rsidRDefault="00B33D8D" w:rsidP="00F705DD">
            <w:pPr>
              <w:spacing w:before="40" w:after="20"/>
              <w:jc w:val="center"/>
              <w:rPr>
                <w:rFonts w:cs="Arial"/>
                <w:b/>
                <w:sz w:val="18"/>
                <w:szCs w:val="18"/>
              </w:rPr>
            </w:pPr>
            <w:r w:rsidRPr="001D41EA">
              <w:rPr>
                <w:rFonts w:cs="Arial"/>
                <w:b/>
                <w:sz w:val="18"/>
                <w:szCs w:val="18"/>
              </w:rPr>
              <w:t>35.8</w:t>
            </w:r>
          </w:p>
        </w:tc>
        <w:tc>
          <w:tcPr>
            <w:tcW w:w="170" w:type="dxa"/>
            <w:tcBorders>
              <w:top w:val="single" w:sz="8" w:space="0" w:color="5F497A" w:themeColor="accent4" w:themeShade="BF"/>
              <w:left w:val="nil"/>
              <w:right w:val="nil"/>
            </w:tcBorders>
            <w:vAlign w:val="bottom"/>
          </w:tcPr>
          <w:p w14:paraId="499A9D51" w14:textId="76A9C7E5" w:rsidR="00B33D8D" w:rsidRPr="001D41EA" w:rsidRDefault="00B33D8D" w:rsidP="001D41EA">
            <w:pPr>
              <w:spacing w:before="40" w:after="20"/>
              <w:jc w:val="right"/>
              <w:rPr>
                <w:rFonts w:cs="Arial"/>
                <w:b/>
                <w:sz w:val="18"/>
                <w:szCs w:val="18"/>
              </w:rPr>
            </w:pPr>
            <w:r w:rsidRPr="001D41EA">
              <w:rPr>
                <w:rFonts w:cs="Arial"/>
                <w:b/>
                <w:sz w:val="18"/>
                <w:szCs w:val="18"/>
              </w:rPr>
              <w:t> </w:t>
            </w:r>
          </w:p>
        </w:tc>
        <w:tc>
          <w:tcPr>
            <w:tcW w:w="1418" w:type="dxa"/>
            <w:tcBorders>
              <w:top w:val="single" w:sz="8" w:space="0" w:color="5F497A" w:themeColor="accent4" w:themeShade="BF"/>
              <w:left w:val="nil"/>
              <w:right w:val="nil"/>
            </w:tcBorders>
            <w:shd w:val="clear" w:color="auto" w:fill="auto"/>
            <w:vAlign w:val="bottom"/>
          </w:tcPr>
          <w:p w14:paraId="4B91FBD9" w14:textId="6A668DA1" w:rsidR="00B33D8D" w:rsidRPr="001D41EA" w:rsidRDefault="00B33D8D" w:rsidP="001D41EA">
            <w:pPr>
              <w:spacing w:before="40" w:after="20"/>
              <w:jc w:val="right"/>
              <w:rPr>
                <w:rFonts w:cs="Arial"/>
                <w:b/>
                <w:sz w:val="18"/>
                <w:szCs w:val="18"/>
              </w:rPr>
            </w:pPr>
            <w:r w:rsidRPr="001D41EA">
              <w:rPr>
                <w:rFonts w:cs="Arial"/>
                <w:b/>
                <w:sz w:val="18"/>
                <w:szCs w:val="18"/>
              </w:rPr>
              <w:t>6,460,628</w:t>
            </w:r>
          </w:p>
        </w:tc>
        <w:tc>
          <w:tcPr>
            <w:tcW w:w="170" w:type="dxa"/>
            <w:tcBorders>
              <w:top w:val="single" w:sz="8" w:space="0" w:color="5F497A" w:themeColor="accent4" w:themeShade="BF"/>
              <w:left w:val="nil"/>
              <w:right w:val="nil"/>
            </w:tcBorders>
            <w:shd w:val="clear" w:color="auto" w:fill="auto"/>
            <w:vAlign w:val="bottom"/>
          </w:tcPr>
          <w:p w14:paraId="3A77A25A" w14:textId="7B5459FD" w:rsidR="00B33D8D" w:rsidRPr="001D41EA" w:rsidRDefault="00B33D8D" w:rsidP="001D41EA">
            <w:pPr>
              <w:spacing w:before="40" w:after="20"/>
              <w:jc w:val="right"/>
              <w:rPr>
                <w:rFonts w:cs="Arial"/>
                <w:b/>
                <w:sz w:val="18"/>
                <w:szCs w:val="18"/>
              </w:rPr>
            </w:pPr>
            <w:r w:rsidRPr="001D41EA">
              <w:rPr>
                <w:rFonts w:cs="Arial"/>
                <w:b/>
                <w:sz w:val="18"/>
                <w:szCs w:val="18"/>
              </w:rPr>
              <w:t> </w:t>
            </w:r>
          </w:p>
        </w:tc>
        <w:tc>
          <w:tcPr>
            <w:tcW w:w="1418" w:type="dxa"/>
            <w:tcBorders>
              <w:top w:val="single" w:sz="8" w:space="0" w:color="5F497A" w:themeColor="accent4" w:themeShade="BF"/>
              <w:left w:val="nil"/>
              <w:right w:val="nil"/>
            </w:tcBorders>
            <w:vAlign w:val="bottom"/>
          </w:tcPr>
          <w:p w14:paraId="1A9C2D77" w14:textId="6E0D2C74" w:rsidR="00B33D8D" w:rsidRPr="001D41EA" w:rsidRDefault="00B33D8D" w:rsidP="001D41EA">
            <w:pPr>
              <w:spacing w:before="40" w:after="20"/>
              <w:jc w:val="right"/>
              <w:rPr>
                <w:rFonts w:cs="Arial"/>
                <w:b/>
                <w:sz w:val="18"/>
                <w:szCs w:val="18"/>
              </w:rPr>
            </w:pPr>
            <w:r w:rsidRPr="001D41EA">
              <w:rPr>
                <w:rFonts w:cs="Arial"/>
                <w:b/>
                <w:sz w:val="18"/>
                <w:szCs w:val="18"/>
              </w:rPr>
              <w:t> </w:t>
            </w:r>
          </w:p>
        </w:tc>
      </w:tr>
    </w:tbl>
    <w:p w14:paraId="443BD7EC" w14:textId="77777777" w:rsidR="004A41A8" w:rsidRPr="00A44829" w:rsidRDefault="004A41A8" w:rsidP="00FF36E8">
      <w:pPr>
        <w:spacing w:before="40" w:after="20"/>
        <w:rPr>
          <w:rFonts w:cs="Arial"/>
          <w:sz w:val="18"/>
          <w:szCs w:val="18"/>
        </w:rPr>
      </w:pPr>
      <w:r w:rsidRPr="00A44829">
        <w:rPr>
          <w:rFonts w:cs="Arial"/>
          <w:sz w:val="18"/>
          <w:szCs w:val="18"/>
        </w:rPr>
        <w:br w:type="page"/>
      </w:r>
    </w:p>
    <w:p w14:paraId="46D75DF6" w14:textId="27F90DD9" w:rsidR="004A41A8" w:rsidRPr="00A44829" w:rsidRDefault="00CE4507" w:rsidP="00C33713">
      <w:pPr>
        <w:pStyle w:val="VGC-Head10"/>
      </w:pPr>
      <w:r w:rsidRPr="00A44829">
        <w:lastRenderedPageBreak/>
        <w:t>Appendix 4</w:t>
      </w:r>
      <w:r w:rsidR="004A41A8" w:rsidRPr="00A44829">
        <w:tab/>
      </w:r>
      <w:r w:rsidR="00EE4593" w:rsidRPr="00A44829">
        <w:t>2019-20</w:t>
      </w:r>
      <w:r w:rsidR="00A97ABE" w:rsidRPr="00A44829">
        <w:t xml:space="preserve"> </w:t>
      </w:r>
      <w:r w:rsidR="004A41A8" w:rsidRPr="00A44829">
        <w:t xml:space="preserve">General Purpose Grants </w:t>
      </w:r>
    </w:p>
    <w:p w14:paraId="4F3C8F6B" w14:textId="77777777" w:rsidR="004A41A8" w:rsidRPr="00A44829" w:rsidRDefault="004A41A8" w:rsidP="008C1A28">
      <w:pPr>
        <w:pStyle w:val="VGC-Head2"/>
      </w:pPr>
      <w:r w:rsidRPr="00A44829">
        <w:t>C.  Cost Adjustors – Raw Data</w:t>
      </w:r>
    </w:p>
    <w:p w14:paraId="6156C8AC" w14:textId="77777777" w:rsidR="00214AB4" w:rsidRPr="00A44829" w:rsidRDefault="00214A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8D440D" w:rsidRPr="00A44829" w14:paraId="7EF216ED"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595D4F4A" w14:textId="77777777" w:rsidR="008D440D" w:rsidRPr="00A44829" w:rsidRDefault="008D440D" w:rsidP="008001AD">
            <w:pPr>
              <w:spacing w:before="40" w:after="20"/>
              <w:jc w:val="center"/>
              <w:rPr>
                <w:rFonts w:cs="Arial"/>
                <w:sz w:val="18"/>
                <w:szCs w:val="18"/>
              </w:rPr>
            </w:pPr>
          </w:p>
        </w:tc>
        <w:tc>
          <w:tcPr>
            <w:tcW w:w="2836" w:type="dxa"/>
            <w:gridSpan w:val="2"/>
            <w:tcBorders>
              <w:top w:val="nil"/>
              <w:left w:val="single" w:sz="18" w:space="0" w:color="5F497A" w:themeColor="accent4" w:themeShade="BF"/>
              <w:bottom w:val="single" w:sz="8" w:space="0" w:color="5F497A" w:themeColor="accent4" w:themeShade="BF"/>
            </w:tcBorders>
            <w:vAlign w:val="bottom"/>
          </w:tcPr>
          <w:p w14:paraId="6BB7BDCB" w14:textId="46761138" w:rsidR="008D440D" w:rsidRPr="00A44829" w:rsidRDefault="008D440D" w:rsidP="008001AD">
            <w:pPr>
              <w:spacing w:before="40" w:after="20"/>
              <w:jc w:val="center"/>
              <w:rPr>
                <w:rFonts w:cs="Arial"/>
                <w:b/>
                <w:sz w:val="18"/>
                <w:szCs w:val="18"/>
              </w:rPr>
            </w:pPr>
            <w:r w:rsidRPr="00A44829">
              <w:rPr>
                <w:rFonts w:cs="Arial"/>
                <w:b/>
                <w:sz w:val="18"/>
                <w:szCs w:val="18"/>
              </w:rPr>
              <w:t>Indigenous Population</w:t>
            </w:r>
            <w:r w:rsidR="00D63DBA" w:rsidRPr="00A44829">
              <w:rPr>
                <w:rFonts w:cs="Arial"/>
                <w:b/>
                <w:sz w:val="18"/>
                <w:szCs w:val="18"/>
              </w:rPr>
              <w:t xml:space="preserve"> </w:t>
            </w:r>
          </w:p>
        </w:tc>
        <w:tc>
          <w:tcPr>
            <w:tcW w:w="170" w:type="dxa"/>
            <w:vMerge w:val="restart"/>
            <w:tcBorders>
              <w:top w:val="nil"/>
              <w:left w:val="nil"/>
              <w:bottom w:val="single" w:sz="8" w:space="0" w:color="5F497A" w:themeColor="accent4" w:themeShade="BF"/>
            </w:tcBorders>
            <w:vAlign w:val="bottom"/>
          </w:tcPr>
          <w:p w14:paraId="02F914E1" w14:textId="77777777" w:rsidR="008D440D" w:rsidRPr="00A44829" w:rsidRDefault="008D440D" w:rsidP="008001AD">
            <w:pPr>
              <w:spacing w:before="40" w:after="20"/>
              <w:jc w:val="center"/>
              <w:rPr>
                <w:rFonts w:cs="Arial"/>
                <w:b/>
                <w:sz w:val="18"/>
                <w:szCs w:val="18"/>
              </w:rPr>
            </w:pPr>
          </w:p>
        </w:tc>
        <w:tc>
          <w:tcPr>
            <w:tcW w:w="1418" w:type="dxa"/>
            <w:tcBorders>
              <w:top w:val="nil"/>
              <w:left w:val="nil"/>
              <w:bottom w:val="single" w:sz="8" w:space="0" w:color="5F497A" w:themeColor="accent4" w:themeShade="BF"/>
              <w:right w:val="nil"/>
            </w:tcBorders>
            <w:shd w:val="clear" w:color="auto" w:fill="auto"/>
            <w:vAlign w:val="bottom"/>
          </w:tcPr>
          <w:p w14:paraId="28A2A03B" w14:textId="5C97CBE6" w:rsidR="008D440D" w:rsidRPr="00A44829" w:rsidRDefault="008D440D" w:rsidP="008001AD">
            <w:pPr>
              <w:spacing w:before="40" w:after="20"/>
              <w:jc w:val="center"/>
              <w:rPr>
                <w:rFonts w:cs="Arial"/>
                <w:b/>
                <w:sz w:val="18"/>
                <w:szCs w:val="18"/>
              </w:rPr>
            </w:pPr>
            <w:r w:rsidRPr="00A44829">
              <w:rPr>
                <w:rFonts w:cs="Arial"/>
                <w:b/>
                <w:sz w:val="18"/>
                <w:szCs w:val="18"/>
              </w:rPr>
              <w:t>Language</w:t>
            </w:r>
            <w:r w:rsidR="00D63DBA" w:rsidRPr="00A44829">
              <w:rPr>
                <w:rFonts w:cs="Arial"/>
                <w:b/>
                <w:sz w:val="18"/>
                <w:szCs w:val="18"/>
              </w:rPr>
              <w:t xml:space="preserve"> </w:t>
            </w:r>
          </w:p>
        </w:tc>
        <w:tc>
          <w:tcPr>
            <w:tcW w:w="1418" w:type="dxa"/>
            <w:vMerge w:val="restart"/>
            <w:tcBorders>
              <w:top w:val="nil"/>
              <w:left w:val="nil"/>
              <w:bottom w:val="single" w:sz="8" w:space="0" w:color="5F497A" w:themeColor="accent4" w:themeShade="BF"/>
              <w:right w:val="nil"/>
            </w:tcBorders>
            <w:shd w:val="clear" w:color="auto" w:fill="auto"/>
            <w:vAlign w:val="bottom"/>
          </w:tcPr>
          <w:p w14:paraId="01E9BC86" w14:textId="44C88B60" w:rsidR="008D440D" w:rsidRPr="00A44829" w:rsidRDefault="008D440D" w:rsidP="008001AD">
            <w:pPr>
              <w:spacing w:before="40" w:after="20"/>
              <w:jc w:val="center"/>
              <w:rPr>
                <w:rFonts w:cs="Arial"/>
                <w:b/>
                <w:sz w:val="18"/>
                <w:szCs w:val="18"/>
              </w:rPr>
            </w:pPr>
            <w:r w:rsidRPr="00A44829">
              <w:rPr>
                <w:rFonts w:cs="Arial"/>
                <w:b/>
                <w:sz w:val="18"/>
                <w:szCs w:val="18"/>
              </w:rPr>
              <w:t>Population Dispersion Score</w:t>
            </w:r>
            <w:r w:rsidR="00D63DBA" w:rsidRPr="00A44829">
              <w:rPr>
                <w:rFonts w:cs="Arial"/>
                <w:b/>
                <w:sz w:val="18"/>
                <w:szCs w:val="18"/>
              </w:rPr>
              <w:t xml:space="preserve"> </w:t>
            </w:r>
          </w:p>
        </w:tc>
      </w:tr>
      <w:tr w:rsidR="008D440D" w:rsidRPr="00A44829" w14:paraId="0E30D12A"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28666F6C" w14:textId="77777777" w:rsidR="008D440D" w:rsidRPr="00A44829" w:rsidRDefault="008D440D" w:rsidP="008001AD">
            <w:pPr>
              <w:spacing w:before="40" w:after="20"/>
              <w:jc w:val="center"/>
              <w:rPr>
                <w:rFonts w:cs="Arial"/>
                <w:sz w:val="18"/>
                <w:szCs w:val="18"/>
              </w:rPr>
            </w:pPr>
          </w:p>
        </w:tc>
        <w:tc>
          <w:tcPr>
            <w:tcW w:w="1418" w:type="dxa"/>
            <w:tcBorders>
              <w:top w:val="single" w:sz="8" w:space="0" w:color="5F497A" w:themeColor="accent4" w:themeShade="BF"/>
              <w:left w:val="single" w:sz="18" w:space="0" w:color="5F497A" w:themeColor="accent4" w:themeShade="BF"/>
              <w:bottom w:val="single" w:sz="8" w:space="0" w:color="5F497A" w:themeColor="accent4" w:themeShade="BF"/>
            </w:tcBorders>
            <w:vAlign w:val="bottom"/>
          </w:tcPr>
          <w:p w14:paraId="7CCD4D3C" w14:textId="0D5BA1AB" w:rsidR="008D440D" w:rsidRPr="00A44829" w:rsidRDefault="008D440D" w:rsidP="008001AD">
            <w:pPr>
              <w:spacing w:before="40" w:after="20"/>
              <w:jc w:val="center"/>
              <w:rPr>
                <w:rFonts w:cs="Arial"/>
                <w:sz w:val="16"/>
                <w:szCs w:val="16"/>
              </w:rPr>
            </w:pPr>
            <w:r w:rsidRPr="00A44829">
              <w:rPr>
                <w:rFonts w:cs="Arial"/>
                <w:sz w:val="16"/>
                <w:szCs w:val="16"/>
              </w:rPr>
              <w:t>No.</w:t>
            </w:r>
            <w:r w:rsidR="00CA7F17" w:rsidRPr="00A44829">
              <w:rPr>
                <w:rFonts w:cs="Arial"/>
                <w:sz w:val="16"/>
                <w:szCs w:val="16"/>
              </w:rPr>
              <w:t xml:space="preserve"> </w:t>
            </w:r>
            <w:r w:rsidR="00CA7F17" w:rsidRPr="00A44829">
              <w:rPr>
                <w:rFonts w:cs="Arial"/>
                <w:sz w:val="16"/>
                <w:szCs w:val="16"/>
              </w:rPr>
              <w:br/>
              <w:t>(</w:t>
            </w:r>
            <w:r w:rsidR="006D4C53" w:rsidRPr="00A44829">
              <w:rPr>
                <w:rFonts w:cs="Arial"/>
                <w:sz w:val="16"/>
                <w:szCs w:val="16"/>
              </w:rPr>
              <w:t>Census 2016</w:t>
            </w:r>
            <w:r w:rsidR="00CA7F17" w:rsidRPr="00A44829">
              <w:rPr>
                <w:rFonts w:cs="Arial"/>
                <w:sz w:val="16"/>
                <w:szCs w:val="16"/>
              </w:rPr>
              <w:t>)</w:t>
            </w:r>
          </w:p>
        </w:tc>
        <w:tc>
          <w:tcPr>
            <w:tcW w:w="1418" w:type="dxa"/>
            <w:tcBorders>
              <w:top w:val="single" w:sz="8" w:space="0" w:color="5F497A" w:themeColor="accent4" w:themeShade="BF"/>
              <w:left w:val="nil"/>
              <w:bottom w:val="single" w:sz="8" w:space="0" w:color="5F497A" w:themeColor="accent4" w:themeShade="BF"/>
            </w:tcBorders>
            <w:vAlign w:val="bottom"/>
          </w:tcPr>
          <w:p w14:paraId="6B18F02E" w14:textId="06C8277C" w:rsidR="008D440D" w:rsidRPr="00A44829" w:rsidRDefault="008D440D" w:rsidP="008001AD">
            <w:pPr>
              <w:spacing w:before="40" w:after="20"/>
              <w:jc w:val="center"/>
              <w:rPr>
                <w:rFonts w:cs="Arial"/>
                <w:sz w:val="16"/>
                <w:szCs w:val="16"/>
              </w:rPr>
            </w:pPr>
            <w:r w:rsidRPr="00A44829">
              <w:rPr>
                <w:rFonts w:cs="Arial"/>
                <w:sz w:val="16"/>
                <w:szCs w:val="16"/>
              </w:rPr>
              <w:t xml:space="preserve">No./ ERP (p) </w:t>
            </w:r>
            <w:r w:rsidRPr="00A44829">
              <w:rPr>
                <w:rFonts w:cs="Arial"/>
                <w:sz w:val="16"/>
                <w:szCs w:val="16"/>
              </w:rPr>
              <w:br/>
              <w:t>(%)</w:t>
            </w:r>
          </w:p>
        </w:tc>
        <w:tc>
          <w:tcPr>
            <w:tcW w:w="170" w:type="dxa"/>
            <w:vMerge/>
            <w:tcBorders>
              <w:top w:val="single" w:sz="8" w:space="0" w:color="5F497A" w:themeColor="accent4" w:themeShade="BF"/>
              <w:left w:val="nil"/>
              <w:bottom w:val="single" w:sz="8" w:space="0" w:color="5F497A" w:themeColor="accent4" w:themeShade="BF"/>
            </w:tcBorders>
            <w:vAlign w:val="bottom"/>
          </w:tcPr>
          <w:p w14:paraId="36C2F871" w14:textId="77777777" w:rsidR="008D440D" w:rsidRPr="00A44829" w:rsidRDefault="008D440D" w:rsidP="008001AD">
            <w:pPr>
              <w:spacing w:before="40" w:after="20"/>
              <w:jc w:val="center"/>
              <w:rPr>
                <w:rFonts w:cs="Arial"/>
                <w:sz w:val="16"/>
                <w:szCs w:val="16"/>
              </w:rPr>
            </w:pP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70C1D7E5" w14:textId="77777777" w:rsidR="008D440D" w:rsidRPr="00A44829" w:rsidRDefault="008D440D" w:rsidP="008001AD">
            <w:pPr>
              <w:spacing w:before="40" w:after="20"/>
              <w:jc w:val="center"/>
              <w:rPr>
                <w:rFonts w:cs="Arial"/>
                <w:sz w:val="16"/>
                <w:szCs w:val="16"/>
              </w:rPr>
            </w:pPr>
            <w:r w:rsidRPr="00A44829">
              <w:rPr>
                <w:rFonts w:cs="Arial"/>
                <w:sz w:val="16"/>
                <w:szCs w:val="16"/>
              </w:rPr>
              <w:t xml:space="preserve">% Pop with </w:t>
            </w:r>
            <w:r w:rsidRPr="00A44829">
              <w:rPr>
                <w:rFonts w:cs="Arial"/>
                <w:sz w:val="16"/>
                <w:szCs w:val="16"/>
              </w:rPr>
              <w:br/>
              <w:t xml:space="preserve">Low English Proficiency </w:t>
            </w:r>
            <w:r w:rsidRPr="00A44829">
              <w:rPr>
                <w:rFonts w:cs="Arial"/>
                <w:sz w:val="16"/>
                <w:szCs w:val="16"/>
              </w:rPr>
              <w:br/>
              <w:t>+ New Arrivals</w:t>
            </w:r>
          </w:p>
        </w:tc>
        <w:tc>
          <w:tcPr>
            <w:tcW w:w="1418"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57846C05" w14:textId="77777777" w:rsidR="008D440D" w:rsidRPr="00A44829" w:rsidRDefault="008D440D" w:rsidP="008001AD">
            <w:pPr>
              <w:spacing w:before="40" w:after="20"/>
              <w:jc w:val="center"/>
              <w:rPr>
                <w:rFonts w:cs="Arial"/>
                <w:sz w:val="16"/>
                <w:szCs w:val="16"/>
              </w:rPr>
            </w:pPr>
          </w:p>
        </w:tc>
      </w:tr>
      <w:tr w:rsidR="00B33D8D" w:rsidRPr="001D41EA" w14:paraId="0B4506D6" w14:textId="77777777" w:rsidTr="00C60457">
        <w:tc>
          <w:tcPr>
            <w:tcW w:w="2268" w:type="dxa"/>
            <w:tcBorders>
              <w:top w:val="nil"/>
              <w:left w:val="nil"/>
              <w:bottom w:val="nil"/>
              <w:right w:val="single" w:sz="18" w:space="0" w:color="5F497A" w:themeColor="accent4" w:themeShade="BF"/>
            </w:tcBorders>
            <w:shd w:val="clear" w:color="auto" w:fill="auto"/>
            <w:vAlign w:val="center"/>
          </w:tcPr>
          <w:p w14:paraId="01D4E777" w14:textId="77777777" w:rsidR="00B33D8D" w:rsidRPr="001D41EA" w:rsidRDefault="00B33D8D" w:rsidP="001D41EA">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bottom w:val="nil"/>
            </w:tcBorders>
            <w:vAlign w:val="bottom"/>
          </w:tcPr>
          <w:p w14:paraId="5FC08457" w14:textId="1B5A498A"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single" w:sz="8" w:space="0" w:color="5F497A" w:themeColor="accent4" w:themeShade="BF"/>
              <w:left w:val="nil"/>
              <w:bottom w:val="nil"/>
            </w:tcBorders>
            <w:vAlign w:val="bottom"/>
          </w:tcPr>
          <w:p w14:paraId="77A1DBB7" w14:textId="04DCBC4B" w:rsidR="00B33D8D" w:rsidRPr="001D41EA" w:rsidRDefault="00B33D8D" w:rsidP="00F705DD">
            <w:pPr>
              <w:spacing w:before="40" w:after="20"/>
              <w:jc w:val="center"/>
              <w:rPr>
                <w:rFonts w:cs="Arial"/>
                <w:sz w:val="18"/>
                <w:szCs w:val="18"/>
              </w:rPr>
            </w:pPr>
          </w:p>
        </w:tc>
        <w:tc>
          <w:tcPr>
            <w:tcW w:w="170" w:type="dxa"/>
            <w:tcBorders>
              <w:top w:val="single" w:sz="8" w:space="0" w:color="5F497A" w:themeColor="accent4" w:themeShade="BF"/>
              <w:left w:val="nil"/>
              <w:bottom w:val="nil"/>
            </w:tcBorders>
            <w:vAlign w:val="bottom"/>
          </w:tcPr>
          <w:p w14:paraId="1776F1B8" w14:textId="0594E7C7"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4923EB99" w14:textId="7062232C" w:rsidR="00B33D8D" w:rsidRPr="001D41EA" w:rsidRDefault="00B33D8D" w:rsidP="00143DD0">
            <w:pPr>
              <w:spacing w:before="40" w:after="20"/>
              <w:jc w:val="center"/>
              <w:rPr>
                <w:rFonts w:cs="Arial"/>
                <w:sz w:val="18"/>
                <w:szCs w:val="18"/>
              </w:rPr>
            </w:pPr>
            <w:r w:rsidRPr="001D41EA">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02121890" w14:textId="2300ABBA" w:rsidR="00B33D8D" w:rsidRPr="001D41EA" w:rsidRDefault="00B33D8D" w:rsidP="001D41EA">
            <w:pPr>
              <w:spacing w:before="40" w:after="20"/>
              <w:jc w:val="right"/>
              <w:rPr>
                <w:rFonts w:cs="Arial"/>
                <w:sz w:val="18"/>
                <w:szCs w:val="18"/>
              </w:rPr>
            </w:pPr>
            <w:r w:rsidRPr="001D41EA">
              <w:rPr>
                <w:rFonts w:cs="Arial"/>
                <w:sz w:val="18"/>
                <w:szCs w:val="18"/>
              </w:rPr>
              <w:t> </w:t>
            </w:r>
          </w:p>
        </w:tc>
      </w:tr>
      <w:tr w:rsidR="00143DD0" w:rsidRPr="001D41EA" w14:paraId="5131A36B"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223EDE6" w14:textId="77777777" w:rsidR="00143DD0" w:rsidRPr="001D41EA" w:rsidRDefault="00143DD0" w:rsidP="00143DD0">
            <w:pPr>
              <w:spacing w:before="40" w:after="20"/>
              <w:rPr>
                <w:rFonts w:cs="Arial"/>
                <w:sz w:val="18"/>
                <w:szCs w:val="18"/>
              </w:rPr>
            </w:pPr>
            <w:r w:rsidRPr="001D41EA">
              <w:rPr>
                <w:rFonts w:cs="Arial"/>
                <w:sz w:val="18"/>
                <w:szCs w:val="18"/>
              </w:rPr>
              <w:t>Macedon Ranges S</w:t>
            </w:r>
          </w:p>
        </w:tc>
        <w:tc>
          <w:tcPr>
            <w:tcW w:w="1418" w:type="dxa"/>
            <w:tcBorders>
              <w:top w:val="nil"/>
              <w:left w:val="single" w:sz="18" w:space="0" w:color="5F497A" w:themeColor="accent4" w:themeShade="BF"/>
              <w:bottom w:val="nil"/>
            </w:tcBorders>
            <w:vAlign w:val="bottom"/>
          </w:tcPr>
          <w:p w14:paraId="676A7D30" w14:textId="6BC8CAC5" w:rsidR="00143DD0" w:rsidRPr="001D41EA" w:rsidRDefault="00143DD0" w:rsidP="00143DD0">
            <w:pPr>
              <w:spacing w:before="40" w:after="20"/>
              <w:jc w:val="right"/>
              <w:rPr>
                <w:rFonts w:cs="Arial"/>
                <w:sz w:val="18"/>
                <w:szCs w:val="18"/>
              </w:rPr>
            </w:pPr>
            <w:r w:rsidRPr="001D41EA">
              <w:rPr>
                <w:rFonts w:cs="Arial"/>
                <w:sz w:val="18"/>
                <w:szCs w:val="18"/>
              </w:rPr>
              <w:t>300</w:t>
            </w:r>
          </w:p>
        </w:tc>
        <w:tc>
          <w:tcPr>
            <w:tcW w:w="1418" w:type="dxa"/>
            <w:tcBorders>
              <w:top w:val="nil"/>
              <w:left w:val="nil"/>
              <w:bottom w:val="nil"/>
            </w:tcBorders>
            <w:vAlign w:val="bottom"/>
          </w:tcPr>
          <w:p w14:paraId="7B519A09" w14:textId="1117DD5B" w:rsidR="00143DD0" w:rsidRPr="001D41EA" w:rsidRDefault="00143DD0" w:rsidP="00143DD0">
            <w:pPr>
              <w:spacing w:before="40" w:after="20"/>
              <w:jc w:val="center"/>
              <w:rPr>
                <w:rFonts w:cs="Arial"/>
                <w:sz w:val="18"/>
                <w:szCs w:val="18"/>
              </w:rPr>
            </w:pPr>
            <w:r w:rsidRPr="001D41EA">
              <w:rPr>
                <w:rFonts w:cs="Arial"/>
                <w:sz w:val="18"/>
                <w:szCs w:val="18"/>
              </w:rPr>
              <w:t>0.7</w:t>
            </w:r>
          </w:p>
        </w:tc>
        <w:tc>
          <w:tcPr>
            <w:tcW w:w="170" w:type="dxa"/>
            <w:tcBorders>
              <w:top w:val="nil"/>
              <w:left w:val="nil"/>
              <w:bottom w:val="nil"/>
            </w:tcBorders>
            <w:vAlign w:val="bottom"/>
          </w:tcPr>
          <w:p w14:paraId="048F584A" w14:textId="5B93B437"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0A3ABCAB" w14:textId="248194E2" w:rsidR="00143DD0" w:rsidRPr="001D41EA" w:rsidRDefault="00143DD0" w:rsidP="00143DD0">
            <w:pPr>
              <w:spacing w:before="40" w:after="20"/>
              <w:jc w:val="center"/>
              <w:rPr>
                <w:rFonts w:cs="Arial"/>
                <w:sz w:val="18"/>
                <w:szCs w:val="18"/>
              </w:rPr>
            </w:pPr>
            <w:r w:rsidRPr="00143DD0">
              <w:rPr>
                <w:rFonts w:cs="Arial"/>
                <w:sz w:val="18"/>
                <w:szCs w:val="18"/>
              </w:rPr>
              <w:t>0.4</w:t>
            </w:r>
          </w:p>
        </w:tc>
        <w:tc>
          <w:tcPr>
            <w:tcW w:w="1418" w:type="dxa"/>
            <w:tcBorders>
              <w:top w:val="nil"/>
              <w:left w:val="nil"/>
              <w:bottom w:val="nil"/>
              <w:right w:val="nil"/>
            </w:tcBorders>
            <w:shd w:val="clear" w:color="auto" w:fill="auto"/>
            <w:vAlign w:val="bottom"/>
          </w:tcPr>
          <w:p w14:paraId="0A649EED" w14:textId="51A61E43" w:rsidR="00143DD0" w:rsidRPr="001D41EA" w:rsidRDefault="00143DD0" w:rsidP="00143DD0">
            <w:pPr>
              <w:spacing w:before="40" w:after="20"/>
              <w:jc w:val="right"/>
              <w:rPr>
                <w:rFonts w:cs="Arial"/>
                <w:sz w:val="18"/>
                <w:szCs w:val="18"/>
              </w:rPr>
            </w:pPr>
            <w:r w:rsidRPr="001D41EA">
              <w:rPr>
                <w:rFonts w:cs="Arial"/>
                <w:sz w:val="18"/>
                <w:szCs w:val="18"/>
              </w:rPr>
              <w:t>20.93</w:t>
            </w:r>
          </w:p>
        </w:tc>
      </w:tr>
      <w:tr w:rsidR="00143DD0" w:rsidRPr="001D41EA" w14:paraId="6916D29D"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85717FC" w14:textId="77777777" w:rsidR="00143DD0" w:rsidRPr="001D41EA" w:rsidRDefault="00143DD0" w:rsidP="00143DD0">
            <w:pPr>
              <w:spacing w:before="40" w:after="20"/>
              <w:rPr>
                <w:rFonts w:cs="Arial"/>
                <w:sz w:val="18"/>
                <w:szCs w:val="18"/>
              </w:rPr>
            </w:pPr>
            <w:r w:rsidRPr="001D41EA">
              <w:rPr>
                <w:rFonts w:cs="Arial"/>
                <w:sz w:val="18"/>
                <w:szCs w:val="18"/>
              </w:rPr>
              <w:t>Manningham C</w:t>
            </w:r>
          </w:p>
        </w:tc>
        <w:tc>
          <w:tcPr>
            <w:tcW w:w="1418" w:type="dxa"/>
            <w:tcBorders>
              <w:top w:val="nil"/>
              <w:left w:val="single" w:sz="18" w:space="0" w:color="5F497A" w:themeColor="accent4" w:themeShade="BF"/>
              <w:bottom w:val="nil"/>
            </w:tcBorders>
            <w:vAlign w:val="bottom"/>
          </w:tcPr>
          <w:p w14:paraId="40400FC4" w14:textId="6CE3D93D" w:rsidR="00143DD0" w:rsidRPr="001D41EA" w:rsidRDefault="00143DD0" w:rsidP="00143DD0">
            <w:pPr>
              <w:spacing w:before="40" w:after="20"/>
              <w:jc w:val="right"/>
              <w:rPr>
                <w:rFonts w:cs="Arial"/>
                <w:sz w:val="18"/>
                <w:szCs w:val="18"/>
              </w:rPr>
            </w:pPr>
            <w:r w:rsidRPr="001D41EA">
              <w:rPr>
                <w:rFonts w:cs="Arial"/>
                <w:sz w:val="18"/>
                <w:szCs w:val="18"/>
              </w:rPr>
              <w:t>216</w:t>
            </w:r>
          </w:p>
        </w:tc>
        <w:tc>
          <w:tcPr>
            <w:tcW w:w="1418" w:type="dxa"/>
            <w:tcBorders>
              <w:top w:val="nil"/>
              <w:left w:val="nil"/>
              <w:bottom w:val="nil"/>
            </w:tcBorders>
            <w:vAlign w:val="bottom"/>
          </w:tcPr>
          <w:p w14:paraId="74A9975C" w14:textId="7C11DE63" w:rsidR="00143DD0" w:rsidRPr="001D41EA" w:rsidRDefault="00143DD0" w:rsidP="00143DD0">
            <w:pPr>
              <w:spacing w:before="40" w:after="20"/>
              <w:jc w:val="center"/>
              <w:rPr>
                <w:rFonts w:cs="Arial"/>
                <w:sz w:val="18"/>
                <w:szCs w:val="18"/>
              </w:rPr>
            </w:pPr>
            <w:r w:rsidRPr="001D41EA">
              <w:rPr>
                <w:rFonts w:cs="Arial"/>
                <w:sz w:val="18"/>
                <w:szCs w:val="18"/>
              </w:rPr>
              <w:t>0.2</w:t>
            </w:r>
          </w:p>
        </w:tc>
        <w:tc>
          <w:tcPr>
            <w:tcW w:w="170" w:type="dxa"/>
            <w:tcBorders>
              <w:top w:val="nil"/>
              <w:left w:val="nil"/>
              <w:bottom w:val="nil"/>
            </w:tcBorders>
            <w:vAlign w:val="bottom"/>
          </w:tcPr>
          <w:p w14:paraId="2920975D" w14:textId="548D6517"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625B96D6" w14:textId="2560F742" w:rsidR="00143DD0" w:rsidRPr="001D41EA" w:rsidRDefault="00143DD0" w:rsidP="00143DD0">
            <w:pPr>
              <w:spacing w:before="40" w:after="20"/>
              <w:jc w:val="center"/>
              <w:rPr>
                <w:rFonts w:cs="Arial"/>
                <w:sz w:val="18"/>
                <w:szCs w:val="18"/>
              </w:rPr>
            </w:pPr>
            <w:r w:rsidRPr="00143DD0">
              <w:rPr>
                <w:rFonts w:cs="Arial"/>
                <w:sz w:val="18"/>
                <w:szCs w:val="18"/>
              </w:rPr>
              <w:t>6.3</w:t>
            </w:r>
          </w:p>
        </w:tc>
        <w:tc>
          <w:tcPr>
            <w:tcW w:w="1418" w:type="dxa"/>
            <w:tcBorders>
              <w:top w:val="nil"/>
              <w:left w:val="nil"/>
              <w:bottom w:val="nil"/>
              <w:right w:val="nil"/>
            </w:tcBorders>
            <w:shd w:val="clear" w:color="auto" w:fill="auto"/>
            <w:vAlign w:val="bottom"/>
          </w:tcPr>
          <w:p w14:paraId="6EB67797" w14:textId="7BF7432E" w:rsidR="00143DD0" w:rsidRPr="001D41EA" w:rsidRDefault="00143DD0" w:rsidP="00143DD0">
            <w:pPr>
              <w:spacing w:before="40" w:after="20"/>
              <w:jc w:val="right"/>
              <w:rPr>
                <w:rFonts w:cs="Arial"/>
                <w:sz w:val="18"/>
                <w:szCs w:val="18"/>
              </w:rPr>
            </w:pPr>
            <w:r w:rsidRPr="001D41EA">
              <w:rPr>
                <w:rFonts w:cs="Arial"/>
                <w:sz w:val="18"/>
                <w:szCs w:val="18"/>
              </w:rPr>
              <w:t>0.30</w:t>
            </w:r>
          </w:p>
        </w:tc>
      </w:tr>
      <w:tr w:rsidR="00143DD0" w:rsidRPr="001D41EA" w14:paraId="01E2CFB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B9ACD7E" w14:textId="77777777" w:rsidR="00143DD0" w:rsidRPr="001D41EA" w:rsidRDefault="00143DD0" w:rsidP="00143DD0">
            <w:pPr>
              <w:spacing w:before="40" w:after="20"/>
              <w:rPr>
                <w:rFonts w:cs="Arial"/>
                <w:sz w:val="18"/>
                <w:szCs w:val="18"/>
              </w:rPr>
            </w:pPr>
            <w:r w:rsidRPr="001D41EA">
              <w:rPr>
                <w:rFonts w:cs="Arial"/>
                <w:sz w:val="18"/>
                <w:szCs w:val="18"/>
              </w:rPr>
              <w:t>Mansfield S</w:t>
            </w:r>
          </w:p>
        </w:tc>
        <w:tc>
          <w:tcPr>
            <w:tcW w:w="1418" w:type="dxa"/>
            <w:tcBorders>
              <w:top w:val="nil"/>
              <w:left w:val="single" w:sz="18" w:space="0" w:color="5F497A" w:themeColor="accent4" w:themeShade="BF"/>
              <w:bottom w:val="nil"/>
            </w:tcBorders>
            <w:vAlign w:val="bottom"/>
          </w:tcPr>
          <w:p w14:paraId="6CCA294C" w14:textId="57D92BE1" w:rsidR="00143DD0" w:rsidRPr="001D41EA" w:rsidRDefault="00143DD0" w:rsidP="00143DD0">
            <w:pPr>
              <w:spacing w:before="40" w:after="20"/>
              <w:jc w:val="right"/>
              <w:rPr>
                <w:rFonts w:cs="Arial"/>
                <w:sz w:val="18"/>
                <w:szCs w:val="18"/>
              </w:rPr>
            </w:pPr>
            <w:r w:rsidRPr="001D41EA">
              <w:rPr>
                <w:rFonts w:cs="Arial"/>
                <w:sz w:val="18"/>
                <w:szCs w:val="18"/>
              </w:rPr>
              <w:t>63</w:t>
            </w:r>
          </w:p>
        </w:tc>
        <w:tc>
          <w:tcPr>
            <w:tcW w:w="1418" w:type="dxa"/>
            <w:tcBorders>
              <w:top w:val="nil"/>
              <w:left w:val="nil"/>
              <w:bottom w:val="nil"/>
            </w:tcBorders>
            <w:vAlign w:val="bottom"/>
          </w:tcPr>
          <w:p w14:paraId="229F303D" w14:textId="41752D6E" w:rsidR="00143DD0" w:rsidRPr="001D41EA" w:rsidRDefault="00143DD0" w:rsidP="00143DD0">
            <w:pPr>
              <w:spacing w:before="40" w:after="20"/>
              <w:jc w:val="center"/>
              <w:rPr>
                <w:rFonts w:cs="Arial"/>
                <w:sz w:val="18"/>
                <w:szCs w:val="18"/>
              </w:rPr>
            </w:pPr>
            <w:r w:rsidRPr="001D41EA">
              <w:rPr>
                <w:rFonts w:cs="Arial"/>
                <w:sz w:val="18"/>
                <w:szCs w:val="18"/>
              </w:rPr>
              <w:t>0.7</w:t>
            </w:r>
          </w:p>
        </w:tc>
        <w:tc>
          <w:tcPr>
            <w:tcW w:w="170" w:type="dxa"/>
            <w:tcBorders>
              <w:top w:val="nil"/>
              <w:left w:val="nil"/>
              <w:bottom w:val="nil"/>
            </w:tcBorders>
            <w:vAlign w:val="bottom"/>
          </w:tcPr>
          <w:p w14:paraId="500A4FBA" w14:textId="475CB4DE"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36A17BEC" w14:textId="074DC5E4" w:rsidR="00143DD0" w:rsidRPr="001D41EA" w:rsidRDefault="00143DD0" w:rsidP="00143DD0">
            <w:pPr>
              <w:spacing w:before="40" w:after="20"/>
              <w:jc w:val="center"/>
              <w:rPr>
                <w:rFonts w:cs="Arial"/>
                <w:sz w:val="18"/>
                <w:szCs w:val="18"/>
              </w:rPr>
            </w:pPr>
            <w:r w:rsidRPr="00143DD0">
              <w:rPr>
                <w:rFonts w:cs="Arial"/>
                <w:sz w:val="18"/>
                <w:szCs w:val="18"/>
              </w:rPr>
              <w:t>0.5</w:t>
            </w:r>
          </w:p>
        </w:tc>
        <w:tc>
          <w:tcPr>
            <w:tcW w:w="1418" w:type="dxa"/>
            <w:tcBorders>
              <w:top w:val="nil"/>
              <w:left w:val="nil"/>
              <w:bottom w:val="nil"/>
              <w:right w:val="nil"/>
            </w:tcBorders>
            <w:shd w:val="clear" w:color="auto" w:fill="auto"/>
            <w:vAlign w:val="bottom"/>
          </w:tcPr>
          <w:p w14:paraId="6C1BCF0B" w14:textId="1AE1A5FA" w:rsidR="00143DD0" w:rsidRPr="001D41EA" w:rsidRDefault="00143DD0" w:rsidP="00143DD0">
            <w:pPr>
              <w:spacing w:before="40" w:after="20"/>
              <w:jc w:val="right"/>
              <w:rPr>
                <w:rFonts w:cs="Arial"/>
                <w:sz w:val="18"/>
                <w:szCs w:val="18"/>
              </w:rPr>
            </w:pPr>
            <w:r w:rsidRPr="001D41EA">
              <w:rPr>
                <w:rFonts w:cs="Arial"/>
                <w:sz w:val="18"/>
                <w:szCs w:val="18"/>
              </w:rPr>
              <w:t>11.85</w:t>
            </w:r>
          </w:p>
        </w:tc>
      </w:tr>
      <w:tr w:rsidR="00143DD0" w:rsidRPr="001D41EA" w14:paraId="03CF1003"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5463B9F" w14:textId="77777777" w:rsidR="00143DD0" w:rsidRPr="001D41EA" w:rsidRDefault="00143DD0" w:rsidP="00143DD0">
            <w:pPr>
              <w:spacing w:before="40" w:after="20"/>
              <w:rPr>
                <w:rFonts w:cs="Arial"/>
                <w:sz w:val="18"/>
                <w:szCs w:val="18"/>
              </w:rPr>
            </w:pPr>
            <w:r w:rsidRPr="001D41EA">
              <w:rPr>
                <w:rFonts w:cs="Arial"/>
                <w:sz w:val="18"/>
                <w:szCs w:val="18"/>
              </w:rPr>
              <w:t>Maribyrnong C</w:t>
            </w:r>
          </w:p>
        </w:tc>
        <w:tc>
          <w:tcPr>
            <w:tcW w:w="1418" w:type="dxa"/>
            <w:tcBorders>
              <w:top w:val="nil"/>
              <w:left w:val="single" w:sz="18" w:space="0" w:color="5F497A" w:themeColor="accent4" w:themeShade="BF"/>
              <w:bottom w:val="nil"/>
            </w:tcBorders>
            <w:vAlign w:val="bottom"/>
          </w:tcPr>
          <w:p w14:paraId="226A34CF" w14:textId="5DA92E07" w:rsidR="00143DD0" w:rsidRPr="001D41EA" w:rsidRDefault="00143DD0" w:rsidP="00143DD0">
            <w:pPr>
              <w:spacing w:before="40" w:after="20"/>
              <w:jc w:val="right"/>
              <w:rPr>
                <w:rFonts w:cs="Arial"/>
                <w:sz w:val="18"/>
                <w:szCs w:val="18"/>
              </w:rPr>
            </w:pPr>
            <w:r w:rsidRPr="001D41EA">
              <w:rPr>
                <w:rFonts w:cs="Arial"/>
                <w:sz w:val="18"/>
                <w:szCs w:val="18"/>
              </w:rPr>
              <w:t>436</w:t>
            </w:r>
          </w:p>
        </w:tc>
        <w:tc>
          <w:tcPr>
            <w:tcW w:w="1418" w:type="dxa"/>
            <w:tcBorders>
              <w:top w:val="nil"/>
              <w:left w:val="nil"/>
              <w:bottom w:val="nil"/>
            </w:tcBorders>
            <w:vAlign w:val="bottom"/>
          </w:tcPr>
          <w:p w14:paraId="5F789EEC" w14:textId="3E57A3F3" w:rsidR="00143DD0" w:rsidRPr="001D41EA" w:rsidRDefault="00143DD0" w:rsidP="00143DD0">
            <w:pPr>
              <w:spacing w:before="40" w:after="20"/>
              <w:jc w:val="center"/>
              <w:rPr>
                <w:rFonts w:cs="Arial"/>
                <w:sz w:val="18"/>
                <w:szCs w:val="18"/>
              </w:rPr>
            </w:pPr>
            <w:r w:rsidRPr="001D41EA">
              <w:rPr>
                <w:rFonts w:cs="Arial"/>
                <w:sz w:val="18"/>
                <w:szCs w:val="18"/>
              </w:rPr>
              <w:t>0.5</w:t>
            </w:r>
          </w:p>
        </w:tc>
        <w:tc>
          <w:tcPr>
            <w:tcW w:w="170" w:type="dxa"/>
            <w:tcBorders>
              <w:top w:val="nil"/>
              <w:left w:val="nil"/>
              <w:bottom w:val="nil"/>
            </w:tcBorders>
            <w:vAlign w:val="bottom"/>
          </w:tcPr>
          <w:p w14:paraId="3175A6A4" w14:textId="43398036"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0986B26E" w14:textId="123D6D61" w:rsidR="00143DD0" w:rsidRPr="001D41EA" w:rsidRDefault="00143DD0" w:rsidP="00143DD0">
            <w:pPr>
              <w:spacing w:before="40" w:after="20"/>
              <w:jc w:val="center"/>
              <w:rPr>
                <w:rFonts w:cs="Arial"/>
                <w:sz w:val="18"/>
                <w:szCs w:val="18"/>
              </w:rPr>
            </w:pPr>
            <w:r w:rsidRPr="00143DD0">
              <w:rPr>
                <w:rFonts w:cs="Arial"/>
                <w:sz w:val="18"/>
                <w:szCs w:val="18"/>
              </w:rPr>
              <w:t>7.5</w:t>
            </w:r>
          </w:p>
        </w:tc>
        <w:tc>
          <w:tcPr>
            <w:tcW w:w="1418" w:type="dxa"/>
            <w:tcBorders>
              <w:top w:val="nil"/>
              <w:left w:val="nil"/>
              <w:bottom w:val="nil"/>
              <w:right w:val="nil"/>
            </w:tcBorders>
            <w:shd w:val="clear" w:color="auto" w:fill="auto"/>
            <w:vAlign w:val="bottom"/>
          </w:tcPr>
          <w:p w14:paraId="0F77D911" w14:textId="49F17DFE" w:rsidR="00143DD0" w:rsidRPr="001D41EA" w:rsidRDefault="00143DD0" w:rsidP="00143DD0">
            <w:pPr>
              <w:spacing w:before="40" w:after="20"/>
              <w:jc w:val="right"/>
              <w:rPr>
                <w:rFonts w:cs="Arial"/>
                <w:sz w:val="18"/>
                <w:szCs w:val="18"/>
              </w:rPr>
            </w:pPr>
            <w:r w:rsidRPr="001D41EA">
              <w:rPr>
                <w:rFonts w:cs="Arial"/>
                <w:sz w:val="18"/>
                <w:szCs w:val="18"/>
              </w:rPr>
              <w:t> </w:t>
            </w:r>
          </w:p>
        </w:tc>
      </w:tr>
      <w:tr w:rsidR="00143DD0" w:rsidRPr="001D41EA" w14:paraId="76009DDF"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9A5E45C" w14:textId="77777777" w:rsidR="00143DD0" w:rsidRPr="001D41EA" w:rsidRDefault="00143DD0" w:rsidP="00143DD0">
            <w:pPr>
              <w:spacing w:before="40" w:after="20"/>
              <w:rPr>
                <w:rFonts w:cs="Arial"/>
                <w:sz w:val="18"/>
                <w:szCs w:val="18"/>
              </w:rPr>
            </w:pPr>
            <w:r w:rsidRPr="001D41EA">
              <w:rPr>
                <w:rFonts w:cs="Arial"/>
                <w:sz w:val="18"/>
                <w:szCs w:val="18"/>
              </w:rPr>
              <w:t>Maroondah C</w:t>
            </w:r>
          </w:p>
        </w:tc>
        <w:tc>
          <w:tcPr>
            <w:tcW w:w="1418" w:type="dxa"/>
            <w:tcBorders>
              <w:top w:val="nil"/>
              <w:left w:val="single" w:sz="18" w:space="0" w:color="5F497A" w:themeColor="accent4" w:themeShade="BF"/>
              <w:bottom w:val="nil"/>
            </w:tcBorders>
            <w:vAlign w:val="bottom"/>
          </w:tcPr>
          <w:p w14:paraId="2C3669C6" w14:textId="507B60F9" w:rsidR="00143DD0" w:rsidRPr="001D41EA" w:rsidRDefault="00143DD0" w:rsidP="00143DD0">
            <w:pPr>
              <w:spacing w:before="40" w:after="20"/>
              <w:jc w:val="right"/>
              <w:rPr>
                <w:rFonts w:cs="Arial"/>
                <w:sz w:val="18"/>
                <w:szCs w:val="18"/>
              </w:rPr>
            </w:pPr>
            <w:r w:rsidRPr="001D41EA">
              <w:rPr>
                <w:rFonts w:cs="Arial"/>
                <w:sz w:val="18"/>
                <w:szCs w:val="18"/>
              </w:rPr>
              <w:t>573</w:t>
            </w:r>
          </w:p>
        </w:tc>
        <w:tc>
          <w:tcPr>
            <w:tcW w:w="1418" w:type="dxa"/>
            <w:tcBorders>
              <w:top w:val="nil"/>
              <w:left w:val="nil"/>
              <w:bottom w:val="nil"/>
            </w:tcBorders>
            <w:vAlign w:val="bottom"/>
          </w:tcPr>
          <w:p w14:paraId="3E84AE4A" w14:textId="28441949" w:rsidR="00143DD0" w:rsidRPr="001D41EA" w:rsidRDefault="00143DD0" w:rsidP="00143DD0">
            <w:pPr>
              <w:spacing w:before="40" w:after="20"/>
              <w:jc w:val="center"/>
              <w:rPr>
                <w:rFonts w:cs="Arial"/>
                <w:sz w:val="18"/>
                <w:szCs w:val="18"/>
              </w:rPr>
            </w:pPr>
            <w:r w:rsidRPr="001D41EA">
              <w:rPr>
                <w:rFonts w:cs="Arial"/>
                <w:sz w:val="18"/>
                <w:szCs w:val="18"/>
              </w:rPr>
              <w:t>0.5</w:t>
            </w:r>
          </w:p>
        </w:tc>
        <w:tc>
          <w:tcPr>
            <w:tcW w:w="170" w:type="dxa"/>
            <w:tcBorders>
              <w:top w:val="nil"/>
              <w:left w:val="nil"/>
              <w:bottom w:val="nil"/>
            </w:tcBorders>
            <w:vAlign w:val="bottom"/>
          </w:tcPr>
          <w:p w14:paraId="031F332A" w14:textId="578ABD6A"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5EFA8369" w14:textId="0165D417" w:rsidR="00143DD0" w:rsidRPr="001D41EA" w:rsidRDefault="00143DD0" w:rsidP="00143DD0">
            <w:pPr>
              <w:spacing w:before="40" w:after="20"/>
              <w:jc w:val="center"/>
              <w:rPr>
                <w:rFonts w:cs="Arial"/>
                <w:sz w:val="18"/>
                <w:szCs w:val="18"/>
              </w:rPr>
            </w:pPr>
            <w:r w:rsidRPr="00143DD0">
              <w:rPr>
                <w:rFonts w:cs="Arial"/>
                <w:sz w:val="18"/>
                <w:szCs w:val="18"/>
              </w:rPr>
              <w:t>3.2</w:t>
            </w:r>
          </w:p>
        </w:tc>
        <w:tc>
          <w:tcPr>
            <w:tcW w:w="1418" w:type="dxa"/>
            <w:tcBorders>
              <w:top w:val="nil"/>
              <w:left w:val="nil"/>
              <w:bottom w:val="nil"/>
              <w:right w:val="nil"/>
            </w:tcBorders>
            <w:shd w:val="clear" w:color="auto" w:fill="auto"/>
            <w:vAlign w:val="bottom"/>
          </w:tcPr>
          <w:p w14:paraId="4B9032FB" w14:textId="67CF77A3" w:rsidR="00143DD0" w:rsidRPr="001D41EA" w:rsidRDefault="00143DD0" w:rsidP="00143DD0">
            <w:pPr>
              <w:spacing w:before="40" w:after="20"/>
              <w:jc w:val="right"/>
              <w:rPr>
                <w:rFonts w:cs="Arial"/>
                <w:sz w:val="18"/>
                <w:szCs w:val="18"/>
              </w:rPr>
            </w:pPr>
            <w:r w:rsidRPr="001D41EA">
              <w:rPr>
                <w:rFonts w:cs="Arial"/>
                <w:sz w:val="18"/>
                <w:szCs w:val="18"/>
              </w:rPr>
              <w:t> </w:t>
            </w:r>
          </w:p>
        </w:tc>
      </w:tr>
      <w:tr w:rsidR="00143DD0" w:rsidRPr="001D41EA" w14:paraId="621BDE2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0B57A49" w14:textId="77777777" w:rsidR="00143DD0" w:rsidRPr="001D41EA" w:rsidRDefault="00143DD0" w:rsidP="00143DD0">
            <w:pPr>
              <w:spacing w:before="40" w:after="20"/>
              <w:rPr>
                <w:rFonts w:cs="Arial"/>
                <w:sz w:val="18"/>
                <w:szCs w:val="18"/>
              </w:rPr>
            </w:pPr>
            <w:r w:rsidRPr="001D41EA">
              <w:rPr>
                <w:rFonts w:cs="Arial"/>
                <w:sz w:val="18"/>
                <w:szCs w:val="18"/>
              </w:rPr>
              <w:t>Melbourne C</w:t>
            </w:r>
          </w:p>
        </w:tc>
        <w:tc>
          <w:tcPr>
            <w:tcW w:w="1418" w:type="dxa"/>
            <w:tcBorders>
              <w:top w:val="nil"/>
              <w:left w:val="single" w:sz="18" w:space="0" w:color="5F497A" w:themeColor="accent4" w:themeShade="BF"/>
              <w:bottom w:val="nil"/>
            </w:tcBorders>
            <w:vAlign w:val="bottom"/>
          </w:tcPr>
          <w:p w14:paraId="1D21092E" w14:textId="1D2D8C8C" w:rsidR="00143DD0" w:rsidRPr="001D41EA" w:rsidRDefault="00143DD0" w:rsidP="00143DD0">
            <w:pPr>
              <w:spacing w:before="40" w:after="20"/>
              <w:jc w:val="right"/>
              <w:rPr>
                <w:rFonts w:cs="Arial"/>
                <w:sz w:val="18"/>
                <w:szCs w:val="18"/>
              </w:rPr>
            </w:pPr>
            <w:r w:rsidRPr="001D41EA">
              <w:rPr>
                <w:rFonts w:cs="Arial"/>
                <w:sz w:val="18"/>
                <w:szCs w:val="18"/>
              </w:rPr>
              <w:t>471</w:t>
            </w:r>
          </w:p>
        </w:tc>
        <w:tc>
          <w:tcPr>
            <w:tcW w:w="1418" w:type="dxa"/>
            <w:tcBorders>
              <w:top w:val="nil"/>
              <w:left w:val="nil"/>
              <w:bottom w:val="nil"/>
            </w:tcBorders>
            <w:vAlign w:val="bottom"/>
          </w:tcPr>
          <w:p w14:paraId="1769E834" w14:textId="77759E1D" w:rsidR="00143DD0" w:rsidRPr="001D41EA" w:rsidRDefault="00143DD0" w:rsidP="00143DD0">
            <w:pPr>
              <w:spacing w:before="40" w:after="20"/>
              <w:jc w:val="center"/>
              <w:rPr>
                <w:rFonts w:cs="Arial"/>
                <w:sz w:val="18"/>
                <w:szCs w:val="18"/>
              </w:rPr>
            </w:pPr>
            <w:r w:rsidRPr="001D41EA">
              <w:rPr>
                <w:rFonts w:cs="Arial"/>
                <w:sz w:val="18"/>
                <w:szCs w:val="18"/>
              </w:rPr>
              <w:t>0.3</w:t>
            </w:r>
          </w:p>
        </w:tc>
        <w:tc>
          <w:tcPr>
            <w:tcW w:w="170" w:type="dxa"/>
            <w:tcBorders>
              <w:top w:val="nil"/>
              <w:left w:val="nil"/>
              <w:bottom w:val="nil"/>
            </w:tcBorders>
            <w:vAlign w:val="bottom"/>
          </w:tcPr>
          <w:p w14:paraId="54FDD919" w14:textId="763FB4C5"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297E757E" w14:textId="493EB3B2" w:rsidR="00143DD0" w:rsidRPr="001D41EA" w:rsidRDefault="00143DD0" w:rsidP="00143DD0">
            <w:pPr>
              <w:spacing w:before="40" w:after="20"/>
              <w:jc w:val="center"/>
              <w:rPr>
                <w:rFonts w:cs="Arial"/>
                <w:sz w:val="18"/>
                <w:szCs w:val="18"/>
              </w:rPr>
            </w:pPr>
            <w:r w:rsidRPr="00143DD0">
              <w:rPr>
                <w:rFonts w:cs="Arial"/>
                <w:sz w:val="18"/>
                <w:szCs w:val="18"/>
              </w:rPr>
              <w:t>6.9</w:t>
            </w:r>
          </w:p>
        </w:tc>
        <w:tc>
          <w:tcPr>
            <w:tcW w:w="1418" w:type="dxa"/>
            <w:tcBorders>
              <w:top w:val="nil"/>
              <w:left w:val="nil"/>
              <w:bottom w:val="nil"/>
              <w:right w:val="nil"/>
            </w:tcBorders>
            <w:shd w:val="clear" w:color="auto" w:fill="auto"/>
            <w:vAlign w:val="bottom"/>
          </w:tcPr>
          <w:p w14:paraId="736E1B57" w14:textId="732694A0" w:rsidR="00143DD0" w:rsidRPr="001D41EA" w:rsidRDefault="00143DD0" w:rsidP="00143DD0">
            <w:pPr>
              <w:spacing w:before="40" w:after="20"/>
              <w:jc w:val="right"/>
              <w:rPr>
                <w:rFonts w:cs="Arial"/>
                <w:sz w:val="18"/>
                <w:szCs w:val="18"/>
              </w:rPr>
            </w:pPr>
            <w:r w:rsidRPr="001D41EA">
              <w:rPr>
                <w:rFonts w:cs="Arial"/>
                <w:sz w:val="18"/>
                <w:szCs w:val="18"/>
              </w:rPr>
              <w:t> </w:t>
            </w:r>
          </w:p>
        </w:tc>
      </w:tr>
      <w:tr w:rsidR="00143DD0" w:rsidRPr="001D41EA" w14:paraId="54234D3C"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22565D6" w14:textId="77777777" w:rsidR="00143DD0" w:rsidRPr="001D41EA" w:rsidRDefault="00143DD0" w:rsidP="00143DD0">
            <w:pPr>
              <w:spacing w:before="40" w:after="20"/>
              <w:rPr>
                <w:rFonts w:cs="Arial"/>
                <w:sz w:val="18"/>
                <w:szCs w:val="18"/>
              </w:rPr>
            </w:pPr>
            <w:r w:rsidRPr="001D41EA">
              <w:rPr>
                <w:rFonts w:cs="Arial"/>
                <w:sz w:val="18"/>
                <w:szCs w:val="18"/>
              </w:rPr>
              <w:t>Melton C</w:t>
            </w:r>
          </w:p>
        </w:tc>
        <w:tc>
          <w:tcPr>
            <w:tcW w:w="1418" w:type="dxa"/>
            <w:tcBorders>
              <w:top w:val="nil"/>
              <w:left w:val="single" w:sz="18" w:space="0" w:color="5F497A" w:themeColor="accent4" w:themeShade="BF"/>
              <w:bottom w:val="nil"/>
            </w:tcBorders>
            <w:vAlign w:val="bottom"/>
          </w:tcPr>
          <w:p w14:paraId="4FC0B861" w14:textId="2A20A5FA" w:rsidR="00143DD0" w:rsidRPr="001D41EA" w:rsidRDefault="00143DD0" w:rsidP="00143DD0">
            <w:pPr>
              <w:spacing w:before="40" w:after="20"/>
              <w:jc w:val="right"/>
              <w:rPr>
                <w:rFonts w:cs="Arial"/>
                <w:sz w:val="18"/>
                <w:szCs w:val="18"/>
              </w:rPr>
            </w:pPr>
            <w:r w:rsidRPr="001D41EA">
              <w:rPr>
                <w:rFonts w:cs="Arial"/>
                <w:sz w:val="18"/>
                <w:szCs w:val="18"/>
              </w:rPr>
              <w:t>1,294</w:t>
            </w:r>
          </w:p>
        </w:tc>
        <w:tc>
          <w:tcPr>
            <w:tcW w:w="1418" w:type="dxa"/>
            <w:tcBorders>
              <w:top w:val="nil"/>
              <w:left w:val="nil"/>
              <w:bottom w:val="nil"/>
            </w:tcBorders>
            <w:vAlign w:val="bottom"/>
          </w:tcPr>
          <w:p w14:paraId="2F6E41D2" w14:textId="418C385E" w:rsidR="00143DD0" w:rsidRPr="001D41EA" w:rsidRDefault="00143DD0" w:rsidP="00143DD0">
            <w:pPr>
              <w:spacing w:before="40" w:after="20"/>
              <w:jc w:val="center"/>
              <w:rPr>
                <w:rFonts w:cs="Arial"/>
                <w:sz w:val="18"/>
                <w:szCs w:val="18"/>
              </w:rPr>
            </w:pPr>
            <w:r w:rsidRPr="001D41EA">
              <w:rPr>
                <w:rFonts w:cs="Arial"/>
                <w:sz w:val="18"/>
                <w:szCs w:val="18"/>
              </w:rPr>
              <w:t>1.0</w:t>
            </w:r>
          </w:p>
        </w:tc>
        <w:tc>
          <w:tcPr>
            <w:tcW w:w="170" w:type="dxa"/>
            <w:tcBorders>
              <w:top w:val="nil"/>
              <w:left w:val="nil"/>
              <w:bottom w:val="nil"/>
            </w:tcBorders>
            <w:vAlign w:val="bottom"/>
          </w:tcPr>
          <w:p w14:paraId="33DFF44D" w14:textId="3B5B521A"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31ABEDBD" w14:textId="31D8077B" w:rsidR="00143DD0" w:rsidRPr="001D41EA" w:rsidRDefault="00143DD0" w:rsidP="00143DD0">
            <w:pPr>
              <w:spacing w:before="40" w:after="20"/>
              <w:jc w:val="center"/>
              <w:rPr>
                <w:rFonts w:cs="Arial"/>
                <w:sz w:val="18"/>
                <w:szCs w:val="18"/>
              </w:rPr>
            </w:pPr>
            <w:r w:rsidRPr="00143DD0">
              <w:rPr>
                <w:rFonts w:cs="Arial"/>
                <w:sz w:val="18"/>
                <w:szCs w:val="18"/>
              </w:rPr>
              <w:t>3.2</w:t>
            </w:r>
          </w:p>
        </w:tc>
        <w:tc>
          <w:tcPr>
            <w:tcW w:w="1418" w:type="dxa"/>
            <w:tcBorders>
              <w:top w:val="nil"/>
              <w:left w:val="nil"/>
              <w:bottom w:val="nil"/>
              <w:right w:val="nil"/>
            </w:tcBorders>
            <w:shd w:val="clear" w:color="auto" w:fill="auto"/>
            <w:vAlign w:val="bottom"/>
          </w:tcPr>
          <w:p w14:paraId="2BCC353E" w14:textId="228AB2C3" w:rsidR="00143DD0" w:rsidRPr="001D41EA" w:rsidRDefault="00143DD0" w:rsidP="00143DD0">
            <w:pPr>
              <w:spacing w:before="40" w:after="20"/>
              <w:jc w:val="right"/>
              <w:rPr>
                <w:rFonts w:cs="Arial"/>
                <w:sz w:val="18"/>
                <w:szCs w:val="18"/>
              </w:rPr>
            </w:pPr>
            <w:r w:rsidRPr="001D41EA">
              <w:rPr>
                <w:rFonts w:cs="Arial"/>
                <w:sz w:val="18"/>
                <w:szCs w:val="18"/>
              </w:rPr>
              <w:t>11.30</w:t>
            </w:r>
          </w:p>
        </w:tc>
      </w:tr>
      <w:tr w:rsidR="00143DD0" w:rsidRPr="001D41EA" w14:paraId="56E7AFCB"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956DC19" w14:textId="77777777" w:rsidR="00143DD0" w:rsidRPr="001D41EA" w:rsidRDefault="00143DD0" w:rsidP="00143DD0">
            <w:pPr>
              <w:spacing w:before="40" w:after="20"/>
              <w:rPr>
                <w:rFonts w:cs="Arial"/>
                <w:sz w:val="18"/>
                <w:szCs w:val="18"/>
              </w:rPr>
            </w:pPr>
            <w:r w:rsidRPr="001D41EA">
              <w:rPr>
                <w:rFonts w:cs="Arial"/>
                <w:sz w:val="18"/>
                <w:szCs w:val="18"/>
              </w:rPr>
              <w:t>Mildura RC</w:t>
            </w:r>
          </w:p>
        </w:tc>
        <w:tc>
          <w:tcPr>
            <w:tcW w:w="1418" w:type="dxa"/>
            <w:tcBorders>
              <w:top w:val="nil"/>
              <w:left w:val="single" w:sz="18" w:space="0" w:color="5F497A" w:themeColor="accent4" w:themeShade="BF"/>
              <w:bottom w:val="nil"/>
            </w:tcBorders>
            <w:vAlign w:val="bottom"/>
          </w:tcPr>
          <w:p w14:paraId="44469B1A" w14:textId="3DF896EA" w:rsidR="00143DD0" w:rsidRPr="001D41EA" w:rsidRDefault="00143DD0" w:rsidP="00143DD0">
            <w:pPr>
              <w:spacing w:before="40" w:after="20"/>
              <w:jc w:val="right"/>
              <w:rPr>
                <w:rFonts w:cs="Arial"/>
                <w:sz w:val="18"/>
                <w:szCs w:val="18"/>
              </w:rPr>
            </w:pPr>
            <w:r w:rsidRPr="001D41EA">
              <w:rPr>
                <w:rFonts w:cs="Arial"/>
                <w:sz w:val="18"/>
                <w:szCs w:val="18"/>
              </w:rPr>
              <w:t>2,064</w:t>
            </w:r>
          </w:p>
        </w:tc>
        <w:tc>
          <w:tcPr>
            <w:tcW w:w="1418" w:type="dxa"/>
            <w:tcBorders>
              <w:top w:val="nil"/>
              <w:left w:val="nil"/>
              <w:bottom w:val="nil"/>
            </w:tcBorders>
            <w:vAlign w:val="bottom"/>
          </w:tcPr>
          <w:p w14:paraId="63B8FD20" w14:textId="04C27211" w:rsidR="00143DD0" w:rsidRPr="001D41EA" w:rsidRDefault="00143DD0" w:rsidP="00143DD0">
            <w:pPr>
              <w:spacing w:before="40" w:after="20"/>
              <w:jc w:val="center"/>
              <w:rPr>
                <w:rFonts w:cs="Arial"/>
                <w:sz w:val="18"/>
                <w:szCs w:val="18"/>
              </w:rPr>
            </w:pPr>
            <w:r w:rsidRPr="001D41EA">
              <w:rPr>
                <w:rFonts w:cs="Arial"/>
                <w:sz w:val="18"/>
                <w:szCs w:val="18"/>
              </w:rPr>
              <w:t>3.8</w:t>
            </w:r>
          </w:p>
        </w:tc>
        <w:tc>
          <w:tcPr>
            <w:tcW w:w="170" w:type="dxa"/>
            <w:tcBorders>
              <w:top w:val="nil"/>
              <w:left w:val="nil"/>
              <w:bottom w:val="nil"/>
            </w:tcBorders>
            <w:vAlign w:val="bottom"/>
          </w:tcPr>
          <w:p w14:paraId="4AD395CF" w14:textId="329EAE99"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3226F03B" w14:textId="73020CD5" w:rsidR="00143DD0" w:rsidRPr="001D41EA" w:rsidRDefault="00143DD0" w:rsidP="00143DD0">
            <w:pPr>
              <w:spacing w:before="40" w:after="20"/>
              <w:jc w:val="center"/>
              <w:rPr>
                <w:rFonts w:cs="Arial"/>
                <w:sz w:val="18"/>
                <w:szCs w:val="18"/>
              </w:rPr>
            </w:pPr>
            <w:r w:rsidRPr="00143DD0">
              <w:rPr>
                <w:rFonts w:cs="Arial"/>
                <w:sz w:val="18"/>
                <w:szCs w:val="18"/>
              </w:rPr>
              <w:t>1.8</w:t>
            </w:r>
          </w:p>
        </w:tc>
        <w:tc>
          <w:tcPr>
            <w:tcW w:w="1418" w:type="dxa"/>
            <w:tcBorders>
              <w:top w:val="nil"/>
              <w:left w:val="nil"/>
              <w:bottom w:val="nil"/>
              <w:right w:val="nil"/>
            </w:tcBorders>
            <w:shd w:val="clear" w:color="auto" w:fill="auto"/>
            <w:vAlign w:val="bottom"/>
          </w:tcPr>
          <w:p w14:paraId="1ADACC98" w14:textId="7C6858C6" w:rsidR="00143DD0" w:rsidRPr="001D41EA" w:rsidRDefault="00143DD0" w:rsidP="00143DD0">
            <w:pPr>
              <w:spacing w:before="40" w:after="20"/>
              <w:jc w:val="right"/>
              <w:rPr>
                <w:rFonts w:cs="Arial"/>
                <w:sz w:val="18"/>
                <w:szCs w:val="18"/>
              </w:rPr>
            </w:pPr>
            <w:r w:rsidRPr="001D41EA">
              <w:rPr>
                <w:rFonts w:cs="Arial"/>
                <w:sz w:val="18"/>
                <w:szCs w:val="18"/>
              </w:rPr>
              <w:t>15.05</w:t>
            </w:r>
          </w:p>
        </w:tc>
      </w:tr>
      <w:tr w:rsidR="00143DD0" w:rsidRPr="001D41EA" w14:paraId="06F3C14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14FF104" w14:textId="77777777" w:rsidR="00143DD0" w:rsidRPr="001D41EA" w:rsidRDefault="00143DD0" w:rsidP="00143DD0">
            <w:pPr>
              <w:spacing w:before="40" w:after="20"/>
              <w:rPr>
                <w:rFonts w:cs="Arial"/>
                <w:sz w:val="18"/>
                <w:szCs w:val="18"/>
              </w:rPr>
            </w:pPr>
            <w:r w:rsidRPr="001D41EA">
              <w:rPr>
                <w:rFonts w:cs="Arial"/>
                <w:sz w:val="18"/>
                <w:szCs w:val="18"/>
              </w:rPr>
              <w:t>Mitchell S</w:t>
            </w:r>
          </w:p>
        </w:tc>
        <w:tc>
          <w:tcPr>
            <w:tcW w:w="1418" w:type="dxa"/>
            <w:tcBorders>
              <w:top w:val="nil"/>
              <w:left w:val="single" w:sz="18" w:space="0" w:color="5F497A" w:themeColor="accent4" w:themeShade="BF"/>
              <w:bottom w:val="nil"/>
            </w:tcBorders>
            <w:vAlign w:val="bottom"/>
          </w:tcPr>
          <w:p w14:paraId="42DDDA01" w14:textId="4A22B13F" w:rsidR="00143DD0" w:rsidRPr="001D41EA" w:rsidRDefault="00143DD0" w:rsidP="00143DD0">
            <w:pPr>
              <w:spacing w:before="40" w:after="20"/>
              <w:jc w:val="right"/>
              <w:rPr>
                <w:rFonts w:cs="Arial"/>
                <w:sz w:val="18"/>
                <w:szCs w:val="18"/>
              </w:rPr>
            </w:pPr>
            <w:r w:rsidRPr="001D41EA">
              <w:rPr>
                <w:rFonts w:cs="Arial"/>
                <w:sz w:val="18"/>
                <w:szCs w:val="18"/>
              </w:rPr>
              <w:t>646</w:t>
            </w:r>
          </w:p>
        </w:tc>
        <w:tc>
          <w:tcPr>
            <w:tcW w:w="1418" w:type="dxa"/>
            <w:tcBorders>
              <w:top w:val="nil"/>
              <w:left w:val="nil"/>
              <w:bottom w:val="nil"/>
            </w:tcBorders>
            <w:vAlign w:val="bottom"/>
          </w:tcPr>
          <w:p w14:paraId="54013101" w14:textId="2FF6878B" w:rsidR="00143DD0" w:rsidRPr="001D41EA" w:rsidRDefault="00143DD0" w:rsidP="00143DD0">
            <w:pPr>
              <w:spacing w:before="40" w:after="20"/>
              <w:jc w:val="center"/>
              <w:rPr>
                <w:rFonts w:cs="Arial"/>
                <w:sz w:val="18"/>
                <w:szCs w:val="18"/>
              </w:rPr>
            </w:pPr>
            <w:r w:rsidRPr="001D41EA">
              <w:rPr>
                <w:rFonts w:cs="Arial"/>
                <w:sz w:val="18"/>
                <w:szCs w:val="18"/>
              </w:rPr>
              <w:t>1.6</w:t>
            </w:r>
          </w:p>
        </w:tc>
        <w:tc>
          <w:tcPr>
            <w:tcW w:w="170" w:type="dxa"/>
            <w:tcBorders>
              <w:top w:val="nil"/>
              <w:left w:val="nil"/>
              <w:bottom w:val="nil"/>
            </w:tcBorders>
            <w:vAlign w:val="bottom"/>
          </w:tcPr>
          <w:p w14:paraId="4CC1C8A2" w14:textId="1FBAA82E"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413ABD74" w14:textId="66444E1A" w:rsidR="00143DD0" w:rsidRPr="001D41EA" w:rsidRDefault="00143DD0" w:rsidP="00143DD0">
            <w:pPr>
              <w:spacing w:before="40" w:after="20"/>
              <w:jc w:val="center"/>
              <w:rPr>
                <w:rFonts w:cs="Arial"/>
                <w:sz w:val="18"/>
                <w:szCs w:val="18"/>
              </w:rPr>
            </w:pPr>
            <w:r w:rsidRPr="00143DD0">
              <w:rPr>
                <w:rFonts w:cs="Arial"/>
                <w:sz w:val="18"/>
                <w:szCs w:val="18"/>
              </w:rPr>
              <w:t>0.8</w:t>
            </w:r>
          </w:p>
        </w:tc>
        <w:tc>
          <w:tcPr>
            <w:tcW w:w="1418" w:type="dxa"/>
            <w:tcBorders>
              <w:top w:val="nil"/>
              <w:left w:val="nil"/>
              <w:bottom w:val="nil"/>
              <w:right w:val="nil"/>
            </w:tcBorders>
            <w:shd w:val="clear" w:color="auto" w:fill="auto"/>
            <w:vAlign w:val="bottom"/>
          </w:tcPr>
          <w:p w14:paraId="0582D360" w14:textId="6A71D66F" w:rsidR="00143DD0" w:rsidRPr="001D41EA" w:rsidRDefault="00143DD0" w:rsidP="00143DD0">
            <w:pPr>
              <w:spacing w:before="40" w:after="20"/>
              <w:jc w:val="right"/>
              <w:rPr>
                <w:rFonts w:cs="Arial"/>
                <w:sz w:val="18"/>
                <w:szCs w:val="18"/>
              </w:rPr>
            </w:pPr>
            <w:r w:rsidRPr="001D41EA">
              <w:rPr>
                <w:rFonts w:cs="Arial"/>
                <w:sz w:val="18"/>
                <w:szCs w:val="18"/>
              </w:rPr>
              <w:t>20.48</w:t>
            </w:r>
          </w:p>
        </w:tc>
      </w:tr>
      <w:tr w:rsidR="00143DD0" w:rsidRPr="001D41EA" w14:paraId="79925B87"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04970A4" w14:textId="77777777" w:rsidR="00143DD0" w:rsidRPr="001D41EA" w:rsidRDefault="00143DD0" w:rsidP="00143DD0">
            <w:pPr>
              <w:spacing w:before="40" w:after="20"/>
              <w:rPr>
                <w:rFonts w:cs="Arial"/>
                <w:sz w:val="18"/>
                <w:szCs w:val="18"/>
              </w:rPr>
            </w:pPr>
            <w:r w:rsidRPr="001D41EA">
              <w:rPr>
                <w:rFonts w:cs="Arial"/>
                <w:sz w:val="18"/>
                <w:szCs w:val="18"/>
              </w:rPr>
              <w:t>Moira S</w:t>
            </w:r>
          </w:p>
        </w:tc>
        <w:tc>
          <w:tcPr>
            <w:tcW w:w="1418" w:type="dxa"/>
            <w:tcBorders>
              <w:top w:val="nil"/>
              <w:left w:val="single" w:sz="18" w:space="0" w:color="5F497A" w:themeColor="accent4" w:themeShade="BF"/>
              <w:bottom w:val="nil"/>
            </w:tcBorders>
            <w:vAlign w:val="bottom"/>
          </w:tcPr>
          <w:p w14:paraId="2C732CDB" w14:textId="2C3C4BD9" w:rsidR="00143DD0" w:rsidRPr="001D41EA" w:rsidRDefault="00143DD0" w:rsidP="00143DD0">
            <w:pPr>
              <w:spacing w:before="40" w:after="20"/>
              <w:jc w:val="right"/>
              <w:rPr>
                <w:rFonts w:cs="Arial"/>
                <w:sz w:val="18"/>
                <w:szCs w:val="18"/>
              </w:rPr>
            </w:pPr>
            <w:r w:rsidRPr="001D41EA">
              <w:rPr>
                <w:rFonts w:cs="Arial"/>
                <w:sz w:val="18"/>
                <w:szCs w:val="18"/>
              </w:rPr>
              <w:t>495</w:t>
            </w:r>
          </w:p>
        </w:tc>
        <w:tc>
          <w:tcPr>
            <w:tcW w:w="1418" w:type="dxa"/>
            <w:tcBorders>
              <w:top w:val="nil"/>
              <w:left w:val="nil"/>
              <w:bottom w:val="nil"/>
            </w:tcBorders>
            <w:vAlign w:val="bottom"/>
          </w:tcPr>
          <w:p w14:paraId="598C88E7" w14:textId="20369069" w:rsidR="00143DD0" w:rsidRPr="001D41EA" w:rsidRDefault="00143DD0" w:rsidP="00143DD0">
            <w:pPr>
              <w:spacing w:before="40" w:after="20"/>
              <w:jc w:val="center"/>
              <w:rPr>
                <w:rFonts w:cs="Arial"/>
                <w:sz w:val="18"/>
                <w:szCs w:val="18"/>
              </w:rPr>
            </w:pPr>
            <w:r w:rsidRPr="001D41EA">
              <w:rPr>
                <w:rFonts w:cs="Arial"/>
                <w:sz w:val="18"/>
                <w:szCs w:val="18"/>
              </w:rPr>
              <w:t>1.7</w:t>
            </w:r>
          </w:p>
        </w:tc>
        <w:tc>
          <w:tcPr>
            <w:tcW w:w="170" w:type="dxa"/>
            <w:tcBorders>
              <w:top w:val="nil"/>
              <w:left w:val="nil"/>
              <w:bottom w:val="nil"/>
            </w:tcBorders>
            <w:vAlign w:val="bottom"/>
          </w:tcPr>
          <w:p w14:paraId="7F6CDA5C" w14:textId="684ED80B"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0E01F077" w14:textId="5A50A593" w:rsidR="00143DD0" w:rsidRPr="001D41EA" w:rsidRDefault="00143DD0" w:rsidP="00143DD0">
            <w:pPr>
              <w:spacing w:before="40" w:after="20"/>
              <w:jc w:val="center"/>
              <w:rPr>
                <w:rFonts w:cs="Arial"/>
                <w:sz w:val="18"/>
                <w:szCs w:val="18"/>
              </w:rPr>
            </w:pPr>
            <w:r w:rsidRPr="00143DD0">
              <w:rPr>
                <w:rFonts w:cs="Arial"/>
                <w:sz w:val="18"/>
                <w:szCs w:val="18"/>
              </w:rPr>
              <w:t>0.6</w:t>
            </w:r>
          </w:p>
        </w:tc>
        <w:tc>
          <w:tcPr>
            <w:tcW w:w="1418" w:type="dxa"/>
            <w:tcBorders>
              <w:top w:val="nil"/>
              <w:left w:val="nil"/>
              <w:bottom w:val="nil"/>
              <w:right w:val="nil"/>
            </w:tcBorders>
            <w:shd w:val="clear" w:color="auto" w:fill="auto"/>
            <w:vAlign w:val="bottom"/>
          </w:tcPr>
          <w:p w14:paraId="7B72AE37" w14:textId="5F6D3C11" w:rsidR="00143DD0" w:rsidRPr="001D41EA" w:rsidRDefault="00143DD0" w:rsidP="00143DD0">
            <w:pPr>
              <w:spacing w:before="40" w:after="20"/>
              <w:jc w:val="right"/>
              <w:rPr>
                <w:rFonts w:cs="Arial"/>
                <w:sz w:val="18"/>
                <w:szCs w:val="18"/>
              </w:rPr>
            </w:pPr>
            <w:r w:rsidRPr="001D41EA">
              <w:rPr>
                <w:rFonts w:cs="Arial"/>
                <w:sz w:val="18"/>
                <w:szCs w:val="18"/>
              </w:rPr>
              <w:t>24.54</w:t>
            </w:r>
          </w:p>
        </w:tc>
      </w:tr>
      <w:tr w:rsidR="00143DD0" w:rsidRPr="001D41EA" w14:paraId="71599524"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ECE4B71" w14:textId="77777777" w:rsidR="00143DD0" w:rsidRPr="001D41EA" w:rsidRDefault="00143DD0" w:rsidP="00143DD0">
            <w:pPr>
              <w:spacing w:before="40" w:after="20"/>
              <w:rPr>
                <w:rFonts w:cs="Arial"/>
                <w:sz w:val="18"/>
                <w:szCs w:val="18"/>
              </w:rPr>
            </w:pPr>
            <w:r w:rsidRPr="001D41EA">
              <w:rPr>
                <w:rFonts w:cs="Arial"/>
                <w:sz w:val="18"/>
                <w:szCs w:val="18"/>
              </w:rPr>
              <w:t>Monash C</w:t>
            </w:r>
          </w:p>
        </w:tc>
        <w:tc>
          <w:tcPr>
            <w:tcW w:w="1418" w:type="dxa"/>
            <w:tcBorders>
              <w:top w:val="nil"/>
              <w:left w:val="single" w:sz="18" w:space="0" w:color="5F497A" w:themeColor="accent4" w:themeShade="BF"/>
              <w:bottom w:val="nil"/>
            </w:tcBorders>
            <w:vAlign w:val="bottom"/>
          </w:tcPr>
          <w:p w14:paraId="4B312290" w14:textId="7CA653CE" w:rsidR="00143DD0" w:rsidRPr="001D41EA" w:rsidRDefault="00143DD0" w:rsidP="00143DD0">
            <w:pPr>
              <w:spacing w:before="40" w:after="20"/>
              <w:jc w:val="right"/>
              <w:rPr>
                <w:rFonts w:cs="Arial"/>
                <w:sz w:val="18"/>
                <w:szCs w:val="18"/>
              </w:rPr>
            </w:pPr>
            <w:r w:rsidRPr="001D41EA">
              <w:rPr>
                <w:rFonts w:cs="Arial"/>
                <w:sz w:val="18"/>
                <w:szCs w:val="18"/>
              </w:rPr>
              <w:t>414</w:t>
            </w:r>
          </w:p>
        </w:tc>
        <w:tc>
          <w:tcPr>
            <w:tcW w:w="1418" w:type="dxa"/>
            <w:tcBorders>
              <w:top w:val="nil"/>
              <w:left w:val="nil"/>
              <w:bottom w:val="nil"/>
            </w:tcBorders>
            <w:vAlign w:val="bottom"/>
          </w:tcPr>
          <w:p w14:paraId="3707D989" w14:textId="13E9FACD" w:rsidR="00143DD0" w:rsidRPr="001D41EA" w:rsidRDefault="00143DD0" w:rsidP="00143DD0">
            <w:pPr>
              <w:spacing w:before="40" w:after="20"/>
              <w:jc w:val="center"/>
              <w:rPr>
                <w:rFonts w:cs="Arial"/>
                <w:sz w:val="18"/>
                <w:szCs w:val="18"/>
              </w:rPr>
            </w:pPr>
            <w:r w:rsidRPr="001D41EA">
              <w:rPr>
                <w:rFonts w:cs="Arial"/>
                <w:sz w:val="18"/>
                <w:szCs w:val="18"/>
              </w:rPr>
              <w:t>0.2</w:t>
            </w:r>
          </w:p>
        </w:tc>
        <w:tc>
          <w:tcPr>
            <w:tcW w:w="170" w:type="dxa"/>
            <w:tcBorders>
              <w:top w:val="nil"/>
              <w:left w:val="nil"/>
              <w:bottom w:val="nil"/>
            </w:tcBorders>
            <w:vAlign w:val="bottom"/>
          </w:tcPr>
          <w:p w14:paraId="433133D6" w14:textId="124752C8"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519E7521" w14:textId="34866C76" w:rsidR="00143DD0" w:rsidRPr="001D41EA" w:rsidRDefault="00143DD0" w:rsidP="00143DD0">
            <w:pPr>
              <w:spacing w:before="40" w:after="20"/>
              <w:jc w:val="center"/>
              <w:rPr>
                <w:rFonts w:cs="Arial"/>
                <w:sz w:val="18"/>
                <w:szCs w:val="18"/>
              </w:rPr>
            </w:pPr>
            <w:r w:rsidRPr="00143DD0">
              <w:rPr>
                <w:rFonts w:cs="Arial"/>
                <w:sz w:val="18"/>
                <w:szCs w:val="18"/>
              </w:rPr>
              <w:t>7.2</w:t>
            </w:r>
          </w:p>
        </w:tc>
        <w:tc>
          <w:tcPr>
            <w:tcW w:w="1418" w:type="dxa"/>
            <w:tcBorders>
              <w:top w:val="nil"/>
              <w:left w:val="nil"/>
              <w:bottom w:val="nil"/>
              <w:right w:val="nil"/>
            </w:tcBorders>
            <w:shd w:val="clear" w:color="auto" w:fill="auto"/>
            <w:vAlign w:val="bottom"/>
          </w:tcPr>
          <w:p w14:paraId="47004B67" w14:textId="00449546" w:rsidR="00143DD0" w:rsidRPr="001D41EA" w:rsidRDefault="00143DD0" w:rsidP="00143DD0">
            <w:pPr>
              <w:spacing w:before="40" w:after="20"/>
              <w:jc w:val="right"/>
              <w:rPr>
                <w:rFonts w:cs="Arial"/>
                <w:sz w:val="18"/>
                <w:szCs w:val="18"/>
              </w:rPr>
            </w:pPr>
            <w:r w:rsidRPr="001D41EA">
              <w:rPr>
                <w:rFonts w:cs="Arial"/>
                <w:sz w:val="18"/>
                <w:szCs w:val="18"/>
              </w:rPr>
              <w:t> </w:t>
            </w:r>
          </w:p>
        </w:tc>
      </w:tr>
      <w:tr w:rsidR="00143DD0" w:rsidRPr="001D41EA" w14:paraId="00420DD1"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4BB8768" w14:textId="77777777" w:rsidR="00143DD0" w:rsidRPr="001D41EA" w:rsidRDefault="00143DD0" w:rsidP="00143DD0">
            <w:pPr>
              <w:spacing w:before="40" w:after="20"/>
              <w:rPr>
                <w:rFonts w:cs="Arial"/>
                <w:sz w:val="18"/>
                <w:szCs w:val="18"/>
              </w:rPr>
            </w:pPr>
            <w:r w:rsidRPr="001D41EA">
              <w:rPr>
                <w:rFonts w:cs="Arial"/>
                <w:sz w:val="18"/>
                <w:szCs w:val="18"/>
              </w:rPr>
              <w:t>Moonee Valley C</w:t>
            </w:r>
          </w:p>
        </w:tc>
        <w:tc>
          <w:tcPr>
            <w:tcW w:w="1418" w:type="dxa"/>
            <w:tcBorders>
              <w:top w:val="nil"/>
              <w:left w:val="single" w:sz="18" w:space="0" w:color="5F497A" w:themeColor="accent4" w:themeShade="BF"/>
              <w:bottom w:val="nil"/>
            </w:tcBorders>
            <w:vAlign w:val="bottom"/>
          </w:tcPr>
          <w:p w14:paraId="79466809" w14:textId="621F61B7" w:rsidR="00143DD0" w:rsidRPr="001D41EA" w:rsidRDefault="00143DD0" w:rsidP="00143DD0">
            <w:pPr>
              <w:spacing w:before="40" w:after="20"/>
              <w:jc w:val="right"/>
              <w:rPr>
                <w:rFonts w:cs="Arial"/>
                <w:sz w:val="18"/>
                <w:szCs w:val="18"/>
              </w:rPr>
            </w:pPr>
            <w:r w:rsidRPr="001D41EA">
              <w:rPr>
                <w:rFonts w:cs="Arial"/>
                <w:sz w:val="18"/>
                <w:szCs w:val="18"/>
              </w:rPr>
              <w:t>428</w:t>
            </w:r>
          </w:p>
        </w:tc>
        <w:tc>
          <w:tcPr>
            <w:tcW w:w="1418" w:type="dxa"/>
            <w:tcBorders>
              <w:top w:val="nil"/>
              <w:left w:val="nil"/>
              <w:bottom w:val="nil"/>
            </w:tcBorders>
            <w:vAlign w:val="bottom"/>
          </w:tcPr>
          <w:p w14:paraId="1D121782" w14:textId="68F487AA" w:rsidR="00143DD0" w:rsidRPr="001D41EA" w:rsidRDefault="00143DD0" w:rsidP="00143DD0">
            <w:pPr>
              <w:spacing w:before="40" w:after="20"/>
              <w:jc w:val="center"/>
              <w:rPr>
                <w:rFonts w:cs="Arial"/>
                <w:sz w:val="18"/>
                <w:szCs w:val="18"/>
              </w:rPr>
            </w:pPr>
            <w:r w:rsidRPr="001D41EA">
              <w:rPr>
                <w:rFonts w:cs="Arial"/>
                <w:sz w:val="18"/>
                <w:szCs w:val="18"/>
              </w:rPr>
              <w:t>0.4</w:t>
            </w:r>
          </w:p>
        </w:tc>
        <w:tc>
          <w:tcPr>
            <w:tcW w:w="170" w:type="dxa"/>
            <w:tcBorders>
              <w:top w:val="nil"/>
              <w:left w:val="nil"/>
              <w:bottom w:val="nil"/>
            </w:tcBorders>
            <w:vAlign w:val="bottom"/>
          </w:tcPr>
          <w:p w14:paraId="5A1CA1FA" w14:textId="0805795A"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177EE62A" w14:textId="0A7A1F2A" w:rsidR="00143DD0" w:rsidRPr="001D41EA" w:rsidRDefault="00143DD0" w:rsidP="00143DD0">
            <w:pPr>
              <w:spacing w:before="40" w:after="20"/>
              <w:jc w:val="center"/>
              <w:rPr>
                <w:rFonts w:cs="Arial"/>
                <w:sz w:val="18"/>
                <w:szCs w:val="18"/>
              </w:rPr>
            </w:pPr>
            <w:r w:rsidRPr="00143DD0">
              <w:rPr>
                <w:rFonts w:cs="Arial"/>
                <w:sz w:val="18"/>
                <w:szCs w:val="18"/>
              </w:rPr>
              <w:t>3.8</w:t>
            </w:r>
          </w:p>
        </w:tc>
        <w:tc>
          <w:tcPr>
            <w:tcW w:w="1418" w:type="dxa"/>
            <w:tcBorders>
              <w:top w:val="nil"/>
              <w:left w:val="nil"/>
              <w:bottom w:val="nil"/>
              <w:right w:val="nil"/>
            </w:tcBorders>
            <w:shd w:val="clear" w:color="auto" w:fill="auto"/>
            <w:vAlign w:val="bottom"/>
          </w:tcPr>
          <w:p w14:paraId="7A5093C6" w14:textId="723B72F7" w:rsidR="00143DD0" w:rsidRPr="001D41EA" w:rsidRDefault="00143DD0" w:rsidP="00143DD0">
            <w:pPr>
              <w:spacing w:before="40" w:after="20"/>
              <w:jc w:val="right"/>
              <w:rPr>
                <w:rFonts w:cs="Arial"/>
                <w:sz w:val="18"/>
                <w:szCs w:val="18"/>
              </w:rPr>
            </w:pPr>
            <w:r w:rsidRPr="001D41EA">
              <w:rPr>
                <w:rFonts w:cs="Arial"/>
                <w:sz w:val="18"/>
                <w:szCs w:val="18"/>
              </w:rPr>
              <w:t> </w:t>
            </w:r>
          </w:p>
        </w:tc>
      </w:tr>
      <w:tr w:rsidR="00143DD0" w:rsidRPr="001D41EA" w14:paraId="2E5AF83C"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118BA36" w14:textId="77777777" w:rsidR="00143DD0" w:rsidRPr="001D41EA" w:rsidRDefault="00143DD0" w:rsidP="00143DD0">
            <w:pPr>
              <w:spacing w:before="40" w:after="20"/>
              <w:rPr>
                <w:rFonts w:cs="Arial"/>
                <w:sz w:val="18"/>
                <w:szCs w:val="18"/>
              </w:rPr>
            </w:pPr>
            <w:r w:rsidRPr="001D41EA">
              <w:rPr>
                <w:rFonts w:cs="Arial"/>
                <w:sz w:val="18"/>
                <w:szCs w:val="18"/>
              </w:rPr>
              <w:t>Moorabool S</w:t>
            </w:r>
          </w:p>
        </w:tc>
        <w:tc>
          <w:tcPr>
            <w:tcW w:w="1418" w:type="dxa"/>
            <w:tcBorders>
              <w:top w:val="nil"/>
              <w:left w:val="single" w:sz="18" w:space="0" w:color="5F497A" w:themeColor="accent4" w:themeShade="BF"/>
              <w:bottom w:val="nil"/>
            </w:tcBorders>
            <w:vAlign w:val="bottom"/>
          </w:tcPr>
          <w:p w14:paraId="2CAC4E56" w14:textId="6DB674F9" w:rsidR="00143DD0" w:rsidRPr="001D41EA" w:rsidRDefault="00143DD0" w:rsidP="00143DD0">
            <w:pPr>
              <w:spacing w:before="40" w:after="20"/>
              <w:jc w:val="right"/>
              <w:rPr>
                <w:rFonts w:cs="Arial"/>
                <w:sz w:val="18"/>
                <w:szCs w:val="18"/>
              </w:rPr>
            </w:pPr>
            <w:r w:rsidRPr="001D41EA">
              <w:rPr>
                <w:rFonts w:cs="Arial"/>
                <w:sz w:val="18"/>
                <w:szCs w:val="18"/>
              </w:rPr>
              <w:t>371</w:t>
            </w:r>
          </w:p>
        </w:tc>
        <w:tc>
          <w:tcPr>
            <w:tcW w:w="1418" w:type="dxa"/>
            <w:tcBorders>
              <w:top w:val="nil"/>
              <w:left w:val="nil"/>
              <w:bottom w:val="nil"/>
            </w:tcBorders>
            <w:vAlign w:val="bottom"/>
          </w:tcPr>
          <w:p w14:paraId="6945FB3D" w14:textId="0BB26F6B" w:rsidR="00143DD0" w:rsidRPr="001D41EA" w:rsidRDefault="00143DD0" w:rsidP="00143DD0">
            <w:pPr>
              <w:spacing w:before="40" w:after="20"/>
              <w:jc w:val="center"/>
              <w:rPr>
                <w:rFonts w:cs="Arial"/>
                <w:sz w:val="18"/>
                <w:szCs w:val="18"/>
              </w:rPr>
            </w:pPr>
            <w:r w:rsidRPr="001D41EA">
              <w:rPr>
                <w:rFonts w:cs="Arial"/>
                <w:sz w:val="18"/>
                <w:szCs w:val="18"/>
              </w:rPr>
              <w:t>1.2</w:t>
            </w:r>
          </w:p>
        </w:tc>
        <w:tc>
          <w:tcPr>
            <w:tcW w:w="170" w:type="dxa"/>
            <w:tcBorders>
              <w:top w:val="nil"/>
              <w:left w:val="nil"/>
              <w:bottom w:val="nil"/>
            </w:tcBorders>
            <w:vAlign w:val="bottom"/>
          </w:tcPr>
          <w:p w14:paraId="3CC448F3" w14:textId="57691231"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512F5A6F" w14:textId="48A222C9" w:rsidR="00143DD0" w:rsidRPr="001D41EA" w:rsidRDefault="00143DD0" w:rsidP="00143DD0">
            <w:pPr>
              <w:spacing w:before="40" w:after="20"/>
              <w:jc w:val="center"/>
              <w:rPr>
                <w:rFonts w:cs="Arial"/>
                <w:sz w:val="18"/>
                <w:szCs w:val="18"/>
              </w:rPr>
            </w:pPr>
            <w:r w:rsidRPr="00143DD0">
              <w:rPr>
                <w:rFonts w:cs="Arial"/>
                <w:sz w:val="18"/>
                <w:szCs w:val="18"/>
              </w:rPr>
              <w:t>0.4</w:t>
            </w:r>
          </w:p>
        </w:tc>
        <w:tc>
          <w:tcPr>
            <w:tcW w:w="1418" w:type="dxa"/>
            <w:tcBorders>
              <w:top w:val="nil"/>
              <w:left w:val="nil"/>
              <w:bottom w:val="nil"/>
              <w:right w:val="nil"/>
            </w:tcBorders>
            <w:shd w:val="clear" w:color="auto" w:fill="auto"/>
            <w:vAlign w:val="bottom"/>
          </w:tcPr>
          <w:p w14:paraId="20AD2B18" w14:textId="1681069A" w:rsidR="00143DD0" w:rsidRPr="001D41EA" w:rsidRDefault="00143DD0" w:rsidP="00143DD0">
            <w:pPr>
              <w:spacing w:before="40" w:after="20"/>
              <w:jc w:val="right"/>
              <w:rPr>
                <w:rFonts w:cs="Arial"/>
                <w:sz w:val="18"/>
                <w:szCs w:val="18"/>
              </w:rPr>
            </w:pPr>
            <w:r w:rsidRPr="001D41EA">
              <w:rPr>
                <w:rFonts w:cs="Arial"/>
                <w:sz w:val="18"/>
                <w:szCs w:val="18"/>
              </w:rPr>
              <w:t>18.63</w:t>
            </w:r>
          </w:p>
        </w:tc>
      </w:tr>
      <w:tr w:rsidR="00143DD0" w:rsidRPr="001D41EA" w14:paraId="5C42467F"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2F1D855" w14:textId="77777777" w:rsidR="00143DD0" w:rsidRPr="001D41EA" w:rsidRDefault="00143DD0" w:rsidP="00143DD0">
            <w:pPr>
              <w:spacing w:before="40" w:after="20"/>
              <w:rPr>
                <w:rFonts w:cs="Arial"/>
                <w:sz w:val="18"/>
                <w:szCs w:val="18"/>
              </w:rPr>
            </w:pPr>
            <w:r w:rsidRPr="001D41EA">
              <w:rPr>
                <w:rFonts w:cs="Arial"/>
                <w:sz w:val="18"/>
                <w:szCs w:val="18"/>
              </w:rPr>
              <w:t>Moreland C</w:t>
            </w:r>
          </w:p>
        </w:tc>
        <w:tc>
          <w:tcPr>
            <w:tcW w:w="1418" w:type="dxa"/>
            <w:tcBorders>
              <w:top w:val="nil"/>
              <w:left w:val="single" w:sz="18" w:space="0" w:color="5F497A" w:themeColor="accent4" w:themeShade="BF"/>
              <w:bottom w:val="nil"/>
            </w:tcBorders>
            <w:vAlign w:val="bottom"/>
          </w:tcPr>
          <w:p w14:paraId="43051A1B" w14:textId="6EE6F81E" w:rsidR="00143DD0" w:rsidRPr="001D41EA" w:rsidRDefault="00143DD0" w:rsidP="00143DD0">
            <w:pPr>
              <w:spacing w:before="40" w:after="20"/>
              <w:jc w:val="right"/>
              <w:rPr>
                <w:rFonts w:cs="Arial"/>
                <w:sz w:val="18"/>
                <w:szCs w:val="18"/>
              </w:rPr>
            </w:pPr>
            <w:r w:rsidRPr="001D41EA">
              <w:rPr>
                <w:rFonts w:cs="Arial"/>
                <w:sz w:val="18"/>
                <w:szCs w:val="18"/>
              </w:rPr>
              <w:t>810</w:t>
            </w:r>
          </w:p>
        </w:tc>
        <w:tc>
          <w:tcPr>
            <w:tcW w:w="1418" w:type="dxa"/>
            <w:tcBorders>
              <w:top w:val="nil"/>
              <w:left w:val="nil"/>
              <w:bottom w:val="nil"/>
            </w:tcBorders>
            <w:vAlign w:val="bottom"/>
          </w:tcPr>
          <w:p w14:paraId="35C766EF" w14:textId="2DC97D40" w:rsidR="00143DD0" w:rsidRPr="001D41EA" w:rsidRDefault="00143DD0" w:rsidP="00143DD0">
            <w:pPr>
              <w:spacing w:before="40" w:after="20"/>
              <w:jc w:val="center"/>
              <w:rPr>
                <w:rFonts w:cs="Arial"/>
                <w:sz w:val="18"/>
                <w:szCs w:val="18"/>
              </w:rPr>
            </w:pPr>
            <w:r w:rsidRPr="001D41EA">
              <w:rPr>
                <w:rFonts w:cs="Arial"/>
                <w:sz w:val="18"/>
                <w:szCs w:val="18"/>
              </w:rPr>
              <w:t>0.5</w:t>
            </w:r>
          </w:p>
        </w:tc>
        <w:tc>
          <w:tcPr>
            <w:tcW w:w="170" w:type="dxa"/>
            <w:tcBorders>
              <w:top w:val="nil"/>
              <w:left w:val="nil"/>
              <w:bottom w:val="nil"/>
            </w:tcBorders>
            <w:vAlign w:val="bottom"/>
          </w:tcPr>
          <w:p w14:paraId="3DC4B298" w14:textId="25D6DEE3"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3E044DE8" w14:textId="726DFA30" w:rsidR="00143DD0" w:rsidRPr="001D41EA" w:rsidRDefault="00143DD0" w:rsidP="00143DD0">
            <w:pPr>
              <w:spacing w:before="40" w:after="20"/>
              <w:jc w:val="center"/>
              <w:rPr>
                <w:rFonts w:cs="Arial"/>
                <w:sz w:val="18"/>
                <w:szCs w:val="18"/>
              </w:rPr>
            </w:pPr>
            <w:r w:rsidRPr="00143DD0">
              <w:rPr>
                <w:rFonts w:cs="Arial"/>
                <w:sz w:val="18"/>
                <w:szCs w:val="18"/>
              </w:rPr>
              <w:t>5.1</w:t>
            </w:r>
          </w:p>
        </w:tc>
        <w:tc>
          <w:tcPr>
            <w:tcW w:w="1418" w:type="dxa"/>
            <w:tcBorders>
              <w:top w:val="nil"/>
              <w:left w:val="nil"/>
              <w:bottom w:val="nil"/>
              <w:right w:val="nil"/>
            </w:tcBorders>
            <w:shd w:val="clear" w:color="auto" w:fill="auto"/>
            <w:vAlign w:val="bottom"/>
          </w:tcPr>
          <w:p w14:paraId="462D8B35" w14:textId="664C3CEF" w:rsidR="00143DD0" w:rsidRPr="001D41EA" w:rsidRDefault="00143DD0" w:rsidP="00143DD0">
            <w:pPr>
              <w:spacing w:before="40" w:after="20"/>
              <w:jc w:val="right"/>
              <w:rPr>
                <w:rFonts w:cs="Arial"/>
                <w:sz w:val="18"/>
                <w:szCs w:val="18"/>
              </w:rPr>
            </w:pPr>
            <w:r w:rsidRPr="001D41EA">
              <w:rPr>
                <w:rFonts w:cs="Arial"/>
                <w:sz w:val="18"/>
                <w:szCs w:val="18"/>
              </w:rPr>
              <w:t> </w:t>
            </w:r>
          </w:p>
        </w:tc>
      </w:tr>
      <w:tr w:rsidR="00143DD0" w:rsidRPr="001D41EA" w14:paraId="39ABA064"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5975298" w14:textId="77777777" w:rsidR="00143DD0" w:rsidRPr="001D41EA" w:rsidRDefault="00143DD0" w:rsidP="00143DD0">
            <w:pPr>
              <w:spacing w:before="40" w:after="20"/>
              <w:rPr>
                <w:rFonts w:cs="Arial"/>
                <w:sz w:val="18"/>
                <w:szCs w:val="18"/>
              </w:rPr>
            </w:pPr>
            <w:r w:rsidRPr="001D41EA">
              <w:rPr>
                <w:rFonts w:cs="Arial"/>
                <w:sz w:val="18"/>
                <w:szCs w:val="18"/>
              </w:rPr>
              <w:t>Mornington Peninsula S</w:t>
            </w:r>
          </w:p>
        </w:tc>
        <w:tc>
          <w:tcPr>
            <w:tcW w:w="1418" w:type="dxa"/>
            <w:tcBorders>
              <w:top w:val="nil"/>
              <w:left w:val="single" w:sz="18" w:space="0" w:color="5F497A" w:themeColor="accent4" w:themeShade="BF"/>
              <w:bottom w:val="nil"/>
            </w:tcBorders>
            <w:vAlign w:val="bottom"/>
          </w:tcPr>
          <w:p w14:paraId="494896F7" w14:textId="15CA8308" w:rsidR="00143DD0" w:rsidRPr="001D41EA" w:rsidRDefault="00143DD0" w:rsidP="00143DD0">
            <w:pPr>
              <w:spacing w:before="40" w:after="20"/>
              <w:jc w:val="right"/>
              <w:rPr>
                <w:rFonts w:cs="Arial"/>
                <w:sz w:val="18"/>
                <w:szCs w:val="18"/>
              </w:rPr>
            </w:pPr>
            <w:r w:rsidRPr="001D41EA">
              <w:rPr>
                <w:rFonts w:cs="Arial"/>
                <w:sz w:val="18"/>
                <w:szCs w:val="18"/>
              </w:rPr>
              <w:t>1,303</w:t>
            </w:r>
          </w:p>
        </w:tc>
        <w:tc>
          <w:tcPr>
            <w:tcW w:w="1418" w:type="dxa"/>
            <w:tcBorders>
              <w:top w:val="nil"/>
              <w:left w:val="nil"/>
              <w:bottom w:val="nil"/>
            </w:tcBorders>
            <w:vAlign w:val="bottom"/>
          </w:tcPr>
          <w:p w14:paraId="00D4646A" w14:textId="15117418" w:rsidR="00143DD0" w:rsidRPr="001D41EA" w:rsidRDefault="00143DD0" w:rsidP="00143DD0">
            <w:pPr>
              <w:spacing w:before="40" w:after="20"/>
              <w:jc w:val="center"/>
              <w:rPr>
                <w:rFonts w:cs="Arial"/>
                <w:sz w:val="18"/>
                <w:szCs w:val="18"/>
              </w:rPr>
            </w:pPr>
            <w:r w:rsidRPr="001D41EA">
              <w:rPr>
                <w:rFonts w:cs="Arial"/>
                <w:sz w:val="18"/>
                <w:szCs w:val="18"/>
              </w:rPr>
              <w:t>0.8</w:t>
            </w:r>
          </w:p>
        </w:tc>
        <w:tc>
          <w:tcPr>
            <w:tcW w:w="170" w:type="dxa"/>
            <w:tcBorders>
              <w:top w:val="nil"/>
              <w:left w:val="nil"/>
              <w:bottom w:val="nil"/>
            </w:tcBorders>
            <w:vAlign w:val="bottom"/>
          </w:tcPr>
          <w:p w14:paraId="6F1CF273" w14:textId="599F7A4F"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448E0B9B" w14:textId="7D9BBFB4" w:rsidR="00143DD0" w:rsidRPr="001D41EA" w:rsidRDefault="00143DD0" w:rsidP="00143DD0">
            <w:pPr>
              <w:spacing w:before="40" w:after="20"/>
              <w:jc w:val="center"/>
              <w:rPr>
                <w:rFonts w:cs="Arial"/>
                <w:sz w:val="18"/>
                <w:szCs w:val="18"/>
              </w:rPr>
            </w:pPr>
            <w:r w:rsidRPr="00143DD0">
              <w:rPr>
                <w:rFonts w:cs="Arial"/>
                <w:sz w:val="18"/>
                <w:szCs w:val="18"/>
              </w:rPr>
              <w:t>0.5</w:t>
            </w:r>
          </w:p>
        </w:tc>
        <w:tc>
          <w:tcPr>
            <w:tcW w:w="1418" w:type="dxa"/>
            <w:tcBorders>
              <w:top w:val="nil"/>
              <w:left w:val="nil"/>
              <w:bottom w:val="nil"/>
              <w:right w:val="nil"/>
            </w:tcBorders>
            <w:shd w:val="clear" w:color="auto" w:fill="auto"/>
            <w:vAlign w:val="bottom"/>
          </w:tcPr>
          <w:p w14:paraId="186018FF" w14:textId="4048655F" w:rsidR="00143DD0" w:rsidRPr="001D41EA" w:rsidRDefault="00143DD0" w:rsidP="00143DD0">
            <w:pPr>
              <w:spacing w:before="40" w:after="20"/>
              <w:jc w:val="right"/>
              <w:rPr>
                <w:rFonts w:cs="Arial"/>
                <w:sz w:val="18"/>
                <w:szCs w:val="18"/>
              </w:rPr>
            </w:pPr>
            <w:r w:rsidRPr="001D41EA">
              <w:rPr>
                <w:rFonts w:cs="Arial"/>
                <w:sz w:val="18"/>
                <w:szCs w:val="18"/>
              </w:rPr>
              <w:t>7.83</w:t>
            </w:r>
          </w:p>
        </w:tc>
      </w:tr>
      <w:tr w:rsidR="00143DD0" w:rsidRPr="001D41EA" w14:paraId="046F33C3"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834E72F" w14:textId="77777777" w:rsidR="00143DD0" w:rsidRPr="001D41EA" w:rsidRDefault="00143DD0" w:rsidP="00143DD0">
            <w:pPr>
              <w:spacing w:before="40" w:after="20"/>
              <w:rPr>
                <w:rFonts w:cs="Arial"/>
                <w:sz w:val="18"/>
                <w:szCs w:val="18"/>
              </w:rPr>
            </w:pPr>
            <w:r w:rsidRPr="001D41EA">
              <w:rPr>
                <w:rFonts w:cs="Arial"/>
                <w:sz w:val="18"/>
                <w:szCs w:val="18"/>
              </w:rPr>
              <w:t>Mount Alexander S</w:t>
            </w:r>
          </w:p>
        </w:tc>
        <w:tc>
          <w:tcPr>
            <w:tcW w:w="1418" w:type="dxa"/>
            <w:tcBorders>
              <w:top w:val="nil"/>
              <w:left w:val="single" w:sz="18" w:space="0" w:color="5F497A" w:themeColor="accent4" w:themeShade="BF"/>
              <w:bottom w:val="nil"/>
            </w:tcBorders>
            <w:vAlign w:val="bottom"/>
          </w:tcPr>
          <w:p w14:paraId="7095BB28" w14:textId="3465C7F4" w:rsidR="00143DD0" w:rsidRPr="001D41EA" w:rsidRDefault="00143DD0" w:rsidP="00143DD0">
            <w:pPr>
              <w:spacing w:before="40" w:after="20"/>
              <w:jc w:val="right"/>
              <w:rPr>
                <w:rFonts w:cs="Arial"/>
                <w:sz w:val="18"/>
                <w:szCs w:val="18"/>
              </w:rPr>
            </w:pPr>
            <w:r w:rsidRPr="001D41EA">
              <w:rPr>
                <w:rFonts w:cs="Arial"/>
                <w:sz w:val="18"/>
                <w:szCs w:val="18"/>
              </w:rPr>
              <w:t>209</w:t>
            </w:r>
          </w:p>
        </w:tc>
        <w:tc>
          <w:tcPr>
            <w:tcW w:w="1418" w:type="dxa"/>
            <w:tcBorders>
              <w:top w:val="nil"/>
              <w:left w:val="nil"/>
              <w:bottom w:val="nil"/>
            </w:tcBorders>
            <w:vAlign w:val="bottom"/>
          </w:tcPr>
          <w:p w14:paraId="3B39D981" w14:textId="3FB49855" w:rsidR="00143DD0" w:rsidRPr="001D41EA" w:rsidRDefault="00143DD0" w:rsidP="00143DD0">
            <w:pPr>
              <w:spacing w:before="40" w:after="20"/>
              <w:jc w:val="center"/>
              <w:rPr>
                <w:rFonts w:cs="Arial"/>
                <w:sz w:val="18"/>
                <w:szCs w:val="18"/>
              </w:rPr>
            </w:pPr>
            <w:r w:rsidRPr="001D41EA">
              <w:rPr>
                <w:rFonts w:cs="Arial"/>
                <w:sz w:val="18"/>
                <w:szCs w:val="18"/>
              </w:rPr>
              <w:t>1.1</w:t>
            </w:r>
          </w:p>
        </w:tc>
        <w:tc>
          <w:tcPr>
            <w:tcW w:w="170" w:type="dxa"/>
            <w:tcBorders>
              <w:top w:val="nil"/>
              <w:left w:val="nil"/>
              <w:bottom w:val="nil"/>
            </w:tcBorders>
            <w:vAlign w:val="bottom"/>
          </w:tcPr>
          <w:p w14:paraId="3559F9F6" w14:textId="0E44D3AB"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57D732E0" w14:textId="0210C89F" w:rsidR="00143DD0" w:rsidRPr="001D41EA" w:rsidRDefault="00143DD0" w:rsidP="00143DD0">
            <w:pPr>
              <w:spacing w:before="40" w:after="20"/>
              <w:jc w:val="center"/>
              <w:rPr>
                <w:rFonts w:cs="Arial"/>
                <w:sz w:val="18"/>
                <w:szCs w:val="18"/>
              </w:rPr>
            </w:pPr>
            <w:r w:rsidRPr="00143DD0">
              <w:rPr>
                <w:rFonts w:cs="Arial"/>
                <w:sz w:val="18"/>
                <w:szCs w:val="18"/>
              </w:rPr>
              <w:t>0.5</w:t>
            </w:r>
          </w:p>
        </w:tc>
        <w:tc>
          <w:tcPr>
            <w:tcW w:w="1418" w:type="dxa"/>
            <w:tcBorders>
              <w:top w:val="nil"/>
              <w:left w:val="nil"/>
              <w:bottom w:val="nil"/>
              <w:right w:val="nil"/>
            </w:tcBorders>
            <w:shd w:val="clear" w:color="auto" w:fill="auto"/>
            <w:vAlign w:val="bottom"/>
          </w:tcPr>
          <w:p w14:paraId="75C7936A" w14:textId="17E80021" w:rsidR="00143DD0" w:rsidRPr="001D41EA" w:rsidRDefault="00143DD0" w:rsidP="00143DD0">
            <w:pPr>
              <w:spacing w:before="40" w:after="20"/>
              <w:jc w:val="right"/>
              <w:rPr>
                <w:rFonts w:cs="Arial"/>
                <w:sz w:val="18"/>
                <w:szCs w:val="18"/>
              </w:rPr>
            </w:pPr>
            <w:r w:rsidRPr="001D41EA">
              <w:rPr>
                <w:rFonts w:cs="Arial"/>
                <w:sz w:val="18"/>
                <w:szCs w:val="18"/>
              </w:rPr>
              <w:t>6.11</w:t>
            </w:r>
          </w:p>
        </w:tc>
      </w:tr>
      <w:tr w:rsidR="00143DD0" w:rsidRPr="001D41EA" w14:paraId="1D08F92D"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92162D5" w14:textId="77777777" w:rsidR="00143DD0" w:rsidRPr="001D41EA" w:rsidRDefault="00143DD0" w:rsidP="00143DD0">
            <w:pPr>
              <w:spacing w:before="40" w:after="20"/>
              <w:rPr>
                <w:rFonts w:cs="Arial"/>
                <w:sz w:val="18"/>
                <w:szCs w:val="18"/>
              </w:rPr>
            </w:pPr>
            <w:r w:rsidRPr="001D41EA">
              <w:rPr>
                <w:rFonts w:cs="Arial"/>
                <w:sz w:val="18"/>
                <w:szCs w:val="18"/>
              </w:rPr>
              <w:t>Moyne S</w:t>
            </w:r>
          </w:p>
        </w:tc>
        <w:tc>
          <w:tcPr>
            <w:tcW w:w="1418" w:type="dxa"/>
            <w:tcBorders>
              <w:top w:val="nil"/>
              <w:left w:val="single" w:sz="18" w:space="0" w:color="5F497A" w:themeColor="accent4" w:themeShade="BF"/>
              <w:bottom w:val="nil"/>
            </w:tcBorders>
            <w:vAlign w:val="bottom"/>
          </w:tcPr>
          <w:p w14:paraId="50D9588C" w14:textId="3A59B294" w:rsidR="00143DD0" w:rsidRPr="001D41EA" w:rsidRDefault="00143DD0" w:rsidP="00143DD0">
            <w:pPr>
              <w:spacing w:before="40" w:after="20"/>
              <w:jc w:val="right"/>
              <w:rPr>
                <w:rFonts w:cs="Arial"/>
                <w:sz w:val="18"/>
                <w:szCs w:val="18"/>
              </w:rPr>
            </w:pPr>
            <w:r w:rsidRPr="001D41EA">
              <w:rPr>
                <w:rFonts w:cs="Arial"/>
                <w:sz w:val="18"/>
                <w:szCs w:val="18"/>
              </w:rPr>
              <w:t>200</w:t>
            </w:r>
          </w:p>
        </w:tc>
        <w:tc>
          <w:tcPr>
            <w:tcW w:w="1418" w:type="dxa"/>
            <w:tcBorders>
              <w:top w:val="nil"/>
              <w:left w:val="nil"/>
              <w:bottom w:val="nil"/>
            </w:tcBorders>
            <w:vAlign w:val="bottom"/>
          </w:tcPr>
          <w:p w14:paraId="3D26E487" w14:textId="1E24ACC6" w:rsidR="00143DD0" w:rsidRPr="001D41EA" w:rsidRDefault="00143DD0" w:rsidP="00143DD0">
            <w:pPr>
              <w:spacing w:before="40" w:after="20"/>
              <w:jc w:val="center"/>
              <w:rPr>
                <w:rFonts w:cs="Arial"/>
                <w:sz w:val="18"/>
                <w:szCs w:val="18"/>
              </w:rPr>
            </w:pPr>
            <w:r w:rsidRPr="001D41EA">
              <w:rPr>
                <w:rFonts w:cs="Arial"/>
                <w:sz w:val="18"/>
                <w:szCs w:val="18"/>
              </w:rPr>
              <w:t>1.2</w:t>
            </w:r>
          </w:p>
        </w:tc>
        <w:tc>
          <w:tcPr>
            <w:tcW w:w="170" w:type="dxa"/>
            <w:tcBorders>
              <w:top w:val="nil"/>
              <w:left w:val="nil"/>
              <w:bottom w:val="nil"/>
            </w:tcBorders>
            <w:vAlign w:val="bottom"/>
          </w:tcPr>
          <w:p w14:paraId="1819D794" w14:textId="0004F15D"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326FF5A6" w14:textId="1BDB8420" w:rsidR="00143DD0" w:rsidRPr="001D41EA" w:rsidRDefault="00143DD0" w:rsidP="00143DD0">
            <w:pPr>
              <w:spacing w:before="40" w:after="20"/>
              <w:jc w:val="center"/>
              <w:rPr>
                <w:rFonts w:cs="Arial"/>
                <w:sz w:val="18"/>
                <w:szCs w:val="18"/>
              </w:rPr>
            </w:pPr>
            <w:r w:rsidRPr="00143DD0">
              <w:rPr>
                <w:rFonts w:cs="Arial"/>
                <w:sz w:val="18"/>
                <w:szCs w:val="18"/>
              </w:rPr>
              <w:t>0.3</w:t>
            </w:r>
          </w:p>
        </w:tc>
        <w:tc>
          <w:tcPr>
            <w:tcW w:w="1418" w:type="dxa"/>
            <w:tcBorders>
              <w:top w:val="nil"/>
              <w:left w:val="nil"/>
              <w:bottom w:val="nil"/>
              <w:right w:val="nil"/>
            </w:tcBorders>
            <w:shd w:val="clear" w:color="auto" w:fill="auto"/>
            <w:vAlign w:val="bottom"/>
          </w:tcPr>
          <w:p w14:paraId="0C2FB394" w14:textId="60CFCB7E" w:rsidR="00143DD0" w:rsidRPr="001D41EA" w:rsidRDefault="00143DD0" w:rsidP="00143DD0">
            <w:pPr>
              <w:spacing w:before="40" w:after="20"/>
              <w:jc w:val="right"/>
              <w:rPr>
                <w:rFonts w:cs="Arial"/>
                <w:sz w:val="18"/>
                <w:szCs w:val="18"/>
              </w:rPr>
            </w:pPr>
            <w:r w:rsidRPr="001D41EA">
              <w:rPr>
                <w:rFonts w:cs="Arial"/>
                <w:sz w:val="18"/>
                <w:szCs w:val="18"/>
              </w:rPr>
              <w:t>20.65</w:t>
            </w:r>
          </w:p>
        </w:tc>
      </w:tr>
      <w:tr w:rsidR="00143DD0" w:rsidRPr="001D41EA" w14:paraId="52CDDC7B"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C4C06F7" w14:textId="77777777" w:rsidR="00143DD0" w:rsidRPr="001D41EA" w:rsidRDefault="00143DD0" w:rsidP="00143DD0">
            <w:pPr>
              <w:spacing w:before="40" w:after="20"/>
              <w:rPr>
                <w:rFonts w:cs="Arial"/>
                <w:sz w:val="18"/>
                <w:szCs w:val="18"/>
              </w:rPr>
            </w:pPr>
            <w:r w:rsidRPr="001D41EA">
              <w:rPr>
                <w:rFonts w:cs="Arial"/>
                <w:sz w:val="18"/>
                <w:szCs w:val="18"/>
              </w:rPr>
              <w:t>Murrindindi S</w:t>
            </w:r>
          </w:p>
        </w:tc>
        <w:tc>
          <w:tcPr>
            <w:tcW w:w="1418" w:type="dxa"/>
            <w:tcBorders>
              <w:top w:val="nil"/>
              <w:left w:val="single" w:sz="18" w:space="0" w:color="5F497A" w:themeColor="accent4" w:themeShade="BF"/>
              <w:bottom w:val="nil"/>
            </w:tcBorders>
            <w:vAlign w:val="bottom"/>
          </w:tcPr>
          <w:p w14:paraId="0BB426D9" w14:textId="1EBE9DE8" w:rsidR="00143DD0" w:rsidRPr="001D41EA" w:rsidRDefault="00143DD0" w:rsidP="00143DD0">
            <w:pPr>
              <w:spacing w:before="40" w:after="20"/>
              <w:jc w:val="right"/>
              <w:rPr>
                <w:rFonts w:cs="Arial"/>
                <w:sz w:val="18"/>
                <w:szCs w:val="18"/>
              </w:rPr>
            </w:pPr>
            <w:r w:rsidRPr="001D41EA">
              <w:rPr>
                <w:rFonts w:cs="Arial"/>
                <w:sz w:val="18"/>
                <w:szCs w:val="18"/>
              </w:rPr>
              <w:t>183</w:t>
            </w:r>
          </w:p>
        </w:tc>
        <w:tc>
          <w:tcPr>
            <w:tcW w:w="1418" w:type="dxa"/>
            <w:tcBorders>
              <w:top w:val="nil"/>
              <w:left w:val="nil"/>
              <w:bottom w:val="nil"/>
            </w:tcBorders>
            <w:vAlign w:val="bottom"/>
          </w:tcPr>
          <w:p w14:paraId="194302B7" w14:textId="11BC8DCC" w:rsidR="00143DD0" w:rsidRPr="001D41EA" w:rsidRDefault="00143DD0" w:rsidP="00143DD0">
            <w:pPr>
              <w:spacing w:before="40" w:after="20"/>
              <w:jc w:val="center"/>
              <w:rPr>
                <w:rFonts w:cs="Arial"/>
                <w:sz w:val="18"/>
                <w:szCs w:val="18"/>
              </w:rPr>
            </w:pPr>
            <w:r w:rsidRPr="001D41EA">
              <w:rPr>
                <w:rFonts w:cs="Arial"/>
                <w:sz w:val="18"/>
                <w:szCs w:val="18"/>
              </w:rPr>
              <w:t>1.3</w:t>
            </w:r>
          </w:p>
        </w:tc>
        <w:tc>
          <w:tcPr>
            <w:tcW w:w="170" w:type="dxa"/>
            <w:tcBorders>
              <w:top w:val="nil"/>
              <w:left w:val="nil"/>
              <w:bottom w:val="nil"/>
            </w:tcBorders>
            <w:vAlign w:val="bottom"/>
          </w:tcPr>
          <w:p w14:paraId="3ACBDC94" w14:textId="09988DA6"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39D9F926" w14:textId="768A2D4D" w:rsidR="00143DD0" w:rsidRPr="001D41EA" w:rsidRDefault="00143DD0" w:rsidP="00143DD0">
            <w:pPr>
              <w:spacing w:before="40" w:after="20"/>
              <w:jc w:val="center"/>
              <w:rPr>
                <w:rFonts w:cs="Arial"/>
                <w:sz w:val="18"/>
                <w:szCs w:val="18"/>
              </w:rPr>
            </w:pPr>
            <w:r w:rsidRPr="00143DD0">
              <w:rPr>
                <w:rFonts w:cs="Arial"/>
                <w:sz w:val="18"/>
                <w:szCs w:val="18"/>
              </w:rPr>
              <w:t>0.3</w:t>
            </w:r>
          </w:p>
        </w:tc>
        <w:tc>
          <w:tcPr>
            <w:tcW w:w="1418" w:type="dxa"/>
            <w:tcBorders>
              <w:top w:val="nil"/>
              <w:left w:val="nil"/>
              <w:bottom w:val="nil"/>
              <w:right w:val="nil"/>
            </w:tcBorders>
            <w:shd w:val="clear" w:color="auto" w:fill="auto"/>
            <w:vAlign w:val="bottom"/>
          </w:tcPr>
          <w:p w14:paraId="7A380968" w14:textId="6937D2AB" w:rsidR="00143DD0" w:rsidRPr="001D41EA" w:rsidRDefault="00143DD0" w:rsidP="00143DD0">
            <w:pPr>
              <w:spacing w:before="40" w:after="20"/>
              <w:jc w:val="right"/>
              <w:rPr>
                <w:rFonts w:cs="Arial"/>
                <w:sz w:val="18"/>
                <w:szCs w:val="18"/>
              </w:rPr>
            </w:pPr>
            <w:r w:rsidRPr="001D41EA">
              <w:rPr>
                <w:rFonts w:cs="Arial"/>
                <w:sz w:val="18"/>
                <w:szCs w:val="18"/>
              </w:rPr>
              <w:t>26.52</w:t>
            </w:r>
          </w:p>
        </w:tc>
      </w:tr>
      <w:tr w:rsidR="00143DD0" w:rsidRPr="001D41EA" w14:paraId="5DB52AB1"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E9044B5" w14:textId="77777777" w:rsidR="00143DD0" w:rsidRPr="001D41EA" w:rsidRDefault="00143DD0" w:rsidP="00143DD0">
            <w:pPr>
              <w:spacing w:before="40" w:after="20"/>
              <w:rPr>
                <w:rFonts w:cs="Arial"/>
                <w:sz w:val="18"/>
                <w:szCs w:val="18"/>
              </w:rPr>
            </w:pPr>
            <w:r w:rsidRPr="001D41EA">
              <w:rPr>
                <w:rFonts w:cs="Arial"/>
                <w:sz w:val="18"/>
                <w:szCs w:val="18"/>
              </w:rPr>
              <w:t>Nillumbik S</w:t>
            </w:r>
          </w:p>
        </w:tc>
        <w:tc>
          <w:tcPr>
            <w:tcW w:w="1418" w:type="dxa"/>
            <w:tcBorders>
              <w:top w:val="nil"/>
              <w:left w:val="single" w:sz="18" w:space="0" w:color="5F497A" w:themeColor="accent4" w:themeShade="BF"/>
              <w:bottom w:val="nil"/>
            </w:tcBorders>
            <w:vAlign w:val="bottom"/>
          </w:tcPr>
          <w:p w14:paraId="3FA8AE6B" w14:textId="1D99DD4A" w:rsidR="00143DD0" w:rsidRPr="001D41EA" w:rsidRDefault="00143DD0" w:rsidP="00143DD0">
            <w:pPr>
              <w:spacing w:before="40" w:after="20"/>
              <w:jc w:val="right"/>
              <w:rPr>
                <w:rFonts w:cs="Arial"/>
                <w:sz w:val="18"/>
                <w:szCs w:val="18"/>
              </w:rPr>
            </w:pPr>
            <w:r w:rsidRPr="001D41EA">
              <w:rPr>
                <w:rFonts w:cs="Arial"/>
                <w:sz w:val="18"/>
                <w:szCs w:val="18"/>
              </w:rPr>
              <w:t>230</w:t>
            </w:r>
          </w:p>
        </w:tc>
        <w:tc>
          <w:tcPr>
            <w:tcW w:w="1418" w:type="dxa"/>
            <w:tcBorders>
              <w:top w:val="nil"/>
              <w:left w:val="nil"/>
              <w:bottom w:val="nil"/>
            </w:tcBorders>
            <w:vAlign w:val="bottom"/>
          </w:tcPr>
          <w:p w14:paraId="45381078" w14:textId="32CB1A54" w:rsidR="00143DD0" w:rsidRPr="001D41EA" w:rsidRDefault="00143DD0" w:rsidP="00143DD0">
            <w:pPr>
              <w:spacing w:before="40" w:after="20"/>
              <w:jc w:val="center"/>
              <w:rPr>
                <w:rFonts w:cs="Arial"/>
                <w:sz w:val="18"/>
                <w:szCs w:val="18"/>
              </w:rPr>
            </w:pPr>
            <w:r w:rsidRPr="001D41EA">
              <w:rPr>
                <w:rFonts w:cs="Arial"/>
                <w:sz w:val="18"/>
                <w:szCs w:val="18"/>
              </w:rPr>
              <w:t>0.4</w:t>
            </w:r>
          </w:p>
        </w:tc>
        <w:tc>
          <w:tcPr>
            <w:tcW w:w="170" w:type="dxa"/>
            <w:tcBorders>
              <w:top w:val="nil"/>
              <w:left w:val="nil"/>
              <w:bottom w:val="nil"/>
            </w:tcBorders>
            <w:vAlign w:val="bottom"/>
          </w:tcPr>
          <w:p w14:paraId="12DC9E05" w14:textId="34BDD611"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34A6D1CD" w14:textId="4052858B" w:rsidR="00143DD0" w:rsidRPr="001D41EA" w:rsidRDefault="00143DD0" w:rsidP="00143DD0">
            <w:pPr>
              <w:spacing w:before="40" w:after="20"/>
              <w:jc w:val="center"/>
              <w:rPr>
                <w:rFonts w:cs="Arial"/>
                <w:sz w:val="18"/>
                <w:szCs w:val="18"/>
              </w:rPr>
            </w:pPr>
            <w:r w:rsidRPr="00143DD0">
              <w:rPr>
                <w:rFonts w:cs="Arial"/>
                <w:sz w:val="18"/>
                <w:szCs w:val="18"/>
              </w:rPr>
              <w:t>0.6</w:t>
            </w:r>
          </w:p>
        </w:tc>
        <w:tc>
          <w:tcPr>
            <w:tcW w:w="1418" w:type="dxa"/>
            <w:tcBorders>
              <w:top w:val="nil"/>
              <w:left w:val="nil"/>
              <w:bottom w:val="nil"/>
              <w:right w:val="nil"/>
            </w:tcBorders>
            <w:shd w:val="clear" w:color="auto" w:fill="auto"/>
            <w:vAlign w:val="bottom"/>
          </w:tcPr>
          <w:p w14:paraId="7ECB70D9" w14:textId="72D19F40" w:rsidR="00143DD0" w:rsidRPr="001D41EA" w:rsidRDefault="00143DD0" w:rsidP="00143DD0">
            <w:pPr>
              <w:spacing w:before="40" w:after="20"/>
              <w:jc w:val="right"/>
              <w:rPr>
                <w:rFonts w:cs="Arial"/>
                <w:sz w:val="18"/>
                <w:szCs w:val="18"/>
              </w:rPr>
            </w:pPr>
            <w:r w:rsidRPr="001D41EA">
              <w:rPr>
                <w:rFonts w:cs="Arial"/>
                <w:sz w:val="18"/>
                <w:szCs w:val="18"/>
              </w:rPr>
              <w:t>1.07</w:t>
            </w:r>
          </w:p>
        </w:tc>
      </w:tr>
      <w:tr w:rsidR="00143DD0" w:rsidRPr="001D41EA" w14:paraId="729EE6D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A33BDDE" w14:textId="77777777" w:rsidR="00143DD0" w:rsidRPr="001D41EA" w:rsidRDefault="00143DD0" w:rsidP="00143DD0">
            <w:pPr>
              <w:spacing w:before="40" w:after="20"/>
              <w:rPr>
                <w:rFonts w:cs="Arial"/>
                <w:sz w:val="18"/>
                <w:szCs w:val="18"/>
              </w:rPr>
            </w:pPr>
            <w:r w:rsidRPr="001D41EA">
              <w:rPr>
                <w:rFonts w:cs="Arial"/>
                <w:sz w:val="18"/>
                <w:szCs w:val="18"/>
              </w:rPr>
              <w:t>Northern Grampians S</w:t>
            </w:r>
          </w:p>
        </w:tc>
        <w:tc>
          <w:tcPr>
            <w:tcW w:w="1418" w:type="dxa"/>
            <w:tcBorders>
              <w:top w:val="nil"/>
              <w:left w:val="single" w:sz="18" w:space="0" w:color="5F497A" w:themeColor="accent4" w:themeShade="BF"/>
              <w:bottom w:val="nil"/>
            </w:tcBorders>
            <w:vAlign w:val="bottom"/>
          </w:tcPr>
          <w:p w14:paraId="7E07A0E5" w14:textId="6ED75E32" w:rsidR="00143DD0" w:rsidRPr="001D41EA" w:rsidRDefault="00143DD0" w:rsidP="00143DD0">
            <w:pPr>
              <w:spacing w:before="40" w:after="20"/>
              <w:jc w:val="right"/>
              <w:rPr>
                <w:rFonts w:cs="Arial"/>
                <w:sz w:val="18"/>
                <w:szCs w:val="18"/>
              </w:rPr>
            </w:pPr>
            <w:r w:rsidRPr="001D41EA">
              <w:rPr>
                <w:rFonts w:cs="Arial"/>
                <w:sz w:val="18"/>
                <w:szCs w:val="18"/>
              </w:rPr>
              <w:t>165</w:t>
            </w:r>
          </w:p>
        </w:tc>
        <w:tc>
          <w:tcPr>
            <w:tcW w:w="1418" w:type="dxa"/>
            <w:tcBorders>
              <w:top w:val="nil"/>
              <w:left w:val="nil"/>
              <w:bottom w:val="nil"/>
            </w:tcBorders>
            <w:vAlign w:val="bottom"/>
          </w:tcPr>
          <w:p w14:paraId="05B47AB0" w14:textId="57459F6C" w:rsidR="00143DD0" w:rsidRPr="001D41EA" w:rsidRDefault="00143DD0" w:rsidP="00143DD0">
            <w:pPr>
              <w:spacing w:before="40" w:after="20"/>
              <w:jc w:val="center"/>
              <w:rPr>
                <w:rFonts w:cs="Arial"/>
                <w:sz w:val="18"/>
                <w:szCs w:val="18"/>
              </w:rPr>
            </w:pPr>
            <w:r w:rsidRPr="001D41EA">
              <w:rPr>
                <w:rFonts w:cs="Arial"/>
                <w:sz w:val="18"/>
                <w:szCs w:val="18"/>
              </w:rPr>
              <w:t>1.4</w:t>
            </w:r>
          </w:p>
        </w:tc>
        <w:tc>
          <w:tcPr>
            <w:tcW w:w="170" w:type="dxa"/>
            <w:tcBorders>
              <w:top w:val="nil"/>
              <w:left w:val="nil"/>
              <w:bottom w:val="nil"/>
            </w:tcBorders>
            <w:vAlign w:val="bottom"/>
          </w:tcPr>
          <w:p w14:paraId="77D37166" w14:textId="2501C46F"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05B2507E" w14:textId="1D75FFCE" w:rsidR="00143DD0" w:rsidRPr="001D41EA" w:rsidRDefault="00143DD0" w:rsidP="00143DD0">
            <w:pPr>
              <w:spacing w:before="40" w:after="20"/>
              <w:jc w:val="center"/>
              <w:rPr>
                <w:rFonts w:cs="Arial"/>
                <w:sz w:val="18"/>
                <w:szCs w:val="18"/>
              </w:rPr>
            </w:pPr>
            <w:r w:rsidRPr="00143DD0">
              <w:rPr>
                <w:rFonts w:cs="Arial"/>
                <w:sz w:val="18"/>
                <w:szCs w:val="18"/>
              </w:rPr>
              <w:t>0.6</w:t>
            </w:r>
          </w:p>
        </w:tc>
        <w:tc>
          <w:tcPr>
            <w:tcW w:w="1418" w:type="dxa"/>
            <w:tcBorders>
              <w:top w:val="nil"/>
              <w:left w:val="nil"/>
              <w:bottom w:val="nil"/>
              <w:right w:val="nil"/>
            </w:tcBorders>
            <w:shd w:val="clear" w:color="auto" w:fill="auto"/>
            <w:vAlign w:val="bottom"/>
          </w:tcPr>
          <w:p w14:paraId="24C69DC2" w14:textId="69069DF1" w:rsidR="00143DD0" w:rsidRPr="001D41EA" w:rsidRDefault="00143DD0" w:rsidP="00143DD0">
            <w:pPr>
              <w:spacing w:before="40" w:after="20"/>
              <w:jc w:val="right"/>
              <w:rPr>
                <w:rFonts w:cs="Arial"/>
                <w:sz w:val="18"/>
                <w:szCs w:val="18"/>
              </w:rPr>
            </w:pPr>
            <w:r w:rsidRPr="001D41EA">
              <w:rPr>
                <w:rFonts w:cs="Arial"/>
                <w:sz w:val="18"/>
                <w:szCs w:val="18"/>
              </w:rPr>
              <w:t>20.87</w:t>
            </w:r>
          </w:p>
        </w:tc>
      </w:tr>
      <w:tr w:rsidR="00143DD0" w:rsidRPr="001D41EA" w14:paraId="21C347C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50B2F0E" w14:textId="77777777" w:rsidR="00143DD0" w:rsidRPr="001D41EA" w:rsidRDefault="00143DD0" w:rsidP="00143DD0">
            <w:pPr>
              <w:spacing w:before="40" w:after="20"/>
              <w:rPr>
                <w:rFonts w:cs="Arial"/>
                <w:sz w:val="18"/>
                <w:szCs w:val="18"/>
              </w:rPr>
            </w:pPr>
            <w:r w:rsidRPr="001D41EA">
              <w:rPr>
                <w:rFonts w:cs="Arial"/>
                <w:sz w:val="18"/>
                <w:szCs w:val="18"/>
              </w:rPr>
              <w:t>Port Phillip C</w:t>
            </w:r>
          </w:p>
        </w:tc>
        <w:tc>
          <w:tcPr>
            <w:tcW w:w="1418" w:type="dxa"/>
            <w:tcBorders>
              <w:top w:val="nil"/>
              <w:left w:val="single" w:sz="18" w:space="0" w:color="5F497A" w:themeColor="accent4" w:themeShade="BF"/>
              <w:bottom w:val="nil"/>
            </w:tcBorders>
            <w:vAlign w:val="bottom"/>
          </w:tcPr>
          <w:p w14:paraId="291921A6" w14:textId="3DE61B4A" w:rsidR="00143DD0" w:rsidRPr="001D41EA" w:rsidRDefault="00143DD0" w:rsidP="00143DD0">
            <w:pPr>
              <w:spacing w:before="40" w:after="20"/>
              <w:jc w:val="right"/>
              <w:rPr>
                <w:rFonts w:cs="Arial"/>
                <w:sz w:val="18"/>
                <w:szCs w:val="18"/>
              </w:rPr>
            </w:pPr>
            <w:r w:rsidRPr="001D41EA">
              <w:rPr>
                <w:rFonts w:cs="Arial"/>
                <w:sz w:val="18"/>
                <w:szCs w:val="18"/>
              </w:rPr>
              <w:t>398</w:t>
            </w:r>
          </w:p>
        </w:tc>
        <w:tc>
          <w:tcPr>
            <w:tcW w:w="1418" w:type="dxa"/>
            <w:tcBorders>
              <w:top w:val="nil"/>
              <w:left w:val="nil"/>
              <w:bottom w:val="nil"/>
            </w:tcBorders>
            <w:vAlign w:val="bottom"/>
          </w:tcPr>
          <w:p w14:paraId="442CB6EB" w14:textId="3FB1BF93" w:rsidR="00143DD0" w:rsidRPr="001D41EA" w:rsidRDefault="00143DD0" w:rsidP="00143DD0">
            <w:pPr>
              <w:spacing w:before="40" w:after="20"/>
              <w:jc w:val="center"/>
              <w:rPr>
                <w:rFonts w:cs="Arial"/>
                <w:sz w:val="18"/>
                <w:szCs w:val="18"/>
              </w:rPr>
            </w:pPr>
            <w:r w:rsidRPr="001D41EA">
              <w:rPr>
                <w:rFonts w:cs="Arial"/>
                <w:sz w:val="18"/>
                <w:szCs w:val="18"/>
              </w:rPr>
              <w:t>0.4</w:t>
            </w:r>
          </w:p>
        </w:tc>
        <w:tc>
          <w:tcPr>
            <w:tcW w:w="170" w:type="dxa"/>
            <w:tcBorders>
              <w:top w:val="nil"/>
              <w:left w:val="nil"/>
              <w:bottom w:val="nil"/>
            </w:tcBorders>
            <w:vAlign w:val="bottom"/>
          </w:tcPr>
          <w:p w14:paraId="02723881" w14:textId="210F2E24"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72EE6C40" w14:textId="749D4BE8" w:rsidR="00143DD0" w:rsidRPr="001D41EA" w:rsidRDefault="00143DD0" w:rsidP="00143DD0">
            <w:pPr>
              <w:spacing w:before="40" w:after="20"/>
              <w:jc w:val="center"/>
              <w:rPr>
                <w:rFonts w:cs="Arial"/>
                <w:sz w:val="18"/>
                <w:szCs w:val="18"/>
              </w:rPr>
            </w:pPr>
            <w:r w:rsidRPr="00143DD0">
              <w:rPr>
                <w:rFonts w:cs="Arial"/>
                <w:sz w:val="18"/>
                <w:szCs w:val="18"/>
              </w:rPr>
              <w:t>2.1</w:t>
            </w:r>
          </w:p>
        </w:tc>
        <w:tc>
          <w:tcPr>
            <w:tcW w:w="1418" w:type="dxa"/>
            <w:tcBorders>
              <w:top w:val="nil"/>
              <w:left w:val="nil"/>
              <w:bottom w:val="nil"/>
              <w:right w:val="nil"/>
            </w:tcBorders>
            <w:shd w:val="clear" w:color="auto" w:fill="auto"/>
            <w:vAlign w:val="bottom"/>
          </w:tcPr>
          <w:p w14:paraId="3FBBC6B8" w14:textId="1D50E1CF" w:rsidR="00143DD0" w:rsidRPr="001D41EA" w:rsidRDefault="00143DD0" w:rsidP="00143DD0">
            <w:pPr>
              <w:spacing w:before="40" w:after="20"/>
              <w:jc w:val="right"/>
              <w:rPr>
                <w:rFonts w:cs="Arial"/>
                <w:sz w:val="18"/>
                <w:szCs w:val="18"/>
              </w:rPr>
            </w:pPr>
            <w:r w:rsidRPr="001D41EA">
              <w:rPr>
                <w:rFonts w:cs="Arial"/>
                <w:sz w:val="18"/>
                <w:szCs w:val="18"/>
              </w:rPr>
              <w:t> </w:t>
            </w:r>
          </w:p>
        </w:tc>
      </w:tr>
      <w:tr w:rsidR="00143DD0" w:rsidRPr="001D41EA" w14:paraId="63046623"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BA65DD6" w14:textId="77777777" w:rsidR="00143DD0" w:rsidRPr="001D41EA" w:rsidRDefault="00143DD0" w:rsidP="00143DD0">
            <w:pPr>
              <w:spacing w:before="40" w:after="20"/>
              <w:rPr>
                <w:rFonts w:cs="Arial"/>
                <w:sz w:val="18"/>
                <w:szCs w:val="18"/>
              </w:rPr>
            </w:pPr>
            <w:r w:rsidRPr="001D41EA">
              <w:rPr>
                <w:rFonts w:cs="Arial"/>
                <w:sz w:val="18"/>
                <w:szCs w:val="18"/>
              </w:rPr>
              <w:t>Pyrenees S</w:t>
            </w:r>
          </w:p>
        </w:tc>
        <w:tc>
          <w:tcPr>
            <w:tcW w:w="1418" w:type="dxa"/>
            <w:tcBorders>
              <w:top w:val="nil"/>
              <w:left w:val="single" w:sz="18" w:space="0" w:color="5F497A" w:themeColor="accent4" w:themeShade="BF"/>
              <w:bottom w:val="nil"/>
            </w:tcBorders>
            <w:vAlign w:val="bottom"/>
          </w:tcPr>
          <w:p w14:paraId="186AB6D5" w14:textId="42F394FF" w:rsidR="00143DD0" w:rsidRPr="001D41EA" w:rsidRDefault="00143DD0" w:rsidP="00143DD0">
            <w:pPr>
              <w:spacing w:before="40" w:after="20"/>
              <w:jc w:val="right"/>
              <w:rPr>
                <w:rFonts w:cs="Arial"/>
                <w:sz w:val="18"/>
                <w:szCs w:val="18"/>
              </w:rPr>
            </w:pPr>
            <w:r w:rsidRPr="001D41EA">
              <w:rPr>
                <w:rFonts w:cs="Arial"/>
                <w:sz w:val="18"/>
                <w:szCs w:val="18"/>
              </w:rPr>
              <w:t>137</w:t>
            </w:r>
          </w:p>
        </w:tc>
        <w:tc>
          <w:tcPr>
            <w:tcW w:w="1418" w:type="dxa"/>
            <w:tcBorders>
              <w:top w:val="nil"/>
              <w:left w:val="nil"/>
              <w:bottom w:val="nil"/>
            </w:tcBorders>
            <w:vAlign w:val="bottom"/>
          </w:tcPr>
          <w:p w14:paraId="50F4C5EC" w14:textId="15A7C977" w:rsidR="00143DD0" w:rsidRPr="001D41EA" w:rsidRDefault="00143DD0" w:rsidP="00143DD0">
            <w:pPr>
              <w:spacing w:before="40" w:after="20"/>
              <w:jc w:val="center"/>
              <w:rPr>
                <w:rFonts w:cs="Arial"/>
                <w:sz w:val="18"/>
                <w:szCs w:val="18"/>
              </w:rPr>
            </w:pPr>
            <w:r w:rsidRPr="001D41EA">
              <w:rPr>
                <w:rFonts w:cs="Arial"/>
                <w:sz w:val="18"/>
                <w:szCs w:val="18"/>
              </w:rPr>
              <w:t>1.9</w:t>
            </w:r>
          </w:p>
        </w:tc>
        <w:tc>
          <w:tcPr>
            <w:tcW w:w="170" w:type="dxa"/>
            <w:tcBorders>
              <w:top w:val="nil"/>
              <w:left w:val="nil"/>
              <w:bottom w:val="nil"/>
            </w:tcBorders>
            <w:vAlign w:val="bottom"/>
          </w:tcPr>
          <w:p w14:paraId="5959BF95" w14:textId="60E89100"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63179097" w14:textId="38C68E7B" w:rsidR="00143DD0" w:rsidRPr="001D41EA" w:rsidRDefault="00143DD0" w:rsidP="00143DD0">
            <w:pPr>
              <w:spacing w:before="40" w:after="20"/>
              <w:jc w:val="center"/>
              <w:rPr>
                <w:rFonts w:cs="Arial"/>
                <w:sz w:val="18"/>
                <w:szCs w:val="18"/>
              </w:rPr>
            </w:pPr>
            <w:r w:rsidRPr="00143DD0">
              <w:rPr>
                <w:rFonts w:cs="Arial"/>
                <w:sz w:val="18"/>
                <w:szCs w:val="18"/>
              </w:rPr>
              <w:t>0.3</w:t>
            </w:r>
          </w:p>
        </w:tc>
        <w:tc>
          <w:tcPr>
            <w:tcW w:w="1418" w:type="dxa"/>
            <w:tcBorders>
              <w:top w:val="nil"/>
              <w:left w:val="nil"/>
              <w:bottom w:val="nil"/>
              <w:right w:val="nil"/>
            </w:tcBorders>
            <w:shd w:val="clear" w:color="auto" w:fill="auto"/>
            <w:vAlign w:val="bottom"/>
          </w:tcPr>
          <w:p w14:paraId="1A12EC6A" w14:textId="542FA42D" w:rsidR="00143DD0" w:rsidRPr="001D41EA" w:rsidRDefault="00143DD0" w:rsidP="00143DD0">
            <w:pPr>
              <w:spacing w:before="40" w:after="20"/>
              <w:jc w:val="right"/>
              <w:rPr>
                <w:rFonts w:cs="Arial"/>
                <w:sz w:val="18"/>
                <w:szCs w:val="18"/>
              </w:rPr>
            </w:pPr>
            <w:r w:rsidRPr="001D41EA">
              <w:rPr>
                <w:rFonts w:cs="Arial"/>
                <w:sz w:val="18"/>
                <w:szCs w:val="18"/>
              </w:rPr>
              <w:t>18.96</w:t>
            </w:r>
          </w:p>
        </w:tc>
      </w:tr>
      <w:tr w:rsidR="00143DD0" w:rsidRPr="001D41EA" w14:paraId="08105F8C"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ACF3F6E" w14:textId="77777777" w:rsidR="00143DD0" w:rsidRPr="001D41EA" w:rsidRDefault="00143DD0" w:rsidP="00143DD0">
            <w:pPr>
              <w:spacing w:before="40" w:after="20"/>
              <w:rPr>
                <w:rFonts w:cs="Arial"/>
                <w:sz w:val="18"/>
                <w:szCs w:val="18"/>
              </w:rPr>
            </w:pPr>
            <w:r w:rsidRPr="001D41EA">
              <w:rPr>
                <w:rFonts w:cs="Arial"/>
                <w:sz w:val="18"/>
                <w:szCs w:val="18"/>
              </w:rPr>
              <w:t>Queenscliffe B</w:t>
            </w:r>
          </w:p>
        </w:tc>
        <w:tc>
          <w:tcPr>
            <w:tcW w:w="1418" w:type="dxa"/>
            <w:tcBorders>
              <w:top w:val="nil"/>
              <w:left w:val="single" w:sz="18" w:space="0" w:color="5F497A" w:themeColor="accent4" w:themeShade="BF"/>
              <w:bottom w:val="nil"/>
            </w:tcBorders>
            <w:vAlign w:val="bottom"/>
          </w:tcPr>
          <w:p w14:paraId="3BC13C52" w14:textId="42BA310F" w:rsidR="00143DD0" w:rsidRPr="001D41EA" w:rsidRDefault="00143DD0" w:rsidP="00143DD0">
            <w:pPr>
              <w:spacing w:before="40" w:after="20"/>
              <w:jc w:val="right"/>
              <w:rPr>
                <w:rFonts w:cs="Arial"/>
                <w:sz w:val="18"/>
                <w:szCs w:val="18"/>
              </w:rPr>
            </w:pPr>
            <w:r w:rsidRPr="001D41EA">
              <w:rPr>
                <w:rFonts w:cs="Arial"/>
                <w:sz w:val="18"/>
                <w:szCs w:val="18"/>
              </w:rPr>
              <w:t>8</w:t>
            </w:r>
          </w:p>
        </w:tc>
        <w:tc>
          <w:tcPr>
            <w:tcW w:w="1418" w:type="dxa"/>
            <w:tcBorders>
              <w:top w:val="nil"/>
              <w:left w:val="nil"/>
              <w:bottom w:val="nil"/>
            </w:tcBorders>
            <w:vAlign w:val="bottom"/>
          </w:tcPr>
          <w:p w14:paraId="7F33FC10" w14:textId="7BF8D6B3" w:rsidR="00143DD0" w:rsidRPr="001D41EA" w:rsidRDefault="00143DD0" w:rsidP="00143DD0">
            <w:pPr>
              <w:spacing w:before="40" w:after="20"/>
              <w:jc w:val="center"/>
              <w:rPr>
                <w:rFonts w:cs="Arial"/>
                <w:sz w:val="18"/>
                <w:szCs w:val="18"/>
              </w:rPr>
            </w:pPr>
            <w:r w:rsidRPr="001D41EA">
              <w:rPr>
                <w:rFonts w:cs="Arial"/>
                <w:sz w:val="18"/>
                <w:szCs w:val="18"/>
              </w:rPr>
              <w:t>0.3</w:t>
            </w:r>
          </w:p>
        </w:tc>
        <w:tc>
          <w:tcPr>
            <w:tcW w:w="170" w:type="dxa"/>
            <w:tcBorders>
              <w:top w:val="nil"/>
              <w:left w:val="nil"/>
              <w:bottom w:val="nil"/>
            </w:tcBorders>
            <w:vAlign w:val="bottom"/>
          </w:tcPr>
          <w:p w14:paraId="0859EFB2" w14:textId="14519175"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7D4D3921" w14:textId="346E48EF" w:rsidR="00143DD0" w:rsidRPr="001D41EA" w:rsidRDefault="00143DD0" w:rsidP="00143DD0">
            <w:pPr>
              <w:spacing w:before="40" w:after="20"/>
              <w:jc w:val="center"/>
              <w:rPr>
                <w:rFonts w:cs="Arial"/>
                <w:sz w:val="18"/>
                <w:szCs w:val="18"/>
              </w:rPr>
            </w:pPr>
            <w:r w:rsidRPr="00143DD0">
              <w:rPr>
                <w:rFonts w:cs="Arial"/>
                <w:sz w:val="18"/>
                <w:szCs w:val="18"/>
              </w:rPr>
              <w:t>0.6</w:t>
            </w:r>
          </w:p>
        </w:tc>
        <w:tc>
          <w:tcPr>
            <w:tcW w:w="1418" w:type="dxa"/>
            <w:tcBorders>
              <w:top w:val="nil"/>
              <w:left w:val="nil"/>
              <w:bottom w:val="nil"/>
              <w:right w:val="nil"/>
            </w:tcBorders>
            <w:shd w:val="clear" w:color="auto" w:fill="auto"/>
            <w:vAlign w:val="bottom"/>
          </w:tcPr>
          <w:p w14:paraId="1695B368" w14:textId="4EF6209C" w:rsidR="00143DD0" w:rsidRPr="001D41EA" w:rsidRDefault="00143DD0" w:rsidP="00143DD0">
            <w:pPr>
              <w:spacing w:before="40" w:after="20"/>
              <w:jc w:val="right"/>
              <w:rPr>
                <w:rFonts w:cs="Arial"/>
                <w:sz w:val="18"/>
                <w:szCs w:val="18"/>
              </w:rPr>
            </w:pPr>
            <w:r w:rsidRPr="001D41EA">
              <w:rPr>
                <w:rFonts w:cs="Arial"/>
                <w:sz w:val="18"/>
                <w:szCs w:val="18"/>
              </w:rPr>
              <w:t> </w:t>
            </w:r>
          </w:p>
        </w:tc>
      </w:tr>
      <w:tr w:rsidR="00143DD0" w:rsidRPr="001D41EA" w14:paraId="1629C481"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72E2B43" w14:textId="77777777" w:rsidR="00143DD0" w:rsidRPr="001D41EA" w:rsidRDefault="00143DD0" w:rsidP="00143DD0">
            <w:pPr>
              <w:spacing w:before="40" w:after="20"/>
              <w:rPr>
                <w:rFonts w:cs="Arial"/>
                <w:sz w:val="18"/>
                <w:szCs w:val="18"/>
              </w:rPr>
            </w:pPr>
            <w:r w:rsidRPr="001D41EA">
              <w:rPr>
                <w:rFonts w:cs="Arial"/>
                <w:sz w:val="18"/>
                <w:szCs w:val="18"/>
              </w:rPr>
              <w:t>South Gippsland S</w:t>
            </w:r>
          </w:p>
        </w:tc>
        <w:tc>
          <w:tcPr>
            <w:tcW w:w="1418" w:type="dxa"/>
            <w:tcBorders>
              <w:top w:val="nil"/>
              <w:left w:val="single" w:sz="18" w:space="0" w:color="5F497A" w:themeColor="accent4" w:themeShade="BF"/>
              <w:bottom w:val="nil"/>
            </w:tcBorders>
            <w:vAlign w:val="bottom"/>
          </w:tcPr>
          <w:p w14:paraId="413EAC64" w14:textId="534DEE24" w:rsidR="00143DD0" w:rsidRPr="001D41EA" w:rsidRDefault="00143DD0" w:rsidP="00143DD0">
            <w:pPr>
              <w:spacing w:before="40" w:after="20"/>
              <w:jc w:val="right"/>
              <w:rPr>
                <w:rFonts w:cs="Arial"/>
                <w:sz w:val="18"/>
                <w:szCs w:val="18"/>
              </w:rPr>
            </w:pPr>
            <w:r w:rsidRPr="001D41EA">
              <w:rPr>
                <w:rFonts w:cs="Arial"/>
                <w:sz w:val="18"/>
                <w:szCs w:val="18"/>
              </w:rPr>
              <w:t>278</w:t>
            </w:r>
          </w:p>
        </w:tc>
        <w:tc>
          <w:tcPr>
            <w:tcW w:w="1418" w:type="dxa"/>
            <w:tcBorders>
              <w:top w:val="nil"/>
              <w:left w:val="nil"/>
              <w:bottom w:val="nil"/>
            </w:tcBorders>
            <w:vAlign w:val="bottom"/>
          </w:tcPr>
          <w:p w14:paraId="1C684655" w14:textId="6FB5C360" w:rsidR="00143DD0" w:rsidRPr="001D41EA" w:rsidRDefault="00143DD0" w:rsidP="00143DD0">
            <w:pPr>
              <w:spacing w:before="40" w:after="20"/>
              <w:jc w:val="center"/>
              <w:rPr>
                <w:rFonts w:cs="Arial"/>
                <w:sz w:val="18"/>
                <w:szCs w:val="18"/>
              </w:rPr>
            </w:pPr>
            <w:r w:rsidRPr="001D41EA">
              <w:rPr>
                <w:rFonts w:cs="Arial"/>
                <w:sz w:val="18"/>
                <w:szCs w:val="18"/>
              </w:rPr>
              <w:t>1.0</w:t>
            </w:r>
          </w:p>
        </w:tc>
        <w:tc>
          <w:tcPr>
            <w:tcW w:w="170" w:type="dxa"/>
            <w:tcBorders>
              <w:top w:val="nil"/>
              <w:left w:val="nil"/>
              <w:bottom w:val="nil"/>
            </w:tcBorders>
            <w:vAlign w:val="bottom"/>
          </w:tcPr>
          <w:p w14:paraId="675EE1B9" w14:textId="2B153416"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3E0674E9" w14:textId="013F0769" w:rsidR="00143DD0" w:rsidRPr="001D41EA" w:rsidRDefault="00143DD0" w:rsidP="00143DD0">
            <w:pPr>
              <w:spacing w:before="40" w:after="20"/>
              <w:jc w:val="center"/>
              <w:rPr>
                <w:rFonts w:cs="Arial"/>
                <w:sz w:val="18"/>
                <w:szCs w:val="18"/>
              </w:rPr>
            </w:pPr>
            <w:r w:rsidRPr="00143DD0">
              <w:rPr>
                <w:rFonts w:cs="Arial"/>
                <w:sz w:val="18"/>
                <w:szCs w:val="18"/>
              </w:rPr>
              <w:t>0.4</w:t>
            </w:r>
          </w:p>
        </w:tc>
        <w:tc>
          <w:tcPr>
            <w:tcW w:w="1418" w:type="dxa"/>
            <w:tcBorders>
              <w:top w:val="nil"/>
              <w:left w:val="nil"/>
              <w:bottom w:val="nil"/>
              <w:right w:val="nil"/>
            </w:tcBorders>
            <w:shd w:val="clear" w:color="auto" w:fill="auto"/>
            <w:vAlign w:val="bottom"/>
          </w:tcPr>
          <w:p w14:paraId="18BFEE68" w14:textId="184DB333" w:rsidR="00143DD0" w:rsidRPr="001D41EA" w:rsidRDefault="00143DD0" w:rsidP="00143DD0">
            <w:pPr>
              <w:spacing w:before="40" w:after="20"/>
              <w:jc w:val="right"/>
              <w:rPr>
                <w:rFonts w:cs="Arial"/>
                <w:sz w:val="18"/>
                <w:szCs w:val="18"/>
              </w:rPr>
            </w:pPr>
            <w:r w:rsidRPr="001D41EA">
              <w:rPr>
                <w:rFonts w:cs="Arial"/>
                <w:sz w:val="18"/>
                <w:szCs w:val="18"/>
              </w:rPr>
              <w:t>16.84</w:t>
            </w:r>
          </w:p>
        </w:tc>
      </w:tr>
      <w:tr w:rsidR="00143DD0" w:rsidRPr="001D41EA" w14:paraId="46AB847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B644F98" w14:textId="77777777" w:rsidR="00143DD0" w:rsidRPr="001D41EA" w:rsidRDefault="00143DD0" w:rsidP="00143DD0">
            <w:pPr>
              <w:spacing w:before="40" w:after="20"/>
              <w:rPr>
                <w:rFonts w:cs="Arial"/>
                <w:sz w:val="18"/>
                <w:szCs w:val="18"/>
              </w:rPr>
            </w:pPr>
            <w:r w:rsidRPr="001D41EA">
              <w:rPr>
                <w:rFonts w:cs="Arial"/>
                <w:sz w:val="18"/>
                <w:szCs w:val="18"/>
              </w:rPr>
              <w:t>Southern Grampians S</w:t>
            </w:r>
          </w:p>
        </w:tc>
        <w:tc>
          <w:tcPr>
            <w:tcW w:w="1418" w:type="dxa"/>
            <w:tcBorders>
              <w:top w:val="nil"/>
              <w:left w:val="single" w:sz="18" w:space="0" w:color="5F497A" w:themeColor="accent4" w:themeShade="BF"/>
              <w:bottom w:val="nil"/>
            </w:tcBorders>
            <w:vAlign w:val="bottom"/>
          </w:tcPr>
          <w:p w14:paraId="324E660B" w14:textId="77E057A8" w:rsidR="00143DD0" w:rsidRPr="001D41EA" w:rsidRDefault="00143DD0" w:rsidP="00143DD0">
            <w:pPr>
              <w:spacing w:before="40" w:after="20"/>
              <w:jc w:val="right"/>
              <w:rPr>
                <w:rFonts w:cs="Arial"/>
                <w:sz w:val="18"/>
                <w:szCs w:val="18"/>
              </w:rPr>
            </w:pPr>
            <w:r w:rsidRPr="001D41EA">
              <w:rPr>
                <w:rFonts w:cs="Arial"/>
                <w:sz w:val="18"/>
                <w:szCs w:val="18"/>
              </w:rPr>
              <w:t>237</w:t>
            </w:r>
          </w:p>
        </w:tc>
        <w:tc>
          <w:tcPr>
            <w:tcW w:w="1418" w:type="dxa"/>
            <w:tcBorders>
              <w:top w:val="nil"/>
              <w:left w:val="nil"/>
              <w:bottom w:val="nil"/>
            </w:tcBorders>
            <w:vAlign w:val="bottom"/>
          </w:tcPr>
          <w:p w14:paraId="04AD7616" w14:textId="748FC7B5" w:rsidR="00143DD0" w:rsidRPr="001D41EA" w:rsidRDefault="00143DD0" w:rsidP="00143DD0">
            <w:pPr>
              <w:spacing w:before="40" w:after="20"/>
              <w:jc w:val="center"/>
              <w:rPr>
                <w:rFonts w:cs="Arial"/>
                <w:sz w:val="18"/>
                <w:szCs w:val="18"/>
              </w:rPr>
            </w:pPr>
            <w:r w:rsidRPr="001D41EA">
              <w:rPr>
                <w:rFonts w:cs="Arial"/>
                <w:sz w:val="18"/>
                <w:szCs w:val="18"/>
              </w:rPr>
              <w:t>1.5</w:t>
            </w:r>
          </w:p>
        </w:tc>
        <w:tc>
          <w:tcPr>
            <w:tcW w:w="170" w:type="dxa"/>
            <w:tcBorders>
              <w:top w:val="nil"/>
              <w:left w:val="nil"/>
              <w:bottom w:val="nil"/>
            </w:tcBorders>
            <w:vAlign w:val="bottom"/>
          </w:tcPr>
          <w:p w14:paraId="0D97E56A" w14:textId="4AED5860"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1748C88F" w14:textId="68249CBC" w:rsidR="00143DD0" w:rsidRPr="001D41EA" w:rsidRDefault="00143DD0" w:rsidP="00143DD0">
            <w:pPr>
              <w:spacing w:before="40" w:after="20"/>
              <w:jc w:val="center"/>
              <w:rPr>
                <w:rFonts w:cs="Arial"/>
                <w:sz w:val="18"/>
                <w:szCs w:val="18"/>
              </w:rPr>
            </w:pPr>
            <w:r w:rsidRPr="00143DD0">
              <w:rPr>
                <w:rFonts w:cs="Arial"/>
                <w:sz w:val="18"/>
                <w:szCs w:val="18"/>
              </w:rPr>
              <w:t>0.3</w:t>
            </w:r>
          </w:p>
        </w:tc>
        <w:tc>
          <w:tcPr>
            <w:tcW w:w="1418" w:type="dxa"/>
            <w:tcBorders>
              <w:top w:val="nil"/>
              <w:left w:val="nil"/>
              <w:bottom w:val="nil"/>
              <w:right w:val="nil"/>
            </w:tcBorders>
            <w:shd w:val="clear" w:color="auto" w:fill="auto"/>
            <w:vAlign w:val="bottom"/>
          </w:tcPr>
          <w:p w14:paraId="5E42E080" w14:textId="33CBB339" w:rsidR="00143DD0" w:rsidRPr="001D41EA" w:rsidRDefault="00143DD0" w:rsidP="00143DD0">
            <w:pPr>
              <w:spacing w:before="40" w:after="20"/>
              <w:jc w:val="right"/>
              <w:rPr>
                <w:rFonts w:cs="Arial"/>
                <w:sz w:val="18"/>
                <w:szCs w:val="18"/>
              </w:rPr>
            </w:pPr>
            <w:r w:rsidRPr="001D41EA">
              <w:rPr>
                <w:rFonts w:cs="Arial"/>
                <w:sz w:val="18"/>
                <w:szCs w:val="18"/>
              </w:rPr>
              <w:t>11.27</w:t>
            </w:r>
          </w:p>
        </w:tc>
      </w:tr>
      <w:tr w:rsidR="00143DD0" w:rsidRPr="001D41EA" w14:paraId="1CF533E9"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D0492C8" w14:textId="77777777" w:rsidR="00143DD0" w:rsidRPr="001D41EA" w:rsidRDefault="00143DD0" w:rsidP="00143DD0">
            <w:pPr>
              <w:spacing w:before="40" w:after="20"/>
              <w:rPr>
                <w:rFonts w:cs="Arial"/>
                <w:sz w:val="18"/>
                <w:szCs w:val="18"/>
              </w:rPr>
            </w:pPr>
            <w:r w:rsidRPr="001D41EA">
              <w:rPr>
                <w:rFonts w:cs="Arial"/>
                <w:sz w:val="18"/>
                <w:szCs w:val="18"/>
              </w:rPr>
              <w:t>Stonnington C</w:t>
            </w:r>
          </w:p>
        </w:tc>
        <w:tc>
          <w:tcPr>
            <w:tcW w:w="1418" w:type="dxa"/>
            <w:tcBorders>
              <w:top w:val="nil"/>
              <w:left w:val="single" w:sz="18" w:space="0" w:color="5F497A" w:themeColor="accent4" w:themeShade="BF"/>
              <w:bottom w:val="nil"/>
            </w:tcBorders>
            <w:vAlign w:val="bottom"/>
          </w:tcPr>
          <w:p w14:paraId="737FD12E" w14:textId="28A771FE" w:rsidR="00143DD0" w:rsidRPr="001D41EA" w:rsidRDefault="00143DD0" w:rsidP="00143DD0">
            <w:pPr>
              <w:spacing w:before="40" w:after="20"/>
              <w:jc w:val="right"/>
              <w:rPr>
                <w:rFonts w:cs="Arial"/>
                <w:sz w:val="18"/>
                <w:szCs w:val="18"/>
              </w:rPr>
            </w:pPr>
            <w:r w:rsidRPr="001D41EA">
              <w:rPr>
                <w:rFonts w:cs="Arial"/>
                <w:sz w:val="18"/>
                <w:szCs w:val="18"/>
              </w:rPr>
              <w:t>306</w:t>
            </w:r>
          </w:p>
        </w:tc>
        <w:tc>
          <w:tcPr>
            <w:tcW w:w="1418" w:type="dxa"/>
            <w:tcBorders>
              <w:top w:val="nil"/>
              <w:left w:val="nil"/>
              <w:bottom w:val="nil"/>
            </w:tcBorders>
            <w:vAlign w:val="bottom"/>
          </w:tcPr>
          <w:p w14:paraId="0988B957" w14:textId="3ACCE069" w:rsidR="00143DD0" w:rsidRPr="001D41EA" w:rsidRDefault="00143DD0" w:rsidP="00143DD0">
            <w:pPr>
              <w:spacing w:before="40" w:after="20"/>
              <w:jc w:val="center"/>
              <w:rPr>
                <w:rFonts w:cs="Arial"/>
                <w:sz w:val="18"/>
                <w:szCs w:val="18"/>
              </w:rPr>
            </w:pPr>
            <w:r w:rsidRPr="001D41EA">
              <w:rPr>
                <w:rFonts w:cs="Arial"/>
                <w:sz w:val="18"/>
                <w:szCs w:val="18"/>
              </w:rPr>
              <w:t>0.3</w:t>
            </w:r>
          </w:p>
        </w:tc>
        <w:tc>
          <w:tcPr>
            <w:tcW w:w="170" w:type="dxa"/>
            <w:tcBorders>
              <w:top w:val="nil"/>
              <w:left w:val="nil"/>
              <w:bottom w:val="nil"/>
            </w:tcBorders>
            <w:vAlign w:val="bottom"/>
          </w:tcPr>
          <w:p w14:paraId="5D3AFA2C" w14:textId="60C9EC64"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3A9C5356" w14:textId="43C14C9B" w:rsidR="00143DD0" w:rsidRPr="001D41EA" w:rsidRDefault="00143DD0" w:rsidP="00143DD0">
            <w:pPr>
              <w:spacing w:before="40" w:after="20"/>
              <w:jc w:val="center"/>
              <w:rPr>
                <w:rFonts w:cs="Arial"/>
                <w:sz w:val="18"/>
                <w:szCs w:val="18"/>
              </w:rPr>
            </w:pPr>
            <w:r w:rsidRPr="00143DD0">
              <w:rPr>
                <w:rFonts w:cs="Arial"/>
                <w:sz w:val="18"/>
                <w:szCs w:val="18"/>
              </w:rPr>
              <w:t>2.7</w:t>
            </w:r>
          </w:p>
        </w:tc>
        <w:tc>
          <w:tcPr>
            <w:tcW w:w="1418" w:type="dxa"/>
            <w:tcBorders>
              <w:top w:val="nil"/>
              <w:left w:val="nil"/>
              <w:bottom w:val="nil"/>
              <w:right w:val="nil"/>
            </w:tcBorders>
            <w:shd w:val="clear" w:color="auto" w:fill="auto"/>
            <w:vAlign w:val="bottom"/>
          </w:tcPr>
          <w:p w14:paraId="1A35CC8E" w14:textId="3ED0C9BB" w:rsidR="00143DD0" w:rsidRPr="001D41EA" w:rsidRDefault="00143DD0" w:rsidP="00143DD0">
            <w:pPr>
              <w:spacing w:before="40" w:after="20"/>
              <w:jc w:val="right"/>
              <w:rPr>
                <w:rFonts w:cs="Arial"/>
                <w:sz w:val="18"/>
                <w:szCs w:val="18"/>
              </w:rPr>
            </w:pPr>
            <w:r w:rsidRPr="001D41EA">
              <w:rPr>
                <w:rFonts w:cs="Arial"/>
                <w:sz w:val="18"/>
                <w:szCs w:val="18"/>
              </w:rPr>
              <w:t> </w:t>
            </w:r>
          </w:p>
        </w:tc>
      </w:tr>
      <w:tr w:rsidR="00143DD0" w:rsidRPr="001D41EA" w14:paraId="56BC111D"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5D540B3" w14:textId="77777777" w:rsidR="00143DD0" w:rsidRPr="001D41EA" w:rsidRDefault="00143DD0" w:rsidP="00143DD0">
            <w:pPr>
              <w:spacing w:before="40" w:after="20"/>
              <w:rPr>
                <w:rFonts w:cs="Arial"/>
                <w:sz w:val="18"/>
                <w:szCs w:val="18"/>
              </w:rPr>
            </w:pPr>
            <w:r w:rsidRPr="001D41EA">
              <w:rPr>
                <w:rFonts w:cs="Arial"/>
                <w:sz w:val="18"/>
                <w:szCs w:val="18"/>
              </w:rPr>
              <w:t>Strathbogie S</w:t>
            </w:r>
          </w:p>
        </w:tc>
        <w:tc>
          <w:tcPr>
            <w:tcW w:w="1418" w:type="dxa"/>
            <w:tcBorders>
              <w:top w:val="nil"/>
              <w:left w:val="single" w:sz="18" w:space="0" w:color="5F497A" w:themeColor="accent4" w:themeShade="BF"/>
              <w:bottom w:val="nil"/>
            </w:tcBorders>
            <w:vAlign w:val="bottom"/>
          </w:tcPr>
          <w:p w14:paraId="611FB857" w14:textId="6AD7CF91" w:rsidR="00143DD0" w:rsidRPr="001D41EA" w:rsidRDefault="00143DD0" w:rsidP="00143DD0">
            <w:pPr>
              <w:spacing w:before="40" w:after="20"/>
              <w:jc w:val="right"/>
              <w:rPr>
                <w:rFonts w:cs="Arial"/>
                <w:sz w:val="18"/>
                <w:szCs w:val="18"/>
              </w:rPr>
            </w:pPr>
            <w:r w:rsidRPr="001D41EA">
              <w:rPr>
                <w:rFonts w:cs="Arial"/>
                <w:sz w:val="18"/>
                <w:szCs w:val="18"/>
              </w:rPr>
              <w:t>116</w:t>
            </w:r>
          </w:p>
        </w:tc>
        <w:tc>
          <w:tcPr>
            <w:tcW w:w="1418" w:type="dxa"/>
            <w:tcBorders>
              <w:top w:val="nil"/>
              <w:left w:val="nil"/>
              <w:bottom w:val="nil"/>
            </w:tcBorders>
            <w:vAlign w:val="bottom"/>
          </w:tcPr>
          <w:p w14:paraId="18EFCCFB" w14:textId="7442D633" w:rsidR="00143DD0" w:rsidRPr="001D41EA" w:rsidRDefault="00143DD0" w:rsidP="00143DD0">
            <w:pPr>
              <w:spacing w:before="40" w:after="20"/>
              <w:jc w:val="center"/>
              <w:rPr>
                <w:rFonts w:cs="Arial"/>
                <w:sz w:val="18"/>
                <w:szCs w:val="18"/>
              </w:rPr>
            </w:pPr>
            <w:r w:rsidRPr="001D41EA">
              <w:rPr>
                <w:rFonts w:cs="Arial"/>
                <w:sz w:val="18"/>
                <w:szCs w:val="18"/>
              </w:rPr>
              <w:t>1.1</w:t>
            </w:r>
          </w:p>
        </w:tc>
        <w:tc>
          <w:tcPr>
            <w:tcW w:w="170" w:type="dxa"/>
            <w:tcBorders>
              <w:top w:val="nil"/>
              <w:left w:val="nil"/>
              <w:bottom w:val="nil"/>
            </w:tcBorders>
            <w:vAlign w:val="bottom"/>
          </w:tcPr>
          <w:p w14:paraId="429777D3" w14:textId="43204B5A"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47DCADCC" w14:textId="6DCCF610" w:rsidR="00143DD0" w:rsidRPr="001D41EA" w:rsidRDefault="00143DD0" w:rsidP="00143DD0">
            <w:pPr>
              <w:spacing w:before="40" w:after="20"/>
              <w:jc w:val="center"/>
              <w:rPr>
                <w:rFonts w:cs="Arial"/>
                <w:sz w:val="18"/>
                <w:szCs w:val="18"/>
              </w:rPr>
            </w:pPr>
            <w:r w:rsidRPr="00143DD0">
              <w:rPr>
                <w:rFonts w:cs="Arial"/>
                <w:sz w:val="18"/>
                <w:szCs w:val="18"/>
              </w:rPr>
              <w:t>0.4</w:t>
            </w:r>
          </w:p>
        </w:tc>
        <w:tc>
          <w:tcPr>
            <w:tcW w:w="1418" w:type="dxa"/>
            <w:tcBorders>
              <w:top w:val="nil"/>
              <w:left w:val="nil"/>
              <w:bottom w:val="nil"/>
              <w:right w:val="nil"/>
            </w:tcBorders>
            <w:shd w:val="clear" w:color="auto" w:fill="auto"/>
            <w:vAlign w:val="bottom"/>
          </w:tcPr>
          <w:p w14:paraId="78044445" w14:textId="5DDCF2AE" w:rsidR="00143DD0" w:rsidRPr="001D41EA" w:rsidRDefault="00143DD0" w:rsidP="00143DD0">
            <w:pPr>
              <w:spacing w:before="40" w:after="20"/>
              <w:jc w:val="right"/>
              <w:rPr>
                <w:rFonts w:cs="Arial"/>
                <w:sz w:val="18"/>
                <w:szCs w:val="18"/>
              </w:rPr>
            </w:pPr>
            <w:r w:rsidRPr="001D41EA">
              <w:rPr>
                <w:rFonts w:cs="Arial"/>
                <w:sz w:val="18"/>
                <w:szCs w:val="18"/>
              </w:rPr>
              <w:t>19.18</w:t>
            </w:r>
          </w:p>
        </w:tc>
      </w:tr>
      <w:tr w:rsidR="00143DD0" w:rsidRPr="001D41EA" w14:paraId="0832D53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7E95DBB" w14:textId="77777777" w:rsidR="00143DD0" w:rsidRPr="001D41EA" w:rsidRDefault="00143DD0" w:rsidP="00143DD0">
            <w:pPr>
              <w:spacing w:before="40" w:after="20"/>
              <w:rPr>
                <w:rFonts w:cs="Arial"/>
                <w:sz w:val="18"/>
                <w:szCs w:val="18"/>
              </w:rPr>
            </w:pPr>
            <w:r w:rsidRPr="001D41EA">
              <w:rPr>
                <w:rFonts w:cs="Arial"/>
                <w:sz w:val="18"/>
                <w:szCs w:val="18"/>
              </w:rPr>
              <w:t>Surf Coast S</w:t>
            </w:r>
          </w:p>
        </w:tc>
        <w:tc>
          <w:tcPr>
            <w:tcW w:w="1418" w:type="dxa"/>
            <w:tcBorders>
              <w:top w:val="nil"/>
              <w:left w:val="single" w:sz="18" w:space="0" w:color="5F497A" w:themeColor="accent4" w:themeShade="BF"/>
              <w:bottom w:val="nil"/>
            </w:tcBorders>
            <w:vAlign w:val="bottom"/>
          </w:tcPr>
          <w:p w14:paraId="1EBD7A65" w14:textId="0056EBE2" w:rsidR="00143DD0" w:rsidRPr="001D41EA" w:rsidRDefault="00143DD0" w:rsidP="00143DD0">
            <w:pPr>
              <w:spacing w:before="40" w:after="20"/>
              <w:jc w:val="right"/>
              <w:rPr>
                <w:rFonts w:cs="Arial"/>
                <w:sz w:val="18"/>
                <w:szCs w:val="18"/>
              </w:rPr>
            </w:pPr>
            <w:r w:rsidRPr="001D41EA">
              <w:rPr>
                <w:rFonts w:cs="Arial"/>
                <w:sz w:val="18"/>
                <w:szCs w:val="18"/>
              </w:rPr>
              <w:t>185</w:t>
            </w:r>
          </w:p>
        </w:tc>
        <w:tc>
          <w:tcPr>
            <w:tcW w:w="1418" w:type="dxa"/>
            <w:tcBorders>
              <w:top w:val="nil"/>
              <w:left w:val="nil"/>
              <w:bottom w:val="nil"/>
            </w:tcBorders>
            <w:vAlign w:val="bottom"/>
          </w:tcPr>
          <w:p w14:paraId="660D35A7" w14:textId="21A3FB72" w:rsidR="00143DD0" w:rsidRPr="001D41EA" w:rsidRDefault="00143DD0" w:rsidP="00143DD0">
            <w:pPr>
              <w:spacing w:before="40" w:after="20"/>
              <w:jc w:val="center"/>
              <w:rPr>
                <w:rFonts w:cs="Arial"/>
                <w:sz w:val="18"/>
                <w:szCs w:val="18"/>
              </w:rPr>
            </w:pPr>
            <w:r w:rsidRPr="001D41EA">
              <w:rPr>
                <w:rFonts w:cs="Arial"/>
                <w:sz w:val="18"/>
                <w:szCs w:val="18"/>
              </w:rPr>
              <w:t>0.6</w:t>
            </w:r>
          </w:p>
        </w:tc>
        <w:tc>
          <w:tcPr>
            <w:tcW w:w="170" w:type="dxa"/>
            <w:tcBorders>
              <w:top w:val="nil"/>
              <w:left w:val="nil"/>
              <w:bottom w:val="nil"/>
            </w:tcBorders>
            <w:vAlign w:val="bottom"/>
          </w:tcPr>
          <w:p w14:paraId="23D03404" w14:textId="2AF1FCB0"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056849F5" w14:textId="455E185D" w:rsidR="00143DD0" w:rsidRPr="001D41EA" w:rsidRDefault="00143DD0" w:rsidP="00143DD0">
            <w:pPr>
              <w:spacing w:before="40" w:after="20"/>
              <w:jc w:val="center"/>
              <w:rPr>
                <w:rFonts w:cs="Arial"/>
                <w:sz w:val="18"/>
                <w:szCs w:val="18"/>
              </w:rPr>
            </w:pPr>
            <w:r w:rsidRPr="00143DD0">
              <w:rPr>
                <w:rFonts w:cs="Arial"/>
                <w:sz w:val="18"/>
                <w:szCs w:val="18"/>
              </w:rPr>
              <w:t>0.3</w:t>
            </w:r>
          </w:p>
        </w:tc>
        <w:tc>
          <w:tcPr>
            <w:tcW w:w="1418" w:type="dxa"/>
            <w:tcBorders>
              <w:top w:val="nil"/>
              <w:left w:val="nil"/>
              <w:bottom w:val="nil"/>
              <w:right w:val="nil"/>
            </w:tcBorders>
            <w:shd w:val="clear" w:color="auto" w:fill="auto"/>
            <w:vAlign w:val="bottom"/>
          </w:tcPr>
          <w:p w14:paraId="0CEA00F1" w14:textId="2CB1E310" w:rsidR="00143DD0" w:rsidRPr="001D41EA" w:rsidRDefault="00143DD0" w:rsidP="00143DD0">
            <w:pPr>
              <w:spacing w:before="40" w:after="20"/>
              <w:jc w:val="right"/>
              <w:rPr>
                <w:rFonts w:cs="Arial"/>
                <w:sz w:val="18"/>
                <w:szCs w:val="18"/>
              </w:rPr>
            </w:pPr>
            <w:r w:rsidRPr="001D41EA">
              <w:rPr>
                <w:rFonts w:cs="Arial"/>
                <w:sz w:val="18"/>
                <w:szCs w:val="18"/>
              </w:rPr>
              <w:t>9.66</w:t>
            </w:r>
          </w:p>
        </w:tc>
      </w:tr>
      <w:tr w:rsidR="00143DD0" w:rsidRPr="001D41EA" w14:paraId="61C2CE0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12AC3FA" w14:textId="77777777" w:rsidR="00143DD0" w:rsidRPr="001D41EA" w:rsidRDefault="00143DD0" w:rsidP="00143DD0">
            <w:pPr>
              <w:spacing w:before="40" w:after="20"/>
              <w:rPr>
                <w:rFonts w:cs="Arial"/>
                <w:sz w:val="18"/>
                <w:szCs w:val="18"/>
              </w:rPr>
            </w:pPr>
            <w:r w:rsidRPr="001D41EA">
              <w:rPr>
                <w:rFonts w:cs="Arial"/>
                <w:sz w:val="18"/>
                <w:szCs w:val="18"/>
              </w:rPr>
              <w:t>Swan Hill RC</w:t>
            </w:r>
          </w:p>
        </w:tc>
        <w:tc>
          <w:tcPr>
            <w:tcW w:w="1418" w:type="dxa"/>
            <w:tcBorders>
              <w:top w:val="nil"/>
              <w:left w:val="single" w:sz="18" w:space="0" w:color="5F497A" w:themeColor="accent4" w:themeShade="BF"/>
              <w:bottom w:val="nil"/>
            </w:tcBorders>
            <w:vAlign w:val="bottom"/>
          </w:tcPr>
          <w:p w14:paraId="00AD0040" w14:textId="3F60AB0A" w:rsidR="00143DD0" w:rsidRPr="001D41EA" w:rsidRDefault="00143DD0" w:rsidP="00143DD0">
            <w:pPr>
              <w:spacing w:before="40" w:after="20"/>
              <w:jc w:val="right"/>
              <w:rPr>
                <w:rFonts w:cs="Arial"/>
                <w:sz w:val="18"/>
                <w:szCs w:val="18"/>
              </w:rPr>
            </w:pPr>
            <w:r w:rsidRPr="001D41EA">
              <w:rPr>
                <w:rFonts w:cs="Arial"/>
                <w:sz w:val="18"/>
                <w:szCs w:val="18"/>
              </w:rPr>
              <w:t>837</w:t>
            </w:r>
          </w:p>
        </w:tc>
        <w:tc>
          <w:tcPr>
            <w:tcW w:w="1418" w:type="dxa"/>
            <w:tcBorders>
              <w:top w:val="nil"/>
              <w:left w:val="nil"/>
              <w:bottom w:val="nil"/>
            </w:tcBorders>
            <w:vAlign w:val="bottom"/>
          </w:tcPr>
          <w:p w14:paraId="07EF5418" w14:textId="7A8E6A62" w:rsidR="00143DD0" w:rsidRPr="001D41EA" w:rsidRDefault="00143DD0" w:rsidP="00143DD0">
            <w:pPr>
              <w:spacing w:before="40" w:after="20"/>
              <w:jc w:val="center"/>
              <w:rPr>
                <w:rFonts w:cs="Arial"/>
                <w:sz w:val="18"/>
                <w:szCs w:val="18"/>
              </w:rPr>
            </w:pPr>
            <w:r w:rsidRPr="001D41EA">
              <w:rPr>
                <w:rFonts w:cs="Arial"/>
                <w:sz w:val="18"/>
                <w:szCs w:val="18"/>
              </w:rPr>
              <w:t>4.1</w:t>
            </w:r>
          </w:p>
        </w:tc>
        <w:tc>
          <w:tcPr>
            <w:tcW w:w="170" w:type="dxa"/>
            <w:tcBorders>
              <w:top w:val="nil"/>
              <w:left w:val="nil"/>
              <w:bottom w:val="nil"/>
            </w:tcBorders>
            <w:vAlign w:val="bottom"/>
          </w:tcPr>
          <w:p w14:paraId="0379E315" w14:textId="449423F1"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76094ABF" w14:textId="424EFFD1" w:rsidR="00143DD0" w:rsidRPr="001D41EA" w:rsidRDefault="00143DD0" w:rsidP="00143DD0">
            <w:pPr>
              <w:spacing w:before="40" w:after="20"/>
              <w:jc w:val="center"/>
              <w:rPr>
                <w:rFonts w:cs="Arial"/>
                <w:sz w:val="18"/>
                <w:szCs w:val="18"/>
              </w:rPr>
            </w:pPr>
            <w:r w:rsidRPr="00143DD0">
              <w:rPr>
                <w:rFonts w:cs="Arial"/>
                <w:sz w:val="18"/>
                <w:szCs w:val="18"/>
              </w:rPr>
              <w:t>2.5</w:t>
            </w:r>
          </w:p>
        </w:tc>
        <w:tc>
          <w:tcPr>
            <w:tcW w:w="1418" w:type="dxa"/>
            <w:tcBorders>
              <w:top w:val="nil"/>
              <w:left w:val="nil"/>
              <w:bottom w:val="nil"/>
              <w:right w:val="nil"/>
            </w:tcBorders>
            <w:shd w:val="clear" w:color="auto" w:fill="auto"/>
            <w:vAlign w:val="bottom"/>
          </w:tcPr>
          <w:p w14:paraId="5D8566BA" w14:textId="14C9F796" w:rsidR="00143DD0" w:rsidRPr="001D41EA" w:rsidRDefault="00143DD0" w:rsidP="00143DD0">
            <w:pPr>
              <w:spacing w:before="40" w:after="20"/>
              <w:jc w:val="right"/>
              <w:rPr>
                <w:rFonts w:cs="Arial"/>
                <w:sz w:val="18"/>
                <w:szCs w:val="18"/>
              </w:rPr>
            </w:pPr>
            <w:r w:rsidRPr="001D41EA">
              <w:rPr>
                <w:rFonts w:cs="Arial"/>
                <w:sz w:val="18"/>
                <w:szCs w:val="18"/>
              </w:rPr>
              <w:t>22.77</w:t>
            </w:r>
          </w:p>
        </w:tc>
      </w:tr>
      <w:tr w:rsidR="00143DD0" w:rsidRPr="001D41EA" w14:paraId="4D576154"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965CD70" w14:textId="77777777" w:rsidR="00143DD0" w:rsidRPr="001D41EA" w:rsidRDefault="00143DD0" w:rsidP="00143DD0">
            <w:pPr>
              <w:spacing w:before="40" w:after="20"/>
              <w:rPr>
                <w:rFonts w:cs="Arial"/>
                <w:sz w:val="18"/>
                <w:szCs w:val="18"/>
              </w:rPr>
            </w:pPr>
            <w:r w:rsidRPr="001D41EA">
              <w:rPr>
                <w:rFonts w:cs="Arial"/>
                <w:sz w:val="18"/>
                <w:szCs w:val="18"/>
              </w:rPr>
              <w:t>Towong S</w:t>
            </w:r>
          </w:p>
        </w:tc>
        <w:tc>
          <w:tcPr>
            <w:tcW w:w="1418" w:type="dxa"/>
            <w:tcBorders>
              <w:top w:val="nil"/>
              <w:left w:val="single" w:sz="18" w:space="0" w:color="5F497A" w:themeColor="accent4" w:themeShade="BF"/>
              <w:bottom w:val="nil"/>
            </w:tcBorders>
            <w:vAlign w:val="bottom"/>
          </w:tcPr>
          <w:p w14:paraId="218709B2" w14:textId="232C02E6" w:rsidR="00143DD0" w:rsidRPr="001D41EA" w:rsidRDefault="00143DD0" w:rsidP="00143DD0">
            <w:pPr>
              <w:spacing w:before="40" w:after="20"/>
              <w:jc w:val="right"/>
              <w:rPr>
                <w:rFonts w:cs="Arial"/>
                <w:sz w:val="18"/>
                <w:szCs w:val="18"/>
              </w:rPr>
            </w:pPr>
            <w:r w:rsidRPr="001D41EA">
              <w:rPr>
                <w:rFonts w:cs="Arial"/>
                <w:sz w:val="18"/>
                <w:szCs w:val="18"/>
              </w:rPr>
              <w:t>94</w:t>
            </w:r>
          </w:p>
        </w:tc>
        <w:tc>
          <w:tcPr>
            <w:tcW w:w="1418" w:type="dxa"/>
            <w:tcBorders>
              <w:top w:val="nil"/>
              <w:left w:val="nil"/>
              <w:bottom w:val="nil"/>
            </w:tcBorders>
            <w:vAlign w:val="bottom"/>
          </w:tcPr>
          <w:p w14:paraId="548BBA7E" w14:textId="6A77EE05" w:rsidR="00143DD0" w:rsidRPr="001D41EA" w:rsidRDefault="00143DD0" w:rsidP="00143DD0">
            <w:pPr>
              <w:spacing w:before="40" w:after="20"/>
              <w:jc w:val="center"/>
              <w:rPr>
                <w:rFonts w:cs="Arial"/>
                <w:sz w:val="18"/>
                <w:szCs w:val="18"/>
              </w:rPr>
            </w:pPr>
            <w:r w:rsidRPr="001D41EA">
              <w:rPr>
                <w:rFonts w:cs="Arial"/>
                <w:sz w:val="18"/>
                <w:szCs w:val="18"/>
              </w:rPr>
              <w:t>1.6</w:t>
            </w:r>
          </w:p>
        </w:tc>
        <w:tc>
          <w:tcPr>
            <w:tcW w:w="170" w:type="dxa"/>
            <w:tcBorders>
              <w:top w:val="nil"/>
              <w:left w:val="nil"/>
              <w:bottom w:val="nil"/>
            </w:tcBorders>
            <w:vAlign w:val="bottom"/>
          </w:tcPr>
          <w:p w14:paraId="0F7E62E5" w14:textId="15F32610"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7EA4ACFA" w14:textId="2C81FFA2" w:rsidR="00143DD0" w:rsidRPr="001D41EA" w:rsidRDefault="00143DD0" w:rsidP="00143DD0">
            <w:pPr>
              <w:spacing w:before="40" w:after="20"/>
              <w:jc w:val="center"/>
              <w:rPr>
                <w:rFonts w:cs="Arial"/>
                <w:sz w:val="18"/>
                <w:szCs w:val="18"/>
              </w:rPr>
            </w:pPr>
            <w:r w:rsidRPr="00143DD0">
              <w:rPr>
                <w:rFonts w:cs="Arial"/>
                <w:sz w:val="18"/>
                <w:szCs w:val="18"/>
              </w:rPr>
              <w:t>0.2</w:t>
            </w:r>
          </w:p>
        </w:tc>
        <w:tc>
          <w:tcPr>
            <w:tcW w:w="1418" w:type="dxa"/>
            <w:tcBorders>
              <w:top w:val="nil"/>
              <w:left w:val="nil"/>
              <w:bottom w:val="nil"/>
              <w:right w:val="nil"/>
            </w:tcBorders>
            <w:shd w:val="clear" w:color="auto" w:fill="auto"/>
            <w:vAlign w:val="bottom"/>
          </w:tcPr>
          <w:p w14:paraId="0E8CDF18" w14:textId="46D08D17" w:rsidR="00143DD0" w:rsidRPr="001D41EA" w:rsidRDefault="00143DD0" w:rsidP="00143DD0">
            <w:pPr>
              <w:spacing w:before="40" w:after="20"/>
              <w:jc w:val="right"/>
              <w:rPr>
                <w:rFonts w:cs="Arial"/>
                <w:sz w:val="18"/>
                <w:szCs w:val="18"/>
              </w:rPr>
            </w:pPr>
            <w:r w:rsidRPr="001D41EA">
              <w:rPr>
                <w:rFonts w:cs="Arial"/>
                <w:sz w:val="18"/>
                <w:szCs w:val="18"/>
              </w:rPr>
              <w:t>32.99</w:t>
            </w:r>
          </w:p>
        </w:tc>
      </w:tr>
      <w:tr w:rsidR="00143DD0" w:rsidRPr="001D41EA" w14:paraId="335B91E6"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C3DA38A" w14:textId="77777777" w:rsidR="00143DD0" w:rsidRPr="001D41EA" w:rsidRDefault="00143DD0" w:rsidP="00143DD0">
            <w:pPr>
              <w:spacing w:before="40" w:after="20"/>
              <w:rPr>
                <w:rFonts w:cs="Arial"/>
                <w:sz w:val="18"/>
                <w:szCs w:val="18"/>
              </w:rPr>
            </w:pPr>
            <w:r w:rsidRPr="001D41EA">
              <w:rPr>
                <w:rFonts w:cs="Arial"/>
                <w:sz w:val="18"/>
                <w:szCs w:val="18"/>
              </w:rPr>
              <w:t>Wangaratta RC</w:t>
            </w:r>
          </w:p>
        </w:tc>
        <w:tc>
          <w:tcPr>
            <w:tcW w:w="1418" w:type="dxa"/>
            <w:tcBorders>
              <w:top w:val="nil"/>
              <w:left w:val="single" w:sz="18" w:space="0" w:color="5F497A" w:themeColor="accent4" w:themeShade="BF"/>
              <w:bottom w:val="nil"/>
            </w:tcBorders>
            <w:vAlign w:val="bottom"/>
          </w:tcPr>
          <w:p w14:paraId="53B7BEAC" w14:textId="49C17682" w:rsidR="00143DD0" w:rsidRPr="001D41EA" w:rsidRDefault="00143DD0" w:rsidP="00143DD0">
            <w:pPr>
              <w:spacing w:before="40" w:after="20"/>
              <w:jc w:val="right"/>
              <w:rPr>
                <w:rFonts w:cs="Arial"/>
                <w:sz w:val="18"/>
                <w:szCs w:val="18"/>
              </w:rPr>
            </w:pPr>
            <w:r w:rsidRPr="001D41EA">
              <w:rPr>
                <w:rFonts w:cs="Arial"/>
                <w:sz w:val="18"/>
                <w:szCs w:val="18"/>
              </w:rPr>
              <w:t>378</w:t>
            </w:r>
          </w:p>
        </w:tc>
        <w:tc>
          <w:tcPr>
            <w:tcW w:w="1418" w:type="dxa"/>
            <w:tcBorders>
              <w:top w:val="nil"/>
              <w:left w:val="nil"/>
              <w:bottom w:val="nil"/>
            </w:tcBorders>
            <w:vAlign w:val="bottom"/>
          </w:tcPr>
          <w:p w14:paraId="4B1AA8A5" w14:textId="1DEC3A30" w:rsidR="00143DD0" w:rsidRPr="001D41EA" w:rsidRDefault="00143DD0" w:rsidP="00143DD0">
            <w:pPr>
              <w:spacing w:before="40" w:after="20"/>
              <w:jc w:val="center"/>
              <w:rPr>
                <w:rFonts w:cs="Arial"/>
                <w:sz w:val="18"/>
                <w:szCs w:val="18"/>
              </w:rPr>
            </w:pPr>
            <w:r w:rsidRPr="001D41EA">
              <w:rPr>
                <w:rFonts w:cs="Arial"/>
                <w:sz w:val="18"/>
                <w:szCs w:val="18"/>
              </w:rPr>
              <w:t>1.3</w:t>
            </w:r>
          </w:p>
        </w:tc>
        <w:tc>
          <w:tcPr>
            <w:tcW w:w="170" w:type="dxa"/>
            <w:tcBorders>
              <w:top w:val="nil"/>
              <w:left w:val="nil"/>
              <w:bottom w:val="nil"/>
            </w:tcBorders>
            <w:vAlign w:val="bottom"/>
          </w:tcPr>
          <w:p w14:paraId="58C4ABD0" w14:textId="0A80F891"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0C003DA8" w14:textId="2695B087" w:rsidR="00143DD0" w:rsidRPr="001D41EA" w:rsidRDefault="00143DD0" w:rsidP="00143DD0">
            <w:pPr>
              <w:spacing w:before="40" w:after="20"/>
              <w:jc w:val="center"/>
              <w:rPr>
                <w:rFonts w:cs="Arial"/>
                <w:sz w:val="18"/>
                <w:szCs w:val="18"/>
              </w:rPr>
            </w:pPr>
            <w:r w:rsidRPr="00143DD0">
              <w:rPr>
                <w:rFonts w:cs="Arial"/>
                <w:sz w:val="18"/>
                <w:szCs w:val="18"/>
              </w:rPr>
              <w:t>0.5</w:t>
            </w:r>
          </w:p>
        </w:tc>
        <w:tc>
          <w:tcPr>
            <w:tcW w:w="1418" w:type="dxa"/>
            <w:tcBorders>
              <w:top w:val="nil"/>
              <w:left w:val="nil"/>
              <w:bottom w:val="nil"/>
              <w:right w:val="nil"/>
            </w:tcBorders>
            <w:shd w:val="clear" w:color="auto" w:fill="auto"/>
            <w:vAlign w:val="bottom"/>
          </w:tcPr>
          <w:p w14:paraId="004A0983" w14:textId="10044633" w:rsidR="00143DD0" w:rsidRPr="001D41EA" w:rsidRDefault="00143DD0" w:rsidP="00143DD0">
            <w:pPr>
              <w:spacing w:before="40" w:after="20"/>
              <w:jc w:val="right"/>
              <w:rPr>
                <w:rFonts w:cs="Arial"/>
                <w:sz w:val="18"/>
                <w:szCs w:val="18"/>
              </w:rPr>
            </w:pPr>
            <w:r w:rsidRPr="001D41EA">
              <w:rPr>
                <w:rFonts w:cs="Arial"/>
                <w:sz w:val="18"/>
                <w:szCs w:val="18"/>
              </w:rPr>
              <w:t>5.80</w:t>
            </w:r>
          </w:p>
        </w:tc>
      </w:tr>
      <w:tr w:rsidR="00143DD0" w:rsidRPr="001D41EA" w14:paraId="6D849D37"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AF8FDF2" w14:textId="77777777" w:rsidR="00143DD0" w:rsidRPr="001D41EA" w:rsidRDefault="00143DD0" w:rsidP="00143DD0">
            <w:pPr>
              <w:spacing w:before="40" w:after="20"/>
              <w:rPr>
                <w:rFonts w:cs="Arial"/>
                <w:sz w:val="18"/>
                <w:szCs w:val="18"/>
              </w:rPr>
            </w:pPr>
            <w:r w:rsidRPr="001D41EA">
              <w:rPr>
                <w:rFonts w:cs="Arial"/>
                <w:sz w:val="18"/>
                <w:szCs w:val="18"/>
              </w:rPr>
              <w:t>Warrnambool C</w:t>
            </w:r>
          </w:p>
        </w:tc>
        <w:tc>
          <w:tcPr>
            <w:tcW w:w="1418" w:type="dxa"/>
            <w:tcBorders>
              <w:top w:val="nil"/>
              <w:left w:val="single" w:sz="18" w:space="0" w:color="5F497A" w:themeColor="accent4" w:themeShade="BF"/>
              <w:bottom w:val="nil"/>
            </w:tcBorders>
            <w:vAlign w:val="bottom"/>
          </w:tcPr>
          <w:p w14:paraId="1D330987" w14:textId="0F05C2A2" w:rsidR="00143DD0" w:rsidRPr="001D41EA" w:rsidRDefault="00143DD0" w:rsidP="00143DD0">
            <w:pPr>
              <w:spacing w:before="40" w:after="20"/>
              <w:jc w:val="right"/>
              <w:rPr>
                <w:rFonts w:cs="Arial"/>
                <w:sz w:val="18"/>
                <w:szCs w:val="18"/>
              </w:rPr>
            </w:pPr>
            <w:r w:rsidRPr="001D41EA">
              <w:rPr>
                <w:rFonts w:cs="Arial"/>
                <w:sz w:val="18"/>
                <w:szCs w:val="18"/>
              </w:rPr>
              <w:t>555</w:t>
            </w:r>
          </w:p>
        </w:tc>
        <w:tc>
          <w:tcPr>
            <w:tcW w:w="1418" w:type="dxa"/>
            <w:tcBorders>
              <w:top w:val="nil"/>
              <w:left w:val="nil"/>
              <w:bottom w:val="nil"/>
            </w:tcBorders>
            <w:vAlign w:val="bottom"/>
          </w:tcPr>
          <w:p w14:paraId="4A014700" w14:textId="6B088BDA" w:rsidR="00143DD0" w:rsidRPr="001D41EA" w:rsidRDefault="00143DD0" w:rsidP="00143DD0">
            <w:pPr>
              <w:spacing w:before="40" w:after="20"/>
              <w:jc w:val="center"/>
              <w:rPr>
                <w:rFonts w:cs="Arial"/>
                <w:sz w:val="18"/>
                <w:szCs w:val="18"/>
              </w:rPr>
            </w:pPr>
            <w:r w:rsidRPr="001D41EA">
              <w:rPr>
                <w:rFonts w:cs="Arial"/>
                <w:sz w:val="18"/>
                <w:szCs w:val="18"/>
              </w:rPr>
              <w:t>1.6</w:t>
            </w:r>
          </w:p>
        </w:tc>
        <w:tc>
          <w:tcPr>
            <w:tcW w:w="170" w:type="dxa"/>
            <w:tcBorders>
              <w:top w:val="nil"/>
              <w:left w:val="nil"/>
              <w:bottom w:val="nil"/>
            </w:tcBorders>
            <w:vAlign w:val="bottom"/>
          </w:tcPr>
          <w:p w14:paraId="2E0DA55D" w14:textId="41EA2394"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5C8DBCDF" w14:textId="797A939F" w:rsidR="00143DD0" w:rsidRPr="001D41EA" w:rsidRDefault="00143DD0" w:rsidP="00143DD0">
            <w:pPr>
              <w:spacing w:before="40" w:after="20"/>
              <w:jc w:val="center"/>
              <w:rPr>
                <w:rFonts w:cs="Arial"/>
                <w:sz w:val="18"/>
                <w:szCs w:val="18"/>
              </w:rPr>
            </w:pPr>
            <w:r w:rsidRPr="00143DD0">
              <w:rPr>
                <w:rFonts w:cs="Arial"/>
                <w:sz w:val="18"/>
                <w:szCs w:val="18"/>
              </w:rPr>
              <w:t>1.2</w:t>
            </w:r>
          </w:p>
        </w:tc>
        <w:tc>
          <w:tcPr>
            <w:tcW w:w="1418" w:type="dxa"/>
            <w:tcBorders>
              <w:top w:val="nil"/>
              <w:left w:val="nil"/>
              <w:bottom w:val="nil"/>
              <w:right w:val="nil"/>
            </w:tcBorders>
            <w:shd w:val="clear" w:color="auto" w:fill="auto"/>
            <w:vAlign w:val="bottom"/>
          </w:tcPr>
          <w:p w14:paraId="449399EB" w14:textId="650F80E8" w:rsidR="00143DD0" w:rsidRPr="001D41EA" w:rsidRDefault="00143DD0" w:rsidP="00143DD0">
            <w:pPr>
              <w:spacing w:before="40" w:after="20"/>
              <w:jc w:val="right"/>
              <w:rPr>
                <w:rFonts w:cs="Arial"/>
                <w:sz w:val="18"/>
                <w:szCs w:val="18"/>
              </w:rPr>
            </w:pPr>
            <w:r w:rsidRPr="001D41EA">
              <w:rPr>
                <w:rFonts w:cs="Arial"/>
                <w:sz w:val="18"/>
                <w:szCs w:val="18"/>
              </w:rPr>
              <w:t>0.54</w:t>
            </w:r>
          </w:p>
        </w:tc>
      </w:tr>
      <w:tr w:rsidR="00143DD0" w:rsidRPr="001D41EA" w14:paraId="678FF0F3"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39046D0" w14:textId="77777777" w:rsidR="00143DD0" w:rsidRPr="001D41EA" w:rsidRDefault="00143DD0" w:rsidP="00143DD0">
            <w:pPr>
              <w:spacing w:before="40" w:after="20"/>
              <w:rPr>
                <w:rFonts w:cs="Arial"/>
                <w:sz w:val="18"/>
                <w:szCs w:val="18"/>
              </w:rPr>
            </w:pPr>
            <w:r w:rsidRPr="001D41EA">
              <w:rPr>
                <w:rFonts w:cs="Arial"/>
                <w:sz w:val="18"/>
                <w:szCs w:val="18"/>
              </w:rPr>
              <w:t>Wellington S</w:t>
            </w:r>
          </w:p>
        </w:tc>
        <w:tc>
          <w:tcPr>
            <w:tcW w:w="1418" w:type="dxa"/>
            <w:tcBorders>
              <w:top w:val="nil"/>
              <w:left w:val="single" w:sz="18" w:space="0" w:color="5F497A" w:themeColor="accent4" w:themeShade="BF"/>
              <w:bottom w:val="nil"/>
            </w:tcBorders>
            <w:vAlign w:val="bottom"/>
          </w:tcPr>
          <w:p w14:paraId="20F9488B" w14:textId="1ED13D25" w:rsidR="00143DD0" w:rsidRPr="001D41EA" w:rsidRDefault="00143DD0" w:rsidP="00143DD0">
            <w:pPr>
              <w:spacing w:before="40" w:after="20"/>
              <w:jc w:val="right"/>
              <w:rPr>
                <w:rFonts w:cs="Arial"/>
                <w:sz w:val="18"/>
                <w:szCs w:val="18"/>
              </w:rPr>
            </w:pPr>
            <w:r w:rsidRPr="001D41EA">
              <w:rPr>
                <w:rFonts w:cs="Arial"/>
                <w:sz w:val="18"/>
                <w:szCs w:val="18"/>
              </w:rPr>
              <w:t>644</w:t>
            </w:r>
          </w:p>
        </w:tc>
        <w:tc>
          <w:tcPr>
            <w:tcW w:w="1418" w:type="dxa"/>
            <w:tcBorders>
              <w:top w:val="nil"/>
              <w:left w:val="nil"/>
              <w:bottom w:val="nil"/>
            </w:tcBorders>
            <w:vAlign w:val="bottom"/>
          </w:tcPr>
          <w:p w14:paraId="1660D211" w14:textId="5C236764" w:rsidR="00143DD0" w:rsidRPr="001D41EA" w:rsidRDefault="00143DD0" w:rsidP="00143DD0">
            <w:pPr>
              <w:spacing w:before="40" w:after="20"/>
              <w:jc w:val="center"/>
              <w:rPr>
                <w:rFonts w:cs="Arial"/>
                <w:sz w:val="18"/>
                <w:szCs w:val="18"/>
              </w:rPr>
            </w:pPr>
            <w:r w:rsidRPr="001D41EA">
              <w:rPr>
                <w:rFonts w:cs="Arial"/>
                <w:sz w:val="18"/>
                <w:szCs w:val="18"/>
              </w:rPr>
              <w:t>1.5</w:t>
            </w:r>
          </w:p>
        </w:tc>
        <w:tc>
          <w:tcPr>
            <w:tcW w:w="170" w:type="dxa"/>
            <w:tcBorders>
              <w:top w:val="nil"/>
              <w:left w:val="nil"/>
              <w:bottom w:val="nil"/>
            </w:tcBorders>
            <w:vAlign w:val="bottom"/>
          </w:tcPr>
          <w:p w14:paraId="1B679A4A" w14:textId="554254F2"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7096C0A0" w14:textId="7A21F910" w:rsidR="00143DD0" w:rsidRPr="001D41EA" w:rsidRDefault="00143DD0" w:rsidP="00143DD0">
            <w:pPr>
              <w:spacing w:before="40" w:after="20"/>
              <w:jc w:val="center"/>
              <w:rPr>
                <w:rFonts w:cs="Arial"/>
                <w:sz w:val="18"/>
                <w:szCs w:val="18"/>
              </w:rPr>
            </w:pPr>
            <w:r w:rsidRPr="00143DD0">
              <w:rPr>
                <w:rFonts w:cs="Arial"/>
                <w:sz w:val="18"/>
                <w:szCs w:val="18"/>
              </w:rPr>
              <w:t>0.5</w:t>
            </w:r>
          </w:p>
        </w:tc>
        <w:tc>
          <w:tcPr>
            <w:tcW w:w="1418" w:type="dxa"/>
            <w:tcBorders>
              <w:top w:val="nil"/>
              <w:left w:val="nil"/>
              <w:bottom w:val="nil"/>
              <w:right w:val="nil"/>
            </w:tcBorders>
            <w:shd w:val="clear" w:color="auto" w:fill="auto"/>
            <w:vAlign w:val="bottom"/>
          </w:tcPr>
          <w:p w14:paraId="6268BFB8" w14:textId="5FA8A9C5" w:rsidR="00143DD0" w:rsidRPr="001D41EA" w:rsidRDefault="00143DD0" w:rsidP="00143DD0">
            <w:pPr>
              <w:spacing w:before="40" w:after="20"/>
              <w:jc w:val="right"/>
              <w:rPr>
                <w:rFonts w:cs="Arial"/>
                <w:sz w:val="18"/>
                <w:szCs w:val="18"/>
              </w:rPr>
            </w:pPr>
            <w:r w:rsidRPr="001D41EA">
              <w:rPr>
                <w:rFonts w:cs="Arial"/>
                <w:sz w:val="18"/>
                <w:szCs w:val="18"/>
              </w:rPr>
              <w:t>20.87</w:t>
            </w:r>
          </w:p>
        </w:tc>
      </w:tr>
      <w:tr w:rsidR="00143DD0" w:rsidRPr="001D41EA" w14:paraId="4783219F"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81B84D4" w14:textId="77777777" w:rsidR="00143DD0" w:rsidRPr="001D41EA" w:rsidRDefault="00143DD0" w:rsidP="00143DD0">
            <w:pPr>
              <w:spacing w:before="40" w:after="20"/>
              <w:rPr>
                <w:rFonts w:cs="Arial"/>
                <w:sz w:val="18"/>
                <w:szCs w:val="18"/>
              </w:rPr>
            </w:pPr>
            <w:r w:rsidRPr="001D41EA">
              <w:rPr>
                <w:rFonts w:cs="Arial"/>
                <w:sz w:val="18"/>
                <w:szCs w:val="18"/>
              </w:rPr>
              <w:t>West Wimmera S</w:t>
            </w:r>
          </w:p>
        </w:tc>
        <w:tc>
          <w:tcPr>
            <w:tcW w:w="1418" w:type="dxa"/>
            <w:tcBorders>
              <w:top w:val="nil"/>
              <w:left w:val="single" w:sz="18" w:space="0" w:color="5F497A" w:themeColor="accent4" w:themeShade="BF"/>
              <w:bottom w:val="nil"/>
            </w:tcBorders>
            <w:vAlign w:val="bottom"/>
          </w:tcPr>
          <w:p w14:paraId="72C377BA" w14:textId="6485CF0B" w:rsidR="00143DD0" w:rsidRPr="001D41EA" w:rsidRDefault="00143DD0" w:rsidP="00143DD0">
            <w:pPr>
              <w:spacing w:before="40" w:after="20"/>
              <w:jc w:val="right"/>
              <w:rPr>
                <w:rFonts w:cs="Arial"/>
                <w:sz w:val="18"/>
                <w:szCs w:val="18"/>
              </w:rPr>
            </w:pPr>
            <w:r w:rsidRPr="001D41EA">
              <w:rPr>
                <w:rFonts w:cs="Arial"/>
                <w:sz w:val="18"/>
                <w:szCs w:val="18"/>
              </w:rPr>
              <w:t>30</w:t>
            </w:r>
          </w:p>
        </w:tc>
        <w:tc>
          <w:tcPr>
            <w:tcW w:w="1418" w:type="dxa"/>
            <w:tcBorders>
              <w:top w:val="nil"/>
              <w:left w:val="nil"/>
              <w:bottom w:val="nil"/>
            </w:tcBorders>
            <w:vAlign w:val="bottom"/>
          </w:tcPr>
          <w:p w14:paraId="4FD51C0C" w14:textId="7C64C916" w:rsidR="00143DD0" w:rsidRPr="001D41EA" w:rsidRDefault="00143DD0" w:rsidP="00143DD0">
            <w:pPr>
              <w:spacing w:before="40" w:after="20"/>
              <w:jc w:val="center"/>
              <w:rPr>
                <w:rFonts w:cs="Arial"/>
                <w:sz w:val="18"/>
                <w:szCs w:val="18"/>
              </w:rPr>
            </w:pPr>
            <w:r w:rsidRPr="001D41EA">
              <w:rPr>
                <w:rFonts w:cs="Arial"/>
                <w:sz w:val="18"/>
                <w:szCs w:val="18"/>
              </w:rPr>
              <w:t>0.8</w:t>
            </w:r>
          </w:p>
        </w:tc>
        <w:tc>
          <w:tcPr>
            <w:tcW w:w="170" w:type="dxa"/>
            <w:tcBorders>
              <w:top w:val="nil"/>
              <w:left w:val="nil"/>
              <w:bottom w:val="nil"/>
            </w:tcBorders>
            <w:vAlign w:val="bottom"/>
          </w:tcPr>
          <w:p w14:paraId="3DA1CD67" w14:textId="41834701"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0351C87B" w14:textId="780908AE" w:rsidR="00143DD0" w:rsidRPr="001D41EA" w:rsidRDefault="00143DD0" w:rsidP="00143DD0">
            <w:pPr>
              <w:spacing w:before="40" w:after="20"/>
              <w:jc w:val="center"/>
              <w:rPr>
                <w:rFonts w:cs="Arial"/>
                <w:sz w:val="18"/>
                <w:szCs w:val="18"/>
              </w:rPr>
            </w:pPr>
            <w:r w:rsidRPr="00143DD0">
              <w:rPr>
                <w:rFonts w:cs="Arial"/>
                <w:sz w:val="18"/>
                <w:szCs w:val="18"/>
              </w:rPr>
              <w:t>0.1</w:t>
            </w:r>
          </w:p>
        </w:tc>
        <w:tc>
          <w:tcPr>
            <w:tcW w:w="1418" w:type="dxa"/>
            <w:tcBorders>
              <w:top w:val="nil"/>
              <w:left w:val="nil"/>
              <w:bottom w:val="nil"/>
              <w:right w:val="nil"/>
            </w:tcBorders>
            <w:shd w:val="clear" w:color="auto" w:fill="auto"/>
            <w:vAlign w:val="bottom"/>
          </w:tcPr>
          <w:p w14:paraId="7384C4E9" w14:textId="31C9D5E0" w:rsidR="00143DD0" w:rsidRPr="001D41EA" w:rsidRDefault="00143DD0" w:rsidP="00143DD0">
            <w:pPr>
              <w:spacing w:before="40" w:after="20"/>
              <w:jc w:val="right"/>
              <w:rPr>
                <w:rFonts w:cs="Arial"/>
                <w:sz w:val="18"/>
                <w:szCs w:val="18"/>
              </w:rPr>
            </w:pPr>
            <w:r w:rsidRPr="001D41EA">
              <w:rPr>
                <w:rFonts w:cs="Arial"/>
                <w:sz w:val="18"/>
                <w:szCs w:val="18"/>
              </w:rPr>
              <w:t>32.10</w:t>
            </w:r>
          </w:p>
        </w:tc>
      </w:tr>
      <w:tr w:rsidR="00143DD0" w:rsidRPr="001D41EA" w14:paraId="3B849407"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CADAECD" w14:textId="77777777" w:rsidR="00143DD0" w:rsidRPr="001D41EA" w:rsidRDefault="00143DD0" w:rsidP="00143DD0">
            <w:pPr>
              <w:spacing w:before="40" w:after="20"/>
              <w:rPr>
                <w:rFonts w:cs="Arial"/>
                <w:sz w:val="18"/>
                <w:szCs w:val="18"/>
              </w:rPr>
            </w:pPr>
            <w:r w:rsidRPr="001D41EA">
              <w:rPr>
                <w:rFonts w:cs="Arial"/>
                <w:sz w:val="18"/>
                <w:szCs w:val="18"/>
              </w:rPr>
              <w:t>Whitehorse C</w:t>
            </w:r>
          </w:p>
        </w:tc>
        <w:tc>
          <w:tcPr>
            <w:tcW w:w="1418" w:type="dxa"/>
            <w:tcBorders>
              <w:top w:val="nil"/>
              <w:left w:val="single" w:sz="18" w:space="0" w:color="5F497A" w:themeColor="accent4" w:themeShade="BF"/>
              <w:bottom w:val="nil"/>
            </w:tcBorders>
            <w:vAlign w:val="bottom"/>
          </w:tcPr>
          <w:p w14:paraId="7E17A05F" w14:textId="271EAFE5" w:rsidR="00143DD0" w:rsidRPr="001D41EA" w:rsidRDefault="00143DD0" w:rsidP="00143DD0">
            <w:pPr>
              <w:spacing w:before="40" w:after="20"/>
              <w:jc w:val="right"/>
              <w:rPr>
                <w:rFonts w:cs="Arial"/>
                <w:sz w:val="18"/>
                <w:szCs w:val="18"/>
              </w:rPr>
            </w:pPr>
            <w:r w:rsidRPr="001D41EA">
              <w:rPr>
                <w:rFonts w:cs="Arial"/>
                <w:sz w:val="18"/>
                <w:szCs w:val="18"/>
              </w:rPr>
              <w:t>360</w:t>
            </w:r>
          </w:p>
        </w:tc>
        <w:tc>
          <w:tcPr>
            <w:tcW w:w="1418" w:type="dxa"/>
            <w:tcBorders>
              <w:top w:val="nil"/>
              <w:left w:val="nil"/>
              <w:bottom w:val="nil"/>
            </w:tcBorders>
            <w:vAlign w:val="bottom"/>
          </w:tcPr>
          <w:p w14:paraId="6B705BAA" w14:textId="5F4E9C89" w:rsidR="00143DD0" w:rsidRPr="001D41EA" w:rsidRDefault="00143DD0" w:rsidP="00143DD0">
            <w:pPr>
              <w:spacing w:before="40" w:after="20"/>
              <w:jc w:val="center"/>
              <w:rPr>
                <w:rFonts w:cs="Arial"/>
                <w:sz w:val="18"/>
                <w:szCs w:val="18"/>
              </w:rPr>
            </w:pPr>
            <w:r w:rsidRPr="001D41EA">
              <w:rPr>
                <w:rFonts w:cs="Arial"/>
                <w:sz w:val="18"/>
                <w:szCs w:val="18"/>
              </w:rPr>
              <w:t>0.2</w:t>
            </w:r>
          </w:p>
        </w:tc>
        <w:tc>
          <w:tcPr>
            <w:tcW w:w="170" w:type="dxa"/>
            <w:tcBorders>
              <w:top w:val="nil"/>
              <w:left w:val="nil"/>
              <w:bottom w:val="nil"/>
            </w:tcBorders>
            <w:vAlign w:val="bottom"/>
          </w:tcPr>
          <w:p w14:paraId="50796C0A" w14:textId="65D82463"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5D328908" w14:textId="2847F603" w:rsidR="00143DD0" w:rsidRPr="001D41EA" w:rsidRDefault="00143DD0" w:rsidP="00143DD0">
            <w:pPr>
              <w:spacing w:before="40" w:after="20"/>
              <w:jc w:val="center"/>
              <w:rPr>
                <w:rFonts w:cs="Arial"/>
                <w:sz w:val="18"/>
                <w:szCs w:val="18"/>
              </w:rPr>
            </w:pPr>
            <w:r w:rsidRPr="00143DD0">
              <w:rPr>
                <w:rFonts w:cs="Arial"/>
                <w:sz w:val="18"/>
                <w:szCs w:val="18"/>
              </w:rPr>
              <w:t>6.6</w:t>
            </w:r>
          </w:p>
        </w:tc>
        <w:tc>
          <w:tcPr>
            <w:tcW w:w="1418" w:type="dxa"/>
            <w:tcBorders>
              <w:top w:val="nil"/>
              <w:left w:val="nil"/>
              <w:bottom w:val="nil"/>
              <w:right w:val="nil"/>
            </w:tcBorders>
            <w:shd w:val="clear" w:color="auto" w:fill="auto"/>
            <w:vAlign w:val="bottom"/>
          </w:tcPr>
          <w:p w14:paraId="76BFEA18" w14:textId="7585271E" w:rsidR="00143DD0" w:rsidRPr="001D41EA" w:rsidRDefault="00143DD0" w:rsidP="00143DD0">
            <w:pPr>
              <w:spacing w:before="40" w:after="20"/>
              <w:jc w:val="right"/>
              <w:rPr>
                <w:rFonts w:cs="Arial"/>
                <w:sz w:val="18"/>
                <w:szCs w:val="18"/>
              </w:rPr>
            </w:pPr>
            <w:r w:rsidRPr="001D41EA">
              <w:rPr>
                <w:rFonts w:cs="Arial"/>
                <w:sz w:val="18"/>
                <w:szCs w:val="18"/>
              </w:rPr>
              <w:t> </w:t>
            </w:r>
          </w:p>
        </w:tc>
      </w:tr>
      <w:tr w:rsidR="00143DD0" w:rsidRPr="001D41EA" w14:paraId="6B1251F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82FAD61" w14:textId="77777777" w:rsidR="00143DD0" w:rsidRPr="001D41EA" w:rsidRDefault="00143DD0" w:rsidP="00143DD0">
            <w:pPr>
              <w:spacing w:before="40" w:after="20"/>
              <w:rPr>
                <w:rFonts w:cs="Arial"/>
                <w:sz w:val="18"/>
                <w:szCs w:val="18"/>
              </w:rPr>
            </w:pPr>
            <w:r w:rsidRPr="001D41EA">
              <w:rPr>
                <w:rFonts w:cs="Arial"/>
                <w:sz w:val="18"/>
                <w:szCs w:val="18"/>
              </w:rPr>
              <w:t>Whittlesea C</w:t>
            </w:r>
          </w:p>
        </w:tc>
        <w:tc>
          <w:tcPr>
            <w:tcW w:w="1418" w:type="dxa"/>
            <w:tcBorders>
              <w:top w:val="nil"/>
              <w:left w:val="single" w:sz="18" w:space="0" w:color="5F497A" w:themeColor="accent4" w:themeShade="BF"/>
              <w:bottom w:val="nil"/>
            </w:tcBorders>
            <w:vAlign w:val="bottom"/>
          </w:tcPr>
          <w:p w14:paraId="081B3E1B" w14:textId="103A9D4B" w:rsidR="00143DD0" w:rsidRPr="001D41EA" w:rsidRDefault="00143DD0" w:rsidP="00143DD0">
            <w:pPr>
              <w:spacing w:before="40" w:after="20"/>
              <w:jc w:val="right"/>
              <w:rPr>
                <w:rFonts w:cs="Arial"/>
                <w:sz w:val="18"/>
                <w:szCs w:val="18"/>
              </w:rPr>
            </w:pPr>
            <w:r w:rsidRPr="001D41EA">
              <w:rPr>
                <w:rFonts w:cs="Arial"/>
                <w:sz w:val="18"/>
                <w:szCs w:val="18"/>
              </w:rPr>
              <w:t>1,633</w:t>
            </w:r>
          </w:p>
        </w:tc>
        <w:tc>
          <w:tcPr>
            <w:tcW w:w="1418" w:type="dxa"/>
            <w:tcBorders>
              <w:top w:val="nil"/>
              <w:left w:val="nil"/>
              <w:bottom w:val="nil"/>
            </w:tcBorders>
            <w:vAlign w:val="bottom"/>
          </w:tcPr>
          <w:p w14:paraId="182A3973" w14:textId="33B0EF3C" w:rsidR="00143DD0" w:rsidRPr="001D41EA" w:rsidRDefault="00143DD0" w:rsidP="00143DD0">
            <w:pPr>
              <w:spacing w:before="40" w:after="20"/>
              <w:jc w:val="center"/>
              <w:rPr>
                <w:rFonts w:cs="Arial"/>
                <w:sz w:val="18"/>
                <w:szCs w:val="18"/>
              </w:rPr>
            </w:pPr>
            <w:r w:rsidRPr="001D41EA">
              <w:rPr>
                <w:rFonts w:cs="Arial"/>
                <w:sz w:val="18"/>
                <w:szCs w:val="18"/>
              </w:rPr>
              <w:t>0.8</w:t>
            </w:r>
          </w:p>
        </w:tc>
        <w:tc>
          <w:tcPr>
            <w:tcW w:w="170" w:type="dxa"/>
            <w:tcBorders>
              <w:top w:val="nil"/>
              <w:left w:val="nil"/>
              <w:bottom w:val="nil"/>
            </w:tcBorders>
            <w:vAlign w:val="bottom"/>
          </w:tcPr>
          <w:p w14:paraId="26EAA7A0" w14:textId="25D691FD"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132D7D78" w14:textId="2F520D57" w:rsidR="00143DD0" w:rsidRPr="001D41EA" w:rsidRDefault="00143DD0" w:rsidP="00143DD0">
            <w:pPr>
              <w:spacing w:before="40" w:after="20"/>
              <w:jc w:val="center"/>
              <w:rPr>
                <w:rFonts w:cs="Arial"/>
                <w:sz w:val="18"/>
                <w:szCs w:val="18"/>
              </w:rPr>
            </w:pPr>
            <w:r w:rsidRPr="00143DD0">
              <w:rPr>
                <w:rFonts w:cs="Arial"/>
                <w:sz w:val="18"/>
                <w:szCs w:val="18"/>
              </w:rPr>
              <w:t>6.0</w:t>
            </w:r>
          </w:p>
        </w:tc>
        <w:tc>
          <w:tcPr>
            <w:tcW w:w="1418" w:type="dxa"/>
            <w:tcBorders>
              <w:top w:val="nil"/>
              <w:left w:val="nil"/>
              <w:bottom w:val="nil"/>
              <w:right w:val="nil"/>
            </w:tcBorders>
            <w:shd w:val="clear" w:color="auto" w:fill="auto"/>
            <w:vAlign w:val="bottom"/>
          </w:tcPr>
          <w:p w14:paraId="53331DFD" w14:textId="4D79C7D3" w:rsidR="00143DD0" w:rsidRPr="001D41EA" w:rsidRDefault="00143DD0" w:rsidP="00143DD0">
            <w:pPr>
              <w:spacing w:before="40" w:after="20"/>
              <w:jc w:val="right"/>
              <w:rPr>
                <w:rFonts w:cs="Arial"/>
                <w:sz w:val="18"/>
                <w:szCs w:val="18"/>
              </w:rPr>
            </w:pPr>
            <w:r w:rsidRPr="001D41EA">
              <w:rPr>
                <w:rFonts w:cs="Arial"/>
                <w:sz w:val="18"/>
                <w:szCs w:val="18"/>
              </w:rPr>
              <w:t>0.51</w:t>
            </w:r>
          </w:p>
        </w:tc>
      </w:tr>
      <w:tr w:rsidR="00143DD0" w:rsidRPr="001D41EA" w14:paraId="6E6901C5"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8E06A5F" w14:textId="77777777" w:rsidR="00143DD0" w:rsidRPr="001D41EA" w:rsidRDefault="00143DD0" w:rsidP="00143DD0">
            <w:pPr>
              <w:spacing w:before="40" w:after="20"/>
              <w:rPr>
                <w:rFonts w:cs="Arial"/>
                <w:sz w:val="18"/>
                <w:szCs w:val="18"/>
              </w:rPr>
            </w:pPr>
            <w:r w:rsidRPr="001D41EA">
              <w:rPr>
                <w:rFonts w:cs="Arial"/>
                <w:sz w:val="18"/>
                <w:szCs w:val="18"/>
              </w:rPr>
              <w:t>Wodonga C</w:t>
            </w:r>
          </w:p>
        </w:tc>
        <w:tc>
          <w:tcPr>
            <w:tcW w:w="1418" w:type="dxa"/>
            <w:tcBorders>
              <w:top w:val="nil"/>
              <w:left w:val="single" w:sz="18" w:space="0" w:color="5F497A" w:themeColor="accent4" w:themeShade="BF"/>
              <w:bottom w:val="nil"/>
            </w:tcBorders>
            <w:vAlign w:val="bottom"/>
          </w:tcPr>
          <w:p w14:paraId="145D83F9" w14:textId="53F3D613" w:rsidR="00143DD0" w:rsidRPr="001D41EA" w:rsidRDefault="00143DD0" w:rsidP="00143DD0">
            <w:pPr>
              <w:spacing w:before="40" w:after="20"/>
              <w:jc w:val="right"/>
              <w:rPr>
                <w:rFonts w:cs="Arial"/>
                <w:sz w:val="18"/>
                <w:szCs w:val="18"/>
              </w:rPr>
            </w:pPr>
            <w:r w:rsidRPr="001D41EA">
              <w:rPr>
                <w:rFonts w:cs="Arial"/>
                <w:sz w:val="18"/>
                <w:szCs w:val="18"/>
              </w:rPr>
              <w:t>981</w:t>
            </w:r>
          </w:p>
        </w:tc>
        <w:tc>
          <w:tcPr>
            <w:tcW w:w="1418" w:type="dxa"/>
            <w:tcBorders>
              <w:top w:val="nil"/>
              <w:left w:val="nil"/>
              <w:bottom w:val="nil"/>
            </w:tcBorders>
            <w:vAlign w:val="bottom"/>
          </w:tcPr>
          <w:p w14:paraId="629CA98B" w14:textId="4C686A5F" w:rsidR="00143DD0" w:rsidRPr="001D41EA" w:rsidRDefault="00143DD0" w:rsidP="00143DD0">
            <w:pPr>
              <w:spacing w:before="40" w:after="20"/>
              <w:jc w:val="center"/>
              <w:rPr>
                <w:rFonts w:cs="Arial"/>
                <w:sz w:val="18"/>
                <w:szCs w:val="18"/>
              </w:rPr>
            </w:pPr>
            <w:r w:rsidRPr="001D41EA">
              <w:rPr>
                <w:rFonts w:cs="Arial"/>
                <w:sz w:val="18"/>
                <w:szCs w:val="18"/>
              </w:rPr>
              <w:t>2.5</w:t>
            </w:r>
          </w:p>
        </w:tc>
        <w:tc>
          <w:tcPr>
            <w:tcW w:w="170" w:type="dxa"/>
            <w:tcBorders>
              <w:top w:val="nil"/>
              <w:left w:val="nil"/>
              <w:bottom w:val="nil"/>
            </w:tcBorders>
            <w:vAlign w:val="bottom"/>
          </w:tcPr>
          <w:p w14:paraId="2F211B47" w14:textId="5CC5A5B0"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24204E35" w14:textId="34A2081C" w:rsidR="00143DD0" w:rsidRPr="001D41EA" w:rsidRDefault="00143DD0" w:rsidP="00143DD0">
            <w:pPr>
              <w:spacing w:before="40" w:after="20"/>
              <w:jc w:val="center"/>
              <w:rPr>
                <w:rFonts w:cs="Arial"/>
                <w:sz w:val="18"/>
                <w:szCs w:val="18"/>
              </w:rPr>
            </w:pPr>
            <w:r w:rsidRPr="00143DD0">
              <w:rPr>
                <w:rFonts w:cs="Arial"/>
                <w:sz w:val="18"/>
                <w:szCs w:val="18"/>
              </w:rPr>
              <w:t>0.7</w:t>
            </w:r>
          </w:p>
        </w:tc>
        <w:tc>
          <w:tcPr>
            <w:tcW w:w="1418" w:type="dxa"/>
            <w:tcBorders>
              <w:top w:val="nil"/>
              <w:left w:val="nil"/>
              <w:bottom w:val="nil"/>
              <w:right w:val="nil"/>
            </w:tcBorders>
            <w:shd w:val="clear" w:color="auto" w:fill="auto"/>
            <w:vAlign w:val="bottom"/>
          </w:tcPr>
          <w:p w14:paraId="066511D0" w14:textId="288F3E14" w:rsidR="00143DD0" w:rsidRPr="001D41EA" w:rsidRDefault="00143DD0" w:rsidP="00143DD0">
            <w:pPr>
              <w:spacing w:before="40" w:after="20"/>
              <w:jc w:val="right"/>
              <w:rPr>
                <w:rFonts w:cs="Arial"/>
                <w:sz w:val="18"/>
                <w:szCs w:val="18"/>
              </w:rPr>
            </w:pPr>
            <w:r w:rsidRPr="001D41EA">
              <w:rPr>
                <w:rFonts w:cs="Arial"/>
                <w:sz w:val="18"/>
                <w:szCs w:val="18"/>
              </w:rPr>
              <w:t>0.89</w:t>
            </w:r>
          </w:p>
        </w:tc>
      </w:tr>
      <w:tr w:rsidR="00143DD0" w:rsidRPr="001D41EA" w14:paraId="0F47F8AC"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D75DF06" w14:textId="77777777" w:rsidR="00143DD0" w:rsidRPr="001D41EA" w:rsidRDefault="00143DD0" w:rsidP="00143DD0">
            <w:pPr>
              <w:spacing w:before="40" w:after="20"/>
              <w:rPr>
                <w:rFonts w:cs="Arial"/>
                <w:sz w:val="18"/>
                <w:szCs w:val="18"/>
              </w:rPr>
            </w:pPr>
            <w:r w:rsidRPr="001D41EA">
              <w:rPr>
                <w:rFonts w:cs="Arial"/>
                <w:sz w:val="18"/>
                <w:szCs w:val="18"/>
              </w:rPr>
              <w:t>Wyndham C</w:t>
            </w:r>
          </w:p>
        </w:tc>
        <w:tc>
          <w:tcPr>
            <w:tcW w:w="1418" w:type="dxa"/>
            <w:tcBorders>
              <w:top w:val="nil"/>
              <w:left w:val="single" w:sz="18" w:space="0" w:color="5F497A" w:themeColor="accent4" w:themeShade="BF"/>
              <w:bottom w:val="nil"/>
            </w:tcBorders>
            <w:vAlign w:val="bottom"/>
          </w:tcPr>
          <w:p w14:paraId="3DF9B7C8" w14:textId="1A4D4974" w:rsidR="00143DD0" w:rsidRPr="001D41EA" w:rsidRDefault="00143DD0" w:rsidP="00143DD0">
            <w:pPr>
              <w:spacing w:before="40" w:after="20"/>
              <w:jc w:val="right"/>
              <w:rPr>
                <w:rFonts w:cs="Arial"/>
                <w:sz w:val="18"/>
                <w:szCs w:val="18"/>
              </w:rPr>
            </w:pPr>
            <w:r w:rsidRPr="001D41EA">
              <w:rPr>
                <w:rFonts w:cs="Arial"/>
                <w:sz w:val="18"/>
                <w:szCs w:val="18"/>
              </w:rPr>
              <w:t>1,733</w:t>
            </w:r>
          </w:p>
        </w:tc>
        <w:tc>
          <w:tcPr>
            <w:tcW w:w="1418" w:type="dxa"/>
            <w:tcBorders>
              <w:top w:val="nil"/>
              <w:left w:val="nil"/>
              <w:bottom w:val="nil"/>
            </w:tcBorders>
            <w:vAlign w:val="bottom"/>
          </w:tcPr>
          <w:p w14:paraId="300C3BE3" w14:textId="2207A5DC" w:rsidR="00143DD0" w:rsidRPr="001D41EA" w:rsidRDefault="00143DD0" w:rsidP="00143DD0">
            <w:pPr>
              <w:spacing w:before="40" w:after="20"/>
              <w:jc w:val="center"/>
              <w:rPr>
                <w:rFonts w:cs="Arial"/>
                <w:sz w:val="18"/>
                <w:szCs w:val="18"/>
              </w:rPr>
            </w:pPr>
            <w:r w:rsidRPr="001D41EA">
              <w:rPr>
                <w:rFonts w:cs="Arial"/>
                <w:sz w:val="18"/>
                <w:szCs w:val="18"/>
              </w:rPr>
              <w:t>0.8</w:t>
            </w:r>
          </w:p>
        </w:tc>
        <w:tc>
          <w:tcPr>
            <w:tcW w:w="170" w:type="dxa"/>
            <w:tcBorders>
              <w:top w:val="nil"/>
              <w:left w:val="nil"/>
              <w:bottom w:val="nil"/>
            </w:tcBorders>
            <w:vAlign w:val="bottom"/>
          </w:tcPr>
          <w:p w14:paraId="60625133" w14:textId="1A729DAD"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36D1F449" w14:textId="6354E6B1" w:rsidR="00143DD0" w:rsidRPr="001D41EA" w:rsidRDefault="00143DD0" w:rsidP="00143DD0">
            <w:pPr>
              <w:spacing w:before="40" w:after="20"/>
              <w:jc w:val="center"/>
              <w:rPr>
                <w:rFonts w:cs="Arial"/>
                <w:sz w:val="18"/>
                <w:szCs w:val="18"/>
              </w:rPr>
            </w:pPr>
            <w:r w:rsidRPr="00143DD0">
              <w:rPr>
                <w:rFonts w:cs="Arial"/>
                <w:sz w:val="18"/>
                <w:szCs w:val="18"/>
              </w:rPr>
              <w:t>4.9</w:t>
            </w:r>
          </w:p>
        </w:tc>
        <w:tc>
          <w:tcPr>
            <w:tcW w:w="1418" w:type="dxa"/>
            <w:tcBorders>
              <w:top w:val="nil"/>
              <w:left w:val="nil"/>
              <w:bottom w:val="nil"/>
              <w:right w:val="nil"/>
            </w:tcBorders>
            <w:shd w:val="clear" w:color="auto" w:fill="auto"/>
            <w:vAlign w:val="bottom"/>
          </w:tcPr>
          <w:p w14:paraId="2F95576F" w14:textId="380FAF1A" w:rsidR="00143DD0" w:rsidRPr="001D41EA" w:rsidRDefault="00143DD0" w:rsidP="00143DD0">
            <w:pPr>
              <w:spacing w:before="40" w:after="20"/>
              <w:jc w:val="right"/>
              <w:rPr>
                <w:rFonts w:cs="Arial"/>
                <w:sz w:val="18"/>
                <w:szCs w:val="18"/>
              </w:rPr>
            </w:pPr>
            <w:r w:rsidRPr="001D41EA">
              <w:rPr>
                <w:rFonts w:cs="Arial"/>
                <w:sz w:val="18"/>
                <w:szCs w:val="18"/>
              </w:rPr>
              <w:t>0.14</w:t>
            </w:r>
          </w:p>
        </w:tc>
      </w:tr>
      <w:tr w:rsidR="00143DD0" w:rsidRPr="001D41EA" w14:paraId="5316FE05"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71B8C90" w14:textId="77777777" w:rsidR="00143DD0" w:rsidRPr="001D41EA" w:rsidRDefault="00143DD0" w:rsidP="00143DD0">
            <w:pPr>
              <w:spacing w:before="40" w:after="20"/>
              <w:rPr>
                <w:rFonts w:cs="Arial"/>
                <w:sz w:val="18"/>
                <w:szCs w:val="18"/>
              </w:rPr>
            </w:pPr>
            <w:r w:rsidRPr="001D41EA">
              <w:rPr>
                <w:rFonts w:cs="Arial"/>
                <w:sz w:val="18"/>
                <w:szCs w:val="18"/>
              </w:rPr>
              <w:t>Yarra C</w:t>
            </w:r>
          </w:p>
        </w:tc>
        <w:tc>
          <w:tcPr>
            <w:tcW w:w="1418" w:type="dxa"/>
            <w:tcBorders>
              <w:top w:val="nil"/>
              <w:left w:val="single" w:sz="18" w:space="0" w:color="5F497A" w:themeColor="accent4" w:themeShade="BF"/>
              <w:bottom w:val="nil"/>
            </w:tcBorders>
            <w:vAlign w:val="bottom"/>
          </w:tcPr>
          <w:p w14:paraId="56EC6559" w14:textId="4CBD4D0A" w:rsidR="00143DD0" w:rsidRPr="001D41EA" w:rsidRDefault="00143DD0" w:rsidP="00143DD0">
            <w:pPr>
              <w:spacing w:before="40" w:after="20"/>
              <w:jc w:val="right"/>
              <w:rPr>
                <w:rFonts w:cs="Arial"/>
                <w:sz w:val="18"/>
                <w:szCs w:val="18"/>
              </w:rPr>
            </w:pPr>
            <w:r w:rsidRPr="001D41EA">
              <w:rPr>
                <w:rFonts w:cs="Arial"/>
                <w:sz w:val="18"/>
                <w:szCs w:val="18"/>
              </w:rPr>
              <w:t>383</w:t>
            </w:r>
          </w:p>
        </w:tc>
        <w:tc>
          <w:tcPr>
            <w:tcW w:w="1418" w:type="dxa"/>
            <w:tcBorders>
              <w:top w:val="nil"/>
              <w:left w:val="nil"/>
              <w:bottom w:val="nil"/>
            </w:tcBorders>
            <w:vAlign w:val="bottom"/>
          </w:tcPr>
          <w:p w14:paraId="45F8FCE5" w14:textId="1541553F" w:rsidR="00143DD0" w:rsidRPr="001D41EA" w:rsidRDefault="00143DD0" w:rsidP="00143DD0">
            <w:pPr>
              <w:spacing w:before="40" w:after="20"/>
              <w:jc w:val="center"/>
              <w:rPr>
                <w:rFonts w:cs="Arial"/>
                <w:sz w:val="18"/>
                <w:szCs w:val="18"/>
              </w:rPr>
            </w:pPr>
            <w:r w:rsidRPr="001D41EA">
              <w:rPr>
                <w:rFonts w:cs="Arial"/>
                <w:sz w:val="18"/>
                <w:szCs w:val="18"/>
              </w:rPr>
              <w:t>0.4</w:t>
            </w:r>
          </w:p>
        </w:tc>
        <w:tc>
          <w:tcPr>
            <w:tcW w:w="170" w:type="dxa"/>
            <w:tcBorders>
              <w:top w:val="nil"/>
              <w:left w:val="nil"/>
              <w:bottom w:val="nil"/>
            </w:tcBorders>
            <w:vAlign w:val="bottom"/>
          </w:tcPr>
          <w:p w14:paraId="7C0AB6CD" w14:textId="067018D9"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4213DFF7" w14:textId="17A35AE8" w:rsidR="00143DD0" w:rsidRPr="001D41EA" w:rsidRDefault="00143DD0" w:rsidP="00143DD0">
            <w:pPr>
              <w:spacing w:before="40" w:after="20"/>
              <w:jc w:val="center"/>
              <w:rPr>
                <w:rFonts w:cs="Arial"/>
                <w:sz w:val="18"/>
                <w:szCs w:val="18"/>
              </w:rPr>
            </w:pPr>
            <w:r w:rsidRPr="00143DD0">
              <w:rPr>
                <w:rFonts w:cs="Arial"/>
                <w:sz w:val="18"/>
                <w:szCs w:val="18"/>
              </w:rPr>
              <w:t>4.1</w:t>
            </w:r>
          </w:p>
        </w:tc>
        <w:tc>
          <w:tcPr>
            <w:tcW w:w="1418" w:type="dxa"/>
            <w:tcBorders>
              <w:top w:val="nil"/>
              <w:left w:val="nil"/>
              <w:bottom w:val="nil"/>
              <w:right w:val="nil"/>
            </w:tcBorders>
            <w:shd w:val="clear" w:color="auto" w:fill="auto"/>
            <w:vAlign w:val="bottom"/>
          </w:tcPr>
          <w:p w14:paraId="0F83EC90" w14:textId="68A4F777" w:rsidR="00143DD0" w:rsidRPr="001D41EA" w:rsidRDefault="00143DD0" w:rsidP="00143DD0">
            <w:pPr>
              <w:spacing w:before="40" w:after="20"/>
              <w:jc w:val="right"/>
              <w:rPr>
                <w:rFonts w:cs="Arial"/>
                <w:sz w:val="18"/>
                <w:szCs w:val="18"/>
              </w:rPr>
            </w:pPr>
            <w:r w:rsidRPr="001D41EA">
              <w:rPr>
                <w:rFonts w:cs="Arial"/>
                <w:sz w:val="18"/>
                <w:szCs w:val="18"/>
              </w:rPr>
              <w:t> </w:t>
            </w:r>
          </w:p>
        </w:tc>
      </w:tr>
      <w:tr w:rsidR="00143DD0" w:rsidRPr="001D41EA" w14:paraId="7047CFE5"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41BD804" w14:textId="77777777" w:rsidR="00143DD0" w:rsidRPr="001D41EA" w:rsidRDefault="00143DD0" w:rsidP="00143DD0">
            <w:pPr>
              <w:spacing w:before="40" w:after="20"/>
              <w:rPr>
                <w:rFonts w:cs="Arial"/>
                <w:sz w:val="18"/>
                <w:szCs w:val="18"/>
              </w:rPr>
            </w:pPr>
            <w:r w:rsidRPr="001D41EA">
              <w:rPr>
                <w:rFonts w:cs="Arial"/>
                <w:sz w:val="18"/>
                <w:szCs w:val="18"/>
              </w:rPr>
              <w:t>Yarra Ranges S</w:t>
            </w:r>
          </w:p>
        </w:tc>
        <w:tc>
          <w:tcPr>
            <w:tcW w:w="1418" w:type="dxa"/>
            <w:tcBorders>
              <w:top w:val="nil"/>
              <w:left w:val="single" w:sz="18" w:space="0" w:color="5F497A" w:themeColor="accent4" w:themeShade="BF"/>
              <w:bottom w:val="nil"/>
            </w:tcBorders>
            <w:vAlign w:val="bottom"/>
          </w:tcPr>
          <w:p w14:paraId="2B3ACEE5" w14:textId="1BB67323" w:rsidR="00143DD0" w:rsidRPr="001D41EA" w:rsidRDefault="00143DD0" w:rsidP="00143DD0">
            <w:pPr>
              <w:spacing w:before="40" w:after="20"/>
              <w:jc w:val="right"/>
              <w:rPr>
                <w:rFonts w:cs="Arial"/>
                <w:sz w:val="18"/>
                <w:szCs w:val="18"/>
              </w:rPr>
            </w:pPr>
            <w:r w:rsidRPr="001D41EA">
              <w:rPr>
                <w:rFonts w:cs="Arial"/>
                <w:sz w:val="18"/>
                <w:szCs w:val="18"/>
              </w:rPr>
              <w:t>1,354</w:t>
            </w:r>
          </w:p>
        </w:tc>
        <w:tc>
          <w:tcPr>
            <w:tcW w:w="1418" w:type="dxa"/>
            <w:tcBorders>
              <w:top w:val="nil"/>
              <w:left w:val="nil"/>
              <w:bottom w:val="nil"/>
            </w:tcBorders>
            <w:vAlign w:val="bottom"/>
          </w:tcPr>
          <w:p w14:paraId="0A1FFEF0" w14:textId="416BD690" w:rsidR="00143DD0" w:rsidRPr="001D41EA" w:rsidRDefault="00143DD0" w:rsidP="00143DD0">
            <w:pPr>
              <w:spacing w:before="40" w:after="20"/>
              <w:jc w:val="center"/>
              <w:rPr>
                <w:rFonts w:cs="Arial"/>
                <w:sz w:val="18"/>
                <w:szCs w:val="18"/>
              </w:rPr>
            </w:pPr>
            <w:r w:rsidRPr="001D41EA">
              <w:rPr>
                <w:rFonts w:cs="Arial"/>
                <w:sz w:val="18"/>
                <w:szCs w:val="18"/>
              </w:rPr>
              <w:t>0.9</w:t>
            </w:r>
          </w:p>
        </w:tc>
        <w:tc>
          <w:tcPr>
            <w:tcW w:w="170" w:type="dxa"/>
            <w:tcBorders>
              <w:top w:val="nil"/>
              <w:left w:val="nil"/>
              <w:bottom w:val="nil"/>
            </w:tcBorders>
            <w:vAlign w:val="bottom"/>
          </w:tcPr>
          <w:p w14:paraId="0883E534" w14:textId="61132BC6"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46FCAF37" w14:textId="56B73E49" w:rsidR="00143DD0" w:rsidRPr="001D41EA" w:rsidRDefault="00143DD0" w:rsidP="00143DD0">
            <w:pPr>
              <w:spacing w:before="40" w:after="20"/>
              <w:jc w:val="center"/>
              <w:rPr>
                <w:rFonts w:cs="Arial"/>
                <w:sz w:val="18"/>
                <w:szCs w:val="18"/>
              </w:rPr>
            </w:pPr>
            <w:r w:rsidRPr="00143DD0">
              <w:rPr>
                <w:rFonts w:cs="Arial"/>
                <w:sz w:val="18"/>
                <w:szCs w:val="18"/>
              </w:rPr>
              <w:t>0.9</w:t>
            </w:r>
          </w:p>
        </w:tc>
        <w:tc>
          <w:tcPr>
            <w:tcW w:w="1418" w:type="dxa"/>
            <w:tcBorders>
              <w:top w:val="nil"/>
              <w:left w:val="nil"/>
              <w:bottom w:val="nil"/>
              <w:right w:val="nil"/>
            </w:tcBorders>
            <w:shd w:val="clear" w:color="auto" w:fill="auto"/>
            <w:vAlign w:val="bottom"/>
          </w:tcPr>
          <w:p w14:paraId="66DABB14" w14:textId="4233F10B" w:rsidR="00143DD0" w:rsidRPr="001D41EA" w:rsidRDefault="00143DD0" w:rsidP="00143DD0">
            <w:pPr>
              <w:spacing w:before="40" w:after="20"/>
              <w:jc w:val="right"/>
              <w:rPr>
                <w:rFonts w:cs="Arial"/>
                <w:sz w:val="18"/>
                <w:szCs w:val="18"/>
              </w:rPr>
            </w:pPr>
            <w:r w:rsidRPr="001D41EA">
              <w:rPr>
                <w:rFonts w:cs="Arial"/>
                <w:sz w:val="18"/>
                <w:szCs w:val="18"/>
              </w:rPr>
              <w:t>9.89</w:t>
            </w:r>
          </w:p>
        </w:tc>
      </w:tr>
      <w:tr w:rsidR="00143DD0" w:rsidRPr="001D41EA" w14:paraId="263EB27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DFF7809" w14:textId="77777777" w:rsidR="00143DD0" w:rsidRPr="001D41EA" w:rsidRDefault="00143DD0" w:rsidP="00143DD0">
            <w:pPr>
              <w:spacing w:before="40" w:after="20"/>
              <w:rPr>
                <w:rFonts w:cs="Arial"/>
                <w:sz w:val="18"/>
                <w:szCs w:val="18"/>
              </w:rPr>
            </w:pPr>
            <w:r w:rsidRPr="001D41EA">
              <w:rPr>
                <w:rFonts w:cs="Arial"/>
                <w:sz w:val="18"/>
                <w:szCs w:val="18"/>
              </w:rPr>
              <w:t>Yarriambiack S</w:t>
            </w:r>
          </w:p>
        </w:tc>
        <w:tc>
          <w:tcPr>
            <w:tcW w:w="1418" w:type="dxa"/>
            <w:tcBorders>
              <w:top w:val="nil"/>
              <w:left w:val="single" w:sz="18" w:space="0" w:color="5F497A" w:themeColor="accent4" w:themeShade="BF"/>
              <w:bottom w:val="nil"/>
            </w:tcBorders>
            <w:vAlign w:val="bottom"/>
          </w:tcPr>
          <w:p w14:paraId="1CAC9DDB" w14:textId="5DB2FF59" w:rsidR="00143DD0" w:rsidRPr="001D41EA" w:rsidRDefault="00143DD0" w:rsidP="00143DD0">
            <w:pPr>
              <w:spacing w:before="40" w:after="20"/>
              <w:jc w:val="right"/>
              <w:rPr>
                <w:rFonts w:cs="Arial"/>
                <w:sz w:val="18"/>
                <w:szCs w:val="18"/>
              </w:rPr>
            </w:pPr>
            <w:r w:rsidRPr="001D41EA">
              <w:rPr>
                <w:rFonts w:cs="Arial"/>
                <w:sz w:val="18"/>
                <w:szCs w:val="18"/>
              </w:rPr>
              <w:t>77</w:t>
            </w:r>
          </w:p>
        </w:tc>
        <w:tc>
          <w:tcPr>
            <w:tcW w:w="1418" w:type="dxa"/>
            <w:tcBorders>
              <w:top w:val="nil"/>
              <w:left w:val="nil"/>
              <w:bottom w:val="nil"/>
            </w:tcBorders>
            <w:vAlign w:val="bottom"/>
          </w:tcPr>
          <w:p w14:paraId="253090F5" w14:textId="36FAD6B2" w:rsidR="00143DD0" w:rsidRPr="001D41EA" w:rsidRDefault="00143DD0" w:rsidP="00143DD0">
            <w:pPr>
              <w:spacing w:before="40" w:after="20"/>
              <w:jc w:val="center"/>
              <w:rPr>
                <w:rFonts w:cs="Arial"/>
                <w:sz w:val="18"/>
                <w:szCs w:val="18"/>
              </w:rPr>
            </w:pPr>
            <w:r w:rsidRPr="001D41EA">
              <w:rPr>
                <w:rFonts w:cs="Arial"/>
                <w:sz w:val="18"/>
                <w:szCs w:val="18"/>
              </w:rPr>
              <w:t>1.2</w:t>
            </w:r>
          </w:p>
        </w:tc>
        <w:tc>
          <w:tcPr>
            <w:tcW w:w="170" w:type="dxa"/>
            <w:tcBorders>
              <w:top w:val="nil"/>
              <w:left w:val="nil"/>
              <w:bottom w:val="nil"/>
            </w:tcBorders>
            <w:vAlign w:val="bottom"/>
          </w:tcPr>
          <w:p w14:paraId="5335DBE6" w14:textId="500B2A94" w:rsidR="00143DD0" w:rsidRPr="001D41EA" w:rsidRDefault="00143DD0" w:rsidP="00143DD0">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shd w:val="clear" w:color="auto" w:fill="auto"/>
            <w:vAlign w:val="bottom"/>
          </w:tcPr>
          <w:p w14:paraId="5441D8AD" w14:textId="1B32AD2A" w:rsidR="00143DD0" w:rsidRPr="001D41EA" w:rsidRDefault="00143DD0" w:rsidP="00143DD0">
            <w:pPr>
              <w:spacing w:before="40" w:after="20"/>
              <w:jc w:val="center"/>
              <w:rPr>
                <w:rFonts w:cs="Arial"/>
                <w:sz w:val="18"/>
                <w:szCs w:val="18"/>
              </w:rPr>
            </w:pPr>
            <w:r w:rsidRPr="00143DD0">
              <w:rPr>
                <w:rFonts w:cs="Arial"/>
                <w:sz w:val="18"/>
                <w:szCs w:val="18"/>
              </w:rPr>
              <w:t>0.3</w:t>
            </w:r>
          </w:p>
        </w:tc>
        <w:tc>
          <w:tcPr>
            <w:tcW w:w="1418" w:type="dxa"/>
            <w:tcBorders>
              <w:top w:val="nil"/>
              <w:left w:val="nil"/>
              <w:bottom w:val="nil"/>
              <w:right w:val="nil"/>
            </w:tcBorders>
            <w:shd w:val="clear" w:color="auto" w:fill="auto"/>
            <w:vAlign w:val="bottom"/>
          </w:tcPr>
          <w:p w14:paraId="7D2241AE" w14:textId="165474FE" w:rsidR="00143DD0" w:rsidRPr="001D41EA" w:rsidRDefault="00143DD0" w:rsidP="00143DD0">
            <w:pPr>
              <w:spacing w:before="40" w:after="20"/>
              <w:jc w:val="right"/>
              <w:rPr>
                <w:rFonts w:cs="Arial"/>
                <w:sz w:val="18"/>
                <w:szCs w:val="18"/>
              </w:rPr>
            </w:pPr>
            <w:r w:rsidRPr="001D41EA">
              <w:rPr>
                <w:rFonts w:cs="Arial"/>
                <w:sz w:val="18"/>
                <w:szCs w:val="18"/>
              </w:rPr>
              <w:t>23.98</w:t>
            </w:r>
          </w:p>
        </w:tc>
      </w:tr>
      <w:tr w:rsidR="00B33D8D" w:rsidRPr="001D41EA" w14:paraId="68A26989" w14:textId="77777777" w:rsidTr="00C60457">
        <w:tc>
          <w:tcPr>
            <w:tcW w:w="2268" w:type="dxa"/>
            <w:tcBorders>
              <w:top w:val="nil"/>
              <w:left w:val="nil"/>
              <w:bottom w:val="nil"/>
              <w:right w:val="single" w:sz="18" w:space="0" w:color="5F497A" w:themeColor="accent4" w:themeShade="BF"/>
            </w:tcBorders>
            <w:shd w:val="clear" w:color="auto" w:fill="auto"/>
            <w:vAlign w:val="center"/>
          </w:tcPr>
          <w:p w14:paraId="4E5040D6" w14:textId="77777777" w:rsidR="00B33D8D" w:rsidRPr="001D41EA" w:rsidRDefault="00B33D8D" w:rsidP="001D41EA">
            <w:pPr>
              <w:spacing w:before="40" w:after="20"/>
              <w:rPr>
                <w:rFonts w:cs="Arial"/>
                <w:sz w:val="18"/>
                <w:szCs w:val="18"/>
              </w:rPr>
            </w:pPr>
          </w:p>
        </w:tc>
        <w:tc>
          <w:tcPr>
            <w:tcW w:w="1418" w:type="dxa"/>
            <w:tcBorders>
              <w:top w:val="nil"/>
              <w:left w:val="single" w:sz="18" w:space="0" w:color="5F497A" w:themeColor="accent4" w:themeShade="BF"/>
              <w:bottom w:val="single" w:sz="8" w:space="0" w:color="5F497A" w:themeColor="accent4" w:themeShade="BF"/>
            </w:tcBorders>
            <w:vAlign w:val="bottom"/>
          </w:tcPr>
          <w:p w14:paraId="77D43CE3" w14:textId="4118F3F6"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single" w:sz="8" w:space="0" w:color="5F497A" w:themeColor="accent4" w:themeShade="BF"/>
            </w:tcBorders>
            <w:vAlign w:val="bottom"/>
          </w:tcPr>
          <w:p w14:paraId="2430C6EE" w14:textId="13B7BE6E" w:rsidR="00B33D8D" w:rsidRPr="001D41EA" w:rsidRDefault="00B33D8D" w:rsidP="00F705DD">
            <w:pPr>
              <w:spacing w:before="40" w:after="20"/>
              <w:jc w:val="center"/>
              <w:rPr>
                <w:rFonts w:cs="Arial"/>
                <w:sz w:val="18"/>
                <w:szCs w:val="18"/>
              </w:rPr>
            </w:pPr>
          </w:p>
        </w:tc>
        <w:tc>
          <w:tcPr>
            <w:tcW w:w="170" w:type="dxa"/>
            <w:tcBorders>
              <w:top w:val="nil"/>
              <w:left w:val="nil"/>
              <w:bottom w:val="single" w:sz="8" w:space="0" w:color="5F497A" w:themeColor="accent4" w:themeShade="BF"/>
            </w:tcBorders>
            <w:vAlign w:val="bottom"/>
          </w:tcPr>
          <w:p w14:paraId="7E4C52AD" w14:textId="75540D57"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single" w:sz="8" w:space="0" w:color="5F497A" w:themeColor="accent4" w:themeShade="BF"/>
              <w:right w:val="nil"/>
            </w:tcBorders>
            <w:shd w:val="clear" w:color="auto" w:fill="auto"/>
            <w:vAlign w:val="bottom"/>
          </w:tcPr>
          <w:p w14:paraId="510CBC38" w14:textId="12AD1722" w:rsidR="00B33D8D" w:rsidRPr="001D41EA" w:rsidRDefault="00B33D8D" w:rsidP="00143DD0">
            <w:pPr>
              <w:spacing w:before="40" w:after="20"/>
              <w:jc w:val="center"/>
              <w:rPr>
                <w:rFonts w:cs="Arial"/>
                <w:sz w:val="18"/>
                <w:szCs w:val="18"/>
              </w:rPr>
            </w:pPr>
          </w:p>
        </w:tc>
        <w:tc>
          <w:tcPr>
            <w:tcW w:w="1418" w:type="dxa"/>
            <w:tcBorders>
              <w:top w:val="nil"/>
              <w:left w:val="nil"/>
              <w:bottom w:val="single" w:sz="8" w:space="0" w:color="5F497A" w:themeColor="accent4" w:themeShade="BF"/>
              <w:right w:val="nil"/>
            </w:tcBorders>
            <w:shd w:val="clear" w:color="auto" w:fill="auto"/>
            <w:vAlign w:val="bottom"/>
          </w:tcPr>
          <w:p w14:paraId="709D9678" w14:textId="2D8ED367" w:rsidR="00B33D8D" w:rsidRPr="001D41EA" w:rsidRDefault="00B33D8D" w:rsidP="001D41EA">
            <w:pPr>
              <w:spacing w:before="40" w:after="20"/>
              <w:jc w:val="right"/>
              <w:rPr>
                <w:rFonts w:cs="Arial"/>
                <w:sz w:val="18"/>
                <w:szCs w:val="18"/>
              </w:rPr>
            </w:pPr>
            <w:r w:rsidRPr="001D41EA">
              <w:rPr>
                <w:rFonts w:cs="Arial"/>
                <w:sz w:val="18"/>
                <w:szCs w:val="18"/>
              </w:rPr>
              <w:t> </w:t>
            </w:r>
          </w:p>
        </w:tc>
      </w:tr>
      <w:tr w:rsidR="00B33D8D" w:rsidRPr="001D41EA" w14:paraId="7ABA0B22" w14:textId="77777777" w:rsidTr="00C60457">
        <w:tc>
          <w:tcPr>
            <w:tcW w:w="2268" w:type="dxa"/>
            <w:tcBorders>
              <w:top w:val="nil"/>
              <w:left w:val="nil"/>
              <w:bottom w:val="nil"/>
              <w:right w:val="single" w:sz="18" w:space="0" w:color="5F497A" w:themeColor="accent4" w:themeShade="BF"/>
            </w:tcBorders>
            <w:shd w:val="clear" w:color="auto" w:fill="auto"/>
            <w:vAlign w:val="center"/>
          </w:tcPr>
          <w:p w14:paraId="39B794FF" w14:textId="77777777" w:rsidR="00B33D8D" w:rsidRPr="001D41EA" w:rsidRDefault="00B33D8D" w:rsidP="001D41EA">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tcBorders>
            <w:vAlign w:val="bottom"/>
          </w:tcPr>
          <w:p w14:paraId="52DBC783" w14:textId="5B50E398" w:rsidR="00B33D8D" w:rsidRPr="001D41EA" w:rsidRDefault="00B33D8D" w:rsidP="001D41EA">
            <w:pPr>
              <w:spacing w:before="40" w:after="20"/>
              <w:jc w:val="right"/>
              <w:rPr>
                <w:rFonts w:cs="Arial"/>
                <w:b/>
                <w:sz w:val="18"/>
                <w:szCs w:val="18"/>
              </w:rPr>
            </w:pPr>
            <w:r w:rsidRPr="001D41EA">
              <w:rPr>
                <w:rFonts w:cs="Arial"/>
                <w:b/>
                <w:sz w:val="18"/>
                <w:szCs w:val="18"/>
              </w:rPr>
              <w:t>47,474</w:t>
            </w:r>
          </w:p>
        </w:tc>
        <w:tc>
          <w:tcPr>
            <w:tcW w:w="1418" w:type="dxa"/>
            <w:tcBorders>
              <w:top w:val="single" w:sz="8" w:space="0" w:color="5F497A" w:themeColor="accent4" w:themeShade="BF"/>
              <w:left w:val="nil"/>
            </w:tcBorders>
            <w:vAlign w:val="bottom"/>
          </w:tcPr>
          <w:p w14:paraId="5481D45D" w14:textId="49381B81" w:rsidR="00B33D8D" w:rsidRPr="001D41EA" w:rsidRDefault="00B33D8D" w:rsidP="00F705DD">
            <w:pPr>
              <w:spacing w:before="40" w:after="20"/>
              <w:jc w:val="center"/>
              <w:rPr>
                <w:rFonts w:cs="Arial"/>
                <w:b/>
                <w:sz w:val="18"/>
                <w:szCs w:val="18"/>
              </w:rPr>
            </w:pPr>
            <w:r w:rsidRPr="001D41EA">
              <w:rPr>
                <w:rFonts w:cs="Arial"/>
                <w:b/>
                <w:sz w:val="18"/>
                <w:szCs w:val="18"/>
              </w:rPr>
              <w:t>0.8</w:t>
            </w:r>
          </w:p>
        </w:tc>
        <w:tc>
          <w:tcPr>
            <w:tcW w:w="170" w:type="dxa"/>
            <w:tcBorders>
              <w:top w:val="single" w:sz="8" w:space="0" w:color="5F497A" w:themeColor="accent4" w:themeShade="BF"/>
              <w:left w:val="nil"/>
            </w:tcBorders>
            <w:vAlign w:val="bottom"/>
          </w:tcPr>
          <w:p w14:paraId="13BCE395" w14:textId="0884032D" w:rsidR="00B33D8D" w:rsidRPr="001D41EA" w:rsidRDefault="00B33D8D" w:rsidP="001D41EA">
            <w:pPr>
              <w:spacing w:before="40" w:after="20"/>
              <w:jc w:val="right"/>
              <w:rPr>
                <w:rFonts w:cs="Arial"/>
                <w:b/>
                <w:sz w:val="18"/>
                <w:szCs w:val="18"/>
              </w:rPr>
            </w:pPr>
            <w:r w:rsidRPr="001D41EA">
              <w:rPr>
                <w:rFonts w:cs="Arial"/>
                <w:b/>
                <w:sz w:val="18"/>
                <w:szCs w:val="18"/>
              </w:rPr>
              <w:t> </w:t>
            </w:r>
          </w:p>
        </w:tc>
        <w:tc>
          <w:tcPr>
            <w:tcW w:w="1418" w:type="dxa"/>
            <w:tcBorders>
              <w:top w:val="single" w:sz="8" w:space="0" w:color="5F497A" w:themeColor="accent4" w:themeShade="BF"/>
              <w:left w:val="nil"/>
              <w:right w:val="nil"/>
            </w:tcBorders>
            <w:shd w:val="clear" w:color="auto" w:fill="auto"/>
            <w:vAlign w:val="bottom"/>
          </w:tcPr>
          <w:p w14:paraId="50737EE7" w14:textId="155D367E" w:rsidR="00B33D8D" w:rsidRPr="001D41EA" w:rsidRDefault="00B33D8D" w:rsidP="00143DD0">
            <w:pPr>
              <w:spacing w:before="40" w:after="20"/>
              <w:jc w:val="center"/>
              <w:rPr>
                <w:rFonts w:cs="Arial"/>
                <w:b/>
                <w:sz w:val="18"/>
                <w:szCs w:val="18"/>
              </w:rPr>
            </w:pPr>
          </w:p>
        </w:tc>
        <w:tc>
          <w:tcPr>
            <w:tcW w:w="1418" w:type="dxa"/>
            <w:tcBorders>
              <w:top w:val="single" w:sz="8" w:space="0" w:color="5F497A" w:themeColor="accent4" w:themeShade="BF"/>
              <w:left w:val="nil"/>
              <w:right w:val="nil"/>
            </w:tcBorders>
            <w:shd w:val="clear" w:color="auto" w:fill="auto"/>
            <w:vAlign w:val="bottom"/>
          </w:tcPr>
          <w:p w14:paraId="79D85176" w14:textId="3724D539" w:rsidR="00B33D8D" w:rsidRPr="001D41EA" w:rsidRDefault="00B33D8D" w:rsidP="001D41EA">
            <w:pPr>
              <w:spacing w:before="40" w:after="20"/>
              <w:jc w:val="right"/>
              <w:rPr>
                <w:rFonts w:cs="Arial"/>
                <w:b/>
                <w:sz w:val="18"/>
                <w:szCs w:val="18"/>
              </w:rPr>
            </w:pPr>
            <w:r w:rsidRPr="001D41EA">
              <w:rPr>
                <w:rFonts w:cs="Arial"/>
                <w:b/>
                <w:sz w:val="18"/>
                <w:szCs w:val="18"/>
              </w:rPr>
              <w:t> </w:t>
            </w:r>
          </w:p>
        </w:tc>
      </w:tr>
    </w:tbl>
    <w:p w14:paraId="4E4A0D83" w14:textId="77777777" w:rsidR="004A41A8" w:rsidRPr="00A44829" w:rsidRDefault="004A41A8" w:rsidP="00FF36E8">
      <w:pPr>
        <w:spacing w:before="40" w:after="20"/>
        <w:rPr>
          <w:rFonts w:cs="Arial"/>
          <w:sz w:val="18"/>
          <w:szCs w:val="18"/>
        </w:rPr>
      </w:pPr>
      <w:r w:rsidRPr="00A44829">
        <w:rPr>
          <w:rFonts w:cs="Arial"/>
          <w:sz w:val="18"/>
          <w:szCs w:val="18"/>
        </w:rPr>
        <w:br w:type="page"/>
      </w:r>
    </w:p>
    <w:p w14:paraId="09F545AA" w14:textId="189501CB" w:rsidR="004A41A8" w:rsidRPr="00A44829" w:rsidRDefault="00EE4593" w:rsidP="00C33713">
      <w:pPr>
        <w:pStyle w:val="VGC-Head10"/>
      </w:pPr>
      <w:r w:rsidRPr="00A44829">
        <w:lastRenderedPageBreak/>
        <w:t>2019-20</w:t>
      </w:r>
      <w:r w:rsidR="00A97ABE" w:rsidRPr="00A44829">
        <w:t xml:space="preserve"> </w:t>
      </w:r>
      <w:r w:rsidR="004A41A8" w:rsidRPr="00A44829">
        <w:t>General Purpose Grants</w:t>
      </w:r>
      <w:r w:rsidR="00CE4507" w:rsidRPr="00A44829">
        <w:tab/>
        <w:t>Appendix 4</w:t>
      </w:r>
    </w:p>
    <w:p w14:paraId="217E53E4" w14:textId="77777777" w:rsidR="004A41A8" w:rsidRPr="00A44829" w:rsidRDefault="004F1184" w:rsidP="008C1A28">
      <w:pPr>
        <w:pStyle w:val="VGC-Head2"/>
      </w:pPr>
      <w:r w:rsidRPr="00A44829">
        <w:tab/>
      </w:r>
      <w:r w:rsidR="004A41A8" w:rsidRPr="00A44829">
        <w:t>C.  Cost Adjustors – Raw Data</w:t>
      </w:r>
    </w:p>
    <w:p w14:paraId="06651019" w14:textId="77777777" w:rsidR="009C1E3F" w:rsidRPr="00A44829" w:rsidRDefault="009C1E3F"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8D440D" w:rsidRPr="00A44829" w14:paraId="099A1282"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6E274062" w14:textId="77777777" w:rsidR="008D440D" w:rsidRPr="00A44829" w:rsidRDefault="008D440D" w:rsidP="008001AD">
            <w:pPr>
              <w:spacing w:before="40" w:after="20"/>
              <w:jc w:val="center"/>
              <w:rPr>
                <w:rFonts w:cs="Arial"/>
                <w:sz w:val="18"/>
                <w:szCs w:val="18"/>
              </w:rPr>
            </w:pPr>
          </w:p>
        </w:tc>
        <w:tc>
          <w:tcPr>
            <w:tcW w:w="3741" w:type="dxa"/>
            <w:gridSpan w:val="3"/>
            <w:tcBorders>
              <w:top w:val="nil"/>
              <w:left w:val="single" w:sz="18" w:space="0" w:color="5F497A" w:themeColor="accent4" w:themeShade="BF"/>
              <w:bottom w:val="single" w:sz="8" w:space="0" w:color="5F497A" w:themeColor="accent4" w:themeShade="BF"/>
            </w:tcBorders>
            <w:shd w:val="clear" w:color="auto" w:fill="auto"/>
            <w:vAlign w:val="bottom"/>
          </w:tcPr>
          <w:p w14:paraId="72DDDD5E" w14:textId="3A7F62F1" w:rsidR="008D440D" w:rsidRPr="00A44829" w:rsidRDefault="008D440D" w:rsidP="008001AD">
            <w:pPr>
              <w:spacing w:before="40" w:after="20"/>
              <w:jc w:val="center"/>
              <w:rPr>
                <w:rFonts w:cs="Arial"/>
                <w:b/>
                <w:sz w:val="18"/>
                <w:szCs w:val="18"/>
              </w:rPr>
            </w:pPr>
            <w:r w:rsidRPr="00A44829">
              <w:rPr>
                <w:rFonts w:cs="Arial"/>
                <w:b/>
                <w:sz w:val="18"/>
                <w:szCs w:val="18"/>
              </w:rPr>
              <w:t>Population Growth</w:t>
            </w:r>
            <w:r w:rsidR="00D63DBA" w:rsidRPr="00A44829">
              <w:rPr>
                <w:rFonts w:cs="Arial"/>
                <w:b/>
                <w:sz w:val="18"/>
                <w:szCs w:val="18"/>
              </w:rPr>
              <w:t xml:space="preserve"> </w:t>
            </w:r>
          </w:p>
        </w:tc>
        <w:tc>
          <w:tcPr>
            <w:tcW w:w="170" w:type="dxa"/>
            <w:vMerge w:val="restart"/>
            <w:tcBorders>
              <w:top w:val="nil"/>
              <w:left w:val="nil"/>
              <w:bottom w:val="single" w:sz="8" w:space="0" w:color="5F497A" w:themeColor="accent4" w:themeShade="BF"/>
              <w:right w:val="nil"/>
            </w:tcBorders>
            <w:shd w:val="clear" w:color="auto" w:fill="auto"/>
            <w:vAlign w:val="bottom"/>
          </w:tcPr>
          <w:p w14:paraId="44826366" w14:textId="77777777" w:rsidR="008D440D" w:rsidRPr="00A44829" w:rsidRDefault="008D440D" w:rsidP="008001AD">
            <w:pPr>
              <w:spacing w:before="40" w:after="20"/>
              <w:jc w:val="center"/>
              <w:rPr>
                <w:rFonts w:cs="Arial"/>
                <w:b/>
                <w:sz w:val="18"/>
                <w:szCs w:val="18"/>
              </w:rPr>
            </w:pPr>
          </w:p>
        </w:tc>
        <w:tc>
          <w:tcPr>
            <w:tcW w:w="2494" w:type="dxa"/>
            <w:gridSpan w:val="2"/>
            <w:tcBorders>
              <w:top w:val="nil"/>
              <w:left w:val="nil"/>
              <w:bottom w:val="single" w:sz="8" w:space="0" w:color="5F497A" w:themeColor="accent4" w:themeShade="BF"/>
              <w:right w:val="nil"/>
            </w:tcBorders>
            <w:shd w:val="clear" w:color="auto" w:fill="auto"/>
            <w:vAlign w:val="bottom"/>
          </w:tcPr>
          <w:p w14:paraId="592C0A75" w14:textId="440389F9" w:rsidR="008D440D" w:rsidRPr="00A44829" w:rsidRDefault="008D440D" w:rsidP="008001AD">
            <w:pPr>
              <w:spacing w:before="40" w:after="20"/>
              <w:jc w:val="center"/>
              <w:rPr>
                <w:rFonts w:cs="Arial"/>
                <w:b/>
                <w:sz w:val="18"/>
                <w:szCs w:val="18"/>
              </w:rPr>
            </w:pPr>
            <w:r w:rsidRPr="00A44829">
              <w:rPr>
                <w:rFonts w:cs="Arial"/>
                <w:b/>
                <w:sz w:val="18"/>
                <w:szCs w:val="18"/>
              </w:rPr>
              <w:t xml:space="preserve">Population </w:t>
            </w:r>
            <w:r w:rsidRPr="00A44829">
              <w:rPr>
                <w:rFonts w:cs="Arial"/>
                <w:b/>
                <w:sz w:val="18"/>
                <w:szCs w:val="18"/>
              </w:rPr>
              <w:br/>
            </w:r>
            <w:r w:rsidR="00D63DBA" w:rsidRPr="00A44829">
              <w:rPr>
                <w:rFonts w:cs="Arial"/>
                <w:b/>
                <w:sz w:val="18"/>
                <w:szCs w:val="18"/>
              </w:rPr>
              <w:t>U</w:t>
            </w:r>
            <w:r w:rsidRPr="00A44829">
              <w:rPr>
                <w:rFonts w:cs="Arial"/>
                <w:b/>
                <w:sz w:val="18"/>
                <w:szCs w:val="18"/>
              </w:rPr>
              <w:t>nder 6 years</w:t>
            </w:r>
            <w:r w:rsidR="00D63DBA" w:rsidRPr="00A44829">
              <w:rPr>
                <w:rFonts w:cs="Arial"/>
                <w:b/>
                <w:sz w:val="18"/>
                <w:szCs w:val="18"/>
              </w:rPr>
              <w:t xml:space="preserve"> </w:t>
            </w:r>
          </w:p>
        </w:tc>
      </w:tr>
      <w:tr w:rsidR="008D440D" w:rsidRPr="00A44829" w14:paraId="2D7ED4C3"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76C4BD32" w14:textId="77777777" w:rsidR="008D440D" w:rsidRPr="00A44829" w:rsidRDefault="008D440D" w:rsidP="008001AD">
            <w:pPr>
              <w:spacing w:before="40" w:after="20"/>
              <w:jc w:val="center"/>
              <w:rPr>
                <w:rFonts w:cs="Arial"/>
                <w:sz w:val="18"/>
                <w:szCs w:val="18"/>
              </w:rPr>
            </w:pPr>
          </w:p>
        </w:tc>
        <w:tc>
          <w:tcPr>
            <w:tcW w:w="1247"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749B1B4D" w14:textId="3E63CE9F" w:rsidR="008D440D" w:rsidRPr="00A44829" w:rsidRDefault="008D440D" w:rsidP="008001AD">
            <w:pPr>
              <w:spacing w:before="40" w:after="20"/>
              <w:jc w:val="center"/>
              <w:rPr>
                <w:rFonts w:cs="Arial"/>
                <w:sz w:val="16"/>
                <w:szCs w:val="16"/>
              </w:rPr>
            </w:pPr>
            <w:r w:rsidRPr="00A44829">
              <w:rPr>
                <w:rFonts w:cs="Arial"/>
                <w:sz w:val="16"/>
                <w:szCs w:val="16"/>
              </w:rPr>
              <w:t>ERP (</w:t>
            </w:r>
            <w:r w:rsidR="00D63DBA" w:rsidRPr="00A44829">
              <w:rPr>
                <w:rFonts w:cs="Arial"/>
                <w:sz w:val="16"/>
                <w:szCs w:val="16"/>
              </w:rPr>
              <w:t>r</w:t>
            </w:r>
            <w:r w:rsidRPr="00A44829">
              <w:rPr>
                <w:rFonts w:cs="Arial"/>
                <w:sz w:val="16"/>
                <w:szCs w:val="16"/>
              </w:rPr>
              <w:t xml:space="preserve">) </w:t>
            </w:r>
            <w:r w:rsidRPr="00A44829">
              <w:rPr>
                <w:rFonts w:cs="Arial"/>
                <w:sz w:val="16"/>
                <w:szCs w:val="16"/>
              </w:rPr>
              <w:br/>
              <w:t>June 201</w:t>
            </w:r>
            <w:r w:rsidR="00D63DBA" w:rsidRPr="00A44829">
              <w:rPr>
                <w:rFonts w:cs="Arial"/>
                <w:sz w:val="16"/>
                <w:szCs w:val="16"/>
              </w:rPr>
              <w:t>5</w:t>
            </w:r>
          </w:p>
        </w:tc>
        <w:tc>
          <w:tcPr>
            <w:tcW w:w="1247" w:type="dxa"/>
            <w:tcBorders>
              <w:top w:val="single" w:sz="8" w:space="0" w:color="5F497A" w:themeColor="accent4" w:themeShade="BF"/>
              <w:left w:val="nil"/>
              <w:bottom w:val="single" w:sz="8" w:space="0" w:color="5F497A" w:themeColor="accent4" w:themeShade="BF"/>
              <w:right w:val="nil"/>
            </w:tcBorders>
            <w:vAlign w:val="bottom"/>
          </w:tcPr>
          <w:p w14:paraId="7D7347CA" w14:textId="58DA7B98" w:rsidR="008D440D" w:rsidRPr="00A44829" w:rsidRDefault="008D440D" w:rsidP="008001AD">
            <w:pPr>
              <w:spacing w:before="40" w:after="20"/>
              <w:jc w:val="center"/>
              <w:rPr>
                <w:rFonts w:cs="Arial"/>
                <w:sz w:val="16"/>
                <w:szCs w:val="16"/>
              </w:rPr>
            </w:pPr>
            <w:r w:rsidRPr="00A44829">
              <w:rPr>
                <w:rFonts w:cs="Arial"/>
                <w:sz w:val="16"/>
                <w:szCs w:val="16"/>
              </w:rPr>
              <w:t xml:space="preserve">ERP (p) </w:t>
            </w:r>
            <w:r w:rsidRPr="00A44829">
              <w:rPr>
                <w:rFonts w:cs="Arial"/>
                <w:sz w:val="16"/>
                <w:szCs w:val="16"/>
              </w:rPr>
              <w:br/>
            </w:r>
            <w:r w:rsidR="00EE4593" w:rsidRPr="00A44829">
              <w:rPr>
                <w:rFonts w:cs="Arial"/>
                <w:sz w:val="16"/>
                <w:szCs w:val="16"/>
              </w:rPr>
              <w:t>June 2018</w:t>
            </w: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4A960319" w14:textId="77777777" w:rsidR="008D440D" w:rsidRPr="00A44829" w:rsidRDefault="008D440D" w:rsidP="008001AD">
            <w:pPr>
              <w:spacing w:before="40" w:after="20"/>
              <w:jc w:val="center"/>
              <w:rPr>
                <w:rFonts w:cs="Arial"/>
                <w:sz w:val="16"/>
                <w:szCs w:val="16"/>
              </w:rPr>
            </w:pPr>
            <w:r w:rsidRPr="00A44829">
              <w:rPr>
                <w:rFonts w:cs="Arial"/>
                <w:sz w:val="16"/>
                <w:szCs w:val="16"/>
              </w:rPr>
              <w:t>Growth</w:t>
            </w:r>
            <w:r w:rsidRPr="00A44829">
              <w:rPr>
                <w:rFonts w:cs="Arial"/>
                <w:sz w:val="16"/>
                <w:szCs w:val="16"/>
              </w:rPr>
              <w:br/>
              <w:t>(%)</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7801B384" w14:textId="77777777" w:rsidR="008D440D" w:rsidRPr="00A44829" w:rsidRDefault="008D440D" w:rsidP="008001AD">
            <w:pPr>
              <w:spacing w:before="40" w:after="20"/>
              <w:jc w:val="center"/>
              <w:rPr>
                <w:rFonts w:cs="Arial"/>
                <w:sz w:val="16"/>
                <w:szCs w:val="16"/>
              </w:rPr>
            </w:pP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7450BC32" w14:textId="77777777" w:rsidR="008D440D" w:rsidRPr="00A44829" w:rsidRDefault="008D440D" w:rsidP="008001AD">
            <w:pPr>
              <w:spacing w:before="40" w:after="20"/>
              <w:jc w:val="center"/>
              <w:rPr>
                <w:rFonts w:cs="Arial"/>
                <w:sz w:val="16"/>
                <w:szCs w:val="16"/>
              </w:rPr>
            </w:pPr>
            <w:r w:rsidRPr="00A44829">
              <w:rPr>
                <w:rFonts w:cs="Arial"/>
                <w:sz w:val="16"/>
                <w:szCs w:val="16"/>
              </w:rPr>
              <w:t>No.</w:t>
            </w: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850C412" w14:textId="477A7E5C" w:rsidR="008D440D" w:rsidRPr="00A44829" w:rsidRDefault="008D440D" w:rsidP="008001AD">
            <w:pPr>
              <w:spacing w:before="40" w:after="20"/>
              <w:jc w:val="center"/>
              <w:rPr>
                <w:rFonts w:cs="Arial"/>
                <w:sz w:val="16"/>
                <w:szCs w:val="16"/>
              </w:rPr>
            </w:pPr>
            <w:r w:rsidRPr="00A44829">
              <w:rPr>
                <w:rFonts w:cs="Arial"/>
                <w:sz w:val="16"/>
                <w:szCs w:val="16"/>
              </w:rPr>
              <w:t xml:space="preserve">No. / </w:t>
            </w:r>
            <w:r w:rsidRPr="00A44829">
              <w:rPr>
                <w:rFonts w:cs="Arial"/>
                <w:sz w:val="16"/>
                <w:szCs w:val="16"/>
              </w:rPr>
              <w:br/>
              <w:t>ERP(p) 201</w:t>
            </w:r>
            <w:r w:rsidR="006D4C53" w:rsidRPr="00A44829">
              <w:rPr>
                <w:rFonts w:cs="Arial"/>
                <w:sz w:val="16"/>
                <w:szCs w:val="16"/>
              </w:rPr>
              <w:t>7</w:t>
            </w:r>
            <w:r w:rsidRPr="00A44829">
              <w:rPr>
                <w:rFonts w:cs="Arial"/>
                <w:sz w:val="16"/>
                <w:szCs w:val="16"/>
              </w:rPr>
              <w:t xml:space="preserve"> </w:t>
            </w:r>
            <w:r w:rsidRPr="00A44829">
              <w:rPr>
                <w:rFonts w:cs="Arial"/>
                <w:sz w:val="16"/>
                <w:szCs w:val="16"/>
              </w:rPr>
              <w:br/>
              <w:t>(%)</w:t>
            </w:r>
          </w:p>
        </w:tc>
      </w:tr>
      <w:tr w:rsidR="00B33D8D" w:rsidRPr="001D41EA" w14:paraId="48E70558" w14:textId="77777777" w:rsidTr="00C60457">
        <w:tc>
          <w:tcPr>
            <w:tcW w:w="2268" w:type="dxa"/>
            <w:tcBorders>
              <w:top w:val="nil"/>
              <w:left w:val="nil"/>
              <w:bottom w:val="nil"/>
              <w:right w:val="single" w:sz="18" w:space="0" w:color="5F497A" w:themeColor="accent4" w:themeShade="BF"/>
            </w:tcBorders>
            <w:shd w:val="clear" w:color="auto" w:fill="auto"/>
            <w:vAlign w:val="center"/>
          </w:tcPr>
          <w:p w14:paraId="75B4F7BB" w14:textId="77777777" w:rsidR="00B33D8D" w:rsidRPr="001D41EA" w:rsidRDefault="00B33D8D" w:rsidP="001D41EA">
            <w:pPr>
              <w:spacing w:before="40" w:after="20"/>
              <w:rPr>
                <w:rFonts w:cs="Arial"/>
                <w:sz w:val="18"/>
                <w:szCs w:val="18"/>
              </w:rPr>
            </w:pPr>
          </w:p>
        </w:tc>
        <w:tc>
          <w:tcPr>
            <w:tcW w:w="1247"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3A90B84C" w14:textId="14626BC8" w:rsidR="00B33D8D" w:rsidRPr="001D41EA" w:rsidRDefault="00B33D8D" w:rsidP="001D41EA">
            <w:pPr>
              <w:spacing w:before="40" w:after="20"/>
              <w:jc w:val="right"/>
              <w:rPr>
                <w:rFonts w:cs="Arial"/>
                <w:sz w:val="18"/>
                <w:szCs w:val="18"/>
              </w:rPr>
            </w:pPr>
            <w:r w:rsidRPr="001D41EA">
              <w:rPr>
                <w:rFonts w:cs="Arial"/>
                <w:sz w:val="18"/>
                <w:szCs w:val="18"/>
              </w:rPr>
              <w:t> </w:t>
            </w:r>
          </w:p>
        </w:tc>
        <w:tc>
          <w:tcPr>
            <w:tcW w:w="1247" w:type="dxa"/>
            <w:tcBorders>
              <w:top w:val="single" w:sz="8" w:space="0" w:color="5F497A" w:themeColor="accent4" w:themeShade="BF"/>
              <w:left w:val="nil"/>
              <w:bottom w:val="nil"/>
              <w:right w:val="nil"/>
            </w:tcBorders>
            <w:vAlign w:val="bottom"/>
          </w:tcPr>
          <w:p w14:paraId="5CFAFCB8" w14:textId="77777777" w:rsidR="00B33D8D" w:rsidRPr="001D41EA" w:rsidRDefault="00B33D8D" w:rsidP="001D41EA">
            <w:pPr>
              <w:spacing w:before="40" w:after="20"/>
              <w:jc w:val="right"/>
              <w:rPr>
                <w:rFonts w:cs="Arial"/>
                <w:sz w:val="18"/>
                <w:szCs w:val="18"/>
              </w:rPr>
            </w:pPr>
          </w:p>
        </w:tc>
        <w:tc>
          <w:tcPr>
            <w:tcW w:w="1247" w:type="dxa"/>
            <w:tcBorders>
              <w:top w:val="single" w:sz="8" w:space="0" w:color="5F497A" w:themeColor="accent4" w:themeShade="BF"/>
              <w:left w:val="nil"/>
              <w:bottom w:val="nil"/>
              <w:right w:val="nil"/>
            </w:tcBorders>
            <w:shd w:val="clear" w:color="auto" w:fill="auto"/>
            <w:vAlign w:val="bottom"/>
          </w:tcPr>
          <w:p w14:paraId="23BE1921" w14:textId="1ECD8BE2" w:rsidR="00B33D8D" w:rsidRPr="001D41EA" w:rsidRDefault="00B33D8D" w:rsidP="001D41EA">
            <w:pPr>
              <w:spacing w:before="40" w:after="20"/>
              <w:jc w:val="right"/>
              <w:rPr>
                <w:rFonts w:cs="Arial"/>
                <w:sz w:val="18"/>
                <w:szCs w:val="18"/>
              </w:rPr>
            </w:pPr>
            <w:r w:rsidRPr="001D41EA">
              <w:rPr>
                <w:rFonts w:cs="Arial"/>
                <w:sz w:val="18"/>
                <w:szCs w:val="18"/>
              </w:rPr>
              <w:t> </w:t>
            </w:r>
          </w:p>
        </w:tc>
        <w:tc>
          <w:tcPr>
            <w:tcW w:w="170" w:type="dxa"/>
            <w:tcBorders>
              <w:top w:val="single" w:sz="8" w:space="0" w:color="5F497A" w:themeColor="accent4" w:themeShade="BF"/>
              <w:left w:val="nil"/>
              <w:bottom w:val="nil"/>
              <w:right w:val="nil"/>
            </w:tcBorders>
            <w:shd w:val="clear" w:color="auto" w:fill="auto"/>
            <w:vAlign w:val="bottom"/>
          </w:tcPr>
          <w:p w14:paraId="4ED6CB3F" w14:textId="0C0D077B" w:rsidR="00B33D8D" w:rsidRPr="001D41EA" w:rsidRDefault="00B33D8D" w:rsidP="001D41EA">
            <w:pPr>
              <w:spacing w:before="40" w:after="20"/>
              <w:jc w:val="right"/>
              <w:rPr>
                <w:rFonts w:cs="Arial"/>
                <w:sz w:val="18"/>
                <w:szCs w:val="18"/>
              </w:rPr>
            </w:pPr>
            <w:r w:rsidRPr="001D41EA">
              <w:rPr>
                <w:rFonts w:cs="Arial"/>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21401BEF" w14:textId="60A5FD25" w:rsidR="00B33D8D" w:rsidRPr="001D41EA" w:rsidRDefault="00B33D8D" w:rsidP="001D41EA">
            <w:pPr>
              <w:spacing w:before="40" w:after="20"/>
              <w:jc w:val="right"/>
              <w:rPr>
                <w:rFonts w:cs="Arial"/>
                <w:sz w:val="18"/>
                <w:szCs w:val="18"/>
              </w:rPr>
            </w:pPr>
            <w:r w:rsidRPr="001D41EA">
              <w:rPr>
                <w:rFonts w:cs="Arial"/>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337C76D1" w14:textId="5E6D9FFB" w:rsidR="00B33D8D" w:rsidRPr="001D41EA" w:rsidRDefault="00B33D8D" w:rsidP="001D41EA">
            <w:pPr>
              <w:spacing w:before="40" w:after="20"/>
              <w:jc w:val="right"/>
              <w:rPr>
                <w:rFonts w:cs="Arial"/>
                <w:sz w:val="18"/>
                <w:szCs w:val="18"/>
              </w:rPr>
            </w:pPr>
            <w:r w:rsidRPr="001D41EA">
              <w:rPr>
                <w:rFonts w:cs="Arial"/>
                <w:sz w:val="18"/>
                <w:szCs w:val="18"/>
              </w:rPr>
              <w:t> </w:t>
            </w:r>
          </w:p>
        </w:tc>
      </w:tr>
      <w:tr w:rsidR="00B33D8D" w:rsidRPr="001D41EA" w14:paraId="3B50529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1C4DD81" w14:textId="77777777" w:rsidR="00B33D8D" w:rsidRPr="001D41EA" w:rsidRDefault="00B33D8D" w:rsidP="001D41EA">
            <w:pPr>
              <w:spacing w:before="40" w:after="20"/>
              <w:rPr>
                <w:rFonts w:cs="Arial"/>
                <w:sz w:val="18"/>
                <w:szCs w:val="18"/>
              </w:rPr>
            </w:pPr>
            <w:r w:rsidRPr="001D41EA">
              <w:rPr>
                <w:rFonts w:cs="Arial"/>
                <w:sz w:val="18"/>
                <w:szCs w:val="18"/>
              </w:rPr>
              <w:t>Macedon Ranges S</w:t>
            </w:r>
          </w:p>
        </w:tc>
        <w:tc>
          <w:tcPr>
            <w:tcW w:w="1247" w:type="dxa"/>
            <w:tcBorders>
              <w:top w:val="nil"/>
              <w:left w:val="single" w:sz="18" w:space="0" w:color="5F497A" w:themeColor="accent4" w:themeShade="BF"/>
              <w:bottom w:val="nil"/>
              <w:right w:val="nil"/>
            </w:tcBorders>
            <w:shd w:val="clear" w:color="auto" w:fill="auto"/>
            <w:vAlign w:val="bottom"/>
          </w:tcPr>
          <w:p w14:paraId="58728437" w14:textId="2E9F4051" w:rsidR="00B33D8D" w:rsidRPr="001D41EA" w:rsidRDefault="00B33D8D" w:rsidP="001D41EA">
            <w:pPr>
              <w:spacing w:before="40" w:after="20"/>
              <w:jc w:val="right"/>
              <w:rPr>
                <w:rFonts w:cs="Arial"/>
                <w:sz w:val="18"/>
                <w:szCs w:val="18"/>
              </w:rPr>
            </w:pPr>
            <w:r w:rsidRPr="001D41EA">
              <w:rPr>
                <w:rFonts w:cs="Arial"/>
                <w:sz w:val="18"/>
                <w:szCs w:val="18"/>
              </w:rPr>
              <w:t>44,702</w:t>
            </w:r>
          </w:p>
        </w:tc>
        <w:tc>
          <w:tcPr>
            <w:tcW w:w="1247" w:type="dxa"/>
            <w:tcBorders>
              <w:top w:val="nil"/>
              <w:left w:val="nil"/>
              <w:bottom w:val="nil"/>
              <w:right w:val="nil"/>
            </w:tcBorders>
            <w:vAlign w:val="bottom"/>
          </w:tcPr>
          <w:p w14:paraId="3C471077" w14:textId="2E733EFD" w:rsidR="00B33D8D" w:rsidRPr="001D41EA" w:rsidRDefault="00B33D8D" w:rsidP="001D41EA">
            <w:pPr>
              <w:spacing w:before="40" w:after="20"/>
              <w:jc w:val="right"/>
              <w:rPr>
                <w:rFonts w:cs="Arial"/>
                <w:sz w:val="18"/>
                <w:szCs w:val="18"/>
              </w:rPr>
            </w:pPr>
            <w:r w:rsidRPr="001D41EA">
              <w:rPr>
                <w:rFonts w:cs="Arial"/>
                <w:sz w:val="18"/>
                <w:szCs w:val="18"/>
              </w:rPr>
              <w:t>49,388</w:t>
            </w:r>
          </w:p>
        </w:tc>
        <w:tc>
          <w:tcPr>
            <w:tcW w:w="1247" w:type="dxa"/>
            <w:tcBorders>
              <w:top w:val="nil"/>
              <w:left w:val="nil"/>
              <w:bottom w:val="nil"/>
              <w:right w:val="nil"/>
            </w:tcBorders>
            <w:shd w:val="clear" w:color="auto" w:fill="auto"/>
            <w:vAlign w:val="bottom"/>
          </w:tcPr>
          <w:p w14:paraId="0D4F80F2" w14:textId="16444867" w:rsidR="00B33D8D" w:rsidRPr="001D41EA" w:rsidRDefault="00B33D8D" w:rsidP="001D41EA">
            <w:pPr>
              <w:spacing w:before="40" w:after="20"/>
              <w:jc w:val="right"/>
              <w:rPr>
                <w:rFonts w:cs="Arial"/>
                <w:sz w:val="18"/>
                <w:szCs w:val="18"/>
              </w:rPr>
            </w:pPr>
            <w:r w:rsidRPr="001D41EA">
              <w:rPr>
                <w:rFonts w:cs="Arial"/>
                <w:sz w:val="18"/>
                <w:szCs w:val="18"/>
              </w:rPr>
              <w:t>10.5</w:t>
            </w:r>
          </w:p>
        </w:tc>
        <w:tc>
          <w:tcPr>
            <w:tcW w:w="170" w:type="dxa"/>
            <w:tcBorders>
              <w:top w:val="nil"/>
              <w:left w:val="nil"/>
              <w:bottom w:val="nil"/>
              <w:right w:val="nil"/>
            </w:tcBorders>
            <w:shd w:val="clear" w:color="auto" w:fill="auto"/>
            <w:vAlign w:val="bottom"/>
          </w:tcPr>
          <w:p w14:paraId="3E1283FA" w14:textId="549A5EC0"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75DF345" w14:textId="4131C298" w:rsidR="00B33D8D" w:rsidRPr="001D41EA" w:rsidRDefault="00B33D8D" w:rsidP="001D41EA">
            <w:pPr>
              <w:spacing w:before="40" w:after="20"/>
              <w:jc w:val="right"/>
              <w:rPr>
                <w:rFonts w:cs="Arial"/>
                <w:sz w:val="18"/>
                <w:szCs w:val="18"/>
              </w:rPr>
            </w:pPr>
            <w:r w:rsidRPr="001D41EA">
              <w:rPr>
                <w:rFonts w:cs="Arial"/>
                <w:sz w:val="18"/>
                <w:szCs w:val="18"/>
              </w:rPr>
              <w:t>4,017</w:t>
            </w:r>
          </w:p>
        </w:tc>
        <w:tc>
          <w:tcPr>
            <w:tcW w:w="1247" w:type="dxa"/>
            <w:tcBorders>
              <w:top w:val="nil"/>
              <w:left w:val="nil"/>
              <w:bottom w:val="nil"/>
              <w:right w:val="nil"/>
            </w:tcBorders>
            <w:shd w:val="clear" w:color="auto" w:fill="auto"/>
            <w:vAlign w:val="bottom"/>
          </w:tcPr>
          <w:p w14:paraId="1A4A9C06" w14:textId="2D0308B4" w:rsidR="00B33D8D" w:rsidRPr="001D41EA" w:rsidRDefault="00B33D8D" w:rsidP="001D41EA">
            <w:pPr>
              <w:spacing w:before="40" w:after="20"/>
              <w:jc w:val="right"/>
              <w:rPr>
                <w:rFonts w:cs="Arial"/>
                <w:sz w:val="18"/>
                <w:szCs w:val="18"/>
              </w:rPr>
            </w:pPr>
            <w:r w:rsidRPr="001D41EA">
              <w:rPr>
                <w:rFonts w:cs="Arial"/>
                <w:sz w:val="18"/>
                <w:szCs w:val="18"/>
              </w:rPr>
              <w:t>8.1</w:t>
            </w:r>
          </w:p>
        </w:tc>
      </w:tr>
      <w:tr w:rsidR="00B33D8D" w:rsidRPr="001D41EA" w14:paraId="031C757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37E5955" w14:textId="77777777" w:rsidR="00B33D8D" w:rsidRPr="001D41EA" w:rsidRDefault="00B33D8D" w:rsidP="001D41EA">
            <w:pPr>
              <w:spacing w:before="40" w:after="20"/>
              <w:rPr>
                <w:rFonts w:cs="Arial"/>
                <w:sz w:val="18"/>
                <w:szCs w:val="18"/>
              </w:rPr>
            </w:pPr>
            <w:r w:rsidRPr="001D41EA">
              <w:rPr>
                <w:rFonts w:cs="Arial"/>
                <w:sz w:val="18"/>
                <w:szCs w:val="18"/>
              </w:rPr>
              <w:t>Manningham C</w:t>
            </w:r>
          </w:p>
        </w:tc>
        <w:tc>
          <w:tcPr>
            <w:tcW w:w="1247" w:type="dxa"/>
            <w:tcBorders>
              <w:top w:val="nil"/>
              <w:left w:val="single" w:sz="18" w:space="0" w:color="5F497A" w:themeColor="accent4" w:themeShade="BF"/>
              <w:bottom w:val="nil"/>
              <w:right w:val="nil"/>
            </w:tcBorders>
            <w:shd w:val="clear" w:color="auto" w:fill="auto"/>
            <w:vAlign w:val="bottom"/>
          </w:tcPr>
          <w:p w14:paraId="7135D4DD" w14:textId="68719FCE" w:rsidR="00B33D8D" w:rsidRPr="001D41EA" w:rsidRDefault="00B33D8D" w:rsidP="001D41EA">
            <w:pPr>
              <w:spacing w:before="40" w:after="20"/>
              <w:jc w:val="right"/>
              <w:rPr>
                <w:rFonts w:cs="Arial"/>
                <w:sz w:val="18"/>
                <w:szCs w:val="18"/>
              </w:rPr>
            </w:pPr>
            <w:r w:rsidRPr="001D41EA">
              <w:rPr>
                <w:rFonts w:cs="Arial"/>
                <w:sz w:val="18"/>
                <w:szCs w:val="18"/>
              </w:rPr>
              <w:t>118,485</w:t>
            </w:r>
          </w:p>
        </w:tc>
        <w:tc>
          <w:tcPr>
            <w:tcW w:w="1247" w:type="dxa"/>
            <w:tcBorders>
              <w:top w:val="nil"/>
              <w:left w:val="nil"/>
              <w:bottom w:val="nil"/>
              <w:right w:val="nil"/>
            </w:tcBorders>
            <w:vAlign w:val="bottom"/>
          </w:tcPr>
          <w:p w14:paraId="39340AF6" w14:textId="6A0C8770" w:rsidR="00B33D8D" w:rsidRPr="001D41EA" w:rsidRDefault="00B33D8D" w:rsidP="001D41EA">
            <w:pPr>
              <w:spacing w:before="40" w:after="20"/>
              <w:jc w:val="right"/>
              <w:rPr>
                <w:rFonts w:cs="Arial"/>
                <w:sz w:val="18"/>
                <w:szCs w:val="18"/>
              </w:rPr>
            </w:pPr>
            <w:r w:rsidRPr="001D41EA">
              <w:rPr>
                <w:rFonts w:cs="Arial"/>
                <w:sz w:val="18"/>
                <w:szCs w:val="18"/>
              </w:rPr>
              <w:t>125,508</w:t>
            </w:r>
          </w:p>
        </w:tc>
        <w:tc>
          <w:tcPr>
            <w:tcW w:w="1247" w:type="dxa"/>
            <w:tcBorders>
              <w:top w:val="nil"/>
              <w:left w:val="nil"/>
              <w:bottom w:val="nil"/>
              <w:right w:val="nil"/>
            </w:tcBorders>
            <w:shd w:val="clear" w:color="auto" w:fill="auto"/>
            <w:vAlign w:val="bottom"/>
          </w:tcPr>
          <w:p w14:paraId="1C954FC5" w14:textId="7DB4B936" w:rsidR="00B33D8D" w:rsidRPr="001D41EA" w:rsidRDefault="00B33D8D" w:rsidP="001D41EA">
            <w:pPr>
              <w:spacing w:before="40" w:after="20"/>
              <w:jc w:val="right"/>
              <w:rPr>
                <w:rFonts w:cs="Arial"/>
                <w:sz w:val="18"/>
                <w:szCs w:val="18"/>
              </w:rPr>
            </w:pPr>
            <w:r w:rsidRPr="001D41EA">
              <w:rPr>
                <w:rFonts w:cs="Arial"/>
                <w:sz w:val="18"/>
                <w:szCs w:val="18"/>
              </w:rPr>
              <w:t>5.9</w:t>
            </w:r>
          </w:p>
        </w:tc>
        <w:tc>
          <w:tcPr>
            <w:tcW w:w="170" w:type="dxa"/>
            <w:tcBorders>
              <w:top w:val="nil"/>
              <w:left w:val="nil"/>
              <w:bottom w:val="nil"/>
              <w:right w:val="nil"/>
            </w:tcBorders>
            <w:shd w:val="clear" w:color="auto" w:fill="auto"/>
            <w:vAlign w:val="bottom"/>
          </w:tcPr>
          <w:p w14:paraId="2721E839" w14:textId="1932518B"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5AD69A43" w14:textId="3A6EFDF7" w:rsidR="00B33D8D" w:rsidRPr="001D41EA" w:rsidRDefault="00B33D8D" w:rsidP="001D41EA">
            <w:pPr>
              <w:spacing w:before="40" w:after="20"/>
              <w:jc w:val="right"/>
              <w:rPr>
                <w:rFonts w:cs="Arial"/>
                <w:sz w:val="18"/>
                <w:szCs w:val="18"/>
              </w:rPr>
            </w:pPr>
            <w:r w:rsidRPr="001D41EA">
              <w:rPr>
                <w:rFonts w:cs="Arial"/>
                <w:sz w:val="18"/>
                <w:szCs w:val="18"/>
              </w:rPr>
              <w:t>7,782</w:t>
            </w:r>
          </w:p>
        </w:tc>
        <w:tc>
          <w:tcPr>
            <w:tcW w:w="1247" w:type="dxa"/>
            <w:tcBorders>
              <w:top w:val="nil"/>
              <w:left w:val="nil"/>
              <w:bottom w:val="nil"/>
              <w:right w:val="nil"/>
            </w:tcBorders>
            <w:shd w:val="clear" w:color="auto" w:fill="auto"/>
            <w:vAlign w:val="bottom"/>
          </w:tcPr>
          <w:p w14:paraId="75E8E815" w14:textId="4F11B69C" w:rsidR="00B33D8D" w:rsidRPr="001D41EA" w:rsidRDefault="00B33D8D" w:rsidP="001D41EA">
            <w:pPr>
              <w:spacing w:before="40" w:after="20"/>
              <w:jc w:val="right"/>
              <w:rPr>
                <w:rFonts w:cs="Arial"/>
                <w:sz w:val="18"/>
                <w:szCs w:val="18"/>
              </w:rPr>
            </w:pPr>
            <w:r w:rsidRPr="001D41EA">
              <w:rPr>
                <w:rFonts w:cs="Arial"/>
                <w:sz w:val="18"/>
                <w:szCs w:val="18"/>
              </w:rPr>
              <w:t>6.2</w:t>
            </w:r>
          </w:p>
        </w:tc>
      </w:tr>
      <w:tr w:rsidR="00B33D8D" w:rsidRPr="001D41EA" w14:paraId="74C04ADD"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5D388EE" w14:textId="77777777" w:rsidR="00B33D8D" w:rsidRPr="001D41EA" w:rsidRDefault="00B33D8D" w:rsidP="001D41EA">
            <w:pPr>
              <w:spacing w:before="40" w:after="20"/>
              <w:rPr>
                <w:rFonts w:cs="Arial"/>
                <w:sz w:val="18"/>
                <w:szCs w:val="18"/>
              </w:rPr>
            </w:pPr>
            <w:r w:rsidRPr="001D41EA">
              <w:rPr>
                <w:rFonts w:cs="Arial"/>
                <w:sz w:val="18"/>
                <w:szCs w:val="18"/>
              </w:rPr>
              <w:t>Mansfield S</w:t>
            </w:r>
          </w:p>
        </w:tc>
        <w:tc>
          <w:tcPr>
            <w:tcW w:w="1247" w:type="dxa"/>
            <w:tcBorders>
              <w:top w:val="nil"/>
              <w:left w:val="single" w:sz="18" w:space="0" w:color="5F497A" w:themeColor="accent4" w:themeShade="BF"/>
              <w:bottom w:val="nil"/>
              <w:right w:val="nil"/>
            </w:tcBorders>
            <w:shd w:val="clear" w:color="auto" w:fill="auto"/>
            <w:vAlign w:val="bottom"/>
          </w:tcPr>
          <w:p w14:paraId="4F391AD5" w14:textId="75975C41" w:rsidR="00B33D8D" w:rsidRPr="001D41EA" w:rsidRDefault="00B33D8D" w:rsidP="001D41EA">
            <w:pPr>
              <w:spacing w:before="40" w:after="20"/>
              <w:jc w:val="right"/>
              <w:rPr>
                <w:rFonts w:cs="Arial"/>
                <w:sz w:val="18"/>
                <w:szCs w:val="18"/>
              </w:rPr>
            </w:pPr>
            <w:r w:rsidRPr="001D41EA">
              <w:rPr>
                <w:rFonts w:cs="Arial"/>
                <w:sz w:val="18"/>
                <w:szCs w:val="18"/>
              </w:rPr>
              <w:t>8,471</w:t>
            </w:r>
          </w:p>
        </w:tc>
        <w:tc>
          <w:tcPr>
            <w:tcW w:w="1247" w:type="dxa"/>
            <w:tcBorders>
              <w:top w:val="nil"/>
              <w:left w:val="nil"/>
              <w:bottom w:val="nil"/>
              <w:right w:val="nil"/>
            </w:tcBorders>
            <w:vAlign w:val="bottom"/>
          </w:tcPr>
          <w:p w14:paraId="5CC73E69" w14:textId="4ABB24CC" w:rsidR="00B33D8D" w:rsidRPr="001D41EA" w:rsidRDefault="00B33D8D" w:rsidP="001D41EA">
            <w:pPr>
              <w:spacing w:before="40" w:after="20"/>
              <w:jc w:val="right"/>
              <w:rPr>
                <w:rFonts w:cs="Arial"/>
                <w:sz w:val="18"/>
                <w:szCs w:val="18"/>
              </w:rPr>
            </w:pPr>
            <w:r w:rsidRPr="001D41EA">
              <w:rPr>
                <w:rFonts w:cs="Arial"/>
                <w:sz w:val="18"/>
                <w:szCs w:val="18"/>
              </w:rPr>
              <w:t>9,253</w:t>
            </w:r>
          </w:p>
        </w:tc>
        <w:tc>
          <w:tcPr>
            <w:tcW w:w="1247" w:type="dxa"/>
            <w:tcBorders>
              <w:top w:val="nil"/>
              <w:left w:val="nil"/>
              <w:bottom w:val="nil"/>
              <w:right w:val="nil"/>
            </w:tcBorders>
            <w:shd w:val="clear" w:color="auto" w:fill="auto"/>
            <w:vAlign w:val="bottom"/>
          </w:tcPr>
          <w:p w14:paraId="62B22499" w14:textId="087F7144" w:rsidR="00B33D8D" w:rsidRPr="001D41EA" w:rsidRDefault="00B33D8D" w:rsidP="001D41EA">
            <w:pPr>
              <w:spacing w:before="40" w:after="20"/>
              <w:jc w:val="right"/>
              <w:rPr>
                <w:rFonts w:cs="Arial"/>
                <w:sz w:val="18"/>
                <w:szCs w:val="18"/>
              </w:rPr>
            </w:pPr>
            <w:r w:rsidRPr="001D41EA">
              <w:rPr>
                <w:rFonts w:cs="Arial"/>
                <w:sz w:val="18"/>
                <w:szCs w:val="18"/>
              </w:rPr>
              <w:t>9.2</w:t>
            </w:r>
          </w:p>
        </w:tc>
        <w:tc>
          <w:tcPr>
            <w:tcW w:w="170" w:type="dxa"/>
            <w:tcBorders>
              <w:top w:val="nil"/>
              <w:left w:val="nil"/>
              <w:bottom w:val="nil"/>
              <w:right w:val="nil"/>
            </w:tcBorders>
            <w:shd w:val="clear" w:color="auto" w:fill="auto"/>
            <w:vAlign w:val="bottom"/>
          </w:tcPr>
          <w:p w14:paraId="6732F558" w14:textId="1C28F84D"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28FB2329" w14:textId="6ACA5718" w:rsidR="00B33D8D" w:rsidRPr="001D41EA" w:rsidRDefault="00B33D8D" w:rsidP="001D41EA">
            <w:pPr>
              <w:spacing w:before="40" w:after="20"/>
              <w:jc w:val="right"/>
              <w:rPr>
                <w:rFonts w:cs="Arial"/>
                <w:sz w:val="18"/>
                <w:szCs w:val="18"/>
              </w:rPr>
            </w:pPr>
            <w:r w:rsidRPr="001D41EA">
              <w:rPr>
                <w:rFonts w:cs="Arial"/>
                <w:sz w:val="18"/>
                <w:szCs w:val="18"/>
              </w:rPr>
              <w:t>585</w:t>
            </w:r>
          </w:p>
        </w:tc>
        <w:tc>
          <w:tcPr>
            <w:tcW w:w="1247" w:type="dxa"/>
            <w:tcBorders>
              <w:top w:val="nil"/>
              <w:left w:val="nil"/>
              <w:bottom w:val="nil"/>
              <w:right w:val="nil"/>
            </w:tcBorders>
            <w:shd w:val="clear" w:color="auto" w:fill="auto"/>
            <w:vAlign w:val="bottom"/>
          </w:tcPr>
          <w:p w14:paraId="4580AED7" w14:textId="6F7C2B9A" w:rsidR="00B33D8D" w:rsidRPr="001D41EA" w:rsidRDefault="00B33D8D" w:rsidP="001D41EA">
            <w:pPr>
              <w:spacing w:before="40" w:after="20"/>
              <w:jc w:val="right"/>
              <w:rPr>
                <w:rFonts w:cs="Arial"/>
                <w:sz w:val="18"/>
                <w:szCs w:val="18"/>
              </w:rPr>
            </w:pPr>
            <w:r w:rsidRPr="001D41EA">
              <w:rPr>
                <w:rFonts w:cs="Arial"/>
                <w:sz w:val="18"/>
                <w:szCs w:val="18"/>
              </w:rPr>
              <w:t>6.3</w:t>
            </w:r>
          </w:p>
        </w:tc>
      </w:tr>
      <w:tr w:rsidR="00B33D8D" w:rsidRPr="001D41EA" w14:paraId="1D564618"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004FB8C" w14:textId="77777777" w:rsidR="00B33D8D" w:rsidRPr="001D41EA" w:rsidRDefault="00B33D8D" w:rsidP="001D41EA">
            <w:pPr>
              <w:spacing w:before="40" w:after="20"/>
              <w:rPr>
                <w:rFonts w:cs="Arial"/>
                <w:sz w:val="18"/>
                <w:szCs w:val="18"/>
              </w:rPr>
            </w:pPr>
            <w:r w:rsidRPr="001D41EA">
              <w:rPr>
                <w:rFonts w:cs="Arial"/>
                <w:sz w:val="18"/>
                <w:szCs w:val="18"/>
              </w:rPr>
              <w:t>Maribyrnong C</w:t>
            </w:r>
          </w:p>
        </w:tc>
        <w:tc>
          <w:tcPr>
            <w:tcW w:w="1247" w:type="dxa"/>
            <w:tcBorders>
              <w:top w:val="nil"/>
              <w:left w:val="single" w:sz="18" w:space="0" w:color="5F497A" w:themeColor="accent4" w:themeShade="BF"/>
              <w:bottom w:val="nil"/>
              <w:right w:val="nil"/>
            </w:tcBorders>
            <w:shd w:val="clear" w:color="auto" w:fill="auto"/>
            <w:vAlign w:val="bottom"/>
          </w:tcPr>
          <w:p w14:paraId="2A32D5B2" w14:textId="09A1A4C4" w:rsidR="00B33D8D" w:rsidRPr="001D41EA" w:rsidRDefault="00B33D8D" w:rsidP="001D41EA">
            <w:pPr>
              <w:spacing w:before="40" w:after="20"/>
              <w:jc w:val="right"/>
              <w:rPr>
                <w:rFonts w:cs="Arial"/>
                <w:sz w:val="18"/>
                <w:szCs w:val="18"/>
              </w:rPr>
            </w:pPr>
            <w:r w:rsidRPr="001D41EA">
              <w:rPr>
                <w:rFonts w:cs="Arial"/>
                <w:sz w:val="18"/>
                <w:szCs w:val="18"/>
              </w:rPr>
              <w:t>81,831</w:t>
            </w:r>
          </w:p>
        </w:tc>
        <w:tc>
          <w:tcPr>
            <w:tcW w:w="1247" w:type="dxa"/>
            <w:tcBorders>
              <w:top w:val="nil"/>
              <w:left w:val="nil"/>
              <w:bottom w:val="nil"/>
              <w:right w:val="nil"/>
            </w:tcBorders>
            <w:vAlign w:val="bottom"/>
          </w:tcPr>
          <w:p w14:paraId="7B3CCB1A" w14:textId="193AA362" w:rsidR="00B33D8D" w:rsidRPr="001D41EA" w:rsidRDefault="00B33D8D" w:rsidP="001D41EA">
            <w:pPr>
              <w:spacing w:before="40" w:after="20"/>
              <w:jc w:val="right"/>
              <w:rPr>
                <w:rFonts w:cs="Arial"/>
                <w:sz w:val="18"/>
                <w:szCs w:val="18"/>
              </w:rPr>
            </w:pPr>
            <w:r w:rsidRPr="001D41EA">
              <w:rPr>
                <w:rFonts w:cs="Arial"/>
                <w:sz w:val="18"/>
                <w:szCs w:val="18"/>
              </w:rPr>
              <w:t>91,387</w:t>
            </w:r>
          </w:p>
        </w:tc>
        <w:tc>
          <w:tcPr>
            <w:tcW w:w="1247" w:type="dxa"/>
            <w:tcBorders>
              <w:top w:val="nil"/>
              <w:left w:val="nil"/>
              <w:bottom w:val="nil"/>
              <w:right w:val="nil"/>
            </w:tcBorders>
            <w:shd w:val="clear" w:color="auto" w:fill="auto"/>
            <w:vAlign w:val="bottom"/>
          </w:tcPr>
          <w:p w14:paraId="6648A28C" w14:textId="799AB892" w:rsidR="00B33D8D" w:rsidRPr="001D41EA" w:rsidRDefault="00B33D8D" w:rsidP="001D41EA">
            <w:pPr>
              <w:spacing w:before="40" w:after="20"/>
              <w:jc w:val="right"/>
              <w:rPr>
                <w:rFonts w:cs="Arial"/>
                <w:sz w:val="18"/>
                <w:szCs w:val="18"/>
              </w:rPr>
            </w:pPr>
            <w:r w:rsidRPr="001D41EA">
              <w:rPr>
                <w:rFonts w:cs="Arial"/>
                <w:sz w:val="18"/>
                <w:szCs w:val="18"/>
              </w:rPr>
              <w:t>11.7</w:t>
            </w:r>
          </w:p>
        </w:tc>
        <w:tc>
          <w:tcPr>
            <w:tcW w:w="170" w:type="dxa"/>
            <w:tcBorders>
              <w:top w:val="nil"/>
              <w:left w:val="nil"/>
              <w:bottom w:val="nil"/>
              <w:right w:val="nil"/>
            </w:tcBorders>
            <w:shd w:val="clear" w:color="auto" w:fill="auto"/>
            <w:vAlign w:val="bottom"/>
          </w:tcPr>
          <w:p w14:paraId="0B90C9AD" w14:textId="3FA7AE4D"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4C95AC24" w14:textId="1ED6A427" w:rsidR="00B33D8D" w:rsidRPr="001D41EA" w:rsidRDefault="00B33D8D" w:rsidP="001D41EA">
            <w:pPr>
              <w:spacing w:before="40" w:after="20"/>
              <w:jc w:val="right"/>
              <w:rPr>
                <w:rFonts w:cs="Arial"/>
                <w:sz w:val="18"/>
                <w:szCs w:val="18"/>
              </w:rPr>
            </w:pPr>
            <w:r w:rsidRPr="001D41EA">
              <w:rPr>
                <w:rFonts w:cs="Arial"/>
                <w:sz w:val="18"/>
                <w:szCs w:val="18"/>
              </w:rPr>
              <w:t>7,320</w:t>
            </w:r>
          </w:p>
        </w:tc>
        <w:tc>
          <w:tcPr>
            <w:tcW w:w="1247" w:type="dxa"/>
            <w:tcBorders>
              <w:top w:val="nil"/>
              <w:left w:val="nil"/>
              <w:bottom w:val="nil"/>
              <w:right w:val="nil"/>
            </w:tcBorders>
            <w:shd w:val="clear" w:color="auto" w:fill="auto"/>
            <w:vAlign w:val="bottom"/>
          </w:tcPr>
          <w:p w14:paraId="24F9C70F" w14:textId="2B644064" w:rsidR="00B33D8D" w:rsidRPr="001D41EA" w:rsidRDefault="00B33D8D" w:rsidP="001D41EA">
            <w:pPr>
              <w:spacing w:before="40" w:after="20"/>
              <w:jc w:val="right"/>
              <w:rPr>
                <w:rFonts w:cs="Arial"/>
                <w:sz w:val="18"/>
                <w:szCs w:val="18"/>
              </w:rPr>
            </w:pPr>
            <w:r w:rsidRPr="001D41EA">
              <w:rPr>
                <w:rFonts w:cs="Arial"/>
                <w:sz w:val="18"/>
                <w:szCs w:val="18"/>
              </w:rPr>
              <w:t>8.0</w:t>
            </w:r>
          </w:p>
        </w:tc>
      </w:tr>
      <w:tr w:rsidR="00B33D8D" w:rsidRPr="001D41EA" w14:paraId="3F80462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1CBD0AD" w14:textId="77777777" w:rsidR="00B33D8D" w:rsidRPr="001D41EA" w:rsidRDefault="00B33D8D" w:rsidP="001D41EA">
            <w:pPr>
              <w:spacing w:before="40" w:after="20"/>
              <w:rPr>
                <w:rFonts w:cs="Arial"/>
                <w:sz w:val="18"/>
                <w:szCs w:val="18"/>
              </w:rPr>
            </w:pPr>
            <w:r w:rsidRPr="001D41EA">
              <w:rPr>
                <w:rFonts w:cs="Arial"/>
                <w:sz w:val="18"/>
                <w:szCs w:val="18"/>
              </w:rPr>
              <w:t>Maroondah C</w:t>
            </w:r>
          </w:p>
        </w:tc>
        <w:tc>
          <w:tcPr>
            <w:tcW w:w="1247" w:type="dxa"/>
            <w:tcBorders>
              <w:top w:val="nil"/>
              <w:left w:val="single" w:sz="18" w:space="0" w:color="5F497A" w:themeColor="accent4" w:themeShade="BF"/>
              <w:bottom w:val="nil"/>
              <w:right w:val="nil"/>
            </w:tcBorders>
            <w:shd w:val="clear" w:color="auto" w:fill="auto"/>
            <w:vAlign w:val="bottom"/>
          </w:tcPr>
          <w:p w14:paraId="53113B0A" w14:textId="4006F619" w:rsidR="00B33D8D" w:rsidRPr="001D41EA" w:rsidRDefault="00B33D8D" w:rsidP="001D41EA">
            <w:pPr>
              <w:spacing w:before="40" w:after="20"/>
              <w:jc w:val="right"/>
              <w:rPr>
                <w:rFonts w:cs="Arial"/>
                <w:sz w:val="18"/>
                <w:szCs w:val="18"/>
              </w:rPr>
            </w:pPr>
            <w:r w:rsidRPr="001D41EA">
              <w:rPr>
                <w:rFonts w:cs="Arial"/>
                <w:sz w:val="18"/>
                <w:szCs w:val="18"/>
              </w:rPr>
              <w:t>111,185</w:t>
            </w:r>
          </w:p>
        </w:tc>
        <w:tc>
          <w:tcPr>
            <w:tcW w:w="1247" w:type="dxa"/>
            <w:tcBorders>
              <w:top w:val="nil"/>
              <w:left w:val="nil"/>
              <w:bottom w:val="nil"/>
              <w:right w:val="nil"/>
            </w:tcBorders>
            <w:vAlign w:val="bottom"/>
          </w:tcPr>
          <w:p w14:paraId="5712BF54" w14:textId="661BF8A4" w:rsidR="00B33D8D" w:rsidRPr="001D41EA" w:rsidRDefault="00B33D8D" w:rsidP="001D41EA">
            <w:pPr>
              <w:spacing w:before="40" w:after="20"/>
              <w:jc w:val="right"/>
              <w:rPr>
                <w:rFonts w:cs="Arial"/>
                <w:sz w:val="18"/>
                <w:szCs w:val="18"/>
              </w:rPr>
            </w:pPr>
            <w:r w:rsidRPr="001D41EA">
              <w:rPr>
                <w:rFonts w:cs="Arial"/>
                <w:sz w:val="18"/>
                <w:szCs w:val="18"/>
              </w:rPr>
              <w:t>117,498</w:t>
            </w:r>
          </w:p>
        </w:tc>
        <w:tc>
          <w:tcPr>
            <w:tcW w:w="1247" w:type="dxa"/>
            <w:tcBorders>
              <w:top w:val="nil"/>
              <w:left w:val="nil"/>
              <w:bottom w:val="nil"/>
              <w:right w:val="nil"/>
            </w:tcBorders>
            <w:shd w:val="clear" w:color="auto" w:fill="auto"/>
            <w:vAlign w:val="bottom"/>
          </w:tcPr>
          <w:p w14:paraId="0542EB69" w14:textId="5A1EAA6E" w:rsidR="00B33D8D" w:rsidRPr="001D41EA" w:rsidRDefault="00B33D8D" w:rsidP="001D41EA">
            <w:pPr>
              <w:spacing w:before="40" w:after="20"/>
              <w:jc w:val="right"/>
              <w:rPr>
                <w:rFonts w:cs="Arial"/>
                <w:sz w:val="18"/>
                <w:szCs w:val="18"/>
              </w:rPr>
            </w:pPr>
            <w:r w:rsidRPr="001D41EA">
              <w:rPr>
                <w:rFonts w:cs="Arial"/>
                <w:sz w:val="18"/>
                <w:szCs w:val="18"/>
              </w:rPr>
              <w:t>5.7</w:t>
            </w:r>
          </w:p>
        </w:tc>
        <w:tc>
          <w:tcPr>
            <w:tcW w:w="170" w:type="dxa"/>
            <w:tcBorders>
              <w:top w:val="nil"/>
              <w:left w:val="nil"/>
              <w:bottom w:val="nil"/>
              <w:right w:val="nil"/>
            </w:tcBorders>
            <w:shd w:val="clear" w:color="auto" w:fill="auto"/>
            <w:vAlign w:val="bottom"/>
          </w:tcPr>
          <w:p w14:paraId="734DD237" w14:textId="657D2BA7"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0B86753B" w14:textId="0E00A2E0" w:rsidR="00B33D8D" w:rsidRPr="001D41EA" w:rsidRDefault="00B33D8D" w:rsidP="001D41EA">
            <w:pPr>
              <w:spacing w:before="40" w:after="20"/>
              <w:jc w:val="right"/>
              <w:rPr>
                <w:rFonts w:cs="Arial"/>
                <w:sz w:val="18"/>
                <w:szCs w:val="18"/>
              </w:rPr>
            </w:pPr>
            <w:r w:rsidRPr="001D41EA">
              <w:rPr>
                <w:rFonts w:cs="Arial"/>
                <w:sz w:val="18"/>
                <w:szCs w:val="18"/>
              </w:rPr>
              <w:t>9,543</w:t>
            </w:r>
          </w:p>
        </w:tc>
        <w:tc>
          <w:tcPr>
            <w:tcW w:w="1247" w:type="dxa"/>
            <w:tcBorders>
              <w:top w:val="nil"/>
              <w:left w:val="nil"/>
              <w:bottom w:val="nil"/>
              <w:right w:val="nil"/>
            </w:tcBorders>
            <w:shd w:val="clear" w:color="auto" w:fill="auto"/>
            <w:vAlign w:val="bottom"/>
          </w:tcPr>
          <w:p w14:paraId="404C059E" w14:textId="497532DB" w:rsidR="00B33D8D" w:rsidRPr="001D41EA" w:rsidRDefault="00B33D8D" w:rsidP="001D41EA">
            <w:pPr>
              <w:spacing w:before="40" w:after="20"/>
              <w:jc w:val="right"/>
              <w:rPr>
                <w:rFonts w:cs="Arial"/>
                <w:sz w:val="18"/>
                <w:szCs w:val="18"/>
              </w:rPr>
            </w:pPr>
            <w:r w:rsidRPr="001D41EA">
              <w:rPr>
                <w:rFonts w:cs="Arial"/>
                <w:sz w:val="18"/>
                <w:szCs w:val="18"/>
              </w:rPr>
              <w:t>8.1</w:t>
            </w:r>
          </w:p>
        </w:tc>
      </w:tr>
      <w:tr w:rsidR="00B33D8D" w:rsidRPr="001D41EA" w14:paraId="48F66583"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7112D00" w14:textId="77777777" w:rsidR="00B33D8D" w:rsidRPr="001D41EA" w:rsidRDefault="00B33D8D" w:rsidP="001D41EA">
            <w:pPr>
              <w:spacing w:before="40" w:after="20"/>
              <w:rPr>
                <w:rFonts w:cs="Arial"/>
                <w:sz w:val="18"/>
                <w:szCs w:val="18"/>
              </w:rPr>
            </w:pPr>
            <w:r w:rsidRPr="001D41EA">
              <w:rPr>
                <w:rFonts w:cs="Arial"/>
                <w:sz w:val="18"/>
                <w:szCs w:val="18"/>
              </w:rPr>
              <w:t>Melbourne C</w:t>
            </w:r>
          </w:p>
        </w:tc>
        <w:tc>
          <w:tcPr>
            <w:tcW w:w="1247" w:type="dxa"/>
            <w:tcBorders>
              <w:top w:val="nil"/>
              <w:left w:val="single" w:sz="18" w:space="0" w:color="5F497A" w:themeColor="accent4" w:themeShade="BF"/>
              <w:bottom w:val="nil"/>
              <w:right w:val="nil"/>
            </w:tcBorders>
            <w:shd w:val="clear" w:color="auto" w:fill="auto"/>
            <w:vAlign w:val="bottom"/>
          </w:tcPr>
          <w:p w14:paraId="28F82E1F" w14:textId="302CE057" w:rsidR="00B33D8D" w:rsidRPr="001D41EA" w:rsidRDefault="00B33D8D" w:rsidP="001D41EA">
            <w:pPr>
              <w:spacing w:before="40" w:after="20"/>
              <w:jc w:val="right"/>
              <w:rPr>
                <w:rFonts w:cs="Arial"/>
                <w:sz w:val="18"/>
                <w:szCs w:val="18"/>
              </w:rPr>
            </w:pPr>
            <w:r w:rsidRPr="001D41EA">
              <w:rPr>
                <w:rFonts w:cs="Arial"/>
                <w:sz w:val="18"/>
                <w:szCs w:val="18"/>
              </w:rPr>
              <w:t>122,167</w:t>
            </w:r>
          </w:p>
        </w:tc>
        <w:tc>
          <w:tcPr>
            <w:tcW w:w="1247" w:type="dxa"/>
            <w:tcBorders>
              <w:top w:val="nil"/>
              <w:left w:val="nil"/>
              <w:bottom w:val="nil"/>
              <w:right w:val="nil"/>
            </w:tcBorders>
            <w:vAlign w:val="bottom"/>
          </w:tcPr>
          <w:p w14:paraId="540E1BED" w14:textId="44A728D8" w:rsidR="00B33D8D" w:rsidRPr="001D41EA" w:rsidRDefault="00B33D8D" w:rsidP="001D41EA">
            <w:pPr>
              <w:spacing w:before="40" w:after="20"/>
              <w:jc w:val="right"/>
              <w:rPr>
                <w:rFonts w:cs="Arial"/>
                <w:sz w:val="18"/>
                <w:szCs w:val="18"/>
              </w:rPr>
            </w:pPr>
            <w:r w:rsidRPr="001D41EA">
              <w:rPr>
                <w:rFonts w:cs="Arial"/>
                <w:sz w:val="18"/>
                <w:szCs w:val="18"/>
              </w:rPr>
              <w:t>169,961</w:t>
            </w:r>
          </w:p>
        </w:tc>
        <w:tc>
          <w:tcPr>
            <w:tcW w:w="1247" w:type="dxa"/>
            <w:tcBorders>
              <w:top w:val="nil"/>
              <w:left w:val="nil"/>
              <w:bottom w:val="nil"/>
              <w:right w:val="nil"/>
            </w:tcBorders>
            <w:shd w:val="clear" w:color="auto" w:fill="auto"/>
            <w:vAlign w:val="bottom"/>
          </w:tcPr>
          <w:p w14:paraId="3C522392" w14:textId="5BD6CBFF" w:rsidR="00B33D8D" w:rsidRPr="001D41EA" w:rsidRDefault="00B33D8D" w:rsidP="001D41EA">
            <w:pPr>
              <w:spacing w:before="40" w:after="20"/>
              <w:jc w:val="right"/>
              <w:rPr>
                <w:rFonts w:cs="Arial"/>
                <w:sz w:val="18"/>
                <w:szCs w:val="18"/>
              </w:rPr>
            </w:pPr>
            <w:r w:rsidRPr="001D41EA">
              <w:rPr>
                <w:rFonts w:cs="Arial"/>
                <w:sz w:val="18"/>
                <w:szCs w:val="18"/>
              </w:rPr>
              <w:t>39.1</w:t>
            </w:r>
          </w:p>
        </w:tc>
        <w:tc>
          <w:tcPr>
            <w:tcW w:w="170" w:type="dxa"/>
            <w:tcBorders>
              <w:top w:val="nil"/>
              <w:left w:val="nil"/>
              <w:bottom w:val="nil"/>
              <w:right w:val="nil"/>
            </w:tcBorders>
            <w:shd w:val="clear" w:color="auto" w:fill="auto"/>
            <w:vAlign w:val="bottom"/>
          </w:tcPr>
          <w:p w14:paraId="362B7507" w14:textId="5A5CD432"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3C3550FB" w14:textId="364564D8" w:rsidR="00B33D8D" w:rsidRPr="001D41EA" w:rsidRDefault="00B33D8D" w:rsidP="001D41EA">
            <w:pPr>
              <w:spacing w:before="40" w:after="20"/>
              <w:jc w:val="right"/>
              <w:rPr>
                <w:rFonts w:cs="Arial"/>
                <w:sz w:val="18"/>
                <w:szCs w:val="18"/>
              </w:rPr>
            </w:pPr>
            <w:r w:rsidRPr="001D41EA">
              <w:rPr>
                <w:rFonts w:cs="Arial"/>
                <w:sz w:val="18"/>
                <w:szCs w:val="18"/>
              </w:rPr>
              <w:t>6,222</w:t>
            </w:r>
          </w:p>
        </w:tc>
        <w:tc>
          <w:tcPr>
            <w:tcW w:w="1247" w:type="dxa"/>
            <w:tcBorders>
              <w:top w:val="nil"/>
              <w:left w:val="nil"/>
              <w:bottom w:val="nil"/>
              <w:right w:val="nil"/>
            </w:tcBorders>
            <w:shd w:val="clear" w:color="auto" w:fill="auto"/>
            <w:vAlign w:val="bottom"/>
          </w:tcPr>
          <w:p w14:paraId="647072F1" w14:textId="1F3A94C7" w:rsidR="00B33D8D" w:rsidRPr="001D41EA" w:rsidRDefault="00B33D8D" w:rsidP="001D41EA">
            <w:pPr>
              <w:spacing w:before="40" w:after="20"/>
              <w:jc w:val="right"/>
              <w:rPr>
                <w:rFonts w:cs="Arial"/>
                <w:sz w:val="18"/>
                <w:szCs w:val="18"/>
              </w:rPr>
            </w:pPr>
            <w:r w:rsidRPr="001D41EA">
              <w:rPr>
                <w:rFonts w:cs="Arial"/>
                <w:sz w:val="18"/>
                <w:szCs w:val="18"/>
              </w:rPr>
              <w:t>3.7</w:t>
            </w:r>
          </w:p>
        </w:tc>
      </w:tr>
      <w:tr w:rsidR="00B33D8D" w:rsidRPr="001D41EA" w14:paraId="552D0CF5"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FA123E3" w14:textId="77777777" w:rsidR="00B33D8D" w:rsidRPr="001D41EA" w:rsidRDefault="00B33D8D" w:rsidP="001D41EA">
            <w:pPr>
              <w:spacing w:before="40" w:after="20"/>
              <w:rPr>
                <w:rFonts w:cs="Arial"/>
                <w:sz w:val="18"/>
                <w:szCs w:val="18"/>
              </w:rPr>
            </w:pPr>
            <w:r w:rsidRPr="001D41EA">
              <w:rPr>
                <w:rFonts w:cs="Arial"/>
                <w:sz w:val="18"/>
                <w:szCs w:val="18"/>
              </w:rPr>
              <w:t>Melton C</w:t>
            </w:r>
          </w:p>
        </w:tc>
        <w:tc>
          <w:tcPr>
            <w:tcW w:w="1247" w:type="dxa"/>
            <w:tcBorders>
              <w:top w:val="nil"/>
              <w:left w:val="single" w:sz="18" w:space="0" w:color="5F497A" w:themeColor="accent4" w:themeShade="BF"/>
              <w:bottom w:val="nil"/>
              <w:right w:val="nil"/>
            </w:tcBorders>
            <w:shd w:val="clear" w:color="auto" w:fill="auto"/>
            <w:vAlign w:val="bottom"/>
          </w:tcPr>
          <w:p w14:paraId="53EA9860" w14:textId="256A55C2" w:rsidR="00B33D8D" w:rsidRPr="001D41EA" w:rsidRDefault="00B33D8D" w:rsidP="001D41EA">
            <w:pPr>
              <w:spacing w:before="40" w:after="20"/>
              <w:jc w:val="right"/>
              <w:rPr>
                <w:rFonts w:cs="Arial"/>
                <w:sz w:val="18"/>
                <w:szCs w:val="18"/>
              </w:rPr>
            </w:pPr>
            <w:r w:rsidRPr="001D41EA">
              <w:rPr>
                <w:rFonts w:cs="Arial"/>
                <w:sz w:val="18"/>
                <w:szCs w:val="18"/>
              </w:rPr>
              <w:t>127,638</w:t>
            </w:r>
          </w:p>
        </w:tc>
        <w:tc>
          <w:tcPr>
            <w:tcW w:w="1247" w:type="dxa"/>
            <w:tcBorders>
              <w:top w:val="nil"/>
              <w:left w:val="nil"/>
              <w:bottom w:val="nil"/>
              <w:right w:val="nil"/>
            </w:tcBorders>
            <w:vAlign w:val="bottom"/>
          </w:tcPr>
          <w:p w14:paraId="69E47DB4" w14:textId="7B68C78B" w:rsidR="00B33D8D" w:rsidRPr="001D41EA" w:rsidRDefault="00B33D8D" w:rsidP="001D41EA">
            <w:pPr>
              <w:spacing w:before="40" w:after="20"/>
              <w:jc w:val="right"/>
              <w:rPr>
                <w:rFonts w:cs="Arial"/>
                <w:sz w:val="18"/>
                <w:szCs w:val="18"/>
              </w:rPr>
            </w:pPr>
            <w:r w:rsidRPr="001D41EA">
              <w:rPr>
                <w:rFonts w:cs="Arial"/>
                <w:sz w:val="18"/>
                <w:szCs w:val="18"/>
              </w:rPr>
              <w:t>156,713</w:t>
            </w:r>
          </w:p>
        </w:tc>
        <w:tc>
          <w:tcPr>
            <w:tcW w:w="1247" w:type="dxa"/>
            <w:tcBorders>
              <w:top w:val="nil"/>
              <w:left w:val="nil"/>
              <w:bottom w:val="nil"/>
              <w:right w:val="nil"/>
            </w:tcBorders>
            <w:shd w:val="clear" w:color="auto" w:fill="auto"/>
            <w:vAlign w:val="bottom"/>
          </w:tcPr>
          <w:p w14:paraId="7DB752A1" w14:textId="7DBC180D" w:rsidR="00B33D8D" w:rsidRPr="001D41EA" w:rsidRDefault="00B33D8D" w:rsidP="001D41EA">
            <w:pPr>
              <w:spacing w:before="40" w:after="20"/>
              <w:jc w:val="right"/>
              <w:rPr>
                <w:rFonts w:cs="Arial"/>
                <w:sz w:val="18"/>
                <w:szCs w:val="18"/>
              </w:rPr>
            </w:pPr>
            <w:r w:rsidRPr="001D41EA">
              <w:rPr>
                <w:rFonts w:cs="Arial"/>
                <w:sz w:val="18"/>
                <w:szCs w:val="18"/>
              </w:rPr>
              <w:t>22.8</w:t>
            </w:r>
          </w:p>
        </w:tc>
        <w:tc>
          <w:tcPr>
            <w:tcW w:w="170" w:type="dxa"/>
            <w:tcBorders>
              <w:top w:val="nil"/>
              <w:left w:val="nil"/>
              <w:bottom w:val="nil"/>
              <w:right w:val="nil"/>
            </w:tcBorders>
            <w:shd w:val="clear" w:color="auto" w:fill="auto"/>
            <w:vAlign w:val="bottom"/>
          </w:tcPr>
          <w:p w14:paraId="7CE9EE6F" w14:textId="33F3B4F7"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356D1395" w14:textId="27724684" w:rsidR="00B33D8D" w:rsidRPr="001D41EA" w:rsidRDefault="00B33D8D" w:rsidP="001D41EA">
            <w:pPr>
              <w:spacing w:before="40" w:after="20"/>
              <w:jc w:val="right"/>
              <w:rPr>
                <w:rFonts w:cs="Arial"/>
                <w:sz w:val="18"/>
                <w:szCs w:val="18"/>
              </w:rPr>
            </w:pPr>
            <w:r w:rsidRPr="001D41EA">
              <w:rPr>
                <w:rFonts w:cs="Arial"/>
                <w:sz w:val="18"/>
                <w:szCs w:val="18"/>
              </w:rPr>
              <w:t>16,172</w:t>
            </w:r>
          </w:p>
        </w:tc>
        <w:tc>
          <w:tcPr>
            <w:tcW w:w="1247" w:type="dxa"/>
            <w:tcBorders>
              <w:top w:val="nil"/>
              <w:left w:val="nil"/>
              <w:bottom w:val="nil"/>
              <w:right w:val="nil"/>
            </w:tcBorders>
            <w:shd w:val="clear" w:color="auto" w:fill="auto"/>
            <w:vAlign w:val="bottom"/>
          </w:tcPr>
          <w:p w14:paraId="34950D54" w14:textId="6608072C" w:rsidR="00B33D8D" w:rsidRPr="001D41EA" w:rsidRDefault="00B33D8D" w:rsidP="001D41EA">
            <w:pPr>
              <w:spacing w:before="40" w:after="20"/>
              <w:jc w:val="right"/>
              <w:rPr>
                <w:rFonts w:cs="Arial"/>
                <w:sz w:val="18"/>
                <w:szCs w:val="18"/>
              </w:rPr>
            </w:pPr>
            <w:r w:rsidRPr="001D41EA">
              <w:rPr>
                <w:rFonts w:cs="Arial"/>
                <w:sz w:val="18"/>
                <w:szCs w:val="18"/>
              </w:rPr>
              <w:t>10.3</w:t>
            </w:r>
          </w:p>
        </w:tc>
      </w:tr>
      <w:tr w:rsidR="00B33D8D" w:rsidRPr="001D41EA" w14:paraId="751230A5"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C56EABF" w14:textId="77777777" w:rsidR="00B33D8D" w:rsidRPr="001D41EA" w:rsidRDefault="00B33D8D" w:rsidP="001D41EA">
            <w:pPr>
              <w:spacing w:before="40" w:after="20"/>
              <w:rPr>
                <w:rFonts w:cs="Arial"/>
                <w:sz w:val="18"/>
                <w:szCs w:val="18"/>
              </w:rPr>
            </w:pPr>
            <w:r w:rsidRPr="001D41EA">
              <w:rPr>
                <w:rFonts w:cs="Arial"/>
                <w:sz w:val="18"/>
                <w:szCs w:val="18"/>
              </w:rPr>
              <w:t>Mildura RC</w:t>
            </w:r>
          </w:p>
        </w:tc>
        <w:tc>
          <w:tcPr>
            <w:tcW w:w="1247" w:type="dxa"/>
            <w:tcBorders>
              <w:top w:val="nil"/>
              <w:left w:val="single" w:sz="18" w:space="0" w:color="5F497A" w:themeColor="accent4" w:themeShade="BF"/>
              <w:bottom w:val="nil"/>
              <w:right w:val="nil"/>
            </w:tcBorders>
            <w:shd w:val="clear" w:color="auto" w:fill="auto"/>
            <w:vAlign w:val="bottom"/>
          </w:tcPr>
          <w:p w14:paraId="6D786FC2" w14:textId="5D081F4A" w:rsidR="00B33D8D" w:rsidRPr="001D41EA" w:rsidRDefault="00B33D8D" w:rsidP="001D41EA">
            <w:pPr>
              <w:spacing w:before="40" w:after="20"/>
              <w:jc w:val="right"/>
              <w:rPr>
                <w:rFonts w:cs="Arial"/>
                <w:sz w:val="18"/>
                <w:szCs w:val="18"/>
              </w:rPr>
            </w:pPr>
            <w:r w:rsidRPr="001D41EA">
              <w:rPr>
                <w:rFonts w:cs="Arial"/>
                <w:sz w:val="18"/>
                <w:szCs w:val="18"/>
              </w:rPr>
              <w:t>53,018</w:t>
            </w:r>
          </w:p>
        </w:tc>
        <w:tc>
          <w:tcPr>
            <w:tcW w:w="1247" w:type="dxa"/>
            <w:tcBorders>
              <w:top w:val="nil"/>
              <w:left w:val="nil"/>
              <w:bottom w:val="nil"/>
              <w:right w:val="nil"/>
            </w:tcBorders>
            <w:vAlign w:val="bottom"/>
          </w:tcPr>
          <w:p w14:paraId="40646588" w14:textId="1BA540D6" w:rsidR="00B33D8D" w:rsidRPr="001D41EA" w:rsidRDefault="00B33D8D" w:rsidP="001D41EA">
            <w:pPr>
              <w:spacing w:before="40" w:after="20"/>
              <w:jc w:val="right"/>
              <w:rPr>
                <w:rFonts w:cs="Arial"/>
                <w:sz w:val="18"/>
                <w:szCs w:val="18"/>
              </w:rPr>
            </w:pPr>
            <w:r w:rsidRPr="001D41EA">
              <w:rPr>
                <w:rFonts w:cs="Arial"/>
                <w:sz w:val="18"/>
                <w:szCs w:val="18"/>
              </w:rPr>
              <w:t>55,515</w:t>
            </w:r>
          </w:p>
        </w:tc>
        <w:tc>
          <w:tcPr>
            <w:tcW w:w="1247" w:type="dxa"/>
            <w:tcBorders>
              <w:top w:val="nil"/>
              <w:left w:val="nil"/>
              <w:bottom w:val="nil"/>
              <w:right w:val="nil"/>
            </w:tcBorders>
            <w:shd w:val="clear" w:color="auto" w:fill="auto"/>
            <w:vAlign w:val="bottom"/>
          </w:tcPr>
          <w:p w14:paraId="6697D637" w14:textId="2DB51B40" w:rsidR="00B33D8D" w:rsidRPr="001D41EA" w:rsidRDefault="00B33D8D" w:rsidP="001D41EA">
            <w:pPr>
              <w:spacing w:before="40" w:after="20"/>
              <w:jc w:val="right"/>
              <w:rPr>
                <w:rFonts w:cs="Arial"/>
                <w:sz w:val="18"/>
                <w:szCs w:val="18"/>
              </w:rPr>
            </w:pPr>
            <w:r w:rsidRPr="001D41EA">
              <w:rPr>
                <w:rFonts w:cs="Arial"/>
                <w:sz w:val="18"/>
                <w:szCs w:val="18"/>
              </w:rPr>
              <w:t>4.7</w:t>
            </w:r>
          </w:p>
        </w:tc>
        <w:tc>
          <w:tcPr>
            <w:tcW w:w="170" w:type="dxa"/>
            <w:tcBorders>
              <w:top w:val="nil"/>
              <w:left w:val="nil"/>
              <w:bottom w:val="nil"/>
              <w:right w:val="nil"/>
            </w:tcBorders>
            <w:shd w:val="clear" w:color="auto" w:fill="auto"/>
            <w:vAlign w:val="bottom"/>
          </w:tcPr>
          <w:p w14:paraId="6A01E494" w14:textId="17E320FF"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5AAF17B" w14:textId="7F7599B2" w:rsidR="00B33D8D" w:rsidRPr="001D41EA" w:rsidRDefault="00B33D8D" w:rsidP="001D41EA">
            <w:pPr>
              <w:spacing w:before="40" w:after="20"/>
              <w:jc w:val="right"/>
              <w:rPr>
                <w:rFonts w:cs="Arial"/>
                <w:sz w:val="18"/>
                <w:szCs w:val="18"/>
              </w:rPr>
            </w:pPr>
            <w:r w:rsidRPr="001D41EA">
              <w:rPr>
                <w:rFonts w:cs="Arial"/>
                <w:sz w:val="18"/>
                <w:szCs w:val="18"/>
              </w:rPr>
              <w:t>4,388</w:t>
            </w:r>
          </w:p>
        </w:tc>
        <w:tc>
          <w:tcPr>
            <w:tcW w:w="1247" w:type="dxa"/>
            <w:tcBorders>
              <w:top w:val="nil"/>
              <w:left w:val="nil"/>
              <w:bottom w:val="nil"/>
              <w:right w:val="nil"/>
            </w:tcBorders>
            <w:shd w:val="clear" w:color="auto" w:fill="auto"/>
            <w:vAlign w:val="bottom"/>
          </w:tcPr>
          <w:p w14:paraId="69FEF537" w14:textId="5D96314E" w:rsidR="00B33D8D" w:rsidRPr="001D41EA" w:rsidRDefault="00B33D8D" w:rsidP="001D41EA">
            <w:pPr>
              <w:spacing w:before="40" w:after="20"/>
              <w:jc w:val="right"/>
              <w:rPr>
                <w:rFonts w:cs="Arial"/>
                <w:sz w:val="18"/>
                <w:szCs w:val="18"/>
              </w:rPr>
            </w:pPr>
            <w:r w:rsidRPr="001D41EA">
              <w:rPr>
                <w:rFonts w:cs="Arial"/>
                <w:sz w:val="18"/>
                <w:szCs w:val="18"/>
              </w:rPr>
              <w:t>7.9</w:t>
            </w:r>
          </w:p>
        </w:tc>
      </w:tr>
      <w:tr w:rsidR="00B33D8D" w:rsidRPr="001D41EA" w14:paraId="25C5045B"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5E118D6" w14:textId="77777777" w:rsidR="00B33D8D" w:rsidRPr="001D41EA" w:rsidRDefault="00B33D8D" w:rsidP="001D41EA">
            <w:pPr>
              <w:spacing w:before="40" w:after="20"/>
              <w:rPr>
                <w:rFonts w:cs="Arial"/>
                <w:sz w:val="18"/>
                <w:szCs w:val="18"/>
              </w:rPr>
            </w:pPr>
            <w:r w:rsidRPr="001D41EA">
              <w:rPr>
                <w:rFonts w:cs="Arial"/>
                <w:sz w:val="18"/>
                <w:szCs w:val="18"/>
              </w:rPr>
              <w:t>Mitchell S</w:t>
            </w:r>
          </w:p>
        </w:tc>
        <w:tc>
          <w:tcPr>
            <w:tcW w:w="1247" w:type="dxa"/>
            <w:tcBorders>
              <w:top w:val="nil"/>
              <w:left w:val="single" w:sz="18" w:space="0" w:color="5F497A" w:themeColor="accent4" w:themeShade="BF"/>
              <w:bottom w:val="nil"/>
              <w:right w:val="nil"/>
            </w:tcBorders>
            <w:shd w:val="clear" w:color="auto" w:fill="auto"/>
            <w:vAlign w:val="bottom"/>
          </w:tcPr>
          <w:p w14:paraId="37829CFD" w14:textId="65EE700D" w:rsidR="00B33D8D" w:rsidRPr="001D41EA" w:rsidRDefault="00B33D8D" w:rsidP="001D41EA">
            <w:pPr>
              <w:spacing w:before="40" w:after="20"/>
              <w:jc w:val="right"/>
              <w:rPr>
                <w:rFonts w:cs="Arial"/>
                <w:sz w:val="18"/>
                <w:szCs w:val="18"/>
              </w:rPr>
            </w:pPr>
            <w:r w:rsidRPr="001D41EA">
              <w:rPr>
                <w:rFonts w:cs="Arial"/>
                <w:sz w:val="18"/>
                <w:szCs w:val="18"/>
              </w:rPr>
              <w:t>38,393</w:t>
            </w:r>
          </w:p>
        </w:tc>
        <w:tc>
          <w:tcPr>
            <w:tcW w:w="1247" w:type="dxa"/>
            <w:tcBorders>
              <w:top w:val="nil"/>
              <w:left w:val="nil"/>
              <w:bottom w:val="nil"/>
              <w:right w:val="nil"/>
            </w:tcBorders>
            <w:vAlign w:val="bottom"/>
          </w:tcPr>
          <w:p w14:paraId="28CD682F" w14:textId="074D8016" w:rsidR="00B33D8D" w:rsidRPr="001D41EA" w:rsidRDefault="00B33D8D" w:rsidP="001D41EA">
            <w:pPr>
              <w:spacing w:before="40" w:after="20"/>
              <w:jc w:val="right"/>
              <w:rPr>
                <w:rFonts w:cs="Arial"/>
                <w:sz w:val="18"/>
                <w:szCs w:val="18"/>
              </w:rPr>
            </w:pPr>
            <w:r w:rsidRPr="001D41EA">
              <w:rPr>
                <w:rFonts w:cs="Arial"/>
                <w:sz w:val="18"/>
                <w:szCs w:val="18"/>
              </w:rPr>
              <w:t>44,299</w:t>
            </w:r>
          </w:p>
        </w:tc>
        <w:tc>
          <w:tcPr>
            <w:tcW w:w="1247" w:type="dxa"/>
            <w:tcBorders>
              <w:top w:val="nil"/>
              <w:left w:val="nil"/>
              <w:bottom w:val="nil"/>
              <w:right w:val="nil"/>
            </w:tcBorders>
            <w:shd w:val="clear" w:color="auto" w:fill="auto"/>
            <w:vAlign w:val="bottom"/>
          </w:tcPr>
          <w:p w14:paraId="6B22977B" w14:textId="43378BE8" w:rsidR="00B33D8D" w:rsidRPr="001D41EA" w:rsidRDefault="00B33D8D" w:rsidP="001D41EA">
            <w:pPr>
              <w:spacing w:before="40" w:after="20"/>
              <w:jc w:val="right"/>
              <w:rPr>
                <w:rFonts w:cs="Arial"/>
                <w:sz w:val="18"/>
                <w:szCs w:val="18"/>
              </w:rPr>
            </w:pPr>
            <w:r w:rsidRPr="001D41EA">
              <w:rPr>
                <w:rFonts w:cs="Arial"/>
                <w:sz w:val="18"/>
                <w:szCs w:val="18"/>
              </w:rPr>
              <w:t>15.4</w:t>
            </w:r>
          </w:p>
        </w:tc>
        <w:tc>
          <w:tcPr>
            <w:tcW w:w="170" w:type="dxa"/>
            <w:tcBorders>
              <w:top w:val="nil"/>
              <w:left w:val="nil"/>
              <w:bottom w:val="nil"/>
              <w:right w:val="nil"/>
            </w:tcBorders>
            <w:shd w:val="clear" w:color="auto" w:fill="auto"/>
            <w:vAlign w:val="bottom"/>
          </w:tcPr>
          <w:p w14:paraId="291A43AB" w14:textId="44FF1ACC"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FA2C5DE" w14:textId="09B3E3F2" w:rsidR="00B33D8D" w:rsidRPr="001D41EA" w:rsidRDefault="00B33D8D" w:rsidP="001D41EA">
            <w:pPr>
              <w:spacing w:before="40" w:after="20"/>
              <w:jc w:val="right"/>
              <w:rPr>
                <w:rFonts w:cs="Arial"/>
                <w:sz w:val="18"/>
                <w:szCs w:val="18"/>
              </w:rPr>
            </w:pPr>
            <w:r w:rsidRPr="001D41EA">
              <w:rPr>
                <w:rFonts w:cs="Arial"/>
                <w:sz w:val="18"/>
                <w:szCs w:val="18"/>
              </w:rPr>
              <w:t>3,790</w:t>
            </w:r>
          </w:p>
        </w:tc>
        <w:tc>
          <w:tcPr>
            <w:tcW w:w="1247" w:type="dxa"/>
            <w:tcBorders>
              <w:top w:val="nil"/>
              <w:left w:val="nil"/>
              <w:bottom w:val="nil"/>
              <w:right w:val="nil"/>
            </w:tcBorders>
            <w:shd w:val="clear" w:color="auto" w:fill="auto"/>
            <w:vAlign w:val="bottom"/>
          </w:tcPr>
          <w:p w14:paraId="528DD22E" w14:textId="553C7A9A" w:rsidR="00B33D8D" w:rsidRPr="001D41EA" w:rsidRDefault="00B33D8D" w:rsidP="001D41EA">
            <w:pPr>
              <w:spacing w:before="40" w:after="20"/>
              <w:jc w:val="right"/>
              <w:rPr>
                <w:rFonts w:cs="Arial"/>
                <w:sz w:val="18"/>
                <w:szCs w:val="18"/>
              </w:rPr>
            </w:pPr>
            <w:r w:rsidRPr="001D41EA">
              <w:rPr>
                <w:rFonts w:cs="Arial"/>
                <w:sz w:val="18"/>
                <w:szCs w:val="18"/>
              </w:rPr>
              <w:t>8.6</w:t>
            </w:r>
          </w:p>
        </w:tc>
      </w:tr>
      <w:tr w:rsidR="00B33D8D" w:rsidRPr="001D41EA" w14:paraId="292B28A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244E224" w14:textId="77777777" w:rsidR="00B33D8D" w:rsidRPr="001D41EA" w:rsidRDefault="00B33D8D" w:rsidP="001D41EA">
            <w:pPr>
              <w:spacing w:before="40" w:after="20"/>
              <w:rPr>
                <w:rFonts w:cs="Arial"/>
                <w:sz w:val="18"/>
                <w:szCs w:val="18"/>
              </w:rPr>
            </w:pPr>
            <w:r w:rsidRPr="001D41EA">
              <w:rPr>
                <w:rFonts w:cs="Arial"/>
                <w:sz w:val="18"/>
                <w:szCs w:val="18"/>
              </w:rPr>
              <w:t>Moira S</w:t>
            </w:r>
          </w:p>
        </w:tc>
        <w:tc>
          <w:tcPr>
            <w:tcW w:w="1247" w:type="dxa"/>
            <w:tcBorders>
              <w:top w:val="nil"/>
              <w:left w:val="single" w:sz="18" w:space="0" w:color="5F497A" w:themeColor="accent4" w:themeShade="BF"/>
              <w:bottom w:val="nil"/>
              <w:right w:val="nil"/>
            </w:tcBorders>
            <w:shd w:val="clear" w:color="auto" w:fill="auto"/>
            <w:vAlign w:val="bottom"/>
          </w:tcPr>
          <w:p w14:paraId="77A432B3" w14:textId="0C384EEC" w:rsidR="00B33D8D" w:rsidRPr="001D41EA" w:rsidRDefault="00B33D8D" w:rsidP="001D41EA">
            <w:pPr>
              <w:spacing w:before="40" w:after="20"/>
              <w:jc w:val="right"/>
              <w:rPr>
                <w:rFonts w:cs="Arial"/>
                <w:sz w:val="18"/>
                <w:szCs w:val="18"/>
              </w:rPr>
            </w:pPr>
            <w:r w:rsidRPr="001D41EA">
              <w:rPr>
                <w:rFonts w:cs="Arial"/>
                <w:sz w:val="18"/>
                <w:szCs w:val="18"/>
              </w:rPr>
              <w:t>28,825</w:t>
            </w:r>
          </w:p>
        </w:tc>
        <w:tc>
          <w:tcPr>
            <w:tcW w:w="1247" w:type="dxa"/>
            <w:tcBorders>
              <w:top w:val="nil"/>
              <w:left w:val="nil"/>
              <w:bottom w:val="nil"/>
              <w:right w:val="nil"/>
            </w:tcBorders>
            <w:vAlign w:val="bottom"/>
          </w:tcPr>
          <w:p w14:paraId="713A02FF" w14:textId="67387991" w:rsidR="00B33D8D" w:rsidRPr="001D41EA" w:rsidRDefault="00B33D8D" w:rsidP="001D41EA">
            <w:pPr>
              <w:spacing w:before="40" w:after="20"/>
              <w:jc w:val="right"/>
              <w:rPr>
                <w:rFonts w:cs="Arial"/>
                <w:sz w:val="18"/>
                <w:szCs w:val="18"/>
              </w:rPr>
            </w:pPr>
            <w:r w:rsidRPr="001D41EA">
              <w:rPr>
                <w:rFonts w:cs="Arial"/>
                <w:sz w:val="18"/>
                <w:szCs w:val="18"/>
              </w:rPr>
              <w:t>29,799</w:t>
            </w:r>
          </w:p>
        </w:tc>
        <w:tc>
          <w:tcPr>
            <w:tcW w:w="1247" w:type="dxa"/>
            <w:tcBorders>
              <w:top w:val="nil"/>
              <w:left w:val="nil"/>
              <w:bottom w:val="nil"/>
              <w:right w:val="nil"/>
            </w:tcBorders>
            <w:shd w:val="clear" w:color="auto" w:fill="auto"/>
            <w:vAlign w:val="bottom"/>
          </w:tcPr>
          <w:p w14:paraId="5991E825" w14:textId="7C9C949A" w:rsidR="00B33D8D" w:rsidRPr="001D41EA" w:rsidRDefault="00B33D8D" w:rsidP="001D41EA">
            <w:pPr>
              <w:spacing w:before="40" w:after="20"/>
              <w:jc w:val="right"/>
              <w:rPr>
                <w:rFonts w:cs="Arial"/>
                <w:sz w:val="18"/>
                <w:szCs w:val="18"/>
              </w:rPr>
            </w:pPr>
            <w:r w:rsidRPr="001D41EA">
              <w:rPr>
                <w:rFonts w:cs="Arial"/>
                <w:sz w:val="18"/>
                <w:szCs w:val="18"/>
              </w:rPr>
              <w:t>3.4</w:t>
            </w:r>
          </w:p>
        </w:tc>
        <w:tc>
          <w:tcPr>
            <w:tcW w:w="170" w:type="dxa"/>
            <w:tcBorders>
              <w:top w:val="nil"/>
              <w:left w:val="nil"/>
              <w:bottom w:val="nil"/>
              <w:right w:val="nil"/>
            </w:tcBorders>
            <w:shd w:val="clear" w:color="auto" w:fill="auto"/>
            <w:vAlign w:val="bottom"/>
          </w:tcPr>
          <w:p w14:paraId="4D83C8DB" w14:textId="1DFDCB7D"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53BD453C" w14:textId="2C74317C" w:rsidR="00B33D8D" w:rsidRPr="001D41EA" w:rsidRDefault="00B33D8D" w:rsidP="001D41EA">
            <w:pPr>
              <w:spacing w:before="40" w:after="20"/>
              <w:jc w:val="right"/>
              <w:rPr>
                <w:rFonts w:cs="Arial"/>
                <w:sz w:val="18"/>
                <w:szCs w:val="18"/>
              </w:rPr>
            </w:pPr>
            <w:r w:rsidRPr="001D41EA">
              <w:rPr>
                <w:rFonts w:cs="Arial"/>
                <w:sz w:val="18"/>
                <w:szCs w:val="18"/>
              </w:rPr>
              <w:t>2,036</w:t>
            </w:r>
          </w:p>
        </w:tc>
        <w:tc>
          <w:tcPr>
            <w:tcW w:w="1247" w:type="dxa"/>
            <w:tcBorders>
              <w:top w:val="nil"/>
              <w:left w:val="nil"/>
              <w:bottom w:val="nil"/>
              <w:right w:val="nil"/>
            </w:tcBorders>
            <w:shd w:val="clear" w:color="auto" w:fill="auto"/>
            <w:vAlign w:val="bottom"/>
          </w:tcPr>
          <w:p w14:paraId="1F15FA2C" w14:textId="009B28EF" w:rsidR="00B33D8D" w:rsidRPr="001D41EA" w:rsidRDefault="00B33D8D" w:rsidP="001D41EA">
            <w:pPr>
              <w:spacing w:before="40" w:after="20"/>
              <w:jc w:val="right"/>
              <w:rPr>
                <w:rFonts w:cs="Arial"/>
                <w:sz w:val="18"/>
                <w:szCs w:val="18"/>
              </w:rPr>
            </w:pPr>
            <w:r w:rsidRPr="001D41EA">
              <w:rPr>
                <w:rFonts w:cs="Arial"/>
                <w:sz w:val="18"/>
                <w:szCs w:val="18"/>
              </w:rPr>
              <w:t>6.8</w:t>
            </w:r>
          </w:p>
        </w:tc>
      </w:tr>
      <w:tr w:rsidR="00B33D8D" w:rsidRPr="001D41EA" w14:paraId="5D15CC79"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7C25644" w14:textId="77777777" w:rsidR="00B33D8D" w:rsidRPr="001D41EA" w:rsidRDefault="00B33D8D" w:rsidP="001D41EA">
            <w:pPr>
              <w:spacing w:before="40" w:after="20"/>
              <w:rPr>
                <w:rFonts w:cs="Arial"/>
                <w:sz w:val="18"/>
                <w:szCs w:val="18"/>
              </w:rPr>
            </w:pPr>
            <w:r w:rsidRPr="001D41EA">
              <w:rPr>
                <w:rFonts w:cs="Arial"/>
                <w:sz w:val="18"/>
                <w:szCs w:val="18"/>
              </w:rPr>
              <w:t>Monash C</w:t>
            </w:r>
          </w:p>
        </w:tc>
        <w:tc>
          <w:tcPr>
            <w:tcW w:w="1247" w:type="dxa"/>
            <w:tcBorders>
              <w:top w:val="nil"/>
              <w:left w:val="single" w:sz="18" w:space="0" w:color="5F497A" w:themeColor="accent4" w:themeShade="BF"/>
              <w:bottom w:val="nil"/>
              <w:right w:val="nil"/>
            </w:tcBorders>
            <w:shd w:val="clear" w:color="auto" w:fill="auto"/>
            <w:vAlign w:val="bottom"/>
          </w:tcPr>
          <w:p w14:paraId="75746E3A" w14:textId="5B7E05DB" w:rsidR="00B33D8D" w:rsidRPr="001D41EA" w:rsidRDefault="00B33D8D" w:rsidP="001D41EA">
            <w:pPr>
              <w:spacing w:before="40" w:after="20"/>
              <w:jc w:val="right"/>
              <w:rPr>
                <w:rFonts w:cs="Arial"/>
                <w:sz w:val="18"/>
                <w:szCs w:val="18"/>
              </w:rPr>
            </w:pPr>
            <w:r w:rsidRPr="001D41EA">
              <w:rPr>
                <w:rFonts w:cs="Arial"/>
                <w:sz w:val="18"/>
                <w:szCs w:val="18"/>
              </w:rPr>
              <w:t>184,977</w:t>
            </w:r>
          </w:p>
        </w:tc>
        <w:tc>
          <w:tcPr>
            <w:tcW w:w="1247" w:type="dxa"/>
            <w:tcBorders>
              <w:top w:val="nil"/>
              <w:left w:val="nil"/>
              <w:bottom w:val="nil"/>
              <w:right w:val="nil"/>
            </w:tcBorders>
            <w:vAlign w:val="bottom"/>
          </w:tcPr>
          <w:p w14:paraId="0EB5AD45" w14:textId="0CB382C5" w:rsidR="00B33D8D" w:rsidRPr="001D41EA" w:rsidRDefault="00B33D8D" w:rsidP="001D41EA">
            <w:pPr>
              <w:spacing w:before="40" w:after="20"/>
              <w:jc w:val="right"/>
              <w:rPr>
                <w:rFonts w:cs="Arial"/>
                <w:sz w:val="18"/>
                <w:szCs w:val="18"/>
              </w:rPr>
            </w:pPr>
            <w:r w:rsidRPr="001D41EA">
              <w:rPr>
                <w:rFonts w:cs="Arial"/>
                <w:sz w:val="18"/>
                <w:szCs w:val="18"/>
              </w:rPr>
              <w:t>200,077</w:t>
            </w:r>
          </w:p>
        </w:tc>
        <w:tc>
          <w:tcPr>
            <w:tcW w:w="1247" w:type="dxa"/>
            <w:tcBorders>
              <w:top w:val="nil"/>
              <w:left w:val="nil"/>
              <w:bottom w:val="nil"/>
              <w:right w:val="nil"/>
            </w:tcBorders>
            <w:shd w:val="clear" w:color="auto" w:fill="auto"/>
            <w:vAlign w:val="bottom"/>
          </w:tcPr>
          <w:p w14:paraId="6AC4EFD4" w14:textId="5DAC8732" w:rsidR="00B33D8D" w:rsidRPr="001D41EA" w:rsidRDefault="00B33D8D" w:rsidP="001D41EA">
            <w:pPr>
              <w:spacing w:before="40" w:after="20"/>
              <w:jc w:val="right"/>
              <w:rPr>
                <w:rFonts w:cs="Arial"/>
                <w:sz w:val="18"/>
                <w:szCs w:val="18"/>
              </w:rPr>
            </w:pPr>
            <w:r w:rsidRPr="001D41EA">
              <w:rPr>
                <w:rFonts w:cs="Arial"/>
                <w:sz w:val="18"/>
                <w:szCs w:val="18"/>
              </w:rPr>
              <w:t>8.2</w:t>
            </w:r>
          </w:p>
        </w:tc>
        <w:tc>
          <w:tcPr>
            <w:tcW w:w="170" w:type="dxa"/>
            <w:tcBorders>
              <w:top w:val="nil"/>
              <w:left w:val="nil"/>
              <w:bottom w:val="nil"/>
              <w:right w:val="nil"/>
            </w:tcBorders>
            <w:shd w:val="clear" w:color="auto" w:fill="auto"/>
            <w:vAlign w:val="bottom"/>
          </w:tcPr>
          <w:p w14:paraId="203187F6" w14:textId="3ECB7BE1"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2739AA3B" w14:textId="1F5C441A" w:rsidR="00B33D8D" w:rsidRPr="001D41EA" w:rsidRDefault="00B33D8D" w:rsidP="001D41EA">
            <w:pPr>
              <w:spacing w:before="40" w:after="20"/>
              <w:jc w:val="right"/>
              <w:rPr>
                <w:rFonts w:cs="Arial"/>
                <w:sz w:val="18"/>
                <w:szCs w:val="18"/>
              </w:rPr>
            </w:pPr>
            <w:r w:rsidRPr="001D41EA">
              <w:rPr>
                <w:rFonts w:cs="Arial"/>
                <w:sz w:val="18"/>
                <w:szCs w:val="18"/>
              </w:rPr>
              <w:t>12,483</w:t>
            </w:r>
          </w:p>
        </w:tc>
        <w:tc>
          <w:tcPr>
            <w:tcW w:w="1247" w:type="dxa"/>
            <w:tcBorders>
              <w:top w:val="nil"/>
              <w:left w:val="nil"/>
              <w:bottom w:val="nil"/>
              <w:right w:val="nil"/>
            </w:tcBorders>
            <w:shd w:val="clear" w:color="auto" w:fill="auto"/>
            <w:vAlign w:val="bottom"/>
          </w:tcPr>
          <w:p w14:paraId="6A44664F" w14:textId="31AD595C" w:rsidR="00B33D8D" w:rsidRPr="001D41EA" w:rsidRDefault="00B33D8D" w:rsidP="001D41EA">
            <w:pPr>
              <w:spacing w:before="40" w:after="20"/>
              <w:jc w:val="right"/>
              <w:rPr>
                <w:rFonts w:cs="Arial"/>
                <w:sz w:val="18"/>
                <w:szCs w:val="18"/>
              </w:rPr>
            </w:pPr>
            <w:r w:rsidRPr="001D41EA">
              <w:rPr>
                <w:rFonts w:cs="Arial"/>
                <w:sz w:val="18"/>
                <w:szCs w:val="18"/>
              </w:rPr>
              <w:t>6.2</w:t>
            </w:r>
          </w:p>
        </w:tc>
      </w:tr>
      <w:tr w:rsidR="00B33D8D" w:rsidRPr="001D41EA" w14:paraId="0636AE5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8522DC0" w14:textId="77777777" w:rsidR="00B33D8D" w:rsidRPr="001D41EA" w:rsidRDefault="00B33D8D" w:rsidP="001D41EA">
            <w:pPr>
              <w:spacing w:before="40" w:after="20"/>
              <w:rPr>
                <w:rFonts w:cs="Arial"/>
                <w:sz w:val="18"/>
                <w:szCs w:val="18"/>
              </w:rPr>
            </w:pPr>
            <w:r w:rsidRPr="001D41EA">
              <w:rPr>
                <w:rFonts w:cs="Arial"/>
                <w:sz w:val="18"/>
                <w:szCs w:val="18"/>
              </w:rPr>
              <w:t>Moonee Valley C</w:t>
            </w:r>
          </w:p>
        </w:tc>
        <w:tc>
          <w:tcPr>
            <w:tcW w:w="1247" w:type="dxa"/>
            <w:tcBorders>
              <w:top w:val="nil"/>
              <w:left w:val="single" w:sz="18" w:space="0" w:color="5F497A" w:themeColor="accent4" w:themeShade="BF"/>
              <w:bottom w:val="nil"/>
              <w:right w:val="nil"/>
            </w:tcBorders>
            <w:shd w:val="clear" w:color="auto" w:fill="auto"/>
            <w:vAlign w:val="bottom"/>
          </w:tcPr>
          <w:p w14:paraId="73B1F8E3" w14:textId="6249F5F0" w:rsidR="00B33D8D" w:rsidRPr="001D41EA" w:rsidRDefault="00B33D8D" w:rsidP="001D41EA">
            <w:pPr>
              <w:spacing w:before="40" w:after="20"/>
              <w:jc w:val="right"/>
              <w:rPr>
                <w:rFonts w:cs="Arial"/>
                <w:sz w:val="18"/>
                <w:szCs w:val="18"/>
              </w:rPr>
            </w:pPr>
            <w:r w:rsidRPr="001D41EA">
              <w:rPr>
                <w:rFonts w:cs="Arial"/>
                <w:sz w:val="18"/>
                <w:szCs w:val="18"/>
              </w:rPr>
              <w:t>117,297</w:t>
            </w:r>
          </w:p>
        </w:tc>
        <w:tc>
          <w:tcPr>
            <w:tcW w:w="1247" w:type="dxa"/>
            <w:tcBorders>
              <w:top w:val="nil"/>
              <w:left w:val="nil"/>
              <w:bottom w:val="nil"/>
              <w:right w:val="nil"/>
            </w:tcBorders>
            <w:vAlign w:val="bottom"/>
          </w:tcPr>
          <w:p w14:paraId="0DA60A03" w14:textId="4A6CD805" w:rsidR="00B33D8D" w:rsidRPr="001D41EA" w:rsidRDefault="00B33D8D" w:rsidP="001D41EA">
            <w:pPr>
              <w:spacing w:before="40" w:after="20"/>
              <w:jc w:val="right"/>
              <w:rPr>
                <w:rFonts w:cs="Arial"/>
                <w:sz w:val="18"/>
                <w:szCs w:val="18"/>
              </w:rPr>
            </w:pPr>
            <w:r w:rsidRPr="001D41EA">
              <w:rPr>
                <w:rFonts w:cs="Arial"/>
                <w:sz w:val="18"/>
                <w:szCs w:val="18"/>
              </w:rPr>
              <w:t>127,883</w:t>
            </w:r>
          </w:p>
        </w:tc>
        <w:tc>
          <w:tcPr>
            <w:tcW w:w="1247" w:type="dxa"/>
            <w:tcBorders>
              <w:top w:val="nil"/>
              <w:left w:val="nil"/>
              <w:bottom w:val="nil"/>
              <w:right w:val="nil"/>
            </w:tcBorders>
            <w:shd w:val="clear" w:color="auto" w:fill="auto"/>
            <w:vAlign w:val="bottom"/>
          </w:tcPr>
          <w:p w14:paraId="35DADE25" w14:textId="4CA81DDE" w:rsidR="00B33D8D" w:rsidRPr="001D41EA" w:rsidRDefault="00B33D8D" w:rsidP="001D41EA">
            <w:pPr>
              <w:spacing w:before="40" w:after="20"/>
              <w:jc w:val="right"/>
              <w:rPr>
                <w:rFonts w:cs="Arial"/>
                <w:sz w:val="18"/>
                <w:szCs w:val="18"/>
              </w:rPr>
            </w:pPr>
            <w:r w:rsidRPr="001D41EA">
              <w:rPr>
                <w:rFonts w:cs="Arial"/>
                <w:sz w:val="18"/>
                <w:szCs w:val="18"/>
              </w:rPr>
              <w:t>9.0</w:t>
            </w:r>
          </w:p>
        </w:tc>
        <w:tc>
          <w:tcPr>
            <w:tcW w:w="170" w:type="dxa"/>
            <w:tcBorders>
              <w:top w:val="nil"/>
              <w:left w:val="nil"/>
              <w:bottom w:val="nil"/>
              <w:right w:val="nil"/>
            </w:tcBorders>
            <w:shd w:val="clear" w:color="auto" w:fill="auto"/>
            <w:vAlign w:val="bottom"/>
          </w:tcPr>
          <w:p w14:paraId="28890F1B" w14:textId="688EB69F"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2D15343C" w14:textId="4600DDF5" w:rsidR="00B33D8D" w:rsidRPr="001D41EA" w:rsidRDefault="00B33D8D" w:rsidP="001D41EA">
            <w:pPr>
              <w:spacing w:before="40" w:after="20"/>
              <w:jc w:val="right"/>
              <w:rPr>
                <w:rFonts w:cs="Arial"/>
                <w:sz w:val="18"/>
                <w:szCs w:val="18"/>
              </w:rPr>
            </w:pPr>
            <w:r w:rsidRPr="001D41EA">
              <w:rPr>
                <w:rFonts w:cs="Arial"/>
                <w:sz w:val="18"/>
                <w:szCs w:val="18"/>
              </w:rPr>
              <w:t>9,036</w:t>
            </w:r>
          </w:p>
        </w:tc>
        <w:tc>
          <w:tcPr>
            <w:tcW w:w="1247" w:type="dxa"/>
            <w:tcBorders>
              <w:top w:val="nil"/>
              <w:left w:val="nil"/>
              <w:bottom w:val="nil"/>
              <w:right w:val="nil"/>
            </w:tcBorders>
            <w:shd w:val="clear" w:color="auto" w:fill="auto"/>
            <w:vAlign w:val="bottom"/>
          </w:tcPr>
          <w:p w14:paraId="2181A8D5" w14:textId="2A4FE4EF" w:rsidR="00B33D8D" w:rsidRPr="001D41EA" w:rsidRDefault="00B33D8D" w:rsidP="001D41EA">
            <w:pPr>
              <w:spacing w:before="40" w:after="20"/>
              <w:jc w:val="right"/>
              <w:rPr>
                <w:rFonts w:cs="Arial"/>
                <w:sz w:val="18"/>
                <w:szCs w:val="18"/>
              </w:rPr>
            </w:pPr>
            <w:r w:rsidRPr="001D41EA">
              <w:rPr>
                <w:rFonts w:cs="Arial"/>
                <w:sz w:val="18"/>
                <w:szCs w:val="18"/>
              </w:rPr>
              <w:t>7.1</w:t>
            </w:r>
          </w:p>
        </w:tc>
      </w:tr>
      <w:tr w:rsidR="00B33D8D" w:rsidRPr="001D41EA" w14:paraId="470B42A9"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ACB644B" w14:textId="77777777" w:rsidR="00B33D8D" w:rsidRPr="001D41EA" w:rsidRDefault="00B33D8D" w:rsidP="001D41EA">
            <w:pPr>
              <w:spacing w:before="40" w:after="20"/>
              <w:rPr>
                <w:rFonts w:cs="Arial"/>
                <w:sz w:val="18"/>
                <w:szCs w:val="18"/>
              </w:rPr>
            </w:pPr>
            <w:r w:rsidRPr="001D41EA">
              <w:rPr>
                <w:rFonts w:cs="Arial"/>
                <w:sz w:val="18"/>
                <w:szCs w:val="18"/>
              </w:rPr>
              <w:t>Moorabool S</w:t>
            </w:r>
          </w:p>
        </w:tc>
        <w:tc>
          <w:tcPr>
            <w:tcW w:w="1247" w:type="dxa"/>
            <w:tcBorders>
              <w:top w:val="nil"/>
              <w:left w:val="single" w:sz="18" w:space="0" w:color="5F497A" w:themeColor="accent4" w:themeShade="BF"/>
              <w:bottom w:val="nil"/>
              <w:right w:val="nil"/>
            </w:tcBorders>
            <w:shd w:val="clear" w:color="auto" w:fill="auto"/>
            <w:vAlign w:val="bottom"/>
          </w:tcPr>
          <w:p w14:paraId="67D39AE3" w14:textId="560E7200" w:rsidR="00B33D8D" w:rsidRPr="001D41EA" w:rsidRDefault="00B33D8D" w:rsidP="001D41EA">
            <w:pPr>
              <w:spacing w:before="40" w:after="20"/>
              <w:jc w:val="right"/>
              <w:rPr>
                <w:rFonts w:cs="Arial"/>
                <w:sz w:val="18"/>
                <w:szCs w:val="18"/>
              </w:rPr>
            </w:pPr>
            <w:r w:rsidRPr="001D41EA">
              <w:rPr>
                <w:rFonts w:cs="Arial"/>
                <w:sz w:val="18"/>
                <w:szCs w:val="18"/>
              </w:rPr>
              <w:t>30,911</w:t>
            </w:r>
          </w:p>
        </w:tc>
        <w:tc>
          <w:tcPr>
            <w:tcW w:w="1247" w:type="dxa"/>
            <w:tcBorders>
              <w:top w:val="nil"/>
              <w:left w:val="nil"/>
              <w:bottom w:val="nil"/>
              <w:right w:val="nil"/>
            </w:tcBorders>
            <w:vAlign w:val="bottom"/>
          </w:tcPr>
          <w:p w14:paraId="3BE9EA3B" w14:textId="0338474A" w:rsidR="00B33D8D" w:rsidRPr="001D41EA" w:rsidRDefault="00B33D8D" w:rsidP="001D41EA">
            <w:pPr>
              <w:spacing w:before="40" w:after="20"/>
              <w:jc w:val="right"/>
              <w:rPr>
                <w:rFonts w:cs="Arial"/>
                <w:sz w:val="18"/>
                <w:szCs w:val="18"/>
              </w:rPr>
            </w:pPr>
            <w:r w:rsidRPr="001D41EA">
              <w:rPr>
                <w:rFonts w:cs="Arial"/>
                <w:sz w:val="18"/>
                <w:szCs w:val="18"/>
              </w:rPr>
              <w:t>34,158</w:t>
            </w:r>
          </w:p>
        </w:tc>
        <w:tc>
          <w:tcPr>
            <w:tcW w:w="1247" w:type="dxa"/>
            <w:tcBorders>
              <w:top w:val="nil"/>
              <w:left w:val="nil"/>
              <w:bottom w:val="nil"/>
              <w:right w:val="nil"/>
            </w:tcBorders>
            <w:shd w:val="clear" w:color="auto" w:fill="auto"/>
            <w:vAlign w:val="bottom"/>
          </w:tcPr>
          <w:p w14:paraId="17CBA544" w14:textId="21139AD5" w:rsidR="00B33D8D" w:rsidRPr="001D41EA" w:rsidRDefault="00B33D8D" w:rsidP="001D41EA">
            <w:pPr>
              <w:spacing w:before="40" w:after="20"/>
              <w:jc w:val="right"/>
              <w:rPr>
                <w:rFonts w:cs="Arial"/>
                <w:sz w:val="18"/>
                <w:szCs w:val="18"/>
              </w:rPr>
            </w:pPr>
            <w:r w:rsidRPr="001D41EA">
              <w:rPr>
                <w:rFonts w:cs="Arial"/>
                <w:sz w:val="18"/>
                <w:szCs w:val="18"/>
              </w:rPr>
              <w:t>10.5</w:t>
            </w:r>
          </w:p>
        </w:tc>
        <w:tc>
          <w:tcPr>
            <w:tcW w:w="170" w:type="dxa"/>
            <w:tcBorders>
              <w:top w:val="nil"/>
              <w:left w:val="nil"/>
              <w:bottom w:val="nil"/>
              <w:right w:val="nil"/>
            </w:tcBorders>
            <w:shd w:val="clear" w:color="auto" w:fill="auto"/>
            <w:vAlign w:val="bottom"/>
          </w:tcPr>
          <w:p w14:paraId="7A8FCE48" w14:textId="082792A9"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79E9A347" w14:textId="71320720" w:rsidR="00B33D8D" w:rsidRPr="001D41EA" w:rsidRDefault="00B33D8D" w:rsidP="001D41EA">
            <w:pPr>
              <w:spacing w:before="40" w:after="20"/>
              <w:jc w:val="right"/>
              <w:rPr>
                <w:rFonts w:cs="Arial"/>
                <w:sz w:val="18"/>
                <w:szCs w:val="18"/>
              </w:rPr>
            </w:pPr>
            <w:r w:rsidRPr="001D41EA">
              <w:rPr>
                <w:rFonts w:cs="Arial"/>
                <w:sz w:val="18"/>
                <w:szCs w:val="18"/>
              </w:rPr>
              <w:t>2,750</w:t>
            </w:r>
          </w:p>
        </w:tc>
        <w:tc>
          <w:tcPr>
            <w:tcW w:w="1247" w:type="dxa"/>
            <w:tcBorders>
              <w:top w:val="nil"/>
              <w:left w:val="nil"/>
              <w:bottom w:val="nil"/>
              <w:right w:val="nil"/>
            </w:tcBorders>
            <w:shd w:val="clear" w:color="auto" w:fill="auto"/>
            <w:vAlign w:val="bottom"/>
          </w:tcPr>
          <w:p w14:paraId="1329D634" w14:textId="27485D7F" w:rsidR="00B33D8D" w:rsidRPr="001D41EA" w:rsidRDefault="00B33D8D" w:rsidP="001D41EA">
            <w:pPr>
              <w:spacing w:before="40" w:after="20"/>
              <w:jc w:val="right"/>
              <w:rPr>
                <w:rFonts w:cs="Arial"/>
                <w:sz w:val="18"/>
                <w:szCs w:val="18"/>
              </w:rPr>
            </w:pPr>
            <w:r w:rsidRPr="001D41EA">
              <w:rPr>
                <w:rFonts w:cs="Arial"/>
                <w:sz w:val="18"/>
                <w:szCs w:val="18"/>
              </w:rPr>
              <w:t>8.0</w:t>
            </w:r>
          </w:p>
        </w:tc>
      </w:tr>
      <w:tr w:rsidR="00B33D8D" w:rsidRPr="001D41EA" w14:paraId="7434728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60928F6" w14:textId="77777777" w:rsidR="00B33D8D" w:rsidRPr="001D41EA" w:rsidRDefault="00B33D8D" w:rsidP="001D41EA">
            <w:pPr>
              <w:spacing w:before="40" w:after="20"/>
              <w:rPr>
                <w:rFonts w:cs="Arial"/>
                <w:sz w:val="18"/>
                <w:szCs w:val="18"/>
              </w:rPr>
            </w:pPr>
            <w:r w:rsidRPr="001D41EA">
              <w:rPr>
                <w:rFonts w:cs="Arial"/>
                <w:sz w:val="18"/>
                <w:szCs w:val="18"/>
              </w:rPr>
              <w:t>Moreland C</w:t>
            </w:r>
          </w:p>
        </w:tc>
        <w:tc>
          <w:tcPr>
            <w:tcW w:w="1247" w:type="dxa"/>
            <w:tcBorders>
              <w:top w:val="nil"/>
              <w:left w:val="single" w:sz="18" w:space="0" w:color="5F497A" w:themeColor="accent4" w:themeShade="BF"/>
              <w:bottom w:val="nil"/>
              <w:right w:val="nil"/>
            </w:tcBorders>
            <w:shd w:val="clear" w:color="auto" w:fill="auto"/>
            <w:vAlign w:val="bottom"/>
          </w:tcPr>
          <w:p w14:paraId="7875177E" w14:textId="1E37A92E" w:rsidR="00B33D8D" w:rsidRPr="001D41EA" w:rsidRDefault="00B33D8D" w:rsidP="001D41EA">
            <w:pPr>
              <w:spacing w:before="40" w:after="20"/>
              <w:jc w:val="right"/>
              <w:rPr>
                <w:rFonts w:cs="Arial"/>
                <w:sz w:val="18"/>
                <w:szCs w:val="18"/>
              </w:rPr>
            </w:pPr>
            <w:r w:rsidRPr="001D41EA">
              <w:rPr>
                <w:rFonts w:cs="Arial"/>
                <w:sz w:val="18"/>
                <w:szCs w:val="18"/>
              </w:rPr>
              <w:t>163,331</w:t>
            </w:r>
          </w:p>
        </w:tc>
        <w:tc>
          <w:tcPr>
            <w:tcW w:w="1247" w:type="dxa"/>
            <w:tcBorders>
              <w:top w:val="nil"/>
              <w:left w:val="nil"/>
              <w:bottom w:val="nil"/>
              <w:right w:val="nil"/>
            </w:tcBorders>
            <w:vAlign w:val="bottom"/>
          </w:tcPr>
          <w:p w14:paraId="3F132A78" w14:textId="58620D98" w:rsidR="00B33D8D" w:rsidRPr="001D41EA" w:rsidRDefault="00B33D8D" w:rsidP="001D41EA">
            <w:pPr>
              <w:spacing w:before="40" w:after="20"/>
              <w:jc w:val="right"/>
              <w:rPr>
                <w:rFonts w:cs="Arial"/>
                <w:sz w:val="18"/>
                <w:szCs w:val="18"/>
              </w:rPr>
            </w:pPr>
            <w:r w:rsidRPr="001D41EA">
              <w:rPr>
                <w:rFonts w:cs="Arial"/>
                <w:sz w:val="18"/>
                <w:szCs w:val="18"/>
              </w:rPr>
              <w:t>181,725</w:t>
            </w:r>
          </w:p>
        </w:tc>
        <w:tc>
          <w:tcPr>
            <w:tcW w:w="1247" w:type="dxa"/>
            <w:tcBorders>
              <w:top w:val="nil"/>
              <w:left w:val="nil"/>
              <w:bottom w:val="nil"/>
              <w:right w:val="nil"/>
            </w:tcBorders>
            <w:shd w:val="clear" w:color="auto" w:fill="auto"/>
            <w:vAlign w:val="bottom"/>
          </w:tcPr>
          <w:p w14:paraId="5D51146F" w14:textId="44B06FC9" w:rsidR="00B33D8D" w:rsidRPr="001D41EA" w:rsidRDefault="00B33D8D" w:rsidP="001D41EA">
            <w:pPr>
              <w:spacing w:before="40" w:after="20"/>
              <w:jc w:val="right"/>
              <w:rPr>
                <w:rFonts w:cs="Arial"/>
                <w:sz w:val="18"/>
                <w:szCs w:val="18"/>
              </w:rPr>
            </w:pPr>
            <w:r w:rsidRPr="001D41EA">
              <w:rPr>
                <w:rFonts w:cs="Arial"/>
                <w:sz w:val="18"/>
                <w:szCs w:val="18"/>
              </w:rPr>
              <w:t>11.3</w:t>
            </w:r>
          </w:p>
        </w:tc>
        <w:tc>
          <w:tcPr>
            <w:tcW w:w="170" w:type="dxa"/>
            <w:tcBorders>
              <w:top w:val="nil"/>
              <w:left w:val="nil"/>
              <w:bottom w:val="nil"/>
              <w:right w:val="nil"/>
            </w:tcBorders>
            <w:shd w:val="clear" w:color="auto" w:fill="auto"/>
            <w:vAlign w:val="bottom"/>
          </w:tcPr>
          <w:p w14:paraId="0A89D42C" w14:textId="3FBD5D9E"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49D5A66" w14:textId="5EBD49F1" w:rsidR="00B33D8D" w:rsidRPr="001D41EA" w:rsidRDefault="00B33D8D" w:rsidP="001D41EA">
            <w:pPr>
              <w:spacing w:before="40" w:after="20"/>
              <w:jc w:val="right"/>
              <w:rPr>
                <w:rFonts w:cs="Arial"/>
                <w:sz w:val="18"/>
                <w:szCs w:val="18"/>
              </w:rPr>
            </w:pPr>
            <w:r w:rsidRPr="001D41EA">
              <w:rPr>
                <w:rFonts w:cs="Arial"/>
                <w:sz w:val="18"/>
                <w:szCs w:val="18"/>
              </w:rPr>
              <w:t>13,899</w:t>
            </w:r>
          </w:p>
        </w:tc>
        <w:tc>
          <w:tcPr>
            <w:tcW w:w="1247" w:type="dxa"/>
            <w:tcBorders>
              <w:top w:val="nil"/>
              <w:left w:val="nil"/>
              <w:bottom w:val="nil"/>
              <w:right w:val="nil"/>
            </w:tcBorders>
            <w:shd w:val="clear" w:color="auto" w:fill="auto"/>
            <w:vAlign w:val="bottom"/>
          </w:tcPr>
          <w:p w14:paraId="03A1E0A9" w14:textId="1ECA90B3" w:rsidR="00B33D8D" w:rsidRPr="001D41EA" w:rsidRDefault="00B33D8D" w:rsidP="001D41EA">
            <w:pPr>
              <w:spacing w:before="40" w:after="20"/>
              <w:jc w:val="right"/>
              <w:rPr>
                <w:rFonts w:cs="Arial"/>
                <w:sz w:val="18"/>
                <w:szCs w:val="18"/>
              </w:rPr>
            </w:pPr>
            <w:r w:rsidRPr="001D41EA">
              <w:rPr>
                <w:rFonts w:cs="Arial"/>
                <w:sz w:val="18"/>
                <w:szCs w:val="18"/>
              </w:rPr>
              <w:t>7.6</w:t>
            </w:r>
          </w:p>
        </w:tc>
      </w:tr>
      <w:tr w:rsidR="00B33D8D" w:rsidRPr="001D41EA" w14:paraId="4D182771"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B1BB683" w14:textId="77777777" w:rsidR="00B33D8D" w:rsidRPr="001D41EA" w:rsidRDefault="00B33D8D" w:rsidP="001D41EA">
            <w:pPr>
              <w:spacing w:before="40" w:after="20"/>
              <w:rPr>
                <w:rFonts w:cs="Arial"/>
                <w:sz w:val="18"/>
                <w:szCs w:val="18"/>
              </w:rPr>
            </w:pPr>
            <w:r w:rsidRPr="001D41EA">
              <w:rPr>
                <w:rFonts w:cs="Arial"/>
                <w:sz w:val="18"/>
                <w:szCs w:val="18"/>
              </w:rPr>
              <w:t>Mornington Peninsula S</w:t>
            </w:r>
          </w:p>
        </w:tc>
        <w:tc>
          <w:tcPr>
            <w:tcW w:w="1247" w:type="dxa"/>
            <w:tcBorders>
              <w:top w:val="nil"/>
              <w:left w:val="single" w:sz="18" w:space="0" w:color="5F497A" w:themeColor="accent4" w:themeShade="BF"/>
              <w:bottom w:val="nil"/>
              <w:right w:val="nil"/>
            </w:tcBorders>
            <w:shd w:val="clear" w:color="auto" w:fill="auto"/>
            <w:vAlign w:val="bottom"/>
          </w:tcPr>
          <w:p w14:paraId="11357C0F" w14:textId="5C1DD6F4" w:rsidR="00B33D8D" w:rsidRPr="001D41EA" w:rsidRDefault="00B33D8D" w:rsidP="001D41EA">
            <w:pPr>
              <w:spacing w:before="40" w:after="20"/>
              <w:jc w:val="right"/>
              <w:rPr>
                <w:rFonts w:cs="Arial"/>
                <w:sz w:val="18"/>
                <w:szCs w:val="18"/>
              </w:rPr>
            </w:pPr>
            <w:r w:rsidRPr="001D41EA">
              <w:rPr>
                <w:rFonts w:cs="Arial"/>
                <w:sz w:val="18"/>
                <w:szCs w:val="18"/>
              </w:rPr>
              <w:t>153,749</w:t>
            </w:r>
          </w:p>
        </w:tc>
        <w:tc>
          <w:tcPr>
            <w:tcW w:w="1247" w:type="dxa"/>
            <w:tcBorders>
              <w:top w:val="nil"/>
              <w:left w:val="nil"/>
              <w:bottom w:val="nil"/>
              <w:right w:val="nil"/>
            </w:tcBorders>
            <w:vAlign w:val="bottom"/>
          </w:tcPr>
          <w:p w14:paraId="4BE51554" w14:textId="7FCC23C1" w:rsidR="00B33D8D" w:rsidRPr="001D41EA" w:rsidRDefault="00B33D8D" w:rsidP="001D41EA">
            <w:pPr>
              <w:spacing w:before="40" w:after="20"/>
              <w:jc w:val="right"/>
              <w:rPr>
                <w:rFonts w:cs="Arial"/>
                <w:sz w:val="18"/>
                <w:szCs w:val="18"/>
              </w:rPr>
            </w:pPr>
            <w:r w:rsidRPr="001D41EA">
              <w:rPr>
                <w:rFonts w:cs="Arial"/>
                <w:sz w:val="18"/>
                <w:szCs w:val="18"/>
              </w:rPr>
              <w:t>165,822</w:t>
            </w:r>
          </w:p>
        </w:tc>
        <w:tc>
          <w:tcPr>
            <w:tcW w:w="1247" w:type="dxa"/>
            <w:tcBorders>
              <w:top w:val="nil"/>
              <w:left w:val="nil"/>
              <w:bottom w:val="nil"/>
              <w:right w:val="nil"/>
            </w:tcBorders>
            <w:shd w:val="clear" w:color="auto" w:fill="auto"/>
            <w:vAlign w:val="bottom"/>
          </w:tcPr>
          <w:p w14:paraId="2E70151A" w14:textId="5584B081" w:rsidR="00B33D8D" w:rsidRPr="001D41EA" w:rsidRDefault="00B33D8D" w:rsidP="001D41EA">
            <w:pPr>
              <w:spacing w:before="40" w:after="20"/>
              <w:jc w:val="right"/>
              <w:rPr>
                <w:rFonts w:cs="Arial"/>
                <w:sz w:val="18"/>
                <w:szCs w:val="18"/>
              </w:rPr>
            </w:pPr>
            <w:r w:rsidRPr="001D41EA">
              <w:rPr>
                <w:rFonts w:cs="Arial"/>
                <w:sz w:val="18"/>
                <w:szCs w:val="18"/>
              </w:rPr>
              <w:t>7.9</w:t>
            </w:r>
          </w:p>
        </w:tc>
        <w:tc>
          <w:tcPr>
            <w:tcW w:w="170" w:type="dxa"/>
            <w:tcBorders>
              <w:top w:val="nil"/>
              <w:left w:val="nil"/>
              <w:bottom w:val="nil"/>
              <w:right w:val="nil"/>
            </w:tcBorders>
            <w:shd w:val="clear" w:color="auto" w:fill="auto"/>
            <w:vAlign w:val="bottom"/>
          </w:tcPr>
          <w:p w14:paraId="1CE65B44" w14:textId="5E741569"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4C480ADB" w14:textId="2666411A" w:rsidR="00B33D8D" w:rsidRPr="001D41EA" w:rsidRDefault="00B33D8D" w:rsidP="001D41EA">
            <w:pPr>
              <w:spacing w:before="40" w:after="20"/>
              <w:jc w:val="right"/>
              <w:rPr>
                <w:rFonts w:cs="Arial"/>
                <w:sz w:val="18"/>
                <w:szCs w:val="18"/>
              </w:rPr>
            </w:pPr>
            <w:r w:rsidRPr="001D41EA">
              <w:rPr>
                <w:rFonts w:cs="Arial"/>
                <w:sz w:val="18"/>
                <w:szCs w:val="18"/>
              </w:rPr>
              <w:t>10,884</w:t>
            </w:r>
          </w:p>
        </w:tc>
        <w:tc>
          <w:tcPr>
            <w:tcW w:w="1247" w:type="dxa"/>
            <w:tcBorders>
              <w:top w:val="nil"/>
              <w:left w:val="nil"/>
              <w:bottom w:val="nil"/>
              <w:right w:val="nil"/>
            </w:tcBorders>
            <w:shd w:val="clear" w:color="auto" w:fill="auto"/>
            <w:vAlign w:val="bottom"/>
          </w:tcPr>
          <w:p w14:paraId="02D55485" w14:textId="3BDC41C3" w:rsidR="00B33D8D" w:rsidRPr="001D41EA" w:rsidRDefault="00B33D8D" w:rsidP="001D41EA">
            <w:pPr>
              <w:spacing w:before="40" w:after="20"/>
              <w:jc w:val="right"/>
              <w:rPr>
                <w:rFonts w:cs="Arial"/>
                <w:sz w:val="18"/>
                <w:szCs w:val="18"/>
              </w:rPr>
            </w:pPr>
            <w:r w:rsidRPr="001D41EA">
              <w:rPr>
                <w:rFonts w:cs="Arial"/>
                <w:sz w:val="18"/>
                <w:szCs w:val="18"/>
              </w:rPr>
              <w:t>6.6</w:t>
            </w:r>
          </w:p>
        </w:tc>
      </w:tr>
      <w:tr w:rsidR="00B33D8D" w:rsidRPr="001D41EA" w14:paraId="348F001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2ADEB94" w14:textId="77777777" w:rsidR="00B33D8D" w:rsidRPr="001D41EA" w:rsidRDefault="00B33D8D" w:rsidP="001D41EA">
            <w:pPr>
              <w:spacing w:before="40" w:after="20"/>
              <w:rPr>
                <w:rFonts w:cs="Arial"/>
                <w:sz w:val="18"/>
                <w:szCs w:val="18"/>
              </w:rPr>
            </w:pPr>
            <w:r w:rsidRPr="001D41EA">
              <w:rPr>
                <w:rFonts w:cs="Arial"/>
                <w:sz w:val="18"/>
                <w:szCs w:val="18"/>
              </w:rPr>
              <w:t>Mount Alexander S</w:t>
            </w:r>
          </w:p>
        </w:tc>
        <w:tc>
          <w:tcPr>
            <w:tcW w:w="1247" w:type="dxa"/>
            <w:tcBorders>
              <w:top w:val="nil"/>
              <w:left w:val="single" w:sz="18" w:space="0" w:color="5F497A" w:themeColor="accent4" w:themeShade="BF"/>
              <w:bottom w:val="nil"/>
              <w:right w:val="nil"/>
            </w:tcBorders>
            <w:shd w:val="clear" w:color="auto" w:fill="auto"/>
            <w:vAlign w:val="bottom"/>
          </w:tcPr>
          <w:p w14:paraId="553348DB" w14:textId="0BD39BFA" w:rsidR="00B33D8D" w:rsidRPr="001D41EA" w:rsidRDefault="00B33D8D" w:rsidP="001D41EA">
            <w:pPr>
              <w:spacing w:before="40" w:after="20"/>
              <w:jc w:val="right"/>
              <w:rPr>
                <w:rFonts w:cs="Arial"/>
                <w:sz w:val="18"/>
                <w:szCs w:val="18"/>
              </w:rPr>
            </w:pPr>
            <w:r w:rsidRPr="001D41EA">
              <w:rPr>
                <w:rFonts w:cs="Arial"/>
                <w:sz w:val="18"/>
                <w:szCs w:val="18"/>
              </w:rPr>
              <w:t>18,087</w:t>
            </w:r>
          </w:p>
        </w:tc>
        <w:tc>
          <w:tcPr>
            <w:tcW w:w="1247" w:type="dxa"/>
            <w:tcBorders>
              <w:top w:val="nil"/>
              <w:left w:val="nil"/>
              <w:bottom w:val="nil"/>
              <w:right w:val="nil"/>
            </w:tcBorders>
            <w:vAlign w:val="bottom"/>
          </w:tcPr>
          <w:p w14:paraId="2B7EED53" w14:textId="501379E5" w:rsidR="00B33D8D" w:rsidRPr="001D41EA" w:rsidRDefault="00B33D8D" w:rsidP="001D41EA">
            <w:pPr>
              <w:spacing w:before="40" w:after="20"/>
              <w:jc w:val="right"/>
              <w:rPr>
                <w:rFonts w:cs="Arial"/>
                <w:sz w:val="18"/>
                <w:szCs w:val="18"/>
              </w:rPr>
            </w:pPr>
            <w:r w:rsidRPr="001D41EA">
              <w:rPr>
                <w:rFonts w:cs="Arial"/>
                <w:sz w:val="18"/>
                <w:szCs w:val="18"/>
              </w:rPr>
              <w:t>19,514</w:t>
            </w:r>
          </w:p>
        </w:tc>
        <w:tc>
          <w:tcPr>
            <w:tcW w:w="1247" w:type="dxa"/>
            <w:tcBorders>
              <w:top w:val="nil"/>
              <w:left w:val="nil"/>
              <w:bottom w:val="nil"/>
              <w:right w:val="nil"/>
            </w:tcBorders>
            <w:shd w:val="clear" w:color="auto" w:fill="auto"/>
            <w:vAlign w:val="bottom"/>
          </w:tcPr>
          <w:p w14:paraId="3F6354FB" w14:textId="16382940" w:rsidR="00B33D8D" w:rsidRPr="001D41EA" w:rsidRDefault="00B33D8D" w:rsidP="001D41EA">
            <w:pPr>
              <w:spacing w:before="40" w:after="20"/>
              <w:jc w:val="right"/>
              <w:rPr>
                <w:rFonts w:cs="Arial"/>
                <w:sz w:val="18"/>
                <w:szCs w:val="18"/>
              </w:rPr>
            </w:pPr>
            <w:r w:rsidRPr="001D41EA">
              <w:rPr>
                <w:rFonts w:cs="Arial"/>
                <w:sz w:val="18"/>
                <w:szCs w:val="18"/>
              </w:rPr>
              <w:t>7.9</w:t>
            </w:r>
          </w:p>
        </w:tc>
        <w:tc>
          <w:tcPr>
            <w:tcW w:w="170" w:type="dxa"/>
            <w:tcBorders>
              <w:top w:val="nil"/>
              <w:left w:val="nil"/>
              <w:bottom w:val="nil"/>
              <w:right w:val="nil"/>
            </w:tcBorders>
            <w:shd w:val="clear" w:color="auto" w:fill="auto"/>
            <w:vAlign w:val="bottom"/>
          </w:tcPr>
          <w:p w14:paraId="60BFF421" w14:textId="039334AD"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3F0572C0" w14:textId="41587BB5" w:rsidR="00B33D8D" w:rsidRPr="001D41EA" w:rsidRDefault="00B33D8D" w:rsidP="001D41EA">
            <w:pPr>
              <w:spacing w:before="40" w:after="20"/>
              <w:jc w:val="right"/>
              <w:rPr>
                <w:rFonts w:cs="Arial"/>
                <w:sz w:val="18"/>
                <w:szCs w:val="18"/>
              </w:rPr>
            </w:pPr>
            <w:r w:rsidRPr="001D41EA">
              <w:rPr>
                <w:rFonts w:cs="Arial"/>
                <w:sz w:val="18"/>
                <w:szCs w:val="18"/>
              </w:rPr>
              <w:t>1,100</w:t>
            </w:r>
          </w:p>
        </w:tc>
        <w:tc>
          <w:tcPr>
            <w:tcW w:w="1247" w:type="dxa"/>
            <w:tcBorders>
              <w:top w:val="nil"/>
              <w:left w:val="nil"/>
              <w:bottom w:val="nil"/>
              <w:right w:val="nil"/>
            </w:tcBorders>
            <w:shd w:val="clear" w:color="auto" w:fill="auto"/>
            <w:vAlign w:val="bottom"/>
          </w:tcPr>
          <w:p w14:paraId="4F1004A5" w14:textId="7A8EA4B2" w:rsidR="00B33D8D" w:rsidRPr="001D41EA" w:rsidRDefault="00B33D8D" w:rsidP="001D41EA">
            <w:pPr>
              <w:spacing w:before="40" w:after="20"/>
              <w:jc w:val="right"/>
              <w:rPr>
                <w:rFonts w:cs="Arial"/>
                <w:sz w:val="18"/>
                <w:szCs w:val="18"/>
              </w:rPr>
            </w:pPr>
            <w:r w:rsidRPr="001D41EA">
              <w:rPr>
                <w:rFonts w:cs="Arial"/>
                <w:sz w:val="18"/>
                <w:szCs w:val="18"/>
              </w:rPr>
              <w:t>5.6</w:t>
            </w:r>
          </w:p>
        </w:tc>
      </w:tr>
      <w:tr w:rsidR="00B33D8D" w:rsidRPr="001D41EA" w14:paraId="5A8379E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D0242A5" w14:textId="77777777" w:rsidR="00B33D8D" w:rsidRPr="001D41EA" w:rsidRDefault="00B33D8D" w:rsidP="001D41EA">
            <w:pPr>
              <w:spacing w:before="40" w:after="20"/>
              <w:rPr>
                <w:rFonts w:cs="Arial"/>
                <w:sz w:val="18"/>
                <w:szCs w:val="18"/>
              </w:rPr>
            </w:pPr>
            <w:r w:rsidRPr="001D41EA">
              <w:rPr>
                <w:rFonts w:cs="Arial"/>
                <w:sz w:val="18"/>
                <w:szCs w:val="18"/>
              </w:rPr>
              <w:t>Moyne S</w:t>
            </w:r>
          </w:p>
        </w:tc>
        <w:tc>
          <w:tcPr>
            <w:tcW w:w="1247" w:type="dxa"/>
            <w:tcBorders>
              <w:top w:val="nil"/>
              <w:left w:val="single" w:sz="18" w:space="0" w:color="5F497A" w:themeColor="accent4" w:themeShade="BF"/>
              <w:bottom w:val="nil"/>
              <w:right w:val="nil"/>
            </w:tcBorders>
            <w:shd w:val="clear" w:color="auto" w:fill="auto"/>
            <w:vAlign w:val="bottom"/>
          </w:tcPr>
          <w:p w14:paraId="0AC3B62C" w14:textId="4D51279D" w:rsidR="00B33D8D" w:rsidRPr="001D41EA" w:rsidRDefault="00B33D8D" w:rsidP="001D41EA">
            <w:pPr>
              <w:spacing w:before="40" w:after="20"/>
              <w:jc w:val="right"/>
              <w:rPr>
                <w:rFonts w:cs="Arial"/>
                <w:sz w:val="18"/>
                <w:szCs w:val="18"/>
              </w:rPr>
            </w:pPr>
            <w:r w:rsidRPr="001D41EA">
              <w:rPr>
                <w:rFonts w:cs="Arial"/>
                <w:sz w:val="18"/>
                <w:szCs w:val="18"/>
              </w:rPr>
              <w:t>16,336</w:t>
            </w:r>
          </w:p>
        </w:tc>
        <w:tc>
          <w:tcPr>
            <w:tcW w:w="1247" w:type="dxa"/>
            <w:tcBorders>
              <w:top w:val="nil"/>
              <w:left w:val="nil"/>
              <w:bottom w:val="nil"/>
              <w:right w:val="nil"/>
            </w:tcBorders>
            <w:vAlign w:val="bottom"/>
          </w:tcPr>
          <w:p w14:paraId="11305DC6" w14:textId="3D69A20E" w:rsidR="00B33D8D" w:rsidRPr="001D41EA" w:rsidRDefault="00B33D8D" w:rsidP="001D41EA">
            <w:pPr>
              <w:spacing w:before="40" w:after="20"/>
              <w:jc w:val="right"/>
              <w:rPr>
                <w:rFonts w:cs="Arial"/>
                <w:sz w:val="18"/>
                <w:szCs w:val="18"/>
              </w:rPr>
            </w:pPr>
            <w:r w:rsidRPr="001D41EA">
              <w:rPr>
                <w:rFonts w:cs="Arial"/>
                <w:sz w:val="18"/>
                <w:szCs w:val="18"/>
              </w:rPr>
              <w:t>16,887</w:t>
            </w:r>
          </w:p>
        </w:tc>
        <w:tc>
          <w:tcPr>
            <w:tcW w:w="1247" w:type="dxa"/>
            <w:tcBorders>
              <w:top w:val="nil"/>
              <w:left w:val="nil"/>
              <w:bottom w:val="nil"/>
              <w:right w:val="nil"/>
            </w:tcBorders>
            <w:shd w:val="clear" w:color="auto" w:fill="auto"/>
            <w:vAlign w:val="bottom"/>
          </w:tcPr>
          <w:p w14:paraId="078A39B8" w14:textId="187ABBC5" w:rsidR="00B33D8D" w:rsidRPr="001D41EA" w:rsidRDefault="00B33D8D" w:rsidP="001D41EA">
            <w:pPr>
              <w:spacing w:before="40" w:after="20"/>
              <w:jc w:val="right"/>
              <w:rPr>
                <w:rFonts w:cs="Arial"/>
                <w:sz w:val="18"/>
                <w:szCs w:val="18"/>
              </w:rPr>
            </w:pPr>
            <w:r w:rsidRPr="001D41EA">
              <w:rPr>
                <w:rFonts w:cs="Arial"/>
                <w:sz w:val="18"/>
                <w:szCs w:val="18"/>
              </w:rPr>
              <w:t>3.4</w:t>
            </w:r>
          </w:p>
        </w:tc>
        <w:tc>
          <w:tcPr>
            <w:tcW w:w="170" w:type="dxa"/>
            <w:tcBorders>
              <w:top w:val="nil"/>
              <w:left w:val="nil"/>
              <w:bottom w:val="nil"/>
              <w:right w:val="nil"/>
            </w:tcBorders>
            <w:shd w:val="clear" w:color="auto" w:fill="auto"/>
            <w:vAlign w:val="bottom"/>
          </w:tcPr>
          <w:p w14:paraId="5CD4F194" w14:textId="37822F63"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70449B45" w14:textId="1860B2FF" w:rsidR="00B33D8D" w:rsidRPr="001D41EA" w:rsidRDefault="00B33D8D" w:rsidP="001D41EA">
            <w:pPr>
              <w:spacing w:before="40" w:after="20"/>
              <w:jc w:val="right"/>
              <w:rPr>
                <w:rFonts w:cs="Arial"/>
                <w:sz w:val="18"/>
                <w:szCs w:val="18"/>
              </w:rPr>
            </w:pPr>
            <w:r w:rsidRPr="001D41EA">
              <w:rPr>
                <w:rFonts w:cs="Arial"/>
                <w:sz w:val="18"/>
                <w:szCs w:val="18"/>
              </w:rPr>
              <w:t>1,239</w:t>
            </w:r>
          </w:p>
        </w:tc>
        <w:tc>
          <w:tcPr>
            <w:tcW w:w="1247" w:type="dxa"/>
            <w:tcBorders>
              <w:top w:val="nil"/>
              <w:left w:val="nil"/>
              <w:bottom w:val="nil"/>
              <w:right w:val="nil"/>
            </w:tcBorders>
            <w:shd w:val="clear" w:color="auto" w:fill="auto"/>
            <w:vAlign w:val="bottom"/>
          </w:tcPr>
          <w:p w14:paraId="1305A479" w14:textId="50BFA5CB" w:rsidR="00B33D8D" w:rsidRPr="001D41EA" w:rsidRDefault="00B33D8D" w:rsidP="001D41EA">
            <w:pPr>
              <w:spacing w:before="40" w:after="20"/>
              <w:jc w:val="right"/>
              <w:rPr>
                <w:rFonts w:cs="Arial"/>
                <w:sz w:val="18"/>
                <w:szCs w:val="18"/>
              </w:rPr>
            </w:pPr>
            <w:r w:rsidRPr="001D41EA">
              <w:rPr>
                <w:rFonts w:cs="Arial"/>
                <w:sz w:val="18"/>
                <w:szCs w:val="18"/>
              </w:rPr>
              <w:t>7.3</w:t>
            </w:r>
          </w:p>
        </w:tc>
      </w:tr>
      <w:tr w:rsidR="00B33D8D" w:rsidRPr="001D41EA" w14:paraId="1D57C874"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0E8FC8C" w14:textId="77777777" w:rsidR="00B33D8D" w:rsidRPr="001D41EA" w:rsidRDefault="00B33D8D" w:rsidP="001D41EA">
            <w:pPr>
              <w:spacing w:before="40" w:after="20"/>
              <w:rPr>
                <w:rFonts w:cs="Arial"/>
                <w:sz w:val="18"/>
                <w:szCs w:val="18"/>
              </w:rPr>
            </w:pPr>
            <w:r w:rsidRPr="001D41EA">
              <w:rPr>
                <w:rFonts w:cs="Arial"/>
                <w:sz w:val="18"/>
                <w:szCs w:val="18"/>
              </w:rPr>
              <w:t>Murrindindi S</w:t>
            </w:r>
          </w:p>
        </w:tc>
        <w:tc>
          <w:tcPr>
            <w:tcW w:w="1247" w:type="dxa"/>
            <w:tcBorders>
              <w:top w:val="nil"/>
              <w:left w:val="single" w:sz="18" w:space="0" w:color="5F497A" w:themeColor="accent4" w:themeShade="BF"/>
              <w:bottom w:val="nil"/>
              <w:right w:val="nil"/>
            </w:tcBorders>
            <w:shd w:val="clear" w:color="auto" w:fill="auto"/>
            <w:vAlign w:val="bottom"/>
          </w:tcPr>
          <w:p w14:paraId="052D47FA" w14:textId="63484FAF" w:rsidR="00B33D8D" w:rsidRPr="001D41EA" w:rsidRDefault="00B33D8D" w:rsidP="001D41EA">
            <w:pPr>
              <w:spacing w:before="40" w:after="20"/>
              <w:jc w:val="right"/>
              <w:rPr>
                <w:rFonts w:cs="Arial"/>
                <w:sz w:val="18"/>
                <w:szCs w:val="18"/>
              </w:rPr>
            </w:pPr>
            <w:r w:rsidRPr="001D41EA">
              <w:rPr>
                <w:rFonts w:cs="Arial"/>
                <w:sz w:val="18"/>
                <w:szCs w:val="18"/>
              </w:rPr>
              <w:t>13,589</w:t>
            </w:r>
          </w:p>
        </w:tc>
        <w:tc>
          <w:tcPr>
            <w:tcW w:w="1247" w:type="dxa"/>
            <w:tcBorders>
              <w:top w:val="nil"/>
              <w:left w:val="nil"/>
              <w:bottom w:val="nil"/>
              <w:right w:val="nil"/>
            </w:tcBorders>
            <w:vAlign w:val="bottom"/>
          </w:tcPr>
          <w:p w14:paraId="352EEF61" w14:textId="6825DED6" w:rsidR="00B33D8D" w:rsidRPr="001D41EA" w:rsidRDefault="00B33D8D" w:rsidP="001D41EA">
            <w:pPr>
              <w:spacing w:before="40" w:after="20"/>
              <w:jc w:val="right"/>
              <w:rPr>
                <w:rFonts w:cs="Arial"/>
                <w:sz w:val="18"/>
                <w:szCs w:val="18"/>
              </w:rPr>
            </w:pPr>
            <w:r w:rsidRPr="001D41EA">
              <w:rPr>
                <w:rFonts w:cs="Arial"/>
                <w:sz w:val="18"/>
                <w:szCs w:val="18"/>
              </w:rPr>
              <w:t>14,478</w:t>
            </w:r>
          </w:p>
        </w:tc>
        <w:tc>
          <w:tcPr>
            <w:tcW w:w="1247" w:type="dxa"/>
            <w:tcBorders>
              <w:top w:val="nil"/>
              <w:left w:val="nil"/>
              <w:bottom w:val="nil"/>
              <w:right w:val="nil"/>
            </w:tcBorders>
            <w:shd w:val="clear" w:color="auto" w:fill="auto"/>
            <w:vAlign w:val="bottom"/>
          </w:tcPr>
          <w:p w14:paraId="64A22BFE" w14:textId="0FE2B806" w:rsidR="00B33D8D" w:rsidRPr="001D41EA" w:rsidRDefault="00B33D8D" w:rsidP="001D41EA">
            <w:pPr>
              <w:spacing w:before="40" w:after="20"/>
              <w:jc w:val="right"/>
              <w:rPr>
                <w:rFonts w:cs="Arial"/>
                <w:sz w:val="18"/>
                <w:szCs w:val="18"/>
              </w:rPr>
            </w:pPr>
            <w:r w:rsidRPr="001D41EA">
              <w:rPr>
                <w:rFonts w:cs="Arial"/>
                <w:sz w:val="18"/>
                <w:szCs w:val="18"/>
              </w:rPr>
              <w:t>6.5</w:t>
            </w:r>
          </w:p>
        </w:tc>
        <w:tc>
          <w:tcPr>
            <w:tcW w:w="170" w:type="dxa"/>
            <w:tcBorders>
              <w:top w:val="nil"/>
              <w:left w:val="nil"/>
              <w:bottom w:val="nil"/>
              <w:right w:val="nil"/>
            </w:tcBorders>
            <w:shd w:val="clear" w:color="auto" w:fill="auto"/>
            <w:vAlign w:val="bottom"/>
          </w:tcPr>
          <w:p w14:paraId="3C7EA254" w14:textId="07BA7076"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12633A6" w14:textId="16790DC6" w:rsidR="00B33D8D" w:rsidRPr="001D41EA" w:rsidRDefault="00B33D8D" w:rsidP="001D41EA">
            <w:pPr>
              <w:spacing w:before="40" w:after="20"/>
              <w:jc w:val="right"/>
              <w:rPr>
                <w:rFonts w:cs="Arial"/>
                <w:sz w:val="18"/>
                <w:szCs w:val="18"/>
              </w:rPr>
            </w:pPr>
            <w:r w:rsidRPr="001D41EA">
              <w:rPr>
                <w:rFonts w:cs="Arial"/>
                <w:sz w:val="18"/>
                <w:szCs w:val="18"/>
              </w:rPr>
              <w:t>846</w:t>
            </w:r>
          </w:p>
        </w:tc>
        <w:tc>
          <w:tcPr>
            <w:tcW w:w="1247" w:type="dxa"/>
            <w:tcBorders>
              <w:top w:val="nil"/>
              <w:left w:val="nil"/>
              <w:bottom w:val="nil"/>
              <w:right w:val="nil"/>
            </w:tcBorders>
            <w:shd w:val="clear" w:color="auto" w:fill="auto"/>
            <w:vAlign w:val="bottom"/>
          </w:tcPr>
          <w:p w14:paraId="11985DEB" w14:textId="3D123388" w:rsidR="00B33D8D" w:rsidRPr="001D41EA" w:rsidRDefault="00B33D8D" w:rsidP="001D41EA">
            <w:pPr>
              <w:spacing w:before="40" w:after="20"/>
              <w:jc w:val="right"/>
              <w:rPr>
                <w:rFonts w:cs="Arial"/>
                <w:sz w:val="18"/>
                <w:szCs w:val="18"/>
              </w:rPr>
            </w:pPr>
            <w:r w:rsidRPr="001D41EA">
              <w:rPr>
                <w:rFonts w:cs="Arial"/>
                <w:sz w:val="18"/>
                <w:szCs w:val="18"/>
              </w:rPr>
              <w:t>5.8</w:t>
            </w:r>
          </w:p>
        </w:tc>
      </w:tr>
      <w:tr w:rsidR="00B33D8D" w:rsidRPr="001D41EA" w14:paraId="53C9C15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BB1D9F0" w14:textId="77777777" w:rsidR="00B33D8D" w:rsidRPr="001D41EA" w:rsidRDefault="00B33D8D" w:rsidP="001D41EA">
            <w:pPr>
              <w:spacing w:before="40" w:after="20"/>
              <w:rPr>
                <w:rFonts w:cs="Arial"/>
                <w:sz w:val="18"/>
                <w:szCs w:val="18"/>
              </w:rPr>
            </w:pPr>
            <w:r w:rsidRPr="001D41EA">
              <w:rPr>
                <w:rFonts w:cs="Arial"/>
                <w:sz w:val="18"/>
                <w:szCs w:val="18"/>
              </w:rPr>
              <w:t>Nillumbik S</w:t>
            </w:r>
          </w:p>
        </w:tc>
        <w:tc>
          <w:tcPr>
            <w:tcW w:w="1247" w:type="dxa"/>
            <w:tcBorders>
              <w:top w:val="nil"/>
              <w:left w:val="single" w:sz="18" w:space="0" w:color="5F497A" w:themeColor="accent4" w:themeShade="BF"/>
              <w:bottom w:val="nil"/>
              <w:right w:val="nil"/>
            </w:tcBorders>
            <w:shd w:val="clear" w:color="auto" w:fill="auto"/>
            <w:vAlign w:val="bottom"/>
          </w:tcPr>
          <w:p w14:paraId="0102B730" w14:textId="7E4FB0A2" w:rsidR="00B33D8D" w:rsidRPr="001D41EA" w:rsidRDefault="00B33D8D" w:rsidP="001D41EA">
            <w:pPr>
              <w:spacing w:before="40" w:after="20"/>
              <w:jc w:val="right"/>
              <w:rPr>
                <w:rFonts w:cs="Arial"/>
                <w:sz w:val="18"/>
                <w:szCs w:val="18"/>
              </w:rPr>
            </w:pPr>
            <w:r w:rsidRPr="001D41EA">
              <w:rPr>
                <w:rFonts w:cs="Arial"/>
                <w:sz w:val="18"/>
                <w:szCs w:val="18"/>
              </w:rPr>
              <w:t>62,849</w:t>
            </w:r>
          </w:p>
        </w:tc>
        <w:tc>
          <w:tcPr>
            <w:tcW w:w="1247" w:type="dxa"/>
            <w:tcBorders>
              <w:top w:val="nil"/>
              <w:left w:val="nil"/>
              <w:bottom w:val="nil"/>
              <w:right w:val="nil"/>
            </w:tcBorders>
            <w:vAlign w:val="bottom"/>
          </w:tcPr>
          <w:p w14:paraId="603A6E99" w14:textId="52383AF3" w:rsidR="00B33D8D" w:rsidRPr="001D41EA" w:rsidRDefault="00B33D8D" w:rsidP="001D41EA">
            <w:pPr>
              <w:spacing w:before="40" w:after="20"/>
              <w:jc w:val="right"/>
              <w:rPr>
                <w:rFonts w:cs="Arial"/>
                <w:sz w:val="18"/>
                <w:szCs w:val="18"/>
              </w:rPr>
            </w:pPr>
            <w:r w:rsidRPr="001D41EA">
              <w:rPr>
                <w:rFonts w:cs="Arial"/>
                <w:sz w:val="18"/>
                <w:szCs w:val="18"/>
              </w:rPr>
              <w:t>64,941</w:t>
            </w:r>
          </w:p>
        </w:tc>
        <w:tc>
          <w:tcPr>
            <w:tcW w:w="1247" w:type="dxa"/>
            <w:tcBorders>
              <w:top w:val="nil"/>
              <w:left w:val="nil"/>
              <w:bottom w:val="nil"/>
              <w:right w:val="nil"/>
            </w:tcBorders>
            <w:shd w:val="clear" w:color="auto" w:fill="auto"/>
            <w:vAlign w:val="bottom"/>
          </w:tcPr>
          <w:p w14:paraId="3CB1CC55" w14:textId="523A5F1B" w:rsidR="00B33D8D" w:rsidRPr="001D41EA" w:rsidRDefault="00B33D8D" w:rsidP="001D41EA">
            <w:pPr>
              <w:spacing w:before="40" w:after="20"/>
              <w:jc w:val="right"/>
              <w:rPr>
                <w:rFonts w:cs="Arial"/>
                <w:sz w:val="18"/>
                <w:szCs w:val="18"/>
              </w:rPr>
            </w:pPr>
            <w:r w:rsidRPr="001D41EA">
              <w:rPr>
                <w:rFonts w:cs="Arial"/>
                <w:sz w:val="18"/>
                <w:szCs w:val="18"/>
              </w:rPr>
              <w:t>3.3</w:t>
            </w:r>
          </w:p>
        </w:tc>
        <w:tc>
          <w:tcPr>
            <w:tcW w:w="170" w:type="dxa"/>
            <w:tcBorders>
              <w:top w:val="nil"/>
              <w:left w:val="nil"/>
              <w:bottom w:val="nil"/>
              <w:right w:val="nil"/>
            </w:tcBorders>
            <w:shd w:val="clear" w:color="auto" w:fill="auto"/>
            <w:vAlign w:val="bottom"/>
          </w:tcPr>
          <w:p w14:paraId="0BF8BBA3" w14:textId="245F7F0E"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0431F20" w14:textId="7E99F34E" w:rsidR="00B33D8D" w:rsidRPr="001D41EA" w:rsidRDefault="00B33D8D" w:rsidP="001D41EA">
            <w:pPr>
              <w:spacing w:before="40" w:after="20"/>
              <w:jc w:val="right"/>
              <w:rPr>
                <w:rFonts w:cs="Arial"/>
                <w:sz w:val="18"/>
                <w:szCs w:val="18"/>
              </w:rPr>
            </w:pPr>
            <w:r w:rsidRPr="001D41EA">
              <w:rPr>
                <w:rFonts w:cs="Arial"/>
                <w:sz w:val="18"/>
                <w:szCs w:val="18"/>
              </w:rPr>
              <w:t>4,483</w:t>
            </w:r>
          </w:p>
        </w:tc>
        <w:tc>
          <w:tcPr>
            <w:tcW w:w="1247" w:type="dxa"/>
            <w:tcBorders>
              <w:top w:val="nil"/>
              <w:left w:val="nil"/>
              <w:bottom w:val="nil"/>
              <w:right w:val="nil"/>
            </w:tcBorders>
            <w:shd w:val="clear" w:color="auto" w:fill="auto"/>
            <w:vAlign w:val="bottom"/>
          </w:tcPr>
          <w:p w14:paraId="0A0DF056" w14:textId="7317F284" w:rsidR="00B33D8D" w:rsidRPr="001D41EA" w:rsidRDefault="00B33D8D" w:rsidP="001D41EA">
            <w:pPr>
              <w:spacing w:before="40" w:after="20"/>
              <w:jc w:val="right"/>
              <w:rPr>
                <w:rFonts w:cs="Arial"/>
                <w:sz w:val="18"/>
                <w:szCs w:val="18"/>
              </w:rPr>
            </w:pPr>
            <w:r w:rsidRPr="001D41EA">
              <w:rPr>
                <w:rFonts w:cs="Arial"/>
                <w:sz w:val="18"/>
                <w:szCs w:val="18"/>
              </w:rPr>
              <w:t>6.9</w:t>
            </w:r>
          </w:p>
        </w:tc>
      </w:tr>
      <w:tr w:rsidR="00B33D8D" w:rsidRPr="001D41EA" w14:paraId="327D56EC"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E0A5BD3" w14:textId="77777777" w:rsidR="00B33D8D" w:rsidRPr="001D41EA" w:rsidRDefault="00B33D8D" w:rsidP="001D41EA">
            <w:pPr>
              <w:spacing w:before="40" w:after="20"/>
              <w:rPr>
                <w:rFonts w:cs="Arial"/>
                <w:sz w:val="18"/>
                <w:szCs w:val="18"/>
              </w:rPr>
            </w:pPr>
            <w:r w:rsidRPr="001D41EA">
              <w:rPr>
                <w:rFonts w:cs="Arial"/>
                <w:sz w:val="18"/>
                <w:szCs w:val="18"/>
              </w:rPr>
              <w:t>Northern Grampians S</w:t>
            </w:r>
          </w:p>
        </w:tc>
        <w:tc>
          <w:tcPr>
            <w:tcW w:w="1247" w:type="dxa"/>
            <w:tcBorders>
              <w:top w:val="nil"/>
              <w:left w:val="single" w:sz="18" w:space="0" w:color="5F497A" w:themeColor="accent4" w:themeShade="BF"/>
              <w:bottom w:val="nil"/>
              <w:right w:val="nil"/>
            </w:tcBorders>
            <w:shd w:val="clear" w:color="auto" w:fill="auto"/>
            <w:vAlign w:val="bottom"/>
          </w:tcPr>
          <w:p w14:paraId="6E71A336" w14:textId="78BFA377" w:rsidR="00B33D8D" w:rsidRPr="001D41EA" w:rsidRDefault="00B33D8D" w:rsidP="001D41EA">
            <w:pPr>
              <w:spacing w:before="40" w:after="20"/>
              <w:jc w:val="right"/>
              <w:rPr>
                <w:rFonts w:cs="Arial"/>
                <w:sz w:val="18"/>
                <w:szCs w:val="18"/>
              </w:rPr>
            </w:pPr>
            <w:r w:rsidRPr="001D41EA">
              <w:rPr>
                <w:rFonts w:cs="Arial"/>
                <w:sz w:val="18"/>
                <w:szCs w:val="18"/>
              </w:rPr>
              <w:t>11,715</w:t>
            </w:r>
          </w:p>
        </w:tc>
        <w:tc>
          <w:tcPr>
            <w:tcW w:w="1247" w:type="dxa"/>
            <w:tcBorders>
              <w:top w:val="nil"/>
              <w:left w:val="nil"/>
              <w:bottom w:val="nil"/>
              <w:right w:val="nil"/>
            </w:tcBorders>
            <w:vAlign w:val="bottom"/>
          </w:tcPr>
          <w:p w14:paraId="188F4EAC" w14:textId="6AEF13A0" w:rsidR="00B33D8D" w:rsidRPr="001D41EA" w:rsidRDefault="00B33D8D" w:rsidP="001D41EA">
            <w:pPr>
              <w:spacing w:before="40" w:after="20"/>
              <w:jc w:val="right"/>
              <w:rPr>
                <w:rFonts w:cs="Arial"/>
                <w:sz w:val="18"/>
                <w:szCs w:val="18"/>
              </w:rPr>
            </w:pPr>
            <w:r w:rsidRPr="001D41EA">
              <w:rPr>
                <w:rFonts w:cs="Arial"/>
                <w:sz w:val="18"/>
                <w:szCs w:val="18"/>
              </w:rPr>
              <w:t>11,431</w:t>
            </w:r>
          </w:p>
        </w:tc>
        <w:tc>
          <w:tcPr>
            <w:tcW w:w="1247" w:type="dxa"/>
            <w:tcBorders>
              <w:top w:val="nil"/>
              <w:left w:val="nil"/>
              <w:bottom w:val="nil"/>
              <w:right w:val="nil"/>
            </w:tcBorders>
            <w:shd w:val="clear" w:color="auto" w:fill="auto"/>
            <w:vAlign w:val="bottom"/>
          </w:tcPr>
          <w:p w14:paraId="4CC9E04B" w14:textId="70D0C3A7" w:rsidR="00B33D8D" w:rsidRPr="001D41EA" w:rsidRDefault="00B33D8D" w:rsidP="001D41EA">
            <w:pPr>
              <w:spacing w:before="40" w:after="20"/>
              <w:jc w:val="right"/>
              <w:rPr>
                <w:rFonts w:cs="Arial"/>
                <w:sz w:val="18"/>
                <w:szCs w:val="18"/>
              </w:rPr>
            </w:pPr>
            <w:r w:rsidRPr="001D41EA">
              <w:rPr>
                <w:rFonts w:cs="Arial"/>
                <w:sz w:val="18"/>
                <w:szCs w:val="18"/>
              </w:rPr>
              <w:t>-2.4</w:t>
            </w:r>
          </w:p>
        </w:tc>
        <w:tc>
          <w:tcPr>
            <w:tcW w:w="170" w:type="dxa"/>
            <w:tcBorders>
              <w:top w:val="nil"/>
              <w:left w:val="nil"/>
              <w:bottom w:val="nil"/>
              <w:right w:val="nil"/>
            </w:tcBorders>
            <w:shd w:val="clear" w:color="auto" w:fill="auto"/>
            <w:vAlign w:val="bottom"/>
          </w:tcPr>
          <w:p w14:paraId="77AE85D8" w14:textId="13EED87A"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7D519F2F" w14:textId="4CF38F12" w:rsidR="00B33D8D" w:rsidRPr="001D41EA" w:rsidRDefault="00B33D8D" w:rsidP="001D41EA">
            <w:pPr>
              <w:spacing w:before="40" w:after="20"/>
              <w:jc w:val="right"/>
              <w:rPr>
                <w:rFonts w:cs="Arial"/>
                <w:sz w:val="18"/>
                <w:szCs w:val="18"/>
              </w:rPr>
            </w:pPr>
            <w:r w:rsidRPr="001D41EA">
              <w:rPr>
                <w:rFonts w:cs="Arial"/>
                <w:sz w:val="18"/>
                <w:szCs w:val="18"/>
              </w:rPr>
              <w:t>674</w:t>
            </w:r>
          </w:p>
        </w:tc>
        <w:tc>
          <w:tcPr>
            <w:tcW w:w="1247" w:type="dxa"/>
            <w:tcBorders>
              <w:top w:val="nil"/>
              <w:left w:val="nil"/>
              <w:bottom w:val="nil"/>
              <w:right w:val="nil"/>
            </w:tcBorders>
            <w:shd w:val="clear" w:color="auto" w:fill="auto"/>
            <w:vAlign w:val="bottom"/>
          </w:tcPr>
          <w:p w14:paraId="3F54C7AF" w14:textId="36C47BB5" w:rsidR="00B33D8D" w:rsidRPr="001D41EA" w:rsidRDefault="00B33D8D" w:rsidP="001D41EA">
            <w:pPr>
              <w:spacing w:before="40" w:after="20"/>
              <w:jc w:val="right"/>
              <w:rPr>
                <w:rFonts w:cs="Arial"/>
                <w:sz w:val="18"/>
                <w:szCs w:val="18"/>
              </w:rPr>
            </w:pPr>
            <w:r w:rsidRPr="001D41EA">
              <w:rPr>
                <w:rFonts w:cs="Arial"/>
                <w:sz w:val="18"/>
                <w:szCs w:val="18"/>
              </w:rPr>
              <w:t>5.9</w:t>
            </w:r>
          </w:p>
        </w:tc>
      </w:tr>
      <w:tr w:rsidR="00B33D8D" w:rsidRPr="001D41EA" w14:paraId="1B1FB12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D7C671E" w14:textId="77777777" w:rsidR="00B33D8D" w:rsidRPr="001D41EA" w:rsidRDefault="00B33D8D" w:rsidP="001D41EA">
            <w:pPr>
              <w:spacing w:before="40" w:after="20"/>
              <w:rPr>
                <w:rFonts w:cs="Arial"/>
                <w:sz w:val="18"/>
                <w:szCs w:val="18"/>
              </w:rPr>
            </w:pPr>
            <w:r w:rsidRPr="001D41EA">
              <w:rPr>
                <w:rFonts w:cs="Arial"/>
                <w:sz w:val="18"/>
                <w:szCs w:val="18"/>
              </w:rPr>
              <w:t>Port Phillip C</w:t>
            </w:r>
          </w:p>
        </w:tc>
        <w:tc>
          <w:tcPr>
            <w:tcW w:w="1247" w:type="dxa"/>
            <w:tcBorders>
              <w:top w:val="nil"/>
              <w:left w:val="single" w:sz="18" w:space="0" w:color="5F497A" w:themeColor="accent4" w:themeShade="BF"/>
              <w:bottom w:val="nil"/>
              <w:right w:val="nil"/>
            </w:tcBorders>
            <w:shd w:val="clear" w:color="auto" w:fill="auto"/>
            <w:vAlign w:val="bottom"/>
          </w:tcPr>
          <w:p w14:paraId="788C9308" w14:textId="2ACAA440" w:rsidR="00B33D8D" w:rsidRPr="001D41EA" w:rsidRDefault="00B33D8D" w:rsidP="001D41EA">
            <w:pPr>
              <w:spacing w:before="40" w:after="20"/>
              <w:jc w:val="right"/>
              <w:rPr>
                <w:rFonts w:cs="Arial"/>
                <w:sz w:val="18"/>
                <w:szCs w:val="18"/>
              </w:rPr>
            </w:pPr>
            <w:r w:rsidRPr="001D41EA">
              <w:rPr>
                <w:rFonts w:cs="Arial"/>
                <w:sz w:val="18"/>
                <w:szCs w:val="18"/>
              </w:rPr>
              <w:t>104,813</w:t>
            </w:r>
          </w:p>
        </w:tc>
        <w:tc>
          <w:tcPr>
            <w:tcW w:w="1247" w:type="dxa"/>
            <w:tcBorders>
              <w:top w:val="nil"/>
              <w:left w:val="nil"/>
              <w:bottom w:val="nil"/>
              <w:right w:val="nil"/>
            </w:tcBorders>
            <w:vAlign w:val="bottom"/>
          </w:tcPr>
          <w:p w14:paraId="43F18F65" w14:textId="3B0BE864" w:rsidR="00B33D8D" w:rsidRPr="001D41EA" w:rsidRDefault="00B33D8D" w:rsidP="001D41EA">
            <w:pPr>
              <w:spacing w:before="40" w:after="20"/>
              <w:jc w:val="right"/>
              <w:rPr>
                <w:rFonts w:cs="Arial"/>
                <w:sz w:val="18"/>
                <w:szCs w:val="18"/>
              </w:rPr>
            </w:pPr>
            <w:r w:rsidRPr="001D41EA">
              <w:rPr>
                <w:rFonts w:cs="Arial"/>
                <w:sz w:val="18"/>
                <w:szCs w:val="18"/>
              </w:rPr>
              <w:t>113,200</w:t>
            </w:r>
          </w:p>
        </w:tc>
        <w:tc>
          <w:tcPr>
            <w:tcW w:w="1247" w:type="dxa"/>
            <w:tcBorders>
              <w:top w:val="nil"/>
              <w:left w:val="nil"/>
              <w:bottom w:val="nil"/>
              <w:right w:val="nil"/>
            </w:tcBorders>
            <w:shd w:val="clear" w:color="auto" w:fill="auto"/>
            <w:vAlign w:val="bottom"/>
          </w:tcPr>
          <w:p w14:paraId="2516E857" w14:textId="52DF268F" w:rsidR="00B33D8D" w:rsidRPr="001D41EA" w:rsidRDefault="00B33D8D" w:rsidP="001D41EA">
            <w:pPr>
              <w:spacing w:before="40" w:after="20"/>
              <w:jc w:val="right"/>
              <w:rPr>
                <w:rFonts w:cs="Arial"/>
                <w:sz w:val="18"/>
                <w:szCs w:val="18"/>
              </w:rPr>
            </w:pPr>
            <w:r w:rsidRPr="001D41EA">
              <w:rPr>
                <w:rFonts w:cs="Arial"/>
                <w:sz w:val="18"/>
                <w:szCs w:val="18"/>
              </w:rPr>
              <w:t>8.0</w:t>
            </w:r>
          </w:p>
        </w:tc>
        <w:tc>
          <w:tcPr>
            <w:tcW w:w="170" w:type="dxa"/>
            <w:tcBorders>
              <w:top w:val="nil"/>
              <w:left w:val="nil"/>
              <w:bottom w:val="nil"/>
              <w:right w:val="nil"/>
            </w:tcBorders>
            <w:shd w:val="clear" w:color="auto" w:fill="auto"/>
            <w:vAlign w:val="bottom"/>
          </w:tcPr>
          <w:p w14:paraId="7ADC127D" w14:textId="55D71ACF"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7BE5126" w14:textId="382C4F64" w:rsidR="00B33D8D" w:rsidRPr="001D41EA" w:rsidRDefault="00B33D8D" w:rsidP="001D41EA">
            <w:pPr>
              <w:spacing w:before="40" w:after="20"/>
              <w:jc w:val="right"/>
              <w:rPr>
                <w:rFonts w:cs="Arial"/>
                <w:sz w:val="18"/>
                <w:szCs w:val="18"/>
              </w:rPr>
            </w:pPr>
            <w:r w:rsidRPr="001D41EA">
              <w:rPr>
                <w:rFonts w:cs="Arial"/>
                <w:sz w:val="18"/>
                <w:szCs w:val="18"/>
              </w:rPr>
              <w:t>6,524</w:t>
            </w:r>
          </w:p>
        </w:tc>
        <w:tc>
          <w:tcPr>
            <w:tcW w:w="1247" w:type="dxa"/>
            <w:tcBorders>
              <w:top w:val="nil"/>
              <w:left w:val="nil"/>
              <w:bottom w:val="nil"/>
              <w:right w:val="nil"/>
            </w:tcBorders>
            <w:shd w:val="clear" w:color="auto" w:fill="auto"/>
            <w:vAlign w:val="bottom"/>
          </w:tcPr>
          <w:p w14:paraId="0B3C15DF" w14:textId="16EE8127" w:rsidR="00B33D8D" w:rsidRPr="001D41EA" w:rsidRDefault="00B33D8D" w:rsidP="001D41EA">
            <w:pPr>
              <w:spacing w:before="40" w:after="20"/>
              <w:jc w:val="right"/>
              <w:rPr>
                <w:rFonts w:cs="Arial"/>
                <w:sz w:val="18"/>
                <w:szCs w:val="18"/>
              </w:rPr>
            </w:pPr>
            <w:r w:rsidRPr="001D41EA">
              <w:rPr>
                <w:rFonts w:cs="Arial"/>
                <w:sz w:val="18"/>
                <w:szCs w:val="18"/>
              </w:rPr>
              <w:t>5.8</w:t>
            </w:r>
          </w:p>
        </w:tc>
      </w:tr>
      <w:tr w:rsidR="00B33D8D" w:rsidRPr="001D41EA" w14:paraId="3CFFA08B"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9DCE8C9" w14:textId="77777777" w:rsidR="00B33D8D" w:rsidRPr="001D41EA" w:rsidRDefault="00B33D8D" w:rsidP="001D41EA">
            <w:pPr>
              <w:spacing w:before="40" w:after="20"/>
              <w:rPr>
                <w:rFonts w:cs="Arial"/>
                <w:sz w:val="18"/>
                <w:szCs w:val="18"/>
              </w:rPr>
            </w:pPr>
            <w:r w:rsidRPr="001D41EA">
              <w:rPr>
                <w:rFonts w:cs="Arial"/>
                <w:sz w:val="18"/>
                <w:szCs w:val="18"/>
              </w:rPr>
              <w:t>Pyrenees S</w:t>
            </w:r>
          </w:p>
        </w:tc>
        <w:tc>
          <w:tcPr>
            <w:tcW w:w="1247" w:type="dxa"/>
            <w:tcBorders>
              <w:top w:val="nil"/>
              <w:left w:val="single" w:sz="18" w:space="0" w:color="5F497A" w:themeColor="accent4" w:themeShade="BF"/>
              <w:bottom w:val="nil"/>
              <w:right w:val="nil"/>
            </w:tcBorders>
            <w:shd w:val="clear" w:color="auto" w:fill="auto"/>
            <w:vAlign w:val="bottom"/>
          </w:tcPr>
          <w:p w14:paraId="1ADB2DE7" w14:textId="56DD7621" w:rsidR="00B33D8D" w:rsidRPr="001D41EA" w:rsidRDefault="00B33D8D" w:rsidP="001D41EA">
            <w:pPr>
              <w:spacing w:before="40" w:after="20"/>
              <w:jc w:val="right"/>
              <w:rPr>
                <w:rFonts w:cs="Arial"/>
                <w:sz w:val="18"/>
                <w:szCs w:val="18"/>
              </w:rPr>
            </w:pPr>
            <w:r w:rsidRPr="001D41EA">
              <w:rPr>
                <w:rFonts w:cs="Arial"/>
                <w:sz w:val="18"/>
                <w:szCs w:val="18"/>
              </w:rPr>
              <w:t>6,791</w:t>
            </w:r>
          </w:p>
        </w:tc>
        <w:tc>
          <w:tcPr>
            <w:tcW w:w="1247" w:type="dxa"/>
            <w:tcBorders>
              <w:top w:val="nil"/>
              <w:left w:val="nil"/>
              <w:bottom w:val="nil"/>
              <w:right w:val="nil"/>
            </w:tcBorders>
            <w:vAlign w:val="bottom"/>
          </w:tcPr>
          <w:p w14:paraId="657CCA50" w14:textId="0909BC57" w:rsidR="00B33D8D" w:rsidRPr="001D41EA" w:rsidRDefault="00B33D8D" w:rsidP="001D41EA">
            <w:pPr>
              <w:spacing w:before="40" w:after="20"/>
              <w:jc w:val="right"/>
              <w:rPr>
                <w:rFonts w:cs="Arial"/>
                <w:sz w:val="18"/>
                <w:szCs w:val="18"/>
              </w:rPr>
            </w:pPr>
            <w:r w:rsidRPr="001D41EA">
              <w:rPr>
                <w:rFonts w:cs="Arial"/>
                <w:sz w:val="18"/>
                <w:szCs w:val="18"/>
              </w:rPr>
              <w:t>7,353</w:t>
            </w:r>
          </w:p>
        </w:tc>
        <w:tc>
          <w:tcPr>
            <w:tcW w:w="1247" w:type="dxa"/>
            <w:tcBorders>
              <w:top w:val="nil"/>
              <w:left w:val="nil"/>
              <w:bottom w:val="nil"/>
              <w:right w:val="nil"/>
            </w:tcBorders>
            <w:shd w:val="clear" w:color="auto" w:fill="auto"/>
            <w:vAlign w:val="bottom"/>
          </w:tcPr>
          <w:p w14:paraId="7F6A3F44" w14:textId="558AFBBE" w:rsidR="00B33D8D" w:rsidRPr="001D41EA" w:rsidRDefault="00B33D8D" w:rsidP="001D41EA">
            <w:pPr>
              <w:spacing w:before="40" w:after="20"/>
              <w:jc w:val="right"/>
              <w:rPr>
                <w:rFonts w:cs="Arial"/>
                <w:sz w:val="18"/>
                <w:szCs w:val="18"/>
              </w:rPr>
            </w:pPr>
            <w:r w:rsidRPr="001D41EA">
              <w:rPr>
                <w:rFonts w:cs="Arial"/>
                <w:sz w:val="18"/>
                <w:szCs w:val="18"/>
              </w:rPr>
              <w:t>8.3</w:t>
            </w:r>
          </w:p>
        </w:tc>
        <w:tc>
          <w:tcPr>
            <w:tcW w:w="170" w:type="dxa"/>
            <w:tcBorders>
              <w:top w:val="nil"/>
              <w:left w:val="nil"/>
              <w:bottom w:val="nil"/>
              <w:right w:val="nil"/>
            </w:tcBorders>
            <w:shd w:val="clear" w:color="auto" w:fill="auto"/>
            <w:vAlign w:val="bottom"/>
          </w:tcPr>
          <w:p w14:paraId="2A0A1C99" w14:textId="4FE89352"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0F7EE06" w14:textId="28688ED3" w:rsidR="00B33D8D" w:rsidRPr="001D41EA" w:rsidRDefault="00B33D8D" w:rsidP="001D41EA">
            <w:pPr>
              <w:spacing w:before="40" w:after="20"/>
              <w:jc w:val="right"/>
              <w:rPr>
                <w:rFonts w:cs="Arial"/>
                <w:sz w:val="18"/>
                <w:szCs w:val="18"/>
              </w:rPr>
            </w:pPr>
            <w:r w:rsidRPr="001D41EA">
              <w:rPr>
                <w:rFonts w:cs="Arial"/>
                <w:sz w:val="18"/>
                <w:szCs w:val="18"/>
              </w:rPr>
              <w:t>448</w:t>
            </w:r>
          </w:p>
        </w:tc>
        <w:tc>
          <w:tcPr>
            <w:tcW w:w="1247" w:type="dxa"/>
            <w:tcBorders>
              <w:top w:val="nil"/>
              <w:left w:val="nil"/>
              <w:bottom w:val="nil"/>
              <w:right w:val="nil"/>
            </w:tcBorders>
            <w:shd w:val="clear" w:color="auto" w:fill="auto"/>
            <w:vAlign w:val="bottom"/>
          </w:tcPr>
          <w:p w14:paraId="22735138" w14:textId="4E3C0CEB" w:rsidR="00B33D8D" w:rsidRPr="001D41EA" w:rsidRDefault="00B33D8D" w:rsidP="001D41EA">
            <w:pPr>
              <w:spacing w:before="40" w:after="20"/>
              <w:jc w:val="right"/>
              <w:rPr>
                <w:rFonts w:cs="Arial"/>
                <w:sz w:val="18"/>
                <w:szCs w:val="18"/>
              </w:rPr>
            </w:pPr>
            <w:r w:rsidRPr="001D41EA">
              <w:rPr>
                <w:rFonts w:cs="Arial"/>
                <w:sz w:val="18"/>
                <w:szCs w:val="18"/>
              </w:rPr>
              <w:t>6.1</w:t>
            </w:r>
          </w:p>
        </w:tc>
      </w:tr>
      <w:tr w:rsidR="00B33D8D" w:rsidRPr="001D41EA" w14:paraId="44C8C4B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5BECE1C" w14:textId="77777777" w:rsidR="00B33D8D" w:rsidRPr="001D41EA" w:rsidRDefault="00B33D8D" w:rsidP="001D41EA">
            <w:pPr>
              <w:spacing w:before="40" w:after="20"/>
              <w:rPr>
                <w:rFonts w:cs="Arial"/>
                <w:sz w:val="18"/>
                <w:szCs w:val="18"/>
              </w:rPr>
            </w:pPr>
            <w:r w:rsidRPr="001D41EA">
              <w:rPr>
                <w:rFonts w:cs="Arial"/>
                <w:sz w:val="18"/>
                <w:szCs w:val="18"/>
              </w:rPr>
              <w:t>Queenscliffe B</w:t>
            </w:r>
          </w:p>
        </w:tc>
        <w:tc>
          <w:tcPr>
            <w:tcW w:w="1247" w:type="dxa"/>
            <w:tcBorders>
              <w:top w:val="nil"/>
              <w:left w:val="single" w:sz="18" w:space="0" w:color="5F497A" w:themeColor="accent4" w:themeShade="BF"/>
              <w:bottom w:val="nil"/>
              <w:right w:val="nil"/>
            </w:tcBorders>
            <w:shd w:val="clear" w:color="auto" w:fill="auto"/>
            <w:vAlign w:val="bottom"/>
          </w:tcPr>
          <w:p w14:paraId="73F5EB4D" w14:textId="70C86C29" w:rsidR="00B33D8D" w:rsidRPr="001D41EA" w:rsidRDefault="00B33D8D" w:rsidP="001D41EA">
            <w:pPr>
              <w:spacing w:before="40" w:after="20"/>
              <w:jc w:val="right"/>
              <w:rPr>
                <w:rFonts w:cs="Arial"/>
                <w:sz w:val="18"/>
                <w:szCs w:val="18"/>
              </w:rPr>
            </w:pPr>
            <w:r w:rsidRPr="001D41EA">
              <w:rPr>
                <w:rFonts w:cs="Arial"/>
                <w:sz w:val="18"/>
                <w:szCs w:val="18"/>
              </w:rPr>
              <w:t>3,033</w:t>
            </w:r>
          </w:p>
        </w:tc>
        <w:tc>
          <w:tcPr>
            <w:tcW w:w="1247" w:type="dxa"/>
            <w:tcBorders>
              <w:top w:val="nil"/>
              <w:left w:val="nil"/>
              <w:bottom w:val="nil"/>
              <w:right w:val="nil"/>
            </w:tcBorders>
            <w:vAlign w:val="bottom"/>
          </w:tcPr>
          <w:p w14:paraId="3C50CEBA" w14:textId="53EA4419" w:rsidR="00B33D8D" w:rsidRPr="001D41EA" w:rsidRDefault="00B33D8D" w:rsidP="001D41EA">
            <w:pPr>
              <w:spacing w:before="40" w:after="20"/>
              <w:jc w:val="right"/>
              <w:rPr>
                <w:rFonts w:cs="Arial"/>
                <w:sz w:val="18"/>
                <w:szCs w:val="18"/>
              </w:rPr>
            </w:pPr>
            <w:r w:rsidRPr="001D41EA">
              <w:rPr>
                <w:rFonts w:cs="Arial"/>
                <w:sz w:val="18"/>
                <w:szCs w:val="18"/>
              </w:rPr>
              <w:t>2,982</w:t>
            </w:r>
          </w:p>
        </w:tc>
        <w:tc>
          <w:tcPr>
            <w:tcW w:w="1247" w:type="dxa"/>
            <w:tcBorders>
              <w:top w:val="nil"/>
              <w:left w:val="nil"/>
              <w:bottom w:val="nil"/>
              <w:right w:val="nil"/>
            </w:tcBorders>
            <w:shd w:val="clear" w:color="auto" w:fill="auto"/>
            <w:vAlign w:val="bottom"/>
          </w:tcPr>
          <w:p w14:paraId="031782D3" w14:textId="5D435FCD" w:rsidR="00B33D8D" w:rsidRPr="001D41EA" w:rsidRDefault="00B33D8D" w:rsidP="001D41EA">
            <w:pPr>
              <w:spacing w:before="40" w:after="20"/>
              <w:jc w:val="right"/>
              <w:rPr>
                <w:rFonts w:cs="Arial"/>
                <w:sz w:val="18"/>
                <w:szCs w:val="18"/>
              </w:rPr>
            </w:pPr>
            <w:r w:rsidRPr="001D41EA">
              <w:rPr>
                <w:rFonts w:cs="Arial"/>
                <w:sz w:val="18"/>
                <w:szCs w:val="18"/>
              </w:rPr>
              <w:t>-1.7</w:t>
            </w:r>
          </w:p>
        </w:tc>
        <w:tc>
          <w:tcPr>
            <w:tcW w:w="170" w:type="dxa"/>
            <w:tcBorders>
              <w:top w:val="nil"/>
              <w:left w:val="nil"/>
              <w:bottom w:val="nil"/>
              <w:right w:val="nil"/>
            </w:tcBorders>
            <w:shd w:val="clear" w:color="auto" w:fill="auto"/>
            <w:vAlign w:val="bottom"/>
          </w:tcPr>
          <w:p w14:paraId="3802968B" w14:textId="7CBF2AD0"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56562DAF" w14:textId="4CDA6A9E" w:rsidR="00B33D8D" w:rsidRPr="001D41EA" w:rsidRDefault="00B33D8D" w:rsidP="001D41EA">
            <w:pPr>
              <w:spacing w:before="40" w:after="20"/>
              <w:jc w:val="right"/>
              <w:rPr>
                <w:rFonts w:cs="Arial"/>
                <w:sz w:val="18"/>
                <w:szCs w:val="18"/>
              </w:rPr>
            </w:pPr>
            <w:r w:rsidRPr="001D41EA">
              <w:rPr>
                <w:rFonts w:cs="Arial"/>
                <w:sz w:val="18"/>
                <w:szCs w:val="18"/>
              </w:rPr>
              <w:t>120</w:t>
            </w:r>
          </w:p>
        </w:tc>
        <w:tc>
          <w:tcPr>
            <w:tcW w:w="1247" w:type="dxa"/>
            <w:tcBorders>
              <w:top w:val="nil"/>
              <w:left w:val="nil"/>
              <w:bottom w:val="nil"/>
              <w:right w:val="nil"/>
            </w:tcBorders>
            <w:shd w:val="clear" w:color="auto" w:fill="auto"/>
            <w:vAlign w:val="bottom"/>
          </w:tcPr>
          <w:p w14:paraId="43238597" w14:textId="72390F61" w:rsidR="00B33D8D" w:rsidRPr="001D41EA" w:rsidRDefault="00B33D8D" w:rsidP="001D41EA">
            <w:pPr>
              <w:spacing w:before="40" w:after="20"/>
              <w:jc w:val="right"/>
              <w:rPr>
                <w:rFonts w:cs="Arial"/>
                <w:sz w:val="18"/>
                <w:szCs w:val="18"/>
              </w:rPr>
            </w:pPr>
            <w:r w:rsidRPr="001D41EA">
              <w:rPr>
                <w:rFonts w:cs="Arial"/>
                <w:sz w:val="18"/>
                <w:szCs w:val="18"/>
              </w:rPr>
              <w:t>4.0</w:t>
            </w:r>
          </w:p>
        </w:tc>
      </w:tr>
      <w:tr w:rsidR="00B33D8D" w:rsidRPr="001D41EA" w14:paraId="27F46B8B"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52FE95C" w14:textId="77777777" w:rsidR="00B33D8D" w:rsidRPr="001D41EA" w:rsidRDefault="00B33D8D" w:rsidP="001D41EA">
            <w:pPr>
              <w:spacing w:before="40" w:after="20"/>
              <w:rPr>
                <w:rFonts w:cs="Arial"/>
                <w:sz w:val="18"/>
                <w:szCs w:val="18"/>
              </w:rPr>
            </w:pPr>
            <w:r w:rsidRPr="001D41EA">
              <w:rPr>
                <w:rFonts w:cs="Arial"/>
                <w:sz w:val="18"/>
                <w:szCs w:val="18"/>
              </w:rPr>
              <w:t>South Gippsland S</w:t>
            </w:r>
          </w:p>
        </w:tc>
        <w:tc>
          <w:tcPr>
            <w:tcW w:w="1247" w:type="dxa"/>
            <w:tcBorders>
              <w:top w:val="nil"/>
              <w:left w:val="single" w:sz="18" w:space="0" w:color="5F497A" w:themeColor="accent4" w:themeShade="BF"/>
              <w:bottom w:val="nil"/>
              <w:right w:val="nil"/>
            </w:tcBorders>
            <w:shd w:val="clear" w:color="auto" w:fill="auto"/>
            <w:vAlign w:val="bottom"/>
          </w:tcPr>
          <w:p w14:paraId="7A186DCC" w14:textId="120FF03B" w:rsidR="00B33D8D" w:rsidRPr="001D41EA" w:rsidRDefault="00B33D8D" w:rsidP="001D41EA">
            <w:pPr>
              <w:spacing w:before="40" w:after="20"/>
              <w:jc w:val="right"/>
              <w:rPr>
                <w:rFonts w:cs="Arial"/>
                <w:sz w:val="18"/>
                <w:szCs w:val="18"/>
              </w:rPr>
            </w:pPr>
            <w:r w:rsidRPr="001D41EA">
              <w:rPr>
                <w:rFonts w:cs="Arial"/>
                <w:sz w:val="18"/>
                <w:szCs w:val="18"/>
              </w:rPr>
              <w:t>27,838</w:t>
            </w:r>
          </w:p>
        </w:tc>
        <w:tc>
          <w:tcPr>
            <w:tcW w:w="1247" w:type="dxa"/>
            <w:tcBorders>
              <w:top w:val="nil"/>
              <w:left w:val="nil"/>
              <w:bottom w:val="nil"/>
              <w:right w:val="nil"/>
            </w:tcBorders>
            <w:vAlign w:val="bottom"/>
          </w:tcPr>
          <w:p w14:paraId="16392339" w14:textId="087FC1CE" w:rsidR="00B33D8D" w:rsidRPr="001D41EA" w:rsidRDefault="00B33D8D" w:rsidP="001D41EA">
            <w:pPr>
              <w:spacing w:before="40" w:after="20"/>
              <w:jc w:val="right"/>
              <w:rPr>
                <w:rFonts w:cs="Arial"/>
                <w:sz w:val="18"/>
                <w:szCs w:val="18"/>
              </w:rPr>
            </w:pPr>
            <w:r w:rsidRPr="001D41EA">
              <w:rPr>
                <w:rFonts w:cs="Arial"/>
                <w:sz w:val="18"/>
                <w:szCs w:val="18"/>
              </w:rPr>
              <w:t>29,576</w:t>
            </w:r>
          </w:p>
        </w:tc>
        <w:tc>
          <w:tcPr>
            <w:tcW w:w="1247" w:type="dxa"/>
            <w:tcBorders>
              <w:top w:val="nil"/>
              <w:left w:val="nil"/>
              <w:bottom w:val="nil"/>
              <w:right w:val="nil"/>
            </w:tcBorders>
            <w:shd w:val="clear" w:color="auto" w:fill="auto"/>
            <w:vAlign w:val="bottom"/>
          </w:tcPr>
          <w:p w14:paraId="2908FBC7" w14:textId="283AC26C" w:rsidR="00B33D8D" w:rsidRPr="001D41EA" w:rsidRDefault="00B33D8D" w:rsidP="001D41EA">
            <w:pPr>
              <w:spacing w:before="40" w:after="20"/>
              <w:jc w:val="right"/>
              <w:rPr>
                <w:rFonts w:cs="Arial"/>
                <w:sz w:val="18"/>
                <w:szCs w:val="18"/>
              </w:rPr>
            </w:pPr>
            <w:r w:rsidRPr="001D41EA">
              <w:rPr>
                <w:rFonts w:cs="Arial"/>
                <w:sz w:val="18"/>
                <w:szCs w:val="18"/>
              </w:rPr>
              <w:t>6.2</w:t>
            </w:r>
          </w:p>
        </w:tc>
        <w:tc>
          <w:tcPr>
            <w:tcW w:w="170" w:type="dxa"/>
            <w:tcBorders>
              <w:top w:val="nil"/>
              <w:left w:val="nil"/>
              <w:bottom w:val="nil"/>
              <w:right w:val="nil"/>
            </w:tcBorders>
            <w:shd w:val="clear" w:color="auto" w:fill="auto"/>
            <w:vAlign w:val="bottom"/>
          </w:tcPr>
          <w:p w14:paraId="58AFD25D" w14:textId="714160C1"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C262827" w14:textId="7429BCCD" w:rsidR="00B33D8D" w:rsidRPr="001D41EA" w:rsidRDefault="00B33D8D" w:rsidP="001D41EA">
            <w:pPr>
              <w:spacing w:before="40" w:after="20"/>
              <w:jc w:val="right"/>
              <w:rPr>
                <w:rFonts w:cs="Arial"/>
                <w:sz w:val="18"/>
                <w:szCs w:val="18"/>
              </w:rPr>
            </w:pPr>
            <w:r w:rsidRPr="001D41EA">
              <w:rPr>
                <w:rFonts w:cs="Arial"/>
                <w:sz w:val="18"/>
                <w:szCs w:val="18"/>
              </w:rPr>
              <w:t>2,053</w:t>
            </w:r>
          </w:p>
        </w:tc>
        <w:tc>
          <w:tcPr>
            <w:tcW w:w="1247" w:type="dxa"/>
            <w:tcBorders>
              <w:top w:val="nil"/>
              <w:left w:val="nil"/>
              <w:bottom w:val="nil"/>
              <w:right w:val="nil"/>
            </w:tcBorders>
            <w:shd w:val="clear" w:color="auto" w:fill="auto"/>
            <w:vAlign w:val="bottom"/>
          </w:tcPr>
          <w:p w14:paraId="0EDF4F5D" w14:textId="003D0BDF" w:rsidR="00B33D8D" w:rsidRPr="001D41EA" w:rsidRDefault="00B33D8D" w:rsidP="001D41EA">
            <w:pPr>
              <w:spacing w:before="40" w:after="20"/>
              <w:jc w:val="right"/>
              <w:rPr>
                <w:rFonts w:cs="Arial"/>
                <w:sz w:val="18"/>
                <w:szCs w:val="18"/>
              </w:rPr>
            </w:pPr>
            <w:r w:rsidRPr="001D41EA">
              <w:rPr>
                <w:rFonts w:cs="Arial"/>
                <w:sz w:val="18"/>
                <w:szCs w:val="18"/>
              </w:rPr>
              <w:t>6.9</w:t>
            </w:r>
          </w:p>
        </w:tc>
      </w:tr>
      <w:tr w:rsidR="00B33D8D" w:rsidRPr="001D41EA" w14:paraId="58D77B25"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6CE7548" w14:textId="77777777" w:rsidR="00B33D8D" w:rsidRPr="001D41EA" w:rsidRDefault="00B33D8D" w:rsidP="001D41EA">
            <w:pPr>
              <w:spacing w:before="40" w:after="20"/>
              <w:rPr>
                <w:rFonts w:cs="Arial"/>
                <w:sz w:val="18"/>
                <w:szCs w:val="18"/>
              </w:rPr>
            </w:pPr>
            <w:r w:rsidRPr="001D41EA">
              <w:rPr>
                <w:rFonts w:cs="Arial"/>
                <w:sz w:val="18"/>
                <w:szCs w:val="18"/>
              </w:rPr>
              <w:t>Southern Grampians S</w:t>
            </w:r>
          </w:p>
        </w:tc>
        <w:tc>
          <w:tcPr>
            <w:tcW w:w="1247" w:type="dxa"/>
            <w:tcBorders>
              <w:top w:val="nil"/>
              <w:left w:val="single" w:sz="18" w:space="0" w:color="5F497A" w:themeColor="accent4" w:themeShade="BF"/>
              <w:bottom w:val="nil"/>
              <w:right w:val="nil"/>
            </w:tcBorders>
            <w:shd w:val="clear" w:color="auto" w:fill="auto"/>
            <w:vAlign w:val="bottom"/>
          </w:tcPr>
          <w:p w14:paraId="1976376E" w14:textId="40FD262E" w:rsidR="00B33D8D" w:rsidRPr="001D41EA" w:rsidRDefault="00B33D8D" w:rsidP="001D41EA">
            <w:pPr>
              <w:spacing w:before="40" w:after="20"/>
              <w:jc w:val="right"/>
              <w:rPr>
                <w:rFonts w:cs="Arial"/>
                <w:sz w:val="18"/>
                <w:szCs w:val="18"/>
              </w:rPr>
            </w:pPr>
            <w:r w:rsidRPr="001D41EA">
              <w:rPr>
                <w:rFonts w:cs="Arial"/>
                <w:sz w:val="18"/>
                <w:szCs w:val="18"/>
              </w:rPr>
              <w:t>15,906</w:t>
            </w:r>
          </w:p>
        </w:tc>
        <w:tc>
          <w:tcPr>
            <w:tcW w:w="1247" w:type="dxa"/>
            <w:tcBorders>
              <w:top w:val="nil"/>
              <w:left w:val="nil"/>
              <w:bottom w:val="nil"/>
              <w:right w:val="nil"/>
            </w:tcBorders>
            <w:vAlign w:val="bottom"/>
          </w:tcPr>
          <w:p w14:paraId="67393C7E" w14:textId="4AAE8715" w:rsidR="00B33D8D" w:rsidRPr="001D41EA" w:rsidRDefault="00B33D8D" w:rsidP="001D41EA">
            <w:pPr>
              <w:spacing w:before="40" w:after="20"/>
              <w:jc w:val="right"/>
              <w:rPr>
                <w:rFonts w:cs="Arial"/>
                <w:sz w:val="18"/>
                <w:szCs w:val="18"/>
              </w:rPr>
            </w:pPr>
            <w:r w:rsidRPr="001D41EA">
              <w:rPr>
                <w:rFonts w:cs="Arial"/>
                <w:sz w:val="18"/>
                <w:szCs w:val="18"/>
              </w:rPr>
              <w:t>16,135</w:t>
            </w:r>
          </w:p>
        </w:tc>
        <w:tc>
          <w:tcPr>
            <w:tcW w:w="1247" w:type="dxa"/>
            <w:tcBorders>
              <w:top w:val="nil"/>
              <w:left w:val="nil"/>
              <w:bottom w:val="nil"/>
              <w:right w:val="nil"/>
            </w:tcBorders>
            <w:shd w:val="clear" w:color="auto" w:fill="auto"/>
            <w:vAlign w:val="bottom"/>
          </w:tcPr>
          <w:p w14:paraId="19D29D32" w14:textId="248106B9" w:rsidR="00B33D8D" w:rsidRPr="001D41EA" w:rsidRDefault="00B33D8D" w:rsidP="001D41EA">
            <w:pPr>
              <w:spacing w:before="40" w:after="20"/>
              <w:jc w:val="right"/>
              <w:rPr>
                <w:rFonts w:cs="Arial"/>
                <w:sz w:val="18"/>
                <w:szCs w:val="18"/>
              </w:rPr>
            </w:pPr>
            <w:r w:rsidRPr="001D41EA">
              <w:rPr>
                <w:rFonts w:cs="Arial"/>
                <w:sz w:val="18"/>
                <w:szCs w:val="18"/>
              </w:rPr>
              <w:t>1.4</w:t>
            </w:r>
          </w:p>
        </w:tc>
        <w:tc>
          <w:tcPr>
            <w:tcW w:w="170" w:type="dxa"/>
            <w:tcBorders>
              <w:top w:val="nil"/>
              <w:left w:val="nil"/>
              <w:bottom w:val="nil"/>
              <w:right w:val="nil"/>
            </w:tcBorders>
            <w:shd w:val="clear" w:color="auto" w:fill="auto"/>
            <w:vAlign w:val="bottom"/>
          </w:tcPr>
          <w:p w14:paraId="3FE53E76" w14:textId="04EBB5BC"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589A10A7" w14:textId="61A7AE8F" w:rsidR="00B33D8D" w:rsidRPr="001D41EA" w:rsidRDefault="00B33D8D" w:rsidP="001D41EA">
            <w:pPr>
              <w:spacing w:before="40" w:after="20"/>
              <w:jc w:val="right"/>
              <w:rPr>
                <w:rFonts w:cs="Arial"/>
                <w:sz w:val="18"/>
                <w:szCs w:val="18"/>
              </w:rPr>
            </w:pPr>
            <w:r w:rsidRPr="001D41EA">
              <w:rPr>
                <w:rFonts w:cs="Arial"/>
                <w:sz w:val="18"/>
                <w:szCs w:val="18"/>
              </w:rPr>
              <w:t>1,060</w:t>
            </w:r>
          </w:p>
        </w:tc>
        <w:tc>
          <w:tcPr>
            <w:tcW w:w="1247" w:type="dxa"/>
            <w:tcBorders>
              <w:top w:val="nil"/>
              <w:left w:val="nil"/>
              <w:bottom w:val="nil"/>
              <w:right w:val="nil"/>
            </w:tcBorders>
            <w:shd w:val="clear" w:color="auto" w:fill="auto"/>
            <w:vAlign w:val="bottom"/>
          </w:tcPr>
          <w:p w14:paraId="297DC411" w14:textId="78E085CD" w:rsidR="00B33D8D" w:rsidRPr="001D41EA" w:rsidRDefault="00B33D8D" w:rsidP="001D41EA">
            <w:pPr>
              <w:spacing w:before="40" w:after="20"/>
              <w:jc w:val="right"/>
              <w:rPr>
                <w:rFonts w:cs="Arial"/>
                <w:sz w:val="18"/>
                <w:szCs w:val="18"/>
              </w:rPr>
            </w:pPr>
            <w:r w:rsidRPr="001D41EA">
              <w:rPr>
                <w:rFonts w:cs="Arial"/>
                <w:sz w:val="18"/>
                <w:szCs w:val="18"/>
              </w:rPr>
              <w:t>6.6</w:t>
            </w:r>
          </w:p>
        </w:tc>
      </w:tr>
      <w:tr w:rsidR="00B33D8D" w:rsidRPr="001D41EA" w14:paraId="09782C3D"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D9C1268" w14:textId="77777777" w:rsidR="00B33D8D" w:rsidRPr="001D41EA" w:rsidRDefault="00B33D8D" w:rsidP="001D41EA">
            <w:pPr>
              <w:spacing w:before="40" w:after="20"/>
              <w:rPr>
                <w:rFonts w:cs="Arial"/>
                <w:sz w:val="18"/>
                <w:szCs w:val="18"/>
              </w:rPr>
            </w:pPr>
            <w:r w:rsidRPr="001D41EA">
              <w:rPr>
                <w:rFonts w:cs="Arial"/>
                <w:sz w:val="18"/>
                <w:szCs w:val="18"/>
              </w:rPr>
              <w:t>Stonnington C</w:t>
            </w:r>
          </w:p>
        </w:tc>
        <w:tc>
          <w:tcPr>
            <w:tcW w:w="1247" w:type="dxa"/>
            <w:tcBorders>
              <w:top w:val="nil"/>
              <w:left w:val="single" w:sz="18" w:space="0" w:color="5F497A" w:themeColor="accent4" w:themeShade="BF"/>
              <w:bottom w:val="nil"/>
              <w:right w:val="nil"/>
            </w:tcBorders>
            <w:shd w:val="clear" w:color="auto" w:fill="auto"/>
            <w:vAlign w:val="bottom"/>
          </w:tcPr>
          <w:p w14:paraId="477B0310" w14:textId="587A1237" w:rsidR="00B33D8D" w:rsidRPr="001D41EA" w:rsidRDefault="00B33D8D" w:rsidP="001D41EA">
            <w:pPr>
              <w:spacing w:before="40" w:after="20"/>
              <w:jc w:val="right"/>
              <w:rPr>
                <w:rFonts w:cs="Arial"/>
                <w:sz w:val="18"/>
                <w:szCs w:val="18"/>
              </w:rPr>
            </w:pPr>
            <w:r w:rsidRPr="001D41EA">
              <w:rPr>
                <w:rFonts w:cs="Arial"/>
                <w:sz w:val="18"/>
                <w:szCs w:val="18"/>
              </w:rPr>
              <w:t>105,946</w:t>
            </w:r>
          </w:p>
        </w:tc>
        <w:tc>
          <w:tcPr>
            <w:tcW w:w="1247" w:type="dxa"/>
            <w:tcBorders>
              <w:top w:val="nil"/>
              <w:left w:val="nil"/>
              <w:bottom w:val="nil"/>
              <w:right w:val="nil"/>
            </w:tcBorders>
            <w:vAlign w:val="bottom"/>
          </w:tcPr>
          <w:p w14:paraId="55314A23" w14:textId="5E19B4DA" w:rsidR="00B33D8D" w:rsidRPr="001D41EA" w:rsidRDefault="00B33D8D" w:rsidP="001D41EA">
            <w:pPr>
              <w:spacing w:before="40" w:after="20"/>
              <w:jc w:val="right"/>
              <w:rPr>
                <w:rFonts w:cs="Arial"/>
                <w:sz w:val="18"/>
                <w:szCs w:val="18"/>
              </w:rPr>
            </w:pPr>
            <w:r w:rsidRPr="001D41EA">
              <w:rPr>
                <w:rFonts w:cs="Arial"/>
                <w:sz w:val="18"/>
                <w:szCs w:val="18"/>
              </w:rPr>
              <w:t>116,207</w:t>
            </w:r>
          </w:p>
        </w:tc>
        <w:tc>
          <w:tcPr>
            <w:tcW w:w="1247" w:type="dxa"/>
            <w:tcBorders>
              <w:top w:val="nil"/>
              <w:left w:val="nil"/>
              <w:bottom w:val="nil"/>
              <w:right w:val="nil"/>
            </w:tcBorders>
            <w:shd w:val="clear" w:color="auto" w:fill="auto"/>
            <w:vAlign w:val="bottom"/>
          </w:tcPr>
          <w:p w14:paraId="5EF60BF0" w14:textId="1B3BE61D" w:rsidR="00B33D8D" w:rsidRPr="001D41EA" w:rsidRDefault="00B33D8D" w:rsidP="001D41EA">
            <w:pPr>
              <w:spacing w:before="40" w:after="20"/>
              <w:jc w:val="right"/>
              <w:rPr>
                <w:rFonts w:cs="Arial"/>
                <w:sz w:val="18"/>
                <w:szCs w:val="18"/>
              </w:rPr>
            </w:pPr>
            <w:r w:rsidRPr="001D41EA">
              <w:rPr>
                <w:rFonts w:cs="Arial"/>
                <w:sz w:val="18"/>
                <w:szCs w:val="18"/>
              </w:rPr>
              <w:t>9.7</w:t>
            </w:r>
          </w:p>
        </w:tc>
        <w:tc>
          <w:tcPr>
            <w:tcW w:w="170" w:type="dxa"/>
            <w:tcBorders>
              <w:top w:val="nil"/>
              <w:left w:val="nil"/>
              <w:bottom w:val="nil"/>
              <w:right w:val="nil"/>
            </w:tcBorders>
            <w:shd w:val="clear" w:color="auto" w:fill="auto"/>
            <w:vAlign w:val="bottom"/>
          </w:tcPr>
          <w:p w14:paraId="2034CD42" w14:textId="63F7B4FC"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24B31300" w14:textId="30E70835" w:rsidR="00B33D8D" w:rsidRPr="001D41EA" w:rsidRDefault="00B33D8D" w:rsidP="001D41EA">
            <w:pPr>
              <w:spacing w:before="40" w:after="20"/>
              <w:jc w:val="right"/>
              <w:rPr>
                <w:rFonts w:cs="Arial"/>
                <w:sz w:val="18"/>
                <w:szCs w:val="18"/>
              </w:rPr>
            </w:pPr>
            <w:r w:rsidRPr="001D41EA">
              <w:rPr>
                <w:rFonts w:cs="Arial"/>
                <w:sz w:val="18"/>
                <w:szCs w:val="18"/>
              </w:rPr>
              <w:t>5,887</w:t>
            </w:r>
          </w:p>
        </w:tc>
        <w:tc>
          <w:tcPr>
            <w:tcW w:w="1247" w:type="dxa"/>
            <w:tcBorders>
              <w:top w:val="nil"/>
              <w:left w:val="nil"/>
              <w:bottom w:val="nil"/>
              <w:right w:val="nil"/>
            </w:tcBorders>
            <w:shd w:val="clear" w:color="auto" w:fill="auto"/>
            <w:vAlign w:val="bottom"/>
          </w:tcPr>
          <w:p w14:paraId="04ECBF6B" w14:textId="2A3298DF" w:rsidR="00B33D8D" w:rsidRPr="001D41EA" w:rsidRDefault="00B33D8D" w:rsidP="001D41EA">
            <w:pPr>
              <w:spacing w:before="40" w:after="20"/>
              <w:jc w:val="right"/>
              <w:rPr>
                <w:rFonts w:cs="Arial"/>
                <w:sz w:val="18"/>
                <w:szCs w:val="18"/>
              </w:rPr>
            </w:pPr>
            <w:r w:rsidRPr="001D41EA">
              <w:rPr>
                <w:rFonts w:cs="Arial"/>
                <w:sz w:val="18"/>
                <w:szCs w:val="18"/>
              </w:rPr>
              <w:t>5.1</w:t>
            </w:r>
          </w:p>
        </w:tc>
      </w:tr>
      <w:tr w:rsidR="00B33D8D" w:rsidRPr="001D41EA" w14:paraId="4864F8A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245D4C2" w14:textId="77777777" w:rsidR="00B33D8D" w:rsidRPr="001D41EA" w:rsidRDefault="00B33D8D" w:rsidP="001D41EA">
            <w:pPr>
              <w:spacing w:before="40" w:after="20"/>
              <w:rPr>
                <w:rFonts w:cs="Arial"/>
                <w:sz w:val="18"/>
                <w:szCs w:val="18"/>
              </w:rPr>
            </w:pPr>
            <w:r w:rsidRPr="001D41EA">
              <w:rPr>
                <w:rFonts w:cs="Arial"/>
                <w:sz w:val="18"/>
                <w:szCs w:val="18"/>
              </w:rPr>
              <w:t>Strathbogie S</w:t>
            </w:r>
          </w:p>
        </w:tc>
        <w:tc>
          <w:tcPr>
            <w:tcW w:w="1247" w:type="dxa"/>
            <w:tcBorders>
              <w:top w:val="nil"/>
              <w:left w:val="single" w:sz="18" w:space="0" w:color="5F497A" w:themeColor="accent4" w:themeShade="BF"/>
              <w:bottom w:val="nil"/>
              <w:right w:val="nil"/>
            </w:tcBorders>
            <w:shd w:val="clear" w:color="auto" w:fill="auto"/>
            <w:vAlign w:val="bottom"/>
          </w:tcPr>
          <w:p w14:paraId="2C0003F3" w14:textId="721F5EA7" w:rsidR="00B33D8D" w:rsidRPr="001D41EA" w:rsidRDefault="00B33D8D" w:rsidP="001D41EA">
            <w:pPr>
              <w:spacing w:before="40" w:after="20"/>
              <w:jc w:val="right"/>
              <w:rPr>
                <w:rFonts w:cs="Arial"/>
                <w:sz w:val="18"/>
                <w:szCs w:val="18"/>
              </w:rPr>
            </w:pPr>
            <w:r w:rsidRPr="001D41EA">
              <w:rPr>
                <w:rFonts w:cs="Arial"/>
                <w:sz w:val="18"/>
                <w:szCs w:val="18"/>
              </w:rPr>
              <w:t>9,814</w:t>
            </w:r>
          </w:p>
        </w:tc>
        <w:tc>
          <w:tcPr>
            <w:tcW w:w="1247" w:type="dxa"/>
            <w:tcBorders>
              <w:top w:val="nil"/>
              <w:left w:val="nil"/>
              <w:bottom w:val="nil"/>
              <w:right w:val="nil"/>
            </w:tcBorders>
            <w:vAlign w:val="bottom"/>
          </w:tcPr>
          <w:p w14:paraId="17A44338" w14:textId="387F1CFC" w:rsidR="00B33D8D" w:rsidRPr="001D41EA" w:rsidRDefault="00B33D8D" w:rsidP="001D41EA">
            <w:pPr>
              <w:spacing w:before="40" w:after="20"/>
              <w:jc w:val="right"/>
              <w:rPr>
                <w:rFonts w:cs="Arial"/>
                <w:sz w:val="18"/>
                <w:szCs w:val="18"/>
              </w:rPr>
            </w:pPr>
            <w:r w:rsidRPr="001D41EA">
              <w:rPr>
                <w:rFonts w:cs="Arial"/>
                <w:sz w:val="18"/>
                <w:szCs w:val="18"/>
              </w:rPr>
              <w:t>10,645</w:t>
            </w:r>
          </w:p>
        </w:tc>
        <w:tc>
          <w:tcPr>
            <w:tcW w:w="1247" w:type="dxa"/>
            <w:tcBorders>
              <w:top w:val="nil"/>
              <w:left w:val="nil"/>
              <w:bottom w:val="nil"/>
              <w:right w:val="nil"/>
            </w:tcBorders>
            <w:shd w:val="clear" w:color="auto" w:fill="auto"/>
            <w:vAlign w:val="bottom"/>
          </w:tcPr>
          <w:p w14:paraId="13B368D4" w14:textId="7F87D42C" w:rsidR="00B33D8D" w:rsidRPr="001D41EA" w:rsidRDefault="00B33D8D" w:rsidP="001D41EA">
            <w:pPr>
              <w:spacing w:before="40" w:after="20"/>
              <w:jc w:val="right"/>
              <w:rPr>
                <w:rFonts w:cs="Arial"/>
                <w:sz w:val="18"/>
                <w:szCs w:val="18"/>
              </w:rPr>
            </w:pPr>
            <w:r w:rsidRPr="001D41EA">
              <w:rPr>
                <w:rFonts w:cs="Arial"/>
                <w:sz w:val="18"/>
                <w:szCs w:val="18"/>
              </w:rPr>
              <w:t>8.5</w:t>
            </w:r>
          </w:p>
        </w:tc>
        <w:tc>
          <w:tcPr>
            <w:tcW w:w="170" w:type="dxa"/>
            <w:tcBorders>
              <w:top w:val="nil"/>
              <w:left w:val="nil"/>
              <w:bottom w:val="nil"/>
              <w:right w:val="nil"/>
            </w:tcBorders>
            <w:shd w:val="clear" w:color="auto" w:fill="auto"/>
            <w:vAlign w:val="bottom"/>
          </w:tcPr>
          <w:p w14:paraId="64C94A4E" w14:textId="18E39A04"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19348282" w14:textId="6E985302" w:rsidR="00B33D8D" w:rsidRPr="001D41EA" w:rsidRDefault="00B33D8D" w:rsidP="001D41EA">
            <w:pPr>
              <w:spacing w:before="40" w:after="20"/>
              <w:jc w:val="right"/>
              <w:rPr>
                <w:rFonts w:cs="Arial"/>
                <w:sz w:val="18"/>
                <w:szCs w:val="18"/>
              </w:rPr>
            </w:pPr>
            <w:r w:rsidRPr="001D41EA">
              <w:rPr>
                <w:rFonts w:cs="Arial"/>
                <w:sz w:val="18"/>
                <w:szCs w:val="18"/>
              </w:rPr>
              <w:t>602</w:t>
            </w:r>
          </w:p>
        </w:tc>
        <w:tc>
          <w:tcPr>
            <w:tcW w:w="1247" w:type="dxa"/>
            <w:tcBorders>
              <w:top w:val="nil"/>
              <w:left w:val="nil"/>
              <w:bottom w:val="nil"/>
              <w:right w:val="nil"/>
            </w:tcBorders>
            <w:shd w:val="clear" w:color="auto" w:fill="auto"/>
            <w:vAlign w:val="bottom"/>
          </w:tcPr>
          <w:p w14:paraId="0E7F657C" w14:textId="64B55F79" w:rsidR="00B33D8D" w:rsidRPr="001D41EA" w:rsidRDefault="00B33D8D" w:rsidP="001D41EA">
            <w:pPr>
              <w:spacing w:before="40" w:after="20"/>
              <w:jc w:val="right"/>
              <w:rPr>
                <w:rFonts w:cs="Arial"/>
                <w:sz w:val="18"/>
                <w:szCs w:val="18"/>
              </w:rPr>
            </w:pPr>
            <w:r w:rsidRPr="001D41EA">
              <w:rPr>
                <w:rFonts w:cs="Arial"/>
                <w:sz w:val="18"/>
                <w:szCs w:val="18"/>
              </w:rPr>
              <w:t>5.7</w:t>
            </w:r>
          </w:p>
        </w:tc>
      </w:tr>
      <w:tr w:rsidR="00B33D8D" w:rsidRPr="001D41EA" w14:paraId="009C4C68"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4A2DCE7" w14:textId="77777777" w:rsidR="00B33D8D" w:rsidRPr="001D41EA" w:rsidRDefault="00B33D8D" w:rsidP="001D41EA">
            <w:pPr>
              <w:spacing w:before="40" w:after="20"/>
              <w:rPr>
                <w:rFonts w:cs="Arial"/>
                <w:sz w:val="18"/>
                <w:szCs w:val="18"/>
              </w:rPr>
            </w:pPr>
            <w:r w:rsidRPr="001D41EA">
              <w:rPr>
                <w:rFonts w:cs="Arial"/>
                <w:sz w:val="18"/>
                <w:szCs w:val="18"/>
              </w:rPr>
              <w:t>Surf Coast S</w:t>
            </w:r>
          </w:p>
        </w:tc>
        <w:tc>
          <w:tcPr>
            <w:tcW w:w="1247" w:type="dxa"/>
            <w:tcBorders>
              <w:top w:val="nil"/>
              <w:left w:val="single" w:sz="18" w:space="0" w:color="5F497A" w:themeColor="accent4" w:themeShade="BF"/>
              <w:bottom w:val="nil"/>
              <w:right w:val="nil"/>
            </w:tcBorders>
            <w:shd w:val="clear" w:color="auto" w:fill="auto"/>
            <w:vAlign w:val="bottom"/>
          </w:tcPr>
          <w:p w14:paraId="57016E65" w14:textId="1D1C8697" w:rsidR="00B33D8D" w:rsidRPr="001D41EA" w:rsidRDefault="00B33D8D" w:rsidP="001D41EA">
            <w:pPr>
              <w:spacing w:before="40" w:after="20"/>
              <w:jc w:val="right"/>
              <w:rPr>
                <w:rFonts w:cs="Arial"/>
                <w:sz w:val="18"/>
                <w:szCs w:val="18"/>
              </w:rPr>
            </w:pPr>
            <w:r w:rsidRPr="001D41EA">
              <w:rPr>
                <w:rFonts w:cs="Arial"/>
                <w:sz w:val="18"/>
                <w:szCs w:val="18"/>
              </w:rPr>
              <w:t>28,460</w:t>
            </w:r>
          </w:p>
        </w:tc>
        <w:tc>
          <w:tcPr>
            <w:tcW w:w="1247" w:type="dxa"/>
            <w:tcBorders>
              <w:top w:val="nil"/>
              <w:left w:val="nil"/>
              <w:bottom w:val="nil"/>
              <w:right w:val="nil"/>
            </w:tcBorders>
            <w:vAlign w:val="bottom"/>
          </w:tcPr>
          <w:p w14:paraId="6CF508C8" w14:textId="6A641C54" w:rsidR="00B33D8D" w:rsidRPr="001D41EA" w:rsidRDefault="00B33D8D" w:rsidP="001D41EA">
            <w:pPr>
              <w:spacing w:before="40" w:after="20"/>
              <w:jc w:val="right"/>
              <w:rPr>
                <w:rFonts w:cs="Arial"/>
                <w:sz w:val="18"/>
                <w:szCs w:val="18"/>
              </w:rPr>
            </w:pPr>
            <w:r w:rsidRPr="001D41EA">
              <w:rPr>
                <w:rFonts w:cs="Arial"/>
                <w:sz w:val="18"/>
                <w:szCs w:val="18"/>
              </w:rPr>
              <w:t>32,251</w:t>
            </w:r>
          </w:p>
        </w:tc>
        <w:tc>
          <w:tcPr>
            <w:tcW w:w="1247" w:type="dxa"/>
            <w:tcBorders>
              <w:top w:val="nil"/>
              <w:left w:val="nil"/>
              <w:bottom w:val="nil"/>
              <w:right w:val="nil"/>
            </w:tcBorders>
            <w:shd w:val="clear" w:color="auto" w:fill="auto"/>
            <w:vAlign w:val="bottom"/>
          </w:tcPr>
          <w:p w14:paraId="0F5ED6AC" w14:textId="1D9FBBAD" w:rsidR="00B33D8D" w:rsidRPr="001D41EA" w:rsidRDefault="00B33D8D" w:rsidP="001D41EA">
            <w:pPr>
              <w:spacing w:before="40" w:after="20"/>
              <w:jc w:val="right"/>
              <w:rPr>
                <w:rFonts w:cs="Arial"/>
                <w:sz w:val="18"/>
                <w:szCs w:val="18"/>
              </w:rPr>
            </w:pPr>
            <w:r w:rsidRPr="001D41EA">
              <w:rPr>
                <w:rFonts w:cs="Arial"/>
                <w:sz w:val="18"/>
                <w:szCs w:val="18"/>
              </w:rPr>
              <w:t>13.3</w:t>
            </w:r>
          </w:p>
        </w:tc>
        <w:tc>
          <w:tcPr>
            <w:tcW w:w="170" w:type="dxa"/>
            <w:tcBorders>
              <w:top w:val="nil"/>
              <w:left w:val="nil"/>
              <w:bottom w:val="nil"/>
              <w:right w:val="nil"/>
            </w:tcBorders>
            <w:shd w:val="clear" w:color="auto" w:fill="auto"/>
            <w:vAlign w:val="bottom"/>
          </w:tcPr>
          <w:p w14:paraId="445E3B42" w14:textId="13EFAAAD"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E142459" w14:textId="6C73659E" w:rsidR="00B33D8D" w:rsidRPr="001D41EA" w:rsidRDefault="00B33D8D" w:rsidP="001D41EA">
            <w:pPr>
              <w:spacing w:before="40" w:after="20"/>
              <w:jc w:val="right"/>
              <w:rPr>
                <w:rFonts w:cs="Arial"/>
                <w:sz w:val="18"/>
                <w:szCs w:val="18"/>
              </w:rPr>
            </w:pPr>
            <w:r w:rsidRPr="001D41EA">
              <w:rPr>
                <w:rFonts w:cs="Arial"/>
                <w:sz w:val="18"/>
                <w:szCs w:val="18"/>
              </w:rPr>
              <w:t>2,528</w:t>
            </w:r>
          </w:p>
        </w:tc>
        <w:tc>
          <w:tcPr>
            <w:tcW w:w="1247" w:type="dxa"/>
            <w:tcBorders>
              <w:top w:val="nil"/>
              <w:left w:val="nil"/>
              <w:bottom w:val="nil"/>
              <w:right w:val="nil"/>
            </w:tcBorders>
            <w:shd w:val="clear" w:color="auto" w:fill="auto"/>
            <w:vAlign w:val="bottom"/>
          </w:tcPr>
          <w:p w14:paraId="15C34E37" w14:textId="220E5623" w:rsidR="00B33D8D" w:rsidRPr="001D41EA" w:rsidRDefault="00B33D8D" w:rsidP="001D41EA">
            <w:pPr>
              <w:spacing w:before="40" w:after="20"/>
              <w:jc w:val="right"/>
              <w:rPr>
                <w:rFonts w:cs="Arial"/>
                <w:sz w:val="18"/>
                <w:szCs w:val="18"/>
              </w:rPr>
            </w:pPr>
            <w:r w:rsidRPr="001D41EA">
              <w:rPr>
                <w:rFonts w:cs="Arial"/>
                <w:sz w:val="18"/>
                <w:szCs w:val="18"/>
              </w:rPr>
              <w:t>7.8</w:t>
            </w:r>
          </w:p>
        </w:tc>
      </w:tr>
      <w:tr w:rsidR="00B33D8D" w:rsidRPr="001D41EA" w14:paraId="5D3F5E1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72BDCA5" w14:textId="77777777" w:rsidR="00B33D8D" w:rsidRPr="001D41EA" w:rsidRDefault="00B33D8D" w:rsidP="001D41EA">
            <w:pPr>
              <w:spacing w:before="40" w:after="20"/>
              <w:rPr>
                <w:rFonts w:cs="Arial"/>
                <w:sz w:val="18"/>
                <w:szCs w:val="18"/>
              </w:rPr>
            </w:pPr>
            <w:r w:rsidRPr="001D41EA">
              <w:rPr>
                <w:rFonts w:cs="Arial"/>
                <w:sz w:val="18"/>
                <w:szCs w:val="18"/>
              </w:rPr>
              <w:t>Swan Hill RC</w:t>
            </w:r>
          </w:p>
        </w:tc>
        <w:tc>
          <w:tcPr>
            <w:tcW w:w="1247" w:type="dxa"/>
            <w:tcBorders>
              <w:top w:val="nil"/>
              <w:left w:val="single" w:sz="18" w:space="0" w:color="5F497A" w:themeColor="accent4" w:themeShade="BF"/>
              <w:bottom w:val="nil"/>
              <w:right w:val="nil"/>
            </w:tcBorders>
            <w:shd w:val="clear" w:color="auto" w:fill="auto"/>
            <w:vAlign w:val="bottom"/>
          </w:tcPr>
          <w:p w14:paraId="38BC5586" w14:textId="1B0B3A62" w:rsidR="00B33D8D" w:rsidRPr="001D41EA" w:rsidRDefault="00B33D8D" w:rsidP="001D41EA">
            <w:pPr>
              <w:spacing w:before="40" w:after="20"/>
              <w:jc w:val="right"/>
              <w:rPr>
                <w:rFonts w:cs="Arial"/>
                <w:sz w:val="18"/>
                <w:szCs w:val="18"/>
              </w:rPr>
            </w:pPr>
            <w:r w:rsidRPr="001D41EA">
              <w:rPr>
                <w:rFonts w:cs="Arial"/>
                <w:sz w:val="18"/>
                <w:szCs w:val="18"/>
              </w:rPr>
              <w:t>20,574</w:t>
            </w:r>
          </w:p>
        </w:tc>
        <w:tc>
          <w:tcPr>
            <w:tcW w:w="1247" w:type="dxa"/>
            <w:tcBorders>
              <w:top w:val="nil"/>
              <w:left w:val="nil"/>
              <w:bottom w:val="nil"/>
              <w:right w:val="nil"/>
            </w:tcBorders>
            <w:vAlign w:val="bottom"/>
          </w:tcPr>
          <w:p w14:paraId="2C29C1C5" w14:textId="18CB87E3" w:rsidR="00B33D8D" w:rsidRPr="001D41EA" w:rsidRDefault="00B33D8D" w:rsidP="001D41EA">
            <w:pPr>
              <w:spacing w:before="40" w:after="20"/>
              <w:jc w:val="right"/>
              <w:rPr>
                <w:rFonts w:cs="Arial"/>
                <w:sz w:val="18"/>
                <w:szCs w:val="18"/>
              </w:rPr>
            </w:pPr>
            <w:r w:rsidRPr="001D41EA">
              <w:rPr>
                <w:rFonts w:cs="Arial"/>
                <w:sz w:val="18"/>
                <w:szCs w:val="18"/>
              </w:rPr>
              <w:t>20,759</w:t>
            </w:r>
          </w:p>
        </w:tc>
        <w:tc>
          <w:tcPr>
            <w:tcW w:w="1247" w:type="dxa"/>
            <w:tcBorders>
              <w:top w:val="nil"/>
              <w:left w:val="nil"/>
              <w:bottom w:val="nil"/>
              <w:right w:val="nil"/>
            </w:tcBorders>
            <w:shd w:val="clear" w:color="auto" w:fill="auto"/>
            <w:vAlign w:val="bottom"/>
          </w:tcPr>
          <w:p w14:paraId="58FB7AAE" w14:textId="5328D17A" w:rsidR="00B33D8D" w:rsidRPr="001D41EA" w:rsidRDefault="00B33D8D" w:rsidP="001D41EA">
            <w:pPr>
              <w:spacing w:before="40" w:after="20"/>
              <w:jc w:val="right"/>
              <w:rPr>
                <w:rFonts w:cs="Arial"/>
                <w:sz w:val="18"/>
                <w:szCs w:val="18"/>
              </w:rPr>
            </w:pPr>
            <w:r w:rsidRPr="001D41EA">
              <w:rPr>
                <w:rFonts w:cs="Arial"/>
                <w:sz w:val="18"/>
                <w:szCs w:val="18"/>
              </w:rPr>
              <w:t>0.9</w:t>
            </w:r>
          </w:p>
        </w:tc>
        <w:tc>
          <w:tcPr>
            <w:tcW w:w="170" w:type="dxa"/>
            <w:tcBorders>
              <w:top w:val="nil"/>
              <w:left w:val="nil"/>
              <w:bottom w:val="nil"/>
              <w:right w:val="nil"/>
            </w:tcBorders>
            <w:shd w:val="clear" w:color="auto" w:fill="auto"/>
            <w:vAlign w:val="bottom"/>
          </w:tcPr>
          <w:p w14:paraId="429E566E" w14:textId="5FF91022"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4F667F0B" w14:textId="70ECC7E2" w:rsidR="00B33D8D" w:rsidRPr="001D41EA" w:rsidRDefault="00B33D8D" w:rsidP="001D41EA">
            <w:pPr>
              <w:spacing w:before="40" w:after="20"/>
              <w:jc w:val="right"/>
              <w:rPr>
                <w:rFonts w:cs="Arial"/>
                <w:sz w:val="18"/>
                <w:szCs w:val="18"/>
              </w:rPr>
            </w:pPr>
            <w:r w:rsidRPr="001D41EA">
              <w:rPr>
                <w:rFonts w:cs="Arial"/>
                <w:sz w:val="18"/>
                <w:szCs w:val="18"/>
              </w:rPr>
              <w:t>1,722</w:t>
            </w:r>
          </w:p>
        </w:tc>
        <w:tc>
          <w:tcPr>
            <w:tcW w:w="1247" w:type="dxa"/>
            <w:tcBorders>
              <w:top w:val="nil"/>
              <w:left w:val="nil"/>
              <w:bottom w:val="nil"/>
              <w:right w:val="nil"/>
            </w:tcBorders>
            <w:shd w:val="clear" w:color="auto" w:fill="auto"/>
            <w:vAlign w:val="bottom"/>
          </w:tcPr>
          <w:p w14:paraId="2A24B4F8" w14:textId="46BD19A5" w:rsidR="00B33D8D" w:rsidRPr="001D41EA" w:rsidRDefault="00B33D8D" w:rsidP="001D41EA">
            <w:pPr>
              <w:spacing w:before="40" w:after="20"/>
              <w:jc w:val="right"/>
              <w:rPr>
                <w:rFonts w:cs="Arial"/>
                <w:sz w:val="18"/>
                <w:szCs w:val="18"/>
              </w:rPr>
            </w:pPr>
            <w:r w:rsidRPr="001D41EA">
              <w:rPr>
                <w:rFonts w:cs="Arial"/>
                <w:sz w:val="18"/>
                <w:szCs w:val="18"/>
              </w:rPr>
              <w:t>8.3</w:t>
            </w:r>
          </w:p>
        </w:tc>
      </w:tr>
      <w:tr w:rsidR="00B33D8D" w:rsidRPr="001D41EA" w14:paraId="2E2A3238"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30A7E70" w14:textId="77777777" w:rsidR="00B33D8D" w:rsidRPr="001D41EA" w:rsidRDefault="00B33D8D" w:rsidP="001D41EA">
            <w:pPr>
              <w:spacing w:before="40" w:after="20"/>
              <w:rPr>
                <w:rFonts w:cs="Arial"/>
                <w:sz w:val="18"/>
                <w:szCs w:val="18"/>
              </w:rPr>
            </w:pPr>
            <w:r w:rsidRPr="001D41EA">
              <w:rPr>
                <w:rFonts w:cs="Arial"/>
                <w:sz w:val="18"/>
                <w:szCs w:val="18"/>
              </w:rPr>
              <w:t>Towong S</w:t>
            </w:r>
          </w:p>
        </w:tc>
        <w:tc>
          <w:tcPr>
            <w:tcW w:w="1247" w:type="dxa"/>
            <w:tcBorders>
              <w:top w:val="nil"/>
              <w:left w:val="single" w:sz="18" w:space="0" w:color="5F497A" w:themeColor="accent4" w:themeShade="BF"/>
              <w:bottom w:val="nil"/>
              <w:right w:val="nil"/>
            </w:tcBorders>
            <w:shd w:val="clear" w:color="auto" w:fill="auto"/>
            <w:vAlign w:val="bottom"/>
          </w:tcPr>
          <w:p w14:paraId="24A16ADA" w14:textId="5F8DA22F" w:rsidR="00B33D8D" w:rsidRPr="001D41EA" w:rsidRDefault="00B33D8D" w:rsidP="001D41EA">
            <w:pPr>
              <w:spacing w:before="40" w:after="20"/>
              <w:jc w:val="right"/>
              <w:rPr>
                <w:rFonts w:cs="Arial"/>
                <w:sz w:val="18"/>
                <w:szCs w:val="18"/>
              </w:rPr>
            </w:pPr>
            <w:r w:rsidRPr="001D41EA">
              <w:rPr>
                <w:rFonts w:cs="Arial"/>
                <w:sz w:val="18"/>
                <w:szCs w:val="18"/>
              </w:rPr>
              <w:t>5,795</w:t>
            </w:r>
          </w:p>
        </w:tc>
        <w:tc>
          <w:tcPr>
            <w:tcW w:w="1247" w:type="dxa"/>
            <w:tcBorders>
              <w:top w:val="nil"/>
              <w:left w:val="nil"/>
              <w:bottom w:val="nil"/>
              <w:right w:val="nil"/>
            </w:tcBorders>
            <w:vAlign w:val="bottom"/>
          </w:tcPr>
          <w:p w14:paraId="5F8CF0B4" w14:textId="5793DDB5" w:rsidR="00B33D8D" w:rsidRPr="001D41EA" w:rsidRDefault="00B33D8D" w:rsidP="001D41EA">
            <w:pPr>
              <w:spacing w:before="40" w:after="20"/>
              <w:jc w:val="right"/>
              <w:rPr>
                <w:rFonts w:cs="Arial"/>
                <w:sz w:val="18"/>
                <w:szCs w:val="18"/>
              </w:rPr>
            </w:pPr>
            <w:r w:rsidRPr="001D41EA">
              <w:rPr>
                <w:rFonts w:cs="Arial"/>
                <w:sz w:val="18"/>
                <w:szCs w:val="18"/>
              </w:rPr>
              <w:t>6,054</w:t>
            </w:r>
          </w:p>
        </w:tc>
        <w:tc>
          <w:tcPr>
            <w:tcW w:w="1247" w:type="dxa"/>
            <w:tcBorders>
              <w:top w:val="nil"/>
              <w:left w:val="nil"/>
              <w:bottom w:val="nil"/>
              <w:right w:val="nil"/>
            </w:tcBorders>
            <w:shd w:val="clear" w:color="auto" w:fill="auto"/>
            <w:vAlign w:val="bottom"/>
          </w:tcPr>
          <w:p w14:paraId="3CFB1C7B" w14:textId="5EAD5386" w:rsidR="00B33D8D" w:rsidRPr="001D41EA" w:rsidRDefault="00B33D8D" w:rsidP="001D41EA">
            <w:pPr>
              <w:spacing w:before="40" w:after="20"/>
              <w:jc w:val="right"/>
              <w:rPr>
                <w:rFonts w:cs="Arial"/>
                <w:sz w:val="18"/>
                <w:szCs w:val="18"/>
              </w:rPr>
            </w:pPr>
            <w:r w:rsidRPr="001D41EA">
              <w:rPr>
                <w:rFonts w:cs="Arial"/>
                <w:sz w:val="18"/>
                <w:szCs w:val="18"/>
              </w:rPr>
              <w:t>4.5</w:t>
            </w:r>
          </w:p>
        </w:tc>
        <w:tc>
          <w:tcPr>
            <w:tcW w:w="170" w:type="dxa"/>
            <w:tcBorders>
              <w:top w:val="nil"/>
              <w:left w:val="nil"/>
              <w:bottom w:val="nil"/>
              <w:right w:val="nil"/>
            </w:tcBorders>
            <w:shd w:val="clear" w:color="auto" w:fill="auto"/>
            <w:vAlign w:val="bottom"/>
          </w:tcPr>
          <w:p w14:paraId="08807487" w14:textId="3A6A35AA"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43030A5A" w14:textId="17998983" w:rsidR="00B33D8D" w:rsidRPr="001D41EA" w:rsidRDefault="00B33D8D" w:rsidP="001D41EA">
            <w:pPr>
              <w:spacing w:before="40" w:after="20"/>
              <w:jc w:val="right"/>
              <w:rPr>
                <w:rFonts w:cs="Arial"/>
                <w:sz w:val="18"/>
                <w:szCs w:val="18"/>
              </w:rPr>
            </w:pPr>
            <w:r w:rsidRPr="001D41EA">
              <w:rPr>
                <w:rFonts w:cs="Arial"/>
                <w:sz w:val="18"/>
                <w:szCs w:val="18"/>
              </w:rPr>
              <w:t>376</w:t>
            </w:r>
          </w:p>
        </w:tc>
        <w:tc>
          <w:tcPr>
            <w:tcW w:w="1247" w:type="dxa"/>
            <w:tcBorders>
              <w:top w:val="nil"/>
              <w:left w:val="nil"/>
              <w:bottom w:val="nil"/>
              <w:right w:val="nil"/>
            </w:tcBorders>
            <w:shd w:val="clear" w:color="auto" w:fill="auto"/>
            <w:vAlign w:val="bottom"/>
          </w:tcPr>
          <w:p w14:paraId="66B0F815" w14:textId="783D1664" w:rsidR="00B33D8D" w:rsidRPr="001D41EA" w:rsidRDefault="00B33D8D" w:rsidP="001D41EA">
            <w:pPr>
              <w:spacing w:before="40" w:after="20"/>
              <w:jc w:val="right"/>
              <w:rPr>
                <w:rFonts w:cs="Arial"/>
                <w:sz w:val="18"/>
                <w:szCs w:val="18"/>
              </w:rPr>
            </w:pPr>
            <w:r w:rsidRPr="001D41EA">
              <w:rPr>
                <w:rFonts w:cs="Arial"/>
                <w:sz w:val="18"/>
                <w:szCs w:val="18"/>
              </w:rPr>
              <w:t>6.2</w:t>
            </w:r>
          </w:p>
        </w:tc>
      </w:tr>
      <w:tr w:rsidR="00B33D8D" w:rsidRPr="001D41EA" w14:paraId="24953CB8"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3D55A19" w14:textId="77777777" w:rsidR="00B33D8D" w:rsidRPr="001D41EA" w:rsidRDefault="00B33D8D" w:rsidP="001D41EA">
            <w:pPr>
              <w:spacing w:before="40" w:after="20"/>
              <w:rPr>
                <w:rFonts w:cs="Arial"/>
                <w:sz w:val="18"/>
                <w:szCs w:val="18"/>
              </w:rPr>
            </w:pPr>
            <w:r w:rsidRPr="001D41EA">
              <w:rPr>
                <w:rFonts w:cs="Arial"/>
                <w:sz w:val="18"/>
                <w:szCs w:val="18"/>
              </w:rPr>
              <w:t>Wangaratta RC</w:t>
            </w:r>
          </w:p>
        </w:tc>
        <w:tc>
          <w:tcPr>
            <w:tcW w:w="1247" w:type="dxa"/>
            <w:tcBorders>
              <w:top w:val="nil"/>
              <w:left w:val="single" w:sz="18" w:space="0" w:color="5F497A" w:themeColor="accent4" w:themeShade="BF"/>
              <w:bottom w:val="nil"/>
              <w:right w:val="nil"/>
            </w:tcBorders>
            <w:shd w:val="clear" w:color="auto" w:fill="auto"/>
            <w:vAlign w:val="bottom"/>
          </w:tcPr>
          <w:p w14:paraId="4AEE3D0F" w14:textId="5A90F62F" w:rsidR="00B33D8D" w:rsidRPr="001D41EA" w:rsidRDefault="00B33D8D" w:rsidP="001D41EA">
            <w:pPr>
              <w:spacing w:before="40" w:after="20"/>
              <w:jc w:val="right"/>
              <w:rPr>
                <w:rFonts w:cs="Arial"/>
                <w:sz w:val="18"/>
                <w:szCs w:val="18"/>
              </w:rPr>
            </w:pPr>
            <w:r w:rsidRPr="001D41EA">
              <w:rPr>
                <w:rFonts w:cs="Arial"/>
                <w:sz w:val="18"/>
                <w:szCs w:val="18"/>
              </w:rPr>
              <w:t>27,108</w:t>
            </w:r>
          </w:p>
        </w:tc>
        <w:tc>
          <w:tcPr>
            <w:tcW w:w="1247" w:type="dxa"/>
            <w:tcBorders>
              <w:top w:val="nil"/>
              <w:left w:val="nil"/>
              <w:bottom w:val="nil"/>
              <w:right w:val="nil"/>
            </w:tcBorders>
            <w:vAlign w:val="bottom"/>
          </w:tcPr>
          <w:p w14:paraId="30A94955" w14:textId="06414CA8" w:rsidR="00B33D8D" w:rsidRPr="001D41EA" w:rsidRDefault="00B33D8D" w:rsidP="001D41EA">
            <w:pPr>
              <w:spacing w:before="40" w:after="20"/>
              <w:jc w:val="right"/>
              <w:rPr>
                <w:rFonts w:cs="Arial"/>
                <w:sz w:val="18"/>
                <w:szCs w:val="18"/>
              </w:rPr>
            </w:pPr>
            <w:r w:rsidRPr="001D41EA">
              <w:rPr>
                <w:rFonts w:cs="Arial"/>
                <w:sz w:val="18"/>
                <w:szCs w:val="18"/>
              </w:rPr>
              <w:t>29,087</w:t>
            </w:r>
          </w:p>
        </w:tc>
        <w:tc>
          <w:tcPr>
            <w:tcW w:w="1247" w:type="dxa"/>
            <w:tcBorders>
              <w:top w:val="nil"/>
              <w:left w:val="nil"/>
              <w:bottom w:val="nil"/>
              <w:right w:val="nil"/>
            </w:tcBorders>
            <w:shd w:val="clear" w:color="auto" w:fill="auto"/>
            <w:vAlign w:val="bottom"/>
          </w:tcPr>
          <w:p w14:paraId="696F1665" w14:textId="12268BDF" w:rsidR="00B33D8D" w:rsidRPr="001D41EA" w:rsidRDefault="00B33D8D" w:rsidP="001D41EA">
            <w:pPr>
              <w:spacing w:before="40" w:after="20"/>
              <w:jc w:val="right"/>
              <w:rPr>
                <w:rFonts w:cs="Arial"/>
                <w:sz w:val="18"/>
                <w:szCs w:val="18"/>
              </w:rPr>
            </w:pPr>
            <w:r w:rsidRPr="001D41EA">
              <w:rPr>
                <w:rFonts w:cs="Arial"/>
                <w:sz w:val="18"/>
                <w:szCs w:val="18"/>
              </w:rPr>
              <w:t>7.3</w:t>
            </w:r>
          </w:p>
        </w:tc>
        <w:tc>
          <w:tcPr>
            <w:tcW w:w="170" w:type="dxa"/>
            <w:tcBorders>
              <w:top w:val="nil"/>
              <w:left w:val="nil"/>
              <w:bottom w:val="nil"/>
              <w:right w:val="nil"/>
            </w:tcBorders>
            <w:shd w:val="clear" w:color="auto" w:fill="auto"/>
            <w:vAlign w:val="bottom"/>
          </w:tcPr>
          <w:p w14:paraId="65BB1CB2" w14:textId="6BD09E62"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5648CA1B" w14:textId="3D591488" w:rsidR="00B33D8D" w:rsidRPr="001D41EA" w:rsidRDefault="00B33D8D" w:rsidP="001D41EA">
            <w:pPr>
              <w:spacing w:before="40" w:after="20"/>
              <w:jc w:val="right"/>
              <w:rPr>
                <w:rFonts w:cs="Arial"/>
                <w:sz w:val="18"/>
                <w:szCs w:val="18"/>
              </w:rPr>
            </w:pPr>
            <w:r w:rsidRPr="001D41EA">
              <w:rPr>
                <w:rFonts w:cs="Arial"/>
                <w:sz w:val="18"/>
                <w:szCs w:val="18"/>
              </w:rPr>
              <w:t>1,985</w:t>
            </w:r>
          </w:p>
        </w:tc>
        <w:tc>
          <w:tcPr>
            <w:tcW w:w="1247" w:type="dxa"/>
            <w:tcBorders>
              <w:top w:val="nil"/>
              <w:left w:val="nil"/>
              <w:bottom w:val="nil"/>
              <w:right w:val="nil"/>
            </w:tcBorders>
            <w:shd w:val="clear" w:color="auto" w:fill="auto"/>
            <w:vAlign w:val="bottom"/>
          </w:tcPr>
          <w:p w14:paraId="417E47CC" w14:textId="1D7573DC" w:rsidR="00B33D8D" w:rsidRPr="001D41EA" w:rsidRDefault="00B33D8D" w:rsidP="001D41EA">
            <w:pPr>
              <w:spacing w:before="40" w:after="20"/>
              <w:jc w:val="right"/>
              <w:rPr>
                <w:rFonts w:cs="Arial"/>
                <w:sz w:val="18"/>
                <w:szCs w:val="18"/>
              </w:rPr>
            </w:pPr>
            <w:r w:rsidRPr="001D41EA">
              <w:rPr>
                <w:rFonts w:cs="Arial"/>
                <w:sz w:val="18"/>
                <w:szCs w:val="18"/>
              </w:rPr>
              <w:t>6.8</w:t>
            </w:r>
          </w:p>
        </w:tc>
      </w:tr>
      <w:tr w:rsidR="00B33D8D" w:rsidRPr="001D41EA" w14:paraId="31AB79AF"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C472FFF" w14:textId="77777777" w:rsidR="00B33D8D" w:rsidRPr="001D41EA" w:rsidRDefault="00B33D8D" w:rsidP="001D41EA">
            <w:pPr>
              <w:spacing w:before="40" w:after="20"/>
              <w:rPr>
                <w:rFonts w:cs="Arial"/>
                <w:sz w:val="18"/>
                <w:szCs w:val="18"/>
              </w:rPr>
            </w:pPr>
            <w:r w:rsidRPr="001D41EA">
              <w:rPr>
                <w:rFonts w:cs="Arial"/>
                <w:sz w:val="18"/>
                <w:szCs w:val="18"/>
              </w:rPr>
              <w:t>Warrnambool C</w:t>
            </w:r>
          </w:p>
        </w:tc>
        <w:tc>
          <w:tcPr>
            <w:tcW w:w="1247" w:type="dxa"/>
            <w:tcBorders>
              <w:top w:val="nil"/>
              <w:left w:val="single" w:sz="18" w:space="0" w:color="5F497A" w:themeColor="accent4" w:themeShade="BF"/>
              <w:bottom w:val="nil"/>
              <w:right w:val="nil"/>
            </w:tcBorders>
            <w:shd w:val="clear" w:color="auto" w:fill="auto"/>
            <w:vAlign w:val="bottom"/>
          </w:tcPr>
          <w:p w14:paraId="2208F240" w14:textId="3DEA7937" w:rsidR="00B33D8D" w:rsidRPr="001D41EA" w:rsidRDefault="00B33D8D" w:rsidP="001D41EA">
            <w:pPr>
              <w:spacing w:before="40" w:after="20"/>
              <w:jc w:val="right"/>
              <w:rPr>
                <w:rFonts w:cs="Arial"/>
                <w:sz w:val="18"/>
                <w:szCs w:val="18"/>
              </w:rPr>
            </w:pPr>
            <w:r w:rsidRPr="001D41EA">
              <w:rPr>
                <w:rFonts w:cs="Arial"/>
                <w:sz w:val="18"/>
                <w:szCs w:val="18"/>
              </w:rPr>
              <w:t>33,508</w:t>
            </w:r>
          </w:p>
        </w:tc>
        <w:tc>
          <w:tcPr>
            <w:tcW w:w="1247" w:type="dxa"/>
            <w:tcBorders>
              <w:top w:val="nil"/>
              <w:left w:val="nil"/>
              <w:bottom w:val="nil"/>
              <w:right w:val="nil"/>
            </w:tcBorders>
            <w:vAlign w:val="bottom"/>
          </w:tcPr>
          <w:p w14:paraId="4C4245F5" w14:textId="673918F5" w:rsidR="00B33D8D" w:rsidRPr="001D41EA" w:rsidRDefault="00B33D8D" w:rsidP="001D41EA">
            <w:pPr>
              <w:spacing w:before="40" w:after="20"/>
              <w:jc w:val="right"/>
              <w:rPr>
                <w:rFonts w:cs="Arial"/>
                <w:sz w:val="18"/>
                <w:szCs w:val="18"/>
              </w:rPr>
            </w:pPr>
            <w:r w:rsidRPr="001D41EA">
              <w:rPr>
                <w:rFonts w:cs="Arial"/>
                <w:sz w:val="18"/>
                <w:szCs w:val="18"/>
              </w:rPr>
              <w:t>34,862</w:t>
            </w:r>
          </w:p>
        </w:tc>
        <w:tc>
          <w:tcPr>
            <w:tcW w:w="1247" w:type="dxa"/>
            <w:tcBorders>
              <w:top w:val="nil"/>
              <w:left w:val="nil"/>
              <w:bottom w:val="nil"/>
              <w:right w:val="nil"/>
            </w:tcBorders>
            <w:shd w:val="clear" w:color="auto" w:fill="auto"/>
            <w:vAlign w:val="bottom"/>
          </w:tcPr>
          <w:p w14:paraId="2582B780" w14:textId="147F5103" w:rsidR="00B33D8D" w:rsidRPr="001D41EA" w:rsidRDefault="00B33D8D" w:rsidP="001D41EA">
            <w:pPr>
              <w:spacing w:before="40" w:after="20"/>
              <w:jc w:val="right"/>
              <w:rPr>
                <w:rFonts w:cs="Arial"/>
                <w:sz w:val="18"/>
                <w:szCs w:val="18"/>
              </w:rPr>
            </w:pPr>
            <w:r w:rsidRPr="001D41EA">
              <w:rPr>
                <w:rFonts w:cs="Arial"/>
                <w:sz w:val="18"/>
                <w:szCs w:val="18"/>
              </w:rPr>
              <w:t>4.0</w:t>
            </w:r>
          </w:p>
        </w:tc>
        <w:tc>
          <w:tcPr>
            <w:tcW w:w="170" w:type="dxa"/>
            <w:tcBorders>
              <w:top w:val="nil"/>
              <w:left w:val="nil"/>
              <w:bottom w:val="nil"/>
              <w:right w:val="nil"/>
            </w:tcBorders>
            <w:shd w:val="clear" w:color="auto" w:fill="auto"/>
            <w:vAlign w:val="bottom"/>
          </w:tcPr>
          <w:p w14:paraId="22C667C4" w14:textId="7353AA0B"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3087A1DF" w14:textId="6BAF4C8C" w:rsidR="00B33D8D" w:rsidRPr="001D41EA" w:rsidRDefault="00B33D8D" w:rsidP="001D41EA">
            <w:pPr>
              <w:spacing w:before="40" w:after="20"/>
              <w:jc w:val="right"/>
              <w:rPr>
                <w:rFonts w:cs="Arial"/>
                <w:sz w:val="18"/>
                <w:szCs w:val="18"/>
              </w:rPr>
            </w:pPr>
            <w:r w:rsidRPr="001D41EA">
              <w:rPr>
                <w:rFonts w:cs="Arial"/>
                <w:sz w:val="18"/>
                <w:szCs w:val="18"/>
              </w:rPr>
              <w:t>2,506</w:t>
            </w:r>
          </w:p>
        </w:tc>
        <w:tc>
          <w:tcPr>
            <w:tcW w:w="1247" w:type="dxa"/>
            <w:tcBorders>
              <w:top w:val="nil"/>
              <w:left w:val="nil"/>
              <w:bottom w:val="nil"/>
              <w:right w:val="nil"/>
            </w:tcBorders>
            <w:shd w:val="clear" w:color="auto" w:fill="auto"/>
            <w:vAlign w:val="bottom"/>
          </w:tcPr>
          <w:p w14:paraId="5E59AF6B" w14:textId="3F188E12" w:rsidR="00B33D8D" w:rsidRPr="001D41EA" w:rsidRDefault="00B33D8D" w:rsidP="001D41EA">
            <w:pPr>
              <w:spacing w:before="40" w:after="20"/>
              <w:jc w:val="right"/>
              <w:rPr>
                <w:rFonts w:cs="Arial"/>
                <w:sz w:val="18"/>
                <w:szCs w:val="18"/>
              </w:rPr>
            </w:pPr>
            <w:r w:rsidRPr="001D41EA">
              <w:rPr>
                <w:rFonts w:cs="Arial"/>
                <w:sz w:val="18"/>
                <w:szCs w:val="18"/>
              </w:rPr>
              <w:t>7.2</w:t>
            </w:r>
          </w:p>
        </w:tc>
      </w:tr>
      <w:tr w:rsidR="00B33D8D" w:rsidRPr="001D41EA" w14:paraId="57B8AEE9"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A67F1F0" w14:textId="77777777" w:rsidR="00B33D8D" w:rsidRPr="001D41EA" w:rsidRDefault="00B33D8D" w:rsidP="001D41EA">
            <w:pPr>
              <w:spacing w:before="40" w:after="20"/>
              <w:rPr>
                <w:rFonts w:cs="Arial"/>
                <w:sz w:val="18"/>
                <w:szCs w:val="18"/>
              </w:rPr>
            </w:pPr>
            <w:r w:rsidRPr="001D41EA">
              <w:rPr>
                <w:rFonts w:cs="Arial"/>
                <w:sz w:val="18"/>
                <w:szCs w:val="18"/>
              </w:rPr>
              <w:t>Wellington S</w:t>
            </w:r>
          </w:p>
        </w:tc>
        <w:tc>
          <w:tcPr>
            <w:tcW w:w="1247" w:type="dxa"/>
            <w:tcBorders>
              <w:top w:val="nil"/>
              <w:left w:val="single" w:sz="18" w:space="0" w:color="5F497A" w:themeColor="accent4" w:themeShade="BF"/>
              <w:bottom w:val="nil"/>
              <w:right w:val="nil"/>
            </w:tcBorders>
            <w:shd w:val="clear" w:color="auto" w:fill="auto"/>
            <w:vAlign w:val="bottom"/>
          </w:tcPr>
          <w:p w14:paraId="20B942FB" w14:textId="2C0F2214" w:rsidR="00B33D8D" w:rsidRPr="001D41EA" w:rsidRDefault="00B33D8D" w:rsidP="001D41EA">
            <w:pPr>
              <w:spacing w:before="40" w:after="20"/>
              <w:jc w:val="right"/>
              <w:rPr>
                <w:rFonts w:cs="Arial"/>
                <w:sz w:val="18"/>
                <w:szCs w:val="18"/>
              </w:rPr>
            </w:pPr>
            <w:r w:rsidRPr="001D41EA">
              <w:rPr>
                <w:rFonts w:cs="Arial"/>
                <w:sz w:val="18"/>
                <w:szCs w:val="18"/>
              </w:rPr>
              <w:t>42,174</w:t>
            </w:r>
          </w:p>
        </w:tc>
        <w:tc>
          <w:tcPr>
            <w:tcW w:w="1247" w:type="dxa"/>
            <w:tcBorders>
              <w:top w:val="nil"/>
              <w:left w:val="nil"/>
              <w:bottom w:val="nil"/>
              <w:right w:val="nil"/>
            </w:tcBorders>
            <w:vAlign w:val="bottom"/>
          </w:tcPr>
          <w:p w14:paraId="7E4B52E6" w14:textId="5B9B356D" w:rsidR="00B33D8D" w:rsidRPr="001D41EA" w:rsidRDefault="00B33D8D" w:rsidP="001D41EA">
            <w:pPr>
              <w:spacing w:before="40" w:after="20"/>
              <w:jc w:val="right"/>
              <w:rPr>
                <w:rFonts w:cs="Arial"/>
                <w:sz w:val="18"/>
                <w:szCs w:val="18"/>
              </w:rPr>
            </w:pPr>
            <w:r w:rsidRPr="001D41EA">
              <w:rPr>
                <w:rFonts w:cs="Arial"/>
                <w:sz w:val="18"/>
                <w:szCs w:val="18"/>
              </w:rPr>
              <w:t>44,019</w:t>
            </w:r>
          </w:p>
        </w:tc>
        <w:tc>
          <w:tcPr>
            <w:tcW w:w="1247" w:type="dxa"/>
            <w:tcBorders>
              <w:top w:val="nil"/>
              <w:left w:val="nil"/>
              <w:bottom w:val="nil"/>
              <w:right w:val="nil"/>
            </w:tcBorders>
            <w:shd w:val="clear" w:color="auto" w:fill="auto"/>
            <w:vAlign w:val="bottom"/>
          </w:tcPr>
          <w:p w14:paraId="2AB838D8" w14:textId="6C5D8078" w:rsidR="00B33D8D" w:rsidRPr="001D41EA" w:rsidRDefault="00B33D8D" w:rsidP="001D41EA">
            <w:pPr>
              <w:spacing w:before="40" w:after="20"/>
              <w:jc w:val="right"/>
              <w:rPr>
                <w:rFonts w:cs="Arial"/>
                <w:sz w:val="18"/>
                <w:szCs w:val="18"/>
              </w:rPr>
            </w:pPr>
            <w:r w:rsidRPr="001D41EA">
              <w:rPr>
                <w:rFonts w:cs="Arial"/>
                <w:sz w:val="18"/>
                <w:szCs w:val="18"/>
              </w:rPr>
              <w:t>4.4</w:t>
            </w:r>
          </w:p>
        </w:tc>
        <w:tc>
          <w:tcPr>
            <w:tcW w:w="170" w:type="dxa"/>
            <w:tcBorders>
              <w:top w:val="nil"/>
              <w:left w:val="nil"/>
              <w:bottom w:val="nil"/>
              <w:right w:val="nil"/>
            </w:tcBorders>
            <w:shd w:val="clear" w:color="auto" w:fill="auto"/>
            <w:vAlign w:val="bottom"/>
          </w:tcPr>
          <w:p w14:paraId="78697089" w14:textId="5A166EAF"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000F2F36" w14:textId="29A1096A" w:rsidR="00B33D8D" w:rsidRPr="001D41EA" w:rsidRDefault="00B33D8D" w:rsidP="001D41EA">
            <w:pPr>
              <w:spacing w:before="40" w:after="20"/>
              <w:jc w:val="right"/>
              <w:rPr>
                <w:rFonts w:cs="Arial"/>
                <w:sz w:val="18"/>
                <w:szCs w:val="18"/>
              </w:rPr>
            </w:pPr>
            <w:r w:rsidRPr="001D41EA">
              <w:rPr>
                <w:rFonts w:cs="Arial"/>
                <w:sz w:val="18"/>
                <w:szCs w:val="18"/>
              </w:rPr>
              <w:t>3,147</w:t>
            </w:r>
          </w:p>
        </w:tc>
        <w:tc>
          <w:tcPr>
            <w:tcW w:w="1247" w:type="dxa"/>
            <w:tcBorders>
              <w:top w:val="nil"/>
              <w:left w:val="nil"/>
              <w:bottom w:val="nil"/>
              <w:right w:val="nil"/>
            </w:tcBorders>
            <w:shd w:val="clear" w:color="auto" w:fill="auto"/>
            <w:vAlign w:val="bottom"/>
          </w:tcPr>
          <w:p w14:paraId="6192CC68" w14:textId="21F2F92F" w:rsidR="00B33D8D" w:rsidRPr="001D41EA" w:rsidRDefault="00B33D8D" w:rsidP="001D41EA">
            <w:pPr>
              <w:spacing w:before="40" w:after="20"/>
              <w:jc w:val="right"/>
              <w:rPr>
                <w:rFonts w:cs="Arial"/>
                <w:sz w:val="18"/>
                <w:szCs w:val="18"/>
              </w:rPr>
            </w:pPr>
            <w:r w:rsidRPr="001D41EA">
              <w:rPr>
                <w:rFonts w:cs="Arial"/>
                <w:sz w:val="18"/>
                <w:szCs w:val="18"/>
              </w:rPr>
              <w:t>7.2</w:t>
            </w:r>
          </w:p>
        </w:tc>
      </w:tr>
      <w:tr w:rsidR="00B33D8D" w:rsidRPr="001D41EA" w14:paraId="4A3F7634"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31B1528" w14:textId="77777777" w:rsidR="00B33D8D" w:rsidRPr="001D41EA" w:rsidRDefault="00B33D8D" w:rsidP="001D41EA">
            <w:pPr>
              <w:spacing w:before="40" w:after="20"/>
              <w:rPr>
                <w:rFonts w:cs="Arial"/>
                <w:sz w:val="18"/>
                <w:szCs w:val="18"/>
              </w:rPr>
            </w:pPr>
            <w:r w:rsidRPr="001D41EA">
              <w:rPr>
                <w:rFonts w:cs="Arial"/>
                <w:sz w:val="18"/>
                <w:szCs w:val="18"/>
              </w:rPr>
              <w:t>West Wimmera S</w:t>
            </w:r>
          </w:p>
        </w:tc>
        <w:tc>
          <w:tcPr>
            <w:tcW w:w="1247" w:type="dxa"/>
            <w:tcBorders>
              <w:top w:val="nil"/>
              <w:left w:val="single" w:sz="18" w:space="0" w:color="5F497A" w:themeColor="accent4" w:themeShade="BF"/>
              <w:bottom w:val="nil"/>
              <w:right w:val="nil"/>
            </w:tcBorders>
            <w:shd w:val="clear" w:color="auto" w:fill="auto"/>
            <w:vAlign w:val="bottom"/>
          </w:tcPr>
          <w:p w14:paraId="21078AAE" w14:textId="014E331B" w:rsidR="00B33D8D" w:rsidRPr="001D41EA" w:rsidRDefault="00B33D8D" w:rsidP="001D41EA">
            <w:pPr>
              <w:spacing w:before="40" w:after="20"/>
              <w:jc w:val="right"/>
              <w:rPr>
                <w:rFonts w:cs="Arial"/>
                <w:sz w:val="18"/>
                <w:szCs w:val="18"/>
              </w:rPr>
            </w:pPr>
            <w:r w:rsidRPr="001D41EA">
              <w:rPr>
                <w:rFonts w:cs="Arial"/>
                <w:sz w:val="18"/>
                <w:szCs w:val="18"/>
              </w:rPr>
              <w:t>3,981</w:t>
            </w:r>
          </w:p>
        </w:tc>
        <w:tc>
          <w:tcPr>
            <w:tcW w:w="1247" w:type="dxa"/>
            <w:tcBorders>
              <w:top w:val="nil"/>
              <w:left w:val="nil"/>
              <w:bottom w:val="nil"/>
              <w:right w:val="nil"/>
            </w:tcBorders>
            <w:vAlign w:val="bottom"/>
          </w:tcPr>
          <w:p w14:paraId="3960054F" w14:textId="300B3AAC" w:rsidR="00B33D8D" w:rsidRPr="001D41EA" w:rsidRDefault="00B33D8D" w:rsidP="001D41EA">
            <w:pPr>
              <w:spacing w:before="40" w:after="20"/>
              <w:jc w:val="right"/>
              <w:rPr>
                <w:rFonts w:cs="Arial"/>
                <w:sz w:val="18"/>
                <w:szCs w:val="18"/>
              </w:rPr>
            </w:pPr>
            <w:r w:rsidRPr="001D41EA">
              <w:rPr>
                <w:rFonts w:cs="Arial"/>
                <w:sz w:val="18"/>
                <w:szCs w:val="18"/>
              </w:rPr>
              <w:t>3,862</w:t>
            </w:r>
          </w:p>
        </w:tc>
        <w:tc>
          <w:tcPr>
            <w:tcW w:w="1247" w:type="dxa"/>
            <w:tcBorders>
              <w:top w:val="nil"/>
              <w:left w:val="nil"/>
              <w:bottom w:val="nil"/>
              <w:right w:val="nil"/>
            </w:tcBorders>
            <w:shd w:val="clear" w:color="auto" w:fill="auto"/>
            <w:vAlign w:val="bottom"/>
          </w:tcPr>
          <w:p w14:paraId="33B88835" w14:textId="39D6A43D" w:rsidR="00B33D8D" w:rsidRPr="001D41EA" w:rsidRDefault="00B33D8D" w:rsidP="001D41EA">
            <w:pPr>
              <w:spacing w:before="40" w:after="20"/>
              <w:jc w:val="right"/>
              <w:rPr>
                <w:rFonts w:cs="Arial"/>
                <w:sz w:val="18"/>
                <w:szCs w:val="18"/>
              </w:rPr>
            </w:pPr>
            <w:r w:rsidRPr="001D41EA">
              <w:rPr>
                <w:rFonts w:cs="Arial"/>
                <w:sz w:val="18"/>
                <w:szCs w:val="18"/>
              </w:rPr>
              <w:t>-3.0</w:t>
            </w:r>
          </w:p>
        </w:tc>
        <w:tc>
          <w:tcPr>
            <w:tcW w:w="170" w:type="dxa"/>
            <w:tcBorders>
              <w:top w:val="nil"/>
              <w:left w:val="nil"/>
              <w:bottom w:val="nil"/>
              <w:right w:val="nil"/>
            </w:tcBorders>
            <w:shd w:val="clear" w:color="auto" w:fill="auto"/>
            <w:vAlign w:val="bottom"/>
          </w:tcPr>
          <w:p w14:paraId="494E314B" w14:textId="7A678FA3"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57C5F47E" w14:textId="71FE4FB5" w:rsidR="00B33D8D" w:rsidRPr="001D41EA" w:rsidRDefault="00B33D8D" w:rsidP="001D41EA">
            <w:pPr>
              <w:spacing w:before="40" w:after="20"/>
              <w:jc w:val="right"/>
              <w:rPr>
                <w:rFonts w:cs="Arial"/>
                <w:sz w:val="18"/>
                <w:szCs w:val="18"/>
              </w:rPr>
            </w:pPr>
            <w:r w:rsidRPr="001D41EA">
              <w:rPr>
                <w:rFonts w:cs="Arial"/>
                <w:sz w:val="18"/>
                <w:szCs w:val="18"/>
              </w:rPr>
              <w:t>273</w:t>
            </w:r>
          </w:p>
        </w:tc>
        <w:tc>
          <w:tcPr>
            <w:tcW w:w="1247" w:type="dxa"/>
            <w:tcBorders>
              <w:top w:val="nil"/>
              <w:left w:val="nil"/>
              <w:bottom w:val="nil"/>
              <w:right w:val="nil"/>
            </w:tcBorders>
            <w:shd w:val="clear" w:color="auto" w:fill="auto"/>
            <w:vAlign w:val="bottom"/>
          </w:tcPr>
          <w:p w14:paraId="60417557" w14:textId="4444B762" w:rsidR="00B33D8D" w:rsidRPr="001D41EA" w:rsidRDefault="00B33D8D" w:rsidP="001D41EA">
            <w:pPr>
              <w:spacing w:before="40" w:after="20"/>
              <w:jc w:val="right"/>
              <w:rPr>
                <w:rFonts w:cs="Arial"/>
                <w:sz w:val="18"/>
                <w:szCs w:val="18"/>
              </w:rPr>
            </w:pPr>
            <w:r w:rsidRPr="001D41EA">
              <w:rPr>
                <w:rFonts w:cs="Arial"/>
                <w:sz w:val="18"/>
                <w:szCs w:val="18"/>
              </w:rPr>
              <w:t>7.1</w:t>
            </w:r>
          </w:p>
        </w:tc>
      </w:tr>
      <w:tr w:rsidR="00B33D8D" w:rsidRPr="001D41EA" w14:paraId="7BB1047F"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FA67C6F" w14:textId="77777777" w:rsidR="00B33D8D" w:rsidRPr="001D41EA" w:rsidRDefault="00B33D8D" w:rsidP="001D41EA">
            <w:pPr>
              <w:spacing w:before="40" w:after="20"/>
              <w:rPr>
                <w:rFonts w:cs="Arial"/>
                <w:sz w:val="18"/>
                <w:szCs w:val="18"/>
              </w:rPr>
            </w:pPr>
            <w:r w:rsidRPr="001D41EA">
              <w:rPr>
                <w:rFonts w:cs="Arial"/>
                <w:sz w:val="18"/>
                <w:szCs w:val="18"/>
              </w:rPr>
              <w:t>Whitehorse C</w:t>
            </w:r>
          </w:p>
        </w:tc>
        <w:tc>
          <w:tcPr>
            <w:tcW w:w="1247" w:type="dxa"/>
            <w:tcBorders>
              <w:top w:val="nil"/>
              <w:left w:val="single" w:sz="18" w:space="0" w:color="5F497A" w:themeColor="accent4" w:themeShade="BF"/>
              <w:bottom w:val="nil"/>
              <w:right w:val="nil"/>
            </w:tcBorders>
            <w:shd w:val="clear" w:color="auto" w:fill="auto"/>
            <w:vAlign w:val="bottom"/>
          </w:tcPr>
          <w:p w14:paraId="31009C78" w14:textId="1B3C0258" w:rsidR="00B33D8D" w:rsidRPr="001D41EA" w:rsidRDefault="00B33D8D" w:rsidP="001D41EA">
            <w:pPr>
              <w:spacing w:before="40" w:after="20"/>
              <w:jc w:val="right"/>
              <w:rPr>
                <w:rFonts w:cs="Arial"/>
                <w:sz w:val="18"/>
                <w:szCs w:val="18"/>
              </w:rPr>
            </w:pPr>
            <w:r w:rsidRPr="001D41EA">
              <w:rPr>
                <w:rFonts w:cs="Arial"/>
                <w:sz w:val="18"/>
                <w:szCs w:val="18"/>
              </w:rPr>
              <w:t>163,646</w:t>
            </w:r>
          </w:p>
        </w:tc>
        <w:tc>
          <w:tcPr>
            <w:tcW w:w="1247" w:type="dxa"/>
            <w:tcBorders>
              <w:top w:val="nil"/>
              <w:left w:val="nil"/>
              <w:bottom w:val="nil"/>
              <w:right w:val="nil"/>
            </w:tcBorders>
            <w:vAlign w:val="bottom"/>
          </w:tcPr>
          <w:p w14:paraId="7F7F8207" w14:textId="6832B857" w:rsidR="00B33D8D" w:rsidRPr="001D41EA" w:rsidRDefault="00B33D8D" w:rsidP="001D41EA">
            <w:pPr>
              <w:spacing w:before="40" w:after="20"/>
              <w:jc w:val="right"/>
              <w:rPr>
                <w:rFonts w:cs="Arial"/>
                <w:sz w:val="18"/>
                <w:szCs w:val="18"/>
              </w:rPr>
            </w:pPr>
            <w:r w:rsidRPr="001D41EA">
              <w:rPr>
                <w:rFonts w:cs="Arial"/>
                <w:sz w:val="18"/>
                <w:szCs w:val="18"/>
              </w:rPr>
              <w:t>176,196</w:t>
            </w:r>
          </w:p>
        </w:tc>
        <w:tc>
          <w:tcPr>
            <w:tcW w:w="1247" w:type="dxa"/>
            <w:tcBorders>
              <w:top w:val="nil"/>
              <w:left w:val="nil"/>
              <w:bottom w:val="nil"/>
              <w:right w:val="nil"/>
            </w:tcBorders>
            <w:shd w:val="clear" w:color="auto" w:fill="auto"/>
            <w:vAlign w:val="bottom"/>
          </w:tcPr>
          <w:p w14:paraId="59AC4FF6" w14:textId="7CD6E1A8" w:rsidR="00B33D8D" w:rsidRPr="001D41EA" w:rsidRDefault="00B33D8D" w:rsidP="001D41EA">
            <w:pPr>
              <w:spacing w:before="40" w:after="20"/>
              <w:jc w:val="right"/>
              <w:rPr>
                <w:rFonts w:cs="Arial"/>
                <w:sz w:val="18"/>
                <w:szCs w:val="18"/>
              </w:rPr>
            </w:pPr>
            <w:r w:rsidRPr="001D41EA">
              <w:rPr>
                <w:rFonts w:cs="Arial"/>
                <w:sz w:val="18"/>
                <w:szCs w:val="18"/>
              </w:rPr>
              <w:t>7.7</w:t>
            </w:r>
          </w:p>
        </w:tc>
        <w:tc>
          <w:tcPr>
            <w:tcW w:w="170" w:type="dxa"/>
            <w:tcBorders>
              <w:top w:val="nil"/>
              <w:left w:val="nil"/>
              <w:bottom w:val="nil"/>
              <w:right w:val="nil"/>
            </w:tcBorders>
            <w:shd w:val="clear" w:color="auto" w:fill="auto"/>
            <w:vAlign w:val="bottom"/>
          </w:tcPr>
          <w:p w14:paraId="42846F4D" w14:textId="5A9BD421"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DAEBC21" w14:textId="2725D79F" w:rsidR="00B33D8D" w:rsidRPr="001D41EA" w:rsidRDefault="00B33D8D" w:rsidP="001D41EA">
            <w:pPr>
              <w:spacing w:before="40" w:after="20"/>
              <w:jc w:val="right"/>
              <w:rPr>
                <w:rFonts w:cs="Arial"/>
                <w:sz w:val="18"/>
                <w:szCs w:val="18"/>
              </w:rPr>
            </w:pPr>
            <w:r w:rsidRPr="001D41EA">
              <w:rPr>
                <w:rFonts w:cs="Arial"/>
                <w:sz w:val="18"/>
                <w:szCs w:val="18"/>
              </w:rPr>
              <w:t>11,809</w:t>
            </w:r>
          </w:p>
        </w:tc>
        <w:tc>
          <w:tcPr>
            <w:tcW w:w="1247" w:type="dxa"/>
            <w:tcBorders>
              <w:top w:val="nil"/>
              <w:left w:val="nil"/>
              <w:bottom w:val="nil"/>
              <w:right w:val="nil"/>
            </w:tcBorders>
            <w:shd w:val="clear" w:color="auto" w:fill="auto"/>
            <w:vAlign w:val="bottom"/>
          </w:tcPr>
          <w:p w14:paraId="6374320D" w14:textId="71CDBC3C" w:rsidR="00B33D8D" w:rsidRPr="001D41EA" w:rsidRDefault="00B33D8D" w:rsidP="001D41EA">
            <w:pPr>
              <w:spacing w:before="40" w:after="20"/>
              <w:jc w:val="right"/>
              <w:rPr>
                <w:rFonts w:cs="Arial"/>
                <w:sz w:val="18"/>
                <w:szCs w:val="18"/>
              </w:rPr>
            </w:pPr>
            <w:r w:rsidRPr="001D41EA">
              <w:rPr>
                <w:rFonts w:cs="Arial"/>
                <w:sz w:val="18"/>
                <w:szCs w:val="18"/>
              </w:rPr>
              <w:t>6.7</w:t>
            </w:r>
          </w:p>
        </w:tc>
      </w:tr>
      <w:tr w:rsidR="00B33D8D" w:rsidRPr="001D41EA" w14:paraId="712FFA1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1066BEE" w14:textId="77777777" w:rsidR="00B33D8D" w:rsidRPr="001D41EA" w:rsidRDefault="00B33D8D" w:rsidP="001D41EA">
            <w:pPr>
              <w:spacing w:before="40" w:after="20"/>
              <w:rPr>
                <w:rFonts w:cs="Arial"/>
                <w:sz w:val="18"/>
                <w:szCs w:val="18"/>
              </w:rPr>
            </w:pPr>
            <w:r w:rsidRPr="001D41EA">
              <w:rPr>
                <w:rFonts w:cs="Arial"/>
                <w:sz w:val="18"/>
                <w:szCs w:val="18"/>
              </w:rPr>
              <w:t>Whittlesea C</w:t>
            </w:r>
          </w:p>
        </w:tc>
        <w:tc>
          <w:tcPr>
            <w:tcW w:w="1247" w:type="dxa"/>
            <w:tcBorders>
              <w:top w:val="nil"/>
              <w:left w:val="single" w:sz="18" w:space="0" w:color="5F497A" w:themeColor="accent4" w:themeShade="BF"/>
              <w:bottom w:val="nil"/>
              <w:right w:val="nil"/>
            </w:tcBorders>
            <w:shd w:val="clear" w:color="auto" w:fill="auto"/>
            <w:vAlign w:val="bottom"/>
          </w:tcPr>
          <w:p w14:paraId="7E676399" w14:textId="7CBB42F4" w:rsidR="00B33D8D" w:rsidRPr="001D41EA" w:rsidRDefault="00B33D8D" w:rsidP="001D41EA">
            <w:pPr>
              <w:spacing w:before="40" w:after="20"/>
              <w:jc w:val="right"/>
              <w:rPr>
                <w:rFonts w:cs="Arial"/>
                <w:sz w:val="18"/>
                <w:szCs w:val="18"/>
              </w:rPr>
            </w:pPr>
            <w:r w:rsidRPr="001D41EA">
              <w:rPr>
                <w:rFonts w:cs="Arial"/>
                <w:sz w:val="18"/>
                <w:szCs w:val="18"/>
              </w:rPr>
              <w:t>186,843</w:t>
            </w:r>
          </w:p>
        </w:tc>
        <w:tc>
          <w:tcPr>
            <w:tcW w:w="1247" w:type="dxa"/>
            <w:tcBorders>
              <w:top w:val="nil"/>
              <w:left w:val="nil"/>
              <w:bottom w:val="nil"/>
              <w:right w:val="nil"/>
            </w:tcBorders>
            <w:vAlign w:val="bottom"/>
          </w:tcPr>
          <w:p w14:paraId="5F64D220" w14:textId="37047FE7" w:rsidR="00B33D8D" w:rsidRPr="001D41EA" w:rsidRDefault="00B33D8D" w:rsidP="001D41EA">
            <w:pPr>
              <w:spacing w:before="40" w:after="20"/>
              <w:jc w:val="right"/>
              <w:rPr>
                <w:rFonts w:cs="Arial"/>
                <w:sz w:val="18"/>
                <w:szCs w:val="18"/>
              </w:rPr>
            </w:pPr>
            <w:r w:rsidRPr="001D41EA">
              <w:rPr>
                <w:rFonts w:cs="Arial"/>
                <w:sz w:val="18"/>
                <w:szCs w:val="18"/>
              </w:rPr>
              <w:t>223,322</w:t>
            </w:r>
          </w:p>
        </w:tc>
        <w:tc>
          <w:tcPr>
            <w:tcW w:w="1247" w:type="dxa"/>
            <w:tcBorders>
              <w:top w:val="nil"/>
              <w:left w:val="nil"/>
              <w:bottom w:val="nil"/>
              <w:right w:val="nil"/>
            </w:tcBorders>
            <w:shd w:val="clear" w:color="auto" w:fill="auto"/>
            <w:vAlign w:val="bottom"/>
          </w:tcPr>
          <w:p w14:paraId="39DE050B" w14:textId="42ABA519" w:rsidR="00B33D8D" w:rsidRPr="001D41EA" w:rsidRDefault="00B33D8D" w:rsidP="001D41EA">
            <w:pPr>
              <w:spacing w:before="40" w:after="20"/>
              <w:jc w:val="right"/>
              <w:rPr>
                <w:rFonts w:cs="Arial"/>
                <w:sz w:val="18"/>
                <w:szCs w:val="18"/>
              </w:rPr>
            </w:pPr>
            <w:r w:rsidRPr="001D41EA">
              <w:rPr>
                <w:rFonts w:cs="Arial"/>
                <w:sz w:val="18"/>
                <w:szCs w:val="18"/>
              </w:rPr>
              <w:t>19.5</w:t>
            </w:r>
          </w:p>
        </w:tc>
        <w:tc>
          <w:tcPr>
            <w:tcW w:w="170" w:type="dxa"/>
            <w:tcBorders>
              <w:top w:val="nil"/>
              <w:left w:val="nil"/>
              <w:bottom w:val="nil"/>
              <w:right w:val="nil"/>
            </w:tcBorders>
            <w:shd w:val="clear" w:color="auto" w:fill="auto"/>
            <w:vAlign w:val="bottom"/>
          </w:tcPr>
          <w:p w14:paraId="157454A9" w14:textId="4DE9844D"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2AE08CD2" w14:textId="12855E1C" w:rsidR="00B33D8D" w:rsidRPr="001D41EA" w:rsidRDefault="00B33D8D" w:rsidP="001D41EA">
            <w:pPr>
              <w:spacing w:before="40" w:after="20"/>
              <w:jc w:val="right"/>
              <w:rPr>
                <w:rFonts w:cs="Arial"/>
                <w:sz w:val="18"/>
                <w:szCs w:val="18"/>
              </w:rPr>
            </w:pPr>
            <w:r w:rsidRPr="001D41EA">
              <w:rPr>
                <w:rFonts w:cs="Arial"/>
                <w:sz w:val="18"/>
                <w:szCs w:val="18"/>
              </w:rPr>
              <w:t>22,106</w:t>
            </w:r>
          </w:p>
        </w:tc>
        <w:tc>
          <w:tcPr>
            <w:tcW w:w="1247" w:type="dxa"/>
            <w:tcBorders>
              <w:top w:val="nil"/>
              <w:left w:val="nil"/>
              <w:bottom w:val="nil"/>
              <w:right w:val="nil"/>
            </w:tcBorders>
            <w:shd w:val="clear" w:color="auto" w:fill="auto"/>
            <w:vAlign w:val="bottom"/>
          </w:tcPr>
          <w:p w14:paraId="03871B53" w14:textId="21780D60" w:rsidR="00B33D8D" w:rsidRPr="001D41EA" w:rsidRDefault="00B33D8D" w:rsidP="001D41EA">
            <w:pPr>
              <w:spacing w:before="40" w:after="20"/>
              <w:jc w:val="right"/>
              <w:rPr>
                <w:rFonts w:cs="Arial"/>
                <w:sz w:val="18"/>
                <w:szCs w:val="18"/>
              </w:rPr>
            </w:pPr>
            <w:r w:rsidRPr="001D41EA">
              <w:rPr>
                <w:rFonts w:cs="Arial"/>
                <w:sz w:val="18"/>
                <w:szCs w:val="18"/>
              </w:rPr>
              <w:t>9.9</w:t>
            </w:r>
          </w:p>
        </w:tc>
      </w:tr>
      <w:tr w:rsidR="00B33D8D" w:rsidRPr="001D41EA" w14:paraId="68C8F011" w14:textId="77777777" w:rsidTr="00CA09E3">
        <w:trPr>
          <w:trHeight w:val="80"/>
        </w:trPr>
        <w:tc>
          <w:tcPr>
            <w:tcW w:w="2268" w:type="dxa"/>
            <w:tcBorders>
              <w:top w:val="nil"/>
              <w:left w:val="nil"/>
              <w:bottom w:val="nil"/>
              <w:right w:val="single" w:sz="18" w:space="0" w:color="5F497A" w:themeColor="accent4" w:themeShade="BF"/>
            </w:tcBorders>
            <w:shd w:val="clear" w:color="auto" w:fill="auto"/>
            <w:vAlign w:val="center"/>
          </w:tcPr>
          <w:p w14:paraId="589B4F3A" w14:textId="77777777" w:rsidR="00B33D8D" w:rsidRPr="001D41EA" w:rsidRDefault="00B33D8D" w:rsidP="001D41EA">
            <w:pPr>
              <w:spacing w:before="40" w:after="20"/>
              <w:rPr>
                <w:rFonts w:cs="Arial"/>
                <w:sz w:val="18"/>
                <w:szCs w:val="18"/>
              </w:rPr>
            </w:pPr>
            <w:r w:rsidRPr="001D41EA">
              <w:rPr>
                <w:rFonts w:cs="Arial"/>
                <w:sz w:val="18"/>
                <w:szCs w:val="18"/>
              </w:rPr>
              <w:t>Wodonga C</w:t>
            </w:r>
          </w:p>
        </w:tc>
        <w:tc>
          <w:tcPr>
            <w:tcW w:w="1247" w:type="dxa"/>
            <w:tcBorders>
              <w:top w:val="nil"/>
              <w:left w:val="single" w:sz="18" w:space="0" w:color="5F497A" w:themeColor="accent4" w:themeShade="BF"/>
              <w:bottom w:val="nil"/>
              <w:right w:val="nil"/>
            </w:tcBorders>
            <w:shd w:val="clear" w:color="auto" w:fill="auto"/>
            <w:vAlign w:val="bottom"/>
          </w:tcPr>
          <w:p w14:paraId="593B4780" w14:textId="15A5CE01" w:rsidR="00B33D8D" w:rsidRPr="001D41EA" w:rsidRDefault="00B33D8D" w:rsidP="001D41EA">
            <w:pPr>
              <w:spacing w:before="40" w:after="20"/>
              <w:jc w:val="right"/>
              <w:rPr>
                <w:rFonts w:cs="Arial"/>
                <w:sz w:val="18"/>
                <w:szCs w:val="18"/>
              </w:rPr>
            </w:pPr>
            <w:r w:rsidRPr="001D41EA">
              <w:rPr>
                <w:rFonts w:cs="Arial"/>
                <w:sz w:val="18"/>
                <w:szCs w:val="18"/>
              </w:rPr>
              <w:t>38,067</w:t>
            </w:r>
          </w:p>
        </w:tc>
        <w:tc>
          <w:tcPr>
            <w:tcW w:w="1247" w:type="dxa"/>
            <w:tcBorders>
              <w:top w:val="nil"/>
              <w:left w:val="nil"/>
              <w:bottom w:val="nil"/>
              <w:right w:val="nil"/>
            </w:tcBorders>
            <w:vAlign w:val="bottom"/>
          </w:tcPr>
          <w:p w14:paraId="5232D4C3" w14:textId="14DCC3B3" w:rsidR="00B33D8D" w:rsidRPr="001D41EA" w:rsidRDefault="00B33D8D" w:rsidP="001D41EA">
            <w:pPr>
              <w:spacing w:before="40" w:after="20"/>
              <w:jc w:val="right"/>
              <w:rPr>
                <w:rFonts w:cs="Arial"/>
                <w:sz w:val="18"/>
                <w:szCs w:val="18"/>
              </w:rPr>
            </w:pPr>
            <w:r w:rsidRPr="001D41EA">
              <w:rPr>
                <w:rFonts w:cs="Arial"/>
                <w:sz w:val="18"/>
                <w:szCs w:val="18"/>
              </w:rPr>
              <w:t>41,429</w:t>
            </w:r>
          </w:p>
        </w:tc>
        <w:tc>
          <w:tcPr>
            <w:tcW w:w="1247" w:type="dxa"/>
            <w:tcBorders>
              <w:top w:val="nil"/>
              <w:left w:val="nil"/>
              <w:bottom w:val="nil"/>
              <w:right w:val="nil"/>
            </w:tcBorders>
            <w:shd w:val="clear" w:color="auto" w:fill="auto"/>
            <w:vAlign w:val="bottom"/>
          </w:tcPr>
          <w:p w14:paraId="03191FD3" w14:textId="744C5A81" w:rsidR="00B33D8D" w:rsidRPr="001D41EA" w:rsidRDefault="00B33D8D" w:rsidP="001D41EA">
            <w:pPr>
              <w:spacing w:before="40" w:after="20"/>
              <w:jc w:val="right"/>
              <w:rPr>
                <w:rFonts w:cs="Arial"/>
                <w:sz w:val="18"/>
                <w:szCs w:val="18"/>
              </w:rPr>
            </w:pPr>
            <w:r w:rsidRPr="001D41EA">
              <w:rPr>
                <w:rFonts w:cs="Arial"/>
                <w:sz w:val="18"/>
                <w:szCs w:val="18"/>
              </w:rPr>
              <w:t>8.8</w:t>
            </w:r>
          </w:p>
        </w:tc>
        <w:tc>
          <w:tcPr>
            <w:tcW w:w="170" w:type="dxa"/>
            <w:tcBorders>
              <w:top w:val="nil"/>
              <w:left w:val="nil"/>
              <w:bottom w:val="nil"/>
              <w:right w:val="nil"/>
            </w:tcBorders>
            <w:shd w:val="clear" w:color="auto" w:fill="auto"/>
            <w:vAlign w:val="bottom"/>
          </w:tcPr>
          <w:p w14:paraId="75E6931A" w14:textId="3038F4B6"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29A64828" w14:textId="1410A8AF" w:rsidR="00B33D8D" w:rsidRPr="001D41EA" w:rsidRDefault="00B33D8D" w:rsidP="001D41EA">
            <w:pPr>
              <w:spacing w:before="40" w:after="20"/>
              <w:jc w:val="right"/>
              <w:rPr>
                <w:rFonts w:cs="Arial"/>
                <w:sz w:val="18"/>
                <w:szCs w:val="18"/>
              </w:rPr>
            </w:pPr>
            <w:r w:rsidRPr="001D41EA">
              <w:rPr>
                <w:rFonts w:cs="Arial"/>
                <w:sz w:val="18"/>
                <w:szCs w:val="18"/>
              </w:rPr>
              <w:t>3,690</w:t>
            </w:r>
          </w:p>
        </w:tc>
        <w:tc>
          <w:tcPr>
            <w:tcW w:w="1247" w:type="dxa"/>
            <w:tcBorders>
              <w:top w:val="nil"/>
              <w:left w:val="nil"/>
              <w:bottom w:val="nil"/>
              <w:right w:val="nil"/>
            </w:tcBorders>
            <w:shd w:val="clear" w:color="auto" w:fill="auto"/>
            <w:vAlign w:val="bottom"/>
          </w:tcPr>
          <w:p w14:paraId="6B2AECBD" w14:textId="5E240EC0" w:rsidR="00B33D8D" w:rsidRPr="001D41EA" w:rsidRDefault="00B33D8D" w:rsidP="001D41EA">
            <w:pPr>
              <w:spacing w:before="40" w:after="20"/>
              <w:jc w:val="right"/>
              <w:rPr>
                <w:rFonts w:cs="Arial"/>
                <w:sz w:val="18"/>
                <w:szCs w:val="18"/>
              </w:rPr>
            </w:pPr>
            <w:r w:rsidRPr="001D41EA">
              <w:rPr>
                <w:rFonts w:cs="Arial"/>
                <w:sz w:val="18"/>
                <w:szCs w:val="18"/>
              </w:rPr>
              <w:t>8.9</w:t>
            </w:r>
          </w:p>
        </w:tc>
      </w:tr>
      <w:tr w:rsidR="00B33D8D" w:rsidRPr="001D41EA" w14:paraId="48CA9635"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FAE9B1B" w14:textId="77777777" w:rsidR="00B33D8D" w:rsidRPr="001D41EA" w:rsidRDefault="00B33D8D" w:rsidP="001D41EA">
            <w:pPr>
              <w:spacing w:before="40" w:after="20"/>
              <w:rPr>
                <w:rFonts w:cs="Arial"/>
                <w:sz w:val="18"/>
                <w:szCs w:val="18"/>
              </w:rPr>
            </w:pPr>
            <w:r w:rsidRPr="001D41EA">
              <w:rPr>
                <w:rFonts w:cs="Arial"/>
                <w:sz w:val="18"/>
                <w:szCs w:val="18"/>
              </w:rPr>
              <w:t>Wyndham C</w:t>
            </w:r>
          </w:p>
        </w:tc>
        <w:tc>
          <w:tcPr>
            <w:tcW w:w="1247" w:type="dxa"/>
            <w:tcBorders>
              <w:top w:val="nil"/>
              <w:left w:val="single" w:sz="18" w:space="0" w:color="5F497A" w:themeColor="accent4" w:themeShade="BF"/>
              <w:bottom w:val="nil"/>
              <w:right w:val="nil"/>
            </w:tcBorders>
            <w:shd w:val="clear" w:color="auto" w:fill="auto"/>
            <w:vAlign w:val="bottom"/>
          </w:tcPr>
          <w:p w14:paraId="68816054" w14:textId="2856B90A" w:rsidR="00B33D8D" w:rsidRPr="001D41EA" w:rsidRDefault="00B33D8D" w:rsidP="001D41EA">
            <w:pPr>
              <w:spacing w:before="40" w:after="20"/>
              <w:jc w:val="right"/>
              <w:rPr>
                <w:rFonts w:cs="Arial"/>
                <w:sz w:val="18"/>
                <w:szCs w:val="18"/>
              </w:rPr>
            </w:pPr>
            <w:r w:rsidRPr="001D41EA">
              <w:rPr>
                <w:rFonts w:cs="Arial"/>
                <w:sz w:val="18"/>
                <w:szCs w:val="18"/>
              </w:rPr>
              <w:t>199,645</w:t>
            </w:r>
          </w:p>
        </w:tc>
        <w:tc>
          <w:tcPr>
            <w:tcW w:w="1247" w:type="dxa"/>
            <w:tcBorders>
              <w:top w:val="nil"/>
              <w:left w:val="nil"/>
              <w:bottom w:val="nil"/>
              <w:right w:val="nil"/>
            </w:tcBorders>
            <w:vAlign w:val="bottom"/>
          </w:tcPr>
          <w:p w14:paraId="46596ABB" w14:textId="22056D95" w:rsidR="00B33D8D" w:rsidRPr="001D41EA" w:rsidRDefault="00B33D8D" w:rsidP="001D41EA">
            <w:pPr>
              <w:spacing w:before="40" w:after="20"/>
              <w:jc w:val="right"/>
              <w:rPr>
                <w:rFonts w:cs="Arial"/>
                <w:sz w:val="18"/>
                <w:szCs w:val="18"/>
              </w:rPr>
            </w:pPr>
            <w:r w:rsidRPr="001D41EA">
              <w:rPr>
                <w:rFonts w:cs="Arial"/>
                <w:sz w:val="18"/>
                <w:szCs w:val="18"/>
              </w:rPr>
              <w:t>255,322</w:t>
            </w:r>
          </w:p>
        </w:tc>
        <w:tc>
          <w:tcPr>
            <w:tcW w:w="1247" w:type="dxa"/>
            <w:tcBorders>
              <w:top w:val="nil"/>
              <w:left w:val="nil"/>
              <w:bottom w:val="nil"/>
              <w:right w:val="nil"/>
            </w:tcBorders>
            <w:shd w:val="clear" w:color="auto" w:fill="auto"/>
            <w:vAlign w:val="bottom"/>
          </w:tcPr>
          <w:p w14:paraId="6F605735" w14:textId="4549A267" w:rsidR="00B33D8D" w:rsidRPr="001D41EA" w:rsidRDefault="00B33D8D" w:rsidP="001D41EA">
            <w:pPr>
              <w:spacing w:before="40" w:after="20"/>
              <w:jc w:val="right"/>
              <w:rPr>
                <w:rFonts w:cs="Arial"/>
                <w:sz w:val="18"/>
                <w:szCs w:val="18"/>
              </w:rPr>
            </w:pPr>
            <w:r w:rsidRPr="001D41EA">
              <w:rPr>
                <w:rFonts w:cs="Arial"/>
                <w:sz w:val="18"/>
                <w:szCs w:val="18"/>
              </w:rPr>
              <w:t>27.9</w:t>
            </w:r>
          </w:p>
        </w:tc>
        <w:tc>
          <w:tcPr>
            <w:tcW w:w="170" w:type="dxa"/>
            <w:tcBorders>
              <w:top w:val="nil"/>
              <w:left w:val="nil"/>
              <w:bottom w:val="nil"/>
              <w:right w:val="nil"/>
            </w:tcBorders>
            <w:shd w:val="clear" w:color="auto" w:fill="auto"/>
            <w:vAlign w:val="bottom"/>
          </w:tcPr>
          <w:p w14:paraId="5DFE6CD6" w14:textId="34E828E1"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04A22CD5" w14:textId="497502F3" w:rsidR="00B33D8D" w:rsidRPr="001D41EA" w:rsidRDefault="00B33D8D" w:rsidP="001D41EA">
            <w:pPr>
              <w:spacing w:before="40" w:after="20"/>
              <w:jc w:val="right"/>
              <w:rPr>
                <w:rFonts w:cs="Arial"/>
                <w:sz w:val="18"/>
                <w:szCs w:val="18"/>
              </w:rPr>
            </w:pPr>
            <w:r w:rsidRPr="001D41EA">
              <w:rPr>
                <w:rFonts w:cs="Arial"/>
                <w:sz w:val="18"/>
                <w:szCs w:val="18"/>
              </w:rPr>
              <w:t>30,174</w:t>
            </w:r>
          </w:p>
        </w:tc>
        <w:tc>
          <w:tcPr>
            <w:tcW w:w="1247" w:type="dxa"/>
            <w:tcBorders>
              <w:top w:val="nil"/>
              <w:left w:val="nil"/>
              <w:bottom w:val="nil"/>
              <w:right w:val="nil"/>
            </w:tcBorders>
            <w:shd w:val="clear" w:color="auto" w:fill="auto"/>
            <w:vAlign w:val="bottom"/>
          </w:tcPr>
          <w:p w14:paraId="5C9E87BF" w14:textId="28FEFB7F" w:rsidR="00B33D8D" w:rsidRPr="001D41EA" w:rsidRDefault="00B33D8D" w:rsidP="001D41EA">
            <w:pPr>
              <w:spacing w:before="40" w:after="20"/>
              <w:jc w:val="right"/>
              <w:rPr>
                <w:rFonts w:cs="Arial"/>
                <w:sz w:val="18"/>
                <w:szCs w:val="18"/>
              </w:rPr>
            </w:pPr>
            <w:r w:rsidRPr="001D41EA">
              <w:rPr>
                <w:rFonts w:cs="Arial"/>
                <w:sz w:val="18"/>
                <w:szCs w:val="18"/>
              </w:rPr>
              <w:t>11.8</w:t>
            </w:r>
          </w:p>
        </w:tc>
      </w:tr>
      <w:tr w:rsidR="00B33D8D" w:rsidRPr="001D41EA" w14:paraId="6A3D2C4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EF157B5" w14:textId="77777777" w:rsidR="00B33D8D" w:rsidRPr="001D41EA" w:rsidRDefault="00B33D8D" w:rsidP="001D41EA">
            <w:pPr>
              <w:spacing w:before="40" w:after="20"/>
              <w:rPr>
                <w:rFonts w:cs="Arial"/>
                <w:sz w:val="18"/>
                <w:szCs w:val="18"/>
              </w:rPr>
            </w:pPr>
            <w:r w:rsidRPr="001D41EA">
              <w:rPr>
                <w:rFonts w:cs="Arial"/>
                <w:sz w:val="18"/>
                <w:szCs w:val="18"/>
              </w:rPr>
              <w:t>Yarra C</w:t>
            </w:r>
          </w:p>
        </w:tc>
        <w:tc>
          <w:tcPr>
            <w:tcW w:w="1247" w:type="dxa"/>
            <w:tcBorders>
              <w:top w:val="nil"/>
              <w:left w:val="single" w:sz="18" w:space="0" w:color="5F497A" w:themeColor="accent4" w:themeShade="BF"/>
              <w:bottom w:val="nil"/>
              <w:right w:val="nil"/>
            </w:tcBorders>
            <w:shd w:val="clear" w:color="auto" w:fill="auto"/>
            <w:vAlign w:val="bottom"/>
          </w:tcPr>
          <w:p w14:paraId="2BBE762C" w14:textId="5902FB18" w:rsidR="00B33D8D" w:rsidRPr="001D41EA" w:rsidRDefault="00B33D8D" w:rsidP="001D41EA">
            <w:pPr>
              <w:spacing w:before="40" w:after="20"/>
              <w:jc w:val="right"/>
              <w:rPr>
                <w:rFonts w:cs="Arial"/>
                <w:sz w:val="18"/>
                <w:szCs w:val="18"/>
              </w:rPr>
            </w:pPr>
            <w:r w:rsidRPr="001D41EA">
              <w:rPr>
                <w:rFonts w:cs="Arial"/>
                <w:sz w:val="18"/>
                <w:szCs w:val="18"/>
              </w:rPr>
              <w:t>86,377</w:t>
            </w:r>
          </w:p>
        </w:tc>
        <w:tc>
          <w:tcPr>
            <w:tcW w:w="1247" w:type="dxa"/>
            <w:tcBorders>
              <w:top w:val="nil"/>
              <w:left w:val="nil"/>
              <w:bottom w:val="nil"/>
              <w:right w:val="nil"/>
            </w:tcBorders>
            <w:vAlign w:val="bottom"/>
          </w:tcPr>
          <w:p w14:paraId="44C85166" w14:textId="6267BE41" w:rsidR="00B33D8D" w:rsidRPr="001D41EA" w:rsidRDefault="00B33D8D" w:rsidP="001D41EA">
            <w:pPr>
              <w:spacing w:before="40" w:after="20"/>
              <w:jc w:val="right"/>
              <w:rPr>
                <w:rFonts w:cs="Arial"/>
                <w:sz w:val="18"/>
                <w:szCs w:val="18"/>
              </w:rPr>
            </w:pPr>
            <w:r w:rsidRPr="001D41EA">
              <w:rPr>
                <w:rFonts w:cs="Arial"/>
                <w:sz w:val="18"/>
                <w:szCs w:val="18"/>
              </w:rPr>
              <w:t>98,521</w:t>
            </w:r>
          </w:p>
        </w:tc>
        <w:tc>
          <w:tcPr>
            <w:tcW w:w="1247" w:type="dxa"/>
            <w:tcBorders>
              <w:top w:val="nil"/>
              <w:left w:val="nil"/>
              <w:bottom w:val="nil"/>
              <w:right w:val="nil"/>
            </w:tcBorders>
            <w:shd w:val="clear" w:color="auto" w:fill="auto"/>
            <w:vAlign w:val="bottom"/>
          </w:tcPr>
          <w:p w14:paraId="53E7809C" w14:textId="40FAAB17" w:rsidR="00B33D8D" w:rsidRPr="001D41EA" w:rsidRDefault="00B33D8D" w:rsidP="001D41EA">
            <w:pPr>
              <w:spacing w:before="40" w:after="20"/>
              <w:jc w:val="right"/>
              <w:rPr>
                <w:rFonts w:cs="Arial"/>
                <w:sz w:val="18"/>
                <w:szCs w:val="18"/>
              </w:rPr>
            </w:pPr>
            <w:r w:rsidRPr="001D41EA">
              <w:rPr>
                <w:rFonts w:cs="Arial"/>
                <w:sz w:val="18"/>
                <w:szCs w:val="18"/>
              </w:rPr>
              <w:t>14.1</w:t>
            </w:r>
          </w:p>
        </w:tc>
        <w:tc>
          <w:tcPr>
            <w:tcW w:w="170" w:type="dxa"/>
            <w:tcBorders>
              <w:top w:val="nil"/>
              <w:left w:val="nil"/>
              <w:bottom w:val="nil"/>
              <w:right w:val="nil"/>
            </w:tcBorders>
            <w:shd w:val="clear" w:color="auto" w:fill="auto"/>
            <w:vAlign w:val="bottom"/>
          </w:tcPr>
          <w:p w14:paraId="733DB03E" w14:textId="6B826546"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209F36FB" w14:textId="0474190E" w:rsidR="00B33D8D" w:rsidRPr="001D41EA" w:rsidRDefault="00B33D8D" w:rsidP="001D41EA">
            <w:pPr>
              <w:spacing w:before="40" w:after="20"/>
              <w:jc w:val="right"/>
              <w:rPr>
                <w:rFonts w:cs="Arial"/>
                <w:sz w:val="18"/>
                <w:szCs w:val="18"/>
              </w:rPr>
            </w:pPr>
            <w:r w:rsidRPr="001D41EA">
              <w:rPr>
                <w:rFonts w:cs="Arial"/>
                <w:sz w:val="18"/>
                <w:szCs w:val="18"/>
              </w:rPr>
              <w:t>5,352</w:t>
            </w:r>
          </w:p>
        </w:tc>
        <w:tc>
          <w:tcPr>
            <w:tcW w:w="1247" w:type="dxa"/>
            <w:tcBorders>
              <w:top w:val="nil"/>
              <w:left w:val="nil"/>
              <w:bottom w:val="nil"/>
              <w:right w:val="nil"/>
            </w:tcBorders>
            <w:shd w:val="clear" w:color="auto" w:fill="auto"/>
            <w:vAlign w:val="bottom"/>
          </w:tcPr>
          <w:p w14:paraId="170D09C9" w14:textId="74F1F3D7" w:rsidR="00B33D8D" w:rsidRPr="001D41EA" w:rsidRDefault="00B33D8D" w:rsidP="001D41EA">
            <w:pPr>
              <w:spacing w:before="40" w:after="20"/>
              <w:jc w:val="right"/>
              <w:rPr>
                <w:rFonts w:cs="Arial"/>
                <w:sz w:val="18"/>
                <w:szCs w:val="18"/>
              </w:rPr>
            </w:pPr>
            <w:r w:rsidRPr="001D41EA">
              <w:rPr>
                <w:rFonts w:cs="Arial"/>
                <w:sz w:val="18"/>
                <w:szCs w:val="18"/>
              </w:rPr>
              <w:t>5.4</w:t>
            </w:r>
          </w:p>
        </w:tc>
      </w:tr>
      <w:tr w:rsidR="00B33D8D" w:rsidRPr="001D41EA" w14:paraId="32F5594C"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7D770FC" w14:textId="77777777" w:rsidR="00B33D8D" w:rsidRPr="001D41EA" w:rsidRDefault="00B33D8D" w:rsidP="001D41EA">
            <w:pPr>
              <w:spacing w:before="40" w:after="20"/>
              <w:rPr>
                <w:rFonts w:cs="Arial"/>
                <w:sz w:val="18"/>
                <w:szCs w:val="18"/>
              </w:rPr>
            </w:pPr>
            <w:r w:rsidRPr="001D41EA">
              <w:rPr>
                <w:rFonts w:cs="Arial"/>
                <w:sz w:val="18"/>
                <w:szCs w:val="18"/>
              </w:rPr>
              <w:t>Yarra Ranges S</w:t>
            </w:r>
          </w:p>
        </w:tc>
        <w:tc>
          <w:tcPr>
            <w:tcW w:w="1247" w:type="dxa"/>
            <w:tcBorders>
              <w:top w:val="nil"/>
              <w:left w:val="single" w:sz="18" w:space="0" w:color="5F497A" w:themeColor="accent4" w:themeShade="BF"/>
              <w:bottom w:val="nil"/>
              <w:right w:val="nil"/>
            </w:tcBorders>
            <w:shd w:val="clear" w:color="auto" w:fill="auto"/>
            <w:vAlign w:val="bottom"/>
          </w:tcPr>
          <w:p w14:paraId="2F16564E" w14:textId="0124836F" w:rsidR="00B33D8D" w:rsidRPr="001D41EA" w:rsidRDefault="00B33D8D" w:rsidP="001D41EA">
            <w:pPr>
              <w:spacing w:before="40" w:after="20"/>
              <w:jc w:val="right"/>
              <w:rPr>
                <w:rFonts w:cs="Arial"/>
                <w:sz w:val="18"/>
                <w:szCs w:val="18"/>
              </w:rPr>
            </w:pPr>
            <w:r w:rsidRPr="001D41EA">
              <w:rPr>
                <w:rFonts w:cs="Arial"/>
                <w:sz w:val="18"/>
                <w:szCs w:val="18"/>
              </w:rPr>
              <w:t>150,036</w:t>
            </w:r>
          </w:p>
        </w:tc>
        <w:tc>
          <w:tcPr>
            <w:tcW w:w="1247" w:type="dxa"/>
            <w:tcBorders>
              <w:top w:val="nil"/>
              <w:left w:val="nil"/>
              <w:bottom w:val="nil"/>
              <w:right w:val="nil"/>
            </w:tcBorders>
            <w:vAlign w:val="bottom"/>
          </w:tcPr>
          <w:p w14:paraId="06F9B140" w14:textId="70D2E468" w:rsidR="00B33D8D" w:rsidRPr="001D41EA" w:rsidRDefault="00B33D8D" w:rsidP="001D41EA">
            <w:pPr>
              <w:spacing w:before="40" w:after="20"/>
              <w:jc w:val="right"/>
              <w:rPr>
                <w:rFonts w:cs="Arial"/>
                <w:sz w:val="18"/>
                <w:szCs w:val="18"/>
              </w:rPr>
            </w:pPr>
            <w:r w:rsidRPr="001D41EA">
              <w:rPr>
                <w:rFonts w:cs="Arial"/>
                <w:sz w:val="18"/>
                <w:szCs w:val="18"/>
              </w:rPr>
              <w:t>158,173</w:t>
            </w:r>
          </w:p>
        </w:tc>
        <w:tc>
          <w:tcPr>
            <w:tcW w:w="1247" w:type="dxa"/>
            <w:tcBorders>
              <w:top w:val="nil"/>
              <w:left w:val="nil"/>
              <w:bottom w:val="nil"/>
              <w:right w:val="nil"/>
            </w:tcBorders>
            <w:shd w:val="clear" w:color="auto" w:fill="auto"/>
            <w:vAlign w:val="bottom"/>
          </w:tcPr>
          <w:p w14:paraId="34119F98" w14:textId="659154A1" w:rsidR="00B33D8D" w:rsidRPr="001D41EA" w:rsidRDefault="00B33D8D" w:rsidP="001D41EA">
            <w:pPr>
              <w:spacing w:before="40" w:after="20"/>
              <w:jc w:val="right"/>
              <w:rPr>
                <w:rFonts w:cs="Arial"/>
                <w:sz w:val="18"/>
                <w:szCs w:val="18"/>
              </w:rPr>
            </w:pPr>
            <w:r w:rsidRPr="001D41EA">
              <w:rPr>
                <w:rFonts w:cs="Arial"/>
                <w:sz w:val="18"/>
                <w:szCs w:val="18"/>
              </w:rPr>
              <w:t>5.4</w:t>
            </w:r>
          </w:p>
        </w:tc>
        <w:tc>
          <w:tcPr>
            <w:tcW w:w="170" w:type="dxa"/>
            <w:tcBorders>
              <w:top w:val="nil"/>
              <w:left w:val="nil"/>
              <w:bottom w:val="nil"/>
              <w:right w:val="nil"/>
            </w:tcBorders>
            <w:shd w:val="clear" w:color="auto" w:fill="auto"/>
            <w:vAlign w:val="bottom"/>
          </w:tcPr>
          <w:p w14:paraId="23245EAA" w14:textId="13688A9E"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45506E6F" w14:textId="2C9A98FB" w:rsidR="00B33D8D" w:rsidRPr="001D41EA" w:rsidRDefault="00B33D8D" w:rsidP="001D41EA">
            <w:pPr>
              <w:spacing w:before="40" w:after="20"/>
              <w:jc w:val="right"/>
              <w:rPr>
                <w:rFonts w:cs="Arial"/>
                <w:sz w:val="18"/>
                <w:szCs w:val="18"/>
              </w:rPr>
            </w:pPr>
            <w:r w:rsidRPr="001D41EA">
              <w:rPr>
                <w:rFonts w:cs="Arial"/>
                <w:sz w:val="18"/>
                <w:szCs w:val="18"/>
              </w:rPr>
              <w:t>12,060</w:t>
            </w:r>
          </w:p>
        </w:tc>
        <w:tc>
          <w:tcPr>
            <w:tcW w:w="1247" w:type="dxa"/>
            <w:tcBorders>
              <w:top w:val="nil"/>
              <w:left w:val="nil"/>
              <w:bottom w:val="nil"/>
              <w:right w:val="nil"/>
            </w:tcBorders>
            <w:shd w:val="clear" w:color="auto" w:fill="auto"/>
            <w:vAlign w:val="bottom"/>
          </w:tcPr>
          <w:p w14:paraId="39A96786" w14:textId="41EB96E5" w:rsidR="00B33D8D" w:rsidRPr="001D41EA" w:rsidRDefault="00B33D8D" w:rsidP="001D41EA">
            <w:pPr>
              <w:spacing w:before="40" w:after="20"/>
              <w:jc w:val="right"/>
              <w:rPr>
                <w:rFonts w:cs="Arial"/>
                <w:sz w:val="18"/>
                <w:szCs w:val="18"/>
              </w:rPr>
            </w:pPr>
            <w:r w:rsidRPr="001D41EA">
              <w:rPr>
                <w:rFonts w:cs="Arial"/>
                <w:sz w:val="18"/>
                <w:szCs w:val="18"/>
              </w:rPr>
              <w:t>7.6</w:t>
            </w:r>
          </w:p>
        </w:tc>
      </w:tr>
      <w:tr w:rsidR="00B33D8D" w:rsidRPr="001D41EA" w14:paraId="6F0C576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96F7561" w14:textId="77777777" w:rsidR="00B33D8D" w:rsidRPr="001D41EA" w:rsidRDefault="00B33D8D" w:rsidP="001D41EA">
            <w:pPr>
              <w:spacing w:before="40" w:after="20"/>
              <w:rPr>
                <w:rFonts w:cs="Arial"/>
                <w:sz w:val="18"/>
                <w:szCs w:val="18"/>
              </w:rPr>
            </w:pPr>
            <w:r w:rsidRPr="001D41EA">
              <w:rPr>
                <w:rFonts w:cs="Arial"/>
                <w:sz w:val="18"/>
                <w:szCs w:val="18"/>
              </w:rPr>
              <w:t>Yarriambiack S</w:t>
            </w:r>
          </w:p>
        </w:tc>
        <w:tc>
          <w:tcPr>
            <w:tcW w:w="1247" w:type="dxa"/>
            <w:tcBorders>
              <w:top w:val="nil"/>
              <w:left w:val="single" w:sz="18" w:space="0" w:color="5F497A" w:themeColor="accent4" w:themeShade="BF"/>
              <w:bottom w:val="nil"/>
              <w:right w:val="nil"/>
            </w:tcBorders>
            <w:shd w:val="clear" w:color="auto" w:fill="auto"/>
            <w:vAlign w:val="bottom"/>
          </w:tcPr>
          <w:p w14:paraId="13F6C9A1" w14:textId="0608B480" w:rsidR="00B33D8D" w:rsidRPr="001D41EA" w:rsidRDefault="00B33D8D" w:rsidP="001D41EA">
            <w:pPr>
              <w:spacing w:before="40" w:after="20"/>
              <w:jc w:val="right"/>
              <w:rPr>
                <w:rFonts w:cs="Arial"/>
                <w:sz w:val="18"/>
                <w:szCs w:val="18"/>
              </w:rPr>
            </w:pPr>
            <w:r w:rsidRPr="001D41EA">
              <w:rPr>
                <w:rFonts w:cs="Arial"/>
                <w:sz w:val="18"/>
                <w:szCs w:val="18"/>
              </w:rPr>
              <w:t>6,884</w:t>
            </w:r>
          </w:p>
        </w:tc>
        <w:tc>
          <w:tcPr>
            <w:tcW w:w="1247" w:type="dxa"/>
            <w:tcBorders>
              <w:top w:val="nil"/>
              <w:left w:val="nil"/>
              <w:bottom w:val="nil"/>
              <w:right w:val="nil"/>
            </w:tcBorders>
            <w:vAlign w:val="bottom"/>
          </w:tcPr>
          <w:p w14:paraId="7DA1F296" w14:textId="170135CB" w:rsidR="00B33D8D" w:rsidRPr="001D41EA" w:rsidRDefault="00B33D8D" w:rsidP="001D41EA">
            <w:pPr>
              <w:spacing w:before="40" w:after="20"/>
              <w:jc w:val="right"/>
              <w:rPr>
                <w:rFonts w:cs="Arial"/>
                <w:sz w:val="18"/>
                <w:szCs w:val="18"/>
              </w:rPr>
            </w:pPr>
            <w:r w:rsidRPr="001D41EA">
              <w:rPr>
                <w:rFonts w:cs="Arial"/>
                <w:sz w:val="18"/>
                <w:szCs w:val="18"/>
              </w:rPr>
              <w:t>6,658</w:t>
            </w:r>
          </w:p>
        </w:tc>
        <w:tc>
          <w:tcPr>
            <w:tcW w:w="1247" w:type="dxa"/>
            <w:tcBorders>
              <w:top w:val="nil"/>
              <w:left w:val="nil"/>
              <w:bottom w:val="nil"/>
              <w:right w:val="nil"/>
            </w:tcBorders>
            <w:shd w:val="clear" w:color="auto" w:fill="auto"/>
            <w:vAlign w:val="bottom"/>
          </w:tcPr>
          <w:p w14:paraId="48E4612C" w14:textId="2479756E" w:rsidR="00B33D8D" w:rsidRPr="001D41EA" w:rsidRDefault="00B33D8D" w:rsidP="001D41EA">
            <w:pPr>
              <w:spacing w:before="40" w:after="20"/>
              <w:jc w:val="right"/>
              <w:rPr>
                <w:rFonts w:cs="Arial"/>
                <w:sz w:val="18"/>
                <w:szCs w:val="18"/>
              </w:rPr>
            </w:pPr>
            <w:r w:rsidRPr="001D41EA">
              <w:rPr>
                <w:rFonts w:cs="Arial"/>
                <w:sz w:val="18"/>
                <w:szCs w:val="18"/>
              </w:rPr>
              <w:t>-3.3</w:t>
            </w:r>
          </w:p>
        </w:tc>
        <w:tc>
          <w:tcPr>
            <w:tcW w:w="170" w:type="dxa"/>
            <w:tcBorders>
              <w:top w:val="nil"/>
              <w:left w:val="nil"/>
              <w:bottom w:val="nil"/>
              <w:right w:val="nil"/>
            </w:tcBorders>
            <w:shd w:val="clear" w:color="auto" w:fill="auto"/>
            <w:vAlign w:val="bottom"/>
          </w:tcPr>
          <w:p w14:paraId="7C70B869" w14:textId="629AB7C7" w:rsidR="00B33D8D" w:rsidRPr="001D41EA" w:rsidRDefault="00B33D8D" w:rsidP="001D41EA">
            <w:pPr>
              <w:spacing w:before="40" w:after="20"/>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0B5F95C6" w14:textId="64893DAF" w:rsidR="00B33D8D" w:rsidRPr="001D41EA" w:rsidRDefault="00B33D8D" w:rsidP="001D41EA">
            <w:pPr>
              <w:spacing w:before="40" w:after="20"/>
              <w:jc w:val="right"/>
              <w:rPr>
                <w:rFonts w:cs="Arial"/>
                <w:sz w:val="18"/>
                <w:szCs w:val="18"/>
              </w:rPr>
            </w:pPr>
            <w:r w:rsidRPr="001D41EA">
              <w:rPr>
                <w:rFonts w:cs="Arial"/>
                <w:sz w:val="18"/>
                <w:szCs w:val="18"/>
              </w:rPr>
              <w:t>376</w:t>
            </w:r>
          </w:p>
        </w:tc>
        <w:tc>
          <w:tcPr>
            <w:tcW w:w="1247" w:type="dxa"/>
            <w:tcBorders>
              <w:top w:val="nil"/>
              <w:left w:val="nil"/>
              <w:bottom w:val="nil"/>
              <w:right w:val="nil"/>
            </w:tcBorders>
            <w:shd w:val="clear" w:color="auto" w:fill="auto"/>
            <w:vAlign w:val="bottom"/>
          </w:tcPr>
          <w:p w14:paraId="6D0189B2" w14:textId="00104E1A" w:rsidR="00B33D8D" w:rsidRPr="001D41EA" w:rsidRDefault="00B33D8D" w:rsidP="001D41EA">
            <w:pPr>
              <w:spacing w:before="40" w:after="20"/>
              <w:jc w:val="right"/>
              <w:rPr>
                <w:rFonts w:cs="Arial"/>
                <w:sz w:val="18"/>
                <w:szCs w:val="18"/>
              </w:rPr>
            </w:pPr>
            <w:r w:rsidRPr="001D41EA">
              <w:rPr>
                <w:rFonts w:cs="Arial"/>
                <w:sz w:val="18"/>
                <w:szCs w:val="18"/>
              </w:rPr>
              <w:t>5.6</w:t>
            </w:r>
          </w:p>
        </w:tc>
      </w:tr>
      <w:tr w:rsidR="00B33D8D" w:rsidRPr="001D41EA" w14:paraId="437C9B26" w14:textId="77777777" w:rsidTr="00C60457">
        <w:tc>
          <w:tcPr>
            <w:tcW w:w="2268" w:type="dxa"/>
            <w:tcBorders>
              <w:top w:val="nil"/>
              <w:left w:val="nil"/>
              <w:bottom w:val="nil"/>
              <w:right w:val="single" w:sz="18" w:space="0" w:color="5F497A" w:themeColor="accent4" w:themeShade="BF"/>
            </w:tcBorders>
            <w:shd w:val="clear" w:color="auto" w:fill="auto"/>
            <w:vAlign w:val="center"/>
          </w:tcPr>
          <w:p w14:paraId="4782711F" w14:textId="77777777" w:rsidR="00B33D8D" w:rsidRPr="001D41EA" w:rsidRDefault="00B33D8D" w:rsidP="001D41EA">
            <w:pPr>
              <w:spacing w:before="40" w:after="20"/>
              <w:rPr>
                <w:rFonts w:cs="Arial"/>
                <w:sz w:val="18"/>
                <w:szCs w:val="18"/>
              </w:rPr>
            </w:pPr>
          </w:p>
        </w:tc>
        <w:tc>
          <w:tcPr>
            <w:tcW w:w="1247"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723A9697" w14:textId="0C90E1AA" w:rsidR="00B33D8D" w:rsidRPr="001D41EA" w:rsidRDefault="00B33D8D" w:rsidP="001D41EA">
            <w:pPr>
              <w:spacing w:before="40" w:after="20"/>
              <w:jc w:val="right"/>
              <w:rPr>
                <w:rFonts w:cs="Arial"/>
                <w:sz w:val="18"/>
                <w:szCs w:val="18"/>
              </w:rPr>
            </w:pPr>
            <w:r w:rsidRPr="001D41EA">
              <w:rPr>
                <w:rFonts w:cs="Arial"/>
                <w:sz w:val="18"/>
                <w:szCs w:val="18"/>
              </w:rPr>
              <w:t> </w:t>
            </w:r>
          </w:p>
        </w:tc>
        <w:tc>
          <w:tcPr>
            <w:tcW w:w="1247" w:type="dxa"/>
            <w:tcBorders>
              <w:top w:val="nil"/>
              <w:left w:val="nil"/>
              <w:bottom w:val="single" w:sz="8" w:space="0" w:color="5F497A" w:themeColor="accent4" w:themeShade="BF"/>
              <w:right w:val="nil"/>
            </w:tcBorders>
            <w:vAlign w:val="bottom"/>
          </w:tcPr>
          <w:p w14:paraId="4CB00103" w14:textId="77777777" w:rsidR="00B33D8D" w:rsidRPr="001D41EA" w:rsidRDefault="00B33D8D" w:rsidP="001D41EA">
            <w:pPr>
              <w:spacing w:before="40" w:after="20"/>
              <w:jc w:val="right"/>
              <w:rPr>
                <w:rFonts w:cs="Arial"/>
                <w:sz w:val="18"/>
                <w:szCs w:val="18"/>
              </w:rPr>
            </w:pPr>
          </w:p>
        </w:tc>
        <w:tc>
          <w:tcPr>
            <w:tcW w:w="1247" w:type="dxa"/>
            <w:tcBorders>
              <w:top w:val="nil"/>
              <w:left w:val="nil"/>
              <w:bottom w:val="single" w:sz="8" w:space="0" w:color="5F497A" w:themeColor="accent4" w:themeShade="BF"/>
              <w:right w:val="nil"/>
            </w:tcBorders>
            <w:shd w:val="clear" w:color="auto" w:fill="auto"/>
            <w:vAlign w:val="bottom"/>
          </w:tcPr>
          <w:p w14:paraId="1723A822" w14:textId="2D2DDC4D" w:rsidR="00B33D8D" w:rsidRPr="001D41EA" w:rsidRDefault="00B33D8D" w:rsidP="001D41EA">
            <w:pPr>
              <w:spacing w:before="40" w:after="20"/>
              <w:jc w:val="right"/>
              <w:rPr>
                <w:rFonts w:cs="Arial"/>
                <w:sz w:val="18"/>
                <w:szCs w:val="18"/>
              </w:rPr>
            </w:pPr>
            <w:r w:rsidRPr="001D41EA">
              <w:rPr>
                <w:rFonts w:cs="Arial"/>
                <w:sz w:val="18"/>
                <w:szCs w:val="18"/>
              </w:rPr>
              <w:t> </w:t>
            </w:r>
          </w:p>
        </w:tc>
        <w:tc>
          <w:tcPr>
            <w:tcW w:w="170" w:type="dxa"/>
            <w:tcBorders>
              <w:top w:val="nil"/>
              <w:left w:val="nil"/>
              <w:bottom w:val="single" w:sz="8" w:space="0" w:color="5F497A" w:themeColor="accent4" w:themeShade="BF"/>
              <w:right w:val="nil"/>
            </w:tcBorders>
            <w:shd w:val="clear" w:color="auto" w:fill="auto"/>
            <w:vAlign w:val="bottom"/>
          </w:tcPr>
          <w:p w14:paraId="4DF5E43C" w14:textId="5369372E" w:rsidR="00B33D8D" w:rsidRPr="001D41EA" w:rsidRDefault="00B33D8D" w:rsidP="001D41EA">
            <w:pPr>
              <w:spacing w:before="40" w:after="20"/>
              <w:jc w:val="right"/>
              <w:rPr>
                <w:rFonts w:cs="Arial"/>
                <w:sz w:val="18"/>
                <w:szCs w:val="18"/>
              </w:rPr>
            </w:pPr>
            <w:r w:rsidRPr="001D41EA">
              <w:rPr>
                <w:rFonts w:cs="Arial"/>
                <w:sz w:val="18"/>
                <w:szCs w:val="18"/>
              </w:rPr>
              <w:t> </w:t>
            </w:r>
          </w:p>
        </w:tc>
        <w:tc>
          <w:tcPr>
            <w:tcW w:w="1247" w:type="dxa"/>
            <w:tcBorders>
              <w:top w:val="nil"/>
              <w:left w:val="nil"/>
              <w:bottom w:val="single" w:sz="8" w:space="0" w:color="5F497A" w:themeColor="accent4" w:themeShade="BF"/>
              <w:right w:val="nil"/>
            </w:tcBorders>
            <w:shd w:val="clear" w:color="auto" w:fill="auto"/>
            <w:vAlign w:val="bottom"/>
          </w:tcPr>
          <w:p w14:paraId="6D41C15D" w14:textId="0676B2BC" w:rsidR="00B33D8D" w:rsidRPr="001D41EA" w:rsidRDefault="00B33D8D" w:rsidP="001D41EA">
            <w:pPr>
              <w:spacing w:before="40" w:after="20"/>
              <w:jc w:val="right"/>
              <w:rPr>
                <w:rFonts w:cs="Arial"/>
                <w:sz w:val="18"/>
                <w:szCs w:val="18"/>
              </w:rPr>
            </w:pPr>
            <w:r w:rsidRPr="001D41EA">
              <w:rPr>
                <w:rFonts w:cs="Arial"/>
                <w:sz w:val="18"/>
                <w:szCs w:val="18"/>
              </w:rPr>
              <w:t> </w:t>
            </w:r>
          </w:p>
        </w:tc>
        <w:tc>
          <w:tcPr>
            <w:tcW w:w="1247" w:type="dxa"/>
            <w:tcBorders>
              <w:top w:val="nil"/>
              <w:left w:val="nil"/>
              <w:bottom w:val="single" w:sz="8" w:space="0" w:color="5F497A" w:themeColor="accent4" w:themeShade="BF"/>
              <w:right w:val="nil"/>
            </w:tcBorders>
            <w:shd w:val="clear" w:color="auto" w:fill="auto"/>
            <w:vAlign w:val="bottom"/>
          </w:tcPr>
          <w:p w14:paraId="0EA3F863" w14:textId="12B393AB" w:rsidR="00B33D8D" w:rsidRPr="001D41EA" w:rsidRDefault="00B33D8D" w:rsidP="001D41EA">
            <w:pPr>
              <w:spacing w:before="40" w:after="20"/>
              <w:jc w:val="right"/>
              <w:rPr>
                <w:rFonts w:cs="Arial"/>
                <w:sz w:val="18"/>
                <w:szCs w:val="18"/>
              </w:rPr>
            </w:pPr>
            <w:r w:rsidRPr="001D41EA">
              <w:rPr>
                <w:rFonts w:cs="Arial"/>
                <w:sz w:val="18"/>
                <w:szCs w:val="18"/>
              </w:rPr>
              <w:t> </w:t>
            </w:r>
          </w:p>
        </w:tc>
      </w:tr>
      <w:tr w:rsidR="00B33D8D" w:rsidRPr="001D41EA" w14:paraId="58713D79" w14:textId="77777777" w:rsidTr="00C60457">
        <w:tc>
          <w:tcPr>
            <w:tcW w:w="2268" w:type="dxa"/>
            <w:tcBorders>
              <w:top w:val="nil"/>
              <w:left w:val="nil"/>
              <w:bottom w:val="nil"/>
              <w:right w:val="single" w:sz="18" w:space="0" w:color="5F497A" w:themeColor="accent4" w:themeShade="BF"/>
            </w:tcBorders>
            <w:shd w:val="clear" w:color="auto" w:fill="auto"/>
            <w:vAlign w:val="center"/>
          </w:tcPr>
          <w:p w14:paraId="1E58C897" w14:textId="77777777" w:rsidR="00B33D8D" w:rsidRPr="001D41EA" w:rsidRDefault="00B33D8D" w:rsidP="001D41EA">
            <w:pPr>
              <w:spacing w:before="40" w:after="20"/>
              <w:rPr>
                <w:rFonts w:cs="Arial"/>
                <w:sz w:val="18"/>
                <w:szCs w:val="18"/>
              </w:rPr>
            </w:pPr>
          </w:p>
        </w:tc>
        <w:tc>
          <w:tcPr>
            <w:tcW w:w="1247" w:type="dxa"/>
            <w:tcBorders>
              <w:top w:val="single" w:sz="8" w:space="0" w:color="5F497A" w:themeColor="accent4" w:themeShade="BF"/>
              <w:left w:val="single" w:sz="18" w:space="0" w:color="5F497A" w:themeColor="accent4" w:themeShade="BF"/>
              <w:right w:val="nil"/>
            </w:tcBorders>
            <w:shd w:val="clear" w:color="auto" w:fill="auto"/>
            <w:vAlign w:val="bottom"/>
          </w:tcPr>
          <w:p w14:paraId="4F13FCC8" w14:textId="0E34B189" w:rsidR="00B33D8D" w:rsidRPr="001D41EA" w:rsidRDefault="00B33D8D" w:rsidP="001D41EA">
            <w:pPr>
              <w:spacing w:before="40" w:after="20"/>
              <w:jc w:val="right"/>
              <w:rPr>
                <w:rFonts w:cs="Arial"/>
                <w:b/>
                <w:sz w:val="18"/>
                <w:szCs w:val="18"/>
              </w:rPr>
            </w:pPr>
            <w:r w:rsidRPr="001D41EA">
              <w:rPr>
                <w:rFonts w:cs="Arial"/>
                <w:b/>
                <w:sz w:val="18"/>
                <w:szCs w:val="18"/>
              </w:rPr>
              <w:t>5,838,110</w:t>
            </w:r>
          </w:p>
        </w:tc>
        <w:tc>
          <w:tcPr>
            <w:tcW w:w="1247" w:type="dxa"/>
            <w:tcBorders>
              <w:top w:val="single" w:sz="8" w:space="0" w:color="5F497A" w:themeColor="accent4" w:themeShade="BF"/>
              <w:left w:val="nil"/>
              <w:right w:val="nil"/>
            </w:tcBorders>
            <w:vAlign w:val="bottom"/>
          </w:tcPr>
          <w:p w14:paraId="4CD559C6" w14:textId="168B80E8" w:rsidR="00B33D8D" w:rsidRPr="001D41EA" w:rsidRDefault="00B33D8D" w:rsidP="001D41EA">
            <w:pPr>
              <w:spacing w:before="40" w:after="20"/>
              <w:jc w:val="right"/>
              <w:rPr>
                <w:rFonts w:cs="Arial"/>
                <w:b/>
                <w:sz w:val="18"/>
                <w:szCs w:val="18"/>
              </w:rPr>
            </w:pPr>
            <w:r w:rsidRPr="001D41EA">
              <w:rPr>
                <w:rFonts w:cs="Arial"/>
                <w:b/>
                <w:sz w:val="18"/>
                <w:szCs w:val="18"/>
              </w:rPr>
              <w:t>6,460,628</w:t>
            </w:r>
          </w:p>
        </w:tc>
        <w:tc>
          <w:tcPr>
            <w:tcW w:w="1247" w:type="dxa"/>
            <w:tcBorders>
              <w:top w:val="single" w:sz="8" w:space="0" w:color="5F497A" w:themeColor="accent4" w:themeShade="BF"/>
              <w:left w:val="nil"/>
              <w:right w:val="nil"/>
            </w:tcBorders>
            <w:shd w:val="clear" w:color="auto" w:fill="auto"/>
            <w:vAlign w:val="bottom"/>
          </w:tcPr>
          <w:p w14:paraId="2FE1E7F5" w14:textId="00DCF73D" w:rsidR="00B33D8D" w:rsidRPr="001D41EA" w:rsidRDefault="00B33D8D" w:rsidP="001D41EA">
            <w:pPr>
              <w:spacing w:before="40" w:after="20"/>
              <w:jc w:val="right"/>
              <w:rPr>
                <w:rFonts w:cs="Arial"/>
                <w:b/>
                <w:sz w:val="18"/>
                <w:szCs w:val="18"/>
              </w:rPr>
            </w:pPr>
            <w:r w:rsidRPr="001D41EA">
              <w:rPr>
                <w:rFonts w:cs="Arial"/>
                <w:b/>
                <w:sz w:val="18"/>
                <w:szCs w:val="18"/>
              </w:rPr>
              <w:t>10.7</w:t>
            </w:r>
          </w:p>
        </w:tc>
        <w:tc>
          <w:tcPr>
            <w:tcW w:w="170" w:type="dxa"/>
            <w:tcBorders>
              <w:top w:val="single" w:sz="8" w:space="0" w:color="5F497A" w:themeColor="accent4" w:themeShade="BF"/>
              <w:left w:val="nil"/>
              <w:right w:val="nil"/>
            </w:tcBorders>
            <w:shd w:val="clear" w:color="auto" w:fill="auto"/>
            <w:vAlign w:val="bottom"/>
          </w:tcPr>
          <w:p w14:paraId="088C727B" w14:textId="3805800E" w:rsidR="00B33D8D" w:rsidRPr="001D41EA" w:rsidRDefault="00B33D8D" w:rsidP="001D41EA">
            <w:pPr>
              <w:spacing w:before="40" w:after="20"/>
              <w:jc w:val="right"/>
              <w:rPr>
                <w:rFonts w:cs="Arial"/>
                <w:b/>
                <w:sz w:val="18"/>
                <w:szCs w:val="18"/>
              </w:rPr>
            </w:pPr>
            <w:r w:rsidRPr="001D41EA">
              <w:rPr>
                <w:rFonts w:cs="Arial"/>
                <w:b/>
                <w:sz w:val="18"/>
                <w:szCs w:val="18"/>
              </w:rPr>
              <w:t> </w:t>
            </w:r>
          </w:p>
        </w:tc>
        <w:tc>
          <w:tcPr>
            <w:tcW w:w="1247" w:type="dxa"/>
            <w:tcBorders>
              <w:top w:val="single" w:sz="8" w:space="0" w:color="5F497A" w:themeColor="accent4" w:themeShade="BF"/>
              <w:left w:val="nil"/>
              <w:right w:val="nil"/>
            </w:tcBorders>
            <w:shd w:val="clear" w:color="auto" w:fill="auto"/>
            <w:vAlign w:val="bottom"/>
          </w:tcPr>
          <w:p w14:paraId="0F108F4F" w14:textId="460E68F6" w:rsidR="00B33D8D" w:rsidRPr="001D41EA" w:rsidRDefault="00B33D8D" w:rsidP="001D41EA">
            <w:pPr>
              <w:spacing w:before="40" w:after="20"/>
              <w:jc w:val="right"/>
              <w:rPr>
                <w:rFonts w:cs="Arial"/>
                <w:b/>
                <w:sz w:val="18"/>
                <w:szCs w:val="18"/>
              </w:rPr>
            </w:pPr>
            <w:r w:rsidRPr="001D41EA">
              <w:rPr>
                <w:rFonts w:cs="Arial"/>
                <w:b/>
                <w:sz w:val="18"/>
                <w:szCs w:val="18"/>
              </w:rPr>
              <w:t>499,144</w:t>
            </w:r>
          </w:p>
        </w:tc>
        <w:tc>
          <w:tcPr>
            <w:tcW w:w="1247" w:type="dxa"/>
            <w:tcBorders>
              <w:top w:val="single" w:sz="8" w:space="0" w:color="5F497A" w:themeColor="accent4" w:themeShade="BF"/>
              <w:left w:val="nil"/>
              <w:right w:val="nil"/>
            </w:tcBorders>
            <w:shd w:val="clear" w:color="auto" w:fill="auto"/>
            <w:vAlign w:val="bottom"/>
          </w:tcPr>
          <w:p w14:paraId="09568D23" w14:textId="31DD7C6F" w:rsidR="00B33D8D" w:rsidRPr="001D41EA" w:rsidRDefault="00B33D8D" w:rsidP="001D41EA">
            <w:pPr>
              <w:spacing w:before="40" w:after="20"/>
              <w:jc w:val="right"/>
              <w:rPr>
                <w:rFonts w:cs="Arial"/>
                <w:b/>
                <w:sz w:val="18"/>
                <w:szCs w:val="18"/>
              </w:rPr>
            </w:pPr>
            <w:r w:rsidRPr="001D41EA">
              <w:rPr>
                <w:rFonts w:cs="Arial"/>
                <w:b/>
                <w:sz w:val="18"/>
                <w:szCs w:val="18"/>
              </w:rPr>
              <w:t>7.7</w:t>
            </w:r>
          </w:p>
        </w:tc>
      </w:tr>
    </w:tbl>
    <w:p w14:paraId="0B5028EC" w14:textId="77777777" w:rsidR="0022168A" w:rsidRPr="00A44829" w:rsidRDefault="00103B31" w:rsidP="00FF36E8">
      <w:pPr>
        <w:spacing w:before="40" w:after="20"/>
        <w:rPr>
          <w:rFonts w:cs="Arial"/>
          <w:sz w:val="8"/>
          <w:szCs w:val="8"/>
        </w:rPr>
      </w:pPr>
      <w:r w:rsidRPr="00A44829">
        <w:rPr>
          <w:rFonts w:cs="Arial"/>
          <w:sz w:val="18"/>
          <w:szCs w:val="18"/>
        </w:rPr>
        <w:br w:type="page"/>
      </w:r>
    </w:p>
    <w:p w14:paraId="1D3E90AC" w14:textId="277298EC" w:rsidR="006E50A4" w:rsidRPr="00A44829" w:rsidRDefault="00CE4507" w:rsidP="00C33713">
      <w:pPr>
        <w:pStyle w:val="VGC-Head10"/>
      </w:pPr>
      <w:r w:rsidRPr="00A44829">
        <w:lastRenderedPageBreak/>
        <w:t>Appendix 4</w:t>
      </w:r>
      <w:r w:rsidR="006E50A4" w:rsidRPr="00A44829">
        <w:tab/>
      </w:r>
      <w:r w:rsidR="00EE4593" w:rsidRPr="00A44829">
        <w:t>2019-20</w:t>
      </w:r>
      <w:r w:rsidR="00A97ABE" w:rsidRPr="00A44829">
        <w:t xml:space="preserve"> </w:t>
      </w:r>
      <w:r w:rsidR="006E50A4" w:rsidRPr="00A44829">
        <w:t xml:space="preserve">General Purpose Grants </w:t>
      </w:r>
    </w:p>
    <w:p w14:paraId="0440CD09" w14:textId="77777777" w:rsidR="006E50A4" w:rsidRPr="00A44829" w:rsidRDefault="006E50A4" w:rsidP="008C1A28">
      <w:pPr>
        <w:pStyle w:val="VGC-Head2"/>
      </w:pPr>
      <w:r w:rsidRPr="00A44829">
        <w:t>C.  Cost Adjustors – Raw Data</w:t>
      </w:r>
    </w:p>
    <w:p w14:paraId="45068EBD" w14:textId="77777777" w:rsidR="00F27956" w:rsidRPr="00A44829" w:rsidRDefault="00F27956"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03149B" w:rsidRPr="00A44829" w14:paraId="655F679A"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279EB28B" w14:textId="77777777" w:rsidR="0003149B" w:rsidRPr="00A44829" w:rsidRDefault="0003149B" w:rsidP="008001AD">
            <w:pPr>
              <w:spacing w:before="40" w:after="20"/>
              <w:jc w:val="center"/>
              <w:rPr>
                <w:rFonts w:cs="Arial"/>
                <w:sz w:val="18"/>
                <w:szCs w:val="18"/>
              </w:rPr>
            </w:pPr>
          </w:p>
        </w:tc>
        <w:tc>
          <w:tcPr>
            <w:tcW w:w="4254" w:type="dxa"/>
            <w:gridSpan w:val="3"/>
            <w:tcBorders>
              <w:top w:val="nil"/>
              <w:left w:val="single" w:sz="18" w:space="0" w:color="5F497A" w:themeColor="accent4" w:themeShade="BF"/>
              <w:bottom w:val="single" w:sz="8" w:space="0" w:color="5F497A" w:themeColor="accent4" w:themeShade="BF"/>
            </w:tcBorders>
            <w:shd w:val="clear" w:color="auto" w:fill="auto"/>
            <w:vAlign w:val="bottom"/>
          </w:tcPr>
          <w:p w14:paraId="0E3435B9" w14:textId="0F85C432" w:rsidR="0003149B" w:rsidRPr="00A44829" w:rsidRDefault="0003149B" w:rsidP="008001AD">
            <w:pPr>
              <w:spacing w:before="40" w:after="20"/>
              <w:jc w:val="center"/>
              <w:rPr>
                <w:rFonts w:cs="Arial"/>
                <w:b/>
                <w:sz w:val="18"/>
                <w:szCs w:val="18"/>
              </w:rPr>
            </w:pPr>
            <w:r w:rsidRPr="00A44829">
              <w:rPr>
                <w:rFonts w:cs="Arial"/>
                <w:b/>
                <w:sz w:val="18"/>
                <w:szCs w:val="18"/>
              </w:rPr>
              <w:t xml:space="preserve">Regional </w:t>
            </w:r>
            <w:r w:rsidR="00D63DBA" w:rsidRPr="00A44829">
              <w:rPr>
                <w:rFonts w:cs="Arial"/>
                <w:b/>
                <w:sz w:val="18"/>
                <w:szCs w:val="18"/>
              </w:rPr>
              <w:t xml:space="preserve">Services </w:t>
            </w:r>
          </w:p>
        </w:tc>
        <w:tc>
          <w:tcPr>
            <w:tcW w:w="170" w:type="dxa"/>
            <w:vMerge w:val="restart"/>
            <w:tcBorders>
              <w:top w:val="nil"/>
              <w:left w:val="nil"/>
              <w:bottom w:val="single" w:sz="8" w:space="0" w:color="5F497A" w:themeColor="accent4" w:themeShade="BF"/>
              <w:right w:val="nil"/>
            </w:tcBorders>
            <w:shd w:val="clear" w:color="auto" w:fill="auto"/>
            <w:vAlign w:val="bottom"/>
          </w:tcPr>
          <w:p w14:paraId="03FDA8AB" w14:textId="77777777" w:rsidR="0003149B" w:rsidRPr="00A44829" w:rsidRDefault="0003149B" w:rsidP="008001AD">
            <w:pPr>
              <w:spacing w:before="40" w:after="20"/>
              <w:jc w:val="center"/>
              <w:rPr>
                <w:rFonts w:cs="Arial"/>
                <w:b/>
                <w:sz w:val="18"/>
                <w:szCs w:val="18"/>
              </w:rPr>
            </w:pPr>
          </w:p>
        </w:tc>
        <w:tc>
          <w:tcPr>
            <w:tcW w:w="1418" w:type="dxa"/>
            <w:tcBorders>
              <w:top w:val="nil"/>
              <w:left w:val="nil"/>
              <w:bottom w:val="single" w:sz="8" w:space="0" w:color="5F497A" w:themeColor="accent4" w:themeShade="BF"/>
              <w:right w:val="nil"/>
            </w:tcBorders>
            <w:shd w:val="clear" w:color="auto" w:fill="auto"/>
            <w:tcMar>
              <w:left w:w="57" w:type="dxa"/>
              <w:right w:w="57" w:type="dxa"/>
            </w:tcMar>
            <w:vAlign w:val="bottom"/>
          </w:tcPr>
          <w:p w14:paraId="353C4CE9" w14:textId="19C47334" w:rsidR="0003149B" w:rsidRPr="00A44829" w:rsidRDefault="0003149B" w:rsidP="008001AD">
            <w:pPr>
              <w:spacing w:before="40" w:after="20"/>
              <w:jc w:val="center"/>
              <w:rPr>
                <w:rFonts w:cs="Arial"/>
                <w:b/>
                <w:sz w:val="18"/>
                <w:szCs w:val="18"/>
              </w:rPr>
            </w:pPr>
            <w:r w:rsidRPr="00A44829">
              <w:rPr>
                <w:rFonts w:cs="Arial"/>
                <w:b/>
                <w:sz w:val="18"/>
                <w:szCs w:val="18"/>
              </w:rPr>
              <w:t>Remoteness</w:t>
            </w:r>
            <w:r w:rsidR="00D63DBA" w:rsidRPr="00A44829">
              <w:rPr>
                <w:rFonts w:cs="Arial"/>
                <w:b/>
                <w:sz w:val="18"/>
                <w:szCs w:val="18"/>
              </w:rPr>
              <w:t xml:space="preserve"> </w:t>
            </w:r>
          </w:p>
        </w:tc>
      </w:tr>
      <w:tr w:rsidR="0003149B" w:rsidRPr="00A44829" w14:paraId="0E5A8747"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18165A6F" w14:textId="77777777" w:rsidR="0003149B" w:rsidRPr="00A44829" w:rsidRDefault="0003149B" w:rsidP="008001AD">
            <w:pPr>
              <w:spacing w:before="40" w:after="20"/>
              <w:jc w:val="center"/>
              <w:rPr>
                <w:rFonts w:cs="Arial"/>
                <w:sz w:val="18"/>
                <w:szCs w:val="18"/>
              </w:rPr>
            </w:pPr>
          </w:p>
        </w:tc>
        <w:tc>
          <w:tcPr>
            <w:tcW w:w="1418"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2C9825D9" w14:textId="6DA2C78C" w:rsidR="0003149B" w:rsidRPr="00A44829" w:rsidRDefault="0003149B" w:rsidP="008001AD">
            <w:pPr>
              <w:spacing w:before="40" w:after="20"/>
              <w:jc w:val="center"/>
              <w:rPr>
                <w:rFonts w:cs="Arial"/>
                <w:sz w:val="16"/>
                <w:szCs w:val="16"/>
              </w:rPr>
            </w:pPr>
            <w:r w:rsidRPr="00A44829">
              <w:rPr>
                <w:rFonts w:cs="Arial"/>
                <w:sz w:val="16"/>
                <w:szCs w:val="16"/>
              </w:rPr>
              <w:t>Population</w:t>
            </w:r>
            <w:r w:rsidRPr="00A44829">
              <w:rPr>
                <w:rFonts w:cs="Arial"/>
                <w:sz w:val="16"/>
                <w:szCs w:val="16"/>
              </w:rPr>
              <w:br/>
              <w:t>(</w:t>
            </w:r>
            <w:r w:rsidR="006D4C53" w:rsidRPr="00A44829">
              <w:rPr>
                <w:rFonts w:cs="Arial"/>
                <w:sz w:val="16"/>
                <w:szCs w:val="16"/>
              </w:rPr>
              <w:t>Census 2016</w:t>
            </w:r>
            <w:r w:rsidRPr="00A44829">
              <w:rPr>
                <w:rFonts w:cs="Arial"/>
                <w:sz w:val="16"/>
                <w:szCs w:val="16"/>
              </w:rPr>
              <w:t>)</w:t>
            </w:r>
          </w:p>
        </w:tc>
        <w:tc>
          <w:tcPr>
            <w:tcW w:w="1418" w:type="dxa"/>
            <w:tcBorders>
              <w:top w:val="single" w:sz="8" w:space="0" w:color="5F497A" w:themeColor="accent4" w:themeShade="BF"/>
              <w:left w:val="nil"/>
              <w:bottom w:val="single" w:sz="8" w:space="0" w:color="5F497A" w:themeColor="accent4" w:themeShade="BF"/>
              <w:right w:val="nil"/>
            </w:tcBorders>
            <w:vAlign w:val="bottom"/>
          </w:tcPr>
          <w:p w14:paraId="63F0C148" w14:textId="77777777" w:rsidR="0003149B" w:rsidRPr="00A44829" w:rsidRDefault="0003149B" w:rsidP="008001AD">
            <w:pPr>
              <w:spacing w:before="40" w:after="20"/>
              <w:jc w:val="center"/>
              <w:rPr>
                <w:rFonts w:cs="Arial"/>
                <w:sz w:val="16"/>
                <w:szCs w:val="16"/>
              </w:rPr>
            </w:pPr>
            <w:r w:rsidRPr="00A44829">
              <w:rPr>
                <w:rFonts w:cs="Arial"/>
                <w:sz w:val="16"/>
                <w:szCs w:val="16"/>
              </w:rPr>
              <w:t xml:space="preserve">Employed </w:t>
            </w:r>
            <w:r w:rsidRPr="00A44829">
              <w:rPr>
                <w:rFonts w:cs="Arial"/>
                <w:sz w:val="16"/>
                <w:szCs w:val="16"/>
              </w:rPr>
              <w:br/>
              <w:t>in Service Industries (adjusted)</w:t>
            </w: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2633E3FD" w14:textId="77777777" w:rsidR="0003149B" w:rsidRPr="00A44829" w:rsidRDefault="0003149B" w:rsidP="005D04BF">
            <w:pPr>
              <w:spacing w:before="40" w:after="20"/>
              <w:jc w:val="center"/>
              <w:rPr>
                <w:rFonts w:cs="Arial"/>
                <w:sz w:val="16"/>
                <w:szCs w:val="16"/>
              </w:rPr>
            </w:pPr>
            <w:r w:rsidRPr="00A44829">
              <w:rPr>
                <w:rFonts w:cs="Arial"/>
                <w:sz w:val="16"/>
                <w:szCs w:val="16"/>
              </w:rPr>
              <w:t xml:space="preserve">Total </w:t>
            </w:r>
            <w:r w:rsidRPr="00A44829">
              <w:rPr>
                <w:rFonts w:cs="Arial"/>
                <w:sz w:val="16"/>
                <w:szCs w:val="16"/>
              </w:rPr>
              <w:br/>
              <w:t>per 100 people</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2FBE2BEA" w14:textId="77777777" w:rsidR="0003149B" w:rsidRPr="00A44829" w:rsidRDefault="0003149B" w:rsidP="008001AD">
            <w:pPr>
              <w:spacing w:before="40" w:after="20"/>
              <w:jc w:val="center"/>
              <w:rPr>
                <w:rFonts w:cs="Arial"/>
                <w:sz w:val="16"/>
                <w:szCs w:val="16"/>
              </w:rPr>
            </w:pP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2DA78308" w14:textId="77777777" w:rsidR="0003149B" w:rsidRPr="00A44829" w:rsidRDefault="0003149B" w:rsidP="008001AD">
            <w:pPr>
              <w:spacing w:before="40" w:after="20"/>
              <w:jc w:val="center"/>
              <w:rPr>
                <w:rFonts w:cs="Arial"/>
                <w:sz w:val="16"/>
                <w:szCs w:val="16"/>
              </w:rPr>
            </w:pPr>
            <w:r w:rsidRPr="00A44829">
              <w:rPr>
                <w:rFonts w:cs="Arial"/>
                <w:sz w:val="16"/>
                <w:szCs w:val="16"/>
              </w:rPr>
              <w:t xml:space="preserve">Average </w:t>
            </w:r>
            <w:r w:rsidRPr="00A44829">
              <w:rPr>
                <w:rFonts w:cs="Arial"/>
                <w:sz w:val="16"/>
                <w:szCs w:val="16"/>
              </w:rPr>
              <w:br/>
              <w:t xml:space="preserve">Council </w:t>
            </w:r>
            <w:r w:rsidRPr="00A44829">
              <w:rPr>
                <w:rFonts w:cs="Arial"/>
                <w:sz w:val="16"/>
                <w:szCs w:val="16"/>
              </w:rPr>
              <w:br/>
              <w:t>ARIA Score</w:t>
            </w:r>
          </w:p>
        </w:tc>
      </w:tr>
      <w:tr w:rsidR="00B33D8D" w:rsidRPr="001D41EA" w14:paraId="7969482F" w14:textId="77777777" w:rsidTr="00C60457">
        <w:tc>
          <w:tcPr>
            <w:tcW w:w="2268" w:type="dxa"/>
            <w:tcBorders>
              <w:top w:val="nil"/>
              <w:left w:val="nil"/>
              <w:bottom w:val="nil"/>
              <w:right w:val="single" w:sz="18" w:space="0" w:color="5F497A" w:themeColor="accent4" w:themeShade="BF"/>
            </w:tcBorders>
            <w:shd w:val="clear" w:color="auto" w:fill="auto"/>
            <w:vAlign w:val="center"/>
          </w:tcPr>
          <w:p w14:paraId="42045934" w14:textId="77777777" w:rsidR="00B33D8D" w:rsidRPr="001D41EA" w:rsidRDefault="00B33D8D" w:rsidP="001D41EA">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3BDEF263" w14:textId="4C473226"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single" w:sz="8" w:space="0" w:color="5F497A" w:themeColor="accent4" w:themeShade="BF"/>
              <w:left w:val="nil"/>
              <w:bottom w:val="nil"/>
              <w:right w:val="nil"/>
            </w:tcBorders>
            <w:vAlign w:val="bottom"/>
          </w:tcPr>
          <w:p w14:paraId="73059947" w14:textId="77777777" w:rsidR="00B33D8D" w:rsidRPr="001D41EA" w:rsidRDefault="00B33D8D" w:rsidP="001D41EA">
            <w:pPr>
              <w:spacing w:before="40" w:after="20"/>
              <w:jc w:val="right"/>
              <w:rPr>
                <w:rFonts w:cs="Arial"/>
                <w:sz w:val="18"/>
                <w:szCs w:val="18"/>
              </w:rPr>
            </w:pPr>
          </w:p>
        </w:tc>
        <w:tc>
          <w:tcPr>
            <w:tcW w:w="1418" w:type="dxa"/>
            <w:tcBorders>
              <w:top w:val="single" w:sz="8" w:space="0" w:color="5F497A" w:themeColor="accent4" w:themeShade="BF"/>
              <w:left w:val="nil"/>
              <w:bottom w:val="nil"/>
              <w:right w:val="nil"/>
            </w:tcBorders>
            <w:shd w:val="clear" w:color="auto" w:fill="auto"/>
            <w:vAlign w:val="bottom"/>
          </w:tcPr>
          <w:p w14:paraId="38D6266A" w14:textId="6A5BAF26" w:rsidR="00B33D8D" w:rsidRPr="001D41EA" w:rsidRDefault="00B33D8D" w:rsidP="00F705DD">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shd w:val="clear" w:color="auto" w:fill="auto"/>
            <w:vAlign w:val="bottom"/>
          </w:tcPr>
          <w:p w14:paraId="0A8C8076" w14:textId="72600311"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single" w:sz="8" w:space="0" w:color="5F497A" w:themeColor="accent4" w:themeShade="BF"/>
              <w:left w:val="nil"/>
              <w:bottom w:val="nil"/>
              <w:right w:val="nil"/>
            </w:tcBorders>
            <w:vAlign w:val="bottom"/>
          </w:tcPr>
          <w:p w14:paraId="4B28DB13" w14:textId="7D3C17C4" w:rsidR="00B33D8D" w:rsidRPr="001D41EA" w:rsidRDefault="00B33D8D" w:rsidP="00F705DD">
            <w:pPr>
              <w:spacing w:before="40" w:after="20"/>
              <w:jc w:val="center"/>
              <w:rPr>
                <w:rFonts w:cs="Arial"/>
                <w:sz w:val="18"/>
                <w:szCs w:val="18"/>
              </w:rPr>
            </w:pPr>
          </w:p>
        </w:tc>
      </w:tr>
      <w:tr w:rsidR="005D19CF" w:rsidRPr="001D41EA" w14:paraId="4F204B61"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7031C92" w14:textId="77777777" w:rsidR="005D19CF" w:rsidRPr="001D41EA" w:rsidRDefault="005D19CF" w:rsidP="005D19CF">
            <w:pPr>
              <w:spacing w:before="40" w:after="20"/>
              <w:rPr>
                <w:rFonts w:cs="Arial"/>
                <w:sz w:val="18"/>
                <w:szCs w:val="18"/>
              </w:rPr>
            </w:pPr>
            <w:r w:rsidRPr="001D41EA">
              <w:rPr>
                <w:rFonts w:cs="Arial"/>
                <w:sz w:val="18"/>
                <w:szCs w:val="18"/>
              </w:rPr>
              <w:t>Macedon Ranges S</w:t>
            </w:r>
          </w:p>
        </w:tc>
        <w:tc>
          <w:tcPr>
            <w:tcW w:w="1418" w:type="dxa"/>
            <w:tcBorders>
              <w:top w:val="nil"/>
              <w:left w:val="single" w:sz="18" w:space="0" w:color="5F497A" w:themeColor="accent4" w:themeShade="BF"/>
              <w:bottom w:val="nil"/>
              <w:right w:val="nil"/>
            </w:tcBorders>
            <w:shd w:val="clear" w:color="auto" w:fill="auto"/>
            <w:vAlign w:val="bottom"/>
          </w:tcPr>
          <w:p w14:paraId="2D6C03A7" w14:textId="17A049F0" w:rsidR="005D19CF" w:rsidRPr="001D41EA" w:rsidRDefault="005D19CF" w:rsidP="005D19CF">
            <w:pPr>
              <w:spacing w:before="40" w:after="20"/>
              <w:jc w:val="right"/>
              <w:rPr>
                <w:rFonts w:cs="Arial"/>
                <w:sz w:val="18"/>
                <w:szCs w:val="18"/>
              </w:rPr>
            </w:pPr>
            <w:r w:rsidRPr="001D41EA">
              <w:rPr>
                <w:rFonts w:cs="Arial"/>
                <w:sz w:val="18"/>
                <w:szCs w:val="18"/>
              </w:rPr>
              <w:t>46,103</w:t>
            </w:r>
          </w:p>
        </w:tc>
        <w:tc>
          <w:tcPr>
            <w:tcW w:w="1418" w:type="dxa"/>
            <w:tcBorders>
              <w:top w:val="nil"/>
              <w:left w:val="nil"/>
              <w:bottom w:val="nil"/>
              <w:right w:val="nil"/>
            </w:tcBorders>
            <w:vAlign w:val="bottom"/>
          </w:tcPr>
          <w:p w14:paraId="23D4E5C0" w14:textId="7B41350E" w:rsidR="005D19CF" w:rsidRPr="001D41EA" w:rsidRDefault="005D19CF" w:rsidP="005D19CF">
            <w:pPr>
              <w:spacing w:before="40" w:after="20"/>
              <w:jc w:val="right"/>
              <w:rPr>
                <w:rFonts w:cs="Arial"/>
                <w:sz w:val="18"/>
                <w:szCs w:val="18"/>
              </w:rPr>
            </w:pPr>
            <w:r w:rsidRPr="001D41EA">
              <w:rPr>
                <w:rFonts w:cs="Arial"/>
                <w:sz w:val="18"/>
                <w:szCs w:val="18"/>
              </w:rPr>
              <w:t>8,748</w:t>
            </w:r>
          </w:p>
        </w:tc>
        <w:tc>
          <w:tcPr>
            <w:tcW w:w="1418" w:type="dxa"/>
            <w:tcBorders>
              <w:top w:val="nil"/>
              <w:left w:val="nil"/>
              <w:bottom w:val="nil"/>
              <w:right w:val="nil"/>
            </w:tcBorders>
            <w:shd w:val="clear" w:color="auto" w:fill="auto"/>
            <w:vAlign w:val="bottom"/>
          </w:tcPr>
          <w:p w14:paraId="397EC68D" w14:textId="5D25740A" w:rsidR="005D19CF" w:rsidRPr="001D41EA" w:rsidRDefault="005D19CF" w:rsidP="005D19CF">
            <w:pPr>
              <w:spacing w:before="40" w:after="20"/>
              <w:jc w:val="center"/>
              <w:rPr>
                <w:rFonts w:cs="Arial"/>
                <w:sz w:val="18"/>
                <w:szCs w:val="18"/>
              </w:rPr>
            </w:pPr>
            <w:r w:rsidRPr="005D19CF">
              <w:rPr>
                <w:rFonts w:cs="Arial"/>
                <w:sz w:val="18"/>
                <w:szCs w:val="18"/>
              </w:rPr>
              <w:t>19.0</w:t>
            </w:r>
          </w:p>
        </w:tc>
        <w:tc>
          <w:tcPr>
            <w:tcW w:w="170" w:type="dxa"/>
            <w:tcBorders>
              <w:top w:val="nil"/>
              <w:left w:val="nil"/>
              <w:bottom w:val="nil"/>
              <w:right w:val="nil"/>
            </w:tcBorders>
            <w:shd w:val="clear" w:color="auto" w:fill="auto"/>
            <w:vAlign w:val="bottom"/>
          </w:tcPr>
          <w:p w14:paraId="4F93D3DB" w14:textId="21D743A1"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75336115" w14:textId="5A4A4842" w:rsidR="005D19CF" w:rsidRPr="001D41EA" w:rsidRDefault="005D19CF" w:rsidP="005D19CF">
            <w:pPr>
              <w:spacing w:before="40" w:after="20"/>
              <w:jc w:val="center"/>
              <w:rPr>
                <w:rFonts w:cs="Arial"/>
                <w:sz w:val="18"/>
                <w:szCs w:val="18"/>
              </w:rPr>
            </w:pPr>
            <w:r w:rsidRPr="001D41EA">
              <w:rPr>
                <w:rFonts w:cs="Arial"/>
                <w:sz w:val="18"/>
                <w:szCs w:val="18"/>
              </w:rPr>
              <w:t>0.86</w:t>
            </w:r>
          </w:p>
        </w:tc>
      </w:tr>
      <w:tr w:rsidR="005D19CF" w:rsidRPr="001D41EA" w14:paraId="7F29D159"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4F89FAE" w14:textId="77777777" w:rsidR="005D19CF" w:rsidRPr="001D41EA" w:rsidRDefault="005D19CF" w:rsidP="005D19CF">
            <w:pPr>
              <w:spacing w:before="40" w:after="20"/>
              <w:rPr>
                <w:rFonts w:cs="Arial"/>
                <w:sz w:val="18"/>
                <w:szCs w:val="18"/>
              </w:rPr>
            </w:pPr>
            <w:r w:rsidRPr="001D41EA">
              <w:rPr>
                <w:rFonts w:cs="Arial"/>
                <w:sz w:val="18"/>
                <w:szCs w:val="18"/>
              </w:rPr>
              <w:t>Manningham C</w:t>
            </w:r>
          </w:p>
        </w:tc>
        <w:tc>
          <w:tcPr>
            <w:tcW w:w="1418" w:type="dxa"/>
            <w:tcBorders>
              <w:top w:val="nil"/>
              <w:left w:val="single" w:sz="18" w:space="0" w:color="5F497A" w:themeColor="accent4" w:themeShade="BF"/>
              <w:bottom w:val="nil"/>
              <w:right w:val="nil"/>
            </w:tcBorders>
            <w:shd w:val="clear" w:color="auto" w:fill="auto"/>
            <w:vAlign w:val="bottom"/>
          </w:tcPr>
          <w:p w14:paraId="7112AF13" w14:textId="6EC304D5" w:rsidR="005D19CF" w:rsidRPr="001D41EA" w:rsidRDefault="005D19CF" w:rsidP="005D19CF">
            <w:pPr>
              <w:spacing w:before="40" w:after="20"/>
              <w:jc w:val="right"/>
              <w:rPr>
                <w:rFonts w:cs="Arial"/>
                <w:sz w:val="18"/>
                <w:szCs w:val="18"/>
              </w:rPr>
            </w:pPr>
            <w:r w:rsidRPr="001D41EA">
              <w:rPr>
                <w:rFonts w:cs="Arial"/>
                <w:sz w:val="18"/>
                <w:szCs w:val="18"/>
              </w:rPr>
              <w:t>116,260</w:t>
            </w:r>
          </w:p>
        </w:tc>
        <w:tc>
          <w:tcPr>
            <w:tcW w:w="1418" w:type="dxa"/>
            <w:tcBorders>
              <w:top w:val="nil"/>
              <w:left w:val="nil"/>
              <w:bottom w:val="nil"/>
              <w:right w:val="nil"/>
            </w:tcBorders>
            <w:vAlign w:val="bottom"/>
          </w:tcPr>
          <w:p w14:paraId="74D35613" w14:textId="4A9D5F0E" w:rsidR="005D19CF" w:rsidRPr="001D41EA" w:rsidRDefault="005D19CF" w:rsidP="005D19CF">
            <w:pPr>
              <w:spacing w:before="40" w:after="20"/>
              <w:jc w:val="right"/>
              <w:rPr>
                <w:rFonts w:cs="Arial"/>
                <w:sz w:val="18"/>
                <w:szCs w:val="18"/>
              </w:rPr>
            </w:pPr>
            <w:r w:rsidRPr="001D41EA">
              <w:rPr>
                <w:rFonts w:cs="Arial"/>
                <w:sz w:val="18"/>
                <w:szCs w:val="18"/>
              </w:rPr>
              <w:t>23,104</w:t>
            </w:r>
          </w:p>
        </w:tc>
        <w:tc>
          <w:tcPr>
            <w:tcW w:w="1418" w:type="dxa"/>
            <w:tcBorders>
              <w:top w:val="nil"/>
              <w:left w:val="nil"/>
              <w:bottom w:val="nil"/>
              <w:right w:val="nil"/>
            </w:tcBorders>
            <w:shd w:val="clear" w:color="auto" w:fill="auto"/>
            <w:vAlign w:val="bottom"/>
          </w:tcPr>
          <w:p w14:paraId="6A99FF93" w14:textId="680440B1" w:rsidR="005D19CF" w:rsidRPr="001D41EA" w:rsidRDefault="005D19CF" w:rsidP="005D19CF">
            <w:pPr>
              <w:spacing w:before="40" w:after="20"/>
              <w:jc w:val="center"/>
              <w:rPr>
                <w:rFonts w:cs="Arial"/>
                <w:sz w:val="18"/>
                <w:szCs w:val="18"/>
              </w:rPr>
            </w:pPr>
            <w:r w:rsidRPr="005D19CF">
              <w:rPr>
                <w:rFonts w:cs="Arial"/>
                <w:sz w:val="18"/>
                <w:szCs w:val="18"/>
              </w:rPr>
              <w:t>19.9</w:t>
            </w:r>
          </w:p>
        </w:tc>
        <w:tc>
          <w:tcPr>
            <w:tcW w:w="170" w:type="dxa"/>
            <w:tcBorders>
              <w:top w:val="nil"/>
              <w:left w:val="nil"/>
              <w:bottom w:val="nil"/>
              <w:right w:val="nil"/>
            </w:tcBorders>
            <w:shd w:val="clear" w:color="auto" w:fill="auto"/>
            <w:vAlign w:val="bottom"/>
          </w:tcPr>
          <w:p w14:paraId="30EEA12A" w14:textId="5033B4A0"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DA99E46" w14:textId="6AA55017" w:rsidR="005D19CF" w:rsidRPr="001D41EA" w:rsidRDefault="005D19CF" w:rsidP="005D19CF">
            <w:pPr>
              <w:spacing w:before="40" w:after="20"/>
              <w:jc w:val="center"/>
              <w:rPr>
                <w:rFonts w:cs="Arial"/>
                <w:sz w:val="18"/>
                <w:szCs w:val="18"/>
              </w:rPr>
            </w:pPr>
            <w:r w:rsidRPr="001D41EA">
              <w:rPr>
                <w:rFonts w:cs="Arial"/>
                <w:sz w:val="18"/>
                <w:szCs w:val="18"/>
              </w:rPr>
              <w:t>0.03</w:t>
            </w:r>
          </w:p>
        </w:tc>
      </w:tr>
      <w:tr w:rsidR="005D19CF" w:rsidRPr="001D41EA" w14:paraId="764B0AB8"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2512F15" w14:textId="77777777" w:rsidR="005D19CF" w:rsidRPr="001D41EA" w:rsidRDefault="005D19CF" w:rsidP="005D19CF">
            <w:pPr>
              <w:spacing w:before="40" w:after="20"/>
              <w:rPr>
                <w:rFonts w:cs="Arial"/>
                <w:sz w:val="18"/>
                <w:szCs w:val="18"/>
              </w:rPr>
            </w:pPr>
            <w:r w:rsidRPr="001D41EA">
              <w:rPr>
                <w:rFonts w:cs="Arial"/>
                <w:sz w:val="18"/>
                <w:szCs w:val="18"/>
              </w:rPr>
              <w:t>Mansfield S</w:t>
            </w:r>
          </w:p>
        </w:tc>
        <w:tc>
          <w:tcPr>
            <w:tcW w:w="1418" w:type="dxa"/>
            <w:tcBorders>
              <w:top w:val="nil"/>
              <w:left w:val="single" w:sz="18" w:space="0" w:color="5F497A" w:themeColor="accent4" w:themeShade="BF"/>
              <w:bottom w:val="nil"/>
              <w:right w:val="nil"/>
            </w:tcBorders>
            <w:shd w:val="clear" w:color="auto" w:fill="auto"/>
            <w:vAlign w:val="bottom"/>
          </w:tcPr>
          <w:p w14:paraId="7F87F3E5" w14:textId="62FE66C2" w:rsidR="005D19CF" w:rsidRPr="001D41EA" w:rsidRDefault="005D19CF" w:rsidP="005D19CF">
            <w:pPr>
              <w:spacing w:before="40" w:after="20"/>
              <w:jc w:val="right"/>
              <w:rPr>
                <w:rFonts w:cs="Arial"/>
                <w:sz w:val="18"/>
                <w:szCs w:val="18"/>
              </w:rPr>
            </w:pPr>
            <w:r w:rsidRPr="001D41EA">
              <w:rPr>
                <w:rFonts w:cs="Arial"/>
                <w:sz w:val="18"/>
                <w:szCs w:val="18"/>
              </w:rPr>
              <w:t>9,097</w:t>
            </w:r>
          </w:p>
        </w:tc>
        <w:tc>
          <w:tcPr>
            <w:tcW w:w="1418" w:type="dxa"/>
            <w:tcBorders>
              <w:top w:val="nil"/>
              <w:left w:val="nil"/>
              <w:bottom w:val="nil"/>
              <w:right w:val="nil"/>
            </w:tcBorders>
            <w:vAlign w:val="bottom"/>
          </w:tcPr>
          <w:p w14:paraId="1DA48C09" w14:textId="54B9099A" w:rsidR="005D19CF" w:rsidRPr="001D41EA" w:rsidRDefault="005D19CF" w:rsidP="005D19CF">
            <w:pPr>
              <w:spacing w:before="40" w:after="20"/>
              <w:jc w:val="right"/>
              <w:rPr>
                <w:rFonts w:cs="Arial"/>
                <w:sz w:val="18"/>
                <w:szCs w:val="18"/>
              </w:rPr>
            </w:pPr>
            <w:r w:rsidRPr="001D41EA">
              <w:rPr>
                <w:rFonts w:cs="Arial"/>
                <w:sz w:val="18"/>
                <w:szCs w:val="18"/>
              </w:rPr>
              <w:t>2,626</w:t>
            </w:r>
          </w:p>
        </w:tc>
        <w:tc>
          <w:tcPr>
            <w:tcW w:w="1418" w:type="dxa"/>
            <w:tcBorders>
              <w:top w:val="nil"/>
              <w:left w:val="nil"/>
              <w:bottom w:val="nil"/>
              <w:right w:val="nil"/>
            </w:tcBorders>
            <w:shd w:val="clear" w:color="auto" w:fill="auto"/>
            <w:vAlign w:val="bottom"/>
          </w:tcPr>
          <w:p w14:paraId="4C9CF8C8" w14:textId="63B9EE39" w:rsidR="005D19CF" w:rsidRPr="001D41EA" w:rsidRDefault="005D19CF" w:rsidP="005D19CF">
            <w:pPr>
              <w:spacing w:before="40" w:after="20"/>
              <w:jc w:val="center"/>
              <w:rPr>
                <w:rFonts w:cs="Arial"/>
                <w:sz w:val="18"/>
                <w:szCs w:val="18"/>
              </w:rPr>
            </w:pPr>
            <w:r w:rsidRPr="005D19CF">
              <w:rPr>
                <w:rFonts w:cs="Arial"/>
                <w:sz w:val="18"/>
                <w:szCs w:val="18"/>
              </w:rPr>
              <w:t>28.9</w:t>
            </w:r>
          </w:p>
        </w:tc>
        <w:tc>
          <w:tcPr>
            <w:tcW w:w="170" w:type="dxa"/>
            <w:tcBorders>
              <w:top w:val="nil"/>
              <w:left w:val="nil"/>
              <w:bottom w:val="nil"/>
              <w:right w:val="nil"/>
            </w:tcBorders>
            <w:shd w:val="clear" w:color="auto" w:fill="auto"/>
            <w:vAlign w:val="bottom"/>
          </w:tcPr>
          <w:p w14:paraId="3D00DD62" w14:textId="236A452B"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539D270" w14:textId="3EEC508C" w:rsidR="005D19CF" w:rsidRPr="001D41EA" w:rsidRDefault="005D19CF" w:rsidP="005D19CF">
            <w:pPr>
              <w:spacing w:before="40" w:after="20"/>
              <w:jc w:val="center"/>
              <w:rPr>
                <w:rFonts w:cs="Arial"/>
                <w:sz w:val="18"/>
                <w:szCs w:val="18"/>
              </w:rPr>
            </w:pPr>
            <w:r w:rsidRPr="001D41EA">
              <w:rPr>
                <w:rFonts w:cs="Arial"/>
                <w:sz w:val="18"/>
                <w:szCs w:val="18"/>
              </w:rPr>
              <w:t>3.27</w:t>
            </w:r>
          </w:p>
        </w:tc>
      </w:tr>
      <w:tr w:rsidR="005D19CF" w:rsidRPr="001D41EA" w14:paraId="01A6B87A"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7E73499" w14:textId="77777777" w:rsidR="005D19CF" w:rsidRPr="001D41EA" w:rsidRDefault="005D19CF" w:rsidP="005D19CF">
            <w:pPr>
              <w:spacing w:before="40" w:after="20"/>
              <w:rPr>
                <w:rFonts w:cs="Arial"/>
                <w:sz w:val="18"/>
                <w:szCs w:val="18"/>
              </w:rPr>
            </w:pPr>
            <w:r w:rsidRPr="001D41EA">
              <w:rPr>
                <w:rFonts w:cs="Arial"/>
                <w:sz w:val="18"/>
                <w:szCs w:val="18"/>
              </w:rPr>
              <w:t>Maribyrnong C</w:t>
            </w:r>
          </w:p>
        </w:tc>
        <w:tc>
          <w:tcPr>
            <w:tcW w:w="1418" w:type="dxa"/>
            <w:tcBorders>
              <w:top w:val="nil"/>
              <w:left w:val="single" w:sz="18" w:space="0" w:color="5F497A" w:themeColor="accent4" w:themeShade="BF"/>
              <w:bottom w:val="nil"/>
              <w:right w:val="nil"/>
            </w:tcBorders>
            <w:shd w:val="clear" w:color="auto" w:fill="auto"/>
            <w:vAlign w:val="bottom"/>
          </w:tcPr>
          <w:p w14:paraId="3BD99FE2" w14:textId="0ADAE11B" w:rsidR="005D19CF" w:rsidRPr="001D41EA" w:rsidRDefault="005D19CF" w:rsidP="005D19CF">
            <w:pPr>
              <w:spacing w:before="40" w:after="20"/>
              <w:jc w:val="right"/>
              <w:rPr>
                <w:rFonts w:cs="Arial"/>
                <w:sz w:val="18"/>
                <w:szCs w:val="18"/>
              </w:rPr>
            </w:pPr>
            <w:r w:rsidRPr="001D41EA">
              <w:rPr>
                <w:rFonts w:cs="Arial"/>
                <w:sz w:val="18"/>
                <w:szCs w:val="18"/>
              </w:rPr>
              <w:t>82,285</w:t>
            </w:r>
          </w:p>
        </w:tc>
        <w:tc>
          <w:tcPr>
            <w:tcW w:w="1418" w:type="dxa"/>
            <w:tcBorders>
              <w:top w:val="nil"/>
              <w:left w:val="nil"/>
              <w:bottom w:val="nil"/>
              <w:right w:val="nil"/>
            </w:tcBorders>
            <w:vAlign w:val="bottom"/>
          </w:tcPr>
          <w:p w14:paraId="26D773D3" w14:textId="09FA7EE9" w:rsidR="005D19CF" w:rsidRPr="001D41EA" w:rsidRDefault="005D19CF" w:rsidP="005D19CF">
            <w:pPr>
              <w:spacing w:before="40" w:after="20"/>
              <w:jc w:val="right"/>
              <w:rPr>
                <w:rFonts w:cs="Arial"/>
                <w:sz w:val="18"/>
                <w:szCs w:val="18"/>
              </w:rPr>
            </w:pPr>
            <w:r w:rsidRPr="001D41EA">
              <w:rPr>
                <w:rFonts w:cs="Arial"/>
                <w:sz w:val="18"/>
                <w:szCs w:val="18"/>
              </w:rPr>
              <w:t>26,648</w:t>
            </w:r>
          </w:p>
        </w:tc>
        <w:tc>
          <w:tcPr>
            <w:tcW w:w="1418" w:type="dxa"/>
            <w:tcBorders>
              <w:top w:val="nil"/>
              <w:left w:val="nil"/>
              <w:bottom w:val="nil"/>
              <w:right w:val="nil"/>
            </w:tcBorders>
            <w:shd w:val="clear" w:color="auto" w:fill="auto"/>
            <w:vAlign w:val="bottom"/>
          </w:tcPr>
          <w:p w14:paraId="32832D82" w14:textId="45DDB716" w:rsidR="005D19CF" w:rsidRPr="001D41EA" w:rsidRDefault="005D19CF" w:rsidP="005D19CF">
            <w:pPr>
              <w:spacing w:before="40" w:after="20"/>
              <w:jc w:val="center"/>
              <w:rPr>
                <w:rFonts w:cs="Arial"/>
                <w:sz w:val="18"/>
                <w:szCs w:val="18"/>
              </w:rPr>
            </w:pPr>
            <w:r w:rsidRPr="005D19CF">
              <w:rPr>
                <w:rFonts w:cs="Arial"/>
                <w:sz w:val="18"/>
                <w:szCs w:val="18"/>
              </w:rPr>
              <w:t>32.4</w:t>
            </w:r>
          </w:p>
        </w:tc>
        <w:tc>
          <w:tcPr>
            <w:tcW w:w="170" w:type="dxa"/>
            <w:tcBorders>
              <w:top w:val="nil"/>
              <w:left w:val="nil"/>
              <w:bottom w:val="nil"/>
              <w:right w:val="nil"/>
            </w:tcBorders>
            <w:shd w:val="clear" w:color="auto" w:fill="auto"/>
            <w:vAlign w:val="bottom"/>
          </w:tcPr>
          <w:p w14:paraId="6D75B57B" w14:textId="5459815D"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57C0270B" w14:textId="0568B0E5" w:rsidR="005D19CF" w:rsidRPr="001D41EA" w:rsidRDefault="005D19CF" w:rsidP="005D19CF">
            <w:pPr>
              <w:spacing w:before="40" w:after="20"/>
              <w:jc w:val="center"/>
              <w:rPr>
                <w:rFonts w:cs="Arial"/>
                <w:sz w:val="18"/>
                <w:szCs w:val="18"/>
              </w:rPr>
            </w:pPr>
          </w:p>
        </w:tc>
      </w:tr>
      <w:tr w:rsidR="005D19CF" w:rsidRPr="001D41EA" w14:paraId="7CDB914E"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3FFCDE0" w14:textId="77777777" w:rsidR="005D19CF" w:rsidRPr="001D41EA" w:rsidRDefault="005D19CF" w:rsidP="005D19CF">
            <w:pPr>
              <w:spacing w:before="40" w:after="20"/>
              <w:rPr>
                <w:rFonts w:cs="Arial"/>
                <w:sz w:val="18"/>
                <w:szCs w:val="18"/>
              </w:rPr>
            </w:pPr>
            <w:r w:rsidRPr="001D41EA">
              <w:rPr>
                <w:rFonts w:cs="Arial"/>
                <w:sz w:val="18"/>
                <w:szCs w:val="18"/>
              </w:rPr>
              <w:t>Maroondah C</w:t>
            </w:r>
          </w:p>
        </w:tc>
        <w:tc>
          <w:tcPr>
            <w:tcW w:w="1418" w:type="dxa"/>
            <w:tcBorders>
              <w:top w:val="nil"/>
              <w:left w:val="single" w:sz="18" w:space="0" w:color="5F497A" w:themeColor="accent4" w:themeShade="BF"/>
              <w:bottom w:val="nil"/>
              <w:right w:val="nil"/>
            </w:tcBorders>
            <w:shd w:val="clear" w:color="auto" w:fill="auto"/>
            <w:vAlign w:val="bottom"/>
          </w:tcPr>
          <w:p w14:paraId="3789F500" w14:textId="7B729735" w:rsidR="005D19CF" w:rsidRPr="001D41EA" w:rsidRDefault="005D19CF" w:rsidP="005D19CF">
            <w:pPr>
              <w:spacing w:before="40" w:after="20"/>
              <w:jc w:val="right"/>
              <w:rPr>
                <w:rFonts w:cs="Arial"/>
                <w:sz w:val="18"/>
                <w:szCs w:val="18"/>
              </w:rPr>
            </w:pPr>
            <w:r w:rsidRPr="001D41EA">
              <w:rPr>
                <w:rFonts w:cs="Arial"/>
                <w:sz w:val="18"/>
                <w:szCs w:val="18"/>
              </w:rPr>
              <w:t>110,372</w:t>
            </w:r>
          </w:p>
        </w:tc>
        <w:tc>
          <w:tcPr>
            <w:tcW w:w="1418" w:type="dxa"/>
            <w:tcBorders>
              <w:top w:val="nil"/>
              <w:left w:val="nil"/>
              <w:bottom w:val="nil"/>
              <w:right w:val="nil"/>
            </w:tcBorders>
            <w:vAlign w:val="bottom"/>
          </w:tcPr>
          <w:p w14:paraId="4288D24C" w14:textId="761FC64F" w:rsidR="005D19CF" w:rsidRPr="001D41EA" w:rsidRDefault="005D19CF" w:rsidP="005D19CF">
            <w:pPr>
              <w:spacing w:before="40" w:after="20"/>
              <w:jc w:val="right"/>
              <w:rPr>
                <w:rFonts w:cs="Arial"/>
                <w:sz w:val="18"/>
                <w:szCs w:val="18"/>
              </w:rPr>
            </w:pPr>
            <w:r w:rsidRPr="001D41EA">
              <w:rPr>
                <w:rFonts w:cs="Arial"/>
                <w:sz w:val="18"/>
                <w:szCs w:val="18"/>
              </w:rPr>
              <w:t>28,099</w:t>
            </w:r>
          </w:p>
        </w:tc>
        <w:tc>
          <w:tcPr>
            <w:tcW w:w="1418" w:type="dxa"/>
            <w:tcBorders>
              <w:top w:val="nil"/>
              <w:left w:val="nil"/>
              <w:bottom w:val="nil"/>
              <w:right w:val="nil"/>
            </w:tcBorders>
            <w:shd w:val="clear" w:color="auto" w:fill="auto"/>
            <w:vAlign w:val="bottom"/>
          </w:tcPr>
          <w:p w14:paraId="15F88A86" w14:textId="6B054E0C" w:rsidR="005D19CF" w:rsidRPr="001D41EA" w:rsidRDefault="005D19CF" w:rsidP="005D19CF">
            <w:pPr>
              <w:spacing w:before="40" w:after="20"/>
              <w:jc w:val="center"/>
              <w:rPr>
                <w:rFonts w:cs="Arial"/>
                <w:sz w:val="18"/>
                <w:szCs w:val="18"/>
              </w:rPr>
            </w:pPr>
            <w:r w:rsidRPr="005D19CF">
              <w:rPr>
                <w:rFonts w:cs="Arial"/>
                <w:sz w:val="18"/>
                <w:szCs w:val="18"/>
              </w:rPr>
              <w:t>25.5</w:t>
            </w:r>
          </w:p>
        </w:tc>
        <w:tc>
          <w:tcPr>
            <w:tcW w:w="170" w:type="dxa"/>
            <w:tcBorders>
              <w:top w:val="nil"/>
              <w:left w:val="nil"/>
              <w:bottom w:val="nil"/>
              <w:right w:val="nil"/>
            </w:tcBorders>
            <w:shd w:val="clear" w:color="auto" w:fill="auto"/>
            <w:vAlign w:val="bottom"/>
          </w:tcPr>
          <w:p w14:paraId="7AE6F325" w14:textId="107E6AA7"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90AC2B0" w14:textId="1C56E9E1" w:rsidR="005D19CF" w:rsidRPr="001D41EA" w:rsidRDefault="005D19CF" w:rsidP="005D19CF">
            <w:pPr>
              <w:spacing w:before="40" w:after="20"/>
              <w:jc w:val="center"/>
              <w:rPr>
                <w:rFonts w:cs="Arial"/>
                <w:sz w:val="18"/>
                <w:szCs w:val="18"/>
              </w:rPr>
            </w:pPr>
          </w:p>
        </w:tc>
      </w:tr>
      <w:tr w:rsidR="005D19CF" w:rsidRPr="001D41EA" w14:paraId="4C740D28"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E626675" w14:textId="77777777" w:rsidR="005D19CF" w:rsidRPr="001D41EA" w:rsidRDefault="005D19CF" w:rsidP="005D19CF">
            <w:pPr>
              <w:spacing w:before="40" w:after="20"/>
              <w:rPr>
                <w:rFonts w:cs="Arial"/>
                <w:sz w:val="18"/>
                <w:szCs w:val="18"/>
              </w:rPr>
            </w:pPr>
            <w:r w:rsidRPr="001D41EA">
              <w:rPr>
                <w:rFonts w:cs="Arial"/>
                <w:sz w:val="18"/>
                <w:szCs w:val="18"/>
              </w:rPr>
              <w:t>Melbourne C</w:t>
            </w:r>
          </w:p>
        </w:tc>
        <w:tc>
          <w:tcPr>
            <w:tcW w:w="1418" w:type="dxa"/>
            <w:tcBorders>
              <w:top w:val="nil"/>
              <w:left w:val="single" w:sz="18" w:space="0" w:color="5F497A" w:themeColor="accent4" w:themeShade="BF"/>
              <w:bottom w:val="nil"/>
              <w:right w:val="nil"/>
            </w:tcBorders>
            <w:shd w:val="clear" w:color="auto" w:fill="auto"/>
            <w:vAlign w:val="bottom"/>
          </w:tcPr>
          <w:p w14:paraId="70015990" w14:textId="6EBB0B0D" w:rsidR="005D19CF" w:rsidRPr="001D41EA" w:rsidRDefault="005D19CF" w:rsidP="005D19CF">
            <w:pPr>
              <w:spacing w:before="40" w:after="20"/>
              <w:jc w:val="right"/>
              <w:rPr>
                <w:rFonts w:cs="Arial"/>
                <w:sz w:val="18"/>
                <w:szCs w:val="18"/>
              </w:rPr>
            </w:pPr>
            <w:r w:rsidRPr="001D41EA">
              <w:rPr>
                <w:rFonts w:cs="Arial"/>
                <w:sz w:val="18"/>
                <w:szCs w:val="18"/>
              </w:rPr>
              <w:t>135,964</w:t>
            </w:r>
          </w:p>
        </w:tc>
        <w:tc>
          <w:tcPr>
            <w:tcW w:w="1418" w:type="dxa"/>
            <w:tcBorders>
              <w:top w:val="nil"/>
              <w:left w:val="nil"/>
              <w:bottom w:val="nil"/>
              <w:right w:val="nil"/>
            </w:tcBorders>
            <w:vAlign w:val="bottom"/>
          </w:tcPr>
          <w:p w14:paraId="7ED5D8F4" w14:textId="18A3E291" w:rsidR="005D19CF" w:rsidRPr="001D41EA" w:rsidRDefault="005D19CF" w:rsidP="005D19CF">
            <w:pPr>
              <w:spacing w:before="40" w:after="20"/>
              <w:jc w:val="right"/>
              <w:rPr>
                <w:rFonts w:cs="Arial"/>
                <w:sz w:val="18"/>
                <w:szCs w:val="18"/>
              </w:rPr>
            </w:pPr>
            <w:r w:rsidRPr="001D41EA">
              <w:rPr>
                <w:rFonts w:cs="Arial"/>
                <w:sz w:val="18"/>
                <w:szCs w:val="18"/>
              </w:rPr>
              <w:t>47,587</w:t>
            </w:r>
          </w:p>
        </w:tc>
        <w:tc>
          <w:tcPr>
            <w:tcW w:w="1418" w:type="dxa"/>
            <w:tcBorders>
              <w:top w:val="nil"/>
              <w:left w:val="nil"/>
              <w:bottom w:val="nil"/>
              <w:right w:val="nil"/>
            </w:tcBorders>
            <w:shd w:val="clear" w:color="auto" w:fill="auto"/>
            <w:vAlign w:val="bottom"/>
          </w:tcPr>
          <w:p w14:paraId="6CF0FB5A" w14:textId="42D31F5B" w:rsidR="005D19CF" w:rsidRPr="001D41EA" w:rsidRDefault="005D19CF" w:rsidP="005D19CF">
            <w:pPr>
              <w:spacing w:before="40" w:after="20"/>
              <w:jc w:val="center"/>
              <w:rPr>
                <w:rFonts w:cs="Arial"/>
                <w:sz w:val="18"/>
                <w:szCs w:val="18"/>
              </w:rPr>
            </w:pPr>
            <w:r w:rsidRPr="005D19CF">
              <w:rPr>
                <w:rFonts w:cs="Arial"/>
                <w:sz w:val="18"/>
                <w:szCs w:val="18"/>
              </w:rPr>
              <w:t>35.0</w:t>
            </w:r>
          </w:p>
        </w:tc>
        <w:tc>
          <w:tcPr>
            <w:tcW w:w="170" w:type="dxa"/>
            <w:tcBorders>
              <w:top w:val="nil"/>
              <w:left w:val="nil"/>
              <w:bottom w:val="nil"/>
              <w:right w:val="nil"/>
            </w:tcBorders>
            <w:shd w:val="clear" w:color="auto" w:fill="auto"/>
            <w:vAlign w:val="bottom"/>
          </w:tcPr>
          <w:p w14:paraId="73E7AF7E" w14:textId="0A9F6D1D"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1A446219" w14:textId="4D57286A" w:rsidR="005D19CF" w:rsidRPr="001D41EA" w:rsidRDefault="005D19CF" w:rsidP="005D19CF">
            <w:pPr>
              <w:spacing w:before="40" w:after="20"/>
              <w:jc w:val="center"/>
              <w:rPr>
                <w:rFonts w:cs="Arial"/>
                <w:sz w:val="18"/>
                <w:szCs w:val="18"/>
              </w:rPr>
            </w:pPr>
          </w:p>
        </w:tc>
      </w:tr>
      <w:tr w:rsidR="005D19CF" w:rsidRPr="001D41EA" w14:paraId="7652BD98"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B299A97" w14:textId="77777777" w:rsidR="005D19CF" w:rsidRPr="001D41EA" w:rsidRDefault="005D19CF" w:rsidP="005D19CF">
            <w:pPr>
              <w:spacing w:before="40" w:after="20"/>
              <w:rPr>
                <w:rFonts w:cs="Arial"/>
                <w:sz w:val="18"/>
                <w:szCs w:val="18"/>
              </w:rPr>
            </w:pPr>
            <w:r w:rsidRPr="001D41EA">
              <w:rPr>
                <w:rFonts w:cs="Arial"/>
                <w:sz w:val="18"/>
                <w:szCs w:val="18"/>
              </w:rPr>
              <w:t>Melton C</w:t>
            </w:r>
          </w:p>
        </w:tc>
        <w:tc>
          <w:tcPr>
            <w:tcW w:w="1418" w:type="dxa"/>
            <w:tcBorders>
              <w:top w:val="nil"/>
              <w:left w:val="single" w:sz="18" w:space="0" w:color="5F497A" w:themeColor="accent4" w:themeShade="BF"/>
              <w:bottom w:val="nil"/>
              <w:right w:val="nil"/>
            </w:tcBorders>
            <w:shd w:val="clear" w:color="auto" w:fill="auto"/>
            <w:vAlign w:val="bottom"/>
          </w:tcPr>
          <w:p w14:paraId="261C4B47" w14:textId="586F55F2" w:rsidR="005D19CF" w:rsidRPr="001D41EA" w:rsidRDefault="005D19CF" w:rsidP="005D19CF">
            <w:pPr>
              <w:spacing w:before="40" w:after="20"/>
              <w:jc w:val="right"/>
              <w:rPr>
                <w:rFonts w:cs="Arial"/>
                <w:sz w:val="18"/>
                <w:szCs w:val="18"/>
              </w:rPr>
            </w:pPr>
            <w:r w:rsidRPr="001D41EA">
              <w:rPr>
                <w:rFonts w:cs="Arial"/>
                <w:sz w:val="18"/>
                <w:szCs w:val="18"/>
              </w:rPr>
              <w:t>135,443</w:t>
            </w:r>
          </w:p>
        </w:tc>
        <w:tc>
          <w:tcPr>
            <w:tcW w:w="1418" w:type="dxa"/>
            <w:tcBorders>
              <w:top w:val="nil"/>
              <w:left w:val="nil"/>
              <w:bottom w:val="nil"/>
              <w:right w:val="nil"/>
            </w:tcBorders>
            <w:vAlign w:val="bottom"/>
          </w:tcPr>
          <w:p w14:paraId="2680B404" w14:textId="42411455" w:rsidR="005D19CF" w:rsidRPr="001D41EA" w:rsidRDefault="005D19CF" w:rsidP="005D19CF">
            <w:pPr>
              <w:spacing w:before="40" w:after="20"/>
              <w:jc w:val="right"/>
              <w:rPr>
                <w:rFonts w:cs="Arial"/>
                <w:sz w:val="18"/>
                <w:szCs w:val="18"/>
              </w:rPr>
            </w:pPr>
            <w:r w:rsidRPr="001D41EA">
              <w:rPr>
                <w:rFonts w:cs="Arial"/>
                <w:sz w:val="18"/>
                <w:szCs w:val="18"/>
              </w:rPr>
              <w:t>17,035</w:t>
            </w:r>
          </w:p>
        </w:tc>
        <w:tc>
          <w:tcPr>
            <w:tcW w:w="1418" w:type="dxa"/>
            <w:tcBorders>
              <w:top w:val="nil"/>
              <w:left w:val="nil"/>
              <w:bottom w:val="nil"/>
              <w:right w:val="nil"/>
            </w:tcBorders>
            <w:shd w:val="clear" w:color="auto" w:fill="auto"/>
            <w:vAlign w:val="bottom"/>
          </w:tcPr>
          <w:p w14:paraId="3286D366" w14:textId="59D1013C" w:rsidR="005D19CF" w:rsidRPr="001D41EA" w:rsidRDefault="005D19CF" w:rsidP="005D19CF">
            <w:pPr>
              <w:spacing w:before="40" w:after="20"/>
              <w:jc w:val="center"/>
              <w:rPr>
                <w:rFonts w:cs="Arial"/>
                <w:sz w:val="18"/>
                <w:szCs w:val="18"/>
              </w:rPr>
            </w:pPr>
            <w:r w:rsidRPr="005D19CF">
              <w:rPr>
                <w:rFonts w:cs="Arial"/>
                <w:sz w:val="18"/>
                <w:szCs w:val="18"/>
              </w:rPr>
              <w:t>12.6</w:t>
            </w:r>
          </w:p>
        </w:tc>
        <w:tc>
          <w:tcPr>
            <w:tcW w:w="170" w:type="dxa"/>
            <w:tcBorders>
              <w:top w:val="nil"/>
              <w:left w:val="nil"/>
              <w:bottom w:val="nil"/>
              <w:right w:val="nil"/>
            </w:tcBorders>
            <w:shd w:val="clear" w:color="auto" w:fill="auto"/>
            <w:vAlign w:val="bottom"/>
          </w:tcPr>
          <w:p w14:paraId="7968B0A4" w14:textId="3D272FEC"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404D7372" w14:textId="236637C5" w:rsidR="005D19CF" w:rsidRPr="001D41EA" w:rsidRDefault="005D19CF" w:rsidP="005D19CF">
            <w:pPr>
              <w:spacing w:before="40" w:after="20"/>
              <w:jc w:val="center"/>
              <w:rPr>
                <w:rFonts w:cs="Arial"/>
                <w:sz w:val="18"/>
                <w:szCs w:val="18"/>
              </w:rPr>
            </w:pPr>
            <w:r w:rsidRPr="001D41EA">
              <w:rPr>
                <w:rFonts w:cs="Arial"/>
                <w:sz w:val="18"/>
                <w:szCs w:val="18"/>
              </w:rPr>
              <w:t>0.14</w:t>
            </w:r>
          </w:p>
        </w:tc>
      </w:tr>
      <w:tr w:rsidR="005D19CF" w:rsidRPr="001D41EA" w14:paraId="5A776233"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F40609C" w14:textId="77777777" w:rsidR="005D19CF" w:rsidRPr="001D41EA" w:rsidRDefault="005D19CF" w:rsidP="005D19CF">
            <w:pPr>
              <w:spacing w:before="40" w:after="20"/>
              <w:rPr>
                <w:rFonts w:cs="Arial"/>
                <w:sz w:val="18"/>
                <w:szCs w:val="18"/>
              </w:rPr>
            </w:pPr>
            <w:r w:rsidRPr="001D41EA">
              <w:rPr>
                <w:rFonts w:cs="Arial"/>
                <w:sz w:val="18"/>
                <w:szCs w:val="18"/>
              </w:rPr>
              <w:t>Mildura RC</w:t>
            </w:r>
          </w:p>
        </w:tc>
        <w:tc>
          <w:tcPr>
            <w:tcW w:w="1418" w:type="dxa"/>
            <w:tcBorders>
              <w:top w:val="nil"/>
              <w:left w:val="single" w:sz="18" w:space="0" w:color="5F497A" w:themeColor="accent4" w:themeShade="BF"/>
              <w:bottom w:val="nil"/>
              <w:right w:val="nil"/>
            </w:tcBorders>
            <w:shd w:val="clear" w:color="auto" w:fill="auto"/>
            <w:vAlign w:val="bottom"/>
          </w:tcPr>
          <w:p w14:paraId="43C72C32" w14:textId="23763B89" w:rsidR="005D19CF" w:rsidRPr="001D41EA" w:rsidRDefault="005D19CF" w:rsidP="005D19CF">
            <w:pPr>
              <w:spacing w:before="40" w:after="20"/>
              <w:jc w:val="right"/>
              <w:rPr>
                <w:rFonts w:cs="Arial"/>
                <w:sz w:val="18"/>
                <w:szCs w:val="18"/>
              </w:rPr>
            </w:pPr>
            <w:r w:rsidRPr="001D41EA">
              <w:rPr>
                <w:rFonts w:cs="Arial"/>
                <w:sz w:val="18"/>
                <w:szCs w:val="18"/>
              </w:rPr>
              <w:t>53,878</w:t>
            </w:r>
          </w:p>
        </w:tc>
        <w:tc>
          <w:tcPr>
            <w:tcW w:w="1418" w:type="dxa"/>
            <w:tcBorders>
              <w:top w:val="nil"/>
              <w:left w:val="nil"/>
              <w:bottom w:val="nil"/>
              <w:right w:val="nil"/>
            </w:tcBorders>
            <w:vAlign w:val="bottom"/>
          </w:tcPr>
          <w:p w14:paraId="4AF746BE" w14:textId="09D6CEBD" w:rsidR="005D19CF" w:rsidRPr="001D41EA" w:rsidRDefault="005D19CF" w:rsidP="005D19CF">
            <w:pPr>
              <w:spacing w:before="40" w:after="20"/>
              <w:jc w:val="right"/>
              <w:rPr>
                <w:rFonts w:cs="Arial"/>
                <w:sz w:val="18"/>
                <w:szCs w:val="18"/>
              </w:rPr>
            </w:pPr>
            <w:r w:rsidRPr="001D41EA">
              <w:rPr>
                <w:rFonts w:cs="Arial"/>
                <w:sz w:val="18"/>
                <w:szCs w:val="18"/>
              </w:rPr>
              <w:t>21,551</w:t>
            </w:r>
          </w:p>
        </w:tc>
        <w:tc>
          <w:tcPr>
            <w:tcW w:w="1418" w:type="dxa"/>
            <w:tcBorders>
              <w:top w:val="nil"/>
              <w:left w:val="nil"/>
              <w:bottom w:val="nil"/>
              <w:right w:val="nil"/>
            </w:tcBorders>
            <w:shd w:val="clear" w:color="auto" w:fill="auto"/>
            <w:vAlign w:val="bottom"/>
          </w:tcPr>
          <w:p w14:paraId="0B61B2EE" w14:textId="41034C54" w:rsidR="005D19CF" w:rsidRPr="001D41EA" w:rsidRDefault="005D19CF" w:rsidP="005D19CF">
            <w:pPr>
              <w:spacing w:before="40" w:after="20"/>
              <w:jc w:val="center"/>
              <w:rPr>
                <w:rFonts w:cs="Arial"/>
                <w:sz w:val="18"/>
                <w:szCs w:val="18"/>
              </w:rPr>
            </w:pPr>
            <w:r w:rsidRPr="005D19CF">
              <w:rPr>
                <w:rFonts w:cs="Arial"/>
                <w:sz w:val="18"/>
                <w:szCs w:val="18"/>
              </w:rPr>
              <w:t>40.0</w:t>
            </w:r>
          </w:p>
        </w:tc>
        <w:tc>
          <w:tcPr>
            <w:tcW w:w="170" w:type="dxa"/>
            <w:tcBorders>
              <w:top w:val="nil"/>
              <w:left w:val="nil"/>
              <w:bottom w:val="nil"/>
              <w:right w:val="nil"/>
            </w:tcBorders>
            <w:shd w:val="clear" w:color="auto" w:fill="auto"/>
            <w:vAlign w:val="bottom"/>
          </w:tcPr>
          <w:p w14:paraId="3E1A0803" w14:textId="13052C18"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7B233BC" w14:textId="48795994" w:rsidR="005D19CF" w:rsidRPr="001D41EA" w:rsidRDefault="005D19CF" w:rsidP="005D19CF">
            <w:pPr>
              <w:spacing w:before="40" w:after="20"/>
              <w:jc w:val="center"/>
              <w:rPr>
                <w:rFonts w:cs="Arial"/>
                <w:sz w:val="18"/>
                <w:szCs w:val="18"/>
              </w:rPr>
            </w:pPr>
            <w:r w:rsidRPr="001D41EA">
              <w:rPr>
                <w:rFonts w:cs="Arial"/>
                <w:sz w:val="18"/>
                <w:szCs w:val="18"/>
              </w:rPr>
              <w:t>5.31</w:t>
            </w:r>
          </w:p>
        </w:tc>
      </w:tr>
      <w:tr w:rsidR="005D19CF" w:rsidRPr="001D41EA" w14:paraId="54B68156"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0FF337E" w14:textId="77777777" w:rsidR="005D19CF" w:rsidRPr="001D41EA" w:rsidRDefault="005D19CF" w:rsidP="005D19CF">
            <w:pPr>
              <w:spacing w:before="40" w:after="20"/>
              <w:rPr>
                <w:rFonts w:cs="Arial"/>
                <w:sz w:val="18"/>
                <w:szCs w:val="18"/>
              </w:rPr>
            </w:pPr>
            <w:r w:rsidRPr="001D41EA">
              <w:rPr>
                <w:rFonts w:cs="Arial"/>
                <w:sz w:val="18"/>
                <w:szCs w:val="18"/>
              </w:rPr>
              <w:t>Mitchell S</w:t>
            </w:r>
          </w:p>
        </w:tc>
        <w:tc>
          <w:tcPr>
            <w:tcW w:w="1418" w:type="dxa"/>
            <w:tcBorders>
              <w:top w:val="nil"/>
              <w:left w:val="single" w:sz="18" w:space="0" w:color="5F497A" w:themeColor="accent4" w:themeShade="BF"/>
              <w:bottom w:val="nil"/>
              <w:right w:val="nil"/>
            </w:tcBorders>
            <w:shd w:val="clear" w:color="auto" w:fill="auto"/>
            <w:vAlign w:val="bottom"/>
          </w:tcPr>
          <w:p w14:paraId="49673101" w14:textId="726E59D4" w:rsidR="005D19CF" w:rsidRPr="001D41EA" w:rsidRDefault="005D19CF" w:rsidP="005D19CF">
            <w:pPr>
              <w:spacing w:before="40" w:after="20"/>
              <w:jc w:val="right"/>
              <w:rPr>
                <w:rFonts w:cs="Arial"/>
                <w:sz w:val="18"/>
                <w:szCs w:val="18"/>
              </w:rPr>
            </w:pPr>
            <w:r w:rsidRPr="001D41EA">
              <w:rPr>
                <w:rFonts w:cs="Arial"/>
                <w:sz w:val="18"/>
                <w:szCs w:val="18"/>
              </w:rPr>
              <w:t>40,916</w:t>
            </w:r>
          </w:p>
        </w:tc>
        <w:tc>
          <w:tcPr>
            <w:tcW w:w="1418" w:type="dxa"/>
            <w:tcBorders>
              <w:top w:val="nil"/>
              <w:left w:val="nil"/>
              <w:bottom w:val="nil"/>
              <w:right w:val="nil"/>
            </w:tcBorders>
            <w:vAlign w:val="bottom"/>
          </w:tcPr>
          <w:p w14:paraId="16CFD11A" w14:textId="0E791CC5" w:rsidR="005D19CF" w:rsidRPr="001D41EA" w:rsidRDefault="005D19CF" w:rsidP="005D19CF">
            <w:pPr>
              <w:spacing w:before="40" w:after="20"/>
              <w:jc w:val="right"/>
              <w:rPr>
                <w:rFonts w:cs="Arial"/>
                <w:sz w:val="18"/>
                <w:szCs w:val="18"/>
              </w:rPr>
            </w:pPr>
            <w:r w:rsidRPr="001D41EA">
              <w:rPr>
                <w:rFonts w:cs="Arial"/>
                <w:sz w:val="18"/>
                <w:szCs w:val="18"/>
              </w:rPr>
              <w:t>7,598</w:t>
            </w:r>
          </w:p>
        </w:tc>
        <w:tc>
          <w:tcPr>
            <w:tcW w:w="1418" w:type="dxa"/>
            <w:tcBorders>
              <w:top w:val="nil"/>
              <w:left w:val="nil"/>
              <w:bottom w:val="nil"/>
              <w:right w:val="nil"/>
            </w:tcBorders>
            <w:shd w:val="clear" w:color="auto" w:fill="auto"/>
            <w:vAlign w:val="bottom"/>
          </w:tcPr>
          <w:p w14:paraId="3D958ED7" w14:textId="67B0BBFB" w:rsidR="005D19CF" w:rsidRPr="001D41EA" w:rsidRDefault="005D19CF" w:rsidP="005D19CF">
            <w:pPr>
              <w:spacing w:before="40" w:after="20"/>
              <w:jc w:val="center"/>
              <w:rPr>
                <w:rFonts w:cs="Arial"/>
                <w:sz w:val="18"/>
                <w:szCs w:val="18"/>
              </w:rPr>
            </w:pPr>
            <w:r w:rsidRPr="005D19CF">
              <w:rPr>
                <w:rFonts w:cs="Arial"/>
                <w:sz w:val="18"/>
                <w:szCs w:val="18"/>
              </w:rPr>
              <w:t>18.6</w:t>
            </w:r>
          </w:p>
        </w:tc>
        <w:tc>
          <w:tcPr>
            <w:tcW w:w="170" w:type="dxa"/>
            <w:tcBorders>
              <w:top w:val="nil"/>
              <w:left w:val="nil"/>
              <w:bottom w:val="nil"/>
              <w:right w:val="nil"/>
            </w:tcBorders>
            <w:shd w:val="clear" w:color="auto" w:fill="auto"/>
            <w:vAlign w:val="bottom"/>
          </w:tcPr>
          <w:p w14:paraId="2D959105" w14:textId="686A6AFE"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5DE92828" w14:textId="55978F7A" w:rsidR="005D19CF" w:rsidRPr="001D41EA" w:rsidRDefault="005D19CF" w:rsidP="005D19CF">
            <w:pPr>
              <w:spacing w:before="40" w:after="20"/>
              <w:jc w:val="center"/>
              <w:rPr>
                <w:rFonts w:cs="Arial"/>
                <w:sz w:val="18"/>
                <w:szCs w:val="18"/>
              </w:rPr>
            </w:pPr>
            <w:r w:rsidRPr="001D41EA">
              <w:rPr>
                <w:rFonts w:cs="Arial"/>
                <w:sz w:val="18"/>
                <w:szCs w:val="18"/>
              </w:rPr>
              <w:t>1.11</w:t>
            </w:r>
          </w:p>
        </w:tc>
      </w:tr>
      <w:tr w:rsidR="005D19CF" w:rsidRPr="001D41EA" w14:paraId="04B573BD"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88CB547" w14:textId="77777777" w:rsidR="005D19CF" w:rsidRPr="001D41EA" w:rsidRDefault="005D19CF" w:rsidP="005D19CF">
            <w:pPr>
              <w:spacing w:before="40" w:after="20"/>
              <w:rPr>
                <w:rFonts w:cs="Arial"/>
                <w:sz w:val="18"/>
                <w:szCs w:val="18"/>
              </w:rPr>
            </w:pPr>
            <w:r w:rsidRPr="001D41EA">
              <w:rPr>
                <w:rFonts w:cs="Arial"/>
                <w:sz w:val="18"/>
                <w:szCs w:val="18"/>
              </w:rPr>
              <w:t>Moira S</w:t>
            </w:r>
          </w:p>
        </w:tc>
        <w:tc>
          <w:tcPr>
            <w:tcW w:w="1418" w:type="dxa"/>
            <w:tcBorders>
              <w:top w:val="nil"/>
              <w:left w:val="single" w:sz="18" w:space="0" w:color="5F497A" w:themeColor="accent4" w:themeShade="BF"/>
              <w:bottom w:val="nil"/>
              <w:right w:val="nil"/>
            </w:tcBorders>
            <w:shd w:val="clear" w:color="auto" w:fill="auto"/>
            <w:vAlign w:val="bottom"/>
          </w:tcPr>
          <w:p w14:paraId="49135A5B" w14:textId="3268292B" w:rsidR="005D19CF" w:rsidRPr="001D41EA" w:rsidRDefault="005D19CF" w:rsidP="005D19CF">
            <w:pPr>
              <w:spacing w:before="40" w:after="20"/>
              <w:jc w:val="right"/>
              <w:rPr>
                <w:rFonts w:cs="Arial"/>
                <w:sz w:val="18"/>
                <w:szCs w:val="18"/>
              </w:rPr>
            </w:pPr>
            <w:r w:rsidRPr="001D41EA">
              <w:rPr>
                <w:rFonts w:cs="Arial"/>
                <w:sz w:val="18"/>
                <w:szCs w:val="18"/>
              </w:rPr>
              <w:t>29,108</w:t>
            </w:r>
          </w:p>
        </w:tc>
        <w:tc>
          <w:tcPr>
            <w:tcW w:w="1418" w:type="dxa"/>
            <w:tcBorders>
              <w:top w:val="nil"/>
              <w:left w:val="nil"/>
              <w:bottom w:val="nil"/>
              <w:right w:val="nil"/>
            </w:tcBorders>
            <w:vAlign w:val="bottom"/>
          </w:tcPr>
          <w:p w14:paraId="067E2EC0" w14:textId="61001509" w:rsidR="005D19CF" w:rsidRPr="001D41EA" w:rsidRDefault="005D19CF" w:rsidP="005D19CF">
            <w:pPr>
              <w:spacing w:before="40" w:after="20"/>
              <w:jc w:val="right"/>
              <w:rPr>
                <w:rFonts w:cs="Arial"/>
                <w:sz w:val="18"/>
                <w:szCs w:val="18"/>
              </w:rPr>
            </w:pPr>
            <w:r w:rsidRPr="001D41EA">
              <w:rPr>
                <w:rFonts w:cs="Arial"/>
                <w:sz w:val="18"/>
                <w:szCs w:val="18"/>
              </w:rPr>
              <w:t>5,219</w:t>
            </w:r>
          </w:p>
        </w:tc>
        <w:tc>
          <w:tcPr>
            <w:tcW w:w="1418" w:type="dxa"/>
            <w:tcBorders>
              <w:top w:val="nil"/>
              <w:left w:val="nil"/>
              <w:bottom w:val="nil"/>
              <w:right w:val="nil"/>
            </w:tcBorders>
            <w:shd w:val="clear" w:color="auto" w:fill="auto"/>
            <w:vAlign w:val="bottom"/>
          </w:tcPr>
          <w:p w14:paraId="31D43F7D" w14:textId="64CA4FBC" w:rsidR="005D19CF" w:rsidRPr="001D41EA" w:rsidRDefault="005D19CF" w:rsidP="005D19CF">
            <w:pPr>
              <w:spacing w:before="40" w:after="20"/>
              <w:jc w:val="center"/>
              <w:rPr>
                <w:rFonts w:cs="Arial"/>
                <w:sz w:val="18"/>
                <w:szCs w:val="18"/>
              </w:rPr>
            </w:pPr>
            <w:r w:rsidRPr="005D19CF">
              <w:rPr>
                <w:rFonts w:cs="Arial"/>
                <w:sz w:val="18"/>
                <w:szCs w:val="18"/>
              </w:rPr>
              <w:t>17.9</w:t>
            </w:r>
          </w:p>
        </w:tc>
        <w:tc>
          <w:tcPr>
            <w:tcW w:w="170" w:type="dxa"/>
            <w:tcBorders>
              <w:top w:val="nil"/>
              <w:left w:val="nil"/>
              <w:bottom w:val="nil"/>
              <w:right w:val="nil"/>
            </w:tcBorders>
            <w:shd w:val="clear" w:color="auto" w:fill="auto"/>
            <w:vAlign w:val="bottom"/>
          </w:tcPr>
          <w:p w14:paraId="369459AE" w14:textId="70205389"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744135AF" w14:textId="2331B3B2" w:rsidR="005D19CF" w:rsidRPr="001D41EA" w:rsidRDefault="005D19CF" w:rsidP="005D19CF">
            <w:pPr>
              <w:spacing w:before="40" w:after="20"/>
              <w:jc w:val="center"/>
              <w:rPr>
                <w:rFonts w:cs="Arial"/>
                <w:sz w:val="18"/>
                <w:szCs w:val="18"/>
              </w:rPr>
            </w:pPr>
            <w:r w:rsidRPr="001D41EA">
              <w:rPr>
                <w:rFonts w:cs="Arial"/>
                <w:sz w:val="18"/>
                <w:szCs w:val="18"/>
              </w:rPr>
              <w:t>1.99</w:t>
            </w:r>
          </w:p>
        </w:tc>
      </w:tr>
      <w:tr w:rsidR="005D19CF" w:rsidRPr="001D41EA" w14:paraId="48199DD7"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025C232" w14:textId="77777777" w:rsidR="005D19CF" w:rsidRPr="001D41EA" w:rsidRDefault="005D19CF" w:rsidP="005D19CF">
            <w:pPr>
              <w:spacing w:before="40" w:after="20"/>
              <w:rPr>
                <w:rFonts w:cs="Arial"/>
                <w:sz w:val="18"/>
                <w:szCs w:val="18"/>
              </w:rPr>
            </w:pPr>
            <w:r w:rsidRPr="001D41EA">
              <w:rPr>
                <w:rFonts w:cs="Arial"/>
                <w:sz w:val="18"/>
                <w:szCs w:val="18"/>
              </w:rPr>
              <w:t>Monash C</w:t>
            </w:r>
          </w:p>
        </w:tc>
        <w:tc>
          <w:tcPr>
            <w:tcW w:w="1418" w:type="dxa"/>
            <w:tcBorders>
              <w:top w:val="nil"/>
              <w:left w:val="single" w:sz="18" w:space="0" w:color="5F497A" w:themeColor="accent4" w:themeShade="BF"/>
              <w:bottom w:val="nil"/>
              <w:right w:val="nil"/>
            </w:tcBorders>
            <w:shd w:val="clear" w:color="auto" w:fill="auto"/>
            <w:vAlign w:val="bottom"/>
          </w:tcPr>
          <w:p w14:paraId="0397DC46" w14:textId="44C77022" w:rsidR="005D19CF" w:rsidRPr="001D41EA" w:rsidRDefault="005D19CF" w:rsidP="005D19CF">
            <w:pPr>
              <w:spacing w:before="40" w:after="20"/>
              <w:jc w:val="right"/>
              <w:rPr>
                <w:rFonts w:cs="Arial"/>
                <w:sz w:val="18"/>
                <w:szCs w:val="18"/>
              </w:rPr>
            </w:pPr>
            <w:r w:rsidRPr="001D41EA">
              <w:rPr>
                <w:rFonts w:cs="Arial"/>
                <w:sz w:val="18"/>
                <w:szCs w:val="18"/>
              </w:rPr>
              <w:t>182,617</w:t>
            </w:r>
          </w:p>
        </w:tc>
        <w:tc>
          <w:tcPr>
            <w:tcW w:w="1418" w:type="dxa"/>
            <w:tcBorders>
              <w:top w:val="nil"/>
              <w:left w:val="nil"/>
              <w:bottom w:val="nil"/>
              <w:right w:val="nil"/>
            </w:tcBorders>
            <w:vAlign w:val="bottom"/>
          </w:tcPr>
          <w:p w14:paraId="73EA1051" w14:textId="3225923B" w:rsidR="005D19CF" w:rsidRPr="001D41EA" w:rsidRDefault="005D19CF" w:rsidP="005D19CF">
            <w:pPr>
              <w:spacing w:before="40" w:after="20"/>
              <w:jc w:val="right"/>
              <w:rPr>
                <w:rFonts w:cs="Arial"/>
                <w:sz w:val="18"/>
                <w:szCs w:val="18"/>
              </w:rPr>
            </w:pPr>
            <w:r w:rsidRPr="001D41EA">
              <w:rPr>
                <w:rFonts w:cs="Arial"/>
                <w:sz w:val="18"/>
                <w:szCs w:val="18"/>
              </w:rPr>
              <w:t>69,969</w:t>
            </w:r>
          </w:p>
        </w:tc>
        <w:tc>
          <w:tcPr>
            <w:tcW w:w="1418" w:type="dxa"/>
            <w:tcBorders>
              <w:top w:val="nil"/>
              <w:left w:val="nil"/>
              <w:bottom w:val="nil"/>
              <w:right w:val="nil"/>
            </w:tcBorders>
            <w:shd w:val="clear" w:color="auto" w:fill="auto"/>
            <w:vAlign w:val="bottom"/>
          </w:tcPr>
          <w:p w14:paraId="7580D7AD" w14:textId="03979366" w:rsidR="005D19CF" w:rsidRPr="001D41EA" w:rsidRDefault="005D19CF" w:rsidP="005D19CF">
            <w:pPr>
              <w:spacing w:before="40" w:after="20"/>
              <w:jc w:val="center"/>
              <w:rPr>
                <w:rFonts w:cs="Arial"/>
                <w:sz w:val="18"/>
                <w:szCs w:val="18"/>
              </w:rPr>
            </w:pPr>
            <w:r w:rsidRPr="005D19CF">
              <w:rPr>
                <w:rFonts w:cs="Arial"/>
                <w:sz w:val="18"/>
                <w:szCs w:val="18"/>
              </w:rPr>
              <w:t>38.3</w:t>
            </w:r>
          </w:p>
        </w:tc>
        <w:tc>
          <w:tcPr>
            <w:tcW w:w="170" w:type="dxa"/>
            <w:tcBorders>
              <w:top w:val="nil"/>
              <w:left w:val="nil"/>
              <w:bottom w:val="nil"/>
              <w:right w:val="nil"/>
            </w:tcBorders>
            <w:shd w:val="clear" w:color="auto" w:fill="auto"/>
            <w:vAlign w:val="bottom"/>
          </w:tcPr>
          <w:p w14:paraId="6ADF098C" w14:textId="3517F7A3"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97E29E3" w14:textId="23B655E2" w:rsidR="005D19CF" w:rsidRPr="001D41EA" w:rsidRDefault="005D19CF" w:rsidP="005D19CF">
            <w:pPr>
              <w:spacing w:before="40" w:after="20"/>
              <w:jc w:val="center"/>
              <w:rPr>
                <w:rFonts w:cs="Arial"/>
                <w:sz w:val="18"/>
                <w:szCs w:val="18"/>
              </w:rPr>
            </w:pPr>
          </w:p>
        </w:tc>
      </w:tr>
      <w:tr w:rsidR="005D19CF" w:rsidRPr="001D41EA" w14:paraId="41B48741"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9C919AC" w14:textId="77777777" w:rsidR="005D19CF" w:rsidRPr="001D41EA" w:rsidRDefault="005D19CF" w:rsidP="005D19CF">
            <w:pPr>
              <w:spacing w:before="40" w:after="20"/>
              <w:rPr>
                <w:rFonts w:cs="Arial"/>
                <w:sz w:val="18"/>
                <w:szCs w:val="18"/>
              </w:rPr>
            </w:pPr>
            <w:r w:rsidRPr="001D41EA">
              <w:rPr>
                <w:rFonts w:cs="Arial"/>
                <w:sz w:val="18"/>
                <w:szCs w:val="18"/>
              </w:rPr>
              <w:t>Moonee Valley C</w:t>
            </w:r>
          </w:p>
        </w:tc>
        <w:tc>
          <w:tcPr>
            <w:tcW w:w="1418" w:type="dxa"/>
            <w:tcBorders>
              <w:top w:val="nil"/>
              <w:left w:val="single" w:sz="18" w:space="0" w:color="5F497A" w:themeColor="accent4" w:themeShade="BF"/>
              <w:bottom w:val="nil"/>
              <w:right w:val="nil"/>
            </w:tcBorders>
            <w:shd w:val="clear" w:color="auto" w:fill="auto"/>
            <w:vAlign w:val="bottom"/>
          </w:tcPr>
          <w:p w14:paraId="52EAA9C9" w14:textId="281C3E1C" w:rsidR="005D19CF" w:rsidRPr="001D41EA" w:rsidRDefault="005D19CF" w:rsidP="005D19CF">
            <w:pPr>
              <w:spacing w:before="40" w:after="20"/>
              <w:jc w:val="right"/>
              <w:rPr>
                <w:rFonts w:cs="Arial"/>
                <w:sz w:val="18"/>
                <w:szCs w:val="18"/>
              </w:rPr>
            </w:pPr>
            <w:r w:rsidRPr="001D41EA">
              <w:rPr>
                <w:rFonts w:cs="Arial"/>
                <w:sz w:val="18"/>
                <w:szCs w:val="18"/>
              </w:rPr>
              <w:t>116,674</w:t>
            </w:r>
          </w:p>
        </w:tc>
        <w:tc>
          <w:tcPr>
            <w:tcW w:w="1418" w:type="dxa"/>
            <w:tcBorders>
              <w:top w:val="nil"/>
              <w:left w:val="nil"/>
              <w:bottom w:val="nil"/>
              <w:right w:val="nil"/>
            </w:tcBorders>
            <w:vAlign w:val="bottom"/>
          </w:tcPr>
          <w:p w14:paraId="0F8056BE" w14:textId="5E876D72" w:rsidR="005D19CF" w:rsidRPr="001D41EA" w:rsidRDefault="005D19CF" w:rsidP="005D19CF">
            <w:pPr>
              <w:spacing w:before="40" w:after="20"/>
              <w:jc w:val="right"/>
              <w:rPr>
                <w:rFonts w:cs="Arial"/>
                <w:sz w:val="18"/>
                <w:szCs w:val="18"/>
              </w:rPr>
            </w:pPr>
            <w:r w:rsidRPr="001D41EA">
              <w:rPr>
                <w:rFonts w:cs="Arial"/>
                <w:sz w:val="18"/>
                <w:szCs w:val="18"/>
              </w:rPr>
              <w:t>27,933</w:t>
            </w:r>
          </w:p>
        </w:tc>
        <w:tc>
          <w:tcPr>
            <w:tcW w:w="1418" w:type="dxa"/>
            <w:tcBorders>
              <w:top w:val="nil"/>
              <w:left w:val="nil"/>
              <w:bottom w:val="nil"/>
              <w:right w:val="nil"/>
            </w:tcBorders>
            <w:shd w:val="clear" w:color="auto" w:fill="auto"/>
            <w:vAlign w:val="bottom"/>
          </w:tcPr>
          <w:p w14:paraId="498C7EE1" w14:textId="00827E00" w:rsidR="005D19CF" w:rsidRPr="001D41EA" w:rsidRDefault="005D19CF" w:rsidP="005D19CF">
            <w:pPr>
              <w:spacing w:before="40" w:after="20"/>
              <w:jc w:val="center"/>
              <w:rPr>
                <w:rFonts w:cs="Arial"/>
                <w:sz w:val="18"/>
                <w:szCs w:val="18"/>
              </w:rPr>
            </w:pPr>
            <w:r w:rsidRPr="005D19CF">
              <w:rPr>
                <w:rFonts w:cs="Arial"/>
                <w:sz w:val="18"/>
                <w:szCs w:val="18"/>
              </w:rPr>
              <w:t>23.9</w:t>
            </w:r>
          </w:p>
        </w:tc>
        <w:tc>
          <w:tcPr>
            <w:tcW w:w="170" w:type="dxa"/>
            <w:tcBorders>
              <w:top w:val="nil"/>
              <w:left w:val="nil"/>
              <w:bottom w:val="nil"/>
              <w:right w:val="nil"/>
            </w:tcBorders>
            <w:shd w:val="clear" w:color="auto" w:fill="auto"/>
            <w:vAlign w:val="bottom"/>
          </w:tcPr>
          <w:p w14:paraId="2DEC5EFF" w14:textId="6E158D95"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0052DA2" w14:textId="25097DBE" w:rsidR="005D19CF" w:rsidRPr="001D41EA" w:rsidRDefault="005D19CF" w:rsidP="005D19CF">
            <w:pPr>
              <w:spacing w:before="40" w:after="20"/>
              <w:jc w:val="center"/>
              <w:rPr>
                <w:rFonts w:cs="Arial"/>
                <w:sz w:val="18"/>
                <w:szCs w:val="18"/>
              </w:rPr>
            </w:pPr>
          </w:p>
        </w:tc>
      </w:tr>
      <w:tr w:rsidR="005D19CF" w:rsidRPr="001D41EA" w14:paraId="32E10B0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5B59591" w14:textId="77777777" w:rsidR="005D19CF" w:rsidRPr="001D41EA" w:rsidRDefault="005D19CF" w:rsidP="005D19CF">
            <w:pPr>
              <w:spacing w:before="40" w:after="20"/>
              <w:rPr>
                <w:rFonts w:cs="Arial"/>
                <w:sz w:val="18"/>
                <w:szCs w:val="18"/>
              </w:rPr>
            </w:pPr>
            <w:r w:rsidRPr="001D41EA">
              <w:rPr>
                <w:rFonts w:cs="Arial"/>
                <w:sz w:val="18"/>
                <w:szCs w:val="18"/>
              </w:rPr>
              <w:t>Moorabool S</w:t>
            </w:r>
          </w:p>
        </w:tc>
        <w:tc>
          <w:tcPr>
            <w:tcW w:w="1418" w:type="dxa"/>
            <w:tcBorders>
              <w:top w:val="nil"/>
              <w:left w:val="single" w:sz="18" w:space="0" w:color="5F497A" w:themeColor="accent4" w:themeShade="BF"/>
              <w:bottom w:val="nil"/>
              <w:right w:val="nil"/>
            </w:tcBorders>
            <w:shd w:val="clear" w:color="auto" w:fill="auto"/>
            <w:vAlign w:val="bottom"/>
          </w:tcPr>
          <w:p w14:paraId="6237A40E" w14:textId="40072C14" w:rsidR="005D19CF" w:rsidRPr="001D41EA" w:rsidRDefault="005D19CF" w:rsidP="005D19CF">
            <w:pPr>
              <w:spacing w:before="40" w:after="20"/>
              <w:jc w:val="right"/>
              <w:rPr>
                <w:rFonts w:cs="Arial"/>
                <w:sz w:val="18"/>
                <w:szCs w:val="18"/>
              </w:rPr>
            </w:pPr>
            <w:r w:rsidRPr="001D41EA">
              <w:rPr>
                <w:rFonts w:cs="Arial"/>
                <w:sz w:val="18"/>
                <w:szCs w:val="18"/>
              </w:rPr>
              <w:t>31,820</w:t>
            </w:r>
          </w:p>
        </w:tc>
        <w:tc>
          <w:tcPr>
            <w:tcW w:w="1418" w:type="dxa"/>
            <w:tcBorders>
              <w:top w:val="nil"/>
              <w:left w:val="nil"/>
              <w:bottom w:val="nil"/>
              <w:right w:val="nil"/>
            </w:tcBorders>
            <w:vAlign w:val="bottom"/>
          </w:tcPr>
          <w:p w14:paraId="0B9D98C3" w14:textId="6E32CB70" w:rsidR="005D19CF" w:rsidRPr="001D41EA" w:rsidRDefault="005D19CF" w:rsidP="005D19CF">
            <w:pPr>
              <w:spacing w:before="40" w:after="20"/>
              <w:jc w:val="right"/>
              <w:rPr>
                <w:rFonts w:cs="Arial"/>
                <w:sz w:val="18"/>
                <w:szCs w:val="18"/>
              </w:rPr>
            </w:pPr>
            <w:r w:rsidRPr="001D41EA">
              <w:rPr>
                <w:rFonts w:cs="Arial"/>
                <w:sz w:val="18"/>
                <w:szCs w:val="18"/>
              </w:rPr>
              <w:t>4,641</w:t>
            </w:r>
          </w:p>
        </w:tc>
        <w:tc>
          <w:tcPr>
            <w:tcW w:w="1418" w:type="dxa"/>
            <w:tcBorders>
              <w:top w:val="nil"/>
              <w:left w:val="nil"/>
              <w:bottom w:val="nil"/>
              <w:right w:val="nil"/>
            </w:tcBorders>
            <w:shd w:val="clear" w:color="auto" w:fill="auto"/>
            <w:vAlign w:val="bottom"/>
          </w:tcPr>
          <w:p w14:paraId="37FA24FE" w14:textId="0E172E09" w:rsidR="005D19CF" w:rsidRPr="001D41EA" w:rsidRDefault="005D19CF" w:rsidP="005D19CF">
            <w:pPr>
              <w:spacing w:before="40" w:after="20"/>
              <w:jc w:val="center"/>
              <w:rPr>
                <w:rFonts w:cs="Arial"/>
                <w:sz w:val="18"/>
                <w:szCs w:val="18"/>
              </w:rPr>
            </w:pPr>
            <w:r w:rsidRPr="005D19CF">
              <w:rPr>
                <w:rFonts w:cs="Arial"/>
                <w:sz w:val="18"/>
                <w:szCs w:val="18"/>
              </w:rPr>
              <w:t>14.6</w:t>
            </w:r>
          </w:p>
        </w:tc>
        <w:tc>
          <w:tcPr>
            <w:tcW w:w="170" w:type="dxa"/>
            <w:tcBorders>
              <w:top w:val="nil"/>
              <w:left w:val="nil"/>
              <w:bottom w:val="nil"/>
              <w:right w:val="nil"/>
            </w:tcBorders>
            <w:shd w:val="clear" w:color="auto" w:fill="auto"/>
            <w:vAlign w:val="bottom"/>
          </w:tcPr>
          <w:p w14:paraId="1269E7F0" w14:textId="57BC7240"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3F3967E" w14:textId="7377F2D7" w:rsidR="005D19CF" w:rsidRPr="001D41EA" w:rsidRDefault="005D19CF" w:rsidP="005D19CF">
            <w:pPr>
              <w:spacing w:before="40" w:after="20"/>
              <w:jc w:val="center"/>
              <w:rPr>
                <w:rFonts w:cs="Arial"/>
                <w:sz w:val="18"/>
                <w:szCs w:val="18"/>
              </w:rPr>
            </w:pPr>
            <w:r w:rsidRPr="001D41EA">
              <w:rPr>
                <w:rFonts w:cs="Arial"/>
                <w:sz w:val="18"/>
                <w:szCs w:val="18"/>
              </w:rPr>
              <w:t>0.82</w:t>
            </w:r>
          </w:p>
        </w:tc>
      </w:tr>
      <w:tr w:rsidR="005D19CF" w:rsidRPr="001D41EA" w14:paraId="213C0B7C"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E701E25" w14:textId="77777777" w:rsidR="005D19CF" w:rsidRPr="001D41EA" w:rsidRDefault="005D19CF" w:rsidP="005D19CF">
            <w:pPr>
              <w:spacing w:before="40" w:after="20"/>
              <w:rPr>
                <w:rFonts w:cs="Arial"/>
                <w:sz w:val="18"/>
                <w:szCs w:val="18"/>
              </w:rPr>
            </w:pPr>
            <w:r w:rsidRPr="001D41EA">
              <w:rPr>
                <w:rFonts w:cs="Arial"/>
                <w:sz w:val="18"/>
                <w:szCs w:val="18"/>
              </w:rPr>
              <w:t>Moreland C</w:t>
            </w:r>
          </w:p>
        </w:tc>
        <w:tc>
          <w:tcPr>
            <w:tcW w:w="1418" w:type="dxa"/>
            <w:tcBorders>
              <w:top w:val="nil"/>
              <w:left w:val="single" w:sz="18" w:space="0" w:color="5F497A" w:themeColor="accent4" w:themeShade="BF"/>
              <w:bottom w:val="nil"/>
              <w:right w:val="nil"/>
            </w:tcBorders>
            <w:shd w:val="clear" w:color="auto" w:fill="auto"/>
            <w:vAlign w:val="bottom"/>
          </w:tcPr>
          <w:p w14:paraId="2E416A27" w14:textId="5BAC0A08" w:rsidR="005D19CF" w:rsidRPr="001D41EA" w:rsidRDefault="005D19CF" w:rsidP="005D19CF">
            <w:pPr>
              <w:spacing w:before="40" w:after="20"/>
              <w:jc w:val="right"/>
              <w:rPr>
                <w:rFonts w:cs="Arial"/>
                <w:sz w:val="18"/>
                <w:szCs w:val="18"/>
              </w:rPr>
            </w:pPr>
            <w:r w:rsidRPr="001D41EA">
              <w:rPr>
                <w:rFonts w:cs="Arial"/>
                <w:sz w:val="18"/>
                <w:szCs w:val="18"/>
              </w:rPr>
              <w:t>162,564</w:t>
            </w:r>
          </w:p>
        </w:tc>
        <w:tc>
          <w:tcPr>
            <w:tcW w:w="1418" w:type="dxa"/>
            <w:tcBorders>
              <w:top w:val="nil"/>
              <w:left w:val="nil"/>
              <w:bottom w:val="nil"/>
              <w:right w:val="nil"/>
            </w:tcBorders>
            <w:vAlign w:val="bottom"/>
          </w:tcPr>
          <w:p w14:paraId="1E9225A0" w14:textId="7209AC58" w:rsidR="005D19CF" w:rsidRPr="001D41EA" w:rsidRDefault="005D19CF" w:rsidP="005D19CF">
            <w:pPr>
              <w:spacing w:before="40" w:after="20"/>
              <w:jc w:val="right"/>
              <w:rPr>
                <w:rFonts w:cs="Arial"/>
                <w:sz w:val="18"/>
                <w:szCs w:val="18"/>
              </w:rPr>
            </w:pPr>
            <w:r w:rsidRPr="001D41EA">
              <w:rPr>
                <w:rFonts w:cs="Arial"/>
                <w:sz w:val="18"/>
                <w:szCs w:val="18"/>
              </w:rPr>
              <w:t>27,778</w:t>
            </w:r>
          </w:p>
        </w:tc>
        <w:tc>
          <w:tcPr>
            <w:tcW w:w="1418" w:type="dxa"/>
            <w:tcBorders>
              <w:top w:val="nil"/>
              <w:left w:val="nil"/>
              <w:bottom w:val="nil"/>
              <w:right w:val="nil"/>
            </w:tcBorders>
            <w:shd w:val="clear" w:color="auto" w:fill="auto"/>
            <w:vAlign w:val="bottom"/>
          </w:tcPr>
          <w:p w14:paraId="67BA1B3A" w14:textId="049AF679" w:rsidR="005D19CF" w:rsidRPr="001D41EA" w:rsidRDefault="005D19CF" w:rsidP="005D19CF">
            <w:pPr>
              <w:spacing w:before="40" w:after="20"/>
              <w:jc w:val="center"/>
              <w:rPr>
                <w:rFonts w:cs="Arial"/>
                <w:sz w:val="18"/>
                <w:szCs w:val="18"/>
              </w:rPr>
            </w:pPr>
            <w:r w:rsidRPr="005D19CF">
              <w:rPr>
                <w:rFonts w:cs="Arial"/>
                <w:sz w:val="18"/>
                <w:szCs w:val="18"/>
              </w:rPr>
              <w:t>17.1</w:t>
            </w:r>
          </w:p>
        </w:tc>
        <w:tc>
          <w:tcPr>
            <w:tcW w:w="170" w:type="dxa"/>
            <w:tcBorders>
              <w:top w:val="nil"/>
              <w:left w:val="nil"/>
              <w:bottom w:val="nil"/>
              <w:right w:val="nil"/>
            </w:tcBorders>
            <w:shd w:val="clear" w:color="auto" w:fill="auto"/>
            <w:vAlign w:val="bottom"/>
          </w:tcPr>
          <w:p w14:paraId="69B3716F" w14:textId="5825877C"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413A8B6" w14:textId="7829B62A" w:rsidR="005D19CF" w:rsidRPr="001D41EA" w:rsidRDefault="005D19CF" w:rsidP="005D19CF">
            <w:pPr>
              <w:spacing w:before="40" w:after="20"/>
              <w:jc w:val="center"/>
              <w:rPr>
                <w:rFonts w:cs="Arial"/>
                <w:sz w:val="18"/>
                <w:szCs w:val="18"/>
              </w:rPr>
            </w:pPr>
          </w:p>
        </w:tc>
      </w:tr>
      <w:tr w:rsidR="005D19CF" w:rsidRPr="001D41EA" w14:paraId="72289CDF"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79164D3" w14:textId="77777777" w:rsidR="005D19CF" w:rsidRPr="001D41EA" w:rsidRDefault="005D19CF" w:rsidP="005D19CF">
            <w:pPr>
              <w:spacing w:before="40" w:after="20"/>
              <w:rPr>
                <w:rFonts w:cs="Arial"/>
                <w:sz w:val="18"/>
                <w:szCs w:val="18"/>
              </w:rPr>
            </w:pPr>
            <w:r w:rsidRPr="001D41EA">
              <w:rPr>
                <w:rFonts w:cs="Arial"/>
                <w:sz w:val="18"/>
                <w:szCs w:val="18"/>
              </w:rPr>
              <w:t>Mornington Peninsula S</w:t>
            </w:r>
          </w:p>
        </w:tc>
        <w:tc>
          <w:tcPr>
            <w:tcW w:w="1418" w:type="dxa"/>
            <w:tcBorders>
              <w:top w:val="nil"/>
              <w:left w:val="single" w:sz="18" w:space="0" w:color="5F497A" w:themeColor="accent4" w:themeShade="BF"/>
              <w:bottom w:val="nil"/>
              <w:right w:val="nil"/>
            </w:tcBorders>
            <w:shd w:val="clear" w:color="auto" w:fill="auto"/>
            <w:vAlign w:val="bottom"/>
          </w:tcPr>
          <w:p w14:paraId="3FD59EC9" w14:textId="475F997A" w:rsidR="005D19CF" w:rsidRPr="001D41EA" w:rsidRDefault="005D19CF" w:rsidP="005D19CF">
            <w:pPr>
              <w:spacing w:before="40" w:after="20"/>
              <w:jc w:val="right"/>
              <w:rPr>
                <w:rFonts w:cs="Arial"/>
                <w:sz w:val="18"/>
                <w:szCs w:val="18"/>
              </w:rPr>
            </w:pPr>
            <w:r w:rsidRPr="001D41EA">
              <w:rPr>
                <w:rFonts w:cs="Arial"/>
                <w:sz w:val="18"/>
                <w:szCs w:val="18"/>
              </w:rPr>
              <w:t>154,996</w:t>
            </w:r>
          </w:p>
        </w:tc>
        <w:tc>
          <w:tcPr>
            <w:tcW w:w="1418" w:type="dxa"/>
            <w:tcBorders>
              <w:top w:val="nil"/>
              <w:left w:val="nil"/>
              <w:bottom w:val="nil"/>
              <w:right w:val="nil"/>
            </w:tcBorders>
            <w:vAlign w:val="bottom"/>
          </w:tcPr>
          <w:p w14:paraId="01395E57" w14:textId="398FAD1F" w:rsidR="005D19CF" w:rsidRPr="001D41EA" w:rsidRDefault="005D19CF" w:rsidP="005D19CF">
            <w:pPr>
              <w:spacing w:before="40" w:after="20"/>
              <w:jc w:val="right"/>
              <w:rPr>
                <w:rFonts w:cs="Arial"/>
                <w:sz w:val="18"/>
                <w:szCs w:val="18"/>
              </w:rPr>
            </w:pPr>
            <w:r w:rsidRPr="001D41EA">
              <w:rPr>
                <w:rFonts w:cs="Arial"/>
                <w:sz w:val="18"/>
                <w:szCs w:val="18"/>
              </w:rPr>
              <w:t>35,485</w:t>
            </w:r>
          </w:p>
        </w:tc>
        <w:tc>
          <w:tcPr>
            <w:tcW w:w="1418" w:type="dxa"/>
            <w:tcBorders>
              <w:top w:val="nil"/>
              <w:left w:val="nil"/>
              <w:bottom w:val="nil"/>
              <w:right w:val="nil"/>
            </w:tcBorders>
            <w:shd w:val="clear" w:color="auto" w:fill="auto"/>
            <w:vAlign w:val="bottom"/>
          </w:tcPr>
          <w:p w14:paraId="10E4D081" w14:textId="16596088" w:rsidR="005D19CF" w:rsidRPr="001D41EA" w:rsidRDefault="005D19CF" w:rsidP="005D19CF">
            <w:pPr>
              <w:spacing w:before="40" w:after="20"/>
              <w:jc w:val="center"/>
              <w:rPr>
                <w:rFonts w:cs="Arial"/>
                <w:sz w:val="18"/>
                <w:szCs w:val="18"/>
              </w:rPr>
            </w:pPr>
            <w:r w:rsidRPr="005D19CF">
              <w:rPr>
                <w:rFonts w:cs="Arial"/>
                <w:sz w:val="18"/>
                <w:szCs w:val="18"/>
              </w:rPr>
              <w:t>22.9</w:t>
            </w:r>
          </w:p>
        </w:tc>
        <w:tc>
          <w:tcPr>
            <w:tcW w:w="170" w:type="dxa"/>
            <w:tcBorders>
              <w:top w:val="nil"/>
              <w:left w:val="nil"/>
              <w:bottom w:val="nil"/>
              <w:right w:val="nil"/>
            </w:tcBorders>
            <w:shd w:val="clear" w:color="auto" w:fill="auto"/>
            <w:vAlign w:val="bottom"/>
          </w:tcPr>
          <w:p w14:paraId="351F8E60" w14:textId="5DA033B7"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16A5CFFB" w14:textId="65ECDC3A" w:rsidR="005D19CF" w:rsidRPr="001D41EA" w:rsidRDefault="005D19CF" w:rsidP="005D19CF">
            <w:pPr>
              <w:spacing w:before="40" w:after="20"/>
              <w:jc w:val="center"/>
              <w:rPr>
                <w:rFonts w:cs="Arial"/>
                <w:sz w:val="18"/>
                <w:szCs w:val="18"/>
              </w:rPr>
            </w:pPr>
            <w:r w:rsidRPr="001D41EA">
              <w:rPr>
                <w:rFonts w:cs="Arial"/>
                <w:sz w:val="18"/>
                <w:szCs w:val="18"/>
              </w:rPr>
              <w:t>0.14</w:t>
            </w:r>
          </w:p>
        </w:tc>
      </w:tr>
      <w:tr w:rsidR="005D19CF" w:rsidRPr="001D41EA" w14:paraId="74185240" w14:textId="77777777" w:rsidTr="00CA09E3">
        <w:trPr>
          <w:trHeight w:val="80"/>
        </w:trPr>
        <w:tc>
          <w:tcPr>
            <w:tcW w:w="2268" w:type="dxa"/>
            <w:tcBorders>
              <w:top w:val="nil"/>
              <w:left w:val="nil"/>
              <w:bottom w:val="nil"/>
              <w:right w:val="single" w:sz="18" w:space="0" w:color="5F497A" w:themeColor="accent4" w:themeShade="BF"/>
            </w:tcBorders>
            <w:shd w:val="clear" w:color="auto" w:fill="auto"/>
            <w:vAlign w:val="center"/>
          </w:tcPr>
          <w:p w14:paraId="1B17008D" w14:textId="77777777" w:rsidR="005D19CF" w:rsidRPr="001D41EA" w:rsidRDefault="005D19CF" w:rsidP="005D19CF">
            <w:pPr>
              <w:spacing w:before="40" w:after="20"/>
              <w:rPr>
                <w:rFonts w:cs="Arial"/>
                <w:sz w:val="18"/>
                <w:szCs w:val="18"/>
              </w:rPr>
            </w:pPr>
            <w:r w:rsidRPr="001D41EA">
              <w:rPr>
                <w:rFonts w:cs="Arial"/>
                <w:sz w:val="18"/>
                <w:szCs w:val="18"/>
              </w:rPr>
              <w:t>Mount Alexander S</w:t>
            </w:r>
          </w:p>
        </w:tc>
        <w:tc>
          <w:tcPr>
            <w:tcW w:w="1418" w:type="dxa"/>
            <w:tcBorders>
              <w:top w:val="nil"/>
              <w:left w:val="single" w:sz="18" w:space="0" w:color="5F497A" w:themeColor="accent4" w:themeShade="BF"/>
              <w:bottom w:val="nil"/>
              <w:right w:val="nil"/>
            </w:tcBorders>
            <w:shd w:val="clear" w:color="auto" w:fill="auto"/>
            <w:vAlign w:val="bottom"/>
          </w:tcPr>
          <w:p w14:paraId="5C7CE1E2" w14:textId="4AC99ABA" w:rsidR="005D19CF" w:rsidRPr="001D41EA" w:rsidRDefault="005D19CF" w:rsidP="005D19CF">
            <w:pPr>
              <w:spacing w:before="40" w:after="20"/>
              <w:jc w:val="right"/>
              <w:rPr>
                <w:rFonts w:cs="Arial"/>
                <w:sz w:val="18"/>
                <w:szCs w:val="18"/>
              </w:rPr>
            </w:pPr>
            <w:r w:rsidRPr="001D41EA">
              <w:rPr>
                <w:rFonts w:cs="Arial"/>
                <w:sz w:val="18"/>
                <w:szCs w:val="18"/>
              </w:rPr>
              <w:t>18,762</w:t>
            </w:r>
          </w:p>
        </w:tc>
        <w:tc>
          <w:tcPr>
            <w:tcW w:w="1418" w:type="dxa"/>
            <w:tcBorders>
              <w:top w:val="nil"/>
              <w:left w:val="nil"/>
              <w:bottom w:val="nil"/>
              <w:right w:val="nil"/>
            </w:tcBorders>
            <w:vAlign w:val="bottom"/>
          </w:tcPr>
          <w:p w14:paraId="3DF291F0" w14:textId="33419C80" w:rsidR="005D19CF" w:rsidRPr="001D41EA" w:rsidRDefault="005D19CF" w:rsidP="005D19CF">
            <w:pPr>
              <w:spacing w:before="40" w:after="20"/>
              <w:jc w:val="right"/>
              <w:rPr>
                <w:rFonts w:cs="Arial"/>
                <w:sz w:val="18"/>
                <w:szCs w:val="18"/>
              </w:rPr>
            </w:pPr>
            <w:r w:rsidRPr="001D41EA">
              <w:rPr>
                <w:rFonts w:cs="Arial"/>
                <w:sz w:val="18"/>
                <w:szCs w:val="18"/>
              </w:rPr>
              <w:t>4,029</w:t>
            </w:r>
          </w:p>
        </w:tc>
        <w:tc>
          <w:tcPr>
            <w:tcW w:w="1418" w:type="dxa"/>
            <w:tcBorders>
              <w:top w:val="nil"/>
              <w:left w:val="nil"/>
              <w:bottom w:val="nil"/>
              <w:right w:val="nil"/>
            </w:tcBorders>
            <w:shd w:val="clear" w:color="auto" w:fill="auto"/>
            <w:vAlign w:val="bottom"/>
          </w:tcPr>
          <w:p w14:paraId="1DD5812D" w14:textId="095C5B13" w:rsidR="005D19CF" w:rsidRPr="001D41EA" w:rsidRDefault="005D19CF" w:rsidP="005D19CF">
            <w:pPr>
              <w:spacing w:before="40" w:after="20"/>
              <w:jc w:val="center"/>
              <w:rPr>
                <w:rFonts w:cs="Arial"/>
                <w:sz w:val="18"/>
                <w:szCs w:val="18"/>
              </w:rPr>
            </w:pPr>
            <w:r w:rsidRPr="005D19CF">
              <w:rPr>
                <w:rFonts w:cs="Arial"/>
                <w:sz w:val="18"/>
                <w:szCs w:val="18"/>
              </w:rPr>
              <w:t>21.5</w:t>
            </w:r>
          </w:p>
        </w:tc>
        <w:tc>
          <w:tcPr>
            <w:tcW w:w="170" w:type="dxa"/>
            <w:tcBorders>
              <w:top w:val="nil"/>
              <w:left w:val="nil"/>
              <w:bottom w:val="nil"/>
              <w:right w:val="nil"/>
            </w:tcBorders>
            <w:shd w:val="clear" w:color="auto" w:fill="auto"/>
            <w:vAlign w:val="bottom"/>
          </w:tcPr>
          <w:p w14:paraId="22C95EC9" w14:textId="478B5713"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2460AC8" w14:textId="47984473" w:rsidR="005D19CF" w:rsidRPr="001D41EA" w:rsidRDefault="005D19CF" w:rsidP="005D19CF">
            <w:pPr>
              <w:spacing w:before="40" w:after="20"/>
              <w:jc w:val="center"/>
              <w:rPr>
                <w:rFonts w:cs="Arial"/>
                <w:sz w:val="18"/>
                <w:szCs w:val="18"/>
              </w:rPr>
            </w:pPr>
            <w:r w:rsidRPr="001D41EA">
              <w:rPr>
                <w:rFonts w:cs="Arial"/>
                <w:sz w:val="18"/>
                <w:szCs w:val="18"/>
              </w:rPr>
              <w:t>1.02</w:t>
            </w:r>
          </w:p>
        </w:tc>
      </w:tr>
      <w:tr w:rsidR="005D19CF" w:rsidRPr="001D41EA" w14:paraId="4BCF7DF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41858E9" w14:textId="77777777" w:rsidR="005D19CF" w:rsidRPr="001D41EA" w:rsidRDefault="005D19CF" w:rsidP="005D19CF">
            <w:pPr>
              <w:spacing w:before="40" w:after="20"/>
              <w:rPr>
                <w:rFonts w:cs="Arial"/>
                <w:sz w:val="18"/>
                <w:szCs w:val="18"/>
              </w:rPr>
            </w:pPr>
            <w:r w:rsidRPr="001D41EA">
              <w:rPr>
                <w:rFonts w:cs="Arial"/>
                <w:sz w:val="18"/>
                <w:szCs w:val="18"/>
              </w:rPr>
              <w:t>Moyne S</w:t>
            </w:r>
          </w:p>
        </w:tc>
        <w:tc>
          <w:tcPr>
            <w:tcW w:w="1418" w:type="dxa"/>
            <w:tcBorders>
              <w:top w:val="nil"/>
              <w:left w:val="single" w:sz="18" w:space="0" w:color="5F497A" w:themeColor="accent4" w:themeShade="BF"/>
              <w:bottom w:val="nil"/>
              <w:right w:val="nil"/>
            </w:tcBorders>
            <w:shd w:val="clear" w:color="auto" w:fill="auto"/>
            <w:vAlign w:val="bottom"/>
          </w:tcPr>
          <w:p w14:paraId="1517BFA2" w14:textId="3786D3BC" w:rsidR="005D19CF" w:rsidRPr="001D41EA" w:rsidRDefault="005D19CF" w:rsidP="005D19CF">
            <w:pPr>
              <w:spacing w:before="40" w:after="20"/>
              <w:jc w:val="right"/>
              <w:rPr>
                <w:rFonts w:cs="Arial"/>
                <w:sz w:val="18"/>
                <w:szCs w:val="18"/>
              </w:rPr>
            </w:pPr>
            <w:r w:rsidRPr="001D41EA">
              <w:rPr>
                <w:rFonts w:cs="Arial"/>
                <w:sz w:val="18"/>
                <w:szCs w:val="18"/>
              </w:rPr>
              <w:t>16,499</w:t>
            </w:r>
          </w:p>
        </w:tc>
        <w:tc>
          <w:tcPr>
            <w:tcW w:w="1418" w:type="dxa"/>
            <w:tcBorders>
              <w:top w:val="nil"/>
              <w:left w:val="nil"/>
              <w:bottom w:val="nil"/>
              <w:right w:val="nil"/>
            </w:tcBorders>
            <w:vAlign w:val="bottom"/>
          </w:tcPr>
          <w:p w14:paraId="4B1F6D49" w14:textId="4A75929C" w:rsidR="005D19CF" w:rsidRPr="001D41EA" w:rsidRDefault="005D19CF" w:rsidP="005D19CF">
            <w:pPr>
              <w:spacing w:before="40" w:after="20"/>
              <w:jc w:val="right"/>
              <w:rPr>
                <w:rFonts w:cs="Arial"/>
                <w:sz w:val="18"/>
                <w:szCs w:val="18"/>
              </w:rPr>
            </w:pPr>
            <w:r w:rsidRPr="001D41EA">
              <w:rPr>
                <w:rFonts w:cs="Arial"/>
                <w:sz w:val="18"/>
                <w:szCs w:val="18"/>
              </w:rPr>
              <w:t>2,056</w:t>
            </w:r>
          </w:p>
        </w:tc>
        <w:tc>
          <w:tcPr>
            <w:tcW w:w="1418" w:type="dxa"/>
            <w:tcBorders>
              <w:top w:val="nil"/>
              <w:left w:val="nil"/>
              <w:bottom w:val="nil"/>
              <w:right w:val="nil"/>
            </w:tcBorders>
            <w:shd w:val="clear" w:color="auto" w:fill="auto"/>
            <w:vAlign w:val="bottom"/>
          </w:tcPr>
          <w:p w14:paraId="0FB075A5" w14:textId="2EF34A9D" w:rsidR="005D19CF" w:rsidRPr="001D41EA" w:rsidRDefault="005D19CF" w:rsidP="005D19CF">
            <w:pPr>
              <w:spacing w:before="40" w:after="20"/>
              <w:jc w:val="center"/>
              <w:rPr>
                <w:rFonts w:cs="Arial"/>
                <w:sz w:val="18"/>
                <w:szCs w:val="18"/>
              </w:rPr>
            </w:pPr>
            <w:r w:rsidRPr="005D19CF">
              <w:rPr>
                <w:rFonts w:cs="Arial"/>
                <w:sz w:val="18"/>
                <w:szCs w:val="18"/>
              </w:rPr>
              <w:t>12.5</w:t>
            </w:r>
          </w:p>
        </w:tc>
        <w:tc>
          <w:tcPr>
            <w:tcW w:w="170" w:type="dxa"/>
            <w:tcBorders>
              <w:top w:val="nil"/>
              <w:left w:val="nil"/>
              <w:bottom w:val="nil"/>
              <w:right w:val="nil"/>
            </w:tcBorders>
            <w:shd w:val="clear" w:color="auto" w:fill="auto"/>
            <w:vAlign w:val="bottom"/>
          </w:tcPr>
          <w:p w14:paraId="7F9DF289" w14:textId="0BCAE710"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96E696E" w14:textId="020F0D82" w:rsidR="005D19CF" w:rsidRPr="001D41EA" w:rsidRDefault="005D19CF" w:rsidP="005D19CF">
            <w:pPr>
              <w:spacing w:before="40" w:after="20"/>
              <w:jc w:val="center"/>
              <w:rPr>
                <w:rFonts w:cs="Arial"/>
                <w:sz w:val="18"/>
                <w:szCs w:val="18"/>
              </w:rPr>
            </w:pPr>
            <w:r w:rsidRPr="001D41EA">
              <w:rPr>
                <w:rFonts w:cs="Arial"/>
                <w:sz w:val="18"/>
                <w:szCs w:val="18"/>
              </w:rPr>
              <w:t>2.47</w:t>
            </w:r>
          </w:p>
        </w:tc>
      </w:tr>
      <w:tr w:rsidR="005D19CF" w:rsidRPr="001D41EA" w14:paraId="2B8DB95D"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21F96B6" w14:textId="77777777" w:rsidR="005D19CF" w:rsidRPr="001D41EA" w:rsidRDefault="005D19CF" w:rsidP="005D19CF">
            <w:pPr>
              <w:spacing w:before="40" w:after="20"/>
              <w:rPr>
                <w:rFonts w:cs="Arial"/>
                <w:sz w:val="18"/>
                <w:szCs w:val="18"/>
              </w:rPr>
            </w:pPr>
            <w:r w:rsidRPr="001D41EA">
              <w:rPr>
                <w:rFonts w:cs="Arial"/>
                <w:sz w:val="18"/>
                <w:szCs w:val="18"/>
              </w:rPr>
              <w:t>Murrindindi S</w:t>
            </w:r>
          </w:p>
        </w:tc>
        <w:tc>
          <w:tcPr>
            <w:tcW w:w="1418" w:type="dxa"/>
            <w:tcBorders>
              <w:top w:val="nil"/>
              <w:left w:val="single" w:sz="18" w:space="0" w:color="5F497A" w:themeColor="accent4" w:themeShade="BF"/>
              <w:bottom w:val="nil"/>
              <w:right w:val="nil"/>
            </w:tcBorders>
            <w:shd w:val="clear" w:color="auto" w:fill="auto"/>
            <w:vAlign w:val="bottom"/>
          </w:tcPr>
          <w:p w14:paraId="40E5B03D" w14:textId="1685ECA7" w:rsidR="005D19CF" w:rsidRPr="001D41EA" w:rsidRDefault="005D19CF" w:rsidP="005D19CF">
            <w:pPr>
              <w:spacing w:before="40" w:after="20"/>
              <w:jc w:val="right"/>
              <w:rPr>
                <w:rFonts w:cs="Arial"/>
                <w:sz w:val="18"/>
                <w:szCs w:val="18"/>
              </w:rPr>
            </w:pPr>
            <w:r w:rsidRPr="001D41EA">
              <w:rPr>
                <w:rFonts w:cs="Arial"/>
                <w:sz w:val="18"/>
                <w:szCs w:val="18"/>
              </w:rPr>
              <w:t>13,730</w:t>
            </w:r>
          </w:p>
        </w:tc>
        <w:tc>
          <w:tcPr>
            <w:tcW w:w="1418" w:type="dxa"/>
            <w:tcBorders>
              <w:top w:val="nil"/>
              <w:left w:val="nil"/>
              <w:bottom w:val="nil"/>
              <w:right w:val="nil"/>
            </w:tcBorders>
            <w:vAlign w:val="bottom"/>
          </w:tcPr>
          <w:p w14:paraId="46A6F232" w14:textId="2AD46D88" w:rsidR="005D19CF" w:rsidRPr="001D41EA" w:rsidRDefault="005D19CF" w:rsidP="005D19CF">
            <w:pPr>
              <w:spacing w:before="40" w:after="20"/>
              <w:jc w:val="right"/>
              <w:rPr>
                <w:rFonts w:cs="Arial"/>
                <w:sz w:val="18"/>
                <w:szCs w:val="18"/>
              </w:rPr>
            </w:pPr>
            <w:r w:rsidRPr="001D41EA">
              <w:rPr>
                <w:rFonts w:cs="Arial"/>
                <w:sz w:val="18"/>
                <w:szCs w:val="18"/>
              </w:rPr>
              <w:t>2,465</w:t>
            </w:r>
          </w:p>
        </w:tc>
        <w:tc>
          <w:tcPr>
            <w:tcW w:w="1418" w:type="dxa"/>
            <w:tcBorders>
              <w:top w:val="nil"/>
              <w:left w:val="nil"/>
              <w:bottom w:val="nil"/>
              <w:right w:val="nil"/>
            </w:tcBorders>
            <w:shd w:val="clear" w:color="auto" w:fill="auto"/>
            <w:vAlign w:val="bottom"/>
          </w:tcPr>
          <w:p w14:paraId="0DA6406F" w14:textId="0E40DD91" w:rsidR="005D19CF" w:rsidRPr="001D41EA" w:rsidRDefault="005D19CF" w:rsidP="005D19CF">
            <w:pPr>
              <w:spacing w:before="40" w:after="20"/>
              <w:jc w:val="center"/>
              <w:rPr>
                <w:rFonts w:cs="Arial"/>
                <w:sz w:val="18"/>
                <w:szCs w:val="18"/>
              </w:rPr>
            </w:pPr>
            <w:r w:rsidRPr="005D19CF">
              <w:rPr>
                <w:rFonts w:cs="Arial"/>
                <w:sz w:val="18"/>
                <w:szCs w:val="18"/>
              </w:rPr>
              <w:t>18.0</w:t>
            </w:r>
          </w:p>
        </w:tc>
        <w:tc>
          <w:tcPr>
            <w:tcW w:w="170" w:type="dxa"/>
            <w:tcBorders>
              <w:top w:val="nil"/>
              <w:left w:val="nil"/>
              <w:bottom w:val="nil"/>
              <w:right w:val="nil"/>
            </w:tcBorders>
            <w:shd w:val="clear" w:color="auto" w:fill="auto"/>
            <w:vAlign w:val="bottom"/>
          </w:tcPr>
          <w:p w14:paraId="3E0294C0" w14:textId="2A4A87CC"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4116CF6" w14:textId="08486771" w:rsidR="005D19CF" w:rsidRPr="001D41EA" w:rsidRDefault="005D19CF" w:rsidP="005D19CF">
            <w:pPr>
              <w:spacing w:before="40" w:after="20"/>
              <w:jc w:val="center"/>
              <w:rPr>
                <w:rFonts w:cs="Arial"/>
                <w:sz w:val="18"/>
                <w:szCs w:val="18"/>
              </w:rPr>
            </w:pPr>
            <w:r w:rsidRPr="001D41EA">
              <w:rPr>
                <w:rFonts w:cs="Arial"/>
                <w:sz w:val="18"/>
                <w:szCs w:val="18"/>
              </w:rPr>
              <w:t>1.84</w:t>
            </w:r>
          </w:p>
        </w:tc>
      </w:tr>
      <w:tr w:rsidR="005D19CF" w:rsidRPr="001D41EA" w14:paraId="7D7DDA7C"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70CEDC3" w14:textId="77777777" w:rsidR="005D19CF" w:rsidRPr="001D41EA" w:rsidRDefault="005D19CF" w:rsidP="005D19CF">
            <w:pPr>
              <w:spacing w:before="40" w:after="20"/>
              <w:rPr>
                <w:rFonts w:cs="Arial"/>
                <w:sz w:val="18"/>
                <w:szCs w:val="18"/>
              </w:rPr>
            </w:pPr>
            <w:r w:rsidRPr="001D41EA">
              <w:rPr>
                <w:rFonts w:cs="Arial"/>
                <w:sz w:val="18"/>
                <w:szCs w:val="18"/>
              </w:rPr>
              <w:t>Nillumbik S</w:t>
            </w:r>
          </w:p>
        </w:tc>
        <w:tc>
          <w:tcPr>
            <w:tcW w:w="1418" w:type="dxa"/>
            <w:tcBorders>
              <w:top w:val="nil"/>
              <w:left w:val="single" w:sz="18" w:space="0" w:color="5F497A" w:themeColor="accent4" w:themeShade="BF"/>
              <w:bottom w:val="nil"/>
              <w:right w:val="nil"/>
            </w:tcBorders>
            <w:shd w:val="clear" w:color="auto" w:fill="auto"/>
            <w:vAlign w:val="bottom"/>
          </w:tcPr>
          <w:p w14:paraId="460A4EE5" w14:textId="5CB514B8" w:rsidR="005D19CF" w:rsidRPr="001D41EA" w:rsidRDefault="005D19CF" w:rsidP="005D19CF">
            <w:pPr>
              <w:spacing w:before="40" w:after="20"/>
              <w:jc w:val="right"/>
              <w:rPr>
                <w:rFonts w:cs="Arial"/>
                <w:sz w:val="18"/>
                <w:szCs w:val="18"/>
              </w:rPr>
            </w:pPr>
            <w:r w:rsidRPr="001D41EA">
              <w:rPr>
                <w:rFonts w:cs="Arial"/>
                <w:sz w:val="18"/>
                <w:szCs w:val="18"/>
              </w:rPr>
              <w:t>61,274</w:t>
            </w:r>
          </w:p>
        </w:tc>
        <w:tc>
          <w:tcPr>
            <w:tcW w:w="1418" w:type="dxa"/>
            <w:tcBorders>
              <w:top w:val="nil"/>
              <w:left w:val="nil"/>
              <w:bottom w:val="nil"/>
              <w:right w:val="nil"/>
            </w:tcBorders>
            <w:vAlign w:val="bottom"/>
          </w:tcPr>
          <w:p w14:paraId="1481872D" w14:textId="29E8B94D" w:rsidR="005D19CF" w:rsidRPr="001D41EA" w:rsidRDefault="005D19CF" w:rsidP="005D19CF">
            <w:pPr>
              <w:spacing w:before="40" w:after="20"/>
              <w:jc w:val="right"/>
              <w:rPr>
                <w:rFonts w:cs="Arial"/>
                <w:sz w:val="18"/>
                <w:szCs w:val="18"/>
              </w:rPr>
            </w:pPr>
            <w:r w:rsidRPr="001D41EA">
              <w:rPr>
                <w:rFonts w:cs="Arial"/>
                <w:sz w:val="18"/>
                <w:szCs w:val="18"/>
              </w:rPr>
              <w:t>9,814</w:t>
            </w:r>
          </w:p>
        </w:tc>
        <w:tc>
          <w:tcPr>
            <w:tcW w:w="1418" w:type="dxa"/>
            <w:tcBorders>
              <w:top w:val="nil"/>
              <w:left w:val="nil"/>
              <w:bottom w:val="nil"/>
              <w:right w:val="nil"/>
            </w:tcBorders>
            <w:shd w:val="clear" w:color="auto" w:fill="auto"/>
            <w:vAlign w:val="bottom"/>
          </w:tcPr>
          <w:p w14:paraId="482B96F9" w14:textId="0C66492B" w:rsidR="005D19CF" w:rsidRPr="001D41EA" w:rsidRDefault="005D19CF" w:rsidP="005D19CF">
            <w:pPr>
              <w:spacing w:before="40" w:after="20"/>
              <w:jc w:val="center"/>
              <w:rPr>
                <w:rFonts w:cs="Arial"/>
                <w:sz w:val="18"/>
                <w:szCs w:val="18"/>
              </w:rPr>
            </w:pPr>
            <w:r w:rsidRPr="005D19CF">
              <w:rPr>
                <w:rFonts w:cs="Arial"/>
                <w:sz w:val="18"/>
                <w:szCs w:val="18"/>
              </w:rPr>
              <w:t>16.0</w:t>
            </w:r>
          </w:p>
        </w:tc>
        <w:tc>
          <w:tcPr>
            <w:tcW w:w="170" w:type="dxa"/>
            <w:tcBorders>
              <w:top w:val="nil"/>
              <w:left w:val="nil"/>
              <w:bottom w:val="nil"/>
              <w:right w:val="nil"/>
            </w:tcBorders>
            <w:shd w:val="clear" w:color="auto" w:fill="auto"/>
            <w:vAlign w:val="bottom"/>
          </w:tcPr>
          <w:p w14:paraId="4B4BAF30" w14:textId="4F2B0AB4"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318CB162" w14:textId="41466E56" w:rsidR="005D19CF" w:rsidRPr="001D41EA" w:rsidRDefault="005D19CF" w:rsidP="005D19CF">
            <w:pPr>
              <w:spacing w:before="40" w:after="20"/>
              <w:jc w:val="center"/>
              <w:rPr>
                <w:rFonts w:cs="Arial"/>
                <w:sz w:val="18"/>
                <w:szCs w:val="18"/>
              </w:rPr>
            </w:pPr>
            <w:r w:rsidRPr="001D41EA">
              <w:rPr>
                <w:rFonts w:cs="Arial"/>
                <w:sz w:val="18"/>
                <w:szCs w:val="18"/>
              </w:rPr>
              <w:t>0.25</w:t>
            </w:r>
          </w:p>
        </w:tc>
      </w:tr>
      <w:tr w:rsidR="005D19CF" w:rsidRPr="001D41EA" w14:paraId="213E1D86"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033B7BD" w14:textId="77777777" w:rsidR="005D19CF" w:rsidRPr="001D41EA" w:rsidRDefault="005D19CF" w:rsidP="005D19CF">
            <w:pPr>
              <w:spacing w:before="40" w:after="20"/>
              <w:rPr>
                <w:rFonts w:cs="Arial"/>
                <w:sz w:val="18"/>
                <w:szCs w:val="18"/>
              </w:rPr>
            </w:pPr>
            <w:r w:rsidRPr="001D41EA">
              <w:rPr>
                <w:rFonts w:cs="Arial"/>
                <w:sz w:val="18"/>
                <w:szCs w:val="18"/>
              </w:rPr>
              <w:t>Northern Grampians S</w:t>
            </w:r>
          </w:p>
        </w:tc>
        <w:tc>
          <w:tcPr>
            <w:tcW w:w="1418" w:type="dxa"/>
            <w:tcBorders>
              <w:top w:val="nil"/>
              <w:left w:val="single" w:sz="18" w:space="0" w:color="5F497A" w:themeColor="accent4" w:themeShade="BF"/>
              <w:bottom w:val="nil"/>
              <w:right w:val="nil"/>
            </w:tcBorders>
            <w:shd w:val="clear" w:color="auto" w:fill="auto"/>
            <w:vAlign w:val="bottom"/>
          </w:tcPr>
          <w:p w14:paraId="3B1CAEB1" w14:textId="4603B601" w:rsidR="005D19CF" w:rsidRPr="001D41EA" w:rsidRDefault="005D19CF" w:rsidP="005D19CF">
            <w:pPr>
              <w:spacing w:before="40" w:after="20"/>
              <w:jc w:val="right"/>
              <w:rPr>
                <w:rFonts w:cs="Arial"/>
                <w:sz w:val="18"/>
                <w:szCs w:val="18"/>
              </w:rPr>
            </w:pPr>
            <w:r w:rsidRPr="001D41EA">
              <w:rPr>
                <w:rFonts w:cs="Arial"/>
                <w:sz w:val="18"/>
                <w:szCs w:val="18"/>
              </w:rPr>
              <w:t>11,436</w:t>
            </w:r>
          </w:p>
        </w:tc>
        <w:tc>
          <w:tcPr>
            <w:tcW w:w="1418" w:type="dxa"/>
            <w:tcBorders>
              <w:top w:val="nil"/>
              <w:left w:val="nil"/>
              <w:bottom w:val="nil"/>
              <w:right w:val="nil"/>
            </w:tcBorders>
            <w:vAlign w:val="bottom"/>
          </w:tcPr>
          <w:p w14:paraId="56669EC1" w14:textId="176A1943" w:rsidR="005D19CF" w:rsidRPr="001D41EA" w:rsidRDefault="005D19CF" w:rsidP="005D19CF">
            <w:pPr>
              <w:spacing w:before="40" w:after="20"/>
              <w:jc w:val="right"/>
              <w:rPr>
                <w:rFonts w:cs="Arial"/>
                <w:sz w:val="18"/>
                <w:szCs w:val="18"/>
              </w:rPr>
            </w:pPr>
            <w:r w:rsidRPr="001D41EA">
              <w:rPr>
                <w:rFonts w:cs="Arial"/>
                <w:sz w:val="18"/>
                <w:szCs w:val="18"/>
              </w:rPr>
              <w:t>2,788</w:t>
            </w:r>
          </w:p>
        </w:tc>
        <w:tc>
          <w:tcPr>
            <w:tcW w:w="1418" w:type="dxa"/>
            <w:tcBorders>
              <w:top w:val="nil"/>
              <w:left w:val="nil"/>
              <w:bottom w:val="nil"/>
              <w:right w:val="nil"/>
            </w:tcBorders>
            <w:shd w:val="clear" w:color="auto" w:fill="auto"/>
            <w:vAlign w:val="bottom"/>
          </w:tcPr>
          <w:p w14:paraId="39E545E1" w14:textId="7FB752C0" w:rsidR="005D19CF" w:rsidRPr="001D41EA" w:rsidRDefault="005D19CF" w:rsidP="005D19CF">
            <w:pPr>
              <w:spacing w:before="40" w:after="20"/>
              <w:jc w:val="center"/>
              <w:rPr>
                <w:rFonts w:cs="Arial"/>
                <w:sz w:val="18"/>
                <w:szCs w:val="18"/>
              </w:rPr>
            </w:pPr>
            <w:r w:rsidRPr="005D19CF">
              <w:rPr>
                <w:rFonts w:cs="Arial"/>
                <w:sz w:val="18"/>
                <w:szCs w:val="18"/>
              </w:rPr>
              <w:t>24.4</w:t>
            </w:r>
          </w:p>
        </w:tc>
        <w:tc>
          <w:tcPr>
            <w:tcW w:w="170" w:type="dxa"/>
            <w:tcBorders>
              <w:top w:val="nil"/>
              <w:left w:val="nil"/>
              <w:bottom w:val="nil"/>
              <w:right w:val="nil"/>
            </w:tcBorders>
            <w:shd w:val="clear" w:color="auto" w:fill="auto"/>
            <w:vAlign w:val="bottom"/>
          </w:tcPr>
          <w:p w14:paraId="2BB69491" w14:textId="2F175AEB"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166E51A0" w14:textId="2E07C53C" w:rsidR="005D19CF" w:rsidRPr="001D41EA" w:rsidRDefault="005D19CF" w:rsidP="005D19CF">
            <w:pPr>
              <w:spacing w:before="40" w:after="20"/>
              <w:jc w:val="center"/>
              <w:rPr>
                <w:rFonts w:cs="Arial"/>
                <w:sz w:val="18"/>
                <w:szCs w:val="18"/>
              </w:rPr>
            </w:pPr>
            <w:r w:rsidRPr="001D41EA">
              <w:rPr>
                <w:rFonts w:cs="Arial"/>
                <w:sz w:val="18"/>
                <w:szCs w:val="18"/>
              </w:rPr>
              <w:t>2.91</w:t>
            </w:r>
          </w:p>
        </w:tc>
      </w:tr>
      <w:tr w:rsidR="005D19CF" w:rsidRPr="001D41EA" w14:paraId="27ED8A5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6FF7292" w14:textId="77777777" w:rsidR="005D19CF" w:rsidRPr="001D41EA" w:rsidRDefault="005D19CF" w:rsidP="005D19CF">
            <w:pPr>
              <w:spacing w:before="40" w:after="20"/>
              <w:rPr>
                <w:rFonts w:cs="Arial"/>
                <w:sz w:val="18"/>
                <w:szCs w:val="18"/>
              </w:rPr>
            </w:pPr>
            <w:r w:rsidRPr="001D41EA">
              <w:rPr>
                <w:rFonts w:cs="Arial"/>
                <w:sz w:val="18"/>
                <w:szCs w:val="18"/>
              </w:rPr>
              <w:t>Port Phillip C</w:t>
            </w:r>
          </w:p>
        </w:tc>
        <w:tc>
          <w:tcPr>
            <w:tcW w:w="1418" w:type="dxa"/>
            <w:tcBorders>
              <w:top w:val="nil"/>
              <w:left w:val="single" w:sz="18" w:space="0" w:color="5F497A" w:themeColor="accent4" w:themeShade="BF"/>
              <w:bottom w:val="nil"/>
              <w:right w:val="nil"/>
            </w:tcBorders>
            <w:shd w:val="clear" w:color="auto" w:fill="auto"/>
            <w:vAlign w:val="bottom"/>
          </w:tcPr>
          <w:p w14:paraId="70DB4385" w14:textId="7B265CCB" w:rsidR="005D19CF" w:rsidRPr="001D41EA" w:rsidRDefault="005D19CF" w:rsidP="005D19CF">
            <w:pPr>
              <w:spacing w:before="40" w:after="20"/>
              <w:jc w:val="right"/>
              <w:rPr>
                <w:rFonts w:cs="Arial"/>
                <w:sz w:val="18"/>
                <w:szCs w:val="18"/>
              </w:rPr>
            </w:pPr>
            <w:r w:rsidRPr="001D41EA">
              <w:rPr>
                <w:rFonts w:cs="Arial"/>
                <w:sz w:val="18"/>
                <w:szCs w:val="18"/>
              </w:rPr>
              <w:t>100,863</w:t>
            </w:r>
          </w:p>
        </w:tc>
        <w:tc>
          <w:tcPr>
            <w:tcW w:w="1418" w:type="dxa"/>
            <w:tcBorders>
              <w:top w:val="nil"/>
              <w:left w:val="nil"/>
              <w:bottom w:val="nil"/>
              <w:right w:val="nil"/>
            </w:tcBorders>
            <w:vAlign w:val="bottom"/>
          </w:tcPr>
          <w:p w14:paraId="26BA4885" w14:textId="09C2DB53" w:rsidR="005D19CF" w:rsidRPr="001D41EA" w:rsidRDefault="005D19CF" w:rsidP="005D19CF">
            <w:pPr>
              <w:spacing w:before="40" w:after="20"/>
              <w:jc w:val="right"/>
              <w:rPr>
                <w:rFonts w:cs="Arial"/>
                <w:sz w:val="18"/>
                <w:szCs w:val="18"/>
              </w:rPr>
            </w:pPr>
            <w:r w:rsidRPr="001D41EA">
              <w:rPr>
                <w:rFonts w:cs="Arial"/>
                <w:sz w:val="18"/>
                <w:szCs w:val="18"/>
              </w:rPr>
              <w:t>35,302</w:t>
            </w:r>
          </w:p>
        </w:tc>
        <w:tc>
          <w:tcPr>
            <w:tcW w:w="1418" w:type="dxa"/>
            <w:tcBorders>
              <w:top w:val="nil"/>
              <w:left w:val="nil"/>
              <w:bottom w:val="nil"/>
              <w:right w:val="nil"/>
            </w:tcBorders>
            <w:shd w:val="clear" w:color="auto" w:fill="auto"/>
            <w:vAlign w:val="bottom"/>
          </w:tcPr>
          <w:p w14:paraId="537CCBE4" w14:textId="79041629" w:rsidR="005D19CF" w:rsidRPr="001D41EA" w:rsidRDefault="005D19CF" w:rsidP="005D19CF">
            <w:pPr>
              <w:spacing w:before="40" w:after="20"/>
              <w:jc w:val="center"/>
              <w:rPr>
                <w:rFonts w:cs="Arial"/>
                <w:sz w:val="18"/>
                <w:szCs w:val="18"/>
              </w:rPr>
            </w:pPr>
            <w:r w:rsidRPr="005D19CF">
              <w:rPr>
                <w:rFonts w:cs="Arial"/>
                <w:sz w:val="18"/>
                <w:szCs w:val="18"/>
              </w:rPr>
              <w:t>35.0</w:t>
            </w:r>
          </w:p>
        </w:tc>
        <w:tc>
          <w:tcPr>
            <w:tcW w:w="170" w:type="dxa"/>
            <w:tcBorders>
              <w:top w:val="nil"/>
              <w:left w:val="nil"/>
              <w:bottom w:val="nil"/>
              <w:right w:val="nil"/>
            </w:tcBorders>
            <w:shd w:val="clear" w:color="auto" w:fill="auto"/>
            <w:vAlign w:val="bottom"/>
          </w:tcPr>
          <w:p w14:paraId="75A6BECB" w14:textId="18EC1EC0"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18F27134" w14:textId="733E68C8" w:rsidR="005D19CF" w:rsidRPr="001D41EA" w:rsidRDefault="005D19CF" w:rsidP="005D19CF">
            <w:pPr>
              <w:spacing w:before="40" w:after="20"/>
              <w:jc w:val="center"/>
              <w:rPr>
                <w:rFonts w:cs="Arial"/>
                <w:sz w:val="18"/>
                <w:szCs w:val="18"/>
              </w:rPr>
            </w:pPr>
          </w:p>
        </w:tc>
      </w:tr>
      <w:tr w:rsidR="005D19CF" w:rsidRPr="001D41EA" w14:paraId="1093293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EE028A1" w14:textId="77777777" w:rsidR="005D19CF" w:rsidRPr="001D41EA" w:rsidRDefault="005D19CF" w:rsidP="005D19CF">
            <w:pPr>
              <w:spacing w:before="40" w:after="20"/>
              <w:rPr>
                <w:rFonts w:cs="Arial"/>
                <w:sz w:val="18"/>
                <w:szCs w:val="18"/>
              </w:rPr>
            </w:pPr>
            <w:r w:rsidRPr="001D41EA">
              <w:rPr>
                <w:rFonts w:cs="Arial"/>
                <w:sz w:val="18"/>
                <w:szCs w:val="18"/>
              </w:rPr>
              <w:t>Pyrenees S</w:t>
            </w:r>
          </w:p>
        </w:tc>
        <w:tc>
          <w:tcPr>
            <w:tcW w:w="1418" w:type="dxa"/>
            <w:tcBorders>
              <w:top w:val="nil"/>
              <w:left w:val="single" w:sz="18" w:space="0" w:color="5F497A" w:themeColor="accent4" w:themeShade="BF"/>
              <w:bottom w:val="nil"/>
              <w:right w:val="nil"/>
            </w:tcBorders>
            <w:shd w:val="clear" w:color="auto" w:fill="auto"/>
            <w:vAlign w:val="bottom"/>
          </w:tcPr>
          <w:p w14:paraId="58839535" w14:textId="676F3CB0" w:rsidR="005D19CF" w:rsidRPr="001D41EA" w:rsidRDefault="005D19CF" w:rsidP="005D19CF">
            <w:pPr>
              <w:spacing w:before="40" w:after="20"/>
              <w:jc w:val="right"/>
              <w:rPr>
                <w:rFonts w:cs="Arial"/>
                <w:sz w:val="18"/>
                <w:szCs w:val="18"/>
              </w:rPr>
            </w:pPr>
            <w:r w:rsidRPr="001D41EA">
              <w:rPr>
                <w:rFonts w:cs="Arial"/>
                <w:sz w:val="18"/>
                <w:szCs w:val="18"/>
              </w:rPr>
              <w:t>7,240</w:t>
            </w:r>
          </w:p>
        </w:tc>
        <w:tc>
          <w:tcPr>
            <w:tcW w:w="1418" w:type="dxa"/>
            <w:tcBorders>
              <w:top w:val="nil"/>
              <w:left w:val="nil"/>
              <w:bottom w:val="nil"/>
              <w:right w:val="nil"/>
            </w:tcBorders>
            <w:vAlign w:val="bottom"/>
          </w:tcPr>
          <w:p w14:paraId="4B000199" w14:textId="317817C3" w:rsidR="005D19CF" w:rsidRPr="001D41EA" w:rsidRDefault="005D19CF" w:rsidP="005D19CF">
            <w:pPr>
              <w:spacing w:before="40" w:after="20"/>
              <w:jc w:val="right"/>
              <w:rPr>
                <w:rFonts w:cs="Arial"/>
                <w:sz w:val="18"/>
                <w:szCs w:val="18"/>
              </w:rPr>
            </w:pPr>
            <w:r w:rsidRPr="001D41EA">
              <w:rPr>
                <w:rFonts w:cs="Arial"/>
                <w:sz w:val="18"/>
                <w:szCs w:val="18"/>
              </w:rPr>
              <w:t>970</w:t>
            </w:r>
          </w:p>
        </w:tc>
        <w:tc>
          <w:tcPr>
            <w:tcW w:w="1418" w:type="dxa"/>
            <w:tcBorders>
              <w:top w:val="nil"/>
              <w:left w:val="nil"/>
              <w:bottom w:val="nil"/>
              <w:right w:val="nil"/>
            </w:tcBorders>
            <w:shd w:val="clear" w:color="auto" w:fill="auto"/>
            <w:vAlign w:val="bottom"/>
          </w:tcPr>
          <w:p w14:paraId="5A4A2146" w14:textId="39E5340A" w:rsidR="005D19CF" w:rsidRPr="001D41EA" w:rsidRDefault="005D19CF" w:rsidP="005D19CF">
            <w:pPr>
              <w:spacing w:before="40" w:after="20"/>
              <w:jc w:val="center"/>
              <w:rPr>
                <w:rFonts w:cs="Arial"/>
                <w:sz w:val="18"/>
                <w:szCs w:val="18"/>
              </w:rPr>
            </w:pPr>
            <w:r w:rsidRPr="005D19CF">
              <w:rPr>
                <w:rFonts w:cs="Arial"/>
                <w:sz w:val="18"/>
                <w:szCs w:val="18"/>
              </w:rPr>
              <w:t>13.4</w:t>
            </w:r>
          </w:p>
        </w:tc>
        <w:tc>
          <w:tcPr>
            <w:tcW w:w="170" w:type="dxa"/>
            <w:tcBorders>
              <w:top w:val="nil"/>
              <w:left w:val="nil"/>
              <w:bottom w:val="nil"/>
              <w:right w:val="nil"/>
            </w:tcBorders>
            <w:shd w:val="clear" w:color="auto" w:fill="auto"/>
            <w:vAlign w:val="bottom"/>
          </w:tcPr>
          <w:p w14:paraId="68EB5A56" w14:textId="5DD146E1"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7F58244" w14:textId="40990127" w:rsidR="005D19CF" w:rsidRPr="001D41EA" w:rsidRDefault="005D19CF" w:rsidP="005D19CF">
            <w:pPr>
              <w:spacing w:before="40" w:after="20"/>
              <w:jc w:val="center"/>
              <w:rPr>
                <w:rFonts w:cs="Arial"/>
                <w:sz w:val="18"/>
                <w:szCs w:val="18"/>
              </w:rPr>
            </w:pPr>
            <w:r w:rsidRPr="001D41EA">
              <w:rPr>
                <w:rFonts w:cs="Arial"/>
                <w:sz w:val="18"/>
                <w:szCs w:val="18"/>
              </w:rPr>
              <w:t>1.85</w:t>
            </w:r>
          </w:p>
        </w:tc>
      </w:tr>
      <w:tr w:rsidR="005D19CF" w:rsidRPr="001D41EA" w14:paraId="2B5224E1"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8A0295E" w14:textId="77777777" w:rsidR="005D19CF" w:rsidRPr="001D41EA" w:rsidRDefault="005D19CF" w:rsidP="005D19CF">
            <w:pPr>
              <w:spacing w:before="40" w:after="20"/>
              <w:rPr>
                <w:rFonts w:cs="Arial"/>
                <w:sz w:val="18"/>
                <w:szCs w:val="18"/>
              </w:rPr>
            </w:pPr>
            <w:r w:rsidRPr="001D41EA">
              <w:rPr>
                <w:rFonts w:cs="Arial"/>
                <w:sz w:val="18"/>
                <w:szCs w:val="18"/>
              </w:rPr>
              <w:t>Queenscliffe B</w:t>
            </w:r>
          </w:p>
        </w:tc>
        <w:tc>
          <w:tcPr>
            <w:tcW w:w="1418" w:type="dxa"/>
            <w:tcBorders>
              <w:top w:val="nil"/>
              <w:left w:val="single" w:sz="18" w:space="0" w:color="5F497A" w:themeColor="accent4" w:themeShade="BF"/>
              <w:bottom w:val="nil"/>
              <w:right w:val="nil"/>
            </w:tcBorders>
            <w:shd w:val="clear" w:color="auto" w:fill="auto"/>
            <w:vAlign w:val="bottom"/>
          </w:tcPr>
          <w:p w14:paraId="336002EB" w14:textId="48CDFFB9" w:rsidR="005D19CF" w:rsidRPr="001D41EA" w:rsidRDefault="005D19CF" w:rsidP="005D19CF">
            <w:pPr>
              <w:spacing w:before="40" w:after="20"/>
              <w:jc w:val="right"/>
              <w:rPr>
                <w:rFonts w:cs="Arial"/>
                <w:sz w:val="18"/>
                <w:szCs w:val="18"/>
              </w:rPr>
            </w:pPr>
            <w:r w:rsidRPr="001D41EA">
              <w:rPr>
                <w:rFonts w:cs="Arial"/>
                <w:sz w:val="18"/>
                <w:szCs w:val="18"/>
              </w:rPr>
              <w:t>2,854</w:t>
            </w:r>
          </w:p>
        </w:tc>
        <w:tc>
          <w:tcPr>
            <w:tcW w:w="1418" w:type="dxa"/>
            <w:tcBorders>
              <w:top w:val="nil"/>
              <w:left w:val="nil"/>
              <w:bottom w:val="nil"/>
              <w:right w:val="nil"/>
            </w:tcBorders>
            <w:vAlign w:val="bottom"/>
          </w:tcPr>
          <w:p w14:paraId="055CD04F" w14:textId="21D82BC8" w:rsidR="005D19CF" w:rsidRPr="001D41EA" w:rsidRDefault="005D19CF" w:rsidP="005D19CF">
            <w:pPr>
              <w:spacing w:before="40" w:after="20"/>
              <w:jc w:val="right"/>
              <w:rPr>
                <w:rFonts w:cs="Arial"/>
                <w:sz w:val="18"/>
                <w:szCs w:val="18"/>
              </w:rPr>
            </w:pPr>
            <w:r w:rsidRPr="001D41EA">
              <w:rPr>
                <w:rFonts w:cs="Arial"/>
                <w:sz w:val="18"/>
                <w:szCs w:val="18"/>
              </w:rPr>
              <w:t>1,013</w:t>
            </w:r>
          </w:p>
        </w:tc>
        <w:tc>
          <w:tcPr>
            <w:tcW w:w="1418" w:type="dxa"/>
            <w:tcBorders>
              <w:top w:val="nil"/>
              <w:left w:val="nil"/>
              <w:bottom w:val="nil"/>
              <w:right w:val="nil"/>
            </w:tcBorders>
            <w:shd w:val="clear" w:color="auto" w:fill="auto"/>
            <w:vAlign w:val="bottom"/>
          </w:tcPr>
          <w:p w14:paraId="54B01F7E" w14:textId="0A01AFD4" w:rsidR="005D19CF" w:rsidRPr="001D41EA" w:rsidRDefault="005D19CF" w:rsidP="005D19CF">
            <w:pPr>
              <w:spacing w:before="40" w:after="20"/>
              <w:jc w:val="center"/>
              <w:rPr>
                <w:rFonts w:cs="Arial"/>
                <w:sz w:val="18"/>
                <w:szCs w:val="18"/>
              </w:rPr>
            </w:pPr>
            <w:r w:rsidRPr="005D19CF">
              <w:rPr>
                <w:rFonts w:cs="Arial"/>
                <w:sz w:val="18"/>
                <w:szCs w:val="18"/>
              </w:rPr>
              <w:t>35.5</w:t>
            </w:r>
          </w:p>
        </w:tc>
        <w:tc>
          <w:tcPr>
            <w:tcW w:w="170" w:type="dxa"/>
            <w:tcBorders>
              <w:top w:val="nil"/>
              <w:left w:val="nil"/>
              <w:bottom w:val="nil"/>
              <w:right w:val="nil"/>
            </w:tcBorders>
            <w:shd w:val="clear" w:color="auto" w:fill="auto"/>
            <w:vAlign w:val="bottom"/>
          </w:tcPr>
          <w:p w14:paraId="03B518D7" w14:textId="13C32D47"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5586B171" w14:textId="41ACBE0E" w:rsidR="005D19CF" w:rsidRPr="001D41EA" w:rsidRDefault="005D19CF" w:rsidP="005D19CF">
            <w:pPr>
              <w:spacing w:before="40" w:after="20"/>
              <w:jc w:val="center"/>
              <w:rPr>
                <w:rFonts w:cs="Arial"/>
                <w:sz w:val="18"/>
                <w:szCs w:val="18"/>
              </w:rPr>
            </w:pPr>
            <w:r w:rsidRPr="001D41EA">
              <w:rPr>
                <w:rFonts w:cs="Arial"/>
                <w:sz w:val="18"/>
                <w:szCs w:val="18"/>
              </w:rPr>
              <w:t>0.51</w:t>
            </w:r>
          </w:p>
        </w:tc>
      </w:tr>
      <w:tr w:rsidR="005D19CF" w:rsidRPr="001D41EA" w14:paraId="56AC6DBB"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95D83A3" w14:textId="77777777" w:rsidR="005D19CF" w:rsidRPr="001D41EA" w:rsidRDefault="005D19CF" w:rsidP="005D19CF">
            <w:pPr>
              <w:spacing w:before="40" w:after="20"/>
              <w:rPr>
                <w:rFonts w:cs="Arial"/>
                <w:sz w:val="18"/>
                <w:szCs w:val="18"/>
              </w:rPr>
            </w:pPr>
            <w:r w:rsidRPr="001D41EA">
              <w:rPr>
                <w:rFonts w:cs="Arial"/>
                <w:sz w:val="18"/>
                <w:szCs w:val="18"/>
              </w:rPr>
              <w:t>South Gippsland S</w:t>
            </w:r>
          </w:p>
        </w:tc>
        <w:tc>
          <w:tcPr>
            <w:tcW w:w="1418" w:type="dxa"/>
            <w:tcBorders>
              <w:top w:val="nil"/>
              <w:left w:val="single" w:sz="18" w:space="0" w:color="5F497A" w:themeColor="accent4" w:themeShade="BF"/>
              <w:bottom w:val="nil"/>
              <w:right w:val="nil"/>
            </w:tcBorders>
            <w:shd w:val="clear" w:color="auto" w:fill="auto"/>
            <w:vAlign w:val="bottom"/>
          </w:tcPr>
          <w:p w14:paraId="638FCB05" w14:textId="1B0400F2" w:rsidR="005D19CF" w:rsidRPr="001D41EA" w:rsidRDefault="005D19CF" w:rsidP="005D19CF">
            <w:pPr>
              <w:spacing w:before="40" w:after="20"/>
              <w:jc w:val="right"/>
              <w:rPr>
                <w:rFonts w:cs="Arial"/>
                <w:sz w:val="18"/>
                <w:szCs w:val="18"/>
              </w:rPr>
            </w:pPr>
            <w:r w:rsidRPr="001D41EA">
              <w:rPr>
                <w:rFonts w:cs="Arial"/>
                <w:sz w:val="18"/>
                <w:szCs w:val="18"/>
              </w:rPr>
              <w:t>28,700</w:t>
            </w:r>
          </w:p>
        </w:tc>
        <w:tc>
          <w:tcPr>
            <w:tcW w:w="1418" w:type="dxa"/>
            <w:tcBorders>
              <w:top w:val="nil"/>
              <w:left w:val="nil"/>
              <w:bottom w:val="nil"/>
              <w:right w:val="nil"/>
            </w:tcBorders>
            <w:vAlign w:val="bottom"/>
          </w:tcPr>
          <w:p w14:paraId="1E6C719C" w14:textId="03A4FFF0" w:rsidR="005D19CF" w:rsidRPr="001D41EA" w:rsidRDefault="005D19CF" w:rsidP="005D19CF">
            <w:pPr>
              <w:spacing w:before="40" w:after="20"/>
              <w:jc w:val="right"/>
              <w:rPr>
                <w:rFonts w:cs="Arial"/>
                <w:sz w:val="18"/>
                <w:szCs w:val="18"/>
              </w:rPr>
            </w:pPr>
            <w:r w:rsidRPr="001D41EA">
              <w:rPr>
                <w:rFonts w:cs="Arial"/>
                <w:sz w:val="18"/>
                <w:szCs w:val="18"/>
              </w:rPr>
              <w:t>5,507</w:t>
            </w:r>
          </w:p>
        </w:tc>
        <w:tc>
          <w:tcPr>
            <w:tcW w:w="1418" w:type="dxa"/>
            <w:tcBorders>
              <w:top w:val="nil"/>
              <w:left w:val="nil"/>
              <w:bottom w:val="nil"/>
              <w:right w:val="nil"/>
            </w:tcBorders>
            <w:shd w:val="clear" w:color="auto" w:fill="auto"/>
            <w:vAlign w:val="bottom"/>
          </w:tcPr>
          <w:p w14:paraId="414F2BA3" w14:textId="40A4FB0A" w:rsidR="005D19CF" w:rsidRPr="001D41EA" w:rsidRDefault="005D19CF" w:rsidP="005D19CF">
            <w:pPr>
              <w:spacing w:before="40" w:after="20"/>
              <w:jc w:val="center"/>
              <w:rPr>
                <w:rFonts w:cs="Arial"/>
                <w:sz w:val="18"/>
                <w:szCs w:val="18"/>
              </w:rPr>
            </w:pPr>
            <w:r w:rsidRPr="005D19CF">
              <w:rPr>
                <w:rFonts w:cs="Arial"/>
                <w:sz w:val="18"/>
                <w:szCs w:val="18"/>
              </w:rPr>
              <w:t>19.2</w:t>
            </w:r>
          </w:p>
        </w:tc>
        <w:tc>
          <w:tcPr>
            <w:tcW w:w="170" w:type="dxa"/>
            <w:tcBorders>
              <w:top w:val="nil"/>
              <w:left w:val="nil"/>
              <w:bottom w:val="nil"/>
              <w:right w:val="nil"/>
            </w:tcBorders>
            <w:shd w:val="clear" w:color="auto" w:fill="auto"/>
            <w:vAlign w:val="bottom"/>
          </w:tcPr>
          <w:p w14:paraId="1549EE60" w14:textId="1FF6C5ED"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504A8A67" w14:textId="5913E7BE" w:rsidR="005D19CF" w:rsidRPr="001D41EA" w:rsidRDefault="005D19CF" w:rsidP="005D19CF">
            <w:pPr>
              <w:spacing w:before="40" w:after="20"/>
              <w:jc w:val="center"/>
              <w:rPr>
                <w:rFonts w:cs="Arial"/>
                <w:sz w:val="18"/>
                <w:szCs w:val="18"/>
              </w:rPr>
            </w:pPr>
            <w:r w:rsidRPr="001D41EA">
              <w:rPr>
                <w:rFonts w:cs="Arial"/>
                <w:sz w:val="18"/>
                <w:szCs w:val="18"/>
              </w:rPr>
              <w:t>2.23</w:t>
            </w:r>
          </w:p>
        </w:tc>
      </w:tr>
      <w:tr w:rsidR="005D19CF" w:rsidRPr="001D41EA" w14:paraId="0B33A249"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FFA7062" w14:textId="77777777" w:rsidR="005D19CF" w:rsidRPr="001D41EA" w:rsidRDefault="005D19CF" w:rsidP="005D19CF">
            <w:pPr>
              <w:spacing w:before="40" w:after="20"/>
              <w:rPr>
                <w:rFonts w:cs="Arial"/>
                <w:sz w:val="18"/>
                <w:szCs w:val="18"/>
              </w:rPr>
            </w:pPr>
            <w:r w:rsidRPr="001D41EA">
              <w:rPr>
                <w:rFonts w:cs="Arial"/>
                <w:sz w:val="18"/>
                <w:szCs w:val="18"/>
              </w:rPr>
              <w:t>Southern Grampians S</w:t>
            </w:r>
          </w:p>
        </w:tc>
        <w:tc>
          <w:tcPr>
            <w:tcW w:w="1418" w:type="dxa"/>
            <w:tcBorders>
              <w:top w:val="nil"/>
              <w:left w:val="single" w:sz="18" w:space="0" w:color="5F497A" w:themeColor="accent4" w:themeShade="BF"/>
              <w:bottom w:val="nil"/>
              <w:right w:val="nil"/>
            </w:tcBorders>
            <w:shd w:val="clear" w:color="auto" w:fill="auto"/>
            <w:vAlign w:val="bottom"/>
          </w:tcPr>
          <w:p w14:paraId="35B62416" w14:textId="6BAE4B46" w:rsidR="005D19CF" w:rsidRPr="001D41EA" w:rsidRDefault="005D19CF" w:rsidP="005D19CF">
            <w:pPr>
              <w:spacing w:before="40" w:after="20"/>
              <w:jc w:val="right"/>
              <w:rPr>
                <w:rFonts w:cs="Arial"/>
                <w:sz w:val="18"/>
                <w:szCs w:val="18"/>
              </w:rPr>
            </w:pPr>
            <w:r w:rsidRPr="001D41EA">
              <w:rPr>
                <w:rFonts w:cs="Arial"/>
                <w:sz w:val="18"/>
                <w:szCs w:val="18"/>
              </w:rPr>
              <w:t>15,941</w:t>
            </w:r>
          </w:p>
        </w:tc>
        <w:tc>
          <w:tcPr>
            <w:tcW w:w="1418" w:type="dxa"/>
            <w:tcBorders>
              <w:top w:val="nil"/>
              <w:left w:val="nil"/>
              <w:bottom w:val="nil"/>
              <w:right w:val="nil"/>
            </w:tcBorders>
            <w:vAlign w:val="bottom"/>
          </w:tcPr>
          <w:p w14:paraId="27933A95" w14:textId="188AA1CF" w:rsidR="005D19CF" w:rsidRPr="001D41EA" w:rsidRDefault="005D19CF" w:rsidP="005D19CF">
            <w:pPr>
              <w:spacing w:before="40" w:after="20"/>
              <w:jc w:val="right"/>
              <w:rPr>
                <w:rFonts w:cs="Arial"/>
                <w:sz w:val="18"/>
                <w:szCs w:val="18"/>
              </w:rPr>
            </w:pPr>
            <w:r w:rsidRPr="001D41EA">
              <w:rPr>
                <w:rFonts w:cs="Arial"/>
                <w:sz w:val="18"/>
                <w:szCs w:val="18"/>
              </w:rPr>
              <w:t>4,392</w:t>
            </w:r>
          </w:p>
        </w:tc>
        <w:tc>
          <w:tcPr>
            <w:tcW w:w="1418" w:type="dxa"/>
            <w:tcBorders>
              <w:top w:val="nil"/>
              <w:left w:val="nil"/>
              <w:bottom w:val="nil"/>
              <w:right w:val="nil"/>
            </w:tcBorders>
            <w:shd w:val="clear" w:color="auto" w:fill="auto"/>
            <w:vAlign w:val="bottom"/>
          </w:tcPr>
          <w:p w14:paraId="563B30C2" w14:textId="61C879A1" w:rsidR="005D19CF" w:rsidRPr="001D41EA" w:rsidRDefault="005D19CF" w:rsidP="005D19CF">
            <w:pPr>
              <w:spacing w:before="40" w:after="20"/>
              <w:jc w:val="center"/>
              <w:rPr>
                <w:rFonts w:cs="Arial"/>
                <w:sz w:val="18"/>
                <w:szCs w:val="18"/>
              </w:rPr>
            </w:pPr>
            <w:r w:rsidRPr="005D19CF">
              <w:rPr>
                <w:rFonts w:cs="Arial"/>
                <w:sz w:val="18"/>
                <w:szCs w:val="18"/>
              </w:rPr>
              <w:t>27.6</w:t>
            </w:r>
          </w:p>
        </w:tc>
        <w:tc>
          <w:tcPr>
            <w:tcW w:w="170" w:type="dxa"/>
            <w:tcBorders>
              <w:top w:val="nil"/>
              <w:left w:val="nil"/>
              <w:bottom w:val="nil"/>
              <w:right w:val="nil"/>
            </w:tcBorders>
            <w:shd w:val="clear" w:color="auto" w:fill="auto"/>
            <w:vAlign w:val="bottom"/>
          </w:tcPr>
          <w:p w14:paraId="37CA5905" w14:textId="386F0D15"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8C5E6C9" w14:textId="1755BC11" w:rsidR="005D19CF" w:rsidRPr="001D41EA" w:rsidRDefault="005D19CF" w:rsidP="005D19CF">
            <w:pPr>
              <w:spacing w:before="40" w:after="20"/>
              <w:jc w:val="center"/>
              <w:rPr>
                <w:rFonts w:cs="Arial"/>
                <w:sz w:val="18"/>
                <w:szCs w:val="18"/>
              </w:rPr>
            </w:pPr>
            <w:r w:rsidRPr="001D41EA">
              <w:rPr>
                <w:rFonts w:cs="Arial"/>
                <w:sz w:val="18"/>
                <w:szCs w:val="18"/>
              </w:rPr>
              <w:t>3.45</w:t>
            </w:r>
          </w:p>
        </w:tc>
      </w:tr>
      <w:tr w:rsidR="005D19CF" w:rsidRPr="001D41EA" w14:paraId="1477C534"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6E58842" w14:textId="77777777" w:rsidR="005D19CF" w:rsidRPr="001D41EA" w:rsidRDefault="005D19CF" w:rsidP="005D19CF">
            <w:pPr>
              <w:spacing w:before="40" w:after="20"/>
              <w:rPr>
                <w:rFonts w:cs="Arial"/>
                <w:sz w:val="18"/>
                <w:szCs w:val="18"/>
              </w:rPr>
            </w:pPr>
            <w:r w:rsidRPr="001D41EA">
              <w:rPr>
                <w:rFonts w:cs="Arial"/>
                <w:sz w:val="18"/>
                <w:szCs w:val="18"/>
              </w:rPr>
              <w:t>Stonnington C</w:t>
            </w:r>
          </w:p>
        </w:tc>
        <w:tc>
          <w:tcPr>
            <w:tcW w:w="1418" w:type="dxa"/>
            <w:tcBorders>
              <w:top w:val="nil"/>
              <w:left w:val="single" w:sz="18" w:space="0" w:color="5F497A" w:themeColor="accent4" w:themeShade="BF"/>
              <w:bottom w:val="nil"/>
              <w:right w:val="nil"/>
            </w:tcBorders>
            <w:shd w:val="clear" w:color="auto" w:fill="auto"/>
            <w:vAlign w:val="bottom"/>
          </w:tcPr>
          <w:p w14:paraId="3EA93F97" w14:textId="4F1C9F0F" w:rsidR="005D19CF" w:rsidRPr="001D41EA" w:rsidRDefault="005D19CF" w:rsidP="005D19CF">
            <w:pPr>
              <w:spacing w:before="40" w:after="20"/>
              <w:jc w:val="right"/>
              <w:rPr>
                <w:rFonts w:cs="Arial"/>
                <w:sz w:val="18"/>
                <w:szCs w:val="18"/>
              </w:rPr>
            </w:pPr>
            <w:r w:rsidRPr="001D41EA">
              <w:rPr>
                <w:rFonts w:cs="Arial"/>
                <w:sz w:val="18"/>
                <w:szCs w:val="18"/>
              </w:rPr>
              <w:t>103,831</w:t>
            </w:r>
          </w:p>
        </w:tc>
        <w:tc>
          <w:tcPr>
            <w:tcW w:w="1418" w:type="dxa"/>
            <w:tcBorders>
              <w:top w:val="nil"/>
              <w:left w:val="nil"/>
              <w:bottom w:val="nil"/>
              <w:right w:val="nil"/>
            </w:tcBorders>
            <w:vAlign w:val="bottom"/>
          </w:tcPr>
          <w:p w14:paraId="7DF9681B" w14:textId="180ED5D9" w:rsidR="005D19CF" w:rsidRPr="001D41EA" w:rsidRDefault="005D19CF" w:rsidP="005D19CF">
            <w:pPr>
              <w:spacing w:before="40" w:after="20"/>
              <w:jc w:val="right"/>
              <w:rPr>
                <w:rFonts w:cs="Arial"/>
                <w:sz w:val="18"/>
                <w:szCs w:val="18"/>
              </w:rPr>
            </w:pPr>
            <w:r w:rsidRPr="001D41EA">
              <w:rPr>
                <w:rFonts w:cs="Arial"/>
                <w:sz w:val="18"/>
                <w:szCs w:val="18"/>
              </w:rPr>
              <w:t>36,341</w:t>
            </w:r>
          </w:p>
        </w:tc>
        <w:tc>
          <w:tcPr>
            <w:tcW w:w="1418" w:type="dxa"/>
            <w:tcBorders>
              <w:top w:val="nil"/>
              <w:left w:val="nil"/>
              <w:bottom w:val="nil"/>
              <w:right w:val="nil"/>
            </w:tcBorders>
            <w:shd w:val="clear" w:color="auto" w:fill="auto"/>
            <w:vAlign w:val="bottom"/>
          </w:tcPr>
          <w:p w14:paraId="641BD55C" w14:textId="089BBEED" w:rsidR="005D19CF" w:rsidRPr="001D41EA" w:rsidRDefault="005D19CF" w:rsidP="005D19CF">
            <w:pPr>
              <w:spacing w:before="40" w:after="20"/>
              <w:jc w:val="center"/>
              <w:rPr>
                <w:rFonts w:cs="Arial"/>
                <w:sz w:val="18"/>
                <w:szCs w:val="18"/>
              </w:rPr>
            </w:pPr>
            <w:r w:rsidRPr="005D19CF">
              <w:rPr>
                <w:rFonts w:cs="Arial"/>
                <w:sz w:val="18"/>
                <w:szCs w:val="18"/>
              </w:rPr>
              <w:t>35.0</w:t>
            </w:r>
          </w:p>
        </w:tc>
        <w:tc>
          <w:tcPr>
            <w:tcW w:w="170" w:type="dxa"/>
            <w:tcBorders>
              <w:top w:val="nil"/>
              <w:left w:val="nil"/>
              <w:bottom w:val="nil"/>
              <w:right w:val="nil"/>
            </w:tcBorders>
            <w:shd w:val="clear" w:color="auto" w:fill="auto"/>
            <w:vAlign w:val="bottom"/>
          </w:tcPr>
          <w:p w14:paraId="1AD50683" w14:textId="73B09260"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79678C21" w14:textId="3C46C6DA" w:rsidR="005D19CF" w:rsidRPr="001D41EA" w:rsidRDefault="005D19CF" w:rsidP="005D19CF">
            <w:pPr>
              <w:spacing w:before="40" w:after="20"/>
              <w:jc w:val="center"/>
              <w:rPr>
                <w:rFonts w:cs="Arial"/>
                <w:sz w:val="18"/>
                <w:szCs w:val="18"/>
              </w:rPr>
            </w:pPr>
          </w:p>
        </w:tc>
      </w:tr>
      <w:tr w:rsidR="005D19CF" w:rsidRPr="001D41EA" w14:paraId="2F33A1E7"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51D50F11" w14:textId="77777777" w:rsidR="005D19CF" w:rsidRPr="001D41EA" w:rsidRDefault="005D19CF" w:rsidP="005D19CF">
            <w:pPr>
              <w:spacing w:before="40" w:after="20"/>
              <w:rPr>
                <w:rFonts w:cs="Arial"/>
                <w:sz w:val="18"/>
                <w:szCs w:val="18"/>
              </w:rPr>
            </w:pPr>
            <w:r w:rsidRPr="001D41EA">
              <w:rPr>
                <w:rFonts w:cs="Arial"/>
                <w:sz w:val="18"/>
                <w:szCs w:val="18"/>
              </w:rPr>
              <w:t>Strathbogie S</w:t>
            </w:r>
          </w:p>
        </w:tc>
        <w:tc>
          <w:tcPr>
            <w:tcW w:w="1418" w:type="dxa"/>
            <w:tcBorders>
              <w:top w:val="nil"/>
              <w:left w:val="single" w:sz="18" w:space="0" w:color="5F497A" w:themeColor="accent4" w:themeShade="BF"/>
              <w:bottom w:val="nil"/>
              <w:right w:val="nil"/>
            </w:tcBorders>
            <w:shd w:val="clear" w:color="auto" w:fill="auto"/>
            <w:vAlign w:val="bottom"/>
          </w:tcPr>
          <w:p w14:paraId="75AFDB56" w14:textId="234F9388" w:rsidR="005D19CF" w:rsidRPr="001D41EA" w:rsidRDefault="005D19CF" w:rsidP="005D19CF">
            <w:pPr>
              <w:spacing w:before="40" w:after="20"/>
              <w:jc w:val="right"/>
              <w:rPr>
                <w:rFonts w:cs="Arial"/>
                <w:sz w:val="18"/>
                <w:szCs w:val="18"/>
              </w:rPr>
            </w:pPr>
            <w:r w:rsidRPr="001D41EA">
              <w:rPr>
                <w:rFonts w:cs="Arial"/>
                <w:sz w:val="18"/>
                <w:szCs w:val="18"/>
              </w:rPr>
              <w:t>10,272</w:t>
            </w:r>
          </w:p>
        </w:tc>
        <w:tc>
          <w:tcPr>
            <w:tcW w:w="1418" w:type="dxa"/>
            <w:tcBorders>
              <w:top w:val="nil"/>
              <w:left w:val="nil"/>
              <w:bottom w:val="nil"/>
              <w:right w:val="nil"/>
            </w:tcBorders>
            <w:vAlign w:val="bottom"/>
          </w:tcPr>
          <w:p w14:paraId="767E5C1D" w14:textId="3EDB834D" w:rsidR="005D19CF" w:rsidRPr="001D41EA" w:rsidRDefault="005D19CF" w:rsidP="005D19CF">
            <w:pPr>
              <w:spacing w:before="40" w:after="20"/>
              <w:jc w:val="right"/>
              <w:rPr>
                <w:rFonts w:cs="Arial"/>
                <w:sz w:val="18"/>
                <w:szCs w:val="18"/>
              </w:rPr>
            </w:pPr>
            <w:r w:rsidRPr="001D41EA">
              <w:rPr>
                <w:rFonts w:cs="Arial"/>
                <w:sz w:val="18"/>
                <w:szCs w:val="18"/>
              </w:rPr>
              <w:t>1,740</w:t>
            </w:r>
          </w:p>
        </w:tc>
        <w:tc>
          <w:tcPr>
            <w:tcW w:w="1418" w:type="dxa"/>
            <w:tcBorders>
              <w:top w:val="nil"/>
              <w:left w:val="nil"/>
              <w:bottom w:val="nil"/>
              <w:right w:val="nil"/>
            </w:tcBorders>
            <w:shd w:val="clear" w:color="auto" w:fill="auto"/>
            <w:vAlign w:val="bottom"/>
          </w:tcPr>
          <w:p w14:paraId="68A0B7B3" w14:textId="22F786BB" w:rsidR="005D19CF" w:rsidRPr="001D41EA" w:rsidRDefault="005D19CF" w:rsidP="005D19CF">
            <w:pPr>
              <w:spacing w:before="40" w:after="20"/>
              <w:jc w:val="center"/>
              <w:rPr>
                <w:rFonts w:cs="Arial"/>
                <w:sz w:val="18"/>
                <w:szCs w:val="18"/>
              </w:rPr>
            </w:pPr>
            <w:r w:rsidRPr="005D19CF">
              <w:rPr>
                <w:rFonts w:cs="Arial"/>
                <w:sz w:val="18"/>
                <w:szCs w:val="18"/>
              </w:rPr>
              <w:t>16.9</w:t>
            </w:r>
          </w:p>
        </w:tc>
        <w:tc>
          <w:tcPr>
            <w:tcW w:w="170" w:type="dxa"/>
            <w:tcBorders>
              <w:top w:val="nil"/>
              <w:left w:val="nil"/>
              <w:bottom w:val="nil"/>
              <w:right w:val="nil"/>
            </w:tcBorders>
            <w:shd w:val="clear" w:color="auto" w:fill="auto"/>
            <w:vAlign w:val="bottom"/>
          </w:tcPr>
          <w:p w14:paraId="78B42EE8" w14:textId="37779E7F"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3378752A" w14:textId="03083B18" w:rsidR="005D19CF" w:rsidRPr="001D41EA" w:rsidRDefault="005D19CF" w:rsidP="005D19CF">
            <w:pPr>
              <w:spacing w:before="40" w:after="20"/>
              <w:jc w:val="center"/>
              <w:rPr>
                <w:rFonts w:cs="Arial"/>
                <w:sz w:val="18"/>
                <w:szCs w:val="18"/>
              </w:rPr>
            </w:pPr>
            <w:r w:rsidRPr="001D41EA">
              <w:rPr>
                <w:rFonts w:cs="Arial"/>
                <w:sz w:val="18"/>
                <w:szCs w:val="18"/>
              </w:rPr>
              <w:t>1.84</w:t>
            </w:r>
          </w:p>
        </w:tc>
      </w:tr>
      <w:tr w:rsidR="005D19CF" w:rsidRPr="001D41EA" w14:paraId="5221882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AD6E5FE" w14:textId="77777777" w:rsidR="005D19CF" w:rsidRPr="001D41EA" w:rsidRDefault="005D19CF" w:rsidP="005D19CF">
            <w:pPr>
              <w:spacing w:before="40" w:after="20"/>
              <w:rPr>
                <w:rFonts w:cs="Arial"/>
                <w:sz w:val="18"/>
                <w:szCs w:val="18"/>
              </w:rPr>
            </w:pPr>
            <w:r w:rsidRPr="001D41EA">
              <w:rPr>
                <w:rFonts w:cs="Arial"/>
                <w:sz w:val="18"/>
                <w:szCs w:val="18"/>
              </w:rPr>
              <w:t>Surf Coast S</w:t>
            </w:r>
          </w:p>
        </w:tc>
        <w:tc>
          <w:tcPr>
            <w:tcW w:w="1418" w:type="dxa"/>
            <w:tcBorders>
              <w:top w:val="nil"/>
              <w:left w:val="single" w:sz="18" w:space="0" w:color="5F497A" w:themeColor="accent4" w:themeShade="BF"/>
              <w:bottom w:val="nil"/>
              <w:right w:val="nil"/>
            </w:tcBorders>
            <w:shd w:val="clear" w:color="auto" w:fill="auto"/>
            <w:vAlign w:val="bottom"/>
          </w:tcPr>
          <w:p w14:paraId="514241A0" w14:textId="6DCFA9BC" w:rsidR="005D19CF" w:rsidRPr="001D41EA" w:rsidRDefault="005D19CF" w:rsidP="005D19CF">
            <w:pPr>
              <w:spacing w:before="40" w:after="20"/>
              <w:jc w:val="right"/>
              <w:rPr>
                <w:rFonts w:cs="Arial"/>
                <w:sz w:val="18"/>
                <w:szCs w:val="18"/>
              </w:rPr>
            </w:pPr>
            <w:r w:rsidRPr="001D41EA">
              <w:rPr>
                <w:rFonts w:cs="Arial"/>
                <w:sz w:val="18"/>
                <w:szCs w:val="18"/>
              </w:rPr>
              <w:t>29,402</w:t>
            </w:r>
          </w:p>
        </w:tc>
        <w:tc>
          <w:tcPr>
            <w:tcW w:w="1418" w:type="dxa"/>
            <w:tcBorders>
              <w:top w:val="nil"/>
              <w:left w:val="nil"/>
              <w:bottom w:val="nil"/>
              <w:right w:val="nil"/>
            </w:tcBorders>
            <w:vAlign w:val="bottom"/>
          </w:tcPr>
          <w:p w14:paraId="75DC76CE" w14:textId="52AF7CF8" w:rsidR="005D19CF" w:rsidRPr="001D41EA" w:rsidRDefault="005D19CF" w:rsidP="005D19CF">
            <w:pPr>
              <w:spacing w:before="40" w:after="20"/>
              <w:jc w:val="right"/>
              <w:rPr>
                <w:rFonts w:cs="Arial"/>
                <w:sz w:val="18"/>
                <w:szCs w:val="18"/>
              </w:rPr>
            </w:pPr>
            <w:r w:rsidRPr="001D41EA">
              <w:rPr>
                <w:rFonts w:cs="Arial"/>
                <w:sz w:val="18"/>
                <w:szCs w:val="18"/>
              </w:rPr>
              <w:t>6,015</w:t>
            </w:r>
          </w:p>
        </w:tc>
        <w:tc>
          <w:tcPr>
            <w:tcW w:w="1418" w:type="dxa"/>
            <w:tcBorders>
              <w:top w:val="nil"/>
              <w:left w:val="nil"/>
              <w:bottom w:val="nil"/>
              <w:right w:val="nil"/>
            </w:tcBorders>
            <w:shd w:val="clear" w:color="auto" w:fill="auto"/>
            <w:vAlign w:val="bottom"/>
          </w:tcPr>
          <w:p w14:paraId="25C6BB51" w14:textId="358F002C" w:rsidR="005D19CF" w:rsidRPr="001D41EA" w:rsidRDefault="005D19CF" w:rsidP="005D19CF">
            <w:pPr>
              <w:spacing w:before="40" w:after="20"/>
              <w:jc w:val="center"/>
              <w:rPr>
                <w:rFonts w:cs="Arial"/>
                <w:sz w:val="18"/>
                <w:szCs w:val="18"/>
              </w:rPr>
            </w:pPr>
            <w:r w:rsidRPr="005D19CF">
              <w:rPr>
                <w:rFonts w:cs="Arial"/>
                <w:sz w:val="18"/>
                <w:szCs w:val="18"/>
              </w:rPr>
              <w:t>20.5</w:t>
            </w:r>
          </w:p>
        </w:tc>
        <w:tc>
          <w:tcPr>
            <w:tcW w:w="170" w:type="dxa"/>
            <w:tcBorders>
              <w:top w:val="nil"/>
              <w:left w:val="nil"/>
              <w:bottom w:val="nil"/>
              <w:right w:val="nil"/>
            </w:tcBorders>
            <w:shd w:val="clear" w:color="auto" w:fill="auto"/>
            <w:vAlign w:val="bottom"/>
          </w:tcPr>
          <w:p w14:paraId="540CDD47" w14:textId="6AAE6CA0"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C91D83E" w14:textId="408A37FA" w:rsidR="005D19CF" w:rsidRPr="001D41EA" w:rsidRDefault="005D19CF" w:rsidP="005D19CF">
            <w:pPr>
              <w:spacing w:before="40" w:after="20"/>
              <w:jc w:val="center"/>
              <w:rPr>
                <w:rFonts w:cs="Arial"/>
                <w:sz w:val="18"/>
                <w:szCs w:val="18"/>
              </w:rPr>
            </w:pPr>
            <w:r w:rsidRPr="001D41EA">
              <w:rPr>
                <w:rFonts w:cs="Arial"/>
                <w:sz w:val="18"/>
                <w:szCs w:val="18"/>
              </w:rPr>
              <w:t>0.98</w:t>
            </w:r>
          </w:p>
        </w:tc>
      </w:tr>
      <w:tr w:rsidR="005D19CF" w:rsidRPr="001D41EA" w14:paraId="4217FDF3"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B70505F" w14:textId="77777777" w:rsidR="005D19CF" w:rsidRPr="001D41EA" w:rsidRDefault="005D19CF" w:rsidP="005D19CF">
            <w:pPr>
              <w:spacing w:before="40" w:after="20"/>
              <w:rPr>
                <w:rFonts w:cs="Arial"/>
                <w:sz w:val="18"/>
                <w:szCs w:val="18"/>
              </w:rPr>
            </w:pPr>
            <w:r w:rsidRPr="001D41EA">
              <w:rPr>
                <w:rFonts w:cs="Arial"/>
                <w:sz w:val="18"/>
                <w:szCs w:val="18"/>
              </w:rPr>
              <w:t>Swan Hill RC</w:t>
            </w:r>
          </w:p>
        </w:tc>
        <w:tc>
          <w:tcPr>
            <w:tcW w:w="1418" w:type="dxa"/>
            <w:tcBorders>
              <w:top w:val="nil"/>
              <w:left w:val="single" w:sz="18" w:space="0" w:color="5F497A" w:themeColor="accent4" w:themeShade="BF"/>
              <w:bottom w:val="nil"/>
              <w:right w:val="nil"/>
            </w:tcBorders>
            <w:shd w:val="clear" w:color="auto" w:fill="auto"/>
            <w:vAlign w:val="bottom"/>
          </w:tcPr>
          <w:p w14:paraId="4EC84C6A" w14:textId="11924358" w:rsidR="005D19CF" w:rsidRPr="001D41EA" w:rsidRDefault="005D19CF" w:rsidP="005D19CF">
            <w:pPr>
              <w:spacing w:before="40" w:after="20"/>
              <w:jc w:val="right"/>
              <w:rPr>
                <w:rFonts w:cs="Arial"/>
                <w:sz w:val="18"/>
                <w:szCs w:val="18"/>
              </w:rPr>
            </w:pPr>
            <w:r w:rsidRPr="001D41EA">
              <w:rPr>
                <w:rFonts w:cs="Arial"/>
                <w:sz w:val="18"/>
                <w:szCs w:val="18"/>
              </w:rPr>
              <w:t>20,587</w:t>
            </w:r>
          </w:p>
        </w:tc>
        <w:tc>
          <w:tcPr>
            <w:tcW w:w="1418" w:type="dxa"/>
            <w:tcBorders>
              <w:top w:val="nil"/>
              <w:left w:val="nil"/>
              <w:bottom w:val="nil"/>
              <w:right w:val="nil"/>
            </w:tcBorders>
            <w:vAlign w:val="bottom"/>
          </w:tcPr>
          <w:p w14:paraId="75285ABE" w14:textId="332E526C" w:rsidR="005D19CF" w:rsidRPr="001D41EA" w:rsidRDefault="005D19CF" w:rsidP="005D19CF">
            <w:pPr>
              <w:spacing w:before="40" w:after="20"/>
              <w:jc w:val="right"/>
              <w:rPr>
                <w:rFonts w:cs="Arial"/>
                <w:sz w:val="18"/>
                <w:szCs w:val="18"/>
              </w:rPr>
            </w:pPr>
            <w:r w:rsidRPr="001D41EA">
              <w:rPr>
                <w:rFonts w:cs="Arial"/>
                <w:sz w:val="18"/>
                <w:szCs w:val="18"/>
              </w:rPr>
              <w:t>4,981</w:t>
            </w:r>
          </w:p>
        </w:tc>
        <w:tc>
          <w:tcPr>
            <w:tcW w:w="1418" w:type="dxa"/>
            <w:tcBorders>
              <w:top w:val="nil"/>
              <w:left w:val="nil"/>
              <w:bottom w:val="nil"/>
              <w:right w:val="nil"/>
            </w:tcBorders>
            <w:shd w:val="clear" w:color="auto" w:fill="auto"/>
            <w:vAlign w:val="bottom"/>
          </w:tcPr>
          <w:p w14:paraId="282E1BDE" w14:textId="73ED8176" w:rsidR="005D19CF" w:rsidRPr="001D41EA" w:rsidRDefault="005D19CF" w:rsidP="005D19CF">
            <w:pPr>
              <w:spacing w:before="40" w:after="20"/>
              <w:jc w:val="center"/>
              <w:rPr>
                <w:rFonts w:cs="Arial"/>
                <w:sz w:val="18"/>
                <w:szCs w:val="18"/>
              </w:rPr>
            </w:pPr>
            <w:r w:rsidRPr="005D19CF">
              <w:rPr>
                <w:rFonts w:cs="Arial"/>
                <w:sz w:val="18"/>
                <w:szCs w:val="18"/>
              </w:rPr>
              <w:t>24.2</w:t>
            </w:r>
          </w:p>
        </w:tc>
        <w:tc>
          <w:tcPr>
            <w:tcW w:w="170" w:type="dxa"/>
            <w:tcBorders>
              <w:top w:val="nil"/>
              <w:left w:val="nil"/>
              <w:bottom w:val="nil"/>
              <w:right w:val="nil"/>
            </w:tcBorders>
            <w:shd w:val="clear" w:color="auto" w:fill="auto"/>
            <w:vAlign w:val="bottom"/>
          </w:tcPr>
          <w:p w14:paraId="0BEFDC68" w14:textId="5358F765"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BE74392" w14:textId="1717B0B7" w:rsidR="005D19CF" w:rsidRPr="001D41EA" w:rsidRDefault="005D19CF" w:rsidP="005D19CF">
            <w:pPr>
              <w:spacing w:before="40" w:after="20"/>
              <w:jc w:val="center"/>
              <w:rPr>
                <w:rFonts w:cs="Arial"/>
                <w:sz w:val="18"/>
                <w:szCs w:val="18"/>
              </w:rPr>
            </w:pPr>
            <w:r w:rsidRPr="001D41EA">
              <w:rPr>
                <w:rFonts w:cs="Arial"/>
                <w:sz w:val="18"/>
                <w:szCs w:val="18"/>
              </w:rPr>
              <w:t>4.54</w:t>
            </w:r>
          </w:p>
        </w:tc>
      </w:tr>
      <w:tr w:rsidR="005D19CF" w:rsidRPr="001D41EA" w14:paraId="2EA4665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2D7618D0" w14:textId="77777777" w:rsidR="005D19CF" w:rsidRPr="001D41EA" w:rsidRDefault="005D19CF" w:rsidP="005D19CF">
            <w:pPr>
              <w:spacing w:before="40" w:after="20"/>
              <w:rPr>
                <w:rFonts w:cs="Arial"/>
                <w:sz w:val="18"/>
                <w:szCs w:val="18"/>
              </w:rPr>
            </w:pPr>
            <w:r w:rsidRPr="001D41EA">
              <w:rPr>
                <w:rFonts w:cs="Arial"/>
                <w:sz w:val="18"/>
                <w:szCs w:val="18"/>
              </w:rPr>
              <w:t>Towong S</w:t>
            </w:r>
          </w:p>
        </w:tc>
        <w:tc>
          <w:tcPr>
            <w:tcW w:w="1418" w:type="dxa"/>
            <w:tcBorders>
              <w:top w:val="nil"/>
              <w:left w:val="single" w:sz="18" w:space="0" w:color="5F497A" w:themeColor="accent4" w:themeShade="BF"/>
              <w:bottom w:val="nil"/>
              <w:right w:val="nil"/>
            </w:tcBorders>
            <w:shd w:val="clear" w:color="auto" w:fill="auto"/>
            <w:vAlign w:val="bottom"/>
          </w:tcPr>
          <w:p w14:paraId="26A2AC9F" w14:textId="02E319DA" w:rsidR="005D19CF" w:rsidRPr="001D41EA" w:rsidRDefault="005D19CF" w:rsidP="005D19CF">
            <w:pPr>
              <w:spacing w:before="40" w:after="20"/>
              <w:jc w:val="right"/>
              <w:rPr>
                <w:rFonts w:cs="Arial"/>
                <w:sz w:val="18"/>
                <w:szCs w:val="18"/>
              </w:rPr>
            </w:pPr>
            <w:r w:rsidRPr="001D41EA">
              <w:rPr>
                <w:rFonts w:cs="Arial"/>
                <w:sz w:val="18"/>
                <w:szCs w:val="18"/>
              </w:rPr>
              <w:t>5,986</w:t>
            </w:r>
          </w:p>
        </w:tc>
        <w:tc>
          <w:tcPr>
            <w:tcW w:w="1418" w:type="dxa"/>
            <w:tcBorders>
              <w:top w:val="nil"/>
              <w:left w:val="nil"/>
              <w:bottom w:val="nil"/>
              <w:right w:val="nil"/>
            </w:tcBorders>
            <w:vAlign w:val="bottom"/>
          </w:tcPr>
          <w:p w14:paraId="49C5070F" w14:textId="5D636A9A" w:rsidR="005D19CF" w:rsidRPr="001D41EA" w:rsidRDefault="005D19CF" w:rsidP="005D19CF">
            <w:pPr>
              <w:spacing w:before="40" w:after="20"/>
              <w:jc w:val="right"/>
              <w:rPr>
                <w:rFonts w:cs="Arial"/>
                <w:sz w:val="18"/>
                <w:szCs w:val="18"/>
              </w:rPr>
            </w:pPr>
            <w:r w:rsidRPr="001D41EA">
              <w:rPr>
                <w:rFonts w:cs="Arial"/>
                <w:sz w:val="18"/>
                <w:szCs w:val="18"/>
              </w:rPr>
              <w:t>987</w:t>
            </w:r>
          </w:p>
        </w:tc>
        <w:tc>
          <w:tcPr>
            <w:tcW w:w="1418" w:type="dxa"/>
            <w:tcBorders>
              <w:top w:val="nil"/>
              <w:left w:val="nil"/>
              <w:bottom w:val="nil"/>
              <w:right w:val="nil"/>
            </w:tcBorders>
            <w:shd w:val="clear" w:color="auto" w:fill="auto"/>
            <w:vAlign w:val="bottom"/>
          </w:tcPr>
          <w:p w14:paraId="26ACA63D" w14:textId="1C99464F" w:rsidR="005D19CF" w:rsidRPr="001D41EA" w:rsidRDefault="005D19CF" w:rsidP="005D19CF">
            <w:pPr>
              <w:spacing w:before="40" w:after="20"/>
              <w:jc w:val="center"/>
              <w:rPr>
                <w:rFonts w:cs="Arial"/>
                <w:sz w:val="18"/>
                <w:szCs w:val="18"/>
              </w:rPr>
            </w:pPr>
            <w:r w:rsidRPr="005D19CF">
              <w:rPr>
                <w:rFonts w:cs="Arial"/>
                <w:sz w:val="18"/>
                <w:szCs w:val="18"/>
              </w:rPr>
              <w:t>16.5</w:t>
            </w:r>
          </w:p>
        </w:tc>
        <w:tc>
          <w:tcPr>
            <w:tcW w:w="170" w:type="dxa"/>
            <w:tcBorders>
              <w:top w:val="nil"/>
              <w:left w:val="nil"/>
              <w:bottom w:val="nil"/>
              <w:right w:val="nil"/>
            </w:tcBorders>
            <w:shd w:val="clear" w:color="auto" w:fill="auto"/>
            <w:vAlign w:val="bottom"/>
          </w:tcPr>
          <w:p w14:paraId="48723931" w14:textId="1F5C6528"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6108EE22" w14:textId="36A16DB9" w:rsidR="005D19CF" w:rsidRPr="001D41EA" w:rsidRDefault="005D19CF" w:rsidP="005D19CF">
            <w:pPr>
              <w:spacing w:before="40" w:after="20"/>
              <w:jc w:val="center"/>
              <w:rPr>
                <w:rFonts w:cs="Arial"/>
                <w:sz w:val="18"/>
                <w:szCs w:val="18"/>
              </w:rPr>
            </w:pPr>
            <w:r w:rsidRPr="001D41EA">
              <w:rPr>
                <w:rFonts w:cs="Arial"/>
                <w:sz w:val="18"/>
                <w:szCs w:val="18"/>
              </w:rPr>
              <w:t>3.38</w:t>
            </w:r>
          </w:p>
        </w:tc>
      </w:tr>
      <w:tr w:rsidR="005D19CF" w:rsidRPr="001D41EA" w14:paraId="068ED54C"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73F614B4" w14:textId="77777777" w:rsidR="005D19CF" w:rsidRPr="001D41EA" w:rsidRDefault="005D19CF" w:rsidP="005D19CF">
            <w:pPr>
              <w:spacing w:before="40" w:after="20"/>
              <w:rPr>
                <w:rFonts w:cs="Arial"/>
                <w:sz w:val="18"/>
                <w:szCs w:val="18"/>
              </w:rPr>
            </w:pPr>
            <w:r w:rsidRPr="001D41EA">
              <w:rPr>
                <w:rFonts w:cs="Arial"/>
                <w:sz w:val="18"/>
                <w:szCs w:val="18"/>
              </w:rPr>
              <w:t>Wangaratta RC</w:t>
            </w:r>
          </w:p>
        </w:tc>
        <w:tc>
          <w:tcPr>
            <w:tcW w:w="1418" w:type="dxa"/>
            <w:tcBorders>
              <w:top w:val="nil"/>
              <w:left w:val="single" w:sz="18" w:space="0" w:color="5F497A" w:themeColor="accent4" w:themeShade="BF"/>
              <w:bottom w:val="nil"/>
              <w:right w:val="nil"/>
            </w:tcBorders>
            <w:shd w:val="clear" w:color="auto" w:fill="auto"/>
            <w:vAlign w:val="bottom"/>
          </w:tcPr>
          <w:p w14:paraId="42853114" w14:textId="69FB22E7" w:rsidR="005D19CF" w:rsidRPr="001D41EA" w:rsidRDefault="005D19CF" w:rsidP="005D19CF">
            <w:pPr>
              <w:spacing w:before="40" w:after="20"/>
              <w:jc w:val="right"/>
              <w:rPr>
                <w:rFonts w:cs="Arial"/>
                <w:sz w:val="18"/>
                <w:szCs w:val="18"/>
              </w:rPr>
            </w:pPr>
            <w:r w:rsidRPr="001D41EA">
              <w:rPr>
                <w:rFonts w:cs="Arial"/>
                <w:sz w:val="18"/>
                <w:szCs w:val="18"/>
              </w:rPr>
              <w:t>28,310</w:t>
            </w:r>
          </w:p>
        </w:tc>
        <w:tc>
          <w:tcPr>
            <w:tcW w:w="1418" w:type="dxa"/>
            <w:tcBorders>
              <w:top w:val="nil"/>
              <w:left w:val="nil"/>
              <w:bottom w:val="nil"/>
              <w:right w:val="nil"/>
            </w:tcBorders>
            <w:vAlign w:val="bottom"/>
          </w:tcPr>
          <w:p w14:paraId="0AB8B77E" w14:textId="6276E9CF" w:rsidR="005D19CF" w:rsidRPr="001D41EA" w:rsidRDefault="005D19CF" w:rsidP="005D19CF">
            <w:pPr>
              <w:spacing w:before="40" w:after="20"/>
              <w:jc w:val="right"/>
              <w:rPr>
                <w:rFonts w:cs="Arial"/>
                <w:sz w:val="18"/>
                <w:szCs w:val="18"/>
              </w:rPr>
            </w:pPr>
            <w:r w:rsidRPr="001D41EA">
              <w:rPr>
                <w:rFonts w:cs="Arial"/>
                <w:sz w:val="18"/>
                <w:szCs w:val="18"/>
              </w:rPr>
              <w:t>8,216</w:t>
            </w:r>
          </w:p>
        </w:tc>
        <w:tc>
          <w:tcPr>
            <w:tcW w:w="1418" w:type="dxa"/>
            <w:tcBorders>
              <w:top w:val="nil"/>
              <w:left w:val="nil"/>
              <w:bottom w:val="nil"/>
              <w:right w:val="nil"/>
            </w:tcBorders>
            <w:shd w:val="clear" w:color="auto" w:fill="auto"/>
            <w:vAlign w:val="bottom"/>
          </w:tcPr>
          <w:p w14:paraId="6B640D79" w14:textId="72D53619" w:rsidR="005D19CF" w:rsidRPr="001D41EA" w:rsidRDefault="005D19CF" w:rsidP="005D19CF">
            <w:pPr>
              <w:spacing w:before="40" w:after="20"/>
              <w:jc w:val="center"/>
              <w:rPr>
                <w:rFonts w:cs="Arial"/>
                <w:sz w:val="18"/>
                <w:szCs w:val="18"/>
              </w:rPr>
            </w:pPr>
            <w:r w:rsidRPr="005D19CF">
              <w:rPr>
                <w:rFonts w:cs="Arial"/>
                <w:sz w:val="18"/>
                <w:szCs w:val="18"/>
              </w:rPr>
              <w:t>29.0</w:t>
            </w:r>
          </w:p>
        </w:tc>
        <w:tc>
          <w:tcPr>
            <w:tcW w:w="170" w:type="dxa"/>
            <w:tcBorders>
              <w:top w:val="nil"/>
              <w:left w:val="nil"/>
              <w:bottom w:val="nil"/>
              <w:right w:val="nil"/>
            </w:tcBorders>
            <w:shd w:val="clear" w:color="auto" w:fill="auto"/>
            <w:vAlign w:val="bottom"/>
          </w:tcPr>
          <w:p w14:paraId="7865DDB4" w14:textId="6E043F18"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76F7413E" w14:textId="33F5757A" w:rsidR="005D19CF" w:rsidRPr="001D41EA" w:rsidRDefault="005D19CF" w:rsidP="005D19CF">
            <w:pPr>
              <w:spacing w:before="40" w:after="20"/>
              <w:jc w:val="center"/>
              <w:rPr>
                <w:rFonts w:cs="Arial"/>
                <w:sz w:val="18"/>
                <w:szCs w:val="18"/>
              </w:rPr>
            </w:pPr>
            <w:r w:rsidRPr="001D41EA">
              <w:rPr>
                <w:rFonts w:cs="Arial"/>
                <w:sz w:val="18"/>
                <w:szCs w:val="18"/>
              </w:rPr>
              <w:t>2.30</w:t>
            </w:r>
          </w:p>
        </w:tc>
      </w:tr>
      <w:tr w:rsidR="005D19CF" w:rsidRPr="001D41EA" w14:paraId="7E302ABB"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0997C22" w14:textId="77777777" w:rsidR="005D19CF" w:rsidRPr="001D41EA" w:rsidRDefault="005D19CF" w:rsidP="005D19CF">
            <w:pPr>
              <w:spacing w:before="40" w:after="20"/>
              <w:rPr>
                <w:rFonts w:cs="Arial"/>
                <w:sz w:val="18"/>
                <w:szCs w:val="18"/>
              </w:rPr>
            </w:pPr>
            <w:r w:rsidRPr="001D41EA">
              <w:rPr>
                <w:rFonts w:cs="Arial"/>
                <w:sz w:val="18"/>
                <w:szCs w:val="18"/>
              </w:rPr>
              <w:t>Warrnambool C</w:t>
            </w:r>
          </w:p>
        </w:tc>
        <w:tc>
          <w:tcPr>
            <w:tcW w:w="1418" w:type="dxa"/>
            <w:tcBorders>
              <w:top w:val="nil"/>
              <w:left w:val="single" w:sz="18" w:space="0" w:color="5F497A" w:themeColor="accent4" w:themeShade="BF"/>
              <w:bottom w:val="nil"/>
              <w:right w:val="nil"/>
            </w:tcBorders>
            <w:shd w:val="clear" w:color="auto" w:fill="auto"/>
            <w:vAlign w:val="bottom"/>
          </w:tcPr>
          <w:p w14:paraId="0B3BEEAF" w14:textId="6AA8A99A" w:rsidR="005D19CF" w:rsidRPr="001D41EA" w:rsidRDefault="005D19CF" w:rsidP="005D19CF">
            <w:pPr>
              <w:spacing w:before="40" w:after="20"/>
              <w:jc w:val="right"/>
              <w:rPr>
                <w:rFonts w:cs="Arial"/>
                <w:sz w:val="18"/>
                <w:szCs w:val="18"/>
              </w:rPr>
            </w:pPr>
            <w:r w:rsidRPr="001D41EA">
              <w:rPr>
                <w:rFonts w:cs="Arial"/>
                <w:sz w:val="18"/>
                <w:szCs w:val="18"/>
              </w:rPr>
              <w:t>33,655</w:t>
            </w:r>
          </w:p>
        </w:tc>
        <w:tc>
          <w:tcPr>
            <w:tcW w:w="1418" w:type="dxa"/>
            <w:tcBorders>
              <w:top w:val="nil"/>
              <w:left w:val="nil"/>
              <w:bottom w:val="nil"/>
              <w:right w:val="nil"/>
            </w:tcBorders>
            <w:vAlign w:val="bottom"/>
          </w:tcPr>
          <w:p w14:paraId="15406A3F" w14:textId="637F6271" w:rsidR="005D19CF" w:rsidRPr="001D41EA" w:rsidRDefault="005D19CF" w:rsidP="005D19CF">
            <w:pPr>
              <w:spacing w:before="40" w:after="20"/>
              <w:jc w:val="right"/>
              <w:rPr>
                <w:rFonts w:cs="Arial"/>
                <w:sz w:val="18"/>
                <w:szCs w:val="18"/>
              </w:rPr>
            </w:pPr>
            <w:r w:rsidRPr="001D41EA">
              <w:rPr>
                <w:rFonts w:cs="Arial"/>
                <w:sz w:val="18"/>
                <w:szCs w:val="18"/>
              </w:rPr>
              <w:t>13,462</w:t>
            </w:r>
          </w:p>
        </w:tc>
        <w:tc>
          <w:tcPr>
            <w:tcW w:w="1418" w:type="dxa"/>
            <w:tcBorders>
              <w:top w:val="nil"/>
              <w:left w:val="nil"/>
              <w:bottom w:val="nil"/>
              <w:right w:val="nil"/>
            </w:tcBorders>
            <w:shd w:val="clear" w:color="auto" w:fill="auto"/>
            <w:vAlign w:val="bottom"/>
          </w:tcPr>
          <w:p w14:paraId="6338AEFA" w14:textId="460F2AD2" w:rsidR="005D19CF" w:rsidRPr="001D41EA" w:rsidRDefault="005D19CF" w:rsidP="005D19CF">
            <w:pPr>
              <w:spacing w:before="40" w:after="20"/>
              <w:jc w:val="center"/>
              <w:rPr>
                <w:rFonts w:cs="Arial"/>
                <w:sz w:val="18"/>
                <w:szCs w:val="18"/>
              </w:rPr>
            </w:pPr>
            <w:r w:rsidRPr="005D19CF">
              <w:rPr>
                <w:rFonts w:cs="Arial"/>
                <w:sz w:val="18"/>
                <w:szCs w:val="18"/>
              </w:rPr>
              <w:t>40.0</w:t>
            </w:r>
          </w:p>
        </w:tc>
        <w:tc>
          <w:tcPr>
            <w:tcW w:w="170" w:type="dxa"/>
            <w:tcBorders>
              <w:top w:val="nil"/>
              <w:left w:val="nil"/>
              <w:bottom w:val="nil"/>
              <w:right w:val="nil"/>
            </w:tcBorders>
            <w:shd w:val="clear" w:color="auto" w:fill="auto"/>
            <w:vAlign w:val="bottom"/>
          </w:tcPr>
          <w:p w14:paraId="109DA096" w14:textId="2D5E64D7"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A266653" w14:textId="194F5BE8" w:rsidR="005D19CF" w:rsidRPr="001D41EA" w:rsidRDefault="005D19CF" w:rsidP="005D19CF">
            <w:pPr>
              <w:spacing w:before="40" w:after="20"/>
              <w:jc w:val="center"/>
              <w:rPr>
                <w:rFonts w:cs="Arial"/>
                <w:sz w:val="18"/>
                <w:szCs w:val="18"/>
              </w:rPr>
            </w:pPr>
            <w:r w:rsidRPr="001D41EA">
              <w:rPr>
                <w:rFonts w:cs="Arial"/>
                <w:sz w:val="18"/>
                <w:szCs w:val="18"/>
              </w:rPr>
              <w:t>1.44</w:t>
            </w:r>
          </w:p>
        </w:tc>
      </w:tr>
      <w:tr w:rsidR="005D19CF" w:rsidRPr="001D41EA" w14:paraId="43DF4F8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18E44B10" w14:textId="77777777" w:rsidR="005D19CF" w:rsidRPr="001D41EA" w:rsidRDefault="005D19CF" w:rsidP="005D19CF">
            <w:pPr>
              <w:spacing w:before="40" w:after="20"/>
              <w:rPr>
                <w:rFonts w:cs="Arial"/>
                <w:sz w:val="18"/>
                <w:szCs w:val="18"/>
              </w:rPr>
            </w:pPr>
            <w:r w:rsidRPr="001D41EA">
              <w:rPr>
                <w:rFonts w:cs="Arial"/>
                <w:sz w:val="18"/>
                <w:szCs w:val="18"/>
              </w:rPr>
              <w:t>Wellington S</w:t>
            </w:r>
          </w:p>
        </w:tc>
        <w:tc>
          <w:tcPr>
            <w:tcW w:w="1418" w:type="dxa"/>
            <w:tcBorders>
              <w:top w:val="nil"/>
              <w:left w:val="single" w:sz="18" w:space="0" w:color="5F497A" w:themeColor="accent4" w:themeShade="BF"/>
              <w:bottom w:val="nil"/>
              <w:right w:val="nil"/>
            </w:tcBorders>
            <w:shd w:val="clear" w:color="auto" w:fill="auto"/>
            <w:vAlign w:val="bottom"/>
          </w:tcPr>
          <w:p w14:paraId="0920537F" w14:textId="148597EB" w:rsidR="005D19CF" w:rsidRPr="001D41EA" w:rsidRDefault="005D19CF" w:rsidP="005D19CF">
            <w:pPr>
              <w:spacing w:before="40" w:after="20"/>
              <w:jc w:val="right"/>
              <w:rPr>
                <w:rFonts w:cs="Arial"/>
                <w:sz w:val="18"/>
                <w:szCs w:val="18"/>
              </w:rPr>
            </w:pPr>
            <w:r w:rsidRPr="001D41EA">
              <w:rPr>
                <w:rFonts w:cs="Arial"/>
                <w:sz w:val="18"/>
                <w:szCs w:val="18"/>
              </w:rPr>
              <w:t>42,986</w:t>
            </w:r>
          </w:p>
        </w:tc>
        <w:tc>
          <w:tcPr>
            <w:tcW w:w="1418" w:type="dxa"/>
            <w:tcBorders>
              <w:top w:val="nil"/>
              <w:left w:val="nil"/>
              <w:bottom w:val="nil"/>
              <w:right w:val="nil"/>
            </w:tcBorders>
            <w:vAlign w:val="bottom"/>
          </w:tcPr>
          <w:p w14:paraId="382FE8D5" w14:textId="6421D488" w:rsidR="005D19CF" w:rsidRPr="001D41EA" w:rsidRDefault="005D19CF" w:rsidP="005D19CF">
            <w:pPr>
              <w:spacing w:before="40" w:after="20"/>
              <w:jc w:val="right"/>
              <w:rPr>
                <w:rFonts w:cs="Arial"/>
                <w:sz w:val="18"/>
                <w:szCs w:val="18"/>
              </w:rPr>
            </w:pPr>
            <w:r w:rsidRPr="001D41EA">
              <w:rPr>
                <w:rFonts w:cs="Arial"/>
                <w:sz w:val="18"/>
                <w:szCs w:val="18"/>
              </w:rPr>
              <w:t>9,946</w:t>
            </w:r>
          </w:p>
        </w:tc>
        <w:tc>
          <w:tcPr>
            <w:tcW w:w="1418" w:type="dxa"/>
            <w:tcBorders>
              <w:top w:val="nil"/>
              <w:left w:val="nil"/>
              <w:bottom w:val="nil"/>
              <w:right w:val="nil"/>
            </w:tcBorders>
            <w:shd w:val="clear" w:color="auto" w:fill="auto"/>
            <w:vAlign w:val="bottom"/>
          </w:tcPr>
          <w:p w14:paraId="210407FA" w14:textId="1A74EE51" w:rsidR="005D19CF" w:rsidRPr="001D41EA" w:rsidRDefault="005D19CF" w:rsidP="005D19CF">
            <w:pPr>
              <w:spacing w:before="40" w:after="20"/>
              <w:jc w:val="center"/>
              <w:rPr>
                <w:rFonts w:cs="Arial"/>
                <w:sz w:val="18"/>
                <w:szCs w:val="18"/>
              </w:rPr>
            </w:pPr>
            <w:r w:rsidRPr="005D19CF">
              <w:rPr>
                <w:rFonts w:cs="Arial"/>
                <w:sz w:val="18"/>
                <w:szCs w:val="18"/>
              </w:rPr>
              <w:t>23.1</w:t>
            </w:r>
          </w:p>
        </w:tc>
        <w:tc>
          <w:tcPr>
            <w:tcW w:w="170" w:type="dxa"/>
            <w:tcBorders>
              <w:top w:val="nil"/>
              <w:left w:val="nil"/>
              <w:bottom w:val="nil"/>
              <w:right w:val="nil"/>
            </w:tcBorders>
            <w:shd w:val="clear" w:color="auto" w:fill="auto"/>
            <w:vAlign w:val="bottom"/>
          </w:tcPr>
          <w:p w14:paraId="32B2B812" w14:textId="2B3A2BD3"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D4C5180" w14:textId="71B00894" w:rsidR="005D19CF" w:rsidRPr="001D41EA" w:rsidRDefault="005D19CF" w:rsidP="005D19CF">
            <w:pPr>
              <w:spacing w:before="40" w:after="20"/>
              <w:jc w:val="center"/>
              <w:rPr>
                <w:rFonts w:cs="Arial"/>
                <w:sz w:val="18"/>
                <w:szCs w:val="18"/>
              </w:rPr>
            </w:pPr>
            <w:r w:rsidRPr="001D41EA">
              <w:rPr>
                <w:rFonts w:cs="Arial"/>
                <w:sz w:val="18"/>
                <w:szCs w:val="18"/>
              </w:rPr>
              <w:t>3.04</w:t>
            </w:r>
          </w:p>
        </w:tc>
      </w:tr>
      <w:tr w:rsidR="005D19CF" w:rsidRPr="001D41EA" w14:paraId="690E8860"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8F9BD96" w14:textId="77777777" w:rsidR="005D19CF" w:rsidRPr="001D41EA" w:rsidRDefault="005D19CF" w:rsidP="005D19CF">
            <w:pPr>
              <w:spacing w:before="40" w:after="20"/>
              <w:rPr>
                <w:rFonts w:cs="Arial"/>
                <w:sz w:val="18"/>
                <w:szCs w:val="18"/>
              </w:rPr>
            </w:pPr>
            <w:r w:rsidRPr="001D41EA">
              <w:rPr>
                <w:rFonts w:cs="Arial"/>
                <w:sz w:val="18"/>
                <w:szCs w:val="18"/>
              </w:rPr>
              <w:t>West Wimmera S</w:t>
            </w:r>
          </w:p>
        </w:tc>
        <w:tc>
          <w:tcPr>
            <w:tcW w:w="1418" w:type="dxa"/>
            <w:tcBorders>
              <w:top w:val="nil"/>
              <w:left w:val="single" w:sz="18" w:space="0" w:color="5F497A" w:themeColor="accent4" w:themeShade="BF"/>
              <w:bottom w:val="nil"/>
              <w:right w:val="nil"/>
            </w:tcBorders>
            <w:shd w:val="clear" w:color="auto" w:fill="auto"/>
            <w:vAlign w:val="bottom"/>
          </w:tcPr>
          <w:p w14:paraId="4FEB0666" w14:textId="094613B0" w:rsidR="005D19CF" w:rsidRPr="001D41EA" w:rsidRDefault="005D19CF" w:rsidP="005D19CF">
            <w:pPr>
              <w:spacing w:before="40" w:after="20"/>
              <w:jc w:val="right"/>
              <w:rPr>
                <w:rFonts w:cs="Arial"/>
                <w:sz w:val="18"/>
                <w:szCs w:val="18"/>
              </w:rPr>
            </w:pPr>
            <w:r w:rsidRPr="001D41EA">
              <w:rPr>
                <w:rFonts w:cs="Arial"/>
                <w:sz w:val="18"/>
                <w:szCs w:val="18"/>
              </w:rPr>
              <w:t>3,905</w:t>
            </w:r>
          </w:p>
        </w:tc>
        <w:tc>
          <w:tcPr>
            <w:tcW w:w="1418" w:type="dxa"/>
            <w:tcBorders>
              <w:top w:val="nil"/>
              <w:left w:val="nil"/>
              <w:bottom w:val="nil"/>
              <w:right w:val="nil"/>
            </w:tcBorders>
            <w:vAlign w:val="bottom"/>
          </w:tcPr>
          <w:p w14:paraId="066147E8" w14:textId="606DF0D2" w:rsidR="005D19CF" w:rsidRPr="001D41EA" w:rsidRDefault="005D19CF" w:rsidP="005D19CF">
            <w:pPr>
              <w:spacing w:before="40" w:after="20"/>
              <w:jc w:val="right"/>
              <w:rPr>
                <w:rFonts w:cs="Arial"/>
                <w:sz w:val="18"/>
                <w:szCs w:val="18"/>
              </w:rPr>
            </w:pPr>
            <w:r w:rsidRPr="001D41EA">
              <w:rPr>
                <w:rFonts w:cs="Arial"/>
                <w:sz w:val="18"/>
                <w:szCs w:val="18"/>
              </w:rPr>
              <w:t>643</w:t>
            </w:r>
          </w:p>
        </w:tc>
        <w:tc>
          <w:tcPr>
            <w:tcW w:w="1418" w:type="dxa"/>
            <w:tcBorders>
              <w:top w:val="nil"/>
              <w:left w:val="nil"/>
              <w:bottom w:val="nil"/>
              <w:right w:val="nil"/>
            </w:tcBorders>
            <w:shd w:val="clear" w:color="auto" w:fill="auto"/>
            <w:vAlign w:val="bottom"/>
          </w:tcPr>
          <w:p w14:paraId="5D104262" w14:textId="4E1C4FFD" w:rsidR="005D19CF" w:rsidRPr="001D41EA" w:rsidRDefault="005D19CF" w:rsidP="005D19CF">
            <w:pPr>
              <w:spacing w:before="40" w:after="20"/>
              <w:jc w:val="center"/>
              <w:rPr>
                <w:rFonts w:cs="Arial"/>
                <w:sz w:val="18"/>
                <w:szCs w:val="18"/>
              </w:rPr>
            </w:pPr>
            <w:r w:rsidRPr="005D19CF">
              <w:rPr>
                <w:rFonts w:cs="Arial"/>
                <w:sz w:val="18"/>
                <w:szCs w:val="18"/>
              </w:rPr>
              <w:t>16.5</w:t>
            </w:r>
          </w:p>
        </w:tc>
        <w:tc>
          <w:tcPr>
            <w:tcW w:w="170" w:type="dxa"/>
            <w:tcBorders>
              <w:top w:val="nil"/>
              <w:left w:val="nil"/>
              <w:bottom w:val="nil"/>
              <w:right w:val="nil"/>
            </w:tcBorders>
            <w:shd w:val="clear" w:color="auto" w:fill="auto"/>
            <w:vAlign w:val="bottom"/>
          </w:tcPr>
          <w:p w14:paraId="53CF7ECB" w14:textId="01EF7A1A"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5A401FBD" w14:textId="5B2BD5CA" w:rsidR="005D19CF" w:rsidRPr="001D41EA" w:rsidRDefault="005D19CF" w:rsidP="005D19CF">
            <w:pPr>
              <w:spacing w:before="40" w:after="20"/>
              <w:jc w:val="center"/>
              <w:rPr>
                <w:rFonts w:cs="Arial"/>
                <w:sz w:val="18"/>
                <w:szCs w:val="18"/>
              </w:rPr>
            </w:pPr>
            <w:r w:rsidRPr="001D41EA">
              <w:rPr>
                <w:rFonts w:cs="Arial"/>
                <w:sz w:val="18"/>
                <w:szCs w:val="18"/>
              </w:rPr>
              <w:t>5.36</w:t>
            </w:r>
          </w:p>
        </w:tc>
      </w:tr>
      <w:tr w:rsidR="005D19CF" w:rsidRPr="001D41EA" w14:paraId="0B7FCC9F"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6D92A83C" w14:textId="77777777" w:rsidR="005D19CF" w:rsidRPr="001D41EA" w:rsidRDefault="005D19CF" w:rsidP="005D19CF">
            <w:pPr>
              <w:spacing w:before="40" w:after="20"/>
              <w:rPr>
                <w:rFonts w:cs="Arial"/>
                <w:sz w:val="18"/>
                <w:szCs w:val="18"/>
              </w:rPr>
            </w:pPr>
            <w:r w:rsidRPr="001D41EA">
              <w:rPr>
                <w:rFonts w:cs="Arial"/>
                <w:sz w:val="18"/>
                <w:szCs w:val="18"/>
              </w:rPr>
              <w:t>Whitehorse C</w:t>
            </w:r>
          </w:p>
        </w:tc>
        <w:tc>
          <w:tcPr>
            <w:tcW w:w="1418" w:type="dxa"/>
            <w:tcBorders>
              <w:top w:val="nil"/>
              <w:left w:val="single" w:sz="18" w:space="0" w:color="5F497A" w:themeColor="accent4" w:themeShade="BF"/>
              <w:bottom w:val="nil"/>
              <w:right w:val="nil"/>
            </w:tcBorders>
            <w:shd w:val="clear" w:color="auto" w:fill="auto"/>
            <w:vAlign w:val="bottom"/>
          </w:tcPr>
          <w:p w14:paraId="2E4CEC13" w14:textId="3BB595E1" w:rsidR="005D19CF" w:rsidRPr="001D41EA" w:rsidRDefault="005D19CF" w:rsidP="005D19CF">
            <w:pPr>
              <w:spacing w:before="40" w:after="20"/>
              <w:jc w:val="right"/>
              <w:rPr>
                <w:rFonts w:cs="Arial"/>
                <w:sz w:val="18"/>
                <w:szCs w:val="18"/>
              </w:rPr>
            </w:pPr>
            <w:r w:rsidRPr="001D41EA">
              <w:rPr>
                <w:rFonts w:cs="Arial"/>
                <w:sz w:val="18"/>
                <w:szCs w:val="18"/>
              </w:rPr>
              <w:t>162,080</w:t>
            </w:r>
          </w:p>
        </w:tc>
        <w:tc>
          <w:tcPr>
            <w:tcW w:w="1418" w:type="dxa"/>
            <w:tcBorders>
              <w:top w:val="nil"/>
              <w:left w:val="nil"/>
              <w:bottom w:val="nil"/>
              <w:right w:val="nil"/>
            </w:tcBorders>
            <w:vAlign w:val="bottom"/>
          </w:tcPr>
          <w:p w14:paraId="58096C7E" w14:textId="4043AE02" w:rsidR="005D19CF" w:rsidRPr="001D41EA" w:rsidRDefault="005D19CF" w:rsidP="005D19CF">
            <w:pPr>
              <w:spacing w:before="40" w:after="20"/>
              <w:jc w:val="right"/>
              <w:rPr>
                <w:rFonts w:cs="Arial"/>
                <w:sz w:val="18"/>
                <w:szCs w:val="18"/>
              </w:rPr>
            </w:pPr>
            <w:r w:rsidRPr="001D41EA">
              <w:rPr>
                <w:rFonts w:cs="Arial"/>
                <w:sz w:val="18"/>
                <w:szCs w:val="18"/>
              </w:rPr>
              <w:t>54,464</w:t>
            </w:r>
          </w:p>
        </w:tc>
        <w:tc>
          <w:tcPr>
            <w:tcW w:w="1418" w:type="dxa"/>
            <w:tcBorders>
              <w:top w:val="nil"/>
              <w:left w:val="nil"/>
              <w:bottom w:val="nil"/>
              <w:right w:val="nil"/>
            </w:tcBorders>
            <w:shd w:val="clear" w:color="auto" w:fill="auto"/>
            <w:vAlign w:val="bottom"/>
          </w:tcPr>
          <w:p w14:paraId="7C940492" w14:textId="2F088D38" w:rsidR="005D19CF" w:rsidRPr="001D41EA" w:rsidRDefault="005D19CF" w:rsidP="005D19CF">
            <w:pPr>
              <w:spacing w:before="40" w:after="20"/>
              <w:jc w:val="center"/>
              <w:rPr>
                <w:rFonts w:cs="Arial"/>
                <w:sz w:val="18"/>
                <w:szCs w:val="18"/>
              </w:rPr>
            </w:pPr>
            <w:r w:rsidRPr="005D19CF">
              <w:rPr>
                <w:rFonts w:cs="Arial"/>
                <w:sz w:val="18"/>
                <w:szCs w:val="18"/>
              </w:rPr>
              <w:t>33.6</w:t>
            </w:r>
          </w:p>
        </w:tc>
        <w:tc>
          <w:tcPr>
            <w:tcW w:w="170" w:type="dxa"/>
            <w:tcBorders>
              <w:top w:val="nil"/>
              <w:left w:val="nil"/>
              <w:bottom w:val="nil"/>
              <w:right w:val="nil"/>
            </w:tcBorders>
            <w:shd w:val="clear" w:color="auto" w:fill="auto"/>
            <w:vAlign w:val="bottom"/>
          </w:tcPr>
          <w:p w14:paraId="55805D55" w14:textId="1F77CBC0"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38896F4E" w14:textId="02477F54" w:rsidR="005D19CF" w:rsidRPr="001D41EA" w:rsidRDefault="005D19CF" w:rsidP="005D19CF">
            <w:pPr>
              <w:spacing w:before="40" w:after="20"/>
              <w:jc w:val="center"/>
              <w:rPr>
                <w:rFonts w:cs="Arial"/>
                <w:sz w:val="18"/>
                <w:szCs w:val="18"/>
              </w:rPr>
            </w:pPr>
          </w:p>
        </w:tc>
      </w:tr>
      <w:tr w:rsidR="005D19CF" w:rsidRPr="001D41EA" w14:paraId="42F23D4B"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0D9959A" w14:textId="77777777" w:rsidR="005D19CF" w:rsidRPr="001D41EA" w:rsidRDefault="005D19CF" w:rsidP="005D19CF">
            <w:pPr>
              <w:spacing w:before="40" w:after="20"/>
              <w:rPr>
                <w:rFonts w:cs="Arial"/>
                <w:sz w:val="18"/>
                <w:szCs w:val="18"/>
              </w:rPr>
            </w:pPr>
            <w:r w:rsidRPr="001D41EA">
              <w:rPr>
                <w:rFonts w:cs="Arial"/>
                <w:sz w:val="18"/>
                <w:szCs w:val="18"/>
              </w:rPr>
              <w:t>Whittlesea C</w:t>
            </w:r>
          </w:p>
        </w:tc>
        <w:tc>
          <w:tcPr>
            <w:tcW w:w="1418" w:type="dxa"/>
            <w:tcBorders>
              <w:top w:val="nil"/>
              <w:left w:val="single" w:sz="18" w:space="0" w:color="5F497A" w:themeColor="accent4" w:themeShade="BF"/>
              <w:bottom w:val="nil"/>
              <w:right w:val="nil"/>
            </w:tcBorders>
            <w:shd w:val="clear" w:color="auto" w:fill="auto"/>
            <w:vAlign w:val="bottom"/>
          </w:tcPr>
          <w:p w14:paraId="764D045E" w14:textId="3C9F5405" w:rsidR="005D19CF" w:rsidRPr="001D41EA" w:rsidRDefault="005D19CF" w:rsidP="005D19CF">
            <w:pPr>
              <w:spacing w:before="40" w:after="20"/>
              <w:jc w:val="right"/>
              <w:rPr>
                <w:rFonts w:cs="Arial"/>
                <w:sz w:val="18"/>
                <w:szCs w:val="18"/>
              </w:rPr>
            </w:pPr>
            <w:r w:rsidRPr="001D41EA">
              <w:rPr>
                <w:rFonts w:cs="Arial"/>
                <w:sz w:val="18"/>
                <w:szCs w:val="18"/>
              </w:rPr>
              <w:t>197,490</w:t>
            </w:r>
          </w:p>
        </w:tc>
        <w:tc>
          <w:tcPr>
            <w:tcW w:w="1418" w:type="dxa"/>
            <w:tcBorders>
              <w:top w:val="nil"/>
              <w:left w:val="nil"/>
              <w:bottom w:val="nil"/>
              <w:right w:val="nil"/>
            </w:tcBorders>
            <w:vAlign w:val="bottom"/>
          </w:tcPr>
          <w:p w14:paraId="03AD78AC" w14:textId="476706BA" w:rsidR="005D19CF" w:rsidRPr="001D41EA" w:rsidRDefault="005D19CF" w:rsidP="005D19CF">
            <w:pPr>
              <w:spacing w:before="40" w:after="20"/>
              <w:jc w:val="right"/>
              <w:rPr>
                <w:rFonts w:cs="Arial"/>
                <w:sz w:val="18"/>
                <w:szCs w:val="18"/>
              </w:rPr>
            </w:pPr>
            <w:r w:rsidRPr="001D41EA">
              <w:rPr>
                <w:rFonts w:cs="Arial"/>
                <w:sz w:val="18"/>
                <w:szCs w:val="18"/>
              </w:rPr>
              <w:t>32,536</w:t>
            </w:r>
          </w:p>
        </w:tc>
        <w:tc>
          <w:tcPr>
            <w:tcW w:w="1418" w:type="dxa"/>
            <w:tcBorders>
              <w:top w:val="nil"/>
              <w:left w:val="nil"/>
              <w:bottom w:val="nil"/>
              <w:right w:val="nil"/>
            </w:tcBorders>
            <w:shd w:val="clear" w:color="auto" w:fill="auto"/>
            <w:vAlign w:val="bottom"/>
          </w:tcPr>
          <w:p w14:paraId="30FB0EF7" w14:textId="0864E80B" w:rsidR="005D19CF" w:rsidRPr="001D41EA" w:rsidRDefault="005D19CF" w:rsidP="005D19CF">
            <w:pPr>
              <w:spacing w:before="40" w:after="20"/>
              <w:jc w:val="center"/>
              <w:rPr>
                <w:rFonts w:cs="Arial"/>
                <w:sz w:val="18"/>
                <w:szCs w:val="18"/>
              </w:rPr>
            </w:pPr>
            <w:r w:rsidRPr="005D19CF">
              <w:rPr>
                <w:rFonts w:cs="Arial"/>
                <w:sz w:val="18"/>
                <w:szCs w:val="18"/>
              </w:rPr>
              <w:t>16.5</w:t>
            </w:r>
          </w:p>
        </w:tc>
        <w:tc>
          <w:tcPr>
            <w:tcW w:w="170" w:type="dxa"/>
            <w:tcBorders>
              <w:top w:val="nil"/>
              <w:left w:val="nil"/>
              <w:bottom w:val="nil"/>
              <w:right w:val="nil"/>
            </w:tcBorders>
            <w:shd w:val="clear" w:color="auto" w:fill="auto"/>
            <w:vAlign w:val="bottom"/>
          </w:tcPr>
          <w:p w14:paraId="2A79E137" w14:textId="1EDD4B3D"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0C1B966" w14:textId="2A9C31D6" w:rsidR="005D19CF" w:rsidRPr="001D41EA" w:rsidRDefault="005D19CF" w:rsidP="005D19CF">
            <w:pPr>
              <w:spacing w:before="40" w:after="20"/>
              <w:jc w:val="center"/>
              <w:rPr>
                <w:rFonts w:cs="Arial"/>
                <w:sz w:val="18"/>
                <w:szCs w:val="18"/>
              </w:rPr>
            </w:pPr>
            <w:r w:rsidRPr="001D41EA">
              <w:rPr>
                <w:rFonts w:cs="Arial"/>
                <w:sz w:val="18"/>
                <w:szCs w:val="18"/>
              </w:rPr>
              <w:t>0.20</w:t>
            </w:r>
          </w:p>
        </w:tc>
      </w:tr>
      <w:tr w:rsidR="005D19CF" w:rsidRPr="001D41EA" w14:paraId="2D0092B2" w14:textId="77777777" w:rsidTr="00CA09E3">
        <w:trPr>
          <w:trHeight w:val="80"/>
        </w:trPr>
        <w:tc>
          <w:tcPr>
            <w:tcW w:w="2268" w:type="dxa"/>
            <w:tcBorders>
              <w:top w:val="nil"/>
              <w:left w:val="nil"/>
              <w:bottom w:val="nil"/>
              <w:right w:val="single" w:sz="18" w:space="0" w:color="5F497A" w:themeColor="accent4" w:themeShade="BF"/>
            </w:tcBorders>
            <w:shd w:val="clear" w:color="auto" w:fill="auto"/>
            <w:vAlign w:val="center"/>
          </w:tcPr>
          <w:p w14:paraId="62264BC6" w14:textId="77777777" w:rsidR="005D19CF" w:rsidRPr="001D41EA" w:rsidRDefault="005D19CF" w:rsidP="005D19CF">
            <w:pPr>
              <w:spacing w:before="40" w:after="20"/>
              <w:rPr>
                <w:rFonts w:cs="Arial"/>
                <w:sz w:val="18"/>
                <w:szCs w:val="18"/>
              </w:rPr>
            </w:pPr>
            <w:r w:rsidRPr="001D41EA">
              <w:rPr>
                <w:rFonts w:cs="Arial"/>
                <w:sz w:val="18"/>
                <w:szCs w:val="18"/>
              </w:rPr>
              <w:t>Wodonga C</w:t>
            </w:r>
          </w:p>
        </w:tc>
        <w:tc>
          <w:tcPr>
            <w:tcW w:w="1418" w:type="dxa"/>
            <w:tcBorders>
              <w:top w:val="nil"/>
              <w:left w:val="single" w:sz="18" w:space="0" w:color="5F497A" w:themeColor="accent4" w:themeShade="BF"/>
              <w:bottom w:val="nil"/>
              <w:right w:val="nil"/>
            </w:tcBorders>
            <w:shd w:val="clear" w:color="auto" w:fill="auto"/>
            <w:vAlign w:val="bottom"/>
          </w:tcPr>
          <w:p w14:paraId="7235C97D" w14:textId="4530ADF1" w:rsidR="005D19CF" w:rsidRPr="001D41EA" w:rsidRDefault="005D19CF" w:rsidP="005D19CF">
            <w:pPr>
              <w:spacing w:before="40" w:after="20"/>
              <w:jc w:val="right"/>
              <w:rPr>
                <w:rFonts w:cs="Arial"/>
                <w:sz w:val="18"/>
                <w:szCs w:val="18"/>
              </w:rPr>
            </w:pPr>
            <w:r w:rsidRPr="001D41EA">
              <w:rPr>
                <w:rFonts w:cs="Arial"/>
                <w:sz w:val="18"/>
                <w:szCs w:val="18"/>
              </w:rPr>
              <w:t>39,347</w:t>
            </w:r>
          </w:p>
        </w:tc>
        <w:tc>
          <w:tcPr>
            <w:tcW w:w="1418" w:type="dxa"/>
            <w:tcBorders>
              <w:top w:val="nil"/>
              <w:left w:val="nil"/>
              <w:bottom w:val="nil"/>
              <w:right w:val="nil"/>
            </w:tcBorders>
            <w:vAlign w:val="bottom"/>
          </w:tcPr>
          <w:p w14:paraId="147FA318" w14:textId="778DD029" w:rsidR="005D19CF" w:rsidRPr="001D41EA" w:rsidRDefault="005D19CF" w:rsidP="005D19CF">
            <w:pPr>
              <w:spacing w:before="40" w:after="20"/>
              <w:jc w:val="right"/>
              <w:rPr>
                <w:rFonts w:cs="Arial"/>
                <w:sz w:val="18"/>
                <w:szCs w:val="18"/>
              </w:rPr>
            </w:pPr>
            <w:r w:rsidRPr="001D41EA">
              <w:rPr>
                <w:rFonts w:cs="Arial"/>
                <w:sz w:val="18"/>
                <w:szCs w:val="18"/>
              </w:rPr>
              <w:t>15,739</w:t>
            </w:r>
          </w:p>
        </w:tc>
        <w:tc>
          <w:tcPr>
            <w:tcW w:w="1418" w:type="dxa"/>
            <w:tcBorders>
              <w:top w:val="nil"/>
              <w:left w:val="nil"/>
              <w:bottom w:val="nil"/>
              <w:right w:val="nil"/>
            </w:tcBorders>
            <w:shd w:val="clear" w:color="auto" w:fill="auto"/>
            <w:vAlign w:val="bottom"/>
          </w:tcPr>
          <w:p w14:paraId="7FA08BBC" w14:textId="420FCDF8" w:rsidR="005D19CF" w:rsidRPr="001D41EA" w:rsidRDefault="005D19CF" w:rsidP="005D19CF">
            <w:pPr>
              <w:spacing w:before="40" w:after="20"/>
              <w:jc w:val="center"/>
              <w:rPr>
                <w:rFonts w:cs="Arial"/>
                <w:sz w:val="18"/>
                <w:szCs w:val="18"/>
              </w:rPr>
            </w:pPr>
            <w:r w:rsidRPr="005D19CF">
              <w:rPr>
                <w:rFonts w:cs="Arial"/>
                <w:sz w:val="18"/>
                <w:szCs w:val="18"/>
              </w:rPr>
              <w:t>40.0</w:t>
            </w:r>
          </w:p>
        </w:tc>
        <w:tc>
          <w:tcPr>
            <w:tcW w:w="170" w:type="dxa"/>
            <w:tcBorders>
              <w:top w:val="nil"/>
              <w:left w:val="nil"/>
              <w:bottom w:val="nil"/>
              <w:right w:val="nil"/>
            </w:tcBorders>
            <w:shd w:val="clear" w:color="auto" w:fill="auto"/>
            <w:vAlign w:val="bottom"/>
          </w:tcPr>
          <w:p w14:paraId="4D1D9818" w14:textId="0ACFC1CC"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0360A0AC" w14:textId="5F4A5CD0" w:rsidR="005D19CF" w:rsidRPr="001D41EA" w:rsidRDefault="005D19CF" w:rsidP="005D19CF">
            <w:pPr>
              <w:spacing w:before="40" w:after="20"/>
              <w:jc w:val="center"/>
              <w:rPr>
                <w:rFonts w:cs="Arial"/>
                <w:sz w:val="18"/>
                <w:szCs w:val="18"/>
              </w:rPr>
            </w:pPr>
            <w:r w:rsidRPr="001D41EA">
              <w:rPr>
                <w:rFonts w:cs="Arial"/>
                <w:sz w:val="18"/>
                <w:szCs w:val="18"/>
              </w:rPr>
              <w:t>0.89</w:t>
            </w:r>
          </w:p>
        </w:tc>
      </w:tr>
      <w:tr w:rsidR="005D19CF" w:rsidRPr="001D41EA" w14:paraId="12A47C52"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0A087096" w14:textId="77777777" w:rsidR="005D19CF" w:rsidRPr="001D41EA" w:rsidRDefault="005D19CF" w:rsidP="005D19CF">
            <w:pPr>
              <w:spacing w:before="40" w:after="20"/>
              <w:rPr>
                <w:rFonts w:cs="Arial"/>
                <w:sz w:val="18"/>
                <w:szCs w:val="18"/>
              </w:rPr>
            </w:pPr>
            <w:r w:rsidRPr="001D41EA">
              <w:rPr>
                <w:rFonts w:cs="Arial"/>
                <w:sz w:val="18"/>
                <w:szCs w:val="18"/>
              </w:rPr>
              <w:t>Wyndham C</w:t>
            </w:r>
          </w:p>
        </w:tc>
        <w:tc>
          <w:tcPr>
            <w:tcW w:w="1418" w:type="dxa"/>
            <w:tcBorders>
              <w:top w:val="nil"/>
              <w:left w:val="single" w:sz="18" w:space="0" w:color="5F497A" w:themeColor="accent4" w:themeShade="BF"/>
              <w:bottom w:val="nil"/>
              <w:right w:val="nil"/>
            </w:tcBorders>
            <w:shd w:val="clear" w:color="auto" w:fill="auto"/>
            <w:vAlign w:val="bottom"/>
          </w:tcPr>
          <w:p w14:paraId="00D3EDA2" w14:textId="42D7901F" w:rsidR="005D19CF" w:rsidRPr="001D41EA" w:rsidRDefault="005D19CF" w:rsidP="005D19CF">
            <w:pPr>
              <w:spacing w:before="40" w:after="20"/>
              <w:jc w:val="right"/>
              <w:rPr>
                <w:rFonts w:cs="Arial"/>
                <w:sz w:val="18"/>
                <w:szCs w:val="18"/>
              </w:rPr>
            </w:pPr>
            <w:r w:rsidRPr="001D41EA">
              <w:rPr>
                <w:rFonts w:cs="Arial"/>
                <w:sz w:val="18"/>
                <w:szCs w:val="18"/>
              </w:rPr>
              <w:t>217,118</w:t>
            </w:r>
          </w:p>
        </w:tc>
        <w:tc>
          <w:tcPr>
            <w:tcW w:w="1418" w:type="dxa"/>
            <w:tcBorders>
              <w:top w:val="nil"/>
              <w:left w:val="nil"/>
              <w:bottom w:val="nil"/>
              <w:right w:val="nil"/>
            </w:tcBorders>
            <w:vAlign w:val="bottom"/>
          </w:tcPr>
          <w:p w14:paraId="5D5009BC" w14:textId="62C0D910" w:rsidR="005D19CF" w:rsidRPr="001D41EA" w:rsidRDefault="005D19CF" w:rsidP="005D19CF">
            <w:pPr>
              <w:spacing w:before="40" w:after="20"/>
              <w:jc w:val="right"/>
              <w:rPr>
                <w:rFonts w:cs="Arial"/>
                <w:sz w:val="18"/>
                <w:szCs w:val="18"/>
              </w:rPr>
            </w:pPr>
            <w:r w:rsidRPr="001D41EA">
              <w:rPr>
                <w:rFonts w:cs="Arial"/>
                <w:sz w:val="18"/>
                <w:szCs w:val="18"/>
              </w:rPr>
              <w:t>35,630</w:t>
            </w:r>
          </w:p>
        </w:tc>
        <w:tc>
          <w:tcPr>
            <w:tcW w:w="1418" w:type="dxa"/>
            <w:tcBorders>
              <w:top w:val="nil"/>
              <w:left w:val="nil"/>
              <w:bottom w:val="nil"/>
              <w:right w:val="nil"/>
            </w:tcBorders>
            <w:shd w:val="clear" w:color="auto" w:fill="auto"/>
            <w:vAlign w:val="bottom"/>
          </w:tcPr>
          <w:p w14:paraId="62925FBE" w14:textId="65B3E14E" w:rsidR="005D19CF" w:rsidRPr="001D41EA" w:rsidRDefault="005D19CF" w:rsidP="005D19CF">
            <w:pPr>
              <w:spacing w:before="40" w:after="20"/>
              <w:jc w:val="center"/>
              <w:rPr>
                <w:rFonts w:cs="Arial"/>
                <w:sz w:val="18"/>
                <w:szCs w:val="18"/>
              </w:rPr>
            </w:pPr>
            <w:r w:rsidRPr="005D19CF">
              <w:rPr>
                <w:rFonts w:cs="Arial"/>
                <w:sz w:val="18"/>
                <w:szCs w:val="18"/>
              </w:rPr>
              <w:t>16.4</w:t>
            </w:r>
          </w:p>
        </w:tc>
        <w:tc>
          <w:tcPr>
            <w:tcW w:w="170" w:type="dxa"/>
            <w:tcBorders>
              <w:top w:val="nil"/>
              <w:left w:val="nil"/>
              <w:bottom w:val="nil"/>
              <w:right w:val="nil"/>
            </w:tcBorders>
            <w:shd w:val="clear" w:color="auto" w:fill="auto"/>
            <w:vAlign w:val="bottom"/>
          </w:tcPr>
          <w:p w14:paraId="246FD74A" w14:textId="09185DC0"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71A2EE7F" w14:textId="06D14214" w:rsidR="005D19CF" w:rsidRPr="001D41EA" w:rsidRDefault="005D19CF" w:rsidP="005D19CF">
            <w:pPr>
              <w:spacing w:before="40" w:after="20"/>
              <w:jc w:val="center"/>
              <w:rPr>
                <w:rFonts w:cs="Arial"/>
                <w:sz w:val="18"/>
                <w:szCs w:val="18"/>
              </w:rPr>
            </w:pPr>
            <w:r w:rsidRPr="001D41EA">
              <w:rPr>
                <w:rFonts w:cs="Arial"/>
                <w:sz w:val="18"/>
                <w:szCs w:val="18"/>
              </w:rPr>
              <w:t>0.19</w:t>
            </w:r>
          </w:p>
        </w:tc>
      </w:tr>
      <w:tr w:rsidR="005D19CF" w:rsidRPr="001D41EA" w14:paraId="5447067D"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B4204C5" w14:textId="77777777" w:rsidR="005D19CF" w:rsidRPr="001D41EA" w:rsidRDefault="005D19CF" w:rsidP="005D19CF">
            <w:pPr>
              <w:spacing w:before="40" w:after="20"/>
              <w:rPr>
                <w:rFonts w:cs="Arial"/>
                <w:sz w:val="18"/>
                <w:szCs w:val="18"/>
              </w:rPr>
            </w:pPr>
            <w:r w:rsidRPr="001D41EA">
              <w:rPr>
                <w:rFonts w:cs="Arial"/>
                <w:sz w:val="18"/>
                <w:szCs w:val="18"/>
              </w:rPr>
              <w:t>Yarra C</w:t>
            </w:r>
          </w:p>
        </w:tc>
        <w:tc>
          <w:tcPr>
            <w:tcW w:w="1418" w:type="dxa"/>
            <w:tcBorders>
              <w:top w:val="nil"/>
              <w:left w:val="single" w:sz="18" w:space="0" w:color="5F497A" w:themeColor="accent4" w:themeShade="BF"/>
              <w:bottom w:val="nil"/>
              <w:right w:val="nil"/>
            </w:tcBorders>
            <w:shd w:val="clear" w:color="auto" w:fill="auto"/>
            <w:vAlign w:val="bottom"/>
          </w:tcPr>
          <w:p w14:paraId="3EBDCF23" w14:textId="24E0BD01" w:rsidR="005D19CF" w:rsidRPr="001D41EA" w:rsidRDefault="005D19CF" w:rsidP="005D19CF">
            <w:pPr>
              <w:spacing w:before="40" w:after="20"/>
              <w:jc w:val="right"/>
              <w:rPr>
                <w:rFonts w:cs="Arial"/>
                <w:sz w:val="18"/>
                <w:szCs w:val="18"/>
              </w:rPr>
            </w:pPr>
            <w:r w:rsidRPr="001D41EA">
              <w:rPr>
                <w:rFonts w:cs="Arial"/>
                <w:sz w:val="18"/>
                <w:szCs w:val="18"/>
              </w:rPr>
              <w:t>86,652</w:t>
            </w:r>
          </w:p>
        </w:tc>
        <w:tc>
          <w:tcPr>
            <w:tcW w:w="1418" w:type="dxa"/>
            <w:tcBorders>
              <w:top w:val="nil"/>
              <w:left w:val="nil"/>
              <w:bottom w:val="nil"/>
              <w:right w:val="nil"/>
            </w:tcBorders>
            <w:vAlign w:val="bottom"/>
          </w:tcPr>
          <w:p w14:paraId="12C035D4" w14:textId="5CBF8AA1" w:rsidR="005D19CF" w:rsidRPr="001D41EA" w:rsidRDefault="005D19CF" w:rsidP="005D19CF">
            <w:pPr>
              <w:spacing w:before="40" w:after="20"/>
              <w:jc w:val="right"/>
              <w:rPr>
                <w:rFonts w:cs="Arial"/>
                <w:sz w:val="18"/>
                <w:szCs w:val="18"/>
              </w:rPr>
            </w:pPr>
            <w:r w:rsidRPr="001D41EA">
              <w:rPr>
                <w:rFonts w:cs="Arial"/>
                <w:sz w:val="18"/>
                <w:szCs w:val="18"/>
              </w:rPr>
              <w:t>30,328</w:t>
            </w:r>
          </w:p>
        </w:tc>
        <w:tc>
          <w:tcPr>
            <w:tcW w:w="1418" w:type="dxa"/>
            <w:tcBorders>
              <w:top w:val="nil"/>
              <w:left w:val="nil"/>
              <w:bottom w:val="nil"/>
              <w:right w:val="nil"/>
            </w:tcBorders>
            <w:shd w:val="clear" w:color="auto" w:fill="auto"/>
            <w:vAlign w:val="bottom"/>
          </w:tcPr>
          <w:p w14:paraId="72DDBDC2" w14:textId="1E0058F4" w:rsidR="005D19CF" w:rsidRPr="001D41EA" w:rsidRDefault="005D19CF" w:rsidP="005D19CF">
            <w:pPr>
              <w:spacing w:before="40" w:after="20"/>
              <w:jc w:val="center"/>
              <w:rPr>
                <w:rFonts w:cs="Arial"/>
                <w:sz w:val="18"/>
                <w:szCs w:val="18"/>
              </w:rPr>
            </w:pPr>
            <w:r w:rsidRPr="005D19CF">
              <w:rPr>
                <w:rFonts w:cs="Arial"/>
                <w:sz w:val="18"/>
                <w:szCs w:val="18"/>
              </w:rPr>
              <w:t>35.0</w:t>
            </w:r>
          </w:p>
        </w:tc>
        <w:tc>
          <w:tcPr>
            <w:tcW w:w="170" w:type="dxa"/>
            <w:tcBorders>
              <w:top w:val="nil"/>
              <w:left w:val="nil"/>
              <w:bottom w:val="nil"/>
              <w:right w:val="nil"/>
            </w:tcBorders>
            <w:shd w:val="clear" w:color="auto" w:fill="auto"/>
            <w:vAlign w:val="bottom"/>
          </w:tcPr>
          <w:p w14:paraId="3FC5C113" w14:textId="29CF0750"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208CCAA6" w14:textId="0BEC5CBC" w:rsidR="005D19CF" w:rsidRPr="001D41EA" w:rsidRDefault="005D19CF" w:rsidP="005D19CF">
            <w:pPr>
              <w:spacing w:before="40" w:after="20"/>
              <w:jc w:val="center"/>
              <w:rPr>
                <w:rFonts w:cs="Arial"/>
                <w:sz w:val="18"/>
                <w:szCs w:val="18"/>
              </w:rPr>
            </w:pPr>
          </w:p>
        </w:tc>
      </w:tr>
      <w:tr w:rsidR="005D19CF" w:rsidRPr="001D41EA" w14:paraId="7842B0A9"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43D0CE7D" w14:textId="77777777" w:rsidR="005D19CF" w:rsidRPr="001D41EA" w:rsidRDefault="005D19CF" w:rsidP="005D19CF">
            <w:pPr>
              <w:spacing w:before="40" w:after="20"/>
              <w:rPr>
                <w:rFonts w:cs="Arial"/>
                <w:sz w:val="18"/>
                <w:szCs w:val="18"/>
              </w:rPr>
            </w:pPr>
            <w:r w:rsidRPr="001D41EA">
              <w:rPr>
                <w:rFonts w:cs="Arial"/>
                <w:sz w:val="18"/>
                <w:szCs w:val="18"/>
              </w:rPr>
              <w:t>Yarra Ranges S</w:t>
            </w:r>
          </w:p>
        </w:tc>
        <w:tc>
          <w:tcPr>
            <w:tcW w:w="1418" w:type="dxa"/>
            <w:tcBorders>
              <w:top w:val="nil"/>
              <w:left w:val="single" w:sz="18" w:space="0" w:color="5F497A" w:themeColor="accent4" w:themeShade="BF"/>
              <w:bottom w:val="nil"/>
              <w:right w:val="nil"/>
            </w:tcBorders>
            <w:shd w:val="clear" w:color="auto" w:fill="auto"/>
            <w:vAlign w:val="bottom"/>
          </w:tcPr>
          <w:p w14:paraId="3C8E6C86" w14:textId="060A1F9B" w:rsidR="005D19CF" w:rsidRPr="001D41EA" w:rsidRDefault="005D19CF" w:rsidP="005D19CF">
            <w:pPr>
              <w:spacing w:before="40" w:after="20"/>
              <w:jc w:val="right"/>
              <w:rPr>
                <w:rFonts w:cs="Arial"/>
                <w:sz w:val="18"/>
                <w:szCs w:val="18"/>
              </w:rPr>
            </w:pPr>
            <w:r w:rsidRPr="001D41EA">
              <w:rPr>
                <w:rFonts w:cs="Arial"/>
                <w:sz w:val="18"/>
                <w:szCs w:val="18"/>
              </w:rPr>
              <w:t>149,542</w:t>
            </w:r>
          </w:p>
        </w:tc>
        <w:tc>
          <w:tcPr>
            <w:tcW w:w="1418" w:type="dxa"/>
            <w:tcBorders>
              <w:top w:val="nil"/>
              <w:left w:val="nil"/>
              <w:bottom w:val="nil"/>
              <w:right w:val="nil"/>
            </w:tcBorders>
            <w:vAlign w:val="bottom"/>
          </w:tcPr>
          <w:p w14:paraId="3EE625B9" w14:textId="4D6B2851" w:rsidR="005D19CF" w:rsidRPr="001D41EA" w:rsidRDefault="005D19CF" w:rsidP="005D19CF">
            <w:pPr>
              <w:spacing w:before="40" w:after="20"/>
              <w:jc w:val="right"/>
              <w:rPr>
                <w:rFonts w:cs="Arial"/>
                <w:sz w:val="18"/>
                <w:szCs w:val="18"/>
              </w:rPr>
            </w:pPr>
            <w:r w:rsidRPr="001D41EA">
              <w:rPr>
                <w:rFonts w:cs="Arial"/>
                <w:sz w:val="18"/>
                <w:szCs w:val="18"/>
              </w:rPr>
              <w:t>25,576</w:t>
            </w:r>
          </w:p>
        </w:tc>
        <w:tc>
          <w:tcPr>
            <w:tcW w:w="1418" w:type="dxa"/>
            <w:tcBorders>
              <w:top w:val="nil"/>
              <w:left w:val="nil"/>
              <w:bottom w:val="nil"/>
              <w:right w:val="nil"/>
            </w:tcBorders>
            <w:shd w:val="clear" w:color="auto" w:fill="auto"/>
            <w:vAlign w:val="bottom"/>
          </w:tcPr>
          <w:p w14:paraId="1E420A44" w14:textId="44D8CAB9" w:rsidR="005D19CF" w:rsidRPr="001D41EA" w:rsidRDefault="005D19CF" w:rsidP="005D19CF">
            <w:pPr>
              <w:spacing w:before="40" w:after="20"/>
              <w:jc w:val="center"/>
              <w:rPr>
                <w:rFonts w:cs="Arial"/>
                <w:sz w:val="18"/>
                <w:szCs w:val="18"/>
              </w:rPr>
            </w:pPr>
            <w:r w:rsidRPr="005D19CF">
              <w:rPr>
                <w:rFonts w:cs="Arial"/>
                <w:sz w:val="18"/>
                <w:szCs w:val="18"/>
              </w:rPr>
              <w:t>17.1</w:t>
            </w:r>
          </w:p>
        </w:tc>
        <w:tc>
          <w:tcPr>
            <w:tcW w:w="170" w:type="dxa"/>
            <w:tcBorders>
              <w:top w:val="nil"/>
              <w:left w:val="nil"/>
              <w:bottom w:val="nil"/>
              <w:right w:val="nil"/>
            </w:tcBorders>
            <w:shd w:val="clear" w:color="auto" w:fill="auto"/>
            <w:vAlign w:val="bottom"/>
          </w:tcPr>
          <w:p w14:paraId="6690A74C" w14:textId="67E4820B"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566EEB38" w14:textId="445DD09D" w:rsidR="005D19CF" w:rsidRPr="001D41EA" w:rsidRDefault="005D19CF" w:rsidP="005D19CF">
            <w:pPr>
              <w:spacing w:before="40" w:after="20"/>
              <w:jc w:val="center"/>
              <w:rPr>
                <w:rFonts w:cs="Arial"/>
                <w:sz w:val="18"/>
                <w:szCs w:val="18"/>
              </w:rPr>
            </w:pPr>
            <w:r w:rsidRPr="001D41EA">
              <w:rPr>
                <w:rFonts w:cs="Arial"/>
                <w:sz w:val="18"/>
                <w:szCs w:val="18"/>
              </w:rPr>
              <w:t>1.07</w:t>
            </w:r>
          </w:p>
        </w:tc>
      </w:tr>
      <w:tr w:rsidR="005D19CF" w:rsidRPr="001D41EA" w14:paraId="3120B928" w14:textId="77777777" w:rsidTr="00CA09E3">
        <w:tc>
          <w:tcPr>
            <w:tcW w:w="2268" w:type="dxa"/>
            <w:tcBorders>
              <w:top w:val="nil"/>
              <w:left w:val="nil"/>
              <w:bottom w:val="nil"/>
              <w:right w:val="single" w:sz="18" w:space="0" w:color="5F497A" w:themeColor="accent4" w:themeShade="BF"/>
            </w:tcBorders>
            <w:shd w:val="clear" w:color="auto" w:fill="auto"/>
            <w:vAlign w:val="center"/>
          </w:tcPr>
          <w:p w14:paraId="3180441F" w14:textId="77777777" w:rsidR="005D19CF" w:rsidRPr="001D41EA" w:rsidRDefault="005D19CF" w:rsidP="005D19CF">
            <w:pPr>
              <w:spacing w:before="40" w:after="20"/>
              <w:rPr>
                <w:rFonts w:cs="Arial"/>
                <w:sz w:val="18"/>
                <w:szCs w:val="18"/>
              </w:rPr>
            </w:pPr>
            <w:r w:rsidRPr="001D41EA">
              <w:rPr>
                <w:rFonts w:cs="Arial"/>
                <w:sz w:val="18"/>
                <w:szCs w:val="18"/>
              </w:rPr>
              <w:t>Yarriambiack S</w:t>
            </w:r>
          </w:p>
        </w:tc>
        <w:tc>
          <w:tcPr>
            <w:tcW w:w="1418" w:type="dxa"/>
            <w:tcBorders>
              <w:top w:val="nil"/>
              <w:left w:val="single" w:sz="18" w:space="0" w:color="5F497A" w:themeColor="accent4" w:themeShade="BF"/>
              <w:bottom w:val="nil"/>
              <w:right w:val="nil"/>
            </w:tcBorders>
            <w:shd w:val="clear" w:color="auto" w:fill="auto"/>
            <w:vAlign w:val="bottom"/>
          </w:tcPr>
          <w:p w14:paraId="20C23580" w14:textId="5E18F119" w:rsidR="005D19CF" w:rsidRPr="001D41EA" w:rsidRDefault="005D19CF" w:rsidP="005D19CF">
            <w:pPr>
              <w:spacing w:before="40" w:after="20"/>
              <w:jc w:val="right"/>
              <w:rPr>
                <w:rFonts w:cs="Arial"/>
                <w:sz w:val="18"/>
                <w:szCs w:val="18"/>
              </w:rPr>
            </w:pPr>
            <w:r w:rsidRPr="001D41EA">
              <w:rPr>
                <w:rFonts w:cs="Arial"/>
                <w:sz w:val="18"/>
                <w:szCs w:val="18"/>
              </w:rPr>
              <w:t>6,675</w:t>
            </w:r>
          </w:p>
        </w:tc>
        <w:tc>
          <w:tcPr>
            <w:tcW w:w="1418" w:type="dxa"/>
            <w:tcBorders>
              <w:top w:val="nil"/>
              <w:left w:val="nil"/>
              <w:bottom w:val="nil"/>
              <w:right w:val="nil"/>
            </w:tcBorders>
            <w:vAlign w:val="bottom"/>
          </w:tcPr>
          <w:p w14:paraId="558B39FA" w14:textId="7DE632A8" w:rsidR="005D19CF" w:rsidRPr="001D41EA" w:rsidRDefault="005D19CF" w:rsidP="005D19CF">
            <w:pPr>
              <w:spacing w:before="40" w:after="20"/>
              <w:jc w:val="right"/>
              <w:rPr>
                <w:rFonts w:cs="Arial"/>
                <w:sz w:val="18"/>
                <w:szCs w:val="18"/>
              </w:rPr>
            </w:pPr>
            <w:r w:rsidRPr="001D41EA">
              <w:rPr>
                <w:rFonts w:cs="Arial"/>
                <w:sz w:val="18"/>
                <w:szCs w:val="18"/>
              </w:rPr>
              <w:t>1,350</w:t>
            </w:r>
          </w:p>
        </w:tc>
        <w:tc>
          <w:tcPr>
            <w:tcW w:w="1418" w:type="dxa"/>
            <w:tcBorders>
              <w:top w:val="nil"/>
              <w:left w:val="nil"/>
              <w:bottom w:val="nil"/>
              <w:right w:val="nil"/>
            </w:tcBorders>
            <w:shd w:val="clear" w:color="auto" w:fill="auto"/>
            <w:vAlign w:val="bottom"/>
          </w:tcPr>
          <w:p w14:paraId="593C1ACA" w14:textId="50E8142B" w:rsidR="005D19CF" w:rsidRPr="001D41EA" w:rsidRDefault="005D19CF" w:rsidP="005D19CF">
            <w:pPr>
              <w:spacing w:before="40" w:after="20"/>
              <w:jc w:val="center"/>
              <w:rPr>
                <w:rFonts w:cs="Arial"/>
                <w:sz w:val="18"/>
                <w:szCs w:val="18"/>
              </w:rPr>
            </w:pPr>
            <w:r w:rsidRPr="005D19CF">
              <w:rPr>
                <w:rFonts w:cs="Arial"/>
                <w:sz w:val="18"/>
                <w:szCs w:val="18"/>
              </w:rPr>
              <w:t>20.2</w:t>
            </w:r>
          </w:p>
        </w:tc>
        <w:tc>
          <w:tcPr>
            <w:tcW w:w="170" w:type="dxa"/>
            <w:tcBorders>
              <w:top w:val="nil"/>
              <w:left w:val="nil"/>
              <w:bottom w:val="nil"/>
              <w:right w:val="nil"/>
            </w:tcBorders>
            <w:shd w:val="clear" w:color="auto" w:fill="auto"/>
            <w:vAlign w:val="bottom"/>
          </w:tcPr>
          <w:p w14:paraId="71DC9198" w14:textId="3B5DE096" w:rsidR="005D19CF" w:rsidRPr="001D41EA" w:rsidRDefault="005D19CF" w:rsidP="005D19CF">
            <w:pPr>
              <w:spacing w:before="40" w:after="20"/>
              <w:jc w:val="right"/>
              <w:rPr>
                <w:rFonts w:cs="Arial"/>
                <w:sz w:val="18"/>
                <w:szCs w:val="18"/>
              </w:rPr>
            </w:pPr>
            <w:r w:rsidRPr="001D41EA">
              <w:rPr>
                <w:rFonts w:cs="Arial"/>
                <w:sz w:val="18"/>
                <w:szCs w:val="18"/>
              </w:rPr>
              <w:t> </w:t>
            </w:r>
          </w:p>
        </w:tc>
        <w:tc>
          <w:tcPr>
            <w:tcW w:w="1418" w:type="dxa"/>
            <w:tcBorders>
              <w:top w:val="nil"/>
              <w:left w:val="nil"/>
              <w:bottom w:val="nil"/>
              <w:right w:val="nil"/>
            </w:tcBorders>
            <w:vAlign w:val="bottom"/>
          </w:tcPr>
          <w:p w14:paraId="35CA68BC" w14:textId="1B7D9BAF" w:rsidR="005D19CF" w:rsidRPr="001D41EA" w:rsidRDefault="005D19CF" w:rsidP="005D19CF">
            <w:pPr>
              <w:spacing w:before="40" w:after="20"/>
              <w:jc w:val="center"/>
              <w:rPr>
                <w:rFonts w:cs="Arial"/>
                <w:sz w:val="18"/>
                <w:szCs w:val="18"/>
              </w:rPr>
            </w:pPr>
            <w:r w:rsidRPr="001D41EA">
              <w:rPr>
                <w:rFonts w:cs="Arial"/>
                <w:sz w:val="18"/>
                <w:szCs w:val="18"/>
              </w:rPr>
              <w:t>4.97</w:t>
            </w:r>
          </w:p>
        </w:tc>
      </w:tr>
      <w:tr w:rsidR="00B33D8D" w:rsidRPr="001D41EA" w14:paraId="1498C0D0" w14:textId="77777777" w:rsidTr="00C60457">
        <w:tc>
          <w:tcPr>
            <w:tcW w:w="2268" w:type="dxa"/>
            <w:tcBorders>
              <w:top w:val="nil"/>
              <w:left w:val="nil"/>
              <w:bottom w:val="nil"/>
              <w:right w:val="single" w:sz="18" w:space="0" w:color="5F497A" w:themeColor="accent4" w:themeShade="BF"/>
            </w:tcBorders>
            <w:shd w:val="clear" w:color="auto" w:fill="auto"/>
            <w:vAlign w:val="center"/>
          </w:tcPr>
          <w:p w14:paraId="4F6C0A99" w14:textId="77777777" w:rsidR="00B33D8D" w:rsidRPr="001D41EA" w:rsidRDefault="00B33D8D" w:rsidP="001D41EA">
            <w:pPr>
              <w:spacing w:before="40" w:after="20"/>
              <w:rPr>
                <w:rFonts w:cs="Arial"/>
                <w:sz w:val="18"/>
                <w:szCs w:val="18"/>
              </w:rPr>
            </w:pPr>
          </w:p>
        </w:tc>
        <w:tc>
          <w:tcPr>
            <w:tcW w:w="1418"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7EDF6BF7" w14:textId="3CCA541A"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single" w:sz="8" w:space="0" w:color="5F497A" w:themeColor="accent4" w:themeShade="BF"/>
              <w:right w:val="nil"/>
            </w:tcBorders>
            <w:vAlign w:val="bottom"/>
          </w:tcPr>
          <w:p w14:paraId="5C3DE182" w14:textId="77777777" w:rsidR="00B33D8D" w:rsidRPr="001D41EA" w:rsidRDefault="00B33D8D" w:rsidP="001D41EA">
            <w:pPr>
              <w:spacing w:before="40" w:after="20"/>
              <w:jc w:val="right"/>
              <w:rPr>
                <w:rFonts w:cs="Arial"/>
                <w:sz w:val="18"/>
                <w:szCs w:val="18"/>
              </w:rPr>
            </w:pPr>
          </w:p>
        </w:tc>
        <w:tc>
          <w:tcPr>
            <w:tcW w:w="1418" w:type="dxa"/>
            <w:tcBorders>
              <w:top w:val="nil"/>
              <w:left w:val="nil"/>
              <w:bottom w:val="single" w:sz="8" w:space="0" w:color="5F497A" w:themeColor="accent4" w:themeShade="BF"/>
              <w:right w:val="nil"/>
            </w:tcBorders>
            <w:shd w:val="clear" w:color="auto" w:fill="auto"/>
            <w:vAlign w:val="bottom"/>
          </w:tcPr>
          <w:p w14:paraId="4D011EF4" w14:textId="6E88C161" w:rsidR="00B33D8D" w:rsidRPr="001D41EA" w:rsidRDefault="00B33D8D" w:rsidP="00F705DD">
            <w:pPr>
              <w:spacing w:before="40" w:after="20"/>
              <w:jc w:val="center"/>
              <w:rPr>
                <w:rFonts w:cs="Arial"/>
                <w:sz w:val="18"/>
                <w:szCs w:val="18"/>
              </w:rPr>
            </w:pPr>
          </w:p>
        </w:tc>
        <w:tc>
          <w:tcPr>
            <w:tcW w:w="170" w:type="dxa"/>
            <w:tcBorders>
              <w:top w:val="nil"/>
              <w:left w:val="nil"/>
              <w:bottom w:val="single" w:sz="8" w:space="0" w:color="5F497A" w:themeColor="accent4" w:themeShade="BF"/>
              <w:right w:val="nil"/>
            </w:tcBorders>
            <w:shd w:val="clear" w:color="auto" w:fill="auto"/>
            <w:vAlign w:val="bottom"/>
          </w:tcPr>
          <w:p w14:paraId="3F0D519B" w14:textId="390946E2"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single" w:sz="8" w:space="0" w:color="5F497A" w:themeColor="accent4" w:themeShade="BF"/>
              <w:right w:val="nil"/>
            </w:tcBorders>
            <w:vAlign w:val="bottom"/>
          </w:tcPr>
          <w:p w14:paraId="7D006E6A" w14:textId="05AE5A04" w:rsidR="00B33D8D" w:rsidRPr="001D41EA" w:rsidRDefault="00B33D8D" w:rsidP="00F705DD">
            <w:pPr>
              <w:spacing w:before="40" w:after="20"/>
              <w:jc w:val="center"/>
              <w:rPr>
                <w:rFonts w:cs="Arial"/>
                <w:sz w:val="18"/>
                <w:szCs w:val="18"/>
              </w:rPr>
            </w:pPr>
          </w:p>
        </w:tc>
      </w:tr>
      <w:tr w:rsidR="00B33D8D" w:rsidRPr="001D41EA" w14:paraId="2DD1A404" w14:textId="77777777" w:rsidTr="00C60457">
        <w:tc>
          <w:tcPr>
            <w:tcW w:w="2268" w:type="dxa"/>
            <w:tcBorders>
              <w:top w:val="nil"/>
              <w:left w:val="nil"/>
              <w:bottom w:val="nil"/>
              <w:right w:val="single" w:sz="18" w:space="0" w:color="5F497A" w:themeColor="accent4" w:themeShade="BF"/>
            </w:tcBorders>
            <w:shd w:val="clear" w:color="auto" w:fill="auto"/>
            <w:vAlign w:val="center"/>
          </w:tcPr>
          <w:p w14:paraId="4329990B" w14:textId="77777777" w:rsidR="00B33D8D" w:rsidRPr="001D41EA" w:rsidRDefault="00B33D8D" w:rsidP="001D41EA">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right w:val="nil"/>
            </w:tcBorders>
            <w:shd w:val="clear" w:color="auto" w:fill="auto"/>
            <w:vAlign w:val="bottom"/>
          </w:tcPr>
          <w:p w14:paraId="2DE11EA7" w14:textId="427220F1" w:rsidR="00B33D8D" w:rsidRPr="001D41EA" w:rsidRDefault="00B33D8D" w:rsidP="001D41EA">
            <w:pPr>
              <w:spacing w:before="40" w:after="20"/>
              <w:jc w:val="right"/>
              <w:rPr>
                <w:rFonts w:cs="Arial"/>
                <w:b/>
                <w:sz w:val="18"/>
                <w:szCs w:val="18"/>
              </w:rPr>
            </w:pPr>
            <w:r w:rsidRPr="001D41EA">
              <w:rPr>
                <w:rFonts w:cs="Arial"/>
                <w:b/>
                <w:sz w:val="18"/>
                <w:szCs w:val="18"/>
              </w:rPr>
              <w:t>5,919,243</w:t>
            </w:r>
          </w:p>
        </w:tc>
        <w:tc>
          <w:tcPr>
            <w:tcW w:w="1418" w:type="dxa"/>
            <w:tcBorders>
              <w:top w:val="single" w:sz="8" w:space="0" w:color="5F497A" w:themeColor="accent4" w:themeShade="BF"/>
              <w:left w:val="nil"/>
              <w:right w:val="nil"/>
            </w:tcBorders>
            <w:vAlign w:val="bottom"/>
          </w:tcPr>
          <w:p w14:paraId="3061B679" w14:textId="2F669DC3" w:rsidR="00B33D8D" w:rsidRPr="001D41EA" w:rsidRDefault="00B33D8D" w:rsidP="001D41EA">
            <w:pPr>
              <w:spacing w:before="40" w:after="20"/>
              <w:jc w:val="right"/>
              <w:rPr>
                <w:rFonts w:cs="Arial"/>
                <w:b/>
                <w:sz w:val="18"/>
                <w:szCs w:val="18"/>
              </w:rPr>
            </w:pPr>
            <w:r w:rsidRPr="001D41EA">
              <w:rPr>
                <w:rFonts w:cs="Arial"/>
                <w:b/>
                <w:sz w:val="18"/>
                <w:szCs w:val="18"/>
              </w:rPr>
              <w:t>1,491,354</w:t>
            </w:r>
          </w:p>
        </w:tc>
        <w:tc>
          <w:tcPr>
            <w:tcW w:w="1418" w:type="dxa"/>
            <w:tcBorders>
              <w:top w:val="single" w:sz="8" w:space="0" w:color="5F497A" w:themeColor="accent4" w:themeShade="BF"/>
              <w:left w:val="nil"/>
              <w:right w:val="nil"/>
            </w:tcBorders>
            <w:shd w:val="clear" w:color="auto" w:fill="auto"/>
            <w:vAlign w:val="bottom"/>
          </w:tcPr>
          <w:p w14:paraId="2FA21693" w14:textId="2E6CC365" w:rsidR="00B33D8D" w:rsidRPr="001D41EA" w:rsidRDefault="00B33D8D" w:rsidP="00F705DD">
            <w:pPr>
              <w:spacing w:before="40" w:after="20"/>
              <w:jc w:val="center"/>
              <w:rPr>
                <w:rFonts w:cs="Arial"/>
                <w:b/>
                <w:sz w:val="18"/>
                <w:szCs w:val="18"/>
              </w:rPr>
            </w:pPr>
            <w:r w:rsidRPr="001D41EA">
              <w:rPr>
                <w:rFonts w:cs="Arial"/>
                <w:b/>
                <w:sz w:val="18"/>
                <w:szCs w:val="18"/>
              </w:rPr>
              <w:t>25.2</w:t>
            </w:r>
          </w:p>
        </w:tc>
        <w:tc>
          <w:tcPr>
            <w:tcW w:w="170" w:type="dxa"/>
            <w:tcBorders>
              <w:top w:val="single" w:sz="8" w:space="0" w:color="5F497A" w:themeColor="accent4" w:themeShade="BF"/>
              <w:left w:val="nil"/>
              <w:right w:val="nil"/>
            </w:tcBorders>
            <w:shd w:val="clear" w:color="auto" w:fill="auto"/>
            <w:vAlign w:val="bottom"/>
          </w:tcPr>
          <w:p w14:paraId="7848DE57" w14:textId="50236718" w:rsidR="00B33D8D" w:rsidRPr="001D41EA" w:rsidRDefault="00B33D8D" w:rsidP="001D41EA">
            <w:pPr>
              <w:spacing w:before="40" w:after="20"/>
              <w:jc w:val="right"/>
              <w:rPr>
                <w:rFonts w:cs="Arial"/>
                <w:b/>
                <w:sz w:val="18"/>
                <w:szCs w:val="18"/>
              </w:rPr>
            </w:pPr>
            <w:r w:rsidRPr="001D41EA">
              <w:rPr>
                <w:rFonts w:cs="Arial"/>
                <w:b/>
                <w:sz w:val="18"/>
                <w:szCs w:val="18"/>
              </w:rPr>
              <w:t> </w:t>
            </w:r>
          </w:p>
        </w:tc>
        <w:tc>
          <w:tcPr>
            <w:tcW w:w="1418" w:type="dxa"/>
            <w:tcBorders>
              <w:top w:val="single" w:sz="8" w:space="0" w:color="5F497A" w:themeColor="accent4" w:themeShade="BF"/>
              <w:left w:val="nil"/>
              <w:right w:val="nil"/>
            </w:tcBorders>
            <w:vAlign w:val="bottom"/>
          </w:tcPr>
          <w:p w14:paraId="1E86A0C0" w14:textId="0CBFFB07" w:rsidR="00B33D8D" w:rsidRPr="001D41EA" w:rsidRDefault="00B33D8D" w:rsidP="00F705DD">
            <w:pPr>
              <w:spacing w:before="40" w:after="20"/>
              <w:jc w:val="center"/>
              <w:rPr>
                <w:rFonts w:cs="Arial"/>
                <w:b/>
                <w:sz w:val="18"/>
                <w:szCs w:val="18"/>
              </w:rPr>
            </w:pPr>
          </w:p>
        </w:tc>
      </w:tr>
    </w:tbl>
    <w:p w14:paraId="5E8E051E" w14:textId="77777777" w:rsidR="0022168A" w:rsidRPr="00A44829" w:rsidRDefault="00E36D46" w:rsidP="00FF36E8">
      <w:pPr>
        <w:spacing w:before="40" w:after="20"/>
        <w:rPr>
          <w:rFonts w:cs="Arial"/>
          <w:sz w:val="18"/>
          <w:szCs w:val="18"/>
        </w:rPr>
      </w:pPr>
      <w:r w:rsidRPr="00A44829">
        <w:rPr>
          <w:rFonts w:cs="Arial"/>
          <w:sz w:val="18"/>
          <w:szCs w:val="18"/>
        </w:rPr>
        <w:br w:type="page"/>
      </w:r>
    </w:p>
    <w:p w14:paraId="09673DAC" w14:textId="0A9D2E60" w:rsidR="006E50A4" w:rsidRPr="00A44829" w:rsidRDefault="00EE4593" w:rsidP="00C33713">
      <w:pPr>
        <w:pStyle w:val="VGC-Head10"/>
      </w:pPr>
      <w:r w:rsidRPr="00A44829">
        <w:lastRenderedPageBreak/>
        <w:t>2019-20</w:t>
      </w:r>
      <w:r w:rsidR="00A97ABE" w:rsidRPr="00A44829">
        <w:t xml:space="preserve"> </w:t>
      </w:r>
      <w:r w:rsidR="006E50A4" w:rsidRPr="00A44829">
        <w:t>General Purpose Grants</w:t>
      </w:r>
      <w:r w:rsidR="00CE4507" w:rsidRPr="00A44829">
        <w:tab/>
        <w:t>Appendix 4</w:t>
      </w:r>
    </w:p>
    <w:p w14:paraId="58B5A6EE" w14:textId="77777777" w:rsidR="006E50A4" w:rsidRPr="00A44829" w:rsidRDefault="004F1184" w:rsidP="008C1A28">
      <w:pPr>
        <w:pStyle w:val="VGC-Head2"/>
      </w:pPr>
      <w:r w:rsidRPr="00A44829">
        <w:tab/>
      </w:r>
      <w:r w:rsidR="006E50A4" w:rsidRPr="00A44829">
        <w:t>C.  Cost Adjustors – Raw Data</w:t>
      </w:r>
    </w:p>
    <w:p w14:paraId="4BD1E22F" w14:textId="77777777" w:rsidR="00731E1A" w:rsidRPr="00A44829" w:rsidRDefault="00731E1A"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A44829" w14:paraId="179054CB"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4DDF0A3A" w14:textId="77777777" w:rsidR="00C42174" w:rsidRPr="00A44829" w:rsidRDefault="00C42174" w:rsidP="008001AD">
            <w:pPr>
              <w:spacing w:before="40" w:after="20"/>
              <w:jc w:val="center"/>
              <w:rPr>
                <w:rFonts w:cs="Arial"/>
                <w:sz w:val="18"/>
                <w:szCs w:val="18"/>
              </w:rPr>
            </w:pPr>
          </w:p>
        </w:tc>
        <w:tc>
          <w:tcPr>
            <w:tcW w:w="1418" w:type="dxa"/>
            <w:vMerge w:val="restart"/>
            <w:tcBorders>
              <w:top w:val="nil"/>
              <w:left w:val="single" w:sz="18" w:space="0" w:color="5F497A" w:themeColor="accent4" w:themeShade="BF"/>
              <w:bottom w:val="single" w:sz="8" w:space="0" w:color="5F497A" w:themeColor="accent4" w:themeShade="BF"/>
            </w:tcBorders>
            <w:shd w:val="clear" w:color="auto" w:fill="auto"/>
            <w:tcMar>
              <w:left w:w="85" w:type="dxa"/>
              <w:right w:w="85" w:type="dxa"/>
            </w:tcMar>
            <w:vAlign w:val="bottom"/>
          </w:tcPr>
          <w:p w14:paraId="00983528" w14:textId="56D0E7CD" w:rsidR="00C42174" w:rsidRPr="00A44829" w:rsidRDefault="00C42174" w:rsidP="008001AD">
            <w:pPr>
              <w:spacing w:before="40" w:after="20"/>
              <w:jc w:val="center"/>
              <w:rPr>
                <w:rFonts w:cs="Arial"/>
                <w:b/>
                <w:sz w:val="18"/>
                <w:szCs w:val="18"/>
              </w:rPr>
            </w:pPr>
            <w:r w:rsidRPr="00A44829">
              <w:rPr>
                <w:rFonts w:cs="Arial"/>
                <w:b/>
                <w:sz w:val="18"/>
                <w:szCs w:val="18"/>
              </w:rPr>
              <w:t>Socio-Economic Index of Disadvantage</w:t>
            </w:r>
            <w:r w:rsidR="00D63DBA" w:rsidRPr="00A44829">
              <w:rPr>
                <w:rFonts w:cs="Arial"/>
                <w:b/>
                <w:sz w:val="18"/>
                <w:szCs w:val="18"/>
              </w:rPr>
              <w:t xml:space="preserve"> </w:t>
            </w:r>
          </w:p>
        </w:tc>
        <w:tc>
          <w:tcPr>
            <w:tcW w:w="2836" w:type="dxa"/>
            <w:gridSpan w:val="2"/>
            <w:tcBorders>
              <w:top w:val="nil"/>
              <w:left w:val="nil"/>
              <w:bottom w:val="single" w:sz="8" w:space="0" w:color="5F497A" w:themeColor="accent4" w:themeShade="BF"/>
              <w:right w:val="nil"/>
            </w:tcBorders>
            <w:shd w:val="clear" w:color="auto" w:fill="auto"/>
            <w:vAlign w:val="bottom"/>
          </w:tcPr>
          <w:p w14:paraId="6A3BEA17" w14:textId="27599537" w:rsidR="00C42174" w:rsidRPr="00A44829" w:rsidRDefault="00C42174" w:rsidP="008001AD">
            <w:pPr>
              <w:spacing w:before="40" w:after="20"/>
              <w:jc w:val="center"/>
              <w:rPr>
                <w:rFonts w:cs="Arial"/>
                <w:b/>
                <w:sz w:val="18"/>
                <w:szCs w:val="18"/>
              </w:rPr>
            </w:pPr>
            <w:r w:rsidRPr="00A44829">
              <w:rPr>
                <w:rFonts w:cs="Arial"/>
                <w:b/>
                <w:sz w:val="18"/>
                <w:szCs w:val="18"/>
              </w:rPr>
              <w:t>Tourism</w:t>
            </w:r>
            <w:r w:rsidR="00D63DBA" w:rsidRPr="00A44829">
              <w:rPr>
                <w:rFonts w:cs="Arial"/>
                <w:b/>
                <w:sz w:val="18"/>
                <w:szCs w:val="18"/>
              </w:rPr>
              <w:t xml:space="preserve"> </w:t>
            </w:r>
          </w:p>
        </w:tc>
      </w:tr>
      <w:tr w:rsidR="00C42174" w:rsidRPr="00A44829" w14:paraId="58A4C884"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1711A5EC" w14:textId="77777777" w:rsidR="00C42174" w:rsidRPr="00A44829" w:rsidRDefault="00C42174" w:rsidP="008001AD">
            <w:pPr>
              <w:spacing w:before="40" w:after="20"/>
              <w:jc w:val="center"/>
              <w:rPr>
                <w:rFonts w:cs="Arial"/>
                <w:sz w:val="18"/>
                <w:szCs w:val="18"/>
              </w:rPr>
            </w:pPr>
          </w:p>
        </w:tc>
        <w:tc>
          <w:tcPr>
            <w:tcW w:w="1418" w:type="dxa"/>
            <w:vMerge/>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1B170EBA" w14:textId="77777777" w:rsidR="00C42174" w:rsidRPr="00A44829" w:rsidRDefault="00C42174" w:rsidP="008001AD">
            <w:pPr>
              <w:spacing w:before="40" w:after="20"/>
              <w:jc w:val="center"/>
              <w:rPr>
                <w:rFonts w:cs="Arial"/>
                <w:sz w:val="16"/>
                <w:szCs w:val="16"/>
              </w:rPr>
            </w:pPr>
          </w:p>
        </w:tc>
        <w:tc>
          <w:tcPr>
            <w:tcW w:w="1418"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5E9CADB1" w14:textId="77777777" w:rsidR="00C42174" w:rsidRPr="00A44829" w:rsidRDefault="00C42174" w:rsidP="008001AD">
            <w:pPr>
              <w:spacing w:before="40" w:after="20"/>
              <w:jc w:val="center"/>
              <w:rPr>
                <w:rFonts w:cs="Arial"/>
                <w:sz w:val="16"/>
                <w:szCs w:val="16"/>
              </w:rPr>
            </w:pPr>
            <w:r w:rsidRPr="00A44829">
              <w:rPr>
                <w:rFonts w:cs="Arial"/>
                <w:sz w:val="16"/>
                <w:szCs w:val="16"/>
              </w:rPr>
              <w:t xml:space="preserve">4 Year </w:t>
            </w:r>
            <w:r w:rsidRPr="00A44829">
              <w:rPr>
                <w:rFonts w:cs="Arial"/>
                <w:sz w:val="16"/>
                <w:szCs w:val="16"/>
              </w:rPr>
              <w:br/>
              <w:t>Average</w:t>
            </w:r>
            <w:r w:rsidRPr="00A44829">
              <w:rPr>
                <w:rFonts w:cs="Arial"/>
                <w:sz w:val="16"/>
                <w:szCs w:val="16"/>
              </w:rPr>
              <w:br/>
              <w:t>(visits)</w:t>
            </w:r>
          </w:p>
        </w:tc>
        <w:tc>
          <w:tcPr>
            <w:tcW w:w="1418"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3BC03B03" w14:textId="77777777" w:rsidR="00C42174" w:rsidRPr="00A44829" w:rsidRDefault="00C42174" w:rsidP="008001AD">
            <w:pPr>
              <w:spacing w:before="40" w:after="20"/>
              <w:jc w:val="center"/>
              <w:rPr>
                <w:rFonts w:cs="Arial"/>
                <w:sz w:val="16"/>
                <w:szCs w:val="16"/>
              </w:rPr>
            </w:pPr>
            <w:r w:rsidRPr="00A44829">
              <w:rPr>
                <w:rFonts w:cs="Arial"/>
                <w:sz w:val="16"/>
                <w:szCs w:val="16"/>
              </w:rPr>
              <w:t xml:space="preserve">4 Year </w:t>
            </w:r>
            <w:r w:rsidRPr="00A44829">
              <w:rPr>
                <w:rFonts w:cs="Arial"/>
                <w:sz w:val="16"/>
                <w:szCs w:val="16"/>
              </w:rPr>
              <w:br/>
              <w:t>Average</w:t>
            </w:r>
            <w:r w:rsidRPr="00A44829">
              <w:rPr>
                <w:rFonts w:cs="Arial"/>
                <w:sz w:val="16"/>
                <w:szCs w:val="16"/>
              </w:rPr>
              <w:br/>
              <w:t>(per capita)</w:t>
            </w:r>
          </w:p>
        </w:tc>
      </w:tr>
      <w:tr w:rsidR="00C42174" w:rsidRPr="00A44829" w14:paraId="14C0A0B3" w14:textId="77777777" w:rsidTr="00C60457">
        <w:tc>
          <w:tcPr>
            <w:tcW w:w="2268" w:type="dxa"/>
            <w:tcBorders>
              <w:top w:val="nil"/>
              <w:left w:val="nil"/>
              <w:bottom w:val="nil"/>
              <w:right w:val="single" w:sz="18" w:space="0" w:color="5F497A" w:themeColor="accent4" w:themeShade="BF"/>
            </w:tcBorders>
            <w:shd w:val="clear" w:color="auto" w:fill="auto"/>
            <w:vAlign w:val="bottom"/>
          </w:tcPr>
          <w:p w14:paraId="44AD5568" w14:textId="77777777" w:rsidR="00C42174" w:rsidRPr="00A44829" w:rsidRDefault="00C42174" w:rsidP="008001AD">
            <w:pPr>
              <w:spacing w:before="40" w:after="20"/>
              <w:jc w:val="center"/>
              <w:rPr>
                <w:rFonts w:cs="Arial"/>
                <w:sz w:val="18"/>
                <w:szCs w:val="18"/>
              </w:rPr>
            </w:pPr>
          </w:p>
        </w:tc>
        <w:tc>
          <w:tcPr>
            <w:tcW w:w="1418" w:type="dxa"/>
            <w:vMerge/>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48B24E5F" w14:textId="77777777" w:rsidR="00C42174" w:rsidRPr="00A44829" w:rsidRDefault="00C42174" w:rsidP="008001AD">
            <w:pPr>
              <w:spacing w:before="40" w:after="20"/>
              <w:jc w:val="center"/>
              <w:rPr>
                <w:rFonts w:cs="Arial"/>
                <w:sz w:val="16"/>
                <w:szCs w:val="16"/>
              </w:rPr>
            </w:pPr>
          </w:p>
        </w:tc>
        <w:tc>
          <w:tcPr>
            <w:tcW w:w="1418"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7B75794F" w14:textId="77777777" w:rsidR="00C42174" w:rsidRPr="00A44829" w:rsidRDefault="00C42174" w:rsidP="008001AD">
            <w:pPr>
              <w:spacing w:before="40" w:after="20"/>
              <w:jc w:val="center"/>
              <w:rPr>
                <w:rFonts w:cs="Arial"/>
                <w:sz w:val="16"/>
                <w:szCs w:val="16"/>
              </w:rPr>
            </w:pPr>
          </w:p>
        </w:tc>
        <w:tc>
          <w:tcPr>
            <w:tcW w:w="1418"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64BBD3FE" w14:textId="77777777" w:rsidR="00C42174" w:rsidRPr="00A44829" w:rsidRDefault="00C42174" w:rsidP="008001AD">
            <w:pPr>
              <w:spacing w:before="40" w:after="20"/>
              <w:jc w:val="center"/>
              <w:rPr>
                <w:rFonts w:cs="Arial"/>
                <w:sz w:val="16"/>
                <w:szCs w:val="16"/>
              </w:rPr>
            </w:pPr>
          </w:p>
        </w:tc>
      </w:tr>
      <w:tr w:rsidR="00B33D8D" w:rsidRPr="001D41EA" w14:paraId="4FFFF564" w14:textId="77777777" w:rsidTr="00C60457">
        <w:tc>
          <w:tcPr>
            <w:tcW w:w="2268" w:type="dxa"/>
            <w:tcBorders>
              <w:top w:val="nil"/>
              <w:left w:val="nil"/>
              <w:bottom w:val="nil"/>
              <w:right w:val="single" w:sz="18" w:space="0" w:color="5F497A" w:themeColor="accent4" w:themeShade="BF"/>
            </w:tcBorders>
            <w:shd w:val="clear" w:color="auto" w:fill="auto"/>
            <w:vAlign w:val="center"/>
          </w:tcPr>
          <w:p w14:paraId="3CE1BC4F" w14:textId="77777777" w:rsidR="00B33D8D" w:rsidRPr="001D41EA" w:rsidRDefault="00B33D8D" w:rsidP="001D41EA">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3B01EEE7" w14:textId="1055E0A7"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5436E357" w14:textId="00AFE222" w:rsidR="00B33D8D" w:rsidRPr="001D41EA" w:rsidRDefault="00B33D8D" w:rsidP="001D41EA">
            <w:pPr>
              <w:spacing w:before="40" w:after="20"/>
              <w:jc w:val="right"/>
              <w:rPr>
                <w:rFonts w:cs="Arial"/>
                <w:sz w:val="18"/>
                <w:szCs w:val="18"/>
              </w:rPr>
            </w:pPr>
          </w:p>
        </w:tc>
        <w:tc>
          <w:tcPr>
            <w:tcW w:w="1418" w:type="dxa"/>
            <w:tcBorders>
              <w:top w:val="single" w:sz="8" w:space="0" w:color="5F497A" w:themeColor="accent4" w:themeShade="BF"/>
              <w:left w:val="nil"/>
              <w:bottom w:val="nil"/>
              <w:right w:val="nil"/>
            </w:tcBorders>
            <w:shd w:val="clear" w:color="auto" w:fill="auto"/>
            <w:vAlign w:val="bottom"/>
          </w:tcPr>
          <w:p w14:paraId="58BC6F20" w14:textId="6AA8B530" w:rsidR="00B33D8D" w:rsidRPr="001D41EA" w:rsidRDefault="00B33D8D" w:rsidP="001D41EA">
            <w:pPr>
              <w:spacing w:before="40" w:after="20"/>
              <w:jc w:val="right"/>
              <w:rPr>
                <w:rFonts w:cs="Arial"/>
                <w:sz w:val="18"/>
                <w:szCs w:val="18"/>
              </w:rPr>
            </w:pPr>
            <w:r w:rsidRPr="001D41EA">
              <w:rPr>
                <w:rFonts w:cs="Arial"/>
                <w:sz w:val="18"/>
                <w:szCs w:val="18"/>
              </w:rPr>
              <w:t> </w:t>
            </w:r>
          </w:p>
        </w:tc>
      </w:tr>
      <w:tr w:rsidR="00820737" w:rsidRPr="001D41EA" w14:paraId="674DA802"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2975E435" w14:textId="77777777" w:rsidR="00820737" w:rsidRPr="001D41EA" w:rsidRDefault="00820737" w:rsidP="00820737">
            <w:pPr>
              <w:spacing w:before="40" w:after="20"/>
              <w:rPr>
                <w:rFonts w:cs="Arial"/>
                <w:sz w:val="18"/>
                <w:szCs w:val="18"/>
              </w:rPr>
            </w:pPr>
            <w:r w:rsidRPr="001D41EA">
              <w:rPr>
                <w:rFonts w:cs="Arial"/>
                <w:sz w:val="18"/>
                <w:szCs w:val="18"/>
              </w:rPr>
              <w:t>Macedon Ranges S</w:t>
            </w:r>
          </w:p>
        </w:tc>
        <w:tc>
          <w:tcPr>
            <w:tcW w:w="1418" w:type="dxa"/>
            <w:tcBorders>
              <w:top w:val="nil"/>
              <w:left w:val="single" w:sz="18" w:space="0" w:color="5F497A" w:themeColor="accent4" w:themeShade="BF"/>
              <w:bottom w:val="nil"/>
              <w:right w:val="nil"/>
            </w:tcBorders>
            <w:shd w:val="clear" w:color="auto" w:fill="auto"/>
          </w:tcPr>
          <w:p w14:paraId="2AC087CB" w14:textId="5F097D7A" w:rsidR="00820737" w:rsidRPr="001D41EA" w:rsidRDefault="00820737" w:rsidP="00820737">
            <w:pPr>
              <w:spacing w:before="40" w:after="20"/>
              <w:jc w:val="right"/>
              <w:rPr>
                <w:rFonts w:cs="Arial"/>
                <w:sz w:val="18"/>
                <w:szCs w:val="18"/>
              </w:rPr>
            </w:pPr>
            <w:r w:rsidRPr="00820737">
              <w:rPr>
                <w:rFonts w:cs="Arial"/>
                <w:sz w:val="18"/>
                <w:szCs w:val="18"/>
              </w:rPr>
              <w:t>1,060</w:t>
            </w:r>
          </w:p>
        </w:tc>
        <w:tc>
          <w:tcPr>
            <w:tcW w:w="1418" w:type="dxa"/>
            <w:tcBorders>
              <w:top w:val="nil"/>
              <w:left w:val="nil"/>
              <w:bottom w:val="nil"/>
              <w:right w:val="nil"/>
            </w:tcBorders>
            <w:shd w:val="clear" w:color="auto" w:fill="auto"/>
            <w:vAlign w:val="bottom"/>
          </w:tcPr>
          <w:p w14:paraId="3726359D" w14:textId="480EECCB" w:rsidR="00820737" w:rsidRPr="001D41EA" w:rsidRDefault="00820737" w:rsidP="00820737">
            <w:pPr>
              <w:spacing w:before="40" w:after="20"/>
              <w:jc w:val="right"/>
              <w:rPr>
                <w:rFonts w:cs="Arial"/>
                <w:sz w:val="18"/>
                <w:szCs w:val="18"/>
              </w:rPr>
            </w:pPr>
            <w:r w:rsidRPr="001D41EA">
              <w:rPr>
                <w:rFonts w:cs="Arial"/>
                <w:sz w:val="18"/>
                <w:szCs w:val="18"/>
              </w:rPr>
              <w:t>1,519,732</w:t>
            </w:r>
          </w:p>
        </w:tc>
        <w:tc>
          <w:tcPr>
            <w:tcW w:w="1418" w:type="dxa"/>
            <w:tcBorders>
              <w:top w:val="nil"/>
              <w:left w:val="nil"/>
              <w:bottom w:val="nil"/>
              <w:right w:val="nil"/>
            </w:tcBorders>
            <w:shd w:val="clear" w:color="auto" w:fill="auto"/>
            <w:vAlign w:val="bottom"/>
          </w:tcPr>
          <w:p w14:paraId="4FE38AB8" w14:textId="7F9EFF8F" w:rsidR="00820737" w:rsidRPr="001D41EA" w:rsidRDefault="00820737" w:rsidP="00820737">
            <w:pPr>
              <w:spacing w:before="40" w:after="20"/>
              <w:jc w:val="right"/>
              <w:rPr>
                <w:rFonts w:cs="Arial"/>
                <w:sz w:val="18"/>
                <w:szCs w:val="18"/>
              </w:rPr>
            </w:pPr>
            <w:r w:rsidRPr="001D41EA">
              <w:rPr>
                <w:rFonts w:cs="Arial"/>
                <w:sz w:val="18"/>
                <w:szCs w:val="18"/>
              </w:rPr>
              <w:t>30.8</w:t>
            </w:r>
          </w:p>
        </w:tc>
      </w:tr>
      <w:tr w:rsidR="00820737" w:rsidRPr="001D41EA" w14:paraId="75E7E764"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29333589" w14:textId="77777777" w:rsidR="00820737" w:rsidRPr="001D41EA" w:rsidRDefault="00820737" w:rsidP="00820737">
            <w:pPr>
              <w:spacing w:before="40" w:after="20"/>
              <w:rPr>
                <w:rFonts w:cs="Arial"/>
                <w:sz w:val="18"/>
                <w:szCs w:val="18"/>
              </w:rPr>
            </w:pPr>
            <w:r w:rsidRPr="001D41EA">
              <w:rPr>
                <w:rFonts w:cs="Arial"/>
                <w:sz w:val="18"/>
                <w:szCs w:val="18"/>
              </w:rPr>
              <w:t>Manningham C</w:t>
            </w:r>
          </w:p>
        </w:tc>
        <w:tc>
          <w:tcPr>
            <w:tcW w:w="1418" w:type="dxa"/>
            <w:tcBorders>
              <w:top w:val="nil"/>
              <w:left w:val="single" w:sz="18" w:space="0" w:color="5F497A" w:themeColor="accent4" w:themeShade="BF"/>
              <w:bottom w:val="nil"/>
              <w:right w:val="nil"/>
            </w:tcBorders>
            <w:shd w:val="clear" w:color="auto" w:fill="auto"/>
          </w:tcPr>
          <w:p w14:paraId="2C999652" w14:textId="7860E799" w:rsidR="00820737" w:rsidRPr="001D41EA" w:rsidRDefault="00820737" w:rsidP="00820737">
            <w:pPr>
              <w:spacing w:before="40" w:after="20"/>
              <w:jc w:val="right"/>
              <w:rPr>
                <w:rFonts w:cs="Arial"/>
                <w:sz w:val="18"/>
                <w:szCs w:val="18"/>
              </w:rPr>
            </w:pPr>
            <w:r w:rsidRPr="00820737">
              <w:rPr>
                <w:rFonts w:cs="Arial"/>
                <w:sz w:val="18"/>
                <w:szCs w:val="18"/>
              </w:rPr>
              <w:t>1,066</w:t>
            </w:r>
          </w:p>
        </w:tc>
        <w:tc>
          <w:tcPr>
            <w:tcW w:w="1418" w:type="dxa"/>
            <w:tcBorders>
              <w:top w:val="nil"/>
              <w:left w:val="nil"/>
              <w:bottom w:val="nil"/>
              <w:right w:val="nil"/>
            </w:tcBorders>
            <w:shd w:val="clear" w:color="auto" w:fill="auto"/>
            <w:vAlign w:val="bottom"/>
          </w:tcPr>
          <w:p w14:paraId="1B28A18E" w14:textId="69555EAC" w:rsidR="00820737" w:rsidRPr="001D41EA" w:rsidRDefault="00820737" w:rsidP="00820737">
            <w:pPr>
              <w:spacing w:before="40" w:after="20"/>
              <w:jc w:val="right"/>
              <w:rPr>
                <w:rFonts w:cs="Arial"/>
                <w:sz w:val="18"/>
                <w:szCs w:val="18"/>
              </w:rPr>
            </w:pPr>
            <w:r w:rsidRPr="001D41EA">
              <w:rPr>
                <w:rFonts w:cs="Arial"/>
                <w:sz w:val="18"/>
                <w:szCs w:val="18"/>
              </w:rPr>
              <w:t>1,392,794</w:t>
            </w:r>
          </w:p>
        </w:tc>
        <w:tc>
          <w:tcPr>
            <w:tcW w:w="1418" w:type="dxa"/>
            <w:tcBorders>
              <w:top w:val="nil"/>
              <w:left w:val="nil"/>
              <w:bottom w:val="nil"/>
              <w:right w:val="nil"/>
            </w:tcBorders>
            <w:shd w:val="clear" w:color="auto" w:fill="auto"/>
            <w:vAlign w:val="bottom"/>
          </w:tcPr>
          <w:p w14:paraId="00CA8F4B" w14:textId="0B1DDDEE" w:rsidR="00820737" w:rsidRPr="001D41EA" w:rsidRDefault="00820737" w:rsidP="00820737">
            <w:pPr>
              <w:spacing w:before="40" w:after="20"/>
              <w:jc w:val="right"/>
              <w:rPr>
                <w:rFonts w:cs="Arial"/>
                <w:sz w:val="18"/>
                <w:szCs w:val="18"/>
              </w:rPr>
            </w:pPr>
            <w:r w:rsidRPr="001D41EA">
              <w:rPr>
                <w:rFonts w:cs="Arial"/>
                <w:sz w:val="18"/>
                <w:szCs w:val="18"/>
              </w:rPr>
              <w:t>11.1</w:t>
            </w:r>
          </w:p>
        </w:tc>
      </w:tr>
      <w:tr w:rsidR="00820737" w:rsidRPr="001D41EA" w14:paraId="6BCB011E"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5CA4DB8B" w14:textId="77777777" w:rsidR="00820737" w:rsidRPr="001D41EA" w:rsidRDefault="00820737" w:rsidP="00820737">
            <w:pPr>
              <w:spacing w:before="40" w:after="20"/>
              <w:rPr>
                <w:rFonts w:cs="Arial"/>
                <w:sz w:val="18"/>
                <w:szCs w:val="18"/>
              </w:rPr>
            </w:pPr>
            <w:r w:rsidRPr="001D41EA">
              <w:rPr>
                <w:rFonts w:cs="Arial"/>
                <w:sz w:val="18"/>
                <w:szCs w:val="18"/>
              </w:rPr>
              <w:t>Mansfield S</w:t>
            </w:r>
          </w:p>
        </w:tc>
        <w:tc>
          <w:tcPr>
            <w:tcW w:w="1418" w:type="dxa"/>
            <w:tcBorders>
              <w:top w:val="nil"/>
              <w:left w:val="single" w:sz="18" w:space="0" w:color="5F497A" w:themeColor="accent4" w:themeShade="BF"/>
              <w:bottom w:val="nil"/>
              <w:right w:val="nil"/>
            </w:tcBorders>
            <w:shd w:val="clear" w:color="auto" w:fill="auto"/>
          </w:tcPr>
          <w:p w14:paraId="3B873E62" w14:textId="307FD160" w:rsidR="00820737" w:rsidRPr="001D41EA" w:rsidRDefault="00820737" w:rsidP="00820737">
            <w:pPr>
              <w:spacing w:before="40" w:after="20"/>
              <w:jc w:val="right"/>
              <w:rPr>
                <w:rFonts w:cs="Arial"/>
                <w:sz w:val="18"/>
                <w:szCs w:val="18"/>
              </w:rPr>
            </w:pPr>
            <w:r w:rsidRPr="00820737">
              <w:rPr>
                <w:rFonts w:cs="Arial"/>
                <w:sz w:val="18"/>
                <w:szCs w:val="18"/>
              </w:rPr>
              <w:t>1,015</w:t>
            </w:r>
          </w:p>
        </w:tc>
        <w:tc>
          <w:tcPr>
            <w:tcW w:w="1418" w:type="dxa"/>
            <w:tcBorders>
              <w:top w:val="nil"/>
              <w:left w:val="nil"/>
              <w:bottom w:val="nil"/>
              <w:right w:val="nil"/>
            </w:tcBorders>
            <w:shd w:val="clear" w:color="auto" w:fill="auto"/>
            <w:vAlign w:val="bottom"/>
          </w:tcPr>
          <w:p w14:paraId="4E711C1A" w14:textId="5331D69A" w:rsidR="00820737" w:rsidRPr="001D41EA" w:rsidRDefault="00820737" w:rsidP="00820737">
            <w:pPr>
              <w:spacing w:before="40" w:after="20"/>
              <w:jc w:val="right"/>
              <w:rPr>
                <w:rFonts w:cs="Arial"/>
                <w:sz w:val="18"/>
                <w:szCs w:val="18"/>
              </w:rPr>
            </w:pPr>
            <w:r w:rsidRPr="001D41EA">
              <w:rPr>
                <w:rFonts w:cs="Arial"/>
                <w:sz w:val="18"/>
                <w:szCs w:val="18"/>
              </w:rPr>
              <w:t>1,531,168</w:t>
            </w:r>
          </w:p>
        </w:tc>
        <w:tc>
          <w:tcPr>
            <w:tcW w:w="1418" w:type="dxa"/>
            <w:tcBorders>
              <w:top w:val="nil"/>
              <w:left w:val="nil"/>
              <w:bottom w:val="nil"/>
              <w:right w:val="nil"/>
            </w:tcBorders>
            <w:shd w:val="clear" w:color="auto" w:fill="auto"/>
            <w:vAlign w:val="bottom"/>
          </w:tcPr>
          <w:p w14:paraId="644FFDDD" w14:textId="3A02A318" w:rsidR="00820737" w:rsidRPr="001D41EA" w:rsidRDefault="00820737" w:rsidP="00820737">
            <w:pPr>
              <w:spacing w:before="40" w:after="20"/>
              <w:jc w:val="right"/>
              <w:rPr>
                <w:rFonts w:cs="Arial"/>
                <w:sz w:val="18"/>
                <w:szCs w:val="18"/>
              </w:rPr>
            </w:pPr>
            <w:r w:rsidRPr="001D41EA">
              <w:rPr>
                <w:rFonts w:cs="Arial"/>
                <w:sz w:val="18"/>
                <w:szCs w:val="18"/>
              </w:rPr>
              <w:t>165.5</w:t>
            </w:r>
          </w:p>
        </w:tc>
      </w:tr>
      <w:tr w:rsidR="00820737" w:rsidRPr="001D41EA" w14:paraId="0F1FC8F6"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65F6C313" w14:textId="77777777" w:rsidR="00820737" w:rsidRPr="001D41EA" w:rsidRDefault="00820737" w:rsidP="00820737">
            <w:pPr>
              <w:spacing w:before="40" w:after="20"/>
              <w:rPr>
                <w:rFonts w:cs="Arial"/>
                <w:sz w:val="18"/>
                <w:szCs w:val="18"/>
              </w:rPr>
            </w:pPr>
            <w:r w:rsidRPr="001D41EA">
              <w:rPr>
                <w:rFonts w:cs="Arial"/>
                <w:sz w:val="18"/>
                <w:szCs w:val="18"/>
              </w:rPr>
              <w:t>Maribyrnong C</w:t>
            </w:r>
          </w:p>
        </w:tc>
        <w:tc>
          <w:tcPr>
            <w:tcW w:w="1418" w:type="dxa"/>
            <w:tcBorders>
              <w:top w:val="nil"/>
              <w:left w:val="single" w:sz="18" w:space="0" w:color="5F497A" w:themeColor="accent4" w:themeShade="BF"/>
              <w:bottom w:val="nil"/>
              <w:right w:val="nil"/>
            </w:tcBorders>
            <w:shd w:val="clear" w:color="auto" w:fill="auto"/>
          </w:tcPr>
          <w:p w14:paraId="46A68E63" w14:textId="5F0A89BF" w:rsidR="00820737" w:rsidRPr="001D41EA" w:rsidRDefault="00820737" w:rsidP="00820737">
            <w:pPr>
              <w:spacing w:before="40" w:after="20"/>
              <w:jc w:val="right"/>
              <w:rPr>
                <w:rFonts w:cs="Arial"/>
                <w:sz w:val="18"/>
                <w:szCs w:val="18"/>
              </w:rPr>
            </w:pPr>
            <w:r w:rsidRPr="00820737">
              <w:rPr>
                <w:rFonts w:cs="Arial"/>
                <w:sz w:val="18"/>
                <w:szCs w:val="18"/>
              </w:rPr>
              <w:t>995</w:t>
            </w:r>
          </w:p>
        </w:tc>
        <w:tc>
          <w:tcPr>
            <w:tcW w:w="1418" w:type="dxa"/>
            <w:tcBorders>
              <w:top w:val="nil"/>
              <w:left w:val="nil"/>
              <w:bottom w:val="nil"/>
              <w:right w:val="nil"/>
            </w:tcBorders>
            <w:shd w:val="clear" w:color="auto" w:fill="auto"/>
            <w:vAlign w:val="bottom"/>
          </w:tcPr>
          <w:p w14:paraId="7EB147AC" w14:textId="7ACFD75F" w:rsidR="00820737" w:rsidRPr="001D41EA" w:rsidRDefault="00820737" w:rsidP="00820737">
            <w:pPr>
              <w:spacing w:before="40" w:after="20"/>
              <w:jc w:val="right"/>
              <w:rPr>
                <w:rFonts w:cs="Arial"/>
                <w:sz w:val="18"/>
                <w:szCs w:val="18"/>
              </w:rPr>
            </w:pPr>
            <w:r w:rsidRPr="001D41EA">
              <w:rPr>
                <w:rFonts w:cs="Arial"/>
                <w:sz w:val="18"/>
                <w:szCs w:val="18"/>
              </w:rPr>
              <w:t>1,659,780</w:t>
            </w:r>
          </w:p>
        </w:tc>
        <w:tc>
          <w:tcPr>
            <w:tcW w:w="1418" w:type="dxa"/>
            <w:tcBorders>
              <w:top w:val="nil"/>
              <w:left w:val="nil"/>
              <w:bottom w:val="nil"/>
              <w:right w:val="nil"/>
            </w:tcBorders>
            <w:shd w:val="clear" w:color="auto" w:fill="auto"/>
            <w:vAlign w:val="bottom"/>
          </w:tcPr>
          <w:p w14:paraId="72179E46" w14:textId="12864702" w:rsidR="00820737" w:rsidRPr="001D41EA" w:rsidRDefault="00820737" w:rsidP="00820737">
            <w:pPr>
              <w:spacing w:before="40" w:after="20"/>
              <w:jc w:val="right"/>
              <w:rPr>
                <w:rFonts w:cs="Arial"/>
                <w:sz w:val="18"/>
                <w:szCs w:val="18"/>
              </w:rPr>
            </w:pPr>
            <w:r w:rsidRPr="001D41EA">
              <w:rPr>
                <w:rFonts w:cs="Arial"/>
                <w:sz w:val="18"/>
                <w:szCs w:val="18"/>
              </w:rPr>
              <w:t>18.2</w:t>
            </w:r>
          </w:p>
        </w:tc>
      </w:tr>
      <w:tr w:rsidR="00820737" w:rsidRPr="001D41EA" w14:paraId="7B9476A7"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516D3DA3" w14:textId="77777777" w:rsidR="00820737" w:rsidRPr="001D41EA" w:rsidRDefault="00820737" w:rsidP="00820737">
            <w:pPr>
              <w:spacing w:before="40" w:after="20"/>
              <w:rPr>
                <w:rFonts w:cs="Arial"/>
                <w:sz w:val="18"/>
                <w:szCs w:val="18"/>
              </w:rPr>
            </w:pPr>
            <w:r w:rsidRPr="001D41EA">
              <w:rPr>
                <w:rFonts w:cs="Arial"/>
                <w:sz w:val="18"/>
                <w:szCs w:val="18"/>
              </w:rPr>
              <w:t>Maroondah C</w:t>
            </w:r>
          </w:p>
        </w:tc>
        <w:tc>
          <w:tcPr>
            <w:tcW w:w="1418" w:type="dxa"/>
            <w:tcBorders>
              <w:top w:val="nil"/>
              <w:left w:val="single" w:sz="18" w:space="0" w:color="5F497A" w:themeColor="accent4" w:themeShade="BF"/>
              <w:bottom w:val="nil"/>
              <w:right w:val="nil"/>
            </w:tcBorders>
            <w:shd w:val="clear" w:color="auto" w:fill="auto"/>
          </w:tcPr>
          <w:p w14:paraId="66E27FDD" w14:textId="413609D5" w:rsidR="00820737" w:rsidRPr="001D41EA" w:rsidRDefault="00820737" w:rsidP="00820737">
            <w:pPr>
              <w:spacing w:before="40" w:after="20"/>
              <w:jc w:val="right"/>
              <w:rPr>
                <w:rFonts w:cs="Arial"/>
                <w:sz w:val="18"/>
                <w:szCs w:val="18"/>
              </w:rPr>
            </w:pPr>
            <w:r w:rsidRPr="00820737">
              <w:rPr>
                <w:rFonts w:cs="Arial"/>
                <w:sz w:val="18"/>
                <w:szCs w:val="18"/>
              </w:rPr>
              <w:t>1,045</w:t>
            </w:r>
          </w:p>
        </w:tc>
        <w:tc>
          <w:tcPr>
            <w:tcW w:w="1418" w:type="dxa"/>
            <w:tcBorders>
              <w:top w:val="nil"/>
              <w:left w:val="nil"/>
              <w:bottom w:val="nil"/>
              <w:right w:val="nil"/>
            </w:tcBorders>
            <w:shd w:val="clear" w:color="auto" w:fill="auto"/>
            <w:vAlign w:val="bottom"/>
          </w:tcPr>
          <w:p w14:paraId="1A501F79" w14:textId="054448F2" w:rsidR="00820737" w:rsidRPr="001D41EA" w:rsidRDefault="00820737" w:rsidP="00820737">
            <w:pPr>
              <w:spacing w:before="40" w:after="20"/>
              <w:jc w:val="right"/>
              <w:rPr>
                <w:rFonts w:cs="Arial"/>
                <w:sz w:val="18"/>
                <w:szCs w:val="18"/>
              </w:rPr>
            </w:pPr>
            <w:r w:rsidRPr="001D41EA">
              <w:rPr>
                <w:rFonts w:cs="Arial"/>
                <w:sz w:val="18"/>
                <w:szCs w:val="18"/>
              </w:rPr>
              <w:t>1,096,453</w:t>
            </w:r>
          </w:p>
        </w:tc>
        <w:tc>
          <w:tcPr>
            <w:tcW w:w="1418" w:type="dxa"/>
            <w:tcBorders>
              <w:top w:val="nil"/>
              <w:left w:val="nil"/>
              <w:bottom w:val="nil"/>
              <w:right w:val="nil"/>
            </w:tcBorders>
            <w:shd w:val="clear" w:color="auto" w:fill="auto"/>
            <w:vAlign w:val="bottom"/>
          </w:tcPr>
          <w:p w14:paraId="0ED424CD" w14:textId="27AF0CF6" w:rsidR="00820737" w:rsidRPr="001D41EA" w:rsidRDefault="00820737" w:rsidP="00820737">
            <w:pPr>
              <w:spacing w:before="40" w:after="20"/>
              <w:jc w:val="right"/>
              <w:rPr>
                <w:rFonts w:cs="Arial"/>
                <w:sz w:val="18"/>
                <w:szCs w:val="18"/>
              </w:rPr>
            </w:pPr>
            <w:r w:rsidRPr="001D41EA">
              <w:rPr>
                <w:rFonts w:cs="Arial"/>
                <w:sz w:val="18"/>
                <w:szCs w:val="18"/>
              </w:rPr>
              <w:t>9.3</w:t>
            </w:r>
          </w:p>
        </w:tc>
      </w:tr>
      <w:tr w:rsidR="00820737" w:rsidRPr="001D41EA" w14:paraId="730714F9"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0998EEFD" w14:textId="77777777" w:rsidR="00820737" w:rsidRPr="001D41EA" w:rsidRDefault="00820737" w:rsidP="00820737">
            <w:pPr>
              <w:spacing w:before="40" w:after="20"/>
              <w:rPr>
                <w:rFonts w:cs="Arial"/>
                <w:sz w:val="18"/>
                <w:szCs w:val="18"/>
              </w:rPr>
            </w:pPr>
            <w:r w:rsidRPr="001D41EA">
              <w:rPr>
                <w:rFonts w:cs="Arial"/>
                <w:sz w:val="18"/>
                <w:szCs w:val="18"/>
              </w:rPr>
              <w:t>Melbourne C</w:t>
            </w:r>
          </w:p>
        </w:tc>
        <w:tc>
          <w:tcPr>
            <w:tcW w:w="1418" w:type="dxa"/>
            <w:tcBorders>
              <w:top w:val="nil"/>
              <w:left w:val="single" w:sz="18" w:space="0" w:color="5F497A" w:themeColor="accent4" w:themeShade="BF"/>
              <w:bottom w:val="nil"/>
              <w:right w:val="nil"/>
            </w:tcBorders>
            <w:shd w:val="clear" w:color="auto" w:fill="auto"/>
          </w:tcPr>
          <w:p w14:paraId="4B151F60" w14:textId="7077A331" w:rsidR="00820737" w:rsidRPr="001D41EA" w:rsidRDefault="00820737" w:rsidP="00820737">
            <w:pPr>
              <w:spacing w:before="40" w:after="20"/>
              <w:jc w:val="right"/>
              <w:rPr>
                <w:rFonts w:cs="Arial"/>
                <w:sz w:val="18"/>
                <w:szCs w:val="18"/>
              </w:rPr>
            </w:pPr>
            <w:r w:rsidRPr="00820737">
              <w:rPr>
                <w:rFonts w:cs="Arial"/>
                <w:sz w:val="18"/>
                <w:szCs w:val="18"/>
              </w:rPr>
              <w:t>1,010</w:t>
            </w:r>
          </w:p>
        </w:tc>
        <w:tc>
          <w:tcPr>
            <w:tcW w:w="1418" w:type="dxa"/>
            <w:tcBorders>
              <w:top w:val="nil"/>
              <w:left w:val="nil"/>
              <w:bottom w:val="nil"/>
              <w:right w:val="nil"/>
            </w:tcBorders>
            <w:shd w:val="clear" w:color="auto" w:fill="auto"/>
            <w:vAlign w:val="bottom"/>
          </w:tcPr>
          <w:p w14:paraId="046179F3" w14:textId="3073454A" w:rsidR="00820737" w:rsidRPr="001D41EA" w:rsidRDefault="00820737" w:rsidP="00820737">
            <w:pPr>
              <w:spacing w:before="40" w:after="20"/>
              <w:jc w:val="right"/>
              <w:rPr>
                <w:rFonts w:cs="Arial"/>
                <w:sz w:val="18"/>
                <w:szCs w:val="18"/>
              </w:rPr>
            </w:pPr>
            <w:r w:rsidRPr="001D41EA">
              <w:rPr>
                <w:rFonts w:cs="Arial"/>
                <w:sz w:val="18"/>
                <w:szCs w:val="18"/>
              </w:rPr>
              <w:t>40,984,997</w:t>
            </w:r>
          </w:p>
        </w:tc>
        <w:tc>
          <w:tcPr>
            <w:tcW w:w="1418" w:type="dxa"/>
            <w:tcBorders>
              <w:top w:val="nil"/>
              <w:left w:val="nil"/>
              <w:bottom w:val="nil"/>
              <w:right w:val="nil"/>
            </w:tcBorders>
            <w:shd w:val="clear" w:color="auto" w:fill="auto"/>
            <w:vAlign w:val="bottom"/>
          </w:tcPr>
          <w:p w14:paraId="2A900B1D" w14:textId="5135E6AC" w:rsidR="00820737" w:rsidRPr="001D41EA" w:rsidRDefault="00820737" w:rsidP="00820737">
            <w:pPr>
              <w:spacing w:before="40" w:after="20"/>
              <w:jc w:val="right"/>
              <w:rPr>
                <w:rFonts w:cs="Arial"/>
                <w:sz w:val="18"/>
                <w:szCs w:val="18"/>
              </w:rPr>
            </w:pPr>
            <w:r w:rsidRPr="001D41EA">
              <w:rPr>
                <w:rFonts w:cs="Arial"/>
                <w:sz w:val="18"/>
                <w:szCs w:val="18"/>
              </w:rPr>
              <w:t>241.1</w:t>
            </w:r>
          </w:p>
        </w:tc>
      </w:tr>
      <w:tr w:rsidR="00820737" w:rsidRPr="001D41EA" w14:paraId="54B4D76E"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71BC928F" w14:textId="77777777" w:rsidR="00820737" w:rsidRPr="001D41EA" w:rsidRDefault="00820737" w:rsidP="00820737">
            <w:pPr>
              <w:spacing w:before="40" w:after="20"/>
              <w:rPr>
                <w:rFonts w:cs="Arial"/>
                <w:sz w:val="18"/>
                <w:szCs w:val="18"/>
              </w:rPr>
            </w:pPr>
            <w:r w:rsidRPr="001D41EA">
              <w:rPr>
                <w:rFonts w:cs="Arial"/>
                <w:sz w:val="18"/>
                <w:szCs w:val="18"/>
              </w:rPr>
              <w:t>Melton C</w:t>
            </w:r>
          </w:p>
        </w:tc>
        <w:tc>
          <w:tcPr>
            <w:tcW w:w="1418" w:type="dxa"/>
            <w:tcBorders>
              <w:top w:val="nil"/>
              <w:left w:val="single" w:sz="18" w:space="0" w:color="5F497A" w:themeColor="accent4" w:themeShade="BF"/>
              <w:bottom w:val="nil"/>
              <w:right w:val="nil"/>
            </w:tcBorders>
            <w:shd w:val="clear" w:color="auto" w:fill="auto"/>
          </w:tcPr>
          <w:p w14:paraId="6A4F6CC3" w14:textId="33039F7E" w:rsidR="00820737" w:rsidRPr="001D41EA" w:rsidRDefault="00820737" w:rsidP="00820737">
            <w:pPr>
              <w:spacing w:before="40" w:after="20"/>
              <w:jc w:val="right"/>
              <w:rPr>
                <w:rFonts w:cs="Arial"/>
                <w:sz w:val="18"/>
                <w:szCs w:val="18"/>
              </w:rPr>
            </w:pPr>
            <w:r w:rsidRPr="00820737">
              <w:rPr>
                <w:rFonts w:cs="Arial"/>
                <w:sz w:val="18"/>
                <w:szCs w:val="18"/>
              </w:rPr>
              <w:t>994</w:t>
            </w:r>
          </w:p>
        </w:tc>
        <w:tc>
          <w:tcPr>
            <w:tcW w:w="1418" w:type="dxa"/>
            <w:tcBorders>
              <w:top w:val="nil"/>
              <w:left w:val="nil"/>
              <w:bottom w:val="nil"/>
              <w:right w:val="nil"/>
            </w:tcBorders>
            <w:shd w:val="clear" w:color="auto" w:fill="auto"/>
            <w:vAlign w:val="bottom"/>
          </w:tcPr>
          <w:p w14:paraId="040C5594" w14:textId="5EF665C8" w:rsidR="00820737" w:rsidRPr="001D41EA" w:rsidRDefault="00820737" w:rsidP="00820737">
            <w:pPr>
              <w:spacing w:before="40" w:after="20"/>
              <w:jc w:val="right"/>
              <w:rPr>
                <w:rFonts w:cs="Arial"/>
                <w:sz w:val="18"/>
                <w:szCs w:val="18"/>
              </w:rPr>
            </w:pPr>
            <w:r w:rsidRPr="001D41EA">
              <w:rPr>
                <w:rFonts w:cs="Arial"/>
                <w:sz w:val="18"/>
                <w:szCs w:val="18"/>
              </w:rPr>
              <w:t>1,046,124</w:t>
            </w:r>
          </w:p>
        </w:tc>
        <w:tc>
          <w:tcPr>
            <w:tcW w:w="1418" w:type="dxa"/>
            <w:tcBorders>
              <w:top w:val="nil"/>
              <w:left w:val="nil"/>
              <w:bottom w:val="nil"/>
              <w:right w:val="nil"/>
            </w:tcBorders>
            <w:shd w:val="clear" w:color="auto" w:fill="auto"/>
            <w:vAlign w:val="bottom"/>
          </w:tcPr>
          <w:p w14:paraId="683BAEFC" w14:textId="2DABA12B" w:rsidR="00820737" w:rsidRPr="001D41EA" w:rsidRDefault="00820737" w:rsidP="00820737">
            <w:pPr>
              <w:spacing w:before="40" w:after="20"/>
              <w:jc w:val="right"/>
              <w:rPr>
                <w:rFonts w:cs="Arial"/>
                <w:sz w:val="18"/>
                <w:szCs w:val="18"/>
              </w:rPr>
            </w:pPr>
            <w:r w:rsidRPr="001D41EA">
              <w:rPr>
                <w:rFonts w:cs="Arial"/>
                <w:sz w:val="18"/>
                <w:szCs w:val="18"/>
              </w:rPr>
              <w:t>6.7</w:t>
            </w:r>
          </w:p>
        </w:tc>
      </w:tr>
      <w:tr w:rsidR="00820737" w:rsidRPr="001D41EA" w14:paraId="29DC789B"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38B987A7" w14:textId="77777777" w:rsidR="00820737" w:rsidRPr="001D41EA" w:rsidRDefault="00820737" w:rsidP="00820737">
            <w:pPr>
              <w:spacing w:before="40" w:after="20"/>
              <w:rPr>
                <w:rFonts w:cs="Arial"/>
                <w:sz w:val="18"/>
                <w:szCs w:val="18"/>
              </w:rPr>
            </w:pPr>
            <w:r w:rsidRPr="001D41EA">
              <w:rPr>
                <w:rFonts w:cs="Arial"/>
                <w:sz w:val="18"/>
                <w:szCs w:val="18"/>
              </w:rPr>
              <w:t>Mildura RC</w:t>
            </w:r>
          </w:p>
        </w:tc>
        <w:tc>
          <w:tcPr>
            <w:tcW w:w="1418" w:type="dxa"/>
            <w:tcBorders>
              <w:top w:val="nil"/>
              <w:left w:val="single" w:sz="18" w:space="0" w:color="5F497A" w:themeColor="accent4" w:themeShade="BF"/>
              <w:bottom w:val="nil"/>
              <w:right w:val="nil"/>
            </w:tcBorders>
            <w:shd w:val="clear" w:color="auto" w:fill="auto"/>
          </w:tcPr>
          <w:p w14:paraId="4095F2B3" w14:textId="02277292" w:rsidR="00820737" w:rsidRPr="001D41EA" w:rsidRDefault="00820737" w:rsidP="00820737">
            <w:pPr>
              <w:spacing w:before="40" w:after="20"/>
              <w:jc w:val="right"/>
              <w:rPr>
                <w:rFonts w:cs="Arial"/>
                <w:sz w:val="18"/>
                <w:szCs w:val="18"/>
              </w:rPr>
            </w:pPr>
            <w:r w:rsidRPr="00820737">
              <w:rPr>
                <w:rFonts w:cs="Arial"/>
                <w:sz w:val="18"/>
                <w:szCs w:val="18"/>
              </w:rPr>
              <w:t>935</w:t>
            </w:r>
          </w:p>
        </w:tc>
        <w:tc>
          <w:tcPr>
            <w:tcW w:w="1418" w:type="dxa"/>
            <w:tcBorders>
              <w:top w:val="nil"/>
              <w:left w:val="nil"/>
              <w:bottom w:val="nil"/>
              <w:right w:val="nil"/>
            </w:tcBorders>
            <w:shd w:val="clear" w:color="auto" w:fill="auto"/>
            <w:vAlign w:val="bottom"/>
          </w:tcPr>
          <w:p w14:paraId="538C9F7B" w14:textId="7D405B4A" w:rsidR="00820737" w:rsidRPr="001D41EA" w:rsidRDefault="00820737" w:rsidP="00820737">
            <w:pPr>
              <w:spacing w:before="40" w:after="20"/>
              <w:jc w:val="right"/>
              <w:rPr>
                <w:rFonts w:cs="Arial"/>
                <w:sz w:val="18"/>
                <w:szCs w:val="18"/>
              </w:rPr>
            </w:pPr>
            <w:r w:rsidRPr="001D41EA">
              <w:rPr>
                <w:rFonts w:cs="Arial"/>
                <w:sz w:val="18"/>
                <w:szCs w:val="18"/>
              </w:rPr>
              <w:t>2,036,125</w:t>
            </w:r>
          </w:p>
        </w:tc>
        <w:tc>
          <w:tcPr>
            <w:tcW w:w="1418" w:type="dxa"/>
            <w:tcBorders>
              <w:top w:val="nil"/>
              <w:left w:val="nil"/>
              <w:bottom w:val="nil"/>
              <w:right w:val="nil"/>
            </w:tcBorders>
            <w:shd w:val="clear" w:color="auto" w:fill="auto"/>
            <w:vAlign w:val="bottom"/>
          </w:tcPr>
          <w:p w14:paraId="54CF2572" w14:textId="28FB1561" w:rsidR="00820737" w:rsidRPr="001D41EA" w:rsidRDefault="00820737" w:rsidP="00820737">
            <w:pPr>
              <w:spacing w:before="40" w:after="20"/>
              <w:jc w:val="right"/>
              <w:rPr>
                <w:rFonts w:cs="Arial"/>
                <w:sz w:val="18"/>
                <w:szCs w:val="18"/>
              </w:rPr>
            </w:pPr>
            <w:r w:rsidRPr="001D41EA">
              <w:rPr>
                <w:rFonts w:cs="Arial"/>
                <w:sz w:val="18"/>
                <w:szCs w:val="18"/>
              </w:rPr>
              <w:t>36.7</w:t>
            </w:r>
          </w:p>
        </w:tc>
      </w:tr>
      <w:tr w:rsidR="00820737" w:rsidRPr="001D41EA" w14:paraId="4C149DA5"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0A0BA542" w14:textId="77777777" w:rsidR="00820737" w:rsidRPr="001D41EA" w:rsidRDefault="00820737" w:rsidP="00820737">
            <w:pPr>
              <w:spacing w:before="40" w:after="20"/>
              <w:rPr>
                <w:rFonts w:cs="Arial"/>
                <w:sz w:val="18"/>
                <w:szCs w:val="18"/>
              </w:rPr>
            </w:pPr>
            <w:r w:rsidRPr="001D41EA">
              <w:rPr>
                <w:rFonts w:cs="Arial"/>
                <w:sz w:val="18"/>
                <w:szCs w:val="18"/>
              </w:rPr>
              <w:t>Mitchell S</w:t>
            </w:r>
          </w:p>
        </w:tc>
        <w:tc>
          <w:tcPr>
            <w:tcW w:w="1418" w:type="dxa"/>
            <w:tcBorders>
              <w:top w:val="nil"/>
              <w:left w:val="single" w:sz="18" w:space="0" w:color="5F497A" w:themeColor="accent4" w:themeShade="BF"/>
              <w:bottom w:val="nil"/>
              <w:right w:val="nil"/>
            </w:tcBorders>
            <w:shd w:val="clear" w:color="auto" w:fill="auto"/>
          </w:tcPr>
          <w:p w14:paraId="7BCF8B5F" w14:textId="7729BB5B" w:rsidR="00820737" w:rsidRPr="001D41EA" w:rsidRDefault="00820737" w:rsidP="00820737">
            <w:pPr>
              <w:spacing w:before="40" w:after="20"/>
              <w:jc w:val="right"/>
              <w:rPr>
                <w:rFonts w:cs="Arial"/>
                <w:sz w:val="18"/>
                <w:szCs w:val="18"/>
              </w:rPr>
            </w:pPr>
            <w:r w:rsidRPr="00820737">
              <w:rPr>
                <w:rFonts w:cs="Arial"/>
                <w:sz w:val="18"/>
                <w:szCs w:val="18"/>
              </w:rPr>
              <w:t>997</w:t>
            </w:r>
          </w:p>
        </w:tc>
        <w:tc>
          <w:tcPr>
            <w:tcW w:w="1418" w:type="dxa"/>
            <w:tcBorders>
              <w:top w:val="nil"/>
              <w:left w:val="nil"/>
              <w:bottom w:val="nil"/>
              <w:right w:val="nil"/>
            </w:tcBorders>
            <w:shd w:val="clear" w:color="auto" w:fill="auto"/>
            <w:vAlign w:val="bottom"/>
          </w:tcPr>
          <w:p w14:paraId="6422B6C4" w14:textId="37377488" w:rsidR="00820737" w:rsidRPr="001D41EA" w:rsidRDefault="00820737" w:rsidP="00820737">
            <w:pPr>
              <w:spacing w:before="40" w:after="20"/>
              <w:jc w:val="right"/>
              <w:rPr>
                <w:rFonts w:cs="Arial"/>
                <w:sz w:val="18"/>
                <w:szCs w:val="18"/>
              </w:rPr>
            </w:pPr>
            <w:r w:rsidRPr="001D41EA">
              <w:rPr>
                <w:rFonts w:cs="Arial"/>
                <w:sz w:val="18"/>
                <w:szCs w:val="18"/>
              </w:rPr>
              <w:t>920,895</w:t>
            </w:r>
          </w:p>
        </w:tc>
        <w:tc>
          <w:tcPr>
            <w:tcW w:w="1418" w:type="dxa"/>
            <w:tcBorders>
              <w:top w:val="nil"/>
              <w:left w:val="nil"/>
              <w:bottom w:val="nil"/>
              <w:right w:val="nil"/>
            </w:tcBorders>
            <w:shd w:val="clear" w:color="auto" w:fill="auto"/>
            <w:vAlign w:val="bottom"/>
          </w:tcPr>
          <w:p w14:paraId="22CA75C4" w14:textId="657E4CD0" w:rsidR="00820737" w:rsidRPr="001D41EA" w:rsidRDefault="00820737" w:rsidP="00820737">
            <w:pPr>
              <w:spacing w:before="40" w:after="20"/>
              <w:jc w:val="right"/>
              <w:rPr>
                <w:rFonts w:cs="Arial"/>
                <w:sz w:val="18"/>
                <w:szCs w:val="18"/>
              </w:rPr>
            </w:pPr>
            <w:r w:rsidRPr="001D41EA">
              <w:rPr>
                <w:rFonts w:cs="Arial"/>
                <w:sz w:val="18"/>
                <w:szCs w:val="18"/>
              </w:rPr>
              <w:t>20.8</w:t>
            </w:r>
          </w:p>
        </w:tc>
      </w:tr>
      <w:tr w:rsidR="00820737" w:rsidRPr="001D41EA" w14:paraId="144137A6"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4DF09AAF" w14:textId="77777777" w:rsidR="00820737" w:rsidRPr="001D41EA" w:rsidRDefault="00820737" w:rsidP="00820737">
            <w:pPr>
              <w:spacing w:before="40" w:after="20"/>
              <w:rPr>
                <w:rFonts w:cs="Arial"/>
                <w:sz w:val="18"/>
                <w:szCs w:val="18"/>
              </w:rPr>
            </w:pPr>
            <w:r w:rsidRPr="001D41EA">
              <w:rPr>
                <w:rFonts w:cs="Arial"/>
                <w:sz w:val="18"/>
                <w:szCs w:val="18"/>
              </w:rPr>
              <w:t>Moira S</w:t>
            </w:r>
          </w:p>
        </w:tc>
        <w:tc>
          <w:tcPr>
            <w:tcW w:w="1418" w:type="dxa"/>
            <w:tcBorders>
              <w:top w:val="nil"/>
              <w:left w:val="single" w:sz="18" w:space="0" w:color="5F497A" w:themeColor="accent4" w:themeShade="BF"/>
              <w:bottom w:val="nil"/>
              <w:right w:val="nil"/>
            </w:tcBorders>
            <w:shd w:val="clear" w:color="auto" w:fill="auto"/>
          </w:tcPr>
          <w:p w14:paraId="226AF9F4" w14:textId="4C08233E" w:rsidR="00820737" w:rsidRPr="001D41EA" w:rsidRDefault="00820737" w:rsidP="00820737">
            <w:pPr>
              <w:spacing w:before="40" w:after="20"/>
              <w:jc w:val="right"/>
              <w:rPr>
                <w:rFonts w:cs="Arial"/>
                <w:sz w:val="18"/>
                <w:szCs w:val="18"/>
              </w:rPr>
            </w:pPr>
            <w:r w:rsidRPr="00820737">
              <w:rPr>
                <w:rFonts w:cs="Arial"/>
                <w:sz w:val="18"/>
                <w:szCs w:val="18"/>
              </w:rPr>
              <w:t>951</w:t>
            </w:r>
          </w:p>
        </w:tc>
        <w:tc>
          <w:tcPr>
            <w:tcW w:w="1418" w:type="dxa"/>
            <w:tcBorders>
              <w:top w:val="nil"/>
              <w:left w:val="nil"/>
              <w:bottom w:val="nil"/>
              <w:right w:val="nil"/>
            </w:tcBorders>
            <w:shd w:val="clear" w:color="auto" w:fill="auto"/>
            <w:vAlign w:val="bottom"/>
          </w:tcPr>
          <w:p w14:paraId="7D03B8F7" w14:textId="25B6173D" w:rsidR="00820737" w:rsidRPr="001D41EA" w:rsidRDefault="00820737" w:rsidP="00820737">
            <w:pPr>
              <w:spacing w:before="40" w:after="20"/>
              <w:jc w:val="right"/>
              <w:rPr>
                <w:rFonts w:cs="Arial"/>
                <w:sz w:val="18"/>
                <w:szCs w:val="18"/>
              </w:rPr>
            </w:pPr>
            <w:r w:rsidRPr="001D41EA">
              <w:rPr>
                <w:rFonts w:cs="Arial"/>
                <w:sz w:val="18"/>
                <w:szCs w:val="18"/>
              </w:rPr>
              <w:t>1,455,131</w:t>
            </w:r>
          </w:p>
        </w:tc>
        <w:tc>
          <w:tcPr>
            <w:tcW w:w="1418" w:type="dxa"/>
            <w:tcBorders>
              <w:top w:val="nil"/>
              <w:left w:val="nil"/>
              <w:bottom w:val="nil"/>
              <w:right w:val="nil"/>
            </w:tcBorders>
            <w:shd w:val="clear" w:color="auto" w:fill="auto"/>
            <w:vAlign w:val="bottom"/>
          </w:tcPr>
          <w:p w14:paraId="12DBC5D5" w14:textId="55A63DF3" w:rsidR="00820737" w:rsidRPr="001D41EA" w:rsidRDefault="00820737" w:rsidP="00820737">
            <w:pPr>
              <w:spacing w:before="40" w:after="20"/>
              <w:jc w:val="right"/>
              <w:rPr>
                <w:rFonts w:cs="Arial"/>
                <w:sz w:val="18"/>
                <w:szCs w:val="18"/>
              </w:rPr>
            </w:pPr>
            <w:r w:rsidRPr="001D41EA">
              <w:rPr>
                <w:rFonts w:cs="Arial"/>
                <w:sz w:val="18"/>
                <w:szCs w:val="18"/>
              </w:rPr>
              <w:t>48.8</w:t>
            </w:r>
          </w:p>
        </w:tc>
      </w:tr>
      <w:tr w:rsidR="00820737" w:rsidRPr="001D41EA" w14:paraId="083F4506"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2500A8C8" w14:textId="77777777" w:rsidR="00820737" w:rsidRPr="001D41EA" w:rsidRDefault="00820737" w:rsidP="00820737">
            <w:pPr>
              <w:spacing w:before="40" w:after="20"/>
              <w:rPr>
                <w:rFonts w:cs="Arial"/>
                <w:sz w:val="18"/>
                <w:szCs w:val="18"/>
              </w:rPr>
            </w:pPr>
            <w:r w:rsidRPr="001D41EA">
              <w:rPr>
                <w:rFonts w:cs="Arial"/>
                <w:sz w:val="18"/>
                <w:szCs w:val="18"/>
              </w:rPr>
              <w:t>Monash C</w:t>
            </w:r>
          </w:p>
        </w:tc>
        <w:tc>
          <w:tcPr>
            <w:tcW w:w="1418" w:type="dxa"/>
            <w:tcBorders>
              <w:top w:val="nil"/>
              <w:left w:val="single" w:sz="18" w:space="0" w:color="5F497A" w:themeColor="accent4" w:themeShade="BF"/>
              <w:bottom w:val="nil"/>
              <w:right w:val="nil"/>
            </w:tcBorders>
            <w:shd w:val="clear" w:color="auto" w:fill="auto"/>
          </w:tcPr>
          <w:p w14:paraId="2557D374" w14:textId="0B9BBD44" w:rsidR="00820737" w:rsidRPr="001D41EA" w:rsidRDefault="00820737" w:rsidP="00820737">
            <w:pPr>
              <w:spacing w:before="40" w:after="20"/>
              <w:jc w:val="right"/>
              <w:rPr>
                <w:rFonts w:cs="Arial"/>
                <w:sz w:val="18"/>
                <w:szCs w:val="18"/>
              </w:rPr>
            </w:pPr>
            <w:r w:rsidRPr="00820737">
              <w:rPr>
                <w:rFonts w:cs="Arial"/>
                <w:sz w:val="18"/>
                <w:szCs w:val="18"/>
              </w:rPr>
              <w:t>1,045</w:t>
            </w:r>
          </w:p>
        </w:tc>
        <w:tc>
          <w:tcPr>
            <w:tcW w:w="1418" w:type="dxa"/>
            <w:tcBorders>
              <w:top w:val="nil"/>
              <w:left w:val="nil"/>
              <w:bottom w:val="nil"/>
              <w:right w:val="nil"/>
            </w:tcBorders>
            <w:shd w:val="clear" w:color="auto" w:fill="auto"/>
            <w:vAlign w:val="bottom"/>
          </w:tcPr>
          <w:p w14:paraId="3557D7F7" w14:textId="4ADA1B58" w:rsidR="00820737" w:rsidRPr="001D41EA" w:rsidRDefault="00820737" w:rsidP="00820737">
            <w:pPr>
              <w:spacing w:before="40" w:after="20"/>
              <w:jc w:val="right"/>
              <w:rPr>
                <w:rFonts w:cs="Arial"/>
                <w:sz w:val="18"/>
                <w:szCs w:val="18"/>
              </w:rPr>
            </w:pPr>
            <w:r w:rsidRPr="001D41EA">
              <w:rPr>
                <w:rFonts w:cs="Arial"/>
                <w:sz w:val="18"/>
                <w:szCs w:val="18"/>
              </w:rPr>
              <w:t>5,085,104</w:t>
            </w:r>
          </w:p>
        </w:tc>
        <w:tc>
          <w:tcPr>
            <w:tcW w:w="1418" w:type="dxa"/>
            <w:tcBorders>
              <w:top w:val="nil"/>
              <w:left w:val="nil"/>
              <w:bottom w:val="nil"/>
              <w:right w:val="nil"/>
            </w:tcBorders>
            <w:shd w:val="clear" w:color="auto" w:fill="auto"/>
            <w:vAlign w:val="bottom"/>
          </w:tcPr>
          <w:p w14:paraId="0604FBDF" w14:textId="2C57DF67" w:rsidR="00820737" w:rsidRPr="001D41EA" w:rsidRDefault="00820737" w:rsidP="00820737">
            <w:pPr>
              <w:spacing w:before="40" w:after="20"/>
              <w:jc w:val="right"/>
              <w:rPr>
                <w:rFonts w:cs="Arial"/>
                <w:sz w:val="18"/>
                <w:szCs w:val="18"/>
              </w:rPr>
            </w:pPr>
            <w:r w:rsidRPr="001D41EA">
              <w:rPr>
                <w:rFonts w:cs="Arial"/>
                <w:sz w:val="18"/>
                <w:szCs w:val="18"/>
              </w:rPr>
              <w:t>25.4</w:t>
            </w:r>
          </w:p>
        </w:tc>
      </w:tr>
      <w:tr w:rsidR="00820737" w:rsidRPr="001D41EA" w14:paraId="6FB0F54C"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7E47B4B1" w14:textId="77777777" w:rsidR="00820737" w:rsidRPr="001D41EA" w:rsidRDefault="00820737" w:rsidP="00820737">
            <w:pPr>
              <w:spacing w:before="40" w:after="20"/>
              <w:rPr>
                <w:rFonts w:cs="Arial"/>
                <w:sz w:val="18"/>
                <w:szCs w:val="18"/>
              </w:rPr>
            </w:pPr>
            <w:r w:rsidRPr="001D41EA">
              <w:rPr>
                <w:rFonts w:cs="Arial"/>
                <w:sz w:val="18"/>
                <w:szCs w:val="18"/>
              </w:rPr>
              <w:t>Moonee Valley C</w:t>
            </w:r>
          </w:p>
        </w:tc>
        <w:tc>
          <w:tcPr>
            <w:tcW w:w="1418" w:type="dxa"/>
            <w:tcBorders>
              <w:top w:val="nil"/>
              <w:left w:val="single" w:sz="18" w:space="0" w:color="5F497A" w:themeColor="accent4" w:themeShade="BF"/>
              <w:bottom w:val="nil"/>
              <w:right w:val="nil"/>
            </w:tcBorders>
            <w:shd w:val="clear" w:color="auto" w:fill="auto"/>
          </w:tcPr>
          <w:p w14:paraId="1FEBEF60" w14:textId="70E50836" w:rsidR="00820737" w:rsidRPr="001D41EA" w:rsidRDefault="00820737" w:rsidP="00820737">
            <w:pPr>
              <w:spacing w:before="40" w:after="20"/>
              <w:jc w:val="right"/>
              <w:rPr>
                <w:rFonts w:cs="Arial"/>
                <w:sz w:val="18"/>
                <w:szCs w:val="18"/>
              </w:rPr>
            </w:pPr>
            <w:r w:rsidRPr="00820737">
              <w:rPr>
                <w:rFonts w:cs="Arial"/>
                <w:sz w:val="18"/>
                <w:szCs w:val="18"/>
              </w:rPr>
              <w:t>1,035</w:t>
            </w:r>
          </w:p>
        </w:tc>
        <w:tc>
          <w:tcPr>
            <w:tcW w:w="1418" w:type="dxa"/>
            <w:tcBorders>
              <w:top w:val="nil"/>
              <w:left w:val="nil"/>
              <w:bottom w:val="nil"/>
              <w:right w:val="nil"/>
            </w:tcBorders>
            <w:shd w:val="clear" w:color="auto" w:fill="auto"/>
            <w:vAlign w:val="bottom"/>
          </w:tcPr>
          <w:p w14:paraId="394B0021" w14:textId="378400C8" w:rsidR="00820737" w:rsidRPr="001D41EA" w:rsidRDefault="00820737" w:rsidP="00820737">
            <w:pPr>
              <w:spacing w:before="40" w:after="20"/>
              <w:jc w:val="right"/>
              <w:rPr>
                <w:rFonts w:cs="Arial"/>
                <w:sz w:val="18"/>
                <w:szCs w:val="18"/>
              </w:rPr>
            </w:pPr>
            <w:r w:rsidRPr="001D41EA">
              <w:rPr>
                <w:rFonts w:cs="Arial"/>
                <w:sz w:val="18"/>
                <w:szCs w:val="18"/>
              </w:rPr>
              <w:t>1,658,737</w:t>
            </w:r>
          </w:p>
        </w:tc>
        <w:tc>
          <w:tcPr>
            <w:tcW w:w="1418" w:type="dxa"/>
            <w:tcBorders>
              <w:top w:val="nil"/>
              <w:left w:val="nil"/>
              <w:bottom w:val="nil"/>
              <w:right w:val="nil"/>
            </w:tcBorders>
            <w:shd w:val="clear" w:color="auto" w:fill="auto"/>
            <w:vAlign w:val="bottom"/>
          </w:tcPr>
          <w:p w14:paraId="0D50CC0E" w14:textId="5E1EC17C" w:rsidR="00820737" w:rsidRPr="001D41EA" w:rsidRDefault="00820737" w:rsidP="00820737">
            <w:pPr>
              <w:spacing w:before="40" w:after="20"/>
              <w:jc w:val="right"/>
              <w:rPr>
                <w:rFonts w:cs="Arial"/>
                <w:sz w:val="18"/>
                <w:szCs w:val="18"/>
              </w:rPr>
            </w:pPr>
            <w:r w:rsidRPr="001D41EA">
              <w:rPr>
                <w:rFonts w:cs="Arial"/>
                <w:sz w:val="18"/>
                <w:szCs w:val="18"/>
              </w:rPr>
              <w:t>13.0</w:t>
            </w:r>
          </w:p>
        </w:tc>
      </w:tr>
      <w:tr w:rsidR="00820737" w:rsidRPr="001D41EA" w14:paraId="52FBDA4D"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72BF57FF" w14:textId="77777777" w:rsidR="00820737" w:rsidRPr="001D41EA" w:rsidRDefault="00820737" w:rsidP="00820737">
            <w:pPr>
              <w:spacing w:before="40" w:after="20"/>
              <w:rPr>
                <w:rFonts w:cs="Arial"/>
                <w:sz w:val="18"/>
                <w:szCs w:val="18"/>
              </w:rPr>
            </w:pPr>
            <w:r w:rsidRPr="001D41EA">
              <w:rPr>
                <w:rFonts w:cs="Arial"/>
                <w:sz w:val="18"/>
                <w:szCs w:val="18"/>
              </w:rPr>
              <w:t>Moorabool S</w:t>
            </w:r>
          </w:p>
        </w:tc>
        <w:tc>
          <w:tcPr>
            <w:tcW w:w="1418" w:type="dxa"/>
            <w:tcBorders>
              <w:top w:val="nil"/>
              <w:left w:val="single" w:sz="18" w:space="0" w:color="5F497A" w:themeColor="accent4" w:themeShade="BF"/>
              <w:bottom w:val="nil"/>
              <w:right w:val="nil"/>
            </w:tcBorders>
            <w:shd w:val="clear" w:color="auto" w:fill="auto"/>
          </w:tcPr>
          <w:p w14:paraId="319FC75A" w14:textId="43C78662" w:rsidR="00820737" w:rsidRPr="001D41EA" w:rsidRDefault="00820737" w:rsidP="00820737">
            <w:pPr>
              <w:spacing w:before="40" w:after="20"/>
              <w:jc w:val="right"/>
              <w:rPr>
                <w:rFonts w:cs="Arial"/>
                <w:sz w:val="18"/>
                <w:szCs w:val="18"/>
              </w:rPr>
            </w:pPr>
            <w:r w:rsidRPr="00820737">
              <w:rPr>
                <w:rFonts w:cs="Arial"/>
                <w:sz w:val="18"/>
                <w:szCs w:val="18"/>
              </w:rPr>
              <w:t>1,010</w:t>
            </w:r>
          </w:p>
        </w:tc>
        <w:tc>
          <w:tcPr>
            <w:tcW w:w="1418" w:type="dxa"/>
            <w:tcBorders>
              <w:top w:val="nil"/>
              <w:left w:val="nil"/>
              <w:bottom w:val="nil"/>
              <w:right w:val="nil"/>
            </w:tcBorders>
            <w:shd w:val="clear" w:color="auto" w:fill="auto"/>
            <w:vAlign w:val="bottom"/>
          </w:tcPr>
          <w:p w14:paraId="59AF88F5" w14:textId="3CC0B069" w:rsidR="00820737" w:rsidRPr="001D41EA" w:rsidRDefault="00820737" w:rsidP="00820737">
            <w:pPr>
              <w:spacing w:before="40" w:after="20"/>
              <w:jc w:val="right"/>
              <w:rPr>
                <w:rFonts w:cs="Arial"/>
                <w:sz w:val="18"/>
                <w:szCs w:val="18"/>
              </w:rPr>
            </w:pPr>
            <w:r w:rsidRPr="001D41EA">
              <w:rPr>
                <w:rFonts w:cs="Arial"/>
                <w:sz w:val="18"/>
                <w:szCs w:val="18"/>
              </w:rPr>
              <w:t>577,886</w:t>
            </w:r>
          </w:p>
        </w:tc>
        <w:tc>
          <w:tcPr>
            <w:tcW w:w="1418" w:type="dxa"/>
            <w:tcBorders>
              <w:top w:val="nil"/>
              <w:left w:val="nil"/>
              <w:bottom w:val="nil"/>
              <w:right w:val="nil"/>
            </w:tcBorders>
            <w:shd w:val="clear" w:color="auto" w:fill="auto"/>
            <w:vAlign w:val="bottom"/>
          </w:tcPr>
          <w:p w14:paraId="3E2600DC" w14:textId="473C720D" w:rsidR="00820737" w:rsidRPr="001D41EA" w:rsidRDefault="00820737" w:rsidP="00820737">
            <w:pPr>
              <w:spacing w:before="40" w:after="20"/>
              <w:jc w:val="right"/>
              <w:rPr>
                <w:rFonts w:cs="Arial"/>
                <w:sz w:val="18"/>
                <w:szCs w:val="18"/>
              </w:rPr>
            </w:pPr>
            <w:r w:rsidRPr="001D41EA">
              <w:rPr>
                <w:rFonts w:cs="Arial"/>
                <w:sz w:val="18"/>
                <w:szCs w:val="18"/>
              </w:rPr>
              <w:t>16.9</w:t>
            </w:r>
          </w:p>
        </w:tc>
      </w:tr>
      <w:tr w:rsidR="00820737" w:rsidRPr="001D41EA" w14:paraId="719C25DD"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22F2A8C5" w14:textId="77777777" w:rsidR="00820737" w:rsidRPr="001D41EA" w:rsidRDefault="00820737" w:rsidP="00820737">
            <w:pPr>
              <w:spacing w:before="40" w:after="20"/>
              <w:rPr>
                <w:rFonts w:cs="Arial"/>
                <w:sz w:val="18"/>
                <w:szCs w:val="18"/>
              </w:rPr>
            </w:pPr>
            <w:r w:rsidRPr="001D41EA">
              <w:rPr>
                <w:rFonts w:cs="Arial"/>
                <w:sz w:val="18"/>
                <w:szCs w:val="18"/>
              </w:rPr>
              <w:t>Moreland C</w:t>
            </w:r>
          </w:p>
        </w:tc>
        <w:tc>
          <w:tcPr>
            <w:tcW w:w="1418" w:type="dxa"/>
            <w:tcBorders>
              <w:top w:val="nil"/>
              <w:left w:val="single" w:sz="18" w:space="0" w:color="5F497A" w:themeColor="accent4" w:themeShade="BF"/>
              <w:bottom w:val="nil"/>
              <w:right w:val="nil"/>
            </w:tcBorders>
            <w:shd w:val="clear" w:color="auto" w:fill="auto"/>
          </w:tcPr>
          <w:p w14:paraId="52415D84" w14:textId="0B554CDB" w:rsidR="00820737" w:rsidRPr="001D41EA" w:rsidRDefault="00820737" w:rsidP="00820737">
            <w:pPr>
              <w:spacing w:before="40" w:after="20"/>
              <w:jc w:val="right"/>
              <w:rPr>
                <w:rFonts w:cs="Arial"/>
                <w:sz w:val="18"/>
                <w:szCs w:val="18"/>
              </w:rPr>
            </w:pPr>
            <w:r w:rsidRPr="00820737">
              <w:rPr>
                <w:rFonts w:cs="Arial"/>
                <w:sz w:val="18"/>
                <w:szCs w:val="18"/>
              </w:rPr>
              <w:t>1,014</w:t>
            </w:r>
          </w:p>
        </w:tc>
        <w:tc>
          <w:tcPr>
            <w:tcW w:w="1418" w:type="dxa"/>
            <w:tcBorders>
              <w:top w:val="nil"/>
              <w:left w:val="nil"/>
              <w:bottom w:val="nil"/>
              <w:right w:val="nil"/>
            </w:tcBorders>
            <w:shd w:val="clear" w:color="auto" w:fill="auto"/>
            <w:vAlign w:val="bottom"/>
          </w:tcPr>
          <w:p w14:paraId="30AD6386" w14:textId="411EC4D1" w:rsidR="00820737" w:rsidRPr="001D41EA" w:rsidRDefault="00820737" w:rsidP="00820737">
            <w:pPr>
              <w:spacing w:before="40" w:after="20"/>
              <w:jc w:val="right"/>
              <w:rPr>
                <w:rFonts w:cs="Arial"/>
                <w:sz w:val="18"/>
                <w:szCs w:val="18"/>
              </w:rPr>
            </w:pPr>
            <w:r w:rsidRPr="001D41EA">
              <w:rPr>
                <w:rFonts w:cs="Arial"/>
                <w:sz w:val="18"/>
                <w:szCs w:val="18"/>
              </w:rPr>
              <w:t>2,762,205</w:t>
            </w:r>
          </w:p>
        </w:tc>
        <w:tc>
          <w:tcPr>
            <w:tcW w:w="1418" w:type="dxa"/>
            <w:tcBorders>
              <w:top w:val="nil"/>
              <w:left w:val="nil"/>
              <w:bottom w:val="nil"/>
              <w:right w:val="nil"/>
            </w:tcBorders>
            <w:shd w:val="clear" w:color="auto" w:fill="auto"/>
            <w:vAlign w:val="bottom"/>
          </w:tcPr>
          <w:p w14:paraId="06CFEBF7" w14:textId="547163A9" w:rsidR="00820737" w:rsidRPr="001D41EA" w:rsidRDefault="00820737" w:rsidP="00820737">
            <w:pPr>
              <w:spacing w:before="40" w:after="20"/>
              <w:jc w:val="right"/>
              <w:rPr>
                <w:rFonts w:cs="Arial"/>
                <w:sz w:val="18"/>
                <w:szCs w:val="18"/>
              </w:rPr>
            </w:pPr>
            <w:r w:rsidRPr="001D41EA">
              <w:rPr>
                <w:rFonts w:cs="Arial"/>
                <w:sz w:val="18"/>
                <w:szCs w:val="18"/>
              </w:rPr>
              <w:t>15.2</w:t>
            </w:r>
          </w:p>
        </w:tc>
      </w:tr>
      <w:tr w:rsidR="00820737" w:rsidRPr="001D41EA" w14:paraId="56FA5FCB"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0E6585E6" w14:textId="77777777" w:rsidR="00820737" w:rsidRPr="001D41EA" w:rsidRDefault="00820737" w:rsidP="00820737">
            <w:pPr>
              <w:spacing w:before="40" w:after="20"/>
              <w:rPr>
                <w:rFonts w:cs="Arial"/>
                <w:sz w:val="18"/>
                <w:szCs w:val="18"/>
              </w:rPr>
            </w:pPr>
            <w:r w:rsidRPr="001D41EA">
              <w:rPr>
                <w:rFonts w:cs="Arial"/>
                <w:sz w:val="18"/>
                <w:szCs w:val="18"/>
              </w:rPr>
              <w:t>Mornington Peninsula S</w:t>
            </w:r>
          </w:p>
        </w:tc>
        <w:tc>
          <w:tcPr>
            <w:tcW w:w="1418" w:type="dxa"/>
            <w:tcBorders>
              <w:top w:val="nil"/>
              <w:left w:val="single" w:sz="18" w:space="0" w:color="5F497A" w:themeColor="accent4" w:themeShade="BF"/>
              <w:bottom w:val="nil"/>
              <w:right w:val="nil"/>
            </w:tcBorders>
            <w:shd w:val="clear" w:color="auto" w:fill="auto"/>
          </w:tcPr>
          <w:p w14:paraId="67CE90B5" w14:textId="4D50A020" w:rsidR="00820737" w:rsidRPr="001D41EA" w:rsidRDefault="00820737" w:rsidP="00820737">
            <w:pPr>
              <w:spacing w:before="40" w:after="20"/>
              <w:jc w:val="right"/>
              <w:rPr>
                <w:rFonts w:cs="Arial"/>
                <w:sz w:val="18"/>
                <w:szCs w:val="18"/>
              </w:rPr>
            </w:pPr>
            <w:r w:rsidRPr="00820737">
              <w:rPr>
                <w:rFonts w:cs="Arial"/>
                <w:sz w:val="18"/>
                <w:szCs w:val="18"/>
              </w:rPr>
              <w:t>1,030</w:t>
            </w:r>
          </w:p>
        </w:tc>
        <w:tc>
          <w:tcPr>
            <w:tcW w:w="1418" w:type="dxa"/>
            <w:tcBorders>
              <w:top w:val="nil"/>
              <w:left w:val="nil"/>
              <w:bottom w:val="nil"/>
              <w:right w:val="nil"/>
            </w:tcBorders>
            <w:shd w:val="clear" w:color="auto" w:fill="auto"/>
            <w:vAlign w:val="bottom"/>
          </w:tcPr>
          <w:p w14:paraId="7A926CE2" w14:textId="0415F415" w:rsidR="00820737" w:rsidRPr="001D41EA" w:rsidRDefault="00820737" w:rsidP="00820737">
            <w:pPr>
              <w:spacing w:before="40" w:after="20"/>
              <w:jc w:val="right"/>
              <w:rPr>
                <w:rFonts w:cs="Arial"/>
                <w:sz w:val="18"/>
                <w:szCs w:val="18"/>
              </w:rPr>
            </w:pPr>
            <w:r w:rsidRPr="001D41EA">
              <w:rPr>
                <w:rFonts w:cs="Arial"/>
                <w:sz w:val="18"/>
                <w:szCs w:val="18"/>
              </w:rPr>
              <w:t>8,104,048</w:t>
            </w:r>
          </w:p>
        </w:tc>
        <w:tc>
          <w:tcPr>
            <w:tcW w:w="1418" w:type="dxa"/>
            <w:tcBorders>
              <w:top w:val="nil"/>
              <w:left w:val="nil"/>
              <w:bottom w:val="nil"/>
              <w:right w:val="nil"/>
            </w:tcBorders>
            <w:shd w:val="clear" w:color="auto" w:fill="auto"/>
            <w:vAlign w:val="bottom"/>
          </w:tcPr>
          <w:p w14:paraId="5E6800FA" w14:textId="594184F9" w:rsidR="00820737" w:rsidRPr="001D41EA" w:rsidRDefault="00820737" w:rsidP="00820737">
            <w:pPr>
              <w:spacing w:before="40" w:after="20"/>
              <w:jc w:val="right"/>
              <w:rPr>
                <w:rFonts w:cs="Arial"/>
                <w:sz w:val="18"/>
                <w:szCs w:val="18"/>
              </w:rPr>
            </w:pPr>
            <w:r w:rsidRPr="001D41EA">
              <w:rPr>
                <w:rFonts w:cs="Arial"/>
                <w:sz w:val="18"/>
                <w:szCs w:val="18"/>
              </w:rPr>
              <w:t>48.9</w:t>
            </w:r>
          </w:p>
        </w:tc>
      </w:tr>
      <w:tr w:rsidR="00820737" w:rsidRPr="001D41EA" w14:paraId="12E9484F"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5E39DAF1" w14:textId="77777777" w:rsidR="00820737" w:rsidRPr="001D41EA" w:rsidRDefault="00820737" w:rsidP="00820737">
            <w:pPr>
              <w:spacing w:before="40" w:after="20"/>
              <w:rPr>
                <w:rFonts w:cs="Arial"/>
                <w:sz w:val="18"/>
                <w:szCs w:val="18"/>
              </w:rPr>
            </w:pPr>
            <w:r w:rsidRPr="001D41EA">
              <w:rPr>
                <w:rFonts w:cs="Arial"/>
                <w:sz w:val="18"/>
                <w:szCs w:val="18"/>
              </w:rPr>
              <w:t>Mount Alexander S</w:t>
            </w:r>
          </w:p>
        </w:tc>
        <w:tc>
          <w:tcPr>
            <w:tcW w:w="1418" w:type="dxa"/>
            <w:tcBorders>
              <w:top w:val="nil"/>
              <w:left w:val="single" w:sz="18" w:space="0" w:color="5F497A" w:themeColor="accent4" w:themeShade="BF"/>
              <w:bottom w:val="nil"/>
              <w:right w:val="nil"/>
            </w:tcBorders>
            <w:shd w:val="clear" w:color="auto" w:fill="auto"/>
          </w:tcPr>
          <w:p w14:paraId="6C91347A" w14:textId="29E352DC" w:rsidR="00820737" w:rsidRPr="001D41EA" w:rsidRDefault="00820737" w:rsidP="00820737">
            <w:pPr>
              <w:spacing w:before="40" w:after="20"/>
              <w:jc w:val="right"/>
              <w:rPr>
                <w:rFonts w:cs="Arial"/>
                <w:sz w:val="18"/>
                <w:szCs w:val="18"/>
              </w:rPr>
            </w:pPr>
            <w:r w:rsidRPr="00820737">
              <w:rPr>
                <w:rFonts w:cs="Arial"/>
                <w:sz w:val="18"/>
                <w:szCs w:val="18"/>
              </w:rPr>
              <w:t>995</w:t>
            </w:r>
          </w:p>
        </w:tc>
        <w:tc>
          <w:tcPr>
            <w:tcW w:w="1418" w:type="dxa"/>
            <w:tcBorders>
              <w:top w:val="nil"/>
              <w:left w:val="nil"/>
              <w:bottom w:val="nil"/>
              <w:right w:val="nil"/>
            </w:tcBorders>
            <w:shd w:val="clear" w:color="auto" w:fill="auto"/>
            <w:vAlign w:val="bottom"/>
          </w:tcPr>
          <w:p w14:paraId="19971FDD" w14:textId="5CA32497" w:rsidR="00820737" w:rsidRPr="001D41EA" w:rsidRDefault="00820737" w:rsidP="00820737">
            <w:pPr>
              <w:spacing w:before="40" w:after="20"/>
              <w:jc w:val="right"/>
              <w:rPr>
                <w:rFonts w:cs="Arial"/>
                <w:sz w:val="18"/>
                <w:szCs w:val="18"/>
              </w:rPr>
            </w:pPr>
            <w:r w:rsidRPr="001D41EA">
              <w:rPr>
                <w:rFonts w:cs="Arial"/>
                <w:sz w:val="18"/>
                <w:szCs w:val="18"/>
              </w:rPr>
              <w:t>821,354</w:t>
            </w:r>
          </w:p>
        </w:tc>
        <w:tc>
          <w:tcPr>
            <w:tcW w:w="1418" w:type="dxa"/>
            <w:tcBorders>
              <w:top w:val="nil"/>
              <w:left w:val="nil"/>
              <w:bottom w:val="nil"/>
              <w:right w:val="nil"/>
            </w:tcBorders>
            <w:shd w:val="clear" w:color="auto" w:fill="auto"/>
            <w:vAlign w:val="bottom"/>
          </w:tcPr>
          <w:p w14:paraId="55AE185B" w14:textId="79BFAA6A" w:rsidR="00820737" w:rsidRPr="001D41EA" w:rsidRDefault="00820737" w:rsidP="00820737">
            <w:pPr>
              <w:spacing w:before="40" w:after="20"/>
              <w:jc w:val="right"/>
              <w:rPr>
                <w:rFonts w:cs="Arial"/>
                <w:sz w:val="18"/>
                <w:szCs w:val="18"/>
              </w:rPr>
            </w:pPr>
            <w:r w:rsidRPr="001D41EA">
              <w:rPr>
                <w:rFonts w:cs="Arial"/>
                <w:sz w:val="18"/>
                <w:szCs w:val="18"/>
              </w:rPr>
              <w:t>42.1</w:t>
            </w:r>
          </w:p>
        </w:tc>
      </w:tr>
      <w:tr w:rsidR="00820737" w:rsidRPr="001D41EA" w14:paraId="3BE486B4"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1A87ABBC" w14:textId="77777777" w:rsidR="00820737" w:rsidRPr="001D41EA" w:rsidRDefault="00820737" w:rsidP="00820737">
            <w:pPr>
              <w:spacing w:before="40" w:after="20"/>
              <w:rPr>
                <w:rFonts w:cs="Arial"/>
                <w:sz w:val="18"/>
                <w:szCs w:val="18"/>
              </w:rPr>
            </w:pPr>
            <w:r w:rsidRPr="001D41EA">
              <w:rPr>
                <w:rFonts w:cs="Arial"/>
                <w:sz w:val="18"/>
                <w:szCs w:val="18"/>
              </w:rPr>
              <w:t>Moyne S</w:t>
            </w:r>
          </w:p>
        </w:tc>
        <w:tc>
          <w:tcPr>
            <w:tcW w:w="1418" w:type="dxa"/>
            <w:tcBorders>
              <w:top w:val="nil"/>
              <w:left w:val="single" w:sz="18" w:space="0" w:color="5F497A" w:themeColor="accent4" w:themeShade="BF"/>
              <w:bottom w:val="nil"/>
              <w:right w:val="nil"/>
            </w:tcBorders>
            <w:shd w:val="clear" w:color="auto" w:fill="auto"/>
          </w:tcPr>
          <w:p w14:paraId="61D40524" w14:textId="2BB246D5" w:rsidR="00820737" w:rsidRPr="001D41EA" w:rsidRDefault="00820737" w:rsidP="00820737">
            <w:pPr>
              <w:spacing w:before="40" w:after="20"/>
              <w:jc w:val="right"/>
              <w:rPr>
                <w:rFonts w:cs="Arial"/>
                <w:sz w:val="18"/>
                <w:szCs w:val="18"/>
              </w:rPr>
            </w:pPr>
            <w:r w:rsidRPr="00820737">
              <w:rPr>
                <w:rFonts w:cs="Arial"/>
                <w:sz w:val="18"/>
                <w:szCs w:val="18"/>
              </w:rPr>
              <w:t>1,016</w:t>
            </w:r>
          </w:p>
        </w:tc>
        <w:tc>
          <w:tcPr>
            <w:tcW w:w="1418" w:type="dxa"/>
            <w:tcBorders>
              <w:top w:val="nil"/>
              <w:left w:val="nil"/>
              <w:bottom w:val="nil"/>
              <w:right w:val="nil"/>
            </w:tcBorders>
            <w:shd w:val="clear" w:color="auto" w:fill="auto"/>
            <w:vAlign w:val="bottom"/>
          </w:tcPr>
          <w:p w14:paraId="1DD6189C" w14:textId="2C280C2E" w:rsidR="00820737" w:rsidRPr="001D41EA" w:rsidRDefault="00820737" w:rsidP="00820737">
            <w:pPr>
              <w:spacing w:before="40" w:after="20"/>
              <w:jc w:val="right"/>
              <w:rPr>
                <w:rFonts w:cs="Arial"/>
                <w:sz w:val="18"/>
                <w:szCs w:val="18"/>
              </w:rPr>
            </w:pPr>
            <w:r w:rsidRPr="001D41EA">
              <w:rPr>
                <w:rFonts w:cs="Arial"/>
                <w:sz w:val="18"/>
                <w:szCs w:val="18"/>
              </w:rPr>
              <w:t>753,401</w:t>
            </w:r>
          </w:p>
        </w:tc>
        <w:tc>
          <w:tcPr>
            <w:tcW w:w="1418" w:type="dxa"/>
            <w:tcBorders>
              <w:top w:val="nil"/>
              <w:left w:val="nil"/>
              <w:bottom w:val="nil"/>
              <w:right w:val="nil"/>
            </w:tcBorders>
            <w:shd w:val="clear" w:color="auto" w:fill="auto"/>
            <w:vAlign w:val="bottom"/>
          </w:tcPr>
          <w:p w14:paraId="397AED0B" w14:textId="1768001A" w:rsidR="00820737" w:rsidRPr="001D41EA" w:rsidRDefault="00820737" w:rsidP="00820737">
            <w:pPr>
              <w:spacing w:before="40" w:after="20"/>
              <w:jc w:val="right"/>
              <w:rPr>
                <w:rFonts w:cs="Arial"/>
                <w:sz w:val="18"/>
                <w:szCs w:val="18"/>
              </w:rPr>
            </w:pPr>
            <w:r w:rsidRPr="001D41EA">
              <w:rPr>
                <w:rFonts w:cs="Arial"/>
                <w:sz w:val="18"/>
                <w:szCs w:val="18"/>
              </w:rPr>
              <w:t>44.6</w:t>
            </w:r>
          </w:p>
        </w:tc>
      </w:tr>
      <w:tr w:rsidR="00820737" w:rsidRPr="001D41EA" w14:paraId="77035BD6"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49107AB6" w14:textId="77777777" w:rsidR="00820737" w:rsidRPr="001D41EA" w:rsidRDefault="00820737" w:rsidP="00820737">
            <w:pPr>
              <w:spacing w:before="40" w:after="20"/>
              <w:rPr>
                <w:rFonts w:cs="Arial"/>
                <w:sz w:val="18"/>
                <w:szCs w:val="18"/>
              </w:rPr>
            </w:pPr>
            <w:r w:rsidRPr="001D41EA">
              <w:rPr>
                <w:rFonts w:cs="Arial"/>
                <w:sz w:val="18"/>
                <w:szCs w:val="18"/>
              </w:rPr>
              <w:t>Murrindindi S</w:t>
            </w:r>
          </w:p>
        </w:tc>
        <w:tc>
          <w:tcPr>
            <w:tcW w:w="1418" w:type="dxa"/>
            <w:tcBorders>
              <w:top w:val="nil"/>
              <w:left w:val="single" w:sz="18" w:space="0" w:color="5F497A" w:themeColor="accent4" w:themeShade="BF"/>
              <w:bottom w:val="nil"/>
              <w:right w:val="nil"/>
            </w:tcBorders>
            <w:shd w:val="clear" w:color="auto" w:fill="auto"/>
          </w:tcPr>
          <w:p w14:paraId="1840715C" w14:textId="468B5986" w:rsidR="00820737" w:rsidRPr="001D41EA" w:rsidRDefault="00820737" w:rsidP="00820737">
            <w:pPr>
              <w:spacing w:before="40" w:after="20"/>
              <w:jc w:val="right"/>
              <w:rPr>
                <w:rFonts w:cs="Arial"/>
                <w:sz w:val="18"/>
                <w:szCs w:val="18"/>
              </w:rPr>
            </w:pPr>
            <w:r w:rsidRPr="00820737">
              <w:rPr>
                <w:rFonts w:cs="Arial"/>
                <w:sz w:val="18"/>
                <w:szCs w:val="18"/>
              </w:rPr>
              <w:t>996</w:t>
            </w:r>
          </w:p>
        </w:tc>
        <w:tc>
          <w:tcPr>
            <w:tcW w:w="1418" w:type="dxa"/>
            <w:tcBorders>
              <w:top w:val="nil"/>
              <w:left w:val="nil"/>
              <w:bottom w:val="nil"/>
              <w:right w:val="nil"/>
            </w:tcBorders>
            <w:shd w:val="clear" w:color="auto" w:fill="auto"/>
            <w:vAlign w:val="bottom"/>
          </w:tcPr>
          <w:p w14:paraId="7B4996B5" w14:textId="13467B2E" w:rsidR="00820737" w:rsidRPr="001D41EA" w:rsidRDefault="00820737" w:rsidP="00820737">
            <w:pPr>
              <w:spacing w:before="40" w:after="20"/>
              <w:jc w:val="right"/>
              <w:rPr>
                <w:rFonts w:cs="Arial"/>
                <w:sz w:val="18"/>
                <w:szCs w:val="18"/>
              </w:rPr>
            </w:pPr>
            <w:r w:rsidRPr="001D41EA">
              <w:rPr>
                <w:rFonts w:cs="Arial"/>
                <w:sz w:val="18"/>
                <w:szCs w:val="18"/>
              </w:rPr>
              <w:t>1,225,844</w:t>
            </w:r>
          </w:p>
        </w:tc>
        <w:tc>
          <w:tcPr>
            <w:tcW w:w="1418" w:type="dxa"/>
            <w:tcBorders>
              <w:top w:val="nil"/>
              <w:left w:val="nil"/>
              <w:bottom w:val="nil"/>
              <w:right w:val="nil"/>
            </w:tcBorders>
            <w:shd w:val="clear" w:color="auto" w:fill="auto"/>
            <w:vAlign w:val="bottom"/>
          </w:tcPr>
          <w:p w14:paraId="5127981C" w14:textId="11F050C8" w:rsidR="00820737" w:rsidRPr="001D41EA" w:rsidRDefault="00820737" w:rsidP="00820737">
            <w:pPr>
              <w:spacing w:before="40" w:after="20"/>
              <w:jc w:val="right"/>
              <w:rPr>
                <w:rFonts w:cs="Arial"/>
                <w:sz w:val="18"/>
                <w:szCs w:val="18"/>
              </w:rPr>
            </w:pPr>
            <w:r w:rsidRPr="001D41EA">
              <w:rPr>
                <w:rFonts w:cs="Arial"/>
                <w:sz w:val="18"/>
                <w:szCs w:val="18"/>
              </w:rPr>
              <w:t>84.7</w:t>
            </w:r>
          </w:p>
        </w:tc>
      </w:tr>
      <w:tr w:rsidR="00820737" w:rsidRPr="001D41EA" w14:paraId="5D6AFBC5"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56E70FA3" w14:textId="77777777" w:rsidR="00820737" w:rsidRPr="001D41EA" w:rsidRDefault="00820737" w:rsidP="00820737">
            <w:pPr>
              <w:spacing w:before="40" w:after="20"/>
              <w:rPr>
                <w:rFonts w:cs="Arial"/>
                <w:sz w:val="18"/>
                <w:szCs w:val="18"/>
              </w:rPr>
            </w:pPr>
            <w:r w:rsidRPr="001D41EA">
              <w:rPr>
                <w:rFonts w:cs="Arial"/>
                <w:sz w:val="18"/>
                <w:szCs w:val="18"/>
              </w:rPr>
              <w:t>Nillumbik S</w:t>
            </w:r>
          </w:p>
        </w:tc>
        <w:tc>
          <w:tcPr>
            <w:tcW w:w="1418" w:type="dxa"/>
            <w:tcBorders>
              <w:top w:val="nil"/>
              <w:left w:val="single" w:sz="18" w:space="0" w:color="5F497A" w:themeColor="accent4" w:themeShade="BF"/>
              <w:bottom w:val="nil"/>
              <w:right w:val="nil"/>
            </w:tcBorders>
            <w:shd w:val="clear" w:color="auto" w:fill="auto"/>
          </w:tcPr>
          <w:p w14:paraId="794FB375" w14:textId="050D510B" w:rsidR="00820737" w:rsidRPr="001D41EA" w:rsidRDefault="00820737" w:rsidP="00820737">
            <w:pPr>
              <w:spacing w:before="40" w:after="20"/>
              <w:jc w:val="right"/>
              <w:rPr>
                <w:rFonts w:cs="Arial"/>
                <w:sz w:val="18"/>
                <w:szCs w:val="18"/>
              </w:rPr>
            </w:pPr>
            <w:r w:rsidRPr="00820737">
              <w:rPr>
                <w:rFonts w:cs="Arial"/>
                <w:sz w:val="18"/>
                <w:szCs w:val="18"/>
              </w:rPr>
              <w:t>1,099</w:t>
            </w:r>
          </w:p>
        </w:tc>
        <w:tc>
          <w:tcPr>
            <w:tcW w:w="1418" w:type="dxa"/>
            <w:tcBorders>
              <w:top w:val="nil"/>
              <w:left w:val="nil"/>
              <w:bottom w:val="nil"/>
              <w:right w:val="nil"/>
            </w:tcBorders>
            <w:shd w:val="clear" w:color="auto" w:fill="auto"/>
            <w:vAlign w:val="bottom"/>
          </w:tcPr>
          <w:p w14:paraId="01A48825" w14:textId="000FD392" w:rsidR="00820737" w:rsidRPr="001D41EA" w:rsidRDefault="00820737" w:rsidP="00820737">
            <w:pPr>
              <w:spacing w:before="40" w:after="20"/>
              <w:jc w:val="right"/>
              <w:rPr>
                <w:rFonts w:cs="Arial"/>
                <w:sz w:val="18"/>
                <w:szCs w:val="18"/>
              </w:rPr>
            </w:pPr>
            <w:r w:rsidRPr="001D41EA">
              <w:rPr>
                <w:rFonts w:cs="Arial"/>
                <w:sz w:val="18"/>
                <w:szCs w:val="18"/>
              </w:rPr>
              <w:t>609,284</w:t>
            </w:r>
          </w:p>
        </w:tc>
        <w:tc>
          <w:tcPr>
            <w:tcW w:w="1418" w:type="dxa"/>
            <w:tcBorders>
              <w:top w:val="nil"/>
              <w:left w:val="nil"/>
              <w:bottom w:val="nil"/>
              <w:right w:val="nil"/>
            </w:tcBorders>
            <w:shd w:val="clear" w:color="auto" w:fill="auto"/>
            <w:vAlign w:val="bottom"/>
          </w:tcPr>
          <w:p w14:paraId="200791A4" w14:textId="7A34397D" w:rsidR="00820737" w:rsidRPr="001D41EA" w:rsidRDefault="00820737" w:rsidP="00820737">
            <w:pPr>
              <w:spacing w:before="40" w:after="20"/>
              <w:jc w:val="right"/>
              <w:rPr>
                <w:rFonts w:cs="Arial"/>
                <w:sz w:val="18"/>
                <w:szCs w:val="18"/>
              </w:rPr>
            </w:pPr>
            <w:r w:rsidRPr="001D41EA">
              <w:rPr>
                <w:rFonts w:cs="Arial"/>
                <w:sz w:val="18"/>
                <w:szCs w:val="18"/>
              </w:rPr>
              <w:t>9.4</w:t>
            </w:r>
          </w:p>
        </w:tc>
      </w:tr>
      <w:tr w:rsidR="00820737" w:rsidRPr="001D41EA" w14:paraId="305A64B9"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6C49ACF0" w14:textId="77777777" w:rsidR="00820737" w:rsidRPr="001D41EA" w:rsidRDefault="00820737" w:rsidP="00820737">
            <w:pPr>
              <w:spacing w:before="40" w:after="20"/>
              <w:rPr>
                <w:rFonts w:cs="Arial"/>
                <w:sz w:val="18"/>
                <w:szCs w:val="18"/>
              </w:rPr>
            </w:pPr>
            <w:r w:rsidRPr="001D41EA">
              <w:rPr>
                <w:rFonts w:cs="Arial"/>
                <w:sz w:val="18"/>
                <w:szCs w:val="18"/>
              </w:rPr>
              <w:t>Northern Grampians S</w:t>
            </w:r>
          </w:p>
        </w:tc>
        <w:tc>
          <w:tcPr>
            <w:tcW w:w="1418" w:type="dxa"/>
            <w:tcBorders>
              <w:top w:val="nil"/>
              <w:left w:val="single" w:sz="18" w:space="0" w:color="5F497A" w:themeColor="accent4" w:themeShade="BF"/>
              <w:bottom w:val="nil"/>
              <w:right w:val="nil"/>
            </w:tcBorders>
            <w:shd w:val="clear" w:color="auto" w:fill="auto"/>
          </w:tcPr>
          <w:p w14:paraId="617C58CA" w14:textId="4C11DE86" w:rsidR="00820737" w:rsidRPr="001D41EA" w:rsidRDefault="00820737" w:rsidP="00820737">
            <w:pPr>
              <w:spacing w:before="40" w:after="20"/>
              <w:jc w:val="right"/>
              <w:rPr>
                <w:rFonts w:cs="Arial"/>
                <w:sz w:val="18"/>
                <w:szCs w:val="18"/>
              </w:rPr>
            </w:pPr>
            <w:r w:rsidRPr="00820737">
              <w:rPr>
                <w:rFonts w:cs="Arial"/>
                <w:sz w:val="18"/>
                <w:szCs w:val="18"/>
              </w:rPr>
              <w:t>937</w:t>
            </w:r>
          </w:p>
        </w:tc>
        <w:tc>
          <w:tcPr>
            <w:tcW w:w="1418" w:type="dxa"/>
            <w:tcBorders>
              <w:top w:val="nil"/>
              <w:left w:val="nil"/>
              <w:bottom w:val="nil"/>
              <w:right w:val="nil"/>
            </w:tcBorders>
            <w:shd w:val="clear" w:color="auto" w:fill="auto"/>
            <w:vAlign w:val="bottom"/>
          </w:tcPr>
          <w:p w14:paraId="7A6722E8" w14:textId="32D69E2E" w:rsidR="00820737" w:rsidRPr="001D41EA" w:rsidRDefault="00820737" w:rsidP="00820737">
            <w:pPr>
              <w:spacing w:before="40" w:after="20"/>
              <w:jc w:val="right"/>
              <w:rPr>
                <w:rFonts w:cs="Arial"/>
                <w:sz w:val="18"/>
                <w:szCs w:val="18"/>
              </w:rPr>
            </w:pPr>
            <w:r w:rsidRPr="001D41EA">
              <w:rPr>
                <w:rFonts w:cs="Arial"/>
                <w:sz w:val="18"/>
                <w:szCs w:val="18"/>
              </w:rPr>
              <w:t>950,326</w:t>
            </w:r>
          </w:p>
        </w:tc>
        <w:tc>
          <w:tcPr>
            <w:tcW w:w="1418" w:type="dxa"/>
            <w:tcBorders>
              <w:top w:val="nil"/>
              <w:left w:val="nil"/>
              <w:bottom w:val="nil"/>
              <w:right w:val="nil"/>
            </w:tcBorders>
            <w:shd w:val="clear" w:color="auto" w:fill="auto"/>
            <w:vAlign w:val="bottom"/>
          </w:tcPr>
          <w:p w14:paraId="61B32334" w14:textId="6E7F1809" w:rsidR="00820737" w:rsidRPr="001D41EA" w:rsidRDefault="00820737" w:rsidP="00820737">
            <w:pPr>
              <w:spacing w:before="40" w:after="20"/>
              <w:jc w:val="right"/>
              <w:rPr>
                <w:rFonts w:cs="Arial"/>
                <w:sz w:val="18"/>
                <w:szCs w:val="18"/>
              </w:rPr>
            </w:pPr>
            <w:r w:rsidRPr="001D41EA">
              <w:rPr>
                <w:rFonts w:cs="Arial"/>
                <w:sz w:val="18"/>
                <w:szCs w:val="18"/>
              </w:rPr>
              <w:t>83.1</w:t>
            </w:r>
          </w:p>
        </w:tc>
      </w:tr>
      <w:tr w:rsidR="00820737" w:rsidRPr="001D41EA" w14:paraId="406991E6"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16D6D717" w14:textId="77777777" w:rsidR="00820737" w:rsidRPr="001D41EA" w:rsidRDefault="00820737" w:rsidP="00820737">
            <w:pPr>
              <w:spacing w:before="40" w:after="20"/>
              <w:rPr>
                <w:rFonts w:cs="Arial"/>
                <w:sz w:val="18"/>
                <w:szCs w:val="18"/>
              </w:rPr>
            </w:pPr>
            <w:r w:rsidRPr="001D41EA">
              <w:rPr>
                <w:rFonts w:cs="Arial"/>
                <w:sz w:val="18"/>
                <w:szCs w:val="18"/>
              </w:rPr>
              <w:t>Port Phillip C</w:t>
            </w:r>
          </w:p>
        </w:tc>
        <w:tc>
          <w:tcPr>
            <w:tcW w:w="1418" w:type="dxa"/>
            <w:tcBorders>
              <w:top w:val="nil"/>
              <w:left w:val="single" w:sz="18" w:space="0" w:color="5F497A" w:themeColor="accent4" w:themeShade="BF"/>
              <w:bottom w:val="nil"/>
              <w:right w:val="nil"/>
            </w:tcBorders>
            <w:shd w:val="clear" w:color="auto" w:fill="auto"/>
          </w:tcPr>
          <w:p w14:paraId="4B064494" w14:textId="68B9E892" w:rsidR="00820737" w:rsidRPr="001D41EA" w:rsidRDefault="00820737" w:rsidP="00820737">
            <w:pPr>
              <w:spacing w:before="40" w:after="20"/>
              <w:jc w:val="right"/>
              <w:rPr>
                <w:rFonts w:cs="Arial"/>
                <w:sz w:val="18"/>
                <w:szCs w:val="18"/>
              </w:rPr>
            </w:pPr>
            <w:r w:rsidRPr="00820737">
              <w:rPr>
                <w:rFonts w:cs="Arial"/>
                <w:sz w:val="18"/>
                <w:szCs w:val="18"/>
              </w:rPr>
              <w:t>1,069</w:t>
            </w:r>
          </w:p>
        </w:tc>
        <w:tc>
          <w:tcPr>
            <w:tcW w:w="1418" w:type="dxa"/>
            <w:tcBorders>
              <w:top w:val="nil"/>
              <w:left w:val="nil"/>
              <w:bottom w:val="nil"/>
              <w:right w:val="nil"/>
            </w:tcBorders>
            <w:shd w:val="clear" w:color="auto" w:fill="auto"/>
            <w:vAlign w:val="bottom"/>
          </w:tcPr>
          <w:p w14:paraId="4A81B696" w14:textId="0BE844EB" w:rsidR="00820737" w:rsidRPr="001D41EA" w:rsidRDefault="00820737" w:rsidP="00820737">
            <w:pPr>
              <w:spacing w:before="40" w:after="20"/>
              <w:jc w:val="right"/>
              <w:rPr>
                <w:rFonts w:cs="Arial"/>
                <w:sz w:val="18"/>
                <w:szCs w:val="18"/>
              </w:rPr>
            </w:pPr>
            <w:r w:rsidRPr="001D41EA">
              <w:rPr>
                <w:rFonts w:cs="Arial"/>
                <w:sz w:val="18"/>
                <w:szCs w:val="18"/>
              </w:rPr>
              <w:t>3,436,953</w:t>
            </w:r>
          </w:p>
        </w:tc>
        <w:tc>
          <w:tcPr>
            <w:tcW w:w="1418" w:type="dxa"/>
            <w:tcBorders>
              <w:top w:val="nil"/>
              <w:left w:val="nil"/>
              <w:bottom w:val="nil"/>
              <w:right w:val="nil"/>
            </w:tcBorders>
            <w:shd w:val="clear" w:color="auto" w:fill="auto"/>
            <w:vAlign w:val="bottom"/>
          </w:tcPr>
          <w:p w14:paraId="6D4663A5" w14:textId="68A8A85C" w:rsidR="00820737" w:rsidRPr="001D41EA" w:rsidRDefault="00820737" w:rsidP="00820737">
            <w:pPr>
              <w:spacing w:before="40" w:after="20"/>
              <w:jc w:val="right"/>
              <w:rPr>
                <w:rFonts w:cs="Arial"/>
                <w:sz w:val="18"/>
                <w:szCs w:val="18"/>
              </w:rPr>
            </w:pPr>
            <w:r w:rsidRPr="001D41EA">
              <w:rPr>
                <w:rFonts w:cs="Arial"/>
                <w:sz w:val="18"/>
                <w:szCs w:val="18"/>
              </w:rPr>
              <w:t>30.4</w:t>
            </w:r>
          </w:p>
        </w:tc>
      </w:tr>
      <w:tr w:rsidR="00820737" w:rsidRPr="001D41EA" w14:paraId="0820D304"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2D0F0032" w14:textId="77777777" w:rsidR="00820737" w:rsidRPr="001D41EA" w:rsidRDefault="00820737" w:rsidP="00820737">
            <w:pPr>
              <w:spacing w:before="40" w:after="20"/>
              <w:rPr>
                <w:rFonts w:cs="Arial"/>
                <w:sz w:val="18"/>
                <w:szCs w:val="18"/>
              </w:rPr>
            </w:pPr>
            <w:r w:rsidRPr="001D41EA">
              <w:rPr>
                <w:rFonts w:cs="Arial"/>
                <w:sz w:val="18"/>
                <w:szCs w:val="18"/>
              </w:rPr>
              <w:t>Pyrenees S</w:t>
            </w:r>
          </w:p>
        </w:tc>
        <w:tc>
          <w:tcPr>
            <w:tcW w:w="1418" w:type="dxa"/>
            <w:tcBorders>
              <w:top w:val="nil"/>
              <w:left w:val="single" w:sz="18" w:space="0" w:color="5F497A" w:themeColor="accent4" w:themeShade="BF"/>
              <w:bottom w:val="nil"/>
              <w:right w:val="nil"/>
            </w:tcBorders>
            <w:shd w:val="clear" w:color="auto" w:fill="auto"/>
          </w:tcPr>
          <w:p w14:paraId="33873743" w14:textId="31E3752F" w:rsidR="00820737" w:rsidRPr="001D41EA" w:rsidRDefault="00820737" w:rsidP="00820737">
            <w:pPr>
              <w:spacing w:before="40" w:after="20"/>
              <w:jc w:val="right"/>
              <w:rPr>
                <w:rFonts w:cs="Arial"/>
                <w:sz w:val="18"/>
                <w:szCs w:val="18"/>
              </w:rPr>
            </w:pPr>
            <w:r w:rsidRPr="00820737">
              <w:rPr>
                <w:rFonts w:cs="Arial"/>
                <w:sz w:val="18"/>
                <w:szCs w:val="18"/>
              </w:rPr>
              <w:t>952</w:t>
            </w:r>
          </w:p>
        </w:tc>
        <w:tc>
          <w:tcPr>
            <w:tcW w:w="1418" w:type="dxa"/>
            <w:tcBorders>
              <w:top w:val="nil"/>
              <w:left w:val="nil"/>
              <w:bottom w:val="nil"/>
              <w:right w:val="nil"/>
            </w:tcBorders>
            <w:shd w:val="clear" w:color="auto" w:fill="auto"/>
            <w:vAlign w:val="bottom"/>
          </w:tcPr>
          <w:p w14:paraId="655FC88C" w14:textId="7555025D" w:rsidR="00820737" w:rsidRPr="001D41EA" w:rsidRDefault="00820737" w:rsidP="00820737">
            <w:pPr>
              <w:spacing w:before="40" w:after="20"/>
              <w:jc w:val="right"/>
              <w:rPr>
                <w:rFonts w:cs="Arial"/>
                <w:sz w:val="18"/>
                <w:szCs w:val="18"/>
              </w:rPr>
            </w:pPr>
            <w:r w:rsidRPr="001D41EA">
              <w:rPr>
                <w:rFonts w:cs="Arial"/>
                <w:sz w:val="18"/>
                <w:szCs w:val="18"/>
              </w:rPr>
              <w:t>231,000</w:t>
            </w:r>
          </w:p>
        </w:tc>
        <w:tc>
          <w:tcPr>
            <w:tcW w:w="1418" w:type="dxa"/>
            <w:tcBorders>
              <w:top w:val="nil"/>
              <w:left w:val="nil"/>
              <w:bottom w:val="nil"/>
              <w:right w:val="nil"/>
            </w:tcBorders>
            <w:shd w:val="clear" w:color="auto" w:fill="auto"/>
            <w:vAlign w:val="bottom"/>
          </w:tcPr>
          <w:p w14:paraId="269DA071" w14:textId="5948A797" w:rsidR="00820737" w:rsidRPr="001D41EA" w:rsidRDefault="00820737" w:rsidP="00820737">
            <w:pPr>
              <w:spacing w:before="40" w:after="20"/>
              <w:jc w:val="right"/>
              <w:rPr>
                <w:rFonts w:cs="Arial"/>
                <w:sz w:val="18"/>
                <w:szCs w:val="18"/>
              </w:rPr>
            </w:pPr>
            <w:r w:rsidRPr="001D41EA">
              <w:rPr>
                <w:rFonts w:cs="Arial"/>
                <w:sz w:val="18"/>
                <w:szCs w:val="18"/>
              </w:rPr>
              <w:t>31.4</w:t>
            </w:r>
          </w:p>
        </w:tc>
      </w:tr>
      <w:tr w:rsidR="00820737" w:rsidRPr="001D41EA" w14:paraId="1777F92B"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6E4BEA43" w14:textId="77777777" w:rsidR="00820737" w:rsidRPr="001D41EA" w:rsidRDefault="00820737" w:rsidP="00820737">
            <w:pPr>
              <w:spacing w:before="40" w:after="20"/>
              <w:rPr>
                <w:rFonts w:cs="Arial"/>
                <w:sz w:val="18"/>
                <w:szCs w:val="18"/>
              </w:rPr>
            </w:pPr>
            <w:r w:rsidRPr="001D41EA">
              <w:rPr>
                <w:rFonts w:cs="Arial"/>
                <w:sz w:val="18"/>
                <w:szCs w:val="18"/>
              </w:rPr>
              <w:t>Queenscliffe B</w:t>
            </w:r>
          </w:p>
        </w:tc>
        <w:tc>
          <w:tcPr>
            <w:tcW w:w="1418" w:type="dxa"/>
            <w:tcBorders>
              <w:top w:val="nil"/>
              <w:left w:val="single" w:sz="18" w:space="0" w:color="5F497A" w:themeColor="accent4" w:themeShade="BF"/>
              <w:bottom w:val="nil"/>
              <w:right w:val="nil"/>
            </w:tcBorders>
            <w:shd w:val="clear" w:color="auto" w:fill="auto"/>
          </w:tcPr>
          <w:p w14:paraId="7166F3D0" w14:textId="4A36884C" w:rsidR="00820737" w:rsidRPr="001D41EA" w:rsidRDefault="00820737" w:rsidP="00820737">
            <w:pPr>
              <w:spacing w:before="40" w:after="20"/>
              <w:jc w:val="right"/>
              <w:rPr>
                <w:rFonts w:cs="Arial"/>
                <w:sz w:val="18"/>
                <w:szCs w:val="18"/>
              </w:rPr>
            </w:pPr>
            <w:r w:rsidRPr="00820737">
              <w:rPr>
                <w:rFonts w:cs="Arial"/>
                <w:sz w:val="18"/>
                <w:szCs w:val="18"/>
              </w:rPr>
              <w:t>1,075</w:t>
            </w:r>
          </w:p>
        </w:tc>
        <w:tc>
          <w:tcPr>
            <w:tcW w:w="1418" w:type="dxa"/>
            <w:tcBorders>
              <w:top w:val="nil"/>
              <w:left w:val="nil"/>
              <w:bottom w:val="nil"/>
              <w:right w:val="nil"/>
            </w:tcBorders>
            <w:shd w:val="clear" w:color="auto" w:fill="auto"/>
            <w:vAlign w:val="bottom"/>
          </w:tcPr>
          <w:p w14:paraId="15A46CEC" w14:textId="115A70E4" w:rsidR="00820737" w:rsidRPr="001D41EA" w:rsidRDefault="00820737" w:rsidP="00820737">
            <w:pPr>
              <w:spacing w:before="40" w:after="20"/>
              <w:jc w:val="right"/>
              <w:rPr>
                <w:rFonts w:cs="Arial"/>
                <w:sz w:val="18"/>
                <w:szCs w:val="18"/>
              </w:rPr>
            </w:pPr>
            <w:r w:rsidRPr="001D41EA">
              <w:rPr>
                <w:rFonts w:cs="Arial"/>
                <w:sz w:val="18"/>
                <w:szCs w:val="18"/>
              </w:rPr>
              <w:t>664,663</w:t>
            </w:r>
          </w:p>
        </w:tc>
        <w:tc>
          <w:tcPr>
            <w:tcW w:w="1418" w:type="dxa"/>
            <w:tcBorders>
              <w:top w:val="nil"/>
              <w:left w:val="nil"/>
              <w:bottom w:val="nil"/>
              <w:right w:val="nil"/>
            </w:tcBorders>
            <w:shd w:val="clear" w:color="auto" w:fill="auto"/>
            <w:vAlign w:val="bottom"/>
          </w:tcPr>
          <w:p w14:paraId="5FF36509" w14:textId="55A998F1" w:rsidR="00820737" w:rsidRPr="001D41EA" w:rsidRDefault="00820737" w:rsidP="00820737">
            <w:pPr>
              <w:spacing w:before="40" w:after="20"/>
              <w:jc w:val="right"/>
              <w:rPr>
                <w:rFonts w:cs="Arial"/>
                <w:sz w:val="18"/>
                <w:szCs w:val="18"/>
              </w:rPr>
            </w:pPr>
            <w:r w:rsidRPr="001D41EA">
              <w:rPr>
                <w:rFonts w:cs="Arial"/>
                <w:sz w:val="18"/>
                <w:szCs w:val="18"/>
              </w:rPr>
              <w:t>222.9</w:t>
            </w:r>
          </w:p>
        </w:tc>
      </w:tr>
      <w:tr w:rsidR="00820737" w:rsidRPr="001D41EA" w14:paraId="1EB2F76C"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709E9380" w14:textId="77777777" w:rsidR="00820737" w:rsidRPr="001D41EA" w:rsidRDefault="00820737" w:rsidP="00820737">
            <w:pPr>
              <w:spacing w:before="40" w:after="20"/>
              <w:rPr>
                <w:rFonts w:cs="Arial"/>
                <w:sz w:val="18"/>
                <w:szCs w:val="18"/>
              </w:rPr>
            </w:pPr>
            <w:r w:rsidRPr="001D41EA">
              <w:rPr>
                <w:rFonts w:cs="Arial"/>
                <w:sz w:val="18"/>
                <w:szCs w:val="18"/>
              </w:rPr>
              <w:t>South Gippsland S</w:t>
            </w:r>
          </w:p>
        </w:tc>
        <w:tc>
          <w:tcPr>
            <w:tcW w:w="1418" w:type="dxa"/>
            <w:tcBorders>
              <w:top w:val="nil"/>
              <w:left w:val="single" w:sz="18" w:space="0" w:color="5F497A" w:themeColor="accent4" w:themeShade="BF"/>
              <w:bottom w:val="nil"/>
              <w:right w:val="nil"/>
            </w:tcBorders>
            <w:shd w:val="clear" w:color="auto" w:fill="auto"/>
          </w:tcPr>
          <w:p w14:paraId="0E8D8E23" w14:textId="0E4C5AC2" w:rsidR="00820737" w:rsidRPr="001D41EA" w:rsidRDefault="00820737" w:rsidP="00820737">
            <w:pPr>
              <w:spacing w:before="40" w:after="20"/>
              <w:jc w:val="right"/>
              <w:rPr>
                <w:rFonts w:cs="Arial"/>
                <w:sz w:val="18"/>
                <w:szCs w:val="18"/>
              </w:rPr>
            </w:pPr>
            <w:r w:rsidRPr="00820737">
              <w:rPr>
                <w:rFonts w:cs="Arial"/>
                <w:sz w:val="18"/>
                <w:szCs w:val="18"/>
              </w:rPr>
              <w:t>990</w:t>
            </w:r>
          </w:p>
        </w:tc>
        <w:tc>
          <w:tcPr>
            <w:tcW w:w="1418" w:type="dxa"/>
            <w:tcBorders>
              <w:top w:val="nil"/>
              <w:left w:val="nil"/>
              <w:bottom w:val="nil"/>
              <w:right w:val="nil"/>
            </w:tcBorders>
            <w:shd w:val="clear" w:color="auto" w:fill="auto"/>
            <w:vAlign w:val="bottom"/>
          </w:tcPr>
          <w:p w14:paraId="67929946" w14:textId="23459A98" w:rsidR="00820737" w:rsidRPr="001D41EA" w:rsidRDefault="00820737" w:rsidP="00820737">
            <w:pPr>
              <w:spacing w:before="40" w:after="20"/>
              <w:jc w:val="right"/>
              <w:rPr>
                <w:rFonts w:cs="Arial"/>
                <w:sz w:val="18"/>
                <w:szCs w:val="18"/>
              </w:rPr>
            </w:pPr>
            <w:r w:rsidRPr="001D41EA">
              <w:rPr>
                <w:rFonts w:cs="Arial"/>
                <w:sz w:val="18"/>
                <w:szCs w:val="18"/>
              </w:rPr>
              <w:t>1,680,181</w:t>
            </w:r>
          </w:p>
        </w:tc>
        <w:tc>
          <w:tcPr>
            <w:tcW w:w="1418" w:type="dxa"/>
            <w:tcBorders>
              <w:top w:val="nil"/>
              <w:left w:val="nil"/>
              <w:bottom w:val="nil"/>
              <w:right w:val="nil"/>
            </w:tcBorders>
            <w:shd w:val="clear" w:color="auto" w:fill="auto"/>
            <w:vAlign w:val="bottom"/>
          </w:tcPr>
          <w:p w14:paraId="7E0EF3FC" w14:textId="40486FEB" w:rsidR="00820737" w:rsidRPr="001D41EA" w:rsidRDefault="00820737" w:rsidP="00820737">
            <w:pPr>
              <w:spacing w:before="40" w:after="20"/>
              <w:jc w:val="right"/>
              <w:rPr>
                <w:rFonts w:cs="Arial"/>
                <w:sz w:val="18"/>
                <w:szCs w:val="18"/>
              </w:rPr>
            </w:pPr>
            <w:r w:rsidRPr="001D41EA">
              <w:rPr>
                <w:rFonts w:cs="Arial"/>
                <w:sz w:val="18"/>
                <w:szCs w:val="18"/>
              </w:rPr>
              <w:t>56.8</w:t>
            </w:r>
          </w:p>
        </w:tc>
      </w:tr>
      <w:tr w:rsidR="00820737" w:rsidRPr="001D41EA" w14:paraId="63135243"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52CA9ADD" w14:textId="77777777" w:rsidR="00820737" w:rsidRPr="001D41EA" w:rsidRDefault="00820737" w:rsidP="00820737">
            <w:pPr>
              <w:spacing w:before="40" w:after="20"/>
              <w:rPr>
                <w:rFonts w:cs="Arial"/>
                <w:sz w:val="18"/>
                <w:szCs w:val="18"/>
              </w:rPr>
            </w:pPr>
            <w:r w:rsidRPr="001D41EA">
              <w:rPr>
                <w:rFonts w:cs="Arial"/>
                <w:sz w:val="18"/>
                <w:szCs w:val="18"/>
              </w:rPr>
              <w:t>Southern Grampians S</w:t>
            </w:r>
          </w:p>
        </w:tc>
        <w:tc>
          <w:tcPr>
            <w:tcW w:w="1418" w:type="dxa"/>
            <w:tcBorders>
              <w:top w:val="nil"/>
              <w:left w:val="single" w:sz="18" w:space="0" w:color="5F497A" w:themeColor="accent4" w:themeShade="BF"/>
              <w:bottom w:val="nil"/>
              <w:right w:val="nil"/>
            </w:tcBorders>
            <w:shd w:val="clear" w:color="auto" w:fill="auto"/>
          </w:tcPr>
          <w:p w14:paraId="41A3E5B4" w14:textId="6CF4C6CF" w:rsidR="00820737" w:rsidRPr="001D41EA" w:rsidRDefault="00820737" w:rsidP="00820737">
            <w:pPr>
              <w:spacing w:before="40" w:after="20"/>
              <w:jc w:val="right"/>
              <w:rPr>
                <w:rFonts w:cs="Arial"/>
                <w:sz w:val="18"/>
                <w:szCs w:val="18"/>
              </w:rPr>
            </w:pPr>
            <w:r w:rsidRPr="00820737">
              <w:rPr>
                <w:rFonts w:cs="Arial"/>
                <w:sz w:val="18"/>
                <w:szCs w:val="18"/>
              </w:rPr>
              <w:t>992</w:t>
            </w:r>
          </w:p>
        </w:tc>
        <w:tc>
          <w:tcPr>
            <w:tcW w:w="1418" w:type="dxa"/>
            <w:tcBorders>
              <w:top w:val="nil"/>
              <w:left w:val="nil"/>
              <w:bottom w:val="nil"/>
              <w:right w:val="nil"/>
            </w:tcBorders>
            <w:shd w:val="clear" w:color="auto" w:fill="auto"/>
            <w:vAlign w:val="bottom"/>
          </w:tcPr>
          <w:p w14:paraId="47B006ED" w14:textId="5F9317EE" w:rsidR="00820737" w:rsidRPr="001D41EA" w:rsidRDefault="00820737" w:rsidP="00820737">
            <w:pPr>
              <w:spacing w:before="40" w:after="20"/>
              <w:jc w:val="right"/>
              <w:rPr>
                <w:rFonts w:cs="Arial"/>
                <w:sz w:val="18"/>
                <w:szCs w:val="18"/>
              </w:rPr>
            </w:pPr>
            <w:r w:rsidRPr="001D41EA">
              <w:rPr>
                <w:rFonts w:cs="Arial"/>
                <w:sz w:val="18"/>
                <w:szCs w:val="18"/>
              </w:rPr>
              <w:t>548,510</w:t>
            </w:r>
          </w:p>
        </w:tc>
        <w:tc>
          <w:tcPr>
            <w:tcW w:w="1418" w:type="dxa"/>
            <w:tcBorders>
              <w:top w:val="nil"/>
              <w:left w:val="nil"/>
              <w:bottom w:val="nil"/>
              <w:right w:val="nil"/>
            </w:tcBorders>
            <w:shd w:val="clear" w:color="auto" w:fill="auto"/>
            <w:vAlign w:val="bottom"/>
          </w:tcPr>
          <w:p w14:paraId="47069873" w14:textId="2909E3CC" w:rsidR="00820737" w:rsidRPr="001D41EA" w:rsidRDefault="00820737" w:rsidP="00820737">
            <w:pPr>
              <w:spacing w:before="40" w:after="20"/>
              <w:jc w:val="right"/>
              <w:rPr>
                <w:rFonts w:cs="Arial"/>
                <w:sz w:val="18"/>
                <w:szCs w:val="18"/>
              </w:rPr>
            </w:pPr>
            <w:r w:rsidRPr="001D41EA">
              <w:rPr>
                <w:rFonts w:cs="Arial"/>
                <w:sz w:val="18"/>
                <w:szCs w:val="18"/>
              </w:rPr>
              <w:t>34.0</w:t>
            </w:r>
          </w:p>
        </w:tc>
      </w:tr>
      <w:tr w:rsidR="00820737" w:rsidRPr="001D41EA" w14:paraId="19A9765F"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7747B00D" w14:textId="77777777" w:rsidR="00820737" w:rsidRPr="001D41EA" w:rsidRDefault="00820737" w:rsidP="00820737">
            <w:pPr>
              <w:spacing w:before="40" w:after="20"/>
              <w:rPr>
                <w:rFonts w:cs="Arial"/>
                <w:sz w:val="18"/>
                <w:szCs w:val="18"/>
              </w:rPr>
            </w:pPr>
            <w:r w:rsidRPr="001D41EA">
              <w:rPr>
                <w:rFonts w:cs="Arial"/>
                <w:sz w:val="18"/>
                <w:szCs w:val="18"/>
              </w:rPr>
              <w:t>Stonnington C</w:t>
            </w:r>
          </w:p>
        </w:tc>
        <w:tc>
          <w:tcPr>
            <w:tcW w:w="1418" w:type="dxa"/>
            <w:tcBorders>
              <w:top w:val="nil"/>
              <w:left w:val="single" w:sz="18" w:space="0" w:color="5F497A" w:themeColor="accent4" w:themeShade="BF"/>
              <w:bottom w:val="nil"/>
              <w:right w:val="nil"/>
            </w:tcBorders>
            <w:shd w:val="clear" w:color="auto" w:fill="auto"/>
          </w:tcPr>
          <w:p w14:paraId="1439C927" w14:textId="7B2AB6B8" w:rsidR="00820737" w:rsidRPr="001D41EA" w:rsidRDefault="00820737" w:rsidP="00820737">
            <w:pPr>
              <w:spacing w:before="40" w:after="20"/>
              <w:jc w:val="right"/>
              <w:rPr>
                <w:rFonts w:cs="Arial"/>
                <w:sz w:val="18"/>
                <w:szCs w:val="18"/>
              </w:rPr>
            </w:pPr>
            <w:r w:rsidRPr="00820737">
              <w:rPr>
                <w:rFonts w:cs="Arial"/>
                <w:sz w:val="18"/>
                <w:szCs w:val="18"/>
              </w:rPr>
              <w:t>1,087</w:t>
            </w:r>
          </w:p>
        </w:tc>
        <w:tc>
          <w:tcPr>
            <w:tcW w:w="1418" w:type="dxa"/>
            <w:tcBorders>
              <w:top w:val="nil"/>
              <w:left w:val="nil"/>
              <w:bottom w:val="nil"/>
              <w:right w:val="nil"/>
            </w:tcBorders>
            <w:shd w:val="clear" w:color="auto" w:fill="auto"/>
            <w:vAlign w:val="bottom"/>
          </w:tcPr>
          <w:p w14:paraId="07E69C56" w14:textId="4C648AC5" w:rsidR="00820737" w:rsidRPr="001D41EA" w:rsidRDefault="00820737" w:rsidP="00820737">
            <w:pPr>
              <w:spacing w:before="40" w:after="20"/>
              <w:jc w:val="right"/>
              <w:rPr>
                <w:rFonts w:cs="Arial"/>
                <w:sz w:val="18"/>
                <w:szCs w:val="18"/>
              </w:rPr>
            </w:pPr>
            <w:r w:rsidRPr="001D41EA">
              <w:rPr>
                <w:rFonts w:cs="Arial"/>
                <w:sz w:val="18"/>
                <w:szCs w:val="18"/>
              </w:rPr>
              <w:t>3,235,204</w:t>
            </w:r>
          </w:p>
        </w:tc>
        <w:tc>
          <w:tcPr>
            <w:tcW w:w="1418" w:type="dxa"/>
            <w:tcBorders>
              <w:top w:val="nil"/>
              <w:left w:val="nil"/>
              <w:bottom w:val="nil"/>
              <w:right w:val="nil"/>
            </w:tcBorders>
            <w:shd w:val="clear" w:color="auto" w:fill="auto"/>
            <w:vAlign w:val="bottom"/>
          </w:tcPr>
          <w:p w14:paraId="35084770" w14:textId="482C8C58" w:rsidR="00820737" w:rsidRPr="001D41EA" w:rsidRDefault="00820737" w:rsidP="00820737">
            <w:pPr>
              <w:spacing w:before="40" w:after="20"/>
              <w:jc w:val="right"/>
              <w:rPr>
                <w:rFonts w:cs="Arial"/>
                <w:sz w:val="18"/>
                <w:szCs w:val="18"/>
              </w:rPr>
            </w:pPr>
            <w:r w:rsidRPr="001D41EA">
              <w:rPr>
                <w:rFonts w:cs="Arial"/>
                <w:sz w:val="18"/>
                <w:szCs w:val="18"/>
              </w:rPr>
              <w:t>27.8</w:t>
            </w:r>
          </w:p>
        </w:tc>
      </w:tr>
      <w:tr w:rsidR="00820737" w:rsidRPr="001D41EA" w14:paraId="238A55F2"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152ED675" w14:textId="77777777" w:rsidR="00820737" w:rsidRPr="001D41EA" w:rsidRDefault="00820737" w:rsidP="00820737">
            <w:pPr>
              <w:spacing w:before="40" w:after="20"/>
              <w:rPr>
                <w:rFonts w:cs="Arial"/>
                <w:sz w:val="18"/>
                <w:szCs w:val="18"/>
              </w:rPr>
            </w:pPr>
            <w:r w:rsidRPr="001D41EA">
              <w:rPr>
                <w:rFonts w:cs="Arial"/>
                <w:sz w:val="18"/>
                <w:szCs w:val="18"/>
              </w:rPr>
              <w:t>Strathbogie S</w:t>
            </w:r>
          </w:p>
        </w:tc>
        <w:tc>
          <w:tcPr>
            <w:tcW w:w="1418" w:type="dxa"/>
            <w:tcBorders>
              <w:top w:val="nil"/>
              <w:left w:val="single" w:sz="18" w:space="0" w:color="5F497A" w:themeColor="accent4" w:themeShade="BF"/>
              <w:bottom w:val="nil"/>
              <w:right w:val="nil"/>
            </w:tcBorders>
            <w:shd w:val="clear" w:color="auto" w:fill="auto"/>
          </w:tcPr>
          <w:p w14:paraId="40E605F8" w14:textId="049C15A9" w:rsidR="00820737" w:rsidRPr="001D41EA" w:rsidRDefault="00820737" w:rsidP="00820737">
            <w:pPr>
              <w:spacing w:before="40" w:after="20"/>
              <w:jc w:val="right"/>
              <w:rPr>
                <w:rFonts w:cs="Arial"/>
                <w:sz w:val="18"/>
                <w:szCs w:val="18"/>
              </w:rPr>
            </w:pPr>
            <w:r w:rsidRPr="00820737">
              <w:rPr>
                <w:rFonts w:cs="Arial"/>
                <w:sz w:val="18"/>
                <w:szCs w:val="18"/>
              </w:rPr>
              <w:t>974</w:t>
            </w:r>
          </w:p>
        </w:tc>
        <w:tc>
          <w:tcPr>
            <w:tcW w:w="1418" w:type="dxa"/>
            <w:tcBorders>
              <w:top w:val="nil"/>
              <w:left w:val="nil"/>
              <w:bottom w:val="nil"/>
              <w:right w:val="nil"/>
            </w:tcBorders>
            <w:shd w:val="clear" w:color="auto" w:fill="auto"/>
            <w:vAlign w:val="bottom"/>
          </w:tcPr>
          <w:p w14:paraId="537FCF2A" w14:textId="55105391" w:rsidR="00820737" w:rsidRPr="001D41EA" w:rsidRDefault="00820737" w:rsidP="00820737">
            <w:pPr>
              <w:spacing w:before="40" w:after="20"/>
              <w:jc w:val="right"/>
              <w:rPr>
                <w:rFonts w:cs="Arial"/>
                <w:sz w:val="18"/>
                <w:szCs w:val="18"/>
              </w:rPr>
            </w:pPr>
            <w:r w:rsidRPr="001D41EA">
              <w:rPr>
                <w:rFonts w:cs="Arial"/>
                <w:sz w:val="18"/>
                <w:szCs w:val="18"/>
              </w:rPr>
              <w:t>431,250</w:t>
            </w:r>
          </w:p>
        </w:tc>
        <w:tc>
          <w:tcPr>
            <w:tcW w:w="1418" w:type="dxa"/>
            <w:tcBorders>
              <w:top w:val="nil"/>
              <w:left w:val="nil"/>
              <w:bottom w:val="nil"/>
              <w:right w:val="nil"/>
            </w:tcBorders>
            <w:shd w:val="clear" w:color="auto" w:fill="auto"/>
            <w:vAlign w:val="bottom"/>
          </w:tcPr>
          <w:p w14:paraId="693B5074" w14:textId="6E62C04F" w:rsidR="00820737" w:rsidRPr="001D41EA" w:rsidRDefault="00820737" w:rsidP="00820737">
            <w:pPr>
              <w:spacing w:before="40" w:after="20"/>
              <w:jc w:val="right"/>
              <w:rPr>
                <w:rFonts w:cs="Arial"/>
                <w:sz w:val="18"/>
                <w:szCs w:val="18"/>
              </w:rPr>
            </w:pPr>
            <w:r w:rsidRPr="001D41EA">
              <w:rPr>
                <w:rFonts w:cs="Arial"/>
                <w:sz w:val="18"/>
                <w:szCs w:val="18"/>
              </w:rPr>
              <w:t>40.5</w:t>
            </w:r>
          </w:p>
        </w:tc>
      </w:tr>
      <w:tr w:rsidR="00820737" w:rsidRPr="001D41EA" w14:paraId="50EB62EE"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0D0FFCA9" w14:textId="77777777" w:rsidR="00820737" w:rsidRPr="001D41EA" w:rsidRDefault="00820737" w:rsidP="00820737">
            <w:pPr>
              <w:spacing w:before="40" w:after="20"/>
              <w:rPr>
                <w:rFonts w:cs="Arial"/>
                <w:sz w:val="18"/>
                <w:szCs w:val="18"/>
              </w:rPr>
            </w:pPr>
            <w:r w:rsidRPr="001D41EA">
              <w:rPr>
                <w:rFonts w:cs="Arial"/>
                <w:sz w:val="18"/>
                <w:szCs w:val="18"/>
              </w:rPr>
              <w:t>Surf Coast S</w:t>
            </w:r>
          </w:p>
        </w:tc>
        <w:tc>
          <w:tcPr>
            <w:tcW w:w="1418" w:type="dxa"/>
            <w:tcBorders>
              <w:top w:val="nil"/>
              <w:left w:val="single" w:sz="18" w:space="0" w:color="5F497A" w:themeColor="accent4" w:themeShade="BF"/>
              <w:bottom w:val="nil"/>
              <w:right w:val="nil"/>
            </w:tcBorders>
            <w:shd w:val="clear" w:color="auto" w:fill="auto"/>
          </w:tcPr>
          <w:p w14:paraId="395C8768" w14:textId="223D8432" w:rsidR="00820737" w:rsidRPr="001D41EA" w:rsidRDefault="00820737" w:rsidP="00820737">
            <w:pPr>
              <w:spacing w:before="40" w:after="20"/>
              <w:jc w:val="right"/>
              <w:rPr>
                <w:rFonts w:cs="Arial"/>
                <w:sz w:val="18"/>
                <w:szCs w:val="18"/>
              </w:rPr>
            </w:pPr>
            <w:r w:rsidRPr="00820737">
              <w:rPr>
                <w:rFonts w:cs="Arial"/>
                <w:sz w:val="18"/>
                <w:szCs w:val="18"/>
              </w:rPr>
              <w:t>1,077</w:t>
            </w:r>
          </w:p>
        </w:tc>
        <w:tc>
          <w:tcPr>
            <w:tcW w:w="1418" w:type="dxa"/>
            <w:tcBorders>
              <w:top w:val="nil"/>
              <w:left w:val="nil"/>
              <w:bottom w:val="nil"/>
              <w:right w:val="nil"/>
            </w:tcBorders>
            <w:shd w:val="clear" w:color="auto" w:fill="auto"/>
            <w:vAlign w:val="bottom"/>
          </w:tcPr>
          <w:p w14:paraId="2DC37A79" w14:textId="72E0B4AA" w:rsidR="00820737" w:rsidRPr="001D41EA" w:rsidRDefault="00820737" w:rsidP="00820737">
            <w:pPr>
              <w:spacing w:before="40" w:after="20"/>
              <w:jc w:val="right"/>
              <w:rPr>
                <w:rFonts w:cs="Arial"/>
                <w:sz w:val="18"/>
                <w:szCs w:val="18"/>
              </w:rPr>
            </w:pPr>
            <w:r w:rsidRPr="001D41EA">
              <w:rPr>
                <w:rFonts w:cs="Arial"/>
                <w:sz w:val="18"/>
                <w:szCs w:val="18"/>
              </w:rPr>
              <w:t>3,690,880</w:t>
            </w:r>
          </w:p>
        </w:tc>
        <w:tc>
          <w:tcPr>
            <w:tcW w:w="1418" w:type="dxa"/>
            <w:tcBorders>
              <w:top w:val="nil"/>
              <w:left w:val="nil"/>
              <w:bottom w:val="nil"/>
              <w:right w:val="nil"/>
            </w:tcBorders>
            <w:shd w:val="clear" w:color="auto" w:fill="auto"/>
            <w:vAlign w:val="bottom"/>
          </w:tcPr>
          <w:p w14:paraId="3F3E37B1" w14:textId="317FD1E6" w:rsidR="00820737" w:rsidRPr="001D41EA" w:rsidRDefault="00820737" w:rsidP="00820737">
            <w:pPr>
              <w:spacing w:before="40" w:after="20"/>
              <w:jc w:val="right"/>
              <w:rPr>
                <w:rFonts w:cs="Arial"/>
                <w:sz w:val="18"/>
                <w:szCs w:val="18"/>
              </w:rPr>
            </w:pPr>
            <w:r w:rsidRPr="001D41EA">
              <w:rPr>
                <w:rFonts w:cs="Arial"/>
                <w:sz w:val="18"/>
                <w:szCs w:val="18"/>
              </w:rPr>
              <w:t>114.4</w:t>
            </w:r>
          </w:p>
        </w:tc>
      </w:tr>
      <w:tr w:rsidR="00820737" w:rsidRPr="001D41EA" w14:paraId="0C775D7F"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713F384C" w14:textId="77777777" w:rsidR="00820737" w:rsidRPr="001D41EA" w:rsidRDefault="00820737" w:rsidP="00820737">
            <w:pPr>
              <w:spacing w:before="40" w:after="20"/>
              <w:rPr>
                <w:rFonts w:cs="Arial"/>
                <w:sz w:val="18"/>
                <w:szCs w:val="18"/>
              </w:rPr>
            </w:pPr>
            <w:r w:rsidRPr="001D41EA">
              <w:rPr>
                <w:rFonts w:cs="Arial"/>
                <w:sz w:val="18"/>
                <w:szCs w:val="18"/>
              </w:rPr>
              <w:t>Swan Hill RC</w:t>
            </w:r>
          </w:p>
        </w:tc>
        <w:tc>
          <w:tcPr>
            <w:tcW w:w="1418" w:type="dxa"/>
            <w:tcBorders>
              <w:top w:val="nil"/>
              <w:left w:val="single" w:sz="18" w:space="0" w:color="5F497A" w:themeColor="accent4" w:themeShade="BF"/>
              <w:bottom w:val="nil"/>
              <w:right w:val="nil"/>
            </w:tcBorders>
            <w:shd w:val="clear" w:color="auto" w:fill="auto"/>
          </w:tcPr>
          <w:p w14:paraId="215FB4C5" w14:textId="3A06104D" w:rsidR="00820737" w:rsidRPr="001D41EA" w:rsidRDefault="00820737" w:rsidP="00820737">
            <w:pPr>
              <w:spacing w:before="40" w:after="20"/>
              <w:jc w:val="right"/>
              <w:rPr>
                <w:rFonts w:cs="Arial"/>
                <w:sz w:val="18"/>
                <w:szCs w:val="18"/>
              </w:rPr>
            </w:pPr>
            <w:r w:rsidRPr="00820737">
              <w:rPr>
                <w:rFonts w:cs="Arial"/>
                <w:sz w:val="18"/>
                <w:szCs w:val="18"/>
              </w:rPr>
              <w:t>947</w:t>
            </w:r>
          </w:p>
        </w:tc>
        <w:tc>
          <w:tcPr>
            <w:tcW w:w="1418" w:type="dxa"/>
            <w:tcBorders>
              <w:top w:val="nil"/>
              <w:left w:val="nil"/>
              <w:bottom w:val="nil"/>
              <w:right w:val="nil"/>
            </w:tcBorders>
            <w:shd w:val="clear" w:color="auto" w:fill="auto"/>
            <w:vAlign w:val="bottom"/>
          </w:tcPr>
          <w:p w14:paraId="6FA6B877" w14:textId="285F985E" w:rsidR="00820737" w:rsidRPr="001D41EA" w:rsidRDefault="00820737" w:rsidP="00820737">
            <w:pPr>
              <w:spacing w:before="40" w:after="20"/>
              <w:jc w:val="right"/>
              <w:rPr>
                <w:rFonts w:cs="Arial"/>
                <w:sz w:val="18"/>
                <w:szCs w:val="18"/>
              </w:rPr>
            </w:pPr>
            <w:r w:rsidRPr="001D41EA">
              <w:rPr>
                <w:rFonts w:cs="Arial"/>
                <w:sz w:val="18"/>
                <w:szCs w:val="18"/>
              </w:rPr>
              <w:t>1,013,067</w:t>
            </w:r>
          </w:p>
        </w:tc>
        <w:tc>
          <w:tcPr>
            <w:tcW w:w="1418" w:type="dxa"/>
            <w:tcBorders>
              <w:top w:val="nil"/>
              <w:left w:val="nil"/>
              <w:bottom w:val="nil"/>
              <w:right w:val="nil"/>
            </w:tcBorders>
            <w:shd w:val="clear" w:color="auto" w:fill="auto"/>
            <w:vAlign w:val="bottom"/>
          </w:tcPr>
          <w:p w14:paraId="69FF9155" w14:textId="7665248A" w:rsidR="00820737" w:rsidRPr="001D41EA" w:rsidRDefault="00820737" w:rsidP="00820737">
            <w:pPr>
              <w:spacing w:before="40" w:after="20"/>
              <w:jc w:val="right"/>
              <w:rPr>
                <w:rFonts w:cs="Arial"/>
                <w:sz w:val="18"/>
                <w:szCs w:val="18"/>
              </w:rPr>
            </w:pPr>
            <w:r w:rsidRPr="001D41EA">
              <w:rPr>
                <w:rFonts w:cs="Arial"/>
                <w:sz w:val="18"/>
                <w:szCs w:val="18"/>
              </w:rPr>
              <w:t>48.8</w:t>
            </w:r>
          </w:p>
        </w:tc>
      </w:tr>
      <w:tr w:rsidR="00820737" w:rsidRPr="001D41EA" w14:paraId="05FAAE2B"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5A4A8F07" w14:textId="77777777" w:rsidR="00820737" w:rsidRPr="001D41EA" w:rsidRDefault="00820737" w:rsidP="00820737">
            <w:pPr>
              <w:spacing w:before="40" w:after="20"/>
              <w:rPr>
                <w:rFonts w:cs="Arial"/>
                <w:sz w:val="18"/>
                <w:szCs w:val="18"/>
              </w:rPr>
            </w:pPr>
            <w:r w:rsidRPr="001D41EA">
              <w:rPr>
                <w:rFonts w:cs="Arial"/>
                <w:sz w:val="18"/>
                <w:szCs w:val="18"/>
              </w:rPr>
              <w:t>Towong S</w:t>
            </w:r>
          </w:p>
        </w:tc>
        <w:tc>
          <w:tcPr>
            <w:tcW w:w="1418" w:type="dxa"/>
            <w:tcBorders>
              <w:top w:val="nil"/>
              <w:left w:val="single" w:sz="18" w:space="0" w:color="5F497A" w:themeColor="accent4" w:themeShade="BF"/>
              <w:bottom w:val="nil"/>
              <w:right w:val="nil"/>
            </w:tcBorders>
            <w:shd w:val="clear" w:color="auto" w:fill="auto"/>
          </w:tcPr>
          <w:p w14:paraId="795DDABA" w14:textId="0A918122" w:rsidR="00820737" w:rsidRPr="001D41EA" w:rsidRDefault="00820737" w:rsidP="00820737">
            <w:pPr>
              <w:spacing w:before="40" w:after="20"/>
              <w:jc w:val="right"/>
              <w:rPr>
                <w:rFonts w:cs="Arial"/>
                <w:sz w:val="18"/>
                <w:szCs w:val="18"/>
              </w:rPr>
            </w:pPr>
            <w:r w:rsidRPr="00820737">
              <w:rPr>
                <w:rFonts w:cs="Arial"/>
                <w:sz w:val="18"/>
                <w:szCs w:val="18"/>
              </w:rPr>
              <w:t>992</w:t>
            </w:r>
          </w:p>
        </w:tc>
        <w:tc>
          <w:tcPr>
            <w:tcW w:w="1418" w:type="dxa"/>
            <w:tcBorders>
              <w:top w:val="nil"/>
              <w:left w:val="nil"/>
              <w:bottom w:val="nil"/>
              <w:right w:val="nil"/>
            </w:tcBorders>
            <w:shd w:val="clear" w:color="auto" w:fill="auto"/>
            <w:vAlign w:val="bottom"/>
          </w:tcPr>
          <w:p w14:paraId="209D13F3" w14:textId="6FE2B48C" w:rsidR="00820737" w:rsidRPr="001D41EA" w:rsidRDefault="00820737" w:rsidP="00820737">
            <w:pPr>
              <w:spacing w:before="40" w:after="20"/>
              <w:jc w:val="right"/>
              <w:rPr>
                <w:rFonts w:cs="Arial"/>
                <w:sz w:val="18"/>
                <w:szCs w:val="18"/>
              </w:rPr>
            </w:pPr>
            <w:r w:rsidRPr="001D41EA">
              <w:rPr>
                <w:rFonts w:cs="Arial"/>
                <w:sz w:val="18"/>
                <w:szCs w:val="18"/>
              </w:rPr>
              <w:t>290,500</w:t>
            </w:r>
          </w:p>
        </w:tc>
        <w:tc>
          <w:tcPr>
            <w:tcW w:w="1418" w:type="dxa"/>
            <w:tcBorders>
              <w:top w:val="nil"/>
              <w:left w:val="nil"/>
              <w:bottom w:val="nil"/>
              <w:right w:val="nil"/>
            </w:tcBorders>
            <w:shd w:val="clear" w:color="auto" w:fill="auto"/>
            <w:vAlign w:val="bottom"/>
          </w:tcPr>
          <w:p w14:paraId="451306DA" w14:textId="67354236" w:rsidR="00820737" w:rsidRPr="001D41EA" w:rsidRDefault="00820737" w:rsidP="00820737">
            <w:pPr>
              <w:spacing w:before="40" w:after="20"/>
              <w:jc w:val="right"/>
              <w:rPr>
                <w:rFonts w:cs="Arial"/>
                <w:sz w:val="18"/>
                <w:szCs w:val="18"/>
              </w:rPr>
            </w:pPr>
            <w:r w:rsidRPr="001D41EA">
              <w:rPr>
                <w:rFonts w:cs="Arial"/>
                <w:sz w:val="18"/>
                <w:szCs w:val="18"/>
              </w:rPr>
              <w:t>48.0</w:t>
            </w:r>
          </w:p>
        </w:tc>
      </w:tr>
      <w:tr w:rsidR="00820737" w:rsidRPr="001D41EA" w14:paraId="19155392"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7CF85A58" w14:textId="77777777" w:rsidR="00820737" w:rsidRPr="001D41EA" w:rsidRDefault="00820737" w:rsidP="00820737">
            <w:pPr>
              <w:spacing w:before="40" w:after="20"/>
              <w:rPr>
                <w:rFonts w:cs="Arial"/>
                <w:sz w:val="18"/>
                <w:szCs w:val="18"/>
              </w:rPr>
            </w:pPr>
            <w:r w:rsidRPr="001D41EA">
              <w:rPr>
                <w:rFonts w:cs="Arial"/>
                <w:sz w:val="18"/>
                <w:szCs w:val="18"/>
              </w:rPr>
              <w:t>Wangaratta RC</w:t>
            </w:r>
          </w:p>
        </w:tc>
        <w:tc>
          <w:tcPr>
            <w:tcW w:w="1418" w:type="dxa"/>
            <w:tcBorders>
              <w:top w:val="nil"/>
              <w:left w:val="single" w:sz="18" w:space="0" w:color="5F497A" w:themeColor="accent4" w:themeShade="BF"/>
              <w:bottom w:val="nil"/>
              <w:right w:val="nil"/>
            </w:tcBorders>
            <w:shd w:val="clear" w:color="auto" w:fill="auto"/>
          </w:tcPr>
          <w:p w14:paraId="5EAEE10C" w14:textId="0E9C4388" w:rsidR="00820737" w:rsidRPr="001D41EA" w:rsidRDefault="00820737" w:rsidP="00820737">
            <w:pPr>
              <w:spacing w:before="40" w:after="20"/>
              <w:jc w:val="right"/>
              <w:rPr>
                <w:rFonts w:cs="Arial"/>
                <w:sz w:val="18"/>
                <w:szCs w:val="18"/>
              </w:rPr>
            </w:pPr>
            <w:r w:rsidRPr="00820737">
              <w:rPr>
                <w:rFonts w:cs="Arial"/>
                <w:sz w:val="18"/>
                <w:szCs w:val="18"/>
              </w:rPr>
              <w:t>983</w:t>
            </w:r>
          </w:p>
        </w:tc>
        <w:tc>
          <w:tcPr>
            <w:tcW w:w="1418" w:type="dxa"/>
            <w:tcBorders>
              <w:top w:val="nil"/>
              <w:left w:val="nil"/>
              <w:bottom w:val="nil"/>
              <w:right w:val="nil"/>
            </w:tcBorders>
            <w:shd w:val="clear" w:color="auto" w:fill="auto"/>
            <w:vAlign w:val="bottom"/>
          </w:tcPr>
          <w:p w14:paraId="75FC6598" w14:textId="2AFB8046" w:rsidR="00820737" w:rsidRPr="001D41EA" w:rsidRDefault="00820737" w:rsidP="00820737">
            <w:pPr>
              <w:spacing w:before="40" w:after="20"/>
              <w:jc w:val="right"/>
              <w:rPr>
                <w:rFonts w:cs="Arial"/>
                <w:sz w:val="18"/>
                <w:szCs w:val="18"/>
              </w:rPr>
            </w:pPr>
            <w:r w:rsidRPr="001D41EA">
              <w:rPr>
                <w:rFonts w:cs="Arial"/>
                <w:sz w:val="18"/>
                <w:szCs w:val="18"/>
              </w:rPr>
              <w:t>1,195,222</w:t>
            </w:r>
          </w:p>
        </w:tc>
        <w:tc>
          <w:tcPr>
            <w:tcW w:w="1418" w:type="dxa"/>
            <w:tcBorders>
              <w:top w:val="nil"/>
              <w:left w:val="nil"/>
              <w:bottom w:val="nil"/>
              <w:right w:val="nil"/>
            </w:tcBorders>
            <w:shd w:val="clear" w:color="auto" w:fill="auto"/>
            <w:vAlign w:val="bottom"/>
          </w:tcPr>
          <w:p w14:paraId="6ED2690F" w14:textId="0D74CCA2" w:rsidR="00820737" w:rsidRPr="001D41EA" w:rsidRDefault="00820737" w:rsidP="00820737">
            <w:pPr>
              <w:spacing w:before="40" w:after="20"/>
              <w:jc w:val="right"/>
              <w:rPr>
                <w:rFonts w:cs="Arial"/>
                <w:sz w:val="18"/>
                <w:szCs w:val="18"/>
              </w:rPr>
            </w:pPr>
            <w:r w:rsidRPr="001D41EA">
              <w:rPr>
                <w:rFonts w:cs="Arial"/>
                <w:sz w:val="18"/>
                <w:szCs w:val="18"/>
              </w:rPr>
              <w:t>41.1</w:t>
            </w:r>
          </w:p>
        </w:tc>
      </w:tr>
      <w:tr w:rsidR="00820737" w:rsidRPr="001D41EA" w14:paraId="2826E82F"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6233C9E6" w14:textId="77777777" w:rsidR="00820737" w:rsidRPr="001D41EA" w:rsidRDefault="00820737" w:rsidP="00820737">
            <w:pPr>
              <w:spacing w:before="40" w:after="20"/>
              <w:rPr>
                <w:rFonts w:cs="Arial"/>
                <w:sz w:val="18"/>
                <w:szCs w:val="18"/>
              </w:rPr>
            </w:pPr>
            <w:r w:rsidRPr="001D41EA">
              <w:rPr>
                <w:rFonts w:cs="Arial"/>
                <w:sz w:val="18"/>
                <w:szCs w:val="18"/>
              </w:rPr>
              <w:t>Warrnambool C</w:t>
            </w:r>
          </w:p>
        </w:tc>
        <w:tc>
          <w:tcPr>
            <w:tcW w:w="1418" w:type="dxa"/>
            <w:tcBorders>
              <w:top w:val="nil"/>
              <w:left w:val="single" w:sz="18" w:space="0" w:color="5F497A" w:themeColor="accent4" w:themeShade="BF"/>
              <w:bottom w:val="nil"/>
              <w:right w:val="nil"/>
            </w:tcBorders>
            <w:shd w:val="clear" w:color="auto" w:fill="auto"/>
          </w:tcPr>
          <w:p w14:paraId="77D56FCB" w14:textId="34CAF253" w:rsidR="00820737" w:rsidRPr="001D41EA" w:rsidRDefault="00820737" w:rsidP="00820737">
            <w:pPr>
              <w:spacing w:before="40" w:after="20"/>
              <w:jc w:val="right"/>
              <w:rPr>
                <w:rFonts w:cs="Arial"/>
                <w:sz w:val="18"/>
                <w:szCs w:val="18"/>
              </w:rPr>
            </w:pPr>
            <w:r w:rsidRPr="00820737">
              <w:rPr>
                <w:rFonts w:cs="Arial"/>
                <w:sz w:val="18"/>
                <w:szCs w:val="18"/>
              </w:rPr>
              <w:t>986</w:t>
            </w:r>
          </w:p>
        </w:tc>
        <w:tc>
          <w:tcPr>
            <w:tcW w:w="1418" w:type="dxa"/>
            <w:tcBorders>
              <w:top w:val="nil"/>
              <w:left w:val="nil"/>
              <w:bottom w:val="nil"/>
              <w:right w:val="nil"/>
            </w:tcBorders>
            <w:shd w:val="clear" w:color="auto" w:fill="auto"/>
            <w:vAlign w:val="bottom"/>
          </w:tcPr>
          <w:p w14:paraId="522EA685" w14:textId="75A502B9" w:rsidR="00820737" w:rsidRPr="001D41EA" w:rsidRDefault="00820737" w:rsidP="00820737">
            <w:pPr>
              <w:spacing w:before="40" w:after="20"/>
              <w:jc w:val="right"/>
              <w:rPr>
                <w:rFonts w:cs="Arial"/>
                <w:sz w:val="18"/>
                <w:szCs w:val="18"/>
              </w:rPr>
            </w:pPr>
            <w:r w:rsidRPr="001D41EA">
              <w:rPr>
                <w:rFonts w:cs="Arial"/>
                <w:sz w:val="18"/>
                <w:szCs w:val="18"/>
              </w:rPr>
              <w:t>1,835,029</w:t>
            </w:r>
          </w:p>
        </w:tc>
        <w:tc>
          <w:tcPr>
            <w:tcW w:w="1418" w:type="dxa"/>
            <w:tcBorders>
              <w:top w:val="nil"/>
              <w:left w:val="nil"/>
              <w:bottom w:val="nil"/>
              <w:right w:val="nil"/>
            </w:tcBorders>
            <w:shd w:val="clear" w:color="auto" w:fill="auto"/>
            <w:vAlign w:val="bottom"/>
          </w:tcPr>
          <w:p w14:paraId="62B72C2F" w14:textId="56665968" w:rsidR="00820737" w:rsidRPr="001D41EA" w:rsidRDefault="00820737" w:rsidP="00820737">
            <w:pPr>
              <w:spacing w:before="40" w:after="20"/>
              <w:jc w:val="right"/>
              <w:rPr>
                <w:rFonts w:cs="Arial"/>
                <w:sz w:val="18"/>
                <w:szCs w:val="18"/>
              </w:rPr>
            </w:pPr>
            <w:r w:rsidRPr="001D41EA">
              <w:rPr>
                <w:rFonts w:cs="Arial"/>
                <w:sz w:val="18"/>
                <w:szCs w:val="18"/>
              </w:rPr>
              <w:t>52.6</w:t>
            </w:r>
          </w:p>
        </w:tc>
      </w:tr>
      <w:tr w:rsidR="00820737" w:rsidRPr="001D41EA" w14:paraId="2ADE3358"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77A61622" w14:textId="77777777" w:rsidR="00820737" w:rsidRPr="001D41EA" w:rsidRDefault="00820737" w:rsidP="00820737">
            <w:pPr>
              <w:spacing w:before="40" w:after="20"/>
              <w:rPr>
                <w:rFonts w:cs="Arial"/>
                <w:sz w:val="18"/>
                <w:szCs w:val="18"/>
              </w:rPr>
            </w:pPr>
            <w:r w:rsidRPr="001D41EA">
              <w:rPr>
                <w:rFonts w:cs="Arial"/>
                <w:sz w:val="18"/>
                <w:szCs w:val="18"/>
              </w:rPr>
              <w:t>Wellington S</w:t>
            </w:r>
          </w:p>
        </w:tc>
        <w:tc>
          <w:tcPr>
            <w:tcW w:w="1418" w:type="dxa"/>
            <w:tcBorders>
              <w:top w:val="nil"/>
              <w:left w:val="single" w:sz="18" w:space="0" w:color="5F497A" w:themeColor="accent4" w:themeShade="BF"/>
              <w:bottom w:val="nil"/>
              <w:right w:val="nil"/>
            </w:tcBorders>
            <w:shd w:val="clear" w:color="auto" w:fill="auto"/>
          </w:tcPr>
          <w:p w14:paraId="39AC05FF" w14:textId="0685D3A0" w:rsidR="00820737" w:rsidRPr="001D41EA" w:rsidRDefault="00820737" w:rsidP="00820737">
            <w:pPr>
              <w:spacing w:before="40" w:after="20"/>
              <w:jc w:val="right"/>
              <w:rPr>
                <w:rFonts w:cs="Arial"/>
                <w:sz w:val="18"/>
                <w:szCs w:val="18"/>
              </w:rPr>
            </w:pPr>
            <w:r w:rsidRPr="00820737">
              <w:rPr>
                <w:rFonts w:cs="Arial"/>
                <w:sz w:val="18"/>
                <w:szCs w:val="18"/>
              </w:rPr>
              <w:t>974</w:t>
            </w:r>
          </w:p>
        </w:tc>
        <w:tc>
          <w:tcPr>
            <w:tcW w:w="1418" w:type="dxa"/>
            <w:tcBorders>
              <w:top w:val="nil"/>
              <w:left w:val="nil"/>
              <w:bottom w:val="nil"/>
              <w:right w:val="nil"/>
            </w:tcBorders>
            <w:shd w:val="clear" w:color="auto" w:fill="auto"/>
            <w:vAlign w:val="bottom"/>
          </w:tcPr>
          <w:p w14:paraId="176ED3FE" w14:textId="7E5F2740" w:rsidR="00820737" w:rsidRPr="001D41EA" w:rsidRDefault="00820737" w:rsidP="00820737">
            <w:pPr>
              <w:spacing w:before="40" w:after="20"/>
              <w:jc w:val="right"/>
              <w:rPr>
                <w:rFonts w:cs="Arial"/>
                <w:sz w:val="18"/>
                <w:szCs w:val="18"/>
              </w:rPr>
            </w:pPr>
            <w:r w:rsidRPr="001D41EA">
              <w:rPr>
                <w:rFonts w:cs="Arial"/>
                <w:sz w:val="18"/>
                <w:szCs w:val="18"/>
              </w:rPr>
              <w:t>1,704,590</w:t>
            </w:r>
          </w:p>
        </w:tc>
        <w:tc>
          <w:tcPr>
            <w:tcW w:w="1418" w:type="dxa"/>
            <w:tcBorders>
              <w:top w:val="nil"/>
              <w:left w:val="nil"/>
              <w:bottom w:val="nil"/>
              <w:right w:val="nil"/>
            </w:tcBorders>
            <w:shd w:val="clear" w:color="auto" w:fill="auto"/>
            <w:vAlign w:val="bottom"/>
          </w:tcPr>
          <w:p w14:paraId="11C76E46" w14:textId="2371CE4B" w:rsidR="00820737" w:rsidRPr="001D41EA" w:rsidRDefault="00820737" w:rsidP="00820737">
            <w:pPr>
              <w:spacing w:before="40" w:after="20"/>
              <w:jc w:val="right"/>
              <w:rPr>
                <w:rFonts w:cs="Arial"/>
                <w:sz w:val="18"/>
                <w:szCs w:val="18"/>
              </w:rPr>
            </w:pPr>
            <w:r w:rsidRPr="001D41EA">
              <w:rPr>
                <w:rFonts w:cs="Arial"/>
                <w:sz w:val="18"/>
                <w:szCs w:val="18"/>
              </w:rPr>
              <w:t>38.7</w:t>
            </w:r>
          </w:p>
        </w:tc>
      </w:tr>
      <w:tr w:rsidR="00820737" w:rsidRPr="001D41EA" w14:paraId="7D97BC40"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29648E7D" w14:textId="77777777" w:rsidR="00820737" w:rsidRPr="001D41EA" w:rsidRDefault="00820737" w:rsidP="00820737">
            <w:pPr>
              <w:spacing w:before="40" w:after="20"/>
              <w:rPr>
                <w:rFonts w:cs="Arial"/>
                <w:sz w:val="18"/>
                <w:szCs w:val="18"/>
              </w:rPr>
            </w:pPr>
            <w:r w:rsidRPr="001D41EA">
              <w:rPr>
                <w:rFonts w:cs="Arial"/>
                <w:sz w:val="18"/>
                <w:szCs w:val="18"/>
              </w:rPr>
              <w:t>West Wimmera S</w:t>
            </w:r>
          </w:p>
        </w:tc>
        <w:tc>
          <w:tcPr>
            <w:tcW w:w="1418" w:type="dxa"/>
            <w:tcBorders>
              <w:top w:val="nil"/>
              <w:left w:val="single" w:sz="18" w:space="0" w:color="5F497A" w:themeColor="accent4" w:themeShade="BF"/>
              <w:bottom w:val="nil"/>
              <w:right w:val="nil"/>
            </w:tcBorders>
            <w:shd w:val="clear" w:color="auto" w:fill="auto"/>
          </w:tcPr>
          <w:p w14:paraId="11BB0AE2" w14:textId="44824CA6" w:rsidR="00820737" w:rsidRPr="001D41EA" w:rsidRDefault="00820737" w:rsidP="00820737">
            <w:pPr>
              <w:spacing w:before="40" w:after="20"/>
              <w:jc w:val="right"/>
              <w:rPr>
                <w:rFonts w:cs="Arial"/>
                <w:sz w:val="18"/>
                <w:szCs w:val="18"/>
              </w:rPr>
            </w:pPr>
            <w:r w:rsidRPr="00820737">
              <w:rPr>
                <w:rFonts w:cs="Arial"/>
                <w:sz w:val="18"/>
                <w:szCs w:val="18"/>
              </w:rPr>
              <w:t>985</w:t>
            </w:r>
          </w:p>
        </w:tc>
        <w:tc>
          <w:tcPr>
            <w:tcW w:w="1418" w:type="dxa"/>
            <w:tcBorders>
              <w:top w:val="nil"/>
              <w:left w:val="nil"/>
              <w:bottom w:val="nil"/>
              <w:right w:val="nil"/>
            </w:tcBorders>
            <w:shd w:val="clear" w:color="auto" w:fill="auto"/>
            <w:vAlign w:val="bottom"/>
          </w:tcPr>
          <w:p w14:paraId="4F9D3FCA" w14:textId="0EBA188D" w:rsidR="00820737" w:rsidRPr="001D41EA" w:rsidRDefault="00820737" w:rsidP="00820737">
            <w:pPr>
              <w:spacing w:before="40" w:after="20"/>
              <w:jc w:val="right"/>
              <w:rPr>
                <w:rFonts w:cs="Arial"/>
                <w:sz w:val="18"/>
                <w:szCs w:val="18"/>
              </w:rPr>
            </w:pPr>
            <w:r w:rsidRPr="001D41EA">
              <w:rPr>
                <w:rFonts w:cs="Arial"/>
                <w:sz w:val="18"/>
                <w:szCs w:val="18"/>
              </w:rPr>
              <w:t>140,000</w:t>
            </w:r>
          </w:p>
        </w:tc>
        <w:tc>
          <w:tcPr>
            <w:tcW w:w="1418" w:type="dxa"/>
            <w:tcBorders>
              <w:top w:val="nil"/>
              <w:left w:val="nil"/>
              <w:bottom w:val="nil"/>
              <w:right w:val="nil"/>
            </w:tcBorders>
            <w:shd w:val="clear" w:color="auto" w:fill="auto"/>
            <w:vAlign w:val="bottom"/>
          </w:tcPr>
          <w:p w14:paraId="5EA5115B" w14:textId="144C91CC" w:rsidR="00820737" w:rsidRPr="001D41EA" w:rsidRDefault="00820737" w:rsidP="00820737">
            <w:pPr>
              <w:spacing w:before="40" w:after="20"/>
              <w:jc w:val="right"/>
              <w:rPr>
                <w:rFonts w:cs="Arial"/>
                <w:sz w:val="18"/>
                <w:szCs w:val="18"/>
              </w:rPr>
            </w:pPr>
            <w:r w:rsidRPr="001D41EA">
              <w:rPr>
                <w:rFonts w:cs="Arial"/>
                <w:sz w:val="18"/>
                <w:szCs w:val="18"/>
              </w:rPr>
              <w:t>36.3</w:t>
            </w:r>
          </w:p>
        </w:tc>
      </w:tr>
      <w:tr w:rsidR="00820737" w:rsidRPr="001D41EA" w14:paraId="31077F37"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411DEE8B" w14:textId="77777777" w:rsidR="00820737" w:rsidRPr="001D41EA" w:rsidRDefault="00820737" w:rsidP="00820737">
            <w:pPr>
              <w:spacing w:before="40" w:after="20"/>
              <w:rPr>
                <w:rFonts w:cs="Arial"/>
                <w:sz w:val="18"/>
                <w:szCs w:val="18"/>
              </w:rPr>
            </w:pPr>
            <w:r w:rsidRPr="001D41EA">
              <w:rPr>
                <w:rFonts w:cs="Arial"/>
                <w:sz w:val="18"/>
                <w:szCs w:val="18"/>
              </w:rPr>
              <w:t>Whitehorse C</w:t>
            </w:r>
          </w:p>
        </w:tc>
        <w:tc>
          <w:tcPr>
            <w:tcW w:w="1418" w:type="dxa"/>
            <w:tcBorders>
              <w:top w:val="nil"/>
              <w:left w:val="single" w:sz="18" w:space="0" w:color="5F497A" w:themeColor="accent4" w:themeShade="BF"/>
              <w:bottom w:val="nil"/>
              <w:right w:val="nil"/>
            </w:tcBorders>
            <w:shd w:val="clear" w:color="auto" w:fill="auto"/>
          </w:tcPr>
          <w:p w14:paraId="345517C0" w14:textId="415F6007" w:rsidR="00820737" w:rsidRPr="001D41EA" w:rsidRDefault="00820737" w:rsidP="00820737">
            <w:pPr>
              <w:spacing w:before="40" w:after="20"/>
              <w:jc w:val="right"/>
              <w:rPr>
                <w:rFonts w:cs="Arial"/>
                <w:sz w:val="18"/>
                <w:szCs w:val="18"/>
              </w:rPr>
            </w:pPr>
            <w:r w:rsidRPr="00820737">
              <w:rPr>
                <w:rFonts w:cs="Arial"/>
                <w:sz w:val="18"/>
                <w:szCs w:val="18"/>
              </w:rPr>
              <w:t>1,049</w:t>
            </w:r>
          </w:p>
        </w:tc>
        <w:tc>
          <w:tcPr>
            <w:tcW w:w="1418" w:type="dxa"/>
            <w:tcBorders>
              <w:top w:val="nil"/>
              <w:left w:val="nil"/>
              <w:bottom w:val="nil"/>
              <w:right w:val="nil"/>
            </w:tcBorders>
            <w:shd w:val="clear" w:color="auto" w:fill="auto"/>
            <w:vAlign w:val="bottom"/>
          </w:tcPr>
          <w:p w14:paraId="3F7CDEA4" w14:textId="0D104CFC" w:rsidR="00820737" w:rsidRPr="001D41EA" w:rsidRDefault="00820737" w:rsidP="00820737">
            <w:pPr>
              <w:spacing w:before="40" w:after="20"/>
              <w:jc w:val="right"/>
              <w:rPr>
                <w:rFonts w:cs="Arial"/>
                <w:sz w:val="18"/>
                <w:szCs w:val="18"/>
              </w:rPr>
            </w:pPr>
            <w:r w:rsidRPr="001D41EA">
              <w:rPr>
                <w:rFonts w:cs="Arial"/>
                <w:sz w:val="18"/>
                <w:szCs w:val="18"/>
              </w:rPr>
              <w:t>4,158,416</w:t>
            </w:r>
          </w:p>
        </w:tc>
        <w:tc>
          <w:tcPr>
            <w:tcW w:w="1418" w:type="dxa"/>
            <w:tcBorders>
              <w:top w:val="nil"/>
              <w:left w:val="nil"/>
              <w:bottom w:val="nil"/>
              <w:right w:val="nil"/>
            </w:tcBorders>
            <w:shd w:val="clear" w:color="auto" w:fill="auto"/>
            <w:vAlign w:val="bottom"/>
          </w:tcPr>
          <w:p w14:paraId="347614C4" w14:textId="456620E2" w:rsidR="00820737" w:rsidRPr="001D41EA" w:rsidRDefault="00820737" w:rsidP="00820737">
            <w:pPr>
              <w:spacing w:before="40" w:after="20"/>
              <w:jc w:val="right"/>
              <w:rPr>
                <w:rFonts w:cs="Arial"/>
                <w:sz w:val="18"/>
                <w:szCs w:val="18"/>
              </w:rPr>
            </w:pPr>
            <w:r w:rsidRPr="001D41EA">
              <w:rPr>
                <w:rFonts w:cs="Arial"/>
                <w:sz w:val="18"/>
                <w:szCs w:val="18"/>
              </w:rPr>
              <w:t>23.6</w:t>
            </w:r>
          </w:p>
        </w:tc>
      </w:tr>
      <w:tr w:rsidR="00820737" w:rsidRPr="001D41EA" w14:paraId="3D2E607A"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07A83CEC" w14:textId="77777777" w:rsidR="00820737" w:rsidRPr="001D41EA" w:rsidRDefault="00820737" w:rsidP="00820737">
            <w:pPr>
              <w:spacing w:before="40" w:after="20"/>
              <w:rPr>
                <w:rFonts w:cs="Arial"/>
                <w:sz w:val="18"/>
                <w:szCs w:val="18"/>
              </w:rPr>
            </w:pPr>
            <w:r w:rsidRPr="001D41EA">
              <w:rPr>
                <w:rFonts w:cs="Arial"/>
                <w:sz w:val="18"/>
                <w:szCs w:val="18"/>
              </w:rPr>
              <w:t>Whittlesea C</w:t>
            </w:r>
          </w:p>
        </w:tc>
        <w:tc>
          <w:tcPr>
            <w:tcW w:w="1418" w:type="dxa"/>
            <w:tcBorders>
              <w:top w:val="nil"/>
              <w:left w:val="single" w:sz="18" w:space="0" w:color="5F497A" w:themeColor="accent4" w:themeShade="BF"/>
              <w:bottom w:val="nil"/>
              <w:right w:val="nil"/>
            </w:tcBorders>
            <w:shd w:val="clear" w:color="auto" w:fill="auto"/>
          </w:tcPr>
          <w:p w14:paraId="5C35D857" w14:textId="5D75EA9E" w:rsidR="00820737" w:rsidRPr="001D41EA" w:rsidRDefault="00820737" w:rsidP="00820737">
            <w:pPr>
              <w:spacing w:before="40" w:after="20"/>
              <w:jc w:val="right"/>
              <w:rPr>
                <w:rFonts w:cs="Arial"/>
                <w:sz w:val="18"/>
                <w:szCs w:val="18"/>
              </w:rPr>
            </w:pPr>
            <w:r w:rsidRPr="00820737">
              <w:rPr>
                <w:rFonts w:cs="Arial"/>
                <w:sz w:val="18"/>
                <w:szCs w:val="18"/>
              </w:rPr>
              <w:t>991</w:t>
            </w:r>
          </w:p>
        </w:tc>
        <w:tc>
          <w:tcPr>
            <w:tcW w:w="1418" w:type="dxa"/>
            <w:tcBorders>
              <w:top w:val="nil"/>
              <w:left w:val="nil"/>
              <w:bottom w:val="nil"/>
              <w:right w:val="nil"/>
            </w:tcBorders>
            <w:shd w:val="clear" w:color="auto" w:fill="auto"/>
            <w:vAlign w:val="bottom"/>
          </w:tcPr>
          <w:p w14:paraId="18B95AB3" w14:textId="2F61705C" w:rsidR="00820737" w:rsidRPr="001D41EA" w:rsidRDefault="00820737" w:rsidP="00820737">
            <w:pPr>
              <w:spacing w:before="40" w:after="20"/>
              <w:jc w:val="right"/>
              <w:rPr>
                <w:rFonts w:cs="Arial"/>
                <w:sz w:val="18"/>
                <w:szCs w:val="18"/>
              </w:rPr>
            </w:pPr>
            <w:r w:rsidRPr="001D41EA">
              <w:rPr>
                <w:rFonts w:cs="Arial"/>
                <w:sz w:val="18"/>
                <w:szCs w:val="18"/>
              </w:rPr>
              <w:t>1,359,461</w:t>
            </w:r>
          </w:p>
        </w:tc>
        <w:tc>
          <w:tcPr>
            <w:tcW w:w="1418" w:type="dxa"/>
            <w:tcBorders>
              <w:top w:val="nil"/>
              <w:left w:val="nil"/>
              <w:bottom w:val="nil"/>
              <w:right w:val="nil"/>
            </w:tcBorders>
            <w:shd w:val="clear" w:color="auto" w:fill="auto"/>
            <w:vAlign w:val="bottom"/>
          </w:tcPr>
          <w:p w14:paraId="19D93762" w14:textId="48204061" w:rsidR="00820737" w:rsidRPr="001D41EA" w:rsidRDefault="00820737" w:rsidP="00820737">
            <w:pPr>
              <w:spacing w:before="40" w:after="20"/>
              <w:jc w:val="right"/>
              <w:rPr>
                <w:rFonts w:cs="Arial"/>
                <w:sz w:val="18"/>
                <w:szCs w:val="18"/>
              </w:rPr>
            </w:pPr>
            <w:r w:rsidRPr="001D41EA">
              <w:rPr>
                <w:rFonts w:cs="Arial"/>
                <w:sz w:val="18"/>
                <w:szCs w:val="18"/>
              </w:rPr>
              <w:t>6.1</w:t>
            </w:r>
          </w:p>
        </w:tc>
      </w:tr>
      <w:tr w:rsidR="00820737" w:rsidRPr="001D41EA" w14:paraId="20C01A87"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3737F2CD" w14:textId="77777777" w:rsidR="00820737" w:rsidRPr="001D41EA" w:rsidRDefault="00820737" w:rsidP="00820737">
            <w:pPr>
              <w:spacing w:before="40" w:after="20"/>
              <w:rPr>
                <w:rFonts w:cs="Arial"/>
                <w:sz w:val="18"/>
                <w:szCs w:val="18"/>
              </w:rPr>
            </w:pPr>
            <w:r w:rsidRPr="001D41EA">
              <w:rPr>
                <w:rFonts w:cs="Arial"/>
                <w:sz w:val="18"/>
                <w:szCs w:val="18"/>
              </w:rPr>
              <w:t>Wodonga C</w:t>
            </w:r>
          </w:p>
        </w:tc>
        <w:tc>
          <w:tcPr>
            <w:tcW w:w="1418" w:type="dxa"/>
            <w:tcBorders>
              <w:top w:val="nil"/>
              <w:left w:val="single" w:sz="18" w:space="0" w:color="5F497A" w:themeColor="accent4" w:themeShade="BF"/>
              <w:bottom w:val="nil"/>
              <w:right w:val="nil"/>
            </w:tcBorders>
            <w:shd w:val="clear" w:color="auto" w:fill="auto"/>
          </w:tcPr>
          <w:p w14:paraId="786A6B13" w14:textId="696E09D1" w:rsidR="00820737" w:rsidRPr="001D41EA" w:rsidRDefault="00820737" w:rsidP="00820737">
            <w:pPr>
              <w:spacing w:before="40" w:after="20"/>
              <w:jc w:val="right"/>
              <w:rPr>
                <w:rFonts w:cs="Arial"/>
                <w:sz w:val="18"/>
                <w:szCs w:val="18"/>
              </w:rPr>
            </w:pPr>
            <w:r w:rsidRPr="00820737">
              <w:rPr>
                <w:rFonts w:cs="Arial"/>
                <w:sz w:val="18"/>
                <w:szCs w:val="18"/>
              </w:rPr>
              <w:t>977</w:t>
            </w:r>
          </w:p>
        </w:tc>
        <w:tc>
          <w:tcPr>
            <w:tcW w:w="1418" w:type="dxa"/>
            <w:tcBorders>
              <w:top w:val="nil"/>
              <w:left w:val="nil"/>
              <w:bottom w:val="nil"/>
              <w:right w:val="nil"/>
            </w:tcBorders>
            <w:shd w:val="clear" w:color="auto" w:fill="auto"/>
            <w:vAlign w:val="bottom"/>
          </w:tcPr>
          <w:p w14:paraId="259AB87B" w14:textId="355B2708" w:rsidR="00820737" w:rsidRPr="001D41EA" w:rsidRDefault="00820737" w:rsidP="00820737">
            <w:pPr>
              <w:spacing w:before="40" w:after="20"/>
              <w:jc w:val="right"/>
              <w:rPr>
                <w:rFonts w:cs="Arial"/>
                <w:sz w:val="18"/>
                <w:szCs w:val="18"/>
              </w:rPr>
            </w:pPr>
            <w:r w:rsidRPr="001D41EA">
              <w:rPr>
                <w:rFonts w:cs="Arial"/>
                <w:sz w:val="18"/>
                <w:szCs w:val="18"/>
              </w:rPr>
              <w:t>608,292</w:t>
            </w:r>
          </w:p>
        </w:tc>
        <w:tc>
          <w:tcPr>
            <w:tcW w:w="1418" w:type="dxa"/>
            <w:tcBorders>
              <w:top w:val="nil"/>
              <w:left w:val="nil"/>
              <w:bottom w:val="nil"/>
              <w:right w:val="nil"/>
            </w:tcBorders>
            <w:shd w:val="clear" w:color="auto" w:fill="auto"/>
            <w:vAlign w:val="bottom"/>
          </w:tcPr>
          <w:p w14:paraId="3BA414D6" w14:textId="04F540D1" w:rsidR="00820737" w:rsidRPr="001D41EA" w:rsidRDefault="00820737" w:rsidP="00820737">
            <w:pPr>
              <w:spacing w:before="40" w:after="20"/>
              <w:jc w:val="right"/>
              <w:rPr>
                <w:rFonts w:cs="Arial"/>
                <w:sz w:val="18"/>
                <w:szCs w:val="18"/>
              </w:rPr>
            </w:pPr>
            <w:r w:rsidRPr="001D41EA">
              <w:rPr>
                <w:rFonts w:cs="Arial"/>
                <w:sz w:val="18"/>
                <w:szCs w:val="18"/>
              </w:rPr>
              <w:t>14.7</w:t>
            </w:r>
          </w:p>
        </w:tc>
      </w:tr>
      <w:tr w:rsidR="00820737" w:rsidRPr="001D41EA" w14:paraId="063FFD3D" w14:textId="77777777" w:rsidTr="00143DD0">
        <w:trPr>
          <w:trHeight w:val="80"/>
        </w:trPr>
        <w:tc>
          <w:tcPr>
            <w:tcW w:w="2268" w:type="dxa"/>
            <w:tcBorders>
              <w:top w:val="nil"/>
              <w:left w:val="nil"/>
              <w:bottom w:val="nil"/>
              <w:right w:val="single" w:sz="18" w:space="0" w:color="5F497A" w:themeColor="accent4" w:themeShade="BF"/>
            </w:tcBorders>
            <w:shd w:val="clear" w:color="auto" w:fill="auto"/>
            <w:vAlign w:val="center"/>
          </w:tcPr>
          <w:p w14:paraId="04C67D25" w14:textId="77777777" w:rsidR="00820737" w:rsidRPr="001D41EA" w:rsidRDefault="00820737" w:rsidP="00820737">
            <w:pPr>
              <w:spacing w:before="40" w:after="20"/>
              <w:rPr>
                <w:rFonts w:cs="Arial"/>
                <w:sz w:val="18"/>
                <w:szCs w:val="18"/>
              </w:rPr>
            </w:pPr>
            <w:r w:rsidRPr="001D41EA">
              <w:rPr>
                <w:rFonts w:cs="Arial"/>
                <w:sz w:val="18"/>
                <w:szCs w:val="18"/>
              </w:rPr>
              <w:t>Wyndham C</w:t>
            </w:r>
          </w:p>
        </w:tc>
        <w:tc>
          <w:tcPr>
            <w:tcW w:w="1418" w:type="dxa"/>
            <w:tcBorders>
              <w:top w:val="nil"/>
              <w:left w:val="single" w:sz="18" w:space="0" w:color="5F497A" w:themeColor="accent4" w:themeShade="BF"/>
              <w:bottom w:val="nil"/>
              <w:right w:val="nil"/>
            </w:tcBorders>
            <w:shd w:val="clear" w:color="auto" w:fill="auto"/>
          </w:tcPr>
          <w:p w14:paraId="4DBBAE96" w14:textId="4428FACC" w:rsidR="00820737" w:rsidRPr="001D41EA" w:rsidRDefault="00820737" w:rsidP="00820737">
            <w:pPr>
              <w:spacing w:before="40" w:after="20"/>
              <w:jc w:val="right"/>
              <w:rPr>
                <w:rFonts w:cs="Arial"/>
                <w:sz w:val="18"/>
                <w:szCs w:val="18"/>
              </w:rPr>
            </w:pPr>
            <w:r w:rsidRPr="00820737">
              <w:rPr>
                <w:rFonts w:cs="Arial"/>
                <w:sz w:val="18"/>
                <w:szCs w:val="18"/>
              </w:rPr>
              <w:t>1,009</w:t>
            </w:r>
          </w:p>
        </w:tc>
        <w:tc>
          <w:tcPr>
            <w:tcW w:w="1418" w:type="dxa"/>
            <w:tcBorders>
              <w:top w:val="nil"/>
              <w:left w:val="nil"/>
              <w:bottom w:val="nil"/>
              <w:right w:val="nil"/>
            </w:tcBorders>
            <w:shd w:val="clear" w:color="auto" w:fill="auto"/>
            <w:vAlign w:val="bottom"/>
          </w:tcPr>
          <w:p w14:paraId="34258889" w14:textId="364E619C" w:rsidR="00820737" w:rsidRPr="001D41EA" w:rsidRDefault="00820737" w:rsidP="00820737">
            <w:pPr>
              <w:spacing w:before="40" w:after="20"/>
              <w:jc w:val="right"/>
              <w:rPr>
                <w:rFonts w:cs="Arial"/>
                <w:sz w:val="18"/>
                <w:szCs w:val="18"/>
              </w:rPr>
            </w:pPr>
            <w:r w:rsidRPr="001D41EA">
              <w:rPr>
                <w:rFonts w:cs="Arial"/>
                <w:sz w:val="18"/>
                <w:szCs w:val="18"/>
              </w:rPr>
              <w:t>3,088,906</w:t>
            </w:r>
          </w:p>
        </w:tc>
        <w:tc>
          <w:tcPr>
            <w:tcW w:w="1418" w:type="dxa"/>
            <w:tcBorders>
              <w:top w:val="nil"/>
              <w:left w:val="nil"/>
              <w:bottom w:val="nil"/>
              <w:right w:val="nil"/>
            </w:tcBorders>
            <w:shd w:val="clear" w:color="auto" w:fill="auto"/>
            <w:vAlign w:val="bottom"/>
          </w:tcPr>
          <w:p w14:paraId="1EF3B3A8" w14:textId="780372DD" w:rsidR="00820737" w:rsidRPr="001D41EA" w:rsidRDefault="00820737" w:rsidP="00820737">
            <w:pPr>
              <w:spacing w:before="40" w:after="20"/>
              <w:jc w:val="right"/>
              <w:rPr>
                <w:rFonts w:cs="Arial"/>
                <w:sz w:val="18"/>
                <w:szCs w:val="18"/>
              </w:rPr>
            </w:pPr>
            <w:r w:rsidRPr="001D41EA">
              <w:rPr>
                <w:rFonts w:cs="Arial"/>
                <w:sz w:val="18"/>
                <w:szCs w:val="18"/>
              </w:rPr>
              <w:t>12.1</w:t>
            </w:r>
          </w:p>
        </w:tc>
      </w:tr>
      <w:tr w:rsidR="00820737" w:rsidRPr="001D41EA" w14:paraId="74BC8B39"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5FE2D264" w14:textId="77777777" w:rsidR="00820737" w:rsidRPr="001D41EA" w:rsidRDefault="00820737" w:rsidP="00820737">
            <w:pPr>
              <w:spacing w:before="40" w:after="20"/>
              <w:rPr>
                <w:rFonts w:cs="Arial"/>
                <w:sz w:val="18"/>
                <w:szCs w:val="18"/>
              </w:rPr>
            </w:pPr>
            <w:r w:rsidRPr="001D41EA">
              <w:rPr>
                <w:rFonts w:cs="Arial"/>
                <w:sz w:val="18"/>
                <w:szCs w:val="18"/>
              </w:rPr>
              <w:t>Yarra C</w:t>
            </w:r>
          </w:p>
        </w:tc>
        <w:tc>
          <w:tcPr>
            <w:tcW w:w="1418" w:type="dxa"/>
            <w:tcBorders>
              <w:top w:val="nil"/>
              <w:left w:val="single" w:sz="18" w:space="0" w:color="5F497A" w:themeColor="accent4" w:themeShade="BF"/>
              <w:bottom w:val="nil"/>
              <w:right w:val="nil"/>
            </w:tcBorders>
            <w:shd w:val="clear" w:color="auto" w:fill="auto"/>
          </w:tcPr>
          <w:p w14:paraId="1BAE403D" w14:textId="363E48F6" w:rsidR="00820737" w:rsidRPr="001D41EA" w:rsidRDefault="00820737" w:rsidP="00820737">
            <w:pPr>
              <w:spacing w:before="40" w:after="20"/>
              <w:jc w:val="right"/>
              <w:rPr>
                <w:rFonts w:cs="Arial"/>
                <w:sz w:val="18"/>
                <w:szCs w:val="18"/>
              </w:rPr>
            </w:pPr>
            <w:r w:rsidRPr="00820737">
              <w:rPr>
                <w:rFonts w:cs="Arial"/>
                <w:sz w:val="18"/>
                <w:szCs w:val="18"/>
              </w:rPr>
              <w:t>1,035</w:t>
            </w:r>
          </w:p>
        </w:tc>
        <w:tc>
          <w:tcPr>
            <w:tcW w:w="1418" w:type="dxa"/>
            <w:tcBorders>
              <w:top w:val="nil"/>
              <w:left w:val="nil"/>
              <w:bottom w:val="nil"/>
              <w:right w:val="nil"/>
            </w:tcBorders>
            <w:shd w:val="clear" w:color="auto" w:fill="auto"/>
            <w:vAlign w:val="bottom"/>
          </w:tcPr>
          <w:p w14:paraId="06E32BF2" w14:textId="24787483" w:rsidR="00820737" w:rsidRPr="001D41EA" w:rsidRDefault="00820737" w:rsidP="00820737">
            <w:pPr>
              <w:spacing w:before="40" w:after="20"/>
              <w:jc w:val="right"/>
              <w:rPr>
                <w:rFonts w:cs="Arial"/>
                <w:sz w:val="18"/>
                <w:szCs w:val="18"/>
              </w:rPr>
            </w:pPr>
            <w:r w:rsidRPr="001D41EA">
              <w:rPr>
                <w:rFonts w:cs="Arial"/>
                <w:sz w:val="18"/>
                <w:szCs w:val="18"/>
              </w:rPr>
              <w:t>2,299,501</w:t>
            </w:r>
          </w:p>
        </w:tc>
        <w:tc>
          <w:tcPr>
            <w:tcW w:w="1418" w:type="dxa"/>
            <w:tcBorders>
              <w:top w:val="nil"/>
              <w:left w:val="nil"/>
              <w:bottom w:val="nil"/>
              <w:right w:val="nil"/>
            </w:tcBorders>
            <w:shd w:val="clear" w:color="auto" w:fill="auto"/>
            <w:vAlign w:val="bottom"/>
          </w:tcPr>
          <w:p w14:paraId="541996D7" w14:textId="3C1A7C96" w:rsidR="00820737" w:rsidRPr="001D41EA" w:rsidRDefault="00820737" w:rsidP="00820737">
            <w:pPr>
              <w:spacing w:before="40" w:after="20"/>
              <w:jc w:val="right"/>
              <w:rPr>
                <w:rFonts w:cs="Arial"/>
                <w:sz w:val="18"/>
                <w:szCs w:val="18"/>
              </w:rPr>
            </w:pPr>
            <w:r w:rsidRPr="001D41EA">
              <w:rPr>
                <w:rFonts w:cs="Arial"/>
                <w:sz w:val="18"/>
                <w:szCs w:val="18"/>
              </w:rPr>
              <w:t>23.3</w:t>
            </w:r>
          </w:p>
        </w:tc>
      </w:tr>
      <w:tr w:rsidR="00820737" w:rsidRPr="001D41EA" w14:paraId="6668B04F"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0035F0BD" w14:textId="77777777" w:rsidR="00820737" w:rsidRPr="001D41EA" w:rsidRDefault="00820737" w:rsidP="00820737">
            <w:pPr>
              <w:spacing w:before="40" w:after="20"/>
              <w:rPr>
                <w:rFonts w:cs="Arial"/>
                <w:sz w:val="18"/>
                <w:szCs w:val="18"/>
              </w:rPr>
            </w:pPr>
            <w:r w:rsidRPr="001D41EA">
              <w:rPr>
                <w:rFonts w:cs="Arial"/>
                <w:sz w:val="18"/>
                <w:szCs w:val="18"/>
              </w:rPr>
              <w:t>Yarra Ranges S</w:t>
            </w:r>
          </w:p>
        </w:tc>
        <w:tc>
          <w:tcPr>
            <w:tcW w:w="1418" w:type="dxa"/>
            <w:tcBorders>
              <w:top w:val="nil"/>
              <w:left w:val="single" w:sz="18" w:space="0" w:color="5F497A" w:themeColor="accent4" w:themeShade="BF"/>
              <w:bottom w:val="nil"/>
              <w:right w:val="nil"/>
            </w:tcBorders>
            <w:shd w:val="clear" w:color="auto" w:fill="auto"/>
          </w:tcPr>
          <w:p w14:paraId="30612CD9" w14:textId="237472EF" w:rsidR="00820737" w:rsidRPr="001D41EA" w:rsidRDefault="00820737" w:rsidP="00820737">
            <w:pPr>
              <w:spacing w:before="40" w:after="20"/>
              <w:jc w:val="right"/>
              <w:rPr>
                <w:rFonts w:cs="Arial"/>
                <w:sz w:val="18"/>
                <w:szCs w:val="18"/>
              </w:rPr>
            </w:pPr>
            <w:r w:rsidRPr="00820737">
              <w:rPr>
                <w:rFonts w:cs="Arial"/>
                <w:sz w:val="18"/>
                <w:szCs w:val="18"/>
              </w:rPr>
              <w:t>1,040</w:t>
            </w:r>
          </w:p>
        </w:tc>
        <w:tc>
          <w:tcPr>
            <w:tcW w:w="1418" w:type="dxa"/>
            <w:tcBorders>
              <w:top w:val="nil"/>
              <w:left w:val="nil"/>
              <w:bottom w:val="nil"/>
              <w:right w:val="nil"/>
            </w:tcBorders>
            <w:shd w:val="clear" w:color="auto" w:fill="auto"/>
            <w:vAlign w:val="bottom"/>
          </w:tcPr>
          <w:p w14:paraId="1B023E6D" w14:textId="799B9914" w:rsidR="00820737" w:rsidRPr="001D41EA" w:rsidRDefault="00820737" w:rsidP="00820737">
            <w:pPr>
              <w:spacing w:before="40" w:after="20"/>
              <w:jc w:val="right"/>
              <w:rPr>
                <w:rFonts w:cs="Arial"/>
                <w:sz w:val="18"/>
                <w:szCs w:val="18"/>
              </w:rPr>
            </w:pPr>
            <w:r w:rsidRPr="001D41EA">
              <w:rPr>
                <w:rFonts w:cs="Arial"/>
                <w:sz w:val="18"/>
                <w:szCs w:val="18"/>
              </w:rPr>
              <w:t>3,804,349</w:t>
            </w:r>
          </w:p>
        </w:tc>
        <w:tc>
          <w:tcPr>
            <w:tcW w:w="1418" w:type="dxa"/>
            <w:tcBorders>
              <w:top w:val="nil"/>
              <w:left w:val="nil"/>
              <w:bottom w:val="nil"/>
              <w:right w:val="nil"/>
            </w:tcBorders>
            <w:shd w:val="clear" w:color="auto" w:fill="auto"/>
            <w:vAlign w:val="bottom"/>
          </w:tcPr>
          <w:p w14:paraId="4021A94C" w14:textId="614C9A76" w:rsidR="00820737" w:rsidRPr="001D41EA" w:rsidRDefault="00820737" w:rsidP="00820737">
            <w:pPr>
              <w:spacing w:before="40" w:after="20"/>
              <w:jc w:val="right"/>
              <w:rPr>
                <w:rFonts w:cs="Arial"/>
                <w:sz w:val="18"/>
                <w:szCs w:val="18"/>
              </w:rPr>
            </w:pPr>
            <w:r w:rsidRPr="001D41EA">
              <w:rPr>
                <w:rFonts w:cs="Arial"/>
                <w:sz w:val="18"/>
                <w:szCs w:val="18"/>
              </w:rPr>
              <w:t>24.1</w:t>
            </w:r>
          </w:p>
        </w:tc>
      </w:tr>
      <w:tr w:rsidR="00820737" w:rsidRPr="001D41EA" w14:paraId="72972729" w14:textId="77777777" w:rsidTr="00143DD0">
        <w:tc>
          <w:tcPr>
            <w:tcW w:w="2268" w:type="dxa"/>
            <w:tcBorders>
              <w:top w:val="nil"/>
              <w:left w:val="nil"/>
              <w:bottom w:val="nil"/>
              <w:right w:val="single" w:sz="18" w:space="0" w:color="5F497A" w:themeColor="accent4" w:themeShade="BF"/>
            </w:tcBorders>
            <w:shd w:val="clear" w:color="auto" w:fill="auto"/>
            <w:vAlign w:val="center"/>
          </w:tcPr>
          <w:p w14:paraId="5940AF86" w14:textId="77777777" w:rsidR="00820737" w:rsidRPr="001D41EA" w:rsidRDefault="00820737" w:rsidP="00820737">
            <w:pPr>
              <w:spacing w:before="40" w:after="20"/>
              <w:rPr>
                <w:rFonts w:cs="Arial"/>
                <w:sz w:val="18"/>
                <w:szCs w:val="18"/>
              </w:rPr>
            </w:pPr>
            <w:r w:rsidRPr="001D41EA">
              <w:rPr>
                <w:rFonts w:cs="Arial"/>
                <w:sz w:val="18"/>
                <w:szCs w:val="18"/>
              </w:rPr>
              <w:t>Yarriambiack S</w:t>
            </w:r>
          </w:p>
        </w:tc>
        <w:tc>
          <w:tcPr>
            <w:tcW w:w="1418" w:type="dxa"/>
            <w:tcBorders>
              <w:top w:val="nil"/>
              <w:left w:val="single" w:sz="18" w:space="0" w:color="5F497A" w:themeColor="accent4" w:themeShade="BF"/>
              <w:right w:val="nil"/>
            </w:tcBorders>
            <w:shd w:val="clear" w:color="auto" w:fill="auto"/>
          </w:tcPr>
          <w:p w14:paraId="219A85F1" w14:textId="0E09F913" w:rsidR="00820737" w:rsidRPr="001D41EA" w:rsidRDefault="00820737" w:rsidP="00820737">
            <w:pPr>
              <w:spacing w:before="40" w:after="20"/>
              <w:jc w:val="right"/>
              <w:rPr>
                <w:rFonts w:cs="Arial"/>
                <w:sz w:val="18"/>
                <w:szCs w:val="18"/>
              </w:rPr>
            </w:pPr>
            <w:r w:rsidRPr="00820737">
              <w:rPr>
                <w:rFonts w:cs="Arial"/>
                <w:sz w:val="18"/>
                <w:szCs w:val="18"/>
              </w:rPr>
              <w:t>941</w:t>
            </w:r>
          </w:p>
        </w:tc>
        <w:tc>
          <w:tcPr>
            <w:tcW w:w="1418" w:type="dxa"/>
            <w:tcBorders>
              <w:top w:val="nil"/>
              <w:left w:val="nil"/>
              <w:right w:val="nil"/>
            </w:tcBorders>
            <w:shd w:val="clear" w:color="auto" w:fill="auto"/>
            <w:vAlign w:val="bottom"/>
          </w:tcPr>
          <w:p w14:paraId="4011355C" w14:textId="581DAE37" w:rsidR="00820737" w:rsidRPr="001D41EA" w:rsidRDefault="00820737" w:rsidP="00820737">
            <w:pPr>
              <w:spacing w:before="40" w:after="20"/>
              <w:jc w:val="right"/>
              <w:rPr>
                <w:rFonts w:cs="Arial"/>
                <w:sz w:val="18"/>
                <w:szCs w:val="18"/>
              </w:rPr>
            </w:pPr>
            <w:r w:rsidRPr="001D41EA">
              <w:rPr>
                <w:rFonts w:cs="Arial"/>
                <w:sz w:val="18"/>
                <w:szCs w:val="18"/>
              </w:rPr>
              <w:t>226,750</w:t>
            </w:r>
          </w:p>
        </w:tc>
        <w:tc>
          <w:tcPr>
            <w:tcW w:w="1418" w:type="dxa"/>
            <w:tcBorders>
              <w:top w:val="nil"/>
              <w:left w:val="nil"/>
              <w:right w:val="nil"/>
            </w:tcBorders>
            <w:shd w:val="clear" w:color="auto" w:fill="auto"/>
            <w:vAlign w:val="bottom"/>
          </w:tcPr>
          <w:p w14:paraId="6F38D6D9" w14:textId="05B15C0F" w:rsidR="00820737" w:rsidRPr="001D41EA" w:rsidRDefault="00820737" w:rsidP="00820737">
            <w:pPr>
              <w:spacing w:before="40" w:after="20"/>
              <w:jc w:val="right"/>
              <w:rPr>
                <w:rFonts w:cs="Arial"/>
                <w:sz w:val="18"/>
                <w:szCs w:val="18"/>
              </w:rPr>
            </w:pPr>
            <w:r w:rsidRPr="001D41EA">
              <w:rPr>
                <w:rFonts w:cs="Arial"/>
                <w:sz w:val="18"/>
                <w:szCs w:val="18"/>
              </w:rPr>
              <w:t>34.1</w:t>
            </w:r>
          </w:p>
        </w:tc>
      </w:tr>
      <w:tr w:rsidR="00B33D8D" w:rsidRPr="001D41EA" w14:paraId="37174E74" w14:textId="77777777" w:rsidTr="00C60457">
        <w:tc>
          <w:tcPr>
            <w:tcW w:w="2268" w:type="dxa"/>
            <w:tcBorders>
              <w:top w:val="nil"/>
              <w:left w:val="nil"/>
              <w:bottom w:val="nil"/>
              <w:right w:val="single" w:sz="18" w:space="0" w:color="5F497A" w:themeColor="accent4" w:themeShade="BF"/>
            </w:tcBorders>
            <w:shd w:val="clear" w:color="auto" w:fill="auto"/>
            <w:vAlign w:val="center"/>
          </w:tcPr>
          <w:p w14:paraId="2BC63221" w14:textId="77777777" w:rsidR="00B33D8D" w:rsidRPr="001D41EA" w:rsidRDefault="00B33D8D" w:rsidP="001D41EA">
            <w:pPr>
              <w:spacing w:before="40" w:after="20"/>
              <w:rPr>
                <w:rFonts w:cs="Arial"/>
                <w:sz w:val="18"/>
                <w:szCs w:val="18"/>
              </w:rPr>
            </w:pPr>
          </w:p>
        </w:tc>
        <w:tc>
          <w:tcPr>
            <w:tcW w:w="1418"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6D7DD48F" w14:textId="00256A65" w:rsidR="00B33D8D" w:rsidRPr="001D41EA" w:rsidRDefault="00B33D8D" w:rsidP="001D41EA">
            <w:pPr>
              <w:spacing w:before="40" w:after="20"/>
              <w:jc w:val="right"/>
              <w:rPr>
                <w:rFonts w:cs="Arial"/>
                <w:sz w:val="18"/>
                <w:szCs w:val="18"/>
              </w:rPr>
            </w:pPr>
            <w:r w:rsidRPr="001D41EA">
              <w:rPr>
                <w:rFonts w:cs="Arial"/>
                <w:sz w:val="18"/>
                <w:szCs w:val="18"/>
              </w:rPr>
              <w:t> </w:t>
            </w:r>
          </w:p>
        </w:tc>
        <w:tc>
          <w:tcPr>
            <w:tcW w:w="1418" w:type="dxa"/>
            <w:tcBorders>
              <w:top w:val="nil"/>
              <w:left w:val="nil"/>
              <w:bottom w:val="single" w:sz="8" w:space="0" w:color="5F497A" w:themeColor="accent4" w:themeShade="BF"/>
              <w:right w:val="nil"/>
            </w:tcBorders>
            <w:shd w:val="clear" w:color="auto" w:fill="auto"/>
            <w:vAlign w:val="bottom"/>
          </w:tcPr>
          <w:p w14:paraId="0F50511D" w14:textId="05085055" w:rsidR="00B33D8D" w:rsidRPr="001D41EA" w:rsidRDefault="00B33D8D" w:rsidP="001D41EA">
            <w:pPr>
              <w:spacing w:before="40" w:after="20"/>
              <w:jc w:val="right"/>
              <w:rPr>
                <w:rFonts w:cs="Arial"/>
                <w:sz w:val="18"/>
                <w:szCs w:val="18"/>
              </w:rPr>
            </w:pPr>
          </w:p>
        </w:tc>
        <w:tc>
          <w:tcPr>
            <w:tcW w:w="1418" w:type="dxa"/>
            <w:tcBorders>
              <w:top w:val="nil"/>
              <w:left w:val="nil"/>
              <w:bottom w:val="single" w:sz="8" w:space="0" w:color="5F497A" w:themeColor="accent4" w:themeShade="BF"/>
              <w:right w:val="nil"/>
            </w:tcBorders>
            <w:shd w:val="clear" w:color="auto" w:fill="auto"/>
            <w:vAlign w:val="bottom"/>
          </w:tcPr>
          <w:p w14:paraId="17446D06" w14:textId="366F47FC" w:rsidR="00B33D8D" w:rsidRPr="001D41EA" w:rsidRDefault="00B33D8D" w:rsidP="001D41EA">
            <w:pPr>
              <w:spacing w:before="40" w:after="20"/>
              <w:jc w:val="right"/>
              <w:rPr>
                <w:rFonts w:cs="Arial"/>
                <w:sz w:val="18"/>
                <w:szCs w:val="18"/>
              </w:rPr>
            </w:pPr>
            <w:r w:rsidRPr="001D41EA">
              <w:rPr>
                <w:rFonts w:cs="Arial"/>
                <w:sz w:val="18"/>
                <w:szCs w:val="18"/>
              </w:rPr>
              <w:t> </w:t>
            </w:r>
          </w:p>
        </w:tc>
      </w:tr>
      <w:tr w:rsidR="00B33D8D" w:rsidRPr="001D41EA" w14:paraId="696C30F9" w14:textId="77777777" w:rsidTr="00C60457">
        <w:tc>
          <w:tcPr>
            <w:tcW w:w="2268" w:type="dxa"/>
            <w:tcBorders>
              <w:top w:val="nil"/>
              <w:left w:val="nil"/>
              <w:bottom w:val="nil"/>
              <w:right w:val="single" w:sz="18" w:space="0" w:color="5F497A" w:themeColor="accent4" w:themeShade="BF"/>
            </w:tcBorders>
            <w:shd w:val="clear" w:color="auto" w:fill="auto"/>
            <w:vAlign w:val="center"/>
          </w:tcPr>
          <w:p w14:paraId="142998BA" w14:textId="77777777" w:rsidR="00B33D8D" w:rsidRPr="001D41EA" w:rsidRDefault="00B33D8D" w:rsidP="001D41EA">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right w:val="nil"/>
            </w:tcBorders>
            <w:shd w:val="clear" w:color="auto" w:fill="auto"/>
            <w:vAlign w:val="bottom"/>
          </w:tcPr>
          <w:p w14:paraId="1AD4D038" w14:textId="6629573A" w:rsidR="00B33D8D" w:rsidRPr="001D41EA" w:rsidRDefault="00B33D8D" w:rsidP="001D41EA">
            <w:pPr>
              <w:spacing w:before="40" w:after="20"/>
              <w:jc w:val="right"/>
              <w:rPr>
                <w:rFonts w:cs="Arial"/>
                <w:b/>
                <w:sz w:val="18"/>
                <w:szCs w:val="18"/>
              </w:rPr>
            </w:pPr>
            <w:r w:rsidRPr="001D41EA">
              <w:rPr>
                <w:rFonts w:cs="Arial"/>
                <w:b/>
                <w:sz w:val="18"/>
                <w:szCs w:val="18"/>
              </w:rPr>
              <w:t> </w:t>
            </w:r>
          </w:p>
        </w:tc>
        <w:tc>
          <w:tcPr>
            <w:tcW w:w="1418" w:type="dxa"/>
            <w:tcBorders>
              <w:top w:val="single" w:sz="8" w:space="0" w:color="5F497A" w:themeColor="accent4" w:themeShade="BF"/>
              <w:left w:val="nil"/>
              <w:right w:val="nil"/>
            </w:tcBorders>
            <w:shd w:val="clear" w:color="auto" w:fill="auto"/>
            <w:vAlign w:val="bottom"/>
          </w:tcPr>
          <w:p w14:paraId="7144B41B" w14:textId="5B043BA3" w:rsidR="00B33D8D" w:rsidRPr="001D41EA" w:rsidRDefault="00B33D8D" w:rsidP="001D41EA">
            <w:pPr>
              <w:spacing w:before="40" w:after="20"/>
              <w:jc w:val="right"/>
              <w:rPr>
                <w:rFonts w:cs="Arial"/>
                <w:b/>
                <w:sz w:val="18"/>
                <w:szCs w:val="18"/>
              </w:rPr>
            </w:pPr>
            <w:r w:rsidRPr="001D41EA">
              <w:rPr>
                <w:rFonts w:cs="Arial"/>
                <w:b/>
                <w:sz w:val="18"/>
                <w:szCs w:val="18"/>
              </w:rPr>
              <w:t>174,633,903</w:t>
            </w:r>
          </w:p>
        </w:tc>
        <w:tc>
          <w:tcPr>
            <w:tcW w:w="1418" w:type="dxa"/>
            <w:tcBorders>
              <w:top w:val="single" w:sz="8" w:space="0" w:color="5F497A" w:themeColor="accent4" w:themeShade="BF"/>
              <w:left w:val="nil"/>
              <w:right w:val="nil"/>
            </w:tcBorders>
            <w:shd w:val="clear" w:color="auto" w:fill="auto"/>
            <w:vAlign w:val="bottom"/>
          </w:tcPr>
          <w:p w14:paraId="73BE5FC0" w14:textId="4C70C7D0" w:rsidR="00B33D8D" w:rsidRPr="001D41EA" w:rsidRDefault="00B33D8D" w:rsidP="001D41EA">
            <w:pPr>
              <w:spacing w:before="40" w:after="20"/>
              <w:jc w:val="right"/>
              <w:rPr>
                <w:rFonts w:cs="Arial"/>
                <w:b/>
                <w:sz w:val="18"/>
                <w:szCs w:val="18"/>
              </w:rPr>
            </w:pPr>
            <w:r w:rsidRPr="001D41EA">
              <w:rPr>
                <w:rFonts w:cs="Arial"/>
                <w:b/>
                <w:sz w:val="18"/>
                <w:szCs w:val="18"/>
              </w:rPr>
              <w:t>27.0</w:t>
            </w:r>
          </w:p>
        </w:tc>
      </w:tr>
    </w:tbl>
    <w:p w14:paraId="769FB3C5" w14:textId="77777777" w:rsidR="00C94778" w:rsidRPr="00A44829" w:rsidRDefault="00C94778" w:rsidP="00FF36E8">
      <w:pPr>
        <w:spacing w:before="40" w:after="20"/>
        <w:rPr>
          <w:rFonts w:cs="Arial"/>
          <w:sz w:val="18"/>
          <w:szCs w:val="18"/>
        </w:rPr>
      </w:pPr>
      <w:r w:rsidRPr="00A44829">
        <w:rPr>
          <w:rFonts w:cs="Arial"/>
          <w:sz w:val="18"/>
          <w:szCs w:val="18"/>
        </w:rPr>
        <w:br w:type="page"/>
      </w:r>
    </w:p>
    <w:p w14:paraId="67C07B4F" w14:textId="1B4D96C1" w:rsidR="00C94778" w:rsidRPr="00A44829" w:rsidRDefault="00961975" w:rsidP="00C33713">
      <w:pPr>
        <w:pStyle w:val="VGC-Head10"/>
      </w:pPr>
      <w:r w:rsidRPr="00A44829">
        <w:lastRenderedPageBreak/>
        <w:t>Appe</w:t>
      </w:r>
      <w:r w:rsidR="00CE4507" w:rsidRPr="00A44829">
        <w:t>ndix 4</w:t>
      </w:r>
      <w:r w:rsidRPr="00A44829">
        <w:tab/>
      </w:r>
      <w:r w:rsidR="00EE4593" w:rsidRPr="00A44829">
        <w:t>2019-20</w:t>
      </w:r>
      <w:r w:rsidR="00A97ABE" w:rsidRPr="00A44829">
        <w:t xml:space="preserve"> </w:t>
      </w:r>
      <w:r w:rsidRPr="00A44829">
        <w:t xml:space="preserve">General Purpose Grants </w:t>
      </w:r>
    </w:p>
    <w:p w14:paraId="5E477185" w14:textId="62B34D45" w:rsidR="00C94778" w:rsidRPr="00A44829" w:rsidRDefault="00CE520A" w:rsidP="008C1A28">
      <w:pPr>
        <w:pStyle w:val="VGC-Head2"/>
      </w:pPr>
      <w:r w:rsidRPr="00A44829">
        <w:t xml:space="preserve">D.  </w:t>
      </w:r>
      <w:r w:rsidR="00C94778" w:rsidRPr="00A44829">
        <w:t xml:space="preserve">Cost Adjustors - </w:t>
      </w:r>
      <w:r w:rsidR="002A2397">
        <w:t>Index</w:t>
      </w:r>
    </w:p>
    <w:p w14:paraId="75DAE3C3" w14:textId="77777777" w:rsidR="00FB7F12" w:rsidRPr="00A44829" w:rsidRDefault="00FB7F12" w:rsidP="00FF36E8">
      <w:pPr>
        <w:spacing w:before="40" w:after="20"/>
        <w:rPr>
          <w:rFonts w:cs="Arial"/>
          <w:sz w:val="18"/>
          <w:szCs w:val="18"/>
        </w:rPr>
      </w:pPr>
    </w:p>
    <w:tbl>
      <w:tblPr>
        <w:tblW w:w="9755" w:type="dxa"/>
        <w:tblInd w:w="78" w:type="dxa"/>
        <w:tblLayout w:type="fixed"/>
        <w:tblCellMar>
          <w:left w:w="0" w:type="dxa"/>
          <w:right w:w="0" w:type="dxa"/>
        </w:tblCellMar>
        <w:tblLook w:val="0000" w:firstRow="0" w:lastRow="0" w:firstColumn="0" w:lastColumn="0" w:noHBand="0" w:noVBand="0"/>
      </w:tblPr>
      <w:tblGrid>
        <w:gridCol w:w="2268"/>
        <w:gridCol w:w="1021"/>
        <w:gridCol w:w="170"/>
        <w:gridCol w:w="1021"/>
        <w:gridCol w:w="1021"/>
        <w:gridCol w:w="1021"/>
        <w:gridCol w:w="1021"/>
        <w:gridCol w:w="1021"/>
        <w:gridCol w:w="170"/>
        <w:gridCol w:w="1021"/>
      </w:tblGrid>
      <w:tr w:rsidR="00A009D7" w:rsidRPr="00A44829" w14:paraId="7E01FC98" w14:textId="77777777" w:rsidTr="00A66703">
        <w:tc>
          <w:tcPr>
            <w:tcW w:w="2268" w:type="dxa"/>
            <w:tcBorders>
              <w:top w:val="nil"/>
              <w:left w:val="nil"/>
              <w:bottom w:val="nil"/>
              <w:right w:val="single" w:sz="18" w:space="0" w:color="5F497A" w:themeColor="accent4" w:themeShade="BF"/>
            </w:tcBorders>
            <w:shd w:val="clear" w:color="auto" w:fill="auto"/>
            <w:vAlign w:val="bottom"/>
          </w:tcPr>
          <w:p w14:paraId="6960B7FB" w14:textId="66AA0E27" w:rsidR="00A009D7" w:rsidRPr="00A44829" w:rsidRDefault="00A009D7" w:rsidP="009555AB">
            <w:pPr>
              <w:spacing w:before="40" w:after="20"/>
              <w:ind w:right="105"/>
              <w:jc w:val="right"/>
              <w:rPr>
                <w:rFonts w:cs="Arial"/>
                <w:b/>
                <w:sz w:val="18"/>
                <w:szCs w:val="18"/>
              </w:rPr>
            </w:pPr>
            <w:r w:rsidRPr="00A44829">
              <w:rPr>
                <w:rFonts w:cs="Arial"/>
                <w:b/>
                <w:sz w:val="18"/>
                <w:szCs w:val="18"/>
              </w:rPr>
              <w:t xml:space="preserve">Cost Adjustor </w:t>
            </w:r>
          </w:p>
        </w:tc>
        <w:tc>
          <w:tcPr>
            <w:tcW w:w="1021" w:type="dxa"/>
            <w:tcBorders>
              <w:top w:val="nil"/>
              <w:left w:val="single" w:sz="18" w:space="0" w:color="5F497A" w:themeColor="accent4" w:themeShade="BF"/>
              <w:bottom w:val="single" w:sz="8" w:space="0" w:color="5F497A" w:themeColor="accent4" w:themeShade="BF"/>
            </w:tcBorders>
            <w:shd w:val="clear" w:color="auto" w:fill="auto"/>
            <w:vAlign w:val="bottom"/>
          </w:tcPr>
          <w:p w14:paraId="3E7F1A09" w14:textId="77777777" w:rsidR="00A009D7" w:rsidRPr="00A44829" w:rsidRDefault="00A009D7" w:rsidP="009555AB">
            <w:pPr>
              <w:spacing w:before="40" w:after="20"/>
              <w:jc w:val="center"/>
              <w:rPr>
                <w:rFonts w:cs="Arial"/>
                <w:b/>
                <w:sz w:val="18"/>
                <w:szCs w:val="18"/>
              </w:rPr>
            </w:pPr>
            <w:r w:rsidRPr="00A44829">
              <w:rPr>
                <w:rFonts w:cs="Arial"/>
                <w:b/>
                <w:sz w:val="18"/>
                <w:szCs w:val="18"/>
              </w:rPr>
              <w:t xml:space="preserve">Aged </w:t>
            </w:r>
            <w:r w:rsidRPr="00A44829">
              <w:rPr>
                <w:rFonts w:cs="Arial"/>
                <w:b/>
                <w:sz w:val="18"/>
                <w:szCs w:val="18"/>
              </w:rPr>
              <w:br/>
              <w:t>Pensioners</w:t>
            </w:r>
          </w:p>
        </w:tc>
        <w:tc>
          <w:tcPr>
            <w:tcW w:w="170" w:type="dxa"/>
            <w:vMerge w:val="restart"/>
            <w:tcBorders>
              <w:top w:val="nil"/>
              <w:left w:val="nil"/>
              <w:bottom w:val="single" w:sz="8" w:space="0" w:color="5F497A" w:themeColor="accent4" w:themeShade="BF"/>
              <w:right w:val="nil"/>
            </w:tcBorders>
            <w:shd w:val="clear" w:color="auto" w:fill="auto"/>
            <w:vAlign w:val="bottom"/>
          </w:tcPr>
          <w:p w14:paraId="2D169CCB" w14:textId="77777777" w:rsidR="00A009D7" w:rsidRPr="00A44829" w:rsidRDefault="00A009D7" w:rsidP="009555AB">
            <w:pPr>
              <w:spacing w:before="40" w:after="20"/>
              <w:jc w:val="center"/>
              <w:rPr>
                <w:rFonts w:cs="Arial"/>
                <w:b/>
                <w:sz w:val="18"/>
                <w:szCs w:val="18"/>
              </w:rPr>
            </w:pPr>
          </w:p>
        </w:tc>
        <w:tc>
          <w:tcPr>
            <w:tcW w:w="5105" w:type="dxa"/>
            <w:gridSpan w:val="5"/>
            <w:tcBorders>
              <w:top w:val="nil"/>
              <w:left w:val="nil"/>
              <w:bottom w:val="single" w:sz="8" w:space="0" w:color="5F497A" w:themeColor="accent4" w:themeShade="BF"/>
              <w:right w:val="nil"/>
            </w:tcBorders>
            <w:vAlign w:val="bottom"/>
          </w:tcPr>
          <w:p w14:paraId="5789E333" w14:textId="08C87627" w:rsidR="00A009D7" w:rsidRPr="00A44829" w:rsidRDefault="00A009D7" w:rsidP="009555AB">
            <w:pPr>
              <w:spacing w:before="40" w:after="20"/>
              <w:jc w:val="center"/>
              <w:rPr>
                <w:rFonts w:cs="Arial"/>
                <w:b/>
                <w:sz w:val="18"/>
                <w:szCs w:val="18"/>
              </w:rPr>
            </w:pPr>
            <w:r w:rsidRPr="00A44829">
              <w:rPr>
                <w:rFonts w:cs="Arial"/>
                <w:b/>
                <w:sz w:val="18"/>
                <w:szCs w:val="18"/>
              </w:rPr>
              <w:t>Economies of Scale</w:t>
            </w:r>
          </w:p>
        </w:tc>
        <w:tc>
          <w:tcPr>
            <w:tcW w:w="170" w:type="dxa"/>
            <w:vMerge w:val="restart"/>
            <w:tcBorders>
              <w:top w:val="nil"/>
              <w:left w:val="nil"/>
              <w:bottom w:val="single" w:sz="8" w:space="0" w:color="5F497A" w:themeColor="accent4" w:themeShade="BF"/>
              <w:right w:val="nil"/>
            </w:tcBorders>
            <w:vAlign w:val="bottom"/>
          </w:tcPr>
          <w:p w14:paraId="5FDDF1FE" w14:textId="77777777" w:rsidR="00A009D7" w:rsidRPr="00A44829" w:rsidRDefault="00A009D7" w:rsidP="009555AB">
            <w:pPr>
              <w:spacing w:before="40" w:after="20"/>
              <w:jc w:val="center"/>
              <w:rPr>
                <w:rFonts w:cs="Arial"/>
                <w:b/>
                <w:sz w:val="18"/>
                <w:szCs w:val="18"/>
              </w:rPr>
            </w:pPr>
          </w:p>
        </w:tc>
        <w:tc>
          <w:tcPr>
            <w:tcW w:w="1021" w:type="dxa"/>
            <w:tcBorders>
              <w:top w:val="nil"/>
              <w:left w:val="nil"/>
              <w:bottom w:val="single" w:sz="8" w:space="0" w:color="5F497A" w:themeColor="accent4" w:themeShade="BF"/>
              <w:right w:val="nil"/>
            </w:tcBorders>
          </w:tcPr>
          <w:p w14:paraId="60998EA3" w14:textId="2977EC56" w:rsidR="00A009D7" w:rsidRPr="00A44829" w:rsidRDefault="00A009D7" w:rsidP="009555AB">
            <w:pPr>
              <w:spacing w:before="40" w:after="20"/>
              <w:jc w:val="center"/>
              <w:rPr>
                <w:rFonts w:cs="Arial"/>
                <w:b/>
                <w:sz w:val="18"/>
                <w:szCs w:val="18"/>
              </w:rPr>
            </w:pPr>
            <w:r w:rsidRPr="00A44829">
              <w:rPr>
                <w:rFonts w:cs="Arial"/>
                <w:b/>
                <w:sz w:val="18"/>
                <w:szCs w:val="18"/>
              </w:rPr>
              <w:t xml:space="preserve">Environ-mental Risk </w:t>
            </w:r>
            <w:r w:rsidRPr="00A44829">
              <w:rPr>
                <w:rFonts w:cs="Arial"/>
                <w:b/>
                <w:sz w:val="14"/>
                <w:szCs w:val="14"/>
              </w:rPr>
              <w:t xml:space="preserve">(Fire &amp; Flood) </w:t>
            </w:r>
          </w:p>
        </w:tc>
      </w:tr>
      <w:tr w:rsidR="00A009D7" w:rsidRPr="00A44829" w14:paraId="7EE658BD" w14:textId="77777777" w:rsidTr="00A009D7">
        <w:tc>
          <w:tcPr>
            <w:tcW w:w="2268" w:type="dxa"/>
            <w:tcBorders>
              <w:top w:val="nil"/>
              <w:left w:val="nil"/>
              <w:bottom w:val="nil"/>
              <w:right w:val="single" w:sz="18" w:space="0" w:color="5F497A" w:themeColor="accent4" w:themeShade="BF"/>
            </w:tcBorders>
            <w:shd w:val="clear" w:color="auto" w:fill="auto"/>
            <w:vAlign w:val="bottom"/>
          </w:tcPr>
          <w:p w14:paraId="2D445D50" w14:textId="60BBB891" w:rsidR="00A009D7" w:rsidRPr="005D19CF" w:rsidRDefault="00A009D7" w:rsidP="00A009D7">
            <w:pPr>
              <w:spacing w:before="40" w:after="20"/>
              <w:ind w:right="105"/>
              <w:jc w:val="right"/>
              <w:rPr>
                <w:rFonts w:cs="Arial"/>
                <w:b/>
                <w:sz w:val="16"/>
                <w:szCs w:val="16"/>
              </w:rPr>
            </w:pPr>
            <w:r w:rsidRPr="005D19CF">
              <w:rPr>
                <w:rFonts w:cs="Arial"/>
                <w:b/>
                <w:sz w:val="16"/>
                <w:szCs w:val="16"/>
              </w:rPr>
              <w:t xml:space="preserve">Major Cost Driver </w:t>
            </w:r>
          </w:p>
        </w:tc>
        <w:tc>
          <w:tcPr>
            <w:tcW w:w="102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32BC96E9" w14:textId="77777777" w:rsidR="00A009D7" w:rsidRPr="005D19CF" w:rsidRDefault="00A009D7" w:rsidP="00A009D7">
            <w:pPr>
              <w:spacing w:before="40" w:after="20"/>
              <w:jc w:val="center"/>
              <w:rPr>
                <w:rFonts w:cs="Arial"/>
                <w:sz w:val="16"/>
                <w:szCs w:val="16"/>
              </w:rPr>
            </w:pPr>
            <w:r w:rsidRPr="005D19CF">
              <w:rPr>
                <w:rFonts w:cs="Arial"/>
                <w:sz w:val="16"/>
                <w:szCs w:val="16"/>
              </w:rPr>
              <w:t xml:space="preserve">Population </w:t>
            </w:r>
            <w:r w:rsidRPr="005D19CF">
              <w:rPr>
                <w:rFonts w:cs="Arial"/>
                <w:sz w:val="16"/>
                <w:szCs w:val="16"/>
              </w:rPr>
              <w:br/>
              <w:t>&gt; 60 years</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7F6421D" w14:textId="77777777" w:rsidR="00A009D7" w:rsidRPr="005D19CF" w:rsidRDefault="00A009D7" w:rsidP="00A009D7">
            <w:pPr>
              <w:spacing w:before="40" w:after="20"/>
              <w:jc w:val="center"/>
              <w:rPr>
                <w:rFonts w:cs="Arial"/>
                <w:sz w:val="16"/>
                <w:szCs w:val="16"/>
              </w:rPr>
            </w:pPr>
          </w:p>
        </w:tc>
        <w:tc>
          <w:tcPr>
            <w:tcW w:w="1021"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0D53015E" w14:textId="77777777" w:rsidR="00A009D7" w:rsidRPr="005D19CF" w:rsidRDefault="00A009D7" w:rsidP="00A009D7">
            <w:pPr>
              <w:spacing w:before="40" w:after="20"/>
              <w:jc w:val="center"/>
              <w:rPr>
                <w:rFonts w:cs="Arial"/>
                <w:sz w:val="16"/>
                <w:szCs w:val="16"/>
              </w:rPr>
            </w:pPr>
            <w:r w:rsidRPr="005D19CF">
              <w:rPr>
                <w:rFonts w:cs="Arial"/>
                <w:sz w:val="16"/>
                <w:szCs w:val="16"/>
              </w:rPr>
              <w:t>Population</w:t>
            </w:r>
          </w:p>
        </w:tc>
        <w:tc>
          <w:tcPr>
            <w:tcW w:w="1021"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44683AC8" w14:textId="145D9635" w:rsidR="00A009D7" w:rsidRPr="005D19CF" w:rsidRDefault="00A009D7" w:rsidP="00A009D7">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15,000)</w:t>
            </w:r>
          </w:p>
        </w:tc>
        <w:tc>
          <w:tcPr>
            <w:tcW w:w="102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6DA3D701" w14:textId="01FCA8D1" w:rsidR="00A009D7" w:rsidRPr="005D19CF" w:rsidRDefault="00A009D7" w:rsidP="00A009D7">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20,000)</w:t>
            </w:r>
          </w:p>
        </w:tc>
        <w:tc>
          <w:tcPr>
            <w:tcW w:w="1021" w:type="dxa"/>
            <w:tcBorders>
              <w:top w:val="single" w:sz="8" w:space="0" w:color="5F497A" w:themeColor="accent4" w:themeShade="BF"/>
              <w:left w:val="nil"/>
              <w:bottom w:val="single" w:sz="8" w:space="0" w:color="5F497A" w:themeColor="accent4" w:themeShade="BF"/>
              <w:right w:val="nil"/>
            </w:tcBorders>
            <w:vAlign w:val="bottom"/>
          </w:tcPr>
          <w:p w14:paraId="11CB5CFA" w14:textId="5EC4341C" w:rsidR="00A009D7" w:rsidRPr="005D19CF" w:rsidRDefault="00A009D7" w:rsidP="00A009D7">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(no min)</w:t>
            </w:r>
          </w:p>
        </w:tc>
        <w:tc>
          <w:tcPr>
            <w:tcW w:w="1021"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417C4516" w14:textId="50100637" w:rsidR="00A009D7" w:rsidRPr="005D19CF" w:rsidRDefault="00A009D7" w:rsidP="00A009D7">
            <w:pPr>
              <w:spacing w:before="40" w:after="20"/>
              <w:jc w:val="center"/>
              <w:rPr>
                <w:rFonts w:cs="Arial"/>
                <w:sz w:val="16"/>
                <w:szCs w:val="16"/>
              </w:rPr>
            </w:pPr>
            <w:r w:rsidRPr="005D19CF">
              <w:rPr>
                <w:rFonts w:cs="Arial"/>
                <w:sz w:val="16"/>
                <w:szCs w:val="16"/>
              </w:rPr>
              <w:t xml:space="preserve">No. of </w:t>
            </w:r>
            <w:r w:rsidRPr="005D19CF">
              <w:rPr>
                <w:rFonts w:cs="Arial"/>
                <w:sz w:val="16"/>
                <w:szCs w:val="16"/>
              </w:rPr>
              <w:br/>
              <w:t>Dwellings</w:t>
            </w:r>
          </w:p>
        </w:tc>
        <w:tc>
          <w:tcPr>
            <w:tcW w:w="170" w:type="dxa"/>
            <w:vMerge/>
            <w:tcBorders>
              <w:top w:val="single" w:sz="8" w:space="0" w:color="5F497A" w:themeColor="accent4" w:themeShade="BF"/>
              <w:left w:val="nil"/>
              <w:bottom w:val="single" w:sz="8" w:space="0" w:color="5F497A" w:themeColor="accent4" w:themeShade="BF"/>
              <w:right w:val="nil"/>
            </w:tcBorders>
          </w:tcPr>
          <w:p w14:paraId="5773436B" w14:textId="77777777" w:rsidR="00A009D7" w:rsidRPr="005D19CF" w:rsidRDefault="00A009D7" w:rsidP="00A009D7">
            <w:pPr>
              <w:spacing w:before="40" w:after="20"/>
              <w:jc w:val="center"/>
              <w:rPr>
                <w:rFonts w:cs="Arial"/>
                <w:sz w:val="16"/>
                <w:szCs w:val="16"/>
              </w:rPr>
            </w:pPr>
          </w:p>
        </w:tc>
        <w:tc>
          <w:tcPr>
            <w:tcW w:w="1021" w:type="dxa"/>
            <w:tcBorders>
              <w:top w:val="single" w:sz="8" w:space="0" w:color="5F497A" w:themeColor="accent4" w:themeShade="BF"/>
              <w:left w:val="nil"/>
              <w:bottom w:val="single" w:sz="8" w:space="0" w:color="5F497A" w:themeColor="accent4" w:themeShade="BF"/>
              <w:right w:val="nil"/>
            </w:tcBorders>
          </w:tcPr>
          <w:p w14:paraId="7BEE4552" w14:textId="706E4F0A" w:rsidR="00A009D7" w:rsidRPr="00A44829" w:rsidRDefault="00A009D7" w:rsidP="00A009D7">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15,000)</w:t>
            </w:r>
          </w:p>
        </w:tc>
      </w:tr>
      <w:tr w:rsidR="00566EA9" w:rsidRPr="001D41EA" w14:paraId="4E84DAF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5E757E6" w14:textId="77777777" w:rsidR="00566EA9" w:rsidRPr="001D41EA" w:rsidRDefault="00566EA9" w:rsidP="001D41EA">
            <w:pPr>
              <w:spacing w:before="40" w:after="40"/>
              <w:rPr>
                <w:rFonts w:cs="Arial"/>
                <w:sz w:val="18"/>
                <w:szCs w:val="18"/>
              </w:rPr>
            </w:pPr>
          </w:p>
        </w:tc>
        <w:tc>
          <w:tcPr>
            <w:tcW w:w="102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7723FB87" w14:textId="00FBDE01" w:rsidR="00566EA9" w:rsidRPr="001D41EA" w:rsidRDefault="00566EA9" w:rsidP="001D41EA">
            <w:pPr>
              <w:spacing w:before="40" w:after="40"/>
              <w:jc w:val="center"/>
              <w:rPr>
                <w:rFonts w:cs="Arial"/>
                <w:sz w:val="18"/>
                <w:szCs w:val="18"/>
              </w:rPr>
            </w:pPr>
          </w:p>
        </w:tc>
        <w:tc>
          <w:tcPr>
            <w:tcW w:w="170" w:type="dxa"/>
            <w:tcBorders>
              <w:top w:val="single" w:sz="8" w:space="0" w:color="5F497A" w:themeColor="accent4" w:themeShade="BF"/>
              <w:left w:val="nil"/>
              <w:bottom w:val="nil"/>
              <w:right w:val="nil"/>
            </w:tcBorders>
            <w:shd w:val="clear" w:color="auto" w:fill="auto"/>
            <w:vAlign w:val="bottom"/>
          </w:tcPr>
          <w:p w14:paraId="3A75563D" w14:textId="67CFE332" w:rsidR="00566EA9" w:rsidRPr="001D41EA" w:rsidRDefault="00566EA9" w:rsidP="001D41EA">
            <w:pPr>
              <w:spacing w:before="40" w:after="40"/>
              <w:jc w:val="center"/>
              <w:rPr>
                <w:rFonts w:cs="Arial"/>
                <w:sz w:val="18"/>
                <w:szCs w:val="18"/>
              </w:rPr>
            </w:pPr>
          </w:p>
        </w:tc>
        <w:tc>
          <w:tcPr>
            <w:tcW w:w="1021" w:type="dxa"/>
            <w:tcBorders>
              <w:top w:val="single" w:sz="8" w:space="0" w:color="5F497A" w:themeColor="accent4" w:themeShade="BF"/>
              <w:left w:val="nil"/>
              <w:bottom w:val="nil"/>
              <w:right w:val="nil"/>
            </w:tcBorders>
            <w:vAlign w:val="bottom"/>
          </w:tcPr>
          <w:p w14:paraId="427A4717" w14:textId="5980823C" w:rsidR="00566EA9" w:rsidRPr="001D41EA" w:rsidRDefault="00566EA9" w:rsidP="001D41EA">
            <w:pPr>
              <w:spacing w:before="40" w:after="40"/>
              <w:jc w:val="center"/>
              <w:rPr>
                <w:rFonts w:cs="Arial"/>
                <w:sz w:val="18"/>
                <w:szCs w:val="18"/>
              </w:rPr>
            </w:pPr>
          </w:p>
        </w:tc>
        <w:tc>
          <w:tcPr>
            <w:tcW w:w="1021" w:type="dxa"/>
            <w:tcBorders>
              <w:top w:val="single" w:sz="8" w:space="0" w:color="5F497A" w:themeColor="accent4" w:themeShade="BF"/>
              <w:left w:val="nil"/>
              <w:bottom w:val="nil"/>
              <w:right w:val="nil"/>
            </w:tcBorders>
            <w:vAlign w:val="bottom"/>
          </w:tcPr>
          <w:p w14:paraId="68060A88" w14:textId="77777777" w:rsidR="00566EA9" w:rsidRPr="001D41EA" w:rsidRDefault="00566EA9" w:rsidP="001D41EA">
            <w:pPr>
              <w:spacing w:before="40" w:after="40"/>
              <w:jc w:val="center"/>
              <w:rPr>
                <w:rFonts w:cs="Arial"/>
                <w:sz w:val="18"/>
                <w:szCs w:val="18"/>
              </w:rPr>
            </w:pPr>
          </w:p>
        </w:tc>
        <w:tc>
          <w:tcPr>
            <w:tcW w:w="1021" w:type="dxa"/>
            <w:tcBorders>
              <w:top w:val="single" w:sz="8" w:space="0" w:color="5F497A" w:themeColor="accent4" w:themeShade="BF"/>
              <w:left w:val="nil"/>
              <w:bottom w:val="nil"/>
              <w:right w:val="nil"/>
            </w:tcBorders>
            <w:shd w:val="clear" w:color="auto" w:fill="auto"/>
            <w:vAlign w:val="bottom"/>
          </w:tcPr>
          <w:p w14:paraId="4ACEE0B1" w14:textId="77777777" w:rsidR="00566EA9" w:rsidRPr="001D41EA" w:rsidRDefault="00566EA9" w:rsidP="001D41EA">
            <w:pPr>
              <w:spacing w:before="40" w:after="40"/>
              <w:jc w:val="center"/>
              <w:rPr>
                <w:rFonts w:cs="Arial"/>
                <w:sz w:val="18"/>
                <w:szCs w:val="18"/>
              </w:rPr>
            </w:pPr>
          </w:p>
        </w:tc>
        <w:tc>
          <w:tcPr>
            <w:tcW w:w="1021" w:type="dxa"/>
            <w:tcBorders>
              <w:top w:val="single" w:sz="8" w:space="0" w:color="5F497A" w:themeColor="accent4" w:themeShade="BF"/>
              <w:left w:val="nil"/>
              <w:bottom w:val="nil"/>
              <w:right w:val="nil"/>
            </w:tcBorders>
            <w:vAlign w:val="bottom"/>
          </w:tcPr>
          <w:p w14:paraId="2DA638F9" w14:textId="77777777" w:rsidR="00566EA9" w:rsidRPr="001D41EA" w:rsidRDefault="00566EA9" w:rsidP="001D41EA">
            <w:pPr>
              <w:spacing w:before="40" w:after="40"/>
              <w:jc w:val="center"/>
              <w:rPr>
                <w:rFonts w:cs="Arial"/>
                <w:sz w:val="18"/>
                <w:szCs w:val="18"/>
              </w:rPr>
            </w:pPr>
          </w:p>
        </w:tc>
        <w:tc>
          <w:tcPr>
            <w:tcW w:w="1021" w:type="dxa"/>
            <w:tcBorders>
              <w:top w:val="single" w:sz="8" w:space="0" w:color="5F497A" w:themeColor="accent4" w:themeShade="BF"/>
              <w:left w:val="nil"/>
              <w:bottom w:val="nil"/>
              <w:right w:val="nil"/>
            </w:tcBorders>
            <w:vAlign w:val="bottom"/>
          </w:tcPr>
          <w:p w14:paraId="7D8EC59B" w14:textId="41BA9300" w:rsidR="00566EA9" w:rsidRPr="001D41EA" w:rsidRDefault="00566EA9" w:rsidP="001D41EA">
            <w:pPr>
              <w:spacing w:before="40" w:after="4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693FCD4F" w14:textId="321128A4" w:rsidR="00566EA9" w:rsidRPr="001D41EA" w:rsidRDefault="00566EA9" w:rsidP="001D41EA">
            <w:pPr>
              <w:spacing w:before="40" w:after="40"/>
              <w:jc w:val="center"/>
              <w:rPr>
                <w:rFonts w:cs="Arial"/>
                <w:sz w:val="18"/>
                <w:szCs w:val="18"/>
              </w:rPr>
            </w:pPr>
          </w:p>
        </w:tc>
        <w:tc>
          <w:tcPr>
            <w:tcW w:w="1021" w:type="dxa"/>
            <w:tcBorders>
              <w:top w:val="single" w:sz="8" w:space="0" w:color="5F497A" w:themeColor="accent4" w:themeShade="BF"/>
              <w:left w:val="nil"/>
              <w:bottom w:val="nil"/>
              <w:right w:val="nil"/>
            </w:tcBorders>
            <w:vAlign w:val="bottom"/>
          </w:tcPr>
          <w:p w14:paraId="4FB42F3B" w14:textId="5750EFA6" w:rsidR="00566EA9" w:rsidRPr="001D41EA" w:rsidRDefault="00566EA9" w:rsidP="001D41EA">
            <w:pPr>
              <w:spacing w:before="40" w:after="40"/>
              <w:jc w:val="center"/>
              <w:rPr>
                <w:rFonts w:cs="Arial"/>
                <w:sz w:val="18"/>
                <w:szCs w:val="18"/>
              </w:rPr>
            </w:pPr>
          </w:p>
        </w:tc>
      </w:tr>
      <w:tr w:rsidR="00566EA9" w:rsidRPr="001D41EA" w14:paraId="10C2562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9D17BEA" w14:textId="77777777" w:rsidR="00566EA9" w:rsidRPr="001D41EA" w:rsidRDefault="00566EA9" w:rsidP="001D41EA">
            <w:pPr>
              <w:spacing w:before="40" w:after="40"/>
              <w:rPr>
                <w:rFonts w:cs="Arial"/>
                <w:sz w:val="18"/>
                <w:szCs w:val="18"/>
              </w:rPr>
            </w:pPr>
            <w:r w:rsidRPr="001D41EA">
              <w:rPr>
                <w:rFonts w:cs="Arial"/>
                <w:sz w:val="18"/>
                <w:szCs w:val="18"/>
              </w:rPr>
              <w:t>Alpine S</w:t>
            </w:r>
          </w:p>
        </w:tc>
        <w:tc>
          <w:tcPr>
            <w:tcW w:w="1021" w:type="dxa"/>
            <w:tcBorders>
              <w:top w:val="nil"/>
              <w:left w:val="single" w:sz="18" w:space="0" w:color="5F497A" w:themeColor="accent4" w:themeShade="BF"/>
              <w:bottom w:val="nil"/>
              <w:right w:val="nil"/>
            </w:tcBorders>
            <w:shd w:val="clear" w:color="auto" w:fill="auto"/>
            <w:vAlign w:val="bottom"/>
          </w:tcPr>
          <w:p w14:paraId="548BAAB4" w14:textId="01B9BC54" w:rsidR="00566EA9" w:rsidRPr="001D41EA" w:rsidRDefault="00566EA9" w:rsidP="001D41EA">
            <w:pPr>
              <w:spacing w:before="40" w:after="40"/>
              <w:jc w:val="center"/>
              <w:rPr>
                <w:rFonts w:cs="Arial"/>
                <w:sz w:val="18"/>
                <w:szCs w:val="18"/>
              </w:rPr>
            </w:pPr>
            <w:r w:rsidRPr="001D41EA">
              <w:rPr>
                <w:rFonts w:cs="Arial"/>
                <w:sz w:val="18"/>
                <w:szCs w:val="18"/>
              </w:rPr>
              <w:t>1.124</w:t>
            </w:r>
          </w:p>
        </w:tc>
        <w:tc>
          <w:tcPr>
            <w:tcW w:w="170" w:type="dxa"/>
            <w:tcBorders>
              <w:top w:val="nil"/>
              <w:left w:val="nil"/>
              <w:bottom w:val="nil"/>
              <w:right w:val="nil"/>
            </w:tcBorders>
            <w:shd w:val="clear" w:color="auto" w:fill="auto"/>
            <w:vAlign w:val="bottom"/>
          </w:tcPr>
          <w:p w14:paraId="0D20AE69" w14:textId="3A2CA707"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39CF9EA7" w14:textId="4D7A862E" w:rsidR="00566EA9" w:rsidRPr="001D41EA" w:rsidRDefault="00566EA9" w:rsidP="001D41EA">
            <w:pPr>
              <w:spacing w:before="40" w:after="40"/>
              <w:jc w:val="center"/>
              <w:rPr>
                <w:rFonts w:cs="Arial"/>
                <w:sz w:val="18"/>
                <w:szCs w:val="18"/>
              </w:rPr>
            </w:pPr>
            <w:r w:rsidRPr="001D41EA">
              <w:rPr>
                <w:rFonts w:cs="Arial"/>
                <w:sz w:val="18"/>
                <w:szCs w:val="18"/>
              </w:rPr>
              <w:t>1.267</w:t>
            </w:r>
          </w:p>
        </w:tc>
        <w:tc>
          <w:tcPr>
            <w:tcW w:w="1021" w:type="dxa"/>
            <w:tcBorders>
              <w:top w:val="nil"/>
              <w:left w:val="nil"/>
              <w:bottom w:val="nil"/>
              <w:right w:val="nil"/>
            </w:tcBorders>
            <w:vAlign w:val="bottom"/>
          </w:tcPr>
          <w:p w14:paraId="6D064275" w14:textId="707A7E3C" w:rsidR="00566EA9" w:rsidRPr="001D41EA" w:rsidRDefault="00566EA9" w:rsidP="001D41EA">
            <w:pPr>
              <w:spacing w:before="40" w:after="40"/>
              <w:jc w:val="center"/>
              <w:rPr>
                <w:rFonts w:cs="Arial"/>
                <w:sz w:val="18"/>
                <w:szCs w:val="18"/>
              </w:rPr>
            </w:pPr>
            <w:r w:rsidRPr="001D41EA">
              <w:rPr>
                <w:rFonts w:cs="Arial"/>
                <w:sz w:val="18"/>
                <w:szCs w:val="18"/>
              </w:rPr>
              <w:t>1.261</w:t>
            </w:r>
          </w:p>
        </w:tc>
        <w:tc>
          <w:tcPr>
            <w:tcW w:w="1021" w:type="dxa"/>
            <w:tcBorders>
              <w:top w:val="nil"/>
              <w:left w:val="nil"/>
              <w:bottom w:val="nil"/>
              <w:right w:val="nil"/>
            </w:tcBorders>
            <w:shd w:val="clear" w:color="auto" w:fill="auto"/>
            <w:vAlign w:val="bottom"/>
          </w:tcPr>
          <w:p w14:paraId="243081E2" w14:textId="2649A761" w:rsidR="00566EA9" w:rsidRPr="001D41EA" w:rsidRDefault="00566EA9" w:rsidP="001D41EA">
            <w:pPr>
              <w:spacing w:before="40" w:after="40"/>
              <w:jc w:val="center"/>
              <w:rPr>
                <w:rFonts w:cs="Arial"/>
                <w:sz w:val="18"/>
                <w:szCs w:val="18"/>
              </w:rPr>
            </w:pPr>
            <w:r w:rsidRPr="001D41EA">
              <w:rPr>
                <w:rFonts w:cs="Arial"/>
                <w:sz w:val="18"/>
                <w:szCs w:val="18"/>
              </w:rPr>
              <w:t>1.256</w:t>
            </w:r>
          </w:p>
        </w:tc>
        <w:tc>
          <w:tcPr>
            <w:tcW w:w="1021" w:type="dxa"/>
            <w:tcBorders>
              <w:top w:val="nil"/>
              <w:left w:val="nil"/>
              <w:bottom w:val="nil"/>
              <w:right w:val="nil"/>
            </w:tcBorders>
            <w:vAlign w:val="bottom"/>
          </w:tcPr>
          <w:p w14:paraId="43C3C22A" w14:textId="72A6F725" w:rsidR="00566EA9" w:rsidRPr="001D41EA" w:rsidRDefault="00566EA9" w:rsidP="001D41EA">
            <w:pPr>
              <w:spacing w:before="40" w:after="40"/>
              <w:jc w:val="center"/>
              <w:rPr>
                <w:rFonts w:cs="Arial"/>
                <w:sz w:val="18"/>
                <w:szCs w:val="18"/>
              </w:rPr>
            </w:pPr>
            <w:r w:rsidRPr="001D41EA">
              <w:rPr>
                <w:rFonts w:cs="Arial"/>
                <w:sz w:val="18"/>
                <w:szCs w:val="18"/>
              </w:rPr>
              <w:t>1.265</w:t>
            </w:r>
          </w:p>
        </w:tc>
        <w:tc>
          <w:tcPr>
            <w:tcW w:w="1021" w:type="dxa"/>
            <w:tcBorders>
              <w:top w:val="nil"/>
              <w:left w:val="nil"/>
              <w:bottom w:val="nil"/>
              <w:right w:val="nil"/>
            </w:tcBorders>
            <w:vAlign w:val="bottom"/>
          </w:tcPr>
          <w:p w14:paraId="73F38CD8" w14:textId="0A644E84" w:rsidR="00566EA9" w:rsidRPr="001D41EA" w:rsidRDefault="00566EA9" w:rsidP="001D41EA">
            <w:pPr>
              <w:spacing w:before="40" w:after="40"/>
              <w:jc w:val="center"/>
              <w:rPr>
                <w:rFonts w:cs="Arial"/>
                <w:sz w:val="18"/>
                <w:szCs w:val="18"/>
              </w:rPr>
            </w:pPr>
            <w:r w:rsidRPr="001D41EA">
              <w:rPr>
                <w:rFonts w:cs="Arial"/>
                <w:sz w:val="18"/>
                <w:szCs w:val="18"/>
              </w:rPr>
              <w:t>1.249</w:t>
            </w:r>
          </w:p>
        </w:tc>
        <w:tc>
          <w:tcPr>
            <w:tcW w:w="170" w:type="dxa"/>
            <w:tcBorders>
              <w:top w:val="nil"/>
              <w:left w:val="nil"/>
              <w:bottom w:val="nil"/>
              <w:right w:val="nil"/>
            </w:tcBorders>
            <w:vAlign w:val="bottom"/>
          </w:tcPr>
          <w:p w14:paraId="616F4130" w14:textId="57068580"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0424BF0F" w14:textId="2FB443F2" w:rsidR="00566EA9" w:rsidRPr="001D41EA" w:rsidRDefault="00566EA9" w:rsidP="001D41EA">
            <w:pPr>
              <w:spacing w:before="40" w:after="40"/>
              <w:jc w:val="center"/>
              <w:rPr>
                <w:rFonts w:cs="Arial"/>
                <w:sz w:val="18"/>
                <w:szCs w:val="18"/>
              </w:rPr>
            </w:pPr>
            <w:r w:rsidRPr="001D41EA">
              <w:rPr>
                <w:rFonts w:cs="Arial"/>
                <w:sz w:val="18"/>
                <w:szCs w:val="18"/>
              </w:rPr>
              <w:t>1.470</w:t>
            </w:r>
          </w:p>
        </w:tc>
      </w:tr>
      <w:tr w:rsidR="00566EA9" w:rsidRPr="001D41EA" w14:paraId="6359455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A6FD663" w14:textId="77777777" w:rsidR="00566EA9" w:rsidRPr="001D41EA" w:rsidRDefault="00566EA9" w:rsidP="001D41EA">
            <w:pPr>
              <w:spacing w:before="40" w:after="40"/>
              <w:rPr>
                <w:rFonts w:cs="Arial"/>
                <w:sz w:val="18"/>
                <w:szCs w:val="18"/>
              </w:rPr>
            </w:pPr>
            <w:r w:rsidRPr="001D41EA">
              <w:rPr>
                <w:rFonts w:cs="Arial"/>
                <w:sz w:val="18"/>
                <w:szCs w:val="18"/>
              </w:rPr>
              <w:t>Ararat RC</w:t>
            </w:r>
          </w:p>
        </w:tc>
        <w:tc>
          <w:tcPr>
            <w:tcW w:w="1021" w:type="dxa"/>
            <w:tcBorders>
              <w:top w:val="nil"/>
              <w:left w:val="single" w:sz="18" w:space="0" w:color="5F497A" w:themeColor="accent4" w:themeShade="BF"/>
              <w:bottom w:val="nil"/>
              <w:right w:val="nil"/>
            </w:tcBorders>
            <w:shd w:val="clear" w:color="auto" w:fill="auto"/>
            <w:vAlign w:val="bottom"/>
          </w:tcPr>
          <w:p w14:paraId="7F803AA0" w14:textId="319F6A1D" w:rsidR="00566EA9" w:rsidRPr="001D41EA" w:rsidRDefault="00566EA9" w:rsidP="001D41EA">
            <w:pPr>
              <w:spacing w:before="40" w:after="40"/>
              <w:jc w:val="center"/>
              <w:rPr>
                <w:rFonts w:cs="Arial"/>
                <w:sz w:val="18"/>
                <w:szCs w:val="18"/>
              </w:rPr>
            </w:pPr>
            <w:r w:rsidRPr="001D41EA">
              <w:rPr>
                <w:rFonts w:cs="Arial"/>
                <w:sz w:val="18"/>
                <w:szCs w:val="18"/>
              </w:rPr>
              <w:t>1.060</w:t>
            </w:r>
          </w:p>
        </w:tc>
        <w:tc>
          <w:tcPr>
            <w:tcW w:w="170" w:type="dxa"/>
            <w:tcBorders>
              <w:top w:val="nil"/>
              <w:left w:val="nil"/>
              <w:bottom w:val="nil"/>
              <w:right w:val="nil"/>
            </w:tcBorders>
            <w:shd w:val="clear" w:color="auto" w:fill="auto"/>
            <w:vAlign w:val="bottom"/>
          </w:tcPr>
          <w:p w14:paraId="755601D6" w14:textId="3A674824"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7F91565D" w14:textId="4BB6B426" w:rsidR="00566EA9" w:rsidRPr="001D41EA" w:rsidRDefault="00566EA9" w:rsidP="001D41EA">
            <w:pPr>
              <w:spacing w:before="40" w:after="40"/>
              <w:jc w:val="center"/>
              <w:rPr>
                <w:rFonts w:cs="Arial"/>
                <w:sz w:val="18"/>
                <w:szCs w:val="18"/>
              </w:rPr>
            </w:pPr>
            <w:r w:rsidRPr="001D41EA">
              <w:rPr>
                <w:rFonts w:cs="Arial"/>
                <w:sz w:val="18"/>
                <w:szCs w:val="18"/>
              </w:rPr>
              <w:t>1.270</w:t>
            </w:r>
          </w:p>
        </w:tc>
        <w:tc>
          <w:tcPr>
            <w:tcW w:w="1021" w:type="dxa"/>
            <w:tcBorders>
              <w:top w:val="nil"/>
              <w:left w:val="nil"/>
              <w:bottom w:val="nil"/>
              <w:right w:val="nil"/>
            </w:tcBorders>
            <w:vAlign w:val="bottom"/>
          </w:tcPr>
          <w:p w14:paraId="05AB3615" w14:textId="3B29F8EF" w:rsidR="00566EA9" w:rsidRPr="001D41EA" w:rsidRDefault="00566EA9" w:rsidP="001D41EA">
            <w:pPr>
              <w:spacing w:before="40" w:after="40"/>
              <w:jc w:val="center"/>
              <w:rPr>
                <w:rFonts w:cs="Arial"/>
                <w:sz w:val="18"/>
                <w:szCs w:val="18"/>
              </w:rPr>
            </w:pPr>
            <w:r w:rsidRPr="001D41EA">
              <w:rPr>
                <w:rFonts w:cs="Arial"/>
                <w:sz w:val="18"/>
                <w:szCs w:val="18"/>
              </w:rPr>
              <w:t>1.263</w:t>
            </w:r>
          </w:p>
        </w:tc>
        <w:tc>
          <w:tcPr>
            <w:tcW w:w="1021" w:type="dxa"/>
            <w:tcBorders>
              <w:top w:val="nil"/>
              <w:left w:val="nil"/>
              <w:bottom w:val="nil"/>
              <w:right w:val="nil"/>
            </w:tcBorders>
            <w:shd w:val="clear" w:color="auto" w:fill="auto"/>
            <w:vAlign w:val="bottom"/>
          </w:tcPr>
          <w:p w14:paraId="144686B1" w14:textId="543FCE93" w:rsidR="00566EA9" w:rsidRPr="001D41EA" w:rsidRDefault="00566EA9" w:rsidP="001D41EA">
            <w:pPr>
              <w:spacing w:before="40" w:after="40"/>
              <w:jc w:val="center"/>
              <w:rPr>
                <w:rFonts w:cs="Arial"/>
                <w:sz w:val="18"/>
                <w:szCs w:val="18"/>
              </w:rPr>
            </w:pPr>
            <w:r w:rsidRPr="001D41EA">
              <w:rPr>
                <w:rFonts w:cs="Arial"/>
                <w:sz w:val="18"/>
                <w:szCs w:val="18"/>
              </w:rPr>
              <w:t>1.258</w:t>
            </w:r>
          </w:p>
        </w:tc>
        <w:tc>
          <w:tcPr>
            <w:tcW w:w="1021" w:type="dxa"/>
            <w:tcBorders>
              <w:top w:val="nil"/>
              <w:left w:val="nil"/>
              <w:bottom w:val="nil"/>
              <w:right w:val="nil"/>
            </w:tcBorders>
            <w:vAlign w:val="bottom"/>
          </w:tcPr>
          <w:p w14:paraId="3F8D697B" w14:textId="2EE4D0DE" w:rsidR="00566EA9" w:rsidRPr="001D41EA" w:rsidRDefault="00566EA9" w:rsidP="001D41EA">
            <w:pPr>
              <w:spacing w:before="40" w:after="40"/>
              <w:jc w:val="center"/>
              <w:rPr>
                <w:rFonts w:cs="Arial"/>
                <w:sz w:val="18"/>
                <w:szCs w:val="18"/>
              </w:rPr>
            </w:pPr>
            <w:r w:rsidRPr="001D41EA">
              <w:rPr>
                <w:rFonts w:cs="Arial"/>
                <w:sz w:val="18"/>
                <w:szCs w:val="18"/>
              </w:rPr>
              <w:t>1.268</w:t>
            </w:r>
          </w:p>
        </w:tc>
        <w:tc>
          <w:tcPr>
            <w:tcW w:w="1021" w:type="dxa"/>
            <w:tcBorders>
              <w:top w:val="nil"/>
              <w:left w:val="nil"/>
              <w:bottom w:val="nil"/>
              <w:right w:val="nil"/>
            </w:tcBorders>
            <w:vAlign w:val="bottom"/>
          </w:tcPr>
          <w:p w14:paraId="70A9FD94" w14:textId="1B2DAAF8" w:rsidR="00566EA9" w:rsidRPr="001D41EA" w:rsidRDefault="00566EA9" w:rsidP="001D41EA">
            <w:pPr>
              <w:spacing w:before="40" w:after="40"/>
              <w:jc w:val="center"/>
              <w:rPr>
                <w:rFonts w:cs="Arial"/>
                <w:sz w:val="18"/>
                <w:szCs w:val="18"/>
              </w:rPr>
            </w:pPr>
            <w:r w:rsidRPr="001D41EA">
              <w:rPr>
                <w:rFonts w:cs="Arial"/>
                <w:sz w:val="18"/>
                <w:szCs w:val="18"/>
              </w:rPr>
              <w:t>1.252</w:t>
            </w:r>
          </w:p>
        </w:tc>
        <w:tc>
          <w:tcPr>
            <w:tcW w:w="170" w:type="dxa"/>
            <w:tcBorders>
              <w:top w:val="nil"/>
              <w:left w:val="nil"/>
              <w:bottom w:val="nil"/>
              <w:right w:val="nil"/>
            </w:tcBorders>
            <w:vAlign w:val="bottom"/>
          </w:tcPr>
          <w:p w14:paraId="44720955" w14:textId="303C634E"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65DCD160" w14:textId="47DA6528" w:rsidR="00566EA9" w:rsidRPr="001D41EA" w:rsidRDefault="00566EA9" w:rsidP="001D41EA">
            <w:pPr>
              <w:spacing w:before="40" w:after="40"/>
              <w:jc w:val="center"/>
              <w:rPr>
                <w:rFonts w:cs="Arial"/>
                <w:sz w:val="18"/>
                <w:szCs w:val="18"/>
              </w:rPr>
            </w:pPr>
            <w:r w:rsidRPr="001D41EA">
              <w:rPr>
                <w:rFonts w:cs="Arial"/>
                <w:sz w:val="18"/>
                <w:szCs w:val="18"/>
              </w:rPr>
              <w:t>1.108</w:t>
            </w:r>
          </w:p>
        </w:tc>
      </w:tr>
      <w:tr w:rsidR="00566EA9" w:rsidRPr="001D41EA" w14:paraId="6B9E80D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2C6D36E" w14:textId="77777777" w:rsidR="00566EA9" w:rsidRPr="001D41EA" w:rsidRDefault="00566EA9" w:rsidP="001D41EA">
            <w:pPr>
              <w:spacing w:before="40" w:after="40"/>
              <w:rPr>
                <w:rFonts w:cs="Arial"/>
                <w:sz w:val="18"/>
                <w:szCs w:val="18"/>
              </w:rPr>
            </w:pPr>
            <w:r w:rsidRPr="001D41EA">
              <w:rPr>
                <w:rFonts w:cs="Arial"/>
                <w:sz w:val="18"/>
                <w:szCs w:val="18"/>
              </w:rPr>
              <w:t>Ballarat C</w:t>
            </w:r>
          </w:p>
        </w:tc>
        <w:tc>
          <w:tcPr>
            <w:tcW w:w="1021" w:type="dxa"/>
            <w:tcBorders>
              <w:top w:val="nil"/>
              <w:left w:val="single" w:sz="18" w:space="0" w:color="5F497A" w:themeColor="accent4" w:themeShade="BF"/>
              <w:bottom w:val="nil"/>
              <w:right w:val="nil"/>
            </w:tcBorders>
            <w:shd w:val="clear" w:color="auto" w:fill="auto"/>
            <w:vAlign w:val="bottom"/>
          </w:tcPr>
          <w:p w14:paraId="50AA0A36" w14:textId="20679284" w:rsidR="00566EA9" w:rsidRPr="001D41EA" w:rsidRDefault="00566EA9" w:rsidP="001D41EA">
            <w:pPr>
              <w:spacing w:before="40" w:after="40"/>
              <w:jc w:val="center"/>
              <w:rPr>
                <w:rFonts w:cs="Arial"/>
                <w:sz w:val="18"/>
                <w:szCs w:val="18"/>
              </w:rPr>
            </w:pPr>
            <w:r w:rsidRPr="001D41EA">
              <w:rPr>
                <w:rFonts w:cs="Arial"/>
                <w:sz w:val="18"/>
                <w:szCs w:val="18"/>
              </w:rPr>
              <w:t>1.051</w:t>
            </w:r>
          </w:p>
        </w:tc>
        <w:tc>
          <w:tcPr>
            <w:tcW w:w="170" w:type="dxa"/>
            <w:tcBorders>
              <w:top w:val="nil"/>
              <w:left w:val="nil"/>
              <w:bottom w:val="nil"/>
              <w:right w:val="nil"/>
            </w:tcBorders>
            <w:shd w:val="clear" w:color="auto" w:fill="auto"/>
            <w:vAlign w:val="bottom"/>
          </w:tcPr>
          <w:p w14:paraId="26569F26" w14:textId="763BF9F5"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64242D00" w14:textId="406C8368" w:rsidR="00566EA9" w:rsidRPr="001D41EA" w:rsidRDefault="00566EA9" w:rsidP="001D41EA">
            <w:pPr>
              <w:spacing w:before="40" w:after="40"/>
              <w:jc w:val="center"/>
              <w:rPr>
                <w:rFonts w:cs="Arial"/>
                <w:sz w:val="18"/>
                <w:szCs w:val="18"/>
              </w:rPr>
            </w:pPr>
            <w:r w:rsidRPr="001D41EA">
              <w:rPr>
                <w:rFonts w:cs="Arial"/>
                <w:sz w:val="18"/>
                <w:szCs w:val="18"/>
              </w:rPr>
              <w:t>1.088</w:t>
            </w:r>
          </w:p>
        </w:tc>
        <w:tc>
          <w:tcPr>
            <w:tcW w:w="1021" w:type="dxa"/>
            <w:tcBorders>
              <w:top w:val="nil"/>
              <w:left w:val="nil"/>
              <w:bottom w:val="nil"/>
              <w:right w:val="nil"/>
            </w:tcBorders>
            <w:vAlign w:val="bottom"/>
          </w:tcPr>
          <w:p w14:paraId="5ADF3BAE" w14:textId="1DFA0221" w:rsidR="00566EA9" w:rsidRPr="001D41EA" w:rsidRDefault="00566EA9" w:rsidP="001D41EA">
            <w:pPr>
              <w:spacing w:before="40" w:after="40"/>
              <w:jc w:val="center"/>
              <w:rPr>
                <w:rFonts w:cs="Arial"/>
                <w:sz w:val="18"/>
                <w:szCs w:val="18"/>
              </w:rPr>
            </w:pPr>
            <w:r w:rsidRPr="001D41EA">
              <w:rPr>
                <w:rFonts w:cs="Arial"/>
                <w:sz w:val="18"/>
                <w:szCs w:val="18"/>
              </w:rPr>
              <w:t>1.082</w:t>
            </w:r>
          </w:p>
        </w:tc>
        <w:tc>
          <w:tcPr>
            <w:tcW w:w="1021" w:type="dxa"/>
            <w:tcBorders>
              <w:top w:val="nil"/>
              <w:left w:val="nil"/>
              <w:bottom w:val="nil"/>
              <w:right w:val="nil"/>
            </w:tcBorders>
            <w:shd w:val="clear" w:color="auto" w:fill="auto"/>
            <w:vAlign w:val="bottom"/>
          </w:tcPr>
          <w:p w14:paraId="41016484" w14:textId="1B305B32" w:rsidR="00566EA9" w:rsidRPr="001D41EA" w:rsidRDefault="00566EA9" w:rsidP="001D41EA">
            <w:pPr>
              <w:spacing w:before="40" w:after="40"/>
              <w:jc w:val="center"/>
              <w:rPr>
                <w:rFonts w:cs="Arial"/>
                <w:sz w:val="18"/>
                <w:szCs w:val="18"/>
              </w:rPr>
            </w:pPr>
            <w:r w:rsidRPr="001D41EA">
              <w:rPr>
                <w:rFonts w:cs="Arial"/>
                <w:sz w:val="18"/>
                <w:szCs w:val="18"/>
              </w:rPr>
              <w:t>1.078</w:t>
            </w:r>
          </w:p>
        </w:tc>
        <w:tc>
          <w:tcPr>
            <w:tcW w:w="1021" w:type="dxa"/>
            <w:tcBorders>
              <w:top w:val="nil"/>
              <w:left w:val="nil"/>
              <w:bottom w:val="nil"/>
              <w:right w:val="nil"/>
            </w:tcBorders>
            <w:vAlign w:val="bottom"/>
          </w:tcPr>
          <w:p w14:paraId="3DEE3D06" w14:textId="29275147" w:rsidR="00566EA9" w:rsidRPr="001D41EA" w:rsidRDefault="00566EA9" w:rsidP="001D41EA">
            <w:pPr>
              <w:spacing w:before="40" w:after="40"/>
              <w:jc w:val="center"/>
              <w:rPr>
                <w:rFonts w:cs="Arial"/>
                <w:sz w:val="18"/>
                <w:szCs w:val="18"/>
              </w:rPr>
            </w:pPr>
            <w:r w:rsidRPr="001D41EA">
              <w:rPr>
                <w:rFonts w:cs="Arial"/>
                <w:sz w:val="18"/>
                <w:szCs w:val="18"/>
              </w:rPr>
              <w:t>1.086</w:t>
            </w:r>
          </w:p>
        </w:tc>
        <w:tc>
          <w:tcPr>
            <w:tcW w:w="1021" w:type="dxa"/>
            <w:tcBorders>
              <w:top w:val="nil"/>
              <w:left w:val="nil"/>
              <w:bottom w:val="nil"/>
              <w:right w:val="nil"/>
            </w:tcBorders>
            <w:vAlign w:val="bottom"/>
          </w:tcPr>
          <w:p w14:paraId="6D7A01C7" w14:textId="6465C88A" w:rsidR="00566EA9" w:rsidRPr="001D41EA" w:rsidRDefault="00566EA9" w:rsidP="001D41EA">
            <w:pPr>
              <w:spacing w:before="40" w:after="40"/>
              <w:jc w:val="center"/>
              <w:rPr>
                <w:rFonts w:cs="Arial"/>
                <w:sz w:val="18"/>
                <w:szCs w:val="18"/>
              </w:rPr>
            </w:pPr>
            <w:r w:rsidRPr="001D41EA">
              <w:rPr>
                <w:rFonts w:cs="Arial"/>
                <w:sz w:val="18"/>
                <w:szCs w:val="18"/>
              </w:rPr>
              <w:t>1.072</w:t>
            </w:r>
          </w:p>
        </w:tc>
        <w:tc>
          <w:tcPr>
            <w:tcW w:w="170" w:type="dxa"/>
            <w:tcBorders>
              <w:top w:val="nil"/>
              <w:left w:val="nil"/>
              <w:bottom w:val="nil"/>
              <w:right w:val="nil"/>
            </w:tcBorders>
            <w:vAlign w:val="bottom"/>
          </w:tcPr>
          <w:p w14:paraId="7CA329B9" w14:textId="17BA7F14"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1A8496EB" w14:textId="21CB2BD2" w:rsidR="00566EA9" w:rsidRPr="001D41EA" w:rsidRDefault="00566EA9" w:rsidP="001D41EA">
            <w:pPr>
              <w:spacing w:before="40" w:after="40"/>
              <w:jc w:val="center"/>
              <w:rPr>
                <w:rFonts w:cs="Arial"/>
                <w:sz w:val="18"/>
                <w:szCs w:val="18"/>
              </w:rPr>
            </w:pPr>
            <w:r w:rsidRPr="001D41EA">
              <w:rPr>
                <w:rFonts w:cs="Arial"/>
                <w:sz w:val="18"/>
                <w:szCs w:val="18"/>
              </w:rPr>
              <w:t>1.068</w:t>
            </w:r>
          </w:p>
        </w:tc>
      </w:tr>
      <w:tr w:rsidR="00566EA9" w:rsidRPr="001D41EA" w14:paraId="6EE3546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AC0F51F" w14:textId="77777777" w:rsidR="00566EA9" w:rsidRPr="001D41EA" w:rsidRDefault="00566EA9" w:rsidP="001D41EA">
            <w:pPr>
              <w:spacing w:before="40" w:after="40"/>
              <w:rPr>
                <w:rFonts w:cs="Arial"/>
                <w:sz w:val="18"/>
                <w:szCs w:val="18"/>
              </w:rPr>
            </w:pPr>
            <w:r w:rsidRPr="001D41EA">
              <w:rPr>
                <w:rFonts w:cs="Arial"/>
                <w:sz w:val="18"/>
                <w:szCs w:val="18"/>
              </w:rPr>
              <w:t>Banyule C</w:t>
            </w:r>
          </w:p>
        </w:tc>
        <w:tc>
          <w:tcPr>
            <w:tcW w:w="1021" w:type="dxa"/>
            <w:tcBorders>
              <w:top w:val="nil"/>
              <w:left w:val="single" w:sz="18" w:space="0" w:color="5F497A" w:themeColor="accent4" w:themeShade="BF"/>
              <w:bottom w:val="nil"/>
              <w:right w:val="nil"/>
            </w:tcBorders>
            <w:shd w:val="clear" w:color="auto" w:fill="auto"/>
            <w:vAlign w:val="bottom"/>
          </w:tcPr>
          <w:p w14:paraId="1788716B" w14:textId="0A5CD482" w:rsidR="00566EA9" w:rsidRPr="001D41EA" w:rsidRDefault="00566EA9" w:rsidP="001D41EA">
            <w:pPr>
              <w:spacing w:before="40" w:after="40"/>
              <w:jc w:val="center"/>
              <w:rPr>
                <w:rFonts w:cs="Arial"/>
                <w:sz w:val="18"/>
                <w:szCs w:val="18"/>
              </w:rPr>
            </w:pPr>
            <w:r w:rsidRPr="001D41EA">
              <w:rPr>
                <w:rFonts w:cs="Arial"/>
                <w:sz w:val="18"/>
                <w:szCs w:val="18"/>
              </w:rPr>
              <w:t>0.957</w:t>
            </w:r>
          </w:p>
        </w:tc>
        <w:tc>
          <w:tcPr>
            <w:tcW w:w="170" w:type="dxa"/>
            <w:tcBorders>
              <w:top w:val="nil"/>
              <w:left w:val="nil"/>
              <w:bottom w:val="nil"/>
              <w:right w:val="nil"/>
            </w:tcBorders>
            <w:shd w:val="clear" w:color="auto" w:fill="auto"/>
            <w:vAlign w:val="bottom"/>
          </w:tcPr>
          <w:p w14:paraId="6873D076" w14:textId="402E3F85"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3E1140B8" w14:textId="26514211" w:rsidR="00566EA9" w:rsidRPr="001D41EA" w:rsidRDefault="00566EA9" w:rsidP="001D41EA">
            <w:pPr>
              <w:spacing w:before="40" w:after="40"/>
              <w:jc w:val="center"/>
              <w:rPr>
                <w:rFonts w:cs="Arial"/>
                <w:sz w:val="18"/>
                <w:szCs w:val="18"/>
              </w:rPr>
            </w:pPr>
            <w:r w:rsidRPr="001D41EA">
              <w:rPr>
                <w:rFonts w:cs="Arial"/>
                <w:sz w:val="18"/>
                <w:szCs w:val="18"/>
              </w:rPr>
              <w:t>1.044</w:t>
            </w:r>
          </w:p>
        </w:tc>
        <w:tc>
          <w:tcPr>
            <w:tcW w:w="1021" w:type="dxa"/>
            <w:tcBorders>
              <w:top w:val="nil"/>
              <w:left w:val="nil"/>
              <w:bottom w:val="nil"/>
              <w:right w:val="nil"/>
            </w:tcBorders>
            <w:vAlign w:val="bottom"/>
          </w:tcPr>
          <w:p w14:paraId="36ECA45E" w14:textId="16603A8E" w:rsidR="00566EA9" w:rsidRPr="001D41EA" w:rsidRDefault="00566EA9" w:rsidP="001D41EA">
            <w:pPr>
              <w:spacing w:before="40" w:after="40"/>
              <w:jc w:val="center"/>
              <w:rPr>
                <w:rFonts w:cs="Arial"/>
                <w:sz w:val="18"/>
                <w:szCs w:val="18"/>
              </w:rPr>
            </w:pPr>
            <w:r w:rsidRPr="001D41EA">
              <w:rPr>
                <w:rFonts w:cs="Arial"/>
                <w:sz w:val="18"/>
                <w:szCs w:val="18"/>
              </w:rPr>
              <w:t>1.039</w:t>
            </w:r>
          </w:p>
        </w:tc>
        <w:tc>
          <w:tcPr>
            <w:tcW w:w="1021" w:type="dxa"/>
            <w:tcBorders>
              <w:top w:val="nil"/>
              <w:left w:val="nil"/>
              <w:bottom w:val="nil"/>
              <w:right w:val="nil"/>
            </w:tcBorders>
            <w:shd w:val="clear" w:color="auto" w:fill="auto"/>
            <w:vAlign w:val="bottom"/>
          </w:tcPr>
          <w:p w14:paraId="2F6A759A" w14:textId="04B30BCB" w:rsidR="00566EA9" w:rsidRPr="001D41EA" w:rsidRDefault="00566EA9" w:rsidP="001D41EA">
            <w:pPr>
              <w:spacing w:before="40" w:after="40"/>
              <w:jc w:val="center"/>
              <w:rPr>
                <w:rFonts w:cs="Arial"/>
                <w:sz w:val="18"/>
                <w:szCs w:val="18"/>
              </w:rPr>
            </w:pPr>
            <w:r w:rsidRPr="001D41EA">
              <w:rPr>
                <w:rFonts w:cs="Arial"/>
                <w:sz w:val="18"/>
                <w:szCs w:val="18"/>
              </w:rPr>
              <w:t>1.035</w:t>
            </w:r>
          </w:p>
        </w:tc>
        <w:tc>
          <w:tcPr>
            <w:tcW w:w="1021" w:type="dxa"/>
            <w:tcBorders>
              <w:top w:val="nil"/>
              <w:left w:val="nil"/>
              <w:bottom w:val="nil"/>
              <w:right w:val="nil"/>
            </w:tcBorders>
            <w:vAlign w:val="bottom"/>
          </w:tcPr>
          <w:p w14:paraId="7FF3B2DD" w14:textId="63D812AE" w:rsidR="00566EA9" w:rsidRPr="001D41EA" w:rsidRDefault="00566EA9" w:rsidP="001D41EA">
            <w:pPr>
              <w:spacing w:before="40" w:after="40"/>
              <w:jc w:val="center"/>
              <w:rPr>
                <w:rFonts w:cs="Arial"/>
                <w:sz w:val="18"/>
                <w:szCs w:val="18"/>
              </w:rPr>
            </w:pPr>
            <w:r w:rsidRPr="001D41EA">
              <w:rPr>
                <w:rFonts w:cs="Arial"/>
                <w:sz w:val="18"/>
                <w:szCs w:val="18"/>
              </w:rPr>
              <w:t>1.043</w:t>
            </w:r>
          </w:p>
        </w:tc>
        <w:tc>
          <w:tcPr>
            <w:tcW w:w="1021" w:type="dxa"/>
            <w:tcBorders>
              <w:top w:val="nil"/>
              <w:left w:val="nil"/>
              <w:bottom w:val="nil"/>
              <w:right w:val="nil"/>
            </w:tcBorders>
            <w:vAlign w:val="bottom"/>
          </w:tcPr>
          <w:p w14:paraId="222E6B6A" w14:textId="7351964B" w:rsidR="00566EA9" w:rsidRPr="001D41EA" w:rsidRDefault="00566EA9" w:rsidP="001D41EA">
            <w:pPr>
              <w:spacing w:before="40" w:after="40"/>
              <w:jc w:val="center"/>
              <w:rPr>
                <w:rFonts w:cs="Arial"/>
                <w:sz w:val="18"/>
                <w:szCs w:val="18"/>
              </w:rPr>
            </w:pPr>
            <w:r w:rsidRPr="001D41EA">
              <w:rPr>
                <w:rFonts w:cs="Arial"/>
                <w:sz w:val="18"/>
                <w:szCs w:val="18"/>
              </w:rPr>
              <w:t>1.029</w:t>
            </w:r>
          </w:p>
        </w:tc>
        <w:tc>
          <w:tcPr>
            <w:tcW w:w="170" w:type="dxa"/>
            <w:tcBorders>
              <w:top w:val="nil"/>
              <w:left w:val="nil"/>
              <w:bottom w:val="nil"/>
              <w:right w:val="nil"/>
            </w:tcBorders>
            <w:vAlign w:val="bottom"/>
          </w:tcPr>
          <w:p w14:paraId="69DB8C82" w14:textId="68A9F0A3"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26AA509D" w14:textId="3A151B90" w:rsidR="00566EA9" w:rsidRPr="001D41EA" w:rsidRDefault="00566EA9" w:rsidP="001D41EA">
            <w:pPr>
              <w:spacing w:before="40" w:after="40"/>
              <w:jc w:val="center"/>
              <w:rPr>
                <w:rFonts w:cs="Arial"/>
                <w:sz w:val="18"/>
                <w:szCs w:val="18"/>
              </w:rPr>
            </w:pPr>
            <w:r w:rsidRPr="001D41EA">
              <w:rPr>
                <w:rFonts w:cs="Arial"/>
                <w:sz w:val="18"/>
                <w:szCs w:val="18"/>
              </w:rPr>
              <w:t>0.889</w:t>
            </w:r>
          </w:p>
        </w:tc>
      </w:tr>
      <w:tr w:rsidR="00566EA9" w:rsidRPr="001D41EA" w14:paraId="6192E3F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229C431" w14:textId="77777777" w:rsidR="00566EA9" w:rsidRPr="001D41EA" w:rsidRDefault="00566EA9" w:rsidP="001D41EA">
            <w:pPr>
              <w:spacing w:before="40" w:after="40"/>
              <w:rPr>
                <w:rFonts w:cs="Arial"/>
                <w:sz w:val="18"/>
                <w:szCs w:val="18"/>
              </w:rPr>
            </w:pPr>
            <w:r w:rsidRPr="001D41EA">
              <w:rPr>
                <w:rFonts w:cs="Arial"/>
                <w:sz w:val="18"/>
                <w:szCs w:val="18"/>
              </w:rPr>
              <w:t>Bass Coast S</w:t>
            </w:r>
          </w:p>
        </w:tc>
        <w:tc>
          <w:tcPr>
            <w:tcW w:w="1021" w:type="dxa"/>
            <w:tcBorders>
              <w:top w:val="nil"/>
              <w:left w:val="single" w:sz="18" w:space="0" w:color="5F497A" w:themeColor="accent4" w:themeShade="BF"/>
              <w:bottom w:val="nil"/>
              <w:right w:val="nil"/>
            </w:tcBorders>
            <w:shd w:val="clear" w:color="auto" w:fill="auto"/>
            <w:vAlign w:val="bottom"/>
          </w:tcPr>
          <w:p w14:paraId="37585E73" w14:textId="56CF3B47" w:rsidR="00566EA9" w:rsidRPr="001D41EA" w:rsidRDefault="00566EA9" w:rsidP="001D41EA">
            <w:pPr>
              <w:spacing w:before="40" w:after="40"/>
              <w:jc w:val="center"/>
              <w:rPr>
                <w:rFonts w:cs="Arial"/>
                <w:sz w:val="18"/>
                <w:szCs w:val="18"/>
              </w:rPr>
            </w:pPr>
            <w:r w:rsidRPr="001D41EA">
              <w:rPr>
                <w:rFonts w:cs="Arial"/>
                <w:sz w:val="18"/>
                <w:szCs w:val="18"/>
              </w:rPr>
              <w:t>1.161</w:t>
            </w:r>
          </w:p>
        </w:tc>
        <w:tc>
          <w:tcPr>
            <w:tcW w:w="170" w:type="dxa"/>
            <w:tcBorders>
              <w:top w:val="nil"/>
              <w:left w:val="nil"/>
              <w:bottom w:val="nil"/>
              <w:right w:val="nil"/>
            </w:tcBorders>
            <w:shd w:val="clear" w:color="auto" w:fill="auto"/>
            <w:vAlign w:val="bottom"/>
          </w:tcPr>
          <w:p w14:paraId="542C22AA" w14:textId="5B338996"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3C3AB923" w14:textId="6721F612" w:rsidR="00566EA9" w:rsidRPr="001D41EA" w:rsidRDefault="00566EA9" w:rsidP="001D41EA">
            <w:pPr>
              <w:spacing w:before="40" w:after="40"/>
              <w:jc w:val="center"/>
              <w:rPr>
                <w:rFonts w:cs="Arial"/>
                <w:sz w:val="18"/>
                <w:szCs w:val="18"/>
              </w:rPr>
            </w:pPr>
            <w:r w:rsidRPr="001D41EA">
              <w:rPr>
                <w:rFonts w:cs="Arial"/>
                <w:sz w:val="18"/>
                <w:szCs w:val="18"/>
              </w:rPr>
              <w:t>1.225</w:t>
            </w:r>
          </w:p>
        </w:tc>
        <w:tc>
          <w:tcPr>
            <w:tcW w:w="1021" w:type="dxa"/>
            <w:tcBorders>
              <w:top w:val="nil"/>
              <w:left w:val="nil"/>
              <w:bottom w:val="nil"/>
              <w:right w:val="nil"/>
            </w:tcBorders>
            <w:vAlign w:val="bottom"/>
          </w:tcPr>
          <w:p w14:paraId="33DD4457" w14:textId="1CEA043B" w:rsidR="00566EA9" w:rsidRPr="001D41EA" w:rsidRDefault="00566EA9" w:rsidP="001D41EA">
            <w:pPr>
              <w:spacing w:before="40" w:after="40"/>
              <w:jc w:val="center"/>
              <w:rPr>
                <w:rFonts w:cs="Arial"/>
                <w:sz w:val="18"/>
                <w:szCs w:val="18"/>
              </w:rPr>
            </w:pPr>
            <w:r w:rsidRPr="001D41EA">
              <w:rPr>
                <w:rFonts w:cs="Arial"/>
                <w:sz w:val="18"/>
                <w:szCs w:val="18"/>
              </w:rPr>
              <w:t>1.219</w:t>
            </w:r>
          </w:p>
        </w:tc>
        <w:tc>
          <w:tcPr>
            <w:tcW w:w="1021" w:type="dxa"/>
            <w:tcBorders>
              <w:top w:val="nil"/>
              <w:left w:val="nil"/>
              <w:bottom w:val="nil"/>
              <w:right w:val="nil"/>
            </w:tcBorders>
            <w:shd w:val="clear" w:color="auto" w:fill="auto"/>
            <w:vAlign w:val="bottom"/>
          </w:tcPr>
          <w:p w14:paraId="4A93822A" w14:textId="58B1104B" w:rsidR="00566EA9" w:rsidRPr="001D41EA" w:rsidRDefault="00566EA9" w:rsidP="001D41EA">
            <w:pPr>
              <w:spacing w:before="40" w:after="40"/>
              <w:jc w:val="center"/>
              <w:rPr>
                <w:rFonts w:cs="Arial"/>
                <w:sz w:val="18"/>
                <w:szCs w:val="18"/>
              </w:rPr>
            </w:pPr>
            <w:r w:rsidRPr="001D41EA">
              <w:rPr>
                <w:rFonts w:cs="Arial"/>
                <w:sz w:val="18"/>
                <w:szCs w:val="18"/>
              </w:rPr>
              <w:t>1.214</w:t>
            </w:r>
          </w:p>
        </w:tc>
        <w:tc>
          <w:tcPr>
            <w:tcW w:w="1021" w:type="dxa"/>
            <w:tcBorders>
              <w:top w:val="nil"/>
              <w:left w:val="nil"/>
              <w:bottom w:val="nil"/>
              <w:right w:val="nil"/>
            </w:tcBorders>
            <w:vAlign w:val="bottom"/>
          </w:tcPr>
          <w:p w14:paraId="01FE3632" w14:textId="1BCAE451" w:rsidR="00566EA9" w:rsidRPr="001D41EA" w:rsidRDefault="00566EA9" w:rsidP="001D41EA">
            <w:pPr>
              <w:spacing w:before="40" w:after="40"/>
              <w:jc w:val="center"/>
              <w:rPr>
                <w:rFonts w:cs="Arial"/>
                <w:sz w:val="18"/>
                <w:szCs w:val="18"/>
              </w:rPr>
            </w:pPr>
            <w:r w:rsidRPr="001D41EA">
              <w:rPr>
                <w:rFonts w:cs="Arial"/>
                <w:sz w:val="18"/>
                <w:szCs w:val="18"/>
              </w:rPr>
              <w:t>1.223</w:t>
            </w:r>
          </w:p>
        </w:tc>
        <w:tc>
          <w:tcPr>
            <w:tcW w:w="1021" w:type="dxa"/>
            <w:tcBorders>
              <w:top w:val="nil"/>
              <w:left w:val="nil"/>
              <w:bottom w:val="nil"/>
              <w:right w:val="nil"/>
            </w:tcBorders>
            <w:vAlign w:val="bottom"/>
          </w:tcPr>
          <w:p w14:paraId="17F566D1" w14:textId="51A5AD73" w:rsidR="00566EA9" w:rsidRPr="001D41EA" w:rsidRDefault="00566EA9" w:rsidP="001D41EA">
            <w:pPr>
              <w:spacing w:before="40" w:after="40"/>
              <w:jc w:val="center"/>
              <w:rPr>
                <w:rFonts w:cs="Arial"/>
                <w:sz w:val="18"/>
                <w:szCs w:val="18"/>
              </w:rPr>
            </w:pPr>
            <w:r w:rsidRPr="001D41EA">
              <w:rPr>
                <w:rFonts w:cs="Arial"/>
                <w:sz w:val="18"/>
                <w:szCs w:val="18"/>
              </w:rPr>
              <w:t>1.207</w:t>
            </w:r>
          </w:p>
        </w:tc>
        <w:tc>
          <w:tcPr>
            <w:tcW w:w="170" w:type="dxa"/>
            <w:tcBorders>
              <w:top w:val="nil"/>
              <w:left w:val="nil"/>
              <w:bottom w:val="nil"/>
              <w:right w:val="nil"/>
            </w:tcBorders>
            <w:vAlign w:val="bottom"/>
          </w:tcPr>
          <w:p w14:paraId="3C76266F" w14:textId="5A819D44"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1BAD473E" w14:textId="6AC75786" w:rsidR="00566EA9" w:rsidRPr="001D41EA" w:rsidRDefault="00566EA9" w:rsidP="001D41EA">
            <w:pPr>
              <w:spacing w:before="40" w:after="40"/>
              <w:jc w:val="center"/>
              <w:rPr>
                <w:rFonts w:cs="Arial"/>
                <w:sz w:val="18"/>
                <w:szCs w:val="18"/>
              </w:rPr>
            </w:pPr>
            <w:r w:rsidRPr="001D41EA">
              <w:rPr>
                <w:rFonts w:cs="Arial"/>
                <w:sz w:val="18"/>
                <w:szCs w:val="18"/>
              </w:rPr>
              <w:t>1.064</w:t>
            </w:r>
          </w:p>
        </w:tc>
      </w:tr>
      <w:tr w:rsidR="00566EA9" w:rsidRPr="001D41EA" w14:paraId="206AA02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B40A81D" w14:textId="77777777" w:rsidR="00566EA9" w:rsidRPr="001D41EA" w:rsidRDefault="00566EA9" w:rsidP="001D41EA">
            <w:pPr>
              <w:spacing w:before="40" w:after="40"/>
              <w:rPr>
                <w:rFonts w:cs="Arial"/>
                <w:sz w:val="18"/>
                <w:szCs w:val="18"/>
              </w:rPr>
            </w:pPr>
            <w:r w:rsidRPr="001D41EA">
              <w:rPr>
                <w:rFonts w:cs="Arial"/>
                <w:sz w:val="18"/>
                <w:szCs w:val="18"/>
              </w:rPr>
              <w:t>Baw Baw S</w:t>
            </w:r>
          </w:p>
        </w:tc>
        <w:tc>
          <w:tcPr>
            <w:tcW w:w="1021" w:type="dxa"/>
            <w:tcBorders>
              <w:top w:val="nil"/>
              <w:left w:val="single" w:sz="18" w:space="0" w:color="5F497A" w:themeColor="accent4" w:themeShade="BF"/>
              <w:bottom w:val="nil"/>
              <w:right w:val="nil"/>
            </w:tcBorders>
            <w:shd w:val="clear" w:color="auto" w:fill="auto"/>
            <w:vAlign w:val="bottom"/>
          </w:tcPr>
          <w:p w14:paraId="5A7E4683" w14:textId="7C75B101" w:rsidR="00566EA9" w:rsidRPr="001D41EA" w:rsidRDefault="00566EA9" w:rsidP="001D41EA">
            <w:pPr>
              <w:spacing w:before="40" w:after="40"/>
              <w:jc w:val="center"/>
              <w:rPr>
                <w:rFonts w:cs="Arial"/>
                <w:sz w:val="18"/>
                <w:szCs w:val="18"/>
              </w:rPr>
            </w:pPr>
            <w:r w:rsidRPr="001D41EA">
              <w:rPr>
                <w:rFonts w:cs="Arial"/>
                <w:sz w:val="18"/>
                <w:szCs w:val="18"/>
              </w:rPr>
              <w:t>1.081</w:t>
            </w:r>
          </w:p>
        </w:tc>
        <w:tc>
          <w:tcPr>
            <w:tcW w:w="170" w:type="dxa"/>
            <w:tcBorders>
              <w:top w:val="nil"/>
              <w:left w:val="nil"/>
              <w:bottom w:val="nil"/>
              <w:right w:val="nil"/>
            </w:tcBorders>
            <w:shd w:val="clear" w:color="auto" w:fill="auto"/>
            <w:vAlign w:val="bottom"/>
          </w:tcPr>
          <w:p w14:paraId="3963F199" w14:textId="1372EA05"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4A384489" w14:textId="4A1460FC" w:rsidR="00566EA9" w:rsidRPr="001D41EA" w:rsidRDefault="00566EA9" w:rsidP="001D41EA">
            <w:pPr>
              <w:spacing w:before="40" w:after="40"/>
              <w:jc w:val="center"/>
              <w:rPr>
                <w:rFonts w:cs="Arial"/>
                <w:sz w:val="18"/>
                <w:szCs w:val="18"/>
              </w:rPr>
            </w:pPr>
            <w:r w:rsidRPr="001D41EA">
              <w:rPr>
                <w:rFonts w:cs="Arial"/>
                <w:sz w:val="18"/>
                <w:szCs w:val="18"/>
              </w:rPr>
              <w:t>1.193</w:t>
            </w:r>
          </w:p>
        </w:tc>
        <w:tc>
          <w:tcPr>
            <w:tcW w:w="1021" w:type="dxa"/>
            <w:tcBorders>
              <w:top w:val="nil"/>
              <w:left w:val="nil"/>
              <w:bottom w:val="nil"/>
              <w:right w:val="nil"/>
            </w:tcBorders>
            <w:vAlign w:val="bottom"/>
          </w:tcPr>
          <w:p w14:paraId="6BAA2052" w14:textId="0AD97380" w:rsidR="00566EA9" w:rsidRPr="001D41EA" w:rsidRDefault="00566EA9" w:rsidP="001D41EA">
            <w:pPr>
              <w:spacing w:before="40" w:after="40"/>
              <w:jc w:val="center"/>
              <w:rPr>
                <w:rFonts w:cs="Arial"/>
                <w:sz w:val="18"/>
                <w:szCs w:val="18"/>
              </w:rPr>
            </w:pPr>
            <w:r w:rsidRPr="001D41EA">
              <w:rPr>
                <w:rFonts w:cs="Arial"/>
                <w:sz w:val="18"/>
                <w:szCs w:val="18"/>
              </w:rPr>
              <w:t>1.187</w:t>
            </w:r>
          </w:p>
        </w:tc>
        <w:tc>
          <w:tcPr>
            <w:tcW w:w="1021" w:type="dxa"/>
            <w:tcBorders>
              <w:top w:val="nil"/>
              <w:left w:val="nil"/>
              <w:bottom w:val="nil"/>
              <w:right w:val="nil"/>
            </w:tcBorders>
            <w:shd w:val="clear" w:color="auto" w:fill="auto"/>
            <w:vAlign w:val="bottom"/>
          </w:tcPr>
          <w:p w14:paraId="78A6E0D9" w14:textId="5330A1B5" w:rsidR="00566EA9" w:rsidRPr="001D41EA" w:rsidRDefault="00566EA9" w:rsidP="001D41EA">
            <w:pPr>
              <w:spacing w:before="40" w:after="40"/>
              <w:jc w:val="center"/>
              <w:rPr>
                <w:rFonts w:cs="Arial"/>
                <w:sz w:val="18"/>
                <w:szCs w:val="18"/>
              </w:rPr>
            </w:pPr>
            <w:r w:rsidRPr="001D41EA">
              <w:rPr>
                <w:rFonts w:cs="Arial"/>
                <w:sz w:val="18"/>
                <w:szCs w:val="18"/>
              </w:rPr>
              <w:t>1.182</w:t>
            </w:r>
          </w:p>
        </w:tc>
        <w:tc>
          <w:tcPr>
            <w:tcW w:w="1021" w:type="dxa"/>
            <w:tcBorders>
              <w:top w:val="nil"/>
              <w:left w:val="nil"/>
              <w:bottom w:val="nil"/>
              <w:right w:val="nil"/>
            </w:tcBorders>
            <w:vAlign w:val="bottom"/>
          </w:tcPr>
          <w:p w14:paraId="7962B64F" w14:textId="0BB87D0A" w:rsidR="00566EA9" w:rsidRPr="001D41EA" w:rsidRDefault="00566EA9" w:rsidP="001D41EA">
            <w:pPr>
              <w:spacing w:before="40" w:after="40"/>
              <w:jc w:val="center"/>
              <w:rPr>
                <w:rFonts w:cs="Arial"/>
                <w:sz w:val="18"/>
                <w:szCs w:val="18"/>
              </w:rPr>
            </w:pPr>
            <w:r w:rsidRPr="001D41EA">
              <w:rPr>
                <w:rFonts w:cs="Arial"/>
                <w:sz w:val="18"/>
                <w:szCs w:val="18"/>
              </w:rPr>
              <w:t>1.191</w:t>
            </w:r>
          </w:p>
        </w:tc>
        <w:tc>
          <w:tcPr>
            <w:tcW w:w="1021" w:type="dxa"/>
            <w:tcBorders>
              <w:top w:val="nil"/>
              <w:left w:val="nil"/>
              <w:bottom w:val="nil"/>
              <w:right w:val="nil"/>
            </w:tcBorders>
            <w:vAlign w:val="bottom"/>
          </w:tcPr>
          <w:p w14:paraId="350CD6CD" w14:textId="3FA1ABC5" w:rsidR="00566EA9" w:rsidRPr="001D41EA" w:rsidRDefault="00566EA9" w:rsidP="001D41EA">
            <w:pPr>
              <w:spacing w:before="40" w:after="40"/>
              <w:jc w:val="center"/>
              <w:rPr>
                <w:rFonts w:cs="Arial"/>
                <w:sz w:val="18"/>
                <w:szCs w:val="18"/>
              </w:rPr>
            </w:pPr>
            <w:r w:rsidRPr="001D41EA">
              <w:rPr>
                <w:rFonts w:cs="Arial"/>
                <w:sz w:val="18"/>
                <w:szCs w:val="18"/>
              </w:rPr>
              <w:t>1.176</w:t>
            </w:r>
          </w:p>
        </w:tc>
        <w:tc>
          <w:tcPr>
            <w:tcW w:w="170" w:type="dxa"/>
            <w:tcBorders>
              <w:top w:val="nil"/>
              <w:left w:val="nil"/>
              <w:bottom w:val="nil"/>
              <w:right w:val="nil"/>
            </w:tcBorders>
            <w:vAlign w:val="bottom"/>
          </w:tcPr>
          <w:p w14:paraId="48993497" w14:textId="397B23CD"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38834E96" w14:textId="28593E02" w:rsidR="00566EA9" w:rsidRPr="001D41EA" w:rsidRDefault="00566EA9" w:rsidP="001D41EA">
            <w:pPr>
              <w:spacing w:before="40" w:after="40"/>
              <w:jc w:val="center"/>
              <w:rPr>
                <w:rFonts w:cs="Arial"/>
                <w:sz w:val="18"/>
                <w:szCs w:val="18"/>
              </w:rPr>
            </w:pPr>
            <w:r w:rsidRPr="001D41EA">
              <w:rPr>
                <w:rFonts w:cs="Arial"/>
                <w:sz w:val="18"/>
                <w:szCs w:val="18"/>
              </w:rPr>
              <w:t>1.015</w:t>
            </w:r>
          </w:p>
        </w:tc>
      </w:tr>
      <w:tr w:rsidR="00566EA9" w:rsidRPr="001D41EA" w14:paraId="42A8D0C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58E6224" w14:textId="77777777" w:rsidR="00566EA9" w:rsidRPr="001D41EA" w:rsidRDefault="00566EA9" w:rsidP="001D41EA">
            <w:pPr>
              <w:spacing w:before="40" w:after="40"/>
              <w:rPr>
                <w:rFonts w:cs="Arial"/>
                <w:sz w:val="18"/>
                <w:szCs w:val="18"/>
              </w:rPr>
            </w:pPr>
            <w:r w:rsidRPr="001D41EA">
              <w:rPr>
                <w:rFonts w:cs="Arial"/>
                <w:sz w:val="18"/>
                <w:szCs w:val="18"/>
              </w:rPr>
              <w:t>Bayside C</w:t>
            </w:r>
          </w:p>
        </w:tc>
        <w:tc>
          <w:tcPr>
            <w:tcW w:w="1021" w:type="dxa"/>
            <w:tcBorders>
              <w:top w:val="nil"/>
              <w:left w:val="single" w:sz="18" w:space="0" w:color="5F497A" w:themeColor="accent4" w:themeShade="BF"/>
              <w:bottom w:val="nil"/>
              <w:right w:val="nil"/>
            </w:tcBorders>
            <w:shd w:val="clear" w:color="auto" w:fill="auto"/>
            <w:vAlign w:val="bottom"/>
          </w:tcPr>
          <w:p w14:paraId="3257C97C" w14:textId="02ACA287" w:rsidR="00566EA9" w:rsidRPr="001D41EA" w:rsidRDefault="00566EA9" w:rsidP="001D41EA">
            <w:pPr>
              <w:spacing w:before="40" w:after="40"/>
              <w:jc w:val="center"/>
              <w:rPr>
                <w:rFonts w:cs="Arial"/>
                <w:sz w:val="18"/>
                <w:szCs w:val="18"/>
              </w:rPr>
            </w:pPr>
            <w:r w:rsidRPr="001D41EA">
              <w:rPr>
                <w:rFonts w:cs="Arial"/>
                <w:sz w:val="18"/>
                <w:szCs w:val="18"/>
              </w:rPr>
              <w:t>0.746</w:t>
            </w:r>
          </w:p>
        </w:tc>
        <w:tc>
          <w:tcPr>
            <w:tcW w:w="170" w:type="dxa"/>
            <w:tcBorders>
              <w:top w:val="nil"/>
              <w:left w:val="nil"/>
              <w:bottom w:val="nil"/>
              <w:right w:val="nil"/>
            </w:tcBorders>
            <w:shd w:val="clear" w:color="auto" w:fill="auto"/>
            <w:vAlign w:val="bottom"/>
          </w:tcPr>
          <w:p w14:paraId="6CD95BAF" w14:textId="22197820"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699F26E8" w14:textId="33E3D9AE" w:rsidR="00566EA9" w:rsidRPr="001D41EA" w:rsidRDefault="00566EA9" w:rsidP="001D41EA">
            <w:pPr>
              <w:spacing w:before="40" w:after="40"/>
              <w:jc w:val="center"/>
              <w:rPr>
                <w:rFonts w:cs="Arial"/>
                <w:sz w:val="18"/>
                <w:szCs w:val="18"/>
              </w:rPr>
            </w:pPr>
            <w:r w:rsidRPr="001D41EA">
              <w:rPr>
                <w:rFonts w:cs="Arial"/>
                <w:sz w:val="18"/>
                <w:szCs w:val="18"/>
              </w:rPr>
              <w:t>1.091</w:t>
            </w:r>
          </w:p>
        </w:tc>
        <w:tc>
          <w:tcPr>
            <w:tcW w:w="1021" w:type="dxa"/>
            <w:tcBorders>
              <w:top w:val="nil"/>
              <w:left w:val="nil"/>
              <w:bottom w:val="nil"/>
              <w:right w:val="nil"/>
            </w:tcBorders>
            <w:vAlign w:val="bottom"/>
          </w:tcPr>
          <w:p w14:paraId="19A4867F" w14:textId="4722AA60" w:rsidR="00566EA9" w:rsidRPr="001D41EA" w:rsidRDefault="00566EA9" w:rsidP="001D41EA">
            <w:pPr>
              <w:spacing w:before="40" w:after="40"/>
              <w:jc w:val="center"/>
              <w:rPr>
                <w:rFonts w:cs="Arial"/>
                <w:sz w:val="18"/>
                <w:szCs w:val="18"/>
              </w:rPr>
            </w:pPr>
            <w:r w:rsidRPr="001D41EA">
              <w:rPr>
                <w:rFonts w:cs="Arial"/>
                <w:sz w:val="18"/>
                <w:szCs w:val="18"/>
              </w:rPr>
              <w:t>1.085</w:t>
            </w:r>
          </w:p>
        </w:tc>
        <w:tc>
          <w:tcPr>
            <w:tcW w:w="1021" w:type="dxa"/>
            <w:tcBorders>
              <w:top w:val="nil"/>
              <w:left w:val="nil"/>
              <w:bottom w:val="nil"/>
              <w:right w:val="nil"/>
            </w:tcBorders>
            <w:shd w:val="clear" w:color="auto" w:fill="auto"/>
            <w:vAlign w:val="bottom"/>
          </w:tcPr>
          <w:p w14:paraId="57C88569" w14:textId="17EEFE44" w:rsidR="00566EA9" w:rsidRPr="001D41EA" w:rsidRDefault="00566EA9" w:rsidP="001D41EA">
            <w:pPr>
              <w:spacing w:before="40" w:after="40"/>
              <w:jc w:val="center"/>
              <w:rPr>
                <w:rFonts w:cs="Arial"/>
                <w:sz w:val="18"/>
                <w:szCs w:val="18"/>
              </w:rPr>
            </w:pPr>
            <w:r w:rsidRPr="001D41EA">
              <w:rPr>
                <w:rFonts w:cs="Arial"/>
                <w:sz w:val="18"/>
                <w:szCs w:val="18"/>
              </w:rPr>
              <w:t>1.081</w:t>
            </w:r>
          </w:p>
        </w:tc>
        <w:tc>
          <w:tcPr>
            <w:tcW w:w="1021" w:type="dxa"/>
            <w:tcBorders>
              <w:top w:val="nil"/>
              <w:left w:val="nil"/>
              <w:bottom w:val="nil"/>
              <w:right w:val="nil"/>
            </w:tcBorders>
            <w:vAlign w:val="bottom"/>
          </w:tcPr>
          <w:p w14:paraId="1BB59538" w14:textId="469D44EE" w:rsidR="00566EA9" w:rsidRPr="001D41EA" w:rsidRDefault="00566EA9" w:rsidP="001D41EA">
            <w:pPr>
              <w:spacing w:before="40" w:after="40"/>
              <w:jc w:val="center"/>
              <w:rPr>
                <w:rFonts w:cs="Arial"/>
                <w:sz w:val="18"/>
                <w:szCs w:val="18"/>
              </w:rPr>
            </w:pPr>
            <w:r w:rsidRPr="001D41EA">
              <w:rPr>
                <w:rFonts w:cs="Arial"/>
                <w:sz w:val="18"/>
                <w:szCs w:val="18"/>
              </w:rPr>
              <w:t>1.089</w:t>
            </w:r>
          </w:p>
        </w:tc>
        <w:tc>
          <w:tcPr>
            <w:tcW w:w="1021" w:type="dxa"/>
            <w:tcBorders>
              <w:top w:val="nil"/>
              <w:left w:val="nil"/>
              <w:bottom w:val="nil"/>
              <w:right w:val="nil"/>
            </w:tcBorders>
            <w:vAlign w:val="bottom"/>
          </w:tcPr>
          <w:p w14:paraId="42B2EDBA" w14:textId="1A6A2A37" w:rsidR="00566EA9" w:rsidRPr="001D41EA" w:rsidRDefault="00566EA9" w:rsidP="001D41EA">
            <w:pPr>
              <w:spacing w:before="40" w:after="40"/>
              <w:jc w:val="center"/>
              <w:rPr>
                <w:rFonts w:cs="Arial"/>
                <w:sz w:val="18"/>
                <w:szCs w:val="18"/>
              </w:rPr>
            </w:pPr>
            <w:r w:rsidRPr="001D41EA">
              <w:rPr>
                <w:rFonts w:cs="Arial"/>
                <w:sz w:val="18"/>
                <w:szCs w:val="18"/>
              </w:rPr>
              <w:t>1.075</w:t>
            </w:r>
          </w:p>
        </w:tc>
        <w:tc>
          <w:tcPr>
            <w:tcW w:w="170" w:type="dxa"/>
            <w:tcBorders>
              <w:top w:val="nil"/>
              <w:left w:val="nil"/>
              <w:bottom w:val="nil"/>
              <w:right w:val="nil"/>
            </w:tcBorders>
            <w:vAlign w:val="bottom"/>
          </w:tcPr>
          <w:p w14:paraId="6556D794" w14:textId="4419511B"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4F992EE4" w14:textId="0588D6E4" w:rsidR="00566EA9" w:rsidRPr="001D41EA" w:rsidRDefault="00566EA9" w:rsidP="001D41EA">
            <w:pPr>
              <w:spacing w:before="40" w:after="40"/>
              <w:jc w:val="center"/>
              <w:rPr>
                <w:rFonts w:cs="Arial"/>
                <w:sz w:val="18"/>
                <w:szCs w:val="18"/>
              </w:rPr>
            </w:pPr>
            <w:r w:rsidRPr="001D41EA">
              <w:rPr>
                <w:rFonts w:cs="Arial"/>
                <w:sz w:val="18"/>
                <w:szCs w:val="18"/>
              </w:rPr>
              <w:t>0.866</w:t>
            </w:r>
          </w:p>
        </w:tc>
      </w:tr>
      <w:tr w:rsidR="00566EA9" w:rsidRPr="001D41EA" w14:paraId="16D07D1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15DFDA4" w14:textId="77777777" w:rsidR="00566EA9" w:rsidRPr="001D41EA" w:rsidRDefault="00566EA9" w:rsidP="001D41EA">
            <w:pPr>
              <w:spacing w:before="40" w:after="40"/>
              <w:rPr>
                <w:rFonts w:cs="Arial"/>
                <w:sz w:val="18"/>
                <w:szCs w:val="18"/>
              </w:rPr>
            </w:pPr>
            <w:r w:rsidRPr="001D41EA">
              <w:rPr>
                <w:rFonts w:cs="Arial"/>
                <w:sz w:val="18"/>
                <w:szCs w:val="18"/>
              </w:rPr>
              <w:t>Benalla RC</w:t>
            </w:r>
          </w:p>
        </w:tc>
        <w:tc>
          <w:tcPr>
            <w:tcW w:w="1021" w:type="dxa"/>
            <w:tcBorders>
              <w:top w:val="nil"/>
              <w:left w:val="single" w:sz="18" w:space="0" w:color="5F497A" w:themeColor="accent4" w:themeShade="BF"/>
              <w:bottom w:val="nil"/>
              <w:right w:val="nil"/>
            </w:tcBorders>
            <w:shd w:val="clear" w:color="auto" w:fill="auto"/>
            <w:vAlign w:val="bottom"/>
          </w:tcPr>
          <w:p w14:paraId="6DD861E1" w14:textId="6DA8970E" w:rsidR="00566EA9" w:rsidRPr="001D41EA" w:rsidRDefault="00566EA9" w:rsidP="001D41EA">
            <w:pPr>
              <w:spacing w:before="40" w:after="40"/>
              <w:jc w:val="center"/>
              <w:rPr>
                <w:rFonts w:cs="Arial"/>
                <w:sz w:val="18"/>
                <w:szCs w:val="18"/>
              </w:rPr>
            </w:pPr>
            <w:r w:rsidRPr="001D41EA">
              <w:rPr>
                <w:rFonts w:cs="Arial"/>
                <w:sz w:val="18"/>
                <w:szCs w:val="18"/>
              </w:rPr>
              <w:t>1.128</w:t>
            </w:r>
          </w:p>
        </w:tc>
        <w:tc>
          <w:tcPr>
            <w:tcW w:w="170" w:type="dxa"/>
            <w:tcBorders>
              <w:top w:val="nil"/>
              <w:left w:val="nil"/>
              <w:bottom w:val="nil"/>
              <w:right w:val="nil"/>
            </w:tcBorders>
            <w:shd w:val="clear" w:color="auto" w:fill="auto"/>
            <w:vAlign w:val="bottom"/>
          </w:tcPr>
          <w:p w14:paraId="212FE4C2" w14:textId="2624C360"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4567AF3B" w14:textId="77B7F70F" w:rsidR="00566EA9" w:rsidRPr="001D41EA" w:rsidRDefault="00566EA9" w:rsidP="001D41EA">
            <w:pPr>
              <w:spacing w:before="40" w:after="40"/>
              <w:jc w:val="center"/>
              <w:rPr>
                <w:rFonts w:cs="Arial"/>
                <w:sz w:val="18"/>
                <w:szCs w:val="18"/>
              </w:rPr>
            </w:pPr>
            <w:r w:rsidRPr="001D41EA">
              <w:rPr>
                <w:rFonts w:cs="Arial"/>
                <w:sz w:val="18"/>
                <w:szCs w:val="18"/>
              </w:rPr>
              <w:t>1.266</w:t>
            </w:r>
          </w:p>
        </w:tc>
        <w:tc>
          <w:tcPr>
            <w:tcW w:w="1021" w:type="dxa"/>
            <w:tcBorders>
              <w:top w:val="nil"/>
              <w:left w:val="nil"/>
              <w:bottom w:val="nil"/>
              <w:right w:val="nil"/>
            </w:tcBorders>
            <w:vAlign w:val="bottom"/>
          </w:tcPr>
          <w:p w14:paraId="35BA5296" w14:textId="678DE7C4" w:rsidR="00566EA9" w:rsidRPr="001D41EA" w:rsidRDefault="00566EA9" w:rsidP="001D41EA">
            <w:pPr>
              <w:spacing w:before="40" w:after="40"/>
              <w:jc w:val="center"/>
              <w:rPr>
                <w:rFonts w:cs="Arial"/>
                <w:sz w:val="18"/>
                <w:szCs w:val="18"/>
              </w:rPr>
            </w:pPr>
            <w:r w:rsidRPr="001D41EA">
              <w:rPr>
                <w:rFonts w:cs="Arial"/>
                <w:sz w:val="18"/>
                <w:szCs w:val="18"/>
              </w:rPr>
              <w:t>1.259</w:t>
            </w:r>
          </w:p>
        </w:tc>
        <w:tc>
          <w:tcPr>
            <w:tcW w:w="1021" w:type="dxa"/>
            <w:tcBorders>
              <w:top w:val="nil"/>
              <w:left w:val="nil"/>
              <w:bottom w:val="nil"/>
              <w:right w:val="nil"/>
            </w:tcBorders>
            <w:shd w:val="clear" w:color="auto" w:fill="auto"/>
            <w:vAlign w:val="bottom"/>
          </w:tcPr>
          <w:p w14:paraId="47FF0A66" w14:textId="4A014B01" w:rsidR="00566EA9" w:rsidRPr="001D41EA" w:rsidRDefault="00566EA9" w:rsidP="001D41EA">
            <w:pPr>
              <w:spacing w:before="40" w:after="40"/>
              <w:jc w:val="center"/>
              <w:rPr>
                <w:rFonts w:cs="Arial"/>
                <w:sz w:val="18"/>
                <w:szCs w:val="18"/>
              </w:rPr>
            </w:pPr>
            <w:r w:rsidRPr="001D41EA">
              <w:rPr>
                <w:rFonts w:cs="Arial"/>
                <w:sz w:val="18"/>
                <w:szCs w:val="18"/>
              </w:rPr>
              <w:t>1.254</w:t>
            </w:r>
          </w:p>
        </w:tc>
        <w:tc>
          <w:tcPr>
            <w:tcW w:w="1021" w:type="dxa"/>
            <w:tcBorders>
              <w:top w:val="nil"/>
              <w:left w:val="nil"/>
              <w:bottom w:val="nil"/>
              <w:right w:val="nil"/>
            </w:tcBorders>
            <w:vAlign w:val="bottom"/>
          </w:tcPr>
          <w:p w14:paraId="11762393" w14:textId="2EA7486B" w:rsidR="00566EA9" w:rsidRPr="001D41EA" w:rsidRDefault="00566EA9" w:rsidP="001D41EA">
            <w:pPr>
              <w:spacing w:before="40" w:after="40"/>
              <w:jc w:val="center"/>
              <w:rPr>
                <w:rFonts w:cs="Arial"/>
                <w:sz w:val="18"/>
                <w:szCs w:val="18"/>
              </w:rPr>
            </w:pPr>
            <w:r w:rsidRPr="001D41EA">
              <w:rPr>
                <w:rFonts w:cs="Arial"/>
                <w:sz w:val="18"/>
                <w:szCs w:val="18"/>
              </w:rPr>
              <w:t>1.264</w:t>
            </w:r>
          </w:p>
        </w:tc>
        <w:tc>
          <w:tcPr>
            <w:tcW w:w="1021" w:type="dxa"/>
            <w:tcBorders>
              <w:top w:val="nil"/>
              <w:left w:val="nil"/>
              <w:bottom w:val="nil"/>
              <w:right w:val="nil"/>
            </w:tcBorders>
            <w:vAlign w:val="bottom"/>
          </w:tcPr>
          <w:p w14:paraId="1E3ED6F4" w14:textId="62920FA7" w:rsidR="00566EA9" w:rsidRPr="001D41EA" w:rsidRDefault="00566EA9" w:rsidP="001D41EA">
            <w:pPr>
              <w:spacing w:before="40" w:after="40"/>
              <w:jc w:val="center"/>
              <w:rPr>
                <w:rFonts w:cs="Arial"/>
                <w:sz w:val="18"/>
                <w:szCs w:val="18"/>
              </w:rPr>
            </w:pPr>
            <w:r w:rsidRPr="001D41EA">
              <w:rPr>
                <w:rFonts w:cs="Arial"/>
                <w:sz w:val="18"/>
                <w:szCs w:val="18"/>
              </w:rPr>
              <w:t>1.247</w:t>
            </w:r>
          </w:p>
        </w:tc>
        <w:tc>
          <w:tcPr>
            <w:tcW w:w="170" w:type="dxa"/>
            <w:tcBorders>
              <w:top w:val="nil"/>
              <w:left w:val="nil"/>
              <w:bottom w:val="nil"/>
              <w:right w:val="nil"/>
            </w:tcBorders>
            <w:vAlign w:val="bottom"/>
          </w:tcPr>
          <w:p w14:paraId="6BC917B2" w14:textId="1A494649"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1C9EE554" w14:textId="0658A08F" w:rsidR="00566EA9" w:rsidRPr="001D41EA" w:rsidRDefault="00566EA9" w:rsidP="001D41EA">
            <w:pPr>
              <w:spacing w:before="40" w:after="40"/>
              <w:jc w:val="center"/>
              <w:rPr>
                <w:rFonts w:cs="Arial"/>
                <w:sz w:val="18"/>
                <w:szCs w:val="18"/>
              </w:rPr>
            </w:pPr>
            <w:r w:rsidRPr="001D41EA">
              <w:rPr>
                <w:rFonts w:cs="Arial"/>
                <w:sz w:val="18"/>
                <w:szCs w:val="18"/>
              </w:rPr>
              <w:t>1.706</w:t>
            </w:r>
          </w:p>
        </w:tc>
      </w:tr>
      <w:tr w:rsidR="00566EA9" w:rsidRPr="001D41EA" w14:paraId="7F55730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75BB053" w14:textId="77777777" w:rsidR="00566EA9" w:rsidRPr="001D41EA" w:rsidRDefault="00566EA9" w:rsidP="001D41EA">
            <w:pPr>
              <w:spacing w:before="40" w:after="40"/>
              <w:rPr>
                <w:rFonts w:cs="Arial"/>
                <w:sz w:val="18"/>
                <w:szCs w:val="18"/>
              </w:rPr>
            </w:pPr>
            <w:r w:rsidRPr="001D41EA">
              <w:rPr>
                <w:rFonts w:cs="Arial"/>
                <w:sz w:val="18"/>
                <w:szCs w:val="18"/>
              </w:rPr>
              <w:t>Boroondara C</w:t>
            </w:r>
          </w:p>
        </w:tc>
        <w:tc>
          <w:tcPr>
            <w:tcW w:w="1021" w:type="dxa"/>
            <w:tcBorders>
              <w:top w:val="nil"/>
              <w:left w:val="single" w:sz="18" w:space="0" w:color="5F497A" w:themeColor="accent4" w:themeShade="BF"/>
              <w:bottom w:val="nil"/>
              <w:right w:val="nil"/>
            </w:tcBorders>
            <w:shd w:val="clear" w:color="auto" w:fill="auto"/>
            <w:vAlign w:val="bottom"/>
          </w:tcPr>
          <w:p w14:paraId="7388393D" w14:textId="11144E8A" w:rsidR="00566EA9" w:rsidRPr="001D41EA" w:rsidRDefault="00566EA9" w:rsidP="001D41EA">
            <w:pPr>
              <w:spacing w:before="40" w:after="40"/>
              <w:jc w:val="center"/>
              <w:rPr>
                <w:rFonts w:cs="Arial"/>
                <w:sz w:val="18"/>
                <w:szCs w:val="18"/>
              </w:rPr>
            </w:pPr>
            <w:r w:rsidRPr="001D41EA">
              <w:rPr>
                <w:rFonts w:cs="Arial"/>
                <w:sz w:val="18"/>
                <w:szCs w:val="18"/>
              </w:rPr>
              <w:t>0.672</w:t>
            </w:r>
          </w:p>
        </w:tc>
        <w:tc>
          <w:tcPr>
            <w:tcW w:w="170" w:type="dxa"/>
            <w:tcBorders>
              <w:top w:val="nil"/>
              <w:left w:val="nil"/>
              <w:bottom w:val="nil"/>
              <w:right w:val="nil"/>
            </w:tcBorders>
            <w:shd w:val="clear" w:color="auto" w:fill="auto"/>
            <w:vAlign w:val="bottom"/>
          </w:tcPr>
          <w:p w14:paraId="4C08D83D" w14:textId="114DB63A"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0A5C7867" w14:textId="5315CDA3" w:rsidR="00566EA9" w:rsidRPr="001D41EA" w:rsidRDefault="00566EA9" w:rsidP="001D41EA">
            <w:pPr>
              <w:spacing w:before="40" w:after="40"/>
              <w:jc w:val="center"/>
              <w:rPr>
                <w:rFonts w:cs="Arial"/>
                <w:sz w:val="18"/>
                <w:szCs w:val="18"/>
              </w:rPr>
            </w:pPr>
            <w:r w:rsidRPr="001D41EA">
              <w:rPr>
                <w:rFonts w:cs="Arial"/>
                <w:sz w:val="18"/>
                <w:szCs w:val="18"/>
              </w:rPr>
              <w:t>0.947</w:t>
            </w:r>
          </w:p>
        </w:tc>
        <w:tc>
          <w:tcPr>
            <w:tcW w:w="1021" w:type="dxa"/>
            <w:tcBorders>
              <w:top w:val="nil"/>
              <w:left w:val="nil"/>
              <w:bottom w:val="nil"/>
              <w:right w:val="nil"/>
            </w:tcBorders>
            <w:vAlign w:val="bottom"/>
          </w:tcPr>
          <w:p w14:paraId="1883AB89" w14:textId="067EC753" w:rsidR="00566EA9" w:rsidRPr="001D41EA" w:rsidRDefault="00566EA9" w:rsidP="001D41EA">
            <w:pPr>
              <w:spacing w:before="40" w:after="40"/>
              <w:jc w:val="center"/>
              <w:rPr>
                <w:rFonts w:cs="Arial"/>
                <w:sz w:val="18"/>
                <w:szCs w:val="18"/>
              </w:rPr>
            </w:pPr>
            <w:r w:rsidRPr="001D41EA">
              <w:rPr>
                <w:rFonts w:cs="Arial"/>
                <w:sz w:val="18"/>
                <w:szCs w:val="18"/>
              </w:rPr>
              <w:t>0.942</w:t>
            </w:r>
          </w:p>
        </w:tc>
        <w:tc>
          <w:tcPr>
            <w:tcW w:w="1021" w:type="dxa"/>
            <w:tcBorders>
              <w:top w:val="nil"/>
              <w:left w:val="nil"/>
              <w:bottom w:val="nil"/>
              <w:right w:val="nil"/>
            </w:tcBorders>
            <w:shd w:val="clear" w:color="auto" w:fill="auto"/>
            <w:vAlign w:val="bottom"/>
          </w:tcPr>
          <w:p w14:paraId="0E586F61" w14:textId="48B17E37" w:rsidR="00566EA9" w:rsidRPr="001D41EA" w:rsidRDefault="00566EA9" w:rsidP="001D41EA">
            <w:pPr>
              <w:spacing w:before="40" w:after="40"/>
              <w:jc w:val="center"/>
              <w:rPr>
                <w:rFonts w:cs="Arial"/>
                <w:sz w:val="18"/>
                <w:szCs w:val="18"/>
              </w:rPr>
            </w:pPr>
            <w:r w:rsidRPr="001D41EA">
              <w:rPr>
                <w:rFonts w:cs="Arial"/>
                <w:sz w:val="18"/>
                <w:szCs w:val="18"/>
              </w:rPr>
              <w:t>0.938</w:t>
            </w:r>
          </w:p>
        </w:tc>
        <w:tc>
          <w:tcPr>
            <w:tcW w:w="1021" w:type="dxa"/>
            <w:tcBorders>
              <w:top w:val="nil"/>
              <w:left w:val="nil"/>
              <w:bottom w:val="nil"/>
              <w:right w:val="nil"/>
            </w:tcBorders>
            <w:vAlign w:val="bottom"/>
          </w:tcPr>
          <w:p w14:paraId="2788075B" w14:textId="5C43CD42" w:rsidR="00566EA9" w:rsidRPr="001D41EA" w:rsidRDefault="00566EA9" w:rsidP="001D41EA">
            <w:pPr>
              <w:spacing w:before="40" w:after="40"/>
              <w:jc w:val="center"/>
              <w:rPr>
                <w:rFonts w:cs="Arial"/>
                <w:sz w:val="18"/>
                <w:szCs w:val="18"/>
              </w:rPr>
            </w:pPr>
            <w:r w:rsidRPr="001D41EA">
              <w:rPr>
                <w:rFonts w:cs="Arial"/>
                <w:sz w:val="18"/>
                <w:szCs w:val="18"/>
              </w:rPr>
              <w:t>0.945</w:t>
            </w:r>
          </w:p>
        </w:tc>
        <w:tc>
          <w:tcPr>
            <w:tcW w:w="1021" w:type="dxa"/>
            <w:tcBorders>
              <w:top w:val="nil"/>
              <w:left w:val="nil"/>
              <w:bottom w:val="nil"/>
              <w:right w:val="nil"/>
            </w:tcBorders>
            <w:vAlign w:val="bottom"/>
          </w:tcPr>
          <w:p w14:paraId="71B59016" w14:textId="30264F8B" w:rsidR="00566EA9" w:rsidRPr="001D41EA" w:rsidRDefault="00566EA9" w:rsidP="001D41EA">
            <w:pPr>
              <w:spacing w:before="40" w:after="40"/>
              <w:jc w:val="center"/>
              <w:rPr>
                <w:rFonts w:cs="Arial"/>
                <w:sz w:val="18"/>
                <w:szCs w:val="18"/>
              </w:rPr>
            </w:pPr>
            <w:r w:rsidRPr="001D41EA">
              <w:rPr>
                <w:rFonts w:cs="Arial"/>
                <w:sz w:val="18"/>
                <w:szCs w:val="18"/>
              </w:rPr>
              <w:t>0.933</w:t>
            </w:r>
          </w:p>
        </w:tc>
        <w:tc>
          <w:tcPr>
            <w:tcW w:w="170" w:type="dxa"/>
            <w:tcBorders>
              <w:top w:val="nil"/>
              <w:left w:val="nil"/>
              <w:bottom w:val="nil"/>
              <w:right w:val="nil"/>
            </w:tcBorders>
            <w:vAlign w:val="bottom"/>
          </w:tcPr>
          <w:p w14:paraId="5D659081" w14:textId="081A3152"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1C659017" w14:textId="7C0163E3" w:rsidR="00566EA9" w:rsidRPr="001D41EA" w:rsidRDefault="00566EA9" w:rsidP="001D41EA">
            <w:pPr>
              <w:spacing w:before="40" w:after="40"/>
              <w:jc w:val="center"/>
              <w:rPr>
                <w:rFonts w:cs="Arial"/>
                <w:sz w:val="18"/>
                <w:szCs w:val="18"/>
              </w:rPr>
            </w:pPr>
            <w:r w:rsidRPr="001D41EA">
              <w:rPr>
                <w:rFonts w:cs="Arial"/>
                <w:sz w:val="18"/>
                <w:szCs w:val="18"/>
              </w:rPr>
              <w:t>0.882</w:t>
            </w:r>
          </w:p>
        </w:tc>
      </w:tr>
      <w:tr w:rsidR="00566EA9" w:rsidRPr="001D41EA" w14:paraId="5CF2D6C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C2BE2D7" w14:textId="77777777" w:rsidR="00566EA9" w:rsidRPr="001D41EA" w:rsidRDefault="00566EA9" w:rsidP="001D41EA">
            <w:pPr>
              <w:spacing w:before="40" w:after="40"/>
              <w:rPr>
                <w:rFonts w:cs="Arial"/>
                <w:sz w:val="18"/>
                <w:szCs w:val="18"/>
              </w:rPr>
            </w:pPr>
            <w:r w:rsidRPr="001D41EA">
              <w:rPr>
                <w:rFonts w:cs="Arial"/>
                <w:sz w:val="18"/>
                <w:szCs w:val="18"/>
              </w:rPr>
              <w:t>Brimbank C</w:t>
            </w:r>
          </w:p>
        </w:tc>
        <w:tc>
          <w:tcPr>
            <w:tcW w:w="1021" w:type="dxa"/>
            <w:tcBorders>
              <w:top w:val="nil"/>
              <w:left w:val="single" w:sz="18" w:space="0" w:color="5F497A" w:themeColor="accent4" w:themeShade="BF"/>
              <w:bottom w:val="nil"/>
              <w:right w:val="nil"/>
            </w:tcBorders>
            <w:shd w:val="clear" w:color="auto" w:fill="auto"/>
            <w:vAlign w:val="bottom"/>
          </w:tcPr>
          <w:p w14:paraId="0AAA043C" w14:textId="5C61F898" w:rsidR="00566EA9" w:rsidRPr="001D41EA" w:rsidRDefault="00566EA9" w:rsidP="001D41EA">
            <w:pPr>
              <w:spacing w:before="40" w:after="40"/>
              <w:jc w:val="center"/>
              <w:rPr>
                <w:rFonts w:cs="Arial"/>
                <w:sz w:val="18"/>
                <w:szCs w:val="18"/>
              </w:rPr>
            </w:pPr>
            <w:r w:rsidRPr="001D41EA">
              <w:rPr>
                <w:rFonts w:cs="Arial"/>
                <w:sz w:val="18"/>
                <w:szCs w:val="18"/>
              </w:rPr>
              <w:t>1.061</w:t>
            </w:r>
          </w:p>
        </w:tc>
        <w:tc>
          <w:tcPr>
            <w:tcW w:w="170" w:type="dxa"/>
            <w:tcBorders>
              <w:top w:val="nil"/>
              <w:left w:val="nil"/>
              <w:bottom w:val="nil"/>
              <w:right w:val="nil"/>
            </w:tcBorders>
            <w:shd w:val="clear" w:color="auto" w:fill="auto"/>
            <w:vAlign w:val="bottom"/>
          </w:tcPr>
          <w:p w14:paraId="37713921" w14:textId="5F1DFB26"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0DA97DD5" w14:textId="358AC63F" w:rsidR="00566EA9" w:rsidRPr="001D41EA" w:rsidRDefault="00566EA9" w:rsidP="001D41EA">
            <w:pPr>
              <w:spacing w:before="40" w:after="40"/>
              <w:jc w:val="center"/>
              <w:rPr>
                <w:rFonts w:cs="Arial"/>
                <w:sz w:val="18"/>
                <w:szCs w:val="18"/>
              </w:rPr>
            </w:pPr>
            <w:r w:rsidRPr="001D41EA">
              <w:rPr>
                <w:rFonts w:cs="Arial"/>
                <w:sz w:val="18"/>
                <w:szCs w:val="18"/>
              </w:rPr>
              <w:t>0.894</w:t>
            </w:r>
          </w:p>
        </w:tc>
        <w:tc>
          <w:tcPr>
            <w:tcW w:w="1021" w:type="dxa"/>
            <w:tcBorders>
              <w:top w:val="nil"/>
              <w:left w:val="nil"/>
              <w:bottom w:val="nil"/>
              <w:right w:val="nil"/>
            </w:tcBorders>
            <w:vAlign w:val="bottom"/>
          </w:tcPr>
          <w:p w14:paraId="3A4D1BDC" w14:textId="27E42F5D" w:rsidR="00566EA9" w:rsidRPr="001D41EA" w:rsidRDefault="00566EA9" w:rsidP="001D41EA">
            <w:pPr>
              <w:spacing w:before="40" w:after="40"/>
              <w:jc w:val="center"/>
              <w:rPr>
                <w:rFonts w:cs="Arial"/>
                <w:sz w:val="18"/>
                <w:szCs w:val="18"/>
              </w:rPr>
            </w:pPr>
            <w:r w:rsidRPr="001D41EA">
              <w:rPr>
                <w:rFonts w:cs="Arial"/>
                <w:sz w:val="18"/>
                <w:szCs w:val="18"/>
              </w:rPr>
              <w:t>0.890</w:t>
            </w:r>
          </w:p>
        </w:tc>
        <w:tc>
          <w:tcPr>
            <w:tcW w:w="1021" w:type="dxa"/>
            <w:tcBorders>
              <w:top w:val="nil"/>
              <w:left w:val="nil"/>
              <w:bottom w:val="nil"/>
              <w:right w:val="nil"/>
            </w:tcBorders>
            <w:shd w:val="clear" w:color="auto" w:fill="auto"/>
            <w:vAlign w:val="bottom"/>
          </w:tcPr>
          <w:p w14:paraId="3B32ABB3" w14:textId="77F9B968" w:rsidR="00566EA9" w:rsidRPr="001D41EA" w:rsidRDefault="00566EA9" w:rsidP="001D41EA">
            <w:pPr>
              <w:spacing w:before="40" w:after="40"/>
              <w:jc w:val="center"/>
              <w:rPr>
                <w:rFonts w:cs="Arial"/>
                <w:sz w:val="18"/>
                <w:szCs w:val="18"/>
              </w:rPr>
            </w:pPr>
            <w:r w:rsidRPr="001D41EA">
              <w:rPr>
                <w:rFonts w:cs="Arial"/>
                <w:sz w:val="18"/>
                <w:szCs w:val="18"/>
              </w:rPr>
              <w:t>0.886</w:t>
            </w:r>
          </w:p>
        </w:tc>
        <w:tc>
          <w:tcPr>
            <w:tcW w:w="1021" w:type="dxa"/>
            <w:tcBorders>
              <w:top w:val="nil"/>
              <w:left w:val="nil"/>
              <w:bottom w:val="nil"/>
              <w:right w:val="nil"/>
            </w:tcBorders>
            <w:vAlign w:val="bottom"/>
          </w:tcPr>
          <w:p w14:paraId="0CCB124E" w14:textId="424AB495" w:rsidR="00566EA9" w:rsidRPr="001D41EA" w:rsidRDefault="00566EA9" w:rsidP="001D41EA">
            <w:pPr>
              <w:spacing w:before="40" w:after="40"/>
              <w:jc w:val="center"/>
              <w:rPr>
                <w:rFonts w:cs="Arial"/>
                <w:sz w:val="18"/>
                <w:szCs w:val="18"/>
              </w:rPr>
            </w:pPr>
            <w:r w:rsidRPr="001D41EA">
              <w:rPr>
                <w:rFonts w:cs="Arial"/>
                <w:sz w:val="18"/>
                <w:szCs w:val="18"/>
              </w:rPr>
              <w:t>0.893</w:t>
            </w:r>
          </w:p>
        </w:tc>
        <w:tc>
          <w:tcPr>
            <w:tcW w:w="1021" w:type="dxa"/>
            <w:tcBorders>
              <w:top w:val="nil"/>
              <w:left w:val="nil"/>
              <w:bottom w:val="nil"/>
              <w:right w:val="nil"/>
            </w:tcBorders>
            <w:vAlign w:val="bottom"/>
          </w:tcPr>
          <w:p w14:paraId="21F1D7A2" w14:textId="46FE7DE3" w:rsidR="00566EA9" w:rsidRPr="001D41EA" w:rsidRDefault="00566EA9" w:rsidP="001D41EA">
            <w:pPr>
              <w:spacing w:before="40" w:after="40"/>
              <w:jc w:val="center"/>
              <w:rPr>
                <w:rFonts w:cs="Arial"/>
                <w:sz w:val="18"/>
                <w:szCs w:val="18"/>
              </w:rPr>
            </w:pPr>
            <w:r w:rsidRPr="001D41EA">
              <w:rPr>
                <w:rFonts w:cs="Arial"/>
                <w:sz w:val="18"/>
                <w:szCs w:val="18"/>
              </w:rPr>
              <w:t>0.882</w:t>
            </w:r>
          </w:p>
        </w:tc>
        <w:tc>
          <w:tcPr>
            <w:tcW w:w="170" w:type="dxa"/>
            <w:tcBorders>
              <w:top w:val="nil"/>
              <w:left w:val="nil"/>
              <w:bottom w:val="nil"/>
              <w:right w:val="nil"/>
            </w:tcBorders>
            <w:vAlign w:val="bottom"/>
          </w:tcPr>
          <w:p w14:paraId="55EA2104" w14:textId="6FE2BF3F"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12017504" w14:textId="53CA65E5" w:rsidR="00566EA9" w:rsidRPr="001D41EA" w:rsidRDefault="00566EA9" w:rsidP="001D41EA">
            <w:pPr>
              <w:spacing w:before="40" w:after="40"/>
              <w:jc w:val="center"/>
              <w:rPr>
                <w:rFonts w:cs="Arial"/>
                <w:sz w:val="18"/>
                <w:szCs w:val="18"/>
              </w:rPr>
            </w:pPr>
            <w:r w:rsidRPr="001D41EA">
              <w:rPr>
                <w:rFonts w:cs="Arial"/>
                <w:sz w:val="18"/>
                <w:szCs w:val="18"/>
              </w:rPr>
              <w:t>0.877</w:t>
            </w:r>
          </w:p>
        </w:tc>
      </w:tr>
      <w:tr w:rsidR="00566EA9" w:rsidRPr="001D41EA" w14:paraId="39BD5F1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B2625DF" w14:textId="77777777" w:rsidR="00566EA9" w:rsidRPr="001D41EA" w:rsidRDefault="00566EA9" w:rsidP="001D41EA">
            <w:pPr>
              <w:spacing w:before="40" w:after="40"/>
              <w:rPr>
                <w:rFonts w:cs="Arial"/>
                <w:sz w:val="18"/>
                <w:szCs w:val="18"/>
              </w:rPr>
            </w:pPr>
            <w:r w:rsidRPr="001D41EA">
              <w:rPr>
                <w:rFonts w:cs="Arial"/>
                <w:sz w:val="18"/>
                <w:szCs w:val="18"/>
              </w:rPr>
              <w:t>Buloke S</w:t>
            </w:r>
          </w:p>
        </w:tc>
        <w:tc>
          <w:tcPr>
            <w:tcW w:w="1021" w:type="dxa"/>
            <w:tcBorders>
              <w:top w:val="nil"/>
              <w:left w:val="single" w:sz="18" w:space="0" w:color="5F497A" w:themeColor="accent4" w:themeShade="BF"/>
              <w:bottom w:val="nil"/>
              <w:right w:val="nil"/>
            </w:tcBorders>
            <w:shd w:val="clear" w:color="auto" w:fill="auto"/>
            <w:vAlign w:val="bottom"/>
          </w:tcPr>
          <w:p w14:paraId="3187C1D7" w14:textId="16B3DF1B" w:rsidR="00566EA9" w:rsidRPr="001D41EA" w:rsidRDefault="00566EA9" w:rsidP="001D41EA">
            <w:pPr>
              <w:spacing w:before="40" w:after="40"/>
              <w:jc w:val="center"/>
              <w:rPr>
                <w:rFonts w:cs="Arial"/>
                <w:sz w:val="18"/>
                <w:szCs w:val="18"/>
              </w:rPr>
            </w:pPr>
            <w:r w:rsidRPr="001D41EA">
              <w:rPr>
                <w:rFonts w:cs="Arial"/>
                <w:sz w:val="18"/>
                <w:szCs w:val="18"/>
              </w:rPr>
              <w:t>1.038</w:t>
            </w:r>
          </w:p>
        </w:tc>
        <w:tc>
          <w:tcPr>
            <w:tcW w:w="170" w:type="dxa"/>
            <w:tcBorders>
              <w:top w:val="nil"/>
              <w:left w:val="nil"/>
              <w:bottom w:val="nil"/>
              <w:right w:val="nil"/>
            </w:tcBorders>
            <w:shd w:val="clear" w:color="auto" w:fill="auto"/>
            <w:vAlign w:val="bottom"/>
          </w:tcPr>
          <w:p w14:paraId="40242940" w14:textId="4A7679EB"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464F556A" w14:textId="0D82CB47" w:rsidR="00566EA9" w:rsidRPr="001D41EA" w:rsidRDefault="00566EA9" w:rsidP="001D41EA">
            <w:pPr>
              <w:spacing w:before="40" w:after="40"/>
              <w:jc w:val="center"/>
              <w:rPr>
                <w:rFonts w:cs="Arial"/>
                <w:sz w:val="18"/>
                <w:szCs w:val="18"/>
              </w:rPr>
            </w:pPr>
            <w:r w:rsidRPr="001D41EA">
              <w:rPr>
                <w:rFonts w:cs="Arial"/>
                <w:sz w:val="18"/>
                <w:szCs w:val="18"/>
              </w:rPr>
              <w:t>1.281</w:t>
            </w:r>
          </w:p>
        </w:tc>
        <w:tc>
          <w:tcPr>
            <w:tcW w:w="1021" w:type="dxa"/>
            <w:tcBorders>
              <w:top w:val="nil"/>
              <w:left w:val="nil"/>
              <w:bottom w:val="nil"/>
              <w:right w:val="nil"/>
            </w:tcBorders>
            <w:vAlign w:val="bottom"/>
          </w:tcPr>
          <w:p w14:paraId="6C8CA330" w14:textId="6DBD2CAB" w:rsidR="00566EA9" w:rsidRPr="001D41EA" w:rsidRDefault="00566EA9" w:rsidP="001D41EA">
            <w:pPr>
              <w:spacing w:before="40" w:after="40"/>
              <w:jc w:val="center"/>
              <w:rPr>
                <w:rFonts w:cs="Arial"/>
                <w:sz w:val="18"/>
                <w:szCs w:val="18"/>
              </w:rPr>
            </w:pPr>
            <w:r w:rsidRPr="001D41EA">
              <w:rPr>
                <w:rFonts w:cs="Arial"/>
                <w:sz w:val="18"/>
                <w:szCs w:val="18"/>
              </w:rPr>
              <w:t>1.274</w:t>
            </w:r>
          </w:p>
        </w:tc>
        <w:tc>
          <w:tcPr>
            <w:tcW w:w="1021" w:type="dxa"/>
            <w:tcBorders>
              <w:top w:val="nil"/>
              <w:left w:val="nil"/>
              <w:bottom w:val="nil"/>
              <w:right w:val="nil"/>
            </w:tcBorders>
            <w:shd w:val="clear" w:color="auto" w:fill="auto"/>
            <w:vAlign w:val="bottom"/>
          </w:tcPr>
          <w:p w14:paraId="6A5D66EA" w14:textId="0D67A013" w:rsidR="00566EA9" w:rsidRPr="001D41EA" w:rsidRDefault="00566EA9" w:rsidP="001D41EA">
            <w:pPr>
              <w:spacing w:before="40" w:after="40"/>
              <w:jc w:val="center"/>
              <w:rPr>
                <w:rFonts w:cs="Arial"/>
                <w:sz w:val="18"/>
                <w:szCs w:val="18"/>
              </w:rPr>
            </w:pPr>
            <w:r w:rsidRPr="001D41EA">
              <w:rPr>
                <w:rFonts w:cs="Arial"/>
                <w:sz w:val="18"/>
                <w:szCs w:val="18"/>
              </w:rPr>
              <w:t>1.269</w:t>
            </w:r>
          </w:p>
        </w:tc>
        <w:tc>
          <w:tcPr>
            <w:tcW w:w="1021" w:type="dxa"/>
            <w:tcBorders>
              <w:top w:val="nil"/>
              <w:left w:val="nil"/>
              <w:bottom w:val="nil"/>
              <w:right w:val="nil"/>
            </w:tcBorders>
            <w:vAlign w:val="bottom"/>
          </w:tcPr>
          <w:p w14:paraId="7A9FB1C3" w14:textId="5B74A76E" w:rsidR="00566EA9" w:rsidRPr="001D41EA" w:rsidRDefault="00566EA9" w:rsidP="001D41EA">
            <w:pPr>
              <w:spacing w:before="40" w:after="40"/>
              <w:jc w:val="center"/>
              <w:rPr>
                <w:rFonts w:cs="Arial"/>
                <w:sz w:val="18"/>
                <w:szCs w:val="18"/>
              </w:rPr>
            </w:pPr>
            <w:r w:rsidRPr="001D41EA">
              <w:rPr>
                <w:rFonts w:cs="Arial"/>
                <w:sz w:val="18"/>
                <w:szCs w:val="18"/>
              </w:rPr>
              <w:t>1.279</w:t>
            </w:r>
          </w:p>
        </w:tc>
        <w:tc>
          <w:tcPr>
            <w:tcW w:w="1021" w:type="dxa"/>
            <w:tcBorders>
              <w:top w:val="nil"/>
              <w:left w:val="nil"/>
              <w:bottom w:val="nil"/>
              <w:right w:val="nil"/>
            </w:tcBorders>
            <w:vAlign w:val="bottom"/>
          </w:tcPr>
          <w:p w14:paraId="1C42103A" w14:textId="25481F73" w:rsidR="00566EA9" w:rsidRPr="001D41EA" w:rsidRDefault="00566EA9" w:rsidP="001D41EA">
            <w:pPr>
              <w:spacing w:before="40" w:after="40"/>
              <w:jc w:val="center"/>
              <w:rPr>
                <w:rFonts w:cs="Arial"/>
                <w:sz w:val="18"/>
                <w:szCs w:val="18"/>
              </w:rPr>
            </w:pPr>
            <w:r w:rsidRPr="001D41EA">
              <w:rPr>
                <w:rFonts w:cs="Arial"/>
                <w:sz w:val="18"/>
                <w:szCs w:val="18"/>
              </w:rPr>
              <w:t>1.262</w:t>
            </w:r>
          </w:p>
        </w:tc>
        <w:tc>
          <w:tcPr>
            <w:tcW w:w="170" w:type="dxa"/>
            <w:tcBorders>
              <w:top w:val="nil"/>
              <w:left w:val="nil"/>
              <w:bottom w:val="nil"/>
              <w:right w:val="nil"/>
            </w:tcBorders>
            <w:vAlign w:val="bottom"/>
          </w:tcPr>
          <w:p w14:paraId="2D754628" w14:textId="68CFD762"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07113225" w14:textId="0C66B41E" w:rsidR="00566EA9" w:rsidRPr="001D41EA" w:rsidRDefault="00566EA9" w:rsidP="001D41EA">
            <w:pPr>
              <w:spacing w:before="40" w:after="40"/>
              <w:jc w:val="center"/>
              <w:rPr>
                <w:rFonts w:cs="Arial"/>
                <w:sz w:val="18"/>
                <w:szCs w:val="18"/>
              </w:rPr>
            </w:pPr>
            <w:r w:rsidRPr="001D41EA">
              <w:rPr>
                <w:rFonts w:cs="Arial"/>
                <w:sz w:val="18"/>
                <w:szCs w:val="18"/>
              </w:rPr>
              <w:t>1.203</w:t>
            </w:r>
          </w:p>
        </w:tc>
      </w:tr>
      <w:tr w:rsidR="00566EA9" w:rsidRPr="001D41EA" w14:paraId="66CD6C5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0F641FC" w14:textId="77777777" w:rsidR="00566EA9" w:rsidRPr="001D41EA" w:rsidRDefault="00566EA9" w:rsidP="001D41EA">
            <w:pPr>
              <w:spacing w:before="40" w:after="40"/>
              <w:rPr>
                <w:rFonts w:cs="Arial"/>
                <w:sz w:val="18"/>
                <w:szCs w:val="18"/>
              </w:rPr>
            </w:pPr>
            <w:r w:rsidRPr="001D41EA">
              <w:rPr>
                <w:rFonts w:cs="Arial"/>
                <w:sz w:val="18"/>
                <w:szCs w:val="18"/>
              </w:rPr>
              <w:t>Campaspe S</w:t>
            </w:r>
          </w:p>
        </w:tc>
        <w:tc>
          <w:tcPr>
            <w:tcW w:w="1021" w:type="dxa"/>
            <w:tcBorders>
              <w:top w:val="nil"/>
              <w:left w:val="single" w:sz="18" w:space="0" w:color="5F497A" w:themeColor="accent4" w:themeShade="BF"/>
              <w:bottom w:val="nil"/>
              <w:right w:val="nil"/>
            </w:tcBorders>
            <w:shd w:val="clear" w:color="auto" w:fill="auto"/>
            <w:vAlign w:val="bottom"/>
          </w:tcPr>
          <w:p w14:paraId="724E3CB5" w14:textId="5B188A89" w:rsidR="00566EA9" w:rsidRPr="001D41EA" w:rsidRDefault="00566EA9" w:rsidP="001D41EA">
            <w:pPr>
              <w:spacing w:before="40" w:after="40"/>
              <w:jc w:val="center"/>
              <w:rPr>
                <w:rFonts w:cs="Arial"/>
                <w:sz w:val="18"/>
                <w:szCs w:val="18"/>
              </w:rPr>
            </w:pPr>
            <w:r w:rsidRPr="001D41EA">
              <w:rPr>
                <w:rFonts w:cs="Arial"/>
                <w:sz w:val="18"/>
                <w:szCs w:val="18"/>
              </w:rPr>
              <w:t>1.133</w:t>
            </w:r>
          </w:p>
        </w:tc>
        <w:tc>
          <w:tcPr>
            <w:tcW w:w="170" w:type="dxa"/>
            <w:tcBorders>
              <w:top w:val="nil"/>
              <w:left w:val="nil"/>
              <w:bottom w:val="nil"/>
              <w:right w:val="nil"/>
            </w:tcBorders>
            <w:shd w:val="clear" w:color="auto" w:fill="auto"/>
            <w:vAlign w:val="bottom"/>
          </w:tcPr>
          <w:p w14:paraId="3E7BD5A1" w14:textId="555F40C9"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2FBF4E4B" w14:textId="578786FB" w:rsidR="00566EA9" w:rsidRPr="001D41EA" w:rsidRDefault="00566EA9" w:rsidP="001D41EA">
            <w:pPr>
              <w:spacing w:before="40" w:after="40"/>
              <w:jc w:val="center"/>
              <w:rPr>
                <w:rFonts w:cs="Arial"/>
                <w:sz w:val="18"/>
                <w:szCs w:val="18"/>
              </w:rPr>
            </w:pPr>
            <w:r w:rsidRPr="001D41EA">
              <w:rPr>
                <w:rFonts w:cs="Arial"/>
                <w:sz w:val="18"/>
                <w:szCs w:val="18"/>
              </w:rPr>
              <w:t>1.221</w:t>
            </w:r>
          </w:p>
        </w:tc>
        <w:tc>
          <w:tcPr>
            <w:tcW w:w="1021" w:type="dxa"/>
            <w:tcBorders>
              <w:top w:val="nil"/>
              <w:left w:val="nil"/>
              <w:bottom w:val="nil"/>
              <w:right w:val="nil"/>
            </w:tcBorders>
            <w:vAlign w:val="bottom"/>
          </w:tcPr>
          <w:p w14:paraId="592B4DB0" w14:textId="05522387" w:rsidR="00566EA9" w:rsidRPr="001D41EA" w:rsidRDefault="00566EA9" w:rsidP="001D41EA">
            <w:pPr>
              <w:spacing w:before="40" w:after="40"/>
              <w:jc w:val="center"/>
              <w:rPr>
                <w:rFonts w:cs="Arial"/>
                <w:sz w:val="18"/>
                <w:szCs w:val="18"/>
              </w:rPr>
            </w:pPr>
            <w:r w:rsidRPr="001D41EA">
              <w:rPr>
                <w:rFonts w:cs="Arial"/>
                <w:sz w:val="18"/>
                <w:szCs w:val="18"/>
              </w:rPr>
              <w:t>1.214</w:t>
            </w:r>
          </w:p>
        </w:tc>
        <w:tc>
          <w:tcPr>
            <w:tcW w:w="1021" w:type="dxa"/>
            <w:tcBorders>
              <w:top w:val="nil"/>
              <w:left w:val="nil"/>
              <w:bottom w:val="nil"/>
              <w:right w:val="nil"/>
            </w:tcBorders>
            <w:shd w:val="clear" w:color="auto" w:fill="auto"/>
            <w:vAlign w:val="bottom"/>
          </w:tcPr>
          <w:p w14:paraId="6D504CD9" w14:textId="3B29AB70" w:rsidR="00566EA9" w:rsidRPr="001D41EA" w:rsidRDefault="00566EA9" w:rsidP="001D41EA">
            <w:pPr>
              <w:spacing w:before="40" w:after="40"/>
              <w:jc w:val="center"/>
              <w:rPr>
                <w:rFonts w:cs="Arial"/>
                <w:sz w:val="18"/>
                <w:szCs w:val="18"/>
              </w:rPr>
            </w:pPr>
            <w:r w:rsidRPr="001D41EA">
              <w:rPr>
                <w:rFonts w:cs="Arial"/>
                <w:sz w:val="18"/>
                <w:szCs w:val="18"/>
              </w:rPr>
              <w:t>1.210</w:t>
            </w:r>
          </w:p>
        </w:tc>
        <w:tc>
          <w:tcPr>
            <w:tcW w:w="1021" w:type="dxa"/>
            <w:tcBorders>
              <w:top w:val="nil"/>
              <w:left w:val="nil"/>
              <w:bottom w:val="nil"/>
              <w:right w:val="nil"/>
            </w:tcBorders>
            <w:vAlign w:val="bottom"/>
          </w:tcPr>
          <w:p w14:paraId="7829B9EA" w14:textId="48A2C6C5" w:rsidR="00566EA9" w:rsidRPr="001D41EA" w:rsidRDefault="00566EA9" w:rsidP="001D41EA">
            <w:pPr>
              <w:spacing w:before="40" w:after="40"/>
              <w:jc w:val="center"/>
              <w:rPr>
                <w:rFonts w:cs="Arial"/>
                <w:sz w:val="18"/>
                <w:szCs w:val="18"/>
              </w:rPr>
            </w:pPr>
            <w:r w:rsidRPr="001D41EA">
              <w:rPr>
                <w:rFonts w:cs="Arial"/>
                <w:sz w:val="18"/>
                <w:szCs w:val="18"/>
              </w:rPr>
              <w:t>1.219</w:t>
            </w:r>
          </w:p>
        </w:tc>
        <w:tc>
          <w:tcPr>
            <w:tcW w:w="1021" w:type="dxa"/>
            <w:tcBorders>
              <w:top w:val="nil"/>
              <w:left w:val="nil"/>
              <w:bottom w:val="nil"/>
              <w:right w:val="nil"/>
            </w:tcBorders>
            <w:vAlign w:val="bottom"/>
          </w:tcPr>
          <w:p w14:paraId="3CA120F6" w14:textId="27B060AA" w:rsidR="00566EA9" w:rsidRPr="001D41EA" w:rsidRDefault="00566EA9" w:rsidP="001D41EA">
            <w:pPr>
              <w:spacing w:before="40" w:after="40"/>
              <w:jc w:val="center"/>
              <w:rPr>
                <w:rFonts w:cs="Arial"/>
                <w:sz w:val="18"/>
                <w:szCs w:val="18"/>
              </w:rPr>
            </w:pPr>
            <w:r w:rsidRPr="001D41EA">
              <w:rPr>
                <w:rFonts w:cs="Arial"/>
                <w:sz w:val="18"/>
                <w:szCs w:val="18"/>
              </w:rPr>
              <w:t>1.203</w:t>
            </w:r>
          </w:p>
        </w:tc>
        <w:tc>
          <w:tcPr>
            <w:tcW w:w="170" w:type="dxa"/>
            <w:tcBorders>
              <w:top w:val="nil"/>
              <w:left w:val="nil"/>
              <w:bottom w:val="nil"/>
              <w:right w:val="nil"/>
            </w:tcBorders>
            <w:vAlign w:val="bottom"/>
          </w:tcPr>
          <w:p w14:paraId="0C7A4839" w14:textId="0886C26A"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4A3177CA" w14:textId="25AF696F" w:rsidR="00566EA9" w:rsidRPr="001D41EA" w:rsidRDefault="00566EA9" w:rsidP="001D41EA">
            <w:pPr>
              <w:spacing w:before="40" w:after="40"/>
              <w:jc w:val="center"/>
              <w:rPr>
                <w:rFonts w:cs="Arial"/>
                <w:sz w:val="18"/>
                <w:szCs w:val="18"/>
              </w:rPr>
            </w:pPr>
            <w:r w:rsidRPr="001D41EA">
              <w:rPr>
                <w:rFonts w:cs="Arial"/>
                <w:sz w:val="18"/>
                <w:szCs w:val="18"/>
              </w:rPr>
              <w:t>1.195</w:t>
            </w:r>
          </w:p>
        </w:tc>
      </w:tr>
      <w:tr w:rsidR="00566EA9" w:rsidRPr="001D41EA" w14:paraId="6D30BA0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1C2AF14" w14:textId="77777777" w:rsidR="00566EA9" w:rsidRPr="001D41EA" w:rsidRDefault="00566EA9" w:rsidP="001D41EA">
            <w:pPr>
              <w:spacing w:before="40" w:after="40"/>
              <w:rPr>
                <w:rFonts w:cs="Arial"/>
                <w:sz w:val="18"/>
                <w:szCs w:val="18"/>
              </w:rPr>
            </w:pPr>
            <w:r w:rsidRPr="001D41EA">
              <w:rPr>
                <w:rFonts w:cs="Arial"/>
                <w:sz w:val="18"/>
                <w:szCs w:val="18"/>
              </w:rPr>
              <w:t>Cardinia S</w:t>
            </w:r>
          </w:p>
        </w:tc>
        <w:tc>
          <w:tcPr>
            <w:tcW w:w="1021" w:type="dxa"/>
            <w:tcBorders>
              <w:top w:val="nil"/>
              <w:left w:val="single" w:sz="18" w:space="0" w:color="5F497A" w:themeColor="accent4" w:themeShade="BF"/>
              <w:bottom w:val="nil"/>
              <w:right w:val="nil"/>
            </w:tcBorders>
            <w:shd w:val="clear" w:color="auto" w:fill="auto"/>
            <w:vAlign w:val="bottom"/>
          </w:tcPr>
          <w:p w14:paraId="54C3922B" w14:textId="556C82BE" w:rsidR="00566EA9" w:rsidRPr="001D41EA" w:rsidRDefault="00566EA9" w:rsidP="001D41EA">
            <w:pPr>
              <w:spacing w:before="40" w:after="40"/>
              <w:jc w:val="center"/>
              <w:rPr>
                <w:rFonts w:cs="Arial"/>
                <w:sz w:val="18"/>
                <w:szCs w:val="18"/>
              </w:rPr>
            </w:pPr>
            <w:r w:rsidRPr="001D41EA">
              <w:rPr>
                <w:rFonts w:cs="Arial"/>
                <w:sz w:val="18"/>
                <w:szCs w:val="18"/>
              </w:rPr>
              <w:t>1.028</w:t>
            </w:r>
          </w:p>
        </w:tc>
        <w:tc>
          <w:tcPr>
            <w:tcW w:w="170" w:type="dxa"/>
            <w:tcBorders>
              <w:top w:val="nil"/>
              <w:left w:val="nil"/>
              <w:bottom w:val="nil"/>
              <w:right w:val="nil"/>
            </w:tcBorders>
            <w:shd w:val="clear" w:color="auto" w:fill="auto"/>
            <w:vAlign w:val="bottom"/>
          </w:tcPr>
          <w:p w14:paraId="6DCB57DB" w14:textId="76580DEF"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2CF65D67" w14:textId="3EE08E70" w:rsidR="00566EA9" w:rsidRPr="001D41EA" w:rsidRDefault="00566EA9" w:rsidP="001D41EA">
            <w:pPr>
              <w:spacing w:before="40" w:after="40"/>
              <w:jc w:val="center"/>
              <w:rPr>
                <w:rFonts w:cs="Arial"/>
                <w:sz w:val="18"/>
                <w:szCs w:val="18"/>
              </w:rPr>
            </w:pPr>
            <w:r w:rsidRPr="001D41EA">
              <w:rPr>
                <w:rFonts w:cs="Arial"/>
                <w:sz w:val="18"/>
                <w:szCs w:val="18"/>
              </w:rPr>
              <w:t>1.088</w:t>
            </w:r>
          </w:p>
        </w:tc>
        <w:tc>
          <w:tcPr>
            <w:tcW w:w="1021" w:type="dxa"/>
            <w:tcBorders>
              <w:top w:val="nil"/>
              <w:left w:val="nil"/>
              <w:bottom w:val="nil"/>
              <w:right w:val="nil"/>
            </w:tcBorders>
            <w:vAlign w:val="bottom"/>
          </w:tcPr>
          <w:p w14:paraId="026A012D" w14:textId="47C5293E" w:rsidR="00566EA9" w:rsidRPr="001D41EA" w:rsidRDefault="00566EA9" w:rsidP="001D41EA">
            <w:pPr>
              <w:spacing w:before="40" w:after="40"/>
              <w:jc w:val="center"/>
              <w:rPr>
                <w:rFonts w:cs="Arial"/>
                <w:sz w:val="18"/>
                <w:szCs w:val="18"/>
              </w:rPr>
            </w:pPr>
            <w:r w:rsidRPr="001D41EA">
              <w:rPr>
                <w:rFonts w:cs="Arial"/>
                <w:sz w:val="18"/>
                <w:szCs w:val="18"/>
              </w:rPr>
              <w:t>1.082</w:t>
            </w:r>
          </w:p>
        </w:tc>
        <w:tc>
          <w:tcPr>
            <w:tcW w:w="1021" w:type="dxa"/>
            <w:tcBorders>
              <w:top w:val="nil"/>
              <w:left w:val="nil"/>
              <w:bottom w:val="nil"/>
              <w:right w:val="nil"/>
            </w:tcBorders>
            <w:shd w:val="clear" w:color="auto" w:fill="auto"/>
            <w:vAlign w:val="bottom"/>
          </w:tcPr>
          <w:p w14:paraId="37BBDD23" w14:textId="71CBFF18" w:rsidR="00566EA9" w:rsidRPr="001D41EA" w:rsidRDefault="00566EA9" w:rsidP="001D41EA">
            <w:pPr>
              <w:spacing w:before="40" w:after="40"/>
              <w:jc w:val="center"/>
              <w:rPr>
                <w:rFonts w:cs="Arial"/>
                <w:sz w:val="18"/>
                <w:szCs w:val="18"/>
              </w:rPr>
            </w:pPr>
            <w:r w:rsidRPr="001D41EA">
              <w:rPr>
                <w:rFonts w:cs="Arial"/>
                <w:sz w:val="18"/>
                <w:szCs w:val="18"/>
              </w:rPr>
              <w:t>1.078</w:t>
            </w:r>
          </w:p>
        </w:tc>
        <w:tc>
          <w:tcPr>
            <w:tcW w:w="1021" w:type="dxa"/>
            <w:tcBorders>
              <w:top w:val="nil"/>
              <w:left w:val="nil"/>
              <w:bottom w:val="nil"/>
              <w:right w:val="nil"/>
            </w:tcBorders>
            <w:vAlign w:val="bottom"/>
          </w:tcPr>
          <w:p w14:paraId="4AFDFC39" w14:textId="3A06382D" w:rsidR="00566EA9" w:rsidRPr="001D41EA" w:rsidRDefault="00566EA9" w:rsidP="001D41EA">
            <w:pPr>
              <w:spacing w:before="40" w:after="40"/>
              <w:jc w:val="center"/>
              <w:rPr>
                <w:rFonts w:cs="Arial"/>
                <w:sz w:val="18"/>
                <w:szCs w:val="18"/>
              </w:rPr>
            </w:pPr>
            <w:r w:rsidRPr="001D41EA">
              <w:rPr>
                <w:rFonts w:cs="Arial"/>
                <w:sz w:val="18"/>
                <w:szCs w:val="18"/>
              </w:rPr>
              <w:t>1.087</w:t>
            </w:r>
          </w:p>
        </w:tc>
        <w:tc>
          <w:tcPr>
            <w:tcW w:w="1021" w:type="dxa"/>
            <w:tcBorders>
              <w:top w:val="nil"/>
              <w:left w:val="nil"/>
              <w:bottom w:val="nil"/>
              <w:right w:val="nil"/>
            </w:tcBorders>
            <w:vAlign w:val="bottom"/>
          </w:tcPr>
          <w:p w14:paraId="3D1F4DA0" w14:textId="1BA5E4F3" w:rsidR="00566EA9" w:rsidRPr="001D41EA" w:rsidRDefault="00566EA9" w:rsidP="001D41EA">
            <w:pPr>
              <w:spacing w:before="40" w:after="40"/>
              <w:jc w:val="center"/>
              <w:rPr>
                <w:rFonts w:cs="Arial"/>
                <w:sz w:val="18"/>
                <w:szCs w:val="18"/>
              </w:rPr>
            </w:pPr>
            <w:r w:rsidRPr="001D41EA">
              <w:rPr>
                <w:rFonts w:cs="Arial"/>
                <w:sz w:val="18"/>
                <w:szCs w:val="18"/>
              </w:rPr>
              <w:t>1.072</w:t>
            </w:r>
          </w:p>
        </w:tc>
        <w:tc>
          <w:tcPr>
            <w:tcW w:w="170" w:type="dxa"/>
            <w:tcBorders>
              <w:top w:val="nil"/>
              <w:left w:val="nil"/>
              <w:bottom w:val="nil"/>
              <w:right w:val="nil"/>
            </w:tcBorders>
            <w:vAlign w:val="bottom"/>
          </w:tcPr>
          <w:p w14:paraId="74F1CFA9" w14:textId="34DD20FE"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7BB86CBE" w14:textId="13FF86F7" w:rsidR="00566EA9" w:rsidRPr="001D41EA" w:rsidRDefault="00566EA9" w:rsidP="001D41EA">
            <w:pPr>
              <w:spacing w:before="40" w:after="40"/>
              <w:jc w:val="center"/>
              <w:rPr>
                <w:rFonts w:cs="Arial"/>
                <w:sz w:val="18"/>
                <w:szCs w:val="18"/>
              </w:rPr>
            </w:pPr>
            <w:r w:rsidRPr="001D41EA">
              <w:rPr>
                <w:rFonts w:cs="Arial"/>
                <w:sz w:val="18"/>
                <w:szCs w:val="18"/>
              </w:rPr>
              <w:t>1.259</w:t>
            </w:r>
          </w:p>
        </w:tc>
      </w:tr>
      <w:tr w:rsidR="00566EA9" w:rsidRPr="001D41EA" w14:paraId="059E381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15D3B8B" w14:textId="77777777" w:rsidR="00566EA9" w:rsidRPr="001D41EA" w:rsidRDefault="00566EA9" w:rsidP="001D41EA">
            <w:pPr>
              <w:spacing w:before="40" w:after="40"/>
              <w:rPr>
                <w:rFonts w:cs="Arial"/>
                <w:sz w:val="18"/>
                <w:szCs w:val="18"/>
              </w:rPr>
            </w:pPr>
            <w:r w:rsidRPr="001D41EA">
              <w:rPr>
                <w:rFonts w:cs="Arial"/>
                <w:sz w:val="18"/>
                <w:szCs w:val="18"/>
              </w:rPr>
              <w:t>Casey C</w:t>
            </w:r>
          </w:p>
        </w:tc>
        <w:tc>
          <w:tcPr>
            <w:tcW w:w="1021" w:type="dxa"/>
            <w:tcBorders>
              <w:top w:val="nil"/>
              <w:left w:val="single" w:sz="18" w:space="0" w:color="5F497A" w:themeColor="accent4" w:themeShade="BF"/>
              <w:bottom w:val="nil"/>
              <w:right w:val="nil"/>
            </w:tcBorders>
            <w:shd w:val="clear" w:color="auto" w:fill="auto"/>
            <w:vAlign w:val="bottom"/>
          </w:tcPr>
          <w:p w14:paraId="70C2025C" w14:textId="4CE96E1F" w:rsidR="00566EA9" w:rsidRPr="001D41EA" w:rsidRDefault="00566EA9" w:rsidP="001D41EA">
            <w:pPr>
              <w:spacing w:before="40" w:after="40"/>
              <w:jc w:val="center"/>
              <w:rPr>
                <w:rFonts w:cs="Arial"/>
                <w:sz w:val="18"/>
                <w:szCs w:val="18"/>
              </w:rPr>
            </w:pPr>
            <w:r w:rsidRPr="001D41EA">
              <w:rPr>
                <w:rFonts w:cs="Arial"/>
                <w:sz w:val="18"/>
                <w:szCs w:val="18"/>
              </w:rPr>
              <w:t>0.966</w:t>
            </w:r>
          </w:p>
        </w:tc>
        <w:tc>
          <w:tcPr>
            <w:tcW w:w="170" w:type="dxa"/>
            <w:tcBorders>
              <w:top w:val="nil"/>
              <w:left w:val="nil"/>
              <w:bottom w:val="nil"/>
              <w:right w:val="nil"/>
            </w:tcBorders>
            <w:shd w:val="clear" w:color="auto" w:fill="auto"/>
            <w:vAlign w:val="bottom"/>
          </w:tcPr>
          <w:p w14:paraId="5DE16C79" w14:textId="5896D6CB"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2C0B364D" w14:textId="3232848A" w:rsidR="00566EA9" w:rsidRPr="001D41EA" w:rsidRDefault="00566EA9" w:rsidP="001D41EA">
            <w:pPr>
              <w:spacing w:before="40" w:after="40"/>
              <w:jc w:val="center"/>
              <w:rPr>
                <w:rFonts w:cs="Arial"/>
                <w:sz w:val="18"/>
                <w:szCs w:val="18"/>
              </w:rPr>
            </w:pPr>
            <w:r w:rsidRPr="001D41EA">
              <w:rPr>
                <w:rFonts w:cs="Arial"/>
                <w:sz w:val="18"/>
                <w:szCs w:val="18"/>
              </w:rPr>
              <w:t>0.643</w:t>
            </w:r>
          </w:p>
        </w:tc>
        <w:tc>
          <w:tcPr>
            <w:tcW w:w="1021" w:type="dxa"/>
            <w:tcBorders>
              <w:top w:val="nil"/>
              <w:left w:val="nil"/>
              <w:bottom w:val="nil"/>
              <w:right w:val="nil"/>
            </w:tcBorders>
            <w:vAlign w:val="bottom"/>
          </w:tcPr>
          <w:p w14:paraId="452EE15E" w14:textId="57135D7A" w:rsidR="00566EA9" w:rsidRPr="001D41EA" w:rsidRDefault="00566EA9" w:rsidP="001D41EA">
            <w:pPr>
              <w:spacing w:before="40" w:after="40"/>
              <w:jc w:val="center"/>
              <w:rPr>
                <w:rFonts w:cs="Arial"/>
                <w:sz w:val="18"/>
                <w:szCs w:val="18"/>
              </w:rPr>
            </w:pPr>
            <w:r w:rsidRPr="001D41EA">
              <w:rPr>
                <w:rFonts w:cs="Arial"/>
                <w:sz w:val="18"/>
                <w:szCs w:val="18"/>
              </w:rPr>
              <w:t>0.640</w:t>
            </w:r>
          </w:p>
        </w:tc>
        <w:tc>
          <w:tcPr>
            <w:tcW w:w="1021" w:type="dxa"/>
            <w:tcBorders>
              <w:top w:val="nil"/>
              <w:left w:val="nil"/>
              <w:bottom w:val="nil"/>
              <w:right w:val="nil"/>
            </w:tcBorders>
            <w:shd w:val="clear" w:color="auto" w:fill="auto"/>
            <w:vAlign w:val="bottom"/>
          </w:tcPr>
          <w:p w14:paraId="3288B23C" w14:textId="1CF5E5C4" w:rsidR="00566EA9" w:rsidRPr="001D41EA" w:rsidRDefault="00566EA9" w:rsidP="001D41EA">
            <w:pPr>
              <w:spacing w:before="40" w:after="40"/>
              <w:jc w:val="center"/>
              <w:rPr>
                <w:rFonts w:cs="Arial"/>
                <w:sz w:val="18"/>
                <w:szCs w:val="18"/>
              </w:rPr>
            </w:pPr>
            <w:r w:rsidRPr="001D41EA">
              <w:rPr>
                <w:rFonts w:cs="Arial"/>
                <w:sz w:val="18"/>
                <w:szCs w:val="18"/>
              </w:rPr>
              <w:t>0.637</w:t>
            </w:r>
          </w:p>
        </w:tc>
        <w:tc>
          <w:tcPr>
            <w:tcW w:w="1021" w:type="dxa"/>
            <w:tcBorders>
              <w:top w:val="nil"/>
              <w:left w:val="nil"/>
              <w:bottom w:val="nil"/>
              <w:right w:val="nil"/>
            </w:tcBorders>
            <w:vAlign w:val="bottom"/>
          </w:tcPr>
          <w:p w14:paraId="0918E6CF" w14:textId="207C5EE1" w:rsidR="00566EA9" w:rsidRPr="001D41EA" w:rsidRDefault="00566EA9" w:rsidP="001D41EA">
            <w:pPr>
              <w:spacing w:before="40" w:after="40"/>
              <w:jc w:val="center"/>
              <w:rPr>
                <w:rFonts w:cs="Arial"/>
                <w:sz w:val="18"/>
                <w:szCs w:val="18"/>
              </w:rPr>
            </w:pPr>
            <w:r w:rsidRPr="001D41EA">
              <w:rPr>
                <w:rFonts w:cs="Arial"/>
                <w:sz w:val="18"/>
                <w:szCs w:val="18"/>
              </w:rPr>
              <w:t>0.642</w:t>
            </w:r>
          </w:p>
        </w:tc>
        <w:tc>
          <w:tcPr>
            <w:tcW w:w="1021" w:type="dxa"/>
            <w:tcBorders>
              <w:top w:val="nil"/>
              <w:left w:val="nil"/>
              <w:bottom w:val="nil"/>
              <w:right w:val="nil"/>
            </w:tcBorders>
            <w:vAlign w:val="bottom"/>
          </w:tcPr>
          <w:p w14:paraId="412A6E88" w14:textId="5E50ACF0" w:rsidR="00566EA9" w:rsidRPr="001D41EA" w:rsidRDefault="00566EA9" w:rsidP="001D41EA">
            <w:pPr>
              <w:spacing w:before="40" w:after="40"/>
              <w:jc w:val="center"/>
              <w:rPr>
                <w:rFonts w:cs="Arial"/>
                <w:sz w:val="18"/>
                <w:szCs w:val="18"/>
              </w:rPr>
            </w:pPr>
            <w:r w:rsidRPr="001D41EA">
              <w:rPr>
                <w:rFonts w:cs="Arial"/>
                <w:sz w:val="18"/>
                <w:szCs w:val="18"/>
              </w:rPr>
              <w:t>0.634</w:t>
            </w:r>
          </w:p>
        </w:tc>
        <w:tc>
          <w:tcPr>
            <w:tcW w:w="170" w:type="dxa"/>
            <w:tcBorders>
              <w:top w:val="nil"/>
              <w:left w:val="nil"/>
              <w:bottom w:val="nil"/>
              <w:right w:val="nil"/>
            </w:tcBorders>
            <w:vAlign w:val="bottom"/>
          </w:tcPr>
          <w:p w14:paraId="13DF1CDE" w14:textId="22478ADD"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716332BC" w14:textId="2B1A379B" w:rsidR="00566EA9" w:rsidRPr="001D41EA" w:rsidRDefault="00566EA9" w:rsidP="001D41EA">
            <w:pPr>
              <w:spacing w:before="40" w:after="40"/>
              <w:jc w:val="center"/>
              <w:rPr>
                <w:rFonts w:cs="Arial"/>
                <w:sz w:val="18"/>
                <w:szCs w:val="18"/>
              </w:rPr>
            </w:pPr>
            <w:r w:rsidRPr="001D41EA">
              <w:rPr>
                <w:rFonts w:cs="Arial"/>
                <w:sz w:val="18"/>
                <w:szCs w:val="18"/>
              </w:rPr>
              <w:t>0.935</w:t>
            </w:r>
          </w:p>
        </w:tc>
      </w:tr>
      <w:tr w:rsidR="00566EA9" w:rsidRPr="001D41EA" w14:paraId="51BDC0B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1DA32C1" w14:textId="77777777" w:rsidR="00566EA9" w:rsidRPr="001D41EA" w:rsidRDefault="00566EA9" w:rsidP="001D41EA">
            <w:pPr>
              <w:spacing w:before="40" w:after="40"/>
              <w:rPr>
                <w:rFonts w:cs="Arial"/>
                <w:sz w:val="18"/>
                <w:szCs w:val="18"/>
              </w:rPr>
            </w:pPr>
            <w:r w:rsidRPr="001D41EA">
              <w:rPr>
                <w:rFonts w:cs="Arial"/>
                <w:sz w:val="18"/>
                <w:szCs w:val="18"/>
              </w:rPr>
              <w:t>Central Goldfields S</w:t>
            </w:r>
          </w:p>
        </w:tc>
        <w:tc>
          <w:tcPr>
            <w:tcW w:w="1021" w:type="dxa"/>
            <w:tcBorders>
              <w:top w:val="nil"/>
              <w:left w:val="single" w:sz="18" w:space="0" w:color="5F497A" w:themeColor="accent4" w:themeShade="BF"/>
              <w:bottom w:val="nil"/>
              <w:right w:val="nil"/>
            </w:tcBorders>
            <w:shd w:val="clear" w:color="auto" w:fill="auto"/>
            <w:vAlign w:val="bottom"/>
          </w:tcPr>
          <w:p w14:paraId="4AD9E7A3" w14:textId="27D3F4B3" w:rsidR="00566EA9" w:rsidRPr="001D41EA" w:rsidRDefault="00566EA9" w:rsidP="001D41EA">
            <w:pPr>
              <w:spacing w:before="40" w:after="40"/>
              <w:jc w:val="center"/>
              <w:rPr>
                <w:rFonts w:cs="Arial"/>
                <w:sz w:val="18"/>
                <w:szCs w:val="18"/>
              </w:rPr>
            </w:pPr>
            <w:r w:rsidRPr="001D41EA">
              <w:rPr>
                <w:rFonts w:cs="Arial"/>
                <w:sz w:val="18"/>
                <w:szCs w:val="18"/>
              </w:rPr>
              <w:t>1.222</w:t>
            </w:r>
          </w:p>
        </w:tc>
        <w:tc>
          <w:tcPr>
            <w:tcW w:w="170" w:type="dxa"/>
            <w:tcBorders>
              <w:top w:val="nil"/>
              <w:left w:val="nil"/>
              <w:bottom w:val="nil"/>
              <w:right w:val="nil"/>
            </w:tcBorders>
            <w:shd w:val="clear" w:color="auto" w:fill="auto"/>
            <w:vAlign w:val="bottom"/>
          </w:tcPr>
          <w:p w14:paraId="249823AB" w14:textId="79B94C58"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7B9D2D96" w14:textId="095F4422" w:rsidR="00566EA9" w:rsidRPr="001D41EA" w:rsidRDefault="00566EA9" w:rsidP="001D41EA">
            <w:pPr>
              <w:spacing w:before="40" w:after="40"/>
              <w:jc w:val="center"/>
              <w:rPr>
                <w:rFonts w:cs="Arial"/>
                <w:sz w:val="18"/>
                <w:szCs w:val="18"/>
              </w:rPr>
            </w:pPr>
            <w:r w:rsidRPr="001D41EA">
              <w:rPr>
                <w:rFonts w:cs="Arial"/>
                <w:sz w:val="18"/>
                <w:szCs w:val="18"/>
              </w:rPr>
              <w:t>1.267</w:t>
            </w:r>
          </w:p>
        </w:tc>
        <w:tc>
          <w:tcPr>
            <w:tcW w:w="1021" w:type="dxa"/>
            <w:tcBorders>
              <w:top w:val="nil"/>
              <w:left w:val="nil"/>
              <w:bottom w:val="nil"/>
              <w:right w:val="nil"/>
            </w:tcBorders>
            <w:vAlign w:val="bottom"/>
          </w:tcPr>
          <w:p w14:paraId="57EAC4DC" w14:textId="26C57C4F" w:rsidR="00566EA9" w:rsidRPr="001D41EA" w:rsidRDefault="00566EA9" w:rsidP="001D41EA">
            <w:pPr>
              <w:spacing w:before="40" w:after="40"/>
              <w:jc w:val="center"/>
              <w:rPr>
                <w:rFonts w:cs="Arial"/>
                <w:sz w:val="18"/>
                <w:szCs w:val="18"/>
              </w:rPr>
            </w:pPr>
            <w:r w:rsidRPr="001D41EA">
              <w:rPr>
                <w:rFonts w:cs="Arial"/>
                <w:sz w:val="18"/>
                <w:szCs w:val="18"/>
              </w:rPr>
              <w:t>1.261</w:t>
            </w:r>
          </w:p>
        </w:tc>
        <w:tc>
          <w:tcPr>
            <w:tcW w:w="1021" w:type="dxa"/>
            <w:tcBorders>
              <w:top w:val="nil"/>
              <w:left w:val="nil"/>
              <w:bottom w:val="nil"/>
              <w:right w:val="nil"/>
            </w:tcBorders>
            <w:shd w:val="clear" w:color="auto" w:fill="auto"/>
            <w:vAlign w:val="bottom"/>
          </w:tcPr>
          <w:p w14:paraId="648EFF04" w14:textId="013E9FC5" w:rsidR="00566EA9" w:rsidRPr="001D41EA" w:rsidRDefault="00566EA9" w:rsidP="001D41EA">
            <w:pPr>
              <w:spacing w:before="40" w:after="40"/>
              <w:jc w:val="center"/>
              <w:rPr>
                <w:rFonts w:cs="Arial"/>
                <w:sz w:val="18"/>
                <w:szCs w:val="18"/>
              </w:rPr>
            </w:pPr>
            <w:r w:rsidRPr="001D41EA">
              <w:rPr>
                <w:rFonts w:cs="Arial"/>
                <w:sz w:val="18"/>
                <w:szCs w:val="18"/>
              </w:rPr>
              <w:t>1.256</w:t>
            </w:r>
          </w:p>
        </w:tc>
        <w:tc>
          <w:tcPr>
            <w:tcW w:w="1021" w:type="dxa"/>
            <w:tcBorders>
              <w:top w:val="nil"/>
              <w:left w:val="nil"/>
              <w:bottom w:val="nil"/>
              <w:right w:val="nil"/>
            </w:tcBorders>
            <w:vAlign w:val="bottom"/>
          </w:tcPr>
          <w:p w14:paraId="175CF067" w14:textId="5A83FD77" w:rsidR="00566EA9" w:rsidRPr="001D41EA" w:rsidRDefault="00566EA9" w:rsidP="001D41EA">
            <w:pPr>
              <w:spacing w:before="40" w:after="40"/>
              <w:jc w:val="center"/>
              <w:rPr>
                <w:rFonts w:cs="Arial"/>
                <w:sz w:val="18"/>
                <w:szCs w:val="18"/>
              </w:rPr>
            </w:pPr>
            <w:r w:rsidRPr="001D41EA">
              <w:rPr>
                <w:rFonts w:cs="Arial"/>
                <w:sz w:val="18"/>
                <w:szCs w:val="18"/>
              </w:rPr>
              <w:t>1.265</w:t>
            </w:r>
          </w:p>
        </w:tc>
        <w:tc>
          <w:tcPr>
            <w:tcW w:w="1021" w:type="dxa"/>
            <w:tcBorders>
              <w:top w:val="nil"/>
              <w:left w:val="nil"/>
              <w:bottom w:val="nil"/>
              <w:right w:val="nil"/>
            </w:tcBorders>
            <w:vAlign w:val="bottom"/>
          </w:tcPr>
          <w:p w14:paraId="5CDA2726" w14:textId="149FA137" w:rsidR="00566EA9" w:rsidRPr="001D41EA" w:rsidRDefault="00566EA9" w:rsidP="001D41EA">
            <w:pPr>
              <w:spacing w:before="40" w:after="40"/>
              <w:jc w:val="center"/>
              <w:rPr>
                <w:rFonts w:cs="Arial"/>
                <w:sz w:val="18"/>
                <w:szCs w:val="18"/>
              </w:rPr>
            </w:pPr>
            <w:r w:rsidRPr="001D41EA">
              <w:rPr>
                <w:rFonts w:cs="Arial"/>
                <w:sz w:val="18"/>
                <w:szCs w:val="18"/>
              </w:rPr>
              <w:t>1.249</w:t>
            </w:r>
          </w:p>
        </w:tc>
        <w:tc>
          <w:tcPr>
            <w:tcW w:w="170" w:type="dxa"/>
            <w:tcBorders>
              <w:top w:val="nil"/>
              <w:left w:val="nil"/>
              <w:bottom w:val="nil"/>
              <w:right w:val="nil"/>
            </w:tcBorders>
            <w:vAlign w:val="bottom"/>
          </w:tcPr>
          <w:p w14:paraId="381CCFD2" w14:textId="2DA70AEA"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445D7E29" w14:textId="391C7FE2" w:rsidR="00566EA9" w:rsidRPr="001D41EA" w:rsidRDefault="00566EA9" w:rsidP="001D41EA">
            <w:pPr>
              <w:spacing w:before="40" w:after="40"/>
              <w:jc w:val="center"/>
              <w:rPr>
                <w:rFonts w:cs="Arial"/>
                <w:sz w:val="18"/>
                <w:szCs w:val="18"/>
              </w:rPr>
            </w:pPr>
            <w:r w:rsidRPr="001D41EA">
              <w:rPr>
                <w:rFonts w:cs="Arial"/>
                <w:sz w:val="18"/>
                <w:szCs w:val="18"/>
              </w:rPr>
              <w:t>1.732</w:t>
            </w:r>
          </w:p>
        </w:tc>
      </w:tr>
      <w:tr w:rsidR="00566EA9" w:rsidRPr="001D41EA" w14:paraId="0E4FD8C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795F8F3" w14:textId="77777777" w:rsidR="00566EA9" w:rsidRPr="001D41EA" w:rsidRDefault="00566EA9" w:rsidP="001D41EA">
            <w:pPr>
              <w:spacing w:before="40" w:after="40"/>
              <w:rPr>
                <w:rFonts w:cs="Arial"/>
                <w:sz w:val="18"/>
                <w:szCs w:val="18"/>
              </w:rPr>
            </w:pPr>
            <w:r w:rsidRPr="001D41EA">
              <w:rPr>
                <w:rFonts w:cs="Arial"/>
                <w:sz w:val="18"/>
                <w:szCs w:val="18"/>
              </w:rPr>
              <w:t>Colac Otway S</w:t>
            </w:r>
          </w:p>
        </w:tc>
        <w:tc>
          <w:tcPr>
            <w:tcW w:w="1021" w:type="dxa"/>
            <w:tcBorders>
              <w:top w:val="nil"/>
              <w:left w:val="single" w:sz="18" w:space="0" w:color="5F497A" w:themeColor="accent4" w:themeShade="BF"/>
              <w:bottom w:val="nil"/>
              <w:right w:val="nil"/>
            </w:tcBorders>
            <w:shd w:val="clear" w:color="auto" w:fill="auto"/>
            <w:vAlign w:val="bottom"/>
          </w:tcPr>
          <w:p w14:paraId="4F7C7A63" w14:textId="1562C5F7" w:rsidR="00566EA9" w:rsidRPr="001D41EA" w:rsidRDefault="00566EA9" w:rsidP="001D41EA">
            <w:pPr>
              <w:spacing w:before="40" w:after="40"/>
              <w:jc w:val="center"/>
              <w:rPr>
                <w:rFonts w:cs="Arial"/>
                <w:sz w:val="18"/>
                <w:szCs w:val="18"/>
              </w:rPr>
            </w:pPr>
            <w:r w:rsidRPr="001D41EA">
              <w:rPr>
                <w:rFonts w:cs="Arial"/>
                <w:sz w:val="18"/>
                <w:szCs w:val="18"/>
              </w:rPr>
              <w:t>1.049</w:t>
            </w:r>
          </w:p>
        </w:tc>
        <w:tc>
          <w:tcPr>
            <w:tcW w:w="170" w:type="dxa"/>
            <w:tcBorders>
              <w:top w:val="nil"/>
              <w:left w:val="nil"/>
              <w:bottom w:val="nil"/>
              <w:right w:val="nil"/>
            </w:tcBorders>
            <w:shd w:val="clear" w:color="auto" w:fill="auto"/>
            <w:vAlign w:val="bottom"/>
          </w:tcPr>
          <w:p w14:paraId="75700865" w14:textId="68193F48"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65FF0220" w14:textId="09514570" w:rsidR="00566EA9" w:rsidRPr="001D41EA" w:rsidRDefault="00566EA9" w:rsidP="001D41EA">
            <w:pPr>
              <w:spacing w:before="40" w:after="40"/>
              <w:jc w:val="center"/>
              <w:rPr>
                <w:rFonts w:cs="Arial"/>
                <w:sz w:val="18"/>
                <w:szCs w:val="18"/>
              </w:rPr>
            </w:pPr>
            <w:r w:rsidRPr="001D41EA">
              <w:rPr>
                <w:rFonts w:cs="Arial"/>
                <w:sz w:val="18"/>
                <w:szCs w:val="18"/>
              </w:rPr>
              <w:t>1.251</w:t>
            </w:r>
          </w:p>
        </w:tc>
        <w:tc>
          <w:tcPr>
            <w:tcW w:w="1021" w:type="dxa"/>
            <w:tcBorders>
              <w:top w:val="nil"/>
              <w:left w:val="nil"/>
              <w:bottom w:val="nil"/>
              <w:right w:val="nil"/>
            </w:tcBorders>
            <w:vAlign w:val="bottom"/>
          </w:tcPr>
          <w:p w14:paraId="03017426" w14:textId="0DE18FB7" w:rsidR="00566EA9" w:rsidRPr="001D41EA" w:rsidRDefault="00566EA9" w:rsidP="001D41EA">
            <w:pPr>
              <w:spacing w:before="40" w:after="40"/>
              <w:jc w:val="center"/>
              <w:rPr>
                <w:rFonts w:cs="Arial"/>
                <w:sz w:val="18"/>
                <w:szCs w:val="18"/>
              </w:rPr>
            </w:pPr>
            <w:r w:rsidRPr="001D41EA">
              <w:rPr>
                <w:rFonts w:cs="Arial"/>
                <w:sz w:val="18"/>
                <w:szCs w:val="18"/>
              </w:rPr>
              <w:t>1.245</w:t>
            </w:r>
          </w:p>
        </w:tc>
        <w:tc>
          <w:tcPr>
            <w:tcW w:w="1021" w:type="dxa"/>
            <w:tcBorders>
              <w:top w:val="nil"/>
              <w:left w:val="nil"/>
              <w:bottom w:val="nil"/>
              <w:right w:val="nil"/>
            </w:tcBorders>
            <w:shd w:val="clear" w:color="auto" w:fill="auto"/>
            <w:vAlign w:val="bottom"/>
          </w:tcPr>
          <w:p w14:paraId="69D18635" w14:textId="21531189" w:rsidR="00566EA9" w:rsidRPr="001D41EA" w:rsidRDefault="00566EA9" w:rsidP="001D41EA">
            <w:pPr>
              <w:spacing w:before="40" w:after="40"/>
              <w:jc w:val="center"/>
              <w:rPr>
                <w:rFonts w:cs="Arial"/>
                <w:sz w:val="18"/>
                <w:szCs w:val="18"/>
              </w:rPr>
            </w:pPr>
            <w:r w:rsidRPr="001D41EA">
              <w:rPr>
                <w:rFonts w:cs="Arial"/>
                <w:sz w:val="18"/>
                <w:szCs w:val="18"/>
              </w:rPr>
              <w:t>1.240</w:t>
            </w:r>
          </w:p>
        </w:tc>
        <w:tc>
          <w:tcPr>
            <w:tcW w:w="1021" w:type="dxa"/>
            <w:tcBorders>
              <w:top w:val="nil"/>
              <w:left w:val="nil"/>
              <w:bottom w:val="nil"/>
              <w:right w:val="nil"/>
            </w:tcBorders>
            <w:vAlign w:val="bottom"/>
          </w:tcPr>
          <w:p w14:paraId="27D25EE6" w14:textId="0AD47523" w:rsidR="00566EA9" w:rsidRPr="001D41EA" w:rsidRDefault="00566EA9" w:rsidP="001D41EA">
            <w:pPr>
              <w:spacing w:before="40" w:after="40"/>
              <w:jc w:val="center"/>
              <w:rPr>
                <w:rFonts w:cs="Arial"/>
                <w:sz w:val="18"/>
                <w:szCs w:val="18"/>
              </w:rPr>
            </w:pPr>
            <w:r w:rsidRPr="001D41EA">
              <w:rPr>
                <w:rFonts w:cs="Arial"/>
                <w:sz w:val="18"/>
                <w:szCs w:val="18"/>
              </w:rPr>
              <w:t>1.250</w:t>
            </w:r>
          </w:p>
        </w:tc>
        <w:tc>
          <w:tcPr>
            <w:tcW w:w="1021" w:type="dxa"/>
            <w:tcBorders>
              <w:top w:val="nil"/>
              <w:left w:val="nil"/>
              <w:bottom w:val="nil"/>
              <w:right w:val="nil"/>
            </w:tcBorders>
            <w:vAlign w:val="bottom"/>
          </w:tcPr>
          <w:p w14:paraId="26168622" w14:textId="139E7451" w:rsidR="00566EA9" w:rsidRPr="001D41EA" w:rsidRDefault="00566EA9" w:rsidP="001D41EA">
            <w:pPr>
              <w:spacing w:before="40" w:after="40"/>
              <w:jc w:val="center"/>
              <w:rPr>
                <w:rFonts w:cs="Arial"/>
                <w:sz w:val="18"/>
                <w:szCs w:val="18"/>
              </w:rPr>
            </w:pPr>
            <w:r w:rsidRPr="001D41EA">
              <w:rPr>
                <w:rFonts w:cs="Arial"/>
                <w:sz w:val="18"/>
                <w:szCs w:val="18"/>
              </w:rPr>
              <w:t>1.233</w:t>
            </w:r>
          </w:p>
        </w:tc>
        <w:tc>
          <w:tcPr>
            <w:tcW w:w="170" w:type="dxa"/>
            <w:tcBorders>
              <w:top w:val="nil"/>
              <w:left w:val="nil"/>
              <w:bottom w:val="nil"/>
              <w:right w:val="nil"/>
            </w:tcBorders>
            <w:vAlign w:val="bottom"/>
          </w:tcPr>
          <w:p w14:paraId="49249FE4" w14:textId="7C5A898C"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1D16C9FE" w14:textId="14F75FB6" w:rsidR="00566EA9" w:rsidRPr="001D41EA" w:rsidRDefault="00566EA9" w:rsidP="001D41EA">
            <w:pPr>
              <w:spacing w:before="40" w:after="40"/>
              <w:jc w:val="center"/>
              <w:rPr>
                <w:rFonts w:cs="Arial"/>
                <w:sz w:val="18"/>
                <w:szCs w:val="18"/>
              </w:rPr>
            </w:pPr>
            <w:r w:rsidRPr="001D41EA">
              <w:rPr>
                <w:rFonts w:cs="Arial"/>
                <w:sz w:val="18"/>
                <w:szCs w:val="18"/>
              </w:rPr>
              <w:t>1.334</w:t>
            </w:r>
          </w:p>
        </w:tc>
      </w:tr>
      <w:tr w:rsidR="00566EA9" w:rsidRPr="001D41EA" w14:paraId="3123991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83C63BF" w14:textId="77777777" w:rsidR="00566EA9" w:rsidRPr="001D41EA" w:rsidRDefault="00566EA9" w:rsidP="001D41EA">
            <w:pPr>
              <w:spacing w:before="40" w:after="40"/>
              <w:rPr>
                <w:rFonts w:cs="Arial"/>
                <w:sz w:val="18"/>
                <w:szCs w:val="18"/>
              </w:rPr>
            </w:pPr>
            <w:r w:rsidRPr="001D41EA">
              <w:rPr>
                <w:rFonts w:cs="Arial"/>
                <w:sz w:val="18"/>
                <w:szCs w:val="18"/>
              </w:rPr>
              <w:t>Corangamite S</w:t>
            </w:r>
          </w:p>
        </w:tc>
        <w:tc>
          <w:tcPr>
            <w:tcW w:w="1021" w:type="dxa"/>
            <w:tcBorders>
              <w:top w:val="nil"/>
              <w:left w:val="single" w:sz="18" w:space="0" w:color="5F497A" w:themeColor="accent4" w:themeShade="BF"/>
              <w:bottom w:val="nil"/>
              <w:right w:val="nil"/>
            </w:tcBorders>
            <w:shd w:val="clear" w:color="auto" w:fill="auto"/>
            <w:vAlign w:val="bottom"/>
          </w:tcPr>
          <w:p w14:paraId="2FCB703A" w14:textId="711F7699" w:rsidR="00566EA9" w:rsidRPr="001D41EA" w:rsidRDefault="00566EA9" w:rsidP="001D41EA">
            <w:pPr>
              <w:spacing w:before="40" w:after="40"/>
              <w:jc w:val="center"/>
              <w:rPr>
                <w:rFonts w:cs="Arial"/>
                <w:sz w:val="18"/>
                <w:szCs w:val="18"/>
              </w:rPr>
            </w:pPr>
            <w:r w:rsidRPr="001D41EA">
              <w:rPr>
                <w:rFonts w:cs="Arial"/>
                <w:sz w:val="18"/>
                <w:szCs w:val="18"/>
              </w:rPr>
              <w:t>1.041</w:t>
            </w:r>
          </w:p>
        </w:tc>
        <w:tc>
          <w:tcPr>
            <w:tcW w:w="170" w:type="dxa"/>
            <w:tcBorders>
              <w:top w:val="nil"/>
              <w:left w:val="nil"/>
              <w:bottom w:val="nil"/>
              <w:right w:val="nil"/>
            </w:tcBorders>
            <w:shd w:val="clear" w:color="auto" w:fill="auto"/>
            <w:vAlign w:val="bottom"/>
          </w:tcPr>
          <w:p w14:paraId="2A9D32BE" w14:textId="5844B44B"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6BB07C69" w14:textId="5F15AF3C" w:rsidR="00566EA9" w:rsidRPr="001D41EA" w:rsidRDefault="00566EA9" w:rsidP="001D41EA">
            <w:pPr>
              <w:spacing w:before="40" w:after="40"/>
              <w:jc w:val="center"/>
              <w:rPr>
                <w:rFonts w:cs="Arial"/>
                <w:sz w:val="18"/>
                <w:szCs w:val="18"/>
              </w:rPr>
            </w:pPr>
            <w:r w:rsidRPr="001D41EA">
              <w:rPr>
                <w:rFonts w:cs="Arial"/>
                <w:sz w:val="18"/>
                <w:szCs w:val="18"/>
              </w:rPr>
              <w:t>1.262</w:t>
            </w:r>
          </w:p>
        </w:tc>
        <w:tc>
          <w:tcPr>
            <w:tcW w:w="1021" w:type="dxa"/>
            <w:tcBorders>
              <w:top w:val="nil"/>
              <w:left w:val="nil"/>
              <w:bottom w:val="nil"/>
              <w:right w:val="nil"/>
            </w:tcBorders>
            <w:vAlign w:val="bottom"/>
          </w:tcPr>
          <w:p w14:paraId="6CA1BCBB" w14:textId="5DF0811D" w:rsidR="00566EA9" w:rsidRPr="001D41EA" w:rsidRDefault="00566EA9" w:rsidP="001D41EA">
            <w:pPr>
              <w:spacing w:before="40" w:after="40"/>
              <w:jc w:val="center"/>
              <w:rPr>
                <w:rFonts w:cs="Arial"/>
                <w:sz w:val="18"/>
                <w:szCs w:val="18"/>
              </w:rPr>
            </w:pPr>
            <w:r w:rsidRPr="001D41EA">
              <w:rPr>
                <w:rFonts w:cs="Arial"/>
                <w:sz w:val="18"/>
                <w:szCs w:val="18"/>
              </w:rPr>
              <w:t>1.255</w:t>
            </w:r>
          </w:p>
        </w:tc>
        <w:tc>
          <w:tcPr>
            <w:tcW w:w="1021" w:type="dxa"/>
            <w:tcBorders>
              <w:top w:val="nil"/>
              <w:left w:val="nil"/>
              <w:bottom w:val="nil"/>
              <w:right w:val="nil"/>
            </w:tcBorders>
            <w:shd w:val="clear" w:color="auto" w:fill="auto"/>
            <w:vAlign w:val="bottom"/>
          </w:tcPr>
          <w:p w14:paraId="13D2440D" w14:textId="6E961A16" w:rsidR="00566EA9" w:rsidRPr="001D41EA" w:rsidRDefault="00566EA9" w:rsidP="001D41EA">
            <w:pPr>
              <w:spacing w:before="40" w:after="40"/>
              <w:jc w:val="center"/>
              <w:rPr>
                <w:rFonts w:cs="Arial"/>
                <w:sz w:val="18"/>
                <w:szCs w:val="18"/>
              </w:rPr>
            </w:pPr>
            <w:r w:rsidRPr="001D41EA">
              <w:rPr>
                <w:rFonts w:cs="Arial"/>
                <w:sz w:val="18"/>
                <w:szCs w:val="18"/>
              </w:rPr>
              <w:t>1.250</w:t>
            </w:r>
          </w:p>
        </w:tc>
        <w:tc>
          <w:tcPr>
            <w:tcW w:w="1021" w:type="dxa"/>
            <w:tcBorders>
              <w:top w:val="nil"/>
              <w:left w:val="nil"/>
              <w:bottom w:val="nil"/>
              <w:right w:val="nil"/>
            </w:tcBorders>
            <w:vAlign w:val="bottom"/>
          </w:tcPr>
          <w:p w14:paraId="335D97F9" w14:textId="0F73B50E" w:rsidR="00566EA9" w:rsidRPr="001D41EA" w:rsidRDefault="00566EA9" w:rsidP="001D41EA">
            <w:pPr>
              <w:spacing w:before="40" w:after="40"/>
              <w:jc w:val="center"/>
              <w:rPr>
                <w:rFonts w:cs="Arial"/>
                <w:sz w:val="18"/>
                <w:szCs w:val="18"/>
              </w:rPr>
            </w:pPr>
            <w:r w:rsidRPr="001D41EA">
              <w:rPr>
                <w:rFonts w:cs="Arial"/>
                <w:sz w:val="18"/>
                <w:szCs w:val="18"/>
              </w:rPr>
              <w:t>1.260</w:t>
            </w:r>
          </w:p>
        </w:tc>
        <w:tc>
          <w:tcPr>
            <w:tcW w:w="1021" w:type="dxa"/>
            <w:tcBorders>
              <w:top w:val="nil"/>
              <w:left w:val="nil"/>
              <w:bottom w:val="nil"/>
              <w:right w:val="nil"/>
            </w:tcBorders>
            <w:vAlign w:val="bottom"/>
          </w:tcPr>
          <w:p w14:paraId="048972C7" w14:textId="64F5A5B0" w:rsidR="00566EA9" w:rsidRPr="001D41EA" w:rsidRDefault="00566EA9" w:rsidP="001D41EA">
            <w:pPr>
              <w:spacing w:before="40" w:after="40"/>
              <w:jc w:val="center"/>
              <w:rPr>
                <w:rFonts w:cs="Arial"/>
                <w:sz w:val="18"/>
                <w:szCs w:val="18"/>
              </w:rPr>
            </w:pPr>
            <w:r w:rsidRPr="001D41EA">
              <w:rPr>
                <w:rFonts w:cs="Arial"/>
                <w:sz w:val="18"/>
                <w:szCs w:val="18"/>
              </w:rPr>
              <w:t>1.243</w:t>
            </w:r>
          </w:p>
        </w:tc>
        <w:tc>
          <w:tcPr>
            <w:tcW w:w="170" w:type="dxa"/>
            <w:tcBorders>
              <w:top w:val="nil"/>
              <w:left w:val="nil"/>
              <w:bottom w:val="nil"/>
              <w:right w:val="nil"/>
            </w:tcBorders>
            <w:vAlign w:val="bottom"/>
          </w:tcPr>
          <w:p w14:paraId="2804FDC8" w14:textId="385BB832"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6288B20D" w14:textId="072533BC" w:rsidR="00566EA9" w:rsidRPr="001D41EA" w:rsidRDefault="00566EA9" w:rsidP="001D41EA">
            <w:pPr>
              <w:spacing w:before="40" w:after="40"/>
              <w:jc w:val="center"/>
              <w:rPr>
                <w:rFonts w:cs="Arial"/>
                <w:sz w:val="18"/>
                <w:szCs w:val="18"/>
              </w:rPr>
            </w:pPr>
            <w:r w:rsidRPr="001D41EA">
              <w:rPr>
                <w:rFonts w:cs="Arial"/>
                <w:sz w:val="18"/>
                <w:szCs w:val="18"/>
              </w:rPr>
              <w:t>1.168</w:t>
            </w:r>
          </w:p>
        </w:tc>
      </w:tr>
      <w:tr w:rsidR="00566EA9" w:rsidRPr="001D41EA" w14:paraId="1911F41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DB5685E" w14:textId="77777777" w:rsidR="00566EA9" w:rsidRPr="001D41EA" w:rsidRDefault="00566EA9" w:rsidP="001D41EA">
            <w:pPr>
              <w:spacing w:before="40" w:after="40"/>
              <w:rPr>
                <w:rFonts w:cs="Arial"/>
                <w:sz w:val="18"/>
                <w:szCs w:val="18"/>
              </w:rPr>
            </w:pPr>
            <w:r w:rsidRPr="001D41EA">
              <w:rPr>
                <w:rFonts w:cs="Arial"/>
                <w:sz w:val="18"/>
                <w:szCs w:val="18"/>
              </w:rPr>
              <w:t>Darebin C</w:t>
            </w:r>
          </w:p>
        </w:tc>
        <w:tc>
          <w:tcPr>
            <w:tcW w:w="1021" w:type="dxa"/>
            <w:tcBorders>
              <w:top w:val="nil"/>
              <w:left w:val="single" w:sz="18" w:space="0" w:color="5F497A" w:themeColor="accent4" w:themeShade="BF"/>
              <w:bottom w:val="nil"/>
              <w:right w:val="nil"/>
            </w:tcBorders>
            <w:shd w:val="clear" w:color="auto" w:fill="auto"/>
            <w:vAlign w:val="bottom"/>
          </w:tcPr>
          <w:p w14:paraId="7371A387" w14:textId="393E60B4" w:rsidR="00566EA9" w:rsidRPr="001D41EA" w:rsidRDefault="00566EA9" w:rsidP="001D41EA">
            <w:pPr>
              <w:spacing w:before="40" w:after="40"/>
              <w:jc w:val="center"/>
              <w:rPr>
                <w:rFonts w:cs="Arial"/>
                <w:sz w:val="18"/>
                <w:szCs w:val="18"/>
              </w:rPr>
            </w:pPr>
            <w:r w:rsidRPr="001D41EA">
              <w:rPr>
                <w:rFonts w:cs="Arial"/>
                <w:sz w:val="18"/>
                <w:szCs w:val="18"/>
              </w:rPr>
              <w:t>1.068</w:t>
            </w:r>
          </w:p>
        </w:tc>
        <w:tc>
          <w:tcPr>
            <w:tcW w:w="170" w:type="dxa"/>
            <w:tcBorders>
              <w:top w:val="nil"/>
              <w:left w:val="nil"/>
              <w:bottom w:val="nil"/>
              <w:right w:val="nil"/>
            </w:tcBorders>
            <w:shd w:val="clear" w:color="auto" w:fill="auto"/>
            <w:vAlign w:val="bottom"/>
          </w:tcPr>
          <w:p w14:paraId="699B79E3" w14:textId="5D4B7BE8"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0C9FDF72" w14:textId="2910B614" w:rsidR="00566EA9" w:rsidRPr="001D41EA" w:rsidRDefault="00566EA9" w:rsidP="001D41EA">
            <w:pPr>
              <w:spacing w:before="40" w:after="40"/>
              <w:jc w:val="center"/>
              <w:rPr>
                <w:rFonts w:cs="Arial"/>
                <w:sz w:val="18"/>
                <w:szCs w:val="18"/>
              </w:rPr>
            </w:pPr>
            <w:r w:rsidRPr="001D41EA">
              <w:rPr>
                <w:rFonts w:cs="Arial"/>
                <w:sz w:val="18"/>
                <w:szCs w:val="18"/>
              </w:rPr>
              <w:t>0.984</w:t>
            </w:r>
          </w:p>
        </w:tc>
        <w:tc>
          <w:tcPr>
            <w:tcW w:w="1021" w:type="dxa"/>
            <w:tcBorders>
              <w:top w:val="nil"/>
              <w:left w:val="nil"/>
              <w:bottom w:val="nil"/>
              <w:right w:val="nil"/>
            </w:tcBorders>
            <w:vAlign w:val="bottom"/>
          </w:tcPr>
          <w:p w14:paraId="6C4BD40E" w14:textId="0125EB32" w:rsidR="00566EA9" w:rsidRPr="001D41EA" w:rsidRDefault="00566EA9" w:rsidP="001D41EA">
            <w:pPr>
              <w:spacing w:before="40" w:after="40"/>
              <w:jc w:val="center"/>
              <w:rPr>
                <w:rFonts w:cs="Arial"/>
                <w:sz w:val="18"/>
                <w:szCs w:val="18"/>
              </w:rPr>
            </w:pPr>
            <w:r w:rsidRPr="001D41EA">
              <w:rPr>
                <w:rFonts w:cs="Arial"/>
                <w:sz w:val="18"/>
                <w:szCs w:val="18"/>
              </w:rPr>
              <w:t>0.979</w:t>
            </w:r>
          </w:p>
        </w:tc>
        <w:tc>
          <w:tcPr>
            <w:tcW w:w="1021" w:type="dxa"/>
            <w:tcBorders>
              <w:top w:val="nil"/>
              <w:left w:val="nil"/>
              <w:bottom w:val="nil"/>
              <w:right w:val="nil"/>
            </w:tcBorders>
            <w:shd w:val="clear" w:color="auto" w:fill="auto"/>
            <w:vAlign w:val="bottom"/>
          </w:tcPr>
          <w:p w14:paraId="34130D68" w14:textId="26BC8D0C" w:rsidR="00566EA9" w:rsidRPr="001D41EA" w:rsidRDefault="00566EA9" w:rsidP="001D41EA">
            <w:pPr>
              <w:spacing w:before="40" w:after="40"/>
              <w:jc w:val="center"/>
              <w:rPr>
                <w:rFonts w:cs="Arial"/>
                <w:sz w:val="18"/>
                <w:szCs w:val="18"/>
              </w:rPr>
            </w:pPr>
            <w:r w:rsidRPr="001D41EA">
              <w:rPr>
                <w:rFonts w:cs="Arial"/>
                <w:sz w:val="18"/>
                <w:szCs w:val="18"/>
              </w:rPr>
              <w:t>0.975</w:t>
            </w:r>
          </w:p>
        </w:tc>
        <w:tc>
          <w:tcPr>
            <w:tcW w:w="1021" w:type="dxa"/>
            <w:tcBorders>
              <w:top w:val="nil"/>
              <w:left w:val="nil"/>
              <w:bottom w:val="nil"/>
              <w:right w:val="nil"/>
            </w:tcBorders>
            <w:vAlign w:val="bottom"/>
          </w:tcPr>
          <w:p w14:paraId="02E618E8" w14:textId="2A7BBB76" w:rsidR="00566EA9" w:rsidRPr="001D41EA" w:rsidRDefault="00566EA9" w:rsidP="001D41EA">
            <w:pPr>
              <w:spacing w:before="40" w:after="40"/>
              <w:jc w:val="center"/>
              <w:rPr>
                <w:rFonts w:cs="Arial"/>
                <w:sz w:val="18"/>
                <w:szCs w:val="18"/>
              </w:rPr>
            </w:pPr>
            <w:r w:rsidRPr="001D41EA">
              <w:rPr>
                <w:rFonts w:cs="Arial"/>
                <w:sz w:val="18"/>
                <w:szCs w:val="18"/>
              </w:rPr>
              <w:t>0.983</w:t>
            </w:r>
          </w:p>
        </w:tc>
        <w:tc>
          <w:tcPr>
            <w:tcW w:w="1021" w:type="dxa"/>
            <w:tcBorders>
              <w:top w:val="nil"/>
              <w:left w:val="nil"/>
              <w:bottom w:val="nil"/>
              <w:right w:val="nil"/>
            </w:tcBorders>
            <w:vAlign w:val="bottom"/>
          </w:tcPr>
          <w:p w14:paraId="59F60D0C" w14:textId="67D36263" w:rsidR="00566EA9" w:rsidRPr="001D41EA" w:rsidRDefault="00566EA9" w:rsidP="001D41EA">
            <w:pPr>
              <w:spacing w:before="40" w:after="40"/>
              <w:jc w:val="center"/>
              <w:rPr>
                <w:rFonts w:cs="Arial"/>
                <w:sz w:val="18"/>
                <w:szCs w:val="18"/>
              </w:rPr>
            </w:pPr>
            <w:r w:rsidRPr="001D41EA">
              <w:rPr>
                <w:rFonts w:cs="Arial"/>
                <w:sz w:val="18"/>
                <w:szCs w:val="18"/>
              </w:rPr>
              <w:t>0.970</w:t>
            </w:r>
          </w:p>
        </w:tc>
        <w:tc>
          <w:tcPr>
            <w:tcW w:w="170" w:type="dxa"/>
            <w:tcBorders>
              <w:top w:val="nil"/>
              <w:left w:val="nil"/>
              <w:bottom w:val="nil"/>
              <w:right w:val="nil"/>
            </w:tcBorders>
            <w:vAlign w:val="bottom"/>
          </w:tcPr>
          <w:p w14:paraId="4F5F5D06" w14:textId="31B62537"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18809CF4" w14:textId="46087D0E" w:rsidR="00566EA9" w:rsidRPr="001D41EA" w:rsidRDefault="00566EA9" w:rsidP="001D41EA">
            <w:pPr>
              <w:spacing w:before="40" w:after="40"/>
              <w:jc w:val="center"/>
              <w:rPr>
                <w:rFonts w:cs="Arial"/>
                <w:sz w:val="18"/>
                <w:szCs w:val="18"/>
              </w:rPr>
            </w:pPr>
            <w:r w:rsidRPr="001D41EA">
              <w:rPr>
                <w:rFonts w:cs="Arial"/>
                <w:sz w:val="18"/>
                <w:szCs w:val="18"/>
              </w:rPr>
              <w:t>0.885</w:t>
            </w:r>
          </w:p>
        </w:tc>
      </w:tr>
      <w:tr w:rsidR="00566EA9" w:rsidRPr="001D41EA" w14:paraId="4D5CAE8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0CDD9B7" w14:textId="77777777" w:rsidR="00566EA9" w:rsidRPr="001D41EA" w:rsidRDefault="00566EA9" w:rsidP="001D41EA">
            <w:pPr>
              <w:spacing w:before="40" w:after="40"/>
              <w:rPr>
                <w:rFonts w:cs="Arial"/>
                <w:sz w:val="18"/>
                <w:szCs w:val="18"/>
              </w:rPr>
            </w:pPr>
            <w:r w:rsidRPr="001D41EA">
              <w:rPr>
                <w:rFonts w:cs="Arial"/>
                <w:sz w:val="18"/>
                <w:szCs w:val="18"/>
              </w:rPr>
              <w:t>East Gippsland S</w:t>
            </w:r>
          </w:p>
        </w:tc>
        <w:tc>
          <w:tcPr>
            <w:tcW w:w="1021" w:type="dxa"/>
            <w:tcBorders>
              <w:top w:val="nil"/>
              <w:left w:val="single" w:sz="18" w:space="0" w:color="5F497A" w:themeColor="accent4" w:themeShade="BF"/>
              <w:bottom w:val="nil"/>
              <w:right w:val="nil"/>
            </w:tcBorders>
            <w:shd w:val="clear" w:color="auto" w:fill="auto"/>
            <w:vAlign w:val="bottom"/>
          </w:tcPr>
          <w:p w14:paraId="542626A2" w14:textId="4EB26883" w:rsidR="00566EA9" w:rsidRPr="001D41EA" w:rsidRDefault="00566EA9" w:rsidP="001D41EA">
            <w:pPr>
              <w:spacing w:before="40" w:after="40"/>
              <w:jc w:val="center"/>
              <w:rPr>
                <w:rFonts w:cs="Arial"/>
                <w:sz w:val="18"/>
                <w:szCs w:val="18"/>
              </w:rPr>
            </w:pPr>
            <w:r w:rsidRPr="001D41EA">
              <w:rPr>
                <w:rFonts w:cs="Arial"/>
                <w:sz w:val="18"/>
                <w:szCs w:val="18"/>
              </w:rPr>
              <w:t>1.149</w:t>
            </w:r>
          </w:p>
        </w:tc>
        <w:tc>
          <w:tcPr>
            <w:tcW w:w="170" w:type="dxa"/>
            <w:tcBorders>
              <w:top w:val="nil"/>
              <w:left w:val="nil"/>
              <w:bottom w:val="nil"/>
              <w:right w:val="nil"/>
            </w:tcBorders>
            <w:shd w:val="clear" w:color="auto" w:fill="auto"/>
            <w:vAlign w:val="bottom"/>
          </w:tcPr>
          <w:p w14:paraId="56A4F6EE" w14:textId="4EB5EF79"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11A1FFC0" w14:textId="2D604F0B" w:rsidR="00566EA9" w:rsidRPr="001D41EA" w:rsidRDefault="00566EA9" w:rsidP="001D41EA">
            <w:pPr>
              <w:spacing w:before="40" w:after="40"/>
              <w:jc w:val="center"/>
              <w:rPr>
                <w:rFonts w:cs="Arial"/>
                <w:sz w:val="18"/>
                <w:szCs w:val="18"/>
              </w:rPr>
            </w:pPr>
            <w:r w:rsidRPr="001D41EA">
              <w:rPr>
                <w:rFonts w:cs="Arial"/>
                <w:sz w:val="18"/>
                <w:szCs w:val="18"/>
              </w:rPr>
              <w:t>1.203</w:t>
            </w:r>
          </w:p>
        </w:tc>
        <w:tc>
          <w:tcPr>
            <w:tcW w:w="1021" w:type="dxa"/>
            <w:tcBorders>
              <w:top w:val="nil"/>
              <w:left w:val="nil"/>
              <w:bottom w:val="nil"/>
              <w:right w:val="nil"/>
            </w:tcBorders>
            <w:vAlign w:val="bottom"/>
          </w:tcPr>
          <w:p w14:paraId="0EDD22D3" w14:textId="62C53096" w:rsidR="00566EA9" w:rsidRPr="001D41EA" w:rsidRDefault="00566EA9" w:rsidP="001D41EA">
            <w:pPr>
              <w:spacing w:before="40" w:after="40"/>
              <w:jc w:val="center"/>
              <w:rPr>
                <w:rFonts w:cs="Arial"/>
                <w:sz w:val="18"/>
                <w:szCs w:val="18"/>
              </w:rPr>
            </w:pPr>
            <w:r w:rsidRPr="001D41EA">
              <w:rPr>
                <w:rFonts w:cs="Arial"/>
                <w:sz w:val="18"/>
                <w:szCs w:val="18"/>
              </w:rPr>
              <w:t>1.197</w:t>
            </w:r>
          </w:p>
        </w:tc>
        <w:tc>
          <w:tcPr>
            <w:tcW w:w="1021" w:type="dxa"/>
            <w:tcBorders>
              <w:top w:val="nil"/>
              <w:left w:val="nil"/>
              <w:bottom w:val="nil"/>
              <w:right w:val="nil"/>
            </w:tcBorders>
            <w:shd w:val="clear" w:color="auto" w:fill="auto"/>
            <w:vAlign w:val="bottom"/>
          </w:tcPr>
          <w:p w14:paraId="548DA35C" w14:textId="41E5D14B" w:rsidR="00566EA9" w:rsidRPr="001D41EA" w:rsidRDefault="00566EA9" w:rsidP="001D41EA">
            <w:pPr>
              <w:spacing w:before="40" w:after="40"/>
              <w:jc w:val="center"/>
              <w:rPr>
                <w:rFonts w:cs="Arial"/>
                <w:sz w:val="18"/>
                <w:szCs w:val="18"/>
              </w:rPr>
            </w:pPr>
            <w:r w:rsidRPr="001D41EA">
              <w:rPr>
                <w:rFonts w:cs="Arial"/>
                <w:sz w:val="18"/>
                <w:szCs w:val="18"/>
              </w:rPr>
              <w:t>1.192</w:t>
            </w:r>
          </w:p>
        </w:tc>
        <w:tc>
          <w:tcPr>
            <w:tcW w:w="1021" w:type="dxa"/>
            <w:tcBorders>
              <w:top w:val="nil"/>
              <w:left w:val="nil"/>
              <w:bottom w:val="nil"/>
              <w:right w:val="nil"/>
            </w:tcBorders>
            <w:vAlign w:val="bottom"/>
          </w:tcPr>
          <w:p w14:paraId="181398E4" w14:textId="289B0C2E" w:rsidR="00566EA9" w:rsidRPr="001D41EA" w:rsidRDefault="00566EA9" w:rsidP="001D41EA">
            <w:pPr>
              <w:spacing w:before="40" w:after="40"/>
              <w:jc w:val="center"/>
              <w:rPr>
                <w:rFonts w:cs="Arial"/>
                <w:sz w:val="18"/>
                <w:szCs w:val="18"/>
              </w:rPr>
            </w:pPr>
            <w:r w:rsidRPr="001D41EA">
              <w:rPr>
                <w:rFonts w:cs="Arial"/>
                <w:sz w:val="18"/>
                <w:szCs w:val="18"/>
              </w:rPr>
              <w:t>1.201</w:t>
            </w:r>
          </w:p>
        </w:tc>
        <w:tc>
          <w:tcPr>
            <w:tcW w:w="1021" w:type="dxa"/>
            <w:tcBorders>
              <w:top w:val="nil"/>
              <w:left w:val="nil"/>
              <w:bottom w:val="nil"/>
              <w:right w:val="nil"/>
            </w:tcBorders>
            <w:vAlign w:val="bottom"/>
          </w:tcPr>
          <w:p w14:paraId="58C0EECA" w14:textId="5F2F03B2" w:rsidR="00566EA9" w:rsidRPr="001D41EA" w:rsidRDefault="00566EA9" w:rsidP="001D41EA">
            <w:pPr>
              <w:spacing w:before="40" w:after="40"/>
              <w:jc w:val="center"/>
              <w:rPr>
                <w:rFonts w:cs="Arial"/>
                <w:sz w:val="18"/>
                <w:szCs w:val="18"/>
              </w:rPr>
            </w:pPr>
            <w:r w:rsidRPr="001D41EA">
              <w:rPr>
                <w:rFonts w:cs="Arial"/>
                <w:sz w:val="18"/>
                <w:szCs w:val="18"/>
              </w:rPr>
              <w:t>1.186</w:t>
            </w:r>
          </w:p>
        </w:tc>
        <w:tc>
          <w:tcPr>
            <w:tcW w:w="170" w:type="dxa"/>
            <w:tcBorders>
              <w:top w:val="nil"/>
              <w:left w:val="nil"/>
              <w:bottom w:val="nil"/>
              <w:right w:val="nil"/>
            </w:tcBorders>
            <w:vAlign w:val="bottom"/>
          </w:tcPr>
          <w:p w14:paraId="7C95AA93" w14:textId="33BE7AA9"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14BDB886" w14:textId="06B955EF" w:rsidR="00566EA9" w:rsidRPr="001D41EA" w:rsidRDefault="00566EA9" w:rsidP="001D41EA">
            <w:pPr>
              <w:spacing w:before="40" w:after="40"/>
              <w:jc w:val="center"/>
              <w:rPr>
                <w:rFonts w:cs="Arial"/>
                <w:sz w:val="18"/>
                <w:szCs w:val="18"/>
              </w:rPr>
            </w:pPr>
            <w:r w:rsidRPr="001D41EA">
              <w:rPr>
                <w:rFonts w:cs="Arial"/>
                <w:sz w:val="18"/>
                <w:szCs w:val="18"/>
              </w:rPr>
              <w:t>1.230</w:t>
            </w:r>
          </w:p>
        </w:tc>
      </w:tr>
      <w:tr w:rsidR="00566EA9" w:rsidRPr="001D41EA" w14:paraId="600E217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7A0D75F" w14:textId="77777777" w:rsidR="00566EA9" w:rsidRPr="001D41EA" w:rsidRDefault="00566EA9" w:rsidP="001D41EA">
            <w:pPr>
              <w:spacing w:before="40" w:after="40"/>
              <w:rPr>
                <w:rFonts w:cs="Arial"/>
                <w:sz w:val="18"/>
                <w:szCs w:val="18"/>
              </w:rPr>
            </w:pPr>
            <w:r w:rsidRPr="001D41EA">
              <w:rPr>
                <w:rFonts w:cs="Arial"/>
                <w:sz w:val="18"/>
                <w:szCs w:val="18"/>
              </w:rPr>
              <w:t>Frankston C</w:t>
            </w:r>
          </w:p>
        </w:tc>
        <w:tc>
          <w:tcPr>
            <w:tcW w:w="1021" w:type="dxa"/>
            <w:tcBorders>
              <w:top w:val="nil"/>
              <w:left w:val="single" w:sz="18" w:space="0" w:color="5F497A" w:themeColor="accent4" w:themeShade="BF"/>
              <w:bottom w:val="nil"/>
              <w:right w:val="nil"/>
            </w:tcBorders>
            <w:shd w:val="clear" w:color="auto" w:fill="auto"/>
            <w:vAlign w:val="bottom"/>
          </w:tcPr>
          <w:p w14:paraId="70733F49" w14:textId="0F225A83" w:rsidR="00566EA9" w:rsidRPr="001D41EA" w:rsidRDefault="00566EA9" w:rsidP="001D41EA">
            <w:pPr>
              <w:spacing w:before="40" w:after="40"/>
              <w:jc w:val="center"/>
              <w:rPr>
                <w:rFonts w:cs="Arial"/>
                <w:sz w:val="18"/>
                <w:szCs w:val="18"/>
              </w:rPr>
            </w:pPr>
            <w:r w:rsidRPr="001D41EA">
              <w:rPr>
                <w:rFonts w:cs="Arial"/>
                <w:sz w:val="18"/>
                <w:szCs w:val="18"/>
              </w:rPr>
              <w:t>1.048</w:t>
            </w:r>
          </w:p>
        </w:tc>
        <w:tc>
          <w:tcPr>
            <w:tcW w:w="170" w:type="dxa"/>
            <w:tcBorders>
              <w:top w:val="nil"/>
              <w:left w:val="nil"/>
              <w:bottom w:val="nil"/>
              <w:right w:val="nil"/>
            </w:tcBorders>
            <w:shd w:val="clear" w:color="auto" w:fill="auto"/>
            <w:vAlign w:val="bottom"/>
          </w:tcPr>
          <w:p w14:paraId="104FC364" w14:textId="7E1F9819"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5F078E25" w14:textId="33F71F45" w:rsidR="00566EA9" w:rsidRPr="001D41EA" w:rsidRDefault="00566EA9" w:rsidP="001D41EA">
            <w:pPr>
              <w:spacing w:before="40" w:after="40"/>
              <w:jc w:val="center"/>
              <w:rPr>
                <w:rFonts w:cs="Arial"/>
                <w:sz w:val="18"/>
                <w:szCs w:val="18"/>
              </w:rPr>
            </w:pPr>
            <w:r w:rsidRPr="001D41EA">
              <w:rPr>
                <w:rFonts w:cs="Arial"/>
                <w:sz w:val="18"/>
                <w:szCs w:val="18"/>
              </w:rPr>
              <w:t>1.022</w:t>
            </w:r>
          </w:p>
        </w:tc>
        <w:tc>
          <w:tcPr>
            <w:tcW w:w="1021" w:type="dxa"/>
            <w:tcBorders>
              <w:top w:val="nil"/>
              <w:left w:val="nil"/>
              <w:bottom w:val="nil"/>
              <w:right w:val="nil"/>
            </w:tcBorders>
            <w:vAlign w:val="bottom"/>
          </w:tcPr>
          <w:p w14:paraId="3FE511D6" w14:textId="2A775F14" w:rsidR="00566EA9" w:rsidRPr="001D41EA" w:rsidRDefault="00566EA9" w:rsidP="001D41EA">
            <w:pPr>
              <w:spacing w:before="40" w:after="40"/>
              <w:jc w:val="center"/>
              <w:rPr>
                <w:rFonts w:cs="Arial"/>
                <w:sz w:val="18"/>
                <w:szCs w:val="18"/>
              </w:rPr>
            </w:pPr>
            <w:r w:rsidRPr="001D41EA">
              <w:rPr>
                <w:rFonts w:cs="Arial"/>
                <w:sz w:val="18"/>
                <w:szCs w:val="18"/>
              </w:rPr>
              <w:t>1.017</w:t>
            </w:r>
          </w:p>
        </w:tc>
        <w:tc>
          <w:tcPr>
            <w:tcW w:w="1021" w:type="dxa"/>
            <w:tcBorders>
              <w:top w:val="nil"/>
              <w:left w:val="nil"/>
              <w:bottom w:val="nil"/>
              <w:right w:val="nil"/>
            </w:tcBorders>
            <w:shd w:val="clear" w:color="auto" w:fill="auto"/>
            <w:vAlign w:val="bottom"/>
          </w:tcPr>
          <w:p w14:paraId="51EA03E6" w14:textId="408740E8" w:rsidR="00566EA9" w:rsidRPr="001D41EA" w:rsidRDefault="00566EA9" w:rsidP="001D41EA">
            <w:pPr>
              <w:spacing w:before="40" w:after="40"/>
              <w:jc w:val="center"/>
              <w:rPr>
                <w:rFonts w:cs="Arial"/>
                <w:sz w:val="18"/>
                <w:szCs w:val="18"/>
              </w:rPr>
            </w:pPr>
            <w:r w:rsidRPr="001D41EA">
              <w:rPr>
                <w:rFonts w:cs="Arial"/>
                <w:sz w:val="18"/>
                <w:szCs w:val="18"/>
              </w:rPr>
              <w:t>1.013</w:t>
            </w:r>
          </w:p>
        </w:tc>
        <w:tc>
          <w:tcPr>
            <w:tcW w:w="1021" w:type="dxa"/>
            <w:tcBorders>
              <w:top w:val="nil"/>
              <w:left w:val="nil"/>
              <w:bottom w:val="nil"/>
              <w:right w:val="nil"/>
            </w:tcBorders>
            <w:vAlign w:val="bottom"/>
          </w:tcPr>
          <w:p w14:paraId="39458222" w14:textId="1FD1D86E" w:rsidR="00566EA9" w:rsidRPr="001D41EA" w:rsidRDefault="00566EA9" w:rsidP="001D41EA">
            <w:pPr>
              <w:spacing w:before="40" w:after="40"/>
              <w:jc w:val="center"/>
              <w:rPr>
                <w:rFonts w:cs="Arial"/>
                <w:sz w:val="18"/>
                <w:szCs w:val="18"/>
              </w:rPr>
            </w:pPr>
            <w:r w:rsidRPr="001D41EA">
              <w:rPr>
                <w:rFonts w:cs="Arial"/>
                <w:sz w:val="18"/>
                <w:szCs w:val="18"/>
              </w:rPr>
              <w:t>1.021</w:t>
            </w:r>
          </w:p>
        </w:tc>
        <w:tc>
          <w:tcPr>
            <w:tcW w:w="1021" w:type="dxa"/>
            <w:tcBorders>
              <w:top w:val="nil"/>
              <w:left w:val="nil"/>
              <w:bottom w:val="nil"/>
              <w:right w:val="nil"/>
            </w:tcBorders>
            <w:vAlign w:val="bottom"/>
          </w:tcPr>
          <w:p w14:paraId="19A4817F" w14:textId="5068A6C3" w:rsidR="00566EA9" w:rsidRPr="001D41EA" w:rsidRDefault="00566EA9" w:rsidP="001D41EA">
            <w:pPr>
              <w:spacing w:before="40" w:after="40"/>
              <w:jc w:val="center"/>
              <w:rPr>
                <w:rFonts w:cs="Arial"/>
                <w:sz w:val="18"/>
                <w:szCs w:val="18"/>
              </w:rPr>
            </w:pPr>
            <w:r w:rsidRPr="001D41EA">
              <w:rPr>
                <w:rFonts w:cs="Arial"/>
                <w:sz w:val="18"/>
                <w:szCs w:val="18"/>
              </w:rPr>
              <w:t>1.007</w:t>
            </w:r>
          </w:p>
        </w:tc>
        <w:tc>
          <w:tcPr>
            <w:tcW w:w="170" w:type="dxa"/>
            <w:tcBorders>
              <w:top w:val="nil"/>
              <w:left w:val="nil"/>
              <w:bottom w:val="nil"/>
              <w:right w:val="nil"/>
            </w:tcBorders>
            <w:vAlign w:val="bottom"/>
          </w:tcPr>
          <w:p w14:paraId="5708B10A" w14:textId="2D746A68"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037CA68D" w14:textId="77B3FACB" w:rsidR="00566EA9" w:rsidRPr="001D41EA" w:rsidRDefault="00566EA9" w:rsidP="001D41EA">
            <w:pPr>
              <w:spacing w:before="40" w:after="40"/>
              <w:jc w:val="center"/>
              <w:rPr>
                <w:rFonts w:cs="Arial"/>
                <w:sz w:val="18"/>
                <w:szCs w:val="18"/>
              </w:rPr>
            </w:pPr>
            <w:r w:rsidRPr="001D41EA">
              <w:rPr>
                <w:rFonts w:cs="Arial"/>
                <w:sz w:val="18"/>
                <w:szCs w:val="18"/>
              </w:rPr>
              <w:t>1.017</w:t>
            </w:r>
          </w:p>
        </w:tc>
      </w:tr>
      <w:tr w:rsidR="00566EA9" w:rsidRPr="001D41EA" w14:paraId="4CE4578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92800C5" w14:textId="77777777" w:rsidR="00566EA9" w:rsidRPr="001D41EA" w:rsidRDefault="00566EA9" w:rsidP="001D41EA">
            <w:pPr>
              <w:spacing w:before="40" w:after="40"/>
              <w:rPr>
                <w:rFonts w:cs="Arial"/>
                <w:sz w:val="18"/>
                <w:szCs w:val="18"/>
              </w:rPr>
            </w:pPr>
            <w:r w:rsidRPr="001D41EA">
              <w:rPr>
                <w:rFonts w:cs="Arial"/>
                <w:sz w:val="18"/>
                <w:szCs w:val="18"/>
              </w:rPr>
              <w:t>Gannawarra S</w:t>
            </w:r>
          </w:p>
        </w:tc>
        <w:tc>
          <w:tcPr>
            <w:tcW w:w="1021" w:type="dxa"/>
            <w:tcBorders>
              <w:top w:val="nil"/>
              <w:left w:val="single" w:sz="18" w:space="0" w:color="5F497A" w:themeColor="accent4" w:themeShade="BF"/>
              <w:bottom w:val="nil"/>
              <w:right w:val="nil"/>
            </w:tcBorders>
            <w:shd w:val="clear" w:color="auto" w:fill="auto"/>
            <w:vAlign w:val="bottom"/>
          </w:tcPr>
          <w:p w14:paraId="2EB2542B" w14:textId="4EA92EF6" w:rsidR="00566EA9" w:rsidRPr="001D41EA" w:rsidRDefault="00566EA9" w:rsidP="001D41EA">
            <w:pPr>
              <w:spacing w:before="40" w:after="40"/>
              <w:jc w:val="center"/>
              <w:rPr>
                <w:rFonts w:cs="Arial"/>
                <w:sz w:val="18"/>
                <w:szCs w:val="18"/>
              </w:rPr>
            </w:pPr>
            <w:r w:rsidRPr="001D41EA">
              <w:rPr>
                <w:rFonts w:cs="Arial"/>
                <w:sz w:val="18"/>
                <w:szCs w:val="18"/>
              </w:rPr>
              <w:t>1.187</w:t>
            </w:r>
          </w:p>
        </w:tc>
        <w:tc>
          <w:tcPr>
            <w:tcW w:w="170" w:type="dxa"/>
            <w:tcBorders>
              <w:top w:val="nil"/>
              <w:left w:val="nil"/>
              <w:bottom w:val="nil"/>
              <w:right w:val="nil"/>
            </w:tcBorders>
            <w:shd w:val="clear" w:color="auto" w:fill="auto"/>
            <w:vAlign w:val="bottom"/>
          </w:tcPr>
          <w:p w14:paraId="0A53BDDB" w14:textId="2C34B85F"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49A731EE" w14:textId="4B7B7EE4" w:rsidR="00566EA9" w:rsidRPr="001D41EA" w:rsidRDefault="00566EA9" w:rsidP="001D41EA">
            <w:pPr>
              <w:spacing w:before="40" w:after="40"/>
              <w:jc w:val="center"/>
              <w:rPr>
                <w:rFonts w:cs="Arial"/>
                <w:sz w:val="18"/>
                <w:szCs w:val="18"/>
              </w:rPr>
            </w:pPr>
            <w:r w:rsidRPr="001D41EA">
              <w:rPr>
                <w:rFonts w:cs="Arial"/>
                <w:sz w:val="18"/>
                <w:szCs w:val="18"/>
              </w:rPr>
              <w:t>1.272</w:t>
            </w:r>
          </w:p>
        </w:tc>
        <w:tc>
          <w:tcPr>
            <w:tcW w:w="1021" w:type="dxa"/>
            <w:tcBorders>
              <w:top w:val="nil"/>
              <w:left w:val="nil"/>
              <w:bottom w:val="nil"/>
              <w:right w:val="nil"/>
            </w:tcBorders>
            <w:vAlign w:val="bottom"/>
          </w:tcPr>
          <w:p w14:paraId="2E335A38" w14:textId="5BBFBD67" w:rsidR="00566EA9" w:rsidRPr="001D41EA" w:rsidRDefault="00566EA9" w:rsidP="001D41EA">
            <w:pPr>
              <w:spacing w:before="40" w:after="40"/>
              <w:jc w:val="center"/>
              <w:rPr>
                <w:rFonts w:cs="Arial"/>
                <w:sz w:val="18"/>
                <w:szCs w:val="18"/>
              </w:rPr>
            </w:pPr>
            <w:r w:rsidRPr="001D41EA">
              <w:rPr>
                <w:rFonts w:cs="Arial"/>
                <w:sz w:val="18"/>
                <w:szCs w:val="18"/>
              </w:rPr>
              <w:t>1.266</w:t>
            </w:r>
          </w:p>
        </w:tc>
        <w:tc>
          <w:tcPr>
            <w:tcW w:w="1021" w:type="dxa"/>
            <w:tcBorders>
              <w:top w:val="nil"/>
              <w:left w:val="nil"/>
              <w:bottom w:val="nil"/>
              <w:right w:val="nil"/>
            </w:tcBorders>
            <w:shd w:val="clear" w:color="auto" w:fill="auto"/>
            <w:vAlign w:val="bottom"/>
          </w:tcPr>
          <w:p w14:paraId="0318D942" w14:textId="65D20AAE" w:rsidR="00566EA9" w:rsidRPr="001D41EA" w:rsidRDefault="00566EA9" w:rsidP="001D41EA">
            <w:pPr>
              <w:spacing w:before="40" w:after="40"/>
              <w:jc w:val="center"/>
              <w:rPr>
                <w:rFonts w:cs="Arial"/>
                <w:sz w:val="18"/>
                <w:szCs w:val="18"/>
              </w:rPr>
            </w:pPr>
            <w:r w:rsidRPr="001D41EA">
              <w:rPr>
                <w:rFonts w:cs="Arial"/>
                <w:sz w:val="18"/>
                <w:szCs w:val="18"/>
              </w:rPr>
              <w:t>1.261</w:t>
            </w:r>
          </w:p>
        </w:tc>
        <w:tc>
          <w:tcPr>
            <w:tcW w:w="1021" w:type="dxa"/>
            <w:tcBorders>
              <w:top w:val="nil"/>
              <w:left w:val="nil"/>
              <w:bottom w:val="nil"/>
              <w:right w:val="nil"/>
            </w:tcBorders>
            <w:vAlign w:val="bottom"/>
          </w:tcPr>
          <w:p w14:paraId="6211F9F6" w14:textId="45F0B57D" w:rsidR="00566EA9" w:rsidRPr="001D41EA" w:rsidRDefault="00566EA9" w:rsidP="001D41EA">
            <w:pPr>
              <w:spacing w:before="40" w:after="40"/>
              <w:jc w:val="center"/>
              <w:rPr>
                <w:rFonts w:cs="Arial"/>
                <w:sz w:val="18"/>
                <w:szCs w:val="18"/>
              </w:rPr>
            </w:pPr>
            <w:r w:rsidRPr="001D41EA">
              <w:rPr>
                <w:rFonts w:cs="Arial"/>
                <w:sz w:val="18"/>
                <w:szCs w:val="18"/>
              </w:rPr>
              <w:t>1.270</w:t>
            </w:r>
          </w:p>
        </w:tc>
        <w:tc>
          <w:tcPr>
            <w:tcW w:w="1021" w:type="dxa"/>
            <w:tcBorders>
              <w:top w:val="nil"/>
              <w:left w:val="nil"/>
              <w:bottom w:val="nil"/>
              <w:right w:val="nil"/>
            </w:tcBorders>
            <w:vAlign w:val="bottom"/>
          </w:tcPr>
          <w:p w14:paraId="6B537451" w14:textId="3E6F550D" w:rsidR="00566EA9" w:rsidRPr="001D41EA" w:rsidRDefault="00566EA9" w:rsidP="001D41EA">
            <w:pPr>
              <w:spacing w:before="40" w:after="40"/>
              <w:jc w:val="center"/>
              <w:rPr>
                <w:rFonts w:cs="Arial"/>
                <w:sz w:val="18"/>
                <w:szCs w:val="18"/>
              </w:rPr>
            </w:pPr>
            <w:r w:rsidRPr="001D41EA">
              <w:rPr>
                <w:rFonts w:cs="Arial"/>
                <w:sz w:val="18"/>
                <w:szCs w:val="18"/>
              </w:rPr>
              <w:t>1.254</w:t>
            </w:r>
          </w:p>
        </w:tc>
        <w:tc>
          <w:tcPr>
            <w:tcW w:w="170" w:type="dxa"/>
            <w:tcBorders>
              <w:top w:val="nil"/>
              <w:left w:val="nil"/>
              <w:bottom w:val="nil"/>
              <w:right w:val="nil"/>
            </w:tcBorders>
            <w:vAlign w:val="bottom"/>
          </w:tcPr>
          <w:p w14:paraId="7BA2423B" w14:textId="6622D66B"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1AD3DD7A" w14:textId="4345E6E0" w:rsidR="00566EA9" w:rsidRPr="001D41EA" w:rsidRDefault="00566EA9" w:rsidP="001D41EA">
            <w:pPr>
              <w:spacing w:before="40" w:after="40"/>
              <w:jc w:val="center"/>
              <w:rPr>
                <w:rFonts w:cs="Arial"/>
                <w:sz w:val="18"/>
                <w:szCs w:val="18"/>
              </w:rPr>
            </w:pPr>
            <w:r w:rsidRPr="001D41EA">
              <w:rPr>
                <w:rFonts w:cs="Arial"/>
                <w:sz w:val="18"/>
                <w:szCs w:val="18"/>
              </w:rPr>
              <w:t>1.363</w:t>
            </w:r>
          </w:p>
        </w:tc>
      </w:tr>
      <w:tr w:rsidR="00566EA9" w:rsidRPr="001D41EA" w14:paraId="53EB7EB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EFEB772" w14:textId="77777777" w:rsidR="00566EA9" w:rsidRPr="001D41EA" w:rsidRDefault="00566EA9" w:rsidP="001D41EA">
            <w:pPr>
              <w:spacing w:before="40" w:after="40"/>
              <w:rPr>
                <w:rFonts w:cs="Arial"/>
                <w:sz w:val="18"/>
                <w:szCs w:val="18"/>
              </w:rPr>
            </w:pPr>
            <w:r w:rsidRPr="001D41EA">
              <w:rPr>
                <w:rFonts w:cs="Arial"/>
                <w:sz w:val="18"/>
                <w:szCs w:val="18"/>
              </w:rPr>
              <w:t>Glen Eira C</w:t>
            </w:r>
          </w:p>
        </w:tc>
        <w:tc>
          <w:tcPr>
            <w:tcW w:w="1021" w:type="dxa"/>
            <w:tcBorders>
              <w:top w:val="nil"/>
              <w:left w:val="single" w:sz="18" w:space="0" w:color="5F497A" w:themeColor="accent4" w:themeShade="BF"/>
              <w:bottom w:val="nil"/>
              <w:right w:val="nil"/>
            </w:tcBorders>
            <w:shd w:val="clear" w:color="auto" w:fill="auto"/>
            <w:vAlign w:val="bottom"/>
          </w:tcPr>
          <w:p w14:paraId="3CD095B6" w14:textId="6BB6E79B" w:rsidR="00566EA9" w:rsidRPr="001D41EA" w:rsidRDefault="00566EA9" w:rsidP="001D41EA">
            <w:pPr>
              <w:spacing w:before="40" w:after="40"/>
              <w:jc w:val="center"/>
              <w:rPr>
                <w:rFonts w:cs="Arial"/>
                <w:sz w:val="18"/>
                <w:szCs w:val="18"/>
              </w:rPr>
            </w:pPr>
            <w:r w:rsidRPr="001D41EA">
              <w:rPr>
                <w:rFonts w:cs="Arial"/>
                <w:sz w:val="18"/>
                <w:szCs w:val="18"/>
              </w:rPr>
              <w:t>0.906</w:t>
            </w:r>
          </w:p>
        </w:tc>
        <w:tc>
          <w:tcPr>
            <w:tcW w:w="170" w:type="dxa"/>
            <w:tcBorders>
              <w:top w:val="nil"/>
              <w:left w:val="nil"/>
              <w:bottom w:val="nil"/>
              <w:right w:val="nil"/>
            </w:tcBorders>
            <w:shd w:val="clear" w:color="auto" w:fill="auto"/>
            <w:vAlign w:val="bottom"/>
          </w:tcPr>
          <w:p w14:paraId="290C465A" w14:textId="614F716D"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56F3BF5D" w14:textId="62E0030B" w:rsidR="00566EA9" w:rsidRPr="001D41EA" w:rsidRDefault="00566EA9" w:rsidP="001D41EA">
            <w:pPr>
              <w:spacing w:before="40" w:after="40"/>
              <w:jc w:val="center"/>
              <w:rPr>
                <w:rFonts w:cs="Arial"/>
                <w:sz w:val="18"/>
                <w:szCs w:val="18"/>
              </w:rPr>
            </w:pPr>
            <w:r w:rsidRPr="001D41EA">
              <w:rPr>
                <w:rFonts w:cs="Arial"/>
                <w:sz w:val="18"/>
                <w:szCs w:val="18"/>
              </w:rPr>
              <w:t>0.999</w:t>
            </w:r>
          </w:p>
        </w:tc>
        <w:tc>
          <w:tcPr>
            <w:tcW w:w="1021" w:type="dxa"/>
            <w:tcBorders>
              <w:top w:val="nil"/>
              <w:left w:val="nil"/>
              <w:bottom w:val="nil"/>
              <w:right w:val="nil"/>
            </w:tcBorders>
            <w:vAlign w:val="bottom"/>
          </w:tcPr>
          <w:p w14:paraId="6001365D" w14:textId="46E19FD4" w:rsidR="00566EA9" w:rsidRPr="001D41EA" w:rsidRDefault="00566EA9" w:rsidP="001D41EA">
            <w:pPr>
              <w:spacing w:before="40" w:after="40"/>
              <w:jc w:val="center"/>
              <w:rPr>
                <w:rFonts w:cs="Arial"/>
                <w:sz w:val="18"/>
                <w:szCs w:val="18"/>
              </w:rPr>
            </w:pPr>
            <w:r w:rsidRPr="001D41EA">
              <w:rPr>
                <w:rFonts w:cs="Arial"/>
                <w:sz w:val="18"/>
                <w:szCs w:val="18"/>
              </w:rPr>
              <w:t>0.994</w:t>
            </w:r>
          </w:p>
        </w:tc>
        <w:tc>
          <w:tcPr>
            <w:tcW w:w="1021" w:type="dxa"/>
            <w:tcBorders>
              <w:top w:val="nil"/>
              <w:left w:val="nil"/>
              <w:bottom w:val="nil"/>
              <w:right w:val="nil"/>
            </w:tcBorders>
            <w:shd w:val="clear" w:color="auto" w:fill="auto"/>
            <w:vAlign w:val="bottom"/>
          </w:tcPr>
          <w:p w14:paraId="298F76FC" w14:textId="58BD51E5" w:rsidR="00566EA9" w:rsidRPr="001D41EA" w:rsidRDefault="00566EA9" w:rsidP="001D41EA">
            <w:pPr>
              <w:spacing w:before="40" w:after="40"/>
              <w:jc w:val="center"/>
              <w:rPr>
                <w:rFonts w:cs="Arial"/>
                <w:sz w:val="18"/>
                <w:szCs w:val="18"/>
              </w:rPr>
            </w:pPr>
            <w:r w:rsidRPr="001D41EA">
              <w:rPr>
                <w:rFonts w:cs="Arial"/>
                <w:sz w:val="18"/>
                <w:szCs w:val="18"/>
              </w:rPr>
              <w:t>0.990</w:t>
            </w:r>
          </w:p>
        </w:tc>
        <w:tc>
          <w:tcPr>
            <w:tcW w:w="1021" w:type="dxa"/>
            <w:tcBorders>
              <w:top w:val="nil"/>
              <w:left w:val="nil"/>
              <w:bottom w:val="nil"/>
              <w:right w:val="nil"/>
            </w:tcBorders>
            <w:vAlign w:val="bottom"/>
          </w:tcPr>
          <w:p w14:paraId="6BB5429A" w14:textId="71FB9BC6" w:rsidR="00566EA9" w:rsidRPr="001D41EA" w:rsidRDefault="00566EA9" w:rsidP="001D41EA">
            <w:pPr>
              <w:spacing w:before="40" w:after="40"/>
              <w:jc w:val="center"/>
              <w:rPr>
                <w:rFonts w:cs="Arial"/>
                <w:sz w:val="18"/>
                <w:szCs w:val="18"/>
              </w:rPr>
            </w:pPr>
            <w:r w:rsidRPr="001D41EA">
              <w:rPr>
                <w:rFonts w:cs="Arial"/>
                <w:sz w:val="18"/>
                <w:szCs w:val="18"/>
              </w:rPr>
              <w:t>0.998</w:t>
            </w:r>
          </w:p>
        </w:tc>
        <w:tc>
          <w:tcPr>
            <w:tcW w:w="1021" w:type="dxa"/>
            <w:tcBorders>
              <w:top w:val="nil"/>
              <w:left w:val="nil"/>
              <w:bottom w:val="nil"/>
              <w:right w:val="nil"/>
            </w:tcBorders>
            <w:vAlign w:val="bottom"/>
          </w:tcPr>
          <w:p w14:paraId="7FD47C48" w14:textId="5C93F61C" w:rsidR="00566EA9" w:rsidRPr="001D41EA" w:rsidRDefault="00566EA9" w:rsidP="001D41EA">
            <w:pPr>
              <w:spacing w:before="40" w:after="40"/>
              <w:jc w:val="center"/>
              <w:rPr>
                <w:rFonts w:cs="Arial"/>
                <w:sz w:val="18"/>
                <w:szCs w:val="18"/>
              </w:rPr>
            </w:pPr>
            <w:r w:rsidRPr="001D41EA">
              <w:rPr>
                <w:rFonts w:cs="Arial"/>
                <w:sz w:val="18"/>
                <w:szCs w:val="18"/>
              </w:rPr>
              <w:t>0.985</w:t>
            </w:r>
          </w:p>
        </w:tc>
        <w:tc>
          <w:tcPr>
            <w:tcW w:w="170" w:type="dxa"/>
            <w:tcBorders>
              <w:top w:val="nil"/>
              <w:left w:val="nil"/>
              <w:bottom w:val="nil"/>
              <w:right w:val="nil"/>
            </w:tcBorders>
            <w:vAlign w:val="bottom"/>
          </w:tcPr>
          <w:p w14:paraId="15B0D516" w14:textId="6188C161"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3BEB7B71" w14:textId="725D1DE4" w:rsidR="00566EA9" w:rsidRPr="001D41EA" w:rsidRDefault="00566EA9" w:rsidP="001D41EA">
            <w:pPr>
              <w:spacing w:before="40" w:after="40"/>
              <w:jc w:val="center"/>
              <w:rPr>
                <w:rFonts w:cs="Arial"/>
                <w:sz w:val="18"/>
                <w:szCs w:val="18"/>
              </w:rPr>
            </w:pPr>
            <w:r w:rsidRPr="001D41EA">
              <w:rPr>
                <w:rFonts w:cs="Arial"/>
                <w:sz w:val="18"/>
                <w:szCs w:val="18"/>
              </w:rPr>
              <w:t>0.866</w:t>
            </w:r>
          </w:p>
        </w:tc>
      </w:tr>
      <w:tr w:rsidR="00566EA9" w:rsidRPr="001D41EA" w14:paraId="65A586E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C68CBBC" w14:textId="77777777" w:rsidR="00566EA9" w:rsidRPr="001D41EA" w:rsidRDefault="00566EA9" w:rsidP="001D41EA">
            <w:pPr>
              <w:spacing w:before="40" w:after="40"/>
              <w:rPr>
                <w:rFonts w:cs="Arial"/>
                <w:sz w:val="18"/>
                <w:szCs w:val="18"/>
              </w:rPr>
            </w:pPr>
            <w:r w:rsidRPr="001D41EA">
              <w:rPr>
                <w:rFonts w:cs="Arial"/>
                <w:sz w:val="18"/>
                <w:szCs w:val="18"/>
              </w:rPr>
              <w:t>Glenelg S</w:t>
            </w:r>
          </w:p>
        </w:tc>
        <w:tc>
          <w:tcPr>
            <w:tcW w:w="1021" w:type="dxa"/>
            <w:tcBorders>
              <w:top w:val="nil"/>
              <w:left w:val="single" w:sz="18" w:space="0" w:color="5F497A" w:themeColor="accent4" w:themeShade="BF"/>
              <w:bottom w:val="nil"/>
              <w:right w:val="nil"/>
            </w:tcBorders>
            <w:shd w:val="clear" w:color="auto" w:fill="auto"/>
            <w:vAlign w:val="bottom"/>
          </w:tcPr>
          <w:p w14:paraId="2B5CA6F1" w14:textId="7950B5AD" w:rsidR="00566EA9" w:rsidRPr="001D41EA" w:rsidRDefault="00566EA9" w:rsidP="001D41EA">
            <w:pPr>
              <w:spacing w:before="40" w:after="40"/>
              <w:jc w:val="center"/>
              <w:rPr>
                <w:rFonts w:cs="Arial"/>
                <w:sz w:val="18"/>
                <w:szCs w:val="18"/>
              </w:rPr>
            </w:pPr>
            <w:r w:rsidRPr="001D41EA">
              <w:rPr>
                <w:rFonts w:cs="Arial"/>
                <w:sz w:val="18"/>
                <w:szCs w:val="18"/>
              </w:rPr>
              <w:t>1.064</w:t>
            </w:r>
          </w:p>
        </w:tc>
        <w:tc>
          <w:tcPr>
            <w:tcW w:w="170" w:type="dxa"/>
            <w:tcBorders>
              <w:top w:val="nil"/>
              <w:left w:val="nil"/>
              <w:bottom w:val="nil"/>
              <w:right w:val="nil"/>
            </w:tcBorders>
            <w:shd w:val="clear" w:color="auto" w:fill="auto"/>
            <w:vAlign w:val="bottom"/>
          </w:tcPr>
          <w:p w14:paraId="1C7D3582" w14:textId="2B526EC0"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0A7A7A6C" w14:textId="2856A5CF" w:rsidR="00566EA9" w:rsidRPr="001D41EA" w:rsidRDefault="00566EA9" w:rsidP="001D41EA">
            <w:pPr>
              <w:spacing w:before="40" w:after="40"/>
              <w:jc w:val="center"/>
              <w:rPr>
                <w:rFonts w:cs="Arial"/>
                <w:sz w:val="18"/>
                <w:szCs w:val="18"/>
              </w:rPr>
            </w:pPr>
            <w:r w:rsidRPr="001D41EA">
              <w:rPr>
                <w:rFonts w:cs="Arial"/>
                <w:sz w:val="18"/>
                <w:szCs w:val="18"/>
              </w:rPr>
              <w:t>1.255</w:t>
            </w:r>
          </w:p>
        </w:tc>
        <w:tc>
          <w:tcPr>
            <w:tcW w:w="1021" w:type="dxa"/>
            <w:tcBorders>
              <w:top w:val="nil"/>
              <w:left w:val="nil"/>
              <w:bottom w:val="nil"/>
              <w:right w:val="nil"/>
            </w:tcBorders>
            <w:vAlign w:val="bottom"/>
          </w:tcPr>
          <w:p w14:paraId="17B72B92" w14:textId="1F23C8B3" w:rsidR="00566EA9" w:rsidRPr="001D41EA" w:rsidRDefault="00566EA9" w:rsidP="001D41EA">
            <w:pPr>
              <w:spacing w:before="40" w:after="40"/>
              <w:jc w:val="center"/>
              <w:rPr>
                <w:rFonts w:cs="Arial"/>
                <w:sz w:val="18"/>
                <w:szCs w:val="18"/>
              </w:rPr>
            </w:pPr>
            <w:r w:rsidRPr="001D41EA">
              <w:rPr>
                <w:rFonts w:cs="Arial"/>
                <w:sz w:val="18"/>
                <w:szCs w:val="18"/>
              </w:rPr>
              <w:t>1.248</w:t>
            </w:r>
          </w:p>
        </w:tc>
        <w:tc>
          <w:tcPr>
            <w:tcW w:w="1021" w:type="dxa"/>
            <w:tcBorders>
              <w:top w:val="nil"/>
              <w:left w:val="nil"/>
              <w:bottom w:val="nil"/>
              <w:right w:val="nil"/>
            </w:tcBorders>
            <w:shd w:val="clear" w:color="auto" w:fill="auto"/>
            <w:vAlign w:val="bottom"/>
          </w:tcPr>
          <w:p w14:paraId="690F4B91" w14:textId="3AD72DFB" w:rsidR="00566EA9" w:rsidRPr="001D41EA" w:rsidRDefault="00566EA9" w:rsidP="001D41EA">
            <w:pPr>
              <w:spacing w:before="40" w:after="40"/>
              <w:jc w:val="center"/>
              <w:rPr>
                <w:rFonts w:cs="Arial"/>
                <w:sz w:val="18"/>
                <w:szCs w:val="18"/>
              </w:rPr>
            </w:pPr>
            <w:r w:rsidRPr="001D41EA">
              <w:rPr>
                <w:rFonts w:cs="Arial"/>
                <w:sz w:val="18"/>
                <w:szCs w:val="18"/>
              </w:rPr>
              <w:t>1.243</w:t>
            </w:r>
          </w:p>
        </w:tc>
        <w:tc>
          <w:tcPr>
            <w:tcW w:w="1021" w:type="dxa"/>
            <w:tcBorders>
              <w:top w:val="nil"/>
              <w:left w:val="nil"/>
              <w:bottom w:val="nil"/>
              <w:right w:val="nil"/>
            </w:tcBorders>
            <w:vAlign w:val="bottom"/>
          </w:tcPr>
          <w:p w14:paraId="701A1D0A" w14:textId="6C0BBD70" w:rsidR="00566EA9" w:rsidRPr="001D41EA" w:rsidRDefault="00566EA9" w:rsidP="001D41EA">
            <w:pPr>
              <w:spacing w:before="40" w:after="40"/>
              <w:jc w:val="center"/>
              <w:rPr>
                <w:rFonts w:cs="Arial"/>
                <w:sz w:val="18"/>
                <w:szCs w:val="18"/>
              </w:rPr>
            </w:pPr>
            <w:r w:rsidRPr="001D41EA">
              <w:rPr>
                <w:rFonts w:cs="Arial"/>
                <w:sz w:val="18"/>
                <w:szCs w:val="18"/>
              </w:rPr>
              <w:t>1.253</w:t>
            </w:r>
          </w:p>
        </w:tc>
        <w:tc>
          <w:tcPr>
            <w:tcW w:w="1021" w:type="dxa"/>
            <w:tcBorders>
              <w:top w:val="nil"/>
              <w:left w:val="nil"/>
              <w:bottom w:val="nil"/>
              <w:right w:val="nil"/>
            </w:tcBorders>
            <w:vAlign w:val="bottom"/>
          </w:tcPr>
          <w:p w14:paraId="0AD2D71D" w14:textId="196F67ED" w:rsidR="00566EA9" w:rsidRPr="001D41EA" w:rsidRDefault="00566EA9" w:rsidP="001D41EA">
            <w:pPr>
              <w:spacing w:before="40" w:after="40"/>
              <w:jc w:val="center"/>
              <w:rPr>
                <w:rFonts w:cs="Arial"/>
                <w:sz w:val="18"/>
                <w:szCs w:val="18"/>
              </w:rPr>
            </w:pPr>
            <w:r w:rsidRPr="001D41EA">
              <w:rPr>
                <w:rFonts w:cs="Arial"/>
                <w:sz w:val="18"/>
                <w:szCs w:val="18"/>
              </w:rPr>
              <w:t>1.237</w:t>
            </w:r>
          </w:p>
        </w:tc>
        <w:tc>
          <w:tcPr>
            <w:tcW w:w="170" w:type="dxa"/>
            <w:tcBorders>
              <w:top w:val="nil"/>
              <w:left w:val="nil"/>
              <w:bottom w:val="nil"/>
              <w:right w:val="nil"/>
            </w:tcBorders>
            <w:vAlign w:val="bottom"/>
          </w:tcPr>
          <w:p w14:paraId="55933A6B" w14:textId="566F7F67"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0C34EE45" w14:textId="37F7092C" w:rsidR="00566EA9" w:rsidRPr="001D41EA" w:rsidRDefault="00566EA9" w:rsidP="001D41EA">
            <w:pPr>
              <w:spacing w:before="40" w:after="40"/>
              <w:jc w:val="center"/>
              <w:rPr>
                <w:rFonts w:cs="Arial"/>
                <w:sz w:val="18"/>
                <w:szCs w:val="18"/>
              </w:rPr>
            </w:pPr>
            <w:r w:rsidRPr="001D41EA">
              <w:rPr>
                <w:rFonts w:cs="Arial"/>
                <w:sz w:val="18"/>
                <w:szCs w:val="18"/>
              </w:rPr>
              <w:t>1.361</w:t>
            </w:r>
          </w:p>
        </w:tc>
      </w:tr>
      <w:tr w:rsidR="00566EA9" w:rsidRPr="001D41EA" w14:paraId="4863EC4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A357B2E" w14:textId="77777777" w:rsidR="00566EA9" w:rsidRPr="001D41EA" w:rsidRDefault="00566EA9" w:rsidP="001D41EA">
            <w:pPr>
              <w:spacing w:before="40" w:after="40"/>
              <w:rPr>
                <w:rFonts w:cs="Arial"/>
                <w:sz w:val="18"/>
                <w:szCs w:val="18"/>
              </w:rPr>
            </w:pPr>
            <w:r w:rsidRPr="001D41EA">
              <w:rPr>
                <w:rFonts w:cs="Arial"/>
                <w:sz w:val="18"/>
                <w:szCs w:val="18"/>
              </w:rPr>
              <w:t>Golden Plains S</w:t>
            </w:r>
          </w:p>
        </w:tc>
        <w:tc>
          <w:tcPr>
            <w:tcW w:w="1021" w:type="dxa"/>
            <w:tcBorders>
              <w:top w:val="nil"/>
              <w:left w:val="single" w:sz="18" w:space="0" w:color="5F497A" w:themeColor="accent4" w:themeShade="BF"/>
              <w:bottom w:val="nil"/>
              <w:right w:val="nil"/>
            </w:tcBorders>
            <w:shd w:val="clear" w:color="auto" w:fill="auto"/>
            <w:vAlign w:val="bottom"/>
          </w:tcPr>
          <w:p w14:paraId="10C341B8" w14:textId="1B27BDDF" w:rsidR="00566EA9" w:rsidRPr="001D41EA" w:rsidRDefault="00566EA9" w:rsidP="001D41EA">
            <w:pPr>
              <w:spacing w:before="40" w:after="40"/>
              <w:jc w:val="center"/>
              <w:rPr>
                <w:rFonts w:cs="Arial"/>
                <w:sz w:val="18"/>
                <w:szCs w:val="18"/>
              </w:rPr>
            </w:pPr>
            <w:r w:rsidRPr="001D41EA">
              <w:rPr>
                <w:rFonts w:cs="Arial"/>
                <w:sz w:val="18"/>
                <w:szCs w:val="18"/>
              </w:rPr>
              <w:t>0.945</w:t>
            </w:r>
          </w:p>
        </w:tc>
        <w:tc>
          <w:tcPr>
            <w:tcW w:w="170" w:type="dxa"/>
            <w:tcBorders>
              <w:top w:val="nil"/>
              <w:left w:val="nil"/>
              <w:bottom w:val="nil"/>
              <w:right w:val="nil"/>
            </w:tcBorders>
            <w:shd w:val="clear" w:color="auto" w:fill="auto"/>
            <w:vAlign w:val="bottom"/>
          </w:tcPr>
          <w:p w14:paraId="2DBCF78D" w14:textId="169FA0FB"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4571AF8B" w14:textId="5EABC22A" w:rsidR="00566EA9" w:rsidRPr="001D41EA" w:rsidRDefault="00566EA9" w:rsidP="001D41EA">
            <w:pPr>
              <w:spacing w:before="40" w:after="40"/>
              <w:jc w:val="center"/>
              <w:rPr>
                <w:rFonts w:cs="Arial"/>
                <w:sz w:val="18"/>
                <w:szCs w:val="18"/>
              </w:rPr>
            </w:pPr>
            <w:r w:rsidRPr="001D41EA">
              <w:rPr>
                <w:rFonts w:cs="Arial"/>
                <w:sz w:val="18"/>
                <w:szCs w:val="18"/>
              </w:rPr>
              <w:t>1.248</w:t>
            </w:r>
          </w:p>
        </w:tc>
        <w:tc>
          <w:tcPr>
            <w:tcW w:w="1021" w:type="dxa"/>
            <w:tcBorders>
              <w:top w:val="nil"/>
              <w:left w:val="nil"/>
              <w:bottom w:val="nil"/>
              <w:right w:val="nil"/>
            </w:tcBorders>
            <w:vAlign w:val="bottom"/>
          </w:tcPr>
          <w:p w14:paraId="356840BD" w14:textId="7E44C143" w:rsidR="00566EA9" w:rsidRPr="001D41EA" w:rsidRDefault="00566EA9" w:rsidP="001D41EA">
            <w:pPr>
              <w:spacing w:before="40" w:after="40"/>
              <w:jc w:val="center"/>
              <w:rPr>
                <w:rFonts w:cs="Arial"/>
                <w:sz w:val="18"/>
                <w:szCs w:val="18"/>
              </w:rPr>
            </w:pPr>
            <w:r w:rsidRPr="001D41EA">
              <w:rPr>
                <w:rFonts w:cs="Arial"/>
                <w:sz w:val="18"/>
                <w:szCs w:val="18"/>
              </w:rPr>
              <w:t>1.242</w:t>
            </w:r>
          </w:p>
        </w:tc>
        <w:tc>
          <w:tcPr>
            <w:tcW w:w="1021" w:type="dxa"/>
            <w:tcBorders>
              <w:top w:val="nil"/>
              <w:left w:val="nil"/>
              <w:bottom w:val="nil"/>
              <w:right w:val="nil"/>
            </w:tcBorders>
            <w:shd w:val="clear" w:color="auto" w:fill="auto"/>
            <w:vAlign w:val="bottom"/>
          </w:tcPr>
          <w:p w14:paraId="7B8852F2" w14:textId="2EB718C8" w:rsidR="00566EA9" w:rsidRPr="001D41EA" w:rsidRDefault="00566EA9" w:rsidP="001D41EA">
            <w:pPr>
              <w:spacing w:before="40" w:after="40"/>
              <w:jc w:val="center"/>
              <w:rPr>
                <w:rFonts w:cs="Arial"/>
                <w:sz w:val="18"/>
                <w:szCs w:val="18"/>
              </w:rPr>
            </w:pPr>
            <w:r w:rsidRPr="001D41EA">
              <w:rPr>
                <w:rFonts w:cs="Arial"/>
                <w:sz w:val="18"/>
                <w:szCs w:val="18"/>
              </w:rPr>
              <w:t>1.237</w:t>
            </w:r>
          </w:p>
        </w:tc>
        <w:tc>
          <w:tcPr>
            <w:tcW w:w="1021" w:type="dxa"/>
            <w:tcBorders>
              <w:top w:val="nil"/>
              <w:left w:val="nil"/>
              <w:bottom w:val="nil"/>
              <w:right w:val="nil"/>
            </w:tcBorders>
            <w:vAlign w:val="bottom"/>
          </w:tcPr>
          <w:p w14:paraId="02800ABC" w14:textId="413E8ACC" w:rsidR="00566EA9" w:rsidRPr="001D41EA" w:rsidRDefault="00566EA9" w:rsidP="001D41EA">
            <w:pPr>
              <w:spacing w:before="40" w:after="40"/>
              <w:jc w:val="center"/>
              <w:rPr>
                <w:rFonts w:cs="Arial"/>
                <w:sz w:val="18"/>
                <w:szCs w:val="18"/>
              </w:rPr>
            </w:pPr>
            <w:r w:rsidRPr="001D41EA">
              <w:rPr>
                <w:rFonts w:cs="Arial"/>
                <w:sz w:val="18"/>
                <w:szCs w:val="18"/>
              </w:rPr>
              <w:t>1.247</w:t>
            </w:r>
          </w:p>
        </w:tc>
        <w:tc>
          <w:tcPr>
            <w:tcW w:w="1021" w:type="dxa"/>
            <w:tcBorders>
              <w:top w:val="nil"/>
              <w:left w:val="nil"/>
              <w:bottom w:val="nil"/>
              <w:right w:val="nil"/>
            </w:tcBorders>
            <w:vAlign w:val="bottom"/>
          </w:tcPr>
          <w:p w14:paraId="37E30846" w14:textId="175F7B4B" w:rsidR="00566EA9" w:rsidRPr="001D41EA" w:rsidRDefault="00566EA9" w:rsidP="001D41EA">
            <w:pPr>
              <w:spacing w:before="40" w:after="40"/>
              <w:jc w:val="center"/>
              <w:rPr>
                <w:rFonts w:cs="Arial"/>
                <w:sz w:val="18"/>
                <w:szCs w:val="18"/>
              </w:rPr>
            </w:pPr>
            <w:r w:rsidRPr="001D41EA">
              <w:rPr>
                <w:rFonts w:cs="Arial"/>
                <w:sz w:val="18"/>
                <w:szCs w:val="18"/>
              </w:rPr>
              <w:t>1.230</w:t>
            </w:r>
          </w:p>
        </w:tc>
        <w:tc>
          <w:tcPr>
            <w:tcW w:w="170" w:type="dxa"/>
            <w:tcBorders>
              <w:top w:val="nil"/>
              <w:left w:val="nil"/>
              <w:bottom w:val="nil"/>
              <w:right w:val="nil"/>
            </w:tcBorders>
            <w:vAlign w:val="bottom"/>
          </w:tcPr>
          <w:p w14:paraId="1BC130BC" w14:textId="0E77721B"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5D7764D3" w14:textId="207768E5" w:rsidR="00566EA9" w:rsidRPr="001D41EA" w:rsidRDefault="00566EA9" w:rsidP="001D41EA">
            <w:pPr>
              <w:spacing w:before="40" w:after="40"/>
              <w:jc w:val="center"/>
              <w:rPr>
                <w:rFonts w:cs="Arial"/>
                <w:sz w:val="18"/>
                <w:szCs w:val="18"/>
              </w:rPr>
            </w:pPr>
            <w:r w:rsidRPr="001D41EA">
              <w:rPr>
                <w:rFonts w:cs="Arial"/>
                <w:sz w:val="18"/>
                <w:szCs w:val="18"/>
              </w:rPr>
              <w:t>1.429</w:t>
            </w:r>
          </w:p>
        </w:tc>
      </w:tr>
      <w:tr w:rsidR="00566EA9" w:rsidRPr="001D41EA" w14:paraId="3FCADDD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C6B989D" w14:textId="77777777" w:rsidR="00566EA9" w:rsidRPr="001D41EA" w:rsidRDefault="00566EA9" w:rsidP="001D41EA">
            <w:pPr>
              <w:spacing w:before="40" w:after="40"/>
              <w:rPr>
                <w:rFonts w:cs="Arial"/>
                <w:sz w:val="18"/>
                <w:szCs w:val="18"/>
              </w:rPr>
            </w:pPr>
            <w:r w:rsidRPr="001D41EA">
              <w:rPr>
                <w:rFonts w:cs="Arial"/>
                <w:sz w:val="18"/>
                <w:szCs w:val="18"/>
              </w:rPr>
              <w:t>Greater Bendigo C</w:t>
            </w:r>
          </w:p>
        </w:tc>
        <w:tc>
          <w:tcPr>
            <w:tcW w:w="1021" w:type="dxa"/>
            <w:tcBorders>
              <w:top w:val="nil"/>
              <w:left w:val="single" w:sz="18" w:space="0" w:color="5F497A" w:themeColor="accent4" w:themeShade="BF"/>
              <w:bottom w:val="nil"/>
              <w:right w:val="nil"/>
            </w:tcBorders>
            <w:shd w:val="clear" w:color="auto" w:fill="auto"/>
            <w:vAlign w:val="bottom"/>
          </w:tcPr>
          <w:p w14:paraId="06CA8373" w14:textId="1FFFD6DC" w:rsidR="00566EA9" w:rsidRPr="001D41EA" w:rsidRDefault="00566EA9" w:rsidP="001D41EA">
            <w:pPr>
              <w:spacing w:before="40" w:after="40"/>
              <w:jc w:val="center"/>
              <w:rPr>
                <w:rFonts w:cs="Arial"/>
                <w:sz w:val="18"/>
                <w:szCs w:val="18"/>
              </w:rPr>
            </w:pPr>
            <w:r w:rsidRPr="001D41EA">
              <w:rPr>
                <w:rFonts w:cs="Arial"/>
                <w:sz w:val="18"/>
                <w:szCs w:val="18"/>
              </w:rPr>
              <w:t>1.055</w:t>
            </w:r>
          </w:p>
        </w:tc>
        <w:tc>
          <w:tcPr>
            <w:tcW w:w="170" w:type="dxa"/>
            <w:tcBorders>
              <w:top w:val="nil"/>
              <w:left w:val="nil"/>
              <w:bottom w:val="nil"/>
              <w:right w:val="nil"/>
            </w:tcBorders>
            <w:shd w:val="clear" w:color="auto" w:fill="auto"/>
            <w:vAlign w:val="bottom"/>
          </w:tcPr>
          <w:p w14:paraId="22218009" w14:textId="71AD8A75"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7A39A804" w14:textId="34E27C35" w:rsidR="00566EA9" w:rsidRPr="001D41EA" w:rsidRDefault="00566EA9" w:rsidP="001D41EA">
            <w:pPr>
              <w:spacing w:before="40" w:after="40"/>
              <w:jc w:val="center"/>
              <w:rPr>
                <w:rFonts w:cs="Arial"/>
                <w:sz w:val="18"/>
                <w:szCs w:val="18"/>
              </w:rPr>
            </w:pPr>
            <w:r w:rsidRPr="001D41EA">
              <w:rPr>
                <w:rFonts w:cs="Arial"/>
                <w:sz w:val="18"/>
                <w:szCs w:val="18"/>
              </w:rPr>
              <w:t>1.071</w:t>
            </w:r>
          </w:p>
        </w:tc>
        <w:tc>
          <w:tcPr>
            <w:tcW w:w="1021" w:type="dxa"/>
            <w:tcBorders>
              <w:top w:val="nil"/>
              <w:left w:val="nil"/>
              <w:bottom w:val="nil"/>
              <w:right w:val="nil"/>
            </w:tcBorders>
            <w:vAlign w:val="bottom"/>
          </w:tcPr>
          <w:p w14:paraId="10EF9DFD" w14:textId="6FC3BF43" w:rsidR="00566EA9" w:rsidRPr="001D41EA" w:rsidRDefault="00566EA9" w:rsidP="001D41EA">
            <w:pPr>
              <w:spacing w:before="40" w:after="40"/>
              <w:jc w:val="center"/>
              <w:rPr>
                <w:rFonts w:cs="Arial"/>
                <w:sz w:val="18"/>
                <w:szCs w:val="18"/>
              </w:rPr>
            </w:pPr>
            <w:r w:rsidRPr="001D41EA">
              <w:rPr>
                <w:rFonts w:cs="Arial"/>
                <w:sz w:val="18"/>
                <w:szCs w:val="18"/>
              </w:rPr>
              <w:t>1.066</w:t>
            </w:r>
          </w:p>
        </w:tc>
        <w:tc>
          <w:tcPr>
            <w:tcW w:w="1021" w:type="dxa"/>
            <w:tcBorders>
              <w:top w:val="nil"/>
              <w:left w:val="nil"/>
              <w:bottom w:val="nil"/>
              <w:right w:val="nil"/>
            </w:tcBorders>
            <w:shd w:val="clear" w:color="auto" w:fill="auto"/>
            <w:vAlign w:val="bottom"/>
          </w:tcPr>
          <w:p w14:paraId="538CA230" w14:textId="438D6E84" w:rsidR="00566EA9" w:rsidRPr="001D41EA" w:rsidRDefault="00566EA9" w:rsidP="001D41EA">
            <w:pPr>
              <w:spacing w:before="40" w:after="40"/>
              <w:jc w:val="center"/>
              <w:rPr>
                <w:rFonts w:cs="Arial"/>
                <w:sz w:val="18"/>
                <w:szCs w:val="18"/>
              </w:rPr>
            </w:pPr>
            <w:r w:rsidRPr="001D41EA">
              <w:rPr>
                <w:rFonts w:cs="Arial"/>
                <w:sz w:val="18"/>
                <w:szCs w:val="18"/>
              </w:rPr>
              <w:t>1.061</w:t>
            </w:r>
          </w:p>
        </w:tc>
        <w:tc>
          <w:tcPr>
            <w:tcW w:w="1021" w:type="dxa"/>
            <w:tcBorders>
              <w:top w:val="nil"/>
              <w:left w:val="nil"/>
              <w:bottom w:val="nil"/>
              <w:right w:val="nil"/>
            </w:tcBorders>
            <w:vAlign w:val="bottom"/>
          </w:tcPr>
          <w:p w14:paraId="7F68EAB1" w14:textId="23D59D7D" w:rsidR="00566EA9" w:rsidRPr="001D41EA" w:rsidRDefault="00566EA9" w:rsidP="001D41EA">
            <w:pPr>
              <w:spacing w:before="40" w:after="40"/>
              <w:jc w:val="center"/>
              <w:rPr>
                <w:rFonts w:cs="Arial"/>
                <w:sz w:val="18"/>
                <w:szCs w:val="18"/>
              </w:rPr>
            </w:pPr>
            <w:r w:rsidRPr="001D41EA">
              <w:rPr>
                <w:rFonts w:cs="Arial"/>
                <w:sz w:val="18"/>
                <w:szCs w:val="18"/>
              </w:rPr>
              <w:t>1.070</w:t>
            </w:r>
          </w:p>
        </w:tc>
        <w:tc>
          <w:tcPr>
            <w:tcW w:w="1021" w:type="dxa"/>
            <w:tcBorders>
              <w:top w:val="nil"/>
              <w:left w:val="nil"/>
              <w:bottom w:val="nil"/>
              <w:right w:val="nil"/>
            </w:tcBorders>
            <w:vAlign w:val="bottom"/>
          </w:tcPr>
          <w:p w14:paraId="5536FCE1" w14:textId="55078E97" w:rsidR="00566EA9" w:rsidRPr="001D41EA" w:rsidRDefault="00566EA9" w:rsidP="001D41EA">
            <w:pPr>
              <w:spacing w:before="40" w:after="40"/>
              <w:jc w:val="center"/>
              <w:rPr>
                <w:rFonts w:cs="Arial"/>
                <w:sz w:val="18"/>
                <w:szCs w:val="18"/>
              </w:rPr>
            </w:pPr>
            <w:r w:rsidRPr="001D41EA">
              <w:rPr>
                <w:rFonts w:cs="Arial"/>
                <w:sz w:val="18"/>
                <w:szCs w:val="18"/>
              </w:rPr>
              <w:t>1.056</w:t>
            </w:r>
          </w:p>
        </w:tc>
        <w:tc>
          <w:tcPr>
            <w:tcW w:w="170" w:type="dxa"/>
            <w:tcBorders>
              <w:top w:val="nil"/>
              <w:left w:val="nil"/>
              <w:bottom w:val="nil"/>
              <w:right w:val="nil"/>
            </w:tcBorders>
            <w:vAlign w:val="bottom"/>
          </w:tcPr>
          <w:p w14:paraId="39901DBA" w14:textId="17612790"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68D1482D" w14:textId="02E899FB" w:rsidR="00566EA9" w:rsidRPr="001D41EA" w:rsidRDefault="00566EA9" w:rsidP="001D41EA">
            <w:pPr>
              <w:spacing w:before="40" w:after="40"/>
              <w:jc w:val="center"/>
              <w:rPr>
                <w:rFonts w:cs="Arial"/>
                <w:sz w:val="18"/>
                <w:szCs w:val="18"/>
              </w:rPr>
            </w:pPr>
            <w:r w:rsidRPr="001D41EA">
              <w:rPr>
                <w:rFonts w:cs="Arial"/>
                <w:sz w:val="18"/>
                <w:szCs w:val="18"/>
              </w:rPr>
              <w:t>1.141</w:t>
            </w:r>
          </w:p>
        </w:tc>
      </w:tr>
      <w:tr w:rsidR="00566EA9" w:rsidRPr="001D41EA" w14:paraId="0B275D1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4AE0FE5" w14:textId="77777777" w:rsidR="00566EA9" w:rsidRPr="001D41EA" w:rsidRDefault="00566EA9" w:rsidP="001D41EA">
            <w:pPr>
              <w:spacing w:before="40" w:after="40"/>
              <w:rPr>
                <w:rFonts w:cs="Arial"/>
                <w:sz w:val="18"/>
                <w:szCs w:val="18"/>
              </w:rPr>
            </w:pPr>
            <w:r w:rsidRPr="001D41EA">
              <w:rPr>
                <w:rFonts w:cs="Arial"/>
                <w:sz w:val="18"/>
                <w:szCs w:val="18"/>
              </w:rPr>
              <w:t>Greater Dandenong C</w:t>
            </w:r>
          </w:p>
        </w:tc>
        <w:tc>
          <w:tcPr>
            <w:tcW w:w="1021" w:type="dxa"/>
            <w:tcBorders>
              <w:top w:val="nil"/>
              <w:left w:val="single" w:sz="18" w:space="0" w:color="5F497A" w:themeColor="accent4" w:themeShade="BF"/>
              <w:bottom w:val="nil"/>
              <w:right w:val="nil"/>
            </w:tcBorders>
            <w:shd w:val="clear" w:color="auto" w:fill="auto"/>
            <w:vAlign w:val="bottom"/>
          </w:tcPr>
          <w:p w14:paraId="04A4AF45" w14:textId="3067D879" w:rsidR="00566EA9" w:rsidRPr="001D41EA" w:rsidRDefault="00566EA9" w:rsidP="001D41EA">
            <w:pPr>
              <w:spacing w:before="40" w:after="40"/>
              <w:jc w:val="center"/>
              <w:rPr>
                <w:rFonts w:cs="Arial"/>
                <w:sz w:val="18"/>
                <w:szCs w:val="18"/>
              </w:rPr>
            </w:pPr>
            <w:r w:rsidRPr="001D41EA">
              <w:rPr>
                <w:rFonts w:cs="Arial"/>
                <w:sz w:val="18"/>
                <w:szCs w:val="18"/>
              </w:rPr>
              <w:t>1.079</w:t>
            </w:r>
          </w:p>
        </w:tc>
        <w:tc>
          <w:tcPr>
            <w:tcW w:w="170" w:type="dxa"/>
            <w:tcBorders>
              <w:top w:val="nil"/>
              <w:left w:val="nil"/>
              <w:bottom w:val="nil"/>
              <w:right w:val="nil"/>
            </w:tcBorders>
            <w:shd w:val="clear" w:color="auto" w:fill="auto"/>
            <w:vAlign w:val="bottom"/>
          </w:tcPr>
          <w:p w14:paraId="3CE48CD5" w14:textId="549B279A"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26FBAC02" w14:textId="1AE86CD5" w:rsidR="00566EA9" w:rsidRPr="001D41EA" w:rsidRDefault="00566EA9" w:rsidP="001D41EA">
            <w:pPr>
              <w:spacing w:before="40" w:after="40"/>
              <w:jc w:val="center"/>
              <w:rPr>
                <w:rFonts w:cs="Arial"/>
                <w:sz w:val="18"/>
                <w:szCs w:val="18"/>
              </w:rPr>
            </w:pPr>
            <w:r w:rsidRPr="001D41EA">
              <w:rPr>
                <w:rFonts w:cs="Arial"/>
                <w:sz w:val="18"/>
                <w:szCs w:val="18"/>
              </w:rPr>
              <w:t>0.976</w:t>
            </w:r>
          </w:p>
        </w:tc>
        <w:tc>
          <w:tcPr>
            <w:tcW w:w="1021" w:type="dxa"/>
            <w:tcBorders>
              <w:top w:val="nil"/>
              <w:left w:val="nil"/>
              <w:bottom w:val="nil"/>
              <w:right w:val="nil"/>
            </w:tcBorders>
            <w:vAlign w:val="bottom"/>
          </w:tcPr>
          <w:p w14:paraId="2002A065" w14:textId="61A3EDCF" w:rsidR="00566EA9" w:rsidRPr="001D41EA" w:rsidRDefault="00566EA9" w:rsidP="001D41EA">
            <w:pPr>
              <w:spacing w:before="40" w:after="40"/>
              <w:jc w:val="center"/>
              <w:rPr>
                <w:rFonts w:cs="Arial"/>
                <w:sz w:val="18"/>
                <w:szCs w:val="18"/>
              </w:rPr>
            </w:pPr>
            <w:r w:rsidRPr="001D41EA">
              <w:rPr>
                <w:rFonts w:cs="Arial"/>
                <w:sz w:val="18"/>
                <w:szCs w:val="18"/>
              </w:rPr>
              <w:t>0.971</w:t>
            </w:r>
          </w:p>
        </w:tc>
        <w:tc>
          <w:tcPr>
            <w:tcW w:w="1021" w:type="dxa"/>
            <w:tcBorders>
              <w:top w:val="nil"/>
              <w:left w:val="nil"/>
              <w:bottom w:val="nil"/>
              <w:right w:val="nil"/>
            </w:tcBorders>
            <w:shd w:val="clear" w:color="auto" w:fill="auto"/>
            <w:vAlign w:val="bottom"/>
          </w:tcPr>
          <w:p w14:paraId="1FD00A1A" w14:textId="68E71482" w:rsidR="00566EA9" w:rsidRPr="001D41EA" w:rsidRDefault="00566EA9" w:rsidP="001D41EA">
            <w:pPr>
              <w:spacing w:before="40" w:after="40"/>
              <w:jc w:val="center"/>
              <w:rPr>
                <w:rFonts w:cs="Arial"/>
                <w:sz w:val="18"/>
                <w:szCs w:val="18"/>
              </w:rPr>
            </w:pPr>
            <w:r w:rsidRPr="001D41EA">
              <w:rPr>
                <w:rFonts w:cs="Arial"/>
                <w:sz w:val="18"/>
                <w:szCs w:val="18"/>
              </w:rPr>
              <w:t>0.967</w:t>
            </w:r>
          </w:p>
        </w:tc>
        <w:tc>
          <w:tcPr>
            <w:tcW w:w="1021" w:type="dxa"/>
            <w:tcBorders>
              <w:top w:val="nil"/>
              <w:left w:val="nil"/>
              <w:bottom w:val="nil"/>
              <w:right w:val="nil"/>
            </w:tcBorders>
            <w:vAlign w:val="bottom"/>
          </w:tcPr>
          <w:p w14:paraId="6CA919C4" w14:textId="040AB82A" w:rsidR="00566EA9" w:rsidRPr="001D41EA" w:rsidRDefault="00566EA9" w:rsidP="001D41EA">
            <w:pPr>
              <w:spacing w:before="40" w:after="40"/>
              <w:jc w:val="center"/>
              <w:rPr>
                <w:rFonts w:cs="Arial"/>
                <w:sz w:val="18"/>
                <w:szCs w:val="18"/>
              </w:rPr>
            </w:pPr>
            <w:r w:rsidRPr="001D41EA">
              <w:rPr>
                <w:rFonts w:cs="Arial"/>
                <w:sz w:val="18"/>
                <w:szCs w:val="18"/>
              </w:rPr>
              <w:t>0.974</w:t>
            </w:r>
          </w:p>
        </w:tc>
        <w:tc>
          <w:tcPr>
            <w:tcW w:w="1021" w:type="dxa"/>
            <w:tcBorders>
              <w:top w:val="nil"/>
              <w:left w:val="nil"/>
              <w:bottom w:val="nil"/>
              <w:right w:val="nil"/>
            </w:tcBorders>
            <w:vAlign w:val="bottom"/>
          </w:tcPr>
          <w:p w14:paraId="0B203EE5" w14:textId="2A47DD2E" w:rsidR="00566EA9" w:rsidRPr="001D41EA" w:rsidRDefault="00566EA9" w:rsidP="001D41EA">
            <w:pPr>
              <w:spacing w:before="40" w:after="40"/>
              <w:jc w:val="center"/>
              <w:rPr>
                <w:rFonts w:cs="Arial"/>
                <w:sz w:val="18"/>
                <w:szCs w:val="18"/>
              </w:rPr>
            </w:pPr>
            <w:r w:rsidRPr="001D41EA">
              <w:rPr>
                <w:rFonts w:cs="Arial"/>
                <w:sz w:val="18"/>
                <w:szCs w:val="18"/>
              </w:rPr>
              <w:t>0.962</w:t>
            </w:r>
          </w:p>
        </w:tc>
        <w:tc>
          <w:tcPr>
            <w:tcW w:w="170" w:type="dxa"/>
            <w:tcBorders>
              <w:top w:val="nil"/>
              <w:left w:val="nil"/>
              <w:bottom w:val="nil"/>
              <w:right w:val="nil"/>
            </w:tcBorders>
            <w:vAlign w:val="bottom"/>
          </w:tcPr>
          <w:p w14:paraId="6F199A8D" w14:textId="05378A2B"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444AF860" w14:textId="7FB08514" w:rsidR="00566EA9" w:rsidRPr="001D41EA" w:rsidRDefault="00566EA9" w:rsidP="001D41EA">
            <w:pPr>
              <w:spacing w:before="40" w:after="40"/>
              <w:jc w:val="center"/>
              <w:rPr>
                <w:rFonts w:cs="Arial"/>
                <w:sz w:val="18"/>
                <w:szCs w:val="18"/>
              </w:rPr>
            </w:pPr>
            <w:r w:rsidRPr="001D41EA">
              <w:rPr>
                <w:rFonts w:cs="Arial"/>
                <w:sz w:val="18"/>
                <w:szCs w:val="18"/>
              </w:rPr>
              <w:t>0.885</w:t>
            </w:r>
          </w:p>
        </w:tc>
      </w:tr>
      <w:tr w:rsidR="00566EA9" w:rsidRPr="001D41EA" w14:paraId="58DDCD3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02BB3AC" w14:textId="77777777" w:rsidR="00566EA9" w:rsidRPr="001D41EA" w:rsidRDefault="00566EA9" w:rsidP="001D41EA">
            <w:pPr>
              <w:spacing w:before="40" w:after="40"/>
              <w:rPr>
                <w:rFonts w:cs="Arial"/>
                <w:sz w:val="18"/>
                <w:szCs w:val="18"/>
              </w:rPr>
            </w:pPr>
            <w:r w:rsidRPr="001D41EA">
              <w:rPr>
                <w:rFonts w:cs="Arial"/>
                <w:sz w:val="18"/>
                <w:szCs w:val="18"/>
              </w:rPr>
              <w:t>Greater Geelong C</w:t>
            </w:r>
          </w:p>
        </w:tc>
        <w:tc>
          <w:tcPr>
            <w:tcW w:w="1021" w:type="dxa"/>
            <w:tcBorders>
              <w:top w:val="nil"/>
              <w:left w:val="single" w:sz="18" w:space="0" w:color="5F497A" w:themeColor="accent4" w:themeShade="BF"/>
              <w:bottom w:val="nil"/>
              <w:right w:val="nil"/>
            </w:tcBorders>
            <w:shd w:val="clear" w:color="auto" w:fill="auto"/>
            <w:vAlign w:val="bottom"/>
          </w:tcPr>
          <w:p w14:paraId="27987F50" w14:textId="31EE3EB6" w:rsidR="00566EA9" w:rsidRPr="001D41EA" w:rsidRDefault="00566EA9" w:rsidP="001D41EA">
            <w:pPr>
              <w:spacing w:before="40" w:after="40"/>
              <w:jc w:val="center"/>
              <w:rPr>
                <w:rFonts w:cs="Arial"/>
                <w:sz w:val="18"/>
                <w:szCs w:val="18"/>
              </w:rPr>
            </w:pPr>
            <w:r w:rsidRPr="001D41EA">
              <w:rPr>
                <w:rFonts w:cs="Arial"/>
                <w:sz w:val="18"/>
                <w:szCs w:val="18"/>
              </w:rPr>
              <w:t>1.076</w:t>
            </w:r>
          </w:p>
        </w:tc>
        <w:tc>
          <w:tcPr>
            <w:tcW w:w="170" w:type="dxa"/>
            <w:tcBorders>
              <w:top w:val="nil"/>
              <w:left w:val="nil"/>
              <w:bottom w:val="nil"/>
              <w:right w:val="nil"/>
            </w:tcBorders>
            <w:shd w:val="clear" w:color="auto" w:fill="auto"/>
            <w:vAlign w:val="bottom"/>
          </w:tcPr>
          <w:p w14:paraId="2058F1E3" w14:textId="60A935AE"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0F4460D1" w14:textId="1BE89C11" w:rsidR="00566EA9" w:rsidRPr="001D41EA" w:rsidRDefault="00566EA9" w:rsidP="001D41EA">
            <w:pPr>
              <w:spacing w:before="40" w:after="40"/>
              <w:jc w:val="center"/>
              <w:rPr>
                <w:rFonts w:cs="Arial"/>
                <w:sz w:val="18"/>
                <w:szCs w:val="18"/>
              </w:rPr>
            </w:pPr>
            <w:r w:rsidRPr="001D41EA">
              <w:rPr>
                <w:rFonts w:cs="Arial"/>
                <w:sz w:val="18"/>
                <w:szCs w:val="18"/>
              </w:rPr>
              <w:t>0.812</w:t>
            </w:r>
          </w:p>
        </w:tc>
        <w:tc>
          <w:tcPr>
            <w:tcW w:w="1021" w:type="dxa"/>
            <w:tcBorders>
              <w:top w:val="nil"/>
              <w:left w:val="nil"/>
              <w:bottom w:val="nil"/>
              <w:right w:val="nil"/>
            </w:tcBorders>
            <w:vAlign w:val="bottom"/>
          </w:tcPr>
          <w:p w14:paraId="4D42F31D" w14:textId="45B80ABF" w:rsidR="00566EA9" w:rsidRPr="001D41EA" w:rsidRDefault="00566EA9" w:rsidP="001D41EA">
            <w:pPr>
              <w:spacing w:before="40" w:after="40"/>
              <w:jc w:val="center"/>
              <w:rPr>
                <w:rFonts w:cs="Arial"/>
                <w:sz w:val="18"/>
                <w:szCs w:val="18"/>
              </w:rPr>
            </w:pPr>
            <w:r w:rsidRPr="001D41EA">
              <w:rPr>
                <w:rFonts w:cs="Arial"/>
                <w:sz w:val="18"/>
                <w:szCs w:val="18"/>
              </w:rPr>
              <w:t>0.807</w:t>
            </w:r>
          </w:p>
        </w:tc>
        <w:tc>
          <w:tcPr>
            <w:tcW w:w="1021" w:type="dxa"/>
            <w:tcBorders>
              <w:top w:val="nil"/>
              <w:left w:val="nil"/>
              <w:bottom w:val="nil"/>
              <w:right w:val="nil"/>
            </w:tcBorders>
            <w:shd w:val="clear" w:color="auto" w:fill="auto"/>
            <w:vAlign w:val="bottom"/>
          </w:tcPr>
          <w:p w14:paraId="1C757A6D" w14:textId="408121AB" w:rsidR="00566EA9" w:rsidRPr="001D41EA" w:rsidRDefault="00566EA9" w:rsidP="001D41EA">
            <w:pPr>
              <w:spacing w:before="40" w:after="40"/>
              <w:jc w:val="center"/>
              <w:rPr>
                <w:rFonts w:cs="Arial"/>
                <w:sz w:val="18"/>
                <w:szCs w:val="18"/>
              </w:rPr>
            </w:pPr>
            <w:r w:rsidRPr="001D41EA">
              <w:rPr>
                <w:rFonts w:cs="Arial"/>
                <w:sz w:val="18"/>
                <w:szCs w:val="18"/>
              </w:rPr>
              <w:t>0.804</w:t>
            </w:r>
          </w:p>
        </w:tc>
        <w:tc>
          <w:tcPr>
            <w:tcW w:w="1021" w:type="dxa"/>
            <w:tcBorders>
              <w:top w:val="nil"/>
              <w:left w:val="nil"/>
              <w:bottom w:val="nil"/>
              <w:right w:val="nil"/>
            </w:tcBorders>
            <w:vAlign w:val="bottom"/>
          </w:tcPr>
          <w:p w14:paraId="0FE92D28" w14:textId="34F5869F" w:rsidR="00566EA9" w:rsidRPr="001D41EA" w:rsidRDefault="00566EA9" w:rsidP="001D41EA">
            <w:pPr>
              <w:spacing w:before="40" w:after="40"/>
              <w:jc w:val="center"/>
              <w:rPr>
                <w:rFonts w:cs="Arial"/>
                <w:sz w:val="18"/>
                <w:szCs w:val="18"/>
              </w:rPr>
            </w:pPr>
            <w:r w:rsidRPr="001D41EA">
              <w:rPr>
                <w:rFonts w:cs="Arial"/>
                <w:sz w:val="18"/>
                <w:szCs w:val="18"/>
              </w:rPr>
              <w:t>0.810</w:t>
            </w:r>
          </w:p>
        </w:tc>
        <w:tc>
          <w:tcPr>
            <w:tcW w:w="1021" w:type="dxa"/>
            <w:tcBorders>
              <w:top w:val="nil"/>
              <w:left w:val="nil"/>
              <w:bottom w:val="nil"/>
              <w:right w:val="nil"/>
            </w:tcBorders>
            <w:vAlign w:val="bottom"/>
          </w:tcPr>
          <w:p w14:paraId="61E667BC" w14:textId="4A3A5202" w:rsidR="00566EA9" w:rsidRPr="001D41EA" w:rsidRDefault="00566EA9" w:rsidP="001D41EA">
            <w:pPr>
              <w:spacing w:before="40" w:after="40"/>
              <w:jc w:val="center"/>
              <w:rPr>
                <w:rFonts w:cs="Arial"/>
                <w:sz w:val="18"/>
                <w:szCs w:val="18"/>
              </w:rPr>
            </w:pPr>
            <w:r w:rsidRPr="001D41EA">
              <w:rPr>
                <w:rFonts w:cs="Arial"/>
                <w:sz w:val="18"/>
                <w:szCs w:val="18"/>
              </w:rPr>
              <w:t>0.800</w:t>
            </w:r>
          </w:p>
        </w:tc>
        <w:tc>
          <w:tcPr>
            <w:tcW w:w="170" w:type="dxa"/>
            <w:tcBorders>
              <w:top w:val="nil"/>
              <w:left w:val="nil"/>
              <w:bottom w:val="nil"/>
              <w:right w:val="nil"/>
            </w:tcBorders>
            <w:vAlign w:val="bottom"/>
          </w:tcPr>
          <w:p w14:paraId="5F2683B7" w14:textId="3EBC58B5"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6397FD50" w14:textId="69F838C8" w:rsidR="00566EA9" w:rsidRPr="001D41EA" w:rsidRDefault="00566EA9" w:rsidP="001D41EA">
            <w:pPr>
              <w:spacing w:before="40" w:after="40"/>
              <w:jc w:val="center"/>
              <w:rPr>
                <w:rFonts w:cs="Arial"/>
                <w:sz w:val="18"/>
                <w:szCs w:val="18"/>
              </w:rPr>
            </w:pPr>
            <w:r w:rsidRPr="001D41EA">
              <w:rPr>
                <w:rFonts w:cs="Arial"/>
                <w:sz w:val="18"/>
                <w:szCs w:val="18"/>
              </w:rPr>
              <w:t>1.000</w:t>
            </w:r>
          </w:p>
        </w:tc>
      </w:tr>
      <w:tr w:rsidR="00566EA9" w:rsidRPr="001D41EA" w14:paraId="209B28A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0177B92" w14:textId="77777777" w:rsidR="00566EA9" w:rsidRPr="001D41EA" w:rsidRDefault="00566EA9" w:rsidP="001D41EA">
            <w:pPr>
              <w:spacing w:before="40" w:after="40"/>
              <w:rPr>
                <w:rFonts w:cs="Arial"/>
                <w:sz w:val="18"/>
                <w:szCs w:val="18"/>
              </w:rPr>
            </w:pPr>
            <w:r w:rsidRPr="001D41EA">
              <w:rPr>
                <w:rFonts w:cs="Arial"/>
                <w:sz w:val="18"/>
                <w:szCs w:val="18"/>
              </w:rPr>
              <w:t>Greater Shepparton C</w:t>
            </w:r>
          </w:p>
        </w:tc>
        <w:tc>
          <w:tcPr>
            <w:tcW w:w="1021" w:type="dxa"/>
            <w:tcBorders>
              <w:top w:val="nil"/>
              <w:left w:val="single" w:sz="18" w:space="0" w:color="5F497A" w:themeColor="accent4" w:themeShade="BF"/>
              <w:bottom w:val="nil"/>
              <w:right w:val="nil"/>
            </w:tcBorders>
            <w:shd w:val="clear" w:color="auto" w:fill="auto"/>
            <w:vAlign w:val="bottom"/>
          </w:tcPr>
          <w:p w14:paraId="2FEC64C9" w14:textId="72A73BA7" w:rsidR="00566EA9" w:rsidRPr="001D41EA" w:rsidRDefault="00566EA9" w:rsidP="001D41EA">
            <w:pPr>
              <w:spacing w:before="40" w:after="40"/>
              <w:jc w:val="center"/>
              <w:rPr>
                <w:rFonts w:cs="Arial"/>
                <w:sz w:val="18"/>
                <w:szCs w:val="18"/>
              </w:rPr>
            </w:pPr>
            <w:r w:rsidRPr="001D41EA">
              <w:rPr>
                <w:rFonts w:cs="Arial"/>
                <w:sz w:val="18"/>
                <w:szCs w:val="18"/>
              </w:rPr>
              <w:t>1.024</w:t>
            </w:r>
          </w:p>
        </w:tc>
        <w:tc>
          <w:tcPr>
            <w:tcW w:w="170" w:type="dxa"/>
            <w:tcBorders>
              <w:top w:val="nil"/>
              <w:left w:val="nil"/>
              <w:bottom w:val="nil"/>
              <w:right w:val="nil"/>
            </w:tcBorders>
            <w:shd w:val="clear" w:color="auto" w:fill="auto"/>
            <w:vAlign w:val="bottom"/>
          </w:tcPr>
          <w:p w14:paraId="1AE33735" w14:textId="1C7ECD56"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19C9AAF9" w14:textId="14A85E32" w:rsidR="00566EA9" w:rsidRPr="001D41EA" w:rsidRDefault="00566EA9" w:rsidP="001D41EA">
            <w:pPr>
              <w:spacing w:before="40" w:after="40"/>
              <w:jc w:val="center"/>
              <w:rPr>
                <w:rFonts w:cs="Arial"/>
                <w:sz w:val="18"/>
                <w:szCs w:val="18"/>
              </w:rPr>
            </w:pPr>
            <w:r w:rsidRPr="001D41EA">
              <w:rPr>
                <w:rFonts w:cs="Arial"/>
                <w:sz w:val="18"/>
                <w:szCs w:val="18"/>
              </w:rPr>
              <w:t>1.167</w:t>
            </w:r>
          </w:p>
        </w:tc>
        <w:tc>
          <w:tcPr>
            <w:tcW w:w="1021" w:type="dxa"/>
            <w:tcBorders>
              <w:top w:val="nil"/>
              <w:left w:val="nil"/>
              <w:bottom w:val="nil"/>
              <w:right w:val="nil"/>
            </w:tcBorders>
            <w:vAlign w:val="bottom"/>
          </w:tcPr>
          <w:p w14:paraId="68B0C734" w14:textId="1A3266A1" w:rsidR="00566EA9" w:rsidRPr="001D41EA" w:rsidRDefault="00566EA9" w:rsidP="001D41EA">
            <w:pPr>
              <w:spacing w:before="40" w:after="40"/>
              <w:jc w:val="center"/>
              <w:rPr>
                <w:rFonts w:cs="Arial"/>
                <w:sz w:val="18"/>
                <w:szCs w:val="18"/>
              </w:rPr>
            </w:pPr>
            <w:r w:rsidRPr="001D41EA">
              <w:rPr>
                <w:rFonts w:cs="Arial"/>
                <w:sz w:val="18"/>
                <w:szCs w:val="18"/>
              </w:rPr>
              <w:t>1.160</w:t>
            </w:r>
          </w:p>
        </w:tc>
        <w:tc>
          <w:tcPr>
            <w:tcW w:w="1021" w:type="dxa"/>
            <w:tcBorders>
              <w:top w:val="nil"/>
              <w:left w:val="nil"/>
              <w:bottom w:val="nil"/>
              <w:right w:val="nil"/>
            </w:tcBorders>
            <w:shd w:val="clear" w:color="auto" w:fill="auto"/>
            <w:vAlign w:val="bottom"/>
          </w:tcPr>
          <w:p w14:paraId="60D7114C" w14:textId="1A97E663" w:rsidR="00566EA9" w:rsidRPr="001D41EA" w:rsidRDefault="00566EA9" w:rsidP="001D41EA">
            <w:pPr>
              <w:spacing w:before="40" w:after="40"/>
              <w:jc w:val="center"/>
              <w:rPr>
                <w:rFonts w:cs="Arial"/>
                <w:sz w:val="18"/>
                <w:szCs w:val="18"/>
              </w:rPr>
            </w:pPr>
            <w:r w:rsidRPr="001D41EA">
              <w:rPr>
                <w:rFonts w:cs="Arial"/>
                <w:sz w:val="18"/>
                <w:szCs w:val="18"/>
              </w:rPr>
              <w:t>1.156</w:t>
            </w:r>
          </w:p>
        </w:tc>
        <w:tc>
          <w:tcPr>
            <w:tcW w:w="1021" w:type="dxa"/>
            <w:tcBorders>
              <w:top w:val="nil"/>
              <w:left w:val="nil"/>
              <w:bottom w:val="nil"/>
              <w:right w:val="nil"/>
            </w:tcBorders>
            <w:vAlign w:val="bottom"/>
          </w:tcPr>
          <w:p w14:paraId="6F23B6CD" w14:textId="506E2AC5" w:rsidR="00566EA9" w:rsidRPr="001D41EA" w:rsidRDefault="00566EA9" w:rsidP="001D41EA">
            <w:pPr>
              <w:spacing w:before="40" w:after="40"/>
              <w:jc w:val="center"/>
              <w:rPr>
                <w:rFonts w:cs="Arial"/>
                <w:sz w:val="18"/>
                <w:szCs w:val="18"/>
              </w:rPr>
            </w:pPr>
            <w:r w:rsidRPr="001D41EA">
              <w:rPr>
                <w:rFonts w:cs="Arial"/>
                <w:sz w:val="18"/>
                <w:szCs w:val="18"/>
              </w:rPr>
              <w:t>1.165</w:t>
            </w:r>
          </w:p>
        </w:tc>
        <w:tc>
          <w:tcPr>
            <w:tcW w:w="1021" w:type="dxa"/>
            <w:tcBorders>
              <w:top w:val="nil"/>
              <w:left w:val="nil"/>
              <w:bottom w:val="nil"/>
              <w:right w:val="nil"/>
            </w:tcBorders>
            <w:vAlign w:val="bottom"/>
          </w:tcPr>
          <w:p w14:paraId="35BF70AB" w14:textId="2D6BBA5C" w:rsidR="00566EA9" w:rsidRPr="001D41EA" w:rsidRDefault="00566EA9" w:rsidP="001D41EA">
            <w:pPr>
              <w:spacing w:before="40" w:after="40"/>
              <w:jc w:val="center"/>
              <w:rPr>
                <w:rFonts w:cs="Arial"/>
                <w:sz w:val="18"/>
                <w:szCs w:val="18"/>
              </w:rPr>
            </w:pPr>
            <w:r w:rsidRPr="001D41EA">
              <w:rPr>
                <w:rFonts w:cs="Arial"/>
                <w:sz w:val="18"/>
                <w:szCs w:val="18"/>
              </w:rPr>
              <w:t>1.150</w:t>
            </w:r>
          </w:p>
        </w:tc>
        <w:tc>
          <w:tcPr>
            <w:tcW w:w="170" w:type="dxa"/>
            <w:tcBorders>
              <w:top w:val="nil"/>
              <w:left w:val="nil"/>
              <w:bottom w:val="nil"/>
              <w:right w:val="nil"/>
            </w:tcBorders>
            <w:vAlign w:val="bottom"/>
          </w:tcPr>
          <w:p w14:paraId="0C5224B8" w14:textId="5AA3DD5C"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46575D17" w14:textId="5BAFCD1F" w:rsidR="00566EA9" w:rsidRPr="001D41EA" w:rsidRDefault="00566EA9" w:rsidP="001D41EA">
            <w:pPr>
              <w:spacing w:before="40" w:after="40"/>
              <w:jc w:val="center"/>
              <w:rPr>
                <w:rFonts w:cs="Arial"/>
                <w:sz w:val="18"/>
                <w:szCs w:val="18"/>
              </w:rPr>
            </w:pPr>
            <w:r w:rsidRPr="001D41EA">
              <w:rPr>
                <w:rFonts w:cs="Arial"/>
                <w:sz w:val="18"/>
                <w:szCs w:val="18"/>
              </w:rPr>
              <w:t>1.465</w:t>
            </w:r>
          </w:p>
        </w:tc>
      </w:tr>
      <w:tr w:rsidR="00566EA9" w:rsidRPr="001D41EA" w14:paraId="4858CE2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B744F35" w14:textId="77777777" w:rsidR="00566EA9" w:rsidRPr="001D41EA" w:rsidRDefault="00566EA9" w:rsidP="001D41EA">
            <w:pPr>
              <w:spacing w:before="40" w:after="40"/>
              <w:rPr>
                <w:rFonts w:cs="Arial"/>
                <w:sz w:val="18"/>
                <w:szCs w:val="18"/>
              </w:rPr>
            </w:pPr>
            <w:r w:rsidRPr="001D41EA">
              <w:rPr>
                <w:rFonts w:cs="Arial"/>
                <w:sz w:val="18"/>
                <w:szCs w:val="18"/>
              </w:rPr>
              <w:t>Hepburn S</w:t>
            </w:r>
          </w:p>
        </w:tc>
        <w:tc>
          <w:tcPr>
            <w:tcW w:w="1021" w:type="dxa"/>
            <w:tcBorders>
              <w:top w:val="nil"/>
              <w:left w:val="single" w:sz="18" w:space="0" w:color="5F497A" w:themeColor="accent4" w:themeShade="BF"/>
              <w:bottom w:val="nil"/>
              <w:right w:val="nil"/>
            </w:tcBorders>
            <w:shd w:val="clear" w:color="auto" w:fill="auto"/>
            <w:vAlign w:val="bottom"/>
          </w:tcPr>
          <w:p w14:paraId="380FA6B4" w14:textId="025CF628" w:rsidR="00566EA9" w:rsidRPr="001D41EA" w:rsidRDefault="00566EA9" w:rsidP="001D41EA">
            <w:pPr>
              <w:spacing w:before="40" w:after="40"/>
              <w:jc w:val="center"/>
              <w:rPr>
                <w:rFonts w:cs="Arial"/>
                <w:sz w:val="18"/>
                <w:szCs w:val="18"/>
              </w:rPr>
            </w:pPr>
            <w:r w:rsidRPr="001D41EA">
              <w:rPr>
                <w:rFonts w:cs="Arial"/>
                <w:sz w:val="18"/>
                <w:szCs w:val="18"/>
              </w:rPr>
              <w:t>1.070</w:t>
            </w:r>
          </w:p>
        </w:tc>
        <w:tc>
          <w:tcPr>
            <w:tcW w:w="170" w:type="dxa"/>
            <w:tcBorders>
              <w:top w:val="nil"/>
              <w:left w:val="nil"/>
              <w:bottom w:val="nil"/>
              <w:right w:val="nil"/>
            </w:tcBorders>
            <w:shd w:val="clear" w:color="auto" w:fill="auto"/>
            <w:vAlign w:val="bottom"/>
          </w:tcPr>
          <w:p w14:paraId="4B7B2A5F" w14:textId="306BEE56"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4F155654" w14:textId="435C127B" w:rsidR="00566EA9" w:rsidRPr="001D41EA" w:rsidRDefault="00566EA9" w:rsidP="001D41EA">
            <w:pPr>
              <w:spacing w:before="40" w:after="40"/>
              <w:jc w:val="center"/>
              <w:rPr>
                <w:rFonts w:cs="Arial"/>
                <w:sz w:val="18"/>
                <w:szCs w:val="18"/>
              </w:rPr>
            </w:pPr>
            <w:r w:rsidRPr="001D41EA">
              <w:rPr>
                <w:rFonts w:cs="Arial"/>
                <w:sz w:val="18"/>
                <w:szCs w:val="18"/>
              </w:rPr>
              <w:t>1.262</w:t>
            </w:r>
          </w:p>
        </w:tc>
        <w:tc>
          <w:tcPr>
            <w:tcW w:w="1021" w:type="dxa"/>
            <w:tcBorders>
              <w:top w:val="nil"/>
              <w:left w:val="nil"/>
              <w:bottom w:val="nil"/>
              <w:right w:val="nil"/>
            </w:tcBorders>
            <w:vAlign w:val="bottom"/>
          </w:tcPr>
          <w:p w14:paraId="009DA9DD" w14:textId="3E3DCA22" w:rsidR="00566EA9" w:rsidRPr="001D41EA" w:rsidRDefault="00566EA9" w:rsidP="001D41EA">
            <w:pPr>
              <w:spacing w:before="40" w:after="40"/>
              <w:jc w:val="center"/>
              <w:rPr>
                <w:rFonts w:cs="Arial"/>
                <w:sz w:val="18"/>
                <w:szCs w:val="18"/>
              </w:rPr>
            </w:pPr>
            <w:r w:rsidRPr="001D41EA">
              <w:rPr>
                <w:rFonts w:cs="Arial"/>
                <w:sz w:val="18"/>
                <w:szCs w:val="18"/>
              </w:rPr>
              <w:t>1.256</w:t>
            </w:r>
          </w:p>
        </w:tc>
        <w:tc>
          <w:tcPr>
            <w:tcW w:w="1021" w:type="dxa"/>
            <w:tcBorders>
              <w:top w:val="nil"/>
              <w:left w:val="nil"/>
              <w:bottom w:val="nil"/>
              <w:right w:val="nil"/>
            </w:tcBorders>
            <w:shd w:val="clear" w:color="auto" w:fill="auto"/>
            <w:vAlign w:val="bottom"/>
          </w:tcPr>
          <w:p w14:paraId="3B8A327E" w14:textId="638055D6" w:rsidR="00566EA9" w:rsidRPr="001D41EA" w:rsidRDefault="00566EA9" w:rsidP="001D41EA">
            <w:pPr>
              <w:spacing w:before="40" w:after="40"/>
              <w:jc w:val="center"/>
              <w:rPr>
                <w:rFonts w:cs="Arial"/>
                <w:sz w:val="18"/>
                <w:szCs w:val="18"/>
              </w:rPr>
            </w:pPr>
            <w:r w:rsidRPr="001D41EA">
              <w:rPr>
                <w:rFonts w:cs="Arial"/>
                <w:sz w:val="18"/>
                <w:szCs w:val="18"/>
              </w:rPr>
              <w:t>1.251</w:t>
            </w:r>
          </w:p>
        </w:tc>
        <w:tc>
          <w:tcPr>
            <w:tcW w:w="1021" w:type="dxa"/>
            <w:tcBorders>
              <w:top w:val="nil"/>
              <w:left w:val="nil"/>
              <w:bottom w:val="nil"/>
              <w:right w:val="nil"/>
            </w:tcBorders>
            <w:vAlign w:val="bottom"/>
          </w:tcPr>
          <w:p w14:paraId="5EF1DCED" w14:textId="4D69EAA1" w:rsidR="00566EA9" w:rsidRPr="001D41EA" w:rsidRDefault="00566EA9" w:rsidP="001D41EA">
            <w:pPr>
              <w:spacing w:before="40" w:after="40"/>
              <w:jc w:val="center"/>
              <w:rPr>
                <w:rFonts w:cs="Arial"/>
                <w:sz w:val="18"/>
                <w:szCs w:val="18"/>
              </w:rPr>
            </w:pPr>
            <w:r w:rsidRPr="001D41EA">
              <w:rPr>
                <w:rFonts w:cs="Arial"/>
                <w:sz w:val="18"/>
                <w:szCs w:val="18"/>
              </w:rPr>
              <w:t>1.260</w:t>
            </w:r>
          </w:p>
        </w:tc>
        <w:tc>
          <w:tcPr>
            <w:tcW w:w="1021" w:type="dxa"/>
            <w:tcBorders>
              <w:top w:val="nil"/>
              <w:left w:val="nil"/>
              <w:bottom w:val="nil"/>
              <w:right w:val="nil"/>
            </w:tcBorders>
            <w:vAlign w:val="bottom"/>
          </w:tcPr>
          <w:p w14:paraId="3FBFCFE3" w14:textId="735AEDF0" w:rsidR="00566EA9" w:rsidRPr="001D41EA" w:rsidRDefault="00566EA9" w:rsidP="001D41EA">
            <w:pPr>
              <w:spacing w:before="40" w:after="40"/>
              <w:jc w:val="center"/>
              <w:rPr>
                <w:rFonts w:cs="Arial"/>
                <w:sz w:val="18"/>
                <w:szCs w:val="18"/>
              </w:rPr>
            </w:pPr>
            <w:r w:rsidRPr="001D41EA">
              <w:rPr>
                <w:rFonts w:cs="Arial"/>
                <w:sz w:val="18"/>
                <w:szCs w:val="18"/>
              </w:rPr>
              <w:t>1.244</w:t>
            </w:r>
          </w:p>
        </w:tc>
        <w:tc>
          <w:tcPr>
            <w:tcW w:w="170" w:type="dxa"/>
            <w:tcBorders>
              <w:top w:val="nil"/>
              <w:left w:val="nil"/>
              <w:bottom w:val="nil"/>
              <w:right w:val="nil"/>
            </w:tcBorders>
            <w:vAlign w:val="bottom"/>
          </w:tcPr>
          <w:p w14:paraId="3C96FAAD" w14:textId="5B7008CF"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071B9611" w14:textId="466B43F8" w:rsidR="00566EA9" w:rsidRPr="001D41EA" w:rsidRDefault="00566EA9" w:rsidP="001D41EA">
            <w:pPr>
              <w:spacing w:before="40" w:after="40"/>
              <w:jc w:val="center"/>
              <w:rPr>
                <w:rFonts w:cs="Arial"/>
                <w:sz w:val="18"/>
                <w:szCs w:val="18"/>
              </w:rPr>
            </w:pPr>
            <w:r w:rsidRPr="001D41EA">
              <w:rPr>
                <w:rFonts w:cs="Arial"/>
                <w:sz w:val="18"/>
                <w:szCs w:val="18"/>
              </w:rPr>
              <w:t>1.447</w:t>
            </w:r>
          </w:p>
        </w:tc>
      </w:tr>
      <w:tr w:rsidR="00566EA9" w:rsidRPr="001D41EA" w14:paraId="715716A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1E8E4E4" w14:textId="77777777" w:rsidR="00566EA9" w:rsidRPr="001D41EA" w:rsidRDefault="00566EA9" w:rsidP="001D41EA">
            <w:pPr>
              <w:spacing w:before="40" w:after="40"/>
              <w:rPr>
                <w:rFonts w:cs="Arial"/>
                <w:sz w:val="18"/>
                <w:szCs w:val="18"/>
              </w:rPr>
            </w:pPr>
            <w:r w:rsidRPr="001D41EA">
              <w:rPr>
                <w:rFonts w:cs="Arial"/>
                <w:sz w:val="18"/>
                <w:szCs w:val="18"/>
              </w:rPr>
              <w:t>Hindmarsh S</w:t>
            </w:r>
          </w:p>
        </w:tc>
        <w:tc>
          <w:tcPr>
            <w:tcW w:w="1021" w:type="dxa"/>
            <w:tcBorders>
              <w:top w:val="nil"/>
              <w:left w:val="single" w:sz="18" w:space="0" w:color="5F497A" w:themeColor="accent4" w:themeShade="BF"/>
              <w:bottom w:val="nil"/>
              <w:right w:val="nil"/>
            </w:tcBorders>
            <w:shd w:val="clear" w:color="auto" w:fill="auto"/>
            <w:vAlign w:val="bottom"/>
          </w:tcPr>
          <w:p w14:paraId="2EA1BFF1" w14:textId="1C1B620E" w:rsidR="00566EA9" w:rsidRPr="001D41EA" w:rsidRDefault="00566EA9" w:rsidP="001D41EA">
            <w:pPr>
              <w:spacing w:before="40" w:after="40"/>
              <w:jc w:val="center"/>
              <w:rPr>
                <w:rFonts w:cs="Arial"/>
                <w:sz w:val="18"/>
                <w:szCs w:val="18"/>
              </w:rPr>
            </w:pPr>
            <w:r w:rsidRPr="001D41EA">
              <w:rPr>
                <w:rFonts w:cs="Arial"/>
                <w:sz w:val="18"/>
                <w:szCs w:val="18"/>
              </w:rPr>
              <w:t>1.079</w:t>
            </w:r>
          </w:p>
        </w:tc>
        <w:tc>
          <w:tcPr>
            <w:tcW w:w="170" w:type="dxa"/>
            <w:tcBorders>
              <w:top w:val="nil"/>
              <w:left w:val="nil"/>
              <w:bottom w:val="nil"/>
              <w:right w:val="nil"/>
            </w:tcBorders>
            <w:shd w:val="clear" w:color="auto" w:fill="auto"/>
            <w:vAlign w:val="bottom"/>
          </w:tcPr>
          <w:p w14:paraId="0E4D5479" w14:textId="073F8898"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47AE6A37" w14:textId="618D7F36" w:rsidR="00566EA9" w:rsidRPr="001D41EA" w:rsidRDefault="00566EA9" w:rsidP="001D41EA">
            <w:pPr>
              <w:spacing w:before="40" w:after="40"/>
              <w:jc w:val="center"/>
              <w:rPr>
                <w:rFonts w:cs="Arial"/>
                <w:sz w:val="18"/>
                <w:szCs w:val="18"/>
              </w:rPr>
            </w:pPr>
            <w:r w:rsidRPr="001D41EA">
              <w:rPr>
                <w:rFonts w:cs="Arial"/>
                <w:sz w:val="18"/>
                <w:szCs w:val="18"/>
              </w:rPr>
              <w:t>1.282</w:t>
            </w:r>
          </w:p>
        </w:tc>
        <w:tc>
          <w:tcPr>
            <w:tcW w:w="1021" w:type="dxa"/>
            <w:tcBorders>
              <w:top w:val="nil"/>
              <w:left w:val="nil"/>
              <w:bottom w:val="nil"/>
              <w:right w:val="nil"/>
            </w:tcBorders>
            <w:vAlign w:val="bottom"/>
          </w:tcPr>
          <w:p w14:paraId="092DAC08" w14:textId="0C562971" w:rsidR="00566EA9" w:rsidRPr="001D41EA" w:rsidRDefault="00566EA9" w:rsidP="001D41EA">
            <w:pPr>
              <w:spacing w:before="40" w:after="40"/>
              <w:jc w:val="center"/>
              <w:rPr>
                <w:rFonts w:cs="Arial"/>
                <w:sz w:val="18"/>
                <w:szCs w:val="18"/>
              </w:rPr>
            </w:pPr>
            <w:r w:rsidRPr="001D41EA">
              <w:rPr>
                <w:rFonts w:cs="Arial"/>
                <w:sz w:val="18"/>
                <w:szCs w:val="18"/>
              </w:rPr>
              <w:t>1.275</w:t>
            </w:r>
          </w:p>
        </w:tc>
        <w:tc>
          <w:tcPr>
            <w:tcW w:w="1021" w:type="dxa"/>
            <w:tcBorders>
              <w:top w:val="nil"/>
              <w:left w:val="nil"/>
              <w:bottom w:val="nil"/>
              <w:right w:val="nil"/>
            </w:tcBorders>
            <w:shd w:val="clear" w:color="auto" w:fill="auto"/>
            <w:vAlign w:val="bottom"/>
          </w:tcPr>
          <w:p w14:paraId="382D5F89" w14:textId="608079F6" w:rsidR="00566EA9" w:rsidRPr="001D41EA" w:rsidRDefault="00566EA9" w:rsidP="001D41EA">
            <w:pPr>
              <w:spacing w:before="40" w:after="40"/>
              <w:jc w:val="center"/>
              <w:rPr>
                <w:rFonts w:cs="Arial"/>
                <w:sz w:val="18"/>
                <w:szCs w:val="18"/>
              </w:rPr>
            </w:pPr>
            <w:r w:rsidRPr="001D41EA">
              <w:rPr>
                <w:rFonts w:cs="Arial"/>
                <w:sz w:val="18"/>
                <w:szCs w:val="18"/>
              </w:rPr>
              <w:t>1.270</w:t>
            </w:r>
          </w:p>
        </w:tc>
        <w:tc>
          <w:tcPr>
            <w:tcW w:w="1021" w:type="dxa"/>
            <w:tcBorders>
              <w:top w:val="nil"/>
              <w:left w:val="nil"/>
              <w:bottom w:val="nil"/>
              <w:right w:val="nil"/>
            </w:tcBorders>
            <w:vAlign w:val="bottom"/>
          </w:tcPr>
          <w:p w14:paraId="6907AC2D" w14:textId="3BD3CF20" w:rsidR="00566EA9" w:rsidRPr="001D41EA" w:rsidRDefault="00566EA9" w:rsidP="001D41EA">
            <w:pPr>
              <w:spacing w:before="40" w:after="40"/>
              <w:jc w:val="center"/>
              <w:rPr>
                <w:rFonts w:cs="Arial"/>
                <w:sz w:val="18"/>
                <w:szCs w:val="18"/>
              </w:rPr>
            </w:pPr>
            <w:r w:rsidRPr="001D41EA">
              <w:rPr>
                <w:rFonts w:cs="Arial"/>
                <w:sz w:val="18"/>
                <w:szCs w:val="18"/>
              </w:rPr>
              <w:t>1.280</w:t>
            </w:r>
          </w:p>
        </w:tc>
        <w:tc>
          <w:tcPr>
            <w:tcW w:w="1021" w:type="dxa"/>
            <w:tcBorders>
              <w:top w:val="nil"/>
              <w:left w:val="nil"/>
              <w:bottom w:val="nil"/>
              <w:right w:val="nil"/>
            </w:tcBorders>
            <w:vAlign w:val="bottom"/>
          </w:tcPr>
          <w:p w14:paraId="3FB6E030" w14:textId="47BDC2A9" w:rsidR="00566EA9" w:rsidRPr="001D41EA" w:rsidRDefault="00566EA9" w:rsidP="001D41EA">
            <w:pPr>
              <w:spacing w:before="40" w:after="40"/>
              <w:jc w:val="center"/>
              <w:rPr>
                <w:rFonts w:cs="Arial"/>
                <w:sz w:val="18"/>
                <w:szCs w:val="18"/>
              </w:rPr>
            </w:pPr>
            <w:r w:rsidRPr="001D41EA">
              <w:rPr>
                <w:rFonts w:cs="Arial"/>
                <w:sz w:val="18"/>
                <w:szCs w:val="18"/>
              </w:rPr>
              <w:t>1.263</w:t>
            </w:r>
          </w:p>
        </w:tc>
        <w:tc>
          <w:tcPr>
            <w:tcW w:w="170" w:type="dxa"/>
            <w:tcBorders>
              <w:top w:val="nil"/>
              <w:left w:val="nil"/>
              <w:bottom w:val="nil"/>
              <w:right w:val="nil"/>
            </w:tcBorders>
            <w:vAlign w:val="bottom"/>
          </w:tcPr>
          <w:p w14:paraId="65C36DF9" w14:textId="740EC6BC"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155ECFD0" w14:textId="4C71FF20" w:rsidR="00566EA9" w:rsidRPr="001D41EA" w:rsidRDefault="00566EA9" w:rsidP="001D41EA">
            <w:pPr>
              <w:spacing w:before="40" w:after="40"/>
              <w:jc w:val="center"/>
              <w:rPr>
                <w:rFonts w:cs="Arial"/>
                <w:sz w:val="18"/>
                <w:szCs w:val="18"/>
              </w:rPr>
            </w:pPr>
            <w:r w:rsidRPr="001D41EA">
              <w:rPr>
                <w:rFonts w:cs="Arial"/>
                <w:sz w:val="18"/>
                <w:szCs w:val="18"/>
              </w:rPr>
              <w:t>1.042</w:t>
            </w:r>
          </w:p>
        </w:tc>
      </w:tr>
      <w:tr w:rsidR="00566EA9" w:rsidRPr="001D41EA" w14:paraId="32CCD5C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50E134A" w14:textId="77777777" w:rsidR="00566EA9" w:rsidRPr="001D41EA" w:rsidRDefault="00566EA9" w:rsidP="001D41EA">
            <w:pPr>
              <w:spacing w:before="40" w:after="40"/>
              <w:rPr>
                <w:rFonts w:cs="Arial"/>
                <w:sz w:val="18"/>
                <w:szCs w:val="18"/>
              </w:rPr>
            </w:pPr>
            <w:r w:rsidRPr="001D41EA">
              <w:rPr>
                <w:rFonts w:cs="Arial"/>
                <w:sz w:val="18"/>
                <w:szCs w:val="18"/>
              </w:rPr>
              <w:t>Hobsons Bay C</w:t>
            </w:r>
          </w:p>
        </w:tc>
        <w:tc>
          <w:tcPr>
            <w:tcW w:w="1021" w:type="dxa"/>
            <w:tcBorders>
              <w:top w:val="nil"/>
              <w:left w:val="single" w:sz="18" w:space="0" w:color="5F497A" w:themeColor="accent4" w:themeShade="BF"/>
              <w:bottom w:val="nil"/>
              <w:right w:val="nil"/>
            </w:tcBorders>
            <w:shd w:val="clear" w:color="auto" w:fill="auto"/>
            <w:vAlign w:val="bottom"/>
          </w:tcPr>
          <w:p w14:paraId="7806BDF2" w14:textId="4C5542EB" w:rsidR="00566EA9" w:rsidRPr="001D41EA" w:rsidRDefault="00566EA9" w:rsidP="001D41EA">
            <w:pPr>
              <w:spacing w:before="40" w:after="40"/>
              <w:jc w:val="center"/>
              <w:rPr>
                <w:rFonts w:cs="Arial"/>
                <w:sz w:val="18"/>
                <w:szCs w:val="18"/>
              </w:rPr>
            </w:pPr>
            <w:r w:rsidRPr="001D41EA">
              <w:rPr>
                <w:rFonts w:cs="Arial"/>
                <w:sz w:val="18"/>
                <w:szCs w:val="18"/>
              </w:rPr>
              <w:t>1.034</w:t>
            </w:r>
          </w:p>
        </w:tc>
        <w:tc>
          <w:tcPr>
            <w:tcW w:w="170" w:type="dxa"/>
            <w:tcBorders>
              <w:top w:val="nil"/>
              <w:left w:val="nil"/>
              <w:bottom w:val="nil"/>
              <w:right w:val="nil"/>
            </w:tcBorders>
            <w:shd w:val="clear" w:color="auto" w:fill="auto"/>
            <w:vAlign w:val="bottom"/>
          </w:tcPr>
          <w:p w14:paraId="35B1D25E" w14:textId="4C1A30B5"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01E037E5" w14:textId="7DF51878" w:rsidR="00566EA9" w:rsidRPr="001D41EA" w:rsidRDefault="00566EA9" w:rsidP="001D41EA">
            <w:pPr>
              <w:spacing w:before="40" w:after="40"/>
              <w:jc w:val="center"/>
              <w:rPr>
                <w:rFonts w:cs="Arial"/>
                <w:sz w:val="18"/>
                <w:szCs w:val="18"/>
              </w:rPr>
            </w:pPr>
            <w:r w:rsidRPr="001D41EA">
              <w:rPr>
                <w:rFonts w:cs="Arial"/>
                <w:sz w:val="18"/>
                <w:szCs w:val="18"/>
              </w:rPr>
              <w:t>1.109</w:t>
            </w:r>
          </w:p>
        </w:tc>
        <w:tc>
          <w:tcPr>
            <w:tcW w:w="1021" w:type="dxa"/>
            <w:tcBorders>
              <w:top w:val="nil"/>
              <w:left w:val="nil"/>
              <w:bottom w:val="nil"/>
              <w:right w:val="nil"/>
            </w:tcBorders>
            <w:vAlign w:val="bottom"/>
          </w:tcPr>
          <w:p w14:paraId="11CCF435" w14:textId="3EB8B166" w:rsidR="00566EA9" w:rsidRPr="001D41EA" w:rsidRDefault="00566EA9" w:rsidP="001D41EA">
            <w:pPr>
              <w:spacing w:before="40" w:after="40"/>
              <w:jc w:val="center"/>
              <w:rPr>
                <w:rFonts w:cs="Arial"/>
                <w:sz w:val="18"/>
                <w:szCs w:val="18"/>
              </w:rPr>
            </w:pPr>
            <w:r w:rsidRPr="001D41EA">
              <w:rPr>
                <w:rFonts w:cs="Arial"/>
                <w:sz w:val="18"/>
                <w:szCs w:val="18"/>
              </w:rPr>
              <w:t>1.103</w:t>
            </w:r>
          </w:p>
        </w:tc>
        <w:tc>
          <w:tcPr>
            <w:tcW w:w="1021" w:type="dxa"/>
            <w:tcBorders>
              <w:top w:val="nil"/>
              <w:left w:val="nil"/>
              <w:bottom w:val="nil"/>
              <w:right w:val="nil"/>
            </w:tcBorders>
            <w:shd w:val="clear" w:color="auto" w:fill="auto"/>
            <w:vAlign w:val="bottom"/>
          </w:tcPr>
          <w:p w14:paraId="7EC14894" w14:textId="4E7A6EFE" w:rsidR="00566EA9" w:rsidRPr="001D41EA" w:rsidRDefault="00566EA9" w:rsidP="001D41EA">
            <w:pPr>
              <w:spacing w:before="40" w:after="40"/>
              <w:jc w:val="center"/>
              <w:rPr>
                <w:rFonts w:cs="Arial"/>
                <w:sz w:val="18"/>
                <w:szCs w:val="18"/>
              </w:rPr>
            </w:pPr>
            <w:r w:rsidRPr="001D41EA">
              <w:rPr>
                <w:rFonts w:cs="Arial"/>
                <w:sz w:val="18"/>
                <w:szCs w:val="18"/>
              </w:rPr>
              <w:t>1.098</w:t>
            </w:r>
          </w:p>
        </w:tc>
        <w:tc>
          <w:tcPr>
            <w:tcW w:w="1021" w:type="dxa"/>
            <w:tcBorders>
              <w:top w:val="nil"/>
              <w:left w:val="nil"/>
              <w:bottom w:val="nil"/>
              <w:right w:val="nil"/>
            </w:tcBorders>
            <w:vAlign w:val="bottom"/>
          </w:tcPr>
          <w:p w14:paraId="522E1FCB" w14:textId="4A00F76A" w:rsidR="00566EA9" w:rsidRPr="001D41EA" w:rsidRDefault="00566EA9" w:rsidP="001D41EA">
            <w:pPr>
              <w:spacing w:before="40" w:after="40"/>
              <w:jc w:val="center"/>
              <w:rPr>
                <w:rFonts w:cs="Arial"/>
                <w:sz w:val="18"/>
                <w:szCs w:val="18"/>
              </w:rPr>
            </w:pPr>
            <w:r w:rsidRPr="001D41EA">
              <w:rPr>
                <w:rFonts w:cs="Arial"/>
                <w:sz w:val="18"/>
                <w:szCs w:val="18"/>
              </w:rPr>
              <w:t>1.107</w:t>
            </w:r>
          </w:p>
        </w:tc>
        <w:tc>
          <w:tcPr>
            <w:tcW w:w="1021" w:type="dxa"/>
            <w:tcBorders>
              <w:top w:val="nil"/>
              <w:left w:val="nil"/>
              <w:bottom w:val="nil"/>
              <w:right w:val="nil"/>
            </w:tcBorders>
            <w:vAlign w:val="bottom"/>
          </w:tcPr>
          <w:p w14:paraId="580A56DE" w14:textId="222081FD" w:rsidR="00566EA9" w:rsidRPr="001D41EA" w:rsidRDefault="00566EA9" w:rsidP="001D41EA">
            <w:pPr>
              <w:spacing w:before="40" w:after="40"/>
              <w:jc w:val="center"/>
              <w:rPr>
                <w:rFonts w:cs="Arial"/>
                <w:sz w:val="18"/>
                <w:szCs w:val="18"/>
              </w:rPr>
            </w:pPr>
            <w:r w:rsidRPr="001D41EA">
              <w:rPr>
                <w:rFonts w:cs="Arial"/>
                <w:sz w:val="18"/>
                <w:szCs w:val="18"/>
              </w:rPr>
              <w:t>1.092</w:t>
            </w:r>
          </w:p>
        </w:tc>
        <w:tc>
          <w:tcPr>
            <w:tcW w:w="170" w:type="dxa"/>
            <w:tcBorders>
              <w:top w:val="nil"/>
              <w:left w:val="nil"/>
              <w:bottom w:val="nil"/>
              <w:right w:val="nil"/>
            </w:tcBorders>
            <w:vAlign w:val="bottom"/>
          </w:tcPr>
          <w:p w14:paraId="1FB35B4A" w14:textId="75EB1CD2"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3EC1FB27" w14:textId="0CE4B33B" w:rsidR="00566EA9" w:rsidRPr="001D41EA" w:rsidRDefault="00566EA9" w:rsidP="001D41EA">
            <w:pPr>
              <w:spacing w:before="40" w:after="40"/>
              <w:jc w:val="center"/>
              <w:rPr>
                <w:rFonts w:cs="Arial"/>
                <w:sz w:val="18"/>
                <w:szCs w:val="18"/>
              </w:rPr>
            </w:pPr>
            <w:r w:rsidRPr="001D41EA">
              <w:rPr>
                <w:rFonts w:cs="Arial"/>
                <w:sz w:val="18"/>
                <w:szCs w:val="18"/>
              </w:rPr>
              <w:t>0.875</w:t>
            </w:r>
          </w:p>
        </w:tc>
      </w:tr>
      <w:tr w:rsidR="00566EA9" w:rsidRPr="001D41EA" w14:paraId="55D91AD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731AECB" w14:textId="77777777" w:rsidR="00566EA9" w:rsidRPr="001D41EA" w:rsidRDefault="00566EA9" w:rsidP="001D41EA">
            <w:pPr>
              <w:spacing w:before="40" w:after="40"/>
              <w:rPr>
                <w:rFonts w:cs="Arial"/>
                <w:sz w:val="18"/>
                <w:szCs w:val="18"/>
              </w:rPr>
            </w:pPr>
            <w:r w:rsidRPr="001D41EA">
              <w:rPr>
                <w:rFonts w:cs="Arial"/>
                <w:sz w:val="18"/>
                <w:szCs w:val="18"/>
              </w:rPr>
              <w:t>Horsham RC</w:t>
            </w:r>
          </w:p>
        </w:tc>
        <w:tc>
          <w:tcPr>
            <w:tcW w:w="1021" w:type="dxa"/>
            <w:tcBorders>
              <w:top w:val="nil"/>
              <w:left w:val="single" w:sz="18" w:space="0" w:color="5F497A" w:themeColor="accent4" w:themeShade="BF"/>
              <w:bottom w:val="nil"/>
              <w:right w:val="nil"/>
            </w:tcBorders>
            <w:shd w:val="clear" w:color="auto" w:fill="auto"/>
            <w:vAlign w:val="bottom"/>
          </w:tcPr>
          <w:p w14:paraId="480BA5D8" w14:textId="3CBC9522" w:rsidR="00566EA9" w:rsidRPr="001D41EA" w:rsidRDefault="00566EA9" w:rsidP="001D41EA">
            <w:pPr>
              <w:spacing w:before="40" w:after="40"/>
              <w:jc w:val="center"/>
              <w:rPr>
                <w:rFonts w:cs="Arial"/>
                <w:sz w:val="18"/>
                <w:szCs w:val="18"/>
              </w:rPr>
            </w:pPr>
            <w:r w:rsidRPr="001D41EA">
              <w:rPr>
                <w:rFonts w:cs="Arial"/>
                <w:sz w:val="18"/>
                <w:szCs w:val="18"/>
              </w:rPr>
              <w:t>1.079</w:t>
            </w:r>
          </w:p>
        </w:tc>
        <w:tc>
          <w:tcPr>
            <w:tcW w:w="170" w:type="dxa"/>
            <w:tcBorders>
              <w:top w:val="nil"/>
              <w:left w:val="nil"/>
              <w:bottom w:val="nil"/>
              <w:right w:val="nil"/>
            </w:tcBorders>
            <w:shd w:val="clear" w:color="auto" w:fill="auto"/>
            <w:vAlign w:val="bottom"/>
          </w:tcPr>
          <w:p w14:paraId="01E6324E" w14:textId="4B9C350A"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77247DD9" w14:textId="29B203C2" w:rsidR="00566EA9" w:rsidRPr="001D41EA" w:rsidRDefault="00566EA9" w:rsidP="001D41EA">
            <w:pPr>
              <w:spacing w:before="40" w:after="40"/>
              <w:jc w:val="center"/>
              <w:rPr>
                <w:rFonts w:cs="Arial"/>
                <w:sz w:val="18"/>
                <w:szCs w:val="18"/>
              </w:rPr>
            </w:pPr>
            <w:r w:rsidRPr="001D41EA">
              <w:rPr>
                <w:rFonts w:cs="Arial"/>
                <w:sz w:val="18"/>
                <w:szCs w:val="18"/>
              </w:rPr>
              <w:t>1.255</w:t>
            </w:r>
          </w:p>
        </w:tc>
        <w:tc>
          <w:tcPr>
            <w:tcW w:w="1021" w:type="dxa"/>
            <w:tcBorders>
              <w:top w:val="nil"/>
              <w:left w:val="nil"/>
              <w:bottom w:val="nil"/>
              <w:right w:val="nil"/>
            </w:tcBorders>
            <w:vAlign w:val="bottom"/>
          </w:tcPr>
          <w:p w14:paraId="4DFCF1C8" w14:textId="2D46EB1D" w:rsidR="00566EA9" w:rsidRPr="001D41EA" w:rsidRDefault="00566EA9" w:rsidP="001D41EA">
            <w:pPr>
              <w:spacing w:before="40" w:after="40"/>
              <w:jc w:val="center"/>
              <w:rPr>
                <w:rFonts w:cs="Arial"/>
                <w:sz w:val="18"/>
                <w:szCs w:val="18"/>
              </w:rPr>
            </w:pPr>
            <w:r w:rsidRPr="001D41EA">
              <w:rPr>
                <w:rFonts w:cs="Arial"/>
                <w:sz w:val="18"/>
                <w:szCs w:val="18"/>
              </w:rPr>
              <w:t>1.248</w:t>
            </w:r>
          </w:p>
        </w:tc>
        <w:tc>
          <w:tcPr>
            <w:tcW w:w="1021" w:type="dxa"/>
            <w:tcBorders>
              <w:top w:val="nil"/>
              <w:left w:val="nil"/>
              <w:bottom w:val="nil"/>
              <w:right w:val="nil"/>
            </w:tcBorders>
            <w:shd w:val="clear" w:color="auto" w:fill="auto"/>
            <w:vAlign w:val="bottom"/>
          </w:tcPr>
          <w:p w14:paraId="7BD4717A" w14:textId="14B695DF" w:rsidR="00566EA9" w:rsidRPr="001D41EA" w:rsidRDefault="00566EA9" w:rsidP="001D41EA">
            <w:pPr>
              <w:spacing w:before="40" w:after="40"/>
              <w:jc w:val="center"/>
              <w:rPr>
                <w:rFonts w:cs="Arial"/>
                <w:sz w:val="18"/>
                <w:szCs w:val="18"/>
              </w:rPr>
            </w:pPr>
            <w:r w:rsidRPr="001D41EA">
              <w:rPr>
                <w:rFonts w:cs="Arial"/>
                <w:sz w:val="18"/>
                <w:szCs w:val="18"/>
              </w:rPr>
              <w:t>1.243</w:t>
            </w:r>
          </w:p>
        </w:tc>
        <w:tc>
          <w:tcPr>
            <w:tcW w:w="1021" w:type="dxa"/>
            <w:tcBorders>
              <w:top w:val="nil"/>
              <w:left w:val="nil"/>
              <w:bottom w:val="nil"/>
              <w:right w:val="nil"/>
            </w:tcBorders>
            <w:vAlign w:val="bottom"/>
          </w:tcPr>
          <w:p w14:paraId="1C1B5E2E" w14:textId="3BA059CA" w:rsidR="00566EA9" w:rsidRPr="001D41EA" w:rsidRDefault="00566EA9" w:rsidP="001D41EA">
            <w:pPr>
              <w:spacing w:before="40" w:after="40"/>
              <w:jc w:val="center"/>
              <w:rPr>
                <w:rFonts w:cs="Arial"/>
                <w:sz w:val="18"/>
                <w:szCs w:val="18"/>
              </w:rPr>
            </w:pPr>
            <w:r w:rsidRPr="001D41EA">
              <w:rPr>
                <w:rFonts w:cs="Arial"/>
                <w:sz w:val="18"/>
                <w:szCs w:val="18"/>
              </w:rPr>
              <w:t>1.253</w:t>
            </w:r>
          </w:p>
        </w:tc>
        <w:tc>
          <w:tcPr>
            <w:tcW w:w="1021" w:type="dxa"/>
            <w:tcBorders>
              <w:top w:val="nil"/>
              <w:left w:val="nil"/>
              <w:bottom w:val="nil"/>
              <w:right w:val="nil"/>
            </w:tcBorders>
            <w:vAlign w:val="bottom"/>
          </w:tcPr>
          <w:p w14:paraId="20123DC6" w14:textId="11A162B1" w:rsidR="00566EA9" w:rsidRPr="001D41EA" w:rsidRDefault="00566EA9" w:rsidP="001D41EA">
            <w:pPr>
              <w:spacing w:before="40" w:after="40"/>
              <w:jc w:val="center"/>
              <w:rPr>
                <w:rFonts w:cs="Arial"/>
                <w:sz w:val="18"/>
                <w:szCs w:val="18"/>
              </w:rPr>
            </w:pPr>
            <w:r w:rsidRPr="001D41EA">
              <w:rPr>
                <w:rFonts w:cs="Arial"/>
                <w:sz w:val="18"/>
                <w:szCs w:val="18"/>
              </w:rPr>
              <w:t>1.236</w:t>
            </w:r>
          </w:p>
        </w:tc>
        <w:tc>
          <w:tcPr>
            <w:tcW w:w="170" w:type="dxa"/>
            <w:tcBorders>
              <w:top w:val="nil"/>
              <w:left w:val="nil"/>
              <w:bottom w:val="nil"/>
              <w:right w:val="nil"/>
            </w:tcBorders>
            <w:vAlign w:val="bottom"/>
          </w:tcPr>
          <w:p w14:paraId="76D8907F" w14:textId="57BD8E50"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6D2C417C" w14:textId="67911836" w:rsidR="00566EA9" w:rsidRPr="001D41EA" w:rsidRDefault="00566EA9" w:rsidP="001D41EA">
            <w:pPr>
              <w:spacing w:before="40" w:after="40"/>
              <w:jc w:val="center"/>
              <w:rPr>
                <w:rFonts w:cs="Arial"/>
                <w:sz w:val="18"/>
                <w:szCs w:val="18"/>
              </w:rPr>
            </w:pPr>
            <w:r w:rsidRPr="001D41EA">
              <w:rPr>
                <w:rFonts w:cs="Arial"/>
                <w:sz w:val="18"/>
                <w:szCs w:val="18"/>
              </w:rPr>
              <w:t>1.092</w:t>
            </w:r>
          </w:p>
        </w:tc>
      </w:tr>
      <w:tr w:rsidR="00566EA9" w:rsidRPr="001D41EA" w14:paraId="2BC7B9C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4E8BB5A" w14:textId="77777777" w:rsidR="00566EA9" w:rsidRPr="001D41EA" w:rsidRDefault="00566EA9" w:rsidP="001D41EA">
            <w:pPr>
              <w:spacing w:before="40" w:after="40"/>
              <w:rPr>
                <w:rFonts w:cs="Arial"/>
                <w:sz w:val="18"/>
                <w:szCs w:val="18"/>
              </w:rPr>
            </w:pPr>
            <w:r w:rsidRPr="001D41EA">
              <w:rPr>
                <w:rFonts w:cs="Arial"/>
                <w:sz w:val="18"/>
                <w:szCs w:val="18"/>
              </w:rPr>
              <w:t>Hume C</w:t>
            </w:r>
          </w:p>
        </w:tc>
        <w:tc>
          <w:tcPr>
            <w:tcW w:w="1021" w:type="dxa"/>
            <w:tcBorders>
              <w:top w:val="nil"/>
              <w:left w:val="single" w:sz="18" w:space="0" w:color="5F497A" w:themeColor="accent4" w:themeShade="BF"/>
              <w:bottom w:val="nil"/>
              <w:right w:val="nil"/>
            </w:tcBorders>
            <w:shd w:val="clear" w:color="auto" w:fill="auto"/>
            <w:vAlign w:val="bottom"/>
          </w:tcPr>
          <w:p w14:paraId="6F68131B" w14:textId="445AB957" w:rsidR="00566EA9" w:rsidRPr="001D41EA" w:rsidRDefault="00566EA9" w:rsidP="001D41EA">
            <w:pPr>
              <w:spacing w:before="40" w:after="40"/>
              <w:jc w:val="center"/>
              <w:rPr>
                <w:rFonts w:cs="Arial"/>
                <w:sz w:val="18"/>
                <w:szCs w:val="18"/>
              </w:rPr>
            </w:pPr>
            <w:r w:rsidRPr="001D41EA">
              <w:rPr>
                <w:rFonts w:cs="Arial"/>
                <w:sz w:val="18"/>
                <w:szCs w:val="18"/>
              </w:rPr>
              <w:t>0.919</w:t>
            </w:r>
          </w:p>
        </w:tc>
        <w:tc>
          <w:tcPr>
            <w:tcW w:w="170" w:type="dxa"/>
            <w:tcBorders>
              <w:top w:val="nil"/>
              <w:left w:val="nil"/>
              <w:bottom w:val="nil"/>
              <w:right w:val="nil"/>
            </w:tcBorders>
            <w:shd w:val="clear" w:color="auto" w:fill="auto"/>
            <w:vAlign w:val="bottom"/>
          </w:tcPr>
          <w:p w14:paraId="06B1E17B" w14:textId="4D90F746"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7123EA19" w14:textId="678523C2" w:rsidR="00566EA9" w:rsidRPr="001D41EA" w:rsidRDefault="00566EA9" w:rsidP="001D41EA">
            <w:pPr>
              <w:spacing w:before="40" w:after="40"/>
              <w:jc w:val="center"/>
              <w:rPr>
                <w:rFonts w:cs="Arial"/>
                <w:sz w:val="18"/>
                <w:szCs w:val="18"/>
              </w:rPr>
            </w:pPr>
            <w:r w:rsidRPr="001D41EA">
              <w:rPr>
                <w:rFonts w:cs="Arial"/>
                <w:sz w:val="18"/>
                <w:szCs w:val="18"/>
              </w:rPr>
              <w:t>0.865</w:t>
            </w:r>
          </w:p>
        </w:tc>
        <w:tc>
          <w:tcPr>
            <w:tcW w:w="1021" w:type="dxa"/>
            <w:tcBorders>
              <w:top w:val="nil"/>
              <w:left w:val="nil"/>
              <w:bottom w:val="nil"/>
              <w:right w:val="nil"/>
            </w:tcBorders>
            <w:vAlign w:val="bottom"/>
          </w:tcPr>
          <w:p w14:paraId="09D8A6B0" w14:textId="79B9AB8E" w:rsidR="00566EA9" w:rsidRPr="001D41EA" w:rsidRDefault="00566EA9" w:rsidP="001D41EA">
            <w:pPr>
              <w:spacing w:before="40" w:after="40"/>
              <w:jc w:val="center"/>
              <w:rPr>
                <w:rFonts w:cs="Arial"/>
                <w:sz w:val="18"/>
                <w:szCs w:val="18"/>
              </w:rPr>
            </w:pPr>
            <w:r w:rsidRPr="001D41EA">
              <w:rPr>
                <w:rFonts w:cs="Arial"/>
                <w:sz w:val="18"/>
                <w:szCs w:val="18"/>
              </w:rPr>
              <w:t>0.860</w:t>
            </w:r>
          </w:p>
        </w:tc>
        <w:tc>
          <w:tcPr>
            <w:tcW w:w="1021" w:type="dxa"/>
            <w:tcBorders>
              <w:top w:val="nil"/>
              <w:left w:val="nil"/>
              <w:bottom w:val="nil"/>
              <w:right w:val="nil"/>
            </w:tcBorders>
            <w:shd w:val="clear" w:color="auto" w:fill="auto"/>
            <w:vAlign w:val="bottom"/>
          </w:tcPr>
          <w:p w14:paraId="577F6D1A" w14:textId="62F75DDF" w:rsidR="00566EA9" w:rsidRPr="001D41EA" w:rsidRDefault="00566EA9" w:rsidP="001D41EA">
            <w:pPr>
              <w:spacing w:before="40" w:after="40"/>
              <w:jc w:val="center"/>
              <w:rPr>
                <w:rFonts w:cs="Arial"/>
                <w:sz w:val="18"/>
                <w:szCs w:val="18"/>
              </w:rPr>
            </w:pPr>
            <w:r w:rsidRPr="001D41EA">
              <w:rPr>
                <w:rFonts w:cs="Arial"/>
                <w:sz w:val="18"/>
                <w:szCs w:val="18"/>
              </w:rPr>
              <w:t>0.857</w:t>
            </w:r>
          </w:p>
        </w:tc>
        <w:tc>
          <w:tcPr>
            <w:tcW w:w="1021" w:type="dxa"/>
            <w:tcBorders>
              <w:top w:val="nil"/>
              <w:left w:val="nil"/>
              <w:bottom w:val="nil"/>
              <w:right w:val="nil"/>
            </w:tcBorders>
            <w:vAlign w:val="bottom"/>
          </w:tcPr>
          <w:p w14:paraId="45D25900" w14:textId="46D91472" w:rsidR="00566EA9" w:rsidRPr="001D41EA" w:rsidRDefault="00566EA9" w:rsidP="001D41EA">
            <w:pPr>
              <w:spacing w:before="40" w:after="40"/>
              <w:jc w:val="center"/>
              <w:rPr>
                <w:rFonts w:cs="Arial"/>
                <w:sz w:val="18"/>
                <w:szCs w:val="18"/>
              </w:rPr>
            </w:pPr>
            <w:r w:rsidRPr="001D41EA">
              <w:rPr>
                <w:rFonts w:cs="Arial"/>
                <w:sz w:val="18"/>
                <w:szCs w:val="18"/>
              </w:rPr>
              <w:t>0.863</w:t>
            </w:r>
          </w:p>
        </w:tc>
        <w:tc>
          <w:tcPr>
            <w:tcW w:w="1021" w:type="dxa"/>
            <w:tcBorders>
              <w:top w:val="nil"/>
              <w:left w:val="nil"/>
              <w:bottom w:val="nil"/>
              <w:right w:val="nil"/>
            </w:tcBorders>
            <w:vAlign w:val="bottom"/>
          </w:tcPr>
          <w:p w14:paraId="4E895D01" w14:textId="10F22A7D" w:rsidR="00566EA9" w:rsidRPr="001D41EA" w:rsidRDefault="00566EA9" w:rsidP="001D41EA">
            <w:pPr>
              <w:spacing w:before="40" w:after="40"/>
              <w:jc w:val="center"/>
              <w:rPr>
                <w:rFonts w:cs="Arial"/>
                <w:sz w:val="18"/>
                <w:szCs w:val="18"/>
              </w:rPr>
            </w:pPr>
            <w:r w:rsidRPr="001D41EA">
              <w:rPr>
                <w:rFonts w:cs="Arial"/>
                <w:sz w:val="18"/>
                <w:szCs w:val="18"/>
              </w:rPr>
              <w:t>0.852</w:t>
            </w:r>
          </w:p>
        </w:tc>
        <w:tc>
          <w:tcPr>
            <w:tcW w:w="170" w:type="dxa"/>
            <w:tcBorders>
              <w:top w:val="nil"/>
              <w:left w:val="nil"/>
              <w:bottom w:val="nil"/>
              <w:right w:val="nil"/>
            </w:tcBorders>
            <w:vAlign w:val="bottom"/>
          </w:tcPr>
          <w:p w14:paraId="06C1D20C" w14:textId="1E096DCE"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54A3D24D" w14:textId="102662B4" w:rsidR="00566EA9" w:rsidRPr="001D41EA" w:rsidRDefault="00566EA9" w:rsidP="001D41EA">
            <w:pPr>
              <w:spacing w:before="40" w:after="40"/>
              <w:jc w:val="center"/>
              <w:rPr>
                <w:rFonts w:cs="Arial"/>
                <w:sz w:val="18"/>
                <w:szCs w:val="18"/>
              </w:rPr>
            </w:pPr>
            <w:r w:rsidRPr="001D41EA">
              <w:rPr>
                <w:rFonts w:cs="Arial"/>
                <w:sz w:val="18"/>
                <w:szCs w:val="18"/>
              </w:rPr>
              <w:t>0.877</w:t>
            </w:r>
          </w:p>
        </w:tc>
      </w:tr>
      <w:tr w:rsidR="00566EA9" w:rsidRPr="001D41EA" w14:paraId="4C5F54D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82FC18B" w14:textId="77777777" w:rsidR="00566EA9" w:rsidRPr="001D41EA" w:rsidRDefault="00566EA9" w:rsidP="001D41EA">
            <w:pPr>
              <w:spacing w:before="40" w:after="40"/>
              <w:rPr>
                <w:rFonts w:cs="Arial"/>
                <w:sz w:val="18"/>
                <w:szCs w:val="18"/>
              </w:rPr>
            </w:pPr>
            <w:r w:rsidRPr="001D41EA">
              <w:rPr>
                <w:rFonts w:cs="Arial"/>
                <w:sz w:val="18"/>
                <w:szCs w:val="18"/>
              </w:rPr>
              <w:t>Indigo S</w:t>
            </w:r>
          </w:p>
        </w:tc>
        <w:tc>
          <w:tcPr>
            <w:tcW w:w="1021" w:type="dxa"/>
            <w:tcBorders>
              <w:top w:val="nil"/>
              <w:left w:val="single" w:sz="18" w:space="0" w:color="5F497A" w:themeColor="accent4" w:themeShade="BF"/>
              <w:bottom w:val="nil"/>
              <w:right w:val="nil"/>
            </w:tcBorders>
            <w:shd w:val="clear" w:color="auto" w:fill="auto"/>
            <w:vAlign w:val="bottom"/>
          </w:tcPr>
          <w:p w14:paraId="4B20C3B1" w14:textId="2BA55C26" w:rsidR="00566EA9" w:rsidRPr="001D41EA" w:rsidRDefault="00566EA9" w:rsidP="001D41EA">
            <w:pPr>
              <w:spacing w:before="40" w:after="40"/>
              <w:jc w:val="center"/>
              <w:rPr>
                <w:rFonts w:cs="Arial"/>
                <w:sz w:val="18"/>
                <w:szCs w:val="18"/>
              </w:rPr>
            </w:pPr>
            <w:r w:rsidRPr="001D41EA">
              <w:rPr>
                <w:rFonts w:cs="Arial"/>
                <w:sz w:val="18"/>
                <w:szCs w:val="18"/>
              </w:rPr>
              <w:t>1.054</w:t>
            </w:r>
          </w:p>
        </w:tc>
        <w:tc>
          <w:tcPr>
            <w:tcW w:w="170" w:type="dxa"/>
            <w:tcBorders>
              <w:top w:val="nil"/>
              <w:left w:val="nil"/>
              <w:bottom w:val="nil"/>
              <w:right w:val="nil"/>
            </w:tcBorders>
            <w:shd w:val="clear" w:color="auto" w:fill="auto"/>
            <w:vAlign w:val="bottom"/>
          </w:tcPr>
          <w:p w14:paraId="4300411B" w14:textId="20078E79"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7BCE808C" w14:textId="01CCDF99" w:rsidR="00566EA9" w:rsidRPr="001D41EA" w:rsidRDefault="00566EA9" w:rsidP="001D41EA">
            <w:pPr>
              <w:spacing w:before="40" w:after="40"/>
              <w:jc w:val="center"/>
              <w:rPr>
                <w:rFonts w:cs="Arial"/>
                <w:sz w:val="18"/>
                <w:szCs w:val="18"/>
              </w:rPr>
            </w:pPr>
            <w:r w:rsidRPr="001D41EA">
              <w:rPr>
                <w:rFonts w:cs="Arial"/>
                <w:sz w:val="18"/>
                <w:szCs w:val="18"/>
              </w:rPr>
              <w:t>1.261</w:t>
            </w:r>
          </w:p>
        </w:tc>
        <w:tc>
          <w:tcPr>
            <w:tcW w:w="1021" w:type="dxa"/>
            <w:tcBorders>
              <w:top w:val="nil"/>
              <w:left w:val="nil"/>
              <w:bottom w:val="nil"/>
              <w:right w:val="nil"/>
            </w:tcBorders>
            <w:vAlign w:val="bottom"/>
          </w:tcPr>
          <w:p w14:paraId="3C266F99" w14:textId="2BAA9021" w:rsidR="00566EA9" w:rsidRPr="001D41EA" w:rsidRDefault="00566EA9" w:rsidP="001D41EA">
            <w:pPr>
              <w:spacing w:before="40" w:after="40"/>
              <w:jc w:val="center"/>
              <w:rPr>
                <w:rFonts w:cs="Arial"/>
                <w:sz w:val="18"/>
                <w:szCs w:val="18"/>
              </w:rPr>
            </w:pPr>
            <w:r w:rsidRPr="001D41EA">
              <w:rPr>
                <w:rFonts w:cs="Arial"/>
                <w:sz w:val="18"/>
                <w:szCs w:val="18"/>
              </w:rPr>
              <w:t>1.254</w:t>
            </w:r>
          </w:p>
        </w:tc>
        <w:tc>
          <w:tcPr>
            <w:tcW w:w="1021" w:type="dxa"/>
            <w:tcBorders>
              <w:top w:val="nil"/>
              <w:left w:val="nil"/>
              <w:bottom w:val="nil"/>
              <w:right w:val="nil"/>
            </w:tcBorders>
            <w:shd w:val="clear" w:color="auto" w:fill="auto"/>
            <w:vAlign w:val="bottom"/>
          </w:tcPr>
          <w:p w14:paraId="29941A6C" w14:textId="49680786" w:rsidR="00566EA9" w:rsidRPr="001D41EA" w:rsidRDefault="00566EA9" w:rsidP="001D41EA">
            <w:pPr>
              <w:spacing w:before="40" w:after="40"/>
              <w:jc w:val="center"/>
              <w:rPr>
                <w:rFonts w:cs="Arial"/>
                <w:sz w:val="18"/>
                <w:szCs w:val="18"/>
              </w:rPr>
            </w:pPr>
            <w:r w:rsidRPr="001D41EA">
              <w:rPr>
                <w:rFonts w:cs="Arial"/>
                <w:sz w:val="18"/>
                <w:szCs w:val="18"/>
              </w:rPr>
              <w:t>1.249</w:t>
            </w:r>
          </w:p>
        </w:tc>
        <w:tc>
          <w:tcPr>
            <w:tcW w:w="1021" w:type="dxa"/>
            <w:tcBorders>
              <w:top w:val="nil"/>
              <w:left w:val="nil"/>
              <w:bottom w:val="nil"/>
              <w:right w:val="nil"/>
            </w:tcBorders>
            <w:vAlign w:val="bottom"/>
          </w:tcPr>
          <w:p w14:paraId="5C12FDF7" w14:textId="36F57FBD" w:rsidR="00566EA9" w:rsidRPr="001D41EA" w:rsidRDefault="00566EA9" w:rsidP="001D41EA">
            <w:pPr>
              <w:spacing w:before="40" w:after="40"/>
              <w:jc w:val="center"/>
              <w:rPr>
                <w:rFonts w:cs="Arial"/>
                <w:sz w:val="18"/>
                <w:szCs w:val="18"/>
              </w:rPr>
            </w:pPr>
            <w:r w:rsidRPr="001D41EA">
              <w:rPr>
                <w:rFonts w:cs="Arial"/>
                <w:sz w:val="18"/>
                <w:szCs w:val="18"/>
              </w:rPr>
              <w:t>1.259</w:t>
            </w:r>
          </w:p>
        </w:tc>
        <w:tc>
          <w:tcPr>
            <w:tcW w:w="1021" w:type="dxa"/>
            <w:tcBorders>
              <w:top w:val="nil"/>
              <w:left w:val="nil"/>
              <w:bottom w:val="nil"/>
              <w:right w:val="nil"/>
            </w:tcBorders>
            <w:vAlign w:val="bottom"/>
          </w:tcPr>
          <w:p w14:paraId="31C672E8" w14:textId="03324A42" w:rsidR="00566EA9" w:rsidRPr="001D41EA" w:rsidRDefault="00566EA9" w:rsidP="001D41EA">
            <w:pPr>
              <w:spacing w:before="40" w:after="40"/>
              <w:jc w:val="center"/>
              <w:rPr>
                <w:rFonts w:cs="Arial"/>
                <w:sz w:val="18"/>
                <w:szCs w:val="18"/>
              </w:rPr>
            </w:pPr>
            <w:r w:rsidRPr="001D41EA">
              <w:rPr>
                <w:rFonts w:cs="Arial"/>
                <w:sz w:val="18"/>
                <w:szCs w:val="18"/>
              </w:rPr>
              <w:t>1.243</w:t>
            </w:r>
          </w:p>
        </w:tc>
        <w:tc>
          <w:tcPr>
            <w:tcW w:w="170" w:type="dxa"/>
            <w:tcBorders>
              <w:top w:val="nil"/>
              <w:left w:val="nil"/>
              <w:bottom w:val="nil"/>
              <w:right w:val="nil"/>
            </w:tcBorders>
            <w:vAlign w:val="bottom"/>
          </w:tcPr>
          <w:p w14:paraId="253307AC" w14:textId="6AC62A09"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31BA1FB6" w14:textId="26458408" w:rsidR="00566EA9" w:rsidRPr="001D41EA" w:rsidRDefault="00566EA9" w:rsidP="001D41EA">
            <w:pPr>
              <w:spacing w:before="40" w:after="40"/>
              <w:jc w:val="center"/>
              <w:rPr>
                <w:rFonts w:cs="Arial"/>
                <w:sz w:val="18"/>
                <w:szCs w:val="18"/>
              </w:rPr>
            </w:pPr>
            <w:r w:rsidRPr="001D41EA">
              <w:rPr>
                <w:rFonts w:cs="Arial"/>
                <w:sz w:val="18"/>
                <w:szCs w:val="18"/>
              </w:rPr>
              <w:t>1.265</w:t>
            </w:r>
          </w:p>
        </w:tc>
      </w:tr>
      <w:tr w:rsidR="00566EA9" w:rsidRPr="001D41EA" w14:paraId="7403142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047BAFE" w14:textId="77777777" w:rsidR="00566EA9" w:rsidRPr="001D41EA" w:rsidRDefault="00566EA9" w:rsidP="001D41EA">
            <w:pPr>
              <w:spacing w:before="40" w:after="40"/>
              <w:rPr>
                <w:rFonts w:cs="Arial"/>
                <w:sz w:val="18"/>
                <w:szCs w:val="18"/>
              </w:rPr>
            </w:pPr>
            <w:r w:rsidRPr="001D41EA">
              <w:rPr>
                <w:rFonts w:cs="Arial"/>
                <w:sz w:val="18"/>
                <w:szCs w:val="18"/>
              </w:rPr>
              <w:t>Kingston C</w:t>
            </w:r>
          </w:p>
        </w:tc>
        <w:tc>
          <w:tcPr>
            <w:tcW w:w="1021" w:type="dxa"/>
            <w:tcBorders>
              <w:top w:val="nil"/>
              <w:left w:val="single" w:sz="18" w:space="0" w:color="5F497A" w:themeColor="accent4" w:themeShade="BF"/>
              <w:bottom w:val="nil"/>
              <w:right w:val="nil"/>
            </w:tcBorders>
            <w:shd w:val="clear" w:color="auto" w:fill="auto"/>
            <w:vAlign w:val="bottom"/>
          </w:tcPr>
          <w:p w14:paraId="5ADD5CCB" w14:textId="53E6F1E9" w:rsidR="00566EA9" w:rsidRPr="001D41EA" w:rsidRDefault="00566EA9" w:rsidP="001D41EA">
            <w:pPr>
              <w:spacing w:before="40" w:after="40"/>
              <w:jc w:val="center"/>
              <w:rPr>
                <w:rFonts w:cs="Arial"/>
                <w:sz w:val="18"/>
                <w:szCs w:val="18"/>
              </w:rPr>
            </w:pPr>
            <w:r w:rsidRPr="001D41EA">
              <w:rPr>
                <w:rFonts w:cs="Arial"/>
                <w:sz w:val="18"/>
                <w:szCs w:val="18"/>
              </w:rPr>
              <w:t>1.072</w:t>
            </w:r>
          </w:p>
        </w:tc>
        <w:tc>
          <w:tcPr>
            <w:tcW w:w="170" w:type="dxa"/>
            <w:tcBorders>
              <w:top w:val="nil"/>
              <w:left w:val="nil"/>
              <w:bottom w:val="nil"/>
              <w:right w:val="nil"/>
            </w:tcBorders>
            <w:shd w:val="clear" w:color="auto" w:fill="auto"/>
            <w:vAlign w:val="bottom"/>
          </w:tcPr>
          <w:p w14:paraId="793DAC43" w14:textId="373FD5A4"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4E0690BB" w14:textId="5DDB4AAA" w:rsidR="00566EA9" w:rsidRPr="001D41EA" w:rsidRDefault="00566EA9" w:rsidP="001D41EA">
            <w:pPr>
              <w:spacing w:before="40" w:after="40"/>
              <w:jc w:val="center"/>
              <w:rPr>
                <w:rFonts w:cs="Arial"/>
                <w:sz w:val="18"/>
                <w:szCs w:val="18"/>
              </w:rPr>
            </w:pPr>
            <w:r w:rsidRPr="001D41EA">
              <w:rPr>
                <w:rFonts w:cs="Arial"/>
                <w:sz w:val="18"/>
                <w:szCs w:val="18"/>
              </w:rPr>
              <w:t>0.981</w:t>
            </w:r>
          </w:p>
        </w:tc>
        <w:tc>
          <w:tcPr>
            <w:tcW w:w="1021" w:type="dxa"/>
            <w:tcBorders>
              <w:top w:val="nil"/>
              <w:left w:val="nil"/>
              <w:bottom w:val="nil"/>
              <w:right w:val="nil"/>
            </w:tcBorders>
            <w:vAlign w:val="bottom"/>
          </w:tcPr>
          <w:p w14:paraId="6CEB42A7" w14:textId="40CC3F7D" w:rsidR="00566EA9" w:rsidRPr="001D41EA" w:rsidRDefault="00566EA9" w:rsidP="001D41EA">
            <w:pPr>
              <w:spacing w:before="40" w:after="40"/>
              <w:jc w:val="center"/>
              <w:rPr>
                <w:rFonts w:cs="Arial"/>
                <w:sz w:val="18"/>
                <w:szCs w:val="18"/>
              </w:rPr>
            </w:pPr>
            <w:r w:rsidRPr="001D41EA">
              <w:rPr>
                <w:rFonts w:cs="Arial"/>
                <w:sz w:val="18"/>
                <w:szCs w:val="18"/>
              </w:rPr>
              <w:t>0.976</w:t>
            </w:r>
          </w:p>
        </w:tc>
        <w:tc>
          <w:tcPr>
            <w:tcW w:w="1021" w:type="dxa"/>
            <w:tcBorders>
              <w:top w:val="nil"/>
              <w:left w:val="nil"/>
              <w:bottom w:val="nil"/>
              <w:right w:val="nil"/>
            </w:tcBorders>
            <w:shd w:val="clear" w:color="auto" w:fill="auto"/>
            <w:vAlign w:val="bottom"/>
          </w:tcPr>
          <w:p w14:paraId="1868F004" w14:textId="76AC6F2E" w:rsidR="00566EA9" w:rsidRPr="001D41EA" w:rsidRDefault="00566EA9" w:rsidP="001D41EA">
            <w:pPr>
              <w:spacing w:before="40" w:after="40"/>
              <w:jc w:val="center"/>
              <w:rPr>
                <w:rFonts w:cs="Arial"/>
                <w:sz w:val="18"/>
                <w:szCs w:val="18"/>
              </w:rPr>
            </w:pPr>
            <w:r w:rsidRPr="001D41EA">
              <w:rPr>
                <w:rFonts w:cs="Arial"/>
                <w:sz w:val="18"/>
                <w:szCs w:val="18"/>
              </w:rPr>
              <w:t>0.972</w:t>
            </w:r>
          </w:p>
        </w:tc>
        <w:tc>
          <w:tcPr>
            <w:tcW w:w="1021" w:type="dxa"/>
            <w:tcBorders>
              <w:top w:val="nil"/>
              <w:left w:val="nil"/>
              <w:bottom w:val="nil"/>
              <w:right w:val="nil"/>
            </w:tcBorders>
            <w:vAlign w:val="bottom"/>
          </w:tcPr>
          <w:p w14:paraId="788880A3" w14:textId="50323092" w:rsidR="00566EA9" w:rsidRPr="001D41EA" w:rsidRDefault="00566EA9" w:rsidP="001D41EA">
            <w:pPr>
              <w:spacing w:before="40" w:after="40"/>
              <w:jc w:val="center"/>
              <w:rPr>
                <w:rFonts w:cs="Arial"/>
                <w:sz w:val="18"/>
                <w:szCs w:val="18"/>
              </w:rPr>
            </w:pPr>
            <w:r w:rsidRPr="001D41EA">
              <w:rPr>
                <w:rFonts w:cs="Arial"/>
                <w:sz w:val="18"/>
                <w:szCs w:val="18"/>
              </w:rPr>
              <w:t>0.979</w:t>
            </w:r>
          </w:p>
        </w:tc>
        <w:tc>
          <w:tcPr>
            <w:tcW w:w="1021" w:type="dxa"/>
            <w:tcBorders>
              <w:top w:val="nil"/>
              <w:left w:val="nil"/>
              <w:bottom w:val="nil"/>
              <w:right w:val="nil"/>
            </w:tcBorders>
            <w:vAlign w:val="bottom"/>
          </w:tcPr>
          <w:p w14:paraId="0CCC79EF" w14:textId="307E2A6E" w:rsidR="00566EA9" w:rsidRPr="001D41EA" w:rsidRDefault="00566EA9" w:rsidP="001D41EA">
            <w:pPr>
              <w:spacing w:before="40" w:after="40"/>
              <w:jc w:val="center"/>
              <w:rPr>
                <w:rFonts w:cs="Arial"/>
                <w:sz w:val="18"/>
                <w:szCs w:val="18"/>
              </w:rPr>
            </w:pPr>
            <w:r w:rsidRPr="001D41EA">
              <w:rPr>
                <w:rFonts w:cs="Arial"/>
                <w:sz w:val="18"/>
                <w:szCs w:val="18"/>
              </w:rPr>
              <w:t>0.967</w:t>
            </w:r>
          </w:p>
        </w:tc>
        <w:tc>
          <w:tcPr>
            <w:tcW w:w="170" w:type="dxa"/>
            <w:tcBorders>
              <w:top w:val="nil"/>
              <w:left w:val="nil"/>
              <w:bottom w:val="nil"/>
              <w:right w:val="nil"/>
            </w:tcBorders>
            <w:vAlign w:val="bottom"/>
          </w:tcPr>
          <w:p w14:paraId="1B6E8D4F" w14:textId="4F478FEF"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7B2FCE1C" w14:textId="5BC4D930" w:rsidR="00566EA9" w:rsidRPr="001D41EA" w:rsidRDefault="00566EA9" w:rsidP="001D41EA">
            <w:pPr>
              <w:spacing w:before="40" w:after="40"/>
              <w:jc w:val="center"/>
              <w:rPr>
                <w:rFonts w:cs="Arial"/>
                <w:sz w:val="18"/>
                <w:szCs w:val="18"/>
              </w:rPr>
            </w:pPr>
            <w:r w:rsidRPr="001D41EA">
              <w:rPr>
                <w:rFonts w:cs="Arial"/>
                <w:sz w:val="18"/>
                <w:szCs w:val="18"/>
              </w:rPr>
              <w:t>0.915</w:t>
            </w:r>
          </w:p>
        </w:tc>
      </w:tr>
      <w:tr w:rsidR="00566EA9" w:rsidRPr="001D41EA" w14:paraId="11FBA62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528683E" w14:textId="77777777" w:rsidR="00566EA9" w:rsidRPr="001D41EA" w:rsidRDefault="00566EA9" w:rsidP="001D41EA">
            <w:pPr>
              <w:spacing w:before="40" w:after="40"/>
              <w:rPr>
                <w:rFonts w:cs="Arial"/>
                <w:sz w:val="18"/>
                <w:szCs w:val="18"/>
              </w:rPr>
            </w:pPr>
            <w:r w:rsidRPr="001D41EA">
              <w:rPr>
                <w:rFonts w:cs="Arial"/>
                <w:sz w:val="18"/>
                <w:szCs w:val="18"/>
              </w:rPr>
              <w:t>Knox C</w:t>
            </w:r>
          </w:p>
        </w:tc>
        <w:tc>
          <w:tcPr>
            <w:tcW w:w="1021" w:type="dxa"/>
            <w:tcBorders>
              <w:top w:val="nil"/>
              <w:left w:val="single" w:sz="18" w:space="0" w:color="5F497A" w:themeColor="accent4" w:themeShade="BF"/>
              <w:bottom w:val="nil"/>
              <w:right w:val="nil"/>
            </w:tcBorders>
            <w:shd w:val="clear" w:color="auto" w:fill="auto"/>
            <w:vAlign w:val="bottom"/>
          </w:tcPr>
          <w:p w14:paraId="6A33F128" w14:textId="29CCF8DB" w:rsidR="00566EA9" w:rsidRPr="001D41EA" w:rsidRDefault="00566EA9" w:rsidP="001D41EA">
            <w:pPr>
              <w:spacing w:before="40" w:after="40"/>
              <w:jc w:val="center"/>
              <w:rPr>
                <w:rFonts w:cs="Arial"/>
                <w:sz w:val="18"/>
                <w:szCs w:val="18"/>
              </w:rPr>
            </w:pPr>
            <w:r w:rsidRPr="001D41EA">
              <w:rPr>
                <w:rFonts w:cs="Arial"/>
                <w:sz w:val="18"/>
                <w:szCs w:val="18"/>
              </w:rPr>
              <w:t>1.064</w:t>
            </w:r>
          </w:p>
        </w:tc>
        <w:tc>
          <w:tcPr>
            <w:tcW w:w="170" w:type="dxa"/>
            <w:tcBorders>
              <w:top w:val="nil"/>
              <w:left w:val="nil"/>
              <w:bottom w:val="nil"/>
              <w:right w:val="nil"/>
            </w:tcBorders>
            <w:shd w:val="clear" w:color="auto" w:fill="auto"/>
            <w:vAlign w:val="bottom"/>
          </w:tcPr>
          <w:p w14:paraId="65B7752E" w14:textId="6FFB2ACB"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4A1743E5" w14:textId="3773AB0C" w:rsidR="00566EA9" w:rsidRPr="001D41EA" w:rsidRDefault="00566EA9" w:rsidP="001D41EA">
            <w:pPr>
              <w:spacing w:before="40" w:after="40"/>
              <w:jc w:val="center"/>
              <w:rPr>
                <w:rFonts w:cs="Arial"/>
                <w:sz w:val="18"/>
                <w:szCs w:val="18"/>
              </w:rPr>
            </w:pPr>
            <w:r w:rsidRPr="001D41EA">
              <w:rPr>
                <w:rFonts w:cs="Arial"/>
                <w:sz w:val="18"/>
                <w:szCs w:val="18"/>
              </w:rPr>
              <w:t>0.981</w:t>
            </w:r>
          </w:p>
        </w:tc>
        <w:tc>
          <w:tcPr>
            <w:tcW w:w="1021" w:type="dxa"/>
            <w:tcBorders>
              <w:top w:val="nil"/>
              <w:left w:val="nil"/>
              <w:bottom w:val="nil"/>
              <w:right w:val="nil"/>
            </w:tcBorders>
            <w:vAlign w:val="bottom"/>
          </w:tcPr>
          <w:p w14:paraId="79948E64" w14:textId="6B75BBC1" w:rsidR="00566EA9" w:rsidRPr="001D41EA" w:rsidRDefault="00566EA9" w:rsidP="001D41EA">
            <w:pPr>
              <w:spacing w:before="40" w:after="40"/>
              <w:jc w:val="center"/>
              <w:rPr>
                <w:rFonts w:cs="Arial"/>
                <w:sz w:val="18"/>
                <w:szCs w:val="18"/>
              </w:rPr>
            </w:pPr>
            <w:r w:rsidRPr="001D41EA">
              <w:rPr>
                <w:rFonts w:cs="Arial"/>
                <w:sz w:val="18"/>
                <w:szCs w:val="18"/>
              </w:rPr>
              <w:t>0.976</w:t>
            </w:r>
          </w:p>
        </w:tc>
        <w:tc>
          <w:tcPr>
            <w:tcW w:w="1021" w:type="dxa"/>
            <w:tcBorders>
              <w:top w:val="nil"/>
              <w:left w:val="nil"/>
              <w:bottom w:val="nil"/>
              <w:right w:val="nil"/>
            </w:tcBorders>
            <w:shd w:val="clear" w:color="auto" w:fill="auto"/>
            <w:vAlign w:val="bottom"/>
          </w:tcPr>
          <w:p w14:paraId="5327893D" w14:textId="1EB0D77F" w:rsidR="00566EA9" w:rsidRPr="001D41EA" w:rsidRDefault="00566EA9" w:rsidP="001D41EA">
            <w:pPr>
              <w:spacing w:before="40" w:after="40"/>
              <w:jc w:val="center"/>
              <w:rPr>
                <w:rFonts w:cs="Arial"/>
                <w:sz w:val="18"/>
                <w:szCs w:val="18"/>
              </w:rPr>
            </w:pPr>
            <w:r w:rsidRPr="001D41EA">
              <w:rPr>
                <w:rFonts w:cs="Arial"/>
                <w:sz w:val="18"/>
                <w:szCs w:val="18"/>
              </w:rPr>
              <w:t>0.972</w:t>
            </w:r>
          </w:p>
        </w:tc>
        <w:tc>
          <w:tcPr>
            <w:tcW w:w="1021" w:type="dxa"/>
            <w:tcBorders>
              <w:top w:val="nil"/>
              <w:left w:val="nil"/>
              <w:bottom w:val="nil"/>
              <w:right w:val="nil"/>
            </w:tcBorders>
            <w:vAlign w:val="bottom"/>
          </w:tcPr>
          <w:p w14:paraId="6BCFDECF" w14:textId="0147EAB3" w:rsidR="00566EA9" w:rsidRPr="001D41EA" w:rsidRDefault="00566EA9" w:rsidP="001D41EA">
            <w:pPr>
              <w:spacing w:before="40" w:after="40"/>
              <w:jc w:val="center"/>
              <w:rPr>
                <w:rFonts w:cs="Arial"/>
                <w:sz w:val="18"/>
                <w:szCs w:val="18"/>
              </w:rPr>
            </w:pPr>
            <w:r w:rsidRPr="001D41EA">
              <w:rPr>
                <w:rFonts w:cs="Arial"/>
                <w:sz w:val="18"/>
                <w:szCs w:val="18"/>
              </w:rPr>
              <w:t>0.980</w:t>
            </w:r>
          </w:p>
        </w:tc>
        <w:tc>
          <w:tcPr>
            <w:tcW w:w="1021" w:type="dxa"/>
            <w:tcBorders>
              <w:top w:val="nil"/>
              <w:left w:val="nil"/>
              <w:bottom w:val="nil"/>
              <w:right w:val="nil"/>
            </w:tcBorders>
            <w:vAlign w:val="bottom"/>
          </w:tcPr>
          <w:p w14:paraId="2EC8CD31" w14:textId="3F03740C" w:rsidR="00566EA9" w:rsidRPr="001D41EA" w:rsidRDefault="00566EA9" w:rsidP="001D41EA">
            <w:pPr>
              <w:spacing w:before="40" w:after="40"/>
              <w:jc w:val="center"/>
              <w:rPr>
                <w:rFonts w:cs="Arial"/>
                <w:sz w:val="18"/>
                <w:szCs w:val="18"/>
              </w:rPr>
            </w:pPr>
            <w:r w:rsidRPr="001D41EA">
              <w:rPr>
                <w:rFonts w:cs="Arial"/>
                <w:sz w:val="18"/>
                <w:szCs w:val="18"/>
              </w:rPr>
              <w:t>0.967</w:t>
            </w:r>
          </w:p>
        </w:tc>
        <w:tc>
          <w:tcPr>
            <w:tcW w:w="170" w:type="dxa"/>
            <w:tcBorders>
              <w:top w:val="nil"/>
              <w:left w:val="nil"/>
              <w:bottom w:val="nil"/>
              <w:right w:val="nil"/>
            </w:tcBorders>
            <w:vAlign w:val="bottom"/>
          </w:tcPr>
          <w:p w14:paraId="68749715" w14:textId="076996A0"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5BD4E901" w14:textId="2F8A1679" w:rsidR="00566EA9" w:rsidRPr="001D41EA" w:rsidRDefault="00566EA9" w:rsidP="001D41EA">
            <w:pPr>
              <w:spacing w:before="40" w:after="40"/>
              <w:jc w:val="center"/>
              <w:rPr>
                <w:rFonts w:cs="Arial"/>
                <w:sz w:val="18"/>
                <w:szCs w:val="18"/>
              </w:rPr>
            </w:pPr>
            <w:r w:rsidRPr="001D41EA">
              <w:rPr>
                <w:rFonts w:cs="Arial"/>
                <w:sz w:val="18"/>
                <w:szCs w:val="18"/>
              </w:rPr>
              <w:t>0.933</w:t>
            </w:r>
          </w:p>
        </w:tc>
      </w:tr>
      <w:tr w:rsidR="00566EA9" w:rsidRPr="001D41EA" w14:paraId="5F8BB1F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E22EBE1" w14:textId="77777777" w:rsidR="00566EA9" w:rsidRPr="001D41EA" w:rsidRDefault="00566EA9" w:rsidP="001D41EA">
            <w:pPr>
              <w:spacing w:before="40" w:after="40"/>
              <w:rPr>
                <w:rFonts w:cs="Arial"/>
                <w:sz w:val="18"/>
                <w:szCs w:val="18"/>
              </w:rPr>
            </w:pPr>
            <w:r w:rsidRPr="001D41EA">
              <w:rPr>
                <w:rFonts w:cs="Arial"/>
                <w:sz w:val="18"/>
                <w:szCs w:val="18"/>
              </w:rPr>
              <w:t>Latrobe C</w:t>
            </w:r>
          </w:p>
        </w:tc>
        <w:tc>
          <w:tcPr>
            <w:tcW w:w="1021" w:type="dxa"/>
            <w:tcBorders>
              <w:top w:val="nil"/>
              <w:left w:val="single" w:sz="18" w:space="0" w:color="5F497A" w:themeColor="accent4" w:themeShade="BF"/>
              <w:bottom w:val="nil"/>
              <w:right w:val="nil"/>
            </w:tcBorders>
            <w:shd w:val="clear" w:color="auto" w:fill="auto"/>
            <w:vAlign w:val="bottom"/>
          </w:tcPr>
          <w:p w14:paraId="1CC00748" w14:textId="5F8CF2FA" w:rsidR="00566EA9" w:rsidRPr="001D41EA" w:rsidRDefault="00566EA9" w:rsidP="001D41EA">
            <w:pPr>
              <w:spacing w:before="40" w:after="40"/>
              <w:jc w:val="center"/>
              <w:rPr>
                <w:rFonts w:cs="Arial"/>
                <w:sz w:val="18"/>
                <w:szCs w:val="18"/>
              </w:rPr>
            </w:pPr>
            <w:r w:rsidRPr="001D41EA">
              <w:rPr>
                <w:rFonts w:cs="Arial"/>
                <w:sz w:val="18"/>
                <w:szCs w:val="18"/>
              </w:rPr>
              <w:t>1.057</w:t>
            </w:r>
          </w:p>
        </w:tc>
        <w:tc>
          <w:tcPr>
            <w:tcW w:w="170" w:type="dxa"/>
            <w:tcBorders>
              <w:top w:val="nil"/>
              <w:left w:val="nil"/>
              <w:bottom w:val="nil"/>
              <w:right w:val="nil"/>
            </w:tcBorders>
            <w:shd w:val="clear" w:color="auto" w:fill="auto"/>
            <w:vAlign w:val="bottom"/>
          </w:tcPr>
          <w:p w14:paraId="0DE42868" w14:textId="1AE142AE"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04EEC9B1" w14:textId="3D525B8E" w:rsidR="00566EA9" w:rsidRPr="001D41EA" w:rsidRDefault="00566EA9" w:rsidP="001D41EA">
            <w:pPr>
              <w:spacing w:before="40" w:after="40"/>
              <w:jc w:val="center"/>
              <w:rPr>
                <w:rFonts w:cs="Arial"/>
                <w:sz w:val="18"/>
                <w:szCs w:val="18"/>
              </w:rPr>
            </w:pPr>
            <w:r w:rsidRPr="001D41EA">
              <w:rPr>
                <w:rFonts w:cs="Arial"/>
                <w:sz w:val="18"/>
                <w:szCs w:val="18"/>
              </w:rPr>
              <w:t>1.149</w:t>
            </w:r>
          </w:p>
        </w:tc>
        <w:tc>
          <w:tcPr>
            <w:tcW w:w="1021" w:type="dxa"/>
            <w:tcBorders>
              <w:top w:val="nil"/>
              <w:left w:val="nil"/>
              <w:bottom w:val="nil"/>
              <w:right w:val="nil"/>
            </w:tcBorders>
            <w:vAlign w:val="bottom"/>
          </w:tcPr>
          <w:p w14:paraId="57BC4FB6" w14:textId="1B8F1E4B" w:rsidR="00566EA9" w:rsidRPr="001D41EA" w:rsidRDefault="00566EA9" w:rsidP="001D41EA">
            <w:pPr>
              <w:spacing w:before="40" w:after="40"/>
              <w:jc w:val="center"/>
              <w:rPr>
                <w:rFonts w:cs="Arial"/>
                <w:sz w:val="18"/>
                <w:szCs w:val="18"/>
              </w:rPr>
            </w:pPr>
            <w:r w:rsidRPr="001D41EA">
              <w:rPr>
                <w:rFonts w:cs="Arial"/>
                <w:sz w:val="18"/>
                <w:szCs w:val="18"/>
              </w:rPr>
              <w:t>1.143</w:t>
            </w:r>
          </w:p>
        </w:tc>
        <w:tc>
          <w:tcPr>
            <w:tcW w:w="1021" w:type="dxa"/>
            <w:tcBorders>
              <w:top w:val="nil"/>
              <w:left w:val="nil"/>
              <w:bottom w:val="nil"/>
              <w:right w:val="nil"/>
            </w:tcBorders>
            <w:shd w:val="clear" w:color="auto" w:fill="auto"/>
            <w:vAlign w:val="bottom"/>
          </w:tcPr>
          <w:p w14:paraId="6E4ACCBC" w14:textId="5C89F691" w:rsidR="00566EA9" w:rsidRPr="001D41EA" w:rsidRDefault="00566EA9" w:rsidP="001D41EA">
            <w:pPr>
              <w:spacing w:before="40" w:after="40"/>
              <w:jc w:val="center"/>
              <w:rPr>
                <w:rFonts w:cs="Arial"/>
                <w:sz w:val="18"/>
                <w:szCs w:val="18"/>
              </w:rPr>
            </w:pPr>
            <w:r w:rsidRPr="001D41EA">
              <w:rPr>
                <w:rFonts w:cs="Arial"/>
                <w:sz w:val="18"/>
                <w:szCs w:val="18"/>
              </w:rPr>
              <w:t>1.139</w:t>
            </w:r>
          </w:p>
        </w:tc>
        <w:tc>
          <w:tcPr>
            <w:tcW w:w="1021" w:type="dxa"/>
            <w:tcBorders>
              <w:top w:val="nil"/>
              <w:left w:val="nil"/>
              <w:bottom w:val="nil"/>
              <w:right w:val="nil"/>
            </w:tcBorders>
            <w:vAlign w:val="bottom"/>
          </w:tcPr>
          <w:p w14:paraId="423B3CDB" w14:textId="33C4F1EB" w:rsidR="00566EA9" w:rsidRPr="001D41EA" w:rsidRDefault="00566EA9" w:rsidP="001D41EA">
            <w:pPr>
              <w:spacing w:before="40" w:after="40"/>
              <w:jc w:val="center"/>
              <w:rPr>
                <w:rFonts w:cs="Arial"/>
                <w:sz w:val="18"/>
                <w:szCs w:val="18"/>
              </w:rPr>
            </w:pPr>
            <w:r w:rsidRPr="001D41EA">
              <w:rPr>
                <w:rFonts w:cs="Arial"/>
                <w:sz w:val="18"/>
                <w:szCs w:val="18"/>
              </w:rPr>
              <w:t>1.147</w:t>
            </w:r>
          </w:p>
        </w:tc>
        <w:tc>
          <w:tcPr>
            <w:tcW w:w="1021" w:type="dxa"/>
            <w:tcBorders>
              <w:top w:val="nil"/>
              <w:left w:val="nil"/>
              <w:bottom w:val="nil"/>
              <w:right w:val="nil"/>
            </w:tcBorders>
            <w:vAlign w:val="bottom"/>
          </w:tcPr>
          <w:p w14:paraId="469D3D69" w14:textId="258184A9" w:rsidR="00566EA9" w:rsidRPr="001D41EA" w:rsidRDefault="00566EA9" w:rsidP="001D41EA">
            <w:pPr>
              <w:spacing w:before="40" w:after="40"/>
              <w:jc w:val="center"/>
              <w:rPr>
                <w:rFonts w:cs="Arial"/>
                <w:sz w:val="18"/>
                <w:szCs w:val="18"/>
              </w:rPr>
            </w:pPr>
            <w:r w:rsidRPr="001D41EA">
              <w:rPr>
                <w:rFonts w:cs="Arial"/>
                <w:sz w:val="18"/>
                <w:szCs w:val="18"/>
              </w:rPr>
              <w:t>1.132</w:t>
            </w:r>
          </w:p>
        </w:tc>
        <w:tc>
          <w:tcPr>
            <w:tcW w:w="170" w:type="dxa"/>
            <w:tcBorders>
              <w:top w:val="nil"/>
              <w:left w:val="nil"/>
              <w:bottom w:val="nil"/>
              <w:right w:val="nil"/>
            </w:tcBorders>
            <w:vAlign w:val="bottom"/>
          </w:tcPr>
          <w:p w14:paraId="1949BB64" w14:textId="78C42095"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3CA6A16D" w14:textId="2EE6968F" w:rsidR="00566EA9" w:rsidRPr="001D41EA" w:rsidRDefault="00566EA9" w:rsidP="001D41EA">
            <w:pPr>
              <w:spacing w:before="40" w:after="40"/>
              <w:jc w:val="center"/>
              <w:rPr>
                <w:rFonts w:cs="Arial"/>
                <w:sz w:val="18"/>
                <w:szCs w:val="18"/>
              </w:rPr>
            </w:pPr>
            <w:r w:rsidRPr="001D41EA">
              <w:rPr>
                <w:rFonts w:cs="Arial"/>
                <w:sz w:val="18"/>
                <w:szCs w:val="18"/>
              </w:rPr>
              <w:t>1.012</w:t>
            </w:r>
          </w:p>
        </w:tc>
      </w:tr>
      <w:tr w:rsidR="00566EA9" w:rsidRPr="001D41EA" w14:paraId="6C3F5F8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D37CCCB" w14:textId="77777777" w:rsidR="00566EA9" w:rsidRPr="001D41EA" w:rsidRDefault="00566EA9" w:rsidP="001D41EA">
            <w:pPr>
              <w:spacing w:before="40" w:after="40"/>
              <w:rPr>
                <w:rFonts w:cs="Arial"/>
                <w:sz w:val="18"/>
                <w:szCs w:val="18"/>
              </w:rPr>
            </w:pPr>
            <w:r w:rsidRPr="001D41EA">
              <w:rPr>
                <w:rFonts w:cs="Arial"/>
                <w:sz w:val="18"/>
                <w:szCs w:val="18"/>
              </w:rPr>
              <w:t>Loddon S</w:t>
            </w:r>
          </w:p>
        </w:tc>
        <w:tc>
          <w:tcPr>
            <w:tcW w:w="1021" w:type="dxa"/>
            <w:tcBorders>
              <w:top w:val="nil"/>
              <w:left w:val="single" w:sz="18" w:space="0" w:color="5F497A" w:themeColor="accent4" w:themeShade="BF"/>
              <w:bottom w:val="nil"/>
              <w:right w:val="nil"/>
            </w:tcBorders>
            <w:shd w:val="clear" w:color="auto" w:fill="auto"/>
            <w:vAlign w:val="bottom"/>
          </w:tcPr>
          <w:p w14:paraId="30B83CB9" w14:textId="5F2AAD83" w:rsidR="00566EA9" w:rsidRPr="001D41EA" w:rsidRDefault="00566EA9" w:rsidP="001D41EA">
            <w:pPr>
              <w:spacing w:before="40" w:after="40"/>
              <w:jc w:val="center"/>
              <w:rPr>
                <w:rFonts w:cs="Arial"/>
                <w:sz w:val="18"/>
                <w:szCs w:val="18"/>
              </w:rPr>
            </w:pPr>
            <w:r w:rsidRPr="001D41EA">
              <w:rPr>
                <w:rFonts w:cs="Arial"/>
                <w:sz w:val="18"/>
                <w:szCs w:val="18"/>
              </w:rPr>
              <w:t>1.062</w:t>
            </w:r>
          </w:p>
        </w:tc>
        <w:tc>
          <w:tcPr>
            <w:tcW w:w="170" w:type="dxa"/>
            <w:tcBorders>
              <w:top w:val="nil"/>
              <w:left w:val="nil"/>
              <w:bottom w:val="nil"/>
              <w:right w:val="nil"/>
            </w:tcBorders>
            <w:shd w:val="clear" w:color="auto" w:fill="auto"/>
            <w:vAlign w:val="bottom"/>
          </w:tcPr>
          <w:p w14:paraId="26FE48CB" w14:textId="63D867D6"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043B6772" w14:textId="034F51F6" w:rsidR="00566EA9" w:rsidRPr="001D41EA" w:rsidRDefault="00566EA9" w:rsidP="001D41EA">
            <w:pPr>
              <w:spacing w:before="40" w:after="40"/>
              <w:jc w:val="center"/>
              <w:rPr>
                <w:rFonts w:cs="Arial"/>
                <w:sz w:val="18"/>
                <w:szCs w:val="18"/>
              </w:rPr>
            </w:pPr>
            <w:r w:rsidRPr="001D41EA">
              <w:rPr>
                <w:rFonts w:cs="Arial"/>
                <w:sz w:val="18"/>
                <w:szCs w:val="18"/>
              </w:rPr>
              <w:t>1.278</w:t>
            </w:r>
          </w:p>
        </w:tc>
        <w:tc>
          <w:tcPr>
            <w:tcW w:w="1021" w:type="dxa"/>
            <w:tcBorders>
              <w:top w:val="nil"/>
              <w:left w:val="nil"/>
              <w:bottom w:val="nil"/>
              <w:right w:val="nil"/>
            </w:tcBorders>
            <w:vAlign w:val="bottom"/>
          </w:tcPr>
          <w:p w14:paraId="75FC2FC4" w14:textId="1507F5E7" w:rsidR="00566EA9" w:rsidRPr="001D41EA" w:rsidRDefault="00566EA9" w:rsidP="001D41EA">
            <w:pPr>
              <w:spacing w:before="40" w:after="40"/>
              <w:jc w:val="center"/>
              <w:rPr>
                <w:rFonts w:cs="Arial"/>
                <w:sz w:val="18"/>
                <w:szCs w:val="18"/>
              </w:rPr>
            </w:pPr>
            <w:r w:rsidRPr="001D41EA">
              <w:rPr>
                <w:rFonts w:cs="Arial"/>
                <w:sz w:val="18"/>
                <w:szCs w:val="18"/>
              </w:rPr>
              <w:t>1.271</w:t>
            </w:r>
          </w:p>
        </w:tc>
        <w:tc>
          <w:tcPr>
            <w:tcW w:w="1021" w:type="dxa"/>
            <w:tcBorders>
              <w:top w:val="nil"/>
              <w:left w:val="nil"/>
              <w:bottom w:val="nil"/>
              <w:right w:val="nil"/>
            </w:tcBorders>
            <w:shd w:val="clear" w:color="auto" w:fill="auto"/>
            <w:vAlign w:val="bottom"/>
          </w:tcPr>
          <w:p w14:paraId="66C16A9C" w14:textId="6D7166D9" w:rsidR="00566EA9" w:rsidRPr="001D41EA" w:rsidRDefault="00566EA9" w:rsidP="001D41EA">
            <w:pPr>
              <w:spacing w:before="40" w:after="40"/>
              <w:jc w:val="center"/>
              <w:rPr>
                <w:rFonts w:cs="Arial"/>
                <w:sz w:val="18"/>
                <w:szCs w:val="18"/>
              </w:rPr>
            </w:pPr>
            <w:r w:rsidRPr="001D41EA">
              <w:rPr>
                <w:rFonts w:cs="Arial"/>
                <w:sz w:val="18"/>
                <w:szCs w:val="18"/>
              </w:rPr>
              <w:t>1.266</w:t>
            </w:r>
          </w:p>
        </w:tc>
        <w:tc>
          <w:tcPr>
            <w:tcW w:w="1021" w:type="dxa"/>
            <w:tcBorders>
              <w:top w:val="nil"/>
              <w:left w:val="nil"/>
              <w:bottom w:val="nil"/>
              <w:right w:val="nil"/>
            </w:tcBorders>
            <w:vAlign w:val="bottom"/>
          </w:tcPr>
          <w:p w14:paraId="43A0E1AE" w14:textId="32839210" w:rsidR="00566EA9" w:rsidRPr="001D41EA" w:rsidRDefault="00566EA9" w:rsidP="001D41EA">
            <w:pPr>
              <w:spacing w:before="40" w:after="40"/>
              <w:jc w:val="center"/>
              <w:rPr>
                <w:rFonts w:cs="Arial"/>
                <w:sz w:val="18"/>
                <w:szCs w:val="18"/>
              </w:rPr>
            </w:pPr>
            <w:r w:rsidRPr="001D41EA">
              <w:rPr>
                <w:rFonts w:cs="Arial"/>
                <w:sz w:val="18"/>
                <w:szCs w:val="18"/>
              </w:rPr>
              <w:t>1.276</w:t>
            </w:r>
          </w:p>
        </w:tc>
        <w:tc>
          <w:tcPr>
            <w:tcW w:w="1021" w:type="dxa"/>
            <w:tcBorders>
              <w:top w:val="nil"/>
              <w:left w:val="nil"/>
              <w:bottom w:val="nil"/>
              <w:right w:val="nil"/>
            </w:tcBorders>
            <w:vAlign w:val="bottom"/>
          </w:tcPr>
          <w:p w14:paraId="2523DEFB" w14:textId="7C8733C5" w:rsidR="00566EA9" w:rsidRPr="001D41EA" w:rsidRDefault="00566EA9" w:rsidP="001D41EA">
            <w:pPr>
              <w:spacing w:before="40" w:after="40"/>
              <w:jc w:val="center"/>
              <w:rPr>
                <w:rFonts w:cs="Arial"/>
                <w:sz w:val="18"/>
                <w:szCs w:val="18"/>
              </w:rPr>
            </w:pPr>
            <w:r w:rsidRPr="001D41EA">
              <w:rPr>
                <w:rFonts w:cs="Arial"/>
                <w:sz w:val="18"/>
                <w:szCs w:val="18"/>
              </w:rPr>
              <w:t>1.260</w:t>
            </w:r>
          </w:p>
        </w:tc>
        <w:tc>
          <w:tcPr>
            <w:tcW w:w="170" w:type="dxa"/>
            <w:tcBorders>
              <w:top w:val="nil"/>
              <w:left w:val="nil"/>
              <w:bottom w:val="nil"/>
              <w:right w:val="nil"/>
            </w:tcBorders>
            <w:vAlign w:val="bottom"/>
          </w:tcPr>
          <w:p w14:paraId="6C2E03C5" w14:textId="1722F7A2" w:rsidR="00566EA9" w:rsidRPr="001D41EA" w:rsidRDefault="00566EA9" w:rsidP="001D41EA">
            <w:pPr>
              <w:spacing w:before="40" w:after="40"/>
              <w:jc w:val="center"/>
              <w:rPr>
                <w:rFonts w:cs="Arial"/>
                <w:sz w:val="18"/>
                <w:szCs w:val="18"/>
              </w:rPr>
            </w:pPr>
          </w:p>
        </w:tc>
        <w:tc>
          <w:tcPr>
            <w:tcW w:w="1021" w:type="dxa"/>
            <w:tcBorders>
              <w:top w:val="nil"/>
              <w:left w:val="nil"/>
              <w:bottom w:val="nil"/>
              <w:right w:val="nil"/>
            </w:tcBorders>
            <w:vAlign w:val="bottom"/>
          </w:tcPr>
          <w:p w14:paraId="3C538C6F" w14:textId="6BB5E412" w:rsidR="00566EA9" w:rsidRPr="001D41EA" w:rsidRDefault="00566EA9" w:rsidP="001D41EA">
            <w:pPr>
              <w:spacing w:before="40" w:after="40"/>
              <w:jc w:val="center"/>
              <w:rPr>
                <w:rFonts w:cs="Arial"/>
                <w:sz w:val="18"/>
                <w:szCs w:val="18"/>
              </w:rPr>
            </w:pPr>
            <w:r w:rsidRPr="001D41EA">
              <w:rPr>
                <w:rFonts w:cs="Arial"/>
                <w:sz w:val="18"/>
                <w:szCs w:val="18"/>
              </w:rPr>
              <w:t>1.603</w:t>
            </w:r>
          </w:p>
        </w:tc>
      </w:tr>
    </w:tbl>
    <w:p w14:paraId="1DF2E88A" w14:textId="77777777" w:rsidR="00A009D7" w:rsidRPr="00A44829" w:rsidRDefault="00A009D7" w:rsidP="00FF36E8">
      <w:pPr>
        <w:spacing w:before="40" w:after="20"/>
        <w:rPr>
          <w:rFonts w:cs="Arial"/>
          <w:i/>
          <w:sz w:val="16"/>
          <w:szCs w:val="16"/>
          <w:highlight w:val="yellow"/>
        </w:rPr>
      </w:pPr>
    </w:p>
    <w:p w14:paraId="67F25122" w14:textId="4CA210BC" w:rsidR="00961975" w:rsidRPr="00A44829" w:rsidRDefault="00A009D7" w:rsidP="00FF36E8">
      <w:pPr>
        <w:spacing w:before="40" w:after="20"/>
        <w:rPr>
          <w:rFonts w:cs="Arial"/>
          <w:sz w:val="18"/>
          <w:szCs w:val="18"/>
        </w:rPr>
      </w:pPr>
      <w:r w:rsidRPr="005D19CF">
        <w:rPr>
          <w:rFonts w:cs="Arial"/>
          <w:i/>
          <w:sz w:val="16"/>
          <w:szCs w:val="16"/>
        </w:rPr>
        <w:t xml:space="preserve">* Modified Population - adjusted by </w:t>
      </w:r>
      <w:r w:rsidR="005D19CF">
        <w:rPr>
          <w:rFonts w:cs="Arial"/>
          <w:i/>
          <w:sz w:val="16"/>
          <w:szCs w:val="16"/>
        </w:rPr>
        <w:t>half</w:t>
      </w:r>
      <w:r w:rsidRPr="005D19CF">
        <w:rPr>
          <w:rFonts w:cs="Arial"/>
          <w:i/>
          <w:sz w:val="16"/>
          <w:szCs w:val="16"/>
        </w:rPr>
        <w:t xml:space="preserve"> vacancy rate to take account of part-time residents.</w:t>
      </w:r>
      <w:r w:rsidRPr="00A44829">
        <w:rPr>
          <w:rFonts w:cs="Arial"/>
          <w:i/>
          <w:sz w:val="16"/>
          <w:szCs w:val="16"/>
        </w:rPr>
        <w:t xml:space="preserve">  </w:t>
      </w:r>
    </w:p>
    <w:p w14:paraId="2DFED131" w14:textId="77777777" w:rsidR="001D41EA" w:rsidRPr="001D41EA" w:rsidRDefault="001D41EA">
      <w:pPr>
        <w:rPr>
          <w:rFonts w:cs="Arial"/>
          <w:bCs/>
          <w:color w:val="5F497A" w:themeColor="accent4" w:themeShade="BF"/>
          <w:sz w:val="4"/>
          <w:szCs w:val="4"/>
        </w:rPr>
      </w:pPr>
      <w:r>
        <w:br w:type="page"/>
      </w:r>
    </w:p>
    <w:p w14:paraId="561F784A" w14:textId="726156D8" w:rsidR="00961975" w:rsidRPr="00A44829" w:rsidRDefault="00EE4593" w:rsidP="00C33713">
      <w:pPr>
        <w:pStyle w:val="VGC-Head10"/>
      </w:pPr>
      <w:r w:rsidRPr="00A44829">
        <w:lastRenderedPageBreak/>
        <w:t>2019-20</w:t>
      </w:r>
      <w:r w:rsidR="00A97ABE" w:rsidRPr="00A44829">
        <w:t xml:space="preserve"> </w:t>
      </w:r>
      <w:r w:rsidR="00961975" w:rsidRPr="00A44829">
        <w:t>General Purpose Grants</w:t>
      </w:r>
      <w:r w:rsidR="00CE4507" w:rsidRPr="00A44829">
        <w:tab/>
        <w:t>Appendix 4</w:t>
      </w:r>
    </w:p>
    <w:p w14:paraId="1056A127" w14:textId="05398C09" w:rsidR="00961975" w:rsidRPr="00A44829" w:rsidRDefault="004F1184" w:rsidP="008C1A28">
      <w:pPr>
        <w:pStyle w:val="VGC-Head2"/>
      </w:pPr>
      <w:r w:rsidRPr="00A44829">
        <w:tab/>
      </w:r>
      <w:r w:rsidR="00961975" w:rsidRPr="00A44829">
        <w:t xml:space="preserve">D.  Cost Adjustors - </w:t>
      </w:r>
      <w:r w:rsidR="002A2397">
        <w:t>Index</w:t>
      </w:r>
    </w:p>
    <w:p w14:paraId="667108B7" w14:textId="77777777" w:rsidR="00AE0591" w:rsidRPr="00A44829" w:rsidRDefault="00AE0591"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A009D7" w:rsidRPr="00A44829" w14:paraId="43E664AA" w14:textId="77777777" w:rsidTr="00A66703">
        <w:tc>
          <w:tcPr>
            <w:tcW w:w="2268" w:type="dxa"/>
            <w:tcBorders>
              <w:top w:val="nil"/>
              <w:left w:val="nil"/>
              <w:bottom w:val="nil"/>
              <w:right w:val="single" w:sz="18" w:space="0" w:color="5F497A" w:themeColor="accent4" w:themeShade="BF"/>
            </w:tcBorders>
            <w:shd w:val="clear" w:color="auto" w:fill="auto"/>
            <w:vAlign w:val="bottom"/>
          </w:tcPr>
          <w:p w14:paraId="1968537D" w14:textId="77777777" w:rsidR="00A009D7" w:rsidRPr="00A44829" w:rsidRDefault="00A009D7" w:rsidP="00576338">
            <w:pPr>
              <w:spacing w:before="40" w:after="20"/>
              <w:ind w:right="105"/>
              <w:jc w:val="right"/>
              <w:rPr>
                <w:rFonts w:cs="Arial"/>
                <w:b/>
                <w:sz w:val="18"/>
                <w:szCs w:val="18"/>
              </w:rPr>
            </w:pPr>
            <w:r w:rsidRPr="00A44829">
              <w:rPr>
                <w:rFonts w:cs="Arial"/>
                <w:b/>
                <w:sz w:val="18"/>
                <w:szCs w:val="18"/>
              </w:rPr>
              <w:t>Cost Adjustor</w:t>
            </w:r>
          </w:p>
        </w:tc>
        <w:tc>
          <w:tcPr>
            <w:tcW w:w="2268" w:type="dxa"/>
            <w:gridSpan w:val="2"/>
            <w:tcBorders>
              <w:top w:val="nil"/>
              <w:left w:val="single" w:sz="18" w:space="0" w:color="5F497A" w:themeColor="accent4" w:themeShade="BF"/>
              <w:bottom w:val="single" w:sz="8" w:space="0" w:color="5F497A" w:themeColor="accent4" w:themeShade="BF"/>
              <w:right w:val="nil"/>
            </w:tcBorders>
            <w:shd w:val="clear" w:color="auto" w:fill="auto"/>
            <w:vAlign w:val="bottom"/>
          </w:tcPr>
          <w:p w14:paraId="52579151" w14:textId="633ECE20" w:rsidR="00A009D7" w:rsidRPr="00A44829" w:rsidRDefault="00A009D7" w:rsidP="008001AD">
            <w:pPr>
              <w:spacing w:before="40" w:after="20"/>
              <w:jc w:val="center"/>
              <w:rPr>
                <w:rFonts w:cs="Arial"/>
                <w:b/>
                <w:sz w:val="18"/>
                <w:szCs w:val="18"/>
              </w:rPr>
            </w:pPr>
            <w:r w:rsidRPr="00A44829">
              <w:rPr>
                <w:rFonts w:cs="Arial"/>
                <w:b/>
                <w:sz w:val="18"/>
                <w:szCs w:val="18"/>
              </w:rPr>
              <w:t>Indigenous Population</w:t>
            </w:r>
          </w:p>
        </w:tc>
        <w:tc>
          <w:tcPr>
            <w:tcW w:w="170" w:type="dxa"/>
            <w:vMerge w:val="restart"/>
            <w:tcBorders>
              <w:top w:val="nil"/>
              <w:left w:val="nil"/>
              <w:bottom w:val="single" w:sz="8" w:space="0" w:color="5F497A" w:themeColor="accent4" w:themeShade="BF"/>
              <w:right w:val="nil"/>
            </w:tcBorders>
            <w:vAlign w:val="bottom"/>
          </w:tcPr>
          <w:p w14:paraId="046E9F08" w14:textId="77777777" w:rsidR="00A009D7" w:rsidRPr="00A44829" w:rsidRDefault="00A009D7" w:rsidP="008001AD">
            <w:pPr>
              <w:spacing w:before="40" w:after="20"/>
              <w:jc w:val="center"/>
              <w:rPr>
                <w:rFonts w:cs="Arial"/>
                <w:b/>
                <w:sz w:val="18"/>
                <w:szCs w:val="18"/>
              </w:rPr>
            </w:pPr>
          </w:p>
        </w:tc>
        <w:tc>
          <w:tcPr>
            <w:tcW w:w="4536" w:type="dxa"/>
            <w:gridSpan w:val="4"/>
            <w:tcBorders>
              <w:top w:val="nil"/>
              <w:left w:val="nil"/>
              <w:bottom w:val="single" w:sz="8" w:space="0" w:color="5F497A" w:themeColor="accent4" w:themeShade="BF"/>
              <w:right w:val="nil"/>
            </w:tcBorders>
            <w:vAlign w:val="bottom"/>
          </w:tcPr>
          <w:p w14:paraId="22D797C7" w14:textId="5F401E23" w:rsidR="00A009D7" w:rsidRPr="00A44829" w:rsidRDefault="00A009D7" w:rsidP="008001AD">
            <w:pPr>
              <w:spacing w:before="40" w:after="20"/>
              <w:jc w:val="center"/>
              <w:rPr>
                <w:rFonts w:cs="Arial"/>
                <w:b/>
                <w:sz w:val="18"/>
                <w:szCs w:val="18"/>
              </w:rPr>
            </w:pPr>
            <w:r w:rsidRPr="00A44829">
              <w:rPr>
                <w:rFonts w:cs="Arial"/>
                <w:b/>
                <w:sz w:val="18"/>
                <w:szCs w:val="18"/>
              </w:rPr>
              <w:t>Language</w:t>
            </w:r>
          </w:p>
        </w:tc>
      </w:tr>
      <w:tr w:rsidR="00A009D7" w:rsidRPr="00A44829" w14:paraId="3E55C8B6" w14:textId="77777777" w:rsidTr="00A009D7">
        <w:tc>
          <w:tcPr>
            <w:tcW w:w="2268" w:type="dxa"/>
            <w:tcBorders>
              <w:top w:val="nil"/>
              <w:left w:val="nil"/>
              <w:bottom w:val="nil"/>
              <w:right w:val="single" w:sz="18" w:space="0" w:color="5F497A" w:themeColor="accent4" w:themeShade="BF"/>
            </w:tcBorders>
            <w:shd w:val="clear" w:color="auto" w:fill="auto"/>
            <w:vAlign w:val="bottom"/>
          </w:tcPr>
          <w:p w14:paraId="78B0B083" w14:textId="77777777" w:rsidR="00A009D7" w:rsidRPr="005D19CF" w:rsidRDefault="00A009D7" w:rsidP="00576338">
            <w:pPr>
              <w:spacing w:before="40" w:after="20"/>
              <w:ind w:right="105"/>
              <w:jc w:val="right"/>
              <w:rPr>
                <w:rFonts w:cs="Arial"/>
                <w:b/>
                <w:sz w:val="16"/>
                <w:szCs w:val="16"/>
              </w:rPr>
            </w:pPr>
            <w:r w:rsidRPr="005D19CF">
              <w:rPr>
                <w:rFonts w:cs="Arial"/>
                <w:b/>
                <w:sz w:val="16"/>
                <w:szCs w:val="16"/>
              </w:rPr>
              <w:t>Major Cost Driver</w:t>
            </w: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2D707ADE" w14:textId="77777777" w:rsidR="00A009D7" w:rsidRPr="005D19CF" w:rsidRDefault="00A009D7" w:rsidP="008001AD">
            <w:pPr>
              <w:spacing w:before="40" w:after="20"/>
              <w:jc w:val="center"/>
              <w:rPr>
                <w:rFonts w:cs="Arial"/>
                <w:sz w:val="16"/>
                <w:szCs w:val="16"/>
              </w:rPr>
            </w:pPr>
            <w:r w:rsidRPr="005D19CF">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4F265211" w14:textId="3E2BAE36" w:rsidR="00A009D7" w:rsidRPr="005D19CF" w:rsidRDefault="00A009D7" w:rsidP="008001AD">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20,000)</w:t>
            </w:r>
          </w:p>
        </w:tc>
        <w:tc>
          <w:tcPr>
            <w:tcW w:w="170" w:type="dxa"/>
            <w:vMerge/>
            <w:tcBorders>
              <w:top w:val="single" w:sz="8" w:space="0" w:color="5F497A" w:themeColor="accent4" w:themeShade="BF"/>
              <w:left w:val="nil"/>
              <w:bottom w:val="single" w:sz="8" w:space="0" w:color="5F497A" w:themeColor="accent4" w:themeShade="BF"/>
              <w:right w:val="nil"/>
            </w:tcBorders>
            <w:vAlign w:val="bottom"/>
          </w:tcPr>
          <w:p w14:paraId="0C273197" w14:textId="77777777" w:rsidR="00A009D7" w:rsidRPr="005D19CF" w:rsidRDefault="00A009D7" w:rsidP="008001AD">
            <w:pPr>
              <w:spacing w:before="40" w:after="20"/>
              <w:jc w:val="center"/>
              <w:rPr>
                <w:rFonts w:cs="Arial"/>
                <w:sz w:val="16"/>
                <w:szCs w:val="16"/>
              </w:rPr>
            </w:pP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56A63868" w14:textId="77777777" w:rsidR="00A009D7" w:rsidRPr="005D19CF" w:rsidRDefault="00A009D7" w:rsidP="008001AD">
            <w:pPr>
              <w:spacing w:before="40" w:after="20"/>
              <w:jc w:val="center"/>
              <w:rPr>
                <w:rFonts w:cs="Arial"/>
                <w:sz w:val="16"/>
                <w:szCs w:val="16"/>
              </w:rPr>
            </w:pPr>
            <w:r w:rsidRPr="005D19CF">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41CEE3B8" w14:textId="6E9DAC8B" w:rsidR="00A009D7" w:rsidRPr="005D19CF" w:rsidRDefault="00A009D7" w:rsidP="008001AD">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20,000)</w:t>
            </w:r>
          </w:p>
        </w:tc>
        <w:tc>
          <w:tcPr>
            <w:tcW w:w="1134" w:type="dxa"/>
            <w:tcBorders>
              <w:top w:val="single" w:sz="8" w:space="0" w:color="5F497A" w:themeColor="accent4" w:themeShade="BF"/>
              <w:left w:val="nil"/>
              <w:bottom w:val="single" w:sz="8" w:space="0" w:color="5F497A" w:themeColor="accent4" w:themeShade="BF"/>
              <w:right w:val="nil"/>
            </w:tcBorders>
          </w:tcPr>
          <w:p w14:paraId="1D6FE3F5" w14:textId="519D2B83" w:rsidR="00A009D7" w:rsidRPr="005D19CF" w:rsidRDefault="00A009D7" w:rsidP="008001AD">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(no min)</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3902DFF0" w14:textId="0A5296CD" w:rsidR="00A009D7" w:rsidRPr="00A44829" w:rsidRDefault="00A009D7" w:rsidP="008001AD">
            <w:pPr>
              <w:spacing w:before="40" w:after="20"/>
              <w:jc w:val="center"/>
              <w:rPr>
                <w:rFonts w:cs="Arial"/>
                <w:sz w:val="16"/>
                <w:szCs w:val="16"/>
              </w:rPr>
            </w:pPr>
            <w:r w:rsidRPr="005D19CF">
              <w:rPr>
                <w:rFonts w:cs="Arial"/>
                <w:sz w:val="16"/>
                <w:szCs w:val="16"/>
              </w:rPr>
              <w:t xml:space="preserve">Population </w:t>
            </w:r>
            <w:r w:rsidRPr="005D19CF">
              <w:rPr>
                <w:rFonts w:cs="Arial"/>
                <w:sz w:val="16"/>
                <w:szCs w:val="16"/>
              </w:rPr>
              <w:br/>
              <w:t>&gt; 60 years</w:t>
            </w:r>
          </w:p>
        </w:tc>
      </w:tr>
      <w:tr w:rsidR="00566EA9" w:rsidRPr="001D41EA" w14:paraId="54FBD68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C01D5BD" w14:textId="77777777" w:rsidR="00566EA9" w:rsidRPr="001D41EA" w:rsidRDefault="00566EA9" w:rsidP="001D41EA">
            <w:pPr>
              <w:spacing w:before="40" w:after="4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6D71BBE1" w14:textId="3382ACF0"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3F418945" w14:textId="373137AC" w:rsidR="00566EA9" w:rsidRPr="001D41EA" w:rsidRDefault="00566EA9" w:rsidP="001D41EA">
            <w:pPr>
              <w:spacing w:before="40" w:after="4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503BF083" w14:textId="76319C12"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2686A044" w14:textId="683D4F87"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15BF1FE8" w14:textId="1320EAF4"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67B78C69" w14:textId="70E23E3F"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6037BA88" w14:textId="327AEC27" w:rsidR="00566EA9" w:rsidRPr="001D41EA" w:rsidRDefault="00566EA9" w:rsidP="001D41EA">
            <w:pPr>
              <w:spacing w:before="40" w:after="40"/>
              <w:jc w:val="center"/>
              <w:rPr>
                <w:rFonts w:cs="Arial"/>
                <w:sz w:val="18"/>
                <w:szCs w:val="18"/>
              </w:rPr>
            </w:pPr>
          </w:p>
        </w:tc>
      </w:tr>
      <w:tr w:rsidR="00566EA9" w:rsidRPr="001D41EA" w14:paraId="21C6A02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C622B85" w14:textId="77777777" w:rsidR="00566EA9" w:rsidRPr="001D41EA" w:rsidRDefault="00566EA9" w:rsidP="001D41EA">
            <w:pPr>
              <w:spacing w:before="40" w:after="40"/>
              <w:rPr>
                <w:rFonts w:cs="Arial"/>
                <w:sz w:val="18"/>
                <w:szCs w:val="18"/>
              </w:rPr>
            </w:pPr>
            <w:r w:rsidRPr="001D41EA">
              <w:rPr>
                <w:rFonts w:cs="Arial"/>
                <w:sz w:val="18"/>
                <w:szCs w:val="18"/>
              </w:rPr>
              <w:t>Alpine S</w:t>
            </w:r>
          </w:p>
        </w:tc>
        <w:tc>
          <w:tcPr>
            <w:tcW w:w="1134" w:type="dxa"/>
            <w:tcBorders>
              <w:top w:val="nil"/>
              <w:left w:val="single" w:sz="18" w:space="0" w:color="5F497A" w:themeColor="accent4" w:themeShade="BF"/>
              <w:bottom w:val="nil"/>
              <w:right w:val="nil"/>
            </w:tcBorders>
            <w:shd w:val="clear" w:color="auto" w:fill="auto"/>
            <w:vAlign w:val="bottom"/>
          </w:tcPr>
          <w:p w14:paraId="3D2C80C8" w14:textId="4FC48C3B" w:rsidR="00566EA9" w:rsidRPr="001D41EA" w:rsidRDefault="00566EA9" w:rsidP="001D41EA">
            <w:pPr>
              <w:spacing w:before="40" w:after="40"/>
              <w:jc w:val="center"/>
              <w:rPr>
                <w:rFonts w:cs="Arial"/>
                <w:sz w:val="18"/>
                <w:szCs w:val="18"/>
              </w:rPr>
            </w:pPr>
            <w:r w:rsidRPr="001D41EA">
              <w:rPr>
                <w:rFonts w:cs="Arial"/>
                <w:sz w:val="18"/>
                <w:szCs w:val="18"/>
              </w:rPr>
              <w:t>1.019</w:t>
            </w:r>
          </w:p>
        </w:tc>
        <w:tc>
          <w:tcPr>
            <w:tcW w:w="1134" w:type="dxa"/>
            <w:tcBorders>
              <w:top w:val="nil"/>
              <w:left w:val="nil"/>
              <w:bottom w:val="nil"/>
              <w:right w:val="nil"/>
            </w:tcBorders>
            <w:vAlign w:val="bottom"/>
          </w:tcPr>
          <w:p w14:paraId="6F554EF9" w14:textId="424495AA" w:rsidR="00566EA9" w:rsidRPr="001D41EA" w:rsidRDefault="00566EA9" w:rsidP="001D41EA">
            <w:pPr>
              <w:spacing w:before="40" w:after="40"/>
              <w:jc w:val="center"/>
              <w:rPr>
                <w:rFonts w:cs="Arial"/>
                <w:sz w:val="18"/>
                <w:szCs w:val="18"/>
              </w:rPr>
            </w:pPr>
            <w:r w:rsidRPr="001D41EA">
              <w:rPr>
                <w:rFonts w:cs="Arial"/>
                <w:sz w:val="18"/>
                <w:szCs w:val="18"/>
              </w:rPr>
              <w:t>1.016</w:t>
            </w:r>
          </w:p>
        </w:tc>
        <w:tc>
          <w:tcPr>
            <w:tcW w:w="170" w:type="dxa"/>
            <w:tcBorders>
              <w:top w:val="nil"/>
              <w:left w:val="nil"/>
              <w:bottom w:val="nil"/>
              <w:right w:val="nil"/>
            </w:tcBorders>
            <w:vAlign w:val="bottom"/>
          </w:tcPr>
          <w:p w14:paraId="36C389E3" w14:textId="7E8F4205"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68DA4CE" w14:textId="5C2E799E" w:rsidR="00566EA9" w:rsidRPr="001D41EA" w:rsidRDefault="00566EA9" w:rsidP="001D41EA">
            <w:pPr>
              <w:spacing w:before="40" w:after="40"/>
              <w:jc w:val="center"/>
              <w:rPr>
                <w:rFonts w:cs="Arial"/>
                <w:sz w:val="18"/>
                <w:szCs w:val="18"/>
              </w:rPr>
            </w:pPr>
            <w:r w:rsidRPr="001D41EA">
              <w:rPr>
                <w:rFonts w:cs="Arial"/>
                <w:sz w:val="18"/>
                <w:szCs w:val="18"/>
              </w:rPr>
              <w:t>0.830</w:t>
            </w:r>
          </w:p>
        </w:tc>
        <w:tc>
          <w:tcPr>
            <w:tcW w:w="1134" w:type="dxa"/>
            <w:tcBorders>
              <w:top w:val="nil"/>
              <w:left w:val="nil"/>
              <w:bottom w:val="nil"/>
              <w:right w:val="nil"/>
            </w:tcBorders>
            <w:vAlign w:val="bottom"/>
          </w:tcPr>
          <w:p w14:paraId="02F8366D" w14:textId="7DFC7A96" w:rsidR="00566EA9" w:rsidRPr="001D41EA" w:rsidRDefault="00566EA9" w:rsidP="001D41EA">
            <w:pPr>
              <w:spacing w:before="40" w:after="40"/>
              <w:jc w:val="center"/>
              <w:rPr>
                <w:rFonts w:cs="Arial"/>
                <w:sz w:val="18"/>
                <w:szCs w:val="18"/>
              </w:rPr>
            </w:pPr>
            <w:r w:rsidRPr="001D41EA">
              <w:rPr>
                <w:rFonts w:cs="Arial"/>
                <w:sz w:val="18"/>
                <w:szCs w:val="18"/>
              </w:rPr>
              <w:t>0.836</w:t>
            </w:r>
          </w:p>
        </w:tc>
        <w:tc>
          <w:tcPr>
            <w:tcW w:w="1134" w:type="dxa"/>
            <w:tcBorders>
              <w:top w:val="nil"/>
              <w:left w:val="nil"/>
              <w:bottom w:val="nil"/>
              <w:right w:val="nil"/>
            </w:tcBorders>
            <w:vAlign w:val="bottom"/>
          </w:tcPr>
          <w:p w14:paraId="1D6FC591" w14:textId="59F7C4AD" w:rsidR="00566EA9" w:rsidRPr="001D41EA" w:rsidRDefault="00566EA9" w:rsidP="001D41EA">
            <w:pPr>
              <w:spacing w:before="40" w:after="40"/>
              <w:jc w:val="center"/>
              <w:rPr>
                <w:rFonts w:cs="Arial"/>
                <w:sz w:val="18"/>
                <w:szCs w:val="18"/>
              </w:rPr>
            </w:pPr>
            <w:r w:rsidRPr="001D41EA">
              <w:rPr>
                <w:rFonts w:cs="Arial"/>
                <w:sz w:val="18"/>
                <w:szCs w:val="18"/>
              </w:rPr>
              <w:t>0.832</w:t>
            </w:r>
          </w:p>
        </w:tc>
        <w:tc>
          <w:tcPr>
            <w:tcW w:w="1134" w:type="dxa"/>
            <w:tcBorders>
              <w:top w:val="nil"/>
              <w:left w:val="nil"/>
              <w:bottom w:val="nil"/>
              <w:right w:val="nil"/>
            </w:tcBorders>
            <w:vAlign w:val="bottom"/>
          </w:tcPr>
          <w:p w14:paraId="074CA0EF" w14:textId="1141082D" w:rsidR="00566EA9" w:rsidRPr="001D41EA" w:rsidRDefault="00566EA9" w:rsidP="001D41EA">
            <w:pPr>
              <w:spacing w:before="40" w:after="40"/>
              <w:jc w:val="center"/>
              <w:rPr>
                <w:rFonts w:cs="Arial"/>
                <w:sz w:val="18"/>
                <w:szCs w:val="18"/>
              </w:rPr>
            </w:pPr>
            <w:r w:rsidRPr="001D41EA">
              <w:rPr>
                <w:rFonts w:cs="Arial"/>
                <w:sz w:val="18"/>
                <w:szCs w:val="18"/>
              </w:rPr>
              <w:t>0.848</w:t>
            </w:r>
          </w:p>
        </w:tc>
      </w:tr>
      <w:tr w:rsidR="00566EA9" w:rsidRPr="001D41EA" w14:paraId="3F44410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BFBEDC0" w14:textId="77777777" w:rsidR="00566EA9" w:rsidRPr="001D41EA" w:rsidRDefault="00566EA9" w:rsidP="001D41EA">
            <w:pPr>
              <w:spacing w:before="40" w:after="40"/>
              <w:rPr>
                <w:rFonts w:cs="Arial"/>
                <w:sz w:val="18"/>
                <w:szCs w:val="18"/>
              </w:rPr>
            </w:pPr>
            <w:r w:rsidRPr="001D41EA">
              <w:rPr>
                <w:rFonts w:cs="Arial"/>
                <w:sz w:val="18"/>
                <w:szCs w:val="18"/>
              </w:rPr>
              <w:t>Ararat RC</w:t>
            </w:r>
          </w:p>
        </w:tc>
        <w:tc>
          <w:tcPr>
            <w:tcW w:w="1134" w:type="dxa"/>
            <w:tcBorders>
              <w:top w:val="nil"/>
              <w:left w:val="single" w:sz="18" w:space="0" w:color="5F497A" w:themeColor="accent4" w:themeShade="BF"/>
              <w:bottom w:val="nil"/>
              <w:right w:val="nil"/>
            </w:tcBorders>
            <w:shd w:val="clear" w:color="auto" w:fill="auto"/>
            <w:vAlign w:val="bottom"/>
          </w:tcPr>
          <w:p w14:paraId="6ADCC2AA" w14:textId="06E36C56" w:rsidR="00566EA9" w:rsidRPr="001D41EA" w:rsidRDefault="00566EA9" w:rsidP="001D41EA">
            <w:pPr>
              <w:spacing w:before="40" w:after="40"/>
              <w:jc w:val="center"/>
              <w:rPr>
                <w:rFonts w:cs="Arial"/>
                <w:sz w:val="18"/>
                <w:szCs w:val="18"/>
              </w:rPr>
            </w:pPr>
            <w:r w:rsidRPr="001D41EA">
              <w:rPr>
                <w:rFonts w:cs="Arial"/>
                <w:sz w:val="18"/>
                <w:szCs w:val="18"/>
              </w:rPr>
              <w:t>1.154</w:t>
            </w:r>
          </w:p>
        </w:tc>
        <w:tc>
          <w:tcPr>
            <w:tcW w:w="1134" w:type="dxa"/>
            <w:tcBorders>
              <w:top w:val="nil"/>
              <w:left w:val="nil"/>
              <w:bottom w:val="nil"/>
              <w:right w:val="nil"/>
            </w:tcBorders>
            <w:vAlign w:val="bottom"/>
          </w:tcPr>
          <w:p w14:paraId="3224E919" w14:textId="5DBFC561" w:rsidR="00566EA9" w:rsidRPr="001D41EA" w:rsidRDefault="00566EA9" w:rsidP="001D41EA">
            <w:pPr>
              <w:spacing w:before="40" w:after="40"/>
              <w:jc w:val="center"/>
              <w:rPr>
                <w:rFonts w:cs="Arial"/>
                <w:sz w:val="18"/>
                <w:szCs w:val="18"/>
              </w:rPr>
            </w:pPr>
            <w:r w:rsidRPr="001D41EA">
              <w:rPr>
                <w:rFonts w:cs="Arial"/>
                <w:sz w:val="18"/>
                <w:szCs w:val="18"/>
              </w:rPr>
              <w:t>1.151</w:t>
            </w:r>
          </w:p>
        </w:tc>
        <w:tc>
          <w:tcPr>
            <w:tcW w:w="170" w:type="dxa"/>
            <w:tcBorders>
              <w:top w:val="nil"/>
              <w:left w:val="nil"/>
              <w:bottom w:val="nil"/>
              <w:right w:val="nil"/>
            </w:tcBorders>
            <w:vAlign w:val="bottom"/>
          </w:tcPr>
          <w:p w14:paraId="4D0F28F1" w14:textId="58E4B79F"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59A27C9E" w14:textId="2104058A" w:rsidR="00566EA9" w:rsidRPr="001D41EA" w:rsidRDefault="00566EA9" w:rsidP="001D41EA">
            <w:pPr>
              <w:spacing w:before="40" w:after="40"/>
              <w:jc w:val="center"/>
              <w:rPr>
                <w:rFonts w:cs="Arial"/>
                <w:sz w:val="18"/>
                <w:szCs w:val="18"/>
              </w:rPr>
            </w:pPr>
            <w:r w:rsidRPr="001D41EA">
              <w:rPr>
                <w:rFonts w:cs="Arial"/>
                <w:sz w:val="18"/>
                <w:szCs w:val="18"/>
              </w:rPr>
              <w:t>0.818</w:t>
            </w:r>
          </w:p>
        </w:tc>
        <w:tc>
          <w:tcPr>
            <w:tcW w:w="1134" w:type="dxa"/>
            <w:tcBorders>
              <w:top w:val="nil"/>
              <w:left w:val="nil"/>
              <w:bottom w:val="nil"/>
              <w:right w:val="nil"/>
            </w:tcBorders>
            <w:vAlign w:val="bottom"/>
          </w:tcPr>
          <w:p w14:paraId="499395C9" w14:textId="325536CE" w:rsidR="00566EA9" w:rsidRPr="001D41EA" w:rsidRDefault="00566EA9" w:rsidP="001D41EA">
            <w:pPr>
              <w:spacing w:before="40" w:after="40"/>
              <w:jc w:val="center"/>
              <w:rPr>
                <w:rFonts w:cs="Arial"/>
                <w:sz w:val="18"/>
                <w:szCs w:val="18"/>
              </w:rPr>
            </w:pPr>
            <w:r w:rsidRPr="001D41EA">
              <w:rPr>
                <w:rFonts w:cs="Arial"/>
                <w:sz w:val="18"/>
                <w:szCs w:val="18"/>
              </w:rPr>
              <w:t>0.824</w:t>
            </w:r>
          </w:p>
        </w:tc>
        <w:tc>
          <w:tcPr>
            <w:tcW w:w="1134" w:type="dxa"/>
            <w:tcBorders>
              <w:top w:val="nil"/>
              <w:left w:val="nil"/>
              <w:bottom w:val="nil"/>
              <w:right w:val="nil"/>
            </w:tcBorders>
            <w:vAlign w:val="bottom"/>
          </w:tcPr>
          <w:p w14:paraId="3299449F" w14:textId="0A24551B" w:rsidR="00566EA9" w:rsidRPr="001D41EA" w:rsidRDefault="00566EA9" w:rsidP="001D41EA">
            <w:pPr>
              <w:spacing w:before="40" w:after="40"/>
              <w:jc w:val="center"/>
              <w:rPr>
                <w:rFonts w:cs="Arial"/>
                <w:sz w:val="18"/>
                <w:szCs w:val="18"/>
              </w:rPr>
            </w:pPr>
            <w:r w:rsidRPr="001D41EA">
              <w:rPr>
                <w:rFonts w:cs="Arial"/>
                <w:sz w:val="18"/>
                <w:szCs w:val="18"/>
              </w:rPr>
              <w:t>0.820</w:t>
            </w:r>
          </w:p>
        </w:tc>
        <w:tc>
          <w:tcPr>
            <w:tcW w:w="1134" w:type="dxa"/>
            <w:tcBorders>
              <w:top w:val="nil"/>
              <w:left w:val="nil"/>
              <w:bottom w:val="nil"/>
              <w:right w:val="nil"/>
            </w:tcBorders>
            <w:vAlign w:val="bottom"/>
          </w:tcPr>
          <w:p w14:paraId="3DE6186F" w14:textId="2EE19F3D" w:rsidR="00566EA9" w:rsidRPr="001D41EA" w:rsidRDefault="00566EA9" w:rsidP="001D41EA">
            <w:pPr>
              <w:spacing w:before="40" w:after="40"/>
              <w:jc w:val="center"/>
              <w:rPr>
                <w:rFonts w:cs="Arial"/>
                <w:sz w:val="18"/>
                <w:szCs w:val="18"/>
              </w:rPr>
            </w:pPr>
            <w:r w:rsidRPr="001D41EA">
              <w:rPr>
                <w:rFonts w:cs="Arial"/>
                <w:sz w:val="18"/>
                <w:szCs w:val="18"/>
              </w:rPr>
              <w:t>0.836</w:t>
            </w:r>
          </w:p>
        </w:tc>
      </w:tr>
      <w:tr w:rsidR="00566EA9" w:rsidRPr="001D41EA" w14:paraId="5AF7681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8806AB0" w14:textId="77777777" w:rsidR="00566EA9" w:rsidRPr="001D41EA" w:rsidRDefault="00566EA9" w:rsidP="001D41EA">
            <w:pPr>
              <w:spacing w:before="40" w:after="40"/>
              <w:rPr>
                <w:rFonts w:cs="Arial"/>
                <w:sz w:val="18"/>
                <w:szCs w:val="18"/>
              </w:rPr>
            </w:pPr>
            <w:r w:rsidRPr="001D41EA">
              <w:rPr>
                <w:rFonts w:cs="Arial"/>
                <w:sz w:val="18"/>
                <w:szCs w:val="18"/>
              </w:rPr>
              <w:t>Ballarat C</w:t>
            </w:r>
          </w:p>
        </w:tc>
        <w:tc>
          <w:tcPr>
            <w:tcW w:w="1134" w:type="dxa"/>
            <w:tcBorders>
              <w:top w:val="nil"/>
              <w:left w:val="single" w:sz="18" w:space="0" w:color="5F497A" w:themeColor="accent4" w:themeShade="BF"/>
              <w:bottom w:val="nil"/>
              <w:right w:val="nil"/>
            </w:tcBorders>
            <w:shd w:val="clear" w:color="auto" w:fill="auto"/>
            <w:vAlign w:val="bottom"/>
          </w:tcPr>
          <w:p w14:paraId="3189A90C" w14:textId="20A6A401" w:rsidR="00566EA9" w:rsidRPr="001D41EA" w:rsidRDefault="00566EA9" w:rsidP="001D41EA">
            <w:pPr>
              <w:spacing w:before="40" w:after="40"/>
              <w:jc w:val="center"/>
              <w:rPr>
                <w:rFonts w:cs="Arial"/>
                <w:sz w:val="18"/>
                <w:szCs w:val="18"/>
              </w:rPr>
            </w:pPr>
            <w:r w:rsidRPr="001D41EA">
              <w:rPr>
                <w:rFonts w:cs="Arial"/>
                <w:sz w:val="18"/>
                <w:szCs w:val="18"/>
              </w:rPr>
              <w:t>1.147</w:t>
            </w:r>
          </w:p>
        </w:tc>
        <w:tc>
          <w:tcPr>
            <w:tcW w:w="1134" w:type="dxa"/>
            <w:tcBorders>
              <w:top w:val="nil"/>
              <w:left w:val="nil"/>
              <w:bottom w:val="nil"/>
              <w:right w:val="nil"/>
            </w:tcBorders>
            <w:vAlign w:val="bottom"/>
          </w:tcPr>
          <w:p w14:paraId="0926F34D" w14:textId="33EE80B9" w:rsidR="00566EA9" w:rsidRPr="001D41EA" w:rsidRDefault="00566EA9" w:rsidP="001D41EA">
            <w:pPr>
              <w:spacing w:before="40" w:after="40"/>
              <w:jc w:val="center"/>
              <w:rPr>
                <w:rFonts w:cs="Arial"/>
                <w:sz w:val="18"/>
                <w:szCs w:val="18"/>
              </w:rPr>
            </w:pPr>
            <w:r w:rsidRPr="001D41EA">
              <w:rPr>
                <w:rFonts w:cs="Arial"/>
                <w:sz w:val="18"/>
                <w:szCs w:val="18"/>
              </w:rPr>
              <w:t>1.143</w:t>
            </w:r>
          </w:p>
        </w:tc>
        <w:tc>
          <w:tcPr>
            <w:tcW w:w="170" w:type="dxa"/>
            <w:tcBorders>
              <w:top w:val="nil"/>
              <w:left w:val="nil"/>
              <w:bottom w:val="nil"/>
              <w:right w:val="nil"/>
            </w:tcBorders>
            <w:vAlign w:val="bottom"/>
          </w:tcPr>
          <w:p w14:paraId="36507E74" w14:textId="596527B3"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49100BCC" w14:textId="5FCD0230" w:rsidR="00566EA9" w:rsidRPr="001D41EA" w:rsidRDefault="00566EA9" w:rsidP="001D41EA">
            <w:pPr>
              <w:spacing w:before="40" w:after="40"/>
              <w:jc w:val="center"/>
              <w:rPr>
                <w:rFonts w:cs="Arial"/>
                <w:sz w:val="18"/>
                <w:szCs w:val="18"/>
              </w:rPr>
            </w:pPr>
            <w:r w:rsidRPr="001D41EA">
              <w:rPr>
                <w:rFonts w:cs="Arial"/>
                <w:sz w:val="18"/>
                <w:szCs w:val="18"/>
              </w:rPr>
              <w:t>0.815</w:t>
            </w:r>
          </w:p>
        </w:tc>
        <w:tc>
          <w:tcPr>
            <w:tcW w:w="1134" w:type="dxa"/>
            <w:tcBorders>
              <w:top w:val="nil"/>
              <w:left w:val="nil"/>
              <w:bottom w:val="nil"/>
              <w:right w:val="nil"/>
            </w:tcBorders>
            <w:vAlign w:val="bottom"/>
          </w:tcPr>
          <w:p w14:paraId="07A15AEB" w14:textId="56D9C221" w:rsidR="00566EA9" w:rsidRPr="001D41EA" w:rsidRDefault="00566EA9" w:rsidP="001D41EA">
            <w:pPr>
              <w:spacing w:before="40" w:after="40"/>
              <w:jc w:val="center"/>
              <w:rPr>
                <w:rFonts w:cs="Arial"/>
                <w:sz w:val="18"/>
                <w:szCs w:val="18"/>
              </w:rPr>
            </w:pPr>
            <w:r w:rsidRPr="001D41EA">
              <w:rPr>
                <w:rFonts w:cs="Arial"/>
                <w:sz w:val="18"/>
                <w:szCs w:val="18"/>
              </w:rPr>
              <w:t>0.821</w:t>
            </w:r>
          </w:p>
        </w:tc>
        <w:tc>
          <w:tcPr>
            <w:tcW w:w="1134" w:type="dxa"/>
            <w:tcBorders>
              <w:top w:val="nil"/>
              <w:left w:val="nil"/>
              <w:bottom w:val="nil"/>
              <w:right w:val="nil"/>
            </w:tcBorders>
            <w:vAlign w:val="bottom"/>
          </w:tcPr>
          <w:p w14:paraId="04451E6D" w14:textId="7AF94BE5" w:rsidR="00566EA9" w:rsidRPr="001D41EA" w:rsidRDefault="00566EA9" w:rsidP="001D41EA">
            <w:pPr>
              <w:spacing w:before="40" w:after="40"/>
              <w:jc w:val="center"/>
              <w:rPr>
                <w:rFonts w:cs="Arial"/>
                <w:sz w:val="18"/>
                <w:szCs w:val="18"/>
              </w:rPr>
            </w:pPr>
            <w:r w:rsidRPr="001D41EA">
              <w:rPr>
                <w:rFonts w:cs="Arial"/>
                <w:sz w:val="18"/>
                <w:szCs w:val="18"/>
              </w:rPr>
              <w:t>0.817</w:t>
            </w:r>
          </w:p>
        </w:tc>
        <w:tc>
          <w:tcPr>
            <w:tcW w:w="1134" w:type="dxa"/>
            <w:tcBorders>
              <w:top w:val="nil"/>
              <w:left w:val="nil"/>
              <w:bottom w:val="nil"/>
              <w:right w:val="nil"/>
            </w:tcBorders>
            <w:vAlign w:val="bottom"/>
          </w:tcPr>
          <w:p w14:paraId="542999A0" w14:textId="48E17D36" w:rsidR="00566EA9" w:rsidRPr="001D41EA" w:rsidRDefault="00566EA9" w:rsidP="001D41EA">
            <w:pPr>
              <w:spacing w:before="40" w:after="40"/>
              <w:jc w:val="center"/>
              <w:rPr>
                <w:rFonts w:cs="Arial"/>
                <w:sz w:val="18"/>
                <w:szCs w:val="18"/>
              </w:rPr>
            </w:pPr>
            <w:r w:rsidRPr="001D41EA">
              <w:rPr>
                <w:rFonts w:cs="Arial"/>
                <w:sz w:val="18"/>
                <w:szCs w:val="18"/>
              </w:rPr>
              <w:t>0.833</w:t>
            </w:r>
          </w:p>
        </w:tc>
      </w:tr>
      <w:tr w:rsidR="00566EA9" w:rsidRPr="001D41EA" w14:paraId="26BB4A1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0601EF4" w14:textId="77777777" w:rsidR="00566EA9" w:rsidRPr="001D41EA" w:rsidRDefault="00566EA9" w:rsidP="001D41EA">
            <w:pPr>
              <w:spacing w:before="40" w:after="40"/>
              <w:rPr>
                <w:rFonts w:cs="Arial"/>
                <w:sz w:val="18"/>
                <w:szCs w:val="18"/>
              </w:rPr>
            </w:pPr>
            <w:r w:rsidRPr="001D41EA">
              <w:rPr>
                <w:rFonts w:cs="Arial"/>
                <w:sz w:val="18"/>
                <w:szCs w:val="18"/>
              </w:rPr>
              <w:t>Banyule C</w:t>
            </w:r>
          </w:p>
        </w:tc>
        <w:tc>
          <w:tcPr>
            <w:tcW w:w="1134" w:type="dxa"/>
            <w:tcBorders>
              <w:top w:val="nil"/>
              <w:left w:val="single" w:sz="18" w:space="0" w:color="5F497A" w:themeColor="accent4" w:themeShade="BF"/>
              <w:bottom w:val="nil"/>
              <w:right w:val="nil"/>
            </w:tcBorders>
            <w:shd w:val="clear" w:color="auto" w:fill="auto"/>
            <w:vAlign w:val="bottom"/>
          </w:tcPr>
          <w:p w14:paraId="62905B1E" w14:textId="0D8D658D" w:rsidR="00566EA9" w:rsidRPr="001D41EA" w:rsidRDefault="00566EA9" w:rsidP="001D41EA">
            <w:pPr>
              <w:spacing w:before="40" w:after="40"/>
              <w:jc w:val="center"/>
              <w:rPr>
                <w:rFonts w:cs="Arial"/>
                <w:sz w:val="18"/>
                <w:szCs w:val="18"/>
              </w:rPr>
            </w:pPr>
            <w:r w:rsidRPr="001D41EA">
              <w:rPr>
                <w:rFonts w:cs="Arial"/>
                <w:sz w:val="18"/>
                <w:szCs w:val="18"/>
              </w:rPr>
              <w:t>0.953</w:t>
            </w:r>
          </w:p>
        </w:tc>
        <w:tc>
          <w:tcPr>
            <w:tcW w:w="1134" w:type="dxa"/>
            <w:tcBorders>
              <w:top w:val="nil"/>
              <w:left w:val="nil"/>
              <w:bottom w:val="nil"/>
              <w:right w:val="nil"/>
            </w:tcBorders>
            <w:vAlign w:val="bottom"/>
          </w:tcPr>
          <w:p w14:paraId="57047DFD" w14:textId="047D790A" w:rsidR="00566EA9" w:rsidRPr="001D41EA" w:rsidRDefault="00566EA9" w:rsidP="001D41EA">
            <w:pPr>
              <w:spacing w:before="40" w:after="40"/>
              <w:jc w:val="center"/>
              <w:rPr>
                <w:rFonts w:cs="Arial"/>
                <w:sz w:val="18"/>
                <w:szCs w:val="18"/>
              </w:rPr>
            </w:pPr>
            <w:r w:rsidRPr="001D41EA">
              <w:rPr>
                <w:rFonts w:cs="Arial"/>
                <w:sz w:val="18"/>
                <w:szCs w:val="18"/>
              </w:rPr>
              <w:t>0.950</w:t>
            </w:r>
          </w:p>
        </w:tc>
        <w:tc>
          <w:tcPr>
            <w:tcW w:w="170" w:type="dxa"/>
            <w:tcBorders>
              <w:top w:val="nil"/>
              <w:left w:val="nil"/>
              <w:bottom w:val="nil"/>
              <w:right w:val="nil"/>
            </w:tcBorders>
            <w:vAlign w:val="bottom"/>
          </w:tcPr>
          <w:p w14:paraId="626248EC" w14:textId="18B0EF2C"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6F9462CB" w14:textId="5C992B8E" w:rsidR="00566EA9" w:rsidRPr="001D41EA" w:rsidRDefault="00566EA9" w:rsidP="001D41EA">
            <w:pPr>
              <w:spacing w:before="40" w:after="40"/>
              <w:jc w:val="center"/>
              <w:rPr>
                <w:rFonts w:cs="Arial"/>
                <w:sz w:val="18"/>
                <w:szCs w:val="18"/>
              </w:rPr>
            </w:pPr>
            <w:r w:rsidRPr="001D41EA">
              <w:rPr>
                <w:rFonts w:cs="Arial"/>
                <w:sz w:val="18"/>
                <w:szCs w:val="18"/>
              </w:rPr>
              <w:t>0.924</w:t>
            </w:r>
          </w:p>
        </w:tc>
        <w:tc>
          <w:tcPr>
            <w:tcW w:w="1134" w:type="dxa"/>
            <w:tcBorders>
              <w:top w:val="nil"/>
              <w:left w:val="nil"/>
              <w:bottom w:val="nil"/>
              <w:right w:val="nil"/>
            </w:tcBorders>
            <w:vAlign w:val="bottom"/>
          </w:tcPr>
          <w:p w14:paraId="2A9EF684" w14:textId="7B28C5E4" w:rsidR="00566EA9" w:rsidRPr="001D41EA" w:rsidRDefault="00566EA9" w:rsidP="001D41EA">
            <w:pPr>
              <w:spacing w:before="40" w:after="40"/>
              <w:jc w:val="center"/>
              <w:rPr>
                <w:rFonts w:cs="Arial"/>
                <w:sz w:val="18"/>
                <w:szCs w:val="18"/>
              </w:rPr>
            </w:pPr>
            <w:r w:rsidRPr="001D41EA">
              <w:rPr>
                <w:rFonts w:cs="Arial"/>
                <w:sz w:val="18"/>
                <w:szCs w:val="18"/>
              </w:rPr>
              <w:t>0.931</w:t>
            </w:r>
          </w:p>
        </w:tc>
        <w:tc>
          <w:tcPr>
            <w:tcW w:w="1134" w:type="dxa"/>
            <w:tcBorders>
              <w:top w:val="nil"/>
              <w:left w:val="nil"/>
              <w:bottom w:val="nil"/>
              <w:right w:val="nil"/>
            </w:tcBorders>
            <w:vAlign w:val="bottom"/>
          </w:tcPr>
          <w:p w14:paraId="07D81804" w14:textId="663CBDD4" w:rsidR="00566EA9" w:rsidRPr="001D41EA" w:rsidRDefault="00566EA9" w:rsidP="001D41EA">
            <w:pPr>
              <w:spacing w:before="40" w:after="40"/>
              <w:jc w:val="center"/>
              <w:rPr>
                <w:rFonts w:cs="Arial"/>
                <w:sz w:val="18"/>
                <w:szCs w:val="18"/>
              </w:rPr>
            </w:pPr>
            <w:r w:rsidRPr="001D41EA">
              <w:rPr>
                <w:rFonts w:cs="Arial"/>
                <w:sz w:val="18"/>
                <w:szCs w:val="18"/>
              </w:rPr>
              <w:t>0.926</w:t>
            </w:r>
          </w:p>
        </w:tc>
        <w:tc>
          <w:tcPr>
            <w:tcW w:w="1134" w:type="dxa"/>
            <w:tcBorders>
              <w:top w:val="nil"/>
              <w:left w:val="nil"/>
              <w:bottom w:val="nil"/>
              <w:right w:val="nil"/>
            </w:tcBorders>
            <w:vAlign w:val="bottom"/>
          </w:tcPr>
          <w:p w14:paraId="2F63E7AB" w14:textId="434B4D8D" w:rsidR="00566EA9" w:rsidRPr="001D41EA" w:rsidRDefault="00566EA9" w:rsidP="001D41EA">
            <w:pPr>
              <w:spacing w:before="40" w:after="40"/>
              <w:jc w:val="center"/>
              <w:rPr>
                <w:rFonts w:cs="Arial"/>
                <w:sz w:val="18"/>
                <w:szCs w:val="18"/>
              </w:rPr>
            </w:pPr>
            <w:r w:rsidRPr="001D41EA">
              <w:rPr>
                <w:rFonts w:cs="Arial"/>
                <w:sz w:val="18"/>
                <w:szCs w:val="18"/>
              </w:rPr>
              <w:t>0.944</w:t>
            </w:r>
          </w:p>
        </w:tc>
      </w:tr>
      <w:tr w:rsidR="00566EA9" w:rsidRPr="001D41EA" w14:paraId="34938FD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A151177" w14:textId="77777777" w:rsidR="00566EA9" w:rsidRPr="001D41EA" w:rsidRDefault="00566EA9" w:rsidP="001D41EA">
            <w:pPr>
              <w:spacing w:before="40" w:after="40"/>
              <w:rPr>
                <w:rFonts w:cs="Arial"/>
                <w:sz w:val="18"/>
                <w:szCs w:val="18"/>
              </w:rPr>
            </w:pPr>
            <w:r w:rsidRPr="001D41EA">
              <w:rPr>
                <w:rFonts w:cs="Arial"/>
                <w:sz w:val="18"/>
                <w:szCs w:val="18"/>
              </w:rPr>
              <w:t>Bass Coast S</w:t>
            </w:r>
          </w:p>
        </w:tc>
        <w:tc>
          <w:tcPr>
            <w:tcW w:w="1134" w:type="dxa"/>
            <w:tcBorders>
              <w:top w:val="nil"/>
              <w:left w:val="single" w:sz="18" w:space="0" w:color="5F497A" w:themeColor="accent4" w:themeShade="BF"/>
              <w:bottom w:val="nil"/>
              <w:right w:val="nil"/>
            </w:tcBorders>
            <w:shd w:val="clear" w:color="auto" w:fill="auto"/>
            <w:vAlign w:val="bottom"/>
          </w:tcPr>
          <w:p w14:paraId="154BF147" w14:textId="3AEAE467" w:rsidR="00566EA9" w:rsidRPr="001D41EA" w:rsidRDefault="00566EA9" w:rsidP="001D41EA">
            <w:pPr>
              <w:spacing w:before="40" w:after="40"/>
              <w:jc w:val="center"/>
              <w:rPr>
                <w:rFonts w:cs="Arial"/>
                <w:sz w:val="18"/>
                <w:szCs w:val="18"/>
              </w:rPr>
            </w:pPr>
            <w:r w:rsidRPr="001D41EA">
              <w:rPr>
                <w:rFonts w:cs="Arial"/>
                <w:sz w:val="18"/>
                <w:szCs w:val="18"/>
              </w:rPr>
              <w:t>1.027</w:t>
            </w:r>
          </w:p>
        </w:tc>
        <w:tc>
          <w:tcPr>
            <w:tcW w:w="1134" w:type="dxa"/>
            <w:tcBorders>
              <w:top w:val="nil"/>
              <w:left w:val="nil"/>
              <w:bottom w:val="nil"/>
              <w:right w:val="nil"/>
            </w:tcBorders>
            <w:vAlign w:val="bottom"/>
          </w:tcPr>
          <w:p w14:paraId="1D73EBC4" w14:textId="60491683" w:rsidR="00566EA9" w:rsidRPr="001D41EA" w:rsidRDefault="00566EA9" w:rsidP="001D41EA">
            <w:pPr>
              <w:spacing w:before="40" w:after="40"/>
              <w:jc w:val="center"/>
              <w:rPr>
                <w:rFonts w:cs="Arial"/>
                <w:sz w:val="18"/>
                <w:szCs w:val="18"/>
              </w:rPr>
            </w:pPr>
            <w:r w:rsidRPr="001D41EA">
              <w:rPr>
                <w:rFonts w:cs="Arial"/>
                <w:sz w:val="18"/>
                <w:szCs w:val="18"/>
              </w:rPr>
              <w:t>1.024</w:t>
            </w:r>
          </w:p>
        </w:tc>
        <w:tc>
          <w:tcPr>
            <w:tcW w:w="170" w:type="dxa"/>
            <w:tcBorders>
              <w:top w:val="nil"/>
              <w:left w:val="nil"/>
              <w:bottom w:val="nil"/>
              <w:right w:val="nil"/>
            </w:tcBorders>
            <w:vAlign w:val="bottom"/>
          </w:tcPr>
          <w:p w14:paraId="03286FCF" w14:textId="56D42919"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4156151E" w14:textId="6EF18A49" w:rsidR="00566EA9" w:rsidRPr="001D41EA" w:rsidRDefault="00566EA9" w:rsidP="001D41EA">
            <w:pPr>
              <w:spacing w:before="40" w:after="40"/>
              <w:jc w:val="center"/>
              <w:rPr>
                <w:rFonts w:cs="Arial"/>
                <w:sz w:val="18"/>
                <w:szCs w:val="18"/>
              </w:rPr>
            </w:pPr>
            <w:r w:rsidRPr="001D41EA">
              <w:rPr>
                <w:rFonts w:cs="Arial"/>
                <w:sz w:val="18"/>
                <w:szCs w:val="18"/>
              </w:rPr>
              <w:t>0.810</w:t>
            </w:r>
          </w:p>
        </w:tc>
        <w:tc>
          <w:tcPr>
            <w:tcW w:w="1134" w:type="dxa"/>
            <w:tcBorders>
              <w:top w:val="nil"/>
              <w:left w:val="nil"/>
              <w:bottom w:val="nil"/>
              <w:right w:val="nil"/>
            </w:tcBorders>
            <w:vAlign w:val="bottom"/>
          </w:tcPr>
          <w:p w14:paraId="1E74ED3B" w14:textId="43530589" w:rsidR="00566EA9" w:rsidRPr="001D41EA" w:rsidRDefault="00566EA9" w:rsidP="001D41EA">
            <w:pPr>
              <w:spacing w:before="40" w:after="40"/>
              <w:jc w:val="center"/>
              <w:rPr>
                <w:rFonts w:cs="Arial"/>
                <w:sz w:val="18"/>
                <w:szCs w:val="18"/>
              </w:rPr>
            </w:pPr>
            <w:r w:rsidRPr="001D41EA">
              <w:rPr>
                <w:rFonts w:cs="Arial"/>
                <w:sz w:val="18"/>
                <w:szCs w:val="18"/>
              </w:rPr>
              <w:t>0.817</w:t>
            </w:r>
          </w:p>
        </w:tc>
        <w:tc>
          <w:tcPr>
            <w:tcW w:w="1134" w:type="dxa"/>
            <w:tcBorders>
              <w:top w:val="nil"/>
              <w:left w:val="nil"/>
              <w:bottom w:val="nil"/>
              <w:right w:val="nil"/>
            </w:tcBorders>
            <w:vAlign w:val="bottom"/>
          </w:tcPr>
          <w:p w14:paraId="04CF37B2" w14:textId="63082BB7" w:rsidR="00566EA9" w:rsidRPr="001D41EA" w:rsidRDefault="00566EA9" w:rsidP="001D41EA">
            <w:pPr>
              <w:spacing w:before="40" w:after="40"/>
              <w:jc w:val="center"/>
              <w:rPr>
                <w:rFonts w:cs="Arial"/>
                <w:sz w:val="18"/>
                <w:szCs w:val="18"/>
              </w:rPr>
            </w:pPr>
            <w:r w:rsidRPr="001D41EA">
              <w:rPr>
                <w:rFonts w:cs="Arial"/>
                <w:sz w:val="18"/>
                <w:szCs w:val="18"/>
              </w:rPr>
              <w:t>0.812</w:t>
            </w:r>
          </w:p>
        </w:tc>
        <w:tc>
          <w:tcPr>
            <w:tcW w:w="1134" w:type="dxa"/>
            <w:tcBorders>
              <w:top w:val="nil"/>
              <w:left w:val="nil"/>
              <w:bottom w:val="nil"/>
              <w:right w:val="nil"/>
            </w:tcBorders>
            <w:vAlign w:val="bottom"/>
          </w:tcPr>
          <w:p w14:paraId="06BDA5F0" w14:textId="4B81E83E" w:rsidR="00566EA9" w:rsidRPr="001D41EA" w:rsidRDefault="00566EA9" w:rsidP="001D41EA">
            <w:pPr>
              <w:spacing w:before="40" w:after="40"/>
              <w:jc w:val="center"/>
              <w:rPr>
                <w:rFonts w:cs="Arial"/>
                <w:sz w:val="18"/>
                <w:szCs w:val="18"/>
              </w:rPr>
            </w:pPr>
            <w:r w:rsidRPr="001D41EA">
              <w:rPr>
                <w:rFonts w:cs="Arial"/>
                <w:sz w:val="18"/>
                <w:szCs w:val="18"/>
              </w:rPr>
              <w:t>0.828</w:t>
            </w:r>
          </w:p>
        </w:tc>
      </w:tr>
      <w:tr w:rsidR="00566EA9" w:rsidRPr="001D41EA" w14:paraId="423CF50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C016EDE" w14:textId="77777777" w:rsidR="00566EA9" w:rsidRPr="001D41EA" w:rsidRDefault="00566EA9" w:rsidP="001D41EA">
            <w:pPr>
              <w:spacing w:before="40" w:after="40"/>
              <w:rPr>
                <w:rFonts w:cs="Arial"/>
                <w:sz w:val="18"/>
                <w:szCs w:val="18"/>
              </w:rPr>
            </w:pPr>
            <w:r w:rsidRPr="001D41EA">
              <w:rPr>
                <w:rFonts w:cs="Arial"/>
                <w:sz w:val="18"/>
                <w:szCs w:val="18"/>
              </w:rPr>
              <w:t>Baw Baw S</w:t>
            </w:r>
          </w:p>
        </w:tc>
        <w:tc>
          <w:tcPr>
            <w:tcW w:w="1134" w:type="dxa"/>
            <w:tcBorders>
              <w:top w:val="nil"/>
              <w:left w:val="single" w:sz="18" w:space="0" w:color="5F497A" w:themeColor="accent4" w:themeShade="BF"/>
              <w:bottom w:val="nil"/>
              <w:right w:val="nil"/>
            </w:tcBorders>
            <w:shd w:val="clear" w:color="auto" w:fill="auto"/>
            <w:vAlign w:val="bottom"/>
          </w:tcPr>
          <w:p w14:paraId="7E06EC9F" w14:textId="51B7676B" w:rsidR="00566EA9" w:rsidRPr="001D41EA" w:rsidRDefault="00566EA9" w:rsidP="001D41EA">
            <w:pPr>
              <w:spacing w:before="40" w:after="40"/>
              <w:jc w:val="center"/>
              <w:rPr>
                <w:rFonts w:cs="Arial"/>
                <w:sz w:val="18"/>
                <w:szCs w:val="18"/>
              </w:rPr>
            </w:pPr>
            <w:r w:rsidRPr="001D41EA">
              <w:rPr>
                <w:rFonts w:cs="Arial"/>
                <w:sz w:val="18"/>
                <w:szCs w:val="18"/>
              </w:rPr>
              <w:t>1.044</w:t>
            </w:r>
          </w:p>
        </w:tc>
        <w:tc>
          <w:tcPr>
            <w:tcW w:w="1134" w:type="dxa"/>
            <w:tcBorders>
              <w:top w:val="nil"/>
              <w:left w:val="nil"/>
              <w:bottom w:val="nil"/>
              <w:right w:val="nil"/>
            </w:tcBorders>
            <w:vAlign w:val="bottom"/>
          </w:tcPr>
          <w:p w14:paraId="6AB095E2" w14:textId="040745FF" w:rsidR="00566EA9" w:rsidRPr="001D41EA" w:rsidRDefault="00566EA9" w:rsidP="001D41EA">
            <w:pPr>
              <w:spacing w:before="40" w:after="40"/>
              <w:jc w:val="center"/>
              <w:rPr>
                <w:rFonts w:cs="Arial"/>
                <w:sz w:val="18"/>
                <w:szCs w:val="18"/>
              </w:rPr>
            </w:pPr>
            <w:r w:rsidRPr="001D41EA">
              <w:rPr>
                <w:rFonts w:cs="Arial"/>
                <w:sz w:val="18"/>
                <w:szCs w:val="18"/>
              </w:rPr>
              <w:t>1.041</w:t>
            </w:r>
          </w:p>
        </w:tc>
        <w:tc>
          <w:tcPr>
            <w:tcW w:w="170" w:type="dxa"/>
            <w:tcBorders>
              <w:top w:val="nil"/>
              <w:left w:val="nil"/>
              <w:bottom w:val="nil"/>
              <w:right w:val="nil"/>
            </w:tcBorders>
            <w:vAlign w:val="bottom"/>
          </w:tcPr>
          <w:p w14:paraId="1372DE57" w14:textId="2439942D"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38C85DE9" w14:textId="2614FE1D" w:rsidR="00566EA9" w:rsidRPr="001D41EA" w:rsidRDefault="00566EA9" w:rsidP="001D41EA">
            <w:pPr>
              <w:spacing w:before="40" w:after="40"/>
              <w:jc w:val="center"/>
              <w:rPr>
                <w:rFonts w:cs="Arial"/>
                <w:sz w:val="18"/>
                <w:szCs w:val="18"/>
              </w:rPr>
            </w:pPr>
            <w:r w:rsidRPr="001D41EA">
              <w:rPr>
                <w:rFonts w:cs="Arial"/>
                <w:sz w:val="18"/>
                <w:szCs w:val="18"/>
              </w:rPr>
              <w:t>0.805</w:t>
            </w:r>
          </w:p>
        </w:tc>
        <w:tc>
          <w:tcPr>
            <w:tcW w:w="1134" w:type="dxa"/>
            <w:tcBorders>
              <w:top w:val="nil"/>
              <w:left w:val="nil"/>
              <w:bottom w:val="nil"/>
              <w:right w:val="nil"/>
            </w:tcBorders>
            <w:vAlign w:val="bottom"/>
          </w:tcPr>
          <w:p w14:paraId="79C79739" w14:textId="0E65540A" w:rsidR="00566EA9" w:rsidRPr="001D41EA" w:rsidRDefault="00566EA9" w:rsidP="001D41EA">
            <w:pPr>
              <w:spacing w:before="40" w:after="40"/>
              <w:jc w:val="center"/>
              <w:rPr>
                <w:rFonts w:cs="Arial"/>
                <w:sz w:val="18"/>
                <w:szCs w:val="18"/>
              </w:rPr>
            </w:pPr>
            <w:r w:rsidRPr="001D41EA">
              <w:rPr>
                <w:rFonts w:cs="Arial"/>
                <w:sz w:val="18"/>
                <w:szCs w:val="18"/>
              </w:rPr>
              <w:t>0.811</w:t>
            </w:r>
          </w:p>
        </w:tc>
        <w:tc>
          <w:tcPr>
            <w:tcW w:w="1134" w:type="dxa"/>
            <w:tcBorders>
              <w:top w:val="nil"/>
              <w:left w:val="nil"/>
              <w:bottom w:val="nil"/>
              <w:right w:val="nil"/>
            </w:tcBorders>
            <w:vAlign w:val="bottom"/>
          </w:tcPr>
          <w:p w14:paraId="1A1E7A93" w14:textId="6055AB45" w:rsidR="00566EA9" w:rsidRPr="001D41EA" w:rsidRDefault="00566EA9" w:rsidP="001D41EA">
            <w:pPr>
              <w:spacing w:before="40" w:after="40"/>
              <w:jc w:val="center"/>
              <w:rPr>
                <w:rFonts w:cs="Arial"/>
                <w:sz w:val="18"/>
                <w:szCs w:val="18"/>
              </w:rPr>
            </w:pPr>
            <w:r w:rsidRPr="001D41EA">
              <w:rPr>
                <w:rFonts w:cs="Arial"/>
                <w:sz w:val="18"/>
                <w:szCs w:val="18"/>
              </w:rPr>
              <w:t>0.806</w:t>
            </w:r>
          </w:p>
        </w:tc>
        <w:tc>
          <w:tcPr>
            <w:tcW w:w="1134" w:type="dxa"/>
            <w:tcBorders>
              <w:top w:val="nil"/>
              <w:left w:val="nil"/>
              <w:bottom w:val="nil"/>
              <w:right w:val="nil"/>
            </w:tcBorders>
            <w:vAlign w:val="bottom"/>
          </w:tcPr>
          <w:p w14:paraId="79014EE7" w14:textId="51985347" w:rsidR="00566EA9" w:rsidRPr="001D41EA" w:rsidRDefault="00566EA9" w:rsidP="001D41EA">
            <w:pPr>
              <w:spacing w:before="40" w:after="40"/>
              <w:jc w:val="center"/>
              <w:rPr>
                <w:rFonts w:cs="Arial"/>
                <w:sz w:val="18"/>
                <w:szCs w:val="18"/>
              </w:rPr>
            </w:pPr>
            <w:r w:rsidRPr="001D41EA">
              <w:rPr>
                <w:rFonts w:cs="Arial"/>
                <w:sz w:val="18"/>
                <w:szCs w:val="18"/>
              </w:rPr>
              <w:t>0.822</w:t>
            </w:r>
          </w:p>
        </w:tc>
      </w:tr>
      <w:tr w:rsidR="00566EA9" w:rsidRPr="001D41EA" w14:paraId="138BE66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7909975" w14:textId="77777777" w:rsidR="00566EA9" w:rsidRPr="001D41EA" w:rsidRDefault="00566EA9" w:rsidP="001D41EA">
            <w:pPr>
              <w:spacing w:before="40" w:after="40"/>
              <w:rPr>
                <w:rFonts w:cs="Arial"/>
                <w:sz w:val="18"/>
                <w:szCs w:val="18"/>
              </w:rPr>
            </w:pPr>
            <w:r w:rsidRPr="001D41EA">
              <w:rPr>
                <w:rFonts w:cs="Arial"/>
                <w:sz w:val="18"/>
                <w:szCs w:val="18"/>
              </w:rPr>
              <w:t>Bayside C</w:t>
            </w:r>
          </w:p>
        </w:tc>
        <w:tc>
          <w:tcPr>
            <w:tcW w:w="1134" w:type="dxa"/>
            <w:tcBorders>
              <w:top w:val="nil"/>
              <w:left w:val="single" w:sz="18" w:space="0" w:color="5F497A" w:themeColor="accent4" w:themeShade="BF"/>
              <w:bottom w:val="nil"/>
              <w:right w:val="nil"/>
            </w:tcBorders>
            <w:shd w:val="clear" w:color="auto" w:fill="auto"/>
            <w:vAlign w:val="bottom"/>
          </w:tcPr>
          <w:p w14:paraId="415BF2C6" w14:textId="5BBFA322" w:rsidR="00566EA9" w:rsidRPr="001D41EA" w:rsidRDefault="00566EA9" w:rsidP="001D41EA">
            <w:pPr>
              <w:spacing w:before="40" w:after="40"/>
              <w:jc w:val="center"/>
              <w:rPr>
                <w:rFonts w:cs="Arial"/>
                <w:sz w:val="18"/>
                <w:szCs w:val="18"/>
              </w:rPr>
            </w:pPr>
            <w:r w:rsidRPr="001D41EA">
              <w:rPr>
                <w:rFonts w:cs="Arial"/>
                <w:sz w:val="18"/>
                <w:szCs w:val="18"/>
              </w:rPr>
              <w:t>0.867</w:t>
            </w:r>
          </w:p>
        </w:tc>
        <w:tc>
          <w:tcPr>
            <w:tcW w:w="1134" w:type="dxa"/>
            <w:tcBorders>
              <w:top w:val="nil"/>
              <w:left w:val="nil"/>
              <w:bottom w:val="nil"/>
              <w:right w:val="nil"/>
            </w:tcBorders>
            <w:vAlign w:val="bottom"/>
          </w:tcPr>
          <w:p w14:paraId="7F7D6487" w14:textId="61E22F1C" w:rsidR="00566EA9" w:rsidRPr="001D41EA" w:rsidRDefault="00566EA9" w:rsidP="001D41EA">
            <w:pPr>
              <w:spacing w:before="40" w:after="40"/>
              <w:jc w:val="center"/>
              <w:rPr>
                <w:rFonts w:cs="Arial"/>
                <w:sz w:val="18"/>
                <w:szCs w:val="18"/>
              </w:rPr>
            </w:pPr>
            <w:r w:rsidRPr="001D41EA">
              <w:rPr>
                <w:rFonts w:cs="Arial"/>
                <w:sz w:val="18"/>
                <w:szCs w:val="18"/>
              </w:rPr>
              <w:t>0.865</w:t>
            </w:r>
          </w:p>
        </w:tc>
        <w:tc>
          <w:tcPr>
            <w:tcW w:w="170" w:type="dxa"/>
            <w:tcBorders>
              <w:top w:val="nil"/>
              <w:left w:val="nil"/>
              <w:bottom w:val="nil"/>
              <w:right w:val="nil"/>
            </w:tcBorders>
            <w:vAlign w:val="bottom"/>
          </w:tcPr>
          <w:p w14:paraId="08867DA4" w14:textId="4FF651FF"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2A8EB3F4" w14:textId="3D362442" w:rsidR="00566EA9" w:rsidRPr="001D41EA" w:rsidRDefault="00566EA9" w:rsidP="001D41EA">
            <w:pPr>
              <w:spacing w:before="40" w:after="40"/>
              <w:jc w:val="center"/>
              <w:rPr>
                <w:rFonts w:cs="Arial"/>
                <w:sz w:val="18"/>
                <w:szCs w:val="18"/>
              </w:rPr>
            </w:pPr>
            <w:r w:rsidRPr="001D41EA">
              <w:rPr>
                <w:rFonts w:cs="Arial"/>
                <w:sz w:val="18"/>
                <w:szCs w:val="18"/>
              </w:rPr>
              <w:t>0.866</w:t>
            </w:r>
          </w:p>
        </w:tc>
        <w:tc>
          <w:tcPr>
            <w:tcW w:w="1134" w:type="dxa"/>
            <w:tcBorders>
              <w:top w:val="nil"/>
              <w:left w:val="nil"/>
              <w:bottom w:val="nil"/>
              <w:right w:val="nil"/>
            </w:tcBorders>
            <w:vAlign w:val="bottom"/>
          </w:tcPr>
          <w:p w14:paraId="3F9A5408" w14:textId="6119BEB5" w:rsidR="00566EA9" w:rsidRPr="001D41EA" w:rsidRDefault="00566EA9" w:rsidP="001D41EA">
            <w:pPr>
              <w:spacing w:before="40" w:after="40"/>
              <w:jc w:val="center"/>
              <w:rPr>
                <w:rFonts w:cs="Arial"/>
                <w:sz w:val="18"/>
                <w:szCs w:val="18"/>
              </w:rPr>
            </w:pPr>
            <w:r w:rsidRPr="001D41EA">
              <w:rPr>
                <w:rFonts w:cs="Arial"/>
                <w:sz w:val="18"/>
                <w:szCs w:val="18"/>
              </w:rPr>
              <w:t>0.873</w:t>
            </w:r>
          </w:p>
        </w:tc>
        <w:tc>
          <w:tcPr>
            <w:tcW w:w="1134" w:type="dxa"/>
            <w:tcBorders>
              <w:top w:val="nil"/>
              <w:left w:val="nil"/>
              <w:bottom w:val="nil"/>
              <w:right w:val="nil"/>
            </w:tcBorders>
            <w:vAlign w:val="bottom"/>
          </w:tcPr>
          <w:p w14:paraId="2808B2A9" w14:textId="33B61194" w:rsidR="00566EA9" w:rsidRPr="001D41EA" w:rsidRDefault="00566EA9" w:rsidP="001D41EA">
            <w:pPr>
              <w:spacing w:before="40" w:after="40"/>
              <w:jc w:val="center"/>
              <w:rPr>
                <w:rFonts w:cs="Arial"/>
                <w:sz w:val="18"/>
                <w:szCs w:val="18"/>
              </w:rPr>
            </w:pPr>
            <w:r w:rsidRPr="001D41EA">
              <w:rPr>
                <w:rFonts w:cs="Arial"/>
                <w:sz w:val="18"/>
                <w:szCs w:val="18"/>
              </w:rPr>
              <w:t>0.868</w:t>
            </w:r>
          </w:p>
        </w:tc>
        <w:tc>
          <w:tcPr>
            <w:tcW w:w="1134" w:type="dxa"/>
            <w:tcBorders>
              <w:top w:val="nil"/>
              <w:left w:val="nil"/>
              <w:bottom w:val="nil"/>
              <w:right w:val="nil"/>
            </w:tcBorders>
            <w:vAlign w:val="bottom"/>
          </w:tcPr>
          <w:p w14:paraId="1E96A02F" w14:textId="6ACD1CDA" w:rsidR="00566EA9" w:rsidRPr="001D41EA" w:rsidRDefault="00566EA9" w:rsidP="001D41EA">
            <w:pPr>
              <w:spacing w:before="40" w:after="40"/>
              <w:jc w:val="center"/>
              <w:rPr>
                <w:rFonts w:cs="Arial"/>
                <w:sz w:val="18"/>
                <w:szCs w:val="18"/>
              </w:rPr>
            </w:pPr>
            <w:r w:rsidRPr="001D41EA">
              <w:rPr>
                <w:rFonts w:cs="Arial"/>
                <w:sz w:val="18"/>
                <w:szCs w:val="18"/>
              </w:rPr>
              <w:t>0.885</w:t>
            </w:r>
          </w:p>
        </w:tc>
      </w:tr>
      <w:tr w:rsidR="00566EA9" w:rsidRPr="001D41EA" w14:paraId="4455510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9136B50" w14:textId="77777777" w:rsidR="00566EA9" w:rsidRPr="001D41EA" w:rsidRDefault="00566EA9" w:rsidP="001D41EA">
            <w:pPr>
              <w:spacing w:before="40" w:after="40"/>
              <w:rPr>
                <w:rFonts w:cs="Arial"/>
                <w:sz w:val="18"/>
                <w:szCs w:val="18"/>
              </w:rPr>
            </w:pPr>
            <w:r w:rsidRPr="001D41EA">
              <w:rPr>
                <w:rFonts w:cs="Arial"/>
                <w:sz w:val="18"/>
                <w:szCs w:val="18"/>
              </w:rPr>
              <w:t>Benalla RC</w:t>
            </w:r>
          </w:p>
        </w:tc>
        <w:tc>
          <w:tcPr>
            <w:tcW w:w="1134" w:type="dxa"/>
            <w:tcBorders>
              <w:top w:val="nil"/>
              <w:left w:val="single" w:sz="18" w:space="0" w:color="5F497A" w:themeColor="accent4" w:themeShade="BF"/>
              <w:bottom w:val="nil"/>
              <w:right w:val="nil"/>
            </w:tcBorders>
            <w:shd w:val="clear" w:color="auto" w:fill="auto"/>
            <w:vAlign w:val="bottom"/>
          </w:tcPr>
          <w:p w14:paraId="7908D119" w14:textId="59D8B8FA" w:rsidR="00566EA9" w:rsidRPr="001D41EA" w:rsidRDefault="00566EA9" w:rsidP="001D41EA">
            <w:pPr>
              <w:spacing w:before="40" w:after="40"/>
              <w:jc w:val="center"/>
              <w:rPr>
                <w:rFonts w:cs="Arial"/>
                <w:sz w:val="18"/>
                <w:szCs w:val="18"/>
              </w:rPr>
            </w:pPr>
            <w:r w:rsidRPr="001D41EA">
              <w:rPr>
                <w:rFonts w:cs="Arial"/>
                <w:sz w:val="18"/>
                <w:szCs w:val="18"/>
              </w:rPr>
              <w:t>1.186</w:t>
            </w:r>
          </w:p>
        </w:tc>
        <w:tc>
          <w:tcPr>
            <w:tcW w:w="1134" w:type="dxa"/>
            <w:tcBorders>
              <w:top w:val="nil"/>
              <w:left w:val="nil"/>
              <w:bottom w:val="nil"/>
              <w:right w:val="nil"/>
            </w:tcBorders>
            <w:vAlign w:val="bottom"/>
          </w:tcPr>
          <w:p w14:paraId="624AA1CB" w14:textId="6A3D2A4E" w:rsidR="00566EA9" w:rsidRPr="001D41EA" w:rsidRDefault="00566EA9" w:rsidP="001D41EA">
            <w:pPr>
              <w:spacing w:before="40" w:after="40"/>
              <w:jc w:val="center"/>
              <w:rPr>
                <w:rFonts w:cs="Arial"/>
                <w:sz w:val="18"/>
                <w:szCs w:val="18"/>
              </w:rPr>
            </w:pPr>
            <w:r w:rsidRPr="001D41EA">
              <w:rPr>
                <w:rFonts w:cs="Arial"/>
                <w:sz w:val="18"/>
                <w:szCs w:val="18"/>
              </w:rPr>
              <w:t>1.182</w:t>
            </w:r>
          </w:p>
        </w:tc>
        <w:tc>
          <w:tcPr>
            <w:tcW w:w="170" w:type="dxa"/>
            <w:tcBorders>
              <w:top w:val="nil"/>
              <w:left w:val="nil"/>
              <w:bottom w:val="nil"/>
              <w:right w:val="nil"/>
            </w:tcBorders>
            <w:vAlign w:val="bottom"/>
          </w:tcPr>
          <w:p w14:paraId="642DD05F" w14:textId="37B480B3"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4C9FAE5E" w14:textId="478CEA39" w:rsidR="00566EA9" w:rsidRPr="001D41EA" w:rsidRDefault="00566EA9" w:rsidP="001D41EA">
            <w:pPr>
              <w:spacing w:before="40" w:after="40"/>
              <w:jc w:val="center"/>
              <w:rPr>
                <w:rFonts w:cs="Arial"/>
                <w:sz w:val="18"/>
                <w:szCs w:val="18"/>
              </w:rPr>
            </w:pPr>
            <w:r w:rsidRPr="001D41EA">
              <w:rPr>
                <w:rFonts w:cs="Arial"/>
                <w:sz w:val="18"/>
                <w:szCs w:val="18"/>
              </w:rPr>
              <w:t>0.796</w:t>
            </w:r>
          </w:p>
        </w:tc>
        <w:tc>
          <w:tcPr>
            <w:tcW w:w="1134" w:type="dxa"/>
            <w:tcBorders>
              <w:top w:val="nil"/>
              <w:left w:val="nil"/>
              <w:bottom w:val="nil"/>
              <w:right w:val="nil"/>
            </w:tcBorders>
            <w:vAlign w:val="bottom"/>
          </w:tcPr>
          <w:p w14:paraId="24F12E88" w14:textId="0402582A" w:rsidR="00566EA9" w:rsidRPr="001D41EA" w:rsidRDefault="00566EA9" w:rsidP="001D41EA">
            <w:pPr>
              <w:spacing w:before="40" w:after="40"/>
              <w:jc w:val="center"/>
              <w:rPr>
                <w:rFonts w:cs="Arial"/>
                <w:sz w:val="18"/>
                <w:szCs w:val="18"/>
              </w:rPr>
            </w:pPr>
            <w:r w:rsidRPr="001D41EA">
              <w:rPr>
                <w:rFonts w:cs="Arial"/>
                <w:sz w:val="18"/>
                <w:szCs w:val="18"/>
              </w:rPr>
              <w:t>0.802</w:t>
            </w:r>
          </w:p>
        </w:tc>
        <w:tc>
          <w:tcPr>
            <w:tcW w:w="1134" w:type="dxa"/>
            <w:tcBorders>
              <w:top w:val="nil"/>
              <w:left w:val="nil"/>
              <w:bottom w:val="nil"/>
              <w:right w:val="nil"/>
            </w:tcBorders>
            <w:vAlign w:val="bottom"/>
          </w:tcPr>
          <w:p w14:paraId="477EB165" w14:textId="68FCF35C" w:rsidR="00566EA9" w:rsidRPr="001D41EA" w:rsidRDefault="00566EA9" w:rsidP="001D41EA">
            <w:pPr>
              <w:spacing w:before="40" w:after="40"/>
              <w:jc w:val="center"/>
              <w:rPr>
                <w:rFonts w:cs="Arial"/>
                <w:sz w:val="18"/>
                <w:szCs w:val="18"/>
              </w:rPr>
            </w:pPr>
            <w:r w:rsidRPr="001D41EA">
              <w:rPr>
                <w:rFonts w:cs="Arial"/>
                <w:sz w:val="18"/>
                <w:szCs w:val="18"/>
              </w:rPr>
              <w:t>0.798</w:t>
            </w:r>
          </w:p>
        </w:tc>
        <w:tc>
          <w:tcPr>
            <w:tcW w:w="1134" w:type="dxa"/>
            <w:tcBorders>
              <w:top w:val="nil"/>
              <w:left w:val="nil"/>
              <w:bottom w:val="nil"/>
              <w:right w:val="nil"/>
            </w:tcBorders>
            <w:vAlign w:val="bottom"/>
          </w:tcPr>
          <w:p w14:paraId="5392DDD7" w14:textId="4B1101CA" w:rsidR="00566EA9" w:rsidRPr="001D41EA" w:rsidRDefault="00566EA9" w:rsidP="001D41EA">
            <w:pPr>
              <w:spacing w:before="40" w:after="40"/>
              <w:jc w:val="center"/>
              <w:rPr>
                <w:rFonts w:cs="Arial"/>
                <w:sz w:val="18"/>
                <w:szCs w:val="18"/>
              </w:rPr>
            </w:pPr>
            <w:r w:rsidRPr="001D41EA">
              <w:rPr>
                <w:rFonts w:cs="Arial"/>
                <w:sz w:val="18"/>
                <w:szCs w:val="18"/>
              </w:rPr>
              <w:t>0.813</w:t>
            </w:r>
          </w:p>
        </w:tc>
      </w:tr>
      <w:tr w:rsidR="00566EA9" w:rsidRPr="001D41EA" w14:paraId="4BFCF98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81358A9" w14:textId="77777777" w:rsidR="00566EA9" w:rsidRPr="001D41EA" w:rsidRDefault="00566EA9" w:rsidP="001D41EA">
            <w:pPr>
              <w:spacing w:before="40" w:after="40"/>
              <w:rPr>
                <w:rFonts w:cs="Arial"/>
                <w:sz w:val="18"/>
                <w:szCs w:val="18"/>
              </w:rPr>
            </w:pPr>
            <w:r w:rsidRPr="001D41EA">
              <w:rPr>
                <w:rFonts w:cs="Arial"/>
                <w:sz w:val="18"/>
                <w:szCs w:val="18"/>
              </w:rPr>
              <w:t>Boroondara C</w:t>
            </w:r>
          </w:p>
        </w:tc>
        <w:tc>
          <w:tcPr>
            <w:tcW w:w="1134" w:type="dxa"/>
            <w:tcBorders>
              <w:top w:val="nil"/>
              <w:left w:val="single" w:sz="18" w:space="0" w:color="5F497A" w:themeColor="accent4" w:themeShade="BF"/>
              <w:bottom w:val="nil"/>
              <w:right w:val="nil"/>
            </w:tcBorders>
            <w:shd w:val="clear" w:color="auto" w:fill="auto"/>
            <w:vAlign w:val="bottom"/>
          </w:tcPr>
          <w:p w14:paraId="393D0551" w14:textId="667E7567" w:rsidR="00566EA9" w:rsidRPr="001D41EA" w:rsidRDefault="00566EA9" w:rsidP="001D41EA">
            <w:pPr>
              <w:spacing w:before="40" w:after="40"/>
              <w:jc w:val="center"/>
              <w:rPr>
                <w:rFonts w:cs="Arial"/>
                <w:sz w:val="18"/>
                <w:szCs w:val="18"/>
              </w:rPr>
            </w:pPr>
            <w:r w:rsidRPr="001D41EA">
              <w:rPr>
                <w:rFonts w:cs="Arial"/>
                <w:sz w:val="18"/>
                <w:szCs w:val="18"/>
              </w:rPr>
              <w:t>0.866</w:t>
            </w:r>
          </w:p>
        </w:tc>
        <w:tc>
          <w:tcPr>
            <w:tcW w:w="1134" w:type="dxa"/>
            <w:tcBorders>
              <w:top w:val="nil"/>
              <w:left w:val="nil"/>
              <w:bottom w:val="nil"/>
              <w:right w:val="nil"/>
            </w:tcBorders>
            <w:vAlign w:val="bottom"/>
          </w:tcPr>
          <w:p w14:paraId="7501B78F" w14:textId="1C6AD426" w:rsidR="00566EA9" w:rsidRPr="001D41EA" w:rsidRDefault="00566EA9" w:rsidP="001D41EA">
            <w:pPr>
              <w:spacing w:before="40" w:after="40"/>
              <w:jc w:val="center"/>
              <w:rPr>
                <w:rFonts w:cs="Arial"/>
                <w:sz w:val="18"/>
                <w:szCs w:val="18"/>
              </w:rPr>
            </w:pPr>
            <w:r w:rsidRPr="001D41EA">
              <w:rPr>
                <w:rFonts w:cs="Arial"/>
                <w:sz w:val="18"/>
                <w:szCs w:val="18"/>
              </w:rPr>
              <w:t>0.863</w:t>
            </w:r>
          </w:p>
        </w:tc>
        <w:tc>
          <w:tcPr>
            <w:tcW w:w="170" w:type="dxa"/>
            <w:tcBorders>
              <w:top w:val="nil"/>
              <w:left w:val="nil"/>
              <w:bottom w:val="nil"/>
              <w:right w:val="nil"/>
            </w:tcBorders>
            <w:vAlign w:val="bottom"/>
          </w:tcPr>
          <w:p w14:paraId="5DEBDF8F" w14:textId="22BA1D6F"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3CEC5F78" w14:textId="49598694" w:rsidR="00566EA9" w:rsidRPr="001D41EA" w:rsidRDefault="00566EA9" w:rsidP="001D41EA">
            <w:pPr>
              <w:spacing w:before="40" w:after="40"/>
              <w:jc w:val="center"/>
              <w:rPr>
                <w:rFonts w:cs="Arial"/>
                <w:sz w:val="18"/>
                <w:szCs w:val="18"/>
              </w:rPr>
            </w:pPr>
            <w:r w:rsidRPr="001D41EA">
              <w:rPr>
                <w:rFonts w:cs="Arial"/>
                <w:sz w:val="18"/>
                <w:szCs w:val="18"/>
              </w:rPr>
              <w:t>0.985</w:t>
            </w:r>
          </w:p>
        </w:tc>
        <w:tc>
          <w:tcPr>
            <w:tcW w:w="1134" w:type="dxa"/>
            <w:tcBorders>
              <w:top w:val="nil"/>
              <w:left w:val="nil"/>
              <w:bottom w:val="nil"/>
              <w:right w:val="nil"/>
            </w:tcBorders>
            <w:vAlign w:val="bottom"/>
          </w:tcPr>
          <w:p w14:paraId="5317555C" w14:textId="0A8CAE44" w:rsidR="00566EA9" w:rsidRPr="001D41EA" w:rsidRDefault="00566EA9" w:rsidP="001D41EA">
            <w:pPr>
              <w:spacing w:before="40" w:after="40"/>
              <w:jc w:val="center"/>
              <w:rPr>
                <w:rFonts w:cs="Arial"/>
                <w:sz w:val="18"/>
                <w:szCs w:val="18"/>
              </w:rPr>
            </w:pPr>
            <w:r w:rsidRPr="001D41EA">
              <w:rPr>
                <w:rFonts w:cs="Arial"/>
                <w:sz w:val="18"/>
                <w:szCs w:val="18"/>
              </w:rPr>
              <w:t>0.993</w:t>
            </w:r>
          </w:p>
        </w:tc>
        <w:tc>
          <w:tcPr>
            <w:tcW w:w="1134" w:type="dxa"/>
            <w:tcBorders>
              <w:top w:val="nil"/>
              <w:left w:val="nil"/>
              <w:bottom w:val="nil"/>
              <w:right w:val="nil"/>
            </w:tcBorders>
            <w:vAlign w:val="bottom"/>
          </w:tcPr>
          <w:p w14:paraId="57B6E29C" w14:textId="520619A7" w:rsidR="00566EA9" w:rsidRPr="001D41EA" w:rsidRDefault="00566EA9" w:rsidP="001D41EA">
            <w:pPr>
              <w:spacing w:before="40" w:after="40"/>
              <w:jc w:val="center"/>
              <w:rPr>
                <w:rFonts w:cs="Arial"/>
                <w:sz w:val="18"/>
                <w:szCs w:val="18"/>
              </w:rPr>
            </w:pPr>
            <w:r w:rsidRPr="001D41EA">
              <w:rPr>
                <w:rFonts w:cs="Arial"/>
                <w:sz w:val="18"/>
                <w:szCs w:val="18"/>
              </w:rPr>
              <w:t>0.987</w:t>
            </w:r>
          </w:p>
        </w:tc>
        <w:tc>
          <w:tcPr>
            <w:tcW w:w="1134" w:type="dxa"/>
            <w:tcBorders>
              <w:top w:val="nil"/>
              <w:left w:val="nil"/>
              <w:bottom w:val="nil"/>
              <w:right w:val="nil"/>
            </w:tcBorders>
            <w:vAlign w:val="bottom"/>
          </w:tcPr>
          <w:p w14:paraId="4132914C" w14:textId="4F13094A" w:rsidR="00566EA9" w:rsidRPr="001D41EA" w:rsidRDefault="00566EA9" w:rsidP="001D41EA">
            <w:pPr>
              <w:spacing w:before="40" w:after="40"/>
              <w:jc w:val="center"/>
              <w:rPr>
                <w:rFonts w:cs="Arial"/>
                <w:sz w:val="18"/>
                <w:szCs w:val="18"/>
              </w:rPr>
            </w:pPr>
            <w:r w:rsidRPr="001D41EA">
              <w:rPr>
                <w:rFonts w:cs="Arial"/>
                <w:sz w:val="18"/>
                <w:szCs w:val="18"/>
              </w:rPr>
              <w:t>1.006</w:t>
            </w:r>
          </w:p>
        </w:tc>
      </w:tr>
      <w:tr w:rsidR="00566EA9" w:rsidRPr="001D41EA" w14:paraId="3477837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2FCD574" w14:textId="77777777" w:rsidR="00566EA9" w:rsidRPr="001D41EA" w:rsidRDefault="00566EA9" w:rsidP="001D41EA">
            <w:pPr>
              <w:spacing w:before="40" w:after="40"/>
              <w:rPr>
                <w:rFonts w:cs="Arial"/>
                <w:sz w:val="18"/>
                <w:szCs w:val="18"/>
              </w:rPr>
            </w:pPr>
            <w:r w:rsidRPr="001D41EA">
              <w:rPr>
                <w:rFonts w:cs="Arial"/>
                <w:sz w:val="18"/>
                <w:szCs w:val="18"/>
              </w:rPr>
              <w:t>Brimbank C</w:t>
            </w:r>
          </w:p>
        </w:tc>
        <w:tc>
          <w:tcPr>
            <w:tcW w:w="1134" w:type="dxa"/>
            <w:tcBorders>
              <w:top w:val="nil"/>
              <w:left w:val="single" w:sz="18" w:space="0" w:color="5F497A" w:themeColor="accent4" w:themeShade="BF"/>
              <w:bottom w:val="nil"/>
              <w:right w:val="nil"/>
            </w:tcBorders>
            <w:shd w:val="clear" w:color="auto" w:fill="auto"/>
            <w:vAlign w:val="bottom"/>
          </w:tcPr>
          <w:p w14:paraId="7895AC30" w14:textId="28582BC2" w:rsidR="00566EA9" w:rsidRPr="001D41EA" w:rsidRDefault="00566EA9" w:rsidP="001D41EA">
            <w:pPr>
              <w:spacing w:before="40" w:after="40"/>
              <w:jc w:val="center"/>
              <w:rPr>
                <w:rFonts w:cs="Arial"/>
                <w:sz w:val="18"/>
                <w:szCs w:val="18"/>
              </w:rPr>
            </w:pPr>
            <w:r w:rsidRPr="001D41EA">
              <w:rPr>
                <w:rFonts w:cs="Arial"/>
                <w:sz w:val="18"/>
                <w:szCs w:val="18"/>
              </w:rPr>
              <w:t>0.917</w:t>
            </w:r>
          </w:p>
        </w:tc>
        <w:tc>
          <w:tcPr>
            <w:tcW w:w="1134" w:type="dxa"/>
            <w:tcBorders>
              <w:top w:val="nil"/>
              <w:left w:val="nil"/>
              <w:bottom w:val="nil"/>
              <w:right w:val="nil"/>
            </w:tcBorders>
            <w:vAlign w:val="bottom"/>
          </w:tcPr>
          <w:p w14:paraId="20FBA09B" w14:textId="59937D14" w:rsidR="00566EA9" w:rsidRPr="001D41EA" w:rsidRDefault="00566EA9" w:rsidP="001D41EA">
            <w:pPr>
              <w:spacing w:before="40" w:after="40"/>
              <w:jc w:val="center"/>
              <w:rPr>
                <w:rFonts w:cs="Arial"/>
                <w:sz w:val="18"/>
                <w:szCs w:val="18"/>
              </w:rPr>
            </w:pPr>
            <w:r w:rsidRPr="001D41EA">
              <w:rPr>
                <w:rFonts w:cs="Arial"/>
                <w:sz w:val="18"/>
                <w:szCs w:val="18"/>
              </w:rPr>
              <w:t>0.915</w:t>
            </w:r>
          </w:p>
        </w:tc>
        <w:tc>
          <w:tcPr>
            <w:tcW w:w="170" w:type="dxa"/>
            <w:tcBorders>
              <w:top w:val="nil"/>
              <w:left w:val="nil"/>
              <w:bottom w:val="nil"/>
              <w:right w:val="nil"/>
            </w:tcBorders>
            <w:vAlign w:val="bottom"/>
          </w:tcPr>
          <w:p w14:paraId="704D14D3" w14:textId="5907ECF6"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5824DD89" w14:textId="0A324CAC" w:rsidR="00566EA9" w:rsidRPr="001D41EA" w:rsidRDefault="00566EA9" w:rsidP="001D41EA">
            <w:pPr>
              <w:spacing w:before="40" w:after="40"/>
              <w:jc w:val="center"/>
              <w:rPr>
                <w:rFonts w:cs="Arial"/>
                <w:sz w:val="18"/>
                <w:szCs w:val="18"/>
              </w:rPr>
            </w:pPr>
            <w:r w:rsidRPr="001D41EA">
              <w:rPr>
                <w:rFonts w:cs="Arial"/>
                <w:sz w:val="18"/>
                <w:szCs w:val="18"/>
              </w:rPr>
              <w:t>1.397</w:t>
            </w:r>
          </w:p>
        </w:tc>
        <w:tc>
          <w:tcPr>
            <w:tcW w:w="1134" w:type="dxa"/>
            <w:tcBorders>
              <w:top w:val="nil"/>
              <w:left w:val="nil"/>
              <w:bottom w:val="nil"/>
              <w:right w:val="nil"/>
            </w:tcBorders>
            <w:vAlign w:val="bottom"/>
          </w:tcPr>
          <w:p w14:paraId="1953A66A" w14:textId="46B4253F" w:rsidR="00566EA9" w:rsidRPr="001D41EA" w:rsidRDefault="00566EA9" w:rsidP="001D41EA">
            <w:pPr>
              <w:spacing w:before="40" w:after="40"/>
              <w:jc w:val="center"/>
              <w:rPr>
                <w:rFonts w:cs="Arial"/>
                <w:sz w:val="18"/>
                <w:szCs w:val="18"/>
              </w:rPr>
            </w:pPr>
            <w:r w:rsidRPr="001D41EA">
              <w:rPr>
                <w:rFonts w:cs="Arial"/>
                <w:sz w:val="18"/>
                <w:szCs w:val="18"/>
              </w:rPr>
              <w:t>1.408</w:t>
            </w:r>
          </w:p>
        </w:tc>
        <w:tc>
          <w:tcPr>
            <w:tcW w:w="1134" w:type="dxa"/>
            <w:tcBorders>
              <w:top w:val="nil"/>
              <w:left w:val="nil"/>
              <w:bottom w:val="nil"/>
              <w:right w:val="nil"/>
            </w:tcBorders>
            <w:vAlign w:val="bottom"/>
          </w:tcPr>
          <w:p w14:paraId="5A3CECEA" w14:textId="0805B5A9" w:rsidR="00566EA9" w:rsidRPr="001D41EA" w:rsidRDefault="00566EA9" w:rsidP="001D41EA">
            <w:pPr>
              <w:spacing w:before="40" w:after="40"/>
              <w:jc w:val="center"/>
              <w:rPr>
                <w:rFonts w:cs="Arial"/>
                <w:sz w:val="18"/>
                <w:szCs w:val="18"/>
              </w:rPr>
            </w:pPr>
            <w:r w:rsidRPr="001D41EA">
              <w:rPr>
                <w:rFonts w:cs="Arial"/>
                <w:sz w:val="18"/>
                <w:szCs w:val="18"/>
              </w:rPr>
              <w:t>1.400</w:t>
            </w:r>
          </w:p>
        </w:tc>
        <w:tc>
          <w:tcPr>
            <w:tcW w:w="1134" w:type="dxa"/>
            <w:tcBorders>
              <w:top w:val="nil"/>
              <w:left w:val="nil"/>
              <w:bottom w:val="nil"/>
              <w:right w:val="nil"/>
            </w:tcBorders>
            <w:vAlign w:val="bottom"/>
          </w:tcPr>
          <w:p w14:paraId="3923FB96" w14:textId="5E16CAB7" w:rsidR="00566EA9" w:rsidRPr="001D41EA" w:rsidRDefault="00566EA9" w:rsidP="001D41EA">
            <w:pPr>
              <w:spacing w:before="40" w:after="40"/>
              <w:jc w:val="center"/>
              <w:rPr>
                <w:rFonts w:cs="Arial"/>
                <w:sz w:val="18"/>
                <w:szCs w:val="18"/>
              </w:rPr>
            </w:pPr>
            <w:r w:rsidRPr="001D41EA">
              <w:rPr>
                <w:rFonts w:cs="Arial"/>
                <w:sz w:val="18"/>
                <w:szCs w:val="18"/>
              </w:rPr>
              <w:t>1.427</w:t>
            </w:r>
          </w:p>
        </w:tc>
      </w:tr>
      <w:tr w:rsidR="00566EA9" w:rsidRPr="001D41EA" w14:paraId="6B9730A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7FBE54A" w14:textId="77777777" w:rsidR="00566EA9" w:rsidRPr="001D41EA" w:rsidRDefault="00566EA9" w:rsidP="001D41EA">
            <w:pPr>
              <w:spacing w:before="40" w:after="40"/>
              <w:rPr>
                <w:rFonts w:cs="Arial"/>
                <w:sz w:val="18"/>
                <w:szCs w:val="18"/>
              </w:rPr>
            </w:pPr>
            <w:r w:rsidRPr="001D41EA">
              <w:rPr>
                <w:rFonts w:cs="Arial"/>
                <w:sz w:val="18"/>
                <w:szCs w:val="18"/>
              </w:rPr>
              <w:t>Buloke S</w:t>
            </w:r>
          </w:p>
        </w:tc>
        <w:tc>
          <w:tcPr>
            <w:tcW w:w="1134" w:type="dxa"/>
            <w:tcBorders>
              <w:top w:val="nil"/>
              <w:left w:val="single" w:sz="18" w:space="0" w:color="5F497A" w:themeColor="accent4" w:themeShade="BF"/>
              <w:bottom w:val="nil"/>
              <w:right w:val="nil"/>
            </w:tcBorders>
            <w:shd w:val="clear" w:color="auto" w:fill="auto"/>
            <w:vAlign w:val="bottom"/>
          </w:tcPr>
          <w:p w14:paraId="45983F65" w14:textId="2B6BC2C5" w:rsidR="00566EA9" w:rsidRPr="001D41EA" w:rsidRDefault="00566EA9" w:rsidP="001D41EA">
            <w:pPr>
              <w:spacing w:before="40" w:after="40"/>
              <w:jc w:val="center"/>
              <w:rPr>
                <w:rFonts w:cs="Arial"/>
                <w:sz w:val="18"/>
                <w:szCs w:val="18"/>
              </w:rPr>
            </w:pPr>
            <w:r w:rsidRPr="001D41EA">
              <w:rPr>
                <w:rFonts w:cs="Arial"/>
                <w:sz w:val="18"/>
                <w:szCs w:val="18"/>
              </w:rPr>
              <w:t>1.050</w:t>
            </w:r>
          </w:p>
        </w:tc>
        <w:tc>
          <w:tcPr>
            <w:tcW w:w="1134" w:type="dxa"/>
            <w:tcBorders>
              <w:top w:val="nil"/>
              <w:left w:val="nil"/>
              <w:bottom w:val="nil"/>
              <w:right w:val="nil"/>
            </w:tcBorders>
            <w:vAlign w:val="bottom"/>
          </w:tcPr>
          <w:p w14:paraId="7CC4D4AA" w14:textId="601BD5CF" w:rsidR="00566EA9" w:rsidRPr="001D41EA" w:rsidRDefault="00566EA9" w:rsidP="001D41EA">
            <w:pPr>
              <w:spacing w:before="40" w:after="40"/>
              <w:jc w:val="center"/>
              <w:rPr>
                <w:rFonts w:cs="Arial"/>
                <w:sz w:val="18"/>
                <w:szCs w:val="18"/>
              </w:rPr>
            </w:pPr>
            <w:r w:rsidRPr="001D41EA">
              <w:rPr>
                <w:rFonts w:cs="Arial"/>
                <w:sz w:val="18"/>
                <w:szCs w:val="18"/>
              </w:rPr>
              <w:t>1.047</w:t>
            </w:r>
          </w:p>
        </w:tc>
        <w:tc>
          <w:tcPr>
            <w:tcW w:w="170" w:type="dxa"/>
            <w:tcBorders>
              <w:top w:val="nil"/>
              <w:left w:val="nil"/>
              <w:bottom w:val="nil"/>
              <w:right w:val="nil"/>
            </w:tcBorders>
            <w:vAlign w:val="bottom"/>
          </w:tcPr>
          <w:p w14:paraId="261F68D5" w14:textId="201A77B4"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1E057C96" w14:textId="26E642AA" w:rsidR="00566EA9" w:rsidRPr="001D41EA" w:rsidRDefault="00566EA9" w:rsidP="001D41EA">
            <w:pPr>
              <w:spacing w:before="40" w:after="40"/>
              <w:jc w:val="center"/>
              <w:rPr>
                <w:rFonts w:cs="Arial"/>
                <w:sz w:val="18"/>
                <w:szCs w:val="18"/>
              </w:rPr>
            </w:pPr>
            <w:r w:rsidRPr="001D41EA">
              <w:rPr>
                <w:rFonts w:cs="Arial"/>
                <w:sz w:val="18"/>
                <w:szCs w:val="18"/>
              </w:rPr>
              <w:t>0.797</w:t>
            </w:r>
          </w:p>
        </w:tc>
        <w:tc>
          <w:tcPr>
            <w:tcW w:w="1134" w:type="dxa"/>
            <w:tcBorders>
              <w:top w:val="nil"/>
              <w:left w:val="nil"/>
              <w:bottom w:val="nil"/>
              <w:right w:val="nil"/>
            </w:tcBorders>
            <w:vAlign w:val="bottom"/>
          </w:tcPr>
          <w:p w14:paraId="53894BBA" w14:textId="6A982CC7" w:rsidR="00566EA9" w:rsidRPr="001D41EA" w:rsidRDefault="00566EA9" w:rsidP="001D41EA">
            <w:pPr>
              <w:spacing w:before="40" w:after="40"/>
              <w:jc w:val="center"/>
              <w:rPr>
                <w:rFonts w:cs="Arial"/>
                <w:sz w:val="18"/>
                <w:szCs w:val="18"/>
              </w:rPr>
            </w:pPr>
            <w:r w:rsidRPr="001D41EA">
              <w:rPr>
                <w:rFonts w:cs="Arial"/>
                <w:sz w:val="18"/>
                <w:szCs w:val="18"/>
              </w:rPr>
              <w:t>0.803</w:t>
            </w:r>
          </w:p>
        </w:tc>
        <w:tc>
          <w:tcPr>
            <w:tcW w:w="1134" w:type="dxa"/>
            <w:tcBorders>
              <w:top w:val="nil"/>
              <w:left w:val="nil"/>
              <w:bottom w:val="nil"/>
              <w:right w:val="nil"/>
            </w:tcBorders>
            <w:vAlign w:val="bottom"/>
          </w:tcPr>
          <w:p w14:paraId="02A74A62" w14:textId="6AFAB0E5" w:rsidR="00566EA9" w:rsidRPr="001D41EA" w:rsidRDefault="00566EA9" w:rsidP="001D41EA">
            <w:pPr>
              <w:spacing w:before="40" w:after="40"/>
              <w:jc w:val="center"/>
              <w:rPr>
                <w:rFonts w:cs="Arial"/>
                <w:sz w:val="18"/>
                <w:szCs w:val="18"/>
              </w:rPr>
            </w:pPr>
            <w:r w:rsidRPr="001D41EA">
              <w:rPr>
                <w:rFonts w:cs="Arial"/>
                <w:sz w:val="18"/>
                <w:szCs w:val="18"/>
              </w:rPr>
              <w:t>0.799</w:t>
            </w:r>
          </w:p>
        </w:tc>
        <w:tc>
          <w:tcPr>
            <w:tcW w:w="1134" w:type="dxa"/>
            <w:tcBorders>
              <w:top w:val="nil"/>
              <w:left w:val="nil"/>
              <w:bottom w:val="nil"/>
              <w:right w:val="nil"/>
            </w:tcBorders>
            <w:vAlign w:val="bottom"/>
          </w:tcPr>
          <w:p w14:paraId="552AF21D" w14:textId="2E6142E5" w:rsidR="00566EA9" w:rsidRPr="001D41EA" w:rsidRDefault="00566EA9" w:rsidP="001D41EA">
            <w:pPr>
              <w:spacing w:before="40" w:after="40"/>
              <w:jc w:val="center"/>
              <w:rPr>
                <w:rFonts w:cs="Arial"/>
                <w:sz w:val="18"/>
                <w:szCs w:val="18"/>
              </w:rPr>
            </w:pPr>
            <w:r w:rsidRPr="001D41EA">
              <w:rPr>
                <w:rFonts w:cs="Arial"/>
                <w:sz w:val="18"/>
                <w:szCs w:val="18"/>
              </w:rPr>
              <w:t>0.814</w:t>
            </w:r>
          </w:p>
        </w:tc>
      </w:tr>
      <w:tr w:rsidR="00566EA9" w:rsidRPr="001D41EA" w14:paraId="375D73F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2335D80" w14:textId="77777777" w:rsidR="00566EA9" w:rsidRPr="001D41EA" w:rsidRDefault="00566EA9" w:rsidP="001D41EA">
            <w:pPr>
              <w:spacing w:before="40" w:after="40"/>
              <w:rPr>
                <w:rFonts w:cs="Arial"/>
                <w:sz w:val="18"/>
                <w:szCs w:val="18"/>
              </w:rPr>
            </w:pPr>
            <w:r w:rsidRPr="001D41EA">
              <w:rPr>
                <w:rFonts w:cs="Arial"/>
                <w:sz w:val="18"/>
                <w:szCs w:val="18"/>
              </w:rPr>
              <w:t>Campaspe S</w:t>
            </w:r>
          </w:p>
        </w:tc>
        <w:tc>
          <w:tcPr>
            <w:tcW w:w="1134" w:type="dxa"/>
            <w:tcBorders>
              <w:top w:val="nil"/>
              <w:left w:val="single" w:sz="18" w:space="0" w:color="5F497A" w:themeColor="accent4" w:themeShade="BF"/>
              <w:bottom w:val="nil"/>
              <w:right w:val="nil"/>
            </w:tcBorders>
            <w:shd w:val="clear" w:color="auto" w:fill="auto"/>
            <w:vAlign w:val="bottom"/>
          </w:tcPr>
          <w:p w14:paraId="2796CCB2" w14:textId="64500EDA" w:rsidR="00566EA9" w:rsidRPr="001D41EA" w:rsidRDefault="00566EA9" w:rsidP="001D41EA">
            <w:pPr>
              <w:spacing w:before="40" w:after="40"/>
              <w:jc w:val="center"/>
              <w:rPr>
                <w:rFonts w:cs="Arial"/>
                <w:sz w:val="18"/>
                <w:szCs w:val="18"/>
              </w:rPr>
            </w:pPr>
            <w:r w:rsidRPr="001D41EA">
              <w:rPr>
                <w:rFonts w:cs="Arial"/>
                <w:sz w:val="18"/>
                <w:szCs w:val="18"/>
              </w:rPr>
              <w:t>1.352</w:t>
            </w:r>
          </w:p>
        </w:tc>
        <w:tc>
          <w:tcPr>
            <w:tcW w:w="1134" w:type="dxa"/>
            <w:tcBorders>
              <w:top w:val="nil"/>
              <w:left w:val="nil"/>
              <w:bottom w:val="nil"/>
              <w:right w:val="nil"/>
            </w:tcBorders>
            <w:vAlign w:val="bottom"/>
          </w:tcPr>
          <w:p w14:paraId="5F37904B" w14:textId="6E569BDB" w:rsidR="00566EA9" w:rsidRPr="001D41EA" w:rsidRDefault="00566EA9" w:rsidP="001D41EA">
            <w:pPr>
              <w:spacing w:before="40" w:after="40"/>
              <w:jc w:val="center"/>
              <w:rPr>
                <w:rFonts w:cs="Arial"/>
                <w:sz w:val="18"/>
                <w:szCs w:val="18"/>
              </w:rPr>
            </w:pPr>
            <w:r w:rsidRPr="001D41EA">
              <w:rPr>
                <w:rFonts w:cs="Arial"/>
                <w:sz w:val="18"/>
                <w:szCs w:val="18"/>
              </w:rPr>
              <w:t>1.347</w:t>
            </w:r>
          </w:p>
        </w:tc>
        <w:tc>
          <w:tcPr>
            <w:tcW w:w="170" w:type="dxa"/>
            <w:tcBorders>
              <w:top w:val="nil"/>
              <w:left w:val="nil"/>
              <w:bottom w:val="nil"/>
              <w:right w:val="nil"/>
            </w:tcBorders>
            <w:vAlign w:val="bottom"/>
          </w:tcPr>
          <w:p w14:paraId="71A77FF5" w14:textId="326F022B"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41E4DDBA" w14:textId="0BA61886" w:rsidR="00566EA9" w:rsidRPr="001D41EA" w:rsidRDefault="00566EA9" w:rsidP="001D41EA">
            <w:pPr>
              <w:spacing w:before="40" w:after="40"/>
              <w:jc w:val="center"/>
              <w:rPr>
                <w:rFonts w:cs="Arial"/>
                <w:sz w:val="18"/>
                <w:szCs w:val="18"/>
              </w:rPr>
            </w:pPr>
            <w:r w:rsidRPr="001D41EA">
              <w:rPr>
                <w:rFonts w:cs="Arial"/>
                <w:sz w:val="18"/>
                <w:szCs w:val="18"/>
              </w:rPr>
              <w:t>0.797</w:t>
            </w:r>
          </w:p>
        </w:tc>
        <w:tc>
          <w:tcPr>
            <w:tcW w:w="1134" w:type="dxa"/>
            <w:tcBorders>
              <w:top w:val="nil"/>
              <w:left w:val="nil"/>
              <w:bottom w:val="nil"/>
              <w:right w:val="nil"/>
            </w:tcBorders>
            <w:vAlign w:val="bottom"/>
          </w:tcPr>
          <w:p w14:paraId="041B0F00" w14:textId="7E0778CF" w:rsidR="00566EA9" w:rsidRPr="001D41EA" w:rsidRDefault="00566EA9" w:rsidP="001D41EA">
            <w:pPr>
              <w:spacing w:before="40" w:after="40"/>
              <w:jc w:val="center"/>
              <w:rPr>
                <w:rFonts w:cs="Arial"/>
                <w:sz w:val="18"/>
                <w:szCs w:val="18"/>
              </w:rPr>
            </w:pPr>
            <w:r w:rsidRPr="001D41EA">
              <w:rPr>
                <w:rFonts w:cs="Arial"/>
                <w:sz w:val="18"/>
                <w:szCs w:val="18"/>
              </w:rPr>
              <w:t>0.803</w:t>
            </w:r>
          </w:p>
        </w:tc>
        <w:tc>
          <w:tcPr>
            <w:tcW w:w="1134" w:type="dxa"/>
            <w:tcBorders>
              <w:top w:val="nil"/>
              <w:left w:val="nil"/>
              <w:bottom w:val="nil"/>
              <w:right w:val="nil"/>
            </w:tcBorders>
            <w:vAlign w:val="bottom"/>
          </w:tcPr>
          <w:p w14:paraId="53594ECC" w14:textId="7FB29CE0" w:rsidR="00566EA9" w:rsidRPr="001D41EA" w:rsidRDefault="00566EA9" w:rsidP="001D41EA">
            <w:pPr>
              <w:spacing w:before="40" w:after="40"/>
              <w:jc w:val="center"/>
              <w:rPr>
                <w:rFonts w:cs="Arial"/>
                <w:sz w:val="18"/>
                <w:szCs w:val="18"/>
              </w:rPr>
            </w:pPr>
            <w:r w:rsidRPr="001D41EA">
              <w:rPr>
                <w:rFonts w:cs="Arial"/>
                <w:sz w:val="18"/>
                <w:szCs w:val="18"/>
              </w:rPr>
              <w:t>0.798</w:t>
            </w:r>
          </w:p>
        </w:tc>
        <w:tc>
          <w:tcPr>
            <w:tcW w:w="1134" w:type="dxa"/>
            <w:tcBorders>
              <w:top w:val="nil"/>
              <w:left w:val="nil"/>
              <w:bottom w:val="nil"/>
              <w:right w:val="nil"/>
            </w:tcBorders>
            <w:vAlign w:val="bottom"/>
          </w:tcPr>
          <w:p w14:paraId="1D1B3218" w14:textId="02392B00" w:rsidR="00566EA9" w:rsidRPr="001D41EA" w:rsidRDefault="00566EA9" w:rsidP="001D41EA">
            <w:pPr>
              <w:spacing w:before="40" w:after="40"/>
              <w:jc w:val="center"/>
              <w:rPr>
                <w:rFonts w:cs="Arial"/>
                <w:sz w:val="18"/>
                <w:szCs w:val="18"/>
              </w:rPr>
            </w:pPr>
            <w:r w:rsidRPr="001D41EA">
              <w:rPr>
                <w:rFonts w:cs="Arial"/>
                <w:sz w:val="18"/>
                <w:szCs w:val="18"/>
              </w:rPr>
              <w:t>0.814</w:t>
            </w:r>
          </w:p>
        </w:tc>
      </w:tr>
      <w:tr w:rsidR="00566EA9" w:rsidRPr="001D41EA" w14:paraId="660B5BE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735F1B8" w14:textId="77777777" w:rsidR="00566EA9" w:rsidRPr="001D41EA" w:rsidRDefault="00566EA9" w:rsidP="001D41EA">
            <w:pPr>
              <w:spacing w:before="40" w:after="40"/>
              <w:rPr>
                <w:rFonts w:cs="Arial"/>
                <w:sz w:val="18"/>
                <w:szCs w:val="18"/>
              </w:rPr>
            </w:pPr>
            <w:r w:rsidRPr="001D41EA">
              <w:rPr>
                <w:rFonts w:cs="Arial"/>
                <w:sz w:val="18"/>
                <w:szCs w:val="18"/>
              </w:rPr>
              <w:t>Cardinia S</w:t>
            </w:r>
          </w:p>
        </w:tc>
        <w:tc>
          <w:tcPr>
            <w:tcW w:w="1134" w:type="dxa"/>
            <w:tcBorders>
              <w:top w:val="nil"/>
              <w:left w:val="single" w:sz="18" w:space="0" w:color="5F497A" w:themeColor="accent4" w:themeShade="BF"/>
              <w:bottom w:val="nil"/>
              <w:right w:val="nil"/>
            </w:tcBorders>
            <w:shd w:val="clear" w:color="auto" w:fill="auto"/>
            <w:vAlign w:val="bottom"/>
          </w:tcPr>
          <w:p w14:paraId="0B86DB6A" w14:textId="66334895" w:rsidR="00566EA9" w:rsidRPr="001D41EA" w:rsidRDefault="00566EA9" w:rsidP="001D41EA">
            <w:pPr>
              <w:spacing w:before="40" w:after="40"/>
              <w:jc w:val="center"/>
              <w:rPr>
                <w:rFonts w:cs="Arial"/>
                <w:sz w:val="18"/>
                <w:szCs w:val="18"/>
              </w:rPr>
            </w:pPr>
            <w:r w:rsidRPr="001D41EA">
              <w:rPr>
                <w:rFonts w:cs="Arial"/>
                <w:sz w:val="18"/>
                <w:szCs w:val="18"/>
              </w:rPr>
              <w:t>1.009</w:t>
            </w:r>
          </w:p>
        </w:tc>
        <w:tc>
          <w:tcPr>
            <w:tcW w:w="1134" w:type="dxa"/>
            <w:tcBorders>
              <w:top w:val="nil"/>
              <w:left w:val="nil"/>
              <w:bottom w:val="nil"/>
              <w:right w:val="nil"/>
            </w:tcBorders>
            <w:vAlign w:val="bottom"/>
          </w:tcPr>
          <w:p w14:paraId="4F9C347E" w14:textId="58747510" w:rsidR="00566EA9" w:rsidRPr="001D41EA" w:rsidRDefault="00566EA9" w:rsidP="001D41EA">
            <w:pPr>
              <w:spacing w:before="40" w:after="40"/>
              <w:jc w:val="center"/>
              <w:rPr>
                <w:rFonts w:cs="Arial"/>
                <w:sz w:val="18"/>
                <w:szCs w:val="18"/>
              </w:rPr>
            </w:pPr>
            <w:r w:rsidRPr="001D41EA">
              <w:rPr>
                <w:rFonts w:cs="Arial"/>
                <w:sz w:val="18"/>
                <w:szCs w:val="18"/>
              </w:rPr>
              <w:t>1.006</w:t>
            </w:r>
          </w:p>
        </w:tc>
        <w:tc>
          <w:tcPr>
            <w:tcW w:w="170" w:type="dxa"/>
            <w:tcBorders>
              <w:top w:val="nil"/>
              <w:left w:val="nil"/>
              <w:bottom w:val="nil"/>
              <w:right w:val="nil"/>
            </w:tcBorders>
            <w:vAlign w:val="bottom"/>
          </w:tcPr>
          <w:p w14:paraId="3696AE73" w14:textId="67B2F3ED"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4DAF421A" w14:textId="06BBDE1A" w:rsidR="00566EA9" w:rsidRPr="001D41EA" w:rsidRDefault="00566EA9" w:rsidP="001D41EA">
            <w:pPr>
              <w:spacing w:before="40" w:after="40"/>
              <w:jc w:val="center"/>
              <w:rPr>
                <w:rFonts w:cs="Arial"/>
                <w:sz w:val="18"/>
                <w:szCs w:val="18"/>
              </w:rPr>
            </w:pPr>
            <w:r w:rsidRPr="001D41EA">
              <w:rPr>
                <w:rFonts w:cs="Arial"/>
                <w:sz w:val="18"/>
                <w:szCs w:val="18"/>
              </w:rPr>
              <w:t>0.841</w:t>
            </w:r>
          </w:p>
        </w:tc>
        <w:tc>
          <w:tcPr>
            <w:tcW w:w="1134" w:type="dxa"/>
            <w:tcBorders>
              <w:top w:val="nil"/>
              <w:left w:val="nil"/>
              <w:bottom w:val="nil"/>
              <w:right w:val="nil"/>
            </w:tcBorders>
            <w:vAlign w:val="bottom"/>
          </w:tcPr>
          <w:p w14:paraId="5787AE7E" w14:textId="70444583" w:rsidR="00566EA9" w:rsidRPr="001D41EA" w:rsidRDefault="00566EA9" w:rsidP="001D41EA">
            <w:pPr>
              <w:spacing w:before="40" w:after="40"/>
              <w:jc w:val="center"/>
              <w:rPr>
                <w:rFonts w:cs="Arial"/>
                <w:sz w:val="18"/>
                <w:szCs w:val="18"/>
              </w:rPr>
            </w:pPr>
            <w:r w:rsidRPr="001D41EA">
              <w:rPr>
                <w:rFonts w:cs="Arial"/>
                <w:sz w:val="18"/>
                <w:szCs w:val="18"/>
              </w:rPr>
              <w:t>0.848</w:t>
            </w:r>
          </w:p>
        </w:tc>
        <w:tc>
          <w:tcPr>
            <w:tcW w:w="1134" w:type="dxa"/>
            <w:tcBorders>
              <w:top w:val="nil"/>
              <w:left w:val="nil"/>
              <w:bottom w:val="nil"/>
              <w:right w:val="nil"/>
            </w:tcBorders>
            <w:vAlign w:val="bottom"/>
          </w:tcPr>
          <w:p w14:paraId="01840B4D" w14:textId="062BAA08" w:rsidR="00566EA9" w:rsidRPr="001D41EA" w:rsidRDefault="00566EA9" w:rsidP="001D41EA">
            <w:pPr>
              <w:spacing w:before="40" w:after="40"/>
              <w:jc w:val="center"/>
              <w:rPr>
                <w:rFonts w:cs="Arial"/>
                <w:sz w:val="18"/>
                <w:szCs w:val="18"/>
              </w:rPr>
            </w:pPr>
            <w:r w:rsidRPr="001D41EA">
              <w:rPr>
                <w:rFonts w:cs="Arial"/>
                <w:sz w:val="18"/>
                <w:szCs w:val="18"/>
              </w:rPr>
              <w:t>0.843</w:t>
            </w:r>
          </w:p>
        </w:tc>
        <w:tc>
          <w:tcPr>
            <w:tcW w:w="1134" w:type="dxa"/>
            <w:tcBorders>
              <w:top w:val="nil"/>
              <w:left w:val="nil"/>
              <w:bottom w:val="nil"/>
              <w:right w:val="nil"/>
            </w:tcBorders>
            <w:vAlign w:val="bottom"/>
          </w:tcPr>
          <w:p w14:paraId="0B3E09D1" w14:textId="542696B3" w:rsidR="00566EA9" w:rsidRPr="001D41EA" w:rsidRDefault="00566EA9" w:rsidP="001D41EA">
            <w:pPr>
              <w:spacing w:before="40" w:after="40"/>
              <w:jc w:val="center"/>
              <w:rPr>
                <w:rFonts w:cs="Arial"/>
                <w:sz w:val="18"/>
                <w:szCs w:val="18"/>
              </w:rPr>
            </w:pPr>
            <w:r w:rsidRPr="001D41EA">
              <w:rPr>
                <w:rFonts w:cs="Arial"/>
                <w:sz w:val="18"/>
                <w:szCs w:val="18"/>
              </w:rPr>
              <w:t>0.859</w:t>
            </w:r>
          </w:p>
        </w:tc>
      </w:tr>
      <w:tr w:rsidR="00566EA9" w:rsidRPr="001D41EA" w14:paraId="3DA483E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CD2C4D3" w14:textId="77777777" w:rsidR="00566EA9" w:rsidRPr="001D41EA" w:rsidRDefault="00566EA9" w:rsidP="001D41EA">
            <w:pPr>
              <w:spacing w:before="40" w:after="40"/>
              <w:rPr>
                <w:rFonts w:cs="Arial"/>
                <w:sz w:val="18"/>
                <w:szCs w:val="18"/>
              </w:rPr>
            </w:pPr>
            <w:r w:rsidRPr="001D41EA">
              <w:rPr>
                <w:rFonts w:cs="Arial"/>
                <w:sz w:val="18"/>
                <w:szCs w:val="18"/>
              </w:rPr>
              <w:t>Casey C</w:t>
            </w:r>
          </w:p>
        </w:tc>
        <w:tc>
          <w:tcPr>
            <w:tcW w:w="1134" w:type="dxa"/>
            <w:tcBorders>
              <w:top w:val="nil"/>
              <w:left w:val="single" w:sz="18" w:space="0" w:color="5F497A" w:themeColor="accent4" w:themeShade="BF"/>
              <w:bottom w:val="nil"/>
              <w:right w:val="nil"/>
            </w:tcBorders>
            <w:shd w:val="clear" w:color="auto" w:fill="auto"/>
            <w:vAlign w:val="bottom"/>
          </w:tcPr>
          <w:p w14:paraId="1CD5CD2A" w14:textId="677027CB" w:rsidR="00566EA9" w:rsidRPr="001D41EA" w:rsidRDefault="00566EA9" w:rsidP="001D41EA">
            <w:pPr>
              <w:spacing w:before="40" w:after="40"/>
              <w:jc w:val="center"/>
              <w:rPr>
                <w:rFonts w:cs="Arial"/>
                <w:sz w:val="18"/>
                <w:szCs w:val="18"/>
              </w:rPr>
            </w:pPr>
            <w:r w:rsidRPr="001D41EA">
              <w:rPr>
                <w:rFonts w:cs="Arial"/>
                <w:sz w:val="18"/>
                <w:szCs w:val="18"/>
              </w:rPr>
              <w:t>0.945</w:t>
            </w:r>
          </w:p>
        </w:tc>
        <w:tc>
          <w:tcPr>
            <w:tcW w:w="1134" w:type="dxa"/>
            <w:tcBorders>
              <w:top w:val="nil"/>
              <w:left w:val="nil"/>
              <w:bottom w:val="nil"/>
              <w:right w:val="nil"/>
            </w:tcBorders>
            <w:vAlign w:val="bottom"/>
          </w:tcPr>
          <w:p w14:paraId="512C770F" w14:textId="54B37D9F" w:rsidR="00566EA9" w:rsidRPr="001D41EA" w:rsidRDefault="00566EA9" w:rsidP="001D41EA">
            <w:pPr>
              <w:spacing w:before="40" w:after="40"/>
              <w:jc w:val="center"/>
              <w:rPr>
                <w:rFonts w:cs="Arial"/>
                <w:sz w:val="18"/>
                <w:szCs w:val="18"/>
              </w:rPr>
            </w:pPr>
            <w:r w:rsidRPr="001D41EA">
              <w:rPr>
                <w:rFonts w:cs="Arial"/>
                <w:sz w:val="18"/>
                <w:szCs w:val="18"/>
              </w:rPr>
              <w:t>0.941</w:t>
            </w:r>
          </w:p>
        </w:tc>
        <w:tc>
          <w:tcPr>
            <w:tcW w:w="170" w:type="dxa"/>
            <w:tcBorders>
              <w:top w:val="nil"/>
              <w:left w:val="nil"/>
              <w:bottom w:val="nil"/>
              <w:right w:val="nil"/>
            </w:tcBorders>
            <w:vAlign w:val="bottom"/>
          </w:tcPr>
          <w:p w14:paraId="31E05A22" w14:textId="5744AFCD"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6EEA279" w14:textId="04E725AA" w:rsidR="00566EA9" w:rsidRPr="001D41EA" w:rsidRDefault="00566EA9" w:rsidP="001D41EA">
            <w:pPr>
              <w:spacing w:before="40" w:after="40"/>
              <w:jc w:val="center"/>
              <w:rPr>
                <w:rFonts w:cs="Arial"/>
                <w:sz w:val="18"/>
                <w:szCs w:val="18"/>
              </w:rPr>
            </w:pPr>
            <w:r w:rsidRPr="001D41EA">
              <w:rPr>
                <w:rFonts w:cs="Arial"/>
                <w:sz w:val="18"/>
                <w:szCs w:val="18"/>
              </w:rPr>
              <w:t>1.038</w:t>
            </w:r>
          </w:p>
        </w:tc>
        <w:tc>
          <w:tcPr>
            <w:tcW w:w="1134" w:type="dxa"/>
            <w:tcBorders>
              <w:top w:val="nil"/>
              <w:left w:val="nil"/>
              <w:bottom w:val="nil"/>
              <w:right w:val="nil"/>
            </w:tcBorders>
            <w:vAlign w:val="bottom"/>
          </w:tcPr>
          <w:p w14:paraId="0BDBA073" w14:textId="329CA9A0" w:rsidR="00566EA9" w:rsidRPr="001D41EA" w:rsidRDefault="00566EA9" w:rsidP="001D41EA">
            <w:pPr>
              <w:spacing w:before="40" w:after="40"/>
              <w:jc w:val="center"/>
              <w:rPr>
                <w:rFonts w:cs="Arial"/>
                <w:sz w:val="18"/>
                <w:szCs w:val="18"/>
              </w:rPr>
            </w:pPr>
            <w:r w:rsidRPr="001D41EA">
              <w:rPr>
                <w:rFonts w:cs="Arial"/>
                <w:sz w:val="18"/>
                <w:szCs w:val="18"/>
              </w:rPr>
              <w:t>1.046</w:t>
            </w:r>
          </w:p>
        </w:tc>
        <w:tc>
          <w:tcPr>
            <w:tcW w:w="1134" w:type="dxa"/>
            <w:tcBorders>
              <w:top w:val="nil"/>
              <w:left w:val="nil"/>
              <w:bottom w:val="nil"/>
              <w:right w:val="nil"/>
            </w:tcBorders>
            <w:vAlign w:val="bottom"/>
          </w:tcPr>
          <w:p w14:paraId="6E2A74EC" w14:textId="3F2421D0" w:rsidR="00566EA9" w:rsidRPr="001D41EA" w:rsidRDefault="00566EA9" w:rsidP="001D41EA">
            <w:pPr>
              <w:spacing w:before="40" w:after="40"/>
              <w:jc w:val="center"/>
              <w:rPr>
                <w:rFonts w:cs="Arial"/>
                <w:sz w:val="18"/>
                <w:szCs w:val="18"/>
              </w:rPr>
            </w:pPr>
            <w:r w:rsidRPr="001D41EA">
              <w:rPr>
                <w:rFonts w:cs="Arial"/>
                <w:sz w:val="18"/>
                <w:szCs w:val="18"/>
              </w:rPr>
              <w:t>1.040</w:t>
            </w:r>
          </w:p>
        </w:tc>
        <w:tc>
          <w:tcPr>
            <w:tcW w:w="1134" w:type="dxa"/>
            <w:tcBorders>
              <w:top w:val="nil"/>
              <w:left w:val="nil"/>
              <w:bottom w:val="nil"/>
              <w:right w:val="nil"/>
            </w:tcBorders>
            <w:vAlign w:val="bottom"/>
          </w:tcPr>
          <w:p w14:paraId="03A720DE" w14:textId="6831F55D" w:rsidR="00566EA9" w:rsidRPr="001D41EA" w:rsidRDefault="00566EA9" w:rsidP="001D41EA">
            <w:pPr>
              <w:spacing w:before="40" w:after="40"/>
              <w:jc w:val="center"/>
              <w:rPr>
                <w:rFonts w:cs="Arial"/>
                <w:sz w:val="18"/>
                <w:szCs w:val="18"/>
              </w:rPr>
            </w:pPr>
            <w:r w:rsidRPr="001D41EA">
              <w:rPr>
                <w:rFonts w:cs="Arial"/>
                <w:sz w:val="18"/>
                <w:szCs w:val="18"/>
              </w:rPr>
              <w:t>1.060</w:t>
            </w:r>
          </w:p>
        </w:tc>
      </w:tr>
      <w:tr w:rsidR="00566EA9" w:rsidRPr="001D41EA" w14:paraId="6C75560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B64B836" w14:textId="77777777" w:rsidR="00566EA9" w:rsidRPr="001D41EA" w:rsidRDefault="00566EA9" w:rsidP="001D41EA">
            <w:pPr>
              <w:spacing w:before="40" w:after="40"/>
              <w:rPr>
                <w:rFonts w:cs="Arial"/>
                <w:sz w:val="18"/>
                <w:szCs w:val="18"/>
              </w:rPr>
            </w:pPr>
            <w:r w:rsidRPr="001D41EA">
              <w:rPr>
                <w:rFonts w:cs="Arial"/>
                <w:sz w:val="18"/>
                <w:szCs w:val="18"/>
              </w:rPr>
              <w:t>Central Goldfields S</w:t>
            </w:r>
          </w:p>
        </w:tc>
        <w:tc>
          <w:tcPr>
            <w:tcW w:w="1134" w:type="dxa"/>
            <w:tcBorders>
              <w:top w:val="nil"/>
              <w:left w:val="single" w:sz="18" w:space="0" w:color="5F497A" w:themeColor="accent4" w:themeShade="BF"/>
              <w:bottom w:val="nil"/>
              <w:right w:val="nil"/>
            </w:tcBorders>
            <w:shd w:val="clear" w:color="auto" w:fill="auto"/>
            <w:vAlign w:val="bottom"/>
          </w:tcPr>
          <w:p w14:paraId="11FBEF86" w14:textId="5F9ED197" w:rsidR="00566EA9" w:rsidRPr="001D41EA" w:rsidRDefault="00566EA9" w:rsidP="001D41EA">
            <w:pPr>
              <w:spacing w:before="40" w:after="40"/>
              <w:jc w:val="center"/>
              <w:rPr>
                <w:rFonts w:cs="Arial"/>
                <w:sz w:val="18"/>
                <w:szCs w:val="18"/>
              </w:rPr>
            </w:pPr>
            <w:r w:rsidRPr="001D41EA">
              <w:rPr>
                <w:rFonts w:cs="Arial"/>
                <w:sz w:val="18"/>
                <w:szCs w:val="18"/>
              </w:rPr>
              <w:t>1.155</w:t>
            </w:r>
          </w:p>
        </w:tc>
        <w:tc>
          <w:tcPr>
            <w:tcW w:w="1134" w:type="dxa"/>
            <w:tcBorders>
              <w:top w:val="nil"/>
              <w:left w:val="nil"/>
              <w:bottom w:val="nil"/>
              <w:right w:val="nil"/>
            </w:tcBorders>
            <w:vAlign w:val="bottom"/>
          </w:tcPr>
          <w:p w14:paraId="09209D8F" w14:textId="6ADB81C4" w:rsidR="00566EA9" w:rsidRPr="001D41EA" w:rsidRDefault="00566EA9" w:rsidP="001D41EA">
            <w:pPr>
              <w:spacing w:before="40" w:after="40"/>
              <w:jc w:val="center"/>
              <w:rPr>
                <w:rFonts w:cs="Arial"/>
                <w:sz w:val="18"/>
                <w:szCs w:val="18"/>
              </w:rPr>
            </w:pPr>
            <w:r w:rsidRPr="001D41EA">
              <w:rPr>
                <w:rFonts w:cs="Arial"/>
                <w:sz w:val="18"/>
                <w:szCs w:val="18"/>
              </w:rPr>
              <w:t>1.151</w:t>
            </w:r>
          </w:p>
        </w:tc>
        <w:tc>
          <w:tcPr>
            <w:tcW w:w="170" w:type="dxa"/>
            <w:tcBorders>
              <w:top w:val="nil"/>
              <w:left w:val="nil"/>
              <w:bottom w:val="nil"/>
              <w:right w:val="nil"/>
            </w:tcBorders>
            <w:vAlign w:val="bottom"/>
          </w:tcPr>
          <w:p w14:paraId="43491B11" w14:textId="01192A1C"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66A023C7" w14:textId="020E3C56" w:rsidR="00566EA9" w:rsidRPr="001D41EA" w:rsidRDefault="00566EA9" w:rsidP="001D41EA">
            <w:pPr>
              <w:spacing w:before="40" w:after="40"/>
              <w:jc w:val="center"/>
              <w:rPr>
                <w:rFonts w:cs="Arial"/>
                <w:sz w:val="18"/>
                <w:szCs w:val="18"/>
              </w:rPr>
            </w:pPr>
            <w:r w:rsidRPr="001D41EA">
              <w:rPr>
                <w:rFonts w:cs="Arial"/>
                <w:sz w:val="18"/>
                <w:szCs w:val="18"/>
              </w:rPr>
              <w:t>0.794</w:t>
            </w:r>
          </w:p>
        </w:tc>
        <w:tc>
          <w:tcPr>
            <w:tcW w:w="1134" w:type="dxa"/>
            <w:tcBorders>
              <w:top w:val="nil"/>
              <w:left w:val="nil"/>
              <w:bottom w:val="nil"/>
              <w:right w:val="nil"/>
            </w:tcBorders>
            <w:vAlign w:val="bottom"/>
          </w:tcPr>
          <w:p w14:paraId="288989DF" w14:textId="772D53BB" w:rsidR="00566EA9" w:rsidRPr="001D41EA" w:rsidRDefault="00566EA9" w:rsidP="001D41EA">
            <w:pPr>
              <w:spacing w:before="40" w:after="40"/>
              <w:jc w:val="center"/>
              <w:rPr>
                <w:rFonts w:cs="Arial"/>
                <w:sz w:val="18"/>
                <w:szCs w:val="18"/>
              </w:rPr>
            </w:pPr>
            <w:r w:rsidRPr="001D41EA">
              <w:rPr>
                <w:rFonts w:cs="Arial"/>
                <w:sz w:val="18"/>
                <w:szCs w:val="18"/>
              </w:rPr>
              <w:t>0.800</w:t>
            </w:r>
          </w:p>
        </w:tc>
        <w:tc>
          <w:tcPr>
            <w:tcW w:w="1134" w:type="dxa"/>
            <w:tcBorders>
              <w:top w:val="nil"/>
              <w:left w:val="nil"/>
              <w:bottom w:val="nil"/>
              <w:right w:val="nil"/>
            </w:tcBorders>
            <w:vAlign w:val="bottom"/>
          </w:tcPr>
          <w:p w14:paraId="09D2053C" w14:textId="20F21863" w:rsidR="00566EA9" w:rsidRPr="001D41EA" w:rsidRDefault="00566EA9" w:rsidP="001D41EA">
            <w:pPr>
              <w:spacing w:before="40" w:after="40"/>
              <w:jc w:val="center"/>
              <w:rPr>
                <w:rFonts w:cs="Arial"/>
                <w:sz w:val="18"/>
                <w:szCs w:val="18"/>
              </w:rPr>
            </w:pPr>
            <w:r w:rsidRPr="001D41EA">
              <w:rPr>
                <w:rFonts w:cs="Arial"/>
                <w:sz w:val="18"/>
                <w:szCs w:val="18"/>
              </w:rPr>
              <w:t>0.796</w:t>
            </w:r>
          </w:p>
        </w:tc>
        <w:tc>
          <w:tcPr>
            <w:tcW w:w="1134" w:type="dxa"/>
            <w:tcBorders>
              <w:top w:val="nil"/>
              <w:left w:val="nil"/>
              <w:bottom w:val="nil"/>
              <w:right w:val="nil"/>
            </w:tcBorders>
            <w:vAlign w:val="bottom"/>
          </w:tcPr>
          <w:p w14:paraId="3F7AFE2A" w14:textId="029E444B" w:rsidR="00566EA9" w:rsidRPr="001D41EA" w:rsidRDefault="00566EA9" w:rsidP="001D41EA">
            <w:pPr>
              <w:spacing w:before="40" w:after="40"/>
              <w:jc w:val="center"/>
              <w:rPr>
                <w:rFonts w:cs="Arial"/>
                <w:sz w:val="18"/>
                <w:szCs w:val="18"/>
              </w:rPr>
            </w:pPr>
            <w:r w:rsidRPr="001D41EA">
              <w:rPr>
                <w:rFonts w:cs="Arial"/>
                <w:sz w:val="18"/>
                <w:szCs w:val="18"/>
              </w:rPr>
              <w:t>0.811</w:t>
            </w:r>
          </w:p>
        </w:tc>
      </w:tr>
      <w:tr w:rsidR="00566EA9" w:rsidRPr="001D41EA" w14:paraId="3CE4F97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C72B418" w14:textId="77777777" w:rsidR="00566EA9" w:rsidRPr="001D41EA" w:rsidRDefault="00566EA9" w:rsidP="001D41EA">
            <w:pPr>
              <w:spacing w:before="40" w:after="40"/>
              <w:rPr>
                <w:rFonts w:cs="Arial"/>
                <w:sz w:val="18"/>
                <w:szCs w:val="18"/>
              </w:rPr>
            </w:pPr>
            <w:r w:rsidRPr="001D41EA">
              <w:rPr>
                <w:rFonts w:cs="Arial"/>
                <w:sz w:val="18"/>
                <w:szCs w:val="18"/>
              </w:rPr>
              <w:t>Colac Otway S</w:t>
            </w:r>
          </w:p>
        </w:tc>
        <w:tc>
          <w:tcPr>
            <w:tcW w:w="1134" w:type="dxa"/>
            <w:tcBorders>
              <w:top w:val="nil"/>
              <w:left w:val="single" w:sz="18" w:space="0" w:color="5F497A" w:themeColor="accent4" w:themeShade="BF"/>
              <w:bottom w:val="nil"/>
              <w:right w:val="nil"/>
            </w:tcBorders>
            <w:shd w:val="clear" w:color="auto" w:fill="auto"/>
            <w:vAlign w:val="bottom"/>
          </w:tcPr>
          <w:p w14:paraId="0773DD4E" w14:textId="0CAE98D0" w:rsidR="00566EA9" w:rsidRPr="001D41EA" w:rsidRDefault="00566EA9" w:rsidP="001D41EA">
            <w:pPr>
              <w:spacing w:before="40" w:after="40"/>
              <w:jc w:val="center"/>
              <w:rPr>
                <w:rFonts w:cs="Arial"/>
                <w:sz w:val="18"/>
                <w:szCs w:val="18"/>
              </w:rPr>
            </w:pPr>
            <w:r w:rsidRPr="001D41EA">
              <w:rPr>
                <w:rFonts w:cs="Arial"/>
                <w:sz w:val="18"/>
                <w:szCs w:val="18"/>
              </w:rPr>
              <w:t>1.089</w:t>
            </w:r>
          </w:p>
        </w:tc>
        <w:tc>
          <w:tcPr>
            <w:tcW w:w="1134" w:type="dxa"/>
            <w:tcBorders>
              <w:top w:val="nil"/>
              <w:left w:val="nil"/>
              <w:bottom w:val="nil"/>
              <w:right w:val="nil"/>
            </w:tcBorders>
            <w:vAlign w:val="bottom"/>
          </w:tcPr>
          <w:p w14:paraId="02FDB210" w14:textId="21291372" w:rsidR="00566EA9" w:rsidRPr="001D41EA" w:rsidRDefault="00566EA9" w:rsidP="001D41EA">
            <w:pPr>
              <w:spacing w:before="40" w:after="40"/>
              <w:jc w:val="center"/>
              <w:rPr>
                <w:rFonts w:cs="Arial"/>
                <w:sz w:val="18"/>
                <w:szCs w:val="18"/>
              </w:rPr>
            </w:pPr>
            <w:r w:rsidRPr="001D41EA">
              <w:rPr>
                <w:rFonts w:cs="Arial"/>
                <w:sz w:val="18"/>
                <w:szCs w:val="18"/>
              </w:rPr>
              <w:t>1.085</w:t>
            </w:r>
          </w:p>
        </w:tc>
        <w:tc>
          <w:tcPr>
            <w:tcW w:w="170" w:type="dxa"/>
            <w:tcBorders>
              <w:top w:val="nil"/>
              <w:left w:val="nil"/>
              <w:bottom w:val="nil"/>
              <w:right w:val="nil"/>
            </w:tcBorders>
            <w:vAlign w:val="bottom"/>
          </w:tcPr>
          <w:p w14:paraId="59A4B02E" w14:textId="3D713775"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1E07C08A" w14:textId="3FDBC982" w:rsidR="00566EA9" w:rsidRPr="001D41EA" w:rsidRDefault="00566EA9" w:rsidP="001D41EA">
            <w:pPr>
              <w:spacing w:before="40" w:after="40"/>
              <w:jc w:val="center"/>
              <w:rPr>
                <w:rFonts w:cs="Arial"/>
                <w:sz w:val="18"/>
                <w:szCs w:val="18"/>
              </w:rPr>
            </w:pPr>
            <w:r w:rsidRPr="001D41EA">
              <w:rPr>
                <w:rFonts w:cs="Arial"/>
                <w:sz w:val="18"/>
                <w:szCs w:val="18"/>
              </w:rPr>
              <w:t>0.816</w:t>
            </w:r>
          </w:p>
        </w:tc>
        <w:tc>
          <w:tcPr>
            <w:tcW w:w="1134" w:type="dxa"/>
            <w:tcBorders>
              <w:top w:val="nil"/>
              <w:left w:val="nil"/>
              <w:bottom w:val="nil"/>
              <w:right w:val="nil"/>
            </w:tcBorders>
            <w:vAlign w:val="bottom"/>
          </w:tcPr>
          <w:p w14:paraId="2A7220DC" w14:textId="6DCE474B" w:rsidR="00566EA9" w:rsidRPr="001D41EA" w:rsidRDefault="00566EA9" w:rsidP="001D41EA">
            <w:pPr>
              <w:spacing w:before="40" w:after="40"/>
              <w:jc w:val="center"/>
              <w:rPr>
                <w:rFonts w:cs="Arial"/>
                <w:sz w:val="18"/>
                <w:szCs w:val="18"/>
              </w:rPr>
            </w:pPr>
            <w:r w:rsidRPr="001D41EA">
              <w:rPr>
                <w:rFonts w:cs="Arial"/>
                <w:sz w:val="18"/>
                <w:szCs w:val="18"/>
              </w:rPr>
              <w:t>0.822</w:t>
            </w:r>
          </w:p>
        </w:tc>
        <w:tc>
          <w:tcPr>
            <w:tcW w:w="1134" w:type="dxa"/>
            <w:tcBorders>
              <w:top w:val="nil"/>
              <w:left w:val="nil"/>
              <w:bottom w:val="nil"/>
              <w:right w:val="nil"/>
            </w:tcBorders>
            <w:vAlign w:val="bottom"/>
          </w:tcPr>
          <w:p w14:paraId="29CCBDFB" w14:textId="1D920049" w:rsidR="00566EA9" w:rsidRPr="001D41EA" w:rsidRDefault="00566EA9" w:rsidP="001D41EA">
            <w:pPr>
              <w:spacing w:before="40" w:after="40"/>
              <w:jc w:val="center"/>
              <w:rPr>
                <w:rFonts w:cs="Arial"/>
                <w:sz w:val="18"/>
                <w:szCs w:val="18"/>
              </w:rPr>
            </w:pPr>
            <w:r w:rsidRPr="001D41EA">
              <w:rPr>
                <w:rFonts w:cs="Arial"/>
                <w:sz w:val="18"/>
                <w:szCs w:val="18"/>
              </w:rPr>
              <w:t>0.817</w:t>
            </w:r>
          </w:p>
        </w:tc>
        <w:tc>
          <w:tcPr>
            <w:tcW w:w="1134" w:type="dxa"/>
            <w:tcBorders>
              <w:top w:val="nil"/>
              <w:left w:val="nil"/>
              <w:bottom w:val="nil"/>
              <w:right w:val="nil"/>
            </w:tcBorders>
            <w:vAlign w:val="bottom"/>
          </w:tcPr>
          <w:p w14:paraId="776370A2" w14:textId="0521A3B3" w:rsidR="00566EA9" w:rsidRPr="001D41EA" w:rsidRDefault="00566EA9" w:rsidP="001D41EA">
            <w:pPr>
              <w:spacing w:before="40" w:after="40"/>
              <w:jc w:val="center"/>
              <w:rPr>
                <w:rFonts w:cs="Arial"/>
                <w:sz w:val="18"/>
                <w:szCs w:val="18"/>
              </w:rPr>
            </w:pPr>
            <w:r w:rsidRPr="001D41EA">
              <w:rPr>
                <w:rFonts w:cs="Arial"/>
                <w:sz w:val="18"/>
                <w:szCs w:val="18"/>
              </w:rPr>
              <w:t>0.833</w:t>
            </w:r>
          </w:p>
        </w:tc>
      </w:tr>
      <w:tr w:rsidR="00566EA9" w:rsidRPr="001D41EA" w14:paraId="570E1A6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742A1B2" w14:textId="77777777" w:rsidR="00566EA9" w:rsidRPr="001D41EA" w:rsidRDefault="00566EA9" w:rsidP="001D41EA">
            <w:pPr>
              <w:spacing w:before="40" w:after="40"/>
              <w:rPr>
                <w:rFonts w:cs="Arial"/>
                <w:sz w:val="18"/>
                <w:szCs w:val="18"/>
              </w:rPr>
            </w:pPr>
            <w:r w:rsidRPr="001D41EA">
              <w:rPr>
                <w:rFonts w:cs="Arial"/>
                <w:sz w:val="18"/>
                <w:szCs w:val="18"/>
              </w:rPr>
              <w:t>Corangamite S</w:t>
            </w:r>
          </w:p>
        </w:tc>
        <w:tc>
          <w:tcPr>
            <w:tcW w:w="1134" w:type="dxa"/>
            <w:tcBorders>
              <w:top w:val="nil"/>
              <w:left w:val="single" w:sz="18" w:space="0" w:color="5F497A" w:themeColor="accent4" w:themeShade="BF"/>
              <w:bottom w:val="nil"/>
              <w:right w:val="nil"/>
            </w:tcBorders>
            <w:shd w:val="clear" w:color="auto" w:fill="auto"/>
            <w:vAlign w:val="bottom"/>
          </w:tcPr>
          <w:p w14:paraId="1241F93E" w14:textId="7691BFD3" w:rsidR="00566EA9" w:rsidRPr="001D41EA" w:rsidRDefault="00566EA9" w:rsidP="001D41EA">
            <w:pPr>
              <w:spacing w:before="40" w:after="40"/>
              <w:jc w:val="center"/>
              <w:rPr>
                <w:rFonts w:cs="Arial"/>
                <w:sz w:val="18"/>
                <w:szCs w:val="18"/>
              </w:rPr>
            </w:pPr>
            <w:r w:rsidRPr="001D41EA">
              <w:rPr>
                <w:rFonts w:cs="Arial"/>
                <w:sz w:val="18"/>
                <w:szCs w:val="18"/>
              </w:rPr>
              <w:t>1.032</w:t>
            </w:r>
          </w:p>
        </w:tc>
        <w:tc>
          <w:tcPr>
            <w:tcW w:w="1134" w:type="dxa"/>
            <w:tcBorders>
              <w:top w:val="nil"/>
              <w:left w:val="nil"/>
              <w:bottom w:val="nil"/>
              <w:right w:val="nil"/>
            </w:tcBorders>
            <w:vAlign w:val="bottom"/>
          </w:tcPr>
          <w:p w14:paraId="08036F42" w14:textId="5078EB86" w:rsidR="00566EA9" w:rsidRPr="001D41EA" w:rsidRDefault="00566EA9" w:rsidP="001D41EA">
            <w:pPr>
              <w:spacing w:before="40" w:after="40"/>
              <w:jc w:val="center"/>
              <w:rPr>
                <w:rFonts w:cs="Arial"/>
                <w:sz w:val="18"/>
                <w:szCs w:val="18"/>
              </w:rPr>
            </w:pPr>
            <w:r w:rsidRPr="001D41EA">
              <w:rPr>
                <w:rFonts w:cs="Arial"/>
                <w:sz w:val="18"/>
                <w:szCs w:val="18"/>
              </w:rPr>
              <w:t>1.029</w:t>
            </w:r>
          </w:p>
        </w:tc>
        <w:tc>
          <w:tcPr>
            <w:tcW w:w="170" w:type="dxa"/>
            <w:tcBorders>
              <w:top w:val="nil"/>
              <w:left w:val="nil"/>
              <w:bottom w:val="nil"/>
              <w:right w:val="nil"/>
            </w:tcBorders>
            <w:vAlign w:val="bottom"/>
          </w:tcPr>
          <w:p w14:paraId="06CFDF24" w14:textId="3B6961B1"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6FB02957" w14:textId="49F066D8" w:rsidR="00566EA9" w:rsidRPr="001D41EA" w:rsidRDefault="00566EA9" w:rsidP="001D41EA">
            <w:pPr>
              <w:spacing w:before="40" w:after="40"/>
              <w:jc w:val="center"/>
              <w:rPr>
                <w:rFonts w:cs="Arial"/>
                <w:sz w:val="18"/>
                <w:szCs w:val="18"/>
              </w:rPr>
            </w:pPr>
            <w:r w:rsidRPr="001D41EA">
              <w:rPr>
                <w:rFonts w:cs="Arial"/>
                <w:sz w:val="18"/>
                <w:szCs w:val="18"/>
              </w:rPr>
              <w:t>0.786</w:t>
            </w:r>
          </w:p>
        </w:tc>
        <w:tc>
          <w:tcPr>
            <w:tcW w:w="1134" w:type="dxa"/>
            <w:tcBorders>
              <w:top w:val="nil"/>
              <w:left w:val="nil"/>
              <w:bottom w:val="nil"/>
              <w:right w:val="nil"/>
            </w:tcBorders>
            <w:vAlign w:val="bottom"/>
          </w:tcPr>
          <w:p w14:paraId="542ED076" w14:textId="26A64D47" w:rsidR="00566EA9" w:rsidRPr="001D41EA" w:rsidRDefault="00566EA9" w:rsidP="001D41EA">
            <w:pPr>
              <w:spacing w:before="40" w:after="40"/>
              <w:jc w:val="center"/>
              <w:rPr>
                <w:rFonts w:cs="Arial"/>
                <w:sz w:val="18"/>
                <w:szCs w:val="18"/>
              </w:rPr>
            </w:pPr>
            <w:r w:rsidRPr="001D41EA">
              <w:rPr>
                <w:rFonts w:cs="Arial"/>
                <w:sz w:val="18"/>
                <w:szCs w:val="18"/>
              </w:rPr>
              <w:t>0.792</w:t>
            </w:r>
          </w:p>
        </w:tc>
        <w:tc>
          <w:tcPr>
            <w:tcW w:w="1134" w:type="dxa"/>
            <w:tcBorders>
              <w:top w:val="nil"/>
              <w:left w:val="nil"/>
              <w:bottom w:val="nil"/>
              <w:right w:val="nil"/>
            </w:tcBorders>
            <w:vAlign w:val="bottom"/>
          </w:tcPr>
          <w:p w14:paraId="74E66867" w14:textId="54EF6A58" w:rsidR="00566EA9" w:rsidRPr="001D41EA" w:rsidRDefault="00566EA9" w:rsidP="001D41EA">
            <w:pPr>
              <w:spacing w:before="40" w:after="40"/>
              <w:jc w:val="center"/>
              <w:rPr>
                <w:rFonts w:cs="Arial"/>
                <w:sz w:val="18"/>
                <w:szCs w:val="18"/>
              </w:rPr>
            </w:pPr>
            <w:r w:rsidRPr="001D41EA">
              <w:rPr>
                <w:rFonts w:cs="Arial"/>
                <w:sz w:val="18"/>
                <w:szCs w:val="18"/>
              </w:rPr>
              <w:t>0.787</w:t>
            </w:r>
          </w:p>
        </w:tc>
        <w:tc>
          <w:tcPr>
            <w:tcW w:w="1134" w:type="dxa"/>
            <w:tcBorders>
              <w:top w:val="nil"/>
              <w:left w:val="nil"/>
              <w:bottom w:val="nil"/>
              <w:right w:val="nil"/>
            </w:tcBorders>
            <w:vAlign w:val="bottom"/>
          </w:tcPr>
          <w:p w14:paraId="23002166" w14:textId="7FCF8BBB" w:rsidR="00566EA9" w:rsidRPr="001D41EA" w:rsidRDefault="00566EA9" w:rsidP="001D41EA">
            <w:pPr>
              <w:spacing w:before="40" w:after="40"/>
              <w:jc w:val="center"/>
              <w:rPr>
                <w:rFonts w:cs="Arial"/>
                <w:sz w:val="18"/>
                <w:szCs w:val="18"/>
              </w:rPr>
            </w:pPr>
            <w:r w:rsidRPr="001D41EA">
              <w:rPr>
                <w:rFonts w:cs="Arial"/>
                <w:sz w:val="18"/>
                <w:szCs w:val="18"/>
              </w:rPr>
              <w:t>0.803</w:t>
            </w:r>
          </w:p>
        </w:tc>
      </w:tr>
      <w:tr w:rsidR="00566EA9" w:rsidRPr="001D41EA" w14:paraId="7E96729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3188F4E" w14:textId="77777777" w:rsidR="00566EA9" w:rsidRPr="001D41EA" w:rsidRDefault="00566EA9" w:rsidP="001D41EA">
            <w:pPr>
              <w:spacing w:before="40" w:after="40"/>
              <w:rPr>
                <w:rFonts w:cs="Arial"/>
                <w:sz w:val="18"/>
                <w:szCs w:val="18"/>
              </w:rPr>
            </w:pPr>
            <w:r w:rsidRPr="001D41EA">
              <w:rPr>
                <w:rFonts w:cs="Arial"/>
                <w:sz w:val="18"/>
                <w:szCs w:val="18"/>
              </w:rPr>
              <w:t>Darebin C</w:t>
            </w:r>
          </w:p>
        </w:tc>
        <w:tc>
          <w:tcPr>
            <w:tcW w:w="1134" w:type="dxa"/>
            <w:tcBorders>
              <w:top w:val="nil"/>
              <w:left w:val="single" w:sz="18" w:space="0" w:color="5F497A" w:themeColor="accent4" w:themeShade="BF"/>
              <w:bottom w:val="nil"/>
              <w:right w:val="nil"/>
            </w:tcBorders>
            <w:shd w:val="clear" w:color="auto" w:fill="auto"/>
            <w:vAlign w:val="bottom"/>
          </w:tcPr>
          <w:p w14:paraId="703E76A7" w14:textId="58307600" w:rsidR="00566EA9" w:rsidRPr="001D41EA" w:rsidRDefault="00566EA9" w:rsidP="001D41EA">
            <w:pPr>
              <w:spacing w:before="40" w:after="40"/>
              <w:jc w:val="center"/>
              <w:rPr>
                <w:rFonts w:cs="Arial"/>
                <w:sz w:val="18"/>
                <w:szCs w:val="18"/>
              </w:rPr>
            </w:pPr>
            <w:r w:rsidRPr="001D41EA">
              <w:rPr>
                <w:rFonts w:cs="Arial"/>
                <w:sz w:val="18"/>
                <w:szCs w:val="18"/>
              </w:rPr>
              <w:t>1.001</w:t>
            </w:r>
          </w:p>
        </w:tc>
        <w:tc>
          <w:tcPr>
            <w:tcW w:w="1134" w:type="dxa"/>
            <w:tcBorders>
              <w:top w:val="nil"/>
              <w:left w:val="nil"/>
              <w:bottom w:val="nil"/>
              <w:right w:val="nil"/>
            </w:tcBorders>
            <w:vAlign w:val="bottom"/>
          </w:tcPr>
          <w:p w14:paraId="275AE446" w14:textId="562BBB96" w:rsidR="00566EA9" w:rsidRPr="001D41EA" w:rsidRDefault="00566EA9" w:rsidP="001D41EA">
            <w:pPr>
              <w:spacing w:before="40" w:after="40"/>
              <w:jc w:val="center"/>
              <w:rPr>
                <w:rFonts w:cs="Arial"/>
                <w:sz w:val="18"/>
                <w:szCs w:val="18"/>
              </w:rPr>
            </w:pPr>
            <w:r w:rsidRPr="001D41EA">
              <w:rPr>
                <w:rFonts w:cs="Arial"/>
                <w:sz w:val="18"/>
                <w:szCs w:val="18"/>
              </w:rPr>
              <w:t>0.997</w:t>
            </w:r>
          </w:p>
        </w:tc>
        <w:tc>
          <w:tcPr>
            <w:tcW w:w="170" w:type="dxa"/>
            <w:tcBorders>
              <w:top w:val="nil"/>
              <w:left w:val="nil"/>
              <w:bottom w:val="nil"/>
              <w:right w:val="nil"/>
            </w:tcBorders>
            <w:vAlign w:val="bottom"/>
          </w:tcPr>
          <w:p w14:paraId="64F411CB" w14:textId="54D58E9A"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25B73B7" w14:textId="66C83E4F" w:rsidR="00566EA9" w:rsidRPr="001D41EA" w:rsidRDefault="00566EA9" w:rsidP="001D41EA">
            <w:pPr>
              <w:spacing w:before="40" w:after="40"/>
              <w:jc w:val="center"/>
              <w:rPr>
                <w:rFonts w:cs="Arial"/>
                <w:sz w:val="18"/>
                <w:szCs w:val="18"/>
              </w:rPr>
            </w:pPr>
            <w:r w:rsidRPr="001D41EA">
              <w:rPr>
                <w:rFonts w:cs="Arial"/>
                <w:sz w:val="18"/>
                <w:szCs w:val="18"/>
              </w:rPr>
              <w:t>1.129</w:t>
            </w:r>
          </w:p>
        </w:tc>
        <w:tc>
          <w:tcPr>
            <w:tcW w:w="1134" w:type="dxa"/>
            <w:tcBorders>
              <w:top w:val="nil"/>
              <w:left w:val="nil"/>
              <w:bottom w:val="nil"/>
              <w:right w:val="nil"/>
            </w:tcBorders>
            <w:vAlign w:val="bottom"/>
          </w:tcPr>
          <w:p w14:paraId="0972D43A" w14:textId="2B0B4E38" w:rsidR="00566EA9" w:rsidRPr="001D41EA" w:rsidRDefault="00566EA9" w:rsidP="001D41EA">
            <w:pPr>
              <w:spacing w:before="40" w:after="40"/>
              <w:jc w:val="center"/>
              <w:rPr>
                <w:rFonts w:cs="Arial"/>
                <w:sz w:val="18"/>
                <w:szCs w:val="18"/>
              </w:rPr>
            </w:pPr>
            <w:r w:rsidRPr="001D41EA">
              <w:rPr>
                <w:rFonts w:cs="Arial"/>
                <w:sz w:val="18"/>
                <w:szCs w:val="18"/>
              </w:rPr>
              <w:t>1.138</w:t>
            </w:r>
          </w:p>
        </w:tc>
        <w:tc>
          <w:tcPr>
            <w:tcW w:w="1134" w:type="dxa"/>
            <w:tcBorders>
              <w:top w:val="nil"/>
              <w:left w:val="nil"/>
              <w:bottom w:val="nil"/>
              <w:right w:val="nil"/>
            </w:tcBorders>
            <w:vAlign w:val="bottom"/>
          </w:tcPr>
          <w:p w14:paraId="272171D7" w14:textId="6BC474EF" w:rsidR="00566EA9" w:rsidRPr="001D41EA" w:rsidRDefault="00566EA9" w:rsidP="001D41EA">
            <w:pPr>
              <w:spacing w:before="40" w:after="40"/>
              <w:jc w:val="center"/>
              <w:rPr>
                <w:rFonts w:cs="Arial"/>
                <w:sz w:val="18"/>
                <w:szCs w:val="18"/>
              </w:rPr>
            </w:pPr>
            <w:r w:rsidRPr="001D41EA">
              <w:rPr>
                <w:rFonts w:cs="Arial"/>
                <w:sz w:val="18"/>
                <w:szCs w:val="18"/>
              </w:rPr>
              <w:t>1.131</w:t>
            </w:r>
          </w:p>
        </w:tc>
        <w:tc>
          <w:tcPr>
            <w:tcW w:w="1134" w:type="dxa"/>
            <w:tcBorders>
              <w:top w:val="nil"/>
              <w:left w:val="nil"/>
              <w:bottom w:val="nil"/>
              <w:right w:val="nil"/>
            </w:tcBorders>
            <w:vAlign w:val="bottom"/>
          </w:tcPr>
          <w:p w14:paraId="15447703" w14:textId="6AC6F6AC" w:rsidR="00566EA9" w:rsidRPr="001D41EA" w:rsidRDefault="00566EA9" w:rsidP="001D41EA">
            <w:pPr>
              <w:spacing w:before="40" w:after="40"/>
              <w:jc w:val="center"/>
              <w:rPr>
                <w:rFonts w:cs="Arial"/>
                <w:sz w:val="18"/>
                <w:szCs w:val="18"/>
              </w:rPr>
            </w:pPr>
            <w:r w:rsidRPr="001D41EA">
              <w:rPr>
                <w:rFonts w:cs="Arial"/>
                <w:sz w:val="18"/>
                <w:szCs w:val="18"/>
              </w:rPr>
              <w:t>1.153</w:t>
            </w:r>
          </w:p>
        </w:tc>
      </w:tr>
      <w:tr w:rsidR="00566EA9" w:rsidRPr="001D41EA" w14:paraId="5E0038A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CB5F004" w14:textId="77777777" w:rsidR="00566EA9" w:rsidRPr="001D41EA" w:rsidRDefault="00566EA9" w:rsidP="001D41EA">
            <w:pPr>
              <w:spacing w:before="40" w:after="40"/>
              <w:rPr>
                <w:rFonts w:cs="Arial"/>
                <w:sz w:val="18"/>
                <w:szCs w:val="18"/>
              </w:rPr>
            </w:pPr>
            <w:r w:rsidRPr="001D41EA">
              <w:rPr>
                <w:rFonts w:cs="Arial"/>
                <w:sz w:val="18"/>
                <w:szCs w:val="18"/>
              </w:rPr>
              <w:t>East Gippsland S</w:t>
            </w:r>
          </w:p>
        </w:tc>
        <w:tc>
          <w:tcPr>
            <w:tcW w:w="1134" w:type="dxa"/>
            <w:tcBorders>
              <w:top w:val="nil"/>
              <w:left w:val="single" w:sz="18" w:space="0" w:color="5F497A" w:themeColor="accent4" w:themeShade="BF"/>
              <w:bottom w:val="nil"/>
              <w:right w:val="nil"/>
            </w:tcBorders>
            <w:shd w:val="clear" w:color="auto" w:fill="auto"/>
            <w:vAlign w:val="bottom"/>
          </w:tcPr>
          <w:p w14:paraId="1AC5A8B1" w14:textId="6DF21C71" w:rsidR="00566EA9" w:rsidRPr="001D41EA" w:rsidRDefault="00566EA9" w:rsidP="001D41EA">
            <w:pPr>
              <w:spacing w:before="40" w:after="40"/>
              <w:jc w:val="center"/>
              <w:rPr>
                <w:rFonts w:cs="Arial"/>
                <w:sz w:val="18"/>
                <w:szCs w:val="18"/>
              </w:rPr>
            </w:pPr>
            <w:r w:rsidRPr="001D41EA">
              <w:rPr>
                <w:rFonts w:cs="Arial"/>
                <w:sz w:val="18"/>
                <w:szCs w:val="18"/>
              </w:rPr>
              <w:t>1.459</w:t>
            </w:r>
          </w:p>
        </w:tc>
        <w:tc>
          <w:tcPr>
            <w:tcW w:w="1134" w:type="dxa"/>
            <w:tcBorders>
              <w:top w:val="nil"/>
              <w:left w:val="nil"/>
              <w:bottom w:val="nil"/>
              <w:right w:val="nil"/>
            </w:tcBorders>
            <w:vAlign w:val="bottom"/>
          </w:tcPr>
          <w:p w14:paraId="2BE53CAF" w14:textId="7C3A13E8" w:rsidR="00566EA9" w:rsidRPr="001D41EA" w:rsidRDefault="00566EA9" w:rsidP="001D41EA">
            <w:pPr>
              <w:spacing w:before="40" w:after="40"/>
              <w:jc w:val="center"/>
              <w:rPr>
                <w:rFonts w:cs="Arial"/>
                <w:sz w:val="18"/>
                <w:szCs w:val="18"/>
              </w:rPr>
            </w:pPr>
            <w:r w:rsidRPr="001D41EA">
              <w:rPr>
                <w:rFonts w:cs="Arial"/>
                <w:sz w:val="18"/>
                <w:szCs w:val="18"/>
              </w:rPr>
              <w:t>1.455</w:t>
            </w:r>
          </w:p>
        </w:tc>
        <w:tc>
          <w:tcPr>
            <w:tcW w:w="170" w:type="dxa"/>
            <w:tcBorders>
              <w:top w:val="nil"/>
              <w:left w:val="nil"/>
              <w:bottom w:val="nil"/>
              <w:right w:val="nil"/>
            </w:tcBorders>
            <w:vAlign w:val="bottom"/>
          </w:tcPr>
          <w:p w14:paraId="1455C9C3" w14:textId="1FCC98D7"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3A29FC8E" w14:textId="5B1AAB08" w:rsidR="00566EA9" w:rsidRPr="001D41EA" w:rsidRDefault="00566EA9" w:rsidP="001D41EA">
            <w:pPr>
              <w:spacing w:before="40" w:after="40"/>
              <w:jc w:val="center"/>
              <w:rPr>
                <w:rFonts w:cs="Arial"/>
                <w:sz w:val="18"/>
                <w:szCs w:val="18"/>
              </w:rPr>
            </w:pPr>
            <w:r w:rsidRPr="001D41EA">
              <w:rPr>
                <w:rFonts w:cs="Arial"/>
                <w:sz w:val="18"/>
                <w:szCs w:val="18"/>
              </w:rPr>
              <w:t>0.802</w:t>
            </w:r>
          </w:p>
        </w:tc>
        <w:tc>
          <w:tcPr>
            <w:tcW w:w="1134" w:type="dxa"/>
            <w:tcBorders>
              <w:top w:val="nil"/>
              <w:left w:val="nil"/>
              <w:bottom w:val="nil"/>
              <w:right w:val="nil"/>
            </w:tcBorders>
            <w:vAlign w:val="bottom"/>
          </w:tcPr>
          <w:p w14:paraId="77CAAEB2" w14:textId="29204692" w:rsidR="00566EA9" w:rsidRPr="001D41EA" w:rsidRDefault="00566EA9" w:rsidP="001D41EA">
            <w:pPr>
              <w:spacing w:before="40" w:after="40"/>
              <w:jc w:val="center"/>
              <w:rPr>
                <w:rFonts w:cs="Arial"/>
                <w:sz w:val="18"/>
                <w:szCs w:val="18"/>
              </w:rPr>
            </w:pPr>
            <w:r w:rsidRPr="001D41EA">
              <w:rPr>
                <w:rFonts w:cs="Arial"/>
                <w:sz w:val="18"/>
                <w:szCs w:val="18"/>
              </w:rPr>
              <w:t>0.809</w:t>
            </w:r>
          </w:p>
        </w:tc>
        <w:tc>
          <w:tcPr>
            <w:tcW w:w="1134" w:type="dxa"/>
            <w:tcBorders>
              <w:top w:val="nil"/>
              <w:left w:val="nil"/>
              <w:bottom w:val="nil"/>
              <w:right w:val="nil"/>
            </w:tcBorders>
            <w:vAlign w:val="bottom"/>
          </w:tcPr>
          <w:p w14:paraId="6143F86D" w14:textId="564021C2" w:rsidR="00566EA9" w:rsidRPr="001D41EA" w:rsidRDefault="00566EA9" w:rsidP="001D41EA">
            <w:pPr>
              <w:spacing w:before="40" w:after="40"/>
              <w:jc w:val="center"/>
              <w:rPr>
                <w:rFonts w:cs="Arial"/>
                <w:sz w:val="18"/>
                <w:szCs w:val="18"/>
              </w:rPr>
            </w:pPr>
            <w:r w:rsidRPr="001D41EA">
              <w:rPr>
                <w:rFonts w:cs="Arial"/>
                <w:sz w:val="18"/>
                <w:szCs w:val="18"/>
              </w:rPr>
              <w:t>0.804</w:t>
            </w:r>
          </w:p>
        </w:tc>
        <w:tc>
          <w:tcPr>
            <w:tcW w:w="1134" w:type="dxa"/>
            <w:tcBorders>
              <w:top w:val="nil"/>
              <w:left w:val="nil"/>
              <w:bottom w:val="nil"/>
              <w:right w:val="nil"/>
            </w:tcBorders>
            <w:vAlign w:val="bottom"/>
          </w:tcPr>
          <w:p w14:paraId="359CDE12" w14:textId="755BFDB1" w:rsidR="00566EA9" w:rsidRPr="001D41EA" w:rsidRDefault="00566EA9" w:rsidP="001D41EA">
            <w:pPr>
              <w:spacing w:before="40" w:after="40"/>
              <w:jc w:val="center"/>
              <w:rPr>
                <w:rFonts w:cs="Arial"/>
                <w:sz w:val="18"/>
                <w:szCs w:val="18"/>
              </w:rPr>
            </w:pPr>
            <w:r w:rsidRPr="001D41EA">
              <w:rPr>
                <w:rFonts w:cs="Arial"/>
                <w:sz w:val="18"/>
                <w:szCs w:val="18"/>
              </w:rPr>
              <w:t>0.820</w:t>
            </w:r>
          </w:p>
        </w:tc>
      </w:tr>
      <w:tr w:rsidR="00566EA9" w:rsidRPr="001D41EA" w14:paraId="7B2D02A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98AFA0C" w14:textId="77777777" w:rsidR="00566EA9" w:rsidRPr="001D41EA" w:rsidRDefault="00566EA9" w:rsidP="001D41EA">
            <w:pPr>
              <w:spacing w:before="40" w:after="40"/>
              <w:rPr>
                <w:rFonts w:cs="Arial"/>
                <w:sz w:val="18"/>
                <w:szCs w:val="18"/>
              </w:rPr>
            </w:pPr>
            <w:r w:rsidRPr="001D41EA">
              <w:rPr>
                <w:rFonts w:cs="Arial"/>
                <w:sz w:val="18"/>
                <w:szCs w:val="18"/>
              </w:rPr>
              <w:t>Frankston C</w:t>
            </w:r>
          </w:p>
        </w:tc>
        <w:tc>
          <w:tcPr>
            <w:tcW w:w="1134" w:type="dxa"/>
            <w:tcBorders>
              <w:top w:val="nil"/>
              <w:left w:val="single" w:sz="18" w:space="0" w:color="5F497A" w:themeColor="accent4" w:themeShade="BF"/>
              <w:bottom w:val="nil"/>
              <w:right w:val="nil"/>
            </w:tcBorders>
            <w:shd w:val="clear" w:color="auto" w:fill="auto"/>
            <w:vAlign w:val="bottom"/>
          </w:tcPr>
          <w:p w14:paraId="73A776D9" w14:textId="652076EB" w:rsidR="00566EA9" w:rsidRPr="001D41EA" w:rsidRDefault="00566EA9" w:rsidP="001D41EA">
            <w:pPr>
              <w:spacing w:before="40" w:after="40"/>
              <w:jc w:val="center"/>
              <w:rPr>
                <w:rFonts w:cs="Arial"/>
                <w:sz w:val="18"/>
                <w:szCs w:val="18"/>
              </w:rPr>
            </w:pPr>
            <w:r w:rsidRPr="001D41EA">
              <w:rPr>
                <w:rFonts w:cs="Arial"/>
                <w:sz w:val="18"/>
                <w:szCs w:val="18"/>
              </w:rPr>
              <w:t>1.048</w:t>
            </w:r>
          </w:p>
        </w:tc>
        <w:tc>
          <w:tcPr>
            <w:tcW w:w="1134" w:type="dxa"/>
            <w:tcBorders>
              <w:top w:val="nil"/>
              <w:left w:val="nil"/>
              <w:bottom w:val="nil"/>
              <w:right w:val="nil"/>
            </w:tcBorders>
            <w:vAlign w:val="bottom"/>
          </w:tcPr>
          <w:p w14:paraId="7A875086" w14:textId="297F0CE2" w:rsidR="00566EA9" w:rsidRPr="001D41EA" w:rsidRDefault="00566EA9" w:rsidP="001D41EA">
            <w:pPr>
              <w:spacing w:before="40" w:after="40"/>
              <w:jc w:val="center"/>
              <w:rPr>
                <w:rFonts w:cs="Arial"/>
                <w:sz w:val="18"/>
                <w:szCs w:val="18"/>
              </w:rPr>
            </w:pPr>
            <w:r w:rsidRPr="001D41EA">
              <w:rPr>
                <w:rFonts w:cs="Arial"/>
                <w:sz w:val="18"/>
                <w:szCs w:val="18"/>
              </w:rPr>
              <w:t>1.044</w:t>
            </w:r>
          </w:p>
        </w:tc>
        <w:tc>
          <w:tcPr>
            <w:tcW w:w="170" w:type="dxa"/>
            <w:tcBorders>
              <w:top w:val="nil"/>
              <w:left w:val="nil"/>
              <w:bottom w:val="nil"/>
              <w:right w:val="nil"/>
            </w:tcBorders>
            <w:vAlign w:val="bottom"/>
          </w:tcPr>
          <w:p w14:paraId="342921E3" w14:textId="0710435B"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2905C906" w14:textId="0A1E0914" w:rsidR="00566EA9" w:rsidRPr="001D41EA" w:rsidRDefault="00566EA9" w:rsidP="001D41EA">
            <w:pPr>
              <w:spacing w:before="40" w:after="40"/>
              <w:jc w:val="center"/>
              <w:rPr>
                <w:rFonts w:cs="Arial"/>
                <w:sz w:val="18"/>
                <w:szCs w:val="18"/>
              </w:rPr>
            </w:pPr>
            <w:r w:rsidRPr="001D41EA">
              <w:rPr>
                <w:rFonts w:cs="Arial"/>
                <w:sz w:val="18"/>
                <w:szCs w:val="18"/>
              </w:rPr>
              <w:t>0.845</w:t>
            </w:r>
          </w:p>
        </w:tc>
        <w:tc>
          <w:tcPr>
            <w:tcW w:w="1134" w:type="dxa"/>
            <w:tcBorders>
              <w:top w:val="nil"/>
              <w:left w:val="nil"/>
              <w:bottom w:val="nil"/>
              <w:right w:val="nil"/>
            </w:tcBorders>
            <w:vAlign w:val="bottom"/>
          </w:tcPr>
          <w:p w14:paraId="5DFDB090" w14:textId="3D4F08FA" w:rsidR="00566EA9" w:rsidRPr="001D41EA" w:rsidRDefault="00566EA9" w:rsidP="001D41EA">
            <w:pPr>
              <w:spacing w:before="40" w:after="40"/>
              <w:jc w:val="center"/>
              <w:rPr>
                <w:rFonts w:cs="Arial"/>
                <w:sz w:val="18"/>
                <w:szCs w:val="18"/>
              </w:rPr>
            </w:pPr>
            <w:r w:rsidRPr="001D41EA">
              <w:rPr>
                <w:rFonts w:cs="Arial"/>
                <w:sz w:val="18"/>
                <w:szCs w:val="18"/>
              </w:rPr>
              <w:t>0.851</w:t>
            </w:r>
          </w:p>
        </w:tc>
        <w:tc>
          <w:tcPr>
            <w:tcW w:w="1134" w:type="dxa"/>
            <w:tcBorders>
              <w:top w:val="nil"/>
              <w:left w:val="nil"/>
              <w:bottom w:val="nil"/>
              <w:right w:val="nil"/>
            </w:tcBorders>
            <w:vAlign w:val="bottom"/>
          </w:tcPr>
          <w:p w14:paraId="5DD4091C" w14:textId="1C1827F4" w:rsidR="00566EA9" w:rsidRPr="001D41EA" w:rsidRDefault="00566EA9" w:rsidP="001D41EA">
            <w:pPr>
              <w:spacing w:before="40" w:after="40"/>
              <w:jc w:val="center"/>
              <w:rPr>
                <w:rFonts w:cs="Arial"/>
                <w:sz w:val="18"/>
                <w:szCs w:val="18"/>
              </w:rPr>
            </w:pPr>
            <w:r w:rsidRPr="001D41EA">
              <w:rPr>
                <w:rFonts w:cs="Arial"/>
                <w:sz w:val="18"/>
                <w:szCs w:val="18"/>
              </w:rPr>
              <w:t>0.846</w:t>
            </w:r>
          </w:p>
        </w:tc>
        <w:tc>
          <w:tcPr>
            <w:tcW w:w="1134" w:type="dxa"/>
            <w:tcBorders>
              <w:top w:val="nil"/>
              <w:left w:val="nil"/>
              <w:bottom w:val="nil"/>
              <w:right w:val="nil"/>
            </w:tcBorders>
            <w:vAlign w:val="bottom"/>
          </w:tcPr>
          <w:p w14:paraId="686B65CB" w14:textId="65C179E7" w:rsidR="00566EA9" w:rsidRPr="001D41EA" w:rsidRDefault="00566EA9" w:rsidP="001D41EA">
            <w:pPr>
              <w:spacing w:before="40" w:after="40"/>
              <w:jc w:val="center"/>
              <w:rPr>
                <w:rFonts w:cs="Arial"/>
                <w:sz w:val="18"/>
                <w:szCs w:val="18"/>
              </w:rPr>
            </w:pPr>
            <w:r w:rsidRPr="001D41EA">
              <w:rPr>
                <w:rFonts w:cs="Arial"/>
                <w:sz w:val="18"/>
                <w:szCs w:val="18"/>
              </w:rPr>
              <w:t>0.863</w:t>
            </w:r>
          </w:p>
        </w:tc>
      </w:tr>
      <w:tr w:rsidR="00566EA9" w:rsidRPr="001D41EA" w14:paraId="0043D54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8CB7559" w14:textId="77777777" w:rsidR="00566EA9" w:rsidRPr="001D41EA" w:rsidRDefault="00566EA9" w:rsidP="001D41EA">
            <w:pPr>
              <w:spacing w:before="40" w:after="40"/>
              <w:rPr>
                <w:rFonts w:cs="Arial"/>
                <w:sz w:val="18"/>
                <w:szCs w:val="18"/>
              </w:rPr>
            </w:pPr>
            <w:r w:rsidRPr="001D41EA">
              <w:rPr>
                <w:rFonts w:cs="Arial"/>
                <w:sz w:val="18"/>
                <w:szCs w:val="18"/>
              </w:rPr>
              <w:t>Gannawarra S</w:t>
            </w:r>
          </w:p>
        </w:tc>
        <w:tc>
          <w:tcPr>
            <w:tcW w:w="1134" w:type="dxa"/>
            <w:tcBorders>
              <w:top w:val="nil"/>
              <w:left w:val="single" w:sz="18" w:space="0" w:color="5F497A" w:themeColor="accent4" w:themeShade="BF"/>
              <w:bottom w:val="nil"/>
              <w:right w:val="nil"/>
            </w:tcBorders>
            <w:shd w:val="clear" w:color="auto" w:fill="auto"/>
            <w:vAlign w:val="bottom"/>
          </w:tcPr>
          <w:p w14:paraId="00617F20" w14:textId="4A6E90F2" w:rsidR="00566EA9" w:rsidRPr="001D41EA" w:rsidRDefault="00566EA9" w:rsidP="001D41EA">
            <w:pPr>
              <w:spacing w:before="40" w:after="40"/>
              <w:jc w:val="center"/>
              <w:rPr>
                <w:rFonts w:cs="Arial"/>
                <w:sz w:val="18"/>
                <w:szCs w:val="18"/>
              </w:rPr>
            </w:pPr>
            <w:r w:rsidRPr="001D41EA">
              <w:rPr>
                <w:rFonts w:cs="Arial"/>
                <w:sz w:val="18"/>
                <w:szCs w:val="18"/>
              </w:rPr>
              <w:t>1.236</w:t>
            </w:r>
          </w:p>
        </w:tc>
        <w:tc>
          <w:tcPr>
            <w:tcW w:w="1134" w:type="dxa"/>
            <w:tcBorders>
              <w:top w:val="nil"/>
              <w:left w:val="nil"/>
              <w:bottom w:val="nil"/>
              <w:right w:val="nil"/>
            </w:tcBorders>
            <w:vAlign w:val="bottom"/>
          </w:tcPr>
          <w:p w14:paraId="37568D0C" w14:textId="0EBB81B0" w:rsidR="00566EA9" w:rsidRPr="001D41EA" w:rsidRDefault="00566EA9" w:rsidP="001D41EA">
            <w:pPr>
              <w:spacing w:before="40" w:after="40"/>
              <w:jc w:val="center"/>
              <w:rPr>
                <w:rFonts w:cs="Arial"/>
                <w:sz w:val="18"/>
                <w:szCs w:val="18"/>
              </w:rPr>
            </w:pPr>
            <w:r w:rsidRPr="001D41EA">
              <w:rPr>
                <w:rFonts w:cs="Arial"/>
                <w:sz w:val="18"/>
                <w:szCs w:val="18"/>
              </w:rPr>
              <w:t>1.232</w:t>
            </w:r>
          </w:p>
        </w:tc>
        <w:tc>
          <w:tcPr>
            <w:tcW w:w="170" w:type="dxa"/>
            <w:tcBorders>
              <w:top w:val="nil"/>
              <w:left w:val="nil"/>
              <w:bottom w:val="nil"/>
              <w:right w:val="nil"/>
            </w:tcBorders>
            <w:vAlign w:val="bottom"/>
          </w:tcPr>
          <w:p w14:paraId="0E6DD576" w14:textId="15F4A5F8"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26A2D866" w14:textId="4A6AF462" w:rsidR="00566EA9" w:rsidRPr="001D41EA" w:rsidRDefault="00566EA9" w:rsidP="001D41EA">
            <w:pPr>
              <w:spacing w:before="40" w:after="40"/>
              <w:jc w:val="center"/>
              <w:rPr>
                <w:rFonts w:cs="Arial"/>
                <w:sz w:val="18"/>
                <w:szCs w:val="18"/>
              </w:rPr>
            </w:pPr>
            <w:r w:rsidRPr="001D41EA">
              <w:rPr>
                <w:rFonts w:cs="Arial"/>
                <w:sz w:val="18"/>
                <w:szCs w:val="18"/>
              </w:rPr>
              <w:t>0.795</w:t>
            </w:r>
          </w:p>
        </w:tc>
        <w:tc>
          <w:tcPr>
            <w:tcW w:w="1134" w:type="dxa"/>
            <w:tcBorders>
              <w:top w:val="nil"/>
              <w:left w:val="nil"/>
              <w:bottom w:val="nil"/>
              <w:right w:val="nil"/>
            </w:tcBorders>
            <w:vAlign w:val="bottom"/>
          </w:tcPr>
          <w:p w14:paraId="5054944D" w14:textId="042E3D54" w:rsidR="00566EA9" w:rsidRPr="001D41EA" w:rsidRDefault="00566EA9" w:rsidP="001D41EA">
            <w:pPr>
              <w:spacing w:before="40" w:after="40"/>
              <w:jc w:val="center"/>
              <w:rPr>
                <w:rFonts w:cs="Arial"/>
                <w:sz w:val="18"/>
                <w:szCs w:val="18"/>
              </w:rPr>
            </w:pPr>
            <w:r w:rsidRPr="001D41EA">
              <w:rPr>
                <w:rFonts w:cs="Arial"/>
                <w:sz w:val="18"/>
                <w:szCs w:val="18"/>
              </w:rPr>
              <w:t>0.801</w:t>
            </w:r>
          </w:p>
        </w:tc>
        <w:tc>
          <w:tcPr>
            <w:tcW w:w="1134" w:type="dxa"/>
            <w:tcBorders>
              <w:top w:val="nil"/>
              <w:left w:val="nil"/>
              <w:bottom w:val="nil"/>
              <w:right w:val="nil"/>
            </w:tcBorders>
            <w:vAlign w:val="bottom"/>
          </w:tcPr>
          <w:p w14:paraId="65BF0AE8" w14:textId="7CF37E4D" w:rsidR="00566EA9" w:rsidRPr="001D41EA" w:rsidRDefault="00566EA9" w:rsidP="001D41EA">
            <w:pPr>
              <w:spacing w:before="40" w:after="40"/>
              <w:jc w:val="center"/>
              <w:rPr>
                <w:rFonts w:cs="Arial"/>
                <w:sz w:val="18"/>
                <w:szCs w:val="18"/>
              </w:rPr>
            </w:pPr>
            <w:r w:rsidRPr="001D41EA">
              <w:rPr>
                <w:rFonts w:cs="Arial"/>
                <w:sz w:val="18"/>
                <w:szCs w:val="18"/>
              </w:rPr>
              <w:t>0.797</w:t>
            </w:r>
          </w:p>
        </w:tc>
        <w:tc>
          <w:tcPr>
            <w:tcW w:w="1134" w:type="dxa"/>
            <w:tcBorders>
              <w:top w:val="nil"/>
              <w:left w:val="nil"/>
              <w:bottom w:val="nil"/>
              <w:right w:val="nil"/>
            </w:tcBorders>
            <w:vAlign w:val="bottom"/>
          </w:tcPr>
          <w:p w14:paraId="57CA203E" w14:textId="2441586B" w:rsidR="00566EA9" w:rsidRPr="001D41EA" w:rsidRDefault="00566EA9" w:rsidP="001D41EA">
            <w:pPr>
              <w:spacing w:before="40" w:after="40"/>
              <w:jc w:val="center"/>
              <w:rPr>
                <w:rFonts w:cs="Arial"/>
                <w:sz w:val="18"/>
                <w:szCs w:val="18"/>
              </w:rPr>
            </w:pPr>
            <w:r w:rsidRPr="001D41EA">
              <w:rPr>
                <w:rFonts w:cs="Arial"/>
                <w:sz w:val="18"/>
                <w:szCs w:val="18"/>
              </w:rPr>
              <w:t>0.812</w:t>
            </w:r>
          </w:p>
        </w:tc>
      </w:tr>
      <w:tr w:rsidR="00566EA9" w:rsidRPr="001D41EA" w14:paraId="1C61C74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55A983B" w14:textId="77777777" w:rsidR="00566EA9" w:rsidRPr="001D41EA" w:rsidRDefault="00566EA9" w:rsidP="001D41EA">
            <w:pPr>
              <w:spacing w:before="40" w:after="40"/>
              <w:rPr>
                <w:rFonts w:cs="Arial"/>
                <w:sz w:val="18"/>
                <w:szCs w:val="18"/>
              </w:rPr>
            </w:pPr>
            <w:r w:rsidRPr="001D41EA">
              <w:rPr>
                <w:rFonts w:cs="Arial"/>
                <w:sz w:val="18"/>
                <w:szCs w:val="18"/>
              </w:rPr>
              <w:t>Glen Eira C</w:t>
            </w:r>
          </w:p>
        </w:tc>
        <w:tc>
          <w:tcPr>
            <w:tcW w:w="1134" w:type="dxa"/>
            <w:tcBorders>
              <w:top w:val="nil"/>
              <w:left w:val="single" w:sz="18" w:space="0" w:color="5F497A" w:themeColor="accent4" w:themeShade="BF"/>
              <w:bottom w:val="nil"/>
              <w:right w:val="nil"/>
            </w:tcBorders>
            <w:shd w:val="clear" w:color="auto" w:fill="auto"/>
            <w:vAlign w:val="bottom"/>
          </w:tcPr>
          <w:p w14:paraId="3F8EDE2F" w14:textId="79E9D1DE" w:rsidR="00566EA9" w:rsidRPr="001D41EA" w:rsidRDefault="00566EA9" w:rsidP="001D41EA">
            <w:pPr>
              <w:spacing w:before="40" w:after="40"/>
              <w:jc w:val="center"/>
              <w:rPr>
                <w:rFonts w:cs="Arial"/>
                <w:sz w:val="18"/>
                <w:szCs w:val="18"/>
              </w:rPr>
            </w:pPr>
            <w:r w:rsidRPr="001D41EA">
              <w:rPr>
                <w:rFonts w:cs="Arial"/>
                <w:sz w:val="18"/>
                <w:szCs w:val="18"/>
              </w:rPr>
              <w:t>0.865</w:t>
            </w:r>
          </w:p>
        </w:tc>
        <w:tc>
          <w:tcPr>
            <w:tcW w:w="1134" w:type="dxa"/>
            <w:tcBorders>
              <w:top w:val="nil"/>
              <w:left w:val="nil"/>
              <w:bottom w:val="nil"/>
              <w:right w:val="nil"/>
            </w:tcBorders>
            <w:vAlign w:val="bottom"/>
          </w:tcPr>
          <w:p w14:paraId="66EE95A0" w14:textId="1A25190D" w:rsidR="00566EA9" w:rsidRPr="001D41EA" w:rsidRDefault="00566EA9" w:rsidP="001D41EA">
            <w:pPr>
              <w:spacing w:before="40" w:after="40"/>
              <w:jc w:val="center"/>
              <w:rPr>
                <w:rFonts w:cs="Arial"/>
                <w:sz w:val="18"/>
                <w:szCs w:val="18"/>
              </w:rPr>
            </w:pPr>
            <w:r w:rsidRPr="001D41EA">
              <w:rPr>
                <w:rFonts w:cs="Arial"/>
                <w:sz w:val="18"/>
                <w:szCs w:val="18"/>
              </w:rPr>
              <w:t>0.862</w:t>
            </w:r>
          </w:p>
        </w:tc>
        <w:tc>
          <w:tcPr>
            <w:tcW w:w="170" w:type="dxa"/>
            <w:tcBorders>
              <w:top w:val="nil"/>
              <w:left w:val="nil"/>
              <w:bottom w:val="nil"/>
              <w:right w:val="nil"/>
            </w:tcBorders>
            <w:vAlign w:val="bottom"/>
          </w:tcPr>
          <w:p w14:paraId="69EF122F" w14:textId="658FDF80"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139986F8" w14:textId="1C3ED4AD" w:rsidR="00566EA9" w:rsidRPr="001D41EA" w:rsidRDefault="00566EA9" w:rsidP="001D41EA">
            <w:pPr>
              <w:spacing w:before="40" w:after="40"/>
              <w:jc w:val="center"/>
              <w:rPr>
                <w:rFonts w:cs="Arial"/>
                <w:sz w:val="18"/>
                <w:szCs w:val="18"/>
              </w:rPr>
            </w:pPr>
            <w:r w:rsidRPr="001D41EA">
              <w:rPr>
                <w:rFonts w:cs="Arial"/>
                <w:sz w:val="18"/>
                <w:szCs w:val="18"/>
              </w:rPr>
              <w:t>0.986</w:t>
            </w:r>
          </w:p>
        </w:tc>
        <w:tc>
          <w:tcPr>
            <w:tcW w:w="1134" w:type="dxa"/>
            <w:tcBorders>
              <w:top w:val="nil"/>
              <w:left w:val="nil"/>
              <w:bottom w:val="nil"/>
              <w:right w:val="nil"/>
            </w:tcBorders>
            <w:vAlign w:val="bottom"/>
          </w:tcPr>
          <w:p w14:paraId="03DB8F2C" w14:textId="3171B93B" w:rsidR="00566EA9" w:rsidRPr="001D41EA" w:rsidRDefault="00566EA9" w:rsidP="001D41EA">
            <w:pPr>
              <w:spacing w:before="40" w:after="40"/>
              <w:jc w:val="center"/>
              <w:rPr>
                <w:rFonts w:cs="Arial"/>
                <w:sz w:val="18"/>
                <w:szCs w:val="18"/>
              </w:rPr>
            </w:pPr>
            <w:r w:rsidRPr="001D41EA">
              <w:rPr>
                <w:rFonts w:cs="Arial"/>
                <w:sz w:val="18"/>
                <w:szCs w:val="18"/>
              </w:rPr>
              <w:t>0.994</w:t>
            </w:r>
          </w:p>
        </w:tc>
        <w:tc>
          <w:tcPr>
            <w:tcW w:w="1134" w:type="dxa"/>
            <w:tcBorders>
              <w:top w:val="nil"/>
              <w:left w:val="nil"/>
              <w:bottom w:val="nil"/>
              <w:right w:val="nil"/>
            </w:tcBorders>
            <w:vAlign w:val="bottom"/>
          </w:tcPr>
          <w:p w14:paraId="71E4C367" w14:textId="72DBD1BD" w:rsidR="00566EA9" w:rsidRPr="001D41EA" w:rsidRDefault="00566EA9" w:rsidP="001D41EA">
            <w:pPr>
              <w:spacing w:before="40" w:after="40"/>
              <w:jc w:val="center"/>
              <w:rPr>
                <w:rFonts w:cs="Arial"/>
                <w:sz w:val="18"/>
                <w:szCs w:val="18"/>
              </w:rPr>
            </w:pPr>
            <w:r w:rsidRPr="001D41EA">
              <w:rPr>
                <w:rFonts w:cs="Arial"/>
                <w:sz w:val="18"/>
                <w:szCs w:val="18"/>
              </w:rPr>
              <w:t>0.988</w:t>
            </w:r>
          </w:p>
        </w:tc>
        <w:tc>
          <w:tcPr>
            <w:tcW w:w="1134" w:type="dxa"/>
            <w:tcBorders>
              <w:top w:val="nil"/>
              <w:left w:val="nil"/>
              <w:bottom w:val="nil"/>
              <w:right w:val="nil"/>
            </w:tcBorders>
            <w:vAlign w:val="bottom"/>
          </w:tcPr>
          <w:p w14:paraId="19102B82" w14:textId="760A4089" w:rsidR="00566EA9" w:rsidRPr="001D41EA" w:rsidRDefault="00566EA9" w:rsidP="001D41EA">
            <w:pPr>
              <w:spacing w:before="40" w:after="40"/>
              <w:jc w:val="center"/>
              <w:rPr>
                <w:rFonts w:cs="Arial"/>
                <w:sz w:val="18"/>
                <w:szCs w:val="18"/>
              </w:rPr>
            </w:pPr>
            <w:r w:rsidRPr="001D41EA">
              <w:rPr>
                <w:rFonts w:cs="Arial"/>
                <w:sz w:val="18"/>
                <w:szCs w:val="18"/>
              </w:rPr>
              <w:t>1.007</w:t>
            </w:r>
          </w:p>
        </w:tc>
      </w:tr>
      <w:tr w:rsidR="00566EA9" w:rsidRPr="001D41EA" w14:paraId="35E212E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E260F2F" w14:textId="77777777" w:rsidR="00566EA9" w:rsidRPr="001D41EA" w:rsidRDefault="00566EA9" w:rsidP="001D41EA">
            <w:pPr>
              <w:spacing w:before="40" w:after="40"/>
              <w:rPr>
                <w:rFonts w:cs="Arial"/>
                <w:sz w:val="18"/>
                <w:szCs w:val="18"/>
              </w:rPr>
            </w:pPr>
            <w:r w:rsidRPr="001D41EA">
              <w:rPr>
                <w:rFonts w:cs="Arial"/>
                <w:sz w:val="18"/>
                <w:szCs w:val="18"/>
              </w:rPr>
              <w:t>Glenelg S</w:t>
            </w:r>
          </w:p>
        </w:tc>
        <w:tc>
          <w:tcPr>
            <w:tcW w:w="1134" w:type="dxa"/>
            <w:tcBorders>
              <w:top w:val="nil"/>
              <w:left w:val="single" w:sz="18" w:space="0" w:color="5F497A" w:themeColor="accent4" w:themeShade="BF"/>
              <w:bottom w:val="nil"/>
              <w:right w:val="nil"/>
            </w:tcBorders>
            <w:shd w:val="clear" w:color="auto" w:fill="auto"/>
            <w:vAlign w:val="bottom"/>
          </w:tcPr>
          <w:p w14:paraId="4521609B" w14:textId="025AB1CC" w:rsidR="00566EA9" w:rsidRPr="001D41EA" w:rsidRDefault="00566EA9" w:rsidP="001D41EA">
            <w:pPr>
              <w:spacing w:before="40" w:after="40"/>
              <w:jc w:val="center"/>
              <w:rPr>
                <w:rFonts w:cs="Arial"/>
                <w:sz w:val="18"/>
                <w:szCs w:val="18"/>
              </w:rPr>
            </w:pPr>
            <w:r w:rsidRPr="001D41EA">
              <w:rPr>
                <w:rFonts w:cs="Arial"/>
                <w:sz w:val="18"/>
                <w:szCs w:val="18"/>
              </w:rPr>
              <w:t>1.368</w:t>
            </w:r>
          </w:p>
        </w:tc>
        <w:tc>
          <w:tcPr>
            <w:tcW w:w="1134" w:type="dxa"/>
            <w:tcBorders>
              <w:top w:val="nil"/>
              <w:left w:val="nil"/>
              <w:bottom w:val="nil"/>
              <w:right w:val="nil"/>
            </w:tcBorders>
            <w:vAlign w:val="bottom"/>
          </w:tcPr>
          <w:p w14:paraId="2C83EEC1" w14:textId="6C63937B" w:rsidR="00566EA9" w:rsidRPr="001D41EA" w:rsidRDefault="00566EA9" w:rsidP="001D41EA">
            <w:pPr>
              <w:spacing w:before="40" w:after="40"/>
              <w:jc w:val="center"/>
              <w:rPr>
                <w:rFonts w:cs="Arial"/>
                <w:sz w:val="18"/>
                <w:szCs w:val="18"/>
              </w:rPr>
            </w:pPr>
            <w:r w:rsidRPr="001D41EA">
              <w:rPr>
                <w:rFonts w:cs="Arial"/>
                <w:sz w:val="18"/>
                <w:szCs w:val="18"/>
              </w:rPr>
              <w:t>1.364</w:t>
            </w:r>
          </w:p>
        </w:tc>
        <w:tc>
          <w:tcPr>
            <w:tcW w:w="170" w:type="dxa"/>
            <w:tcBorders>
              <w:top w:val="nil"/>
              <w:left w:val="nil"/>
              <w:bottom w:val="nil"/>
              <w:right w:val="nil"/>
            </w:tcBorders>
            <w:vAlign w:val="bottom"/>
          </w:tcPr>
          <w:p w14:paraId="5C6B30C9" w14:textId="5B7E2B7B"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173B8496" w14:textId="431DD49D" w:rsidR="00566EA9" w:rsidRPr="001D41EA" w:rsidRDefault="00566EA9" w:rsidP="001D41EA">
            <w:pPr>
              <w:spacing w:before="40" w:after="40"/>
              <w:jc w:val="center"/>
              <w:rPr>
                <w:rFonts w:cs="Arial"/>
                <w:sz w:val="18"/>
                <w:szCs w:val="18"/>
              </w:rPr>
            </w:pPr>
            <w:r w:rsidRPr="001D41EA">
              <w:rPr>
                <w:rFonts w:cs="Arial"/>
                <w:sz w:val="18"/>
                <w:szCs w:val="18"/>
              </w:rPr>
              <w:t>0.793</w:t>
            </w:r>
          </w:p>
        </w:tc>
        <w:tc>
          <w:tcPr>
            <w:tcW w:w="1134" w:type="dxa"/>
            <w:tcBorders>
              <w:top w:val="nil"/>
              <w:left w:val="nil"/>
              <w:bottom w:val="nil"/>
              <w:right w:val="nil"/>
            </w:tcBorders>
            <w:vAlign w:val="bottom"/>
          </w:tcPr>
          <w:p w14:paraId="615A21BE" w14:textId="6A727069" w:rsidR="00566EA9" w:rsidRPr="001D41EA" w:rsidRDefault="00566EA9" w:rsidP="001D41EA">
            <w:pPr>
              <w:spacing w:before="40" w:after="40"/>
              <w:jc w:val="center"/>
              <w:rPr>
                <w:rFonts w:cs="Arial"/>
                <w:sz w:val="18"/>
                <w:szCs w:val="18"/>
              </w:rPr>
            </w:pPr>
            <w:r w:rsidRPr="001D41EA">
              <w:rPr>
                <w:rFonts w:cs="Arial"/>
                <w:sz w:val="18"/>
                <w:szCs w:val="18"/>
              </w:rPr>
              <w:t>0.799</w:t>
            </w:r>
          </w:p>
        </w:tc>
        <w:tc>
          <w:tcPr>
            <w:tcW w:w="1134" w:type="dxa"/>
            <w:tcBorders>
              <w:top w:val="nil"/>
              <w:left w:val="nil"/>
              <w:bottom w:val="nil"/>
              <w:right w:val="nil"/>
            </w:tcBorders>
            <w:vAlign w:val="bottom"/>
          </w:tcPr>
          <w:p w14:paraId="7933E2C4" w14:textId="434F6321" w:rsidR="00566EA9" w:rsidRPr="001D41EA" w:rsidRDefault="00566EA9" w:rsidP="001D41EA">
            <w:pPr>
              <w:spacing w:before="40" w:after="40"/>
              <w:jc w:val="center"/>
              <w:rPr>
                <w:rFonts w:cs="Arial"/>
                <w:sz w:val="18"/>
                <w:szCs w:val="18"/>
              </w:rPr>
            </w:pPr>
            <w:r w:rsidRPr="001D41EA">
              <w:rPr>
                <w:rFonts w:cs="Arial"/>
                <w:sz w:val="18"/>
                <w:szCs w:val="18"/>
              </w:rPr>
              <w:t>0.794</w:t>
            </w:r>
          </w:p>
        </w:tc>
        <w:tc>
          <w:tcPr>
            <w:tcW w:w="1134" w:type="dxa"/>
            <w:tcBorders>
              <w:top w:val="nil"/>
              <w:left w:val="nil"/>
              <w:bottom w:val="nil"/>
              <w:right w:val="nil"/>
            </w:tcBorders>
            <w:vAlign w:val="bottom"/>
          </w:tcPr>
          <w:p w14:paraId="59CD5927" w14:textId="579AD3E9" w:rsidR="00566EA9" w:rsidRPr="001D41EA" w:rsidRDefault="00566EA9" w:rsidP="001D41EA">
            <w:pPr>
              <w:spacing w:before="40" w:after="40"/>
              <w:jc w:val="center"/>
              <w:rPr>
                <w:rFonts w:cs="Arial"/>
                <w:sz w:val="18"/>
                <w:szCs w:val="18"/>
              </w:rPr>
            </w:pPr>
            <w:r w:rsidRPr="001D41EA">
              <w:rPr>
                <w:rFonts w:cs="Arial"/>
                <w:sz w:val="18"/>
                <w:szCs w:val="18"/>
              </w:rPr>
              <w:t>0.810</w:t>
            </w:r>
          </w:p>
        </w:tc>
      </w:tr>
      <w:tr w:rsidR="00566EA9" w:rsidRPr="001D41EA" w14:paraId="567F968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CFCB4D6" w14:textId="77777777" w:rsidR="00566EA9" w:rsidRPr="001D41EA" w:rsidRDefault="00566EA9" w:rsidP="001D41EA">
            <w:pPr>
              <w:spacing w:before="40" w:after="40"/>
              <w:rPr>
                <w:rFonts w:cs="Arial"/>
                <w:sz w:val="18"/>
                <w:szCs w:val="18"/>
              </w:rPr>
            </w:pPr>
            <w:r w:rsidRPr="001D41EA">
              <w:rPr>
                <w:rFonts w:cs="Arial"/>
                <w:sz w:val="18"/>
                <w:szCs w:val="18"/>
              </w:rPr>
              <w:t>Golden Plains S</w:t>
            </w:r>
          </w:p>
        </w:tc>
        <w:tc>
          <w:tcPr>
            <w:tcW w:w="1134" w:type="dxa"/>
            <w:tcBorders>
              <w:top w:val="nil"/>
              <w:left w:val="single" w:sz="18" w:space="0" w:color="5F497A" w:themeColor="accent4" w:themeShade="BF"/>
              <w:bottom w:val="nil"/>
              <w:right w:val="nil"/>
            </w:tcBorders>
            <w:shd w:val="clear" w:color="auto" w:fill="auto"/>
            <w:vAlign w:val="bottom"/>
          </w:tcPr>
          <w:p w14:paraId="45B24C0F" w14:textId="69C07333" w:rsidR="00566EA9" w:rsidRPr="001D41EA" w:rsidRDefault="00566EA9" w:rsidP="001D41EA">
            <w:pPr>
              <w:spacing w:before="40" w:after="40"/>
              <w:jc w:val="center"/>
              <w:rPr>
                <w:rFonts w:cs="Arial"/>
                <w:sz w:val="18"/>
                <w:szCs w:val="18"/>
              </w:rPr>
            </w:pPr>
            <w:r w:rsidRPr="001D41EA">
              <w:rPr>
                <w:rFonts w:cs="Arial"/>
                <w:sz w:val="18"/>
                <w:szCs w:val="18"/>
              </w:rPr>
              <w:t>1.030</w:t>
            </w:r>
          </w:p>
        </w:tc>
        <w:tc>
          <w:tcPr>
            <w:tcW w:w="1134" w:type="dxa"/>
            <w:tcBorders>
              <w:top w:val="nil"/>
              <w:left w:val="nil"/>
              <w:bottom w:val="nil"/>
              <w:right w:val="nil"/>
            </w:tcBorders>
            <w:vAlign w:val="bottom"/>
          </w:tcPr>
          <w:p w14:paraId="641CBEE1" w14:textId="17105867" w:rsidR="00566EA9" w:rsidRPr="001D41EA" w:rsidRDefault="00566EA9" w:rsidP="001D41EA">
            <w:pPr>
              <w:spacing w:before="40" w:after="40"/>
              <w:jc w:val="center"/>
              <w:rPr>
                <w:rFonts w:cs="Arial"/>
                <w:sz w:val="18"/>
                <w:szCs w:val="18"/>
              </w:rPr>
            </w:pPr>
            <w:r w:rsidRPr="001D41EA">
              <w:rPr>
                <w:rFonts w:cs="Arial"/>
                <w:sz w:val="18"/>
                <w:szCs w:val="18"/>
              </w:rPr>
              <w:t>1.026</w:t>
            </w:r>
          </w:p>
        </w:tc>
        <w:tc>
          <w:tcPr>
            <w:tcW w:w="170" w:type="dxa"/>
            <w:tcBorders>
              <w:top w:val="nil"/>
              <w:left w:val="nil"/>
              <w:bottom w:val="nil"/>
              <w:right w:val="nil"/>
            </w:tcBorders>
            <w:vAlign w:val="bottom"/>
          </w:tcPr>
          <w:p w14:paraId="3DD39900" w14:textId="125702CD"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79A177FA" w14:textId="691C17F8" w:rsidR="00566EA9" w:rsidRPr="001D41EA" w:rsidRDefault="00566EA9" w:rsidP="001D41EA">
            <w:pPr>
              <w:spacing w:before="40" w:after="40"/>
              <w:jc w:val="center"/>
              <w:rPr>
                <w:rFonts w:cs="Arial"/>
                <w:sz w:val="18"/>
                <w:szCs w:val="18"/>
              </w:rPr>
            </w:pPr>
            <w:r w:rsidRPr="001D41EA">
              <w:rPr>
                <w:rFonts w:cs="Arial"/>
                <w:sz w:val="18"/>
                <w:szCs w:val="18"/>
              </w:rPr>
              <w:t>0.792</w:t>
            </w:r>
          </w:p>
        </w:tc>
        <w:tc>
          <w:tcPr>
            <w:tcW w:w="1134" w:type="dxa"/>
            <w:tcBorders>
              <w:top w:val="nil"/>
              <w:left w:val="nil"/>
              <w:bottom w:val="nil"/>
              <w:right w:val="nil"/>
            </w:tcBorders>
            <w:vAlign w:val="bottom"/>
          </w:tcPr>
          <w:p w14:paraId="4284B000" w14:textId="75D079E7" w:rsidR="00566EA9" w:rsidRPr="001D41EA" w:rsidRDefault="00566EA9" w:rsidP="001D41EA">
            <w:pPr>
              <w:spacing w:before="40" w:after="40"/>
              <w:jc w:val="center"/>
              <w:rPr>
                <w:rFonts w:cs="Arial"/>
                <w:sz w:val="18"/>
                <w:szCs w:val="18"/>
              </w:rPr>
            </w:pPr>
            <w:r w:rsidRPr="001D41EA">
              <w:rPr>
                <w:rFonts w:cs="Arial"/>
                <w:sz w:val="18"/>
                <w:szCs w:val="18"/>
              </w:rPr>
              <w:t>0.798</w:t>
            </w:r>
          </w:p>
        </w:tc>
        <w:tc>
          <w:tcPr>
            <w:tcW w:w="1134" w:type="dxa"/>
            <w:tcBorders>
              <w:top w:val="nil"/>
              <w:left w:val="nil"/>
              <w:bottom w:val="nil"/>
              <w:right w:val="nil"/>
            </w:tcBorders>
            <w:vAlign w:val="bottom"/>
          </w:tcPr>
          <w:p w14:paraId="5851269D" w14:textId="59E199F0" w:rsidR="00566EA9" w:rsidRPr="001D41EA" w:rsidRDefault="00566EA9" w:rsidP="001D41EA">
            <w:pPr>
              <w:spacing w:before="40" w:after="40"/>
              <w:jc w:val="center"/>
              <w:rPr>
                <w:rFonts w:cs="Arial"/>
                <w:sz w:val="18"/>
                <w:szCs w:val="18"/>
              </w:rPr>
            </w:pPr>
            <w:r w:rsidRPr="001D41EA">
              <w:rPr>
                <w:rFonts w:cs="Arial"/>
                <w:sz w:val="18"/>
                <w:szCs w:val="18"/>
              </w:rPr>
              <w:t>0.794</w:t>
            </w:r>
          </w:p>
        </w:tc>
        <w:tc>
          <w:tcPr>
            <w:tcW w:w="1134" w:type="dxa"/>
            <w:tcBorders>
              <w:top w:val="nil"/>
              <w:left w:val="nil"/>
              <w:bottom w:val="nil"/>
              <w:right w:val="nil"/>
            </w:tcBorders>
            <w:vAlign w:val="bottom"/>
          </w:tcPr>
          <w:p w14:paraId="7760C557" w14:textId="3EDB7251" w:rsidR="00566EA9" w:rsidRPr="001D41EA" w:rsidRDefault="00566EA9" w:rsidP="001D41EA">
            <w:pPr>
              <w:spacing w:before="40" w:after="40"/>
              <w:jc w:val="center"/>
              <w:rPr>
                <w:rFonts w:cs="Arial"/>
                <w:sz w:val="18"/>
                <w:szCs w:val="18"/>
              </w:rPr>
            </w:pPr>
            <w:r w:rsidRPr="001D41EA">
              <w:rPr>
                <w:rFonts w:cs="Arial"/>
                <w:sz w:val="18"/>
                <w:szCs w:val="18"/>
              </w:rPr>
              <w:t>0.809</w:t>
            </w:r>
          </w:p>
        </w:tc>
      </w:tr>
      <w:tr w:rsidR="00566EA9" w:rsidRPr="001D41EA" w14:paraId="22BE552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7BEF064" w14:textId="77777777" w:rsidR="00566EA9" w:rsidRPr="001D41EA" w:rsidRDefault="00566EA9" w:rsidP="001D41EA">
            <w:pPr>
              <w:spacing w:before="40" w:after="40"/>
              <w:rPr>
                <w:rFonts w:cs="Arial"/>
                <w:sz w:val="18"/>
                <w:szCs w:val="18"/>
              </w:rPr>
            </w:pPr>
            <w:r w:rsidRPr="001D41EA">
              <w:rPr>
                <w:rFonts w:cs="Arial"/>
                <w:sz w:val="18"/>
                <w:szCs w:val="18"/>
              </w:rPr>
              <w:t>Greater Bendigo C</w:t>
            </w:r>
          </w:p>
        </w:tc>
        <w:tc>
          <w:tcPr>
            <w:tcW w:w="1134" w:type="dxa"/>
            <w:tcBorders>
              <w:top w:val="nil"/>
              <w:left w:val="single" w:sz="18" w:space="0" w:color="5F497A" w:themeColor="accent4" w:themeShade="BF"/>
              <w:bottom w:val="nil"/>
              <w:right w:val="nil"/>
            </w:tcBorders>
            <w:shd w:val="clear" w:color="auto" w:fill="auto"/>
            <w:vAlign w:val="bottom"/>
          </w:tcPr>
          <w:p w14:paraId="7319185F" w14:textId="03BD5702" w:rsidR="00566EA9" w:rsidRPr="001D41EA" w:rsidRDefault="00566EA9" w:rsidP="001D41EA">
            <w:pPr>
              <w:spacing w:before="40" w:after="40"/>
              <w:jc w:val="center"/>
              <w:rPr>
                <w:rFonts w:cs="Arial"/>
                <w:sz w:val="18"/>
                <w:szCs w:val="18"/>
              </w:rPr>
            </w:pPr>
            <w:r w:rsidRPr="001D41EA">
              <w:rPr>
                <w:rFonts w:cs="Arial"/>
                <w:sz w:val="18"/>
                <w:szCs w:val="18"/>
              </w:rPr>
              <w:t>1.196</w:t>
            </w:r>
          </w:p>
        </w:tc>
        <w:tc>
          <w:tcPr>
            <w:tcW w:w="1134" w:type="dxa"/>
            <w:tcBorders>
              <w:top w:val="nil"/>
              <w:left w:val="nil"/>
              <w:bottom w:val="nil"/>
              <w:right w:val="nil"/>
            </w:tcBorders>
            <w:vAlign w:val="bottom"/>
          </w:tcPr>
          <w:p w14:paraId="24C8F205" w14:textId="11BFA971" w:rsidR="00566EA9" w:rsidRPr="001D41EA" w:rsidRDefault="00566EA9" w:rsidP="001D41EA">
            <w:pPr>
              <w:spacing w:before="40" w:after="40"/>
              <w:jc w:val="center"/>
              <w:rPr>
                <w:rFonts w:cs="Arial"/>
                <w:sz w:val="18"/>
                <w:szCs w:val="18"/>
              </w:rPr>
            </w:pPr>
            <w:r w:rsidRPr="001D41EA">
              <w:rPr>
                <w:rFonts w:cs="Arial"/>
                <w:sz w:val="18"/>
                <w:szCs w:val="18"/>
              </w:rPr>
              <w:t>1.192</w:t>
            </w:r>
          </w:p>
        </w:tc>
        <w:tc>
          <w:tcPr>
            <w:tcW w:w="170" w:type="dxa"/>
            <w:tcBorders>
              <w:top w:val="nil"/>
              <w:left w:val="nil"/>
              <w:bottom w:val="nil"/>
              <w:right w:val="nil"/>
            </w:tcBorders>
            <w:vAlign w:val="bottom"/>
          </w:tcPr>
          <w:p w14:paraId="4BF966E2" w14:textId="2F132247"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39ECC75D" w14:textId="00D412FF" w:rsidR="00566EA9" w:rsidRPr="001D41EA" w:rsidRDefault="00566EA9" w:rsidP="001D41EA">
            <w:pPr>
              <w:spacing w:before="40" w:after="40"/>
              <w:jc w:val="center"/>
              <w:rPr>
                <w:rFonts w:cs="Arial"/>
                <w:sz w:val="18"/>
                <w:szCs w:val="18"/>
              </w:rPr>
            </w:pPr>
            <w:r w:rsidRPr="001D41EA">
              <w:rPr>
                <w:rFonts w:cs="Arial"/>
                <w:sz w:val="18"/>
                <w:szCs w:val="18"/>
              </w:rPr>
              <w:t>0.830</w:t>
            </w:r>
          </w:p>
        </w:tc>
        <w:tc>
          <w:tcPr>
            <w:tcW w:w="1134" w:type="dxa"/>
            <w:tcBorders>
              <w:top w:val="nil"/>
              <w:left w:val="nil"/>
              <w:bottom w:val="nil"/>
              <w:right w:val="nil"/>
            </w:tcBorders>
            <w:vAlign w:val="bottom"/>
          </w:tcPr>
          <w:p w14:paraId="4BA91DC4" w14:textId="62E963ED" w:rsidR="00566EA9" w:rsidRPr="001D41EA" w:rsidRDefault="00566EA9" w:rsidP="001D41EA">
            <w:pPr>
              <w:spacing w:before="40" w:after="40"/>
              <w:jc w:val="center"/>
              <w:rPr>
                <w:rFonts w:cs="Arial"/>
                <w:sz w:val="18"/>
                <w:szCs w:val="18"/>
              </w:rPr>
            </w:pPr>
            <w:r w:rsidRPr="001D41EA">
              <w:rPr>
                <w:rFonts w:cs="Arial"/>
                <w:sz w:val="18"/>
                <w:szCs w:val="18"/>
              </w:rPr>
              <w:t>0.836</w:t>
            </w:r>
          </w:p>
        </w:tc>
        <w:tc>
          <w:tcPr>
            <w:tcW w:w="1134" w:type="dxa"/>
            <w:tcBorders>
              <w:top w:val="nil"/>
              <w:left w:val="nil"/>
              <w:bottom w:val="nil"/>
              <w:right w:val="nil"/>
            </w:tcBorders>
            <w:vAlign w:val="bottom"/>
          </w:tcPr>
          <w:p w14:paraId="7B91D4B4" w14:textId="2EAB6A25" w:rsidR="00566EA9" w:rsidRPr="001D41EA" w:rsidRDefault="00566EA9" w:rsidP="001D41EA">
            <w:pPr>
              <w:spacing w:before="40" w:after="40"/>
              <w:jc w:val="center"/>
              <w:rPr>
                <w:rFonts w:cs="Arial"/>
                <w:sz w:val="18"/>
                <w:szCs w:val="18"/>
              </w:rPr>
            </w:pPr>
            <w:r w:rsidRPr="001D41EA">
              <w:rPr>
                <w:rFonts w:cs="Arial"/>
                <w:sz w:val="18"/>
                <w:szCs w:val="18"/>
              </w:rPr>
              <w:t>0.831</w:t>
            </w:r>
          </w:p>
        </w:tc>
        <w:tc>
          <w:tcPr>
            <w:tcW w:w="1134" w:type="dxa"/>
            <w:tcBorders>
              <w:top w:val="nil"/>
              <w:left w:val="nil"/>
              <w:bottom w:val="nil"/>
              <w:right w:val="nil"/>
            </w:tcBorders>
            <w:vAlign w:val="bottom"/>
          </w:tcPr>
          <w:p w14:paraId="31E7C005" w14:textId="0113D3BA" w:rsidR="00566EA9" w:rsidRPr="001D41EA" w:rsidRDefault="00566EA9" w:rsidP="001D41EA">
            <w:pPr>
              <w:spacing w:before="40" w:after="40"/>
              <w:jc w:val="center"/>
              <w:rPr>
                <w:rFonts w:cs="Arial"/>
                <w:sz w:val="18"/>
                <w:szCs w:val="18"/>
              </w:rPr>
            </w:pPr>
            <w:r w:rsidRPr="001D41EA">
              <w:rPr>
                <w:rFonts w:cs="Arial"/>
                <w:sz w:val="18"/>
                <w:szCs w:val="18"/>
              </w:rPr>
              <w:t>0.847</w:t>
            </w:r>
          </w:p>
        </w:tc>
      </w:tr>
      <w:tr w:rsidR="00566EA9" w:rsidRPr="001D41EA" w14:paraId="0010257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AD5DB76" w14:textId="77777777" w:rsidR="00566EA9" w:rsidRPr="001D41EA" w:rsidRDefault="00566EA9" w:rsidP="001D41EA">
            <w:pPr>
              <w:spacing w:before="40" w:after="40"/>
              <w:rPr>
                <w:rFonts w:cs="Arial"/>
                <w:sz w:val="18"/>
                <w:szCs w:val="18"/>
              </w:rPr>
            </w:pPr>
            <w:r w:rsidRPr="001D41EA">
              <w:rPr>
                <w:rFonts w:cs="Arial"/>
                <w:sz w:val="18"/>
                <w:szCs w:val="18"/>
              </w:rPr>
              <w:t>Greater Dandenong C</w:t>
            </w:r>
          </w:p>
        </w:tc>
        <w:tc>
          <w:tcPr>
            <w:tcW w:w="1134" w:type="dxa"/>
            <w:tcBorders>
              <w:top w:val="nil"/>
              <w:left w:val="single" w:sz="18" w:space="0" w:color="5F497A" w:themeColor="accent4" w:themeShade="BF"/>
              <w:bottom w:val="nil"/>
              <w:right w:val="nil"/>
            </w:tcBorders>
            <w:shd w:val="clear" w:color="auto" w:fill="auto"/>
            <w:vAlign w:val="bottom"/>
          </w:tcPr>
          <w:p w14:paraId="79512856" w14:textId="70AE4894" w:rsidR="00566EA9" w:rsidRPr="001D41EA" w:rsidRDefault="00566EA9" w:rsidP="001D41EA">
            <w:pPr>
              <w:spacing w:before="40" w:after="40"/>
              <w:jc w:val="center"/>
              <w:rPr>
                <w:rFonts w:cs="Arial"/>
                <w:sz w:val="18"/>
                <w:szCs w:val="18"/>
              </w:rPr>
            </w:pPr>
            <w:r w:rsidRPr="001D41EA">
              <w:rPr>
                <w:rFonts w:cs="Arial"/>
                <w:sz w:val="18"/>
                <w:szCs w:val="18"/>
              </w:rPr>
              <w:t>0.899</w:t>
            </w:r>
          </w:p>
        </w:tc>
        <w:tc>
          <w:tcPr>
            <w:tcW w:w="1134" w:type="dxa"/>
            <w:tcBorders>
              <w:top w:val="nil"/>
              <w:left w:val="nil"/>
              <w:bottom w:val="nil"/>
              <w:right w:val="nil"/>
            </w:tcBorders>
            <w:vAlign w:val="bottom"/>
          </w:tcPr>
          <w:p w14:paraId="39856FCB" w14:textId="692356F1" w:rsidR="00566EA9" w:rsidRPr="001D41EA" w:rsidRDefault="00566EA9" w:rsidP="001D41EA">
            <w:pPr>
              <w:spacing w:before="40" w:after="40"/>
              <w:jc w:val="center"/>
              <w:rPr>
                <w:rFonts w:cs="Arial"/>
                <w:sz w:val="18"/>
                <w:szCs w:val="18"/>
              </w:rPr>
            </w:pPr>
            <w:r w:rsidRPr="001D41EA">
              <w:rPr>
                <w:rFonts w:cs="Arial"/>
                <w:sz w:val="18"/>
                <w:szCs w:val="18"/>
              </w:rPr>
              <w:t>0.896</w:t>
            </w:r>
          </w:p>
        </w:tc>
        <w:tc>
          <w:tcPr>
            <w:tcW w:w="170" w:type="dxa"/>
            <w:tcBorders>
              <w:top w:val="nil"/>
              <w:left w:val="nil"/>
              <w:bottom w:val="nil"/>
              <w:right w:val="nil"/>
            </w:tcBorders>
            <w:vAlign w:val="bottom"/>
          </w:tcPr>
          <w:p w14:paraId="4F1E7EA9" w14:textId="0C16D34A"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5FEDF0E9" w14:textId="0BCB46A0" w:rsidR="00566EA9" w:rsidRPr="001D41EA" w:rsidRDefault="00566EA9" w:rsidP="001D41EA">
            <w:pPr>
              <w:spacing w:before="40" w:after="40"/>
              <w:jc w:val="center"/>
              <w:rPr>
                <w:rFonts w:cs="Arial"/>
                <w:sz w:val="18"/>
                <w:szCs w:val="18"/>
              </w:rPr>
            </w:pPr>
            <w:r w:rsidRPr="001D41EA">
              <w:rPr>
                <w:rFonts w:cs="Arial"/>
                <w:sz w:val="18"/>
                <w:szCs w:val="18"/>
              </w:rPr>
              <w:t>1.571</w:t>
            </w:r>
          </w:p>
        </w:tc>
        <w:tc>
          <w:tcPr>
            <w:tcW w:w="1134" w:type="dxa"/>
            <w:tcBorders>
              <w:top w:val="nil"/>
              <w:left w:val="nil"/>
              <w:bottom w:val="nil"/>
              <w:right w:val="nil"/>
            </w:tcBorders>
            <w:vAlign w:val="bottom"/>
          </w:tcPr>
          <w:p w14:paraId="463FFA7A" w14:textId="10613142" w:rsidR="00566EA9" w:rsidRPr="001D41EA" w:rsidRDefault="00566EA9" w:rsidP="001D41EA">
            <w:pPr>
              <w:spacing w:before="40" w:after="40"/>
              <w:jc w:val="center"/>
              <w:rPr>
                <w:rFonts w:cs="Arial"/>
                <w:sz w:val="18"/>
                <w:szCs w:val="18"/>
              </w:rPr>
            </w:pPr>
            <w:r w:rsidRPr="001D41EA">
              <w:rPr>
                <w:rFonts w:cs="Arial"/>
                <w:sz w:val="18"/>
                <w:szCs w:val="18"/>
              </w:rPr>
              <w:t>1.583</w:t>
            </w:r>
          </w:p>
        </w:tc>
        <w:tc>
          <w:tcPr>
            <w:tcW w:w="1134" w:type="dxa"/>
            <w:tcBorders>
              <w:top w:val="nil"/>
              <w:left w:val="nil"/>
              <w:bottom w:val="nil"/>
              <w:right w:val="nil"/>
            </w:tcBorders>
            <w:vAlign w:val="bottom"/>
          </w:tcPr>
          <w:p w14:paraId="41802F1A" w14:textId="7BAB6F3D" w:rsidR="00566EA9" w:rsidRPr="001D41EA" w:rsidRDefault="00566EA9" w:rsidP="001D41EA">
            <w:pPr>
              <w:spacing w:before="40" w:after="40"/>
              <w:jc w:val="center"/>
              <w:rPr>
                <w:rFonts w:cs="Arial"/>
                <w:sz w:val="18"/>
                <w:szCs w:val="18"/>
              </w:rPr>
            </w:pPr>
            <w:r w:rsidRPr="001D41EA">
              <w:rPr>
                <w:rFonts w:cs="Arial"/>
                <w:sz w:val="18"/>
                <w:szCs w:val="18"/>
              </w:rPr>
              <w:t>1.575</w:t>
            </w:r>
          </w:p>
        </w:tc>
        <w:tc>
          <w:tcPr>
            <w:tcW w:w="1134" w:type="dxa"/>
            <w:tcBorders>
              <w:top w:val="nil"/>
              <w:left w:val="nil"/>
              <w:bottom w:val="nil"/>
              <w:right w:val="nil"/>
            </w:tcBorders>
            <w:vAlign w:val="bottom"/>
          </w:tcPr>
          <w:p w14:paraId="1F790060" w14:textId="7AD77530" w:rsidR="00566EA9" w:rsidRPr="001D41EA" w:rsidRDefault="00566EA9" w:rsidP="001D41EA">
            <w:pPr>
              <w:spacing w:before="40" w:after="40"/>
              <w:jc w:val="center"/>
              <w:rPr>
                <w:rFonts w:cs="Arial"/>
                <w:sz w:val="18"/>
                <w:szCs w:val="18"/>
              </w:rPr>
            </w:pPr>
            <w:r w:rsidRPr="001D41EA">
              <w:rPr>
                <w:rFonts w:cs="Arial"/>
                <w:sz w:val="18"/>
                <w:szCs w:val="18"/>
              </w:rPr>
              <w:t>1.605</w:t>
            </w:r>
          </w:p>
        </w:tc>
      </w:tr>
      <w:tr w:rsidR="00566EA9" w:rsidRPr="001D41EA" w14:paraId="78C1020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67AF23F" w14:textId="77777777" w:rsidR="00566EA9" w:rsidRPr="001D41EA" w:rsidRDefault="00566EA9" w:rsidP="001D41EA">
            <w:pPr>
              <w:spacing w:before="40" w:after="40"/>
              <w:rPr>
                <w:rFonts w:cs="Arial"/>
                <w:sz w:val="18"/>
                <w:szCs w:val="18"/>
              </w:rPr>
            </w:pPr>
            <w:r w:rsidRPr="001D41EA">
              <w:rPr>
                <w:rFonts w:cs="Arial"/>
                <w:sz w:val="18"/>
                <w:szCs w:val="18"/>
              </w:rPr>
              <w:t>Greater Geelong C</w:t>
            </w:r>
          </w:p>
        </w:tc>
        <w:tc>
          <w:tcPr>
            <w:tcW w:w="1134" w:type="dxa"/>
            <w:tcBorders>
              <w:top w:val="nil"/>
              <w:left w:val="single" w:sz="18" w:space="0" w:color="5F497A" w:themeColor="accent4" w:themeShade="BF"/>
              <w:bottom w:val="nil"/>
              <w:right w:val="nil"/>
            </w:tcBorders>
            <w:shd w:val="clear" w:color="auto" w:fill="auto"/>
            <w:vAlign w:val="bottom"/>
          </w:tcPr>
          <w:p w14:paraId="35AC1974" w14:textId="36B7A05C" w:rsidR="00566EA9" w:rsidRPr="001D41EA" w:rsidRDefault="00566EA9" w:rsidP="001D41EA">
            <w:pPr>
              <w:spacing w:before="40" w:after="40"/>
              <w:jc w:val="center"/>
              <w:rPr>
                <w:rFonts w:cs="Arial"/>
                <w:sz w:val="18"/>
                <w:szCs w:val="18"/>
              </w:rPr>
            </w:pPr>
            <w:r w:rsidRPr="001D41EA">
              <w:rPr>
                <w:rFonts w:cs="Arial"/>
                <w:sz w:val="18"/>
                <w:szCs w:val="18"/>
              </w:rPr>
              <w:t>1.053</w:t>
            </w:r>
          </w:p>
        </w:tc>
        <w:tc>
          <w:tcPr>
            <w:tcW w:w="1134" w:type="dxa"/>
            <w:tcBorders>
              <w:top w:val="nil"/>
              <w:left w:val="nil"/>
              <w:bottom w:val="nil"/>
              <w:right w:val="nil"/>
            </w:tcBorders>
            <w:vAlign w:val="bottom"/>
          </w:tcPr>
          <w:p w14:paraId="265951F9" w14:textId="3D8FAEE2" w:rsidR="00566EA9" w:rsidRPr="001D41EA" w:rsidRDefault="00566EA9" w:rsidP="001D41EA">
            <w:pPr>
              <w:spacing w:before="40" w:after="40"/>
              <w:jc w:val="center"/>
              <w:rPr>
                <w:rFonts w:cs="Arial"/>
                <w:sz w:val="18"/>
                <w:szCs w:val="18"/>
              </w:rPr>
            </w:pPr>
            <w:r w:rsidRPr="001D41EA">
              <w:rPr>
                <w:rFonts w:cs="Arial"/>
                <w:sz w:val="18"/>
                <w:szCs w:val="18"/>
              </w:rPr>
              <w:t>1.050</w:t>
            </w:r>
          </w:p>
        </w:tc>
        <w:tc>
          <w:tcPr>
            <w:tcW w:w="170" w:type="dxa"/>
            <w:tcBorders>
              <w:top w:val="nil"/>
              <w:left w:val="nil"/>
              <w:bottom w:val="nil"/>
              <w:right w:val="nil"/>
            </w:tcBorders>
            <w:vAlign w:val="bottom"/>
          </w:tcPr>
          <w:p w14:paraId="4BAA951F" w14:textId="62B47B06"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6A27B408" w14:textId="4C34D630" w:rsidR="00566EA9" w:rsidRPr="001D41EA" w:rsidRDefault="00566EA9" w:rsidP="001D41EA">
            <w:pPr>
              <w:spacing w:before="40" w:after="40"/>
              <w:jc w:val="center"/>
              <w:rPr>
                <w:rFonts w:cs="Arial"/>
                <w:sz w:val="18"/>
                <w:szCs w:val="18"/>
              </w:rPr>
            </w:pPr>
            <w:r w:rsidRPr="001D41EA">
              <w:rPr>
                <w:rFonts w:cs="Arial"/>
                <w:sz w:val="18"/>
                <w:szCs w:val="18"/>
              </w:rPr>
              <w:t>0.861</w:t>
            </w:r>
          </w:p>
        </w:tc>
        <w:tc>
          <w:tcPr>
            <w:tcW w:w="1134" w:type="dxa"/>
            <w:tcBorders>
              <w:top w:val="nil"/>
              <w:left w:val="nil"/>
              <w:bottom w:val="nil"/>
              <w:right w:val="nil"/>
            </w:tcBorders>
            <w:vAlign w:val="bottom"/>
          </w:tcPr>
          <w:p w14:paraId="103274B8" w14:textId="2209D139" w:rsidR="00566EA9" w:rsidRPr="001D41EA" w:rsidRDefault="00566EA9" w:rsidP="001D41EA">
            <w:pPr>
              <w:spacing w:before="40" w:after="40"/>
              <w:jc w:val="center"/>
              <w:rPr>
                <w:rFonts w:cs="Arial"/>
                <w:sz w:val="18"/>
                <w:szCs w:val="18"/>
              </w:rPr>
            </w:pPr>
            <w:r w:rsidRPr="001D41EA">
              <w:rPr>
                <w:rFonts w:cs="Arial"/>
                <w:sz w:val="18"/>
                <w:szCs w:val="18"/>
              </w:rPr>
              <w:t>0.868</w:t>
            </w:r>
          </w:p>
        </w:tc>
        <w:tc>
          <w:tcPr>
            <w:tcW w:w="1134" w:type="dxa"/>
            <w:tcBorders>
              <w:top w:val="nil"/>
              <w:left w:val="nil"/>
              <w:bottom w:val="nil"/>
              <w:right w:val="nil"/>
            </w:tcBorders>
            <w:vAlign w:val="bottom"/>
          </w:tcPr>
          <w:p w14:paraId="0F071EE0" w14:textId="6DAC2CC1" w:rsidR="00566EA9" w:rsidRPr="001D41EA" w:rsidRDefault="00566EA9" w:rsidP="001D41EA">
            <w:pPr>
              <w:spacing w:before="40" w:after="40"/>
              <w:jc w:val="center"/>
              <w:rPr>
                <w:rFonts w:cs="Arial"/>
                <w:sz w:val="18"/>
                <w:szCs w:val="18"/>
              </w:rPr>
            </w:pPr>
            <w:r w:rsidRPr="001D41EA">
              <w:rPr>
                <w:rFonts w:cs="Arial"/>
                <w:sz w:val="18"/>
                <w:szCs w:val="18"/>
              </w:rPr>
              <w:t>0.863</w:t>
            </w:r>
          </w:p>
        </w:tc>
        <w:tc>
          <w:tcPr>
            <w:tcW w:w="1134" w:type="dxa"/>
            <w:tcBorders>
              <w:top w:val="nil"/>
              <w:left w:val="nil"/>
              <w:bottom w:val="nil"/>
              <w:right w:val="nil"/>
            </w:tcBorders>
            <w:vAlign w:val="bottom"/>
          </w:tcPr>
          <w:p w14:paraId="7AB47A33" w14:textId="013DD909" w:rsidR="00566EA9" w:rsidRPr="001D41EA" w:rsidRDefault="00566EA9" w:rsidP="001D41EA">
            <w:pPr>
              <w:spacing w:before="40" w:after="40"/>
              <w:jc w:val="center"/>
              <w:rPr>
                <w:rFonts w:cs="Arial"/>
                <w:sz w:val="18"/>
                <w:szCs w:val="18"/>
              </w:rPr>
            </w:pPr>
            <w:r w:rsidRPr="001D41EA">
              <w:rPr>
                <w:rFonts w:cs="Arial"/>
                <w:sz w:val="18"/>
                <w:szCs w:val="18"/>
              </w:rPr>
              <w:t>0.880</w:t>
            </w:r>
          </w:p>
        </w:tc>
      </w:tr>
      <w:tr w:rsidR="00566EA9" w:rsidRPr="001D41EA" w14:paraId="0B965D8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F78423B" w14:textId="77777777" w:rsidR="00566EA9" w:rsidRPr="001D41EA" w:rsidRDefault="00566EA9" w:rsidP="001D41EA">
            <w:pPr>
              <w:spacing w:before="40" w:after="40"/>
              <w:rPr>
                <w:rFonts w:cs="Arial"/>
                <w:sz w:val="18"/>
                <w:szCs w:val="18"/>
              </w:rPr>
            </w:pPr>
            <w:r w:rsidRPr="001D41EA">
              <w:rPr>
                <w:rFonts w:cs="Arial"/>
                <w:sz w:val="18"/>
                <w:szCs w:val="18"/>
              </w:rPr>
              <w:t>Greater Shepparton C</w:t>
            </w:r>
          </w:p>
        </w:tc>
        <w:tc>
          <w:tcPr>
            <w:tcW w:w="1134" w:type="dxa"/>
            <w:tcBorders>
              <w:top w:val="nil"/>
              <w:left w:val="single" w:sz="18" w:space="0" w:color="5F497A" w:themeColor="accent4" w:themeShade="BF"/>
              <w:bottom w:val="nil"/>
              <w:right w:val="nil"/>
            </w:tcBorders>
            <w:shd w:val="clear" w:color="auto" w:fill="auto"/>
            <w:vAlign w:val="bottom"/>
          </w:tcPr>
          <w:p w14:paraId="63918A01" w14:textId="3CBBD78E" w:rsidR="00566EA9" w:rsidRPr="001D41EA" w:rsidRDefault="00566EA9" w:rsidP="001D41EA">
            <w:pPr>
              <w:spacing w:before="40" w:after="40"/>
              <w:jc w:val="center"/>
              <w:rPr>
                <w:rFonts w:cs="Arial"/>
                <w:sz w:val="18"/>
                <w:szCs w:val="18"/>
              </w:rPr>
            </w:pPr>
            <w:r w:rsidRPr="001D41EA">
              <w:rPr>
                <w:rFonts w:cs="Arial"/>
                <w:sz w:val="18"/>
                <w:szCs w:val="18"/>
              </w:rPr>
              <w:t>1.586</w:t>
            </w:r>
          </w:p>
        </w:tc>
        <w:tc>
          <w:tcPr>
            <w:tcW w:w="1134" w:type="dxa"/>
            <w:tcBorders>
              <w:top w:val="nil"/>
              <w:left w:val="nil"/>
              <w:bottom w:val="nil"/>
              <w:right w:val="nil"/>
            </w:tcBorders>
            <w:vAlign w:val="bottom"/>
          </w:tcPr>
          <w:p w14:paraId="61682785" w14:textId="0D493FA7" w:rsidR="00566EA9" w:rsidRPr="001D41EA" w:rsidRDefault="00566EA9" w:rsidP="001D41EA">
            <w:pPr>
              <w:spacing w:before="40" w:after="40"/>
              <w:jc w:val="center"/>
              <w:rPr>
                <w:rFonts w:cs="Arial"/>
                <w:sz w:val="18"/>
                <w:szCs w:val="18"/>
              </w:rPr>
            </w:pPr>
            <w:r w:rsidRPr="001D41EA">
              <w:rPr>
                <w:rFonts w:cs="Arial"/>
                <w:sz w:val="18"/>
                <w:szCs w:val="18"/>
              </w:rPr>
              <w:t>1.581</w:t>
            </w:r>
          </w:p>
        </w:tc>
        <w:tc>
          <w:tcPr>
            <w:tcW w:w="170" w:type="dxa"/>
            <w:tcBorders>
              <w:top w:val="nil"/>
              <w:left w:val="nil"/>
              <w:bottom w:val="nil"/>
              <w:right w:val="nil"/>
            </w:tcBorders>
            <w:vAlign w:val="bottom"/>
          </w:tcPr>
          <w:p w14:paraId="73C10D61" w14:textId="40E07769"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502B29F0" w14:textId="4E1B992C" w:rsidR="00566EA9" w:rsidRPr="001D41EA" w:rsidRDefault="00566EA9" w:rsidP="001D41EA">
            <w:pPr>
              <w:spacing w:before="40" w:after="40"/>
              <w:jc w:val="center"/>
              <w:rPr>
                <w:rFonts w:cs="Arial"/>
                <w:sz w:val="18"/>
                <w:szCs w:val="18"/>
              </w:rPr>
            </w:pPr>
            <w:r w:rsidRPr="001D41EA">
              <w:rPr>
                <w:rFonts w:cs="Arial"/>
                <w:sz w:val="18"/>
                <w:szCs w:val="18"/>
              </w:rPr>
              <w:t>0.942</w:t>
            </w:r>
          </w:p>
        </w:tc>
        <w:tc>
          <w:tcPr>
            <w:tcW w:w="1134" w:type="dxa"/>
            <w:tcBorders>
              <w:top w:val="nil"/>
              <w:left w:val="nil"/>
              <w:bottom w:val="nil"/>
              <w:right w:val="nil"/>
            </w:tcBorders>
            <w:vAlign w:val="bottom"/>
          </w:tcPr>
          <w:p w14:paraId="22F4C504" w14:textId="13D00CF8" w:rsidR="00566EA9" w:rsidRPr="001D41EA" w:rsidRDefault="00566EA9" w:rsidP="001D41EA">
            <w:pPr>
              <w:spacing w:before="40" w:after="40"/>
              <w:jc w:val="center"/>
              <w:rPr>
                <w:rFonts w:cs="Arial"/>
                <w:sz w:val="18"/>
                <w:szCs w:val="18"/>
              </w:rPr>
            </w:pPr>
            <w:r w:rsidRPr="001D41EA">
              <w:rPr>
                <w:rFonts w:cs="Arial"/>
                <w:sz w:val="18"/>
                <w:szCs w:val="18"/>
              </w:rPr>
              <w:t>0.949</w:t>
            </w:r>
          </w:p>
        </w:tc>
        <w:tc>
          <w:tcPr>
            <w:tcW w:w="1134" w:type="dxa"/>
            <w:tcBorders>
              <w:top w:val="nil"/>
              <w:left w:val="nil"/>
              <w:bottom w:val="nil"/>
              <w:right w:val="nil"/>
            </w:tcBorders>
            <w:vAlign w:val="bottom"/>
          </w:tcPr>
          <w:p w14:paraId="486383C8" w14:textId="2F8E53B9" w:rsidR="00566EA9" w:rsidRPr="001D41EA" w:rsidRDefault="00566EA9" w:rsidP="001D41EA">
            <w:pPr>
              <w:spacing w:before="40" w:after="40"/>
              <w:jc w:val="center"/>
              <w:rPr>
                <w:rFonts w:cs="Arial"/>
                <w:sz w:val="18"/>
                <w:szCs w:val="18"/>
              </w:rPr>
            </w:pPr>
            <w:r w:rsidRPr="001D41EA">
              <w:rPr>
                <w:rFonts w:cs="Arial"/>
                <w:sz w:val="18"/>
                <w:szCs w:val="18"/>
              </w:rPr>
              <w:t>0.944</w:t>
            </w:r>
          </w:p>
        </w:tc>
        <w:tc>
          <w:tcPr>
            <w:tcW w:w="1134" w:type="dxa"/>
            <w:tcBorders>
              <w:top w:val="nil"/>
              <w:left w:val="nil"/>
              <w:bottom w:val="nil"/>
              <w:right w:val="nil"/>
            </w:tcBorders>
            <w:vAlign w:val="bottom"/>
          </w:tcPr>
          <w:p w14:paraId="2336E25A" w14:textId="022E9A95" w:rsidR="00566EA9" w:rsidRPr="001D41EA" w:rsidRDefault="00566EA9" w:rsidP="001D41EA">
            <w:pPr>
              <w:spacing w:before="40" w:after="40"/>
              <w:jc w:val="center"/>
              <w:rPr>
                <w:rFonts w:cs="Arial"/>
                <w:sz w:val="18"/>
                <w:szCs w:val="18"/>
              </w:rPr>
            </w:pPr>
            <w:r w:rsidRPr="001D41EA">
              <w:rPr>
                <w:rFonts w:cs="Arial"/>
                <w:sz w:val="18"/>
                <w:szCs w:val="18"/>
              </w:rPr>
              <w:t>0.963</w:t>
            </w:r>
          </w:p>
        </w:tc>
      </w:tr>
      <w:tr w:rsidR="00566EA9" w:rsidRPr="001D41EA" w14:paraId="345C892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28DEA4B" w14:textId="77777777" w:rsidR="00566EA9" w:rsidRPr="001D41EA" w:rsidRDefault="00566EA9" w:rsidP="001D41EA">
            <w:pPr>
              <w:spacing w:before="40" w:after="40"/>
              <w:rPr>
                <w:rFonts w:cs="Arial"/>
                <w:sz w:val="18"/>
                <w:szCs w:val="18"/>
              </w:rPr>
            </w:pPr>
            <w:r w:rsidRPr="001D41EA">
              <w:rPr>
                <w:rFonts w:cs="Arial"/>
                <w:sz w:val="18"/>
                <w:szCs w:val="18"/>
              </w:rPr>
              <w:t>Hepburn S</w:t>
            </w:r>
          </w:p>
        </w:tc>
        <w:tc>
          <w:tcPr>
            <w:tcW w:w="1134" w:type="dxa"/>
            <w:tcBorders>
              <w:top w:val="nil"/>
              <w:left w:val="single" w:sz="18" w:space="0" w:color="5F497A" w:themeColor="accent4" w:themeShade="BF"/>
              <w:bottom w:val="nil"/>
              <w:right w:val="nil"/>
            </w:tcBorders>
            <w:shd w:val="clear" w:color="auto" w:fill="auto"/>
            <w:vAlign w:val="bottom"/>
          </w:tcPr>
          <w:p w14:paraId="3961FD36" w14:textId="50ECE659" w:rsidR="00566EA9" w:rsidRPr="001D41EA" w:rsidRDefault="00566EA9" w:rsidP="001D41EA">
            <w:pPr>
              <w:spacing w:before="40" w:after="40"/>
              <w:jc w:val="center"/>
              <w:rPr>
                <w:rFonts w:cs="Arial"/>
                <w:sz w:val="18"/>
                <w:szCs w:val="18"/>
              </w:rPr>
            </w:pPr>
            <w:r w:rsidRPr="001D41EA">
              <w:rPr>
                <w:rFonts w:cs="Arial"/>
                <w:sz w:val="18"/>
                <w:szCs w:val="18"/>
              </w:rPr>
              <w:t>1.046</w:t>
            </w:r>
          </w:p>
        </w:tc>
        <w:tc>
          <w:tcPr>
            <w:tcW w:w="1134" w:type="dxa"/>
            <w:tcBorders>
              <w:top w:val="nil"/>
              <w:left w:val="nil"/>
              <w:bottom w:val="nil"/>
              <w:right w:val="nil"/>
            </w:tcBorders>
            <w:vAlign w:val="bottom"/>
          </w:tcPr>
          <w:p w14:paraId="7F3BE2C5" w14:textId="2B4DC239" w:rsidR="00566EA9" w:rsidRPr="001D41EA" w:rsidRDefault="00566EA9" w:rsidP="001D41EA">
            <w:pPr>
              <w:spacing w:before="40" w:after="40"/>
              <w:jc w:val="center"/>
              <w:rPr>
                <w:rFonts w:cs="Arial"/>
                <w:sz w:val="18"/>
                <w:szCs w:val="18"/>
              </w:rPr>
            </w:pPr>
            <w:r w:rsidRPr="001D41EA">
              <w:rPr>
                <w:rFonts w:cs="Arial"/>
                <w:sz w:val="18"/>
                <w:szCs w:val="18"/>
              </w:rPr>
              <w:t>1.043</w:t>
            </w:r>
          </w:p>
        </w:tc>
        <w:tc>
          <w:tcPr>
            <w:tcW w:w="170" w:type="dxa"/>
            <w:tcBorders>
              <w:top w:val="nil"/>
              <w:left w:val="nil"/>
              <w:bottom w:val="nil"/>
              <w:right w:val="nil"/>
            </w:tcBorders>
            <w:vAlign w:val="bottom"/>
          </w:tcPr>
          <w:p w14:paraId="37779DD2" w14:textId="7E51D600"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2EE5DAE" w14:textId="6120BFAD" w:rsidR="00566EA9" w:rsidRPr="001D41EA" w:rsidRDefault="00566EA9" w:rsidP="001D41EA">
            <w:pPr>
              <w:spacing w:before="40" w:after="40"/>
              <w:jc w:val="center"/>
              <w:rPr>
                <w:rFonts w:cs="Arial"/>
                <w:sz w:val="18"/>
                <w:szCs w:val="18"/>
              </w:rPr>
            </w:pPr>
            <w:r w:rsidRPr="001D41EA">
              <w:rPr>
                <w:rFonts w:cs="Arial"/>
                <w:sz w:val="18"/>
                <w:szCs w:val="18"/>
              </w:rPr>
              <w:t>0.801</w:t>
            </w:r>
          </w:p>
        </w:tc>
        <w:tc>
          <w:tcPr>
            <w:tcW w:w="1134" w:type="dxa"/>
            <w:tcBorders>
              <w:top w:val="nil"/>
              <w:left w:val="nil"/>
              <w:bottom w:val="nil"/>
              <w:right w:val="nil"/>
            </w:tcBorders>
            <w:vAlign w:val="bottom"/>
          </w:tcPr>
          <w:p w14:paraId="0D8C8E44" w14:textId="406627D0" w:rsidR="00566EA9" w:rsidRPr="001D41EA" w:rsidRDefault="00566EA9" w:rsidP="001D41EA">
            <w:pPr>
              <w:spacing w:before="40" w:after="40"/>
              <w:jc w:val="center"/>
              <w:rPr>
                <w:rFonts w:cs="Arial"/>
                <w:sz w:val="18"/>
                <w:szCs w:val="18"/>
              </w:rPr>
            </w:pPr>
            <w:r w:rsidRPr="001D41EA">
              <w:rPr>
                <w:rFonts w:cs="Arial"/>
                <w:sz w:val="18"/>
                <w:szCs w:val="18"/>
              </w:rPr>
              <w:t>0.807</w:t>
            </w:r>
          </w:p>
        </w:tc>
        <w:tc>
          <w:tcPr>
            <w:tcW w:w="1134" w:type="dxa"/>
            <w:tcBorders>
              <w:top w:val="nil"/>
              <w:left w:val="nil"/>
              <w:bottom w:val="nil"/>
              <w:right w:val="nil"/>
            </w:tcBorders>
            <w:vAlign w:val="bottom"/>
          </w:tcPr>
          <w:p w14:paraId="601A7A27" w14:textId="2A1239D8" w:rsidR="00566EA9" w:rsidRPr="001D41EA" w:rsidRDefault="00566EA9" w:rsidP="001D41EA">
            <w:pPr>
              <w:spacing w:before="40" w:after="40"/>
              <w:jc w:val="center"/>
              <w:rPr>
                <w:rFonts w:cs="Arial"/>
                <w:sz w:val="18"/>
                <w:szCs w:val="18"/>
              </w:rPr>
            </w:pPr>
            <w:r w:rsidRPr="001D41EA">
              <w:rPr>
                <w:rFonts w:cs="Arial"/>
                <w:sz w:val="18"/>
                <w:szCs w:val="18"/>
              </w:rPr>
              <w:t>0.802</w:t>
            </w:r>
          </w:p>
        </w:tc>
        <w:tc>
          <w:tcPr>
            <w:tcW w:w="1134" w:type="dxa"/>
            <w:tcBorders>
              <w:top w:val="nil"/>
              <w:left w:val="nil"/>
              <w:bottom w:val="nil"/>
              <w:right w:val="nil"/>
            </w:tcBorders>
            <w:vAlign w:val="bottom"/>
          </w:tcPr>
          <w:p w14:paraId="643A8711" w14:textId="1841E0CC" w:rsidR="00566EA9" w:rsidRPr="001D41EA" w:rsidRDefault="00566EA9" w:rsidP="001D41EA">
            <w:pPr>
              <w:spacing w:before="40" w:after="40"/>
              <w:jc w:val="center"/>
              <w:rPr>
                <w:rFonts w:cs="Arial"/>
                <w:sz w:val="18"/>
                <w:szCs w:val="18"/>
              </w:rPr>
            </w:pPr>
            <w:r w:rsidRPr="001D41EA">
              <w:rPr>
                <w:rFonts w:cs="Arial"/>
                <w:sz w:val="18"/>
                <w:szCs w:val="18"/>
              </w:rPr>
              <w:t>0.818</w:t>
            </w:r>
          </w:p>
        </w:tc>
      </w:tr>
      <w:tr w:rsidR="00566EA9" w:rsidRPr="001D41EA" w14:paraId="46C642D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D060E7B" w14:textId="77777777" w:rsidR="00566EA9" w:rsidRPr="001D41EA" w:rsidRDefault="00566EA9" w:rsidP="001D41EA">
            <w:pPr>
              <w:spacing w:before="40" w:after="40"/>
              <w:rPr>
                <w:rFonts w:cs="Arial"/>
                <w:sz w:val="18"/>
                <w:szCs w:val="18"/>
              </w:rPr>
            </w:pPr>
            <w:r w:rsidRPr="001D41EA">
              <w:rPr>
                <w:rFonts w:cs="Arial"/>
                <w:sz w:val="18"/>
                <w:szCs w:val="18"/>
              </w:rPr>
              <w:t>Hindmarsh S</w:t>
            </w:r>
          </w:p>
        </w:tc>
        <w:tc>
          <w:tcPr>
            <w:tcW w:w="1134" w:type="dxa"/>
            <w:tcBorders>
              <w:top w:val="nil"/>
              <w:left w:val="single" w:sz="18" w:space="0" w:color="5F497A" w:themeColor="accent4" w:themeShade="BF"/>
              <w:bottom w:val="nil"/>
              <w:right w:val="nil"/>
            </w:tcBorders>
            <w:shd w:val="clear" w:color="auto" w:fill="auto"/>
            <w:vAlign w:val="bottom"/>
          </w:tcPr>
          <w:p w14:paraId="4C666DCF" w14:textId="3259B6F8" w:rsidR="00566EA9" w:rsidRPr="001D41EA" w:rsidRDefault="00566EA9" w:rsidP="001D41EA">
            <w:pPr>
              <w:spacing w:before="40" w:after="40"/>
              <w:jc w:val="center"/>
              <w:rPr>
                <w:rFonts w:cs="Arial"/>
                <w:sz w:val="18"/>
                <w:szCs w:val="18"/>
              </w:rPr>
            </w:pPr>
            <w:r w:rsidRPr="001D41EA">
              <w:rPr>
                <w:rFonts w:cs="Arial"/>
                <w:sz w:val="18"/>
                <w:szCs w:val="18"/>
              </w:rPr>
              <w:t>1.128</w:t>
            </w:r>
          </w:p>
        </w:tc>
        <w:tc>
          <w:tcPr>
            <w:tcW w:w="1134" w:type="dxa"/>
            <w:tcBorders>
              <w:top w:val="nil"/>
              <w:left w:val="nil"/>
              <w:bottom w:val="nil"/>
              <w:right w:val="nil"/>
            </w:tcBorders>
            <w:vAlign w:val="bottom"/>
          </w:tcPr>
          <w:p w14:paraId="108F71F9" w14:textId="36CD1F29" w:rsidR="00566EA9" w:rsidRPr="001D41EA" w:rsidRDefault="00566EA9" w:rsidP="001D41EA">
            <w:pPr>
              <w:spacing w:before="40" w:after="40"/>
              <w:jc w:val="center"/>
              <w:rPr>
                <w:rFonts w:cs="Arial"/>
                <w:sz w:val="18"/>
                <w:szCs w:val="18"/>
              </w:rPr>
            </w:pPr>
            <w:r w:rsidRPr="001D41EA">
              <w:rPr>
                <w:rFonts w:cs="Arial"/>
                <w:sz w:val="18"/>
                <w:szCs w:val="18"/>
              </w:rPr>
              <w:t>1.124</w:t>
            </w:r>
          </w:p>
        </w:tc>
        <w:tc>
          <w:tcPr>
            <w:tcW w:w="170" w:type="dxa"/>
            <w:tcBorders>
              <w:top w:val="nil"/>
              <w:left w:val="nil"/>
              <w:bottom w:val="nil"/>
              <w:right w:val="nil"/>
            </w:tcBorders>
            <w:vAlign w:val="bottom"/>
          </w:tcPr>
          <w:p w14:paraId="6A1413C7" w14:textId="248BBC8E"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1F47AD96" w14:textId="76314447" w:rsidR="00566EA9" w:rsidRPr="001D41EA" w:rsidRDefault="00566EA9" w:rsidP="001D41EA">
            <w:pPr>
              <w:spacing w:before="40" w:after="40"/>
              <w:jc w:val="center"/>
              <w:rPr>
                <w:rFonts w:cs="Arial"/>
                <w:sz w:val="18"/>
                <w:szCs w:val="18"/>
              </w:rPr>
            </w:pPr>
            <w:r w:rsidRPr="001D41EA">
              <w:rPr>
                <w:rFonts w:cs="Arial"/>
                <w:sz w:val="18"/>
                <w:szCs w:val="18"/>
              </w:rPr>
              <w:t>0.868</w:t>
            </w:r>
          </w:p>
        </w:tc>
        <w:tc>
          <w:tcPr>
            <w:tcW w:w="1134" w:type="dxa"/>
            <w:tcBorders>
              <w:top w:val="nil"/>
              <w:left w:val="nil"/>
              <w:bottom w:val="nil"/>
              <w:right w:val="nil"/>
            </w:tcBorders>
            <w:vAlign w:val="bottom"/>
          </w:tcPr>
          <w:p w14:paraId="1BDB0360" w14:textId="5B155692" w:rsidR="00566EA9" w:rsidRPr="001D41EA" w:rsidRDefault="00566EA9" w:rsidP="001D41EA">
            <w:pPr>
              <w:spacing w:before="40" w:after="40"/>
              <w:jc w:val="center"/>
              <w:rPr>
                <w:rFonts w:cs="Arial"/>
                <w:sz w:val="18"/>
                <w:szCs w:val="18"/>
              </w:rPr>
            </w:pPr>
            <w:r w:rsidRPr="001D41EA">
              <w:rPr>
                <w:rFonts w:cs="Arial"/>
                <w:sz w:val="18"/>
                <w:szCs w:val="18"/>
              </w:rPr>
              <w:t>0.875</w:t>
            </w:r>
          </w:p>
        </w:tc>
        <w:tc>
          <w:tcPr>
            <w:tcW w:w="1134" w:type="dxa"/>
            <w:tcBorders>
              <w:top w:val="nil"/>
              <w:left w:val="nil"/>
              <w:bottom w:val="nil"/>
              <w:right w:val="nil"/>
            </w:tcBorders>
            <w:vAlign w:val="bottom"/>
          </w:tcPr>
          <w:p w14:paraId="3ED1CA61" w14:textId="5CA705C4" w:rsidR="00566EA9" w:rsidRPr="001D41EA" w:rsidRDefault="00566EA9" w:rsidP="001D41EA">
            <w:pPr>
              <w:spacing w:before="40" w:after="40"/>
              <w:jc w:val="center"/>
              <w:rPr>
                <w:rFonts w:cs="Arial"/>
                <w:sz w:val="18"/>
                <w:szCs w:val="18"/>
              </w:rPr>
            </w:pPr>
            <w:r w:rsidRPr="001D41EA">
              <w:rPr>
                <w:rFonts w:cs="Arial"/>
                <w:sz w:val="18"/>
                <w:szCs w:val="18"/>
              </w:rPr>
              <w:t>0.870</w:t>
            </w:r>
          </w:p>
        </w:tc>
        <w:tc>
          <w:tcPr>
            <w:tcW w:w="1134" w:type="dxa"/>
            <w:tcBorders>
              <w:top w:val="nil"/>
              <w:left w:val="nil"/>
              <w:bottom w:val="nil"/>
              <w:right w:val="nil"/>
            </w:tcBorders>
            <w:vAlign w:val="bottom"/>
          </w:tcPr>
          <w:p w14:paraId="3C1D2FF9" w14:textId="0E950B2B" w:rsidR="00566EA9" w:rsidRPr="001D41EA" w:rsidRDefault="00566EA9" w:rsidP="001D41EA">
            <w:pPr>
              <w:spacing w:before="40" w:after="40"/>
              <w:jc w:val="center"/>
              <w:rPr>
                <w:rFonts w:cs="Arial"/>
                <w:sz w:val="18"/>
                <w:szCs w:val="18"/>
              </w:rPr>
            </w:pPr>
            <w:r w:rsidRPr="001D41EA">
              <w:rPr>
                <w:rFonts w:cs="Arial"/>
                <w:sz w:val="18"/>
                <w:szCs w:val="18"/>
              </w:rPr>
              <w:t>0.887</w:t>
            </w:r>
          </w:p>
        </w:tc>
      </w:tr>
      <w:tr w:rsidR="00566EA9" w:rsidRPr="001D41EA" w14:paraId="42B5DE4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EFF14B6" w14:textId="77777777" w:rsidR="00566EA9" w:rsidRPr="001D41EA" w:rsidRDefault="00566EA9" w:rsidP="001D41EA">
            <w:pPr>
              <w:spacing w:before="40" w:after="40"/>
              <w:rPr>
                <w:rFonts w:cs="Arial"/>
                <w:sz w:val="18"/>
                <w:szCs w:val="18"/>
              </w:rPr>
            </w:pPr>
            <w:r w:rsidRPr="001D41EA">
              <w:rPr>
                <w:rFonts w:cs="Arial"/>
                <w:sz w:val="18"/>
                <w:szCs w:val="18"/>
              </w:rPr>
              <w:t>Hobsons Bay C</w:t>
            </w:r>
          </w:p>
        </w:tc>
        <w:tc>
          <w:tcPr>
            <w:tcW w:w="1134" w:type="dxa"/>
            <w:tcBorders>
              <w:top w:val="nil"/>
              <w:left w:val="single" w:sz="18" w:space="0" w:color="5F497A" w:themeColor="accent4" w:themeShade="BF"/>
              <w:bottom w:val="nil"/>
              <w:right w:val="nil"/>
            </w:tcBorders>
            <w:shd w:val="clear" w:color="auto" w:fill="auto"/>
            <w:vAlign w:val="bottom"/>
          </w:tcPr>
          <w:p w14:paraId="5ACA6574" w14:textId="06DA37BB" w:rsidR="00566EA9" w:rsidRPr="001D41EA" w:rsidRDefault="00566EA9" w:rsidP="001D41EA">
            <w:pPr>
              <w:spacing w:before="40" w:after="40"/>
              <w:jc w:val="center"/>
              <w:rPr>
                <w:rFonts w:cs="Arial"/>
                <w:sz w:val="18"/>
                <w:szCs w:val="18"/>
              </w:rPr>
            </w:pPr>
            <w:r w:rsidRPr="001D41EA">
              <w:rPr>
                <w:rFonts w:cs="Arial"/>
                <w:sz w:val="18"/>
                <w:szCs w:val="18"/>
              </w:rPr>
              <w:t>0.947</w:t>
            </w:r>
          </w:p>
        </w:tc>
        <w:tc>
          <w:tcPr>
            <w:tcW w:w="1134" w:type="dxa"/>
            <w:tcBorders>
              <w:top w:val="nil"/>
              <w:left w:val="nil"/>
              <w:bottom w:val="nil"/>
              <w:right w:val="nil"/>
            </w:tcBorders>
            <w:vAlign w:val="bottom"/>
          </w:tcPr>
          <w:p w14:paraId="21A2FD17" w14:textId="7C98C2DE" w:rsidR="00566EA9" w:rsidRPr="001D41EA" w:rsidRDefault="00566EA9" w:rsidP="001D41EA">
            <w:pPr>
              <w:spacing w:before="40" w:after="40"/>
              <w:jc w:val="center"/>
              <w:rPr>
                <w:rFonts w:cs="Arial"/>
                <w:sz w:val="18"/>
                <w:szCs w:val="18"/>
              </w:rPr>
            </w:pPr>
            <w:r w:rsidRPr="001D41EA">
              <w:rPr>
                <w:rFonts w:cs="Arial"/>
                <w:sz w:val="18"/>
                <w:szCs w:val="18"/>
              </w:rPr>
              <w:t>0.944</w:t>
            </w:r>
          </w:p>
        </w:tc>
        <w:tc>
          <w:tcPr>
            <w:tcW w:w="170" w:type="dxa"/>
            <w:tcBorders>
              <w:top w:val="nil"/>
              <w:left w:val="nil"/>
              <w:bottom w:val="nil"/>
              <w:right w:val="nil"/>
            </w:tcBorders>
            <w:vAlign w:val="bottom"/>
          </w:tcPr>
          <w:p w14:paraId="04D42F0E" w14:textId="1FCD657C"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5B1DDB70" w14:textId="0B78B8DC" w:rsidR="00566EA9" w:rsidRPr="001D41EA" w:rsidRDefault="00566EA9" w:rsidP="001D41EA">
            <w:pPr>
              <w:spacing w:before="40" w:after="40"/>
              <w:jc w:val="center"/>
              <w:rPr>
                <w:rFonts w:cs="Arial"/>
                <w:sz w:val="18"/>
                <w:szCs w:val="18"/>
              </w:rPr>
            </w:pPr>
            <w:r w:rsidRPr="001D41EA">
              <w:rPr>
                <w:rFonts w:cs="Arial"/>
                <w:sz w:val="18"/>
                <w:szCs w:val="18"/>
              </w:rPr>
              <w:t>1.009</w:t>
            </w:r>
          </w:p>
        </w:tc>
        <w:tc>
          <w:tcPr>
            <w:tcW w:w="1134" w:type="dxa"/>
            <w:tcBorders>
              <w:top w:val="nil"/>
              <w:left w:val="nil"/>
              <w:bottom w:val="nil"/>
              <w:right w:val="nil"/>
            </w:tcBorders>
            <w:vAlign w:val="bottom"/>
          </w:tcPr>
          <w:p w14:paraId="23785019" w14:textId="31588D4A" w:rsidR="00566EA9" w:rsidRPr="001D41EA" w:rsidRDefault="00566EA9" w:rsidP="001D41EA">
            <w:pPr>
              <w:spacing w:before="40" w:after="40"/>
              <w:jc w:val="center"/>
              <w:rPr>
                <w:rFonts w:cs="Arial"/>
                <w:sz w:val="18"/>
                <w:szCs w:val="18"/>
              </w:rPr>
            </w:pPr>
            <w:r w:rsidRPr="001D41EA">
              <w:rPr>
                <w:rFonts w:cs="Arial"/>
                <w:sz w:val="18"/>
                <w:szCs w:val="18"/>
              </w:rPr>
              <w:t>1.016</w:t>
            </w:r>
          </w:p>
        </w:tc>
        <w:tc>
          <w:tcPr>
            <w:tcW w:w="1134" w:type="dxa"/>
            <w:tcBorders>
              <w:top w:val="nil"/>
              <w:left w:val="nil"/>
              <w:bottom w:val="nil"/>
              <w:right w:val="nil"/>
            </w:tcBorders>
            <w:vAlign w:val="bottom"/>
          </w:tcPr>
          <w:p w14:paraId="71714C35" w14:textId="2D3120A8" w:rsidR="00566EA9" w:rsidRPr="001D41EA" w:rsidRDefault="00566EA9" w:rsidP="001D41EA">
            <w:pPr>
              <w:spacing w:before="40" w:after="40"/>
              <w:jc w:val="center"/>
              <w:rPr>
                <w:rFonts w:cs="Arial"/>
                <w:sz w:val="18"/>
                <w:szCs w:val="18"/>
              </w:rPr>
            </w:pPr>
            <w:r w:rsidRPr="001D41EA">
              <w:rPr>
                <w:rFonts w:cs="Arial"/>
                <w:sz w:val="18"/>
                <w:szCs w:val="18"/>
              </w:rPr>
              <w:t>1.011</w:t>
            </w:r>
          </w:p>
        </w:tc>
        <w:tc>
          <w:tcPr>
            <w:tcW w:w="1134" w:type="dxa"/>
            <w:tcBorders>
              <w:top w:val="nil"/>
              <w:left w:val="nil"/>
              <w:bottom w:val="nil"/>
              <w:right w:val="nil"/>
            </w:tcBorders>
            <w:vAlign w:val="bottom"/>
          </w:tcPr>
          <w:p w14:paraId="59A5A4F3" w14:textId="50BE9F87" w:rsidR="00566EA9" w:rsidRPr="001D41EA" w:rsidRDefault="00566EA9" w:rsidP="001D41EA">
            <w:pPr>
              <w:spacing w:before="40" w:after="40"/>
              <w:jc w:val="center"/>
              <w:rPr>
                <w:rFonts w:cs="Arial"/>
                <w:sz w:val="18"/>
                <w:szCs w:val="18"/>
              </w:rPr>
            </w:pPr>
            <w:r w:rsidRPr="001D41EA">
              <w:rPr>
                <w:rFonts w:cs="Arial"/>
                <w:sz w:val="18"/>
                <w:szCs w:val="18"/>
              </w:rPr>
              <w:t>1.031</w:t>
            </w:r>
          </w:p>
        </w:tc>
      </w:tr>
      <w:tr w:rsidR="00566EA9" w:rsidRPr="001D41EA" w14:paraId="62F09AB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61C7DF7" w14:textId="77777777" w:rsidR="00566EA9" w:rsidRPr="001D41EA" w:rsidRDefault="00566EA9" w:rsidP="001D41EA">
            <w:pPr>
              <w:spacing w:before="40" w:after="40"/>
              <w:rPr>
                <w:rFonts w:cs="Arial"/>
                <w:sz w:val="18"/>
                <w:szCs w:val="18"/>
              </w:rPr>
            </w:pPr>
            <w:r w:rsidRPr="001D41EA">
              <w:rPr>
                <w:rFonts w:cs="Arial"/>
                <w:sz w:val="18"/>
                <w:szCs w:val="18"/>
              </w:rPr>
              <w:t>Horsham RC</w:t>
            </w:r>
          </w:p>
        </w:tc>
        <w:tc>
          <w:tcPr>
            <w:tcW w:w="1134" w:type="dxa"/>
            <w:tcBorders>
              <w:top w:val="nil"/>
              <w:left w:val="single" w:sz="18" w:space="0" w:color="5F497A" w:themeColor="accent4" w:themeShade="BF"/>
              <w:bottom w:val="nil"/>
              <w:right w:val="nil"/>
            </w:tcBorders>
            <w:shd w:val="clear" w:color="auto" w:fill="auto"/>
            <w:vAlign w:val="bottom"/>
          </w:tcPr>
          <w:p w14:paraId="1E194D77" w14:textId="3BFAD75C" w:rsidR="00566EA9" w:rsidRPr="001D41EA" w:rsidRDefault="00566EA9" w:rsidP="001D41EA">
            <w:pPr>
              <w:spacing w:before="40" w:after="40"/>
              <w:jc w:val="center"/>
              <w:rPr>
                <w:rFonts w:cs="Arial"/>
                <w:sz w:val="18"/>
                <w:szCs w:val="18"/>
              </w:rPr>
            </w:pPr>
            <w:r w:rsidRPr="001D41EA">
              <w:rPr>
                <w:rFonts w:cs="Arial"/>
                <w:sz w:val="18"/>
                <w:szCs w:val="18"/>
              </w:rPr>
              <w:t>1.162</w:t>
            </w:r>
          </w:p>
        </w:tc>
        <w:tc>
          <w:tcPr>
            <w:tcW w:w="1134" w:type="dxa"/>
            <w:tcBorders>
              <w:top w:val="nil"/>
              <w:left w:val="nil"/>
              <w:bottom w:val="nil"/>
              <w:right w:val="nil"/>
            </w:tcBorders>
            <w:vAlign w:val="bottom"/>
          </w:tcPr>
          <w:p w14:paraId="4BBD94D0" w14:textId="2124ABAE" w:rsidR="00566EA9" w:rsidRPr="001D41EA" w:rsidRDefault="00566EA9" w:rsidP="001D41EA">
            <w:pPr>
              <w:spacing w:before="40" w:after="40"/>
              <w:jc w:val="center"/>
              <w:rPr>
                <w:rFonts w:cs="Arial"/>
                <w:sz w:val="18"/>
                <w:szCs w:val="18"/>
              </w:rPr>
            </w:pPr>
            <w:r w:rsidRPr="001D41EA">
              <w:rPr>
                <w:rFonts w:cs="Arial"/>
                <w:sz w:val="18"/>
                <w:szCs w:val="18"/>
              </w:rPr>
              <w:t>1.158</w:t>
            </w:r>
          </w:p>
        </w:tc>
        <w:tc>
          <w:tcPr>
            <w:tcW w:w="170" w:type="dxa"/>
            <w:tcBorders>
              <w:top w:val="nil"/>
              <w:left w:val="nil"/>
              <w:bottom w:val="nil"/>
              <w:right w:val="nil"/>
            </w:tcBorders>
            <w:vAlign w:val="bottom"/>
          </w:tcPr>
          <w:p w14:paraId="4302CD73" w14:textId="25BB0DFB"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5D907F1B" w14:textId="16DB0216" w:rsidR="00566EA9" w:rsidRPr="001D41EA" w:rsidRDefault="00566EA9" w:rsidP="001D41EA">
            <w:pPr>
              <w:spacing w:before="40" w:after="40"/>
              <w:jc w:val="center"/>
              <w:rPr>
                <w:rFonts w:cs="Arial"/>
                <w:sz w:val="18"/>
                <w:szCs w:val="18"/>
              </w:rPr>
            </w:pPr>
            <w:r w:rsidRPr="001D41EA">
              <w:rPr>
                <w:rFonts w:cs="Arial"/>
                <w:sz w:val="18"/>
                <w:szCs w:val="18"/>
              </w:rPr>
              <w:t>0.804</w:t>
            </w:r>
          </w:p>
        </w:tc>
        <w:tc>
          <w:tcPr>
            <w:tcW w:w="1134" w:type="dxa"/>
            <w:tcBorders>
              <w:top w:val="nil"/>
              <w:left w:val="nil"/>
              <w:bottom w:val="nil"/>
              <w:right w:val="nil"/>
            </w:tcBorders>
            <w:vAlign w:val="bottom"/>
          </w:tcPr>
          <w:p w14:paraId="0B690FD8" w14:textId="6AEBD198" w:rsidR="00566EA9" w:rsidRPr="001D41EA" w:rsidRDefault="00566EA9" w:rsidP="001D41EA">
            <w:pPr>
              <w:spacing w:before="40" w:after="40"/>
              <w:jc w:val="center"/>
              <w:rPr>
                <w:rFonts w:cs="Arial"/>
                <w:sz w:val="18"/>
                <w:szCs w:val="18"/>
              </w:rPr>
            </w:pPr>
            <w:r w:rsidRPr="001D41EA">
              <w:rPr>
                <w:rFonts w:cs="Arial"/>
                <w:sz w:val="18"/>
                <w:szCs w:val="18"/>
              </w:rPr>
              <w:t>0.810</w:t>
            </w:r>
          </w:p>
        </w:tc>
        <w:tc>
          <w:tcPr>
            <w:tcW w:w="1134" w:type="dxa"/>
            <w:tcBorders>
              <w:top w:val="nil"/>
              <w:left w:val="nil"/>
              <w:bottom w:val="nil"/>
              <w:right w:val="nil"/>
            </w:tcBorders>
            <w:vAlign w:val="bottom"/>
          </w:tcPr>
          <w:p w14:paraId="783A5721" w14:textId="73D4989F" w:rsidR="00566EA9" w:rsidRPr="001D41EA" w:rsidRDefault="00566EA9" w:rsidP="001D41EA">
            <w:pPr>
              <w:spacing w:before="40" w:after="40"/>
              <w:jc w:val="center"/>
              <w:rPr>
                <w:rFonts w:cs="Arial"/>
                <w:sz w:val="18"/>
                <w:szCs w:val="18"/>
              </w:rPr>
            </w:pPr>
            <w:r w:rsidRPr="001D41EA">
              <w:rPr>
                <w:rFonts w:cs="Arial"/>
                <w:sz w:val="18"/>
                <w:szCs w:val="18"/>
              </w:rPr>
              <w:t>0.805</w:t>
            </w:r>
          </w:p>
        </w:tc>
        <w:tc>
          <w:tcPr>
            <w:tcW w:w="1134" w:type="dxa"/>
            <w:tcBorders>
              <w:top w:val="nil"/>
              <w:left w:val="nil"/>
              <w:bottom w:val="nil"/>
              <w:right w:val="nil"/>
            </w:tcBorders>
            <w:vAlign w:val="bottom"/>
          </w:tcPr>
          <w:p w14:paraId="58918D8F" w14:textId="3DEFF4E3" w:rsidR="00566EA9" w:rsidRPr="001D41EA" w:rsidRDefault="00566EA9" w:rsidP="001D41EA">
            <w:pPr>
              <w:spacing w:before="40" w:after="40"/>
              <w:jc w:val="center"/>
              <w:rPr>
                <w:rFonts w:cs="Arial"/>
                <w:sz w:val="18"/>
                <w:szCs w:val="18"/>
              </w:rPr>
            </w:pPr>
            <w:r w:rsidRPr="001D41EA">
              <w:rPr>
                <w:rFonts w:cs="Arial"/>
                <w:sz w:val="18"/>
                <w:szCs w:val="18"/>
              </w:rPr>
              <w:t>0.821</w:t>
            </w:r>
          </w:p>
        </w:tc>
      </w:tr>
      <w:tr w:rsidR="00566EA9" w:rsidRPr="001D41EA" w14:paraId="3DBEC9A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36C2A4F" w14:textId="77777777" w:rsidR="00566EA9" w:rsidRPr="001D41EA" w:rsidRDefault="00566EA9" w:rsidP="001D41EA">
            <w:pPr>
              <w:spacing w:before="40" w:after="40"/>
              <w:rPr>
                <w:rFonts w:cs="Arial"/>
                <w:sz w:val="18"/>
                <w:szCs w:val="18"/>
              </w:rPr>
            </w:pPr>
            <w:r w:rsidRPr="001D41EA">
              <w:rPr>
                <w:rFonts w:cs="Arial"/>
                <w:sz w:val="18"/>
                <w:szCs w:val="18"/>
              </w:rPr>
              <w:t>Hume C</w:t>
            </w:r>
          </w:p>
        </w:tc>
        <w:tc>
          <w:tcPr>
            <w:tcW w:w="1134" w:type="dxa"/>
            <w:tcBorders>
              <w:top w:val="nil"/>
              <w:left w:val="single" w:sz="18" w:space="0" w:color="5F497A" w:themeColor="accent4" w:themeShade="BF"/>
              <w:bottom w:val="nil"/>
              <w:right w:val="nil"/>
            </w:tcBorders>
            <w:shd w:val="clear" w:color="auto" w:fill="auto"/>
            <w:vAlign w:val="bottom"/>
          </w:tcPr>
          <w:p w14:paraId="279FEBA6" w14:textId="39927C4F" w:rsidR="00566EA9" w:rsidRPr="001D41EA" w:rsidRDefault="00566EA9" w:rsidP="001D41EA">
            <w:pPr>
              <w:spacing w:before="40" w:after="40"/>
              <w:jc w:val="center"/>
              <w:rPr>
                <w:rFonts w:cs="Arial"/>
                <w:sz w:val="18"/>
                <w:szCs w:val="18"/>
              </w:rPr>
            </w:pPr>
            <w:r w:rsidRPr="001D41EA">
              <w:rPr>
                <w:rFonts w:cs="Arial"/>
                <w:sz w:val="18"/>
                <w:szCs w:val="18"/>
              </w:rPr>
              <w:t>0.989</w:t>
            </w:r>
          </w:p>
        </w:tc>
        <w:tc>
          <w:tcPr>
            <w:tcW w:w="1134" w:type="dxa"/>
            <w:tcBorders>
              <w:top w:val="nil"/>
              <w:left w:val="nil"/>
              <w:bottom w:val="nil"/>
              <w:right w:val="nil"/>
            </w:tcBorders>
            <w:vAlign w:val="bottom"/>
          </w:tcPr>
          <w:p w14:paraId="3D1FF5B4" w14:textId="43B7C65B" w:rsidR="00566EA9" w:rsidRPr="001D41EA" w:rsidRDefault="00566EA9" w:rsidP="001D41EA">
            <w:pPr>
              <w:spacing w:before="40" w:after="40"/>
              <w:jc w:val="center"/>
              <w:rPr>
                <w:rFonts w:cs="Arial"/>
                <w:sz w:val="18"/>
                <w:szCs w:val="18"/>
              </w:rPr>
            </w:pPr>
            <w:r w:rsidRPr="001D41EA">
              <w:rPr>
                <w:rFonts w:cs="Arial"/>
                <w:sz w:val="18"/>
                <w:szCs w:val="18"/>
              </w:rPr>
              <w:t>0.986</w:t>
            </w:r>
          </w:p>
        </w:tc>
        <w:tc>
          <w:tcPr>
            <w:tcW w:w="170" w:type="dxa"/>
            <w:tcBorders>
              <w:top w:val="nil"/>
              <w:left w:val="nil"/>
              <w:bottom w:val="nil"/>
              <w:right w:val="nil"/>
            </w:tcBorders>
            <w:vAlign w:val="bottom"/>
          </w:tcPr>
          <w:p w14:paraId="0E21CF4A" w14:textId="1414180C"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4219F5A4" w14:textId="7C415ADC" w:rsidR="00566EA9" w:rsidRPr="001D41EA" w:rsidRDefault="00566EA9" w:rsidP="001D41EA">
            <w:pPr>
              <w:spacing w:before="40" w:after="40"/>
              <w:jc w:val="center"/>
              <w:rPr>
                <w:rFonts w:cs="Arial"/>
                <w:sz w:val="18"/>
                <w:szCs w:val="18"/>
              </w:rPr>
            </w:pPr>
            <w:r w:rsidRPr="001D41EA">
              <w:rPr>
                <w:rFonts w:cs="Arial"/>
                <w:sz w:val="18"/>
                <w:szCs w:val="18"/>
              </w:rPr>
              <w:t>1.169</w:t>
            </w:r>
          </w:p>
        </w:tc>
        <w:tc>
          <w:tcPr>
            <w:tcW w:w="1134" w:type="dxa"/>
            <w:tcBorders>
              <w:top w:val="nil"/>
              <w:left w:val="nil"/>
              <w:bottom w:val="nil"/>
              <w:right w:val="nil"/>
            </w:tcBorders>
            <w:vAlign w:val="bottom"/>
          </w:tcPr>
          <w:p w14:paraId="78F17169" w14:textId="7247A6E6" w:rsidR="00566EA9" w:rsidRPr="001D41EA" w:rsidRDefault="00566EA9" w:rsidP="001D41EA">
            <w:pPr>
              <w:spacing w:before="40" w:after="40"/>
              <w:jc w:val="center"/>
              <w:rPr>
                <w:rFonts w:cs="Arial"/>
                <w:sz w:val="18"/>
                <w:szCs w:val="18"/>
              </w:rPr>
            </w:pPr>
            <w:r w:rsidRPr="001D41EA">
              <w:rPr>
                <w:rFonts w:cs="Arial"/>
                <w:sz w:val="18"/>
                <w:szCs w:val="18"/>
              </w:rPr>
              <w:t>1.178</w:t>
            </w:r>
          </w:p>
        </w:tc>
        <w:tc>
          <w:tcPr>
            <w:tcW w:w="1134" w:type="dxa"/>
            <w:tcBorders>
              <w:top w:val="nil"/>
              <w:left w:val="nil"/>
              <w:bottom w:val="nil"/>
              <w:right w:val="nil"/>
            </w:tcBorders>
            <w:vAlign w:val="bottom"/>
          </w:tcPr>
          <w:p w14:paraId="78106AB1" w14:textId="41DAC4DC" w:rsidR="00566EA9" w:rsidRPr="001D41EA" w:rsidRDefault="00566EA9" w:rsidP="001D41EA">
            <w:pPr>
              <w:spacing w:before="40" w:after="40"/>
              <w:jc w:val="center"/>
              <w:rPr>
                <w:rFonts w:cs="Arial"/>
                <w:sz w:val="18"/>
                <w:szCs w:val="18"/>
              </w:rPr>
            </w:pPr>
            <w:r w:rsidRPr="001D41EA">
              <w:rPr>
                <w:rFonts w:cs="Arial"/>
                <w:sz w:val="18"/>
                <w:szCs w:val="18"/>
              </w:rPr>
              <w:t>1.171</w:t>
            </w:r>
          </w:p>
        </w:tc>
        <w:tc>
          <w:tcPr>
            <w:tcW w:w="1134" w:type="dxa"/>
            <w:tcBorders>
              <w:top w:val="nil"/>
              <w:left w:val="nil"/>
              <w:bottom w:val="nil"/>
              <w:right w:val="nil"/>
            </w:tcBorders>
            <w:vAlign w:val="bottom"/>
          </w:tcPr>
          <w:p w14:paraId="6198CB5E" w14:textId="00BEF6C8" w:rsidR="00566EA9" w:rsidRPr="001D41EA" w:rsidRDefault="00566EA9" w:rsidP="001D41EA">
            <w:pPr>
              <w:spacing w:before="40" w:after="40"/>
              <w:jc w:val="center"/>
              <w:rPr>
                <w:rFonts w:cs="Arial"/>
                <w:sz w:val="18"/>
                <w:szCs w:val="18"/>
              </w:rPr>
            </w:pPr>
            <w:r w:rsidRPr="001D41EA">
              <w:rPr>
                <w:rFonts w:cs="Arial"/>
                <w:sz w:val="18"/>
                <w:szCs w:val="18"/>
              </w:rPr>
              <w:t>1.194</w:t>
            </w:r>
          </w:p>
        </w:tc>
      </w:tr>
      <w:tr w:rsidR="00566EA9" w:rsidRPr="001D41EA" w14:paraId="00C0D99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B4B438A" w14:textId="77777777" w:rsidR="00566EA9" w:rsidRPr="001D41EA" w:rsidRDefault="00566EA9" w:rsidP="001D41EA">
            <w:pPr>
              <w:spacing w:before="40" w:after="40"/>
              <w:rPr>
                <w:rFonts w:cs="Arial"/>
                <w:sz w:val="18"/>
                <w:szCs w:val="18"/>
              </w:rPr>
            </w:pPr>
            <w:r w:rsidRPr="001D41EA">
              <w:rPr>
                <w:rFonts w:cs="Arial"/>
                <w:sz w:val="18"/>
                <w:szCs w:val="18"/>
              </w:rPr>
              <w:t>Indigo S</w:t>
            </w:r>
          </w:p>
        </w:tc>
        <w:tc>
          <w:tcPr>
            <w:tcW w:w="1134" w:type="dxa"/>
            <w:tcBorders>
              <w:top w:val="nil"/>
              <w:left w:val="single" w:sz="18" w:space="0" w:color="5F497A" w:themeColor="accent4" w:themeShade="BF"/>
              <w:bottom w:val="nil"/>
              <w:right w:val="nil"/>
            </w:tcBorders>
            <w:shd w:val="clear" w:color="auto" w:fill="auto"/>
            <w:vAlign w:val="bottom"/>
          </w:tcPr>
          <w:p w14:paraId="716AFB97" w14:textId="390DF561" w:rsidR="00566EA9" w:rsidRPr="001D41EA" w:rsidRDefault="00566EA9" w:rsidP="001D41EA">
            <w:pPr>
              <w:spacing w:before="40" w:after="40"/>
              <w:jc w:val="center"/>
              <w:rPr>
                <w:rFonts w:cs="Arial"/>
                <w:sz w:val="18"/>
                <w:szCs w:val="18"/>
              </w:rPr>
            </w:pPr>
            <w:r w:rsidRPr="001D41EA">
              <w:rPr>
                <w:rFonts w:cs="Arial"/>
                <w:sz w:val="18"/>
                <w:szCs w:val="18"/>
              </w:rPr>
              <w:t>1.108</w:t>
            </w:r>
          </w:p>
        </w:tc>
        <w:tc>
          <w:tcPr>
            <w:tcW w:w="1134" w:type="dxa"/>
            <w:tcBorders>
              <w:top w:val="nil"/>
              <w:left w:val="nil"/>
              <w:bottom w:val="nil"/>
              <w:right w:val="nil"/>
            </w:tcBorders>
            <w:vAlign w:val="bottom"/>
          </w:tcPr>
          <w:p w14:paraId="3042D6BA" w14:textId="678B4FD9" w:rsidR="00566EA9" w:rsidRPr="001D41EA" w:rsidRDefault="00566EA9" w:rsidP="001D41EA">
            <w:pPr>
              <w:spacing w:before="40" w:after="40"/>
              <w:jc w:val="center"/>
              <w:rPr>
                <w:rFonts w:cs="Arial"/>
                <w:sz w:val="18"/>
                <w:szCs w:val="18"/>
              </w:rPr>
            </w:pPr>
            <w:r w:rsidRPr="001D41EA">
              <w:rPr>
                <w:rFonts w:cs="Arial"/>
                <w:sz w:val="18"/>
                <w:szCs w:val="18"/>
              </w:rPr>
              <w:t>1.104</w:t>
            </w:r>
          </w:p>
        </w:tc>
        <w:tc>
          <w:tcPr>
            <w:tcW w:w="170" w:type="dxa"/>
            <w:tcBorders>
              <w:top w:val="nil"/>
              <w:left w:val="nil"/>
              <w:bottom w:val="nil"/>
              <w:right w:val="nil"/>
            </w:tcBorders>
            <w:vAlign w:val="bottom"/>
          </w:tcPr>
          <w:p w14:paraId="0F34759D" w14:textId="61EB513C"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6A90CBEB" w14:textId="66831351" w:rsidR="00566EA9" w:rsidRPr="001D41EA" w:rsidRDefault="00566EA9" w:rsidP="001D41EA">
            <w:pPr>
              <w:spacing w:before="40" w:after="40"/>
              <w:jc w:val="center"/>
              <w:rPr>
                <w:rFonts w:cs="Arial"/>
                <w:sz w:val="18"/>
                <w:szCs w:val="18"/>
              </w:rPr>
            </w:pPr>
            <w:r w:rsidRPr="001D41EA">
              <w:rPr>
                <w:rFonts w:cs="Arial"/>
                <w:sz w:val="18"/>
                <w:szCs w:val="18"/>
              </w:rPr>
              <w:t>0.789</w:t>
            </w:r>
          </w:p>
        </w:tc>
        <w:tc>
          <w:tcPr>
            <w:tcW w:w="1134" w:type="dxa"/>
            <w:tcBorders>
              <w:top w:val="nil"/>
              <w:left w:val="nil"/>
              <w:bottom w:val="nil"/>
              <w:right w:val="nil"/>
            </w:tcBorders>
            <w:vAlign w:val="bottom"/>
          </w:tcPr>
          <w:p w14:paraId="4FEBE5F0" w14:textId="4D89024F" w:rsidR="00566EA9" w:rsidRPr="001D41EA" w:rsidRDefault="00566EA9" w:rsidP="001D41EA">
            <w:pPr>
              <w:spacing w:before="40" w:after="40"/>
              <w:jc w:val="center"/>
              <w:rPr>
                <w:rFonts w:cs="Arial"/>
                <w:sz w:val="18"/>
                <w:szCs w:val="18"/>
              </w:rPr>
            </w:pPr>
            <w:r w:rsidRPr="001D41EA">
              <w:rPr>
                <w:rFonts w:cs="Arial"/>
                <w:sz w:val="18"/>
                <w:szCs w:val="18"/>
              </w:rPr>
              <w:t>0.795</w:t>
            </w:r>
          </w:p>
        </w:tc>
        <w:tc>
          <w:tcPr>
            <w:tcW w:w="1134" w:type="dxa"/>
            <w:tcBorders>
              <w:top w:val="nil"/>
              <w:left w:val="nil"/>
              <w:bottom w:val="nil"/>
              <w:right w:val="nil"/>
            </w:tcBorders>
            <w:vAlign w:val="bottom"/>
          </w:tcPr>
          <w:p w14:paraId="4C0FB671" w14:textId="1C2A8285" w:rsidR="00566EA9" w:rsidRPr="001D41EA" w:rsidRDefault="00566EA9" w:rsidP="001D41EA">
            <w:pPr>
              <w:spacing w:before="40" w:after="40"/>
              <w:jc w:val="center"/>
              <w:rPr>
                <w:rFonts w:cs="Arial"/>
                <w:sz w:val="18"/>
                <w:szCs w:val="18"/>
              </w:rPr>
            </w:pPr>
            <w:r w:rsidRPr="001D41EA">
              <w:rPr>
                <w:rFonts w:cs="Arial"/>
                <w:sz w:val="18"/>
                <w:szCs w:val="18"/>
              </w:rPr>
              <w:t>0.790</w:t>
            </w:r>
          </w:p>
        </w:tc>
        <w:tc>
          <w:tcPr>
            <w:tcW w:w="1134" w:type="dxa"/>
            <w:tcBorders>
              <w:top w:val="nil"/>
              <w:left w:val="nil"/>
              <w:bottom w:val="nil"/>
              <w:right w:val="nil"/>
            </w:tcBorders>
            <w:vAlign w:val="bottom"/>
          </w:tcPr>
          <w:p w14:paraId="27E113C9" w14:textId="25DDD86C" w:rsidR="00566EA9" w:rsidRPr="001D41EA" w:rsidRDefault="00566EA9" w:rsidP="001D41EA">
            <w:pPr>
              <w:spacing w:before="40" w:after="40"/>
              <w:jc w:val="center"/>
              <w:rPr>
                <w:rFonts w:cs="Arial"/>
                <w:sz w:val="18"/>
                <w:szCs w:val="18"/>
              </w:rPr>
            </w:pPr>
            <w:r w:rsidRPr="001D41EA">
              <w:rPr>
                <w:rFonts w:cs="Arial"/>
                <w:sz w:val="18"/>
                <w:szCs w:val="18"/>
              </w:rPr>
              <w:t>0.806</w:t>
            </w:r>
          </w:p>
        </w:tc>
      </w:tr>
      <w:tr w:rsidR="00566EA9" w:rsidRPr="001D41EA" w14:paraId="1D99E1A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1675776" w14:textId="77777777" w:rsidR="00566EA9" w:rsidRPr="001D41EA" w:rsidRDefault="00566EA9" w:rsidP="001D41EA">
            <w:pPr>
              <w:spacing w:before="40" w:after="40"/>
              <w:rPr>
                <w:rFonts w:cs="Arial"/>
                <w:sz w:val="18"/>
                <w:szCs w:val="18"/>
              </w:rPr>
            </w:pPr>
            <w:r w:rsidRPr="001D41EA">
              <w:rPr>
                <w:rFonts w:cs="Arial"/>
                <w:sz w:val="18"/>
                <w:szCs w:val="18"/>
              </w:rPr>
              <w:t>Kingston C</w:t>
            </w:r>
          </w:p>
        </w:tc>
        <w:tc>
          <w:tcPr>
            <w:tcW w:w="1134" w:type="dxa"/>
            <w:tcBorders>
              <w:top w:val="nil"/>
              <w:left w:val="single" w:sz="18" w:space="0" w:color="5F497A" w:themeColor="accent4" w:themeShade="BF"/>
              <w:bottom w:val="nil"/>
              <w:right w:val="nil"/>
            </w:tcBorders>
            <w:shd w:val="clear" w:color="auto" w:fill="auto"/>
            <w:vAlign w:val="bottom"/>
          </w:tcPr>
          <w:p w14:paraId="7492FDCA" w14:textId="4AC4723D" w:rsidR="00566EA9" w:rsidRPr="001D41EA" w:rsidRDefault="00566EA9" w:rsidP="001D41EA">
            <w:pPr>
              <w:spacing w:before="40" w:after="40"/>
              <w:jc w:val="center"/>
              <w:rPr>
                <w:rFonts w:cs="Arial"/>
                <w:sz w:val="18"/>
                <w:szCs w:val="18"/>
              </w:rPr>
            </w:pPr>
            <w:r w:rsidRPr="001D41EA">
              <w:rPr>
                <w:rFonts w:cs="Arial"/>
                <w:sz w:val="18"/>
                <w:szCs w:val="18"/>
              </w:rPr>
              <w:t>0.909</w:t>
            </w:r>
          </w:p>
        </w:tc>
        <w:tc>
          <w:tcPr>
            <w:tcW w:w="1134" w:type="dxa"/>
            <w:tcBorders>
              <w:top w:val="nil"/>
              <w:left w:val="nil"/>
              <w:bottom w:val="nil"/>
              <w:right w:val="nil"/>
            </w:tcBorders>
            <w:vAlign w:val="bottom"/>
          </w:tcPr>
          <w:p w14:paraId="461F355D" w14:textId="6D5F612E" w:rsidR="00566EA9" w:rsidRPr="001D41EA" w:rsidRDefault="00566EA9" w:rsidP="001D41EA">
            <w:pPr>
              <w:spacing w:before="40" w:after="40"/>
              <w:jc w:val="center"/>
              <w:rPr>
                <w:rFonts w:cs="Arial"/>
                <w:sz w:val="18"/>
                <w:szCs w:val="18"/>
              </w:rPr>
            </w:pPr>
            <w:r w:rsidRPr="001D41EA">
              <w:rPr>
                <w:rFonts w:cs="Arial"/>
                <w:sz w:val="18"/>
                <w:szCs w:val="18"/>
              </w:rPr>
              <w:t>0.906</w:t>
            </w:r>
          </w:p>
        </w:tc>
        <w:tc>
          <w:tcPr>
            <w:tcW w:w="170" w:type="dxa"/>
            <w:tcBorders>
              <w:top w:val="nil"/>
              <w:left w:val="nil"/>
              <w:bottom w:val="nil"/>
              <w:right w:val="nil"/>
            </w:tcBorders>
            <w:vAlign w:val="bottom"/>
          </w:tcPr>
          <w:p w14:paraId="364F0F92" w14:textId="1B985293"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12152544" w14:textId="7F200570" w:rsidR="00566EA9" w:rsidRPr="001D41EA" w:rsidRDefault="00566EA9" w:rsidP="001D41EA">
            <w:pPr>
              <w:spacing w:before="40" w:after="40"/>
              <w:jc w:val="center"/>
              <w:rPr>
                <w:rFonts w:cs="Arial"/>
                <w:sz w:val="18"/>
                <w:szCs w:val="18"/>
              </w:rPr>
            </w:pPr>
            <w:r w:rsidRPr="001D41EA">
              <w:rPr>
                <w:rFonts w:cs="Arial"/>
                <w:sz w:val="18"/>
                <w:szCs w:val="18"/>
              </w:rPr>
              <w:t>0.984</w:t>
            </w:r>
          </w:p>
        </w:tc>
        <w:tc>
          <w:tcPr>
            <w:tcW w:w="1134" w:type="dxa"/>
            <w:tcBorders>
              <w:top w:val="nil"/>
              <w:left w:val="nil"/>
              <w:bottom w:val="nil"/>
              <w:right w:val="nil"/>
            </w:tcBorders>
            <w:vAlign w:val="bottom"/>
          </w:tcPr>
          <w:p w14:paraId="50435148" w14:textId="0A7D90E7" w:rsidR="00566EA9" w:rsidRPr="001D41EA" w:rsidRDefault="00566EA9" w:rsidP="001D41EA">
            <w:pPr>
              <w:spacing w:before="40" w:after="40"/>
              <w:jc w:val="center"/>
              <w:rPr>
                <w:rFonts w:cs="Arial"/>
                <w:sz w:val="18"/>
                <w:szCs w:val="18"/>
              </w:rPr>
            </w:pPr>
            <w:r w:rsidRPr="001D41EA">
              <w:rPr>
                <w:rFonts w:cs="Arial"/>
                <w:sz w:val="18"/>
                <w:szCs w:val="18"/>
              </w:rPr>
              <w:t>0.992</w:t>
            </w:r>
          </w:p>
        </w:tc>
        <w:tc>
          <w:tcPr>
            <w:tcW w:w="1134" w:type="dxa"/>
            <w:tcBorders>
              <w:top w:val="nil"/>
              <w:left w:val="nil"/>
              <w:bottom w:val="nil"/>
              <w:right w:val="nil"/>
            </w:tcBorders>
            <w:vAlign w:val="bottom"/>
          </w:tcPr>
          <w:p w14:paraId="7DDD198E" w14:textId="0E2CA119" w:rsidR="00566EA9" w:rsidRPr="001D41EA" w:rsidRDefault="00566EA9" w:rsidP="001D41EA">
            <w:pPr>
              <w:spacing w:before="40" w:after="40"/>
              <w:jc w:val="center"/>
              <w:rPr>
                <w:rFonts w:cs="Arial"/>
                <w:sz w:val="18"/>
                <w:szCs w:val="18"/>
              </w:rPr>
            </w:pPr>
            <w:r w:rsidRPr="001D41EA">
              <w:rPr>
                <w:rFonts w:cs="Arial"/>
                <w:sz w:val="18"/>
                <w:szCs w:val="18"/>
              </w:rPr>
              <w:t>0.987</w:t>
            </w:r>
          </w:p>
        </w:tc>
        <w:tc>
          <w:tcPr>
            <w:tcW w:w="1134" w:type="dxa"/>
            <w:tcBorders>
              <w:top w:val="nil"/>
              <w:left w:val="nil"/>
              <w:bottom w:val="nil"/>
              <w:right w:val="nil"/>
            </w:tcBorders>
            <w:vAlign w:val="bottom"/>
          </w:tcPr>
          <w:p w14:paraId="41921E1C" w14:textId="612CF1E1" w:rsidR="00566EA9" w:rsidRPr="001D41EA" w:rsidRDefault="00566EA9" w:rsidP="001D41EA">
            <w:pPr>
              <w:spacing w:before="40" w:after="40"/>
              <w:jc w:val="center"/>
              <w:rPr>
                <w:rFonts w:cs="Arial"/>
                <w:sz w:val="18"/>
                <w:szCs w:val="18"/>
              </w:rPr>
            </w:pPr>
            <w:r w:rsidRPr="001D41EA">
              <w:rPr>
                <w:rFonts w:cs="Arial"/>
                <w:sz w:val="18"/>
                <w:szCs w:val="18"/>
              </w:rPr>
              <w:t>1.006</w:t>
            </w:r>
          </w:p>
        </w:tc>
      </w:tr>
      <w:tr w:rsidR="00566EA9" w:rsidRPr="001D41EA" w14:paraId="41918F1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3738AF5" w14:textId="77777777" w:rsidR="00566EA9" w:rsidRPr="001D41EA" w:rsidRDefault="00566EA9" w:rsidP="001D41EA">
            <w:pPr>
              <w:spacing w:before="40" w:after="40"/>
              <w:rPr>
                <w:rFonts w:cs="Arial"/>
                <w:sz w:val="18"/>
                <w:szCs w:val="18"/>
              </w:rPr>
            </w:pPr>
            <w:r w:rsidRPr="001D41EA">
              <w:rPr>
                <w:rFonts w:cs="Arial"/>
                <w:sz w:val="18"/>
                <w:szCs w:val="18"/>
              </w:rPr>
              <w:t>Knox C</w:t>
            </w:r>
          </w:p>
        </w:tc>
        <w:tc>
          <w:tcPr>
            <w:tcW w:w="1134" w:type="dxa"/>
            <w:tcBorders>
              <w:top w:val="nil"/>
              <w:left w:val="single" w:sz="18" w:space="0" w:color="5F497A" w:themeColor="accent4" w:themeShade="BF"/>
              <w:bottom w:val="nil"/>
              <w:right w:val="nil"/>
            </w:tcBorders>
            <w:shd w:val="clear" w:color="auto" w:fill="auto"/>
            <w:vAlign w:val="bottom"/>
          </w:tcPr>
          <w:p w14:paraId="72A69C10" w14:textId="14482E9D" w:rsidR="00566EA9" w:rsidRPr="001D41EA" w:rsidRDefault="00566EA9" w:rsidP="001D41EA">
            <w:pPr>
              <w:spacing w:before="40" w:after="40"/>
              <w:jc w:val="center"/>
              <w:rPr>
                <w:rFonts w:cs="Arial"/>
                <w:sz w:val="18"/>
                <w:szCs w:val="18"/>
              </w:rPr>
            </w:pPr>
            <w:r w:rsidRPr="001D41EA">
              <w:rPr>
                <w:rFonts w:cs="Arial"/>
                <w:sz w:val="18"/>
                <w:szCs w:val="18"/>
              </w:rPr>
              <w:t>0.932</w:t>
            </w:r>
          </w:p>
        </w:tc>
        <w:tc>
          <w:tcPr>
            <w:tcW w:w="1134" w:type="dxa"/>
            <w:tcBorders>
              <w:top w:val="nil"/>
              <w:left w:val="nil"/>
              <w:bottom w:val="nil"/>
              <w:right w:val="nil"/>
            </w:tcBorders>
            <w:vAlign w:val="bottom"/>
          </w:tcPr>
          <w:p w14:paraId="7CBE0174" w14:textId="303109C3" w:rsidR="00566EA9" w:rsidRPr="001D41EA" w:rsidRDefault="00566EA9" w:rsidP="001D41EA">
            <w:pPr>
              <w:spacing w:before="40" w:after="40"/>
              <w:jc w:val="center"/>
              <w:rPr>
                <w:rFonts w:cs="Arial"/>
                <w:sz w:val="18"/>
                <w:szCs w:val="18"/>
              </w:rPr>
            </w:pPr>
            <w:r w:rsidRPr="001D41EA">
              <w:rPr>
                <w:rFonts w:cs="Arial"/>
                <w:sz w:val="18"/>
                <w:szCs w:val="18"/>
              </w:rPr>
              <w:t>0.929</w:t>
            </w:r>
          </w:p>
        </w:tc>
        <w:tc>
          <w:tcPr>
            <w:tcW w:w="170" w:type="dxa"/>
            <w:tcBorders>
              <w:top w:val="nil"/>
              <w:left w:val="nil"/>
              <w:bottom w:val="nil"/>
              <w:right w:val="nil"/>
            </w:tcBorders>
            <w:vAlign w:val="bottom"/>
          </w:tcPr>
          <w:p w14:paraId="204AB1DC" w14:textId="3DA49AD5"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6C95FBFE" w14:textId="645057AD" w:rsidR="00566EA9" w:rsidRPr="001D41EA" w:rsidRDefault="00566EA9" w:rsidP="001D41EA">
            <w:pPr>
              <w:spacing w:before="40" w:after="40"/>
              <w:jc w:val="center"/>
              <w:rPr>
                <w:rFonts w:cs="Arial"/>
                <w:sz w:val="18"/>
                <w:szCs w:val="18"/>
              </w:rPr>
            </w:pPr>
            <w:r w:rsidRPr="001D41EA">
              <w:rPr>
                <w:rFonts w:cs="Arial"/>
                <w:sz w:val="18"/>
                <w:szCs w:val="18"/>
              </w:rPr>
              <w:t>0.962</w:t>
            </w:r>
          </w:p>
        </w:tc>
        <w:tc>
          <w:tcPr>
            <w:tcW w:w="1134" w:type="dxa"/>
            <w:tcBorders>
              <w:top w:val="nil"/>
              <w:left w:val="nil"/>
              <w:bottom w:val="nil"/>
              <w:right w:val="nil"/>
            </w:tcBorders>
            <w:vAlign w:val="bottom"/>
          </w:tcPr>
          <w:p w14:paraId="50F12C85" w14:textId="79407FE1" w:rsidR="00566EA9" w:rsidRPr="001D41EA" w:rsidRDefault="00566EA9" w:rsidP="001D41EA">
            <w:pPr>
              <w:spacing w:before="40" w:after="40"/>
              <w:jc w:val="center"/>
              <w:rPr>
                <w:rFonts w:cs="Arial"/>
                <w:sz w:val="18"/>
                <w:szCs w:val="18"/>
              </w:rPr>
            </w:pPr>
            <w:r w:rsidRPr="001D41EA">
              <w:rPr>
                <w:rFonts w:cs="Arial"/>
                <w:sz w:val="18"/>
                <w:szCs w:val="18"/>
              </w:rPr>
              <w:t>0.969</w:t>
            </w:r>
          </w:p>
        </w:tc>
        <w:tc>
          <w:tcPr>
            <w:tcW w:w="1134" w:type="dxa"/>
            <w:tcBorders>
              <w:top w:val="nil"/>
              <w:left w:val="nil"/>
              <w:bottom w:val="nil"/>
              <w:right w:val="nil"/>
            </w:tcBorders>
            <w:vAlign w:val="bottom"/>
          </w:tcPr>
          <w:p w14:paraId="41BAE89E" w14:textId="3A76DA7E" w:rsidR="00566EA9" w:rsidRPr="001D41EA" w:rsidRDefault="00566EA9" w:rsidP="001D41EA">
            <w:pPr>
              <w:spacing w:before="40" w:after="40"/>
              <w:jc w:val="center"/>
              <w:rPr>
                <w:rFonts w:cs="Arial"/>
                <w:sz w:val="18"/>
                <w:szCs w:val="18"/>
              </w:rPr>
            </w:pPr>
            <w:r w:rsidRPr="001D41EA">
              <w:rPr>
                <w:rFonts w:cs="Arial"/>
                <w:sz w:val="18"/>
                <w:szCs w:val="18"/>
              </w:rPr>
              <w:t>0.964</w:t>
            </w:r>
          </w:p>
        </w:tc>
        <w:tc>
          <w:tcPr>
            <w:tcW w:w="1134" w:type="dxa"/>
            <w:tcBorders>
              <w:top w:val="nil"/>
              <w:left w:val="nil"/>
              <w:bottom w:val="nil"/>
              <w:right w:val="nil"/>
            </w:tcBorders>
            <w:vAlign w:val="bottom"/>
          </w:tcPr>
          <w:p w14:paraId="4F45BDDC" w14:textId="7CA8E212" w:rsidR="00566EA9" w:rsidRPr="001D41EA" w:rsidRDefault="00566EA9" w:rsidP="001D41EA">
            <w:pPr>
              <w:spacing w:before="40" w:after="40"/>
              <w:jc w:val="center"/>
              <w:rPr>
                <w:rFonts w:cs="Arial"/>
                <w:sz w:val="18"/>
                <w:szCs w:val="18"/>
              </w:rPr>
            </w:pPr>
            <w:r w:rsidRPr="001D41EA">
              <w:rPr>
                <w:rFonts w:cs="Arial"/>
                <w:sz w:val="18"/>
                <w:szCs w:val="18"/>
              </w:rPr>
              <w:t>0.983</w:t>
            </w:r>
          </w:p>
        </w:tc>
      </w:tr>
      <w:tr w:rsidR="00566EA9" w:rsidRPr="001D41EA" w14:paraId="7F3FC44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82A5978" w14:textId="77777777" w:rsidR="00566EA9" w:rsidRPr="001D41EA" w:rsidRDefault="00566EA9" w:rsidP="001D41EA">
            <w:pPr>
              <w:spacing w:before="40" w:after="40"/>
              <w:rPr>
                <w:rFonts w:cs="Arial"/>
                <w:sz w:val="18"/>
                <w:szCs w:val="18"/>
              </w:rPr>
            </w:pPr>
            <w:r w:rsidRPr="001D41EA">
              <w:rPr>
                <w:rFonts w:cs="Arial"/>
                <w:sz w:val="18"/>
                <w:szCs w:val="18"/>
              </w:rPr>
              <w:t>Latrobe C</w:t>
            </w:r>
          </w:p>
        </w:tc>
        <w:tc>
          <w:tcPr>
            <w:tcW w:w="1134" w:type="dxa"/>
            <w:tcBorders>
              <w:top w:val="nil"/>
              <w:left w:val="single" w:sz="18" w:space="0" w:color="5F497A" w:themeColor="accent4" w:themeShade="BF"/>
              <w:bottom w:val="nil"/>
              <w:right w:val="nil"/>
            </w:tcBorders>
            <w:shd w:val="clear" w:color="auto" w:fill="auto"/>
            <w:vAlign w:val="bottom"/>
          </w:tcPr>
          <w:p w14:paraId="5BB6FF59" w14:textId="75F5C59F" w:rsidR="00566EA9" w:rsidRPr="001D41EA" w:rsidRDefault="00566EA9" w:rsidP="001D41EA">
            <w:pPr>
              <w:spacing w:before="40" w:after="40"/>
              <w:jc w:val="center"/>
              <w:rPr>
                <w:rFonts w:cs="Arial"/>
                <w:sz w:val="18"/>
                <w:szCs w:val="18"/>
              </w:rPr>
            </w:pPr>
            <w:r w:rsidRPr="001D41EA">
              <w:rPr>
                <w:rFonts w:cs="Arial"/>
                <w:sz w:val="18"/>
                <w:szCs w:val="18"/>
              </w:rPr>
              <w:t>1.183</w:t>
            </w:r>
          </w:p>
        </w:tc>
        <w:tc>
          <w:tcPr>
            <w:tcW w:w="1134" w:type="dxa"/>
            <w:tcBorders>
              <w:top w:val="nil"/>
              <w:left w:val="nil"/>
              <w:bottom w:val="nil"/>
              <w:right w:val="nil"/>
            </w:tcBorders>
            <w:vAlign w:val="bottom"/>
          </w:tcPr>
          <w:p w14:paraId="166EE05C" w14:textId="70AB52FB" w:rsidR="00566EA9" w:rsidRPr="001D41EA" w:rsidRDefault="00566EA9" w:rsidP="001D41EA">
            <w:pPr>
              <w:spacing w:before="40" w:after="40"/>
              <w:jc w:val="center"/>
              <w:rPr>
                <w:rFonts w:cs="Arial"/>
                <w:sz w:val="18"/>
                <w:szCs w:val="18"/>
              </w:rPr>
            </w:pPr>
            <w:r w:rsidRPr="001D41EA">
              <w:rPr>
                <w:rFonts w:cs="Arial"/>
                <w:sz w:val="18"/>
                <w:szCs w:val="18"/>
              </w:rPr>
              <w:t>1.179</w:t>
            </w:r>
          </w:p>
        </w:tc>
        <w:tc>
          <w:tcPr>
            <w:tcW w:w="170" w:type="dxa"/>
            <w:tcBorders>
              <w:top w:val="nil"/>
              <w:left w:val="nil"/>
              <w:bottom w:val="nil"/>
              <w:right w:val="nil"/>
            </w:tcBorders>
            <w:vAlign w:val="bottom"/>
          </w:tcPr>
          <w:p w14:paraId="36A1F9E5" w14:textId="6ED4B784"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7EFCA32D" w14:textId="779B4883" w:rsidR="00566EA9" w:rsidRPr="001D41EA" w:rsidRDefault="00566EA9" w:rsidP="001D41EA">
            <w:pPr>
              <w:spacing w:before="40" w:after="40"/>
              <w:jc w:val="center"/>
              <w:rPr>
                <w:rFonts w:cs="Arial"/>
                <w:sz w:val="18"/>
                <w:szCs w:val="18"/>
              </w:rPr>
            </w:pPr>
            <w:r w:rsidRPr="001D41EA">
              <w:rPr>
                <w:rFonts w:cs="Arial"/>
                <w:sz w:val="18"/>
                <w:szCs w:val="18"/>
              </w:rPr>
              <w:t>0.823</w:t>
            </w:r>
          </w:p>
        </w:tc>
        <w:tc>
          <w:tcPr>
            <w:tcW w:w="1134" w:type="dxa"/>
            <w:tcBorders>
              <w:top w:val="nil"/>
              <w:left w:val="nil"/>
              <w:bottom w:val="nil"/>
              <w:right w:val="nil"/>
            </w:tcBorders>
            <w:vAlign w:val="bottom"/>
          </w:tcPr>
          <w:p w14:paraId="3D0CDF26" w14:textId="1B39C7FF" w:rsidR="00566EA9" w:rsidRPr="001D41EA" w:rsidRDefault="00566EA9" w:rsidP="001D41EA">
            <w:pPr>
              <w:spacing w:before="40" w:after="40"/>
              <w:jc w:val="center"/>
              <w:rPr>
                <w:rFonts w:cs="Arial"/>
                <w:sz w:val="18"/>
                <w:szCs w:val="18"/>
              </w:rPr>
            </w:pPr>
            <w:r w:rsidRPr="001D41EA">
              <w:rPr>
                <w:rFonts w:cs="Arial"/>
                <w:sz w:val="18"/>
                <w:szCs w:val="18"/>
              </w:rPr>
              <w:t>0.829</w:t>
            </w:r>
          </w:p>
        </w:tc>
        <w:tc>
          <w:tcPr>
            <w:tcW w:w="1134" w:type="dxa"/>
            <w:tcBorders>
              <w:top w:val="nil"/>
              <w:left w:val="nil"/>
              <w:bottom w:val="nil"/>
              <w:right w:val="nil"/>
            </w:tcBorders>
            <w:vAlign w:val="bottom"/>
          </w:tcPr>
          <w:p w14:paraId="122B62D4" w14:textId="12BA459A" w:rsidR="00566EA9" w:rsidRPr="001D41EA" w:rsidRDefault="00566EA9" w:rsidP="001D41EA">
            <w:pPr>
              <w:spacing w:before="40" w:after="40"/>
              <w:jc w:val="center"/>
              <w:rPr>
                <w:rFonts w:cs="Arial"/>
                <w:sz w:val="18"/>
                <w:szCs w:val="18"/>
              </w:rPr>
            </w:pPr>
            <w:r w:rsidRPr="001D41EA">
              <w:rPr>
                <w:rFonts w:cs="Arial"/>
                <w:sz w:val="18"/>
                <w:szCs w:val="18"/>
              </w:rPr>
              <w:t>0.825</w:t>
            </w:r>
          </w:p>
        </w:tc>
        <w:tc>
          <w:tcPr>
            <w:tcW w:w="1134" w:type="dxa"/>
            <w:tcBorders>
              <w:top w:val="nil"/>
              <w:left w:val="nil"/>
              <w:bottom w:val="nil"/>
              <w:right w:val="nil"/>
            </w:tcBorders>
            <w:vAlign w:val="bottom"/>
          </w:tcPr>
          <w:p w14:paraId="31D97A90" w14:textId="0F0CCEC2" w:rsidR="00566EA9" w:rsidRPr="001D41EA" w:rsidRDefault="00566EA9" w:rsidP="001D41EA">
            <w:pPr>
              <w:spacing w:before="40" w:after="40"/>
              <w:jc w:val="center"/>
              <w:rPr>
                <w:rFonts w:cs="Arial"/>
                <w:sz w:val="18"/>
                <w:szCs w:val="18"/>
              </w:rPr>
            </w:pPr>
            <w:r w:rsidRPr="001D41EA">
              <w:rPr>
                <w:rFonts w:cs="Arial"/>
                <w:sz w:val="18"/>
                <w:szCs w:val="18"/>
              </w:rPr>
              <w:t>0.841</w:t>
            </w:r>
          </w:p>
        </w:tc>
      </w:tr>
      <w:tr w:rsidR="00566EA9" w:rsidRPr="001D41EA" w14:paraId="7CDCA3F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C5982BA" w14:textId="77777777" w:rsidR="00566EA9" w:rsidRPr="001D41EA" w:rsidRDefault="00566EA9" w:rsidP="001D41EA">
            <w:pPr>
              <w:spacing w:before="40" w:after="40"/>
              <w:rPr>
                <w:rFonts w:cs="Arial"/>
                <w:sz w:val="18"/>
                <w:szCs w:val="18"/>
              </w:rPr>
            </w:pPr>
            <w:r w:rsidRPr="001D41EA">
              <w:rPr>
                <w:rFonts w:cs="Arial"/>
                <w:sz w:val="18"/>
                <w:szCs w:val="18"/>
              </w:rPr>
              <w:t>Loddon S</w:t>
            </w:r>
          </w:p>
        </w:tc>
        <w:tc>
          <w:tcPr>
            <w:tcW w:w="1134" w:type="dxa"/>
            <w:tcBorders>
              <w:top w:val="nil"/>
              <w:left w:val="single" w:sz="18" w:space="0" w:color="5F497A" w:themeColor="accent4" w:themeShade="BF"/>
              <w:bottom w:val="nil"/>
              <w:right w:val="nil"/>
            </w:tcBorders>
            <w:shd w:val="clear" w:color="auto" w:fill="auto"/>
            <w:vAlign w:val="bottom"/>
          </w:tcPr>
          <w:p w14:paraId="20F8F68F" w14:textId="7964A996" w:rsidR="00566EA9" w:rsidRPr="001D41EA" w:rsidRDefault="00566EA9" w:rsidP="001D41EA">
            <w:pPr>
              <w:spacing w:before="40" w:after="40"/>
              <w:jc w:val="center"/>
              <w:rPr>
                <w:rFonts w:cs="Arial"/>
                <w:sz w:val="18"/>
                <w:szCs w:val="18"/>
              </w:rPr>
            </w:pPr>
            <w:r w:rsidRPr="001D41EA">
              <w:rPr>
                <w:rFonts w:cs="Arial"/>
                <w:sz w:val="18"/>
                <w:szCs w:val="18"/>
              </w:rPr>
              <w:t>1.153</w:t>
            </w:r>
          </w:p>
        </w:tc>
        <w:tc>
          <w:tcPr>
            <w:tcW w:w="1134" w:type="dxa"/>
            <w:tcBorders>
              <w:top w:val="nil"/>
              <w:left w:val="nil"/>
              <w:bottom w:val="nil"/>
              <w:right w:val="nil"/>
            </w:tcBorders>
            <w:vAlign w:val="bottom"/>
          </w:tcPr>
          <w:p w14:paraId="0A178F63" w14:textId="25CAD9C7" w:rsidR="00566EA9" w:rsidRPr="001D41EA" w:rsidRDefault="00566EA9" w:rsidP="001D41EA">
            <w:pPr>
              <w:spacing w:before="40" w:after="40"/>
              <w:jc w:val="center"/>
              <w:rPr>
                <w:rFonts w:cs="Arial"/>
                <w:sz w:val="18"/>
                <w:szCs w:val="18"/>
              </w:rPr>
            </w:pPr>
            <w:r w:rsidRPr="001D41EA">
              <w:rPr>
                <w:rFonts w:cs="Arial"/>
                <w:sz w:val="18"/>
                <w:szCs w:val="18"/>
              </w:rPr>
              <w:t>1.150</w:t>
            </w:r>
          </w:p>
        </w:tc>
        <w:tc>
          <w:tcPr>
            <w:tcW w:w="170" w:type="dxa"/>
            <w:tcBorders>
              <w:top w:val="nil"/>
              <w:left w:val="nil"/>
              <w:bottom w:val="nil"/>
              <w:right w:val="nil"/>
            </w:tcBorders>
            <w:vAlign w:val="bottom"/>
          </w:tcPr>
          <w:p w14:paraId="44E48EB9" w14:textId="7191307F"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F442D2C" w14:textId="72116B8D" w:rsidR="00566EA9" w:rsidRPr="001D41EA" w:rsidRDefault="00566EA9" w:rsidP="001D41EA">
            <w:pPr>
              <w:spacing w:before="40" w:after="40"/>
              <w:jc w:val="center"/>
              <w:rPr>
                <w:rFonts w:cs="Arial"/>
                <w:sz w:val="18"/>
                <w:szCs w:val="18"/>
              </w:rPr>
            </w:pPr>
            <w:r w:rsidRPr="001D41EA">
              <w:rPr>
                <w:rFonts w:cs="Arial"/>
                <w:sz w:val="18"/>
                <w:szCs w:val="18"/>
              </w:rPr>
              <w:t>0.795</w:t>
            </w:r>
          </w:p>
        </w:tc>
        <w:tc>
          <w:tcPr>
            <w:tcW w:w="1134" w:type="dxa"/>
            <w:tcBorders>
              <w:top w:val="nil"/>
              <w:left w:val="nil"/>
              <w:bottom w:val="nil"/>
              <w:right w:val="nil"/>
            </w:tcBorders>
            <w:vAlign w:val="bottom"/>
          </w:tcPr>
          <w:p w14:paraId="45859BEB" w14:textId="2157EC45" w:rsidR="00566EA9" w:rsidRPr="001D41EA" w:rsidRDefault="00566EA9" w:rsidP="001D41EA">
            <w:pPr>
              <w:spacing w:before="40" w:after="40"/>
              <w:jc w:val="center"/>
              <w:rPr>
                <w:rFonts w:cs="Arial"/>
                <w:sz w:val="18"/>
                <w:szCs w:val="18"/>
              </w:rPr>
            </w:pPr>
            <w:r w:rsidRPr="001D41EA">
              <w:rPr>
                <w:rFonts w:cs="Arial"/>
                <w:sz w:val="18"/>
                <w:szCs w:val="18"/>
              </w:rPr>
              <w:t>0.802</w:t>
            </w:r>
          </w:p>
        </w:tc>
        <w:tc>
          <w:tcPr>
            <w:tcW w:w="1134" w:type="dxa"/>
            <w:tcBorders>
              <w:top w:val="nil"/>
              <w:left w:val="nil"/>
              <w:bottom w:val="nil"/>
              <w:right w:val="nil"/>
            </w:tcBorders>
            <w:vAlign w:val="bottom"/>
          </w:tcPr>
          <w:p w14:paraId="00D6F70A" w14:textId="450FEA35" w:rsidR="00566EA9" w:rsidRPr="001D41EA" w:rsidRDefault="00566EA9" w:rsidP="001D41EA">
            <w:pPr>
              <w:spacing w:before="40" w:after="40"/>
              <w:jc w:val="center"/>
              <w:rPr>
                <w:rFonts w:cs="Arial"/>
                <w:sz w:val="18"/>
                <w:szCs w:val="18"/>
              </w:rPr>
            </w:pPr>
            <w:r w:rsidRPr="001D41EA">
              <w:rPr>
                <w:rFonts w:cs="Arial"/>
                <w:sz w:val="18"/>
                <w:szCs w:val="18"/>
              </w:rPr>
              <w:t>0.797</w:t>
            </w:r>
          </w:p>
        </w:tc>
        <w:tc>
          <w:tcPr>
            <w:tcW w:w="1134" w:type="dxa"/>
            <w:tcBorders>
              <w:top w:val="nil"/>
              <w:left w:val="nil"/>
              <w:bottom w:val="nil"/>
              <w:right w:val="nil"/>
            </w:tcBorders>
            <w:vAlign w:val="bottom"/>
          </w:tcPr>
          <w:p w14:paraId="31BB6349" w14:textId="0E98D69D" w:rsidR="00566EA9" w:rsidRPr="001D41EA" w:rsidRDefault="00566EA9" w:rsidP="001D41EA">
            <w:pPr>
              <w:spacing w:before="40" w:after="40"/>
              <w:jc w:val="center"/>
              <w:rPr>
                <w:rFonts w:cs="Arial"/>
                <w:sz w:val="18"/>
                <w:szCs w:val="18"/>
              </w:rPr>
            </w:pPr>
            <w:r w:rsidRPr="001D41EA">
              <w:rPr>
                <w:rFonts w:cs="Arial"/>
                <w:sz w:val="18"/>
                <w:szCs w:val="18"/>
              </w:rPr>
              <w:t>0.813</w:t>
            </w:r>
          </w:p>
        </w:tc>
      </w:tr>
    </w:tbl>
    <w:p w14:paraId="378BEACA" w14:textId="4BC9B6E7" w:rsidR="00842FFB" w:rsidRPr="00A44829" w:rsidRDefault="00842FFB" w:rsidP="00FF36E8">
      <w:pPr>
        <w:spacing w:before="40" w:after="20"/>
        <w:rPr>
          <w:rFonts w:cs="Arial"/>
          <w:sz w:val="18"/>
          <w:szCs w:val="18"/>
        </w:rPr>
      </w:pPr>
    </w:p>
    <w:p w14:paraId="147A977C" w14:textId="68A1B87B" w:rsidR="00A009D7" w:rsidRPr="00A44829" w:rsidRDefault="00A009D7" w:rsidP="00FF36E8">
      <w:pPr>
        <w:spacing w:before="40" w:after="20"/>
        <w:rPr>
          <w:rFonts w:cs="Arial"/>
          <w:sz w:val="18"/>
          <w:szCs w:val="18"/>
        </w:rPr>
      </w:pPr>
      <w:r w:rsidRPr="005D19CF">
        <w:rPr>
          <w:rFonts w:cs="Arial"/>
          <w:i/>
          <w:sz w:val="16"/>
          <w:szCs w:val="16"/>
        </w:rPr>
        <w:t xml:space="preserve">* Modified Population - adjusted by </w:t>
      </w:r>
      <w:r w:rsidR="005D19CF">
        <w:rPr>
          <w:rFonts w:cs="Arial"/>
          <w:i/>
          <w:sz w:val="16"/>
          <w:szCs w:val="16"/>
        </w:rPr>
        <w:t>half</w:t>
      </w:r>
      <w:r w:rsidRPr="005D19CF">
        <w:rPr>
          <w:rFonts w:cs="Arial"/>
          <w:i/>
          <w:sz w:val="16"/>
          <w:szCs w:val="16"/>
        </w:rPr>
        <w:t xml:space="preserve"> vacancy rate to take account of part-time residents.</w:t>
      </w:r>
      <w:r w:rsidRPr="00A44829">
        <w:rPr>
          <w:rFonts w:cs="Arial"/>
          <w:i/>
          <w:sz w:val="16"/>
          <w:szCs w:val="16"/>
        </w:rPr>
        <w:t xml:space="preserve">  </w:t>
      </w:r>
    </w:p>
    <w:p w14:paraId="0DBB251F" w14:textId="77777777" w:rsidR="00961975" w:rsidRPr="00A44829" w:rsidRDefault="00961975" w:rsidP="00FF36E8">
      <w:pPr>
        <w:spacing w:before="40" w:after="20"/>
        <w:rPr>
          <w:rFonts w:cs="Arial"/>
          <w:sz w:val="18"/>
          <w:szCs w:val="18"/>
        </w:rPr>
      </w:pPr>
      <w:r w:rsidRPr="00A44829">
        <w:rPr>
          <w:rFonts w:cs="Arial"/>
          <w:sz w:val="18"/>
          <w:szCs w:val="18"/>
        </w:rPr>
        <w:br w:type="page"/>
      </w:r>
    </w:p>
    <w:p w14:paraId="5F8BD2A7" w14:textId="4B08DE8F" w:rsidR="00961975" w:rsidRPr="00A44829" w:rsidRDefault="00CE4507" w:rsidP="00C33713">
      <w:pPr>
        <w:pStyle w:val="VGC-Head10"/>
      </w:pPr>
      <w:r w:rsidRPr="00A44829">
        <w:lastRenderedPageBreak/>
        <w:t>Appendix 4</w:t>
      </w:r>
      <w:r w:rsidR="00961975" w:rsidRPr="00A44829">
        <w:tab/>
      </w:r>
      <w:r w:rsidR="00EE4593" w:rsidRPr="00A44829">
        <w:t>2019-20</w:t>
      </w:r>
      <w:r w:rsidR="00A97ABE" w:rsidRPr="00A44829">
        <w:t xml:space="preserve"> </w:t>
      </w:r>
      <w:r w:rsidR="00961975" w:rsidRPr="00A44829">
        <w:t xml:space="preserve">General Purpose Grants </w:t>
      </w:r>
    </w:p>
    <w:p w14:paraId="121D39F2" w14:textId="35D10B85" w:rsidR="00961975" w:rsidRPr="00A44829" w:rsidRDefault="00961975" w:rsidP="008C1A28">
      <w:pPr>
        <w:pStyle w:val="VGC-Head2"/>
      </w:pPr>
      <w:r w:rsidRPr="00A44829">
        <w:t xml:space="preserve">D.  Cost Adjustors - </w:t>
      </w:r>
      <w:r w:rsidR="002A2397">
        <w:t>Index</w:t>
      </w:r>
    </w:p>
    <w:p w14:paraId="0644B443" w14:textId="77777777" w:rsidR="00DA542E" w:rsidRPr="00A44829" w:rsidRDefault="00DA542E" w:rsidP="00FF36E8">
      <w:pPr>
        <w:spacing w:before="40" w:after="20"/>
        <w:rPr>
          <w:rFonts w:cs="Arial"/>
          <w:sz w:val="18"/>
          <w:szCs w:val="18"/>
        </w:rPr>
      </w:pPr>
    </w:p>
    <w:p w14:paraId="14C41C6C" w14:textId="77777777" w:rsidR="00001707" w:rsidRPr="00A44829" w:rsidRDefault="00001707"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A009D7" w:rsidRPr="00A44829" w14:paraId="36399E15" w14:textId="77777777" w:rsidTr="00A66703">
        <w:tc>
          <w:tcPr>
            <w:tcW w:w="2268" w:type="dxa"/>
            <w:tcBorders>
              <w:top w:val="nil"/>
              <w:left w:val="nil"/>
              <w:bottom w:val="nil"/>
              <w:right w:val="single" w:sz="18" w:space="0" w:color="5F497A" w:themeColor="accent4" w:themeShade="BF"/>
            </w:tcBorders>
            <w:shd w:val="clear" w:color="auto" w:fill="auto"/>
            <w:vAlign w:val="bottom"/>
          </w:tcPr>
          <w:p w14:paraId="428329E9" w14:textId="77777777" w:rsidR="00A009D7" w:rsidRPr="00A44829" w:rsidRDefault="00A009D7" w:rsidP="00A009D7">
            <w:pPr>
              <w:spacing w:before="40" w:after="20"/>
              <w:ind w:right="105"/>
              <w:jc w:val="right"/>
              <w:rPr>
                <w:rFonts w:cs="Arial"/>
                <w:b/>
                <w:sz w:val="18"/>
                <w:szCs w:val="18"/>
              </w:rPr>
            </w:pPr>
            <w:r w:rsidRPr="00A44829">
              <w:rPr>
                <w:rFonts w:cs="Arial"/>
                <w:b/>
                <w:sz w:val="18"/>
                <w:szCs w:val="18"/>
              </w:rPr>
              <w:t>Cost Adjustor</w:t>
            </w:r>
          </w:p>
        </w:tc>
        <w:tc>
          <w:tcPr>
            <w:tcW w:w="6804" w:type="dxa"/>
            <w:gridSpan w:val="6"/>
            <w:tcBorders>
              <w:top w:val="nil"/>
              <w:left w:val="single" w:sz="18" w:space="0" w:color="5F497A" w:themeColor="accent4" w:themeShade="BF"/>
              <w:bottom w:val="single" w:sz="8" w:space="0" w:color="5F497A" w:themeColor="accent4" w:themeShade="BF"/>
            </w:tcBorders>
            <w:vAlign w:val="bottom"/>
          </w:tcPr>
          <w:p w14:paraId="3CEB9ED8" w14:textId="71EB21C4" w:rsidR="00A009D7" w:rsidRPr="00A44829" w:rsidRDefault="00A009D7" w:rsidP="00A009D7">
            <w:pPr>
              <w:spacing w:before="40" w:after="20"/>
              <w:jc w:val="center"/>
              <w:rPr>
                <w:rFonts w:cs="Arial"/>
                <w:b/>
                <w:sz w:val="18"/>
                <w:szCs w:val="18"/>
              </w:rPr>
            </w:pPr>
            <w:r w:rsidRPr="00A44829">
              <w:rPr>
                <w:rFonts w:cs="Arial"/>
                <w:b/>
                <w:sz w:val="18"/>
                <w:szCs w:val="18"/>
              </w:rPr>
              <w:t>Population Dispersion</w:t>
            </w:r>
          </w:p>
        </w:tc>
      </w:tr>
      <w:tr w:rsidR="00A009D7" w:rsidRPr="00A44829" w14:paraId="01D5841F" w14:textId="77777777" w:rsidTr="00A009D7">
        <w:tc>
          <w:tcPr>
            <w:tcW w:w="2268" w:type="dxa"/>
            <w:tcBorders>
              <w:top w:val="nil"/>
              <w:left w:val="nil"/>
              <w:bottom w:val="nil"/>
              <w:right w:val="single" w:sz="18" w:space="0" w:color="5F497A" w:themeColor="accent4" w:themeShade="BF"/>
            </w:tcBorders>
            <w:shd w:val="clear" w:color="auto" w:fill="auto"/>
            <w:vAlign w:val="bottom"/>
          </w:tcPr>
          <w:p w14:paraId="5B726EC2" w14:textId="77777777" w:rsidR="00A009D7" w:rsidRPr="005D19CF" w:rsidRDefault="00A009D7" w:rsidP="00576338">
            <w:pPr>
              <w:spacing w:before="40" w:after="20"/>
              <w:ind w:right="105"/>
              <w:jc w:val="right"/>
              <w:rPr>
                <w:rFonts w:cs="Arial"/>
                <w:b/>
                <w:sz w:val="16"/>
                <w:szCs w:val="16"/>
              </w:rPr>
            </w:pPr>
            <w:r w:rsidRPr="005D19CF">
              <w:rPr>
                <w:rFonts w:cs="Arial"/>
                <w:b/>
                <w:sz w:val="16"/>
                <w:szCs w:val="16"/>
              </w:rPr>
              <w:t>Major Cost Driver</w:t>
            </w: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500FEE3B" w14:textId="77777777" w:rsidR="00A009D7" w:rsidRPr="005D19CF" w:rsidRDefault="00A009D7" w:rsidP="008001AD">
            <w:pPr>
              <w:spacing w:before="40" w:after="20"/>
              <w:jc w:val="center"/>
              <w:rPr>
                <w:rFonts w:cs="Arial"/>
                <w:sz w:val="16"/>
                <w:szCs w:val="16"/>
              </w:rPr>
            </w:pPr>
            <w:r w:rsidRPr="005D19CF">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E331A8A" w14:textId="12558D55" w:rsidR="00A009D7" w:rsidRPr="005D19CF" w:rsidRDefault="00A009D7" w:rsidP="005D04BF">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15,000)</w:t>
            </w: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598DD016" w14:textId="7A7682A7" w:rsidR="00A009D7" w:rsidRPr="005D19CF" w:rsidRDefault="00A009D7" w:rsidP="005D04BF">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20,000)</w:t>
            </w:r>
          </w:p>
        </w:tc>
        <w:tc>
          <w:tcPr>
            <w:tcW w:w="1134" w:type="dxa"/>
            <w:tcBorders>
              <w:top w:val="single" w:sz="8" w:space="0" w:color="5F497A" w:themeColor="accent4" w:themeShade="BF"/>
              <w:left w:val="nil"/>
              <w:bottom w:val="single" w:sz="8" w:space="0" w:color="5F497A" w:themeColor="accent4" w:themeShade="BF"/>
              <w:right w:val="nil"/>
            </w:tcBorders>
          </w:tcPr>
          <w:p w14:paraId="7C185CBF" w14:textId="290431C7" w:rsidR="00A009D7" w:rsidRPr="005D19CF" w:rsidRDefault="00A009D7" w:rsidP="008001AD">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(no min)</w:t>
            </w: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3074BF6C" w14:textId="75348D29" w:rsidR="00A009D7" w:rsidRPr="005D19CF" w:rsidRDefault="00A009D7" w:rsidP="008001AD">
            <w:pPr>
              <w:spacing w:before="40" w:after="20"/>
              <w:jc w:val="center"/>
              <w:rPr>
                <w:rFonts w:cs="Arial"/>
                <w:sz w:val="16"/>
                <w:szCs w:val="16"/>
              </w:rPr>
            </w:pPr>
            <w:r w:rsidRPr="005D19CF">
              <w:rPr>
                <w:rFonts w:cs="Arial"/>
                <w:sz w:val="16"/>
                <w:szCs w:val="16"/>
              </w:rPr>
              <w:t xml:space="preserve">Population </w:t>
            </w:r>
            <w:r w:rsidRPr="005D19CF">
              <w:rPr>
                <w:rFonts w:cs="Arial"/>
                <w:sz w:val="16"/>
                <w:szCs w:val="16"/>
              </w:rPr>
              <w:br/>
              <w:t>&gt; 60 years</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9E06D80" w14:textId="77777777" w:rsidR="00A009D7" w:rsidRPr="00A44829" w:rsidRDefault="00A009D7" w:rsidP="008001AD">
            <w:pPr>
              <w:spacing w:before="40" w:after="20"/>
              <w:jc w:val="center"/>
              <w:rPr>
                <w:rFonts w:cs="Arial"/>
                <w:sz w:val="16"/>
                <w:szCs w:val="16"/>
              </w:rPr>
            </w:pPr>
            <w:r w:rsidRPr="005D19CF">
              <w:rPr>
                <w:rFonts w:cs="Arial"/>
                <w:sz w:val="16"/>
                <w:szCs w:val="16"/>
              </w:rPr>
              <w:t xml:space="preserve">No. of </w:t>
            </w:r>
            <w:r w:rsidRPr="005D19CF">
              <w:rPr>
                <w:rFonts w:cs="Arial"/>
                <w:sz w:val="16"/>
                <w:szCs w:val="16"/>
              </w:rPr>
              <w:br/>
              <w:t>Dwellings</w:t>
            </w:r>
          </w:p>
        </w:tc>
      </w:tr>
      <w:tr w:rsidR="00566EA9" w:rsidRPr="001D41EA" w14:paraId="20C3F8B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73A4AB6" w14:textId="77777777" w:rsidR="00566EA9" w:rsidRPr="001D41EA" w:rsidRDefault="00566EA9" w:rsidP="001D41EA">
            <w:pPr>
              <w:spacing w:before="40" w:after="4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25123D4" w14:textId="30C251FC"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4DD84239" w14:textId="29D004C5"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7C71661C" w14:textId="2C53B356"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3325516B" w14:textId="2213C5CF"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25674579" w14:textId="6B984853"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05E0EBD5" w14:textId="4C1B85D9" w:rsidR="00566EA9" w:rsidRPr="001D41EA" w:rsidRDefault="00566EA9" w:rsidP="001D41EA">
            <w:pPr>
              <w:spacing w:before="40" w:after="40"/>
              <w:jc w:val="center"/>
              <w:rPr>
                <w:rFonts w:cs="Arial"/>
                <w:sz w:val="18"/>
                <w:szCs w:val="18"/>
              </w:rPr>
            </w:pPr>
          </w:p>
        </w:tc>
      </w:tr>
      <w:tr w:rsidR="00566EA9" w:rsidRPr="001D41EA" w14:paraId="4AA0F9A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9283528" w14:textId="77777777" w:rsidR="00566EA9" w:rsidRPr="001D41EA" w:rsidRDefault="00566EA9" w:rsidP="001D41EA">
            <w:pPr>
              <w:spacing w:before="40" w:after="40"/>
              <w:rPr>
                <w:rFonts w:cs="Arial"/>
                <w:sz w:val="18"/>
                <w:szCs w:val="18"/>
              </w:rPr>
            </w:pPr>
            <w:r w:rsidRPr="001D41EA">
              <w:rPr>
                <w:rFonts w:cs="Arial"/>
                <w:sz w:val="18"/>
                <w:szCs w:val="18"/>
              </w:rPr>
              <w:t>Alpine S</w:t>
            </w:r>
          </w:p>
        </w:tc>
        <w:tc>
          <w:tcPr>
            <w:tcW w:w="1134" w:type="dxa"/>
            <w:tcBorders>
              <w:top w:val="nil"/>
              <w:left w:val="single" w:sz="18" w:space="0" w:color="5F497A" w:themeColor="accent4" w:themeShade="BF"/>
              <w:bottom w:val="nil"/>
              <w:right w:val="nil"/>
            </w:tcBorders>
            <w:shd w:val="clear" w:color="auto" w:fill="auto"/>
            <w:vAlign w:val="bottom"/>
          </w:tcPr>
          <w:p w14:paraId="368C025E" w14:textId="1DD72811" w:rsidR="00566EA9" w:rsidRPr="001D41EA" w:rsidRDefault="00566EA9" w:rsidP="001D41EA">
            <w:pPr>
              <w:spacing w:before="40" w:after="40"/>
              <w:jc w:val="center"/>
              <w:rPr>
                <w:rFonts w:cs="Arial"/>
                <w:sz w:val="18"/>
                <w:szCs w:val="18"/>
              </w:rPr>
            </w:pPr>
            <w:r w:rsidRPr="001D41EA">
              <w:rPr>
                <w:rFonts w:cs="Arial"/>
                <w:sz w:val="18"/>
                <w:szCs w:val="18"/>
              </w:rPr>
              <w:t>1.465</w:t>
            </w:r>
          </w:p>
        </w:tc>
        <w:tc>
          <w:tcPr>
            <w:tcW w:w="1134" w:type="dxa"/>
            <w:tcBorders>
              <w:top w:val="nil"/>
              <w:left w:val="nil"/>
              <w:bottom w:val="nil"/>
              <w:right w:val="nil"/>
            </w:tcBorders>
            <w:shd w:val="clear" w:color="auto" w:fill="auto"/>
            <w:vAlign w:val="bottom"/>
          </w:tcPr>
          <w:p w14:paraId="3443AAE3" w14:textId="6228C64D" w:rsidR="00566EA9" w:rsidRPr="001D41EA" w:rsidRDefault="00566EA9" w:rsidP="001D41EA">
            <w:pPr>
              <w:spacing w:before="40" w:after="40"/>
              <w:jc w:val="center"/>
              <w:rPr>
                <w:rFonts w:cs="Arial"/>
                <w:sz w:val="18"/>
                <w:szCs w:val="18"/>
              </w:rPr>
            </w:pPr>
            <w:r w:rsidRPr="001D41EA">
              <w:rPr>
                <w:rFonts w:cs="Arial"/>
                <w:sz w:val="18"/>
                <w:szCs w:val="18"/>
              </w:rPr>
              <w:t>1.452</w:t>
            </w:r>
          </w:p>
        </w:tc>
        <w:tc>
          <w:tcPr>
            <w:tcW w:w="1134" w:type="dxa"/>
            <w:tcBorders>
              <w:top w:val="nil"/>
              <w:left w:val="nil"/>
              <w:bottom w:val="nil"/>
              <w:right w:val="nil"/>
            </w:tcBorders>
            <w:vAlign w:val="bottom"/>
          </w:tcPr>
          <w:p w14:paraId="22FF9F08" w14:textId="514C65AB" w:rsidR="00566EA9" w:rsidRPr="001D41EA" w:rsidRDefault="00566EA9" w:rsidP="001D41EA">
            <w:pPr>
              <w:spacing w:before="40" w:after="40"/>
              <w:jc w:val="center"/>
              <w:rPr>
                <w:rFonts w:cs="Arial"/>
                <w:sz w:val="18"/>
                <w:szCs w:val="18"/>
              </w:rPr>
            </w:pPr>
            <w:r w:rsidRPr="001D41EA">
              <w:rPr>
                <w:rFonts w:cs="Arial"/>
                <w:sz w:val="18"/>
                <w:szCs w:val="18"/>
              </w:rPr>
              <w:t>1.444</w:t>
            </w:r>
          </w:p>
        </w:tc>
        <w:tc>
          <w:tcPr>
            <w:tcW w:w="1134" w:type="dxa"/>
            <w:tcBorders>
              <w:top w:val="nil"/>
              <w:left w:val="nil"/>
              <w:bottom w:val="nil"/>
              <w:right w:val="nil"/>
            </w:tcBorders>
            <w:vAlign w:val="bottom"/>
          </w:tcPr>
          <w:p w14:paraId="5FF8C58F" w14:textId="7AE527F6" w:rsidR="00566EA9" w:rsidRPr="001D41EA" w:rsidRDefault="00566EA9" w:rsidP="001D41EA">
            <w:pPr>
              <w:spacing w:before="40" w:after="40"/>
              <w:jc w:val="center"/>
              <w:rPr>
                <w:rFonts w:cs="Arial"/>
                <w:sz w:val="18"/>
                <w:szCs w:val="18"/>
              </w:rPr>
            </w:pPr>
            <w:r w:rsidRPr="001D41EA">
              <w:rPr>
                <w:rFonts w:cs="Arial"/>
                <w:sz w:val="18"/>
                <w:szCs w:val="18"/>
              </w:rPr>
              <w:t>1.461</w:t>
            </w:r>
          </w:p>
        </w:tc>
        <w:tc>
          <w:tcPr>
            <w:tcW w:w="1134" w:type="dxa"/>
            <w:tcBorders>
              <w:top w:val="nil"/>
              <w:left w:val="nil"/>
              <w:bottom w:val="nil"/>
              <w:right w:val="nil"/>
            </w:tcBorders>
            <w:vAlign w:val="bottom"/>
          </w:tcPr>
          <w:p w14:paraId="4384C435" w14:textId="443AF636" w:rsidR="00566EA9" w:rsidRPr="001D41EA" w:rsidRDefault="00566EA9" w:rsidP="001D41EA">
            <w:pPr>
              <w:spacing w:before="40" w:after="40"/>
              <w:jc w:val="center"/>
              <w:rPr>
                <w:rFonts w:cs="Arial"/>
                <w:sz w:val="18"/>
                <w:szCs w:val="18"/>
              </w:rPr>
            </w:pPr>
            <w:r w:rsidRPr="001D41EA">
              <w:rPr>
                <w:rFonts w:cs="Arial"/>
                <w:sz w:val="18"/>
                <w:szCs w:val="18"/>
              </w:rPr>
              <w:t>1.427</w:t>
            </w:r>
          </w:p>
        </w:tc>
        <w:tc>
          <w:tcPr>
            <w:tcW w:w="1134" w:type="dxa"/>
            <w:tcBorders>
              <w:top w:val="nil"/>
              <w:left w:val="nil"/>
              <w:bottom w:val="nil"/>
              <w:right w:val="nil"/>
            </w:tcBorders>
            <w:shd w:val="clear" w:color="auto" w:fill="auto"/>
            <w:vAlign w:val="bottom"/>
          </w:tcPr>
          <w:p w14:paraId="5767F7F9" w14:textId="25045A8C" w:rsidR="00566EA9" w:rsidRPr="001D41EA" w:rsidRDefault="00566EA9" w:rsidP="001D41EA">
            <w:pPr>
              <w:spacing w:before="40" w:after="40"/>
              <w:jc w:val="center"/>
              <w:rPr>
                <w:rFonts w:cs="Arial"/>
                <w:sz w:val="18"/>
                <w:szCs w:val="18"/>
              </w:rPr>
            </w:pPr>
            <w:r w:rsidRPr="001D41EA">
              <w:rPr>
                <w:rFonts w:cs="Arial"/>
                <w:sz w:val="18"/>
                <w:szCs w:val="18"/>
              </w:rPr>
              <w:t>1.447</w:t>
            </w:r>
          </w:p>
        </w:tc>
      </w:tr>
      <w:tr w:rsidR="00566EA9" w:rsidRPr="001D41EA" w14:paraId="328D2BB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C97431B" w14:textId="77777777" w:rsidR="00566EA9" w:rsidRPr="001D41EA" w:rsidRDefault="00566EA9" w:rsidP="001D41EA">
            <w:pPr>
              <w:spacing w:before="40" w:after="40"/>
              <w:rPr>
                <w:rFonts w:cs="Arial"/>
                <w:sz w:val="18"/>
                <w:szCs w:val="18"/>
              </w:rPr>
            </w:pPr>
            <w:r w:rsidRPr="001D41EA">
              <w:rPr>
                <w:rFonts w:cs="Arial"/>
                <w:sz w:val="18"/>
                <w:szCs w:val="18"/>
              </w:rPr>
              <w:t>Ararat RC</w:t>
            </w:r>
          </w:p>
        </w:tc>
        <w:tc>
          <w:tcPr>
            <w:tcW w:w="1134" w:type="dxa"/>
            <w:tcBorders>
              <w:top w:val="nil"/>
              <w:left w:val="single" w:sz="18" w:space="0" w:color="5F497A" w:themeColor="accent4" w:themeShade="BF"/>
              <w:bottom w:val="nil"/>
              <w:right w:val="nil"/>
            </w:tcBorders>
            <w:shd w:val="clear" w:color="auto" w:fill="auto"/>
            <w:vAlign w:val="bottom"/>
          </w:tcPr>
          <w:p w14:paraId="71F633CE" w14:textId="33127A09" w:rsidR="00566EA9" w:rsidRPr="001D41EA" w:rsidRDefault="00566EA9" w:rsidP="001D41EA">
            <w:pPr>
              <w:spacing w:before="40" w:after="40"/>
              <w:jc w:val="center"/>
              <w:rPr>
                <w:rFonts w:cs="Arial"/>
                <w:sz w:val="18"/>
                <w:szCs w:val="18"/>
              </w:rPr>
            </w:pPr>
            <w:r w:rsidRPr="001D41EA">
              <w:rPr>
                <w:rFonts w:cs="Arial"/>
                <w:sz w:val="18"/>
                <w:szCs w:val="18"/>
              </w:rPr>
              <w:t>1.097</w:t>
            </w:r>
          </w:p>
        </w:tc>
        <w:tc>
          <w:tcPr>
            <w:tcW w:w="1134" w:type="dxa"/>
            <w:tcBorders>
              <w:top w:val="nil"/>
              <w:left w:val="nil"/>
              <w:bottom w:val="nil"/>
              <w:right w:val="nil"/>
            </w:tcBorders>
            <w:shd w:val="clear" w:color="auto" w:fill="auto"/>
            <w:vAlign w:val="bottom"/>
          </w:tcPr>
          <w:p w14:paraId="0D2E4D3E" w14:textId="66E0888E" w:rsidR="00566EA9" w:rsidRPr="001D41EA" w:rsidRDefault="00566EA9" w:rsidP="001D41EA">
            <w:pPr>
              <w:spacing w:before="40" w:after="40"/>
              <w:jc w:val="center"/>
              <w:rPr>
                <w:rFonts w:cs="Arial"/>
                <w:sz w:val="18"/>
                <w:szCs w:val="18"/>
              </w:rPr>
            </w:pPr>
            <w:r w:rsidRPr="001D41EA">
              <w:rPr>
                <w:rFonts w:cs="Arial"/>
                <w:sz w:val="18"/>
                <w:szCs w:val="18"/>
              </w:rPr>
              <w:t>1.087</w:t>
            </w:r>
          </w:p>
        </w:tc>
        <w:tc>
          <w:tcPr>
            <w:tcW w:w="1134" w:type="dxa"/>
            <w:tcBorders>
              <w:top w:val="nil"/>
              <w:left w:val="nil"/>
              <w:bottom w:val="nil"/>
              <w:right w:val="nil"/>
            </w:tcBorders>
            <w:vAlign w:val="bottom"/>
          </w:tcPr>
          <w:p w14:paraId="4455EA1D" w14:textId="4EE38EE5" w:rsidR="00566EA9" w:rsidRPr="001D41EA" w:rsidRDefault="00566EA9" w:rsidP="001D41EA">
            <w:pPr>
              <w:spacing w:before="40" w:after="40"/>
              <w:jc w:val="center"/>
              <w:rPr>
                <w:rFonts w:cs="Arial"/>
                <w:sz w:val="18"/>
                <w:szCs w:val="18"/>
              </w:rPr>
            </w:pPr>
            <w:r w:rsidRPr="001D41EA">
              <w:rPr>
                <w:rFonts w:cs="Arial"/>
                <w:sz w:val="18"/>
                <w:szCs w:val="18"/>
              </w:rPr>
              <w:t>1.081</w:t>
            </w:r>
          </w:p>
        </w:tc>
        <w:tc>
          <w:tcPr>
            <w:tcW w:w="1134" w:type="dxa"/>
            <w:tcBorders>
              <w:top w:val="nil"/>
              <w:left w:val="nil"/>
              <w:bottom w:val="nil"/>
              <w:right w:val="nil"/>
            </w:tcBorders>
            <w:vAlign w:val="bottom"/>
          </w:tcPr>
          <w:p w14:paraId="0D372030" w14:textId="0AEDC2D5" w:rsidR="00566EA9" w:rsidRPr="001D41EA" w:rsidRDefault="00566EA9" w:rsidP="001D41EA">
            <w:pPr>
              <w:spacing w:before="40" w:after="40"/>
              <w:jc w:val="center"/>
              <w:rPr>
                <w:rFonts w:cs="Arial"/>
                <w:sz w:val="18"/>
                <w:szCs w:val="18"/>
              </w:rPr>
            </w:pPr>
            <w:r w:rsidRPr="001D41EA">
              <w:rPr>
                <w:rFonts w:cs="Arial"/>
                <w:sz w:val="18"/>
                <w:szCs w:val="18"/>
              </w:rPr>
              <w:t>1.094</w:t>
            </w:r>
          </w:p>
        </w:tc>
        <w:tc>
          <w:tcPr>
            <w:tcW w:w="1134" w:type="dxa"/>
            <w:tcBorders>
              <w:top w:val="nil"/>
              <w:left w:val="nil"/>
              <w:bottom w:val="nil"/>
              <w:right w:val="nil"/>
            </w:tcBorders>
            <w:vAlign w:val="bottom"/>
          </w:tcPr>
          <w:p w14:paraId="2F0322EB" w14:textId="5E581E79" w:rsidR="00566EA9" w:rsidRPr="001D41EA" w:rsidRDefault="00566EA9" w:rsidP="001D41EA">
            <w:pPr>
              <w:spacing w:before="40" w:after="40"/>
              <w:jc w:val="center"/>
              <w:rPr>
                <w:rFonts w:cs="Arial"/>
                <w:sz w:val="18"/>
                <w:szCs w:val="18"/>
              </w:rPr>
            </w:pPr>
            <w:r w:rsidRPr="001D41EA">
              <w:rPr>
                <w:rFonts w:cs="Arial"/>
                <w:sz w:val="18"/>
                <w:szCs w:val="18"/>
              </w:rPr>
              <w:t>1.069</w:t>
            </w:r>
          </w:p>
        </w:tc>
        <w:tc>
          <w:tcPr>
            <w:tcW w:w="1134" w:type="dxa"/>
            <w:tcBorders>
              <w:top w:val="nil"/>
              <w:left w:val="nil"/>
              <w:bottom w:val="nil"/>
              <w:right w:val="nil"/>
            </w:tcBorders>
            <w:shd w:val="clear" w:color="auto" w:fill="auto"/>
            <w:vAlign w:val="bottom"/>
          </w:tcPr>
          <w:p w14:paraId="265F56AF" w14:textId="7595F187" w:rsidR="00566EA9" w:rsidRPr="001D41EA" w:rsidRDefault="00566EA9" w:rsidP="001D41EA">
            <w:pPr>
              <w:spacing w:before="40" w:after="40"/>
              <w:jc w:val="center"/>
              <w:rPr>
                <w:rFonts w:cs="Arial"/>
                <w:sz w:val="18"/>
                <w:szCs w:val="18"/>
              </w:rPr>
            </w:pPr>
            <w:r w:rsidRPr="001D41EA">
              <w:rPr>
                <w:rFonts w:cs="Arial"/>
                <w:sz w:val="18"/>
                <w:szCs w:val="18"/>
              </w:rPr>
              <w:t>1.084</w:t>
            </w:r>
          </w:p>
        </w:tc>
      </w:tr>
      <w:tr w:rsidR="00566EA9" w:rsidRPr="001D41EA" w14:paraId="5F68CBB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CD3423A" w14:textId="77777777" w:rsidR="00566EA9" w:rsidRPr="001D41EA" w:rsidRDefault="00566EA9" w:rsidP="001D41EA">
            <w:pPr>
              <w:spacing w:before="40" w:after="40"/>
              <w:rPr>
                <w:rFonts w:cs="Arial"/>
                <w:sz w:val="18"/>
                <w:szCs w:val="18"/>
              </w:rPr>
            </w:pPr>
            <w:r w:rsidRPr="001D41EA">
              <w:rPr>
                <w:rFonts w:cs="Arial"/>
                <w:sz w:val="18"/>
                <w:szCs w:val="18"/>
              </w:rPr>
              <w:t>Ballarat C</w:t>
            </w:r>
          </w:p>
        </w:tc>
        <w:tc>
          <w:tcPr>
            <w:tcW w:w="1134" w:type="dxa"/>
            <w:tcBorders>
              <w:top w:val="nil"/>
              <w:left w:val="single" w:sz="18" w:space="0" w:color="5F497A" w:themeColor="accent4" w:themeShade="BF"/>
              <w:bottom w:val="nil"/>
              <w:right w:val="nil"/>
            </w:tcBorders>
            <w:shd w:val="clear" w:color="auto" w:fill="auto"/>
            <w:vAlign w:val="bottom"/>
          </w:tcPr>
          <w:p w14:paraId="7FA0AC18" w14:textId="145FC5A0" w:rsidR="00566EA9" w:rsidRPr="001D41EA" w:rsidRDefault="00566EA9" w:rsidP="001D41EA">
            <w:pPr>
              <w:spacing w:before="40" w:after="4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51F70CD4" w14:textId="392D4F16" w:rsidR="00566EA9" w:rsidRPr="001D41EA" w:rsidRDefault="00566EA9" w:rsidP="001D41EA">
            <w:pPr>
              <w:spacing w:before="40" w:after="40"/>
              <w:jc w:val="center"/>
              <w:rPr>
                <w:rFonts w:cs="Arial"/>
                <w:sz w:val="18"/>
                <w:szCs w:val="18"/>
              </w:rPr>
            </w:pPr>
            <w:r w:rsidRPr="001D41EA">
              <w:rPr>
                <w:rFonts w:cs="Arial"/>
                <w:sz w:val="18"/>
                <w:szCs w:val="18"/>
              </w:rPr>
              <w:t>0.906</w:t>
            </w:r>
          </w:p>
        </w:tc>
        <w:tc>
          <w:tcPr>
            <w:tcW w:w="1134" w:type="dxa"/>
            <w:tcBorders>
              <w:top w:val="nil"/>
              <w:left w:val="nil"/>
              <w:bottom w:val="nil"/>
              <w:right w:val="nil"/>
            </w:tcBorders>
            <w:vAlign w:val="bottom"/>
          </w:tcPr>
          <w:p w14:paraId="0DB40174" w14:textId="1A3FCF2B" w:rsidR="00566EA9" w:rsidRPr="001D41EA" w:rsidRDefault="00566EA9" w:rsidP="001D41EA">
            <w:pPr>
              <w:spacing w:before="40" w:after="40"/>
              <w:jc w:val="center"/>
              <w:rPr>
                <w:rFonts w:cs="Arial"/>
                <w:sz w:val="18"/>
                <w:szCs w:val="18"/>
              </w:rPr>
            </w:pPr>
            <w:r w:rsidRPr="001D41EA">
              <w:rPr>
                <w:rFonts w:cs="Arial"/>
                <w:sz w:val="18"/>
                <w:szCs w:val="18"/>
              </w:rPr>
              <w:t>0.901</w:t>
            </w:r>
          </w:p>
        </w:tc>
        <w:tc>
          <w:tcPr>
            <w:tcW w:w="1134" w:type="dxa"/>
            <w:tcBorders>
              <w:top w:val="nil"/>
              <w:left w:val="nil"/>
              <w:bottom w:val="nil"/>
              <w:right w:val="nil"/>
            </w:tcBorders>
            <w:vAlign w:val="bottom"/>
          </w:tcPr>
          <w:p w14:paraId="56104EDD" w14:textId="1CFB65BC" w:rsidR="00566EA9" w:rsidRPr="001D41EA" w:rsidRDefault="00566EA9" w:rsidP="001D41EA">
            <w:pPr>
              <w:spacing w:before="40" w:after="40"/>
              <w:jc w:val="center"/>
              <w:rPr>
                <w:rFonts w:cs="Arial"/>
                <w:sz w:val="18"/>
                <w:szCs w:val="18"/>
              </w:rPr>
            </w:pPr>
            <w:r w:rsidRPr="001D41EA">
              <w:rPr>
                <w:rFonts w:cs="Arial"/>
                <w:sz w:val="18"/>
                <w:szCs w:val="18"/>
              </w:rPr>
              <w:t>0.911</w:t>
            </w:r>
          </w:p>
        </w:tc>
        <w:tc>
          <w:tcPr>
            <w:tcW w:w="1134" w:type="dxa"/>
            <w:tcBorders>
              <w:top w:val="nil"/>
              <w:left w:val="nil"/>
              <w:bottom w:val="nil"/>
              <w:right w:val="nil"/>
            </w:tcBorders>
            <w:vAlign w:val="bottom"/>
          </w:tcPr>
          <w:p w14:paraId="4DA869D9" w14:textId="737AB137" w:rsidR="00566EA9" w:rsidRPr="001D41EA" w:rsidRDefault="00566EA9" w:rsidP="001D41EA">
            <w:pPr>
              <w:spacing w:before="40" w:after="40"/>
              <w:jc w:val="center"/>
              <w:rPr>
                <w:rFonts w:cs="Arial"/>
                <w:sz w:val="18"/>
                <w:szCs w:val="18"/>
              </w:rPr>
            </w:pPr>
            <w:r w:rsidRPr="001D41EA">
              <w:rPr>
                <w:rFonts w:cs="Arial"/>
                <w:sz w:val="18"/>
                <w:szCs w:val="18"/>
              </w:rPr>
              <w:t>0.890</w:t>
            </w:r>
          </w:p>
        </w:tc>
        <w:tc>
          <w:tcPr>
            <w:tcW w:w="1134" w:type="dxa"/>
            <w:tcBorders>
              <w:top w:val="nil"/>
              <w:left w:val="nil"/>
              <w:bottom w:val="nil"/>
              <w:right w:val="nil"/>
            </w:tcBorders>
            <w:shd w:val="clear" w:color="auto" w:fill="auto"/>
            <w:vAlign w:val="bottom"/>
          </w:tcPr>
          <w:p w14:paraId="50F19833" w14:textId="44ED759A" w:rsidR="00566EA9" w:rsidRPr="001D41EA" w:rsidRDefault="00566EA9" w:rsidP="001D41EA">
            <w:pPr>
              <w:spacing w:before="40" w:after="40"/>
              <w:jc w:val="center"/>
              <w:rPr>
                <w:rFonts w:cs="Arial"/>
                <w:sz w:val="18"/>
                <w:szCs w:val="18"/>
              </w:rPr>
            </w:pPr>
            <w:r w:rsidRPr="001D41EA">
              <w:rPr>
                <w:rFonts w:cs="Arial"/>
                <w:sz w:val="18"/>
                <w:szCs w:val="18"/>
              </w:rPr>
              <w:t>0.902</w:t>
            </w:r>
          </w:p>
        </w:tc>
      </w:tr>
      <w:tr w:rsidR="00566EA9" w:rsidRPr="001D41EA" w14:paraId="4B41A83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25C40F6" w14:textId="77777777" w:rsidR="00566EA9" w:rsidRPr="001D41EA" w:rsidRDefault="00566EA9" w:rsidP="001D41EA">
            <w:pPr>
              <w:spacing w:before="40" w:after="40"/>
              <w:rPr>
                <w:rFonts w:cs="Arial"/>
                <w:sz w:val="18"/>
                <w:szCs w:val="18"/>
              </w:rPr>
            </w:pPr>
            <w:r w:rsidRPr="001D41EA">
              <w:rPr>
                <w:rFonts w:cs="Arial"/>
                <w:sz w:val="18"/>
                <w:szCs w:val="18"/>
              </w:rPr>
              <w:t>Banyule C</w:t>
            </w:r>
          </w:p>
        </w:tc>
        <w:tc>
          <w:tcPr>
            <w:tcW w:w="1134" w:type="dxa"/>
            <w:tcBorders>
              <w:top w:val="nil"/>
              <w:left w:val="single" w:sz="18" w:space="0" w:color="5F497A" w:themeColor="accent4" w:themeShade="BF"/>
              <w:bottom w:val="nil"/>
              <w:right w:val="nil"/>
            </w:tcBorders>
            <w:shd w:val="clear" w:color="auto" w:fill="auto"/>
            <w:vAlign w:val="bottom"/>
          </w:tcPr>
          <w:p w14:paraId="38350585" w14:textId="64C58111" w:rsidR="00566EA9" w:rsidRPr="001D41EA" w:rsidRDefault="00566EA9" w:rsidP="001D41EA">
            <w:pPr>
              <w:spacing w:before="40" w:after="4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65218539" w14:textId="07F54724" w:rsidR="00566EA9" w:rsidRPr="001D41EA" w:rsidRDefault="00566EA9" w:rsidP="001D41EA">
            <w:pPr>
              <w:spacing w:before="40" w:after="4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5200C79A" w14:textId="67B6DB03" w:rsidR="00566EA9" w:rsidRPr="001D41EA" w:rsidRDefault="00566EA9" w:rsidP="001D41EA">
            <w:pPr>
              <w:spacing w:before="40" w:after="4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1C680E41" w14:textId="6CFCDF00" w:rsidR="00566EA9" w:rsidRPr="001D41EA" w:rsidRDefault="00566EA9" w:rsidP="001D41EA">
            <w:pPr>
              <w:spacing w:before="40" w:after="4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02F64E5E" w14:textId="3C03E5D5" w:rsidR="00566EA9" w:rsidRPr="001D41EA" w:rsidRDefault="00566EA9" w:rsidP="001D41EA">
            <w:pPr>
              <w:spacing w:before="40" w:after="4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3E292372" w14:textId="7C94E654" w:rsidR="00566EA9" w:rsidRPr="001D41EA" w:rsidRDefault="00566EA9" w:rsidP="001D41EA">
            <w:pPr>
              <w:spacing w:before="40" w:after="40"/>
              <w:jc w:val="center"/>
              <w:rPr>
                <w:rFonts w:cs="Arial"/>
                <w:sz w:val="18"/>
                <w:szCs w:val="18"/>
              </w:rPr>
            </w:pPr>
            <w:r w:rsidRPr="001D41EA">
              <w:rPr>
                <w:rFonts w:cs="Arial"/>
                <w:sz w:val="18"/>
                <w:szCs w:val="18"/>
              </w:rPr>
              <w:t>0.885</w:t>
            </w:r>
          </w:p>
        </w:tc>
      </w:tr>
      <w:tr w:rsidR="00566EA9" w:rsidRPr="001D41EA" w14:paraId="0B9ADF2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0DEB0ED" w14:textId="77777777" w:rsidR="00566EA9" w:rsidRPr="001D41EA" w:rsidRDefault="00566EA9" w:rsidP="001D41EA">
            <w:pPr>
              <w:spacing w:before="40" w:after="40"/>
              <w:rPr>
                <w:rFonts w:cs="Arial"/>
                <w:sz w:val="18"/>
                <w:szCs w:val="18"/>
              </w:rPr>
            </w:pPr>
            <w:r w:rsidRPr="001D41EA">
              <w:rPr>
                <w:rFonts w:cs="Arial"/>
                <w:sz w:val="18"/>
                <w:szCs w:val="18"/>
              </w:rPr>
              <w:t>Bass Coast S</w:t>
            </w:r>
          </w:p>
        </w:tc>
        <w:tc>
          <w:tcPr>
            <w:tcW w:w="1134" w:type="dxa"/>
            <w:tcBorders>
              <w:top w:val="nil"/>
              <w:left w:val="single" w:sz="18" w:space="0" w:color="5F497A" w:themeColor="accent4" w:themeShade="BF"/>
              <w:bottom w:val="nil"/>
              <w:right w:val="nil"/>
            </w:tcBorders>
            <w:shd w:val="clear" w:color="auto" w:fill="auto"/>
            <w:vAlign w:val="bottom"/>
          </w:tcPr>
          <w:p w14:paraId="6A364C5C" w14:textId="77552F6E" w:rsidR="00566EA9" w:rsidRPr="001D41EA" w:rsidRDefault="00566EA9" w:rsidP="001D41EA">
            <w:pPr>
              <w:spacing w:before="40" w:after="40"/>
              <w:jc w:val="center"/>
              <w:rPr>
                <w:rFonts w:cs="Arial"/>
                <w:sz w:val="18"/>
                <w:szCs w:val="18"/>
              </w:rPr>
            </w:pPr>
            <w:r w:rsidRPr="001D41EA">
              <w:rPr>
                <w:rFonts w:cs="Arial"/>
                <w:sz w:val="18"/>
                <w:szCs w:val="18"/>
              </w:rPr>
              <w:t>1.383</w:t>
            </w:r>
          </w:p>
        </w:tc>
        <w:tc>
          <w:tcPr>
            <w:tcW w:w="1134" w:type="dxa"/>
            <w:tcBorders>
              <w:top w:val="nil"/>
              <w:left w:val="nil"/>
              <w:bottom w:val="nil"/>
              <w:right w:val="nil"/>
            </w:tcBorders>
            <w:shd w:val="clear" w:color="auto" w:fill="auto"/>
            <w:vAlign w:val="bottom"/>
          </w:tcPr>
          <w:p w14:paraId="401C6493" w14:textId="1A09862D" w:rsidR="00566EA9" w:rsidRPr="001D41EA" w:rsidRDefault="00566EA9" w:rsidP="001D41EA">
            <w:pPr>
              <w:spacing w:before="40" w:after="40"/>
              <w:jc w:val="center"/>
              <w:rPr>
                <w:rFonts w:cs="Arial"/>
                <w:sz w:val="18"/>
                <w:szCs w:val="18"/>
              </w:rPr>
            </w:pPr>
            <w:r w:rsidRPr="001D41EA">
              <w:rPr>
                <w:rFonts w:cs="Arial"/>
                <w:sz w:val="18"/>
                <w:szCs w:val="18"/>
              </w:rPr>
              <w:t>1.371</w:t>
            </w:r>
          </w:p>
        </w:tc>
        <w:tc>
          <w:tcPr>
            <w:tcW w:w="1134" w:type="dxa"/>
            <w:tcBorders>
              <w:top w:val="nil"/>
              <w:left w:val="nil"/>
              <w:bottom w:val="nil"/>
              <w:right w:val="nil"/>
            </w:tcBorders>
            <w:vAlign w:val="bottom"/>
          </w:tcPr>
          <w:p w14:paraId="1C4B3E9C" w14:textId="7A6D1F85" w:rsidR="00566EA9" w:rsidRPr="001D41EA" w:rsidRDefault="00566EA9" w:rsidP="001D41EA">
            <w:pPr>
              <w:spacing w:before="40" w:after="40"/>
              <w:jc w:val="center"/>
              <w:rPr>
                <w:rFonts w:cs="Arial"/>
                <w:sz w:val="18"/>
                <w:szCs w:val="18"/>
              </w:rPr>
            </w:pPr>
            <w:r w:rsidRPr="001D41EA">
              <w:rPr>
                <w:rFonts w:cs="Arial"/>
                <w:sz w:val="18"/>
                <w:szCs w:val="18"/>
              </w:rPr>
              <w:t>1.363</w:t>
            </w:r>
          </w:p>
        </w:tc>
        <w:tc>
          <w:tcPr>
            <w:tcW w:w="1134" w:type="dxa"/>
            <w:tcBorders>
              <w:top w:val="nil"/>
              <w:left w:val="nil"/>
              <w:bottom w:val="nil"/>
              <w:right w:val="nil"/>
            </w:tcBorders>
            <w:vAlign w:val="bottom"/>
          </w:tcPr>
          <w:p w14:paraId="5D9DFA22" w14:textId="475F33D7" w:rsidR="00566EA9" w:rsidRPr="001D41EA" w:rsidRDefault="00566EA9" w:rsidP="001D41EA">
            <w:pPr>
              <w:spacing w:before="40" w:after="40"/>
              <w:jc w:val="center"/>
              <w:rPr>
                <w:rFonts w:cs="Arial"/>
                <w:sz w:val="18"/>
                <w:szCs w:val="18"/>
              </w:rPr>
            </w:pPr>
            <w:r w:rsidRPr="001D41EA">
              <w:rPr>
                <w:rFonts w:cs="Arial"/>
                <w:sz w:val="18"/>
                <w:szCs w:val="18"/>
              </w:rPr>
              <w:t>1.379</w:t>
            </w:r>
          </w:p>
        </w:tc>
        <w:tc>
          <w:tcPr>
            <w:tcW w:w="1134" w:type="dxa"/>
            <w:tcBorders>
              <w:top w:val="nil"/>
              <w:left w:val="nil"/>
              <w:bottom w:val="nil"/>
              <w:right w:val="nil"/>
            </w:tcBorders>
            <w:vAlign w:val="bottom"/>
          </w:tcPr>
          <w:p w14:paraId="0DADAD08" w14:textId="2A54A921" w:rsidR="00566EA9" w:rsidRPr="001D41EA" w:rsidRDefault="00566EA9" w:rsidP="001D41EA">
            <w:pPr>
              <w:spacing w:before="40" w:after="40"/>
              <w:jc w:val="center"/>
              <w:rPr>
                <w:rFonts w:cs="Arial"/>
                <w:sz w:val="18"/>
                <w:szCs w:val="18"/>
              </w:rPr>
            </w:pPr>
            <w:r w:rsidRPr="001D41EA">
              <w:rPr>
                <w:rFonts w:cs="Arial"/>
                <w:sz w:val="18"/>
                <w:szCs w:val="18"/>
              </w:rPr>
              <w:t>1.347</w:t>
            </w:r>
          </w:p>
        </w:tc>
        <w:tc>
          <w:tcPr>
            <w:tcW w:w="1134" w:type="dxa"/>
            <w:tcBorders>
              <w:top w:val="nil"/>
              <w:left w:val="nil"/>
              <w:bottom w:val="nil"/>
              <w:right w:val="nil"/>
            </w:tcBorders>
            <w:shd w:val="clear" w:color="auto" w:fill="auto"/>
            <w:vAlign w:val="bottom"/>
          </w:tcPr>
          <w:p w14:paraId="5AD3D4E3" w14:textId="0CE931A8" w:rsidR="00566EA9" w:rsidRPr="001D41EA" w:rsidRDefault="00566EA9" w:rsidP="001D41EA">
            <w:pPr>
              <w:spacing w:before="40" w:after="40"/>
              <w:jc w:val="center"/>
              <w:rPr>
                <w:rFonts w:cs="Arial"/>
                <w:sz w:val="18"/>
                <w:szCs w:val="18"/>
              </w:rPr>
            </w:pPr>
            <w:r w:rsidRPr="001D41EA">
              <w:rPr>
                <w:rFonts w:cs="Arial"/>
                <w:sz w:val="18"/>
                <w:szCs w:val="18"/>
              </w:rPr>
              <w:t>1.366</w:t>
            </w:r>
          </w:p>
        </w:tc>
      </w:tr>
      <w:tr w:rsidR="00566EA9" w:rsidRPr="001D41EA" w14:paraId="6DE8710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F6FE170" w14:textId="77777777" w:rsidR="00566EA9" w:rsidRPr="001D41EA" w:rsidRDefault="00566EA9" w:rsidP="001D41EA">
            <w:pPr>
              <w:spacing w:before="40" w:after="40"/>
              <w:rPr>
                <w:rFonts w:cs="Arial"/>
                <w:sz w:val="18"/>
                <w:szCs w:val="18"/>
              </w:rPr>
            </w:pPr>
            <w:r w:rsidRPr="001D41EA">
              <w:rPr>
                <w:rFonts w:cs="Arial"/>
                <w:sz w:val="18"/>
                <w:szCs w:val="18"/>
              </w:rPr>
              <w:t>Baw Baw S</w:t>
            </w:r>
          </w:p>
        </w:tc>
        <w:tc>
          <w:tcPr>
            <w:tcW w:w="1134" w:type="dxa"/>
            <w:tcBorders>
              <w:top w:val="nil"/>
              <w:left w:val="single" w:sz="18" w:space="0" w:color="5F497A" w:themeColor="accent4" w:themeShade="BF"/>
              <w:bottom w:val="nil"/>
              <w:right w:val="nil"/>
            </w:tcBorders>
            <w:shd w:val="clear" w:color="auto" w:fill="auto"/>
            <w:vAlign w:val="bottom"/>
          </w:tcPr>
          <w:p w14:paraId="122872B6" w14:textId="6922A543" w:rsidR="00566EA9" w:rsidRPr="001D41EA" w:rsidRDefault="00566EA9" w:rsidP="001D41EA">
            <w:pPr>
              <w:spacing w:before="40" w:after="40"/>
              <w:jc w:val="center"/>
              <w:rPr>
                <w:rFonts w:cs="Arial"/>
                <w:sz w:val="18"/>
                <w:szCs w:val="18"/>
              </w:rPr>
            </w:pPr>
            <w:r w:rsidRPr="001D41EA">
              <w:rPr>
                <w:rFonts w:cs="Arial"/>
                <w:sz w:val="18"/>
                <w:szCs w:val="18"/>
              </w:rPr>
              <w:t>1.177</w:t>
            </w:r>
          </w:p>
        </w:tc>
        <w:tc>
          <w:tcPr>
            <w:tcW w:w="1134" w:type="dxa"/>
            <w:tcBorders>
              <w:top w:val="nil"/>
              <w:left w:val="nil"/>
              <w:bottom w:val="nil"/>
              <w:right w:val="nil"/>
            </w:tcBorders>
            <w:shd w:val="clear" w:color="auto" w:fill="auto"/>
            <w:vAlign w:val="bottom"/>
          </w:tcPr>
          <w:p w14:paraId="34C56E9C" w14:textId="712AF41F" w:rsidR="00566EA9" w:rsidRPr="001D41EA" w:rsidRDefault="00566EA9" w:rsidP="001D41EA">
            <w:pPr>
              <w:spacing w:before="40" w:after="40"/>
              <w:jc w:val="center"/>
              <w:rPr>
                <w:rFonts w:cs="Arial"/>
                <w:sz w:val="18"/>
                <w:szCs w:val="18"/>
              </w:rPr>
            </w:pPr>
            <w:r w:rsidRPr="001D41EA">
              <w:rPr>
                <w:rFonts w:cs="Arial"/>
                <w:sz w:val="18"/>
                <w:szCs w:val="18"/>
              </w:rPr>
              <w:t>1.167</w:t>
            </w:r>
          </w:p>
        </w:tc>
        <w:tc>
          <w:tcPr>
            <w:tcW w:w="1134" w:type="dxa"/>
            <w:tcBorders>
              <w:top w:val="nil"/>
              <w:left w:val="nil"/>
              <w:bottom w:val="nil"/>
              <w:right w:val="nil"/>
            </w:tcBorders>
            <w:vAlign w:val="bottom"/>
          </w:tcPr>
          <w:p w14:paraId="15311CE2" w14:textId="17E441F9" w:rsidR="00566EA9" w:rsidRPr="001D41EA" w:rsidRDefault="00566EA9" w:rsidP="001D41EA">
            <w:pPr>
              <w:spacing w:before="40" w:after="40"/>
              <w:jc w:val="center"/>
              <w:rPr>
                <w:rFonts w:cs="Arial"/>
                <w:sz w:val="18"/>
                <w:szCs w:val="18"/>
              </w:rPr>
            </w:pPr>
            <w:r w:rsidRPr="001D41EA">
              <w:rPr>
                <w:rFonts w:cs="Arial"/>
                <w:sz w:val="18"/>
                <w:szCs w:val="18"/>
              </w:rPr>
              <w:t>1.160</w:t>
            </w:r>
          </w:p>
        </w:tc>
        <w:tc>
          <w:tcPr>
            <w:tcW w:w="1134" w:type="dxa"/>
            <w:tcBorders>
              <w:top w:val="nil"/>
              <w:left w:val="nil"/>
              <w:bottom w:val="nil"/>
              <w:right w:val="nil"/>
            </w:tcBorders>
            <w:vAlign w:val="bottom"/>
          </w:tcPr>
          <w:p w14:paraId="436DF9FB" w14:textId="2AC3B8E9" w:rsidR="00566EA9" w:rsidRPr="001D41EA" w:rsidRDefault="00566EA9" w:rsidP="001D41EA">
            <w:pPr>
              <w:spacing w:before="40" w:after="40"/>
              <w:jc w:val="center"/>
              <w:rPr>
                <w:rFonts w:cs="Arial"/>
                <w:sz w:val="18"/>
                <w:szCs w:val="18"/>
              </w:rPr>
            </w:pPr>
            <w:r w:rsidRPr="001D41EA">
              <w:rPr>
                <w:rFonts w:cs="Arial"/>
                <w:sz w:val="18"/>
                <w:szCs w:val="18"/>
              </w:rPr>
              <w:t>1.174</w:t>
            </w:r>
          </w:p>
        </w:tc>
        <w:tc>
          <w:tcPr>
            <w:tcW w:w="1134" w:type="dxa"/>
            <w:tcBorders>
              <w:top w:val="nil"/>
              <w:left w:val="nil"/>
              <w:bottom w:val="nil"/>
              <w:right w:val="nil"/>
            </w:tcBorders>
            <w:vAlign w:val="bottom"/>
          </w:tcPr>
          <w:p w14:paraId="182DC526" w14:textId="3199991D" w:rsidR="00566EA9" w:rsidRPr="001D41EA" w:rsidRDefault="00566EA9" w:rsidP="001D41EA">
            <w:pPr>
              <w:spacing w:before="40" w:after="40"/>
              <w:jc w:val="center"/>
              <w:rPr>
                <w:rFonts w:cs="Arial"/>
                <w:sz w:val="18"/>
                <w:szCs w:val="18"/>
              </w:rPr>
            </w:pPr>
            <w:r w:rsidRPr="001D41EA">
              <w:rPr>
                <w:rFonts w:cs="Arial"/>
                <w:sz w:val="18"/>
                <w:szCs w:val="18"/>
              </w:rPr>
              <w:t>1.147</w:t>
            </w:r>
          </w:p>
        </w:tc>
        <w:tc>
          <w:tcPr>
            <w:tcW w:w="1134" w:type="dxa"/>
            <w:tcBorders>
              <w:top w:val="nil"/>
              <w:left w:val="nil"/>
              <w:bottom w:val="nil"/>
              <w:right w:val="nil"/>
            </w:tcBorders>
            <w:shd w:val="clear" w:color="auto" w:fill="auto"/>
            <w:vAlign w:val="bottom"/>
          </w:tcPr>
          <w:p w14:paraId="2EF0FB60" w14:textId="6C93B889" w:rsidR="00566EA9" w:rsidRPr="001D41EA" w:rsidRDefault="00566EA9" w:rsidP="001D41EA">
            <w:pPr>
              <w:spacing w:before="40" w:after="40"/>
              <w:jc w:val="center"/>
              <w:rPr>
                <w:rFonts w:cs="Arial"/>
                <w:sz w:val="18"/>
                <w:szCs w:val="18"/>
              </w:rPr>
            </w:pPr>
            <w:r w:rsidRPr="001D41EA">
              <w:rPr>
                <w:rFonts w:cs="Arial"/>
                <w:sz w:val="18"/>
                <w:szCs w:val="18"/>
              </w:rPr>
              <w:t>1.163</w:t>
            </w:r>
          </w:p>
        </w:tc>
      </w:tr>
      <w:tr w:rsidR="00566EA9" w:rsidRPr="001D41EA" w14:paraId="5B7DB4D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94533F9" w14:textId="77777777" w:rsidR="00566EA9" w:rsidRPr="001D41EA" w:rsidRDefault="00566EA9" w:rsidP="001D41EA">
            <w:pPr>
              <w:spacing w:before="40" w:after="40"/>
              <w:rPr>
                <w:rFonts w:cs="Arial"/>
                <w:sz w:val="18"/>
                <w:szCs w:val="18"/>
              </w:rPr>
            </w:pPr>
            <w:r w:rsidRPr="001D41EA">
              <w:rPr>
                <w:rFonts w:cs="Arial"/>
                <w:sz w:val="18"/>
                <w:szCs w:val="18"/>
              </w:rPr>
              <w:t>Bayside C</w:t>
            </w:r>
          </w:p>
        </w:tc>
        <w:tc>
          <w:tcPr>
            <w:tcW w:w="1134" w:type="dxa"/>
            <w:tcBorders>
              <w:top w:val="nil"/>
              <w:left w:val="single" w:sz="18" w:space="0" w:color="5F497A" w:themeColor="accent4" w:themeShade="BF"/>
              <w:bottom w:val="nil"/>
              <w:right w:val="nil"/>
            </w:tcBorders>
            <w:shd w:val="clear" w:color="auto" w:fill="auto"/>
            <w:vAlign w:val="bottom"/>
          </w:tcPr>
          <w:p w14:paraId="3EE798DF" w14:textId="7A1B5926" w:rsidR="00566EA9" w:rsidRPr="001D41EA" w:rsidRDefault="00566EA9" w:rsidP="001D41EA">
            <w:pPr>
              <w:spacing w:before="40" w:after="4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55E06C71" w14:textId="063810E7" w:rsidR="00566EA9" w:rsidRPr="001D41EA" w:rsidRDefault="00566EA9" w:rsidP="001D41EA">
            <w:pPr>
              <w:spacing w:before="40" w:after="4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1DAD0531" w14:textId="2FED1867" w:rsidR="00566EA9" w:rsidRPr="001D41EA" w:rsidRDefault="00566EA9" w:rsidP="001D41EA">
            <w:pPr>
              <w:spacing w:before="40" w:after="4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63BBCE08" w14:textId="35CE00E2" w:rsidR="00566EA9" w:rsidRPr="001D41EA" w:rsidRDefault="00566EA9" w:rsidP="001D41EA">
            <w:pPr>
              <w:spacing w:before="40" w:after="4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11ACEFFC" w14:textId="3B04B34C" w:rsidR="00566EA9" w:rsidRPr="001D41EA" w:rsidRDefault="00566EA9" w:rsidP="001D41EA">
            <w:pPr>
              <w:spacing w:before="40" w:after="4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327F5F74" w14:textId="3E5F323E" w:rsidR="00566EA9" w:rsidRPr="001D41EA" w:rsidRDefault="00566EA9" w:rsidP="001D41EA">
            <w:pPr>
              <w:spacing w:before="40" w:after="40"/>
              <w:jc w:val="center"/>
              <w:rPr>
                <w:rFonts w:cs="Arial"/>
                <w:sz w:val="18"/>
                <w:szCs w:val="18"/>
              </w:rPr>
            </w:pPr>
            <w:r w:rsidRPr="001D41EA">
              <w:rPr>
                <w:rFonts w:cs="Arial"/>
                <w:sz w:val="18"/>
                <w:szCs w:val="18"/>
              </w:rPr>
              <w:t>0.885</w:t>
            </w:r>
          </w:p>
        </w:tc>
      </w:tr>
      <w:tr w:rsidR="00566EA9" w:rsidRPr="001D41EA" w14:paraId="3D080B6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0906652" w14:textId="77777777" w:rsidR="00566EA9" w:rsidRPr="001D41EA" w:rsidRDefault="00566EA9" w:rsidP="001D41EA">
            <w:pPr>
              <w:spacing w:before="40" w:after="40"/>
              <w:rPr>
                <w:rFonts w:cs="Arial"/>
                <w:sz w:val="18"/>
                <w:szCs w:val="18"/>
              </w:rPr>
            </w:pPr>
            <w:r w:rsidRPr="001D41EA">
              <w:rPr>
                <w:rFonts w:cs="Arial"/>
                <w:sz w:val="18"/>
                <w:szCs w:val="18"/>
              </w:rPr>
              <w:t>Benalla RC</w:t>
            </w:r>
          </w:p>
        </w:tc>
        <w:tc>
          <w:tcPr>
            <w:tcW w:w="1134" w:type="dxa"/>
            <w:tcBorders>
              <w:top w:val="nil"/>
              <w:left w:val="single" w:sz="18" w:space="0" w:color="5F497A" w:themeColor="accent4" w:themeShade="BF"/>
              <w:bottom w:val="nil"/>
              <w:right w:val="nil"/>
            </w:tcBorders>
            <w:shd w:val="clear" w:color="auto" w:fill="auto"/>
            <w:vAlign w:val="bottom"/>
          </w:tcPr>
          <w:p w14:paraId="3EB1F7B5" w14:textId="651740E0" w:rsidR="00566EA9" w:rsidRPr="001D41EA" w:rsidRDefault="00566EA9" w:rsidP="001D41EA">
            <w:pPr>
              <w:spacing w:before="40" w:after="40"/>
              <w:jc w:val="center"/>
              <w:rPr>
                <w:rFonts w:cs="Arial"/>
                <w:sz w:val="18"/>
                <w:szCs w:val="18"/>
              </w:rPr>
            </w:pPr>
            <w:r w:rsidRPr="001D41EA">
              <w:rPr>
                <w:rFonts w:cs="Arial"/>
                <w:sz w:val="18"/>
                <w:szCs w:val="18"/>
              </w:rPr>
              <w:t>1.012</w:t>
            </w:r>
          </w:p>
        </w:tc>
        <w:tc>
          <w:tcPr>
            <w:tcW w:w="1134" w:type="dxa"/>
            <w:tcBorders>
              <w:top w:val="nil"/>
              <w:left w:val="nil"/>
              <w:bottom w:val="nil"/>
              <w:right w:val="nil"/>
            </w:tcBorders>
            <w:shd w:val="clear" w:color="auto" w:fill="auto"/>
            <w:vAlign w:val="bottom"/>
          </w:tcPr>
          <w:p w14:paraId="4C78C321" w14:textId="4820AEBC" w:rsidR="00566EA9" w:rsidRPr="001D41EA" w:rsidRDefault="00566EA9" w:rsidP="001D41EA">
            <w:pPr>
              <w:spacing w:before="40" w:after="40"/>
              <w:jc w:val="center"/>
              <w:rPr>
                <w:rFonts w:cs="Arial"/>
                <w:sz w:val="18"/>
                <w:szCs w:val="18"/>
              </w:rPr>
            </w:pPr>
            <w:r w:rsidRPr="001D41EA">
              <w:rPr>
                <w:rFonts w:cs="Arial"/>
                <w:sz w:val="18"/>
                <w:szCs w:val="18"/>
              </w:rPr>
              <w:t>1.003</w:t>
            </w:r>
          </w:p>
        </w:tc>
        <w:tc>
          <w:tcPr>
            <w:tcW w:w="1134" w:type="dxa"/>
            <w:tcBorders>
              <w:top w:val="nil"/>
              <w:left w:val="nil"/>
              <w:bottom w:val="nil"/>
              <w:right w:val="nil"/>
            </w:tcBorders>
            <w:vAlign w:val="bottom"/>
          </w:tcPr>
          <w:p w14:paraId="4FE2AF44" w14:textId="28DC4893" w:rsidR="00566EA9" w:rsidRPr="001D41EA" w:rsidRDefault="00566EA9" w:rsidP="001D41EA">
            <w:pPr>
              <w:spacing w:before="40" w:after="40"/>
              <w:jc w:val="center"/>
              <w:rPr>
                <w:rFonts w:cs="Arial"/>
                <w:sz w:val="18"/>
                <w:szCs w:val="18"/>
              </w:rPr>
            </w:pPr>
            <w:r w:rsidRPr="001D41EA">
              <w:rPr>
                <w:rFonts w:cs="Arial"/>
                <w:sz w:val="18"/>
                <w:szCs w:val="18"/>
              </w:rPr>
              <w:t>0.998</w:t>
            </w:r>
          </w:p>
        </w:tc>
        <w:tc>
          <w:tcPr>
            <w:tcW w:w="1134" w:type="dxa"/>
            <w:tcBorders>
              <w:top w:val="nil"/>
              <w:left w:val="nil"/>
              <w:bottom w:val="nil"/>
              <w:right w:val="nil"/>
            </w:tcBorders>
            <w:vAlign w:val="bottom"/>
          </w:tcPr>
          <w:p w14:paraId="2D7C80B7" w14:textId="25D906EC" w:rsidR="00566EA9" w:rsidRPr="001D41EA" w:rsidRDefault="00566EA9" w:rsidP="001D41EA">
            <w:pPr>
              <w:spacing w:before="40" w:after="40"/>
              <w:jc w:val="center"/>
              <w:rPr>
                <w:rFonts w:cs="Arial"/>
                <w:sz w:val="18"/>
                <w:szCs w:val="18"/>
              </w:rPr>
            </w:pPr>
            <w:r w:rsidRPr="001D41EA">
              <w:rPr>
                <w:rFonts w:cs="Arial"/>
                <w:sz w:val="18"/>
                <w:szCs w:val="18"/>
              </w:rPr>
              <w:t>1.010</w:t>
            </w:r>
          </w:p>
        </w:tc>
        <w:tc>
          <w:tcPr>
            <w:tcW w:w="1134" w:type="dxa"/>
            <w:tcBorders>
              <w:top w:val="nil"/>
              <w:left w:val="nil"/>
              <w:bottom w:val="nil"/>
              <w:right w:val="nil"/>
            </w:tcBorders>
            <w:vAlign w:val="bottom"/>
          </w:tcPr>
          <w:p w14:paraId="466A9B38" w14:textId="11EB4535" w:rsidR="00566EA9" w:rsidRPr="001D41EA" w:rsidRDefault="00566EA9" w:rsidP="001D41EA">
            <w:pPr>
              <w:spacing w:before="40" w:after="40"/>
              <w:jc w:val="center"/>
              <w:rPr>
                <w:rFonts w:cs="Arial"/>
                <w:sz w:val="18"/>
                <w:szCs w:val="18"/>
              </w:rPr>
            </w:pPr>
            <w:r w:rsidRPr="001D41EA">
              <w:rPr>
                <w:rFonts w:cs="Arial"/>
                <w:sz w:val="18"/>
                <w:szCs w:val="18"/>
              </w:rPr>
              <w:t>0.986</w:t>
            </w:r>
          </w:p>
        </w:tc>
        <w:tc>
          <w:tcPr>
            <w:tcW w:w="1134" w:type="dxa"/>
            <w:tcBorders>
              <w:top w:val="nil"/>
              <w:left w:val="nil"/>
              <w:bottom w:val="nil"/>
              <w:right w:val="nil"/>
            </w:tcBorders>
            <w:shd w:val="clear" w:color="auto" w:fill="auto"/>
            <w:vAlign w:val="bottom"/>
          </w:tcPr>
          <w:p w14:paraId="02D1932E" w14:textId="09CAC1F2" w:rsidR="00566EA9" w:rsidRPr="001D41EA" w:rsidRDefault="00566EA9" w:rsidP="001D41EA">
            <w:pPr>
              <w:spacing w:before="40" w:after="40"/>
              <w:jc w:val="center"/>
              <w:rPr>
                <w:rFonts w:cs="Arial"/>
                <w:sz w:val="18"/>
                <w:szCs w:val="18"/>
              </w:rPr>
            </w:pPr>
            <w:r w:rsidRPr="001D41EA">
              <w:rPr>
                <w:rFonts w:cs="Arial"/>
                <w:sz w:val="18"/>
                <w:szCs w:val="18"/>
              </w:rPr>
              <w:t>1.000</w:t>
            </w:r>
          </w:p>
        </w:tc>
      </w:tr>
      <w:tr w:rsidR="00566EA9" w:rsidRPr="001D41EA" w14:paraId="1C22EE3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8AA3107" w14:textId="77777777" w:rsidR="00566EA9" w:rsidRPr="001D41EA" w:rsidRDefault="00566EA9" w:rsidP="001D41EA">
            <w:pPr>
              <w:spacing w:before="40" w:after="40"/>
              <w:rPr>
                <w:rFonts w:cs="Arial"/>
                <w:sz w:val="18"/>
                <w:szCs w:val="18"/>
              </w:rPr>
            </w:pPr>
            <w:r w:rsidRPr="001D41EA">
              <w:rPr>
                <w:rFonts w:cs="Arial"/>
                <w:sz w:val="18"/>
                <w:szCs w:val="18"/>
              </w:rPr>
              <w:t>Boroondara C</w:t>
            </w:r>
          </w:p>
        </w:tc>
        <w:tc>
          <w:tcPr>
            <w:tcW w:w="1134" w:type="dxa"/>
            <w:tcBorders>
              <w:top w:val="nil"/>
              <w:left w:val="single" w:sz="18" w:space="0" w:color="5F497A" w:themeColor="accent4" w:themeShade="BF"/>
              <w:bottom w:val="nil"/>
              <w:right w:val="nil"/>
            </w:tcBorders>
            <w:shd w:val="clear" w:color="auto" w:fill="auto"/>
            <w:vAlign w:val="bottom"/>
          </w:tcPr>
          <w:p w14:paraId="3427DCBE" w14:textId="427F2387" w:rsidR="00566EA9" w:rsidRPr="001D41EA" w:rsidRDefault="00566EA9" w:rsidP="001D41EA">
            <w:pPr>
              <w:spacing w:before="40" w:after="4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784C40F5" w14:textId="2282B7E1" w:rsidR="00566EA9" w:rsidRPr="001D41EA" w:rsidRDefault="00566EA9" w:rsidP="001D41EA">
            <w:pPr>
              <w:spacing w:before="40" w:after="4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2064F257" w14:textId="0BD4F14F" w:rsidR="00566EA9" w:rsidRPr="001D41EA" w:rsidRDefault="00566EA9" w:rsidP="001D41EA">
            <w:pPr>
              <w:spacing w:before="40" w:after="4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10E3F18E" w14:textId="033A0A84" w:rsidR="00566EA9" w:rsidRPr="001D41EA" w:rsidRDefault="00566EA9" w:rsidP="001D41EA">
            <w:pPr>
              <w:spacing w:before="40" w:after="4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5BB1A67B" w14:textId="64B220E0" w:rsidR="00566EA9" w:rsidRPr="001D41EA" w:rsidRDefault="00566EA9" w:rsidP="001D41EA">
            <w:pPr>
              <w:spacing w:before="40" w:after="4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494CA356" w14:textId="20A410B0" w:rsidR="00566EA9" w:rsidRPr="001D41EA" w:rsidRDefault="00566EA9" w:rsidP="001D41EA">
            <w:pPr>
              <w:spacing w:before="40" w:after="40"/>
              <w:jc w:val="center"/>
              <w:rPr>
                <w:rFonts w:cs="Arial"/>
                <w:sz w:val="18"/>
                <w:szCs w:val="18"/>
              </w:rPr>
            </w:pPr>
            <w:r w:rsidRPr="001D41EA">
              <w:rPr>
                <w:rFonts w:cs="Arial"/>
                <w:sz w:val="18"/>
                <w:szCs w:val="18"/>
              </w:rPr>
              <w:t>0.885</w:t>
            </w:r>
          </w:p>
        </w:tc>
      </w:tr>
      <w:tr w:rsidR="00566EA9" w:rsidRPr="001D41EA" w14:paraId="6F5E2C6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31A6564" w14:textId="77777777" w:rsidR="00566EA9" w:rsidRPr="001D41EA" w:rsidRDefault="00566EA9" w:rsidP="001D41EA">
            <w:pPr>
              <w:spacing w:before="40" w:after="40"/>
              <w:rPr>
                <w:rFonts w:cs="Arial"/>
                <w:sz w:val="18"/>
                <w:szCs w:val="18"/>
              </w:rPr>
            </w:pPr>
            <w:r w:rsidRPr="001D41EA">
              <w:rPr>
                <w:rFonts w:cs="Arial"/>
                <w:sz w:val="18"/>
                <w:szCs w:val="18"/>
              </w:rPr>
              <w:t>Brimbank C</w:t>
            </w:r>
          </w:p>
        </w:tc>
        <w:tc>
          <w:tcPr>
            <w:tcW w:w="1134" w:type="dxa"/>
            <w:tcBorders>
              <w:top w:val="nil"/>
              <w:left w:val="single" w:sz="18" w:space="0" w:color="5F497A" w:themeColor="accent4" w:themeShade="BF"/>
              <w:bottom w:val="nil"/>
              <w:right w:val="nil"/>
            </w:tcBorders>
            <w:shd w:val="clear" w:color="auto" w:fill="auto"/>
            <w:vAlign w:val="bottom"/>
          </w:tcPr>
          <w:p w14:paraId="26B06EE4" w14:textId="5120FC37" w:rsidR="00566EA9" w:rsidRPr="001D41EA" w:rsidRDefault="00566EA9" w:rsidP="001D41EA">
            <w:pPr>
              <w:spacing w:before="40" w:after="4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599AF832" w14:textId="7978A05F" w:rsidR="00566EA9" w:rsidRPr="001D41EA" w:rsidRDefault="00566EA9" w:rsidP="001D41EA">
            <w:pPr>
              <w:spacing w:before="40" w:after="4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29307F11" w14:textId="23AD46E9" w:rsidR="00566EA9" w:rsidRPr="001D41EA" w:rsidRDefault="00566EA9" w:rsidP="001D41EA">
            <w:pPr>
              <w:spacing w:before="40" w:after="4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5E380C58" w14:textId="49862FC9" w:rsidR="00566EA9" w:rsidRPr="001D41EA" w:rsidRDefault="00566EA9" w:rsidP="001D41EA">
            <w:pPr>
              <w:spacing w:before="40" w:after="4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44876E0A" w14:textId="3BE41560" w:rsidR="00566EA9" w:rsidRPr="001D41EA" w:rsidRDefault="00566EA9" w:rsidP="001D41EA">
            <w:pPr>
              <w:spacing w:before="40" w:after="4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1A955EAF" w14:textId="3814D82C" w:rsidR="00566EA9" w:rsidRPr="001D41EA" w:rsidRDefault="00566EA9" w:rsidP="001D41EA">
            <w:pPr>
              <w:spacing w:before="40" w:after="40"/>
              <w:jc w:val="center"/>
              <w:rPr>
                <w:rFonts w:cs="Arial"/>
                <w:sz w:val="18"/>
                <w:szCs w:val="18"/>
              </w:rPr>
            </w:pPr>
            <w:r w:rsidRPr="001D41EA">
              <w:rPr>
                <w:rFonts w:cs="Arial"/>
                <w:sz w:val="18"/>
                <w:szCs w:val="18"/>
              </w:rPr>
              <w:t>0.885</w:t>
            </w:r>
          </w:p>
        </w:tc>
      </w:tr>
      <w:tr w:rsidR="00566EA9" w:rsidRPr="001D41EA" w14:paraId="3ABB107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AD93FB0" w14:textId="77777777" w:rsidR="00566EA9" w:rsidRPr="001D41EA" w:rsidRDefault="00566EA9" w:rsidP="001D41EA">
            <w:pPr>
              <w:spacing w:before="40" w:after="40"/>
              <w:rPr>
                <w:rFonts w:cs="Arial"/>
                <w:sz w:val="18"/>
                <w:szCs w:val="18"/>
              </w:rPr>
            </w:pPr>
            <w:r w:rsidRPr="001D41EA">
              <w:rPr>
                <w:rFonts w:cs="Arial"/>
                <w:sz w:val="18"/>
                <w:szCs w:val="18"/>
              </w:rPr>
              <w:t>Buloke S</w:t>
            </w:r>
          </w:p>
        </w:tc>
        <w:tc>
          <w:tcPr>
            <w:tcW w:w="1134" w:type="dxa"/>
            <w:tcBorders>
              <w:top w:val="nil"/>
              <w:left w:val="single" w:sz="18" w:space="0" w:color="5F497A" w:themeColor="accent4" w:themeShade="BF"/>
              <w:bottom w:val="nil"/>
              <w:right w:val="nil"/>
            </w:tcBorders>
            <w:shd w:val="clear" w:color="auto" w:fill="auto"/>
            <w:vAlign w:val="bottom"/>
          </w:tcPr>
          <w:p w14:paraId="4B6CEA20" w14:textId="12B5D0BA" w:rsidR="00566EA9" w:rsidRPr="001D41EA" w:rsidRDefault="00566EA9" w:rsidP="001D41EA">
            <w:pPr>
              <w:spacing w:before="40" w:after="40"/>
              <w:jc w:val="center"/>
              <w:rPr>
                <w:rFonts w:cs="Arial"/>
                <w:sz w:val="18"/>
                <w:szCs w:val="18"/>
              </w:rPr>
            </w:pPr>
            <w:r w:rsidRPr="001D41EA">
              <w:rPr>
                <w:rFonts w:cs="Arial"/>
                <w:sz w:val="18"/>
                <w:szCs w:val="18"/>
              </w:rPr>
              <w:t>1.791</w:t>
            </w:r>
          </w:p>
        </w:tc>
        <w:tc>
          <w:tcPr>
            <w:tcW w:w="1134" w:type="dxa"/>
            <w:tcBorders>
              <w:top w:val="nil"/>
              <w:left w:val="nil"/>
              <w:bottom w:val="nil"/>
              <w:right w:val="nil"/>
            </w:tcBorders>
            <w:shd w:val="clear" w:color="auto" w:fill="auto"/>
            <w:vAlign w:val="bottom"/>
          </w:tcPr>
          <w:p w14:paraId="2C5EA764" w14:textId="641520A5" w:rsidR="00566EA9" w:rsidRPr="001D41EA" w:rsidRDefault="00566EA9" w:rsidP="001D41EA">
            <w:pPr>
              <w:spacing w:before="40" w:after="40"/>
              <w:jc w:val="center"/>
              <w:rPr>
                <w:rFonts w:cs="Arial"/>
                <w:sz w:val="18"/>
                <w:szCs w:val="18"/>
              </w:rPr>
            </w:pPr>
            <w:r w:rsidRPr="001D41EA">
              <w:rPr>
                <w:rFonts w:cs="Arial"/>
                <w:sz w:val="18"/>
                <w:szCs w:val="18"/>
              </w:rPr>
              <w:t>1.776</w:t>
            </w:r>
          </w:p>
        </w:tc>
        <w:tc>
          <w:tcPr>
            <w:tcW w:w="1134" w:type="dxa"/>
            <w:tcBorders>
              <w:top w:val="nil"/>
              <w:left w:val="nil"/>
              <w:bottom w:val="nil"/>
              <w:right w:val="nil"/>
            </w:tcBorders>
            <w:vAlign w:val="bottom"/>
          </w:tcPr>
          <w:p w14:paraId="46487208" w14:textId="1992592C" w:rsidR="00566EA9" w:rsidRPr="001D41EA" w:rsidRDefault="00566EA9" w:rsidP="001D41EA">
            <w:pPr>
              <w:spacing w:before="40" w:after="40"/>
              <w:jc w:val="center"/>
              <w:rPr>
                <w:rFonts w:cs="Arial"/>
                <w:sz w:val="18"/>
                <w:szCs w:val="18"/>
              </w:rPr>
            </w:pPr>
            <w:r w:rsidRPr="001D41EA">
              <w:rPr>
                <w:rFonts w:cs="Arial"/>
                <w:sz w:val="18"/>
                <w:szCs w:val="18"/>
              </w:rPr>
              <w:t>1.766</w:t>
            </w:r>
          </w:p>
        </w:tc>
        <w:tc>
          <w:tcPr>
            <w:tcW w:w="1134" w:type="dxa"/>
            <w:tcBorders>
              <w:top w:val="nil"/>
              <w:left w:val="nil"/>
              <w:bottom w:val="nil"/>
              <w:right w:val="nil"/>
            </w:tcBorders>
            <w:vAlign w:val="bottom"/>
          </w:tcPr>
          <w:p w14:paraId="2058C1ED" w14:textId="1E73B0CC" w:rsidR="00566EA9" w:rsidRPr="001D41EA" w:rsidRDefault="00566EA9" w:rsidP="001D41EA">
            <w:pPr>
              <w:spacing w:before="40" w:after="40"/>
              <w:jc w:val="center"/>
              <w:rPr>
                <w:rFonts w:cs="Arial"/>
                <w:sz w:val="18"/>
                <w:szCs w:val="18"/>
              </w:rPr>
            </w:pPr>
            <w:r w:rsidRPr="001D41EA">
              <w:rPr>
                <w:rFonts w:cs="Arial"/>
                <w:sz w:val="18"/>
                <w:szCs w:val="18"/>
              </w:rPr>
              <w:t>1.787</w:t>
            </w:r>
          </w:p>
        </w:tc>
        <w:tc>
          <w:tcPr>
            <w:tcW w:w="1134" w:type="dxa"/>
            <w:tcBorders>
              <w:top w:val="nil"/>
              <w:left w:val="nil"/>
              <w:bottom w:val="nil"/>
              <w:right w:val="nil"/>
            </w:tcBorders>
            <w:vAlign w:val="bottom"/>
          </w:tcPr>
          <w:p w14:paraId="644B7A6A" w14:textId="57524458" w:rsidR="00566EA9" w:rsidRPr="001D41EA" w:rsidRDefault="00566EA9" w:rsidP="001D41EA">
            <w:pPr>
              <w:spacing w:before="40" w:after="40"/>
              <w:jc w:val="center"/>
              <w:rPr>
                <w:rFonts w:cs="Arial"/>
                <w:sz w:val="18"/>
                <w:szCs w:val="18"/>
              </w:rPr>
            </w:pPr>
            <w:r w:rsidRPr="001D41EA">
              <w:rPr>
                <w:rFonts w:cs="Arial"/>
                <w:sz w:val="18"/>
                <w:szCs w:val="18"/>
              </w:rPr>
              <w:t>1.745</w:t>
            </w:r>
          </w:p>
        </w:tc>
        <w:tc>
          <w:tcPr>
            <w:tcW w:w="1134" w:type="dxa"/>
            <w:tcBorders>
              <w:top w:val="nil"/>
              <w:left w:val="nil"/>
              <w:bottom w:val="nil"/>
              <w:right w:val="nil"/>
            </w:tcBorders>
            <w:shd w:val="clear" w:color="auto" w:fill="auto"/>
            <w:vAlign w:val="bottom"/>
          </w:tcPr>
          <w:p w14:paraId="3EA428B9" w14:textId="0A14D3B1" w:rsidR="00566EA9" w:rsidRPr="001D41EA" w:rsidRDefault="00566EA9" w:rsidP="001D41EA">
            <w:pPr>
              <w:spacing w:before="40" w:after="40"/>
              <w:jc w:val="center"/>
              <w:rPr>
                <w:rFonts w:cs="Arial"/>
                <w:sz w:val="18"/>
                <w:szCs w:val="18"/>
              </w:rPr>
            </w:pPr>
            <w:r w:rsidRPr="001D41EA">
              <w:rPr>
                <w:rFonts w:cs="Arial"/>
                <w:sz w:val="18"/>
                <w:szCs w:val="18"/>
              </w:rPr>
              <w:t>1.770</w:t>
            </w:r>
          </w:p>
        </w:tc>
      </w:tr>
      <w:tr w:rsidR="00566EA9" w:rsidRPr="001D41EA" w14:paraId="02FFDB3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5741F44" w14:textId="77777777" w:rsidR="00566EA9" w:rsidRPr="001D41EA" w:rsidRDefault="00566EA9" w:rsidP="001D41EA">
            <w:pPr>
              <w:spacing w:before="40" w:after="40"/>
              <w:rPr>
                <w:rFonts w:cs="Arial"/>
                <w:sz w:val="18"/>
                <w:szCs w:val="18"/>
              </w:rPr>
            </w:pPr>
            <w:r w:rsidRPr="001D41EA">
              <w:rPr>
                <w:rFonts w:cs="Arial"/>
                <w:sz w:val="18"/>
                <w:szCs w:val="18"/>
              </w:rPr>
              <w:t>Campaspe S</w:t>
            </w:r>
          </w:p>
        </w:tc>
        <w:tc>
          <w:tcPr>
            <w:tcW w:w="1134" w:type="dxa"/>
            <w:tcBorders>
              <w:top w:val="nil"/>
              <w:left w:val="single" w:sz="18" w:space="0" w:color="5F497A" w:themeColor="accent4" w:themeShade="BF"/>
              <w:bottom w:val="nil"/>
              <w:right w:val="nil"/>
            </w:tcBorders>
            <w:shd w:val="clear" w:color="auto" w:fill="auto"/>
            <w:vAlign w:val="bottom"/>
          </w:tcPr>
          <w:p w14:paraId="42E052B6" w14:textId="5C09DA1B" w:rsidR="00566EA9" w:rsidRPr="001D41EA" w:rsidRDefault="00566EA9" w:rsidP="001D41EA">
            <w:pPr>
              <w:spacing w:before="40" w:after="40"/>
              <w:jc w:val="center"/>
              <w:rPr>
                <w:rFonts w:cs="Arial"/>
                <w:sz w:val="18"/>
                <w:szCs w:val="18"/>
              </w:rPr>
            </w:pPr>
            <w:r w:rsidRPr="001D41EA">
              <w:rPr>
                <w:rFonts w:cs="Arial"/>
                <w:sz w:val="18"/>
                <w:szCs w:val="18"/>
              </w:rPr>
              <w:t>1.388</w:t>
            </w:r>
          </w:p>
        </w:tc>
        <w:tc>
          <w:tcPr>
            <w:tcW w:w="1134" w:type="dxa"/>
            <w:tcBorders>
              <w:top w:val="nil"/>
              <w:left w:val="nil"/>
              <w:bottom w:val="nil"/>
              <w:right w:val="nil"/>
            </w:tcBorders>
            <w:shd w:val="clear" w:color="auto" w:fill="auto"/>
            <w:vAlign w:val="bottom"/>
          </w:tcPr>
          <w:p w14:paraId="32D1F63F" w14:textId="01012F7B" w:rsidR="00566EA9" w:rsidRPr="001D41EA" w:rsidRDefault="00566EA9" w:rsidP="001D41EA">
            <w:pPr>
              <w:spacing w:before="40" w:after="40"/>
              <w:jc w:val="center"/>
              <w:rPr>
                <w:rFonts w:cs="Arial"/>
                <w:sz w:val="18"/>
                <w:szCs w:val="18"/>
              </w:rPr>
            </w:pPr>
            <w:r w:rsidRPr="001D41EA">
              <w:rPr>
                <w:rFonts w:cs="Arial"/>
                <w:sz w:val="18"/>
                <w:szCs w:val="18"/>
              </w:rPr>
              <w:t>1.376</w:t>
            </w:r>
          </w:p>
        </w:tc>
        <w:tc>
          <w:tcPr>
            <w:tcW w:w="1134" w:type="dxa"/>
            <w:tcBorders>
              <w:top w:val="nil"/>
              <w:left w:val="nil"/>
              <w:bottom w:val="nil"/>
              <w:right w:val="nil"/>
            </w:tcBorders>
            <w:vAlign w:val="bottom"/>
          </w:tcPr>
          <w:p w14:paraId="3BE09878" w14:textId="258723DA" w:rsidR="00566EA9" w:rsidRPr="001D41EA" w:rsidRDefault="00566EA9" w:rsidP="001D41EA">
            <w:pPr>
              <w:spacing w:before="40" w:after="40"/>
              <w:jc w:val="center"/>
              <w:rPr>
                <w:rFonts w:cs="Arial"/>
                <w:sz w:val="18"/>
                <w:szCs w:val="18"/>
              </w:rPr>
            </w:pPr>
            <w:r w:rsidRPr="001D41EA">
              <w:rPr>
                <w:rFonts w:cs="Arial"/>
                <w:sz w:val="18"/>
                <w:szCs w:val="18"/>
              </w:rPr>
              <w:t>1.368</w:t>
            </w:r>
          </w:p>
        </w:tc>
        <w:tc>
          <w:tcPr>
            <w:tcW w:w="1134" w:type="dxa"/>
            <w:tcBorders>
              <w:top w:val="nil"/>
              <w:left w:val="nil"/>
              <w:bottom w:val="nil"/>
              <w:right w:val="nil"/>
            </w:tcBorders>
            <w:vAlign w:val="bottom"/>
          </w:tcPr>
          <w:p w14:paraId="0F4259F9" w14:textId="4C773571" w:rsidR="00566EA9" w:rsidRPr="001D41EA" w:rsidRDefault="00566EA9" w:rsidP="001D41EA">
            <w:pPr>
              <w:spacing w:before="40" w:after="40"/>
              <w:jc w:val="center"/>
              <w:rPr>
                <w:rFonts w:cs="Arial"/>
                <w:sz w:val="18"/>
                <w:szCs w:val="18"/>
              </w:rPr>
            </w:pPr>
            <w:r w:rsidRPr="001D41EA">
              <w:rPr>
                <w:rFonts w:cs="Arial"/>
                <w:sz w:val="18"/>
                <w:szCs w:val="18"/>
              </w:rPr>
              <w:t>1.384</w:t>
            </w:r>
          </w:p>
        </w:tc>
        <w:tc>
          <w:tcPr>
            <w:tcW w:w="1134" w:type="dxa"/>
            <w:tcBorders>
              <w:top w:val="nil"/>
              <w:left w:val="nil"/>
              <w:bottom w:val="nil"/>
              <w:right w:val="nil"/>
            </w:tcBorders>
            <w:vAlign w:val="bottom"/>
          </w:tcPr>
          <w:p w14:paraId="3245F54F" w14:textId="144A0DD4" w:rsidR="00566EA9" w:rsidRPr="001D41EA" w:rsidRDefault="00566EA9" w:rsidP="001D41EA">
            <w:pPr>
              <w:spacing w:before="40" w:after="40"/>
              <w:jc w:val="center"/>
              <w:rPr>
                <w:rFonts w:cs="Arial"/>
                <w:sz w:val="18"/>
                <w:szCs w:val="18"/>
              </w:rPr>
            </w:pPr>
            <w:r w:rsidRPr="001D41EA">
              <w:rPr>
                <w:rFonts w:cs="Arial"/>
                <w:sz w:val="18"/>
                <w:szCs w:val="18"/>
              </w:rPr>
              <w:t>1.352</w:t>
            </w:r>
          </w:p>
        </w:tc>
        <w:tc>
          <w:tcPr>
            <w:tcW w:w="1134" w:type="dxa"/>
            <w:tcBorders>
              <w:top w:val="nil"/>
              <w:left w:val="nil"/>
              <w:bottom w:val="nil"/>
              <w:right w:val="nil"/>
            </w:tcBorders>
            <w:shd w:val="clear" w:color="auto" w:fill="auto"/>
            <w:vAlign w:val="bottom"/>
          </w:tcPr>
          <w:p w14:paraId="40E096A4" w14:textId="78012AAB" w:rsidR="00566EA9" w:rsidRPr="001D41EA" w:rsidRDefault="00566EA9" w:rsidP="001D41EA">
            <w:pPr>
              <w:spacing w:before="40" w:after="40"/>
              <w:jc w:val="center"/>
              <w:rPr>
                <w:rFonts w:cs="Arial"/>
                <w:sz w:val="18"/>
                <w:szCs w:val="18"/>
              </w:rPr>
            </w:pPr>
            <w:r w:rsidRPr="001D41EA">
              <w:rPr>
                <w:rFonts w:cs="Arial"/>
                <w:sz w:val="18"/>
                <w:szCs w:val="18"/>
              </w:rPr>
              <w:t>1.371</w:t>
            </w:r>
          </w:p>
        </w:tc>
      </w:tr>
      <w:tr w:rsidR="00566EA9" w:rsidRPr="001D41EA" w14:paraId="08BCE11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C8A557B" w14:textId="77777777" w:rsidR="00566EA9" w:rsidRPr="001D41EA" w:rsidRDefault="00566EA9" w:rsidP="001D41EA">
            <w:pPr>
              <w:spacing w:before="40" w:after="40"/>
              <w:rPr>
                <w:rFonts w:cs="Arial"/>
                <w:sz w:val="18"/>
                <w:szCs w:val="18"/>
              </w:rPr>
            </w:pPr>
            <w:r w:rsidRPr="001D41EA">
              <w:rPr>
                <w:rFonts w:cs="Arial"/>
                <w:sz w:val="18"/>
                <w:szCs w:val="18"/>
              </w:rPr>
              <w:t>Cardinia S</w:t>
            </w:r>
          </w:p>
        </w:tc>
        <w:tc>
          <w:tcPr>
            <w:tcW w:w="1134" w:type="dxa"/>
            <w:tcBorders>
              <w:top w:val="nil"/>
              <w:left w:val="single" w:sz="18" w:space="0" w:color="5F497A" w:themeColor="accent4" w:themeShade="BF"/>
              <w:bottom w:val="nil"/>
              <w:right w:val="nil"/>
            </w:tcBorders>
            <w:shd w:val="clear" w:color="auto" w:fill="auto"/>
            <w:vAlign w:val="bottom"/>
          </w:tcPr>
          <w:p w14:paraId="51FE0A81" w14:textId="5FCEEC36" w:rsidR="00566EA9" w:rsidRPr="001D41EA" w:rsidRDefault="00566EA9" w:rsidP="001D41EA">
            <w:pPr>
              <w:spacing w:before="40" w:after="40"/>
              <w:jc w:val="center"/>
              <w:rPr>
                <w:rFonts w:cs="Arial"/>
                <w:sz w:val="18"/>
                <w:szCs w:val="18"/>
              </w:rPr>
            </w:pPr>
            <w:r w:rsidRPr="001D41EA">
              <w:rPr>
                <w:rFonts w:cs="Arial"/>
                <w:sz w:val="18"/>
                <w:szCs w:val="18"/>
              </w:rPr>
              <w:t>1.192</w:t>
            </w:r>
          </w:p>
        </w:tc>
        <w:tc>
          <w:tcPr>
            <w:tcW w:w="1134" w:type="dxa"/>
            <w:tcBorders>
              <w:top w:val="nil"/>
              <w:left w:val="nil"/>
              <w:bottom w:val="nil"/>
              <w:right w:val="nil"/>
            </w:tcBorders>
            <w:shd w:val="clear" w:color="auto" w:fill="auto"/>
            <w:vAlign w:val="bottom"/>
          </w:tcPr>
          <w:p w14:paraId="19E5D7E6" w14:textId="2048CAD5" w:rsidR="00566EA9" w:rsidRPr="001D41EA" w:rsidRDefault="00566EA9" w:rsidP="001D41EA">
            <w:pPr>
              <w:spacing w:before="40" w:after="40"/>
              <w:jc w:val="center"/>
              <w:rPr>
                <w:rFonts w:cs="Arial"/>
                <w:sz w:val="18"/>
                <w:szCs w:val="18"/>
              </w:rPr>
            </w:pPr>
            <w:r w:rsidRPr="001D41EA">
              <w:rPr>
                <w:rFonts w:cs="Arial"/>
                <w:sz w:val="18"/>
                <w:szCs w:val="18"/>
              </w:rPr>
              <w:t>1.182</w:t>
            </w:r>
          </w:p>
        </w:tc>
        <w:tc>
          <w:tcPr>
            <w:tcW w:w="1134" w:type="dxa"/>
            <w:tcBorders>
              <w:top w:val="nil"/>
              <w:left w:val="nil"/>
              <w:bottom w:val="nil"/>
              <w:right w:val="nil"/>
            </w:tcBorders>
            <w:vAlign w:val="bottom"/>
          </w:tcPr>
          <w:p w14:paraId="21984EA6" w14:textId="239A007B" w:rsidR="00566EA9" w:rsidRPr="001D41EA" w:rsidRDefault="00566EA9" w:rsidP="001D41EA">
            <w:pPr>
              <w:spacing w:before="40" w:after="40"/>
              <w:jc w:val="center"/>
              <w:rPr>
                <w:rFonts w:cs="Arial"/>
                <w:sz w:val="18"/>
                <w:szCs w:val="18"/>
              </w:rPr>
            </w:pPr>
            <w:r w:rsidRPr="001D41EA">
              <w:rPr>
                <w:rFonts w:cs="Arial"/>
                <w:sz w:val="18"/>
                <w:szCs w:val="18"/>
              </w:rPr>
              <w:t>1.175</w:t>
            </w:r>
          </w:p>
        </w:tc>
        <w:tc>
          <w:tcPr>
            <w:tcW w:w="1134" w:type="dxa"/>
            <w:tcBorders>
              <w:top w:val="nil"/>
              <w:left w:val="nil"/>
              <w:bottom w:val="nil"/>
              <w:right w:val="nil"/>
            </w:tcBorders>
            <w:vAlign w:val="bottom"/>
          </w:tcPr>
          <w:p w14:paraId="48F63F56" w14:textId="661143E0" w:rsidR="00566EA9" w:rsidRPr="001D41EA" w:rsidRDefault="00566EA9" w:rsidP="001D41EA">
            <w:pPr>
              <w:spacing w:before="40" w:after="40"/>
              <w:jc w:val="center"/>
              <w:rPr>
                <w:rFonts w:cs="Arial"/>
                <w:sz w:val="18"/>
                <w:szCs w:val="18"/>
              </w:rPr>
            </w:pPr>
            <w:r w:rsidRPr="001D41EA">
              <w:rPr>
                <w:rFonts w:cs="Arial"/>
                <w:sz w:val="18"/>
                <w:szCs w:val="18"/>
              </w:rPr>
              <w:t>1.189</w:t>
            </w:r>
          </w:p>
        </w:tc>
        <w:tc>
          <w:tcPr>
            <w:tcW w:w="1134" w:type="dxa"/>
            <w:tcBorders>
              <w:top w:val="nil"/>
              <w:left w:val="nil"/>
              <w:bottom w:val="nil"/>
              <w:right w:val="nil"/>
            </w:tcBorders>
            <w:vAlign w:val="bottom"/>
          </w:tcPr>
          <w:p w14:paraId="6B0E03B4" w14:textId="3F65D65F" w:rsidR="00566EA9" w:rsidRPr="001D41EA" w:rsidRDefault="00566EA9" w:rsidP="001D41EA">
            <w:pPr>
              <w:spacing w:before="40" w:after="40"/>
              <w:jc w:val="center"/>
              <w:rPr>
                <w:rFonts w:cs="Arial"/>
                <w:sz w:val="18"/>
                <w:szCs w:val="18"/>
              </w:rPr>
            </w:pPr>
            <w:r w:rsidRPr="001D41EA">
              <w:rPr>
                <w:rFonts w:cs="Arial"/>
                <w:sz w:val="18"/>
                <w:szCs w:val="18"/>
              </w:rPr>
              <w:t>1.161</w:t>
            </w:r>
          </w:p>
        </w:tc>
        <w:tc>
          <w:tcPr>
            <w:tcW w:w="1134" w:type="dxa"/>
            <w:tcBorders>
              <w:top w:val="nil"/>
              <w:left w:val="nil"/>
              <w:bottom w:val="nil"/>
              <w:right w:val="nil"/>
            </w:tcBorders>
            <w:shd w:val="clear" w:color="auto" w:fill="auto"/>
            <w:vAlign w:val="bottom"/>
          </w:tcPr>
          <w:p w14:paraId="13B10296" w14:textId="40DDC6DD" w:rsidR="00566EA9" w:rsidRPr="001D41EA" w:rsidRDefault="00566EA9" w:rsidP="001D41EA">
            <w:pPr>
              <w:spacing w:before="40" w:after="40"/>
              <w:jc w:val="center"/>
              <w:rPr>
                <w:rFonts w:cs="Arial"/>
                <w:sz w:val="18"/>
                <w:szCs w:val="18"/>
              </w:rPr>
            </w:pPr>
            <w:r w:rsidRPr="001D41EA">
              <w:rPr>
                <w:rFonts w:cs="Arial"/>
                <w:sz w:val="18"/>
                <w:szCs w:val="18"/>
              </w:rPr>
              <w:t>1.177</w:t>
            </w:r>
          </w:p>
        </w:tc>
      </w:tr>
      <w:tr w:rsidR="00566EA9" w:rsidRPr="001D41EA" w14:paraId="176297D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11372AA" w14:textId="77777777" w:rsidR="00566EA9" w:rsidRPr="001D41EA" w:rsidRDefault="00566EA9" w:rsidP="001D41EA">
            <w:pPr>
              <w:spacing w:before="40" w:after="40"/>
              <w:rPr>
                <w:rFonts w:cs="Arial"/>
                <w:sz w:val="18"/>
                <w:szCs w:val="18"/>
              </w:rPr>
            </w:pPr>
            <w:r w:rsidRPr="001D41EA">
              <w:rPr>
                <w:rFonts w:cs="Arial"/>
                <w:sz w:val="18"/>
                <w:szCs w:val="18"/>
              </w:rPr>
              <w:t>Casey C</w:t>
            </w:r>
          </w:p>
        </w:tc>
        <w:tc>
          <w:tcPr>
            <w:tcW w:w="1134" w:type="dxa"/>
            <w:tcBorders>
              <w:top w:val="nil"/>
              <w:left w:val="single" w:sz="18" w:space="0" w:color="5F497A" w:themeColor="accent4" w:themeShade="BF"/>
              <w:bottom w:val="nil"/>
              <w:right w:val="nil"/>
            </w:tcBorders>
            <w:shd w:val="clear" w:color="auto" w:fill="auto"/>
            <w:vAlign w:val="bottom"/>
          </w:tcPr>
          <w:p w14:paraId="7222B8A6" w14:textId="1722E9A6" w:rsidR="00566EA9" w:rsidRPr="001D41EA" w:rsidRDefault="00566EA9" w:rsidP="001D41EA">
            <w:pPr>
              <w:spacing w:before="40" w:after="40"/>
              <w:jc w:val="center"/>
              <w:rPr>
                <w:rFonts w:cs="Arial"/>
                <w:sz w:val="18"/>
                <w:szCs w:val="18"/>
              </w:rPr>
            </w:pPr>
            <w:r w:rsidRPr="001D41EA">
              <w:rPr>
                <w:rFonts w:cs="Arial"/>
                <w:sz w:val="18"/>
                <w:szCs w:val="18"/>
              </w:rPr>
              <w:t>0.906</w:t>
            </w:r>
          </w:p>
        </w:tc>
        <w:tc>
          <w:tcPr>
            <w:tcW w:w="1134" w:type="dxa"/>
            <w:tcBorders>
              <w:top w:val="nil"/>
              <w:left w:val="nil"/>
              <w:bottom w:val="nil"/>
              <w:right w:val="nil"/>
            </w:tcBorders>
            <w:shd w:val="clear" w:color="auto" w:fill="auto"/>
            <w:vAlign w:val="bottom"/>
          </w:tcPr>
          <w:p w14:paraId="3912B0CA" w14:textId="316A4538" w:rsidR="00566EA9" w:rsidRPr="001D41EA" w:rsidRDefault="00566EA9" w:rsidP="001D41EA">
            <w:pPr>
              <w:spacing w:before="40" w:after="40"/>
              <w:jc w:val="center"/>
              <w:rPr>
                <w:rFonts w:cs="Arial"/>
                <w:sz w:val="18"/>
                <w:szCs w:val="18"/>
              </w:rPr>
            </w:pPr>
            <w:r w:rsidRPr="001D41EA">
              <w:rPr>
                <w:rFonts w:cs="Arial"/>
                <w:sz w:val="18"/>
                <w:szCs w:val="18"/>
              </w:rPr>
              <w:t>0.898</w:t>
            </w:r>
          </w:p>
        </w:tc>
        <w:tc>
          <w:tcPr>
            <w:tcW w:w="1134" w:type="dxa"/>
            <w:tcBorders>
              <w:top w:val="nil"/>
              <w:left w:val="nil"/>
              <w:bottom w:val="nil"/>
              <w:right w:val="nil"/>
            </w:tcBorders>
            <w:vAlign w:val="bottom"/>
          </w:tcPr>
          <w:p w14:paraId="1D151239" w14:textId="54EE4CDC" w:rsidR="00566EA9" w:rsidRPr="001D41EA" w:rsidRDefault="00566EA9" w:rsidP="001D41EA">
            <w:pPr>
              <w:spacing w:before="40" w:after="4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5ECA7AD9" w14:textId="550773C1" w:rsidR="00566EA9" w:rsidRPr="001D41EA" w:rsidRDefault="00566EA9" w:rsidP="001D41EA">
            <w:pPr>
              <w:spacing w:before="40" w:after="40"/>
              <w:jc w:val="center"/>
              <w:rPr>
                <w:rFonts w:cs="Arial"/>
                <w:sz w:val="18"/>
                <w:szCs w:val="18"/>
              </w:rPr>
            </w:pPr>
            <w:r w:rsidRPr="001D41EA">
              <w:rPr>
                <w:rFonts w:cs="Arial"/>
                <w:sz w:val="18"/>
                <w:szCs w:val="18"/>
              </w:rPr>
              <w:t>0.904</w:t>
            </w:r>
          </w:p>
        </w:tc>
        <w:tc>
          <w:tcPr>
            <w:tcW w:w="1134" w:type="dxa"/>
            <w:tcBorders>
              <w:top w:val="nil"/>
              <w:left w:val="nil"/>
              <w:bottom w:val="nil"/>
              <w:right w:val="nil"/>
            </w:tcBorders>
            <w:vAlign w:val="bottom"/>
          </w:tcPr>
          <w:p w14:paraId="4C68CA35" w14:textId="19F0992B" w:rsidR="00566EA9" w:rsidRPr="001D41EA" w:rsidRDefault="00566EA9" w:rsidP="001D41EA">
            <w:pPr>
              <w:spacing w:before="40" w:after="40"/>
              <w:jc w:val="center"/>
              <w:rPr>
                <w:rFonts w:cs="Arial"/>
                <w:sz w:val="18"/>
                <w:szCs w:val="18"/>
              </w:rPr>
            </w:pPr>
            <w:r w:rsidRPr="001D41EA">
              <w:rPr>
                <w:rFonts w:cs="Arial"/>
                <w:sz w:val="18"/>
                <w:szCs w:val="18"/>
              </w:rPr>
              <w:t>0.883</w:t>
            </w:r>
          </w:p>
        </w:tc>
        <w:tc>
          <w:tcPr>
            <w:tcW w:w="1134" w:type="dxa"/>
            <w:tcBorders>
              <w:top w:val="nil"/>
              <w:left w:val="nil"/>
              <w:bottom w:val="nil"/>
              <w:right w:val="nil"/>
            </w:tcBorders>
            <w:shd w:val="clear" w:color="auto" w:fill="auto"/>
            <w:vAlign w:val="bottom"/>
          </w:tcPr>
          <w:p w14:paraId="6B222140" w14:textId="3E30C93C" w:rsidR="00566EA9" w:rsidRPr="001D41EA" w:rsidRDefault="00566EA9" w:rsidP="001D41EA">
            <w:pPr>
              <w:spacing w:before="40" w:after="40"/>
              <w:jc w:val="center"/>
              <w:rPr>
                <w:rFonts w:cs="Arial"/>
                <w:sz w:val="18"/>
                <w:szCs w:val="18"/>
              </w:rPr>
            </w:pPr>
            <w:r w:rsidRPr="001D41EA">
              <w:rPr>
                <w:rFonts w:cs="Arial"/>
                <w:sz w:val="18"/>
                <w:szCs w:val="18"/>
              </w:rPr>
              <w:t>0.895</w:t>
            </w:r>
          </w:p>
        </w:tc>
      </w:tr>
      <w:tr w:rsidR="00566EA9" w:rsidRPr="001D41EA" w14:paraId="30978C9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C6751FE" w14:textId="77777777" w:rsidR="00566EA9" w:rsidRPr="001D41EA" w:rsidRDefault="00566EA9" w:rsidP="001D41EA">
            <w:pPr>
              <w:spacing w:before="40" w:after="40"/>
              <w:rPr>
                <w:rFonts w:cs="Arial"/>
                <w:sz w:val="18"/>
                <w:szCs w:val="18"/>
              </w:rPr>
            </w:pPr>
            <w:r w:rsidRPr="001D41EA">
              <w:rPr>
                <w:rFonts w:cs="Arial"/>
                <w:sz w:val="18"/>
                <w:szCs w:val="18"/>
              </w:rPr>
              <w:t>Central Goldfields S</w:t>
            </w:r>
          </w:p>
        </w:tc>
        <w:tc>
          <w:tcPr>
            <w:tcW w:w="1134" w:type="dxa"/>
            <w:tcBorders>
              <w:top w:val="nil"/>
              <w:left w:val="single" w:sz="18" w:space="0" w:color="5F497A" w:themeColor="accent4" w:themeShade="BF"/>
              <w:bottom w:val="nil"/>
              <w:right w:val="nil"/>
            </w:tcBorders>
            <w:shd w:val="clear" w:color="auto" w:fill="auto"/>
            <w:vAlign w:val="bottom"/>
          </w:tcPr>
          <w:p w14:paraId="62C15D08" w14:textId="70A4C8A1" w:rsidR="00566EA9" w:rsidRPr="001D41EA" w:rsidRDefault="00566EA9" w:rsidP="001D41EA">
            <w:pPr>
              <w:spacing w:before="40" w:after="40"/>
              <w:jc w:val="center"/>
              <w:rPr>
                <w:rFonts w:cs="Arial"/>
                <w:sz w:val="18"/>
                <w:szCs w:val="18"/>
              </w:rPr>
            </w:pPr>
            <w:r w:rsidRPr="001D41EA">
              <w:rPr>
                <w:rFonts w:cs="Arial"/>
                <w:sz w:val="18"/>
                <w:szCs w:val="18"/>
              </w:rPr>
              <w:t>1.030</w:t>
            </w:r>
          </w:p>
        </w:tc>
        <w:tc>
          <w:tcPr>
            <w:tcW w:w="1134" w:type="dxa"/>
            <w:tcBorders>
              <w:top w:val="nil"/>
              <w:left w:val="nil"/>
              <w:bottom w:val="nil"/>
              <w:right w:val="nil"/>
            </w:tcBorders>
            <w:shd w:val="clear" w:color="auto" w:fill="auto"/>
            <w:vAlign w:val="bottom"/>
          </w:tcPr>
          <w:p w14:paraId="2F1ADAFE" w14:textId="7CB1AD6A" w:rsidR="00566EA9" w:rsidRPr="001D41EA" w:rsidRDefault="00566EA9" w:rsidP="001D41EA">
            <w:pPr>
              <w:spacing w:before="40" w:after="40"/>
              <w:jc w:val="center"/>
              <w:rPr>
                <w:rFonts w:cs="Arial"/>
                <w:sz w:val="18"/>
                <w:szCs w:val="18"/>
              </w:rPr>
            </w:pPr>
            <w:r w:rsidRPr="001D41EA">
              <w:rPr>
                <w:rFonts w:cs="Arial"/>
                <w:sz w:val="18"/>
                <w:szCs w:val="18"/>
              </w:rPr>
              <w:t>1.021</w:t>
            </w:r>
          </w:p>
        </w:tc>
        <w:tc>
          <w:tcPr>
            <w:tcW w:w="1134" w:type="dxa"/>
            <w:tcBorders>
              <w:top w:val="nil"/>
              <w:left w:val="nil"/>
              <w:bottom w:val="nil"/>
              <w:right w:val="nil"/>
            </w:tcBorders>
            <w:vAlign w:val="bottom"/>
          </w:tcPr>
          <w:p w14:paraId="34500902" w14:textId="4756AF1F" w:rsidR="00566EA9" w:rsidRPr="001D41EA" w:rsidRDefault="00566EA9" w:rsidP="001D41EA">
            <w:pPr>
              <w:spacing w:before="40" w:after="40"/>
              <w:jc w:val="center"/>
              <w:rPr>
                <w:rFonts w:cs="Arial"/>
                <w:sz w:val="18"/>
                <w:szCs w:val="18"/>
              </w:rPr>
            </w:pPr>
            <w:r w:rsidRPr="001D41EA">
              <w:rPr>
                <w:rFonts w:cs="Arial"/>
                <w:sz w:val="18"/>
                <w:szCs w:val="18"/>
              </w:rPr>
              <w:t>1.015</w:t>
            </w:r>
          </w:p>
        </w:tc>
        <w:tc>
          <w:tcPr>
            <w:tcW w:w="1134" w:type="dxa"/>
            <w:tcBorders>
              <w:top w:val="nil"/>
              <w:left w:val="nil"/>
              <w:bottom w:val="nil"/>
              <w:right w:val="nil"/>
            </w:tcBorders>
            <w:vAlign w:val="bottom"/>
          </w:tcPr>
          <w:p w14:paraId="27ACB09F" w14:textId="63891C97" w:rsidR="00566EA9" w:rsidRPr="001D41EA" w:rsidRDefault="00566EA9" w:rsidP="001D41EA">
            <w:pPr>
              <w:spacing w:before="40" w:after="40"/>
              <w:jc w:val="center"/>
              <w:rPr>
                <w:rFonts w:cs="Arial"/>
                <w:sz w:val="18"/>
                <w:szCs w:val="18"/>
              </w:rPr>
            </w:pPr>
            <w:r w:rsidRPr="001D41EA">
              <w:rPr>
                <w:rFonts w:cs="Arial"/>
                <w:sz w:val="18"/>
                <w:szCs w:val="18"/>
              </w:rPr>
              <w:t>1.027</w:t>
            </w:r>
          </w:p>
        </w:tc>
        <w:tc>
          <w:tcPr>
            <w:tcW w:w="1134" w:type="dxa"/>
            <w:tcBorders>
              <w:top w:val="nil"/>
              <w:left w:val="nil"/>
              <w:bottom w:val="nil"/>
              <w:right w:val="nil"/>
            </w:tcBorders>
            <w:vAlign w:val="bottom"/>
          </w:tcPr>
          <w:p w14:paraId="7D76572F" w14:textId="1E1AAF04" w:rsidR="00566EA9" w:rsidRPr="001D41EA" w:rsidRDefault="00566EA9" w:rsidP="001D41EA">
            <w:pPr>
              <w:spacing w:before="40" w:after="40"/>
              <w:jc w:val="center"/>
              <w:rPr>
                <w:rFonts w:cs="Arial"/>
                <w:sz w:val="18"/>
                <w:szCs w:val="18"/>
              </w:rPr>
            </w:pPr>
            <w:r w:rsidRPr="001D41EA">
              <w:rPr>
                <w:rFonts w:cs="Arial"/>
                <w:sz w:val="18"/>
                <w:szCs w:val="18"/>
              </w:rPr>
              <w:t>1.003</w:t>
            </w:r>
          </w:p>
        </w:tc>
        <w:tc>
          <w:tcPr>
            <w:tcW w:w="1134" w:type="dxa"/>
            <w:tcBorders>
              <w:top w:val="nil"/>
              <w:left w:val="nil"/>
              <w:bottom w:val="nil"/>
              <w:right w:val="nil"/>
            </w:tcBorders>
            <w:shd w:val="clear" w:color="auto" w:fill="auto"/>
            <w:vAlign w:val="bottom"/>
          </w:tcPr>
          <w:p w14:paraId="3FFB8E86" w14:textId="00B8DDFC" w:rsidR="00566EA9" w:rsidRPr="001D41EA" w:rsidRDefault="00566EA9" w:rsidP="001D41EA">
            <w:pPr>
              <w:spacing w:before="40" w:after="40"/>
              <w:jc w:val="center"/>
              <w:rPr>
                <w:rFonts w:cs="Arial"/>
                <w:sz w:val="18"/>
                <w:szCs w:val="18"/>
              </w:rPr>
            </w:pPr>
            <w:r w:rsidRPr="001D41EA">
              <w:rPr>
                <w:rFonts w:cs="Arial"/>
                <w:sz w:val="18"/>
                <w:szCs w:val="18"/>
              </w:rPr>
              <w:t>1.017</w:t>
            </w:r>
          </w:p>
        </w:tc>
      </w:tr>
      <w:tr w:rsidR="00566EA9" w:rsidRPr="001D41EA" w14:paraId="55D2834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0FA2605" w14:textId="77777777" w:rsidR="00566EA9" w:rsidRPr="001D41EA" w:rsidRDefault="00566EA9" w:rsidP="001D41EA">
            <w:pPr>
              <w:spacing w:before="40" w:after="40"/>
              <w:rPr>
                <w:rFonts w:cs="Arial"/>
                <w:sz w:val="18"/>
                <w:szCs w:val="18"/>
              </w:rPr>
            </w:pPr>
            <w:r w:rsidRPr="001D41EA">
              <w:rPr>
                <w:rFonts w:cs="Arial"/>
                <w:sz w:val="18"/>
                <w:szCs w:val="18"/>
              </w:rPr>
              <w:t>Colac Otway S</w:t>
            </w:r>
          </w:p>
        </w:tc>
        <w:tc>
          <w:tcPr>
            <w:tcW w:w="1134" w:type="dxa"/>
            <w:tcBorders>
              <w:top w:val="nil"/>
              <w:left w:val="single" w:sz="18" w:space="0" w:color="5F497A" w:themeColor="accent4" w:themeShade="BF"/>
              <w:bottom w:val="nil"/>
              <w:right w:val="nil"/>
            </w:tcBorders>
            <w:shd w:val="clear" w:color="auto" w:fill="auto"/>
            <w:vAlign w:val="bottom"/>
          </w:tcPr>
          <w:p w14:paraId="5791767D" w14:textId="4F28C27F" w:rsidR="00566EA9" w:rsidRPr="001D41EA" w:rsidRDefault="00566EA9" w:rsidP="001D41EA">
            <w:pPr>
              <w:spacing w:before="40" w:after="40"/>
              <w:jc w:val="center"/>
              <w:rPr>
                <w:rFonts w:cs="Arial"/>
                <w:sz w:val="18"/>
                <w:szCs w:val="18"/>
              </w:rPr>
            </w:pPr>
            <w:r w:rsidRPr="001D41EA">
              <w:rPr>
                <w:rFonts w:cs="Arial"/>
                <w:sz w:val="18"/>
                <w:szCs w:val="18"/>
              </w:rPr>
              <w:t>1.197</w:t>
            </w:r>
          </w:p>
        </w:tc>
        <w:tc>
          <w:tcPr>
            <w:tcW w:w="1134" w:type="dxa"/>
            <w:tcBorders>
              <w:top w:val="nil"/>
              <w:left w:val="nil"/>
              <w:bottom w:val="nil"/>
              <w:right w:val="nil"/>
            </w:tcBorders>
            <w:shd w:val="clear" w:color="auto" w:fill="auto"/>
            <w:vAlign w:val="bottom"/>
          </w:tcPr>
          <w:p w14:paraId="027B901A" w14:textId="69BA5395" w:rsidR="00566EA9" w:rsidRPr="001D41EA" w:rsidRDefault="00566EA9" w:rsidP="001D41EA">
            <w:pPr>
              <w:spacing w:before="40" w:after="40"/>
              <w:jc w:val="center"/>
              <w:rPr>
                <w:rFonts w:cs="Arial"/>
                <w:sz w:val="18"/>
                <w:szCs w:val="18"/>
              </w:rPr>
            </w:pPr>
            <w:r w:rsidRPr="001D41EA">
              <w:rPr>
                <w:rFonts w:cs="Arial"/>
                <w:sz w:val="18"/>
                <w:szCs w:val="18"/>
              </w:rPr>
              <w:t>1.186</w:t>
            </w:r>
          </w:p>
        </w:tc>
        <w:tc>
          <w:tcPr>
            <w:tcW w:w="1134" w:type="dxa"/>
            <w:tcBorders>
              <w:top w:val="nil"/>
              <w:left w:val="nil"/>
              <w:bottom w:val="nil"/>
              <w:right w:val="nil"/>
            </w:tcBorders>
            <w:vAlign w:val="bottom"/>
          </w:tcPr>
          <w:p w14:paraId="5953DE21" w14:textId="2C257171" w:rsidR="00566EA9" w:rsidRPr="001D41EA" w:rsidRDefault="00566EA9" w:rsidP="001D41EA">
            <w:pPr>
              <w:spacing w:before="40" w:after="40"/>
              <w:jc w:val="center"/>
              <w:rPr>
                <w:rFonts w:cs="Arial"/>
                <w:sz w:val="18"/>
                <w:szCs w:val="18"/>
              </w:rPr>
            </w:pPr>
            <w:r w:rsidRPr="001D41EA">
              <w:rPr>
                <w:rFonts w:cs="Arial"/>
                <w:sz w:val="18"/>
                <w:szCs w:val="18"/>
              </w:rPr>
              <w:t>1.180</w:t>
            </w:r>
          </w:p>
        </w:tc>
        <w:tc>
          <w:tcPr>
            <w:tcW w:w="1134" w:type="dxa"/>
            <w:tcBorders>
              <w:top w:val="nil"/>
              <w:left w:val="nil"/>
              <w:bottom w:val="nil"/>
              <w:right w:val="nil"/>
            </w:tcBorders>
            <w:vAlign w:val="bottom"/>
          </w:tcPr>
          <w:p w14:paraId="5A6F13DD" w14:textId="337DCE9F" w:rsidR="00566EA9" w:rsidRPr="001D41EA" w:rsidRDefault="00566EA9" w:rsidP="001D41EA">
            <w:pPr>
              <w:spacing w:before="40" w:after="40"/>
              <w:jc w:val="center"/>
              <w:rPr>
                <w:rFonts w:cs="Arial"/>
                <w:sz w:val="18"/>
                <w:szCs w:val="18"/>
              </w:rPr>
            </w:pPr>
            <w:r w:rsidRPr="001D41EA">
              <w:rPr>
                <w:rFonts w:cs="Arial"/>
                <w:sz w:val="18"/>
                <w:szCs w:val="18"/>
              </w:rPr>
              <w:t>1.194</w:t>
            </w:r>
          </w:p>
        </w:tc>
        <w:tc>
          <w:tcPr>
            <w:tcW w:w="1134" w:type="dxa"/>
            <w:tcBorders>
              <w:top w:val="nil"/>
              <w:left w:val="nil"/>
              <w:bottom w:val="nil"/>
              <w:right w:val="nil"/>
            </w:tcBorders>
            <w:vAlign w:val="bottom"/>
          </w:tcPr>
          <w:p w14:paraId="017D8A09" w14:textId="7C6C8A0B" w:rsidR="00566EA9" w:rsidRPr="001D41EA" w:rsidRDefault="00566EA9" w:rsidP="001D41EA">
            <w:pPr>
              <w:spacing w:before="40" w:after="40"/>
              <w:jc w:val="center"/>
              <w:rPr>
                <w:rFonts w:cs="Arial"/>
                <w:sz w:val="18"/>
                <w:szCs w:val="18"/>
              </w:rPr>
            </w:pPr>
            <w:r w:rsidRPr="001D41EA">
              <w:rPr>
                <w:rFonts w:cs="Arial"/>
                <w:sz w:val="18"/>
                <w:szCs w:val="18"/>
              </w:rPr>
              <w:t>1.166</w:t>
            </w:r>
          </w:p>
        </w:tc>
        <w:tc>
          <w:tcPr>
            <w:tcW w:w="1134" w:type="dxa"/>
            <w:tcBorders>
              <w:top w:val="nil"/>
              <w:left w:val="nil"/>
              <w:bottom w:val="nil"/>
              <w:right w:val="nil"/>
            </w:tcBorders>
            <w:shd w:val="clear" w:color="auto" w:fill="auto"/>
            <w:vAlign w:val="bottom"/>
          </w:tcPr>
          <w:p w14:paraId="482530EB" w14:textId="6AF8B17E" w:rsidR="00566EA9" w:rsidRPr="001D41EA" w:rsidRDefault="00566EA9" w:rsidP="001D41EA">
            <w:pPr>
              <w:spacing w:before="40" w:after="40"/>
              <w:jc w:val="center"/>
              <w:rPr>
                <w:rFonts w:cs="Arial"/>
                <w:sz w:val="18"/>
                <w:szCs w:val="18"/>
              </w:rPr>
            </w:pPr>
            <w:r w:rsidRPr="001D41EA">
              <w:rPr>
                <w:rFonts w:cs="Arial"/>
                <w:sz w:val="18"/>
                <w:szCs w:val="18"/>
              </w:rPr>
              <w:t>1.182</w:t>
            </w:r>
          </w:p>
        </w:tc>
      </w:tr>
      <w:tr w:rsidR="00566EA9" w:rsidRPr="001D41EA" w14:paraId="6032325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8044E23" w14:textId="77777777" w:rsidR="00566EA9" w:rsidRPr="001D41EA" w:rsidRDefault="00566EA9" w:rsidP="001D41EA">
            <w:pPr>
              <w:spacing w:before="40" w:after="40"/>
              <w:rPr>
                <w:rFonts w:cs="Arial"/>
                <w:sz w:val="18"/>
                <w:szCs w:val="18"/>
              </w:rPr>
            </w:pPr>
            <w:r w:rsidRPr="001D41EA">
              <w:rPr>
                <w:rFonts w:cs="Arial"/>
                <w:sz w:val="18"/>
                <w:szCs w:val="18"/>
              </w:rPr>
              <w:t>Corangamite S</w:t>
            </w:r>
          </w:p>
        </w:tc>
        <w:tc>
          <w:tcPr>
            <w:tcW w:w="1134" w:type="dxa"/>
            <w:tcBorders>
              <w:top w:val="nil"/>
              <w:left w:val="single" w:sz="18" w:space="0" w:color="5F497A" w:themeColor="accent4" w:themeShade="BF"/>
              <w:bottom w:val="nil"/>
              <w:right w:val="nil"/>
            </w:tcBorders>
            <w:shd w:val="clear" w:color="auto" w:fill="auto"/>
            <w:vAlign w:val="bottom"/>
          </w:tcPr>
          <w:p w14:paraId="28363F6D" w14:textId="61BE2562" w:rsidR="00566EA9" w:rsidRPr="001D41EA" w:rsidRDefault="00566EA9" w:rsidP="001D41EA">
            <w:pPr>
              <w:spacing w:before="40" w:after="40"/>
              <w:jc w:val="center"/>
              <w:rPr>
                <w:rFonts w:cs="Arial"/>
                <w:sz w:val="18"/>
                <w:szCs w:val="18"/>
              </w:rPr>
            </w:pPr>
            <w:r w:rsidRPr="001D41EA">
              <w:rPr>
                <w:rFonts w:cs="Arial"/>
                <w:sz w:val="18"/>
                <w:szCs w:val="18"/>
              </w:rPr>
              <w:t>1.384</w:t>
            </w:r>
          </w:p>
        </w:tc>
        <w:tc>
          <w:tcPr>
            <w:tcW w:w="1134" w:type="dxa"/>
            <w:tcBorders>
              <w:top w:val="nil"/>
              <w:left w:val="nil"/>
              <w:bottom w:val="nil"/>
              <w:right w:val="nil"/>
            </w:tcBorders>
            <w:shd w:val="clear" w:color="auto" w:fill="auto"/>
            <w:vAlign w:val="bottom"/>
          </w:tcPr>
          <w:p w14:paraId="442C009B" w14:textId="56AD0F1F" w:rsidR="00566EA9" w:rsidRPr="001D41EA" w:rsidRDefault="00566EA9" w:rsidP="001D41EA">
            <w:pPr>
              <w:spacing w:before="40" w:after="40"/>
              <w:jc w:val="center"/>
              <w:rPr>
                <w:rFonts w:cs="Arial"/>
                <w:sz w:val="18"/>
                <w:szCs w:val="18"/>
              </w:rPr>
            </w:pPr>
            <w:r w:rsidRPr="001D41EA">
              <w:rPr>
                <w:rFonts w:cs="Arial"/>
                <w:sz w:val="18"/>
                <w:szCs w:val="18"/>
              </w:rPr>
              <w:t>1.372</w:t>
            </w:r>
          </w:p>
        </w:tc>
        <w:tc>
          <w:tcPr>
            <w:tcW w:w="1134" w:type="dxa"/>
            <w:tcBorders>
              <w:top w:val="nil"/>
              <w:left w:val="nil"/>
              <w:bottom w:val="nil"/>
              <w:right w:val="nil"/>
            </w:tcBorders>
            <w:vAlign w:val="bottom"/>
          </w:tcPr>
          <w:p w14:paraId="67200323" w14:textId="4829EF07" w:rsidR="00566EA9" w:rsidRPr="001D41EA" w:rsidRDefault="00566EA9" w:rsidP="001D41EA">
            <w:pPr>
              <w:spacing w:before="40" w:after="40"/>
              <w:jc w:val="center"/>
              <w:rPr>
                <w:rFonts w:cs="Arial"/>
                <w:sz w:val="18"/>
                <w:szCs w:val="18"/>
              </w:rPr>
            </w:pPr>
            <w:r w:rsidRPr="001D41EA">
              <w:rPr>
                <w:rFonts w:cs="Arial"/>
                <w:sz w:val="18"/>
                <w:szCs w:val="18"/>
              </w:rPr>
              <w:t>1.365</w:t>
            </w:r>
          </w:p>
        </w:tc>
        <w:tc>
          <w:tcPr>
            <w:tcW w:w="1134" w:type="dxa"/>
            <w:tcBorders>
              <w:top w:val="nil"/>
              <w:left w:val="nil"/>
              <w:bottom w:val="nil"/>
              <w:right w:val="nil"/>
            </w:tcBorders>
            <w:vAlign w:val="bottom"/>
          </w:tcPr>
          <w:p w14:paraId="7C646535" w14:textId="0BC3C66C" w:rsidR="00566EA9" w:rsidRPr="001D41EA" w:rsidRDefault="00566EA9" w:rsidP="001D41EA">
            <w:pPr>
              <w:spacing w:before="40" w:after="40"/>
              <w:jc w:val="center"/>
              <w:rPr>
                <w:rFonts w:cs="Arial"/>
                <w:sz w:val="18"/>
                <w:szCs w:val="18"/>
              </w:rPr>
            </w:pPr>
            <w:r w:rsidRPr="001D41EA">
              <w:rPr>
                <w:rFonts w:cs="Arial"/>
                <w:sz w:val="18"/>
                <w:szCs w:val="18"/>
              </w:rPr>
              <w:t>1.381</w:t>
            </w:r>
          </w:p>
        </w:tc>
        <w:tc>
          <w:tcPr>
            <w:tcW w:w="1134" w:type="dxa"/>
            <w:tcBorders>
              <w:top w:val="nil"/>
              <w:left w:val="nil"/>
              <w:bottom w:val="nil"/>
              <w:right w:val="nil"/>
            </w:tcBorders>
            <w:vAlign w:val="bottom"/>
          </w:tcPr>
          <w:p w14:paraId="522544D5" w14:textId="709FDFC5" w:rsidR="00566EA9" w:rsidRPr="001D41EA" w:rsidRDefault="00566EA9" w:rsidP="001D41EA">
            <w:pPr>
              <w:spacing w:before="40" w:after="40"/>
              <w:jc w:val="center"/>
              <w:rPr>
                <w:rFonts w:cs="Arial"/>
                <w:sz w:val="18"/>
                <w:szCs w:val="18"/>
              </w:rPr>
            </w:pPr>
            <w:r w:rsidRPr="001D41EA">
              <w:rPr>
                <w:rFonts w:cs="Arial"/>
                <w:sz w:val="18"/>
                <w:szCs w:val="18"/>
              </w:rPr>
              <w:t>1.349</w:t>
            </w:r>
          </w:p>
        </w:tc>
        <w:tc>
          <w:tcPr>
            <w:tcW w:w="1134" w:type="dxa"/>
            <w:tcBorders>
              <w:top w:val="nil"/>
              <w:left w:val="nil"/>
              <w:bottom w:val="nil"/>
              <w:right w:val="nil"/>
            </w:tcBorders>
            <w:shd w:val="clear" w:color="auto" w:fill="auto"/>
            <w:vAlign w:val="bottom"/>
          </w:tcPr>
          <w:p w14:paraId="7ACE8787" w14:textId="40586DCB" w:rsidR="00566EA9" w:rsidRPr="001D41EA" w:rsidRDefault="00566EA9" w:rsidP="001D41EA">
            <w:pPr>
              <w:spacing w:before="40" w:after="40"/>
              <w:jc w:val="center"/>
              <w:rPr>
                <w:rFonts w:cs="Arial"/>
                <w:sz w:val="18"/>
                <w:szCs w:val="18"/>
              </w:rPr>
            </w:pPr>
            <w:r w:rsidRPr="001D41EA">
              <w:rPr>
                <w:rFonts w:cs="Arial"/>
                <w:sz w:val="18"/>
                <w:szCs w:val="18"/>
              </w:rPr>
              <w:t>1.367</w:t>
            </w:r>
          </w:p>
        </w:tc>
      </w:tr>
      <w:tr w:rsidR="00566EA9" w:rsidRPr="001D41EA" w14:paraId="7827565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0C1130A" w14:textId="77777777" w:rsidR="00566EA9" w:rsidRPr="001D41EA" w:rsidRDefault="00566EA9" w:rsidP="001D41EA">
            <w:pPr>
              <w:spacing w:before="40" w:after="40"/>
              <w:rPr>
                <w:rFonts w:cs="Arial"/>
                <w:sz w:val="18"/>
                <w:szCs w:val="18"/>
              </w:rPr>
            </w:pPr>
            <w:r w:rsidRPr="001D41EA">
              <w:rPr>
                <w:rFonts w:cs="Arial"/>
                <w:sz w:val="18"/>
                <w:szCs w:val="18"/>
              </w:rPr>
              <w:t>Darebin C</w:t>
            </w:r>
          </w:p>
        </w:tc>
        <w:tc>
          <w:tcPr>
            <w:tcW w:w="1134" w:type="dxa"/>
            <w:tcBorders>
              <w:top w:val="nil"/>
              <w:left w:val="single" w:sz="18" w:space="0" w:color="5F497A" w:themeColor="accent4" w:themeShade="BF"/>
              <w:bottom w:val="nil"/>
              <w:right w:val="nil"/>
            </w:tcBorders>
            <w:shd w:val="clear" w:color="auto" w:fill="auto"/>
            <w:vAlign w:val="bottom"/>
          </w:tcPr>
          <w:p w14:paraId="0A04104C" w14:textId="1B78EDDF" w:rsidR="00566EA9" w:rsidRPr="001D41EA" w:rsidRDefault="00566EA9" w:rsidP="001D41EA">
            <w:pPr>
              <w:spacing w:before="40" w:after="4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58F1E6C9" w14:textId="094A57C9" w:rsidR="00566EA9" w:rsidRPr="001D41EA" w:rsidRDefault="00566EA9" w:rsidP="001D41EA">
            <w:pPr>
              <w:spacing w:before="40" w:after="4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532F94AF" w14:textId="04167059" w:rsidR="00566EA9" w:rsidRPr="001D41EA" w:rsidRDefault="00566EA9" w:rsidP="001D41EA">
            <w:pPr>
              <w:spacing w:before="40" w:after="4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324BAF99" w14:textId="6BE0ADE4" w:rsidR="00566EA9" w:rsidRPr="001D41EA" w:rsidRDefault="00566EA9" w:rsidP="001D41EA">
            <w:pPr>
              <w:spacing w:before="40" w:after="4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6367CFB2" w14:textId="257C0070" w:rsidR="00566EA9" w:rsidRPr="001D41EA" w:rsidRDefault="00566EA9" w:rsidP="001D41EA">
            <w:pPr>
              <w:spacing w:before="40" w:after="4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2097BC81" w14:textId="21297EDD" w:rsidR="00566EA9" w:rsidRPr="001D41EA" w:rsidRDefault="00566EA9" w:rsidP="001D41EA">
            <w:pPr>
              <w:spacing w:before="40" w:after="40"/>
              <w:jc w:val="center"/>
              <w:rPr>
                <w:rFonts w:cs="Arial"/>
                <w:sz w:val="18"/>
                <w:szCs w:val="18"/>
              </w:rPr>
            </w:pPr>
            <w:r w:rsidRPr="001D41EA">
              <w:rPr>
                <w:rFonts w:cs="Arial"/>
                <w:sz w:val="18"/>
                <w:szCs w:val="18"/>
              </w:rPr>
              <w:t>0.885</w:t>
            </w:r>
          </w:p>
        </w:tc>
      </w:tr>
      <w:tr w:rsidR="00566EA9" w:rsidRPr="001D41EA" w14:paraId="25BE716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828FBCA" w14:textId="77777777" w:rsidR="00566EA9" w:rsidRPr="001D41EA" w:rsidRDefault="00566EA9" w:rsidP="001D41EA">
            <w:pPr>
              <w:spacing w:before="40" w:after="40"/>
              <w:rPr>
                <w:rFonts w:cs="Arial"/>
                <w:sz w:val="18"/>
                <w:szCs w:val="18"/>
              </w:rPr>
            </w:pPr>
            <w:r w:rsidRPr="001D41EA">
              <w:rPr>
                <w:rFonts w:cs="Arial"/>
                <w:sz w:val="18"/>
                <w:szCs w:val="18"/>
              </w:rPr>
              <w:t>East Gippsland S</w:t>
            </w:r>
          </w:p>
        </w:tc>
        <w:tc>
          <w:tcPr>
            <w:tcW w:w="1134" w:type="dxa"/>
            <w:tcBorders>
              <w:top w:val="nil"/>
              <w:left w:val="single" w:sz="18" w:space="0" w:color="5F497A" w:themeColor="accent4" w:themeShade="BF"/>
              <w:bottom w:val="nil"/>
              <w:right w:val="nil"/>
            </w:tcBorders>
            <w:shd w:val="clear" w:color="auto" w:fill="auto"/>
            <w:vAlign w:val="bottom"/>
          </w:tcPr>
          <w:p w14:paraId="77502B4D" w14:textId="4FF4A446" w:rsidR="00566EA9" w:rsidRPr="001D41EA" w:rsidRDefault="00566EA9" w:rsidP="001D41EA">
            <w:pPr>
              <w:spacing w:before="40" w:after="40"/>
              <w:jc w:val="center"/>
              <w:rPr>
                <w:rFonts w:cs="Arial"/>
                <w:sz w:val="18"/>
                <w:szCs w:val="18"/>
              </w:rPr>
            </w:pPr>
            <w:r w:rsidRPr="001D41EA">
              <w:rPr>
                <w:rFonts w:cs="Arial"/>
                <w:sz w:val="18"/>
                <w:szCs w:val="18"/>
              </w:rPr>
              <w:t>1.740</w:t>
            </w:r>
          </w:p>
        </w:tc>
        <w:tc>
          <w:tcPr>
            <w:tcW w:w="1134" w:type="dxa"/>
            <w:tcBorders>
              <w:top w:val="nil"/>
              <w:left w:val="nil"/>
              <w:bottom w:val="nil"/>
              <w:right w:val="nil"/>
            </w:tcBorders>
            <w:shd w:val="clear" w:color="auto" w:fill="auto"/>
            <w:vAlign w:val="bottom"/>
          </w:tcPr>
          <w:p w14:paraId="599A2EA5" w14:textId="774EEFE9" w:rsidR="00566EA9" w:rsidRPr="001D41EA" w:rsidRDefault="00566EA9" w:rsidP="001D41EA">
            <w:pPr>
              <w:spacing w:before="40" w:after="40"/>
              <w:jc w:val="center"/>
              <w:rPr>
                <w:rFonts w:cs="Arial"/>
                <w:sz w:val="18"/>
                <w:szCs w:val="18"/>
              </w:rPr>
            </w:pPr>
            <w:r w:rsidRPr="001D41EA">
              <w:rPr>
                <w:rFonts w:cs="Arial"/>
                <w:sz w:val="18"/>
                <w:szCs w:val="18"/>
              </w:rPr>
              <w:t>1.724</w:t>
            </w:r>
          </w:p>
        </w:tc>
        <w:tc>
          <w:tcPr>
            <w:tcW w:w="1134" w:type="dxa"/>
            <w:tcBorders>
              <w:top w:val="nil"/>
              <w:left w:val="nil"/>
              <w:bottom w:val="nil"/>
              <w:right w:val="nil"/>
            </w:tcBorders>
            <w:vAlign w:val="bottom"/>
          </w:tcPr>
          <w:p w14:paraId="0AFC4B95" w14:textId="2A56BFB9" w:rsidR="00566EA9" w:rsidRPr="001D41EA" w:rsidRDefault="00566EA9" w:rsidP="001D41EA">
            <w:pPr>
              <w:spacing w:before="40" w:after="40"/>
              <w:jc w:val="center"/>
              <w:rPr>
                <w:rFonts w:cs="Arial"/>
                <w:sz w:val="18"/>
                <w:szCs w:val="18"/>
              </w:rPr>
            </w:pPr>
            <w:r w:rsidRPr="001D41EA">
              <w:rPr>
                <w:rFonts w:cs="Arial"/>
                <w:sz w:val="18"/>
                <w:szCs w:val="18"/>
              </w:rPr>
              <w:t>1.715</w:t>
            </w:r>
          </w:p>
        </w:tc>
        <w:tc>
          <w:tcPr>
            <w:tcW w:w="1134" w:type="dxa"/>
            <w:tcBorders>
              <w:top w:val="nil"/>
              <w:left w:val="nil"/>
              <w:bottom w:val="nil"/>
              <w:right w:val="nil"/>
            </w:tcBorders>
            <w:vAlign w:val="bottom"/>
          </w:tcPr>
          <w:p w14:paraId="31438114" w14:textId="5D05DC45" w:rsidR="00566EA9" w:rsidRPr="001D41EA" w:rsidRDefault="00566EA9" w:rsidP="001D41EA">
            <w:pPr>
              <w:spacing w:before="40" w:after="40"/>
              <w:jc w:val="center"/>
              <w:rPr>
                <w:rFonts w:cs="Arial"/>
                <w:sz w:val="18"/>
                <w:szCs w:val="18"/>
              </w:rPr>
            </w:pPr>
            <w:r w:rsidRPr="001D41EA">
              <w:rPr>
                <w:rFonts w:cs="Arial"/>
                <w:sz w:val="18"/>
                <w:szCs w:val="18"/>
              </w:rPr>
              <w:t>1.735</w:t>
            </w:r>
          </w:p>
        </w:tc>
        <w:tc>
          <w:tcPr>
            <w:tcW w:w="1134" w:type="dxa"/>
            <w:tcBorders>
              <w:top w:val="nil"/>
              <w:left w:val="nil"/>
              <w:bottom w:val="nil"/>
              <w:right w:val="nil"/>
            </w:tcBorders>
            <w:vAlign w:val="bottom"/>
          </w:tcPr>
          <w:p w14:paraId="0BEC4C3A" w14:textId="44E02885" w:rsidR="00566EA9" w:rsidRPr="001D41EA" w:rsidRDefault="00566EA9" w:rsidP="001D41EA">
            <w:pPr>
              <w:spacing w:before="40" w:after="40"/>
              <w:jc w:val="center"/>
              <w:rPr>
                <w:rFonts w:cs="Arial"/>
                <w:sz w:val="18"/>
                <w:szCs w:val="18"/>
              </w:rPr>
            </w:pPr>
            <w:r w:rsidRPr="001D41EA">
              <w:rPr>
                <w:rFonts w:cs="Arial"/>
                <w:sz w:val="18"/>
                <w:szCs w:val="18"/>
              </w:rPr>
              <w:t>1.695</w:t>
            </w:r>
          </w:p>
        </w:tc>
        <w:tc>
          <w:tcPr>
            <w:tcW w:w="1134" w:type="dxa"/>
            <w:tcBorders>
              <w:top w:val="nil"/>
              <w:left w:val="nil"/>
              <w:bottom w:val="nil"/>
              <w:right w:val="nil"/>
            </w:tcBorders>
            <w:shd w:val="clear" w:color="auto" w:fill="auto"/>
            <w:vAlign w:val="bottom"/>
          </w:tcPr>
          <w:p w14:paraId="03351049" w14:textId="667F4DE8" w:rsidR="00566EA9" w:rsidRPr="001D41EA" w:rsidRDefault="00566EA9" w:rsidP="001D41EA">
            <w:pPr>
              <w:spacing w:before="40" w:after="40"/>
              <w:jc w:val="center"/>
              <w:rPr>
                <w:rFonts w:cs="Arial"/>
                <w:sz w:val="18"/>
                <w:szCs w:val="18"/>
              </w:rPr>
            </w:pPr>
            <w:r w:rsidRPr="001D41EA">
              <w:rPr>
                <w:rFonts w:cs="Arial"/>
                <w:sz w:val="18"/>
                <w:szCs w:val="18"/>
              </w:rPr>
              <w:t>1.718</w:t>
            </w:r>
          </w:p>
        </w:tc>
      </w:tr>
      <w:tr w:rsidR="00566EA9" w:rsidRPr="001D41EA" w14:paraId="0C9F643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61033D7" w14:textId="77777777" w:rsidR="00566EA9" w:rsidRPr="001D41EA" w:rsidRDefault="00566EA9" w:rsidP="001D41EA">
            <w:pPr>
              <w:spacing w:before="40" w:after="40"/>
              <w:rPr>
                <w:rFonts w:cs="Arial"/>
                <w:sz w:val="18"/>
                <w:szCs w:val="18"/>
              </w:rPr>
            </w:pPr>
            <w:r w:rsidRPr="001D41EA">
              <w:rPr>
                <w:rFonts w:cs="Arial"/>
                <w:sz w:val="18"/>
                <w:szCs w:val="18"/>
              </w:rPr>
              <w:t>Frankston C</w:t>
            </w:r>
          </w:p>
        </w:tc>
        <w:tc>
          <w:tcPr>
            <w:tcW w:w="1134" w:type="dxa"/>
            <w:tcBorders>
              <w:top w:val="nil"/>
              <w:left w:val="single" w:sz="18" w:space="0" w:color="5F497A" w:themeColor="accent4" w:themeShade="BF"/>
              <w:bottom w:val="nil"/>
              <w:right w:val="nil"/>
            </w:tcBorders>
            <w:shd w:val="clear" w:color="auto" w:fill="auto"/>
            <w:vAlign w:val="bottom"/>
          </w:tcPr>
          <w:p w14:paraId="06A17FEC" w14:textId="3CDCA415" w:rsidR="00566EA9" w:rsidRPr="001D41EA" w:rsidRDefault="00566EA9" w:rsidP="001D41EA">
            <w:pPr>
              <w:spacing w:before="40" w:after="4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7CB538C7" w14:textId="778F9B8F" w:rsidR="00566EA9" w:rsidRPr="001D41EA" w:rsidRDefault="00566EA9" w:rsidP="001D41EA">
            <w:pPr>
              <w:spacing w:before="40" w:after="4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4F502566" w14:textId="5B4FA64C" w:rsidR="00566EA9" w:rsidRPr="001D41EA" w:rsidRDefault="00566EA9" w:rsidP="001D41EA">
            <w:pPr>
              <w:spacing w:before="40" w:after="4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09778753" w14:textId="19AB9A70" w:rsidR="00566EA9" w:rsidRPr="001D41EA" w:rsidRDefault="00566EA9" w:rsidP="001D41EA">
            <w:pPr>
              <w:spacing w:before="40" w:after="4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50B7A4AD" w14:textId="67507295" w:rsidR="00566EA9" w:rsidRPr="001D41EA" w:rsidRDefault="00566EA9" w:rsidP="001D41EA">
            <w:pPr>
              <w:spacing w:before="40" w:after="4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30356CE5" w14:textId="1448AB4D" w:rsidR="00566EA9" w:rsidRPr="001D41EA" w:rsidRDefault="00566EA9" w:rsidP="001D41EA">
            <w:pPr>
              <w:spacing w:before="40" w:after="40"/>
              <w:jc w:val="center"/>
              <w:rPr>
                <w:rFonts w:cs="Arial"/>
                <w:sz w:val="18"/>
                <w:szCs w:val="18"/>
              </w:rPr>
            </w:pPr>
            <w:r w:rsidRPr="001D41EA">
              <w:rPr>
                <w:rFonts w:cs="Arial"/>
                <w:sz w:val="18"/>
                <w:szCs w:val="18"/>
              </w:rPr>
              <w:t>0.885</w:t>
            </w:r>
          </w:p>
        </w:tc>
      </w:tr>
      <w:tr w:rsidR="00566EA9" w:rsidRPr="001D41EA" w14:paraId="29C1D7E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9D3347E" w14:textId="77777777" w:rsidR="00566EA9" w:rsidRPr="001D41EA" w:rsidRDefault="00566EA9" w:rsidP="001D41EA">
            <w:pPr>
              <w:spacing w:before="40" w:after="40"/>
              <w:rPr>
                <w:rFonts w:cs="Arial"/>
                <w:sz w:val="18"/>
                <w:szCs w:val="18"/>
              </w:rPr>
            </w:pPr>
            <w:r w:rsidRPr="001D41EA">
              <w:rPr>
                <w:rFonts w:cs="Arial"/>
                <w:sz w:val="18"/>
                <w:szCs w:val="18"/>
              </w:rPr>
              <w:t>Gannawarra S</w:t>
            </w:r>
          </w:p>
        </w:tc>
        <w:tc>
          <w:tcPr>
            <w:tcW w:w="1134" w:type="dxa"/>
            <w:tcBorders>
              <w:top w:val="nil"/>
              <w:left w:val="single" w:sz="18" w:space="0" w:color="5F497A" w:themeColor="accent4" w:themeShade="BF"/>
              <w:bottom w:val="nil"/>
              <w:right w:val="nil"/>
            </w:tcBorders>
            <w:shd w:val="clear" w:color="auto" w:fill="auto"/>
            <w:vAlign w:val="bottom"/>
          </w:tcPr>
          <w:p w14:paraId="1691A250" w14:textId="42E07566" w:rsidR="00566EA9" w:rsidRPr="001D41EA" w:rsidRDefault="00566EA9" w:rsidP="001D41EA">
            <w:pPr>
              <w:spacing w:before="40" w:after="40"/>
              <w:jc w:val="center"/>
              <w:rPr>
                <w:rFonts w:cs="Arial"/>
                <w:sz w:val="18"/>
                <w:szCs w:val="18"/>
              </w:rPr>
            </w:pPr>
            <w:r w:rsidRPr="001D41EA">
              <w:rPr>
                <w:rFonts w:cs="Arial"/>
                <w:sz w:val="18"/>
                <w:szCs w:val="18"/>
              </w:rPr>
              <w:t>1.302</w:t>
            </w:r>
          </w:p>
        </w:tc>
        <w:tc>
          <w:tcPr>
            <w:tcW w:w="1134" w:type="dxa"/>
            <w:tcBorders>
              <w:top w:val="nil"/>
              <w:left w:val="nil"/>
              <w:bottom w:val="nil"/>
              <w:right w:val="nil"/>
            </w:tcBorders>
            <w:shd w:val="clear" w:color="auto" w:fill="auto"/>
            <w:vAlign w:val="bottom"/>
          </w:tcPr>
          <w:p w14:paraId="6C0C970D" w14:textId="3804AE62" w:rsidR="00566EA9" w:rsidRPr="001D41EA" w:rsidRDefault="00566EA9" w:rsidP="001D41EA">
            <w:pPr>
              <w:spacing w:before="40" w:after="40"/>
              <w:jc w:val="center"/>
              <w:rPr>
                <w:rFonts w:cs="Arial"/>
                <w:sz w:val="18"/>
                <w:szCs w:val="18"/>
              </w:rPr>
            </w:pPr>
            <w:r w:rsidRPr="001D41EA">
              <w:rPr>
                <w:rFonts w:cs="Arial"/>
                <w:sz w:val="18"/>
                <w:szCs w:val="18"/>
              </w:rPr>
              <w:t>1.290</w:t>
            </w:r>
          </w:p>
        </w:tc>
        <w:tc>
          <w:tcPr>
            <w:tcW w:w="1134" w:type="dxa"/>
            <w:tcBorders>
              <w:top w:val="nil"/>
              <w:left w:val="nil"/>
              <w:bottom w:val="nil"/>
              <w:right w:val="nil"/>
            </w:tcBorders>
            <w:vAlign w:val="bottom"/>
          </w:tcPr>
          <w:p w14:paraId="3A0BAC35" w14:textId="26A2C7C2" w:rsidR="00566EA9" w:rsidRPr="001D41EA" w:rsidRDefault="00566EA9" w:rsidP="001D41EA">
            <w:pPr>
              <w:spacing w:before="40" w:after="40"/>
              <w:jc w:val="center"/>
              <w:rPr>
                <w:rFonts w:cs="Arial"/>
                <w:sz w:val="18"/>
                <w:szCs w:val="18"/>
              </w:rPr>
            </w:pPr>
            <w:r w:rsidRPr="001D41EA">
              <w:rPr>
                <w:rFonts w:cs="Arial"/>
                <w:sz w:val="18"/>
                <w:szCs w:val="18"/>
              </w:rPr>
              <w:t>1.283</w:t>
            </w:r>
          </w:p>
        </w:tc>
        <w:tc>
          <w:tcPr>
            <w:tcW w:w="1134" w:type="dxa"/>
            <w:tcBorders>
              <w:top w:val="nil"/>
              <w:left w:val="nil"/>
              <w:bottom w:val="nil"/>
              <w:right w:val="nil"/>
            </w:tcBorders>
            <w:vAlign w:val="bottom"/>
          </w:tcPr>
          <w:p w14:paraId="174FAD64" w14:textId="4DD6355E" w:rsidR="00566EA9" w:rsidRPr="001D41EA" w:rsidRDefault="00566EA9" w:rsidP="001D41EA">
            <w:pPr>
              <w:spacing w:before="40" w:after="40"/>
              <w:jc w:val="center"/>
              <w:rPr>
                <w:rFonts w:cs="Arial"/>
                <w:sz w:val="18"/>
                <w:szCs w:val="18"/>
              </w:rPr>
            </w:pPr>
            <w:r w:rsidRPr="001D41EA">
              <w:rPr>
                <w:rFonts w:cs="Arial"/>
                <w:sz w:val="18"/>
                <w:szCs w:val="18"/>
              </w:rPr>
              <w:t>1.298</w:t>
            </w:r>
          </w:p>
        </w:tc>
        <w:tc>
          <w:tcPr>
            <w:tcW w:w="1134" w:type="dxa"/>
            <w:tcBorders>
              <w:top w:val="nil"/>
              <w:left w:val="nil"/>
              <w:bottom w:val="nil"/>
              <w:right w:val="nil"/>
            </w:tcBorders>
            <w:vAlign w:val="bottom"/>
          </w:tcPr>
          <w:p w14:paraId="6CDA490A" w14:textId="2DCA3376" w:rsidR="00566EA9" w:rsidRPr="001D41EA" w:rsidRDefault="00566EA9" w:rsidP="001D41EA">
            <w:pPr>
              <w:spacing w:before="40" w:after="40"/>
              <w:jc w:val="center"/>
              <w:rPr>
                <w:rFonts w:cs="Arial"/>
                <w:sz w:val="18"/>
                <w:szCs w:val="18"/>
              </w:rPr>
            </w:pPr>
            <w:r w:rsidRPr="001D41EA">
              <w:rPr>
                <w:rFonts w:cs="Arial"/>
                <w:sz w:val="18"/>
                <w:szCs w:val="18"/>
              </w:rPr>
              <w:t>1.268</w:t>
            </w:r>
          </w:p>
        </w:tc>
        <w:tc>
          <w:tcPr>
            <w:tcW w:w="1134" w:type="dxa"/>
            <w:tcBorders>
              <w:top w:val="nil"/>
              <w:left w:val="nil"/>
              <w:bottom w:val="nil"/>
              <w:right w:val="nil"/>
            </w:tcBorders>
            <w:shd w:val="clear" w:color="auto" w:fill="auto"/>
            <w:vAlign w:val="bottom"/>
          </w:tcPr>
          <w:p w14:paraId="0D30F208" w14:textId="41250751" w:rsidR="00566EA9" w:rsidRPr="001D41EA" w:rsidRDefault="00566EA9" w:rsidP="001D41EA">
            <w:pPr>
              <w:spacing w:before="40" w:after="40"/>
              <w:jc w:val="center"/>
              <w:rPr>
                <w:rFonts w:cs="Arial"/>
                <w:sz w:val="18"/>
                <w:szCs w:val="18"/>
              </w:rPr>
            </w:pPr>
            <w:r w:rsidRPr="001D41EA">
              <w:rPr>
                <w:rFonts w:cs="Arial"/>
                <w:sz w:val="18"/>
                <w:szCs w:val="18"/>
              </w:rPr>
              <w:t>1.286</w:t>
            </w:r>
          </w:p>
        </w:tc>
      </w:tr>
      <w:tr w:rsidR="00566EA9" w:rsidRPr="001D41EA" w14:paraId="4B440FC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C838458" w14:textId="77777777" w:rsidR="00566EA9" w:rsidRPr="001D41EA" w:rsidRDefault="00566EA9" w:rsidP="001D41EA">
            <w:pPr>
              <w:spacing w:before="40" w:after="40"/>
              <w:rPr>
                <w:rFonts w:cs="Arial"/>
                <w:sz w:val="18"/>
                <w:szCs w:val="18"/>
              </w:rPr>
            </w:pPr>
            <w:r w:rsidRPr="001D41EA">
              <w:rPr>
                <w:rFonts w:cs="Arial"/>
                <w:sz w:val="18"/>
                <w:szCs w:val="18"/>
              </w:rPr>
              <w:t>Glen Eira C</w:t>
            </w:r>
          </w:p>
        </w:tc>
        <w:tc>
          <w:tcPr>
            <w:tcW w:w="1134" w:type="dxa"/>
            <w:tcBorders>
              <w:top w:val="nil"/>
              <w:left w:val="single" w:sz="18" w:space="0" w:color="5F497A" w:themeColor="accent4" w:themeShade="BF"/>
              <w:bottom w:val="nil"/>
              <w:right w:val="nil"/>
            </w:tcBorders>
            <w:shd w:val="clear" w:color="auto" w:fill="auto"/>
            <w:vAlign w:val="bottom"/>
          </w:tcPr>
          <w:p w14:paraId="2C78E0E3" w14:textId="449672E9" w:rsidR="00566EA9" w:rsidRPr="001D41EA" w:rsidRDefault="00566EA9" w:rsidP="001D41EA">
            <w:pPr>
              <w:spacing w:before="40" w:after="4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345831CB" w14:textId="5AC32F3B" w:rsidR="00566EA9" w:rsidRPr="001D41EA" w:rsidRDefault="00566EA9" w:rsidP="001D41EA">
            <w:pPr>
              <w:spacing w:before="40" w:after="4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367AFD9B" w14:textId="0CF7DB6E" w:rsidR="00566EA9" w:rsidRPr="001D41EA" w:rsidRDefault="00566EA9" w:rsidP="001D41EA">
            <w:pPr>
              <w:spacing w:before="40" w:after="4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47CEC6B8" w14:textId="1BA9BB24" w:rsidR="00566EA9" w:rsidRPr="001D41EA" w:rsidRDefault="00566EA9" w:rsidP="001D41EA">
            <w:pPr>
              <w:spacing w:before="40" w:after="4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275FFA61" w14:textId="597D260C" w:rsidR="00566EA9" w:rsidRPr="001D41EA" w:rsidRDefault="00566EA9" w:rsidP="001D41EA">
            <w:pPr>
              <w:spacing w:before="40" w:after="4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28151143" w14:textId="31298FA0" w:rsidR="00566EA9" w:rsidRPr="001D41EA" w:rsidRDefault="00566EA9" w:rsidP="001D41EA">
            <w:pPr>
              <w:spacing w:before="40" w:after="40"/>
              <w:jc w:val="center"/>
              <w:rPr>
                <w:rFonts w:cs="Arial"/>
                <w:sz w:val="18"/>
                <w:szCs w:val="18"/>
              </w:rPr>
            </w:pPr>
            <w:r w:rsidRPr="001D41EA">
              <w:rPr>
                <w:rFonts w:cs="Arial"/>
                <w:sz w:val="18"/>
                <w:szCs w:val="18"/>
              </w:rPr>
              <w:t>0.885</w:t>
            </w:r>
          </w:p>
        </w:tc>
      </w:tr>
      <w:tr w:rsidR="00566EA9" w:rsidRPr="001D41EA" w14:paraId="6AA8F2A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D1D45D8" w14:textId="77777777" w:rsidR="00566EA9" w:rsidRPr="001D41EA" w:rsidRDefault="00566EA9" w:rsidP="001D41EA">
            <w:pPr>
              <w:spacing w:before="40" w:after="40"/>
              <w:rPr>
                <w:rFonts w:cs="Arial"/>
                <w:sz w:val="18"/>
                <w:szCs w:val="18"/>
              </w:rPr>
            </w:pPr>
            <w:r w:rsidRPr="001D41EA">
              <w:rPr>
                <w:rFonts w:cs="Arial"/>
                <w:sz w:val="18"/>
                <w:szCs w:val="18"/>
              </w:rPr>
              <w:t>Glenelg S</w:t>
            </w:r>
          </w:p>
        </w:tc>
        <w:tc>
          <w:tcPr>
            <w:tcW w:w="1134" w:type="dxa"/>
            <w:tcBorders>
              <w:top w:val="nil"/>
              <w:left w:val="single" w:sz="18" w:space="0" w:color="5F497A" w:themeColor="accent4" w:themeShade="BF"/>
              <w:bottom w:val="nil"/>
              <w:right w:val="nil"/>
            </w:tcBorders>
            <w:shd w:val="clear" w:color="auto" w:fill="auto"/>
            <w:vAlign w:val="bottom"/>
          </w:tcPr>
          <w:p w14:paraId="370D2412" w14:textId="2277AADE" w:rsidR="00566EA9" w:rsidRPr="001D41EA" w:rsidRDefault="00566EA9" w:rsidP="001D41EA">
            <w:pPr>
              <w:spacing w:before="40" w:after="40"/>
              <w:jc w:val="center"/>
              <w:rPr>
                <w:rFonts w:cs="Arial"/>
                <w:sz w:val="18"/>
                <w:szCs w:val="18"/>
              </w:rPr>
            </w:pPr>
            <w:r w:rsidRPr="001D41EA">
              <w:rPr>
                <w:rFonts w:cs="Arial"/>
                <w:sz w:val="18"/>
                <w:szCs w:val="18"/>
              </w:rPr>
              <w:t>1.339</w:t>
            </w:r>
          </w:p>
        </w:tc>
        <w:tc>
          <w:tcPr>
            <w:tcW w:w="1134" w:type="dxa"/>
            <w:tcBorders>
              <w:top w:val="nil"/>
              <w:left w:val="nil"/>
              <w:bottom w:val="nil"/>
              <w:right w:val="nil"/>
            </w:tcBorders>
            <w:shd w:val="clear" w:color="auto" w:fill="auto"/>
            <w:vAlign w:val="bottom"/>
          </w:tcPr>
          <w:p w14:paraId="0E2D8DA6" w14:textId="63E2D3E6" w:rsidR="00566EA9" w:rsidRPr="001D41EA" w:rsidRDefault="00566EA9" w:rsidP="001D41EA">
            <w:pPr>
              <w:spacing w:before="40" w:after="40"/>
              <w:jc w:val="center"/>
              <w:rPr>
                <w:rFonts w:cs="Arial"/>
                <w:sz w:val="18"/>
                <w:szCs w:val="18"/>
              </w:rPr>
            </w:pPr>
            <w:r w:rsidRPr="001D41EA">
              <w:rPr>
                <w:rFonts w:cs="Arial"/>
                <w:sz w:val="18"/>
                <w:szCs w:val="18"/>
              </w:rPr>
              <w:t>1.327</w:t>
            </w:r>
          </w:p>
        </w:tc>
        <w:tc>
          <w:tcPr>
            <w:tcW w:w="1134" w:type="dxa"/>
            <w:tcBorders>
              <w:top w:val="nil"/>
              <w:left w:val="nil"/>
              <w:bottom w:val="nil"/>
              <w:right w:val="nil"/>
            </w:tcBorders>
            <w:vAlign w:val="bottom"/>
          </w:tcPr>
          <w:p w14:paraId="049FDB3F" w14:textId="0FE802D0" w:rsidR="00566EA9" w:rsidRPr="001D41EA" w:rsidRDefault="00566EA9" w:rsidP="001D41EA">
            <w:pPr>
              <w:spacing w:before="40" w:after="40"/>
              <w:jc w:val="center"/>
              <w:rPr>
                <w:rFonts w:cs="Arial"/>
                <w:sz w:val="18"/>
                <w:szCs w:val="18"/>
              </w:rPr>
            </w:pPr>
            <w:r w:rsidRPr="001D41EA">
              <w:rPr>
                <w:rFonts w:cs="Arial"/>
                <w:sz w:val="18"/>
                <w:szCs w:val="18"/>
              </w:rPr>
              <w:t>1.319</w:t>
            </w:r>
          </w:p>
        </w:tc>
        <w:tc>
          <w:tcPr>
            <w:tcW w:w="1134" w:type="dxa"/>
            <w:tcBorders>
              <w:top w:val="nil"/>
              <w:left w:val="nil"/>
              <w:bottom w:val="nil"/>
              <w:right w:val="nil"/>
            </w:tcBorders>
            <w:vAlign w:val="bottom"/>
          </w:tcPr>
          <w:p w14:paraId="3A4675B0" w14:textId="52C09A63" w:rsidR="00566EA9" w:rsidRPr="001D41EA" w:rsidRDefault="00566EA9" w:rsidP="001D41EA">
            <w:pPr>
              <w:spacing w:before="40" w:after="40"/>
              <w:jc w:val="center"/>
              <w:rPr>
                <w:rFonts w:cs="Arial"/>
                <w:sz w:val="18"/>
                <w:szCs w:val="18"/>
              </w:rPr>
            </w:pPr>
            <w:r w:rsidRPr="001D41EA">
              <w:rPr>
                <w:rFonts w:cs="Arial"/>
                <w:sz w:val="18"/>
                <w:szCs w:val="18"/>
              </w:rPr>
              <w:t>1.335</w:t>
            </w:r>
          </w:p>
        </w:tc>
        <w:tc>
          <w:tcPr>
            <w:tcW w:w="1134" w:type="dxa"/>
            <w:tcBorders>
              <w:top w:val="nil"/>
              <w:left w:val="nil"/>
              <w:bottom w:val="nil"/>
              <w:right w:val="nil"/>
            </w:tcBorders>
            <w:vAlign w:val="bottom"/>
          </w:tcPr>
          <w:p w14:paraId="03AAAD5F" w14:textId="41EFA3FA" w:rsidR="00566EA9" w:rsidRPr="001D41EA" w:rsidRDefault="00566EA9" w:rsidP="001D41EA">
            <w:pPr>
              <w:spacing w:before="40" w:after="40"/>
              <w:jc w:val="center"/>
              <w:rPr>
                <w:rFonts w:cs="Arial"/>
                <w:sz w:val="18"/>
                <w:szCs w:val="18"/>
              </w:rPr>
            </w:pPr>
            <w:r w:rsidRPr="001D41EA">
              <w:rPr>
                <w:rFonts w:cs="Arial"/>
                <w:sz w:val="18"/>
                <w:szCs w:val="18"/>
              </w:rPr>
              <w:t>1.304</w:t>
            </w:r>
          </w:p>
        </w:tc>
        <w:tc>
          <w:tcPr>
            <w:tcW w:w="1134" w:type="dxa"/>
            <w:tcBorders>
              <w:top w:val="nil"/>
              <w:left w:val="nil"/>
              <w:bottom w:val="nil"/>
              <w:right w:val="nil"/>
            </w:tcBorders>
            <w:shd w:val="clear" w:color="auto" w:fill="auto"/>
            <w:vAlign w:val="bottom"/>
          </w:tcPr>
          <w:p w14:paraId="45C9D2CE" w14:textId="217289C2" w:rsidR="00566EA9" w:rsidRPr="001D41EA" w:rsidRDefault="00566EA9" w:rsidP="001D41EA">
            <w:pPr>
              <w:spacing w:before="40" w:after="40"/>
              <w:jc w:val="center"/>
              <w:rPr>
                <w:rFonts w:cs="Arial"/>
                <w:sz w:val="18"/>
                <w:szCs w:val="18"/>
              </w:rPr>
            </w:pPr>
            <w:r w:rsidRPr="001D41EA">
              <w:rPr>
                <w:rFonts w:cs="Arial"/>
                <w:sz w:val="18"/>
                <w:szCs w:val="18"/>
              </w:rPr>
              <w:t>1.322</w:t>
            </w:r>
          </w:p>
        </w:tc>
      </w:tr>
      <w:tr w:rsidR="00566EA9" w:rsidRPr="001D41EA" w14:paraId="14A7126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E715431" w14:textId="77777777" w:rsidR="00566EA9" w:rsidRPr="001D41EA" w:rsidRDefault="00566EA9" w:rsidP="001D41EA">
            <w:pPr>
              <w:spacing w:before="40" w:after="40"/>
              <w:rPr>
                <w:rFonts w:cs="Arial"/>
                <w:sz w:val="18"/>
                <w:szCs w:val="18"/>
              </w:rPr>
            </w:pPr>
            <w:r w:rsidRPr="001D41EA">
              <w:rPr>
                <w:rFonts w:cs="Arial"/>
                <w:sz w:val="18"/>
                <w:szCs w:val="18"/>
              </w:rPr>
              <w:t>Golden Plains S</w:t>
            </w:r>
          </w:p>
        </w:tc>
        <w:tc>
          <w:tcPr>
            <w:tcW w:w="1134" w:type="dxa"/>
            <w:tcBorders>
              <w:top w:val="nil"/>
              <w:left w:val="single" w:sz="18" w:space="0" w:color="5F497A" w:themeColor="accent4" w:themeShade="BF"/>
              <w:bottom w:val="nil"/>
              <w:right w:val="nil"/>
            </w:tcBorders>
            <w:shd w:val="clear" w:color="auto" w:fill="auto"/>
            <w:vAlign w:val="bottom"/>
          </w:tcPr>
          <w:p w14:paraId="0CB7DB1B" w14:textId="421BAC72" w:rsidR="00566EA9" w:rsidRPr="001D41EA" w:rsidRDefault="00566EA9" w:rsidP="001D41EA">
            <w:pPr>
              <w:spacing w:before="40" w:after="40"/>
              <w:jc w:val="center"/>
              <w:rPr>
                <w:rFonts w:cs="Arial"/>
                <w:sz w:val="18"/>
                <w:szCs w:val="18"/>
              </w:rPr>
            </w:pPr>
            <w:r w:rsidRPr="001D41EA">
              <w:rPr>
                <w:rFonts w:cs="Arial"/>
                <w:sz w:val="18"/>
                <w:szCs w:val="18"/>
              </w:rPr>
              <w:t>1.283</w:t>
            </w:r>
          </w:p>
        </w:tc>
        <w:tc>
          <w:tcPr>
            <w:tcW w:w="1134" w:type="dxa"/>
            <w:tcBorders>
              <w:top w:val="nil"/>
              <w:left w:val="nil"/>
              <w:bottom w:val="nil"/>
              <w:right w:val="nil"/>
            </w:tcBorders>
            <w:shd w:val="clear" w:color="auto" w:fill="auto"/>
            <w:vAlign w:val="bottom"/>
          </w:tcPr>
          <w:p w14:paraId="045D65AA" w14:textId="3AB36A81" w:rsidR="00566EA9" w:rsidRPr="001D41EA" w:rsidRDefault="00566EA9" w:rsidP="001D41EA">
            <w:pPr>
              <w:spacing w:before="40" w:after="40"/>
              <w:jc w:val="center"/>
              <w:rPr>
                <w:rFonts w:cs="Arial"/>
                <w:sz w:val="18"/>
                <w:szCs w:val="18"/>
              </w:rPr>
            </w:pPr>
            <w:r w:rsidRPr="001D41EA">
              <w:rPr>
                <w:rFonts w:cs="Arial"/>
                <w:sz w:val="18"/>
                <w:szCs w:val="18"/>
              </w:rPr>
              <w:t>1.271</w:t>
            </w:r>
          </w:p>
        </w:tc>
        <w:tc>
          <w:tcPr>
            <w:tcW w:w="1134" w:type="dxa"/>
            <w:tcBorders>
              <w:top w:val="nil"/>
              <w:left w:val="nil"/>
              <w:bottom w:val="nil"/>
              <w:right w:val="nil"/>
            </w:tcBorders>
            <w:vAlign w:val="bottom"/>
          </w:tcPr>
          <w:p w14:paraId="0E11EFD8" w14:textId="1009AF95" w:rsidR="00566EA9" w:rsidRPr="001D41EA" w:rsidRDefault="00566EA9" w:rsidP="001D41EA">
            <w:pPr>
              <w:spacing w:before="40" w:after="40"/>
              <w:jc w:val="center"/>
              <w:rPr>
                <w:rFonts w:cs="Arial"/>
                <w:sz w:val="18"/>
                <w:szCs w:val="18"/>
              </w:rPr>
            </w:pPr>
            <w:r w:rsidRPr="001D41EA">
              <w:rPr>
                <w:rFonts w:cs="Arial"/>
                <w:sz w:val="18"/>
                <w:szCs w:val="18"/>
              </w:rPr>
              <w:t>1.264</w:t>
            </w:r>
          </w:p>
        </w:tc>
        <w:tc>
          <w:tcPr>
            <w:tcW w:w="1134" w:type="dxa"/>
            <w:tcBorders>
              <w:top w:val="nil"/>
              <w:left w:val="nil"/>
              <w:bottom w:val="nil"/>
              <w:right w:val="nil"/>
            </w:tcBorders>
            <w:vAlign w:val="bottom"/>
          </w:tcPr>
          <w:p w14:paraId="5D3F82B2" w14:textId="5EA19D00" w:rsidR="00566EA9" w:rsidRPr="001D41EA" w:rsidRDefault="00566EA9" w:rsidP="001D41EA">
            <w:pPr>
              <w:spacing w:before="40" w:after="40"/>
              <w:jc w:val="center"/>
              <w:rPr>
                <w:rFonts w:cs="Arial"/>
                <w:sz w:val="18"/>
                <w:szCs w:val="18"/>
              </w:rPr>
            </w:pPr>
            <w:r w:rsidRPr="001D41EA">
              <w:rPr>
                <w:rFonts w:cs="Arial"/>
                <w:sz w:val="18"/>
                <w:szCs w:val="18"/>
              </w:rPr>
              <w:t>1.279</w:t>
            </w:r>
          </w:p>
        </w:tc>
        <w:tc>
          <w:tcPr>
            <w:tcW w:w="1134" w:type="dxa"/>
            <w:tcBorders>
              <w:top w:val="nil"/>
              <w:left w:val="nil"/>
              <w:bottom w:val="nil"/>
              <w:right w:val="nil"/>
            </w:tcBorders>
            <w:vAlign w:val="bottom"/>
          </w:tcPr>
          <w:p w14:paraId="612AF713" w14:textId="7910F9D7" w:rsidR="00566EA9" w:rsidRPr="001D41EA" w:rsidRDefault="00566EA9" w:rsidP="001D41EA">
            <w:pPr>
              <w:spacing w:before="40" w:after="40"/>
              <w:jc w:val="center"/>
              <w:rPr>
                <w:rFonts w:cs="Arial"/>
                <w:sz w:val="18"/>
                <w:szCs w:val="18"/>
              </w:rPr>
            </w:pPr>
            <w:r w:rsidRPr="001D41EA">
              <w:rPr>
                <w:rFonts w:cs="Arial"/>
                <w:sz w:val="18"/>
                <w:szCs w:val="18"/>
              </w:rPr>
              <w:t>1.250</w:t>
            </w:r>
          </w:p>
        </w:tc>
        <w:tc>
          <w:tcPr>
            <w:tcW w:w="1134" w:type="dxa"/>
            <w:tcBorders>
              <w:top w:val="nil"/>
              <w:left w:val="nil"/>
              <w:bottom w:val="nil"/>
              <w:right w:val="nil"/>
            </w:tcBorders>
            <w:shd w:val="clear" w:color="auto" w:fill="auto"/>
            <w:vAlign w:val="bottom"/>
          </w:tcPr>
          <w:p w14:paraId="48558A4A" w14:textId="1B4D9C14" w:rsidR="00566EA9" w:rsidRPr="001D41EA" w:rsidRDefault="00566EA9" w:rsidP="001D41EA">
            <w:pPr>
              <w:spacing w:before="40" w:after="40"/>
              <w:jc w:val="center"/>
              <w:rPr>
                <w:rFonts w:cs="Arial"/>
                <w:sz w:val="18"/>
                <w:szCs w:val="18"/>
              </w:rPr>
            </w:pPr>
            <w:r w:rsidRPr="001D41EA">
              <w:rPr>
                <w:rFonts w:cs="Arial"/>
                <w:sz w:val="18"/>
                <w:szCs w:val="18"/>
              </w:rPr>
              <w:t>1.267</w:t>
            </w:r>
          </w:p>
        </w:tc>
      </w:tr>
      <w:tr w:rsidR="00566EA9" w:rsidRPr="001D41EA" w14:paraId="6BAD19E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87A9565" w14:textId="77777777" w:rsidR="00566EA9" w:rsidRPr="001D41EA" w:rsidRDefault="00566EA9" w:rsidP="001D41EA">
            <w:pPr>
              <w:spacing w:before="40" w:after="40"/>
              <w:rPr>
                <w:rFonts w:cs="Arial"/>
                <w:sz w:val="18"/>
                <w:szCs w:val="18"/>
              </w:rPr>
            </w:pPr>
            <w:r w:rsidRPr="001D41EA">
              <w:rPr>
                <w:rFonts w:cs="Arial"/>
                <w:sz w:val="18"/>
                <w:szCs w:val="18"/>
              </w:rPr>
              <w:t>Greater Bendigo C</w:t>
            </w:r>
          </w:p>
        </w:tc>
        <w:tc>
          <w:tcPr>
            <w:tcW w:w="1134" w:type="dxa"/>
            <w:tcBorders>
              <w:top w:val="nil"/>
              <w:left w:val="single" w:sz="18" w:space="0" w:color="5F497A" w:themeColor="accent4" w:themeShade="BF"/>
              <w:bottom w:val="nil"/>
              <w:right w:val="nil"/>
            </w:tcBorders>
            <w:shd w:val="clear" w:color="auto" w:fill="auto"/>
            <w:vAlign w:val="bottom"/>
          </w:tcPr>
          <w:p w14:paraId="41C22D91" w14:textId="0B695F32" w:rsidR="00566EA9" w:rsidRPr="001D41EA" w:rsidRDefault="00566EA9" w:rsidP="001D41EA">
            <w:pPr>
              <w:spacing w:before="40" w:after="40"/>
              <w:jc w:val="center"/>
              <w:rPr>
                <w:rFonts w:cs="Arial"/>
                <w:sz w:val="18"/>
                <w:szCs w:val="18"/>
              </w:rPr>
            </w:pPr>
            <w:r w:rsidRPr="001D41EA">
              <w:rPr>
                <w:rFonts w:cs="Arial"/>
                <w:sz w:val="18"/>
                <w:szCs w:val="18"/>
              </w:rPr>
              <w:t>0.979</w:t>
            </w:r>
          </w:p>
        </w:tc>
        <w:tc>
          <w:tcPr>
            <w:tcW w:w="1134" w:type="dxa"/>
            <w:tcBorders>
              <w:top w:val="nil"/>
              <w:left w:val="nil"/>
              <w:bottom w:val="nil"/>
              <w:right w:val="nil"/>
            </w:tcBorders>
            <w:shd w:val="clear" w:color="auto" w:fill="auto"/>
            <w:vAlign w:val="bottom"/>
          </w:tcPr>
          <w:p w14:paraId="515AE067" w14:textId="6475AFEB" w:rsidR="00566EA9" w:rsidRPr="001D41EA" w:rsidRDefault="00566EA9" w:rsidP="001D41EA">
            <w:pPr>
              <w:spacing w:before="40" w:after="40"/>
              <w:jc w:val="center"/>
              <w:rPr>
                <w:rFonts w:cs="Arial"/>
                <w:sz w:val="18"/>
                <w:szCs w:val="18"/>
              </w:rPr>
            </w:pPr>
            <w:r w:rsidRPr="001D41EA">
              <w:rPr>
                <w:rFonts w:cs="Arial"/>
                <w:sz w:val="18"/>
                <w:szCs w:val="18"/>
              </w:rPr>
              <w:t>0.970</w:t>
            </w:r>
          </w:p>
        </w:tc>
        <w:tc>
          <w:tcPr>
            <w:tcW w:w="1134" w:type="dxa"/>
            <w:tcBorders>
              <w:top w:val="nil"/>
              <w:left w:val="nil"/>
              <w:bottom w:val="nil"/>
              <w:right w:val="nil"/>
            </w:tcBorders>
            <w:vAlign w:val="bottom"/>
          </w:tcPr>
          <w:p w14:paraId="265FA942" w14:textId="11EAB167" w:rsidR="00566EA9" w:rsidRPr="001D41EA" w:rsidRDefault="00566EA9" w:rsidP="001D41EA">
            <w:pPr>
              <w:spacing w:before="40" w:after="40"/>
              <w:jc w:val="center"/>
              <w:rPr>
                <w:rFonts w:cs="Arial"/>
                <w:sz w:val="18"/>
                <w:szCs w:val="18"/>
              </w:rPr>
            </w:pPr>
            <w:r w:rsidRPr="001D41EA">
              <w:rPr>
                <w:rFonts w:cs="Arial"/>
                <w:sz w:val="18"/>
                <w:szCs w:val="18"/>
              </w:rPr>
              <w:t>0.965</w:t>
            </w:r>
          </w:p>
        </w:tc>
        <w:tc>
          <w:tcPr>
            <w:tcW w:w="1134" w:type="dxa"/>
            <w:tcBorders>
              <w:top w:val="nil"/>
              <w:left w:val="nil"/>
              <w:bottom w:val="nil"/>
              <w:right w:val="nil"/>
            </w:tcBorders>
            <w:vAlign w:val="bottom"/>
          </w:tcPr>
          <w:p w14:paraId="6E1D07B2" w14:textId="73A46686" w:rsidR="00566EA9" w:rsidRPr="001D41EA" w:rsidRDefault="00566EA9" w:rsidP="001D41EA">
            <w:pPr>
              <w:spacing w:before="40" w:after="40"/>
              <w:jc w:val="center"/>
              <w:rPr>
                <w:rFonts w:cs="Arial"/>
                <w:sz w:val="18"/>
                <w:szCs w:val="18"/>
              </w:rPr>
            </w:pPr>
            <w:r w:rsidRPr="001D41EA">
              <w:rPr>
                <w:rFonts w:cs="Arial"/>
                <w:sz w:val="18"/>
                <w:szCs w:val="18"/>
              </w:rPr>
              <w:t>0.976</w:t>
            </w:r>
          </w:p>
        </w:tc>
        <w:tc>
          <w:tcPr>
            <w:tcW w:w="1134" w:type="dxa"/>
            <w:tcBorders>
              <w:top w:val="nil"/>
              <w:left w:val="nil"/>
              <w:bottom w:val="nil"/>
              <w:right w:val="nil"/>
            </w:tcBorders>
            <w:vAlign w:val="bottom"/>
          </w:tcPr>
          <w:p w14:paraId="3EED1AA6" w14:textId="04FE2608" w:rsidR="00566EA9" w:rsidRPr="001D41EA" w:rsidRDefault="00566EA9" w:rsidP="001D41EA">
            <w:pPr>
              <w:spacing w:before="40" w:after="40"/>
              <w:jc w:val="center"/>
              <w:rPr>
                <w:rFonts w:cs="Arial"/>
                <w:sz w:val="18"/>
                <w:szCs w:val="18"/>
              </w:rPr>
            </w:pPr>
            <w:r w:rsidRPr="001D41EA">
              <w:rPr>
                <w:rFonts w:cs="Arial"/>
                <w:sz w:val="18"/>
                <w:szCs w:val="18"/>
              </w:rPr>
              <w:t>0.954</w:t>
            </w:r>
          </w:p>
        </w:tc>
        <w:tc>
          <w:tcPr>
            <w:tcW w:w="1134" w:type="dxa"/>
            <w:tcBorders>
              <w:top w:val="nil"/>
              <w:left w:val="nil"/>
              <w:bottom w:val="nil"/>
              <w:right w:val="nil"/>
            </w:tcBorders>
            <w:shd w:val="clear" w:color="auto" w:fill="auto"/>
            <w:vAlign w:val="bottom"/>
          </w:tcPr>
          <w:p w14:paraId="29242BB2" w14:textId="2505C46B" w:rsidR="00566EA9" w:rsidRPr="001D41EA" w:rsidRDefault="00566EA9" w:rsidP="001D41EA">
            <w:pPr>
              <w:spacing w:before="40" w:after="40"/>
              <w:jc w:val="center"/>
              <w:rPr>
                <w:rFonts w:cs="Arial"/>
                <w:sz w:val="18"/>
                <w:szCs w:val="18"/>
              </w:rPr>
            </w:pPr>
            <w:r w:rsidRPr="001D41EA">
              <w:rPr>
                <w:rFonts w:cs="Arial"/>
                <w:sz w:val="18"/>
                <w:szCs w:val="18"/>
              </w:rPr>
              <w:t>0.967</w:t>
            </w:r>
          </w:p>
        </w:tc>
      </w:tr>
      <w:tr w:rsidR="00566EA9" w:rsidRPr="001D41EA" w14:paraId="670CC76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AC70B94" w14:textId="77777777" w:rsidR="00566EA9" w:rsidRPr="001D41EA" w:rsidRDefault="00566EA9" w:rsidP="001D41EA">
            <w:pPr>
              <w:spacing w:before="40" w:after="40"/>
              <w:rPr>
                <w:rFonts w:cs="Arial"/>
                <w:sz w:val="18"/>
                <w:szCs w:val="18"/>
              </w:rPr>
            </w:pPr>
            <w:r w:rsidRPr="001D41EA">
              <w:rPr>
                <w:rFonts w:cs="Arial"/>
                <w:sz w:val="18"/>
                <w:szCs w:val="18"/>
              </w:rPr>
              <w:t>Greater Dandenong C</w:t>
            </w:r>
          </w:p>
        </w:tc>
        <w:tc>
          <w:tcPr>
            <w:tcW w:w="1134" w:type="dxa"/>
            <w:tcBorders>
              <w:top w:val="nil"/>
              <w:left w:val="single" w:sz="18" w:space="0" w:color="5F497A" w:themeColor="accent4" w:themeShade="BF"/>
              <w:bottom w:val="nil"/>
              <w:right w:val="nil"/>
            </w:tcBorders>
            <w:shd w:val="clear" w:color="auto" w:fill="auto"/>
            <w:vAlign w:val="bottom"/>
          </w:tcPr>
          <w:p w14:paraId="71141F2E" w14:textId="694D0998" w:rsidR="00566EA9" w:rsidRPr="001D41EA" w:rsidRDefault="00566EA9" w:rsidP="001D41EA">
            <w:pPr>
              <w:spacing w:before="40" w:after="4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2BFD0FA3" w14:textId="4B760C6C" w:rsidR="00566EA9" w:rsidRPr="001D41EA" w:rsidRDefault="00566EA9" w:rsidP="001D41EA">
            <w:pPr>
              <w:spacing w:before="40" w:after="4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264DB7A8" w14:textId="0AC75CE9" w:rsidR="00566EA9" w:rsidRPr="001D41EA" w:rsidRDefault="00566EA9" w:rsidP="001D41EA">
            <w:pPr>
              <w:spacing w:before="40" w:after="4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77D2F44B" w14:textId="1D4409AC" w:rsidR="00566EA9" w:rsidRPr="001D41EA" w:rsidRDefault="00566EA9" w:rsidP="001D41EA">
            <w:pPr>
              <w:spacing w:before="40" w:after="4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0E8B80E6" w14:textId="5633D9B5" w:rsidR="00566EA9" w:rsidRPr="001D41EA" w:rsidRDefault="00566EA9" w:rsidP="001D41EA">
            <w:pPr>
              <w:spacing w:before="40" w:after="4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18DCBB5E" w14:textId="1E33E6DF" w:rsidR="00566EA9" w:rsidRPr="001D41EA" w:rsidRDefault="00566EA9" w:rsidP="001D41EA">
            <w:pPr>
              <w:spacing w:before="40" w:after="40"/>
              <w:jc w:val="center"/>
              <w:rPr>
                <w:rFonts w:cs="Arial"/>
                <w:sz w:val="18"/>
                <w:szCs w:val="18"/>
              </w:rPr>
            </w:pPr>
            <w:r w:rsidRPr="001D41EA">
              <w:rPr>
                <w:rFonts w:cs="Arial"/>
                <w:sz w:val="18"/>
                <w:szCs w:val="18"/>
              </w:rPr>
              <w:t>0.885</w:t>
            </w:r>
          </w:p>
        </w:tc>
      </w:tr>
      <w:tr w:rsidR="00566EA9" w:rsidRPr="001D41EA" w14:paraId="57D346E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049EA51" w14:textId="77777777" w:rsidR="00566EA9" w:rsidRPr="001D41EA" w:rsidRDefault="00566EA9" w:rsidP="001D41EA">
            <w:pPr>
              <w:spacing w:before="40" w:after="40"/>
              <w:rPr>
                <w:rFonts w:cs="Arial"/>
                <w:sz w:val="18"/>
                <w:szCs w:val="18"/>
              </w:rPr>
            </w:pPr>
            <w:r w:rsidRPr="001D41EA">
              <w:rPr>
                <w:rFonts w:cs="Arial"/>
                <w:sz w:val="18"/>
                <w:szCs w:val="18"/>
              </w:rPr>
              <w:t>Greater Geelong C</w:t>
            </w:r>
          </w:p>
        </w:tc>
        <w:tc>
          <w:tcPr>
            <w:tcW w:w="1134" w:type="dxa"/>
            <w:tcBorders>
              <w:top w:val="nil"/>
              <w:left w:val="single" w:sz="18" w:space="0" w:color="5F497A" w:themeColor="accent4" w:themeShade="BF"/>
              <w:bottom w:val="nil"/>
              <w:right w:val="nil"/>
            </w:tcBorders>
            <w:shd w:val="clear" w:color="auto" w:fill="auto"/>
            <w:vAlign w:val="bottom"/>
          </w:tcPr>
          <w:p w14:paraId="5EAF1EF5" w14:textId="482CC4FD" w:rsidR="00566EA9" w:rsidRPr="001D41EA" w:rsidRDefault="00566EA9" w:rsidP="001D41EA">
            <w:pPr>
              <w:spacing w:before="40" w:after="40"/>
              <w:jc w:val="center"/>
              <w:rPr>
                <w:rFonts w:cs="Arial"/>
                <w:sz w:val="18"/>
                <w:szCs w:val="18"/>
              </w:rPr>
            </w:pPr>
            <w:r w:rsidRPr="001D41EA">
              <w:rPr>
                <w:rFonts w:cs="Arial"/>
                <w:sz w:val="18"/>
                <w:szCs w:val="18"/>
              </w:rPr>
              <w:t>1.063</w:t>
            </w:r>
          </w:p>
        </w:tc>
        <w:tc>
          <w:tcPr>
            <w:tcW w:w="1134" w:type="dxa"/>
            <w:tcBorders>
              <w:top w:val="nil"/>
              <w:left w:val="nil"/>
              <w:bottom w:val="nil"/>
              <w:right w:val="nil"/>
            </w:tcBorders>
            <w:shd w:val="clear" w:color="auto" w:fill="auto"/>
            <w:vAlign w:val="bottom"/>
          </w:tcPr>
          <w:p w14:paraId="7F438ED1" w14:textId="788DFECA" w:rsidR="00566EA9" w:rsidRPr="001D41EA" w:rsidRDefault="00566EA9" w:rsidP="001D41EA">
            <w:pPr>
              <w:spacing w:before="40" w:after="40"/>
              <w:jc w:val="center"/>
              <w:rPr>
                <w:rFonts w:cs="Arial"/>
                <w:sz w:val="18"/>
                <w:szCs w:val="18"/>
              </w:rPr>
            </w:pPr>
            <w:r w:rsidRPr="001D41EA">
              <w:rPr>
                <w:rFonts w:cs="Arial"/>
                <w:sz w:val="18"/>
                <w:szCs w:val="18"/>
              </w:rPr>
              <w:t>1.054</w:t>
            </w:r>
          </w:p>
        </w:tc>
        <w:tc>
          <w:tcPr>
            <w:tcW w:w="1134" w:type="dxa"/>
            <w:tcBorders>
              <w:top w:val="nil"/>
              <w:left w:val="nil"/>
              <w:bottom w:val="nil"/>
              <w:right w:val="nil"/>
            </w:tcBorders>
            <w:vAlign w:val="bottom"/>
          </w:tcPr>
          <w:p w14:paraId="5DCAE4C1" w14:textId="7A748643" w:rsidR="00566EA9" w:rsidRPr="001D41EA" w:rsidRDefault="00566EA9" w:rsidP="001D41EA">
            <w:pPr>
              <w:spacing w:before="40" w:after="40"/>
              <w:jc w:val="center"/>
              <w:rPr>
                <w:rFonts w:cs="Arial"/>
                <w:sz w:val="18"/>
                <w:szCs w:val="18"/>
              </w:rPr>
            </w:pPr>
            <w:r w:rsidRPr="001D41EA">
              <w:rPr>
                <w:rFonts w:cs="Arial"/>
                <w:sz w:val="18"/>
                <w:szCs w:val="18"/>
              </w:rPr>
              <w:t>1.048</w:t>
            </w:r>
          </w:p>
        </w:tc>
        <w:tc>
          <w:tcPr>
            <w:tcW w:w="1134" w:type="dxa"/>
            <w:tcBorders>
              <w:top w:val="nil"/>
              <w:left w:val="nil"/>
              <w:bottom w:val="nil"/>
              <w:right w:val="nil"/>
            </w:tcBorders>
            <w:vAlign w:val="bottom"/>
          </w:tcPr>
          <w:p w14:paraId="67A38E6C" w14:textId="634FB458" w:rsidR="00566EA9" w:rsidRPr="001D41EA" w:rsidRDefault="00566EA9" w:rsidP="001D41EA">
            <w:pPr>
              <w:spacing w:before="40" w:after="40"/>
              <w:jc w:val="center"/>
              <w:rPr>
                <w:rFonts w:cs="Arial"/>
                <w:sz w:val="18"/>
                <w:szCs w:val="18"/>
              </w:rPr>
            </w:pPr>
            <w:r w:rsidRPr="001D41EA">
              <w:rPr>
                <w:rFonts w:cs="Arial"/>
                <w:sz w:val="18"/>
                <w:szCs w:val="18"/>
              </w:rPr>
              <w:t>1.060</w:t>
            </w:r>
          </w:p>
        </w:tc>
        <w:tc>
          <w:tcPr>
            <w:tcW w:w="1134" w:type="dxa"/>
            <w:tcBorders>
              <w:top w:val="nil"/>
              <w:left w:val="nil"/>
              <w:bottom w:val="nil"/>
              <w:right w:val="nil"/>
            </w:tcBorders>
            <w:vAlign w:val="bottom"/>
          </w:tcPr>
          <w:p w14:paraId="4BB6B1A1" w14:textId="03C6857D" w:rsidR="00566EA9" w:rsidRPr="001D41EA" w:rsidRDefault="00566EA9" w:rsidP="001D41EA">
            <w:pPr>
              <w:spacing w:before="40" w:after="40"/>
              <w:jc w:val="center"/>
              <w:rPr>
                <w:rFonts w:cs="Arial"/>
                <w:sz w:val="18"/>
                <w:szCs w:val="18"/>
              </w:rPr>
            </w:pPr>
            <w:r w:rsidRPr="001D41EA">
              <w:rPr>
                <w:rFonts w:cs="Arial"/>
                <w:sz w:val="18"/>
                <w:szCs w:val="18"/>
              </w:rPr>
              <w:t>1.036</w:t>
            </w:r>
          </w:p>
        </w:tc>
        <w:tc>
          <w:tcPr>
            <w:tcW w:w="1134" w:type="dxa"/>
            <w:tcBorders>
              <w:top w:val="nil"/>
              <w:left w:val="nil"/>
              <w:bottom w:val="nil"/>
              <w:right w:val="nil"/>
            </w:tcBorders>
            <w:shd w:val="clear" w:color="auto" w:fill="auto"/>
            <w:vAlign w:val="bottom"/>
          </w:tcPr>
          <w:p w14:paraId="3AC94E72" w14:textId="71FBC700" w:rsidR="00566EA9" w:rsidRPr="001D41EA" w:rsidRDefault="00566EA9" w:rsidP="001D41EA">
            <w:pPr>
              <w:spacing w:before="40" w:after="40"/>
              <w:jc w:val="center"/>
              <w:rPr>
                <w:rFonts w:cs="Arial"/>
                <w:sz w:val="18"/>
                <w:szCs w:val="18"/>
              </w:rPr>
            </w:pPr>
            <w:r w:rsidRPr="001D41EA">
              <w:rPr>
                <w:rFonts w:cs="Arial"/>
                <w:sz w:val="18"/>
                <w:szCs w:val="18"/>
              </w:rPr>
              <w:t>1.050</w:t>
            </w:r>
          </w:p>
        </w:tc>
      </w:tr>
      <w:tr w:rsidR="00566EA9" w:rsidRPr="001D41EA" w14:paraId="3D7CC70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F53DD70" w14:textId="77777777" w:rsidR="00566EA9" w:rsidRPr="001D41EA" w:rsidRDefault="00566EA9" w:rsidP="001D41EA">
            <w:pPr>
              <w:spacing w:before="40" w:after="40"/>
              <w:rPr>
                <w:rFonts w:cs="Arial"/>
                <w:sz w:val="18"/>
                <w:szCs w:val="18"/>
              </w:rPr>
            </w:pPr>
            <w:r w:rsidRPr="001D41EA">
              <w:rPr>
                <w:rFonts w:cs="Arial"/>
                <w:sz w:val="18"/>
                <w:szCs w:val="18"/>
              </w:rPr>
              <w:t>Greater Shepparton C</w:t>
            </w:r>
          </w:p>
        </w:tc>
        <w:tc>
          <w:tcPr>
            <w:tcW w:w="1134" w:type="dxa"/>
            <w:tcBorders>
              <w:top w:val="nil"/>
              <w:left w:val="single" w:sz="18" w:space="0" w:color="5F497A" w:themeColor="accent4" w:themeShade="BF"/>
              <w:bottom w:val="nil"/>
              <w:right w:val="nil"/>
            </w:tcBorders>
            <w:shd w:val="clear" w:color="auto" w:fill="auto"/>
            <w:vAlign w:val="bottom"/>
          </w:tcPr>
          <w:p w14:paraId="2F630381" w14:textId="630E4CD9" w:rsidR="00566EA9" w:rsidRPr="001D41EA" w:rsidRDefault="00566EA9" w:rsidP="001D41EA">
            <w:pPr>
              <w:spacing w:before="40" w:after="40"/>
              <w:jc w:val="center"/>
              <w:rPr>
                <w:rFonts w:cs="Arial"/>
                <w:sz w:val="18"/>
                <w:szCs w:val="18"/>
              </w:rPr>
            </w:pPr>
            <w:r w:rsidRPr="001D41EA">
              <w:rPr>
                <w:rFonts w:cs="Arial"/>
                <w:sz w:val="18"/>
                <w:szCs w:val="18"/>
              </w:rPr>
              <w:t>1.019</w:t>
            </w:r>
          </w:p>
        </w:tc>
        <w:tc>
          <w:tcPr>
            <w:tcW w:w="1134" w:type="dxa"/>
            <w:tcBorders>
              <w:top w:val="nil"/>
              <w:left w:val="nil"/>
              <w:bottom w:val="nil"/>
              <w:right w:val="nil"/>
            </w:tcBorders>
            <w:shd w:val="clear" w:color="auto" w:fill="auto"/>
            <w:vAlign w:val="bottom"/>
          </w:tcPr>
          <w:p w14:paraId="048A4256" w14:textId="36A718CB" w:rsidR="00566EA9" w:rsidRPr="001D41EA" w:rsidRDefault="00566EA9" w:rsidP="001D41EA">
            <w:pPr>
              <w:spacing w:before="40" w:after="40"/>
              <w:jc w:val="center"/>
              <w:rPr>
                <w:rFonts w:cs="Arial"/>
                <w:sz w:val="18"/>
                <w:szCs w:val="18"/>
              </w:rPr>
            </w:pPr>
            <w:r w:rsidRPr="001D41EA">
              <w:rPr>
                <w:rFonts w:cs="Arial"/>
                <w:sz w:val="18"/>
                <w:szCs w:val="18"/>
              </w:rPr>
              <w:t>1.010</w:t>
            </w:r>
          </w:p>
        </w:tc>
        <w:tc>
          <w:tcPr>
            <w:tcW w:w="1134" w:type="dxa"/>
            <w:tcBorders>
              <w:top w:val="nil"/>
              <w:left w:val="nil"/>
              <w:bottom w:val="nil"/>
              <w:right w:val="nil"/>
            </w:tcBorders>
            <w:vAlign w:val="bottom"/>
          </w:tcPr>
          <w:p w14:paraId="471F81E2" w14:textId="436EF62B" w:rsidR="00566EA9" w:rsidRPr="001D41EA" w:rsidRDefault="00566EA9" w:rsidP="001D41EA">
            <w:pPr>
              <w:spacing w:before="40" w:after="40"/>
              <w:jc w:val="center"/>
              <w:rPr>
                <w:rFonts w:cs="Arial"/>
                <w:sz w:val="18"/>
                <w:szCs w:val="18"/>
              </w:rPr>
            </w:pPr>
            <w:r w:rsidRPr="001D41EA">
              <w:rPr>
                <w:rFonts w:cs="Arial"/>
                <w:sz w:val="18"/>
                <w:szCs w:val="18"/>
              </w:rPr>
              <w:t>1.004</w:t>
            </w:r>
          </w:p>
        </w:tc>
        <w:tc>
          <w:tcPr>
            <w:tcW w:w="1134" w:type="dxa"/>
            <w:tcBorders>
              <w:top w:val="nil"/>
              <w:left w:val="nil"/>
              <w:bottom w:val="nil"/>
              <w:right w:val="nil"/>
            </w:tcBorders>
            <w:vAlign w:val="bottom"/>
          </w:tcPr>
          <w:p w14:paraId="55D36655" w14:textId="12E6A1F8" w:rsidR="00566EA9" w:rsidRPr="001D41EA" w:rsidRDefault="00566EA9" w:rsidP="001D41EA">
            <w:pPr>
              <w:spacing w:before="40" w:after="40"/>
              <w:jc w:val="center"/>
              <w:rPr>
                <w:rFonts w:cs="Arial"/>
                <w:sz w:val="18"/>
                <w:szCs w:val="18"/>
              </w:rPr>
            </w:pPr>
            <w:r w:rsidRPr="001D41EA">
              <w:rPr>
                <w:rFonts w:cs="Arial"/>
                <w:sz w:val="18"/>
                <w:szCs w:val="18"/>
              </w:rPr>
              <w:t>1.016</w:t>
            </w:r>
          </w:p>
        </w:tc>
        <w:tc>
          <w:tcPr>
            <w:tcW w:w="1134" w:type="dxa"/>
            <w:tcBorders>
              <w:top w:val="nil"/>
              <w:left w:val="nil"/>
              <w:bottom w:val="nil"/>
              <w:right w:val="nil"/>
            </w:tcBorders>
            <w:vAlign w:val="bottom"/>
          </w:tcPr>
          <w:p w14:paraId="1EC68E20" w14:textId="34E07279" w:rsidR="00566EA9" w:rsidRPr="001D41EA" w:rsidRDefault="00566EA9" w:rsidP="001D41EA">
            <w:pPr>
              <w:spacing w:before="40" w:after="40"/>
              <w:jc w:val="center"/>
              <w:rPr>
                <w:rFonts w:cs="Arial"/>
                <w:sz w:val="18"/>
                <w:szCs w:val="18"/>
              </w:rPr>
            </w:pPr>
            <w:r w:rsidRPr="001D41EA">
              <w:rPr>
                <w:rFonts w:cs="Arial"/>
                <w:sz w:val="18"/>
                <w:szCs w:val="18"/>
              </w:rPr>
              <w:t>0.993</w:t>
            </w:r>
          </w:p>
        </w:tc>
        <w:tc>
          <w:tcPr>
            <w:tcW w:w="1134" w:type="dxa"/>
            <w:tcBorders>
              <w:top w:val="nil"/>
              <w:left w:val="nil"/>
              <w:bottom w:val="nil"/>
              <w:right w:val="nil"/>
            </w:tcBorders>
            <w:shd w:val="clear" w:color="auto" w:fill="auto"/>
            <w:vAlign w:val="bottom"/>
          </w:tcPr>
          <w:p w14:paraId="42471EFE" w14:textId="21945B75" w:rsidR="00566EA9" w:rsidRPr="001D41EA" w:rsidRDefault="00566EA9" w:rsidP="001D41EA">
            <w:pPr>
              <w:spacing w:before="40" w:after="40"/>
              <w:jc w:val="center"/>
              <w:rPr>
                <w:rFonts w:cs="Arial"/>
                <w:sz w:val="18"/>
                <w:szCs w:val="18"/>
              </w:rPr>
            </w:pPr>
            <w:r w:rsidRPr="001D41EA">
              <w:rPr>
                <w:rFonts w:cs="Arial"/>
                <w:sz w:val="18"/>
                <w:szCs w:val="18"/>
              </w:rPr>
              <w:t>1.006</w:t>
            </w:r>
          </w:p>
        </w:tc>
      </w:tr>
      <w:tr w:rsidR="00566EA9" w:rsidRPr="001D41EA" w14:paraId="25C9C74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6ECE9DA" w14:textId="77777777" w:rsidR="00566EA9" w:rsidRPr="001D41EA" w:rsidRDefault="00566EA9" w:rsidP="001D41EA">
            <w:pPr>
              <w:spacing w:before="40" w:after="40"/>
              <w:rPr>
                <w:rFonts w:cs="Arial"/>
                <w:sz w:val="18"/>
                <w:szCs w:val="18"/>
              </w:rPr>
            </w:pPr>
            <w:r w:rsidRPr="001D41EA">
              <w:rPr>
                <w:rFonts w:cs="Arial"/>
                <w:sz w:val="18"/>
                <w:szCs w:val="18"/>
              </w:rPr>
              <w:t>Hepburn S</w:t>
            </w:r>
          </w:p>
        </w:tc>
        <w:tc>
          <w:tcPr>
            <w:tcW w:w="1134" w:type="dxa"/>
            <w:tcBorders>
              <w:top w:val="nil"/>
              <w:left w:val="single" w:sz="18" w:space="0" w:color="5F497A" w:themeColor="accent4" w:themeShade="BF"/>
              <w:bottom w:val="nil"/>
              <w:right w:val="nil"/>
            </w:tcBorders>
            <w:shd w:val="clear" w:color="auto" w:fill="auto"/>
            <w:vAlign w:val="bottom"/>
          </w:tcPr>
          <w:p w14:paraId="79D44FDF" w14:textId="538566A1" w:rsidR="00566EA9" w:rsidRPr="001D41EA" w:rsidRDefault="00566EA9" w:rsidP="001D41EA">
            <w:pPr>
              <w:spacing w:before="40" w:after="40"/>
              <w:jc w:val="center"/>
              <w:rPr>
                <w:rFonts w:cs="Arial"/>
                <w:sz w:val="18"/>
                <w:szCs w:val="18"/>
              </w:rPr>
            </w:pPr>
            <w:r w:rsidRPr="001D41EA">
              <w:rPr>
                <w:rFonts w:cs="Arial"/>
                <w:sz w:val="18"/>
                <w:szCs w:val="18"/>
              </w:rPr>
              <w:t>1.275</w:t>
            </w:r>
          </w:p>
        </w:tc>
        <w:tc>
          <w:tcPr>
            <w:tcW w:w="1134" w:type="dxa"/>
            <w:tcBorders>
              <w:top w:val="nil"/>
              <w:left w:val="nil"/>
              <w:bottom w:val="nil"/>
              <w:right w:val="nil"/>
            </w:tcBorders>
            <w:shd w:val="clear" w:color="auto" w:fill="auto"/>
            <w:vAlign w:val="bottom"/>
          </w:tcPr>
          <w:p w14:paraId="61090BA1" w14:textId="3FBF0122" w:rsidR="00566EA9" w:rsidRPr="001D41EA" w:rsidRDefault="00566EA9" w:rsidP="001D41EA">
            <w:pPr>
              <w:spacing w:before="40" w:after="40"/>
              <w:jc w:val="center"/>
              <w:rPr>
                <w:rFonts w:cs="Arial"/>
                <w:sz w:val="18"/>
                <w:szCs w:val="18"/>
              </w:rPr>
            </w:pPr>
            <w:r w:rsidRPr="001D41EA">
              <w:rPr>
                <w:rFonts w:cs="Arial"/>
                <w:sz w:val="18"/>
                <w:szCs w:val="18"/>
              </w:rPr>
              <w:t>1.264</w:t>
            </w:r>
          </w:p>
        </w:tc>
        <w:tc>
          <w:tcPr>
            <w:tcW w:w="1134" w:type="dxa"/>
            <w:tcBorders>
              <w:top w:val="nil"/>
              <w:left w:val="nil"/>
              <w:bottom w:val="nil"/>
              <w:right w:val="nil"/>
            </w:tcBorders>
            <w:vAlign w:val="bottom"/>
          </w:tcPr>
          <w:p w14:paraId="331015CD" w14:textId="1D9B5C9B" w:rsidR="00566EA9" w:rsidRPr="001D41EA" w:rsidRDefault="00566EA9" w:rsidP="001D41EA">
            <w:pPr>
              <w:spacing w:before="40" w:after="40"/>
              <w:jc w:val="center"/>
              <w:rPr>
                <w:rFonts w:cs="Arial"/>
                <w:sz w:val="18"/>
                <w:szCs w:val="18"/>
              </w:rPr>
            </w:pPr>
            <w:r w:rsidRPr="001D41EA">
              <w:rPr>
                <w:rFonts w:cs="Arial"/>
                <w:sz w:val="18"/>
                <w:szCs w:val="18"/>
              </w:rPr>
              <w:t>1.257</w:t>
            </w:r>
          </w:p>
        </w:tc>
        <w:tc>
          <w:tcPr>
            <w:tcW w:w="1134" w:type="dxa"/>
            <w:tcBorders>
              <w:top w:val="nil"/>
              <w:left w:val="nil"/>
              <w:bottom w:val="nil"/>
              <w:right w:val="nil"/>
            </w:tcBorders>
            <w:vAlign w:val="bottom"/>
          </w:tcPr>
          <w:p w14:paraId="4ED8BA53" w14:textId="6C3C6552" w:rsidR="00566EA9" w:rsidRPr="001D41EA" w:rsidRDefault="00566EA9" w:rsidP="001D41EA">
            <w:pPr>
              <w:spacing w:before="40" w:after="40"/>
              <w:jc w:val="center"/>
              <w:rPr>
                <w:rFonts w:cs="Arial"/>
                <w:sz w:val="18"/>
                <w:szCs w:val="18"/>
              </w:rPr>
            </w:pPr>
            <w:r w:rsidRPr="001D41EA">
              <w:rPr>
                <w:rFonts w:cs="Arial"/>
                <w:sz w:val="18"/>
                <w:szCs w:val="18"/>
              </w:rPr>
              <w:t>1.272</w:t>
            </w:r>
          </w:p>
        </w:tc>
        <w:tc>
          <w:tcPr>
            <w:tcW w:w="1134" w:type="dxa"/>
            <w:tcBorders>
              <w:top w:val="nil"/>
              <w:left w:val="nil"/>
              <w:bottom w:val="nil"/>
              <w:right w:val="nil"/>
            </w:tcBorders>
            <w:vAlign w:val="bottom"/>
          </w:tcPr>
          <w:p w14:paraId="0B212C0C" w14:textId="6407F1C6" w:rsidR="00566EA9" w:rsidRPr="001D41EA" w:rsidRDefault="00566EA9" w:rsidP="001D41EA">
            <w:pPr>
              <w:spacing w:before="40" w:after="40"/>
              <w:jc w:val="center"/>
              <w:rPr>
                <w:rFonts w:cs="Arial"/>
                <w:sz w:val="18"/>
                <w:szCs w:val="18"/>
              </w:rPr>
            </w:pPr>
            <w:r w:rsidRPr="001D41EA">
              <w:rPr>
                <w:rFonts w:cs="Arial"/>
                <w:sz w:val="18"/>
                <w:szCs w:val="18"/>
              </w:rPr>
              <w:t>1.243</w:t>
            </w:r>
          </w:p>
        </w:tc>
        <w:tc>
          <w:tcPr>
            <w:tcW w:w="1134" w:type="dxa"/>
            <w:tcBorders>
              <w:top w:val="nil"/>
              <w:left w:val="nil"/>
              <w:bottom w:val="nil"/>
              <w:right w:val="nil"/>
            </w:tcBorders>
            <w:shd w:val="clear" w:color="auto" w:fill="auto"/>
            <w:vAlign w:val="bottom"/>
          </w:tcPr>
          <w:p w14:paraId="12A38248" w14:textId="1FD323DB" w:rsidR="00566EA9" w:rsidRPr="001D41EA" w:rsidRDefault="00566EA9" w:rsidP="001D41EA">
            <w:pPr>
              <w:spacing w:before="40" w:after="40"/>
              <w:jc w:val="center"/>
              <w:rPr>
                <w:rFonts w:cs="Arial"/>
                <w:sz w:val="18"/>
                <w:szCs w:val="18"/>
              </w:rPr>
            </w:pPr>
            <w:r w:rsidRPr="001D41EA">
              <w:rPr>
                <w:rFonts w:cs="Arial"/>
                <w:sz w:val="18"/>
                <w:szCs w:val="18"/>
              </w:rPr>
              <w:t>1.260</w:t>
            </w:r>
          </w:p>
        </w:tc>
      </w:tr>
      <w:tr w:rsidR="00566EA9" w:rsidRPr="001D41EA" w14:paraId="3DF3742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8EF587E" w14:textId="77777777" w:rsidR="00566EA9" w:rsidRPr="001D41EA" w:rsidRDefault="00566EA9" w:rsidP="001D41EA">
            <w:pPr>
              <w:spacing w:before="40" w:after="40"/>
              <w:rPr>
                <w:rFonts w:cs="Arial"/>
                <w:sz w:val="18"/>
                <w:szCs w:val="18"/>
              </w:rPr>
            </w:pPr>
            <w:r w:rsidRPr="001D41EA">
              <w:rPr>
                <w:rFonts w:cs="Arial"/>
                <w:sz w:val="18"/>
                <w:szCs w:val="18"/>
              </w:rPr>
              <w:t>Hindmarsh S</w:t>
            </w:r>
          </w:p>
        </w:tc>
        <w:tc>
          <w:tcPr>
            <w:tcW w:w="1134" w:type="dxa"/>
            <w:tcBorders>
              <w:top w:val="nil"/>
              <w:left w:val="single" w:sz="18" w:space="0" w:color="5F497A" w:themeColor="accent4" w:themeShade="BF"/>
              <w:bottom w:val="nil"/>
              <w:right w:val="nil"/>
            </w:tcBorders>
            <w:shd w:val="clear" w:color="auto" w:fill="auto"/>
            <w:vAlign w:val="bottom"/>
          </w:tcPr>
          <w:p w14:paraId="2122C838" w14:textId="021343C2" w:rsidR="00566EA9" w:rsidRPr="001D41EA" w:rsidRDefault="00566EA9" w:rsidP="001D41EA">
            <w:pPr>
              <w:spacing w:before="40" w:after="40"/>
              <w:jc w:val="center"/>
              <w:rPr>
                <w:rFonts w:cs="Arial"/>
                <w:sz w:val="18"/>
                <w:szCs w:val="18"/>
              </w:rPr>
            </w:pPr>
            <w:r w:rsidRPr="001D41EA">
              <w:rPr>
                <w:rFonts w:cs="Arial"/>
                <w:sz w:val="18"/>
                <w:szCs w:val="18"/>
              </w:rPr>
              <w:t>1.549</w:t>
            </w:r>
          </w:p>
        </w:tc>
        <w:tc>
          <w:tcPr>
            <w:tcW w:w="1134" w:type="dxa"/>
            <w:tcBorders>
              <w:top w:val="nil"/>
              <w:left w:val="nil"/>
              <w:bottom w:val="nil"/>
              <w:right w:val="nil"/>
            </w:tcBorders>
            <w:shd w:val="clear" w:color="auto" w:fill="auto"/>
            <w:vAlign w:val="bottom"/>
          </w:tcPr>
          <w:p w14:paraId="4E67DC24" w14:textId="381B099F" w:rsidR="00566EA9" w:rsidRPr="001D41EA" w:rsidRDefault="00566EA9" w:rsidP="001D41EA">
            <w:pPr>
              <w:spacing w:before="40" w:after="40"/>
              <w:jc w:val="center"/>
              <w:rPr>
                <w:rFonts w:cs="Arial"/>
                <w:sz w:val="18"/>
                <w:szCs w:val="18"/>
              </w:rPr>
            </w:pPr>
            <w:r w:rsidRPr="001D41EA">
              <w:rPr>
                <w:rFonts w:cs="Arial"/>
                <w:sz w:val="18"/>
                <w:szCs w:val="18"/>
              </w:rPr>
              <w:t>1.536</w:t>
            </w:r>
          </w:p>
        </w:tc>
        <w:tc>
          <w:tcPr>
            <w:tcW w:w="1134" w:type="dxa"/>
            <w:tcBorders>
              <w:top w:val="nil"/>
              <w:left w:val="nil"/>
              <w:bottom w:val="nil"/>
              <w:right w:val="nil"/>
            </w:tcBorders>
            <w:vAlign w:val="bottom"/>
          </w:tcPr>
          <w:p w14:paraId="01753C14" w14:textId="004CEFAF" w:rsidR="00566EA9" w:rsidRPr="001D41EA" w:rsidRDefault="00566EA9" w:rsidP="001D41EA">
            <w:pPr>
              <w:spacing w:before="40" w:after="40"/>
              <w:jc w:val="center"/>
              <w:rPr>
                <w:rFonts w:cs="Arial"/>
                <w:sz w:val="18"/>
                <w:szCs w:val="18"/>
              </w:rPr>
            </w:pPr>
            <w:r w:rsidRPr="001D41EA">
              <w:rPr>
                <w:rFonts w:cs="Arial"/>
                <w:sz w:val="18"/>
                <w:szCs w:val="18"/>
              </w:rPr>
              <w:t>1.527</w:t>
            </w:r>
          </w:p>
        </w:tc>
        <w:tc>
          <w:tcPr>
            <w:tcW w:w="1134" w:type="dxa"/>
            <w:tcBorders>
              <w:top w:val="nil"/>
              <w:left w:val="nil"/>
              <w:bottom w:val="nil"/>
              <w:right w:val="nil"/>
            </w:tcBorders>
            <w:vAlign w:val="bottom"/>
          </w:tcPr>
          <w:p w14:paraId="6688D05A" w14:textId="2293CBAA" w:rsidR="00566EA9" w:rsidRPr="001D41EA" w:rsidRDefault="00566EA9" w:rsidP="001D41EA">
            <w:pPr>
              <w:spacing w:before="40" w:after="40"/>
              <w:jc w:val="center"/>
              <w:rPr>
                <w:rFonts w:cs="Arial"/>
                <w:sz w:val="18"/>
                <w:szCs w:val="18"/>
              </w:rPr>
            </w:pPr>
            <w:r w:rsidRPr="001D41EA">
              <w:rPr>
                <w:rFonts w:cs="Arial"/>
                <w:sz w:val="18"/>
                <w:szCs w:val="18"/>
              </w:rPr>
              <w:t>1.545</w:t>
            </w:r>
          </w:p>
        </w:tc>
        <w:tc>
          <w:tcPr>
            <w:tcW w:w="1134" w:type="dxa"/>
            <w:tcBorders>
              <w:top w:val="nil"/>
              <w:left w:val="nil"/>
              <w:bottom w:val="nil"/>
              <w:right w:val="nil"/>
            </w:tcBorders>
            <w:vAlign w:val="bottom"/>
          </w:tcPr>
          <w:p w14:paraId="098E8D6E" w14:textId="1AF9105A" w:rsidR="00566EA9" w:rsidRPr="001D41EA" w:rsidRDefault="00566EA9" w:rsidP="001D41EA">
            <w:pPr>
              <w:spacing w:before="40" w:after="40"/>
              <w:jc w:val="center"/>
              <w:rPr>
                <w:rFonts w:cs="Arial"/>
                <w:sz w:val="18"/>
                <w:szCs w:val="18"/>
              </w:rPr>
            </w:pPr>
            <w:r w:rsidRPr="001D41EA">
              <w:rPr>
                <w:rFonts w:cs="Arial"/>
                <w:sz w:val="18"/>
                <w:szCs w:val="18"/>
              </w:rPr>
              <w:t>1.510</w:t>
            </w:r>
          </w:p>
        </w:tc>
        <w:tc>
          <w:tcPr>
            <w:tcW w:w="1134" w:type="dxa"/>
            <w:tcBorders>
              <w:top w:val="nil"/>
              <w:left w:val="nil"/>
              <w:bottom w:val="nil"/>
              <w:right w:val="nil"/>
            </w:tcBorders>
            <w:shd w:val="clear" w:color="auto" w:fill="auto"/>
            <w:vAlign w:val="bottom"/>
          </w:tcPr>
          <w:p w14:paraId="3CD47759" w14:textId="5FF51B85" w:rsidR="00566EA9" w:rsidRPr="001D41EA" w:rsidRDefault="00566EA9" w:rsidP="001D41EA">
            <w:pPr>
              <w:spacing w:before="40" w:after="40"/>
              <w:jc w:val="center"/>
              <w:rPr>
                <w:rFonts w:cs="Arial"/>
                <w:sz w:val="18"/>
                <w:szCs w:val="18"/>
              </w:rPr>
            </w:pPr>
            <w:r w:rsidRPr="001D41EA">
              <w:rPr>
                <w:rFonts w:cs="Arial"/>
                <w:sz w:val="18"/>
                <w:szCs w:val="18"/>
              </w:rPr>
              <w:t>1.531</w:t>
            </w:r>
          </w:p>
        </w:tc>
      </w:tr>
      <w:tr w:rsidR="00566EA9" w:rsidRPr="001D41EA" w14:paraId="3CEEC4C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FBAC93D" w14:textId="77777777" w:rsidR="00566EA9" w:rsidRPr="001D41EA" w:rsidRDefault="00566EA9" w:rsidP="001D41EA">
            <w:pPr>
              <w:spacing w:before="40" w:after="40"/>
              <w:rPr>
                <w:rFonts w:cs="Arial"/>
                <w:sz w:val="18"/>
                <w:szCs w:val="18"/>
              </w:rPr>
            </w:pPr>
            <w:r w:rsidRPr="001D41EA">
              <w:rPr>
                <w:rFonts w:cs="Arial"/>
                <w:sz w:val="18"/>
                <w:szCs w:val="18"/>
              </w:rPr>
              <w:t>Hobsons Bay C</w:t>
            </w:r>
          </w:p>
        </w:tc>
        <w:tc>
          <w:tcPr>
            <w:tcW w:w="1134" w:type="dxa"/>
            <w:tcBorders>
              <w:top w:val="nil"/>
              <w:left w:val="single" w:sz="18" w:space="0" w:color="5F497A" w:themeColor="accent4" w:themeShade="BF"/>
              <w:bottom w:val="nil"/>
              <w:right w:val="nil"/>
            </w:tcBorders>
            <w:shd w:val="clear" w:color="auto" w:fill="auto"/>
            <w:vAlign w:val="bottom"/>
          </w:tcPr>
          <w:p w14:paraId="7BC70C49" w14:textId="592D9A73" w:rsidR="00566EA9" w:rsidRPr="001D41EA" w:rsidRDefault="00566EA9" w:rsidP="001D41EA">
            <w:pPr>
              <w:spacing w:before="40" w:after="4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1E2F58A3" w14:textId="458B2583" w:rsidR="00566EA9" w:rsidRPr="001D41EA" w:rsidRDefault="00566EA9" w:rsidP="001D41EA">
            <w:pPr>
              <w:spacing w:before="40" w:after="4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19683278" w14:textId="062AF679" w:rsidR="00566EA9" w:rsidRPr="001D41EA" w:rsidRDefault="00566EA9" w:rsidP="001D41EA">
            <w:pPr>
              <w:spacing w:before="40" w:after="4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14BEAA67" w14:textId="393E384E" w:rsidR="00566EA9" w:rsidRPr="001D41EA" w:rsidRDefault="00566EA9" w:rsidP="001D41EA">
            <w:pPr>
              <w:spacing w:before="40" w:after="4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4D64E37C" w14:textId="2302D298" w:rsidR="00566EA9" w:rsidRPr="001D41EA" w:rsidRDefault="00566EA9" w:rsidP="001D41EA">
            <w:pPr>
              <w:spacing w:before="40" w:after="4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3277E73C" w14:textId="3E55C4EB" w:rsidR="00566EA9" w:rsidRPr="001D41EA" w:rsidRDefault="00566EA9" w:rsidP="001D41EA">
            <w:pPr>
              <w:spacing w:before="40" w:after="40"/>
              <w:jc w:val="center"/>
              <w:rPr>
                <w:rFonts w:cs="Arial"/>
                <w:sz w:val="18"/>
                <w:szCs w:val="18"/>
              </w:rPr>
            </w:pPr>
            <w:r w:rsidRPr="001D41EA">
              <w:rPr>
                <w:rFonts w:cs="Arial"/>
                <w:sz w:val="18"/>
                <w:szCs w:val="18"/>
              </w:rPr>
              <w:t>0.885</w:t>
            </w:r>
          </w:p>
        </w:tc>
      </w:tr>
      <w:tr w:rsidR="00566EA9" w:rsidRPr="001D41EA" w14:paraId="74DD08B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F011523" w14:textId="77777777" w:rsidR="00566EA9" w:rsidRPr="001D41EA" w:rsidRDefault="00566EA9" w:rsidP="001D41EA">
            <w:pPr>
              <w:spacing w:before="40" w:after="40"/>
              <w:rPr>
                <w:rFonts w:cs="Arial"/>
                <w:sz w:val="18"/>
                <w:szCs w:val="18"/>
              </w:rPr>
            </w:pPr>
            <w:r w:rsidRPr="001D41EA">
              <w:rPr>
                <w:rFonts w:cs="Arial"/>
                <w:sz w:val="18"/>
                <w:szCs w:val="18"/>
              </w:rPr>
              <w:t>Horsham RC</w:t>
            </w:r>
          </w:p>
        </w:tc>
        <w:tc>
          <w:tcPr>
            <w:tcW w:w="1134" w:type="dxa"/>
            <w:tcBorders>
              <w:top w:val="nil"/>
              <w:left w:val="single" w:sz="18" w:space="0" w:color="5F497A" w:themeColor="accent4" w:themeShade="BF"/>
              <w:bottom w:val="nil"/>
              <w:right w:val="nil"/>
            </w:tcBorders>
            <w:shd w:val="clear" w:color="auto" w:fill="auto"/>
            <w:vAlign w:val="bottom"/>
          </w:tcPr>
          <w:p w14:paraId="5794B4AF" w14:textId="7B7051F2" w:rsidR="00566EA9" w:rsidRPr="001D41EA" w:rsidRDefault="00566EA9" w:rsidP="001D41EA">
            <w:pPr>
              <w:spacing w:before="40" w:after="40"/>
              <w:jc w:val="center"/>
              <w:rPr>
                <w:rFonts w:cs="Arial"/>
                <w:sz w:val="18"/>
                <w:szCs w:val="18"/>
              </w:rPr>
            </w:pPr>
            <w:r w:rsidRPr="001D41EA">
              <w:rPr>
                <w:rFonts w:cs="Arial"/>
                <w:sz w:val="18"/>
                <w:szCs w:val="18"/>
              </w:rPr>
              <w:t>0.996</w:t>
            </w:r>
          </w:p>
        </w:tc>
        <w:tc>
          <w:tcPr>
            <w:tcW w:w="1134" w:type="dxa"/>
            <w:tcBorders>
              <w:top w:val="nil"/>
              <w:left w:val="nil"/>
              <w:bottom w:val="nil"/>
              <w:right w:val="nil"/>
            </w:tcBorders>
            <w:shd w:val="clear" w:color="auto" w:fill="auto"/>
            <w:vAlign w:val="bottom"/>
          </w:tcPr>
          <w:p w14:paraId="7EE476A9" w14:textId="1F04A44E" w:rsidR="00566EA9" w:rsidRPr="001D41EA" w:rsidRDefault="00566EA9" w:rsidP="001D41EA">
            <w:pPr>
              <w:spacing w:before="40" w:after="40"/>
              <w:jc w:val="center"/>
              <w:rPr>
                <w:rFonts w:cs="Arial"/>
                <w:sz w:val="18"/>
                <w:szCs w:val="18"/>
              </w:rPr>
            </w:pPr>
            <w:r w:rsidRPr="001D41EA">
              <w:rPr>
                <w:rFonts w:cs="Arial"/>
                <w:sz w:val="18"/>
                <w:szCs w:val="18"/>
              </w:rPr>
              <w:t>0.988</w:t>
            </w:r>
          </w:p>
        </w:tc>
        <w:tc>
          <w:tcPr>
            <w:tcW w:w="1134" w:type="dxa"/>
            <w:tcBorders>
              <w:top w:val="nil"/>
              <w:left w:val="nil"/>
              <w:bottom w:val="nil"/>
              <w:right w:val="nil"/>
            </w:tcBorders>
            <w:vAlign w:val="bottom"/>
          </w:tcPr>
          <w:p w14:paraId="1DA9307A" w14:textId="102013B0" w:rsidR="00566EA9" w:rsidRPr="001D41EA" w:rsidRDefault="00566EA9" w:rsidP="001D41EA">
            <w:pPr>
              <w:spacing w:before="40" w:after="40"/>
              <w:jc w:val="center"/>
              <w:rPr>
                <w:rFonts w:cs="Arial"/>
                <w:sz w:val="18"/>
                <w:szCs w:val="18"/>
              </w:rPr>
            </w:pPr>
            <w:r w:rsidRPr="001D41EA">
              <w:rPr>
                <w:rFonts w:cs="Arial"/>
                <w:sz w:val="18"/>
                <w:szCs w:val="18"/>
              </w:rPr>
              <w:t>0.982</w:t>
            </w:r>
          </w:p>
        </w:tc>
        <w:tc>
          <w:tcPr>
            <w:tcW w:w="1134" w:type="dxa"/>
            <w:tcBorders>
              <w:top w:val="nil"/>
              <w:left w:val="nil"/>
              <w:bottom w:val="nil"/>
              <w:right w:val="nil"/>
            </w:tcBorders>
            <w:vAlign w:val="bottom"/>
          </w:tcPr>
          <w:p w14:paraId="064CA3FC" w14:textId="39A00820" w:rsidR="00566EA9" w:rsidRPr="001D41EA" w:rsidRDefault="00566EA9" w:rsidP="001D41EA">
            <w:pPr>
              <w:spacing w:before="40" w:after="40"/>
              <w:jc w:val="center"/>
              <w:rPr>
                <w:rFonts w:cs="Arial"/>
                <w:sz w:val="18"/>
                <w:szCs w:val="18"/>
              </w:rPr>
            </w:pPr>
            <w:r w:rsidRPr="001D41EA">
              <w:rPr>
                <w:rFonts w:cs="Arial"/>
                <w:sz w:val="18"/>
                <w:szCs w:val="18"/>
              </w:rPr>
              <w:t>0.994</w:t>
            </w:r>
          </w:p>
        </w:tc>
        <w:tc>
          <w:tcPr>
            <w:tcW w:w="1134" w:type="dxa"/>
            <w:tcBorders>
              <w:top w:val="nil"/>
              <w:left w:val="nil"/>
              <w:bottom w:val="nil"/>
              <w:right w:val="nil"/>
            </w:tcBorders>
            <w:vAlign w:val="bottom"/>
          </w:tcPr>
          <w:p w14:paraId="7EB56E31" w14:textId="4B648E83" w:rsidR="00566EA9" w:rsidRPr="001D41EA" w:rsidRDefault="00566EA9" w:rsidP="001D41EA">
            <w:pPr>
              <w:spacing w:before="40" w:after="40"/>
              <w:jc w:val="center"/>
              <w:rPr>
                <w:rFonts w:cs="Arial"/>
                <w:sz w:val="18"/>
                <w:szCs w:val="18"/>
              </w:rPr>
            </w:pPr>
            <w:r w:rsidRPr="001D41EA">
              <w:rPr>
                <w:rFonts w:cs="Arial"/>
                <w:sz w:val="18"/>
                <w:szCs w:val="18"/>
              </w:rPr>
              <w:t>0.971</w:t>
            </w:r>
          </w:p>
        </w:tc>
        <w:tc>
          <w:tcPr>
            <w:tcW w:w="1134" w:type="dxa"/>
            <w:tcBorders>
              <w:top w:val="nil"/>
              <w:left w:val="nil"/>
              <w:bottom w:val="nil"/>
              <w:right w:val="nil"/>
            </w:tcBorders>
            <w:shd w:val="clear" w:color="auto" w:fill="auto"/>
            <w:vAlign w:val="bottom"/>
          </w:tcPr>
          <w:p w14:paraId="11513EA5" w14:textId="6BBC1E17" w:rsidR="00566EA9" w:rsidRPr="001D41EA" w:rsidRDefault="00566EA9" w:rsidP="001D41EA">
            <w:pPr>
              <w:spacing w:before="40" w:after="40"/>
              <w:jc w:val="center"/>
              <w:rPr>
                <w:rFonts w:cs="Arial"/>
                <w:sz w:val="18"/>
                <w:szCs w:val="18"/>
              </w:rPr>
            </w:pPr>
            <w:r w:rsidRPr="001D41EA">
              <w:rPr>
                <w:rFonts w:cs="Arial"/>
                <w:sz w:val="18"/>
                <w:szCs w:val="18"/>
              </w:rPr>
              <w:t>0.984</w:t>
            </w:r>
          </w:p>
        </w:tc>
      </w:tr>
      <w:tr w:rsidR="00566EA9" w:rsidRPr="001D41EA" w14:paraId="4DDE862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EA37CD0" w14:textId="77777777" w:rsidR="00566EA9" w:rsidRPr="001D41EA" w:rsidRDefault="00566EA9" w:rsidP="001D41EA">
            <w:pPr>
              <w:spacing w:before="40" w:after="40"/>
              <w:rPr>
                <w:rFonts w:cs="Arial"/>
                <w:sz w:val="18"/>
                <w:szCs w:val="18"/>
              </w:rPr>
            </w:pPr>
            <w:r w:rsidRPr="001D41EA">
              <w:rPr>
                <w:rFonts w:cs="Arial"/>
                <w:sz w:val="18"/>
                <w:szCs w:val="18"/>
              </w:rPr>
              <w:t>Hume C</w:t>
            </w:r>
          </w:p>
        </w:tc>
        <w:tc>
          <w:tcPr>
            <w:tcW w:w="1134" w:type="dxa"/>
            <w:tcBorders>
              <w:top w:val="nil"/>
              <w:left w:val="single" w:sz="18" w:space="0" w:color="5F497A" w:themeColor="accent4" w:themeShade="BF"/>
              <w:bottom w:val="nil"/>
              <w:right w:val="nil"/>
            </w:tcBorders>
            <w:shd w:val="clear" w:color="auto" w:fill="auto"/>
            <w:vAlign w:val="bottom"/>
          </w:tcPr>
          <w:p w14:paraId="40F823FC" w14:textId="2ADB44C7" w:rsidR="00566EA9" w:rsidRPr="001D41EA" w:rsidRDefault="00566EA9" w:rsidP="001D41EA">
            <w:pPr>
              <w:spacing w:before="40" w:after="40"/>
              <w:jc w:val="center"/>
              <w:rPr>
                <w:rFonts w:cs="Arial"/>
                <w:sz w:val="18"/>
                <w:szCs w:val="18"/>
              </w:rPr>
            </w:pPr>
            <w:r w:rsidRPr="001D41EA">
              <w:rPr>
                <w:rFonts w:cs="Arial"/>
                <w:sz w:val="18"/>
                <w:szCs w:val="18"/>
              </w:rPr>
              <w:t>1.021</w:t>
            </w:r>
          </w:p>
        </w:tc>
        <w:tc>
          <w:tcPr>
            <w:tcW w:w="1134" w:type="dxa"/>
            <w:tcBorders>
              <w:top w:val="nil"/>
              <w:left w:val="nil"/>
              <w:bottom w:val="nil"/>
              <w:right w:val="nil"/>
            </w:tcBorders>
            <w:shd w:val="clear" w:color="auto" w:fill="auto"/>
            <w:vAlign w:val="bottom"/>
          </w:tcPr>
          <w:p w14:paraId="0A894E05" w14:textId="38EA59D7" w:rsidR="00566EA9" w:rsidRPr="001D41EA" w:rsidRDefault="00566EA9" w:rsidP="001D41EA">
            <w:pPr>
              <w:spacing w:before="40" w:after="40"/>
              <w:jc w:val="center"/>
              <w:rPr>
                <w:rFonts w:cs="Arial"/>
                <w:sz w:val="18"/>
                <w:szCs w:val="18"/>
              </w:rPr>
            </w:pPr>
            <w:r w:rsidRPr="001D41EA">
              <w:rPr>
                <w:rFonts w:cs="Arial"/>
                <w:sz w:val="18"/>
                <w:szCs w:val="18"/>
              </w:rPr>
              <w:t>1.012</w:t>
            </w:r>
          </w:p>
        </w:tc>
        <w:tc>
          <w:tcPr>
            <w:tcW w:w="1134" w:type="dxa"/>
            <w:tcBorders>
              <w:top w:val="nil"/>
              <w:left w:val="nil"/>
              <w:bottom w:val="nil"/>
              <w:right w:val="nil"/>
            </w:tcBorders>
            <w:vAlign w:val="bottom"/>
          </w:tcPr>
          <w:p w14:paraId="5082D6A1" w14:textId="118554E4" w:rsidR="00566EA9" w:rsidRPr="001D41EA" w:rsidRDefault="00566EA9" w:rsidP="001D41EA">
            <w:pPr>
              <w:spacing w:before="40" w:after="40"/>
              <w:jc w:val="center"/>
              <w:rPr>
                <w:rFonts w:cs="Arial"/>
                <w:sz w:val="18"/>
                <w:szCs w:val="18"/>
              </w:rPr>
            </w:pPr>
            <w:r w:rsidRPr="001D41EA">
              <w:rPr>
                <w:rFonts w:cs="Arial"/>
                <w:sz w:val="18"/>
                <w:szCs w:val="18"/>
              </w:rPr>
              <w:t>1.007</w:t>
            </w:r>
          </w:p>
        </w:tc>
        <w:tc>
          <w:tcPr>
            <w:tcW w:w="1134" w:type="dxa"/>
            <w:tcBorders>
              <w:top w:val="nil"/>
              <w:left w:val="nil"/>
              <w:bottom w:val="nil"/>
              <w:right w:val="nil"/>
            </w:tcBorders>
            <w:vAlign w:val="bottom"/>
          </w:tcPr>
          <w:p w14:paraId="1F5059AE" w14:textId="431662C1" w:rsidR="00566EA9" w:rsidRPr="001D41EA" w:rsidRDefault="00566EA9" w:rsidP="001D41EA">
            <w:pPr>
              <w:spacing w:before="40" w:after="40"/>
              <w:jc w:val="center"/>
              <w:rPr>
                <w:rFonts w:cs="Arial"/>
                <w:sz w:val="18"/>
                <w:szCs w:val="18"/>
              </w:rPr>
            </w:pPr>
            <w:r w:rsidRPr="001D41EA">
              <w:rPr>
                <w:rFonts w:cs="Arial"/>
                <w:sz w:val="18"/>
                <w:szCs w:val="18"/>
              </w:rPr>
              <w:t>1.019</w:t>
            </w:r>
          </w:p>
        </w:tc>
        <w:tc>
          <w:tcPr>
            <w:tcW w:w="1134" w:type="dxa"/>
            <w:tcBorders>
              <w:top w:val="nil"/>
              <w:left w:val="nil"/>
              <w:bottom w:val="nil"/>
              <w:right w:val="nil"/>
            </w:tcBorders>
            <w:vAlign w:val="bottom"/>
          </w:tcPr>
          <w:p w14:paraId="4670BCE6" w14:textId="4CD75B3B" w:rsidR="00566EA9" w:rsidRPr="001D41EA" w:rsidRDefault="00566EA9" w:rsidP="001D41EA">
            <w:pPr>
              <w:spacing w:before="40" w:after="40"/>
              <w:jc w:val="center"/>
              <w:rPr>
                <w:rFonts w:cs="Arial"/>
                <w:sz w:val="18"/>
                <w:szCs w:val="18"/>
              </w:rPr>
            </w:pPr>
            <w:r w:rsidRPr="001D41EA">
              <w:rPr>
                <w:rFonts w:cs="Arial"/>
                <w:sz w:val="18"/>
                <w:szCs w:val="18"/>
              </w:rPr>
              <w:t>0.995</w:t>
            </w:r>
          </w:p>
        </w:tc>
        <w:tc>
          <w:tcPr>
            <w:tcW w:w="1134" w:type="dxa"/>
            <w:tcBorders>
              <w:top w:val="nil"/>
              <w:left w:val="nil"/>
              <w:bottom w:val="nil"/>
              <w:right w:val="nil"/>
            </w:tcBorders>
            <w:shd w:val="clear" w:color="auto" w:fill="auto"/>
            <w:vAlign w:val="bottom"/>
          </w:tcPr>
          <w:p w14:paraId="6E0B984C" w14:textId="7CD3CD75" w:rsidR="00566EA9" w:rsidRPr="001D41EA" w:rsidRDefault="00566EA9" w:rsidP="001D41EA">
            <w:pPr>
              <w:spacing w:before="40" w:after="40"/>
              <w:jc w:val="center"/>
              <w:rPr>
                <w:rFonts w:cs="Arial"/>
                <w:sz w:val="18"/>
                <w:szCs w:val="18"/>
              </w:rPr>
            </w:pPr>
            <w:r w:rsidRPr="001D41EA">
              <w:rPr>
                <w:rFonts w:cs="Arial"/>
                <w:sz w:val="18"/>
                <w:szCs w:val="18"/>
              </w:rPr>
              <w:t>1.009</w:t>
            </w:r>
          </w:p>
        </w:tc>
      </w:tr>
      <w:tr w:rsidR="00566EA9" w:rsidRPr="001D41EA" w14:paraId="6E011DB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CCD91C2" w14:textId="77777777" w:rsidR="00566EA9" w:rsidRPr="001D41EA" w:rsidRDefault="00566EA9" w:rsidP="001D41EA">
            <w:pPr>
              <w:spacing w:before="40" w:after="40"/>
              <w:rPr>
                <w:rFonts w:cs="Arial"/>
                <w:sz w:val="18"/>
                <w:szCs w:val="18"/>
              </w:rPr>
            </w:pPr>
            <w:r w:rsidRPr="001D41EA">
              <w:rPr>
                <w:rFonts w:cs="Arial"/>
                <w:sz w:val="18"/>
                <w:szCs w:val="18"/>
              </w:rPr>
              <w:t>Indigo S</w:t>
            </w:r>
          </w:p>
        </w:tc>
        <w:tc>
          <w:tcPr>
            <w:tcW w:w="1134" w:type="dxa"/>
            <w:tcBorders>
              <w:top w:val="nil"/>
              <w:left w:val="single" w:sz="18" w:space="0" w:color="5F497A" w:themeColor="accent4" w:themeShade="BF"/>
              <w:bottom w:val="nil"/>
              <w:right w:val="nil"/>
            </w:tcBorders>
            <w:shd w:val="clear" w:color="auto" w:fill="auto"/>
            <w:vAlign w:val="bottom"/>
          </w:tcPr>
          <w:p w14:paraId="255DA887" w14:textId="647DF857" w:rsidR="00566EA9" w:rsidRPr="001D41EA" w:rsidRDefault="00566EA9" w:rsidP="001D41EA">
            <w:pPr>
              <w:spacing w:before="40" w:after="40"/>
              <w:jc w:val="center"/>
              <w:rPr>
                <w:rFonts w:cs="Arial"/>
                <w:sz w:val="18"/>
                <w:szCs w:val="18"/>
              </w:rPr>
            </w:pPr>
            <w:r w:rsidRPr="001D41EA">
              <w:rPr>
                <w:rFonts w:cs="Arial"/>
                <w:sz w:val="18"/>
                <w:szCs w:val="18"/>
              </w:rPr>
              <w:t>1.454</w:t>
            </w:r>
          </w:p>
        </w:tc>
        <w:tc>
          <w:tcPr>
            <w:tcW w:w="1134" w:type="dxa"/>
            <w:tcBorders>
              <w:top w:val="nil"/>
              <w:left w:val="nil"/>
              <w:bottom w:val="nil"/>
              <w:right w:val="nil"/>
            </w:tcBorders>
            <w:shd w:val="clear" w:color="auto" w:fill="auto"/>
            <w:vAlign w:val="bottom"/>
          </w:tcPr>
          <w:p w14:paraId="15170FFF" w14:textId="4FACFEBE" w:rsidR="00566EA9" w:rsidRPr="001D41EA" w:rsidRDefault="00566EA9" w:rsidP="001D41EA">
            <w:pPr>
              <w:spacing w:before="40" w:after="40"/>
              <w:jc w:val="center"/>
              <w:rPr>
                <w:rFonts w:cs="Arial"/>
                <w:sz w:val="18"/>
                <w:szCs w:val="18"/>
              </w:rPr>
            </w:pPr>
            <w:r w:rsidRPr="001D41EA">
              <w:rPr>
                <w:rFonts w:cs="Arial"/>
                <w:sz w:val="18"/>
                <w:szCs w:val="18"/>
              </w:rPr>
              <w:t>1.441</w:t>
            </w:r>
          </w:p>
        </w:tc>
        <w:tc>
          <w:tcPr>
            <w:tcW w:w="1134" w:type="dxa"/>
            <w:tcBorders>
              <w:top w:val="nil"/>
              <w:left w:val="nil"/>
              <w:bottom w:val="nil"/>
              <w:right w:val="nil"/>
            </w:tcBorders>
            <w:vAlign w:val="bottom"/>
          </w:tcPr>
          <w:p w14:paraId="30CD7205" w14:textId="3AB59065" w:rsidR="00566EA9" w:rsidRPr="001D41EA" w:rsidRDefault="00566EA9" w:rsidP="001D41EA">
            <w:pPr>
              <w:spacing w:before="40" w:after="40"/>
              <w:jc w:val="center"/>
              <w:rPr>
                <w:rFonts w:cs="Arial"/>
                <w:sz w:val="18"/>
                <w:szCs w:val="18"/>
              </w:rPr>
            </w:pPr>
            <w:r w:rsidRPr="001D41EA">
              <w:rPr>
                <w:rFonts w:cs="Arial"/>
                <w:sz w:val="18"/>
                <w:szCs w:val="18"/>
              </w:rPr>
              <w:t>1.433</w:t>
            </w:r>
          </w:p>
        </w:tc>
        <w:tc>
          <w:tcPr>
            <w:tcW w:w="1134" w:type="dxa"/>
            <w:tcBorders>
              <w:top w:val="nil"/>
              <w:left w:val="nil"/>
              <w:bottom w:val="nil"/>
              <w:right w:val="nil"/>
            </w:tcBorders>
            <w:vAlign w:val="bottom"/>
          </w:tcPr>
          <w:p w14:paraId="09BF315A" w14:textId="62715692" w:rsidR="00566EA9" w:rsidRPr="001D41EA" w:rsidRDefault="00566EA9" w:rsidP="001D41EA">
            <w:pPr>
              <w:spacing w:before="40" w:after="40"/>
              <w:jc w:val="center"/>
              <w:rPr>
                <w:rFonts w:cs="Arial"/>
                <w:sz w:val="18"/>
                <w:szCs w:val="18"/>
              </w:rPr>
            </w:pPr>
            <w:r w:rsidRPr="001D41EA">
              <w:rPr>
                <w:rFonts w:cs="Arial"/>
                <w:sz w:val="18"/>
                <w:szCs w:val="18"/>
              </w:rPr>
              <w:t>1.450</w:t>
            </w:r>
          </w:p>
        </w:tc>
        <w:tc>
          <w:tcPr>
            <w:tcW w:w="1134" w:type="dxa"/>
            <w:tcBorders>
              <w:top w:val="nil"/>
              <w:left w:val="nil"/>
              <w:bottom w:val="nil"/>
              <w:right w:val="nil"/>
            </w:tcBorders>
            <w:vAlign w:val="bottom"/>
          </w:tcPr>
          <w:p w14:paraId="549BEF20" w14:textId="3112FDC0" w:rsidR="00566EA9" w:rsidRPr="001D41EA" w:rsidRDefault="00566EA9" w:rsidP="001D41EA">
            <w:pPr>
              <w:spacing w:before="40" w:after="40"/>
              <w:jc w:val="center"/>
              <w:rPr>
                <w:rFonts w:cs="Arial"/>
                <w:sz w:val="18"/>
                <w:szCs w:val="18"/>
              </w:rPr>
            </w:pPr>
            <w:r w:rsidRPr="001D41EA">
              <w:rPr>
                <w:rFonts w:cs="Arial"/>
                <w:sz w:val="18"/>
                <w:szCs w:val="18"/>
              </w:rPr>
              <w:t>1.417</w:t>
            </w:r>
          </w:p>
        </w:tc>
        <w:tc>
          <w:tcPr>
            <w:tcW w:w="1134" w:type="dxa"/>
            <w:tcBorders>
              <w:top w:val="nil"/>
              <w:left w:val="nil"/>
              <w:bottom w:val="nil"/>
              <w:right w:val="nil"/>
            </w:tcBorders>
            <w:shd w:val="clear" w:color="auto" w:fill="auto"/>
            <w:vAlign w:val="bottom"/>
          </w:tcPr>
          <w:p w14:paraId="7D317923" w14:textId="409D7901" w:rsidR="00566EA9" w:rsidRPr="001D41EA" w:rsidRDefault="00566EA9" w:rsidP="001D41EA">
            <w:pPr>
              <w:spacing w:before="40" w:after="40"/>
              <w:jc w:val="center"/>
              <w:rPr>
                <w:rFonts w:cs="Arial"/>
                <w:sz w:val="18"/>
                <w:szCs w:val="18"/>
              </w:rPr>
            </w:pPr>
            <w:r w:rsidRPr="001D41EA">
              <w:rPr>
                <w:rFonts w:cs="Arial"/>
                <w:sz w:val="18"/>
                <w:szCs w:val="18"/>
              </w:rPr>
              <w:t>1.436</w:t>
            </w:r>
          </w:p>
        </w:tc>
      </w:tr>
      <w:tr w:rsidR="00566EA9" w:rsidRPr="001D41EA" w14:paraId="50EA068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BDEB666" w14:textId="77777777" w:rsidR="00566EA9" w:rsidRPr="001D41EA" w:rsidRDefault="00566EA9" w:rsidP="001D41EA">
            <w:pPr>
              <w:spacing w:before="40" w:after="40"/>
              <w:rPr>
                <w:rFonts w:cs="Arial"/>
                <w:sz w:val="18"/>
                <w:szCs w:val="18"/>
              </w:rPr>
            </w:pPr>
            <w:r w:rsidRPr="001D41EA">
              <w:rPr>
                <w:rFonts w:cs="Arial"/>
                <w:sz w:val="18"/>
                <w:szCs w:val="18"/>
              </w:rPr>
              <w:t>Kingston C</w:t>
            </w:r>
          </w:p>
        </w:tc>
        <w:tc>
          <w:tcPr>
            <w:tcW w:w="1134" w:type="dxa"/>
            <w:tcBorders>
              <w:top w:val="nil"/>
              <w:left w:val="single" w:sz="18" w:space="0" w:color="5F497A" w:themeColor="accent4" w:themeShade="BF"/>
              <w:bottom w:val="nil"/>
              <w:right w:val="nil"/>
            </w:tcBorders>
            <w:shd w:val="clear" w:color="auto" w:fill="auto"/>
            <w:vAlign w:val="bottom"/>
          </w:tcPr>
          <w:p w14:paraId="6A083FB1" w14:textId="7437F56D" w:rsidR="00566EA9" w:rsidRPr="001D41EA" w:rsidRDefault="00566EA9" w:rsidP="001D41EA">
            <w:pPr>
              <w:spacing w:before="40" w:after="4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598064EE" w14:textId="21CF3D2D" w:rsidR="00566EA9" w:rsidRPr="001D41EA" w:rsidRDefault="00566EA9" w:rsidP="001D41EA">
            <w:pPr>
              <w:spacing w:before="40" w:after="4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2DACF36D" w14:textId="266AB473" w:rsidR="00566EA9" w:rsidRPr="001D41EA" w:rsidRDefault="00566EA9" w:rsidP="001D41EA">
            <w:pPr>
              <w:spacing w:before="40" w:after="4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35CD3DF7" w14:textId="66997618" w:rsidR="00566EA9" w:rsidRPr="001D41EA" w:rsidRDefault="00566EA9" w:rsidP="001D41EA">
            <w:pPr>
              <w:spacing w:before="40" w:after="4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5F0364D4" w14:textId="28545A26" w:rsidR="00566EA9" w:rsidRPr="001D41EA" w:rsidRDefault="00566EA9" w:rsidP="001D41EA">
            <w:pPr>
              <w:spacing w:before="40" w:after="4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203FF6C1" w14:textId="47133F11" w:rsidR="00566EA9" w:rsidRPr="001D41EA" w:rsidRDefault="00566EA9" w:rsidP="001D41EA">
            <w:pPr>
              <w:spacing w:before="40" w:after="40"/>
              <w:jc w:val="center"/>
              <w:rPr>
                <w:rFonts w:cs="Arial"/>
                <w:sz w:val="18"/>
                <w:szCs w:val="18"/>
              </w:rPr>
            </w:pPr>
            <w:r w:rsidRPr="001D41EA">
              <w:rPr>
                <w:rFonts w:cs="Arial"/>
                <w:sz w:val="18"/>
                <w:szCs w:val="18"/>
              </w:rPr>
              <w:t>0.885</w:t>
            </w:r>
          </w:p>
        </w:tc>
      </w:tr>
      <w:tr w:rsidR="00566EA9" w:rsidRPr="001D41EA" w14:paraId="112CF5A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D086C23" w14:textId="77777777" w:rsidR="00566EA9" w:rsidRPr="001D41EA" w:rsidRDefault="00566EA9" w:rsidP="001D41EA">
            <w:pPr>
              <w:spacing w:before="40" w:after="40"/>
              <w:rPr>
                <w:rFonts w:cs="Arial"/>
                <w:sz w:val="18"/>
                <w:szCs w:val="18"/>
              </w:rPr>
            </w:pPr>
            <w:r w:rsidRPr="001D41EA">
              <w:rPr>
                <w:rFonts w:cs="Arial"/>
                <w:sz w:val="18"/>
                <w:szCs w:val="18"/>
              </w:rPr>
              <w:t>Knox C</w:t>
            </w:r>
          </w:p>
        </w:tc>
        <w:tc>
          <w:tcPr>
            <w:tcW w:w="1134" w:type="dxa"/>
            <w:tcBorders>
              <w:top w:val="nil"/>
              <w:left w:val="single" w:sz="18" w:space="0" w:color="5F497A" w:themeColor="accent4" w:themeShade="BF"/>
              <w:bottom w:val="nil"/>
              <w:right w:val="nil"/>
            </w:tcBorders>
            <w:shd w:val="clear" w:color="auto" w:fill="auto"/>
            <w:vAlign w:val="bottom"/>
          </w:tcPr>
          <w:p w14:paraId="07295C6D" w14:textId="48675228" w:rsidR="00566EA9" w:rsidRPr="001D41EA" w:rsidRDefault="00566EA9" w:rsidP="001D41EA">
            <w:pPr>
              <w:spacing w:before="40" w:after="4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58CB6FAD" w14:textId="3EC7A059" w:rsidR="00566EA9" w:rsidRPr="001D41EA" w:rsidRDefault="00566EA9" w:rsidP="001D41EA">
            <w:pPr>
              <w:spacing w:before="40" w:after="4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0F8834E4" w14:textId="0B5F4BAE" w:rsidR="00566EA9" w:rsidRPr="001D41EA" w:rsidRDefault="00566EA9" w:rsidP="001D41EA">
            <w:pPr>
              <w:spacing w:before="40" w:after="4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2916ADE7" w14:textId="61E7016A" w:rsidR="00566EA9" w:rsidRPr="001D41EA" w:rsidRDefault="00566EA9" w:rsidP="001D41EA">
            <w:pPr>
              <w:spacing w:before="40" w:after="4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7761B7A9" w14:textId="762E29FA" w:rsidR="00566EA9" w:rsidRPr="001D41EA" w:rsidRDefault="00566EA9" w:rsidP="001D41EA">
            <w:pPr>
              <w:spacing w:before="40" w:after="4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7ACFCE5E" w14:textId="640D604B" w:rsidR="00566EA9" w:rsidRPr="001D41EA" w:rsidRDefault="00566EA9" w:rsidP="001D41EA">
            <w:pPr>
              <w:spacing w:before="40" w:after="40"/>
              <w:jc w:val="center"/>
              <w:rPr>
                <w:rFonts w:cs="Arial"/>
                <w:sz w:val="18"/>
                <w:szCs w:val="18"/>
              </w:rPr>
            </w:pPr>
            <w:r w:rsidRPr="001D41EA">
              <w:rPr>
                <w:rFonts w:cs="Arial"/>
                <w:sz w:val="18"/>
                <w:szCs w:val="18"/>
              </w:rPr>
              <w:t>0.885</w:t>
            </w:r>
          </w:p>
        </w:tc>
      </w:tr>
      <w:tr w:rsidR="00566EA9" w:rsidRPr="001D41EA" w14:paraId="1088299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4D87A69" w14:textId="77777777" w:rsidR="00566EA9" w:rsidRPr="001D41EA" w:rsidRDefault="00566EA9" w:rsidP="001D41EA">
            <w:pPr>
              <w:spacing w:before="40" w:after="40"/>
              <w:rPr>
                <w:rFonts w:cs="Arial"/>
                <w:sz w:val="18"/>
                <w:szCs w:val="18"/>
              </w:rPr>
            </w:pPr>
            <w:r w:rsidRPr="001D41EA">
              <w:rPr>
                <w:rFonts w:cs="Arial"/>
                <w:sz w:val="18"/>
                <w:szCs w:val="18"/>
              </w:rPr>
              <w:t>Latrobe C</w:t>
            </w:r>
          </w:p>
        </w:tc>
        <w:tc>
          <w:tcPr>
            <w:tcW w:w="1134" w:type="dxa"/>
            <w:tcBorders>
              <w:top w:val="nil"/>
              <w:left w:val="single" w:sz="18" w:space="0" w:color="5F497A" w:themeColor="accent4" w:themeShade="BF"/>
              <w:bottom w:val="nil"/>
              <w:right w:val="nil"/>
            </w:tcBorders>
            <w:shd w:val="clear" w:color="auto" w:fill="auto"/>
            <w:vAlign w:val="bottom"/>
          </w:tcPr>
          <w:p w14:paraId="7FDCBBD9" w14:textId="7033FC7A" w:rsidR="00566EA9" w:rsidRPr="001D41EA" w:rsidRDefault="00566EA9" w:rsidP="001D41EA">
            <w:pPr>
              <w:spacing w:before="40" w:after="40"/>
              <w:jc w:val="center"/>
              <w:rPr>
                <w:rFonts w:cs="Arial"/>
                <w:sz w:val="18"/>
                <w:szCs w:val="18"/>
              </w:rPr>
            </w:pPr>
            <w:r w:rsidRPr="001D41EA">
              <w:rPr>
                <w:rFonts w:cs="Arial"/>
                <w:sz w:val="18"/>
                <w:szCs w:val="18"/>
              </w:rPr>
              <w:t>1.204</w:t>
            </w:r>
          </w:p>
        </w:tc>
        <w:tc>
          <w:tcPr>
            <w:tcW w:w="1134" w:type="dxa"/>
            <w:tcBorders>
              <w:top w:val="nil"/>
              <w:left w:val="nil"/>
              <w:bottom w:val="nil"/>
              <w:right w:val="nil"/>
            </w:tcBorders>
            <w:shd w:val="clear" w:color="auto" w:fill="auto"/>
            <w:vAlign w:val="bottom"/>
          </w:tcPr>
          <w:p w14:paraId="521F6C64" w14:textId="1569CF5B" w:rsidR="00566EA9" w:rsidRPr="001D41EA" w:rsidRDefault="00566EA9" w:rsidP="001D41EA">
            <w:pPr>
              <w:spacing w:before="40" w:after="40"/>
              <w:jc w:val="center"/>
              <w:rPr>
                <w:rFonts w:cs="Arial"/>
                <w:sz w:val="18"/>
                <w:szCs w:val="18"/>
              </w:rPr>
            </w:pPr>
            <w:r w:rsidRPr="001D41EA">
              <w:rPr>
                <w:rFonts w:cs="Arial"/>
                <w:sz w:val="18"/>
                <w:szCs w:val="18"/>
              </w:rPr>
              <w:t>1.194</w:t>
            </w:r>
          </w:p>
        </w:tc>
        <w:tc>
          <w:tcPr>
            <w:tcW w:w="1134" w:type="dxa"/>
            <w:tcBorders>
              <w:top w:val="nil"/>
              <w:left w:val="nil"/>
              <w:bottom w:val="nil"/>
              <w:right w:val="nil"/>
            </w:tcBorders>
            <w:vAlign w:val="bottom"/>
          </w:tcPr>
          <w:p w14:paraId="1A8E1C36" w14:textId="1744936D" w:rsidR="00566EA9" w:rsidRPr="001D41EA" w:rsidRDefault="00566EA9" w:rsidP="001D41EA">
            <w:pPr>
              <w:spacing w:before="40" w:after="40"/>
              <w:jc w:val="center"/>
              <w:rPr>
                <w:rFonts w:cs="Arial"/>
                <w:sz w:val="18"/>
                <w:szCs w:val="18"/>
              </w:rPr>
            </w:pPr>
            <w:r w:rsidRPr="001D41EA">
              <w:rPr>
                <w:rFonts w:cs="Arial"/>
                <w:sz w:val="18"/>
                <w:szCs w:val="18"/>
              </w:rPr>
              <w:t>1.187</w:t>
            </w:r>
          </w:p>
        </w:tc>
        <w:tc>
          <w:tcPr>
            <w:tcW w:w="1134" w:type="dxa"/>
            <w:tcBorders>
              <w:top w:val="nil"/>
              <w:left w:val="nil"/>
              <w:bottom w:val="nil"/>
              <w:right w:val="nil"/>
            </w:tcBorders>
            <w:vAlign w:val="bottom"/>
          </w:tcPr>
          <w:p w14:paraId="1A4877C6" w14:textId="3CD88D5F" w:rsidR="00566EA9" w:rsidRPr="001D41EA" w:rsidRDefault="00566EA9" w:rsidP="001D41EA">
            <w:pPr>
              <w:spacing w:before="40" w:after="40"/>
              <w:jc w:val="center"/>
              <w:rPr>
                <w:rFonts w:cs="Arial"/>
                <w:sz w:val="18"/>
                <w:szCs w:val="18"/>
              </w:rPr>
            </w:pPr>
            <w:r w:rsidRPr="001D41EA">
              <w:rPr>
                <w:rFonts w:cs="Arial"/>
                <w:sz w:val="18"/>
                <w:szCs w:val="18"/>
              </w:rPr>
              <w:t>1.201</w:t>
            </w:r>
          </w:p>
        </w:tc>
        <w:tc>
          <w:tcPr>
            <w:tcW w:w="1134" w:type="dxa"/>
            <w:tcBorders>
              <w:top w:val="nil"/>
              <w:left w:val="nil"/>
              <w:bottom w:val="nil"/>
              <w:right w:val="nil"/>
            </w:tcBorders>
            <w:vAlign w:val="bottom"/>
          </w:tcPr>
          <w:p w14:paraId="58DCFBF6" w14:textId="5AB44802" w:rsidR="00566EA9" w:rsidRPr="001D41EA" w:rsidRDefault="00566EA9" w:rsidP="001D41EA">
            <w:pPr>
              <w:spacing w:before="40" w:after="40"/>
              <w:jc w:val="center"/>
              <w:rPr>
                <w:rFonts w:cs="Arial"/>
                <w:sz w:val="18"/>
                <w:szCs w:val="18"/>
              </w:rPr>
            </w:pPr>
            <w:r w:rsidRPr="001D41EA">
              <w:rPr>
                <w:rFonts w:cs="Arial"/>
                <w:sz w:val="18"/>
                <w:szCs w:val="18"/>
              </w:rPr>
              <w:t>1.173</w:t>
            </w:r>
          </w:p>
        </w:tc>
        <w:tc>
          <w:tcPr>
            <w:tcW w:w="1134" w:type="dxa"/>
            <w:tcBorders>
              <w:top w:val="nil"/>
              <w:left w:val="nil"/>
              <w:bottom w:val="nil"/>
              <w:right w:val="nil"/>
            </w:tcBorders>
            <w:shd w:val="clear" w:color="auto" w:fill="auto"/>
            <w:vAlign w:val="bottom"/>
          </w:tcPr>
          <w:p w14:paraId="30BAFCFC" w14:textId="513B4E0A" w:rsidR="00566EA9" w:rsidRPr="001D41EA" w:rsidRDefault="00566EA9" w:rsidP="001D41EA">
            <w:pPr>
              <w:spacing w:before="40" w:after="40"/>
              <w:jc w:val="center"/>
              <w:rPr>
                <w:rFonts w:cs="Arial"/>
                <w:sz w:val="18"/>
                <w:szCs w:val="18"/>
              </w:rPr>
            </w:pPr>
            <w:r w:rsidRPr="001D41EA">
              <w:rPr>
                <w:rFonts w:cs="Arial"/>
                <w:sz w:val="18"/>
                <w:szCs w:val="18"/>
              </w:rPr>
              <w:t>1.190</w:t>
            </w:r>
          </w:p>
        </w:tc>
      </w:tr>
      <w:tr w:rsidR="00566EA9" w:rsidRPr="001D41EA" w14:paraId="2ADC768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2B12C3F" w14:textId="77777777" w:rsidR="00566EA9" w:rsidRPr="001D41EA" w:rsidRDefault="00566EA9" w:rsidP="001D41EA">
            <w:pPr>
              <w:spacing w:before="40" w:after="40"/>
              <w:rPr>
                <w:rFonts w:cs="Arial"/>
                <w:sz w:val="18"/>
                <w:szCs w:val="18"/>
              </w:rPr>
            </w:pPr>
            <w:r w:rsidRPr="001D41EA">
              <w:rPr>
                <w:rFonts w:cs="Arial"/>
                <w:sz w:val="18"/>
                <w:szCs w:val="18"/>
              </w:rPr>
              <w:t>Loddon S</w:t>
            </w:r>
          </w:p>
        </w:tc>
        <w:tc>
          <w:tcPr>
            <w:tcW w:w="1134" w:type="dxa"/>
            <w:tcBorders>
              <w:top w:val="nil"/>
              <w:left w:val="single" w:sz="18" w:space="0" w:color="5F497A" w:themeColor="accent4" w:themeShade="BF"/>
              <w:bottom w:val="nil"/>
              <w:right w:val="nil"/>
            </w:tcBorders>
            <w:shd w:val="clear" w:color="auto" w:fill="auto"/>
            <w:vAlign w:val="bottom"/>
          </w:tcPr>
          <w:p w14:paraId="71FB6046" w14:textId="6B2DC340" w:rsidR="00566EA9" w:rsidRPr="001D41EA" w:rsidRDefault="00566EA9" w:rsidP="001D41EA">
            <w:pPr>
              <w:spacing w:before="40" w:after="40"/>
              <w:jc w:val="center"/>
              <w:rPr>
                <w:rFonts w:cs="Arial"/>
                <w:sz w:val="18"/>
                <w:szCs w:val="18"/>
              </w:rPr>
            </w:pPr>
            <w:r w:rsidRPr="001D41EA">
              <w:rPr>
                <w:rFonts w:cs="Arial"/>
                <w:sz w:val="18"/>
                <w:szCs w:val="18"/>
              </w:rPr>
              <w:t>1.615</w:t>
            </w:r>
          </w:p>
        </w:tc>
        <w:tc>
          <w:tcPr>
            <w:tcW w:w="1134" w:type="dxa"/>
            <w:tcBorders>
              <w:top w:val="nil"/>
              <w:left w:val="nil"/>
              <w:bottom w:val="nil"/>
              <w:right w:val="nil"/>
            </w:tcBorders>
            <w:shd w:val="clear" w:color="auto" w:fill="auto"/>
            <w:vAlign w:val="bottom"/>
          </w:tcPr>
          <w:p w14:paraId="53A95324" w14:textId="55A8647C" w:rsidR="00566EA9" w:rsidRPr="001D41EA" w:rsidRDefault="00566EA9" w:rsidP="001D41EA">
            <w:pPr>
              <w:spacing w:before="40" w:after="40"/>
              <w:jc w:val="center"/>
              <w:rPr>
                <w:rFonts w:cs="Arial"/>
                <w:sz w:val="18"/>
                <w:szCs w:val="18"/>
              </w:rPr>
            </w:pPr>
            <w:r w:rsidRPr="001D41EA">
              <w:rPr>
                <w:rFonts w:cs="Arial"/>
                <w:sz w:val="18"/>
                <w:szCs w:val="18"/>
              </w:rPr>
              <w:t>1.600</w:t>
            </w:r>
          </w:p>
        </w:tc>
        <w:tc>
          <w:tcPr>
            <w:tcW w:w="1134" w:type="dxa"/>
            <w:tcBorders>
              <w:top w:val="nil"/>
              <w:left w:val="nil"/>
              <w:bottom w:val="nil"/>
              <w:right w:val="nil"/>
            </w:tcBorders>
            <w:vAlign w:val="bottom"/>
          </w:tcPr>
          <w:p w14:paraId="21E773B5" w14:textId="3823DB2A" w:rsidR="00566EA9" w:rsidRPr="001D41EA" w:rsidRDefault="00566EA9" w:rsidP="001D41EA">
            <w:pPr>
              <w:spacing w:before="40" w:after="40"/>
              <w:jc w:val="center"/>
              <w:rPr>
                <w:rFonts w:cs="Arial"/>
                <w:sz w:val="18"/>
                <w:szCs w:val="18"/>
              </w:rPr>
            </w:pPr>
            <w:r w:rsidRPr="001D41EA">
              <w:rPr>
                <w:rFonts w:cs="Arial"/>
                <w:sz w:val="18"/>
                <w:szCs w:val="18"/>
              </w:rPr>
              <w:t>1.592</w:t>
            </w:r>
          </w:p>
        </w:tc>
        <w:tc>
          <w:tcPr>
            <w:tcW w:w="1134" w:type="dxa"/>
            <w:tcBorders>
              <w:top w:val="nil"/>
              <w:left w:val="nil"/>
              <w:bottom w:val="nil"/>
              <w:right w:val="nil"/>
            </w:tcBorders>
            <w:vAlign w:val="bottom"/>
          </w:tcPr>
          <w:p w14:paraId="2F5599B7" w14:textId="529BA63C" w:rsidR="00566EA9" w:rsidRPr="001D41EA" w:rsidRDefault="00566EA9" w:rsidP="001D41EA">
            <w:pPr>
              <w:spacing w:before="40" w:after="40"/>
              <w:jc w:val="center"/>
              <w:rPr>
                <w:rFonts w:cs="Arial"/>
                <w:sz w:val="18"/>
                <w:szCs w:val="18"/>
              </w:rPr>
            </w:pPr>
            <w:r w:rsidRPr="001D41EA">
              <w:rPr>
                <w:rFonts w:cs="Arial"/>
                <w:sz w:val="18"/>
                <w:szCs w:val="18"/>
              </w:rPr>
              <w:t>1.610</w:t>
            </w:r>
          </w:p>
        </w:tc>
        <w:tc>
          <w:tcPr>
            <w:tcW w:w="1134" w:type="dxa"/>
            <w:tcBorders>
              <w:top w:val="nil"/>
              <w:left w:val="nil"/>
              <w:bottom w:val="nil"/>
              <w:right w:val="nil"/>
            </w:tcBorders>
            <w:vAlign w:val="bottom"/>
          </w:tcPr>
          <w:p w14:paraId="474EA23F" w14:textId="38452CAE" w:rsidR="00566EA9" w:rsidRPr="001D41EA" w:rsidRDefault="00566EA9" w:rsidP="001D41EA">
            <w:pPr>
              <w:spacing w:before="40" w:after="40"/>
              <w:jc w:val="center"/>
              <w:rPr>
                <w:rFonts w:cs="Arial"/>
                <w:sz w:val="18"/>
                <w:szCs w:val="18"/>
              </w:rPr>
            </w:pPr>
            <w:r w:rsidRPr="001D41EA">
              <w:rPr>
                <w:rFonts w:cs="Arial"/>
                <w:sz w:val="18"/>
                <w:szCs w:val="18"/>
              </w:rPr>
              <w:t>1.573</w:t>
            </w:r>
          </w:p>
        </w:tc>
        <w:tc>
          <w:tcPr>
            <w:tcW w:w="1134" w:type="dxa"/>
            <w:tcBorders>
              <w:top w:val="nil"/>
              <w:left w:val="nil"/>
              <w:bottom w:val="nil"/>
              <w:right w:val="nil"/>
            </w:tcBorders>
            <w:shd w:val="clear" w:color="auto" w:fill="auto"/>
            <w:vAlign w:val="bottom"/>
          </w:tcPr>
          <w:p w14:paraId="2EB32D45" w14:textId="50CFE3BB" w:rsidR="00566EA9" w:rsidRPr="001D41EA" w:rsidRDefault="00566EA9" w:rsidP="001D41EA">
            <w:pPr>
              <w:spacing w:before="40" w:after="40"/>
              <w:jc w:val="center"/>
              <w:rPr>
                <w:rFonts w:cs="Arial"/>
                <w:sz w:val="18"/>
                <w:szCs w:val="18"/>
              </w:rPr>
            </w:pPr>
            <w:r w:rsidRPr="001D41EA">
              <w:rPr>
                <w:rFonts w:cs="Arial"/>
                <w:sz w:val="18"/>
                <w:szCs w:val="18"/>
              </w:rPr>
              <w:t>1.595</w:t>
            </w:r>
          </w:p>
        </w:tc>
      </w:tr>
    </w:tbl>
    <w:p w14:paraId="66BADC72" w14:textId="58B5DFAE" w:rsidR="0006670B" w:rsidRPr="00A44829" w:rsidRDefault="0006670B" w:rsidP="00FF36E8">
      <w:pPr>
        <w:spacing w:before="40" w:after="20"/>
        <w:rPr>
          <w:rFonts w:cs="Arial"/>
          <w:sz w:val="18"/>
          <w:szCs w:val="18"/>
        </w:rPr>
      </w:pPr>
    </w:p>
    <w:p w14:paraId="5452ED0D" w14:textId="78C84CB9" w:rsidR="00A009D7" w:rsidRPr="00A44829" w:rsidRDefault="00A009D7" w:rsidP="00FF36E8">
      <w:pPr>
        <w:spacing w:before="40" w:after="20"/>
        <w:rPr>
          <w:rFonts w:cs="Arial"/>
          <w:sz w:val="18"/>
          <w:szCs w:val="18"/>
        </w:rPr>
      </w:pPr>
      <w:r w:rsidRPr="005D19CF">
        <w:rPr>
          <w:rFonts w:cs="Arial"/>
          <w:i/>
          <w:sz w:val="16"/>
          <w:szCs w:val="16"/>
        </w:rPr>
        <w:t xml:space="preserve">* Modified Population - adjusted by </w:t>
      </w:r>
      <w:r w:rsidR="005D19CF">
        <w:rPr>
          <w:rFonts w:cs="Arial"/>
          <w:i/>
          <w:sz w:val="16"/>
          <w:szCs w:val="16"/>
        </w:rPr>
        <w:t>half</w:t>
      </w:r>
      <w:r w:rsidRPr="005D19CF">
        <w:rPr>
          <w:rFonts w:cs="Arial"/>
          <w:i/>
          <w:sz w:val="16"/>
          <w:szCs w:val="16"/>
        </w:rPr>
        <w:t xml:space="preserve"> vacancy rate to take account of part-time residents.</w:t>
      </w:r>
      <w:r w:rsidRPr="00A44829">
        <w:rPr>
          <w:rFonts w:cs="Arial"/>
          <w:i/>
          <w:sz w:val="16"/>
          <w:szCs w:val="16"/>
        </w:rPr>
        <w:t xml:space="preserve">  </w:t>
      </w:r>
    </w:p>
    <w:p w14:paraId="29A7FA5A" w14:textId="77777777" w:rsidR="00961975" w:rsidRPr="00A44829" w:rsidRDefault="00961975" w:rsidP="00FF36E8">
      <w:pPr>
        <w:spacing w:before="40" w:after="20"/>
        <w:rPr>
          <w:rFonts w:cs="Arial"/>
          <w:sz w:val="18"/>
          <w:szCs w:val="18"/>
        </w:rPr>
      </w:pPr>
      <w:r w:rsidRPr="00A44829">
        <w:rPr>
          <w:rFonts w:cs="Arial"/>
          <w:sz w:val="18"/>
          <w:szCs w:val="18"/>
        </w:rPr>
        <w:br w:type="page"/>
      </w:r>
    </w:p>
    <w:p w14:paraId="2C3C089E" w14:textId="2E4EEAF1" w:rsidR="00961975" w:rsidRPr="00A44829" w:rsidRDefault="00EE4593" w:rsidP="00C33713">
      <w:pPr>
        <w:pStyle w:val="VGC-Head10"/>
      </w:pPr>
      <w:r w:rsidRPr="00A44829">
        <w:lastRenderedPageBreak/>
        <w:t>2019-20</w:t>
      </w:r>
      <w:r w:rsidR="00A97ABE" w:rsidRPr="00A44829">
        <w:t xml:space="preserve"> </w:t>
      </w:r>
      <w:r w:rsidR="00961975" w:rsidRPr="00A44829">
        <w:t>General Purpose Grants</w:t>
      </w:r>
      <w:r w:rsidR="00CE4507" w:rsidRPr="00A44829">
        <w:tab/>
        <w:t>Appendix 4</w:t>
      </w:r>
    </w:p>
    <w:p w14:paraId="16235889" w14:textId="7693B7A6" w:rsidR="00961975" w:rsidRPr="00A44829" w:rsidRDefault="004F1184" w:rsidP="008C1A28">
      <w:pPr>
        <w:pStyle w:val="VGC-Head2"/>
      </w:pPr>
      <w:r w:rsidRPr="00A44829">
        <w:tab/>
      </w:r>
      <w:r w:rsidR="00961975" w:rsidRPr="00A44829">
        <w:t xml:space="preserve">D.  Cost Adjustors - </w:t>
      </w:r>
      <w:r w:rsidR="002A2397">
        <w:t>Index</w:t>
      </w:r>
    </w:p>
    <w:p w14:paraId="65085004" w14:textId="77777777" w:rsidR="00DA542E" w:rsidRPr="00A44829" w:rsidRDefault="00DA542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tblGrid>
      <w:tr w:rsidR="009E2B93" w:rsidRPr="00A44829" w14:paraId="58CC0667" w14:textId="77777777" w:rsidTr="00A66703">
        <w:tc>
          <w:tcPr>
            <w:tcW w:w="2268" w:type="dxa"/>
            <w:tcBorders>
              <w:top w:val="nil"/>
              <w:left w:val="nil"/>
              <w:bottom w:val="nil"/>
              <w:right w:val="single" w:sz="18" w:space="0" w:color="5F497A" w:themeColor="accent4" w:themeShade="BF"/>
            </w:tcBorders>
            <w:shd w:val="clear" w:color="auto" w:fill="auto"/>
            <w:vAlign w:val="bottom"/>
          </w:tcPr>
          <w:p w14:paraId="0AF297E7" w14:textId="77777777" w:rsidR="009E2B93" w:rsidRPr="00A44829" w:rsidRDefault="009E2B93" w:rsidP="00576338">
            <w:pPr>
              <w:spacing w:before="40" w:after="20"/>
              <w:ind w:right="105"/>
              <w:jc w:val="right"/>
              <w:rPr>
                <w:rFonts w:cs="Arial"/>
                <w:b/>
                <w:sz w:val="18"/>
                <w:szCs w:val="18"/>
              </w:rPr>
            </w:pPr>
            <w:r w:rsidRPr="00A44829">
              <w:rPr>
                <w:rFonts w:cs="Arial"/>
                <w:b/>
                <w:sz w:val="18"/>
                <w:szCs w:val="18"/>
              </w:rPr>
              <w:t>Cost Adjustor</w:t>
            </w:r>
          </w:p>
        </w:tc>
        <w:tc>
          <w:tcPr>
            <w:tcW w:w="3741" w:type="dxa"/>
            <w:gridSpan w:val="3"/>
            <w:tcBorders>
              <w:top w:val="nil"/>
              <w:left w:val="single" w:sz="18" w:space="0" w:color="5F497A" w:themeColor="accent4" w:themeShade="BF"/>
              <w:bottom w:val="single" w:sz="8" w:space="0" w:color="5F497A" w:themeColor="accent4" w:themeShade="BF"/>
            </w:tcBorders>
            <w:shd w:val="clear" w:color="auto" w:fill="auto"/>
            <w:vAlign w:val="bottom"/>
          </w:tcPr>
          <w:p w14:paraId="17BA225B" w14:textId="581F7D1C" w:rsidR="009E2B93" w:rsidRPr="00A44829" w:rsidRDefault="009E2B93" w:rsidP="008001AD">
            <w:pPr>
              <w:spacing w:before="40" w:after="20"/>
              <w:jc w:val="center"/>
              <w:rPr>
                <w:rFonts w:cs="Arial"/>
                <w:b/>
                <w:sz w:val="18"/>
                <w:szCs w:val="18"/>
              </w:rPr>
            </w:pPr>
            <w:r w:rsidRPr="00A44829">
              <w:rPr>
                <w:rFonts w:cs="Arial"/>
                <w:b/>
                <w:sz w:val="18"/>
                <w:szCs w:val="18"/>
              </w:rPr>
              <w:t>Population Growth</w:t>
            </w:r>
          </w:p>
        </w:tc>
        <w:tc>
          <w:tcPr>
            <w:tcW w:w="170" w:type="dxa"/>
            <w:vMerge w:val="restart"/>
            <w:tcBorders>
              <w:top w:val="nil"/>
              <w:left w:val="nil"/>
              <w:bottom w:val="single" w:sz="8" w:space="0" w:color="5F497A" w:themeColor="accent4" w:themeShade="BF"/>
              <w:right w:val="nil"/>
            </w:tcBorders>
            <w:vAlign w:val="bottom"/>
          </w:tcPr>
          <w:p w14:paraId="5AC4C1B1" w14:textId="77777777" w:rsidR="009E2B93" w:rsidRPr="00A44829" w:rsidRDefault="009E2B93" w:rsidP="008001AD">
            <w:pPr>
              <w:spacing w:before="40" w:after="20"/>
              <w:jc w:val="center"/>
              <w:rPr>
                <w:rFonts w:cs="Arial"/>
                <w:b/>
                <w:sz w:val="18"/>
                <w:szCs w:val="18"/>
              </w:rPr>
            </w:pPr>
          </w:p>
        </w:tc>
        <w:tc>
          <w:tcPr>
            <w:tcW w:w="1247" w:type="dxa"/>
            <w:tcBorders>
              <w:top w:val="nil"/>
              <w:left w:val="nil"/>
              <w:bottom w:val="single" w:sz="8" w:space="0" w:color="5F497A" w:themeColor="accent4" w:themeShade="BF"/>
              <w:right w:val="nil"/>
            </w:tcBorders>
            <w:vAlign w:val="bottom"/>
          </w:tcPr>
          <w:p w14:paraId="49478BD3" w14:textId="77777777" w:rsidR="009E2B93" w:rsidRPr="00A44829" w:rsidRDefault="009E2B93" w:rsidP="008001AD">
            <w:pPr>
              <w:spacing w:before="40" w:after="20"/>
              <w:jc w:val="center"/>
              <w:rPr>
                <w:rFonts w:cs="Arial"/>
                <w:b/>
                <w:sz w:val="18"/>
                <w:szCs w:val="18"/>
              </w:rPr>
            </w:pPr>
            <w:r w:rsidRPr="00A44829">
              <w:rPr>
                <w:rFonts w:cs="Arial"/>
                <w:b/>
                <w:sz w:val="18"/>
                <w:szCs w:val="18"/>
              </w:rPr>
              <w:t xml:space="preserve">Population </w:t>
            </w:r>
            <w:r w:rsidRPr="00A44829">
              <w:rPr>
                <w:rFonts w:cs="Arial"/>
                <w:b/>
                <w:sz w:val="18"/>
                <w:szCs w:val="18"/>
              </w:rPr>
              <w:br/>
              <w:t>&lt; 6 years</w:t>
            </w:r>
          </w:p>
        </w:tc>
      </w:tr>
      <w:tr w:rsidR="009E2B93" w:rsidRPr="00A44829" w14:paraId="28B25C2E" w14:textId="77777777" w:rsidTr="00A66703">
        <w:tc>
          <w:tcPr>
            <w:tcW w:w="2268" w:type="dxa"/>
            <w:tcBorders>
              <w:top w:val="nil"/>
              <w:left w:val="nil"/>
              <w:bottom w:val="nil"/>
              <w:right w:val="single" w:sz="18" w:space="0" w:color="5F497A" w:themeColor="accent4" w:themeShade="BF"/>
            </w:tcBorders>
            <w:shd w:val="clear" w:color="auto" w:fill="auto"/>
            <w:vAlign w:val="bottom"/>
          </w:tcPr>
          <w:p w14:paraId="261E74B6" w14:textId="77777777" w:rsidR="009E2B93" w:rsidRPr="005D19CF" w:rsidRDefault="009E2B93" w:rsidP="00576338">
            <w:pPr>
              <w:spacing w:before="40" w:after="20"/>
              <w:ind w:right="105"/>
              <w:jc w:val="right"/>
              <w:rPr>
                <w:rFonts w:cs="Arial"/>
                <w:b/>
                <w:sz w:val="16"/>
                <w:szCs w:val="16"/>
              </w:rPr>
            </w:pPr>
            <w:r w:rsidRPr="005D19CF">
              <w:rPr>
                <w:rFonts w:cs="Arial"/>
                <w:b/>
                <w:sz w:val="16"/>
                <w:szCs w:val="16"/>
              </w:rPr>
              <w:t>Major Cost Driver</w:t>
            </w:r>
          </w:p>
        </w:tc>
        <w:tc>
          <w:tcPr>
            <w:tcW w:w="1247"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7970350B" w14:textId="77777777" w:rsidR="009E2B93" w:rsidRPr="005D19CF" w:rsidRDefault="009E2B93" w:rsidP="008001AD">
            <w:pPr>
              <w:spacing w:before="40" w:after="20"/>
              <w:jc w:val="center"/>
              <w:rPr>
                <w:rFonts w:cs="Arial"/>
                <w:sz w:val="16"/>
                <w:szCs w:val="16"/>
              </w:rPr>
            </w:pPr>
            <w:r w:rsidRPr="005D19CF">
              <w:rPr>
                <w:rFonts w:cs="Arial"/>
                <w:sz w:val="16"/>
                <w:szCs w:val="16"/>
              </w:rPr>
              <w:t>Population</w:t>
            </w:r>
          </w:p>
        </w:tc>
        <w:tc>
          <w:tcPr>
            <w:tcW w:w="1247" w:type="dxa"/>
            <w:tcBorders>
              <w:top w:val="single" w:sz="8" w:space="0" w:color="5F497A" w:themeColor="accent4" w:themeShade="BF"/>
              <w:left w:val="nil"/>
              <w:bottom w:val="single" w:sz="8" w:space="0" w:color="5F497A" w:themeColor="accent4" w:themeShade="BF"/>
              <w:right w:val="nil"/>
            </w:tcBorders>
          </w:tcPr>
          <w:p w14:paraId="50F4A36D" w14:textId="513EC6E9" w:rsidR="009E2B93" w:rsidRPr="005D19CF" w:rsidRDefault="009E2B93" w:rsidP="005D04BF">
            <w:pPr>
              <w:spacing w:before="40" w:after="20"/>
              <w:jc w:val="center"/>
              <w:rPr>
                <w:rFonts w:cs="Arial"/>
                <w:sz w:val="16"/>
                <w:szCs w:val="16"/>
              </w:rPr>
            </w:pPr>
            <w:r w:rsidRPr="005D19CF">
              <w:rPr>
                <w:rFonts w:cs="Arial"/>
                <w:sz w:val="16"/>
                <w:szCs w:val="16"/>
              </w:rPr>
              <w:t>Modified Pop*</w:t>
            </w:r>
            <w:r w:rsidRPr="005D19CF">
              <w:rPr>
                <w:rFonts w:cs="Arial"/>
                <w:sz w:val="16"/>
                <w:szCs w:val="16"/>
              </w:rPr>
              <w:br/>
              <w:t>(min 15,000)</w:t>
            </w:r>
          </w:p>
        </w:tc>
        <w:tc>
          <w:tcPr>
            <w:tcW w:w="1247"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60AFD969" w14:textId="451DAA62" w:rsidR="009E2B93" w:rsidRPr="005D19CF" w:rsidRDefault="009E2B93" w:rsidP="005D04BF">
            <w:pPr>
              <w:spacing w:before="40" w:after="20"/>
              <w:jc w:val="center"/>
              <w:rPr>
                <w:rFonts w:cs="Arial"/>
                <w:sz w:val="16"/>
                <w:szCs w:val="16"/>
              </w:rPr>
            </w:pPr>
            <w:r w:rsidRPr="005D19CF">
              <w:rPr>
                <w:rFonts w:cs="Arial"/>
                <w:sz w:val="16"/>
                <w:szCs w:val="16"/>
              </w:rPr>
              <w:t>Modified Pop*</w:t>
            </w:r>
            <w:r w:rsidRPr="005D19CF">
              <w:rPr>
                <w:rFonts w:cs="Arial"/>
                <w:sz w:val="16"/>
                <w:szCs w:val="16"/>
              </w:rPr>
              <w:br/>
              <w:t>(no min)</w:t>
            </w:r>
          </w:p>
        </w:tc>
        <w:tc>
          <w:tcPr>
            <w:tcW w:w="170" w:type="dxa"/>
            <w:vMerge/>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55347912" w14:textId="77777777" w:rsidR="009E2B93" w:rsidRPr="005D19CF" w:rsidRDefault="009E2B93" w:rsidP="008001AD">
            <w:pPr>
              <w:spacing w:before="40" w:after="20"/>
              <w:jc w:val="center"/>
              <w:rPr>
                <w:rFonts w:cs="Arial"/>
                <w:sz w:val="16"/>
                <w:szCs w:val="16"/>
              </w:rPr>
            </w:pP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9157EE7" w14:textId="77777777" w:rsidR="009E2B93" w:rsidRPr="00A44829" w:rsidRDefault="009E2B93" w:rsidP="008001AD">
            <w:pPr>
              <w:spacing w:before="40" w:after="20"/>
              <w:jc w:val="center"/>
              <w:rPr>
                <w:rFonts w:cs="Arial"/>
                <w:sz w:val="16"/>
                <w:szCs w:val="16"/>
              </w:rPr>
            </w:pPr>
            <w:r w:rsidRPr="005D19CF">
              <w:rPr>
                <w:rFonts w:cs="Arial"/>
                <w:sz w:val="16"/>
                <w:szCs w:val="16"/>
              </w:rPr>
              <w:t>Population</w:t>
            </w:r>
          </w:p>
        </w:tc>
      </w:tr>
      <w:tr w:rsidR="00566EA9" w:rsidRPr="001D41EA" w14:paraId="581B6EE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D8718A4" w14:textId="77777777" w:rsidR="00566EA9" w:rsidRPr="001D41EA" w:rsidRDefault="00566EA9" w:rsidP="001D41EA">
            <w:pPr>
              <w:spacing w:before="40" w:after="40"/>
              <w:rPr>
                <w:rFonts w:cs="Arial"/>
                <w:sz w:val="18"/>
                <w:szCs w:val="18"/>
              </w:rPr>
            </w:pPr>
          </w:p>
        </w:tc>
        <w:tc>
          <w:tcPr>
            <w:tcW w:w="1247"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22C933CE" w14:textId="56EAACAC" w:rsidR="00566EA9" w:rsidRPr="001D41EA" w:rsidRDefault="00566EA9" w:rsidP="001D41EA">
            <w:pPr>
              <w:spacing w:before="40" w:after="40"/>
              <w:jc w:val="center"/>
              <w:rPr>
                <w:rFonts w:cs="Arial"/>
                <w:sz w:val="18"/>
                <w:szCs w:val="18"/>
              </w:rPr>
            </w:pPr>
          </w:p>
        </w:tc>
        <w:tc>
          <w:tcPr>
            <w:tcW w:w="1247" w:type="dxa"/>
            <w:tcBorders>
              <w:top w:val="single" w:sz="8" w:space="0" w:color="5F497A" w:themeColor="accent4" w:themeShade="BF"/>
              <w:left w:val="nil"/>
              <w:bottom w:val="nil"/>
              <w:right w:val="nil"/>
            </w:tcBorders>
            <w:vAlign w:val="bottom"/>
          </w:tcPr>
          <w:p w14:paraId="118D1A57" w14:textId="03EF3055" w:rsidR="00566EA9" w:rsidRPr="001D41EA" w:rsidRDefault="00566EA9" w:rsidP="001D41EA">
            <w:pPr>
              <w:spacing w:before="40" w:after="40"/>
              <w:jc w:val="center"/>
              <w:rPr>
                <w:rFonts w:cs="Arial"/>
                <w:sz w:val="18"/>
                <w:szCs w:val="18"/>
              </w:rPr>
            </w:pPr>
          </w:p>
        </w:tc>
        <w:tc>
          <w:tcPr>
            <w:tcW w:w="1247" w:type="dxa"/>
            <w:tcBorders>
              <w:top w:val="single" w:sz="8" w:space="0" w:color="5F497A" w:themeColor="accent4" w:themeShade="BF"/>
              <w:left w:val="nil"/>
              <w:bottom w:val="nil"/>
              <w:right w:val="nil"/>
            </w:tcBorders>
            <w:vAlign w:val="bottom"/>
          </w:tcPr>
          <w:p w14:paraId="1BD532B7" w14:textId="0A1DEB4C" w:rsidR="00566EA9" w:rsidRPr="001D41EA" w:rsidRDefault="00566EA9" w:rsidP="001D41EA">
            <w:pPr>
              <w:spacing w:before="40" w:after="4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5D0757E4" w14:textId="38D881DA" w:rsidR="00566EA9" w:rsidRPr="001D41EA" w:rsidRDefault="00566EA9" w:rsidP="001D41EA">
            <w:pPr>
              <w:spacing w:before="40" w:after="40"/>
              <w:jc w:val="center"/>
              <w:rPr>
                <w:rFonts w:cs="Arial"/>
                <w:sz w:val="18"/>
                <w:szCs w:val="18"/>
              </w:rPr>
            </w:pPr>
          </w:p>
        </w:tc>
        <w:tc>
          <w:tcPr>
            <w:tcW w:w="1247" w:type="dxa"/>
            <w:tcBorders>
              <w:top w:val="single" w:sz="8" w:space="0" w:color="5F497A" w:themeColor="accent4" w:themeShade="BF"/>
              <w:left w:val="nil"/>
              <w:bottom w:val="nil"/>
              <w:right w:val="nil"/>
            </w:tcBorders>
            <w:shd w:val="clear" w:color="auto" w:fill="auto"/>
            <w:vAlign w:val="bottom"/>
          </w:tcPr>
          <w:p w14:paraId="7DC3B59E" w14:textId="64FA475C" w:rsidR="00566EA9" w:rsidRPr="001D41EA" w:rsidRDefault="00566EA9" w:rsidP="001D41EA">
            <w:pPr>
              <w:spacing w:before="40" w:after="40"/>
              <w:jc w:val="center"/>
              <w:rPr>
                <w:rFonts w:cs="Arial"/>
                <w:sz w:val="18"/>
                <w:szCs w:val="18"/>
              </w:rPr>
            </w:pPr>
          </w:p>
        </w:tc>
      </w:tr>
      <w:tr w:rsidR="00566EA9" w:rsidRPr="001D41EA" w14:paraId="731938C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F7A5B2D" w14:textId="77777777" w:rsidR="00566EA9" w:rsidRPr="001D41EA" w:rsidRDefault="00566EA9" w:rsidP="001D41EA">
            <w:pPr>
              <w:spacing w:before="40" w:after="40"/>
              <w:rPr>
                <w:rFonts w:cs="Arial"/>
                <w:sz w:val="18"/>
                <w:szCs w:val="18"/>
              </w:rPr>
            </w:pPr>
            <w:r w:rsidRPr="001D41EA">
              <w:rPr>
                <w:rFonts w:cs="Arial"/>
                <w:sz w:val="18"/>
                <w:szCs w:val="18"/>
              </w:rPr>
              <w:t>Alpine S</w:t>
            </w:r>
          </w:p>
        </w:tc>
        <w:tc>
          <w:tcPr>
            <w:tcW w:w="1247" w:type="dxa"/>
            <w:tcBorders>
              <w:top w:val="nil"/>
              <w:left w:val="single" w:sz="18" w:space="0" w:color="5F497A" w:themeColor="accent4" w:themeShade="BF"/>
              <w:bottom w:val="nil"/>
              <w:right w:val="nil"/>
            </w:tcBorders>
            <w:shd w:val="clear" w:color="auto" w:fill="auto"/>
            <w:vAlign w:val="bottom"/>
          </w:tcPr>
          <w:p w14:paraId="04089D3A" w14:textId="5DF8DD61" w:rsidR="00566EA9" w:rsidRPr="001D41EA" w:rsidRDefault="00566EA9" w:rsidP="001D41EA">
            <w:pPr>
              <w:spacing w:before="40" w:after="40"/>
              <w:jc w:val="center"/>
              <w:rPr>
                <w:rFonts w:cs="Arial"/>
                <w:sz w:val="18"/>
                <w:szCs w:val="18"/>
              </w:rPr>
            </w:pPr>
            <w:r w:rsidRPr="001D41EA">
              <w:rPr>
                <w:rFonts w:cs="Arial"/>
                <w:sz w:val="18"/>
                <w:szCs w:val="18"/>
              </w:rPr>
              <w:t>0.906</w:t>
            </w:r>
          </w:p>
        </w:tc>
        <w:tc>
          <w:tcPr>
            <w:tcW w:w="1247" w:type="dxa"/>
            <w:tcBorders>
              <w:top w:val="nil"/>
              <w:left w:val="nil"/>
              <w:bottom w:val="nil"/>
              <w:right w:val="nil"/>
            </w:tcBorders>
            <w:vAlign w:val="bottom"/>
          </w:tcPr>
          <w:p w14:paraId="1EFD2F9B" w14:textId="2F51C70E" w:rsidR="00566EA9" w:rsidRPr="001D41EA" w:rsidRDefault="00566EA9" w:rsidP="001D41EA">
            <w:pPr>
              <w:spacing w:before="40" w:after="40"/>
              <w:jc w:val="center"/>
              <w:rPr>
                <w:rFonts w:cs="Arial"/>
                <w:sz w:val="18"/>
                <w:szCs w:val="18"/>
              </w:rPr>
            </w:pPr>
            <w:r w:rsidRPr="001D41EA">
              <w:rPr>
                <w:rFonts w:cs="Arial"/>
                <w:sz w:val="18"/>
                <w:szCs w:val="18"/>
              </w:rPr>
              <w:t>0.909</w:t>
            </w:r>
          </w:p>
        </w:tc>
        <w:tc>
          <w:tcPr>
            <w:tcW w:w="1247" w:type="dxa"/>
            <w:tcBorders>
              <w:top w:val="nil"/>
              <w:left w:val="nil"/>
              <w:bottom w:val="nil"/>
              <w:right w:val="nil"/>
            </w:tcBorders>
            <w:vAlign w:val="bottom"/>
          </w:tcPr>
          <w:p w14:paraId="59845F4F" w14:textId="6F4E1E61" w:rsidR="00566EA9" w:rsidRPr="001D41EA" w:rsidRDefault="00566EA9" w:rsidP="001D41EA">
            <w:pPr>
              <w:spacing w:before="40" w:after="40"/>
              <w:jc w:val="center"/>
              <w:rPr>
                <w:rFonts w:cs="Arial"/>
                <w:sz w:val="18"/>
                <w:szCs w:val="18"/>
              </w:rPr>
            </w:pPr>
            <w:r w:rsidRPr="001D41EA">
              <w:rPr>
                <w:rFonts w:cs="Arial"/>
                <w:sz w:val="18"/>
                <w:szCs w:val="18"/>
              </w:rPr>
              <w:t>0.907</w:t>
            </w:r>
          </w:p>
        </w:tc>
        <w:tc>
          <w:tcPr>
            <w:tcW w:w="170" w:type="dxa"/>
            <w:tcBorders>
              <w:top w:val="nil"/>
              <w:left w:val="nil"/>
              <w:bottom w:val="nil"/>
              <w:right w:val="nil"/>
            </w:tcBorders>
            <w:vAlign w:val="bottom"/>
          </w:tcPr>
          <w:p w14:paraId="46493E1A" w14:textId="709072FB"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02E05493" w14:textId="7902010F" w:rsidR="00566EA9" w:rsidRPr="001D41EA" w:rsidRDefault="00566EA9" w:rsidP="001D41EA">
            <w:pPr>
              <w:spacing w:before="40" w:after="40"/>
              <w:jc w:val="center"/>
              <w:rPr>
                <w:rFonts w:cs="Arial"/>
                <w:sz w:val="18"/>
                <w:szCs w:val="18"/>
              </w:rPr>
            </w:pPr>
            <w:r w:rsidRPr="001D41EA">
              <w:rPr>
                <w:rFonts w:cs="Arial"/>
                <w:sz w:val="18"/>
                <w:szCs w:val="18"/>
              </w:rPr>
              <w:t>0.754</w:t>
            </w:r>
          </w:p>
        </w:tc>
      </w:tr>
      <w:tr w:rsidR="00566EA9" w:rsidRPr="001D41EA" w14:paraId="649775F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9A539E4" w14:textId="77777777" w:rsidR="00566EA9" w:rsidRPr="001D41EA" w:rsidRDefault="00566EA9" w:rsidP="001D41EA">
            <w:pPr>
              <w:spacing w:before="40" w:after="40"/>
              <w:rPr>
                <w:rFonts w:cs="Arial"/>
                <w:sz w:val="18"/>
                <w:szCs w:val="18"/>
              </w:rPr>
            </w:pPr>
            <w:r w:rsidRPr="001D41EA">
              <w:rPr>
                <w:rFonts w:cs="Arial"/>
                <w:sz w:val="18"/>
                <w:szCs w:val="18"/>
              </w:rPr>
              <w:t>Ararat RC</w:t>
            </w:r>
          </w:p>
        </w:tc>
        <w:tc>
          <w:tcPr>
            <w:tcW w:w="1247" w:type="dxa"/>
            <w:tcBorders>
              <w:top w:val="nil"/>
              <w:left w:val="single" w:sz="18" w:space="0" w:color="5F497A" w:themeColor="accent4" w:themeShade="BF"/>
              <w:bottom w:val="nil"/>
              <w:right w:val="nil"/>
            </w:tcBorders>
            <w:shd w:val="clear" w:color="auto" w:fill="auto"/>
            <w:vAlign w:val="bottom"/>
          </w:tcPr>
          <w:p w14:paraId="42AA9E65" w14:textId="5CEF93BC" w:rsidR="00566EA9" w:rsidRPr="001D41EA" w:rsidRDefault="00566EA9" w:rsidP="001D41EA">
            <w:pPr>
              <w:spacing w:before="40" w:after="40"/>
              <w:jc w:val="center"/>
              <w:rPr>
                <w:rFonts w:cs="Arial"/>
                <w:sz w:val="18"/>
                <w:szCs w:val="18"/>
              </w:rPr>
            </w:pPr>
            <w:r w:rsidRPr="001D41EA">
              <w:rPr>
                <w:rFonts w:cs="Arial"/>
                <w:sz w:val="18"/>
                <w:szCs w:val="18"/>
              </w:rPr>
              <w:t>0.890</w:t>
            </w:r>
          </w:p>
        </w:tc>
        <w:tc>
          <w:tcPr>
            <w:tcW w:w="1247" w:type="dxa"/>
            <w:tcBorders>
              <w:top w:val="nil"/>
              <w:left w:val="nil"/>
              <w:bottom w:val="nil"/>
              <w:right w:val="nil"/>
            </w:tcBorders>
            <w:vAlign w:val="bottom"/>
          </w:tcPr>
          <w:p w14:paraId="20279692" w14:textId="6E0373BA" w:rsidR="00566EA9" w:rsidRPr="001D41EA" w:rsidRDefault="00566EA9" w:rsidP="001D41EA">
            <w:pPr>
              <w:spacing w:before="40" w:after="40"/>
              <w:jc w:val="center"/>
              <w:rPr>
                <w:rFonts w:cs="Arial"/>
                <w:sz w:val="18"/>
                <w:szCs w:val="18"/>
              </w:rPr>
            </w:pPr>
            <w:r w:rsidRPr="001D41EA">
              <w:rPr>
                <w:rFonts w:cs="Arial"/>
                <w:sz w:val="18"/>
                <w:szCs w:val="18"/>
              </w:rPr>
              <w:t>0.893</w:t>
            </w:r>
          </w:p>
        </w:tc>
        <w:tc>
          <w:tcPr>
            <w:tcW w:w="1247" w:type="dxa"/>
            <w:tcBorders>
              <w:top w:val="nil"/>
              <w:left w:val="nil"/>
              <w:bottom w:val="nil"/>
              <w:right w:val="nil"/>
            </w:tcBorders>
            <w:vAlign w:val="bottom"/>
          </w:tcPr>
          <w:p w14:paraId="268B55DF" w14:textId="157B9E02" w:rsidR="00566EA9" w:rsidRPr="001D41EA" w:rsidRDefault="00566EA9" w:rsidP="001D41EA">
            <w:pPr>
              <w:spacing w:before="40" w:after="40"/>
              <w:jc w:val="center"/>
              <w:rPr>
                <w:rFonts w:cs="Arial"/>
                <w:sz w:val="18"/>
                <w:szCs w:val="18"/>
              </w:rPr>
            </w:pPr>
            <w:r w:rsidRPr="001D41EA">
              <w:rPr>
                <w:rFonts w:cs="Arial"/>
                <w:sz w:val="18"/>
                <w:szCs w:val="18"/>
              </w:rPr>
              <w:t>0.890</w:t>
            </w:r>
          </w:p>
        </w:tc>
        <w:tc>
          <w:tcPr>
            <w:tcW w:w="170" w:type="dxa"/>
            <w:tcBorders>
              <w:top w:val="nil"/>
              <w:left w:val="nil"/>
              <w:bottom w:val="nil"/>
              <w:right w:val="nil"/>
            </w:tcBorders>
            <w:vAlign w:val="bottom"/>
          </w:tcPr>
          <w:p w14:paraId="4A6A02EF" w14:textId="7097E9DD"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5FFF6A22" w14:textId="639C06DE" w:rsidR="00566EA9" w:rsidRPr="001D41EA" w:rsidRDefault="00566EA9" w:rsidP="001D41EA">
            <w:pPr>
              <w:spacing w:before="40" w:after="40"/>
              <w:jc w:val="center"/>
              <w:rPr>
                <w:rFonts w:cs="Arial"/>
                <w:sz w:val="18"/>
                <w:szCs w:val="18"/>
              </w:rPr>
            </w:pPr>
            <w:r w:rsidRPr="001D41EA">
              <w:rPr>
                <w:rFonts w:cs="Arial"/>
                <w:sz w:val="18"/>
                <w:szCs w:val="18"/>
              </w:rPr>
              <w:t>0.841</w:t>
            </w:r>
          </w:p>
        </w:tc>
      </w:tr>
      <w:tr w:rsidR="00566EA9" w:rsidRPr="001D41EA" w14:paraId="006F149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1964A5F" w14:textId="77777777" w:rsidR="00566EA9" w:rsidRPr="001D41EA" w:rsidRDefault="00566EA9" w:rsidP="001D41EA">
            <w:pPr>
              <w:spacing w:before="40" w:after="40"/>
              <w:rPr>
                <w:rFonts w:cs="Arial"/>
                <w:sz w:val="18"/>
                <w:szCs w:val="18"/>
              </w:rPr>
            </w:pPr>
            <w:r w:rsidRPr="001D41EA">
              <w:rPr>
                <w:rFonts w:cs="Arial"/>
                <w:sz w:val="18"/>
                <w:szCs w:val="18"/>
              </w:rPr>
              <w:t>Ballarat C</w:t>
            </w:r>
          </w:p>
        </w:tc>
        <w:tc>
          <w:tcPr>
            <w:tcW w:w="1247" w:type="dxa"/>
            <w:tcBorders>
              <w:top w:val="nil"/>
              <w:left w:val="single" w:sz="18" w:space="0" w:color="5F497A" w:themeColor="accent4" w:themeShade="BF"/>
              <w:bottom w:val="nil"/>
              <w:right w:val="nil"/>
            </w:tcBorders>
            <w:shd w:val="clear" w:color="auto" w:fill="auto"/>
            <w:vAlign w:val="bottom"/>
          </w:tcPr>
          <w:p w14:paraId="1DAFE1BA" w14:textId="73C05986" w:rsidR="00566EA9" w:rsidRPr="001D41EA" w:rsidRDefault="00566EA9" w:rsidP="001D41EA">
            <w:pPr>
              <w:spacing w:before="40" w:after="40"/>
              <w:jc w:val="center"/>
              <w:rPr>
                <w:rFonts w:cs="Arial"/>
                <w:sz w:val="18"/>
                <w:szCs w:val="18"/>
              </w:rPr>
            </w:pPr>
            <w:r w:rsidRPr="001D41EA">
              <w:rPr>
                <w:rFonts w:cs="Arial"/>
                <w:sz w:val="18"/>
                <w:szCs w:val="18"/>
              </w:rPr>
              <w:t>0.916</w:t>
            </w:r>
          </w:p>
        </w:tc>
        <w:tc>
          <w:tcPr>
            <w:tcW w:w="1247" w:type="dxa"/>
            <w:tcBorders>
              <w:top w:val="nil"/>
              <w:left w:val="nil"/>
              <w:bottom w:val="nil"/>
              <w:right w:val="nil"/>
            </w:tcBorders>
            <w:vAlign w:val="bottom"/>
          </w:tcPr>
          <w:p w14:paraId="7D24907B" w14:textId="35375295" w:rsidR="00566EA9" w:rsidRPr="001D41EA" w:rsidRDefault="00566EA9" w:rsidP="001D41EA">
            <w:pPr>
              <w:spacing w:before="40" w:after="40"/>
              <w:jc w:val="center"/>
              <w:rPr>
                <w:rFonts w:cs="Arial"/>
                <w:sz w:val="18"/>
                <w:szCs w:val="18"/>
              </w:rPr>
            </w:pPr>
            <w:r w:rsidRPr="001D41EA">
              <w:rPr>
                <w:rFonts w:cs="Arial"/>
                <w:sz w:val="18"/>
                <w:szCs w:val="18"/>
              </w:rPr>
              <w:t>0.919</w:t>
            </w:r>
          </w:p>
        </w:tc>
        <w:tc>
          <w:tcPr>
            <w:tcW w:w="1247" w:type="dxa"/>
            <w:tcBorders>
              <w:top w:val="nil"/>
              <w:left w:val="nil"/>
              <w:bottom w:val="nil"/>
              <w:right w:val="nil"/>
            </w:tcBorders>
            <w:vAlign w:val="bottom"/>
          </w:tcPr>
          <w:p w14:paraId="7F734D6C" w14:textId="2667DCFF" w:rsidR="00566EA9" w:rsidRPr="001D41EA" w:rsidRDefault="00566EA9" w:rsidP="001D41EA">
            <w:pPr>
              <w:spacing w:before="40" w:after="40"/>
              <w:jc w:val="center"/>
              <w:rPr>
                <w:rFonts w:cs="Arial"/>
                <w:sz w:val="18"/>
                <w:szCs w:val="18"/>
              </w:rPr>
            </w:pPr>
            <w:r w:rsidRPr="001D41EA">
              <w:rPr>
                <w:rFonts w:cs="Arial"/>
                <w:sz w:val="18"/>
                <w:szCs w:val="18"/>
              </w:rPr>
              <w:t>0.916</w:t>
            </w:r>
          </w:p>
        </w:tc>
        <w:tc>
          <w:tcPr>
            <w:tcW w:w="170" w:type="dxa"/>
            <w:tcBorders>
              <w:top w:val="nil"/>
              <w:left w:val="nil"/>
              <w:bottom w:val="nil"/>
              <w:right w:val="nil"/>
            </w:tcBorders>
            <w:vAlign w:val="bottom"/>
          </w:tcPr>
          <w:p w14:paraId="056E1290" w14:textId="0EF3A5AB"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6ACAC832" w14:textId="068B6DF5" w:rsidR="00566EA9" w:rsidRPr="001D41EA" w:rsidRDefault="00566EA9" w:rsidP="001D41EA">
            <w:pPr>
              <w:spacing w:before="40" w:after="40"/>
              <w:jc w:val="center"/>
              <w:rPr>
                <w:rFonts w:cs="Arial"/>
                <w:sz w:val="18"/>
                <w:szCs w:val="18"/>
              </w:rPr>
            </w:pPr>
            <w:r w:rsidRPr="001D41EA">
              <w:rPr>
                <w:rFonts w:cs="Arial"/>
                <w:sz w:val="18"/>
                <w:szCs w:val="18"/>
              </w:rPr>
              <w:t>1.028</w:t>
            </w:r>
          </w:p>
        </w:tc>
      </w:tr>
      <w:tr w:rsidR="00566EA9" w:rsidRPr="001D41EA" w14:paraId="73E2B7A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076749F" w14:textId="77777777" w:rsidR="00566EA9" w:rsidRPr="001D41EA" w:rsidRDefault="00566EA9" w:rsidP="001D41EA">
            <w:pPr>
              <w:spacing w:before="40" w:after="40"/>
              <w:rPr>
                <w:rFonts w:cs="Arial"/>
                <w:sz w:val="18"/>
                <w:szCs w:val="18"/>
              </w:rPr>
            </w:pPr>
            <w:r w:rsidRPr="001D41EA">
              <w:rPr>
                <w:rFonts w:cs="Arial"/>
                <w:sz w:val="18"/>
                <w:szCs w:val="18"/>
              </w:rPr>
              <w:t>Banyule C</w:t>
            </w:r>
          </w:p>
        </w:tc>
        <w:tc>
          <w:tcPr>
            <w:tcW w:w="1247" w:type="dxa"/>
            <w:tcBorders>
              <w:top w:val="nil"/>
              <w:left w:val="single" w:sz="18" w:space="0" w:color="5F497A" w:themeColor="accent4" w:themeShade="BF"/>
              <w:bottom w:val="nil"/>
              <w:right w:val="nil"/>
            </w:tcBorders>
            <w:shd w:val="clear" w:color="auto" w:fill="auto"/>
            <w:vAlign w:val="bottom"/>
          </w:tcPr>
          <w:p w14:paraId="1B64CA56" w14:textId="2E060A86" w:rsidR="00566EA9" w:rsidRPr="001D41EA" w:rsidRDefault="00566EA9" w:rsidP="001D41EA">
            <w:pPr>
              <w:spacing w:before="40" w:after="40"/>
              <w:jc w:val="center"/>
              <w:rPr>
                <w:rFonts w:cs="Arial"/>
                <w:sz w:val="18"/>
                <w:szCs w:val="18"/>
              </w:rPr>
            </w:pPr>
            <w:r w:rsidRPr="001D41EA">
              <w:rPr>
                <w:rFonts w:cs="Arial"/>
                <w:sz w:val="18"/>
                <w:szCs w:val="18"/>
              </w:rPr>
              <w:t>0.844</w:t>
            </w:r>
          </w:p>
        </w:tc>
        <w:tc>
          <w:tcPr>
            <w:tcW w:w="1247" w:type="dxa"/>
            <w:tcBorders>
              <w:top w:val="nil"/>
              <w:left w:val="nil"/>
              <w:bottom w:val="nil"/>
              <w:right w:val="nil"/>
            </w:tcBorders>
            <w:vAlign w:val="bottom"/>
          </w:tcPr>
          <w:p w14:paraId="50771643" w14:textId="38CE8B33" w:rsidR="00566EA9" w:rsidRPr="001D41EA" w:rsidRDefault="00566EA9" w:rsidP="001D41EA">
            <w:pPr>
              <w:spacing w:before="40" w:after="40"/>
              <w:jc w:val="center"/>
              <w:rPr>
                <w:rFonts w:cs="Arial"/>
                <w:sz w:val="18"/>
                <w:szCs w:val="18"/>
              </w:rPr>
            </w:pPr>
            <w:r w:rsidRPr="001D41EA">
              <w:rPr>
                <w:rFonts w:cs="Arial"/>
                <w:sz w:val="18"/>
                <w:szCs w:val="18"/>
              </w:rPr>
              <w:t>0.847</w:t>
            </w:r>
          </w:p>
        </w:tc>
        <w:tc>
          <w:tcPr>
            <w:tcW w:w="1247" w:type="dxa"/>
            <w:tcBorders>
              <w:top w:val="nil"/>
              <w:left w:val="nil"/>
              <w:bottom w:val="nil"/>
              <w:right w:val="nil"/>
            </w:tcBorders>
            <w:vAlign w:val="bottom"/>
          </w:tcPr>
          <w:p w14:paraId="04B30AA1" w14:textId="66BEF92B" w:rsidR="00566EA9" w:rsidRPr="001D41EA" w:rsidRDefault="00566EA9" w:rsidP="001D41EA">
            <w:pPr>
              <w:spacing w:before="40" w:after="40"/>
              <w:jc w:val="center"/>
              <w:rPr>
                <w:rFonts w:cs="Arial"/>
                <w:sz w:val="18"/>
                <w:szCs w:val="18"/>
              </w:rPr>
            </w:pPr>
            <w:r w:rsidRPr="001D41EA">
              <w:rPr>
                <w:rFonts w:cs="Arial"/>
                <w:sz w:val="18"/>
                <w:szCs w:val="18"/>
              </w:rPr>
              <w:t>0.844</w:t>
            </w:r>
          </w:p>
        </w:tc>
        <w:tc>
          <w:tcPr>
            <w:tcW w:w="170" w:type="dxa"/>
            <w:tcBorders>
              <w:top w:val="nil"/>
              <w:left w:val="nil"/>
              <w:bottom w:val="nil"/>
              <w:right w:val="nil"/>
            </w:tcBorders>
            <w:vAlign w:val="bottom"/>
          </w:tcPr>
          <w:p w14:paraId="63AB7D9B" w14:textId="342757A1"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44FE8936" w14:textId="4292B7CD" w:rsidR="00566EA9" w:rsidRPr="001D41EA" w:rsidRDefault="00566EA9" w:rsidP="001D41EA">
            <w:pPr>
              <w:spacing w:before="40" w:after="40"/>
              <w:jc w:val="center"/>
              <w:rPr>
                <w:rFonts w:cs="Arial"/>
                <w:sz w:val="18"/>
                <w:szCs w:val="18"/>
              </w:rPr>
            </w:pPr>
            <w:r w:rsidRPr="001D41EA">
              <w:rPr>
                <w:rFonts w:cs="Arial"/>
                <w:sz w:val="18"/>
                <w:szCs w:val="18"/>
              </w:rPr>
              <w:t>1.004</w:t>
            </w:r>
          </w:p>
        </w:tc>
      </w:tr>
      <w:tr w:rsidR="00566EA9" w:rsidRPr="001D41EA" w14:paraId="79FF132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BAC761B" w14:textId="77777777" w:rsidR="00566EA9" w:rsidRPr="001D41EA" w:rsidRDefault="00566EA9" w:rsidP="001D41EA">
            <w:pPr>
              <w:spacing w:before="40" w:after="40"/>
              <w:rPr>
                <w:rFonts w:cs="Arial"/>
                <w:sz w:val="18"/>
                <w:szCs w:val="18"/>
              </w:rPr>
            </w:pPr>
            <w:r w:rsidRPr="001D41EA">
              <w:rPr>
                <w:rFonts w:cs="Arial"/>
                <w:sz w:val="18"/>
                <w:szCs w:val="18"/>
              </w:rPr>
              <w:t>Bass Coast S</w:t>
            </w:r>
          </w:p>
        </w:tc>
        <w:tc>
          <w:tcPr>
            <w:tcW w:w="1247" w:type="dxa"/>
            <w:tcBorders>
              <w:top w:val="nil"/>
              <w:left w:val="single" w:sz="18" w:space="0" w:color="5F497A" w:themeColor="accent4" w:themeShade="BF"/>
              <w:bottom w:val="nil"/>
              <w:right w:val="nil"/>
            </w:tcBorders>
            <w:shd w:val="clear" w:color="auto" w:fill="auto"/>
            <w:vAlign w:val="bottom"/>
          </w:tcPr>
          <w:p w14:paraId="023BCE24" w14:textId="11A21316" w:rsidR="00566EA9" w:rsidRPr="001D41EA" w:rsidRDefault="00566EA9" w:rsidP="001D41EA">
            <w:pPr>
              <w:spacing w:before="40" w:after="40"/>
              <w:jc w:val="center"/>
              <w:rPr>
                <w:rFonts w:cs="Arial"/>
                <w:sz w:val="18"/>
                <w:szCs w:val="18"/>
              </w:rPr>
            </w:pPr>
            <w:r w:rsidRPr="001D41EA">
              <w:rPr>
                <w:rFonts w:cs="Arial"/>
                <w:sz w:val="18"/>
                <w:szCs w:val="18"/>
              </w:rPr>
              <w:t>1.019</w:t>
            </w:r>
          </w:p>
        </w:tc>
        <w:tc>
          <w:tcPr>
            <w:tcW w:w="1247" w:type="dxa"/>
            <w:tcBorders>
              <w:top w:val="nil"/>
              <w:left w:val="nil"/>
              <w:bottom w:val="nil"/>
              <w:right w:val="nil"/>
            </w:tcBorders>
            <w:vAlign w:val="bottom"/>
          </w:tcPr>
          <w:p w14:paraId="5C4E011F" w14:textId="11C2DDC8" w:rsidR="00566EA9" w:rsidRPr="001D41EA" w:rsidRDefault="00566EA9" w:rsidP="001D41EA">
            <w:pPr>
              <w:spacing w:before="40" w:after="40"/>
              <w:jc w:val="center"/>
              <w:rPr>
                <w:rFonts w:cs="Arial"/>
                <w:sz w:val="18"/>
                <w:szCs w:val="18"/>
              </w:rPr>
            </w:pPr>
            <w:r w:rsidRPr="001D41EA">
              <w:rPr>
                <w:rFonts w:cs="Arial"/>
                <w:sz w:val="18"/>
                <w:szCs w:val="18"/>
              </w:rPr>
              <w:t>1.023</w:t>
            </w:r>
          </w:p>
        </w:tc>
        <w:tc>
          <w:tcPr>
            <w:tcW w:w="1247" w:type="dxa"/>
            <w:tcBorders>
              <w:top w:val="nil"/>
              <w:left w:val="nil"/>
              <w:bottom w:val="nil"/>
              <w:right w:val="nil"/>
            </w:tcBorders>
            <w:vAlign w:val="bottom"/>
          </w:tcPr>
          <w:p w14:paraId="4B5FF6DF" w14:textId="7BC2EA44" w:rsidR="00566EA9" w:rsidRPr="001D41EA" w:rsidRDefault="00566EA9" w:rsidP="001D41EA">
            <w:pPr>
              <w:spacing w:before="40" w:after="40"/>
              <w:jc w:val="center"/>
              <w:rPr>
                <w:rFonts w:cs="Arial"/>
                <w:sz w:val="18"/>
                <w:szCs w:val="18"/>
              </w:rPr>
            </w:pPr>
            <w:r w:rsidRPr="001D41EA">
              <w:rPr>
                <w:rFonts w:cs="Arial"/>
                <w:sz w:val="18"/>
                <w:szCs w:val="18"/>
              </w:rPr>
              <w:t>1.020</w:t>
            </w:r>
          </w:p>
        </w:tc>
        <w:tc>
          <w:tcPr>
            <w:tcW w:w="170" w:type="dxa"/>
            <w:tcBorders>
              <w:top w:val="nil"/>
              <w:left w:val="nil"/>
              <w:bottom w:val="nil"/>
              <w:right w:val="nil"/>
            </w:tcBorders>
            <w:vAlign w:val="bottom"/>
          </w:tcPr>
          <w:p w14:paraId="3B8EA0E8" w14:textId="64599267"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69BFB13B" w14:textId="095D2480" w:rsidR="00566EA9" w:rsidRPr="001D41EA" w:rsidRDefault="00566EA9" w:rsidP="001D41EA">
            <w:pPr>
              <w:spacing w:before="40" w:after="40"/>
              <w:jc w:val="center"/>
              <w:rPr>
                <w:rFonts w:cs="Arial"/>
                <w:sz w:val="18"/>
                <w:szCs w:val="18"/>
              </w:rPr>
            </w:pPr>
            <w:r w:rsidRPr="001D41EA">
              <w:rPr>
                <w:rFonts w:cs="Arial"/>
                <w:sz w:val="18"/>
                <w:szCs w:val="18"/>
              </w:rPr>
              <w:t>0.891</w:t>
            </w:r>
          </w:p>
        </w:tc>
      </w:tr>
      <w:tr w:rsidR="00566EA9" w:rsidRPr="001D41EA" w14:paraId="50EEFFB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98F9105" w14:textId="77777777" w:rsidR="00566EA9" w:rsidRPr="001D41EA" w:rsidRDefault="00566EA9" w:rsidP="001D41EA">
            <w:pPr>
              <w:spacing w:before="40" w:after="40"/>
              <w:rPr>
                <w:rFonts w:cs="Arial"/>
                <w:sz w:val="18"/>
                <w:szCs w:val="18"/>
              </w:rPr>
            </w:pPr>
            <w:r w:rsidRPr="001D41EA">
              <w:rPr>
                <w:rFonts w:cs="Arial"/>
                <w:sz w:val="18"/>
                <w:szCs w:val="18"/>
              </w:rPr>
              <w:t>Baw Baw S</w:t>
            </w:r>
          </w:p>
        </w:tc>
        <w:tc>
          <w:tcPr>
            <w:tcW w:w="1247" w:type="dxa"/>
            <w:tcBorders>
              <w:top w:val="nil"/>
              <w:left w:val="single" w:sz="18" w:space="0" w:color="5F497A" w:themeColor="accent4" w:themeShade="BF"/>
              <w:bottom w:val="nil"/>
              <w:right w:val="nil"/>
            </w:tcBorders>
            <w:shd w:val="clear" w:color="auto" w:fill="auto"/>
            <w:vAlign w:val="bottom"/>
          </w:tcPr>
          <w:p w14:paraId="23BB4768" w14:textId="554E07CF" w:rsidR="00566EA9" w:rsidRPr="001D41EA" w:rsidRDefault="00566EA9" w:rsidP="001D41EA">
            <w:pPr>
              <w:spacing w:before="40" w:after="40"/>
              <w:jc w:val="center"/>
              <w:rPr>
                <w:rFonts w:cs="Arial"/>
                <w:sz w:val="18"/>
                <w:szCs w:val="18"/>
              </w:rPr>
            </w:pPr>
            <w:r w:rsidRPr="001D41EA">
              <w:rPr>
                <w:rFonts w:cs="Arial"/>
                <w:sz w:val="18"/>
                <w:szCs w:val="18"/>
              </w:rPr>
              <w:t>1.050</w:t>
            </w:r>
          </w:p>
        </w:tc>
        <w:tc>
          <w:tcPr>
            <w:tcW w:w="1247" w:type="dxa"/>
            <w:tcBorders>
              <w:top w:val="nil"/>
              <w:left w:val="nil"/>
              <w:bottom w:val="nil"/>
              <w:right w:val="nil"/>
            </w:tcBorders>
            <w:vAlign w:val="bottom"/>
          </w:tcPr>
          <w:p w14:paraId="5A0D8E6C" w14:textId="2D8E6AB7" w:rsidR="00566EA9" w:rsidRPr="001D41EA" w:rsidRDefault="00566EA9" w:rsidP="001D41EA">
            <w:pPr>
              <w:spacing w:before="40" w:after="40"/>
              <w:jc w:val="center"/>
              <w:rPr>
                <w:rFonts w:cs="Arial"/>
                <w:sz w:val="18"/>
                <w:szCs w:val="18"/>
              </w:rPr>
            </w:pPr>
            <w:r w:rsidRPr="001D41EA">
              <w:rPr>
                <w:rFonts w:cs="Arial"/>
                <w:sz w:val="18"/>
                <w:szCs w:val="18"/>
              </w:rPr>
              <w:t>1.053</w:t>
            </w:r>
          </w:p>
        </w:tc>
        <w:tc>
          <w:tcPr>
            <w:tcW w:w="1247" w:type="dxa"/>
            <w:tcBorders>
              <w:top w:val="nil"/>
              <w:left w:val="nil"/>
              <w:bottom w:val="nil"/>
              <w:right w:val="nil"/>
            </w:tcBorders>
            <w:vAlign w:val="bottom"/>
          </w:tcPr>
          <w:p w14:paraId="62AF2B68" w14:textId="4BA0B224" w:rsidR="00566EA9" w:rsidRPr="001D41EA" w:rsidRDefault="00566EA9" w:rsidP="001D41EA">
            <w:pPr>
              <w:spacing w:before="40" w:after="40"/>
              <w:jc w:val="center"/>
              <w:rPr>
                <w:rFonts w:cs="Arial"/>
                <w:sz w:val="18"/>
                <w:szCs w:val="18"/>
              </w:rPr>
            </w:pPr>
            <w:r w:rsidRPr="001D41EA">
              <w:rPr>
                <w:rFonts w:cs="Arial"/>
                <w:sz w:val="18"/>
                <w:szCs w:val="18"/>
              </w:rPr>
              <w:t>1.050</w:t>
            </w:r>
          </w:p>
        </w:tc>
        <w:tc>
          <w:tcPr>
            <w:tcW w:w="170" w:type="dxa"/>
            <w:tcBorders>
              <w:top w:val="nil"/>
              <w:left w:val="nil"/>
              <w:bottom w:val="nil"/>
              <w:right w:val="nil"/>
            </w:tcBorders>
            <w:vAlign w:val="bottom"/>
          </w:tcPr>
          <w:p w14:paraId="752131AF" w14:textId="5B526E3B"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157BFEE9" w14:textId="78B9EF9E" w:rsidR="00566EA9" w:rsidRPr="001D41EA" w:rsidRDefault="00566EA9" w:rsidP="001D41EA">
            <w:pPr>
              <w:spacing w:before="40" w:after="40"/>
              <w:jc w:val="center"/>
              <w:rPr>
                <w:rFonts w:cs="Arial"/>
                <w:sz w:val="18"/>
                <w:szCs w:val="18"/>
              </w:rPr>
            </w:pPr>
            <w:r w:rsidRPr="001D41EA">
              <w:rPr>
                <w:rFonts w:cs="Arial"/>
                <w:sz w:val="18"/>
                <w:szCs w:val="18"/>
              </w:rPr>
              <w:t>1.001</w:t>
            </w:r>
          </w:p>
        </w:tc>
      </w:tr>
      <w:tr w:rsidR="00566EA9" w:rsidRPr="001D41EA" w14:paraId="55BC085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BD41B57" w14:textId="77777777" w:rsidR="00566EA9" w:rsidRPr="001D41EA" w:rsidRDefault="00566EA9" w:rsidP="001D41EA">
            <w:pPr>
              <w:spacing w:before="40" w:after="40"/>
              <w:rPr>
                <w:rFonts w:cs="Arial"/>
                <w:sz w:val="18"/>
                <w:szCs w:val="18"/>
              </w:rPr>
            </w:pPr>
            <w:r w:rsidRPr="001D41EA">
              <w:rPr>
                <w:rFonts w:cs="Arial"/>
                <w:sz w:val="18"/>
                <w:szCs w:val="18"/>
              </w:rPr>
              <w:t>Bayside C</w:t>
            </w:r>
          </w:p>
        </w:tc>
        <w:tc>
          <w:tcPr>
            <w:tcW w:w="1247" w:type="dxa"/>
            <w:tcBorders>
              <w:top w:val="nil"/>
              <w:left w:val="single" w:sz="18" w:space="0" w:color="5F497A" w:themeColor="accent4" w:themeShade="BF"/>
              <w:bottom w:val="nil"/>
              <w:right w:val="nil"/>
            </w:tcBorders>
            <w:shd w:val="clear" w:color="auto" w:fill="auto"/>
            <w:vAlign w:val="bottom"/>
          </w:tcPr>
          <w:p w14:paraId="1329C3FB" w14:textId="102A7943" w:rsidR="00566EA9" w:rsidRPr="001D41EA" w:rsidRDefault="00566EA9" w:rsidP="001D41EA">
            <w:pPr>
              <w:spacing w:before="40" w:after="40"/>
              <w:jc w:val="center"/>
              <w:rPr>
                <w:rFonts w:cs="Arial"/>
                <w:sz w:val="18"/>
                <w:szCs w:val="18"/>
              </w:rPr>
            </w:pPr>
            <w:r w:rsidRPr="001D41EA">
              <w:rPr>
                <w:rFonts w:cs="Arial"/>
                <w:sz w:val="18"/>
                <w:szCs w:val="18"/>
              </w:rPr>
              <w:t>0.888</w:t>
            </w:r>
          </w:p>
        </w:tc>
        <w:tc>
          <w:tcPr>
            <w:tcW w:w="1247" w:type="dxa"/>
            <w:tcBorders>
              <w:top w:val="nil"/>
              <w:left w:val="nil"/>
              <w:bottom w:val="nil"/>
              <w:right w:val="nil"/>
            </w:tcBorders>
            <w:vAlign w:val="bottom"/>
          </w:tcPr>
          <w:p w14:paraId="7106F88C" w14:textId="487AB25E" w:rsidR="00566EA9" w:rsidRPr="001D41EA" w:rsidRDefault="00566EA9" w:rsidP="001D41EA">
            <w:pPr>
              <w:spacing w:before="40" w:after="40"/>
              <w:jc w:val="center"/>
              <w:rPr>
                <w:rFonts w:cs="Arial"/>
                <w:sz w:val="18"/>
                <w:szCs w:val="18"/>
              </w:rPr>
            </w:pPr>
            <w:r w:rsidRPr="001D41EA">
              <w:rPr>
                <w:rFonts w:cs="Arial"/>
                <w:sz w:val="18"/>
                <w:szCs w:val="18"/>
              </w:rPr>
              <w:t>0.891</w:t>
            </w:r>
          </w:p>
        </w:tc>
        <w:tc>
          <w:tcPr>
            <w:tcW w:w="1247" w:type="dxa"/>
            <w:tcBorders>
              <w:top w:val="nil"/>
              <w:left w:val="nil"/>
              <w:bottom w:val="nil"/>
              <w:right w:val="nil"/>
            </w:tcBorders>
            <w:vAlign w:val="bottom"/>
          </w:tcPr>
          <w:p w14:paraId="445032E6" w14:textId="26198E60" w:rsidR="00566EA9" w:rsidRPr="001D41EA" w:rsidRDefault="00566EA9" w:rsidP="001D41EA">
            <w:pPr>
              <w:spacing w:before="40" w:after="40"/>
              <w:jc w:val="center"/>
              <w:rPr>
                <w:rFonts w:cs="Arial"/>
                <w:sz w:val="18"/>
                <w:szCs w:val="18"/>
              </w:rPr>
            </w:pPr>
            <w:r w:rsidRPr="001D41EA">
              <w:rPr>
                <w:rFonts w:cs="Arial"/>
                <w:sz w:val="18"/>
                <w:szCs w:val="18"/>
              </w:rPr>
              <w:t>0.888</w:t>
            </w:r>
          </w:p>
        </w:tc>
        <w:tc>
          <w:tcPr>
            <w:tcW w:w="170" w:type="dxa"/>
            <w:tcBorders>
              <w:top w:val="nil"/>
              <w:left w:val="nil"/>
              <w:bottom w:val="nil"/>
              <w:right w:val="nil"/>
            </w:tcBorders>
            <w:vAlign w:val="bottom"/>
          </w:tcPr>
          <w:p w14:paraId="53BD7CAB" w14:textId="045BAE18"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2764812B" w14:textId="36BF2077" w:rsidR="00566EA9" w:rsidRPr="001D41EA" w:rsidRDefault="00566EA9" w:rsidP="001D41EA">
            <w:pPr>
              <w:spacing w:before="40" w:after="40"/>
              <w:jc w:val="center"/>
              <w:rPr>
                <w:rFonts w:cs="Arial"/>
                <w:sz w:val="18"/>
                <w:szCs w:val="18"/>
              </w:rPr>
            </w:pPr>
            <w:r w:rsidRPr="001D41EA">
              <w:rPr>
                <w:rFonts w:cs="Arial"/>
                <w:sz w:val="18"/>
                <w:szCs w:val="18"/>
              </w:rPr>
              <w:t>0.862</w:t>
            </w:r>
          </w:p>
        </w:tc>
      </w:tr>
      <w:tr w:rsidR="00566EA9" w:rsidRPr="001D41EA" w14:paraId="379AD98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997E006" w14:textId="77777777" w:rsidR="00566EA9" w:rsidRPr="001D41EA" w:rsidRDefault="00566EA9" w:rsidP="001D41EA">
            <w:pPr>
              <w:spacing w:before="40" w:after="40"/>
              <w:rPr>
                <w:rFonts w:cs="Arial"/>
                <w:sz w:val="18"/>
                <w:szCs w:val="18"/>
              </w:rPr>
            </w:pPr>
            <w:r w:rsidRPr="001D41EA">
              <w:rPr>
                <w:rFonts w:cs="Arial"/>
                <w:sz w:val="18"/>
                <w:szCs w:val="18"/>
              </w:rPr>
              <w:t>Benalla RC</w:t>
            </w:r>
          </w:p>
        </w:tc>
        <w:tc>
          <w:tcPr>
            <w:tcW w:w="1247" w:type="dxa"/>
            <w:tcBorders>
              <w:top w:val="nil"/>
              <w:left w:val="single" w:sz="18" w:space="0" w:color="5F497A" w:themeColor="accent4" w:themeShade="BF"/>
              <w:bottom w:val="nil"/>
              <w:right w:val="nil"/>
            </w:tcBorders>
            <w:shd w:val="clear" w:color="auto" w:fill="auto"/>
            <w:vAlign w:val="bottom"/>
          </w:tcPr>
          <w:p w14:paraId="4279FC6E" w14:textId="5D4D561C" w:rsidR="00566EA9" w:rsidRPr="001D41EA" w:rsidRDefault="00566EA9" w:rsidP="001D41EA">
            <w:pPr>
              <w:spacing w:before="40" w:after="40"/>
              <w:jc w:val="center"/>
              <w:rPr>
                <w:rFonts w:cs="Arial"/>
                <w:sz w:val="18"/>
                <w:szCs w:val="18"/>
              </w:rPr>
            </w:pPr>
            <w:r w:rsidRPr="001D41EA">
              <w:rPr>
                <w:rFonts w:cs="Arial"/>
                <w:sz w:val="18"/>
                <w:szCs w:val="18"/>
              </w:rPr>
              <w:t>0.828</w:t>
            </w:r>
          </w:p>
        </w:tc>
        <w:tc>
          <w:tcPr>
            <w:tcW w:w="1247" w:type="dxa"/>
            <w:tcBorders>
              <w:top w:val="nil"/>
              <w:left w:val="nil"/>
              <w:bottom w:val="nil"/>
              <w:right w:val="nil"/>
            </w:tcBorders>
            <w:vAlign w:val="bottom"/>
          </w:tcPr>
          <w:p w14:paraId="6CE9A22E" w14:textId="7AED6B0D" w:rsidR="00566EA9" w:rsidRPr="001D41EA" w:rsidRDefault="00566EA9" w:rsidP="001D41EA">
            <w:pPr>
              <w:spacing w:before="40" w:after="40"/>
              <w:jc w:val="center"/>
              <w:rPr>
                <w:rFonts w:cs="Arial"/>
                <w:sz w:val="18"/>
                <w:szCs w:val="18"/>
              </w:rPr>
            </w:pPr>
            <w:r w:rsidRPr="001D41EA">
              <w:rPr>
                <w:rFonts w:cs="Arial"/>
                <w:sz w:val="18"/>
                <w:szCs w:val="18"/>
              </w:rPr>
              <w:t>0.831</w:t>
            </w:r>
          </w:p>
        </w:tc>
        <w:tc>
          <w:tcPr>
            <w:tcW w:w="1247" w:type="dxa"/>
            <w:tcBorders>
              <w:top w:val="nil"/>
              <w:left w:val="nil"/>
              <w:bottom w:val="nil"/>
              <w:right w:val="nil"/>
            </w:tcBorders>
            <w:vAlign w:val="bottom"/>
          </w:tcPr>
          <w:p w14:paraId="5CD5CEEB" w14:textId="0130CDBC" w:rsidR="00566EA9" w:rsidRPr="001D41EA" w:rsidRDefault="00566EA9" w:rsidP="001D41EA">
            <w:pPr>
              <w:spacing w:before="40" w:after="40"/>
              <w:jc w:val="center"/>
              <w:rPr>
                <w:rFonts w:cs="Arial"/>
                <w:sz w:val="18"/>
                <w:szCs w:val="18"/>
              </w:rPr>
            </w:pPr>
            <w:r w:rsidRPr="001D41EA">
              <w:rPr>
                <w:rFonts w:cs="Arial"/>
                <w:sz w:val="18"/>
                <w:szCs w:val="18"/>
              </w:rPr>
              <w:t>0.829</w:t>
            </w:r>
          </w:p>
        </w:tc>
        <w:tc>
          <w:tcPr>
            <w:tcW w:w="170" w:type="dxa"/>
            <w:tcBorders>
              <w:top w:val="nil"/>
              <w:left w:val="nil"/>
              <w:bottom w:val="nil"/>
              <w:right w:val="nil"/>
            </w:tcBorders>
            <w:vAlign w:val="bottom"/>
          </w:tcPr>
          <w:p w14:paraId="116FE7BD" w14:textId="4C328E55"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0D19F363" w14:textId="71940EF3" w:rsidR="00566EA9" w:rsidRPr="001D41EA" w:rsidRDefault="00566EA9" w:rsidP="001D41EA">
            <w:pPr>
              <w:spacing w:before="40" w:after="40"/>
              <w:jc w:val="center"/>
              <w:rPr>
                <w:rFonts w:cs="Arial"/>
                <w:sz w:val="18"/>
                <w:szCs w:val="18"/>
              </w:rPr>
            </w:pPr>
            <w:r w:rsidRPr="001D41EA">
              <w:rPr>
                <w:rFonts w:cs="Arial"/>
                <w:sz w:val="18"/>
                <w:szCs w:val="18"/>
              </w:rPr>
              <w:t>0.840</w:t>
            </w:r>
          </w:p>
        </w:tc>
      </w:tr>
      <w:tr w:rsidR="00566EA9" w:rsidRPr="001D41EA" w14:paraId="66D105F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A972113" w14:textId="77777777" w:rsidR="00566EA9" w:rsidRPr="001D41EA" w:rsidRDefault="00566EA9" w:rsidP="001D41EA">
            <w:pPr>
              <w:spacing w:before="40" w:after="40"/>
              <w:rPr>
                <w:rFonts w:cs="Arial"/>
                <w:sz w:val="18"/>
                <w:szCs w:val="18"/>
              </w:rPr>
            </w:pPr>
            <w:r w:rsidRPr="001D41EA">
              <w:rPr>
                <w:rFonts w:cs="Arial"/>
                <w:sz w:val="18"/>
                <w:szCs w:val="18"/>
              </w:rPr>
              <w:t>Boroondara C</w:t>
            </w:r>
          </w:p>
        </w:tc>
        <w:tc>
          <w:tcPr>
            <w:tcW w:w="1247" w:type="dxa"/>
            <w:tcBorders>
              <w:top w:val="nil"/>
              <w:left w:val="single" w:sz="18" w:space="0" w:color="5F497A" w:themeColor="accent4" w:themeShade="BF"/>
              <w:bottom w:val="nil"/>
              <w:right w:val="nil"/>
            </w:tcBorders>
            <w:shd w:val="clear" w:color="auto" w:fill="auto"/>
            <w:vAlign w:val="bottom"/>
          </w:tcPr>
          <w:p w14:paraId="22DCAF5E" w14:textId="580E673A" w:rsidR="00566EA9" w:rsidRPr="001D41EA" w:rsidRDefault="00566EA9" w:rsidP="001D41EA">
            <w:pPr>
              <w:spacing w:before="40" w:after="40"/>
              <w:jc w:val="center"/>
              <w:rPr>
                <w:rFonts w:cs="Arial"/>
                <w:sz w:val="18"/>
                <w:szCs w:val="18"/>
              </w:rPr>
            </w:pPr>
            <w:r w:rsidRPr="001D41EA">
              <w:rPr>
                <w:rFonts w:cs="Arial"/>
                <w:sz w:val="18"/>
                <w:szCs w:val="18"/>
              </w:rPr>
              <w:t>0.871</w:t>
            </w:r>
          </w:p>
        </w:tc>
        <w:tc>
          <w:tcPr>
            <w:tcW w:w="1247" w:type="dxa"/>
            <w:tcBorders>
              <w:top w:val="nil"/>
              <w:left w:val="nil"/>
              <w:bottom w:val="nil"/>
              <w:right w:val="nil"/>
            </w:tcBorders>
            <w:vAlign w:val="bottom"/>
          </w:tcPr>
          <w:p w14:paraId="3E91BF47" w14:textId="3B9B0C17" w:rsidR="00566EA9" w:rsidRPr="001D41EA" w:rsidRDefault="00566EA9" w:rsidP="001D41EA">
            <w:pPr>
              <w:spacing w:before="40" w:after="40"/>
              <w:jc w:val="center"/>
              <w:rPr>
                <w:rFonts w:cs="Arial"/>
                <w:sz w:val="18"/>
                <w:szCs w:val="18"/>
              </w:rPr>
            </w:pPr>
            <w:r w:rsidRPr="001D41EA">
              <w:rPr>
                <w:rFonts w:cs="Arial"/>
                <w:sz w:val="18"/>
                <w:szCs w:val="18"/>
              </w:rPr>
              <w:t>0.874</w:t>
            </w:r>
          </w:p>
        </w:tc>
        <w:tc>
          <w:tcPr>
            <w:tcW w:w="1247" w:type="dxa"/>
            <w:tcBorders>
              <w:top w:val="nil"/>
              <w:left w:val="nil"/>
              <w:bottom w:val="nil"/>
              <w:right w:val="nil"/>
            </w:tcBorders>
            <w:vAlign w:val="bottom"/>
          </w:tcPr>
          <w:p w14:paraId="07407E58" w14:textId="462B9709" w:rsidR="00566EA9" w:rsidRPr="001D41EA" w:rsidRDefault="00566EA9" w:rsidP="001D41EA">
            <w:pPr>
              <w:spacing w:before="40" w:after="40"/>
              <w:jc w:val="center"/>
              <w:rPr>
                <w:rFonts w:cs="Arial"/>
                <w:sz w:val="18"/>
                <w:szCs w:val="18"/>
              </w:rPr>
            </w:pPr>
            <w:r w:rsidRPr="001D41EA">
              <w:rPr>
                <w:rFonts w:cs="Arial"/>
                <w:sz w:val="18"/>
                <w:szCs w:val="18"/>
              </w:rPr>
              <w:t>0.872</w:t>
            </w:r>
          </w:p>
        </w:tc>
        <w:tc>
          <w:tcPr>
            <w:tcW w:w="170" w:type="dxa"/>
            <w:tcBorders>
              <w:top w:val="nil"/>
              <w:left w:val="nil"/>
              <w:bottom w:val="nil"/>
              <w:right w:val="nil"/>
            </w:tcBorders>
            <w:vAlign w:val="bottom"/>
          </w:tcPr>
          <w:p w14:paraId="503BBD99" w14:textId="4A8B34E3"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1EE5894D" w14:textId="7B99CD2B" w:rsidR="00566EA9" w:rsidRPr="001D41EA" w:rsidRDefault="00566EA9" w:rsidP="001D41EA">
            <w:pPr>
              <w:spacing w:before="40" w:after="40"/>
              <w:jc w:val="center"/>
              <w:rPr>
                <w:rFonts w:cs="Arial"/>
                <w:sz w:val="18"/>
                <w:szCs w:val="18"/>
              </w:rPr>
            </w:pPr>
            <w:r w:rsidRPr="001D41EA">
              <w:rPr>
                <w:rFonts w:cs="Arial"/>
                <w:sz w:val="18"/>
                <w:szCs w:val="18"/>
              </w:rPr>
              <w:t>0.784</w:t>
            </w:r>
          </w:p>
        </w:tc>
      </w:tr>
      <w:tr w:rsidR="00566EA9" w:rsidRPr="001D41EA" w14:paraId="0AC7FCB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BDEE15E" w14:textId="77777777" w:rsidR="00566EA9" w:rsidRPr="001D41EA" w:rsidRDefault="00566EA9" w:rsidP="001D41EA">
            <w:pPr>
              <w:spacing w:before="40" w:after="40"/>
              <w:rPr>
                <w:rFonts w:cs="Arial"/>
                <w:sz w:val="18"/>
                <w:szCs w:val="18"/>
              </w:rPr>
            </w:pPr>
            <w:r w:rsidRPr="001D41EA">
              <w:rPr>
                <w:rFonts w:cs="Arial"/>
                <w:sz w:val="18"/>
                <w:szCs w:val="18"/>
              </w:rPr>
              <w:t>Brimbank C</w:t>
            </w:r>
          </w:p>
        </w:tc>
        <w:tc>
          <w:tcPr>
            <w:tcW w:w="1247" w:type="dxa"/>
            <w:tcBorders>
              <w:top w:val="nil"/>
              <w:left w:val="single" w:sz="18" w:space="0" w:color="5F497A" w:themeColor="accent4" w:themeShade="BF"/>
              <w:bottom w:val="nil"/>
              <w:right w:val="nil"/>
            </w:tcBorders>
            <w:shd w:val="clear" w:color="auto" w:fill="auto"/>
            <w:vAlign w:val="bottom"/>
          </w:tcPr>
          <w:p w14:paraId="3078D107" w14:textId="5660D624" w:rsidR="00566EA9" w:rsidRPr="001D41EA" w:rsidRDefault="00566EA9" w:rsidP="001D41EA">
            <w:pPr>
              <w:spacing w:before="40" w:after="40"/>
              <w:jc w:val="center"/>
              <w:rPr>
                <w:rFonts w:cs="Arial"/>
                <w:sz w:val="18"/>
                <w:szCs w:val="18"/>
              </w:rPr>
            </w:pPr>
            <w:r w:rsidRPr="001D41EA">
              <w:rPr>
                <w:rFonts w:cs="Arial"/>
                <w:sz w:val="18"/>
                <w:szCs w:val="18"/>
              </w:rPr>
              <w:t>0.883</w:t>
            </w:r>
          </w:p>
        </w:tc>
        <w:tc>
          <w:tcPr>
            <w:tcW w:w="1247" w:type="dxa"/>
            <w:tcBorders>
              <w:top w:val="nil"/>
              <w:left w:val="nil"/>
              <w:bottom w:val="nil"/>
              <w:right w:val="nil"/>
            </w:tcBorders>
            <w:vAlign w:val="bottom"/>
          </w:tcPr>
          <w:p w14:paraId="283DB497" w14:textId="5C041617" w:rsidR="00566EA9" w:rsidRPr="001D41EA" w:rsidRDefault="00566EA9" w:rsidP="001D41EA">
            <w:pPr>
              <w:spacing w:before="40" w:after="40"/>
              <w:jc w:val="center"/>
              <w:rPr>
                <w:rFonts w:cs="Arial"/>
                <w:sz w:val="18"/>
                <w:szCs w:val="18"/>
              </w:rPr>
            </w:pPr>
            <w:r w:rsidRPr="001D41EA">
              <w:rPr>
                <w:rFonts w:cs="Arial"/>
                <w:sz w:val="18"/>
                <w:szCs w:val="18"/>
              </w:rPr>
              <w:t>0.886</w:t>
            </w:r>
          </w:p>
        </w:tc>
        <w:tc>
          <w:tcPr>
            <w:tcW w:w="1247" w:type="dxa"/>
            <w:tcBorders>
              <w:top w:val="nil"/>
              <w:left w:val="nil"/>
              <w:bottom w:val="nil"/>
              <w:right w:val="nil"/>
            </w:tcBorders>
            <w:vAlign w:val="bottom"/>
          </w:tcPr>
          <w:p w14:paraId="25F7D961" w14:textId="23D06997" w:rsidR="00566EA9" w:rsidRPr="001D41EA" w:rsidRDefault="00566EA9" w:rsidP="001D41EA">
            <w:pPr>
              <w:spacing w:before="40" w:after="40"/>
              <w:jc w:val="center"/>
              <w:rPr>
                <w:rFonts w:cs="Arial"/>
                <w:sz w:val="18"/>
                <w:szCs w:val="18"/>
              </w:rPr>
            </w:pPr>
            <w:r w:rsidRPr="001D41EA">
              <w:rPr>
                <w:rFonts w:cs="Arial"/>
                <w:sz w:val="18"/>
                <w:szCs w:val="18"/>
              </w:rPr>
              <w:t>0.884</w:t>
            </w:r>
          </w:p>
        </w:tc>
        <w:tc>
          <w:tcPr>
            <w:tcW w:w="170" w:type="dxa"/>
            <w:tcBorders>
              <w:top w:val="nil"/>
              <w:left w:val="nil"/>
              <w:bottom w:val="nil"/>
              <w:right w:val="nil"/>
            </w:tcBorders>
            <w:vAlign w:val="bottom"/>
          </w:tcPr>
          <w:p w14:paraId="305B1DEE" w14:textId="5978B26B"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3297F613" w14:textId="0DB30853" w:rsidR="00566EA9" w:rsidRPr="001D41EA" w:rsidRDefault="00566EA9" w:rsidP="001D41EA">
            <w:pPr>
              <w:spacing w:before="40" w:after="40"/>
              <w:jc w:val="center"/>
              <w:rPr>
                <w:rFonts w:cs="Arial"/>
                <w:sz w:val="18"/>
                <w:szCs w:val="18"/>
              </w:rPr>
            </w:pPr>
            <w:r w:rsidRPr="001D41EA">
              <w:rPr>
                <w:rFonts w:cs="Arial"/>
                <w:sz w:val="18"/>
                <w:szCs w:val="18"/>
              </w:rPr>
              <w:t>1.033</w:t>
            </w:r>
          </w:p>
        </w:tc>
      </w:tr>
      <w:tr w:rsidR="00566EA9" w:rsidRPr="001D41EA" w14:paraId="0308A19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5379D3A" w14:textId="77777777" w:rsidR="00566EA9" w:rsidRPr="001D41EA" w:rsidRDefault="00566EA9" w:rsidP="001D41EA">
            <w:pPr>
              <w:spacing w:before="40" w:after="40"/>
              <w:rPr>
                <w:rFonts w:cs="Arial"/>
                <w:sz w:val="18"/>
                <w:szCs w:val="18"/>
              </w:rPr>
            </w:pPr>
            <w:r w:rsidRPr="001D41EA">
              <w:rPr>
                <w:rFonts w:cs="Arial"/>
                <w:sz w:val="18"/>
                <w:szCs w:val="18"/>
              </w:rPr>
              <w:t>Buloke S</w:t>
            </w:r>
          </w:p>
        </w:tc>
        <w:tc>
          <w:tcPr>
            <w:tcW w:w="1247" w:type="dxa"/>
            <w:tcBorders>
              <w:top w:val="nil"/>
              <w:left w:val="single" w:sz="18" w:space="0" w:color="5F497A" w:themeColor="accent4" w:themeShade="BF"/>
              <w:bottom w:val="nil"/>
              <w:right w:val="nil"/>
            </w:tcBorders>
            <w:shd w:val="clear" w:color="auto" w:fill="auto"/>
            <w:vAlign w:val="bottom"/>
          </w:tcPr>
          <w:p w14:paraId="3197873F" w14:textId="2853038A" w:rsidR="00566EA9" w:rsidRPr="001D41EA" w:rsidRDefault="00566EA9" w:rsidP="001D41EA">
            <w:pPr>
              <w:spacing w:before="40" w:after="40"/>
              <w:jc w:val="center"/>
              <w:rPr>
                <w:rFonts w:cs="Arial"/>
                <w:sz w:val="18"/>
                <w:szCs w:val="18"/>
              </w:rPr>
            </w:pPr>
            <w:r w:rsidRPr="001D41EA">
              <w:rPr>
                <w:rFonts w:cs="Arial"/>
                <w:sz w:val="18"/>
                <w:szCs w:val="18"/>
              </w:rPr>
              <w:t>0.796</w:t>
            </w:r>
          </w:p>
        </w:tc>
        <w:tc>
          <w:tcPr>
            <w:tcW w:w="1247" w:type="dxa"/>
            <w:tcBorders>
              <w:top w:val="nil"/>
              <w:left w:val="nil"/>
              <w:bottom w:val="nil"/>
              <w:right w:val="nil"/>
            </w:tcBorders>
            <w:vAlign w:val="bottom"/>
          </w:tcPr>
          <w:p w14:paraId="297812A3" w14:textId="13BB7F21" w:rsidR="00566EA9" w:rsidRPr="001D41EA" w:rsidRDefault="00566EA9" w:rsidP="001D41EA">
            <w:pPr>
              <w:spacing w:before="40" w:after="40"/>
              <w:jc w:val="center"/>
              <w:rPr>
                <w:rFonts w:cs="Arial"/>
                <w:sz w:val="18"/>
                <w:szCs w:val="18"/>
              </w:rPr>
            </w:pPr>
            <w:r w:rsidRPr="001D41EA">
              <w:rPr>
                <w:rFonts w:cs="Arial"/>
                <w:sz w:val="18"/>
                <w:szCs w:val="18"/>
              </w:rPr>
              <w:t>0.799</w:t>
            </w:r>
          </w:p>
        </w:tc>
        <w:tc>
          <w:tcPr>
            <w:tcW w:w="1247" w:type="dxa"/>
            <w:tcBorders>
              <w:top w:val="nil"/>
              <w:left w:val="nil"/>
              <w:bottom w:val="nil"/>
              <w:right w:val="nil"/>
            </w:tcBorders>
            <w:vAlign w:val="bottom"/>
          </w:tcPr>
          <w:p w14:paraId="1D2C592D" w14:textId="1B08DF18" w:rsidR="00566EA9" w:rsidRPr="001D41EA" w:rsidRDefault="00566EA9" w:rsidP="001D41EA">
            <w:pPr>
              <w:spacing w:before="40" w:after="40"/>
              <w:jc w:val="center"/>
              <w:rPr>
                <w:rFonts w:cs="Arial"/>
                <w:sz w:val="18"/>
                <w:szCs w:val="18"/>
              </w:rPr>
            </w:pPr>
            <w:r w:rsidRPr="001D41EA">
              <w:rPr>
                <w:rFonts w:cs="Arial"/>
                <w:sz w:val="18"/>
                <w:szCs w:val="18"/>
              </w:rPr>
              <w:t>0.797</w:t>
            </w:r>
          </w:p>
        </w:tc>
        <w:tc>
          <w:tcPr>
            <w:tcW w:w="170" w:type="dxa"/>
            <w:tcBorders>
              <w:top w:val="nil"/>
              <w:left w:val="nil"/>
              <w:bottom w:val="nil"/>
              <w:right w:val="nil"/>
            </w:tcBorders>
            <w:vAlign w:val="bottom"/>
          </w:tcPr>
          <w:p w14:paraId="4965CC4B" w14:textId="0661976E"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615B34E2" w14:textId="0693B84B" w:rsidR="00566EA9" w:rsidRPr="001D41EA" w:rsidRDefault="00566EA9" w:rsidP="001D41EA">
            <w:pPr>
              <w:spacing w:before="40" w:after="40"/>
              <w:jc w:val="center"/>
              <w:rPr>
                <w:rFonts w:cs="Arial"/>
                <w:sz w:val="18"/>
                <w:szCs w:val="18"/>
              </w:rPr>
            </w:pPr>
            <w:r w:rsidRPr="001D41EA">
              <w:rPr>
                <w:rFonts w:cs="Arial"/>
                <w:sz w:val="18"/>
                <w:szCs w:val="18"/>
              </w:rPr>
              <w:t>0.750</w:t>
            </w:r>
          </w:p>
        </w:tc>
      </w:tr>
      <w:tr w:rsidR="00566EA9" w:rsidRPr="001D41EA" w14:paraId="7BBE46B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D2AD485" w14:textId="77777777" w:rsidR="00566EA9" w:rsidRPr="001D41EA" w:rsidRDefault="00566EA9" w:rsidP="001D41EA">
            <w:pPr>
              <w:spacing w:before="40" w:after="40"/>
              <w:rPr>
                <w:rFonts w:cs="Arial"/>
                <w:sz w:val="18"/>
                <w:szCs w:val="18"/>
              </w:rPr>
            </w:pPr>
            <w:r w:rsidRPr="001D41EA">
              <w:rPr>
                <w:rFonts w:cs="Arial"/>
                <w:sz w:val="18"/>
                <w:szCs w:val="18"/>
              </w:rPr>
              <w:t>Campaspe S</w:t>
            </w:r>
          </w:p>
        </w:tc>
        <w:tc>
          <w:tcPr>
            <w:tcW w:w="1247" w:type="dxa"/>
            <w:tcBorders>
              <w:top w:val="nil"/>
              <w:left w:val="single" w:sz="18" w:space="0" w:color="5F497A" w:themeColor="accent4" w:themeShade="BF"/>
              <w:bottom w:val="nil"/>
              <w:right w:val="nil"/>
            </w:tcBorders>
            <w:shd w:val="clear" w:color="auto" w:fill="auto"/>
            <w:vAlign w:val="bottom"/>
          </w:tcPr>
          <w:p w14:paraId="6F27EFE5" w14:textId="6C11BB28" w:rsidR="00566EA9" w:rsidRPr="001D41EA" w:rsidRDefault="00566EA9" w:rsidP="001D41EA">
            <w:pPr>
              <w:spacing w:before="40" w:after="40"/>
              <w:jc w:val="center"/>
              <w:rPr>
                <w:rFonts w:cs="Arial"/>
                <w:sz w:val="18"/>
                <w:szCs w:val="18"/>
              </w:rPr>
            </w:pPr>
            <w:r w:rsidRPr="001D41EA">
              <w:rPr>
                <w:rFonts w:cs="Arial"/>
                <w:sz w:val="18"/>
                <w:szCs w:val="18"/>
              </w:rPr>
              <w:t>0.802</w:t>
            </w:r>
          </w:p>
        </w:tc>
        <w:tc>
          <w:tcPr>
            <w:tcW w:w="1247" w:type="dxa"/>
            <w:tcBorders>
              <w:top w:val="nil"/>
              <w:left w:val="nil"/>
              <w:bottom w:val="nil"/>
              <w:right w:val="nil"/>
            </w:tcBorders>
            <w:vAlign w:val="bottom"/>
          </w:tcPr>
          <w:p w14:paraId="1F837C7D" w14:textId="7F45EA49" w:rsidR="00566EA9" w:rsidRPr="001D41EA" w:rsidRDefault="00566EA9" w:rsidP="001D41EA">
            <w:pPr>
              <w:spacing w:before="40" w:after="40"/>
              <w:jc w:val="center"/>
              <w:rPr>
                <w:rFonts w:cs="Arial"/>
                <w:sz w:val="18"/>
                <w:szCs w:val="18"/>
              </w:rPr>
            </w:pPr>
            <w:r w:rsidRPr="001D41EA">
              <w:rPr>
                <w:rFonts w:cs="Arial"/>
                <w:sz w:val="18"/>
                <w:szCs w:val="18"/>
              </w:rPr>
              <w:t>0.805</w:t>
            </w:r>
          </w:p>
        </w:tc>
        <w:tc>
          <w:tcPr>
            <w:tcW w:w="1247" w:type="dxa"/>
            <w:tcBorders>
              <w:top w:val="nil"/>
              <w:left w:val="nil"/>
              <w:bottom w:val="nil"/>
              <w:right w:val="nil"/>
            </w:tcBorders>
            <w:vAlign w:val="bottom"/>
          </w:tcPr>
          <w:p w14:paraId="6A2B2597" w14:textId="3839DCFE" w:rsidR="00566EA9" w:rsidRPr="001D41EA" w:rsidRDefault="00566EA9" w:rsidP="001D41EA">
            <w:pPr>
              <w:spacing w:before="40" w:after="40"/>
              <w:jc w:val="center"/>
              <w:rPr>
                <w:rFonts w:cs="Arial"/>
                <w:sz w:val="18"/>
                <w:szCs w:val="18"/>
              </w:rPr>
            </w:pPr>
            <w:r w:rsidRPr="001D41EA">
              <w:rPr>
                <w:rFonts w:cs="Arial"/>
                <w:sz w:val="18"/>
                <w:szCs w:val="18"/>
              </w:rPr>
              <w:t>0.802</w:t>
            </w:r>
          </w:p>
        </w:tc>
        <w:tc>
          <w:tcPr>
            <w:tcW w:w="170" w:type="dxa"/>
            <w:tcBorders>
              <w:top w:val="nil"/>
              <w:left w:val="nil"/>
              <w:bottom w:val="nil"/>
              <w:right w:val="nil"/>
            </w:tcBorders>
            <w:vAlign w:val="bottom"/>
          </w:tcPr>
          <w:p w14:paraId="144E065F" w14:textId="68FB014B"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10572F4D" w14:textId="0CCCA0B6" w:rsidR="00566EA9" w:rsidRPr="001D41EA" w:rsidRDefault="00566EA9" w:rsidP="001D41EA">
            <w:pPr>
              <w:spacing w:before="40" w:after="40"/>
              <w:jc w:val="center"/>
              <w:rPr>
                <w:rFonts w:cs="Arial"/>
                <w:sz w:val="18"/>
                <w:szCs w:val="18"/>
              </w:rPr>
            </w:pPr>
            <w:r w:rsidRPr="001D41EA">
              <w:rPr>
                <w:rFonts w:cs="Arial"/>
                <w:sz w:val="18"/>
                <w:szCs w:val="18"/>
              </w:rPr>
              <w:t>0.921</w:t>
            </w:r>
          </w:p>
        </w:tc>
      </w:tr>
      <w:tr w:rsidR="00566EA9" w:rsidRPr="001D41EA" w14:paraId="51FE9F5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DAB6E43" w14:textId="77777777" w:rsidR="00566EA9" w:rsidRPr="001D41EA" w:rsidRDefault="00566EA9" w:rsidP="001D41EA">
            <w:pPr>
              <w:spacing w:before="40" w:after="40"/>
              <w:rPr>
                <w:rFonts w:cs="Arial"/>
                <w:sz w:val="18"/>
                <w:szCs w:val="18"/>
              </w:rPr>
            </w:pPr>
            <w:r w:rsidRPr="001D41EA">
              <w:rPr>
                <w:rFonts w:cs="Arial"/>
                <w:sz w:val="18"/>
                <w:szCs w:val="18"/>
              </w:rPr>
              <w:t>Cardinia S</w:t>
            </w:r>
          </w:p>
        </w:tc>
        <w:tc>
          <w:tcPr>
            <w:tcW w:w="1247" w:type="dxa"/>
            <w:tcBorders>
              <w:top w:val="nil"/>
              <w:left w:val="single" w:sz="18" w:space="0" w:color="5F497A" w:themeColor="accent4" w:themeShade="BF"/>
              <w:bottom w:val="nil"/>
              <w:right w:val="nil"/>
            </w:tcBorders>
            <w:shd w:val="clear" w:color="auto" w:fill="auto"/>
            <w:vAlign w:val="bottom"/>
          </w:tcPr>
          <w:p w14:paraId="44B1D861" w14:textId="213E104E" w:rsidR="00566EA9" w:rsidRPr="001D41EA" w:rsidRDefault="00566EA9" w:rsidP="001D41EA">
            <w:pPr>
              <w:spacing w:before="40" w:after="40"/>
              <w:jc w:val="center"/>
              <w:rPr>
                <w:rFonts w:cs="Arial"/>
                <w:sz w:val="18"/>
                <w:szCs w:val="18"/>
              </w:rPr>
            </w:pPr>
            <w:r w:rsidRPr="001D41EA">
              <w:rPr>
                <w:rFonts w:cs="Arial"/>
                <w:sz w:val="18"/>
                <w:szCs w:val="18"/>
              </w:rPr>
              <w:t>1.269</w:t>
            </w:r>
          </w:p>
        </w:tc>
        <w:tc>
          <w:tcPr>
            <w:tcW w:w="1247" w:type="dxa"/>
            <w:tcBorders>
              <w:top w:val="nil"/>
              <w:left w:val="nil"/>
              <w:bottom w:val="nil"/>
              <w:right w:val="nil"/>
            </w:tcBorders>
            <w:vAlign w:val="bottom"/>
          </w:tcPr>
          <w:p w14:paraId="77960707" w14:textId="65043DED" w:rsidR="00566EA9" w:rsidRPr="001D41EA" w:rsidRDefault="00566EA9" w:rsidP="001D41EA">
            <w:pPr>
              <w:spacing w:before="40" w:after="40"/>
              <w:jc w:val="center"/>
              <w:rPr>
                <w:rFonts w:cs="Arial"/>
                <w:sz w:val="18"/>
                <w:szCs w:val="18"/>
              </w:rPr>
            </w:pPr>
            <w:r w:rsidRPr="001D41EA">
              <w:rPr>
                <w:rFonts w:cs="Arial"/>
                <w:sz w:val="18"/>
                <w:szCs w:val="18"/>
              </w:rPr>
              <w:t>1.273</w:t>
            </w:r>
          </w:p>
        </w:tc>
        <w:tc>
          <w:tcPr>
            <w:tcW w:w="1247" w:type="dxa"/>
            <w:tcBorders>
              <w:top w:val="nil"/>
              <w:left w:val="nil"/>
              <w:bottom w:val="nil"/>
              <w:right w:val="nil"/>
            </w:tcBorders>
            <w:vAlign w:val="bottom"/>
          </w:tcPr>
          <w:p w14:paraId="75C6EB7C" w14:textId="6EC892C6" w:rsidR="00566EA9" w:rsidRPr="001D41EA" w:rsidRDefault="00566EA9" w:rsidP="001D41EA">
            <w:pPr>
              <w:spacing w:before="40" w:after="40"/>
              <w:jc w:val="center"/>
              <w:rPr>
                <w:rFonts w:cs="Arial"/>
                <w:sz w:val="18"/>
                <w:szCs w:val="18"/>
              </w:rPr>
            </w:pPr>
            <w:r w:rsidRPr="001D41EA">
              <w:rPr>
                <w:rFonts w:cs="Arial"/>
                <w:sz w:val="18"/>
                <w:szCs w:val="18"/>
              </w:rPr>
              <w:t>1.269</w:t>
            </w:r>
          </w:p>
        </w:tc>
        <w:tc>
          <w:tcPr>
            <w:tcW w:w="170" w:type="dxa"/>
            <w:tcBorders>
              <w:top w:val="nil"/>
              <w:left w:val="nil"/>
              <w:bottom w:val="nil"/>
              <w:right w:val="nil"/>
            </w:tcBorders>
            <w:vAlign w:val="bottom"/>
          </w:tcPr>
          <w:p w14:paraId="6B44E39D" w14:textId="006D8C24"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4CDCE9B5" w14:textId="496B0A09" w:rsidR="00566EA9" w:rsidRPr="001D41EA" w:rsidRDefault="00566EA9" w:rsidP="001D41EA">
            <w:pPr>
              <w:spacing w:before="40" w:after="40"/>
              <w:jc w:val="center"/>
              <w:rPr>
                <w:rFonts w:cs="Arial"/>
                <w:sz w:val="18"/>
                <w:szCs w:val="18"/>
              </w:rPr>
            </w:pPr>
            <w:r w:rsidRPr="001D41EA">
              <w:rPr>
                <w:rFonts w:cs="Arial"/>
                <w:sz w:val="18"/>
                <w:szCs w:val="18"/>
              </w:rPr>
              <w:t>1.258</w:t>
            </w:r>
          </w:p>
        </w:tc>
      </w:tr>
      <w:tr w:rsidR="00566EA9" w:rsidRPr="001D41EA" w14:paraId="625386A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033BD99" w14:textId="77777777" w:rsidR="00566EA9" w:rsidRPr="001D41EA" w:rsidRDefault="00566EA9" w:rsidP="001D41EA">
            <w:pPr>
              <w:spacing w:before="40" w:after="40"/>
              <w:rPr>
                <w:rFonts w:cs="Arial"/>
                <w:sz w:val="18"/>
                <w:szCs w:val="18"/>
              </w:rPr>
            </w:pPr>
            <w:r w:rsidRPr="001D41EA">
              <w:rPr>
                <w:rFonts w:cs="Arial"/>
                <w:sz w:val="18"/>
                <w:szCs w:val="18"/>
              </w:rPr>
              <w:t>Casey C</w:t>
            </w:r>
          </w:p>
        </w:tc>
        <w:tc>
          <w:tcPr>
            <w:tcW w:w="1247" w:type="dxa"/>
            <w:tcBorders>
              <w:top w:val="nil"/>
              <w:left w:val="single" w:sz="18" w:space="0" w:color="5F497A" w:themeColor="accent4" w:themeShade="BF"/>
              <w:bottom w:val="nil"/>
              <w:right w:val="nil"/>
            </w:tcBorders>
            <w:shd w:val="clear" w:color="auto" w:fill="auto"/>
            <w:vAlign w:val="bottom"/>
          </w:tcPr>
          <w:p w14:paraId="4BFD6D20" w14:textId="2A6CDE54" w:rsidR="00566EA9" w:rsidRPr="001D41EA" w:rsidRDefault="00566EA9" w:rsidP="001D41EA">
            <w:pPr>
              <w:spacing w:before="40" w:after="40"/>
              <w:jc w:val="center"/>
              <w:rPr>
                <w:rFonts w:cs="Arial"/>
                <w:sz w:val="18"/>
                <w:szCs w:val="18"/>
              </w:rPr>
            </w:pPr>
            <w:r w:rsidRPr="001D41EA">
              <w:rPr>
                <w:rFonts w:cs="Arial"/>
                <w:sz w:val="18"/>
                <w:szCs w:val="18"/>
              </w:rPr>
              <w:t>1.205</w:t>
            </w:r>
          </w:p>
        </w:tc>
        <w:tc>
          <w:tcPr>
            <w:tcW w:w="1247" w:type="dxa"/>
            <w:tcBorders>
              <w:top w:val="nil"/>
              <w:left w:val="nil"/>
              <w:bottom w:val="nil"/>
              <w:right w:val="nil"/>
            </w:tcBorders>
            <w:vAlign w:val="bottom"/>
          </w:tcPr>
          <w:p w14:paraId="63112E04" w14:textId="2D99F4F0" w:rsidR="00566EA9" w:rsidRPr="001D41EA" w:rsidRDefault="00566EA9" w:rsidP="001D41EA">
            <w:pPr>
              <w:spacing w:before="40" w:after="40"/>
              <w:jc w:val="center"/>
              <w:rPr>
                <w:rFonts w:cs="Arial"/>
                <w:sz w:val="18"/>
                <w:szCs w:val="18"/>
              </w:rPr>
            </w:pPr>
            <w:r w:rsidRPr="001D41EA">
              <w:rPr>
                <w:rFonts w:cs="Arial"/>
                <w:sz w:val="18"/>
                <w:szCs w:val="18"/>
              </w:rPr>
              <w:t>1.209</w:t>
            </w:r>
          </w:p>
        </w:tc>
        <w:tc>
          <w:tcPr>
            <w:tcW w:w="1247" w:type="dxa"/>
            <w:tcBorders>
              <w:top w:val="nil"/>
              <w:left w:val="nil"/>
              <w:bottom w:val="nil"/>
              <w:right w:val="nil"/>
            </w:tcBorders>
            <w:vAlign w:val="bottom"/>
          </w:tcPr>
          <w:p w14:paraId="54503698" w14:textId="06566C6A" w:rsidR="00566EA9" w:rsidRPr="001D41EA" w:rsidRDefault="00566EA9" w:rsidP="001D41EA">
            <w:pPr>
              <w:spacing w:before="40" w:after="40"/>
              <w:jc w:val="center"/>
              <w:rPr>
                <w:rFonts w:cs="Arial"/>
                <w:sz w:val="18"/>
                <w:szCs w:val="18"/>
              </w:rPr>
            </w:pPr>
            <w:r w:rsidRPr="001D41EA">
              <w:rPr>
                <w:rFonts w:cs="Arial"/>
                <w:sz w:val="18"/>
                <w:szCs w:val="18"/>
              </w:rPr>
              <w:t>1.206</w:t>
            </w:r>
          </w:p>
        </w:tc>
        <w:tc>
          <w:tcPr>
            <w:tcW w:w="170" w:type="dxa"/>
            <w:tcBorders>
              <w:top w:val="nil"/>
              <w:left w:val="nil"/>
              <w:bottom w:val="nil"/>
              <w:right w:val="nil"/>
            </w:tcBorders>
            <w:vAlign w:val="bottom"/>
          </w:tcPr>
          <w:p w14:paraId="244B5A7C" w14:textId="05A5F828"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79DB04C9" w14:textId="0DB408F2" w:rsidR="00566EA9" w:rsidRPr="001D41EA" w:rsidRDefault="00566EA9" w:rsidP="001D41EA">
            <w:pPr>
              <w:spacing w:before="40" w:after="40"/>
              <w:jc w:val="center"/>
              <w:rPr>
                <w:rFonts w:cs="Arial"/>
                <w:sz w:val="18"/>
                <w:szCs w:val="18"/>
              </w:rPr>
            </w:pPr>
            <w:r w:rsidRPr="001D41EA">
              <w:rPr>
                <w:rFonts w:cs="Arial"/>
                <w:sz w:val="18"/>
                <w:szCs w:val="18"/>
              </w:rPr>
              <w:t>1.213</w:t>
            </w:r>
          </w:p>
        </w:tc>
      </w:tr>
      <w:tr w:rsidR="00566EA9" w:rsidRPr="001D41EA" w14:paraId="18FFE1C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960D92E" w14:textId="77777777" w:rsidR="00566EA9" w:rsidRPr="001D41EA" w:rsidRDefault="00566EA9" w:rsidP="001D41EA">
            <w:pPr>
              <w:spacing w:before="40" w:after="40"/>
              <w:rPr>
                <w:rFonts w:cs="Arial"/>
                <w:sz w:val="18"/>
                <w:szCs w:val="18"/>
              </w:rPr>
            </w:pPr>
            <w:r w:rsidRPr="001D41EA">
              <w:rPr>
                <w:rFonts w:cs="Arial"/>
                <w:sz w:val="18"/>
                <w:szCs w:val="18"/>
              </w:rPr>
              <w:t>Central Goldfields S</w:t>
            </w:r>
          </w:p>
        </w:tc>
        <w:tc>
          <w:tcPr>
            <w:tcW w:w="1247" w:type="dxa"/>
            <w:tcBorders>
              <w:top w:val="nil"/>
              <w:left w:val="single" w:sz="18" w:space="0" w:color="5F497A" w:themeColor="accent4" w:themeShade="BF"/>
              <w:bottom w:val="nil"/>
              <w:right w:val="nil"/>
            </w:tcBorders>
            <w:shd w:val="clear" w:color="auto" w:fill="auto"/>
            <w:vAlign w:val="bottom"/>
          </w:tcPr>
          <w:p w14:paraId="53789BDE" w14:textId="4EC7F56B" w:rsidR="00566EA9" w:rsidRPr="001D41EA" w:rsidRDefault="00566EA9" w:rsidP="001D41EA">
            <w:pPr>
              <w:spacing w:before="40" w:after="40"/>
              <w:jc w:val="center"/>
              <w:rPr>
                <w:rFonts w:cs="Arial"/>
                <w:sz w:val="18"/>
                <w:szCs w:val="18"/>
              </w:rPr>
            </w:pPr>
            <w:r w:rsidRPr="001D41EA">
              <w:rPr>
                <w:rFonts w:cs="Arial"/>
                <w:sz w:val="18"/>
                <w:szCs w:val="18"/>
              </w:rPr>
              <w:t>0.865</w:t>
            </w:r>
          </w:p>
        </w:tc>
        <w:tc>
          <w:tcPr>
            <w:tcW w:w="1247" w:type="dxa"/>
            <w:tcBorders>
              <w:top w:val="nil"/>
              <w:left w:val="nil"/>
              <w:bottom w:val="nil"/>
              <w:right w:val="nil"/>
            </w:tcBorders>
            <w:vAlign w:val="bottom"/>
          </w:tcPr>
          <w:p w14:paraId="394EBF19" w14:textId="681EEAFA" w:rsidR="00566EA9" w:rsidRPr="001D41EA" w:rsidRDefault="00566EA9" w:rsidP="001D41EA">
            <w:pPr>
              <w:spacing w:before="40" w:after="40"/>
              <w:jc w:val="center"/>
              <w:rPr>
                <w:rFonts w:cs="Arial"/>
                <w:sz w:val="18"/>
                <w:szCs w:val="18"/>
              </w:rPr>
            </w:pPr>
            <w:r w:rsidRPr="001D41EA">
              <w:rPr>
                <w:rFonts w:cs="Arial"/>
                <w:sz w:val="18"/>
                <w:szCs w:val="18"/>
              </w:rPr>
              <w:t>0.868</w:t>
            </w:r>
          </w:p>
        </w:tc>
        <w:tc>
          <w:tcPr>
            <w:tcW w:w="1247" w:type="dxa"/>
            <w:tcBorders>
              <w:top w:val="nil"/>
              <w:left w:val="nil"/>
              <w:bottom w:val="nil"/>
              <w:right w:val="nil"/>
            </w:tcBorders>
            <w:vAlign w:val="bottom"/>
          </w:tcPr>
          <w:p w14:paraId="55006B8A" w14:textId="05296240" w:rsidR="00566EA9" w:rsidRPr="001D41EA" w:rsidRDefault="00566EA9" w:rsidP="001D41EA">
            <w:pPr>
              <w:spacing w:before="40" w:after="40"/>
              <w:jc w:val="center"/>
              <w:rPr>
                <w:rFonts w:cs="Arial"/>
                <w:sz w:val="18"/>
                <w:szCs w:val="18"/>
              </w:rPr>
            </w:pPr>
            <w:r w:rsidRPr="001D41EA">
              <w:rPr>
                <w:rFonts w:cs="Arial"/>
                <w:sz w:val="18"/>
                <w:szCs w:val="18"/>
              </w:rPr>
              <w:t>0.865</w:t>
            </w:r>
          </w:p>
        </w:tc>
        <w:tc>
          <w:tcPr>
            <w:tcW w:w="170" w:type="dxa"/>
            <w:tcBorders>
              <w:top w:val="nil"/>
              <w:left w:val="nil"/>
              <w:bottom w:val="nil"/>
              <w:right w:val="nil"/>
            </w:tcBorders>
            <w:vAlign w:val="bottom"/>
          </w:tcPr>
          <w:p w14:paraId="0C2A6973" w14:textId="4B2DB70D"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521C0BDC" w14:textId="779A41D2" w:rsidR="00566EA9" w:rsidRPr="001D41EA" w:rsidRDefault="00566EA9" w:rsidP="001D41EA">
            <w:pPr>
              <w:spacing w:before="40" w:after="40"/>
              <w:jc w:val="center"/>
              <w:rPr>
                <w:rFonts w:cs="Arial"/>
                <w:sz w:val="18"/>
                <w:szCs w:val="18"/>
              </w:rPr>
            </w:pPr>
            <w:r w:rsidRPr="001D41EA">
              <w:rPr>
                <w:rFonts w:cs="Arial"/>
                <w:sz w:val="18"/>
                <w:szCs w:val="18"/>
              </w:rPr>
              <w:t>0.809</w:t>
            </w:r>
          </w:p>
        </w:tc>
      </w:tr>
      <w:tr w:rsidR="00566EA9" w:rsidRPr="001D41EA" w14:paraId="73223E5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B851D28" w14:textId="77777777" w:rsidR="00566EA9" w:rsidRPr="001D41EA" w:rsidRDefault="00566EA9" w:rsidP="001D41EA">
            <w:pPr>
              <w:spacing w:before="40" w:after="40"/>
              <w:rPr>
                <w:rFonts w:cs="Arial"/>
                <w:sz w:val="18"/>
                <w:szCs w:val="18"/>
              </w:rPr>
            </w:pPr>
            <w:r w:rsidRPr="001D41EA">
              <w:rPr>
                <w:rFonts w:cs="Arial"/>
                <w:sz w:val="18"/>
                <w:szCs w:val="18"/>
              </w:rPr>
              <w:t>Colac Otway S</w:t>
            </w:r>
          </w:p>
        </w:tc>
        <w:tc>
          <w:tcPr>
            <w:tcW w:w="1247" w:type="dxa"/>
            <w:tcBorders>
              <w:top w:val="nil"/>
              <w:left w:val="single" w:sz="18" w:space="0" w:color="5F497A" w:themeColor="accent4" w:themeShade="BF"/>
              <w:bottom w:val="nil"/>
              <w:right w:val="nil"/>
            </w:tcBorders>
            <w:shd w:val="clear" w:color="auto" w:fill="auto"/>
            <w:vAlign w:val="bottom"/>
          </w:tcPr>
          <w:p w14:paraId="2CBC5229" w14:textId="73DC0B13" w:rsidR="00566EA9" w:rsidRPr="001D41EA" w:rsidRDefault="00566EA9" w:rsidP="001D41EA">
            <w:pPr>
              <w:spacing w:before="40" w:after="40"/>
              <w:jc w:val="center"/>
              <w:rPr>
                <w:rFonts w:cs="Arial"/>
                <w:sz w:val="18"/>
                <w:szCs w:val="18"/>
              </w:rPr>
            </w:pPr>
            <w:r w:rsidRPr="001D41EA">
              <w:rPr>
                <w:rFonts w:cs="Arial"/>
                <w:sz w:val="18"/>
                <w:szCs w:val="18"/>
              </w:rPr>
              <w:t>0.867</w:t>
            </w:r>
          </w:p>
        </w:tc>
        <w:tc>
          <w:tcPr>
            <w:tcW w:w="1247" w:type="dxa"/>
            <w:tcBorders>
              <w:top w:val="nil"/>
              <w:left w:val="nil"/>
              <w:bottom w:val="nil"/>
              <w:right w:val="nil"/>
            </w:tcBorders>
            <w:vAlign w:val="bottom"/>
          </w:tcPr>
          <w:p w14:paraId="07DB12B7" w14:textId="5BA1C66C" w:rsidR="00566EA9" w:rsidRPr="001D41EA" w:rsidRDefault="00566EA9" w:rsidP="001D41EA">
            <w:pPr>
              <w:spacing w:before="40" w:after="40"/>
              <w:jc w:val="center"/>
              <w:rPr>
                <w:rFonts w:cs="Arial"/>
                <w:sz w:val="18"/>
                <w:szCs w:val="18"/>
              </w:rPr>
            </w:pPr>
            <w:r w:rsidRPr="001D41EA">
              <w:rPr>
                <w:rFonts w:cs="Arial"/>
                <w:sz w:val="18"/>
                <w:szCs w:val="18"/>
              </w:rPr>
              <w:t>0.870</w:t>
            </w:r>
          </w:p>
        </w:tc>
        <w:tc>
          <w:tcPr>
            <w:tcW w:w="1247" w:type="dxa"/>
            <w:tcBorders>
              <w:top w:val="nil"/>
              <w:left w:val="nil"/>
              <w:bottom w:val="nil"/>
              <w:right w:val="nil"/>
            </w:tcBorders>
            <w:vAlign w:val="bottom"/>
          </w:tcPr>
          <w:p w14:paraId="4FA8C570" w14:textId="6845F413" w:rsidR="00566EA9" w:rsidRPr="001D41EA" w:rsidRDefault="00566EA9" w:rsidP="001D41EA">
            <w:pPr>
              <w:spacing w:before="40" w:after="40"/>
              <w:jc w:val="center"/>
              <w:rPr>
                <w:rFonts w:cs="Arial"/>
                <w:sz w:val="18"/>
                <w:szCs w:val="18"/>
              </w:rPr>
            </w:pPr>
            <w:r w:rsidRPr="001D41EA">
              <w:rPr>
                <w:rFonts w:cs="Arial"/>
                <w:sz w:val="18"/>
                <w:szCs w:val="18"/>
              </w:rPr>
              <w:t>0.868</w:t>
            </w:r>
          </w:p>
        </w:tc>
        <w:tc>
          <w:tcPr>
            <w:tcW w:w="170" w:type="dxa"/>
            <w:tcBorders>
              <w:top w:val="nil"/>
              <w:left w:val="nil"/>
              <w:bottom w:val="nil"/>
              <w:right w:val="nil"/>
            </w:tcBorders>
            <w:vAlign w:val="bottom"/>
          </w:tcPr>
          <w:p w14:paraId="18AB2BA9" w14:textId="33D44C9E"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79B6C14A" w14:textId="5759062A" w:rsidR="00566EA9" w:rsidRPr="001D41EA" w:rsidRDefault="00566EA9" w:rsidP="001D41EA">
            <w:pPr>
              <w:spacing w:before="40" w:after="40"/>
              <w:jc w:val="center"/>
              <w:rPr>
                <w:rFonts w:cs="Arial"/>
                <w:sz w:val="18"/>
                <w:szCs w:val="18"/>
              </w:rPr>
            </w:pPr>
            <w:r w:rsidRPr="001D41EA">
              <w:rPr>
                <w:rFonts w:cs="Arial"/>
                <w:sz w:val="18"/>
                <w:szCs w:val="18"/>
              </w:rPr>
              <w:t>0.923</w:t>
            </w:r>
          </w:p>
        </w:tc>
      </w:tr>
      <w:tr w:rsidR="00566EA9" w:rsidRPr="001D41EA" w14:paraId="30A5AAE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3BECFF3" w14:textId="77777777" w:rsidR="00566EA9" w:rsidRPr="001D41EA" w:rsidRDefault="00566EA9" w:rsidP="001D41EA">
            <w:pPr>
              <w:spacing w:before="40" w:after="40"/>
              <w:rPr>
                <w:rFonts w:cs="Arial"/>
                <w:sz w:val="18"/>
                <w:szCs w:val="18"/>
              </w:rPr>
            </w:pPr>
            <w:r w:rsidRPr="001D41EA">
              <w:rPr>
                <w:rFonts w:cs="Arial"/>
                <w:sz w:val="18"/>
                <w:szCs w:val="18"/>
              </w:rPr>
              <w:t>Corangamite S</w:t>
            </w:r>
          </w:p>
        </w:tc>
        <w:tc>
          <w:tcPr>
            <w:tcW w:w="1247" w:type="dxa"/>
            <w:tcBorders>
              <w:top w:val="nil"/>
              <w:left w:val="single" w:sz="18" w:space="0" w:color="5F497A" w:themeColor="accent4" w:themeShade="BF"/>
              <w:bottom w:val="nil"/>
              <w:right w:val="nil"/>
            </w:tcBorders>
            <w:shd w:val="clear" w:color="auto" w:fill="auto"/>
            <w:vAlign w:val="bottom"/>
          </w:tcPr>
          <w:p w14:paraId="4A3C5B3E" w14:textId="0D4E5EDD" w:rsidR="00566EA9" w:rsidRPr="001D41EA" w:rsidRDefault="00566EA9" w:rsidP="001D41EA">
            <w:pPr>
              <w:spacing w:before="40" w:after="40"/>
              <w:jc w:val="center"/>
              <w:rPr>
                <w:rFonts w:cs="Arial"/>
                <w:sz w:val="18"/>
                <w:szCs w:val="18"/>
              </w:rPr>
            </w:pPr>
            <w:r w:rsidRPr="001D41EA">
              <w:rPr>
                <w:rFonts w:cs="Arial"/>
                <w:sz w:val="18"/>
                <w:szCs w:val="18"/>
              </w:rPr>
              <w:t>0.790</w:t>
            </w:r>
          </w:p>
        </w:tc>
        <w:tc>
          <w:tcPr>
            <w:tcW w:w="1247" w:type="dxa"/>
            <w:tcBorders>
              <w:top w:val="nil"/>
              <w:left w:val="nil"/>
              <w:bottom w:val="nil"/>
              <w:right w:val="nil"/>
            </w:tcBorders>
            <w:vAlign w:val="bottom"/>
          </w:tcPr>
          <w:p w14:paraId="41D25760" w14:textId="129A0374" w:rsidR="00566EA9" w:rsidRPr="001D41EA" w:rsidRDefault="00566EA9" w:rsidP="001D41EA">
            <w:pPr>
              <w:spacing w:before="40" w:after="40"/>
              <w:jc w:val="center"/>
              <w:rPr>
                <w:rFonts w:cs="Arial"/>
                <w:sz w:val="18"/>
                <w:szCs w:val="18"/>
              </w:rPr>
            </w:pPr>
            <w:r w:rsidRPr="001D41EA">
              <w:rPr>
                <w:rFonts w:cs="Arial"/>
                <w:sz w:val="18"/>
                <w:szCs w:val="18"/>
              </w:rPr>
              <w:t>0.793</w:t>
            </w:r>
          </w:p>
        </w:tc>
        <w:tc>
          <w:tcPr>
            <w:tcW w:w="1247" w:type="dxa"/>
            <w:tcBorders>
              <w:top w:val="nil"/>
              <w:left w:val="nil"/>
              <w:bottom w:val="nil"/>
              <w:right w:val="nil"/>
            </w:tcBorders>
            <w:vAlign w:val="bottom"/>
          </w:tcPr>
          <w:p w14:paraId="08853BAF" w14:textId="39833156" w:rsidR="00566EA9" w:rsidRPr="001D41EA" w:rsidRDefault="00566EA9" w:rsidP="001D41EA">
            <w:pPr>
              <w:spacing w:before="40" w:after="40"/>
              <w:jc w:val="center"/>
              <w:rPr>
                <w:rFonts w:cs="Arial"/>
                <w:sz w:val="18"/>
                <w:szCs w:val="18"/>
              </w:rPr>
            </w:pPr>
            <w:r w:rsidRPr="001D41EA">
              <w:rPr>
                <w:rFonts w:cs="Arial"/>
                <w:sz w:val="18"/>
                <w:szCs w:val="18"/>
              </w:rPr>
              <w:t>0.791</w:t>
            </w:r>
          </w:p>
        </w:tc>
        <w:tc>
          <w:tcPr>
            <w:tcW w:w="170" w:type="dxa"/>
            <w:tcBorders>
              <w:top w:val="nil"/>
              <w:left w:val="nil"/>
              <w:bottom w:val="nil"/>
              <w:right w:val="nil"/>
            </w:tcBorders>
            <w:vAlign w:val="bottom"/>
          </w:tcPr>
          <w:p w14:paraId="7A4F5A19" w14:textId="728C0A49"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514073C2" w14:textId="58F94A0A" w:rsidR="00566EA9" w:rsidRPr="001D41EA" w:rsidRDefault="00566EA9" w:rsidP="001D41EA">
            <w:pPr>
              <w:spacing w:before="40" w:after="40"/>
              <w:jc w:val="center"/>
              <w:rPr>
                <w:rFonts w:cs="Arial"/>
                <w:sz w:val="18"/>
                <w:szCs w:val="18"/>
              </w:rPr>
            </w:pPr>
            <w:r w:rsidRPr="001D41EA">
              <w:rPr>
                <w:rFonts w:cs="Arial"/>
                <w:sz w:val="18"/>
                <w:szCs w:val="18"/>
              </w:rPr>
              <w:t>0.904</w:t>
            </w:r>
          </w:p>
        </w:tc>
      </w:tr>
      <w:tr w:rsidR="00566EA9" w:rsidRPr="001D41EA" w14:paraId="69B449D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E9B0A95" w14:textId="77777777" w:rsidR="00566EA9" w:rsidRPr="001D41EA" w:rsidRDefault="00566EA9" w:rsidP="001D41EA">
            <w:pPr>
              <w:spacing w:before="40" w:after="40"/>
              <w:rPr>
                <w:rFonts w:cs="Arial"/>
                <w:sz w:val="18"/>
                <w:szCs w:val="18"/>
              </w:rPr>
            </w:pPr>
            <w:r w:rsidRPr="001D41EA">
              <w:rPr>
                <w:rFonts w:cs="Arial"/>
                <w:sz w:val="18"/>
                <w:szCs w:val="18"/>
              </w:rPr>
              <w:t>Darebin C</w:t>
            </w:r>
          </w:p>
        </w:tc>
        <w:tc>
          <w:tcPr>
            <w:tcW w:w="1247" w:type="dxa"/>
            <w:tcBorders>
              <w:top w:val="nil"/>
              <w:left w:val="single" w:sz="18" w:space="0" w:color="5F497A" w:themeColor="accent4" w:themeShade="BF"/>
              <w:bottom w:val="nil"/>
              <w:right w:val="nil"/>
            </w:tcBorders>
            <w:shd w:val="clear" w:color="auto" w:fill="auto"/>
            <w:vAlign w:val="bottom"/>
          </w:tcPr>
          <w:p w14:paraId="7CF1D0B7" w14:textId="6E9A4775" w:rsidR="00566EA9" w:rsidRPr="001D41EA" w:rsidRDefault="00566EA9" w:rsidP="001D41EA">
            <w:pPr>
              <w:spacing w:before="40" w:after="40"/>
              <w:jc w:val="center"/>
              <w:rPr>
                <w:rFonts w:cs="Arial"/>
                <w:sz w:val="18"/>
                <w:szCs w:val="18"/>
              </w:rPr>
            </w:pPr>
            <w:r w:rsidRPr="001D41EA">
              <w:rPr>
                <w:rFonts w:cs="Arial"/>
                <w:sz w:val="18"/>
                <w:szCs w:val="18"/>
              </w:rPr>
              <w:t>0.952</w:t>
            </w:r>
          </w:p>
        </w:tc>
        <w:tc>
          <w:tcPr>
            <w:tcW w:w="1247" w:type="dxa"/>
            <w:tcBorders>
              <w:top w:val="nil"/>
              <w:left w:val="nil"/>
              <w:bottom w:val="nil"/>
              <w:right w:val="nil"/>
            </w:tcBorders>
            <w:vAlign w:val="bottom"/>
          </w:tcPr>
          <w:p w14:paraId="609B560C" w14:textId="2FB44DF0" w:rsidR="00566EA9" w:rsidRPr="001D41EA" w:rsidRDefault="00566EA9" w:rsidP="001D41EA">
            <w:pPr>
              <w:spacing w:before="40" w:after="40"/>
              <w:jc w:val="center"/>
              <w:rPr>
                <w:rFonts w:cs="Arial"/>
                <w:sz w:val="18"/>
                <w:szCs w:val="18"/>
              </w:rPr>
            </w:pPr>
            <w:r w:rsidRPr="001D41EA">
              <w:rPr>
                <w:rFonts w:cs="Arial"/>
                <w:sz w:val="18"/>
                <w:szCs w:val="18"/>
              </w:rPr>
              <w:t>0.955</w:t>
            </w:r>
          </w:p>
        </w:tc>
        <w:tc>
          <w:tcPr>
            <w:tcW w:w="1247" w:type="dxa"/>
            <w:tcBorders>
              <w:top w:val="nil"/>
              <w:left w:val="nil"/>
              <w:bottom w:val="nil"/>
              <w:right w:val="nil"/>
            </w:tcBorders>
            <w:vAlign w:val="bottom"/>
          </w:tcPr>
          <w:p w14:paraId="63E0ED78" w14:textId="331EC289" w:rsidR="00566EA9" w:rsidRPr="001D41EA" w:rsidRDefault="00566EA9" w:rsidP="001D41EA">
            <w:pPr>
              <w:spacing w:before="40" w:after="40"/>
              <w:jc w:val="center"/>
              <w:rPr>
                <w:rFonts w:cs="Arial"/>
                <w:sz w:val="18"/>
                <w:szCs w:val="18"/>
              </w:rPr>
            </w:pPr>
            <w:r w:rsidRPr="001D41EA">
              <w:rPr>
                <w:rFonts w:cs="Arial"/>
                <w:sz w:val="18"/>
                <w:szCs w:val="18"/>
              </w:rPr>
              <w:t>0.952</w:t>
            </w:r>
          </w:p>
        </w:tc>
        <w:tc>
          <w:tcPr>
            <w:tcW w:w="170" w:type="dxa"/>
            <w:tcBorders>
              <w:top w:val="nil"/>
              <w:left w:val="nil"/>
              <w:bottom w:val="nil"/>
              <w:right w:val="nil"/>
            </w:tcBorders>
            <w:vAlign w:val="bottom"/>
          </w:tcPr>
          <w:p w14:paraId="47031180" w14:textId="017377E7"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5BC32D78" w14:textId="7EDFFA4D" w:rsidR="00566EA9" w:rsidRPr="001D41EA" w:rsidRDefault="00566EA9" w:rsidP="001D41EA">
            <w:pPr>
              <w:spacing w:before="40" w:after="40"/>
              <w:jc w:val="center"/>
              <w:rPr>
                <w:rFonts w:cs="Arial"/>
                <w:sz w:val="18"/>
                <w:szCs w:val="18"/>
              </w:rPr>
            </w:pPr>
            <w:r w:rsidRPr="001D41EA">
              <w:rPr>
                <w:rFonts w:cs="Arial"/>
                <w:sz w:val="18"/>
                <w:szCs w:val="18"/>
              </w:rPr>
              <w:t>0.943</w:t>
            </w:r>
          </w:p>
        </w:tc>
      </w:tr>
      <w:tr w:rsidR="00566EA9" w:rsidRPr="001D41EA" w14:paraId="6F7B799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4823AAA" w14:textId="77777777" w:rsidR="00566EA9" w:rsidRPr="001D41EA" w:rsidRDefault="00566EA9" w:rsidP="001D41EA">
            <w:pPr>
              <w:spacing w:before="40" w:after="40"/>
              <w:rPr>
                <w:rFonts w:cs="Arial"/>
                <w:sz w:val="18"/>
                <w:szCs w:val="18"/>
              </w:rPr>
            </w:pPr>
            <w:r w:rsidRPr="001D41EA">
              <w:rPr>
                <w:rFonts w:cs="Arial"/>
                <w:sz w:val="18"/>
                <w:szCs w:val="18"/>
              </w:rPr>
              <w:t>East Gippsland S</w:t>
            </w:r>
          </w:p>
        </w:tc>
        <w:tc>
          <w:tcPr>
            <w:tcW w:w="1247" w:type="dxa"/>
            <w:tcBorders>
              <w:top w:val="nil"/>
              <w:left w:val="single" w:sz="18" w:space="0" w:color="5F497A" w:themeColor="accent4" w:themeShade="BF"/>
              <w:bottom w:val="nil"/>
              <w:right w:val="nil"/>
            </w:tcBorders>
            <w:shd w:val="clear" w:color="auto" w:fill="auto"/>
            <w:vAlign w:val="bottom"/>
          </w:tcPr>
          <w:p w14:paraId="53115902" w14:textId="71925175" w:rsidR="00566EA9" w:rsidRPr="001D41EA" w:rsidRDefault="00566EA9" w:rsidP="001D41EA">
            <w:pPr>
              <w:spacing w:before="40" w:after="40"/>
              <w:jc w:val="center"/>
              <w:rPr>
                <w:rFonts w:cs="Arial"/>
                <w:sz w:val="18"/>
                <w:szCs w:val="18"/>
              </w:rPr>
            </w:pPr>
            <w:r w:rsidRPr="001D41EA">
              <w:rPr>
                <w:rFonts w:cs="Arial"/>
                <w:sz w:val="18"/>
                <w:szCs w:val="18"/>
              </w:rPr>
              <w:t>0.918</w:t>
            </w:r>
          </w:p>
        </w:tc>
        <w:tc>
          <w:tcPr>
            <w:tcW w:w="1247" w:type="dxa"/>
            <w:tcBorders>
              <w:top w:val="nil"/>
              <w:left w:val="nil"/>
              <w:bottom w:val="nil"/>
              <w:right w:val="nil"/>
            </w:tcBorders>
            <w:vAlign w:val="bottom"/>
          </w:tcPr>
          <w:p w14:paraId="50DAEF0A" w14:textId="154BEE84" w:rsidR="00566EA9" w:rsidRPr="001D41EA" w:rsidRDefault="00566EA9" w:rsidP="001D41EA">
            <w:pPr>
              <w:spacing w:before="40" w:after="40"/>
              <w:jc w:val="center"/>
              <w:rPr>
                <w:rFonts w:cs="Arial"/>
                <w:sz w:val="18"/>
                <w:szCs w:val="18"/>
              </w:rPr>
            </w:pPr>
            <w:r w:rsidRPr="001D41EA">
              <w:rPr>
                <w:rFonts w:cs="Arial"/>
                <w:sz w:val="18"/>
                <w:szCs w:val="18"/>
              </w:rPr>
              <w:t>0.921</w:t>
            </w:r>
          </w:p>
        </w:tc>
        <w:tc>
          <w:tcPr>
            <w:tcW w:w="1247" w:type="dxa"/>
            <w:tcBorders>
              <w:top w:val="nil"/>
              <w:left w:val="nil"/>
              <w:bottom w:val="nil"/>
              <w:right w:val="nil"/>
            </w:tcBorders>
            <w:vAlign w:val="bottom"/>
          </w:tcPr>
          <w:p w14:paraId="5B9085FB" w14:textId="1D09FEEB" w:rsidR="00566EA9" w:rsidRPr="001D41EA" w:rsidRDefault="00566EA9" w:rsidP="001D41EA">
            <w:pPr>
              <w:spacing w:before="40" w:after="40"/>
              <w:jc w:val="center"/>
              <w:rPr>
                <w:rFonts w:cs="Arial"/>
                <w:sz w:val="18"/>
                <w:szCs w:val="18"/>
              </w:rPr>
            </w:pPr>
            <w:r w:rsidRPr="001D41EA">
              <w:rPr>
                <w:rFonts w:cs="Arial"/>
                <w:sz w:val="18"/>
                <w:szCs w:val="18"/>
              </w:rPr>
              <w:t>0.919</w:t>
            </w:r>
          </w:p>
        </w:tc>
        <w:tc>
          <w:tcPr>
            <w:tcW w:w="170" w:type="dxa"/>
            <w:tcBorders>
              <w:top w:val="nil"/>
              <w:left w:val="nil"/>
              <w:bottom w:val="nil"/>
              <w:right w:val="nil"/>
            </w:tcBorders>
            <w:vAlign w:val="bottom"/>
          </w:tcPr>
          <w:p w14:paraId="5270C95F" w14:textId="45CB8341"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4BEA1D86" w14:textId="4A75C68F" w:rsidR="00566EA9" w:rsidRPr="001D41EA" w:rsidRDefault="00566EA9" w:rsidP="001D41EA">
            <w:pPr>
              <w:spacing w:before="40" w:after="40"/>
              <w:jc w:val="center"/>
              <w:rPr>
                <w:rFonts w:cs="Arial"/>
                <w:sz w:val="18"/>
                <w:szCs w:val="18"/>
              </w:rPr>
            </w:pPr>
            <w:r w:rsidRPr="001D41EA">
              <w:rPr>
                <w:rFonts w:cs="Arial"/>
                <w:sz w:val="18"/>
                <w:szCs w:val="18"/>
              </w:rPr>
              <w:t>0.857</w:t>
            </w:r>
          </w:p>
        </w:tc>
      </w:tr>
      <w:tr w:rsidR="00566EA9" w:rsidRPr="001D41EA" w14:paraId="7AE9C77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EF5775D" w14:textId="77777777" w:rsidR="00566EA9" w:rsidRPr="001D41EA" w:rsidRDefault="00566EA9" w:rsidP="001D41EA">
            <w:pPr>
              <w:spacing w:before="40" w:after="40"/>
              <w:rPr>
                <w:rFonts w:cs="Arial"/>
                <w:sz w:val="18"/>
                <w:szCs w:val="18"/>
              </w:rPr>
            </w:pPr>
            <w:r w:rsidRPr="001D41EA">
              <w:rPr>
                <w:rFonts w:cs="Arial"/>
                <w:sz w:val="18"/>
                <w:szCs w:val="18"/>
              </w:rPr>
              <w:t>Frankston C</w:t>
            </w:r>
          </w:p>
        </w:tc>
        <w:tc>
          <w:tcPr>
            <w:tcW w:w="1247" w:type="dxa"/>
            <w:tcBorders>
              <w:top w:val="nil"/>
              <w:left w:val="single" w:sz="18" w:space="0" w:color="5F497A" w:themeColor="accent4" w:themeShade="BF"/>
              <w:bottom w:val="nil"/>
              <w:right w:val="nil"/>
            </w:tcBorders>
            <w:shd w:val="clear" w:color="auto" w:fill="auto"/>
            <w:vAlign w:val="bottom"/>
          </w:tcPr>
          <w:p w14:paraId="59F12A63" w14:textId="234F4740" w:rsidR="00566EA9" w:rsidRPr="001D41EA" w:rsidRDefault="00566EA9" w:rsidP="001D41EA">
            <w:pPr>
              <w:spacing w:before="40" w:after="40"/>
              <w:jc w:val="center"/>
              <w:rPr>
                <w:rFonts w:cs="Arial"/>
                <w:sz w:val="18"/>
                <w:szCs w:val="18"/>
              </w:rPr>
            </w:pPr>
            <w:r w:rsidRPr="001D41EA">
              <w:rPr>
                <w:rFonts w:cs="Arial"/>
                <w:sz w:val="18"/>
                <w:szCs w:val="18"/>
              </w:rPr>
              <w:t>0.873</w:t>
            </w:r>
          </w:p>
        </w:tc>
        <w:tc>
          <w:tcPr>
            <w:tcW w:w="1247" w:type="dxa"/>
            <w:tcBorders>
              <w:top w:val="nil"/>
              <w:left w:val="nil"/>
              <w:bottom w:val="nil"/>
              <w:right w:val="nil"/>
            </w:tcBorders>
            <w:vAlign w:val="bottom"/>
          </w:tcPr>
          <w:p w14:paraId="025C532E" w14:textId="336D19EC" w:rsidR="00566EA9" w:rsidRPr="001D41EA" w:rsidRDefault="00566EA9" w:rsidP="001D41EA">
            <w:pPr>
              <w:spacing w:before="40" w:after="40"/>
              <w:jc w:val="center"/>
              <w:rPr>
                <w:rFonts w:cs="Arial"/>
                <w:sz w:val="18"/>
                <w:szCs w:val="18"/>
              </w:rPr>
            </w:pPr>
            <w:r w:rsidRPr="001D41EA">
              <w:rPr>
                <w:rFonts w:cs="Arial"/>
                <w:sz w:val="18"/>
                <w:szCs w:val="18"/>
              </w:rPr>
              <w:t>0.876</w:t>
            </w:r>
          </w:p>
        </w:tc>
        <w:tc>
          <w:tcPr>
            <w:tcW w:w="1247" w:type="dxa"/>
            <w:tcBorders>
              <w:top w:val="nil"/>
              <w:left w:val="nil"/>
              <w:bottom w:val="nil"/>
              <w:right w:val="nil"/>
            </w:tcBorders>
            <w:vAlign w:val="bottom"/>
          </w:tcPr>
          <w:p w14:paraId="13F3FEB2" w14:textId="7B884AFF" w:rsidR="00566EA9" w:rsidRPr="001D41EA" w:rsidRDefault="00566EA9" w:rsidP="001D41EA">
            <w:pPr>
              <w:spacing w:before="40" w:after="40"/>
              <w:jc w:val="center"/>
              <w:rPr>
                <w:rFonts w:cs="Arial"/>
                <w:sz w:val="18"/>
                <w:szCs w:val="18"/>
              </w:rPr>
            </w:pPr>
            <w:r w:rsidRPr="001D41EA">
              <w:rPr>
                <w:rFonts w:cs="Arial"/>
                <w:sz w:val="18"/>
                <w:szCs w:val="18"/>
              </w:rPr>
              <w:t>0.874</w:t>
            </w:r>
          </w:p>
        </w:tc>
        <w:tc>
          <w:tcPr>
            <w:tcW w:w="170" w:type="dxa"/>
            <w:tcBorders>
              <w:top w:val="nil"/>
              <w:left w:val="nil"/>
              <w:bottom w:val="nil"/>
              <w:right w:val="nil"/>
            </w:tcBorders>
            <w:vAlign w:val="bottom"/>
          </w:tcPr>
          <w:p w14:paraId="127EA744" w14:textId="2B772025"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1FE3A2D0" w14:textId="694783A9" w:rsidR="00566EA9" w:rsidRPr="001D41EA" w:rsidRDefault="00566EA9" w:rsidP="001D41EA">
            <w:pPr>
              <w:spacing w:before="40" w:after="40"/>
              <w:jc w:val="center"/>
              <w:rPr>
                <w:rFonts w:cs="Arial"/>
                <w:sz w:val="18"/>
                <w:szCs w:val="18"/>
              </w:rPr>
            </w:pPr>
            <w:r w:rsidRPr="001D41EA">
              <w:rPr>
                <w:rFonts w:cs="Arial"/>
                <w:sz w:val="18"/>
                <w:szCs w:val="18"/>
              </w:rPr>
              <w:t>1.057</w:t>
            </w:r>
          </w:p>
        </w:tc>
      </w:tr>
      <w:tr w:rsidR="00566EA9" w:rsidRPr="001D41EA" w14:paraId="01C23F9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5974D58" w14:textId="77777777" w:rsidR="00566EA9" w:rsidRPr="001D41EA" w:rsidRDefault="00566EA9" w:rsidP="001D41EA">
            <w:pPr>
              <w:spacing w:before="40" w:after="40"/>
              <w:rPr>
                <w:rFonts w:cs="Arial"/>
                <w:sz w:val="18"/>
                <w:szCs w:val="18"/>
              </w:rPr>
            </w:pPr>
            <w:r w:rsidRPr="001D41EA">
              <w:rPr>
                <w:rFonts w:cs="Arial"/>
                <w:sz w:val="18"/>
                <w:szCs w:val="18"/>
              </w:rPr>
              <w:t>Gannawarra S</w:t>
            </w:r>
          </w:p>
        </w:tc>
        <w:tc>
          <w:tcPr>
            <w:tcW w:w="1247" w:type="dxa"/>
            <w:tcBorders>
              <w:top w:val="nil"/>
              <w:left w:val="single" w:sz="18" w:space="0" w:color="5F497A" w:themeColor="accent4" w:themeShade="BF"/>
              <w:bottom w:val="nil"/>
              <w:right w:val="nil"/>
            </w:tcBorders>
            <w:shd w:val="clear" w:color="auto" w:fill="auto"/>
            <w:vAlign w:val="bottom"/>
          </w:tcPr>
          <w:p w14:paraId="487F0CB3" w14:textId="7792DE15" w:rsidR="00566EA9" w:rsidRPr="001D41EA" w:rsidRDefault="00566EA9" w:rsidP="001D41EA">
            <w:pPr>
              <w:spacing w:before="40" w:after="40"/>
              <w:jc w:val="center"/>
              <w:rPr>
                <w:rFonts w:cs="Arial"/>
                <w:sz w:val="18"/>
                <w:szCs w:val="18"/>
              </w:rPr>
            </w:pPr>
            <w:r w:rsidRPr="001D41EA">
              <w:rPr>
                <w:rFonts w:cs="Arial"/>
                <w:sz w:val="18"/>
                <w:szCs w:val="18"/>
              </w:rPr>
              <w:t>0.848</w:t>
            </w:r>
          </w:p>
        </w:tc>
        <w:tc>
          <w:tcPr>
            <w:tcW w:w="1247" w:type="dxa"/>
            <w:tcBorders>
              <w:top w:val="nil"/>
              <w:left w:val="nil"/>
              <w:bottom w:val="nil"/>
              <w:right w:val="nil"/>
            </w:tcBorders>
            <w:vAlign w:val="bottom"/>
          </w:tcPr>
          <w:p w14:paraId="4C974E51" w14:textId="585EB6DA" w:rsidR="00566EA9" w:rsidRPr="001D41EA" w:rsidRDefault="00566EA9" w:rsidP="001D41EA">
            <w:pPr>
              <w:spacing w:before="40" w:after="40"/>
              <w:jc w:val="center"/>
              <w:rPr>
                <w:rFonts w:cs="Arial"/>
                <w:sz w:val="18"/>
                <w:szCs w:val="18"/>
              </w:rPr>
            </w:pPr>
            <w:r w:rsidRPr="001D41EA">
              <w:rPr>
                <w:rFonts w:cs="Arial"/>
                <w:sz w:val="18"/>
                <w:szCs w:val="18"/>
              </w:rPr>
              <w:t>0.851</w:t>
            </w:r>
          </w:p>
        </w:tc>
        <w:tc>
          <w:tcPr>
            <w:tcW w:w="1247" w:type="dxa"/>
            <w:tcBorders>
              <w:top w:val="nil"/>
              <w:left w:val="nil"/>
              <w:bottom w:val="nil"/>
              <w:right w:val="nil"/>
            </w:tcBorders>
            <w:vAlign w:val="bottom"/>
          </w:tcPr>
          <w:p w14:paraId="4D16FFE0" w14:textId="4499A056" w:rsidR="00566EA9" w:rsidRPr="001D41EA" w:rsidRDefault="00566EA9" w:rsidP="001D41EA">
            <w:pPr>
              <w:spacing w:before="40" w:after="40"/>
              <w:jc w:val="center"/>
              <w:rPr>
                <w:rFonts w:cs="Arial"/>
                <w:sz w:val="18"/>
                <w:szCs w:val="18"/>
              </w:rPr>
            </w:pPr>
            <w:r w:rsidRPr="001D41EA">
              <w:rPr>
                <w:rFonts w:cs="Arial"/>
                <w:sz w:val="18"/>
                <w:szCs w:val="18"/>
              </w:rPr>
              <w:t>0.848</w:t>
            </w:r>
          </w:p>
        </w:tc>
        <w:tc>
          <w:tcPr>
            <w:tcW w:w="170" w:type="dxa"/>
            <w:tcBorders>
              <w:top w:val="nil"/>
              <w:left w:val="nil"/>
              <w:bottom w:val="nil"/>
              <w:right w:val="nil"/>
            </w:tcBorders>
            <w:vAlign w:val="bottom"/>
          </w:tcPr>
          <w:p w14:paraId="06630DD8" w14:textId="1418EDFB"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2116C64D" w14:textId="6EA34FE0" w:rsidR="00566EA9" w:rsidRPr="001D41EA" w:rsidRDefault="00566EA9" w:rsidP="001D41EA">
            <w:pPr>
              <w:spacing w:before="40" w:after="40"/>
              <w:jc w:val="center"/>
              <w:rPr>
                <w:rFonts w:cs="Arial"/>
                <w:sz w:val="18"/>
                <w:szCs w:val="18"/>
              </w:rPr>
            </w:pPr>
            <w:r w:rsidRPr="001D41EA">
              <w:rPr>
                <w:rFonts w:cs="Arial"/>
                <w:sz w:val="18"/>
                <w:szCs w:val="18"/>
              </w:rPr>
              <w:t>0.841</w:t>
            </w:r>
          </w:p>
        </w:tc>
      </w:tr>
      <w:tr w:rsidR="00566EA9" w:rsidRPr="001D41EA" w14:paraId="1B27CE4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40EE9AA" w14:textId="77777777" w:rsidR="00566EA9" w:rsidRPr="001D41EA" w:rsidRDefault="00566EA9" w:rsidP="001D41EA">
            <w:pPr>
              <w:spacing w:before="40" w:after="40"/>
              <w:rPr>
                <w:rFonts w:cs="Arial"/>
                <w:sz w:val="18"/>
                <w:szCs w:val="18"/>
              </w:rPr>
            </w:pPr>
            <w:r w:rsidRPr="001D41EA">
              <w:rPr>
                <w:rFonts w:cs="Arial"/>
                <w:sz w:val="18"/>
                <w:szCs w:val="18"/>
              </w:rPr>
              <w:t>Glen Eira C</w:t>
            </w:r>
          </w:p>
        </w:tc>
        <w:tc>
          <w:tcPr>
            <w:tcW w:w="1247" w:type="dxa"/>
            <w:tcBorders>
              <w:top w:val="nil"/>
              <w:left w:val="single" w:sz="18" w:space="0" w:color="5F497A" w:themeColor="accent4" w:themeShade="BF"/>
              <w:bottom w:val="nil"/>
              <w:right w:val="nil"/>
            </w:tcBorders>
            <w:shd w:val="clear" w:color="auto" w:fill="auto"/>
            <w:vAlign w:val="bottom"/>
          </w:tcPr>
          <w:p w14:paraId="1B26D5C3" w14:textId="0A3C2B7B" w:rsidR="00566EA9" w:rsidRPr="001D41EA" w:rsidRDefault="00566EA9" w:rsidP="001D41EA">
            <w:pPr>
              <w:spacing w:before="40" w:after="40"/>
              <w:jc w:val="center"/>
              <w:rPr>
                <w:rFonts w:cs="Arial"/>
                <w:sz w:val="18"/>
                <w:szCs w:val="18"/>
              </w:rPr>
            </w:pPr>
            <w:r w:rsidRPr="001D41EA">
              <w:rPr>
                <w:rFonts w:cs="Arial"/>
                <w:sz w:val="18"/>
                <w:szCs w:val="18"/>
              </w:rPr>
              <w:t>0.911</w:t>
            </w:r>
          </w:p>
        </w:tc>
        <w:tc>
          <w:tcPr>
            <w:tcW w:w="1247" w:type="dxa"/>
            <w:tcBorders>
              <w:top w:val="nil"/>
              <w:left w:val="nil"/>
              <w:bottom w:val="nil"/>
              <w:right w:val="nil"/>
            </w:tcBorders>
            <w:vAlign w:val="bottom"/>
          </w:tcPr>
          <w:p w14:paraId="31159525" w14:textId="415CBEC3" w:rsidR="00566EA9" w:rsidRPr="001D41EA" w:rsidRDefault="00566EA9" w:rsidP="001D41EA">
            <w:pPr>
              <w:spacing w:before="40" w:after="40"/>
              <w:jc w:val="center"/>
              <w:rPr>
                <w:rFonts w:cs="Arial"/>
                <w:sz w:val="18"/>
                <w:szCs w:val="18"/>
              </w:rPr>
            </w:pPr>
            <w:r w:rsidRPr="001D41EA">
              <w:rPr>
                <w:rFonts w:cs="Arial"/>
                <w:sz w:val="18"/>
                <w:szCs w:val="18"/>
              </w:rPr>
              <w:t>0.914</w:t>
            </w:r>
          </w:p>
        </w:tc>
        <w:tc>
          <w:tcPr>
            <w:tcW w:w="1247" w:type="dxa"/>
            <w:tcBorders>
              <w:top w:val="nil"/>
              <w:left w:val="nil"/>
              <w:bottom w:val="nil"/>
              <w:right w:val="nil"/>
            </w:tcBorders>
            <w:vAlign w:val="bottom"/>
          </w:tcPr>
          <w:p w14:paraId="3BE34A65" w14:textId="1E0F17B5" w:rsidR="00566EA9" w:rsidRPr="001D41EA" w:rsidRDefault="00566EA9" w:rsidP="001D41EA">
            <w:pPr>
              <w:spacing w:before="40" w:after="40"/>
              <w:jc w:val="center"/>
              <w:rPr>
                <w:rFonts w:cs="Arial"/>
                <w:sz w:val="18"/>
                <w:szCs w:val="18"/>
              </w:rPr>
            </w:pPr>
            <w:r w:rsidRPr="001D41EA">
              <w:rPr>
                <w:rFonts w:cs="Arial"/>
                <w:sz w:val="18"/>
                <w:szCs w:val="18"/>
              </w:rPr>
              <w:t>0.911</w:t>
            </w:r>
          </w:p>
        </w:tc>
        <w:tc>
          <w:tcPr>
            <w:tcW w:w="170" w:type="dxa"/>
            <w:tcBorders>
              <w:top w:val="nil"/>
              <w:left w:val="nil"/>
              <w:bottom w:val="nil"/>
              <w:right w:val="nil"/>
            </w:tcBorders>
            <w:vAlign w:val="bottom"/>
          </w:tcPr>
          <w:p w14:paraId="19A9D325" w14:textId="1B6E750D"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2315ECBD" w14:textId="4B2602E9" w:rsidR="00566EA9" w:rsidRPr="001D41EA" w:rsidRDefault="00566EA9" w:rsidP="001D41EA">
            <w:pPr>
              <w:spacing w:before="40" w:after="40"/>
              <w:jc w:val="center"/>
              <w:rPr>
                <w:rFonts w:cs="Arial"/>
                <w:sz w:val="18"/>
                <w:szCs w:val="18"/>
              </w:rPr>
            </w:pPr>
            <w:r w:rsidRPr="001D41EA">
              <w:rPr>
                <w:rFonts w:cs="Arial"/>
                <w:sz w:val="18"/>
                <w:szCs w:val="18"/>
              </w:rPr>
              <w:t>0.970</w:t>
            </w:r>
          </w:p>
        </w:tc>
      </w:tr>
      <w:tr w:rsidR="00566EA9" w:rsidRPr="001D41EA" w14:paraId="43C206B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121356F" w14:textId="77777777" w:rsidR="00566EA9" w:rsidRPr="001D41EA" w:rsidRDefault="00566EA9" w:rsidP="001D41EA">
            <w:pPr>
              <w:spacing w:before="40" w:after="40"/>
              <w:rPr>
                <w:rFonts w:cs="Arial"/>
                <w:sz w:val="18"/>
                <w:szCs w:val="18"/>
              </w:rPr>
            </w:pPr>
            <w:r w:rsidRPr="001D41EA">
              <w:rPr>
                <w:rFonts w:cs="Arial"/>
                <w:sz w:val="18"/>
                <w:szCs w:val="18"/>
              </w:rPr>
              <w:t>Glenelg S</w:t>
            </w:r>
          </w:p>
        </w:tc>
        <w:tc>
          <w:tcPr>
            <w:tcW w:w="1247" w:type="dxa"/>
            <w:tcBorders>
              <w:top w:val="nil"/>
              <w:left w:val="single" w:sz="18" w:space="0" w:color="5F497A" w:themeColor="accent4" w:themeShade="BF"/>
              <w:bottom w:val="nil"/>
              <w:right w:val="nil"/>
            </w:tcBorders>
            <w:shd w:val="clear" w:color="auto" w:fill="auto"/>
            <w:vAlign w:val="bottom"/>
          </w:tcPr>
          <w:p w14:paraId="520BD3A4" w14:textId="0C4A945E" w:rsidR="00566EA9" w:rsidRPr="001D41EA" w:rsidRDefault="00566EA9" w:rsidP="001D41EA">
            <w:pPr>
              <w:spacing w:before="40" w:after="40"/>
              <w:jc w:val="center"/>
              <w:rPr>
                <w:rFonts w:cs="Arial"/>
                <w:sz w:val="18"/>
                <w:szCs w:val="18"/>
              </w:rPr>
            </w:pPr>
            <w:r w:rsidRPr="001D41EA">
              <w:rPr>
                <w:rFonts w:cs="Arial"/>
                <w:sz w:val="18"/>
                <w:szCs w:val="18"/>
              </w:rPr>
              <w:t>0.795</w:t>
            </w:r>
          </w:p>
        </w:tc>
        <w:tc>
          <w:tcPr>
            <w:tcW w:w="1247" w:type="dxa"/>
            <w:tcBorders>
              <w:top w:val="nil"/>
              <w:left w:val="nil"/>
              <w:bottom w:val="nil"/>
              <w:right w:val="nil"/>
            </w:tcBorders>
            <w:vAlign w:val="bottom"/>
          </w:tcPr>
          <w:p w14:paraId="4E5B797A" w14:textId="242A86F5" w:rsidR="00566EA9" w:rsidRPr="001D41EA" w:rsidRDefault="00566EA9" w:rsidP="001D41EA">
            <w:pPr>
              <w:spacing w:before="40" w:after="40"/>
              <w:jc w:val="center"/>
              <w:rPr>
                <w:rFonts w:cs="Arial"/>
                <w:sz w:val="18"/>
                <w:szCs w:val="18"/>
              </w:rPr>
            </w:pPr>
            <w:r w:rsidRPr="001D41EA">
              <w:rPr>
                <w:rFonts w:cs="Arial"/>
                <w:sz w:val="18"/>
                <w:szCs w:val="18"/>
              </w:rPr>
              <w:t>0.798</w:t>
            </w:r>
          </w:p>
        </w:tc>
        <w:tc>
          <w:tcPr>
            <w:tcW w:w="1247" w:type="dxa"/>
            <w:tcBorders>
              <w:top w:val="nil"/>
              <w:left w:val="nil"/>
              <w:bottom w:val="nil"/>
              <w:right w:val="nil"/>
            </w:tcBorders>
            <w:vAlign w:val="bottom"/>
          </w:tcPr>
          <w:p w14:paraId="2AC31F22" w14:textId="0E88304F" w:rsidR="00566EA9" w:rsidRPr="001D41EA" w:rsidRDefault="00566EA9" w:rsidP="001D41EA">
            <w:pPr>
              <w:spacing w:before="40" w:after="40"/>
              <w:jc w:val="center"/>
              <w:rPr>
                <w:rFonts w:cs="Arial"/>
                <w:sz w:val="18"/>
                <w:szCs w:val="18"/>
              </w:rPr>
            </w:pPr>
            <w:r w:rsidRPr="001D41EA">
              <w:rPr>
                <w:rFonts w:cs="Arial"/>
                <w:sz w:val="18"/>
                <w:szCs w:val="18"/>
              </w:rPr>
              <w:t>0.796</w:t>
            </w:r>
          </w:p>
        </w:tc>
        <w:tc>
          <w:tcPr>
            <w:tcW w:w="170" w:type="dxa"/>
            <w:tcBorders>
              <w:top w:val="nil"/>
              <w:left w:val="nil"/>
              <w:bottom w:val="nil"/>
              <w:right w:val="nil"/>
            </w:tcBorders>
            <w:vAlign w:val="bottom"/>
          </w:tcPr>
          <w:p w14:paraId="1A8E2C0D" w14:textId="778D3668"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5B3CBA40" w14:textId="5EFF1DAD" w:rsidR="00566EA9" w:rsidRPr="001D41EA" w:rsidRDefault="00566EA9" w:rsidP="001D41EA">
            <w:pPr>
              <w:spacing w:before="40" w:after="40"/>
              <w:jc w:val="center"/>
              <w:rPr>
                <w:rFonts w:cs="Arial"/>
                <w:sz w:val="18"/>
                <w:szCs w:val="18"/>
              </w:rPr>
            </w:pPr>
            <w:r w:rsidRPr="001D41EA">
              <w:rPr>
                <w:rFonts w:cs="Arial"/>
                <w:sz w:val="18"/>
                <w:szCs w:val="18"/>
              </w:rPr>
              <w:t>0.838</w:t>
            </w:r>
          </w:p>
        </w:tc>
      </w:tr>
      <w:tr w:rsidR="00566EA9" w:rsidRPr="001D41EA" w14:paraId="6F21ECC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58754D3" w14:textId="77777777" w:rsidR="00566EA9" w:rsidRPr="001D41EA" w:rsidRDefault="00566EA9" w:rsidP="001D41EA">
            <w:pPr>
              <w:spacing w:before="40" w:after="40"/>
              <w:rPr>
                <w:rFonts w:cs="Arial"/>
                <w:sz w:val="18"/>
                <w:szCs w:val="18"/>
              </w:rPr>
            </w:pPr>
            <w:r w:rsidRPr="001D41EA">
              <w:rPr>
                <w:rFonts w:cs="Arial"/>
                <w:sz w:val="18"/>
                <w:szCs w:val="18"/>
              </w:rPr>
              <w:t>Golden Plains S</w:t>
            </w:r>
          </w:p>
        </w:tc>
        <w:tc>
          <w:tcPr>
            <w:tcW w:w="1247" w:type="dxa"/>
            <w:tcBorders>
              <w:top w:val="nil"/>
              <w:left w:val="single" w:sz="18" w:space="0" w:color="5F497A" w:themeColor="accent4" w:themeShade="BF"/>
              <w:bottom w:val="nil"/>
              <w:right w:val="nil"/>
            </w:tcBorders>
            <w:shd w:val="clear" w:color="auto" w:fill="auto"/>
            <w:vAlign w:val="bottom"/>
          </w:tcPr>
          <w:p w14:paraId="33CDCFAF" w14:textId="7C226E7B" w:rsidR="00566EA9" w:rsidRPr="001D41EA" w:rsidRDefault="00566EA9" w:rsidP="001D41EA">
            <w:pPr>
              <w:spacing w:before="40" w:after="40"/>
              <w:jc w:val="center"/>
              <w:rPr>
                <w:rFonts w:cs="Arial"/>
                <w:sz w:val="18"/>
                <w:szCs w:val="18"/>
              </w:rPr>
            </w:pPr>
            <w:r w:rsidRPr="001D41EA">
              <w:rPr>
                <w:rFonts w:cs="Arial"/>
                <w:sz w:val="18"/>
                <w:szCs w:val="18"/>
              </w:rPr>
              <w:t>1.037</w:t>
            </w:r>
          </w:p>
        </w:tc>
        <w:tc>
          <w:tcPr>
            <w:tcW w:w="1247" w:type="dxa"/>
            <w:tcBorders>
              <w:top w:val="nil"/>
              <w:left w:val="nil"/>
              <w:bottom w:val="nil"/>
              <w:right w:val="nil"/>
            </w:tcBorders>
            <w:vAlign w:val="bottom"/>
          </w:tcPr>
          <w:p w14:paraId="69813278" w14:textId="4FF54F75" w:rsidR="00566EA9" w:rsidRPr="001D41EA" w:rsidRDefault="00566EA9" w:rsidP="001D41EA">
            <w:pPr>
              <w:spacing w:before="40" w:after="40"/>
              <w:jc w:val="center"/>
              <w:rPr>
                <w:rFonts w:cs="Arial"/>
                <w:sz w:val="18"/>
                <w:szCs w:val="18"/>
              </w:rPr>
            </w:pPr>
            <w:r w:rsidRPr="001D41EA">
              <w:rPr>
                <w:rFonts w:cs="Arial"/>
                <w:sz w:val="18"/>
                <w:szCs w:val="18"/>
              </w:rPr>
              <w:t>1.041</w:t>
            </w:r>
          </w:p>
        </w:tc>
        <w:tc>
          <w:tcPr>
            <w:tcW w:w="1247" w:type="dxa"/>
            <w:tcBorders>
              <w:top w:val="nil"/>
              <w:left w:val="nil"/>
              <w:bottom w:val="nil"/>
              <w:right w:val="nil"/>
            </w:tcBorders>
            <w:vAlign w:val="bottom"/>
          </w:tcPr>
          <w:p w14:paraId="79A54CC7" w14:textId="10F60F34" w:rsidR="00566EA9" w:rsidRPr="001D41EA" w:rsidRDefault="00566EA9" w:rsidP="001D41EA">
            <w:pPr>
              <w:spacing w:before="40" w:after="40"/>
              <w:jc w:val="center"/>
              <w:rPr>
                <w:rFonts w:cs="Arial"/>
                <w:sz w:val="18"/>
                <w:szCs w:val="18"/>
              </w:rPr>
            </w:pPr>
            <w:r w:rsidRPr="001D41EA">
              <w:rPr>
                <w:rFonts w:cs="Arial"/>
                <w:sz w:val="18"/>
                <w:szCs w:val="18"/>
              </w:rPr>
              <w:t>1.038</w:t>
            </w:r>
          </w:p>
        </w:tc>
        <w:tc>
          <w:tcPr>
            <w:tcW w:w="170" w:type="dxa"/>
            <w:tcBorders>
              <w:top w:val="nil"/>
              <w:left w:val="nil"/>
              <w:bottom w:val="nil"/>
              <w:right w:val="nil"/>
            </w:tcBorders>
            <w:vAlign w:val="bottom"/>
          </w:tcPr>
          <w:p w14:paraId="557F7730" w14:textId="7F6D26F1"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160C40E2" w14:textId="26E75BEF" w:rsidR="00566EA9" w:rsidRPr="001D41EA" w:rsidRDefault="00566EA9" w:rsidP="001D41EA">
            <w:pPr>
              <w:spacing w:before="40" w:after="40"/>
              <w:jc w:val="center"/>
              <w:rPr>
                <w:rFonts w:cs="Arial"/>
                <w:sz w:val="18"/>
                <w:szCs w:val="18"/>
              </w:rPr>
            </w:pPr>
            <w:r w:rsidRPr="001D41EA">
              <w:rPr>
                <w:rFonts w:cs="Arial"/>
                <w:sz w:val="18"/>
                <w:szCs w:val="18"/>
              </w:rPr>
              <w:t>1.053</w:t>
            </w:r>
          </w:p>
        </w:tc>
      </w:tr>
      <w:tr w:rsidR="00566EA9" w:rsidRPr="001D41EA" w14:paraId="5F5A0F2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3855D7F" w14:textId="77777777" w:rsidR="00566EA9" w:rsidRPr="001D41EA" w:rsidRDefault="00566EA9" w:rsidP="001D41EA">
            <w:pPr>
              <w:spacing w:before="40" w:after="40"/>
              <w:rPr>
                <w:rFonts w:cs="Arial"/>
                <w:sz w:val="18"/>
                <w:szCs w:val="18"/>
              </w:rPr>
            </w:pPr>
            <w:r w:rsidRPr="001D41EA">
              <w:rPr>
                <w:rFonts w:cs="Arial"/>
                <w:sz w:val="18"/>
                <w:szCs w:val="18"/>
              </w:rPr>
              <w:t>Greater Bendigo C</w:t>
            </w:r>
          </w:p>
        </w:tc>
        <w:tc>
          <w:tcPr>
            <w:tcW w:w="1247" w:type="dxa"/>
            <w:tcBorders>
              <w:top w:val="nil"/>
              <w:left w:val="single" w:sz="18" w:space="0" w:color="5F497A" w:themeColor="accent4" w:themeShade="BF"/>
              <w:bottom w:val="nil"/>
              <w:right w:val="nil"/>
            </w:tcBorders>
            <w:shd w:val="clear" w:color="auto" w:fill="auto"/>
            <w:vAlign w:val="bottom"/>
          </w:tcPr>
          <w:p w14:paraId="2E608477" w14:textId="14BEB5B2" w:rsidR="00566EA9" w:rsidRPr="001D41EA" w:rsidRDefault="00566EA9" w:rsidP="001D41EA">
            <w:pPr>
              <w:spacing w:before="40" w:after="40"/>
              <w:jc w:val="center"/>
              <w:rPr>
                <w:rFonts w:cs="Arial"/>
                <w:sz w:val="18"/>
                <w:szCs w:val="18"/>
              </w:rPr>
            </w:pPr>
            <w:r w:rsidRPr="001D41EA">
              <w:rPr>
                <w:rFonts w:cs="Arial"/>
                <w:sz w:val="18"/>
                <w:szCs w:val="18"/>
              </w:rPr>
              <w:t>0.945</w:t>
            </w:r>
          </w:p>
        </w:tc>
        <w:tc>
          <w:tcPr>
            <w:tcW w:w="1247" w:type="dxa"/>
            <w:tcBorders>
              <w:top w:val="nil"/>
              <w:left w:val="nil"/>
              <w:bottom w:val="nil"/>
              <w:right w:val="nil"/>
            </w:tcBorders>
            <w:vAlign w:val="bottom"/>
          </w:tcPr>
          <w:p w14:paraId="138A85FC" w14:textId="734D2748" w:rsidR="00566EA9" w:rsidRPr="001D41EA" w:rsidRDefault="00566EA9" w:rsidP="001D41EA">
            <w:pPr>
              <w:spacing w:before="40" w:after="40"/>
              <w:jc w:val="center"/>
              <w:rPr>
                <w:rFonts w:cs="Arial"/>
                <w:sz w:val="18"/>
                <w:szCs w:val="18"/>
              </w:rPr>
            </w:pPr>
            <w:r w:rsidRPr="001D41EA">
              <w:rPr>
                <w:rFonts w:cs="Arial"/>
                <w:sz w:val="18"/>
                <w:szCs w:val="18"/>
              </w:rPr>
              <w:t>0.948</w:t>
            </w:r>
          </w:p>
        </w:tc>
        <w:tc>
          <w:tcPr>
            <w:tcW w:w="1247" w:type="dxa"/>
            <w:tcBorders>
              <w:top w:val="nil"/>
              <w:left w:val="nil"/>
              <w:bottom w:val="nil"/>
              <w:right w:val="nil"/>
            </w:tcBorders>
            <w:vAlign w:val="bottom"/>
          </w:tcPr>
          <w:p w14:paraId="47C68CF7" w14:textId="71E8E924" w:rsidR="00566EA9" w:rsidRPr="001D41EA" w:rsidRDefault="00566EA9" w:rsidP="001D41EA">
            <w:pPr>
              <w:spacing w:before="40" w:after="40"/>
              <w:jc w:val="center"/>
              <w:rPr>
                <w:rFonts w:cs="Arial"/>
                <w:sz w:val="18"/>
                <w:szCs w:val="18"/>
              </w:rPr>
            </w:pPr>
            <w:r w:rsidRPr="001D41EA">
              <w:rPr>
                <w:rFonts w:cs="Arial"/>
                <w:sz w:val="18"/>
                <w:szCs w:val="18"/>
              </w:rPr>
              <w:t>0.946</w:t>
            </w:r>
          </w:p>
        </w:tc>
        <w:tc>
          <w:tcPr>
            <w:tcW w:w="170" w:type="dxa"/>
            <w:tcBorders>
              <w:top w:val="nil"/>
              <w:left w:val="nil"/>
              <w:bottom w:val="nil"/>
              <w:right w:val="nil"/>
            </w:tcBorders>
            <w:vAlign w:val="bottom"/>
          </w:tcPr>
          <w:p w14:paraId="271AC15D" w14:textId="197BF2CD"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4878DA43" w14:textId="67B0B201" w:rsidR="00566EA9" w:rsidRPr="001D41EA" w:rsidRDefault="00566EA9" w:rsidP="001D41EA">
            <w:pPr>
              <w:spacing w:before="40" w:after="40"/>
              <w:jc w:val="center"/>
              <w:rPr>
                <w:rFonts w:cs="Arial"/>
                <w:sz w:val="18"/>
                <w:szCs w:val="18"/>
              </w:rPr>
            </w:pPr>
            <w:r w:rsidRPr="001D41EA">
              <w:rPr>
                <w:rFonts w:cs="Arial"/>
                <w:sz w:val="18"/>
                <w:szCs w:val="18"/>
              </w:rPr>
              <w:t>1.024</w:t>
            </w:r>
          </w:p>
        </w:tc>
      </w:tr>
      <w:tr w:rsidR="00566EA9" w:rsidRPr="001D41EA" w14:paraId="29EC043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D03808B" w14:textId="77777777" w:rsidR="00566EA9" w:rsidRPr="001D41EA" w:rsidRDefault="00566EA9" w:rsidP="001D41EA">
            <w:pPr>
              <w:spacing w:before="40" w:after="40"/>
              <w:rPr>
                <w:rFonts w:cs="Arial"/>
                <w:sz w:val="18"/>
                <w:szCs w:val="18"/>
              </w:rPr>
            </w:pPr>
            <w:r w:rsidRPr="001D41EA">
              <w:rPr>
                <w:rFonts w:cs="Arial"/>
                <w:sz w:val="18"/>
                <w:szCs w:val="18"/>
              </w:rPr>
              <w:t>Greater Dandenong C</w:t>
            </w:r>
          </w:p>
        </w:tc>
        <w:tc>
          <w:tcPr>
            <w:tcW w:w="1247" w:type="dxa"/>
            <w:tcBorders>
              <w:top w:val="nil"/>
              <w:left w:val="single" w:sz="18" w:space="0" w:color="5F497A" w:themeColor="accent4" w:themeShade="BF"/>
              <w:bottom w:val="nil"/>
              <w:right w:val="nil"/>
            </w:tcBorders>
            <w:shd w:val="clear" w:color="auto" w:fill="auto"/>
            <w:vAlign w:val="bottom"/>
          </w:tcPr>
          <w:p w14:paraId="2A670B45" w14:textId="00A9B539" w:rsidR="00566EA9" w:rsidRPr="001D41EA" w:rsidRDefault="00566EA9" w:rsidP="001D41EA">
            <w:pPr>
              <w:spacing w:before="40" w:after="40"/>
              <w:jc w:val="center"/>
              <w:rPr>
                <w:rFonts w:cs="Arial"/>
                <w:sz w:val="18"/>
                <w:szCs w:val="18"/>
              </w:rPr>
            </w:pPr>
            <w:r w:rsidRPr="001D41EA">
              <w:rPr>
                <w:rFonts w:cs="Arial"/>
                <w:sz w:val="18"/>
                <w:szCs w:val="18"/>
              </w:rPr>
              <w:t>1.005</w:t>
            </w:r>
          </w:p>
        </w:tc>
        <w:tc>
          <w:tcPr>
            <w:tcW w:w="1247" w:type="dxa"/>
            <w:tcBorders>
              <w:top w:val="nil"/>
              <w:left w:val="nil"/>
              <w:bottom w:val="nil"/>
              <w:right w:val="nil"/>
            </w:tcBorders>
            <w:vAlign w:val="bottom"/>
          </w:tcPr>
          <w:p w14:paraId="5295AD9E" w14:textId="0999EB8E" w:rsidR="00566EA9" w:rsidRPr="001D41EA" w:rsidRDefault="00566EA9" w:rsidP="001D41EA">
            <w:pPr>
              <w:spacing w:before="40" w:after="40"/>
              <w:jc w:val="center"/>
              <w:rPr>
                <w:rFonts w:cs="Arial"/>
                <w:sz w:val="18"/>
                <w:szCs w:val="18"/>
              </w:rPr>
            </w:pPr>
            <w:r w:rsidRPr="001D41EA">
              <w:rPr>
                <w:rFonts w:cs="Arial"/>
                <w:sz w:val="18"/>
                <w:szCs w:val="18"/>
              </w:rPr>
              <w:t>1.009</w:t>
            </w:r>
          </w:p>
        </w:tc>
        <w:tc>
          <w:tcPr>
            <w:tcW w:w="1247" w:type="dxa"/>
            <w:tcBorders>
              <w:top w:val="nil"/>
              <w:left w:val="nil"/>
              <w:bottom w:val="nil"/>
              <w:right w:val="nil"/>
            </w:tcBorders>
            <w:vAlign w:val="bottom"/>
          </w:tcPr>
          <w:p w14:paraId="4E282770" w14:textId="70EE61A1" w:rsidR="00566EA9" w:rsidRPr="001D41EA" w:rsidRDefault="00566EA9" w:rsidP="001D41EA">
            <w:pPr>
              <w:spacing w:before="40" w:after="40"/>
              <w:jc w:val="center"/>
              <w:rPr>
                <w:rFonts w:cs="Arial"/>
                <w:sz w:val="18"/>
                <w:szCs w:val="18"/>
              </w:rPr>
            </w:pPr>
            <w:r w:rsidRPr="001D41EA">
              <w:rPr>
                <w:rFonts w:cs="Arial"/>
                <w:sz w:val="18"/>
                <w:szCs w:val="18"/>
              </w:rPr>
              <w:t>1.006</w:t>
            </w:r>
          </w:p>
        </w:tc>
        <w:tc>
          <w:tcPr>
            <w:tcW w:w="170" w:type="dxa"/>
            <w:tcBorders>
              <w:top w:val="nil"/>
              <w:left w:val="nil"/>
              <w:bottom w:val="nil"/>
              <w:right w:val="nil"/>
            </w:tcBorders>
            <w:vAlign w:val="bottom"/>
          </w:tcPr>
          <w:p w14:paraId="757DD790" w14:textId="431E50B4"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77C3B462" w14:textId="7EE816A7" w:rsidR="00566EA9" w:rsidRPr="001D41EA" w:rsidRDefault="00566EA9" w:rsidP="001D41EA">
            <w:pPr>
              <w:spacing w:before="40" w:after="40"/>
              <w:jc w:val="center"/>
              <w:rPr>
                <w:rFonts w:cs="Arial"/>
                <w:sz w:val="18"/>
                <w:szCs w:val="18"/>
              </w:rPr>
            </w:pPr>
            <w:r w:rsidRPr="001D41EA">
              <w:rPr>
                <w:rFonts w:cs="Arial"/>
                <w:sz w:val="18"/>
                <w:szCs w:val="18"/>
              </w:rPr>
              <w:t>1.058</w:t>
            </w:r>
          </w:p>
        </w:tc>
      </w:tr>
      <w:tr w:rsidR="00566EA9" w:rsidRPr="001D41EA" w14:paraId="4D887A2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E6AB27B" w14:textId="77777777" w:rsidR="00566EA9" w:rsidRPr="001D41EA" w:rsidRDefault="00566EA9" w:rsidP="001D41EA">
            <w:pPr>
              <w:spacing w:before="40" w:after="40"/>
              <w:rPr>
                <w:rFonts w:cs="Arial"/>
                <w:sz w:val="18"/>
                <w:szCs w:val="18"/>
              </w:rPr>
            </w:pPr>
            <w:r w:rsidRPr="001D41EA">
              <w:rPr>
                <w:rFonts w:cs="Arial"/>
                <w:sz w:val="18"/>
                <w:szCs w:val="18"/>
              </w:rPr>
              <w:t>Greater Geelong C</w:t>
            </w:r>
          </w:p>
        </w:tc>
        <w:tc>
          <w:tcPr>
            <w:tcW w:w="1247" w:type="dxa"/>
            <w:tcBorders>
              <w:top w:val="nil"/>
              <w:left w:val="single" w:sz="18" w:space="0" w:color="5F497A" w:themeColor="accent4" w:themeShade="BF"/>
              <w:bottom w:val="nil"/>
              <w:right w:val="nil"/>
            </w:tcBorders>
            <w:shd w:val="clear" w:color="auto" w:fill="auto"/>
            <w:vAlign w:val="bottom"/>
          </w:tcPr>
          <w:p w14:paraId="3E4E063B" w14:textId="28B9F06B" w:rsidR="00566EA9" w:rsidRPr="001D41EA" w:rsidRDefault="00566EA9" w:rsidP="001D41EA">
            <w:pPr>
              <w:spacing w:before="40" w:after="40"/>
              <w:jc w:val="center"/>
              <w:rPr>
                <w:rFonts w:cs="Arial"/>
                <w:sz w:val="18"/>
                <w:szCs w:val="18"/>
              </w:rPr>
            </w:pPr>
            <w:r w:rsidRPr="001D41EA">
              <w:rPr>
                <w:rFonts w:cs="Arial"/>
                <w:sz w:val="18"/>
                <w:szCs w:val="18"/>
              </w:rPr>
              <w:t>1.028</w:t>
            </w:r>
          </w:p>
        </w:tc>
        <w:tc>
          <w:tcPr>
            <w:tcW w:w="1247" w:type="dxa"/>
            <w:tcBorders>
              <w:top w:val="nil"/>
              <w:left w:val="nil"/>
              <w:bottom w:val="nil"/>
              <w:right w:val="nil"/>
            </w:tcBorders>
            <w:vAlign w:val="bottom"/>
          </w:tcPr>
          <w:p w14:paraId="4DBA004F" w14:textId="0048F425" w:rsidR="00566EA9" w:rsidRPr="001D41EA" w:rsidRDefault="00566EA9" w:rsidP="001D41EA">
            <w:pPr>
              <w:spacing w:before="40" w:after="40"/>
              <w:jc w:val="center"/>
              <w:rPr>
                <w:rFonts w:cs="Arial"/>
                <w:sz w:val="18"/>
                <w:szCs w:val="18"/>
              </w:rPr>
            </w:pPr>
            <w:r w:rsidRPr="001D41EA">
              <w:rPr>
                <w:rFonts w:cs="Arial"/>
                <w:sz w:val="18"/>
                <w:szCs w:val="18"/>
              </w:rPr>
              <w:t>1.031</w:t>
            </w:r>
          </w:p>
        </w:tc>
        <w:tc>
          <w:tcPr>
            <w:tcW w:w="1247" w:type="dxa"/>
            <w:tcBorders>
              <w:top w:val="nil"/>
              <w:left w:val="nil"/>
              <w:bottom w:val="nil"/>
              <w:right w:val="nil"/>
            </w:tcBorders>
            <w:vAlign w:val="bottom"/>
          </w:tcPr>
          <w:p w14:paraId="5251CE57" w14:textId="09CAD68F" w:rsidR="00566EA9" w:rsidRPr="001D41EA" w:rsidRDefault="00566EA9" w:rsidP="001D41EA">
            <w:pPr>
              <w:spacing w:before="40" w:after="40"/>
              <w:jc w:val="center"/>
              <w:rPr>
                <w:rFonts w:cs="Arial"/>
                <w:sz w:val="18"/>
                <w:szCs w:val="18"/>
              </w:rPr>
            </w:pPr>
            <w:r w:rsidRPr="001D41EA">
              <w:rPr>
                <w:rFonts w:cs="Arial"/>
                <w:sz w:val="18"/>
                <w:szCs w:val="18"/>
              </w:rPr>
              <w:t>1.028</w:t>
            </w:r>
          </w:p>
        </w:tc>
        <w:tc>
          <w:tcPr>
            <w:tcW w:w="170" w:type="dxa"/>
            <w:tcBorders>
              <w:top w:val="nil"/>
              <w:left w:val="nil"/>
              <w:bottom w:val="nil"/>
              <w:right w:val="nil"/>
            </w:tcBorders>
            <w:vAlign w:val="bottom"/>
          </w:tcPr>
          <w:p w14:paraId="2765AF55" w14:textId="7D0AE600"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03040D8D" w14:textId="209B04CE" w:rsidR="00566EA9" w:rsidRPr="001D41EA" w:rsidRDefault="00566EA9" w:rsidP="001D41EA">
            <w:pPr>
              <w:spacing w:before="40" w:after="40"/>
              <w:jc w:val="center"/>
              <w:rPr>
                <w:rFonts w:cs="Arial"/>
                <w:sz w:val="18"/>
                <w:szCs w:val="18"/>
              </w:rPr>
            </w:pPr>
            <w:r w:rsidRPr="001D41EA">
              <w:rPr>
                <w:rFonts w:cs="Arial"/>
                <w:sz w:val="18"/>
                <w:szCs w:val="18"/>
              </w:rPr>
              <w:t>0.991</w:t>
            </w:r>
          </w:p>
        </w:tc>
      </w:tr>
      <w:tr w:rsidR="00566EA9" w:rsidRPr="001D41EA" w14:paraId="6A03ACB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7C29F76" w14:textId="77777777" w:rsidR="00566EA9" w:rsidRPr="001D41EA" w:rsidRDefault="00566EA9" w:rsidP="001D41EA">
            <w:pPr>
              <w:spacing w:before="40" w:after="40"/>
              <w:rPr>
                <w:rFonts w:cs="Arial"/>
                <w:sz w:val="18"/>
                <w:szCs w:val="18"/>
              </w:rPr>
            </w:pPr>
            <w:r w:rsidRPr="001D41EA">
              <w:rPr>
                <w:rFonts w:cs="Arial"/>
                <w:sz w:val="18"/>
                <w:szCs w:val="18"/>
              </w:rPr>
              <w:t>Greater Shepparton C</w:t>
            </w:r>
          </w:p>
        </w:tc>
        <w:tc>
          <w:tcPr>
            <w:tcW w:w="1247" w:type="dxa"/>
            <w:tcBorders>
              <w:top w:val="nil"/>
              <w:left w:val="single" w:sz="18" w:space="0" w:color="5F497A" w:themeColor="accent4" w:themeShade="BF"/>
              <w:bottom w:val="nil"/>
              <w:right w:val="nil"/>
            </w:tcBorders>
            <w:shd w:val="clear" w:color="auto" w:fill="auto"/>
            <w:vAlign w:val="bottom"/>
          </w:tcPr>
          <w:p w14:paraId="506C16F5" w14:textId="76141BE3" w:rsidR="00566EA9" w:rsidRPr="001D41EA" w:rsidRDefault="00566EA9" w:rsidP="001D41EA">
            <w:pPr>
              <w:spacing w:before="40" w:after="40"/>
              <w:jc w:val="center"/>
              <w:rPr>
                <w:rFonts w:cs="Arial"/>
                <w:sz w:val="18"/>
                <w:szCs w:val="18"/>
              </w:rPr>
            </w:pPr>
            <w:r w:rsidRPr="001D41EA">
              <w:rPr>
                <w:rFonts w:cs="Arial"/>
                <w:sz w:val="18"/>
                <w:szCs w:val="18"/>
              </w:rPr>
              <w:t>0.860</w:t>
            </w:r>
          </w:p>
        </w:tc>
        <w:tc>
          <w:tcPr>
            <w:tcW w:w="1247" w:type="dxa"/>
            <w:tcBorders>
              <w:top w:val="nil"/>
              <w:left w:val="nil"/>
              <w:bottom w:val="nil"/>
              <w:right w:val="nil"/>
            </w:tcBorders>
            <w:vAlign w:val="bottom"/>
          </w:tcPr>
          <w:p w14:paraId="747A645D" w14:textId="7C7ED77C" w:rsidR="00566EA9" w:rsidRPr="001D41EA" w:rsidRDefault="00566EA9" w:rsidP="001D41EA">
            <w:pPr>
              <w:spacing w:before="40" w:after="40"/>
              <w:jc w:val="center"/>
              <w:rPr>
                <w:rFonts w:cs="Arial"/>
                <w:sz w:val="18"/>
                <w:szCs w:val="18"/>
              </w:rPr>
            </w:pPr>
            <w:r w:rsidRPr="001D41EA">
              <w:rPr>
                <w:rFonts w:cs="Arial"/>
                <w:sz w:val="18"/>
                <w:szCs w:val="18"/>
              </w:rPr>
              <w:t>0.863</w:t>
            </w:r>
          </w:p>
        </w:tc>
        <w:tc>
          <w:tcPr>
            <w:tcW w:w="1247" w:type="dxa"/>
            <w:tcBorders>
              <w:top w:val="nil"/>
              <w:left w:val="nil"/>
              <w:bottom w:val="nil"/>
              <w:right w:val="nil"/>
            </w:tcBorders>
            <w:vAlign w:val="bottom"/>
          </w:tcPr>
          <w:p w14:paraId="5DB98B78" w14:textId="291DB259" w:rsidR="00566EA9" w:rsidRPr="001D41EA" w:rsidRDefault="00566EA9" w:rsidP="001D41EA">
            <w:pPr>
              <w:spacing w:before="40" w:after="40"/>
              <w:jc w:val="center"/>
              <w:rPr>
                <w:rFonts w:cs="Arial"/>
                <w:sz w:val="18"/>
                <w:szCs w:val="18"/>
              </w:rPr>
            </w:pPr>
            <w:r w:rsidRPr="001D41EA">
              <w:rPr>
                <w:rFonts w:cs="Arial"/>
                <w:sz w:val="18"/>
                <w:szCs w:val="18"/>
              </w:rPr>
              <w:t>0.861</w:t>
            </w:r>
          </w:p>
        </w:tc>
        <w:tc>
          <w:tcPr>
            <w:tcW w:w="170" w:type="dxa"/>
            <w:tcBorders>
              <w:top w:val="nil"/>
              <w:left w:val="nil"/>
              <w:bottom w:val="nil"/>
              <w:right w:val="nil"/>
            </w:tcBorders>
            <w:vAlign w:val="bottom"/>
          </w:tcPr>
          <w:p w14:paraId="32286BF6" w14:textId="26267B53"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53C28F63" w14:textId="58B9A3EF" w:rsidR="00566EA9" w:rsidRPr="001D41EA" w:rsidRDefault="00566EA9" w:rsidP="001D41EA">
            <w:pPr>
              <w:spacing w:before="40" w:after="40"/>
              <w:jc w:val="center"/>
              <w:rPr>
                <w:rFonts w:cs="Arial"/>
                <w:sz w:val="18"/>
                <w:szCs w:val="18"/>
              </w:rPr>
            </w:pPr>
            <w:r w:rsidRPr="001D41EA">
              <w:rPr>
                <w:rFonts w:cs="Arial"/>
                <w:sz w:val="18"/>
                <w:szCs w:val="18"/>
              </w:rPr>
              <w:t>1.033</w:t>
            </w:r>
          </w:p>
        </w:tc>
      </w:tr>
      <w:tr w:rsidR="00566EA9" w:rsidRPr="001D41EA" w14:paraId="2E2E62C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A04F970" w14:textId="77777777" w:rsidR="00566EA9" w:rsidRPr="001D41EA" w:rsidRDefault="00566EA9" w:rsidP="001D41EA">
            <w:pPr>
              <w:spacing w:before="40" w:after="40"/>
              <w:rPr>
                <w:rFonts w:cs="Arial"/>
                <w:sz w:val="18"/>
                <w:szCs w:val="18"/>
              </w:rPr>
            </w:pPr>
            <w:r w:rsidRPr="001D41EA">
              <w:rPr>
                <w:rFonts w:cs="Arial"/>
                <w:sz w:val="18"/>
                <w:szCs w:val="18"/>
              </w:rPr>
              <w:t>Hepburn S</w:t>
            </w:r>
          </w:p>
        </w:tc>
        <w:tc>
          <w:tcPr>
            <w:tcW w:w="1247" w:type="dxa"/>
            <w:tcBorders>
              <w:top w:val="nil"/>
              <w:left w:val="single" w:sz="18" w:space="0" w:color="5F497A" w:themeColor="accent4" w:themeShade="BF"/>
              <w:bottom w:val="nil"/>
              <w:right w:val="nil"/>
            </w:tcBorders>
            <w:shd w:val="clear" w:color="auto" w:fill="auto"/>
            <w:vAlign w:val="bottom"/>
          </w:tcPr>
          <w:p w14:paraId="1BE21030" w14:textId="64D2DC91" w:rsidR="00566EA9" w:rsidRPr="001D41EA" w:rsidRDefault="00566EA9" w:rsidP="001D41EA">
            <w:pPr>
              <w:spacing w:before="40" w:after="40"/>
              <w:jc w:val="center"/>
              <w:rPr>
                <w:rFonts w:cs="Arial"/>
                <w:sz w:val="18"/>
                <w:szCs w:val="18"/>
              </w:rPr>
            </w:pPr>
            <w:r w:rsidRPr="001D41EA">
              <w:rPr>
                <w:rFonts w:cs="Arial"/>
                <w:sz w:val="18"/>
                <w:szCs w:val="18"/>
              </w:rPr>
              <w:t>0.897</w:t>
            </w:r>
          </w:p>
        </w:tc>
        <w:tc>
          <w:tcPr>
            <w:tcW w:w="1247" w:type="dxa"/>
            <w:tcBorders>
              <w:top w:val="nil"/>
              <w:left w:val="nil"/>
              <w:bottom w:val="nil"/>
              <w:right w:val="nil"/>
            </w:tcBorders>
            <w:vAlign w:val="bottom"/>
          </w:tcPr>
          <w:p w14:paraId="5FC98E00" w14:textId="0864913A" w:rsidR="00566EA9" w:rsidRPr="001D41EA" w:rsidRDefault="00566EA9" w:rsidP="001D41EA">
            <w:pPr>
              <w:spacing w:before="40" w:after="40"/>
              <w:jc w:val="center"/>
              <w:rPr>
                <w:rFonts w:cs="Arial"/>
                <w:sz w:val="18"/>
                <w:szCs w:val="18"/>
              </w:rPr>
            </w:pPr>
            <w:r w:rsidRPr="001D41EA">
              <w:rPr>
                <w:rFonts w:cs="Arial"/>
                <w:sz w:val="18"/>
                <w:szCs w:val="18"/>
              </w:rPr>
              <w:t>0.900</w:t>
            </w:r>
          </w:p>
        </w:tc>
        <w:tc>
          <w:tcPr>
            <w:tcW w:w="1247" w:type="dxa"/>
            <w:tcBorders>
              <w:top w:val="nil"/>
              <w:left w:val="nil"/>
              <w:bottom w:val="nil"/>
              <w:right w:val="nil"/>
            </w:tcBorders>
            <w:vAlign w:val="bottom"/>
          </w:tcPr>
          <w:p w14:paraId="4A93B463" w14:textId="15241CCA" w:rsidR="00566EA9" w:rsidRPr="001D41EA" w:rsidRDefault="00566EA9" w:rsidP="001D41EA">
            <w:pPr>
              <w:spacing w:before="40" w:after="40"/>
              <w:jc w:val="center"/>
              <w:rPr>
                <w:rFonts w:cs="Arial"/>
                <w:sz w:val="18"/>
                <w:szCs w:val="18"/>
              </w:rPr>
            </w:pPr>
            <w:r w:rsidRPr="001D41EA">
              <w:rPr>
                <w:rFonts w:cs="Arial"/>
                <w:sz w:val="18"/>
                <w:szCs w:val="18"/>
              </w:rPr>
              <w:t>0.898</w:t>
            </w:r>
          </w:p>
        </w:tc>
        <w:tc>
          <w:tcPr>
            <w:tcW w:w="170" w:type="dxa"/>
            <w:tcBorders>
              <w:top w:val="nil"/>
              <w:left w:val="nil"/>
              <w:bottom w:val="nil"/>
              <w:right w:val="nil"/>
            </w:tcBorders>
            <w:vAlign w:val="bottom"/>
          </w:tcPr>
          <w:p w14:paraId="1F7C2796" w14:textId="2D55D33B"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7907755D" w14:textId="00D0BB66" w:rsidR="00566EA9" w:rsidRPr="001D41EA" w:rsidRDefault="00566EA9" w:rsidP="001D41EA">
            <w:pPr>
              <w:spacing w:before="40" w:after="40"/>
              <w:jc w:val="center"/>
              <w:rPr>
                <w:rFonts w:cs="Arial"/>
                <w:sz w:val="18"/>
                <w:szCs w:val="18"/>
              </w:rPr>
            </w:pPr>
            <w:r w:rsidRPr="001D41EA">
              <w:rPr>
                <w:rFonts w:cs="Arial"/>
                <w:sz w:val="18"/>
                <w:szCs w:val="18"/>
              </w:rPr>
              <w:t>0.773</w:t>
            </w:r>
          </w:p>
        </w:tc>
      </w:tr>
      <w:tr w:rsidR="00566EA9" w:rsidRPr="001D41EA" w14:paraId="28A0065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48F443B" w14:textId="77777777" w:rsidR="00566EA9" w:rsidRPr="001D41EA" w:rsidRDefault="00566EA9" w:rsidP="001D41EA">
            <w:pPr>
              <w:spacing w:before="40" w:after="40"/>
              <w:rPr>
                <w:rFonts w:cs="Arial"/>
                <w:sz w:val="18"/>
                <w:szCs w:val="18"/>
              </w:rPr>
            </w:pPr>
            <w:r w:rsidRPr="001D41EA">
              <w:rPr>
                <w:rFonts w:cs="Arial"/>
                <w:sz w:val="18"/>
                <w:szCs w:val="18"/>
              </w:rPr>
              <w:t>Hindmarsh S</w:t>
            </w:r>
          </w:p>
        </w:tc>
        <w:tc>
          <w:tcPr>
            <w:tcW w:w="1247" w:type="dxa"/>
            <w:tcBorders>
              <w:top w:val="nil"/>
              <w:left w:val="single" w:sz="18" w:space="0" w:color="5F497A" w:themeColor="accent4" w:themeShade="BF"/>
              <w:bottom w:val="nil"/>
              <w:right w:val="nil"/>
            </w:tcBorders>
            <w:shd w:val="clear" w:color="auto" w:fill="auto"/>
            <w:vAlign w:val="bottom"/>
          </w:tcPr>
          <w:p w14:paraId="4739552A" w14:textId="62B1F1BF" w:rsidR="00566EA9" w:rsidRPr="001D41EA" w:rsidRDefault="00566EA9" w:rsidP="001D41EA">
            <w:pPr>
              <w:spacing w:before="40" w:after="40"/>
              <w:jc w:val="center"/>
              <w:rPr>
                <w:rFonts w:cs="Arial"/>
                <w:sz w:val="18"/>
                <w:szCs w:val="18"/>
              </w:rPr>
            </w:pPr>
            <w:r w:rsidRPr="001D41EA">
              <w:rPr>
                <w:rFonts w:cs="Arial"/>
                <w:sz w:val="18"/>
                <w:szCs w:val="18"/>
              </w:rPr>
              <w:t>0.761</w:t>
            </w:r>
          </w:p>
        </w:tc>
        <w:tc>
          <w:tcPr>
            <w:tcW w:w="1247" w:type="dxa"/>
            <w:tcBorders>
              <w:top w:val="nil"/>
              <w:left w:val="nil"/>
              <w:bottom w:val="nil"/>
              <w:right w:val="nil"/>
            </w:tcBorders>
            <w:vAlign w:val="bottom"/>
          </w:tcPr>
          <w:p w14:paraId="4DE1E8BB" w14:textId="5F942758" w:rsidR="00566EA9" w:rsidRPr="001D41EA" w:rsidRDefault="00566EA9" w:rsidP="001D41EA">
            <w:pPr>
              <w:spacing w:before="40" w:after="40"/>
              <w:jc w:val="center"/>
              <w:rPr>
                <w:rFonts w:cs="Arial"/>
                <w:sz w:val="18"/>
                <w:szCs w:val="18"/>
              </w:rPr>
            </w:pPr>
            <w:r w:rsidRPr="001D41EA">
              <w:rPr>
                <w:rFonts w:cs="Arial"/>
                <w:sz w:val="18"/>
                <w:szCs w:val="18"/>
              </w:rPr>
              <w:t>0.764</w:t>
            </w:r>
          </w:p>
        </w:tc>
        <w:tc>
          <w:tcPr>
            <w:tcW w:w="1247" w:type="dxa"/>
            <w:tcBorders>
              <w:top w:val="nil"/>
              <w:left w:val="nil"/>
              <w:bottom w:val="nil"/>
              <w:right w:val="nil"/>
            </w:tcBorders>
            <w:vAlign w:val="bottom"/>
          </w:tcPr>
          <w:p w14:paraId="7D84FBE7" w14:textId="51B6430B" w:rsidR="00566EA9" w:rsidRPr="001D41EA" w:rsidRDefault="00566EA9" w:rsidP="001D41EA">
            <w:pPr>
              <w:spacing w:before="40" w:after="40"/>
              <w:jc w:val="center"/>
              <w:rPr>
                <w:rFonts w:cs="Arial"/>
                <w:sz w:val="18"/>
                <w:szCs w:val="18"/>
              </w:rPr>
            </w:pPr>
            <w:r w:rsidRPr="001D41EA">
              <w:rPr>
                <w:rFonts w:cs="Arial"/>
                <w:sz w:val="18"/>
                <w:szCs w:val="18"/>
              </w:rPr>
              <w:t>0.761</w:t>
            </w:r>
          </w:p>
        </w:tc>
        <w:tc>
          <w:tcPr>
            <w:tcW w:w="170" w:type="dxa"/>
            <w:tcBorders>
              <w:top w:val="nil"/>
              <w:left w:val="nil"/>
              <w:bottom w:val="nil"/>
              <w:right w:val="nil"/>
            </w:tcBorders>
            <w:vAlign w:val="bottom"/>
          </w:tcPr>
          <w:p w14:paraId="71C0D057" w14:textId="50953B20"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0D058A87" w14:textId="4C946DA0" w:rsidR="00566EA9" w:rsidRPr="001D41EA" w:rsidRDefault="00566EA9" w:rsidP="001D41EA">
            <w:pPr>
              <w:spacing w:before="40" w:after="40"/>
              <w:jc w:val="center"/>
              <w:rPr>
                <w:rFonts w:cs="Arial"/>
                <w:sz w:val="18"/>
                <w:szCs w:val="18"/>
              </w:rPr>
            </w:pPr>
            <w:r w:rsidRPr="001D41EA">
              <w:rPr>
                <w:rFonts w:cs="Arial"/>
                <w:sz w:val="18"/>
                <w:szCs w:val="18"/>
              </w:rPr>
              <w:t>0.831</w:t>
            </w:r>
          </w:p>
        </w:tc>
      </w:tr>
      <w:tr w:rsidR="00566EA9" w:rsidRPr="001D41EA" w14:paraId="5EF3A06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E1FA194" w14:textId="77777777" w:rsidR="00566EA9" w:rsidRPr="001D41EA" w:rsidRDefault="00566EA9" w:rsidP="001D41EA">
            <w:pPr>
              <w:spacing w:before="40" w:after="40"/>
              <w:rPr>
                <w:rFonts w:cs="Arial"/>
                <w:sz w:val="18"/>
                <w:szCs w:val="18"/>
              </w:rPr>
            </w:pPr>
            <w:r w:rsidRPr="001D41EA">
              <w:rPr>
                <w:rFonts w:cs="Arial"/>
                <w:sz w:val="18"/>
                <w:szCs w:val="18"/>
              </w:rPr>
              <w:t>Hobsons Bay C</w:t>
            </w:r>
          </w:p>
        </w:tc>
        <w:tc>
          <w:tcPr>
            <w:tcW w:w="1247" w:type="dxa"/>
            <w:tcBorders>
              <w:top w:val="nil"/>
              <w:left w:val="single" w:sz="18" w:space="0" w:color="5F497A" w:themeColor="accent4" w:themeShade="BF"/>
              <w:bottom w:val="nil"/>
              <w:right w:val="nil"/>
            </w:tcBorders>
            <w:shd w:val="clear" w:color="auto" w:fill="auto"/>
            <w:vAlign w:val="bottom"/>
          </w:tcPr>
          <w:p w14:paraId="3E86752B" w14:textId="753E822A" w:rsidR="00566EA9" w:rsidRPr="001D41EA" w:rsidRDefault="00566EA9" w:rsidP="001D41EA">
            <w:pPr>
              <w:spacing w:before="40" w:after="40"/>
              <w:jc w:val="center"/>
              <w:rPr>
                <w:rFonts w:cs="Arial"/>
                <w:sz w:val="18"/>
                <w:szCs w:val="18"/>
              </w:rPr>
            </w:pPr>
            <w:r w:rsidRPr="001D41EA">
              <w:rPr>
                <w:rFonts w:cs="Arial"/>
                <w:sz w:val="18"/>
                <w:szCs w:val="18"/>
              </w:rPr>
              <w:t>0.889</w:t>
            </w:r>
          </w:p>
        </w:tc>
        <w:tc>
          <w:tcPr>
            <w:tcW w:w="1247" w:type="dxa"/>
            <w:tcBorders>
              <w:top w:val="nil"/>
              <w:left w:val="nil"/>
              <w:bottom w:val="nil"/>
              <w:right w:val="nil"/>
            </w:tcBorders>
            <w:vAlign w:val="bottom"/>
          </w:tcPr>
          <w:p w14:paraId="12B5F23B" w14:textId="7A148CCD" w:rsidR="00566EA9" w:rsidRPr="001D41EA" w:rsidRDefault="00566EA9" w:rsidP="001D41EA">
            <w:pPr>
              <w:spacing w:before="40" w:after="40"/>
              <w:jc w:val="center"/>
              <w:rPr>
                <w:rFonts w:cs="Arial"/>
                <w:sz w:val="18"/>
                <w:szCs w:val="18"/>
              </w:rPr>
            </w:pPr>
            <w:r w:rsidRPr="001D41EA">
              <w:rPr>
                <w:rFonts w:cs="Arial"/>
                <w:sz w:val="18"/>
                <w:szCs w:val="18"/>
              </w:rPr>
              <w:t>0.892</w:t>
            </w:r>
          </w:p>
        </w:tc>
        <w:tc>
          <w:tcPr>
            <w:tcW w:w="1247" w:type="dxa"/>
            <w:tcBorders>
              <w:top w:val="nil"/>
              <w:left w:val="nil"/>
              <w:bottom w:val="nil"/>
              <w:right w:val="nil"/>
            </w:tcBorders>
            <w:vAlign w:val="bottom"/>
          </w:tcPr>
          <w:p w14:paraId="4749DA9F" w14:textId="016A84F2" w:rsidR="00566EA9" w:rsidRPr="001D41EA" w:rsidRDefault="00566EA9" w:rsidP="001D41EA">
            <w:pPr>
              <w:spacing w:before="40" w:after="40"/>
              <w:jc w:val="center"/>
              <w:rPr>
                <w:rFonts w:cs="Arial"/>
                <w:sz w:val="18"/>
                <w:szCs w:val="18"/>
              </w:rPr>
            </w:pPr>
            <w:r w:rsidRPr="001D41EA">
              <w:rPr>
                <w:rFonts w:cs="Arial"/>
                <w:sz w:val="18"/>
                <w:szCs w:val="18"/>
              </w:rPr>
              <w:t>0.890</w:t>
            </w:r>
          </w:p>
        </w:tc>
        <w:tc>
          <w:tcPr>
            <w:tcW w:w="170" w:type="dxa"/>
            <w:tcBorders>
              <w:top w:val="nil"/>
              <w:left w:val="nil"/>
              <w:bottom w:val="nil"/>
              <w:right w:val="nil"/>
            </w:tcBorders>
            <w:vAlign w:val="bottom"/>
          </w:tcPr>
          <w:p w14:paraId="7754E418" w14:textId="080A196A"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0EBF60DC" w14:textId="7A9A0489" w:rsidR="00566EA9" w:rsidRPr="001D41EA" w:rsidRDefault="00566EA9" w:rsidP="001D41EA">
            <w:pPr>
              <w:spacing w:before="40" w:after="40"/>
              <w:jc w:val="center"/>
              <w:rPr>
                <w:rFonts w:cs="Arial"/>
                <w:sz w:val="18"/>
                <w:szCs w:val="18"/>
              </w:rPr>
            </w:pPr>
            <w:r w:rsidRPr="001D41EA">
              <w:rPr>
                <w:rFonts w:cs="Arial"/>
                <w:sz w:val="18"/>
                <w:szCs w:val="18"/>
              </w:rPr>
              <w:t>1.057</w:t>
            </w:r>
          </w:p>
        </w:tc>
      </w:tr>
      <w:tr w:rsidR="00566EA9" w:rsidRPr="001D41EA" w14:paraId="258EB07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35C7584" w14:textId="77777777" w:rsidR="00566EA9" w:rsidRPr="001D41EA" w:rsidRDefault="00566EA9" w:rsidP="001D41EA">
            <w:pPr>
              <w:spacing w:before="40" w:after="40"/>
              <w:rPr>
                <w:rFonts w:cs="Arial"/>
                <w:sz w:val="18"/>
                <w:szCs w:val="18"/>
              </w:rPr>
            </w:pPr>
            <w:r w:rsidRPr="001D41EA">
              <w:rPr>
                <w:rFonts w:cs="Arial"/>
                <w:sz w:val="18"/>
                <w:szCs w:val="18"/>
              </w:rPr>
              <w:t>Horsham RC</w:t>
            </w:r>
          </w:p>
        </w:tc>
        <w:tc>
          <w:tcPr>
            <w:tcW w:w="1247" w:type="dxa"/>
            <w:tcBorders>
              <w:top w:val="nil"/>
              <w:left w:val="single" w:sz="18" w:space="0" w:color="5F497A" w:themeColor="accent4" w:themeShade="BF"/>
              <w:bottom w:val="nil"/>
              <w:right w:val="nil"/>
            </w:tcBorders>
            <w:shd w:val="clear" w:color="auto" w:fill="auto"/>
            <w:vAlign w:val="bottom"/>
          </w:tcPr>
          <w:p w14:paraId="4D151F58" w14:textId="01ACF5D5" w:rsidR="00566EA9" w:rsidRPr="001D41EA" w:rsidRDefault="00566EA9" w:rsidP="001D41EA">
            <w:pPr>
              <w:spacing w:before="40" w:after="40"/>
              <w:jc w:val="center"/>
              <w:rPr>
                <w:rFonts w:cs="Arial"/>
                <w:sz w:val="18"/>
                <w:szCs w:val="18"/>
              </w:rPr>
            </w:pPr>
            <w:r w:rsidRPr="001D41EA">
              <w:rPr>
                <w:rFonts w:cs="Arial"/>
                <w:sz w:val="18"/>
                <w:szCs w:val="18"/>
              </w:rPr>
              <w:t>0.780</w:t>
            </w:r>
          </w:p>
        </w:tc>
        <w:tc>
          <w:tcPr>
            <w:tcW w:w="1247" w:type="dxa"/>
            <w:tcBorders>
              <w:top w:val="nil"/>
              <w:left w:val="nil"/>
              <w:bottom w:val="nil"/>
              <w:right w:val="nil"/>
            </w:tcBorders>
            <w:vAlign w:val="bottom"/>
          </w:tcPr>
          <w:p w14:paraId="3959C56B" w14:textId="635F9BCF" w:rsidR="00566EA9" w:rsidRPr="001D41EA" w:rsidRDefault="00566EA9" w:rsidP="001D41EA">
            <w:pPr>
              <w:spacing w:before="40" w:after="40"/>
              <w:jc w:val="center"/>
              <w:rPr>
                <w:rFonts w:cs="Arial"/>
                <w:sz w:val="18"/>
                <w:szCs w:val="18"/>
              </w:rPr>
            </w:pPr>
            <w:r w:rsidRPr="001D41EA">
              <w:rPr>
                <w:rFonts w:cs="Arial"/>
                <w:sz w:val="18"/>
                <w:szCs w:val="18"/>
              </w:rPr>
              <w:t>0.783</w:t>
            </w:r>
          </w:p>
        </w:tc>
        <w:tc>
          <w:tcPr>
            <w:tcW w:w="1247" w:type="dxa"/>
            <w:tcBorders>
              <w:top w:val="nil"/>
              <w:left w:val="nil"/>
              <w:bottom w:val="nil"/>
              <w:right w:val="nil"/>
            </w:tcBorders>
            <w:vAlign w:val="bottom"/>
          </w:tcPr>
          <w:p w14:paraId="3E605D5E" w14:textId="65E92D37" w:rsidR="00566EA9" w:rsidRPr="001D41EA" w:rsidRDefault="00566EA9" w:rsidP="001D41EA">
            <w:pPr>
              <w:spacing w:before="40" w:after="40"/>
              <w:jc w:val="center"/>
              <w:rPr>
                <w:rFonts w:cs="Arial"/>
                <w:sz w:val="18"/>
                <w:szCs w:val="18"/>
              </w:rPr>
            </w:pPr>
            <w:r w:rsidRPr="001D41EA">
              <w:rPr>
                <w:rFonts w:cs="Arial"/>
                <w:sz w:val="18"/>
                <w:szCs w:val="18"/>
              </w:rPr>
              <w:t>0.781</w:t>
            </w:r>
          </w:p>
        </w:tc>
        <w:tc>
          <w:tcPr>
            <w:tcW w:w="170" w:type="dxa"/>
            <w:tcBorders>
              <w:top w:val="nil"/>
              <w:left w:val="nil"/>
              <w:bottom w:val="nil"/>
              <w:right w:val="nil"/>
            </w:tcBorders>
            <w:vAlign w:val="bottom"/>
          </w:tcPr>
          <w:p w14:paraId="11EAB64B" w14:textId="067DA25F"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7460183C" w14:textId="52C90039" w:rsidR="00566EA9" w:rsidRPr="001D41EA" w:rsidRDefault="00566EA9" w:rsidP="001D41EA">
            <w:pPr>
              <w:spacing w:before="40" w:after="40"/>
              <w:jc w:val="center"/>
              <w:rPr>
                <w:rFonts w:cs="Arial"/>
                <w:sz w:val="18"/>
                <w:szCs w:val="18"/>
              </w:rPr>
            </w:pPr>
            <w:r w:rsidRPr="001D41EA">
              <w:rPr>
                <w:rFonts w:cs="Arial"/>
                <w:sz w:val="18"/>
                <w:szCs w:val="18"/>
              </w:rPr>
              <w:t>1.002</w:t>
            </w:r>
          </w:p>
        </w:tc>
      </w:tr>
      <w:tr w:rsidR="00566EA9" w:rsidRPr="001D41EA" w14:paraId="0D0985B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E143950" w14:textId="77777777" w:rsidR="00566EA9" w:rsidRPr="001D41EA" w:rsidRDefault="00566EA9" w:rsidP="001D41EA">
            <w:pPr>
              <w:spacing w:before="40" w:after="40"/>
              <w:rPr>
                <w:rFonts w:cs="Arial"/>
                <w:sz w:val="18"/>
                <w:szCs w:val="18"/>
              </w:rPr>
            </w:pPr>
            <w:r w:rsidRPr="001D41EA">
              <w:rPr>
                <w:rFonts w:cs="Arial"/>
                <w:sz w:val="18"/>
                <w:szCs w:val="18"/>
              </w:rPr>
              <w:t>Hume C</w:t>
            </w:r>
          </w:p>
        </w:tc>
        <w:tc>
          <w:tcPr>
            <w:tcW w:w="1247" w:type="dxa"/>
            <w:tcBorders>
              <w:top w:val="nil"/>
              <w:left w:val="single" w:sz="18" w:space="0" w:color="5F497A" w:themeColor="accent4" w:themeShade="BF"/>
              <w:bottom w:val="nil"/>
              <w:right w:val="nil"/>
            </w:tcBorders>
            <w:shd w:val="clear" w:color="auto" w:fill="auto"/>
            <w:vAlign w:val="bottom"/>
          </w:tcPr>
          <w:p w14:paraId="18E7B6D7" w14:textId="041A7C01" w:rsidR="00566EA9" w:rsidRPr="001D41EA" w:rsidRDefault="00566EA9" w:rsidP="001D41EA">
            <w:pPr>
              <w:spacing w:before="40" w:after="40"/>
              <w:jc w:val="center"/>
              <w:rPr>
                <w:rFonts w:cs="Arial"/>
                <w:sz w:val="18"/>
                <w:szCs w:val="18"/>
              </w:rPr>
            </w:pPr>
            <w:r w:rsidRPr="001D41EA">
              <w:rPr>
                <w:rFonts w:cs="Arial"/>
                <w:sz w:val="18"/>
                <w:szCs w:val="18"/>
              </w:rPr>
              <w:t>1.177</w:t>
            </w:r>
          </w:p>
        </w:tc>
        <w:tc>
          <w:tcPr>
            <w:tcW w:w="1247" w:type="dxa"/>
            <w:tcBorders>
              <w:top w:val="nil"/>
              <w:left w:val="nil"/>
              <w:bottom w:val="nil"/>
              <w:right w:val="nil"/>
            </w:tcBorders>
            <w:vAlign w:val="bottom"/>
          </w:tcPr>
          <w:p w14:paraId="0513B655" w14:textId="0713D80E" w:rsidR="00566EA9" w:rsidRPr="001D41EA" w:rsidRDefault="00566EA9" w:rsidP="001D41EA">
            <w:pPr>
              <w:spacing w:before="40" w:after="40"/>
              <w:jc w:val="center"/>
              <w:rPr>
                <w:rFonts w:cs="Arial"/>
                <w:sz w:val="18"/>
                <w:szCs w:val="18"/>
              </w:rPr>
            </w:pPr>
            <w:r w:rsidRPr="001D41EA">
              <w:rPr>
                <w:rFonts w:cs="Arial"/>
                <w:sz w:val="18"/>
                <w:szCs w:val="18"/>
              </w:rPr>
              <w:t>1.181</w:t>
            </w:r>
          </w:p>
        </w:tc>
        <w:tc>
          <w:tcPr>
            <w:tcW w:w="1247" w:type="dxa"/>
            <w:tcBorders>
              <w:top w:val="nil"/>
              <w:left w:val="nil"/>
              <w:bottom w:val="nil"/>
              <w:right w:val="nil"/>
            </w:tcBorders>
            <w:vAlign w:val="bottom"/>
          </w:tcPr>
          <w:p w14:paraId="0C5E047D" w14:textId="1F545293" w:rsidR="00566EA9" w:rsidRPr="001D41EA" w:rsidRDefault="00566EA9" w:rsidP="001D41EA">
            <w:pPr>
              <w:spacing w:before="40" w:after="40"/>
              <w:jc w:val="center"/>
              <w:rPr>
                <w:rFonts w:cs="Arial"/>
                <w:sz w:val="18"/>
                <w:szCs w:val="18"/>
              </w:rPr>
            </w:pPr>
            <w:r w:rsidRPr="001D41EA">
              <w:rPr>
                <w:rFonts w:cs="Arial"/>
                <w:sz w:val="18"/>
                <w:szCs w:val="18"/>
              </w:rPr>
              <w:t>1.178</w:t>
            </w:r>
          </w:p>
        </w:tc>
        <w:tc>
          <w:tcPr>
            <w:tcW w:w="170" w:type="dxa"/>
            <w:tcBorders>
              <w:top w:val="nil"/>
              <w:left w:val="nil"/>
              <w:bottom w:val="nil"/>
              <w:right w:val="nil"/>
            </w:tcBorders>
            <w:vAlign w:val="bottom"/>
          </w:tcPr>
          <w:p w14:paraId="0DDEF399" w14:textId="1CCAC618"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3D33F34C" w14:textId="2A7C0B7E" w:rsidR="00566EA9" w:rsidRPr="001D41EA" w:rsidRDefault="00566EA9" w:rsidP="001D41EA">
            <w:pPr>
              <w:spacing w:before="40" w:after="40"/>
              <w:jc w:val="center"/>
              <w:rPr>
                <w:rFonts w:cs="Arial"/>
                <w:sz w:val="18"/>
                <w:szCs w:val="18"/>
              </w:rPr>
            </w:pPr>
            <w:r w:rsidRPr="001D41EA">
              <w:rPr>
                <w:rFonts w:cs="Arial"/>
                <w:sz w:val="18"/>
                <w:szCs w:val="18"/>
              </w:rPr>
              <w:t>1.196</w:t>
            </w:r>
          </w:p>
        </w:tc>
      </w:tr>
      <w:tr w:rsidR="00566EA9" w:rsidRPr="001D41EA" w14:paraId="3BC493F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15BDF40" w14:textId="77777777" w:rsidR="00566EA9" w:rsidRPr="001D41EA" w:rsidRDefault="00566EA9" w:rsidP="001D41EA">
            <w:pPr>
              <w:spacing w:before="40" w:after="40"/>
              <w:rPr>
                <w:rFonts w:cs="Arial"/>
                <w:sz w:val="18"/>
                <w:szCs w:val="18"/>
              </w:rPr>
            </w:pPr>
            <w:r w:rsidRPr="001D41EA">
              <w:rPr>
                <w:rFonts w:cs="Arial"/>
                <w:sz w:val="18"/>
                <w:szCs w:val="18"/>
              </w:rPr>
              <w:t>Indigo S</w:t>
            </w:r>
          </w:p>
        </w:tc>
        <w:tc>
          <w:tcPr>
            <w:tcW w:w="1247" w:type="dxa"/>
            <w:tcBorders>
              <w:top w:val="nil"/>
              <w:left w:val="single" w:sz="18" w:space="0" w:color="5F497A" w:themeColor="accent4" w:themeShade="BF"/>
              <w:bottom w:val="nil"/>
              <w:right w:val="nil"/>
            </w:tcBorders>
            <w:shd w:val="clear" w:color="auto" w:fill="auto"/>
            <w:vAlign w:val="bottom"/>
          </w:tcPr>
          <w:p w14:paraId="7C907A4E" w14:textId="73D1A854" w:rsidR="00566EA9" w:rsidRPr="001D41EA" w:rsidRDefault="00566EA9" w:rsidP="001D41EA">
            <w:pPr>
              <w:spacing w:before="40" w:after="40"/>
              <w:jc w:val="center"/>
              <w:rPr>
                <w:rFonts w:cs="Arial"/>
                <w:sz w:val="18"/>
                <w:szCs w:val="18"/>
              </w:rPr>
            </w:pPr>
            <w:r w:rsidRPr="001D41EA">
              <w:rPr>
                <w:rFonts w:cs="Arial"/>
                <w:sz w:val="18"/>
                <w:szCs w:val="18"/>
              </w:rPr>
              <w:t>0.925</w:t>
            </w:r>
          </w:p>
        </w:tc>
        <w:tc>
          <w:tcPr>
            <w:tcW w:w="1247" w:type="dxa"/>
            <w:tcBorders>
              <w:top w:val="nil"/>
              <w:left w:val="nil"/>
              <w:bottom w:val="nil"/>
              <w:right w:val="nil"/>
            </w:tcBorders>
            <w:vAlign w:val="bottom"/>
          </w:tcPr>
          <w:p w14:paraId="0B29A941" w14:textId="4D3395C3" w:rsidR="00566EA9" w:rsidRPr="001D41EA" w:rsidRDefault="00566EA9" w:rsidP="001D41EA">
            <w:pPr>
              <w:spacing w:before="40" w:after="40"/>
              <w:jc w:val="center"/>
              <w:rPr>
                <w:rFonts w:cs="Arial"/>
                <w:sz w:val="18"/>
                <w:szCs w:val="18"/>
              </w:rPr>
            </w:pPr>
            <w:r w:rsidRPr="001D41EA">
              <w:rPr>
                <w:rFonts w:cs="Arial"/>
                <w:sz w:val="18"/>
                <w:szCs w:val="18"/>
              </w:rPr>
              <w:t>0.928</w:t>
            </w:r>
          </w:p>
        </w:tc>
        <w:tc>
          <w:tcPr>
            <w:tcW w:w="1247" w:type="dxa"/>
            <w:tcBorders>
              <w:top w:val="nil"/>
              <w:left w:val="nil"/>
              <w:bottom w:val="nil"/>
              <w:right w:val="nil"/>
            </w:tcBorders>
            <w:vAlign w:val="bottom"/>
          </w:tcPr>
          <w:p w14:paraId="4DB0FD4B" w14:textId="4F054A02" w:rsidR="00566EA9" w:rsidRPr="001D41EA" w:rsidRDefault="00566EA9" w:rsidP="001D41EA">
            <w:pPr>
              <w:spacing w:before="40" w:after="40"/>
              <w:jc w:val="center"/>
              <w:rPr>
                <w:rFonts w:cs="Arial"/>
                <w:sz w:val="18"/>
                <w:szCs w:val="18"/>
              </w:rPr>
            </w:pPr>
            <w:r w:rsidRPr="001D41EA">
              <w:rPr>
                <w:rFonts w:cs="Arial"/>
                <w:sz w:val="18"/>
                <w:szCs w:val="18"/>
              </w:rPr>
              <w:t>0.926</w:t>
            </w:r>
          </w:p>
        </w:tc>
        <w:tc>
          <w:tcPr>
            <w:tcW w:w="170" w:type="dxa"/>
            <w:tcBorders>
              <w:top w:val="nil"/>
              <w:left w:val="nil"/>
              <w:bottom w:val="nil"/>
              <w:right w:val="nil"/>
            </w:tcBorders>
            <w:vAlign w:val="bottom"/>
          </w:tcPr>
          <w:p w14:paraId="19F202EF" w14:textId="2A1E474F"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746758BF" w14:textId="0ADAD9EA" w:rsidR="00566EA9" w:rsidRPr="001D41EA" w:rsidRDefault="00566EA9" w:rsidP="001D41EA">
            <w:pPr>
              <w:spacing w:before="40" w:after="40"/>
              <w:jc w:val="center"/>
              <w:rPr>
                <w:rFonts w:cs="Arial"/>
                <w:sz w:val="18"/>
                <w:szCs w:val="18"/>
              </w:rPr>
            </w:pPr>
            <w:r w:rsidRPr="001D41EA">
              <w:rPr>
                <w:rFonts w:cs="Arial"/>
                <w:sz w:val="18"/>
                <w:szCs w:val="18"/>
              </w:rPr>
              <w:t>0.852</w:t>
            </w:r>
          </w:p>
        </w:tc>
      </w:tr>
      <w:tr w:rsidR="00566EA9" w:rsidRPr="001D41EA" w14:paraId="0DC421A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F6E53CE" w14:textId="77777777" w:rsidR="00566EA9" w:rsidRPr="001D41EA" w:rsidRDefault="00566EA9" w:rsidP="001D41EA">
            <w:pPr>
              <w:spacing w:before="40" w:after="40"/>
              <w:rPr>
                <w:rFonts w:cs="Arial"/>
                <w:sz w:val="18"/>
                <w:szCs w:val="18"/>
              </w:rPr>
            </w:pPr>
            <w:r w:rsidRPr="001D41EA">
              <w:rPr>
                <w:rFonts w:cs="Arial"/>
                <w:sz w:val="18"/>
                <w:szCs w:val="18"/>
              </w:rPr>
              <w:t>Kingston C</w:t>
            </w:r>
          </w:p>
        </w:tc>
        <w:tc>
          <w:tcPr>
            <w:tcW w:w="1247" w:type="dxa"/>
            <w:tcBorders>
              <w:top w:val="nil"/>
              <w:left w:val="single" w:sz="18" w:space="0" w:color="5F497A" w:themeColor="accent4" w:themeShade="BF"/>
              <w:bottom w:val="nil"/>
              <w:right w:val="nil"/>
            </w:tcBorders>
            <w:shd w:val="clear" w:color="auto" w:fill="auto"/>
            <w:vAlign w:val="bottom"/>
          </w:tcPr>
          <w:p w14:paraId="4692128D" w14:textId="08E68A6D" w:rsidR="00566EA9" w:rsidRPr="001D41EA" w:rsidRDefault="00566EA9" w:rsidP="001D41EA">
            <w:pPr>
              <w:spacing w:before="40" w:after="40"/>
              <w:jc w:val="center"/>
              <w:rPr>
                <w:rFonts w:cs="Arial"/>
                <w:sz w:val="18"/>
                <w:szCs w:val="18"/>
              </w:rPr>
            </w:pPr>
            <w:r w:rsidRPr="001D41EA">
              <w:rPr>
                <w:rFonts w:cs="Arial"/>
                <w:sz w:val="18"/>
                <w:szCs w:val="18"/>
              </w:rPr>
              <w:t>0.910</w:t>
            </w:r>
          </w:p>
        </w:tc>
        <w:tc>
          <w:tcPr>
            <w:tcW w:w="1247" w:type="dxa"/>
            <w:tcBorders>
              <w:top w:val="nil"/>
              <w:left w:val="nil"/>
              <w:bottom w:val="nil"/>
              <w:right w:val="nil"/>
            </w:tcBorders>
            <w:vAlign w:val="bottom"/>
          </w:tcPr>
          <w:p w14:paraId="656C2B86" w14:textId="0F5935B7" w:rsidR="00566EA9" w:rsidRPr="001D41EA" w:rsidRDefault="00566EA9" w:rsidP="001D41EA">
            <w:pPr>
              <w:spacing w:before="40" w:after="40"/>
              <w:jc w:val="center"/>
              <w:rPr>
                <w:rFonts w:cs="Arial"/>
                <w:sz w:val="18"/>
                <w:szCs w:val="18"/>
              </w:rPr>
            </w:pPr>
            <w:r w:rsidRPr="001D41EA">
              <w:rPr>
                <w:rFonts w:cs="Arial"/>
                <w:sz w:val="18"/>
                <w:szCs w:val="18"/>
              </w:rPr>
              <w:t>0.913</w:t>
            </w:r>
          </w:p>
        </w:tc>
        <w:tc>
          <w:tcPr>
            <w:tcW w:w="1247" w:type="dxa"/>
            <w:tcBorders>
              <w:top w:val="nil"/>
              <w:left w:val="nil"/>
              <w:bottom w:val="nil"/>
              <w:right w:val="nil"/>
            </w:tcBorders>
            <w:vAlign w:val="bottom"/>
          </w:tcPr>
          <w:p w14:paraId="6CDE89DB" w14:textId="6C6E7735" w:rsidR="00566EA9" w:rsidRPr="001D41EA" w:rsidRDefault="00566EA9" w:rsidP="001D41EA">
            <w:pPr>
              <w:spacing w:before="40" w:after="40"/>
              <w:jc w:val="center"/>
              <w:rPr>
                <w:rFonts w:cs="Arial"/>
                <w:sz w:val="18"/>
                <w:szCs w:val="18"/>
              </w:rPr>
            </w:pPr>
            <w:r w:rsidRPr="001D41EA">
              <w:rPr>
                <w:rFonts w:cs="Arial"/>
                <w:sz w:val="18"/>
                <w:szCs w:val="18"/>
              </w:rPr>
              <w:t>0.910</w:t>
            </w:r>
          </w:p>
        </w:tc>
        <w:tc>
          <w:tcPr>
            <w:tcW w:w="170" w:type="dxa"/>
            <w:tcBorders>
              <w:top w:val="nil"/>
              <w:left w:val="nil"/>
              <w:bottom w:val="nil"/>
              <w:right w:val="nil"/>
            </w:tcBorders>
            <w:vAlign w:val="bottom"/>
          </w:tcPr>
          <w:p w14:paraId="305B8035" w14:textId="66A26B34"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41524F97" w14:textId="058F67D8" w:rsidR="00566EA9" w:rsidRPr="001D41EA" w:rsidRDefault="00566EA9" w:rsidP="001D41EA">
            <w:pPr>
              <w:spacing w:before="40" w:after="40"/>
              <w:jc w:val="center"/>
              <w:rPr>
                <w:rFonts w:cs="Arial"/>
                <w:sz w:val="18"/>
                <w:szCs w:val="18"/>
              </w:rPr>
            </w:pPr>
            <w:r w:rsidRPr="001D41EA">
              <w:rPr>
                <w:rFonts w:cs="Arial"/>
                <w:sz w:val="18"/>
                <w:szCs w:val="18"/>
              </w:rPr>
              <w:t>0.959</w:t>
            </w:r>
          </w:p>
        </w:tc>
      </w:tr>
      <w:tr w:rsidR="00566EA9" w:rsidRPr="001D41EA" w14:paraId="168945C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84B0C28" w14:textId="77777777" w:rsidR="00566EA9" w:rsidRPr="001D41EA" w:rsidRDefault="00566EA9" w:rsidP="001D41EA">
            <w:pPr>
              <w:spacing w:before="40" w:after="40"/>
              <w:rPr>
                <w:rFonts w:cs="Arial"/>
                <w:sz w:val="18"/>
                <w:szCs w:val="18"/>
              </w:rPr>
            </w:pPr>
            <w:r w:rsidRPr="001D41EA">
              <w:rPr>
                <w:rFonts w:cs="Arial"/>
                <w:sz w:val="18"/>
                <w:szCs w:val="18"/>
              </w:rPr>
              <w:t>Knox C</w:t>
            </w:r>
          </w:p>
        </w:tc>
        <w:tc>
          <w:tcPr>
            <w:tcW w:w="1247" w:type="dxa"/>
            <w:tcBorders>
              <w:top w:val="nil"/>
              <w:left w:val="single" w:sz="18" w:space="0" w:color="5F497A" w:themeColor="accent4" w:themeShade="BF"/>
              <w:bottom w:val="nil"/>
              <w:right w:val="nil"/>
            </w:tcBorders>
            <w:shd w:val="clear" w:color="auto" w:fill="auto"/>
            <w:vAlign w:val="bottom"/>
          </w:tcPr>
          <w:p w14:paraId="321E3F3C" w14:textId="698F747A" w:rsidR="00566EA9" w:rsidRPr="001D41EA" w:rsidRDefault="00566EA9" w:rsidP="001D41EA">
            <w:pPr>
              <w:spacing w:before="40" w:after="40"/>
              <w:jc w:val="center"/>
              <w:rPr>
                <w:rFonts w:cs="Arial"/>
                <w:sz w:val="18"/>
                <w:szCs w:val="18"/>
              </w:rPr>
            </w:pPr>
            <w:r w:rsidRPr="001D41EA">
              <w:rPr>
                <w:rFonts w:cs="Arial"/>
                <w:sz w:val="18"/>
                <w:szCs w:val="18"/>
              </w:rPr>
              <w:t>0.872</w:t>
            </w:r>
          </w:p>
        </w:tc>
        <w:tc>
          <w:tcPr>
            <w:tcW w:w="1247" w:type="dxa"/>
            <w:tcBorders>
              <w:top w:val="nil"/>
              <w:left w:val="nil"/>
              <w:bottom w:val="nil"/>
              <w:right w:val="nil"/>
            </w:tcBorders>
            <w:vAlign w:val="bottom"/>
          </w:tcPr>
          <w:p w14:paraId="6DCCE554" w14:textId="3F745033" w:rsidR="00566EA9" w:rsidRPr="001D41EA" w:rsidRDefault="00566EA9" w:rsidP="001D41EA">
            <w:pPr>
              <w:spacing w:before="40" w:after="40"/>
              <w:jc w:val="center"/>
              <w:rPr>
                <w:rFonts w:cs="Arial"/>
                <w:sz w:val="18"/>
                <w:szCs w:val="18"/>
              </w:rPr>
            </w:pPr>
            <w:r w:rsidRPr="001D41EA">
              <w:rPr>
                <w:rFonts w:cs="Arial"/>
                <w:sz w:val="18"/>
                <w:szCs w:val="18"/>
              </w:rPr>
              <w:t>0.875</w:t>
            </w:r>
          </w:p>
        </w:tc>
        <w:tc>
          <w:tcPr>
            <w:tcW w:w="1247" w:type="dxa"/>
            <w:tcBorders>
              <w:top w:val="nil"/>
              <w:left w:val="nil"/>
              <w:bottom w:val="nil"/>
              <w:right w:val="nil"/>
            </w:tcBorders>
            <w:vAlign w:val="bottom"/>
          </w:tcPr>
          <w:p w14:paraId="4D6CBF6E" w14:textId="6C35933C" w:rsidR="00566EA9" w:rsidRPr="001D41EA" w:rsidRDefault="00566EA9" w:rsidP="001D41EA">
            <w:pPr>
              <w:spacing w:before="40" w:after="40"/>
              <w:jc w:val="center"/>
              <w:rPr>
                <w:rFonts w:cs="Arial"/>
                <w:sz w:val="18"/>
                <w:szCs w:val="18"/>
              </w:rPr>
            </w:pPr>
            <w:r w:rsidRPr="001D41EA">
              <w:rPr>
                <w:rFonts w:cs="Arial"/>
                <w:sz w:val="18"/>
                <w:szCs w:val="18"/>
              </w:rPr>
              <w:t>0.873</w:t>
            </w:r>
          </w:p>
        </w:tc>
        <w:tc>
          <w:tcPr>
            <w:tcW w:w="170" w:type="dxa"/>
            <w:tcBorders>
              <w:top w:val="nil"/>
              <w:left w:val="nil"/>
              <w:bottom w:val="nil"/>
              <w:right w:val="nil"/>
            </w:tcBorders>
            <w:vAlign w:val="bottom"/>
          </w:tcPr>
          <w:p w14:paraId="5FF8C89C" w14:textId="7FF78AFE"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6634E6DB" w14:textId="63FF9DA5" w:rsidR="00566EA9" w:rsidRPr="001D41EA" w:rsidRDefault="00566EA9" w:rsidP="001D41EA">
            <w:pPr>
              <w:spacing w:before="40" w:after="40"/>
              <w:jc w:val="center"/>
              <w:rPr>
                <w:rFonts w:cs="Arial"/>
                <w:sz w:val="18"/>
                <w:szCs w:val="18"/>
              </w:rPr>
            </w:pPr>
            <w:r w:rsidRPr="001D41EA">
              <w:rPr>
                <w:rFonts w:cs="Arial"/>
                <w:sz w:val="18"/>
                <w:szCs w:val="18"/>
              </w:rPr>
              <w:t>0.949</w:t>
            </w:r>
          </w:p>
        </w:tc>
      </w:tr>
      <w:tr w:rsidR="00566EA9" w:rsidRPr="001D41EA" w14:paraId="4C3A5CC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B461A64" w14:textId="77777777" w:rsidR="00566EA9" w:rsidRPr="001D41EA" w:rsidRDefault="00566EA9" w:rsidP="001D41EA">
            <w:pPr>
              <w:spacing w:before="40" w:after="40"/>
              <w:rPr>
                <w:rFonts w:cs="Arial"/>
                <w:sz w:val="18"/>
                <w:szCs w:val="18"/>
              </w:rPr>
            </w:pPr>
            <w:r w:rsidRPr="001D41EA">
              <w:rPr>
                <w:rFonts w:cs="Arial"/>
                <w:sz w:val="18"/>
                <w:szCs w:val="18"/>
              </w:rPr>
              <w:t>Latrobe C</w:t>
            </w:r>
          </w:p>
        </w:tc>
        <w:tc>
          <w:tcPr>
            <w:tcW w:w="1247" w:type="dxa"/>
            <w:tcBorders>
              <w:top w:val="nil"/>
              <w:left w:val="single" w:sz="18" w:space="0" w:color="5F497A" w:themeColor="accent4" w:themeShade="BF"/>
              <w:bottom w:val="nil"/>
              <w:right w:val="nil"/>
            </w:tcBorders>
            <w:shd w:val="clear" w:color="auto" w:fill="auto"/>
            <w:vAlign w:val="bottom"/>
          </w:tcPr>
          <w:p w14:paraId="3B6F2BEB" w14:textId="604FB07C" w:rsidR="00566EA9" w:rsidRPr="001D41EA" w:rsidRDefault="00566EA9" w:rsidP="001D41EA">
            <w:pPr>
              <w:spacing w:before="40" w:after="40"/>
              <w:jc w:val="center"/>
              <w:rPr>
                <w:rFonts w:cs="Arial"/>
                <w:sz w:val="18"/>
                <w:szCs w:val="18"/>
              </w:rPr>
            </w:pPr>
            <w:r w:rsidRPr="001D41EA">
              <w:rPr>
                <w:rFonts w:cs="Arial"/>
                <w:sz w:val="18"/>
                <w:szCs w:val="18"/>
              </w:rPr>
              <w:t>0.807</w:t>
            </w:r>
          </w:p>
        </w:tc>
        <w:tc>
          <w:tcPr>
            <w:tcW w:w="1247" w:type="dxa"/>
            <w:tcBorders>
              <w:top w:val="nil"/>
              <w:left w:val="nil"/>
              <w:bottom w:val="nil"/>
              <w:right w:val="nil"/>
            </w:tcBorders>
            <w:vAlign w:val="bottom"/>
          </w:tcPr>
          <w:p w14:paraId="13B49D06" w14:textId="6C327450" w:rsidR="00566EA9" w:rsidRPr="001D41EA" w:rsidRDefault="00566EA9" w:rsidP="001D41EA">
            <w:pPr>
              <w:spacing w:before="40" w:after="40"/>
              <w:jc w:val="center"/>
              <w:rPr>
                <w:rFonts w:cs="Arial"/>
                <w:sz w:val="18"/>
                <w:szCs w:val="18"/>
              </w:rPr>
            </w:pPr>
            <w:r w:rsidRPr="001D41EA">
              <w:rPr>
                <w:rFonts w:cs="Arial"/>
                <w:sz w:val="18"/>
                <w:szCs w:val="18"/>
              </w:rPr>
              <w:t>0.810</w:t>
            </w:r>
          </w:p>
        </w:tc>
        <w:tc>
          <w:tcPr>
            <w:tcW w:w="1247" w:type="dxa"/>
            <w:tcBorders>
              <w:top w:val="nil"/>
              <w:left w:val="nil"/>
              <w:bottom w:val="nil"/>
              <w:right w:val="nil"/>
            </w:tcBorders>
            <w:vAlign w:val="bottom"/>
          </w:tcPr>
          <w:p w14:paraId="32F4BC0D" w14:textId="66A51726" w:rsidR="00566EA9" w:rsidRPr="001D41EA" w:rsidRDefault="00566EA9" w:rsidP="001D41EA">
            <w:pPr>
              <w:spacing w:before="40" w:after="40"/>
              <w:jc w:val="center"/>
              <w:rPr>
                <w:rFonts w:cs="Arial"/>
                <w:sz w:val="18"/>
                <w:szCs w:val="18"/>
              </w:rPr>
            </w:pPr>
            <w:r w:rsidRPr="001D41EA">
              <w:rPr>
                <w:rFonts w:cs="Arial"/>
                <w:sz w:val="18"/>
                <w:szCs w:val="18"/>
              </w:rPr>
              <w:t>0.808</w:t>
            </w:r>
          </w:p>
        </w:tc>
        <w:tc>
          <w:tcPr>
            <w:tcW w:w="170" w:type="dxa"/>
            <w:tcBorders>
              <w:top w:val="nil"/>
              <w:left w:val="nil"/>
              <w:bottom w:val="nil"/>
              <w:right w:val="nil"/>
            </w:tcBorders>
            <w:vAlign w:val="bottom"/>
          </w:tcPr>
          <w:p w14:paraId="71DF04DA" w14:textId="569C420F"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13CA2000" w14:textId="55A50806" w:rsidR="00566EA9" w:rsidRPr="001D41EA" w:rsidRDefault="00566EA9" w:rsidP="001D41EA">
            <w:pPr>
              <w:spacing w:before="40" w:after="40"/>
              <w:jc w:val="center"/>
              <w:rPr>
                <w:rFonts w:cs="Arial"/>
                <w:sz w:val="18"/>
                <w:szCs w:val="18"/>
              </w:rPr>
            </w:pPr>
            <w:r w:rsidRPr="001D41EA">
              <w:rPr>
                <w:rFonts w:cs="Arial"/>
                <w:sz w:val="18"/>
                <w:szCs w:val="18"/>
              </w:rPr>
              <w:t>0.965</w:t>
            </w:r>
          </w:p>
        </w:tc>
      </w:tr>
      <w:tr w:rsidR="00566EA9" w:rsidRPr="001D41EA" w14:paraId="3913C98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605B0F4" w14:textId="77777777" w:rsidR="00566EA9" w:rsidRPr="001D41EA" w:rsidRDefault="00566EA9" w:rsidP="001D41EA">
            <w:pPr>
              <w:spacing w:before="40" w:after="40"/>
              <w:rPr>
                <w:rFonts w:cs="Arial"/>
                <w:sz w:val="18"/>
                <w:szCs w:val="18"/>
              </w:rPr>
            </w:pPr>
            <w:r w:rsidRPr="001D41EA">
              <w:rPr>
                <w:rFonts w:cs="Arial"/>
                <w:sz w:val="18"/>
                <w:szCs w:val="18"/>
              </w:rPr>
              <w:t>Loddon S</w:t>
            </w:r>
          </w:p>
        </w:tc>
        <w:tc>
          <w:tcPr>
            <w:tcW w:w="1247" w:type="dxa"/>
            <w:tcBorders>
              <w:top w:val="nil"/>
              <w:left w:val="single" w:sz="18" w:space="0" w:color="5F497A" w:themeColor="accent4" w:themeShade="BF"/>
              <w:bottom w:val="nil"/>
              <w:right w:val="nil"/>
            </w:tcBorders>
            <w:shd w:val="clear" w:color="auto" w:fill="auto"/>
            <w:vAlign w:val="bottom"/>
          </w:tcPr>
          <w:p w14:paraId="5362741B" w14:textId="3731B68E" w:rsidR="00566EA9" w:rsidRPr="001D41EA" w:rsidRDefault="00566EA9" w:rsidP="001D41EA">
            <w:pPr>
              <w:spacing w:before="40" w:after="40"/>
              <w:jc w:val="center"/>
              <w:rPr>
                <w:rFonts w:cs="Arial"/>
                <w:sz w:val="18"/>
                <w:szCs w:val="18"/>
              </w:rPr>
            </w:pPr>
            <w:r w:rsidRPr="001D41EA">
              <w:rPr>
                <w:rFonts w:cs="Arial"/>
                <w:sz w:val="18"/>
                <w:szCs w:val="18"/>
              </w:rPr>
              <w:t>0.808</w:t>
            </w:r>
          </w:p>
        </w:tc>
        <w:tc>
          <w:tcPr>
            <w:tcW w:w="1247" w:type="dxa"/>
            <w:tcBorders>
              <w:top w:val="nil"/>
              <w:left w:val="nil"/>
              <w:bottom w:val="nil"/>
              <w:right w:val="nil"/>
            </w:tcBorders>
            <w:vAlign w:val="bottom"/>
          </w:tcPr>
          <w:p w14:paraId="6A115B58" w14:textId="09354067" w:rsidR="00566EA9" w:rsidRPr="001D41EA" w:rsidRDefault="00566EA9" w:rsidP="001D41EA">
            <w:pPr>
              <w:spacing w:before="40" w:after="40"/>
              <w:jc w:val="center"/>
              <w:rPr>
                <w:rFonts w:cs="Arial"/>
                <w:sz w:val="18"/>
                <w:szCs w:val="18"/>
              </w:rPr>
            </w:pPr>
            <w:r w:rsidRPr="001D41EA">
              <w:rPr>
                <w:rFonts w:cs="Arial"/>
                <w:sz w:val="18"/>
                <w:szCs w:val="18"/>
              </w:rPr>
              <w:t>0.810</w:t>
            </w:r>
          </w:p>
        </w:tc>
        <w:tc>
          <w:tcPr>
            <w:tcW w:w="1247" w:type="dxa"/>
            <w:tcBorders>
              <w:top w:val="nil"/>
              <w:left w:val="nil"/>
              <w:bottom w:val="nil"/>
              <w:right w:val="nil"/>
            </w:tcBorders>
            <w:vAlign w:val="bottom"/>
          </w:tcPr>
          <w:p w14:paraId="030D0634" w14:textId="5AF46896" w:rsidR="00566EA9" w:rsidRPr="001D41EA" w:rsidRDefault="00566EA9" w:rsidP="001D41EA">
            <w:pPr>
              <w:spacing w:before="40" w:after="40"/>
              <w:jc w:val="center"/>
              <w:rPr>
                <w:rFonts w:cs="Arial"/>
                <w:sz w:val="18"/>
                <w:szCs w:val="18"/>
              </w:rPr>
            </w:pPr>
            <w:r w:rsidRPr="001D41EA">
              <w:rPr>
                <w:rFonts w:cs="Arial"/>
                <w:sz w:val="18"/>
                <w:szCs w:val="18"/>
              </w:rPr>
              <w:t>0.808</w:t>
            </w:r>
          </w:p>
        </w:tc>
        <w:tc>
          <w:tcPr>
            <w:tcW w:w="170" w:type="dxa"/>
            <w:tcBorders>
              <w:top w:val="nil"/>
              <w:left w:val="nil"/>
              <w:bottom w:val="nil"/>
              <w:right w:val="nil"/>
            </w:tcBorders>
            <w:vAlign w:val="bottom"/>
          </w:tcPr>
          <w:p w14:paraId="25B3BCED" w14:textId="439F292B" w:rsidR="00566EA9" w:rsidRPr="001D41EA" w:rsidRDefault="00566EA9" w:rsidP="001D41EA">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7B63A73D" w14:textId="2B7BB35E" w:rsidR="00566EA9" w:rsidRPr="001D41EA" w:rsidRDefault="00566EA9" w:rsidP="001D41EA">
            <w:pPr>
              <w:spacing w:before="40" w:after="40"/>
              <w:jc w:val="center"/>
              <w:rPr>
                <w:rFonts w:cs="Arial"/>
                <w:sz w:val="18"/>
                <w:szCs w:val="18"/>
              </w:rPr>
            </w:pPr>
            <w:r w:rsidRPr="001D41EA">
              <w:rPr>
                <w:rFonts w:cs="Arial"/>
                <w:sz w:val="18"/>
                <w:szCs w:val="18"/>
              </w:rPr>
              <w:t>0.775</w:t>
            </w:r>
          </w:p>
        </w:tc>
      </w:tr>
    </w:tbl>
    <w:p w14:paraId="4726BE9F" w14:textId="65DF1474" w:rsidR="00EB2E62" w:rsidRPr="00A44829" w:rsidRDefault="00EB2E62" w:rsidP="00FF36E8">
      <w:pPr>
        <w:spacing w:before="40" w:after="20"/>
        <w:rPr>
          <w:rFonts w:cs="Arial"/>
          <w:sz w:val="18"/>
          <w:szCs w:val="18"/>
        </w:rPr>
      </w:pPr>
    </w:p>
    <w:p w14:paraId="3A208BBE" w14:textId="1C71894C" w:rsidR="00A009D7" w:rsidRPr="00A44829" w:rsidRDefault="00A009D7" w:rsidP="00FF36E8">
      <w:pPr>
        <w:spacing w:before="40" w:after="20"/>
        <w:rPr>
          <w:rFonts w:cs="Arial"/>
          <w:sz w:val="18"/>
          <w:szCs w:val="18"/>
        </w:rPr>
      </w:pPr>
      <w:r w:rsidRPr="005D19CF">
        <w:rPr>
          <w:rFonts w:cs="Arial"/>
          <w:i/>
          <w:sz w:val="16"/>
          <w:szCs w:val="16"/>
        </w:rPr>
        <w:t xml:space="preserve">* Modified Population - adjusted by </w:t>
      </w:r>
      <w:r w:rsidR="005D19CF">
        <w:rPr>
          <w:rFonts w:cs="Arial"/>
          <w:i/>
          <w:sz w:val="16"/>
          <w:szCs w:val="16"/>
        </w:rPr>
        <w:t>half</w:t>
      </w:r>
      <w:r w:rsidRPr="005D19CF">
        <w:rPr>
          <w:rFonts w:cs="Arial"/>
          <w:i/>
          <w:sz w:val="16"/>
          <w:szCs w:val="16"/>
        </w:rPr>
        <w:t xml:space="preserve"> vacancy rate to take account of part-time residents.</w:t>
      </w:r>
      <w:r w:rsidRPr="00A44829">
        <w:rPr>
          <w:rFonts w:cs="Arial"/>
          <w:i/>
          <w:sz w:val="16"/>
          <w:szCs w:val="16"/>
        </w:rPr>
        <w:t xml:space="preserve">  </w:t>
      </w:r>
    </w:p>
    <w:p w14:paraId="346BA24B" w14:textId="77777777" w:rsidR="00244A4F" w:rsidRPr="00A44829" w:rsidRDefault="00961975" w:rsidP="00FF36E8">
      <w:pPr>
        <w:spacing w:before="40" w:after="20"/>
        <w:rPr>
          <w:rFonts w:cs="Arial"/>
          <w:sz w:val="18"/>
          <w:szCs w:val="18"/>
        </w:rPr>
      </w:pPr>
      <w:r w:rsidRPr="00A44829">
        <w:rPr>
          <w:rFonts w:cs="Arial"/>
          <w:sz w:val="18"/>
          <w:szCs w:val="18"/>
        </w:rPr>
        <w:br w:type="page"/>
      </w:r>
    </w:p>
    <w:p w14:paraId="203DEA7E" w14:textId="2497F4F9" w:rsidR="00244A4F" w:rsidRPr="00A44829" w:rsidRDefault="00CE4507" w:rsidP="00C33713">
      <w:pPr>
        <w:pStyle w:val="VGC-Head10"/>
      </w:pPr>
      <w:r w:rsidRPr="00A44829">
        <w:lastRenderedPageBreak/>
        <w:t>Appendix 4</w:t>
      </w:r>
      <w:r w:rsidR="00244A4F" w:rsidRPr="00A44829">
        <w:tab/>
      </w:r>
      <w:r w:rsidR="00EE4593" w:rsidRPr="00A44829">
        <w:t>2019-20</w:t>
      </w:r>
      <w:r w:rsidR="00A97ABE" w:rsidRPr="00A44829">
        <w:t xml:space="preserve"> </w:t>
      </w:r>
      <w:r w:rsidR="00244A4F" w:rsidRPr="00A44829">
        <w:t xml:space="preserve">General Purpose Grants </w:t>
      </w:r>
    </w:p>
    <w:p w14:paraId="0259B60C" w14:textId="7CB5309F" w:rsidR="00244A4F" w:rsidRPr="00A44829" w:rsidRDefault="00244A4F" w:rsidP="008C1A28">
      <w:pPr>
        <w:pStyle w:val="VGC-Head2"/>
      </w:pPr>
      <w:r w:rsidRPr="00A44829">
        <w:t xml:space="preserve">D.  Cost Adjustors - </w:t>
      </w:r>
      <w:r w:rsidR="002A2397">
        <w:t>Index</w:t>
      </w:r>
    </w:p>
    <w:p w14:paraId="46A9AEC5" w14:textId="77777777" w:rsidR="00DA542E" w:rsidRPr="00A44829" w:rsidRDefault="00DA542E" w:rsidP="00FF36E8">
      <w:pPr>
        <w:spacing w:before="40" w:after="20"/>
        <w:rPr>
          <w:rFonts w:cs="Arial"/>
          <w:sz w:val="18"/>
          <w:szCs w:val="18"/>
        </w:rPr>
      </w:pPr>
    </w:p>
    <w:p w14:paraId="76A28F30" w14:textId="77777777" w:rsidR="00001707" w:rsidRPr="00A44829" w:rsidRDefault="00001707"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70"/>
        <w:gridCol w:w="1134"/>
        <w:gridCol w:w="1134"/>
      </w:tblGrid>
      <w:tr w:rsidR="009E2B93" w:rsidRPr="00A44829" w14:paraId="0C9BDBBE" w14:textId="77777777" w:rsidTr="00A66703">
        <w:tc>
          <w:tcPr>
            <w:tcW w:w="2268" w:type="dxa"/>
            <w:tcBorders>
              <w:top w:val="nil"/>
              <w:left w:val="nil"/>
              <w:bottom w:val="nil"/>
              <w:right w:val="single" w:sz="18" w:space="0" w:color="5F497A" w:themeColor="accent4" w:themeShade="BF"/>
            </w:tcBorders>
            <w:shd w:val="clear" w:color="auto" w:fill="auto"/>
            <w:vAlign w:val="bottom"/>
          </w:tcPr>
          <w:p w14:paraId="555C0A30" w14:textId="77777777" w:rsidR="009E2B93" w:rsidRPr="00A44829" w:rsidRDefault="009E2B93" w:rsidP="00576338">
            <w:pPr>
              <w:spacing w:before="40" w:after="20"/>
              <w:ind w:right="105"/>
              <w:jc w:val="right"/>
              <w:rPr>
                <w:rFonts w:cs="Arial"/>
                <w:b/>
                <w:sz w:val="18"/>
                <w:szCs w:val="18"/>
              </w:rPr>
            </w:pPr>
            <w:r w:rsidRPr="00A44829">
              <w:rPr>
                <w:rFonts w:cs="Arial"/>
                <w:b/>
                <w:sz w:val="18"/>
                <w:szCs w:val="18"/>
              </w:rPr>
              <w:t>Cost Adjustor</w:t>
            </w:r>
          </w:p>
        </w:tc>
        <w:tc>
          <w:tcPr>
            <w:tcW w:w="4536" w:type="dxa"/>
            <w:gridSpan w:val="4"/>
            <w:tcBorders>
              <w:top w:val="nil"/>
              <w:left w:val="single" w:sz="18" w:space="0" w:color="5F497A" w:themeColor="accent4" w:themeShade="BF"/>
              <w:bottom w:val="single" w:sz="8" w:space="0" w:color="5F497A" w:themeColor="accent4" w:themeShade="BF"/>
            </w:tcBorders>
            <w:shd w:val="clear" w:color="auto" w:fill="auto"/>
            <w:vAlign w:val="bottom"/>
          </w:tcPr>
          <w:p w14:paraId="46FFC70D" w14:textId="1F2B7534" w:rsidR="009E2B93" w:rsidRPr="00A44829" w:rsidRDefault="009E2B93" w:rsidP="008001AD">
            <w:pPr>
              <w:spacing w:before="40" w:after="20"/>
              <w:jc w:val="center"/>
              <w:rPr>
                <w:rFonts w:cs="Arial"/>
                <w:b/>
                <w:sz w:val="18"/>
                <w:szCs w:val="18"/>
              </w:rPr>
            </w:pPr>
            <w:r w:rsidRPr="00A44829">
              <w:rPr>
                <w:rFonts w:cs="Arial"/>
                <w:b/>
                <w:sz w:val="18"/>
                <w:szCs w:val="18"/>
              </w:rPr>
              <w:t xml:space="preserve">Regional Services </w:t>
            </w:r>
          </w:p>
        </w:tc>
        <w:tc>
          <w:tcPr>
            <w:tcW w:w="170" w:type="dxa"/>
            <w:vMerge w:val="restart"/>
            <w:tcBorders>
              <w:top w:val="nil"/>
              <w:left w:val="nil"/>
              <w:bottom w:val="single" w:sz="8" w:space="0" w:color="5F497A" w:themeColor="accent4" w:themeShade="BF"/>
              <w:right w:val="nil"/>
            </w:tcBorders>
            <w:vAlign w:val="bottom"/>
          </w:tcPr>
          <w:p w14:paraId="5D8421FA" w14:textId="77777777" w:rsidR="009E2B93" w:rsidRPr="00A44829" w:rsidRDefault="009E2B93" w:rsidP="008001AD">
            <w:pPr>
              <w:spacing w:before="40" w:after="20"/>
              <w:jc w:val="center"/>
              <w:rPr>
                <w:rFonts w:cs="Arial"/>
                <w:b/>
                <w:sz w:val="18"/>
                <w:szCs w:val="18"/>
              </w:rPr>
            </w:pPr>
          </w:p>
        </w:tc>
        <w:tc>
          <w:tcPr>
            <w:tcW w:w="2268" w:type="dxa"/>
            <w:gridSpan w:val="2"/>
            <w:tcBorders>
              <w:top w:val="nil"/>
              <w:left w:val="nil"/>
              <w:bottom w:val="single" w:sz="8" w:space="0" w:color="5F497A" w:themeColor="accent4" w:themeShade="BF"/>
              <w:right w:val="nil"/>
            </w:tcBorders>
            <w:vAlign w:val="bottom"/>
          </w:tcPr>
          <w:p w14:paraId="31184F02" w14:textId="5CC7578C" w:rsidR="009E2B93" w:rsidRPr="00A44829" w:rsidRDefault="009E2B93" w:rsidP="008001AD">
            <w:pPr>
              <w:spacing w:before="40" w:after="20"/>
              <w:jc w:val="center"/>
              <w:rPr>
                <w:rFonts w:cs="Arial"/>
                <w:b/>
                <w:sz w:val="18"/>
                <w:szCs w:val="18"/>
              </w:rPr>
            </w:pPr>
            <w:r w:rsidRPr="00A44829">
              <w:rPr>
                <w:rFonts w:cs="Arial"/>
                <w:b/>
                <w:sz w:val="18"/>
                <w:szCs w:val="18"/>
              </w:rPr>
              <w:t xml:space="preserve">Remoteness </w:t>
            </w:r>
          </w:p>
        </w:tc>
      </w:tr>
      <w:tr w:rsidR="009E2B93" w:rsidRPr="00A44829" w14:paraId="5730D045" w14:textId="77777777" w:rsidTr="009E2B93">
        <w:tc>
          <w:tcPr>
            <w:tcW w:w="2268" w:type="dxa"/>
            <w:tcBorders>
              <w:top w:val="nil"/>
              <w:left w:val="nil"/>
              <w:bottom w:val="nil"/>
              <w:right w:val="single" w:sz="18" w:space="0" w:color="5F497A" w:themeColor="accent4" w:themeShade="BF"/>
            </w:tcBorders>
            <w:shd w:val="clear" w:color="auto" w:fill="auto"/>
            <w:vAlign w:val="bottom"/>
          </w:tcPr>
          <w:p w14:paraId="5249BD99" w14:textId="77777777" w:rsidR="009E2B93" w:rsidRPr="005D19CF" w:rsidRDefault="009E2B93" w:rsidP="00576338">
            <w:pPr>
              <w:spacing w:before="40" w:after="20"/>
              <w:ind w:right="105"/>
              <w:jc w:val="right"/>
              <w:rPr>
                <w:rFonts w:cs="Arial"/>
                <w:b/>
                <w:sz w:val="16"/>
                <w:szCs w:val="16"/>
              </w:rPr>
            </w:pPr>
            <w:r w:rsidRPr="005D19CF">
              <w:rPr>
                <w:rFonts w:cs="Arial"/>
                <w:b/>
                <w:sz w:val="16"/>
                <w:szCs w:val="16"/>
              </w:rPr>
              <w:t>Major Cost Driver</w:t>
            </w: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71FB6B8C" w14:textId="77777777" w:rsidR="009E2B93" w:rsidRPr="005D19CF" w:rsidRDefault="009E2B93" w:rsidP="008001AD">
            <w:pPr>
              <w:spacing w:before="40" w:after="20"/>
              <w:jc w:val="center"/>
              <w:rPr>
                <w:rFonts w:cs="Arial"/>
                <w:sz w:val="16"/>
                <w:szCs w:val="16"/>
              </w:rPr>
            </w:pPr>
            <w:r w:rsidRPr="005D19CF">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5559D950" w14:textId="173343CD" w:rsidR="009E2B93" w:rsidRPr="005D19CF" w:rsidRDefault="009E2B93" w:rsidP="008001AD">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15,000)</w:t>
            </w:r>
          </w:p>
        </w:tc>
        <w:tc>
          <w:tcPr>
            <w:tcW w:w="1134" w:type="dxa"/>
            <w:tcBorders>
              <w:top w:val="single" w:sz="8" w:space="0" w:color="5F497A" w:themeColor="accent4" w:themeShade="BF"/>
              <w:left w:val="nil"/>
              <w:bottom w:val="single" w:sz="8" w:space="0" w:color="5F497A" w:themeColor="accent4" w:themeShade="BF"/>
              <w:right w:val="nil"/>
            </w:tcBorders>
          </w:tcPr>
          <w:p w14:paraId="39C0D419" w14:textId="5F7F9EEB" w:rsidR="009E2B93" w:rsidRPr="005D19CF" w:rsidRDefault="009E2B93" w:rsidP="008001AD">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(no min)</w:t>
            </w:r>
          </w:p>
        </w:tc>
        <w:tc>
          <w:tcPr>
            <w:tcW w:w="1134" w:type="dxa"/>
            <w:tcBorders>
              <w:top w:val="single" w:sz="8" w:space="0" w:color="5F497A" w:themeColor="accent4" w:themeShade="BF"/>
              <w:left w:val="nil"/>
              <w:bottom w:val="single" w:sz="8" w:space="0" w:color="5F497A" w:themeColor="accent4" w:themeShade="BF"/>
              <w:right w:val="nil"/>
            </w:tcBorders>
          </w:tcPr>
          <w:p w14:paraId="72F2AADA" w14:textId="7F5D4F86" w:rsidR="009E2B93" w:rsidRPr="005D19CF" w:rsidRDefault="009E2B93" w:rsidP="008001AD">
            <w:pPr>
              <w:spacing w:before="40" w:after="20"/>
              <w:jc w:val="center"/>
              <w:rPr>
                <w:rFonts w:cs="Arial"/>
                <w:sz w:val="16"/>
                <w:szCs w:val="16"/>
              </w:rPr>
            </w:pPr>
            <w:r w:rsidRPr="005D19CF">
              <w:rPr>
                <w:rFonts w:cs="Arial"/>
                <w:sz w:val="16"/>
                <w:szCs w:val="16"/>
              </w:rPr>
              <w:t xml:space="preserve">No of </w:t>
            </w:r>
            <w:r w:rsidRPr="005D19CF">
              <w:rPr>
                <w:rFonts w:cs="Arial"/>
                <w:sz w:val="16"/>
                <w:szCs w:val="16"/>
              </w:rPr>
              <w:br/>
              <w:t>Dwellings</w:t>
            </w:r>
          </w:p>
        </w:tc>
        <w:tc>
          <w:tcPr>
            <w:tcW w:w="170" w:type="dxa"/>
            <w:vMerge/>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62915066" w14:textId="77777777" w:rsidR="009E2B93" w:rsidRPr="005D19CF" w:rsidRDefault="009E2B93" w:rsidP="008001AD">
            <w:pPr>
              <w:spacing w:before="40" w:after="20"/>
              <w:jc w:val="center"/>
              <w:rPr>
                <w:rFonts w:cs="Arial"/>
                <w:sz w:val="16"/>
                <w:szCs w:val="16"/>
              </w:rPr>
            </w:pP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7BC645C6" w14:textId="7CC5A573" w:rsidR="009E2B93" w:rsidRPr="005D19CF" w:rsidRDefault="009E2B93" w:rsidP="005D04BF">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15,000)</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06FAC47" w14:textId="6D3D5E62" w:rsidR="009E2B93" w:rsidRPr="005D19CF" w:rsidRDefault="009E2B93" w:rsidP="005D04BF">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20,000)</w:t>
            </w:r>
          </w:p>
        </w:tc>
      </w:tr>
      <w:tr w:rsidR="00566EA9" w:rsidRPr="001D41EA" w14:paraId="04E1CA8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6B2D4EB" w14:textId="77777777" w:rsidR="00566EA9" w:rsidRPr="001D41EA" w:rsidRDefault="00566EA9" w:rsidP="001D41EA">
            <w:pPr>
              <w:spacing w:before="40" w:after="4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59EDEE4" w14:textId="4BFB29CB"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0AD9880E" w14:textId="7D7F1C0C"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443C833D" w14:textId="1063E742"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56452F8A" w14:textId="63AB7BDB" w:rsidR="00566EA9" w:rsidRPr="001D41EA" w:rsidRDefault="00566EA9" w:rsidP="001D41EA">
            <w:pPr>
              <w:spacing w:before="40" w:after="4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373DB2A6" w14:textId="44BB7931"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54FB6B43" w14:textId="67253792"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4C4EC4D4" w14:textId="19D1D606" w:rsidR="00566EA9" w:rsidRPr="001D41EA" w:rsidRDefault="00566EA9" w:rsidP="001D41EA">
            <w:pPr>
              <w:spacing w:before="40" w:after="40"/>
              <w:jc w:val="center"/>
              <w:rPr>
                <w:rFonts w:cs="Arial"/>
                <w:sz w:val="18"/>
                <w:szCs w:val="18"/>
              </w:rPr>
            </w:pPr>
          </w:p>
        </w:tc>
      </w:tr>
      <w:tr w:rsidR="00566EA9" w:rsidRPr="001D41EA" w14:paraId="4CD4849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523DB95" w14:textId="77777777" w:rsidR="00566EA9" w:rsidRPr="001D41EA" w:rsidRDefault="00566EA9" w:rsidP="001D41EA">
            <w:pPr>
              <w:spacing w:before="40" w:after="40"/>
              <w:rPr>
                <w:rFonts w:cs="Arial"/>
                <w:sz w:val="18"/>
                <w:szCs w:val="18"/>
              </w:rPr>
            </w:pPr>
            <w:r w:rsidRPr="001D41EA">
              <w:rPr>
                <w:rFonts w:cs="Arial"/>
                <w:sz w:val="18"/>
                <w:szCs w:val="18"/>
              </w:rPr>
              <w:t>Alpine S</w:t>
            </w:r>
          </w:p>
        </w:tc>
        <w:tc>
          <w:tcPr>
            <w:tcW w:w="1134" w:type="dxa"/>
            <w:tcBorders>
              <w:top w:val="nil"/>
              <w:left w:val="single" w:sz="18" w:space="0" w:color="5F497A" w:themeColor="accent4" w:themeShade="BF"/>
              <w:bottom w:val="nil"/>
              <w:right w:val="nil"/>
            </w:tcBorders>
            <w:shd w:val="clear" w:color="auto" w:fill="auto"/>
            <w:vAlign w:val="bottom"/>
          </w:tcPr>
          <w:p w14:paraId="2BABDFF6" w14:textId="66C7BE90" w:rsidR="00566EA9" w:rsidRPr="001D41EA" w:rsidRDefault="00566EA9" w:rsidP="001D41EA">
            <w:pPr>
              <w:spacing w:before="40" w:after="40"/>
              <w:jc w:val="center"/>
              <w:rPr>
                <w:rFonts w:cs="Arial"/>
                <w:sz w:val="18"/>
                <w:szCs w:val="18"/>
              </w:rPr>
            </w:pPr>
            <w:r w:rsidRPr="001D41EA">
              <w:rPr>
                <w:rFonts w:cs="Arial"/>
                <w:sz w:val="18"/>
                <w:szCs w:val="18"/>
              </w:rPr>
              <w:t>1.125</w:t>
            </w:r>
          </w:p>
        </w:tc>
        <w:tc>
          <w:tcPr>
            <w:tcW w:w="1134" w:type="dxa"/>
            <w:tcBorders>
              <w:top w:val="nil"/>
              <w:left w:val="nil"/>
              <w:bottom w:val="nil"/>
              <w:right w:val="nil"/>
            </w:tcBorders>
            <w:vAlign w:val="bottom"/>
          </w:tcPr>
          <w:p w14:paraId="7BBBAB5E" w14:textId="17E687A3" w:rsidR="00566EA9" w:rsidRPr="001D41EA" w:rsidRDefault="00566EA9" w:rsidP="001D41EA">
            <w:pPr>
              <w:spacing w:before="40" w:after="40"/>
              <w:jc w:val="center"/>
              <w:rPr>
                <w:rFonts w:cs="Arial"/>
                <w:sz w:val="18"/>
                <w:szCs w:val="18"/>
              </w:rPr>
            </w:pPr>
            <w:r w:rsidRPr="001D41EA">
              <w:rPr>
                <w:rFonts w:cs="Arial"/>
                <w:sz w:val="18"/>
                <w:szCs w:val="18"/>
              </w:rPr>
              <w:t>1.127</w:t>
            </w:r>
          </w:p>
        </w:tc>
        <w:tc>
          <w:tcPr>
            <w:tcW w:w="1134" w:type="dxa"/>
            <w:tcBorders>
              <w:top w:val="nil"/>
              <w:left w:val="nil"/>
              <w:bottom w:val="nil"/>
              <w:right w:val="nil"/>
            </w:tcBorders>
            <w:vAlign w:val="bottom"/>
          </w:tcPr>
          <w:p w14:paraId="33652DC2" w14:textId="01EE4339" w:rsidR="00566EA9" w:rsidRPr="001D41EA" w:rsidRDefault="00566EA9" w:rsidP="001D41EA">
            <w:pPr>
              <w:spacing w:before="40" w:after="40"/>
              <w:jc w:val="center"/>
              <w:rPr>
                <w:rFonts w:cs="Arial"/>
                <w:sz w:val="18"/>
                <w:szCs w:val="18"/>
              </w:rPr>
            </w:pPr>
            <w:r w:rsidRPr="001D41EA">
              <w:rPr>
                <w:rFonts w:cs="Arial"/>
                <w:sz w:val="18"/>
                <w:szCs w:val="18"/>
              </w:rPr>
              <w:t>1.125</w:t>
            </w:r>
          </w:p>
        </w:tc>
        <w:tc>
          <w:tcPr>
            <w:tcW w:w="1134" w:type="dxa"/>
            <w:tcBorders>
              <w:top w:val="nil"/>
              <w:left w:val="nil"/>
              <w:bottom w:val="nil"/>
              <w:right w:val="nil"/>
            </w:tcBorders>
            <w:vAlign w:val="bottom"/>
          </w:tcPr>
          <w:p w14:paraId="69AA2E88" w14:textId="2C958E5E" w:rsidR="00566EA9" w:rsidRPr="001D41EA" w:rsidRDefault="00566EA9" w:rsidP="001D41EA">
            <w:pPr>
              <w:spacing w:before="40" w:after="40"/>
              <w:jc w:val="center"/>
              <w:rPr>
                <w:rFonts w:cs="Arial"/>
                <w:sz w:val="18"/>
                <w:szCs w:val="18"/>
              </w:rPr>
            </w:pPr>
            <w:r w:rsidRPr="001D41EA">
              <w:rPr>
                <w:rFonts w:cs="Arial"/>
                <w:sz w:val="18"/>
                <w:szCs w:val="18"/>
              </w:rPr>
              <w:t>1.111</w:t>
            </w:r>
          </w:p>
        </w:tc>
        <w:tc>
          <w:tcPr>
            <w:tcW w:w="170" w:type="dxa"/>
            <w:tcBorders>
              <w:top w:val="nil"/>
              <w:left w:val="nil"/>
              <w:bottom w:val="nil"/>
              <w:right w:val="nil"/>
            </w:tcBorders>
            <w:vAlign w:val="bottom"/>
          </w:tcPr>
          <w:p w14:paraId="40C7FB23" w14:textId="220C72EE"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52FA3E7D" w14:textId="4C73D4BA" w:rsidR="00566EA9" w:rsidRPr="001D41EA" w:rsidRDefault="00566EA9" w:rsidP="001D41EA">
            <w:pPr>
              <w:spacing w:before="40" w:after="40"/>
              <w:jc w:val="center"/>
              <w:rPr>
                <w:rFonts w:cs="Arial"/>
                <w:sz w:val="18"/>
                <w:szCs w:val="18"/>
              </w:rPr>
            </w:pPr>
            <w:r w:rsidRPr="001D41EA">
              <w:rPr>
                <w:rFonts w:cs="Arial"/>
                <w:sz w:val="18"/>
                <w:szCs w:val="18"/>
              </w:rPr>
              <w:t>1.442</w:t>
            </w:r>
          </w:p>
        </w:tc>
        <w:tc>
          <w:tcPr>
            <w:tcW w:w="1134" w:type="dxa"/>
            <w:tcBorders>
              <w:top w:val="nil"/>
              <w:left w:val="nil"/>
              <w:bottom w:val="nil"/>
              <w:right w:val="nil"/>
            </w:tcBorders>
            <w:shd w:val="clear" w:color="auto" w:fill="auto"/>
            <w:vAlign w:val="bottom"/>
          </w:tcPr>
          <w:p w14:paraId="653C13E7" w14:textId="12B4D35E" w:rsidR="00566EA9" w:rsidRPr="001D41EA" w:rsidRDefault="00566EA9" w:rsidP="001D41EA">
            <w:pPr>
              <w:spacing w:before="40" w:after="40"/>
              <w:jc w:val="center"/>
              <w:rPr>
                <w:rFonts w:cs="Arial"/>
                <w:sz w:val="18"/>
                <w:szCs w:val="18"/>
              </w:rPr>
            </w:pPr>
            <w:r w:rsidRPr="001D41EA">
              <w:rPr>
                <w:rFonts w:cs="Arial"/>
                <w:sz w:val="18"/>
                <w:szCs w:val="18"/>
              </w:rPr>
              <w:t>1.434</w:t>
            </w:r>
          </w:p>
        </w:tc>
      </w:tr>
      <w:tr w:rsidR="00566EA9" w:rsidRPr="001D41EA" w14:paraId="782E83E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FEFA8D8" w14:textId="77777777" w:rsidR="00566EA9" w:rsidRPr="001D41EA" w:rsidRDefault="00566EA9" w:rsidP="001D41EA">
            <w:pPr>
              <w:spacing w:before="40" w:after="40"/>
              <w:rPr>
                <w:rFonts w:cs="Arial"/>
                <w:sz w:val="18"/>
                <w:szCs w:val="18"/>
              </w:rPr>
            </w:pPr>
            <w:r w:rsidRPr="001D41EA">
              <w:rPr>
                <w:rFonts w:cs="Arial"/>
                <w:sz w:val="18"/>
                <w:szCs w:val="18"/>
              </w:rPr>
              <w:t>Ararat RC</w:t>
            </w:r>
          </w:p>
        </w:tc>
        <w:tc>
          <w:tcPr>
            <w:tcW w:w="1134" w:type="dxa"/>
            <w:tcBorders>
              <w:top w:val="nil"/>
              <w:left w:val="single" w:sz="18" w:space="0" w:color="5F497A" w:themeColor="accent4" w:themeShade="BF"/>
              <w:bottom w:val="nil"/>
              <w:right w:val="nil"/>
            </w:tcBorders>
            <w:shd w:val="clear" w:color="auto" w:fill="auto"/>
            <w:vAlign w:val="bottom"/>
          </w:tcPr>
          <w:p w14:paraId="782D0FFA" w14:textId="3E1D7C63" w:rsidR="00566EA9" w:rsidRPr="001D41EA" w:rsidRDefault="00566EA9" w:rsidP="001D41EA">
            <w:pPr>
              <w:spacing w:before="40" w:after="40"/>
              <w:jc w:val="center"/>
              <w:rPr>
                <w:rFonts w:cs="Arial"/>
                <w:sz w:val="18"/>
                <w:szCs w:val="18"/>
              </w:rPr>
            </w:pPr>
            <w:r w:rsidRPr="001D41EA">
              <w:rPr>
                <w:rFonts w:cs="Arial"/>
                <w:sz w:val="18"/>
                <w:szCs w:val="18"/>
              </w:rPr>
              <w:t>0.991</w:t>
            </w:r>
          </w:p>
        </w:tc>
        <w:tc>
          <w:tcPr>
            <w:tcW w:w="1134" w:type="dxa"/>
            <w:tcBorders>
              <w:top w:val="nil"/>
              <w:left w:val="nil"/>
              <w:bottom w:val="nil"/>
              <w:right w:val="nil"/>
            </w:tcBorders>
            <w:vAlign w:val="bottom"/>
          </w:tcPr>
          <w:p w14:paraId="73CADBC9" w14:textId="0C39C77F" w:rsidR="00566EA9" w:rsidRPr="001D41EA" w:rsidRDefault="00566EA9" w:rsidP="001D41EA">
            <w:pPr>
              <w:spacing w:before="40" w:after="40"/>
              <w:jc w:val="center"/>
              <w:rPr>
                <w:rFonts w:cs="Arial"/>
                <w:sz w:val="18"/>
                <w:szCs w:val="18"/>
              </w:rPr>
            </w:pPr>
            <w:r w:rsidRPr="001D41EA">
              <w:rPr>
                <w:rFonts w:cs="Arial"/>
                <w:sz w:val="18"/>
                <w:szCs w:val="18"/>
              </w:rPr>
              <w:t>0.993</w:t>
            </w:r>
          </w:p>
        </w:tc>
        <w:tc>
          <w:tcPr>
            <w:tcW w:w="1134" w:type="dxa"/>
            <w:tcBorders>
              <w:top w:val="nil"/>
              <w:left w:val="nil"/>
              <w:bottom w:val="nil"/>
              <w:right w:val="nil"/>
            </w:tcBorders>
            <w:vAlign w:val="bottom"/>
          </w:tcPr>
          <w:p w14:paraId="517B0C4E" w14:textId="1FA70B56" w:rsidR="00566EA9" w:rsidRPr="001D41EA" w:rsidRDefault="00566EA9" w:rsidP="001D41EA">
            <w:pPr>
              <w:spacing w:before="40" w:after="40"/>
              <w:jc w:val="center"/>
              <w:rPr>
                <w:rFonts w:cs="Arial"/>
                <w:sz w:val="18"/>
                <w:szCs w:val="18"/>
              </w:rPr>
            </w:pPr>
            <w:r w:rsidRPr="001D41EA">
              <w:rPr>
                <w:rFonts w:cs="Arial"/>
                <w:sz w:val="18"/>
                <w:szCs w:val="18"/>
              </w:rPr>
              <w:t>0.991</w:t>
            </w:r>
          </w:p>
        </w:tc>
        <w:tc>
          <w:tcPr>
            <w:tcW w:w="1134" w:type="dxa"/>
            <w:tcBorders>
              <w:top w:val="nil"/>
              <w:left w:val="nil"/>
              <w:bottom w:val="nil"/>
              <w:right w:val="nil"/>
            </w:tcBorders>
            <w:vAlign w:val="bottom"/>
          </w:tcPr>
          <w:p w14:paraId="485E9280" w14:textId="666A9E8F" w:rsidR="00566EA9" w:rsidRPr="001D41EA" w:rsidRDefault="00566EA9" w:rsidP="001D41EA">
            <w:pPr>
              <w:spacing w:before="40" w:after="40"/>
              <w:jc w:val="center"/>
              <w:rPr>
                <w:rFonts w:cs="Arial"/>
                <w:sz w:val="18"/>
                <w:szCs w:val="18"/>
              </w:rPr>
            </w:pPr>
            <w:r w:rsidRPr="001D41EA">
              <w:rPr>
                <w:rFonts w:cs="Arial"/>
                <w:sz w:val="18"/>
                <w:szCs w:val="18"/>
              </w:rPr>
              <w:t>0.979</w:t>
            </w:r>
          </w:p>
        </w:tc>
        <w:tc>
          <w:tcPr>
            <w:tcW w:w="170" w:type="dxa"/>
            <w:tcBorders>
              <w:top w:val="nil"/>
              <w:left w:val="nil"/>
              <w:bottom w:val="nil"/>
              <w:right w:val="nil"/>
            </w:tcBorders>
            <w:vAlign w:val="bottom"/>
          </w:tcPr>
          <w:p w14:paraId="6F27024D" w14:textId="52A1EAA1"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469040F4" w14:textId="10C9C172" w:rsidR="00566EA9" w:rsidRPr="001D41EA" w:rsidRDefault="00566EA9" w:rsidP="001D41EA">
            <w:pPr>
              <w:spacing w:before="40" w:after="40"/>
              <w:jc w:val="center"/>
              <w:rPr>
                <w:rFonts w:cs="Arial"/>
                <w:sz w:val="18"/>
                <w:szCs w:val="18"/>
              </w:rPr>
            </w:pPr>
            <w:r w:rsidRPr="001D41EA">
              <w:rPr>
                <w:rFonts w:cs="Arial"/>
                <w:sz w:val="18"/>
                <w:szCs w:val="18"/>
              </w:rPr>
              <w:t>1.328</w:t>
            </w:r>
          </w:p>
        </w:tc>
        <w:tc>
          <w:tcPr>
            <w:tcW w:w="1134" w:type="dxa"/>
            <w:tcBorders>
              <w:top w:val="nil"/>
              <w:left w:val="nil"/>
              <w:bottom w:val="nil"/>
              <w:right w:val="nil"/>
            </w:tcBorders>
            <w:shd w:val="clear" w:color="auto" w:fill="auto"/>
            <w:vAlign w:val="bottom"/>
          </w:tcPr>
          <w:p w14:paraId="2718A995" w14:textId="270EE01F" w:rsidR="00566EA9" w:rsidRPr="001D41EA" w:rsidRDefault="00566EA9" w:rsidP="001D41EA">
            <w:pPr>
              <w:spacing w:before="40" w:after="40"/>
              <w:jc w:val="center"/>
              <w:rPr>
                <w:rFonts w:cs="Arial"/>
                <w:sz w:val="18"/>
                <w:szCs w:val="18"/>
              </w:rPr>
            </w:pPr>
            <w:r w:rsidRPr="001D41EA">
              <w:rPr>
                <w:rFonts w:cs="Arial"/>
                <w:sz w:val="18"/>
                <w:szCs w:val="18"/>
              </w:rPr>
              <w:t>1.321</w:t>
            </w:r>
          </w:p>
        </w:tc>
      </w:tr>
      <w:tr w:rsidR="00566EA9" w:rsidRPr="001D41EA" w14:paraId="49B2C52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B873FC3" w14:textId="77777777" w:rsidR="00566EA9" w:rsidRPr="001D41EA" w:rsidRDefault="00566EA9" w:rsidP="001D41EA">
            <w:pPr>
              <w:spacing w:before="40" w:after="40"/>
              <w:rPr>
                <w:rFonts w:cs="Arial"/>
                <w:sz w:val="18"/>
                <w:szCs w:val="18"/>
              </w:rPr>
            </w:pPr>
            <w:r w:rsidRPr="001D41EA">
              <w:rPr>
                <w:rFonts w:cs="Arial"/>
                <w:sz w:val="18"/>
                <w:szCs w:val="18"/>
              </w:rPr>
              <w:t>Ballarat C</w:t>
            </w:r>
          </w:p>
        </w:tc>
        <w:tc>
          <w:tcPr>
            <w:tcW w:w="1134" w:type="dxa"/>
            <w:tcBorders>
              <w:top w:val="nil"/>
              <w:left w:val="single" w:sz="18" w:space="0" w:color="5F497A" w:themeColor="accent4" w:themeShade="BF"/>
              <w:bottom w:val="nil"/>
              <w:right w:val="nil"/>
            </w:tcBorders>
            <w:shd w:val="clear" w:color="auto" w:fill="auto"/>
            <w:vAlign w:val="bottom"/>
          </w:tcPr>
          <w:p w14:paraId="7EA5E5A4" w14:textId="00B8D776" w:rsidR="00566EA9" w:rsidRPr="001D41EA" w:rsidRDefault="00566EA9" w:rsidP="001D41EA">
            <w:pPr>
              <w:spacing w:before="40" w:after="40"/>
              <w:jc w:val="center"/>
              <w:rPr>
                <w:rFonts w:cs="Arial"/>
                <w:sz w:val="18"/>
                <w:szCs w:val="18"/>
              </w:rPr>
            </w:pPr>
            <w:r w:rsidRPr="001D41EA">
              <w:rPr>
                <w:rFonts w:cs="Arial"/>
                <w:sz w:val="18"/>
                <w:szCs w:val="18"/>
              </w:rPr>
              <w:t>1.329</w:t>
            </w:r>
          </w:p>
        </w:tc>
        <w:tc>
          <w:tcPr>
            <w:tcW w:w="1134" w:type="dxa"/>
            <w:tcBorders>
              <w:top w:val="nil"/>
              <w:left w:val="nil"/>
              <w:bottom w:val="nil"/>
              <w:right w:val="nil"/>
            </w:tcBorders>
            <w:vAlign w:val="bottom"/>
          </w:tcPr>
          <w:p w14:paraId="3D67C18F" w14:textId="4E2E874F" w:rsidR="00566EA9" w:rsidRPr="001D41EA" w:rsidRDefault="00566EA9" w:rsidP="001D41EA">
            <w:pPr>
              <w:spacing w:before="40" w:after="40"/>
              <w:jc w:val="center"/>
              <w:rPr>
                <w:rFonts w:cs="Arial"/>
                <w:sz w:val="18"/>
                <w:szCs w:val="18"/>
              </w:rPr>
            </w:pPr>
            <w:r w:rsidRPr="001D41EA">
              <w:rPr>
                <w:rFonts w:cs="Arial"/>
                <w:sz w:val="18"/>
                <w:szCs w:val="18"/>
              </w:rPr>
              <w:t>1.332</w:t>
            </w:r>
          </w:p>
        </w:tc>
        <w:tc>
          <w:tcPr>
            <w:tcW w:w="1134" w:type="dxa"/>
            <w:tcBorders>
              <w:top w:val="nil"/>
              <w:left w:val="nil"/>
              <w:bottom w:val="nil"/>
              <w:right w:val="nil"/>
            </w:tcBorders>
            <w:vAlign w:val="bottom"/>
          </w:tcPr>
          <w:p w14:paraId="5DC6D473" w14:textId="6A09B970" w:rsidR="00566EA9" w:rsidRPr="001D41EA" w:rsidRDefault="00566EA9" w:rsidP="001D41EA">
            <w:pPr>
              <w:spacing w:before="40" w:after="40"/>
              <w:jc w:val="center"/>
              <w:rPr>
                <w:rFonts w:cs="Arial"/>
                <w:sz w:val="18"/>
                <w:szCs w:val="18"/>
              </w:rPr>
            </w:pPr>
            <w:r w:rsidRPr="001D41EA">
              <w:rPr>
                <w:rFonts w:cs="Arial"/>
                <w:sz w:val="18"/>
                <w:szCs w:val="18"/>
              </w:rPr>
              <w:t>1.330</w:t>
            </w:r>
          </w:p>
        </w:tc>
        <w:tc>
          <w:tcPr>
            <w:tcW w:w="1134" w:type="dxa"/>
            <w:tcBorders>
              <w:top w:val="nil"/>
              <w:left w:val="nil"/>
              <w:bottom w:val="nil"/>
              <w:right w:val="nil"/>
            </w:tcBorders>
            <w:vAlign w:val="bottom"/>
          </w:tcPr>
          <w:p w14:paraId="507963E3" w14:textId="121BFDE5" w:rsidR="00566EA9" w:rsidRPr="001D41EA" w:rsidRDefault="00566EA9" w:rsidP="001D41EA">
            <w:pPr>
              <w:spacing w:before="40" w:after="40"/>
              <w:jc w:val="center"/>
              <w:rPr>
                <w:rFonts w:cs="Arial"/>
                <w:sz w:val="18"/>
                <w:szCs w:val="18"/>
              </w:rPr>
            </w:pPr>
            <w:r w:rsidRPr="001D41EA">
              <w:rPr>
                <w:rFonts w:cs="Arial"/>
                <w:sz w:val="18"/>
                <w:szCs w:val="18"/>
              </w:rPr>
              <w:t>1.313</w:t>
            </w:r>
          </w:p>
        </w:tc>
        <w:tc>
          <w:tcPr>
            <w:tcW w:w="170" w:type="dxa"/>
            <w:tcBorders>
              <w:top w:val="nil"/>
              <w:left w:val="nil"/>
              <w:bottom w:val="nil"/>
              <w:right w:val="nil"/>
            </w:tcBorders>
            <w:vAlign w:val="bottom"/>
          </w:tcPr>
          <w:p w14:paraId="5BF9EC9B" w14:textId="28B2F7FC"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1DF6DACA" w14:textId="195C38E4" w:rsidR="00566EA9" w:rsidRPr="001D41EA" w:rsidRDefault="00566EA9" w:rsidP="001D41EA">
            <w:pPr>
              <w:spacing w:before="40" w:after="40"/>
              <w:jc w:val="center"/>
              <w:rPr>
                <w:rFonts w:cs="Arial"/>
                <w:sz w:val="18"/>
                <w:szCs w:val="18"/>
              </w:rPr>
            </w:pPr>
            <w:r w:rsidRPr="001D41EA">
              <w:rPr>
                <w:rFonts w:cs="Arial"/>
                <w:sz w:val="18"/>
                <w:szCs w:val="18"/>
              </w:rPr>
              <w:t>0.990</w:t>
            </w:r>
          </w:p>
        </w:tc>
        <w:tc>
          <w:tcPr>
            <w:tcW w:w="1134" w:type="dxa"/>
            <w:tcBorders>
              <w:top w:val="nil"/>
              <w:left w:val="nil"/>
              <w:bottom w:val="nil"/>
              <w:right w:val="nil"/>
            </w:tcBorders>
            <w:shd w:val="clear" w:color="auto" w:fill="auto"/>
            <w:vAlign w:val="bottom"/>
          </w:tcPr>
          <w:p w14:paraId="2234411D" w14:textId="01FF510F" w:rsidR="00566EA9" w:rsidRPr="001D41EA" w:rsidRDefault="00566EA9" w:rsidP="001D41EA">
            <w:pPr>
              <w:spacing w:before="40" w:after="40"/>
              <w:jc w:val="center"/>
              <w:rPr>
                <w:rFonts w:cs="Arial"/>
                <w:sz w:val="18"/>
                <w:szCs w:val="18"/>
              </w:rPr>
            </w:pPr>
            <w:r w:rsidRPr="001D41EA">
              <w:rPr>
                <w:rFonts w:cs="Arial"/>
                <w:sz w:val="18"/>
                <w:szCs w:val="18"/>
              </w:rPr>
              <w:t>0.984</w:t>
            </w:r>
          </w:p>
        </w:tc>
      </w:tr>
      <w:tr w:rsidR="00566EA9" w:rsidRPr="001D41EA" w14:paraId="6D7E1B4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A437922" w14:textId="77777777" w:rsidR="00566EA9" w:rsidRPr="001D41EA" w:rsidRDefault="00566EA9" w:rsidP="001D41EA">
            <w:pPr>
              <w:spacing w:before="40" w:after="40"/>
              <w:rPr>
                <w:rFonts w:cs="Arial"/>
                <w:sz w:val="18"/>
                <w:szCs w:val="18"/>
              </w:rPr>
            </w:pPr>
            <w:r w:rsidRPr="001D41EA">
              <w:rPr>
                <w:rFonts w:cs="Arial"/>
                <w:sz w:val="18"/>
                <w:szCs w:val="18"/>
              </w:rPr>
              <w:t>Banyule C</w:t>
            </w:r>
          </w:p>
        </w:tc>
        <w:tc>
          <w:tcPr>
            <w:tcW w:w="1134" w:type="dxa"/>
            <w:tcBorders>
              <w:top w:val="nil"/>
              <w:left w:val="single" w:sz="18" w:space="0" w:color="5F497A" w:themeColor="accent4" w:themeShade="BF"/>
              <w:bottom w:val="nil"/>
              <w:right w:val="nil"/>
            </w:tcBorders>
            <w:shd w:val="clear" w:color="auto" w:fill="auto"/>
            <w:vAlign w:val="bottom"/>
          </w:tcPr>
          <w:p w14:paraId="398AFE1F" w14:textId="3AD551D7" w:rsidR="00566EA9" w:rsidRPr="001D41EA" w:rsidRDefault="00566EA9" w:rsidP="001D41EA">
            <w:pPr>
              <w:spacing w:before="40" w:after="40"/>
              <w:jc w:val="center"/>
              <w:rPr>
                <w:rFonts w:cs="Arial"/>
                <w:sz w:val="18"/>
                <w:szCs w:val="18"/>
              </w:rPr>
            </w:pPr>
            <w:r w:rsidRPr="001D41EA">
              <w:rPr>
                <w:rFonts w:cs="Arial"/>
                <w:sz w:val="18"/>
                <w:szCs w:val="18"/>
              </w:rPr>
              <w:t>1.031</w:t>
            </w:r>
          </w:p>
        </w:tc>
        <w:tc>
          <w:tcPr>
            <w:tcW w:w="1134" w:type="dxa"/>
            <w:tcBorders>
              <w:top w:val="nil"/>
              <w:left w:val="nil"/>
              <w:bottom w:val="nil"/>
              <w:right w:val="nil"/>
            </w:tcBorders>
            <w:vAlign w:val="bottom"/>
          </w:tcPr>
          <w:p w14:paraId="2443ACE7" w14:textId="24B17116" w:rsidR="00566EA9" w:rsidRPr="001D41EA" w:rsidRDefault="00566EA9" w:rsidP="001D41EA">
            <w:pPr>
              <w:spacing w:before="40" w:after="40"/>
              <w:jc w:val="center"/>
              <w:rPr>
                <w:rFonts w:cs="Arial"/>
                <w:sz w:val="18"/>
                <w:szCs w:val="18"/>
              </w:rPr>
            </w:pPr>
            <w:r w:rsidRPr="001D41EA">
              <w:rPr>
                <w:rFonts w:cs="Arial"/>
                <w:sz w:val="18"/>
                <w:szCs w:val="18"/>
              </w:rPr>
              <w:t>1.033</w:t>
            </w:r>
          </w:p>
        </w:tc>
        <w:tc>
          <w:tcPr>
            <w:tcW w:w="1134" w:type="dxa"/>
            <w:tcBorders>
              <w:top w:val="nil"/>
              <w:left w:val="nil"/>
              <w:bottom w:val="nil"/>
              <w:right w:val="nil"/>
            </w:tcBorders>
            <w:vAlign w:val="bottom"/>
          </w:tcPr>
          <w:p w14:paraId="040A117D" w14:textId="464C2A84" w:rsidR="00566EA9" w:rsidRPr="001D41EA" w:rsidRDefault="00566EA9" w:rsidP="001D41EA">
            <w:pPr>
              <w:spacing w:before="40" w:after="40"/>
              <w:jc w:val="center"/>
              <w:rPr>
                <w:rFonts w:cs="Arial"/>
                <w:sz w:val="18"/>
                <w:szCs w:val="18"/>
              </w:rPr>
            </w:pPr>
            <w:r w:rsidRPr="001D41EA">
              <w:rPr>
                <w:rFonts w:cs="Arial"/>
                <w:sz w:val="18"/>
                <w:szCs w:val="18"/>
              </w:rPr>
              <w:t>1.031</w:t>
            </w:r>
          </w:p>
        </w:tc>
        <w:tc>
          <w:tcPr>
            <w:tcW w:w="1134" w:type="dxa"/>
            <w:tcBorders>
              <w:top w:val="nil"/>
              <w:left w:val="nil"/>
              <w:bottom w:val="nil"/>
              <w:right w:val="nil"/>
            </w:tcBorders>
            <w:vAlign w:val="bottom"/>
          </w:tcPr>
          <w:p w14:paraId="534CD1E3" w14:textId="7307D567" w:rsidR="00566EA9" w:rsidRPr="001D41EA" w:rsidRDefault="00566EA9" w:rsidP="001D41EA">
            <w:pPr>
              <w:spacing w:before="40" w:after="40"/>
              <w:jc w:val="center"/>
              <w:rPr>
                <w:rFonts w:cs="Arial"/>
                <w:sz w:val="18"/>
                <w:szCs w:val="18"/>
              </w:rPr>
            </w:pPr>
            <w:r w:rsidRPr="001D41EA">
              <w:rPr>
                <w:rFonts w:cs="Arial"/>
                <w:sz w:val="18"/>
                <w:szCs w:val="18"/>
              </w:rPr>
              <w:t>1.018</w:t>
            </w:r>
          </w:p>
        </w:tc>
        <w:tc>
          <w:tcPr>
            <w:tcW w:w="170" w:type="dxa"/>
            <w:tcBorders>
              <w:top w:val="nil"/>
              <w:left w:val="nil"/>
              <w:bottom w:val="nil"/>
              <w:right w:val="nil"/>
            </w:tcBorders>
            <w:vAlign w:val="bottom"/>
          </w:tcPr>
          <w:p w14:paraId="451CE59B" w14:textId="74E03BAF"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0A1339E" w14:textId="30D8DB68" w:rsidR="00566EA9" w:rsidRPr="001D41EA" w:rsidRDefault="00566EA9" w:rsidP="001D41EA">
            <w:pPr>
              <w:spacing w:before="40" w:after="4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4345F2BD" w14:textId="0A65DF61" w:rsidR="00566EA9" w:rsidRPr="001D41EA" w:rsidRDefault="00566EA9" w:rsidP="001D41EA">
            <w:pPr>
              <w:spacing w:before="40" w:after="40"/>
              <w:jc w:val="center"/>
              <w:rPr>
                <w:rFonts w:cs="Arial"/>
                <w:sz w:val="18"/>
                <w:szCs w:val="18"/>
              </w:rPr>
            </w:pPr>
            <w:r w:rsidRPr="001D41EA">
              <w:rPr>
                <w:rFonts w:cs="Arial"/>
                <w:sz w:val="18"/>
                <w:szCs w:val="18"/>
              </w:rPr>
              <w:t>0.908</w:t>
            </w:r>
          </w:p>
        </w:tc>
      </w:tr>
      <w:tr w:rsidR="00566EA9" w:rsidRPr="001D41EA" w14:paraId="6E7F775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9EA015D" w14:textId="77777777" w:rsidR="00566EA9" w:rsidRPr="001D41EA" w:rsidRDefault="00566EA9" w:rsidP="001D41EA">
            <w:pPr>
              <w:spacing w:before="40" w:after="40"/>
              <w:rPr>
                <w:rFonts w:cs="Arial"/>
                <w:sz w:val="18"/>
                <w:szCs w:val="18"/>
              </w:rPr>
            </w:pPr>
            <w:r w:rsidRPr="001D41EA">
              <w:rPr>
                <w:rFonts w:cs="Arial"/>
                <w:sz w:val="18"/>
                <w:szCs w:val="18"/>
              </w:rPr>
              <w:t>Bass Coast S</w:t>
            </w:r>
          </w:p>
        </w:tc>
        <w:tc>
          <w:tcPr>
            <w:tcW w:w="1134" w:type="dxa"/>
            <w:tcBorders>
              <w:top w:val="nil"/>
              <w:left w:val="single" w:sz="18" w:space="0" w:color="5F497A" w:themeColor="accent4" w:themeShade="BF"/>
              <w:bottom w:val="nil"/>
              <w:right w:val="nil"/>
            </w:tcBorders>
            <w:shd w:val="clear" w:color="auto" w:fill="auto"/>
            <w:vAlign w:val="bottom"/>
          </w:tcPr>
          <w:p w14:paraId="4142FCAA" w14:textId="0137415E" w:rsidR="00566EA9" w:rsidRPr="001D41EA" w:rsidRDefault="00566EA9" w:rsidP="001D41EA">
            <w:pPr>
              <w:spacing w:before="40" w:after="40"/>
              <w:jc w:val="center"/>
              <w:rPr>
                <w:rFonts w:cs="Arial"/>
                <w:sz w:val="18"/>
                <w:szCs w:val="18"/>
              </w:rPr>
            </w:pPr>
            <w:r w:rsidRPr="001D41EA">
              <w:rPr>
                <w:rFonts w:cs="Arial"/>
                <w:sz w:val="18"/>
                <w:szCs w:val="18"/>
              </w:rPr>
              <w:t>0.930</w:t>
            </w:r>
          </w:p>
        </w:tc>
        <w:tc>
          <w:tcPr>
            <w:tcW w:w="1134" w:type="dxa"/>
            <w:tcBorders>
              <w:top w:val="nil"/>
              <w:left w:val="nil"/>
              <w:bottom w:val="nil"/>
              <w:right w:val="nil"/>
            </w:tcBorders>
            <w:vAlign w:val="bottom"/>
          </w:tcPr>
          <w:p w14:paraId="41E3E238" w14:textId="3FD35E4F" w:rsidR="00566EA9" w:rsidRPr="001D41EA" w:rsidRDefault="00566EA9" w:rsidP="001D41EA">
            <w:pPr>
              <w:spacing w:before="40" w:after="40"/>
              <w:jc w:val="center"/>
              <w:rPr>
                <w:rFonts w:cs="Arial"/>
                <w:sz w:val="18"/>
                <w:szCs w:val="18"/>
              </w:rPr>
            </w:pPr>
            <w:r w:rsidRPr="001D41EA">
              <w:rPr>
                <w:rFonts w:cs="Arial"/>
                <w:sz w:val="18"/>
                <w:szCs w:val="18"/>
              </w:rPr>
              <w:t>0.932</w:t>
            </w:r>
          </w:p>
        </w:tc>
        <w:tc>
          <w:tcPr>
            <w:tcW w:w="1134" w:type="dxa"/>
            <w:tcBorders>
              <w:top w:val="nil"/>
              <w:left w:val="nil"/>
              <w:bottom w:val="nil"/>
              <w:right w:val="nil"/>
            </w:tcBorders>
            <w:vAlign w:val="bottom"/>
          </w:tcPr>
          <w:p w14:paraId="68766FBD" w14:textId="2AD5C828" w:rsidR="00566EA9" w:rsidRPr="001D41EA" w:rsidRDefault="00566EA9" w:rsidP="001D41EA">
            <w:pPr>
              <w:spacing w:before="40" w:after="40"/>
              <w:jc w:val="center"/>
              <w:rPr>
                <w:rFonts w:cs="Arial"/>
                <w:sz w:val="18"/>
                <w:szCs w:val="18"/>
              </w:rPr>
            </w:pPr>
            <w:r w:rsidRPr="001D41EA">
              <w:rPr>
                <w:rFonts w:cs="Arial"/>
                <w:sz w:val="18"/>
                <w:szCs w:val="18"/>
              </w:rPr>
              <w:t>0.931</w:t>
            </w:r>
          </w:p>
        </w:tc>
        <w:tc>
          <w:tcPr>
            <w:tcW w:w="1134" w:type="dxa"/>
            <w:tcBorders>
              <w:top w:val="nil"/>
              <w:left w:val="nil"/>
              <w:bottom w:val="nil"/>
              <w:right w:val="nil"/>
            </w:tcBorders>
            <w:vAlign w:val="bottom"/>
          </w:tcPr>
          <w:p w14:paraId="5E6A5DBA" w14:textId="666C6219" w:rsidR="00566EA9" w:rsidRPr="001D41EA" w:rsidRDefault="00566EA9" w:rsidP="001D41EA">
            <w:pPr>
              <w:spacing w:before="40" w:after="40"/>
              <w:jc w:val="center"/>
              <w:rPr>
                <w:rFonts w:cs="Arial"/>
                <w:sz w:val="18"/>
                <w:szCs w:val="18"/>
              </w:rPr>
            </w:pPr>
            <w:r w:rsidRPr="001D41EA">
              <w:rPr>
                <w:rFonts w:cs="Arial"/>
                <w:sz w:val="18"/>
                <w:szCs w:val="18"/>
              </w:rPr>
              <w:t>0.919</w:t>
            </w:r>
          </w:p>
        </w:tc>
        <w:tc>
          <w:tcPr>
            <w:tcW w:w="170" w:type="dxa"/>
            <w:tcBorders>
              <w:top w:val="nil"/>
              <w:left w:val="nil"/>
              <w:bottom w:val="nil"/>
              <w:right w:val="nil"/>
            </w:tcBorders>
            <w:vAlign w:val="bottom"/>
          </w:tcPr>
          <w:p w14:paraId="319A8B2D" w14:textId="595EB12B"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10DA18B0" w14:textId="768D5EA2" w:rsidR="00566EA9" w:rsidRPr="001D41EA" w:rsidRDefault="00566EA9" w:rsidP="001D41EA">
            <w:pPr>
              <w:spacing w:before="40" w:after="40"/>
              <w:jc w:val="center"/>
              <w:rPr>
                <w:rFonts w:cs="Arial"/>
                <w:sz w:val="18"/>
                <w:szCs w:val="18"/>
              </w:rPr>
            </w:pPr>
            <w:r w:rsidRPr="001D41EA">
              <w:rPr>
                <w:rFonts w:cs="Arial"/>
                <w:sz w:val="18"/>
                <w:szCs w:val="18"/>
              </w:rPr>
              <w:t>1.123</w:t>
            </w:r>
          </w:p>
        </w:tc>
        <w:tc>
          <w:tcPr>
            <w:tcW w:w="1134" w:type="dxa"/>
            <w:tcBorders>
              <w:top w:val="nil"/>
              <w:left w:val="nil"/>
              <w:bottom w:val="nil"/>
              <w:right w:val="nil"/>
            </w:tcBorders>
            <w:shd w:val="clear" w:color="auto" w:fill="auto"/>
            <w:vAlign w:val="bottom"/>
          </w:tcPr>
          <w:p w14:paraId="19F1DB87" w14:textId="2874638A" w:rsidR="00566EA9" w:rsidRPr="001D41EA" w:rsidRDefault="00566EA9" w:rsidP="001D41EA">
            <w:pPr>
              <w:spacing w:before="40" w:after="40"/>
              <w:jc w:val="center"/>
              <w:rPr>
                <w:rFonts w:cs="Arial"/>
                <w:sz w:val="18"/>
                <w:szCs w:val="18"/>
              </w:rPr>
            </w:pPr>
            <w:r w:rsidRPr="001D41EA">
              <w:rPr>
                <w:rFonts w:cs="Arial"/>
                <w:sz w:val="18"/>
                <w:szCs w:val="18"/>
              </w:rPr>
              <w:t>1.117</w:t>
            </w:r>
          </w:p>
        </w:tc>
      </w:tr>
      <w:tr w:rsidR="00566EA9" w:rsidRPr="001D41EA" w14:paraId="6E9C51A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B137398" w14:textId="77777777" w:rsidR="00566EA9" w:rsidRPr="001D41EA" w:rsidRDefault="00566EA9" w:rsidP="001D41EA">
            <w:pPr>
              <w:spacing w:before="40" w:after="40"/>
              <w:rPr>
                <w:rFonts w:cs="Arial"/>
                <w:sz w:val="18"/>
                <w:szCs w:val="18"/>
              </w:rPr>
            </w:pPr>
            <w:r w:rsidRPr="001D41EA">
              <w:rPr>
                <w:rFonts w:cs="Arial"/>
                <w:sz w:val="18"/>
                <w:szCs w:val="18"/>
              </w:rPr>
              <w:t>Baw Baw S</w:t>
            </w:r>
          </w:p>
        </w:tc>
        <w:tc>
          <w:tcPr>
            <w:tcW w:w="1134" w:type="dxa"/>
            <w:tcBorders>
              <w:top w:val="nil"/>
              <w:left w:val="single" w:sz="18" w:space="0" w:color="5F497A" w:themeColor="accent4" w:themeShade="BF"/>
              <w:bottom w:val="nil"/>
              <w:right w:val="nil"/>
            </w:tcBorders>
            <w:shd w:val="clear" w:color="auto" w:fill="auto"/>
            <w:vAlign w:val="bottom"/>
          </w:tcPr>
          <w:p w14:paraId="24466044" w14:textId="141B742F" w:rsidR="00566EA9" w:rsidRPr="001D41EA" w:rsidRDefault="00566EA9" w:rsidP="001D41EA">
            <w:pPr>
              <w:spacing w:before="40" w:after="40"/>
              <w:jc w:val="center"/>
              <w:rPr>
                <w:rFonts w:cs="Arial"/>
                <w:sz w:val="18"/>
                <w:szCs w:val="18"/>
              </w:rPr>
            </w:pPr>
            <w:r w:rsidRPr="001D41EA">
              <w:rPr>
                <w:rFonts w:cs="Arial"/>
                <w:sz w:val="18"/>
                <w:szCs w:val="18"/>
              </w:rPr>
              <w:t>0.896</w:t>
            </w:r>
          </w:p>
        </w:tc>
        <w:tc>
          <w:tcPr>
            <w:tcW w:w="1134" w:type="dxa"/>
            <w:tcBorders>
              <w:top w:val="nil"/>
              <w:left w:val="nil"/>
              <w:bottom w:val="nil"/>
              <w:right w:val="nil"/>
            </w:tcBorders>
            <w:vAlign w:val="bottom"/>
          </w:tcPr>
          <w:p w14:paraId="3AE7E692" w14:textId="7C44FAC0" w:rsidR="00566EA9" w:rsidRPr="001D41EA" w:rsidRDefault="00566EA9" w:rsidP="001D41EA">
            <w:pPr>
              <w:spacing w:before="40" w:after="40"/>
              <w:jc w:val="center"/>
              <w:rPr>
                <w:rFonts w:cs="Arial"/>
                <w:sz w:val="18"/>
                <w:szCs w:val="18"/>
              </w:rPr>
            </w:pPr>
            <w:r w:rsidRPr="001D41EA">
              <w:rPr>
                <w:rFonts w:cs="Arial"/>
                <w:sz w:val="18"/>
                <w:szCs w:val="18"/>
              </w:rPr>
              <w:t>0.898</w:t>
            </w:r>
          </w:p>
        </w:tc>
        <w:tc>
          <w:tcPr>
            <w:tcW w:w="1134" w:type="dxa"/>
            <w:tcBorders>
              <w:top w:val="nil"/>
              <w:left w:val="nil"/>
              <w:bottom w:val="nil"/>
              <w:right w:val="nil"/>
            </w:tcBorders>
            <w:vAlign w:val="bottom"/>
          </w:tcPr>
          <w:p w14:paraId="6021EE68" w14:textId="7D54831E" w:rsidR="00566EA9" w:rsidRPr="001D41EA" w:rsidRDefault="00566EA9" w:rsidP="001D41EA">
            <w:pPr>
              <w:spacing w:before="40" w:after="40"/>
              <w:jc w:val="center"/>
              <w:rPr>
                <w:rFonts w:cs="Arial"/>
                <w:sz w:val="18"/>
                <w:szCs w:val="18"/>
              </w:rPr>
            </w:pPr>
            <w:r w:rsidRPr="001D41EA">
              <w:rPr>
                <w:rFonts w:cs="Arial"/>
                <w:sz w:val="18"/>
                <w:szCs w:val="18"/>
              </w:rPr>
              <w:t>0.896</w:t>
            </w:r>
          </w:p>
        </w:tc>
        <w:tc>
          <w:tcPr>
            <w:tcW w:w="1134" w:type="dxa"/>
            <w:tcBorders>
              <w:top w:val="nil"/>
              <w:left w:val="nil"/>
              <w:bottom w:val="nil"/>
              <w:right w:val="nil"/>
            </w:tcBorders>
            <w:vAlign w:val="bottom"/>
          </w:tcPr>
          <w:p w14:paraId="6D854F05" w14:textId="2E372157" w:rsidR="00566EA9" w:rsidRPr="001D41EA" w:rsidRDefault="00566EA9" w:rsidP="001D41EA">
            <w:pPr>
              <w:spacing w:before="40" w:after="40"/>
              <w:jc w:val="center"/>
              <w:rPr>
                <w:rFonts w:cs="Arial"/>
                <w:sz w:val="18"/>
                <w:szCs w:val="18"/>
              </w:rPr>
            </w:pPr>
            <w:r w:rsidRPr="001D41EA">
              <w:rPr>
                <w:rFonts w:cs="Arial"/>
                <w:sz w:val="18"/>
                <w:szCs w:val="18"/>
              </w:rPr>
              <w:t>0.885</w:t>
            </w:r>
          </w:p>
        </w:tc>
        <w:tc>
          <w:tcPr>
            <w:tcW w:w="170" w:type="dxa"/>
            <w:tcBorders>
              <w:top w:val="nil"/>
              <w:left w:val="nil"/>
              <w:bottom w:val="nil"/>
              <w:right w:val="nil"/>
            </w:tcBorders>
            <w:vAlign w:val="bottom"/>
          </w:tcPr>
          <w:p w14:paraId="2E3566CF" w14:textId="20BF9D8F"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51B5CD91" w14:textId="671104C2" w:rsidR="00566EA9" w:rsidRPr="001D41EA" w:rsidRDefault="00566EA9" w:rsidP="001D41EA">
            <w:pPr>
              <w:spacing w:before="40" w:after="40"/>
              <w:jc w:val="center"/>
              <w:rPr>
                <w:rFonts w:cs="Arial"/>
                <w:sz w:val="18"/>
                <w:szCs w:val="18"/>
              </w:rPr>
            </w:pPr>
            <w:r w:rsidRPr="001D41EA">
              <w:rPr>
                <w:rFonts w:cs="Arial"/>
                <w:sz w:val="18"/>
                <w:szCs w:val="18"/>
              </w:rPr>
              <w:t>1.196</w:t>
            </w:r>
          </w:p>
        </w:tc>
        <w:tc>
          <w:tcPr>
            <w:tcW w:w="1134" w:type="dxa"/>
            <w:tcBorders>
              <w:top w:val="nil"/>
              <w:left w:val="nil"/>
              <w:bottom w:val="nil"/>
              <w:right w:val="nil"/>
            </w:tcBorders>
            <w:shd w:val="clear" w:color="auto" w:fill="auto"/>
            <w:vAlign w:val="bottom"/>
          </w:tcPr>
          <w:p w14:paraId="469C209F" w14:textId="12F0626B" w:rsidR="00566EA9" w:rsidRPr="001D41EA" w:rsidRDefault="00566EA9" w:rsidP="001D41EA">
            <w:pPr>
              <w:spacing w:before="40" w:after="40"/>
              <w:jc w:val="center"/>
              <w:rPr>
                <w:rFonts w:cs="Arial"/>
                <w:sz w:val="18"/>
                <w:szCs w:val="18"/>
              </w:rPr>
            </w:pPr>
            <w:r w:rsidRPr="001D41EA">
              <w:rPr>
                <w:rFonts w:cs="Arial"/>
                <w:sz w:val="18"/>
                <w:szCs w:val="18"/>
              </w:rPr>
              <w:t>1.190</w:t>
            </w:r>
          </w:p>
        </w:tc>
      </w:tr>
      <w:tr w:rsidR="00566EA9" w:rsidRPr="001D41EA" w14:paraId="72F2DEB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DF517A1" w14:textId="77777777" w:rsidR="00566EA9" w:rsidRPr="001D41EA" w:rsidRDefault="00566EA9" w:rsidP="001D41EA">
            <w:pPr>
              <w:spacing w:before="40" w:after="40"/>
              <w:rPr>
                <w:rFonts w:cs="Arial"/>
                <w:sz w:val="18"/>
                <w:szCs w:val="18"/>
              </w:rPr>
            </w:pPr>
            <w:r w:rsidRPr="001D41EA">
              <w:rPr>
                <w:rFonts w:cs="Arial"/>
                <w:sz w:val="18"/>
                <w:szCs w:val="18"/>
              </w:rPr>
              <w:t>Bayside C</w:t>
            </w:r>
          </w:p>
        </w:tc>
        <w:tc>
          <w:tcPr>
            <w:tcW w:w="1134" w:type="dxa"/>
            <w:tcBorders>
              <w:top w:val="nil"/>
              <w:left w:val="single" w:sz="18" w:space="0" w:color="5F497A" w:themeColor="accent4" w:themeShade="BF"/>
              <w:bottom w:val="nil"/>
              <w:right w:val="nil"/>
            </w:tcBorders>
            <w:shd w:val="clear" w:color="auto" w:fill="auto"/>
            <w:vAlign w:val="bottom"/>
          </w:tcPr>
          <w:p w14:paraId="3E9882E2" w14:textId="2AFC517A" w:rsidR="00566EA9" w:rsidRPr="001D41EA" w:rsidRDefault="00566EA9" w:rsidP="001D41EA">
            <w:pPr>
              <w:spacing w:before="40" w:after="40"/>
              <w:jc w:val="center"/>
              <w:rPr>
                <w:rFonts w:cs="Arial"/>
                <w:sz w:val="18"/>
                <w:szCs w:val="18"/>
              </w:rPr>
            </w:pPr>
            <w:r w:rsidRPr="001D41EA">
              <w:rPr>
                <w:rFonts w:cs="Arial"/>
                <w:sz w:val="18"/>
                <w:szCs w:val="18"/>
              </w:rPr>
              <w:t>0.975</w:t>
            </w:r>
          </w:p>
        </w:tc>
        <w:tc>
          <w:tcPr>
            <w:tcW w:w="1134" w:type="dxa"/>
            <w:tcBorders>
              <w:top w:val="nil"/>
              <w:left w:val="nil"/>
              <w:bottom w:val="nil"/>
              <w:right w:val="nil"/>
            </w:tcBorders>
            <w:vAlign w:val="bottom"/>
          </w:tcPr>
          <w:p w14:paraId="7BE1FAA1" w14:textId="2CCE8E69" w:rsidR="00566EA9" w:rsidRPr="001D41EA" w:rsidRDefault="00566EA9" w:rsidP="001D41EA">
            <w:pPr>
              <w:spacing w:before="40" w:after="40"/>
              <w:jc w:val="center"/>
              <w:rPr>
                <w:rFonts w:cs="Arial"/>
                <w:sz w:val="18"/>
                <w:szCs w:val="18"/>
              </w:rPr>
            </w:pPr>
            <w:r w:rsidRPr="001D41EA">
              <w:rPr>
                <w:rFonts w:cs="Arial"/>
                <w:sz w:val="18"/>
                <w:szCs w:val="18"/>
              </w:rPr>
              <w:t>0.976</w:t>
            </w:r>
          </w:p>
        </w:tc>
        <w:tc>
          <w:tcPr>
            <w:tcW w:w="1134" w:type="dxa"/>
            <w:tcBorders>
              <w:top w:val="nil"/>
              <w:left w:val="nil"/>
              <w:bottom w:val="nil"/>
              <w:right w:val="nil"/>
            </w:tcBorders>
            <w:vAlign w:val="bottom"/>
          </w:tcPr>
          <w:p w14:paraId="47388BD4" w14:textId="0B3A2ADD" w:rsidR="00566EA9" w:rsidRPr="001D41EA" w:rsidRDefault="00566EA9" w:rsidP="001D41EA">
            <w:pPr>
              <w:spacing w:before="40" w:after="40"/>
              <w:jc w:val="center"/>
              <w:rPr>
                <w:rFonts w:cs="Arial"/>
                <w:sz w:val="18"/>
                <w:szCs w:val="18"/>
              </w:rPr>
            </w:pPr>
            <w:r w:rsidRPr="001D41EA">
              <w:rPr>
                <w:rFonts w:cs="Arial"/>
                <w:sz w:val="18"/>
                <w:szCs w:val="18"/>
              </w:rPr>
              <w:t>0.975</w:t>
            </w:r>
          </w:p>
        </w:tc>
        <w:tc>
          <w:tcPr>
            <w:tcW w:w="1134" w:type="dxa"/>
            <w:tcBorders>
              <w:top w:val="nil"/>
              <w:left w:val="nil"/>
              <w:bottom w:val="nil"/>
              <w:right w:val="nil"/>
            </w:tcBorders>
            <w:vAlign w:val="bottom"/>
          </w:tcPr>
          <w:p w14:paraId="2758ED39" w14:textId="518B1628" w:rsidR="00566EA9" w:rsidRPr="001D41EA" w:rsidRDefault="00566EA9" w:rsidP="001D41EA">
            <w:pPr>
              <w:spacing w:before="40" w:after="40"/>
              <w:jc w:val="center"/>
              <w:rPr>
                <w:rFonts w:cs="Arial"/>
                <w:sz w:val="18"/>
                <w:szCs w:val="18"/>
              </w:rPr>
            </w:pPr>
            <w:r w:rsidRPr="001D41EA">
              <w:rPr>
                <w:rFonts w:cs="Arial"/>
                <w:sz w:val="18"/>
                <w:szCs w:val="18"/>
              </w:rPr>
              <w:t>0.963</w:t>
            </w:r>
          </w:p>
        </w:tc>
        <w:tc>
          <w:tcPr>
            <w:tcW w:w="170" w:type="dxa"/>
            <w:tcBorders>
              <w:top w:val="nil"/>
              <w:left w:val="nil"/>
              <w:bottom w:val="nil"/>
              <w:right w:val="nil"/>
            </w:tcBorders>
            <w:vAlign w:val="bottom"/>
          </w:tcPr>
          <w:p w14:paraId="19916B91" w14:textId="720C2FBE"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7AD85491" w14:textId="5FE8447B" w:rsidR="00566EA9" w:rsidRPr="001D41EA" w:rsidRDefault="00566EA9" w:rsidP="001D41EA">
            <w:pPr>
              <w:spacing w:before="40" w:after="4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58313609" w14:textId="6C97FCE5" w:rsidR="00566EA9" w:rsidRPr="001D41EA" w:rsidRDefault="00566EA9" w:rsidP="001D41EA">
            <w:pPr>
              <w:spacing w:before="40" w:after="40"/>
              <w:jc w:val="center"/>
              <w:rPr>
                <w:rFonts w:cs="Arial"/>
                <w:sz w:val="18"/>
                <w:szCs w:val="18"/>
              </w:rPr>
            </w:pPr>
            <w:r w:rsidRPr="001D41EA">
              <w:rPr>
                <w:rFonts w:cs="Arial"/>
                <w:sz w:val="18"/>
                <w:szCs w:val="18"/>
              </w:rPr>
              <w:t>0.908</w:t>
            </w:r>
          </w:p>
        </w:tc>
      </w:tr>
      <w:tr w:rsidR="00566EA9" w:rsidRPr="001D41EA" w14:paraId="01F7463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A58194E" w14:textId="77777777" w:rsidR="00566EA9" w:rsidRPr="001D41EA" w:rsidRDefault="00566EA9" w:rsidP="001D41EA">
            <w:pPr>
              <w:spacing w:before="40" w:after="40"/>
              <w:rPr>
                <w:rFonts w:cs="Arial"/>
                <w:sz w:val="18"/>
                <w:szCs w:val="18"/>
              </w:rPr>
            </w:pPr>
            <w:r w:rsidRPr="001D41EA">
              <w:rPr>
                <w:rFonts w:cs="Arial"/>
                <w:sz w:val="18"/>
                <w:szCs w:val="18"/>
              </w:rPr>
              <w:t>Benalla RC</w:t>
            </w:r>
          </w:p>
        </w:tc>
        <w:tc>
          <w:tcPr>
            <w:tcW w:w="1134" w:type="dxa"/>
            <w:tcBorders>
              <w:top w:val="nil"/>
              <w:left w:val="single" w:sz="18" w:space="0" w:color="5F497A" w:themeColor="accent4" w:themeShade="BF"/>
              <w:bottom w:val="nil"/>
              <w:right w:val="nil"/>
            </w:tcBorders>
            <w:shd w:val="clear" w:color="auto" w:fill="auto"/>
            <w:vAlign w:val="bottom"/>
          </w:tcPr>
          <w:p w14:paraId="50CFAFF5" w14:textId="1DCDD1B5" w:rsidR="00566EA9" w:rsidRPr="001D41EA" w:rsidRDefault="00566EA9" w:rsidP="001D41EA">
            <w:pPr>
              <w:spacing w:before="40" w:after="40"/>
              <w:jc w:val="center"/>
              <w:rPr>
                <w:rFonts w:cs="Arial"/>
                <w:sz w:val="18"/>
                <w:szCs w:val="18"/>
              </w:rPr>
            </w:pPr>
            <w:r w:rsidRPr="001D41EA">
              <w:rPr>
                <w:rFonts w:cs="Arial"/>
                <w:sz w:val="18"/>
                <w:szCs w:val="18"/>
              </w:rPr>
              <w:t>0.916</w:t>
            </w:r>
          </w:p>
        </w:tc>
        <w:tc>
          <w:tcPr>
            <w:tcW w:w="1134" w:type="dxa"/>
            <w:tcBorders>
              <w:top w:val="nil"/>
              <w:left w:val="nil"/>
              <w:bottom w:val="nil"/>
              <w:right w:val="nil"/>
            </w:tcBorders>
            <w:vAlign w:val="bottom"/>
          </w:tcPr>
          <w:p w14:paraId="4A9E360D" w14:textId="7BF2D19C" w:rsidR="00566EA9" w:rsidRPr="001D41EA" w:rsidRDefault="00566EA9" w:rsidP="001D41EA">
            <w:pPr>
              <w:spacing w:before="40" w:after="40"/>
              <w:jc w:val="center"/>
              <w:rPr>
                <w:rFonts w:cs="Arial"/>
                <w:sz w:val="18"/>
                <w:szCs w:val="18"/>
              </w:rPr>
            </w:pPr>
            <w:r w:rsidRPr="001D41EA">
              <w:rPr>
                <w:rFonts w:cs="Arial"/>
                <w:sz w:val="18"/>
                <w:szCs w:val="18"/>
              </w:rPr>
              <w:t>0.918</w:t>
            </w:r>
          </w:p>
        </w:tc>
        <w:tc>
          <w:tcPr>
            <w:tcW w:w="1134" w:type="dxa"/>
            <w:tcBorders>
              <w:top w:val="nil"/>
              <w:left w:val="nil"/>
              <w:bottom w:val="nil"/>
              <w:right w:val="nil"/>
            </w:tcBorders>
            <w:vAlign w:val="bottom"/>
          </w:tcPr>
          <w:p w14:paraId="79E3A054" w14:textId="2D604B1A" w:rsidR="00566EA9" w:rsidRPr="001D41EA" w:rsidRDefault="00566EA9" w:rsidP="001D41EA">
            <w:pPr>
              <w:spacing w:before="40" w:after="40"/>
              <w:jc w:val="center"/>
              <w:rPr>
                <w:rFonts w:cs="Arial"/>
                <w:sz w:val="18"/>
                <w:szCs w:val="18"/>
              </w:rPr>
            </w:pPr>
            <w:r w:rsidRPr="001D41EA">
              <w:rPr>
                <w:rFonts w:cs="Arial"/>
                <w:sz w:val="18"/>
                <w:szCs w:val="18"/>
              </w:rPr>
              <w:t>0.917</w:t>
            </w:r>
          </w:p>
        </w:tc>
        <w:tc>
          <w:tcPr>
            <w:tcW w:w="1134" w:type="dxa"/>
            <w:tcBorders>
              <w:top w:val="nil"/>
              <w:left w:val="nil"/>
              <w:bottom w:val="nil"/>
              <w:right w:val="nil"/>
            </w:tcBorders>
            <w:vAlign w:val="bottom"/>
          </w:tcPr>
          <w:p w14:paraId="328C67B7" w14:textId="622E00FB" w:rsidR="00566EA9" w:rsidRPr="001D41EA" w:rsidRDefault="00566EA9" w:rsidP="001D41EA">
            <w:pPr>
              <w:spacing w:before="40" w:after="40"/>
              <w:jc w:val="center"/>
              <w:rPr>
                <w:rFonts w:cs="Arial"/>
                <w:sz w:val="18"/>
                <w:szCs w:val="18"/>
              </w:rPr>
            </w:pPr>
            <w:r w:rsidRPr="001D41EA">
              <w:rPr>
                <w:rFonts w:cs="Arial"/>
                <w:sz w:val="18"/>
                <w:szCs w:val="18"/>
              </w:rPr>
              <w:t>0.905</w:t>
            </w:r>
          </w:p>
        </w:tc>
        <w:tc>
          <w:tcPr>
            <w:tcW w:w="170" w:type="dxa"/>
            <w:tcBorders>
              <w:top w:val="nil"/>
              <w:left w:val="nil"/>
              <w:bottom w:val="nil"/>
              <w:right w:val="nil"/>
            </w:tcBorders>
            <w:vAlign w:val="bottom"/>
          </w:tcPr>
          <w:p w14:paraId="4F73ACE6" w14:textId="58908016"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23BCD018" w14:textId="080AFD42" w:rsidR="00566EA9" w:rsidRPr="001D41EA" w:rsidRDefault="00566EA9" w:rsidP="001D41EA">
            <w:pPr>
              <w:spacing w:before="40" w:after="40"/>
              <w:jc w:val="center"/>
              <w:rPr>
                <w:rFonts w:cs="Arial"/>
                <w:sz w:val="18"/>
                <w:szCs w:val="18"/>
              </w:rPr>
            </w:pPr>
            <w:r w:rsidRPr="001D41EA">
              <w:rPr>
                <w:rFonts w:cs="Arial"/>
                <w:sz w:val="18"/>
                <w:szCs w:val="18"/>
              </w:rPr>
              <w:t>1.244</w:t>
            </w:r>
          </w:p>
        </w:tc>
        <w:tc>
          <w:tcPr>
            <w:tcW w:w="1134" w:type="dxa"/>
            <w:tcBorders>
              <w:top w:val="nil"/>
              <w:left w:val="nil"/>
              <w:bottom w:val="nil"/>
              <w:right w:val="nil"/>
            </w:tcBorders>
            <w:shd w:val="clear" w:color="auto" w:fill="auto"/>
            <w:vAlign w:val="bottom"/>
          </w:tcPr>
          <w:p w14:paraId="1D87E8B6" w14:textId="28A28254" w:rsidR="00566EA9" w:rsidRPr="001D41EA" w:rsidRDefault="00566EA9" w:rsidP="001D41EA">
            <w:pPr>
              <w:spacing w:before="40" w:after="40"/>
              <w:jc w:val="center"/>
              <w:rPr>
                <w:rFonts w:cs="Arial"/>
                <w:sz w:val="18"/>
                <w:szCs w:val="18"/>
              </w:rPr>
            </w:pPr>
            <w:r w:rsidRPr="001D41EA">
              <w:rPr>
                <w:rFonts w:cs="Arial"/>
                <w:sz w:val="18"/>
                <w:szCs w:val="18"/>
              </w:rPr>
              <w:t>1.236</w:t>
            </w:r>
          </w:p>
        </w:tc>
      </w:tr>
      <w:tr w:rsidR="00566EA9" w:rsidRPr="001D41EA" w14:paraId="1D992DA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64E6DE0" w14:textId="77777777" w:rsidR="00566EA9" w:rsidRPr="001D41EA" w:rsidRDefault="00566EA9" w:rsidP="001D41EA">
            <w:pPr>
              <w:spacing w:before="40" w:after="40"/>
              <w:rPr>
                <w:rFonts w:cs="Arial"/>
                <w:sz w:val="18"/>
                <w:szCs w:val="18"/>
              </w:rPr>
            </w:pPr>
            <w:r w:rsidRPr="001D41EA">
              <w:rPr>
                <w:rFonts w:cs="Arial"/>
                <w:sz w:val="18"/>
                <w:szCs w:val="18"/>
              </w:rPr>
              <w:t>Boroondara C</w:t>
            </w:r>
          </w:p>
        </w:tc>
        <w:tc>
          <w:tcPr>
            <w:tcW w:w="1134" w:type="dxa"/>
            <w:tcBorders>
              <w:top w:val="nil"/>
              <w:left w:val="single" w:sz="18" w:space="0" w:color="5F497A" w:themeColor="accent4" w:themeShade="BF"/>
              <w:bottom w:val="nil"/>
              <w:right w:val="nil"/>
            </w:tcBorders>
            <w:shd w:val="clear" w:color="auto" w:fill="auto"/>
            <w:vAlign w:val="bottom"/>
          </w:tcPr>
          <w:p w14:paraId="09D9EA72" w14:textId="7D6E9093" w:rsidR="00566EA9" w:rsidRPr="001D41EA" w:rsidRDefault="00566EA9" w:rsidP="001D41EA">
            <w:pPr>
              <w:spacing w:before="40" w:after="40"/>
              <w:jc w:val="center"/>
              <w:rPr>
                <w:rFonts w:cs="Arial"/>
                <w:sz w:val="18"/>
                <w:szCs w:val="18"/>
              </w:rPr>
            </w:pPr>
            <w:r w:rsidRPr="001D41EA">
              <w:rPr>
                <w:rFonts w:cs="Arial"/>
                <w:sz w:val="18"/>
                <w:szCs w:val="18"/>
              </w:rPr>
              <w:t>1.217</w:t>
            </w:r>
          </w:p>
        </w:tc>
        <w:tc>
          <w:tcPr>
            <w:tcW w:w="1134" w:type="dxa"/>
            <w:tcBorders>
              <w:top w:val="nil"/>
              <w:left w:val="nil"/>
              <w:bottom w:val="nil"/>
              <w:right w:val="nil"/>
            </w:tcBorders>
            <w:vAlign w:val="bottom"/>
          </w:tcPr>
          <w:p w14:paraId="0803C723" w14:textId="15AD6339" w:rsidR="00566EA9" w:rsidRPr="001D41EA" w:rsidRDefault="00566EA9" w:rsidP="001D41EA">
            <w:pPr>
              <w:spacing w:before="40" w:after="40"/>
              <w:jc w:val="center"/>
              <w:rPr>
                <w:rFonts w:cs="Arial"/>
                <w:sz w:val="18"/>
                <w:szCs w:val="18"/>
              </w:rPr>
            </w:pPr>
            <w:r w:rsidRPr="001D41EA">
              <w:rPr>
                <w:rFonts w:cs="Arial"/>
                <w:sz w:val="18"/>
                <w:szCs w:val="18"/>
              </w:rPr>
              <w:t>1.219</w:t>
            </w:r>
          </w:p>
        </w:tc>
        <w:tc>
          <w:tcPr>
            <w:tcW w:w="1134" w:type="dxa"/>
            <w:tcBorders>
              <w:top w:val="nil"/>
              <w:left w:val="nil"/>
              <w:bottom w:val="nil"/>
              <w:right w:val="nil"/>
            </w:tcBorders>
            <w:vAlign w:val="bottom"/>
          </w:tcPr>
          <w:p w14:paraId="612BBB9B" w14:textId="37C43316" w:rsidR="00566EA9" w:rsidRPr="001D41EA" w:rsidRDefault="00566EA9" w:rsidP="001D41EA">
            <w:pPr>
              <w:spacing w:before="40" w:after="40"/>
              <w:jc w:val="center"/>
              <w:rPr>
                <w:rFonts w:cs="Arial"/>
                <w:sz w:val="18"/>
                <w:szCs w:val="18"/>
              </w:rPr>
            </w:pPr>
            <w:r w:rsidRPr="001D41EA">
              <w:rPr>
                <w:rFonts w:cs="Arial"/>
                <w:sz w:val="18"/>
                <w:szCs w:val="18"/>
              </w:rPr>
              <w:t>1.217</w:t>
            </w:r>
          </w:p>
        </w:tc>
        <w:tc>
          <w:tcPr>
            <w:tcW w:w="1134" w:type="dxa"/>
            <w:tcBorders>
              <w:top w:val="nil"/>
              <w:left w:val="nil"/>
              <w:bottom w:val="nil"/>
              <w:right w:val="nil"/>
            </w:tcBorders>
            <w:vAlign w:val="bottom"/>
          </w:tcPr>
          <w:p w14:paraId="13FB48FC" w14:textId="7CE8A15D" w:rsidR="00566EA9" w:rsidRPr="001D41EA" w:rsidRDefault="00566EA9" w:rsidP="001D41EA">
            <w:pPr>
              <w:spacing w:before="40" w:after="40"/>
              <w:jc w:val="center"/>
              <w:rPr>
                <w:rFonts w:cs="Arial"/>
                <w:sz w:val="18"/>
                <w:szCs w:val="18"/>
              </w:rPr>
            </w:pPr>
            <w:r w:rsidRPr="001D41EA">
              <w:rPr>
                <w:rFonts w:cs="Arial"/>
                <w:sz w:val="18"/>
                <w:szCs w:val="18"/>
              </w:rPr>
              <w:t>1.202</w:t>
            </w:r>
          </w:p>
        </w:tc>
        <w:tc>
          <w:tcPr>
            <w:tcW w:w="170" w:type="dxa"/>
            <w:tcBorders>
              <w:top w:val="nil"/>
              <w:left w:val="nil"/>
              <w:bottom w:val="nil"/>
              <w:right w:val="nil"/>
            </w:tcBorders>
            <w:vAlign w:val="bottom"/>
          </w:tcPr>
          <w:p w14:paraId="2A2BB21F" w14:textId="3A8EB3C5"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695D1DE6" w14:textId="63F337EA" w:rsidR="00566EA9" w:rsidRPr="001D41EA" w:rsidRDefault="00566EA9" w:rsidP="001D41EA">
            <w:pPr>
              <w:spacing w:before="40" w:after="4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3450DF74" w14:textId="04B4F49D" w:rsidR="00566EA9" w:rsidRPr="001D41EA" w:rsidRDefault="00566EA9" w:rsidP="001D41EA">
            <w:pPr>
              <w:spacing w:before="40" w:after="40"/>
              <w:jc w:val="center"/>
              <w:rPr>
                <w:rFonts w:cs="Arial"/>
                <w:sz w:val="18"/>
                <w:szCs w:val="18"/>
              </w:rPr>
            </w:pPr>
            <w:r w:rsidRPr="001D41EA">
              <w:rPr>
                <w:rFonts w:cs="Arial"/>
                <w:sz w:val="18"/>
                <w:szCs w:val="18"/>
              </w:rPr>
              <w:t>0.908</w:t>
            </w:r>
          </w:p>
        </w:tc>
      </w:tr>
      <w:tr w:rsidR="00566EA9" w:rsidRPr="001D41EA" w14:paraId="26FECCF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879F2BC" w14:textId="77777777" w:rsidR="00566EA9" w:rsidRPr="001D41EA" w:rsidRDefault="00566EA9" w:rsidP="001D41EA">
            <w:pPr>
              <w:spacing w:before="40" w:after="40"/>
              <w:rPr>
                <w:rFonts w:cs="Arial"/>
                <w:sz w:val="18"/>
                <w:szCs w:val="18"/>
              </w:rPr>
            </w:pPr>
            <w:r w:rsidRPr="001D41EA">
              <w:rPr>
                <w:rFonts w:cs="Arial"/>
                <w:sz w:val="18"/>
                <w:szCs w:val="18"/>
              </w:rPr>
              <w:t>Brimbank C</w:t>
            </w:r>
          </w:p>
        </w:tc>
        <w:tc>
          <w:tcPr>
            <w:tcW w:w="1134" w:type="dxa"/>
            <w:tcBorders>
              <w:top w:val="nil"/>
              <w:left w:val="single" w:sz="18" w:space="0" w:color="5F497A" w:themeColor="accent4" w:themeShade="BF"/>
              <w:bottom w:val="nil"/>
              <w:right w:val="nil"/>
            </w:tcBorders>
            <w:shd w:val="clear" w:color="auto" w:fill="auto"/>
            <w:vAlign w:val="bottom"/>
          </w:tcPr>
          <w:p w14:paraId="1961C235" w14:textId="2D18CE07" w:rsidR="00566EA9" w:rsidRPr="001D41EA" w:rsidRDefault="00566EA9" w:rsidP="001D41EA">
            <w:pPr>
              <w:spacing w:before="40" w:after="40"/>
              <w:jc w:val="center"/>
              <w:rPr>
                <w:rFonts w:cs="Arial"/>
                <w:sz w:val="18"/>
                <w:szCs w:val="18"/>
              </w:rPr>
            </w:pPr>
            <w:r w:rsidRPr="001D41EA">
              <w:rPr>
                <w:rFonts w:cs="Arial"/>
                <w:sz w:val="18"/>
                <w:szCs w:val="18"/>
              </w:rPr>
              <w:t>0.837</w:t>
            </w:r>
          </w:p>
        </w:tc>
        <w:tc>
          <w:tcPr>
            <w:tcW w:w="1134" w:type="dxa"/>
            <w:tcBorders>
              <w:top w:val="nil"/>
              <w:left w:val="nil"/>
              <w:bottom w:val="nil"/>
              <w:right w:val="nil"/>
            </w:tcBorders>
            <w:vAlign w:val="bottom"/>
          </w:tcPr>
          <w:p w14:paraId="56642FAA" w14:textId="2BA4B5B7" w:rsidR="00566EA9" w:rsidRPr="001D41EA" w:rsidRDefault="00566EA9" w:rsidP="001D41EA">
            <w:pPr>
              <w:spacing w:before="40" w:after="40"/>
              <w:jc w:val="center"/>
              <w:rPr>
                <w:rFonts w:cs="Arial"/>
                <w:sz w:val="18"/>
                <w:szCs w:val="18"/>
              </w:rPr>
            </w:pPr>
            <w:r w:rsidRPr="001D41EA">
              <w:rPr>
                <w:rFonts w:cs="Arial"/>
                <w:sz w:val="18"/>
                <w:szCs w:val="18"/>
              </w:rPr>
              <w:t>0.839</w:t>
            </w:r>
          </w:p>
        </w:tc>
        <w:tc>
          <w:tcPr>
            <w:tcW w:w="1134" w:type="dxa"/>
            <w:tcBorders>
              <w:top w:val="nil"/>
              <w:left w:val="nil"/>
              <w:bottom w:val="nil"/>
              <w:right w:val="nil"/>
            </w:tcBorders>
            <w:vAlign w:val="bottom"/>
          </w:tcPr>
          <w:p w14:paraId="6DA9E208" w14:textId="68DBF8C8" w:rsidR="00566EA9" w:rsidRPr="001D41EA" w:rsidRDefault="00566EA9" w:rsidP="001D41EA">
            <w:pPr>
              <w:spacing w:before="40" w:after="40"/>
              <w:jc w:val="center"/>
              <w:rPr>
                <w:rFonts w:cs="Arial"/>
                <w:sz w:val="18"/>
                <w:szCs w:val="18"/>
              </w:rPr>
            </w:pPr>
            <w:r w:rsidRPr="001D41EA">
              <w:rPr>
                <w:rFonts w:cs="Arial"/>
                <w:sz w:val="18"/>
                <w:szCs w:val="18"/>
              </w:rPr>
              <w:t>0.837</w:t>
            </w:r>
          </w:p>
        </w:tc>
        <w:tc>
          <w:tcPr>
            <w:tcW w:w="1134" w:type="dxa"/>
            <w:tcBorders>
              <w:top w:val="nil"/>
              <w:left w:val="nil"/>
              <w:bottom w:val="nil"/>
              <w:right w:val="nil"/>
            </w:tcBorders>
            <w:vAlign w:val="bottom"/>
          </w:tcPr>
          <w:p w14:paraId="5C856060" w14:textId="59E3FF8D" w:rsidR="00566EA9" w:rsidRPr="001D41EA" w:rsidRDefault="00566EA9" w:rsidP="001D41EA">
            <w:pPr>
              <w:spacing w:before="40" w:after="40"/>
              <w:jc w:val="center"/>
              <w:rPr>
                <w:rFonts w:cs="Arial"/>
                <w:sz w:val="18"/>
                <w:szCs w:val="18"/>
              </w:rPr>
            </w:pPr>
            <w:r w:rsidRPr="001D41EA">
              <w:rPr>
                <w:rFonts w:cs="Arial"/>
                <w:sz w:val="18"/>
                <w:szCs w:val="18"/>
              </w:rPr>
              <w:t>0.827</w:t>
            </w:r>
          </w:p>
        </w:tc>
        <w:tc>
          <w:tcPr>
            <w:tcW w:w="170" w:type="dxa"/>
            <w:tcBorders>
              <w:top w:val="nil"/>
              <w:left w:val="nil"/>
              <w:bottom w:val="nil"/>
              <w:right w:val="nil"/>
            </w:tcBorders>
            <w:vAlign w:val="bottom"/>
          </w:tcPr>
          <w:p w14:paraId="03CF37FE" w14:textId="0F935600"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3FA3BB14" w14:textId="28F2A8DE" w:rsidR="00566EA9" w:rsidRPr="001D41EA" w:rsidRDefault="00566EA9" w:rsidP="001D41EA">
            <w:pPr>
              <w:spacing w:before="40" w:after="4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074CC3C3" w14:textId="00451110" w:rsidR="00566EA9" w:rsidRPr="001D41EA" w:rsidRDefault="00566EA9" w:rsidP="001D41EA">
            <w:pPr>
              <w:spacing w:before="40" w:after="40"/>
              <w:jc w:val="center"/>
              <w:rPr>
                <w:rFonts w:cs="Arial"/>
                <w:sz w:val="18"/>
                <w:szCs w:val="18"/>
              </w:rPr>
            </w:pPr>
            <w:r w:rsidRPr="001D41EA">
              <w:rPr>
                <w:rFonts w:cs="Arial"/>
                <w:sz w:val="18"/>
                <w:szCs w:val="18"/>
              </w:rPr>
              <w:t>0.908</w:t>
            </w:r>
          </w:p>
        </w:tc>
      </w:tr>
      <w:tr w:rsidR="00566EA9" w:rsidRPr="001D41EA" w14:paraId="544F282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80A9B6B" w14:textId="77777777" w:rsidR="00566EA9" w:rsidRPr="001D41EA" w:rsidRDefault="00566EA9" w:rsidP="001D41EA">
            <w:pPr>
              <w:spacing w:before="40" w:after="40"/>
              <w:rPr>
                <w:rFonts w:cs="Arial"/>
                <w:sz w:val="18"/>
                <w:szCs w:val="18"/>
              </w:rPr>
            </w:pPr>
            <w:r w:rsidRPr="001D41EA">
              <w:rPr>
                <w:rFonts w:cs="Arial"/>
                <w:sz w:val="18"/>
                <w:szCs w:val="18"/>
              </w:rPr>
              <w:t>Buloke S</w:t>
            </w:r>
          </w:p>
        </w:tc>
        <w:tc>
          <w:tcPr>
            <w:tcW w:w="1134" w:type="dxa"/>
            <w:tcBorders>
              <w:top w:val="nil"/>
              <w:left w:val="single" w:sz="18" w:space="0" w:color="5F497A" w:themeColor="accent4" w:themeShade="BF"/>
              <w:bottom w:val="nil"/>
              <w:right w:val="nil"/>
            </w:tcBorders>
            <w:shd w:val="clear" w:color="auto" w:fill="auto"/>
            <w:vAlign w:val="bottom"/>
          </w:tcPr>
          <w:p w14:paraId="69F9105D" w14:textId="74AC4011" w:rsidR="00566EA9" w:rsidRPr="001D41EA" w:rsidRDefault="00566EA9" w:rsidP="001D41EA">
            <w:pPr>
              <w:spacing w:before="40" w:after="40"/>
              <w:jc w:val="center"/>
              <w:rPr>
                <w:rFonts w:cs="Arial"/>
                <w:sz w:val="18"/>
                <w:szCs w:val="18"/>
              </w:rPr>
            </w:pPr>
            <w:r w:rsidRPr="001D41EA">
              <w:rPr>
                <w:rFonts w:cs="Arial"/>
                <w:sz w:val="18"/>
                <w:szCs w:val="18"/>
              </w:rPr>
              <w:t>0.870</w:t>
            </w:r>
          </w:p>
        </w:tc>
        <w:tc>
          <w:tcPr>
            <w:tcW w:w="1134" w:type="dxa"/>
            <w:tcBorders>
              <w:top w:val="nil"/>
              <w:left w:val="nil"/>
              <w:bottom w:val="nil"/>
              <w:right w:val="nil"/>
            </w:tcBorders>
            <w:vAlign w:val="bottom"/>
          </w:tcPr>
          <w:p w14:paraId="12F5BE58" w14:textId="0F22C14B" w:rsidR="00566EA9" w:rsidRPr="001D41EA" w:rsidRDefault="00566EA9" w:rsidP="001D41EA">
            <w:pPr>
              <w:spacing w:before="40" w:after="40"/>
              <w:jc w:val="center"/>
              <w:rPr>
                <w:rFonts w:cs="Arial"/>
                <w:sz w:val="18"/>
                <w:szCs w:val="18"/>
              </w:rPr>
            </w:pPr>
            <w:r w:rsidRPr="001D41EA">
              <w:rPr>
                <w:rFonts w:cs="Arial"/>
                <w:sz w:val="18"/>
                <w:szCs w:val="18"/>
              </w:rPr>
              <w:t>0.872</w:t>
            </w:r>
          </w:p>
        </w:tc>
        <w:tc>
          <w:tcPr>
            <w:tcW w:w="1134" w:type="dxa"/>
            <w:tcBorders>
              <w:top w:val="nil"/>
              <w:left w:val="nil"/>
              <w:bottom w:val="nil"/>
              <w:right w:val="nil"/>
            </w:tcBorders>
            <w:vAlign w:val="bottom"/>
          </w:tcPr>
          <w:p w14:paraId="2D3931D1" w14:textId="435E1883" w:rsidR="00566EA9" w:rsidRPr="001D41EA" w:rsidRDefault="00566EA9" w:rsidP="001D41EA">
            <w:pPr>
              <w:spacing w:before="40" w:after="40"/>
              <w:jc w:val="center"/>
              <w:rPr>
                <w:rFonts w:cs="Arial"/>
                <w:sz w:val="18"/>
                <w:szCs w:val="18"/>
              </w:rPr>
            </w:pPr>
            <w:r w:rsidRPr="001D41EA">
              <w:rPr>
                <w:rFonts w:cs="Arial"/>
                <w:sz w:val="18"/>
                <w:szCs w:val="18"/>
              </w:rPr>
              <w:t>0.871</w:t>
            </w:r>
          </w:p>
        </w:tc>
        <w:tc>
          <w:tcPr>
            <w:tcW w:w="1134" w:type="dxa"/>
            <w:tcBorders>
              <w:top w:val="nil"/>
              <w:left w:val="nil"/>
              <w:bottom w:val="nil"/>
              <w:right w:val="nil"/>
            </w:tcBorders>
            <w:vAlign w:val="bottom"/>
          </w:tcPr>
          <w:p w14:paraId="7893E16D" w14:textId="0BDF3142" w:rsidR="00566EA9" w:rsidRPr="001D41EA" w:rsidRDefault="00566EA9" w:rsidP="001D41EA">
            <w:pPr>
              <w:spacing w:before="40" w:after="40"/>
              <w:jc w:val="center"/>
              <w:rPr>
                <w:rFonts w:cs="Arial"/>
                <w:sz w:val="18"/>
                <w:szCs w:val="18"/>
              </w:rPr>
            </w:pPr>
            <w:r w:rsidRPr="001D41EA">
              <w:rPr>
                <w:rFonts w:cs="Arial"/>
                <w:sz w:val="18"/>
                <w:szCs w:val="18"/>
              </w:rPr>
              <w:t>0.860</w:t>
            </w:r>
          </w:p>
        </w:tc>
        <w:tc>
          <w:tcPr>
            <w:tcW w:w="170" w:type="dxa"/>
            <w:tcBorders>
              <w:top w:val="nil"/>
              <w:left w:val="nil"/>
              <w:bottom w:val="nil"/>
              <w:right w:val="nil"/>
            </w:tcBorders>
            <w:vAlign w:val="bottom"/>
          </w:tcPr>
          <w:p w14:paraId="5C3BF9EC" w14:textId="2256F1C7"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3EFBF29" w14:textId="78242569" w:rsidR="00566EA9" w:rsidRPr="001D41EA" w:rsidRDefault="00566EA9" w:rsidP="001D41EA">
            <w:pPr>
              <w:spacing w:before="40" w:after="40"/>
              <w:jc w:val="center"/>
              <w:rPr>
                <w:rFonts w:cs="Arial"/>
                <w:sz w:val="18"/>
                <w:szCs w:val="18"/>
              </w:rPr>
            </w:pPr>
            <w:r w:rsidRPr="001D41EA">
              <w:rPr>
                <w:rFonts w:cs="Arial"/>
                <w:sz w:val="18"/>
                <w:szCs w:val="18"/>
              </w:rPr>
              <w:t>1.668</w:t>
            </w:r>
          </w:p>
        </w:tc>
        <w:tc>
          <w:tcPr>
            <w:tcW w:w="1134" w:type="dxa"/>
            <w:tcBorders>
              <w:top w:val="nil"/>
              <w:left w:val="nil"/>
              <w:bottom w:val="nil"/>
              <w:right w:val="nil"/>
            </w:tcBorders>
            <w:shd w:val="clear" w:color="auto" w:fill="auto"/>
            <w:vAlign w:val="bottom"/>
          </w:tcPr>
          <w:p w14:paraId="1F853501" w14:textId="1DBC16DF" w:rsidR="00566EA9" w:rsidRPr="001D41EA" w:rsidRDefault="00566EA9" w:rsidP="001D41EA">
            <w:pPr>
              <w:spacing w:before="40" w:after="40"/>
              <w:jc w:val="center"/>
              <w:rPr>
                <w:rFonts w:cs="Arial"/>
                <w:sz w:val="18"/>
                <w:szCs w:val="18"/>
              </w:rPr>
            </w:pPr>
            <w:r w:rsidRPr="001D41EA">
              <w:rPr>
                <w:rFonts w:cs="Arial"/>
                <w:sz w:val="18"/>
                <w:szCs w:val="18"/>
              </w:rPr>
              <w:t>1.658</w:t>
            </w:r>
          </w:p>
        </w:tc>
      </w:tr>
      <w:tr w:rsidR="00566EA9" w:rsidRPr="001D41EA" w14:paraId="492D188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BC524C1" w14:textId="77777777" w:rsidR="00566EA9" w:rsidRPr="001D41EA" w:rsidRDefault="00566EA9" w:rsidP="001D41EA">
            <w:pPr>
              <w:spacing w:before="40" w:after="40"/>
              <w:rPr>
                <w:rFonts w:cs="Arial"/>
                <w:sz w:val="18"/>
                <w:szCs w:val="18"/>
              </w:rPr>
            </w:pPr>
            <w:r w:rsidRPr="001D41EA">
              <w:rPr>
                <w:rFonts w:cs="Arial"/>
                <w:sz w:val="18"/>
                <w:szCs w:val="18"/>
              </w:rPr>
              <w:t>Campaspe S</w:t>
            </w:r>
          </w:p>
        </w:tc>
        <w:tc>
          <w:tcPr>
            <w:tcW w:w="1134" w:type="dxa"/>
            <w:tcBorders>
              <w:top w:val="nil"/>
              <w:left w:val="single" w:sz="18" w:space="0" w:color="5F497A" w:themeColor="accent4" w:themeShade="BF"/>
              <w:bottom w:val="nil"/>
              <w:right w:val="nil"/>
            </w:tcBorders>
            <w:shd w:val="clear" w:color="auto" w:fill="auto"/>
            <w:vAlign w:val="bottom"/>
          </w:tcPr>
          <w:p w14:paraId="551FFB38" w14:textId="53C627E0" w:rsidR="00566EA9" w:rsidRPr="001D41EA" w:rsidRDefault="00566EA9" w:rsidP="001D41EA">
            <w:pPr>
              <w:spacing w:before="40" w:after="40"/>
              <w:jc w:val="center"/>
              <w:rPr>
                <w:rFonts w:cs="Arial"/>
                <w:sz w:val="18"/>
                <w:szCs w:val="18"/>
              </w:rPr>
            </w:pPr>
            <w:r w:rsidRPr="001D41EA">
              <w:rPr>
                <w:rFonts w:cs="Arial"/>
                <w:sz w:val="18"/>
                <w:szCs w:val="18"/>
              </w:rPr>
              <w:t>0.958</w:t>
            </w:r>
          </w:p>
        </w:tc>
        <w:tc>
          <w:tcPr>
            <w:tcW w:w="1134" w:type="dxa"/>
            <w:tcBorders>
              <w:top w:val="nil"/>
              <w:left w:val="nil"/>
              <w:bottom w:val="nil"/>
              <w:right w:val="nil"/>
            </w:tcBorders>
            <w:vAlign w:val="bottom"/>
          </w:tcPr>
          <w:p w14:paraId="46F57DF7" w14:textId="73F4A56C" w:rsidR="00566EA9" w:rsidRPr="001D41EA" w:rsidRDefault="00566EA9" w:rsidP="001D41EA">
            <w:pPr>
              <w:spacing w:before="40" w:after="40"/>
              <w:jc w:val="center"/>
              <w:rPr>
                <w:rFonts w:cs="Arial"/>
                <w:sz w:val="18"/>
                <w:szCs w:val="18"/>
              </w:rPr>
            </w:pPr>
            <w:r w:rsidRPr="001D41EA">
              <w:rPr>
                <w:rFonts w:cs="Arial"/>
                <w:sz w:val="18"/>
                <w:szCs w:val="18"/>
              </w:rPr>
              <w:t>0.960</w:t>
            </w:r>
          </w:p>
        </w:tc>
        <w:tc>
          <w:tcPr>
            <w:tcW w:w="1134" w:type="dxa"/>
            <w:tcBorders>
              <w:top w:val="nil"/>
              <w:left w:val="nil"/>
              <w:bottom w:val="nil"/>
              <w:right w:val="nil"/>
            </w:tcBorders>
            <w:vAlign w:val="bottom"/>
          </w:tcPr>
          <w:p w14:paraId="50A40048" w14:textId="0B7B1367" w:rsidR="00566EA9" w:rsidRPr="001D41EA" w:rsidRDefault="00566EA9" w:rsidP="001D41EA">
            <w:pPr>
              <w:spacing w:before="40" w:after="40"/>
              <w:jc w:val="center"/>
              <w:rPr>
                <w:rFonts w:cs="Arial"/>
                <w:sz w:val="18"/>
                <w:szCs w:val="18"/>
              </w:rPr>
            </w:pPr>
            <w:r w:rsidRPr="001D41EA">
              <w:rPr>
                <w:rFonts w:cs="Arial"/>
                <w:sz w:val="18"/>
                <w:szCs w:val="18"/>
              </w:rPr>
              <w:t>0.959</w:t>
            </w:r>
          </w:p>
        </w:tc>
        <w:tc>
          <w:tcPr>
            <w:tcW w:w="1134" w:type="dxa"/>
            <w:tcBorders>
              <w:top w:val="nil"/>
              <w:left w:val="nil"/>
              <w:bottom w:val="nil"/>
              <w:right w:val="nil"/>
            </w:tcBorders>
            <w:vAlign w:val="bottom"/>
          </w:tcPr>
          <w:p w14:paraId="52EE58C7" w14:textId="0BA410F1" w:rsidR="00566EA9" w:rsidRPr="001D41EA" w:rsidRDefault="00566EA9" w:rsidP="001D41EA">
            <w:pPr>
              <w:spacing w:before="40" w:after="40"/>
              <w:jc w:val="center"/>
              <w:rPr>
                <w:rFonts w:cs="Arial"/>
                <w:sz w:val="18"/>
                <w:szCs w:val="18"/>
              </w:rPr>
            </w:pPr>
            <w:r w:rsidRPr="001D41EA">
              <w:rPr>
                <w:rFonts w:cs="Arial"/>
                <w:sz w:val="18"/>
                <w:szCs w:val="18"/>
              </w:rPr>
              <w:t>0.947</w:t>
            </w:r>
          </w:p>
        </w:tc>
        <w:tc>
          <w:tcPr>
            <w:tcW w:w="170" w:type="dxa"/>
            <w:tcBorders>
              <w:top w:val="nil"/>
              <w:left w:val="nil"/>
              <w:bottom w:val="nil"/>
              <w:right w:val="nil"/>
            </w:tcBorders>
            <w:vAlign w:val="bottom"/>
          </w:tcPr>
          <w:p w14:paraId="1CD0A14A" w14:textId="7C862679"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AC842F1" w14:textId="6DA44465" w:rsidR="00566EA9" w:rsidRPr="001D41EA" w:rsidRDefault="00566EA9" w:rsidP="001D41EA">
            <w:pPr>
              <w:spacing w:before="40" w:after="40"/>
              <w:jc w:val="center"/>
              <w:rPr>
                <w:rFonts w:cs="Arial"/>
                <w:sz w:val="18"/>
                <w:szCs w:val="18"/>
              </w:rPr>
            </w:pPr>
            <w:r w:rsidRPr="001D41EA">
              <w:rPr>
                <w:rFonts w:cs="Arial"/>
                <w:sz w:val="18"/>
                <w:szCs w:val="18"/>
              </w:rPr>
              <w:t>1.198</w:t>
            </w:r>
          </w:p>
        </w:tc>
        <w:tc>
          <w:tcPr>
            <w:tcW w:w="1134" w:type="dxa"/>
            <w:tcBorders>
              <w:top w:val="nil"/>
              <w:left w:val="nil"/>
              <w:bottom w:val="nil"/>
              <w:right w:val="nil"/>
            </w:tcBorders>
            <w:shd w:val="clear" w:color="auto" w:fill="auto"/>
            <w:vAlign w:val="bottom"/>
          </w:tcPr>
          <w:p w14:paraId="3FBCCDB9" w14:textId="51E0C822" w:rsidR="00566EA9" w:rsidRPr="001D41EA" w:rsidRDefault="00566EA9" w:rsidP="001D41EA">
            <w:pPr>
              <w:spacing w:before="40" w:after="40"/>
              <w:jc w:val="center"/>
              <w:rPr>
                <w:rFonts w:cs="Arial"/>
                <w:sz w:val="18"/>
                <w:szCs w:val="18"/>
              </w:rPr>
            </w:pPr>
            <w:r w:rsidRPr="001D41EA">
              <w:rPr>
                <w:rFonts w:cs="Arial"/>
                <w:sz w:val="18"/>
                <w:szCs w:val="18"/>
              </w:rPr>
              <w:t>1.191</w:t>
            </w:r>
          </w:p>
        </w:tc>
      </w:tr>
      <w:tr w:rsidR="00566EA9" w:rsidRPr="001D41EA" w14:paraId="6C95CA1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214046F" w14:textId="77777777" w:rsidR="00566EA9" w:rsidRPr="001D41EA" w:rsidRDefault="00566EA9" w:rsidP="001D41EA">
            <w:pPr>
              <w:spacing w:before="40" w:after="40"/>
              <w:rPr>
                <w:rFonts w:cs="Arial"/>
                <w:sz w:val="18"/>
                <w:szCs w:val="18"/>
              </w:rPr>
            </w:pPr>
            <w:r w:rsidRPr="001D41EA">
              <w:rPr>
                <w:rFonts w:cs="Arial"/>
                <w:sz w:val="18"/>
                <w:szCs w:val="18"/>
              </w:rPr>
              <w:t>Cardinia S</w:t>
            </w:r>
          </w:p>
        </w:tc>
        <w:tc>
          <w:tcPr>
            <w:tcW w:w="1134" w:type="dxa"/>
            <w:tcBorders>
              <w:top w:val="nil"/>
              <w:left w:val="single" w:sz="18" w:space="0" w:color="5F497A" w:themeColor="accent4" w:themeShade="BF"/>
              <w:bottom w:val="nil"/>
              <w:right w:val="nil"/>
            </w:tcBorders>
            <w:shd w:val="clear" w:color="auto" w:fill="auto"/>
            <w:vAlign w:val="bottom"/>
          </w:tcPr>
          <w:p w14:paraId="34FAF20A" w14:textId="376A9A7E" w:rsidR="00566EA9" w:rsidRPr="001D41EA" w:rsidRDefault="00566EA9" w:rsidP="001D41EA">
            <w:pPr>
              <w:spacing w:before="40" w:after="40"/>
              <w:jc w:val="center"/>
              <w:rPr>
                <w:rFonts w:cs="Arial"/>
                <w:sz w:val="18"/>
                <w:szCs w:val="18"/>
              </w:rPr>
            </w:pPr>
            <w:r w:rsidRPr="001D41EA">
              <w:rPr>
                <w:rFonts w:cs="Arial"/>
                <w:sz w:val="18"/>
                <w:szCs w:val="18"/>
              </w:rPr>
              <w:t>0.779</w:t>
            </w:r>
          </w:p>
        </w:tc>
        <w:tc>
          <w:tcPr>
            <w:tcW w:w="1134" w:type="dxa"/>
            <w:tcBorders>
              <w:top w:val="nil"/>
              <w:left w:val="nil"/>
              <w:bottom w:val="nil"/>
              <w:right w:val="nil"/>
            </w:tcBorders>
            <w:vAlign w:val="bottom"/>
          </w:tcPr>
          <w:p w14:paraId="1A2429B3" w14:textId="0FB59AF5" w:rsidR="00566EA9" w:rsidRPr="001D41EA" w:rsidRDefault="00566EA9" w:rsidP="001D41EA">
            <w:pPr>
              <w:spacing w:before="40" w:after="40"/>
              <w:jc w:val="center"/>
              <w:rPr>
                <w:rFonts w:cs="Arial"/>
                <w:sz w:val="18"/>
                <w:szCs w:val="18"/>
              </w:rPr>
            </w:pPr>
            <w:r w:rsidRPr="001D41EA">
              <w:rPr>
                <w:rFonts w:cs="Arial"/>
                <w:sz w:val="18"/>
                <w:szCs w:val="18"/>
              </w:rPr>
              <w:t>0.780</w:t>
            </w:r>
          </w:p>
        </w:tc>
        <w:tc>
          <w:tcPr>
            <w:tcW w:w="1134" w:type="dxa"/>
            <w:tcBorders>
              <w:top w:val="nil"/>
              <w:left w:val="nil"/>
              <w:bottom w:val="nil"/>
              <w:right w:val="nil"/>
            </w:tcBorders>
            <w:vAlign w:val="bottom"/>
          </w:tcPr>
          <w:p w14:paraId="5C3A82BA" w14:textId="450671E9" w:rsidR="00566EA9" w:rsidRPr="001D41EA" w:rsidRDefault="00566EA9" w:rsidP="001D41EA">
            <w:pPr>
              <w:spacing w:before="40" w:after="40"/>
              <w:jc w:val="center"/>
              <w:rPr>
                <w:rFonts w:cs="Arial"/>
                <w:sz w:val="18"/>
                <w:szCs w:val="18"/>
              </w:rPr>
            </w:pPr>
            <w:r w:rsidRPr="001D41EA">
              <w:rPr>
                <w:rFonts w:cs="Arial"/>
                <w:sz w:val="18"/>
                <w:szCs w:val="18"/>
              </w:rPr>
              <w:t>0.779</w:t>
            </w:r>
          </w:p>
        </w:tc>
        <w:tc>
          <w:tcPr>
            <w:tcW w:w="1134" w:type="dxa"/>
            <w:tcBorders>
              <w:top w:val="nil"/>
              <w:left w:val="nil"/>
              <w:bottom w:val="nil"/>
              <w:right w:val="nil"/>
            </w:tcBorders>
            <w:vAlign w:val="bottom"/>
          </w:tcPr>
          <w:p w14:paraId="7860771D" w14:textId="234CC75F" w:rsidR="00566EA9" w:rsidRPr="001D41EA" w:rsidRDefault="00566EA9" w:rsidP="001D41EA">
            <w:pPr>
              <w:spacing w:before="40" w:after="40"/>
              <w:jc w:val="center"/>
              <w:rPr>
                <w:rFonts w:cs="Arial"/>
                <w:sz w:val="18"/>
                <w:szCs w:val="18"/>
              </w:rPr>
            </w:pPr>
            <w:r w:rsidRPr="001D41EA">
              <w:rPr>
                <w:rFonts w:cs="Arial"/>
                <w:sz w:val="18"/>
                <w:szCs w:val="18"/>
              </w:rPr>
              <w:t>0.769</w:t>
            </w:r>
          </w:p>
        </w:tc>
        <w:tc>
          <w:tcPr>
            <w:tcW w:w="170" w:type="dxa"/>
            <w:tcBorders>
              <w:top w:val="nil"/>
              <w:left w:val="nil"/>
              <w:bottom w:val="nil"/>
              <w:right w:val="nil"/>
            </w:tcBorders>
            <w:vAlign w:val="bottom"/>
          </w:tcPr>
          <w:p w14:paraId="27C6917E" w14:textId="417EDF3A"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7C84F4A" w14:textId="542FBBFE" w:rsidR="00566EA9" w:rsidRPr="001D41EA" w:rsidRDefault="00566EA9" w:rsidP="001D41EA">
            <w:pPr>
              <w:spacing w:before="40" w:after="40"/>
              <w:jc w:val="center"/>
              <w:rPr>
                <w:rFonts w:cs="Arial"/>
                <w:sz w:val="18"/>
                <w:szCs w:val="18"/>
              </w:rPr>
            </w:pPr>
            <w:r w:rsidRPr="001D41EA">
              <w:rPr>
                <w:rFonts w:cs="Arial"/>
                <w:sz w:val="18"/>
                <w:szCs w:val="18"/>
              </w:rPr>
              <w:t>0.983</w:t>
            </w:r>
          </w:p>
        </w:tc>
        <w:tc>
          <w:tcPr>
            <w:tcW w:w="1134" w:type="dxa"/>
            <w:tcBorders>
              <w:top w:val="nil"/>
              <w:left w:val="nil"/>
              <w:bottom w:val="nil"/>
              <w:right w:val="nil"/>
            </w:tcBorders>
            <w:shd w:val="clear" w:color="auto" w:fill="auto"/>
            <w:vAlign w:val="bottom"/>
          </w:tcPr>
          <w:p w14:paraId="2A968C6C" w14:textId="464BE7A6" w:rsidR="00566EA9" w:rsidRPr="001D41EA" w:rsidRDefault="00566EA9" w:rsidP="001D41EA">
            <w:pPr>
              <w:spacing w:before="40" w:after="40"/>
              <w:jc w:val="center"/>
              <w:rPr>
                <w:rFonts w:cs="Arial"/>
                <w:sz w:val="18"/>
                <w:szCs w:val="18"/>
              </w:rPr>
            </w:pPr>
            <w:r w:rsidRPr="001D41EA">
              <w:rPr>
                <w:rFonts w:cs="Arial"/>
                <w:sz w:val="18"/>
                <w:szCs w:val="18"/>
              </w:rPr>
              <w:t>0.978</w:t>
            </w:r>
          </w:p>
        </w:tc>
      </w:tr>
      <w:tr w:rsidR="00566EA9" w:rsidRPr="001D41EA" w14:paraId="62FAE53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9770A22" w14:textId="77777777" w:rsidR="00566EA9" w:rsidRPr="001D41EA" w:rsidRDefault="00566EA9" w:rsidP="001D41EA">
            <w:pPr>
              <w:spacing w:before="40" w:after="40"/>
              <w:rPr>
                <w:rFonts w:cs="Arial"/>
                <w:sz w:val="18"/>
                <w:szCs w:val="18"/>
              </w:rPr>
            </w:pPr>
            <w:r w:rsidRPr="001D41EA">
              <w:rPr>
                <w:rFonts w:cs="Arial"/>
                <w:sz w:val="18"/>
                <w:szCs w:val="18"/>
              </w:rPr>
              <w:t>Casey C</w:t>
            </w:r>
          </w:p>
        </w:tc>
        <w:tc>
          <w:tcPr>
            <w:tcW w:w="1134" w:type="dxa"/>
            <w:tcBorders>
              <w:top w:val="nil"/>
              <w:left w:val="single" w:sz="18" w:space="0" w:color="5F497A" w:themeColor="accent4" w:themeShade="BF"/>
              <w:bottom w:val="nil"/>
              <w:right w:val="nil"/>
            </w:tcBorders>
            <w:shd w:val="clear" w:color="auto" w:fill="auto"/>
            <w:vAlign w:val="bottom"/>
          </w:tcPr>
          <w:p w14:paraId="76CC874D" w14:textId="6902A61E" w:rsidR="00566EA9" w:rsidRPr="001D41EA" w:rsidRDefault="00566EA9" w:rsidP="001D41EA">
            <w:pPr>
              <w:spacing w:before="40" w:after="40"/>
              <w:jc w:val="center"/>
              <w:rPr>
                <w:rFonts w:cs="Arial"/>
                <w:sz w:val="18"/>
                <w:szCs w:val="18"/>
              </w:rPr>
            </w:pPr>
            <w:r w:rsidRPr="001D41EA">
              <w:rPr>
                <w:rFonts w:cs="Arial"/>
                <w:sz w:val="18"/>
                <w:szCs w:val="18"/>
              </w:rPr>
              <w:t>0.771</w:t>
            </w:r>
          </w:p>
        </w:tc>
        <w:tc>
          <w:tcPr>
            <w:tcW w:w="1134" w:type="dxa"/>
            <w:tcBorders>
              <w:top w:val="nil"/>
              <w:left w:val="nil"/>
              <w:bottom w:val="nil"/>
              <w:right w:val="nil"/>
            </w:tcBorders>
            <w:vAlign w:val="bottom"/>
          </w:tcPr>
          <w:p w14:paraId="1F6F83B8" w14:textId="25ABAC6F" w:rsidR="00566EA9" w:rsidRPr="001D41EA" w:rsidRDefault="00566EA9" w:rsidP="001D41EA">
            <w:pPr>
              <w:spacing w:before="40" w:after="40"/>
              <w:jc w:val="center"/>
              <w:rPr>
                <w:rFonts w:cs="Arial"/>
                <w:sz w:val="18"/>
                <w:szCs w:val="18"/>
              </w:rPr>
            </w:pPr>
            <w:r w:rsidRPr="001D41EA">
              <w:rPr>
                <w:rFonts w:cs="Arial"/>
                <w:sz w:val="18"/>
                <w:szCs w:val="18"/>
              </w:rPr>
              <w:t>0.772</w:t>
            </w:r>
          </w:p>
        </w:tc>
        <w:tc>
          <w:tcPr>
            <w:tcW w:w="1134" w:type="dxa"/>
            <w:tcBorders>
              <w:top w:val="nil"/>
              <w:left w:val="nil"/>
              <w:bottom w:val="nil"/>
              <w:right w:val="nil"/>
            </w:tcBorders>
            <w:vAlign w:val="bottom"/>
          </w:tcPr>
          <w:p w14:paraId="1FB4E465" w14:textId="4602E881" w:rsidR="00566EA9" w:rsidRPr="001D41EA" w:rsidRDefault="00566EA9" w:rsidP="001D41EA">
            <w:pPr>
              <w:spacing w:before="40" w:after="40"/>
              <w:jc w:val="center"/>
              <w:rPr>
                <w:rFonts w:cs="Arial"/>
                <w:sz w:val="18"/>
                <w:szCs w:val="18"/>
              </w:rPr>
            </w:pPr>
            <w:r w:rsidRPr="001D41EA">
              <w:rPr>
                <w:rFonts w:cs="Arial"/>
                <w:sz w:val="18"/>
                <w:szCs w:val="18"/>
              </w:rPr>
              <w:t>0.771</w:t>
            </w:r>
          </w:p>
        </w:tc>
        <w:tc>
          <w:tcPr>
            <w:tcW w:w="1134" w:type="dxa"/>
            <w:tcBorders>
              <w:top w:val="nil"/>
              <w:left w:val="nil"/>
              <w:bottom w:val="nil"/>
              <w:right w:val="nil"/>
            </w:tcBorders>
            <w:vAlign w:val="bottom"/>
          </w:tcPr>
          <w:p w14:paraId="141CEF4E" w14:textId="789E6FF5" w:rsidR="00566EA9" w:rsidRPr="001D41EA" w:rsidRDefault="00566EA9" w:rsidP="001D41EA">
            <w:pPr>
              <w:spacing w:before="40" w:after="40"/>
              <w:jc w:val="center"/>
              <w:rPr>
                <w:rFonts w:cs="Arial"/>
                <w:sz w:val="18"/>
                <w:szCs w:val="18"/>
              </w:rPr>
            </w:pPr>
            <w:r w:rsidRPr="001D41EA">
              <w:rPr>
                <w:rFonts w:cs="Arial"/>
                <w:sz w:val="18"/>
                <w:szCs w:val="18"/>
              </w:rPr>
              <w:t>0.761</w:t>
            </w:r>
          </w:p>
        </w:tc>
        <w:tc>
          <w:tcPr>
            <w:tcW w:w="170" w:type="dxa"/>
            <w:tcBorders>
              <w:top w:val="nil"/>
              <w:left w:val="nil"/>
              <w:bottom w:val="nil"/>
              <w:right w:val="nil"/>
            </w:tcBorders>
            <w:vAlign w:val="bottom"/>
          </w:tcPr>
          <w:p w14:paraId="3515456C" w14:textId="3B4683DF"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C152205" w14:textId="576D6A0B" w:rsidR="00566EA9" w:rsidRPr="001D41EA" w:rsidRDefault="00566EA9" w:rsidP="001D41EA">
            <w:pPr>
              <w:spacing w:before="40" w:after="40"/>
              <w:jc w:val="center"/>
              <w:rPr>
                <w:rFonts w:cs="Arial"/>
                <w:sz w:val="18"/>
                <w:szCs w:val="18"/>
              </w:rPr>
            </w:pPr>
            <w:r w:rsidRPr="001D41EA">
              <w:rPr>
                <w:rFonts w:cs="Arial"/>
                <w:sz w:val="18"/>
                <w:szCs w:val="18"/>
              </w:rPr>
              <w:t>0.923</w:t>
            </w:r>
          </w:p>
        </w:tc>
        <w:tc>
          <w:tcPr>
            <w:tcW w:w="1134" w:type="dxa"/>
            <w:tcBorders>
              <w:top w:val="nil"/>
              <w:left w:val="nil"/>
              <w:bottom w:val="nil"/>
              <w:right w:val="nil"/>
            </w:tcBorders>
            <w:shd w:val="clear" w:color="auto" w:fill="auto"/>
            <w:vAlign w:val="bottom"/>
          </w:tcPr>
          <w:p w14:paraId="21C6CEDE" w14:textId="1B89FAF2" w:rsidR="00566EA9" w:rsidRPr="001D41EA" w:rsidRDefault="00566EA9" w:rsidP="001D41EA">
            <w:pPr>
              <w:spacing w:before="40" w:after="40"/>
              <w:jc w:val="center"/>
              <w:rPr>
                <w:rFonts w:cs="Arial"/>
                <w:sz w:val="18"/>
                <w:szCs w:val="18"/>
              </w:rPr>
            </w:pPr>
            <w:r w:rsidRPr="001D41EA">
              <w:rPr>
                <w:rFonts w:cs="Arial"/>
                <w:sz w:val="18"/>
                <w:szCs w:val="18"/>
              </w:rPr>
              <w:t>0.918</w:t>
            </w:r>
          </w:p>
        </w:tc>
      </w:tr>
      <w:tr w:rsidR="00566EA9" w:rsidRPr="001D41EA" w14:paraId="2495E04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E37CB77" w14:textId="77777777" w:rsidR="00566EA9" w:rsidRPr="001D41EA" w:rsidRDefault="00566EA9" w:rsidP="001D41EA">
            <w:pPr>
              <w:spacing w:before="40" w:after="40"/>
              <w:rPr>
                <w:rFonts w:cs="Arial"/>
                <w:sz w:val="18"/>
                <w:szCs w:val="18"/>
              </w:rPr>
            </w:pPr>
            <w:r w:rsidRPr="001D41EA">
              <w:rPr>
                <w:rFonts w:cs="Arial"/>
                <w:sz w:val="18"/>
                <w:szCs w:val="18"/>
              </w:rPr>
              <w:t>Central Goldfields S</w:t>
            </w:r>
          </w:p>
        </w:tc>
        <w:tc>
          <w:tcPr>
            <w:tcW w:w="1134" w:type="dxa"/>
            <w:tcBorders>
              <w:top w:val="nil"/>
              <w:left w:val="single" w:sz="18" w:space="0" w:color="5F497A" w:themeColor="accent4" w:themeShade="BF"/>
              <w:bottom w:val="nil"/>
              <w:right w:val="nil"/>
            </w:tcBorders>
            <w:shd w:val="clear" w:color="auto" w:fill="auto"/>
            <w:vAlign w:val="bottom"/>
          </w:tcPr>
          <w:p w14:paraId="4D856A53" w14:textId="176CCC51" w:rsidR="00566EA9" w:rsidRPr="001D41EA" w:rsidRDefault="00566EA9" w:rsidP="001D41EA">
            <w:pPr>
              <w:spacing w:before="40" w:after="40"/>
              <w:jc w:val="center"/>
              <w:rPr>
                <w:rFonts w:cs="Arial"/>
                <w:sz w:val="18"/>
                <w:szCs w:val="18"/>
              </w:rPr>
            </w:pPr>
            <w:r w:rsidRPr="001D41EA">
              <w:rPr>
                <w:rFonts w:cs="Arial"/>
                <w:sz w:val="18"/>
                <w:szCs w:val="18"/>
              </w:rPr>
              <w:t>0.899</w:t>
            </w:r>
          </w:p>
        </w:tc>
        <w:tc>
          <w:tcPr>
            <w:tcW w:w="1134" w:type="dxa"/>
            <w:tcBorders>
              <w:top w:val="nil"/>
              <w:left w:val="nil"/>
              <w:bottom w:val="nil"/>
              <w:right w:val="nil"/>
            </w:tcBorders>
            <w:vAlign w:val="bottom"/>
          </w:tcPr>
          <w:p w14:paraId="124CC0AE" w14:textId="43E6EDF5" w:rsidR="00566EA9" w:rsidRPr="001D41EA" w:rsidRDefault="00566EA9" w:rsidP="001D41EA">
            <w:pPr>
              <w:spacing w:before="40" w:after="40"/>
              <w:jc w:val="center"/>
              <w:rPr>
                <w:rFonts w:cs="Arial"/>
                <w:sz w:val="18"/>
                <w:szCs w:val="18"/>
              </w:rPr>
            </w:pPr>
            <w:r w:rsidRPr="001D41EA">
              <w:rPr>
                <w:rFonts w:cs="Arial"/>
                <w:sz w:val="18"/>
                <w:szCs w:val="18"/>
              </w:rPr>
              <w:t>0.901</w:t>
            </w:r>
          </w:p>
        </w:tc>
        <w:tc>
          <w:tcPr>
            <w:tcW w:w="1134" w:type="dxa"/>
            <w:tcBorders>
              <w:top w:val="nil"/>
              <w:left w:val="nil"/>
              <w:bottom w:val="nil"/>
              <w:right w:val="nil"/>
            </w:tcBorders>
            <w:vAlign w:val="bottom"/>
          </w:tcPr>
          <w:p w14:paraId="254BCE67" w14:textId="0D43A221" w:rsidR="00566EA9" w:rsidRPr="001D41EA" w:rsidRDefault="00566EA9" w:rsidP="001D41EA">
            <w:pPr>
              <w:spacing w:before="40" w:after="40"/>
              <w:jc w:val="center"/>
              <w:rPr>
                <w:rFonts w:cs="Arial"/>
                <w:sz w:val="18"/>
                <w:szCs w:val="18"/>
              </w:rPr>
            </w:pPr>
            <w:r w:rsidRPr="001D41EA">
              <w:rPr>
                <w:rFonts w:cs="Arial"/>
                <w:sz w:val="18"/>
                <w:szCs w:val="18"/>
              </w:rPr>
              <w:t>0.900</w:t>
            </w:r>
          </w:p>
        </w:tc>
        <w:tc>
          <w:tcPr>
            <w:tcW w:w="1134" w:type="dxa"/>
            <w:tcBorders>
              <w:top w:val="nil"/>
              <w:left w:val="nil"/>
              <w:bottom w:val="nil"/>
              <w:right w:val="nil"/>
            </w:tcBorders>
            <w:vAlign w:val="bottom"/>
          </w:tcPr>
          <w:p w14:paraId="2588947A" w14:textId="76AF8275" w:rsidR="00566EA9" w:rsidRPr="001D41EA" w:rsidRDefault="00566EA9" w:rsidP="001D41EA">
            <w:pPr>
              <w:spacing w:before="40" w:after="40"/>
              <w:jc w:val="center"/>
              <w:rPr>
                <w:rFonts w:cs="Arial"/>
                <w:sz w:val="18"/>
                <w:szCs w:val="18"/>
              </w:rPr>
            </w:pPr>
            <w:r w:rsidRPr="001D41EA">
              <w:rPr>
                <w:rFonts w:cs="Arial"/>
                <w:sz w:val="18"/>
                <w:szCs w:val="18"/>
              </w:rPr>
              <w:t>0.888</w:t>
            </w:r>
          </w:p>
        </w:tc>
        <w:tc>
          <w:tcPr>
            <w:tcW w:w="170" w:type="dxa"/>
            <w:tcBorders>
              <w:top w:val="nil"/>
              <w:left w:val="nil"/>
              <w:bottom w:val="nil"/>
              <w:right w:val="nil"/>
            </w:tcBorders>
            <w:vAlign w:val="bottom"/>
          </w:tcPr>
          <w:p w14:paraId="03B4C7D1" w14:textId="1B3DC6A6"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496258F1" w14:textId="3E840816" w:rsidR="00566EA9" w:rsidRPr="001D41EA" w:rsidRDefault="00566EA9" w:rsidP="001D41EA">
            <w:pPr>
              <w:spacing w:before="40" w:after="40"/>
              <w:jc w:val="center"/>
              <w:rPr>
                <w:rFonts w:cs="Arial"/>
                <w:sz w:val="18"/>
                <w:szCs w:val="18"/>
              </w:rPr>
            </w:pPr>
            <w:r w:rsidRPr="001D41EA">
              <w:rPr>
                <w:rFonts w:cs="Arial"/>
                <w:sz w:val="18"/>
                <w:szCs w:val="18"/>
              </w:rPr>
              <w:t>1.161</w:t>
            </w:r>
          </w:p>
        </w:tc>
        <w:tc>
          <w:tcPr>
            <w:tcW w:w="1134" w:type="dxa"/>
            <w:tcBorders>
              <w:top w:val="nil"/>
              <w:left w:val="nil"/>
              <w:bottom w:val="nil"/>
              <w:right w:val="nil"/>
            </w:tcBorders>
            <w:shd w:val="clear" w:color="auto" w:fill="auto"/>
            <w:vAlign w:val="bottom"/>
          </w:tcPr>
          <w:p w14:paraId="5CFB0258" w14:textId="6A36F8C6" w:rsidR="00566EA9" w:rsidRPr="001D41EA" w:rsidRDefault="00566EA9" w:rsidP="001D41EA">
            <w:pPr>
              <w:spacing w:before="40" w:after="40"/>
              <w:jc w:val="center"/>
              <w:rPr>
                <w:rFonts w:cs="Arial"/>
                <w:sz w:val="18"/>
                <w:szCs w:val="18"/>
              </w:rPr>
            </w:pPr>
            <w:r w:rsidRPr="001D41EA">
              <w:rPr>
                <w:rFonts w:cs="Arial"/>
                <w:sz w:val="18"/>
                <w:szCs w:val="18"/>
              </w:rPr>
              <w:t>1.154</w:t>
            </w:r>
          </w:p>
        </w:tc>
      </w:tr>
      <w:tr w:rsidR="00566EA9" w:rsidRPr="001D41EA" w14:paraId="1B4DACC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4C9FCBB" w14:textId="77777777" w:rsidR="00566EA9" w:rsidRPr="001D41EA" w:rsidRDefault="00566EA9" w:rsidP="001D41EA">
            <w:pPr>
              <w:spacing w:before="40" w:after="40"/>
              <w:rPr>
                <w:rFonts w:cs="Arial"/>
                <w:sz w:val="18"/>
                <w:szCs w:val="18"/>
              </w:rPr>
            </w:pPr>
            <w:r w:rsidRPr="001D41EA">
              <w:rPr>
                <w:rFonts w:cs="Arial"/>
                <w:sz w:val="18"/>
                <w:szCs w:val="18"/>
              </w:rPr>
              <w:t>Colac Otway S</w:t>
            </w:r>
          </w:p>
        </w:tc>
        <w:tc>
          <w:tcPr>
            <w:tcW w:w="1134" w:type="dxa"/>
            <w:tcBorders>
              <w:top w:val="nil"/>
              <w:left w:val="single" w:sz="18" w:space="0" w:color="5F497A" w:themeColor="accent4" w:themeShade="BF"/>
              <w:bottom w:val="nil"/>
              <w:right w:val="nil"/>
            </w:tcBorders>
            <w:shd w:val="clear" w:color="auto" w:fill="auto"/>
            <w:vAlign w:val="bottom"/>
          </w:tcPr>
          <w:p w14:paraId="73F14BDA" w14:textId="59F2BA64" w:rsidR="00566EA9" w:rsidRPr="001D41EA" w:rsidRDefault="00566EA9" w:rsidP="001D41EA">
            <w:pPr>
              <w:spacing w:before="40" w:after="40"/>
              <w:jc w:val="center"/>
              <w:rPr>
                <w:rFonts w:cs="Arial"/>
                <w:sz w:val="18"/>
                <w:szCs w:val="18"/>
              </w:rPr>
            </w:pPr>
            <w:r w:rsidRPr="001D41EA">
              <w:rPr>
                <w:rFonts w:cs="Arial"/>
                <w:sz w:val="18"/>
                <w:szCs w:val="18"/>
              </w:rPr>
              <w:t>1.007</w:t>
            </w:r>
          </w:p>
        </w:tc>
        <w:tc>
          <w:tcPr>
            <w:tcW w:w="1134" w:type="dxa"/>
            <w:tcBorders>
              <w:top w:val="nil"/>
              <w:left w:val="nil"/>
              <w:bottom w:val="nil"/>
              <w:right w:val="nil"/>
            </w:tcBorders>
            <w:vAlign w:val="bottom"/>
          </w:tcPr>
          <w:p w14:paraId="0AF7D3B3" w14:textId="4FE56ED6" w:rsidR="00566EA9" w:rsidRPr="001D41EA" w:rsidRDefault="00566EA9" w:rsidP="001D41EA">
            <w:pPr>
              <w:spacing w:before="40" w:after="40"/>
              <w:jc w:val="center"/>
              <w:rPr>
                <w:rFonts w:cs="Arial"/>
                <w:sz w:val="18"/>
                <w:szCs w:val="18"/>
              </w:rPr>
            </w:pPr>
            <w:r w:rsidRPr="001D41EA">
              <w:rPr>
                <w:rFonts w:cs="Arial"/>
                <w:sz w:val="18"/>
                <w:szCs w:val="18"/>
              </w:rPr>
              <w:t>1.009</w:t>
            </w:r>
          </w:p>
        </w:tc>
        <w:tc>
          <w:tcPr>
            <w:tcW w:w="1134" w:type="dxa"/>
            <w:tcBorders>
              <w:top w:val="nil"/>
              <w:left w:val="nil"/>
              <w:bottom w:val="nil"/>
              <w:right w:val="nil"/>
            </w:tcBorders>
            <w:vAlign w:val="bottom"/>
          </w:tcPr>
          <w:p w14:paraId="18AB7A34" w14:textId="2FD9DFC9" w:rsidR="00566EA9" w:rsidRPr="001D41EA" w:rsidRDefault="00566EA9" w:rsidP="001D41EA">
            <w:pPr>
              <w:spacing w:before="40" w:after="40"/>
              <w:jc w:val="center"/>
              <w:rPr>
                <w:rFonts w:cs="Arial"/>
                <w:sz w:val="18"/>
                <w:szCs w:val="18"/>
              </w:rPr>
            </w:pPr>
            <w:r w:rsidRPr="001D41EA">
              <w:rPr>
                <w:rFonts w:cs="Arial"/>
                <w:sz w:val="18"/>
                <w:szCs w:val="18"/>
              </w:rPr>
              <w:t>1.007</w:t>
            </w:r>
          </w:p>
        </w:tc>
        <w:tc>
          <w:tcPr>
            <w:tcW w:w="1134" w:type="dxa"/>
            <w:tcBorders>
              <w:top w:val="nil"/>
              <w:left w:val="nil"/>
              <w:bottom w:val="nil"/>
              <w:right w:val="nil"/>
            </w:tcBorders>
            <w:vAlign w:val="bottom"/>
          </w:tcPr>
          <w:p w14:paraId="608123E9" w14:textId="546AE5E7" w:rsidR="00566EA9" w:rsidRPr="001D41EA" w:rsidRDefault="00566EA9" w:rsidP="001D41EA">
            <w:pPr>
              <w:spacing w:before="40" w:after="40"/>
              <w:jc w:val="center"/>
              <w:rPr>
                <w:rFonts w:cs="Arial"/>
                <w:sz w:val="18"/>
                <w:szCs w:val="18"/>
              </w:rPr>
            </w:pPr>
            <w:r w:rsidRPr="001D41EA">
              <w:rPr>
                <w:rFonts w:cs="Arial"/>
                <w:sz w:val="18"/>
                <w:szCs w:val="18"/>
              </w:rPr>
              <w:t>0.994</w:t>
            </w:r>
          </w:p>
        </w:tc>
        <w:tc>
          <w:tcPr>
            <w:tcW w:w="170" w:type="dxa"/>
            <w:tcBorders>
              <w:top w:val="nil"/>
              <w:left w:val="nil"/>
              <w:bottom w:val="nil"/>
              <w:right w:val="nil"/>
            </w:tcBorders>
            <w:vAlign w:val="bottom"/>
          </w:tcPr>
          <w:p w14:paraId="554B9016" w14:textId="2BFA9078"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4EE39227" w14:textId="185286A6" w:rsidR="00566EA9" w:rsidRPr="001D41EA" w:rsidRDefault="00566EA9" w:rsidP="001D41EA">
            <w:pPr>
              <w:spacing w:before="40" w:after="40"/>
              <w:jc w:val="center"/>
              <w:rPr>
                <w:rFonts w:cs="Arial"/>
                <w:sz w:val="18"/>
                <w:szCs w:val="18"/>
              </w:rPr>
            </w:pPr>
            <w:r w:rsidRPr="001D41EA">
              <w:rPr>
                <w:rFonts w:cs="Arial"/>
                <w:sz w:val="18"/>
                <w:szCs w:val="18"/>
              </w:rPr>
              <w:t>1.247</w:t>
            </w:r>
          </w:p>
        </w:tc>
        <w:tc>
          <w:tcPr>
            <w:tcW w:w="1134" w:type="dxa"/>
            <w:tcBorders>
              <w:top w:val="nil"/>
              <w:left w:val="nil"/>
              <w:bottom w:val="nil"/>
              <w:right w:val="nil"/>
            </w:tcBorders>
            <w:shd w:val="clear" w:color="auto" w:fill="auto"/>
            <w:vAlign w:val="bottom"/>
          </w:tcPr>
          <w:p w14:paraId="0B6ACD2B" w14:textId="31043B7D" w:rsidR="00566EA9" w:rsidRPr="001D41EA" w:rsidRDefault="00566EA9" w:rsidP="001D41EA">
            <w:pPr>
              <w:spacing w:before="40" w:after="40"/>
              <w:jc w:val="center"/>
              <w:rPr>
                <w:rFonts w:cs="Arial"/>
                <w:sz w:val="18"/>
                <w:szCs w:val="18"/>
              </w:rPr>
            </w:pPr>
            <w:r w:rsidRPr="001D41EA">
              <w:rPr>
                <w:rFonts w:cs="Arial"/>
                <w:sz w:val="18"/>
                <w:szCs w:val="18"/>
              </w:rPr>
              <w:t>1.240</w:t>
            </w:r>
          </w:p>
        </w:tc>
      </w:tr>
      <w:tr w:rsidR="00566EA9" w:rsidRPr="001D41EA" w14:paraId="7A8236F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DEA5D69" w14:textId="77777777" w:rsidR="00566EA9" w:rsidRPr="001D41EA" w:rsidRDefault="00566EA9" w:rsidP="001D41EA">
            <w:pPr>
              <w:spacing w:before="40" w:after="40"/>
              <w:rPr>
                <w:rFonts w:cs="Arial"/>
                <w:sz w:val="18"/>
                <w:szCs w:val="18"/>
              </w:rPr>
            </w:pPr>
            <w:r w:rsidRPr="001D41EA">
              <w:rPr>
                <w:rFonts w:cs="Arial"/>
                <w:sz w:val="18"/>
                <w:szCs w:val="18"/>
              </w:rPr>
              <w:t>Corangamite S</w:t>
            </w:r>
          </w:p>
        </w:tc>
        <w:tc>
          <w:tcPr>
            <w:tcW w:w="1134" w:type="dxa"/>
            <w:tcBorders>
              <w:top w:val="nil"/>
              <w:left w:val="single" w:sz="18" w:space="0" w:color="5F497A" w:themeColor="accent4" w:themeShade="BF"/>
              <w:bottom w:val="nil"/>
              <w:right w:val="nil"/>
            </w:tcBorders>
            <w:shd w:val="clear" w:color="auto" w:fill="auto"/>
            <w:vAlign w:val="bottom"/>
          </w:tcPr>
          <w:p w14:paraId="730E3612" w14:textId="0A6AF232" w:rsidR="00566EA9" w:rsidRPr="001D41EA" w:rsidRDefault="00566EA9" w:rsidP="001D41EA">
            <w:pPr>
              <w:spacing w:before="40" w:after="40"/>
              <w:jc w:val="center"/>
              <w:rPr>
                <w:rFonts w:cs="Arial"/>
                <w:sz w:val="18"/>
                <w:szCs w:val="18"/>
              </w:rPr>
            </w:pPr>
            <w:r w:rsidRPr="001D41EA">
              <w:rPr>
                <w:rFonts w:cs="Arial"/>
                <w:sz w:val="18"/>
                <w:szCs w:val="18"/>
              </w:rPr>
              <w:t>0.868</w:t>
            </w:r>
          </w:p>
        </w:tc>
        <w:tc>
          <w:tcPr>
            <w:tcW w:w="1134" w:type="dxa"/>
            <w:tcBorders>
              <w:top w:val="nil"/>
              <w:left w:val="nil"/>
              <w:bottom w:val="nil"/>
              <w:right w:val="nil"/>
            </w:tcBorders>
            <w:vAlign w:val="bottom"/>
          </w:tcPr>
          <w:p w14:paraId="033D41D6" w14:textId="43DA1C17" w:rsidR="00566EA9" w:rsidRPr="001D41EA" w:rsidRDefault="00566EA9" w:rsidP="001D41EA">
            <w:pPr>
              <w:spacing w:before="40" w:after="40"/>
              <w:jc w:val="center"/>
              <w:rPr>
                <w:rFonts w:cs="Arial"/>
                <w:sz w:val="18"/>
                <w:szCs w:val="18"/>
              </w:rPr>
            </w:pPr>
            <w:r w:rsidRPr="001D41EA">
              <w:rPr>
                <w:rFonts w:cs="Arial"/>
                <w:sz w:val="18"/>
                <w:szCs w:val="18"/>
              </w:rPr>
              <w:t>0.869</w:t>
            </w:r>
          </w:p>
        </w:tc>
        <w:tc>
          <w:tcPr>
            <w:tcW w:w="1134" w:type="dxa"/>
            <w:tcBorders>
              <w:top w:val="nil"/>
              <w:left w:val="nil"/>
              <w:bottom w:val="nil"/>
              <w:right w:val="nil"/>
            </w:tcBorders>
            <w:vAlign w:val="bottom"/>
          </w:tcPr>
          <w:p w14:paraId="7B8DA574" w14:textId="2174737A" w:rsidR="00566EA9" w:rsidRPr="001D41EA" w:rsidRDefault="00566EA9" w:rsidP="001D41EA">
            <w:pPr>
              <w:spacing w:before="40" w:after="40"/>
              <w:jc w:val="center"/>
              <w:rPr>
                <w:rFonts w:cs="Arial"/>
                <w:sz w:val="18"/>
                <w:szCs w:val="18"/>
              </w:rPr>
            </w:pPr>
            <w:r w:rsidRPr="001D41EA">
              <w:rPr>
                <w:rFonts w:cs="Arial"/>
                <w:sz w:val="18"/>
                <w:szCs w:val="18"/>
              </w:rPr>
              <w:t>0.868</w:t>
            </w:r>
          </w:p>
        </w:tc>
        <w:tc>
          <w:tcPr>
            <w:tcW w:w="1134" w:type="dxa"/>
            <w:tcBorders>
              <w:top w:val="nil"/>
              <w:left w:val="nil"/>
              <w:bottom w:val="nil"/>
              <w:right w:val="nil"/>
            </w:tcBorders>
            <w:vAlign w:val="bottom"/>
          </w:tcPr>
          <w:p w14:paraId="6013546E" w14:textId="0B7ECFFD" w:rsidR="00566EA9" w:rsidRPr="001D41EA" w:rsidRDefault="00566EA9" w:rsidP="001D41EA">
            <w:pPr>
              <w:spacing w:before="40" w:after="40"/>
              <w:jc w:val="center"/>
              <w:rPr>
                <w:rFonts w:cs="Arial"/>
                <w:sz w:val="18"/>
                <w:szCs w:val="18"/>
              </w:rPr>
            </w:pPr>
            <w:r w:rsidRPr="001D41EA">
              <w:rPr>
                <w:rFonts w:cs="Arial"/>
                <w:sz w:val="18"/>
                <w:szCs w:val="18"/>
              </w:rPr>
              <w:t>0.857</w:t>
            </w:r>
          </w:p>
        </w:tc>
        <w:tc>
          <w:tcPr>
            <w:tcW w:w="170" w:type="dxa"/>
            <w:tcBorders>
              <w:top w:val="nil"/>
              <w:left w:val="nil"/>
              <w:bottom w:val="nil"/>
              <w:right w:val="nil"/>
            </w:tcBorders>
            <w:vAlign w:val="bottom"/>
          </w:tcPr>
          <w:p w14:paraId="609AE7D0" w14:textId="46850DFB"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31BBFDF7" w14:textId="14C8E7CE" w:rsidR="00566EA9" w:rsidRPr="001D41EA" w:rsidRDefault="00566EA9" w:rsidP="001D41EA">
            <w:pPr>
              <w:spacing w:before="40" w:after="40"/>
              <w:jc w:val="center"/>
              <w:rPr>
                <w:rFonts w:cs="Arial"/>
                <w:sz w:val="18"/>
                <w:szCs w:val="18"/>
              </w:rPr>
            </w:pPr>
            <w:r w:rsidRPr="001D41EA">
              <w:rPr>
                <w:rFonts w:cs="Arial"/>
                <w:sz w:val="18"/>
                <w:szCs w:val="18"/>
              </w:rPr>
              <w:t>1.305</w:t>
            </w:r>
          </w:p>
        </w:tc>
        <w:tc>
          <w:tcPr>
            <w:tcW w:w="1134" w:type="dxa"/>
            <w:tcBorders>
              <w:top w:val="nil"/>
              <w:left w:val="nil"/>
              <w:bottom w:val="nil"/>
              <w:right w:val="nil"/>
            </w:tcBorders>
            <w:shd w:val="clear" w:color="auto" w:fill="auto"/>
            <w:vAlign w:val="bottom"/>
          </w:tcPr>
          <w:p w14:paraId="140AB9AF" w14:textId="7A718D45" w:rsidR="00566EA9" w:rsidRPr="001D41EA" w:rsidRDefault="00566EA9" w:rsidP="001D41EA">
            <w:pPr>
              <w:spacing w:before="40" w:after="40"/>
              <w:jc w:val="center"/>
              <w:rPr>
                <w:rFonts w:cs="Arial"/>
                <w:sz w:val="18"/>
                <w:szCs w:val="18"/>
              </w:rPr>
            </w:pPr>
            <w:r w:rsidRPr="001D41EA">
              <w:rPr>
                <w:rFonts w:cs="Arial"/>
                <w:sz w:val="18"/>
                <w:szCs w:val="18"/>
              </w:rPr>
              <w:t>1.298</w:t>
            </w:r>
          </w:p>
        </w:tc>
      </w:tr>
      <w:tr w:rsidR="00566EA9" w:rsidRPr="001D41EA" w14:paraId="077C72A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0831A4F" w14:textId="77777777" w:rsidR="00566EA9" w:rsidRPr="001D41EA" w:rsidRDefault="00566EA9" w:rsidP="001D41EA">
            <w:pPr>
              <w:spacing w:before="40" w:after="40"/>
              <w:rPr>
                <w:rFonts w:cs="Arial"/>
                <w:sz w:val="18"/>
                <w:szCs w:val="18"/>
              </w:rPr>
            </w:pPr>
            <w:r w:rsidRPr="001D41EA">
              <w:rPr>
                <w:rFonts w:cs="Arial"/>
                <w:sz w:val="18"/>
                <w:szCs w:val="18"/>
              </w:rPr>
              <w:t>Darebin C</w:t>
            </w:r>
          </w:p>
        </w:tc>
        <w:tc>
          <w:tcPr>
            <w:tcW w:w="1134" w:type="dxa"/>
            <w:tcBorders>
              <w:top w:val="nil"/>
              <w:left w:val="single" w:sz="18" w:space="0" w:color="5F497A" w:themeColor="accent4" w:themeShade="BF"/>
              <w:bottom w:val="nil"/>
              <w:right w:val="nil"/>
            </w:tcBorders>
            <w:shd w:val="clear" w:color="auto" w:fill="auto"/>
            <w:vAlign w:val="bottom"/>
          </w:tcPr>
          <w:p w14:paraId="709549A6" w14:textId="71457C2F" w:rsidR="00566EA9" w:rsidRPr="001D41EA" w:rsidRDefault="00566EA9" w:rsidP="001D41EA">
            <w:pPr>
              <w:spacing w:before="40" w:after="40"/>
              <w:jc w:val="center"/>
              <w:rPr>
                <w:rFonts w:cs="Arial"/>
                <w:sz w:val="18"/>
                <w:szCs w:val="18"/>
              </w:rPr>
            </w:pPr>
            <w:r w:rsidRPr="001D41EA">
              <w:rPr>
                <w:rFonts w:cs="Arial"/>
                <w:sz w:val="18"/>
                <w:szCs w:val="18"/>
              </w:rPr>
              <w:t>0.962</w:t>
            </w:r>
          </w:p>
        </w:tc>
        <w:tc>
          <w:tcPr>
            <w:tcW w:w="1134" w:type="dxa"/>
            <w:tcBorders>
              <w:top w:val="nil"/>
              <w:left w:val="nil"/>
              <w:bottom w:val="nil"/>
              <w:right w:val="nil"/>
            </w:tcBorders>
            <w:vAlign w:val="bottom"/>
          </w:tcPr>
          <w:p w14:paraId="2A375660" w14:textId="11BA1B7A" w:rsidR="00566EA9" w:rsidRPr="001D41EA" w:rsidRDefault="00566EA9" w:rsidP="001D41EA">
            <w:pPr>
              <w:spacing w:before="40" w:after="40"/>
              <w:jc w:val="center"/>
              <w:rPr>
                <w:rFonts w:cs="Arial"/>
                <w:sz w:val="18"/>
                <w:szCs w:val="18"/>
              </w:rPr>
            </w:pPr>
            <w:r w:rsidRPr="001D41EA">
              <w:rPr>
                <w:rFonts w:cs="Arial"/>
                <w:sz w:val="18"/>
                <w:szCs w:val="18"/>
              </w:rPr>
              <w:t>0.964</w:t>
            </w:r>
          </w:p>
        </w:tc>
        <w:tc>
          <w:tcPr>
            <w:tcW w:w="1134" w:type="dxa"/>
            <w:tcBorders>
              <w:top w:val="nil"/>
              <w:left w:val="nil"/>
              <w:bottom w:val="nil"/>
              <w:right w:val="nil"/>
            </w:tcBorders>
            <w:vAlign w:val="bottom"/>
          </w:tcPr>
          <w:p w14:paraId="26303A4E" w14:textId="2BBCC94D" w:rsidR="00566EA9" w:rsidRPr="001D41EA" w:rsidRDefault="00566EA9" w:rsidP="001D41EA">
            <w:pPr>
              <w:spacing w:before="40" w:after="40"/>
              <w:jc w:val="center"/>
              <w:rPr>
                <w:rFonts w:cs="Arial"/>
                <w:sz w:val="18"/>
                <w:szCs w:val="18"/>
              </w:rPr>
            </w:pPr>
            <w:r w:rsidRPr="001D41EA">
              <w:rPr>
                <w:rFonts w:cs="Arial"/>
                <w:sz w:val="18"/>
                <w:szCs w:val="18"/>
              </w:rPr>
              <w:t>0.963</w:t>
            </w:r>
          </w:p>
        </w:tc>
        <w:tc>
          <w:tcPr>
            <w:tcW w:w="1134" w:type="dxa"/>
            <w:tcBorders>
              <w:top w:val="nil"/>
              <w:left w:val="nil"/>
              <w:bottom w:val="nil"/>
              <w:right w:val="nil"/>
            </w:tcBorders>
            <w:vAlign w:val="bottom"/>
          </w:tcPr>
          <w:p w14:paraId="27F95819" w14:textId="0483485F" w:rsidR="00566EA9" w:rsidRPr="001D41EA" w:rsidRDefault="00566EA9" w:rsidP="001D41EA">
            <w:pPr>
              <w:spacing w:before="40" w:after="40"/>
              <w:jc w:val="center"/>
              <w:rPr>
                <w:rFonts w:cs="Arial"/>
                <w:sz w:val="18"/>
                <w:szCs w:val="18"/>
              </w:rPr>
            </w:pPr>
            <w:r w:rsidRPr="001D41EA">
              <w:rPr>
                <w:rFonts w:cs="Arial"/>
                <w:sz w:val="18"/>
                <w:szCs w:val="18"/>
              </w:rPr>
              <w:t>0.951</w:t>
            </w:r>
          </w:p>
        </w:tc>
        <w:tc>
          <w:tcPr>
            <w:tcW w:w="170" w:type="dxa"/>
            <w:tcBorders>
              <w:top w:val="nil"/>
              <w:left w:val="nil"/>
              <w:bottom w:val="nil"/>
              <w:right w:val="nil"/>
            </w:tcBorders>
            <w:vAlign w:val="bottom"/>
          </w:tcPr>
          <w:p w14:paraId="23B58BE7" w14:textId="79762D79"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6C4E813" w14:textId="237A4D88" w:rsidR="00566EA9" w:rsidRPr="001D41EA" w:rsidRDefault="00566EA9" w:rsidP="001D41EA">
            <w:pPr>
              <w:spacing w:before="40" w:after="4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4B07DB7F" w14:textId="25FD1FDE" w:rsidR="00566EA9" w:rsidRPr="001D41EA" w:rsidRDefault="00566EA9" w:rsidP="001D41EA">
            <w:pPr>
              <w:spacing w:before="40" w:after="40"/>
              <w:jc w:val="center"/>
              <w:rPr>
                <w:rFonts w:cs="Arial"/>
                <w:sz w:val="18"/>
                <w:szCs w:val="18"/>
              </w:rPr>
            </w:pPr>
            <w:r w:rsidRPr="001D41EA">
              <w:rPr>
                <w:rFonts w:cs="Arial"/>
                <w:sz w:val="18"/>
                <w:szCs w:val="18"/>
              </w:rPr>
              <w:t>0.908</w:t>
            </w:r>
          </w:p>
        </w:tc>
      </w:tr>
      <w:tr w:rsidR="00566EA9" w:rsidRPr="001D41EA" w14:paraId="4786813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C4635A6" w14:textId="77777777" w:rsidR="00566EA9" w:rsidRPr="001D41EA" w:rsidRDefault="00566EA9" w:rsidP="001D41EA">
            <w:pPr>
              <w:spacing w:before="40" w:after="40"/>
              <w:rPr>
                <w:rFonts w:cs="Arial"/>
                <w:sz w:val="18"/>
                <w:szCs w:val="18"/>
              </w:rPr>
            </w:pPr>
            <w:r w:rsidRPr="001D41EA">
              <w:rPr>
                <w:rFonts w:cs="Arial"/>
                <w:sz w:val="18"/>
                <w:szCs w:val="18"/>
              </w:rPr>
              <w:t>East Gippsland S</w:t>
            </w:r>
          </w:p>
        </w:tc>
        <w:tc>
          <w:tcPr>
            <w:tcW w:w="1134" w:type="dxa"/>
            <w:tcBorders>
              <w:top w:val="nil"/>
              <w:left w:val="single" w:sz="18" w:space="0" w:color="5F497A" w:themeColor="accent4" w:themeShade="BF"/>
              <w:bottom w:val="nil"/>
              <w:right w:val="nil"/>
            </w:tcBorders>
            <w:shd w:val="clear" w:color="auto" w:fill="auto"/>
            <w:vAlign w:val="bottom"/>
          </w:tcPr>
          <w:p w14:paraId="3C84ECC2" w14:textId="7ABC49BB" w:rsidR="00566EA9" w:rsidRPr="001D41EA" w:rsidRDefault="00566EA9" w:rsidP="001D41EA">
            <w:pPr>
              <w:spacing w:before="40" w:after="40"/>
              <w:jc w:val="center"/>
              <w:rPr>
                <w:rFonts w:cs="Arial"/>
                <w:sz w:val="18"/>
                <w:szCs w:val="18"/>
              </w:rPr>
            </w:pPr>
            <w:r w:rsidRPr="001D41EA">
              <w:rPr>
                <w:rFonts w:cs="Arial"/>
                <w:sz w:val="18"/>
                <w:szCs w:val="18"/>
              </w:rPr>
              <w:t>0.945</w:t>
            </w:r>
          </w:p>
        </w:tc>
        <w:tc>
          <w:tcPr>
            <w:tcW w:w="1134" w:type="dxa"/>
            <w:tcBorders>
              <w:top w:val="nil"/>
              <w:left w:val="nil"/>
              <w:bottom w:val="nil"/>
              <w:right w:val="nil"/>
            </w:tcBorders>
            <w:vAlign w:val="bottom"/>
          </w:tcPr>
          <w:p w14:paraId="527BA4F1" w14:textId="24659315" w:rsidR="00566EA9" w:rsidRPr="001D41EA" w:rsidRDefault="00566EA9" w:rsidP="001D41EA">
            <w:pPr>
              <w:spacing w:before="40" w:after="40"/>
              <w:jc w:val="center"/>
              <w:rPr>
                <w:rFonts w:cs="Arial"/>
                <w:sz w:val="18"/>
                <w:szCs w:val="18"/>
              </w:rPr>
            </w:pPr>
            <w:r w:rsidRPr="001D41EA">
              <w:rPr>
                <w:rFonts w:cs="Arial"/>
                <w:sz w:val="18"/>
                <w:szCs w:val="18"/>
              </w:rPr>
              <w:t>0.947</w:t>
            </w:r>
          </w:p>
        </w:tc>
        <w:tc>
          <w:tcPr>
            <w:tcW w:w="1134" w:type="dxa"/>
            <w:tcBorders>
              <w:top w:val="nil"/>
              <w:left w:val="nil"/>
              <w:bottom w:val="nil"/>
              <w:right w:val="nil"/>
            </w:tcBorders>
            <w:vAlign w:val="bottom"/>
          </w:tcPr>
          <w:p w14:paraId="72E46AA1" w14:textId="67C841C0" w:rsidR="00566EA9" w:rsidRPr="001D41EA" w:rsidRDefault="00566EA9" w:rsidP="001D41EA">
            <w:pPr>
              <w:spacing w:before="40" w:after="40"/>
              <w:jc w:val="center"/>
              <w:rPr>
                <w:rFonts w:cs="Arial"/>
                <w:sz w:val="18"/>
                <w:szCs w:val="18"/>
              </w:rPr>
            </w:pPr>
            <w:r w:rsidRPr="001D41EA">
              <w:rPr>
                <w:rFonts w:cs="Arial"/>
                <w:sz w:val="18"/>
                <w:szCs w:val="18"/>
              </w:rPr>
              <w:t>0.946</w:t>
            </w:r>
          </w:p>
        </w:tc>
        <w:tc>
          <w:tcPr>
            <w:tcW w:w="1134" w:type="dxa"/>
            <w:tcBorders>
              <w:top w:val="nil"/>
              <w:left w:val="nil"/>
              <w:bottom w:val="nil"/>
              <w:right w:val="nil"/>
            </w:tcBorders>
            <w:vAlign w:val="bottom"/>
          </w:tcPr>
          <w:p w14:paraId="6C73A2EA" w14:textId="088F5AA4" w:rsidR="00566EA9" w:rsidRPr="001D41EA" w:rsidRDefault="00566EA9" w:rsidP="001D41EA">
            <w:pPr>
              <w:spacing w:before="40" w:after="40"/>
              <w:jc w:val="center"/>
              <w:rPr>
                <w:rFonts w:cs="Arial"/>
                <w:sz w:val="18"/>
                <w:szCs w:val="18"/>
              </w:rPr>
            </w:pPr>
            <w:r w:rsidRPr="001D41EA">
              <w:rPr>
                <w:rFonts w:cs="Arial"/>
                <w:sz w:val="18"/>
                <w:szCs w:val="18"/>
              </w:rPr>
              <w:t>0.934</w:t>
            </w:r>
          </w:p>
        </w:tc>
        <w:tc>
          <w:tcPr>
            <w:tcW w:w="170" w:type="dxa"/>
            <w:tcBorders>
              <w:top w:val="nil"/>
              <w:left w:val="nil"/>
              <w:bottom w:val="nil"/>
              <w:right w:val="nil"/>
            </w:tcBorders>
            <w:vAlign w:val="bottom"/>
          </w:tcPr>
          <w:p w14:paraId="2B3DE465" w14:textId="45BB6C40"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06FB410" w14:textId="31FB7897" w:rsidR="00566EA9" w:rsidRPr="001D41EA" w:rsidRDefault="00566EA9" w:rsidP="001D41EA">
            <w:pPr>
              <w:spacing w:before="40" w:after="40"/>
              <w:jc w:val="center"/>
              <w:rPr>
                <w:rFonts w:cs="Arial"/>
                <w:sz w:val="18"/>
                <w:szCs w:val="18"/>
              </w:rPr>
            </w:pPr>
            <w:r w:rsidRPr="001D41EA">
              <w:rPr>
                <w:rFonts w:cs="Arial"/>
                <w:sz w:val="18"/>
                <w:szCs w:val="18"/>
              </w:rPr>
              <w:t>1.761</w:t>
            </w:r>
          </w:p>
        </w:tc>
        <w:tc>
          <w:tcPr>
            <w:tcW w:w="1134" w:type="dxa"/>
            <w:tcBorders>
              <w:top w:val="nil"/>
              <w:left w:val="nil"/>
              <w:bottom w:val="nil"/>
              <w:right w:val="nil"/>
            </w:tcBorders>
            <w:shd w:val="clear" w:color="auto" w:fill="auto"/>
            <w:vAlign w:val="bottom"/>
          </w:tcPr>
          <w:p w14:paraId="585B7439" w14:textId="174E0403" w:rsidR="00566EA9" w:rsidRPr="001D41EA" w:rsidRDefault="00566EA9" w:rsidP="001D41EA">
            <w:pPr>
              <w:spacing w:before="40" w:after="40"/>
              <w:jc w:val="center"/>
              <w:rPr>
                <w:rFonts w:cs="Arial"/>
                <w:sz w:val="18"/>
                <w:szCs w:val="18"/>
              </w:rPr>
            </w:pPr>
            <w:r w:rsidRPr="001D41EA">
              <w:rPr>
                <w:rFonts w:cs="Arial"/>
                <w:sz w:val="18"/>
                <w:szCs w:val="18"/>
              </w:rPr>
              <w:t>1.750</w:t>
            </w:r>
          </w:p>
        </w:tc>
      </w:tr>
      <w:tr w:rsidR="00566EA9" w:rsidRPr="001D41EA" w14:paraId="6257258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E178CAC" w14:textId="77777777" w:rsidR="00566EA9" w:rsidRPr="001D41EA" w:rsidRDefault="00566EA9" w:rsidP="001D41EA">
            <w:pPr>
              <w:spacing w:before="40" w:after="40"/>
              <w:rPr>
                <w:rFonts w:cs="Arial"/>
                <w:sz w:val="18"/>
                <w:szCs w:val="18"/>
              </w:rPr>
            </w:pPr>
            <w:r w:rsidRPr="001D41EA">
              <w:rPr>
                <w:rFonts w:cs="Arial"/>
                <w:sz w:val="18"/>
                <w:szCs w:val="18"/>
              </w:rPr>
              <w:t>Frankston C</w:t>
            </w:r>
          </w:p>
        </w:tc>
        <w:tc>
          <w:tcPr>
            <w:tcW w:w="1134" w:type="dxa"/>
            <w:tcBorders>
              <w:top w:val="nil"/>
              <w:left w:val="single" w:sz="18" w:space="0" w:color="5F497A" w:themeColor="accent4" w:themeShade="BF"/>
              <w:bottom w:val="nil"/>
              <w:right w:val="nil"/>
            </w:tcBorders>
            <w:shd w:val="clear" w:color="auto" w:fill="auto"/>
            <w:vAlign w:val="bottom"/>
          </w:tcPr>
          <w:p w14:paraId="387C61BA" w14:textId="26FCA1B0" w:rsidR="00566EA9" w:rsidRPr="001D41EA" w:rsidRDefault="00566EA9" w:rsidP="001D41EA">
            <w:pPr>
              <w:spacing w:before="40" w:after="40"/>
              <w:jc w:val="center"/>
              <w:rPr>
                <w:rFonts w:cs="Arial"/>
                <w:sz w:val="18"/>
                <w:szCs w:val="18"/>
              </w:rPr>
            </w:pPr>
            <w:r w:rsidRPr="001D41EA">
              <w:rPr>
                <w:rFonts w:cs="Arial"/>
                <w:sz w:val="18"/>
                <w:szCs w:val="18"/>
              </w:rPr>
              <w:t>0.943</w:t>
            </w:r>
          </w:p>
        </w:tc>
        <w:tc>
          <w:tcPr>
            <w:tcW w:w="1134" w:type="dxa"/>
            <w:tcBorders>
              <w:top w:val="nil"/>
              <w:left w:val="nil"/>
              <w:bottom w:val="nil"/>
              <w:right w:val="nil"/>
            </w:tcBorders>
            <w:vAlign w:val="bottom"/>
          </w:tcPr>
          <w:p w14:paraId="16BDDBBD" w14:textId="44D39210" w:rsidR="00566EA9" w:rsidRPr="001D41EA" w:rsidRDefault="00566EA9" w:rsidP="001D41EA">
            <w:pPr>
              <w:spacing w:before="40" w:after="40"/>
              <w:jc w:val="center"/>
              <w:rPr>
                <w:rFonts w:cs="Arial"/>
                <w:sz w:val="18"/>
                <w:szCs w:val="18"/>
              </w:rPr>
            </w:pPr>
            <w:r w:rsidRPr="001D41EA">
              <w:rPr>
                <w:rFonts w:cs="Arial"/>
                <w:sz w:val="18"/>
                <w:szCs w:val="18"/>
              </w:rPr>
              <w:t>0.944</w:t>
            </w:r>
          </w:p>
        </w:tc>
        <w:tc>
          <w:tcPr>
            <w:tcW w:w="1134" w:type="dxa"/>
            <w:tcBorders>
              <w:top w:val="nil"/>
              <w:left w:val="nil"/>
              <w:bottom w:val="nil"/>
              <w:right w:val="nil"/>
            </w:tcBorders>
            <w:vAlign w:val="bottom"/>
          </w:tcPr>
          <w:p w14:paraId="68B80990" w14:textId="03974157" w:rsidR="00566EA9" w:rsidRPr="001D41EA" w:rsidRDefault="00566EA9" w:rsidP="001D41EA">
            <w:pPr>
              <w:spacing w:before="40" w:after="40"/>
              <w:jc w:val="center"/>
              <w:rPr>
                <w:rFonts w:cs="Arial"/>
                <w:sz w:val="18"/>
                <w:szCs w:val="18"/>
              </w:rPr>
            </w:pPr>
            <w:r w:rsidRPr="001D41EA">
              <w:rPr>
                <w:rFonts w:cs="Arial"/>
                <w:sz w:val="18"/>
                <w:szCs w:val="18"/>
              </w:rPr>
              <w:t>0.943</w:t>
            </w:r>
          </w:p>
        </w:tc>
        <w:tc>
          <w:tcPr>
            <w:tcW w:w="1134" w:type="dxa"/>
            <w:tcBorders>
              <w:top w:val="nil"/>
              <w:left w:val="nil"/>
              <w:bottom w:val="nil"/>
              <w:right w:val="nil"/>
            </w:tcBorders>
            <w:vAlign w:val="bottom"/>
          </w:tcPr>
          <w:p w14:paraId="0CA399DC" w14:textId="5CB24BB2" w:rsidR="00566EA9" w:rsidRPr="001D41EA" w:rsidRDefault="00566EA9" w:rsidP="001D41EA">
            <w:pPr>
              <w:spacing w:before="40" w:after="40"/>
              <w:jc w:val="center"/>
              <w:rPr>
                <w:rFonts w:cs="Arial"/>
                <w:sz w:val="18"/>
                <w:szCs w:val="18"/>
              </w:rPr>
            </w:pPr>
            <w:r w:rsidRPr="001D41EA">
              <w:rPr>
                <w:rFonts w:cs="Arial"/>
                <w:sz w:val="18"/>
                <w:szCs w:val="18"/>
              </w:rPr>
              <w:t>0.931</w:t>
            </w:r>
          </w:p>
        </w:tc>
        <w:tc>
          <w:tcPr>
            <w:tcW w:w="170" w:type="dxa"/>
            <w:tcBorders>
              <w:top w:val="nil"/>
              <w:left w:val="nil"/>
              <w:bottom w:val="nil"/>
              <w:right w:val="nil"/>
            </w:tcBorders>
            <w:vAlign w:val="bottom"/>
          </w:tcPr>
          <w:p w14:paraId="7B52493C" w14:textId="42349F4D"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1ED08B78" w14:textId="343A5D5B" w:rsidR="00566EA9" w:rsidRPr="001D41EA" w:rsidRDefault="00566EA9" w:rsidP="001D41EA">
            <w:pPr>
              <w:spacing w:before="40" w:after="4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41833A0F" w14:textId="3E1C3F14" w:rsidR="00566EA9" w:rsidRPr="001D41EA" w:rsidRDefault="00566EA9" w:rsidP="001D41EA">
            <w:pPr>
              <w:spacing w:before="40" w:after="40"/>
              <w:jc w:val="center"/>
              <w:rPr>
                <w:rFonts w:cs="Arial"/>
                <w:sz w:val="18"/>
                <w:szCs w:val="18"/>
              </w:rPr>
            </w:pPr>
            <w:r w:rsidRPr="001D41EA">
              <w:rPr>
                <w:rFonts w:cs="Arial"/>
                <w:sz w:val="18"/>
                <w:szCs w:val="18"/>
              </w:rPr>
              <w:t>0.908</w:t>
            </w:r>
          </w:p>
        </w:tc>
      </w:tr>
      <w:tr w:rsidR="00566EA9" w:rsidRPr="001D41EA" w14:paraId="6559FAD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4473183" w14:textId="77777777" w:rsidR="00566EA9" w:rsidRPr="001D41EA" w:rsidRDefault="00566EA9" w:rsidP="001D41EA">
            <w:pPr>
              <w:spacing w:before="40" w:after="40"/>
              <w:rPr>
                <w:rFonts w:cs="Arial"/>
                <w:sz w:val="18"/>
                <w:szCs w:val="18"/>
              </w:rPr>
            </w:pPr>
            <w:r w:rsidRPr="001D41EA">
              <w:rPr>
                <w:rFonts w:cs="Arial"/>
                <w:sz w:val="18"/>
                <w:szCs w:val="18"/>
              </w:rPr>
              <w:t>Gannawarra S</w:t>
            </w:r>
          </w:p>
        </w:tc>
        <w:tc>
          <w:tcPr>
            <w:tcW w:w="1134" w:type="dxa"/>
            <w:tcBorders>
              <w:top w:val="nil"/>
              <w:left w:val="single" w:sz="18" w:space="0" w:color="5F497A" w:themeColor="accent4" w:themeShade="BF"/>
              <w:bottom w:val="nil"/>
              <w:right w:val="nil"/>
            </w:tcBorders>
            <w:shd w:val="clear" w:color="auto" w:fill="auto"/>
            <w:vAlign w:val="bottom"/>
          </w:tcPr>
          <w:p w14:paraId="7A435264" w14:textId="5CACC5FE" w:rsidR="00566EA9" w:rsidRPr="001D41EA" w:rsidRDefault="00566EA9" w:rsidP="001D41EA">
            <w:pPr>
              <w:spacing w:before="40" w:after="40"/>
              <w:jc w:val="center"/>
              <w:rPr>
                <w:rFonts w:cs="Arial"/>
                <w:sz w:val="18"/>
                <w:szCs w:val="18"/>
              </w:rPr>
            </w:pPr>
            <w:r w:rsidRPr="001D41EA">
              <w:rPr>
                <w:rFonts w:cs="Arial"/>
                <w:sz w:val="18"/>
                <w:szCs w:val="18"/>
              </w:rPr>
              <w:t>0.840</w:t>
            </w:r>
          </w:p>
        </w:tc>
        <w:tc>
          <w:tcPr>
            <w:tcW w:w="1134" w:type="dxa"/>
            <w:tcBorders>
              <w:top w:val="nil"/>
              <w:left w:val="nil"/>
              <w:bottom w:val="nil"/>
              <w:right w:val="nil"/>
            </w:tcBorders>
            <w:vAlign w:val="bottom"/>
          </w:tcPr>
          <w:p w14:paraId="03BCC470" w14:textId="6B349868" w:rsidR="00566EA9" w:rsidRPr="001D41EA" w:rsidRDefault="00566EA9" w:rsidP="001D41EA">
            <w:pPr>
              <w:spacing w:before="40" w:after="40"/>
              <w:jc w:val="center"/>
              <w:rPr>
                <w:rFonts w:cs="Arial"/>
                <w:sz w:val="18"/>
                <w:szCs w:val="18"/>
              </w:rPr>
            </w:pPr>
            <w:r w:rsidRPr="001D41EA">
              <w:rPr>
                <w:rFonts w:cs="Arial"/>
                <w:sz w:val="18"/>
                <w:szCs w:val="18"/>
              </w:rPr>
              <w:t>0.842</w:t>
            </w:r>
          </w:p>
        </w:tc>
        <w:tc>
          <w:tcPr>
            <w:tcW w:w="1134" w:type="dxa"/>
            <w:tcBorders>
              <w:top w:val="nil"/>
              <w:left w:val="nil"/>
              <w:bottom w:val="nil"/>
              <w:right w:val="nil"/>
            </w:tcBorders>
            <w:vAlign w:val="bottom"/>
          </w:tcPr>
          <w:p w14:paraId="66D50E3C" w14:textId="5BC7C6A4" w:rsidR="00566EA9" w:rsidRPr="001D41EA" w:rsidRDefault="00566EA9" w:rsidP="001D41EA">
            <w:pPr>
              <w:spacing w:before="40" w:after="40"/>
              <w:jc w:val="center"/>
              <w:rPr>
                <w:rFonts w:cs="Arial"/>
                <w:sz w:val="18"/>
                <w:szCs w:val="18"/>
              </w:rPr>
            </w:pPr>
            <w:r w:rsidRPr="001D41EA">
              <w:rPr>
                <w:rFonts w:cs="Arial"/>
                <w:sz w:val="18"/>
                <w:szCs w:val="18"/>
              </w:rPr>
              <w:t>0.841</w:t>
            </w:r>
          </w:p>
        </w:tc>
        <w:tc>
          <w:tcPr>
            <w:tcW w:w="1134" w:type="dxa"/>
            <w:tcBorders>
              <w:top w:val="nil"/>
              <w:left w:val="nil"/>
              <w:bottom w:val="nil"/>
              <w:right w:val="nil"/>
            </w:tcBorders>
            <w:vAlign w:val="bottom"/>
          </w:tcPr>
          <w:p w14:paraId="7BC8A4C5" w14:textId="1A1C5AF8" w:rsidR="00566EA9" w:rsidRPr="001D41EA" w:rsidRDefault="00566EA9" w:rsidP="001D41EA">
            <w:pPr>
              <w:spacing w:before="40" w:after="40"/>
              <w:jc w:val="center"/>
              <w:rPr>
                <w:rFonts w:cs="Arial"/>
                <w:sz w:val="18"/>
                <w:szCs w:val="18"/>
              </w:rPr>
            </w:pPr>
            <w:r w:rsidRPr="001D41EA">
              <w:rPr>
                <w:rFonts w:cs="Arial"/>
                <w:sz w:val="18"/>
                <w:szCs w:val="18"/>
              </w:rPr>
              <w:t>0.830</w:t>
            </w:r>
          </w:p>
        </w:tc>
        <w:tc>
          <w:tcPr>
            <w:tcW w:w="170" w:type="dxa"/>
            <w:tcBorders>
              <w:top w:val="nil"/>
              <w:left w:val="nil"/>
              <w:bottom w:val="nil"/>
              <w:right w:val="nil"/>
            </w:tcBorders>
            <w:vAlign w:val="bottom"/>
          </w:tcPr>
          <w:p w14:paraId="5B662096" w14:textId="77D034D2"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77FD009E" w14:textId="7BC4D78A" w:rsidR="00566EA9" w:rsidRPr="001D41EA" w:rsidRDefault="00566EA9" w:rsidP="001D41EA">
            <w:pPr>
              <w:spacing w:before="40" w:after="40"/>
              <w:jc w:val="center"/>
              <w:rPr>
                <w:rFonts w:cs="Arial"/>
                <w:sz w:val="18"/>
                <w:szCs w:val="18"/>
              </w:rPr>
            </w:pPr>
            <w:r w:rsidRPr="001D41EA">
              <w:rPr>
                <w:rFonts w:cs="Arial"/>
                <w:sz w:val="18"/>
                <w:szCs w:val="18"/>
              </w:rPr>
              <w:t>1.465</w:t>
            </w:r>
          </w:p>
        </w:tc>
        <w:tc>
          <w:tcPr>
            <w:tcW w:w="1134" w:type="dxa"/>
            <w:tcBorders>
              <w:top w:val="nil"/>
              <w:left w:val="nil"/>
              <w:bottom w:val="nil"/>
              <w:right w:val="nil"/>
            </w:tcBorders>
            <w:shd w:val="clear" w:color="auto" w:fill="auto"/>
            <w:vAlign w:val="bottom"/>
          </w:tcPr>
          <w:p w14:paraId="400D9D57" w14:textId="498DBB79" w:rsidR="00566EA9" w:rsidRPr="001D41EA" w:rsidRDefault="00566EA9" w:rsidP="001D41EA">
            <w:pPr>
              <w:spacing w:before="40" w:after="40"/>
              <w:jc w:val="center"/>
              <w:rPr>
                <w:rFonts w:cs="Arial"/>
                <w:sz w:val="18"/>
                <w:szCs w:val="18"/>
              </w:rPr>
            </w:pPr>
            <w:r w:rsidRPr="001D41EA">
              <w:rPr>
                <w:rFonts w:cs="Arial"/>
                <w:sz w:val="18"/>
                <w:szCs w:val="18"/>
              </w:rPr>
              <w:t>1.456</w:t>
            </w:r>
          </w:p>
        </w:tc>
      </w:tr>
      <w:tr w:rsidR="00566EA9" w:rsidRPr="001D41EA" w14:paraId="2EF3D51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7F88A41" w14:textId="77777777" w:rsidR="00566EA9" w:rsidRPr="001D41EA" w:rsidRDefault="00566EA9" w:rsidP="001D41EA">
            <w:pPr>
              <w:spacing w:before="40" w:after="40"/>
              <w:rPr>
                <w:rFonts w:cs="Arial"/>
                <w:sz w:val="18"/>
                <w:szCs w:val="18"/>
              </w:rPr>
            </w:pPr>
            <w:r w:rsidRPr="001D41EA">
              <w:rPr>
                <w:rFonts w:cs="Arial"/>
                <w:sz w:val="18"/>
                <w:szCs w:val="18"/>
              </w:rPr>
              <w:t>Glen Eira C</w:t>
            </w:r>
          </w:p>
        </w:tc>
        <w:tc>
          <w:tcPr>
            <w:tcW w:w="1134" w:type="dxa"/>
            <w:tcBorders>
              <w:top w:val="nil"/>
              <w:left w:val="single" w:sz="18" w:space="0" w:color="5F497A" w:themeColor="accent4" w:themeShade="BF"/>
              <w:bottom w:val="nil"/>
              <w:right w:val="nil"/>
            </w:tcBorders>
            <w:shd w:val="clear" w:color="auto" w:fill="auto"/>
            <w:vAlign w:val="bottom"/>
          </w:tcPr>
          <w:p w14:paraId="24DCC764" w14:textId="5D5DF1FD" w:rsidR="00566EA9" w:rsidRPr="001D41EA" w:rsidRDefault="00566EA9" w:rsidP="001D41EA">
            <w:pPr>
              <w:spacing w:before="40" w:after="40"/>
              <w:jc w:val="center"/>
              <w:rPr>
                <w:rFonts w:cs="Arial"/>
                <w:sz w:val="18"/>
                <w:szCs w:val="18"/>
              </w:rPr>
            </w:pPr>
            <w:r w:rsidRPr="001D41EA">
              <w:rPr>
                <w:rFonts w:cs="Arial"/>
                <w:sz w:val="18"/>
                <w:szCs w:val="18"/>
              </w:rPr>
              <w:t>0.918</w:t>
            </w:r>
          </w:p>
        </w:tc>
        <w:tc>
          <w:tcPr>
            <w:tcW w:w="1134" w:type="dxa"/>
            <w:tcBorders>
              <w:top w:val="nil"/>
              <w:left w:val="nil"/>
              <w:bottom w:val="nil"/>
              <w:right w:val="nil"/>
            </w:tcBorders>
            <w:vAlign w:val="bottom"/>
          </w:tcPr>
          <w:p w14:paraId="44DA10C2" w14:textId="7819595D" w:rsidR="00566EA9" w:rsidRPr="001D41EA" w:rsidRDefault="00566EA9" w:rsidP="001D41EA">
            <w:pPr>
              <w:spacing w:before="40" w:after="40"/>
              <w:jc w:val="center"/>
              <w:rPr>
                <w:rFonts w:cs="Arial"/>
                <w:sz w:val="18"/>
                <w:szCs w:val="18"/>
              </w:rPr>
            </w:pPr>
            <w:r w:rsidRPr="001D41EA">
              <w:rPr>
                <w:rFonts w:cs="Arial"/>
                <w:sz w:val="18"/>
                <w:szCs w:val="18"/>
              </w:rPr>
              <w:t>0.920</w:t>
            </w:r>
          </w:p>
        </w:tc>
        <w:tc>
          <w:tcPr>
            <w:tcW w:w="1134" w:type="dxa"/>
            <w:tcBorders>
              <w:top w:val="nil"/>
              <w:left w:val="nil"/>
              <w:bottom w:val="nil"/>
              <w:right w:val="nil"/>
            </w:tcBorders>
            <w:vAlign w:val="bottom"/>
          </w:tcPr>
          <w:p w14:paraId="2E736BA9" w14:textId="7F86388C" w:rsidR="00566EA9" w:rsidRPr="001D41EA" w:rsidRDefault="00566EA9" w:rsidP="001D41EA">
            <w:pPr>
              <w:spacing w:before="40" w:after="40"/>
              <w:jc w:val="center"/>
              <w:rPr>
                <w:rFonts w:cs="Arial"/>
                <w:sz w:val="18"/>
                <w:szCs w:val="18"/>
              </w:rPr>
            </w:pPr>
            <w:r w:rsidRPr="001D41EA">
              <w:rPr>
                <w:rFonts w:cs="Arial"/>
                <w:sz w:val="18"/>
                <w:szCs w:val="18"/>
              </w:rPr>
              <w:t>0.918</w:t>
            </w:r>
          </w:p>
        </w:tc>
        <w:tc>
          <w:tcPr>
            <w:tcW w:w="1134" w:type="dxa"/>
            <w:tcBorders>
              <w:top w:val="nil"/>
              <w:left w:val="nil"/>
              <w:bottom w:val="nil"/>
              <w:right w:val="nil"/>
            </w:tcBorders>
            <w:vAlign w:val="bottom"/>
          </w:tcPr>
          <w:p w14:paraId="7CC1BC9D" w14:textId="5B344520" w:rsidR="00566EA9" w:rsidRPr="001D41EA" w:rsidRDefault="00566EA9" w:rsidP="001D41EA">
            <w:pPr>
              <w:spacing w:before="40" w:after="40"/>
              <w:jc w:val="center"/>
              <w:rPr>
                <w:rFonts w:cs="Arial"/>
                <w:sz w:val="18"/>
                <w:szCs w:val="18"/>
              </w:rPr>
            </w:pPr>
            <w:r w:rsidRPr="001D41EA">
              <w:rPr>
                <w:rFonts w:cs="Arial"/>
                <w:sz w:val="18"/>
                <w:szCs w:val="18"/>
              </w:rPr>
              <w:t>0.907</w:t>
            </w:r>
          </w:p>
        </w:tc>
        <w:tc>
          <w:tcPr>
            <w:tcW w:w="170" w:type="dxa"/>
            <w:tcBorders>
              <w:top w:val="nil"/>
              <w:left w:val="nil"/>
              <w:bottom w:val="nil"/>
              <w:right w:val="nil"/>
            </w:tcBorders>
            <w:vAlign w:val="bottom"/>
          </w:tcPr>
          <w:p w14:paraId="2F6DC095" w14:textId="0987530E"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2081DD30" w14:textId="3D0684A5" w:rsidR="00566EA9" w:rsidRPr="001D41EA" w:rsidRDefault="00566EA9" w:rsidP="001D41EA">
            <w:pPr>
              <w:spacing w:before="40" w:after="4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310F31BC" w14:textId="3E1B7F17" w:rsidR="00566EA9" w:rsidRPr="001D41EA" w:rsidRDefault="00566EA9" w:rsidP="001D41EA">
            <w:pPr>
              <w:spacing w:before="40" w:after="40"/>
              <w:jc w:val="center"/>
              <w:rPr>
                <w:rFonts w:cs="Arial"/>
                <w:sz w:val="18"/>
                <w:szCs w:val="18"/>
              </w:rPr>
            </w:pPr>
            <w:r w:rsidRPr="001D41EA">
              <w:rPr>
                <w:rFonts w:cs="Arial"/>
                <w:sz w:val="18"/>
                <w:szCs w:val="18"/>
              </w:rPr>
              <w:t>0.908</w:t>
            </w:r>
          </w:p>
        </w:tc>
      </w:tr>
      <w:tr w:rsidR="00566EA9" w:rsidRPr="001D41EA" w14:paraId="4D226C5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B427406" w14:textId="77777777" w:rsidR="00566EA9" w:rsidRPr="001D41EA" w:rsidRDefault="00566EA9" w:rsidP="001D41EA">
            <w:pPr>
              <w:spacing w:before="40" w:after="40"/>
              <w:rPr>
                <w:rFonts w:cs="Arial"/>
                <w:sz w:val="18"/>
                <w:szCs w:val="18"/>
              </w:rPr>
            </w:pPr>
            <w:r w:rsidRPr="001D41EA">
              <w:rPr>
                <w:rFonts w:cs="Arial"/>
                <w:sz w:val="18"/>
                <w:szCs w:val="18"/>
              </w:rPr>
              <w:t>Glenelg S</w:t>
            </w:r>
          </w:p>
        </w:tc>
        <w:tc>
          <w:tcPr>
            <w:tcW w:w="1134" w:type="dxa"/>
            <w:tcBorders>
              <w:top w:val="nil"/>
              <w:left w:val="single" w:sz="18" w:space="0" w:color="5F497A" w:themeColor="accent4" w:themeShade="BF"/>
              <w:bottom w:val="nil"/>
              <w:right w:val="nil"/>
            </w:tcBorders>
            <w:shd w:val="clear" w:color="auto" w:fill="auto"/>
            <w:vAlign w:val="bottom"/>
          </w:tcPr>
          <w:p w14:paraId="1F69EB84" w14:textId="3FE76455" w:rsidR="00566EA9" w:rsidRPr="001D41EA" w:rsidRDefault="00566EA9" w:rsidP="001D41EA">
            <w:pPr>
              <w:spacing w:before="40" w:after="40"/>
              <w:jc w:val="center"/>
              <w:rPr>
                <w:rFonts w:cs="Arial"/>
                <w:sz w:val="18"/>
                <w:szCs w:val="18"/>
              </w:rPr>
            </w:pPr>
            <w:r w:rsidRPr="001D41EA">
              <w:rPr>
                <w:rFonts w:cs="Arial"/>
                <w:sz w:val="18"/>
                <w:szCs w:val="18"/>
              </w:rPr>
              <w:t>0.913</w:t>
            </w:r>
          </w:p>
        </w:tc>
        <w:tc>
          <w:tcPr>
            <w:tcW w:w="1134" w:type="dxa"/>
            <w:tcBorders>
              <w:top w:val="nil"/>
              <w:left w:val="nil"/>
              <w:bottom w:val="nil"/>
              <w:right w:val="nil"/>
            </w:tcBorders>
            <w:vAlign w:val="bottom"/>
          </w:tcPr>
          <w:p w14:paraId="3D7CD88E" w14:textId="2B00D597" w:rsidR="00566EA9" w:rsidRPr="001D41EA" w:rsidRDefault="00566EA9" w:rsidP="001D41EA">
            <w:pPr>
              <w:spacing w:before="40" w:after="40"/>
              <w:jc w:val="center"/>
              <w:rPr>
                <w:rFonts w:cs="Arial"/>
                <w:sz w:val="18"/>
                <w:szCs w:val="18"/>
              </w:rPr>
            </w:pPr>
            <w:r w:rsidRPr="001D41EA">
              <w:rPr>
                <w:rFonts w:cs="Arial"/>
                <w:sz w:val="18"/>
                <w:szCs w:val="18"/>
              </w:rPr>
              <w:t>0.915</w:t>
            </w:r>
          </w:p>
        </w:tc>
        <w:tc>
          <w:tcPr>
            <w:tcW w:w="1134" w:type="dxa"/>
            <w:tcBorders>
              <w:top w:val="nil"/>
              <w:left w:val="nil"/>
              <w:bottom w:val="nil"/>
              <w:right w:val="nil"/>
            </w:tcBorders>
            <w:vAlign w:val="bottom"/>
          </w:tcPr>
          <w:p w14:paraId="21F05D22" w14:textId="5A0ECAFC" w:rsidR="00566EA9" w:rsidRPr="001D41EA" w:rsidRDefault="00566EA9" w:rsidP="001D41EA">
            <w:pPr>
              <w:spacing w:before="40" w:after="40"/>
              <w:jc w:val="center"/>
              <w:rPr>
                <w:rFonts w:cs="Arial"/>
                <w:sz w:val="18"/>
                <w:szCs w:val="18"/>
              </w:rPr>
            </w:pPr>
            <w:r w:rsidRPr="001D41EA">
              <w:rPr>
                <w:rFonts w:cs="Arial"/>
                <w:sz w:val="18"/>
                <w:szCs w:val="18"/>
              </w:rPr>
              <w:t>0.913</w:t>
            </w:r>
          </w:p>
        </w:tc>
        <w:tc>
          <w:tcPr>
            <w:tcW w:w="1134" w:type="dxa"/>
            <w:tcBorders>
              <w:top w:val="nil"/>
              <w:left w:val="nil"/>
              <w:bottom w:val="nil"/>
              <w:right w:val="nil"/>
            </w:tcBorders>
            <w:vAlign w:val="bottom"/>
          </w:tcPr>
          <w:p w14:paraId="798CA2DD" w14:textId="048E0A2E" w:rsidR="00566EA9" w:rsidRPr="001D41EA" w:rsidRDefault="00566EA9" w:rsidP="001D41EA">
            <w:pPr>
              <w:spacing w:before="40" w:after="40"/>
              <w:jc w:val="center"/>
              <w:rPr>
                <w:rFonts w:cs="Arial"/>
                <w:sz w:val="18"/>
                <w:szCs w:val="18"/>
              </w:rPr>
            </w:pPr>
            <w:r w:rsidRPr="001D41EA">
              <w:rPr>
                <w:rFonts w:cs="Arial"/>
                <w:sz w:val="18"/>
                <w:szCs w:val="18"/>
              </w:rPr>
              <w:t>0.902</w:t>
            </w:r>
          </w:p>
        </w:tc>
        <w:tc>
          <w:tcPr>
            <w:tcW w:w="170" w:type="dxa"/>
            <w:tcBorders>
              <w:top w:val="nil"/>
              <w:left w:val="nil"/>
              <w:bottom w:val="nil"/>
              <w:right w:val="nil"/>
            </w:tcBorders>
            <w:vAlign w:val="bottom"/>
          </w:tcPr>
          <w:p w14:paraId="2350EBFA" w14:textId="2789EFD1"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72799AAD" w14:textId="4056B8DC" w:rsidR="00566EA9" w:rsidRPr="001D41EA" w:rsidRDefault="00566EA9" w:rsidP="001D41EA">
            <w:pPr>
              <w:spacing w:before="40" w:after="40"/>
              <w:jc w:val="center"/>
              <w:rPr>
                <w:rFonts w:cs="Arial"/>
                <w:sz w:val="18"/>
                <w:szCs w:val="18"/>
              </w:rPr>
            </w:pPr>
            <w:r w:rsidRPr="001D41EA">
              <w:rPr>
                <w:rFonts w:cs="Arial"/>
                <w:sz w:val="18"/>
                <w:szCs w:val="18"/>
              </w:rPr>
              <w:t>1.461</w:t>
            </w:r>
          </w:p>
        </w:tc>
        <w:tc>
          <w:tcPr>
            <w:tcW w:w="1134" w:type="dxa"/>
            <w:tcBorders>
              <w:top w:val="nil"/>
              <w:left w:val="nil"/>
              <w:bottom w:val="nil"/>
              <w:right w:val="nil"/>
            </w:tcBorders>
            <w:shd w:val="clear" w:color="auto" w:fill="auto"/>
            <w:vAlign w:val="bottom"/>
          </w:tcPr>
          <w:p w14:paraId="3E2FDC47" w14:textId="59FEADBB" w:rsidR="00566EA9" w:rsidRPr="001D41EA" w:rsidRDefault="00566EA9" w:rsidP="001D41EA">
            <w:pPr>
              <w:spacing w:before="40" w:after="40"/>
              <w:jc w:val="center"/>
              <w:rPr>
                <w:rFonts w:cs="Arial"/>
                <w:sz w:val="18"/>
                <w:szCs w:val="18"/>
              </w:rPr>
            </w:pPr>
            <w:r w:rsidRPr="001D41EA">
              <w:rPr>
                <w:rFonts w:cs="Arial"/>
                <w:sz w:val="18"/>
                <w:szCs w:val="18"/>
              </w:rPr>
              <w:t>1.453</w:t>
            </w:r>
          </w:p>
        </w:tc>
      </w:tr>
      <w:tr w:rsidR="00566EA9" w:rsidRPr="001D41EA" w14:paraId="3E32340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CA2B8DE" w14:textId="77777777" w:rsidR="00566EA9" w:rsidRPr="001D41EA" w:rsidRDefault="00566EA9" w:rsidP="001D41EA">
            <w:pPr>
              <w:spacing w:before="40" w:after="40"/>
              <w:rPr>
                <w:rFonts w:cs="Arial"/>
                <w:sz w:val="18"/>
                <w:szCs w:val="18"/>
              </w:rPr>
            </w:pPr>
            <w:r w:rsidRPr="001D41EA">
              <w:rPr>
                <w:rFonts w:cs="Arial"/>
                <w:sz w:val="18"/>
                <w:szCs w:val="18"/>
              </w:rPr>
              <w:t>Golden Plains S</w:t>
            </w:r>
          </w:p>
        </w:tc>
        <w:tc>
          <w:tcPr>
            <w:tcW w:w="1134" w:type="dxa"/>
            <w:tcBorders>
              <w:top w:val="nil"/>
              <w:left w:val="single" w:sz="18" w:space="0" w:color="5F497A" w:themeColor="accent4" w:themeShade="BF"/>
              <w:bottom w:val="nil"/>
              <w:right w:val="nil"/>
            </w:tcBorders>
            <w:shd w:val="clear" w:color="auto" w:fill="auto"/>
            <w:vAlign w:val="bottom"/>
          </w:tcPr>
          <w:p w14:paraId="499AFB22" w14:textId="1A5BC8A9" w:rsidR="00566EA9" w:rsidRPr="001D41EA" w:rsidRDefault="00566EA9" w:rsidP="001D41EA">
            <w:pPr>
              <w:spacing w:before="40" w:after="40"/>
              <w:jc w:val="center"/>
              <w:rPr>
                <w:rFonts w:cs="Arial"/>
                <w:sz w:val="18"/>
                <w:szCs w:val="18"/>
              </w:rPr>
            </w:pPr>
            <w:r w:rsidRPr="001D41EA">
              <w:rPr>
                <w:rFonts w:cs="Arial"/>
                <w:sz w:val="18"/>
                <w:szCs w:val="18"/>
              </w:rPr>
              <w:t>0.665</w:t>
            </w:r>
          </w:p>
        </w:tc>
        <w:tc>
          <w:tcPr>
            <w:tcW w:w="1134" w:type="dxa"/>
            <w:tcBorders>
              <w:top w:val="nil"/>
              <w:left w:val="nil"/>
              <w:bottom w:val="nil"/>
              <w:right w:val="nil"/>
            </w:tcBorders>
            <w:vAlign w:val="bottom"/>
          </w:tcPr>
          <w:p w14:paraId="59A12310" w14:textId="4E2DBA2F" w:rsidR="00566EA9" w:rsidRPr="001D41EA" w:rsidRDefault="00566EA9" w:rsidP="001D41EA">
            <w:pPr>
              <w:spacing w:before="40" w:after="40"/>
              <w:jc w:val="center"/>
              <w:rPr>
                <w:rFonts w:cs="Arial"/>
                <w:sz w:val="18"/>
                <w:szCs w:val="18"/>
              </w:rPr>
            </w:pPr>
            <w:r w:rsidRPr="001D41EA">
              <w:rPr>
                <w:rFonts w:cs="Arial"/>
                <w:sz w:val="18"/>
                <w:szCs w:val="18"/>
              </w:rPr>
              <w:t>0.666</w:t>
            </w:r>
          </w:p>
        </w:tc>
        <w:tc>
          <w:tcPr>
            <w:tcW w:w="1134" w:type="dxa"/>
            <w:tcBorders>
              <w:top w:val="nil"/>
              <w:left w:val="nil"/>
              <w:bottom w:val="nil"/>
              <w:right w:val="nil"/>
            </w:tcBorders>
            <w:vAlign w:val="bottom"/>
          </w:tcPr>
          <w:p w14:paraId="13860AEA" w14:textId="4B4C7F28" w:rsidR="00566EA9" w:rsidRPr="001D41EA" w:rsidRDefault="00566EA9" w:rsidP="001D41EA">
            <w:pPr>
              <w:spacing w:before="40" w:after="40"/>
              <w:jc w:val="center"/>
              <w:rPr>
                <w:rFonts w:cs="Arial"/>
                <w:sz w:val="18"/>
                <w:szCs w:val="18"/>
              </w:rPr>
            </w:pPr>
            <w:r w:rsidRPr="001D41EA">
              <w:rPr>
                <w:rFonts w:cs="Arial"/>
                <w:sz w:val="18"/>
                <w:szCs w:val="18"/>
              </w:rPr>
              <w:t>0.665</w:t>
            </w:r>
          </w:p>
        </w:tc>
        <w:tc>
          <w:tcPr>
            <w:tcW w:w="1134" w:type="dxa"/>
            <w:tcBorders>
              <w:top w:val="nil"/>
              <w:left w:val="nil"/>
              <w:bottom w:val="nil"/>
              <w:right w:val="nil"/>
            </w:tcBorders>
            <w:vAlign w:val="bottom"/>
          </w:tcPr>
          <w:p w14:paraId="15CB033E" w14:textId="50B6F274" w:rsidR="00566EA9" w:rsidRPr="001D41EA" w:rsidRDefault="00566EA9" w:rsidP="001D41EA">
            <w:pPr>
              <w:spacing w:before="40" w:after="40"/>
              <w:jc w:val="center"/>
              <w:rPr>
                <w:rFonts w:cs="Arial"/>
                <w:sz w:val="18"/>
                <w:szCs w:val="18"/>
              </w:rPr>
            </w:pPr>
            <w:r w:rsidRPr="001D41EA">
              <w:rPr>
                <w:rFonts w:cs="Arial"/>
                <w:sz w:val="18"/>
                <w:szCs w:val="18"/>
              </w:rPr>
              <w:t>0.656</w:t>
            </w:r>
          </w:p>
        </w:tc>
        <w:tc>
          <w:tcPr>
            <w:tcW w:w="170" w:type="dxa"/>
            <w:tcBorders>
              <w:top w:val="nil"/>
              <w:left w:val="nil"/>
              <w:bottom w:val="nil"/>
              <w:right w:val="nil"/>
            </w:tcBorders>
            <w:vAlign w:val="bottom"/>
          </w:tcPr>
          <w:p w14:paraId="2848209D" w14:textId="71C1F373"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7217FEA0" w14:textId="713AD479" w:rsidR="00566EA9" w:rsidRPr="001D41EA" w:rsidRDefault="00566EA9" w:rsidP="001D41EA">
            <w:pPr>
              <w:spacing w:before="40" w:after="40"/>
              <w:jc w:val="center"/>
              <w:rPr>
                <w:rFonts w:cs="Arial"/>
                <w:sz w:val="18"/>
                <w:szCs w:val="18"/>
              </w:rPr>
            </w:pPr>
            <w:r w:rsidRPr="001D41EA">
              <w:rPr>
                <w:rFonts w:cs="Arial"/>
                <w:sz w:val="18"/>
                <w:szCs w:val="18"/>
              </w:rPr>
              <w:t>1.123</w:t>
            </w:r>
          </w:p>
        </w:tc>
        <w:tc>
          <w:tcPr>
            <w:tcW w:w="1134" w:type="dxa"/>
            <w:tcBorders>
              <w:top w:val="nil"/>
              <w:left w:val="nil"/>
              <w:bottom w:val="nil"/>
              <w:right w:val="nil"/>
            </w:tcBorders>
            <w:shd w:val="clear" w:color="auto" w:fill="auto"/>
            <w:vAlign w:val="bottom"/>
          </w:tcPr>
          <w:p w14:paraId="1D9026EE" w14:textId="78F61453" w:rsidR="00566EA9" w:rsidRPr="001D41EA" w:rsidRDefault="00566EA9" w:rsidP="001D41EA">
            <w:pPr>
              <w:spacing w:before="40" w:after="40"/>
              <w:jc w:val="center"/>
              <w:rPr>
                <w:rFonts w:cs="Arial"/>
                <w:sz w:val="18"/>
                <w:szCs w:val="18"/>
              </w:rPr>
            </w:pPr>
            <w:r w:rsidRPr="001D41EA">
              <w:rPr>
                <w:rFonts w:cs="Arial"/>
                <w:sz w:val="18"/>
                <w:szCs w:val="18"/>
              </w:rPr>
              <w:t>1.117</w:t>
            </w:r>
          </w:p>
        </w:tc>
      </w:tr>
      <w:tr w:rsidR="00566EA9" w:rsidRPr="001D41EA" w14:paraId="7E4BD88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702D9E5" w14:textId="77777777" w:rsidR="00566EA9" w:rsidRPr="001D41EA" w:rsidRDefault="00566EA9" w:rsidP="001D41EA">
            <w:pPr>
              <w:spacing w:before="40" w:after="40"/>
              <w:rPr>
                <w:rFonts w:cs="Arial"/>
                <w:sz w:val="18"/>
                <w:szCs w:val="18"/>
              </w:rPr>
            </w:pPr>
            <w:r w:rsidRPr="001D41EA">
              <w:rPr>
                <w:rFonts w:cs="Arial"/>
                <w:sz w:val="18"/>
                <w:szCs w:val="18"/>
              </w:rPr>
              <w:t>Greater Bendigo C</w:t>
            </w:r>
          </w:p>
        </w:tc>
        <w:tc>
          <w:tcPr>
            <w:tcW w:w="1134" w:type="dxa"/>
            <w:tcBorders>
              <w:top w:val="nil"/>
              <w:left w:val="single" w:sz="18" w:space="0" w:color="5F497A" w:themeColor="accent4" w:themeShade="BF"/>
              <w:bottom w:val="nil"/>
              <w:right w:val="nil"/>
            </w:tcBorders>
            <w:shd w:val="clear" w:color="auto" w:fill="auto"/>
            <w:vAlign w:val="bottom"/>
          </w:tcPr>
          <w:p w14:paraId="336DE881" w14:textId="1376A36D" w:rsidR="00566EA9" w:rsidRPr="001D41EA" w:rsidRDefault="00566EA9" w:rsidP="001D41EA">
            <w:pPr>
              <w:spacing w:before="40" w:after="40"/>
              <w:jc w:val="center"/>
              <w:rPr>
                <w:rFonts w:cs="Arial"/>
                <w:sz w:val="18"/>
                <w:szCs w:val="18"/>
              </w:rPr>
            </w:pPr>
            <w:r w:rsidRPr="001D41EA">
              <w:rPr>
                <w:rFonts w:cs="Arial"/>
                <w:sz w:val="18"/>
                <w:szCs w:val="18"/>
              </w:rPr>
              <w:t>1.329</w:t>
            </w:r>
          </w:p>
        </w:tc>
        <w:tc>
          <w:tcPr>
            <w:tcW w:w="1134" w:type="dxa"/>
            <w:tcBorders>
              <w:top w:val="nil"/>
              <w:left w:val="nil"/>
              <w:bottom w:val="nil"/>
              <w:right w:val="nil"/>
            </w:tcBorders>
            <w:vAlign w:val="bottom"/>
          </w:tcPr>
          <w:p w14:paraId="1A7D6D30" w14:textId="49683608" w:rsidR="00566EA9" w:rsidRPr="001D41EA" w:rsidRDefault="00566EA9" w:rsidP="001D41EA">
            <w:pPr>
              <w:spacing w:before="40" w:after="40"/>
              <w:jc w:val="center"/>
              <w:rPr>
                <w:rFonts w:cs="Arial"/>
                <w:sz w:val="18"/>
                <w:szCs w:val="18"/>
              </w:rPr>
            </w:pPr>
            <w:r w:rsidRPr="001D41EA">
              <w:rPr>
                <w:rFonts w:cs="Arial"/>
                <w:sz w:val="18"/>
                <w:szCs w:val="18"/>
              </w:rPr>
              <w:t>1.332</w:t>
            </w:r>
          </w:p>
        </w:tc>
        <w:tc>
          <w:tcPr>
            <w:tcW w:w="1134" w:type="dxa"/>
            <w:tcBorders>
              <w:top w:val="nil"/>
              <w:left w:val="nil"/>
              <w:bottom w:val="nil"/>
              <w:right w:val="nil"/>
            </w:tcBorders>
            <w:vAlign w:val="bottom"/>
          </w:tcPr>
          <w:p w14:paraId="5184FC7A" w14:textId="3DEDBBE8" w:rsidR="00566EA9" w:rsidRPr="001D41EA" w:rsidRDefault="00566EA9" w:rsidP="001D41EA">
            <w:pPr>
              <w:spacing w:before="40" w:after="40"/>
              <w:jc w:val="center"/>
              <w:rPr>
                <w:rFonts w:cs="Arial"/>
                <w:sz w:val="18"/>
                <w:szCs w:val="18"/>
              </w:rPr>
            </w:pPr>
            <w:r w:rsidRPr="001D41EA">
              <w:rPr>
                <w:rFonts w:cs="Arial"/>
                <w:sz w:val="18"/>
                <w:szCs w:val="18"/>
              </w:rPr>
              <w:t>1.330</w:t>
            </w:r>
          </w:p>
        </w:tc>
        <w:tc>
          <w:tcPr>
            <w:tcW w:w="1134" w:type="dxa"/>
            <w:tcBorders>
              <w:top w:val="nil"/>
              <w:left w:val="nil"/>
              <w:bottom w:val="nil"/>
              <w:right w:val="nil"/>
            </w:tcBorders>
            <w:vAlign w:val="bottom"/>
          </w:tcPr>
          <w:p w14:paraId="58D2997C" w14:textId="644E7571" w:rsidR="00566EA9" w:rsidRPr="001D41EA" w:rsidRDefault="00566EA9" w:rsidP="001D41EA">
            <w:pPr>
              <w:spacing w:before="40" w:after="40"/>
              <w:jc w:val="center"/>
              <w:rPr>
                <w:rFonts w:cs="Arial"/>
                <w:sz w:val="18"/>
                <w:szCs w:val="18"/>
              </w:rPr>
            </w:pPr>
            <w:r w:rsidRPr="001D41EA">
              <w:rPr>
                <w:rFonts w:cs="Arial"/>
                <w:sz w:val="18"/>
                <w:szCs w:val="18"/>
              </w:rPr>
              <w:t>1.313</w:t>
            </w:r>
          </w:p>
        </w:tc>
        <w:tc>
          <w:tcPr>
            <w:tcW w:w="170" w:type="dxa"/>
            <w:tcBorders>
              <w:top w:val="nil"/>
              <w:left w:val="nil"/>
              <w:bottom w:val="nil"/>
              <w:right w:val="nil"/>
            </w:tcBorders>
            <w:vAlign w:val="bottom"/>
          </w:tcPr>
          <w:p w14:paraId="22571C17" w14:textId="38A56A67"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2DD635E" w14:textId="5BE787C3" w:rsidR="00566EA9" w:rsidRPr="001D41EA" w:rsidRDefault="00566EA9" w:rsidP="001D41EA">
            <w:pPr>
              <w:spacing w:before="40" w:after="40"/>
              <w:jc w:val="center"/>
              <w:rPr>
                <w:rFonts w:cs="Arial"/>
                <w:sz w:val="18"/>
                <w:szCs w:val="18"/>
              </w:rPr>
            </w:pPr>
            <w:r w:rsidRPr="001D41EA">
              <w:rPr>
                <w:rFonts w:cs="Arial"/>
                <w:sz w:val="18"/>
                <w:szCs w:val="18"/>
              </w:rPr>
              <w:t>1.066</w:t>
            </w:r>
          </w:p>
        </w:tc>
        <w:tc>
          <w:tcPr>
            <w:tcW w:w="1134" w:type="dxa"/>
            <w:tcBorders>
              <w:top w:val="nil"/>
              <w:left w:val="nil"/>
              <w:bottom w:val="nil"/>
              <w:right w:val="nil"/>
            </w:tcBorders>
            <w:shd w:val="clear" w:color="auto" w:fill="auto"/>
            <w:vAlign w:val="bottom"/>
          </w:tcPr>
          <w:p w14:paraId="0239CBCB" w14:textId="5C503521" w:rsidR="00566EA9" w:rsidRPr="001D41EA" w:rsidRDefault="00566EA9" w:rsidP="001D41EA">
            <w:pPr>
              <w:spacing w:before="40" w:after="40"/>
              <w:jc w:val="center"/>
              <w:rPr>
                <w:rFonts w:cs="Arial"/>
                <w:sz w:val="18"/>
                <w:szCs w:val="18"/>
              </w:rPr>
            </w:pPr>
            <w:r w:rsidRPr="001D41EA">
              <w:rPr>
                <w:rFonts w:cs="Arial"/>
                <w:sz w:val="18"/>
                <w:szCs w:val="18"/>
              </w:rPr>
              <w:t>1.060</w:t>
            </w:r>
          </w:p>
        </w:tc>
      </w:tr>
      <w:tr w:rsidR="00566EA9" w:rsidRPr="001D41EA" w14:paraId="179AA68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EBEA335" w14:textId="77777777" w:rsidR="00566EA9" w:rsidRPr="001D41EA" w:rsidRDefault="00566EA9" w:rsidP="001D41EA">
            <w:pPr>
              <w:spacing w:before="40" w:after="40"/>
              <w:rPr>
                <w:rFonts w:cs="Arial"/>
                <w:sz w:val="18"/>
                <w:szCs w:val="18"/>
              </w:rPr>
            </w:pPr>
            <w:r w:rsidRPr="001D41EA">
              <w:rPr>
                <w:rFonts w:cs="Arial"/>
                <w:sz w:val="18"/>
                <w:szCs w:val="18"/>
              </w:rPr>
              <w:t>Greater Dandenong C</w:t>
            </w:r>
          </w:p>
        </w:tc>
        <w:tc>
          <w:tcPr>
            <w:tcW w:w="1134" w:type="dxa"/>
            <w:tcBorders>
              <w:top w:val="nil"/>
              <w:left w:val="single" w:sz="18" w:space="0" w:color="5F497A" w:themeColor="accent4" w:themeShade="BF"/>
              <w:bottom w:val="nil"/>
              <w:right w:val="nil"/>
            </w:tcBorders>
            <w:shd w:val="clear" w:color="auto" w:fill="auto"/>
            <w:vAlign w:val="bottom"/>
          </w:tcPr>
          <w:p w14:paraId="3287F74E" w14:textId="0C132568" w:rsidR="00566EA9" w:rsidRPr="001D41EA" w:rsidRDefault="00566EA9" w:rsidP="001D41EA">
            <w:pPr>
              <w:spacing w:before="40" w:after="40"/>
              <w:jc w:val="center"/>
              <w:rPr>
                <w:rFonts w:cs="Arial"/>
                <w:sz w:val="18"/>
                <w:szCs w:val="18"/>
              </w:rPr>
            </w:pPr>
            <w:r w:rsidRPr="001D41EA">
              <w:rPr>
                <w:rFonts w:cs="Arial"/>
                <w:sz w:val="18"/>
                <w:szCs w:val="18"/>
              </w:rPr>
              <w:t>1.082</w:t>
            </w:r>
          </w:p>
        </w:tc>
        <w:tc>
          <w:tcPr>
            <w:tcW w:w="1134" w:type="dxa"/>
            <w:tcBorders>
              <w:top w:val="nil"/>
              <w:left w:val="nil"/>
              <w:bottom w:val="nil"/>
              <w:right w:val="nil"/>
            </w:tcBorders>
            <w:vAlign w:val="bottom"/>
          </w:tcPr>
          <w:p w14:paraId="25273704" w14:textId="558EC845" w:rsidR="00566EA9" w:rsidRPr="001D41EA" w:rsidRDefault="00566EA9" w:rsidP="001D41EA">
            <w:pPr>
              <w:spacing w:before="40" w:after="40"/>
              <w:jc w:val="center"/>
              <w:rPr>
                <w:rFonts w:cs="Arial"/>
                <w:sz w:val="18"/>
                <w:szCs w:val="18"/>
              </w:rPr>
            </w:pPr>
            <w:r w:rsidRPr="001D41EA">
              <w:rPr>
                <w:rFonts w:cs="Arial"/>
                <w:sz w:val="18"/>
                <w:szCs w:val="18"/>
              </w:rPr>
              <w:t>1.084</w:t>
            </w:r>
          </w:p>
        </w:tc>
        <w:tc>
          <w:tcPr>
            <w:tcW w:w="1134" w:type="dxa"/>
            <w:tcBorders>
              <w:top w:val="nil"/>
              <w:left w:val="nil"/>
              <w:bottom w:val="nil"/>
              <w:right w:val="nil"/>
            </w:tcBorders>
            <w:vAlign w:val="bottom"/>
          </w:tcPr>
          <w:p w14:paraId="4A624FDB" w14:textId="61A5CF76" w:rsidR="00566EA9" w:rsidRPr="001D41EA" w:rsidRDefault="00566EA9" w:rsidP="001D41EA">
            <w:pPr>
              <w:spacing w:before="40" w:after="40"/>
              <w:jc w:val="center"/>
              <w:rPr>
                <w:rFonts w:cs="Arial"/>
                <w:sz w:val="18"/>
                <w:szCs w:val="18"/>
              </w:rPr>
            </w:pPr>
            <w:r w:rsidRPr="001D41EA">
              <w:rPr>
                <w:rFonts w:cs="Arial"/>
                <w:sz w:val="18"/>
                <w:szCs w:val="18"/>
              </w:rPr>
              <w:t>1.082</w:t>
            </w:r>
          </w:p>
        </w:tc>
        <w:tc>
          <w:tcPr>
            <w:tcW w:w="1134" w:type="dxa"/>
            <w:tcBorders>
              <w:top w:val="nil"/>
              <w:left w:val="nil"/>
              <w:bottom w:val="nil"/>
              <w:right w:val="nil"/>
            </w:tcBorders>
            <w:vAlign w:val="bottom"/>
          </w:tcPr>
          <w:p w14:paraId="6C765976" w14:textId="3114DE40" w:rsidR="00566EA9" w:rsidRPr="001D41EA" w:rsidRDefault="00566EA9" w:rsidP="001D41EA">
            <w:pPr>
              <w:spacing w:before="40" w:after="40"/>
              <w:jc w:val="center"/>
              <w:rPr>
                <w:rFonts w:cs="Arial"/>
                <w:sz w:val="18"/>
                <w:szCs w:val="18"/>
              </w:rPr>
            </w:pPr>
            <w:r w:rsidRPr="001D41EA">
              <w:rPr>
                <w:rFonts w:cs="Arial"/>
                <w:sz w:val="18"/>
                <w:szCs w:val="18"/>
              </w:rPr>
              <w:t>1.069</w:t>
            </w:r>
          </w:p>
        </w:tc>
        <w:tc>
          <w:tcPr>
            <w:tcW w:w="170" w:type="dxa"/>
            <w:tcBorders>
              <w:top w:val="nil"/>
              <w:left w:val="nil"/>
              <w:bottom w:val="nil"/>
              <w:right w:val="nil"/>
            </w:tcBorders>
            <w:vAlign w:val="bottom"/>
          </w:tcPr>
          <w:p w14:paraId="1352E8E0" w14:textId="3CEFD35A"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6EBC8727" w14:textId="57883E95" w:rsidR="00566EA9" w:rsidRPr="001D41EA" w:rsidRDefault="00566EA9" w:rsidP="001D41EA">
            <w:pPr>
              <w:spacing w:before="40" w:after="4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5199E2B2" w14:textId="20D5BB9D" w:rsidR="00566EA9" w:rsidRPr="001D41EA" w:rsidRDefault="00566EA9" w:rsidP="001D41EA">
            <w:pPr>
              <w:spacing w:before="40" w:after="40"/>
              <w:jc w:val="center"/>
              <w:rPr>
                <w:rFonts w:cs="Arial"/>
                <w:sz w:val="18"/>
                <w:szCs w:val="18"/>
              </w:rPr>
            </w:pPr>
            <w:r w:rsidRPr="001D41EA">
              <w:rPr>
                <w:rFonts w:cs="Arial"/>
                <w:sz w:val="18"/>
                <w:szCs w:val="18"/>
              </w:rPr>
              <w:t>0.908</w:t>
            </w:r>
          </w:p>
        </w:tc>
      </w:tr>
      <w:tr w:rsidR="00566EA9" w:rsidRPr="001D41EA" w14:paraId="49E3AD9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2F23C31" w14:textId="77777777" w:rsidR="00566EA9" w:rsidRPr="001D41EA" w:rsidRDefault="00566EA9" w:rsidP="001D41EA">
            <w:pPr>
              <w:spacing w:before="40" w:after="40"/>
              <w:rPr>
                <w:rFonts w:cs="Arial"/>
                <w:sz w:val="18"/>
                <w:szCs w:val="18"/>
              </w:rPr>
            </w:pPr>
            <w:r w:rsidRPr="001D41EA">
              <w:rPr>
                <w:rFonts w:cs="Arial"/>
                <w:sz w:val="18"/>
                <w:szCs w:val="18"/>
              </w:rPr>
              <w:t>Greater Geelong C</w:t>
            </w:r>
          </w:p>
        </w:tc>
        <w:tc>
          <w:tcPr>
            <w:tcW w:w="1134" w:type="dxa"/>
            <w:tcBorders>
              <w:top w:val="nil"/>
              <w:left w:val="single" w:sz="18" w:space="0" w:color="5F497A" w:themeColor="accent4" w:themeShade="BF"/>
              <w:bottom w:val="nil"/>
              <w:right w:val="nil"/>
            </w:tcBorders>
            <w:shd w:val="clear" w:color="auto" w:fill="auto"/>
            <w:vAlign w:val="bottom"/>
          </w:tcPr>
          <w:p w14:paraId="41FBE66A" w14:textId="428B3593" w:rsidR="00566EA9" w:rsidRPr="001D41EA" w:rsidRDefault="00566EA9" w:rsidP="001D41EA">
            <w:pPr>
              <w:spacing w:before="40" w:after="40"/>
              <w:jc w:val="center"/>
              <w:rPr>
                <w:rFonts w:cs="Arial"/>
                <w:sz w:val="18"/>
                <w:szCs w:val="18"/>
              </w:rPr>
            </w:pPr>
            <w:r w:rsidRPr="001D41EA">
              <w:rPr>
                <w:rFonts w:cs="Arial"/>
                <w:sz w:val="18"/>
                <w:szCs w:val="18"/>
              </w:rPr>
              <w:t>1.329</w:t>
            </w:r>
          </w:p>
        </w:tc>
        <w:tc>
          <w:tcPr>
            <w:tcW w:w="1134" w:type="dxa"/>
            <w:tcBorders>
              <w:top w:val="nil"/>
              <w:left w:val="nil"/>
              <w:bottom w:val="nil"/>
              <w:right w:val="nil"/>
            </w:tcBorders>
            <w:vAlign w:val="bottom"/>
          </w:tcPr>
          <w:p w14:paraId="77C33657" w14:textId="71932370" w:rsidR="00566EA9" w:rsidRPr="001D41EA" w:rsidRDefault="00566EA9" w:rsidP="001D41EA">
            <w:pPr>
              <w:spacing w:before="40" w:after="40"/>
              <w:jc w:val="center"/>
              <w:rPr>
                <w:rFonts w:cs="Arial"/>
                <w:sz w:val="18"/>
                <w:szCs w:val="18"/>
              </w:rPr>
            </w:pPr>
            <w:r w:rsidRPr="001D41EA">
              <w:rPr>
                <w:rFonts w:cs="Arial"/>
                <w:sz w:val="18"/>
                <w:szCs w:val="18"/>
              </w:rPr>
              <w:t>1.332</w:t>
            </w:r>
          </w:p>
        </w:tc>
        <w:tc>
          <w:tcPr>
            <w:tcW w:w="1134" w:type="dxa"/>
            <w:tcBorders>
              <w:top w:val="nil"/>
              <w:left w:val="nil"/>
              <w:bottom w:val="nil"/>
              <w:right w:val="nil"/>
            </w:tcBorders>
            <w:vAlign w:val="bottom"/>
          </w:tcPr>
          <w:p w14:paraId="2F67376B" w14:textId="34C37421" w:rsidR="00566EA9" w:rsidRPr="001D41EA" w:rsidRDefault="00566EA9" w:rsidP="001D41EA">
            <w:pPr>
              <w:spacing w:before="40" w:after="40"/>
              <w:jc w:val="center"/>
              <w:rPr>
                <w:rFonts w:cs="Arial"/>
                <w:sz w:val="18"/>
                <w:szCs w:val="18"/>
              </w:rPr>
            </w:pPr>
            <w:r w:rsidRPr="001D41EA">
              <w:rPr>
                <w:rFonts w:cs="Arial"/>
                <w:sz w:val="18"/>
                <w:szCs w:val="18"/>
              </w:rPr>
              <w:t>1.330</w:t>
            </w:r>
          </w:p>
        </w:tc>
        <w:tc>
          <w:tcPr>
            <w:tcW w:w="1134" w:type="dxa"/>
            <w:tcBorders>
              <w:top w:val="nil"/>
              <w:left w:val="nil"/>
              <w:bottom w:val="nil"/>
              <w:right w:val="nil"/>
            </w:tcBorders>
            <w:vAlign w:val="bottom"/>
          </w:tcPr>
          <w:p w14:paraId="17088C89" w14:textId="494AD3F4" w:rsidR="00566EA9" w:rsidRPr="001D41EA" w:rsidRDefault="00566EA9" w:rsidP="001D41EA">
            <w:pPr>
              <w:spacing w:before="40" w:after="40"/>
              <w:jc w:val="center"/>
              <w:rPr>
                <w:rFonts w:cs="Arial"/>
                <w:sz w:val="18"/>
                <w:szCs w:val="18"/>
              </w:rPr>
            </w:pPr>
            <w:r w:rsidRPr="001D41EA">
              <w:rPr>
                <w:rFonts w:cs="Arial"/>
                <w:sz w:val="18"/>
                <w:szCs w:val="18"/>
              </w:rPr>
              <w:t>1.313</w:t>
            </w:r>
          </w:p>
        </w:tc>
        <w:tc>
          <w:tcPr>
            <w:tcW w:w="170" w:type="dxa"/>
            <w:tcBorders>
              <w:top w:val="nil"/>
              <w:left w:val="nil"/>
              <w:bottom w:val="nil"/>
              <w:right w:val="nil"/>
            </w:tcBorders>
            <w:vAlign w:val="bottom"/>
          </w:tcPr>
          <w:p w14:paraId="3E043105" w14:textId="578BE6AE"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41D97112" w14:textId="09947F01" w:rsidR="00566EA9" w:rsidRPr="001D41EA" w:rsidRDefault="00566EA9" w:rsidP="001D41EA">
            <w:pPr>
              <w:spacing w:before="40" w:after="40"/>
              <w:jc w:val="center"/>
              <w:rPr>
                <w:rFonts w:cs="Arial"/>
                <w:sz w:val="18"/>
                <w:szCs w:val="18"/>
              </w:rPr>
            </w:pPr>
            <w:r w:rsidRPr="001D41EA">
              <w:rPr>
                <w:rFonts w:cs="Arial"/>
                <w:sz w:val="18"/>
                <w:szCs w:val="18"/>
              </w:rPr>
              <w:t>0.983</w:t>
            </w:r>
          </w:p>
        </w:tc>
        <w:tc>
          <w:tcPr>
            <w:tcW w:w="1134" w:type="dxa"/>
            <w:tcBorders>
              <w:top w:val="nil"/>
              <w:left w:val="nil"/>
              <w:bottom w:val="nil"/>
              <w:right w:val="nil"/>
            </w:tcBorders>
            <w:shd w:val="clear" w:color="auto" w:fill="auto"/>
            <w:vAlign w:val="bottom"/>
          </w:tcPr>
          <w:p w14:paraId="4DD39ABA" w14:textId="20D8FF50" w:rsidR="00566EA9" w:rsidRPr="001D41EA" w:rsidRDefault="00566EA9" w:rsidP="001D41EA">
            <w:pPr>
              <w:spacing w:before="40" w:after="40"/>
              <w:jc w:val="center"/>
              <w:rPr>
                <w:rFonts w:cs="Arial"/>
                <w:sz w:val="18"/>
                <w:szCs w:val="18"/>
              </w:rPr>
            </w:pPr>
            <w:r w:rsidRPr="001D41EA">
              <w:rPr>
                <w:rFonts w:cs="Arial"/>
                <w:sz w:val="18"/>
                <w:szCs w:val="18"/>
              </w:rPr>
              <w:t>0.978</w:t>
            </w:r>
          </w:p>
        </w:tc>
      </w:tr>
      <w:tr w:rsidR="00566EA9" w:rsidRPr="001D41EA" w14:paraId="0FE1319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E870911" w14:textId="77777777" w:rsidR="00566EA9" w:rsidRPr="001D41EA" w:rsidRDefault="00566EA9" w:rsidP="001D41EA">
            <w:pPr>
              <w:spacing w:before="40" w:after="40"/>
              <w:rPr>
                <w:rFonts w:cs="Arial"/>
                <w:sz w:val="18"/>
                <w:szCs w:val="18"/>
              </w:rPr>
            </w:pPr>
            <w:r w:rsidRPr="001D41EA">
              <w:rPr>
                <w:rFonts w:cs="Arial"/>
                <w:sz w:val="18"/>
                <w:szCs w:val="18"/>
              </w:rPr>
              <w:t>Greater Shepparton C</w:t>
            </w:r>
          </w:p>
        </w:tc>
        <w:tc>
          <w:tcPr>
            <w:tcW w:w="1134" w:type="dxa"/>
            <w:tcBorders>
              <w:top w:val="nil"/>
              <w:left w:val="single" w:sz="18" w:space="0" w:color="5F497A" w:themeColor="accent4" w:themeShade="BF"/>
              <w:bottom w:val="nil"/>
              <w:right w:val="nil"/>
            </w:tcBorders>
            <w:shd w:val="clear" w:color="auto" w:fill="auto"/>
            <w:vAlign w:val="bottom"/>
          </w:tcPr>
          <w:p w14:paraId="5D73A625" w14:textId="3FC77183" w:rsidR="00566EA9" w:rsidRPr="001D41EA" w:rsidRDefault="00566EA9" w:rsidP="001D41EA">
            <w:pPr>
              <w:spacing w:before="40" w:after="40"/>
              <w:jc w:val="center"/>
              <w:rPr>
                <w:rFonts w:cs="Arial"/>
                <w:sz w:val="18"/>
                <w:szCs w:val="18"/>
              </w:rPr>
            </w:pPr>
            <w:r w:rsidRPr="001D41EA">
              <w:rPr>
                <w:rFonts w:cs="Arial"/>
                <w:sz w:val="18"/>
                <w:szCs w:val="18"/>
              </w:rPr>
              <w:t>1.329</w:t>
            </w:r>
          </w:p>
        </w:tc>
        <w:tc>
          <w:tcPr>
            <w:tcW w:w="1134" w:type="dxa"/>
            <w:tcBorders>
              <w:top w:val="nil"/>
              <w:left w:val="nil"/>
              <w:bottom w:val="nil"/>
              <w:right w:val="nil"/>
            </w:tcBorders>
            <w:vAlign w:val="bottom"/>
          </w:tcPr>
          <w:p w14:paraId="38B9B288" w14:textId="615A7313" w:rsidR="00566EA9" w:rsidRPr="001D41EA" w:rsidRDefault="00566EA9" w:rsidP="001D41EA">
            <w:pPr>
              <w:spacing w:before="40" w:after="40"/>
              <w:jc w:val="center"/>
              <w:rPr>
                <w:rFonts w:cs="Arial"/>
                <w:sz w:val="18"/>
                <w:szCs w:val="18"/>
              </w:rPr>
            </w:pPr>
            <w:r w:rsidRPr="001D41EA">
              <w:rPr>
                <w:rFonts w:cs="Arial"/>
                <w:sz w:val="18"/>
                <w:szCs w:val="18"/>
              </w:rPr>
              <w:t>1.332</w:t>
            </w:r>
          </w:p>
        </w:tc>
        <w:tc>
          <w:tcPr>
            <w:tcW w:w="1134" w:type="dxa"/>
            <w:tcBorders>
              <w:top w:val="nil"/>
              <w:left w:val="nil"/>
              <w:bottom w:val="nil"/>
              <w:right w:val="nil"/>
            </w:tcBorders>
            <w:vAlign w:val="bottom"/>
          </w:tcPr>
          <w:p w14:paraId="2E8D5231" w14:textId="65FD7A7D" w:rsidR="00566EA9" w:rsidRPr="001D41EA" w:rsidRDefault="00566EA9" w:rsidP="001D41EA">
            <w:pPr>
              <w:spacing w:before="40" w:after="40"/>
              <w:jc w:val="center"/>
              <w:rPr>
                <w:rFonts w:cs="Arial"/>
                <w:sz w:val="18"/>
                <w:szCs w:val="18"/>
              </w:rPr>
            </w:pPr>
            <w:r w:rsidRPr="001D41EA">
              <w:rPr>
                <w:rFonts w:cs="Arial"/>
                <w:sz w:val="18"/>
                <w:szCs w:val="18"/>
              </w:rPr>
              <w:t>1.330</w:t>
            </w:r>
          </w:p>
        </w:tc>
        <w:tc>
          <w:tcPr>
            <w:tcW w:w="1134" w:type="dxa"/>
            <w:tcBorders>
              <w:top w:val="nil"/>
              <w:left w:val="nil"/>
              <w:bottom w:val="nil"/>
              <w:right w:val="nil"/>
            </w:tcBorders>
            <w:vAlign w:val="bottom"/>
          </w:tcPr>
          <w:p w14:paraId="4702E41F" w14:textId="4850FE67" w:rsidR="00566EA9" w:rsidRPr="001D41EA" w:rsidRDefault="00566EA9" w:rsidP="001D41EA">
            <w:pPr>
              <w:spacing w:before="40" w:after="40"/>
              <w:jc w:val="center"/>
              <w:rPr>
                <w:rFonts w:cs="Arial"/>
                <w:sz w:val="18"/>
                <w:szCs w:val="18"/>
              </w:rPr>
            </w:pPr>
            <w:r w:rsidRPr="001D41EA">
              <w:rPr>
                <w:rFonts w:cs="Arial"/>
                <w:sz w:val="18"/>
                <w:szCs w:val="18"/>
              </w:rPr>
              <w:t>1.313</w:t>
            </w:r>
          </w:p>
        </w:tc>
        <w:tc>
          <w:tcPr>
            <w:tcW w:w="170" w:type="dxa"/>
            <w:tcBorders>
              <w:top w:val="nil"/>
              <w:left w:val="nil"/>
              <w:bottom w:val="nil"/>
              <w:right w:val="nil"/>
            </w:tcBorders>
            <w:vAlign w:val="bottom"/>
          </w:tcPr>
          <w:p w14:paraId="54F6557F" w14:textId="2D1D89E3"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93AD9FB" w14:textId="3BD22E57" w:rsidR="00566EA9" w:rsidRPr="001D41EA" w:rsidRDefault="00566EA9" w:rsidP="001D41EA">
            <w:pPr>
              <w:spacing w:before="40" w:after="40"/>
              <w:jc w:val="center"/>
              <w:rPr>
                <w:rFonts w:cs="Arial"/>
                <w:sz w:val="18"/>
                <w:szCs w:val="18"/>
              </w:rPr>
            </w:pPr>
            <w:r w:rsidRPr="001D41EA">
              <w:rPr>
                <w:rFonts w:cs="Arial"/>
                <w:sz w:val="18"/>
                <w:szCs w:val="18"/>
              </w:rPr>
              <w:t>1.146</w:t>
            </w:r>
          </w:p>
        </w:tc>
        <w:tc>
          <w:tcPr>
            <w:tcW w:w="1134" w:type="dxa"/>
            <w:tcBorders>
              <w:top w:val="nil"/>
              <w:left w:val="nil"/>
              <w:bottom w:val="nil"/>
              <w:right w:val="nil"/>
            </w:tcBorders>
            <w:shd w:val="clear" w:color="auto" w:fill="auto"/>
            <w:vAlign w:val="bottom"/>
          </w:tcPr>
          <w:p w14:paraId="31C93ACA" w14:textId="09488E82" w:rsidR="00566EA9" w:rsidRPr="001D41EA" w:rsidRDefault="00566EA9" w:rsidP="001D41EA">
            <w:pPr>
              <w:spacing w:before="40" w:after="40"/>
              <w:jc w:val="center"/>
              <w:rPr>
                <w:rFonts w:cs="Arial"/>
                <w:sz w:val="18"/>
                <w:szCs w:val="18"/>
              </w:rPr>
            </w:pPr>
            <w:r w:rsidRPr="001D41EA">
              <w:rPr>
                <w:rFonts w:cs="Arial"/>
                <w:sz w:val="18"/>
                <w:szCs w:val="18"/>
              </w:rPr>
              <w:t>1.140</w:t>
            </w:r>
          </w:p>
        </w:tc>
      </w:tr>
      <w:tr w:rsidR="00566EA9" w:rsidRPr="001D41EA" w14:paraId="581AB82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D3888BB" w14:textId="77777777" w:rsidR="00566EA9" w:rsidRPr="001D41EA" w:rsidRDefault="00566EA9" w:rsidP="001D41EA">
            <w:pPr>
              <w:spacing w:before="40" w:after="40"/>
              <w:rPr>
                <w:rFonts w:cs="Arial"/>
                <w:sz w:val="18"/>
                <w:szCs w:val="18"/>
              </w:rPr>
            </w:pPr>
            <w:r w:rsidRPr="001D41EA">
              <w:rPr>
                <w:rFonts w:cs="Arial"/>
                <w:sz w:val="18"/>
                <w:szCs w:val="18"/>
              </w:rPr>
              <w:t>Hepburn S</w:t>
            </w:r>
          </w:p>
        </w:tc>
        <w:tc>
          <w:tcPr>
            <w:tcW w:w="1134" w:type="dxa"/>
            <w:tcBorders>
              <w:top w:val="nil"/>
              <w:left w:val="single" w:sz="18" w:space="0" w:color="5F497A" w:themeColor="accent4" w:themeShade="BF"/>
              <w:bottom w:val="nil"/>
              <w:right w:val="nil"/>
            </w:tcBorders>
            <w:shd w:val="clear" w:color="auto" w:fill="auto"/>
            <w:vAlign w:val="bottom"/>
          </w:tcPr>
          <w:p w14:paraId="0CE25916" w14:textId="3F8FCEF8" w:rsidR="00566EA9" w:rsidRPr="001D41EA" w:rsidRDefault="00566EA9" w:rsidP="001D41EA">
            <w:pPr>
              <w:spacing w:before="40" w:after="40"/>
              <w:jc w:val="center"/>
              <w:rPr>
                <w:rFonts w:cs="Arial"/>
                <w:sz w:val="18"/>
                <w:szCs w:val="18"/>
              </w:rPr>
            </w:pPr>
            <w:r w:rsidRPr="001D41EA">
              <w:rPr>
                <w:rFonts w:cs="Arial"/>
                <w:sz w:val="18"/>
                <w:szCs w:val="18"/>
              </w:rPr>
              <w:t>0.919</w:t>
            </w:r>
          </w:p>
        </w:tc>
        <w:tc>
          <w:tcPr>
            <w:tcW w:w="1134" w:type="dxa"/>
            <w:tcBorders>
              <w:top w:val="nil"/>
              <w:left w:val="nil"/>
              <w:bottom w:val="nil"/>
              <w:right w:val="nil"/>
            </w:tcBorders>
            <w:vAlign w:val="bottom"/>
          </w:tcPr>
          <w:p w14:paraId="62804ABA" w14:textId="0B03CD59" w:rsidR="00566EA9" w:rsidRPr="001D41EA" w:rsidRDefault="00566EA9" w:rsidP="001D41EA">
            <w:pPr>
              <w:spacing w:before="40" w:after="40"/>
              <w:jc w:val="center"/>
              <w:rPr>
                <w:rFonts w:cs="Arial"/>
                <w:sz w:val="18"/>
                <w:szCs w:val="18"/>
              </w:rPr>
            </w:pPr>
            <w:r w:rsidRPr="001D41EA">
              <w:rPr>
                <w:rFonts w:cs="Arial"/>
                <w:sz w:val="18"/>
                <w:szCs w:val="18"/>
              </w:rPr>
              <w:t>0.921</w:t>
            </w:r>
          </w:p>
        </w:tc>
        <w:tc>
          <w:tcPr>
            <w:tcW w:w="1134" w:type="dxa"/>
            <w:tcBorders>
              <w:top w:val="nil"/>
              <w:left w:val="nil"/>
              <w:bottom w:val="nil"/>
              <w:right w:val="nil"/>
            </w:tcBorders>
            <w:vAlign w:val="bottom"/>
          </w:tcPr>
          <w:p w14:paraId="016312B4" w14:textId="2BE98D39" w:rsidR="00566EA9" w:rsidRPr="001D41EA" w:rsidRDefault="00566EA9" w:rsidP="001D41EA">
            <w:pPr>
              <w:spacing w:before="40" w:after="40"/>
              <w:jc w:val="center"/>
              <w:rPr>
                <w:rFonts w:cs="Arial"/>
                <w:sz w:val="18"/>
                <w:szCs w:val="18"/>
              </w:rPr>
            </w:pPr>
            <w:r w:rsidRPr="001D41EA">
              <w:rPr>
                <w:rFonts w:cs="Arial"/>
                <w:sz w:val="18"/>
                <w:szCs w:val="18"/>
              </w:rPr>
              <w:t>0.920</w:t>
            </w:r>
          </w:p>
        </w:tc>
        <w:tc>
          <w:tcPr>
            <w:tcW w:w="1134" w:type="dxa"/>
            <w:tcBorders>
              <w:top w:val="nil"/>
              <w:left w:val="nil"/>
              <w:bottom w:val="nil"/>
              <w:right w:val="nil"/>
            </w:tcBorders>
            <w:vAlign w:val="bottom"/>
          </w:tcPr>
          <w:p w14:paraId="6EBFA213" w14:textId="39DB9EE5" w:rsidR="00566EA9" w:rsidRPr="001D41EA" w:rsidRDefault="00566EA9" w:rsidP="001D41EA">
            <w:pPr>
              <w:spacing w:before="40" w:after="40"/>
              <w:jc w:val="center"/>
              <w:rPr>
                <w:rFonts w:cs="Arial"/>
                <w:sz w:val="18"/>
                <w:szCs w:val="18"/>
              </w:rPr>
            </w:pPr>
            <w:r w:rsidRPr="001D41EA">
              <w:rPr>
                <w:rFonts w:cs="Arial"/>
                <w:sz w:val="18"/>
                <w:szCs w:val="18"/>
              </w:rPr>
              <w:t>0.908</w:t>
            </w:r>
          </w:p>
        </w:tc>
        <w:tc>
          <w:tcPr>
            <w:tcW w:w="170" w:type="dxa"/>
            <w:tcBorders>
              <w:top w:val="nil"/>
              <w:left w:val="nil"/>
              <w:bottom w:val="nil"/>
              <w:right w:val="nil"/>
            </w:tcBorders>
            <w:vAlign w:val="bottom"/>
          </w:tcPr>
          <w:p w14:paraId="48B9B14E" w14:textId="613F99C9"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16D3E7A9" w14:textId="6EFB0DD3" w:rsidR="00566EA9" w:rsidRPr="001D41EA" w:rsidRDefault="00566EA9" w:rsidP="001D41EA">
            <w:pPr>
              <w:spacing w:before="40" w:after="40"/>
              <w:jc w:val="center"/>
              <w:rPr>
                <w:rFonts w:cs="Arial"/>
                <w:sz w:val="18"/>
                <w:szCs w:val="18"/>
              </w:rPr>
            </w:pPr>
            <w:r w:rsidRPr="001D41EA">
              <w:rPr>
                <w:rFonts w:cs="Arial"/>
                <w:sz w:val="18"/>
                <w:szCs w:val="18"/>
              </w:rPr>
              <w:t>1.088</w:t>
            </w:r>
          </w:p>
        </w:tc>
        <w:tc>
          <w:tcPr>
            <w:tcW w:w="1134" w:type="dxa"/>
            <w:tcBorders>
              <w:top w:val="nil"/>
              <w:left w:val="nil"/>
              <w:bottom w:val="nil"/>
              <w:right w:val="nil"/>
            </w:tcBorders>
            <w:shd w:val="clear" w:color="auto" w:fill="auto"/>
            <w:vAlign w:val="bottom"/>
          </w:tcPr>
          <w:p w14:paraId="5A6B0E91" w14:textId="304E52FC" w:rsidR="00566EA9" w:rsidRPr="001D41EA" w:rsidRDefault="00566EA9" w:rsidP="001D41EA">
            <w:pPr>
              <w:spacing w:before="40" w:after="40"/>
              <w:jc w:val="center"/>
              <w:rPr>
                <w:rFonts w:cs="Arial"/>
                <w:sz w:val="18"/>
                <w:szCs w:val="18"/>
              </w:rPr>
            </w:pPr>
            <w:r w:rsidRPr="001D41EA">
              <w:rPr>
                <w:rFonts w:cs="Arial"/>
                <w:sz w:val="18"/>
                <w:szCs w:val="18"/>
              </w:rPr>
              <w:t>1.081</w:t>
            </w:r>
          </w:p>
        </w:tc>
      </w:tr>
      <w:tr w:rsidR="00566EA9" w:rsidRPr="001D41EA" w14:paraId="5E317AB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4178417" w14:textId="77777777" w:rsidR="00566EA9" w:rsidRPr="001D41EA" w:rsidRDefault="00566EA9" w:rsidP="001D41EA">
            <w:pPr>
              <w:spacing w:before="40" w:after="40"/>
              <w:rPr>
                <w:rFonts w:cs="Arial"/>
                <w:sz w:val="18"/>
                <w:szCs w:val="18"/>
              </w:rPr>
            </w:pPr>
            <w:r w:rsidRPr="001D41EA">
              <w:rPr>
                <w:rFonts w:cs="Arial"/>
                <w:sz w:val="18"/>
                <w:szCs w:val="18"/>
              </w:rPr>
              <w:t>Hindmarsh S</w:t>
            </w:r>
          </w:p>
        </w:tc>
        <w:tc>
          <w:tcPr>
            <w:tcW w:w="1134" w:type="dxa"/>
            <w:tcBorders>
              <w:top w:val="nil"/>
              <w:left w:val="single" w:sz="18" w:space="0" w:color="5F497A" w:themeColor="accent4" w:themeShade="BF"/>
              <w:bottom w:val="nil"/>
              <w:right w:val="nil"/>
            </w:tcBorders>
            <w:shd w:val="clear" w:color="auto" w:fill="auto"/>
            <w:vAlign w:val="bottom"/>
          </w:tcPr>
          <w:p w14:paraId="65332A9D" w14:textId="47D266C9" w:rsidR="00566EA9" w:rsidRPr="001D41EA" w:rsidRDefault="00566EA9" w:rsidP="001D41EA">
            <w:pPr>
              <w:spacing w:before="40" w:after="40"/>
              <w:jc w:val="center"/>
              <w:rPr>
                <w:rFonts w:cs="Arial"/>
                <w:sz w:val="18"/>
                <w:szCs w:val="18"/>
              </w:rPr>
            </w:pPr>
            <w:r w:rsidRPr="001D41EA">
              <w:rPr>
                <w:rFonts w:cs="Arial"/>
                <w:sz w:val="18"/>
                <w:szCs w:val="18"/>
              </w:rPr>
              <w:t>0.868</w:t>
            </w:r>
          </w:p>
        </w:tc>
        <w:tc>
          <w:tcPr>
            <w:tcW w:w="1134" w:type="dxa"/>
            <w:tcBorders>
              <w:top w:val="nil"/>
              <w:left w:val="nil"/>
              <w:bottom w:val="nil"/>
              <w:right w:val="nil"/>
            </w:tcBorders>
            <w:vAlign w:val="bottom"/>
          </w:tcPr>
          <w:p w14:paraId="76F6B514" w14:textId="6DBE13AB" w:rsidR="00566EA9" w:rsidRPr="001D41EA" w:rsidRDefault="00566EA9" w:rsidP="001D41EA">
            <w:pPr>
              <w:spacing w:before="40" w:after="40"/>
              <w:jc w:val="center"/>
              <w:rPr>
                <w:rFonts w:cs="Arial"/>
                <w:sz w:val="18"/>
                <w:szCs w:val="18"/>
              </w:rPr>
            </w:pPr>
            <w:r w:rsidRPr="001D41EA">
              <w:rPr>
                <w:rFonts w:cs="Arial"/>
                <w:sz w:val="18"/>
                <w:szCs w:val="18"/>
              </w:rPr>
              <w:t>0.870</w:t>
            </w:r>
          </w:p>
        </w:tc>
        <w:tc>
          <w:tcPr>
            <w:tcW w:w="1134" w:type="dxa"/>
            <w:tcBorders>
              <w:top w:val="nil"/>
              <w:left w:val="nil"/>
              <w:bottom w:val="nil"/>
              <w:right w:val="nil"/>
            </w:tcBorders>
            <w:vAlign w:val="bottom"/>
          </w:tcPr>
          <w:p w14:paraId="037DC7FC" w14:textId="3005817B" w:rsidR="00566EA9" w:rsidRPr="001D41EA" w:rsidRDefault="00566EA9" w:rsidP="001D41EA">
            <w:pPr>
              <w:spacing w:before="40" w:after="40"/>
              <w:jc w:val="center"/>
              <w:rPr>
                <w:rFonts w:cs="Arial"/>
                <w:sz w:val="18"/>
                <w:szCs w:val="18"/>
              </w:rPr>
            </w:pPr>
            <w:r w:rsidRPr="001D41EA">
              <w:rPr>
                <w:rFonts w:cs="Arial"/>
                <w:sz w:val="18"/>
                <w:szCs w:val="18"/>
              </w:rPr>
              <w:t>0.869</w:t>
            </w:r>
          </w:p>
        </w:tc>
        <w:tc>
          <w:tcPr>
            <w:tcW w:w="1134" w:type="dxa"/>
            <w:tcBorders>
              <w:top w:val="nil"/>
              <w:left w:val="nil"/>
              <w:bottom w:val="nil"/>
              <w:right w:val="nil"/>
            </w:tcBorders>
            <w:vAlign w:val="bottom"/>
          </w:tcPr>
          <w:p w14:paraId="718DBD9E" w14:textId="5E4516FC" w:rsidR="00566EA9" w:rsidRPr="001D41EA" w:rsidRDefault="00566EA9" w:rsidP="001D41EA">
            <w:pPr>
              <w:spacing w:before="40" w:after="40"/>
              <w:jc w:val="center"/>
              <w:rPr>
                <w:rFonts w:cs="Arial"/>
                <w:sz w:val="18"/>
                <w:szCs w:val="18"/>
              </w:rPr>
            </w:pPr>
            <w:r w:rsidRPr="001D41EA">
              <w:rPr>
                <w:rFonts w:cs="Arial"/>
                <w:sz w:val="18"/>
                <w:szCs w:val="18"/>
              </w:rPr>
              <w:t>0.858</w:t>
            </w:r>
          </w:p>
        </w:tc>
        <w:tc>
          <w:tcPr>
            <w:tcW w:w="170" w:type="dxa"/>
            <w:tcBorders>
              <w:top w:val="nil"/>
              <w:left w:val="nil"/>
              <w:bottom w:val="nil"/>
              <w:right w:val="nil"/>
            </w:tcBorders>
            <w:vAlign w:val="bottom"/>
          </w:tcPr>
          <w:p w14:paraId="65B05241" w14:textId="5FFBA96E"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38506B32" w14:textId="7270B24B" w:rsidR="00566EA9" w:rsidRPr="001D41EA" w:rsidRDefault="00566EA9" w:rsidP="001D41EA">
            <w:pPr>
              <w:spacing w:before="40" w:after="40"/>
              <w:jc w:val="center"/>
              <w:rPr>
                <w:rFonts w:cs="Arial"/>
                <w:sz w:val="18"/>
                <w:szCs w:val="18"/>
              </w:rPr>
            </w:pPr>
            <w:r w:rsidRPr="001D41EA">
              <w:rPr>
                <w:rFonts w:cs="Arial"/>
                <w:sz w:val="18"/>
                <w:szCs w:val="18"/>
              </w:rPr>
              <w:t>1.827</w:t>
            </w:r>
          </w:p>
        </w:tc>
        <w:tc>
          <w:tcPr>
            <w:tcW w:w="1134" w:type="dxa"/>
            <w:tcBorders>
              <w:top w:val="nil"/>
              <w:left w:val="nil"/>
              <w:bottom w:val="nil"/>
              <w:right w:val="nil"/>
            </w:tcBorders>
            <w:shd w:val="clear" w:color="auto" w:fill="auto"/>
            <w:vAlign w:val="bottom"/>
          </w:tcPr>
          <w:p w14:paraId="002D2001" w14:textId="6874DFE1" w:rsidR="00566EA9" w:rsidRPr="001D41EA" w:rsidRDefault="00566EA9" w:rsidP="001D41EA">
            <w:pPr>
              <w:spacing w:before="40" w:after="40"/>
              <w:jc w:val="center"/>
              <w:rPr>
                <w:rFonts w:cs="Arial"/>
                <w:sz w:val="18"/>
                <w:szCs w:val="18"/>
              </w:rPr>
            </w:pPr>
            <w:r w:rsidRPr="001D41EA">
              <w:rPr>
                <w:rFonts w:cs="Arial"/>
                <w:sz w:val="18"/>
                <w:szCs w:val="18"/>
              </w:rPr>
              <w:t>1.817</w:t>
            </w:r>
          </w:p>
        </w:tc>
      </w:tr>
      <w:tr w:rsidR="00566EA9" w:rsidRPr="001D41EA" w14:paraId="45EC002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B3E7D3A" w14:textId="77777777" w:rsidR="00566EA9" w:rsidRPr="001D41EA" w:rsidRDefault="00566EA9" w:rsidP="001D41EA">
            <w:pPr>
              <w:spacing w:before="40" w:after="40"/>
              <w:rPr>
                <w:rFonts w:cs="Arial"/>
                <w:sz w:val="18"/>
                <w:szCs w:val="18"/>
              </w:rPr>
            </w:pPr>
            <w:r w:rsidRPr="001D41EA">
              <w:rPr>
                <w:rFonts w:cs="Arial"/>
                <w:sz w:val="18"/>
                <w:szCs w:val="18"/>
              </w:rPr>
              <w:t>Hobsons Bay C</w:t>
            </w:r>
          </w:p>
        </w:tc>
        <w:tc>
          <w:tcPr>
            <w:tcW w:w="1134" w:type="dxa"/>
            <w:tcBorders>
              <w:top w:val="nil"/>
              <w:left w:val="single" w:sz="18" w:space="0" w:color="5F497A" w:themeColor="accent4" w:themeShade="BF"/>
              <w:bottom w:val="nil"/>
              <w:right w:val="nil"/>
            </w:tcBorders>
            <w:shd w:val="clear" w:color="auto" w:fill="auto"/>
            <w:vAlign w:val="bottom"/>
          </w:tcPr>
          <w:p w14:paraId="1756F6C2" w14:textId="66BDA5A9" w:rsidR="00566EA9" w:rsidRPr="001D41EA" w:rsidRDefault="00566EA9" w:rsidP="001D41EA">
            <w:pPr>
              <w:spacing w:before="40" w:after="40"/>
              <w:jc w:val="center"/>
              <w:rPr>
                <w:rFonts w:cs="Arial"/>
                <w:sz w:val="18"/>
                <w:szCs w:val="18"/>
              </w:rPr>
            </w:pPr>
            <w:r w:rsidRPr="001D41EA">
              <w:rPr>
                <w:rFonts w:cs="Arial"/>
                <w:sz w:val="18"/>
                <w:szCs w:val="18"/>
              </w:rPr>
              <w:t>0.863</w:t>
            </w:r>
          </w:p>
        </w:tc>
        <w:tc>
          <w:tcPr>
            <w:tcW w:w="1134" w:type="dxa"/>
            <w:tcBorders>
              <w:top w:val="nil"/>
              <w:left w:val="nil"/>
              <w:bottom w:val="nil"/>
              <w:right w:val="nil"/>
            </w:tcBorders>
            <w:vAlign w:val="bottom"/>
          </w:tcPr>
          <w:p w14:paraId="7E453E66" w14:textId="148925F4" w:rsidR="00566EA9" w:rsidRPr="001D41EA" w:rsidRDefault="00566EA9" w:rsidP="001D41EA">
            <w:pPr>
              <w:spacing w:before="40" w:after="40"/>
              <w:jc w:val="center"/>
              <w:rPr>
                <w:rFonts w:cs="Arial"/>
                <w:sz w:val="18"/>
                <w:szCs w:val="18"/>
              </w:rPr>
            </w:pPr>
            <w:r w:rsidRPr="001D41EA">
              <w:rPr>
                <w:rFonts w:cs="Arial"/>
                <w:sz w:val="18"/>
                <w:szCs w:val="18"/>
              </w:rPr>
              <w:t>0.864</w:t>
            </w:r>
          </w:p>
        </w:tc>
        <w:tc>
          <w:tcPr>
            <w:tcW w:w="1134" w:type="dxa"/>
            <w:tcBorders>
              <w:top w:val="nil"/>
              <w:left w:val="nil"/>
              <w:bottom w:val="nil"/>
              <w:right w:val="nil"/>
            </w:tcBorders>
            <w:vAlign w:val="bottom"/>
          </w:tcPr>
          <w:p w14:paraId="0A82EB55" w14:textId="6C81C825" w:rsidR="00566EA9" w:rsidRPr="001D41EA" w:rsidRDefault="00566EA9" w:rsidP="001D41EA">
            <w:pPr>
              <w:spacing w:before="40" w:after="40"/>
              <w:jc w:val="center"/>
              <w:rPr>
                <w:rFonts w:cs="Arial"/>
                <w:sz w:val="18"/>
                <w:szCs w:val="18"/>
              </w:rPr>
            </w:pPr>
            <w:r w:rsidRPr="001D41EA">
              <w:rPr>
                <w:rFonts w:cs="Arial"/>
                <w:sz w:val="18"/>
                <w:szCs w:val="18"/>
              </w:rPr>
              <w:t>0.863</w:t>
            </w:r>
          </w:p>
        </w:tc>
        <w:tc>
          <w:tcPr>
            <w:tcW w:w="1134" w:type="dxa"/>
            <w:tcBorders>
              <w:top w:val="nil"/>
              <w:left w:val="nil"/>
              <w:bottom w:val="nil"/>
              <w:right w:val="nil"/>
            </w:tcBorders>
            <w:vAlign w:val="bottom"/>
          </w:tcPr>
          <w:p w14:paraId="4177CBA9" w14:textId="49E830B9" w:rsidR="00566EA9" w:rsidRPr="001D41EA" w:rsidRDefault="00566EA9" w:rsidP="001D41EA">
            <w:pPr>
              <w:spacing w:before="40" w:after="40"/>
              <w:jc w:val="center"/>
              <w:rPr>
                <w:rFonts w:cs="Arial"/>
                <w:sz w:val="18"/>
                <w:szCs w:val="18"/>
              </w:rPr>
            </w:pPr>
            <w:r w:rsidRPr="001D41EA">
              <w:rPr>
                <w:rFonts w:cs="Arial"/>
                <w:sz w:val="18"/>
                <w:szCs w:val="18"/>
              </w:rPr>
              <w:t>0.852</w:t>
            </w:r>
          </w:p>
        </w:tc>
        <w:tc>
          <w:tcPr>
            <w:tcW w:w="170" w:type="dxa"/>
            <w:tcBorders>
              <w:top w:val="nil"/>
              <w:left w:val="nil"/>
              <w:bottom w:val="nil"/>
              <w:right w:val="nil"/>
            </w:tcBorders>
            <w:vAlign w:val="bottom"/>
          </w:tcPr>
          <w:p w14:paraId="2BCCEEEF" w14:textId="549FD300"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6FF706CF" w14:textId="3FA6C8B0" w:rsidR="00566EA9" w:rsidRPr="001D41EA" w:rsidRDefault="00566EA9" w:rsidP="001D41EA">
            <w:pPr>
              <w:spacing w:before="40" w:after="4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72CD380B" w14:textId="7C6DEE10" w:rsidR="00566EA9" w:rsidRPr="001D41EA" w:rsidRDefault="00566EA9" w:rsidP="001D41EA">
            <w:pPr>
              <w:spacing w:before="40" w:after="40"/>
              <w:jc w:val="center"/>
              <w:rPr>
                <w:rFonts w:cs="Arial"/>
                <w:sz w:val="18"/>
                <w:szCs w:val="18"/>
              </w:rPr>
            </w:pPr>
            <w:r w:rsidRPr="001D41EA">
              <w:rPr>
                <w:rFonts w:cs="Arial"/>
                <w:sz w:val="18"/>
                <w:szCs w:val="18"/>
              </w:rPr>
              <w:t>0.908</w:t>
            </w:r>
          </w:p>
        </w:tc>
      </w:tr>
      <w:tr w:rsidR="00566EA9" w:rsidRPr="001D41EA" w14:paraId="58E3D35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9CE78EA" w14:textId="77777777" w:rsidR="00566EA9" w:rsidRPr="001D41EA" w:rsidRDefault="00566EA9" w:rsidP="001D41EA">
            <w:pPr>
              <w:spacing w:before="40" w:after="40"/>
              <w:rPr>
                <w:rFonts w:cs="Arial"/>
                <w:sz w:val="18"/>
                <w:szCs w:val="18"/>
              </w:rPr>
            </w:pPr>
            <w:r w:rsidRPr="001D41EA">
              <w:rPr>
                <w:rFonts w:cs="Arial"/>
                <w:sz w:val="18"/>
                <w:szCs w:val="18"/>
              </w:rPr>
              <w:t>Horsham RC</w:t>
            </w:r>
          </w:p>
        </w:tc>
        <w:tc>
          <w:tcPr>
            <w:tcW w:w="1134" w:type="dxa"/>
            <w:tcBorders>
              <w:top w:val="nil"/>
              <w:left w:val="single" w:sz="18" w:space="0" w:color="5F497A" w:themeColor="accent4" w:themeShade="BF"/>
              <w:bottom w:val="nil"/>
              <w:right w:val="nil"/>
            </w:tcBorders>
            <w:shd w:val="clear" w:color="auto" w:fill="auto"/>
            <w:vAlign w:val="bottom"/>
          </w:tcPr>
          <w:p w14:paraId="51016AF2" w14:textId="2052CBC2" w:rsidR="00566EA9" w:rsidRPr="001D41EA" w:rsidRDefault="00566EA9" w:rsidP="001D41EA">
            <w:pPr>
              <w:spacing w:before="40" w:after="40"/>
              <w:jc w:val="center"/>
              <w:rPr>
                <w:rFonts w:cs="Arial"/>
                <w:sz w:val="18"/>
                <w:szCs w:val="18"/>
              </w:rPr>
            </w:pPr>
            <w:r w:rsidRPr="001D41EA">
              <w:rPr>
                <w:rFonts w:cs="Arial"/>
                <w:sz w:val="18"/>
                <w:szCs w:val="18"/>
              </w:rPr>
              <w:t>1.329</w:t>
            </w:r>
          </w:p>
        </w:tc>
        <w:tc>
          <w:tcPr>
            <w:tcW w:w="1134" w:type="dxa"/>
            <w:tcBorders>
              <w:top w:val="nil"/>
              <w:left w:val="nil"/>
              <w:bottom w:val="nil"/>
              <w:right w:val="nil"/>
            </w:tcBorders>
            <w:vAlign w:val="bottom"/>
          </w:tcPr>
          <w:p w14:paraId="3E7099C2" w14:textId="235F9357" w:rsidR="00566EA9" w:rsidRPr="001D41EA" w:rsidRDefault="00566EA9" w:rsidP="001D41EA">
            <w:pPr>
              <w:spacing w:before="40" w:after="40"/>
              <w:jc w:val="center"/>
              <w:rPr>
                <w:rFonts w:cs="Arial"/>
                <w:sz w:val="18"/>
                <w:szCs w:val="18"/>
              </w:rPr>
            </w:pPr>
            <w:r w:rsidRPr="001D41EA">
              <w:rPr>
                <w:rFonts w:cs="Arial"/>
                <w:sz w:val="18"/>
                <w:szCs w:val="18"/>
              </w:rPr>
              <w:t>1.332</w:t>
            </w:r>
          </w:p>
        </w:tc>
        <w:tc>
          <w:tcPr>
            <w:tcW w:w="1134" w:type="dxa"/>
            <w:tcBorders>
              <w:top w:val="nil"/>
              <w:left w:val="nil"/>
              <w:bottom w:val="nil"/>
              <w:right w:val="nil"/>
            </w:tcBorders>
            <w:vAlign w:val="bottom"/>
          </w:tcPr>
          <w:p w14:paraId="781EFDC5" w14:textId="24A43D7C" w:rsidR="00566EA9" w:rsidRPr="001D41EA" w:rsidRDefault="00566EA9" w:rsidP="001D41EA">
            <w:pPr>
              <w:spacing w:before="40" w:after="40"/>
              <w:jc w:val="center"/>
              <w:rPr>
                <w:rFonts w:cs="Arial"/>
                <w:sz w:val="18"/>
                <w:szCs w:val="18"/>
              </w:rPr>
            </w:pPr>
            <w:r w:rsidRPr="001D41EA">
              <w:rPr>
                <w:rFonts w:cs="Arial"/>
                <w:sz w:val="18"/>
                <w:szCs w:val="18"/>
              </w:rPr>
              <w:t>1.330</w:t>
            </w:r>
          </w:p>
        </w:tc>
        <w:tc>
          <w:tcPr>
            <w:tcW w:w="1134" w:type="dxa"/>
            <w:tcBorders>
              <w:top w:val="nil"/>
              <w:left w:val="nil"/>
              <w:bottom w:val="nil"/>
              <w:right w:val="nil"/>
            </w:tcBorders>
            <w:vAlign w:val="bottom"/>
          </w:tcPr>
          <w:p w14:paraId="00C78B23" w14:textId="4BD77F75" w:rsidR="00566EA9" w:rsidRPr="001D41EA" w:rsidRDefault="00566EA9" w:rsidP="001D41EA">
            <w:pPr>
              <w:spacing w:before="40" w:after="40"/>
              <w:jc w:val="center"/>
              <w:rPr>
                <w:rFonts w:cs="Arial"/>
                <w:sz w:val="18"/>
                <w:szCs w:val="18"/>
              </w:rPr>
            </w:pPr>
            <w:r w:rsidRPr="001D41EA">
              <w:rPr>
                <w:rFonts w:cs="Arial"/>
                <w:sz w:val="18"/>
                <w:szCs w:val="18"/>
              </w:rPr>
              <w:t>1.313</w:t>
            </w:r>
          </w:p>
        </w:tc>
        <w:tc>
          <w:tcPr>
            <w:tcW w:w="170" w:type="dxa"/>
            <w:tcBorders>
              <w:top w:val="nil"/>
              <w:left w:val="nil"/>
              <w:bottom w:val="nil"/>
              <w:right w:val="nil"/>
            </w:tcBorders>
            <w:vAlign w:val="bottom"/>
          </w:tcPr>
          <w:p w14:paraId="02316129" w14:textId="126E9260"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3B691226" w14:textId="60EF8CBF" w:rsidR="00566EA9" w:rsidRPr="001D41EA" w:rsidRDefault="00566EA9" w:rsidP="001D41EA">
            <w:pPr>
              <w:spacing w:before="40" w:after="40"/>
              <w:jc w:val="center"/>
              <w:rPr>
                <w:rFonts w:cs="Arial"/>
                <w:sz w:val="18"/>
                <w:szCs w:val="18"/>
              </w:rPr>
            </w:pPr>
            <w:r w:rsidRPr="001D41EA">
              <w:rPr>
                <w:rFonts w:cs="Arial"/>
                <w:sz w:val="18"/>
                <w:szCs w:val="18"/>
              </w:rPr>
              <w:t>1.530</w:t>
            </w:r>
          </w:p>
        </w:tc>
        <w:tc>
          <w:tcPr>
            <w:tcW w:w="1134" w:type="dxa"/>
            <w:tcBorders>
              <w:top w:val="nil"/>
              <w:left w:val="nil"/>
              <w:bottom w:val="nil"/>
              <w:right w:val="nil"/>
            </w:tcBorders>
            <w:shd w:val="clear" w:color="auto" w:fill="auto"/>
            <w:vAlign w:val="bottom"/>
          </w:tcPr>
          <w:p w14:paraId="48EA203E" w14:textId="60F768EE" w:rsidR="00566EA9" w:rsidRPr="001D41EA" w:rsidRDefault="00566EA9" w:rsidP="001D41EA">
            <w:pPr>
              <w:spacing w:before="40" w:after="40"/>
              <w:jc w:val="center"/>
              <w:rPr>
                <w:rFonts w:cs="Arial"/>
                <w:sz w:val="18"/>
                <w:szCs w:val="18"/>
              </w:rPr>
            </w:pPr>
            <w:r w:rsidRPr="001D41EA">
              <w:rPr>
                <w:rFonts w:cs="Arial"/>
                <w:sz w:val="18"/>
                <w:szCs w:val="18"/>
              </w:rPr>
              <w:t>1.521</w:t>
            </w:r>
          </w:p>
        </w:tc>
      </w:tr>
      <w:tr w:rsidR="00566EA9" w:rsidRPr="001D41EA" w14:paraId="6F6D164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72FDB98" w14:textId="77777777" w:rsidR="00566EA9" w:rsidRPr="001D41EA" w:rsidRDefault="00566EA9" w:rsidP="001D41EA">
            <w:pPr>
              <w:spacing w:before="40" w:after="40"/>
              <w:rPr>
                <w:rFonts w:cs="Arial"/>
                <w:sz w:val="18"/>
                <w:szCs w:val="18"/>
              </w:rPr>
            </w:pPr>
            <w:r w:rsidRPr="001D41EA">
              <w:rPr>
                <w:rFonts w:cs="Arial"/>
                <w:sz w:val="18"/>
                <w:szCs w:val="18"/>
              </w:rPr>
              <w:t>Hume C</w:t>
            </w:r>
          </w:p>
        </w:tc>
        <w:tc>
          <w:tcPr>
            <w:tcW w:w="1134" w:type="dxa"/>
            <w:tcBorders>
              <w:top w:val="nil"/>
              <w:left w:val="single" w:sz="18" w:space="0" w:color="5F497A" w:themeColor="accent4" w:themeShade="BF"/>
              <w:bottom w:val="nil"/>
              <w:right w:val="nil"/>
            </w:tcBorders>
            <w:shd w:val="clear" w:color="auto" w:fill="auto"/>
            <w:vAlign w:val="bottom"/>
          </w:tcPr>
          <w:p w14:paraId="42081D07" w14:textId="0E8161BC" w:rsidR="00566EA9" w:rsidRPr="001D41EA" w:rsidRDefault="00566EA9" w:rsidP="001D41EA">
            <w:pPr>
              <w:spacing w:before="40" w:after="40"/>
              <w:jc w:val="center"/>
              <w:rPr>
                <w:rFonts w:cs="Arial"/>
                <w:sz w:val="18"/>
                <w:szCs w:val="18"/>
              </w:rPr>
            </w:pPr>
            <w:r w:rsidRPr="001D41EA">
              <w:rPr>
                <w:rFonts w:cs="Arial"/>
                <w:sz w:val="18"/>
                <w:szCs w:val="18"/>
              </w:rPr>
              <w:t>0.880</w:t>
            </w:r>
          </w:p>
        </w:tc>
        <w:tc>
          <w:tcPr>
            <w:tcW w:w="1134" w:type="dxa"/>
            <w:tcBorders>
              <w:top w:val="nil"/>
              <w:left w:val="nil"/>
              <w:bottom w:val="nil"/>
              <w:right w:val="nil"/>
            </w:tcBorders>
            <w:vAlign w:val="bottom"/>
          </w:tcPr>
          <w:p w14:paraId="4C4E61F8" w14:textId="148F12A9" w:rsidR="00566EA9" w:rsidRPr="001D41EA" w:rsidRDefault="00566EA9" w:rsidP="001D41EA">
            <w:pPr>
              <w:spacing w:before="40" w:after="40"/>
              <w:jc w:val="center"/>
              <w:rPr>
                <w:rFonts w:cs="Arial"/>
                <w:sz w:val="18"/>
                <w:szCs w:val="18"/>
              </w:rPr>
            </w:pPr>
            <w:r w:rsidRPr="001D41EA">
              <w:rPr>
                <w:rFonts w:cs="Arial"/>
                <w:sz w:val="18"/>
                <w:szCs w:val="18"/>
              </w:rPr>
              <w:t>0.881</w:t>
            </w:r>
          </w:p>
        </w:tc>
        <w:tc>
          <w:tcPr>
            <w:tcW w:w="1134" w:type="dxa"/>
            <w:tcBorders>
              <w:top w:val="nil"/>
              <w:left w:val="nil"/>
              <w:bottom w:val="nil"/>
              <w:right w:val="nil"/>
            </w:tcBorders>
            <w:vAlign w:val="bottom"/>
          </w:tcPr>
          <w:p w14:paraId="3BD78024" w14:textId="4FCB9B0F" w:rsidR="00566EA9" w:rsidRPr="001D41EA" w:rsidRDefault="00566EA9" w:rsidP="001D41EA">
            <w:pPr>
              <w:spacing w:before="40" w:after="40"/>
              <w:jc w:val="center"/>
              <w:rPr>
                <w:rFonts w:cs="Arial"/>
                <w:sz w:val="18"/>
                <w:szCs w:val="18"/>
              </w:rPr>
            </w:pPr>
            <w:r w:rsidRPr="001D41EA">
              <w:rPr>
                <w:rFonts w:cs="Arial"/>
                <w:sz w:val="18"/>
                <w:szCs w:val="18"/>
              </w:rPr>
              <w:t>0.880</w:t>
            </w:r>
          </w:p>
        </w:tc>
        <w:tc>
          <w:tcPr>
            <w:tcW w:w="1134" w:type="dxa"/>
            <w:tcBorders>
              <w:top w:val="nil"/>
              <w:left w:val="nil"/>
              <w:bottom w:val="nil"/>
              <w:right w:val="nil"/>
            </w:tcBorders>
            <w:vAlign w:val="bottom"/>
          </w:tcPr>
          <w:p w14:paraId="76114B6B" w14:textId="51087B18" w:rsidR="00566EA9" w:rsidRPr="001D41EA" w:rsidRDefault="00566EA9" w:rsidP="001D41EA">
            <w:pPr>
              <w:spacing w:before="40" w:after="40"/>
              <w:jc w:val="center"/>
              <w:rPr>
                <w:rFonts w:cs="Arial"/>
                <w:sz w:val="18"/>
                <w:szCs w:val="18"/>
              </w:rPr>
            </w:pPr>
            <w:r w:rsidRPr="001D41EA">
              <w:rPr>
                <w:rFonts w:cs="Arial"/>
                <w:sz w:val="18"/>
                <w:szCs w:val="18"/>
              </w:rPr>
              <w:t>0.869</w:t>
            </w:r>
          </w:p>
        </w:tc>
        <w:tc>
          <w:tcPr>
            <w:tcW w:w="170" w:type="dxa"/>
            <w:tcBorders>
              <w:top w:val="nil"/>
              <w:left w:val="nil"/>
              <w:bottom w:val="nil"/>
              <w:right w:val="nil"/>
            </w:tcBorders>
            <w:vAlign w:val="bottom"/>
          </w:tcPr>
          <w:p w14:paraId="10875065" w14:textId="36F22B84"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3223E45F" w14:textId="0AACE389" w:rsidR="00566EA9" w:rsidRPr="001D41EA" w:rsidRDefault="00566EA9" w:rsidP="001D41EA">
            <w:pPr>
              <w:spacing w:before="40" w:after="40"/>
              <w:jc w:val="center"/>
              <w:rPr>
                <w:rFonts w:cs="Arial"/>
                <w:sz w:val="18"/>
                <w:szCs w:val="18"/>
              </w:rPr>
            </w:pPr>
            <w:r w:rsidRPr="001D41EA">
              <w:rPr>
                <w:rFonts w:cs="Arial"/>
                <w:sz w:val="18"/>
                <w:szCs w:val="18"/>
              </w:rPr>
              <w:t>0.927</w:t>
            </w:r>
          </w:p>
        </w:tc>
        <w:tc>
          <w:tcPr>
            <w:tcW w:w="1134" w:type="dxa"/>
            <w:tcBorders>
              <w:top w:val="nil"/>
              <w:left w:val="nil"/>
              <w:bottom w:val="nil"/>
              <w:right w:val="nil"/>
            </w:tcBorders>
            <w:shd w:val="clear" w:color="auto" w:fill="auto"/>
            <w:vAlign w:val="bottom"/>
          </w:tcPr>
          <w:p w14:paraId="25FCD466" w14:textId="25A1B7F1" w:rsidR="00566EA9" w:rsidRPr="001D41EA" w:rsidRDefault="00566EA9" w:rsidP="001D41EA">
            <w:pPr>
              <w:spacing w:before="40" w:after="40"/>
              <w:jc w:val="center"/>
              <w:rPr>
                <w:rFonts w:cs="Arial"/>
                <w:sz w:val="18"/>
                <w:szCs w:val="18"/>
              </w:rPr>
            </w:pPr>
            <w:r w:rsidRPr="001D41EA">
              <w:rPr>
                <w:rFonts w:cs="Arial"/>
                <w:sz w:val="18"/>
                <w:szCs w:val="18"/>
              </w:rPr>
              <w:t>0.921</w:t>
            </w:r>
          </w:p>
        </w:tc>
      </w:tr>
      <w:tr w:rsidR="00566EA9" w:rsidRPr="001D41EA" w14:paraId="3A920B3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6FBCD93" w14:textId="77777777" w:rsidR="00566EA9" w:rsidRPr="001D41EA" w:rsidRDefault="00566EA9" w:rsidP="001D41EA">
            <w:pPr>
              <w:spacing w:before="40" w:after="40"/>
              <w:rPr>
                <w:rFonts w:cs="Arial"/>
                <w:sz w:val="18"/>
                <w:szCs w:val="18"/>
              </w:rPr>
            </w:pPr>
            <w:r w:rsidRPr="001D41EA">
              <w:rPr>
                <w:rFonts w:cs="Arial"/>
                <w:sz w:val="18"/>
                <w:szCs w:val="18"/>
              </w:rPr>
              <w:t>Indigo S</w:t>
            </w:r>
          </w:p>
        </w:tc>
        <w:tc>
          <w:tcPr>
            <w:tcW w:w="1134" w:type="dxa"/>
            <w:tcBorders>
              <w:top w:val="nil"/>
              <w:left w:val="single" w:sz="18" w:space="0" w:color="5F497A" w:themeColor="accent4" w:themeShade="BF"/>
              <w:bottom w:val="nil"/>
              <w:right w:val="nil"/>
            </w:tcBorders>
            <w:shd w:val="clear" w:color="auto" w:fill="auto"/>
            <w:vAlign w:val="bottom"/>
          </w:tcPr>
          <w:p w14:paraId="450A53F3" w14:textId="481A62BB" w:rsidR="00566EA9" w:rsidRPr="001D41EA" w:rsidRDefault="00566EA9" w:rsidP="001D41EA">
            <w:pPr>
              <w:spacing w:before="40" w:after="40"/>
              <w:jc w:val="center"/>
              <w:rPr>
                <w:rFonts w:cs="Arial"/>
                <w:sz w:val="18"/>
                <w:szCs w:val="18"/>
              </w:rPr>
            </w:pPr>
            <w:r w:rsidRPr="001D41EA">
              <w:rPr>
                <w:rFonts w:cs="Arial"/>
                <w:sz w:val="18"/>
                <w:szCs w:val="18"/>
              </w:rPr>
              <w:t>0.796</w:t>
            </w:r>
          </w:p>
        </w:tc>
        <w:tc>
          <w:tcPr>
            <w:tcW w:w="1134" w:type="dxa"/>
            <w:tcBorders>
              <w:top w:val="nil"/>
              <w:left w:val="nil"/>
              <w:bottom w:val="nil"/>
              <w:right w:val="nil"/>
            </w:tcBorders>
            <w:vAlign w:val="bottom"/>
          </w:tcPr>
          <w:p w14:paraId="3843590F" w14:textId="374A7308" w:rsidR="00566EA9" w:rsidRPr="001D41EA" w:rsidRDefault="00566EA9" w:rsidP="001D41EA">
            <w:pPr>
              <w:spacing w:before="40" w:after="40"/>
              <w:jc w:val="center"/>
              <w:rPr>
                <w:rFonts w:cs="Arial"/>
                <w:sz w:val="18"/>
                <w:szCs w:val="18"/>
              </w:rPr>
            </w:pPr>
            <w:r w:rsidRPr="001D41EA">
              <w:rPr>
                <w:rFonts w:cs="Arial"/>
                <w:sz w:val="18"/>
                <w:szCs w:val="18"/>
              </w:rPr>
              <w:t>0.798</w:t>
            </w:r>
          </w:p>
        </w:tc>
        <w:tc>
          <w:tcPr>
            <w:tcW w:w="1134" w:type="dxa"/>
            <w:tcBorders>
              <w:top w:val="nil"/>
              <w:left w:val="nil"/>
              <w:bottom w:val="nil"/>
              <w:right w:val="nil"/>
            </w:tcBorders>
            <w:vAlign w:val="bottom"/>
          </w:tcPr>
          <w:p w14:paraId="3B4DB3D4" w14:textId="3E2BBE3E" w:rsidR="00566EA9" w:rsidRPr="001D41EA" w:rsidRDefault="00566EA9" w:rsidP="001D41EA">
            <w:pPr>
              <w:spacing w:before="40" w:after="40"/>
              <w:jc w:val="center"/>
              <w:rPr>
                <w:rFonts w:cs="Arial"/>
                <w:sz w:val="18"/>
                <w:szCs w:val="18"/>
              </w:rPr>
            </w:pPr>
            <w:r w:rsidRPr="001D41EA">
              <w:rPr>
                <w:rFonts w:cs="Arial"/>
                <w:sz w:val="18"/>
                <w:szCs w:val="18"/>
              </w:rPr>
              <w:t>0.796</w:t>
            </w:r>
          </w:p>
        </w:tc>
        <w:tc>
          <w:tcPr>
            <w:tcW w:w="1134" w:type="dxa"/>
            <w:tcBorders>
              <w:top w:val="nil"/>
              <w:left w:val="nil"/>
              <w:bottom w:val="nil"/>
              <w:right w:val="nil"/>
            </w:tcBorders>
            <w:vAlign w:val="bottom"/>
          </w:tcPr>
          <w:p w14:paraId="0ABC6EBE" w14:textId="2F2E1D2D" w:rsidR="00566EA9" w:rsidRPr="001D41EA" w:rsidRDefault="00566EA9" w:rsidP="001D41EA">
            <w:pPr>
              <w:spacing w:before="40" w:after="40"/>
              <w:jc w:val="center"/>
              <w:rPr>
                <w:rFonts w:cs="Arial"/>
                <w:sz w:val="18"/>
                <w:szCs w:val="18"/>
              </w:rPr>
            </w:pPr>
            <w:r w:rsidRPr="001D41EA">
              <w:rPr>
                <w:rFonts w:cs="Arial"/>
                <w:sz w:val="18"/>
                <w:szCs w:val="18"/>
              </w:rPr>
              <w:t>0.786</w:t>
            </w:r>
          </w:p>
        </w:tc>
        <w:tc>
          <w:tcPr>
            <w:tcW w:w="170" w:type="dxa"/>
            <w:tcBorders>
              <w:top w:val="nil"/>
              <w:left w:val="nil"/>
              <w:bottom w:val="nil"/>
              <w:right w:val="nil"/>
            </w:tcBorders>
            <w:vAlign w:val="bottom"/>
          </w:tcPr>
          <w:p w14:paraId="79F11DC7" w14:textId="037C3B1A"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32104252" w14:textId="1254AC24" w:rsidR="00566EA9" w:rsidRPr="001D41EA" w:rsidRDefault="00566EA9" w:rsidP="001D41EA">
            <w:pPr>
              <w:spacing w:before="40" w:after="40"/>
              <w:jc w:val="center"/>
              <w:rPr>
                <w:rFonts w:cs="Arial"/>
                <w:sz w:val="18"/>
                <w:szCs w:val="18"/>
              </w:rPr>
            </w:pPr>
            <w:r w:rsidRPr="001D41EA">
              <w:rPr>
                <w:rFonts w:cs="Arial"/>
                <w:sz w:val="18"/>
                <w:szCs w:val="18"/>
              </w:rPr>
              <w:t>1.148</w:t>
            </w:r>
          </w:p>
        </w:tc>
        <w:tc>
          <w:tcPr>
            <w:tcW w:w="1134" w:type="dxa"/>
            <w:tcBorders>
              <w:top w:val="nil"/>
              <w:left w:val="nil"/>
              <w:bottom w:val="nil"/>
              <w:right w:val="nil"/>
            </w:tcBorders>
            <w:shd w:val="clear" w:color="auto" w:fill="auto"/>
            <w:vAlign w:val="bottom"/>
          </w:tcPr>
          <w:p w14:paraId="34CD1457" w14:textId="555C93BB" w:rsidR="00566EA9" w:rsidRPr="001D41EA" w:rsidRDefault="00566EA9" w:rsidP="001D41EA">
            <w:pPr>
              <w:spacing w:before="40" w:after="40"/>
              <w:jc w:val="center"/>
              <w:rPr>
                <w:rFonts w:cs="Arial"/>
                <w:sz w:val="18"/>
                <w:szCs w:val="18"/>
              </w:rPr>
            </w:pPr>
            <w:r w:rsidRPr="001D41EA">
              <w:rPr>
                <w:rFonts w:cs="Arial"/>
                <w:sz w:val="18"/>
                <w:szCs w:val="18"/>
              </w:rPr>
              <w:t>1.141</w:t>
            </w:r>
          </w:p>
        </w:tc>
      </w:tr>
      <w:tr w:rsidR="00566EA9" w:rsidRPr="001D41EA" w14:paraId="3FB230B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FC462D8" w14:textId="77777777" w:rsidR="00566EA9" w:rsidRPr="001D41EA" w:rsidRDefault="00566EA9" w:rsidP="001D41EA">
            <w:pPr>
              <w:spacing w:before="40" w:after="40"/>
              <w:rPr>
                <w:rFonts w:cs="Arial"/>
                <w:sz w:val="18"/>
                <w:szCs w:val="18"/>
              </w:rPr>
            </w:pPr>
            <w:r w:rsidRPr="001D41EA">
              <w:rPr>
                <w:rFonts w:cs="Arial"/>
                <w:sz w:val="18"/>
                <w:szCs w:val="18"/>
              </w:rPr>
              <w:t>Kingston C</w:t>
            </w:r>
          </w:p>
        </w:tc>
        <w:tc>
          <w:tcPr>
            <w:tcW w:w="1134" w:type="dxa"/>
            <w:tcBorders>
              <w:top w:val="nil"/>
              <w:left w:val="single" w:sz="18" w:space="0" w:color="5F497A" w:themeColor="accent4" w:themeShade="BF"/>
              <w:bottom w:val="nil"/>
              <w:right w:val="nil"/>
            </w:tcBorders>
            <w:shd w:val="clear" w:color="auto" w:fill="auto"/>
            <w:vAlign w:val="bottom"/>
          </w:tcPr>
          <w:p w14:paraId="7C10BE99" w14:textId="5B9C3EAE" w:rsidR="00566EA9" w:rsidRPr="001D41EA" w:rsidRDefault="00566EA9" w:rsidP="001D41EA">
            <w:pPr>
              <w:spacing w:before="40" w:after="40"/>
              <w:jc w:val="center"/>
              <w:rPr>
                <w:rFonts w:cs="Arial"/>
                <w:sz w:val="18"/>
                <w:szCs w:val="18"/>
              </w:rPr>
            </w:pPr>
            <w:r w:rsidRPr="001D41EA">
              <w:rPr>
                <w:rFonts w:cs="Arial"/>
                <w:sz w:val="18"/>
                <w:szCs w:val="18"/>
              </w:rPr>
              <w:t>1.016</w:t>
            </w:r>
          </w:p>
        </w:tc>
        <w:tc>
          <w:tcPr>
            <w:tcW w:w="1134" w:type="dxa"/>
            <w:tcBorders>
              <w:top w:val="nil"/>
              <w:left w:val="nil"/>
              <w:bottom w:val="nil"/>
              <w:right w:val="nil"/>
            </w:tcBorders>
            <w:vAlign w:val="bottom"/>
          </w:tcPr>
          <w:p w14:paraId="296CF463" w14:textId="141D7992" w:rsidR="00566EA9" w:rsidRPr="001D41EA" w:rsidRDefault="00566EA9" w:rsidP="001D41EA">
            <w:pPr>
              <w:spacing w:before="40" w:after="40"/>
              <w:jc w:val="center"/>
              <w:rPr>
                <w:rFonts w:cs="Arial"/>
                <w:sz w:val="18"/>
                <w:szCs w:val="18"/>
              </w:rPr>
            </w:pPr>
            <w:r w:rsidRPr="001D41EA">
              <w:rPr>
                <w:rFonts w:cs="Arial"/>
                <w:sz w:val="18"/>
                <w:szCs w:val="18"/>
              </w:rPr>
              <w:t>1.018</w:t>
            </w:r>
          </w:p>
        </w:tc>
        <w:tc>
          <w:tcPr>
            <w:tcW w:w="1134" w:type="dxa"/>
            <w:tcBorders>
              <w:top w:val="nil"/>
              <w:left w:val="nil"/>
              <w:bottom w:val="nil"/>
              <w:right w:val="nil"/>
            </w:tcBorders>
            <w:vAlign w:val="bottom"/>
          </w:tcPr>
          <w:p w14:paraId="13C8F6B1" w14:textId="49CDA025" w:rsidR="00566EA9" w:rsidRPr="001D41EA" w:rsidRDefault="00566EA9" w:rsidP="001D41EA">
            <w:pPr>
              <w:spacing w:before="40" w:after="40"/>
              <w:jc w:val="center"/>
              <w:rPr>
                <w:rFonts w:cs="Arial"/>
                <w:sz w:val="18"/>
                <w:szCs w:val="18"/>
              </w:rPr>
            </w:pPr>
            <w:r w:rsidRPr="001D41EA">
              <w:rPr>
                <w:rFonts w:cs="Arial"/>
                <w:sz w:val="18"/>
                <w:szCs w:val="18"/>
              </w:rPr>
              <w:t>1.017</w:t>
            </w:r>
          </w:p>
        </w:tc>
        <w:tc>
          <w:tcPr>
            <w:tcW w:w="1134" w:type="dxa"/>
            <w:tcBorders>
              <w:top w:val="nil"/>
              <w:left w:val="nil"/>
              <w:bottom w:val="nil"/>
              <w:right w:val="nil"/>
            </w:tcBorders>
            <w:vAlign w:val="bottom"/>
          </w:tcPr>
          <w:p w14:paraId="53E836BB" w14:textId="70857791" w:rsidR="00566EA9" w:rsidRPr="001D41EA" w:rsidRDefault="00566EA9" w:rsidP="001D41EA">
            <w:pPr>
              <w:spacing w:before="40" w:after="40"/>
              <w:jc w:val="center"/>
              <w:rPr>
                <w:rFonts w:cs="Arial"/>
                <w:sz w:val="18"/>
                <w:szCs w:val="18"/>
              </w:rPr>
            </w:pPr>
            <w:r w:rsidRPr="001D41EA">
              <w:rPr>
                <w:rFonts w:cs="Arial"/>
                <w:sz w:val="18"/>
                <w:szCs w:val="18"/>
              </w:rPr>
              <w:t>1.004</w:t>
            </w:r>
          </w:p>
        </w:tc>
        <w:tc>
          <w:tcPr>
            <w:tcW w:w="170" w:type="dxa"/>
            <w:tcBorders>
              <w:top w:val="nil"/>
              <w:left w:val="nil"/>
              <w:bottom w:val="nil"/>
              <w:right w:val="nil"/>
            </w:tcBorders>
            <w:vAlign w:val="bottom"/>
          </w:tcPr>
          <w:p w14:paraId="0E8889B1" w14:textId="4FF4073F"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2716F20A" w14:textId="4672A87D" w:rsidR="00566EA9" w:rsidRPr="001D41EA" w:rsidRDefault="00566EA9" w:rsidP="001D41EA">
            <w:pPr>
              <w:spacing w:before="40" w:after="4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36503FF3" w14:textId="37B6A0C6" w:rsidR="00566EA9" w:rsidRPr="001D41EA" w:rsidRDefault="00566EA9" w:rsidP="001D41EA">
            <w:pPr>
              <w:spacing w:before="40" w:after="40"/>
              <w:jc w:val="center"/>
              <w:rPr>
                <w:rFonts w:cs="Arial"/>
                <w:sz w:val="18"/>
                <w:szCs w:val="18"/>
              </w:rPr>
            </w:pPr>
            <w:r w:rsidRPr="001D41EA">
              <w:rPr>
                <w:rFonts w:cs="Arial"/>
                <w:sz w:val="18"/>
                <w:szCs w:val="18"/>
              </w:rPr>
              <w:t>0.908</w:t>
            </w:r>
          </w:p>
        </w:tc>
      </w:tr>
      <w:tr w:rsidR="00566EA9" w:rsidRPr="001D41EA" w14:paraId="37F7946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2036B05" w14:textId="77777777" w:rsidR="00566EA9" w:rsidRPr="001D41EA" w:rsidRDefault="00566EA9" w:rsidP="001D41EA">
            <w:pPr>
              <w:spacing w:before="40" w:after="40"/>
              <w:rPr>
                <w:rFonts w:cs="Arial"/>
                <w:sz w:val="18"/>
                <w:szCs w:val="18"/>
              </w:rPr>
            </w:pPr>
            <w:r w:rsidRPr="001D41EA">
              <w:rPr>
                <w:rFonts w:cs="Arial"/>
                <w:sz w:val="18"/>
                <w:szCs w:val="18"/>
              </w:rPr>
              <w:t>Knox C</w:t>
            </w:r>
          </w:p>
        </w:tc>
        <w:tc>
          <w:tcPr>
            <w:tcW w:w="1134" w:type="dxa"/>
            <w:tcBorders>
              <w:top w:val="nil"/>
              <w:left w:val="single" w:sz="18" w:space="0" w:color="5F497A" w:themeColor="accent4" w:themeShade="BF"/>
              <w:bottom w:val="nil"/>
              <w:right w:val="nil"/>
            </w:tcBorders>
            <w:shd w:val="clear" w:color="auto" w:fill="auto"/>
            <w:vAlign w:val="bottom"/>
          </w:tcPr>
          <w:p w14:paraId="482D5B6F" w14:textId="74428BD7" w:rsidR="00566EA9" w:rsidRPr="001D41EA" w:rsidRDefault="00566EA9" w:rsidP="001D41EA">
            <w:pPr>
              <w:spacing w:before="40" w:after="40"/>
              <w:jc w:val="center"/>
              <w:rPr>
                <w:rFonts w:cs="Arial"/>
                <w:sz w:val="18"/>
                <w:szCs w:val="18"/>
              </w:rPr>
            </w:pPr>
            <w:r w:rsidRPr="001D41EA">
              <w:rPr>
                <w:rFonts w:cs="Arial"/>
                <w:sz w:val="18"/>
                <w:szCs w:val="18"/>
              </w:rPr>
              <w:t>0.958</w:t>
            </w:r>
          </w:p>
        </w:tc>
        <w:tc>
          <w:tcPr>
            <w:tcW w:w="1134" w:type="dxa"/>
            <w:tcBorders>
              <w:top w:val="nil"/>
              <w:left w:val="nil"/>
              <w:bottom w:val="nil"/>
              <w:right w:val="nil"/>
            </w:tcBorders>
            <w:vAlign w:val="bottom"/>
          </w:tcPr>
          <w:p w14:paraId="0F198925" w14:textId="37FBB4FC" w:rsidR="00566EA9" w:rsidRPr="001D41EA" w:rsidRDefault="00566EA9" w:rsidP="001D41EA">
            <w:pPr>
              <w:spacing w:before="40" w:after="40"/>
              <w:jc w:val="center"/>
              <w:rPr>
                <w:rFonts w:cs="Arial"/>
                <w:sz w:val="18"/>
                <w:szCs w:val="18"/>
              </w:rPr>
            </w:pPr>
            <w:r w:rsidRPr="001D41EA">
              <w:rPr>
                <w:rFonts w:cs="Arial"/>
                <w:sz w:val="18"/>
                <w:szCs w:val="18"/>
              </w:rPr>
              <w:t>0.960</w:t>
            </w:r>
          </w:p>
        </w:tc>
        <w:tc>
          <w:tcPr>
            <w:tcW w:w="1134" w:type="dxa"/>
            <w:tcBorders>
              <w:top w:val="nil"/>
              <w:left w:val="nil"/>
              <w:bottom w:val="nil"/>
              <w:right w:val="nil"/>
            </w:tcBorders>
            <w:vAlign w:val="bottom"/>
          </w:tcPr>
          <w:p w14:paraId="3B729D07" w14:textId="4E5B0761" w:rsidR="00566EA9" w:rsidRPr="001D41EA" w:rsidRDefault="00566EA9" w:rsidP="001D41EA">
            <w:pPr>
              <w:spacing w:before="40" w:after="40"/>
              <w:jc w:val="center"/>
              <w:rPr>
                <w:rFonts w:cs="Arial"/>
                <w:sz w:val="18"/>
                <w:szCs w:val="18"/>
              </w:rPr>
            </w:pPr>
            <w:r w:rsidRPr="001D41EA">
              <w:rPr>
                <w:rFonts w:cs="Arial"/>
                <w:sz w:val="18"/>
                <w:szCs w:val="18"/>
              </w:rPr>
              <w:t>0.959</w:t>
            </w:r>
          </w:p>
        </w:tc>
        <w:tc>
          <w:tcPr>
            <w:tcW w:w="1134" w:type="dxa"/>
            <w:tcBorders>
              <w:top w:val="nil"/>
              <w:left w:val="nil"/>
              <w:bottom w:val="nil"/>
              <w:right w:val="nil"/>
            </w:tcBorders>
            <w:vAlign w:val="bottom"/>
          </w:tcPr>
          <w:p w14:paraId="61AEFF6B" w14:textId="1536FA4B" w:rsidR="00566EA9" w:rsidRPr="001D41EA" w:rsidRDefault="00566EA9" w:rsidP="001D41EA">
            <w:pPr>
              <w:spacing w:before="40" w:after="40"/>
              <w:jc w:val="center"/>
              <w:rPr>
                <w:rFonts w:cs="Arial"/>
                <w:sz w:val="18"/>
                <w:szCs w:val="18"/>
              </w:rPr>
            </w:pPr>
            <w:r w:rsidRPr="001D41EA">
              <w:rPr>
                <w:rFonts w:cs="Arial"/>
                <w:sz w:val="18"/>
                <w:szCs w:val="18"/>
              </w:rPr>
              <w:t>0.947</w:t>
            </w:r>
          </w:p>
        </w:tc>
        <w:tc>
          <w:tcPr>
            <w:tcW w:w="170" w:type="dxa"/>
            <w:tcBorders>
              <w:top w:val="nil"/>
              <w:left w:val="nil"/>
              <w:bottom w:val="nil"/>
              <w:right w:val="nil"/>
            </w:tcBorders>
            <w:vAlign w:val="bottom"/>
          </w:tcPr>
          <w:p w14:paraId="1189A7CE" w14:textId="5FC6DB92"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68F74DF2" w14:textId="477BAAC1" w:rsidR="00566EA9" w:rsidRPr="001D41EA" w:rsidRDefault="00566EA9" w:rsidP="001D41EA">
            <w:pPr>
              <w:spacing w:before="40" w:after="4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72761B05" w14:textId="6E52930A" w:rsidR="00566EA9" w:rsidRPr="001D41EA" w:rsidRDefault="00566EA9" w:rsidP="001D41EA">
            <w:pPr>
              <w:spacing w:before="40" w:after="40"/>
              <w:jc w:val="center"/>
              <w:rPr>
                <w:rFonts w:cs="Arial"/>
                <w:sz w:val="18"/>
                <w:szCs w:val="18"/>
              </w:rPr>
            </w:pPr>
            <w:r w:rsidRPr="001D41EA">
              <w:rPr>
                <w:rFonts w:cs="Arial"/>
                <w:sz w:val="18"/>
                <w:szCs w:val="18"/>
              </w:rPr>
              <w:t>0.908</w:t>
            </w:r>
          </w:p>
        </w:tc>
      </w:tr>
      <w:tr w:rsidR="00566EA9" w:rsidRPr="001D41EA" w14:paraId="7A553D0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0057B41" w14:textId="77777777" w:rsidR="00566EA9" w:rsidRPr="001D41EA" w:rsidRDefault="00566EA9" w:rsidP="001D41EA">
            <w:pPr>
              <w:spacing w:before="40" w:after="40"/>
              <w:rPr>
                <w:rFonts w:cs="Arial"/>
                <w:sz w:val="18"/>
                <w:szCs w:val="18"/>
              </w:rPr>
            </w:pPr>
            <w:r w:rsidRPr="001D41EA">
              <w:rPr>
                <w:rFonts w:cs="Arial"/>
                <w:sz w:val="18"/>
                <w:szCs w:val="18"/>
              </w:rPr>
              <w:t>Latrobe C</w:t>
            </w:r>
          </w:p>
        </w:tc>
        <w:tc>
          <w:tcPr>
            <w:tcW w:w="1134" w:type="dxa"/>
            <w:tcBorders>
              <w:top w:val="nil"/>
              <w:left w:val="single" w:sz="18" w:space="0" w:color="5F497A" w:themeColor="accent4" w:themeShade="BF"/>
              <w:bottom w:val="nil"/>
              <w:right w:val="nil"/>
            </w:tcBorders>
            <w:shd w:val="clear" w:color="auto" w:fill="auto"/>
            <w:vAlign w:val="bottom"/>
          </w:tcPr>
          <w:p w14:paraId="5D5630CC" w14:textId="70DFDA2B" w:rsidR="00566EA9" w:rsidRPr="001D41EA" w:rsidRDefault="00566EA9" w:rsidP="001D41EA">
            <w:pPr>
              <w:spacing w:before="40" w:after="40"/>
              <w:jc w:val="center"/>
              <w:rPr>
                <w:rFonts w:cs="Arial"/>
                <w:sz w:val="18"/>
                <w:szCs w:val="18"/>
              </w:rPr>
            </w:pPr>
            <w:r w:rsidRPr="001D41EA">
              <w:rPr>
                <w:rFonts w:cs="Arial"/>
                <w:sz w:val="18"/>
                <w:szCs w:val="18"/>
              </w:rPr>
              <w:t>1.329</w:t>
            </w:r>
          </w:p>
        </w:tc>
        <w:tc>
          <w:tcPr>
            <w:tcW w:w="1134" w:type="dxa"/>
            <w:tcBorders>
              <w:top w:val="nil"/>
              <w:left w:val="nil"/>
              <w:bottom w:val="nil"/>
              <w:right w:val="nil"/>
            </w:tcBorders>
            <w:vAlign w:val="bottom"/>
          </w:tcPr>
          <w:p w14:paraId="4E9AE730" w14:textId="56C1A76B" w:rsidR="00566EA9" w:rsidRPr="001D41EA" w:rsidRDefault="00566EA9" w:rsidP="001D41EA">
            <w:pPr>
              <w:spacing w:before="40" w:after="40"/>
              <w:jc w:val="center"/>
              <w:rPr>
                <w:rFonts w:cs="Arial"/>
                <w:sz w:val="18"/>
                <w:szCs w:val="18"/>
              </w:rPr>
            </w:pPr>
            <w:r w:rsidRPr="001D41EA">
              <w:rPr>
                <w:rFonts w:cs="Arial"/>
                <w:sz w:val="18"/>
                <w:szCs w:val="18"/>
              </w:rPr>
              <w:t>1.332</w:t>
            </w:r>
          </w:p>
        </w:tc>
        <w:tc>
          <w:tcPr>
            <w:tcW w:w="1134" w:type="dxa"/>
            <w:tcBorders>
              <w:top w:val="nil"/>
              <w:left w:val="nil"/>
              <w:bottom w:val="nil"/>
              <w:right w:val="nil"/>
            </w:tcBorders>
            <w:vAlign w:val="bottom"/>
          </w:tcPr>
          <w:p w14:paraId="699D5D87" w14:textId="5E40A131" w:rsidR="00566EA9" w:rsidRPr="001D41EA" w:rsidRDefault="00566EA9" w:rsidP="001D41EA">
            <w:pPr>
              <w:spacing w:before="40" w:after="40"/>
              <w:jc w:val="center"/>
              <w:rPr>
                <w:rFonts w:cs="Arial"/>
                <w:sz w:val="18"/>
                <w:szCs w:val="18"/>
              </w:rPr>
            </w:pPr>
            <w:r w:rsidRPr="001D41EA">
              <w:rPr>
                <w:rFonts w:cs="Arial"/>
                <w:sz w:val="18"/>
                <w:szCs w:val="18"/>
              </w:rPr>
              <w:t>1.330</w:t>
            </w:r>
          </w:p>
        </w:tc>
        <w:tc>
          <w:tcPr>
            <w:tcW w:w="1134" w:type="dxa"/>
            <w:tcBorders>
              <w:top w:val="nil"/>
              <w:left w:val="nil"/>
              <w:bottom w:val="nil"/>
              <w:right w:val="nil"/>
            </w:tcBorders>
            <w:vAlign w:val="bottom"/>
          </w:tcPr>
          <w:p w14:paraId="27A3F78D" w14:textId="7074AF29" w:rsidR="00566EA9" w:rsidRPr="001D41EA" w:rsidRDefault="00566EA9" w:rsidP="001D41EA">
            <w:pPr>
              <w:spacing w:before="40" w:after="40"/>
              <w:jc w:val="center"/>
              <w:rPr>
                <w:rFonts w:cs="Arial"/>
                <w:sz w:val="18"/>
                <w:szCs w:val="18"/>
              </w:rPr>
            </w:pPr>
            <w:r w:rsidRPr="001D41EA">
              <w:rPr>
                <w:rFonts w:cs="Arial"/>
                <w:sz w:val="18"/>
                <w:szCs w:val="18"/>
              </w:rPr>
              <w:t>1.313</w:t>
            </w:r>
          </w:p>
        </w:tc>
        <w:tc>
          <w:tcPr>
            <w:tcW w:w="170" w:type="dxa"/>
            <w:tcBorders>
              <w:top w:val="nil"/>
              <w:left w:val="nil"/>
              <w:bottom w:val="nil"/>
              <w:right w:val="nil"/>
            </w:tcBorders>
            <w:vAlign w:val="bottom"/>
          </w:tcPr>
          <w:p w14:paraId="585CB144" w14:textId="6AE24827"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77095DC2" w14:textId="4AA9A4F3" w:rsidR="00566EA9" w:rsidRPr="001D41EA" w:rsidRDefault="00566EA9" w:rsidP="001D41EA">
            <w:pPr>
              <w:spacing w:before="40" w:after="40"/>
              <w:jc w:val="center"/>
              <w:rPr>
                <w:rFonts w:cs="Arial"/>
                <w:sz w:val="18"/>
                <w:szCs w:val="18"/>
              </w:rPr>
            </w:pPr>
            <w:r w:rsidRPr="001D41EA">
              <w:rPr>
                <w:rFonts w:cs="Arial"/>
                <w:sz w:val="18"/>
                <w:szCs w:val="18"/>
              </w:rPr>
              <w:t>1.105</w:t>
            </w:r>
          </w:p>
        </w:tc>
        <w:tc>
          <w:tcPr>
            <w:tcW w:w="1134" w:type="dxa"/>
            <w:tcBorders>
              <w:top w:val="nil"/>
              <w:left w:val="nil"/>
              <w:bottom w:val="nil"/>
              <w:right w:val="nil"/>
            </w:tcBorders>
            <w:shd w:val="clear" w:color="auto" w:fill="auto"/>
            <w:vAlign w:val="bottom"/>
          </w:tcPr>
          <w:p w14:paraId="3D5ED66F" w14:textId="6929D617" w:rsidR="00566EA9" w:rsidRPr="001D41EA" w:rsidRDefault="00566EA9" w:rsidP="001D41EA">
            <w:pPr>
              <w:spacing w:before="40" w:after="40"/>
              <w:jc w:val="center"/>
              <w:rPr>
                <w:rFonts w:cs="Arial"/>
                <w:sz w:val="18"/>
                <w:szCs w:val="18"/>
              </w:rPr>
            </w:pPr>
            <w:r w:rsidRPr="001D41EA">
              <w:rPr>
                <w:rFonts w:cs="Arial"/>
                <w:sz w:val="18"/>
                <w:szCs w:val="18"/>
              </w:rPr>
              <w:t>1.099</w:t>
            </w:r>
          </w:p>
        </w:tc>
      </w:tr>
      <w:tr w:rsidR="00566EA9" w:rsidRPr="001D41EA" w14:paraId="331BE52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3126A04" w14:textId="77777777" w:rsidR="00566EA9" w:rsidRPr="001D41EA" w:rsidRDefault="00566EA9" w:rsidP="001D41EA">
            <w:pPr>
              <w:spacing w:before="40" w:after="40"/>
              <w:rPr>
                <w:rFonts w:cs="Arial"/>
                <w:sz w:val="18"/>
                <w:szCs w:val="18"/>
              </w:rPr>
            </w:pPr>
            <w:r w:rsidRPr="001D41EA">
              <w:rPr>
                <w:rFonts w:cs="Arial"/>
                <w:sz w:val="18"/>
                <w:szCs w:val="18"/>
              </w:rPr>
              <w:t>Loddon S</w:t>
            </w:r>
          </w:p>
        </w:tc>
        <w:tc>
          <w:tcPr>
            <w:tcW w:w="1134" w:type="dxa"/>
            <w:tcBorders>
              <w:top w:val="nil"/>
              <w:left w:val="single" w:sz="18" w:space="0" w:color="5F497A" w:themeColor="accent4" w:themeShade="BF"/>
              <w:bottom w:val="nil"/>
              <w:right w:val="nil"/>
            </w:tcBorders>
            <w:shd w:val="clear" w:color="auto" w:fill="auto"/>
            <w:vAlign w:val="bottom"/>
          </w:tcPr>
          <w:p w14:paraId="6479F1B2" w14:textId="05072C11" w:rsidR="00566EA9" w:rsidRPr="001D41EA" w:rsidRDefault="00566EA9" w:rsidP="001D41EA">
            <w:pPr>
              <w:spacing w:before="40" w:after="40"/>
              <w:jc w:val="center"/>
              <w:rPr>
                <w:rFonts w:cs="Arial"/>
                <w:sz w:val="18"/>
                <w:szCs w:val="18"/>
              </w:rPr>
            </w:pPr>
            <w:r w:rsidRPr="001D41EA">
              <w:rPr>
                <w:rFonts w:cs="Arial"/>
                <w:sz w:val="18"/>
                <w:szCs w:val="18"/>
              </w:rPr>
              <w:t>0.724</w:t>
            </w:r>
          </w:p>
        </w:tc>
        <w:tc>
          <w:tcPr>
            <w:tcW w:w="1134" w:type="dxa"/>
            <w:tcBorders>
              <w:top w:val="nil"/>
              <w:left w:val="nil"/>
              <w:bottom w:val="nil"/>
              <w:right w:val="nil"/>
            </w:tcBorders>
            <w:vAlign w:val="bottom"/>
          </w:tcPr>
          <w:p w14:paraId="353A1620" w14:textId="7F323761" w:rsidR="00566EA9" w:rsidRPr="001D41EA" w:rsidRDefault="00566EA9" w:rsidP="001D41EA">
            <w:pPr>
              <w:spacing w:before="40" w:after="40"/>
              <w:jc w:val="center"/>
              <w:rPr>
                <w:rFonts w:cs="Arial"/>
                <w:sz w:val="18"/>
                <w:szCs w:val="18"/>
              </w:rPr>
            </w:pPr>
            <w:r w:rsidRPr="001D41EA">
              <w:rPr>
                <w:rFonts w:cs="Arial"/>
                <w:sz w:val="18"/>
                <w:szCs w:val="18"/>
              </w:rPr>
              <w:t>0.725</w:t>
            </w:r>
          </w:p>
        </w:tc>
        <w:tc>
          <w:tcPr>
            <w:tcW w:w="1134" w:type="dxa"/>
            <w:tcBorders>
              <w:top w:val="nil"/>
              <w:left w:val="nil"/>
              <w:bottom w:val="nil"/>
              <w:right w:val="nil"/>
            </w:tcBorders>
            <w:vAlign w:val="bottom"/>
          </w:tcPr>
          <w:p w14:paraId="5DDA87D5" w14:textId="44836EB6" w:rsidR="00566EA9" w:rsidRPr="001D41EA" w:rsidRDefault="00566EA9" w:rsidP="001D41EA">
            <w:pPr>
              <w:spacing w:before="40" w:after="40"/>
              <w:jc w:val="center"/>
              <w:rPr>
                <w:rFonts w:cs="Arial"/>
                <w:sz w:val="18"/>
                <w:szCs w:val="18"/>
              </w:rPr>
            </w:pPr>
            <w:r w:rsidRPr="001D41EA">
              <w:rPr>
                <w:rFonts w:cs="Arial"/>
                <w:sz w:val="18"/>
                <w:szCs w:val="18"/>
              </w:rPr>
              <w:t>0.724</w:t>
            </w:r>
          </w:p>
        </w:tc>
        <w:tc>
          <w:tcPr>
            <w:tcW w:w="1134" w:type="dxa"/>
            <w:tcBorders>
              <w:top w:val="nil"/>
              <w:left w:val="nil"/>
              <w:bottom w:val="nil"/>
              <w:right w:val="nil"/>
            </w:tcBorders>
            <w:vAlign w:val="bottom"/>
          </w:tcPr>
          <w:p w14:paraId="106FA903" w14:textId="013B1A4E" w:rsidR="00566EA9" w:rsidRPr="001D41EA" w:rsidRDefault="00566EA9" w:rsidP="001D41EA">
            <w:pPr>
              <w:spacing w:before="40" w:after="40"/>
              <w:jc w:val="center"/>
              <w:rPr>
                <w:rFonts w:cs="Arial"/>
                <w:sz w:val="18"/>
                <w:szCs w:val="18"/>
              </w:rPr>
            </w:pPr>
            <w:r w:rsidRPr="001D41EA">
              <w:rPr>
                <w:rFonts w:cs="Arial"/>
                <w:sz w:val="18"/>
                <w:szCs w:val="18"/>
              </w:rPr>
              <w:t>0.715</w:t>
            </w:r>
          </w:p>
        </w:tc>
        <w:tc>
          <w:tcPr>
            <w:tcW w:w="170" w:type="dxa"/>
            <w:tcBorders>
              <w:top w:val="nil"/>
              <w:left w:val="nil"/>
              <w:bottom w:val="nil"/>
              <w:right w:val="nil"/>
            </w:tcBorders>
            <w:vAlign w:val="bottom"/>
          </w:tcPr>
          <w:p w14:paraId="26B39456" w14:textId="05F6F163"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524E5C37" w14:textId="132DA8E6" w:rsidR="00566EA9" w:rsidRPr="001D41EA" w:rsidRDefault="00566EA9" w:rsidP="001D41EA">
            <w:pPr>
              <w:spacing w:before="40" w:after="40"/>
              <w:jc w:val="center"/>
              <w:rPr>
                <w:rFonts w:cs="Arial"/>
                <w:sz w:val="18"/>
                <w:szCs w:val="18"/>
              </w:rPr>
            </w:pPr>
            <w:r w:rsidRPr="001D41EA">
              <w:rPr>
                <w:rFonts w:cs="Arial"/>
                <w:sz w:val="18"/>
                <w:szCs w:val="18"/>
              </w:rPr>
              <w:t>1.357</w:t>
            </w:r>
          </w:p>
        </w:tc>
        <w:tc>
          <w:tcPr>
            <w:tcW w:w="1134" w:type="dxa"/>
            <w:tcBorders>
              <w:top w:val="nil"/>
              <w:left w:val="nil"/>
              <w:bottom w:val="nil"/>
              <w:right w:val="nil"/>
            </w:tcBorders>
            <w:shd w:val="clear" w:color="auto" w:fill="auto"/>
            <w:vAlign w:val="bottom"/>
          </w:tcPr>
          <w:p w14:paraId="233493EE" w14:textId="59B5489C" w:rsidR="00566EA9" w:rsidRPr="001D41EA" w:rsidRDefault="00566EA9" w:rsidP="001D41EA">
            <w:pPr>
              <w:spacing w:before="40" w:after="40"/>
              <w:jc w:val="center"/>
              <w:rPr>
                <w:rFonts w:cs="Arial"/>
                <w:sz w:val="18"/>
                <w:szCs w:val="18"/>
              </w:rPr>
            </w:pPr>
            <w:r w:rsidRPr="001D41EA">
              <w:rPr>
                <w:rFonts w:cs="Arial"/>
                <w:sz w:val="18"/>
                <w:szCs w:val="18"/>
              </w:rPr>
              <w:t>1.350</w:t>
            </w:r>
          </w:p>
        </w:tc>
      </w:tr>
    </w:tbl>
    <w:p w14:paraId="50330540" w14:textId="7C4948C7" w:rsidR="00EB2E62" w:rsidRPr="00A44829" w:rsidRDefault="00EB2E62" w:rsidP="00FF36E8">
      <w:pPr>
        <w:spacing w:before="40" w:after="20"/>
        <w:rPr>
          <w:rFonts w:cs="Arial"/>
          <w:sz w:val="18"/>
          <w:szCs w:val="18"/>
        </w:rPr>
      </w:pPr>
    </w:p>
    <w:p w14:paraId="227A0357" w14:textId="042D355F" w:rsidR="00A009D7" w:rsidRPr="00A44829" w:rsidRDefault="00A009D7" w:rsidP="00FF36E8">
      <w:pPr>
        <w:spacing w:before="40" w:after="20"/>
        <w:rPr>
          <w:rFonts w:cs="Arial"/>
          <w:sz w:val="18"/>
          <w:szCs w:val="18"/>
        </w:rPr>
      </w:pPr>
      <w:r w:rsidRPr="005D19CF">
        <w:rPr>
          <w:rFonts w:cs="Arial"/>
          <w:i/>
          <w:sz w:val="16"/>
          <w:szCs w:val="16"/>
        </w:rPr>
        <w:t xml:space="preserve">* Modified Population - adjusted by </w:t>
      </w:r>
      <w:r w:rsidR="005D19CF">
        <w:rPr>
          <w:rFonts w:cs="Arial"/>
          <w:i/>
          <w:sz w:val="16"/>
          <w:szCs w:val="16"/>
        </w:rPr>
        <w:t>half</w:t>
      </w:r>
      <w:r w:rsidRPr="005D19CF">
        <w:rPr>
          <w:rFonts w:cs="Arial"/>
          <w:i/>
          <w:sz w:val="16"/>
          <w:szCs w:val="16"/>
        </w:rPr>
        <w:t xml:space="preserve"> vacancy rate to take account of part-time residents.</w:t>
      </w:r>
      <w:r w:rsidRPr="00A44829">
        <w:rPr>
          <w:rFonts w:cs="Arial"/>
          <w:i/>
          <w:sz w:val="16"/>
          <w:szCs w:val="16"/>
        </w:rPr>
        <w:t xml:space="preserve">  </w:t>
      </w:r>
    </w:p>
    <w:p w14:paraId="505D3A4C" w14:textId="77777777" w:rsidR="00961975" w:rsidRPr="00A44829" w:rsidRDefault="00244A4F" w:rsidP="00FF36E8">
      <w:pPr>
        <w:spacing w:before="40" w:after="20"/>
        <w:rPr>
          <w:rFonts w:cs="Arial"/>
          <w:sz w:val="18"/>
          <w:szCs w:val="18"/>
        </w:rPr>
      </w:pPr>
      <w:r w:rsidRPr="00A44829">
        <w:rPr>
          <w:rFonts w:cs="Arial"/>
          <w:sz w:val="18"/>
          <w:szCs w:val="18"/>
        </w:rPr>
        <w:br w:type="page"/>
      </w:r>
    </w:p>
    <w:p w14:paraId="23924B7B" w14:textId="749DAAA1" w:rsidR="00961975" w:rsidRPr="00A44829" w:rsidRDefault="00EE4593" w:rsidP="00C33713">
      <w:pPr>
        <w:pStyle w:val="VGC-Head10"/>
      </w:pPr>
      <w:r w:rsidRPr="00A44829">
        <w:lastRenderedPageBreak/>
        <w:t>2019-20</w:t>
      </w:r>
      <w:r w:rsidR="00A97ABE" w:rsidRPr="00A44829">
        <w:t xml:space="preserve"> </w:t>
      </w:r>
      <w:r w:rsidR="00961975" w:rsidRPr="00A44829">
        <w:t>General Purpose Grants</w:t>
      </w:r>
      <w:r w:rsidR="00CE4507" w:rsidRPr="00A44829">
        <w:tab/>
        <w:t>Appendix 4</w:t>
      </w:r>
    </w:p>
    <w:p w14:paraId="3E66674E" w14:textId="12643C35" w:rsidR="00961975" w:rsidRPr="00A44829" w:rsidRDefault="004F1184" w:rsidP="008C1A28">
      <w:pPr>
        <w:pStyle w:val="VGC-Head2"/>
      </w:pPr>
      <w:r w:rsidRPr="00A44829">
        <w:tab/>
      </w:r>
      <w:r w:rsidR="00961975" w:rsidRPr="00A44829">
        <w:t xml:space="preserve">D.  Cost Adjustors - </w:t>
      </w:r>
      <w:r w:rsidR="002A2397">
        <w:t>Index</w:t>
      </w:r>
    </w:p>
    <w:p w14:paraId="7995E8F5" w14:textId="77777777" w:rsidR="007B7FEA" w:rsidRPr="00A44829" w:rsidRDefault="007B7FEA"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A44829" w14:paraId="0902B232" w14:textId="77777777" w:rsidTr="00A66703">
        <w:tc>
          <w:tcPr>
            <w:tcW w:w="2268" w:type="dxa"/>
            <w:tcBorders>
              <w:top w:val="nil"/>
              <w:left w:val="nil"/>
              <w:bottom w:val="nil"/>
              <w:right w:val="single" w:sz="18" w:space="0" w:color="5F497A" w:themeColor="accent4" w:themeShade="BF"/>
            </w:tcBorders>
            <w:shd w:val="clear" w:color="auto" w:fill="auto"/>
            <w:vAlign w:val="bottom"/>
          </w:tcPr>
          <w:p w14:paraId="0717061A" w14:textId="77777777" w:rsidR="009E2B93" w:rsidRPr="00A44829" w:rsidRDefault="009E2B93" w:rsidP="00576338">
            <w:pPr>
              <w:spacing w:before="40" w:after="20"/>
              <w:ind w:right="105"/>
              <w:jc w:val="right"/>
              <w:rPr>
                <w:rFonts w:cs="Arial"/>
                <w:b/>
                <w:sz w:val="18"/>
                <w:szCs w:val="18"/>
              </w:rPr>
            </w:pPr>
            <w:r w:rsidRPr="00A44829">
              <w:rPr>
                <w:rFonts w:cs="Arial"/>
                <w:b/>
                <w:sz w:val="18"/>
                <w:szCs w:val="18"/>
              </w:rPr>
              <w:t>Cost Adjustor</w:t>
            </w:r>
          </w:p>
        </w:tc>
        <w:tc>
          <w:tcPr>
            <w:tcW w:w="2268" w:type="dxa"/>
            <w:gridSpan w:val="2"/>
            <w:tcBorders>
              <w:top w:val="nil"/>
              <w:left w:val="single" w:sz="18" w:space="0" w:color="5F497A" w:themeColor="accent4" w:themeShade="BF"/>
              <w:bottom w:val="single" w:sz="8" w:space="0" w:color="5F497A" w:themeColor="accent4" w:themeShade="BF"/>
            </w:tcBorders>
            <w:shd w:val="clear" w:color="auto" w:fill="auto"/>
            <w:vAlign w:val="bottom"/>
          </w:tcPr>
          <w:p w14:paraId="1951DA1B" w14:textId="09CB7065" w:rsidR="009E2B93" w:rsidRPr="00A44829" w:rsidRDefault="009E2B93" w:rsidP="008001AD">
            <w:pPr>
              <w:spacing w:before="40" w:after="20"/>
              <w:jc w:val="center"/>
              <w:rPr>
                <w:rFonts w:cs="Arial"/>
                <w:b/>
                <w:sz w:val="18"/>
                <w:szCs w:val="18"/>
              </w:rPr>
            </w:pPr>
            <w:r w:rsidRPr="00A44829">
              <w:rPr>
                <w:rFonts w:cs="Arial"/>
                <w:b/>
                <w:sz w:val="18"/>
                <w:szCs w:val="18"/>
              </w:rPr>
              <w:t>Socio-Economic</w:t>
            </w:r>
          </w:p>
        </w:tc>
        <w:tc>
          <w:tcPr>
            <w:tcW w:w="170" w:type="dxa"/>
            <w:vMerge w:val="restart"/>
            <w:tcBorders>
              <w:top w:val="nil"/>
              <w:left w:val="nil"/>
              <w:bottom w:val="single" w:sz="8" w:space="0" w:color="5F497A" w:themeColor="accent4" w:themeShade="BF"/>
              <w:right w:val="nil"/>
            </w:tcBorders>
            <w:vAlign w:val="bottom"/>
          </w:tcPr>
          <w:p w14:paraId="7428FC4C" w14:textId="77777777" w:rsidR="009E2B93" w:rsidRPr="00A44829" w:rsidRDefault="009E2B93" w:rsidP="008001AD">
            <w:pPr>
              <w:spacing w:before="40" w:after="20"/>
              <w:jc w:val="center"/>
              <w:rPr>
                <w:rFonts w:cs="Arial"/>
                <w:b/>
                <w:sz w:val="18"/>
                <w:szCs w:val="18"/>
              </w:rPr>
            </w:pPr>
          </w:p>
        </w:tc>
        <w:tc>
          <w:tcPr>
            <w:tcW w:w="4536" w:type="dxa"/>
            <w:gridSpan w:val="4"/>
            <w:tcBorders>
              <w:top w:val="nil"/>
              <w:left w:val="nil"/>
              <w:bottom w:val="single" w:sz="8" w:space="0" w:color="5F497A" w:themeColor="accent4" w:themeShade="BF"/>
              <w:right w:val="nil"/>
            </w:tcBorders>
            <w:vAlign w:val="bottom"/>
          </w:tcPr>
          <w:p w14:paraId="6363DC2E" w14:textId="10878345" w:rsidR="009E2B93" w:rsidRPr="00A44829" w:rsidRDefault="009E2B93" w:rsidP="008001AD">
            <w:pPr>
              <w:spacing w:before="40" w:after="20"/>
              <w:jc w:val="center"/>
              <w:rPr>
                <w:rFonts w:cs="Arial"/>
                <w:b/>
                <w:sz w:val="18"/>
                <w:szCs w:val="18"/>
              </w:rPr>
            </w:pPr>
            <w:r w:rsidRPr="00A44829">
              <w:rPr>
                <w:rFonts w:cs="Arial"/>
                <w:b/>
                <w:sz w:val="18"/>
                <w:szCs w:val="18"/>
              </w:rPr>
              <w:t>Tourism</w:t>
            </w:r>
          </w:p>
        </w:tc>
      </w:tr>
      <w:tr w:rsidR="009E2B93" w:rsidRPr="00A44829" w14:paraId="6F1A06C6" w14:textId="77777777" w:rsidTr="009E2B93">
        <w:tc>
          <w:tcPr>
            <w:tcW w:w="2268" w:type="dxa"/>
            <w:tcBorders>
              <w:top w:val="nil"/>
              <w:left w:val="nil"/>
              <w:bottom w:val="nil"/>
              <w:right w:val="single" w:sz="18" w:space="0" w:color="5F497A" w:themeColor="accent4" w:themeShade="BF"/>
            </w:tcBorders>
            <w:shd w:val="clear" w:color="auto" w:fill="auto"/>
            <w:vAlign w:val="bottom"/>
          </w:tcPr>
          <w:p w14:paraId="477AE7B4" w14:textId="77777777" w:rsidR="009E2B93" w:rsidRPr="005D19CF" w:rsidRDefault="009E2B93" w:rsidP="00576338">
            <w:pPr>
              <w:spacing w:before="40" w:after="20"/>
              <w:ind w:right="105"/>
              <w:jc w:val="right"/>
              <w:rPr>
                <w:rFonts w:cs="Arial"/>
                <w:b/>
                <w:sz w:val="16"/>
                <w:szCs w:val="16"/>
              </w:rPr>
            </w:pPr>
            <w:r w:rsidRPr="005D19CF">
              <w:rPr>
                <w:rFonts w:cs="Arial"/>
                <w:b/>
                <w:sz w:val="16"/>
                <w:szCs w:val="16"/>
              </w:rPr>
              <w:t>Major Cost Driver</w:t>
            </w: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5117BF6E" w14:textId="77777777" w:rsidR="009E2B93" w:rsidRPr="005D19CF" w:rsidRDefault="009E2B93" w:rsidP="008001AD">
            <w:pPr>
              <w:spacing w:before="40" w:after="20"/>
              <w:jc w:val="center"/>
              <w:rPr>
                <w:rFonts w:cs="Arial"/>
                <w:sz w:val="16"/>
                <w:szCs w:val="16"/>
              </w:rPr>
            </w:pPr>
            <w:r w:rsidRPr="005D19CF">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1717AD0A" w14:textId="77777777" w:rsidR="009E2B93" w:rsidRPr="005D19CF" w:rsidRDefault="009E2B93" w:rsidP="008001AD">
            <w:pPr>
              <w:spacing w:before="40" w:after="20"/>
              <w:jc w:val="center"/>
              <w:rPr>
                <w:rFonts w:cs="Arial"/>
                <w:sz w:val="16"/>
                <w:szCs w:val="16"/>
              </w:rPr>
            </w:pPr>
            <w:r w:rsidRPr="005D19CF">
              <w:rPr>
                <w:rFonts w:cs="Arial"/>
                <w:sz w:val="16"/>
                <w:szCs w:val="16"/>
              </w:rPr>
              <w:t xml:space="preserve">Population </w:t>
            </w:r>
            <w:r w:rsidRPr="005D19CF">
              <w:rPr>
                <w:rFonts w:cs="Arial"/>
                <w:sz w:val="16"/>
                <w:szCs w:val="16"/>
              </w:rPr>
              <w:br/>
              <w:t>&gt; 60 years</w:t>
            </w:r>
          </w:p>
        </w:tc>
        <w:tc>
          <w:tcPr>
            <w:tcW w:w="170" w:type="dxa"/>
            <w:vMerge/>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02561674" w14:textId="77777777" w:rsidR="009E2B93" w:rsidRPr="005D19CF" w:rsidRDefault="009E2B93" w:rsidP="008001AD">
            <w:pPr>
              <w:spacing w:before="40" w:after="20"/>
              <w:jc w:val="center"/>
              <w:rPr>
                <w:rFonts w:cs="Arial"/>
                <w:b/>
                <w:sz w:val="16"/>
                <w:szCs w:val="16"/>
              </w:rPr>
            </w:pP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3BA80DFF" w14:textId="77777777" w:rsidR="009E2B93" w:rsidRPr="005D19CF" w:rsidRDefault="009E2B93" w:rsidP="008001AD">
            <w:pPr>
              <w:spacing w:before="40" w:after="20"/>
              <w:jc w:val="center"/>
              <w:rPr>
                <w:rFonts w:cs="Arial"/>
                <w:sz w:val="16"/>
                <w:szCs w:val="16"/>
              </w:rPr>
            </w:pPr>
            <w:r w:rsidRPr="005D19CF">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392DCFC6" w14:textId="413CE609" w:rsidR="009E2B93" w:rsidRPr="005D19CF" w:rsidRDefault="009E2B93" w:rsidP="008001AD">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15,000)</w:t>
            </w:r>
          </w:p>
        </w:tc>
        <w:tc>
          <w:tcPr>
            <w:tcW w:w="1134" w:type="dxa"/>
            <w:tcBorders>
              <w:top w:val="single" w:sz="8" w:space="0" w:color="5F497A" w:themeColor="accent4" w:themeShade="BF"/>
              <w:left w:val="nil"/>
              <w:bottom w:val="single" w:sz="8" w:space="0" w:color="5F497A" w:themeColor="accent4" w:themeShade="BF"/>
              <w:right w:val="nil"/>
            </w:tcBorders>
          </w:tcPr>
          <w:p w14:paraId="3F1A8490" w14:textId="7B0744D6" w:rsidR="009E2B93" w:rsidRPr="005D19CF" w:rsidRDefault="009E2B93" w:rsidP="008001AD">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(no min)</w:t>
            </w:r>
          </w:p>
        </w:tc>
        <w:tc>
          <w:tcPr>
            <w:tcW w:w="1134" w:type="dxa"/>
            <w:tcBorders>
              <w:top w:val="single" w:sz="8" w:space="0" w:color="5F497A" w:themeColor="accent4" w:themeShade="BF"/>
              <w:left w:val="nil"/>
              <w:bottom w:val="single" w:sz="8" w:space="0" w:color="5F497A" w:themeColor="accent4" w:themeShade="BF"/>
              <w:right w:val="nil"/>
            </w:tcBorders>
          </w:tcPr>
          <w:p w14:paraId="2D88AB22" w14:textId="38DADB44" w:rsidR="009E2B93" w:rsidRPr="00A44829" w:rsidRDefault="009E2B93" w:rsidP="008001AD">
            <w:pPr>
              <w:spacing w:before="40" w:after="20"/>
              <w:jc w:val="center"/>
              <w:rPr>
                <w:rFonts w:cs="Arial"/>
                <w:sz w:val="16"/>
                <w:szCs w:val="16"/>
              </w:rPr>
            </w:pPr>
            <w:r w:rsidRPr="005D19CF">
              <w:rPr>
                <w:rFonts w:cs="Arial"/>
                <w:sz w:val="16"/>
                <w:szCs w:val="16"/>
              </w:rPr>
              <w:t xml:space="preserve">No of </w:t>
            </w:r>
            <w:r w:rsidRPr="005D19CF">
              <w:rPr>
                <w:rFonts w:cs="Arial"/>
                <w:sz w:val="16"/>
                <w:szCs w:val="16"/>
              </w:rPr>
              <w:br/>
              <w:t>Dwellings</w:t>
            </w:r>
          </w:p>
        </w:tc>
      </w:tr>
      <w:tr w:rsidR="00566EA9" w:rsidRPr="001D41EA" w14:paraId="759DE67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482C873" w14:textId="77777777" w:rsidR="00566EA9" w:rsidRPr="001D41EA" w:rsidRDefault="00566EA9" w:rsidP="001D41EA">
            <w:pPr>
              <w:spacing w:before="40" w:after="4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3850BA9F" w14:textId="6D97281F"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0C142D3F" w14:textId="5AEB2033" w:rsidR="00566EA9" w:rsidRPr="001D41EA" w:rsidRDefault="00566EA9" w:rsidP="001D41EA">
            <w:pPr>
              <w:spacing w:before="40" w:after="4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7D18884C" w14:textId="093F36F2"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3131D794" w14:textId="592BA366"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602807EE" w14:textId="7A2876D0"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2DC3E8A0" w14:textId="7D6305F1" w:rsidR="00566EA9" w:rsidRPr="001D41EA" w:rsidRDefault="00566EA9" w:rsidP="001D41EA">
            <w:pPr>
              <w:spacing w:before="40" w:after="4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7AC51404" w14:textId="5AE7DC78" w:rsidR="00566EA9" w:rsidRPr="001D41EA" w:rsidRDefault="00566EA9" w:rsidP="001D41EA">
            <w:pPr>
              <w:spacing w:before="40" w:after="40"/>
              <w:jc w:val="center"/>
              <w:rPr>
                <w:rFonts w:cs="Arial"/>
                <w:sz w:val="18"/>
                <w:szCs w:val="18"/>
              </w:rPr>
            </w:pPr>
          </w:p>
        </w:tc>
      </w:tr>
      <w:tr w:rsidR="00566EA9" w:rsidRPr="001D41EA" w14:paraId="7349FE8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5A07884" w14:textId="77777777" w:rsidR="00566EA9" w:rsidRPr="001D41EA" w:rsidRDefault="00566EA9" w:rsidP="001D41EA">
            <w:pPr>
              <w:spacing w:before="40" w:after="40"/>
              <w:rPr>
                <w:rFonts w:cs="Arial"/>
                <w:sz w:val="18"/>
                <w:szCs w:val="18"/>
              </w:rPr>
            </w:pPr>
            <w:r w:rsidRPr="001D41EA">
              <w:rPr>
                <w:rFonts w:cs="Arial"/>
                <w:sz w:val="18"/>
                <w:szCs w:val="18"/>
              </w:rPr>
              <w:t>Alpine S</w:t>
            </w:r>
          </w:p>
        </w:tc>
        <w:tc>
          <w:tcPr>
            <w:tcW w:w="1134" w:type="dxa"/>
            <w:tcBorders>
              <w:top w:val="nil"/>
              <w:left w:val="single" w:sz="18" w:space="0" w:color="5F497A" w:themeColor="accent4" w:themeShade="BF"/>
              <w:bottom w:val="nil"/>
              <w:right w:val="nil"/>
            </w:tcBorders>
            <w:shd w:val="clear" w:color="auto" w:fill="auto"/>
            <w:vAlign w:val="bottom"/>
          </w:tcPr>
          <w:p w14:paraId="383C4CD3" w14:textId="43A9970B" w:rsidR="00566EA9" w:rsidRPr="001D41EA" w:rsidRDefault="00566EA9" w:rsidP="001D41EA">
            <w:pPr>
              <w:spacing w:before="40" w:after="40"/>
              <w:jc w:val="center"/>
              <w:rPr>
                <w:rFonts w:cs="Arial"/>
                <w:sz w:val="18"/>
                <w:szCs w:val="18"/>
              </w:rPr>
            </w:pPr>
            <w:r w:rsidRPr="001D41EA">
              <w:rPr>
                <w:rFonts w:cs="Arial"/>
                <w:sz w:val="18"/>
                <w:szCs w:val="18"/>
              </w:rPr>
              <w:t>1.056</w:t>
            </w:r>
          </w:p>
        </w:tc>
        <w:tc>
          <w:tcPr>
            <w:tcW w:w="1134" w:type="dxa"/>
            <w:tcBorders>
              <w:top w:val="nil"/>
              <w:left w:val="nil"/>
              <w:bottom w:val="nil"/>
              <w:right w:val="nil"/>
            </w:tcBorders>
            <w:shd w:val="clear" w:color="auto" w:fill="auto"/>
            <w:vAlign w:val="bottom"/>
          </w:tcPr>
          <w:p w14:paraId="7C5C1191" w14:textId="5C146373" w:rsidR="00566EA9" w:rsidRPr="001D41EA" w:rsidRDefault="00566EA9" w:rsidP="001D41EA">
            <w:pPr>
              <w:spacing w:before="40" w:after="40"/>
              <w:jc w:val="center"/>
              <w:rPr>
                <w:rFonts w:cs="Arial"/>
                <w:sz w:val="18"/>
                <w:szCs w:val="18"/>
              </w:rPr>
            </w:pPr>
            <w:r w:rsidRPr="001D41EA">
              <w:rPr>
                <w:rFonts w:cs="Arial"/>
                <w:sz w:val="18"/>
                <w:szCs w:val="18"/>
              </w:rPr>
              <w:t>1.045</w:t>
            </w:r>
          </w:p>
        </w:tc>
        <w:tc>
          <w:tcPr>
            <w:tcW w:w="170" w:type="dxa"/>
            <w:tcBorders>
              <w:top w:val="nil"/>
              <w:left w:val="nil"/>
              <w:bottom w:val="nil"/>
              <w:right w:val="nil"/>
            </w:tcBorders>
            <w:vAlign w:val="bottom"/>
          </w:tcPr>
          <w:p w14:paraId="731ADC7C" w14:textId="51F28EAB"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68898824" w14:textId="1538268B" w:rsidR="00566EA9" w:rsidRPr="001D41EA" w:rsidRDefault="00566EA9" w:rsidP="001D41EA">
            <w:pPr>
              <w:spacing w:before="40" w:after="40"/>
              <w:jc w:val="center"/>
              <w:rPr>
                <w:rFonts w:cs="Arial"/>
                <w:sz w:val="18"/>
                <w:szCs w:val="18"/>
              </w:rPr>
            </w:pPr>
            <w:r w:rsidRPr="001D41EA">
              <w:rPr>
                <w:rFonts w:cs="Arial"/>
                <w:sz w:val="18"/>
                <w:szCs w:val="18"/>
              </w:rPr>
              <w:t>1.723</w:t>
            </w:r>
          </w:p>
        </w:tc>
        <w:tc>
          <w:tcPr>
            <w:tcW w:w="1134" w:type="dxa"/>
            <w:tcBorders>
              <w:top w:val="nil"/>
              <w:left w:val="nil"/>
              <w:bottom w:val="nil"/>
              <w:right w:val="nil"/>
            </w:tcBorders>
            <w:vAlign w:val="bottom"/>
          </w:tcPr>
          <w:p w14:paraId="7F38BA18" w14:textId="262B6E53" w:rsidR="00566EA9" w:rsidRPr="001D41EA" w:rsidRDefault="00566EA9" w:rsidP="001D41EA">
            <w:pPr>
              <w:spacing w:before="40" w:after="40"/>
              <w:jc w:val="center"/>
              <w:rPr>
                <w:rFonts w:cs="Arial"/>
                <w:sz w:val="18"/>
                <w:szCs w:val="18"/>
              </w:rPr>
            </w:pPr>
            <w:r w:rsidRPr="001D41EA">
              <w:rPr>
                <w:rFonts w:cs="Arial"/>
                <w:sz w:val="18"/>
                <w:szCs w:val="18"/>
              </w:rPr>
              <w:t>1.712</w:t>
            </w:r>
          </w:p>
        </w:tc>
        <w:tc>
          <w:tcPr>
            <w:tcW w:w="1134" w:type="dxa"/>
            <w:tcBorders>
              <w:top w:val="nil"/>
              <w:left w:val="nil"/>
              <w:bottom w:val="nil"/>
              <w:right w:val="nil"/>
            </w:tcBorders>
            <w:vAlign w:val="bottom"/>
          </w:tcPr>
          <w:p w14:paraId="17C9E6BC" w14:textId="6B343918" w:rsidR="00566EA9" w:rsidRPr="001D41EA" w:rsidRDefault="00566EA9" w:rsidP="001D41EA">
            <w:pPr>
              <w:spacing w:before="40" w:after="40"/>
              <w:jc w:val="center"/>
              <w:rPr>
                <w:rFonts w:cs="Arial"/>
                <w:sz w:val="18"/>
                <w:szCs w:val="18"/>
              </w:rPr>
            </w:pPr>
            <w:r w:rsidRPr="001D41EA">
              <w:rPr>
                <w:rFonts w:cs="Arial"/>
                <w:sz w:val="18"/>
                <w:szCs w:val="18"/>
              </w:rPr>
              <w:t>1.716</w:t>
            </w:r>
          </w:p>
        </w:tc>
        <w:tc>
          <w:tcPr>
            <w:tcW w:w="1134" w:type="dxa"/>
            <w:tcBorders>
              <w:top w:val="nil"/>
              <w:left w:val="nil"/>
              <w:bottom w:val="nil"/>
              <w:right w:val="nil"/>
            </w:tcBorders>
            <w:vAlign w:val="bottom"/>
          </w:tcPr>
          <w:p w14:paraId="3E4835F0" w14:textId="4D7F50D8" w:rsidR="00566EA9" w:rsidRPr="001D41EA" w:rsidRDefault="00566EA9" w:rsidP="001D41EA">
            <w:pPr>
              <w:spacing w:before="40" w:after="40"/>
              <w:jc w:val="center"/>
              <w:rPr>
                <w:rFonts w:cs="Arial"/>
                <w:sz w:val="18"/>
                <w:szCs w:val="18"/>
              </w:rPr>
            </w:pPr>
            <w:r w:rsidRPr="001D41EA">
              <w:rPr>
                <w:rFonts w:cs="Arial"/>
                <w:sz w:val="18"/>
                <w:szCs w:val="18"/>
              </w:rPr>
              <w:t>1.682</w:t>
            </w:r>
          </w:p>
        </w:tc>
      </w:tr>
      <w:tr w:rsidR="00566EA9" w:rsidRPr="001D41EA" w14:paraId="0C7B629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8B709D6" w14:textId="77777777" w:rsidR="00566EA9" w:rsidRPr="001D41EA" w:rsidRDefault="00566EA9" w:rsidP="001D41EA">
            <w:pPr>
              <w:spacing w:before="40" w:after="40"/>
              <w:rPr>
                <w:rFonts w:cs="Arial"/>
                <w:sz w:val="18"/>
                <w:szCs w:val="18"/>
              </w:rPr>
            </w:pPr>
            <w:r w:rsidRPr="001D41EA">
              <w:rPr>
                <w:rFonts w:cs="Arial"/>
                <w:sz w:val="18"/>
                <w:szCs w:val="18"/>
              </w:rPr>
              <w:t>Ararat RC</w:t>
            </w:r>
          </w:p>
        </w:tc>
        <w:tc>
          <w:tcPr>
            <w:tcW w:w="1134" w:type="dxa"/>
            <w:tcBorders>
              <w:top w:val="nil"/>
              <w:left w:val="single" w:sz="18" w:space="0" w:color="5F497A" w:themeColor="accent4" w:themeShade="BF"/>
              <w:bottom w:val="nil"/>
              <w:right w:val="nil"/>
            </w:tcBorders>
            <w:shd w:val="clear" w:color="auto" w:fill="auto"/>
            <w:vAlign w:val="bottom"/>
          </w:tcPr>
          <w:p w14:paraId="210153F3" w14:textId="284D4384" w:rsidR="00566EA9" w:rsidRPr="001D41EA" w:rsidRDefault="00566EA9" w:rsidP="001D41EA">
            <w:pPr>
              <w:spacing w:before="40" w:after="40"/>
              <w:jc w:val="center"/>
              <w:rPr>
                <w:rFonts w:cs="Arial"/>
                <w:sz w:val="18"/>
                <w:szCs w:val="18"/>
              </w:rPr>
            </w:pPr>
            <w:r w:rsidRPr="001D41EA">
              <w:rPr>
                <w:rFonts w:cs="Arial"/>
                <w:sz w:val="18"/>
                <w:szCs w:val="18"/>
              </w:rPr>
              <w:t>1.230</w:t>
            </w:r>
          </w:p>
        </w:tc>
        <w:tc>
          <w:tcPr>
            <w:tcW w:w="1134" w:type="dxa"/>
            <w:tcBorders>
              <w:top w:val="nil"/>
              <w:left w:val="nil"/>
              <w:bottom w:val="nil"/>
              <w:right w:val="nil"/>
            </w:tcBorders>
            <w:shd w:val="clear" w:color="auto" w:fill="auto"/>
            <w:vAlign w:val="bottom"/>
          </w:tcPr>
          <w:p w14:paraId="4AFE58D5" w14:textId="3723D8A6" w:rsidR="00566EA9" w:rsidRPr="001D41EA" w:rsidRDefault="00566EA9" w:rsidP="001D41EA">
            <w:pPr>
              <w:spacing w:before="40" w:after="40"/>
              <w:jc w:val="center"/>
              <w:rPr>
                <w:rFonts w:cs="Arial"/>
                <w:sz w:val="18"/>
                <w:szCs w:val="18"/>
              </w:rPr>
            </w:pPr>
            <w:r w:rsidRPr="001D41EA">
              <w:rPr>
                <w:rFonts w:cs="Arial"/>
                <w:sz w:val="18"/>
                <w:szCs w:val="18"/>
              </w:rPr>
              <w:t>1.218</w:t>
            </w:r>
          </w:p>
        </w:tc>
        <w:tc>
          <w:tcPr>
            <w:tcW w:w="170" w:type="dxa"/>
            <w:tcBorders>
              <w:top w:val="nil"/>
              <w:left w:val="nil"/>
              <w:bottom w:val="nil"/>
              <w:right w:val="nil"/>
            </w:tcBorders>
            <w:vAlign w:val="bottom"/>
          </w:tcPr>
          <w:p w14:paraId="1AA2CF21" w14:textId="438191C9"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72F0E01B" w14:textId="753B2CE5" w:rsidR="00566EA9" w:rsidRPr="001D41EA" w:rsidRDefault="00566EA9" w:rsidP="001D41EA">
            <w:pPr>
              <w:spacing w:before="40" w:after="40"/>
              <w:jc w:val="center"/>
              <w:rPr>
                <w:rFonts w:cs="Arial"/>
                <w:sz w:val="18"/>
                <w:szCs w:val="18"/>
              </w:rPr>
            </w:pPr>
            <w:r w:rsidRPr="001D41EA">
              <w:rPr>
                <w:rFonts w:cs="Arial"/>
                <w:sz w:val="18"/>
                <w:szCs w:val="18"/>
              </w:rPr>
              <w:t>1.126</w:t>
            </w:r>
          </w:p>
        </w:tc>
        <w:tc>
          <w:tcPr>
            <w:tcW w:w="1134" w:type="dxa"/>
            <w:tcBorders>
              <w:top w:val="nil"/>
              <w:left w:val="nil"/>
              <w:bottom w:val="nil"/>
              <w:right w:val="nil"/>
            </w:tcBorders>
            <w:vAlign w:val="bottom"/>
          </w:tcPr>
          <w:p w14:paraId="1DD251B7" w14:textId="7A36502A" w:rsidR="00566EA9" w:rsidRPr="001D41EA" w:rsidRDefault="00566EA9" w:rsidP="001D41EA">
            <w:pPr>
              <w:spacing w:before="40" w:after="40"/>
              <w:jc w:val="center"/>
              <w:rPr>
                <w:rFonts w:cs="Arial"/>
                <w:sz w:val="18"/>
                <w:szCs w:val="18"/>
              </w:rPr>
            </w:pPr>
            <w:r w:rsidRPr="001D41EA">
              <w:rPr>
                <w:rFonts w:cs="Arial"/>
                <w:sz w:val="18"/>
                <w:szCs w:val="18"/>
              </w:rPr>
              <w:t>1.118</w:t>
            </w:r>
          </w:p>
        </w:tc>
        <w:tc>
          <w:tcPr>
            <w:tcW w:w="1134" w:type="dxa"/>
            <w:tcBorders>
              <w:top w:val="nil"/>
              <w:left w:val="nil"/>
              <w:bottom w:val="nil"/>
              <w:right w:val="nil"/>
            </w:tcBorders>
            <w:vAlign w:val="bottom"/>
          </w:tcPr>
          <w:p w14:paraId="5FFE1BC6" w14:textId="10AE4895" w:rsidR="00566EA9" w:rsidRPr="001D41EA" w:rsidRDefault="00566EA9" w:rsidP="001D41EA">
            <w:pPr>
              <w:spacing w:before="40" w:after="40"/>
              <w:jc w:val="center"/>
              <w:rPr>
                <w:rFonts w:cs="Arial"/>
                <w:sz w:val="18"/>
                <w:szCs w:val="18"/>
              </w:rPr>
            </w:pPr>
            <w:r w:rsidRPr="001D41EA">
              <w:rPr>
                <w:rFonts w:cs="Arial"/>
                <w:sz w:val="18"/>
                <w:szCs w:val="18"/>
              </w:rPr>
              <w:t>1.121</w:t>
            </w:r>
          </w:p>
        </w:tc>
        <w:tc>
          <w:tcPr>
            <w:tcW w:w="1134" w:type="dxa"/>
            <w:tcBorders>
              <w:top w:val="nil"/>
              <w:left w:val="nil"/>
              <w:bottom w:val="nil"/>
              <w:right w:val="nil"/>
            </w:tcBorders>
            <w:vAlign w:val="bottom"/>
          </w:tcPr>
          <w:p w14:paraId="28958E28" w14:textId="09233035" w:rsidR="00566EA9" w:rsidRPr="001D41EA" w:rsidRDefault="00566EA9" w:rsidP="001D41EA">
            <w:pPr>
              <w:spacing w:before="40" w:after="40"/>
              <w:jc w:val="center"/>
              <w:rPr>
                <w:rFonts w:cs="Arial"/>
                <w:sz w:val="18"/>
                <w:szCs w:val="18"/>
              </w:rPr>
            </w:pPr>
            <w:r w:rsidRPr="001D41EA">
              <w:rPr>
                <w:rFonts w:cs="Arial"/>
                <w:sz w:val="18"/>
                <w:szCs w:val="18"/>
              </w:rPr>
              <w:t>1.098</w:t>
            </w:r>
          </w:p>
        </w:tc>
      </w:tr>
      <w:tr w:rsidR="00566EA9" w:rsidRPr="001D41EA" w14:paraId="5BD967E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482B87C" w14:textId="77777777" w:rsidR="00566EA9" w:rsidRPr="001D41EA" w:rsidRDefault="00566EA9" w:rsidP="001D41EA">
            <w:pPr>
              <w:spacing w:before="40" w:after="40"/>
              <w:rPr>
                <w:rFonts w:cs="Arial"/>
                <w:sz w:val="18"/>
                <w:szCs w:val="18"/>
              </w:rPr>
            </w:pPr>
            <w:r w:rsidRPr="001D41EA">
              <w:rPr>
                <w:rFonts w:cs="Arial"/>
                <w:sz w:val="18"/>
                <w:szCs w:val="18"/>
              </w:rPr>
              <w:t>Ballarat C</w:t>
            </w:r>
          </w:p>
        </w:tc>
        <w:tc>
          <w:tcPr>
            <w:tcW w:w="1134" w:type="dxa"/>
            <w:tcBorders>
              <w:top w:val="nil"/>
              <w:left w:val="single" w:sz="18" w:space="0" w:color="5F497A" w:themeColor="accent4" w:themeShade="BF"/>
              <w:bottom w:val="nil"/>
              <w:right w:val="nil"/>
            </w:tcBorders>
            <w:shd w:val="clear" w:color="auto" w:fill="auto"/>
            <w:vAlign w:val="bottom"/>
          </w:tcPr>
          <w:p w14:paraId="55EC67A1" w14:textId="25FD1DF3" w:rsidR="00566EA9" w:rsidRPr="001D41EA" w:rsidRDefault="00566EA9" w:rsidP="001D41EA">
            <w:pPr>
              <w:spacing w:before="40" w:after="40"/>
              <w:jc w:val="center"/>
              <w:rPr>
                <w:rFonts w:cs="Arial"/>
                <w:sz w:val="18"/>
                <w:szCs w:val="18"/>
              </w:rPr>
            </w:pPr>
            <w:r w:rsidRPr="001D41EA">
              <w:rPr>
                <w:rFonts w:cs="Arial"/>
                <w:sz w:val="18"/>
                <w:szCs w:val="18"/>
              </w:rPr>
              <w:t>1.103</w:t>
            </w:r>
          </w:p>
        </w:tc>
        <w:tc>
          <w:tcPr>
            <w:tcW w:w="1134" w:type="dxa"/>
            <w:tcBorders>
              <w:top w:val="nil"/>
              <w:left w:val="nil"/>
              <w:bottom w:val="nil"/>
              <w:right w:val="nil"/>
            </w:tcBorders>
            <w:shd w:val="clear" w:color="auto" w:fill="auto"/>
            <w:vAlign w:val="bottom"/>
          </w:tcPr>
          <w:p w14:paraId="69506B9E" w14:textId="7A72ABB2" w:rsidR="00566EA9" w:rsidRPr="001D41EA" w:rsidRDefault="00566EA9" w:rsidP="001D41EA">
            <w:pPr>
              <w:spacing w:before="40" w:after="40"/>
              <w:jc w:val="center"/>
              <w:rPr>
                <w:rFonts w:cs="Arial"/>
                <w:sz w:val="18"/>
                <w:szCs w:val="18"/>
              </w:rPr>
            </w:pPr>
            <w:r w:rsidRPr="001D41EA">
              <w:rPr>
                <w:rFonts w:cs="Arial"/>
                <w:sz w:val="18"/>
                <w:szCs w:val="18"/>
              </w:rPr>
              <w:t>1.092</w:t>
            </w:r>
          </w:p>
        </w:tc>
        <w:tc>
          <w:tcPr>
            <w:tcW w:w="170" w:type="dxa"/>
            <w:tcBorders>
              <w:top w:val="nil"/>
              <w:left w:val="nil"/>
              <w:bottom w:val="nil"/>
              <w:right w:val="nil"/>
            </w:tcBorders>
            <w:vAlign w:val="bottom"/>
          </w:tcPr>
          <w:p w14:paraId="4D3D8E53" w14:textId="5C9E00D2"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4D89DEA4" w14:textId="1C31C341" w:rsidR="00566EA9" w:rsidRPr="001D41EA" w:rsidRDefault="00566EA9" w:rsidP="001D41EA">
            <w:pPr>
              <w:spacing w:before="40" w:after="40"/>
              <w:jc w:val="center"/>
              <w:rPr>
                <w:rFonts w:cs="Arial"/>
                <w:sz w:val="18"/>
                <w:szCs w:val="18"/>
              </w:rPr>
            </w:pPr>
            <w:r w:rsidRPr="001D41EA">
              <w:rPr>
                <w:rFonts w:cs="Arial"/>
                <w:sz w:val="18"/>
                <w:szCs w:val="18"/>
              </w:rPr>
              <w:t>1.069</w:t>
            </w:r>
          </w:p>
        </w:tc>
        <w:tc>
          <w:tcPr>
            <w:tcW w:w="1134" w:type="dxa"/>
            <w:tcBorders>
              <w:top w:val="nil"/>
              <w:left w:val="nil"/>
              <w:bottom w:val="nil"/>
              <w:right w:val="nil"/>
            </w:tcBorders>
            <w:vAlign w:val="bottom"/>
          </w:tcPr>
          <w:p w14:paraId="3D2F2746" w14:textId="3C1C4431" w:rsidR="00566EA9" w:rsidRPr="001D41EA" w:rsidRDefault="00566EA9" w:rsidP="001D41EA">
            <w:pPr>
              <w:spacing w:before="40" w:after="40"/>
              <w:jc w:val="center"/>
              <w:rPr>
                <w:rFonts w:cs="Arial"/>
                <w:sz w:val="18"/>
                <w:szCs w:val="18"/>
              </w:rPr>
            </w:pPr>
            <w:r w:rsidRPr="001D41EA">
              <w:rPr>
                <w:rFonts w:cs="Arial"/>
                <w:sz w:val="18"/>
                <w:szCs w:val="18"/>
              </w:rPr>
              <w:t>1.062</w:t>
            </w:r>
          </w:p>
        </w:tc>
        <w:tc>
          <w:tcPr>
            <w:tcW w:w="1134" w:type="dxa"/>
            <w:tcBorders>
              <w:top w:val="nil"/>
              <w:left w:val="nil"/>
              <w:bottom w:val="nil"/>
              <w:right w:val="nil"/>
            </w:tcBorders>
            <w:vAlign w:val="bottom"/>
          </w:tcPr>
          <w:p w14:paraId="6870885B" w14:textId="2370F2C1" w:rsidR="00566EA9" w:rsidRPr="001D41EA" w:rsidRDefault="00566EA9" w:rsidP="001D41EA">
            <w:pPr>
              <w:spacing w:before="40" w:after="40"/>
              <w:jc w:val="center"/>
              <w:rPr>
                <w:rFonts w:cs="Arial"/>
                <w:sz w:val="18"/>
                <w:szCs w:val="18"/>
              </w:rPr>
            </w:pPr>
            <w:r w:rsidRPr="001D41EA">
              <w:rPr>
                <w:rFonts w:cs="Arial"/>
                <w:sz w:val="18"/>
                <w:szCs w:val="18"/>
              </w:rPr>
              <w:t>1.065</w:t>
            </w:r>
          </w:p>
        </w:tc>
        <w:tc>
          <w:tcPr>
            <w:tcW w:w="1134" w:type="dxa"/>
            <w:tcBorders>
              <w:top w:val="nil"/>
              <w:left w:val="nil"/>
              <w:bottom w:val="nil"/>
              <w:right w:val="nil"/>
            </w:tcBorders>
            <w:vAlign w:val="bottom"/>
          </w:tcPr>
          <w:p w14:paraId="55027F45" w14:textId="3F1D9F9E" w:rsidR="00566EA9" w:rsidRPr="001D41EA" w:rsidRDefault="00566EA9" w:rsidP="001D41EA">
            <w:pPr>
              <w:spacing w:before="40" w:after="40"/>
              <w:jc w:val="center"/>
              <w:rPr>
                <w:rFonts w:cs="Arial"/>
                <w:sz w:val="18"/>
                <w:szCs w:val="18"/>
              </w:rPr>
            </w:pPr>
            <w:r w:rsidRPr="001D41EA">
              <w:rPr>
                <w:rFonts w:cs="Arial"/>
                <w:sz w:val="18"/>
                <w:szCs w:val="18"/>
              </w:rPr>
              <w:t>1.043</w:t>
            </w:r>
          </w:p>
        </w:tc>
      </w:tr>
      <w:tr w:rsidR="00566EA9" w:rsidRPr="001D41EA" w14:paraId="3D0FF55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E743A6C" w14:textId="77777777" w:rsidR="00566EA9" w:rsidRPr="001D41EA" w:rsidRDefault="00566EA9" w:rsidP="001D41EA">
            <w:pPr>
              <w:spacing w:before="40" w:after="40"/>
              <w:rPr>
                <w:rFonts w:cs="Arial"/>
                <w:sz w:val="18"/>
                <w:szCs w:val="18"/>
              </w:rPr>
            </w:pPr>
            <w:r w:rsidRPr="001D41EA">
              <w:rPr>
                <w:rFonts w:cs="Arial"/>
                <w:sz w:val="18"/>
                <w:szCs w:val="18"/>
              </w:rPr>
              <w:t>Banyule C</w:t>
            </w:r>
          </w:p>
        </w:tc>
        <w:tc>
          <w:tcPr>
            <w:tcW w:w="1134" w:type="dxa"/>
            <w:tcBorders>
              <w:top w:val="nil"/>
              <w:left w:val="single" w:sz="18" w:space="0" w:color="5F497A" w:themeColor="accent4" w:themeShade="BF"/>
              <w:bottom w:val="nil"/>
              <w:right w:val="nil"/>
            </w:tcBorders>
            <w:shd w:val="clear" w:color="auto" w:fill="auto"/>
            <w:vAlign w:val="bottom"/>
          </w:tcPr>
          <w:p w14:paraId="0BF226D7" w14:textId="6E815181" w:rsidR="00566EA9" w:rsidRPr="001D41EA" w:rsidRDefault="00566EA9" w:rsidP="001D41EA">
            <w:pPr>
              <w:spacing w:before="40" w:after="40"/>
              <w:jc w:val="center"/>
              <w:rPr>
                <w:rFonts w:cs="Arial"/>
                <w:sz w:val="18"/>
                <w:szCs w:val="18"/>
              </w:rPr>
            </w:pPr>
            <w:r w:rsidRPr="001D41EA">
              <w:rPr>
                <w:rFonts w:cs="Arial"/>
                <w:sz w:val="18"/>
                <w:szCs w:val="18"/>
              </w:rPr>
              <w:t>0.851</w:t>
            </w:r>
          </w:p>
        </w:tc>
        <w:tc>
          <w:tcPr>
            <w:tcW w:w="1134" w:type="dxa"/>
            <w:tcBorders>
              <w:top w:val="nil"/>
              <w:left w:val="nil"/>
              <w:bottom w:val="nil"/>
              <w:right w:val="nil"/>
            </w:tcBorders>
            <w:shd w:val="clear" w:color="auto" w:fill="auto"/>
            <w:vAlign w:val="bottom"/>
          </w:tcPr>
          <w:p w14:paraId="63C8C545" w14:textId="7220AB49" w:rsidR="00566EA9" w:rsidRPr="001D41EA" w:rsidRDefault="00566EA9" w:rsidP="001D41EA">
            <w:pPr>
              <w:spacing w:before="40" w:after="40"/>
              <w:jc w:val="center"/>
              <w:rPr>
                <w:rFonts w:cs="Arial"/>
                <w:sz w:val="18"/>
                <w:szCs w:val="18"/>
              </w:rPr>
            </w:pPr>
            <w:r w:rsidRPr="001D41EA">
              <w:rPr>
                <w:rFonts w:cs="Arial"/>
                <w:sz w:val="18"/>
                <w:szCs w:val="18"/>
              </w:rPr>
              <w:t>0.843</w:t>
            </w:r>
          </w:p>
        </w:tc>
        <w:tc>
          <w:tcPr>
            <w:tcW w:w="170" w:type="dxa"/>
            <w:tcBorders>
              <w:top w:val="nil"/>
              <w:left w:val="nil"/>
              <w:bottom w:val="nil"/>
              <w:right w:val="nil"/>
            </w:tcBorders>
            <w:vAlign w:val="bottom"/>
          </w:tcPr>
          <w:p w14:paraId="2844C6A1" w14:textId="1D328057"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7184CACE" w14:textId="6A57FF3C" w:rsidR="00566EA9" w:rsidRPr="001D41EA" w:rsidRDefault="00566EA9" w:rsidP="001D41EA">
            <w:pPr>
              <w:spacing w:before="40" w:after="40"/>
              <w:jc w:val="center"/>
              <w:rPr>
                <w:rFonts w:cs="Arial"/>
                <w:sz w:val="18"/>
                <w:szCs w:val="18"/>
              </w:rPr>
            </w:pPr>
            <w:r w:rsidRPr="001D41EA">
              <w:rPr>
                <w:rFonts w:cs="Arial"/>
                <w:sz w:val="18"/>
                <w:szCs w:val="18"/>
              </w:rPr>
              <w:t>0.946</w:t>
            </w:r>
          </w:p>
        </w:tc>
        <w:tc>
          <w:tcPr>
            <w:tcW w:w="1134" w:type="dxa"/>
            <w:tcBorders>
              <w:top w:val="nil"/>
              <w:left w:val="nil"/>
              <w:bottom w:val="nil"/>
              <w:right w:val="nil"/>
            </w:tcBorders>
            <w:vAlign w:val="bottom"/>
          </w:tcPr>
          <w:p w14:paraId="0E652325" w14:textId="4CE79A68" w:rsidR="00566EA9" w:rsidRPr="001D41EA" w:rsidRDefault="00566EA9" w:rsidP="001D41EA">
            <w:pPr>
              <w:spacing w:before="40" w:after="40"/>
              <w:jc w:val="center"/>
              <w:rPr>
                <w:rFonts w:cs="Arial"/>
                <w:sz w:val="18"/>
                <w:szCs w:val="18"/>
              </w:rPr>
            </w:pPr>
            <w:r w:rsidRPr="001D41EA">
              <w:rPr>
                <w:rFonts w:cs="Arial"/>
                <w:sz w:val="18"/>
                <w:szCs w:val="18"/>
              </w:rPr>
              <w:t>0.940</w:t>
            </w:r>
          </w:p>
        </w:tc>
        <w:tc>
          <w:tcPr>
            <w:tcW w:w="1134" w:type="dxa"/>
            <w:tcBorders>
              <w:top w:val="nil"/>
              <w:left w:val="nil"/>
              <w:bottom w:val="nil"/>
              <w:right w:val="nil"/>
            </w:tcBorders>
            <w:vAlign w:val="bottom"/>
          </w:tcPr>
          <w:p w14:paraId="70B9890D" w14:textId="6C1B5A0D" w:rsidR="00566EA9" w:rsidRPr="001D41EA" w:rsidRDefault="00566EA9" w:rsidP="001D41EA">
            <w:pPr>
              <w:spacing w:before="40" w:after="40"/>
              <w:jc w:val="center"/>
              <w:rPr>
                <w:rFonts w:cs="Arial"/>
                <w:sz w:val="18"/>
                <w:szCs w:val="18"/>
              </w:rPr>
            </w:pPr>
            <w:r w:rsidRPr="001D41EA">
              <w:rPr>
                <w:rFonts w:cs="Arial"/>
                <w:sz w:val="18"/>
                <w:szCs w:val="18"/>
              </w:rPr>
              <w:t>0.942</w:t>
            </w:r>
          </w:p>
        </w:tc>
        <w:tc>
          <w:tcPr>
            <w:tcW w:w="1134" w:type="dxa"/>
            <w:tcBorders>
              <w:top w:val="nil"/>
              <w:left w:val="nil"/>
              <w:bottom w:val="nil"/>
              <w:right w:val="nil"/>
            </w:tcBorders>
            <w:vAlign w:val="bottom"/>
          </w:tcPr>
          <w:p w14:paraId="590201E8" w14:textId="705A8F7E" w:rsidR="00566EA9" w:rsidRPr="001D41EA" w:rsidRDefault="00566EA9" w:rsidP="001D41EA">
            <w:pPr>
              <w:spacing w:before="40" w:after="40"/>
              <w:jc w:val="center"/>
              <w:rPr>
                <w:rFonts w:cs="Arial"/>
                <w:sz w:val="18"/>
                <w:szCs w:val="18"/>
              </w:rPr>
            </w:pPr>
            <w:r w:rsidRPr="001D41EA">
              <w:rPr>
                <w:rFonts w:cs="Arial"/>
                <w:sz w:val="18"/>
                <w:szCs w:val="18"/>
              </w:rPr>
              <w:t>0.923</w:t>
            </w:r>
          </w:p>
        </w:tc>
      </w:tr>
      <w:tr w:rsidR="00566EA9" w:rsidRPr="001D41EA" w14:paraId="12685CE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8444FE5" w14:textId="77777777" w:rsidR="00566EA9" w:rsidRPr="001D41EA" w:rsidRDefault="00566EA9" w:rsidP="001D41EA">
            <w:pPr>
              <w:spacing w:before="40" w:after="40"/>
              <w:rPr>
                <w:rFonts w:cs="Arial"/>
                <w:sz w:val="18"/>
                <w:szCs w:val="18"/>
              </w:rPr>
            </w:pPr>
            <w:r w:rsidRPr="001D41EA">
              <w:rPr>
                <w:rFonts w:cs="Arial"/>
                <w:sz w:val="18"/>
                <w:szCs w:val="18"/>
              </w:rPr>
              <w:t>Bass Coast S</w:t>
            </w:r>
          </w:p>
        </w:tc>
        <w:tc>
          <w:tcPr>
            <w:tcW w:w="1134" w:type="dxa"/>
            <w:tcBorders>
              <w:top w:val="nil"/>
              <w:left w:val="single" w:sz="18" w:space="0" w:color="5F497A" w:themeColor="accent4" w:themeShade="BF"/>
              <w:bottom w:val="nil"/>
              <w:right w:val="nil"/>
            </w:tcBorders>
            <w:shd w:val="clear" w:color="auto" w:fill="auto"/>
            <w:vAlign w:val="bottom"/>
          </w:tcPr>
          <w:p w14:paraId="5FB9C1A2" w14:textId="5D3FCED5" w:rsidR="00566EA9" w:rsidRPr="001D41EA" w:rsidRDefault="00566EA9" w:rsidP="001D41EA">
            <w:pPr>
              <w:spacing w:before="40" w:after="40"/>
              <w:jc w:val="center"/>
              <w:rPr>
                <w:rFonts w:cs="Arial"/>
                <w:sz w:val="18"/>
                <w:szCs w:val="18"/>
              </w:rPr>
            </w:pPr>
            <w:r w:rsidRPr="001D41EA">
              <w:rPr>
                <w:rFonts w:cs="Arial"/>
                <w:sz w:val="18"/>
                <w:szCs w:val="18"/>
              </w:rPr>
              <w:t>1.147</w:t>
            </w:r>
          </w:p>
        </w:tc>
        <w:tc>
          <w:tcPr>
            <w:tcW w:w="1134" w:type="dxa"/>
            <w:tcBorders>
              <w:top w:val="nil"/>
              <w:left w:val="nil"/>
              <w:bottom w:val="nil"/>
              <w:right w:val="nil"/>
            </w:tcBorders>
            <w:shd w:val="clear" w:color="auto" w:fill="auto"/>
            <w:vAlign w:val="bottom"/>
          </w:tcPr>
          <w:p w14:paraId="74463B97" w14:textId="73EE972B" w:rsidR="00566EA9" w:rsidRPr="001D41EA" w:rsidRDefault="00566EA9" w:rsidP="001D41EA">
            <w:pPr>
              <w:spacing w:before="40" w:after="40"/>
              <w:jc w:val="center"/>
              <w:rPr>
                <w:rFonts w:cs="Arial"/>
                <w:sz w:val="18"/>
                <w:szCs w:val="18"/>
              </w:rPr>
            </w:pPr>
            <w:r w:rsidRPr="001D41EA">
              <w:rPr>
                <w:rFonts w:cs="Arial"/>
                <w:sz w:val="18"/>
                <w:szCs w:val="18"/>
              </w:rPr>
              <w:t>1.135</w:t>
            </w:r>
          </w:p>
        </w:tc>
        <w:tc>
          <w:tcPr>
            <w:tcW w:w="170" w:type="dxa"/>
            <w:tcBorders>
              <w:top w:val="nil"/>
              <w:left w:val="nil"/>
              <w:bottom w:val="nil"/>
              <w:right w:val="nil"/>
            </w:tcBorders>
            <w:vAlign w:val="bottom"/>
          </w:tcPr>
          <w:p w14:paraId="45690498" w14:textId="3AAD1F08"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68E2150E" w14:textId="232A4C00" w:rsidR="00566EA9" w:rsidRPr="001D41EA" w:rsidRDefault="00566EA9" w:rsidP="001D41EA">
            <w:pPr>
              <w:spacing w:before="40" w:after="40"/>
              <w:jc w:val="center"/>
              <w:rPr>
                <w:rFonts w:cs="Arial"/>
                <w:sz w:val="18"/>
                <w:szCs w:val="18"/>
              </w:rPr>
            </w:pPr>
            <w:r w:rsidRPr="001D41EA">
              <w:rPr>
                <w:rFonts w:cs="Arial"/>
                <w:sz w:val="18"/>
                <w:szCs w:val="18"/>
              </w:rPr>
              <w:t>1.674</w:t>
            </w:r>
          </w:p>
        </w:tc>
        <w:tc>
          <w:tcPr>
            <w:tcW w:w="1134" w:type="dxa"/>
            <w:tcBorders>
              <w:top w:val="nil"/>
              <w:left w:val="nil"/>
              <w:bottom w:val="nil"/>
              <w:right w:val="nil"/>
            </w:tcBorders>
            <w:vAlign w:val="bottom"/>
          </w:tcPr>
          <w:p w14:paraId="444EB21F" w14:textId="28B26DC0" w:rsidR="00566EA9" w:rsidRPr="001D41EA" w:rsidRDefault="00566EA9" w:rsidP="001D41EA">
            <w:pPr>
              <w:spacing w:before="40" w:after="40"/>
              <w:jc w:val="center"/>
              <w:rPr>
                <w:rFonts w:cs="Arial"/>
                <w:sz w:val="18"/>
                <w:szCs w:val="18"/>
              </w:rPr>
            </w:pPr>
            <w:r w:rsidRPr="001D41EA">
              <w:rPr>
                <w:rFonts w:cs="Arial"/>
                <w:sz w:val="18"/>
                <w:szCs w:val="18"/>
              </w:rPr>
              <w:t>1.663</w:t>
            </w:r>
          </w:p>
        </w:tc>
        <w:tc>
          <w:tcPr>
            <w:tcW w:w="1134" w:type="dxa"/>
            <w:tcBorders>
              <w:top w:val="nil"/>
              <w:left w:val="nil"/>
              <w:bottom w:val="nil"/>
              <w:right w:val="nil"/>
            </w:tcBorders>
            <w:vAlign w:val="bottom"/>
          </w:tcPr>
          <w:p w14:paraId="55EF43CC" w14:textId="602918BE" w:rsidR="00566EA9" w:rsidRPr="001D41EA" w:rsidRDefault="00566EA9" w:rsidP="001D41EA">
            <w:pPr>
              <w:spacing w:before="40" w:after="40"/>
              <w:jc w:val="center"/>
              <w:rPr>
                <w:rFonts w:cs="Arial"/>
                <w:sz w:val="18"/>
                <w:szCs w:val="18"/>
              </w:rPr>
            </w:pPr>
            <w:r w:rsidRPr="001D41EA">
              <w:rPr>
                <w:rFonts w:cs="Arial"/>
                <w:sz w:val="18"/>
                <w:szCs w:val="18"/>
              </w:rPr>
              <w:t>1.667</w:t>
            </w:r>
          </w:p>
        </w:tc>
        <w:tc>
          <w:tcPr>
            <w:tcW w:w="1134" w:type="dxa"/>
            <w:tcBorders>
              <w:top w:val="nil"/>
              <w:left w:val="nil"/>
              <w:bottom w:val="nil"/>
              <w:right w:val="nil"/>
            </w:tcBorders>
            <w:vAlign w:val="bottom"/>
          </w:tcPr>
          <w:p w14:paraId="1A1428A7" w14:textId="23A7217E" w:rsidR="00566EA9" w:rsidRPr="001D41EA" w:rsidRDefault="00566EA9" w:rsidP="001D41EA">
            <w:pPr>
              <w:spacing w:before="40" w:after="40"/>
              <w:jc w:val="center"/>
              <w:rPr>
                <w:rFonts w:cs="Arial"/>
                <w:sz w:val="18"/>
                <w:szCs w:val="18"/>
              </w:rPr>
            </w:pPr>
            <w:r w:rsidRPr="001D41EA">
              <w:rPr>
                <w:rFonts w:cs="Arial"/>
                <w:sz w:val="18"/>
                <w:szCs w:val="18"/>
              </w:rPr>
              <w:t>1.634</w:t>
            </w:r>
          </w:p>
        </w:tc>
      </w:tr>
      <w:tr w:rsidR="00566EA9" w:rsidRPr="001D41EA" w14:paraId="6CD50B8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8C088F2" w14:textId="77777777" w:rsidR="00566EA9" w:rsidRPr="001D41EA" w:rsidRDefault="00566EA9" w:rsidP="001D41EA">
            <w:pPr>
              <w:spacing w:before="40" w:after="40"/>
              <w:rPr>
                <w:rFonts w:cs="Arial"/>
                <w:sz w:val="18"/>
                <w:szCs w:val="18"/>
              </w:rPr>
            </w:pPr>
            <w:r w:rsidRPr="001D41EA">
              <w:rPr>
                <w:rFonts w:cs="Arial"/>
                <w:sz w:val="18"/>
                <w:szCs w:val="18"/>
              </w:rPr>
              <w:t>Baw Baw S</w:t>
            </w:r>
          </w:p>
        </w:tc>
        <w:tc>
          <w:tcPr>
            <w:tcW w:w="1134" w:type="dxa"/>
            <w:tcBorders>
              <w:top w:val="nil"/>
              <w:left w:val="single" w:sz="18" w:space="0" w:color="5F497A" w:themeColor="accent4" w:themeShade="BF"/>
              <w:bottom w:val="nil"/>
              <w:right w:val="nil"/>
            </w:tcBorders>
            <w:shd w:val="clear" w:color="auto" w:fill="auto"/>
            <w:vAlign w:val="bottom"/>
          </w:tcPr>
          <w:p w14:paraId="1D5277E5" w14:textId="5DBCAAE6" w:rsidR="00566EA9" w:rsidRPr="001D41EA" w:rsidRDefault="00566EA9" w:rsidP="001D41EA">
            <w:pPr>
              <w:spacing w:before="40" w:after="40"/>
              <w:jc w:val="center"/>
              <w:rPr>
                <w:rFonts w:cs="Arial"/>
                <w:sz w:val="18"/>
                <w:szCs w:val="18"/>
              </w:rPr>
            </w:pPr>
            <w:r w:rsidRPr="001D41EA">
              <w:rPr>
                <w:rFonts w:cs="Arial"/>
                <w:sz w:val="18"/>
                <w:szCs w:val="18"/>
              </w:rPr>
              <w:t>1.046</w:t>
            </w:r>
          </w:p>
        </w:tc>
        <w:tc>
          <w:tcPr>
            <w:tcW w:w="1134" w:type="dxa"/>
            <w:tcBorders>
              <w:top w:val="nil"/>
              <w:left w:val="nil"/>
              <w:bottom w:val="nil"/>
              <w:right w:val="nil"/>
            </w:tcBorders>
            <w:shd w:val="clear" w:color="auto" w:fill="auto"/>
            <w:vAlign w:val="bottom"/>
          </w:tcPr>
          <w:p w14:paraId="7FCE46B5" w14:textId="29F52860" w:rsidR="00566EA9" w:rsidRPr="001D41EA" w:rsidRDefault="00566EA9" w:rsidP="001D41EA">
            <w:pPr>
              <w:spacing w:before="40" w:after="40"/>
              <w:jc w:val="center"/>
              <w:rPr>
                <w:rFonts w:cs="Arial"/>
                <w:sz w:val="18"/>
                <w:szCs w:val="18"/>
              </w:rPr>
            </w:pPr>
            <w:r w:rsidRPr="001D41EA">
              <w:rPr>
                <w:rFonts w:cs="Arial"/>
                <w:sz w:val="18"/>
                <w:szCs w:val="18"/>
              </w:rPr>
              <w:t>1.035</w:t>
            </w:r>
          </w:p>
        </w:tc>
        <w:tc>
          <w:tcPr>
            <w:tcW w:w="170" w:type="dxa"/>
            <w:tcBorders>
              <w:top w:val="nil"/>
              <w:left w:val="nil"/>
              <w:bottom w:val="nil"/>
              <w:right w:val="nil"/>
            </w:tcBorders>
            <w:vAlign w:val="bottom"/>
          </w:tcPr>
          <w:p w14:paraId="277B88A3" w14:textId="1FE615D8"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4935AADC" w14:textId="3D1AB727" w:rsidR="00566EA9" w:rsidRPr="001D41EA" w:rsidRDefault="00566EA9" w:rsidP="001D41EA">
            <w:pPr>
              <w:spacing w:before="40" w:after="40"/>
              <w:jc w:val="center"/>
              <w:rPr>
                <w:rFonts w:cs="Arial"/>
                <w:sz w:val="18"/>
                <w:szCs w:val="18"/>
              </w:rPr>
            </w:pPr>
            <w:r w:rsidRPr="001D41EA">
              <w:rPr>
                <w:rFonts w:cs="Arial"/>
                <w:sz w:val="18"/>
                <w:szCs w:val="18"/>
              </w:rPr>
              <w:t>1.005</w:t>
            </w:r>
          </w:p>
        </w:tc>
        <w:tc>
          <w:tcPr>
            <w:tcW w:w="1134" w:type="dxa"/>
            <w:tcBorders>
              <w:top w:val="nil"/>
              <w:left w:val="nil"/>
              <w:bottom w:val="nil"/>
              <w:right w:val="nil"/>
            </w:tcBorders>
            <w:vAlign w:val="bottom"/>
          </w:tcPr>
          <w:p w14:paraId="2AE88500" w14:textId="44F1298F" w:rsidR="00566EA9" w:rsidRPr="001D41EA" w:rsidRDefault="00566EA9" w:rsidP="001D41EA">
            <w:pPr>
              <w:spacing w:before="40" w:after="40"/>
              <w:jc w:val="center"/>
              <w:rPr>
                <w:rFonts w:cs="Arial"/>
                <w:sz w:val="18"/>
                <w:szCs w:val="18"/>
              </w:rPr>
            </w:pPr>
            <w:r w:rsidRPr="001D41EA">
              <w:rPr>
                <w:rFonts w:cs="Arial"/>
                <w:sz w:val="18"/>
                <w:szCs w:val="18"/>
              </w:rPr>
              <w:t>0.999</w:t>
            </w:r>
          </w:p>
        </w:tc>
        <w:tc>
          <w:tcPr>
            <w:tcW w:w="1134" w:type="dxa"/>
            <w:tcBorders>
              <w:top w:val="nil"/>
              <w:left w:val="nil"/>
              <w:bottom w:val="nil"/>
              <w:right w:val="nil"/>
            </w:tcBorders>
            <w:vAlign w:val="bottom"/>
          </w:tcPr>
          <w:p w14:paraId="0902F53C" w14:textId="72D43D58" w:rsidR="00566EA9" w:rsidRPr="001D41EA" w:rsidRDefault="00566EA9" w:rsidP="001D41EA">
            <w:pPr>
              <w:spacing w:before="40" w:after="40"/>
              <w:jc w:val="center"/>
              <w:rPr>
                <w:rFonts w:cs="Arial"/>
                <w:sz w:val="18"/>
                <w:szCs w:val="18"/>
              </w:rPr>
            </w:pPr>
            <w:r w:rsidRPr="001D41EA">
              <w:rPr>
                <w:rFonts w:cs="Arial"/>
                <w:sz w:val="18"/>
                <w:szCs w:val="18"/>
              </w:rPr>
              <w:t>1.001</w:t>
            </w:r>
          </w:p>
        </w:tc>
        <w:tc>
          <w:tcPr>
            <w:tcW w:w="1134" w:type="dxa"/>
            <w:tcBorders>
              <w:top w:val="nil"/>
              <w:left w:val="nil"/>
              <w:bottom w:val="nil"/>
              <w:right w:val="nil"/>
            </w:tcBorders>
            <w:vAlign w:val="bottom"/>
          </w:tcPr>
          <w:p w14:paraId="35432AFD" w14:textId="53425679" w:rsidR="00566EA9" w:rsidRPr="001D41EA" w:rsidRDefault="00566EA9" w:rsidP="001D41EA">
            <w:pPr>
              <w:spacing w:before="40" w:after="40"/>
              <w:jc w:val="center"/>
              <w:rPr>
                <w:rFonts w:cs="Arial"/>
                <w:sz w:val="18"/>
                <w:szCs w:val="18"/>
              </w:rPr>
            </w:pPr>
            <w:r w:rsidRPr="001D41EA">
              <w:rPr>
                <w:rFonts w:cs="Arial"/>
                <w:sz w:val="18"/>
                <w:szCs w:val="18"/>
              </w:rPr>
              <w:t>0.981</w:t>
            </w:r>
          </w:p>
        </w:tc>
      </w:tr>
      <w:tr w:rsidR="00566EA9" w:rsidRPr="001D41EA" w14:paraId="2BA34C3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427BE77" w14:textId="77777777" w:rsidR="00566EA9" w:rsidRPr="001D41EA" w:rsidRDefault="00566EA9" w:rsidP="001D41EA">
            <w:pPr>
              <w:spacing w:before="40" w:after="40"/>
              <w:rPr>
                <w:rFonts w:cs="Arial"/>
                <w:sz w:val="18"/>
                <w:szCs w:val="18"/>
              </w:rPr>
            </w:pPr>
            <w:r w:rsidRPr="001D41EA">
              <w:rPr>
                <w:rFonts w:cs="Arial"/>
                <w:sz w:val="18"/>
                <w:szCs w:val="18"/>
              </w:rPr>
              <w:t>Bayside C</w:t>
            </w:r>
          </w:p>
        </w:tc>
        <w:tc>
          <w:tcPr>
            <w:tcW w:w="1134" w:type="dxa"/>
            <w:tcBorders>
              <w:top w:val="nil"/>
              <w:left w:val="single" w:sz="18" w:space="0" w:color="5F497A" w:themeColor="accent4" w:themeShade="BF"/>
              <w:bottom w:val="nil"/>
              <w:right w:val="nil"/>
            </w:tcBorders>
            <w:shd w:val="clear" w:color="auto" w:fill="auto"/>
            <w:vAlign w:val="bottom"/>
          </w:tcPr>
          <w:p w14:paraId="43C2AA48" w14:textId="32FC4363" w:rsidR="00566EA9" w:rsidRPr="001D41EA" w:rsidRDefault="00566EA9" w:rsidP="001D41EA">
            <w:pPr>
              <w:spacing w:before="40" w:after="40"/>
              <w:jc w:val="center"/>
              <w:rPr>
                <w:rFonts w:cs="Arial"/>
                <w:sz w:val="18"/>
                <w:szCs w:val="18"/>
              </w:rPr>
            </w:pPr>
            <w:r w:rsidRPr="001D41EA">
              <w:rPr>
                <w:rFonts w:cs="Arial"/>
                <w:sz w:val="18"/>
                <w:szCs w:val="18"/>
              </w:rPr>
              <w:t>0.711</w:t>
            </w:r>
          </w:p>
        </w:tc>
        <w:tc>
          <w:tcPr>
            <w:tcW w:w="1134" w:type="dxa"/>
            <w:tcBorders>
              <w:top w:val="nil"/>
              <w:left w:val="nil"/>
              <w:bottom w:val="nil"/>
              <w:right w:val="nil"/>
            </w:tcBorders>
            <w:shd w:val="clear" w:color="auto" w:fill="auto"/>
            <w:vAlign w:val="bottom"/>
          </w:tcPr>
          <w:p w14:paraId="1E0B57D6" w14:textId="12B2083B" w:rsidR="00566EA9" w:rsidRPr="001D41EA" w:rsidRDefault="00566EA9" w:rsidP="001D41EA">
            <w:pPr>
              <w:spacing w:before="40" w:after="40"/>
              <w:jc w:val="center"/>
              <w:rPr>
                <w:rFonts w:cs="Arial"/>
                <w:sz w:val="18"/>
                <w:szCs w:val="18"/>
              </w:rPr>
            </w:pPr>
            <w:r w:rsidRPr="001D41EA">
              <w:rPr>
                <w:rFonts w:cs="Arial"/>
                <w:sz w:val="18"/>
                <w:szCs w:val="18"/>
              </w:rPr>
              <w:t>0.703</w:t>
            </w:r>
          </w:p>
        </w:tc>
        <w:tc>
          <w:tcPr>
            <w:tcW w:w="170" w:type="dxa"/>
            <w:tcBorders>
              <w:top w:val="nil"/>
              <w:left w:val="nil"/>
              <w:bottom w:val="nil"/>
              <w:right w:val="nil"/>
            </w:tcBorders>
            <w:vAlign w:val="bottom"/>
          </w:tcPr>
          <w:p w14:paraId="343571C1" w14:textId="134A1CEB"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159B7C2" w14:textId="52F27C0D" w:rsidR="00566EA9" w:rsidRPr="001D41EA" w:rsidRDefault="00566EA9" w:rsidP="001D41EA">
            <w:pPr>
              <w:spacing w:before="40" w:after="40"/>
              <w:jc w:val="center"/>
              <w:rPr>
                <w:rFonts w:cs="Arial"/>
                <w:sz w:val="18"/>
                <w:szCs w:val="18"/>
              </w:rPr>
            </w:pPr>
            <w:r w:rsidRPr="001D41EA">
              <w:rPr>
                <w:rFonts w:cs="Arial"/>
                <w:sz w:val="18"/>
                <w:szCs w:val="18"/>
              </w:rPr>
              <w:t>0.901</w:t>
            </w:r>
          </w:p>
        </w:tc>
        <w:tc>
          <w:tcPr>
            <w:tcW w:w="1134" w:type="dxa"/>
            <w:tcBorders>
              <w:top w:val="nil"/>
              <w:left w:val="nil"/>
              <w:bottom w:val="nil"/>
              <w:right w:val="nil"/>
            </w:tcBorders>
            <w:vAlign w:val="bottom"/>
          </w:tcPr>
          <w:p w14:paraId="69EB3B41" w14:textId="3B8DD68A" w:rsidR="00566EA9" w:rsidRPr="001D41EA" w:rsidRDefault="00566EA9" w:rsidP="001D41EA">
            <w:pPr>
              <w:spacing w:before="40" w:after="40"/>
              <w:jc w:val="center"/>
              <w:rPr>
                <w:rFonts w:cs="Arial"/>
                <w:sz w:val="18"/>
                <w:szCs w:val="18"/>
              </w:rPr>
            </w:pPr>
            <w:r w:rsidRPr="001D41EA">
              <w:rPr>
                <w:rFonts w:cs="Arial"/>
                <w:sz w:val="18"/>
                <w:szCs w:val="18"/>
              </w:rPr>
              <w:t>0.894</w:t>
            </w:r>
          </w:p>
        </w:tc>
        <w:tc>
          <w:tcPr>
            <w:tcW w:w="1134" w:type="dxa"/>
            <w:tcBorders>
              <w:top w:val="nil"/>
              <w:left w:val="nil"/>
              <w:bottom w:val="nil"/>
              <w:right w:val="nil"/>
            </w:tcBorders>
            <w:vAlign w:val="bottom"/>
          </w:tcPr>
          <w:p w14:paraId="365B25A6" w14:textId="4B6C417A" w:rsidR="00566EA9" w:rsidRPr="001D41EA" w:rsidRDefault="00566EA9" w:rsidP="001D41EA">
            <w:pPr>
              <w:spacing w:before="40" w:after="40"/>
              <w:jc w:val="center"/>
              <w:rPr>
                <w:rFonts w:cs="Arial"/>
                <w:sz w:val="18"/>
                <w:szCs w:val="18"/>
              </w:rPr>
            </w:pPr>
            <w:r w:rsidRPr="001D41EA">
              <w:rPr>
                <w:rFonts w:cs="Arial"/>
                <w:sz w:val="18"/>
                <w:szCs w:val="18"/>
              </w:rPr>
              <w:t>0.897</w:t>
            </w:r>
          </w:p>
        </w:tc>
        <w:tc>
          <w:tcPr>
            <w:tcW w:w="1134" w:type="dxa"/>
            <w:tcBorders>
              <w:top w:val="nil"/>
              <w:left w:val="nil"/>
              <w:bottom w:val="nil"/>
              <w:right w:val="nil"/>
            </w:tcBorders>
            <w:vAlign w:val="bottom"/>
          </w:tcPr>
          <w:p w14:paraId="004D2C26" w14:textId="1318BAE4" w:rsidR="00566EA9" w:rsidRPr="001D41EA" w:rsidRDefault="00566EA9" w:rsidP="001D41EA">
            <w:pPr>
              <w:spacing w:before="40" w:after="40"/>
              <w:jc w:val="center"/>
              <w:rPr>
                <w:rFonts w:cs="Arial"/>
                <w:sz w:val="18"/>
                <w:szCs w:val="18"/>
              </w:rPr>
            </w:pPr>
            <w:r w:rsidRPr="001D41EA">
              <w:rPr>
                <w:rFonts w:cs="Arial"/>
                <w:sz w:val="18"/>
                <w:szCs w:val="18"/>
              </w:rPr>
              <w:t>0.879</w:t>
            </w:r>
          </w:p>
        </w:tc>
      </w:tr>
      <w:tr w:rsidR="00566EA9" w:rsidRPr="001D41EA" w14:paraId="43C5FD1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2B01D2C" w14:textId="77777777" w:rsidR="00566EA9" w:rsidRPr="001D41EA" w:rsidRDefault="00566EA9" w:rsidP="001D41EA">
            <w:pPr>
              <w:spacing w:before="40" w:after="40"/>
              <w:rPr>
                <w:rFonts w:cs="Arial"/>
                <w:sz w:val="18"/>
                <w:szCs w:val="18"/>
              </w:rPr>
            </w:pPr>
            <w:r w:rsidRPr="001D41EA">
              <w:rPr>
                <w:rFonts w:cs="Arial"/>
                <w:sz w:val="18"/>
                <w:szCs w:val="18"/>
              </w:rPr>
              <w:t>Benalla RC</w:t>
            </w:r>
          </w:p>
        </w:tc>
        <w:tc>
          <w:tcPr>
            <w:tcW w:w="1134" w:type="dxa"/>
            <w:tcBorders>
              <w:top w:val="nil"/>
              <w:left w:val="single" w:sz="18" w:space="0" w:color="5F497A" w:themeColor="accent4" w:themeShade="BF"/>
              <w:bottom w:val="nil"/>
              <w:right w:val="nil"/>
            </w:tcBorders>
            <w:shd w:val="clear" w:color="auto" w:fill="auto"/>
            <w:vAlign w:val="bottom"/>
          </w:tcPr>
          <w:p w14:paraId="295BE984" w14:textId="36C680F0" w:rsidR="00566EA9" w:rsidRPr="001D41EA" w:rsidRDefault="00566EA9" w:rsidP="001D41EA">
            <w:pPr>
              <w:spacing w:before="40" w:after="40"/>
              <w:jc w:val="center"/>
              <w:rPr>
                <w:rFonts w:cs="Arial"/>
                <w:sz w:val="18"/>
                <w:szCs w:val="18"/>
              </w:rPr>
            </w:pPr>
            <w:r w:rsidRPr="001D41EA">
              <w:rPr>
                <w:rFonts w:cs="Arial"/>
                <w:sz w:val="18"/>
                <w:szCs w:val="18"/>
              </w:rPr>
              <w:t>1.200</w:t>
            </w:r>
          </w:p>
        </w:tc>
        <w:tc>
          <w:tcPr>
            <w:tcW w:w="1134" w:type="dxa"/>
            <w:tcBorders>
              <w:top w:val="nil"/>
              <w:left w:val="nil"/>
              <w:bottom w:val="nil"/>
              <w:right w:val="nil"/>
            </w:tcBorders>
            <w:shd w:val="clear" w:color="auto" w:fill="auto"/>
            <w:vAlign w:val="bottom"/>
          </w:tcPr>
          <w:p w14:paraId="461A4033" w14:textId="784D554B" w:rsidR="00566EA9" w:rsidRPr="001D41EA" w:rsidRDefault="00566EA9" w:rsidP="001D41EA">
            <w:pPr>
              <w:spacing w:before="40" w:after="40"/>
              <w:jc w:val="center"/>
              <w:rPr>
                <w:rFonts w:cs="Arial"/>
                <w:sz w:val="18"/>
                <w:szCs w:val="18"/>
              </w:rPr>
            </w:pPr>
            <w:r w:rsidRPr="001D41EA">
              <w:rPr>
                <w:rFonts w:cs="Arial"/>
                <w:sz w:val="18"/>
                <w:szCs w:val="18"/>
              </w:rPr>
              <w:t>1.188</w:t>
            </w:r>
          </w:p>
        </w:tc>
        <w:tc>
          <w:tcPr>
            <w:tcW w:w="170" w:type="dxa"/>
            <w:tcBorders>
              <w:top w:val="nil"/>
              <w:left w:val="nil"/>
              <w:bottom w:val="nil"/>
              <w:right w:val="nil"/>
            </w:tcBorders>
            <w:vAlign w:val="bottom"/>
          </w:tcPr>
          <w:p w14:paraId="781DB6CC" w14:textId="11022C0F"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26FA9AE2" w14:textId="49CE23D8" w:rsidR="00566EA9" w:rsidRPr="001D41EA" w:rsidRDefault="00566EA9" w:rsidP="001D41EA">
            <w:pPr>
              <w:spacing w:before="40" w:after="40"/>
              <w:jc w:val="center"/>
              <w:rPr>
                <w:rFonts w:cs="Arial"/>
                <w:sz w:val="18"/>
                <w:szCs w:val="18"/>
              </w:rPr>
            </w:pPr>
            <w:r w:rsidRPr="001D41EA">
              <w:rPr>
                <w:rFonts w:cs="Arial"/>
                <w:sz w:val="18"/>
                <w:szCs w:val="18"/>
              </w:rPr>
              <w:t>1.075</w:t>
            </w:r>
          </w:p>
        </w:tc>
        <w:tc>
          <w:tcPr>
            <w:tcW w:w="1134" w:type="dxa"/>
            <w:tcBorders>
              <w:top w:val="nil"/>
              <w:left w:val="nil"/>
              <w:bottom w:val="nil"/>
              <w:right w:val="nil"/>
            </w:tcBorders>
            <w:vAlign w:val="bottom"/>
          </w:tcPr>
          <w:p w14:paraId="7714A3CB" w14:textId="0441EA37" w:rsidR="00566EA9" w:rsidRPr="001D41EA" w:rsidRDefault="00566EA9" w:rsidP="001D41EA">
            <w:pPr>
              <w:spacing w:before="40" w:after="40"/>
              <w:jc w:val="center"/>
              <w:rPr>
                <w:rFonts w:cs="Arial"/>
                <w:sz w:val="18"/>
                <w:szCs w:val="18"/>
              </w:rPr>
            </w:pPr>
            <w:r w:rsidRPr="001D41EA">
              <w:rPr>
                <w:rFonts w:cs="Arial"/>
                <w:sz w:val="18"/>
                <w:szCs w:val="18"/>
              </w:rPr>
              <w:t>1.068</w:t>
            </w:r>
          </w:p>
        </w:tc>
        <w:tc>
          <w:tcPr>
            <w:tcW w:w="1134" w:type="dxa"/>
            <w:tcBorders>
              <w:top w:val="nil"/>
              <w:left w:val="nil"/>
              <w:bottom w:val="nil"/>
              <w:right w:val="nil"/>
            </w:tcBorders>
            <w:vAlign w:val="bottom"/>
          </w:tcPr>
          <w:p w14:paraId="20DD034D" w14:textId="6FC3042A" w:rsidR="00566EA9" w:rsidRPr="001D41EA" w:rsidRDefault="00566EA9" w:rsidP="001D41EA">
            <w:pPr>
              <w:spacing w:before="40" w:after="40"/>
              <w:jc w:val="center"/>
              <w:rPr>
                <w:rFonts w:cs="Arial"/>
                <w:sz w:val="18"/>
                <w:szCs w:val="18"/>
              </w:rPr>
            </w:pPr>
            <w:r w:rsidRPr="001D41EA">
              <w:rPr>
                <w:rFonts w:cs="Arial"/>
                <w:sz w:val="18"/>
                <w:szCs w:val="18"/>
              </w:rPr>
              <w:t>1.071</w:t>
            </w:r>
          </w:p>
        </w:tc>
        <w:tc>
          <w:tcPr>
            <w:tcW w:w="1134" w:type="dxa"/>
            <w:tcBorders>
              <w:top w:val="nil"/>
              <w:left w:val="nil"/>
              <w:bottom w:val="nil"/>
              <w:right w:val="nil"/>
            </w:tcBorders>
            <w:vAlign w:val="bottom"/>
          </w:tcPr>
          <w:p w14:paraId="6DDC9ED3" w14:textId="2783A457" w:rsidR="00566EA9" w:rsidRPr="001D41EA" w:rsidRDefault="00566EA9" w:rsidP="001D41EA">
            <w:pPr>
              <w:spacing w:before="40" w:after="40"/>
              <w:jc w:val="center"/>
              <w:rPr>
                <w:rFonts w:cs="Arial"/>
                <w:sz w:val="18"/>
                <w:szCs w:val="18"/>
              </w:rPr>
            </w:pPr>
            <w:r w:rsidRPr="001D41EA">
              <w:rPr>
                <w:rFonts w:cs="Arial"/>
                <w:sz w:val="18"/>
                <w:szCs w:val="18"/>
              </w:rPr>
              <w:t>1.049</w:t>
            </w:r>
          </w:p>
        </w:tc>
      </w:tr>
      <w:tr w:rsidR="00566EA9" w:rsidRPr="001D41EA" w14:paraId="3C21EC2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D8A24C2" w14:textId="77777777" w:rsidR="00566EA9" w:rsidRPr="001D41EA" w:rsidRDefault="00566EA9" w:rsidP="001D41EA">
            <w:pPr>
              <w:spacing w:before="40" w:after="40"/>
              <w:rPr>
                <w:rFonts w:cs="Arial"/>
                <w:sz w:val="18"/>
                <w:szCs w:val="18"/>
              </w:rPr>
            </w:pPr>
            <w:r w:rsidRPr="001D41EA">
              <w:rPr>
                <w:rFonts w:cs="Arial"/>
                <w:sz w:val="18"/>
                <w:szCs w:val="18"/>
              </w:rPr>
              <w:t>Boroondara C</w:t>
            </w:r>
          </w:p>
        </w:tc>
        <w:tc>
          <w:tcPr>
            <w:tcW w:w="1134" w:type="dxa"/>
            <w:tcBorders>
              <w:top w:val="nil"/>
              <w:left w:val="single" w:sz="18" w:space="0" w:color="5F497A" w:themeColor="accent4" w:themeShade="BF"/>
              <w:bottom w:val="nil"/>
              <w:right w:val="nil"/>
            </w:tcBorders>
            <w:shd w:val="clear" w:color="auto" w:fill="auto"/>
            <w:vAlign w:val="bottom"/>
          </w:tcPr>
          <w:p w14:paraId="57B0E710" w14:textId="0044526F" w:rsidR="00566EA9" w:rsidRPr="001D41EA" w:rsidRDefault="00566EA9" w:rsidP="001D41EA">
            <w:pPr>
              <w:spacing w:before="40" w:after="40"/>
              <w:jc w:val="center"/>
              <w:rPr>
                <w:rFonts w:cs="Arial"/>
                <w:sz w:val="18"/>
                <w:szCs w:val="18"/>
              </w:rPr>
            </w:pPr>
            <w:r w:rsidRPr="001D41EA">
              <w:rPr>
                <w:rFonts w:cs="Arial"/>
                <w:sz w:val="18"/>
                <w:szCs w:val="18"/>
              </w:rPr>
              <w:t>0.711</w:t>
            </w:r>
          </w:p>
        </w:tc>
        <w:tc>
          <w:tcPr>
            <w:tcW w:w="1134" w:type="dxa"/>
            <w:tcBorders>
              <w:top w:val="nil"/>
              <w:left w:val="nil"/>
              <w:bottom w:val="nil"/>
              <w:right w:val="nil"/>
            </w:tcBorders>
            <w:shd w:val="clear" w:color="auto" w:fill="auto"/>
            <w:vAlign w:val="bottom"/>
          </w:tcPr>
          <w:p w14:paraId="389D40AE" w14:textId="581B21F9" w:rsidR="00566EA9" w:rsidRPr="001D41EA" w:rsidRDefault="00566EA9" w:rsidP="001D41EA">
            <w:pPr>
              <w:spacing w:before="40" w:after="40"/>
              <w:jc w:val="center"/>
              <w:rPr>
                <w:rFonts w:cs="Arial"/>
                <w:sz w:val="18"/>
                <w:szCs w:val="18"/>
              </w:rPr>
            </w:pPr>
            <w:r w:rsidRPr="001D41EA">
              <w:rPr>
                <w:rFonts w:cs="Arial"/>
                <w:sz w:val="18"/>
                <w:szCs w:val="18"/>
              </w:rPr>
              <w:t>0.703</w:t>
            </w:r>
          </w:p>
        </w:tc>
        <w:tc>
          <w:tcPr>
            <w:tcW w:w="170" w:type="dxa"/>
            <w:tcBorders>
              <w:top w:val="nil"/>
              <w:left w:val="nil"/>
              <w:bottom w:val="nil"/>
              <w:right w:val="nil"/>
            </w:tcBorders>
            <w:vAlign w:val="bottom"/>
          </w:tcPr>
          <w:p w14:paraId="03C73452" w14:textId="2AD86B48"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C2EF0DA" w14:textId="23F32966" w:rsidR="00566EA9" w:rsidRPr="001D41EA" w:rsidRDefault="00566EA9" w:rsidP="001D41EA">
            <w:pPr>
              <w:spacing w:before="40" w:after="40"/>
              <w:jc w:val="center"/>
              <w:rPr>
                <w:rFonts w:cs="Arial"/>
                <w:sz w:val="18"/>
                <w:szCs w:val="18"/>
              </w:rPr>
            </w:pPr>
            <w:r w:rsidRPr="001D41EA">
              <w:rPr>
                <w:rFonts w:cs="Arial"/>
                <w:sz w:val="18"/>
                <w:szCs w:val="18"/>
              </w:rPr>
              <w:t>0.940</w:t>
            </w:r>
          </w:p>
        </w:tc>
        <w:tc>
          <w:tcPr>
            <w:tcW w:w="1134" w:type="dxa"/>
            <w:tcBorders>
              <w:top w:val="nil"/>
              <w:left w:val="nil"/>
              <w:bottom w:val="nil"/>
              <w:right w:val="nil"/>
            </w:tcBorders>
            <w:vAlign w:val="bottom"/>
          </w:tcPr>
          <w:p w14:paraId="7FDAA479" w14:textId="4287EB0C" w:rsidR="00566EA9" w:rsidRPr="001D41EA" w:rsidRDefault="00566EA9" w:rsidP="001D41EA">
            <w:pPr>
              <w:spacing w:before="40" w:after="40"/>
              <w:jc w:val="center"/>
              <w:rPr>
                <w:rFonts w:cs="Arial"/>
                <w:sz w:val="18"/>
                <w:szCs w:val="18"/>
              </w:rPr>
            </w:pPr>
            <w:r w:rsidRPr="001D41EA">
              <w:rPr>
                <w:rFonts w:cs="Arial"/>
                <w:sz w:val="18"/>
                <w:szCs w:val="18"/>
              </w:rPr>
              <w:t>0.934</w:t>
            </w:r>
          </w:p>
        </w:tc>
        <w:tc>
          <w:tcPr>
            <w:tcW w:w="1134" w:type="dxa"/>
            <w:tcBorders>
              <w:top w:val="nil"/>
              <w:left w:val="nil"/>
              <w:bottom w:val="nil"/>
              <w:right w:val="nil"/>
            </w:tcBorders>
            <w:vAlign w:val="bottom"/>
          </w:tcPr>
          <w:p w14:paraId="44CF0DE2" w14:textId="7350FFA7" w:rsidR="00566EA9" w:rsidRPr="001D41EA" w:rsidRDefault="00566EA9" w:rsidP="001D41EA">
            <w:pPr>
              <w:spacing w:before="40" w:after="40"/>
              <w:jc w:val="center"/>
              <w:rPr>
                <w:rFonts w:cs="Arial"/>
                <w:sz w:val="18"/>
                <w:szCs w:val="18"/>
              </w:rPr>
            </w:pPr>
            <w:r w:rsidRPr="001D41EA">
              <w:rPr>
                <w:rFonts w:cs="Arial"/>
                <w:sz w:val="18"/>
                <w:szCs w:val="18"/>
              </w:rPr>
              <w:t>0.936</w:t>
            </w:r>
          </w:p>
        </w:tc>
        <w:tc>
          <w:tcPr>
            <w:tcW w:w="1134" w:type="dxa"/>
            <w:tcBorders>
              <w:top w:val="nil"/>
              <w:left w:val="nil"/>
              <w:bottom w:val="nil"/>
              <w:right w:val="nil"/>
            </w:tcBorders>
            <w:vAlign w:val="bottom"/>
          </w:tcPr>
          <w:p w14:paraId="01E4A887" w14:textId="056C90C6" w:rsidR="00566EA9" w:rsidRPr="001D41EA" w:rsidRDefault="00566EA9" w:rsidP="001D41EA">
            <w:pPr>
              <w:spacing w:before="40" w:after="40"/>
              <w:jc w:val="center"/>
              <w:rPr>
                <w:rFonts w:cs="Arial"/>
                <w:sz w:val="18"/>
                <w:szCs w:val="18"/>
              </w:rPr>
            </w:pPr>
            <w:r w:rsidRPr="001D41EA">
              <w:rPr>
                <w:rFonts w:cs="Arial"/>
                <w:sz w:val="18"/>
                <w:szCs w:val="18"/>
              </w:rPr>
              <w:t>0.918</w:t>
            </w:r>
          </w:p>
        </w:tc>
      </w:tr>
      <w:tr w:rsidR="00566EA9" w:rsidRPr="001D41EA" w14:paraId="3F3F1B3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C6E6FD6" w14:textId="77777777" w:rsidR="00566EA9" w:rsidRPr="001D41EA" w:rsidRDefault="00566EA9" w:rsidP="001D41EA">
            <w:pPr>
              <w:spacing w:before="40" w:after="40"/>
              <w:rPr>
                <w:rFonts w:cs="Arial"/>
                <w:sz w:val="18"/>
                <w:szCs w:val="18"/>
              </w:rPr>
            </w:pPr>
            <w:r w:rsidRPr="001D41EA">
              <w:rPr>
                <w:rFonts w:cs="Arial"/>
                <w:sz w:val="18"/>
                <w:szCs w:val="18"/>
              </w:rPr>
              <w:t>Brimbank C</w:t>
            </w:r>
          </w:p>
        </w:tc>
        <w:tc>
          <w:tcPr>
            <w:tcW w:w="1134" w:type="dxa"/>
            <w:tcBorders>
              <w:top w:val="nil"/>
              <w:left w:val="single" w:sz="18" w:space="0" w:color="5F497A" w:themeColor="accent4" w:themeShade="BF"/>
              <w:bottom w:val="nil"/>
              <w:right w:val="nil"/>
            </w:tcBorders>
            <w:shd w:val="clear" w:color="auto" w:fill="auto"/>
            <w:vAlign w:val="bottom"/>
          </w:tcPr>
          <w:p w14:paraId="33C54E64" w14:textId="30FAAD02" w:rsidR="00566EA9" w:rsidRPr="001D41EA" w:rsidRDefault="00566EA9" w:rsidP="001D41EA">
            <w:pPr>
              <w:spacing w:before="40" w:after="40"/>
              <w:jc w:val="center"/>
              <w:rPr>
                <w:rFonts w:cs="Arial"/>
                <w:sz w:val="18"/>
                <w:szCs w:val="18"/>
              </w:rPr>
            </w:pPr>
            <w:r w:rsidRPr="001D41EA">
              <w:rPr>
                <w:rFonts w:cs="Arial"/>
                <w:sz w:val="18"/>
                <w:szCs w:val="18"/>
              </w:rPr>
              <w:t>1.301</w:t>
            </w:r>
          </w:p>
        </w:tc>
        <w:tc>
          <w:tcPr>
            <w:tcW w:w="1134" w:type="dxa"/>
            <w:tcBorders>
              <w:top w:val="nil"/>
              <w:left w:val="nil"/>
              <w:bottom w:val="nil"/>
              <w:right w:val="nil"/>
            </w:tcBorders>
            <w:shd w:val="clear" w:color="auto" w:fill="auto"/>
            <w:vAlign w:val="bottom"/>
          </w:tcPr>
          <w:p w14:paraId="335D30AA" w14:textId="1BCBFE98" w:rsidR="00566EA9" w:rsidRPr="001D41EA" w:rsidRDefault="00566EA9" w:rsidP="001D41EA">
            <w:pPr>
              <w:spacing w:before="40" w:after="40"/>
              <w:jc w:val="center"/>
              <w:rPr>
                <w:rFonts w:cs="Arial"/>
                <w:sz w:val="18"/>
                <w:szCs w:val="18"/>
              </w:rPr>
            </w:pPr>
            <w:r w:rsidRPr="001D41EA">
              <w:rPr>
                <w:rFonts w:cs="Arial"/>
                <w:sz w:val="18"/>
                <w:szCs w:val="18"/>
              </w:rPr>
              <w:t>1.287</w:t>
            </w:r>
          </w:p>
        </w:tc>
        <w:tc>
          <w:tcPr>
            <w:tcW w:w="170" w:type="dxa"/>
            <w:tcBorders>
              <w:top w:val="nil"/>
              <w:left w:val="nil"/>
              <w:bottom w:val="nil"/>
              <w:right w:val="nil"/>
            </w:tcBorders>
            <w:vAlign w:val="bottom"/>
          </w:tcPr>
          <w:p w14:paraId="1920B789" w14:textId="528C2B15"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172DCB14" w14:textId="7BF2D107" w:rsidR="00566EA9" w:rsidRPr="001D41EA" w:rsidRDefault="00566EA9" w:rsidP="001D41EA">
            <w:pPr>
              <w:spacing w:before="40" w:after="40"/>
              <w:jc w:val="center"/>
              <w:rPr>
                <w:rFonts w:cs="Arial"/>
                <w:sz w:val="18"/>
                <w:szCs w:val="18"/>
              </w:rPr>
            </w:pPr>
            <w:r w:rsidRPr="001D41EA">
              <w:rPr>
                <w:rFonts w:cs="Arial"/>
                <w:sz w:val="18"/>
                <w:szCs w:val="18"/>
              </w:rPr>
              <w:t>0.871</w:t>
            </w:r>
          </w:p>
        </w:tc>
        <w:tc>
          <w:tcPr>
            <w:tcW w:w="1134" w:type="dxa"/>
            <w:tcBorders>
              <w:top w:val="nil"/>
              <w:left w:val="nil"/>
              <w:bottom w:val="nil"/>
              <w:right w:val="nil"/>
            </w:tcBorders>
            <w:vAlign w:val="bottom"/>
          </w:tcPr>
          <w:p w14:paraId="52D47C9B" w14:textId="2D49E225" w:rsidR="00566EA9" w:rsidRPr="001D41EA" w:rsidRDefault="00566EA9" w:rsidP="001D41EA">
            <w:pPr>
              <w:spacing w:before="40" w:after="40"/>
              <w:jc w:val="center"/>
              <w:rPr>
                <w:rFonts w:cs="Arial"/>
                <w:sz w:val="18"/>
                <w:szCs w:val="18"/>
              </w:rPr>
            </w:pPr>
            <w:r w:rsidRPr="001D41EA">
              <w:rPr>
                <w:rFonts w:cs="Arial"/>
                <w:sz w:val="18"/>
                <w:szCs w:val="18"/>
              </w:rPr>
              <w:t>0.865</w:t>
            </w:r>
          </w:p>
        </w:tc>
        <w:tc>
          <w:tcPr>
            <w:tcW w:w="1134" w:type="dxa"/>
            <w:tcBorders>
              <w:top w:val="nil"/>
              <w:left w:val="nil"/>
              <w:bottom w:val="nil"/>
              <w:right w:val="nil"/>
            </w:tcBorders>
            <w:vAlign w:val="bottom"/>
          </w:tcPr>
          <w:p w14:paraId="030FE19C" w14:textId="06756ECD" w:rsidR="00566EA9" w:rsidRPr="001D41EA" w:rsidRDefault="00566EA9" w:rsidP="001D41EA">
            <w:pPr>
              <w:spacing w:before="40" w:after="40"/>
              <w:jc w:val="center"/>
              <w:rPr>
                <w:rFonts w:cs="Arial"/>
                <w:sz w:val="18"/>
                <w:szCs w:val="18"/>
              </w:rPr>
            </w:pPr>
            <w:r w:rsidRPr="001D41EA">
              <w:rPr>
                <w:rFonts w:cs="Arial"/>
                <w:sz w:val="18"/>
                <w:szCs w:val="18"/>
              </w:rPr>
              <w:t>0.867</w:t>
            </w:r>
          </w:p>
        </w:tc>
        <w:tc>
          <w:tcPr>
            <w:tcW w:w="1134" w:type="dxa"/>
            <w:tcBorders>
              <w:top w:val="nil"/>
              <w:left w:val="nil"/>
              <w:bottom w:val="nil"/>
              <w:right w:val="nil"/>
            </w:tcBorders>
            <w:vAlign w:val="bottom"/>
          </w:tcPr>
          <w:p w14:paraId="3CBD24F2" w14:textId="62285B47" w:rsidR="00566EA9" w:rsidRPr="001D41EA" w:rsidRDefault="00566EA9" w:rsidP="001D41EA">
            <w:pPr>
              <w:spacing w:before="40" w:after="40"/>
              <w:jc w:val="center"/>
              <w:rPr>
                <w:rFonts w:cs="Arial"/>
                <w:sz w:val="18"/>
                <w:szCs w:val="18"/>
              </w:rPr>
            </w:pPr>
            <w:r w:rsidRPr="001D41EA">
              <w:rPr>
                <w:rFonts w:cs="Arial"/>
                <w:sz w:val="18"/>
                <w:szCs w:val="18"/>
              </w:rPr>
              <w:t>0.850</w:t>
            </w:r>
          </w:p>
        </w:tc>
      </w:tr>
      <w:tr w:rsidR="00566EA9" w:rsidRPr="001D41EA" w14:paraId="0CA2B5A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30351B6" w14:textId="77777777" w:rsidR="00566EA9" w:rsidRPr="001D41EA" w:rsidRDefault="00566EA9" w:rsidP="001D41EA">
            <w:pPr>
              <w:spacing w:before="40" w:after="40"/>
              <w:rPr>
                <w:rFonts w:cs="Arial"/>
                <w:sz w:val="18"/>
                <w:szCs w:val="18"/>
              </w:rPr>
            </w:pPr>
            <w:r w:rsidRPr="001D41EA">
              <w:rPr>
                <w:rFonts w:cs="Arial"/>
                <w:sz w:val="18"/>
                <w:szCs w:val="18"/>
              </w:rPr>
              <w:t>Buloke S</w:t>
            </w:r>
          </w:p>
        </w:tc>
        <w:tc>
          <w:tcPr>
            <w:tcW w:w="1134" w:type="dxa"/>
            <w:tcBorders>
              <w:top w:val="nil"/>
              <w:left w:val="single" w:sz="18" w:space="0" w:color="5F497A" w:themeColor="accent4" w:themeShade="BF"/>
              <w:bottom w:val="nil"/>
              <w:right w:val="nil"/>
            </w:tcBorders>
            <w:shd w:val="clear" w:color="auto" w:fill="auto"/>
            <w:vAlign w:val="bottom"/>
          </w:tcPr>
          <w:p w14:paraId="61629951" w14:textId="4142A476" w:rsidR="00566EA9" w:rsidRPr="001D41EA" w:rsidRDefault="00566EA9" w:rsidP="001D41EA">
            <w:pPr>
              <w:spacing w:before="40" w:after="40"/>
              <w:jc w:val="center"/>
              <w:rPr>
                <w:rFonts w:cs="Arial"/>
                <w:sz w:val="18"/>
                <w:szCs w:val="18"/>
              </w:rPr>
            </w:pPr>
            <w:r w:rsidRPr="001D41EA">
              <w:rPr>
                <w:rFonts w:cs="Arial"/>
                <w:sz w:val="18"/>
                <w:szCs w:val="18"/>
              </w:rPr>
              <w:t>1.147</w:t>
            </w:r>
          </w:p>
        </w:tc>
        <w:tc>
          <w:tcPr>
            <w:tcW w:w="1134" w:type="dxa"/>
            <w:tcBorders>
              <w:top w:val="nil"/>
              <w:left w:val="nil"/>
              <w:bottom w:val="nil"/>
              <w:right w:val="nil"/>
            </w:tcBorders>
            <w:shd w:val="clear" w:color="auto" w:fill="auto"/>
            <w:vAlign w:val="bottom"/>
          </w:tcPr>
          <w:p w14:paraId="1EA0AF57" w14:textId="34AC0B66" w:rsidR="00566EA9" w:rsidRPr="001D41EA" w:rsidRDefault="00566EA9" w:rsidP="001D41EA">
            <w:pPr>
              <w:spacing w:before="40" w:after="40"/>
              <w:jc w:val="center"/>
              <w:rPr>
                <w:rFonts w:cs="Arial"/>
                <w:sz w:val="18"/>
                <w:szCs w:val="18"/>
              </w:rPr>
            </w:pPr>
            <w:r w:rsidRPr="001D41EA">
              <w:rPr>
                <w:rFonts w:cs="Arial"/>
                <w:sz w:val="18"/>
                <w:szCs w:val="18"/>
              </w:rPr>
              <w:t>1.135</w:t>
            </w:r>
          </w:p>
        </w:tc>
        <w:tc>
          <w:tcPr>
            <w:tcW w:w="170" w:type="dxa"/>
            <w:tcBorders>
              <w:top w:val="nil"/>
              <w:left w:val="nil"/>
              <w:bottom w:val="nil"/>
              <w:right w:val="nil"/>
            </w:tcBorders>
            <w:vAlign w:val="bottom"/>
          </w:tcPr>
          <w:p w14:paraId="15735A33" w14:textId="790ED81A"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55815D8" w14:textId="473E1B4D" w:rsidR="00566EA9" w:rsidRPr="001D41EA" w:rsidRDefault="00566EA9" w:rsidP="001D41EA">
            <w:pPr>
              <w:spacing w:before="40" w:after="40"/>
              <w:jc w:val="center"/>
              <w:rPr>
                <w:rFonts w:cs="Arial"/>
                <w:sz w:val="18"/>
                <w:szCs w:val="18"/>
              </w:rPr>
            </w:pPr>
            <w:r w:rsidRPr="001D41EA">
              <w:rPr>
                <w:rFonts w:cs="Arial"/>
                <w:sz w:val="18"/>
                <w:szCs w:val="18"/>
              </w:rPr>
              <w:t>0.992</w:t>
            </w:r>
          </w:p>
        </w:tc>
        <w:tc>
          <w:tcPr>
            <w:tcW w:w="1134" w:type="dxa"/>
            <w:tcBorders>
              <w:top w:val="nil"/>
              <w:left w:val="nil"/>
              <w:bottom w:val="nil"/>
              <w:right w:val="nil"/>
            </w:tcBorders>
            <w:vAlign w:val="bottom"/>
          </w:tcPr>
          <w:p w14:paraId="1F4AC59B" w14:textId="34AA2B3F" w:rsidR="00566EA9" w:rsidRPr="001D41EA" w:rsidRDefault="00566EA9" w:rsidP="001D41EA">
            <w:pPr>
              <w:spacing w:before="40" w:after="40"/>
              <w:jc w:val="center"/>
              <w:rPr>
                <w:rFonts w:cs="Arial"/>
                <w:sz w:val="18"/>
                <w:szCs w:val="18"/>
              </w:rPr>
            </w:pPr>
            <w:r w:rsidRPr="001D41EA">
              <w:rPr>
                <w:rFonts w:cs="Arial"/>
                <w:sz w:val="18"/>
                <w:szCs w:val="18"/>
              </w:rPr>
              <w:t>0.985</w:t>
            </w:r>
          </w:p>
        </w:tc>
        <w:tc>
          <w:tcPr>
            <w:tcW w:w="1134" w:type="dxa"/>
            <w:tcBorders>
              <w:top w:val="nil"/>
              <w:left w:val="nil"/>
              <w:bottom w:val="nil"/>
              <w:right w:val="nil"/>
            </w:tcBorders>
            <w:vAlign w:val="bottom"/>
          </w:tcPr>
          <w:p w14:paraId="53F676BE" w14:textId="7F49D44B" w:rsidR="00566EA9" w:rsidRPr="001D41EA" w:rsidRDefault="00566EA9" w:rsidP="001D41EA">
            <w:pPr>
              <w:spacing w:before="40" w:after="40"/>
              <w:jc w:val="center"/>
              <w:rPr>
                <w:rFonts w:cs="Arial"/>
                <w:sz w:val="18"/>
                <w:szCs w:val="18"/>
              </w:rPr>
            </w:pPr>
            <w:r w:rsidRPr="001D41EA">
              <w:rPr>
                <w:rFonts w:cs="Arial"/>
                <w:sz w:val="18"/>
                <w:szCs w:val="18"/>
              </w:rPr>
              <w:t>0.988</w:t>
            </w:r>
          </w:p>
        </w:tc>
        <w:tc>
          <w:tcPr>
            <w:tcW w:w="1134" w:type="dxa"/>
            <w:tcBorders>
              <w:top w:val="nil"/>
              <w:left w:val="nil"/>
              <w:bottom w:val="nil"/>
              <w:right w:val="nil"/>
            </w:tcBorders>
            <w:vAlign w:val="bottom"/>
          </w:tcPr>
          <w:p w14:paraId="128B7F63" w14:textId="4E623B3B" w:rsidR="00566EA9" w:rsidRPr="001D41EA" w:rsidRDefault="00566EA9" w:rsidP="001D41EA">
            <w:pPr>
              <w:spacing w:before="40" w:after="40"/>
              <w:jc w:val="center"/>
              <w:rPr>
                <w:rFonts w:cs="Arial"/>
                <w:sz w:val="18"/>
                <w:szCs w:val="18"/>
              </w:rPr>
            </w:pPr>
            <w:r w:rsidRPr="001D41EA">
              <w:rPr>
                <w:rFonts w:cs="Arial"/>
                <w:sz w:val="18"/>
                <w:szCs w:val="18"/>
              </w:rPr>
              <w:t>0.968</w:t>
            </w:r>
          </w:p>
        </w:tc>
      </w:tr>
      <w:tr w:rsidR="00566EA9" w:rsidRPr="001D41EA" w14:paraId="670A628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91FCCD0" w14:textId="77777777" w:rsidR="00566EA9" w:rsidRPr="001D41EA" w:rsidRDefault="00566EA9" w:rsidP="001D41EA">
            <w:pPr>
              <w:spacing w:before="40" w:after="40"/>
              <w:rPr>
                <w:rFonts w:cs="Arial"/>
                <w:sz w:val="18"/>
                <w:szCs w:val="18"/>
              </w:rPr>
            </w:pPr>
            <w:r w:rsidRPr="001D41EA">
              <w:rPr>
                <w:rFonts w:cs="Arial"/>
                <w:sz w:val="18"/>
                <w:szCs w:val="18"/>
              </w:rPr>
              <w:t>Campaspe S</w:t>
            </w:r>
          </w:p>
        </w:tc>
        <w:tc>
          <w:tcPr>
            <w:tcW w:w="1134" w:type="dxa"/>
            <w:tcBorders>
              <w:top w:val="nil"/>
              <w:left w:val="single" w:sz="18" w:space="0" w:color="5F497A" w:themeColor="accent4" w:themeShade="BF"/>
              <w:bottom w:val="nil"/>
              <w:right w:val="nil"/>
            </w:tcBorders>
            <w:shd w:val="clear" w:color="auto" w:fill="auto"/>
            <w:vAlign w:val="bottom"/>
          </w:tcPr>
          <w:p w14:paraId="34013F26" w14:textId="2987152F" w:rsidR="00566EA9" w:rsidRPr="001D41EA" w:rsidRDefault="00566EA9" w:rsidP="001D41EA">
            <w:pPr>
              <w:spacing w:before="40" w:after="40"/>
              <w:jc w:val="center"/>
              <w:rPr>
                <w:rFonts w:cs="Arial"/>
                <w:sz w:val="18"/>
                <w:szCs w:val="18"/>
              </w:rPr>
            </w:pPr>
            <w:r w:rsidRPr="001D41EA">
              <w:rPr>
                <w:rFonts w:cs="Arial"/>
                <w:sz w:val="18"/>
                <w:szCs w:val="18"/>
              </w:rPr>
              <w:t>1.147</w:t>
            </w:r>
          </w:p>
        </w:tc>
        <w:tc>
          <w:tcPr>
            <w:tcW w:w="1134" w:type="dxa"/>
            <w:tcBorders>
              <w:top w:val="nil"/>
              <w:left w:val="nil"/>
              <w:bottom w:val="nil"/>
              <w:right w:val="nil"/>
            </w:tcBorders>
            <w:shd w:val="clear" w:color="auto" w:fill="auto"/>
            <w:vAlign w:val="bottom"/>
          </w:tcPr>
          <w:p w14:paraId="2EE06AC0" w14:textId="3E44823E" w:rsidR="00566EA9" w:rsidRPr="001D41EA" w:rsidRDefault="00566EA9" w:rsidP="001D41EA">
            <w:pPr>
              <w:spacing w:before="40" w:after="40"/>
              <w:jc w:val="center"/>
              <w:rPr>
                <w:rFonts w:cs="Arial"/>
                <w:sz w:val="18"/>
                <w:szCs w:val="18"/>
              </w:rPr>
            </w:pPr>
            <w:r w:rsidRPr="001D41EA">
              <w:rPr>
                <w:rFonts w:cs="Arial"/>
                <w:sz w:val="18"/>
                <w:szCs w:val="18"/>
              </w:rPr>
              <w:t>1.135</w:t>
            </w:r>
          </w:p>
        </w:tc>
        <w:tc>
          <w:tcPr>
            <w:tcW w:w="170" w:type="dxa"/>
            <w:tcBorders>
              <w:top w:val="nil"/>
              <w:left w:val="nil"/>
              <w:bottom w:val="nil"/>
              <w:right w:val="nil"/>
            </w:tcBorders>
            <w:vAlign w:val="bottom"/>
          </w:tcPr>
          <w:p w14:paraId="726C0856" w14:textId="07005E1B"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3588BB1C" w14:textId="65455A04" w:rsidR="00566EA9" w:rsidRPr="001D41EA" w:rsidRDefault="00566EA9" w:rsidP="001D41EA">
            <w:pPr>
              <w:spacing w:before="40" w:after="40"/>
              <w:jc w:val="center"/>
              <w:rPr>
                <w:rFonts w:cs="Arial"/>
                <w:sz w:val="18"/>
                <w:szCs w:val="18"/>
              </w:rPr>
            </w:pPr>
            <w:r w:rsidRPr="001D41EA">
              <w:rPr>
                <w:rFonts w:cs="Arial"/>
                <w:sz w:val="18"/>
                <w:szCs w:val="18"/>
              </w:rPr>
              <w:t>1.213</w:t>
            </w:r>
          </w:p>
        </w:tc>
        <w:tc>
          <w:tcPr>
            <w:tcW w:w="1134" w:type="dxa"/>
            <w:tcBorders>
              <w:top w:val="nil"/>
              <w:left w:val="nil"/>
              <w:bottom w:val="nil"/>
              <w:right w:val="nil"/>
            </w:tcBorders>
            <w:vAlign w:val="bottom"/>
          </w:tcPr>
          <w:p w14:paraId="597F025A" w14:textId="309B2EF6" w:rsidR="00566EA9" w:rsidRPr="001D41EA" w:rsidRDefault="00566EA9" w:rsidP="001D41EA">
            <w:pPr>
              <w:spacing w:before="40" w:after="40"/>
              <w:jc w:val="center"/>
              <w:rPr>
                <w:rFonts w:cs="Arial"/>
                <w:sz w:val="18"/>
                <w:szCs w:val="18"/>
              </w:rPr>
            </w:pPr>
            <w:r w:rsidRPr="001D41EA">
              <w:rPr>
                <w:rFonts w:cs="Arial"/>
                <w:sz w:val="18"/>
                <w:szCs w:val="18"/>
              </w:rPr>
              <w:t>1.204</w:t>
            </w:r>
          </w:p>
        </w:tc>
        <w:tc>
          <w:tcPr>
            <w:tcW w:w="1134" w:type="dxa"/>
            <w:tcBorders>
              <w:top w:val="nil"/>
              <w:left w:val="nil"/>
              <w:bottom w:val="nil"/>
              <w:right w:val="nil"/>
            </w:tcBorders>
            <w:vAlign w:val="bottom"/>
          </w:tcPr>
          <w:p w14:paraId="0833D1FE" w14:textId="4C654F3C" w:rsidR="00566EA9" w:rsidRPr="001D41EA" w:rsidRDefault="00566EA9" w:rsidP="001D41EA">
            <w:pPr>
              <w:spacing w:before="40" w:after="40"/>
              <w:jc w:val="center"/>
              <w:rPr>
                <w:rFonts w:cs="Arial"/>
                <w:sz w:val="18"/>
                <w:szCs w:val="18"/>
              </w:rPr>
            </w:pPr>
            <w:r w:rsidRPr="001D41EA">
              <w:rPr>
                <w:rFonts w:cs="Arial"/>
                <w:sz w:val="18"/>
                <w:szCs w:val="18"/>
              </w:rPr>
              <w:t>1.207</w:t>
            </w:r>
          </w:p>
        </w:tc>
        <w:tc>
          <w:tcPr>
            <w:tcW w:w="1134" w:type="dxa"/>
            <w:tcBorders>
              <w:top w:val="nil"/>
              <w:left w:val="nil"/>
              <w:bottom w:val="nil"/>
              <w:right w:val="nil"/>
            </w:tcBorders>
            <w:vAlign w:val="bottom"/>
          </w:tcPr>
          <w:p w14:paraId="788A2716" w14:textId="659D8FA7" w:rsidR="00566EA9" w:rsidRPr="001D41EA" w:rsidRDefault="00566EA9" w:rsidP="001D41EA">
            <w:pPr>
              <w:spacing w:before="40" w:after="40"/>
              <w:jc w:val="center"/>
              <w:rPr>
                <w:rFonts w:cs="Arial"/>
                <w:sz w:val="18"/>
                <w:szCs w:val="18"/>
              </w:rPr>
            </w:pPr>
            <w:r w:rsidRPr="001D41EA">
              <w:rPr>
                <w:rFonts w:cs="Arial"/>
                <w:sz w:val="18"/>
                <w:szCs w:val="18"/>
              </w:rPr>
              <w:t>1.183</w:t>
            </w:r>
          </w:p>
        </w:tc>
      </w:tr>
      <w:tr w:rsidR="00566EA9" w:rsidRPr="001D41EA" w14:paraId="22DB777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4722E9C" w14:textId="77777777" w:rsidR="00566EA9" w:rsidRPr="001D41EA" w:rsidRDefault="00566EA9" w:rsidP="001D41EA">
            <w:pPr>
              <w:spacing w:before="40" w:after="40"/>
              <w:rPr>
                <w:rFonts w:cs="Arial"/>
                <w:sz w:val="18"/>
                <w:szCs w:val="18"/>
              </w:rPr>
            </w:pPr>
            <w:r w:rsidRPr="001D41EA">
              <w:rPr>
                <w:rFonts w:cs="Arial"/>
                <w:sz w:val="18"/>
                <w:szCs w:val="18"/>
              </w:rPr>
              <w:t>Cardinia S</w:t>
            </w:r>
          </w:p>
        </w:tc>
        <w:tc>
          <w:tcPr>
            <w:tcW w:w="1134" w:type="dxa"/>
            <w:tcBorders>
              <w:top w:val="nil"/>
              <w:left w:val="single" w:sz="18" w:space="0" w:color="5F497A" w:themeColor="accent4" w:themeShade="BF"/>
              <w:bottom w:val="nil"/>
              <w:right w:val="nil"/>
            </w:tcBorders>
            <w:shd w:val="clear" w:color="auto" w:fill="auto"/>
            <w:vAlign w:val="bottom"/>
          </w:tcPr>
          <w:p w14:paraId="7B72C32D" w14:textId="689CF838" w:rsidR="00566EA9" w:rsidRPr="001D41EA" w:rsidRDefault="00566EA9" w:rsidP="001D41EA">
            <w:pPr>
              <w:spacing w:before="40" w:after="40"/>
              <w:jc w:val="center"/>
              <w:rPr>
                <w:rFonts w:cs="Arial"/>
                <w:sz w:val="18"/>
                <w:szCs w:val="18"/>
              </w:rPr>
            </w:pPr>
            <w:r w:rsidRPr="001D41EA">
              <w:rPr>
                <w:rFonts w:cs="Arial"/>
                <w:sz w:val="18"/>
                <w:szCs w:val="18"/>
              </w:rPr>
              <w:t>0.965</w:t>
            </w:r>
          </w:p>
        </w:tc>
        <w:tc>
          <w:tcPr>
            <w:tcW w:w="1134" w:type="dxa"/>
            <w:tcBorders>
              <w:top w:val="nil"/>
              <w:left w:val="nil"/>
              <w:bottom w:val="nil"/>
              <w:right w:val="nil"/>
            </w:tcBorders>
            <w:shd w:val="clear" w:color="auto" w:fill="auto"/>
            <w:vAlign w:val="bottom"/>
          </w:tcPr>
          <w:p w14:paraId="7CB69180" w14:textId="68EB7487" w:rsidR="00566EA9" w:rsidRPr="001D41EA" w:rsidRDefault="00566EA9" w:rsidP="001D41EA">
            <w:pPr>
              <w:spacing w:before="40" w:after="40"/>
              <w:jc w:val="center"/>
              <w:rPr>
                <w:rFonts w:cs="Arial"/>
                <w:sz w:val="18"/>
                <w:szCs w:val="18"/>
              </w:rPr>
            </w:pPr>
            <w:r w:rsidRPr="001D41EA">
              <w:rPr>
                <w:rFonts w:cs="Arial"/>
                <w:sz w:val="18"/>
                <w:szCs w:val="18"/>
              </w:rPr>
              <w:t>0.956</w:t>
            </w:r>
          </w:p>
        </w:tc>
        <w:tc>
          <w:tcPr>
            <w:tcW w:w="170" w:type="dxa"/>
            <w:tcBorders>
              <w:top w:val="nil"/>
              <w:left w:val="nil"/>
              <w:bottom w:val="nil"/>
              <w:right w:val="nil"/>
            </w:tcBorders>
            <w:vAlign w:val="bottom"/>
          </w:tcPr>
          <w:p w14:paraId="02F8DAF5" w14:textId="37AF1EE4"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1FF49B6F" w14:textId="2BE2465F" w:rsidR="00566EA9" w:rsidRPr="001D41EA" w:rsidRDefault="00566EA9" w:rsidP="001D41EA">
            <w:pPr>
              <w:spacing w:before="40" w:after="40"/>
              <w:jc w:val="center"/>
              <w:rPr>
                <w:rFonts w:cs="Arial"/>
                <w:sz w:val="18"/>
                <w:szCs w:val="18"/>
              </w:rPr>
            </w:pPr>
            <w:r w:rsidRPr="001D41EA">
              <w:rPr>
                <w:rFonts w:cs="Arial"/>
                <w:sz w:val="18"/>
                <w:szCs w:val="18"/>
              </w:rPr>
              <w:t>0.904</w:t>
            </w:r>
          </w:p>
        </w:tc>
        <w:tc>
          <w:tcPr>
            <w:tcW w:w="1134" w:type="dxa"/>
            <w:tcBorders>
              <w:top w:val="nil"/>
              <w:left w:val="nil"/>
              <w:bottom w:val="nil"/>
              <w:right w:val="nil"/>
            </w:tcBorders>
            <w:vAlign w:val="bottom"/>
          </w:tcPr>
          <w:p w14:paraId="05FBAE2C" w14:textId="22B2707F" w:rsidR="00566EA9" w:rsidRPr="001D41EA" w:rsidRDefault="00566EA9" w:rsidP="001D41EA">
            <w:pPr>
              <w:spacing w:before="40" w:after="40"/>
              <w:jc w:val="center"/>
              <w:rPr>
                <w:rFonts w:cs="Arial"/>
                <w:sz w:val="18"/>
                <w:szCs w:val="18"/>
              </w:rPr>
            </w:pPr>
            <w:r w:rsidRPr="001D41EA">
              <w:rPr>
                <w:rFonts w:cs="Arial"/>
                <w:sz w:val="18"/>
                <w:szCs w:val="18"/>
              </w:rPr>
              <w:t>0.898</w:t>
            </w:r>
          </w:p>
        </w:tc>
        <w:tc>
          <w:tcPr>
            <w:tcW w:w="1134" w:type="dxa"/>
            <w:tcBorders>
              <w:top w:val="nil"/>
              <w:left w:val="nil"/>
              <w:bottom w:val="nil"/>
              <w:right w:val="nil"/>
            </w:tcBorders>
            <w:vAlign w:val="bottom"/>
          </w:tcPr>
          <w:p w14:paraId="28C1ADD1" w14:textId="329284A4" w:rsidR="00566EA9" w:rsidRPr="001D41EA" w:rsidRDefault="00566EA9" w:rsidP="001D41EA">
            <w:pPr>
              <w:spacing w:before="40" w:after="40"/>
              <w:jc w:val="center"/>
              <w:rPr>
                <w:rFonts w:cs="Arial"/>
                <w:sz w:val="18"/>
                <w:szCs w:val="18"/>
              </w:rPr>
            </w:pPr>
            <w:r w:rsidRPr="001D41EA">
              <w:rPr>
                <w:rFonts w:cs="Arial"/>
                <w:sz w:val="18"/>
                <w:szCs w:val="18"/>
              </w:rPr>
              <w:t>0.900</w:t>
            </w:r>
          </w:p>
        </w:tc>
        <w:tc>
          <w:tcPr>
            <w:tcW w:w="1134" w:type="dxa"/>
            <w:tcBorders>
              <w:top w:val="nil"/>
              <w:left w:val="nil"/>
              <w:bottom w:val="nil"/>
              <w:right w:val="nil"/>
            </w:tcBorders>
            <w:vAlign w:val="bottom"/>
          </w:tcPr>
          <w:p w14:paraId="235584FC" w14:textId="39F74C83" w:rsidR="00566EA9" w:rsidRPr="001D41EA" w:rsidRDefault="00566EA9" w:rsidP="001D41EA">
            <w:pPr>
              <w:spacing w:before="40" w:after="40"/>
              <w:jc w:val="center"/>
              <w:rPr>
                <w:rFonts w:cs="Arial"/>
                <w:sz w:val="18"/>
                <w:szCs w:val="18"/>
              </w:rPr>
            </w:pPr>
            <w:r w:rsidRPr="001D41EA">
              <w:rPr>
                <w:rFonts w:cs="Arial"/>
                <w:sz w:val="18"/>
                <w:szCs w:val="18"/>
              </w:rPr>
              <w:t>0.882</w:t>
            </w:r>
          </w:p>
        </w:tc>
      </w:tr>
      <w:tr w:rsidR="00566EA9" w:rsidRPr="001D41EA" w14:paraId="37AC058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882C162" w14:textId="77777777" w:rsidR="00566EA9" w:rsidRPr="001D41EA" w:rsidRDefault="00566EA9" w:rsidP="001D41EA">
            <w:pPr>
              <w:spacing w:before="40" w:after="40"/>
              <w:rPr>
                <w:rFonts w:cs="Arial"/>
                <w:sz w:val="18"/>
                <w:szCs w:val="18"/>
              </w:rPr>
            </w:pPr>
            <w:r w:rsidRPr="001D41EA">
              <w:rPr>
                <w:rFonts w:cs="Arial"/>
                <w:sz w:val="18"/>
                <w:szCs w:val="18"/>
              </w:rPr>
              <w:t>Casey C</w:t>
            </w:r>
          </w:p>
        </w:tc>
        <w:tc>
          <w:tcPr>
            <w:tcW w:w="1134" w:type="dxa"/>
            <w:tcBorders>
              <w:top w:val="nil"/>
              <w:left w:val="single" w:sz="18" w:space="0" w:color="5F497A" w:themeColor="accent4" w:themeShade="BF"/>
              <w:bottom w:val="nil"/>
              <w:right w:val="nil"/>
            </w:tcBorders>
            <w:shd w:val="clear" w:color="auto" w:fill="auto"/>
            <w:vAlign w:val="bottom"/>
          </w:tcPr>
          <w:p w14:paraId="2B41AC70" w14:textId="5F3F1BA0" w:rsidR="00566EA9" w:rsidRPr="001D41EA" w:rsidRDefault="00566EA9" w:rsidP="001D41EA">
            <w:pPr>
              <w:spacing w:before="40" w:after="40"/>
              <w:jc w:val="center"/>
              <w:rPr>
                <w:rFonts w:cs="Arial"/>
                <w:sz w:val="18"/>
                <w:szCs w:val="18"/>
              </w:rPr>
            </w:pPr>
            <w:r w:rsidRPr="001D41EA">
              <w:rPr>
                <w:rFonts w:cs="Arial"/>
                <w:sz w:val="18"/>
                <w:szCs w:val="18"/>
              </w:rPr>
              <w:t>1.022</w:t>
            </w:r>
          </w:p>
        </w:tc>
        <w:tc>
          <w:tcPr>
            <w:tcW w:w="1134" w:type="dxa"/>
            <w:tcBorders>
              <w:top w:val="nil"/>
              <w:left w:val="nil"/>
              <w:bottom w:val="nil"/>
              <w:right w:val="nil"/>
            </w:tcBorders>
            <w:shd w:val="clear" w:color="auto" w:fill="auto"/>
            <w:vAlign w:val="bottom"/>
          </w:tcPr>
          <w:p w14:paraId="11810461" w14:textId="1313A165" w:rsidR="00566EA9" w:rsidRPr="001D41EA" w:rsidRDefault="00566EA9" w:rsidP="001D41EA">
            <w:pPr>
              <w:spacing w:before="40" w:after="40"/>
              <w:jc w:val="center"/>
              <w:rPr>
                <w:rFonts w:cs="Arial"/>
                <w:sz w:val="18"/>
                <w:szCs w:val="18"/>
              </w:rPr>
            </w:pPr>
            <w:r w:rsidRPr="001D41EA">
              <w:rPr>
                <w:rFonts w:cs="Arial"/>
                <w:sz w:val="18"/>
                <w:szCs w:val="18"/>
              </w:rPr>
              <w:t>1.012</w:t>
            </w:r>
          </w:p>
        </w:tc>
        <w:tc>
          <w:tcPr>
            <w:tcW w:w="170" w:type="dxa"/>
            <w:tcBorders>
              <w:top w:val="nil"/>
              <w:left w:val="nil"/>
              <w:bottom w:val="nil"/>
              <w:right w:val="nil"/>
            </w:tcBorders>
            <w:vAlign w:val="bottom"/>
          </w:tcPr>
          <w:p w14:paraId="1D91BFDA" w14:textId="48BE83ED"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7B79D406" w14:textId="7323521E" w:rsidR="00566EA9" w:rsidRPr="001D41EA" w:rsidRDefault="00566EA9" w:rsidP="001D41EA">
            <w:pPr>
              <w:spacing w:before="40" w:after="40"/>
              <w:jc w:val="center"/>
              <w:rPr>
                <w:rFonts w:cs="Arial"/>
                <w:sz w:val="18"/>
                <w:szCs w:val="18"/>
              </w:rPr>
            </w:pPr>
            <w:r w:rsidRPr="001D41EA">
              <w:rPr>
                <w:rFonts w:cs="Arial"/>
                <w:sz w:val="18"/>
                <w:szCs w:val="18"/>
              </w:rPr>
              <w:t>0.873</w:t>
            </w:r>
          </w:p>
        </w:tc>
        <w:tc>
          <w:tcPr>
            <w:tcW w:w="1134" w:type="dxa"/>
            <w:tcBorders>
              <w:top w:val="nil"/>
              <w:left w:val="nil"/>
              <w:bottom w:val="nil"/>
              <w:right w:val="nil"/>
            </w:tcBorders>
            <w:vAlign w:val="bottom"/>
          </w:tcPr>
          <w:p w14:paraId="0BC7F57A" w14:textId="2D122C1B" w:rsidR="00566EA9" w:rsidRPr="001D41EA" w:rsidRDefault="00566EA9" w:rsidP="001D41EA">
            <w:pPr>
              <w:spacing w:before="40" w:after="40"/>
              <w:jc w:val="center"/>
              <w:rPr>
                <w:rFonts w:cs="Arial"/>
                <w:sz w:val="18"/>
                <w:szCs w:val="18"/>
              </w:rPr>
            </w:pPr>
            <w:r w:rsidRPr="001D41EA">
              <w:rPr>
                <w:rFonts w:cs="Arial"/>
                <w:sz w:val="18"/>
                <w:szCs w:val="18"/>
              </w:rPr>
              <w:t>0.867</w:t>
            </w:r>
          </w:p>
        </w:tc>
        <w:tc>
          <w:tcPr>
            <w:tcW w:w="1134" w:type="dxa"/>
            <w:tcBorders>
              <w:top w:val="nil"/>
              <w:left w:val="nil"/>
              <w:bottom w:val="nil"/>
              <w:right w:val="nil"/>
            </w:tcBorders>
            <w:vAlign w:val="bottom"/>
          </w:tcPr>
          <w:p w14:paraId="16C3B780" w14:textId="2D32CE2B" w:rsidR="00566EA9" w:rsidRPr="001D41EA" w:rsidRDefault="00566EA9" w:rsidP="001D41EA">
            <w:pPr>
              <w:spacing w:before="40" w:after="40"/>
              <w:jc w:val="center"/>
              <w:rPr>
                <w:rFonts w:cs="Arial"/>
                <w:sz w:val="18"/>
                <w:szCs w:val="18"/>
              </w:rPr>
            </w:pPr>
            <w:r w:rsidRPr="001D41EA">
              <w:rPr>
                <w:rFonts w:cs="Arial"/>
                <w:sz w:val="18"/>
                <w:szCs w:val="18"/>
              </w:rPr>
              <w:t>0.869</w:t>
            </w:r>
          </w:p>
        </w:tc>
        <w:tc>
          <w:tcPr>
            <w:tcW w:w="1134" w:type="dxa"/>
            <w:tcBorders>
              <w:top w:val="nil"/>
              <w:left w:val="nil"/>
              <w:bottom w:val="nil"/>
              <w:right w:val="nil"/>
            </w:tcBorders>
            <w:vAlign w:val="bottom"/>
          </w:tcPr>
          <w:p w14:paraId="1120F036" w14:textId="111C109B" w:rsidR="00566EA9" w:rsidRPr="001D41EA" w:rsidRDefault="00566EA9" w:rsidP="001D41EA">
            <w:pPr>
              <w:spacing w:before="40" w:after="40"/>
              <w:jc w:val="center"/>
              <w:rPr>
                <w:rFonts w:cs="Arial"/>
                <w:sz w:val="18"/>
                <w:szCs w:val="18"/>
              </w:rPr>
            </w:pPr>
            <w:r w:rsidRPr="001D41EA">
              <w:rPr>
                <w:rFonts w:cs="Arial"/>
                <w:sz w:val="18"/>
                <w:szCs w:val="18"/>
              </w:rPr>
              <w:t>0.852</w:t>
            </w:r>
          </w:p>
        </w:tc>
      </w:tr>
      <w:tr w:rsidR="00566EA9" w:rsidRPr="001D41EA" w14:paraId="7AD8B46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D5C276A" w14:textId="77777777" w:rsidR="00566EA9" w:rsidRPr="001D41EA" w:rsidRDefault="00566EA9" w:rsidP="001D41EA">
            <w:pPr>
              <w:spacing w:before="40" w:after="40"/>
              <w:rPr>
                <w:rFonts w:cs="Arial"/>
                <w:sz w:val="18"/>
                <w:szCs w:val="18"/>
              </w:rPr>
            </w:pPr>
            <w:r w:rsidRPr="001D41EA">
              <w:rPr>
                <w:rFonts w:cs="Arial"/>
                <w:sz w:val="18"/>
                <w:szCs w:val="18"/>
              </w:rPr>
              <w:t>Central Goldfields S</w:t>
            </w:r>
          </w:p>
        </w:tc>
        <w:tc>
          <w:tcPr>
            <w:tcW w:w="1134" w:type="dxa"/>
            <w:tcBorders>
              <w:top w:val="nil"/>
              <w:left w:val="single" w:sz="18" w:space="0" w:color="5F497A" w:themeColor="accent4" w:themeShade="BF"/>
              <w:bottom w:val="nil"/>
              <w:right w:val="nil"/>
            </w:tcBorders>
            <w:shd w:val="clear" w:color="auto" w:fill="auto"/>
            <w:vAlign w:val="bottom"/>
          </w:tcPr>
          <w:p w14:paraId="3360E985" w14:textId="7CB5BAA2" w:rsidR="00566EA9" w:rsidRPr="001D41EA" w:rsidRDefault="00566EA9" w:rsidP="001D41EA">
            <w:pPr>
              <w:spacing w:before="40" w:after="40"/>
              <w:jc w:val="center"/>
              <w:rPr>
                <w:rFonts w:cs="Arial"/>
                <w:sz w:val="18"/>
                <w:szCs w:val="18"/>
              </w:rPr>
            </w:pPr>
            <w:r w:rsidRPr="001D41EA">
              <w:rPr>
                <w:rFonts w:cs="Arial"/>
                <w:sz w:val="18"/>
                <w:szCs w:val="18"/>
              </w:rPr>
              <w:t>1.408</w:t>
            </w:r>
          </w:p>
        </w:tc>
        <w:tc>
          <w:tcPr>
            <w:tcW w:w="1134" w:type="dxa"/>
            <w:tcBorders>
              <w:top w:val="nil"/>
              <w:left w:val="nil"/>
              <w:bottom w:val="nil"/>
              <w:right w:val="nil"/>
            </w:tcBorders>
            <w:shd w:val="clear" w:color="auto" w:fill="auto"/>
            <w:vAlign w:val="bottom"/>
          </w:tcPr>
          <w:p w14:paraId="27EB6F41" w14:textId="62C5DF1F" w:rsidR="00566EA9" w:rsidRPr="001D41EA" w:rsidRDefault="00566EA9" w:rsidP="001D41EA">
            <w:pPr>
              <w:spacing w:before="40" w:after="40"/>
              <w:jc w:val="center"/>
              <w:rPr>
                <w:rFonts w:cs="Arial"/>
                <w:sz w:val="18"/>
                <w:szCs w:val="18"/>
              </w:rPr>
            </w:pPr>
            <w:r w:rsidRPr="001D41EA">
              <w:rPr>
                <w:rFonts w:cs="Arial"/>
                <w:sz w:val="18"/>
                <w:szCs w:val="18"/>
              </w:rPr>
              <w:t>1.393</w:t>
            </w:r>
          </w:p>
        </w:tc>
        <w:tc>
          <w:tcPr>
            <w:tcW w:w="170" w:type="dxa"/>
            <w:tcBorders>
              <w:top w:val="nil"/>
              <w:left w:val="nil"/>
              <w:bottom w:val="nil"/>
              <w:right w:val="nil"/>
            </w:tcBorders>
            <w:vAlign w:val="bottom"/>
          </w:tcPr>
          <w:p w14:paraId="0E17E596" w14:textId="7CF3A60B"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45CF5E38" w14:textId="5C0D9548" w:rsidR="00566EA9" w:rsidRPr="001D41EA" w:rsidRDefault="00566EA9" w:rsidP="001D41EA">
            <w:pPr>
              <w:spacing w:before="40" w:after="40"/>
              <w:jc w:val="center"/>
              <w:rPr>
                <w:rFonts w:cs="Arial"/>
                <w:sz w:val="18"/>
                <w:szCs w:val="18"/>
              </w:rPr>
            </w:pPr>
            <w:r w:rsidRPr="001D41EA">
              <w:rPr>
                <w:rFonts w:cs="Arial"/>
                <w:sz w:val="18"/>
                <w:szCs w:val="18"/>
              </w:rPr>
              <w:t>1.030</w:t>
            </w:r>
          </w:p>
        </w:tc>
        <w:tc>
          <w:tcPr>
            <w:tcW w:w="1134" w:type="dxa"/>
            <w:tcBorders>
              <w:top w:val="nil"/>
              <w:left w:val="nil"/>
              <w:bottom w:val="nil"/>
              <w:right w:val="nil"/>
            </w:tcBorders>
            <w:vAlign w:val="bottom"/>
          </w:tcPr>
          <w:p w14:paraId="3F5E630F" w14:textId="1024D003" w:rsidR="00566EA9" w:rsidRPr="001D41EA" w:rsidRDefault="00566EA9" w:rsidP="001D41EA">
            <w:pPr>
              <w:spacing w:before="40" w:after="40"/>
              <w:jc w:val="center"/>
              <w:rPr>
                <w:rFonts w:cs="Arial"/>
                <w:sz w:val="18"/>
                <w:szCs w:val="18"/>
              </w:rPr>
            </w:pPr>
            <w:r w:rsidRPr="001D41EA">
              <w:rPr>
                <w:rFonts w:cs="Arial"/>
                <w:sz w:val="18"/>
                <w:szCs w:val="18"/>
              </w:rPr>
              <w:t>1.023</w:t>
            </w:r>
          </w:p>
        </w:tc>
        <w:tc>
          <w:tcPr>
            <w:tcW w:w="1134" w:type="dxa"/>
            <w:tcBorders>
              <w:top w:val="nil"/>
              <w:left w:val="nil"/>
              <w:bottom w:val="nil"/>
              <w:right w:val="nil"/>
            </w:tcBorders>
            <w:vAlign w:val="bottom"/>
          </w:tcPr>
          <w:p w14:paraId="1A93563C" w14:textId="6F4CC94C" w:rsidR="00566EA9" w:rsidRPr="001D41EA" w:rsidRDefault="00566EA9" w:rsidP="001D41EA">
            <w:pPr>
              <w:spacing w:before="40" w:after="40"/>
              <w:jc w:val="center"/>
              <w:rPr>
                <w:rFonts w:cs="Arial"/>
                <w:sz w:val="18"/>
                <w:szCs w:val="18"/>
              </w:rPr>
            </w:pPr>
            <w:r w:rsidRPr="001D41EA">
              <w:rPr>
                <w:rFonts w:cs="Arial"/>
                <w:sz w:val="18"/>
                <w:szCs w:val="18"/>
              </w:rPr>
              <w:t>1.026</w:t>
            </w:r>
          </w:p>
        </w:tc>
        <w:tc>
          <w:tcPr>
            <w:tcW w:w="1134" w:type="dxa"/>
            <w:tcBorders>
              <w:top w:val="nil"/>
              <w:left w:val="nil"/>
              <w:bottom w:val="nil"/>
              <w:right w:val="nil"/>
            </w:tcBorders>
            <w:vAlign w:val="bottom"/>
          </w:tcPr>
          <w:p w14:paraId="230B12B0" w14:textId="6FD34A03" w:rsidR="00566EA9" w:rsidRPr="001D41EA" w:rsidRDefault="00566EA9" w:rsidP="001D41EA">
            <w:pPr>
              <w:spacing w:before="40" w:after="40"/>
              <w:jc w:val="center"/>
              <w:rPr>
                <w:rFonts w:cs="Arial"/>
                <w:sz w:val="18"/>
                <w:szCs w:val="18"/>
              </w:rPr>
            </w:pPr>
            <w:r w:rsidRPr="001D41EA">
              <w:rPr>
                <w:rFonts w:cs="Arial"/>
                <w:sz w:val="18"/>
                <w:szCs w:val="18"/>
              </w:rPr>
              <w:t>1.005</w:t>
            </w:r>
          </w:p>
        </w:tc>
      </w:tr>
      <w:tr w:rsidR="00566EA9" w:rsidRPr="001D41EA" w14:paraId="376D882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68E3579" w14:textId="77777777" w:rsidR="00566EA9" w:rsidRPr="001D41EA" w:rsidRDefault="00566EA9" w:rsidP="001D41EA">
            <w:pPr>
              <w:spacing w:before="40" w:after="40"/>
              <w:rPr>
                <w:rFonts w:cs="Arial"/>
                <w:sz w:val="18"/>
                <w:szCs w:val="18"/>
              </w:rPr>
            </w:pPr>
            <w:r w:rsidRPr="001D41EA">
              <w:rPr>
                <w:rFonts w:cs="Arial"/>
                <w:sz w:val="18"/>
                <w:szCs w:val="18"/>
              </w:rPr>
              <w:t>Colac Otway S</w:t>
            </w:r>
          </w:p>
        </w:tc>
        <w:tc>
          <w:tcPr>
            <w:tcW w:w="1134" w:type="dxa"/>
            <w:tcBorders>
              <w:top w:val="nil"/>
              <w:left w:val="single" w:sz="18" w:space="0" w:color="5F497A" w:themeColor="accent4" w:themeShade="BF"/>
              <w:bottom w:val="nil"/>
              <w:right w:val="nil"/>
            </w:tcBorders>
            <w:shd w:val="clear" w:color="auto" w:fill="auto"/>
            <w:vAlign w:val="bottom"/>
          </w:tcPr>
          <w:p w14:paraId="78A6639B" w14:textId="17CB5A64" w:rsidR="00566EA9" w:rsidRPr="001D41EA" w:rsidRDefault="00566EA9" w:rsidP="001D41EA">
            <w:pPr>
              <w:spacing w:before="40" w:after="40"/>
              <w:jc w:val="center"/>
              <w:rPr>
                <w:rFonts w:cs="Arial"/>
                <w:sz w:val="18"/>
                <w:szCs w:val="18"/>
              </w:rPr>
            </w:pPr>
            <w:r w:rsidRPr="001D41EA">
              <w:rPr>
                <w:rFonts w:cs="Arial"/>
                <w:sz w:val="18"/>
                <w:szCs w:val="18"/>
              </w:rPr>
              <w:t>1.167</w:t>
            </w:r>
          </w:p>
        </w:tc>
        <w:tc>
          <w:tcPr>
            <w:tcW w:w="1134" w:type="dxa"/>
            <w:tcBorders>
              <w:top w:val="nil"/>
              <w:left w:val="nil"/>
              <w:bottom w:val="nil"/>
              <w:right w:val="nil"/>
            </w:tcBorders>
            <w:shd w:val="clear" w:color="auto" w:fill="auto"/>
            <w:vAlign w:val="bottom"/>
          </w:tcPr>
          <w:p w14:paraId="22482CCB" w14:textId="6F576732" w:rsidR="00566EA9" w:rsidRPr="001D41EA" w:rsidRDefault="00566EA9" w:rsidP="001D41EA">
            <w:pPr>
              <w:spacing w:before="40" w:after="40"/>
              <w:jc w:val="center"/>
              <w:rPr>
                <w:rFonts w:cs="Arial"/>
                <w:sz w:val="18"/>
                <w:szCs w:val="18"/>
              </w:rPr>
            </w:pPr>
            <w:r w:rsidRPr="001D41EA">
              <w:rPr>
                <w:rFonts w:cs="Arial"/>
                <w:sz w:val="18"/>
                <w:szCs w:val="18"/>
              </w:rPr>
              <w:t>1.155</w:t>
            </w:r>
          </w:p>
        </w:tc>
        <w:tc>
          <w:tcPr>
            <w:tcW w:w="170" w:type="dxa"/>
            <w:tcBorders>
              <w:top w:val="nil"/>
              <w:left w:val="nil"/>
              <w:bottom w:val="nil"/>
              <w:right w:val="nil"/>
            </w:tcBorders>
            <w:vAlign w:val="bottom"/>
          </w:tcPr>
          <w:p w14:paraId="45EB2869" w14:textId="72AB089A"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697A149E" w14:textId="071EE433" w:rsidR="00566EA9" w:rsidRPr="001D41EA" w:rsidRDefault="00566EA9" w:rsidP="001D41EA">
            <w:pPr>
              <w:spacing w:before="40" w:after="40"/>
              <w:jc w:val="center"/>
              <w:rPr>
                <w:rFonts w:cs="Arial"/>
                <w:sz w:val="18"/>
                <w:szCs w:val="18"/>
              </w:rPr>
            </w:pPr>
            <w:r w:rsidRPr="001D41EA">
              <w:rPr>
                <w:rFonts w:cs="Arial"/>
                <w:sz w:val="18"/>
                <w:szCs w:val="18"/>
              </w:rPr>
              <w:t>1.412</w:t>
            </w:r>
          </w:p>
        </w:tc>
        <w:tc>
          <w:tcPr>
            <w:tcW w:w="1134" w:type="dxa"/>
            <w:tcBorders>
              <w:top w:val="nil"/>
              <w:left w:val="nil"/>
              <w:bottom w:val="nil"/>
              <w:right w:val="nil"/>
            </w:tcBorders>
            <w:vAlign w:val="bottom"/>
          </w:tcPr>
          <w:p w14:paraId="0B75CE63" w14:textId="472535E5" w:rsidR="00566EA9" w:rsidRPr="001D41EA" w:rsidRDefault="00566EA9" w:rsidP="001D41EA">
            <w:pPr>
              <w:spacing w:before="40" w:after="40"/>
              <w:jc w:val="center"/>
              <w:rPr>
                <w:rFonts w:cs="Arial"/>
                <w:sz w:val="18"/>
                <w:szCs w:val="18"/>
              </w:rPr>
            </w:pPr>
            <w:r w:rsidRPr="001D41EA">
              <w:rPr>
                <w:rFonts w:cs="Arial"/>
                <w:sz w:val="18"/>
                <w:szCs w:val="18"/>
              </w:rPr>
              <w:t>1.403</w:t>
            </w:r>
          </w:p>
        </w:tc>
        <w:tc>
          <w:tcPr>
            <w:tcW w:w="1134" w:type="dxa"/>
            <w:tcBorders>
              <w:top w:val="nil"/>
              <w:left w:val="nil"/>
              <w:bottom w:val="nil"/>
              <w:right w:val="nil"/>
            </w:tcBorders>
            <w:vAlign w:val="bottom"/>
          </w:tcPr>
          <w:p w14:paraId="7790ABED" w14:textId="799162F6" w:rsidR="00566EA9" w:rsidRPr="001D41EA" w:rsidRDefault="00566EA9" w:rsidP="001D41EA">
            <w:pPr>
              <w:spacing w:before="40" w:after="40"/>
              <w:jc w:val="center"/>
              <w:rPr>
                <w:rFonts w:cs="Arial"/>
                <w:sz w:val="18"/>
                <w:szCs w:val="18"/>
              </w:rPr>
            </w:pPr>
            <w:r w:rsidRPr="001D41EA">
              <w:rPr>
                <w:rFonts w:cs="Arial"/>
                <w:sz w:val="18"/>
                <w:szCs w:val="18"/>
              </w:rPr>
              <w:t>1.406</w:t>
            </w:r>
          </w:p>
        </w:tc>
        <w:tc>
          <w:tcPr>
            <w:tcW w:w="1134" w:type="dxa"/>
            <w:tcBorders>
              <w:top w:val="nil"/>
              <w:left w:val="nil"/>
              <w:bottom w:val="nil"/>
              <w:right w:val="nil"/>
            </w:tcBorders>
            <w:vAlign w:val="bottom"/>
          </w:tcPr>
          <w:p w14:paraId="417B6F67" w14:textId="598E703A" w:rsidR="00566EA9" w:rsidRPr="001D41EA" w:rsidRDefault="00566EA9" w:rsidP="001D41EA">
            <w:pPr>
              <w:spacing w:before="40" w:after="40"/>
              <w:jc w:val="center"/>
              <w:rPr>
                <w:rFonts w:cs="Arial"/>
                <w:sz w:val="18"/>
                <w:szCs w:val="18"/>
              </w:rPr>
            </w:pPr>
            <w:r w:rsidRPr="001D41EA">
              <w:rPr>
                <w:rFonts w:cs="Arial"/>
                <w:sz w:val="18"/>
                <w:szCs w:val="18"/>
              </w:rPr>
              <w:t>1.378</w:t>
            </w:r>
          </w:p>
        </w:tc>
      </w:tr>
      <w:tr w:rsidR="00566EA9" w:rsidRPr="001D41EA" w14:paraId="4F28958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00E0450" w14:textId="77777777" w:rsidR="00566EA9" w:rsidRPr="001D41EA" w:rsidRDefault="00566EA9" w:rsidP="001D41EA">
            <w:pPr>
              <w:spacing w:before="40" w:after="40"/>
              <w:rPr>
                <w:rFonts w:cs="Arial"/>
                <w:sz w:val="18"/>
                <w:szCs w:val="18"/>
              </w:rPr>
            </w:pPr>
            <w:r w:rsidRPr="001D41EA">
              <w:rPr>
                <w:rFonts w:cs="Arial"/>
                <w:sz w:val="18"/>
                <w:szCs w:val="18"/>
              </w:rPr>
              <w:t>Corangamite S</w:t>
            </w:r>
          </w:p>
        </w:tc>
        <w:tc>
          <w:tcPr>
            <w:tcW w:w="1134" w:type="dxa"/>
            <w:tcBorders>
              <w:top w:val="nil"/>
              <w:left w:val="single" w:sz="18" w:space="0" w:color="5F497A" w:themeColor="accent4" w:themeShade="BF"/>
              <w:bottom w:val="nil"/>
              <w:right w:val="nil"/>
            </w:tcBorders>
            <w:shd w:val="clear" w:color="auto" w:fill="auto"/>
            <w:vAlign w:val="bottom"/>
          </w:tcPr>
          <w:p w14:paraId="34C81BFF" w14:textId="48743A76" w:rsidR="00566EA9" w:rsidRPr="001D41EA" w:rsidRDefault="00566EA9" w:rsidP="001D41EA">
            <w:pPr>
              <w:spacing w:before="40" w:after="40"/>
              <w:jc w:val="center"/>
              <w:rPr>
                <w:rFonts w:cs="Arial"/>
                <w:sz w:val="18"/>
                <w:szCs w:val="18"/>
              </w:rPr>
            </w:pPr>
            <w:r w:rsidRPr="001D41EA">
              <w:rPr>
                <w:rFonts w:cs="Arial"/>
                <w:sz w:val="18"/>
                <w:szCs w:val="18"/>
              </w:rPr>
              <w:t>1.113</w:t>
            </w:r>
          </w:p>
        </w:tc>
        <w:tc>
          <w:tcPr>
            <w:tcW w:w="1134" w:type="dxa"/>
            <w:tcBorders>
              <w:top w:val="nil"/>
              <w:left w:val="nil"/>
              <w:bottom w:val="nil"/>
              <w:right w:val="nil"/>
            </w:tcBorders>
            <w:shd w:val="clear" w:color="auto" w:fill="auto"/>
            <w:vAlign w:val="bottom"/>
          </w:tcPr>
          <w:p w14:paraId="7BE6E28C" w14:textId="2DF38F18" w:rsidR="00566EA9" w:rsidRPr="001D41EA" w:rsidRDefault="00566EA9" w:rsidP="001D41EA">
            <w:pPr>
              <w:spacing w:before="40" w:after="40"/>
              <w:jc w:val="center"/>
              <w:rPr>
                <w:rFonts w:cs="Arial"/>
                <w:sz w:val="18"/>
                <w:szCs w:val="18"/>
              </w:rPr>
            </w:pPr>
            <w:r w:rsidRPr="001D41EA">
              <w:rPr>
                <w:rFonts w:cs="Arial"/>
                <w:sz w:val="18"/>
                <w:szCs w:val="18"/>
              </w:rPr>
              <w:t>1.102</w:t>
            </w:r>
          </w:p>
        </w:tc>
        <w:tc>
          <w:tcPr>
            <w:tcW w:w="170" w:type="dxa"/>
            <w:tcBorders>
              <w:top w:val="nil"/>
              <w:left w:val="nil"/>
              <w:bottom w:val="nil"/>
              <w:right w:val="nil"/>
            </w:tcBorders>
            <w:vAlign w:val="bottom"/>
          </w:tcPr>
          <w:p w14:paraId="638E0553" w14:textId="42E64CA0"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5A6F33B7" w14:textId="73C55778" w:rsidR="00566EA9" w:rsidRPr="001D41EA" w:rsidRDefault="00566EA9" w:rsidP="001D41EA">
            <w:pPr>
              <w:spacing w:before="40" w:after="40"/>
              <w:jc w:val="center"/>
              <w:rPr>
                <w:rFonts w:cs="Arial"/>
                <w:sz w:val="18"/>
                <w:szCs w:val="18"/>
              </w:rPr>
            </w:pPr>
            <w:r w:rsidRPr="001D41EA">
              <w:rPr>
                <w:rFonts w:cs="Arial"/>
                <w:sz w:val="18"/>
                <w:szCs w:val="18"/>
              </w:rPr>
              <w:t>1.134</w:t>
            </w:r>
          </w:p>
        </w:tc>
        <w:tc>
          <w:tcPr>
            <w:tcW w:w="1134" w:type="dxa"/>
            <w:tcBorders>
              <w:top w:val="nil"/>
              <w:left w:val="nil"/>
              <w:bottom w:val="nil"/>
              <w:right w:val="nil"/>
            </w:tcBorders>
            <w:vAlign w:val="bottom"/>
          </w:tcPr>
          <w:p w14:paraId="771FE944" w14:textId="74B988EE" w:rsidR="00566EA9" w:rsidRPr="001D41EA" w:rsidRDefault="00566EA9" w:rsidP="001D41EA">
            <w:pPr>
              <w:spacing w:before="40" w:after="40"/>
              <w:jc w:val="center"/>
              <w:rPr>
                <w:rFonts w:cs="Arial"/>
                <w:sz w:val="18"/>
                <w:szCs w:val="18"/>
              </w:rPr>
            </w:pPr>
            <w:r w:rsidRPr="001D41EA">
              <w:rPr>
                <w:rFonts w:cs="Arial"/>
                <w:sz w:val="18"/>
                <w:szCs w:val="18"/>
              </w:rPr>
              <w:t>1.126</w:t>
            </w:r>
          </w:p>
        </w:tc>
        <w:tc>
          <w:tcPr>
            <w:tcW w:w="1134" w:type="dxa"/>
            <w:tcBorders>
              <w:top w:val="nil"/>
              <w:left w:val="nil"/>
              <w:bottom w:val="nil"/>
              <w:right w:val="nil"/>
            </w:tcBorders>
            <w:vAlign w:val="bottom"/>
          </w:tcPr>
          <w:p w14:paraId="7405C8A1" w14:textId="0CC719DC" w:rsidR="00566EA9" w:rsidRPr="001D41EA" w:rsidRDefault="00566EA9" w:rsidP="001D41EA">
            <w:pPr>
              <w:spacing w:before="40" w:after="40"/>
              <w:jc w:val="center"/>
              <w:rPr>
                <w:rFonts w:cs="Arial"/>
                <w:sz w:val="18"/>
                <w:szCs w:val="18"/>
              </w:rPr>
            </w:pPr>
            <w:r w:rsidRPr="001D41EA">
              <w:rPr>
                <w:rFonts w:cs="Arial"/>
                <w:sz w:val="18"/>
                <w:szCs w:val="18"/>
              </w:rPr>
              <w:t>1.129</w:t>
            </w:r>
          </w:p>
        </w:tc>
        <w:tc>
          <w:tcPr>
            <w:tcW w:w="1134" w:type="dxa"/>
            <w:tcBorders>
              <w:top w:val="nil"/>
              <w:left w:val="nil"/>
              <w:bottom w:val="nil"/>
              <w:right w:val="nil"/>
            </w:tcBorders>
            <w:vAlign w:val="bottom"/>
          </w:tcPr>
          <w:p w14:paraId="1E44C43A" w14:textId="4D37C917" w:rsidR="00566EA9" w:rsidRPr="001D41EA" w:rsidRDefault="00566EA9" w:rsidP="001D41EA">
            <w:pPr>
              <w:spacing w:before="40" w:after="40"/>
              <w:jc w:val="center"/>
              <w:rPr>
                <w:rFonts w:cs="Arial"/>
                <w:sz w:val="18"/>
                <w:szCs w:val="18"/>
              </w:rPr>
            </w:pPr>
            <w:r w:rsidRPr="001D41EA">
              <w:rPr>
                <w:rFonts w:cs="Arial"/>
                <w:sz w:val="18"/>
                <w:szCs w:val="18"/>
              </w:rPr>
              <w:t>1.106</w:t>
            </w:r>
          </w:p>
        </w:tc>
      </w:tr>
      <w:tr w:rsidR="00566EA9" w:rsidRPr="001D41EA" w14:paraId="2570EC8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2FE09B4" w14:textId="77777777" w:rsidR="00566EA9" w:rsidRPr="001D41EA" w:rsidRDefault="00566EA9" w:rsidP="001D41EA">
            <w:pPr>
              <w:spacing w:before="40" w:after="40"/>
              <w:rPr>
                <w:rFonts w:cs="Arial"/>
                <w:sz w:val="18"/>
                <w:szCs w:val="18"/>
              </w:rPr>
            </w:pPr>
            <w:r w:rsidRPr="001D41EA">
              <w:rPr>
                <w:rFonts w:cs="Arial"/>
                <w:sz w:val="18"/>
                <w:szCs w:val="18"/>
              </w:rPr>
              <w:t>Darebin C</w:t>
            </w:r>
          </w:p>
        </w:tc>
        <w:tc>
          <w:tcPr>
            <w:tcW w:w="1134" w:type="dxa"/>
            <w:tcBorders>
              <w:top w:val="nil"/>
              <w:left w:val="single" w:sz="18" w:space="0" w:color="5F497A" w:themeColor="accent4" w:themeShade="BF"/>
              <w:bottom w:val="nil"/>
              <w:right w:val="nil"/>
            </w:tcBorders>
            <w:shd w:val="clear" w:color="auto" w:fill="auto"/>
            <w:vAlign w:val="bottom"/>
          </w:tcPr>
          <w:p w14:paraId="46C7232B" w14:textId="702A4BB9" w:rsidR="00566EA9" w:rsidRPr="001D41EA" w:rsidRDefault="00566EA9" w:rsidP="001D41EA">
            <w:pPr>
              <w:spacing w:before="40" w:after="40"/>
              <w:jc w:val="center"/>
              <w:rPr>
                <w:rFonts w:cs="Arial"/>
                <w:sz w:val="18"/>
                <w:szCs w:val="18"/>
              </w:rPr>
            </w:pPr>
            <w:r w:rsidRPr="001D41EA">
              <w:rPr>
                <w:rFonts w:cs="Arial"/>
                <w:sz w:val="18"/>
                <w:szCs w:val="18"/>
              </w:rPr>
              <w:t>1.022</w:t>
            </w:r>
          </w:p>
        </w:tc>
        <w:tc>
          <w:tcPr>
            <w:tcW w:w="1134" w:type="dxa"/>
            <w:tcBorders>
              <w:top w:val="nil"/>
              <w:left w:val="nil"/>
              <w:bottom w:val="nil"/>
              <w:right w:val="nil"/>
            </w:tcBorders>
            <w:shd w:val="clear" w:color="auto" w:fill="auto"/>
            <w:vAlign w:val="bottom"/>
          </w:tcPr>
          <w:p w14:paraId="609D0E39" w14:textId="21A7E647" w:rsidR="00566EA9" w:rsidRPr="001D41EA" w:rsidRDefault="00566EA9" w:rsidP="001D41EA">
            <w:pPr>
              <w:spacing w:before="40" w:after="40"/>
              <w:jc w:val="center"/>
              <w:rPr>
                <w:rFonts w:cs="Arial"/>
                <w:sz w:val="18"/>
                <w:szCs w:val="18"/>
              </w:rPr>
            </w:pPr>
            <w:r w:rsidRPr="001D41EA">
              <w:rPr>
                <w:rFonts w:cs="Arial"/>
                <w:sz w:val="18"/>
                <w:szCs w:val="18"/>
              </w:rPr>
              <w:t>1.012</w:t>
            </w:r>
          </w:p>
        </w:tc>
        <w:tc>
          <w:tcPr>
            <w:tcW w:w="170" w:type="dxa"/>
            <w:tcBorders>
              <w:top w:val="nil"/>
              <w:left w:val="nil"/>
              <w:bottom w:val="nil"/>
              <w:right w:val="nil"/>
            </w:tcBorders>
            <w:vAlign w:val="bottom"/>
          </w:tcPr>
          <w:p w14:paraId="0437863D" w14:textId="5733FD97"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61258A5B" w14:textId="413A0530" w:rsidR="00566EA9" w:rsidRPr="001D41EA" w:rsidRDefault="00566EA9" w:rsidP="001D41EA">
            <w:pPr>
              <w:spacing w:before="40" w:after="40"/>
              <w:jc w:val="center"/>
              <w:rPr>
                <w:rFonts w:cs="Arial"/>
                <w:sz w:val="18"/>
                <w:szCs w:val="18"/>
              </w:rPr>
            </w:pPr>
            <w:r w:rsidRPr="001D41EA">
              <w:rPr>
                <w:rFonts w:cs="Arial"/>
                <w:sz w:val="18"/>
                <w:szCs w:val="18"/>
              </w:rPr>
              <w:t>0.910</w:t>
            </w:r>
          </w:p>
        </w:tc>
        <w:tc>
          <w:tcPr>
            <w:tcW w:w="1134" w:type="dxa"/>
            <w:tcBorders>
              <w:top w:val="nil"/>
              <w:left w:val="nil"/>
              <w:bottom w:val="nil"/>
              <w:right w:val="nil"/>
            </w:tcBorders>
            <w:vAlign w:val="bottom"/>
          </w:tcPr>
          <w:p w14:paraId="7839A7BC" w14:textId="69E5E2A5" w:rsidR="00566EA9" w:rsidRPr="001D41EA" w:rsidRDefault="00566EA9" w:rsidP="001D41EA">
            <w:pPr>
              <w:spacing w:before="40" w:after="40"/>
              <w:jc w:val="center"/>
              <w:rPr>
                <w:rFonts w:cs="Arial"/>
                <w:sz w:val="18"/>
                <w:szCs w:val="18"/>
              </w:rPr>
            </w:pPr>
            <w:r w:rsidRPr="001D41EA">
              <w:rPr>
                <w:rFonts w:cs="Arial"/>
                <w:sz w:val="18"/>
                <w:szCs w:val="18"/>
              </w:rPr>
              <w:t>0.904</w:t>
            </w:r>
          </w:p>
        </w:tc>
        <w:tc>
          <w:tcPr>
            <w:tcW w:w="1134" w:type="dxa"/>
            <w:tcBorders>
              <w:top w:val="nil"/>
              <w:left w:val="nil"/>
              <w:bottom w:val="nil"/>
              <w:right w:val="nil"/>
            </w:tcBorders>
            <w:vAlign w:val="bottom"/>
          </w:tcPr>
          <w:p w14:paraId="0E626DD0" w14:textId="3334B679" w:rsidR="00566EA9" w:rsidRPr="001D41EA" w:rsidRDefault="00566EA9" w:rsidP="001D41EA">
            <w:pPr>
              <w:spacing w:before="40" w:after="40"/>
              <w:jc w:val="center"/>
              <w:rPr>
                <w:rFonts w:cs="Arial"/>
                <w:sz w:val="18"/>
                <w:szCs w:val="18"/>
              </w:rPr>
            </w:pPr>
            <w:r w:rsidRPr="001D41EA">
              <w:rPr>
                <w:rFonts w:cs="Arial"/>
                <w:sz w:val="18"/>
                <w:szCs w:val="18"/>
              </w:rPr>
              <w:t>0.906</w:t>
            </w:r>
          </w:p>
        </w:tc>
        <w:tc>
          <w:tcPr>
            <w:tcW w:w="1134" w:type="dxa"/>
            <w:tcBorders>
              <w:top w:val="nil"/>
              <w:left w:val="nil"/>
              <w:bottom w:val="nil"/>
              <w:right w:val="nil"/>
            </w:tcBorders>
            <w:vAlign w:val="bottom"/>
          </w:tcPr>
          <w:p w14:paraId="56E4DFF7" w14:textId="08491454" w:rsidR="00566EA9" w:rsidRPr="001D41EA" w:rsidRDefault="00566EA9" w:rsidP="001D41EA">
            <w:pPr>
              <w:spacing w:before="40" w:after="40"/>
              <w:jc w:val="center"/>
              <w:rPr>
                <w:rFonts w:cs="Arial"/>
                <w:sz w:val="18"/>
                <w:szCs w:val="18"/>
              </w:rPr>
            </w:pPr>
            <w:r w:rsidRPr="001D41EA">
              <w:rPr>
                <w:rFonts w:cs="Arial"/>
                <w:sz w:val="18"/>
                <w:szCs w:val="18"/>
              </w:rPr>
              <w:t>0.888</w:t>
            </w:r>
          </w:p>
        </w:tc>
      </w:tr>
      <w:tr w:rsidR="00566EA9" w:rsidRPr="001D41EA" w14:paraId="7ABB12E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82FFE04" w14:textId="77777777" w:rsidR="00566EA9" w:rsidRPr="001D41EA" w:rsidRDefault="00566EA9" w:rsidP="001D41EA">
            <w:pPr>
              <w:spacing w:before="40" w:after="40"/>
              <w:rPr>
                <w:rFonts w:cs="Arial"/>
                <w:sz w:val="18"/>
                <w:szCs w:val="18"/>
              </w:rPr>
            </w:pPr>
            <w:r w:rsidRPr="001D41EA">
              <w:rPr>
                <w:rFonts w:cs="Arial"/>
                <w:sz w:val="18"/>
                <w:szCs w:val="18"/>
              </w:rPr>
              <w:t>East Gippsland S</w:t>
            </w:r>
          </w:p>
        </w:tc>
        <w:tc>
          <w:tcPr>
            <w:tcW w:w="1134" w:type="dxa"/>
            <w:tcBorders>
              <w:top w:val="nil"/>
              <w:left w:val="single" w:sz="18" w:space="0" w:color="5F497A" w:themeColor="accent4" w:themeShade="BF"/>
              <w:bottom w:val="nil"/>
              <w:right w:val="nil"/>
            </w:tcBorders>
            <w:shd w:val="clear" w:color="auto" w:fill="auto"/>
            <w:vAlign w:val="bottom"/>
          </w:tcPr>
          <w:p w14:paraId="6430D803" w14:textId="769DA238" w:rsidR="00566EA9" w:rsidRPr="001D41EA" w:rsidRDefault="00566EA9" w:rsidP="001D41EA">
            <w:pPr>
              <w:spacing w:before="40" w:after="40"/>
              <w:jc w:val="center"/>
              <w:rPr>
                <w:rFonts w:cs="Arial"/>
                <w:sz w:val="18"/>
                <w:szCs w:val="18"/>
              </w:rPr>
            </w:pPr>
            <w:r w:rsidRPr="001D41EA">
              <w:rPr>
                <w:rFonts w:cs="Arial"/>
                <w:sz w:val="18"/>
                <w:szCs w:val="18"/>
              </w:rPr>
              <w:t>1.177</w:t>
            </w:r>
          </w:p>
        </w:tc>
        <w:tc>
          <w:tcPr>
            <w:tcW w:w="1134" w:type="dxa"/>
            <w:tcBorders>
              <w:top w:val="nil"/>
              <w:left w:val="nil"/>
              <w:bottom w:val="nil"/>
              <w:right w:val="nil"/>
            </w:tcBorders>
            <w:shd w:val="clear" w:color="auto" w:fill="auto"/>
            <w:vAlign w:val="bottom"/>
          </w:tcPr>
          <w:p w14:paraId="40DBCEF8" w14:textId="18653808" w:rsidR="00566EA9" w:rsidRPr="001D41EA" w:rsidRDefault="00566EA9" w:rsidP="001D41EA">
            <w:pPr>
              <w:spacing w:before="40" w:after="40"/>
              <w:jc w:val="center"/>
              <w:rPr>
                <w:rFonts w:cs="Arial"/>
                <w:sz w:val="18"/>
                <w:szCs w:val="18"/>
              </w:rPr>
            </w:pPr>
            <w:r w:rsidRPr="001D41EA">
              <w:rPr>
                <w:rFonts w:cs="Arial"/>
                <w:sz w:val="18"/>
                <w:szCs w:val="18"/>
              </w:rPr>
              <w:t>1.165</w:t>
            </w:r>
          </w:p>
        </w:tc>
        <w:tc>
          <w:tcPr>
            <w:tcW w:w="170" w:type="dxa"/>
            <w:tcBorders>
              <w:top w:val="nil"/>
              <w:left w:val="nil"/>
              <w:bottom w:val="nil"/>
              <w:right w:val="nil"/>
            </w:tcBorders>
            <w:vAlign w:val="bottom"/>
          </w:tcPr>
          <w:p w14:paraId="4B9FDECD" w14:textId="7E1E15F1"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4F334F17" w14:textId="7E233DC7" w:rsidR="00566EA9" w:rsidRPr="001D41EA" w:rsidRDefault="00566EA9" w:rsidP="001D41EA">
            <w:pPr>
              <w:spacing w:before="40" w:after="40"/>
              <w:jc w:val="center"/>
              <w:rPr>
                <w:rFonts w:cs="Arial"/>
                <w:sz w:val="18"/>
                <w:szCs w:val="18"/>
              </w:rPr>
            </w:pPr>
            <w:r w:rsidRPr="001D41EA">
              <w:rPr>
                <w:rFonts w:cs="Arial"/>
                <w:sz w:val="18"/>
                <w:szCs w:val="18"/>
              </w:rPr>
              <w:t>1.279</w:t>
            </w:r>
          </w:p>
        </w:tc>
        <w:tc>
          <w:tcPr>
            <w:tcW w:w="1134" w:type="dxa"/>
            <w:tcBorders>
              <w:top w:val="nil"/>
              <w:left w:val="nil"/>
              <w:bottom w:val="nil"/>
              <w:right w:val="nil"/>
            </w:tcBorders>
            <w:vAlign w:val="bottom"/>
          </w:tcPr>
          <w:p w14:paraId="7E6DFF6A" w14:textId="2906084F" w:rsidR="00566EA9" w:rsidRPr="001D41EA" w:rsidRDefault="00566EA9" w:rsidP="001D41EA">
            <w:pPr>
              <w:spacing w:before="40" w:after="40"/>
              <w:jc w:val="center"/>
              <w:rPr>
                <w:rFonts w:cs="Arial"/>
                <w:sz w:val="18"/>
                <w:szCs w:val="18"/>
              </w:rPr>
            </w:pPr>
            <w:r w:rsidRPr="001D41EA">
              <w:rPr>
                <w:rFonts w:cs="Arial"/>
                <w:sz w:val="18"/>
                <w:szCs w:val="18"/>
              </w:rPr>
              <w:t>1.270</w:t>
            </w:r>
          </w:p>
        </w:tc>
        <w:tc>
          <w:tcPr>
            <w:tcW w:w="1134" w:type="dxa"/>
            <w:tcBorders>
              <w:top w:val="nil"/>
              <w:left w:val="nil"/>
              <w:bottom w:val="nil"/>
              <w:right w:val="nil"/>
            </w:tcBorders>
            <w:vAlign w:val="bottom"/>
          </w:tcPr>
          <w:p w14:paraId="489EE95C" w14:textId="677992D7" w:rsidR="00566EA9" w:rsidRPr="001D41EA" w:rsidRDefault="00566EA9" w:rsidP="001D41EA">
            <w:pPr>
              <w:spacing w:before="40" w:after="40"/>
              <w:jc w:val="center"/>
              <w:rPr>
                <w:rFonts w:cs="Arial"/>
                <w:sz w:val="18"/>
                <w:szCs w:val="18"/>
              </w:rPr>
            </w:pPr>
            <w:r w:rsidRPr="001D41EA">
              <w:rPr>
                <w:rFonts w:cs="Arial"/>
                <w:sz w:val="18"/>
                <w:szCs w:val="18"/>
              </w:rPr>
              <w:t>1.273</w:t>
            </w:r>
          </w:p>
        </w:tc>
        <w:tc>
          <w:tcPr>
            <w:tcW w:w="1134" w:type="dxa"/>
            <w:tcBorders>
              <w:top w:val="nil"/>
              <w:left w:val="nil"/>
              <w:bottom w:val="nil"/>
              <w:right w:val="nil"/>
            </w:tcBorders>
            <w:vAlign w:val="bottom"/>
          </w:tcPr>
          <w:p w14:paraId="5CEC9272" w14:textId="3E0341A2" w:rsidR="00566EA9" w:rsidRPr="001D41EA" w:rsidRDefault="00566EA9" w:rsidP="001D41EA">
            <w:pPr>
              <w:spacing w:before="40" w:after="40"/>
              <w:jc w:val="center"/>
              <w:rPr>
                <w:rFonts w:cs="Arial"/>
                <w:sz w:val="18"/>
                <w:szCs w:val="18"/>
              </w:rPr>
            </w:pPr>
            <w:r w:rsidRPr="001D41EA">
              <w:rPr>
                <w:rFonts w:cs="Arial"/>
                <w:sz w:val="18"/>
                <w:szCs w:val="18"/>
              </w:rPr>
              <w:t>1.248</w:t>
            </w:r>
          </w:p>
        </w:tc>
      </w:tr>
      <w:tr w:rsidR="00566EA9" w:rsidRPr="001D41EA" w14:paraId="3B0AA01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5D0180D" w14:textId="77777777" w:rsidR="00566EA9" w:rsidRPr="001D41EA" w:rsidRDefault="00566EA9" w:rsidP="001D41EA">
            <w:pPr>
              <w:spacing w:before="40" w:after="40"/>
              <w:rPr>
                <w:rFonts w:cs="Arial"/>
                <w:sz w:val="18"/>
                <w:szCs w:val="18"/>
              </w:rPr>
            </w:pPr>
            <w:r w:rsidRPr="001D41EA">
              <w:rPr>
                <w:rFonts w:cs="Arial"/>
                <w:sz w:val="18"/>
                <w:szCs w:val="18"/>
              </w:rPr>
              <w:t>Frankston C</w:t>
            </w:r>
          </w:p>
        </w:tc>
        <w:tc>
          <w:tcPr>
            <w:tcW w:w="1134" w:type="dxa"/>
            <w:tcBorders>
              <w:top w:val="nil"/>
              <w:left w:val="single" w:sz="18" w:space="0" w:color="5F497A" w:themeColor="accent4" w:themeShade="BF"/>
              <w:bottom w:val="nil"/>
              <w:right w:val="nil"/>
            </w:tcBorders>
            <w:shd w:val="clear" w:color="auto" w:fill="auto"/>
            <w:vAlign w:val="bottom"/>
          </w:tcPr>
          <w:p w14:paraId="4B37B484" w14:textId="1DF9C38A" w:rsidR="00566EA9" w:rsidRPr="001D41EA" w:rsidRDefault="00566EA9" w:rsidP="001D41EA">
            <w:pPr>
              <w:spacing w:before="40" w:after="40"/>
              <w:jc w:val="center"/>
              <w:rPr>
                <w:rFonts w:cs="Arial"/>
                <w:sz w:val="18"/>
                <w:szCs w:val="18"/>
              </w:rPr>
            </w:pPr>
            <w:r w:rsidRPr="001D41EA">
              <w:rPr>
                <w:rFonts w:cs="Arial"/>
                <w:sz w:val="18"/>
                <w:szCs w:val="18"/>
              </w:rPr>
              <w:t>1.033</w:t>
            </w:r>
          </w:p>
        </w:tc>
        <w:tc>
          <w:tcPr>
            <w:tcW w:w="1134" w:type="dxa"/>
            <w:tcBorders>
              <w:top w:val="nil"/>
              <w:left w:val="nil"/>
              <w:bottom w:val="nil"/>
              <w:right w:val="nil"/>
            </w:tcBorders>
            <w:shd w:val="clear" w:color="auto" w:fill="auto"/>
            <w:vAlign w:val="bottom"/>
          </w:tcPr>
          <w:p w14:paraId="3315074B" w14:textId="11CF36E3" w:rsidR="00566EA9" w:rsidRPr="001D41EA" w:rsidRDefault="00566EA9" w:rsidP="001D41EA">
            <w:pPr>
              <w:spacing w:before="40" w:after="40"/>
              <w:jc w:val="center"/>
              <w:rPr>
                <w:rFonts w:cs="Arial"/>
                <w:sz w:val="18"/>
                <w:szCs w:val="18"/>
              </w:rPr>
            </w:pPr>
            <w:r w:rsidRPr="001D41EA">
              <w:rPr>
                <w:rFonts w:cs="Arial"/>
                <w:sz w:val="18"/>
                <w:szCs w:val="18"/>
              </w:rPr>
              <w:t>1.022</w:t>
            </w:r>
          </w:p>
        </w:tc>
        <w:tc>
          <w:tcPr>
            <w:tcW w:w="170" w:type="dxa"/>
            <w:tcBorders>
              <w:top w:val="nil"/>
              <w:left w:val="nil"/>
              <w:bottom w:val="nil"/>
              <w:right w:val="nil"/>
            </w:tcBorders>
            <w:vAlign w:val="bottom"/>
          </w:tcPr>
          <w:p w14:paraId="48C58BD5" w14:textId="08656194"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5D923E13" w14:textId="55796D51" w:rsidR="00566EA9" w:rsidRPr="001D41EA" w:rsidRDefault="00566EA9" w:rsidP="001D41EA">
            <w:pPr>
              <w:spacing w:before="40" w:after="40"/>
              <w:jc w:val="center"/>
              <w:rPr>
                <w:rFonts w:cs="Arial"/>
                <w:sz w:val="18"/>
                <w:szCs w:val="18"/>
              </w:rPr>
            </w:pPr>
            <w:r w:rsidRPr="001D41EA">
              <w:rPr>
                <w:rFonts w:cs="Arial"/>
                <w:sz w:val="18"/>
                <w:szCs w:val="18"/>
              </w:rPr>
              <w:t>0.904</w:t>
            </w:r>
          </w:p>
        </w:tc>
        <w:tc>
          <w:tcPr>
            <w:tcW w:w="1134" w:type="dxa"/>
            <w:tcBorders>
              <w:top w:val="nil"/>
              <w:left w:val="nil"/>
              <w:bottom w:val="nil"/>
              <w:right w:val="nil"/>
            </w:tcBorders>
            <w:vAlign w:val="bottom"/>
          </w:tcPr>
          <w:p w14:paraId="4E64349F" w14:textId="2E63A7E0" w:rsidR="00566EA9" w:rsidRPr="001D41EA" w:rsidRDefault="00566EA9" w:rsidP="001D41EA">
            <w:pPr>
              <w:spacing w:before="40" w:after="40"/>
              <w:jc w:val="center"/>
              <w:rPr>
                <w:rFonts w:cs="Arial"/>
                <w:sz w:val="18"/>
                <w:szCs w:val="18"/>
              </w:rPr>
            </w:pPr>
            <w:r w:rsidRPr="001D41EA">
              <w:rPr>
                <w:rFonts w:cs="Arial"/>
                <w:sz w:val="18"/>
                <w:szCs w:val="18"/>
              </w:rPr>
              <w:t>0.898</w:t>
            </w:r>
          </w:p>
        </w:tc>
        <w:tc>
          <w:tcPr>
            <w:tcW w:w="1134" w:type="dxa"/>
            <w:tcBorders>
              <w:top w:val="nil"/>
              <w:left w:val="nil"/>
              <w:bottom w:val="nil"/>
              <w:right w:val="nil"/>
            </w:tcBorders>
            <w:vAlign w:val="bottom"/>
          </w:tcPr>
          <w:p w14:paraId="1860A5C1" w14:textId="402C01FC" w:rsidR="00566EA9" w:rsidRPr="001D41EA" w:rsidRDefault="00566EA9" w:rsidP="001D41EA">
            <w:pPr>
              <w:spacing w:before="40" w:after="40"/>
              <w:jc w:val="center"/>
              <w:rPr>
                <w:rFonts w:cs="Arial"/>
                <w:sz w:val="18"/>
                <w:szCs w:val="18"/>
              </w:rPr>
            </w:pPr>
            <w:r w:rsidRPr="001D41EA">
              <w:rPr>
                <w:rFonts w:cs="Arial"/>
                <w:sz w:val="18"/>
                <w:szCs w:val="18"/>
              </w:rPr>
              <w:t>0.900</w:t>
            </w:r>
          </w:p>
        </w:tc>
        <w:tc>
          <w:tcPr>
            <w:tcW w:w="1134" w:type="dxa"/>
            <w:tcBorders>
              <w:top w:val="nil"/>
              <w:left w:val="nil"/>
              <w:bottom w:val="nil"/>
              <w:right w:val="nil"/>
            </w:tcBorders>
            <w:vAlign w:val="bottom"/>
          </w:tcPr>
          <w:p w14:paraId="754389CE" w14:textId="7354F091" w:rsidR="00566EA9" w:rsidRPr="001D41EA" w:rsidRDefault="00566EA9" w:rsidP="001D41EA">
            <w:pPr>
              <w:spacing w:before="40" w:after="40"/>
              <w:jc w:val="center"/>
              <w:rPr>
                <w:rFonts w:cs="Arial"/>
                <w:sz w:val="18"/>
                <w:szCs w:val="18"/>
              </w:rPr>
            </w:pPr>
            <w:r w:rsidRPr="001D41EA">
              <w:rPr>
                <w:rFonts w:cs="Arial"/>
                <w:sz w:val="18"/>
                <w:szCs w:val="18"/>
              </w:rPr>
              <w:t>0.882</w:t>
            </w:r>
          </w:p>
        </w:tc>
      </w:tr>
      <w:tr w:rsidR="00566EA9" w:rsidRPr="001D41EA" w14:paraId="5287E50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1AB8C50" w14:textId="77777777" w:rsidR="00566EA9" w:rsidRPr="001D41EA" w:rsidRDefault="00566EA9" w:rsidP="001D41EA">
            <w:pPr>
              <w:spacing w:before="40" w:after="40"/>
              <w:rPr>
                <w:rFonts w:cs="Arial"/>
                <w:sz w:val="18"/>
                <w:szCs w:val="18"/>
              </w:rPr>
            </w:pPr>
            <w:r w:rsidRPr="001D41EA">
              <w:rPr>
                <w:rFonts w:cs="Arial"/>
                <w:sz w:val="18"/>
                <w:szCs w:val="18"/>
              </w:rPr>
              <w:t>Gannawarra S</w:t>
            </w:r>
          </w:p>
        </w:tc>
        <w:tc>
          <w:tcPr>
            <w:tcW w:w="1134" w:type="dxa"/>
            <w:tcBorders>
              <w:top w:val="nil"/>
              <w:left w:val="single" w:sz="18" w:space="0" w:color="5F497A" w:themeColor="accent4" w:themeShade="BF"/>
              <w:bottom w:val="nil"/>
              <w:right w:val="nil"/>
            </w:tcBorders>
            <w:shd w:val="clear" w:color="auto" w:fill="auto"/>
            <w:vAlign w:val="bottom"/>
          </w:tcPr>
          <w:p w14:paraId="4D328E43" w14:textId="1C9DEA95" w:rsidR="00566EA9" w:rsidRPr="001D41EA" w:rsidRDefault="00566EA9" w:rsidP="001D41EA">
            <w:pPr>
              <w:spacing w:before="40" w:after="40"/>
              <w:jc w:val="center"/>
              <w:rPr>
                <w:rFonts w:cs="Arial"/>
                <w:sz w:val="18"/>
                <w:szCs w:val="18"/>
              </w:rPr>
            </w:pPr>
            <w:r w:rsidRPr="001D41EA">
              <w:rPr>
                <w:rFonts w:cs="Arial"/>
                <w:sz w:val="18"/>
                <w:szCs w:val="18"/>
              </w:rPr>
              <w:t>1.180</w:t>
            </w:r>
          </w:p>
        </w:tc>
        <w:tc>
          <w:tcPr>
            <w:tcW w:w="1134" w:type="dxa"/>
            <w:tcBorders>
              <w:top w:val="nil"/>
              <w:left w:val="nil"/>
              <w:bottom w:val="nil"/>
              <w:right w:val="nil"/>
            </w:tcBorders>
            <w:shd w:val="clear" w:color="auto" w:fill="auto"/>
            <w:vAlign w:val="bottom"/>
          </w:tcPr>
          <w:p w14:paraId="278878D5" w14:textId="713D0C00" w:rsidR="00566EA9" w:rsidRPr="001D41EA" w:rsidRDefault="00566EA9" w:rsidP="001D41EA">
            <w:pPr>
              <w:spacing w:before="40" w:after="40"/>
              <w:jc w:val="center"/>
              <w:rPr>
                <w:rFonts w:cs="Arial"/>
                <w:sz w:val="18"/>
                <w:szCs w:val="18"/>
              </w:rPr>
            </w:pPr>
            <w:r w:rsidRPr="001D41EA">
              <w:rPr>
                <w:rFonts w:cs="Arial"/>
                <w:sz w:val="18"/>
                <w:szCs w:val="18"/>
              </w:rPr>
              <w:t>1.168</w:t>
            </w:r>
          </w:p>
        </w:tc>
        <w:tc>
          <w:tcPr>
            <w:tcW w:w="170" w:type="dxa"/>
            <w:tcBorders>
              <w:top w:val="nil"/>
              <w:left w:val="nil"/>
              <w:bottom w:val="nil"/>
              <w:right w:val="nil"/>
            </w:tcBorders>
            <w:vAlign w:val="bottom"/>
          </w:tcPr>
          <w:p w14:paraId="39904AB6" w14:textId="46127037"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6F8EFEF5" w14:textId="4E024CD7" w:rsidR="00566EA9" w:rsidRPr="001D41EA" w:rsidRDefault="00566EA9" w:rsidP="001D41EA">
            <w:pPr>
              <w:spacing w:before="40" w:after="40"/>
              <w:jc w:val="center"/>
              <w:rPr>
                <w:rFonts w:cs="Arial"/>
                <w:sz w:val="18"/>
                <w:szCs w:val="18"/>
              </w:rPr>
            </w:pPr>
            <w:r w:rsidRPr="001D41EA">
              <w:rPr>
                <w:rFonts w:cs="Arial"/>
                <w:sz w:val="18"/>
                <w:szCs w:val="18"/>
              </w:rPr>
              <w:t>0.924</w:t>
            </w:r>
          </w:p>
        </w:tc>
        <w:tc>
          <w:tcPr>
            <w:tcW w:w="1134" w:type="dxa"/>
            <w:tcBorders>
              <w:top w:val="nil"/>
              <w:left w:val="nil"/>
              <w:bottom w:val="nil"/>
              <w:right w:val="nil"/>
            </w:tcBorders>
            <w:vAlign w:val="bottom"/>
          </w:tcPr>
          <w:p w14:paraId="5BD7EAD9" w14:textId="494AC339" w:rsidR="00566EA9" w:rsidRPr="001D41EA" w:rsidRDefault="00566EA9" w:rsidP="001D41EA">
            <w:pPr>
              <w:spacing w:before="40" w:after="40"/>
              <w:jc w:val="center"/>
              <w:rPr>
                <w:rFonts w:cs="Arial"/>
                <w:sz w:val="18"/>
                <w:szCs w:val="18"/>
              </w:rPr>
            </w:pPr>
            <w:r w:rsidRPr="001D41EA">
              <w:rPr>
                <w:rFonts w:cs="Arial"/>
                <w:sz w:val="18"/>
                <w:szCs w:val="18"/>
              </w:rPr>
              <w:t>0.918</w:t>
            </w:r>
          </w:p>
        </w:tc>
        <w:tc>
          <w:tcPr>
            <w:tcW w:w="1134" w:type="dxa"/>
            <w:tcBorders>
              <w:top w:val="nil"/>
              <w:left w:val="nil"/>
              <w:bottom w:val="nil"/>
              <w:right w:val="nil"/>
            </w:tcBorders>
            <w:vAlign w:val="bottom"/>
          </w:tcPr>
          <w:p w14:paraId="3EB44C5B" w14:textId="543049DB" w:rsidR="00566EA9" w:rsidRPr="001D41EA" w:rsidRDefault="00566EA9" w:rsidP="001D41EA">
            <w:pPr>
              <w:spacing w:before="40" w:after="40"/>
              <w:jc w:val="center"/>
              <w:rPr>
                <w:rFonts w:cs="Arial"/>
                <w:sz w:val="18"/>
                <w:szCs w:val="18"/>
              </w:rPr>
            </w:pPr>
            <w:r w:rsidRPr="001D41EA">
              <w:rPr>
                <w:rFonts w:cs="Arial"/>
                <w:sz w:val="18"/>
                <w:szCs w:val="18"/>
              </w:rPr>
              <w:t>0.920</w:t>
            </w:r>
          </w:p>
        </w:tc>
        <w:tc>
          <w:tcPr>
            <w:tcW w:w="1134" w:type="dxa"/>
            <w:tcBorders>
              <w:top w:val="nil"/>
              <w:left w:val="nil"/>
              <w:bottom w:val="nil"/>
              <w:right w:val="nil"/>
            </w:tcBorders>
            <w:vAlign w:val="bottom"/>
          </w:tcPr>
          <w:p w14:paraId="05596BC4" w14:textId="5B8E42D4" w:rsidR="00566EA9" w:rsidRPr="001D41EA" w:rsidRDefault="00566EA9" w:rsidP="001D41EA">
            <w:pPr>
              <w:spacing w:before="40" w:after="40"/>
              <w:jc w:val="center"/>
              <w:rPr>
                <w:rFonts w:cs="Arial"/>
                <w:sz w:val="18"/>
                <w:szCs w:val="18"/>
              </w:rPr>
            </w:pPr>
            <w:r w:rsidRPr="001D41EA">
              <w:rPr>
                <w:rFonts w:cs="Arial"/>
                <w:sz w:val="18"/>
                <w:szCs w:val="18"/>
              </w:rPr>
              <w:t>0.902</w:t>
            </w:r>
          </w:p>
        </w:tc>
      </w:tr>
      <w:tr w:rsidR="00566EA9" w:rsidRPr="001D41EA" w14:paraId="0B9EDF0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269A7BD" w14:textId="77777777" w:rsidR="00566EA9" w:rsidRPr="001D41EA" w:rsidRDefault="00566EA9" w:rsidP="001D41EA">
            <w:pPr>
              <w:spacing w:before="40" w:after="40"/>
              <w:rPr>
                <w:rFonts w:cs="Arial"/>
                <w:sz w:val="18"/>
                <w:szCs w:val="18"/>
              </w:rPr>
            </w:pPr>
            <w:r w:rsidRPr="001D41EA">
              <w:rPr>
                <w:rFonts w:cs="Arial"/>
                <w:sz w:val="18"/>
                <w:szCs w:val="18"/>
              </w:rPr>
              <w:t>Glen Eira C</w:t>
            </w:r>
          </w:p>
        </w:tc>
        <w:tc>
          <w:tcPr>
            <w:tcW w:w="1134" w:type="dxa"/>
            <w:tcBorders>
              <w:top w:val="nil"/>
              <w:left w:val="single" w:sz="18" w:space="0" w:color="5F497A" w:themeColor="accent4" w:themeShade="BF"/>
              <w:bottom w:val="nil"/>
              <w:right w:val="nil"/>
            </w:tcBorders>
            <w:shd w:val="clear" w:color="auto" w:fill="auto"/>
            <w:vAlign w:val="bottom"/>
          </w:tcPr>
          <w:p w14:paraId="6A54DCF7" w14:textId="7BA6AAE9" w:rsidR="00566EA9" w:rsidRPr="001D41EA" w:rsidRDefault="00566EA9" w:rsidP="001D41EA">
            <w:pPr>
              <w:spacing w:before="40" w:after="40"/>
              <w:jc w:val="center"/>
              <w:rPr>
                <w:rFonts w:cs="Arial"/>
                <w:sz w:val="18"/>
                <w:szCs w:val="18"/>
              </w:rPr>
            </w:pPr>
            <w:r w:rsidRPr="001D41EA">
              <w:rPr>
                <w:rFonts w:cs="Arial"/>
                <w:sz w:val="18"/>
                <w:szCs w:val="18"/>
              </w:rPr>
              <w:t>0.788</w:t>
            </w:r>
          </w:p>
        </w:tc>
        <w:tc>
          <w:tcPr>
            <w:tcW w:w="1134" w:type="dxa"/>
            <w:tcBorders>
              <w:top w:val="nil"/>
              <w:left w:val="nil"/>
              <w:bottom w:val="nil"/>
              <w:right w:val="nil"/>
            </w:tcBorders>
            <w:shd w:val="clear" w:color="auto" w:fill="auto"/>
            <w:vAlign w:val="bottom"/>
          </w:tcPr>
          <w:p w14:paraId="54ADF1BB" w14:textId="43F79C10" w:rsidR="00566EA9" w:rsidRPr="001D41EA" w:rsidRDefault="00566EA9" w:rsidP="001D41EA">
            <w:pPr>
              <w:spacing w:before="40" w:after="40"/>
              <w:jc w:val="center"/>
              <w:rPr>
                <w:rFonts w:cs="Arial"/>
                <w:sz w:val="18"/>
                <w:szCs w:val="18"/>
              </w:rPr>
            </w:pPr>
            <w:r w:rsidRPr="001D41EA">
              <w:rPr>
                <w:rFonts w:cs="Arial"/>
                <w:sz w:val="18"/>
                <w:szCs w:val="18"/>
              </w:rPr>
              <w:t>0.780</w:t>
            </w:r>
          </w:p>
        </w:tc>
        <w:tc>
          <w:tcPr>
            <w:tcW w:w="170" w:type="dxa"/>
            <w:tcBorders>
              <w:top w:val="nil"/>
              <w:left w:val="nil"/>
              <w:bottom w:val="nil"/>
              <w:right w:val="nil"/>
            </w:tcBorders>
            <w:vAlign w:val="bottom"/>
          </w:tcPr>
          <w:p w14:paraId="301F7265" w14:textId="169E594A"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41744FE7" w14:textId="0D2AEF8D" w:rsidR="00566EA9" w:rsidRPr="001D41EA" w:rsidRDefault="00566EA9" w:rsidP="001D41EA">
            <w:pPr>
              <w:spacing w:before="40" w:after="40"/>
              <w:jc w:val="center"/>
              <w:rPr>
                <w:rFonts w:cs="Arial"/>
                <w:sz w:val="18"/>
                <w:szCs w:val="18"/>
              </w:rPr>
            </w:pPr>
            <w:r w:rsidRPr="001D41EA">
              <w:rPr>
                <w:rFonts w:cs="Arial"/>
                <w:sz w:val="18"/>
                <w:szCs w:val="18"/>
              </w:rPr>
              <w:t>0.927</w:t>
            </w:r>
          </w:p>
        </w:tc>
        <w:tc>
          <w:tcPr>
            <w:tcW w:w="1134" w:type="dxa"/>
            <w:tcBorders>
              <w:top w:val="nil"/>
              <w:left w:val="nil"/>
              <w:bottom w:val="nil"/>
              <w:right w:val="nil"/>
            </w:tcBorders>
            <w:vAlign w:val="bottom"/>
          </w:tcPr>
          <w:p w14:paraId="262A2823" w14:textId="4334B09D" w:rsidR="00566EA9" w:rsidRPr="001D41EA" w:rsidRDefault="00566EA9" w:rsidP="001D41EA">
            <w:pPr>
              <w:spacing w:before="40" w:after="40"/>
              <w:jc w:val="center"/>
              <w:rPr>
                <w:rFonts w:cs="Arial"/>
                <w:sz w:val="18"/>
                <w:szCs w:val="18"/>
              </w:rPr>
            </w:pPr>
            <w:r w:rsidRPr="001D41EA">
              <w:rPr>
                <w:rFonts w:cs="Arial"/>
                <w:sz w:val="18"/>
                <w:szCs w:val="18"/>
              </w:rPr>
              <w:t>0.921</w:t>
            </w:r>
          </w:p>
        </w:tc>
        <w:tc>
          <w:tcPr>
            <w:tcW w:w="1134" w:type="dxa"/>
            <w:tcBorders>
              <w:top w:val="nil"/>
              <w:left w:val="nil"/>
              <w:bottom w:val="nil"/>
              <w:right w:val="nil"/>
            </w:tcBorders>
            <w:vAlign w:val="bottom"/>
          </w:tcPr>
          <w:p w14:paraId="6EC23723" w14:textId="5768604F" w:rsidR="00566EA9" w:rsidRPr="001D41EA" w:rsidRDefault="00566EA9" w:rsidP="001D41EA">
            <w:pPr>
              <w:spacing w:before="40" w:after="40"/>
              <w:jc w:val="center"/>
              <w:rPr>
                <w:rFonts w:cs="Arial"/>
                <w:sz w:val="18"/>
                <w:szCs w:val="18"/>
              </w:rPr>
            </w:pPr>
            <w:r w:rsidRPr="001D41EA">
              <w:rPr>
                <w:rFonts w:cs="Arial"/>
                <w:sz w:val="18"/>
                <w:szCs w:val="18"/>
              </w:rPr>
              <w:t>0.923</w:t>
            </w:r>
          </w:p>
        </w:tc>
        <w:tc>
          <w:tcPr>
            <w:tcW w:w="1134" w:type="dxa"/>
            <w:tcBorders>
              <w:top w:val="nil"/>
              <w:left w:val="nil"/>
              <w:bottom w:val="nil"/>
              <w:right w:val="nil"/>
            </w:tcBorders>
            <w:vAlign w:val="bottom"/>
          </w:tcPr>
          <w:p w14:paraId="3A528AAD" w14:textId="5A439868" w:rsidR="00566EA9" w:rsidRPr="001D41EA" w:rsidRDefault="00566EA9" w:rsidP="001D41EA">
            <w:pPr>
              <w:spacing w:before="40" w:after="40"/>
              <w:jc w:val="center"/>
              <w:rPr>
                <w:rFonts w:cs="Arial"/>
                <w:sz w:val="18"/>
                <w:szCs w:val="18"/>
              </w:rPr>
            </w:pPr>
            <w:r w:rsidRPr="001D41EA">
              <w:rPr>
                <w:rFonts w:cs="Arial"/>
                <w:sz w:val="18"/>
                <w:szCs w:val="18"/>
              </w:rPr>
              <w:t>0.905</w:t>
            </w:r>
          </w:p>
        </w:tc>
      </w:tr>
      <w:tr w:rsidR="00566EA9" w:rsidRPr="001D41EA" w14:paraId="3FAFCF3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8DEAA4A" w14:textId="77777777" w:rsidR="00566EA9" w:rsidRPr="001D41EA" w:rsidRDefault="00566EA9" w:rsidP="001D41EA">
            <w:pPr>
              <w:spacing w:before="40" w:after="40"/>
              <w:rPr>
                <w:rFonts w:cs="Arial"/>
                <w:sz w:val="18"/>
                <w:szCs w:val="18"/>
              </w:rPr>
            </w:pPr>
            <w:r w:rsidRPr="001D41EA">
              <w:rPr>
                <w:rFonts w:cs="Arial"/>
                <w:sz w:val="18"/>
                <w:szCs w:val="18"/>
              </w:rPr>
              <w:t>Glenelg S</w:t>
            </w:r>
          </w:p>
        </w:tc>
        <w:tc>
          <w:tcPr>
            <w:tcW w:w="1134" w:type="dxa"/>
            <w:tcBorders>
              <w:top w:val="nil"/>
              <w:left w:val="single" w:sz="18" w:space="0" w:color="5F497A" w:themeColor="accent4" w:themeShade="BF"/>
              <w:bottom w:val="nil"/>
              <w:right w:val="nil"/>
            </w:tcBorders>
            <w:shd w:val="clear" w:color="auto" w:fill="auto"/>
            <w:vAlign w:val="bottom"/>
          </w:tcPr>
          <w:p w14:paraId="4137D32B" w14:textId="6E3AA239" w:rsidR="00566EA9" w:rsidRPr="001D41EA" w:rsidRDefault="00566EA9" w:rsidP="001D41EA">
            <w:pPr>
              <w:spacing w:before="40" w:after="40"/>
              <w:jc w:val="center"/>
              <w:rPr>
                <w:rFonts w:cs="Arial"/>
                <w:sz w:val="18"/>
                <w:szCs w:val="18"/>
              </w:rPr>
            </w:pPr>
            <w:r w:rsidRPr="001D41EA">
              <w:rPr>
                <w:rFonts w:cs="Arial"/>
                <w:sz w:val="18"/>
                <w:szCs w:val="18"/>
              </w:rPr>
              <w:t>1.214</w:t>
            </w:r>
          </w:p>
        </w:tc>
        <w:tc>
          <w:tcPr>
            <w:tcW w:w="1134" w:type="dxa"/>
            <w:tcBorders>
              <w:top w:val="nil"/>
              <w:left w:val="nil"/>
              <w:bottom w:val="nil"/>
              <w:right w:val="nil"/>
            </w:tcBorders>
            <w:shd w:val="clear" w:color="auto" w:fill="auto"/>
            <w:vAlign w:val="bottom"/>
          </w:tcPr>
          <w:p w14:paraId="15ACDCE2" w14:textId="5A6E59BE" w:rsidR="00566EA9" w:rsidRPr="001D41EA" w:rsidRDefault="00566EA9" w:rsidP="001D41EA">
            <w:pPr>
              <w:spacing w:before="40" w:after="40"/>
              <w:jc w:val="center"/>
              <w:rPr>
                <w:rFonts w:cs="Arial"/>
                <w:sz w:val="18"/>
                <w:szCs w:val="18"/>
              </w:rPr>
            </w:pPr>
            <w:r w:rsidRPr="001D41EA">
              <w:rPr>
                <w:rFonts w:cs="Arial"/>
                <w:sz w:val="18"/>
                <w:szCs w:val="18"/>
              </w:rPr>
              <w:t>1.201</w:t>
            </w:r>
          </w:p>
        </w:tc>
        <w:tc>
          <w:tcPr>
            <w:tcW w:w="170" w:type="dxa"/>
            <w:tcBorders>
              <w:top w:val="nil"/>
              <w:left w:val="nil"/>
              <w:bottom w:val="nil"/>
              <w:right w:val="nil"/>
            </w:tcBorders>
            <w:vAlign w:val="bottom"/>
          </w:tcPr>
          <w:p w14:paraId="23A28FC9" w14:textId="20E5C660"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2E72E903" w14:textId="5675C3BC" w:rsidR="00566EA9" w:rsidRPr="001D41EA" w:rsidRDefault="00566EA9" w:rsidP="001D41EA">
            <w:pPr>
              <w:spacing w:before="40" w:after="40"/>
              <w:jc w:val="center"/>
              <w:rPr>
                <w:rFonts w:cs="Arial"/>
                <w:sz w:val="18"/>
                <w:szCs w:val="18"/>
              </w:rPr>
            </w:pPr>
            <w:r w:rsidRPr="001D41EA">
              <w:rPr>
                <w:rFonts w:cs="Arial"/>
                <w:sz w:val="18"/>
                <w:szCs w:val="18"/>
              </w:rPr>
              <w:t>1.067</w:t>
            </w:r>
          </w:p>
        </w:tc>
        <w:tc>
          <w:tcPr>
            <w:tcW w:w="1134" w:type="dxa"/>
            <w:tcBorders>
              <w:top w:val="nil"/>
              <w:left w:val="nil"/>
              <w:bottom w:val="nil"/>
              <w:right w:val="nil"/>
            </w:tcBorders>
            <w:vAlign w:val="bottom"/>
          </w:tcPr>
          <w:p w14:paraId="0961ED83" w14:textId="7EE2EAD8" w:rsidR="00566EA9" w:rsidRPr="001D41EA" w:rsidRDefault="00566EA9" w:rsidP="001D41EA">
            <w:pPr>
              <w:spacing w:before="40" w:after="40"/>
              <w:jc w:val="center"/>
              <w:rPr>
                <w:rFonts w:cs="Arial"/>
                <w:sz w:val="18"/>
                <w:szCs w:val="18"/>
              </w:rPr>
            </w:pPr>
            <w:r w:rsidRPr="001D41EA">
              <w:rPr>
                <w:rFonts w:cs="Arial"/>
                <w:sz w:val="18"/>
                <w:szCs w:val="18"/>
              </w:rPr>
              <w:t>1.060</w:t>
            </w:r>
          </w:p>
        </w:tc>
        <w:tc>
          <w:tcPr>
            <w:tcW w:w="1134" w:type="dxa"/>
            <w:tcBorders>
              <w:top w:val="nil"/>
              <w:left w:val="nil"/>
              <w:bottom w:val="nil"/>
              <w:right w:val="nil"/>
            </w:tcBorders>
            <w:vAlign w:val="bottom"/>
          </w:tcPr>
          <w:p w14:paraId="05DDD7FD" w14:textId="625861B8" w:rsidR="00566EA9" w:rsidRPr="001D41EA" w:rsidRDefault="00566EA9" w:rsidP="001D41EA">
            <w:pPr>
              <w:spacing w:before="40" w:after="40"/>
              <w:jc w:val="center"/>
              <w:rPr>
                <w:rFonts w:cs="Arial"/>
                <w:sz w:val="18"/>
                <w:szCs w:val="18"/>
              </w:rPr>
            </w:pPr>
            <w:r w:rsidRPr="001D41EA">
              <w:rPr>
                <w:rFonts w:cs="Arial"/>
                <w:sz w:val="18"/>
                <w:szCs w:val="18"/>
              </w:rPr>
              <w:t>1.062</w:t>
            </w:r>
          </w:p>
        </w:tc>
        <w:tc>
          <w:tcPr>
            <w:tcW w:w="1134" w:type="dxa"/>
            <w:tcBorders>
              <w:top w:val="nil"/>
              <w:left w:val="nil"/>
              <w:bottom w:val="nil"/>
              <w:right w:val="nil"/>
            </w:tcBorders>
            <w:vAlign w:val="bottom"/>
          </w:tcPr>
          <w:p w14:paraId="0CE170C4" w14:textId="73A9B66B" w:rsidR="00566EA9" w:rsidRPr="001D41EA" w:rsidRDefault="00566EA9" w:rsidP="001D41EA">
            <w:pPr>
              <w:spacing w:before="40" w:after="40"/>
              <w:jc w:val="center"/>
              <w:rPr>
                <w:rFonts w:cs="Arial"/>
                <w:sz w:val="18"/>
                <w:szCs w:val="18"/>
              </w:rPr>
            </w:pPr>
            <w:r w:rsidRPr="001D41EA">
              <w:rPr>
                <w:rFonts w:cs="Arial"/>
                <w:sz w:val="18"/>
                <w:szCs w:val="18"/>
              </w:rPr>
              <w:t>1.041</w:t>
            </w:r>
          </w:p>
        </w:tc>
      </w:tr>
      <w:tr w:rsidR="00566EA9" w:rsidRPr="001D41EA" w14:paraId="6CEEEC1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6AC6949" w14:textId="77777777" w:rsidR="00566EA9" w:rsidRPr="001D41EA" w:rsidRDefault="00566EA9" w:rsidP="001D41EA">
            <w:pPr>
              <w:spacing w:before="40" w:after="40"/>
              <w:rPr>
                <w:rFonts w:cs="Arial"/>
                <w:sz w:val="18"/>
                <w:szCs w:val="18"/>
              </w:rPr>
            </w:pPr>
            <w:r w:rsidRPr="001D41EA">
              <w:rPr>
                <w:rFonts w:cs="Arial"/>
                <w:sz w:val="18"/>
                <w:szCs w:val="18"/>
              </w:rPr>
              <w:t>Golden Plains S</w:t>
            </w:r>
          </w:p>
        </w:tc>
        <w:tc>
          <w:tcPr>
            <w:tcW w:w="1134" w:type="dxa"/>
            <w:tcBorders>
              <w:top w:val="nil"/>
              <w:left w:val="single" w:sz="18" w:space="0" w:color="5F497A" w:themeColor="accent4" w:themeShade="BF"/>
              <w:bottom w:val="nil"/>
              <w:right w:val="nil"/>
            </w:tcBorders>
            <w:shd w:val="clear" w:color="auto" w:fill="auto"/>
            <w:vAlign w:val="bottom"/>
          </w:tcPr>
          <w:p w14:paraId="2F4FF13C" w14:textId="50C81A43" w:rsidR="00566EA9" w:rsidRPr="001D41EA" w:rsidRDefault="00566EA9" w:rsidP="001D41EA">
            <w:pPr>
              <w:spacing w:before="40" w:after="40"/>
              <w:jc w:val="center"/>
              <w:rPr>
                <w:rFonts w:cs="Arial"/>
                <w:sz w:val="18"/>
                <w:szCs w:val="18"/>
              </w:rPr>
            </w:pPr>
            <w:r w:rsidRPr="001D41EA">
              <w:rPr>
                <w:rFonts w:cs="Arial"/>
                <w:sz w:val="18"/>
                <w:szCs w:val="18"/>
              </w:rPr>
              <w:t>0.919</w:t>
            </w:r>
          </w:p>
        </w:tc>
        <w:tc>
          <w:tcPr>
            <w:tcW w:w="1134" w:type="dxa"/>
            <w:tcBorders>
              <w:top w:val="nil"/>
              <w:left w:val="nil"/>
              <w:bottom w:val="nil"/>
              <w:right w:val="nil"/>
            </w:tcBorders>
            <w:shd w:val="clear" w:color="auto" w:fill="auto"/>
            <w:vAlign w:val="bottom"/>
          </w:tcPr>
          <w:p w14:paraId="28E64ADD" w14:textId="27A44BB1" w:rsidR="00566EA9" w:rsidRPr="001D41EA" w:rsidRDefault="00566EA9" w:rsidP="001D41EA">
            <w:pPr>
              <w:spacing w:before="40" w:after="40"/>
              <w:jc w:val="center"/>
              <w:rPr>
                <w:rFonts w:cs="Arial"/>
                <w:sz w:val="18"/>
                <w:szCs w:val="18"/>
              </w:rPr>
            </w:pPr>
            <w:r w:rsidRPr="001D41EA">
              <w:rPr>
                <w:rFonts w:cs="Arial"/>
                <w:sz w:val="18"/>
                <w:szCs w:val="18"/>
              </w:rPr>
              <w:t>0.909</w:t>
            </w:r>
          </w:p>
        </w:tc>
        <w:tc>
          <w:tcPr>
            <w:tcW w:w="170" w:type="dxa"/>
            <w:tcBorders>
              <w:top w:val="nil"/>
              <w:left w:val="nil"/>
              <w:bottom w:val="nil"/>
              <w:right w:val="nil"/>
            </w:tcBorders>
            <w:vAlign w:val="bottom"/>
          </w:tcPr>
          <w:p w14:paraId="25D2BF60" w14:textId="017099AD"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21049D78" w14:textId="64F8867D" w:rsidR="00566EA9" w:rsidRPr="001D41EA" w:rsidRDefault="00566EA9" w:rsidP="001D41EA">
            <w:pPr>
              <w:spacing w:before="40" w:after="40"/>
              <w:jc w:val="center"/>
              <w:rPr>
                <w:rFonts w:cs="Arial"/>
                <w:sz w:val="18"/>
                <w:szCs w:val="18"/>
              </w:rPr>
            </w:pPr>
            <w:r w:rsidRPr="001D41EA">
              <w:rPr>
                <w:rFonts w:cs="Arial"/>
                <w:sz w:val="18"/>
                <w:szCs w:val="18"/>
              </w:rPr>
              <w:t>0.905</w:t>
            </w:r>
          </w:p>
        </w:tc>
        <w:tc>
          <w:tcPr>
            <w:tcW w:w="1134" w:type="dxa"/>
            <w:tcBorders>
              <w:top w:val="nil"/>
              <w:left w:val="nil"/>
              <w:bottom w:val="nil"/>
              <w:right w:val="nil"/>
            </w:tcBorders>
            <w:vAlign w:val="bottom"/>
          </w:tcPr>
          <w:p w14:paraId="4919C508" w14:textId="2D4C444D" w:rsidR="00566EA9" w:rsidRPr="001D41EA" w:rsidRDefault="00566EA9" w:rsidP="001D41EA">
            <w:pPr>
              <w:spacing w:before="40" w:after="40"/>
              <w:jc w:val="center"/>
              <w:rPr>
                <w:rFonts w:cs="Arial"/>
                <w:sz w:val="18"/>
                <w:szCs w:val="18"/>
              </w:rPr>
            </w:pPr>
            <w:r w:rsidRPr="001D41EA">
              <w:rPr>
                <w:rFonts w:cs="Arial"/>
                <w:sz w:val="18"/>
                <w:szCs w:val="18"/>
              </w:rPr>
              <w:t>0.899</w:t>
            </w:r>
          </w:p>
        </w:tc>
        <w:tc>
          <w:tcPr>
            <w:tcW w:w="1134" w:type="dxa"/>
            <w:tcBorders>
              <w:top w:val="nil"/>
              <w:left w:val="nil"/>
              <w:bottom w:val="nil"/>
              <w:right w:val="nil"/>
            </w:tcBorders>
            <w:vAlign w:val="bottom"/>
          </w:tcPr>
          <w:p w14:paraId="49B8B687" w14:textId="61E4FE1C" w:rsidR="00566EA9" w:rsidRPr="001D41EA" w:rsidRDefault="00566EA9" w:rsidP="001D41EA">
            <w:pPr>
              <w:spacing w:before="40" w:after="40"/>
              <w:jc w:val="center"/>
              <w:rPr>
                <w:rFonts w:cs="Arial"/>
                <w:sz w:val="18"/>
                <w:szCs w:val="18"/>
              </w:rPr>
            </w:pPr>
            <w:r w:rsidRPr="001D41EA">
              <w:rPr>
                <w:rFonts w:cs="Arial"/>
                <w:sz w:val="18"/>
                <w:szCs w:val="18"/>
              </w:rPr>
              <w:t>0.901</w:t>
            </w:r>
          </w:p>
        </w:tc>
        <w:tc>
          <w:tcPr>
            <w:tcW w:w="1134" w:type="dxa"/>
            <w:tcBorders>
              <w:top w:val="nil"/>
              <w:left w:val="nil"/>
              <w:bottom w:val="nil"/>
              <w:right w:val="nil"/>
            </w:tcBorders>
            <w:vAlign w:val="bottom"/>
          </w:tcPr>
          <w:p w14:paraId="7CA8A5D6" w14:textId="28F56498" w:rsidR="00566EA9" w:rsidRPr="001D41EA" w:rsidRDefault="00566EA9" w:rsidP="001D41EA">
            <w:pPr>
              <w:spacing w:before="40" w:after="40"/>
              <w:jc w:val="center"/>
              <w:rPr>
                <w:rFonts w:cs="Arial"/>
                <w:sz w:val="18"/>
                <w:szCs w:val="18"/>
              </w:rPr>
            </w:pPr>
            <w:r w:rsidRPr="001D41EA">
              <w:rPr>
                <w:rFonts w:cs="Arial"/>
                <w:sz w:val="18"/>
                <w:szCs w:val="18"/>
              </w:rPr>
              <w:t>0.883</w:t>
            </w:r>
          </w:p>
        </w:tc>
      </w:tr>
      <w:tr w:rsidR="00566EA9" w:rsidRPr="001D41EA" w14:paraId="7983002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4E4172F" w14:textId="77777777" w:rsidR="00566EA9" w:rsidRPr="001D41EA" w:rsidRDefault="00566EA9" w:rsidP="001D41EA">
            <w:pPr>
              <w:spacing w:before="40" w:after="40"/>
              <w:rPr>
                <w:rFonts w:cs="Arial"/>
                <w:sz w:val="18"/>
                <w:szCs w:val="18"/>
              </w:rPr>
            </w:pPr>
            <w:r w:rsidRPr="001D41EA">
              <w:rPr>
                <w:rFonts w:cs="Arial"/>
                <w:sz w:val="18"/>
                <w:szCs w:val="18"/>
              </w:rPr>
              <w:t>Greater Bendigo C</w:t>
            </w:r>
          </w:p>
        </w:tc>
        <w:tc>
          <w:tcPr>
            <w:tcW w:w="1134" w:type="dxa"/>
            <w:tcBorders>
              <w:top w:val="nil"/>
              <w:left w:val="single" w:sz="18" w:space="0" w:color="5F497A" w:themeColor="accent4" w:themeShade="BF"/>
              <w:bottom w:val="nil"/>
              <w:right w:val="nil"/>
            </w:tcBorders>
            <w:shd w:val="clear" w:color="auto" w:fill="auto"/>
            <w:vAlign w:val="bottom"/>
          </w:tcPr>
          <w:p w14:paraId="5D5A1E0B" w14:textId="6920EEB0" w:rsidR="00566EA9" w:rsidRPr="001D41EA" w:rsidRDefault="00566EA9" w:rsidP="001D41EA">
            <w:pPr>
              <w:spacing w:before="40" w:after="40"/>
              <w:jc w:val="center"/>
              <w:rPr>
                <w:rFonts w:cs="Arial"/>
                <w:sz w:val="18"/>
                <w:szCs w:val="18"/>
              </w:rPr>
            </w:pPr>
            <w:r w:rsidRPr="001D41EA">
              <w:rPr>
                <w:rFonts w:cs="Arial"/>
                <w:sz w:val="18"/>
                <w:szCs w:val="18"/>
              </w:rPr>
              <w:t>1.100</w:t>
            </w:r>
          </w:p>
        </w:tc>
        <w:tc>
          <w:tcPr>
            <w:tcW w:w="1134" w:type="dxa"/>
            <w:tcBorders>
              <w:top w:val="nil"/>
              <w:left w:val="nil"/>
              <w:bottom w:val="nil"/>
              <w:right w:val="nil"/>
            </w:tcBorders>
            <w:shd w:val="clear" w:color="auto" w:fill="auto"/>
            <w:vAlign w:val="bottom"/>
          </w:tcPr>
          <w:p w14:paraId="653F8022" w14:textId="2F71BD1D" w:rsidR="00566EA9" w:rsidRPr="001D41EA" w:rsidRDefault="00566EA9" w:rsidP="001D41EA">
            <w:pPr>
              <w:spacing w:before="40" w:after="40"/>
              <w:jc w:val="center"/>
              <w:rPr>
                <w:rFonts w:cs="Arial"/>
                <w:sz w:val="18"/>
                <w:szCs w:val="18"/>
              </w:rPr>
            </w:pPr>
            <w:r w:rsidRPr="001D41EA">
              <w:rPr>
                <w:rFonts w:cs="Arial"/>
                <w:sz w:val="18"/>
                <w:szCs w:val="18"/>
              </w:rPr>
              <w:t>1.088</w:t>
            </w:r>
          </w:p>
        </w:tc>
        <w:tc>
          <w:tcPr>
            <w:tcW w:w="170" w:type="dxa"/>
            <w:tcBorders>
              <w:top w:val="nil"/>
              <w:left w:val="nil"/>
              <w:bottom w:val="nil"/>
              <w:right w:val="nil"/>
            </w:tcBorders>
            <w:vAlign w:val="bottom"/>
          </w:tcPr>
          <w:p w14:paraId="50238705" w14:textId="65A25BB9"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7DFFAF84" w14:textId="3970DFF2" w:rsidR="00566EA9" w:rsidRPr="001D41EA" w:rsidRDefault="00566EA9" w:rsidP="001D41EA">
            <w:pPr>
              <w:spacing w:before="40" w:after="40"/>
              <w:jc w:val="center"/>
              <w:rPr>
                <w:rFonts w:cs="Arial"/>
                <w:sz w:val="18"/>
                <w:szCs w:val="18"/>
              </w:rPr>
            </w:pPr>
            <w:r w:rsidRPr="001D41EA">
              <w:rPr>
                <w:rFonts w:cs="Arial"/>
                <w:sz w:val="18"/>
                <w:szCs w:val="18"/>
              </w:rPr>
              <w:t>1.059</w:t>
            </w:r>
          </w:p>
        </w:tc>
        <w:tc>
          <w:tcPr>
            <w:tcW w:w="1134" w:type="dxa"/>
            <w:tcBorders>
              <w:top w:val="nil"/>
              <w:left w:val="nil"/>
              <w:bottom w:val="nil"/>
              <w:right w:val="nil"/>
            </w:tcBorders>
            <w:vAlign w:val="bottom"/>
          </w:tcPr>
          <w:p w14:paraId="54FD5FF3" w14:textId="3A4C1BA9" w:rsidR="00566EA9" w:rsidRPr="001D41EA" w:rsidRDefault="00566EA9" w:rsidP="001D41EA">
            <w:pPr>
              <w:spacing w:before="40" w:after="40"/>
              <w:jc w:val="center"/>
              <w:rPr>
                <w:rFonts w:cs="Arial"/>
                <w:sz w:val="18"/>
                <w:szCs w:val="18"/>
              </w:rPr>
            </w:pPr>
            <w:r w:rsidRPr="001D41EA">
              <w:rPr>
                <w:rFonts w:cs="Arial"/>
                <w:sz w:val="18"/>
                <w:szCs w:val="18"/>
              </w:rPr>
              <w:t>1.051</w:t>
            </w:r>
          </w:p>
        </w:tc>
        <w:tc>
          <w:tcPr>
            <w:tcW w:w="1134" w:type="dxa"/>
            <w:tcBorders>
              <w:top w:val="nil"/>
              <w:left w:val="nil"/>
              <w:bottom w:val="nil"/>
              <w:right w:val="nil"/>
            </w:tcBorders>
            <w:vAlign w:val="bottom"/>
          </w:tcPr>
          <w:p w14:paraId="6992B9A4" w14:textId="14CDE695" w:rsidR="00566EA9" w:rsidRPr="001D41EA" w:rsidRDefault="00566EA9" w:rsidP="001D41EA">
            <w:pPr>
              <w:spacing w:before="40" w:after="40"/>
              <w:jc w:val="center"/>
              <w:rPr>
                <w:rFonts w:cs="Arial"/>
                <w:sz w:val="18"/>
                <w:szCs w:val="18"/>
              </w:rPr>
            </w:pPr>
            <w:r w:rsidRPr="001D41EA">
              <w:rPr>
                <w:rFonts w:cs="Arial"/>
                <w:sz w:val="18"/>
                <w:szCs w:val="18"/>
              </w:rPr>
              <w:t>1.054</w:t>
            </w:r>
          </w:p>
        </w:tc>
        <w:tc>
          <w:tcPr>
            <w:tcW w:w="1134" w:type="dxa"/>
            <w:tcBorders>
              <w:top w:val="nil"/>
              <w:left w:val="nil"/>
              <w:bottom w:val="nil"/>
              <w:right w:val="nil"/>
            </w:tcBorders>
            <w:vAlign w:val="bottom"/>
          </w:tcPr>
          <w:p w14:paraId="1756D701" w14:textId="3A13A0D8" w:rsidR="00566EA9" w:rsidRPr="001D41EA" w:rsidRDefault="00566EA9" w:rsidP="001D41EA">
            <w:pPr>
              <w:spacing w:before="40" w:after="40"/>
              <w:jc w:val="center"/>
              <w:rPr>
                <w:rFonts w:cs="Arial"/>
                <w:sz w:val="18"/>
                <w:szCs w:val="18"/>
              </w:rPr>
            </w:pPr>
            <w:r w:rsidRPr="001D41EA">
              <w:rPr>
                <w:rFonts w:cs="Arial"/>
                <w:sz w:val="18"/>
                <w:szCs w:val="18"/>
              </w:rPr>
              <w:t>1.033</w:t>
            </w:r>
          </w:p>
        </w:tc>
      </w:tr>
      <w:tr w:rsidR="00566EA9" w:rsidRPr="001D41EA" w14:paraId="599B734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1A9BA40" w14:textId="77777777" w:rsidR="00566EA9" w:rsidRPr="001D41EA" w:rsidRDefault="00566EA9" w:rsidP="001D41EA">
            <w:pPr>
              <w:spacing w:before="40" w:after="40"/>
              <w:rPr>
                <w:rFonts w:cs="Arial"/>
                <w:sz w:val="18"/>
                <w:szCs w:val="18"/>
              </w:rPr>
            </w:pPr>
            <w:r w:rsidRPr="001D41EA">
              <w:rPr>
                <w:rFonts w:cs="Arial"/>
                <w:sz w:val="18"/>
                <w:szCs w:val="18"/>
              </w:rPr>
              <w:t>Greater Dandenong C</w:t>
            </w:r>
          </w:p>
        </w:tc>
        <w:tc>
          <w:tcPr>
            <w:tcW w:w="1134" w:type="dxa"/>
            <w:tcBorders>
              <w:top w:val="nil"/>
              <w:left w:val="single" w:sz="18" w:space="0" w:color="5F497A" w:themeColor="accent4" w:themeShade="BF"/>
              <w:bottom w:val="nil"/>
              <w:right w:val="nil"/>
            </w:tcBorders>
            <w:shd w:val="clear" w:color="auto" w:fill="auto"/>
            <w:vAlign w:val="bottom"/>
          </w:tcPr>
          <w:p w14:paraId="575AFA3F" w14:textId="1E0E5995" w:rsidR="00566EA9" w:rsidRPr="001D41EA" w:rsidRDefault="00566EA9" w:rsidP="001D41EA">
            <w:pPr>
              <w:spacing w:before="40" w:after="40"/>
              <w:jc w:val="center"/>
              <w:rPr>
                <w:rFonts w:cs="Arial"/>
                <w:sz w:val="18"/>
                <w:szCs w:val="18"/>
              </w:rPr>
            </w:pPr>
            <w:r w:rsidRPr="001D41EA">
              <w:rPr>
                <w:rFonts w:cs="Arial"/>
                <w:sz w:val="18"/>
                <w:szCs w:val="18"/>
              </w:rPr>
              <w:t>1.385</w:t>
            </w:r>
          </w:p>
        </w:tc>
        <w:tc>
          <w:tcPr>
            <w:tcW w:w="1134" w:type="dxa"/>
            <w:tcBorders>
              <w:top w:val="nil"/>
              <w:left w:val="nil"/>
              <w:bottom w:val="nil"/>
              <w:right w:val="nil"/>
            </w:tcBorders>
            <w:shd w:val="clear" w:color="auto" w:fill="auto"/>
            <w:vAlign w:val="bottom"/>
          </w:tcPr>
          <w:p w14:paraId="583F2A49" w14:textId="278F7E2D" w:rsidR="00566EA9" w:rsidRPr="001D41EA" w:rsidRDefault="00566EA9" w:rsidP="001D41EA">
            <w:pPr>
              <w:spacing w:before="40" w:after="40"/>
              <w:jc w:val="center"/>
              <w:rPr>
                <w:rFonts w:cs="Arial"/>
                <w:sz w:val="18"/>
                <w:szCs w:val="18"/>
              </w:rPr>
            </w:pPr>
            <w:r w:rsidRPr="001D41EA">
              <w:rPr>
                <w:rFonts w:cs="Arial"/>
                <w:sz w:val="18"/>
                <w:szCs w:val="18"/>
              </w:rPr>
              <w:t>1.370</w:t>
            </w:r>
          </w:p>
        </w:tc>
        <w:tc>
          <w:tcPr>
            <w:tcW w:w="170" w:type="dxa"/>
            <w:tcBorders>
              <w:top w:val="nil"/>
              <w:left w:val="nil"/>
              <w:bottom w:val="nil"/>
              <w:right w:val="nil"/>
            </w:tcBorders>
            <w:vAlign w:val="bottom"/>
          </w:tcPr>
          <w:p w14:paraId="0A4625D6" w14:textId="23350EC8"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40264B20" w14:textId="46E83E0B" w:rsidR="00566EA9" w:rsidRPr="001D41EA" w:rsidRDefault="00566EA9" w:rsidP="001D41EA">
            <w:pPr>
              <w:spacing w:before="40" w:after="40"/>
              <w:jc w:val="center"/>
              <w:rPr>
                <w:rFonts w:cs="Arial"/>
                <w:sz w:val="18"/>
                <w:szCs w:val="18"/>
              </w:rPr>
            </w:pPr>
            <w:r w:rsidRPr="001D41EA">
              <w:rPr>
                <w:rFonts w:cs="Arial"/>
                <w:sz w:val="18"/>
                <w:szCs w:val="18"/>
              </w:rPr>
              <w:t>0.914</w:t>
            </w:r>
          </w:p>
        </w:tc>
        <w:tc>
          <w:tcPr>
            <w:tcW w:w="1134" w:type="dxa"/>
            <w:tcBorders>
              <w:top w:val="nil"/>
              <w:left w:val="nil"/>
              <w:bottom w:val="nil"/>
              <w:right w:val="nil"/>
            </w:tcBorders>
            <w:vAlign w:val="bottom"/>
          </w:tcPr>
          <w:p w14:paraId="181CCFF0" w14:textId="56A10097" w:rsidR="00566EA9" w:rsidRPr="001D41EA" w:rsidRDefault="00566EA9" w:rsidP="001D41EA">
            <w:pPr>
              <w:spacing w:before="40" w:after="40"/>
              <w:jc w:val="center"/>
              <w:rPr>
                <w:rFonts w:cs="Arial"/>
                <w:sz w:val="18"/>
                <w:szCs w:val="18"/>
              </w:rPr>
            </w:pPr>
            <w:r w:rsidRPr="001D41EA">
              <w:rPr>
                <w:rFonts w:cs="Arial"/>
                <w:sz w:val="18"/>
                <w:szCs w:val="18"/>
              </w:rPr>
              <w:t>0.908</w:t>
            </w:r>
          </w:p>
        </w:tc>
        <w:tc>
          <w:tcPr>
            <w:tcW w:w="1134" w:type="dxa"/>
            <w:tcBorders>
              <w:top w:val="nil"/>
              <w:left w:val="nil"/>
              <w:bottom w:val="nil"/>
              <w:right w:val="nil"/>
            </w:tcBorders>
            <w:vAlign w:val="bottom"/>
          </w:tcPr>
          <w:p w14:paraId="48BC1A37" w14:textId="79A07D77" w:rsidR="00566EA9" w:rsidRPr="001D41EA" w:rsidRDefault="00566EA9" w:rsidP="001D41EA">
            <w:pPr>
              <w:spacing w:before="40" w:after="40"/>
              <w:jc w:val="center"/>
              <w:rPr>
                <w:rFonts w:cs="Arial"/>
                <w:sz w:val="18"/>
                <w:szCs w:val="18"/>
              </w:rPr>
            </w:pPr>
            <w:r w:rsidRPr="001D41EA">
              <w:rPr>
                <w:rFonts w:cs="Arial"/>
                <w:sz w:val="18"/>
                <w:szCs w:val="18"/>
              </w:rPr>
              <w:t>0.910</w:t>
            </w:r>
          </w:p>
        </w:tc>
        <w:tc>
          <w:tcPr>
            <w:tcW w:w="1134" w:type="dxa"/>
            <w:tcBorders>
              <w:top w:val="nil"/>
              <w:left w:val="nil"/>
              <w:bottom w:val="nil"/>
              <w:right w:val="nil"/>
            </w:tcBorders>
            <w:vAlign w:val="bottom"/>
          </w:tcPr>
          <w:p w14:paraId="2461DE57" w14:textId="1CFA2B8E" w:rsidR="00566EA9" w:rsidRPr="001D41EA" w:rsidRDefault="00566EA9" w:rsidP="001D41EA">
            <w:pPr>
              <w:spacing w:before="40" w:after="40"/>
              <w:jc w:val="center"/>
              <w:rPr>
                <w:rFonts w:cs="Arial"/>
                <w:sz w:val="18"/>
                <w:szCs w:val="18"/>
              </w:rPr>
            </w:pPr>
            <w:r w:rsidRPr="001D41EA">
              <w:rPr>
                <w:rFonts w:cs="Arial"/>
                <w:sz w:val="18"/>
                <w:szCs w:val="18"/>
              </w:rPr>
              <w:t>0.892</w:t>
            </w:r>
          </w:p>
        </w:tc>
      </w:tr>
      <w:tr w:rsidR="00566EA9" w:rsidRPr="001D41EA" w14:paraId="700CB0F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BA1D25E" w14:textId="77777777" w:rsidR="00566EA9" w:rsidRPr="001D41EA" w:rsidRDefault="00566EA9" w:rsidP="001D41EA">
            <w:pPr>
              <w:spacing w:before="40" w:after="40"/>
              <w:rPr>
                <w:rFonts w:cs="Arial"/>
                <w:sz w:val="18"/>
                <w:szCs w:val="18"/>
              </w:rPr>
            </w:pPr>
            <w:r w:rsidRPr="001D41EA">
              <w:rPr>
                <w:rFonts w:cs="Arial"/>
                <w:sz w:val="18"/>
                <w:szCs w:val="18"/>
              </w:rPr>
              <w:t>Greater Geelong C</w:t>
            </w:r>
          </w:p>
        </w:tc>
        <w:tc>
          <w:tcPr>
            <w:tcW w:w="1134" w:type="dxa"/>
            <w:tcBorders>
              <w:top w:val="nil"/>
              <w:left w:val="single" w:sz="18" w:space="0" w:color="5F497A" w:themeColor="accent4" w:themeShade="BF"/>
              <w:bottom w:val="nil"/>
              <w:right w:val="nil"/>
            </w:tcBorders>
            <w:shd w:val="clear" w:color="auto" w:fill="auto"/>
            <w:vAlign w:val="bottom"/>
          </w:tcPr>
          <w:p w14:paraId="4A1031BF" w14:textId="44659AA9" w:rsidR="00566EA9" w:rsidRPr="001D41EA" w:rsidRDefault="00566EA9" w:rsidP="001D41EA">
            <w:pPr>
              <w:spacing w:before="40" w:after="40"/>
              <w:jc w:val="center"/>
              <w:rPr>
                <w:rFonts w:cs="Arial"/>
                <w:sz w:val="18"/>
                <w:szCs w:val="18"/>
              </w:rPr>
            </w:pPr>
            <w:r w:rsidRPr="001D41EA">
              <w:rPr>
                <w:rFonts w:cs="Arial"/>
                <w:sz w:val="18"/>
                <w:szCs w:val="18"/>
              </w:rPr>
              <w:t>1.056</w:t>
            </w:r>
          </w:p>
        </w:tc>
        <w:tc>
          <w:tcPr>
            <w:tcW w:w="1134" w:type="dxa"/>
            <w:tcBorders>
              <w:top w:val="nil"/>
              <w:left w:val="nil"/>
              <w:bottom w:val="nil"/>
              <w:right w:val="nil"/>
            </w:tcBorders>
            <w:shd w:val="clear" w:color="auto" w:fill="auto"/>
            <w:vAlign w:val="bottom"/>
          </w:tcPr>
          <w:p w14:paraId="6A513ECE" w14:textId="08EB2874" w:rsidR="00566EA9" w:rsidRPr="001D41EA" w:rsidRDefault="00566EA9" w:rsidP="001D41EA">
            <w:pPr>
              <w:spacing w:before="40" w:after="40"/>
              <w:jc w:val="center"/>
              <w:rPr>
                <w:rFonts w:cs="Arial"/>
                <w:sz w:val="18"/>
                <w:szCs w:val="18"/>
              </w:rPr>
            </w:pPr>
            <w:r w:rsidRPr="001D41EA">
              <w:rPr>
                <w:rFonts w:cs="Arial"/>
                <w:sz w:val="18"/>
                <w:szCs w:val="18"/>
              </w:rPr>
              <w:t>1.045</w:t>
            </w:r>
          </w:p>
        </w:tc>
        <w:tc>
          <w:tcPr>
            <w:tcW w:w="170" w:type="dxa"/>
            <w:tcBorders>
              <w:top w:val="nil"/>
              <w:left w:val="nil"/>
              <w:bottom w:val="nil"/>
              <w:right w:val="nil"/>
            </w:tcBorders>
            <w:vAlign w:val="bottom"/>
          </w:tcPr>
          <w:p w14:paraId="49E35D8C" w14:textId="69558673"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32888F3D" w14:textId="407BA290" w:rsidR="00566EA9" w:rsidRPr="001D41EA" w:rsidRDefault="00566EA9" w:rsidP="001D41EA">
            <w:pPr>
              <w:spacing w:before="40" w:after="40"/>
              <w:jc w:val="center"/>
              <w:rPr>
                <w:rFonts w:cs="Arial"/>
                <w:sz w:val="18"/>
                <w:szCs w:val="18"/>
              </w:rPr>
            </w:pPr>
            <w:r w:rsidRPr="001D41EA">
              <w:rPr>
                <w:rFonts w:cs="Arial"/>
                <w:sz w:val="18"/>
                <w:szCs w:val="18"/>
              </w:rPr>
              <w:t>1.025</w:t>
            </w:r>
          </w:p>
        </w:tc>
        <w:tc>
          <w:tcPr>
            <w:tcW w:w="1134" w:type="dxa"/>
            <w:tcBorders>
              <w:top w:val="nil"/>
              <w:left w:val="nil"/>
              <w:bottom w:val="nil"/>
              <w:right w:val="nil"/>
            </w:tcBorders>
            <w:vAlign w:val="bottom"/>
          </w:tcPr>
          <w:p w14:paraId="3BEBE6A9" w14:textId="62183F88" w:rsidR="00566EA9" w:rsidRPr="001D41EA" w:rsidRDefault="00566EA9" w:rsidP="001D41EA">
            <w:pPr>
              <w:spacing w:before="40" w:after="40"/>
              <w:jc w:val="center"/>
              <w:rPr>
                <w:rFonts w:cs="Arial"/>
                <w:sz w:val="18"/>
                <w:szCs w:val="18"/>
              </w:rPr>
            </w:pPr>
            <w:r w:rsidRPr="001D41EA">
              <w:rPr>
                <w:rFonts w:cs="Arial"/>
                <w:sz w:val="18"/>
                <w:szCs w:val="18"/>
              </w:rPr>
              <w:t>1.018</w:t>
            </w:r>
          </w:p>
        </w:tc>
        <w:tc>
          <w:tcPr>
            <w:tcW w:w="1134" w:type="dxa"/>
            <w:tcBorders>
              <w:top w:val="nil"/>
              <w:left w:val="nil"/>
              <w:bottom w:val="nil"/>
              <w:right w:val="nil"/>
            </w:tcBorders>
            <w:vAlign w:val="bottom"/>
          </w:tcPr>
          <w:p w14:paraId="773E4B22" w14:textId="574A40B6" w:rsidR="00566EA9" w:rsidRPr="001D41EA" w:rsidRDefault="00566EA9" w:rsidP="001D41EA">
            <w:pPr>
              <w:spacing w:before="40" w:after="40"/>
              <w:jc w:val="center"/>
              <w:rPr>
                <w:rFonts w:cs="Arial"/>
                <w:sz w:val="18"/>
                <w:szCs w:val="18"/>
              </w:rPr>
            </w:pPr>
            <w:r w:rsidRPr="001D41EA">
              <w:rPr>
                <w:rFonts w:cs="Arial"/>
                <w:sz w:val="18"/>
                <w:szCs w:val="18"/>
              </w:rPr>
              <w:t>1.020</w:t>
            </w:r>
          </w:p>
        </w:tc>
        <w:tc>
          <w:tcPr>
            <w:tcW w:w="1134" w:type="dxa"/>
            <w:tcBorders>
              <w:top w:val="nil"/>
              <w:left w:val="nil"/>
              <w:bottom w:val="nil"/>
              <w:right w:val="nil"/>
            </w:tcBorders>
            <w:vAlign w:val="bottom"/>
          </w:tcPr>
          <w:p w14:paraId="63FCB084" w14:textId="56A16D11" w:rsidR="00566EA9" w:rsidRPr="001D41EA" w:rsidRDefault="00566EA9" w:rsidP="001D41EA">
            <w:pPr>
              <w:spacing w:before="40" w:after="40"/>
              <w:jc w:val="center"/>
              <w:rPr>
                <w:rFonts w:cs="Arial"/>
                <w:sz w:val="18"/>
                <w:szCs w:val="18"/>
              </w:rPr>
            </w:pPr>
            <w:r w:rsidRPr="001D41EA">
              <w:rPr>
                <w:rFonts w:cs="Arial"/>
                <w:sz w:val="18"/>
                <w:szCs w:val="18"/>
              </w:rPr>
              <w:t>1.000</w:t>
            </w:r>
          </w:p>
        </w:tc>
      </w:tr>
      <w:tr w:rsidR="00566EA9" w:rsidRPr="001D41EA" w14:paraId="52A7A94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1EDB49F" w14:textId="77777777" w:rsidR="00566EA9" w:rsidRPr="001D41EA" w:rsidRDefault="00566EA9" w:rsidP="001D41EA">
            <w:pPr>
              <w:spacing w:before="40" w:after="40"/>
              <w:rPr>
                <w:rFonts w:cs="Arial"/>
                <w:sz w:val="18"/>
                <w:szCs w:val="18"/>
              </w:rPr>
            </w:pPr>
            <w:r w:rsidRPr="001D41EA">
              <w:rPr>
                <w:rFonts w:cs="Arial"/>
                <w:sz w:val="18"/>
                <w:szCs w:val="18"/>
              </w:rPr>
              <w:t>Greater Shepparton C</w:t>
            </w:r>
          </w:p>
        </w:tc>
        <w:tc>
          <w:tcPr>
            <w:tcW w:w="1134" w:type="dxa"/>
            <w:tcBorders>
              <w:top w:val="nil"/>
              <w:left w:val="single" w:sz="18" w:space="0" w:color="5F497A" w:themeColor="accent4" w:themeShade="BF"/>
              <w:bottom w:val="nil"/>
              <w:right w:val="nil"/>
            </w:tcBorders>
            <w:shd w:val="clear" w:color="auto" w:fill="auto"/>
            <w:vAlign w:val="bottom"/>
          </w:tcPr>
          <w:p w14:paraId="0736F6EE" w14:textId="09E2150C" w:rsidR="00566EA9" w:rsidRPr="001D41EA" w:rsidRDefault="00566EA9" w:rsidP="001D41EA">
            <w:pPr>
              <w:spacing w:before="40" w:after="40"/>
              <w:jc w:val="center"/>
              <w:rPr>
                <w:rFonts w:cs="Arial"/>
                <w:sz w:val="18"/>
                <w:szCs w:val="18"/>
              </w:rPr>
            </w:pPr>
            <w:r w:rsidRPr="001D41EA">
              <w:rPr>
                <w:rFonts w:cs="Arial"/>
                <w:sz w:val="18"/>
                <w:szCs w:val="18"/>
              </w:rPr>
              <w:t>1.210</w:t>
            </w:r>
          </w:p>
        </w:tc>
        <w:tc>
          <w:tcPr>
            <w:tcW w:w="1134" w:type="dxa"/>
            <w:tcBorders>
              <w:top w:val="nil"/>
              <w:left w:val="nil"/>
              <w:bottom w:val="nil"/>
              <w:right w:val="nil"/>
            </w:tcBorders>
            <w:shd w:val="clear" w:color="auto" w:fill="auto"/>
            <w:vAlign w:val="bottom"/>
          </w:tcPr>
          <w:p w14:paraId="62ABC0A8" w14:textId="414E281A" w:rsidR="00566EA9" w:rsidRPr="001D41EA" w:rsidRDefault="00566EA9" w:rsidP="001D41EA">
            <w:pPr>
              <w:spacing w:before="40" w:after="40"/>
              <w:jc w:val="center"/>
              <w:rPr>
                <w:rFonts w:cs="Arial"/>
                <w:sz w:val="18"/>
                <w:szCs w:val="18"/>
              </w:rPr>
            </w:pPr>
            <w:r w:rsidRPr="001D41EA">
              <w:rPr>
                <w:rFonts w:cs="Arial"/>
                <w:sz w:val="18"/>
                <w:szCs w:val="18"/>
              </w:rPr>
              <w:t>1.198</w:t>
            </w:r>
          </w:p>
        </w:tc>
        <w:tc>
          <w:tcPr>
            <w:tcW w:w="170" w:type="dxa"/>
            <w:tcBorders>
              <w:top w:val="nil"/>
              <w:left w:val="nil"/>
              <w:bottom w:val="nil"/>
              <w:right w:val="nil"/>
            </w:tcBorders>
            <w:vAlign w:val="bottom"/>
          </w:tcPr>
          <w:p w14:paraId="720ACFB6" w14:textId="1F1A86C2"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23CF5B6D" w14:textId="6E6556DE" w:rsidR="00566EA9" w:rsidRPr="001D41EA" w:rsidRDefault="00566EA9" w:rsidP="001D41EA">
            <w:pPr>
              <w:spacing w:before="40" w:after="40"/>
              <w:jc w:val="center"/>
              <w:rPr>
                <w:rFonts w:cs="Arial"/>
                <w:sz w:val="18"/>
                <w:szCs w:val="18"/>
              </w:rPr>
            </w:pPr>
            <w:r w:rsidRPr="001D41EA">
              <w:rPr>
                <w:rFonts w:cs="Arial"/>
                <w:sz w:val="18"/>
                <w:szCs w:val="18"/>
              </w:rPr>
              <w:t>1.031</w:t>
            </w:r>
          </w:p>
        </w:tc>
        <w:tc>
          <w:tcPr>
            <w:tcW w:w="1134" w:type="dxa"/>
            <w:tcBorders>
              <w:top w:val="nil"/>
              <w:left w:val="nil"/>
              <w:bottom w:val="nil"/>
              <w:right w:val="nil"/>
            </w:tcBorders>
            <w:vAlign w:val="bottom"/>
          </w:tcPr>
          <w:p w14:paraId="64F3240F" w14:textId="40C2724B" w:rsidR="00566EA9" w:rsidRPr="001D41EA" w:rsidRDefault="00566EA9" w:rsidP="001D41EA">
            <w:pPr>
              <w:spacing w:before="40" w:after="40"/>
              <w:jc w:val="center"/>
              <w:rPr>
                <w:rFonts w:cs="Arial"/>
                <w:sz w:val="18"/>
                <w:szCs w:val="18"/>
              </w:rPr>
            </w:pPr>
            <w:r w:rsidRPr="001D41EA">
              <w:rPr>
                <w:rFonts w:cs="Arial"/>
                <w:sz w:val="18"/>
                <w:szCs w:val="18"/>
              </w:rPr>
              <w:t>1.024</w:t>
            </w:r>
          </w:p>
        </w:tc>
        <w:tc>
          <w:tcPr>
            <w:tcW w:w="1134" w:type="dxa"/>
            <w:tcBorders>
              <w:top w:val="nil"/>
              <w:left w:val="nil"/>
              <w:bottom w:val="nil"/>
              <w:right w:val="nil"/>
            </w:tcBorders>
            <w:vAlign w:val="bottom"/>
          </w:tcPr>
          <w:p w14:paraId="33E5A4D1" w14:textId="7EA77398" w:rsidR="00566EA9" w:rsidRPr="001D41EA" w:rsidRDefault="00566EA9" w:rsidP="001D41EA">
            <w:pPr>
              <w:spacing w:before="40" w:after="40"/>
              <w:jc w:val="center"/>
              <w:rPr>
                <w:rFonts w:cs="Arial"/>
                <w:sz w:val="18"/>
                <w:szCs w:val="18"/>
              </w:rPr>
            </w:pPr>
            <w:r w:rsidRPr="001D41EA">
              <w:rPr>
                <w:rFonts w:cs="Arial"/>
                <w:sz w:val="18"/>
                <w:szCs w:val="18"/>
              </w:rPr>
              <w:t>1.026</w:t>
            </w:r>
          </w:p>
        </w:tc>
        <w:tc>
          <w:tcPr>
            <w:tcW w:w="1134" w:type="dxa"/>
            <w:tcBorders>
              <w:top w:val="nil"/>
              <w:left w:val="nil"/>
              <w:bottom w:val="nil"/>
              <w:right w:val="nil"/>
            </w:tcBorders>
            <w:vAlign w:val="bottom"/>
          </w:tcPr>
          <w:p w14:paraId="5EBB4DE1" w14:textId="790A91F1" w:rsidR="00566EA9" w:rsidRPr="001D41EA" w:rsidRDefault="00566EA9" w:rsidP="001D41EA">
            <w:pPr>
              <w:spacing w:before="40" w:after="40"/>
              <w:jc w:val="center"/>
              <w:rPr>
                <w:rFonts w:cs="Arial"/>
                <w:sz w:val="18"/>
                <w:szCs w:val="18"/>
              </w:rPr>
            </w:pPr>
            <w:r w:rsidRPr="001D41EA">
              <w:rPr>
                <w:rFonts w:cs="Arial"/>
                <w:sz w:val="18"/>
                <w:szCs w:val="18"/>
              </w:rPr>
              <w:t>1.006</w:t>
            </w:r>
          </w:p>
        </w:tc>
      </w:tr>
      <w:tr w:rsidR="00566EA9" w:rsidRPr="001D41EA" w14:paraId="6491D4C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516AC6B" w14:textId="77777777" w:rsidR="00566EA9" w:rsidRPr="001D41EA" w:rsidRDefault="00566EA9" w:rsidP="001D41EA">
            <w:pPr>
              <w:spacing w:before="40" w:after="40"/>
              <w:rPr>
                <w:rFonts w:cs="Arial"/>
                <w:sz w:val="18"/>
                <w:szCs w:val="18"/>
              </w:rPr>
            </w:pPr>
            <w:r w:rsidRPr="001D41EA">
              <w:rPr>
                <w:rFonts w:cs="Arial"/>
                <w:sz w:val="18"/>
                <w:szCs w:val="18"/>
              </w:rPr>
              <w:t>Hepburn S</w:t>
            </w:r>
          </w:p>
        </w:tc>
        <w:tc>
          <w:tcPr>
            <w:tcW w:w="1134" w:type="dxa"/>
            <w:tcBorders>
              <w:top w:val="nil"/>
              <w:left w:val="single" w:sz="18" w:space="0" w:color="5F497A" w:themeColor="accent4" w:themeShade="BF"/>
              <w:bottom w:val="nil"/>
              <w:right w:val="nil"/>
            </w:tcBorders>
            <w:shd w:val="clear" w:color="auto" w:fill="auto"/>
            <w:vAlign w:val="bottom"/>
          </w:tcPr>
          <w:p w14:paraId="51E13640" w14:textId="258DB0FB" w:rsidR="00566EA9" w:rsidRPr="001D41EA" w:rsidRDefault="00566EA9" w:rsidP="001D41EA">
            <w:pPr>
              <w:spacing w:before="40" w:after="40"/>
              <w:jc w:val="center"/>
              <w:rPr>
                <w:rFonts w:cs="Arial"/>
                <w:sz w:val="18"/>
                <w:szCs w:val="18"/>
              </w:rPr>
            </w:pPr>
            <w:r w:rsidRPr="001D41EA">
              <w:rPr>
                <w:rFonts w:cs="Arial"/>
                <w:sz w:val="18"/>
                <w:szCs w:val="18"/>
              </w:rPr>
              <w:t>1.053</w:t>
            </w:r>
          </w:p>
        </w:tc>
        <w:tc>
          <w:tcPr>
            <w:tcW w:w="1134" w:type="dxa"/>
            <w:tcBorders>
              <w:top w:val="nil"/>
              <w:left w:val="nil"/>
              <w:bottom w:val="nil"/>
              <w:right w:val="nil"/>
            </w:tcBorders>
            <w:shd w:val="clear" w:color="auto" w:fill="auto"/>
            <w:vAlign w:val="bottom"/>
          </w:tcPr>
          <w:p w14:paraId="47EB03A0" w14:textId="47CB4C59" w:rsidR="00566EA9" w:rsidRPr="001D41EA" w:rsidRDefault="00566EA9" w:rsidP="001D41EA">
            <w:pPr>
              <w:spacing w:before="40" w:after="40"/>
              <w:jc w:val="center"/>
              <w:rPr>
                <w:rFonts w:cs="Arial"/>
                <w:sz w:val="18"/>
                <w:szCs w:val="18"/>
              </w:rPr>
            </w:pPr>
            <w:r w:rsidRPr="001D41EA">
              <w:rPr>
                <w:rFonts w:cs="Arial"/>
                <w:sz w:val="18"/>
                <w:szCs w:val="18"/>
              </w:rPr>
              <w:t>1.042</w:t>
            </w:r>
          </w:p>
        </w:tc>
        <w:tc>
          <w:tcPr>
            <w:tcW w:w="170" w:type="dxa"/>
            <w:tcBorders>
              <w:top w:val="nil"/>
              <w:left w:val="nil"/>
              <w:bottom w:val="nil"/>
              <w:right w:val="nil"/>
            </w:tcBorders>
            <w:vAlign w:val="bottom"/>
          </w:tcPr>
          <w:p w14:paraId="1DF6EAD1" w14:textId="30D2AF80"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249B17AA" w14:textId="5D3CD0E4" w:rsidR="00566EA9" w:rsidRPr="001D41EA" w:rsidRDefault="00566EA9" w:rsidP="001D41EA">
            <w:pPr>
              <w:spacing w:before="40" w:after="40"/>
              <w:jc w:val="center"/>
              <w:rPr>
                <w:rFonts w:cs="Arial"/>
                <w:sz w:val="18"/>
                <w:szCs w:val="18"/>
              </w:rPr>
            </w:pPr>
            <w:r w:rsidRPr="001D41EA">
              <w:rPr>
                <w:rFonts w:cs="Arial"/>
                <w:sz w:val="18"/>
                <w:szCs w:val="18"/>
              </w:rPr>
              <w:t>1.570</w:t>
            </w:r>
          </w:p>
        </w:tc>
        <w:tc>
          <w:tcPr>
            <w:tcW w:w="1134" w:type="dxa"/>
            <w:tcBorders>
              <w:top w:val="nil"/>
              <w:left w:val="nil"/>
              <w:bottom w:val="nil"/>
              <w:right w:val="nil"/>
            </w:tcBorders>
            <w:vAlign w:val="bottom"/>
          </w:tcPr>
          <w:p w14:paraId="6CE79006" w14:textId="01269D83" w:rsidR="00566EA9" w:rsidRPr="001D41EA" w:rsidRDefault="00566EA9" w:rsidP="001D41EA">
            <w:pPr>
              <w:spacing w:before="40" w:after="40"/>
              <w:jc w:val="center"/>
              <w:rPr>
                <w:rFonts w:cs="Arial"/>
                <w:sz w:val="18"/>
                <w:szCs w:val="18"/>
              </w:rPr>
            </w:pPr>
            <w:r w:rsidRPr="001D41EA">
              <w:rPr>
                <w:rFonts w:cs="Arial"/>
                <w:sz w:val="18"/>
                <w:szCs w:val="18"/>
              </w:rPr>
              <w:t>1.560</w:t>
            </w:r>
          </w:p>
        </w:tc>
        <w:tc>
          <w:tcPr>
            <w:tcW w:w="1134" w:type="dxa"/>
            <w:tcBorders>
              <w:top w:val="nil"/>
              <w:left w:val="nil"/>
              <w:bottom w:val="nil"/>
              <w:right w:val="nil"/>
            </w:tcBorders>
            <w:vAlign w:val="bottom"/>
          </w:tcPr>
          <w:p w14:paraId="29D4E399" w14:textId="41756688" w:rsidR="00566EA9" w:rsidRPr="001D41EA" w:rsidRDefault="00566EA9" w:rsidP="001D41EA">
            <w:pPr>
              <w:spacing w:before="40" w:after="40"/>
              <w:jc w:val="center"/>
              <w:rPr>
                <w:rFonts w:cs="Arial"/>
                <w:sz w:val="18"/>
                <w:szCs w:val="18"/>
              </w:rPr>
            </w:pPr>
            <w:r w:rsidRPr="001D41EA">
              <w:rPr>
                <w:rFonts w:cs="Arial"/>
                <w:sz w:val="18"/>
                <w:szCs w:val="18"/>
              </w:rPr>
              <w:t>1.564</w:t>
            </w:r>
          </w:p>
        </w:tc>
        <w:tc>
          <w:tcPr>
            <w:tcW w:w="1134" w:type="dxa"/>
            <w:tcBorders>
              <w:top w:val="nil"/>
              <w:left w:val="nil"/>
              <w:bottom w:val="nil"/>
              <w:right w:val="nil"/>
            </w:tcBorders>
            <w:vAlign w:val="bottom"/>
          </w:tcPr>
          <w:p w14:paraId="0A8D2A06" w14:textId="4FEB553C" w:rsidR="00566EA9" w:rsidRPr="001D41EA" w:rsidRDefault="00566EA9" w:rsidP="001D41EA">
            <w:pPr>
              <w:spacing w:before="40" w:after="40"/>
              <w:jc w:val="center"/>
              <w:rPr>
                <w:rFonts w:cs="Arial"/>
                <w:sz w:val="18"/>
                <w:szCs w:val="18"/>
              </w:rPr>
            </w:pPr>
            <w:r w:rsidRPr="001D41EA">
              <w:rPr>
                <w:rFonts w:cs="Arial"/>
                <w:sz w:val="18"/>
                <w:szCs w:val="18"/>
              </w:rPr>
              <w:t>1.532</w:t>
            </w:r>
          </w:p>
        </w:tc>
      </w:tr>
      <w:tr w:rsidR="00566EA9" w:rsidRPr="001D41EA" w14:paraId="366D63E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99C199A" w14:textId="77777777" w:rsidR="00566EA9" w:rsidRPr="001D41EA" w:rsidRDefault="00566EA9" w:rsidP="001D41EA">
            <w:pPr>
              <w:spacing w:before="40" w:after="40"/>
              <w:rPr>
                <w:rFonts w:cs="Arial"/>
                <w:sz w:val="18"/>
                <w:szCs w:val="18"/>
              </w:rPr>
            </w:pPr>
            <w:r w:rsidRPr="001D41EA">
              <w:rPr>
                <w:rFonts w:cs="Arial"/>
                <w:sz w:val="18"/>
                <w:szCs w:val="18"/>
              </w:rPr>
              <w:t>Hindmarsh S</w:t>
            </w:r>
          </w:p>
        </w:tc>
        <w:tc>
          <w:tcPr>
            <w:tcW w:w="1134" w:type="dxa"/>
            <w:tcBorders>
              <w:top w:val="nil"/>
              <w:left w:val="single" w:sz="18" w:space="0" w:color="5F497A" w:themeColor="accent4" w:themeShade="BF"/>
              <w:bottom w:val="nil"/>
              <w:right w:val="nil"/>
            </w:tcBorders>
            <w:shd w:val="clear" w:color="auto" w:fill="auto"/>
            <w:vAlign w:val="bottom"/>
          </w:tcPr>
          <w:p w14:paraId="048EFDD8" w14:textId="1231BE55" w:rsidR="00566EA9" w:rsidRPr="001D41EA" w:rsidRDefault="00566EA9" w:rsidP="001D41EA">
            <w:pPr>
              <w:spacing w:before="40" w:after="40"/>
              <w:jc w:val="center"/>
              <w:rPr>
                <w:rFonts w:cs="Arial"/>
                <w:sz w:val="18"/>
                <w:szCs w:val="18"/>
              </w:rPr>
            </w:pPr>
            <w:r w:rsidRPr="001D41EA">
              <w:rPr>
                <w:rFonts w:cs="Arial"/>
                <w:sz w:val="18"/>
                <w:szCs w:val="18"/>
              </w:rPr>
              <w:t>1.220</w:t>
            </w:r>
          </w:p>
        </w:tc>
        <w:tc>
          <w:tcPr>
            <w:tcW w:w="1134" w:type="dxa"/>
            <w:tcBorders>
              <w:top w:val="nil"/>
              <w:left w:val="nil"/>
              <w:bottom w:val="nil"/>
              <w:right w:val="nil"/>
            </w:tcBorders>
            <w:shd w:val="clear" w:color="auto" w:fill="auto"/>
            <w:vAlign w:val="bottom"/>
          </w:tcPr>
          <w:p w14:paraId="7CACF339" w14:textId="195F8D10" w:rsidR="00566EA9" w:rsidRPr="001D41EA" w:rsidRDefault="00566EA9" w:rsidP="001D41EA">
            <w:pPr>
              <w:spacing w:before="40" w:after="40"/>
              <w:jc w:val="center"/>
              <w:rPr>
                <w:rFonts w:cs="Arial"/>
                <w:sz w:val="18"/>
                <w:szCs w:val="18"/>
              </w:rPr>
            </w:pPr>
            <w:r w:rsidRPr="001D41EA">
              <w:rPr>
                <w:rFonts w:cs="Arial"/>
                <w:sz w:val="18"/>
                <w:szCs w:val="18"/>
              </w:rPr>
              <w:t>1.208</w:t>
            </w:r>
          </w:p>
        </w:tc>
        <w:tc>
          <w:tcPr>
            <w:tcW w:w="170" w:type="dxa"/>
            <w:tcBorders>
              <w:top w:val="nil"/>
              <w:left w:val="nil"/>
              <w:bottom w:val="nil"/>
              <w:right w:val="nil"/>
            </w:tcBorders>
            <w:vAlign w:val="bottom"/>
          </w:tcPr>
          <w:p w14:paraId="11FBD4E9" w14:textId="32F0519B"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523A439" w14:textId="01B34B8C" w:rsidR="00566EA9" w:rsidRPr="001D41EA" w:rsidRDefault="00566EA9" w:rsidP="001D41EA">
            <w:pPr>
              <w:spacing w:before="40" w:after="40"/>
              <w:jc w:val="center"/>
              <w:rPr>
                <w:rFonts w:cs="Arial"/>
                <w:sz w:val="18"/>
                <w:szCs w:val="18"/>
              </w:rPr>
            </w:pPr>
            <w:r w:rsidRPr="001D41EA">
              <w:rPr>
                <w:rFonts w:cs="Arial"/>
                <w:sz w:val="18"/>
                <w:szCs w:val="18"/>
              </w:rPr>
              <w:t>0.971</w:t>
            </w:r>
          </w:p>
        </w:tc>
        <w:tc>
          <w:tcPr>
            <w:tcW w:w="1134" w:type="dxa"/>
            <w:tcBorders>
              <w:top w:val="nil"/>
              <w:left w:val="nil"/>
              <w:bottom w:val="nil"/>
              <w:right w:val="nil"/>
            </w:tcBorders>
            <w:vAlign w:val="bottom"/>
          </w:tcPr>
          <w:p w14:paraId="435FCD50" w14:textId="5665FE31" w:rsidR="00566EA9" w:rsidRPr="001D41EA" w:rsidRDefault="00566EA9" w:rsidP="001D41EA">
            <w:pPr>
              <w:spacing w:before="40" w:after="40"/>
              <w:jc w:val="center"/>
              <w:rPr>
                <w:rFonts w:cs="Arial"/>
                <w:sz w:val="18"/>
                <w:szCs w:val="18"/>
              </w:rPr>
            </w:pPr>
            <w:r w:rsidRPr="001D41EA">
              <w:rPr>
                <w:rFonts w:cs="Arial"/>
                <w:sz w:val="18"/>
                <w:szCs w:val="18"/>
              </w:rPr>
              <w:t>0.965</w:t>
            </w:r>
          </w:p>
        </w:tc>
        <w:tc>
          <w:tcPr>
            <w:tcW w:w="1134" w:type="dxa"/>
            <w:tcBorders>
              <w:top w:val="nil"/>
              <w:left w:val="nil"/>
              <w:bottom w:val="nil"/>
              <w:right w:val="nil"/>
            </w:tcBorders>
            <w:vAlign w:val="bottom"/>
          </w:tcPr>
          <w:p w14:paraId="253E7F9C" w14:textId="21D590D2" w:rsidR="00566EA9" w:rsidRPr="001D41EA" w:rsidRDefault="00566EA9" w:rsidP="001D41EA">
            <w:pPr>
              <w:spacing w:before="40" w:after="40"/>
              <w:jc w:val="center"/>
              <w:rPr>
                <w:rFonts w:cs="Arial"/>
                <w:sz w:val="18"/>
                <w:szCs w:val="18"/>
              </w:rPr>
            </w:pPr>
            <w:r w:rsidRPr="001D41EA">
              <w:rPr>
                <w:rFonts w:cs="Arial"/>
                <w:sz w:val="18"/>
                <w:szCs w:val="18"/>
              </w:rPr>
              <w:t>0.967</w:t>
            </w:r>
          </w:p>
        </w:tc>
        <w:tc>
          <w:tcPr>
            <w:tcW w:w="1134" w:type="dxa"/>
            <w:tcBorders>
              <w:top w:val="nil"/>
              <w:left w:val="nil"/>
              <w:bottom w:val="nil"/>
              <w:right w:val="nil"/>
            </w:tcBorders>
            <w:vAlign w:val="bottom"/>
          </w:tcPr>
          <w:p w14:paraId="4D544F27" w14:textId="19218BCD" w:rsidR="00566EA9" w:rsidRPr="001D41EA" w:rsidRDefault="00566EA9" w:rsidP="001D41EA">
            <w:pPr>
              <w:spacing w:before="40" w:after="40"/>
              <w:jc w:val="center"/>
              <w:rPr>
                <w:rFonts w:cs="Arial"/>
                <w:sz w:val="18"/>
                <w:szCs w:val="18"/>
              </w:rPr>
            </w:pPr>
            <w:r w:rsidRPr="001D41EA">
              <w:rPr>
                <w:rFonts w:cs="Arial"/>
                <w:sz w:val="18"/>
                <w:szCs w:val="18"/>
              </w:rPr>
              <w:t>0.948</w:t>
            </w:r>
          </w:p>
        </w:tc>
      </w:tr>
      <w:tr w:rsidR="00566EA9" w:rsidRPr="001D41EA" w14:paraId="660AA8E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D9DB157" w14:textId="77777777" w:rsidR="00566EA9" w:rsidRPr="001D41EA" w:rsidRDefault="00566EA9" w:rsidP="001D41EA">
            <w:pPr>
              <w:spacing w:before="40" w:after="40"/>
              <w:rPr>
                <w:rFonts w:cs="Arial"/>
                <w:sz w:val="18"/>
                <w:szCs w:val="18"/>
              </w:rPr>
            </w:pPr>
            <w:r w:rsidRPr="001D41EA">
              <w:rPr>
                <w:rFonts w:cs="Arial"/>
                <w:sz w:val="18"/>
                <w:szCs w:val="18"/>
              </w:rPr>
              <w:t>Hobsons Bay C</w:t>
            </w:r>
          </w:p>
        </w:tc>
        <w:tc>
          <w:tcPr>
            <w:tcW w:w="1134" w:type="dxa"/>
            <w:tcBorders>
              <w:top w:val="nil"/>
              <w:left w:val="single" w:sz="18" w:space="0" w:color="5F497A" w:themeColor="accent4" w:themeShade="BF"/>
              <w:bottom w:val="nil"/>
              <w:right w:val="nil"/>
            </w:tcBorders>
            <w:shd w:val="clear" w:color="auto" w:fill="auto"/>
            <w:vAlign w:val="bottom"/>
          </w:tcPr>
          <w:p w14:paraId="45A92116" w14:textId="36FD0433" w:rsidR="00566EA9" w:rsidRPr="001D41EA" w:rsidRDefault="00566EA9" w:rsidP="001D41EA">
            <w:pPr>
              <w:spacing w:before="40" w:after="40"/>
              <w:jc w:val="center"/>
              <w:rPr>
                <w:rFonts w:cs="Arial"/>
                <w:sz w:val="18"/>
                <w:szCs w:val="18"/>
              </w:rPr>
            </w:pPr>
            <w:r w:rsidRPr="001D41EA">
              <w:rPr>
                <w:rFonts w:cs="Arial"/>
                <w:sz w:val="18"/>
                <w:szCs w:val="18"/>
              </w:rPr>
              <w:t>0.986</w:t>
            </w:r>
          </w:p>
        </w:tc>
        <w:tc>
          <w:tcPr>
            <w:tcW w:w="1134" w:type="dxa"/>
            <w:tcBorders>
              <w:top w:val="nil"/>
              <w:left w:val="nil"/>
              <w:bottom w:val="nil"/>
              <w:right w:val="nil"/>
            </w:tcBorders>
            <w:shd w:val="clear" w:color="auto" w:fill="auto"/>
            <w:vAlign w:val="bottom"/>
          </w:tcPr>
          <w:p w14:paraId="0467119A" w14:textId="2396F25E" w:rsidR="00566EA9" w:rsidRPr="001D41EA" w:rsidRDefault="00566EA9" w:rsidP="001D41EA">
            <w:pPr>
              <w:spacing w:before="40" w:after="40"/>
              <w:jc w:val="center"/>
              <w:rPr>
                <w:rFonts w:cs="Arial"/>
                <w:sz w:val="18"/>
                <w:szCs w:val="18"/>
              </w:rPr>
            </w:pPr>
            <w:r w:rsidRPr="001D41EA">
              <w:rPr>
                <w:rFonts w:cs="Arial"/>
                <w:sz w:val="18"/>
                <w:szCs w:val="18"/>
              </w:rPr>
              <w:t>0.975</w:t>
            </w:r>
          </w:p>
        </w:tc>
        <w:tc>
          <w:tcPr>
            <w:tcW w:w="170" w:type="dxa"/>
            <w:tcBorders>
              <w:top w:val="nil"/>
              <w:left w:val="nil"/>
              <w:bottom w:val="nil"/>
              <w:right w:val="nil"/>
            </w:tcBorders>
            <w:vAlign w:val="bottom"/>
          </w:tcPr>
          <w:p w14:paraId="011AF4CD" w14:textId="68C4C4F5"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22E0444" w14:textId="70DCD1D1" w:rsidR="00566EA9" w:rsidRPr="001D41EA" w:rsidRDefault="00566EA9" w:rsidP="001D41EA">
            <w:pPr>
              <w:spacing w:before="40" w:after="40"/>
              <w:jc w:val="center"/>
              <w:rPr>
                <w:rFonts w:cs="Arial"/>
                <w:sz w:val="18"/>
                <w:szCs w:val="18"/>
              </w:rPr>
            </w:pPr>
            <w:r w:rsidRPr="001D41EA">
              <w:rPr>
                <w:rFonts w:cs="Arial"/>
                <w:sz w:val="18"/>
                <w:szCs w:val="18"/>
              </w:rPr>
              <w:t>0.907</w:t>
            </w:r>
          </w:p>
        </w:tc>
        <w:tc>
          <w:tcPr>
            <w:tcW w:w="1134" w:type="dxa"/>
            <w:tcBorders>
              <w:top w:val="nil"/>
              <w:left w:val="nil"/>
              <w:bottom w:val="nil"/>
              <w:right w:val="nil"/>
            </w:tcBorders>
            <w:vAlign w:val="bottom"/>
          </w:tcPr>
          <w:p w14:paraId="3A664320" w14:textId="626A3EAD" w:rsidR="00566EA9" w:rsidRPr="001D41EA" w:rsidRDefault="00566EA9" w:rsidP="001D41EA">
            <w:pPr>
              <w:spacing w:before="40" w:after="40"/>
              <w:jc w:val="center"/>
              <w:rPr>
                <w:rFonts w:cs="Arial"/>
                <w:sz w:val="18"/>
                <w:szCs w:val="18"/>
              </w:rPr>
            </w:pPr>
            <w:r w:rsidRPr="001D41EA">
              <w:rPr>
                <w:rFonts w:cs="Arial"/>
                <w:sz w:val="18"/>
                <w:szCs w:val="18"/>
              </w:rPr>
              <w:t>0.901</w:t>
            </w:r>
          </w:p>
        </w:tc>
        <w:tc>
          <w:tcPr>
            <w:tcW w:w="1134" w:type="dxa"/>
            <w:tcBorders>
              <w:top w:val="nil"/>
              <w:left w:val="nil"/>
              <w:bottom w:val="nil"/>
              <w:right w:val="nil"/>
            </w:tcBorders>
            <w:vAlign w:val="bottom"/>
          </w:tcPr>
          <w:p w14:paraId="77E2FCFA" w14:textId="20F36783" w:rsidR="00566EA9" w:rsidRPr="001D41EA" w:rsidRDefault="00566EA9" w:rsidP="001D41EA">
            <w:pPr>
              <w:spacing w:before="40" w:after="40"/>
              <w:jc w:val="center"/>
              <w:rPr>
                <w:rFonts w:cs="Arial"/>
                <w:sz w:val="18"/>
                <w:szCs w:val="18"/>
              </w:rPr>
            </w:pPr>
            <w:r w:rsidRPr="001D41EA">
              <w:rPr>
                <w:rFonts w:cs="Arial"/>
                <w:sz w:val="18"/>
                <w:szCs w:val="18"/>
              </w:rPr>
              <w:t>0.904</w:t>
            </w:r>
          </w:p>
        </w:tc>
        <w:tc>
          <w:tcPr>
            <w:tcW w:w="1134" w:type="dxa"/>
            <w:tcBorders>
              <w:top w:val="nil"/>
              <w:left w:val="nil"/>
              <w:bottom w:val="nil"/>
              <w:right w:val="nil"/>
            </w:tcBorders>
            <w:vAlign w:val="bottom"/>
          </w:tcPr>
          <w:p w14:paraId="0029FE3A" w14:textId="34D6DF50" w:rsidR="00566EA9" w:rsidRPr="001D41EA" w:rsidRDefault="00566EA9" w:rsidP="001D41EA">
            <w:pPr>
              <w:spacing w:before="40" w:after="40"/>
              <w:jc w:val="center"/>
              <w:rPr>
                <w:rFonts w:cs="Arial"/>
                <w:sz w:val="18"/>
                <w:szCs w:val="18"/>
              </w:rPr>
            </w:pPr>
            <w:r w:rsidRPr="001D41EA">
              <w:rPr>
                <w:rFonts w:cs="Arial"/>
                <w:sz w:val="18"/>
                <w:szCs w:val="18"/>
              </w:rPr>
              <w:t>0.886</w:t>
            </w:r>
          </w:p>
        </w:tc>
      </w:tr>
      <w:tr w:rsidR="00566EA9" w:rsidRPr="001D41EA" w14:paraId="10E6849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1FE5161" w14:textId="77777777" w:rsidR="00566EA9" w:rsidRPr="001D41EA" w:rsidRDefault="00566EA9" w:rsidP="001D41EA">
            <w:pPr>
              <w:spacing w:before="40" w:after="40"/>
              <w:rPr>
                <w:rFonts w:cs="Arial"/>
                <w:sz w:val="18"/>
                <w:szCs w:val="18"/>
              </w:rPr>
            </w:pPr>
            <w:r w:rsidRPr="001D41EA">
              <w:rPr>
                <w:rFonts w:cs="Arial"/>
                <w:sz w:val="18"/>
                <w:szCs w:val="18"/>
              </w:rPr>
              <w:t>Horsham RC</w:t>
            </w:r>
          </w:p>
        </w:tc>
        <w:tc>
          <w:tcPr>
            <w:tcW w:w="1134" w:type="dxa"/>
            <w:tcBorders>
              <w:top w:val="nil"/>
              <w:left w:val="single" w:sz="18" w:space="0" w:color="5F497A" w:themeColor="accent4" w:themeShade="BF"/>
              <w:bottom w:val="nil"/>
              <w:right w:val="nil"/>
            </w:tcBorders>
            <w:shd w:val="clear" w:color="auto" w:fill="auto"/>
            <w:vAlign w:val="bottom"/>
          </w:tcPr>
          <w:p w14:paraId="5484C596" w14:textId="3241C7EB" w:rsidR="00566EA9" w:rsidRPr="001D41EA" w:rsidRDefault="00566EA9" w:rsidP="001D41EA">
            <w:pPr>
              <w:spacing w:before="40" w:after="40"/>
              <w:jc w:val="center"/>
              <w:rPr>
                <w:rFonts w:cs="Arial"/>
                <w:sz w:val="18"/>
                <w:szCs w:val="18"/>
              </w:rPr>
            </w:pPr>
            <w:r w:rsidRPr="001D41EA">
              <w:rPr>
                <w:rFonts w:cs="Arial"/>
                <w:sz w:val="18"/>
                <w:szCs w:val="18"/>
              </w:rPr>
              <w:t>1.103</w:t>
            </w:r>
          </w:p>
        </w:tc>
        <w:tc>
          <w:tcPr>
            <w:tcW w:w="1134" w:type="dxa"/>
            <w:tcBorders>
              <w:top w:val="nil"/>
              <w:left w:val="nil"/>
              <w:bottom w:val="nil"/>
              <w:right w:val="nil"/>
            </w:tcBorders>
            <w:shd w:val="clear" w:color="auto" w:fill="auto"/>
            <w:vAlign w:val="bottom"/>
          </w:tcPr>
          <w:p w14:paraId="049CF30C" w14:textId="209F63A1" w:rsidR="00566EA9" w:rsidRPr="001D41EA" w:rsidRDefault="00566EA9" w:rsidP="001D41EA">
            <w:pPr>
              <w:spacing w:before="40" w:after="40"/>
              <w:jc w:val="center"/>
              <w:rPr>
                <w:rFonts w:cs="Arial"/>
                <w:sz w:val="18"/>
                <w:szCs w:val="18"/>
              </w:rPr>
            </w:pPr>
            <w:r w:rsidRPr="001D41EA">
              <w:rPr>
                <w:rFonts w:cs="Arial"/>
                <w:sz w:val="18"/>
                <w:szCs w:val="18"/>
              </w:rPr>
              <w:t>1.092</w:t>
            </w:r>
          </w:p>
        </w:tc>
        <w:tc>
          <w:tcPr>
            <w:tcW w:w="170" w:type="dxa"/>
            <w:tcBorders>
              <w:top w:val="nil"/>
              <w:left w:val="nil"/>
              <w:bottom w:val="nil"/>
              <w:right w:val="nil"/>
            </w:tcBorders>
            <w:vAlign w:val="bottom"/>
          </w:tcPr>
          <w:p w14:paraId="1424C7E3" w14:textId="633E158F"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62150F9A" w14:textId="1DBDE87D" w:rsidR="00566EA9" w:rsidRPr="001D41EA" w:rsidRDefault="00566EA9" w:rsidP="001D41EA">
            <w:pPr>
              <w:spacing w:before="40" w:after="40"/>
              <w:jc w:val="center"/>
              <w:rPr>
                <w:rFonts w:cs="Arial"/>
                <w:sz w:val="18"/>
                <w:szCs w:val="18"/>
              </w:rPr>
            </w:pPr>
            <w:r w:rsidRPr="001D41EA">
              <w:rPr>
                <w:rFonts w:cs="Arial"/>
                <w:sz w:val="18"/>
                <w:szCs w:val="18"/>
              </w:rPr>
              <w:t>1.121</w:t>
            </w:r>
          </w:p>
        </w:tc>
        <w:tc>
          <w:tcPr>
            <w:tcW w:w="1134" w:type="dxa"/>
            <w:tcBorders>
              <w:top w:val="nil"/>
              <w:left w:val="nil"/>
              <w:bottom w:val="nil"/>
              <w:right w:val="nil"/>
            </w:tcBorders>
            <w:vAlign w:val="bottom"/>
          </w:tcPr>
          <w:p w14:paraId="5D04735D" w14:textId="198CC473" w:rsidR="00566EA9" w:rsidRPr="001D41EA" w:rsidRDefault="00566EA9" w:rsidP="001D41EA">
            <w:pPr>
              <w:spacing w:before="40" w:after="40"/>
              <w:jc w:val="center"/>
              <w:rPr>
                <w:rFonts w:cs="Arial"/>
                <w:sz w:val="18"/>
                <w:szCs w:val="18"/>
              </w:rPr>
            </w:pPr>
            <w:r w:rsidRPr="001D41EA">
              <w:rPr>
                <w:rFonts w:cs="Arial"/>
                <w:sz w:val="18"/>
                <w:szCs w:val="18"/>
              </w:rPr>
              <w:t>1.113</w:t>
            </w:r>
          </w:p>
        </w:tc>
        <w:tc>
          <w:tcPr>
            <w:tcW w:w="1134" w:type="dxa"/>
            <w:tcBorders>
              <w:top w:val="nil"/>
              <w:left w:val="nil"/>
              <w:bottom w:val="nil"/>
              <w:right w:val="nil"/>
            </w:tcBorders>
            <w:vAlign w:val="bottom"/>
          </w:tcPr>
          <w:p w14:paraId="344523DC" w14:textId="48593CBB" w:rsidR="00566EA9" w:rsidRPr="001D41EA" w:rsidRDefault="00566EA9" w:rsidP="001D41EA">
            <w:pPr>
              <w:spacing w:before="40" w:after="40"/>
              <w:jc w:val="center"/>
              <w:rPr>
                <w:rFonts w:cs="Arial"/>
                <w:sz w:val="18"/>
                <w:szCs w:val="18"/>
              </w:rPr>
            </w:pPr>
            <w:r w:rsidRPr="001D41EA">
              <w:rPr>
                <w:rFonts w:cs="Arial"/>
                <w:sz w:val="18"/>
                <w:szCs w:val="18"/>
              </w:rPr>
              <w:t>1.116</w:t>
            </w:r>
          </w:p>
        </w:tc>
        <w:tc>
          <w:tcPr>
            <w:tcW w:w="1134" w:type="dxa"/>
            <w:tcBorders>
              <w:top w:val="nil"/>
              <w:left w:val="nil"/>
              <w:bottom w:val="nil"/>
              <w:right w:val="nil"/>
            </w:tcBorders>
            <w:vAlign w:val="bottom"/>
          </w:tcPr>
          <w:p w14:paraId="0ECAB09F" w14:textId="227B9A51" w:rsidR="00566EA9" w:rsidRPr="001D41EA" w:rsidRDefault="00566EA9" w:rsidP="001D41EA">
            <w:pPr>
              <w:spacing w:before="40" w:after="40"/>
              <w:jc w:val="center"/>
              <w:rPr>
                <w:rFonts w:cs="Arial"/>
                <w:sz w:val="18"/>
                <w:szCs w:val="18"/>
              </w:rPr>
            </w:pPr>
            <w:r w:rsidRPr="001D41EA">
              <w:rPr>
                <w:rFonts w:cs="Arial"/>
                <w:sz w:val="18"/>
                <w:szCs w:val="18"/>
              </w:rPr>
              <w:t>1.094</w:t>
            </w:r>
          </w:p>
        </w:tc>
      </w:tr>
      <w:tr w:rsidR="00566EA9" w:rsidRPr="001D41EA" w14:paraId="158380E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678D9CF" w14:textId="77777777" w:rsidR="00566EA9" w:rsidRPr="001D41EA" w:rsidRDefault="00566EA9" w:rsidP="001D41EA">
            <w:pPr>
              <w:spacing w:before="40" w:after="40"/>
              <w:rPr>
                <w:rFonts w:cs="Arial"/>
                <w:sz w:val="18"/>
                <w:szCs w:val="18"/>
              </w:rPr>
            </w:pPr>
            <w:r w:rsidRPr="001D41EA">
              <w:rPr>
                <w:rFonts w:cs="Arial"/>
                <w:sz w:val="18"/>
                <w:szCs w:val="18"/>
              </w:rPr>
              <w:t>Hume C</w:t>
            </w:r>
          </w:p>
        </w:tc>
        <w:tc>
          <w:tcPr>
            <w:tcW w:w="1134" w:type="dxa"/>
            <w:tcBorders>
              <w:top w:val="nil"/>
              <w:left w:val="single" w:sz="18" w:space="0" w:color="5F497A" w:themeColor="accent4" w:themeShade="BF"/>
              <w:bottom w:val="nil"/>
              <w:right w:val="nil"/>
            </w:tcBorders>
            <w:shd w:val="clear" w:color="auto" w:fill="auto"/>
            <w:vAlign w:val="bottom"/>
          </w:tcPr>
          <w:p w14:paraId="1548D54F" w14:textId="7ADBDABB" w:rsidR="00566EA9" w:rsidRPr="001D41EA" w:rsidRDefault="00566EA9" w:rsidP="001D41EA">
            <w:pPr>
              <w:spacing w:before="40" w:after="40"/>
              <w:jc w:val="center"/>
              <w:rPr>
                <w:rFonts w:cs="Arial"/>
                <w:sz w:val="18"/>
                <w:szCs w:val="18"/>
              </w:rPr>
            </w:pPr>
            <w:r w:rsidRPr="001D41EA">
              <w:rPr>
                <w:rFonts w:cs="Arial"/>
                <w:sz w:val="18"/>
                <w:szCs w:val="18"/>
              </w:rPr>
              <w:t>1.214</w:t>
            </w:r>
          </w:p>
        </w:tc>
        <w:tc>
          <w:tcPr>
            <w:tcW w:w="1134" w:type="dxa"/>
            <w:tcBorders>
              <w:top w:val="nil"/>
              <w:left w:val="nil"/>
              <w:bottom w:val="nil"/>
              <w:right w:val="nil"/>
            </w:tcBorders>
            <w:shd w:val="clear" w:color="auto" w:fill="auto"/>
            <w:vAlign w:val="bottom"/>
          </w:tcPr>
          <w:p w14:paraId="262BFBF6" w14:textId="5F6338CF" w:rsidR="00566EA9" w:rsidRPr="001D41EA" w:rsidRDefault="00566EA9" w:rsidP="001D41EA">
            <w:pPr>
              <w:spacing w:before="40" w:after="40"/>
              <w:jc w:val="center"/>
              <w:rPr>
                <w:rFonts w:cs="Arial"/>
                <w:sz w:val="18"/>
                <w:szCs w:val="18"/>
              </w:rPr>
            </w:pPr>
            <w:r w:rsidRPr="001D41EA">
              <w:rPr>
                <w:rFonts w:cs="Arial"/>
                <w:sz w:val="18"/>
                <w:szCs w:val="18"/>
              </w:rPr>
              <w:t>1.201</w:t>
            </w:r>
          </w:p>
        </w:tc>
        <w:tc>
          <w:tcPr>
            <w:tcW w:w="170" w:type="dxa"/>
            <w:tcBorders>
              <w:top w:val="nil"/>
              <w:left w:val="nil"/>
              <w:bottom w:val="nil"/>
              <w:right w:val="nil"/>
            </w:tcBorders>
            <w:vAlign w:val="bottom"/>
          </w:tcPr>
          <w:p w14:paraId="006DD20E" w14:textId="534A7B9E"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102013B8" w14:textId="7C874738" w:rsidR="00566EA9" w:rsidRPr="001D41EA" w:rsidRDefault="00566EA9" w:rsidP="001D41EA">
            <w:pPr>
              <w:spacing w:before="40" w:after="4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39A128E7" w14:textId="6CC4305E" w:rsidR="00566EA9" w:rsidRPr="001D41EA" w:rsidRDefault="00566EA9" w:rsidP="001D41EA">
            <w:pPr>
              <w:spacing w:before="40" w:after="40"/>
              <w:jc w:val="center"/>
              <w:rPr>
                <w:rFonts w:cs="Arial"/>
                <w:sz w:val="18"/>
                <w:szCs w:val="18"/>
              </w:rPr>
            </w:pPr>
            <w:r w:rsidRPr="001D41EA">
              <w:rPr>
                <w:rFonts w:cs="Arial"/>
                <w:sz w:val="18"/>
                <w:szCs w:val="18"/>
              </w:rPr>
              <w:t>0.882</w:t>
            </w:r>
          </w:p>
        </w:tc>
        <w:tc>
          <w:tcPr>
            <w:tcW w:w="1134" w:type="dxa"/>
            <w:tcBorders>
              <w:top w:val="nil"/>
              <w:left w:val="nil"/>
              <w:bottom w:val="nil"/>
              <w:right w:val="nil"/>
            </w:tcBorders>
            <w:vAlign w:val="bottom"/>
          </w:tcPr>
          <w:p w14:paraId="79229BF3" w14:textId="3D807E42" w:rsidR="00566EA9" w:rsidRPr="001D41EA" w:rsidRDefault="00566EA9" w:rsidP="001D41EA">
            <w:pPr>
              <w:spacing w:before="40" w:after="40"/>
              <w:jc w:val="center"/>
              <w:rPr>
                <w:rFonts w:cs="Arial"/>
                <w:sz w:val="18"/>
                <w:szCs w:val="18"/>
              </w:rPr>
            </w:pPr>
            <w:r w:rsidRPr="001D41EA">
              <w:rPr>
                <w:rFonts w:cs="Arial"/>
                <w:sz w:val="18"/>
                <w:szCs w:val="18"/>
              </w:rPr>
              <w:t>0.885</w:t>
            </w:r>
          </w:p>
        </w:tc>
        <w:tc>
          <w:tcPr>
            <w:tcW w:w="1134" w:type="dxa"/>
            <w:tcBorders>
              <w:top w:val="nil"/>
              <w:left w:val="nil"/>
              <w:bottom w:val="nil"/>
              <w:right w:val="nil"/>
            </w:tcBorders>
            <w:vAlign w:val="bottom"/>
          </w:tcPr>
          <w:p w14:paraId="76AAE797" w14:textId="05788A6A" w:rsidR="00566EA9" w:rsidRPr="001D41EA" w:rsidRDefault="00566EA9" w:rsidP="001D41EA">
            <w:pPr>
              <w:spacing w:before="40" w:after="40"/>
              <w:jc w:val="center"/>
              <w:rPr>
                <w:rFonts w:cs="Arial"/>
                <w:sz w:val="18"/>
                <w:szCs w:val="18"/>
              </w:rPr>
            </w:pPr>
            <w:r w:rsidRPr="001D41EA">
              <w:rPr>
                <w:rFonts w:cs="Arial"/>
                <w:sz w:val="18"/>
                <w:szCs w:val="18"/>
              </w:rPr>
              <w:t>0.867</w:t>
            </w:r>
          </w:p>
        </w:tc>
      </w:tr>
      <w:tr w:rsidR="00566EA9" w:rsidRPr="001D41EA" w14:paraId="75A4790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0F4A08A" w14:textId="77777777" w:rsidR="00566EA9" w:rsidRPr="001D41EA" w:rsidRDefault="00566EA9" w:rsidP="001D41EA">
            <w:pPr>
              <w:spacing w:before="40" w:after="40"/>
              <w:rPr>
                <w:rFonts w:cs="Arial"/>
                <w:sz w:val="18"/>
                <w:szCs w:val="18"/>
              </w:rPr>
            </w:pPr>
            <w:r w:rsidRPr="001D41EA">
              <w:rPr>
                <w:rFonts w:cs="Arial"/>
                <w:sz w:val="18"/>
                <w:szCs w:val="18"/>
              </w:rPr>
              <w:t>Indigo S</w:t>
            </w:r>
          </w:p>
        </w:tc>
        <w:tc>
          <w:tcPr>
            <w:tcW w:w="1134" w:type="dxa"/>
            <w:tcBorders>
              <w:top w:val="nil"/>
              <w:left w:val="single" w:sz="18" w:space="0" w:color="5F497A" w:themeColor="accent4" w:themeShade="BF"/>
              <w:bottom w:val="nil"/>
              <w:right w:val="nil"/>
            </w:tcBorders>
            <w:shd w:val="clear" w:color="auto" w:fill="auto"/>
            <w:vAlign w:val="bottom"/>
          </w:tcPr>
          <w:p w14:paraId="73BFB5AE" w14:textId="7C62AF37" w:rsidR="00566EA9" w:rsidRPr="001D41EA" w:rsidRDefault="00566EA9" w:rsidP="001D41EA">
            <w:pPr>
              <w:spacing w:before="40" w:after="40"/>
              <w:jc w:val="center"/>
              <w:rPr>
                <w:rFonts w:cs="Arial"/>
                <w:sz w:val="18"/>
                <w:szCs w:val="18"/>
              </w:rPr>
            </w:pPr>
            <w:r w:rsidRPr="001D41EA">
              <w:rPr>
                <w:rFonts w:cs="Arial"/>
                <w:sz w:val="18"/>
                <w:szCs w:val="18"/>
              </w:rPr>
              <w:t>0.982</w:t>
            </w:r>
          </w:p>
        </w:tc>
        <w:tc>
          <w:tcPr>
            <w:tcW w:w="1134" w:type="dxa"/>
            <w:tcBorders>
              <w:top w:val="nil"/>
              <w:left w:val="nil"/>
              <w:bottom w:val="nil"/>
              <w:right w:val="nil"/>
            </w:tcBorders>
            <w:shd w:val="clear" w:color="auto" w:fill="auto"/>
            <w:vAlign w:val="bottom"/>
          </w:tcPr>
          <w:p w14:paraId="1CA9D59D" w14:textId="70E8BF59" w:rsidR="00566EA9" w:rsidRPr="001D41EA" w:rsidRDefault="00566EA9" w:rsidP="001D41EA">
            <w:pPr>
              <w:spacing w:before="40" w:after="40"/>
              <w:jc w:val="center"/>
              <w:rPr>
                <w:rFonts w:cs="Arial"/>
                <w:sz w:val="18"/>
                <w:szCs w:val="18"/>
              </w:rPr>
            </w:pPr>
            <w:r w:rsidRPr="001D41EA">
              <w:rPr>
                <w:rFonts w:cs="Arial"/>
                <w:sz w:val="18"/>
                <w:szCs w:val="18"/>
              </w:rPr>
              <w:t>0.972</w:t>
            </w:r>
          </w:p>
        </w:tc>
        <w:tc>
          <w:tcPr>
            <w:tcW w:w="170" w:type="dxa"/>
            <w:tcBorders>
              <w:top w:val="nil"/>
              <w:left w:val="nil"/>
              <w:bottom w:val="nil"/>
              <w:right w:val="nil"/>
            </w:tcBorders>
            <w:vAlign w:val="bottom"/>
          </w:tcPr>
          <w:p w14:paraId="3A74B630" w14:textId="7863900C"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2A7E1439" w14:textId="2C01A89A" w:rsidR="00566EA9" w:rsidRPr="001D41EA" w:rsidRDefault="00566EA9" w:rsidP="001D41EA">
            <w:pPr>
              <w:spacing w:before="40" w:after="40"/>
              <w:jc w:val="center"/>
              <w:rPr>
                <w:rFonts w:cs="Arial"/>
                <w:sz w:val="18"/>
                <w:szCs w:val="18"/>
              </w:rPr>
            </w:pPr>
            <w:r w:rsidRPr="001D41EA">
              <w:rPr>
                <w:rFonts w:cs="Arial"/>
                <w:sz w:val="18"/>
                <w:szCs w:val="18"/>
              </w:rPr>
              <w:t>1.214</w:t>
            </w:r>
          </w:p>
        </w:tc>
        <w:tc>
          <w:tcPr>
            <w:tcW w:w="1134" w:type="dxa"/>
            <w:tcBorders>
              <w:top w:val="nil"/>
              <w:left w:val="nil"/>
              <w:bottom w:val="nil"/>
              <w:right w:val="nil"/>
            </w:tcBorders>
            <w:vAlign w:val="bottom"/>
          </w:tcPr>
          <w:p w14:paraId="41DA9ECE" w14:textId="56ADEBBE" w:rsidR="00566EA9" w:rsidRPr="001D41EA" w:rsidRDefault="00566EA9" w:rsidP="001D41EA">
            <w:pPr>
              <w:spacing w:before="40" w:after="40"/>
              <w:jc w:val="center"/>
              <w:rPr>
                <w:rFonts w:cs="Arial"/>
                <w:sz w:val="18"/>
                <w:szCs w:val="18"/>
              </w:rPr>
            </w:pPr>
            <w:r w:rsidRPr="001D41EA">
              <w:rPr>
                <w:rFonts w:cs="Arial"/>
                <w:sz w:val="18"/>
                <w:szCs w:val="18"/>
              </w:rPr>
              <w:t>1.206</w:t>
            </w:r>
          </w:p>
        </w:tc>
        <w:tc>
          <w:tcPr>
            <w:tcW w:w="1134" w:type="dxa"/>
            <w:tcBorders>
              <w:top w:val="nil"/>
              <w:left w:val="nil"/>
              <w:bottom w:val="nil"/>
              <w:right w:val="nil"/>
            </w:tcBorders>
            <w:vAlign w:val="bottom"/>
          </w:tcPr>
          <w:p w14:paraId="1E6F609C" w14:textId="6939C305" w:rsidR="00566EA9" w:rsidRPr="001D41EA" w:rsidRDefault="00566EA9" w:rsidP="001D41EA">
            <w:pPr>
              <w:spacing w:before="40" w:after="40"/>
              <w:jc w:val="center"/>
              <w:rPr>
                <w:rFonts w:cs="Arial"/>
                <w:sz w:val="18"/>
                <w:szCs w:val="18"/>
              </w:rPr>
            </w:pPr>
            <w:r w:rsidRPr="001D41EA">
              <w:rPr>
                <w:rFonts w:cs="Arial"/>
                <w:sz w:val="18"/>
                <w:szCs w:val="18"/>
              </w:rPr>
              <w:t>1.209</w:t>
            </w:r>
          </w:p>
        </w:tc>
        <w:tc>
          <w:tcPr>
            <w:tcW w:w="1134" w:type="dxa"/>
            <w:tcBorders>
              <w:top w:val="nil"/>
              <w:left w:val="nil"/>
              <w:bottom w:val="nil"/>
              <w:right w:val="nil"/>
            </w:tcBorders>
            <w:vAlign w:val="bottom"/>
          </w:tcPr>
          <w:p w14:paraId="7B0B2557" w14:textId="67FB7F57" w:rsidR="00566EA9" w:rsidRPr="001D41EA" w:rsidRDefault="00566EA9" w:rsidP="001D41EA">
            <w:pPr>
              <w:spacing w:before="40" w:after="40"/>
              <w:jc w:val="center"/>
              <w:rPr>
                <w:rFonts w:cs="Arial"/>
                <w:sz w:val="18"/>
                <w:szCs w:val="18"/>
              </w:rPr>
            </w:pPr>
            <w:r w:rsidRPr="001D41EA">
              <w:rPr>
                <w:rFonts w:cs="Arial"/>
                <w:sz w:val="18"/>
                <w:szCs w:val="18"/>
              </w:rPr>
              <w:t>1.185</w:t>
            </w:r>
          </w:p>
        </w:tc>
      </w:tr>
      <w:tr w:rsidR="00566EA9" w:rsidRPr="001D41EA" w14:paraId="7FC2394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1C32C0D" w14:textId="77777777" w:rsidR="00566EA9" w:rsidRPr="001D41EA" w:rsidRDefault="00566EA9" w:rsidP="001D41EA">
            <w:pPr>
              <w:spacing w:before="40" w:after="40"/>
              <w:rPr>
                <w:rFonts w:cs="Arial"/>
                <w:sz w:val="18"/>
                <w:szCs w:val="18"/>
              </w:rPr>
            </w:pPr>
            <w:r w:rsidRPr="001D41EA">
              <w:rPr>
                <w:rFonts w:cs="Arial"/>
                <w:sz w:val="18"/>
                <w:szCs w:val="18"/>
              </w:rPr>
              <w:t>Kingston C</w:t>
            </w:r>
          </w:p>
        </w:tc>
        <w:tc>
          <w:tcPr>
            <w:tcW w:w="1134" w:type="dxa"/>
            <w:tcBorders>
              <w:top w:val="nil"/>
              <w:left w:val="single" w:sz="18" w:space="0" w:color="5F497A" w:themeColor="accent4" w:themeShade="BF"/>
              <w:bottom w:val="nil"/>
              <w:right w:val="nil"/>
            </w:tcBorders>
            <w:shd w:val="clear" w:color="auto" w:fill="auto"/>
            <w:vAlign w:val="bottom"/>
          </w:tcPr>
          <w:p w14:paraId="777DBEF8" w14:textId="3651155B" w:rsidR="00566EA9" w:rsidRPr="001D41EA" w:rsidRDefault="00566EA9" w:rsidP="001D41EA">
            <w:pPr>
              <w:spacing w:before="40" w:after="40"/>
              <w:jc w:val="center"/>
              <w:rPr>
                <w:rFonts w:cs="Arial"/>
                <w:sz w:val="18"/>
                <w:szCs w:val="18"/>
              </w:rPr>
            </w:pPr>
            <w:r w:rsidRPr="001D41EA">
              <w:rPr>
                <w:rFonts w:cs="Arial"/>
                <w:sz w:val="18"/>
                <w:szCs w:val="18"/>
              </w:rPr>
              <w:t>0.888</w:t>
            </w:r>
          </w:p>
        </w:tc>
        <w:tc>
          <w:tcPr>
            <w:tcW w:w="1134" w:type="dxa"/>
            <w:tcBorders>
              <w:top w:val="nil"/>
              <w:left w:val="nil"/>
              <w:bottom w:val="nil"/>
              <w:right w:val="nil"/>
            </w:tcBorders>
            <w:shd w:val="clear" w:color="auto" w:fill="auto"/>
            <w:vAlign w:val="bottom"/>
          </w:tcPr>
          <w:p w14:paraId="2E141E8A" w14:textId="5FAD1B59" w:rsidR="00566EA9" w:rsidRPr="001D41EA" w:rsidRDefault="00566EA9" w:rsidP="001D41EA">
            <w:pPr>
              <w:spacing w:before="40" w:after="40"/>
              <w:jc w:val="center"/>
              <w:rPr>
                <w:rFonts w:cs="Arial"/>
                <w:sz w:val="18"/>
                <w:szCs w:val="18"/>
              </w:rPr>
            </w:pPr>
            <w:r w:rsidRPr="001D41EA">
              <w:rPr>
                <w:rFonts w:cs="Arial"/>
                <w:sz w:val="18"/>
                <w:szCs w:val="18"/>
              </w:rPr>
              <w:t>0.879</w:t>
            </w:r>
          </w:p>
        </w:tc>
        <w:tc>
          <w:tcPr>
            <w:tcW w:w="170" w:type="dxa"/>
            <w:tcBorders>
              <w:top w:val="nil"/>
              <w:left w:val="nil"/>
              <w:bottom w:val="nil"/>
              <w:right w:val="nil"/>
            </w:tcBorders>
            <w:vAlign w:val="bottom"/>
          </w:tcPr>
          <w:p w14:paraId="54E46415" w14:textId="0ECF86CB"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58E04C33" w14:textId="0EFF16A0" w:rsidR="00566EA9" w:rsidRPr="001D41EA" w:rsidRDefault="00566EA9" w:rsidP="001D41EA">
            <w:pPr>
              <w:spacing w:before="40" w:after="40"/>
              <w:jc w:val="center"/>
              <w:rPr>
                <w:rFonts w:cs="Arial"/>
                <w:sz w:val="18"/>
                <w:szCs w:val="18"/>
              </w:rPr>
            </w:pPr>
            <w:r w:rsidRPr="001D41EA">
              <w:rPr>
                <w:rFonts w:cs="Arial"/>
                <w:sz w:val="18"/>
                <w:szCs w:val="18"/>
              </w:rPr>
              <w:t>0.885</w:t>
            </w:r>
          </w:p>
        </w:tc>
        <w:tc>
          <w:tcPr>
            <w:tcW w:w="1134" w:type="dxa"/>
            <w:tcBorders>
              <w:top w:val="nil"/>
              <w:left w:val="nil"/>
              <w:bottom w:val="nil"/>
              <w:right w:val="nil"/>
            </w:tcBorders>
            <w:vAlign w:val="bottom"/>
          </w:tcPr>
          <w:p w14:paraId="2FD820D0" w14:textId="6B13C42D" w:rsidR="00566EA9" w:rsidRPr="001D41EA" w:rsidRDefault="00566EA9" w:rsidP="001D41EA">
            <w:pPr>
              <w:spacing w:before="40" w:after="40"/>
              <w:jc w:val="center"/>
              <w:rPr>
                <w:rFonts w:cs="Arial"/>
                <w:sz w:val="18"/>
                <w:szCs w:val="18"/>
              </w:rPr>
            </w:pPr>
            <w:r w:rsidRPr="001D41EA">
              <w:rPr>
                <w:rFonts w:cs="Arial"/>
                <w:sz w:val="18"/>
                <w:szCs w:val="18"/>
              </w:rPr>
              <w:t>0.879</w:t>
            </w:r>
          </w:p>
        </w:tc>
        <w:tc>
          <w:tcPr>
            <w:tcW w:w="1134" w:type="dxa"/>
            <w:tcBorders>
              <w:top w:val="nil"/>
              <w:left w:val="nil"/>
              <w:bottom w:val="nil"/>
              <w:right w:val="nil"/>
            </w:tcBorders>
            <w:vAlign w:val="bottom"/>
          </w:tcPr>
          <w:p w14:paraId="1363B15D" w14:textId="7059DA32" w:rsidR="00566EA9" w:rsidRPr="001D41EA" w:rsidRDefault="00566EA9" w:rsidP="001D41EA">
            <w:pPr>
              <w:spacing w:before="40" w:after="40"/>
              <w:jc w:val="center"/>
              <w:rPr>
                <w:rFonts w:cs="Arial"/>
                <w:sz w:val="18"/>
                <w:szCs w:val="18"/>
              </w:rPr>
            </w:pPr>
            <w:r w:rsidRPr="001D41EA">
              <w:rPr>
                <w:rFonts w:cs="Arial"/>
                <w:sz w:val="18"/>
                <w:szCs w:val="18"/>
              </w:rPr>
              <w:t>0.881</w:t>
            </w:r>
          </w:p>
        </w:tc>
        <w:tc>
          <w:tcPr>
            <w:tcW w:w="1134" w:type="dxa"/>
            <w:tcBorders>
              <w:top w:val="nil"/>
              <w:left w:val="nil"/>
              <w:bottom w:val="nil"/>
              <w:right w:val="nil"/>
            </w:tcBorders>
            <w:vAlign w:val="bottom"/>
          </w:tcPr>
          <w:p w14:paraId="116F8EB4" w14:textId="4214A713" w:rsidR="00566EA9" w:rsidRPr="001D41EA" w:rsidRDefault="00566EA9" w:rsidP="001D41EA">
            <w:pPr>
              <w:spacing w:before="40" w:after="40"/>
              <w:jc w:val="center"/>
              <w:rPr>
                <w:rFonts w:cs="Arial"/>
                <w:sz w:val="18"/>
                <w:szCs w:val="18"/>
              </w:rPr>
            </w:pPr>
            <w:r w:rsidRPr="001D41EA">
              <w:rPr>
                <w:rFonts w:cs="Arial"/>
                <w:sz w:val="18"/>
                <w:szCs w:val="18"/>
              </w:rPr>
              <w:t>0.864</w:t>
            </w:r>
          </w:p>
        </w:tc>
      </w:tr>
      <w:tr w:rsidR="00566EA9" w:rsidRPr="001D41EA" w14:paraId="1BD30C6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91C20DF" w14:textId="77777777" w:rsidR="00566EA9" w:rsidRPr="001D41EA" w:rsidRDefault="00566EA9" w:rsidP="001D41EA">
            <w:pPr>
              <w:spacing w:before="40" w:after="40"/>
              <w:rPr>
                <w:rFonts w:cs="Arial"/>
                <w:sz w:val="18"/>
                <w:szCs w:val="18"/>
              </w:rPr>
            </w:pPr>
            <w:r w:rsidRPr="001D41EA">
              <w:rPr>
                <w:rFonts w:cs="Arial"/>
                <w:sz w:val="18"/>
                <w:szCs w:val="18"/>
              </w:rPr>
              <w:t>Knox C</w:t>
            </w:r>
          </w:p>
        </w:tc>
        <w:tc>
          <w:tcPr>
            <w:tcW w:w="1134" w:type="dxa"/>
            <w:tcBorders>
              <w:top w:val="nil"/>
              <w:left w:val="single" w:sz="18" w:space="0" w:color="5F497A" w:themeColor="accent4" w:themeShade="BF"/>
              <w:bottom w:val="nil"/>
              <w:right w:val="nil"/>
            </w:tcBorders>
            <w:shd w:val="clear" w:color="auto" w:fill="auto"/>
            <w:vAlign w:val="bottom"/>
          </w:tcPr>
          <w:p w14:paraId="27260153" w14:textId="2D5A67EF" w:rsidR="00566EA9" w:rsidRPr="001D41EA" w:rsidRDefault="00566EA9" w:rsidP="001D41EA">
            <w:pPr>
              <w:spacing w:before="40" w:after="40"/>
              <w:jc w:val="center"/>
              <w:rPr>
                <w:rFonts w:cs="Arial"/>
                <w:sz w:val="18"/>
                <w:szCs w:val="18"/>
              </w:rPr>
            </w:pPr>
            <w:r w:rsidRPr="001D41EA">
              <w:rPr>
                <w:rFonts w:cs="Arial"/>
                <w:sz w:val="18"/>
                <w:szCs w:val="18"/>
              </w:rPr>
              <w:t>0.875</w:t>
            </w:r>
          </w:p>
        </w:tc>
        <w:tc>
          <w:tcPr>
            <w:tcW w:w="1134" w:type="dxa"/>
            <w:tcBorders>
              <w:top w:val="nil"/>
              <w:left w:val="nil"/>
              <w:bottom w:val="nil"/>
              <w:right w:val="nil"/>
            </w:tcBorders>
            <w:shd w:val="clear" w:color="auto" w:fill="auto"/>
            <w:vAlign w:val="bottom"/>
          </w:tcPr>
          <w:p w14:paraId="780D9FB8" w14:textId="0052021C" w:rsidR="00566EA9" w:rsidRPr="001D41EA" w:rsidRDefault="00566EA9" w:rsidP="001D41EA">
            <w:pPr>
              <w:spacing w:before="40" w:after="40"/>
              <w:jc w:val="center"/>
              <w:rPr>
                <w:rFonts w:cs="Arial"/>
                <w:sz w:val="18"/>
                <w:szCs w:val="18"/>
              </w:rPr>
            </w:pPr>
            <w:r w:rsidRPr="001D41EA">
              <w:rPr>
                <w:rFonts w:cs="Arial"/>
                <w:sz w:val="18"/>
                <w:szCs w:val="18"/>
              </w:rPr>
              <w:t>0.866</w:t>
            </w:r>
          </w:p>
        </w:tc>
        <w:tc>
          <w:tcPr>
            <w:tcW w:w="170" w:type="dxa"/>
            <w:tcBorders>
              <w:top w:val="nil"/>
              <w:left w:val="nil"/>
              <w:bottom w:val="nil"/>
              <w:right w:val="nil"/>
            </w:tcBorders>
            <w:vAlign w:val="bottom"/>
          </w:tcPr>
          <w:p w14:paraId="3DB55C7E" w14:textId="1F5B54B9"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71AA10FB" w14:textId="6527AE2F" w:rsidR="00566EA9" w:rsidRPr="001D41EA" w:rsidRDefault="00566EA9" w:rsidP="001D41EA">
            <w:pPr>
              <w:spacing w:before="40" w:after="40"/>
              <w:jc w:val="center"/>
              <w:rPr>
                <w:rFonts w:cs="Arial"/>
                <w:sz w:val="18"/>
                <w:szCs w:val="18"/>
              </w:rPr>
            </w:pPr>
            <w:r w:rsidRPr="001D41EA">
              <w:rPr>
                <w:rFonts w:cs="Arial"/>
                <w:sz w:val="18"/>
                <w:szCs w:val="18"/>
              </w:rPr>
              <w:t>0.889</w:t>
            </w:r>
          </w:p>
        </w:tc>
        <w:tc>
          <w:tcPr>
            <w:tcW w:w="1134" w:type="dxa"/>
            <w:tcBorders>
              <w:top w:val="nil"/>
              <w:left w:val="nil"/>
              <w:bottom w:val="nil"/>
              <w:right w:val="nil"/>
            </w:tcBorders>
            <w:vAlign w:val="bottom"/>
          </w:tcPr>
          <w:p w14:paraId="245A6AC4" w14:textId="3E521BE4" w:rsidR="00566EA9" w:rsidRPr="001D41EA" w:rsidRDefault="00566EA9" w:rsidP="001D41EA">
            <w:pPr>
              <w:spacing w:before="40" w:after="4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4D784304" w14:textId="6F04C162" w:rsidR="00566EA9" w:rsidRPr="001D41EA" w:rsidRDefault="00566EA9" w:rsidP="001D41EA">
            <w:pPr>
              <w:spacing w:before="40" w:after="40"/>
              <w:jc w:val="center"/>
              <w:rPr>
                <w:rFonts w:cs="Arial"/>
                <w:sz w:val="18"/>
                <w:szCs w:val="18"/>
              </w:rPr>
            </w:pPr>
            <w:r w:rsidRPr="001D41EA">
              <w:rPr>
                <w:rFonts w:cs="Arial"/>
                <w:sz w:val="18"/>
                <w:szCs w:val="18"/>
              </w:rPr>
              <w:t>0.885</w:t>
            </w:r>
          </w:p>
        </w:tc>
        <w:tc>
          <w:tcPr>
            <w:tcW w:w="1134" w:type="dxa"/>
            <w:tcBorders>
              <w:top w:val="nil"/>
              <w:left w:val="nil"/>
              <w:bottom w:val="nil"/>
              <w:right w:val="nil"/>
            </w:tcBorders>
            <w:vAlign w:val="bottom"/>
          </w:tcPr>
          <w:p w14:paraId="3BBEA52A" w14:textId="247BB85A" w:rsidR="00566EA9" w:rsidRPr="001D41EA" w:rsidRDefault="00566EA9" w:rsidP="001D41EA">
            <w:pPr>
              <w:spacing w:before="40" w:after="40"/>
              <w:jc w:val="center"/>
              <w:rPr>
                <w:rFonts w:cs="Arial"/>
                <w:sz w:val="18"/>
                <w:szCs w:val="18"/>
              </w:rPr>
            </w:pPr>
            <w:r w:rsidRPr="001D41EA">
              <w:rPr>
                <w:rFonts w:cs="Arial"/>
                <w:sz w:val="18"/>
                <w:szCs w:val="18"/>
              </w:rPr>
              <w:t>0.867</w:t>
            </w:r>
          </w:p>
        </w:tc>
      </w:tr>
      <w:tr w:rsidR="00566EA9" w:rsidRPr="001D41EA" w14:paraId="7DF2CD9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A90BF71" w14:textId="77777777" w:rsidR="00566EA9" w:rsidRPr="001D41EA" w:rsidRDefault="00566EA9" w:rsidP="001D41EA">
            <w:pPr>
              <w:spacing w:before="40" w:after="40"/>
              <w:rPr>
                <w:rFonts w:cs="Arial"/>
                <w:sz w:val="18"/>
                <w:szCs w:val="18"/>
              </w:rPr>
            </w:pPr>
            <w:r w:rsidRPr="001D41EA">
              <w:rPr>
                <w:rFonts w:cs="Arial"/>
                <w:sz w:val="18"/>
                <w:szCs w:val="18"/>
              </w:rPr>
              <w:t>Latrobe C</w:t>
            </w:r>
          </w:p>
        </w:tc>
        <w:tc>
          <w:tcPr>
            <w:tcW w:w="1134" w:type="dxa"/>
            <w:tcBorders>
              <w:top w:val="nil"/>
              <w:left w:val="single" w:sz="18" w:space="0" w:color="5F497A" w:themeColor="accent4" w:themeShade="BF"/>
              <w:bottom w:val="nil"/>
              <w:right w:val="nil"/>
            </w:tcBorders>
            <w:shd w:val="clear" w:color="auto" w:fill="auto"/>
            <w:vAlign w:val="bottom"/>
          </w:tcPr>
          <w:p w14:paraId="6E0CFF9B" w14:textId="395C0FF7" w:rsidR="00566EA9" w:rsidRPr="001D41EA" w:rsidRDefault="00566EA9" w:rsidP="001D41EA">
            <w:pPr>
              <w:spacing w:before="40" w:after="40"/>
              <w:jc w:val="center"/>
              <w:rPr>
                <w:rFonts w:cs="Arial"/>
                <w:sz w:val="18"/>
                <w:szCs w:val="18"/>
              </w:rPr>
            </w:pPr>
            <w:r w:rsidRPr="001D41EA">
              <w:rPr>
                <w:rFonts w:cs="Arial"/>
                <w:sz w:val="18"/>
                <w:szCs w:val="18"/>
              </w:rPr>
              <w:t>1.267</w:t>
            </w:r>
          </w:p>
        </w:tc>
        <w:tc>
          <w:tcPr>
            <w:tcW w:w="1134" w:type="dxa"/>
            <w:tcBorders>
              <w:top w:val="nil"/>
              <w:left w:val="nil"/>
              <w:bottom w:val="nil"/>
              <w:right w:val="nil"/>
            </w:tcBorders>
            <w:shd w:val="clear" w:color="auto" w:fill="auto"/>
            <w:vAlign w:val="bottom"/>
          </w:tcPr>
          <w:p w14:paraId="03B6C7F0" w14:textId="1BDD4435" w:rsidR="00566EA9" w:rsidRPr="001D41EA" w:rsidRDefault="00566EA9" w:rsidP="001D41EA">
            <w:pPr>
              <w:spacing w:before="40" w:after="40"/>
              <w:jc w:val="center"/>
              <w:rPr>
                <w:rFonts w:cs="Arial"/>
                <w:sz w:val="18"/>
                <w:szCs w:val="18"/>
              </w:rPr>
            </w:pPr>
            <w:r w:rsidRPr="001D41EA">
              <w:rPr>
                <w:rFonts w:cs="Arial"/>
                <w:sz w:val="18"/>
                <w:szCs w:val="18"/>
              </w:rPr>
              <w:t>1.254</w:t>
            </w:r>
          </w:p>
        </w:tc>
        <w:tc>
          <w:tcPr>
            <w:tcW w:w="170" w:type="dxa"/>
            <w:tcBorders>
              <w:top w:val="nil"/>
              <w:left w:val="nil"/>
              <w:bottom w:val="nil"/>
              <w:right w:val="nil"/>
            </w:tcBorders>
            <w:vAlign w:val="bottom"/>
          </w:tcPr>
          <w:p w14:paraId="1620E196" w14:textId="1D37C4BD"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067AEF18" w14:textId="128E780E" w:rsidR="00566EA9" w:rsidRPr="001D41EA" w:rsidRDefault="00566EA9" w:rsidP="001D41EA">
            <w:pPr>
              <w:spacing w:before="40" w:after="40"/>
              <w:jc w:val="center"/>
              <w:rPr>
                <w:rFonts w:cs="Arial"/>
                <w:sz w:val="18"/>
                <w:szCs w:val="18"/>
              </w:rPr>
            </w:pPr>
            <w:r w:rsidRPr="001D41EA">
              <w:rPr>
                <w:rFonts w:cs="Arial"/>
                <w:sz w:val="18"/>
                <w:szCs w:val="18"/>
              </w:rPr>
              <w:t>0.969</w:t>
            </w:r>
          </w:p>
        </w:tc>
        <w:tc>
          <w:tcPr>
            <w:tcW w:w="1134" w:type="dxa"/>
            <w:tcBorders>
              <w:top w:val="nil"/>
              <w:left w:val="nil"/>
              <w:bottom w:val="nil"/>
              <w:right w:val="nil"/>
            </w:tcBorders>
            <w:vAlign w:val="bottom"/>
          </w:tcPr>
          <w:p w14:paraId="353316A7" w14:textId="7EA0598B" w:rsidR="00566EA9" w:rsidRPr="001D41EA" w:rsidRDefault="00566EA9" w:rsidP="001D41EA">
            <w:pPr>
              <w:spacing w:before="40" w:after="40"/>
              <w:jc w:val="center"/>
              <w:rPr>
                <w:rFonts w:cs="Arial"/>
                <w:sz w:val="18"/>
                <w:szCs w:val="18"/>
              </w:rPr>
            </w:pPr>
            <w:r w:rsidRPr="001D41EA">
              <w:rPr>
                <w:rFonts w:cs="Arial"/>
                <w:sz w:val="18"/>
                <w:szCs w:val="18"/>
              </w:rPr>
              <w:t>0.962</w:t>
            </w:r>
          </w:p>
        </w:tc>
        <w:tc>
          <w:tcPr>
            <w:tcW w:w="1134" w:type="dxa"/>
            <w:tcBorders>
              <w:top w:val="nil"/>
              <w:left w:val="nil"/>
              <w:bottom w:val="nil"/>
              <w:right w:val="nil"/>
            </w:tcBorders>
            <w:vAlign w:val="bottom"/>
          </w:tcPr>
          <w:p w14:paraId="0794750F" w14:textId="68982CFE" w:rsidR="00566EA9" w:rsidRPr="001D41EA" w:rsidRDefault="00566EA9" w:rsidP="001D41EA">
            <w:pPr>
              <w:spacing w:before="40" w:after="40"/>
              <w:jc w:val="center"/>
              <w:rPr>
                <w:rFonts w:cs="Arial"/>
                <w:sz w:val="18"/>
                <w:szCs w:val="18"/>
              </w:rPr>
            </w:pPr>
            <w:r w:rsidRPr="001D41EA">
              <w:rPr>
                <w:rFonts w:cs="Arial"/>
                <w:sz w:val="18"/>
                <w:szCs w:val="18"/>
              </w:rPr>
              <w:t>0.965</w:t>
            </w:r>
          </w:p>
        </w:tc>
        <w:tc>
          <w:tcPr>
            <w:tcW w:w="1134" w:type="dxa"/>
            <w:tcBorders>
              <w:top w:val="nil"/>
              <w:left w:val="nil"/>
              <w:bottom w:val="nil"/>
              <w:right w:val="nil"/>
            </w:tcBorders>
            <w:vAlign w:val="bottom"/>
          </w:tcPr>
          <w:p w14:paraId="03F8E195" w14:textId="31030416" w:rsidR="00566EA9" w:rsidRPr="001D41EA" w:rsidRDefault="00566EA9" w:rsidP="001D41EA">
            <w:pPr>
              <w:spacing w:before="40" w:after="40"/>
              <w:jc w:val="center"/>
              <w:rPr>
                <w:rFonts w:cs="Arial"/>
                <w:sz w:val="18"/>
                <w:szCs w:val="18"/>
              </w:rPr>
            </w:pPr>
            <w:r w:rsidRPr="001D41EA">
              <w:rPr>
                <w:rFonts w:cs="Arial"/>
                <w:sz w:val="18"/>
                <w:szCs w:val="18"/>
              </w:rPr>
              <w:t>0.946</w:t>
            </w:r>
          </w:p>
        </w:tc>
      </w:tr>
      <w:tr w:rsidR="00566EA9" w:rsidRPr="001D41EA" w14:paraId="7BECA61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6C63076" w14:textId="77777777" w:rsidR="00566EA9" w:rsidRPr="001D41EA" w:rsidRDefault="00566EA9" w:rsidP="001D41EA">
            <w:pPr>
              <w:spacing w:before="40" w:after="40"/>
              <w:rPr>
                <w:rFonts w:cs="Arial"/>
                <w:sz w:val="18"/>
                <w:szCs w:val="18"/>
              </w:rPr>
            </w:pPr>
            <w:r w:rsidRPr="001D41EA">
              <w:rPr>
                <w:rFonts w:cs="Arial"/>
                <w:sz w:val="18"/>
                <w:szCs w:val="18"/>
              </w:rPr>
              <w:t>Loddon S</w:t>
            </w:r>
          </w:p>
        </w:tc>
        <w:tc>
          <w:tcPr>
            <w:tcW w:w="1134" w:type="dxa"/>
            <w:tcBorders>
              <w:top w:val="nil"/>
              <w:left w:val="single" w:sz="18" w:space="0" w:color="5F497A" w:themeColor="accent4" w:themeShade="BF"/>
              <w:bottom w:val="nil"/>
              <w:right w:val="nil"/>
            </w:tcBorders>
            <w:shd w:val="clear" w:color="auto" w:fill="auto"/>
            <w:vAlign w:val="bottom"/>
          </w:tcPr>
          <w:p w14:paraId="5C3DFC9A" w14:textId="5BC0847A" w:rsidR="00566EA9" w:rsidRPr="001D41EA" w:rsidRDefault="00566EA9" w:rsidP="001D41EA">
            <w:pPr>
              <w:spacing w:before="40" w:after="40"/>
              <w:jc w:val="center"/>
              <w:rPr>
                <w:rFonts w:cs="Arial"/>
                <w:sz w:val="18"/>
                <w:szCs w:val="18"/>
              </w:rPr>
            </w:pPr>
            <w:r w:rsidRPr="001D41EA">
              <w:rPr>
                <w:rFonts w:cs="Arial"/>
                <w:sz w:val="18"/>
                <w:szCs w:val="18"/>
              </w:rPr>
              <w:t>1.230</w:t>
            </w:r>
          </w:p>
        </w:tc>
        <w:tc>
          <w:tcPr>
            <w:tcW w:w="1134" w:type="dxa"/>
            <w:tcBorders>
              <w:top w:val="nil"/>
              <w:left w:val="nil"/>
              <w:bottom w:val="nil"/>
              <w:right w:val="nil"/>
            </w:tcBorders>
            <w:shd w:val="clear" w:color="auto" w:fill="auto"/>
            <w:vAlign w:val="bottom"/>
          </w:tcPr>
          <w:p w14:paraId="511082B3" w14:textId="03A716EA" w:rsidR="00566EA9" w:rsidRPr="001D41EA" w:rsidRDefault="00566EA9" w:rsidP="001D41EA">
            <w:pPr>
              <w:spacing w:before="40" w:after="40"/>
              <w:jc w:val="center"/>
              <w:rPr>
                <w:rFonts w:cs="Arial"/>
                <w:sz w:val="18"/>
                <w:szCs w:val="18"/>
              </w:rPr>
            </w:pPr>
            <w:r w:rsidRPr="001D41EA">
              <w:rPr>
                <w:rFonts w:cs="Arial"/>
                <w:sz w:val="18"/>
                <w:szCs w:val="18"/>
              </w:rPr>
              <w:t>1.218</w:t>
            </w:r>
          </w:p>
        </w:tc>
        <w:tc>
          <w:tcPr>
            <w:tcW w:w="170" w:type="dxa"/>
            <w:tcBorders>
              <w:top w:val="nil"/>
              <w:left w:val="nil"/>
              <w:bottom w:val="nil"/>
              <w:right w:val="nil"/>
            </w:tcBorders>
            <w:vAlign w:val="bottom"/>
          </w:tcPr>
          <w:p w14:paraId="0172F64E" w14:textId="0F367926" w:rsidR="00566EA9" w:rsidRPr="001D41EA" w:rsidRDefault="00566EA9" w:rsidP="001D41EA">
            <w:pPr>
              <w:spacing w:before="40" w:after="40"/>
              <w:jc w:val="center"/>
              <w:rPr>
                <w:rFonts w:cs="Arial"/>
                <w:sz w:val="18"/>
                <w:szCs w:val="18"/>
              </w:rPr>
            </w:pPr>
          </w:p>
        </w:tc>
        <w:tc>
          <w:tcPr>
            <w:tcW w:w="1134" w:type="dxa"/>
            <w:tcBorders>
              <w:top w:val="nil"/>
              <w:left w:val="nil"/>
              <w:bottom w:val="nil"/>
              <w:right w:val="nil"/>
            </w:tcBorders>
            <w:vAlign w:val="bottom"/>
          </w:tcPr>
          <w:p w14:paraId="325FC9AE" w14:textId="3C26B346" w:rsidR="00566EA9" w:rsidRPr="001D41EA" w:rsidRDefault="00566EA9" w:rsidP="001D41EA">
            <w:pPr>
              <w:spacing w:before="40" w:after="40"/>
              <w:jc w:val="center"/>
              <w:rPr>
                <w:rFonts w:cs="Arial"/>
                <w:sz w:val="18"/>
                <w:szCs w:val="18"/>
              </w:rPr>
            </w:pPr>
            <w:r w:rsidRPr="001D41EA">
              <w:rPr>
                <w:rFonts w:cs="Arial"/>
                <w:sz w:val="18"/>
                <w:szCs w:val="18"/>
              </w:rPr>
              <w:t>1.118</w:t>
            </w:r>
          </w:p>
        </w:tc>
        <w:tc>
          <w:tcPr>
            <w:tcW w:w="1134" w:type="dxa"/>
            <w:tcBorders>
              <w:top w:val="nil"/>
              <w:left w:val="nil"/>
              <w:bottom w:val="nil"/>
              <w:right w:val="nil"/>
            </w:tcBorders>
            <w:vAlign w:val="bottom"/>
          </w:tcPr>
          <w:p w14:paraId="1FC8ECA9" w14:textId="33B85AF9" w:rsidR="00566EA9" w:rsidRPr="001D41EA" w:rsidRDefault="00566EA9" w:rsidP="001D41EA">
            <w:pPr>
              <w:spacing w:before="40" w:after="40"/>
              <w:jc w:val="center"/>
              <w:rPr>
                <w:rFonts w:cs="Arial"/>
                <w:sz w:val="18"/>
                <w:szCs w:val="18"/>
              </w:rPr>
            </w:pPr>
            <w:r w:rsidRPr="001D41EA">
              <w:rPr>
                <w:rFonts w:cs="Arial"/>
                <w:sz w:val="18"/>
                <w:szCs w:val="18"/>
              </w:rPr>
              <w:t>1.111</w:t>
            </w:r>
          </w:p>
        </w:tc>
        <w:tc>
          <w:tcPr>
            <w:tcW w:w="1134" w:type="dxa"/>
            <w:tcBorders>
              <w:top w:val="nil"/>
              <w:left w:val="nil"/>
              <w:bottom w:val="nil"/>
              <w:right w:val="nil"/>
            </w:tcBorders>
            <w:vAlign w:val="bottom"/>
          </w:tcPr>
          <w:p w14:paraId="02EDC095" w14:textId="4286D46E" w:rsidR="00566EA9" w:rsidRPr="001D41EA" w:rsidRDefault="00566EA9" w:rsidP="001D41EA">
            <w:pPr>
              <w:spacing w:before="40" w:after="40"/>
              <w:jc w:val="center"/>
              <w:rPr>
                <w:rFonts w:cs="Arial"/>
                <w:sz w:val="18"/>
                <w:szCs w:val="18"/>
              </w:rPr>
            </w:pPr>
            <w:r w:rsidRPr="001D41EA">
              <w:rPr>
                <w:rFonts w:cs="Arial"/>
                <w:sz w:val="18"/>
                <w:szCs w:val="18"/>
              </w:rPr>
              <w:t>1.113</w:t>
            </w:r>
          </w:p>
        </w:tc>
        <w:tc>
          <w:tcPr>
            <w:tcW w:w="1134" w:type="dxa"/>
            <w:tcBorders>
              <w:top w:val="nil"/>
              <w:left w:val="nil"/>
              <w:bottom w:val="nil"/>
              <w:right w:val="nil"/>
            </w:tcBorders>
            <w:vAlign w:val="bottom"/>
          </w:tcPr>
          <w:p w14:paraId="7A2BC334" w14:textId="49904EDC" w:rsidR="00566EA9" w:rsidRPr="001D41EA" w:rsidRDefault="00566EA9" w:rsidP="001D41EA">
            <w:pPr>
              <w:spacing w:before="40" w:after="40"/>
              <w:jc w:val="center"/>
              <w:rPr>
                <w:rFonts w:cs="Arial"/>
                <w:sz w:val="18"/>
                <w:szCs w:val="18"/>
              </w:rPr>
            </w:pPr>
            <w:r w:rsidRPr="001D41EA">
              <w:rPr>
                <w:rFonts w:cs="Arial"/>
                <w:sz w:val="18"/>
                <w:szCs w:val="18"/>
              </w:rPr>
              <w:t>1.091</w:t>
            </w:r>
          </w:p>
        </w:tc>
      </w:tr>
    </w:tbl>
    <w:p w14:paraId="40AD0D96" w14:textId="2B91F397" w:rsidR="00AE0591" w:rsidRDefault="00AE0591" w:rsidP="00FF36E8">
      <w:pPr>
        <w:spacing w:before="40" w:after="20"/>
        <w:rPr>
          <w:rFonts w:cs="Arial"/>
          <w:sz w:val="18"/>
          <w:szCs w:val="18"/>
        </w:rPr>
      </w:pPr>
    </w:p>
    <w:p w14:paraId="193A9FC1" w14:textId="790F75EB" w:rsidR="005D19CF" w:rsidRDefault="005D19CF" w:rsidP="00FF36E8">
      <w:pPr>
        <w:spacing w:before="40" w:after="20"/>
        <w:rPr>
          <w:rFonts w:cs="Arial"/>
          <w:sz w:val="18"/>
          <w:szCs w:val="18"/>
        </w:rPr>
      </w:pPr>
    </w:p>
    <w:p w14:paraId="61DDF4DD" w14:textId="77777777" w:rsidR="005D19CF" w:rsidRPr="00A44829" w:rsidRDefault="005D19CF" w:rsidP="00FF36E8">
      <w:pPr>
        <w:spacing w:before="40" w:after="20"/>
        <w:rPr>
          <w:rFonts w:cs="Arial"/>
          <w:sz w:val="18"/>
          <w:szCs w:val="18"/>
        </w:rPr>
      </w:pPr>
    </w:p>
    <w:p w14:paraId="2C62B9E6" w14:textId="6188A739" w:rsidR="00A009D7" w:rsidRPr="00A44829" w:rsidRDefault="00A009D7" w:rsidP="00FF36E8">
      <w:pPr>
        <w:spacing w:before="40" w:after="20"/>
        <w:rPr>
          <w:rFonts w:cs="Arial"/>
          <w:sz w:val="18"/>
          <w:szCs w:val="18"/>
        </w:rPr>
      </w:pPr>
      <w:r w:rsidRPr="005D19CF">
        <w:rPr>
          <w:rFonts w:cs="Arial"/>
          <w:i/>
          <w:sz w:val="16"/>
          <w:szCs w:val="16"/>
        </w:rPr>
        <w:t xml:space="preserve">* Modified Population - adjusted by </w:t>
      </w:r>
      <w:r w:rsidR="005D19CF">
        <w:rPr>
          <w:rFonts w:cs="Arial"/>
          <w:i/>
          <w:sz w:val="16"/>
          <w:szCs w:val="16"/>
        </w:rPr>
        <w:t>half</w:t>
      </w:r>
      <w:r w:rsidRPr="005D19CF">
        <w:rPr>
          <w:rFonts w:cs="Arial"/>
          <w:i/>
          <w:sz w:val="16"/>
          <w:szCs w:val="16"/>
        </w:rPr>
        <w:t xml:space="preserve"> vacancy rate to take account of part-time residents.</w:t>
      </w:r>
      <w:r w:rsidRPr="00A44829">
        <w:rPr>
          <w:rFonts w:cs="Arial"/>
          <w:i/>
          <w:sz w:val="16"/>
          <w:szCs w:val="16"/>
        </w:rPr>
        <w:t xml:space="preserve">  </w:t>
      </w:r>
    </w:p>
    <w:p w14:paraId="49EEFAC0" w14:textId="77777777" w:rsidR="00961975" w:rsidRPr="00A44829" w:rsidRDefault="00961975" w:rsidP="00FF36E8">
      <w:pPr>
        <w:spacing w:before="40" w:after="20"/>
        <w:rPr>
          <w:rFonts w:cs="Arial"/>
          <w:sz w:val="18"/>
          <w:szCs w:val="18"/>
        </w:rPr>
      </w:pPr>
      <w:r w:rsidRPr="00A44829">
        <w:rPr>
          <w:rFonts w:cs="Arial"/>
          <w:sz w:val="18"/>
          <w:szCs w:val="18"/>
        </w:rPr>
        <w:br w:type="page"/>
      </w:r>
    </w:p>
    <w:p w14:paraId="7016679F" w14:textId="5FA7C8D7" w:rsidR="00961975" w:rsidRPr="00A44829" w:rsidRDefault="00CE4507" w:rsidP="00C33713">
      <w:pPr>
        <w:pStyle w:val="VGC-Head10"/>
      </w:pPr>
      <w:r w:rsidRPr="00A44829">
        <w:lastRenderedPageBreak/>
        <w:t>Appendix 4</w:t>
      </w:r>
      <w:r w:rsidR="004A3F14" w:rsidRPr="00A44829">
        <w:tab/>
      </w:r>
      <w:r w:rsidR="00EE4593" w:rsidRPr="00A44829">
        <w:t>2019-20</w:t>
      </w:r>
      <w:r w:rsidR="00A97ABE" w:rsidRPr="00A44829">
        <w:t xml:space="preserve"> </w:t>
      </w:r>
      <w:r w:rsidR="00961975" w:rsidRPr="00A44829">
        <w:t xml:space="preserve">General Purpose Grants </w:t>
      </w:r>
    </w:p>
    <w:p w14:paraId="269230BB" w14:textId="7B9D9BDC" w:rsidR="00961975" w:rsidRPr="00A44829" w:rsidRDefault="00961975" w:rsidP="008C1A28">
      <w:pPr>
        <w:pStyle w:val="VGC-Head2"/>
      </w:pPr>
      <w:r w:rsidRPr="00A44829">
        <w:t xml:space="preserve">D.  Cost Adjustors - </w:t>
      </w:r>
      <w:r w:rsidR="002A2397">
        <w:t>Index</w:t>
      </w:r>
    </w:p>
    <w:tbl>
      <w:tblPr>
        <w:tblW w:w="9755" w:type="dxa"/>
        <w:tblInd w:w="78" w:type="dxa"/>
        <w:tblLayout w:type="fixed"/>
        <w:tblCellMar>
          <w:left w:w="0" w:type="dxa"/>
          <w:right w:w="0" w:type="dxa"/>
        </w:tblCellMar>
        <w:tblLook w:val="0000" w:firstRow="0" w:lastRow="0" w:firstColumn="0" w:lastColumn="0" w:noHBand="0" w:noVBand="0"/>
      </w:tblPr>
      <w:tblGrid>
        <w:gridCol w:w="2268"/>
        <w:gridCol w:w="1021"/>
        <w:gridCol w:w="170"/>
        <w:gridCol w:w="1021"/>
        <w:gridCol w:w="1021"/>
        <w:gridCol w:w="1021"/>
        <w:gridCol w:w="1021"/>
        <w:gridCol w:w="1021"/>
        <w:gridCol w:w="170"/>
        <w:gridCol w:w="1021"/>
      </w:tblGrid>
      <w:tr w:rsidR="009E2B93" w:rsidRPr="00A44829" w14:paraId="1820E51A" w14:textId="77777777" w:rsidTr="009E2B93">
        <w:tc>
          <w:tcPr>
            <w:tcW w:w="2268" w:type="dxa"/>
            <w:tcBorders>
              <w:top w:val="nil"/>
              <w:left w:val="nil"/>
              <w:bottom w:val="nil"/>
              <w:right w:val="single" w:sz="18" w:space="0" w:color="5F497A" w:themeColor="accent4" w:themeShade="BF"/>
            </w:tcBorders>
            <w:shd w:val="clear" w:color="auto" w:fill="auto"/>
            <w:vAlign w:val="bottom"/>
          </w:tcPr>
          <w:p w14:paraId="0C2DA075" w14:textId="77777777" w:rsidR="009E2B93" w:rsidRPr="00A44829" w:rsidRDefault="009E2B93" w:rsidP="00576338">
            <w:pPr>
              <w:spacing w:before="40" w:after="20"/>
              <w:ind w:right="105"/>
              <w:jc w:val="right"/>
              <w:rPr>
                <w:rFonts w:cs="Arial"/>
                <w:b/>
                <w:sz w:val="18"/>
                <w:szCs w:val="18"/>
              </w:rPr>
            </w:pPr>
            <w:r w:rsidRPr="00A44829">
              <w:rPr>
                <w:rFonts w:cs="Arial"/>
                <w:b/>
                <w:sz w:val="18"/>
                <w:szCs w:val="18"/>
              </w:rPr>
              <w:t>Cost Adjustor</w:t>
            </w:r>
          </w:p>
        </w:tc>
        <w:tc>
          <w:tcPr>
            <w:tcW w:w="1021" w:type="dxa"/>
            <w:tcBorders>
              <w:top w:val="nil"/>
              <w:left w:val="single" w:sz="18" w:space="0" w:color="5F497A" w:themeColor="accent4" w:themeShade="BF"/>
              <w:bottom w:val="single" w:sz="8" w:space="0" w:color="5F497A" w:themeColor="accent4" w:themeShade="BF"/>
            </w:tcBorders>
            <w:shd w:val="clear" w:color="auto" w:fill="auto"/>
            <w:vAlign w:val="bottom"/>
          </w:tcPr>
          <w:p w14:paraId="4D7151CA" w14:textId="77777777" w:rsidR="009E2B93" w:rsidRPr="00A44829" w:rsidRDefault="009E2B93" w:rsidP="008001AD">
            <w:pPr>
              <w:spacing w:before="40" w:after="20"/>
              <w:jc w:val="center"/>
              <w:rPr>
                <w:rFonts w:cs="Arial"/>
                <w:b/>
                <w:sz w:val="18"/>
                <w:szCs w:val="18"/>
              </w:rPr>
            </w:pPr>
            <w:r w:rsidRPr="00A44829">
              <w:rPr>
                <w:rFonts w:cs="Arial"/>
                <w:b/>
                <w:sz w:val="18"/>
                <w:szCs w:val="18"/>
              </w:rPr>
              <w:t xml:space="preserve">Aged </w:t>
            </w:r>
            <w:r w:rsidRPr="00A44829">
              <w:rPr>
                <w:rFonts w:cs="Arial"/>
                <w:b/>
                <w:sz w:val="18"/>
                <w:szCs w:val="18"/>
              </w:rPr>
              <w:br/>
              <w:t>Pensioners</w:t>
            </w:r>
          </w:p>
        </w:tc>
        <w:tc>
          <w:tcPr>
            <w:tcW w:w="170" w:type="dxa"/>
            <w:vMerge w:val="restart"/>
            <w:tcBorders>
              <w:top w:val="nil"/>
              <w:left w:val="nil"/>
              <w:bottom w:val="single" w:sz="8" w:space="0" w:color="5F497A" w:themeColor="accent4" w:themeShade="BF"/>
              <w:right w:val="nil"/>
            </w:tcBorders>
            <w:shd w:val="clear" w:color="auto" w:fill="auto"/>
            <w:vAlign w:val="bottom"/>
          </w:tcPr>
          <w:p w14:paraId="0F5B8F72" w14:textId="77777777" w:rsidR="009E2B93" w:rsidRPr="00A44829" w:rsidRDefault="009E2B93" w:rsidP="008001AD">
            <w:pPr>
              <w:spacing w:before="40" w:after="20"/>
              <w:jc w:val="center"/>
              <w:rPr>
                <w:rFonts w:cs="Arial"/>
                <w:b/>
                <w:sz w:val="18"/>
                <w:szCs w:val="18"/>
              </w:rPr>
            </w:pPr>
          </w:p>
        </w:tc>
        <w:tc>
          <w:tcPr>
            <w:tcW w:w="5105" w:type="dxa"/>
            <w:gridSpan w:val="5"/>
            <w:tcBorders>
              <w:top w:val="nil"/>
              <w:left w:val="nil"/>
              <w:bottom w:val="single" w:sz="8" w:space="0" w:color="5F497A" w:themeColor="accent4" w:themeShade="BF"/>
              <w:right w:val="nil"/>
            </w:tcBorders>
            <w:vAlign w:val="bottom"/>
          </w:tcPr>
          <w:p w14:paraId="469AD2D1" w14:textId="1955453D" w:rsidR="009E2B93" w:rsidRPr="00A44829" w:rsidRDefault="009E2B93" w:rsidP="008001AD">
            <w:pPr>
              <w:spacing w:before="40" w:after="20"/>
              <w:jc w:val="center"/>
              <w:rPr>
                <w:rFonts w:cs="Arial"/>
                <w:b/>
                <w:sz w:val="18"/>
                <w:szCs w:val="18"/>
              </w:rPr>
            </w:pPr>
            <w:r w:rsidRPr="00A44829">
              <w:rPr>
                <w:rFonts w:cs="Arial"/>
                <w:b/>
                <w:sz w:val="18"/>
                <w:szCs w:val="18"/>
              </w:rPr>
              <w:t>Economies of Scale</w:t>
            </w:r>
          </w:p>
        </w:tc>
        <w:tc>
          <w:tcPr>
            <w:tcW w:w="170" w:type="dxa"/>
            <w:vMerge w:val="restart"/>
            <w:tcBorders>
              <w:top w:val="nil"/>
              <w:left w:val="nil"/>
              <w:bottom w:val="single" w:sz="8" w:space="0" w:color="5F497A" w:themeColor="accent4" w:themeShade="BF"/>
              <w:right w:val="nil"/>
            </w:tcBorders>
            <w:vAlign w:val="center"/>
          </w:tcPr>
          <w:p w14:paraId="3C9683ED" w14:textId="77777777" w:rsidR="009E2B93" w:rsidRPr="00A44829" w:rsidRDefault="009E2B93" w:rsidP="008001AD">
            <w:pPr>
              <w:spacing w:before="40" w:after="20"/>
              <w:jc w:val="center"/>
              <w:rPr>
                <w:rFonts w:cs="Arial"/>
                <w:b/>
                <w:sz w:val="18"/>
                <w:szCs w:val="18"/>
              </w:rPr>
            </w:pPr>
          </w:p>
        </w:tc>
        <w:tc>
          <w:tcPr>
            <w:tcW w:w="1021" w:type="dxa"/>
            <w:tcBorders>
              <w:top w:val="nil"/>
              <w:left w:val="nil"/>
              <w:bottom w:val="single" w:sz="8" w:space="0" w:color="5F497A" w:themeColor="accent4" w:themeShade="BF"/>
              <w:right w:val="nil"/>
            </w:tcBorders>
          </w:tcPr>
          <w:p w14:paraId="754FF96E" w14:textId="3E8A9B76" w:rsidR="009E2B93" w:rsidRPr="00A44829" w:rsidRDefault="009E2B93" w:rsidP="008001AD">
            <w:pPr>
              <w:spacing w:before="40" w:after="20"/>
              <w:jc w:val="center"/>
              <w:rPr>
                <w:rFonts w:cs="Arial"/>
                <w:b/>
                <w:sz w:val="18"/>
                <w:szCs w:val="18"/>
              </w:rPr>
            </w:pPr>
            <w:r w:rsidRPr="00A44829">
              <w:rPr>
                <w:rFonts w:cs="Arial"/>
                <w:b/>
                <w:sz w:val="18"/>
                <w:szCs w:val="18"/>
              </w:rPr>
              <w:t xml:space="preserve">Environ-mental Risk </w:t>
            </w:r>
            <w:r w:rsidRPr="00A44829">
              <w:rPr>
                <w:rFonts w:cs="Arial"/>
                <w:b/>
                <w:sz w:val="14"/>
                <w:szCs w:val="14"/>
              </w:rPr>
              <w:t>(Fire &amp; Flood)</w:t>
            </w:r>
            <w:r w:rsidRPr="00A44829">
              <w:rPr>
                <w:rFonts w:cs="Arial"/>
                <w:b/>
                <w:sz w:val="18"/>
                <w:szCs w:val="18"/>
              </w:rPr>
              <w:t xml:space="preserve"> </w:t>
            </w:r>
          </w:p>
        </w:tc>
      </w:tr>
      <w:tr w:rsidR="009E2B93" w:rsidRPr="00A44829" w14:paraId="5CCEC262" w14:textId="77777777" w:rsidTr="009E2B93">
        <w:tc>
          <w:tcPr>
            <w:tcW w:w="2268" w:type="dxa"/>
            <w:tcBorders>
              <w:top w:val="nil"/>
              <w:left w:val="nil"/>
              <w:bottom w:val="nil"/>
              <w:right w:val="single" w:sz="18" w:space="0" w:color="5F497A" w:themeColor="accent4" w:themeShade="BF"/>
            </w:tcBorders>
            <w:shd w:val="clear" w:color="auto" w:fill="auto"/>
            <w:vAlign w:val="bottom"/>
          </w:tcPr>
          <w:p w14:paraId="4101DEE7" w14:textId="77777777" w:rsidR="009E2B93" w:rsidRPr="005D19CF" w:rsidRDefault="009E2B93" w:rsidP="00576338">
            <w:pPr>
              <w:spacing w:before="40" w:after="20"/>
              <w:ind w:right="105"/>
              <w:jc w:val="right"/>
              <w:rPr>
                <w:rFonts w:cs="Arial"/>
                <w:b/>
                <w:sz w:val="16"/>
                <w:szCs w:val="16"/>
              </w:rPr>
            </w:pPr>
            <w:r w:rsidRPr="005D19CF">
              <w:rPr>
                <w:rFonts w:cs="Arial"/>
                <w:b/>
                <w:sz w:val="16"/>
                <w:szCs w:val="16"/>
              </w:rPr>
              <w:t>Major Cost Driver</w:t>
            </w:r>
          </w:p>
        </w:tc>
        <w:tc>
          <w:tcPr>
            <w:tcW w:w="102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7FD11031" w14:textId="77777777" w:rsidR="009E2B93" w:rsidRPr="005D19CF" w:rsidRDefault="009E2B93" w:rsidP="008001AD">
            <w:pPr>
              <w:spacing w:before="40" w:after="20"/>
              <w:jc w:val="center"/>
              <w:rPr>
                <w:rFonts w:cs="Arial"/>
                <w:sz w:val="16"/>
                <w:szCs w:val="16"/>
              </w:rPr>
            </w:pPr>
            <w:r w:rsidRPr="005D19CF">
              <w:rPr>
                <w:rFonts w:cs="Arial"/>
                <w:sz w:val="16"/>
                <w:szCs w:val="16"/>
              </w:rPr>
              <w:t xml:space="preserve">Population </w:t>
            </w:r>
            <w:r w:rsidRPr="005D19CF">
              <w:rPr>
                <w:rFonts w:cs="Arial"/>
                <w:sz w:val="16"/>
                <w:szCs w:val="16"/>
              </w:rPr>
              <w:br/>
              <w:t>&gt; 60 years</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1267248F" w14:textId="77777777" w:rsidR="009E2B93" w:rsidRPr="005D19CF" w:rsidRDefault="009E2B93" w:rsidP="008001AD">
            <w:pPr>
              <w:spacing w:before="40" w:after="20"/>
              <w:jc w:val="center"/>
              <w:rPr>
                <w:rFonts w:cs="Arial"/>
                <w:sz w:val="16"/>
                <w:szCs w:val="16"/>
              </w:rPr>
            </w:pPr>
          </w:p>
        </w:tc>
        <w:tc>
          <w:tcPr>
            <w:tcW w:w="1021"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19F24610" w14:textId="77777777" w:rsidR="009E2B93" w:rsidRPr="005D19CF" w:rsidRDefault="009E2B93" w:rsidP="008001AD">
            <w:pPr>
              <w:spacing w:before="40" w:after="20"/>
              <w:jc w:val="center"/>
              <w:rPr>
                <w:rFonts w:cs="Arial"/>
                <w:sz w:val="16"/>
                <w:szCs w:val="16"/>
              </w:rPr>
            </w:pPr>
            <w:r w:rsidRPr="005D19CF">
              <w:rPr>
                <w:rFonts w:cs="Arial"/>
                <w:sz w:val="16"/>
                <w:szCs w:val="16"/>
              </w:rPr>
              <w:t>Population</w:t>
            </w:r>
          </w:p>
        </w:tc>
        <w:tc>
          <w:tcPr>
            <w:tcW w:w="1021" w:type="dxa"/>
            <w:tcBorders>
              <w:top w:val="single" w:sz="8" w:space="0" w:color="5F497A" w:themeColor="accent4" w:themeShade="BF"/>
              <w:left w:val="nil"/>
              <w:bottom w:val="single" w:sz="8" w:space="0" w:color="5F497A" w:themeColor="accent4" w:themeShade="BF"/>
              <w:right w:val="nil"/>
            </w:tcBorders>
            <w:vAlign w:val="bottom"/>
          </w:tcPr>
          <w:p w14:paraId="7E768B8E" w14:textId="52984A49" w:rsidR="009E2B93" w:rsidRPr="005D19CF" w:rsidRDefault="009E2B93" w:rsidP="005D04BF">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15,000)</w:t>
            </w:r>
          </w:p>
        </w:tc>
        <w:tc>
          <w:tcPr>
            <w:tcW w:w="1021" w:type="dxa"/>
            <w:tcBorders>
              <w:top w:val="single" w:sz="8" w:space="0" w:color="5F497A" w:themeColor="accent4" w:themeShade="BF"/>
              <w:left w:val="nil"/>
              <w:bottom w:val="single" w:sz="8" w:space="0" w:color="5F497A" w:themeColor="accent4" w:themeShade="BF"/>
              <w:right w:val="nil"/>
            </w:tcBorders>
            <w:vAlign w:val="bottom"/>
          </w:tcPr>
          <w:p w14:paraId="24D4CC2F" w14:textId="77F50258" w:rsidR="009E2B93" w:rsidRPr="005D19CF" w:rsidRDefault="009E2B93" w:rsidP="005D04BF">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20,000)</w:t>
            </w:r>
          </w:p>
        </w:tc>
        <w:tc>
          <w:tcPr>
            <w:tcW w:w="1021" w:type="dxa"/>
            <w:tcBorders>
              <w:top w:val="single" w:sz="8" w:space="0" w:color="5F497A" w:themeColor="accent4" w:themeShade="BF"/>
              <w:left w:val="nil"/>
              <w:bottom w:val="single" w:sz="8" w:space="0" w:color="5F497A" w:themeColor="accent4" w:themeShade="BF"/>
              <w:right w:val="nil"/>
            </w:tcBorders>
          </w:tcPr>
          <w:p w14:paraId="3C9F488A" w14:textId="494C4734" w:rsidR="009E2B93" w:rsidRPr="005D19CF" w:rsidRDefault="009E2B93" w:rsidP="008001AD">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(no min)</w:t>
            </w:r>
          </w:p>
        </w:tc>
        <w:tc>
          <w:tcPr>
            <w:tcW w:w="1021"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12A9FBD2" w14:textId="552D0ED8" w:rsidR="009E2B93" w:rsidRPr="005D19CF" w:rsidRDefault="009E2B93" w:rsidP="008001AD">
            <w:pPr>
              <w:spacing w:before="40" w:after="20"/>
              <w:jc w:val="center"/>
              <w:rPr>
                <w:rFonts w:cs="Arial"/>
                <w:sz w:val="16"/>
                <w:szCs w:val="16"/>
              </w:rPr>
            </w:pPr>
            <w:r w:rsidRPr="005D19CF">
              <w:rPr>
                <w:rFonts w:cs="Arial"/>
                <w:sz w:val="16"/>
                <w:szCs w:val="16"/>
              </w:rPr>
              <w:t xml:space="preserve">No. of </w:t>
            </w:r>
            <w:r w:rsidRPr="005D19CF">
              <w:rPr>
                <w:rFonts w:cs="Arial"/>
                <w:sz w:val="16"/>
                <w:szCs w:val="16"/>
              </w:rPr>
              <w:br/>
              <w:t>Dwellings</w:t>
            </w:r>
          </w:p>
        </w:tc>
        <w:tc>
          <w:tcPr>
            <w:tcW w:w="170" w:type="dxa"/>
            <w:vMerge/>
            <w:tcBorders>
              <w:top w:val="single" w:sz="8" w:space="0" w:color="5F497A" w:themeColor="accent4" w:themeShade="BF"/>
              <w:left w:val="nil"/>
              <w:bottom w:val="single" w:sz="8" w:space="0" w:color="5F497A" w:themeColor="accent4" w:themeShade="BF"/>
              <w:right w:val="nil"/>
            </w:tcBorders>
          </w:tcPr>
          <w:p w14:paraId="1E2E6B7A" w14:textId="77777777" w:rsidR="009E2B93" w:rsidRPr="005D19CF" w:rsidRDefault="009E2B93" w:rsidP="008001AD">
            <w:pPr>
              <w:spacing w:before="40" w:after="20"/>
              <w:jc w:val="center"/>
              <w:rPr>
                <w:rFonts w:cs="Arial"/>
                <w:sz w:val="16"/>
                <w:szCs w:val="16"/>
              </w:rPr>
            </w:pPr>
          </w:p>
        </w:tc>
        <w:tc>
          <w:tcPr>
            <w:tcW w:w="1021" w:type="dxa"/>
            <w:tcBorders>
              <w:top w:val="single" w:sz="8" w:space="0" w:color="5F497A" w:themeColor="accent4" w:themeShade="BF"/>
              <w:left w:val="nil"/>
              <w:bottom w:val="single" w:sz="8" w:space="0" w:color="5F497A" w:themeColor="accent4" w:themeShade="BF"/>
              <w:right w:val="nil"/>
            </w:tcBorders>
          </w:tcPr>
          <w:p w14:paraId="75DDE608" w14:textId="62BB37E8" w:rsidR="009E2B93" w:rsidRPr="00A44829" w:rsidRDefault="009E2B93" w:rsidP="008001AD">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15,000)</w:t>
            </w:r>
          </w:p>
        </w:tc>
      </w:tr>
      <w:tr w:rsidR="00566EA9" w:rsidRPr="001D41EA" w14:paraId="0FA96BD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303FEA6" w14:textId="77777777" w:rsidR="00566EA9" w:rsidRPr="001D41EA" w:rsidRDefault="00566EA9" w:rsidP="001D41EA">
            <w:pPr>
              <w:spacing w:before="40" w:after="20"/>
              <w:rPr>
                <w:rFonts w:cs="Arial"/>
                <w:sz w:val="18"/>
                <w:szCs w:val="18"/>
              </w:rPr>
            </w:pPr>
          </w:p>
        </w:tc>
        <w:tc>
          <w:tcPr>
            <w:tcW w:w="102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4B4CE000" w14:textId="0C01D36B" w:rsidR="00566EA9" w:rsidRPr="001D41EA" w:rsidRDefault="00566EA9" w:rsidP="001D41EA">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shd w:val="clear" w:color="auto" w:fill="auto"/>
            <w:vAlign w:val="bottom"/>
          </w:tcPr>
          <w:p w14:paraId="5F3A3498" w14:textId="138825FB" w:rsidR="00566EA9" w:rsidRPr="001D41EA" w:rsidRDefault="00566EA9" w:rsidP="001D41EA">
            <w:pPr>
              <w:spacing w:before="40" w:after="20"/>
              <w:jc w:val="center"/>
              <w:rPr>
                <w:rFonts w:cs="Arial"/>
                <w:sz w:val="18"/>
                <w:szCs w:val="18"/>
              </w:rPr>
            </w:pPr>
          </w:p>
        </w:tc>
        <w:tc>
          <w:tcPr>
            <w:tcW w:w="1021" w:type="dxa"/>
            <w:tcBorders>
              <w:top w:val="single" w:sz="8" w:space="0" w:color="5F497A" w:themeColor="accent4" w:themeShade="BF"/>
              <w:left w:val="nil"/>
              <w:bottom w:val="nil"/>
              <w:right w:val="nil"/>
            </w:tcBorders>
            <w:vAlign w:val="bottom"/>
          </w:tcPr>
          <w:p w14:paraId="57009ED5" w14:textId="3D1871F5" w:rsidR="00566EA9" w:rsidRPr="001D41EA" w:rsidRDefault="00566EA9" w:rsidP="001D41EA">
            <w:pPr>
              <w:spacing w:before="40" w:after="20"/>
              <w:jc w:val="center"/>
              <w:rPr>
                <w:rFonts w:cs="Arial"/>
                <w:sz w:val="18"/>
                <w:szCs w:val="18"/>
              </w:rPr>
            </w:pPr>
          </w:p>
        </w:tc>
        <w:tc>
          <w:tcPr>
            <w:tcW w:w="1021" w:type="dxa"/>
            <w:tcBorders>
              <w:top w:val="single" w:sz="8" w:space="0" w:color="5F497A" w:themeColor="accent4" w:themeShade="BF"/>
              <w:left w:val="nil"/>
              <w:bottom w:val="nil"/>
              <w:right w:val="nil"/>
            </w:tcBorders>
            <w:vAlign w:val="bottom"/>
          </w:tcPr>
          <w:p w14:paraId="4DDA35A2" w14:textId="77777777" w:rsidR="00566EA9" w:rsidRPr="001D41EA" w:rsidRDefault="00566EA9" w:rsidP="001D41EA">
            <w:pPr>
              <w:spacing w:before="40" w:after="20"/>
              <w:jc w:val="center"/>
              <w:rPr>
                <w:rFonts w:cs="Arial"/>
                <w:sz w:val="18"/>
                <w:szCs w:val="18"/>
              </w:rPr>
            </w:pPr>
          </w:p>
        </w:tc>
        <w:tc>
          <w:tcPr>
            <w:tcW w:w="1021" w:type="dxa"/>
            <w:tcBorders>
              <w:top w:val="single" w:sz="8" w:space="0" w:color="5F497A" w:themeColor="accent4" w:themeShade="BF"/>
              <w:left w:val="nil"/>
              <w:bottom w:val="nil"/>
              <w:right w:val="nil"/>
            </w:tcBorders>
            <w:vAlign w:val="bottom"/>
          </w:tcPr>
          <w:p w14:paraId="4748630A" w14:textId="77777777" w:rsidR="00566EA9" w:rsidRPr="001D41EA" w:rsidRDefault="00566EA9" w:rsidP="001D41EA">
            <w:pPr>
              <w:spacing w:before="40" w:after="20"/>
              <w:jc w:val="center"/>
              <w:rPr>
                <w:rFonts w:cs="Arial"/>
                <w:sz w:val="18"/>
                <w:szCs w:val="18"/>
              </w:rPr>
            </w:pPr>
          </w:p>
        </w:tc>
        <w:tc>
          <w:tcPr>
            <w:tcW w:w="1021" w:type="dxa"/>
            <w:tcBorders>
              <w:top w:val="single" w:sz="8" w:space="0" w:color="5F497A" w:themeColor="accent4" w:themeShade="BF"/>
              <w:left w:val="nil"/>
              <w:bottom w:val="nil"/>
              <w:right w:val="nil"/>
            </w:tcBorders>
            <w:vAlign w:val="bottom"/>
          </w:tcPr>
          <w:p w14:paraId="587C8252" w14:textId="77777777" w:rsidR="00566EA9" w:rsidRPr="001D41EA" w:rsidRDefault="00566EA9" w:rsidP="001D41EA">
            <w:pPr>
              <w:spacing w:before="40" w:after="20"/>
              <w:jc w:val="center"/>
              <w:rPr>
                <w:rFonts w:cs="Arial"/>
                <w:sz w:val="18"/>
                <w:szCs w:val="18"/>
              </w:rPr>
            </w:pPr>
          </w:p>
        </w:tc>
        <w:tc>
          <w:tcPr>
            <w:tcW w:w="1021" w:type="dxa"/>
            <w:tcBorders>
              <w:top w:val="single" w:sz="8" w:space="0" w:color="5F497A" w:themeColor="accent4" w:themeShade="BF"/>
              <w:left w:val="nil"/>
              <w:bottom w:val="nil"/>
              <w:right w:val="nil"/>
            </w:tcBorders>
            <w:vAlign w:val="bottom"/>
          </w:tcPr>
          <w:p w14:paraId="3F0C52A5" w14:textId="45AEA854" w:rsidR="00566EA9" w:rsidRPr="001D41EA" w:rsidRDefault="00566EA9" w:rsidP="001D41EA">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56CB5FE1" w14:textId="6DD8A5C8" w:rsidR="00566EA9" w:rsidRPr="001D41EA" w:rsidRDefault="00566EA9" w:rsidP="001D41EA">
            <w:pPr>
              <w:spacing w:before="40" w:after="20"/>
              <w:jc w:val="center"/>
              <w:rPr>
                <w:rFonts w:cs="Arial"/>
                <w:sz w:val="18"/>
                <w:szCs w:val="18"/>
              </w:rPr>
            </w:pPr>
          </w:p>
        </w:tc>
        <w:tc>
          <w:tcPr>
            <w:tcW w:w="1021" w:type="dxa"/>
            <w:tcBorders>
              <w:top w:val="single" w:sz="8" w:space="0" w:color="5F497A" w:themeColor="accent4" w:themeShade="BF"/>
              <w:left w:val="nil"/>
              <w:bottom w:val="nil"/>
              <w:right w:val="nil"/>
            </w:tcBorders>
            <w:vAlign w:val="bottom"/>
          </w:tcPr>
          <w:p w14:paraId="532A0FB5" w14:textId="2B5CEB6F" w:rsidR="00566EA9" w:rsidRPr="001D41EA" w:rsidRDefault="00566EA9" w:rsidP="001D41EA">
            <w:pPr>
              <w:spacing w:before="40" w:after="20"/>
              <w:jc w:val="center"/>
              <w:rPr>
                <w:rFonts w:cs="Arial"/>
                <w:sz w:val="18"/>
                <w:szCs w:val="18"/>
              </w:rPr>
            </w:pPr>
          </w:p>
        </w:tc>
      </w:tr>
      <w:tr w:rsidR="00566EA9" w:rsidRPr="001D41EA" w14:paraId="03E5B63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19B162E" w14:textId="77777777" w:rsidR="00566EA9" w:rsidRPr="001D41EA" w:rsidRDefault="00566EA9" w:rsidP="001D41EA">
            <w:pPr>
              <w:spacing w:before="40" w:after="20"/>
              <w:rPr>
                <w:rFonts w:cs="Arial"/>
                <w:sz w:val="18"/>
                <w:szCs w:val="18"/>
              </w:rPr>
            </w:pPr>
            <w:r w:rsidRPr="001D41EA">
              <w:rPr>
                <w:rFonts w:cs="Arial"/>
                <w:sz w:val="18"/>
                <w:szCs w:val="18"/>
              </w:rPr>
              <w:t>Macedon Ranges S</w:t>
            </w:r>
          </w:p>
        </w:tc>
        <w:tc>
          <w:tcPr>
            <w:tcW w:w="1021" w:type="dxa"/>
            <w:tcBorders>
              <w:top w:val="nil"/>
              <w:left w:val="single" w:sz="18" w:space="0" w:color="5F497A" w:themeColor="accent4" w:themeShade="BF"/>
              <w:bottom w:val="nil"/>
              <w:right w:val="nil"/>
            </w:tcBorders>
            <w:shd w:val="clear" w:color="auto" w:fill="auto"/>
            <w:vAlign w:val="bottom"/>
          </w:tcPr>
          <w:p w14:paraId="65AEE54F" w14:textId="393F9849" w:rsidR="00566EA9" w:rsidRPr="001D41EA" w:rsidRDefault="00566EA9" w:rsidP="001D41EA">
            <w:pPr>
              <w:spacing w:before="40" w:after="20"/>
              <w:jc w:val="center"/>
              <w:rPr>
                <w:rFonts w:cs="Arial"/>
                <w:sz w:val="18"/>
                <w:szCs w:val="18"/>
              </w:rPr>
            </w:pPr>
            <w:r w:rsidRPr="001D41EA">
              <w:rPr>
                <w:rFonts w:cs="Arial"/>
                <w:sz w:val="18"/>
                <w:szCs w:val="18"/>
              </w:rPr>
              <w:t>0.966</w:t>
            </w:r>
          </w:p>
        </w:tc>
        <w:tc>
          <w:tcPr>
            <w:tcW w:w="170" w:type="dxa"/>
            <w:tcBorders>
              <w:top w:val="nil"/>
              <w:left w:val="nil"/>
              <w:bottom w:val="nil"/>
              <w:right w:val="nil"/>
            </w:tcBorders>
            <w:shd w:val="clear" w:color="auto" w:fill="auto"/>
            <w:vAlign w:val="bottom"/>
          </w:tcPr>
          <w:p w14:paraId="019FF89F" w14:textId="563FA1D1"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711194F8" w14:textId="57C1F64B" w:rsidR="00566EA9" w:rsidRPr="001D41EA" w:rsidRDefault="00566EA9" w:rsidP="001D41EA">
            <w:pPr>
              <w:spacing w:before="40" w:after="20"/>
              <w:jc w:val="center"/>
              <w:rPr>
                <w:rFonts w:cs="Arial"/>
                <w:sz w:val="18"/>
                <w:szCs w:val="18"/>
              </w:rPr>
            </w:pPr>
            <w:r w:rsidRPr="001D41EA">
              <w:rPr>
                <w:rFonts w:cs="Arial"/>
                <w:sz w:val="18"/>
                <w:szCs w:val="18"/>
              </w:rPr>
              <w:t>1.198</w:t>
            </w:r>
          </w:p>
        </w:tc>
        <w:tc>
          <w:tcPr>
            <w:tcW w:w="1021" w:type="dxa"/>
            <w:tcBorders>
              <w:top w:val="nil"/>
              <w:left w:val="nil"/>
              <w:bottom w:val="nil"/>
              <w:right w:val="nil"/>
            </w:tcBorders>
            <w:vAlign w:val="bottom"/>
          </w:tcPr>
          <w:p w14:paraId="4A8CEA8D" w14:textId="471289EA" w:rsidR="00566EA9" w:rsidRPr="001D41EA" w:rsidRDefault="00566EA9" w:rsidP="001D41EA">
            <w:pPr>
              <w:spacing w:before="40" w:after="20"/>
              <w:jc w:val="center"/>
              <w:rPr>
                <w:rFonts w:cs="Arial"/>
                <w:sz w:val="18"/>
                <w:szCs w:val="18"/>
              </w:rPr>
            </w:pPr>
            <w:r w:rsidRPr="001D41EA">
              <w:rPr>
                <w:rFonts w:cs="Arial"/>
                <w:sz w:val="18"/>
                <w:szCs w:val="18"/>
              </w:rPr>
              <w:t>1.192</w:t>
            </w:r>
          </w:p>
        </w:tc>
        <w:tc>
          <w:tcPr>
            <w:tcW w:w="1021" w:type="dxa"/>
            <w:tcBorders>
              <w:top w:val="nil"/>
              <w:left w:val="nil"/>
              <w:bottom w:val="nil"/>
              <w:right w:val="nil"/>
            </w:tcBorders>
            <w:vAlign w:val="bottom"/>
          </w:tcPr>
          <w:p w14:paraId="1B0EFD5D" w14:textId="2D41BAB7" w:rsidR="00566EA9" w:rsidRPr="001D41EA" w:rsidRDefault="00566EA9" w:rsidP="001D41EA">
            <w:pPr>
              <w:spacing w:before="40" w:after="20"/>
              <w:jc w:val="center"/>
              <w:rPr>
                <w:rFonts w:cs="Arial"/>
                <w:sz w:val="18"/>
                <w:szCs w:val="18"/>
              </w:rPr>
            </w:pPr>
            <w:r w:rsidRPr="001D41EA">
              <w:rPr>
                <w:rFonts w:cs="Arial"/>
                <w:sz w:val="18"/>
                <w:szCs w:val="18"/>
              </w:rPr>
              <w:t>1.187</w:t>
            </w:r>
          </w:p>
        </w:tc>
        <w:tc>
          <w:tcPr>
            <w:tcW w:w="1021" w:type="dxa"/>
            <w:tcBorders>
              <w:top w:val="nil"/>
              <w:left w:val="nil"/>
              <w:bottom w:val="nil"/>
              <w:right w:val="nil"/>
            </w:tcBorders>
            <w:vAlign w:val="bottom"/>
          </w:tcPr>
          <w:p w14:paraId="11E43EC9" w14:textId="4DA4B6C0" w:rsidR="00566EA9" w:rsidRPr="001D41EA" w:rsidRDefault="00566EA9" w:rsidP="001D41EA">
            <w:pPr>
              <w:spacing w:before="40" w:after="20"/>
              <w:jc w:val="center"/>
              <w:rPr>
                <w:rFonts w:cs="Arial"/>
                <w:sz w:val="18"/>
                <w:szCs w:val="18"/>
              </w:rPr>
            </w:pPr>
            <w:r w:rsidRPr="001D41EA">
              <w:rPr>
                <w:rFonts w:cs="Arial"/>
                <w:sz w:val="18"/>
                <w:szCs w:val="18"/>
              </w:rPr>
              <w:t>1.197</w:t>
            </w:r>
          </w:p>
        </w:tc>
        <w:tc>
          <w:tcPr>
            <w:tcW w:w="1021" w:type="dxa"/>
            <w:tcBorders>
              <w:top w:val="nil"/>
              <w:left w:val="nil"/>
              <w:bottom w:val="nil"/>
              <w:right w:val="nil"/>
            </w:tcBorders>
            <w:vAlign w:val="bottom"/>
          </w:tcPr>
          <w:p w14:paraId="291A9FF8" w14:textId="4303CD66" w:rsidR="00566EA9" w:rsidRPr="001D41EA" w:rsidRDefault="00566EA9" w:rsidP="001D41EA">
            <w:pPr>
              <w:spacing w:before="40" w:after="20"/>
              <w:jc w:val="center"/>
              <w:rPr>
                <w:rFonts w:cs="Arial"/>
                <w:sz w:val="18"/>
                <w:szCs w:val="18"/>
              </w:rPr>
            </w:pPr>
            <w:r w:rsidRPr="001D41EA">
              <w:rPr>
                <w:rFonts w:cs="Arial"/>
                <w:sz w:val="18"/>
                <w:szCs w:val="18"/>
              </w:rPr>
              <w:t>1.181</w:t>
            </w:r>
          </w:p>
        </w:tc>
        <w:tc>
          <w:tcPr>
            <w:tcW w:w="170" w:type="dxa"/>
            <w:tcBorders>
              <w:top w:val="nil"/>
              <w:left w:val="nil"/>
              <w:bottom w:val="nil"/>
              <w:right w:val="nil"/>
            </w:tcBorders>
            <w:vAlign w:val="bottom"/>
          </w:tcPr>
          <w:p w14:paraId="7D77B5FF" w14:textId="26C0CBE1"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748DEDB9" w14:textId="016F2A5E" w:rsidR="00566EA9" w:rsidRPr="001D41EA" w:rsidRDefault="00566EA9" w:rsidP="001D41EA">
            <w:pPr>
              <w:spacing w:before="40" w:after="20"/>
              <w:jc w:val="center"/>
              <w:rPr>
                <w:rFonts w:cs="Arial"/>
                <w:sz w:val="18"/>
                <w:szCs w:val="18"/>
              </w:rPr>
            </w:pPr>
            <w:r w:rsidRPr="001D41EA">
              <w:rPr>
                <w:rFonts w:cs="Arial"/>
                <w:sz w:val="18"/>
                <w:szCs w:val="18"/>
              </w:rPr>
              <w:t>1.250</w:t>
            </w:r>
          </w:p>
        </w:tc>
      </w:tr>
      <w:tr w:rsidR="00566EA9" w:rsidRPr="001D41EA" w14:paraId="2A69551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E8D0885" w14:textId="77777777" w:rsidR="00566EA9" w:rsidRPr="001D41EA" w:rsidRDefault="00566EA9" w:rsidP="001D41EA">
            <w:pPr>
              <w:spacing w:before="40" w:after="20"/>
              <w:rPr>
                <w:rFonts w:cs="Arial"/>
                <w:sz w:val="18"/>
                <w:szCs w:val="18"/>
              </w:rPr>
            </w:pPr>
            <w:r w:rsidRPr="001D41EA">
              <w:rPr>
                <w:rFonts w:cs="Arial"/>
                <w:sz w:val="18"/>
                <w:szCs w:val="18"/>
              </w:rPr>
              <w:t>Manningham C</w:t>
            </w:r>
          </w:p>
        </w:tc>
        <w:tc>
          <w:tcPr>
            <w:tcW w:w="1021" w:type="dxa"/>
            <w:tcBorders>
              <w:top w:val="nil"/>
              <w:left w:val="single" w:sz="18" w:space="0" w:color="5F497A" w:themeColor="accent4" w:themeShade="BF"/>
              <w:bottom w:val="nil"/>
              <w:right w:val="nil"/>
            </w:tcBorders>
            <w:shd w:val="clear" w:color="auto" w:fill="auto"/>
            <w:vAlign w:val="bottom"/>
          </w:tcPr>
          <w:p w14:paraId="238C9F4C" w14:textId="20B90256" w:rsidR="00566EA9" w:rsidRPr="001D41EA" w:rsidRDefault="00566EA9" w:rsidP="001D41EA">
            <w:pPr>
              <w:spacing w:before="40" w:after="20"/>
              <w:jc w:val="center"/>
              <w:rPr>
                <w:rFonts w:cs="Arial"/>
                <w:sz w:val="18"/>
                <w:szCs w:val="18"/>
              </w:rPr>
            </w:pPr>
            <w:r w:rsidRPr="001D41EA">
              <w:rPr>
                <w:rFonts w:cs="Arial"/>
                <w:sz w:val="18"/>
                <w:szCs w:val="18"/>
              </w:rPr>
              <w:t>0.961</w:t>
            </w:r>
          </w:p>
        </w:tc>
        <w:tc>
          <w:tcPr>
            <w:tcW w:w="170" w:type="dxa"/>
            <w:tcBorders>
              <w:top w:val="nil"/>
              <w:left w:val="nil"/>
              <w:bottom w:val="nil"/>
              <w:right w:val="nil"/>
            </w:tcBorders>
            <w:shd w:val="clear" w:color="auto" w:fill="auto"/>
            <w:vAlign w:val="bottom"/>
          </w:tcPr>
          <w:p w14:paraId="64C7FD4D" w14:textId="5C1939F7"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674D52E1" w14:textId="749B5AD5" w:rsidR="00566EA9" w:rsidRPr="001D41EA" w:rsidRDefault="00566EA9" w:rsidP="001D41EA">
            <w:pPr>
              <w:spacing w:before="40" w:after="20"/>
              <w:jc w:val="center"/>
              <w:rPr>
                <w:rFonts w:cs="Arial"/>
                <w:sz w:val="18"/>
                <w:szCs w:val="18"/>
              </w:rPr>
            </w:pPr>
            <w:r w:rsidRPr="001D41EA">
              <w:rPr>
                <w:rFonts w:cs="Arial"/>
                <w:sz w:val="18"/>
                <w:szCs w:val="18"/>
              </w:rPr>
              <w:t>1.053</w:t>
            </w:r>
          </w:p>
        </w:tc>
        <w:tc>
          <w:tcPr>
            <w:tcW w:w="1021" w:type="dxa"/>
            <w:tcBorders>
              <w:top w:val="nil"/>
              <w:left w:val="nil"/>
              <w:bottom w:val="nil"/>
              <w:right w:val="nil"/>
            </w:tcBorders>
            <w:vAlign w:val="bottom"/>
          </w:tcPr>
          <w:p w14:paraId="1C716EC3" w14:textId="06F88E90" w:rsidR="00566EA9" w:rsidRPr="001D41EA" w:rsidRDefault="00566EA9" w:rsidP="001D41EA">
            <w:pPr>
              <w:spacing w:before="40" w:after="20"/>
              <w:jc w:val="center"/>
              <w:rPr>
                <w:rFonts w:cs="Arial"/>
                <w:sz w:val="18"/>
                <w:szCs w:val="18"/>
              </w:rPr>
            </w:pPr>
            <w:r w:rsidRPr="001D41EA">
              <w:rPr>
                <w:rFonts w:cs="Arial"/>
                <w:sz w:val="18"/>
                <w:szCs w:val="18"/>
              </w:rPr>
              <w:t>1.048</w:t>
            </w:r>
          </w:p>
        </w:tc>
        <w:tc>
          <w:tcPr>
            <w:tcW w:w="1021" w:type="dxa"/>
            <w:tcBorders>
              <w:top w:val="nil"/>
              <w:left w:val="nil"/>
              <w:bottom w:val="nil"/>
              <w:right w:val="nil"/>
            </w:tcBorders>
            <w:vAlign w:val="bottom"/>
          </w:tcPr>
          <w:p w14:paraId="46B2ED54" w14:textId="0881D8D9" w:rsidR="00566EA9" w:rsidRPr="001D41EA" w:rsidRDefault="00566EA9" w:rsidP="001D41EA">
            <w:pPr>
              <w:spacing w:before="40" w:after="20"/>
              <w:jc w:val="center"/>
              <w:rPr>
                <w:rFonts w:cs="Arial"/>
                <w:sz w:val="18"/>
                <w:szCs w:val="18"/>
              </w:rPr>
            </w:pPr>
            <w:r w:rsidRPr="001D41EA">
              <w:rPr>
                <w:rFonts w:cs="Arial"/>
                <w:sz w:val="18"/>
                <w:szCs w:val="18"/>
              </w:rPr>
              <w:t>1.043</w:t>
            </w:r>
          </w:p>
        </w:tc>
        <w:tc>
          <w:tcPr>
            <w:tcW w:w="1021" w:type="dxa"/>
            <w:tcBorders>
              <w:top w:val="nil"/>
              <w:left w:val="nil"/>
              <w:bottom w:val="nil"/>
              <w:right w:val="nil"/>
            </w:tcBorders>
            <w:vAlign w:val="bottom"/>
          </w:tcPr>
          <w:p w14:paraId="24CF1212" w14:textId="7868A896" w:rsidR="00566EA9" w:rsidRPr="001D41EA" w:rsidRDefault="00566EA9" w:rsidP="001D41EA">
            <w:pPr>
              <w:spacing w:before="40" w:after="20"/>
              <w:jc w:val="center"/>
              <w:rPr>
                <w:rFonts w:cs="Arial"/>
                <w:sz w:val="18"/>
                <w:szCs w:val="18"/>
              </w:rPr>
            </w:pPr>
            <w:r w:rsidRPr="001D41EA">
              <w:rPr>
                <w:rFonts w:cs="Arial"/>
                <w:sz w:val="18"/>
                <w:szCs w:val="18"/>
              </w:rPr>
              <w:t>1.052</w:t>
            </w:r>
          </w:p>
        </w:tc>
        <w:tc>
          <w:tcPr>
            <w:tcW w:w="1021" w:type="dxa"/>
            <w:tcBorders>
              <w:top w:val="nil"/>
              <w:left w:val="nil"/>
              <w:bottom w:val="nil"/>
              <w:right w:val="nil"/>
            </w:tcBorders>
            <w:vAlign w:val="bottom"/>
          </w:tcPr>
          <w:p w14:paraId="59479C16" w14:textId="621885B1" w:rsidR="00566EA9" w:rsidRPr="001D41EA" w:rsidRDefault="00566EA9" w:rsidP="001D41EA">
            <w:pPr>
              <w:spacing w:before="40" w:after="20"/>
              <w:jc w:val="center"/>
              <w:rPr>
                <w:rFonts w:cs="Arial"/>
                <w:sz w:val="18"/>
                <w:szCs w:val="18"/>
              </w:rPr>
            </w:pPr>
            <w:r w:rsidRPr="001D41EA">
              <w:rPr>
                <w:rFonts w:cs="Arial"/>
                <w:sz w:val="18"/>
                <w:szCs w:val="18"/>
              </w:rPr>
              <w:t>1.038</w:t>
            </w:r>
          </w:p>
        </w:tc>
        <w:tc>
          <w:tcPr>
            <w:tcW w:w="170" w:type="dxa"/>
            <w:tcBorders>
              <w:top w:val="nil"/>
              <w:left w:val="nil"/>
              <w:bottom w:val="nil"/>
              <w:right w:val="nil"/>
            </w:tcBorders>
            <w:vAlign w:val="bottom"/>
          </w:tcPr>
          <w:p w14:paraId="2B3BD967" w14:textId="4D5A4650"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320FFCFD" w14:textId="2B620021" w:rsidR="00566EA9" w:rsidRPr="001D41EA" w:rsidRDefault="00566EA9" w:rsidP="001D41EA">
            <w:pPr>
              <w:spacing w:before="40" w:after="20"/>
              <w:jc w:val="center"/>
              <w:rPr>
                <w:rFonts w:cs="Arial"/>
                <w:sz w:val="18"/>
                <w:szCs w:val="18"/>
              </w:rPr>
            </w:pPr>
            <w:r w:rsidRPr="001D41EA">
              <w:rPr>
                <w:rFonts w:cs="Arial"/>
                <w:sz w:val="18"/>
                <w:szCs w:val="18"/>
              </w:rPr>
              <w:t>1.031</w:t>
            </w:r>
          </w:p>
        </w:tc>
      </w:tr>
      <w:tr w:rsidR="00566EA9" w:rsidRPr="001D41EA" w14:paraId="54DBC4E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5F1613E" w14:textId="77777777" w:rsidR="00566EA9" w:rsidRPr="001D41EA" w:rsidRDefault="00566EA9" w:rsidP="001D41EA">
            <w:pPr>
              <w:spacing w:before="40" w:after="20"/>
              <w:rPr>
                <w:rFonts w:cs="Arial"/>
                <w:sz w:val="18"/>
                <w:szCs w:val="18"/>
              </w:rPr>
            </w:pPr>
            <w:r w:rsidRPr="001D41EA">
              <w:rPr>
                <w:rFonts w:cs="Arial"/>
                <w:sz w:val="18"/>
                <w:szCs w:val="18"/>
              </w:rPr>
              <w:t>Mansfield S</w:t>
            </w:r>
          </w:p>
        </w:tc>
        <w:tc>
          <w:tcPr>
            <w:tcW w:w="1021" w:type="dxa"/>
            <w:tcBorders>
              <w:top w:val="nil"/>
              <w:left w:val="single" w:sz="18" w:space="0" w:color="5F497A" w:themeColor="accent4" w:themeShade="BF"/>
              <w:bottom w:val="nil"/>
              <w:right w:val="nil"/>
            </w:tcBorders>
            <w:shd w:val="clear" w:color="auto" w:fill="auto"/>
            <w:vAlign w:val="bottom"/>
          </w:tcPr>
          <w:p w14:paraId="382C48DD" w14:textId="69ABCB13" w:rsidR="00566EA9" w:rsidRPr="001D41EA" w:rsidRDefault="00566EA9" w:rsidP="001D41EA">
            <w:pPr>
              <w:spacing w:before="40" w:after="20"/>
              <w:jc w:val="center"/>
              <w:rPr>
                <w:rFonts w:cs="Arial"/>
                <w:sz w:val="18"/>
                <w:szCs w:val="18"/>
              </w:rPr>
            </w:pPr>
            <w:r w:rsidRPr="001D41EA">
              <w:rPr>
                <w:rFonts w:cs="Arial"/>
                <w:sz w:val="18"/>
                <w:szCs w:val="18"/>
              </w:rPr>
              <w:t>1.082</w:t>
            </w:r>
          </w:p>
        </w:tc>
        <w:tc>
          <w:tcPr>
            <w:tcW w:w="170" w:type="dxa"/>
            <w:tcBorders>
              <w:top w:val="nil"/>
              <w:left w:val="nil"/>
              <w:bottom w:val="nil"/>
              <w:right w:val="nil"/>
            </w:tcBorders>
            <w:shd w:val="clear" w:color="auto" w:fill="auto"/>
            <w:vAlign w:val="bottom"/>
          </w:tcPr>
          <w:p w14:paraId="15F408C0" w14:textId="5ABF87E3"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4E0065A5" w14:textId="7E9A96FA" w:rsidR="00566EA9" w:rsidRPr="001D41EA" w:rsidRDefault="00566EA9" w:rsidP="001D41EA">
            <w:pPr>
              <w:spacing w:before="40" w:after="20"/>
              <w:jc w:val="center"/>
              <w:rPr>
                <w:rFonts w:cs="Arial"/>
                <w:sz w:val="18"/>
                <w:szCs w:val="18"/>
              </w:rPr>
            </w:pPr>
            <w:r w:rsidRPr="001D41EA">
              <w:rPr>
                <w:rFonts w:cs="Arial"/>
                <w:sz w:val="18"/>
                <w:szCs w:val="18"/>
              </w:rPr>
              <w:t>1.275</w:t>
            </w:r>
          </w:p>
        </w:tc>
        <w:tc>
          <w:tcPr>
            <w:tcW w:w="1021" w:type="dxa"/>
            <w:tcBorders>
              <w:top w:val="nil"/>
              <w:left w:val="nil"/>
              <w:bottom w:val="nil"/>
              <w:right w:val="nil"/>
            </w:tcBorders>
            <w:vAlign w:val="bottom"/>
          </w:tcPr>
          <w:p w14:paraId="0048581E" w14:textId="0B9EF76D" w:rsidR="00566EA9" w:rsidRPr="001D41EA" w:rsidRDefault="00566EA9" w:rsidP="001D41EA">
            <w:pPr>
              <w:spacing w:before="40" w:after="20"/>
              <w:jc w:val="center"/>
              <w:rPr>
                <w:rFonts w:cs="Arial"/>
                <w:sz w:val="18"/>
                <w:szCs w:val="18"/>
              </w:rPr>
            </w:pPr>
            <w:r w:rsidRPr="001D41EA">
              <w:rPr>
                <w:rFonts w:cs="Arial"/>
                <w:sz w:val="18"/>
                <w:szCs w:val="18"/>
              </w:rPr>
              <w:t>1.268</w:t>
            </w:r>
          </w:p>
        </w:tc>
        <w:tc>
          <w:tcPr>
            <w:tcW w:w="1021" w:type="dxa"/>
            <w:tcBorders>
              <w:top w:val="nil"/>
              <w:left w:val="nil"/>
              <w:bottom w:val="nil"/>
              <w:right w:val="nil"/>
            </w:tcBorders>
            <w:vAlign w:val="bottom"/>
          </w:tcPr>
          <w:p w14:paraId="72691CF6" w14:textId="6C86B4C9" w:rsidR="00566EA9" w:rsidRPr="001D41EA" w:rsidRDefault="00566EA9" w:rsidP="001D41EA">
            <w:pPr>
              <w:spacing w:before="40" w:after="20"/>
              <w:jc w:val="center"/>
              <w:rPr>
                <w:rFonts w:cs="Arial"/>
                <w:sz w:val="18"/>
                <w:szCs w:val="18"/>
              </w:rPr>
            </w:pPr>
            <w:r w:rsidRPr="001D41EA">
              <w:rPr>
                <w:rFonts w:cs="Arial"/>
                <w:sz w:val="18"/>
                <w:szCs w:val="18"/>
              </w:rPr>
              <w:t>1.263</w:t>
            </w:r>
          </w:p>
        </w:tc>
        <w:tc>
          <w:tcPr>
            <w:tcW w:w="1021" w:type="dxa"/>
            <w:tcBorders>
              <w:top w:val="nil"/>
              <w:left w:val="nil"/>
              <w:bottom w:val="nil"/>
              <w:right w:val="nil"/>
            </w:tcBorders>
            <w:vAlign w:val="bottom"/>
          </w:tcPr>
          <w:p w14:paraId="6ED38DAC" w14:textId="06D278F6" w:rsidR="00566EA9" w:rsidRPr="001D41EA" w:rsidRDefault="00566EA9" w:rsidP="001D41EA">
            <w:pPr>
              <w:spacing w:before="40" w:after="20"/>
              <w:jc w:val="center"/>
              <w:rPr>
                <w:rFonts w:cs="Arial"/>
                <w:sz w:val="18"/>
                <w:szCs w:val="18"/>
              </w:rPr>
            </w:pPr>
            <w:r w:rsidRPr="001D41EA">
              <w:rPr>
                <w:rFonts w:cs="Arial"/>
                <w:sz w:val="18"/>
                <w:szCs w:val="18"/>
              </w:rPr>
              <w:t>1.273</w:t>
            </w:r>
          </w:p>
        </w:tc>
        <w:tc>
          <w:tcPr>
            <w:tcW w:w="1021" w:type="dxa"/>
            <w:tcBorders>
              <w:top w:val="nil"/>
              <w:left w:val="nil"/>
              <w:bottom w:val="nil"/>
              <w:right w:val="nil"/>
            </w:tcBorders>
            <w:vAlign w:val="bottom"/>
          </w:tcPr>
          <w:p w14:paraId="4588EDB3" w14:textId="5377253F" w:rsidR="00566EA9" w:rsidRPr="001D41EA" w:rsidRDefault="00566EA9" w:rsidP="001D41EA">
            <w:pPr>
              <w:spacing w:before="40" w:after="20"/>
              <w:jc w:val="center"/>
              <w:rPr>
                <w:rFonts w:cs="Arial"/>
                <w:sz w:val="18"/>
                <w:szCs w:val="18"/>
              </w:rPr>
            </w:pPr>
            <w:r w:rsidRPr="001D41EA">
              <w:rPr>
                <w:rFonts w:cs="Arial"/>
                <w:sz w:val="18"/>
                <w:szCs w:val="18"/>
              </w:rPr>
              <w:t>1.256</w:t>
            </w:r>
          </w:p>
        </w:tc>
        <w:tc>
          <w:tcPr>
            <w:tcW w:w="170" w:type="dxa"/>
            <w:tcBorders>
              <w:top w:val="nil"/>
              <w:left w:val="nil"/>
              <w:bottom w:val="nil"/>
              <w:right w:val="nil"/>
            </w:tcBorders>
            <w:vAlign w:val="bottom"/>
          </w:tcPr>
          <w:p w14:paraId="3113B648" w14:textId="1B484128"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5C44C238" w14:textId="5B7F3BB7" w:rsidR="00566EA9" w:rsidRPr="001D41EA" w:rsidRDefault="00566EA9" w:rsidP="001D41EA">
            <w:pPr>
              <w:spacing w:before="40" w:after="20"/>
              <w:jc w:val="center"/>
              <w:rPr>
                <w:rFonts w:cs="Arial"/>
                <w:sz w:val="18"/>
                <w:szCs w:val="18"/>
              </w:rPr>
            </w:pPr>
            <w:r w:rsidRPr="001D41EA">
              <w:rPr>
                <w:rFonts w:cs="Arial"/>
                <w:sz w:val="18"/>
                <w:szCs w:val="18"/>
              </w:rPr>
              <w:t>1.597</w:t>
            </w:r>
          </w:p>
        </w:tc>
      </w:tr>
      <w:tr w:rsidR="00566EA9" w:rsidRPr="001D41EA" w14:paraId="3AE3DE5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E1E5EC4" w14:textId="77777777" w:rsidR="00566EA9" w:rsidRPr="001D41EA" w:rsidRDefault="00566EA9" w:rsidP="001D41EA">
            <w:pPr>
              <w:spacing w:before="40" w:after="20"/>
              <w:rPr>
                <w:rFonts w:cs="Arial"/>
                <w:sz w:val="18"/>
                <w:szCs w:val="18"/>
              </w:rPr>
            </w:pPr>
            <w:r w:rsidRPr="001D41EA">
              <w:rPr>
                <w:rFonts w:cs="Arial"/>
                <w:sz w:val="18"/>
                <w:szCs w:val="18"/>
              </w:rPr>
              <w:t>Maribyrnong C</w:t>
            </w:r>
          </w:p>
        </w:tc>
        <w:tc>
          <w:tcPr>
            <w:tcW w:w="1021" w:type="dxa"/>
            <w:tcBorders>
              <w:top w:val="nil"/>
              <w:left w:val="single" w:sz="18" w:space="0" w:color="5F497A" w:themeColor="accent4" w:themeShade="BF"/>
              <w:bottom w:val="nil"/>
              <w:right w:val="nil"/>
            </w:tcBorders>
            <w:shd w:val="clear" w:color="auto" w:fill="auto"/>
            <w:vAlign w:val="bottom"/>
          </w:tcPr>
          <w:p w14:paraId="3E262E30" w14:textId="3B22BE16" w:rsidR="00566EA9" w:rsidRPr="001D41EA" w:rsidRDefault="00566EA9" w:rsidP="001D41EA">
            <w:pPr>
              <w:spacing w:before="40" w:after="20"/>
              <w:jc w:val="center"/>
              <w:rPr>
                <w:rFonts w:cs="Arial"/>
                <w:sz w:val="18"/>
                <w:szCs w:val="18"/>
              </w:rPr>
            </w:pPr>
            <w:r w:rsidRPr="001D41EA">
              <w:rPr>
                <w:rFonts w:cs="Arial"/>
                <w:sz w:val="18"/>
                <w:szCs w:val="18"/>
              </w:rPr>
              <w:t>0.976</w:t>
            </w:r>
          </w:p>
        </w:tc>
        <w:tc>
          <w:tcPr>
            <w:tcW w:w="170" w:type="dxa"/>
            <w:tcBorders>
              <w:top w:val="nil"/>
              <w:left w:val="nil"/>
              <w:bottom w:val="nil"/>
              <w:right w:val="nil"/>
            </w:tcBorders>
            <w:shd w:val="clear" w:color="auto" w:fill="auto"/>
            <w:vAlign w:val="bottom"/>
          </w:tcPr>
          <w:p w14:paraId="59C6CEFD" w14:textId="541B9919"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3AFF9ACC" w14:textId="3EE32D55" w:rsidR="00566EA9" w:rsidRPr="001D41EA" w:rsidRDefault="00566EA9" w:rsidP="001D41EA">
            <w:pPr>
              <w:spacing w:before="40" w:after="20"/>
              <w:jc w:val="center"/>
              <w:rPr>
                <w:rFonts w:cs="Arial"/>
                <w:sz w:val="18"/>
                <w:szCs w:val="18"/>
              </w:rPr>
            </w:pPr>
            <w:r w:rsidRPr="001D41EA">
              <w:rPr>
                <w:rFonts w:cs="Arial"/>
                <w:sz w:val="18"/>
                <w:szCs w:val="18"/>
              </w:rPr>
              <w:t>1.118</w:t>
            </w:r>
          </w:p>
        </w:tc>
        <w:tc>
          <w:tcPr>
            <w:tcW w:w="1021" w:type="dxa"/>
            <w:tcBorders>
              <w:top w:val="nil"/>
              <w:left w:val="nil"/>
              <w:bottom w:val="nil"/>
              <w:right w:val="nil"/>
            </w:tcBorders>
            <w:vAlign w:val="bottom"/>
          </w:tcPr>
          <w:p w14:paraId="7AE26A9C" w14:textId="2C4ED977" w:rsidR="00566EA9" w:rsidRPr="001D41EA" w:rsidRDefault="00566EA9" w:rsidP="001D41EA">
            <w:pPr>
              <w:spacing w:before="40" w:after="20"/>
              <w:jc w:val="center"/>
              <w:rPr>
                <w:rFonts w:cs="Arial"/>
                <w:sz w:val="18"/>
                <w:szCs w:val="18"/>
              </w:rPr>
            </w:pPr>
            <w:r w:rsidRPr="001D41EA">
              <w:rPr>
                <w:rFonts w:cs="Arial"/>
                <w:sz w:val="18"/>
                <w:szCs w:val="18"/>
              </w:rPr>
              <w:t>1.112</w:t>
            </w:r>
          </w:p>
        </w:tc>
        <w:tc>
          <w:tcPr>
            <w:tcW w:w="1021" w:type="dxa"/>
            <w:tcBorders>
              <w:top w:val="nil"/>
              <w:left w:val="nil"/>
              <w:bottom w:val="nil"/>
              <w:right w:val="nil"/>
            </w:tcBorders>
            <w:vAlign w:val="bottom"/>
          </w:tcPr>
          <w:p w14:paraId="5B20CF17" w14:textId="67F97DEC" w:rsidR="00566EA9" w:rsidRPr="001D41EA" w:rsidRDefault="00566EA9" w:rsidP="001D41EA">
            <w:pPr>
              <w:spacing w:before="40" w:after="20"/>
              <w:jc w:val="center"/>
              <w:rPr>
                <w:rFonts w:cs="Arial"/>
                <w:sz w:val="18"/>
                <w:szCs w:val="18"/>
              </w:rPr>
            </w:pPr>
            <w:r w:rsidRPr="001D41EA">
              <w:rPr>
                <w:rFonts w:cs="Arial"/>
                <w:sz w:val="18"/>
                <w:szCs w:val="18"/>
              </w:rPr>
              <w:t>1.108</w:t>
            </w:r>
          </w:p>
        </w:tc>
        <w:tc>
          <w:tcPr>
            <w:tcW w:w="1021" w:type="dxa"/>
            <w:tcBorders>
              <w:top w:val="nil"/>
              <w:left w:val="nil"/>
              <w:bottom w:val="nil"/>
              <w:right w:val="nil"/>
            </w:tcBorders>
            <w:vAlign w:val="bottom"/>
          </w:tcPr>
          <w:p w14:paraId="1EC5A0D8" w14:textId="6960C2D0" w:rsidR="00566EA9" w:rsidRPr="001D41EA" w:rsidRDefault="00566EA9" w:rsidP="001D41EA">
            <w:pPr>
              <w:spacing w:before="40" w:after="20"/>
              <w:jc w:val="center"/>
              <w:rPr>
                <w:rFonts w:cs="Arial"/>
                <w:sz w:val="18"/>
                <w:szCs w:val="18"/>
              </w:rPr>
            </w:pPr>
            <w:r w:rsidRPr="001D41EA">
              <w:rPr>
                <w:rFonts w:cs="Arial"/>
                <w:sz w:val="18"/>
                <w:szCs w:val="18"/>
              </w:rPr>
              <w:t>1.117</w:t>
            </w:r>
          </w:p>
        </w:tc>
        <w:tc>
          <w:tcPr>
            <w:tcW w:w="1021" w:type="dxa"/>
            <w:tcBorders>
              <w:top w:val="nil"/>
              <w:left w:val="nil"/>
              <w:bottom w:val="nil"/>
              <w:right w:val="nil"/>
            </w:tcBorders>
            <w:vAlign w:val="bottom"/>
          </w:tcPr>
          <w:p w14:paraId="14B59F44" w14:textId="401E9DF9" w:rsidR="00566EA9" w:rsidRPr="001D41EA" w:rsidRDefault="00566EA9" w:rsidP="001D41EA">
            <w:pPr>
              <w:spacing w:before="40" w:after="20"/>
              <w:jc w:val="center"/>
              <w:rPr>
                <w:rFonts w:cs="Arial"/>
                <w:sz w:val="18"/>
                <w:szCs w:val="18"/>
              </w:rPr>
            </w:pPr>
            <w:r w:rsidRPr="001D41EA">
              <w:rPr>
                <w:rFonts w:cs="Arial"/>
                <w:sz w:val="18"/>
                <w:szCs w:val="18"/>
              </w:rPr>
              <w:t>1.102</w:t>
            </w:r>
          </w:p>
        </w:tc>
        <w:tc>
          <w:tcPr>
            <w:tcW w:w="170" w:type="dxa"/>
            <w:tcBorders>
              <w:top w:val="nil"/>
              <w:left w:val="nil"/>
              <w:bottom w:val="nil"/>
              <w:right w:val="nil"/>
            </w:tcBorders>
            <w:vAlign w:val="bottom"/>
          </w:tcPr>
          <w:p w14:paraId="16ABBB7D" w14:textId="3DF86A0E"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55445E56" w14:textId="02E76324" w:rsidR="00566EA9" w:rsidRPr="001D41EA" w:rsidRDefault="00566EA9" w:rsidP="001D41EA">
            <w:pPr>
              <w:spacing w:before="40" w:after="20"/>
              <w:jc w:val="center"/>
              <w:rPr>
                <w:rFonts w:cs="Arial"/>
                <w:sz w:val="18"/>
                <w:szCs w:val="18"/>
              </w:rPr>
            </w:pPr>
            <w:r w:rsidRPr="001D41EA">
              <w:rPr>
                <w:rFonts w:cs="Arial"/>
                <w:sz w:val="18"/>
                <w:szCs w:val="18"/>
              </w:rPr>
              <w:t>0.895</w:t>
            </w:r>
          </w:p>
        </w:tc>
      </w:tr>
      <w:tr w:rsidR="00566EA9" w:rsidRPr="001D41EA" w14:paraId="08A55D3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2D65673" w14:textId="77777777" w:rsidR="00566EA9" w:rsidRPr="001D41EA" w:rsidRDefault="00566EA9" w:rsidP="001D41EA">
            <w:pPr>
              <w:spacing w:before="40" w:after="20"/>
              <w:rPr>
                <w:rFonts w:cs="Arial"/>
                <w:sz w:val="18"/>
                <w:szCs w:val="18"/>
              </w:rPr>
            </w:pPr>
            <w:r w:rsidRPr="001D41EA">
              <w:rPr>
                <w:rFonts w:cs="Arial"/>
                <w:sz w:val="18"/>
                <w:szCs w:val="18"/>
              </w:rPr>
              <w:t>Maroondah C</w:t>
            </w:r>
          </w:p>
        </w:tc>
        <w:tc>
          <w:tcPr>
            <w:tcW w:w="1021" w:type="dxa"/>
            <w:tcBorders>
              <w:top w:val="nil"/>
              <w:left w:val="single" w:sz="18" w:space="0" w:color="5F497A" w:themeColor="accent4" w:themeShade="BF"/>
              <w:bottom w:val="nil"/>
              <w:right w:val="nil"/>
            </w:tcBorders>
            <w:shd w:val="clear" w:color="auto" w:fill="auto"/>
            <w:vAlign w:val="bottom"/>
          </w:tcPr>
          <w:p w14:paraId="03BF4A41" w14:textId="01D3036B" w:rsidR="00566EA9" w:rsidRPr="001D41EA" w:rsidRDefault="00566EA9" w:rsidP="001D41EA">
            <w:pPr>
              <w:spacing w:before="40" w:after="20"/>
              <w:jc w:val="center"/>
              <w:rPr>
                <w:rFonts w:cs="Arial"/>
                <w:sz w:val="18"/>
                <w:szCs w:val="18"/>
              </w:rPr>
            </w:pPr>
            <w:r w:rsidRPr="001D41EA">
              <w:rPr>
                <w:rFonts w:cs="Arial"/>
                <w:sz w:val="18"/>
                <w:szCs w:val="18"/>
              </w:rPr>
              <w:t>1.038</w:t>
            </w:r>
          </w:p>
        </w:tc>
        <w:tc>
          <w:tcPr>
            <w:tcW w:w="170" w:type="dxa"/>
            <w:tcBorders>
              <w:top w:val="nil"/>
              <w:left w:val="nil"/>
              <w:bottom w:val="nil"/>
              <w:right w:val="nil"/>
            </w:tcBorders>
            <w:shd w:val="clear" w:color="auto" w:fill="auto"/>
            <w:vAlign w:val="bottom"/>
          </w:tcPr>
          <w:p w14:paraId="5C90563C" w14:textId="768FFD91"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28492599" w14:textId="1736E137" w:rsidR="00566EA9" w:rsidRPr="001D41EA" w:rsidRDefault="00566EA9" w:rsidP="001D41EA">
            <w:pPr>
              <w:spacing w:before="40" w:after="20"/>
              <w:jc w:val="center"/>
              <w:rPr>
                <w:rFonts w:cs="Arial"/>
                <w:sz w:val="18"/>
                <w:szCs w:val="18"/>
              </w:rPr>
            </w:pPr>
            <w:r w:rsidRPr="001D41EA">
              <w:rPr>
                <w:rFonts w:cs="Arial"/>
                <w:sz w:val="18"/>
                <w:szCs w:val="18"/>
              </w:rPr>
              <w:t>1.068</w:t>
            </w:r>
          </w:p>
        </w:tc>
        <w:tc>
          <w:tcPr>
            <w:tcW w:w="1021" w:type="dxa"/>
            <w:tcBorders>
              <w:top w:val="nil"/>
              <w:left w:val="nil"/>
              <w:bottom w:val="nil"/>
              <w:right w:val="nil"/>
            </w:tcBorders>
            <w:vAlign w:val="bottom"/>
          </w:tcPr>
          <w:p w14:paraId="19342458" w14:textId="2F6AAE14" w:rsidR="00566EA9" w:rsidRPr="001D41EA" w:rsidRDefault="00566EA9" w:rsidP="001D41EA">
            <w:pPr>
              <w:spacing w:before="40" w:after="20"/>
              <w:jc w:val="center"/>
              <w:rPr>
                <w:rFonts w:cs="Arial"/>
                <w:sz w:val="18"/>
                <w:szCs w:val="18"/>
              </w:rPr>
            </w:pPr>
            <w:r w:rsidRPr="001D41EA">
              <w:rPr>
                <w:rFonts w:cs="Arial"/>
                <w:sz w:val="18"/>
                <w:szCs w:val="18"/>
              </w:rPr>
              <w:t>1.063</w:t>
            </w:r>
          </w:p>
        </w:tc>
        <w:tc>
          <w:tcPr>
            <w:tcW w:w="1021" w:type="dxa"/>
            <w:tcBorders>
              <w:top w:val="nil"/>
              <w:left w:val="nil"/>
              <w:bottom w:val="nil"/>
              <w:right w:val="nil"/>
            </w:tcBorders>
            <w:vAlign w:val="bottom"/>
          </w:tcPr>
          <w:p w14:paraId="0062FB92" w14:textId="2AA502D6" w:rsidR="00566EA9" w:rsidRPr="001D41EA" w:rsidRDefault="00566EA9" w:rsidP="001D41EA">
            <w:pPr>
              <w:spacing w:before="40" w:after="20"/>
              <w:jc w:val="center"/>
              <w:rPr>
                <w:rFonts w:cs="Arial"/>
                <w:sz w:val="18"/>
                <w:szCs w:val="18"/>
              </w:rPr>
            </w:pPr>
            <w:r w:rsidRPr="001D41EA">
              <w:rPr>
                <w:rFonts w:cs="Arial"/>
                <w:sz w:val="18"/>
                <w:szCs w:val="18"/>
              </w:rPr>
              <w:t>1.059</w:t>
            </w:r>
          </w:p>
        </w:tc>
        <w:tc>
          <w:tcPr>
            <w:tcW w:w="1021" w:type="dxa"/>
            <w:tcBorders>
              <w:top w:val="nil"/>
              <w:left w:val="nil"/>
              <w:bottom w:val="nil"/>
              <w:right w:val="nil"/>
            </w:tcBorders>
            <w:vAlign w:val="bottom"/>
          </w:tcPr>
          <w:p w14:paraId="1CEAB0DF" w14:textId="176A9DA4" w:rsidR="00566EA9" w:rsidRPr="001D41EA" w:rsidRDefault="00566EA9" w:rsidP="001D41EA">
            <w:pPr>
              <w:spacing w:before="40" w:after="20"/>
              <w:jc w:val="center"/>
              <w:rPr>
                <w:rFonts w:cs="Arial"/>
                <w:sz w:val="18"/>
                <w:szCs w:val="18"/>
              </w:rPr>
            </w:pPr>
            <w:r w:rsidRPr="001D41EA">
              <w:rPr>
                <w:rFonts w:cs="Arial"/>
                <w:sz w:val="18"/>
                <w:szCs w:val="18"/>
              </w:rPr>
              <w:t>1.067</w:t>
            </w:r>
          </w:p>
        </w:tc>
        <w:tc>
          <w:tcPr>
            <w:tcW w:w="1021" w:type="dxa"/>
            <w:tcBorders>
              <w:top w:val="nil"/>
              <w:left w:val="nil"/>
              <w:bottom w:val="nil"/>
              <w:right w:val="nil"/>
            </w:tcBorders>
            <w:vAlign w:val="bottom"/>
          </w:tcPr>
          <w:p w14:paraId="7059BAF8" w14:textId="702E6482" w:rsidR="00566EA9" w:rsidRPr="001D41EA" w:rsidRDefault="00566EA9" w:rsidP="001D41EA">
            <w:pPr>
              <w:spacing w:before="40" w:after="20"/>
              <w:jc w:val="center"/>
              <w:rPr>
                <w:rFonts w:cs="Arial"/>
                <w:sz w:val="18"/>
                <w:szCs w:val="18"/>
              </w:rPr>
            </w:pPr>
            <w:r w:rsidRPr="001D41EA">
              <w:rPr>
                <w:rFonts w:cs="Arial"/>
                <w:sz w:val="18"/>
                <w:szCs w:val="18"/>
              </w:rPr>
              <w:t>1.053</w:t>
            </w:r>
          </w:p>
        </w:tc>
        <w:tc>
          <w:tcPr>
            <w:tcW w:w="170" w:type="dxa"/>
            <w:tcBorders>
              <w:top w:val="nil"/>
              <w:left w:val="nil"/>
              <w:bottom w:val="nil"/>
              <w:right w:val="nil"/>
            </w:tcBorders>
            <w:vAlign w:val="bottom"/>
          </w:tcPr>
          <w:p w14:paraId="3D66BF5F" w14:textId="7E0982B5"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29C86A5E" w14:textId="34D4AA18" w:rsidR="00566EA9" w:rsidRPr="001D41EA" w:rsidRDefault="00566EA9" w:rsidP="001D41EA">
            <w:pPr>
              <w:spacing w:before="40" w:after="20"/>
              <w:jc w:val="center"/>
              <w:rPr>
                <w:rFonts w:cs="Arial"/>
                <w:sz w:val="18"/>
                <w:szCs w:val="18"/>
              </w:rPr>
            </w:pPr>
            <w:r w:rsidRPr="001D41EA">
              <w:rPr>
                <w:rFonts w:cs="Arial"/>
                <w:sz w:val="18"/>
                <w:szCs w:val="18"/>
              </w:rPr>
              <w:t>0.926</w:t>
            </w:r>
          </w:p>
        </w:tc>
      </w:tr>
      <w:tr w:rsidR="00566EA9" w:rsidRPr="001D41EA" w14:paraId="4889CF2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AF68C68" w14:textId="77777777" w:rsidR="00566EA9" w:rsidRPr="001D41EA" w:rsidRDefault="00566EA9" w:rsidP="001D41EA">
            <w:pPr>
              <w:spacing w:before="40" w:after="20"/>
              <w:rPr>
                <w:rFonts w:cs="Arial"/>
                <w:sz w:val="18"/>
                <w:szCs w:val="18"/>
              </w:rPr>
            </w:pPr>
            <w:r w:rsidRPr="001D41EA">
              <w:rPr>
                <w:rFonts w:cs="Arial"/>
                <w:sz w:val="18"/>
                <w:szCs w:val="18"/>
              </w:rPr>
              <w:t>Melbourne C</w:t>
            </w:r>
          </w:p>
        </w:tc>
        <w:tc>
          <w:tcPr>
            <w:tcW w:w="1021" w:type="dxa"/>
            <w:tcBorders>
              <w:top w:val="nil"/>
              <w:left w:val="single" w:sz="18" w:space="0" w:color="5F497A" w:themeColor="accent4" w:themeShade="BF"/>
              <w:bottom w:val="nil"/>
              <w:right w:val="nil"/>
            </w:tcBorders>
            <w:shd w:val="clear" w:color="auto" w:fill="auto"/>
            <w:vAlign w:val="bottom"/>
          </w:tcPr>
          <w:p w14:paraId="6F7541CD" w14:textId="5D8E2319" w:rsidR="00566EA9" w:rsidRPr="001D41EA" w:rsidRDefault="00566EA9" w:rsidP="001D41EA">
            <w:pPr>
              <w:spacing w:before="40" w:after="20"/>
              <w:jc w:val="center"/>
              <w:rPr>
                <w:rFonts w:cs="Arial"/>
                <w:sz w:val="18"/>
                <w:szCs w:val="18"/>
              </w:rPr>
            </w:pPr>
            <w:r w:rsidRPr="001D41EA">
              <w:rPr>
                <w:rFonts w:cs="Arial"/>
                <w:sz w:val="18"/>
                <w:szCs w:val="18"/>
              </w:rPr>
              <w:t>0.611</w:t>
            </w:r>
          </w:p>
        </w:tc>
        <w:tc>
          <w:tcPr>
            <w:tcW w:w="170" w:type="dxa"/>
            <w:tcBorders>
              <w:top w:val="nil"/>
              <w:left w:val="nil"/>
              <w:bottom w:val="nil"/>
              <w:right w:val="nil"/>
            </w:tcBorders>
            <w:shd w:val="clear" w:color="auto" w:fill="auto"/>
            <w:vAlign w:val="bottom"/>
          </w:tcPr>
          <w:p w14:paraId="006A5561" w14:textId="454D4B59"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0A5A201E" w14:textId="30E561C1" w:rsidR="00566EA9" w:rsidRPr="001D41EA" w:rsidRDefault="00566EA9" w:rsidP="001D41EA">
            <w:pPr>
              <w:spacing w:before="40" w:after="20"/>
              <w:jc w:val="center"/>
              <w:rPr>
                <w:rFonts w:cs="Arial"/>
                <w:sz w:val="18"/>
                <w:szCs w:val="18"/>
              </w:rPr>
            </w:pPr>
            <w:r w:rsidRPr="001D41EA">
              <w:rPr>
                <w:rFonts w:cs="Arial"/>
                <w:sz w:val="18"/>
                <w:szCs w:val="18"/>
              </w:rPr>
              <w:t>0.968</w:t>
            </w:r>
          </w:p>
        </w:tc>
        <w:tc>
          <w:tcPr>
            <w:tcW w:w="1021" w:type="dxa"/>
            <w:tcBorders>
              <w:top w:val="nil"/>
              <w:left w:val="nil"/>
              <w:bottom w:val="nil"/>
              <w:right w:val="nil"/>
            </w:tcBorders>
            <w:vAlign w:val="bottom"/>
          </w:tcPr>
          <w:p w14:paraId="3E8EC304" w14:textId="6AE403A0" w:rsidR="00566EA9" w:rsidRPr="001D41EA" w:rsidRDefault="00566EA9" w:rsidP="001D41EA">
            <w:pPr>
              <w:spacing w:before="40" w:after="20"/>
              <w:jc w:val="center"/>
              <w:rPr>
                <w:rFonts w:cs="Arial"/>
                <w:sz w:val="18"/>
                <w:szCs w:val="18"/>
              </w:rPr>
            </w:pPr>
            <w:r w:rsidRPr="001D41EA">
              <w:rPr>
                <w:rFonts w:cs="Arial"/>
                <w:sz w:val="18"/>
                <w:szCs w:val="18"/>
              </w:rPr>
              <w:t>0.963</w:t>
            </w:r>
          </w:p>
        </w:tc>
        <w:tc>
          <w:tcPr>
            <w:tcW w:w="1021" w:type="dxa"/>
            <w:tcBorders>
              <w:top w:val="nil"/>
              <w:left w:val="nil"/>
              <w:bottom w:val="nil"/>
              <w:right w:val="nil"/>
            </w:tcBorders>
            <w:vAlign w:val="bottom"/>
          </w:tcPr>
          <w:p w14:paraId="05DC4490" w14:textId="486BFB26" w:rsidR="00566EA9" w:rsidRPr="001D41EA" w:rsidRDefault="00566EA9" w:rsidP="001D41EA">
            <w:pPr>
              <w:spacing w:before="40" w:after="20"/>
              <w:jc w:val="center"/>
              <w:rPr>
                <w:rFonts w:cs="Arial"/>
                <w:sz w:val="18"/>
                <w:szCs w:val="18"/>
              </w:rPr>
            </w:pPr>
            <w:r w:rsidRPr="001D41EA">
              <w:rPr>
                <w:rFonts w:cs="Arial"/>
                <w:sz w:val="18"/>
                <w:szCs w:val="18"/>
              </w:rPr>
              <w:t>0.960</w:t>
            </w:r>
          </w:p>
        </w:tc>
        <w:tc>
          <w:tcPr>
            <w:tcW w:w="1021" w:type="dxa"/>
            <w:tcBorders>
              <w:top w:val="nil"/>
              <w:left w:val="nil"/>
              <w:bottom w:val="nil"/>
              <w:right w:val="nil"/>
            </w:tcBorders>
            <w:vAlign w:val="bottom"/>
          </w:tcPr>
          <w:p w14:paraId="1D18311C" w14:textId="718EBB8A" w:rsidR="00566EA9" w:rsidRPr="001D41EA" w:rsidRDefault="00566EA9" w:rsidP="001D41EA">
            <w:pPr>
              <w:spacing w:before="40" w:after="20"/>
              <w:jc w:val="center"/>
              <w:rPr>
                <w:rFonts w:cs="Arial"/>
                <w:sz w:val="18"/>
                <w:szCs w:val="18"/>
              </w:rPr>
            </w:pPr>
            <w:r w:rsidRPr="001D41EA">
              <w:rPr>
                <w:rFonts w:cs="Arial"/>
                <w:sz w:val="18"/>
                <w:szCs w:val="18"/>
              </w:rPr>
              <w:t>0.967</w:t>
            </w:r>
          </w:p>
        </w:tc>
        <w:tc>
          <w:tcPr>
            <w:tcW w:w="1021" w:type="dxa"/>
            <w:tcBorders>
              <w:top w:val="nil"/>
              <w:left w:val="nil"/>
              <w:bottom w:val="nil"/>
              <w:right w:val="nil"/>
            </w:tcBorders>
            <w:vAlign w:val="bottom"/>
          </w:tcPr>
          <w:p w14:paraId="6E3F0AD9" w14:textId="0BBD9C11" w:rsidR="00566EA9" w:rsidRPr="001D41EA" w:rsidRDefault="00566EA9" w:rsidP="001D41EA">
            <w:pPr>
              <w:spacing w:before="40" w:after="20"/>
              <w:jc w:val="center"/>
              <w:rPr>
                <w:rFonts w:cs="Arial"/>
                <w:sz w:val="18"/>
                <w:szCs w:val="18"/>
              </w:rPr>
            </w:pPr>
            <w:r w:rsidRPr="001D41EA">
              <w:rPr>
                <w:rFonts w:cs="Arial"/>
                <w:sz w:val="18"/>
                <w:szCs w:val="18"/>
              </w:rPr>
              <w:t>0.954</w:t>
            </w:r>
          </w:p>
        </w:tc>
        <w:tc>
          <w:tcPr>
            <w:tcW w:w="170" w:type="dxa"/>
            <w:tcBorders>
              <w:top w:val="nil"/>
              <w:left w:val="nil"/>
              <w:bottom w:val="nil"/>
              <w:right w:val="nil"/>
            </w:tcBorders>
            <w:vAlign w:val="bottom"/>
          </w:tcPr>
          <w:p w14:paraId="03900C10" w14:textId="4DE861F9"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482B8493" w14:textId="49604AFF" w:rsidR="00566EA9" w:rsidRPr="001D41EA" w:rsidRDefault="00566EA9" w:rsidP="001D41EA">
            <w:pPr>
              <w:spacing w:before="40" w:after="20"/>
              <w:jc w:val="center"/>
              <w:rPr>
                <w:rFonts w:cs="Arial"/>
                <w:sz w:val="18"/>
                <w:szCs w:val="18"/>
              </w:rPr>
            </w:pPr>
            <w:r w:rsidRPr="001D41EA">
              <w:rPr>
                <w:rFonts w:cs="Arial"/>
                <w:sz w:val="18"/>
                <w:szCs w:val="18"/>
              </w:rPr>
              <w:t>0.875</w:t>
            </w:r>
          </w:p>
        </w:tc>
      </w:tr>
      <w:tr w:rsidR="00566EA9" w:rsidRPr="001D41EA" w14:paraId="753B31E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9DDA7AB" w14:textId="77777777" w:rsidR="00566EA9" w:rsidRPr="001D41EA" w:rsidRDefault="00566EA9" w:rsidP="001D41EA">
            <w:pPr>
              <w:spacing w:before="40" w:after="20"/>
              <w:rPr>
                <w:rFonts w:cs="Arial"/>
                <w:sz w:val="18"/>
                <w:szCs w:val="18"/>
              </w:rPr>
            </w:pPr>
            <w:r w:rsidRPr="001D41EA">
              <w:rPr>
                <w:rFonts w:cs="Arial"/>
                <w:sz w:val="18"/>
                <w:szCs w:val="18"/>
              </w:rPr>
              <w:t>Melton C</w:t>
            </w:r>
          </w:p>
        </w:tc>
        <w:tc>
          <w:tcPr>
            <w:tcW w:w="1021" w:type="dxa"/>
            <w:tcBorders>
              <w:top w:val="nil"/>
              <w:left w:val="single" w:sz="18" w:space="0" w:color="5F497A" w:themeColor="accent4" w:themeShade="BF"/>
              <w:bottom w:val="nil"/>
              <w:right w:val="nil"/>
            </w:tcBorders>
            <w:shd w:val="clear" w:color="auto" w:fill="auto"/>
            <w:vAlign w:val="bottom"/>
          </w:tcPr>
          <w:p w14:paraId="77763F68" w14:textId="0E29FE9E" w:rsidR="00566EA9" w:rsidRPr="001D41EA" w:rsidRDefault="00566EA9" w:rsidP="001D41EA">
            <w:pPr>
              <w:spacing w:before="40" w:after="20"/>
              <w:jc w:val="center"/>
              <w:rPr>
                <w:rFonts w:cs="Arial"/>
                <w:sz w:val="18"/>
                <w:szCs w:val="18"/>
              </w:rPr>
            </w:pPr>
            <w:r w:rsidRPr="001D41EA">
              <w:rPr>
                <w:rFonts w:cs="Arial"/>
                <w:sz w:val="18"/>
                <w:szCs w:val="18"/>
              </w:rPr>
              <w:t>0.889</w:t>
            </w:r>
          </w:p>
        </w:tc>
        <w:tc>
          <w:tcPr>
            <w:tcW w:w="170" w:type="dxa"/>
            <w:tcBorders>
              <w:top w:val="nil"/>
              <w:left w:val="nil"/>
              <w:bottom w:val="nil"/>
              <w:right w:val="nil"/>
            </w:tcBorders>
            <w:shd w:val="clear" w:color="auto" w:fill="auto"/>
            <w:vAlign w:val="bottom"/>
          </w:tcPr>
          <w:p w14:paraId="0E6B7564" w14:textId="46E24FDA"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4B833380" w14:textId="7C19AF0A" w:rsidR="00566EA9" w:rsidRPr="001D41EA" w:rsidRDefault="00566EA9" w:rsidP="001D41EA">
            <w:pPr>
              <w:spacing w:before="40" w:after="20"/>
              <w:jc w:val="center"/>
              <w:rPr>
                <w:rFonts w:cs="Arial"/>
                <w:sz w:val="18"/>
                <w:szCs w:val="18"/>
              </w:rPr>
            </w:pPr>
            <w:r w:rsidRPr="001D41EA">
              <w:rPr>
                <w:rFonts w:cs="Arial"/>
                <w:sz w:val="18"/>
                <w:szCs w:val="18"/>
              </w:rPr>
              <w:t>0.994</w:t>
            </w:r>
          </w:p>
        </w:tc>
        <w:tc>
          <w:tcPr>
            <w:tcW w:w="1021" w:type="dxa"/>
            <w:tcBorders>
              <w:top w:val="nil"/>
              <w:left w:val="nil"/>
              <w:bottom w:val="nil"/>
              <w:right w:val="nil"/>
            </w:tcBorders>
            <w:vAlign w:val="bottom"/>
          </w:tcPr>
          <w:p w14:paraId="035B9BDB" w14:textId="005D02F4" w:rsidR="00566EA9" w:rsidRPr="001D41EA" w:rsidRDefault="00566EA9" w:rsidP="001D41EA">
            <w:pPr>
              <w:spacing w:before="40" w:after="20"/>
              <w:jc w:val="center"/>
              <w:rPr>
                <w:rFonts w:cs="Arial"/>
                <w:sz w:val="18"/>
                <w:szCs w:val="18"/>
              </w:rPr>
            </w:pPr>
            <w:r w:rsidRPr="001D41EA">
              <w:rPr>
                <w:rFonts w:cs="Arial"/>
                <w:sz w:val="18"/>
                <w:szCs w:val="18"/>
              </w:rPr>
              <w:t>0.988</w:t>
            </w:r>
          </w:p>
        </w:tc>
        <w:tc>
          <w:tcPr>
            <w:tcW w:w="1021" w:type="dxa"/>
            <w:tcBorders>
              <w:top w:val="nil"/>
              <w:left w:val="nil"/>
              <w:bottom w:val="nil"/>
              <w:right w:val="nil"/>
            </w:tcBorders>
            <w:vAlign w:val="bottom"/>
          </w:tcPr>
          <w:p w14:paraId="6C76D8AD" w14:textId="0B4708E9" w:rsidR="00566EA9" w:rsidRPr="001D41EA" w:rsidRDefault="00566EA9" w:rsidP="001D41EA">
            <w:pPr>
              <w:spacing w:before="40" w:after="20"/>
              <w:jc w:val="center"/>
              <w:rPr>
                <w:rFonts w:cs="Arial"/>
                <w:sz w:val="18"/>
                <w:szCs w:val="18"/>
              </w:rPr>
            </w:pPr>
            <w:r w:rsidRPr="001D41EA">
              <w:rPr>
                <w:rFonts w:cs="Arial"/>
                <w:sz w:val="18"/>
                <w:szCs w:val="18"/>
              </w:rPr>
              <w:t>0.985</w:t>
            </w:r>
          </w:p>
        </w:tc>
        <w:tc>
          <w:tcPr>
            <w:tcW w:w="1021" w:type="dxa"/>
            <w:tcBorders>
              <w:top w:val="nil"/>
              <w:left w:val="nil"/>
              <w:bottom w:val="nil"/>
              <w:right w:val="nil"/>
            </w:tcBorders>
            <w:vAlign w:val="bottom"/>
          </w:tcPr>
          <w:p w14:paraId="35C89819" w14:textId="3F2D83F3" w:rsidR="00566EA9" w:rsidRPr="001D41EA" w:rsidRDefault="00566EA9" w:rsidP="001D41EA">
            <w:pPr>
              <w:spacing w:before="40" w:after="20"/>
              <w:jc w:val="center"/>
              <w:rPr>
                <w:rFonts w:cs="Arial"/>
                <w:sz w:val="18"/>
                <w:szCs w:val="18"/>
              </w:rPr>
            </w:pPr>
            <w:r w:rsidRPr="001D41EA">
              <w:rPr>
                <w:rFonts w:cs="Arial"/>
                <w:sz w:val="18"/>
                <w:szCs w:val="18"/>
              </w:rPr>
              <w:t>0.992</w:t>
            </w:r>
          </w:p>
        </w:tc>
        <w:tc>
          <w:tcPr>
            <w:tcW w:w="1021" w:type="dxa"/>
            <w:tcBorders>
              <w:top w:val="nil"/>
              <w:left w:val="nil"/>
              <w:bottom w:val="nil"/>
              <w:right w:val="nil"/>
            </w:tcBorders>
            <w:vAlign w:val="bottom"/>
          </w:tcPr>
          <w:p w14:paraId="266366ED" w14:textId="502BD70F" w:rsidR="00566EA9" w:rsidRPr="001D41EA" w:rsidRDefault="00566EA9" w:rsidP="001D41EA">
            <w:pPr>
              <w:spacing w:before="40" w:after="20"/>
              <w:jc w:val="center"/>
              <w:rPr>
                <w:rFonts w:cs="Arial"/>
                <w:sz w:val="18"/>
                <w:szCs w:val="18"/>
              </w:rPr>
            </w:pPr>
            <w:r w:rsidRPr="001D41EA">
              <w:rPr>
                <w:rFonts w:cs="Arial"/>
                <w:sz w:val="18"/>
                <w:szCs w:val="18"/>
              </w:rPr>
              <w:t>0.979</w:t>
            </w:r>
          </w:p>
        </w:tc>
        <w:tc>
          <w:tcPr>
            <w:tcW w:w="170" w:type="dxa"/>
            <w:tcBorders>
              <w:top w:val="nil"/>
              <w:left w:val="nil"/>
              <w:bottom w:val="nil"/>
              <w:right w:val="nil"/>
            </w:tcBorders>
            <w:vAlign w:val="bottom"/>
          </w:tcPr>
          <w:p w14:paraId="4E705229" w14:textId="67036FFC"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460CD459" w14:textId="69C68625" w:rsidR="00566EA9" w:rsidRPr="001D41EA" w:rsidRDefault="00566EA9" w:rsidP="001D41EA">
            <w:pPr>
              <w:spacing w:before="40" w:after="20"/>
              <w:jc w:val="center"/>
              <w:rPr>
                <w:rFonts w:cs="Arial"/>
                <w:sz w:val="18"/>
                <w:szCs w:val="18"/>
              </w:rPr>
            </w:pPr>
            <w:r w:rsidRPr="001D41EA">
              <w:rPr>
                <w:rFonts w:cs="Arial"/>
                <w:sz w:val="18"/>
                <w:szCs w:val="18"/>
              </w:rPr>
              <w:t>0.900</w:t>
            </w:r>
          </w:p>
        </w:tc>
      </w:tr>
      <w:tr w:rsidR="00566EA9" w:rsidRPr="001D41EA" w14:paraId="43FDC3F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AF71188" w14:textId="77777777" w:rsidR="00566EA9" w:rsidRPr="001D41EA" w:rsidRDefault="00566EA9" w:rsidP="001D41EA">
            <w:pPr>
              <w:spacing w:before="40" w:after="20"/>
              <w:rPr>
                <w:rFonts w:cs="Arial"/>
                <w:sz w:val="18"/>
                <w:szCs w:val="18"/>
              </w:rPr>
            </w:pPr>
            <w:r w:rsidRPr="001D41EA">
              <w:rPr>
                <w:rFonts w:cs="Arial"/>
                <w:sz w:val="18"/>
                <w:szCs w:val="18"/>
              </w:rPr>
              <w:t>Mildura RC</w:t>
            </w:r>
          </w:p>
        </w:tc>
        <w:tc>
          <w:tcPr>
            <w:tcW w:w="1021" w:type="dxa"/>
            <w:tcBorders>
              <w:top w:val="nil"/>
              <w:left w:val="single" w:sz="18" w:space="0" w:color="5F497A" w:themeColor="accent4" w:themeShade="BF"/>
              <w:bottom w:val="nil"/>
              <w:right w:val="nil"/>
            </w:tcBorders>
            <w:shd w:val="clear" w:color="auto" w:fill="auto"/>
            <w:vAlign w:val="bottom"/>
          </w:tcPr>
          <w:p w14:paraId="736896B3" w14:textId="00151682" w:rsidR="00566EA9" w:rsidRPr="001D41EA" w:rsidRDefault="00566EA9" w:rsidP="001D41EA">
            <w:pPr>
              <w:spacing w:before="40" w:after="20"/>
              <w:jc w:val="center"/>
              <w:rPr>
                <w:rFonts w:cs="Arial"/>
                <w:sz w:val="18"/>
                <w:szCs w:val="18"/>
              </w:rPr>
            </w:pPr>
            <w:r w:rsidRPr="001D41EA">
              <w:rPr>
                <w:rFonts w:cs="Arial"/>
                <w:sz w:val="18"/>
                <w:szCs w:val="18"/>
              </w:rPr>
              <w:t>1.068</w:t>
            </w:r>
          </w:p>
        </w:tc>
        <w:tc>
          <w:tcPr>
            <w:tcW w:w="170" w:type="dxa"/>
            <w:tcBorders>
              <w:top w:val="nil"/>
              <w:left w:val="nil"/>
              <w:bottom w:val="nil"/>
              <w:right w:val="nil"/>
            </w:tcBorders>
            <w:shd w:val="clear" w:color="auto" w:fill="auto"/>
            <w:vAlign w:val="bottom"/>
          </w:tcPr>
          <w:p w14:paraId="0E6A3A74" w14:textId="6B60CB88"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1C513D7F" w14:textId="440D1D44" w:rsidR="00566EA9" w:rsidRPr="001D41EA" w:rsidRDefault="00566EA9" w:rsidP="001D41EA">
            <w:pPr>
              <w:spacing w:before="40" w:after="20"/>
              <w:jc w:val="center"/>
              <w:rPr>
                <w:rFonts w:cs="Arial"/>
                <w:sz w:val="18"/>
                <w:szCs w:val="18"/>
              </w:rPr>
            </w:pPr>
            <w:r w:rsidRPr="001D41EA">
              <w:rPr>
                <w:rFonts w:cs="Arial"/>
                <w:sz w:val="18"/>
                <w:szCs w:val="18"/>
              </w:rPr>
              <w:t>1.187</w:t>
            </w:r>
          </w:p>
        </w:tc>
        <w:tc>
          <w:tcPr>
            <w:tcW w:w="1021" w:type="dxa"/>
            <w:tcBorders>
              <w:top w:val="nil"/>
              <w:left w:val="nil"/>
              <w:bottom w:val="nil"/>
              <w:right w:val="nil"/>
            </w:tcBorders>
            <w:vAlign w:val="bottom"/>
          </w:tcPr>
          <w:p w14:paraId="73B1044E" w14:textId="4628A1B4" w:rsidR="00566EA9" w:rsidRPr="001D41EA" w:rsidRDefault="00566EA9" w:rsidP="001D41EA">
            <w:pPr>
              <w:spacing w:before="40" w:after="20"/>
              <w:jc w:val="center"/>
              <w:rPr>
                <w:rFonts w:cs="Arial"/>
                <w:sz w:val="18"/>
                <w:szCs w:val="18"/>
              </w:rPr>
            </w:pPr>
            <w:r w:rsidRPr="001D41EA">
              <w:rPr>
                <w:rFonts w:cs="Arial"/>
                <w:sz w:val="18"/>
                <w:szCs w:val="18"/>
              </w:rPr>
              <w:t>1.180</w:t>
            </w:r>
          </w:p>
        </w:tc>
        <w:tc>
          <w:tcPr>
            <w:tcW w:w="1021" w:type="dxa"/>
            <w:tcBorders>
              <w:top w:val="nil"/>
              <w:left w:val="nil"/>
              <w:bottom w:val="nil"/>
              <w:right w:val="nil"/>
            </w:tcBorders>
            <w:vAlign w:val="bottom"/>
          </w:tcPr>
          <w:p w14:paraId="68FF1600" w14:textId="1FD0625D" w:rsidR="00566EA9" w:rsidRPr="001D41EA" w:rsidRDefault="00566EA9" w:rsidP="001D41EA">
            <w:pPr>
              <w:spacing w:before="40" w:after="20"/>
              <w:jc w:val="center"/>
              <w:rPr>
                <w:rFonts w:cs="Arial"/>
                <w:sz w:val="18"/>
                <w:szCs w:val="18"/>
              </w:rPr>
            </w:pPr>
            <w:r w:rsidRPr="001D41EA">
              <w:rPr>
                <w:rFonts w:cs="Arial"/>
                <w:sz w:val="18"/>
                <w:szCs w:val="18"/>
              </w:rPr>
              <w:t>1.176</w:t>
            </w:r>
          </w:p>
        </w:tc>
        <w:tc>
          <w:tcPr>
            <w:tcW w:w="1021" w:type="dxa"/>
            <w:tcBorders>
              <w:top w:val="nil"/>
              <w:left w:val="nil"/>
              <w:bottom w:val="nil"/>
              <w:right w:val="nil"/>
            </w:tcBorders>
            <w:vAlign w:val="bottom"/>
          </w:tcPr>
          <w:p w14:paraId="2025CEED" w14:textId="185A59D0" w:rsidR="00566EA9" w:rsidRPr="001D41EA" w:rsidRDefault="00566EA9" w:rsidP="001D41EA">
            <w:pPr>
              <w:spacing w:before="40" w:after="20"/>
              <w:jc w:val="center"/>
              <w:rPr>
                <w:rFonts w:cs="Arial"/>
                <w:sz w:val="18"/>
                <w:szCs w:val="18"/>
              </w:rPr>
            </w:pPr>
            <w:r w:rsidRPr="001D41EA">
              <w:rPr>
                <w:rFonts w:cs="Arial"/>
                <w:sz w:val="18"/>
                <w:szCs w:val="18"/>
              </w:rPr>
              <w:t>1.185</w:t>
            </w:r>
          </w:p>
        </w:tc>
        <w:tc>
          <w:tcPr>
            <w:tcW w:w="1021" w:type="dxa"/>
            <w:tcBorders>
              <w:top w:val="nil"/>
              <w:left w:val="nil"/>
              <w:bottom w:val="nil"/>
              <w:right w:val="nil"/>
            </w:tcBorders>
            <w:vAlign w:val="bottom"/>
          </w:tcPr>
          <w:p w14:paraId="1CFBECF9" w14:textId="5D3433BD" w:rsidR="00566EA9" w:rsidRPr="001D41EA" w:rsidRDefault="00566EA9" w:rsidP="001D41EA">
            <w:pPr>
              <w:spacing w:before="40" w:after="20"/>
              <w:jc w:val="center"/>
              <w:rPr>
                <w:rFonts w:cs="Arial"/>
                <w:sz w:val="18"/>
                <w:szCs w:val="18"/>
              </w:rPr>
            </w:pPr>
            <w:r w:rsidRPr="001D41EA">
              <w:rPr>
                <w:rFonts w:cs="Arial"/>
                <w:sz w:val="18"/>
                <w:szCs w:val="18"/>
              </w:rPr>
              <w:t>1.169</w:t>
            </w:r>
          </w:p>
        </w:tc>
        <w:tc>
          <w:tcPr>
            <w:tcW w:w="170" w:type="dxa"/>
            <w:tcBorders>
              <w:top w:val="nil"/>
              <w:left w:val="nil"/>
              <w:bottom w:val="nil"/>
              <w:right w:val="nil"/>
            </w:tcBorders>
            <w:vAlign w:val="bottom"/>
          </w:tcPr>
          <w:p w14:paraId="07BEC050" w14:textId="09EC1148"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3BE464DA" w14:textId="5A992329" w:rsidR="00566EA9" w:rsidRPr="001D41EA" w:rsidRDefault="00566EA9" w:rsidP="001D41EA">
            <w:pPr>
              <w:spacing w:before="40" w:after="20"/>
              <w:jc w:val="center"/>
              <w:rPr>
                <w:rFonts w:cs="Arial"/>
                <w:sz w:val="18"/>
                <w:szCs w:val="18"/>
              </w:rPr>
            </w:pPr>
            <w:r w:rsidRPr="001D41EA">
              <w:rPr>
                <w:rFonts w:cs="Arial"/>
                <w:sz w:val="18"/>
                <w:szCs w:val="18"/>
              </w:rPr>
              <w:t>0.924</w:t>
            </w:r>
          </w:p>
        </w:tc>
      </w:tr>
      <w:tr w:rsidR="00566EA9" w:rsidRPr="001D41EA" w14:paraId="0060FF2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9544447" w14:textId="77777777" w:rsidR="00566EA9" w:rsidRPr="001D41EA" w:rsidRDefault="00566EA9" w:rsidP="001D41EA">
            <w:pPr>
              <w:spacing w:before="40" w:after="20"/>
              <w:rPr>
                <w:rFonts w:cs="Arial"/>
                <w:sz w:val="18"/>
                <w:szCs w:val="18"/>
              </w:rPr>
            </w:pPr>
            <w:r w:rsidRPr="001D41EA">
              <w:rPr>
                <w:rFonts w:cs="Arial"/>
                <w:sz w:val="18"/>
                <w:szCs w:val="18"/>
              </w:rPr>
              <w:t>Mitchell S</w:t>
            </w:r>
          </w:p>
        </w:tc>
        <w:tc>
          <w:tcPr>
            <w:tcW w:w="1021" w:type="dxa"/>
            <w:tcBorders>
              <w:top w:val="nil"/>
              <w:left w:val="single" w:sz="18" w:space="0" w:color="5F497A" w:themeColor="accent4" w:themeShade="BF"/>
              <w:bottom w:val="nil"/>
              <w:right w:val="nil"/>
            </w:tcBorders>
            <w:shd w:val="clear" w:color="auto" w:fill="auto"/>
            <w:vAlign w:val="bottom"/>
          </w:tcPr>
          <w:p w14:paraId="30CC5EAA" w14:textId="3FE6CEFC" w:rsidR="00566EA9" w:rsidRPr="001D41EA" w:rsidRDefault="00566EA9" w:rsidP="001D41EA">
            <w:pPr>
              <w:spacing w:before="40" w:after="20"/>
              <w:jc w:val="center"/>
              <w:rPr>
                <w:rFonts w:cs="Arial"/>
                <w:sz w:val="18"/>
                <w:szCs w:val="18"/>
              </w:rPr>
            </w:pPr>
            <w:r w:rsidRPr="001D41EA">
              <w:rPr>
                <w:rFonts w:cs="Arial"/>
                <w:sz w:val="18"/>
                <w:szCs w:val="18"/>
              </w:rPr>
              <w:t>0.988</w:t>
            </w:r>
          </w:p>
        </w:tc>
        <w:tc>
          <w:tcPr>
            <w:tcW w:w="170" w:type="dxa"/>
            <w:tcBorders>
              <w:top w:val="nil"/>
              <w:left w:val="nil"/>
              <w:bottom w:val="nil"/>
              <w:right w:val="nil"/>
            </w:tcBorders>
            <w:shd w:val="clear" w:color="auto" w:fill="auto"/>
            <w:vAlign w:val="bottom"/>
          </w:tcPr>
          <w:p w14:paraId="2B5877CD" w14:textId="21EDF06D"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7BF8B75B" w14:textId="149F7364" w:rsidR="00566EA9" w:rsidRPr="001D41EA" w:rsidRDefault="00566EA9" w:rsidP="001D41EA">
            <w:pPr>
              <w:spacing w:before="40" w:after="20"/>
              <w:jc w:val="center"/>
              <w:rPr>
                <w:rFonts w:cs="Arial"/>
                <w:sz w:val="18"/>
                <w:szCs w:val="18"/>
              </w:rPr>
            </w:pPr>
            <w:r w:rsidRPr="001D41EA">
              <w:rPr>
                <w:rFonts w:cs="Arial"/>
                <w:sz w:val="18"/>
                <w:szCs w:val="18"/>
              </w:rPr>
              <w:t>1.208</w:t>
            </w:r>
          </w:p>
        </w:tc>
        <w:tc>
          <w:tcPr>
            <w:tcW w:w="1021" w:type="dxa"/>
            <w:tcBorders>
              <w:top w:val="nil"/>
              <w:left w:val="nil"/>
              <w:bottom w:val="nil"/>
              <w:right w:val="nil"/>
            </w:tcBorders>
            <w:vAlign w:val="bottom"/>
          </w:tcPr>
          <w:p w14:paraId="0F9F0DA1" w14:textId="441A6EA3" w:rsidR="00566EA9" w:rsidRPr="001D41EA" w:rsidRDefault="00566EA9" w:rsidP="001D41EA">
            <w:pPr>
              <w:spacing w:before="40" w:after="20"/>
              <w:jc w:val="center"/>
              <w:rPr>
                <w:rFonts w:cs="Arial"/>
                <w:sz w:val="18"/>
                <w:szCs w:val="18"/>
              </w:rPr>
            </w:pPr>
            <w:r w:rsidRPr="001D41EA">
              <w:rPr>
                <w:rFonts w:cs="Arial"/>
                <w:sz w:val="18"/>
                <w:szCs w:val="18"/>
              </w:rPr>
              <w:t>1.202</w:t>
            </w:r>
          </w:p>
        </w:tc>
        <w:tc>
          <w:tcPr>
            <w:tcW w:w="1021" w:type="dxa"/>
            <w:tcBorders>
              <w:top w:val="nil"/>
              <w:left w:val="nil"/>
              <w:bottom w:val="nil"/>
              <w:right w:val="nil"/>
            </w:tcBorders>
            <w:vAlign w:val="bottom"/>
          </w:tcPr>
          <w:p w14:paraId="63DA9ECC" w14:textId="45133C9B" w:rsidR="00566EA9" w:rsidRPr="001D41EA" w:rsidRDefault="00566EA9" w:rsidP="001D41EA">
            <w:pPr>
              <w:spacing w:before="40" w:after="20"/>
              <w:jc w:val="center"/>
              <w:rPr>
                <w:rFonts w:cs="Arial"/>
                <w:sz w:val="18"/>
                <w:szCs w:val="18"/>
              </w:rPr>
            </w:pPr>
            <w:r w:rsidRPr="001D41EA">
              <w:rPr>
                <w:rFonts w:cs="Arial"/>
                <w:sz w:val="18"/>
                <w:szCs w:val="18"/>
              </w:rPr>
              <w:t>1.197</w:t>
            </w:r>
          </w:p>
        </w:tc>
        <w:tc>
          <w:tcPr>
            <w:tcW w:w="1021" w:type="dxa"/>
            <w:tcBorders>
              <w:top w:val="nil"/>
              <w:left w:val="nil"/>
              <w:bottom w:val="nil"/>
              <w:right w:val="nil"/>
            </w:tcBorders>
            <w:vAlign w:val="bottom"/>
          </w:tcPr>
          <w:p w14:paraId="01A8D79F" w14:textId="0E08D489" w:rsidR="00566EA9" w:rsidRPr="001D41EA" w:rsidRDefault="00566EA9" w:rsidP="001D41EA">
            <w:pPr>
              <w:spacing w:before="40" w:after="20"/>
              <w:jc w:val="center"/>
              <w:rPr>
                <w:rFonts w:cs="Arial"/>
                <w:sz w:val="18"/>
                <w:szCs w:val="18"/>
              </w:rPr>
            </w:pPr>
            <w:r w:rsidRPr="001D41EA">
              <w:rPr>
                <w:rFonts w:cs="Arial"/>
                <w:sz w:val="18"/>
                <w:szCs w:val="18"/>
              </w:rPr>
              <w:t>1.206</w:t>
            </w:r>
          </w:p>
        </w:tc>
        <w:tc>
          <w:tcPr>
            <w:tcW w:w="1021" w:type="dxa"/>
            <w:tcBorders>
              <w:top w:val="nil"/>
              <w:left w:val="nil"/>
              <w:bottom w:val="nil"/>
              <w:right w:val="nil"/>
            </w:tcBorders>
            <w:vAlign w:val="bottom"/>
          </w:tcPr>
          <w:p w14:paraId="550AD29F" w14:textId="03CE5787" w:rsidR="00566EA9" w:rsidRPr="001D41EA" w:rsidRDefault="00566EA9" w:rsidP="001D41EA">
            <w:pPr>
              <w:spacing w:before="40" w:after="20"/>
              <w:jc w:val="center"/>
              <w:rPr>
                <w:rFonts w:cs="Arial"/>
                <w:sz w:val="18"/>
                <w:szCs w:val="18"/>
              </w:rPr>
            </w:pPr>
            <w:r w:rsidRPr="001D41EA">
              <w:rPr>
                <w:rFonts w:cs="Arial"/>
                <w:sz w:val="18"/>
                <w:szCs w:val="18"/>
              </w:rPr>
              <w:t>1.190</w:t>
            </w:r>
          </w:p>
        </w:tc>
        <w:tc>
          <w:tcPr>
            <w:tcW w:w="170" w:type="dxa"/>
            <w:tcBorders>
              <w:top w:val="nil"/>
              <w:left w:val="nil"/>
              <w:bottom w:val="nil"/>
              <w:right w:val="nil"/>
            </w:tcBorders>
            <w:vAlign w:val="bottom"/>
          </w:tcPr>
          <w:p w14:paraId="1B3F07CA" w14:textId="405FBEDD"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5C1A84AE" w14:textId="1394BCEB" w:rsidR="00566EA9" w:rsidRPr="001D41EA" w:rsidRDefault="00566EA9" w:rsidP="001D41EA">
            <w:pPr>
              <w:spacing w:before="40" w:after="20"/>
              <w:jc w:val="center"/>
              <w:rPr>
                <w:rFonts w:cs="Arial"/>
                <w:sz w:val="18"/>
                <w:szCs w:val="18"/>
              </w:rPr>
            </w:pPr>
            <w:r w:rsidRPr="001D41EA">
              <w:rPr>
                <w:rFonts w:cs="Arial"/>
                <w:sz w:val="18"/>
                <w:szCs w:val="18"/>
              </w:rPr>
              <w:t>1.134</w:t>
            </w:r>
          </w:p>
        </w:tc>
      </w:tr>
      <w:tr w:rsidR="00566EA9" w:rsidRPr="001D41EA" w14:paraId="3543E62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42A0D68" w14:textId="77777777" w:rsidR="00566EA9" w:rsidRPr="001D41EA" w:rsidRDefault="00566EA9" w:rsidP="001D41EA">
            <w:pPr>
              <w:spacing w:before="40" w:after="20"/>
              <w:rPr>
                <w:rFonts w:cs="Arial"/>
                <w:sz w:val="18"/>
                <w:szCs w:val="18"/>
              </w:rPr>
            </w:pPr>
            <w:r w:rsidRPr="001D41EA">
              <w:rPr>
                <w:rFonts w:cs="Arial"/>
                <w:sz w:val="18"/>
                <w:szCs w:val="18"/>
              </w:rPr>
              <w:t>Moira S</w:t>
            </w:r>
          </w:p>
        </w:tc>
        <w:tc>
          <w:tcPr>
            <w:tcW w:w="1021" w:type="dxa"/>
            <w:tcBorders>
              <w:top w:val="nil"/>
              <w:left w:val="single" w:sz="18" w:space="0" w:color="5F497A" w:themeColor="accent4" w:themeShade="BF"/>
              <w:bottom w:val="nil"/>
              <w:right w:val="nil"/>
            </w:tcBorders>
            <w:shd w:val="clear" w:color="auto" w:fill="auto"/>
            <w:vAlign w:val="bottom"/>
          </w:tcPr>
          <w:p w14:paraId="7C512120" w14:textId="4C203187" w:rsidR="00566EA9" w:rsidRPr="001D41EA" w:rsidRDefault="00566EA9" w:rsidP="001D41EA">
            <w:pPr>
              <w:spacing w:before="40" w:after="20"/>
              <w:jc w:val="center"/>
              <w:rPr>
                <w:rFonts w:cs="Arial"/>
                <w:sz w:val="18"/>
                <w:szCs w:val="18"/>
              </w:rPr>
            </w:pPr>
            <w:r w:rsidRPr="001D41EA">
              <w:rPr>
                <w:rFonts w:cs="Arial"/>
                <w:sz w:val="18"/>
                <w:szCs w:val="18"/>
              </w:rPr>
              <w:t>1.182</w:t>
            </w:r>
          </w:p>
        </w:tc>
        <w:tc>
          <w:tcPr>
            <w:tcW w:w="170" w:type="dxa"/>
            <w:tcBorders>
              <w:top w:val="nil"/>
              <w:left w:val="nil"/>
              <w:bottom w:val="nil"/>
              <w:right w:val="nil"/>
            </w:tcBorders>
            <w:shd w:val="clear" w:color="auto" w:fill="auto"/>
            <w:vAlign w:val="bottom"/>
          </w:tcPr>
          <w:p w14:paraId="4F70C8C0" w14:textId="227D595E"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34D25EF8" w14:textId="0A18DDB1" w:rsidR="00566EA9" w:rsidRPr="001D41EA" w:rsidRDefault="00566EA9" w:rsidP="001D41EA">
            <w:pPr>
              <w:spacing w:before="40" w:after="20"/>
              <w:jc w:val="center"/>
              <w:rPr>
                <w:rFonts w:cs="Arial"/>
                <w:sz w:val="18"/>
                <w:szCs w:val="18"/>
              </w:rPr>
            </w:pPr>
            <w:r w:rsidRPr="001D41EA">
              <w:rPr>
                <w:rFonts w:cs="Arial"/>
                <w:sz w:val="18"/>
                <w:szCs w:val="18"/>
              </w:rPr>
              <w:t>1.236</w:t>
            </w:r>
          </w:p>
        </w:tc>
        <w:tc>
          <w:tcPr>
            <w:tcW w:w="1021" w:type="dxa"/>
            <w:tcBorders>
              <w:top w:val="nil"/>
              <w:left w:val="nil"/>
              <w:bottom w:val="nil"/>
              <w:right w:val="nil"/>
            </w:tcBorders>
            <w:vAlign w:val="bottom"/>
          </w:tcPr>
          <w:p w14:paraId="0592152E" w14:textId="76FD7403" w:rsidR="00566EA9" w:rsidRPr="001D41EA" w:rsidRDefault="00566EA9" w:rsidP="001D41EA">
            <w:pPr>
              <w:spacing w:before="40" w:after="20"/>
              <w:jc w:val="center"/>
              <w:rPr>
                <w:rFonts w:cs="Arial"/>
                <w:sz w:val="18"/>
                <w:szCs w:val="18"/>
              </w:rPr>
            </w:pPr>
            <w:r w:rsidRPr="001D41EA">
              <w:rPr>
                <w:rFonts w:cs="Arial"/>
                <w:sz w:val="18"/>
                <w:szCs w:val="18"/>
              </w:rPr>
              <w:t>1.229</w:t>
            </w:r>
          </w:p>
        </w:tc>
        <w:tc>
          <w:tcPr>
            <w:tcW w:w="1021" w:type="dxa"/>
            <w:tcBorders>
              <w:top w:val="nil"/>
              <w:left w:val="nil"/>
              <w:bottom w:val="nil"/>
              <w:right w:val="nil"/>
            </w:tcBorders>
            <w:vAlign w:val="bottom"/>
          </w:tcPr>
          <w:p w14:paraId="50434B52" w14:textId="74589770" w:rsidR="00566EA9" w:rsidRPr="001D41EA" w:rsidRDefault="00566EA9" w:rsidP="001D41EA">
            <w:pPr>
              <w:spacing w:before="40" w:after="20"/>
              <w:jc w:val="center"/>
              <w:rPr>
                <w:rFonts w:cs="Arial"/>
                <w:sz w:val="18"/>
                <w:szCs w:val="18"/>
              </w:rPr>
            </w:pPr>
            <w:r w:rsidRPr="001D41EA">
              <w:rPr>
                <w:rFonts w:cs="Arial"/>
                <w:sz w:val="18"/>
                <w:szCs w:val="18"/>
              </w:rPr>
              <w:t>1.224</w:t>
            </w:r>
          </w:p>
        </w:tc>
        <w:tc>
          <w:tcPr>
            <w:tcW w:w="1021" w:type="dxa"/>
            <w:tcBorders>
              <w:top w:val="nil"/>
              <w:left w:val="nil"/>
              <w:bottom w:val="nil"/>
              <w:right w:val="nil"/>
            </w:tcBorders>
            <w:vAlign w:val="bottom"/>
          </w:tcPr>
          <w:p w14:paraId="432EF31F" w14:textId="05B6A9BD" w:rsidR="00566EA9" w:rsidRPr="001D41EA" w:rsidRDefault="00566EA9" w:rsidP="001D41EA">
            <w:pPr>
              <w:spacing w:before="40" w:after="20"/>
              <w:jc w:val="center"/>
              <w:rPr>
                <w:rFonts w:cs="Arial"/>
                <w:sz w:val="18"/>
                <w:szCs w:val="18"/>
              </w:rPr>
            </w:pPr>
            <w:r w:rsidRPr="001D41EA">
              <w:rPr>
                <w:rFonts w:cs="Arial"/>
                <w:sz w:val="18"/>
                <w:szCs w:val="18"/>
              </w:rPr>
              <w:t>1.234</w:t>
            </w:r>
          </w:p>
        </w:tc>
        <w:tc>
          <w:tcPr>
            <w:tcW w:w="1021" w:type="dxa"/>
            <w:tcBorders>
              <w:top w:val="nil"/>
              <w:left w:val="nil"/>
              <w:bottom w:val="nil"/>
              <w:right w:val="nil"/>
            </w:tcBorders>
            <w:vAlign w:val="bottom"/>
          </w:tcPr>
          <w:p w14:paraId="40AD58D0" w14:textId="4B9A697D" w:rsidR="00566EA9" w:rsidRPr="001D41EA" w:rsidRDefault="00566EA9" w:rsidP="001D41EA">
            <w:pPr>
              <w:spacing w:before="40" w:after="20"/>
              <w:jc w:val="center"/>
              <w:rPr>
                <w:rFonts w:cs="Arial"/>
                <w:sz w:val="18"/>
                <w:szCs w:val="18"/>
              </w:rPr>
            </w:pPr>
            <w:r w:rsidRPr="001D41EA">
              <w:rPr>
                <w:rFonts w:cs="Arial"/>
                <w:sz w:val="18"/>
                <w:szCs w:val="18"/>
              </w:rPr>
              <w:t>1.218</w:t>
            </w:r>
          </w:p>
        </w:tc>
        <w:tc>
          <w:tcPr>
            <w:tcW w:w="170" w:type="dxa"/>
            <w:tcBorders>
              <w:top w:val="nil"/>
              <w:left w:val="nil"/>
              <w:bottom w:val="nil"/>
              <w:right w:val="nil"/>
            </w:tcBorders>
            <w:vAlign w:val="bottom"/>
          </w:tcPr>
          <w:p w14:paraId="5534FD1A" w14:textId="3429F79B"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6CDEAA9B" w14:textId="573B68C2" w:rsidR="00566EA9" w:rsidRPr="001D41EA" w:rsidRDefault="00566EA9" w:rsidP="001D41EA">
            <w:pPr>
              <w:spacing w:before="40" w:after="20"/>
              <w:jc w:val="center"/>
              <w:rPr>
                <w:rFonts w:cs="Arial"/>
                <w:sz w:val="18"/>
                <w:szCs w:val="18"/>
              </w:rPr>
            </w:pPr>
            <w:r w:rsidRPr="001D41EA">
              <w:rPr>
                <w:rFonts w:cs="Arial"/>
                <w:sz w:val="18"/>
                <w:szCs w:val="18"/>
              </w:rPr>
              <w:t>1.256</w:t>
            </w:r>
          </w:p>
        </w:tc>
      </w:tr>
      <w:tr w:rsidR="00566EA9" w:rsidRPr="001D41EA" w14:paraId="4E29265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8E265E1" w14:textId="77777777" w:rsidR="00566EA9" w:rsidRPr="001D41EA" w:rsidRDefault="00566EA9" w:rsidP="001D41EA">
            <w:pPr>
              <w:spacing w:before="40" w:after="20"/>
              <w:rPr>
                <w:rFonts w:cs="Arial"/>
                <w:sz w:val="18"/>
                <w:szCs w:val="18"/>
              </w:rPr>
            </w:pPr>
            <w:r w:rsidRPr="001D41EA">
              <w:rPr>
                <w:rFonts w:cs="Arial"/>
                <w:sz w:val="18"/>
                <w:szCs w:val="18"/>
              </w:rPr>
              <w:t>Monash C</w:t>
            </w:r>
          </w:p>
        </w:tc>
        <w:tc>
          <w:tcPr>
            <w:tcW w:w="1021" w:type="dxa"/>
            <w:tcBorders>
              <w:top w:val="nil"/>
              <w:left w:val="single" w:sz="18" w:space="0" w:color="5F497A" w:themeColor="accent4" w:themeShade="BF"/>
              <w:bottom w:val="nil"/>
              <w:right w:val="nil"/>
            </w:tcBorders>
            <w:shd w:val="clear" w:color="auto" w:fill="auto"/>
            <w:vAlign w:val="bottom"/>
          </w:tcPr>
          <w:p w14:paraId="706B232E" w14:textId="1D2EC6E6" w:rsidR="00566EA9" w:rsidRPr="001D41EA" w:rsidRDefault="00566EA9" w:rsidP="001D41EA">
            <w:pPr>
              <w:spacing w:before="40" w:after="20"/>
              <w:jc w:val="center"/>
              <w:rPr>
                <w:rFonts w:cs="Arial"/>
                <w:sz w:val="18"/>
                <w:szCs w:val="18"/>
              </w:rPr>
            </w:pPr>
            <w:r w:rsidRPr="001D41EA">
              <w:rPr>
                <w:rFonts w:cs="Arial"/>
                <w:sz w:val="18"/>
                <w:szCs w:val="18"/>
              </w:rPr>
              <w:t>1.025</w:t>
            </w:r>
          </w:p>
        </w:tc>
        <w:tc>
          <w:tcPr>
            <w:tcW w:w="170" w:type="dxa"/>
            <w:tcBorders>
              <w:top w:val="nil"/>
              <w:left w:val="nil"/>
              <w:bottom w:val="nil"/>
              <w:right w:val="nil"/>
            </w:tcBorders>
            <w:shd w:val="clear" w:color="auto" w:fill="auto"/>
            <w:vAlign w:val="bottom"/>
          </w:tcPr>
          <w:p w14:paraId="59318FA0" w14:textId="789E3AB3"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5D5FC6F6" w14:textId="26913907" w:rsidR="00566EA9" w:rsidRPr="001D41EA" w:rsidRDefault="00566EA9" w:rsidP="001D41EA">
            <w:pPr>
              <w:spacing w:before="40" w:after="20"/>
              <w:jc w:val="center"/>
              <w:rPr>
                <w:rFonts w:cs="Arial"/>
                <w:sz w:val="18"/>
                <w:szCs w:val="18"/>
              </w:rPr>
            </w:pPr>
            <w:r w:rsidRPr="001D41EA">
              <w:rPr>
                <w:rFonts w:cs="Arial"/>
                <w:sz w:val="18"/>
                <w:szCs w:val="18"/>
              </w:rPr>
              <w:t>0.911</w:t>
            </w:r>
          </w:p>
        </w:tc>
        <w:tc>
          <w:tcPr>
            <w:tcW w:w="1021" w:type="dxa"/>
            <w:tcBorders>
              <w:top w:val="nil"/>
              <w:left w:val="nil"/>
              <w:bottom w:val="nil"/>
              <w:right w:val="nil"/>
            </w:tcBorders>
            <w:vAlign w:val="bottom"/>
          </w:tcPr>
          <w:p w14:paraId="3E60C367" w14:textId="2C45825C" w:rsidR="00566EA9" w:rsidRPr="001D41EA" w:rsidRDefault="00566EA9" w:rsidP="001D41EA">
            <w:pPr>
              <w:spacing w:before="40" w:after="20"/>
              <w:jc w:val="center"/>
              <w:rPr>
                <w:rFonts w:cs="Arial"/>
                <w:sz w:val="18"/>
                <w:szCs w:val="18"/>
              </w:rPr>
            </w:pPr>
            <w:r w:rsidRPr="001D41EA">
              <w:rPr>
                <w:rFonts w:cs="Arial"/>
                <w:sz w:val="18"/>
                <w:szCs w:val="18"/>
              </w:rPr>
              <w:t>0.906</w:t>
            </w:r>
          </w:p>
        </w:tc>
        <w:tc>
          <w:tcPr>
            <w:tcW w:w="1021" w:type="dxa"/>
            <w:tcBorders>
              <w:top w:val="nil"/>
              <w:left w:val="nil"/>
              <w:bottom w:val="nil"/>
              <w:right w:val="nil"/>
            </w:tcBorders>
            <w:vAlign w:val="bottom"/>
          </w:tcPr>
          <w:p w14:paraId="21351FCF" w14:textId="01A6BB79" w:rsidR="00566EA9" w:rsidRPr="001D41EA" w:rsidRDefault="00566EA9" w:rsidP="001D41EA">
            <w:pPr>
              <w:spacing w:before="40" w:after="20"/>
              <w:jc w:val="center"/>
              <w:rPr>
                <w:rFonts w:cs="Arial"/>
                <w:sz w:val="18"/>
                <w:szCs w:val="18"/>
              </w:rPr>
            </w:pPr>
            <w:r w:rsidRPr="001D41EA">
              <w:rPr>
                <w:rFonts w:cs="Arial"/>
                <w:sz w:val="18"/>
                <w:szCs w:val="18"/>
              </w:rPr>
              <w:t>0.903</w:t>
            </w:r>
          </w:p>
        </w:tc>
        <w:tc>
          <w:tcPr>
            <w:tcW w:w="1021" w:type="dxa"/>
            <w:tcBorders>
              <w:top w:val="nil"/>
              <w:left w:val="nil"/>
              <w:bottom w:val="nil"/>
              <w:right w:val="nil"/>
            </w:tcBorders>
            <w:vAlign w:val="bottom"/>
          </w:tcPr>
          <w:p w14:paraId="42106805" w14:textId="7472BF56" w:rsidR="00566EA9" w:rsidRPr="001D41EA" w:rsidRDefault="00566EA9" w:rsidP="001D41EA">
            <w:pPr>
              <w:spacing w:before="40" w:after="20"/>
              <w:jc w:val="center"/>
              <w:rPr>
                <w:rFonts w:cs="Arial"/>
                <w:sz w:val="18"/>
                <w:szCs w:val="18"/>
              </w:rPr>
            </w:pPr>
            <w:r w:rsidRPr="001D41EA">
              <w:rPr>
                <w:rFonts w:cs="Arial"/>
                <w:sz w:val="18"/>
                <w:szCs w:val="18"/>
              </w:rPr>
              <w:t>0.910</w:t>
            </w:r>
          </w:p>
        </w:tc>
        <w:tc>
          <w:tcPr>
            <w:tcW w:w="1021" w:type="dxa"/>
            <w:tcBorders>
              <w:top w:val="nil"/>
              <w:left w:val="nil"/>
              <w:bottom w:val="nil"/>
              <w:right w:val="nil"/>
            </w:tcBorders>
            <w:vAlign w:val="bottom"/>
          </w:tcPr>
          <w:p w14:paraId="0E12166D" w14:textId="712330CA" w:rsidR="00566EA9" w:rsidRPr="001D41EA" w:rsidRDefault="00566EA9" w:rsidP="001D41EA">
            <w:pPr>
              <w:spacing w:before="40" w:after="20"/>
              <w:jc w:val="center"/>
              <w:rPr>
                <w:rFonts w:cs="Arial"/>
                <w:sz w:val="18"/>
                <w:szCs w:val="18"/>
              </w:rPr>
            </w:pPr>
            <w:r w:rsidRPr="001D41EA">
              <w:rPr>
                <w:rFonts w:cs="Arial"/>
                <w:sz w:val="18"/>
                <w:szCs w:val="18"/>
              </w:rPr>
              <w:t>0.898</w:t>
            </w:r>
          </w:p>
        </w:tc>
        <w:tc>
          <w:tcPr>
            <w:tcW w:w="170" w:type="dxa"/>
            <w:tcBorders>
              <w:top w:val="nil"/>
              <w:left w:val="nil"/>
              <w:bottom w:val="nil"/>
              <w:right w:val="nil"/>
            </w:tcBorders>
            <w:vAlign w:val="bottom"/>
          </w:tcPr>
          <w:p w14:paraId="66F31F59" w14:textId="490CCE8C"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18068BAD" w14:textId="02D42825" w:rsidR="00566EA9" w:rsidRPr="001D41EA" w:rsidRDefault="00566EA9" w:rsidP="001D41EA">
            <w:pPr>
              <w:spacing w:before="40" w:after="20"/>
              <w:jc w:val="center"/>
              <w:rPr>
                <w:rFonts w:cs="Arial"/>
                <w:sz w:val="18"/>
                <w:szCs w:val="18"/>
              </w:rPr>
            </w:pPr>
            <w:r w:rsidRPr="001D41EA">
              <w:rPr>
                <w:rFonts w:cs="Arial"/>
                <w:sz w:val="18"/>
                <w:szCs w:val="18"/>
              </w:rPr>
              <w:t>0.870</w:t>
            </w:r>
          </w:p>
        </w:tc>
      </w:tr>
      <w:tr w:rsidR="00566EA9" w:rsidRPr="001D41EA" w14:paraId="47627B5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BB1B8AC" w14:textId="77777777" w:rsidR="00566EA9" w:rsidRPr="001D41EA" w:rsidRDefault="00566EA9" w:rsidP="001D41EA">
            <w:pPr>
              <w:spacing w:before="40" w:after="20"/>
              <w:rPr>
                <w:rFonts w:cs="Arial"/>
                <w:sz w:val="18"/>
                <w:szCs w:val="18"/>
              </w:rPr>
            </w:pPr>
            <w:r w:rsidRPr="001D41EA">
              <w:rPr>
                <w:rFonts w:cs="Arial"/>
                <w:sz w:val="18"/>
                <w:szCs w:val="18"/>
              </w:rPr>
              <w:t>Moonee Valley C</w:t>
            </w:r>
          </w:p>
        </w:tc>
        <w:tc>
          <w:tcPr>
            <w:tcW w:w="1021" w:type="dxa"/>
            <w:tcBorders>
              <w:top w:val="nil"/>
              <w:left w:val="single" w:sz="18" w:space="0" w:color="5F497A" w:themeColor="accent4" w:themeShade="BF"/>
              <w:bottom w:val="nil"/>
              <w:right w:val="nil"/>
            </w:tcBorders>
            <w:shd w:val="clear" w:color="auto" w:fill="auto"/>
            <w:vAlign w:val="bottom"/>
          </w:tcPr>
          <w:p w14:paraId="0C064DC5" w14:textId="2014B456" w:rsidR="00566EA9" w:rsidRPr="001D41EA" w:rsidRDefault="00566EA9" w:rsidP="001D41EA">
            <w:pPr>
              <w:spacing w:before="40" w:after="20"/>
              <w:jc w:val="center"/>
              <w:rPr>
                <w:rFonts w:cs="Arial"/>
                <w:sz w:val="18"/>
                <w:szCs w:val="18"/>
              </w:rPr>
            </w:pPr>
            <w:r w:rsidRPr="001D41EA">
              <w:rPr>
                <w:rFonts w:cs="Arial"/>
                <w:sz w:val="18"/>
                <w:szCs w:val="18"/>
              </w:rPr>
              <w:t>1.024</w:t>
            </w:r>
          </w:p>
        </w:tc>
        <w:tc>
          <w:tcPr>
            <w:tcW w:w="170" w:type="dxa"/>
            <w:tcBorders>
              <w:top w:val="nil"/>
              <w:left w:val="nil"/>
              <w:bottom w:val="nil"/>
              <w:right w:val="nil"/>
            </w:tcBorders>
            <w:shd w:val="clear" w:color="auto" w:fill="auto"/>
            <w:vAlign w:val="bottom"/>
          </w:tcPr>
          <w:p w14:paraId="68E22347" w14:textId="2E3A4B2E"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46705B25" w14:textId="5557171E" w:rsidR="00566EA9" w:rsidRPr="001D41EA" w:rsidRDefault="00566EA9" w:rsidP="001D41EA">
            <w:pPr>
              <w:spacing w:before="40" w:after="20"/>
              <w:jc w:val="center"/>
              <w:rPr>
                <w:rFonts w:cs="Arial"/>
                <w:sz w:val="18"/>
                <w:szCs w:val="18"/>
              </w:rPr>
            </w:pPr>
            <w:r w:rsidRPr="001D41EA">
              <w:rPr>
                <w:rFonts w:cs="Arial"/>
                <w:sz w:val="18"/>
                <w:szCs w:val="18"/>
              </w:rPr>
              <w:t>1.049</w:t>
            </w:r>
          </w:p>
        </w:tc>
        <w:tc>
          <w:tcPr>
            <w:tcW w:w="1021" w:type="dxa"/>
            <w:tcBorders>
              <w:top w:val="nil"/>
              <w:left w:val="nil"/>
              <w:bottom w:val="nil"/>
              <w:right w:val="nil"/>
            </w:tcBorders>
            <w:vAlign w:val="bottom"/>
          </w:tcPr>
          <w:p w14:paraId="5F657A0C" w14:textId="091EBC82" w:rsidR="00566EA9" w:rsidRPr="001D41EA" w:rsidRDefault="00566EA9" w:rsidP="001D41EA">
            <w:pPr>
              <w:spacing w:before="40" w:after="20"/>
              <w:jc w:val="center"/>
              <w:rPr>
                <w:rFonts w:cs="Arial"/>
                <w:sz w:val="18"/>
                <w:szCs w:val="18"/>
              </w:rPr>
            </w:pPr>
            <w:r w:rsidRPr="001D41EA">
              <w:rPr>
                <w:rFonts w:cs="Arial"/>
                <w:sz w:val="18"/>
                <w:szCs w:val="18"/>
              </w:rPr>
              <w:t>1.043</w:t>
            </w:r>
          </w:p>
        </w:tc>
        <w:tc>
          <w:tcPr>
            <w:tcW w:w="1021" w:type="dxa"/>
            <w:tcBorders>
              <w:top w:val="nil"/>
              <w:left w:val="nil"/>
              <w:bottom w:val="nil"/>
              <w:right w:val="nil"/>
            </w:tcBorders>
            <w:vAlign w:val="bottom"/>
          </w:tcPr>
          <w:p w14:paraId="530815DF" w14:textId="7B327C33" w:rsidR="00566EA9" w:rsidRPr="001D41EA" w:rsidRDefault="00566EA9" w:rsidP="001D41EA">
            <w:pPr>
              <w:spacing w:before="40" w:after="20"/>
              <w:jc w:val="center"/>
              <w:rPr>
                <w:rFonts w:cs="Arial"/>
                <w:sz w:val="18"/>
                <w:szCs w:val="18"/>
              </w:rPr>
            </w:pPr>
            <w:r w:rsidRPr="001D41EA">
              <w:rPr>
                <w:rFonts w:cs="Arial"/>
                <w:sz w:val="18"/>
                <w:szCs w:val="18"/>
              </w:rPr>
              <w:t>1.039</w:t>
            </w:r>
          </w:p>
        </w:tc>
        <w:tc>
          <w:tcPr>
            <w:tcW w:w="1021" w:type="dxa"/>
            <w:tcBorders>
              <w:top w:val="nil"/>
              <w:left w:val="nil"/>
              <w:bottom w:val="nil"/>
              <w:right w:val="nil"/>
            </w:tcBorders>
            <w:vAlign w:val="bottom"/>
          </w:tcPr>
          <w:p w14:paraId="066DC79B" w14:textId="5AD39A7A" w:rsidR="00566EA9" w:rsidRPr="001D41EA" w:rsidRDefault="00566EA9" w:rsidP="001D41EA">
            <w:pPr>
              <w:spacing w:before="40" w:after="20"/>
              <w:jc w:val="center"/>
              <w:rPr>
                <w:rFonts w:cs="Arial"/>
                <w:sz w:val="18"/>
                <w:szCs w:val="18"/>
              </w:rPr>
            </w:pPr>
            <w:r w:rsidRPr="001D41EA">
              <w:rPr>
                <w:rFonts w:cs="Arial"/>
                <w:sz w:val="18"/>
                <w:szCs w:val="18"/>
              </w:rPr>
              <w:t>1.047</w:t>
            </w:r>
          </w:p>
        </w:tc>
        <w:tc>
          <w:tcPr>
            <w:tcW w:w="1021" w:type="dxa"/>
            <w:tcBorders>
              <w:top w:val="nil"/>
              <w:left w:val="nil"/>
              <w:bottom w:val="nil"/>
              <w:right w:val="nil"/>
            </w:tcBorders>
            <w:vAlign w:val="bottom"/>
          </w:tcPr>
          <w:p w14:paraId="783BDAFC" w14:textId="02DA0E2B" w:rsidR="00566EA9" w:rsidRPr="001D41EA" w:rsidRDefault="00566EA9" w:rsidP="001D41EA">
            <w:pPr>
              <w:spacing w:before="40" w:after="20"/>
              <w:jc w:val="center"/>
              <w:rPr>
                <w:rFonts w:cs="Arial"/>
                <w:sz w:val="18"/>
                <w:szCs w:val="18"/>
              </w:rPr>
            </w:pPr>
            <w:r w:rsidRPr="001D41EA">
              <w:rPr>
                <w:rFonts w:cs="Arial"/>
                <w:sz w:val="18"/>
                <w:szCs w:val="18"/>
              </w:rPr>
              <w:t>1.033</w:t>
            </w:r>
          </w:p>
        </w:tc>
        <w:tc>
          <w:tcPr>
            <w:tcW w:w="170" w:type="dxa"/>
            <w:tcBorders>
              <w:top w:val="nil"/>
              <w:left w:val="nil"/>
              <w:bottom w:val="nil"/>
              <w:right w:val="nil"/>
            </w:tcBorders>
            <w:vAlign w:val="bottom"/>
          </w:tcPr>
          <w:p w14:paraId="2B4CE09F" w14:textId="0B5CB784"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3F51FCF8" w14:textId="75868ED0" w:rsidR="00566EA9" w:rsidRPr="001D41EA" w:rsidRDefault="00566EA9" w:rsidP="001D41EA">
            <w:pPr>
              <w:spacing w:before="40" w:after="20"/>
              <w:jc w:val="center"/>
              <w:rPr>
                <w:rFonts w:cs="Arial"/>
                <w:sz w:val="18"/>
                <w:szCs w:val="18"/>
              </w:rPr>
            </w:pPr>
            <w:r w:rsidRPr="001D41EA">
              <w:rPr>
                <w:rFonts w:cs="Arial"/>
                <w:sz w:val="18"/>
                <w:szCs w:val="18"/>
              </w:rPr>
              <w:t>0.878</w:t>
            </w:r>
          </w:p>
        </w:tc>
      </w:tr>
      <w:tr w:rsidR="00566EA9" w:rsidRPr="001D41EA" w14:paraId="656F942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8221910" w14:textId="77777777" w:rsidR="00566EA9" w:rsidRPr="001D41EA" w:rsidRDefault="00566EA9" w:rsidP="001D41EA">
            <w:pPr>
              <w:spacing w:before="40" w:after="20"/>
              <w:rPr>
                <w:rFonts w:cs="Arial"/>
                <w:sz w:val="18"/>
                <w:szCs w:val="18"/>
              </w:rPr>
            </w:pPr>
            <w:r w:rsidRPr="001D41EA">
              <w:rPr>
                <w:rFonts w:cs="Arial"/>
                <w:sz w:val="18"/>
                <w:szCs w:val="18"/>
              </w:rPr>
              <w:t>Moorabool S</w:t>
            </w:r>
          </w:p>
        </w:tc>
        <w:tc>
          <w:tcPr>
            <w:tcW w:w="1021" w:type="dxa"/>
            <w:tcBorders>
              <w:top w:val="nil"/>
              <w:left w:val="single" w:sz="18" w:space="0" w:color="5F497A" w:themeColor="accent4" w:themeShade="BF"/>
              <w:bottom w:val="nil"/>
              <w:right w:val="nil"/>
            </w:tcBorders>
            <w:shd w:val="clear" w:color="auto" w:fill="auto"/>
            <w:vAlign w:val="bottom"/>
          </w:tcPr>
          <w:p w14:paraId="3F284298" w14:textId="4621AF2E" w:rsidR="00566EA9" w:rsidRPr="001D41EA" w:rsidRDefault="00566EA9" w:rsidP="001D41EA">
            <w:pPr>
              <w:spacing w:before="40" w:after="20"/>
              <w:jc w:val="center"/>
              <w:rPr>
                <w:rFonts w:cs="Arial"/>
                <w:sz w:val="18"/>
                <w:szCs w:val="18"/>
              </w:rPr>
            </w:pPr>
            <w:r w:rsidRPr="001D41EA">
              <w:rPr>
                <w:rFonts w:cs="Arial"/>
                <w:sz w:val="18"/>
                <w:szCs w:val="18"/>
              </w:rPr>
              <w:t>1.017</w:t>
            </w:r>
          </w:p>
        </w:tc>
        <w:tc>
          <w:tcPr>
            <w:tcW w:w="170" w:type="dxa"/>
            <w:tcBorders>
              <w:top w:val="nil"/>
              <w:left w:val="nil"/>
              <w:bottom w:val="nil"/>
              <w:right w:val="nil"/>
            </w:tcBorders>
            <w:shd w:val="clear" w:color="auto" w:fill="auto"/>
            <w:vAlign w:val="bottom"/>
          </w:tcPr>
          <w:p w14:paraId="068F9B83" w14:textId="27F98F2A"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4E4D9F58" w14:textId="154A4005" w:rsidR="00566EA9" w:rsidRPr="001D41EA" w:rsidRDefault="00566EA9" w:rsidP="001D41EA">
            <w:pPr>
              <w:spacing w:before="40" w:after="20"/>
              <w:jc w:val="center"/>
              <w:rPr>
                <w:rFonts w:cs="Arial"/>
                <w:sz w:val="18"/>
                <w:szCs w:val="18"/>
              </w:rPr>
            </w:pPr>
            <w:r w:rsidRPr="001D41EA">
              <w:rPr>
                <w:rFonts w:cs="Arial"/>
                <w:sz w:val="18"/>
                <w:szCs w:val="18"/>
              </w:rPr>
              <w:t>1.227</w:t>
            </w:r>
          </w:p>
        </w:tc>
        <w:tc>
          <w:tcPr>
            <w:tcW w:w="1021" w:type="dxa"/>
            <w:tcBorders>
              <w:top w:val="nil"/>
              <w:left w:val="nil"/>
              <w:bottom w:val="nil"/>
              <w:right w:val="nil"/>
            </w:tcBorders>
            <w:vAlign w:val="bottom"/>
          </w:tcPr>
          <w:p w14:paraId="12E6DA00" w14:textId="5C86BE28" w:rsidR="00566EA9" w:rsidRPr="001D41EA" w:rsidRDefault="00566EA9" w:rsidP="001D41EA">
            <w:pPr>
              <w:spacing w:before="40" w:after="20"/>
              <w:jc w:val="center"/>
              <w:rPr>
                <w:rFonts w:cs="Arial"/>
                <w:sz w:val="18"/>
                <w:szCs w:val="18"/>
              </w:rPr>
            </w:pPr>
            <w:r w:rsidRPr="001D41EA">
              <w:rPr>
                <w:rFonts w:cs="Arial"/>
                <w:sz w:val="18"/>
                <w:szCs w:val="18"/>
              </w:rPr>
              <w:t>1.221</w:t>
            </w:r>
          </w:p>
        </w:tc>
        <w:tc>
          <w:tcPr>
            <w:tcW w:w="1021" w:type="dxa"/>
            <w:tcBorders>
              <w:top w:val="nil"/>
              <w:left w:val="nil"/>
              <w:bottom w:val="nil"/>
              <w:right w:val="nil"/>
            </w:tcBorders>
            <w:vAlign w:val="bottom"/>
          </w:tcPr>
          <w:p w14:paraId="3D45DC1C" w14:textId="3839E32B" w:rsidR="00566EA9" w:rsidRPr="001D41EA" w:rsidRDefault="00566EA9" w:rsidP="001D41EA">
            <w:pPr>
              <w:spacing w:before="40" w:after="20"/>
              <w:jc w:val="center"/>
              <w:rPr>
                <w:rFonts w:cs="Arial"/>
                <w:sz w:val="18"/>
                <w:szCs w:val="18"/>
              </w:rPr>
            </w:pPr>
            <w:r w:rsidRPr="001D41EA">
              <w:rPr>
                <w:rFonts w:cs="Arial"/>
                <w:sz w:val="18"/>
                <w:szCs w:val="18"/>
              </w:rPr>
              <w:t>1.216</w:t>
            </w:r>
          </w:p>
        </w:tc>
        <w:tc>
          <w:tcPr>
            <w:tcW w:w="1021" w:type="dxa"/>
            <w:tcBorders>
              <w:top w:val="nil"/>
              <w:left w:val="nil"/>
              <w:bottom w:val="nil"/>
              <w:right w:val="nil"/>
            </w:tcBorders>
            <w:vAlign w:val="bottom"/>
          </w:tcPr>
          <w:p w14:paraId="5CC4913A" w14:textId="1FCCABE9" w:rsidR="00566EA9" w:rsidRPr="001D41EA" w:rsidRDefault="00566EA9" w:rsidP="001D41EA">
            <w:pPr>
              <w:spacing w:before="40" w:after="20"/>
              <w:jc w:val="center"/>
              <w:rPr>
                <w:rFonts w:cs="Arial"/>
                <w:sz w:val="18"/>
                <w:szCs w:val="18"/>
              </w:rPr>
            </w:pPr>
            <w:r w:rsidRPr="001D41EA">
              <w:rPr>
                <w:rFonts w:cs="Arial"/>
                <w:sz w:val="18"/>
                <w:szCs w:val="18"/>
              </w:rPr>
              <w:t>1.226</w:t>
            </w:r>
          </w:p>
        </w:tc>
        <w:tc>
          <w:tcPr>
            <w:tcW w:w="1021" w:type="dxa"/>
            <w:tcBorders>
              <w:top w:val="nil"/>
              <w:left w:val="nil"/>
              <w:bottom w:val="nil"/>
              <w:right w:val="nil"/>
            </w:tcBorders>
            <w:vAlign w:val="bottom"/>
          </w:tcPr>
          <w:p w14:paraId="3C19FB29" w14:textId="09EBC178" w:rsidR="00566EA9" w:rsidRPr="001D41EA" w:rsidRDefault="00566EA9" w:rsidP="001D41EA">
            <w:pPr>
              <w:spacing w:before="40" w:after="20"/>
              <w:jc w:val="center"/>
              <w:rPr>
                <w:rFonts w:cs="Arial"/>
                <w:sz w:val="18"/>
                <w:szCs w:val="18"/>
              </w:rPr>
            </w:pPr>
            <w:r w:rsidRPr="001D41EA">
              <w:rPr>
                <w:rFonts w:cs="Arial"/>
                <w:sz w:val="18"/>
                <w:szCs w:val="18"/>
              </w:rPr>
              <w:t>1.210</w:t>
            </w:r>
          </w:p>
        </w:tc>
        <w:tc>
          <w:tcPr>
            <w:tcW w:w="170" w:type="dxa"/>
            <w:tcBorders>
              <w:top w:val="nil"/>
              <w:left w:val="nil"/>
              <w:bottom w:val="nil"/>
              <w:right w:val="nil"/>
            </w:tcBorders>
            <w:vAlign w:val="bottom"/>
          </w:tcPr>
          <w:p w14:paraId="4BC51754" w14:textId="7EF8F095"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631CDDA3" w14:textId="5BA0EADF" w:rsidR="00566EA9" w:rsidRPr="001D41EA" w:rsidRDefault="00566EA9" w:rsidP="001D41EA">
            <w:pPr>
              <w:spacing w:before="40" w:after="20"/>
              <w:jc w:val="center"/>
              <w:rPr>
                <w:rFonts w:cs="Arial"/>
                <w:sz w:val="18"/>
                <w:szCs w:val="18"/>
              </w:rPr>
            </w:pPr>
            <w:r w:rsidRPr="001D41EA">
              <w:rPr>
                <w:rFonts w:cs="Arial"/>
                <w:sz w:val="18"/>
                <w:szCs w:val="18"/>
              </w:rPr>
              <w:t>1.238</w:t>
            </w:r>
          </w:p>
        </w:tc>
      </w:tr>
      <w:tr w:rsidR="00566EA9" w:rsidRPr="001D41EA" w14:paraId="538089A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49453A6" w14:textId="77777777" w:rsidR="00566EA9" w:rsidRPr="001D41EA" w:rsidRDefault="00566EA9" w:rsidP="001D41EA">
            <w:pPr>
              <w:spacing w:before="40" w:after="20"/>
              <w:rPr>
                <w:rFonts w:cs="Arial"/>
                <w:sz w:val="18"/>
                <w:szCs w:val="18"/>
              </w:rPr>
            </w:pPr>
            <w:r w:rsidRPr="001D41EA">
              <w:rPr>
                <w:rFonts w:cs="Arial"/>
                <w:sz w:val="18"/>
                <w:szCs w:val="18"/>
              </w:rPr>
              <w:t>Moreland C</w:t>
            </w:r>
          </w:p>
        </w:tc>
        <w:tc>
          <w:tcPr>
            <w:tcW w:w="1021" w:type="dxa"/>
            <w:tcBorders>
              <w:top w:val="nil"/>
              <w:left w:val="single" w:sz="18" w:space="0" w:color="5F497A" w:themeColor="accent4" w:themeShade="BF"/>
              <w:bottom w:val="nil"/>
              <w:right w:val="nil"/>
            </w:tcBorders>
            <w:shd w:val="clear" w:color="auto" w:fill="auto"/>
            <w:vAlign w:val="bottom"/>
          </w:tcPr>
          <w:p w14:paraId="4959BDDA" w14:textId="475F50F7" w:rsidR="00566EA9" w:rsidRPr="001D41EA" w:rsidRDefault="00566EA9" w:rsidP="001D41EA">
            <w:pPr>
              <w:spacing w:before="40" w:after="20"/>
              <w:jc w:val="center"/>
              <w:rPr>
                <w:rFonts w:cs="Arial"/>
                <w:sz w:val="18"/>
                <w:szCs w:val="18"/>
              </w:rPr>
            </w:pPr>
            <w:r w:rsidRPr="001D41EA">
              <w:rPr>
                <w:rFonts w:cs="Arial"/>
                <w:sz w:val="18"/>
                <w:szCs w:val="18"/>
              </w:rPr>
              <w:t>1.082</w:t>
            </w:r>
          </w:p>
        </w:tc>
        <w:tc>
          <w:tcPr>
            <w:tcW w:w="170" w:type="dxa"/>
            <w:tcBorders>
              <w:top w:val="nil"/>
              <w:left w:val="nil"/>
              <w:bottom w:val="nil"/>
              <w:right w:val="nil"/>
            </w:tcBorders>
            <w:shd w:val="clear" w:color="auto" w:fill="auto"/>
            <w:vAlign w:val="bottom"/>
          </w:tcPr>
          <w:p w14:paraId="12D53707" w14:textId="1AFEA925"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18ACD16D" w14:textId="2EB1F969" w:rsidR="00566EA9" w:rsidRPr="001D41EA" w:rsidRDefault="00566EA9" w:rsidP="001D41EA">
            <w:pPr>
              <w:spacing w:before="40" w:after="20"/>
              <w:jc w:val="center"/>
              <w:rPr>
                <w:rFonts w:cs="Arial"/>
                <w:sz w:val="18"/>
                <w:szCs w:val="18"/>
              </w:rPr>
            </w:pPr>
            <w:r w:rsidRPr="001D41EA">
              <w:rPr>
                <w:rFonts w:cs="Arial"/>
                <w:sz w:val="18"/>
                <w:szCs w:val="18"/>
              </w:rPr>
              <w:t>0.946</w:t>
            </w:r>
          </w:p>
        </w:tc>
        <w:tc>
          <w:tcPr>
            <w:tcW w:w="1021" w:type="dxa"/>
            <w:tcBorders>
              <w:top w:val="nil"/>
              <w:left w:val="nil"/>
              <w:bottom w:val="nil"/>
              <w:right w:val="nil"/>
            </w:tcBorders>
            <w:vAlign w:val="bottom"/>
          </w:tcPr>
          <w:p w14:paraId="38EAF9D2" w14:textId="7CB9F746" w:rsidR="00566EA9" w:rsidRPr="001D41EA" w:rsidRDefault="00566EA9" w:rsidP="001D41EA">
            <w:pPr>
              <w:spacing w:before="40" w:after="20"/>
              <w:jc w:val="center"/>
              <w:rPr>
                <w:rFonts w:cs="Arial"/>
                <w:sz w:val="18"/>
                <w:szCs w:val="18"/>
              </w:rPr>
            </w:pPr>
            <w:r w:rsidRPr="001D41EA">
              <w:rPr>
                <w:rFonts w:cs="Arial"/>
                <w:sz w:val="18"/>
                <w:szCs w:val="18"/>
              </w:rPr>
              <w:t>0.941</w:t>
            </w:r>
          </w:p>
        </w:tc>
        <w:tc>
          <w:tcPr>
            <w:tcW w:w="1021" w:type="dxa"/>
            <w:tcBorders>
              <w:top w:val="nil"/>
              <w:left w:val="nil"/>
              <w:bottom w:val="nil"/>
              <w:right w:val="nil"/>
            </w:tcBorders>
            <w:vAlign w:val="bottom"/>
          </w:tcPr>
          <w:p w14:paraId="297EC21C" w14:textId="0550393C" w:rsidR="00566EA9" w:rsidRPr="001D41EA" w:rsidRDefault="00566EA9" w:rsidP="001D41EA">
            <w:pPr>
              <w:spacing w:before="40" w:after="20"/>
              <w:jc w:val="center"/>
              <w:rPr>
                <w:rFonts w:cs="Arial"/>
                <w:sz w:val="18"/>
                <w:szCs w:val="18"/>
              </w:rPr>
            </w:pPr>
            <w:r w:rsidRPr="001D41EA">
              <w:rPr>
                <w:rFonts w:cs="Arial"/>
                <w:sz w:val="18"/>
                <w:szCs w:val="18"/>
              </w:rPr>
              <w:t>0.937</w:t>
            </w:r>
          </w:p>
        </w:tc>
        <w:tc>
          <w:tcPr>
            <w:tcW w:w="1021" w:type="dxa"/>
            <w:tcBorders>
              <w:top w:val="nil"/>
              <w:left w:val="nil"/>
              <w:bottom w:val="nil"/>
              <w:right w:val="nil"/>
            </w:tcBorders>
            <w:vAlign w:val="bottom"/>
          </w:tcPr>
          <w:p w14:paraId="4954B225" w14:textId="71B06F90" w:rsidR="00566EA9" w:rsidRPr="001D41EA" w:rsidRDefault="00566EA9" w:rsidP="001D41EA">
            <w:pPr>
              <w:spacing w:before="40" w:after="20"/>
              <w:jc w:val="center"/>
              <w:rPr>
                <w:rFonts w:cs="Arial"/>
                <w:sz w:val="18"/>
                <w:szCs w:val="18"/>
              </w:rPr>
            </w:pPr>
            <w:r w:rsidRPr="001D41EA">
              <w:rPr>
                <w:rFonts w:cs="Arial"/>
                <w:sz w:val="18"/>
                <w:szCs w:val="18"/>
              </w:rPr>
              <w:t>0.945</w:t>
            </w:r>
          </w:p>
        </w:tc>
        <w:tc>
          <w:tcPr>
            <w:tcW w:w="1021" w:type="dxa"/>
            <w:tcBorders>
              <w:top w:val="nil"/>
              <w:left w:val="nil"/>
              <w:bottom w:val="nil"/>
              <w:right w:val="nil"/>
            </w:tcBorders>
            <w:vAlign w:val="bottom"/>
          </w:tcPr>
          <w:p w14:paraId="7EE97752" w14:textId="18B4CD11" w:rsidR="00566EA9" w:rsidRPr="001D41EA" w:rsidRDefault="00566EA9" w:rsidP="001D41EA">
            <w:pPr>
              <w:spacing w:before="40" w:after="20"/>
              <w:jc w:val="center"/>
              <w:rPr>
                <w:rFonts w:cs="Arial"/>
                <w:sz w:val="18"/>
                <w:szCs w:val="18"/>
              </w:rPr>
            </w:pPr>
            <w:r w:rsidRPr="001D41EA">
              <w:rPr>
                <w:rFonts w:cs="Arial"/>
                <w:sz w:val="18"/>
                <w:szCs w:val="18"/>
              </w:rPr>
              <w:t>0.932</w:t>
            </w:r>
          </w:p>
        </w:tc>
        <w:tc>
          <w:tcPr>
            <w:tcW w:w="170" w:type="dxa"/>
            <w:tcBorders>
              <w:top w:val="nil"/>
              <w:left w:val="nil"/>
              <w:bottom w:val="nil"/>
              <w:right w:val="nil"/>
            </w:tcBorders>
            <w:vAlign w:val="bottom"/>
          </w:tcPr>
          <w:p w14:paraId="5D938C1C" w14:textId="2F3275B9"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0072E9D0" w14:textId="0B3483DB" w:rsidR="00566EA9" w:rsidRPr="001D41EA" w:rsidRDefault="00566EA9" w:rsidP="001D41EA">
            <w:pPr>
              <w:spacing w:before="40" w:after="20"/>
              <w:jc w:val="center"/>
              <w:rPr>
                <w:rFonts w:cs="Arial"/>
                <w:sz w:val="18"/>
                <w:szCs w:val="18"/>
              </w:rPr>
            </w:pPr>
            <w:r w:rsidRPr="001D41EA">
              <w:rPr>
                <w:rFonts w:cs="Arial"/>
                <w:sz w:val="18"/>
                <w:szCs w:val="18"/>
              </w:rPr>
              <w:t>0.873</w:t>
            </w:r>
          </w:p>
        </w:tc>
      </w:tr>
      <w:tr w:rsidR="00566EA9" w:rsidRPr="001D41EA" w14:paraId="312F5B7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52DDB9C" w14:textId="77777777" w:rsidR="00566EA9" w:rsidRPr="001D41EA" w:rsidRDefault="00566EA9" w:rsidP="001D41EA">
            <w:pPr>
              <w:spacing w:before="40" w:after="20"/>
              <w:rPr>
                <w:rFonts w:cs="Arial"/>
                <w:sz w:val="18"/>
                <w:szCs w:val="18"/>
              </w:rPr>
            </w:pPr>
            <w:r w:rsidRPr="001D41EA">
              <w:rPr>
                <w:rFonts w:cs="Arial"/>
                <w:sz w:val="18"/>
                <w:szCs w:val="18"/>
              </w:rPr>
              <w:t>Mornington Peninsula S</w:t>
            </w:r>
          </w:p>
        </w:tc>
        <w:tc>
          <w:tcPr>
            <w:tcW w:w="1021" w:type="dxa"/>
            <w:tcBorders>
              <w:top w:val="nil"/>
              <w:left w:val="single" w:sz="18" w:space="0" w:color="5F497A" w:themeColor="accent4" w:themeShade="BF"/>
              <w:bottom w:val="nil"/>
              <w:right w:val="nil"/>
            </w:tcBorders>
            <w:shd w:val="clear" w:color="auto" w:fill="auto"/>
            <w:vAlign w:val="bottom"/>
          </w:tcPr>
          <w:p w14:paraId="4B4EABFD" w14:textId="78B31D88" w:rsidR="00566EA9" w:rsidRPr="001D41EA" w:rsidRDefault="00566EA9" w:rsidP="001D41EA">
            <w:pPr>
              <w:spacing w:before="40" w:after="20"/>
              <w:jc w:val="center"/>
              <w:rPr>
                <w:rFonts w:cs="Arial"/>
                <w:sz w:val="18"/>
                <w:szCs w:val="18"/>
              </w:rPr>
            </w:pPr>
            <w:r w:rsidRPr="001D41EA">
              <w:rPr>
                <w:rFonts w:cs="Arial"/>
                <w:sz w:val="18"/>
                <w:szCs w:val="18"/>
              </w:rPr>
              <w:t>1.084</w:t>
            </w:r>
          </w:p>
        </w:tc>
        <w:tc>
          <w:tcPr>
            <w:tcW w:w="170" w:type="dxa"/>
            <w:tcBorders>
              <w:top w:val="nil"/>
              <w:left w:val="nil"/>
              <w:bottom w:val="nil"/>
              <w:right w:val="nil"/>
            </w:tcBorders>
            <w:shd w:val="clear" w:color="auto" w:fill="auto"/>
            <w:vAlign w:val="bottom"/>
          </w:tcPr>
          <w:p w14:paraId="2428EB38" w14:textId="73854B7A"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50D482CF" w14:textId="0A80D45C" w:rsidR="00566EA9" w:rsidRPr="001D41EA" w:rsidRDefault="00566EA9" w:rsidP="001D41EA">
            <w:pPr>
              <w:spacing w:before="40" w:after="20"/>
              <w:jc w:val="center"/>
              <w:rPr>
                <w:rFonts w:cs="Arial"/>
                <w:sz w:val="18"/>
                <w:szCs w:val="18"/>
              </w:rPr>
            </w:pPr>
            <w:r w:rsidRPr="001D41EA">
              <w:rPr>
                <w:rFonts w:cs="Arial"/>
                <w:sz w:val="18"/>
                <w:szCs w:val="18"/>
              </w:rPr>
              <w:t>0.976</w:t>
            </w:r>
          </w:p>
        </w:tc>
        <w:tc>
          <w:tcPr>
            <w:tcW w:w="1021" w:type="dxa"/>
            <w:tcBorders>
              <w:top w:val="nil"/>
              <w:left w:val="nil"/>
              <w:bottom w:val="nil"/>
              <w:right w:val="nil"/>
            </w:tcBorders>
            <w:vAlign w:val="bottom"/>
          </w:tcPr>
          <w:p w14:paraId="03AB1346" w14:textId="0B5F7AE8" w:rsidR="00566EA9" w:rsidRPr="001D41EA" w:rsidRDefault="00566EA9" w:rsidP="001D41EA">
            <w:pPr>
              <w:spacing w:before="40" w:after="20"/>
              <w:jc w:val="center"/>
              <w:rPr>
                <w:rFonts w:cs="Arial"/>
                <w:sz w:val="18"/>
                <w:szCs w:val="18"/>
              </w:rPr>
            </w:pPr>
            <w:r w:rsidRPr="001D41EA">
              <w:rPr>
                <w:rFonts w:cs="Arial"/>
                <w:sz w:val="18"/>
                <w:szCs w:val="18"/>
              </w:rPr>
              <w:t>0.971</w:t>
            </w:r>
          </w:p>
        </w:tc>
        <w:tc>
          <w:tcPr>
            <w:tcW w:w="1021" w:type="dxa"/>
            <w:tcBorders>
              <w:top w:val="nil"/>
              <w:left w:val="nil"/>
              <w:bottom w:val="nil"/>
              <w:right w:val="nil"/>
            </w:tcBorders>
            <w:vAlign w:val="bottom"/>
          </w:tcPr>
          <w:p w14:paraId="550F1043" w14:textId="68FAD392" w:rsidR="00566EA9" w:rsidRPr="001D41EA" w:rsidRDefault="00566EA9" w:rsidP="001D41EA">
            <w:pPr>
              <w:spacing w:before="40" w:after="20"/>
              <w:jc w:val="center"/>
              <w:rPr>
                <w:rFonts w:cs="Arial"/>
                <w:sz w:val="18"/>
                <w:szCs w:val="18"/>
              </w:rPr>
            </w:pPr>
            <w:r w:rsidRPr="001D41EA">
              <w:rPr>
                <w:rFonts w:cs="Arial"/>
                <w:sz w:val="18"/>
                <w:szCs w:val="18"/>
              </w:rPr>
              <w:t>0.967</w:t>
            </w:r>
          </w:p>
        </w:tc>
        <w:tc>
          <w:tcPr>
            <w:tcW w:w="1021" w:type="dxa"/>
            <w:tcBorders>
              <w:top w:val="nil"/>
              <w:left w:val="nil"/>
              <w:bottom w:val="nil"/>
              <w:right w:val="nil"/>
            </w:tcBorders>
            <w:vAlign w:val="bottom"/>
          </w:tcPr>
          <w:p w14:paraId="12EDA302" w14:textId="79937834" w:rsidR="00566EA9" w:rsidRPr="001D41EA" w:rsidRDefault="00566EA9" w:rsidP="001D41EA">
            <w:pPr>
              <w:spacing w:before="40" w:after="20"/>
              <w:jc w:val="center"/>
              <w:rPr>
                <w:rFonts w:cs="Arial"/>
                <w:sz w:val="18"/>
                <w:szCs w:val="18"/>
              </w:rPr>
            </w:pPr>
            <w:r w:rsidRPr="001D41EA">
              <w:rPr>
                <w:rFonts w:cs="Arial"/>
                <w:sz w:val="18"/>
                <w:szCs w:val="18"/>
              </w:rPr>
              <w:t>0.975</w:t>
            </w:r>
          </w:p>
        </w:tc>
        <w:tc>
          <w:tcPr>
            <w:tcW w:w="1021" w:type="dxa"/>
            <w:tcBorders>
              <w:top w:val="nil"/>
              <w:left w:val="nil"/>
              <w:bottom w:val="nil"/>
              <w:right w:val="nil"/>
            </w:tcBorders>
            <w:vAlign w:val="bottom"/>
          </w:tcPr>
          <w:p w14:paraId="3DEFBE25" w14:textId="29775FDF" w:rsidR="00566EA9" w:rsidRPr="001D41EA" w:rsidRDefault="00566EA9" w:rsidP="001D41EA">
            <w:pPr>
              <w:spacing w:before="40" w:after="20"/>
              <w:jc w:val="center"/>
              <w:rPr>
                <w:rFonts w:cs="Arial"/>
                <w:sz w:val="18"/>
                <w:szCs w:val="18"/>
              </w:rPr>
            </w:pPr>
            <w:r w:rsidRPr="001D41EA">
              <w:rPr>
                <w:rFonts w:cs="Arial"/>
                <w:sz w:val="18"/>
                <w:szCs w:val="18"/>
              </w:rPr>
              <w:t>0.962</w:t>
            </w:r>
          </w:p>
        </w:tc>
        <w:tc>
          <w:tcPr>
            <w:tcW w:w="170" w:type="dxa"/>
            <w:tcBorders>
              <w:top w:val="nil"/>
              <w:left w:val="nil"/>
              <w:bottom w:val="nil"/>
              <w:right w:val="nil"/>
            </w:tcBorders>
            <w:vAlign w:val="bottom"/>
          </w:tcPr>
          <w:p w14:paraId="315E692F" w14:textId="3DDAFBC5"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0DF5FE74" w14:textId="69CE496B" w:rsidR="00566EA9" w:rsidRPr="001D41EA" w:rsidRDefault="00566EA9" w:rsidP="001D41EA">
            <w:pPr>
              <w:spacing w:before="40" w:after="20"/>
              <w:jc w:val="center"/>
              <w:rPr>
                <w:rFonts w:cs="Arial"/>
                <w:sz w:val="18"/>
                <w:szCs w:val="18"/>
              </w:rPr>
            </w:pPr>
            <w:r w:rsidRPr="001D41EA">
              <w:rPr>
                <w:rFonts w:cs="Arial"/>
                <w:sz w:val="18"/>
                <w:szCs w:val="18"/>
              </w:rPr>
              <w:t>1.093</w:t>
            </w:r>
          </w:p>
        </w:tc>
      </w:tr>
      <w:tr w:rsidR="00566EA9" w:rsidRPr="001D41EA" w14:paraId="4F5CD1D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0D4CE55" w14:textId="77777777" w:rsidR="00566EA9" w:rsidRPr="001D41EA" w:rsidRDefault="00566EA9" w:rsidP="001D41EA">
            <w:pPr>
              <w:spacing w:before="40" w:after="20"/>
              <w:rPr>
                <w:rFonts w:cs="Arial"/>
                <w:sz w:val="18"/>
                <w:szCs w:val="18"/>
              </w:rPr>
            </w:pPr>
            <w:r w:rsidRPr="001D41EA">
              <w:rPr>
                <w:rFonts w:cs="Arial"/>
                <w:sz w:val="18"/>
                <w:szCs w:val="18"/>
              </w:rPr>
              <w:t>Mount Alexander S</w:t>
            </w:r>
          </w:p>
        </w:tc>
        <w:tc>
          <w:tcPr>
            <w:tcW w:w="1021" w:type="dxa"/>
            <w:tcBorders>
              <w:top w:val="nil"/>
              <w:left w:val="single" w:sz="18" w:space="0" w:color="5F497A" w:themeColor="accent4" w:themeShade="BF"/>
              <w:bottom w:val="nil"/>
              <w:right w:val="nil"/>
            </w:tcBorders>
            <w:shd w:val="clear" w:color="auto" w:fill="auto"/>
            <w:vAlign w:val="bottom"/>
          </w:tcPr>
          <w:p w14:paraId="7EFC4E25" w14:textId="29E3725A" w:rsidR="00566EA9" w:rsidRPr="001D41EA" w:rsidRDefault="00566EA9" w:rsidP="001D41EA">
            <w:pPr>
              <w:spacing w:before="40" w:after="20"/>
              <w:jc w:val="center"/>
              <w:rPr>
                <w:rFonts w:cs="Arial"/>
                <w:sz w:val="18"/>
                <w:szCs w:val="18"/>
              </w:rPr>
            </w:pPr>
            <w:r w:rsidRPr="001D41EA">
              <w:rPr>
                <w:rFonts w:cs="Arial"/>
                <w:sz w:val="18"/>
                <w:szCs w:val="18"/>
              </w:rPr>
              <w:t>1.084</w:t>
            </w:r>
          </w:p>
        </w:tc>
        <w:tc>
          <w:tcPr>
            <w:tcW w:w="170" w:type="dxa"/>
            <w:tcBorders>
              <w:top w:val="nil"/>
              <w:left w:val="nil"/>
              <w:bottom w:val="nil"/>
              <w:right w:val="nil"/>
            </w:tcBorders>
            <w:shd w:val="clear" w:color="auto" w:fill="auto"/>
            <w:vAlign w:val="bottom"/>
          </w:tcPr>
          <w:p w14:paraId="304ED548" w14:textId="2AADD76E"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5B59097D" w14:textId="15A6B06D" w:rsidR="00566EA9" w:rsidRPr="001D41EA" w:rsidRDefault="00566EA9" w:rsidP="001D41EA">
            <w:pPr>
              <w:spacing w:before="40" w:after="20"/>
              <w:jc w:val="center"/>
              <w:rPr>
                <w:rFonts w:cs="Arial"/>
                <w:sz w:val="18"/>
                <w:szCs w:val="18"/>
              </w:rPr>
            </w:pPr>
            <w:r w:rsidRPr="001D41EA">
              <w:rPr>
                <w:rFonts w:cs="Arial"/>
                <w:sz w:val="18"/>
                <w:szCs w:val="18"/>
              </w:rPr>
              <w:t>1.255</w:t>
            </w:r>
          </w:p>
        </w:tc>
        <w:tc>
          <w:tcPr>
            <w:tcW w:w="1021" w:type="dxa"/>
            <w:tcBorders>
              <w:top w:val="nil"/>
              <w:left w:val="nil"/>
              <w:bottom w:val="nil"/>
              <w:right w:val="nil"/>
            </w:tcBorders>
            <w:vAlign w:val="bottom"/>
          </w:tcPr>
          <w:p w14:paraId="01CDF48E" w14:textId="36CB153F" w:rsidR="00566EA9" w:rsidRPr="001D41EA" w:rsidRDefault="00566EA9" w:rsidP="001D41EA">
            <w:pPr>
              <w:spacing w:before="40" w:after="20"/>
              <w:jc w:val="center"/>
              <w:rPr>
                <w:rFonts w:cs="Arial"/>
                <w:sz w:val="18"/>
                <w:szCs w:val="18"/>
              </w:rPr>
            </w:pPr>
            <w:r w:rsidRPr="001D41EA">
              <w:rPr>
                <w:rFonts w:cs="Arial"/>
                <w:sz w:val="18"/>
                <w:szCs w:val="18"/>
              </w:rPr>
              <w:t>1.249</w:t>
            </w:r>
          </w:p>
        </w:tc>
        <w:tc>
          <w:tcPr>
            <w:tcW w:w="1021" w:type="dxa"/>
            <w:tcBorders>
              <w:top w:val="nil"/>
              <w:left w:val="nil"/>
              <w:bottom w:val="nil"/>
              <w:right w:val="nil"/>
            </w:tcBorders>
            <w:vAlign w:val="bottom"/>
          </w:tcPr>
          <w:p w14:paraId="552B8D87" w14:textId="27FAEEF3" w:rsidR="00566EA9" w:rsidRPr="001D41EA" w:rsidRDefault="00566EA9" w:rsidP="001D41EA">
            <w:pPr>
              <w:spacing w:before="40" w:after="20"/>
              <w:jc w:val="center"/>
              <w:rPr>
                <w:rFonts w:cs="Arial"/>
                <w:sz w:val="18"/>
                <w:szCs w:val="18"/>
              </w:rPr>
            </w:pPr>
            <w:r w:rsidRPr="001D41EA">
              <w:rPr>
                <w:rFonts w:cs="Arial"/>
                <w:sz w:val="18"/>
                <w:szCs w:val="18"/>
              </w:rPr>
              <w:t>1.244</w:t>
            </w:r>
          </w:p>
        </w:tc>
        <w:tc>
          <w:tcPr>
            <w:tcW w:w="1021" w:type="dxa"/>
            <w:tcBorders>
              <w:top w:val="nil"/>
              <w:left w:val="nil"/>
              <w:bottom w:val="nil"/>
              <w:right w:val="nil"/>
            </w:tcBorders>
            <w:vAlign w:val="bottom"/>
          </w:tcPr>
          <w:p w14:paraId="4643E860" w14:textId="60ADAAAE" w:rsidR="00566EA9" w:rsidRPr="001D41EA" w:rsidRDefault="00566EA9" w:rsidP="001D41EA">
            <w:pPr>
              <w:spacing w:before="40" w:after="20"/>
              <w:jc w:val="center"/>
              <w:rPr>
                <w:rFonts w:cs="Arial"/>
                <w:sz w:val="18"/>
                <w:szCs w:val="18"/>
              </w:rPr>
            </w:pPr>
            <w:r w:rsidRPr="001D41EA">
              <w:rPr>
                <w:rFonts w:cs="Arial"/>
                <w:sz w:val="18"/>
                <w:szCs w:val="18"/>
              </w:rPr>
              <w:t>1.253</w:t>
            </w:r>
          </w:p>
        </w:tc>
        <w:tc>
          <w:tcPr>
            <w:tcW w:w="1021" w:type="dxa"/>
            <w:tcBorders>
              <w:top w:val="nil"/>
              <w:left w:val="nil"/>
              <w:bottom w:val="nil"/>
              <w:right w:val="nil"/>
            </w:tcBorders>
            <w:vAlign w:val="bottom"/>
          </w:tcPr>
          <w:p w14:paraId="02E158C1" w14:textId="0179BD37" w:rsidR="00566EA9" w:rsidRPr="001D41EA" w:rsidRDefault="00566EA9" w:rsidP="001D41EA">
            <w:pPr>
              <w:spacing w:before="40" w:after="20"/>
              <w:jc w:val="center"/>
              <w:rPr>
                <w:rFonts w:cs="Arial"/>
                <w:sz w:val="18"/>
                <w:szCs w:val="18"/>
              </w:rPr>
            </w:pPr>
            <w:r w:rsidRPr="001D41EA">
              <w:rPr>
                <w:rFonts w:cs="Arial"/>
                <w:sz w:val="18"/>
                <w:szCs w:val="18"/>
              </w:rPr>
              <w:t>1.237</w:t>
            </w:r>
          </w:p>
        </w:tc>
        <w:tc>
          <w:tcPr>
            <w:tcW w:w="170" w:type="dxa"/>
            <w:tcBorders>
              <w:top w:val="nil"/>
              <w:left w:val="nil"/>
              <w:bottom w:val="nil"/>
              <w:right w:val="nil"/>
            </w:tcBorders>
            <w:vAlign w:val="bottom"/>
          </w:tcPr>
          <w:p w14:paraId="1A168D07" w14:textId="14F98BF0"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6E2CFFC3" w14:textId="1A4AC46C" w:rsidR="00566EA9" w:rsidRPr="001D41EA" w:rsidRDefault="00566EA9" w:rsidP="001D41EA">
            <w:pPr>
              <w:spacing w:before="40" w:after="20"/>
              <w:jc w:val="center"/>
              <w:rPr>
                <w:rFonts w:cs="Arial"/>
                <w:sz w:val="18"/>
                <w:szCs w:val="18"/>
              </w:rPr>
            </w:pPr>
            <w:r w:rsidRPr="001D41EA">
              <w:rPr>
                <w:rFonts w:cs="Arial"/>
                <w:sz w:val="18"/>
                <w:szCs w:val="18"/>
              </w:rPr>
              <w:t>1.119</w:t>
            </w:r>
          </w:p>
        </w:tc>
      </w:tr>
      <w:tr w:rsidR="00566EA9" w:rsidRPr="001D41EA" w14:paraId="04559F9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6EB7555" w14:textId="77777777" w:rsidR="00566EA9" w:rsidRPr="001D41EA" w:rsidRDefault="00566EA9" w:rsidP="001D41EA">
            <w:pPr>
              <w:spacing w:before="40" w:after="20"/>
              <w:rPr>
                <w:rFonts w:cs="Arial"/>
                <w:sz w:val="18"/>
                <w:szCs w:val="18"/>
              </w:rPr>
            </w:pPr>
            <w:r w:rsidRPr="001D41EA">
              <w:rPr>
                <w:rFonts w:cs="Arial"/>
                <w:sz w:val="18"/>
                <w:szCs w:val="18"/>
              </w:rPr>
              <w:t>Moyne S</w:t>
            </w:r>
          </w:p>
        </w:tc>
        <w:tc>
          <w:tcPr>
            <w:tcW w:w="1021" w:type="dxa"/>
            <w:tcBorders>
              <w:top w:val="nil"/>
              <w:left w:val="single" w:sz="18" w:space="0" w:color="5F497A" w:themeColor="accent4" w:themeShade="BF"/>
              <w:bottom w:val="nil"/>
              <w:right w:val="nil"/>
            </w:tcBorders>
            <w:shd w:val="clear" w:color="auto" w:fill="auto"/>
            <w:vAlign w:val="bottom"/>
          </w:tcPr>
          <w:p w14:paraId="02010F41" w14:textId="415E10A4" w:rsidR="00566EA9" w:rsidRPr="001D41EA" w:rsidRDefault="00566EA9" w:rsidP="001D41EA">
            <w:pPr>
              <w:spacing w:before="40" w:after="20"/>
              <w:jc w:val="center"/>
              <w:rPr>
                <w:rFonts w:cs="Arial"/>
                <w:sz w:val="18"/>
                <w:szCs w:val="18"/>
              </w:rPr>
            </w:pPr>
            <w:r w:rsidRPr="001D41EA">
              <w:rPr>
                <w:rFonts w:cs="Arial"/>
                <w:sz w:val="18"/>
                <w:szCs w:val="18"/>
              </w:rPr>
              <w:t>0.958</w:t>
            </w:r>
          </w:p>
        </w:tc>
        <w:tc>
          <w:tcPr>
            <w:tcW w:w="170" w:type="dxa"/>
            <w:tcBorders>
              <w:top w:val="nil"/>
              <w:left w:val="nil"/>
              <w:bottom w:val="nil"/>
              <w:right w:val="nil"/>
            </w:tcBorders>
            <w:shd w:val="clear" w:color="auto" w:fill="auto"/>
            <w:vAlign w:val="bottom"/>
          </w:tcPr>
          <w:p w14:paraId="7DB2EE20" w14:textId="12E0D7B1"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546646B3" w14:textId="50B14044" w:rsidR="00566EA9" w:rsidRPr="001D41EA" w:rsidRDefault="00566EA9" w:rsidP="001D41EA">
            <w:pPr>
              <w:spacing w:before="40" w:after="20"/>
              <w:jc w:val="center"/>
              <w:rPr>
                <w:rFonts w:cs="Arial"/>
                <w:sz w:val="18"/>
                <w:szCs w:val="18"/>
              </w:rPr>
            </w:pPr>
            <w:r w:rsidRPr="001D41EA">
              <w:rPr>
                <w:rFonts w:cs="Arial"/>
                <w:sz w:val="18"/>
                <w:szCs w:val="18"/>
              </w:rPr>
              <w:t>1.260</w:t>
            </w:r>
          </w:p>
        </w:tc>
        <w:tc>
          <w:tcPr>
            <w:tcW w:w="1021" w:type="dxa"/>
            <w:tcBorders>
              <w:top w:val="nil"/>
              <w:left w:val="nil"/>
              <w:bottom w:val="nil"/>
              <w:right w:val="nil"/>
            </w:tcBorders>
            <w:vAlign w:val="bottom"/>
          </w:tcPr>
          <w:p w14:paraId="72B3225B" w14:textId="3AFB3EA1" w:rsidR="00566EA9" w:rsidRPr="001D41EA" w:rsidRDefault="00566EA9" w:rsidP="001D41EA">
            <w:pPr>
              <w:spacing w:before="40" w:after="20"/>
              <w:jc w:val="center"/>
              <w:rPr>
                <w:rFonts w:cs="Arial"/>
                <w:sz w:val="18"/>
                <w:szCs w:val="18"/>
              </w:rPr>
            </w:pPr>
            <w:r w:rsidRPr="001D41EA">
              <w:rPr>
                <w:rFonts w:cs="Arial"/>
                <w:sz w:val="18"/>
                <w:szCs w:val="18"/>
              </w:rPr>
              <w:t>1.254</w:t>
            </w:r>
          </w:p>
        </w:tc>
        <w:tc>
          <w:tcPr>
            <w:tcW w:w="1021" w:type="dxa"/>
            <w:tcBorders>
              <w:top w:val="nil"/>
              <w:left w:val="nil"/>
              <w:bottom w:val="nil"/>
              <w:right w:val="nil"/>
            </w:tcBorders>
            <w:vAlign w:val="bottom"/>
          </w:tcPr>
          <w:p w14:paraId="5D39FB63" w14:textId="539E7CBB" w:rsidR="00566EA9" w:rsidRPr="001D41EA" w:rsidRDefault="00566EA9" w:rsidP="001D41EA">
            <w:pPr>
              <w:spacing w:before="40" w:after="20"/>
              <w:jc w:val="center"/>
              <w:rPr>
                <w:rFonts w:cs="Arial"/>
                <w:sz w:val="18"/>
                <w:szCs w:val="18"/>
              </w:rPr>
            </w:pPr>
            <w:r w:rsidRPr="001D41EA">
              <w:rPr>
                <w:rFonts w:cs="Arial"/>
                <w:sz w:val="18"/>
                <w:szCs w:val="18"/>
              </w:rPr>
              <w:t>1.249</w:t>
            </w:r>
          </w:p>
        </w:tc>
        <w:tc>
          <w:tcPr>
            <w:tcW w:w="1021" w:type="dxa"/>
            <w:tcBorders>
              <w:top w:val="nil"/>
              <w:left w:val="nil"/>
              <w:bottom w:val="nil"/>
              <w:right w:val="nil"/>
            </w:tcBorders>
            <w:vAlign w:val="bottom"/>
          </w:tcPr>
          <w:p w14:paraId="64493541" w14:textId="0223EE66" w:rsidR="00566EA9" w:rsidRPr="001D41EA" w:rsidRDefault="00566EA9" w:rsidP="001D41EA">
            <w:pPr>
              <w:spacing w:before="40" w:after="20"/>
              <w:jc w:val="center"/>
              <w:rPr>
                <w:rFonts w:cs="Arial"/>
                <w:sz w:val="18"/>
                <w:szCs w:val="18"/>
              </w:rPr>
            </w:pPr>
            <w:r w:rsidRPr="001D41EA">
              <w:rPr>
                <w:rFonts w:cs="Arial"/>
                <w:sz w:val="18"/>
                <w:szCs w:val="18"/>
              </w:rPr>
              <w:t>1.258</w:t>
            </w:r>
          </w:p>
        </w:tc>
        <w:tc>
          <w:tcPr>
            <w:tcW w:w="1021" w:type="dxa"/>
            <w:tcBorders>
              <w:top w:val="nil"/>
              <w:left w:val="nil"/>
              <w:bottom w:val="nil"/>
              <w:right w:val="nil"/>
            </w:tcBorders>
            <w:vAlign w:val="bottom"/>
          </w:tcPr>
          <w:p w14:paraId="146DE866" w14:textId="377D7813" w:rsidR="00566EA9" w:rsidRPr="001D41EA" w:rsidRDefault="00566EA9" w:rsidP="001D41EA">
            <w:pPr>
              <w:spacing w:before="40" w:after="20"/>
              <w:jc w:val="center"/>
              <w:rPr>
                <w:rFonts w:cs="Arial"/>
                <w:sz w:val="18"/>
                <w:szCs w:val="18"/>
              </w:rPr>
            </w:pPr>
            <w:r w:rsidRPr="001D41EA">
              <w:rPr>
                <w:rFonts w:cs="Arial"/>
                <w:sz w:val="18"/>
                <w:szCs w:val="18"/>
              </w:rPr>
              <w:t>1.242</w:t>
            </w:r>
          </w:p>
        </w:tc>
        <w:tc>
          <w:tcPr>
            <w:tcW w:w="170" w:type="dxa"/>
            <w:tcBorders>
              <w:top w:val="nil"/>
              <w:left w:val="nil"/>
              <w:bottom w:val="nil"/>
              <w:right w:val="nil"/>
            </w:tcBorders>
            <w:vAlign w:val="bottom"/>
          </w:tcPr>
          <w:p w14:paraId="577945F4" w14:textId="447A21B9"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627D849E" w14:textId="00B49492" w:rsidR="00566EA9" w:rsidRPr="001D41EA" w:rsidRDefault="00566EA9" w:rsidP="001D41EA">
            <w:pPr>
              <w:spacing w:before="40" w:after="20"/>
              <w:jc w:val="center"/>
              <w:rPr>
                <w:rFonts w:cs="Arial"/>
                <w:sz w:val="18"/>
                <w:szCs w:val="18"/>
              </w:rPr>
            </w:pPr>
            <w:r w:rsidRPr="001D41EA">
              <w:rPr>
                <w:rFonts w:cs="Arial"/>
                <w:sz w:val="18"/>
                <w:szCs w:val="18"/>
              </w:rPr>
              <w:t>1.087</w:t>
            </w:r>
          </w:p>
        </w:tc>
      </w:tr>
      <w:tr w:rsidR="00566EA9" w:rsidRPr="001D41EA" w14:paraId="532D5DD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3D7C61B" w14:textId="77777777" w:rsidR="00566EA9" w:rsidRPr="001D41EA" w:rsidRDefault="00566EA9" w:rsidP="001D41EA">
            <w:pPr>
              <w:spacing w:before="40" w:after="20"/>
              <w:rPr>
                <w:rFonts w:cs="Arial"/>
                <w:sz w:val="18"/>
                <w:szCs w:val="18"/>
              </w:rPr>
            </w:pPr>
            <w:r w:rsidRPr="001D41EA">
              <w:rPr>
                <w:rFonts w:cs="Arial"/>
                <w:sz w:val="18"/>
                <w:szCs w:val="18"/>
              </w:rPr>
              <w:t>Murrindindi S</w:t>
            </w:r>
          </w:p>
        </w:tc>
        <w:tc>
          <w:tcPr>
            <w:tcW w:w="1021" w:type="dxa"/>
            <w:tcBorders>
              <w:top w:val="nil"/>
              <w:left w:val="single" w:sz="18" w:space="0" w:color="5F497A" w:themeColor="accent4" w:themeShade="BF"/>
              <w:bottom w:val="nil"/>
              <w:right w:val="nil"/>
            </w:tcBorders>
            <w:shd w:val="clear" w:color="auto" w:fill="auto"/>
            <w:vAlign w:val="bottom"/>
          </w:tcPr>
          <w:p w14:paraId="67D7F5BD" w14:textId="2AB45F8F" w:rsidR="00566EA9" w:rsidRPr="001D41EA" w:rsidRDefault="00566EA9" w:rsidP="001D41EA">
            <w:pPr>
              <w:spacing w:before="40" w:after="20"/>
              <w:jc w:val="center"/>
              <w:rPr>
                <w:rFonts w:cs="Arial"/>
                <w:sz w:val="18"/>
                <w:szCs w:val="18"/>
              </w:rPr>
            </w:pPr>
            <w:r w:rsidRPr="001D41EA">
              <w:rPr>
                <w:rFonts w:cs="Arial"/>
                <w:sz w:val="18"/>
                <w:szCs w:val="18"/>
              </w:rPr>
              <w:t>1.028</w:t>
            </w:r>
          </w:p>
        </w:tc>
        <w:tc>
          <w:tcPr>
            <w:tcW w:w="170" w:type="dxa"/>
            <w:tcBorders>
              <w:top w:val="nil"/>
              <w:left w:val="nil"/>
              <w:bottom w:val="nil"/>
              <w:right w:val="nil"/>
            </w:tcBorders>
            <w:shd w:val="clear" w:color="auto" w:fill="auto"/>
            <w:vAlign w:val="bottom"/>
          </w:tcPr>
          <w:p w14:paraId="62FB3E22" w14:textId="04D68B76"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5B8B7C76" w14:textId="64C2C578" w:rsidR="00566EA9" w:rsidRPr="001D41EA" w:rsidRDefault="00566EA9" w:rsidP="001D41EA">
            <w:pPr>
              <w:spacing w:before="40" w:after="20"/>
              <w:jc w:val="center"/>
              <w:rPr>
                <w:rFonts w:cs="Arial"/>
                <w:sz w:val="18"/>
                <w:szCs w:val="18"/>
              </w:rPr>
            </w:pPr>
            <w:r w:rsidRPr="001D41EA">
              <w:rPr>
                <w:rFonts w:cs="Arial"/>
                <w:sz w:val="18"/>
                <w:szCs w:val="18"/>
              </w:rPr>
              <w:t>1.265</w:t>
            </w:r>
          </w:p>
        </w:tc>
        <w:tc>
          <w:tcPr>
            <w:tcW w:w="1021" w:type="dxa"/>
            <w:tcBorders>
              <w:top w:val="nil"/>
              <w:left w:val="nil"/>
              <w:bottom w:val="nil"/>
              <w:right w:val="nil"/>
            </w:tcBorders>
            <w:vAlign w:val="bottom"/>
          </w:tcPr>
          <w:p w14:paraId="11329A1B" w14:textId="1F1E6DBE" w:rsidR="00566EA9" w:rsidRPr="001D41EA" w:rsidRDefault="00566EA9" w:rsidP="001D41EA">
            <w:pPr>
              <w:spacing w:before="40" w:after="20"/>
              <w:jc w:val="center"/>
              <w:rPr>
                <w:rFonts w:cs="Arial"/>
                <w:sz w:val="18"/>
                <w:szCs w:val="18"/>
              </w:rPr>
            </w:pPr>
            <w:r w:rsidRPr="001D41EA">
              <w:rPr>
                <w:rFonts w:cs="Arial"/>
                <w:sz w:val="18"/>
                <w:szCs w:val="18"/>
              </w:rPr>
              <w:t>1.258</w:t>
            </w:r>
          </w:p>
        </w:tc>
        <w:tc>
          <w:tcPr>
            <w:tcW w:w="1021" w:type="dxa"/>
            <w:tcBorders>
              <w:top w:val="nil"/>
              <w:left w:val="nil"/>
              <w:bottom w:val="nil"/>
              <w:right w:val="nil"/>
            </w:tcBorders>
            <w:vAlign w:val="bottom"/>
          </w:tcPr>
          <w:p w14:paraId="5D4EAC1D" w14:textId="6D64C56C" w:rsidR="00566EA9" w:rsidRPr="001D41EA" w:rsidRDefault="00566EA9" w:rsidP="001D41EA">
            <w:pPr>
              <w:spacing w:before="40" w:after="20"/>
              <w:jc w:val="center"/>
              <w:rPr>
                <w:rFonts w:cs="Arial"/>
                <w:sz w:val="18"/>
                <w:szCs w:val="18"/>
              </w:rPr>
            </w:pPr>
            <w:r w:rsidRPr="001D41EA">
              <w:rPr>
                <w:rFonts w:cs="Arial"/>
                <w:sz w:val="18"/>
                <w:szCs w:val="18"/>
              </w:rPr>
              <w:t>1.253</w:t>
            </w:r>
          </w:p>
        </w:tc>
        <w:tc>
          <w:tcPr>
            <w:tcW w:w="1021" w:type="dxa"/>
            <w:tcBorders>
              <w:top w:val="nil"/>
              <w:left w:val="nil"/>
              <w:bottom w:val="nil"/>
              <w:right w:val="nil"/>
            </w:tcBorders>
            <w:vAlign w:val="bottom"/>
          </w:tcPr>
          <w:p w14:paraId="249A464F" w14:textId="4DF6B14D" w:rsidR="00566EA9" w:rsidRPr="001D41EA" w:rsidRDefault="00566EA9" w:rsidP="001D41EA">
            <w:pPr>
              <w:spacing w:before="40" w:after="20"/>
              <w:jc w:val="center"/>
              <w:rPr>
                <w:rFonts w:cs="Arial"/>
                <w:sz w:val="18"/>
                <w:szCs w:val="18"/>
              </w:rPr>
            </w:pPr>
            <w:r w:rsidRPr="001D41EA">
              <w:rPr>
                <w:rFonts w:cs="Arial"/>
                <w:sz w:val="18"/>
                <w:szCs w:val="18"/>
              </w:rPr>
              <w:t>1.263</w:t>
            </w:r>
          </w:p>
        </w:tc>
        <w:tc>
          <w:tcPr>
            <w:tcW w:w="1021" w:type="dxa"/>
            <w:tcBorders>
              <w:top w:val="nil"/>
              <w:left w:val="nil"/>
              <w:bottom w:val="nil"/>
              <w:right w:val="nil"/>
            </w:tcBorders>
            <w:vAlign w:val="bottom"/>
          </w:tcPr>
          <w:p w14:paraId="2E2DB81E" w14:textId="0BFCB490" w:rsidR="00566EA9" w:rsidRPr="001D41EA" w:rsidRDefault="00566EA9" w:rsidP="001D41EA">
            <w:pPr>
              <w:spacing w:before="40" w:after="20"/>
              <w:jc w:val="center"/>
              <w:rPr>
                <w:rFonts w:cs="Arial"/>
                <w:sz w:val="18"/>
                <w:szCs w:val="18"/>
              </w:rPr>
            </w:pPr>
            <w:r w:rsidRPr="001D41EA">
              <w:rPr>
                <w:rFonts w:cs="Arial"/>
                <w:sz w:val="18"/>
                <w:szCs w:val="18"/>
              </w:rPr>
              <w:t>1.247</w:t>
            </w:r>
          </w:p>
        </w:tc>
        <w:tc>
          <w:tcPr>
            <w:tcW w:w="170" w:type="dxa"/>
            <w:tcBorders>
              <w:top w:val="nil"/>
              <w:left w:val="nil"/>
              <w:bottom w:val="nil"/>
              <w:right w:val="nil"/>
            </w:tcBorders>
            <w:vAlign w:val="bottom"/>
          </w:tcPr>
          <w:p w14:paraId="2AFD19BC" w14:textId="1C6C7E24"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4AD11C09" w14:textId="52B59EB8" w:rsidR="00566EA9" w:rsidRPr="001D41EA" w:rsidRDefault="00566EA9" w:rsidP="001D41EA">
            <w:pPr>
              <w:spacing w:before="40" w:after="20"/>
              <w:jc w:val="center"/>
              <w:rPr>
                <w:rFonts w:cs="Arial"/>
                <w:sz w:val="18"/>
                <w:szCs w:val="18"/>
              </w:rPr>
            </w:pPr>
            <w:r w:rsidRPr="001D41EA">
              <w:rPr>
                <w:rFonts w:cs="Arial"/>
                <w:sz w:val="18"/>
                <w:szCs w:val="18"/>
              </w:rPr>
              <w:t>1.361</w:t>
            </w:r>
          </w:p>
        </w:tc>
      </w:tr>
      <w:tr w:rsidR="00566EA9" w:rsidRPr="001D41EA" w14:paraId="6DBDF83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E75A90C" w14:textId="77777777" w:rsidR="00566EA9" w:rsidRPr="001D41EA" w:rsidRDefault="00566EA9" w:rsidP="001D41EA">
            <w:pPr>
              <w:spacing w:before="40" w:after="20"/>
              <w:rPr>
                <w:rFonts w:cs="Arial"/>
                <w:sz w:val="18"/>
                <w:szCs w:val="18"/>
              </w:rPr>
            </w:pPr>
            <w:r w:rsidRPr="001D41EA">
              <w:rPr>
                <w:rFonts w:cs="Arial"/>
                <w:sz w:val="18"/>
                <w:szCs w:val="18"/>
              </w:rPr>
              <w:t>Nillumbik S</w:t>
            </w:r>
          </w:p>
        </w:tc>
        <w:tc>
          <w:tcPr>
            <w:tcW w:w="1021" w:type="dxa"/>
            <w:tcBorders>
              <w:top w:val="nil"/>
              <w:left w:val="single" w:sz="18" w:space="0" w:color="5F497A" w:themeColor="accent4" w:themeShade="BF"/>
              <w:bottom w:val="nil"/>
              <w:right w:val="nil"/>
            </w:tcBorders>
            <w:shd w:val="clear" w:color="auto" w:fill="auto"/>
            <w:vAlign w:val="bottom"/>
          </w:tcPr>
          <w:p w14:paraId="52E2DDB7" w14:textId="1C96D9E1" w:rsidR="00566EA9" w:rsidRPr="001D41EA" w:rsidRDefault="00566EA9" w:rsidP="001D41EA">
            <w:pPr>
              <w:spacing w:before="40" w:after="20"/>
              <w:jc w:val="center"/>
              <w:rPr>
                <w:rFonts w:cs="Arial"/>
                <w:sz w:val="18"/>
                <w:szCs w:val="18"/>
              </w:rPr>
            </w:pPr>
            <w:r w:rsidRPr="001D41EA">
              <w:rPr>
                <w:rFonts w:cs="Arial"/>
                <w:sz w:val="18"/>
                <w:szCs w:val="18"/>
              </w:rPr>
              <w:t>0.809</w:t>
            </w:r>
          </w:p>
        </w:tc>
        <w:tc>
          <w:tcPr>
            <w:tcW w:w="170" w:type="dxa"/>
            <w:tcBorders>
              <w:top w:val="nil"/>
              <w:left w:val="nil"/>
              <w:bottom w:val="nil"/>
              <w:right w:val="nil"/>
            </w:tcBorders>
            <w:shd w:val="clear" w:color="auto" w:fill="auto"/>
            <w:vAlign w:val="bottom"/>
          </w:tcPr>
          <w:p w14:paraId="6460A3B3" w14:textId="5D1DE603"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6A74EB48" w14:textId="623148D4" w:rsidR="00566EA9" w:rsidRPr="001D41EA" w:rsidRDefault="00566EA9" w:rsidP="001D41EA">
            <w:pPr>
              <w:spacing w:before="40" w:after="20"/>
              <w:jc w:val="center"/>
              <w:rPr>
                <w:rFonts w:cs="Arial"/>
                <w:sz w:val="18"/>
                <w:szCs w:val="18"/>
              </w:rPr>
            </w:pPr>
            <w:r w:rsidRPr="001D41EA">
              <w:rPr>
                <w:rFonts w:cs="Arial"/>
                <w:sz w:val="18"/>
                <w:szCs w:val="18"/>
              </w:rPr>
              <w:t>1.169</w:t>
            </w:r>
          </w:p>
        </w:tc>
        <w:tc>
          <w:tcPr>
            <w:tcW w:w="1021" w:type="dxa"/>
            <w:tcBorders>
              <w:top w:val="nil"/>
              <w:left w:val="nil"/>
              <w:bottom w:val="nil"/>
              <w:right w:val="nil"/>
            </w:tcBorders>
            <w:vAlign w:val="bottom"/>
          </w:tcPr>
          <w:p w14:paraId="22732085" w14:textId="17C3E0C8" w:rsidR="00566EA9" w:rsidRPr="001D41EA" w:rsidRDefault="00566EA9" w:rsidP="001D41EA">
            <w:pPr>
              <w:spacing w:before="40" w:after="20"/>
              <w:jc w:val="center"/>
              <w:rPr>
                <w:rFonts w:cs="Arial"/>
                <w:sz w:val="18"/>
                <w:szCs w:val="18"/>
              </w:rPr>
            </w:pPr>
            <w:r w:rsidRPr="001D41EA">
              <w:rPr>
                <w:rFonts w:cs="Arial"/>
                <w:sz w:val="18"/>
                <w:szCs w:val="18"/>
              </w:rPr>
              <w:t>1.162</w:t>
            </w:r>
          </w:p>
        </w:tc>
        <w:tc>
          <w:tcPr>
            <w:tcW w:w="1021" w:type="dxa"/>
            <w:tcBorders>
              <w:top w:val="nil"/>
              <w:left w:val="nil"/>
              <w:bottom w:val="nil"/>
              <w:right w:val="nil"/>
            </w:tcBorders>
            <w:vAlign w:val="bottom"/>
          </w:tcPr>
          <w:p w14:paraId="35B34F5B" w14:textId="5093247C" w:rsidR="00566EA9" w:rsidRPr="001D41EA" w:rsidRDefault="00566EA9" w:rsidP="001D41EA">
            <w:pPr>
              <w:spacing w:before="40" w:after="20"/>
              <w:jc w:val="center"/>
              <w:rPr>
                <w:rFonts w:cs="Arial"/>
                <w:sz w:val="18"/>
                <w:szCs w:val="18"/>
              </w:rPr>
            </w:pPr>
            <w:r w:rsidRPr="001D41EA">
              <w:rPr>
                <w:rFonts w:cs="Arial"/>
                <w:sz w:val="18"/>
                <w:szCs w:val="18"/>
              </w:rPr>
              <w:t>1.158</w:t>
            </w:r>
          </w:p>
        </w:tc>
        <w:tc>
          <w:tcPr>
            <w:tcW w:w="1021" w:type="dxa"/>
            <w:tcBorders>
              <w:top w:val="nil"/>
              <w:left w:val="nil"/>
              <w:bottom w:val="nil"/>
              <w:right w:val="nil"/>
            </w:tcBorders>
            <w:vAlign w:val="bottom"/>
          </w:tcPr>
          <w:p w14:paraId="7916F0AA" w14:textId="37EB7BFE" w:rsidR="00566EA9" w:rsidRPr="001D41EA" w:rsidRDefault="00566EA9" w:rsidP="001D41EA">
            <w:pPr>
              <w:spacing w:before="40" w:after="20"/>
              <w:jc w:val="center"/>
              <w:rPr>
                <w:rFonts w:cs="Arial"/>
                <w:sz w:val="18"/>
                <w:szCs w:val="18"/>
              </w:rPr>
            </w:pPr>
            <w:r w:rsidRPr="001D41EA">
              <w:rPr>
                <w:rFonts w:cs="Arial"/>
                <w:sz w:val="18"/>
                <w:szCs w:val="18"/>
              </w:rPr>
              <w:t>1.167</w:t>
            </w:r>
          </w:p>
        </w:tc>
        <w:tc>
          <w:tcPr>
            <w:tcW w:w="1021" w:type="dxa"/>
            <w:tcBorders>
              <w:top w:val="nil"/>
              <w:left w:val="nil"/>
              <w:bottom w:val="nil"/>
              <w:right w:val="nil"/>
            </w:tcBorders>
            <w:vAlign w:val="bottom"/>
          </w:tcPr>
          <w:p w14:paraId="3AF82303" w14:textId="60009C08" w:rsidR="00566EA9" w:rsidRPr="001D41EA" w:rsidRDefault="00566EA9" w:rsidP="001D41EA">
            <w:pPr>
              <w:spacing w:before="40" w:after="20"/>
              <w:jc w:val="center"/>
              <w:rPr>
                <w:rFonts w:cs="Arial"/>
                <w:sz w:val="18"/>
                <w:szCs w:val="18"/>
              </w:rPr>
            </w:pPr>
            <w:r w:rsidRPr="001D41EA">
              <w:rPr>
                <w:rFonts w:cs="Arial"/>
                <w:sz w:val="18"/>
                <w:szCs w:val="18"/>
              </w:rPr>
              <w:t>1.152</w:t>
            </w:r>
          </w:p>
        </w:tc>
        <w:tc>
          <w:tcPr>
            <w:tcW w:w="170" w:type="dxa"/>
            <w:tcBorders>
              <w:top w:val="nil"/>
              <w:left w:val="nil"/>
              <w:bottom w:val="nil"/>
              <w:right w:val="nil"/>
            </w:tcBorders>
            <w:vAlign w:val="bottom"/>
          </w:tcPr>
          <w:p w14:paraId="5C63F278" w14:textId="092FECF2"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0159D145" w14:textId="41B44F61" w:rsidR="00566EA9" w:rsidRPr="001D41EA" w:rsidRDefault="00566EA9" w:rsidP="001D41EA">
            <w:pPr>
              <w:spacing w:before="40" w:after="20"/>
              <w:jc w:val="center"/>
              <w:rPr>
                <w:rFonts w:cs="Arial"/>
                <w:sz w:val="18"/>
                <w:szCs w:val="18"/>
              </w:rPr>
            </w:pPr>
            <w:r w:rsidRPr="001D41EA">
              <w:rPr>
                <w:rFonts w:cs="Arial"/>
                <w:sz w:val="18"/>
                <w:szCs w:val="18"/>
              </w:rPr>
              <w:t>1.250</w:t>
            </w:r>
          </w:p>
        </w:tc>
      </w:tr>
      <w:tr w:rsidR="00566EA9" w:rsidRPr="001D41EA" w14:paraId="2A1EE77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BE84002" w14:textId="77777777" w:rsidR="00566EA9" w:rsidRPr="001D41EA" w:rsidRDefault="00566EA9" w:rsidP="001D41EA">
            <w:pPr>
              <w:spacing w:before="40" w:after="20"/>
              <w:rPr>
                <w:rFonts w:cs="Arial"/>
                <w:sz w:val="18"/>
                <w:szCs w:val="18"/>
              </w:rPr>
            </w:pPr>
            <w:r w:rsidRPr="001D41EA">
              <w:rPr>
                <w:rFonts w:cs="Arial"/>
                <w:sz w:val="18"/>
                <w:szCs w:val="18"/>
              </w:rPr>
              <w:t>Northern Grampians S</w:t>
            </w:r>
          </w:p>
        </w:tc>
        <w:tc>
          <w:tcPr>
            <w:tcW w:w="1021" w:type="dxa"/>
            <w:tcBorders>
              <w:top w:val="nil"/>
              <w:left w:val="single" w:sz="18" w:space="0" w:color="5F497A" w:themeColor="accent4" w:themeShade="BF"/>
              <w:bottom w:val="nil"/>
              <w:right w:val="nil"/>
            </w:tcBorders>
            <w:shd w:val="clear" w:color="auto" w:fill="auto"/>
            <w:vAlign w:val="bottom"/>
          </w:tcPr>
          <w:p w14:paraId="07EC4CA5" w14:textId="3D561913" w:rsidR="00566EA9" w:rsidRPr="001D41EA" w:rsidRDefault="00566EA9" w:rsidP="001D41EA">
            <w:pPr>
              <w:spacing w:before="40" w:after="20"/>
              <w:jc w:val="center"/>
              <w:rPr>
                <w:rFonts w:cs="Arial"/>
                <w:sz w:val="18"/>
                <w:szCs w:val="18"/>
              </w:rPr>
            </w:pPr>
            <w:r w:rsidRPr="001D41EA">
              <w:rPr>
                <w:rFonts w:cs="Arial"/>
                <w:sz w:val="18"/>
                <w:szCs w:val="18"/>
              </w:rPr>
              <w:t>1.116</w:t>
            </w:r>
          </w:p>
        </w:tc>
        <w:tc>
          <w:tcPr>
            <w:tcW w:w="170" w:type="dxa"/>
            <w:tcBorders>
              <w:top w:val="nil"/>
              <w:left w:val="nil"/>
              <w:bottom w:val="nil"/>
              <w:right w:val="nil"/>
            </w:tcBorders>
            <w:shd w:val="clear" w:color="auto" w:fill="auto"/>
            <w:vAlign w:val="bottom"/>
          </w:tcPr>
          <w:p w14:paraId="0F450719" w14:textId="323886C3"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662E038D" w14:textId="2B0CC9C4" w:rsidR="00566EA9" w:rsidRPr="001D41EA" w:rsidRDefault="00566EA9" w:rsidP="001D41EA">
            <w:pPr>
              <w:spacing w:before="40" w:after="20"/>
              <w:jc w:val="center"/>
              <w:rPr>
                <w:rFonts w:cs="Arial"/>
                <w:sz w:val="18"/>
                <w:szCs w:val="18"/>
              </w:rPr>
            </w:pPr>
            <w:r w:rsidRPr="001D41EA">
              <w:rPr>
                <w:rFonts w:cs="Arial"/>
                <w:sz w:val="18"/>
                <w:szCs w:val="18"/>
              </w:rPr>
              <w:t>1.271</w:t>
            </w:r>
          </w:p>
        </w:tc>
        <w:tc>
          <w:tcPr>
            <w:tcW w:w="1021" w:type="dxa"/>
            <w:tcBorders>
              <w:top w:val="nil"/>
              <w:left w:val="nil"/>
              <w:bottom w:val="nil"/>
              <w:right w:val="nil"/>
            </w:tcBorders>
            <w:vAlign w:val="bottom"/>
          </w:tcPr>
          <w:p w14:paraId="0E4B1E47" w14:textId="24A53235" w:rsidR="00566EA9" w:rsidRPr="001D41EA" w:rsidRDefault="00566EA9" w:rsidP="001D41EA">
            <w:pPr>
              <w:spacing w:before="40" w:after="20"/>
              <w:jc w:val="center"/>
              <w:rPr>
                <w:rFonts w:cs="Arial"/>
                <w:sz w:val="18"/>
                <w:szCs w:val="18"/>
              </w:rPr>
            </w:pPr>
            <w:r w:rsidRPr="001D41EA">
              <w:rPr>
                <w:rFonts w:cs="Arial"/>
                <w:sz w:val="18"/>
                <w:szCs w:val="18"/>
              </w:rPr>
              <w:t>1.264</w:t>
            </w:r>
          </w:p>
        </w:tc>
        <w:tc>
          <w:tcPr>
            <w:tcW w:w="1021" w:type="dxa"/>
            <w:tcBorders>
              <w:top w:val="nil"/>
              <w:left w:val="nil"/>
              <w:bottom w:val="nil"/>
              <w:right w:val="nil"/>
            </w:tcBorders>
            <w:vAlign w:val="bottom"/>
          </w:tcPr>
          <w:p w14:paraId="72D54C67" w14:textId="7083D219" w:rsidR="00566EA9" w:rsidRPr="001D41EA" w:rsidRDefault="00566EA9" w:rsidP="001D41EA">
            <w:pPr>
              <w:spacing w:before="40" w:after="20"/>
              <w:jc w:val="center"/>
              <w:rPr>
                <w:rFonts w:cs="Arial"/>
                <w:sz w:val="18"/>
                <w:szCs w:val="18"/>
              </w:rPr>
            </w:pPr>
            <w:r w:rsidRPr="001D41EA">
              <w:rPr>
                <w:rFonts w:cs="Arial"/>
                <w:sz w:val="18"/>
                <w:szCs w:val="18"/>
              </w:rPr>
              <w:t>1.259</w:t>
            </w:r>
          </w:p>
        </w:tc>
        <w:tc>
          <w:tcPr>
            <w:tcW w:w="1021" w:type="dxa"/>
            <w:tcBorders>
              <w:top w:val="nil"/>
              <w:left w:val="nil"/>
              <w:bottom w:val="nil"/>
              <w:right w:val="nil"/>
            </w:tcBorders>
            <w:vAlign w:val="bottom"/>
          </w:tcPr>
          <w:p w14:paraId="40655357" w14:textId="0C2007CA" w:rsidR="00566EA9" w:rsidRPr="001D41EA" w:rsidRDefault="00566EA9" w:rsidP="001D41EA">
            <w:pPr>
              <w:spacing w:before="40" w:after="20"/>
              <w:jc w:val="center"/>
              <w:rPr>
                <w:rFonts w:cs="Arial"/>
                <w:sz w:val="18"/>
                <w:szCs w:val="18"/>
              </w:rPr>
            </w:pPr>
            <w:r w:rsidRPr="001D41EA">
              <w:rPr>
                <w:rFonts w:cs="Arial"/>
                <w:sz w:val="18"/>
                <w:szCs w:val="18"/>
              </w:rPr>
              <w:t>1.269</w:t>
            </w:r>
          </w:p>
        </w:tc>
        <w:tc>
          <w:tcPr>
            <w:tcW w:w="1021" w:type="dxa"/>
            <w:tcBorders>
              <w:top w:val="nil"/>
              <w:left w:val="nil"/>
              <w:bottom w:val="nil"/>
              <w:right w:val="nil"/>
            </w:tcBorders>
            <w:vAlign w:val="bottom"/>
          </w:tcPr>
          <w:p w14:paraId="7BE0F79C" w14:textId="43D789DA" w:rsidR="00566EA9" w:rsidRPr="001D41EA" w:rsidRDefault="00566EA9" w:rsidP="001D41EA">
            <w:pPr>
              <w:spacing w:before="40" w:after="20"/>
              <w:jc w:val="center"/>
              <w:rPr>
                <w:rFonts w:cs="Arial"/>
                <w:sz w:val="18"/>
                <w:szCs w:val="18"/>
              </w:rPr>
            </w:pPr>
            <w:r w:rsidRPr="001D41EA">
              <w:rPr>
                <w:rFonts w:cs="Arial"/>
                <w:sz w:val="18"/>
                <w:szCs w:val="18"/>
              </w:rPr>
              <w:t>1.252</w:t>
            </w:r>
          </w:p>
        </w:tc>
        <w:tc>
          <w:tcPr>
            <w:tcW w:w="170" w:type="dxa"/>
            <w:tcBorders>
              <w:top w:val="nil"/>
              <w:left w:val="nil"/>
              <w:bottom w:val="nil"/>
              <w:right w:val="nil"/>
            </w:tcBorders>
            <w:vAlign w:val="bottom"/>
          </w:tcPr>
          <w:p w14:paraId="008826F8" w14:textId="0EA1A66E"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024B9EFC" w14:textId="598997DC" w:rsidR="00566EA9" w:rsidRPr="001D41EA" w:rsidRDefault="00566EA9" w:rsidP="001D41EA">
            <w:pPr>
              <w:spacing w:before="40" w:after="20"/>
              <w:jc w:val="center"/>
              <w:rPr>
                <w:rFonts w:cs="Arial"/>
                <w:sz w:val="18"/>
                <w:szCs w:val="18"/>
              </w:rPr>
            </w:pPr>
            <w:r w:rsidRPr="001D41EA">
              <w:rPr>
                <w:rFonts w:cs="Arial"/>
                <w:sz w:val="18"/>
                <w:szCs w:val="18"/>
              </w:rPr>
              <w:t>1.620</w:t>
            </w:r>
          </w:p>
        </w:tc>
      </w:tr>
      <w:tr w:rsidR="00566EA9" w:rsidRPr="001D41EA" w14:paraId="7705029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EA19A5F" w14:textId="77777777" w:rsidR="00566EA9" w:rsidRPr="001D41EA" w:rsidRDefault="00566EA9" w:rsidP="001D41EA">
            <w:pPr>
              <w:spacing w:before="40" w:after="20"/>
              <w:rPr>
                <w:rFonts w:cs="Arial"/>
                <w:sz w:val="18"/>
                <w:szCs w:val="18"/>
              </w:rPr>
            </w:pPr>
            <w:r w:rsidRPr="001D41EA">
              <w:rPr>
                <w:rFonts w:cs="Arial"/>
                <w:sz w:val="18"/>
                <w:szCs w:val="18"/>
              </w:rPr>
              <w:t>Port Phillip C</w:t>
            </w:r>
          </w:p>
        </w:tc>
        <w:tc>
          <w:tcPr>
            <w:tcW w:w="1021" w:type="dxa"/>
            <w:tcBorders>
              <w:top w:val="nil"/>
              <w:left w:val="single" w:sz="18" w:space="0" w:color="5F497A" w:themeColor="accent4" w:themeShade="BF"/>
              <w:bottom w:val="nil"/>
              <w:right w:val="nil"/>
            </w:tcBorders>
            <w:shd w:val="clear" w:color="auto" w:fill="auto"/>
            <w:vAlign w:val="bottom"/>
          </w:tcPr>
          <w:p w14:paraId="18AC2889" w14:textId="0E93BF1F" w:rsidR="00566EA9" w:rsidRPr="001D41EA" w:rsidRDefault="00566EA9" w:rsidP="001D41EA">
            <w:pPr>
              <w:spacing w:before="40" w:after="20"/>
              <w:jc w:val="center"/>
              <w:rPr>
                <w:rFonts w:cs="Arial"/>
                <w:sz w:val="18"/>
                <w:szCs w:val="18"/>
              </w:rPr>
            </w:pPr>
            <w:r w:rsidRPr="001D41EA">
              <w:rPr>
                <w:rFonts w:cs="Arial"/>
                <w:sz w:val="18"/>
                <w:szCs w:val="18"/>
              </w:rPr>
              <w:t>0.744</w:t>
            </w:r>
          </w:p>
        </w:tc>
        <w:tc>
          <w:tcPr>
            <w:tcW w:w="170" w:type="dxa"/>
            <w:tcBorders>
              <w:top w:val="nil"/>
              <w:left w:val="nil"/>
              <w:bottom w:val="nil"/>
              <w:right w:val="nil"/>
            </w:tcBorders>
            <w:shd w:val="clear" w:color="auto" w:fill="auto"/>
            <w:vAlign w:val="bottom"/>
          </w:tcPr>
          <w:p w14:paraId="1F9BCEF0" w14:textId="5AA44DCE"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375E8562" w14:textId="5517C6D3" w:rsidR="00566EA9" w:rsidRPr="001D41EA" w:rsidRDefault="00566EA9" w:rsidP="001D41EA">
            <w:pPr>
              <w:spacing w:before="40" w:after="20"/>
              <w:jc w:val="center"/>
              <w:rPr>
                <w:rFonts w:cs="Arial"/>
                <w:sz w:val="18"/>
                <w:szCs w:val="18"/>
              </w:rPr>
            </w:pPr>
            <w:r w:rsidRPr="001D41EA">
              <w:rPr>
                <w:rFonts w:cs="Arial"/>
                <w:sz w:val="18"/>
                <w:szCs w:val="18"/>
              </w:rPr>
              <w:t>1.077</w:t>
            </w:r>
          </w:p>
        </w:tc>
        <w:tc>
          <w:tcPr>
            <w:tcW w:w="1021" w:type="dxa"/>
            <w:tcBorders>
              <w:top w:val="nil"/>
              <w:left w:val="nil"/>
              <w:bottom w:val="nil"/>
              <w:right w:val="nil"/>
            </w:tcBorders>
            <w:vAlign w:val="bottom"/>
          </w:tcPr>
          <w:p w14:paraId="402FE348" w14:textId="0C338032" w:rsidR="00566EA9" w:rsidRPr="001D41EA" w:rsidRDefault="00566EA9" w:rsidP="001D41EA">
            <w:pPr>
              <w:spacing w:before="40" w:after="20"/>
              <w:jc w:val="center"/>
              <w:rPr>
                <w:rFonts w:cs="Arial"/>
                <w:sz w:val="18"/>
                <w:szCs w:val="18"/>
              </w:rPr>
            </w:pPr>
            <w:r w:rsidRPr="001D41EA">
              <w:rPr>
                <w:rFonts w:cs="Arial"/>
                <w:sz w:val="18"/>
                <w:szCs w:val="18"/>
              </w:rPr>
              <w:t>1.071</w:t>
            </w:r>
          </w:p>
        </w:tc>
        <w:tc>
          <w:tcPr>
            <w:tcW w:w="1021" w:type="dxa"/>
            <w:tcBorders>
              <w:top w:val="nil"/>
              <w:left w:val="nil"/>
              <w:bottom w:val="nil"/>
              <w:right w:val="nil"/>
            </w:tcBorders>
            <w:vAlign w:val="bottom"/>
          </w:tcPr>
          <w:p w14:paraId="082F2377" w14:textId="2EC9B516" w:rsidR="00566EA9" w:rsidRPr="001D41EA" w:rsidRDefault="00566EA9" w:rsidP="001D41EA">
            <w:pPr>
              <w:spacing w:before="40" w:after="20"/>
              <w:jc w:val="center"/>
              <w:rPr>
                <w:rFonts w:cs="Arial"/>
                <w:sz w:val="18"/>
                <w:szCs w:val="18"/>
              </w:rPr>
            </w:pPr>
            <w:r w:rsidRPr="001D41EA">
              <w:rPr>
                <w:rFonts w:cs="Arial"/>
                <w:sz w:val="18"/>
                <w:szCs w:val="18"/>
              </w:rPr>
              <w:t>1.067</w:t>
            </w:r>
          </w:p>
        </w:tc>
        <w:tc>
          <w:tcPr>
            <w:tcW w:w="1021" w:type="dxa"/>
            <w:tcBorders>
              <w:top w:val="nil"/>
              <w:left w:val="nil"/>
              <w:bottom w:val="nil"/>
              <w:right w:val="nil"/>
            </w:tcBorders>
            <w:vAlign w:val="bottom"/>
          </w:tcPr>
          <w:p w14:paraId="135216E7" w14:textId="0B34EC4E" w:rsidR="00566EA9" w:rsidRPr="001D41EA" w:rsidRDefault="00566EA9" w:rsidP="001D41EA">
            <w:pPr>
              <w:spacing w:before="40" w:after="20"/>
              <w:jc w:val="center"/>
              <w:rPr>
                <w:rFonts w:cs="Arial"/>
                <w:sz w:val="18"/>
                <w:szCs w:val="18"/>
              </w:rPr>
            </w:pPr>
            <w:r w:rsidRPr="001D41EA">
              <w:rPr>
                <w:rFonts w:cs="Arial"/>
                <w:sz w:val="18"/>
                <w:szCs w:val="18"/>
              </w:rPr>
              <w:t>1.075</w:t>
            </w:r>
          </w:p>
        </w:tc>
        <w:tc>
          <w:tcPr>
            <w:tcW w:w="1021" w:type="dxa"/>
            <w:tcBorders>
              <w:top w:val="nil"/>
              <w:left w:val="nil"/>
              <w:bottom w:val="nil"/>
              <w:right w:val="nil"/>
            </w:tcBorders>
            <w:vAlign w:val="bottom"/>
          </w:tcPr>
          <w:p w14:paraId="13704BB3" w14:textId="085A219D" w:rsidR="00566EA9" w:rsidRPr="001D41EA" w:rsidRDefault="00566EA9" w:rsidP="001D41EA">
            <w:pPr>
              <w:spacing w:before="40" w:after="20"/>
              <w:jc w:val="center"/>
              <w:rPr>
                <w:rFonts w:cs="Arial"/>
                <w:sz w:val="18"/>
                <w:szCs w:val="18"/>
              </w:rPr>
            </w:pPr>
            <w:r w:rsidRPr="001D41EA">
              <w:rPr>
                <w:rFonts w:cs="Arial"/>
                <w:sz w:val="18"/>
                <w:szCs w:val="18"/>
              </w:rPr>
              <w:t>1.061</w:t>
            </w:r>
          </w:p>
        </w:tc>
        <w:tc>
          <w:tcPr>
            <w:tcW w:w="170" w:type="dxa"/>
            <w:tcBorders>
              <w:top w:val="nil"/>
              <w:left w:val="nil"/>
              <w:bottom w:val="nil"/>
              <w:right w:val="nil"/>
            </w:tcBorders>
            <w:vAlign w:val="bottom"/>
          </w:tcPr>
          <w:p w14:paraId="5614BFBC" w14:textId="6A7A8B5F"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750C617E" w14:textId="10DE0491" w:rsidR="00566EA9" w:rsidRPr="001D41EA" w:rsidRDefault="00566EA9" w:rsidP="001D41EA">
            <w:pPr>
              <w:spacing w:before="40" w:after="20"/>
              <w:jc w:val="center"/>
              <w:rPr>
                <w:rFonts w:cs="Arial"/>
                <w:sz w:val="18"/>
                <w:szCs w:val="18"/>
              </w:rPr>
            </w:pPr>
            <w:r w:rsidRPr="001D41EA">
              <w:rPr>
                <w:rFonts w:cs="Arial"/>
                <w:sz w:val="18"/>
                <w:szCs w:val="18"/>
              </w:rPr>
              <w:t>0.866</w:t>
            </w:r>
          </w:p>
        </w:tc>
      </w:tr>
      <w:tr w:rsidR="00566EA9" w:rsidRPr="001D41EA" w14:paraId="33EC6DD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640BF82" w14:textId="77777777" w:rsidR="00566EA9" w:rsidRPr="001D41EA" w:rsidRDefault="00566EA9" w:rsidP="001D41EA">
            <w:pPr>
              <w:spacing w:before="40" w:after="20"/>
              <w:rPr>
                <w:rFonts w:cs="Arial"/>
                <w:sz w:val="18"/>
                <w:szCs w:val="18"/>
              </w:rPr>
            </w:pPr>
            <w:r w:rsidRPr="001D41EA">
              <w:rPr>
                <w:rFonts w:cs="Arial"/>
                <w:sz w:val="18"/>
                <w:szCs w:val="18"/>
              </w:rPr>
              <w:t>Pyrenees S</w:t>
            </w:r>
          </w:p>
        </w:tc>
        <w:tc>
          <w:tcPr>
            <w:tcW w:w="1021" w:type="dxa"/>
            <w:tcBorders>
              <w:top w:val="nil"/>
              <w:left w:val="single" w:sz="18" w:space="0" w:color="5F497A" w:themeColor="accent4" w:themeShade="BF"/>
              <w:bottom w:val="nil"/>
              <w:right w:val="nil"/>
            </w:tcBorders>
            <w:shd w:val="clear" w:color="auto" w:fill="auto"/>
            <w:vAlign w:val="bottom"/>
          </w:tcPr>
          <w:p w14:paraId="4CFFACAD" w14:textId="3061DF88" w:rsidR="00566EA9" w:rsidRPr="001D41EA" w:rsidRDefault="00566EA9" w:rsidP="001D41EA">
            <w:pPr>
              <w:spacing w:before="40" w:after="20"/>
              <w:jc w:val="center"/>
              <w:rPr>
                <w:rFonts w:cs="Arial"/>
                <w:sz w:val="18"/>
                <w:szCs w:val="18"/>
              </w:rPr>
            </w:pPr>
            <w:r w:rsidRPr="001D41EA">
              <w:rPr>
                <w:rFonts w:cs="Arial"/>
                <w:sz w:val="18"/>
                <w:szCs w:val="18"/>
              </w:rPr>
              <w:t>1.058</w:t>
            </w:r>
          </w:p>
        </w:tc>
        <w:tc>
          <w:tcPr>
            <w:tcW w:w="170" w:type="dxa"/>
            <w:tcBorders>
              <w:top w:val="nil"/>
              <w:left w:val="nil"/>
              <w:bottom w:val="nil"/>
              <w:right w:val="nil"/>
            </w:tcBorders>
            <w:shd w:val="clear" w:color="auto" w:fill="auto"/>
            <w:vAlign w:val="bottom"/>
          </w:tcPr>
          <w:p w14:paraId="07904982" w14:textId="647F5101"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4560BFD7" w14:textId="35C9285E" w:rsidR="00566EA9" w:rsidRPr="001D41EA" w:rsidRDefault="00566EA9" w:rsidP="001D41EA">
            <w:pPr>
              <w:spacing w:before="40" w:after="20"/>
              <w:jc w:val="center"/>
              <w:rPr>
                <w:rFonts w:cs="Arial"/>
                <w:sz w:val="18"/>
                <w:szCs w:val="18"/>
              </w:rPr>
            </w:pPr>
            <w:r w:rsidRPr="001D41EA">
              <w:rPr>
                <w:rFonts w:cs="Arial"/>
                <w:sz w:val="18"/>
                <w:szCs w:val="18"/>
              </w:rPr>
              <w:t>1.278</w:t>
            </w:r>
          </w:p>
        </w:tc>
        <w:tc>
          <w:tcPr>
            <w:tcW w:w="1021" w:type="dxa"/>
            <w:tcBorders>
              <w:top w:val="nil"/>
              <w:left w:val="nil"/>
              <w:bottom w:val="nil"/>
              <w:right w:val="nil"/>
            </w:tcBorders>
            <w:vAlign w:val="bottom"/>
          </w:tcPr>
          <w:p w14:paraId="2BAC7D1D" w14:textId="011E6E53" w:rsidR="00566EA9" w:rsidRPr="001D41EA" w:rsidRDefault="00566EA9" w:rsidP="001D41EA">
            <w:pPr>
              <w:spacing w:before="40" w:after="20"/>
              <w:jc w:val="center"/>
              <w:rPr>
                <w:rFonts w:cs="Arial"/>
                <w:sz w:val="18"/>
                <w:szCs w:val="18"/>
              </w:rPr>
            </w:pPr>
            <w:r w:rsidRPr="001D41EA">
              <w:rPr>
                <w:rFonts w:cs="Arial"/>
                <w:sz w:val="18"/>
                <w:szCs w:val="18"/>
              </w:rPr>
              <w:t>1.272</w:t>
            </w:r>
          </w:p>
        </w:tc>
        <w:tc>
          <w:tcPr>
            <w:tcW w:w="1021" w:type="dxa"/>
            <w:tcBorders>
              <w:top w:val="nil"/>
              <w:left w:val="nil"/>
              <w:bottom w:val="nil"/>
              <w:right w:val="nil"/>
            </w:tcBorders>
            <w:vAlign w:val="bottom"/>
          </w:tcPr>
          <w:p w14:paraId="13488B7E" w14:textId="077B2745" w:rsidR="00566EA9" w:rsidRPr="001D41EA" w:rsidRDefault="00566EA9" w:rsidP="001D41EA">
            <w:pPr>
              <w:spacing w:before="40" w:after="20"/>
              <w:jc w:val="center"/>
              <w:rPr>
                <w:rFonts w:cs="Arial"/>
                <w:sz w:val="18"/>
                <w:szCs w:val="18"/>
              </w:rPr>
            </w:pPr>
            <w:r w:rsidRPr="001D41EA">
              <w:rPr>
                <w:rFonts w:cs="Arial"/>
                <w:sz w:val="18"/>
                <w:szCs w:val="18"/>
              </w:rPr>
              <w:t>1.267</w:t>
            </w:r>
          </w:p>
        </w:tc>
        <w:tc>
          <w:tcPr>
            <w:tcW w:w="1021" w:type="dxa"/>
            <w:tcBorders>
              <w:top w:val="nil"/>
              <w:left w:val="nil"/>
              <w:bottom w:val="nil"/>
              <w:right w:val="nil"/>
            </w:tcBorders>
            <w:vAlign w:val="bottom"/>
          </w:tcPr>
          <w:p w14:paraId="30D2C990" w14:textId="1A9E2FA0" w:rsidR="00566EA9" w:rsidRPr="001D41EA" w:rsidRDefault="00566EA9" w:rsidP="001D41EA">
            <w:pPr>
              <w:spacing w:before="40" w:after="20"/>
              <w:jc w:val="center"/>
              <w:rPr>
                <w:rFonts w:cs="Arial"/>
                <w:sz w:val="18"/>
                <w:szCs w:val="18"/>
              </w:rPr>
            </w:pPr>
            <w:r w:rsidRPr="001D41EA">
              <w:rPr>
                <w:rFonts w:cs="Arial"/>
                <w:sz w:val="18"/>
                <w:szCs w:val="18"/>
              </w:rPr>
              <w:t>1.277</w:t>
            </w:r>
          </w:p>
        </w:tc>
        <w:tc>
          <w:tcPr>
            <w:tcW w:w="1021" w:type="dxa"/>
            <w:tcBorders>
              <w:top w:val="nil"/>
              <w:left w:val="nil"/>
              <w:bottom w:val="nil"/>
              <w:right w:val="nil"/>
            </w:tcBorders>
            <w:vAlign w:val="bottom"/>
          </w:tcPr>
          <w:p w14:paraId="611C1EF6" w14:textId="4195DCE3" w:rsidR="00566EA9" w:rsidRPr="001D41EA" w:rsidRDefault="00566EA9" w:rsidP="001D41EA">
            <w:pPr>
              <w:spacing w:before="40" w:after="20"/>
              <w:jc w:val="center"/>
              <w:rPr>
                <w:rFonts w:cs="Arial"/>
                <w:sz w:val="18"/>
                <w:szCs w:val="18"/>
              </w:rPr>
            </w:pPr>
            <w:r w:rsidRPr="001D41EA">
              <w:rPr>
                <w:rFonts w:cs="Arial"/>
                <w:sz w:val="18"/>
                <w:szCs w:val="18"/>
              </w:rPr>
              <w:t>1.260</w:t>
            </w:r>
          </w:p>
        </w:tc>
        <w:tc>
          <w:tcPr>
            <w:tcW w:w="170" w:type="dxa"/>
            <w:tcBorders>
              <w:top w:val="nil"/>
              <w:left w:val="nil"/>
              <w:bottom w:val="nil"/>
              <w:right w:val="nil"/>
            </w:tcBorders>
            <w:vAlign w:val="bottom"/>
          </w:tcPr>
          <w:p w14:paraId="0EDCBA6E" w14:textId="7A41AB4D"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44E8D97D" w14:textId="35559D7A" w:rsidR="00566EA9" w:rsidRPr="001D41EA" w:rsidRDefault="00566EA9" w:rsidP="001D41EA">
            <w:pPr>
              <w:spacing w:before="40" w:after="20"/>
              <w:jc w:val="center"/>
              <w:rPr>
                <w:rFonts w:cs="Arial"/>
                <w:sz w:val="18"/>
                <w:szCs w:val="18"/>
              </w:rPr>
            </w:pPr>
            <w:r w:rsidRPr="001D41EA">
              <w:rPr>
                <w:rFonts w:cs="Arial"/>
                <w:sz w:val="18"/>
                <w:szCs w:val="18"/>
              </w:rPr>
              <w:t>1.685</w:t>
            </w:r>
          </w:p>
        </w:tc>
      </w:tr>
      <w:tr w:rsidR="00566EA9" w:rsidRPr="001D41EA" w14:paraId="41164F6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03EE4B8" w14:textId="77777777" w:rsidR="00566EA9" w:rsidRPr="001D41EA" w:rsidRDefault="00566EA9" w:rsidP="001D41EA">
            <w:pPr>
              <w:spacing w:before="40" w:after="20"/>
              <w:rPr>
                <w:rFonts w:cs="Arial"/>
                <w:sz w:val="18"/>
                <w:szCs w:val="18"/>
              </w:rPr>
            </w:pPr>
            <w:r w:rsidRPr="001D41EA">
              <w:rPr>
                <w:rFonts w:cs="Arial"/>
                <w:sz w:val="18"/>
                <w:szCs w:val="18"/>
              </w:rPr>
              <w:t>Queenscliffe B</w:t>
            </w:r>
          </w:p>
        </w:tc>
        <w:tc>
          <w:tcPr>
            <w:tcW w:w="1021" w:type="dxa"/>
            <w:tcBorders>
              <w:top w:val="nil"/>
              <w:left w:val="single" w:sz="18" w:space="0" w:color="5F497A" w:themeColor="accent4" w:themeShade="BF"/>
              <w:bottom w:val="nil"/>
              <w:right w:val="nil"/>
            </w:tcBorders>
            <w:shd w:val="clear" w:color="auto" w:fill="auto"/>
            <w:vAlign w:val="bottom"/>
          </w:tcPr>
          <w:p w14:paraId="57D913E0" w14:textId="30872338" w:rsidR="00566EA9" w:rsidRPr="001D41EA" w:rsidRDefault="00566EA9" w:rsidP="001D41EA">
            <w:pPr>
              <w:spacing w:before="40" w:after="20"/>
              <w:jc w:val="center"/>
              <w:rPr>
                <w:rFonts w:cs="Arial"/>
                <w:sz w:val="18"/>
                <w:szCs w:val="18"/>
              </w:rPr>
            </w:pPr>
            <w:r w:rsidRPr="001D41EA">
              <w:rPr>
                <w:rFonts w:cs="Arial"/>
                <w:sz w:val="18"/>
                <w:szCs w:val="18"/>
              </w:rPr>
              <w:t>0.948</w:t>
            </w:r>
          </w:p>
        </w:tc>
        <w:tc>
          <w:tcPr>
            <w:tcW w:w="170" w:type="dxa"/>
            <w:tcBorders>
              <w:top w:val="nil"/>
              <w:left w:val="nil"/>
              <w:bottom w:val="nil"/>
              <w:right w:val="nil"/>
            </w:tcBorders>
            <w:shd w:val="clear" w:color="auto" w:fill="auto"/>
            <w:vAlign w:val="bottom"/>
          </w:tcPr>
          <w:p w14:paraId="3DDC5895" w14:textId="3822F56B"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493F2EA9" w14:textId="4B5EE346" w:rsidR="00566EA9" w:rsidRPr="001D41EA" w:rsidRDefault="00566EA9" w:rsidP="001D41EA">
            <w:pPr>
              <w:spacing w:before="40" w:after="20"/>
              <w:jc w:val="center"/>
              <w:rPr>
                <w:rFonts w:cs="Arial"/>
                <w:sz w:val="18"/>
                <w:szCs w:val="18"/>
              </w:rPr>
            </w:pPr>
            <w:r w:rsidRPr="001D41EA">
              <w:rPr>
                <w:rFonts w:cs="Arial"/>
                <w:sz w:val="18"/>
                <w:szCs w:val="18"/>
              </w:rPr>
              <w:t>1.287</w:t>
            </w:r>
          </w:p>
        </w:tc>
        <w:tc>
          <w:tcPr>
            <w:tcW w:w="1021" w:type="dxa"/>
            <w:tcBorders>
              <w:top w:val="nil"/>
              <w:left w:val="nil"/>
              <w:bottom w:val="nil"/>
              <w:right w:val="nil"/>
            </w:tcBorders>
            <w:vAlign w:val="bottom"/>
          </w:tcPr>
          <w:p w14:paraId="17EDDDC4" w14:textId="1241DCA8" w:rsidR="00566EA9" w:rsidRPr="001D41EA" w:rsidRDefault="00566EA9" w:rsidP="001D41EA">
            <w:pPr>
              <w:spacing w:before="40" w:after="20"/>
              <w:jc w:val="center"/>
              <w:rPr>
                <w:rFonts w:cs="Arial"/>
                <w:sz w:val="18"/>
                <w:szCs w:val="18"/>
              </w:rPr>
            </w:pPr>
            <w:r w:rsidRPr="001D41EA">
              <w:rPr>
                <w:rFonts w:cs="Arial"/>
                <w:sz w:val="18"/>
                <w:szCs w:val="18"/>
              </w:rPr>
              <w:t>1.280</w:t>
            </w:r>
          </w:p>
        </w:tc>
        <w:tc>
          <w:tcPr>
            <w:tcW w:w="1021" w:type="dxa"/>
            <w:tcBorders>
              <w:top w:val="nil"/>
              <w:left w:val="nil"/>
              <w:bottom w:val="nil"/>
              <w:right w:val="nil"/>
            </w:tcBorders>
            <w:vAlign w:val="bottom"/>
          </w:tcPr>
          <w:p w14:paraId="1B616FE9" w14:textId="03BAE5E9" w:rsidR="00566EA9" w:rsidRPr="001D41EA" w:rsidRDefault="00566EA9" w:rsidP="001D41EA">
            <w:pPr>
              <w:spacing w:before="40" w:after="20"/>
              <w:jc w:val="center"/>
              <w:rPr>
                <w:rFonts w:cs="Arial"/>
                <w:sz w:val="18"/>
                <w:szCs w:val="18"/>
              </w:rPr>
            </w:pPr>
            <w:r w:rsidRPr="001D41EA">
              <w:rPr>
                <w:rFonts w:cs="Arial"/>
                <w:sz w:val="18"/>
                <w:szCs w:val="18"/>
              </w:rPr>
              <w:t>1.275</w:t>
            </w:r>
          </w:p>
        </w:tc>
        <w:tc>
          <w:tcPr>
            <w:tcW w:w="1021" w:type="dxa"/>
            <w:tcBorders>
              <w:top w:val="nil"/>
              <w:left w:val="nil"/>
              <w:bottom w:val="nil"/>
              <w:right w:val="nil"/>
            </w:tcBorders>
            <w:vAlign w:val="bottom"/>
          </w:tcPr>
          <w:p w14:paraId="7CBC5D1F" w14:textId="3412DD0F" w:rsidR="00566EA9" w:rsidRPr="001D41EA" w:rsidRDefault="00566EA9" w:rsidP="001D41EA">
            <w:pPr>
              <w:spacing w:before="40" w:after="20"/>
              <w:jc w:val="center"/>
              <w:rPr>
                <w:rFonts w:cs="Arial"/>
                <w:sz w:val="18"/>
                <w:szCs w:val="18"/>
              </w:rPr>
            </w:pPr>
            <w:r w:rsidRPr="001D41EA">
              <w:rPr>
                <w:rFonts w:cs="Arial"/>
                <w:sz w:val="18"/>
                <w:szCs w:val="18"/>
              </w:rPr>
              <w:t>1.285</w:t>
            </w:r>
          </w:p>
        </w:tc>
        <w:tc>
          <w:tcPr>
            <w:tcW w:w="1021" w:type="dxa"/>
            <w:tcBorders>
              <w:top w:val="nil"/>
              <w:left w:val="nil"/>
              <w:bottom w:val="nil"/>
              <w:right w:val="nil"/>
            </w:tcBorders>
            <w:vAlign w:val="bottom"/>
          </w:tcPr>
          <w:p w14:paraId="040F10F8" w14:textId="52B751E1" w:rsidR="00566EA9" w:rsidRPr="001D41EA" w:rsidRDefault="00566EA9" w:rsidP="001D41EA">
            <w:pPr>
              <w:spacing w:before="40" w:after="20"/>
              <w:jc w:val="center"/>
              <w:rPr>
                <w:rFonts w:cs="Arial"/>
                <w:sz w:val="18"/>
                <w:szCs w:val="18"/>
              </w:rPr>
            </w:pPr>
            <w:r w:rsidRPr="001D41EA">
              <w:rPr>
                <w:rFonts w:cs="Arial"/>
                <w:sz w:val="18"/>
                <w:szCs w:val="18"/>
              </w:rPr>
              <w:t>1.268</w:t>
            </w:r>
          </w:p>
        </w:tc>
        <w:tc>
          <w:tcPr>
            <w:tcW w:w="170" w:type="dxa"/>
            <w:tcBorders>
              <w:top w:val="nil"/>
              <w:left w:val="nil"/>
              <w:bottom w:val="nil"/>
              <w:right w:val="nil"/>
            </w:tcBorders>
            <w:vAlign w:val="bottom"/>
          </w:tcPr>
          <w:p w14:paraId="510AACF8" w14:textId="4455A97A"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219A8CBF" w14:textId="1C5AC4EC" w:rsidR="00566EA9" w:rsidRPr="001D41EA" w:rsidRDefault="00566EA9" w:rsidP="001D41EA">
            <w:pPr>
              <w:spacing w:before="40" w:after="20"/>
              <w:jc w:val="center"/>
              <w:rPr>
                <w:rFonts w:cs="Arial"/>
                <w:sz w:val="18"/>
                <w:szCs w:val="18"/>
              </w:rPr>
            </w:pPr>
            <w:r w:rsidRPr="001D41EA">
              <w:rPr>
                <w:rFonts w:cs="Arial"/>
                <w:sz w:val="18"/>
                <w:szCs w:val="18"/>
              </w:rPr>
              <w:t>1.587</w:t>
            </w:r>
          </w:p>
        </w:tc>
      </w:tr>
      <w:tr w:rsidR="00566EA9" w:rsidRPr="001D41EA" w14:paraId="607D2F2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FF02DD5" w14:textId="77777777" w:rsidR="00566EA9" w:rsidRPr="001D41EA" w:rsidRDefault="00566EA9" w:rsidP="001D41EA">
            <w:pPr>
              <w:spacing w:before="40" w:after="20"/>
              <w:rPr>
                <w:rFonts w:cs="Arial"/>
                <w:sz w:val="18"/>
                <w:szCs w:val="18"/>
              </w:rPr>
            </w:pPr>
            <w:r w:rsidRPr="001D41EA">
              <w:rPr>
                <w:rFonts w:cs="Arial"/>
                <w:sz w:val="18"/>
                <w:szCs w:val="18"/>
              </w:rPr>
              <w:t>South Gippsland S</w:t>
            </w:r>
          </w:p>
        </w:tc>
        <w:tc>
          <w:tcPr>
            <w:tcW w:w="1021" w:type="dxa"/>
            <w:tcBorders>
              <w:top w:val="nil"/>
              <w:left w:val="single" w:sz="18" w:space="0" w:color="5F497A" w:themeColor="accent4" w:themeShade="BF"/>
              <w:bottom w:val="nil"/>
              <w:right w:val="nil"/>
            </w:tcBorders>
            <w:shd w:val="clear" w:color="auto" w:fill="auto"/>
            <w:vAlign w:val="bottom"/>
          </w:tcPr>
          <w:p w14:paraId="0C1B05F2" w14:textId="61415AA3" w:rsidR="00566EA9" w:rsidRPr="001D41EA" w:rsidRDefault="00566EA9" w:rsidP="001D41EA">
            <w:pPr>
              <w:spacing w:before="40" w:after="20"/>
              <w:jc w:val="center"/>
              <w:rPr>
                <w:rFonts w:cs="Arial"/>
                <w:sz w:val="18"/>
                <w:szCs w:val="18"/>
              </w:rPr>
            </w:pPr>
            <w:r w:rsidRPr="001D41EA">
              <w:rPr>
                <w:rFonts w:cs="Arial"/>
                <w:sz w:val="18"/>
                <w:szCs w:val="18"/>
              </w:rPr>
              <w:t>1.061</w:t>
            </w:r>
          </w:p>
        </w:tc>
        <w:tc>
          <w:tcPr>
            <w:tcW w:w="170" w:type="dxa"/>
            <w:tcBorders>
              <w:top w:val="nil"/>
              <w:left w:val="nil"/>
              <w:bottom w:val="nil"/>
              <w:right w:val="nil"/>
            </w:tcBorders>
            <w:shd w:val="clear" w:color="auto" w:fill="auto"/>
            <w:vAlign w:val="bottom"/>
          </w:tcPr>
          <w:p w14:paraId="03BFC5EC" w14:textId="69D67930"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6F189A44" w14:textId="233F154E" w:rsidR="00566EA9" w:rsidRPr="001D41EA" w:rsidRDefault="00566EA9" w:rsidP="001D41EA">
            <w:pPr>
              <w:spacing w:before="40" w:after="20"/>
              <w:jc w:val="center"/>
              <w:rPr>
                <w:rFonts w:cs="Arial"/>
                <w:sz w:val="18"/>
                <w:szCs w:val="18"/>
              </w:rPr>
            </w:pPr>
            <w:r w:rsidRPr="001D41EA">
              <w:rPr>
                <w:rFonts w:cs="Arial"/>
                <w:sz w:val="18"/>
                <w:szCs w:val="18"/>
              </w:rPr>
              <w:t>1.236</w:t>
            </w:r>
          </w:p>
        </w:tc>
        <w:tc>
          <w:tcPr>
            <w:tcW w:w="1021" w:type="dxa"/>
            <w:tcBorders>
              <w:top w:val="nil"/>
              <w:left w:val="nil"/>
              <w:bottom w:val="nil"/>
              <w:right w:val="nil"/>
            </w:tcBorders>
            <w:vAlign w:val="bottom"/>
          </w:tcPr>
          <w:p w14:paraId="1DE31100" w14:textId="46210F00" w:rsidR="00566EA9" w:rsidRPr="001D41EA" w:rsidRDefault="00566EA9" w:rsidP="001D41EA">
            <w:pPr>
              <w:spacing w:before="40" w:after="20"/>
              <w:jc w:val="center"/>
              <w:rPr>
                <w:rFonts w:cs="Arial"/>
                <w:sz w:val="18"/>
                <w:szCs w:val="18"/>
              </w:rPr>
            </w:pPr>
            <w:r w:rsidRPr="001D41EA">
              <w:rPr>
                <w:rFonts w:cs="Arial"/>
                <w:sz w:val="18"/>
                <w:szCs w:val="18"/>
              </w:rPr>
              <w:t>1.230</w:t>
            </w:r>
          </w:p>
        </w:tc>
        <w:tc>
          <w:tcPr>
            <w:tcW w:w="1021" w:type="dxa"/>
            <w:tcBorders>
              <w:top w:val="nil"/>
              <w:left w:val="nil"/>
              <w:bottom w:val="nil"/>
              <w:right w:val="nil"/>
            </w:tcBorders>
            <w:vAlign w:val="bottom"/>
          </w:tcPr>
          <w:p w14:paraId="2B0FEEDD" w14:textId="7D495FA5" w:rsidR="00566EA9" w:rsidRPr="001D41EA" w:rsidRDefault="00566EA9" w:rsidP="001D41EA">
            <w:pPr>
              <w:spacing w:before="40" w:after="20"/>
              <w:jc w:val="center"/>
              <w:rPr>
                <w:rFonts w:cs="Arial"/>
                <w:sz w:val="18"/>
                <w:szCs w:val="18"/>
              </w:rPr>
            </w:pPr>
            <w:r w:rsidRPr="001D41EA">
              <w:rPr>
                <w:rFonts w:cs="Arial"/>
                <w:sz w:val="18"/>
                <w:szCs w:val="18"/>
              </w:rPr>
              <w:t>1.225</w:t>
            </w:r>
          </w:p>
        </w:tc>
        <w:tc>
          <w:tcPr>
            <w:tcW w:w="1021" w:type="dxa"/>
            <w:tcBorders>
              <w:top w:val="nil"/>
              <w:left w:val="nil"/>
              <w:bottom w:val="nil"/>
              <w:right w:val="nil"/>
            </w:tcBorders>
            <w:vAlign w:val="bottom"/>
          </w:tcPr>
          <w:p w14:paraId="73B0303F" w14:textId="02E72552" w:rsidR="00566EA9" w:rsidRPr="001D41EA" w:rsidRDefault="00566EA9" w:rsidP="001D41EA">
            <w:pPr>
              <w:spacing w:before="40" w:after="20"/>
              <w:jc w:val="center"/>
              <w:rPr>
                <w:rFonts w:cs="Arial"/>
                <w:sz w:val="18"/>
                <w:szCs w:val="18"/>
              </w:rPr>
            </w:pPr>
            <w:r w:rsidRPr="001D41EA">
              <w:rPr>
                <w:rFonts w:cs="Arial"/>
                <w:sz w:val="18"/>
                <w:szCs w:val="18"/>
              </w:rPr>
              <w:t>1.234</w:t>
            </w:r>
          </w:p>
        </w:tc>
        <w:tc>
          <w:tcPr>
            <w:tcW w:w="1021" w:type="dxa"/>
            <w:tcBorders>
              <w:top w:val="nil"/>
              <w:left w:val="nil"/>
              <w:bottom w:val="nil"/>
              <w:right w:val="nil"/>
            </w:tcBorders>
            <w:vAlign w:val="bottom"/>
          </w:tcPr>
          <w:p w14:paraId="1D4B612A" w14:textId="788F6F50" w:rsidR="00566EA9" w:rsidRPr="001D41EA" w:rsidRDefault="00566EA9" w:rsidP="001D41EA">
            <w:pPr>
              <w:spacing w:before="40" w:after="20"/>
              <w:jc w:val="center"/>
              <w:rPr>
                <w:rFonts w:cs="Arial"/>
                <w:sz w:val="18"/>
                <w:szCs w:val="18"/>
              </w:rPr>
            </w:pPr>
            <w:r w:rsidRPr="001D41EA">
              <w:rPr>
                <w:rFonts w:cs="Arial"/>
                <w:sz w:val="18"/>
                <w:szCs w:val="18"/>
              </w:rPr>
              <w:t>1.218</w:t>
            </w:r>
          </w:p>
        </w:tc>
        <w:tc>
          <w:tcPr>
            <w:tcW w:w="170" w:type="dxa"/>
            <w:tcBorders>
              <w:top w:val="nil"/>
              <w:left w:val="nil"/>
              <w:bottom w:val="nil"/>
              <w:right w:val="nil"/>
            </w:tcBorders>
            <w:vAlign w:val="bottom"/>
          </w:tcPr>
          <w:p w14:paraId="6FDB49AB" w14:textId="25537494"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4AA614EA" w14:textId="037035D1" w:rsidR="00566EA9" w:rsidRPr="001D41EA" w:rsidRDefault="00566EA9" w:rsidP="001D41EA">
            <w:pPr>
              <w:spacing w:before="40" w:after="20"/>
              <w:jc w:val="center"/>
              <w:rPr>
                <w:rFonts w:cs="Arial"/>
                <w:sz w:val="18"/>
                <w:szCs w:val="18"/>
              </w:rPr>
            </w:pPr>
            <w:r w:rsidRPr="001D41EA">
              <w:rPr>
                <w:rFonts w:cs="Arial"/>
                <w:sz w:val="18"/>
                <w:szCs w:val="18"/>
              </w:rPr>
              <w:t>1.056</w:t>
            </w:r>
          </w:p>
        </w:tc>
      </w:tr>
      <w:tr w:rsidR="00566EA9" w:rsidRPr="001D41EA" w14:paraId="39E7636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D868BFD" w14:textId="77777777" w:rsidR="00566EA9" w:rsidRPr="001D41EA" w:rsidRDefault="00566EA9" w:rsidP="001D41EA">
            <w:pPr>
              <w:spacing w:before="40" w:after="20"/>
              <w:rPr>
                <w:rFonts w:cs="Arial"/>
                <w:sz w:val="18"/>
                <w:szCs w:val="18"/>
              </w:rPr>
            </w:pPr>
            <w:r w:rsidRPr="001D41EA">
              <w:rPr>
                <w:rFonts w:cs="Arial"/>
                <w:sz w:val="18"/>
                <w:szCs w:val="18"/>
              </w:rPr>
              <w:t>Southern Grampians S</w:t>
            </w:r>
          </w:p>
        </w:tc>
        <w:tc>
          <w:tcPr>
            <w:tcW w:w="1021" w:type="dxa"/>
            <w:tcBorders>
              <w:top w:val="nil"/>
              <w:left w:val="single" w:sz="18" w:space="0" w:color="5F497A" w:themeColor="accent4" w:themeShade="BF"/>
              <w:bottom w:val="nil"/>
              <w:right w:val="nil"/>
            </w:tcBorders>
            <w:shd w:val="clear" w:color="auto" w:fill="auto"/>
            <w:vAlign w:val="bottom"/>
          </w:tcPr>
          <w:p w14:paraId="6DB531D0" w14:textId="02CD3DF0" w:rsidR="00566EA9" w:rsidRPr="001D41EA" w:rsidRDefault="00566EA9" w:rsidP="001D41EA">
            <w:pPr>
              <w:spacing w:before="40" w:after="20"/>
              <w:jc w:val="center"/>
              <w:rPr>
                <w:rFonts w:cs="Arial"/>
                <w:sz w:val="18"/>
                <w:szCs w:val="18"/>
              </w:rPr>
            </w:pPr>
            <w:r w:rsidRPr="001D41EA">
              <w:rPr>
                <w:rFonts w:cs="Arial"/>
                <w:sz w:val="18"/>
                <w:szCs w:val="18"/>
              </w:rPr>
              <w:t>1.077</w:t>
            </w:r>
          </w:p>
        </w:tc>
        <w:tc>
          <w:tcPr>
            <w:tcW w:w="170" w:type="dxa"/>
            <w:tcBorders>
              <w:top w:val="nil"/>
              <w:left w:val="nil"/>
              <w:bottom w:val="nil"/>
              <w:right w:val="nil"/>
            </w:tcBorders>
            <w:shd w:val="clear" w:color="auto" w:fill="auto"/>
            <w:vAlign w:val="bottom"/>
          </w:tcPr>
          <w:p w14:paraId="5B44EEA6" w14:textId="27B4DC2D"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7E843A55" w14:textId="16CDDDB5" w:rsidR="00566EA9" w:rsidRPr="001D41EA" w:rsidRDefault="00566EA9" w:rsidP="001D41EA">
            <w:pPr>
              <w:spacing w:before="40" w:after="20"/>
              <w:jc w:val="center"/>
              <w:rPr>
                <w:rFonts w:cs="Arial"/>
                <w:sz w:val="18"/>
                <w:szCs w:val="18"/>
              </w:rPr>
            </w:pPr>
            <w:r w:rsidRPr="001D41EA">
              <w:rPr>
                <w:rFonts w:cs="Arial"/>
                <w:sz w:val="18"/>
                <w:szCs w:val="18"/>
              </w:rPr>
              <w:t>1.262</w:t>
            </w:r>
          </w:p>
        </w:tc>
        <w:tc>
          <w:tcPr>
            <w:tcW w:w="1021" w:type="dxa"/>
            <w:tcBorders>
              <w:top w:val="nil"/>
              <w:left w:val="nil"/>
              <w:bottom w:val="nil"/>
              <w:right w:val="nil"/>
            </w:tcBorders>
            <w:vAlign w:val="bottom"/>
          </w:tcPr>
          <w:p w14:paraId="31BEBB87" w14:textId="72BF2119" w:rsidR="00566EA9" w:rsidRPr="001D41EA" w:rsidRDefault="00566EA9" w:rsidP="001D41EA">
            <w:pPr>
              <w:spacing w:before="40" w:after="20"/>
              <w:jc w:val="center"/>
              <w:rPr>
                <w:rFonts w:cs="Arial"/>
                <w:sz w:val="18"/>
                <w:szCs w:val="18"/>
              </w:rPr>
            </w:pPr>
            <w:r w:rsidRPr="001D41EA">
              <w:rPr>
                <w:rFonts w:cs="Arial"/>
                <w:sz w:val="18"/>
                <w:szCs w:val="18"/>
              </w:rPr>
              <w:t>1.255</w:t>
            </w:r>
          </w:p>
        </w:tc>
        <w:tc>
          <w:tcPr>
            <w:tcW w:w="1021" w:type="dxa"/>
            <w:tcBorders>
              <w:top w:val="nil"/>
              <w:left w:val="nil"/>
              <w:bottom w:val="nil"/>
              <w:right w:val="nil"/>
            </w:tcBorders>
            <w:vAlign w:val="bottom"/>
          </w:tcPr>
          <w:p w14:paraId="7D2CEC34" w14:textId="2965C3B4" w:rsidR="00566EA9" w:rsidRPr="001D41EA" w:rsidRDefault="00566EA9" w:rsidP="001D41EA">
            <w:pPr>
              <w:spacing w:before="40" w:after="20"/>
              <w:jc w:val="center"/>
              <w:rPr>
                <w:rFonts w:cs="Arial"/>
                <w:sz w:val="18"/>
                <w:szCs w:val="18"/>
              </w:rPr>
            </w:pPr>
            <w:r w:rsidRPr="001D41EA">
              <w:rPr>
                <w:rFonts w:cs="Arial"/>
                <w:sz w:val="18"/>
                <w:szCs w:val="18"/>
              </w:rPr>
              <w:t>1.250</w:t>
            </w:r>
          </w:p>
        </w:tc>
        <w:tc>
          <w:tcPr>
            <w:tcW w:w="1021" w:type="dxa"/>
            <w:tcBorders>
              <w:top w:val="nil"/>
              <w:left w:val="nil"/>
              <w:bottom w:val="nil"/>
              <w:right w:val="nil"/>
            </w:tcBorders>
            <w:vAlign w:val="bottom"/>
          </w:tcPr>
          <w:p w14:paraId="7E2233ED" w14:textId="4011A18A" w:rsidR="00566EA9" w:rsidRPr="001D41EA" w:rsidRDefault="00566EA9" w:rsidP="001D41EA">
            <w:pPr>
              <w:spacing w:before="40" w:after="20"/>
              <w:jc w:val="center"/>
              <w:rPr>
                <w:rFonts w:cs="Arial"/>
                <w:sz w:val="18"/>
                <w:szCs w:val="18"/>
              </w:rPr>
            </w:pPr>
            <w:r w:rsidRPr="001D41EA">
              <w:rPr>
                <w:rFonts w:cs="Arial"/>
                <w:sz w:val="18"/>
                <w:szCs w:val="18"/>
              </w:rPr>
              <w:t>1.260</w:t>
            </w:r>
          </w:p>
        </w:tc>
        <w:tc>
          <w:tcPr>
            <w:tcW w:w="1021" w:type="dxa"/>
            <w:tcBorders>
              <w:top w:val="nil"/>
              <w:left w:val="nil"/>
              <w:bottom w:val="nil"/>
              <w:right w:val="nil"/>
            </w:tcBorders>
            <w:vAlign w:val="bottom"/>
          </w:tcPr>
          <w:p w14:paraId="3F6E6FA4" w14:textId="7F6EFA1B" w:rsidR="00566EA9" w:rsidRPr="001D41EA" w:rsidRDefault="00566EA9" w:rsidP="001D41EA">
            <w:pPr>
              <w:spacing w:before="40" w:after="20"/>
              <w:jc w:val="center"/>
              <w:rPr>
                <w:rFonts w:cs="Arial"/>
                <w:sz w:val="18"/>
                <w:szCs w:val="18"/>
              </w:rPr>
            </w:pPr>
            <w:r w:rsidRPr="001D41EA">
              <w:rPr>
                <w:rFonts w:cs="Arial"/>
                <w:sz w:val="18"/>
                <w:szCs w:val="18"/>
              </w:rPr>
              <w:t>1.243</w:t>
            </w:r>
          </w:p>
        </w:tc>
        <w:tc>
          <w:tcPr>
            <w:tcW w:w="170" w:type="dxa"/>
            <w:tcBorders>
              <w:top w:val="nil"/>
              <w:left w:val="nil"/>
              <w:bottom w:val="nil"/>
              <w:right w:val="nil"/>
            </w:tcBorders>
            <w:vAlign w:val="bottom"/>
          </w:tcPr>
          <w:p w14:paraId="0ABDBE06" w14:textId="0DAC21A5"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2C2F9EAF" w14:textId="77904F4E" w:rsidR="00566EA9" w:rsidRPr="001D41EA" w:rsidRDefault="00566EA9" w:rsidP="001D41EA">
            <w:pPr>
              <w:spacing w:before="40" w:after="20"/>
              <w:jc w:val="center"/>
              <w:rPr>
                <w:rFonts w:cs="Arial"/>
                <w:sz w:val="18"/>
                <w:szCs w:val="18"/>
              </w:rPr>
            </w:pPr>
            <w:r w:rsidRPr="001D41EA">
              <w:rPr>
                <w:rFonts w:cs="Arial"/>
                <w:sz w:val="18"/>
                <w:szCs w:val="18"/>
              </w:rPr>
              <w:t>1.082</w:t>
            </w:r>
          </w:p>
        </w:tc>
      </w:tr>
      <w:tr w:rsidR="00566EA9" w:rsidRPr="001D41EA" w14:paraId="77DB2A6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CDC8F33" w14:textId="77777777" w:rsidR="00566EA9" w:rsidRPr="001D41EA" w:rsidRDefault="00566EA9" w:rsidP="001D41EA">
            <w:pPr>
              <w:spacing w:before="40" w:after="20"/>
              <w:rPr>
                <w:rFonts w:cs="Arial"/>
                <w:sz w:val="18"/>
                <w:szCs w:val="18"/>
              </w:rPr>
            </w:pPr>
            <w:r w:rsidRPr="001D41EA">
              <w:rPr>
                <w:rFonts w:cs="Arial"/>
                <w:sz w:val="18"/>
                <w:szCs w:val="18"/>
              </w:rPr>
              <w:t>Stonnington C</w:t>
            </w:r>
          </w:p>
        </w:tc>
        <w:tc>
          <w:tcPr>
            <w:tcW w:w="1021" w:type="dxa"/>
            <w:tcBorders>
              <w:top w:val="nil"/>
              <w:left w:val="single" w:sz="18" w:space="0" w:color="5F497A" w:themeColor="accent4" w:themeShade="BF"/>
              <w:bottom w:val="nil"/>
              <w:right w:val="nil"/>
            </w:tcBorders>
            <w:shd w:val="clear" w:color="auto" w:fill="auto"/>
            <w:vAlign w:val="bottom"/>
          </w:tcPr>
          <w:p w14:paraId="346E873F" w14:textId="763F4EEE" w:rsidR="00566EA9" w:rsidRPr="001D41EA" w:rsidRDefault="00566EA9" w:rsidP="001D41EA">
            <w:pPr>
              <w:spacing w:before="40" w:after="20"/>
              <w:jc w:val="center"/>
              <w:rPr>
                <w:rFonts w:cs="Arial"/>
                <w:sz w:val="18"/>
                <w:szCs w:val="18"/>
              </w:rPr>
            </w:pPr>
            <w:r w:rsidRPr="001D41EA">
              <w:rPr>
                <w:rFonts w:cs="Arial"/>
                <w:sz w:val="18"/>
                <w:szCs w:val="18"/>
              </w:rPr>
              <w:t>0.711</w:t>
            </w:r>
          </w:p>
        </w:tc>
        <w:tc>
          <w:tcPr>
            <w:tcW w:w="170" w:type="dxa"/>
            <w:tcBorders>
              <w:top w:val="nil"/>
              <w:left w:val="nil"/>
              <w:bottom w:val="nil"/>
              <w:right w:val="nil"/>
            </w:tcBorders>
            <w:shd w:val="clear" w:color="auto" w:fill="auto"/>
            <w:vAlign w:val="bottom"/>
          </w:tcPr>
          <w:p w14:paraId="0F474F23" w14:textId="2DBC7ED0"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3DB39DA0" w14:textId="75C3FA5E" w:rsidR="00566EA9" w:rsidRPr="001D41EA" w:rsidRDefault="00566EA9" w:rsidP="001D41EA">
            <w:pPr>
              <w:spacing w:before="40" w:after="20"/>
              <w:jc w:val="center"/>
              <w:rPr>
                <w:rFonts w:cs="Arial"/>
                <w:sz w:val="18"/>
                <w:szCs w:val="18"/>
              </w:rPr>
            </w:pPr>
            <w:r w:rsidRPr="001D41EA">
              <w:rPr>
                <w:rFonts w:cs="Arial"/>
                <w:sz w:val="18"/>
                <w:szCs w:val="18"/>
              </w:rPr>
              <w:t>1.071</w:t>
            </w:r>
          </w:p>
        </w:tc>
        <w:tc>
          <w:tcPr>
            <w:tcW w:w="1021" w:type="dxa"/>
            <w:tcBorders>
              <w:top w:val="nil"/>
              <w:left w:val="nil"/>
              <w:bottom w:val="nil"/>
              <w:right w:val="nil"/>
            </w:tcBorders>
            <w:vAlign w:val="bottom"/>
          </w:tcPr>
          <w:p w14:paraId="2EB2C789" w14:textId="7A68D65D" w:rsidR="00566EA9" w:rsidRPr="001D41EA" w:rsidRDefault="00566EA9" w:rsidP="001D41EA">
            <w:pPr>
              <w:spacing w:before="40" w:after="20"/>
              <w:jc w:val="center"/>
              <w:rPr>
                <w:rFonts w:cs="Arial"/>
                <w:sz w:val="18"/>
                <w:szCs w:val="18"/>
              </w:rPr>
            </w:pPr>
            <w:r w:rsidRPr="001D41EA">
              <w:rPr>
                <w:rFonts w:cs="Arial"/>
                <w:sz w:val="18"/>
                <w:szCs w:val="18"/>
              </w:rPr>
              <w:t>1.065</w:t>
            </w:r>
          </w:p>
        </w:tc>
        <w:tc>
          <w:tcPr>
            <w:tcW w:w="1021" w:type="dxa"/>
            <w:tcBorders>
              <w:top w:val="nil"/>
              <w:left w:val="nil"/>
              <w:bottom w:val="nil"/>
              <w:right w:val="nil"/>
            </w:tcBorders>
            <w:vAlign w:val="bottom"/>
          </w:tcPr>
          <w:p w14:paraId="1B9DA664" w14:textId="22F4B57B" w:rsidR="00566EA9" w:rsidRPr="001D41EA" w:rsidRDefault="00566EA9" w:rsidP="001D41EA">
            <w:pPr>
              <w:spacing w:before="40" w:after="20"/>
              <w:jc w:val="center"/>
              <w:rPr>
                <w:rFonts w:cs="Arial"/>
                <w:sz w:val="18"/>
                <w:szCs w:val="18"/>
              </w:rPr>
            </w:pPr>
            <w:r w:rsidRPr="001D41EA">
              <w:rPr>
                <w:rFonts w:cs="Arial"/>
                <w:sz w:val="18"/>
                <w:szCs w:val="18"/>
              </w:rPr>
              <w:t>1.061</w:t>
            </w:r>
          </w:p>
        </w:tc>
        <w:tc>
          <w:tcPr>
            <w:tcW w:w="1021" w:type="dxa"/>
            <w:tcBorders>
              <w:top w:val="nil"/>
              <w:left w:val="nil"/>
              <w:bottom w:val="nil"/>
              <w:right w:val="nil"/>
            </w:tcBorders>
            <w:vAlign w:val="bottom"/>
          </w:tcPr>
          <w:p w14:paraId="0466FF95" w14:textId="20E307BA" w:rsidR="00566EA9" w:rsidRPr="001D41EA" w:rsidRDefault="00566EA9" w:rsidP="001D41EA">
            <w:pPr>
              <w:spacing w:before="40" w:after="20"/>
              <w:jc w:val="center"/>
              <w:rPr>
                <w:rFonts w:cs="Arial"/>
                <w:sz w:val="18"/>
                <w:szCs w:val="18"/>
              </w:rPr>
            </w:pPr>
            <w:r w:rsidRPr="001D41EA">
              <w:rPr>
                <w:rFonts w:cs="Arial"/>
                <w:sz w:val="18"/>
                <w:szCs w:val="18"/>
              </w:rPr>
              <w:t>1.069</w:t>
            </w:r>
          </w:p>
        </w:tc>
        <w:tc>
          <w:tcPr>
            <w:tcW w:w="1021" w:type="dxa"/>
            <w:tcBorders>
              <w:top w:val="nil"/>
              <w:left w:val="nil"/>
              <w:bottom w:val="nil"/>
              <w:right w:val="nil"/>
            </w:tcBorders>
            <w:vAlign w:val="bottom"/>
          </w:tcPr>
          <w:p w14:paraId="0A051915" w14:textId="40AC2E75" w:rsidR="00566EA9" w:rsidRPr="001D41EA" w:rsidRDefault="00566EA9" w:rsidP="001D41EA">
            <w:pPr>
              <w:spacing w:before="40" w:after="20"/>
              <w:jc w:val="center"/>
              <w:rPr>
                <w:rFonts w:cs="Arial"/>
                <w:sz w:val="18"/>
                <w:szCs w:val="18"/>
              </w:rPr>
            </w:pPr>
            <w:r w:rsidRPr="001D41EA">
              <w:rPr>
                <w:rFonts w:cs="Arial"/>
                <w:sz w:val="18"/>
                <w:szCs w:val="18"/>
              </w:rPr>
              <w:t>1.055</w:t>
            </w:r>
          </w:p>
        </w:tc>
        <w:tc>
          <w:tcPr>
            <w:tcW w:w="170" w:type="dxa"/>
            <w:tcBorders>
              <w:top w:val="nil"/>
              <w:left w:val="nil"/>
              <w:bottom w:val="nil"/>
              <w:right w:val="nil"/>
            </w:tcBorders>
            <w:vAlign w:val="bottom"/>
          </w:tcPr>
          <w:p w14:paraId="009FEA70" w14:textId="1F935C2F"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11F179D2" w14:textId="2C57965A" w:rsidR="00566EA9" w:rsidRPr="001D41EA" w:rsidRDefault="00566EA9" w:rsidP="001D41EA">
            <w:pPr>
              <w:spacing w:before="40" w:after="20"/>
              <w:jc w:val="center"/>
              <w:rPr>
                <w:rFonts w:cs="Arial"/>
                <w:sz w:val="18"/>
                <w:szCs w:val="18"/>
              </w:rPr>
            </w:pPr>
            <w:r w:rsidRPr="001D41EA">
              <w:rPr>
                <w:rFonts w:cs="Arial"/>
                <w:sz w:val="18"/>
                <w:szCs w:val="18"/>
              </w:rPr>
              <w:t>0.918</w:t>
            </w:r>
          </w:p>
        </w:tc>
      </w:tr>
      <w:tr w:rsidR="00566EA9" w:rsidRPr="001D41EA" w14:paraId="7A25111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DF7ABB2" w14:textId="77777777" w:rsidR="00566EA9" w:rsidRPr="001D41EA" w:rsidRDefault="00566EA9" w:rsidP="001D41EA">
            <w:pPr>
              <w:spacing w:before="40" w:after="20"/>
              <w:rPr>
                <w:rFonts w:cs="Arial"/>
                <w:sz w:val="18"/>
                <w:szCs w:val="18"/>
              </w:rPr>
            </w:pPr>
            <w:r w:rsidRPr="001D41EA">
              <w:rPr>
                <w:rFonts w:cs="Arial"/>
                <w:sz w:val="18"/>
                <w:szCs w:val="18"/>
              </w:rPr>
              <w:t>Strathbogie S</w:t>
            </w:r>
          </w:p>
        </w:tc>
        <w:tc>
          <w:tcPr>
            <w:tcW w:w="1021" w:type="dxa"/>
            <w:tcBorders>
              <w:top w:val="nil"/>
              <w:left w:val="single" w:sz="18" w:space="0" w:color="5F497A" w:themeColor="accent4" w:themeShade="BF"/>
              <w:bottom w:val="nil"/>
              <w:right w:val="nil"/>
            </w:tcBorders>
            <w:shd w:val="clear" w:color="auto" w:fill="auto"/>
            <w:vAlign w:val="bottom"/>
          </w:tcPr>
          <w:p w14:paraId="118292ED" w14:textId="372FCE3E" w:rsidR="00566EA9" w:rsidRPr="001D41EA" w:rsidRDefault="00566EA9" w:rsidP="001D41EA">
            <w:pPr>
              <w:spacing w:before="40" w:after="20"/>
              <w:jc w:val="center"/>
              <w:rPr>
                <w:rFonts w:cs="Arial"/>
                <w:sz w:val="18"/>
                <w:szCs w:val="18"/>
              </w:rPr>
            </w:pPr>
            <w:r w:rsidRPr="001D41EA">
              <w:rPr>
                <w:rFonts w:cs="Arial"/>
                <w:sz w:val="18"/>
                <w:szCs w:val="18"/>
              </w:rPr>
              <w:t>1.111</w:t>
            </w:r>
          </w:p>
        </w:tc>
        <w:tc>
          <w:tcPr>
            <w:tcW w:w="170" w:type="dxa"/>
            <w:tcBorders>
              <w:top w:val="nil"/>
              <w:left w:val="nil"/>
              <w:bottom w:val="nil"/>
              <w:right w:val="nil"/>
            </w:tcBorders>
            <w:shd w:val="clear" w:color="auto" w:fill="auto"/>
            <w:vAlign w:val="bottom"/>
          </w:tcPr>
          <w:p w14:paraId="594B379B" w14:textId="16AC224B"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35A12747" w14:textId="4007E84E" w:rsidR="00566EA9" w:rsidRPr="001D41EA" w:rsidRDefault="00566EA9" w:rsidP="001D41EA">
            <w:pPr>
              <w:spacing w:before="40" w:after="20"/>
              <w:jc w:val="center"/>
              <w:rPr>
                <w:rFonts w:cs="Arial"/>
                <w:sz w:val="18"/>
                <w:szCs w:val="18"/>
              </w:rPr>
            </w:pPr>
            <w:r w:rsidRPr="001D41EA">
              <w:rPr>
                <w:rFonts w:cs="Arial"/>
                <w:sz w:val="18"/>
                <w:szCs w:val="18"/>
              </w:rPr>
              <w:t>1.272</w:t>
            </w:r>
          </w:p>
        </w:tc>
        <w:tc>
          <w:tcPr>
            <w:tcW w:w="1021" w:type="dxa"/>
            <w:tcBorders>
              <w:top w:val="nil"/>
              <w:left w:val="nil"/>
              <w:bottom w:val="nil"/>
              <w:right w:val="nil"/>
            </w:tcBorders>
            <w:vAlign w:val="bottom"/>
          </w:tcPr>
          <w:p w14:paraId="026C8CD6" w14:textId="0A67D2A1" w:rsidR="00566EA9" w:rsidRPr="001D41EA" w:rsidRDefault="00566EA9" w:rsidP="001D41EA">
            <w:pPr>
              <w:spacing w:before="40" w:after="20"/>
              <w:jc w:val="center"/>
              <w:rPr>
                <w:rFonts w:cs="Arial"/>
                <w:sz w:val="18"/>
                <w:szCs w:val="18"/>
              </w:rPr>
            </w:pPr>
            <w:r w:rsidRPr="001D41EA">
              <w:rPr>
                <w:rFonts w:cs="Arial"/>
                <w:sz w:val="18"/>
                <w:szCs w:val="18"/>
              </w:rPr>
              <w:t>1.265</w:t>
            </w:r>
          </w:p>
        </w:tc>
        <w:tc>
          <w:tcPr>
            <w:tcW w:w="1021" w:type="dxa"/>
            <w:tcBorders>
              <w:top w:val="nil"/>
              <w:left w:val="nil"/>
              <w:bottom w:val="nil"/>
              <w:right w:val="nil"/>
            </w:tcBorders>
            <w:vAlign w:val="bottom"/>
          </w:tcPr>
          <w:p w14:paraId="1963B082" w14:textId="4C08193E" w:rsidR="00566EA9" w:rsidRPr="001D41EA" w:rsidRDefault="00566EA9" w:rsidP="001D41EA">
            <w:pPr>
              <w:spacing w:before="40" w:after="20"/>
              <w:jc w:val="center"/>
              <w:rPr>
                <w:rFonts w:cs="Arial"/>
                <w:sz w:val="18"/>
                <w:szCs w:val="18"/>
              </w:rPr>
            </w:pPr>
            <w:r w:rsidRPr="001D41EA">
              <w:rPr>
                <w:rFonts w:cs="Arial"/>
                <w:sz w:val="18"/>
                <w:szCs w:val="18"/>
              </w:rPr>
              <w:t>1.260</w:t>
            </w:r>
          </w:p>
        </w:tc>
        <w:tc>
          <w:tcPr>
            <w:tcW w:w="1021" w:type="dxa"/>
            <w:tcBorders>
              <w:top w:val="nil"/>
              <w:left w:val="nil"/>
              <w:bottom w:val="nil"/>
              <w:right w:val="nil"/>
            </w:tcBorders>
            <w:vAlign w:val="bottom"/>
          </w:tcPr>
          <w:p w14:paraId="6BE8E3E1" w14:textId="6DBD468C" w:rsidR="00566EA9" w:rsidRPr="001D41EA" w:rsidRDefault="00566EA9" w:rsidP="001D41EA">
            <w:pPr>
              <w:spacing w:before="40" w:after="20"/>
              <w:jc w:val="center"/>
              <w:rPr>
                <w:rFonts w:cs="Arial"/>
                <w:sz w:val="18"/>
                <w:szCs w:val="18"/>
              </w:rPr>
            </w:pPr>
            <w:r w:rsidRPr="001D41EA">
              <w:rPr>
                <w:rFonts w:cs="Arial"/>
                <w:sz w:val="18"/>
                <w:szCs w:val="18"/>
              </w:rPr>
              <w:t>1.270</w:t>
            </w:r>
          </w:p>
        </w:tc>
        <w:tc>
          <w:tcPr>
            <w:tcW w:w="1021" w:type="dxa"/>
            <w:tcBorders>
              <w:top w:val="nil"/>
              <w:left w:val="nil"/>
              <w:bottom w:val="nil"/>
              <w:right w:val="nil"/>
            </w:tcBorders>
            <w:vAlign w:val="bottom"/>
          </w:tcPr>
          <w:p w14:paraId="207718A3" w14:textId="11485FB3" w:rsidR="00566EA9" w:rsidRPr="001D41EA" w:rsidRDefault="00566EA9" w:rsidP="001D41EA">
            <w:pPr>
              <w:spacing w:before="40" w:after="20"/>
              <w:jc w:val="center"/>
              <w:rPr>
                <w:rFonts w:cs="Arial"/>
                <w:sz w:val="18"/>
                <w:szCs w:val="18"/>
              </w:rPr>
            </w:pPr>
            <w:r w:rsidRPr="001D41EA">
              <w:rPr>
                <w:rFonts w:cs="Arial"/>
                <w:sz w:val="18"/>
                <w:szCs w:val="18"/>
              </w:rPr>
              <w:t>1.254</w:t>
            </w:r>
          </w:p>
        </w:tc>
        <w:tc>
          <w:tcPr>
            <w:tcW w:w="170" w:type="dxa"/>
            <w:tcBorders>
              <w:top w:val="nil"/>
              <w:left w:val="nil"/>
              <w:bottom w:val="nil"/>
              <w:right w:val="nil"/>
            </w:tcBorders>
            <w:vAlign w:val="bottom"/>
          </w:tcPr>
          <w:p w14:paraId="13F8F28B" w14:textId="7344351D"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507D835B" w14:textId="37D3E5D8" w:rsidR="00566EA9" w:rsidRPr="001D41EA" w:rsidRDefault="00566EA9" w:rsidP="001D41EA">
            <w:pPr>
              <w:spacing w:before="40" w:after="20"/>
              <w:jc w:val="center"/>
              <w:rPr>
                <w:rFonts w:cs="Arial"/>
                <w:sz w:val="18"/>
                <w:szCs w:val="18"/>
              </w:rPr>
            </w:pPr>
            <w:r w:rsidRPr="001D41EA">
              <w:rPr>
                <w:rFonts w:cs="Arial"/>
                <w:sz w:val="18"/>
                <w:szCs w:val="18"/>
              </w:rPr>
              <w:t>1.719</w:t>
            </w:r>
          </w:p>
        </w:tc>
      </w:tr>
      <w:tr w:rsidR="00566EA9" w:rsidRPr="001D41EA" w14:paraId="6DEEB81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B0ED502" w14:textId="77777777" w:rsidR="00566EA9" w:rsidRPr="001D41EA" w:rsidRDefault="00566EA9" w:rsidP="001D41EA">
            <w:pPr>
              <w:spacing w:before="40" w:after="20"/>
              <w:rPr>
                <w:rFonts w:cs="Arial"/>
                <w:sz w:val="18"/>
                <w:szCs w:val="18"/>
              </w:rPr>
            </w:pPr>
            <w:r w:rsidRPr="001D41EA">
              <w:rPr>
                <w:rFonts w:cs="Arial"/>
                <w:sz w:val="18"/>
                <w:szCs w:val="18"/>
              </w:rPr>
              <w:t>Surf Coast S</w:t>
            </w:r>
          </w:p>
        </w:tc>
        <w:tc>
          <w:tcPr>
            <w:tcW w:w="1021" w:type="dxa"/>
            <w:tcBorders>
              <w:top w:val="nil"/>
              <w:left w:val="single" w:sz="18" w:space="0" w:color="5F497A" w:themeColor="accent4" w:themeShade="BF"/>
              <w:bottom w:val="nil"/>
              <w:right w:val="nil"/>
            </w:tcBorders>
            <w:shd w:val="clear" w:color="auto" w:fill="auto"/>
            <w:vAlign w:val="bottom"/>
          </w:tcPr>
          <w:p w14:paraId="030EAC96" w14:textId="57257359" w:rsidR="00566EA9" w:rsidRPr="001D41EA" w:rsidRDefault="00566EA9" w:rsidP="001D41EA">
            <w:pPr>
              <w:spacing w:before="40" w:after="20"/>
              <w:jc w:val="center"/>
              <w:rPr>
                <w:rFonts w:cs="Arial"/>
                <w:sz w:val="18"/>
                <w:szCs w:val="18"/>
              </w:rPr>
            </w:pPr>
            <w:r w:rsidRPr="001D41EA">
              <w:rPr>
                <w:rFonts w:cs="Arial"/>
                <w:sz w:val="18"/>
                <w:szCs w:val="18"/>
              </w:rPr>
              <w:t>0.915</w:t>
            </w:r>
          </w:p>
        </w:tc>
        <w:tc>
          <w:tcPr>
            <w:tcW w:w="170" w:type="dxa"/>
            <w:tcBorders>
              <w:top w:val="nil"/>
              <w:left w:val="nil"/>
              <w:bottom w:val="nil"/>
              <w:right w:val="nil"/>
            </w:tcBorders>
            <w:shd w:val="clear" w:color="auto" w:fill="auto"/>
            <w:vAlign w:val="bottom"/>
          </w:tcPr>
          <w:p w14:paraId="64FF9789" w14:textId="3FAA592A"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3C654095" w14:textId="52C6FC0A" w:rsidR="00566EA9" w:rsidRPr="001D41EA" w:rsidRDefault="00566EA9" w:rsidP="001D41EA">
            <w:pPr>
              <w:spacing w:before="40" w:after="20"/>
              <w:jc w:val="center"/>
              <w:rPr>
                <w:rFonts w:cs="Arial"/>
                <w:sz w:val="18"/>
                <w:szCs w:val="18"/>
              </w:rPr>
            </w:pPr>
            <w:r w:rsidRPr="001D41EA">
              <w:rPr>
                <w:rFonts w:cs="Arial"/>
                <w:sz w:val="18"/>
                <w:szCs w:val="18"/>
              </w:rPr>
              <w:t>1.231</w:t>
            </w:r>
          </w:p>
        </w:tc>
        <w:tc>
          <w:tcPr>
            <w:tcW w:w="1021" w:type="dxa"/>
            <w:tcBorders>
              <w:top w:val="nil"/>
              <w:left w:val="nil"/>
              <w:bottom w:val="nil"/>
              <w:right w:val="nil"/>
            </w:tcBorders>
            <w:vAlign w:val="bottom"/>
          </w:tcPr>
          <w:p w14:paraId="136B6E7F" w14:textId="36BFFC40" w:rsidR="00566EA9" w:rsidRPr="001D41EA" w:rsidRDefault="00566EA9" w:rsidP="001D41EA">
            <w:pPr>
              <w:spacing w:before="40" w:after="20"/>
              <w:jc w:val="center"/>
              <w:rPr>
                <w:rFonts w:cs="Arial"/>
                <w:sz w:val="18"/>
                <w:szCs w:val="18"/>
              </w:rPr>
            </w:pPr>
            <w:r w:rsidRPr="001D41EA">
              <w:rPr>
                <w:rFonts w:cs="Arial"/>
                <w:sz w:val="18"/>
                <w:szCs w:val="18"/>
              </w:rPr>
              <w:t>1.224</w:t>
            </w:r>
          </w:p>
        </w:tc>
        <w:tc>
          <w:tcPr>
            <w:tcW w:w="1021" w:type="dxa"/>
            <w:tcBorders>
              <w:top w:val="nil"/>
              <w:left w:val="nil"/>
              <w:bottom w:val="nil"/>
              <w:right w:val="nil"/>
            </w:tcBorders>
            <w:vAlign w:val="bottom"/>
          </w:tcPr>
          <w:p w14:paraId="1B7AB3DD" w14:textId="7E3CFD4F" w:rsidR="00566EA9" w:rsidRPr="001D41EA" w:rsidRDefault="00566EA9" w:rsidP="001D41EA">
            <w:pPr>
              <w:spacing w:before="40" w:after="20"/>
              <w:jc w:val="center"/>
              <w:rPr>
                <w:rFonts w:cs="Arial"/>
                <w:sz w:val="18"/>
                <w:szCs w:val="18"/>
              </w:rPr>
            </w:pPr>
            <w:r w:rsidRPr="001D41EA">
              <w:rPr>
                <w:rFonts w:cs="Arial"/>
                <w:sz w:val="18"/>
                <w:szCs w:val="18"/>
              </w:rPr>
              <w:t>1.220</w:t>
            </w:r>
          </w:p>
        </w:tc>
        <w:tc>
          <w:tcPr>
            <w:tcW w:w="1021" w:type="dxa"/>
            <w:tcBorders>
              <w:top w:val="nil"/>
              <w:left w:val="nil"/>
              <w:bottom w:val="nil"/>
              <w:right w:val="nil"/>
            </w:tcBorders>
            <w:vAlign w:val="bottom"/>
          </w:tcPr>
          <w:p w14:paraId="6C5DD7FE" w14:textId="04CECCA5" w:rsidR="00566EA9" w:rsidRPr="001D41EA" w:rsidRDefault="00566EA9" w:rsidP="001D41EA">
            <w:pPr>
              <w:spacing w:before="40" w:after="20"/>
              <w:jc w:val="center"/>
              <w:rPr>
                <w:rFonts w:cs="Arial"/>
                <w:sz w:val="18"/>
                <w:szCs w:val="18"/>
              </w:rPr>
            </w:pPr>
            <w:r w:rsidRPr="001D41EA">
              <w:rPr>
                <w:rFonts w:cs="Arial"/>
                <w:sz w:val="18"/>
                <w:szCs w:val="18"/>
              </w:rPr>
              <w:t>1.229</w:t>
            </w:r>
          </w:p>
        </w:tc>
        <w:tc>
          <w:tcPr>
            <w:tcW w:w="1021" w:type="dxa"/>
            <w:tcBorders>
              <w:top w:val="nil"/>
              <w:left w:val="nil"/>
              <w:bottom w:val="nil"/>
              <w:right w:val="nil"/>
            </w:tcBorders>
            <w:vAlign w:val="bottom"/>
          </w:tcPr>
          <w:p w14:paraId="4D52E1D4" w14:textId="0C8D7CAF" w:rsidR="00566EA9" w:rsidRPr="001D41EA" w:rsidRDefault="00566EA9" w:rsidP="001D41EA">
            <w:pPr>
              <w:spacing w:before="40" w:after="20"/>
              <w:jc w:val="center"/>
              <w:rPr>
                <w:rFonts w:cs="Arial"/>
                <w:sz w:val="18"/>
                <w:szCs w:val="18"/>
              </w:rPr>
            </w:pPr>
            <w:r w:rsidRPr="001D41EA">
              <w:rPr>
                <w:rFonts w:cs="Arial"/>
                <w:sz w:val="18"/>
                <w:szCs w:val="18"/>
              </w:rPr>
              <w:t>1.213</w:t>
            </w:r>
          </w:p>
        </w:tc>
        <w:tc>
          <w:tcPr>
            <w:tcW w:w="170" w:type="dxa"/>
            <w:tcBorders>
              <w:top w:val="nil"/>
              <w:left w:val="nil"/>
              <w:bottom w:val="nil"/>
              <w:right w:val="nil"/>
            </w:tcBorders>
            <w:vAlign w:val="bottom"/>
          </w:tcPr>
          <w:p w14:paraId="7FAE52DC" w14:textId="1AB682AA"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5DADC1C0" w14:textId="127C1F7A" w:rsidR="00566EA9" w:rsidRPr="001D41EA" w:rsidRDefault="00566EA9" w:rsidP="001D41EA">
            <w:pPr>
              <w:spacing w:before="40" w:after="20"/>
              <w:jc w:val="center"/>
              <w:rPr>
                <w:rFonts w:cs="Arial"/>
                <w:sz w:val="18"/>
                <w:szCs w:val="18"/>
              </w:rPr>
            </w:pPr>
            <w:r w:rsidRPr="001D41EA">
              <w:rPr>
                <w:rFonts w:cs="Arial"/>
                <w:sz w:val="18"/>
                <w:szCs w:val="18"/>
              </w:rPr>
              <w:t>1.481</w:t>
            </w:r>
          </w:p>
        </w:tc>
      </w:tr>
      <w:tr w:rsidR="00566EA9" w:rsidRPr="001D41EA" w14:paraId="46FA95E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A194649" w14:textId="77777777" w:rsidR="00566EA9" w:rsidRPr="001D41EA" w:rsidRDefault="00566EA9" w:rsidP="001D41EA">
            <w:pPr>
              <w:spacing w:before="40" w:after="20"/>
              <w:rPr>
                <w:rFonts w:cs="Arial"/>
                <w:sz w:val="18"/>
                <w:szCs w:val="18"/>
              </w:rPr>
            </w:pPr>
            <w:r w:rsidRPr="001D41EA">
              <w:rPr>
                <w:rFonts w:cs="Arial"/>
                <w:sz w:val="18"/>
                <w:szCs w:val="18"/>
              </w:rPr>
              <w:t>Swan Hill RC</w:t>
            </w:r>
          </w:p>
        </w:tc>
        <w:tc>
          <w:tcPr>
            <w:tcW w:w="1021" w:type="dxa"/>
            <w:tcBorders>
              <w:top w:val="nil"/>
              <w:left w:val="single" w:sz="18" w:space="0" w:color="5F497A" w:themeColor="accent4" w:themeShade="BF"/>
              <w:bottom w:val="nil"/>
              <w:right w:val="nil"/>
            </w:tcBorders>
            <w:shd w:val="clear" w:color="auto" w:fill="auto"/>
            <w:vAlign w:val="bottom"/>
          </w:tcPr>
          <w:p w14:paraId="36AA4925" w14:textId="3ED04038" w:rsidR="00566EA9" w:rsidRPr="001D41EA" w:rsidRDefault="00566EA9" w:rsidP="001D41EA">
            <w:pPr>
              <w:spacing w:before="40" w:after="20"/>
              <w:jc w:val="center"/>
              <w:rPr>
                <w:rFonts w:cs="Arial"/>
                <w:sz w:val="18"/>
                <w:szCs w:val="18"/>
              </w:rPr>
            </w:pPr>
            <w:r w:rsidRPr="001D41EA">
              <w:rPr>
                <w:rFonts w:cs="Arial"/>
                <w:sz w:val="18"/>
                <w:szCs w:val="18"/>
              </w:rPr>
              <w:t>1.063</w:t>
            </w:r>
          </w:p>
        </w:tc>
        <w:tc>
          <w:tcPr>
            <w:tcW w:w="170" w:type="dxa"/>
            <w:tcBorders>
              <w:top w:val="nil"/>
              <w:left w:val="nil"/>
              <w:bottom w:val="nil"/>
              <w:right w:val="nil"/>
            </w:tcBorders>
            <w:shd w:val="clear" w:color="auto" w:fill="auto"/>
            <w:vAlign w:val="bottom"/>
          </w:tcPr>
          <w:p w14:paraId="3DC4D633" w14:textId="711475F3"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435A407D" w14:textId="563C8753" w:rsidR="00566EA9" w:rsidRPr="001D41EA" w:rsidRDefault="00566EA9" w:rsidP="001D41EA">
            <w:pPr>
              <w:spacing w:before="40" w:after="20"/>
              <w:jc w:val="center"/>
              <w:rPr>
                <w:rFonts w:cs="Arial"/>
                <w:sz w:val="18"/>
                <w:szCs w:val="18"/>
              </w:rPr>
            </w:pPr>
            <w:r w:rsidRPr="001D41EA">
              <w:rPr>
                <w:rFonts w:cs="Arial"/>
                <w:sz w:val="18"/>
                <w:szCs w:val="18"/>
              </w:rPr>
              <w:t>1.253</w:t>
            </w:r>
          </w:p>
        </w:tc>
        <w:tc>
          <w:tcPr>
            <w:tcW w:w="1021" w:type="dxa"/>
            <w:tcBorders>
              <w:top w:val="nil"/>
              <w:left w:val="nil"/>
              <w:bottom w:val="nil"/>
              <w:right w:val="nil"/>
            </w:tcBorders>
            <w:vAlign w:val="bottom"/>
          </w:tcPr>
          <w:p w14:paraId="7868CCB4" w14:textId="6B2052F7" w:rsidR="00566EA9" w:rsidRPr="001D41EA" w:rsidRDefault="00566EA9" w:rsidP="001D41EA">
            <w:pPr>
              <w:spacing w:before="40" w:after="20"/>
              <w:jc w:val="center"/>
              <w:rPr>
                <w:rFonts w:cs="Arial"/>
                <w:sz w:val="18"/>
                <w:szCs w:val="18"/>
              </w:rPr>
            </w:pPr>
            <w:r w:rsidRPr="001D41EA">
              <w:rPr>
                <w:rFonts w:cs="Arial"/>
                <w:sz w:val="18"/>
                <w:szCs w:val="18"/>
              </w:rPr>
              <w:t>1.246</w:t>
            </w:r>
          </w:p>
        </w:tc>
        <w:tc>
          <w:tcPr>
            <w:tcW w:w="1021" w:type="dxa"/>
            <w:tcBorders>
              <w:top w:val="nil"/>
              <w:left w:val="nil"/>
              <w:bottom w:val="nil"/>
              <w:right w:val="nil"/>
            </w:tcBorders>
            <w:vAlign w:val="bottom"/>
          </w:tcPr>
          <w:p w14:paraId="678218AA" w14:textId="521BC970" w:rsidR="00566EA9" w:rsidRPr="001D41EA" w:rsidRDefault="00566EA9" w:rsidP="001D41EA">
            <w:pPr>
              <w:spacing w:before="40" w:after="20"/>
              <w:jc w:val="center"/>
              <w:rPr>
                <w:rFonts w:cs="Arial"/>
                <w:sz w:val="18"/>
                <w:szCs w:val="18"/>
              </w:rPr>
            </w:pPr>
            <w:r w:rsidRPr="001D41EA">
              <w:rPr>
                <w:rFonts w:cs="Arial"/>
                <w:sz w:val="18"/>
                <w:szCs w:val="18"/>
              </w:rPr>
              <w:t>1.241</w:t>
            </w:r>
          </w:p>
        </w:tc>
        <w:tc>
          <w:tcPr>
            <w:tcW w:w="1021" w:type="dxa"/>
            <w:tcBorders>
              <w:top w:val="nil"/>
              <w:left w:val="nil"/>
              <w:bottom w:val="nil"/>
              <w:right w:val="nil"/>
            </w:tcBorders>
            <w:vAlign w:val="bottom"/>
          </w:tcPr>
          <w:p w14:paraId="535008DD" w14:textId="0F0BA355" w:rsidR="00566EA9" w:rsidRPr="001D41EA" w:rsidRDefault="00566EA9" w:rsidP="001D41EA">
            <w:pPr>
              <w:spacing w:before="40" w:after="20"/>
              <w:jc w:val="center"/>
              <w:rPr>
                <w:rFonts w:cs="Arial"/>
                <w:sz w:val="18"/>
                <w:szCs w:val="18"/>
              </w:rPr>
            </w:pPr>
            <w:r w:rsidRPr="001D41EA">
              <w:rPr>
                <w:rFonts w:cs="Arial"/>
                <w:sz w:val="18"/>
                <w:szCs w:val="18"/>
              </w:rPr>
              <w:t>1.251</w:t>
            </w:r>
          </w:p>
        </w:tc>
        <w:tc>
          <w:tcPr>
            <w:tcW w:w="1021" w:type="dxa"/>
            <w:tcBorders>
              <w:top w:val="nil"/>
              <w:left w:val="nil"/>
              <w:bottom w:val="nil"/>
              <w:right w:val="nil"/>
            </w:tcBorders>
            <w:vAlign w:val="bottom"/>
          </w:tcPr>
          <w:p w14:paraId="04F91498" w14:textId="4C85BEF5" w:rsidR="00566EA9" w:rsidRPr="001D41EA" w:rsidRDefault="00566EA9" w:rsidP="001D41EA">
            <w:pPr>
              <w:spacing w:before="40" w:after="20"/>
              <w:jc w:val="center"/>
              <w:rPr>
                <w:rFonts w:cs="Arial"/>
                <w:sz w:val="18"/>
                <w:szCs w:val="18"/>
              </w:rPr>
            </w:pPr>
            <w:r w:rsidRPr="001D41EA">
              <w:rPr>
                <w:rFonts w:cs="Arial"/>
                <w:sz w:val="18"/>
                <w:szCs w:val="18"/>
              </w:rPr>
              <w:t>1.235</w:t>
            </w:r>
          </w:p>
        </w:tc>
        <w:tc>
          <w:tcPr>
            <w:tcW w:w="170" w:type="dxa"/>
            <w:tcBorders>
              <w:top w:val="nil"/>
              <w:left w:val="nil"/>
              <w:bottom w:val="nil"/>
              <w:right w:val="nil"/>
            </w:tcBorders>
            <w:vAlign w:val="bottom"/>
          </w:tcPr>
          <w:p w14:paraId="6297AEBC" w14:textId="66BF613D"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70173FE1" w14:textId="6BDC6DE1" w:rsidR="00566EA9" w:rsidRPr="001D41EA" w:rsidRDefault="00566EA9" w:rsidP="001D41EA">
            <w:pPr>
              <w:spacing w:before="40" w:after="20"/>
              <w:jc w:val="center"/>
              <w:rPr>
                <w:rFonts w:cs="Arial"/>
                <w:sz w:val="18"/>
                <w:szCs w:val="18"/>
              </w:rPr>
            </w:pPr>
            <w:r w:rsidRPr="001D41EA">
              <w:rPr>
                <w:rFonts w:cs="Arial"/>
                <w:sz w:val="18"/>
                <w:szCs w:val="18"/>
              </w:rPr>
              <w:t>0.899</w:t>
            </w:r>
          </w:p>
        </w:tc>
      </w:tr>
      <w:tr w:rsidR="00566EA9" w:rsidRPr="001D41EA" w14:paraId="5E274F4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65649E4" w14:textId="77777777" w:rsidR="00566EA9" w:rsidRPr="001D41EA" w:rsidRDefault="00566EA9" w:rsidP="001D41EA">
            <w:pPr>
              <w:spacing w:before="40" w:after="20"/>
              <w:rPr>
                <w:rFonts w:cs="Arial"/>
                <w:sz w:val="18"/>
                <w:szCs w:val="18"/>
              </w:rPr>
            </w:pPr>
            <w:r w:rsidRPr="001D41EA">
              <w:rPr>
                <w:rFonts w:cs="Arial"/>
                <w:sz w:val="18"/>
                <w:szCs w:val="18"/>
              </w:rPr>
              <w:t>Towong S</w:t>
            </w:r>
          </w:p>
        </w:tc>
        <w:tc>
          <w:tcPr>
            <w:tcW w:w="1021" w:type="dxa"/>
            <w:tcBorders>
              <w:top w:val="nil"/>
              <w:left w:val="single" w:sz="18" w:space="0" w:color="5F497A" w:themeColor="accent4" w:themeShade="BF"/>
              <w:bottom w:val="nil"/>
              <w:right w:val="nil"/>
            </w:tcBorders>
            <w:shd w:val="clear" w:color="auto" w:fill="auto"/>
            <w:vAlign w:val="bottom"/>
          </w:tcPr>
          <w:p w14:paraId="075D6A6D" w14:textId="02704841" w:rsidR="00566EA9" w:rsidRPr="001D41EA" w:rsidRDefault="00566EA9" w:rsidP="001D41EA">
            <w:pPr>
              <w:spacing w:before="40" w:after="20"/>
              <w:jc w:val="center"/>
              <w:rPr>
                <w:rFonts w:cs="Arial"/>
                <w:sz w:val="18"/>
                <w:szCs w:val="18"/>
              </w:rPr>
            </w:pPr>
            <w:r w:rsidRPr="001D41EA">
              <w:rPr>
                <w:rFonts w:cs="Arial"/>
                <w:sz w:val="18"/>
                <w:szCs w:val="18"/>
              </w:rPr>
              <w:t>1.038</w:t>
            </w:r>
          </w:p>
        </w:tc>
        <w:tc>
          <w:tcPr>
            <w:tcW w:w="170" w:type="dxa"/>
            <w:tcBorders>
              <w:top w:val="nil"/>
              <w:left w:val="nil"/>
              <w:bottom w:val="nil"/>
              <w:right w:val="nil"/>
            </w:tcBorders>
            <w:shd w:val="clear" w:color="auto" w:fill="auto"/>
            <w:vAlign w:val="bottom"/>
          </w:tcPr>
          <w:p w14:paraId="25C88CB9" w14:textId="7C882A29"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19CB66BB" w14:textId="28908E4D" w:rsidR="00566EA9" w:rsidRPr="001D41EA" w:rsidRDefault="00566EA9" w:rsidP="001D41EA">
            <w:pPr>
              <w:spacing w:before="40" w:after="20"/>
              <w:jc w:val="center"/>
              <w:rPr>
                <w:rFonts w:cs="Arial"/>
                <w:sz w:val="18"/>
                <w:szCs w:val="18"/>
              </w:rPr>
            </w:pPr>
            <w:r w:rsidRPr="001D41EA">
              <w:rPr>
                <w:rFonts w:cs="Arial"/>
                <w:sz w:val="18"/>
                <w:szCs w:val="18"/>
              </w:rPr>
              <w:t>1.281</w:t>
            </w:r>
          </w:p>
        </w:tc>
        <w:tc>
          <w:tcPr>
            <w:tcW w:w="1021" w:type="dxa"/>
            <w:tcBorders>
              <w:top w:val="nil"/>
              <w:left w:val="nil"/>
              <w:bottom w:val="nil"/>
              <w:right w:val="nil"/>
            </w:tcBorders>
            <w:vAlign w:val="bottom"/>
          </w:tcPr>
          <w:p w14:paraId="2B30DF63" w14:textId="4CAFEBA7" w:rsidR="00566EA9" w:rsidRPr="001D41EA" w:rsidRDefault="00566EA9" w:rsidP="001D41EA">
            <w:pPr>
              <w:spacing w:before="40" w:after="20"/>
              <w:jc w:val="center"/>
              <w:rPr>
                <w:rFonts w:cs="Arial"/>
                <w:sz w:val="18"/>
                <w:szCs w:val="18"/>
              </w:rPr>
            </w:pPr>
            <w:r w:rsidRPr="001D41EA">
              <w:rPr>
                <w:rFonts w:cs="Arial"/>
                <w:sz w:val="18"/>
                <w:szCs w:val="18"/>
              </w:rPr>
              <w:t>1.274</w:t>
            </w:r>
          </w:p>
        </w:tc>
        <w:tc>
          <w:tcPr>
            <w:tcW w:w="1021" w:type="dxa"/>
            <w:tcBorders>
              <w:top w:val="nil"/>
              <w:left w:val="nil"/>
              <w:bottom w:val="nil"/>
              <w:right w:val="nil"/>
            </w:tcBorders>
            <w:vAlign w:val="bottom"/>
          </w:tcPr>
          <w:p w14:paraId="0CF6AF6F" w14:textId="13F041AF" w:rsidR="00566EA9" w:rsidRPr="001D41EA" w:rsidRDefault="00566EA9" w:rsidP="001D41EA">
            <w:pPr>
              <w:spacing w:before="40" w:after="20"/>
              <w:jc w:val="center"/>
              <w:rPr>
                <w:rFonts w:cs="Arial"/>
                <w:sz w:val="18"/>
                <w:szCs w:val="18"/>
              </w:rPr>
            </w:pPr>
            <w:r w:rsidRPr="001D41EA">
              <w:rPr>
                <w:rFonts w:cs="Arial"/>
                <w:sz w:val="18"/>
                <w:szCs w:val="18"/>
              </w:rPr>
              <w:t>1.269</w:t>
            </w:r>
          </w:p>
        </w:tc>
        <w:tc>
          <w:tcPr>
            <w:tcW w:w="1021" w:type="dxa"/>
            <w:tcBorders>
              <w:top w:val="nil"/>
              <w:left w:val="nil"/>
              <w:bottom w:val="nil"/>
              <w:right w:val="nil"/>
            </w:tcBorders>
            <w:vAlign w:val="bottom"/>
          </w:tcPr>
          <w:p w14:paraId="45449DF2" w14:textId="03148C27" w:rsidR="00566EA9" w:rsidRPr="001D41EA" w:rsidRDefault="00566EA9" w:rsidP="001D41EA">
            <w:pPr>
              <w:spacing w:before="40" w:after="20"/>
              <w:jc w:val="center"/>
              <w:rPr>
                <w:rFonts w:cs="Arial"/>
                <w:sz w:val="18"/>
                <w:szCs w:val="18"/>
              </w:rPr>
            </w:pPr>
            <w:r w:rsidRPr="001D41EA">
              <w:rPr>
                <w:rFonts w:cs="Arial"/>
                <w:sz w:val="18"/>
                <w:szCs w:val="18"/>
              </w:rPr>
              <w:t>1.279</w:t>
            </w:r>
          </w:p>
        </w:tc>
        <w:tc>
          <w:tcPr>
            <w:tcW w:w="1021" w:type="dxa"/>
            <w:tcBorders>
              <w:top w:val="nil"/>
              <w:left w:val="nil"/>
              <w:bottom w:val="nil"/>
              <w:right w:val="nil"/>
            </w:tcBorders>
            <w:vAlign w:val="bottom"/>
          </w:tcPr>
          <w:p w14:paraId="6EB50053" w14:textId="465162C6" w:rsidR="00566EA9" w:rsidRPr="001D41EA" w:rsidRDefault="00566EA9" w:rsidP="001D41EA">
            <w:pPr>
              <w:spacing w:before="40" w:after="20"/>
              <w:jc w:val="center"/>
              <w:rPr>
                <w:rFonts w:cs="Arial"/>
                <w:sz w:val="18"/>
                <w:szCs w:val="18"/>
              </w:rPr>
            </w:pPr>
            <w:r w:rsidRPr="001D41EA">
              <w:rPr>
                <w:rFonts w:cs="Arial"/>
                <w:sz w:val="18"/>
                <w:szCs w:val="18"/>
              </w:rPr>
              <w:t>1.262</w:t>
            </w:r>
          </w:p>
        </w:tc>
        <w:tc>
          <w:tcPr>
            <w:tcW w:w="170" w:type="dxa"/>
            <w:tcBorders>
              <w:top w:val="nil"/>
              <w:left w:val="nil"/>
              <w:bottom w:val="nil"/>
              <w:right w:val="nil"/>
            </w:tcBorders>
            <w:vAlign w:val="bottom"/>
          </w:tcPr>
          <w:p w14:paraId="30DA698A" w14:textId="570244D0"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460F9080" w14:textId="327DF289" w:rsidR="00566EA9" w:rsidRPr="001D41EA" w:rsidRDefault="00566EA9" w:rsidP="001D41EA">
            <w:pPr>
              <w:spacing w:before="40" w:after="20"/>
              <w:jc w:val="center"/>
              <w:rPr>
                <w:rFonts w:cs="Arial"/>
                <w:sz w:val="18"/>
                <w:szCs w:val="18"/>
              </w:rPr>
            </w:pPr>
            <w:r w:rsidRPr="001D41EA">
              <w:rPr>
                <w:rFonts w:cs="Arial"/>
                <w:sz w:val="18"/>
                <w:szCs w:val="18"/>
              </w:rPr>
              <w:t>1.187</w:t>
            </w:r>
          </w:p>
        </w:tc>
      </w:tr>
      <w:tr w:rsidR="00566EA9" w:rsidRPr="001D41EA" w14:paraId="710409C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51902ED" w14:textId="77777777" w:rsidR="00566EA9" w:rsidRPr="001D41EA" w:rsidRDefault="00566EA9" w:rsidP="001D41EA">
            <w:pPr>
              <w:spacing w:before="40" w:after="20"/>
              <w:rPr>
                <w:rFonts w:cs="Arial"/>
                <w:sz w:val="18"/>
                <w:szCs w:val="18"/>
              </w:rPr>
            </w:pPr>
            <w:r w:rsidRPr="001D41EA">
              <w:rPr>
                <w:rFonts w:cs="Arial"/>
                <w:sz w:val="18"/>
                <w:szCs w:val="18"/>
              </w:rPr>
              <w:t>Wangaratta RC</w:t>
            </w:r>
          </w:p>
        </w:tc>
        <w:tc>
          <w:tcPr>
            <w:tcW w:w="1021" w:type="dxa"/>
            <w:tcBorders>
              <w:top w:val="nil"/>
              <w:left w:val="single" w:sz="18" w:space="0" w:color="5F497A" w:themeColor="accent4" w:themeShade="BF"/>
              <w:bottom w:val="nil"/>
              <w:right w:val="nil"/>
            </w:tcBorders>
            <w:shd w:val="clear" w:color="auto" w:fill="auto"/>
            <w:vAlign w:val="bottom"/>
          </w:tcPr>
          <w:p w14:paraId="4B921769" w14:textId="24CE44F1" w:rsidR="00566EA9" w:rsidRPr="001D41EA" w:rsidRDefault="00566EA9" w:rsidP="001D41EA">
            <w:pPr>
              <w:spacing w:before="40" w:after="20"/>
              <w:jc w:val="center"/>
              <w:rPr>
                <w:rFonts w:cs="Arial"/>
                <w:sz w:val="18"/>
                <w:szCs w:val="18"/>
              </w:rPr>
            </w:pPr>
            <w:r w:rsidRPr="001D41EA">
              <w:rPr>
                <w:rFonts w:cs="Arial"/>
                <w:sz w:val="18"/>
                <w:szCs w:val="18"/>
              </w:rPr>
              <w:t>1.111</w:t>
            </w:r>
          </w:p>
        </w:tc>
        <w:tc>
          <w:tcPr>
            <w:tcW w:w="170" w:type="dxa"/>
            <w:tcBorders>
              <w:top w:val="nil"/>
              <w:left w:val="nil"/>
              <w:bottom w:val="nil"/>
              <w:right w:val="nil"/>
            </w:tcBorders>
            <w:shd w:val="clear" w:color="auto" w:fill="auto"/>
            <w:vAlign w:val="bottom"/>
          </w:tcPr>
          <w:p w14:paraId="3E9904C4" w14:textId="69D03A09"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0F58A314" w14:textId="18379CDB" w:rsidR="00566EA9" w:rsidRPr="001D41EA" w:rsidRDefault="00566EA9" w:rsidP="001D41EA">
            <w:pPr>
              <w:spacing w:before="40" w:after="20"/>
              <w:jc w:val="center"/>
              <w:rPr>
                <w:rFonts w:cs="Arial"/>
                <w:sz w:val="18"/>
                <w:szCs w:val="18"/>
              </w:rPr>
            </w:pPr>
            <w:r w:rsidRPr="001D41EA">
              <w:rPr>
                <w:rFonts w:cs="Arial"/>
                <w:sz w:val="18"/>
                <w:szCs w:val="18"/>
              </w:rPr>
              <w:t>1.237</w:t>
            </w:r>
          </w:p>
        </w:tc>
        <w:tc>
          <w:tcPr>
            <w:tcW w:w="1021" w:type="dxa"/>
            <w:tcBorders>
              <w:top w:val="nil"/>
              <w:left w:val="nil"/>
              <w:bottom w:val="nil"/>
              <w:right w:val="nil"/>
            </w:tcBorders>
            <w:vAlign w:val="bottom"/>
          </w:tcPr>
          <w:p w14:paraId="567501DE" w14:textId="28894617" w:rsidR="00566EA9" w:rsidRPr="001D41EA" w:rsidRDefault="00566EA9" w:rsidP="001D41EA">
            <w:pPr>
              <w:spacing w:before="40" w:after="20"/>
              <w:jc w:val="center"/>
              <w:rPr>
                <w:rFonts w:cs="Arial"/>
                <w:sz w:val="18"/>
                <w:szCs w:val="18"/>
              </w:rPr>
            </w:pPr>
            <w:r w:rsidRPr="001D41EA">
              <w:rPr>
                <w:rFonts w:cs="Arial"/>
                <w:sz w:val="18"/>
                <w:szCs w:val="18"/>
              </w:rPr>
              <w:t>1.230</w:t>
            </w:r>
          </w:p>
        </w:tc>
        <w:tc>
          <w:tcPr>
            <w:tcW w:w="1021" w:type="dxa"/>
            <w:tcBorders>
              <w:top w:val="nil"/>
              <w:left w:val="nil"/>
              <w:bottom w:val="nil"/>
              <w:right w:val="nil"/>
            </w:tcBorders>
            <w:vAlign w:val="bottom"/>
          </w:tcPr>
          <w:p w14:paraId="61D5860D" w14:textId="3552B39A" w:rsidR="00566EA9" w:rsidRPr="001D41EA" w:rsidRDefault="00566EA9" w:rsidP="001D41EA">
            <w:pPr>
              <w:spacing w:before="40" w:after="20"/>
              <w:jc w:val="center"/>
              <w:rPr>
                <w:rFonts w:cs="Arial"/>
                <w:sz w:val="18"/>
                <w:szCs w:val="18"/>
              </w:rPr>
            </w:pPr>
            <w:r w:rsidRPr="001D41EA">
              <w:rPr>
                <w:rFonts w:cs="Arial"/>
                <w:sz w:val="18"/>
                <w:szCs w:val="18"/>
              </w:rPr>
              <w:t>1.226</w:t>
            </w:r>
          </w:p>
        </w:tc>
        <w:tc>
          <w:tcPr>
            <w:tcW w:w="1021" w:type="dxa"/>
            <w:tcBorders>
              <w:top w:val="nil"/>
              <w:left w:val="nil"/>
              <w:bottom w:val="nil"/>
              <w:right w:val="nil"/>
            </w:tcBorders>
            <w:vAlign w:val="bottom"/>
          </w:tcPr>
          <w:p w14:paraId="715D0B35" w14:textId="40C0ED38" w:rsidR="00566EA9" w:rsidRPr="001D41EA" w:rsidRDefault="00566EA9" w:rsidP="001D41EA">
            <w:pPr>
              <w:spacing w:before="40" w:after="20"/>
              <w:jc w:val="center"/>
              <w:rPr>
                <w:rFonts w:cs="Arial"/>
                <w:sz w:val="18"/>
                <w:szCs w:val="18"/>
              </w:rPr>
            </w:pPr>
            <w:r w:rsidRPr="001D41EA">
              <w:rPr>
                <w:rFonts w:cs="Arial"/>
                <w:sz w:val="18"/>
                <w:szCs w:val="18"/>
              </w:rPr>
              <w:t>1.235</w:t>
            </w:r>
          </w:p>
        </w:tc>
        <w:tc>
          <w:tcPr>
            <w:tcW w:w="1021" w:type="dxa"/>
            <w:tcBorders>
              <w:top w:val="nil"/>
              <w:left w:val="nil"/>
              <w:bottom w:val="nil"/>
              <w:right w:val="nil"/>
            </w:tcBorders>
            <w:vAlign w:val="bottom"/>
          </w:tcPr>
          <w:p w14:paraId="578489D9" w14:textId="445941C1" w:rsidR="00566EA9" w:rsidRPr="001D41EA" w:rsidRDefault="00566EA9" w:rsidP="001D41EA">
            <w:pPr>
              <w:spacing w:before="40" w:after="20"/>
              <w:jc w:val="center"/>
              <w:rPr>
                <w:rFonts w:cs="Arial"/>
                <w:sz w:val="18"/>
                <w:szCs w:val="18"/>
              </w:rPr>
            </w:pPr>
            <w:r w:rsidRPr="001D41EA">
              <w:rPr>
                <w:rFonts w:cs="Arial"/>
                <w:sz w:val="18"/>
                <w:szCs w:val="18"/>
              </w:rPr>
              <w:t>1.219</w:t>
            </w:r>
          </w:p>
        </w:tc>
        <w:tc>
          <w:tcPr>
            <w:tcW w:w="170" w:type="dxa"/>
            <w:tcBorders>
              <w:top w:val="nil"/>
              <w:left w:val="nil"/>
              <w:bottom w:val="nil"/>
              <w:right w:val="nil"/>
            </w:tcBorders>
            <w:vAlign w:val="bottom"/>
          </w:tcPr>
          <w:p w14:paraId="12A91D9B" w14:textId="0D16CFBC"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7CE179A1" w14:textId="39BE670C" w:rsidR="00566EA9" w:rsidRPr="001D41EA" w:rsidRDefault="00566EA9" w:rsidP="001D41EA">
            <w:pPr>
              <w:spacing w:before="40" w:after="20"/>
              <w:jc w:val="center"/>
              <w:rPr>
                <w:rFonts w:cs="Arial"/>
                <w:sz w:val="18"/>
                <w:szCs w:val="18"/>
              </w:rPr>
            </w:pPr>
            <w:r w:rsidRPr="001D41EA">
              <w:rPr>
                <w:rFonts w:cs="Arial"/>
                <w:sz w:val="18"/>
                <w:szCs w:val="18"/>
              </w:rPr>
              <w:t>1.120</w:t>
            </w:r>
          </w:p>
        </w:tc>
      </w:tr>
      <w:tr w:rsidR="00566EA9" w:rsidRPr="001D41EA" w14:paraId="1540CBF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2F7ED89" w14:textId="77777777" w:rsidR="00566EA9" w:rsidRPr="001D41EA" w:rsidRDefault="00566EA9" w:rsidP="001D41EA">
            <w:pPr>
              <w:spacing w:before="40" w:after="20"/>
              <w:rPr>
                <w:rFonts w:cs="Arial"/>
                <w:sz w:val="18"/>
                <w:szCs w:val="18"/>
              </w:rPr>
            </w:pPr>
            <w:r w:rsidRPr="001D41EA">
              <w:rPr>
                <w:rFonts w:cs="Arial"/>
                <w:sz w:val="18"/>
                <w:szCs w:val="18"/>
              </w:rPr>
              <w:t>Warrnambool C</w:t>
            </w:r>
          </w:p>
        </w:tc>
        <w:tc>
          <w:tcPr>
            <w:tcW w:w="1021" w:type="dxa"/>
            <w:tcBorders>
              <w:top w:val="nil"/>
              <w:left w:val="single" w:sz="18" w:space="0" w:color="5F497A" w:themeColor="accent4" w:themeShade="BF"/>
              <w:bottom w:val="nil"/>
              <w:right w:val="nil"/>
            </w:tcBorders>
            <w:shd w:val="clear" w:color="auto" w:fill="auto"/>
            <w:vAlign w:val="bottom"/>
          </w:tcPr>
          <w:p w14:paraId="3C607D4E" w14:textId="58840D87" w:rsidR="00566EA9" w:rsidRPr="001D41EA" w:rsidRDefault="00566EA9" w:rsidP="001D41EA">
            <w:pPr>
              <w:spacing w:before="40" w:after="20"/>
              <w:jc w:val="center"/>
              <w:rPr>
                <w:rFonts w:cs="Arial"/>
                <w:sz w:val="18"/>
                <w:szCs w:val="18"/>
              </w:rPr>
            </w:pPr>
            <w:r w:rsidRPr="001D41EA">
              <w:rPr>
                <w:rFonts w:cs="Arial"/>
                <w:sz w:val="18"/>
                <w:szCs w:val="18"/>
              </w:rPr>
              <w:t>1.098</w:t>
            </w:r>
          </w:p>
        </w:tc>
        <w:tc>
          <w:tcPr>
            <w:tcW w:w="170" w:type="dxa"/>
            <w:tcBorders>
              <w:top w:val="nil"/>
              <w:left w:val="nil"/>
              <w:bottom w:val="nil"/>
              <w:right w:val="nil"/>
            </w:tcBorders>
            <w:shd w:val="clear" w:color="auto" w:fill="auto"/>
            <w:vAlign w:val="bottom"/>
          </w:tcPr>
          <w:p w14:paraId="5CB3FFB0" w14:textId="224B9BA1"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0064E16D" w14:textId="5D07C989" w:rsidR="00566EA9" w:rsidRPr="001D41EA" w:rsidRDefault="00566EA9" w:rsidP="001D41EA">
            <w:pPr>
              <w:spacing w:before="40" w:after="20"/>
              <w:jc w:val="center"/>
              <w:rPr>
                <w:rFonts w:cs="Arial"/>
                <w:sz w:val="18"/>
                <w:szCs w:val="18"/>
              </w:rPr>
            </w:pPr>
            <w:r w:rsidRPr="001D41EA">
              <w:rPr>
                <w:rFonts w:cs="Arial"/>
                <w:sz w:val="18"/>
                <w:szCs w:val="18"/>
              </w:rPr>
              <w:t>1.226</w:t>
            </w:r>
          </w:p>
        </w:tc>
        <w:tc>
          <w:tcPr>
            <w:tcW w:w="1021" w:type="dxa"/>
            <w:tcBorders>
              <w:top w:val="nil"/>
              <w:left w:val="nil"/>
              <w:bottom w:val="nil"/>
              <w:right w:val="nil"/>
            </w:tcBorders>
            <w:vAlign w:val="bottom"/>
          </w:tcPr>
          <w:p w14:paraId="3928C7F3" w14:textId="0ECB7047" w:rsidR="00566EA9" w:rsidRPr="001D41EA" w:rsidRDefault="00566EA9" w:rsidP="001D41EA">
            <w:pPr>
              <w:spacing w:before="40" w:after="20"/>
              <w:jc w:val="center"/>
              <w:rPr>
                <w:rFonts w:cs="Arial"/>
                <w:sz w:val="18"/>
                <w:szCs w:val="18"/>
              </w:rPr>
            </w:pPr>
            <w:r w:rsidRPr="001D41EA">
              <w:rPr>
                <w:rFonts w:cs="Arial"/>
                <w:sz w:val="18"/>
                <w:szCs w:val="18"/>
              </w:rPr>
              <w:t>1.220</w:t>
            </w:r>
          </w:p>
        </w:tc>
        <w:tc>
          <w:tcPr>
            <w:tcW w:w="1021" w:type="dxa"/>
            <w:tcBorders>
              <w:top w:val="nil"/>
              <w:left w:val="nil"/>
              <w:bottom w:val="nil"/>
              <w:right w:val="nil"/>
            </w:tcBorders>
            <w:vAlign w:val="bottom"/>
          </w:tcPr>
          <w:p w14:paraId="6C8B7557" w14:textId="2D9F0FAA" w:rsidR="00566EA9" w:rsidRPr="001D41EA" w:rsidRDefault="00566EA9" w:rsidP="001D41EA">
            <w:pPr>
              <w:spacing w:before="40" w:after="20"/>
              <w:jc w:val="center"/>
              <w:rPr>
                <w:rFonts w:cs="Arial"/>
                <w:sz w:val="18"/>
                <w:szCs w:val="18"/>
              </w:rPr>
            </w:pPr>
            <w:r w:rsidRPr="001D41EA">
              <w:rPr>
                <w:rFonts w:cs="Arial"/>
                <w:sz w:val="18"/>
                <w:szCs w:val="18"/>
              </w:rPr>
              <w:t>1.215</w:t>
            </w:r>
          </w:p>
        </w:tc>
        <w:tc>
          <w:tcPr>
            <w:tcW w:w="1021" w:type="dxa"/>
            <w:tcBorders>
              <w:top w:val="nil"/>
              <w:left w:val="nil"/>
              <w:bottom w:val="nil"/>
              <w:right w:val="nil"/>
            </w:tcBorders>
            <w:vAlign w:val="bottom"/>
          </w:tcPr>
          <w:p w14:paraId="7636840A" w14:textId="4A28A541" w:rsidR="00566EA9" w:rsidRPr="001D41EA" w:rsidRDefault="00566EA9" w:rsidP="001D41EA">
            <w:pPr>
              <w:spacing w:before="40" w:after="20"/>
              <w:jc w:val="center"/>
              <w:rPr>
                <w:rFonts w:cs="Arial"/>
                <w:sz w:val="18"/>
                <w:szCs w:val="18"/>
              </w:rPr>
            </w:pPr>
            <w:r w:rsidRPr="001D41EA">
              <w:rPr>
                <w:rFonts w:cs="Arial"/>
                <w:sz w:val="18"/>
                <w:szCs w:val="18"/>
              </w:rPr>
              <w:t>1.224</w:t>
            </w:r>
          </w:p>
        </w:tc>
        <w:tc>
          <w:tcPr>
            <w:tcW w:w="1021" w:type="dxa"/>
            <w:tcBorders>
              <w:top w:val="nil"/>
              <w:left w:val="nil"/>
              <w:bottom w:val="nil"/>
              <w:right w:val="nil"/>
            </w:tcBorders>
            <w:vAlign w:val="bottom"/>
          </w:tcPr>
          <w:p w14:paraId="3D217E72" w14:textId="145886CF" w:rsidR="00566EA9" w:rsidRPr="001D41EA" w:rsidRDefault="00566EA9" w:rsidP="001D41EA">
            <w:pPr>
              <w:spacing w:before="40" w:after="20"/>
              <w:jc w:val="center"/>
              <w:rPr>
                <w:rFonts w:cs="Arial"/>
                <w:sz w:val="18"/>
                <w:szCs w:val="18"/>
              </w:rPr>
            </w:pPr>
            <w:r w:rsidRPr="001D41EA">
              <w:rPr>
                <w:rFonts w:cs="Arial"/>
                <w:sz w:val="18"/>
                <w:szCs w:val="18"/>
              </w:rPr>
              <w:t>1.208</w:t>
            </w:r>
          </w:p>
        </w:tc>
        <w:tc>
          <w:tcPr>
            <w:tcW w:w="170" w:type="dxa"/>
            <w:tcBorders>
              <w:top w:val="nil"/>
              <w:left w:val="nil"/>
              <w:bottom w:val="nil"/>
              <w:right w:val="nil"/>
            </w:tcBorders>
            <w:vAlign w:val="bottom"/>
          </w:tcPr>
          <w:p w14:paraId="48FCAE5C" w14:textId="3F2C0F8D"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20B9DC2F" w14:textId="44943A5B" w:rsidR="00566EA9" w:rsidRPr="001D41EA" w:rsidRDefault="00566EA9" w:rsidP="001D41EA">
            <w:pPr>
              <w:spacing w:before="40" w:after="20"/>
              <w:jc w:val="center"/>
              <w:rPr>
                <w:rFonts w:cs="Arial"/>
                <w:sz w:val="18"/>
                <w:szCs w:val="18"/>
              </w:rPr>
            </w:pPr>
            <w:r w:rsidRPr="001D41EA">
              <w:rPr>
                <w:rFonts w:cs="Arial"/>
                <w:sz w:val="18"/>
                <w:szCs w:val="18"/>
              </w:rPr>
              <w:t>0.967</w:t>
            </w:r>
          </w:p>
        </w:tc>
      </w:tr>
      <w:tr w:rsidR="00566EA9" w:rsidRPr="001D41EA" w14:paraId="1B49D36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1DDBB36" w14:textId="77777777" w:rsidR="00566EA9" w:rsidRPr="001D41EA" w:rsidRDefault="00566EA9" w:rsidP="001D41EA">
            <w:pPr>
              <w:spacing w:before="40" w:after="20"/>
              <w:rPr>
                <w:rFonts w:cs="Arial"/>
                <w:sz w:val="18"/>
                <w:szCs w:val="18"/>
              </w:rPr>
            </w:pPr>
            <w:r w:rsidRPr="001D41EA">
              <w:rPr>
                <w:rFonts w:cs="Arial"/>
                <w:sz w:val="18"/>
                <w:szCs w:val="18"/>
              </w:rPr>
              <w:t>Wellington S</w:t>
            </w:r>
          </w:p>
        </w:tc>
        <w:tc>
          <w:tcPr>
            <w:tcW w:w="1021" w:type="dxa"/>
            <w:tcBorders>
              <w:top w:val="nil"/>
              <w:left w:val="single" w:sz="18" w:space="0" w:color="5F497A" w:themeColor="accent4" w:themeShade="BF"/>
              <w:bottom w:val="nil"/>
              <w:right w:val="nil"/>
            </w:tcBorders>
            <w:shd w:val="clear" w:color="auto" w:fill="auto"/>
            <w:vAlign w:val="bottom"/>
          </w:tcPr>
          <w:p w14:paraId="626409D1" w14:textId="058FA169" w:rsidR="00566EA9" w:rsidRPr="001D41EA" w:rsidRDefault="00566EA9" w:rsidP="001D41EA">
            <w:pPr>
              <w:spacing w:before="40" w:after="20"/>
              <w:jc w:val="center"/>
              <w:rPr>
                <w:rFonts w:cs="Arial"/>
                <w:sz w:val="18"/>
                <w:szCs w:val="18"/>
              </w:rPr>
            </w:pPr>
            <w:r w:rsidRPr="001D41EA">
              <w:rPr>
                <w:rFonts w:cs="Arial"/>
                <w:sz w:val="18"/>
                <w:szCs w:val="18"/>
              </w:rPr>
              <w:t>1.051</w:t>
            </w:r>
          </w:p>
        </w:tc>
        <w:tc>
          <w:tcPr>
            <w:tcW w:w="170" w:type="dxa"/>
            <w:tcBorders>
              <w:top w:val="nil"/>
              <w:left w:val="nil"/>
              <w:bottom w:val="nil"/>
              <w:right w:val="nil"/>
            </w:tcBorders>
            <w:shd w:val="clear" w:color="auto" w:fill="auto"/>
            <w:vAlign w:val="bottom"/>
          </w:tcPr>
          <w:p w14:paraId="32D972DD" w14:textId="52EF6C8E"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5B185D41" w14:textId="722FDF48" w:rsidR="00566EA9" w:rsidRPr="001D41EA" w:rsidRDefault="00566EA9" w:rsidP="001D41EA">
            <w:pPr>
              <w:spacing w:before="40" w:after="20"/>
              <w:jc w:val="center"/>
              <w:rPr>
                <w:rFonts w:cs="Arial"/>
                <w:sz w:val="18"/>
                <w:szCs w:val="18"/>
              </w:rPr>
            </w:pPr>
            <w:r w:rsidRPr="001D41EA">
              <w:rPr>
                <w:rFonts w:cs="Arial"/>
                <w:sz w:val="18"/>
                <w:szCs w:val="18"/>
              </w:rPr>
              <w:t>1.209</w:t>
            </w:r>
          </w:p>
        </w:tc>
        <w:tc>
          <w:tcPr>
            <w:tcW w:w="1021" w:type="dxa"/>
            <w:tcBorders>
              <w:top w:val="nil"/>
              <w:left w:val="nil"/>
              <w:bottom w:val="nil"/>
              <w:right w:val="nil"/>
            </w:tcBorders>
            <w:vAlign w:val="bottom"/>
          </w:tcPr>
          <w:p w14:paraId="50BE5FB4" w14:textId="3195B874" w:rsidR="00566EA9" w:rsidRPr="001D41EA" w:rsidRDefault="00566EA9" w:rsidP="001D41EA">
            <w:pPr>
              <w:spacing w:before="40" w:after="20"/>
              <w:jc w:val="center"/>
              <w:rPr>
                <w:rFonts w:cs="Arial"/>
                <w:sz w:val="18"/>
                <w:szCs w:val="18"/>
              </w:rPr>
            </w:pPr>
            <w:r w:rsidRPr="001D41EA">
              <w:rPr>
                <w:rFonts w:cs="Arial"/>
                <w:sz w:val="18"/>
                <w:szCs w:val="18"/>
              </w:rPr>
              <w:t>1.202</w:t>
            </w:r>
          </w:p>
        </w:tc>
        <w:tc>
          <w:tcPr>
            <w:tcW w:w="1021" w:type="dxa"/>
            <w:tcBorders>
              <w:top w:val="nil"/>
              <w:left w:val="nil"/>
              <w:bottom w:val="nil"/>
              <w:right w:val="nil"/>
            </w:tcBorders>
            <w:vAlign w:val="bottom"/>
          </w:tcPr>
          <w:p w14:paraId="326A551B" w14:textId="57D2182D" w:rsidR="00566EA9" w:rsidRPr="001D41EA" w:rsidRDefault="00566EA9" w:rsidP="001D41EA">
            <w:pPr>
              <w:spacing w:before="40" w:after="20"/>
              <w:jc w:val="center"/>
              <w:rPr>
                <w:rFonts w:cs="Arial"/>
                <w:sz w:val="18"/>
                <w:szCs w:val="18"/>
              </w:rPr>
            </w:pPr>
            <w:r w:rsidRPr="001D41EA">
              <w:rPr>
                <w:rFonts w:cs="Arial"/>
                <w:sz w:val="18"/>
                <w:szCs w:val="18"/>
              </w:rPr>
              <w:t>1.197</w:t>
            </w:r>
          </w:p>
        </w:tc>
        <w:tc>
          <w:tcPr>
            <w:tcW w:w="1021" w:type="dxa"/>
            <w:tcBorders>
              <w:top w:val="nil"/>
              <w:left w:val="nil"/>
              <w:bottom w:val="nil"/>
              <w:right w:val="nil"/>
            </w:tcBorders>
            <w:vAlign w:val="bottom"/>
          </w:tcPr>
          <w:p w14:paraId="22A0C9A9" w14:textId="31F64E9D" w:rsidR="00566EA9" w:rsidRPr="001D41EA" w:rsidRDefault="00566EA9" w:rsidP="001D41EA">
            <w:pPr>
              <w:spacing w:before="40" w:after="20"/>
              <w:jc w:val="center"/>
              <w:rPr>
                <w:rFonts w:cs="Arial"/>
                <w:sz w:val="18"/>
                <w:szCs w:val="18"/>
              </w:rPr>
            </w:pPr>
            <w:r w:rsidRPr="001D41EA">
              <w:rPr>
                <w:rFonts w:cs="Arial"/>
                <w:sz w:val="18"/>
                <w:szCs w:val="18"/>
              </w:rPr>
              <w:t>1.207</w:t>
            </w:r>
          </w:p>
        </w:tc>
        <w:tc>
          <w:tcPr>
            <w:tcW w:w="1021" w:type="dxa"/>
            <w:tcBorders>
              <w:top w:val="nil"/>
              <w:left w:val="nil"/>
              <w:bottom w:val="nil"/>
              <w:right w:val="nil"/>
            </w:tcBorders>
            <w:vAlign w:val="bottom"/>
          </w:tcPr>
          <w:p w14:paraId="344FC90C" w14:textId="5132B5D3" w:rsidR="00566EA9" w:rsidRPr="001D41EA" w:rsidRDefault="00566EA9" w:rsidP="001D41EA">
            <w:pPr>
              <w:spacing w:before="40" w:after="20"/>
              <w:jc w:val="center"/>
              <w:rPr>
                <w:rFonts w:cs="Arial"/>
                <w:sz w:val="18"/>
                <w:szCs w:val="18"/>
              </w:rPr>
            </w:pPr>
            <w:r w:rsidRPr="001D41EA">
              <w:rPr>
                <w:rFonts w:cs="Arial"/>
                <w:sz w:val="18"/>
                <w:szCs w:val="18"/>
              </w:rPr>
              <w:t>1.191</w:t>
            </w:r>
          </w:p>
        </w:tc>
        <w:tc>
          <w:tcPr>
            <w:tcW w:w="170" w:type="dxa"/>
            <w:tcBorders>
              <w:top w:val="nil"/>
              <w:left w:val="nil"/>
              <w:bottom w:val="nil"/>
              <w:right w:val="nil"/>
            </w:tcBorders>
            <w:vAlign w:val="bottom"/>
          </w:tcPr>
          <w:p w14:paraId="73E09BD6" w14:textId="185D6D2A"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0AC74FB7" w14:textId="50EFB847" w:rsidR="00566EA9" w:rsidRPr="001D41EA" w:rsidRDefault="00566EA9" w:rsidP="001D41EA">
            <w:pPr>
              <w:spacing w:before="40" w:after="20"/>
              <w:jc w:val="center"/>
              <w:rPr>
                <w:rFonts w:cs="Arial"/>
                <w:sz w:val="18"/>
                <w:szCs w:val="18"/>
              </w:rPr>
            </w:pPr>
            <w:r w:rsidRPr="001D41EA">
              <w:rPr>
                <w:rFonts w:cs="Arial"/>
                <w:sz w:val="18"/>
                <w:szCs w:val="18"/>
              </w:rPr>
              <w:t>1.427</w:t>
            </w:r>
          </w:p>
        </w:tc>
      </w:tr>
      <w:tr w:rsidR="00566EA9" w:rsidRPr="001D41EA" w14:paraId="4CB1A91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A4011E6" w14:textId="77777777" w:rsidR="00566EA9" w:rsidRPr="001D41EA" w:rsidRDefault="00566EA9" w:rsidP="001D41EA">
            <w:pPr>
              <w:spacing w:before="40" w:after="20"/>
              <w:rPr>
                <w:rFonts w:cs="Arial"/>
                <w:sz w:val="18"/>
                <w:szCs w:val="18"/>
              </w:rPr>
            </w:pPr>
            <w:r w:rsidRPr="001D41EA">
              <w:rPr>
                <w:rFonts w:cs="Arial"/>
                <w:sz w:val="18"/>
                <w:szCs w:val="18"/>
              </w:rPr>
              <w:t>West Wimmera S</w:t>
            </w:r>
          </w:p>
        </w:tc>
        <w:tc>
          <w:tcPr>
            <w:tcW w:w="1021" w:type="dxa"/>
            <w:tcBorders>
              <w:top w:val="nil"/>
              <w:left w:val="single" w:sz="18" w:space="0" w:color="5F497A" w:themeColor="accent4" w:themeShade="BF"/>
              <w:bottom w:val="nil"/>
              <w:right w:val="nil"/>
            </w:tcBorders>
            <w:shd w:val="clear" w:color="auto" w:fill="auto"/>
            <w:vAlign w:val="bottom"/>
          </w:tcPr>
          <w:p w14:paraId="06FB8B96" w14:textId="177D6B24" w:rsidR="00566EA9" w:rsidRPr="001D41EA" w:rsidRDefault="00566EA9" w:rsidP="001D41EA">
            <w:pPr>
              <w:spacing w:before="40" w:after="20"/>
              <w:jc w:val="center"/>
              <w:rPr>
                <w:rFonts w:cs="Arial"/>
                <w:sz w:val="18"/>
                <w:szCs w:val="18"/>
              </w:rPr>
            </w:pPr>
            <w:r w:rsidRPr="001D41EA">
              <w:rPr>
                <w:rFonts w:cs="Arial"/>
                <w:sz w:val="18"/>
                <w:szCs w:val="18"/>
              </w:rPr>
              <w:t>1.080</w:t>
            </w:r>
          </w:p>
        </w:tc>
        <w:tc>
          <w:tcPr>
            <w:tcW w:w="170" w:type="dxa"/>
            <w:tcBorders>
              <w:top w:val="nil"/>
              <w:left w:val="nil"/>
              <w:bottom w:val="nil"/>
              <w:right w:val="nil"/>
            </w:tcBorders>
            <w:shd w:val="clear" w:color="auto" w:fill="auto"/>
            <w:vAlign w:val="bottom"/>
          </w:tcPr>
          <w:p w14:paraId="7B26A3AC" w14:textId="7FB8C6E2"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146207CE" w14:textId="4183F468" w:rsidR="00566EA9" w:rsidRPr="001D41EA" w:rsidRDefault="00566EA9" w:rsidP="001D41EA">
            <w:pPr>
              <w:spacing w:before="40" w:after="20"/>
              <w:jc w:val="center"/>
              <w:rPr>
                <w:rFonts w:cs="Arial"/>
                <w:sz w:val="18"/>
                <w:szCs w:val="18"/>
              </w:rPr>
            </w:pPr>
            <w:r w:rsidRPr="001D41EA">
              <w:rPr>
                <w:rFonts w:cs="Arial"/>
                <w:sz w:val="18"/>
                <w:szCs w:val="18"/>
              </w:rPr>
              <w:t>1.285</w:t>
            </w:r>
          </w:p>
        </w:tc>
        <w:tc>
          <w:tcPr>
            <w:tcW w:w="1021" w:type="dxa"/>
            <w:tcBorders>
              <w:top w:val="nil"/>
              <w:left w:val="nil"/>
              <w:bottom w:val="nil"/>
              <w:right w:val="nil"/>
            </w:tcBorders>
            <w:vAlign w:val="bottom"/>
          </w:tcPr>
          <w:p w14:paraId="0FD2294E" w14:textId="7E4419B0" w:rsidR="00566EA9" w:rsidRPr="001D41EA" w:rsidRDefault="00566EA9" w:rsidP="001D41EA">
            <w:pPr>
              <w:spacing w:before="40" w:after="20"/>
              <w:jc w:val="center"/>
              <w:rPr>
                <w:rFonts w:cs="Arial"/>
                <w:sz w:val="18"/>
                <w:szCs w:val="18"/>
              </w:rPr>
            </w:pPr>
            <w:r w:rsidRPr="001D41EA">
              <w:rPr>
                <w:rFonts w:cs="Arial"/>
                <w:sz w:val="18"/>
                <w:szCs w:val="18"/>
              </w:rPr>
              <w:t>1.278</w:t>
            </w:r>
          </w:p>
        </w:tc>
        <w:tc>
          <w:tcPr>
            <w:tcW w:w="1021" w:type="dxa"/>
            <w:tcBorders>
              <w:top w:val="nil"/>
              <w:left w:val="nil"/>
              <w:bottom w:val="nil"/>
              <w:right w:val="nil"/>
            </w:tcBorders>
            <w:vAlign w:val="bottom"/>
          </w:tcPr>
          <w:p w14:paraId="0C87430C" w14:textId="159A61F6" w:rsidR="00566EA9" w:rsidRPr="001D41EA" w:rsidRDefault="00566EA9" w:rsidP="001D41EA">
            <w:pPr>
              <w:spacing w:before="40" w:after="20"/>
              <w:jc w:val="center"/>
              <w:rPr>
                <w:rFonts w:cs="Arial"/>
                <w:sz w:val="18"/>
                <w:szCs w:val="18"/>
              </w:rPr>
            </w:pPr>
            <w:r w:rsidRPr="001D41EA">
              <w:rPr>
                <w:rFonts w:cs="Arial"/>
                <w:sz w:val="18"/>
                <w:szCs w:val="18"/>
              </w:rPr>
              <w:t>1.273</w:t>
            </w:r>
          </w:p>
        </w:tc>
        <w:tc>
          <w:tcPr>
            <w:tcW w:w="1021" w:type="dxa"/>
            <w:tcBorders>
              <w:top w:val="nil"/>
              <w:left w:val="nil"/>
              <w:bottom w:val="nil"/>
              <w:right w:val="nil"/>
            </w:tcBorders>
            <w:vAlign w:val="bottom"/>
          </w:tcPr>
          <w:p w14:paraId="7BF7B3FA" w14:textId="5EACD8EE" w:rsidR="00566EA9" w:rsidRPr="001D41EA" w:rsidRDefault="00566EA9" w:rsidP="001D41EA">
            <w:pPr>
              <w:spacing w:before="40" w:after="20"/>
              <w:jc w:val="center"/>
              <w:rPr>
                <w:rFonts w:cs="Arial"/>
                <w:sz w:val="18"/>
                <w:szCs w:val="18"/>
              </w:rPr>
            </w:pPr>
            <w:r w:rsidRPr="001D41EA">
              <w:rPr>
                <w:rFonts w:cs="Arial"/>
                <w:sz w:val="18"/>
                <w:szCs w:val="18"/>
              </w:rPr>
              <w:t>1.283</w:t>
            </w:r>
          </w:p>
        </w:tc>
        <w:tc>
          <w:tcPr>
            <w:tcW w:w="1021" w:type="dxa"/>
            <w:tcBorders>
              <w:top w:val="nil"/>
              <w:left w:val="nil"/>
              <w:bottom w:val="nil"/>
              <w:right w:val="nil"/>
            </w:tcBorders>
            <w:vAlign w:val="bottom"/>
          </w:tcPr>
          <w:p w14:paraId="3C23CF31" w14:textId="280B1601" w:rsidR="00566EA9" w:rsidRPr="001D41EA" w:rsidRDefault="00566EA9" w:rsidP="001D41EA">
            <w:pPr>
              <w:spacing w:before="40" w:after="20"/>
              <w:jc w:val="center"/>
              <w:rPr>
                <w:rFonts w:cs="Arial"/>
                <w:sz w:val="18"/>
                <w:szCs w:val="18"/>
              </w:rPr>
            </w:pPr>
            <w:r w:rsidRPr="001D41EA">
              <w:rPr>
                <w:rFonts w:cs="Arial"/>
                <w:sz w:val="18"/>
                <w:szCs w:val="18"/>
              </w:rPr>
              <w:t>1.266</w:t>
            </w:r>
          </w:p>
        </w:tc>
        <w:tc>
          <w:tcPr>
            <w:tcW w:w="170" w:type="dxa"/>
            <w:tcBorders>
              <w:top w:val="nil"/>
              <w:left w:val="nil"/>
              <w:bottom w:val="nil"/>
              <w:right w:val="nil"/>
            </w:tcBorders>
            <w:vAlign w:val="bottom"/>
          </w:tcPr>
          <w:p w14:paraId="44D06E9B" w14:textId="5331AF09"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0B30080E" w14:textId="61845ED4" w:rsidR="00566EA9" w:rsidRPr="001D41EA" w:rsidRDefault="00566EA9" w:rsidP="001D41EA">
            <w:pPr>
              <w:spacing w:before="40" w:after="20"/>
              <w:jc w:val="center"/>
              <w:rPr>
                <w:rFonts w:cs="Arial"/>
                <w:sz w:val="18"/>
                <w:szCs w:val="18"/>
              </w:rPr>
            </w:pPr>
            <w:r w:rsidRPr="001D41EA">
              <w:rPr>
                <w:rFonts w:cs="Arial"/>
                <w:sz w:val="18"/>
                <w:szCs w:val="18"/>
              </w:rPr>
              <w:t>1.685</w:t>
            </w:r>
          </w:p>
        </w:tc>
      </w:tr>
      <w:tr w:rsidR="00566EA9" w:rsidRPr="001D41EA" w14:paraId="37C097B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6B0FDC5" w14:textId="77777777" w:rsidR="00566EA9" w:rsidRPr="001D41EA" w:rsidRDefault="00566EA9" w:rsidP="001D41EA">
            <w:pPr>
              <w:spacing w:before="40" w:after="20"/>
              <w:rPr>
                <w:rFonts w:cs="Arial"/>
                <w:sz w:val="18"/>
                <w:szCs w:val="18"/>
              </w:rPr>
            </w:pPr>
            <w:r w:rsidRPr="001D41EA">
              <w:rPr>
                <w:rFonts w:cs="Arial"/>
                <w:sz w:val="18"/>
                <w:szCs w:val="18"/>
              </w:rPr>
              <w:t>Whitehorse C</w:t>
            </w:r>
          </w:p>
        </w:tc>
        <w:tc>
          <w:tcPr>
            <w:tcW w:w="1021" w:type="dxa"/>
            <w:tcBorders>
              <w:top w:val="nil"/>
              <w:left w:val="single" w:sz="18" w:space="0" w:color="5F497A" w:themeColor="accent4" w:themeShade="BF"/>
              <w:bottom w:val="nil"/>
              <w:right w:val="nil"/>
            </w:tcBorders>
            <w:shd w:val="clear" w:color="auto" w:fill="auto"/>
            <w:vAlign w:val="bottom"/>
          </w:tcPr>
          <w:p w14:paraId="5F0458AA" w14:textId="2E36C6A8" w:rsidR="00566EA9" w:rsidRPr="001D41EA" w:rsidRDefault="00566EA9" w:rsidP="001D41EA">
            <w:pPr>
              <w:spacing w:before="40" w:after="20"/>
              <w:jc w:val="center"/>
              <w:rPr>
                <w:rFonts w:cs="Arial"/>
                <w:sz w:val="18"/>
                <w:szCs w:val="18"/>
              </w:rPr>
            </w:pPr>
            <w:r w:rsidRPr="001D41EA">
              <w:rPr>
                <w:rFonts w:cs="Arial"/>
                <w:sz w:val="18"/>
                <w:szCs w:val="18"/>
              </w:rPr>
              <w:t>1.004</w:t>
            </w:r>
          </w:p>
        </w:tc>
        <w:tc>
          <w:tcPr>
            <w:tcW w:w="170" w:type="dxa"/>
            <w:tcBorders>
              <w:top w:val="nil"/>
              <w:left w:val="nil"/>
              <w:bottom w:val="nil"/>
              <w:right w:val="nil"/>
            </w:tcBorders>
            <w:shd w:val="clear" w:color="auto" w:fill="auto"/>
            <w:vAlign w:val="bottom"/>
          </w:tcPr>
          <w:p w14:paraId="44CA5364" w14:textId="5A1B77B0"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20EDF0CE" w14:textId="066FD421" w:rsidR="00566EA9" w:rsidRPr="001D41EA" w:rsidRDefault="00566EA9" w:rsidP="001D41EA">
            <w:pPr>
              <w:spacing w:before="40" w:after="20"/>
              <w:jc w:val="center"/>
              <w:rPr>
                <w:rFonts w:cs="Arial"/>
                <w:sz w:val="18"/>
                <w:szCs w:val="18"/>
              </w:rPr>
            </w:pPr>
            <w:r w:rsidRPr="001D41EA">
              <w:rPr>
                <w:rFonts w:cs="Arial"/>
                <w:sz w:val="18"/>
                <w:szCs w:val="18"/>
              </w:rPr>
              <w:t>0.957</w:t>
            </w:r>
          </w:p>
        </w:tc>
        <w:tc>
          <w:tcPr>
            <w:tcW w:w="1021" w:type="dxa"/>
            <w:tcBorders>
              <w:top w:val="nil"/>
              <w:left w:val="nil"/>
              <w:bottom w:val="nil"/>
              <w:right w:val="nil"/>
            </w:tcBorders>
            <w:vAlign w:val="bottom"/>
          </w:tcPr>
          <w:p w14:paraId="633BE1A1" w14:textId="0B29B934" w:rsidR="00566EA9" w:rsidRPr="001D41EA" w:rsidRDefault="00566EA9" w:rsidP="001D41EA">
            <w:pPr>
              <w:spacing w:before="40" w:after="20"/>
              <w:jc w:val="center"/>
              <w:rPr>
                <w:rFonts w:cs="Arial"/>
                <w:sz w:val="18"/>
                <w:szCs w:val="18"/>
              </w:rPr>
            </w:pPr>
            <w:r w:rsidRPr="001D41EA">
              <w:rPr>
                <w:rFonts w:cs="Arial"/>
                <w:sz w:val="18"/>
                <w:szCs w:val="18"/>
              </w:rPr>
              <w:t>0.951</w:t>
            </w:r>
          </w:p>
        </w:tc>
        <w:tc>
          <w:tcPr>
            <w:tcW w:w="1021" w:type="dxa"/>
            <w:tcBorders>
              <w:top w:val="nil"/>
              <w:left w:val="nil"/>
              <w:bottom w:val="nil"/>
              <w:right w:val="nil"/>
            </w:tcBorders>
            <w:vAlign w:val="bottom"/>
          </w:tcPr>
          <w:p w14:paraId="0B4BD2AE" w14:textId="5AB2B0BE" w:rsidR="00566EA9" w:rsidRPr="001D41EA" w:rsidRDefault="00566EA9" w:rsidP="001D41EA">
            <w:pPr>
              <w:spacing w:before="40" w:after="20"/>
              <w:jc w:val="center"/>
              <w:rPr>
                <w:rFonts w:cs="Arial"/>
                <w:sz w:val="18"/>
                <w:szCs w:val="18"/>
              </w:rPr>
            </w:pPr>
            <w:r w:rsidRPr="001D41EA">
              <w:rPr>
                <w:rFonts w:cs="Arial"/>
                <w:sz w:val="18"/>
                <w:szCs w:val="18"/>
              </w:rPr>
              <w:t>0.948</w:t>
            </w:r>
          </w:p>
        </w:tc>
        <w:tc>
          <w:tcPr>
            <w:tcW w:w="1021" w:type="dxa"/>
            <w:tcBorders>
              <w:top w:val="nil"/>
              <w:left w:val="nil"/>
              <w:bottom w:val="nil"/>
              <w:right w:val="nil"/>
            </w:tcBorders>
            <w:vAlign w:val="bottom"/>
          </w:tcPr>
          <w:p w14:paraId="3BBDDD35" w14:textId="1433535A" w:rsidR="00566EA9" w:rsidRPr="001D41EA" w:rsidRDefault="00566EA9" w:rsidP="001D41EA">
            <w:pPr>
              <w:spacing w:before="40" w:after="20"/>
              <w:jc w:val="center"/>
              <w:rPr>
                <w:rFonts w:cs="Arial"/>
                <w:sz w:val="18"/>
                <w:szCs w:val="18"/>
              </w:rPr>
            </w:pPr>
            <w:r w:rsidRPr="001D41EA">
              <w:rPr>
                <w:rFonts w:cs="Arial"/>
                <w:sz w:val="18"/>
                <w:szCs w:val="18"/>
              </w:rPr>
              <w:t>0.955</w:t>
            </w:r>
          </w:p>
        </w:tc>
        <w:tc>
          <w:tcPr>
            <w:tcW w:w="1021" w:type="dxa"/>
            <w:tcBorders>
              <w:top w:val="nil"/>
              <w:left w:val="nil"/>
              <w:bottom w:val="nil"/>
              <w:right w:val="nil"/>
            </w:tcBorders>
            <w:vAlign w:val="bottom"/>
          </w:tcPr>
          <w:p w14:paraId="76DE13FB" w14:textId="10114D82" w:rsidR="00566EA9" w:rsidRPr="001D41EA" w:rsidRDefault="00566EA9" w:rsidP="001D41EA">
            <w:pPr>
              <w:spacing w:before="40" w:after="20"/>
              <w:jc w:val="center"/>
              <w:rPr>
                <w:rFonts w:cs="Arial"/>
                <w:sz w:val="18"/>
                <w:szCs w:val="18"/>
              </w:rPr>
            </w:pPr>
            <w:r w:rsidRPr="001D41EA">
              <w:rPr>
                <w:rFonts w:cs="Arial"/>
                <w:sz w:val="18"/>
                <w:szCs w:val="18"/>
              </w:rPr>
              <w:t>0.943</w:t>
            </w:r>
          </w:p>
        </w:tc>
        <w:tc>
          <w:tcPr>
            <w:tcW w:w="170" w:type="dxa"/>
            <w:tcBorders>
              <w:top w:val="nil"/>
              <w:left w:val="nil"/>
              <w:bottom w:val="nil"/>
              <w:right w:val="nil"/>
            </w:tcBorders>
            <w:vAlign w:val="bottom"/>
          </w:tcPr>
          <w:p w14:paraId="40B17BEB" w14:textId="3414D0C0"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73EBCA66" w14:textId="15261E87" w:rsidR="00566EA9" w:rsidRPr="001D41EA" w:rsidRDefault="00566EA9" w:rsidP="001D41EA">
            <w:pPr>
              <w:spacing w:before="40" w:after="20"/>
              <w:jc w:val="center"/>
              <w:rPr>
                <w:rFonts w:cs="Arial"/>
                <w:sz w:val="18"/>
                <w:szCs w:val="18"/>
              </w:rPr>
            </w:pPr>
            <w:r w:rsidRPr="001D41EA">
              <w:rPr>
                <w:rFonts w:cs="Arial"/>
                <w:sz w:val="18"/>
                <w:szCs w:val="18"/>
              </w:rPr>
              <w:t>0.874</w:t>
            </w:r>
          </w:p>
        </w:tc>
      </w:tr>
      <w:tr w:rsidR="00566EA9" w:rsidRPr="001D41EA" w14:paraId="5BFB236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288968D" w14:textId="77777777" w:rsidR="00566EA9" w:rsidRPr="001D41EA" w:rsidRDefault="00566EA9" w:rsidP="001D41EA">
            <w:pPr>
              <w:spacing w:before="40" w:after="20"/>
              <w:rPr>
                <w:rFonts w:cs="Arial"/>
                <w:sz w:val="18"/>
                <w:szCs w:val="18"/>
              </w:rPr>
            </w:pPr>
            <w:r w:rsidRPr="001D41EA">
              <w:rPr>
                <w:rFonts w:cs="Arial"/>
                <w:sz w:val="18"/>
                <w:szCs w:val="18"/>
              </w:rPr>
              <w:t>Whittlesea C</w:t>
            </w:r>
          </w:p>
        </w:tc>
        <w:tc>
          <w:tcPr>
            <w:tcW w:w="1021" w:type="dxa"/>
            <w:tcBorders>
              <w:top w:val="nil"/>
              <w:left w:val="single" w:sz="18" w:space="0" w:color="5F497A" w:themeColor="accent4" w:themeShade="BF"/>
              <w:bottom w:val="nil"/>
              <w:right w:val="nil"/>
            </w:tcBorders>
            <w:shd w:val="clear" w:color="auto" w:fill="auto"/>
            <w:vAlign w:val="bottom"/>
          </w:tcPr>
          <w:p w14:paraId="7D0487F8" w14:textId="726DE54D" w:rsidR="00566EA9" w:rsidRPr="001D41EA" w:rsidRDefault="00566EA9" w:rsidP="001D41EA">
            <w:pPr>
              <w:spacing w:before="40" w:after="20"/>
              <w:jc w:val="center"/>
              <w:rPr>
                <w:rFonts w:cs="Arial"/>
                <w:sz w:val="18"/>
                <w:szCs w:val="18"/>
              </w:rPr>
            </w:pPr>
            <w:r w:rsidRPr="001D41EA">
              <w:rPr>
                <w:rFonts w:cs="Arial"/>
                <w:sz w:val="18"/>
                <w:szCs w:val="18"/>
              </w:rPr>
              <w:t>1.022</w:t>
            </w:r>
          </w:p>
        </w:tc>
        <w:tc>
          <w:tcPr>
            <w:tcW w:w="170" w:type="dxa"/>
            <w:tcBorders>
              <w:top w:val="nil"/>
              <w:left w:val="nil"/>
              <w:bottom w:val="nil"/>
              <w:right w:val="nil"/>
            </w:tcBorders>
            <w:shd w:val="clear" w:color="auto" w:fill="auto"/>
            <w:vAlign w:val="bottom"/>
          </w:tcPr>
          <w:p w14:paraId="31E132E6" w14:textId="1CD56ABD"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276A7A7F" w14:textId="7D02BE05" w:rsidR="00566EA9" w:rsidRPr="001D41EA" w:rsidRDefault="00566EA9" w:rsidP="001D41EA">
            <w:pPr>
              <w:spacing w:before="40" w:after="20"/>
              <w:jc w:val="center"/>
              <w:rPr>
                <w:rFonts w:cs="Arial"/>
                <w:sz w:val="18"/>
                <w:szCs w:val="18"/>
              </w:rPr>
            </w:pPr>
            <w:r w:rsidRPr="001D41EA">
              <w:rPr>
                <w:rFonts w:cs="Arial"/>
                <w:sz w:val="18"/>
                <w:szCs w:val="18"/>
              </w:rPr>
              <w:t>0.867</w:t>
            </w:r>
          </w:p>
        </w:tc>
        <w:tc>
          <w:tcPr>
            <w:tcW w:w="1021" w:type="dxa"/>
            <w:tcBorders>
              <w:top w:val="nil"/>
              <w:left w:val="nil"/>
              <w:bottom w:val="nil"/>
              <w:right w:val="nil"/>
            </w:tcBorders>
            <w:vAlign w:val="bottom"/>
          </w:tcPr>
          <w:p w14:paraId="3AEA24EA" w14:textId="6D40BA2D" w:rsidR="00566EA9" w:rsidRPr="001D41EA" w:rsidRDefault="00566EA9" w:rsidP="001D41EA">
            <w:pPr>
              <w:spacing w:before="40" w:after="20"/>
              <w:jc w:val="center"/>
              <w:rPr>
                <w:rFonts w:cs="Arial"/>
                <w:sz w:val="18"/>
                <w:szCs w:val="18"/>
              </w:rPr>
            </w:pPr>
            <w:r w:rsidRPr="001D41EA">
              <w:rPr>
                <w:rFonts w:cs="Arial"/>
                <w:sz w:val="18"/>
                <w:szCs w:val="18"/>
              </w:rPr>
              <w:t>0.862</w:t>
            </w:r>
          </w:p>
        </w:tc>
        <w:tc>
          <w:tcPr>
            <w:tcW w:w="1021" w:type="dxa"/>
            <w:tcBorders>
              <w:top w:val="nil"/>
              <w:left w:val="nil"/>
              <w:bottom w:val="nil"/>
              <w:right w:val="nil"/>
            </w:tcBorders>
            <w:vAlign w:val="bottom"/>
          </w:tcPr>
          <w:p w14:paraId="4397097D" w14:textId="673353FF" w:rsidR="00566EA9" w:rsidRPr="001D41EA" w:rsidRDefault="00566EA9" w:rsidP="001D41EA">
            <w:pPr>
              <w:spacing w:before="40" w:after="20"/>
              <w:jc w:val="center"/>
              <w:rPr>
                <w:rFonts w:cs="Arial"/>
                <w:sz w:val="18"/>
                <w:szCs w:val="18"/>
              </w:rPr>
            </w:pPr>
            <w:r w:rsidRPr="001D41EA">
              <w:rPr>
                <w:rFonts w:cs="Arial"/>
                <w:sz w:val="18"/>
                <w:szCs w:val="18"/>
              </w:rPr>
              <w:t>0.859</w:t>
            </w:r>
          </w:p>
        </w:tc>
        <w:tc>
          <w:tcPr>
            <w:tcW w:w="1021" w:type="dxa"/>
            <w:tcBorders>
              <w:top w:val="nil"/>
              <w:left w:val="nil"/>
              <w:bottom w:val="nil"/>
              <w:right w:val="nil"/>
            </w:tcBorders>
            <w:vAlign w:val="bottom"/>
          </w:tcPr>
          <w:p w14:paraId="7BD3F2BA" w14:textId="372A3D05" w:rsidR="00566EA9" w:rsidRPr="001D41EA" w:rsidRDefault="00566EA9" w:rsidP="001D41EA">
            <w:pPr>
              <w:spacing w:before="40" w:after="20"/>
              <w:jc w:val="center"/>
              <w:rPr>
                <w:rFonts w:cs="Arial"/>
                <w:sz w:val="18"/>
                <w:szCs w:val="18"/>
              </w:rPr>
            </w:pPr>
            <w:r w:rsidRPr="001D41EA">
              <w:rPr>
                <w:rFonts w:cs="Arial"/>
                <w:sz w:val="18"/>
                <w:szCs w:val="18"/>
              </w:rPr>
              <w:t>0.865</w:t>
            </w:r>
          </w:p>
        </w:tc>
        <w:tc>
          <w:tcPr>
            <w:tcW w:w="1021" w:type="dxa"/>
            <w:tcBorders>
              <w:top w:val="nil"/>
              <w:left w:val="nil"/>
              <w:bottom w:val="nil"/>
              <w:right w:val="nil"/>
            </w:tcBorders>
            <w:vAlign w:val="bottom"/>
          </w:tcPr>
          <w:p w14:paraId="1453CA25" w14:textId="6A73CB6B" w:rsidR="00566EA9" w:rsidRPr="001D41EA" w:rsidRDefault="00566EA9" w:rsidP="001D41EA">
            <w:pPr>
              <w:spacing w:before="40" w:after="20"/>
              <w:jc w:val="center"/>
              <w:rPr>
                <w:rFonts w:cs="Arial"/>
                <w:sz w:val="18"/>
                <w:szCs w:val="18"/>
              </w:rPr>
            </w:pPr>
            <w:r w:rsidRPr="001D41EA">
              <w:rPr>
                <w:rFonts w:cs="Arial"/>
                <w:sz w:val="18"/>
                <w:szCs w:val="18"/>
              </w:rPr>
              <w:t>0.854</w:t>
            </w:r>
          </w:p>
        </w:tc>
        <w:tc>
          <w:tcPr>
            <w:tcW w:w="170" w:type="dxa"/>
            <w:tcBorders>
              <w:top w:val="nil"/>
              <w:left w:val="nil"/>
              <w:bottom w:val="nil"/>
              <w:right w:val="nil"/>
            </w:tcBorders>
            <w:vAlign w:val="bottom"/>
          </w:tcPr>
          <w:p w14:paraId="6D7E96B9" w14:textId="1D991F7B"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2C693AA2" w14:textId="4AF4CFFD" w:rsidR="00566EA9" w:rsidRPr="001D41EA" w:rsidRDefault="00566EA9" w:rsidP="001D41EA">
            <w:pPr>
              <w:spacing w:before="40" w:after="20"/>
              <w:jc w:val="center"/>
              <w:rPr>
                <w:rFonts w:cs="Arial"/>
                <w:sz w:val="18"/>
                <w:szCs w:val="18"/>
              </w:rPr>
            </w:pPr>
            <w:r w:rsidRPr="001D41EA">
              <w:rPr>
                <w:rFonts w:cs="Arial"/>
                <w:sz w:val="18"/>
                <w:szCs w:val="18"/>
              </w:rPr>
              <w:t>0.894</w:t>
            </w:r>
          </w:p>
        </w:tc>
      </w:tr>
      <w:tr w:rsidR="00566EA9" w:rsidRPr="001D41EA" w14:paraId="6AF62B2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C8A1C5B" w14:textId="77777777" w:rsidR="00566EA9" w:rsidRPr="001D41EA" w:rsidRDefault="00566EA9" w:rsidP="001D41EA">
            <w:pPr>
              <w:spacing w:before="40" w:after="20"/>
              <w:rPr>
                <w:rFonts w:cs="Arial"/>
                <w:sz w:val="18"/>
                <w:szCs w:val="18"/>
              </w:rPr>
            </w:pPr>
            <w:r w:rsidRPr="001D41EA">
              <w:rPr>
                <w:rFonts w:cs="Arial"/>
                <w:sz w:val="18"/>
                <w:szCs w:val="18"/>
              </w:rPr>
              <w:t>Wodonga C</w:t>
            </w:r>
          </w:p>
        </w:tc>
        <w:tc>
          <w:tcPr>
            <w:tcW w:w="1021" w:type="dxa"/>
            <w:tcBorders>
              <w:top w:val="nil"/>
              <w:left w:val="single" w:sz="18" w:space="0" w:color="5F497A" w:themeColor="accent4" w:themeShade="BF"/>
              <w:bottom w:val="nil"/>
              <w:right w:val="nil"/>
            </w:tcBorders>
            <w:shd w:val="clear" w:color="auto" w:fill="auto"/>
            <w:vAlign w:val="bottom"/>
          </w:tcPr>
          <w:p w14:paraId="696EA526" w14:textId="2CDBF0C2" w:rsidR="00566EA9" w:rsidRPr="001D41EA" w:rsidRDefault="00566EA9" w:rsidP="001D41EA">
            <w:pPr>
              <w:spacing w:before="40" w:after="20"/>
              <w:jc w:val="center"/>
              <w:rPr>
                <w:rFonts w:cs="Arial"/>
                <w:sz w:val="18"/>
                <w:szCs w:val="18"/>
              </w:rPr>
            </w:pPr>
            <w:r w:rsidRPr="001D41EA">
              <w:rPr>
                <w:rFonts w:cs="Arial"/>
                <w:sz w:val="18"/>
                <w:szCs w:val="18"/>
              </w:rPr>
              <w:t>1.050</w:t>
            </w:r>
          </w:p>
        </w:tc>
        <w:tc>
          <w:tcPr>
            <w:tcW w:w="170" w:type="dxa"/>
            <w:tcBorders>
              <w:top w:val="nil"/>
              <w:left w:val="nil"/>
              <w:bottom w:val="nil"/>
              <w:right w:val="nil"/>
            </w:tcBorders>
            <w:shd w:val="clear" w:color="auto" w:fill="auto"/>
            <w:vAlign w:val="bottom"/>
          </w:tcPr>
          <w:p w14:paraId="54C297B1" w14:textId="5CC5C950"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484248ED" w14:textId="0CAFFFC5" w:rsidR="00566EA9" w:rsidRPr="001D41EA" w:rsidRDefault="00566EA9" w:rsidP="001D41EA">
            <w:pPr>
              <w:spacing w:before="40" w:after="20"/>
              <w:jc w:val="center"/>
              <w:rPr>
                <w:rFonts w:cs="Arial"/>
                <w:sz w:val="18"/>
                <w:szCs w:val="18"/>
              </w:rPr>
            </w:pPr>
            <w:r w:rsidRPr="001D41EA">
              <w:rPr>
                <w:rFonts w:cs="Arial"/>
                <w:sz w:val="18"/>
                <w:szCs w:val="18"/>
              </w:rPr>
              <w:t>1.213</w:t>
            </w:r>
          </w:p>
        </w:tc>
        <w:tc>
          <w:tcPr>
            <w:tcW w:w="1021" w:type="dxa"/>
            <w:tcBorders>
              <w:top w:val="nil"/>
              <w:left w:val="nil"/>
              <w:bottom w:val="nil"/>
              <w:right w:val="nil"/>
            </w:tcBorders>
            <w:vAlign w:val="bottom"/>
          </w:tcPr>
          <w:p w14:paraId="31F48DF5" w14:textId="56F3F25F" w:rsidR="00566EA9" w:rsidRPr="001D41EA" w:rsidRDefault="00566EA9" w:rsidP="001D41EA">
            <w:pPr>
              <w:spacing w:before="40" w:after="20"/>
              <w:jc w:val="center"/>
              <w:rPr>
                <w:rFonts w:cs="Arial"/>
                <w:sz w:val="18"/>
                <w:szCs w:val="18"/>
              </w:rPr>
            </w:pPr>
            <w:r w:rsidRPr="001D41EA">
              <w:rPr>
                <w:rFonts w:cs="Arial"/>
                <w:sz w:val="18"/>
                <w:szCs w:val="18"/>
              </w:rPr>
              <w:t>1.207</w:t>
            </w:r>
          </w:p>
        </w:tc>
        <w:tc>
          <w:tcPr>
            <w:tcW w:w="1021" w:type="dxa"/>
            <w:tcBorders>
              <w:top w:val="nil"/>
              <w:left w:val="nil"/>
              <w:bottom w:val="nil"/>
              <w:right w:val="nil"/>
            </w:tcBorders>
            <w:vAlign w:val="bottom"/>
          </w:tcPr>
          <w:p w14:paraId="0DF6AC06" w14:textId="67A5FD20" w:rsidR="00566EA9" w:rsidRPr="001D41EA" w:rsidRDefault="00566EA9" w:rsidP="001D41EA">
            <w:pPr>
              <w:spacing w:before="40" w:after="20"/>
              <w:jc w:val="center"/>
              <w:rPr>
                <w:rFonts w:cs="Arial"/>
                <w:sz w:val="18"/>
                <w:szCs w:val="18"/>
              </w:rPr>
            </w:pPr>
            <w:r w:rsidRPr="001D41EA">
              <w:rPr>
                <w:rFonts w:cs="Arial"/>
                <w:sz w:val="18"/>
                <w:szCs w:val="18"/>
              </w:rPr>
              <w:t>1.202</w:t>
            </w:r>
          </w:p>
        </w:tc>
        <w:tc>
          <w:tcPr>
            <w:tcW w:w="1021" w:type="dxa"/>
            <w:tcBorders>
              <w:top w:val="nil"/>
              <w:left w:val="nil"/>
              <w:bottom w:val="nil"/>
              <w:right w:val="nil"/>
            </w:tcBorders>
            <w:vAlign w:val="bottom"/>
          </w:tcPr>
          <w:p w14:paraId="4C333709" w14:textId="65ECB3ED" w:rsidR="00566EA9" w:rsidRPr="001D41EA" w:rsidRDefault="00566EA9" w:rsidP="001D41EA">
            <w:pPr>
              <w:spacing w:before="40" w:after="20"/>
              <w:jc w:val="center"/>
              <w:rPr>
                <w:rFonts w:cs="Arial"/>
                <w:sz w:val="18"/>
                <w:szCs w:val="18"/>
              </w:rPr>
            </w:pPr>
            <w:r w:rsidRPr="001D41EA">
              <w:rPr>
                <w:rFonts w:cs="Arial"/>
                <w:sz w:val="18"/>
                <w:szCs w:val="18"/>
              </w:rPr>
              <w:t>1.212</w:t>
            </w:r>
          </w:p>
        </w:tc>
        <w:tc>
          <w:tcPr>
            <w:tcW w:w="1021" w:type="dxa"/>
            <w:tcBorders>
              <w:top w:val="nil"/>
              <w:left w:val="nil"/>
              <w:bottom w:val="nil"/>
              <w:right w:val="nil"/>
            </w:tcBorders>
            <w:vAlign w:val="bottom"/>
          </w:tcPr>
          <w:p w14:paraId="4B32289D" w14:textId="44BF7C3D" w:rsidR="00566EA9" w:rsidRPr="001D41EA" w:rsidRDefault="00566EA9" w:rsidP="001D41EA">
            <w:pPr>
              <w:spacing w:before="40" w:after="20"/>
              <w:jc w:val="center"/>
              <w:rPr>
                <w:rFonts w:cs="Arial"/>
                <w:sz w:val="18"/>
                <w:szCs w:val="18"/>
              </w:rPr>
            </w:pPr>
            <w:r w:rsidRPr="001D41EA">
              <w:rPr>
                <w:rFonts w:cs="Arial"/>
                <w:sz w:val="18"/>
                <w:szCs w:val="18"/>
              </w:rPr>
              <w:t>1.196</w:t>
            </w:r>
          </w:p>
        </w:tc>
        <w:tc>
          <w:tcPr>
            <w:tcW w:w="170" w:type="dxa"/>
            <w:tcBorders>
              <w:top w:val="nil"/>
              <w:left w:val="nil"/>
              <w:bottom w:val="nil"/>
              <w:right w:val="nil"/>
            </w:tcBorders>
            <w:vAlign w:val="bottom"/>
          </w:tcPr>
          <w:p w14:paraId="5E4CDEFB" w14:textId="16598156"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46133C1E" w14:textId="143AA150" w:rsidR="00566EA9" w:rsidRPr="001D41EA" w:rsidRDefault="00566EA9" w:rsidP="001D41EA">
            <w:pPr>
              <w:spacing w:before="40" w:after="20"/>
              <w:jc w:val="center"/>
              <w:rPr>
                <w:rFonts w:cs="Arial"/>
                <w:sz w:val="18"/>
                <w:szCs w:val="18"/>
              </w:rPr>
            </w:pPr>
            <w:r w:rsidRPr="001D41EA">
              <w:rPr>
                <w:rFonts w:cs="Arial"/>
                <w:sz w:val="18"/>
                <w:szCs w:val="18"/>
              </w:rPr>
              <w:t>0.969</w:t>
            </w:r>
          </w:p>
        </w:tc>
      </w:tr>
      <w:tr w:rsidR="00566EA9" w:rsidRPr="001D41EA" w14:paraId="307A460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0E36D37" w14:textId="77777777" w:rsidR="00566EA9" w:rsidRPr="001D41EA" w:rsidRDefault="00566EA9" w:rsidP="001D41EA">
            <w:pPr>
              <w:spacing w:before="40" w:after="20"/>
              <w:rPr>
                <w:rFonts w:cs="Arial"/>
                <w:sz w:val="18"/>
                <w:szCs w:val="18"/>
              </w:rPr>
            </w:pPr>
            <w:r w:rsidRPr="001D41EA">
              <w:rPr>
                <w:rFonts w:cs="Arial"/>
                <w:sz w:val="18"/>
                <w:szCs w:val="18"/>
              </w:rPr>
              <w:t>Wyndham C</w:t>
            </w:r>
          </w:p>
        </w:tc>
        <w:tc>
          <w:tcPr>
            <w:tcW w:w="1021" w:type="dxa"/>
            <w:tcBorders>
              <w:top w:val="nil"/>
              <w:left w:val="single" w:sz="18" w:space="0" w:color="5F497A" w:themeColor="accent4" w:themeShade="BF"/>
              <w:bottom w:val="nil"/>
              <w:right w:val="nil"/>
            </w:tcBorders>
            <w:shd w:val="clear" w:color="auto" w:fill="auto"/>
            <w:vAlign w:val="bottom"/>
          </w:tcPr>
          <w:p w14:paraId="2FE180DE" w14:textId="284B235A" w:rsidR="00566EA9" w:rsidRPr="001D41EA" w:rsidRDefault="00566EA9" w:rsidP="001D41EA">
            <w:pPr>
              <w:spacing w:before="40" w:after="20"/>
              <w:jc w:val="center"/>
              <w:rPr>
                <w:rFonts w:cs="Arial"/>
                <w:sz w:val="18"/>
                <w:szCs w:val="18"/>
              </w:rPr>
            </w:pPr>
            <w:r w:rsidRPr="001D41EA">
              <w:rPr>
                <w:rFonts w:cs="Arial"/>
                <w:sz w:val="18"/>
                <w:szCs w:val="18"/>
              </w:rPr>
              <w:t>0.876</w:t>
            </w:r>
          </w:p>
        </w:tc>
        <w:tc>
          <w:tcPr>
            <w:tcW w:w="170" w:type="dxa"/>
            <w:tcBorders>
              <w:top w:val="nil"/>
              <w:left w:val="nil"/>
              <w:bottom w:val="nil"/>
              <w:right w:val="nil"/>
            </w:tcBorders>
            <w:shd w:val="clear" w:color="auto" w:fill="auto"/>
            <w:vAlign w:val="bottom"/>
          </w:tcPr>
          <w:p w14:paraId="79198CBA" w14:textId="76024616"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6438BD3B" w14:textId="6597F5E4" w:rsidR="00566EA9" w:rsidRPr="001D41EA" w:rsidRDefault="00566EA9" w:rsidP="001D41EA">
            <w:pPr>
              <w:spacing w:before="40" w:after="20"/>
              <w:jc w:val="center"/>
              <w:rPr>
                <w:rFonts w:cs="Arial"/>
                <w:sz w:val="18"/>
                <w:szCs w:val="18"/>
              </w:rPr>
            </w:pPr>
            <w:r w:rsidRPr="001D41EA">
              <w:rPr>
                <w:rFonts w:cs="Arial"/>
                <w:sz w:val="18"/>
                <w:szCs w:val="18"/>
              </w:rPr>
              <w:t>0.806</w:t>
            </w:r>
          </w:p>
        </w:tc>
        <w:tc>
          <w:tcPr>
            <w:tcW w:w="1021" w:type="dxa"/>
            <w:tcBorders>
              <w:top w:val="nil"/>
              <w:left w:val="nil"/>
              <w:bottom w:val="nil"/>
              <w:right w:val="nil"/>
            </w:tcBorders>
            <w:vAlign w:val="bottom"/>
          </w:tcPr>
          <w:p w14:paraId="6FC07A31" w14:textId="11C12B3F" w:rsidR="00566EA9" w:rsidRPr="001D41EA" w:rsidRDefault="00566EA9" w:rsidP="001D41EA">
            <w:pPr>
              <w:spacing w:before="40" w:after="20"/>
              <w:jc w:val="center"/>
              <w:rPr>
                <w:rFonts w:cs="Arial"/>
                <w:sz w:val="18"/>
                <w:szCs w:val="18"/>
              </w:rPr>
            </w:pPr>
            <w:r w:rsidRPr="001D41EA">
              <w:rPr>
                <w:rFonts w:cs="Arial"/>
                <w:sz w:val="18"/>
                <w:szCs w:val="18"/>
              </w:rPr>
              <w:t>0.801</w:t>
            </w:r>
          </w:p>
        </w:tc>
        <w:tc>
          <w:tcPr>
            <w:tcW w:w="1021" w:type="dxa"/>
            <w:tcBorders>
              <w:top w:val="nil"/>
              <w:left w:val="nil"/>
              <w:bottom w:val="nil"/>
              <w:right w:val="nil"/>
            </w:tcBorders>
            <w:vAlign w:val="bottom"/>
          </w:tcPr>
          <w:p w14:paraId="461C8A02" w14:textId="3AA4D1F9" w:rsidR="00566EA9" w:rsidRPr="001D41EA" w:rsidRDefault="00566EA9" w:rsidP="001D41EA">
            <w:pPr>
              <w:spacing w:before="40" w:after="20"/>
              <w:jc w:val="center"/>
              <w:rPr>
                <w:rFonts w:cs="Arial"/>
                <w:sz w:val="18"/>
                <w:szCs w:val="18"/>
              </w:rPr>
            </w:pPr>
            <w:r w:rsidRPr="001D41EA">
              <w:rPr>
                <w:rFonts w:cs="Arial"/>
                <w:sz w:val="18"/>
                <w:szCs w:val="18"/>
              </w:rPr>
              <w:t>0.798</w:t>
            </w:r>
          </w:p>
        </w:tc>
        <w:tc>
          <w:tcPr>
            <w:tcW w:w="1021" w:type="dxa"/>
            <w:tcBorders>
              <w:top w:val="nil"/>
              <w:left w:val="nil"/>
              <w:bottom w:val="nil"/>
              <w:right w:val="nil"/>
            </w:tcBorders>
            <w:vAlign w:val="bottom"/>
          </w:tcPr>
          <w:p w14:paraId="3A7F789C" w14:textId="60181F3D" w:rsidR="00566EA9" w:rsidRPr="001D41EA" w:rsidRDefault="00566EA9" w:rsidP="001D41EA">
            <w:pPr>
              <w:spacing w:before="40" w:after="20"/>
              <w:jc w:val="center"/>
              <w:rPr>
                <w:rFonts w:cs="Arial"/>
                <w:sz w:val="18"/>
                <w:szCs w:val="18"/>
              </w:rPr>
            </w:pPr>
            <w:r w:rsidRPr="001D41EA">
              <w:rPr>
                <w:rFonts w:cs="Arial"/>
                <w:sz w:val="18"/>
                <w:szCs w:val="18"/>
              </w:rPr>
              <w:t>0.804</w:t>
            </w:r>
          </w:p>
        </w:tc>
        <w:tc>
          <w:tcPr>
            <w:tcW w:w="1021" w:type="dxa"/>
            <w:tcBorders>
              <w:top w:val="nil"/>
              <w:left w:val="nil"/>
              <w:bottom w:val="nil"/>
              <w:right w:val="nil"/>
            </w:tcBorders>
            <w:vAlign w:val="bottom"/>
          </w:tcPr>
          <w:p w14:paraId="4FE75142" w14:textId="18734293" w:rsidR="00566EA9" w:rsidRPr="001D41EA" w:rsidRDefault="00566EA9" w:rsidP="001D41EA">
            <w:pPr>
              <w:spacing w:before="40" w:after="20"/>
              <w:jc w:val="center"/>
              <w:rPr>
                <w:rFonts w:cs="Arial"/>
                <w:sz w:val="18"/>
                <w:szCs w:val="18"/>
              </w:rPr>
            </w:pPr>
            <w:r w:rsidRPr="001D41EA">
              <w:rPr>
                <w:rFonts w:cs="Arial"/>
                <w:sz w:val="18"/>
                <w:szCs w:val="18"/>
              </w:rPr>
              <w:t>0.794</w:t>
            </w:r>
          </w:p>
        </w:tc>
        <w:tc>
          <w:tcPr>
            <w:tcW w:w="170" w:type="dxa"/>
            <w:tcBorders>
              <w:top w:val="nil"/>
              <w:left w:val="nil"/>
              <w:bottom w:val="nil"/>
              <w:right w:val="nil"/>
            </w:tcBorders>
            <w:vAlign w:val="bottom"/>
          </w:tcPr>
          <w:p w14:paraId="78252558" w14:textId="02C376F2"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44168F0A" w14:textId="2A164594" w:rsidR="00566EA9" w:rsidRPr="001D41EA" w:rsidRDefault="00566EA9" w:rsidP="001D41EA">
            <w:pPr>
              <w:spacing w:before="40" w:after="20"/>
              <w:jc w:val="center"/>
              <w:rPr>
                <w:rFonts w:cs="Arial"/>
                <w:sz w:val="18"/>
                <w:szCs w:val="18"/>
              </w:rPr>
            </w:pPr>
            <w:r w:rsidRPr="001D41EA">
              <w:rPr>
                <w:rFonts w:cs="Arial"/>
                <w:sz w:val="18"/>
                <w:szCs w:val="18"/>
              </w:rPr>
              <w:t>0.907</w:t>
            </w:r>
          </w:p>
        </w:tc>
      </w:tr>
      <w:tr w:rsidR="00566EA9" w:rsidRPr="001D41EA" w14:paraId="5961DFD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DDD5AC0" w14:textId="77777777" w:rsidR="00566EA9" w:rsidRPr="001D41EA" w:rsidRDefault="00566EA9" w:rsidP="001D41EA">
            <w:pPr>
              <w:spacing w:before="40" w:after="20"/>
              <w:rPr>
                <w:rFonts w:cs="Arial"/>
                <w:sz w:val="18"/>
                <w:szCs w:val="18"/>
              </w:rPr>
            </w:pPr>
            <w:r w:rsidRPr="001D41EA">
              <w:rPr>
                <w:rFonts w:cs="Arial"/>
                <w:sz w:val="18"/>
                <w:szCs w:val="18"/>
              </w:rPr>
              <w:t>Yarra C</w:t>
            </w:r>
          </w:p>
        </w:tc>
        <w:tc>
          <w:tcPr>
            <w:tcW w:w="1021" w:type="dxa"/>
            <w:tcBorders>
              <w:top w:val="nil"/>
              <w:left w:val="single" w:sz="18" w:space="0" w:color="5F497A" w:themeColor="accent4" w:themeShade="BF"/>
              <w:bottom w:val="nil"/>
              <w:right w:val="nil"/>
            </w:tcBorders>
            <w:shd w:val="clear" w:color="auto" w:fill="auto"/>
            <w:vAlign w:val="bottom"/>
          </w:tcPr>
          <w:p w14:paraId="0FEF5A49" w14:textId="337814DC" w:rsidR="00566EA9" w:rsidRPr="001D41EA" w:rsidRDefault="00566EA9" w:rsidP="001D41EA">
            <w:pPr>
              <w:spacing w:before="40" w:after="20"/>
              <w:jc w:val="center"/>
              <w:rPr>
                <w:rFonts w:cs="Arial"/>
                <w:sz w:val="18"/>
                <w:szCs w:val="18"/>
              </w:rPr>
            </w:pPr>
            <w:r w:rsidRPr="001D41EA">
              <w:rPr>
                <w:rFonts w:cs="Arial"/>
                <w:sz w:val="18"/>
                <w:szCs w:val="18"/>
              </w:rPr>
              <w:t>0.790</w:t>
            </w:r>
          </w:p>
        </w:tc>
        <w:tc>
          <w:tcPr>
            <w:tcW w:w="170" w:type="dxa"/>
            <w:tcBorders>
              <w:top w:val="nil"/>
              <w:left w:val="nil"/>
              <w:bottom w:val="nil"/>
              <w:right w:val="nil"/>
            </w:tcBorders>
            <w:shd w:val="clear" w:color="auto" w:fill="auto"/>
            <w:vAlign w:val="bottom"/>
          </w:tcPr>
          <w:p w14:paraId="6C675086" w14:textId="6C00D36D"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528912C0" w14:textId="20C50A73" w:rsidR="00566EA9" w:rsidRPr="001D41EA" w:rsidRDefault="00566EA9" w:rsidP="001D41EA">
            <w:pPr>
              <w:spacing w:before="40" w:after="20"/>
              <w:jc w:val="center"/>
              <w:rPr>
                <w:rFonts w:cs="Arial"/>
                <w:sz w:val="18"/>
                <w:szCs w:val="18"/>
              </w:rPr>
            </w:pPr>
            <w:r w:rsidRPr="001D41EA">
              <w:rPr>
                <w:rFonts w:cs="Arial"/>
                <w:sz w:val="18"/>
                <w:szCs w:val="18"/>
              </w:rPr>
              <w:t>1.105</w:t>
            </w:r>
          </w:p>
        </w:tc>
        <w:tc>
          <w:tcPr>
            <w:tcW w:w="1021" w:type="dxa"/>
            <w:tcBorders>
              <w:top w:val="nil"/>
              <w:left w:val="nil"/>
              <w:bottom w:val="nil"/>
              <w:right w:val="nil"/>
            </w:tcBorders>
            <w:vAlign w:val="bottom"/>
          </w:tcPr>
          <w:p w14:paraId="6FA12325" w14:textId="422E9F0A" w:rsidR="00566EA9" w:rsidRPr="001D41EA" w:rsidRDefault="00566EA9" w:rsidP="001D41EA">
            <w:pPr>
              <w:spacing w:before="40" w:after="20"/>
              <w:jc w:val="center"/>
              <w:rPr>
                <w:rFonts w:cs="Arial"/>
                <w:sz w:val="18"/>
                <w:szCs w:val="18"/>
              </w:rPr>
            </w:pPr>
            <w:r w:rsidRPr="001D41EA">
              <w:rPr>
                <w:rFonts w:cs="Arial"/>
                <w:sz w:val="18"/>
                <w:szCs w:val="18"/>
              </w:rPr>
              <w:t>1.099</w:t>
            </w:r>
          </w:p>
        </w:tc>
        <w:tc>
          <w:tcPr>
            <w:tcW w:w="1021" w:type="dxa"/>
            <w:tcBorders>
              <w:top w:val="nil"/>
              <w:left w:val="nil"/>
              <w:bottom w:val="nil"/>
              <w:right w:val="nil"/>
            </w:tcBorders>
            <w:vAlign w:val="bottom"/>
          </w:tcPr>
          <w:p w14:paraId="13CE22A7" w14:textId="1198247E" w:rsidR="00566EA9" w:rsidRPr="001D41EA" w:rsidRDefault="00566EA9" w:rsidP="001D41EA">
            <w:pPr>
              <w:spacing w:before="40" w:after="20"/>
              <w:jc w:val="center"/>
              <w:rPr>
                <w:rFonts w:cs="Arial"/>
                <w:sz w:val="18"/>
                <w:szCs w:val="18"/>
              </w:rPr>
            </w:pPr>
            <w:r w:rsidRPr="001D41EA">
              <w:rPr>
                <w:rFonts w:cs="Arial"/>
                <w:sz w:val="18"/>
                <w:szCs w:val="18"/>
              </w:rPr>
              <w:t>1.094</w:t>
            </w:r>
          </w:p>
        </w:tc>
        <w:tc>
          <w:tcPr>
            <w:tcW w:w="1021" w:type="dxa"/>
            <w:tcBorders>
              <w:top w:val="nil"/>
              <w:left w:val="nil"/>
              <w:bottom w:val="nil"/>
              <w:right w:val="nil"/>
            </w:tcBorders>
            <w:vAlign w:val="bottom"/>
          </w:tcPr>
          <w:p w14:paraId="66038642" w14:textId="14BCB1CB" w:rsidR="00566EA9" w:rsidRPr="001D41EA" w:rsidRDefault="00566EA9" w:rsidP="001D41EA">
            <w:pPr>
              <w:spacing w:before="40" w:after="20"/>
              <w:jc w:val="center"/>
              <w:rPr>
                <w:rFonts w:cs="Arial"/>
                <w:sz w:val="18"/>
                <w:szCs w:val="18"/>
              </w:rPr>
            </w:pPr>
            <w:r w:rsidRPr="001D41EA">
              <w:rPr>
                <w:rFonts w:cs="Arial"/>
                <w:sz w:val="18"/>
                <w:szCs w:val="18"/>
              </w:rPr>
              <w:t>1.103</w:t>
            </w:r>
          </w:p>
        </w:tc>
        <w:tc>
          <w:tcPr>
            <w:tcW w:w="1021" w:type="dxa"/>
            <w:tcBorders>
              <w:top w:val="nil"/>
              <w:left w:val="nil"/>
              <w:bottom w:val="nil"/>
              <w:right w:val="nil"/>
            </w:tcBorders>
            <w:vAlign w:val="bottom"/>
          </w:tcPr>
          <w:p w14:paraId="66141CD5" w14:textId="25FD7F2E" w:rsidR="00566EA9" w:rsidRPr="001D41EA" w:rsidRDefault="00566EA9" w:rsidP="001D41EA">
            <w:pPr>
              <w:spacing w:before="40" w:after="20"/>
              <w:jc w:val="center"/>
              <w:rPr>
                <w:rFonts w:cs="Arial"/>
                <w:sz w:val="18"/>
                <w:szCs w:val="18"/>
              </w:rPr>
            </w:pPr>
            <w:r w:rsidRPr="001D41EA">
              <w:rPr>
                <w:rFonts w:cs="Arial"/>
                <w:sz w:val="18"/>
                <w:szCs w:val="18"/>
              </w:rPr>
              <w:t>1.089</w:t>
            </w:r>
          </w:p>
        </w:tc>
        <w:tc>
          <w:tcPr>
            <w:tcW w:w="170" w:type="dxa"/>
            <w:tcBorders>
              <w:top w:val="nil"/>
              <w:left w:val="nil"/>
              <w:bottom w:val="nil"/>
              <w:right w:val="nil"/>
            </w:tcBorders>
            <w:vAlign w:val="bottom"/>
          </w:tcPr>
          <w:p w14:paraId="2CA3121D" w14:textId="1FB6C5F5"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06FAAA3F" w14:textId="19D240F8" w:rsidR="00566EA9" w:rsidRPr="001D41EA" w:rsidRDefault="00566EA9" w:rsidP="001D41EA">
            <w:pPr>
              <w:spacing w:before="40" w:after="20"/>
              <w:jc w:val="center"/>
              <w:rPr>
                <w:rFonts w:cs="Arial"/>
                <w:sz w:val="18"/>
                <w:szCs w:val="18"/>
              </w:rPr>
            </w:pPr>
            <w:r w:rsidRPr="001D41EA">
              <w:rPr>
                <w:rFonts w:cs="Arial"/>
                <w:sz w:val="18"/>
                <w:szCs w:val="18"/>
              </w:rPr>
              <w:t>0.941</w:t>
            </w:r>
          </w:p>
        </w:tc>
      </w:tr>
      <w:tr w:rsidR="00566EA9" w:rsidRPr="001D41EA" w14:paraId="567C2FA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AD53AB6" w14:textId="77777777" w:rsidR="00566EA9" w:rsidRPr="001D41EA" w:rsidRDefault="00566EA9" w:rsidP="001D41EA">
            <w:pPr>
              <w:spacing w:before="40" w:after="20"/>
              <w:rPr>
                <w:rFonts w:cs="Arial"/>
                <w:sz w:val="18"/>
                <w:szCs w:val="18"/>
              </w:rPr>
            </w:pPr>
            <w:r w:rsidRPr="001D41EA">
              <w:rPr>
                <w:rFonts w:cs="Arial"/>
                <w:sz w:val="18"/>
                <w:szCs w:val="18"/>
              </w:rPr>
              <w:t>Yarra Ranges S</w:t>
            </w:r>
          </w:p>
        </w:tc>
        <w:tc>
          <w:tcPr>
            <w:tcW w:w="1021" w:type="dxa"/>
            <w:tcBorders>
              <w:top w:val="nil"/>
              <w:left w:val="single" w:sz="18" w:space="0" w:color="5F497A" w:themeColor="accent4" w:themeShade="BF"/>
              <w:bottom w:val="nil"/>
              <w:right w:val="nil"/>
            </w:tcBorders>
            <w:shd w:val="clear" w:color="auto" w:fill="auto"/>
            <w:vAlign w:val="bottom"/>
          </w:tcPr>
          <w:p w14:paraId="013A1869" w14:textId="32132404" w:rsidR="00566EA9" w:rsidRPr="001D41EA" w:rsidRDefault="00566EA9" w:rsidP="001D41EA">
            <w:pPr>
              <w:spacing w:before="40" w:after="20"/>
              <w:jc w:val="center"/>
              <w:rPr>
                <w:rFonts w:cs="Arial"/>
                <w:sz w:val="18"/>
                <w:szCs w:val="18"/>
              </w:rPr>
            </w:pPr>
            <w:r w:rsidRPr="001D41EA">
              <w:rPr>
                <w:rFonts w:cs="Arial"/>
                <w:sz w:val="18"/>
                <w:szCs w:val="18"/>
              </w:rPr>
              <w:t>1.032</w:t>
            </w:r>
          </w:p>
        </w:tc>
        <w:tc>
          <w:tcPr>
            <w:tcW w:w="170" w:type="dxa"/>
            <w:tcBorders>
              <w:top w:val="nil"/>
              <w:left w:val="nil"/>
              <w:bottom w:val="nil"/>
              <w:right w:val="nil"/>
            </w:tcBorders>
            <w:shd w:val="clear" w:color="auto" w:fill="auto"/>
            <w:vAlign w:val="bottom"/>
          </w:tcPr>
          <w:p w14:paraId="2CC721C7" w14:textId="1FEA6F54"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6E679A85" w14:textId="23597097" w:rsidR="00566EA9" w:rsidRPr="001D41EA" w:rsidRDefault="00566EA9" w:rsidP="001D41EA">
            <w:pPr>
              <w:spacing w:before="40" w:after="20"/>
              <w:jc w:val="center"/>
              <w:rPr>
                <w:rFonts w:cs="Arial"/>
                <w:sz w:val="18"/>
                <w:szCs w:val="18"/>
              </w:rPr>
            </w:pPr>
            <w:r w:rsidRPr="001D41EA">
              <w:rPr>
                <w:rFonts w:cs="Arial"/>
                <w:sz w:val="18"/>
                <w:szCs w:val="18"/>
              </w:rPr>
              <w:t>0.991</w:t>
            </w:r>
          </w:p>
        </w:tc>
        <w:tc>
          <w:tcPr>
            <w:tcW w:w="1021" w:type="dxa"/>
            <w:tcBorders>
              <w:top w:val="nil"/>
              <w:left w:val="nil"/>
              <w:bottom w:val="nil"/>
              <w:right w:val="nil"/>
            </w:tcBorders>
            <w:vAlign w:val="bottom"/>
          </w:tcPr>
          <w:p w14:paraId="179FD3BF" w14:textId="3941211B" w:rsidR="00566EA9" w:rsidRPr="001D41EA" w:rsidRDefault="00566EA9" w:rsidP="001D41EA">
            <w:pPr>
              <w:spacing w:before="40" w:after="20"/>
              <w:jc w:val="center"/>
              <w:rPr>
                <w:rFonts w:cs="Arial"/>
                <w:sz w:val="18"/>
                <w:szCs w:val="18"/>
              </w:rPr>
            </w:pPr>
            <w:r w:rsidRPr="001D41EA">
              <w:rPr>
                <w:rFonts w:cs="Arial"/>
                <w:sz w:val="18"/>
                <w:szCs w:val="18"/>
              </w:rPr>
              <w:t>0.986</w:t>
            </w:r>
          </w:p>
        </w:tc>
        <w:tc>
          <w:tcPr>
            <w:tcW w:w="1021" w:type="dxa"/>
            <w:tcBorders>
              <w:top w:val="nil"/>
              <w:left w:val="nil"/>
              <w:bottom w:val="nil"/>
              <w:right w:val="nil"/>
            </w:tcBorders>
            <w:vAlign w:val="bottom"/>
          </w:tcPr>
          <w:p w14:paraId="698B0626" w14:textId="129FD0E5" w:rsidR="00566EA9" w:rsidRPr="001D41EA" w:rsidRDefault="00566EA9" w:rsidP="001D41EA">
            <w:pPr>
              <w:spacing w:before="40" w:after="20"/>
              <w:jc w:val="center"/>
              <w:rPr>
                <w:rFonts w:cs="Arial"/>
                <w:sz w:val="18"/>
                <w:szCs w:val="18"/>
              </w:rPr>
            </w:pPr>
            <w:r w:rsidRPr="001D41EA">
              <w:rPr>
                <w:rFonts w:cs="Arial"/>
                <w:sz w:val="18"/>
                <w:szCs w:val="18"/>
              </w:rPr>
              <w:t>0.982</w:t>
            </w:r>
          </w:p>
        </w:tc>
        <w:tc>
          <w:tcPr>
            <w:tcW w:w="1021" w:type="dxa"/>
            <w:tcBorders>
              <w:top w:val="nil"/>
              <w:left w:val="nil"/>
              <w:bottom w:val="nil"/>
              <w:right w:val="nil"/>
            </w:tcBorders>
            <w:vAlign w:val="bottom"/>
          </w:tcPr>
          <w:p w14:paraId="7F6B5FE1" w14:textId="181D8AA1" w:rsidR="00566EA9" w:rsidRPr="001D41EA" w:rsidRDefault="00566EA9" w:rsidP="001D41EA">
            <w:pPr>
              <w:spacing w:before="40" w:after="20"/>
              <w:jc w:val="center"/>
              <w:rPr>
                <w:rFonts w:cs="Arial"/>
                <w:sz w:val="18"/>
                <w:szCs w:val="18"/>
              </w:rPr>
            </w:pPr>
            <w:r w:rsidRPr="001D41EA">
              <w:rPr>
                <w:rFonts w:cs="Arial"/>
                <w:sz w:val="18"/>
                <w:szCs w:val="18"/>
              </w:rPr>
              <w:t>0.989</w:t>
            </w:r>
          </w:p>
        </w:tc>
        <w:tc>
          <w:tcPr>
            <w:tcW w:w="1021" w:type="dxa"/>
            <w:tcBorders>
              <w:top w:val="nil"/>
              <w:left w:val="nil"/>
              <w:bottom w:val="nil"/>
              <w:right w:val="nil"/>
            </w:tcBorders>
            <w:vAlign w:val="bottom"/>
          </w:tcPr>
          <w:p w14:paraId="1577CFC0" w14:textId="405C071F" w:rsidR="00566EA9" w:rsidRPr="001D41EA" w:rsidRDefault="00566EA9" w:rsidP="001D41EA">
            <w:pPr>
              <w:spacing w:before="40" w:after="20"/>
              <w:jc w:val="center"/>
              <w:rPr>
                <w:rFonts w:cs="Arial"/>
                <w:sz w:val="18"/>
                <w:szCs w:val="18"/>
              </w:rPr>
            </w:pPr>
            <w:r w:rsidRPr="001D41EA">
              <w:rPr>
                <w:rFonts w:cs="Arial"/>
                <w:sz w:val="18"/>
                <w:szCs w:val="18"/>
              </w:rPr>
              <w:t>0.977</w:t>
            </w:r>
          </w:p>
        </w:tc>
        <w:tc>
          <w:tcPr>
            <w:tcW w:w="170" w:type="dxa"/>
            <w:tcBorders>
              <w:top w:val="nil"/>
              <w:left w:val="nil"/>
              <w:bottom w:val="nil"/>
              <w:right w:val="nil"/>
            </w:tcBorders>
            <w:vAlign w:val="bottom"/>
          </w:tcPr>
          <w:p w14:paraId="3069BA77" w14:textId="41D509A5" w:rsidR="00566EA9" w:rsidRPr="001D41EA" w:rsidRDefault="00566EA9" w:rsidP="001D41EA">
            <w:pPr>
              <w:spacing w:before="40" w:after="20"/>
              <w:jc w:val="center"/>
              <w:rPr>
                <w:rFonts w:cs="Arial"/>
                <w:sz w:val="18"/>
                <w:szCs w:val="18"/>
              </w:rPr>
            </w:pPr>
          </w:p>
        </w:tc>
        <w:tc>
          <w:tcPr>
            <w:tcW w:w="1021" w:type="dxa"/>
            <w:tcBorders>
              <w:top w:val="nil"/>
              <w:left w:val="nil"/>
              <w:bottom w:val="nil"/>
              <w:right w:val="nil"/>
            </w:tcBorders>
            <w:vAlign w:val="bottom"/>
          </w:tcPr>
          <w:p w14:paraId="6323262B" w14:textId="3DE5BFC5" w:rsidR="00566EA9" w:rsidRPr="001D41EA" w:rsidRDefault="00566EA9" w:rsidP="001D41EA">
            <w:pPr>
              <w:spacing w:before="40" w:after="20"/>
              <w:jc w:val="center"/>
              <w:rPr>
                <w:rFonts w:cs="Arial"/>
                <w:sz w:val="18"/>
                <w:szCs w:val="18"/>
              </w:rPr>
            </w:pPr>
            <w:r w:rsidRPr="001D41EA">
              <w:rPr>
                <w:rFonts w:cs="Arial"/>
                <w:sz w:val="18"/>
                <w:szCs w:val="18"/>
              </w:rPr>
              <w:t>1.403</w:t>
            </w:r>
          </w:p>
        </w:tc>
      </w:tr>
      <w:tr w:rsidR="00566EA9" w:rsidRPr="001D41EA" w14:paraId="3ECBF562" w14:textId="77777777" w:rsidTr="002B721C">
        <w:tc>
          <w:tcPr>
            <w:tcW w:w="2268" w:type="dxa"/>
            <w:tcBorders>
              <w:top w:val="nil"/>
              <w:left w:val="nil"/>
              <w:right w:val="single" w:sz="18" w:space="0" w:color="5F497A" w:themeColor="accent4" w:themeShade="BF"/>
            </w:tcBorders>
            <w:shd w:val="clear" w:color="auto" w:fill="auto"/>
            <w:vAlign w:val="center"/>
          </w:tcPr>
          <w:p w14:paraId="753C6F41" w14:textId="77777777" w:rsidR="00566EA9" w:rsidRPr="001D41EA" w:rsidRDefault="00566EA9" w:rsidP="001D41EA">
            <w:pPr>
              <w:spacing w:before="40" w:after="20"/>
              <w:rPr>
                <w:rFonts w:cs="Arial"/>
                <w:sz w:val="18"/>
                <w:szCs w:val="18"/>
              </w:rPr>
            </w:pPr>
            <w:r w:rsidRPr="001D41EA">
              <w:rPr>
                <w:rFonts w:cs="Arial"/>
                <w:sz w:val="18"/>
                <w:szCs w:val="18"/>
              </w:rPr>
              <w:t>Yarriambiack S</w:t>
            </w:r>
          </w:p>
        </w:tc>
        <w:tc>
          <w:tcPr>
            <w:tcW w:w="1021" w:type="dxa"/>
            <w:tcBorders>
              <w:top w:val="nil"/>
              <w:left w:val="single" w:sz="18" w:space="0" w:color="5F497A" w:themeColor="accent4" w:themeShade="BF"/>
              <w:right w:val="nil"/>
            </w:tcBorders>
            <w:shd w:val="clear" w:color="auto" w:fill="auto"/>
            <w:vAlign w:val="bottom"/>
          </w:tcPr>
          <w:p w14:paraId="2A851829" w14:textId="31FABFDC" w:rsidR="00566EA9" w:rsidRPr="001D41EA" w:rsidRDefault="00566EA9" w:rsidP="001D41EA">
            <w:pPr>
              <w:spacing w:before="40" w:after="20"/>
              <w:jc w:val="center"/>
              <w:rPr>
                <w:rFonts w:cs="Arial"/>
                <w:sz w:val="18"/>
                <w:szCs w:val="18"/>
              </w:rPr>
            </w:pPr>
            <w:r w:rsidRPr="001D41EA">
              <w:rPr>
                <w:rFonts w:cs="Arial"/>
                <w:sz w:val="18"/>
                <w:szCs w:val="18"/>
              </w:rPr>
              <w:t>1.019</w:t>
            </w:r>
          </w:p>
        </w:tc>
        <w:tc>
          <w:tcPr>
            <w:tcW w:w="170" w:type="dxa"/>
            <w:tcBorders>
              <w:top w:val="nil"/>
              <w:left w:val="nil"/>
              <w:right w:val="nil"/>
            </w:tcBorders>
            <w:shd w:val="clear" w:color="auto" w:fill="auto"/>
            <w:vAlign w:val="bottom"/>
          </w:tcPr>
          <w:p w14:paraId="4EFCA6FF" w14:textId="2C69DDD6" w:rsidR="00566EA9" w:rsidRPr="001D41EA" w:rsidRDefault="00566EA9" w:rsidP="001D41EA">
            <w:pPr>
              <w:spacing w:before="40" w:after="20"/>
              <w:jc w:val="center"/>
              <w:rPr>
                <w:rFonts w:cs="Arial"/>
                <w:sz w:val="18"/>
                <w:szCs w:val="18"/>
              </w:rPr>
            </w:pPr>
          </w:p>
        </w:tc>
        <w:tc>
          <w:tcPr>
            <w:tcW w:w="1021" w:type="dxa"/>
            <w:tcBorders>
              <w:top w:val="nil"/>
              <w:left w:val="nil"/>
              <w:right w:val="nil"/>
            </w:tcBorders>
            <w:vAlign w:val="bottom"/>
          </w:tcPr>
          <w:p w14:paraId="4D9F7720" w14:textId="7B9F25D9" w:rsidR="00566EA9" w:rsidRPr="001D41EA" w:rsidRDefault="00566EA9" w:rsidP="001D41EA">
            <w:pPr>
              <w:spacing w:before="40" w:after="20"/>
              <w:jc w:val="center"/>
              <w:rPr>
                <w:rFonts w:cs="Arial"/>
                <w:sz w:val="18"/>
                <w:szCs w:val="18"/>
              </w:rPr>
            </w:pPr>
            <w:r w:rsidRPr="001D41EA">
              <w:rPr>
                <w:rFonts w:cs="Arial"/>
                <w:sz w:val="18"/>
                <w:szCs w:val="18"/>
              </w:rPr>
              <w:t>1.280</w:t>
            </w:r>
          </w:p>
        </w:tc>
        <w:tc>
          <w:tcPr>
            <w:tcW w:w="1021" w:type="dxa"/>
            <w:tcBorders>
              <w:top w:val="nil"/>
              <w:left w:val="nil"/>
              <w:right w:val="nil"/>
            </w:tcBorders>
            <w:vAlign w:val="bottom"/>
          </w:tcPr>
          <w:p w14:paraId="79A9F571" w14:textId="237BE840" w:rsidR="00566EA9" w:rsidRPr="001D41EA" w:rsidRDefault="00566EA9" w:rsidP="001D41EA">
            <w:pPr>
              <w:spacing w:before="40" w:after="20"/>
              <w:jc w:val="center"/>
              <w:rPr>
                <w:rFonts w:cs="Arial"/>
                <w:sz w:val="18"/>
                <w:szCs w:val="18"/>
              </w:rPr>
            </w:pPr>
            <w:r w:rsidRPr="001D41EA">
              <w:rPr>
                <w:rFonts w:cs="Arial"/>
                <w:sz w:val="18"/>
                <w:szCs w:val="18"/>
              </w:rPr>
              <w:t>1.273</w:t>
            </w:r>
          </w:p>
        </w:tc>
        <w:tc>
          <w:tcPr>
            <w:tcW w:w="1021" w:type="dxa"/>
            <w:tcBorders>
              <w:top w:val="nil"/>
              <w:left w:val="nil"/>
              <w:right w:val="nil"/>
            </w:tcBorders>
            <w:vAlign w:val="bottom"/>
          </w:tcPr>
          <w:p w14:paraId="0839E2B2" w14:textId="6389A0CF" w:rsidR="00566EA9" w:rsidRPr="001D41EA" w:rsidRDefault="00566EA9" w:rsidP="001D41EA">
            <w:pPr>
              <w:spacing w:before="40" w:after="20"/>
              <w:jc w:val="center"/>
              <w:rPr>
                <w:rFonts w:cs="Arial"/>
                <w:sz w:val="18"/>
                <w:szCs w:val="18"/>
              </w:rPr>
            </w:pPr>
            <w:r w:rsidRPr="001D41EA">
              <w:rPr>
                <w:rFonts w:cs="Arial"/>
                <w:sz w:val="18"/>
                <w:szCs w:val="18"/>
              </w:rPr>
              <w:t>1.268</w:t>
            </w:r>
          </w:p>
        </w:tc>
        <w:tc>
          <w:tcPr>
            <w:tcW w:w="1021" w:type="dxa"/>
            <w:tcBorders>
              <w:top w:val="nil"/>
              <w:left w:val="nil"/>
              <w:right w:val="nil"/>
            </w:tcBorders>
            <w:vAlign w:val="bottom"/>
          </w:tcPr>
          <w:p w14:paraId="1A3A3318" w14:textId="31EB22EE" w:rsidR="00566EA9" w:rsidRPr="001D41EA" w:rsidRDefault="00566EA9" w:rsidP="001D41EA">
            <w:pPr>
              <w:spacing w:before="40" w:after="20"/>
              <w:jc w:val="center"/>
              <w:rPr>
                <w:rFonts w:cs="Arial"/>
                <w:sz w:val="18"/>
                <w:szCs w:val="18"/>
              </w:rPr>
            </w:pPr>
            <w:r w:rsidRPr="001D41EA">
              <w:rPr>
                <w:rFonts w:cs="Arial"/>
                <w:sz w:val="18"/>
                <w:szCs w:val="18"/>
              </w:rPr>
              <w:t>1.278</w:t>
            </w:r>
          </w:p>
        </w:tc>
        <w:tc>
          <w:tcPr>
            <w:tcW w:w="1021" w:type="dxa"/>
            <w:tcBorders>
              <w:top w:val="nil"/>
              <w:left w:val="nil"/>
              <w:right w:val="nil"/>
            </w:tcBorders>
            <w:vAlign w:val="bottom"/>
          </w:tcPr>
          <w:p w14:paraId="2FBA76D8" w14:textId="24A7D65C" w:rsidR="00566EA9" w:rsidRPr="001D41EA" w:rsidRDefault="00566EA9" w:rsidP="001D41EA">
            <w:pPr>
              <w:spacing w:before="40" w:after="20"/>
              <w:jc w:val="center"/>
              <w:rPr>
                <w:rFonts w:cs="Arial"/>
                <w:sz w:val="18"/>
                <w:szCs w:val="18"/>
              </w:rPr>
            </w:pPr>
            <w:r w:rsidRPr="001D41EA">
              <w:rPr>
                <w:rFonts w:cs="Arial"/>
                <w:sz w:val="18"/>
                <w:szCs w:val="18"/>
              </w:rPr>
              <w:t>1.261</w:t>
            </w:r>
          </w:p>
        </w:tc>
        <w:tc>
          <w:tcPr>
            <w:tcW w:w="170" w:type="dxa"/>
            <w:tcBorders>
              <w:top w:val="nil"/>
              <w:left w:val="nil"/>
              <w:right w:val="nil"/>
            </w:tcBorders>
            <w:vAlign w:val="bottom"/>
          </w:tcPr>
          <w:p w14:paraId="1F6E0E71" w14:textId="24DFCDEB" w:rsidR="00566EA9" w:rsidRPr="001D41EA" w:rsidRDefault="00566EA9" w:rsidP="001D41EA">
            <w:pPr>
              <w:spacing w:before="40" w:after="20"/>
              <w:jc w:val="center"/>
              <w:rPr>
                <w:rFonts w:cs="Arial"/>
                <w:sz w:val="18"/>
                <w:szCs w:val="18"/>
              </w:rPr>
            </w:pPr>
          </w:p>
        </w:tc>
        <w:tc>
          <w:tcPr>
            <w:tcW w:w="1021" w:type="dxa"/>
            <w:tcBorders>
              <w:top w:val="nil"/>
              <w:left w:val="nil"/>
              <w:right w:val="nil"/>
            </w:tcBorders>
            <w:vAlign w:val="bottom"/>
          </w:tcPr>
          <w:p w14:paraId="5C2CD3F3" w14:textId="400C17EC" w:rsidR="00566EA9" w:rsidRPr="001D41EA" w:rsidRDefault="00566EA9" w:rsidP="001D41EA">
            <w:pPr>
              <w:spacing w:before="40" w:after="20"/>
              <w:jc w:val="center"/>
              <w:rPr>
                <w:rFonts w:cs="Arial"/>
                <w:sz w:val="18"/>
                <w:szCs w:val="18"/>
              </w:rPr>
            </w:pPr>
            <w:r w:rsidRPr="001D41EA">
              <w:rPr>
                <w:rFonts w:cs="Arial"/>
                <w:sz w:val="18"/>
                <w:szCs w:val="18"/>
              </w:rPr>
              <w:t>0.960</w:t>
            </w:r>
          </w:p>
        </w:tc>
      </w:tr>
      <w:tr w:rsidR="009E2B93" w:rsidRPr="001D41EA" w14:paraId="3B5D3621" w14:textId="77777777" w:rsidTr="009E2B93">
        <w:tc>
          <w:tcPr>
            <w:tcW w:w="2268" w:type="dxa"/>
            <w:tcBorders>
              <w:top w:val="nil"/>
              <w:left w:val="nil"/>
              <w:bottom w:val="nil"/>
              <w:right w:val="single" w:sz="18" w:space="0" w:color="5F497A" w:themeColor="accent4" w:themeShade="BF"/>
            </w:tcBorders>
            <w:shd w:val="clear" w:color="auto" w:fill="auto"/>
            <w:vAlign w:val="center"/>
          </w:tcPr>
          <w:p w14:paraId="31917DDB" w14:textId="77777777" w:rsidR="009E2B93" w:rsidRPr="001D41EA" w:rsidRDefault="009E2B93" w:rsidP="001D41EA">
            <w:pPr>
              <w:spacing w:before="40" w:after="20"/>
              <w:rPr>
                <w:rFonts w:cs="Arial"/>
                <w:sz w:val="18"/>
                <w:szCs w:val="18"/>
              </w:rPr>
            </w:pPr>
          </w:p>
        </w:tc>
        <w:tc>
          <w:tcPr>
            <w:tcW w:w="1021" w:type="dxa"/>
            <w:tcBorders>
              <w:top w:val="nil"/>
              <w:left w:val="single" w:sz="18" w:space="0" w:color="5F497A" w:themeColor="accent4" w:themeShade="BF"/>
              <w:bottom w:val="single" w:sz="8" w:space="0" w:color="5F497A" w:themeColor="accent4" w:themeShade="BF"/>
            </w:tcBorders>
            <w:shd w:val="clear" w:color="auto" w:fill="auto"/>
            <w:vAlign w:val="center"/>
          </w:tcPr>
          <w:p w14:paraId="3595F873" w14:textId="77777777" w:rsidR="009E2B93" w:rsidRPr="001D41EA" w:rsidRDefault="009E2B93" w:rsidP="001D41EA">
            <w:pPr>
              <w:spacing w:before="40" w:after="20"/>
              <w:jc w:val="center"/>
              <w:rPr>
                <w:rFonts w:cs="Arial"/>
                <w:sz w:val="18"/>
                <w:szCs w:val="18"/>
              </w:rPr>
            </w:pPr>
          </w:p>
        </w:tc>
        <w:tc>
          <w:tcPr>
            <w:tcW w:w="170" w:type="dxa"/>
            <w:tcBorders>
              <w:top w:val="nil"/>
              <w:bottom w:val="single" w:sz="8" w:space="0" w:color="5F497A" w:themeColor="accent4" w:themeShade="BF"/>
            </w:tcBorders>
            <w:shd w:val="clear" w:color="auto" w:fill="auto"/>
            <w:vAlign w:val="center"/>
          </w:tcPr>
          <w:p w14:paraId="55692EF7" w14:textId="77777777" w:rsidR="009E2B93" w:rsidRPr="001D41EA" w:rsidRDefault="009E2B93" w:rsidP="001D41EA">
            <w:pPr>
              <w:spacing w:before="40" w:after="20"/>
              <w:jc w:val="center"/>
              <w:rPr>
                <w:rFonts w:cs="Arial"/>
                <w:sz w:val="18"/>
                <w:szCs w:val="18"/>
              </w:rPr>
            </w:pPr>
          </w:p>
        </w:tc>
        <w:tc>
          <w:tcPr>
            <w:tcW w:w="1021" w:type="dxa"/>
            <w:tcBorders>
              <w:top w:val="nil"/>
              <w:bottom w:val="single" w:sz="8" w:space="0" w:color="5F497A" w:themeColor="accent4" w:themeShade="BF"/>
            </w:tcBorders>
            <w:vAlign w:val="center"/>
          </w:tcPr>
          <w:p w14:paraId="3F3B95BE" w14:textId="77777777" w:rsidR="009E2B93" w:rsidRPr="001D41EA" w:rsidRDefault="009E2B93" w:rsidP="001D41EA">
            <w:pPr>
              <w:spacing w:before="40" w:after="20"/>
              <w:jc w:val="center"/>
              <w:rPr>
                <w:rFonts w:cs="Arial"/>
                <w:sz w:val="18"/>
                <w:szCs w:val="18"/>
              </w:rPr>
            </w:pPr>
          </w:p>
        </w:tc>
        <w:tc>
          <w:tcPr>
            <w:tcW w:w="1021" w:type="dxa"/>
            <w:tcBorders>
              <w:top w:val="nil"/>
              <w:bottom w:val="single" w:sz="8" w:space="0" w:color="5F497A" w:themeColor="accent4" w:themeShade="BF"/>
            </w:tcBorders>
            <w:vAlign w:val="center"/>
          </w:tcPr>
          <w:p w14:paraId="6BEC75F5" w14:textId="77777777" w:rsidR="009E2B93" w:rsidRPr="001D41EA" w:rsidRDefault="009E2B93" w:rsidP="001D41EA">
            <w:pPr>
              <w:spacing w:before="40" w:after="20"/>
              <w:jc w:val="center"/>
              <w:rPr>
                <w:rFonts w:cs="Arial"/>
                <w:sz w:val="18"/>
                <w:szCs w:val="18"/>
              </w:rPr>
            </w:pPr>
          </w:p>
        </w:tc>
        <w:tc>
          <w:tcPr>
            <w:tcW w:w="1021" w:type="dxa"/>
            <w:tcBorders>
              <w:top w:val="nil"/>
              <w:bottom w:val="single" w:sz="8" w:space="0" w:color="5F497A" w:themeColor="accent4" w:themeShade="BF"/>
            </w:tcBorders>
            <w:vAlign w:val="center"/>
          </w:tcPr>
          <w:p w14:paraId="69763355" w14:textId="77777777" w:rsidR="009E2B93" w:rsidRPr="001D41EA" w:rsidRDefault="009E2B93" w:rsidP="001D41EA">
            <w:pPr>
              <w:spacing w:before="40" w:after="20"/>
              <w:jc w:val="center"/>
              <w:rPr>
                <w:rFonts w:cs="Arial"/>
                <w:sz w:val="18"/>
                <w:szCs w:val="18"/>
              </w:rPr>
            </w:pPr>
          </w:p>
        </w:tc>
        <w:tc>
          <w:tcPr>
            <w:tcW w:w="1021" w:type="dxa"/>
            <w:tcBorders>
              <w:top w:val="nil"/>
              <w:bottom w:val="single" w:sz="8" w:space="0" w:color="5F497A" w:themeColor="accent4" w:themeShade="BF"/>
            </w:tcBorders>
          </w:tcPr>
          <w:p w14:paraId="7805924E" w14:textId="77777777" w:rsidR="009E2B93" w:rsidRPr="001D41EA" w:rsidRDefault="009E2B93" w:rsidP="001D41EA">
            <w:pPr>
              <w:spacing w:before="40" w:after="20"/>
              <w:jc w:val="center"/>
              <w:rPr>
                <w:rFonts w:cs="Arial"/>
                <w:sz w:val="18"/>
                <w:szCs w:val="18"/>
              </w:rPr>
            </w:pPr>
          </w:p>
        </w:tc>
        <w:tc>
          <w:tcPr>
            <w:tcW w:w="1021" w:type="dxa"/>
            <w:tcBorders>
              <w:top w:val="nil"/>
              <w:bottom w:val="single" w:sz="8" w:space="0" w:color="5F497A" w:themeColor="accent4" w:themeShade="BF"/>
              <w:right w:val="nil"/>
            </w:tcBorders>
            <w:vAlign w:val="center"/>
          </w:tcPr>
          <w:p w14:paraId="769C437B" w14:textId="45C6D5D1" w:rsidR="009E2B93" w:rsidRPr="001D41EA" w:rsidRDefault="009E2B93" w:rsidP="001D41EA">
            <w:pPr>
              <w:spacing w:before="40" w:after="20"/>
              <w:jc w:val="center"/>
              <w:rPr>
                <w:rFonts w:cs="Arial"/>
                <w:sz w:val="18"/>
                <w:szCs w:val="18"/>
              </w:rPr>
            </w:pPr>
          </w:p>
        </w:tc>
        <w:tc>
          <w:tcPr>
            <w:tcW w:w="170" w:type="dxa"/>
            <w:tcBorders>
              <w:top w:val="nil"/>
              <w:bottom w:val="single" w:sz="8" w:space="0" w:color="5F497A" w:themeColor="accent4" w:themeShade="BF"/>
            </w:tcBorders>
          </w:tcPr>
          <w:p w14:paraId="63D5AC55" w14:textId="77777777" w:rsidR="009E2B93" w:rsidRPr="001D41EA" w:rsidRDefault="009E2B93" w:rsidP="001D41EA">
            <w:pPr>
              <w:spacing w:before="40" w:after="20"/>
              <w:jc w:val="center"/>
              <w:rPr>
                <w:rFonts w:cs="Arial"/>
                <w:sz w:val="18"/>
                <w:szCs w:val="18"/>
              </w:rPr>
            </w:pPr>
          </w:p>
        </w:tc>
        <w:tc>
          <w:tcPr>
            <w:tcW w:w="1021" w:type="dxa"/>
            <w:tcBorders>
              <w:top w:val="nil"/>
              <w:bottom w:val="single" w:sz="8" w:space="0" w:color="5F497A" w:themeColor="accent4" w:themeShade="BF"/>
              <w:right w:val="nil"/>
            </w:tcBorders>
          </w:tcPr>
          <w:p w14:paraId="17413364" w14:textId="77777777" w:rsidR="009E2B93" w:rsidRPr="001D41EA" w:rsidRDefault="009E2B93" w:rsidP="001D41EA">
            <w:pPr>
              <w:spacing w:before="40" w:after="20"/>
              <w:jc w:val="center"/>
              <w:rPr>
                <w:rFonts w:cs="Arial"/>
                <w:sz w:val="18"/>
                <w:szCs w:val="18"/>
              </w:rPr>
            </w:pPr>
          </w:p>
        </w:tc>
      </w:tr>
      <w:tr w:rsidR="009E2B93" w:rsidRPr="001D41EA" w14:paraId="36489DB2" w14:textId="77777777" w:rsidTr="009E2B93">
        <w:tc>
          <w:tcPr>
            <w:tcW w:w="2268" w:type="dxa"/>
            <w:tcBorders>
              <w:top w:val="nil"/>
              <w:left w:val="nil"/>
              <w:bottom w:val="nil"/>
              <w:right w:val="single" w:sz="18" w:space="0" w:color="5F497A" w:themeColor="accent4" w:themeShade="BF"/>
            </w:tcBorders>
            <w:shd w:val="clear" w:color="auto" w:fill="auto"/>
            <w:vAlign w:val="center"/>
          </w:tcPr>
          <w:p w14:paraId="01F26FAD" w14:textId="77777777" w:rsidR="009E2B93" w:rsidRPr="001D41EA" w:rsidRDefault="009E2B93" w:rsidP="001D41EA">
            <w:pPr>
              <w:spacing w:before="40" w:after="20"/>
              <w:rPr>
                <w:rFonts w:cs="Arial"/>
                <w:sz w:val="18"/>
                <w:szCs w:val="18"/>
              </w:rPr>
            </w:pPr>
          </w:p>
        </w:tc>
        <w:tc>
          <w:tcPr>
            <w:tcW w:w="1021" w:type="dxa"/>
            <w:tcBorders>
              <w:top w:val="single" w:sz="8" w:space="0" w:color="5F497A" w:themeColor="accent4" w:themeShade="BF"/>
              <w:left w:val="single" w:sz="18" w:space="0" w:color="5F497A" w:themeColor="accent4" w:themeShade="BF"/>
            </w:tcBorders>
            <w:shd w:val="clear" w:color="auto" w:fill="auto"/>
            <w:vAlign w:val="center"/>
          </w:tcPr>
          <w:p w14:paraId="4CB2F199" w14:textId="3C358E2D"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70" w:type="dxa"/>
            <w:tcBorders>
              <w:top w:val="single" w:sz="8" w:space="0" w:color="5F497A" w:themeColor="accent4" w:themeShade="BF"/>
            </w:tcBorders>
            <w:shd w:val="clear" w:color="auto" w:fill="auto"/>
            <w:vAlign w:val="center"/>
          </w:tcPr>
          <w:p w14:paraId="07EB6BCE" w14:textId="77777777" w:rsidR="009E2B93" w:rsidRPr="001D41EA" w:rsidRDefault="009E2B93" w:rsidP="001D41EA">
            <w:pPr>
              <w:spacing w:before="40" w:after="20"/>
              <w:jc w:val="center"/>
              <w:rPr>
                <w:rFonts w:cs="Arial"/>
                <w:sz w:val="18"/>
                <w:szCs w:val="18"/>
              </w:rPr>
            </w:pPr>
          </w:p>
        </w:tc>
        <w:tc>
          <w:tcPr>
            <w:tcW w:w="1021" w:type="dxa"/>
            <w:tcBorders>
              <w:top w:val="single" w:sz="8" w:space="0" w:color="5F497A" w:themeColor="accent4" w:themeShade="BF"/>
            </w:tcBorders>
            <w:vAlign w:val="center"/>
          </w:tcPr>
          <w:p w14:paraId="6D93738F" w14:textId="043093C8"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021" w:type="dxa"/>
            <w:tcBorders>
              <w:top w:val="single" w:sz="8" w:space="0" w:color="5F497A" w:themeColor="accent4" w:themeShade="BF"/>
            </w:tcBorders>
            <w:vAlign w:val="center"/>
          </w:tcPr>
          <w:p w14:paraId="4CC517DB" w14:textId="56A210A9"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021" w:type="dxa"/>
            <w:tcBorders>
              <w:top w:val="single" w:sz="8" w:space="0" w:color="5F497A" w:themeColor="accent4" w:themeShade="BF"/>
            </w:tcBorders>
            <w:vAlign w:val="center"/>
          </w:tcPr>
          <w:p w14:paraId="4030FD68" w14:textId="2265F54B"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021" w:type="dxa"/>
            <w:tcBorders>
              <w:top w:val="single" w:sz="8" w:space="0" w:color="5F497A" w:themeColor="accent4" w:themeShade="BF"/>
            </w:tcBorders>
          </w:tcPr>
          <w:p w14:paraId="65B362AC" w14:textId="36046EC5" w:rsidR="009E2B93" w:rsidRPr="001D41EA" w:rsidRDefault="00790D04" w:rsidP="001D41EA">
            <w:pPr>
              <w:spacing w:before="40" w:after="20"/>
              <w:jc w:val="center"/>
              <w:rPr>
                <w:rFonts w:cs="Arial"/>
                <w:b/>
                <w:sz w:val="18"/>
                <w:szCs w:val="18"/>
              </w:rPr>
            </w:pPr>
            <w:r w:rsidRPr="001D41EA">
              <w:rPr>
                <w:rFonts w:cs="Arial"/>
                <w:b/>
                <w:sz w:val="18"/>
                <w:szCs w:val="18"/>
              </w:rPr>
              <w:t>1.000</w:t>
            </w:r>
          </w:p>
        </w:tc>
        <w:tc>
          <w:tcPr>
            <w:tcW w:w="1021" w:type="dxa"/>
            <w:tcBorders>
              <w:top w:val="single" w:sz="8" w:space="0" w:color="5F497A" w:themeColor="accent4" w:themeShade="BF"/>
              <w:right w:val="nil"/>
            </w:tcBorders>
            <w:vAlign w:val="center"/>
          </w:tcPr>
          <w:p w14:paraId="3276583F" w14:textId="08CAC34F"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70" w:type="dxa"/>
            <w:tcBorders>
              <w:top w:val="single" w:sz="8" w:space="0" w:color="5F497A" w:themeColor="accent4" w:themeShade="BF"/>
            </w:tcBorders>
          </w:tcPr>
          <w:p w14:paraId="01243E16" w14:textId="77777777" w:rsidR="009E2B93" w:rsidRPr="001D41EA" w:rsidRDefault="009E2B93" w:rsidP="001D41EA">
            <w:pPr>
              <w:spacing w:before="40" w:after="20"/>
              <w:jc w:val="center"/>
              <w:rPr>
                <w:rFonts w:cs="Arial"/>
                <w:b/>
                <w:sz w:val="18"/>
                <w:szCs w:val="18"/>
              </w:rPr>
            </w:pPr>
          </w:p>
        </w:tc>
        <w:tc>
          <w:tcPr>
            <w:tcW w:w="1021" w:type="dxa"/>
            <w:tcBorders>
              <w:top w:val="single" w:sz="8" w:space="0" w:color="5F497A" w:themeColor="accent4" w:themeShade="BF"/>
              <w:right w:val="nil"/>
            </w:tcBorders>
          </w:tcPr>
          <w:p w14:paraId="666E7342" w14:textId="4F8191FF" w:rsidR="009E2B93" w:rsidRPr="001D41EA" w:rsidRDefault="009E2B93" w:rsidP="001D41EA">
            <w:pPr>
              <w:spacing w:before="40" w:after="20"/>
              <w:jc w:val="center"/>
              <w:rPr>
                <w:rFonts w:cs="Arial"/>
                <w:b/>
                <w:sz w:val="18"/>
                <w:szCs w:val="18"/>
              </w:rPr>
            </w:pPr>
            <w:r w:rsidRPr="001D41EA">
              <w:rPr>
                <w:rFonts w:cs="Arial"/>
                <w:b/>
                <w:sz w:val="18"/>
                <w:szCs w:val="18"/>
              </w:rPr>
              <w:t>1.000</w:t>
            </w:r>
          </w:p>
        </w:tc>
      </w:tr>
    </w:tbl>
    <w:p w14:paraId="5800A39F" w14:textId="77777777" w:rsidR="005D19CF" w:rsidRDefault="005D19CF" w:rsidP="00FF36E8">
      <w:pPr>
        <w:spacing w:before="40" w:after="20"/>
        <w:rPr>
          <w:rFonts w:cs="Arial"/>
          <w:i/>
          <w:sz w:val="16"/>
          <w:szCs w:val="16"/>
        </w:rPr>
      </w:pPr>
    </w:p>
    <w:p w14:paraId="1AD67821" w14:textId="6CE994DC" w:rsidR="00961975" w:rsidRPr="00A44829" w:rsidRDefault="00A009D7" w:rsidP="00FF36E8">
      <w:pPr>
        <w:spacing w:before="40" w:after="20"/>
        <w:rPr>
          <w:rFonts w:cs="Arial"/>
          <w:sz w:val="18"/>
          <w:szCs w:val="18"/>
        </w:rPr>
      </w:pPr>
      <w:r w:rsidRPr="005D19CF">
        <w:rPr>
          <w:rFonts w:cs="Arial"/>
          <w:i/>
          <w:sz w:val="16"/>
          <w:szCs w:val="16"/>
        </w:rPr>
        <w:t xml:space="preserve">* Modified Population - adjusted by </w:t>
      </w:r>
      <w:r w:rsidR="005D19CF">
        <w:rPr>
          <w:rFonts w:cs="Arial"/>
          <w:i/>
          <w:sz w:val="16"/>
          <w:szCs w:val="16"/>
        </w:rPr>
        <w:t>half</w:t>
      </w:r>
      <w:r w:rsidRPr="005D19CF">
        <w:rPr>
          <w:rFonts w:cs="Arial"/>
          <w:i/>
          <w:sz w:val="16"/>
          <w:szCs w:val="16"/>
        </w:rPr>
        <w:t xml:space="preserve"> vacancy rate to take account of part-time residents.</w:t>
      </w:r>
      <w:r w:rsidRPr="00A44829">
        <w:rPr>
          <w:rFonts w:cs="Arial"/>
          <w:i/>
          <w:sz w:val="16"/>
          <w:szCs w:val="16"/>
        </w:rPr>
        <w:t xml:space="preserve">  </w:t>
      </w:r>
      <w:r w:rsidR="00961975" w:rsidRPr="00A44829">
        <w:rPr>
          <w:rFonts w:cs="Arial"/>
          <w:sz w:val="18"/>
          <w:szCs w:val="18"/>
        </w:rPr>
        <w:br w:type="page"/>
      </w:r>
    </w:p>
    <w:p w14:paraId="30CB41E3" w14:textId="42D0BEBD" w:rsidR="00961975" w:rsidRPr="00A44829" w:rsidRDefault="00EE4593" w:rsidP="00C33713">
      <w:pPr>
        <w:pStyle w:val="VGC-Head10"/>
      </w:pPr>
      <w:r w:rsidRPr="00A44829">
        <w:lastRenderedPageBreak/>
        <w:t>2019-20</w:t>
      </w:r>
      <w:r w:rsidR="00A97ABE" w:rsidRPr="00A44829">
        <w:t xml:space="preserve"> </w:t>
      </w:r>
      <w:r w:rsidR="00961975" w:rsidRPr="00A44829">
        <w:t>General Purpose Grants</w:t>
      </w:r>
      <w:r w:rsidR="00CE4507" w:rsidRPr="00A44829">
        <w:tab/>
        <w:t>Appendix 4</w:t>
      </w:r>
    </w:p>
    <w:p w14:paraId="00AB6847" w14:textId="485F343B" w:rsidR="00961975" w:rsidRPr="00A44829" w:rsidRDefault="004F1184" w:rsidP="008C1A28">
      <w:pPr>
        <w:pStyle w:val="VGC-Head2"/>
      </w:pPr>
      <w:r w:rsidRPr="00A44829">
        <w:tab/>
      </w:r>
      <w:r w:rsidR="00961975" w:rsidRPr="00A44829">
        <w:t xml:space="preserve">D.  Cost Adjustors - </w:t>
      </w:r>
      <w:r w:rsidR="002A2397">
        <w:t>Index</w:t>
      </w:r>
    </w:p>
    <w:p w14:paraId="4ACC11DB" w14:textId="77777777" w:rsidR="00961975" w:rsidRPr="00A44829" w:rsidRDefault="00961975"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A44829" w14:paraId="768820EA" w14:textId="77777777" w:rsidTr="00A66703">
        <w:tc>
          <w:tcPr>
            <w:tcW w:w="2268" w:type="dxa"/>
            <w:tcBorders>
              <w:top w:val="nil"/>
              <w:left w:val="nil"/>
              <w:bottom w:val="nil"/>
              <w:right w:val="single" w:sz="18" w:space="0" w:color="5F497A" w:themeColor="accent4" w:themeShade="BF"/>
            </w:tcBorders>
            <w:shd w:val="clear" w:color="auto" w:fill="auto"/>
            <w:vAlign w:val="bottom"/>
          </w:tcPr>
          <w:p w14:paraId="11D5E2E4" w14:textId="77777777" w:rsidR="009E2B93" w:rsidRPr="00A44829" w:rsidRDefault="009E2B93" w:rsidP="00576338">
            <w:pPr>
              <w:spacing w:before="40" w:after="20"/>
              <w:ind w:right="105"/>
              <w:jc w:val="right"/>
              <w:rPr>
                <w:rFonts w:cs="Arial"/>
                <w:b/>
                <w:sz w:val="18"/>
                <w:szCs w:val="18"/>
              </w:rPr>
            </w:pPr>
            <w:r w:rsidRPr="00A44829">
              <w:rPr>
                <w:rFonts w:cs="Arial"/>
                <w:b/>
                <w:sz w:val="18"/>
                <w:szCs w:val="18"/>
              </w:rPr>
              <w:t>Cost Adjustor</w:t>
            </w:r>
          </w:p>
        </w:tc>
        <w:tc>
          <w:tcPr>
            <w:tcW w:w="2268" w:type="dxa"/>
            <w:gridSpan w:val="2"/>
            <w:tcBorders>
              <w:top w:val="nil"/>
              <w:left w:val="single" w:sz="18" w:space="0" w:color="5F497A" w:themeColor="accent4" w:themeShade="BF"/>
              <w:bottom w:val="single" w:sz="8" w:space="0" w:color="5F497A" w:themeColor="accent4" w:themeShade="BF"/>
            </w:tcBorders>
            <w:vAlign w:val="bottom"/>
          </w:tcPr>
          <w:p w14:paraId="79D277DD" w14:textId="25426AF2" w:rsidR="009E2B93" w:rsidRPr="00A44829" w:rsidRDefault="009E2B93" w:rsidP="008001AD">
            <w:pPr>
              <w:spacing w:before="40" w:after="20"/>
              <w:jc w:val="center"/>
              <w:rPr>
                <w:rFonts w:cs="Arial"/>
                <w:b/>
                <w:sz w:val="18"/>
                <w:szCs w:val="18"/>
              </w:rPr>
            </w:pPr>
            <w:r w:rsidRPr="00A44829">
              <w:rPr>
                <w:rFonts w:cs="Arial"/>
                <w:b/>
                <w:sz w:val="18"/>
                <w:szCs w:val="18"/>
              </w:rPr>
              <w:t>Indigenous Population</w:t>
            </w:r>
          </w:p>
        </w:tc>
        <w:tc>
          <w:tcPr>
            <w:tcW w:w="170" w:type="dxa"/>
            <w:vMerge w:val="restart"/>
            <w:tcBorders>
              <w:top w:val="nil"/>
              <w:left w:val="nil"/>
              <w:bottom w:val="single" w:sz="8" w:space="0" w:color="5F497A" w:themeColor="accent4" w:themeShade="BF"/>
              <w:right w:val="nil"/>
            </w:tcBorders>
            <w:shd w:val="clear" w:color="auto" w:fill="auto"/>
            <w:vAlign w:val="bottom"/>
          </w:tcPr>
          <w:p w14:paraId="1A4D4B41" w14:textId="77777777" w:rsidR="009E2B93" w:rsidRPr="00A44829" w:rsidRDefault="009E2B93" w:rsidP="008001AD">
            <w:pPr>
              <w:spacing w:before="40" w:after="20"/>
              <w:jc w:val="center"/>
              <w:rPr>
                <w:rFonts w:cs="Arial"/>
                <w:b/>
                <w:sz w:val="18"/>
                <w:szCs w:val="18"/>
              </w:rPr>
            </w:pPr>
          </w:p>
        </w:tc>
        <w:tc>
          <w:tcPr>
            <w:tcW w:w="4536" w:type="dxa"/>
            <w:gridSpan w:val="4"/>
            <w:tcBorders>
              <w:top w:val="nil"/>
              <w:left w:val="nil"/>
              <w:bottom w:val="single" w:sz="8" w:space="0" w:color="5F497A" w:themeColor="accent4" w:themeShade="BF"/>
              <w:right w:val="nil"/>
            </w:tcBorders>
            <w:vAlign w:val="bottom"/>
          </w:tcPr>
          <w:p w14:paraId="61438668" w14:textId="61BA0B5D" w:rsidR="009E2B93" w:rsidRPr="00A44829" w:rsidRDefault="009E2B93" w:rsidP="008001AD">
            <w:pPr>
              <w:spacing w:before="40" w:after="20"/>
              <w:jc w:val="center"/>
              <w:rPr>
                <w:rFonts w:cs="Arial"/>
                <w:b/>
                <w:sz w:val="18"/>
                <w:szCs w:val="18"/>
              </w:rPr>
            </w:pPr>
            <w:r w:rsidRPr="00A44829">
              <w:rPr>
                <w:rFonts w:cs="Arial"/>
                <w:b/>
                <w:sz w:val="18"/>
                <w:szCs w:val="18"/>
              </w:rPr>
              <w:t>Language</w:t>
            </w:r>
          </w:p>
        </w:tc>
      </w:tr>
      <w:tr w:rsidR="009E2B93" w:rsidRPr="00A44829" w14:paraId="0957DD0A" w14:textId="77777777" w:rsidTr="009E2B93">
        <w:tc>
          <w:tcPr>
            <w:tcW w:w="2268" w:type="dxa"/>
            <w:tcBorders>
              <w:top w:val="nil"/>
              <w:left w:val="nil"/>
              <w:bottom w:val="nil"/>
              <w:right w:val="single" w:sz="18" w:space="0" w:color="5F497A" w:themeColor="accent4" w:themeShade="BF"/>
            </w:tcBorders>
            <w:shd w:val="clear" w:color="auto" w:fill="auto"/>
            <w:vAlign w:val="bottom"/>
          </w:tcPr>
          <w:p w14:paraId="5F63A8BE" w14:textId="77777777" w:rsidR="009E2B93" w:rsidRPr="005D19CF" w:rsidRDefault="009E2B93" w:rsidP="00576338">
            <w:pPr>
              <w:spacing w:before="40" w:after="20"/>
              <w:ind w:right="105"/>
              <w:jc w:val="right"/>
              <w:rPr>
                <w:rFonts w:cs="Arial"/>
                <w:b/>
                <w:sz w:val="16"/>
                <w:szCs w:val="16"/>
              </w:rPr>
            </w:pPr>
            <w:r w:rsidRPr="005D19CF">
              <w:rPr>
                <w:rFonts w:cs="Arial"/>
                <w:b/>
                <w:sz w:val="16"/>
                <w:szCs w:val="16"/>
              </w:rPr>
              <w:t>Major Cost Driver</w:t>
            </w: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vAlign w:val="bottom"/>
          </w:tcPr>
          <w:p w14:paraId="0D4D650E" w14:textId="77777777" w:rsidR="009E2B93" w:rsidRPr="005D19CF" w:rsidRDefault="009E2B93" w:rsidP="008001AD">
            <w:pPr>
              <w:spacing w:before="40" w:after="20"/>
              <w:jc w:val="center"/>
              <w:rPr>
                <w:rFonts w:cs="Arial"/>
                <w:sz w:val="16"/>
                <w:szCs w:val="16"/>
              </w:rPr>
            </w:pPr>
            <w:r w:rsidRPr="005D19CF">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6D2A905E" w14:textId="52512D19" w:rsidR="009E2B93" w:rsidRPr="005D19CF" w:rsidRDefault="009E2B93" w:rsidP="005D04BF">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20,000)</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14F14E87" w14:textId="77777777" w:rsidR="009E2B93" w:rsidRPr="005D19CF" w:rsidRDefault="009E2B93" w:rsidP="008001AD">
            <w:pPr>
              <w:spacing w:before="40" w:after="20"/>
              <w:jc w:val="center"/>
              <w:rPr>
                <w:rFonts w:cs="Arial"/>
                <w:sz w:val="16"/>
                <w:szCs w:val="16"/>
              </w:rPr>
            </w:pP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085E4592" w14:textId="77777777" w:rsidR="009E2B93" w:rsidRPr="005D19CF" w:rsidRDefault="009E2B93" w:rsidP="008001AD">
            <w:pPr>
              <w:spacing w:before="40" w:after="20"/>
              <w:jc w:val="center"/>
              <w:rPr>
                <w:rFonts w:cs="Arial"/>
                <w:sz w:val="16"/>
                <w:szCs w:val="16"/>
              </w:rPr>
            </w:pPr>
            <w:r w:rsidRPr="005D19CF">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239FB22E" w14:textId="097A9F62" w:rsidR="009E2B93" w:rsidRPr="005D19CF" w:rsidRDefault="009E2B93" w:rsidP="005D04BF">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20,000)</w:t>
            </w:r>
          </w:p>
        </w:tc>
        <w:tc>
          <w:tcPr>
            <w:tcW w:w="1134" w:type="dxa"/>
            <w:tcBorders>
              <w:top w:val="single" w:sz="8" w:space="0" w:color="5F497A" w:themeColor="accent4" w:themeShade="BF"/>
              <w:left w:val="nil"/>
              <w:bottom w:val="single" w:sz="8" w:space="0" w:color="5F497A" w:themeColor="accent4" w:themeShade="BF"/>
              <w:right w:val="nil"/>
            </w:tcBorders>
          </w:tcPr>
          <w:p w14:paraId="112DFD75" w14:textId="2B4DCACC" w:rsidR="009E2B93" w:rsidRPr="005D19CF" w:rsidRDefault="009E2B93" w:rsidP="008001AD">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(no min)</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408354C5" w14:textId="16A9F523" w:rsidR="009E2B93" w:rsidRPr="00A44829" w:rsidRDefault="009E2B93" w:rsidP="008001AD">
            <w:pPr>
              <w:spacing w:before="40" w:after="20"/>
              <w:jc w:val="center"/>
              <w:rPr>
                <w:rFonts w:cs="Arial"/>
                <w:sz w:val="16"/>
                <w:szCs w:val="16"/>
              </w:rPr>
            </w:pPr>
            <w:r w:rsidRPr="005D19CF">
              <w:rPr>
                <w:rFonts w:cs="Arial"/>
                <w:sz w:val="16"/>
                <w:szCs w:val="16"/>
              </w:rPr>
              <w:t xml:space="preserve">Population </w:t>
            </w:r>
            <w:r w:rsidRPr="005D19CF">
              <w:rPr>
                <w:rFonts w:cs="Arial"/>
                <w:sz w:val="16"/>
                <w:szCs w:val="16"/>
              </w:rPr>
              <w:br/>
              <w:t>&gt; 60 years</w:t>
            </w:r>
          </w:p>
        </w:tc>
      </w:tr>
      <w:tr w:rsidR="00566EA9" w:rsidRPr="001D41EA" w14:paraId="06803C0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AC78973" w14:textId="77777777" w:rsidR="00566EA9" w:rsidRPr="001D41EA" w:rsidRDefault="00566EA9" w:rsidP="001D41EA">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vAlign w:val="bottom"/>
          </w:tcPr>
          <w:p w14:paraId="23F0B8D3" w14:textId="21DA72EF"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vAlign w:val="bottom"/>
          </w:tcPr>
          <w:p w14:paraId="64EF4B65" w14:textId="040A678B" w:rsidR="00566EA9" w:rsidRPr="001D41EA" w:rsidRDefault="00566EA9" w:rsidP="001D41EA">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shd w:val="clear" w:color="auto" w:fill="auto"/>
            <w:vAlign w:val="bottom"/>
          </w:tcPr>
          <w:p w14:paraId="4B2C4C3D" w14:textId="5477F365" w:rsidR="00566EA9" w:rsidRPr="001D41EA" w:rsidRDefault="00566EA9" w:rsidP="001D41EA">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7D75A53C" w14:textId="4A14A0E5"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vAlign w:val="bottom"/>
          </w:tcPr>
          <w:p w14:paraId="2550F046" w14:textId="77777777" w:rsidR="00566EA9" w:rsidRPr="001D41EA" w:rsidRDefault="00566EA9" w:rsidP="001D41EA">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29B1565E" w14:textId="77777777" w:rsidR="00566EA9" w:rsidRPr="001D41EA" w:rsidRDefault="00566EA9" w:rsidP="001D41EA">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2D1E827A" w14:textId="41F80BA7" w:rsidR="00566EA9" w:rsidRPr="001D41EA" w:rsidRDefault="00566EA9" w:rsidP="001D41EA">
            <w:pPr>
              <w:spacing w:before="40" w:after="20"/>
              <w:jc w:val="center"/>
              <w:rPr>
                <w:rFonts w:cs="Arial"/>
                <w:sz w:val="18"/>
                <w:szCs w:val="18"/>
              </w:rPr>
            </w:pPr>
            <w:r w:rsidRPr="001D41EA">
              <w:rPr>
                <w:rFonts w:cs="Arial"/>
                <w:sz w:val="18"/>
                <w:szCs w:val="18"/>
              </w:rPr>
              <w:t> </w:t>
            </w:r>
          </w:p>
        </w:tc>
      </w:tr>
      <w:tr w:rsidR="00566EA9" w:rsidRPr="001D41EA" w14:paraId="037DA12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08B3A0D" w14:textId="77777777" w:rsidR="00566EA9" w:rsidRPr="001D41EA" w:rsidRDefault="00566EA9" w:rsidP="001D41EA">
            <w:pPr>
              <w:spacing w:before="40" w:after="20"/>
              <w:rPr>
                <w:rFonts w:cs="Arial"/>
                <w:sz w:val="18"/>
                <w:szCs w:val="18"/>
              </w:rPr>
            </w:pPr>
            <w:r w:rsidRPr="001D41EA">
              <w:rPr>
                <w:rFonts w:cs="Arial"/>
                <w:sz w:val="18"/>
                <w:szCs w:val="18"/>
              </w:rPr>
              <w:t>Macedon Ranges S</w:t>
            </w:r>
          </w:p>
        </w:tc>
        <w:tc>
          <w:tcPr>
            <w:tcW w:w="1134" w:type="dxa"/>
            <w:tcBorders>
              <w:top w:val="nil"/>
              <w:left w:val="single" w:sz="18" w:space="0" w:color="5F497A" w:themeColor="accent4" w:themeShade="BF"/>
              <w:bottom w:val="nil"/>
              <w:right w:val="nil"/>
            </w:tcBorders>
            <w:vAlign w:val="bottom"/>
          </w:tcPr>
          <w:p w14:paraId="783EBAF8" w14:textId="63E3E3ED" w:rsidR="00566EA9" w:rsidRPr="001D41EA" w:rsidRDefault="00566EA9" w:rsidP="001D41EA">
            <w:pPr>
              <w:spacing w:before="40" w:after="20"/>
              <w:jc w:val="center"/>
              <w:rPr>
                <w:rFonts w:cs="Arial"/>
                <w:sz w:val="18"/>
                <w:szCs w:val="18"/>
              </w:rPr>
            </w:pPr>
            <w:r w:rsidRPr="001D41EA">
              <w:rPr>
                <w:rFonts w:cs="Arial"/>
                <w:sz w:val="18"/>
                <w:szCs w:val="18"/>
              </w:rPr>
              <w:t>0.969</w:t>
            </w:r>
          </w:p>
        </w:tc>
        <w:tc>
          <w:tcPr>
            <w:tcW w:w="1134" w:type="dxa"/>
            <w:tcBorders>
              <w:top w:val="nil"/>
              <w:left w:val="nil"/>
              <w:bottom w:val="nil"/>
              <w:right w:val="nil"/>
            </w:tcBorders>
            <w:vAlign w:val="bottom"/>
          </w:tcPr>
          <w:p w14:paraId="1997A96B" w14:textId="38ABE845" w:rsidR="00566EA9" w:rsidRPr="001D41EA" w:rsidRDefault="00566EA9" w:rsidP="001D41EA">
            <w:pPr>
              <w:spacing w:before="40" w:after="20"/>
              <w:jc w:val="center"/>
              <w:rPr>
                <w:rFonts w:cs="Arial"/>
                <w:sz w:val="18"/>
                <w:szCs w:val="18"/>
              </w:rPr>
            </w:pPr>
            <w:r w:rsidRPr="001D41EA">
              <w:rPr>
                <w:rFonts w:cs="Arial"/>
                <w:sz w:val="18"/>
                <w:szCs w:val="18"/>
              </w:rPr>
              <w:t>0.966</w:t>
            </w:r>
          </w:p>
        </w:tc>
        <w:tc>
          <w:tcPr>
            <w:tcW w:w="170" w:type="dxa"/>
            <w:tcBorders>
              <w:top w:val="nil"/>
              <w:left w:val="nil"/>
              <w:bottom w:val="nil"/>
              <w:right w:val="nil"/>
            </w:tcBorders>
            <w:shd w:val="clear" w:color="auto" w:fill="auto"/>
            <w:vAlign w:val="bottom"/>
          </w:tcPr>
          <w:p w14:paraId="6A4B2D7C" w14:textId="15E05405"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611CD00D" w14:textId="35FA6B7F" w:rsidR="00566EA9" w:rsidRPr="001D41EA" w:rsidRDefault="00566EA9" w:rsidP="001D41EA">
            <w:pPr>
              <w:spacing w:before="40" w:after="20"/>
              <w:jc w:val="center"/>
              <w:rPr>
                <w:rFonts w:cs="Arial"/>
                <w:sz w:val="18"/>
                <w:szCs w:val="18"/>
              </w:rPr>
            </w:pPr>
            <w:r w:rsidRPr="001D41EA">
              <w:rPr>
                <w:rFonts w:cs="Arial"/>
                <w:sz w:val="18"/>
                <w:szCs w:val="18"/>
              </w:rPr>
              <w:t>0.806</w:t>
            </w:r>
          </w:p>
        </w:tc>
        <w:tc>
          <w:tcPr>
            <w:tcW w:w="1134" w:type="dxa"/>
            <w:tcBorders>
              <w:top w:val="nil"/>
              <w:left w:val="nil"/>
              <w:bottom w:val="nil"/>
              <w:right w:val="nil"/>
            </w:tcBorders>
            <w:vAlign w:val="bottom"/>
          </w:tcPr>
          <w:p w14:paraId="2966730B" w14:textId="62FAA51A" w:rsidR="00566EA9" w:rsidRPr="001D41EA" w:rsidRDefault="00566EA9" w:rsidP="001D41EA">
            <w:pPr>
              <w:spacing w:before="40" w:after="20"/>
              <w:jc w:val="center"/>
              <w:rPr>
                <w:rFonts w:cs="Arial"/>
                <w:sz w:val="18"/>
                <w:szCs w:val="18"/>
              </w:rPr>
            </w:pPr>
            <w:r w:rsidRPr="001D41EA">
              <w:rPr>
                <w:rFonts w:cs="Arial"/>
                <w:sz w:val="18"/>
                <w:szCs w:val="18"/>
              </w:rPr>
              <w:t>0.812</w:t>
            </w:r>
          </w:p>
        </w:tc>
        <w:tc>
          <w:tcPr>
            <w:tcW w:w="1134" w:type="dxa"/>
            <w:tcBorders>
              <w:top w:val="nil"/>
              <w:left w:val="nil"/>
              <w:bottom w:val="nil"/>
              <w:right w:val="nil"/>
            </w:tcBorders>
            <w:vAlign w:val="bottom"/>
          </w:tcPr>
          <w:p w14:paraId="4663D241" w14:textId="449CB89A" w:rsidR="00566EA9" w:rsidRPr="001D41EA" w:rsidRDefault="00566EA9" w:rsidP="001D41EA">
            <w:pPr>
              <w:spacing w:before="40" w:after="20"/>
              <w:jc w:val="center"/>
              <w:rPr>
                <w:rFonts w:cs="Arial"/>
                <w:sz w:val="18"/>
                <w:szCs w:val="18"/>
              </w:rPr>
            </w:pPr>
            <w:r w:rsidRPr="001D41EA">
              <w:rPr>
                <w:rFonts w:cs="Arial"/>
                <w:sz w:val="18"/>
                <w:szCs w:val="18"/>
              </w:rPr>
              <w:t>0.808</w:t>
            </w:r>
          </w:p>
        </w:tc>
        <w:tc>
          <w:tcPr>
            <w:tcW w:w="1134" w:type="dxa"/>
            <w:tcBorders>
              <w:top w:val="nil"/>
              <w:left w:val="nil"/>
              <w:bottom w:val="nil"/>
              <w:right w:val="nil"/>
            </w:tcBorders>
            <w:shd w:val="clear" w:color="auto" w:fill="auto"/>
            <w:vAlign w:val="bottom"/>
          </w:tcPr>
          <w:p w14:paraId="5A582B2F" w14:textId="4B62C3D6" w:rsidR="00566EA9" w:rsidRPr="001D41EA" w:rsidRDefault="00566EA9" w:rsidP="001D41EA">
            <w:pPr>
              <w:spacing w:before="40" w:after="20"/>
              <w:jc w:val="center"/>
              <w:rPr>
                <w:rFonts w:cs="Arial"/>
                <w:sz w:val="18"/>
                <w:szCs w:val="18"/>
              </w:rPr>
            </w:pPr>
            <w:r w:rsidRPr="001D41EA">
              <w:rPr>
                <w:rFonts w:cs="Arial"/>
                <w:sz w:val="18"/>
                <w:szCs w:val="18"/>
              </w:rPr>
              <w:t>0.823</w:t>
            </w:r>
          </w:p>
        </w:tc>
      </w:tr>
      <w:tr w:rsidR="00566EA9" w:rsidRPr="001D41EA" w14:paraId="57283FB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59B873F" w14:textId="77777777" w:rsidR="00566EA9" w:rsidRPr="001D41EA" w:rsidRDefault="00566EA9" w:rsidP="001D41EA">
            <w:pPr>
              <w:spacing w:before="40" w:after="20"/>
              <w:rPr>
                <w:rFonts w:cs="Arial"/>
                <w:sz w:val="18"/>
                <w:szCs w:val="18"/>
              </w:rPr>
            </w:pPr>
            <w:r w:rsidRPr="001D41EA">
              <w:rPr>
                <w:rFonts w:cs="Arial"/>
                <w:sz w:val="18"/>
                <w:szCs w:val="18"/>
              </w:rPr>
              <w:t>Manningham C</w:t>
            </w:r>
          </w:p>
        </w:tc>
        <w:tc>
          <w:tcPr>
            <w:tcW w:w="1134" w:type="dxa"/>
            <w:tcBorders>
              <w:top w:val="nil"/>
              <w:left w:val="single" w:sz="18" w:space="0" w:color="5F497A" w:themeColor="accent4" w:themeShade="BF"/>
              <w:bottom w:val="nil"/>
              <w:right w:val="nil"/>
            </w:tcBorders>
            <w:vAlign w:val="bottom"/>
          </w:tcPr>
          <w:p w14:paraId="3AA032F6" w14:textId="26FFC50E" w:rsidR="00566EA9" w:rsidRPr="001D41EA" w:rsidRDefault="00566EA9" w:rsidP="001D41EA">
            <w:pPr>
              <w:spacing w:before="40" w:after="20"/>
              <w:jc w:val="center"/>
              <w:rPr>
                <w:rFonts w:cs="Arial"/>
                <w:sz w:val="18"/>
                <w:szCs w:val="18"/>
              </w:rPr>
            </w:pPr>
            <w:r w:rsidRPr="001D41EA">
              <w:rPr>
                <w:rFonts w:cs="Arial"/>
                <w:sz w:val="18"/>
                <w:szCs w:val="18"/>
              </w:rPr>
              <w:t>0.866</w:t>
            </w:r>
          </w:p>
        </w:tc>
        <w:tc>
          <w:tcPr>
            <w:tcW w:w="1134" w:type="dxa"/>
            <w:tcBorders>
              <w:top w:val="nil"/>
              <w:left w:val="nil"/>
              <w:bottom w:val="nil"/>
              <w:right w:val="nil"/>
            </w:tcBorders>
            <w:vAlign w:val="bottom"/>
          </w:tcPr>
          <w:p w14:paraId="2ECFCE40" w14:textId="3D377B89" w:rsidR="00566EA9" w:rsidRPr="001D41EA" w:rsidRDefault="00566EA9" w:rsidP="001D41EA">
            <w:pPr>
              <w:spacing w:before="40" w:after="20"/>
              <w:jc w:val="center"/>
              <w:rPr>
                <w:rFonts w:cs="Arial"/>
                <w:sz w:val="18"/>
                <w:szCs w:val="18"/>
              </w:rPr>
            </w:pPr>
            <w:r w:rsidRPr="001D41EA">
              <w:rPr>
                <w:rFonts w:cs="Arial"/>
                <w:sz w:val="18"/>
                <w:szCs w:val="18"/>
              </w:rPr>
              <w:t>0.863</w:t>
            </w:r>
          </w:p>
        </w:tc>
        <w:tc>
          <w:tcPr>
            <w:tcW w:w="170" w:type="dxa"/>
            <w:tcBorders>
              <w:top w:val="nil"/>
              <w:left w:val="nil"/>
              <w:bottom w:val="nil"/>
              <w:right w:val="nil"/>
            </w:tcBorders>
            <w:shd w:val="clear" w:color="auto" w:fill="auto"/>
            <w:vAlign w:val="bottom"/>
          </w:tcPr>
          <w:p w14:paraId="752840A4" w14:textId="2DBC7010"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2444DA27" w14:textId="148AFB42" w:rsidR="00566EA9" w:rsidRPr="001D41EA" w:rsidRDefault="00566EA9" w:rsidP="001D41EA">
            <w:pPr>
              <w:spacing w:before="40" w:after="20"/>
              <w:jc w:val="center"/>
              <w:rPr>
                <w:rFonts w:cs="Arial"/>
                <w:sz w:val="18"/>
                <w:szCs w:val="18"/>
              </w:rPr>
            </w:pPr>
            <w:r w:rsidRPr="001D41EA">
              <w:rPr>
                <w:rFonts w:cs="Arial"/>
                <w:sz w:val="18"/>
                <w:szCs w:val="18"/>
              </w:rPr>
              <w:t>1.142</w:t>
            </w:r>
          </w:p>
        </w:tc>
        <w:tc>
          <w:tcPr>
            <w:tcW w:w="1134" w:type="dxa"/>
            <w:tcBorders>
              <w:top w:val="nil"/>
              <w:left w:val="nil"/>
              <w:bottom w:val="nil"/>
              <w:right w:val="nil"/>
            </w:tcBorders>
            <w:vAlign w:val="bottom"/>
          </w:tcPr>
          <w:p w14:paraId="0071C657" w14:textId="32D5C734" w:rsidR="00566EA9" w:rsidRPr="001D41EA" w:rsidRDefault="00566EA9" w:rsidP="001D41EA">
            <w:pPr>
              <w:spacing w:before="40" w:after="20"/>
              <w:jc w:val="center"/>
              <w:rPr>
                <w:rFonts w:cs="Arial"/>
                <w:sz w:val="18"/>
                <w:szCs w:val="18"/>
              </w:rPr>
            </w:pPr>
            <w:r w:rsidRPr="001D41EA">
              <w:rPr>
                <w:rFonts w:cs="Arial"/>
                <w:sz w:val="18"/>
                <w:szCs w:val="18"/>
              </w:rPr>
              <w:t>1.150</w:t>
            </w:r>
          </w:p>
        </w:tc>
        <w:tc>
          <w:tcPr>
            <w:tcW w:w="1134" w:type="dxa"/>
            <w:tcBorders>
              <w:top w:val="nil"/>
              <w:left w:val="nil"/>
              <w:bottom w:val="nil"/>
              <w:right w:val="nil"/>
            </w:tcBorders>
            <w:vAlign w:val="bottom"/>
          </w:tcPr>
          <w:p w14:paraId="71776D30" w14:textId="4E47E085" w:rsidR="00566EA9" w:rsidRPr="001D41EA" w:rsidRDefault="00566EA9" w:rsidP="001D41EA">
            <w:pPr>
              <w:spacing w:before="40" w:after="20"/>
              <w:jc w:val="center"/>
              <w:rPr>
                <w:rFonts w:cs="Arial"/>
                <w:sz w:val="18"/>
                <w:szCs w:val="18"/>
              </w:rPr>
            </w:pPr>
            <w:r w:rsidRPr="001D41EA">
              <w:rPr>
                <w:rFonts w:cs="Arial"/>
                <w:sz w:val="18"/>
                <w:szCs w:val="18"/>
              </w:rPr>
              <w:t>1.144</w:t>
            </w:r>
          </w:p>
        </w:tc>
        <w:tc>
          <w:tcPr>
            <w:tcW w:w="1134" w:type="dxa"/>
            <w:tcBorders>
              <w:top w:val="nil"/>
              <w:left w:val="nil"/>
              <w:bottom w:val="nil"/>
              <w:right w:val="nil"/>
            </w:tcBorders>
            <w:shd w:val="clear" w:color="auto" w:fill="auto"/>
            <w:vAlign w:val="bottom"/>
          </w:tcPr>
          <w:p w14:paraId="27D2A59D" w14:textId="367D24DC" w:rsidR="00566EA9" w:rsidRPr="001D41EA" w:rsidRDefault="00566EA9" w:rsidP="001D41EA">
            <w:pPr>
              <w:spacing w:before="40" w:after="20"/>
              <w:jc w:val="center"/>
              <w:rPr>
                <w:rFonts w:cs="Arial"/>
                <w:sz w:val="18"/>
                <w:szCs w:val="18"/>
              </w:rPr>
            </w:pPr>
            <w:r w:rsidRPr="001D41EA">
              <w:rPr>
                <w:rFonts w:cs="Arial"/>
                <w:sz w:val="18"/>
                <w:szCs w:val="18"/>
              </w:rPr>
              <w:t>1.166</w:t>
            </w:r>
          </w:p>
        </w:tc>
      </w:tr>
      <w:tr w:rsidR="00566EA9" w:rsidRPr="001D41EA" w14:paraId="452F209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E223AD8" w14:textId="77777777" w:rsidR="00566EA9" w:rsidRPr="001D41EA" w:rsidRDefault="00566EA9" w:rsidP="001D41EA">
            <w:pPr>
              <w:spacing w:before="40" w:after="20"/>
              <w:rPr>
                <w:rFonts w:cs="Arial"/>
                <w:sz w:val="18"/>
                <w:szCs w:val="18"/>
              </w:rPr>
            </w:pPr>
            <w:r w:rsidRPr="001D41EA">
              <w:rPr>
                <w:rFonts w:cs="Arial"/>
                <w:sz w:val="18"/>
                <w:szCs w:val="18"/>
              </w:rPr>
              <w:t>Mansfield S</w:t>
            </w:r>
          </w:p>
        </w:tc>
        <w:tc>
          <w:tcPr>
            <w:tcW w:w="1134" w:type="dxa"/>
            <w:tcBorders>
              <w:top w:val="nil"/>
              <w:left w:val="single" w:sz="18" w:space="0" w:color="5F497A" w:themeColor="accent4" w:themeShade="BF"/>
              <w:bottom w:val="nil"/>
              <w:right w:val="nil"/>
            </w:tcBorders>
            <w:vAlign w:val="bottom"/>
          </w:tcPr>
          <w:p w14:paraId="42385852" w14:textId="79FBDDE4" w:rsidR="00566EA9" w:rsidRPr="001D41EA" w:rsidRDefault="00566EA9" w:rsidP="001D41EA">
            <w:pPr>
              <w:spacing w:before="40" w:after="20"/>
              <w:jc w:val="center"/>
              <w:rPr>
                <w:rFonts w:cs="Arial"/>
                <w:sz w:val="18"/>
                <w:szCs w:val="18"/>
              </w:rPr>
            </w:pPr>
            <w:r w:rsidRPr="001D41EA">
              <w:rPr>
                <w:rFonts w:cs="Arial"/>
                <w:sz w:val="18"/>
                <w:szCs w:val="18"/>
              </w:rPr>
              <w:t>0.978</w:t>
            </w:r>
          </w:p>
        </w:tc>
        <w:tc>
          <w:tcPr>
            <w:tcW w:w="1134" w:type="dxa"/>
            <w:tcBorders>
              <w:top w:val="nil"/>
              <w:left w:val="nil"/>
              <w:bottom w:val="nil"/>
              <w:right w:val="nil"/>
            </w:tcBorders>
            <w:vAlign w:val="bottom"/>
          </w:tcPr>
          <w:p w14:paraId="06A11231" w14:textId="4E7C6917" w:rsidR="00566EA9" w:rsidRPr="001D41EA" w:rsidRDefault="00566EA9" w:rsidP="001D41EA">
            <w:pPr>
              <w:spacing w:before="40" w:after="20"/>
              <w:jc w:val="center"/>
              <w:rPr>
                <w:rFonts w:cs="Arial"/>
                <w:sz w:val="18"/>
                <w:szCs w:val="18"/>
              </w:rPr>
            </w:pPr>
            <w:r w:rsidRPr="001D41EA">
              <w:rPr>
                <w:rFonts w:cs="Arial"/>
                <w:sz w:val="18"/>
                <w:szCs w:val="18"/>
              </w:rPr>
              <w:t>0.975</w:t>
            </w:r>
          </w:p>
        </w:tc>
        <w:tc>
          <w:tcPr>
            <w:tcW w:w="170" w:type="dxa"/>
            <w:tcBorders>
              <w:top w:val="nil"/>
              <w:left w:val="nil"/>
              <w:bottom w:val="nil"/>
              <w:right w:val="nil"/>
            </w:tcBorders>
            <w:shd w:val="clear" w:color="auto" w:fill="auto"/>
            <w:vAlign w:val="bottom"/>
          </w:tcPr>
          <w:p w14:paraId="6C439174" w14:textId="0C546611"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772FFD0F" w14:textId="15D87B8A" w:rsidR="00566EA9" w:rsidRPr="001D41EA" w:rsidRDefault="00566EA9" w:rsidP="001D41EA">
            <w:pPr>
              <w:spacing w:before="40" w:after="20"/>
              <w:jc w:val="center"/>
              <w:rPr>
                <w:rFonts w:cs="Arial"/>
                <w:sz w:val="18"/>
                <w:szCs w:val="18"/>
              </w:rPr>
            </w:pPr>
            <w:r w:rsidRPr="001D41EA">
              <w:rPr>
                <w:rFonts w:cs="Arial"/>
                <w:sz w:val="18"/>
                <w:szCs w:val="18"/>
              </w:rPr>
              <w:t>0.807</w:t>
            </w:r>
          </w:p>
        </w:tc>
        <w:tc>
          <w:tcPr>
            <w:tcW w:w="1134" w:type="dxa"/>
            <w:tcBorders>
              <w:top w:val="nil"/>
              <w:left w:val="nil"/>
              <w:bottom w:val="nil"/>
              <w:right w:val="nil"/>
            </w:tcBorders>
            <w:vAlign w:val="bottom"/>
          </w:tcPr>
          <w:p w14:paraId="070C1446" w14:textId="2D080AFE" w:rsidR="00566EA9" w:rsidRPr="001D41EA" w:rsidRDefault="00566EA9" w:rsidP="001D41EA">
            <w:pPr>
              <w:spacing w:before="40" w:after="20"/>
              <w:jc w:val="center"/>
              <w:rPr>
                <w:rFonts w:cs="Arial"/>
                <w:sz w:val="18"/>
                <w:szCs w:val="18"/>
              </w:rPr>
            </w:pPr>
            <w:r w:rsidRPr="001D41EA">
              <w:rPr>
                <w:rFonts w:cs="Arial"/>
                <w:sz w:val="18"/>
                <w:szCs w:val="18"/>
              </w:rPr>
              <w:t>0.813</w:t>
            </w:r>
          </w:p>
        </w:tc>
        <w:tc>
          <w:tcPr>
            <w:tcW w:w="1134" w:type="dxa"/>
            <w:tcBorders>
              <w:top w:val="nil"/>
              <w:left w:val="nil"/>
              <w:bottom w:val="nil"/>
              <w:right w:val="nil"/>
            </w:tcBorders>
            <w:vAlign w:val="bottom"/>
          </w:tcPr>
          <w:p w14:paraId="05E7C85D" w14:textId="289A6C0B" w:rsidR="00566EA9" w:rsidRPr="001D41EA" w:rsidRDefault="00566EA9" w:rsidP="001D41EA">
            <w:pPr>
              <w:spacing w:before="40" w:after="20"/>
              <w:jc w:val="center"/>
              <w:rPr>
                <w:rFonts w:cs="Arial"/>
                <w:sz w:val="18"/>
                <w:szCs w:val="18"/>
              </w:rPr>
            </w:pPr>
            <w:r w:rsidRPr="001D41EA">
              <w:rPr>
                <w:rFonts w:cs="Arial"/>
                <w:sz w:val="18"/>
                <w:szCs w:val="18"/>
              </w:rPr>
              <w:t>0.809</w:t>
            </w:r>
          </w:p>
        </w:tc>
        <w:tc>
          <w:tcPr>
            <w:tcW w:w="1134" w:type="dxa"/>
            <w:tcBorders>
              <w:top w:val="nil"/>
              <w:left w:val="nil"/>
              <w:bottom w:val="nil"/>
              <w:right w:val="nil"/>
            </w:tcBorders>
            <w:shd w:val="clear" w:color="auto" w:fill="auto"/>
            <w:vAlign w:val="bottom"/>
          </w:tcPr>
          <w:p w14:paraId="75728397" w14:textId="472FBD8F" w:rsidR="00566EA9" w:rsidRPr="001D41EA" w:rsidRDefault="00566EA9" w:rsidP="001D41EA">
            <w:pPr>
              <w:spacing w:before="40" w:after="20"/>
              <w:jc w:val="center"/>
              <w:rPr>
                <w:rFonts w:cs="Arial"/>
                <w:sz w:val="18"/>
                <w:szCs w:val="18"/>
              </w:rPr>
            </w:pPr>
            <w:r w:rsidRPr="001D41EA">
              <w:rPr>
                <w:rFonts w:cs="Arial"/>
                <w:sz w:val="18"/>
                <w:szCs w:val="18"/>
              </w:rPr>
              <w:t>0.824</w:t>
            </w:r>
          </w:p>
        </w:tc>
      </w:tr>
      <w:tr w:rsidR="00566EA9" w:rsidRPr="001D41EA" w14:paraId="51117B0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C02B1C0" w14:textId="77777777" w:rsidR="00566EA9" w:rsidRPr="001D41EA" w:rsidRDefault="00566EA9" w:rsidP="001D41EA">
            <w:pPr>
              <w:spacing w:before="40" w:after="20"/>
              <w:rPr>
                <w:rFonts w:cs="Arial"/>
                <w:sz w:val="18"/>
                <w:szCs w:val="18"/>
              </w:rPr>
            </w:pPr>
            <w:r w:rsidRPr="001D41EA">
              <w:rPr>
                <w:rFonts w:cs="Arial"/>
                <w:sz w:val="18"/>
                <w:szCs w:val="18"/>
              </w:rPr>
              <w:t>Maribyrnong C</w:t>
            </w:r>
          </w:p>
        </w:tc>
        <w:tc>
          <w:tcPr>
            <w:tcW w:w="1134" w:type="dxa"/>
            <w:tcBorders>
              <w:top w:val="nil"/>
              <w:left w:val="single" w:sz="18" w:space="0" w:color="5F497A" w:themeColor="accent4" w:themeShade="BF"/>
              <w:bottom w:val="nil"/>
              <w:right w:val="nil"/>
            </w:tcBorders>
            <w:vAlign w:val="bottom"/>
          </w:tcPr>
          <w:p w14:paraId="4E69EB9D" w14:textId="0D87EF71" w:rsidR="00566EA9" w:rsidRPr="001D41EA" w:rsidRDefault="00566EA9" w:rsidP="001D41EA">
            <w:pPr>
              <w:spacing w:before="40" w:after="20"/>
              <w:jc w:val="center"/>
              <w:rPr>
                <w:rFonts w:cs="Arial"/>
                <w:sz w:val="18"/>
                <w:szCs w:val="18"/>
              </w:rPr>
            </w:pPr>
            <w:r w:rsidRPr="001D41EA">
              <w:rPr>
                <w:rFonts w:cs="Arial"/>
                <w:sz w:val="18"/>
                <w:szCs w:val="18"/>
              </w:rPr>
              <w:t>0.942</w:t>
            </w:r>
          </w:p>
        </w:tc>
        <w:tc>
          <w:tcPr>
            <w:tcW w:w="1134" w:type="dxa"/>
            <w:tcBorders>
              <w:top w:val="nil"/>
              <w:left w:val="nil"/>
              <w:bottom w:val="nil"/>
              <w:right w:val="nil"/>
            </w:tcBorders>
            <w:vAlign w:val="bottom"/>
          </w:tcPr>
          <w:p w14:paraId="5080D035" w14:textId="32F98962" w:rsidR="00566EA9" w:rsidRPr="001D41EA" w:rsidRDefault="00566EA9" w:rsidP="001D41EA">
            <w:pPr>
              <w:spacing w:before="40" w:after="20"/>
              <w:jc w:val="center"/>
              <w:rPr>
                <w:rFonts w:cs="Arial"/>
                <w:sz w:val="18"/>
                <w:szCs w:val="18"/>
              </w:rPr>
            </w:pPr>
            <w:r w:rsidRPr="001D41EA">
              <w:rPr>
                <w:rFonts w:cs="Arial"/>
                <w:sz w:val="18"/>
                <w:szCs w:val="18"/>
              </w:rPr>
              <w:t>0.939</w:t>
            </w:r>
          </w:p>
        </w:tc>
        <w:tc>
          <w:tcPr>
            <w:tcW w:w="170" w:type="dxa"/>
            <w:tcBorders>
              <w:top w:val="nil"/>
              <w:left w:val="nil"/>
              <w:bottom w:val="nil"/>
              <w:right w:val="nil"/>
            </w:tcBorders>
            <w:shd w:val="clear" w:color="auto" w:fill="auto"/>
            <w:vAlign w:val="bottom"/>
          </w:tcPr>
          <w:p w14:paraId="78C069DA" w14:textId="2FE94D69"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08A9BFEB" w14:textId="2A184B72" w:rsidR="00566EA9" w:rsidRPr="001D41EA" w:rsidRDefault="00566EA9" w:rsidP="001D41EA">
            <w:pPr>
              <w:spacing w:before="40" w:after="20"/>
              <w:jc w:val="center"/>
              <w:rPr>
                <w:rFonts w:cs="Arial"/>
                <w:sz w:val="18"/>
                <w:szCs w:val="18"/>
              </w:rPr>
            </w:pPr>
            <w:r w:rsidRPr="001D41EA">
              <w:rPr>
                <w:rFonts w:cs="Arial"/>
                <w:sz w:val="18"/>
                <w:szCs w:val="18"/>
              </w:rPr>
              <w:t>1.216</w:t>
            </w:r>
          </w:p>
        </w:tc>
        <w:tc>
          <w:tcPr>
            <w:tcW w:w="1134" w:type="dxa"/>
            <w:tcBorders>
              <w:top w:val="nil"/>
              <w:left w:val="nil"/>
              <w:bottom w:val="nil"/>
              <w:right w:val="nil"/>
            </w:tcBorders>
            <w:vAlign w:val="bottom"/>
          </w:tcPr>
          <w:p w14:paraId="73344740" w14:textId="01131BE6" w:rsidR="00566EA9" w:rsidRPr="001D41EA" w:rsidRDefault="00566EA9" w:rsidP="001D41EA">
            <w:pPr>
              <w:spacing w:before="40" w:after="20"/>
              <w:jc w:val="center"/>
              <w:rPr>
                <w:rFonts w:cs="Arial"/>
                <w:sz w:val="18"/>
                <w:szCs w:val="18"/>
              </w:rPr>
            </w:pPr>
            <w:r w:rsidRPr="001D41EA">
              <w:rPr>
                <w:rFonts w:cs="Arial"/>
                <w:sz w:val="18"/>
                <w:szCs w:val="18"/>
              </w:rPr>
              <w:t>1.225</w:t>
            </w:r>
          </w:p>
        </w:tc>
        <w:tc>
          <w:tcPr>
            <w:tcW w:w="1134" w:type="dxa"/>
            <w:tcBorders>
              <w:top w:val="nil"/>
              <w:left w:val="nil"/>
              <w:bottom w:val="nil"/>
              <w:right w:val="nil"/>
            </w:tcBorders>
            <w:vAlign w:val="bottom"/>
          </w:tcPr>
          <w:p w14:paraId="61C53912" w14:textId="552204F8" w:rsidR="00566EA9" w:rsidRPr="001D41EA" w:rsidRDefault="00566EA9" w:rsidP="001D41EA">
            <w:pPr>
              <w:spacing w:before="40" w:after="20"/>
              <w:jc w:val="center"/>
              <w:rPr>
                <w:rFonts w:cs="Arial"/>
                <w:sz w:val="18"/>
                <w:szCs w:val="18"/>
              </w:rPr>
            </w:pPr>
            <w:r w:rsidRPr="001D41EA">
              <w:rPr>
                <w:rFonts w:cs="Arial"/>
                <w:sz w:val="18"/>
                <w:szCs w:val="18"/>
              </w:rPr>
              <w:t>1.218</w:t>
            </w:r>
          </w:p>
        </w:tc>
        <w:tc>
          <w:tcPr>
            <w:tcW w:w="1134" w:type="dxa"/>
            <w:tcBorders>
              <w:top w:val="nil"/>
              <w:left w:val="nil"/>
              <w:bottom w:val="nil"/>
              <w:right w:val="nil"/>
            </w:tcBorders>
            <w:shd w:val="clear" w:color="auto" w:fill="auto"/>
            <w:vAlign w:val="bottom"/>
          </w:tcPr>
          <w:p w14:paraId="379E5AE3" w14:textId="152583B3" w:rsidR="00566EA9" w:rsidRPr="001D41EA" w:rsidRDefault="00566EA9" w:rsidP="001D41EA">
            <w:pPr>
              <w:spacing w:before="40" w:after="20"/>
              <w:jc w:val="center"/>
              <w:rPr>
                <w:rFonts w:cs="Arial"/>
                <w:sz w:val="18"/>
                <w:szCs w:val="18"/>
              </w:rPr>
            </w:pPr>
            <w:r w:rsidRPr="001D41EA">
              <w:rPr>
                <w:rFonts w:cs="Arial"/>
                <w:sz w:val="18"/>
                <w:szCs w:val="18"/>
              </w:rPr>
              <w:t>1.242</w:t>
            </w:r>
          </w:p>
        </w:tc>
      </w:tr>
      <w:tr w:rsidR="00566EA9" w:rsidRPr="001D41EA" w14:paraId="51E766E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6A976BD" w14:textId="77777777" w:rsidR="00566EA9" w:rsidRPr="001D41EA" w:rsidRDefault="00566EA9" w:rsidP="001D41EA">
            <w:pPr>
              <w:spacing w:before="40" w:after="20"/>
              <w:rPr>
                <w:rFonts w:cs="Arial"/>
                <w:sz w:val="18"/>
                <w:szCs w:val="18"/>
              </w:rPr>
            </w:pPr>
            <w:r w:rsidRPr="001D41EA">
              <w:rPr>
                <w:rFonts w:cs="Arial"/>
                <w:sz w:val="18"/>
                <w:szCs w:val="18"/>
              </w:rPr>
              <w:t>Maroondah C</w:t>
            </w:r>
          </w:p>
        </w:tc>
        <w:tc>
          <w:tcPr>
            <w:tcW w:w="1134" w:type="dxa"/>
            <w:tcBorders>
              <w:top w:val="nil"/>
              <w:left w:val="single" w:sz="18" w:space="0" w:color="5F497A" w:themeColor="accent4" w:themeShade="BF"/>
              <w:bottom w:val="nil"/>
              <w:right w:val="nil"/>
            </w:tcBorders>
            <w:vAlign w:val="bottom"/>
          </w:tcPr>
          <w:p w14:paraId="4E3CF72B" w14:textId="5B3A34A8" w:rsidR="00566EA9" w:rsidRPr="001D41EA" w:rsidRDefault="00566EA9" w:rsidP="001D41EA">
            <w:pPr>
              <w:spacing w:before="40" w:after="20"/>
              <w:jc w:val="center"/>
              <w:rPr>
                <w:rFonts w:cs="Arial"/>
                <w:sz w:val="18"/>
                <w:szCs w:val="18"/>
              </w:rPr>
            </w:pPr>
            <w:r w:rsidRPr="001D41EA">
              <w:rPr>
                <w:rFonts w:cs="Arial"/>
                <w:sz w:val="18"/>
                <w:szCs w:val="18"/>
              </w:rPr>
              <w:t>0.940</w:t>
            </w:r>
          </w:p>
        </w:tc>
        <w:tc>
          <w:tcPr>
            <w:tcW w:w="1134" w:type="dxa"/>
            <w:tcBorders>
              <w:top w:val="nil"/>
              <w:left w:val="nil"/>
              <w:bottom w:val="nil"/>
              <w:right w:val="nil"/>
            </w:tcBorders>
            <w:vAlign w:val="bottom"/>
          </w:tcPr>
          <w:p w14:paraId="13E3038A" w14:textId="6302E792" w:rsidR="00566EA9" w:rsidRPr="001D41EA" w:rsidRDefault="00566EA9" w:rsidP="001D41EA">
            <w:pPr>
              <w:spacing w:before="40" w:after="20"/>
              <w:jc w:val="center"/>
              <w:rPr>
                <w:rFonts w:cs="Arial"/>
                <w:sz w:val="18"/>
                <w:szCs w:val="18"/>
              </w:rPr>
            </w:pPr>
            <w:r w:rsidRPr="001D41EA">
              <w:rPr>
                <w:rFonts w:cs="Arial"/>
                <w:sz w:val="18"/>
                <w:szCs w:val="18"/>
              </w:rPr>
              <w:t>0.937</w:t>
            </w:r>
          </w:p>
        </w:tc>
        <w:tc>
          <w:tcPr>
            <w:tcW w:w="170" w:type="dxa"/>
            <w:tcBorders>
              <w:top w:val="nil"/>
              <w:left w:val="nil"/>
              <w:bottom w:val="nil"/>
              <w:right w:val="nil"/>
            </w:tcBorders>
            <w:shd w:val="clear" w:color="auto" w:fill="auto"/>
            <w:vAlign w:val="bottom"/>
          </w:tcPr>
          <w:p w14:paraId="070B9396" w14:textId="3E10B7E0"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62299BC9" w14:textId="017AC461" w:rsidR="00566EA9" w:rsidRPr="001D41EA" w:rsidRDefault="00566EA9" w:rsidP="001D41EA">
            <w:pPr>
              <w:spacing w:before="40" w:after="20"/>
              <w:jc w:val="center"/>
              <w:rPr>
                <w:rFonts w:cs="Arial"/>
                <w:sz w:val="18"/>
                <w:szCs w:val="18"/>
              </w:rPr>
            </w:pPr>
            <w:r w:rsidRPr="001D41EA">
              <w:rPr>
                <w:rFonts w:cs="Arial"/>
                <w:sz w:val="18"/>
                <w:szCs w:val="18"/>
              </w:rPr>
              <w:t>0.966</w:t>
            </w:r>
          </w:p>
        </w:tc>
        <w:tc>
          <w:tcPr>
            <w:tcW w:w="1134" w:type="dxa"/>
            <w:tcBorders>
              <w:top w:val="nil"/>
              <w:left w:val="nil"/>
              <w:bottom w:val="nil"/>
              <w:right w:val="nil"/>
            </w:tcBorders>
            <w:vAlign w:val="bottom"/>
          </w:tcPr>
          <w:p w14:paraId="714A53FF" w14:textId="5DCC65C6" w:rsidR="00566EA9" w:rsidRPr="001D41EA" w:rsidRDefault="00566EA9" w:rsidP="001D41EA">
            <w:pPr>
              <w:spacing w:before="40" w:after="20"/>
              <w:jc w:val="center"/>
              <w:rPr>
                <w:rFonts w:cs="Arial"/>
                <w:sz w:val="18"/>
                <w:szCs w:val="18"/>
              </w:rPr>
            </w:pPr>
            <w:r w:rsidRPr="001D41EA">
              <w:rPr>
                <w:rFonts w:cs="Arial"/>
                <w:sz w:val="18"/>
                <w:szCs w:val="18"/>
              </w:rPr>
              <w:t>0.973</w:t>
            </w:r>
          </w:p>
        </w:tc>
        <w:tc>
          <w:tcPr>
            <w:tcW w:w="1134" w:type="dxa"/>
            <w:tcBorders>
              <w:top w:val="nil"/>
              <w:left w:val="nil"/>
              <w:bottom w:val="nil"/>
              <w:right w:val="nil"/>
            </w:tcBorders>
            <w:vAlign w:val="bottom"/>
          </w:tcPr>
          <w:p w14:paraId="26A2BEF4" w14:textId="0569410A" w:rsidR="00566EA9" w:rsidRPr="001D41EA" w:rsidRDefault="00566EA9" w:rsidP="001D41EA">
            <w:pPr>
              <w:spacing w:before="40" w:after="20"/>
              <w:jc w:val="center"/>
              <w:rPr>
                <w:rFonts w:cs="Arial"/>
                <w:sz w:val="18"/>
                <w:szCs w:val="18"/>
              </w:rPr>
            </w:pPr>
            <w:r w:rsidRPr="001D41EA">
              <w:rPr>
                <w:rFonts w:cs="Arial"/>
                <w:sz w:val="18"/>
                <w:szCs w:val="18"/>
              </w:rPr>
              <w:t>0.968</w:t>
            </w:r>
          </w:p>
        </w:tc>
        <w:tc>
          <w:tcPr>
            <w:tcW w:w="1134" w:type="dxa"/>
            <w:tcBorders>
              <w:top w:val="nil"/>
              <w:left w:val="nil"/>
              <w:bottom w:val="nil"/>
              <w:right w:val="nil"/>
            </w:tcBorders>
            <w:shd w:val="clear" w:color="auto" w:fill="auto"/>
            <w:vAlign w:val="bottom"/>
          </w:tcPr>
          <w:p w14:paraId="4B853FA4" w14:textId="31F0CEFC" w:rsidR="00566EA9" w:rsidRPr="001D41EA" w:rsidRDefault="00566EA9" w:rsidP="001D41EA">
            <w:pPr>
              <w:spacing w:before="40" w:after="20"/>
              <w:jc w:val="center"/>
              <w:rPr>
                <w:rFonts w:cs="Arial"/>
                <w:sz w:val="18"/>
                <w:szCs w:val="18"/>
              </w:rPr>
            </w:pPr>
            <w:r w:rsidRPr="001D41EA">
              <w:rPr>
                <w:rFonts w:cs="Arial"/>
                <w:sz w:val="18"/>
                <w:szCs w:val="18"/>
              </w:rPr>
              <w:t>0.987</w:t>
            </w:r>
          </w:p>
        </w:tc>
      </w:tr>
      <w:tr w:rsidR="00566EA9" w:rsidRPr="001D41EA" w14:paraId="136EEB1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56343BF" w14:textId="77777777" w:rsidR="00566EA9" w:rsidRPr="001D41EA" w:rsidRDefault="00566EA9" w:rsidP="001D41EA">
            <w:pPr>
              <w:spacing w:before="40" w:after="20"/>
              <w:rPr>
                <w:rFonts w:cs="Arial"/>
                <w:sz w:val="18"/>
                <w:szCs w:val="18"/>
              </w:rPr>
            </w:pPr>
            <w:r w:rsidRPr="001D41EA">
              <w:rPr>
                <w:rFonts w:cs="Arial"/>
                <w:sz w:val="18"/>
                <w:szCs w:val="18"/>
              </w:rPr>
              <w:t>Melbourne C</w:t>
            </w:r>
          </w:p>
        </w:tc>
        <w:tc>
          <w:tcPr>
            <w:tcW w:w="1134" w:type="dxa"/>
            <w:tcBorders>
              <w:top w:val="nil"/>
              <w:left w:val="single" w:sz="18" w:space="0" w:color="5F497A" w:themeColor="accent4" w:themeShade="BF"/>
              <w:bottom w:val="nil"/>
              <w:right w:val="nil"/>
            </w:tcBorders>
            <w:vAlign w:val="bottom"/>
          </w:tcPr>
          <w:p w14:paraId="3C2AC716" w14:textId="7E4175C8" w:rsidR="00566EA9" w:rsidRPr="001D41EA" w:rsidRDefault="00566EA9" w:rsidP="001D41EA">
            <w:pPr>
              <w:spacing w:before="40" w:after="20"/>
              <w:jc w:val="center"/>
              <w:rPr>
                <w:rFonts w:cs="Arial"/>
                <w:sz w:val="18"/>
                <w:szCs w:val="18"/>
              </w:rPr>
            </w:pPr>
            <w:r w:rsidRPr="001D41EA">
              <w:rPr>
                <w:rFonts w:cs="Arial"/>
                <w:sz w:val="18"/>
                <w:szCs w:val="18"/>
              </w:rPr>
              <w:t>0.901</w:t>
            </w:r>
          </w:p>
        </w:tc>
        <w:tc>
          <w:tcPr>
            <w:tcW w:w="1134" w:type="dxa"/>
            <w:tcBorders>
              <w:top w:val="nil"/>
              <w:left w:val="nil"/>
              <w:bottom w:val="nil"/>
              <w:right w:val="nil"/>
            </w:tcBorders>
            <w:vAlign w:val="bottom"/>
          </w:tcPr>
          <w:p w14:paraId="50246285" w14:textId="30506A80" w:rsidR="00566EA9" w:rsidRPr="001D41EA" w:rsidRDefault="00566EA9" w:rsidP="001D41EA">
            <w:pPr>
              <w:spacing w:before="40" w:after="20"/>
              <w:jc w:val="center"/>
              <w:rPr>
                <w:rFonts w:cs="Arial"/>
                <w:sz w:val="18"/>
                <w:szCs w:val="18"/>
              </w:rPr>
            </w:pPr>
            <w:r w:rsidRPr="001D41EA">
              <w:rPr>
                <w:rFonts w:cs="Arial"/>
                <w:sz w:val="18"/>
                <w:szCs w:val="18"/>
              </w:rPr>
              <w:t>0.898</w:t>
            </w:r>
          </w:p>
        </w:tc>
        <w:tc>
          <w:tcPr>
            <w:tcW w:w="170" w:type="dxa"/>
            <w:tcBorders>
              <w:top w:val="nil"/>
              <w:left w:val="nil"/>
              <w:bottom w:val="nil"/>
              <w:right w:val="nil"/>
            </w:tcBorders>
            <w:shd w:val="clear" w:color="auto" w:fill="auto"/>
            <w:vAlign w:val="bottom"/>
          </w:tcPr>
          <w:p w14:paraId="1EE465C1" w14:textId="7513FD5A"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3B2063FF" w14:textId="18127942" w:rsidR="00566EA9" w:rsidRPr="001D41EA" w:rsidRDefault="00566EA9" w:rsidP="001D41EA">
            <w:pPr>
              <w:spacing w:before="40" w:after="20"/>
              <w:jc w:val="center"/>
              <w:rPr>
                <w:rFonts w:cs="Arial"/>
                <w:sz w:val="18"/>
                <w:szCs w:val="18"/>
              </w:rPr>
            </w:pPr>
            <w:r w:rsidRPr="001D41EA">
              <w:rPr>
                <w:rFonts w:cs="Arial"/>
                <w:sz w:val="18"/>
                <w:szCs w:val="18"/>
              </w:rPr>
              <w:t>1.177</w:t>
            </w:r>
          </w:p>
        </w:tc>
        <w:tc>
          <w:tcPr>
            <w:tcW w:w="1134" w:type="dxa"/>
            <w:tcBorders>
              <w:top w:val="nil"/>
              <w:left w:val="nil"/>
              <w:bottom w:val="nil"/>
              <w:right w:val="nil"/>
            </w:tcBorders>
            <w:vAlign w:val="bottom"/>
          </w:tcPr>
          <w:p w14:paraId="64A90108" w14:textId="17C29AC4" w:rsidR="00566EA9" w:rsidRPr="001D41EA" w:rsidRDefault="00566EA9" w:rsidP="001D41EA">
            <w:pPr>
              <w:spacing w:before="40" w:after="20"/>
              <w:jc w:val="center"/>
              <w:rPr>
                <w:rFonts w:cs="Arial"/>
                <w:sz w:val="18"/>
                <w:szCs w:val="18"/>
              </w:rPr>
            </w:pPr>
            <w:r w:rsidRPr="001D41EA">
              <w:rPr>
                <w:rFonts w:cs="Arial"/>
                <w:sz w:val="18"/>
                <w:szCs w:val="18"/>
              </w:rPr>
              <w:t>1.186</w:t>
            </w:r>
          </w:p>
        </w:tc>
        <w:tc>
          <w:tcPr>
            <w:tcW w:w="1134" w:type="dxa"/>
            <w:tcBorders>
              <w:top w:val="nil"/>
              <w:left w:val="nil"/>
              <w:bottom w:val="nil"/>
              <w:right w:val="nil"/>
            </w:tcBorders>
            <w:vAlign w:val="bottom"/>
          </w:tcPr>
          <w:p w14:paraId="0B94C1A2" w14:textId="1FB8171D" w:rsidR="00566EA9" w:rsidRPr="001D41EA" w:rsidRDefault="00566EA9" w:rsidP="001D41EA">
            <w:pPr>
              <w:spacing w:before="40" w:after="20"/>
              <w:jc w:val="center"/>
              <w:rPr>
                <w:rFonts w:cs="Arial"/>
                <w:sz w:val="18"/>
                <w:szCs w:val="18"/>
              </w:rPr>
            </w:pPr>
            <w:r w:rsidRPr="001D41EA">
              <w:rPr>
                <w:rFonts w:cs="Arial"/>
                <w:sz w:val="18"/>
                <w:szCs w:val="18"/>
              </w:rPr>
              <w:t>1.179</w:t>
            </w:r>
          </w:p>
        </w:tc>
        <w:tc>
          <w:tcPr>
            <w:tcW w:w="1134" w:type="dxa"/>
            <w:tcBorders>
              <w:top w:val="nil"/>
              <w:left w:val="nil"/>
              <w:bottom w:val="nil"/>
              <w:right w:val="nil"/>
            </w:tcBorders>
            <w:shd w:val="clear" w:color="auto" w:fill="auto"/>
            <w:vAlign w:val="bottom"/>
          </w:tcPr>
          <w:p w14:paraId="4299701D" w14:textId="745B7911" w:rsidR="00566EA9" w:rsidRPr="001D41EA" w:rsidRDefault="00566EA9" w:rsidP="001D41EA">
            <w:pPr>
              <w:spacing w:before="40" w:after="20"/>
              <w:jc w:val="center"/>
              <w:rPr>
                <w:rFonts w:cs="Arial"/>
                <w:sz w:val="18"/>
                <w:szCs w:val="18"/>
              </w:rPr>
            </w:pPr>
            <w:r w:rsidRPr="001D41EA">
              <w:rPr>
                <w:rFonts w:cs="Arial"/>
                <w:sz w:val="18"/>
                <w:szCs w:val="18"/>
              </w:rPr>
              <w:t>1.202</w:t>
            </w:r>
          </w:p>
        </w:tc>
      </w:tr>
      <w:tr w:rsidR="00566EA9" w:rsidRPr="001D41EA" w14:paraId="168C938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13CBF8C" w14:textId="77777777" w:rsidR="00566EA9" w:rsidRPr="001D41EA" w:rsidRDefault="00566EA9" w:rsidP="001D41EA">
            <w:pPr>
              <w:spacing w:before="40" w:after="20"/>
              <w:rPr>
                <w:rFonts w:cs="Arial"/>
                <w:sz w:val="18"/>
                <w:szCs w:val="18"/>
              </w:rPr>
            </w:pPr>
            <w:r w:rsidRPr="001D41EA">
              <w:rPr>
                <w:rFonts w:cs="Arial"/>
                <w:sz w:val="18"/>
                <w:szCs w:val="18"/>
              </w:rPr>
              <w:t>Melton C</w:t>
            </w:r>
          </w:p>
        </w:tc>
        <w:tc>
          <w:tcPr>
            <w:tcW w:w="1134" w:type="dxa"/>
            <w:tcBorders>
              <w:top w:val="nil"/>
              <w:left w:val="single" w:sz="18" w:space="0" w:color="5F497A" w:themeColor="accent4" w:themeShade="BF"/>
              <w:bottom w:val="nil"/>
              <w:right w:val="nil"/>
            </w:tcBorders>
            <w:vAlign w:val="bottom"/>
          </w:tcPr>
          <w:p w14:paraId="328D2591" w14:textId="74407097" w:rsidR="00566EA9" w:rsidRPr="001D41EA" w:rsidRDefault="00566EA9" w:rsidP="001D41EA">
            <w:pPr>
              <w:spacing w:before="40" w:after="20"/>
              <w:jc w:val="center"/>
              <w:rPr>
                <w:rFonts w:cs="Arial"/>
                <w:sz w:val="18"/>
                <w:szCs w:val="18"/>
              </w:rPr>
            </w:pPr>
            <w:r w:rsidRPr="001D41EA">
              <w:rPr>
                <w:rFonts w:cs="Arial"/>
                <w:sz w:val="18"/>
                <w:szCs w:val="18"/>
              </w:rPr>
              <w:t>1.037</w:t>
            </w:r>
          </w:p>
        </w:tc>
        <w:tc>
          <w:tcPr>
            <w:tcW w:w="1134" w:type="dxa"/>
            <w:tcBorders>
              <w:top w:val="nil"/>
              <w:left w:val="nil"/>
              <w:bottom w:val="nil"/>
              <w:right w:val="nil"/>
            </w:tcBorders>
            <w:vAlign w:val="bottom"/>
          </w:tcPr>
          <w:p w14:paraId="6BE6FEFE" w14:textId="672C54F4" w:rsidR="00566EA9" w:rsidRPr="001D41EA" w:rsidRDefault="00566EA9" w:rsidP="001D41EA">
            <w:pPr>
              <w:spacing w:before="40" w:after="20"/>
              <w:jc w:val="center"/>
              <w:rPr>
                <w:rFonts w:cs="Arial"/>
                <w:sz w:val="18"/>
                <w:szCs w:val="18"/>
              </w:rPr>
            </w:pPr>
            <w:r w:rsidRPr="001D41EA">
              <w:rPr>
                <w:rFonts w:cs="Arial"/>
                <w:sz w:val="18"/>
                <w:szCs w:val="18"/>
              </w:rPr>
              <w:t>1.034</w:t>
            </w:r>
          </w:p>
        </w:tc>
        <w:tc>
          <w:tcPr>
            <w:tcW w:w="170" w:type="dxa"/>
            <w:tcBorders>
              <w:top w:val="nil"/>
              <w:left w:val="nil"/>
              <w:bottom w:val="nil"/>
              <w:right w:val="nil"/>
            </w:tcBorders>
            <w:shd w:val="clear" w:color="auto" w:fill="auto"/>
            <w:vAlign w:val="bottom"/>
          </w:tcPr>
          <w:p w14:paraId="17D155E1" w14:textId="3F5DEACC"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54D8591A" w14:textId="2AC3F779" w:rsidR="00566EA9" w:rsidRPr="001D41EA" w:rsidRDefault="00566EA9" w:rsidP="001D41EA">
            <w:pPr>
              <w:spacing w:before="40" w:after="20"/>
              <w:jc w:val="center"/>
              <w:rPr>
                <w:rFonts w:cs="Arial"/>
                <w:sz w:val="18"/>
                <w:szCs w:val="18"/>
              </w:rPr>
            </w:pPr>
            <w:r w:rsidRPr="001D41EA">
              <w:rPr>
                <w:rFonts w:cs="Arial"/>
                <w:sz w:val="18"/>
                <w:szCs w:val="18"/>
              </w:rPr>
              <w:t>0.965</w:t>
            </w:r>
          </w:p>
        </w:tc>
        <w:tc>
          <w:tcPr>
            <w:tcW w:w="1134" w:type="dxa"/>
            <w:tcBorders>
              <w:top w:val="nil"/>
              <w:left w:val="nil"/>
              <w:bottom w:val="nil"/>
              <w:right w:val="nil"/>
            </w:tcBorders>
            <w:vAlign w:val="bottom"/>
          </w:tcPr>
          <w:p w14:paraId="0ADF1569" w14:textId="3AF9A6D6" w:rsidR="00566EA9" w:rsidRPr="001D41EA" w:rsidRDefault="00566EA9" w:rsidP="001D41EA">
            <w:pPr>
              <w:spacing w:before="40" w:after="20"/>
              <w:jc w:val="center"/>
              <w:rPr>
                <w:rFonts w:cs="Arial"/>
                <w:sz w:val="18"/>
                <w:szCs w:val="18"/>
              </w:rPr>
            </w:pPr>
            <w:r w:rsidRPr="001D41EA">
              <w:rPr>
                <w:rFonts w:cs="Arial"/>
                <w:sz w:val="18"/>
                <w:szCs w:val="18"/>
              </w:rPr>
              <w:t>0.972</w:t>
            </w:r>
          </w:p>
        </w:tc>
        <w:tc>
          <w:tcPr>
            <w:tcW w:w="1134" w:type="dxa"/>
            <w:tcBorders>
              <w:top w:val="nil"/>
              <w:left w:val="nil"/>
              <w:bottom w:val="nil"/>
              <w:right w:val="nil"/>
            </w:tcBorders>
            <w:vAlign w:val="bottom"/>
          </w:tcPr>
          <w:p w14:paraId="5D7128BF" w14:textId="16823D55" w:rsidR="00566EA9" w:rsidRPr="001D41EA" w:rsidRDefault="00566EA9" w:rsidP="001D41EA">
            <w:pPr>
              <w:spacing w:before="40" w:after="20"/>
              <w:jc w:val="center"/>
              <w:rPr>
                <w:rFonts w:cs="Arial"/>
                <w:sz w:val="18"/>
                <w:szCs w:val="18"/>
              </w:rPr>
            </w:pPr>
            <w:r w:rsidRPr="001D41EA">
              <w:rPr>
                <w:rFonts w:cs="Arial"/>
                <w:sz w:val="18"/>
                <w:szCs w:val="18"/>
              </w:rPr>
              <w:t>0.967</w:t>
            </w:r>
          </w:p>
        </w:tc>
        <w:tc>
          <w:tcPr>
            <w:tcW w:w="1134" w:type="dxa"/>
            <w:tcBorders>
              <w:top w:val="nil"/>
              <w:left w:val="nil"/>
              <w:bottom w:val="nil"/>
              <w:right w:val="nil"/>
            </w:tcBorders>
            <w:shd w:val="clear" w:color="auto" w:fill="auto"/>
            <w:vAlign w:val="bottom"/>
          </w:tcPr>
          <w:p w14:paraId="2B452441" w14:textId="1D779456" w:rsidR="00566EA9" w:rsidRPr="001D41EA" w:rsidRDefault="00566EA9" w:rsidP="001D41EA">
            <w:pPr>
              <w:spacing w:before="40" w:after="20"/>
              <w:jc w:val="center"/>
              <w:rPr>
                <w:rFonts w:cs="Arial"/>
                <w:sz w:val="18"/>
                <w:szCs w:val="18"/>
              </w:rPr>
            </w:pPr>
            <w:r w:rsidRPr="001D41EA">
              <w:rPr>
                <w:rFonts w:cs="Arial"/>
                <w:sz w:val="18"/>
                <w:szCs w:val="18"/>
              </w:rPr>
              <w:t>0.986</w:t>
            </w:r>
          </w:p>
        </w:tc>
      </w:tr>
      <w:tr w:rsidR="00566EA9" w:rsidRPr="001D41EA" w14:paraId="18BE1ED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A055C12" w14:textId="77777777" w:rsidR="00566EA9" w:rsidRPr="001D41EA" w:rsidRDefault="00566EA9" w:rsidP="001D41EA">
            <w:pPr>
              <w:spacing w:before="40" w:after="20"/>
              <w:rPr>
                <w:rFonts w:cs="Arial"/>
                <w:sz w:val="18"/>
                <w:szCs w:val="18"/>
              </w:rPr>
            </w:pPr>
            <w:r w:rsidRPr="001D41EA">
              <w:rPr>
                <w:rFonts w:cs="Arial"/>
                <w:sz w:val="18"/>
                <w:szCs w:val="18"/>
              </w:rPr>
              <w:t>Mildura RC</w:t>
            </w:r>
          </w:p>
        </w:tc>
        <w:tc>
          <w:tcPr>
            <w:tcW w:w="1134" w:type="dxa"/>
            <w:tcBorders>
              <w:top w:val="nil"/>
              <w:left w:val="single" w:sz="18" w:space="0" w:color="5F497A" w:themeColor="accent4" w:themeShade="BF"/>
              <w:bottom w:val="nil"/>
              <w:right w:val="nil"/>
            </w:tcBorders>
            <w:vAlign w:val="bottom"/>
          </w:tcPr>
          <w:p w14:paraId="2AA9DBD5" w14:textId="0F827266" w:rsidR="00566EA9" w:rsidRPr="001D41EA" w:rsidRDefault="00566EA9" w:rsidP="001D41EA">
            <w:pPr>
              <w:spacing w:before="40" w:after="20"/>
              <w:jc w:val="center"/>
              <w:rPr>
                <w:rFonts w:cs="Arial"/>
                <w:sz w:val="18"/>
                <w:szCs w:val="18"/>
              </w:rPr>
            </w:pPr>
            <w:r w:rsidRPr="001D41EA">
              <w:rPr>
                <w:rFonts w:cs="Arial"/>
                <w:sz w:val="18"/>
                <w:szCs w:val="18"/>
              </w:rPr>
              <w:t>1.677</w:t>
            </w:r>
          </w:p>
        </w:tc>
        <w:tc>
          <w:tcPr>
            <w:tcW w:w="1134" w:type="dxa"/>
            <w:tcBorders>
              <w:top w:val="nil"/>
              <w:left w:val="nil"/>
              <w:bottom w:val="nil"/>
              <w:right w:val="nil"/>
            </w:tcBorders>
            <w:vAlign w:val="bottom"/>
          </w:tcPr>
          <w:p w14:paraId="5163442F" w14:textId="1A6B6DA7" w:rsidR="00566EA9" w:rsidRPr="001D41EA" w:rsidRDefault="00566EA9" w:rsidP="001D41EA">
            <w:pPr>
              <w:spacing w:before="40" w:after="20"/>
              <w:jc w:val="center"/>
              <w:rPr>
                <w:rFonts w:cs="Arial"/>
                <w:sz w:val="18"/>
                <w:szCs w:val="18"/>
              </w:rPr>
            </w:pPr>
            <w:r w:rsidRPr="001D41EA">
              <w:rPr>
                <w:rFonts w:cs="Arial"/>
                <w:sz w:val="18"/>
                <w:szCs w:val="18"/>
              </w:rPr>
              <w:t>1.672</w:t>
            </w:r>
          </w:p>
        </w:tc>
        <w:tc>
          <w:tcPr>
            <w:tcW w:w="170" w:type="dxa"/>
            <w:tcBorders>
              <w:top w:val="nil"/>
              <w:left w:val="nil"/>
              <w:bottom w:val="nil"/>
              <w:right w:val="nil"/>
            </w:tcBorders>
            <w:shd w:val="clear" w:color="auto" w:fill="auto"/>
            <w:vAlign w:val="bottom"/>
          </w:tcPr>
          <w:p w14:paraId="683B95B0" w14:textId="3E9CA9D8"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50EA803D" w14:textId="265A54CB" w:rsidR="00566EA9" w:rsidRPr="001D41EA" w:rsidRDefault="00566EA9" w:rsidP="001D41EA">
            <w:pPr>
              <w:spacing w:before="40" w:after="20"/>
              <w:jc w:val="center"/>
              <w:rPr>
                <w:rFonts w:cs="Arial"/>
                <w:sz w:val="18"/>
                <w:szCs w:val="18"/>
              </w:rPr>
            </w:pPr>
            <w:r w:rsidRPr="001D41EA">
              <w:rPr>
                <w:rFonts w:cs="Arial"/>
                <w:sz w:val="18"/>
                <w:szCs w:val="18"/>
              </w:rPr>
              <w:t>0.887</w:t>
            </w:r>
          </w:p>
        </w:tc>
        <w:tc>
          <w:tcPr>
            <w:tcW w:w="1134" w:type="dxa"/>
            <w:tcBorders>
              <w:top w:val="nil"/>
              <w:left w:val="nil"/>
              <w:bottom w:val="nil"/>
              <w:right w:val="nil"/>
            </w:tcBorders>
            <w:vAlign w:val="bottom"/>
          </w:tcPr>
          <w:p w14:paraId="4F46954D" w14:textId="7273C144" w:rsidR="00566EA9" w:rsidRPr="001D41EA" w:rsidRDefault="00566EA9" w:rsidP="001D41EA">
            <w:pPr>
              <w:spacing w:before="40" w:after="20"/>
              <w:jc w:val="center"/>
              <w:rPr>
                <w:rFonts w:cs="Arial"/>
                <w:sz w:val="18"/>
                <w:szCs w:val="18"/>
              </w:rPr>
            </w:pPr>
            <w:r w:rsidRPr="001D41EA">
              <w:rPr>
                <w:rFonts w:cs="Arial"/>
                <w:sz w:val="18"/>
                <w:szCs w:val="18"/>
              </w:rPr>
              <w:t>0.894</w:t>
            </w:r>
          </w:p>
        </w:tc>
        <w:tc>
          <w:tcPr>
            <w:tcW w:w="1134" w:type="dxa"/>
            <w:tcBorders>
              <w:top w:val="nil"/>
              <w:left w:val="nil"/>
              <w:bottom w:val="nil"/>
              <w:right w:val="nil"/>
            </w:tcBorders>
            <w:vAlign w:val="bottom"/>
          </w:tcPr>
          <w:p w14:paraId="64FAD785" w14:textId="5DCA3F85" w:rsidR="00566EA9" w:rsidRPr="001D41EA" w:rsidRDefault="00566EA9" w:rsidP="001D41EA">
            <w:pPr>
              <w:spacing w:before="40" w:after="20"/>
              <w:jc w:val="center"/>
              <w:rPr>
                <w:rFonts w:cs="Arial"/>
                <w:sz w:val="18"/>
                <w:szCs w:val="18"/>
              </w:rPr>
            </w:pPr>
            <w:r w:rsidRPr="001D41EA">
              <w:rPr>
                <w:rFonts w:cs="Arial"/>
                <w:sz w:val="18"/>
                <w:szCs w:val="18"/>
              </w:rPr>
              <w:t>0.889</w:t>
            </w:r>
          </w:p>
        </w:tc>
        <w:tc>
          <w:tcPr>
            <w:tcW w:w="1134" w:type="dxa"/>
            <w:tcBorders>
              <w:top w:val="nil"/>
              <w:left w:val="nil"/>
              <w:bottom w:val="nil"/>
              <w:right w:val="nil"/>
            </w:tcBorders>
            <w:shd w:val="clear" w:color="auto" w:fill="auto"/>
            <w:vAlign w:val="bottom"/>
          </w:tcPr>
          <w:p w14:paraId="61DA8F73" w14:textId="32F3A7DC" w:rsidR="00566EA9" w:rsidRPr="001D41EA" w:rsidRDefault="00566EA9" w:rsidP="001D41EA">
            <w:pPr>
              <w:spacing w:before="40" w:after="20"/>
              <w:jc w:val="center"/>
              <w:rPr>
                <w:rFonts w:cs="Arial"/>
                <w:sz w:val="18"/>
                <w:szCs w:val="18"/>
              </w:rPr>
            </w:pPr>
            <w:r w:rsidRPr="001D41EA">
              <w:rPr>
                <w:rFonts w:cs="Arial"/>
                <w:sz w:val="18"/>
                <w:szCs w:val="18"/>
              </w:rPr>
              <w:t>0.906</w:t>
            </w:r>
          </w:p>
        </w:tc>
      </w:tr>
      <w:tr w:rsidR="00566EA9" w:rsidRPr="001D41EA" w14:paraId="2E0C47F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0B320A9" w14:textId="77777777" w:rsidR="00566EA9" w:rsidRPr="001D41EA" w:rsidRDefault="00566EA9" w:rsidP="001D41EA">
            <w:pPr>
              <w:spacing w:before="40" w:after="20"/>
              <w:rPr>
                <w:rFonts w:cs="Arial"/>
                <w:sz w:val="18"/>
                <w:szCs w:val="18"/>
              </w:rPr>
            </w:pPr>
            <w:r w:rsidRPr="001D41EA">
              <w:rPr>
                <w:rFonts w:cs="Arial"/>
                <w:sz w:val="18"/>
                <w:szCs w:val="18"/>
              </w:rPr>
              <w:t>Mitchell S</w:t>
            </w:r>
          </w:p>
        </w:tc>
        <w:tc>
          <w:tcPr>
            <w:tcW w:w="1134" w:type="dxa"/>
            <w:tcBorders>
              <w:top w:val="nil"/>
              <w:left w:val="single" w:sz="18" w:space="0" w:color="5F497A" w:themeColor="accent4" w:themeShade="BF"/>
              <w:bottom w:val="nil"/>
              <w:right w:val="nil"/>
            </w:tcBorders>
            <w:vAlign w:val="bottom"/>
          </w:tcPr>
          <w:p w14:paraId="02F8D076" w14:textId="487B74E5" w:rsidR="00566EA9" w:rsidRPr="001D41EA" w:rsidRDefault="00566EA9" w:rsidP="001D41EA">
            <w:pPr>
              <w:spacing w:before="40" w:after="20"/>
              <w:jc w:val="center"/>
              <w:rPr>
                <w:rFonts w:cs="Arial"/>
                <w:sz w:val="18"/>
                <w:szCs w:val="18"/>
              </w:rPr>
            </w:pPr>
            <w:r w:rsidRPr="001D41EA">
              <w:rPr>
                <w:rFonts w:cs="Arial"/>
                <w:sz w:val="18"/>
                <w:szCs w:val="18"/>
              </w:rPr>
              <w:t>1.176</w:t>
            </w:r>
          </w:p>
        </w:tc>
        <w:tc>
          <w:tcPr>
            <w:tcW w:w="1134" w:type="dxa"/>
            <w:tcBorders>
              <w:top w:val="nil"/>
              <w:left w:val="nil"/>
              <w:bottom w:val="nil"/>
              <w:right w:val="nil"/>
            </w:tcBorders>
            <w:vAlign w:val="bottom"/>
          </w:tcPr>
          <w:p w14:paraId="1E61E2E9" w14:textId="43404417" w:rsidR="00566EA9" w:rsidRPr="001D41EA" w:rsidRDefault="00566EA9" w:rsidP="001D41EA">
            <w:pPr>
              <w:spacing w:before="40" w:after="20"/>
              <w:jc w:val="center"/>
              <w:rPr>
                <w:rFonts w:cs="Arial"/>
                <w:sz w:val="18"/>
                <w:szCs w:val="18"/>
              </w:rPr>
            </w:pPr>
            <w:r w:rsidRPr="001D41EA">
              <w:rPr>
                <w:rFonts w:cs="Arial"/>
                <w:sz w:val="18"/>
                <w:szCs w:val="18"/>
              </w:rPr>
              <w:t>1.172</w:t>
            </w:r>
          </w:p>
        </w:tc>
        <w:tc>
          <w:tcPr>
            <w:tcW w:w="170" w:type="dxa"/>
            <w:tcBorders>
              <w:top w:val="nil"/>
              <w:left w:val="nil"/>
              <w:bottom w:val="nil"/>
              <w:right w:val="nil"/>
            </w:tcBorders>
            <w:shd w:val="clear" w:color="auto" w:fill="auto"/>
            <w:vAlign w:val="bottom"/>
          </w:tcPr>
          <w:p w14:paraId="2C4AC649" w14:textId="11344762"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4BA5AD7E" w14:textId="13810A76" w:rsidR="00566EA9" w:rsidRPr="001D41EA" w:rsidRDefault="00566EA9" w:rsidP="001D41EA">
            <w:pPr>
              <w:spacing w:before="40" w:after="20"/>
              <w:jc w:val="center"/>
              <w:rPr>
                <w:rFonts w:cs="Arial"/>
                <w:sz w:val="18"/>
                <w:szCs w:val="18"/>
              </w:rPr>
            </w:pPr>
            <w:r w:rsidRPr="001D41EA">
              <w:rPr>
                <w:rFonts w:cs="Arial"/>
                <w:sz w:val="18"/>
                <w:szCs w:val="18"/>
              </w:rPr>
              <w:t>0.827</w:t>
            </w:r>
          </w:p>
        </w:tc>
        <w:tc>
          <w:tcPr>
            <w:tcW w:w="1134" w:type="dxa"/>
            <w:tcBorders>
              <w:top w:val="nil"/>
              <w:left w:val="nil"/>
              <w:bottom w:val="nil"/>
              <w:right w:val="nil"/>
            </w:tcBorders>
            <w:vAlign w:val="bottom"/>
          </w:tcPr>
          <w:p w14:paraId="2DFDA5D9" w14:textId="587B1E1E" w:rsidR="00566EA9" w:rsidRPr="001D41EA" w:rsidRDefault="00566EA9" w:rsidP="001D41EA">
            <w:pPr>
              <w:spacing w:before="40" w:after="20"/>
              <w:jc w:val="center"/>
              <w:rPr>
                <w:rFonts w:cs="Arial"/>
                <w:sz w:val="18"/>
                <w:szCs w:val="18"/>
              </w:rPr>
            </w:pPr>
            <w:r w:rsidRPr="001D41EA">
              <w:rPr>
                <w:rFonts w:cs="Arial"/>
                <w:sz w:val="18"/>
                <w:szCs w:val="18"/>
              </w:rPr>
              <w:t>0.834</w:t>
            </w:r>
          </w:p>
        </w:tc>
        <w:tc>
          <w:tcPr>
            <w:tcW w:w="1134" w:type="dxa"/>
            <w:tcBorders>
              <w:top w:val="nil"/>
              <w:left w:val="nil"/>
              <w:bottom w:val="nil"/>
              <w:right w:val="nil"/>
            </w:tcBorders>
            <w:vAlign w:val="bottom"/>
          </w:tcPr>
          <w:p w14:paraId="39AF00CB" w14:textId="063F4928" w:rsidR="00566EA9" w:rsidRPr="001D41EA" w:rsidRDefault="00566EA9" w:rsidP="001D41EA">
            <w:pPr>
              <w:spacing w:before="40" w:after="20"/>
              <w:jc w:val="center"/>
              <w:rPr>
                <w:rFonts w:cs="Arial"/>
                <w:sz w:val="18"/>
                <w:szCs w:val="18"/>
              </w:rPr>
            </w:pPr>
            <w:r w:rsidRPr="001D41EA">
              <w:rPr>
                <w:rFonts w:cs="Arial"/>
                <w:sz w:val="18"/>
                <w:szCs w:val="18"/>
              </w:rPr>
              <w:t>0.829</w:t>
            </w:r>
          </w:p>
        </w:tc>
        <w:tc>
          <w:tcPr>
            <w:tcW w:w="1134" w:type="dxa"/>
            <w:tcBorders>
              <w:top w:val="nil"/>
              <w:left w:val="nil"/>
              <w:bottom w:val="nil"/>
              <w:right w:val="nil"/>
            </w:tcBorders>
            <w:shd w:val="clear" w:color="auto" w:fill="auto"/>
            <w:vAlign w:val="bottom"/>
          </w:tcPr>
          <w:p w14:paraId="76D03EF6" w14:textId="44E6385B" w:rsidR="00566EA9" w:rsidRPr="001D41EA" w:rsidRDefault="00566EA9" w:rsidP="001D41EA">
            <w:pPr>
              <w:spacing w:before="40" w:after="20"/>
              <w:jc w:val="center"/>
              <w:rPr>
                <w:rFonts w:cs="Arial"/>
                <w:sz w:val="18"/>
                <w:szCs w:val="18"/>
              </w:rPr>
            </w:pPr>
            <w:r w:rsidRPr="001D41EA">
              <w:rPr>
                <w:rFonts w:cs="Arial"/>
                <w:sz w:val="18"/>
                <w:szCs w:val="18"/>
              </w:rPr>
              <w:t>0.845</w:t>
            </w:r>
          </w:p>
        </w:tc>
      </w:tr>
      <w:tr w:rsidR="00566EA9" w:rsidRPr="001D41EA" w14:paraId="691FEA9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832D961" w14:textId="77777777" w:rsidR="00566EA9" w:rsidRPr="001D41EA" w:rsidRDefault="00566EA9" w:rsidP="001D41EA">
            <w:pPr>
              <w:spacing w:before="40" w:after="20"/>
              <w:rPr>
                <w:rFonts w:cs="Arial"/>
                <w:sz w:val="18"/>
                <w:szCs w:val="18"/>
              </w:rPr>
            </w:pPr>
            <w:r w:rsidRPr="001D41EA">
              <w:rPr>
                <w:rFonts w:cs="Arial"/>
                <w:sz w:val="18"/>
                <w:szCs w:val="18"/>
              </w:rPr>
              <w:t>Moira S</w:t>
            </w:r>
          </w:p>
        </w:tc>
        <w:tc>
          <w:tcPr>
            <w:tcW w:w="1134" w:type="dxa"/>
            <w:tcBorders>
              <w:top w:val="nil"/>
              <w:left w:val="single" w:sz="18" w:space="0" w:color="5F497A" w:themeColor="accent4" w:themeShade="BF"/>
              <w:bottom w:val="nil"/>
              <w:right w:val="nil"/>
            </w:tcBorders>
            <w:vAlign w:val="bottom"/>
          </w:tcPr>
          <w:p w14:paraId="41CA2C9D" w14:textId="4F0CD712" w:rsidR="00566EA9" w:rsidRPr="001D41EA" w:rsidRDefault="00566EA9" w:rsidP="001D41EA">
            <w:pPr>
              <w:spacing w:before="40" w:after="20"/>
              <w:jc w:val="center"/>
              <w:rPr>
                <w:rFonts w:cs="Arial"/>
                <w:sz w:val="18"/>
                <w:szCs w:val="18"/>
              </w:rPr>
            </w:pPr>
            <w:r w:rsidRPr="001D41EA">
              <w:rPr>
                <w:rFonts w:cs="Arial"/>
                <w:sz w:val="18"/>
                <w:szCs w:val="18"/>
              </w:rPr>
              <w:t>1.203</w:t>
            </w:r>
          </w:p>
        </w:tc>
        <w:tc>
          <w:tcPr>
            <w:tcW w:w="1134" w:type="dxa"/>
            <w:tcBorders>
              <w:top w:val="nil"/>
              <w:left w:val="nil"/>
              <w:bottom w:val="nil"/>
              <w:right w:val="nil"/>
            </w:tcBorders>
            <w:vAlign w:val="bottom"/>
          </w:tcPr>
          <w:p w14:paraId="041E5CBA" w14:textId="3AA3A97A" w:rsidR="00566EA9" w:rsidRPr="001D41EA" w:rsidRDefault="00566EA9" w:rsidP="001D41EA">
            <w:pPr>
              <w:spacing w:before="40" w:after="20"/>
              <w:jc w:val="center"/>
              <w:rPr>
                <w:rFonts w:cs="Arial"/>
                <w:sz w:val="18"/>
                <w:szCs w:val="18"/>
              </w:rPr>
            </w:pPr>
            <w:r w:rsidRPr="001D41EA">
              <w:rPr>
                <w:rFonts w:cs="Arial"/>
                <w:sz w:val="18"/>
                <w:szCs w:val="18"/>
              </w:rPr>
              <w:t>1.199</w:t>
            </w:r>
          </w:p>
        </w:tc>
        <w:tc>
          <w:tcPr>
            <w:tcW w:w="170" w:type="dxa"/>
            <w:tcBorders>
              <w:top w:val="nil"/>
              <w:left w:val="nil"/>
              <w:bottom w:val="nil"/>
              <w:right w:val="nil"/>
            </w:tcBorders>
            <w:shd w:val="clear" w:color="auto" w:fill="auto"/>
            <w:vAlign w:val="bottom"/>
          </w:tcPr>
          <w:p w14:paraId="1BD80F4F" w14:textId="753BA1E5"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4AD004F8" w14:textId="33A9824A" w:rsidR="00566EA9" w:rsidRPr="001D41EA" w:rsidRDefault="00566EA9" w:rsidP="001D41EA">
            <w:pPr>
              <w:spacing w:before="40" w:after="20"/>
              <w:jc w:val="center"/>
              <w:rPr>
                <w:rFonts w:cs="Arial"/>
                <w:sz w:val="18"/>
                <w:szCs w:val="18"/>
              </w:rPr>
            </w:pPr>
            <w:r w:rsidRPr="001D41EA">
              <w:rPr>
                <w:rFonts w:cs="Arial"/>
                <w:sz w:val="18"/>
                <w:szCs w:val="18"/>
              </w:rPr>
              <w:t>0.812</w:t>
            </w:r>
          </w:p>
        </w:tc>
        <w:tc>
          <w:tcPr>
            <w:tcW w:w="1134" w:type="dxa"/>
            <w:tcBorders>
              <w:top w:val="nil"/>
              <w:left w:val="nil"/>
              <w:bottom w:val="nil"/>
              <w:right w:val="nil"/>
            </w:tcBorders>
            <w:vAlign w:val="bottom"/>
          </w:tcPr>
          <w:p w14:paraId="295B6B92" w14:textId="08F829FA" w:rsidR="00566EA9" w:rsidRPr="001D41EA" w:rsidRDefault="00566EA9" w:rsidP="001D41EA">
            <w:pPr>
              <w:spacing w:before="40" w:after="20"/>
              <w:jc w:val="center"/>
              <w:rPr>
                <w:rFonts w:cs="Arial"/>
                <w:sz w:val="18"/>
                <w:szCs w:val="18"/>
              </w:rPr>
            </w:pPr>
            <w:r w:rsidRPr="001D41EA">
              <w:rPr>
                <w:rFonts w:cs="Arial"/>
                <w:sz w:val="18"/>
                <w:szCs w:val="18"/>
              </w:rPr>
              <w:t>0.818</w:t>
            </w:r>
          </w:p>
        </w:tc>
        <w:tc>
          <w:tcPr>
            <w:tcW w:w="1134" w:type="dxa"/>
            <w:tcBorders>
              <w:top w:val="nil"/>
              <w:left w:val="nil"/>
              <w:bottom w:val="nil"/>
              <w:right w:val="nil"/>
            </w:tcBorders>
            <w:vAlign w:val="bottom"/>
          </w:tcPr>
          <w:p w14:paraId="63FBF79A" w14:textId="336F0E2C" w:rsidR="00566EA9" w:rsidRPr="001D41EA" w:rsidRDefault="00566EA9" w:rsidP="001D41EA">
            <w:pPr>
              <w:spacing w:before="40" w:after="20"/>
              <w:jc w:val="center"/>
              <w:rPr>
                <w:rFonts w:cs="Arial"/>
                <w:sz w:val="18"/>
                <w:szCs w:val="18"/>
              </w:rPr>
            </w:pPr>
            <w:r w:rsidRPr="001D41EA">
              <w:rPr>
                <w:rFonts w:cs="Arial"/>
                <w:sz w:val="18"/>
                <w:szCs w:val="18"/>
              </w:rPr>
              <w:t>0.814</w:t>
            </w:r>
          </w:p>
        </w:tc>
        <w:tc>
          <w:tcPr>
            <w:tcW w:w="1134" w:type="dxa"/>
            <w:tcBorders>
              <w:top w:val="nil"/>
              <w:left w:val="nil"/>
              <w:bottom w:val="nil"/>
              <w:right w:val="nil"/>
            </w:tcBorders>
            <w:shd w:val="clear" w:color="auto" w:fill="auto"/>
            <w:vAlign w:val="bottom"/>
          </w:tcPr>
          <w:p w14:paraId="333A92D6" w14:textId="467F8A39" w:rsidR="00566EA9" w:rsidRPr="001D41EA" w:rsidRDefault="00566EA9" w:rsidP="001D41EA">
            <w:pPr>
              <w:spacing w:before="40" w:after="20"/>
              <w:jc w:val="center"/>
              <w:rPr>
                <w:rFonts w:cs="Arial"/>
                <w:sz w:val="18"/>
                <w:szCs w:val="18"/>
              </w:rPr>
            </w:pPr>
            <w:r w:rsidRPr="001D41EA">
              <w:rPr>
                <w:rFonts w:cs="Arial"/>
                <w:sz w:val="18"/>
                <w:szCs w:val="18"/>
              </w:rPr>
              <w:t>0.830</w:t>
            </w:r>
          </w:p>
        </w:tc>
      </w:tr>
      <w:tr w:rsidR="00566EA9" w:rsidRPr="001D41EA" w14:paraId="5F1564B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87699D1" w14:textId="77777777" w:rsidR="00566EA9" w:rsidRPr="001D41EA" w:rsidRDefault="00566EA9" w:rsidP="001D41EA">
            <w:pPr>
              <w:spacing w:before="40" w:after="20"/>
              <w:rPr>
                <w:rFonts w:cs="Arial"/>
                <w:sz w:val="18"/>
                <w:szCs w:val="18"/>
              </w:rPr>
            </w:pPr>
            <w:r w:rsidRPr="001D41EA">
              <w:rPr>
                <w:rFonts w:cs="Arial"/>
                <w:sz w:val="18"/>
                <w:szCs w:val="18"/>
              </w:rPr>
              <w:t>Monash C</w:t>
            </w:r>
          </w:p>
        </w:tc>
        <w:tc>
          <w:tcPr>
            <w:tcW w:w="1134" w:type="dxa"/>
            <w:tcBorders>
              <w:top w:val="nil"/>
              <w:left w:val="single" w:sz="18" w:space="0" w:color="5F497A" w:themeColor="accent4" w:themeShade="BF"/>
              <w:bottom w:val="nil"/>
              <w:right w:val="nil"/>
            </w:tcBorders>
            <w:vAlign w:val="bottom"/>
          </w:tcPr>
          <w:p w14:paraId="48F791EF" w14:textId="25E67730" w:rsidR="00566EA9" w:rsidRPr="001D41EA" w:rsidRDefault="00566EA9" w:rsidP="001D41EA">
            <w:pPr>
              <w:spacing w:before="40" w:after="20"/>
              <w:jc w:val="center"/>
              <w:rPr>
                <w:rFonts w:cs="Arial"/>
                <w:sz w:val="18"/>
                <w:szCs w:val="18"/>
              </w:rPr>
            </w:pPr>
            <w:r w:rsidRPr="001D41EA">
              <w:rPr>
                <w:rFonts w:cs="Arial"/>
                <w:sz w:val="18"/>
                <w:szCs w:val="18"/>
              </w:rPr>
              <w:t>0.875</w:t>
            </w:r>
          </w:p>
        </w:tc>
        <w:tc>
          <w:tcPr>
            <w:tcW w:w="1134" w:type="dxa"/>
            <w:tcBorders>
              <w:top w:val="nil"/>
              <w:left w:val="nil"/>
              <w:bottom w:val="nil"/>
              <w:right w:val="nil"/>
            </w:tcBorders>
            <w:vAlign w:val="bottom"/>
          </w:tcPr>
          <w:p w14:paraId="5CA661B4" w14:textId="1577350C" w:rsidR="00566EA9" w:rsidRPr="001D41EA" w:rsidRDefault="00566EA9" w:rsidP="001D41EA">
            <w:pPr>
              <w:spacing w:before="40" w:after="20"/>
              <w:jc w:val="center"/>
              <w:rPr>
                <w:rFonts w:cs="Arial"/>
                <w:sz w:val="18"/>
                <w:szCs w:val="18"/>
              </w:rPr>
            </w:pPr>
            <w:r w:rsidRPr="001D41EA">
              <w:rPr>
                <w:rFonts w:cs="Arial"/>
                <w:sz w:val="18"/>
                <w:szCs w:val="18"/>
              </w:rPr>
              <w:t>0.872</w:t>
            </w:r>
          </w:p>
        </w:tc>
        <w:tc>
          <w:tcPr>
            <w:tcW w:w="170" w:type="dxa"/>
            <w:tcBorders>
              <w:top w:val="nil"/>
              <w:left w:val="nil"/>
              <w:bottom w:val="nil"/>
              <w:right w:val="nil"/>
            </w:tcBorders>
            <w:shd w:val="clear" w:color="auto" w:fill="auto"/>
            <w:vAlign w:val="bottom"/>
          </w:tcPr>
          <w:p w14:paraId="75FF1519" w14:textId="78D75181"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55D950B3" w14:textId="193AC136" w:rsidR="00566EA9" w:rsidRPr="001D41EA" w:rsidRDefault="00566EA9" w:rsidP="001D41EA">
            <w:pPr>
              <w:spacing w:before="40" w:after="20"/>
              <w:jc w:val="center"/>
              <w:rPr>
                <w:rFonts w:cs="Arial"/>
                <w:sz w:val="18"/>
                <w:szCs w:val="18"/>
              </w:rPr>
            </w:pPr>
            <w:r w:rsidRPr="001D41EA">
              <w:rPr>
                <w:rFonts w:cs="Arial"/>
                <w:sz w:val="18"/>
                <w:szCs w:val="18"/>
              </w:rPr>
              <w:t>1.197</w:t>
            </w:r>
          </w:p>
        </w:tc>
        <w:tc>
          <w:tcPr>
            <w:tcW w:w="1134" w:type="dxa"/>
            <w:tcBorders>
              <w:top w:val="nil"/>
              <w:left w:val="nil"/>
              <w:bottom w:val="nil"/>
              <w:right w:val="nil"/>
            </w:tcBorders>
            <w:vAlign w:val="bottom"/>
          </w:tcPr>
          <w:p w14:paraId="0CF9BD2B" w14:textId="7E1302C4" w:rsidR="00566EA9" w:rsidRPr="001D41EA" w:rsidRDefault="00566EA9" w:rsidP="001D41EA">
            <w:pPr>
              <w:spacing w:before="40" w:after="20"/>
              <w:jc w:val="center"/>
              <w:rPr>
                <w:rFonts w:cs="Arial"/>
                <w:sz w:val="18"/>
                <w:szCs w:val="18"/>
              </w:rPr>
            </w:pPr>
            <w:r w:rsidRPr="001D41EA">
              <w:rPr>
                <w:rFonts w:cs="Arial"/>
                <w:sz w:val="18"/>
                <w:szCs w:val="18"/>
              </w:rPr>
              <w:t>1.206</w:t>
            </w:r>
          </w:p>
        </w:tc>
        <w:tc>
          <w:tcPr>
            <w:tcW w:w="1134" w:type="dxa"/>
            <w:tcBorders>
              <w:top w:val="nil"/>
              <w:left w:val="nil"/>
              <w:bottom w:val="nil"/>
              <w:right w:val="nil"/>
            </w:tcBorders>
            <w:vAlign w:val="bottom"/>
          </w:tcPr>
          <w:p w14:paraId="1DB54040" w14:textId="3A5E045A" w:rsidR="00566EA9" w:rsidRPr="001D41EA" w:rsidRDefault="00566EA9" w:rsidP="001D41EA">
            <w:pPr>
              <w:spacing w:before="40" w:after="20"/>
              <w:jc w:val="center"/>
              <w:rPr>
                <w:rFonts w:cs="Arial"/>
                <w:sz w:val="18"/>
                <w:szCs w:val="18"/>
              </w:rPr>
            </w:pPr>
            <w:r w:rsidRPr="001D41EA">
              <w:rPr>
                <w:rFonts w:cs="Arial"/>
                <w:sz w:val="18"/>
                <w:szCs w:val="18"/>
              </w:rPr>
              <w:t>1.199</w:t>
            </w:r>
          </w:p>
        </w:tc>
        <w:tc>
          <w:tcPr>
            <w:tcW w:w="1134" w:type="dxa"/>
            <w:tcBorders>
              <w:top w:val="nil"/>
              <w:left w:val="nil"/>
              <w:bottom w:val="nil"/>
              <w:right w:val="nil"/>
            </w:tcBorders>
            <w:shd w:val="clear" w:color="auto" w:fill="auto"/>
            <w:vAlign w:val="bottom"/>
          </w:tcPr>
          <w:p w14:paraId="63DAE1CD" w14:textId="43D9C0F2" w:rsidR="00566EA9" w:rsidRPr="001D41EA" w:rsidRDefault="00566EA9" w:rsidP="001D41EA">
            <w:pPr>
              <w:spacing w:before="40" w:after="20"/>
              <w:jc w:val="center"/>
              <w:rPr>
                <w:rFonts w:cs="Arial"/>
                <w:sz w:val="18"/>
                <w:szCs w:val="18"/>
              </w:rPr>
            </w:pPr>
            <w:r w:rsidRPr="001D41EA">
              <w:rPr>
                <w:rFonts w:cs="Arial"/>
                <w:sz w:val="18"/>
                <w:szCs w:val="18"/>
              </w:rPr>
              <w:t>1.222</w:t>
            </w:r>
          </w:p>
        </w:tc>
      </w:tr>
      <w:tr w:rsidR="00566EA9" w:rsidRPr="001D41EA" w14:paraId="2FF5DFE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2C69CBF" w14:textId="77777777" w:rsidR="00566EA9" w:rsidRPr="001D41EA" w:rsidRDefault="00566EA9" w:rsidP="001D41EA">
            <w:pPr>
              <w:spacing w:before="40" w:after="20"/>
              <w:rPr>
                <w:rFonts w:cs="Arial"/>
                <w:sz w:val="18"/>
                <w:szCs w:val="18"/>
              </w:rPr>
            </w:pPr>
            <w:r w:rsidRPr="001D41EA">
              <w:rPr>
                <w:rFonts w:cs="Arial"/>
                <w:sz w:val="18"/>
                <w:szCs w:val="18"/>
              </w:rPr>
              <w:t>Moonee Valley C</w:t>
            </w:r>
          </w:p>
        </w:tc>
        <w:tc>
          <w:tcPr>
            <w:tcW w:w="1134" w:type="dxa"/>
            <w:tcBorders>
              <w:top w:val="nil"/>
              <w:left w:val="single" w:sz="18" w:space="0" w:color="5F497A" w:themeColor="accent4" w:themeShade="BF"/>
              <w:bottom w:val="nil"/>
              <w:right w:val="nil"/>
            </w:tcBorders>
            <w:vAlign w:val="bottom"/>
          </w:tcPr>
          <w:p w14:paraId="28782F6B" w14:textId="13CBCC00" w:rsidR="00566EA9" w:rsidRPr="001D41EA" w:rsidRDefault="00566EA9" w:rsidP="001D41EA">
            <w:pPr>
              <w:spacing w:before="40" w:after="20"/>
              <w:jc w:val="center"/>
              <w:rPr>
                <w:rFonts w:cs="Arial"/>
                <w:sz w:val="18"/>
                <w:szCs w:val="18"/>
              </w:rPr>
            </w:pPr>
            <w:r w:rsidRPr="001D41EA">
              <w:rPr>
                <w:rFonts w:cs="Arial"/>
                <w:sz w:val="18"/>
                <w:szCs w:val="18"/>
              </w:rPr>
              <w:t>0.906</w:t>
            </w:r>
          </w:p>
        </w:tc>
        <w:tc>
          <w:tcPr>
            <w:tcW w:w="1134" w:type="dxa"/>
            <w:tcBorders>
              <w:top w:val="nil"/>
              <w:left w:val="nil"/>
              <w:bottom w:val="nil"/>
              <w:right w:val="nil"/>
            </w:tcBorders>
            <w:vAlign w:val="bottom"/>
          </w:tcPr>
          <w:p w14:paraId="25BFE228" w14:textId="0C5DC570" w:rsidR="00566EA9" w:rsidRPr="001D41EA" w:rsidRDefault="00566EA9" w:rsidP="001D41EA">
            <w:pPr>
              <w:spacing w:before="40" w:after="20"/>
              <w:jc w:val="center"/>
              <w:rPr>
                <w:rFonts w:cs="Arial"/>
                <w:sz w:val="18"/>
                <w:szCs w:val="18"/>
              </w:rPr>
            </w:pPr>
            <w:r w:rsidRPr="001D41EA">
              <w:rPr>
                <w:rFonts w:cs="Arial"/>
                <w:sz w:val="18"/>
                <w:szCs w:val="18"/>
              </w:rPr>
              <w:t>0.903</w:t>
            </w:r>
          </w:p>
        </w:tc>
        <w:tc>
          <w:tcPr>
            <w:tcW w:w="170" w:type="dxa"/>
            <w:tcBorders>
              <w:top w:val="nil"/>
              <w:left w:val="nil"/>
              <w:bottom w:val="nil"/>
              <w:right w:val="nil"/>
            </w:tcBorders>
            <w:shd w:val="clear" w:color="auto" w:fill="auto"/>
            <w:vAlign w:val="bottom"/>
          </w:tcPr>
          <w:p w14:paraId="4D53DA8B" w14:textId="5AAE4E04"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24F3E150" w14:textId="046C1E53" w:rsidR="00566EA9" w:rsidRPr="001D41EA" w:rsidRDefault="00566EA9" w:rsidP="001D41EA">
            <w:pPr>
              <w:spacing w:before="40" w:after="20"/>
              <w:jc w:val="center"/>
              <w:rPr>
                <w:rFonts w:cs="Arial"/>
                <w:sz w:val="18"/>
                <w:szCs w:val="18"/>
              </w:rPr>
            </w:pPr>
            <w:r w:rsidRPr="001D41EA">
              <w:rPr>
                <w:rFonts w:cs="Arial"/>
                <w:sz w:val="18"/>
                <w:szCs w:val="18"/>
              </w:rPr>
              <w:t>0.998</w:t>
            </w:r>
          </w:p>
        </w:tc>
        <w:tc>
          <w:tcPr>
            <w:tcW w:w="1134" w:type="dxa"/>
            <w:tcBorders>
              <w:top w:val="nil"/>
              <w:left w:val="nil"/>
              <w:bottom w:val="nil"/>
              <w:right w:val="nil"/>
            </w:tcBorders>
            <w:vAlign w:val="bottom"/>
          </w:tcPr>
          <w:p w14:paraId="3B17733C" w14:textId="42D41850" w:rsidR="00566EA9" w:rsidRPr="001D41EA" w:rsidRDefault="00566EA9" w:rsidP="001D41EA">
            <w:pPr>
              <w:spacing w:before="40" w:after="20"/>
              <w:jc w:val="center"/>
              <w:rPr>
                <w:rFonts w:cs="Arial"/>
                <w:sz w:val="18"/>
                <w:szCs w:val="18"/>
              </w:rPr>
            </w:pPr>
            <w:r w:rsidRPr="001D41EA">
              <w:rPr>
                <w:rFonts w:cs="Arial"/>
                <w:sz w:val="18"/>
                <w:szCs w:val="18"/>
              </w:rPr>
              <w:t>1.005</w:t>
            </w:r>
          </w:p>
        </w:tc>
        <w:tc>
          <w:tcPr>
            <w:tcW w:w="1134" w:type="dxa"/>
            <w:tcBorders>
              <w:top w:val="nil"/>
              <w:left w:val="nil"/>
              <w:bottom w:val="nil"/>
              <w:right w:val="nil"/>
            </w:tcBorders>
            <w:vAlign w:val="bottom"/>
          </w:tcPr>
          <w:p w14:paraId="28BDC5DA" w14:textId="5DB59DD0" w:rsidR="00566EA9" w:rsidRPr="001D41EA" w:rsidRDefault="00566EA9" w:rsidP="001D41EA">
            <w:pPr>
              <w:spacing w:before="40" w:after="20"/>
              <w:jc w:val="center"/>
              <w:rPr>
                <w:rFonts w:cs="Arial"/>
                <w:sz w:val="18"/>
                <w:szCs w:val="18"/>
              </w:rPr>
            </w:pPr>
            <w:r w:rsidRPr="001D41EA">
              <w:rPr>
                <w:rFonts w:cs="Arial"/>
                <w:sz w:val="18"/>
                <w:szCs w:val="18"/>
              </w:rPr>
              <w:t>1.000</w:t>
            </w:r>
          </w:p>
        </w:tc>
        <w:tc>
          <w:tcPr>
            <w:tcW w:w="1134" w:type="dxa"/>
            <w:tcBorders>
              <w:top w:val="nil"/>
              <w:left w:val="nil"/>
              <w:bottom w:val="nil"/>
              <w:right w:val="nil"/>
            </w:tcBorders>
            <w:shd w:val="clear" w:color="auto" w:fill="auto"/>
            <w:vAlign w:val="bottom"/>
          </w:tcPr>
          <w:p w14:paraId="0DAC8EFB" w14:textId="1B740BDB" w:rsidR="00566EA9" w:rsidRPr="001D41EA" w:rsidRDefault="00566EA9" w:rsidP="001D41EA">
            <w:pPr>
              <w:spacing w:before="40" w:after="20"/>
              <w:jc w:val="center"/>
              <w:rPr>
                <w:rFonts w:cs="Arial"/>
                <w:sz w:val="18"/>
                <w:szCs w:val="18"/>
              </w:rPr>
            </w:pPr>
            <w:r w:rsidRPr="001D41EA">
              <w:rPr>
                <w:rFonts w:cs="Arial"/>
                <w:sz w:val="18"/>
                <w:szCs w:val="18"/>
              </w:rPr>
              <w:t>1.019</w:t>
            </w:r>
          </w:p>
        </w:tc>
      </w:tr>
      <w:tr w:rsidR="00566EA9" w:rsidRPr="001D41EA" w14:paraId="2967A2E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69BFEB6" w14:textId="77777777" w:rsidR="00566EA9" w:rsidRPr="001D41EA" w:rsidRDefault="00566EA9" w:rsidP="001D41EA">
            <w:pPr>
              <w:spacing w:before="40" w:after="20"/>
              <w:rPr>
                <w:rFonts w:cs="Arial"/>
                <w:sz w:val="18"/>
                <w:szCs w:val="18"/>
              </w:rPr>
            </w:pPr>
            <w:r w:rsidRPr="001D41EA">
              <w:rPr>
                <w:rFonts w:cs="Arial"/>
                <w:sz w:val="18"/>
                <w:szCs w:val="18"/>
              </w:rPr>
              <w:t>Moorabool S</w:t>
            </w:r>
          </w:p>
        </w:tc>
        <w:tc>
          <w:tcPr>
            <w:tcW w:w="1134" w:type="dxa"/>
            <w:tcBorders>
              <w:top w:val="nil"/>
              <w:left w:val="single" w:sz="18" w:space="0" w:color="5F497A" w:themeColor="accent4" w:themeShade="BF"/>
              <w:bottom w:val="nil"/>
              <w:right w:val="nil"/>
            </w:tcBorders>
            <w:vAlign w:val="bottom"/>
          </w:tcPr>
          <w:p w14:paraId="29873268" w14:textId="4DF79B7D" w:rsidR="00566EA9" w:rsidRPr="001D41EA" w:rsidRDefault="00566EA9" w:rsidP="001D41EA">
            <w:pPr>
              <w:spacing w:before="40" w:after="20"/>
              <w:jc w:val="center"/>
              <w:rPr>
                <w:rFonts w:cs="Arial"/>
                <w:sz w:val="18"/>
                <w:szCs w:val="18"/>
              </w:rPr>
            </w:pPr>
            <w:r w:rsidRPr="001D41EA">
              <w:rPr>
                <w:rFonts w:cs="Arial"/>
                <w:sz w:val="18"/>
                <w:szCs w:val="18"/>
              </w:rPr>
              <w:t>1.084</w:t>
            </w:r>
          </w:p>
        </w:tc>
        <w:tc>
          <w:tcPr>
            <w:tcW w:w="1134" w:type="dxa"/>
            <w:tcBorders>
              <w:top w:val="nil"/>
              <w:left w:val="nil"/>
              <w:bottom w:val="nil"/>
              <w:right w:val="nil"/>
            </w:tcBorders>
            <w:vAlign w:val="bottom"/>
          </w:tcPr>
          <w:p w14:paraId="42A592A7" w14:textId="2F14D677" w:rsidR="00566EA9" w:rsidRPr="001D41EA" w:rsidRDefault="00566EA9" w:rsidP="001D41EA">
            <w:pPr>
              <w:spacing w:before="40" w:after="20"/>
              <w:jc w:val="center"/>
              <w:rPr>
                <w:rFonts w:cs="Arial"/>
                <w:sz w:val="18"/>
                <w:szCs w:val="18"/>
              </w:rPr>
            </w:pPr>
            <w:r w:rsidRPr="001D41EA">
              <w:rPr>
                <w:rFonts w:cs="Arial"/>
                <w:sz w:val="18"/>
                <w:szCs w:val="18"/>
              </w:rPr>
              <w:t>1.080</w:t>
            </w:r>
          </w:p>
        </w:tc>
        <w:tc>
          <w:tcPr>
            <w:tcW w:w="170" w:type="dxa"/>
            <w:tcBorders>
              <w:top w:val="nil"/>
              <w:left w:val="nil"/>
              <w:bottom w:val="nil"/>
              <w:right w:val="nil"/>
            </w:tcBorders>
            <w:shd w:val="clear" w:color="auto" w:fill="auto"/>
            <w:vAlign w:val="bottom"/>
          </w:tcPr>
          <w:p w14:paraId="64F7E675" w14:textId="529E0636"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155115E3" w14:textId="4D7454B8" w:rsidR="00566EA9" w:rsidRPr="001D41EA" w:rsidRDefault="00566EA9" w:rsidP="001D41EA">
            <w:pPr>
              <w:spacing w:before="40" w:after="20"/>
              <w:jc w:val="center"/>
              <w:rPr>
                <w:rFonts w:cs="Arial"/>
                <w:sz w:val="18"/>
                <w:szCs w:val="18"/>
              </w:rPr>
            </w:pPr>
            <w:r w:rsidRPr="001D41EA">
              <w:rPr>
                <w:rFonts w:cs="Arial"/>
                <w:sz w:val="18"/>
                <w:szCs w:val="18"/>
              </w:rPr>
              <w:t>0.804</w:t>
            </w:r>
          </w:p>
        </w:tc>
        <w:tc>
          <w:tcPr>
            <w:tcW w:w="1134" w:type="dxa"/>
            <w:tcBorders>
              <w:top w:val="nil"/>
              <w:left w:val="nil"/>
              <w:bottom w:val="nil"/>
              <w:right w:val="nil"/>
            </w:tcBorders>
            <w:vAlign w:val="bottom"/>
          </w:tcPr>
          <w:p w14:paraId="62C150D9" w14:textId="02E2E73F" w:rsidR="00566EA9" w:rsidRPr="001D41EA" w:rsidRDefault="00566EA9" w:rsidP="001D41EA">
            <w:pPr>
              <w:spacing w:before="40" w:after="20"/>
              <w:jc w:val="center"/>
              <w:rPr>
                <w:rFonts w:cs="Arial"/>
                <w:sz w:val="18"/>
                <w:szCs w:val="18"/>
              </w:rPr>
            </w:pPr>
            <w:r w:rsidRPr="001D41EA">
              <w:rPr>
                <w:rFonts w:cs="Arial"/>
                <w:sz w:val="18"/>
                <w:szCs w:val="18"/>
              </w:rPr>
              <w:t>0.810</w:t>
            </w:r>
          </w:p>
        </w:tc>
        <w:tc>
          <w:tcPr>
            <w:tcW w:w="1134" w:type="dxa"/>
            <w:tcBorders>
              <w:top w:val="nil"/>
              <w:left w:val="nil"/>
              <w:bottom w:val="nil"/>
              <w:right w:val="nil"/>
            </w:tcBorders>
            <w:vAlign w:val="bottom"/>
          </w:tcPr>
          <w:p w14:paraId="4AA73867" w14:textId="55CE0B8A" w:rsidR="00566EA9" w:rsidRPr="001D41EA" w:rsidRDefault="00566EA9" w:rsidP="001D41EA">
            <w:pPr>
              <w:spacing w:before="40" w:after="20"/>
              <w:jc w:val="center"/>
              <w:rPr>
                <w:rFonts w:cs="Arial"/>
                <w:sz w:val="18"/>
                <w:szCs w:val="18"/>
              </w:rPr>
            </w:pPr>
            <w:r w:rsidRPr="001D41EA">
              <w:rPr>
                <w:rFonts w:cs="Arial"/>
                <w:sz w:val="18"/>
                <w:szCs w:val="18"/>
              </w:rPr>
              <w:t>0.806</w:t>
            </w:r>
          </w:p>
        </w:tc>
        <w:tc>
          <w:tcPr>
            <w:tcW w:w="1134" w:type="dxa"/>
            <w:tcBorders>
              <w:top w:val="nil"/>
              <w:left w:val="nil"/>
              <w:bottom w:val="nil"/>
              <w:right w:val="nil"/>
            </w:tcBorders>
            <w:shd w:val="clear" w:color="auto" w:fill="auto"/>
            <w:vAlign w:val="bottom"/>
          </w:tcPr>
          <w:p w14:paraId="2D477531" w14:textId="5C9D9B0E" w:rsidR="00566EA9" w:rsidRPr="001D41EA" w:rsidRDefault="00566EA9" w:rsidP="001D41EA">
            <w:pPr>
              <w:spacing w:before="40" w:after="20"/>
              <w:jc w:val="center"/>
              <w:rPr>
                <w:rFonts w:cs="Arial"/>
                <w:sz w:val="18"/>
                <w:szCs w:val="18"/>
              </w:rPr>
            </w:pPr>
            <w:r w:rsidRPr="001D41EA">
              <w:rPr>
                <w:rFonts w:cs="Arial"/>
                <w:sz w:val="18"/>
                <w:szCs w:val="18"/>
              </w:rPr>
              <w:t>0.821</w:t>
            </w:r>
          </w:p>
        </w:tc>
      </w:tr>
      <w:tr w:rsidR="00566EA9" w:rsidRPr="001D41EA" w14:paraId="7F0DAAC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7E16A6A" w14:textId="77777777" w:rsidR="00566EA9" w:rsidRPr="001D41EA" w:rsidRDefault="00566EA9" w:rsidP="001D41EA">
            <w:pPr>
              <w:spacing w:before="40" w:after="20"/>
              <w:rPr>
                <w:rFonts w:cs="Arial"/>
                <w:sz w:val="18"/>
                <w:szCs w:val="18"/>
              </w:rPr>
            </w:pPr>
            <w:r w:rsidRPr="001D41EA">
              <w:rPr>
                <w:rFonts w:cs="Arial"/>
                <w:sz w:val="18"/>
                <w:szCs w:val="18"/>
              </w:rPr>
              <w:t>Moreland C</w:t>
            </w:r>
          </w:p>
        </w:tc>
        <w:tc>
          <w:tcPr>
            <w:tcW w:w="1134" w:type="dxa"/>
            <w:tcBorders>
              <w:top w:val="nil"/>
              <w:left w:val="single" w:sz="18" w:space="0" w:color="5F497A" w:themeColor="accent4" w:themeShade="BF"/>
              <w:bottom w:val="nil"/>
              <w:right w:val="nil"/>
            </w:tcBorders>
            <w:vAlign w:val="bottom"/>
          </w:tcPr>
          <w:p w14:paraId="6DBC0699" w14:textId="25524479" w:rsidR="00566EA9" w:rsidRPr="001D41EA" w:rsidRDefault="00566EA9" w:rsidP="001D41EA">
            <w:pPr>
              <w:spacing w:before="40" w:after="20"/>
              <w:jc w:val="center"/>
              <w:rPr>
                <w:rFonts w:cs="Arial"/>
                <w:sz w:val="18"/>
                <w:szCs w:val="18"/>
              </w:rPr>
            </w:pPr>
            <w:r w:rsidRPr="001D41EA">
              <w:rPr>
                <w:rFonts w:cs="Arial"/>
                <w:sz w:val="18"/>
                <w:szCs w:val="18"/>
              </w:rPr>
              <w:t>0.935</w:t>
            </w:r>
          </w:p>
        </w:tc>
        <w:tc>
          <w:tcPr>
            <w:tcW w:w="1134" w:type="dxa"/>
            <w:tcBorders>
              <w:top w:val="nil"/>
              <w:left w:val="nil"/>
              <w:bottom w:val="nil"/>
              <w:right w:val="nil"/>
            </w:tcBorders>
            <w:vAlign w:val="bottom"/>
          </w:tcPr>
          <w:p w14:paraId="61560E38" w14:textId="6019AE5F" w:rsidR="00566EA9" w:rsidRPr="001D41EA" w:rsidRDefault="00566EA9" w:rsidP="001D41EA">
            <w:pPr>
              <w:spacing w:before="40" w:after="20"/>
              <w:jc w:val="center"/>
              <w:rPr>
                <w:rFonts w:cs="Arial"/>
                <w:sz w:val="18"/>
                <w:szCs w:val="18"/>
              </w:rPr>
            </w:pPr>
            <w:r w:rsidRPr="001D41EA">
              <w:rPr>
                <w:rFonts w:cs="Arial"/>
                <w:sz w:val="18"/>
                <w:szCs w:val="18"/>
              </w:rPr>
              <w:t>0.932</w:t>
            </w:r>
          </w:p>
        </w:tc>
        <w:tc>
          <w:tcPr>
            <w:tcW w:w="170" w:type="dxa"/>
            <w:tcBorders>
              <w:top w:val="nil"/>
              <w:left w:val="nil"/>
              <w:bottom w:val="nil"/>
              <w:right w:val="nil"/>
            </w:tcBorders>
            <w:shd w:val="clear" w:color="auto" w:fill="auto"/>
            <w:vAlign w:val="bottom"/>
          </w:tcPr>
          <w:p w14:paraId="3D6C7740" w14:textId="429619F4"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0527A43A" w14:textId="5443593D" w:rsidR="00566EA9" w:rsidRPr="001D41EA" w:rsidRDefault="00566EA9" w:rsidP="001D41EA">
            <w:pPr>
              <w:spacing w:before="40" w:after="20"/>
              <w:jc w:val="center"/>
              <w:rPr>
                <w:rFonts w:cs="Arial"/>
                <w:sz w:val="18"/>
                <w:szCs w:val="18"/>
              </w:rPr>
            </w:pPr>
            <w:r w:rsidRPr="001D41EA">
              <w:rPr>
                <w:rFonts w:cs="Arial"/>
                <w:sz w:val="18"/>
                <w:szCs w:val="18"/>
              </w:rPr>
              <w:t>1.076</w:t>
            </w:r>
          </w:p>
        </w:tc>
        <w:tc>
          <w:tcPr>
            <w:tcW w:w="1134" w:type="dxa"/>
            <w:tcBorders>
              <w:top w:val="nil"/>
              <w:left w:val="nil"/>
              <w:bottom w:val="nil"/>
              <w:right w:val="nil"/>
            </w:tcBorders>
            <w:vAlign w:val="bottom"/>
          </w:tcPr>
          <w:p w14:paraId="5CD3ED9B" w14:textId="36C35420" w:rsidR="00566EA9" w:rsidRPr="001D41EA" w:rsidRDefault="00566EA9" w:rsidP="001D41EA">
            <w:pPr>
              <w:spacing w:before="40" w:after="20"/>
              <w:jc w:val="center"/>
              <w:rPr>
                <w:rFonts w:cs="Arial"/>
                <w:sz w:val="18"/>
                <w:szCs w:val="18"/>
              </w:rPr>
            </w:pPr>
            <w:r w:rsidRPr="001D41EA">
              <w:rPr>
                <w:rFonts w:cs="Arial"/>
                <w:sz w:val="18"/>
                <w:szCs w:val="18"/>
              </w:rPr>
              <w:t>1.085</w:t>
            </w:r>
          </w:p>
        </w:tc>
        <w:tc>
          <w:tcPr>
            <w:tcW w:w="1134" w:type="dxa"/>
            <w:tcBorders>
              <w:top w:val="nil"/>
              <w:left w:val="nil"/>
              <w:bottom w:val="nil"/>
              <w:right w:val="nil"/>
            </w:tcBorders>
            <w:vAlign w:val="bottom"/>
          </w:tcPr>
          <w:p w14:paraId="0334B75D" w14:textId="7E7F16BA" w:rsidR="00566EA9" w:rsidRPr="001D41EA" w:rsidRDefault="00566EA9" w:rsidP="001D41EA">
            <w:pPr>
              <w:spacing w:before="40" w:after="20"/>
              <w:jc w:val="center"/>
              <w:rPr>
                <w:rFonts w:cs="Arial"/>
                <w:sz w:val="18"/>
                <w:szCs w:val="18"/>
              </w:rPr>
            </w:pPr>
            <w:r w:rsidRPr="001D41EA">
              <w:rPr>
                <w:rFonts w:cs="Arial"/>
                <w:sz w:val="18"/>
                <w:szCs w:val="18"/>
              </w:rPr>
              <w:t>1.079</w:t>
            </w:r>
          </w:p>
        </w:tc>
        <w:tc>
          <w:tcPr>
            <w:tcW w:w="1134" w:type="dxa"/>
            <w:tcBorders>
              <w:top w:val="nil"/>
              <w:left w:val="nil"/>
              <w:bottom w:val="nil"/>
              <w:right w:val="nil"/>
            </w:tcBorders>
            <w:shd w:val="clear" w:color="auto" w:fill="auto"/>
            <w:vAlign w:val="bottom"/>
          </w:tcPr>
          <w:p w14:paraId="494F376A" w14:textId="6C97EC3B" w:rsidR="00566EA9" w:rsidRPr="001D41EA" w:rsidRDefault="00566EA9" w:rsidP="001D41EA">
            <w:pPr>
              <w:spacing w:before="40" w:after="20"/>
              <w:jc w:val="center"/>
              <w:rPr>
                <w:rFonts w:cs="Arial"/>
                <w:sz w:val="18"/>
                <w:szCs w:val="18"/>
              </w:rPr>
            </w:pPr>
            <w:r w:rsidRPr="001D41EA">
              <w:rPr>
                <w:rFonts w:cs="Arial"/>
                <w:sz w:val="18"/>
                <w:szCs w:val="18"/>
              </w:rPr>
              <w:t>1.100</w:t>
            </w:r>
          </w:p>
        </w:tc>
      </w:tr>
      <w:tr w:rsidR="00566EA9" w:rsidRPr="001D41EA" w14:paraId="6681DDA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A5CB8BB" w14:textId="77777777" w:rsidR="00566EA9" w:rsidRPr="001D41EA" w:rsidRDefault="00566EA9" w:rsidP="001D41EA">
            <w:pPr>
              <w:spacing w:before="40" w:after="20"/>
              <w:rPr>
                <w:rFonts w:cs="Arial"/>
                <w:sz w:val="18"/>
                <w:szCs w:val="18"/>
              </w:rPr>
            </w:pPr>
            <w:r w:rsidRPr="001D41EA">
              <w:rPr>
                <w:rFonts w:cs="Arial"/>
                <w:sz w:val="18"/>
                <w:szCs w:val="18"/>
              </w:rPr>
              <w:t>Mornington Peninsula S</w:t>
            </w:r>
          </w:p>
        </w:tc>
        <w:tc>
          <w:tcPr>
            <w:tcW w:w="1134" w:type="dxa"/>
            <w:tcBorders>
              <w:top w:val="nil"/>
              <w:left w:val="single" w:sz="18" w:space="0" w:color="5F497A" w:themeColor="accent4" w:themeShade="BF"/>
              <w:bottom w:val="nil"/>
              <w:right w:val="nil"/>
            </w:tcBorders>
            <w:vAlign w:val="bottom"/>
          </w:tcPr>
          <w:p w14:paraId="6227B945" w14:textId="1B4E8DA5" w:rsidR="00566EA9" w:rsidRPr="001D41EA" w:rsidRDefault="00566EA9" w:rsidP="001D41EA">
            <w:pPr>
              <w:spacing w:before="40" w:after="20"/>
              <w:jc w:val="center"/>
              <w:rPr>
                <w:rFonts w:cs="Arial"/>
                <w:sz w:val="18"/>
                <w:szCs w:val="18"/>
              </w:rPr>
            </w:pPr>
            <w:r w:rsidRPr="001D41EA">
              <w:rPr>
                <w:rFonts w:cs="Arial"/>
                <w:sz w:val="18"/>
                <w:szCs w:val="18"/>
              </w:rPr>
              <w:t>1.011</w:t>
            </w:r>
          </w:p>
        </w:tc>
        <w:tc>
          <w:tcPr>
            <w:tcW w:w="1134" w:type="dxa"/>
            <w:tcBorders>
              <w:top w:val="nil"/>
              <w:left w:val="nil"/>
              <w:bottom w:val="nil"/>
              <w:right w:val="nil"/>
            </w:tcBorders>
            <w:vAlign w:val="bottom"/>
          </w:tcPr>
          <w:p w14:paraId="28FB7604" w14:textId="2F9CB04F" w:rsidR="00566EA9" w:rsidRPr="001D41EA" w:rsidRDefault="00566EA9" w:rsidP="001D41EA">
            <w:pPr>
              <w:spacing w:before="40" w:after="20"/>
              <w:jc w:val="center"/>
              <w:rPr>
                <w:rFonts w:cs="Arial"/>
                <w:sz w:val="18"/>
                <w:szCs w:val="18"/>
              </w:rPr>
            </w:pPr>
            <w:r w:rsidRPr="001D41EA">
              <w:rPr>
                <w:rFonts w:cs="Arial"/>
                <w:sz w:val="18"/>
                <w:szCs w:val="18"/>
              </w:rPr>
              <w:t>1.008</w:t>
            </w:r>
          </w:p>
        </w:tc>
        <w:tc>
          <w:tcPr>
            <w:tcW w:w="170" w:type="dxa"/>
            <w:tcBorders>
              <w:top w:val="nil"/>
              <w:left w:val="nil"/>
              <w:bottom w:val="nil"/>
              <w:right w:val="nil"/>
            </w:tcBorders>
            <w:shd w:val="clear" w:color="auto" w:fill="auto"/>
            <w:vAlign w:val="bottom"/>
          </w:tcPr>
          <w:p w14:paraId="51EB4B26" w14:textId="04653EF0"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4AAEC686" w14:textId="29249779" w:rsidR="00566EA9" w:rsidRPr="001D41EA" w:rsidRDefault="00566EA9" w:rsidP="001D41EA">
            <w:pPr>
              <w:spacing w:before="40" w:after="20"/>
              <w:jc w:val="center"/>
              <w:rPr>
                <w:rFonts w:cs="Arial"/>
                <w:sz w:val="18"/>
                <w:szCs w:val="18"/>
              </w:rPr>
            </w:pPr>
            <w:r w:rsidRPr="001D41EA">
              <w:rPr>
                <w:rFonts w:cs="Arial"/>
                <w:sz w:val="18"/>
                <w:szCs w:val="18"/>
              </w:rPr>
              <w:t>0.807</w:t>
            </w:r>
          </w:p>
        </w:tc>
        <w:tc>
          <w:tcPr>
            <w:tcW w:w="1134" w:type="dxa"/>
            <w:tcBorders>
              <w:top w:val="nil"/>
              <w:left w:val="nil"/>
              <w:bottom w:val="nil"/>
              <w:right w:val="nil"/>
            </w:tcBorders>
            <w:vAlign w:val="bottom"/>
          </w:tcPr>
          <w:p w14:paraId="2E02D4BA" w14:textId="7BD3CF73" w:rsidR="00566EA9" w:rsidRPr="001D41EA" w:rsidRDefault="00566EA9" w:rsidP="001D41EA">
            <w:pPr>
              <w:spacing w:before="40" w:after="20"/>
              <w:jc w:val="center"/>
              <w:rPr>
                <w:rFonts w:cs="Arial"/>
                <w:sz w:val="18"/>
                <w:szCs w:val="18"/>
              </w:rPr>
            </w:pPr>
            <w:r w:rsidRPr="001D41EA">
              <w:rPr>
                <w:rFonts w:cs="Arial"/>
                <w:sz w:val="18"/>
                <w:szCs w:val="18"/>
              </w:rPr>
              <w:t>0.813</w:t>
            </w:r>
          </w:p>
        </w:tc>
        <w:tc>
          <w:tcPr>
            <w:tcW w:w="1134" w:type="dxa"/>
            <w:tcBorders>
              <w:top w:val="nil"/>
              <w:left w:val="nil"/>
              <w:bottom w:val="nil"/>
              <w:right w:val="nil"/>
            </w:tcBorders>
            <w:vAlign w:val="bottom"/>
          </w:tcPr>
          <w:p w14:paraId="624F0CAC" w14:textId="07CA6E75" w:rsidR="00566EA9" w:rsidRPr="001D41EA" w:rsidRDefault="00566EA9" w:rsidP="001D41EA">
            <w:pPr>
              <w:spacing w:before="40" w:after="20"/>
              <w:jc w:val="center"/>
              <w:rPr>
                <w:rFonts w:cs="Arial"/>
                <w:sz w:val="18"/>
                <w:szCs w:val="18"/>
              </w:rPr>
            </w:pPr>
            <w:r w:rsidRPr="001D41EA">
              <w:rPr>
                <w:rFonts w:cs="Arial"/>
                <w:sz w:val="18"/>
                <w:szCs w:val="18"/>
              </w:rPr>
              <w:t>0.809</w:t>
            </w:r>
          </w:p>
        </w:tc>
        <w:tc>
          <w:tcPr>
            <w:tcW w:w="1134" w:type="dxa"/>
            <w:tcBorders>
              <w:top w:val="nil"/>
              <w:left w:val="nil"/>
              <w:bottom w:val="nil"/>
              <w:right w:val="nil"/>
            </w:tcBorders>
            <w:shd w:val="clear" w:color="auto" w:fill="auto"/>
            <w:vAlign w:val="bottom"/>
          </w:tcPr>
          <w:p w14:paraId="3DA7B970" w14:textId="7BFC45C2" w:rsidR="00566EA9" w:rsidRPr="001D41EA" w:rsidRDefault="00566EA9" w:rsidP="001D41EA">
            <w:pPr>
              <w:spacing w:before="40" w:after="20"/>
              <w:jc w:val="center"/>
              <w:rPr>
                <w:rFonts w:cs="Arial"/>
                <w:sz w:val="18"/>
                <w:szCs w:val="18"/>
              </w:rPr>
            </w:pPr>
            <w:r w:rsidRPr="001D41EA">
              <w:rPr>
                <w:rFonts w:cs="Arial"/>
                <w:sz w:val="18"/>
                <w:szCs w:val="18"/>
              </w:rPr>
              <w:t>0.824</w:t>
            </w:r>
          </w:p>
        </w:tc>
      </w:tr>
      <w:tr w:rsidR="00566EA9" w:rsidRPr="001D41EA" w14:paraId="157F827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F21DD1D" w14:textId="77777777" w:rsidR="00566EA9" w:rsidRPr="001D41EA" w:rsidRDefault="00566EA9" w:rsidP="001D41EA">
            <w:pPr>
              <w:spacing w:before="40" w:after="20"/>
              <w:rPr>
                <w:rFonts w:cs="Arial"/>
                <w:sz w:val="18"/>
                <w:szCs w:val="18"/>
              </w:rPr>
            </w:pPr>
            <w:r w:rsidRPr="001D41EA">
              <w:rPr>
                <w:rFonts w:cs="Arial"/>
                <w:sz w:val="18"/>
                <w:szCs w:val="18"/>
              </w:rPr>
              <w:t>Mount Alexander S</w:t>
            </w:r>
          </w:p>
        </w:tc>
        <w:tc>
          <w:tcPr>
            <w:tcW w:w="1134" w:type="dxa"/>
            <w:tcBorders>
              <w:top w:val="nil"/>
              <w:left w:val="single" w:sz="18" w:space="0" w:color="5F497A" w:themeColor="accent4" w:themeShade="BF"/>
              <w:bottom w:val="nil"/>
              <w:right w:val="nil"/>
            </w:tcBorders>
            <w:vAlign w:val="bottom"/>
          </w:tcPr>
          <w:p w14:paraId="712C5BE7" w14:textId="180D19B7" w:rsidR="00566EA9" w:rsidRPr="001D41EA" w:rsidRDefault="00566EA9" w:rsidP="001D41EA">
            <w:pPr>
              <w:spacing w:before="40" w:after="20"/>
              <w:jc w:val="center"/>
              <w:rPr>
                <w:rFonts w:cs="Arial"/>
                <w:sz w:val="18"/>
                <w:szCs w:val="18"/>
              </w:rPr>
            </w:pPr>
            <w:r w:rsidRPr="001D41EA">
              <w:rPr>
                <w:rFonts w:cs="Arial"/>
                <w:sz w:val="18"/>
                <w:szCs w:val="18"/>
              </w:rPr>
              <w:t>1.072</w:t>
            </w:r>
          </w:p>
        </w:tc>
        <w:tc>
          <w:tcPr>
            <w:tcW w:w="1134" w:type="dxa"/>
            <w:tcBorders>
              <w:top w:val="nil"/>
              <w:left w:val="nil"/>
              <w:bottom w:val="nil"/>
              <w:right w:val="nil"/>
            </w:tcBorders>
            <w:vAlign w:val="bottom"/>
          </w:tcPr>
          <w:p w14:paraId="4DCE99DD" w14:textId="49A04D3C" w:rsidR="00566EA9" w:rsidRPr="001D41EA" w:rsidRDefault="00566EA9" w:rsidP="001D41EA">
            <w:pPr>
              <w:spacing w:before="40" w:after="20"/>
              <w:jc w:val="center"/>
              <w:rPr>
                <w:rFonts w:cs="Arial"/>
                <w:sz w:val="18"/>
                <w:szCs w:val="18"/>
              </w:rPr>
            </w:pPr>
            <w:r w:rsidRPr="001D41EA">
              <w:rPr>
                <w:rFonts w:cs="Arial"/>
                <w:sz w:val="18"/>
                <w:szCs w:val="18"/>
              </w:rPr>
              <w:t>1.069</w:t>
            </w:r>
          </w:p>
        </w:tc>
        <w:tc>
          <w:tcPr>
            <w:tcW w:w="170" w:type="dxa"/>
            <w:tcBorders>
              <w:top w:val="nil"/>
              <w:left w:val="nil"/>
              <w:bottom w:val="nil"/>
              <w:right w:val="nil"/>
            </w:tcBorders>
            <w:shd w:val="clear" w:color="auto" w:fill="auto"/>
            <w:vAlign w:val="bottom"/>
          </w:tcPr>
          <w:p w14:paraId="09F19153" w14:textId="6D3ED2AF"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1360CF0F" w14:textId="25BFC2C7" w:rsidR="00566EA9" w:rsidRPr="001D41EA" w:rsidRDefault="00566EA9" w:rsidP="001D41EA">
            <w:pPr>
              <w:spacing w:before="40" w:after="20"/>
              <w:jc w:val="center"/>
              <w:rPr>
                <w:rFonts w:cs="Arial"/>
                <w:sz w:val="18"/>
                <w:szCs w:val="18"/>
              </w:rPr>
            </w:pPr>
            <w:r w:rsidRPr="001D41EA">
              <w:rPr>
                <w:rFonts w:cs="Arial"/>
                <w:sz w:val="18"/>
                <w:szCs w:val="18"/>
              </w:rPr>
              <w:t>0.809</w:t>
            </w:r>
          </w:p>
        </w:tc>
        <w:tc>
          <w:tcPr>
            <w:tcW w:w="1134" w:type="dxa"/>
            <w:tcBorders>
              <w:top w:val="nil"/>
              <w:left w:val="nil"/>
              <w:bottom w:val="nil"/>
              <w:right w:val="nil"/>
            </w:tcBorders>
            <w:vAlign w:val="bottom"/>
          </w:tcPr>
          <w:p w14:paraId="03F424E1" w14:textId="48A006D0" w:rsidR="00566EA9" w:rsidRPr="001D41EA" w:rsidRDefault="00566EA9" w:rsidP="001D41EA">
            <w:pPr>
              <w:spacing w:before="40" w:after="20"/>
              <w:jc w:val="center"/>
              <w:rPr>
                <w:rFonts w:cs="Arial"/>
                <w:sz w:val="18"/>
                <w:szCs w:val="18"/>
              </w:rPr>
            </w:pPr>
            <w:r w:rsidRPr="001D41EA">
              <w:rPr>
                <w:rFonts w:cs="Arial"/>
                <w:sz w:val="18"/>
                <w:szCs w:val="18"/>
              </w:rPr>
              <w:t>0.815</w:t>
            </w:r>
          </w:p>
        </w:tc>
        <w:tc>
          <w:tcPr>
            <w:tcW w:w="1134" w:type="dxa"/>
            <w:tcBorders>
              <w:top w:val="nil"/>
              <w:left w:val="nil"/>
              <w:bottom w:val="nil"/>
              <w:right w:val="nil"/>
            </w:tcBorders>
            <w:vAlign w:val="bottom"/>
          </w:tcPr>
          <w:p w14:paraId="38C454AA" w14:textId="3E322E15" w:rsidR="00566EA9" w:rsidRPr="001D41EA" w:rsidRDefault="00566EA9" w:rsidP="001D41EA">
            <w:pPr>
              <w:spacing w:before="40" w:after="20"/>
              <w:jc w:val="center"/>
              <w:rPr>
                <w:rFonts w:cs="Arial"/>
                <w:sz w:val="18"/>
                <w:szCs w:val="18"/>
              </w:rPr>
            </w:pPr>
            <w:r w:rsidRPr="001D41EA">
              <w:rPr>
                <w:rFonts w:cs="Arial"/>
                <w:sz w:val="18"/>
                <w:szCs w:val="18"/>
              </w:rPr>
              <w:t>0.810</w:t>
            </w:r>
          </w:p>
        </w:tc>
        <w:tc>
          <w:tcPr>
            <w:tcW w:w="1134" w:type="dxa"/>
            <w:tcBorders>
              <w:top w:val="nil"/>
              <w:left w:val="nil"/>
              <w:bottom w:val="nil"/>
              <w:right w:val="nil"/>
            </w:tcBorders>
            <w:shd w:val="clear" w:color="auto" w:fill="auto"/>
            <w:vAlign w:val="bottom"/>
          </w:tcPr>
          <w:p w14:paraId="48378894" w14:textId="261EB146" w:rsidR="00566EA9" w:rsidRPr="001D41EA" w:rsidRDefault="00566EA9" w:rsidP="001D41EA">
            <w:pPr>
              <w:spacing w:before="40" w:after="20"/>
              <w:jc w:val="center"/>
              <w:rPr>
                <w:rFonts w:cs="Arial"/>
                <w:sz w:val="18"/>
                <w:szCs w:val="18"/>
              </w:rPr>
            </w:pPr>
            <w:r w:rsidRPr="001D41EA">
              <w:rPr>
                <w:rFonts w:cs="Arial"/>
                <w:sz w:val="18"/>
                <w:szCs w:val="18"/>
              </w:rPr>
              <w:t>0.826</w:t>
            </w:r>
          </w:p>
        </w:tc>
      </w:tr>
      <w:tr w:rsidR="00566EA9" w:rsidRPr="001D41EA" w14:paraId="06AFF1F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7BDBE64" w14:textId="77777777" w:rsidR="00566EA9" w:rsidRPr="001D41EA" w:rsidRDefault="00566EA9" w:rsidP="001D41EA">
            <w:pPr>
              <w:spacing w:before="40" w:after="20"/>
              <w:rPr>
                <w:rFonts w:cs="Arial"/>
                <w:sz w:val="18"/>
                <w:szCs w:val="18"/>
              </w:rPr>
            </w:pPr>
            <w:r w:rsidRPr="001D41EA">
              <w:rPr>
                <w:rFonts w:cs="Arial"/>
                <w:sz w:val="18"/>
                <w:szCs w:val="18"/>
              </w:rPr>
              <w:t>Moyne S</w:t>
            </w:r>
          </w:p>
        </w:tc>
        <w:tc>
          <w:tcPr>
            <w:tcW w:w="1134" w:type="dxa"/>
            <w:tcBorders>
              <w:top w:val="nil"/>
              <w:left w:val="single" w:sz="18" w:space="0" w:color="5F497A" w:themeColor="accent4" w:themeShade="BF"/>
              <w:bottom w:val="nil"/>
              <w:right w:val="nil"/>
            </w:tcBorders>
            <w:vAlign w:val="bottom"/>
          </w:tcPr>
          <w:p w14:paraId="253DD906" w14:textId="02839583" w:rsidR="00566EA9" w:rsidRPr="001D41EA" w:rsidRDefault="00566EA9" w:rsidP="001D41EA">
            <w:pPr>
              <w:spacing w:before="40" w:after="20"/>
              <w:jc w:val="center"/>
              <w:rPr>
                <w:rFonts w:cs="Arial"/>
                <w:sz w:val="18"/>
                <w:szCs w:val="18"/>
              </w:rPr>
            </w:pPr>
            <w:r w:rsidRPr="001D41EA">
              <w:rPr>
                <w:rFonts w:cs="Arial"/>
                <w:sz w:val="18"/>
                <w:szCs w:val="18"/>
              </w:rPr>
              <w:t>1.094</w:t>
            </w:r>
          </w:p>
        </w:tc>
        <w:tc>
          <w:tcPr>
            <w:tcW w:w="1134" w:type="dxa"/>
            <w:tcBorders>
              <w:top w:val="nil"/>
              <w:left w:val="nil"/>
              <w:bottom w:val="nil"/>
              <w:right w:val="nil"/>
            </w:tcBorders>
            <w:vAlign w:val="bottom"/>
          </w:tcPr>
          <w:p w14:paraId="50BB74B9" w14:textId="0D0B7638" w:rsidR="00566EA9" w:rsidRPr="001D41EA" w:rsidRDefault="00566EA9" w:rsidP="001D41EA">
            <w:pPr>
              <w:spacing w:before="40" w:after="20"/>
              <w:jc w:val="center"/>
              <w:rPr>
                <w:rFonts w:cs="Arial"/>
                <w:sz w:val="18"/>
                <w:szCs w:val="18"/>
              </w:rPr>
            </w:pPr>
            <w:r w:rsidRPr="001D41EA">
              <w:rPr>
                <w:rFonts w:cs="Arial"/>
                <w:sz w:val="18"/>
                <w:szCs w:val="18"/>
              </w:rPr>
              <w:t>1.091</w:t>
            </w:r>
          </w:p>
        </w:tc>
        <w:tc>
          <w:tcPr>
            <w:tcW w:w="170" w:type="dxa"/>
            <w:tcBorders>
              <w:top w:val="nil"/>
              <w:left w:val="nil"/>
              <w:bottom w:val="nil"/>
              <w:right w:val="nil"/>
            </w:tcBorders>
            <w:shd w:val="clear" w:color="auto" w:fill="auto"/>
            <w:vAlign w:val="bottom"/>
          </w:tcPr>
          <w:p w14:paraId="4279CA3A" w14:textId="69E3FBED"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554FF7EC" w14:textId="0BC2FB98" w:rsidR="00566EA9" w:rsidRPr="001D41EA" w:rsidRDefault="00566EA9" w:rsidP="001D41EA">
            <w:pPr>
              <w:spacing w:before="40" w:after="20"/>
              <w:jc w:val="center"/>
              <w:rPr>
                <w:rFonts w:cs="Arial"/>
                <w:sz w:val="18"/>
                <w:szCs w:val="18"/>
              </w:rPr>
            </w:pPr>
            <w:r w:rsidRPr="001D41EA">
              <w:rPr>
                <w:rFonts w:cs="Arial"/>
                <w:sz w:val="18"/>
                <w:szCs w:val="18"/>
              </w:rPr>
              <w:t>0.795</w:t>
            </w:r>
          </w:p>
        </w:tc>
        <w:tc>
          <w:tcPr>
            <w:tcW w:w="1134" w:type="dxa"/>
            <w:tcBorders>
              <w:top w:val="nil"/>
              <w:left w:val="nil"/>
              <w:bottom w:val="nil"/>
              <w:right w:val="nil"/>
            </w:tcBorders>
            <w:vAlign w:val="bottom"/>
          </w:tcPr>
          <w:p w14:paraId="77E7054D" w14:textId="523AB7FF" w:rsidR="00566EA9" w:rsidRPr="001D41EA" w:rsidRDefault="00566EA9" w:rsidP="001D41EA">
            <w:pPr>
              <w:spacing w:before="40" w:after="20"/>
              <w:jc w:val="center"/>
              <w:rPr>
                <w:rFonts w:cs="Arial"/>
                <w:sz w:val="18"/>
                <w:szCs w:val="18"/>
              </w:rPr>
            </w:pPr>
            <w:r w:rsidRPr="001D41EA">
              <w:rPr>
                <w:rFonts w:cs="Arial"/>
                <w:sz w:val="18"/>
                <w:szCs w:val="18"/>
              </w:rPr>
              <w:t>0.802</w:t>
            </w:r>
          </w:p>
        </w:tc>
        <w:tc>
          <w:tcPr>
            <w:tcW w:w="1134" w:type="dxa"/>
            <w:tcBorders>
              <w:top w:val="nil"/>
              <w:left w:val="nil"/>
              <w:bottom w:val="nil"/>
              <w:right w:val="nil"/>
            </w:tcBorders>
            <w:vAlign w:val="bottom"/>
          </w:tcPr>
          <w:p w14:paraId="55B77AD8" w14:textId="31B18EA7" w:rsidR="00566EA9" w:rsidRPr="001D41EA" w:rsidRDefault="00566EA9" w:rsidP="001D41EA">
            <w:pPr>
              <w:spacing w:before="40" w:after="20"/>
              <w:jc w:val="center"/>
              <w:rPr>
                <w:rFonts w:cs="Arial"/>
                <w:sz w:val="18"/>
                <w:szCs w:val="18"/>
              </w:rPr>
            </w:pPr>
            <w:r w:rsidRPr="001D41EA">
              <w:rPr>
                <w:rFonts w:cs="Arial"/>
                <w:sz w:val="18"/>
                <w:szCs w:val="18"/>
              </w:rPr>
              <w:t>0.797</w:t>
            </w:r>
          </w:p>
        </w:tc>
        <w:tc>
          <w:tcPr>
            <w:tcW w:w="1134" w:type="dxa"/>
            <w:tcBorders>
              <w:top w:val="nil"/>
              <w:left w:val="nil"/>
              <w:bottom w:val="nil"/>
              <w:right w:val="nil"/>
            </w:tcBorders>
            <w:shd w:val="clear" w:color="auto" w:fill="auto"/>
            <w:vAlign w:val="bottom"/>
          </w:tcPr>
          <w:p w14:paraId="74C362BD" w14:textId="03BA6786" w:rsidR="00566EA9" w:rsidRPr="001D41EA" w:rsidRDefault="00566EA9" w:rsidP="001D41EA">
            <w:pPr>
              <w:spacing w:before="40" w:after="20"/>
              <w:jc w:val="center"/>
              <w:rPr>
                <w:rFonts w:cs="Arial"/>
                <w:sz w:val="18"/>
                <w:szCs w:val="18"/>
              </w:rPr>
            </w:pPr>
            <w:r w:rsidRPr="001D41EA">
              <w:rPr>
                <w:rFonts w:cs="Arial"/>
                <w:sz w:val="18"/>
                <w:szCs w:val="18"/>
              </w:rPr>
              <w:t>0.813</w:t>
            </w:r>
          </w:p>
        </w:tc>
      </w:tr>
      <w:tr w:rsidR="00566EA9" w:rsidRPr="001D41EA" w14:paraId="721AEA9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6E2233D" w14:textId="77777777" w:rsidR="00566EA9" w:rsidRPr="001D41EA" w:rsidRDefault="00566EA9" w:rsidP="001D41EA">
            <w:pPr>
              <w:spacing w:before="40" w:after="20"/>
              <w:rPr>
                <w:rFonts w:cs="Arial"/>
                <w:sz w:val="18"/>
                <w:szCs w:val="18"/>
              </w:rPr>
            </w:pPr>
            <w:r w:rsidRPr="001D41EA">
              <w:rPr>
                <w:rFonts w:cs="Arial"/>
                <w:sz w:val="18"/>
                <w:szCs w:val="18"/>
              </w:rPr>
              <w:t>Murrindindi S</w:t>
            </w:r>
          </w:p>
        </w:tc>
        <w:tc>
          <w:tcPr>
            <w:tcW w:w="1134" w:type="dxa"/>
            <w:tcBorders>
              <w:top w:val="nil"/>
              <w:left w:val="single" w:sz="18" w:space="0" w:color="5F497A" w:themeColor="accent4" w:themeShade="BF"/>
              <w:bottom w:val="nil"/>
              <w:right w:val="nil"/>
            </w:tcBorders>
            <w:vAlign w:val="bottom"/>
          </w:tcPr>
          <w:p w14:paraId="4C6EAFD4" w14:textId="212244C4" w:rsidR="00566EA9" w:rsidRPr="001D41EA" w:rsidRDefault="00566EA9" w:rsidP="001D41EA">
            <w:pPr>
              <w:spacing w:before="40" w:after="20"/>
              <w:jc w:val="center"/>
              <w:rPr>
                <w:rFonts w:cs="Arial"/>
                <w:sz w:val="18"/>
                <w:szCs w:val="18"/>
              </w:rPr>
            </w:pPr>
            <w:r w:rsidRPr="001D41EA">
              <w:rPr>
                <w:rFonts w:cs="Arial"/>
                <w:sz w:val="18"/>
                <w:szCs w:val="18"/>
              </w:rPr>
              <w:t>1.121</w:t>
            </w:r>
          </w:p>
        </w:tc>
        <w:tc>
          <w:tcPr>
            <w:tcW w:w="1134" w:type="dxa"/>
            <w:tcBorders>
              <w:top w:val="nil"/>
              <w:left w:val="nil"/>
              <w:bottom w:val="nil"/>
              <w:right w:val="nil"/>
            </w:tcBorders>
            <w:vAlign w:val="bottom"/>
          </w:tcPr>
          <w:p w14:paraId="4D5C3B98" w14:textId="3AB4D8D0" w:rsidR="00566EA9" w:rsidRPr="001D41EA" w:rsidRDefault="00566EA9" w:rsidP="001D41EA">
            <w:pPr>
              <w:spacing w:before="40" w:after="20"/>
              <w:jc w:val="center"/>
              <w:rPr>
                <w:rFonts w:cs="Arial"/>
                <w:sz w:val="18"/>
                <w:szCs w:val="18"/>
              </w:rPr>
            </w:pPr>
            <w:r w:rsidRPr="001D41EA">
              <w:rPr>
                <w:rFonts w:cs="Arial"/>
                <w:sz w:val="18"/>
                <w:szCs w:val="18"/>
              </w:rPr>
              <w:t>1.117</w:t>
            </w:r>
          </w:p>
        </w:tc>
        <w:tc>
          <w:tcPr>
            <w:tcW w:w="170" w:type="dxa"/>
            <w:tcBorders>
              <w:top w:val="nil"/>
              <w:left w:val="nil"/>
              <w:bottom w:val="nil"/>
              <w:right w:val="nil"/>
            </w:tcBorders>
            <w:shd w:val="clear" w:color="auto" w:fill="auto"/>
            <w:vAlign w:val="bottom"/>
          </w:tcPr>
          <w:p w14:paraId="66671F6B" w14:textId="0BFC0222"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1D2D269D" w14:textId="46EE7396" w:rsidR="00566EA9" w:rsidRPr="001D41EA" w:rsidRDefault="00566EA9" w:rsidP="001D41EA">
            <w:pPr>
              <w:spacing w:before="40" w:after="20"/>
              <w:jc w:val="center"/>
              <w:rPr>
                <w:rFonts w:cs="Arial"/>
                <w:sz w:val="18"/>
                <w:szCs w:val="18"/>
              </w:rPr>
            </w:pPr>
            <w:r w:rsidRPr="001D41EA">
              <w:rPr>
                <w:rFonts w:cs="Arial"/>
                <w:sz w:val="18"/>
                <w:szCs w:val="18"/>
              </w:rPr>
              <w:t>0.795</w:t>
            </w:r>
          </w:p>
        </w:tc>
        <w:tc>
          <w:tcPr>
            <w:tcW w:w="1134" w:type="dxa"/>
            <w:tcBorders>
              <w:top w:val="nil"/>
              <w:left w:val="nil"/>
              <w:bottom w:val="nil"/>
              <w:right w:val="nil"/>
            </w:tcBorders>
            <w:vAlign w:val="bottom"/>
          </w:tcPr>
          <w:p w14:paraId="682F073C" w14:textId="44D51B08" w:rsidR="00566EA9" w:rsidRPr="001D41EA" w:rsidRDefault="00566EA9" w:rsidP="001D41EA">
            <w:pPr>
              <w:spacing w:before="40" w:after="20"/>
              <w:jc w:val="center"/>
              <w:rPr>
                <w:rFonts w:cs="Arial"/>
                <w:sz w:val="18"/>
                <w:szCs w:val="18"/>
              </w:rPr>
            </w:pPr>
            <w:r w:rsidRPr="001D41EA">
              <w:rPr>
                <w:rFonts w:cs="Arial"/>
                <w:sz w:val="18"/>
                <w:szCs w:val="18"/>
              </w:rPr>
              <w:t>0.801</w:t>
            </w:r>
          </w:p>
        </w:tc>
        <w:tc>
          <w:tcPr>
            <w:tcW w:w="1134" w:type="dxa"/>
            <w:tcBorders>
              <w:top w:val="nil"/>
              <w:left w:val="nil"/>
              <w:bottom w:val="nil"/>
              <w:right w:val="nil"/>
            </w:tcBorders>
            <w:vAlign w:val="bottom"/>
          </w:tcPr>
          <w:p w14:paraId="794D067D" w14:textId="3E7ADE12" w:rsidR="00566EA9" w:rsidRPr="001D41EA" w:rsidRDefault="00566EA9" w:rsidP="001D41EA">
            <w:pPr>
              <w:spacing w:before="40" w:after="20"/>
              <w:jc w:val="center"/>
              <w:rPr>
                <w:rFonts w:cs="Arial"/>
                <w:sz w:val="18"/>
                <w:szCs w:val="18"/>
              </w:rPr>
            </w:pPr>
            <w:r w:rsidRPr="001D41EA">
              <w:rPr>
                <w:rFonts w:cs="Arial"/>
                <w:sz w:val="18"/>
                <w:szCs w:val="18"/>
              </w:rPr>
              <w:t>0.797</w:t>
            </w:r>
          </w:p>
        </w:tc>
        <w:tc>
          <w:tcPr>
            <w:tcW w:w="1134" w:type="dxa"/>
            <w:tcBorders>
              <w:top w:val="nil"/>
              <w:left w:val="nil"/>
              <w:bottom w:val="nil"/>
              <w:right w:val="nil"/>
            </w:tcBorders>
            <w:shd w:val="clear" w:color="auto" w:fill="auto"/>
            <w:vAlign w:val="bottom"/>
          </w:tcPr>
          <w:p w14:paraId="6F357D75" w14:textId="0AA61C0E" w:rsidR="00566EA9" w:rsidRPr="001D41EA" w:rsidRDefault="00566EA9" w:rsidP="001D41EA">
            <w:pPr>
              <w:spacing w:before="40" w:after="20"/>
              <w:jc w:val="center"/>
              <w:rPr>
                <w:rFonts w:cs="Arial"/>
                <w:sz w:val="18"/>
                <w:szCs w:val="18"/>
              </w:rPr>
            </w:pPr>
            <w:r w:rsidRPr="001D41EA">
              <w:rPr>
                <w:rFonts w:cs="Arial"/>
                <w:sz w:val="18"/>
                <w:szCs w:val="18"/>
              </w:rPr>
              <w:t>0.812</w:t>
            </w:r>
          </w:p>
        </w:tc>
      </w:tr>
      <w:tr w:rsidR="00566EA9" w:rsidRPr="001D41EA" w14:paraId="5075F89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DA66AB7" w14:textId="77777777" w:rsidR="00566EA9" w:rsidRPr="001D41EA" w:rsidRDefault="00566EA9" w:rsidP="001D41EA">
            <w:pPr>
              <w:spacing w:before="40" w:after="20"/>
              <w:rPr>
                <w:rFonts w:cs="Arial"/>
                <w:sz w:val="18"/>
                <w:szCs w:val="18"/>
              </w:rPr>
            </w:pPr>
            <w:r w:rsidRPr="001D41EA">
              <w:rPr>
                <w:rFonts w:cs="Arial"/>
                <w:sz w:val="18"/>
                <w:szCs w:val="18"/>
              </w:rPr>
              <w:t>Nillumbik S</w:t>
            </w:r>
          </w:p>
        </w:tc>
        <w:tc>
          <w:tcPr>
            <w:tcW w:w="1134" w:type="dxa"/>
            <w:tcBorders>
              <w:top w:val="nil"/>
              <w:left w:val="single" w:sz="18" w:space="0" w:color="5F497A" w:themeColor="accent4" w:themeShade="BF"/>
              <w:bottom w:val="nil"/>
              <w:right w:val="nil"/>
            </w:tcBorders>
            <w:vAlign w:val="bottom"/>
          </w:tcPr>
          <w:p w14:paraId="4458A973" w14:textId="218EEB74" w:rsidR="00566EA9" w:rsidRPr="001D41EA" w:rsidRDefault="00566EA9" w:rsidP="001D41EA">
            <w:pPr>
              <w:spacing w:before="40" w:after="20"/>
              <w:jc w:val="center"/>
              <w:rPr>
                <w:rFonts w:cs="Arial"/>
                <w:sz w:val="18"/>
                <w:szCs w:val="18"/>
              </w:rPr>
            </w:pPr>
            <w:r w:rsidRPr="001D41EA">
              <w:rPr>
                <w:rFonts w:cs="Arial"/>
                <w:sz w:val="18"/>
                <w:szCs w:val="18"/>
              </w:rPr>
              <w:t>0.908</w:t>
            </w:r>
          </w:p>
        </w:tc>
        <w:tc>
          <w:tcPr>
            <w:tcW w:w="1134" w:type="dxa"/>
            <w:tcBorders>
              <w:top w:val="nil"/>
              <w:left w:val="nil"/>
              <w:bottom w:val="nil"/>
              <w:right w:val="nil"/>
            </w:tcBorders>
            <w:vAlign w:val="bottom"/>
          </w:tcPr>
          <w:p w14:paraId="186978BF" w14:textId="02EB749F" w:rsidR="00566EA9" w:rsidRPr="001D41EA" w:rsidRDefault="00566EA9" w:rsidP="001D41EA">
            <w:pPr>
              <w:spacing w:before="40" w:after="20"/>
              <w:jc w:val="center"/>
              <w:rPr>
                <w:rFonts w:cs="Arial"/>
                <w:sz w:val="18"/>
                <w:szCs w:val="18"/>
              </w:rPr>
            </w:pPr>
            <w:r w:rsidRPr="001D41EA">
              <w:rPr>
                <w:rFonts w:cs="Arial"/>
                <w:sz w:val="18"/>
                <w:szCs w:val="18"/>
              </w:rPr>
              <w:t>0.905</w:t>
            </w:r>
          </w:p>
        </w:tc>
        <w:tc>
          <w:tcPr>
            <w:tcW w:w="170" w:type="dxa"/>
            <w:tcBorders>
              <w:top w:val="nil"/>
              <w:left w:val="nil"/>
              <w:bottom w:val="nil"/>
              <w:right w:val="nil"/>
            </w:tcBorders>
            <w:shd w:val="clear" w:color="auto" w:fill="auto"/>
            <w:vAlign w:val="bottom"/>
          </w:tcPr>
          <w:p w14:paraId="2149F44E" w14:textId="0000D35D"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2D2E21AA" w14:textId="1DE5A313" w:rsidR="00566EA9" w:rsidRPr="001D41EA" w:rsidRDefault="00566EA9" w:rsidP="001D41EA">
            <w:pPr>
              <w:spacing w:before="40" w:after="20"/>
              <w:jc w:val="center"/>
              <w:rPr>
                <w:rFonts w:cs="Arial"/>
                <w:sz w:val="18"/>
                <w:szCs w:val="18"/>
              </w:rPr>
            </w:pPr>
            <w:r w:rsidRPr="001D41EA">
              <w:rPr>
                <w:rFonts w:cs="Arial"/>
                <w:sz w:val="18"/>
                <w:szCs w:val="18"/>
              </w:rPr>
              <w:t>0.816</w:t>
            </w:r>
          </w:p>
        </w:tc>
        <w:tc>
          <w:tcPr>
            <w:tcW w:w="1134" w:type="dxa"/>
            <w:tcBorders>
              <w:top w:val="nil"/>
              <w:left w:val="nil"/>
              <w:bottom w:val="nil"/>
              <w:right w:val="nil"/>
            </w:tcBorders>
            <w:vAlign w:val="bottom"/>
          </w:tcPr>
          <w:p w14:paraId="5DCE3B9E" w14:textId="0DADC2EF" w:rsidR="00566EA9" w:rsidRPr="001D41EA" w:rsidRDefault="00566EA9" w:rsidP="001D41EA">
            <w:pPr>
              <w:spacing w:before="40" w:after="20"/>
              <w:jc w:val="center"/>
              <w:rPr>
                <w:rFonts w:cs="Arial"/>
                <w:sz w:val="18"/>
                <w:szCs w:val="18"/>
              </w:rPr>
            </w:pPr>
            <w:r w:rsidRPr="001D41EA">
              <w:rPr>
                <w:rFonts w:cs="Arial"/>
                <w:sz w:val="18"/>
                <w:szCs w:val="18"/>
              </w:rPr>
              <w:t>0.823</w:t>
            </w:r>
          </w:p>
        </w:tc>
        <w:tc>
          <w:tcPr>
            <w:tcW w:w="1134" w:type="dxa"/>
            <w:tcBorders>
              <w:top w:val="nil"/>
              <w:left w:val="nil"/>
              <w:bottom w:val="nil"/>
              <w:right w:val="nil"/>
            </w:tcBorders>
            <w:vAlign w:val="bottom"/>
          </w:tcPr>
          <w:p w14:paraId="3EFC0D4D" w14:textId="5E1C09B0" w:rsidR="00566EA9" w:rsidRPr="001D41EA" w:rsidRDefault="00566EA9" w:rsidP="001D41EA">
            <w:pPr>
              <w:spacing w:before="40" w:after="20"/>
              <w:jc w:val="center"/>
              <w:rPr>
                <w:rFonts w:cs="Arial"/>
                <w:sz w:val="18"/>
                <w:szCs w:val="18"/>
              </w:rPr>
            </w:pPr>
            <w:r w:rsidRPr="001D41EA">
              <w:rPr>
                <w:rFonts w:cs="Arial"/>
                <w:sz w:val="18"/>
                <w:szCs w:val="18"/>
              </w:rPr>
              <w:t>0.818</w:t>
            </w:r>
          </w:p>
        </w:tc>
        <w:tc>
          <w:tcPr>
            <w:tcW w:w="1134" w:type="dxa"/>
            <w:tcBorders>
              <w:top w:val="nil"/>
              <w:left w:val="nil"/>
              <w:bottom w:val="nil"/>
              <w:right w:val="nil"/>
            </w:tcBorders>
            <w:shd w:val="clear" w:color="auto" w:fill="auto"/>
            <w:vAlign w:val="bottom"/>
          </w:tcPr>
          <w:p w14:paraId="4BD1F377" w14:textId="74AC8DFC" w:rsidR="00566EA9" w:rsidRPr="001D41EA" w:rsidRDefault="00566EA9" w:rsidP="001D41EA">
            <w:pPr>
              <w:spacing w:before="40" w:after="20"/>
              <w:jc w:val="center"/>
              <w:rPr>
                <w:rFonts w:cs="Arial"/>
                <w:sz w:val="18"/>
                <w:szCs w:val="18"/>
              </w:rPr>
            </w:pPr>
            <w:r w:rsidRPr="001D41EA">
              <w:rPr>
                <w:rFonts w:cs="Arial"/>
                <w:sz w:val="18"/>
                <w:szCs w:val="18"/>
              </w:rPr>
              <w:t>0.834</w:t>
            </w:r>
          </w:p>
        </w:tc>
      </w:tr>
      <w:tr w:rsidR="00566EA9" w:rsidRPr="001D41EA" w14:paraId="06751AB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8CF9DD0" w14:textId="77777777" w:rsidR="00566EA9" w:rsidRPr="001D41EA" w:rsidRDefault="00566EA9" w:rsidP="001D41EA">
            <w:pPr>
              <w:spacing w:before="40" w:after="20"/>
              <w:rPr>
                <w:rFonts w:cs="Arial"/>
                <w:sz w:val="18"/>
                <w:szCs w:val="18"/>
              </w:rPr>
            </w:pPr>
            <w:r w:rsidRPr="001D41EA">
              <w:rPr>
                <w:rFonts w:cs="Arial"/>
                <w:sz w:val="18"/>
                <w:szCs w:val="18"/>
              </w:rPr>
              <w:t>Northern Grampians S</w:t>
            </w:r>
          </w:p>
        </w:tc>
        <w:tc>
          <w:tcPr>
            <w:tcW w:w="1134" w:type="dxa"/>
            <w:tcBorders>
              <w:top w:val="nil"/>
              <w:left w:val="single" w:sz="18" w:space="0" w:color="5F497A" w:themeColor="accent4" w:themeShade="BF"/>
              <w:bottom w:val="nil"/>
              <w:right w:val="nil"/>
            </w:tcBorders>
            <w:vAlign w:val="bottom"/>
          </w:tcPr>
          <w:p w14:paraId="2FE61B4A" w14:textId="1ACFEFB7" w:rsidR="00566EA9" w:rsidRPr="001D41EA" w:rsidRDefault="00566EA9" w:rsidP="001D41EA">
            <w:pPr>
              <w:spacing w:before="40" w:after="20"/>
              <w:jc w:val="center"/>
              <w:rPr>
                <w:rFonts w:cs="Arial"/>
                <w:sz w:val="18"/>
                <w:szCs w:val="18"/>
              </w:rPr>
            </w:pPr>
            <w:r w:rsidRPr="001D41EA">
              <w:rPr>
                <w:rFonts w:cs="Arial"/>
                <w:sz w:val="18"/>
                <w:szCs w:val="18"/>
              </w:rPr>
              <w:t>1.145</w:t>
            </w:r>
          </w:p>
        </w:tc>
        <w:tc>
          <w:tcPr>
            <w:tcW w:w="1134" w:type="dxa"/>
            <w:tcBorders>
              <w:top w:val="nil"/>
              <w:left w:val="nil"/>
              <w:bottom w:val="nil"/>
              <w:right w:val="nil"/>
            </w:tcBorders>
            <w:vAlign w:val="bottom"/>
          </w:tcPr>
          <w:p w14:paraId="29B1C0D9" w14:textId="362BFA00" w:rsidR="00566EA9" w:rsidRPr="001D41EA" w:rsidRDefault="00566EA9" w:rsidP="001D41EA">
            <w:pPr>
              <w:spacing w:before="40" w:after="20"/>
              <w:jc w:val="center"/>
              <w:rPr>
                <w:rFonts w:cs="Arial"/>
                <w:sz w:val="18"/>
                <w:szCs w:val="18"/>
              </w:rPr>
            </w:pPr>
            <w:r w:rsidRPr="001D41EA">
              <w:rPr>
                <w:rFonts w:cs="Arial"/>
                <w:sz w:val="18"/>
                <w:szCs w:val="18"/>
              </w:rPr>
              <w:t>1.142</w:t>
            </w:r>
          </w:p>
        </w:tc>
        <w:tc>
          <w:tcPr>
            <w:tcW w:w="170" w:type="dxa"/>
            <w:tcBorders>
              <w:top w:val="nil"/>
              <w:left w:val="nil"/>
              <w:bottom w:val="nil"/>
              <w:right w:val="nil"/>
            </w:tcBorders>
            <w:shd w:val="clear" w:color="auto" w:fill="auto"/>
            <w:vAlign w:val="bottom"/>
          </w:tcPr>
          <w:p w14:paraId="23400BF1" w14:textId="05908FD7"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6B16DE7C" w14:textId="5022A685" w:rsidR="00566EA9" w:rsidRPr="001D41EA" w:rsidRDefault="00566EA9" w:rsidP="001D41EA">
            <w:pPr>
              <w:spacing w:before="40" w:after="20"/>
              <w:jc w:val="center"/>
              <w:rPr>
                <w:rFonts w:cs="Arial"/>
                <w:sz w:val="18"/>
                <w:szCs w:val="18"/>
              </w:rPr>
            </w:pPr>
            <w:r w:rsidRPr="001D41EA">
              <w:rPr>
                <w:rFonts w:cs="Arial"/>
                <w:sz w:val="18"/>
                <w:szCs w:val="18"/>
              </w:rPr>
              <w:t>0.813</w:t>
            </w:r>
          </w:p>
        </w:tc>
        <w:tc>
          <w:tcPr>
            <w:tcW w:w="1134" w:type="dxa"/>
            <w:tcBorders>
              <w:top w:val="nil"/>
              <w:left w:val="nil"/>
              <w:bottom w:val="nil"/>
              <w:right w:val="nil"/>
            </w:tcBorders>
            <w:vAlign w:val="bottom"/>
          </w:tcPr>
          <w:p w14:paraId="67623541" w14:textId="5C5B11F5" w:rsidR="00566EA9" w:rsidRPr="001D41EA" w:rsidRDefault="00566EA9" w:rsidP="001D41EA">
            <w:pPr>
              <w:spacing w:before="40" w:after="20"/>
              <w:jc w:val="center"/>
              <w:rPr>
                <w:rFonts w:cs="Arial"/>
                <w:sz w:val="18"/>
                <w:szCs w:val="18"/>
              </w:rPr>
            </w:pPr>
            <w:r w:rsidRPr="001D41EA">
              <w:rPr>
                <w:rFonts w:cs="Arial"/>
                <w:sz w:val="18"/>
                <w:szCs w:val="18"/>
              </w:rPr>
              <w:t>0.819</w:t>
            </w:r>
          </w:p>
        </w:tc>
        <w:tc>
          <w:tcPr>
            <w:tcW w:w="1134" w:type="dxa"/>
            <w:tcBorders>
              <w:top w:val="nil"/>
              <w:left w:val="nil"/>
              <w:bottom w:val="nil"/>
              <w:right w:val="nil"/>
            </w:tcBorders>
            <w:vAlign w:val="bottom"/>
          </w:tcPr>
          <w:p w14:paraId="4E92453A" w14:textId="2CCCD572" w:rsidR="00566EA9" w:rsidRPr="001D41EA" w:rsidRDefault="00566EA9" w:rsidP="001D41EA">
            <w:pPr>
              <w:spacing w:before="40" w:after="20"/>
              <w:jc w:val="center"/>
              <w:rPr>
                <w:rFonts w:cs="Arial"/>
                <w:sz w:val="18"/>
                <w:szCs w:val="18"/>
              </w:rPr>
            </w:pPr>
            <w:r w:rsidRPr="001D41EA">
              <w:rPr>
                <w:rFonts w:cs="Arial"/>
                <w:sz w:val="18"/>
                <w:szCs w:val="18"/>
              </w:rPr>
              <w:t>0.815</w:t>
            </w:r>
          </w:p>
        </w:tc>
        <w:tc>
          <w:tcPr>
            <w:tcW w:w="1134" w:type="dxa"/>
            <w:tcBorders>
              <w:top w:val="nil"/>
              <w:left w:val="nil"/>
              <w:bottom w:val="nil"/>
              <w:right w:val="nil"/>
            </w:tcBorders>
            <w:shd w:val="clear" w:color="auto" w:fill="auto"/>
            <w:vAlign w:val="bottom"/>
          </w:tcPr>
          <w:p w14:paraId="3DA1E258" w14:textId="49255067" w:rsidR="00566EA9" w:rsidRPr="001D41EA" w:rsidRDefault="00566EA9" w:rsidP="001D41EA">
            <w:pPr>
              <w:spacing w:before="40" w:after="20"/>
              <w:jc w:val="center"/>
              <w:rPr>
                <w:rFonts w:cs="Arial"/>
                <w:sz w:val="18"/>
                <w:szCs w:val="18"/>
              </w:rPr>
            </w:pPr>
            <w:r w:rsidRPr="001D41EA">
              <w:rPr>
                <w:rFonts w:cs="Arial"/>
                <w:sz w:val="18"/>
                <w:szCs w:val="18"/>
              </w:rPr>
              <w:t>0.830</w:t>
            </w:r>
          </w:p>
        </w:tc>
      </w:tr>
      <w:tr w:rsidR="00566EA9" w:rsidRPr="001D41EA" w14:paraId="53FB541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58FBD85" w14:textId="77777777" w:rsidR="00566EA9" w:rsidRPr="001D41EA" w:rsidRDefault="00566EA9" w:rsidP="001D41EA">
            <w:pPr>
              <w:spacing w:before="40" w:after="20"/>
              <w:rPr>
                <w:rFonts w:cs="Arial"/>
                <w:sz w:val="18"/>
                <w:szCs w:val="18"/>
              </w:rPr>
            </w:pPr>
            <w:r w:rsidRPr="001D41EA">
              <w:rPr>
                <w:rFonts w:cs="Arial"/>
                <w:sz w:val="18"/>
                <w:szCs w:val="18"/>
              </w:rPr>
              <w:t>Port Phillip C</w:t>
            </w:r>
          </w:p>
        </w:tc>
        <w:tc>
          <w:tcPr>
            <w:tcW w:w="1134" w:type="dxa"/>
            <w:tcBorders>
              <w:top w:val="nil"/>
              <w:left w:val="single" w:sz="18" w:space="0" w:color="5F497A" w:themeColor="accent4" w:themeShade="BF"/>
              <w:bottom w:val="nil"/>
              <w:right w:val="nil"/>
            </w:tcBorders>
            <w:vAlign w:val="bottom"/>
          </w:tcPr>
          <w:p w14:paraId="066670A3" w14:textId="378A5F07" w:rsidR="00566EA9" w:rsidRPr="001D41EA" w:rsidRDefault="00566EA9" w:rsidP="001D41EA">
            <w:pPr>
              <w:spacing w:before="40" w:after="20"/>
              <w:jc w:val="center"/>
              <w:rPr>
                <w:rFonts w:cs="Arial"/>
                <w:sz w:val="18"/>
                <w:szCs w:val="18"/>
              </w:rPr>
            </w:pPr>
            <w:r w:rsidRPr="001D41EA">
              <w:rPr>
                <w:rFonts w:cs="Arial"/>
                <w:sz w:val="18"/>
                <w:szCs w:val="18"/>
              </w:rPr>
              <w:t>0.912</w:t>
            </w:r>
          </w:p>
        </w:tc>
        <w:tc>
          <w:tcPr>
            <w:tcW w:w="1134" w:type="dxa"/>
            <w:tcBorders>
              <w:top w:val="nil"/>
              <w:left w:val="nil"/>
              <w:bottom w:val="nil"/>
              <w:right w:val="nil"/>
            </w:tcBorders>
            <w:vAlign w:val="bottom"/>
          </w:tcPr>
          <w:p w14:paraId="22FBBE1C" w14:textId="526C60B1" w:rsidR="00566EA9" w:rsidRPr="001D41EA" w:rsidRDefault="00566EA9" w:rsidP="001D41EA">
            <w:pPr>
              <w:spacing w:before="40" w:after="20"/>
              <w:jc w:val="center"/>
              <w:rPr>
                <w:rFonts w:cs="Arial"/>
                <w:sz w:val="18"/>
                <w:szCs w:val="18"/>
              </w:rPr>
            </w:pPr>
            <w:r w:rsidRPr="001D41EA">
              <w:rPr>
                <w:rFonts w:cs="Arial"/>
                <w:sz w:val="18"/>
                <w:szCs w:val="18"/>
              </w:rPr>
              <w:t>0.909</w:t>
            </w:r>
          </w:p>
        </w:tc>
        <w:tc>
          <w:tcPr>
            <w:tcW w:w="170" w:type="dxa"/>
            <w:tcBorders>
              <w:top w:val="nil"/>
              <w:left w:val="nil"/>
              <w:bottom w:val="nil"/>
              <w:right w:val="nil"/>
            </w:tcBorders>
            <w:shd w:val="clear" w:color="auto" w:fill="auto"/>
            <w:vAlign w:val="bottom"/>
          </w:tcPr>
          <w:p w14:paraId="2EB9080C" w14:textId="2C6F0001"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0B767FF7" w14:textId="22C63547" w:rsidR="00566EA9" w:rsidRPr="001D41EA" w:rsidRDefault="00566EA9" w:rsidP="001D41EA">
            <w:pPr>
              <w:spacing w:before="40" w:after="20"/>
              <w:jc w:val="center"/>
              <w:rPr>
                <w:rFonts w:cs="Arial"/>
                <w:sz w:val="18"/>
                <w:szCs w:val="18"/>
              </w:rPr>
            </w:pPr>
            <w:r w:rsidRPr="001D41EA">
              <w:rPr>
                <w:rFonts w:cs="Arial"/>
                <w:sz w:val="18"/>
                <w:szCs w:val="18"/>
              </w:rPr>
              <w:t>0.903</w:t>
            </w:r>
          </w:p>
        </w:tc>
        <w:tc>
          <w:tcPr>
            <w:tcW w:w="1134" w:type="dxa"/>
            <w:tcBorders>
              <w:top w:val="nil"/>
              <w:left w:val="nil"/>
              <w:bottom w:val="nil"/>
              <w:right w:val="nil"/>
            </w:tcBorders>
            <w:vAlign w:val="bottom"/>
          </w:tcPr>
          <w:p w14:paraId="5C17E4C5" w14:textId="28F6A981" w:rsidR="00566EA9" w:rsidRPr="001D41EA" w:rsidRDefault="00566EA9" w:rsidP="001D41EA">
            <w:pPr>
              <w:spacing w:before="40" w:after="20"/>
              <w:jc w:val="center"/>
              <w:rPr>
                <w:rFonts w:cs="Arial"/>
                <w:sz w:val="18"/>
                <w:szCs w:val="18"/>
              </w:rPr>
            </w:pPr>
            <w:r w:rsidRPr="001D41EA">
              <w:rPr>
                <w:rFonts w:cs="Arial"/>
                <w:sz w:val="18"/>
                <w:szCs w:val="18"/>
              </w:rPr>
              <w:t>0.910</w:t>
            </w:r>
          </w:p>
        </w:tc>
        <w:tc>
          <w:tcPr>
            <w:tcW w:w="1134" w:type="dxa"/>
            <w:tcBorders>
              <w:top w:val="nil"/>
              <w:left w:val="nil"/>
              <w:bottom w:val="nil"/>
              <w:right w:val="nil"/>
            </w:tcBorders>
            <w:vAlign w:val="bottom"/>
          </w:tcPr>
          <w:p w14:paraId="4B5101F3" w14:textId="19D182FF" w:rsidR="00566EA9" w:rsidRPr="001D41EA" w:rsidRDefault="00566EA9" w:rsidP="001D41EA">
            <w:pPr>
              <w:spacing w:before="40" w:after="20"/>
              <w:jc w:val="center"/>
              <w:rPr>
                <w:rFonts w:cs="Arial"/>
                <w:sz w:val="18"/>
                <w:szCs w:val="18"/>
              </w:rPr>
            </w:pPr>
            <w:r w:rsidRPr="001D41EA">
              <w:rPr>
                <w:rFonts w:cs="Arial"/>
                <w:sz w:val="18"/>
                <w:szCs w:val="18"/>
              </w:rPr>
              <w:t>0.905</w:t>
            </w:r>
          </w:p>
        </w:tc>
        <w:tc>
          <w:tcPr>
            <w:tcW w:w="1134" w:type="dxa"/>
            <w:tcBorders>
              <w:top w:val="nil"/>
              <w:left w:val="nil"/>
              <w:bottom w:val="nil"/>
              <w:right w:val="nil"/>
            </w:tcBorders>
            <w:shd w:val="clear" w:color="auto" w:fill="auto"/>
            <w:vAlign w:val="bottom"/>
          </w:tcPr>
          <w:p w14:paraId="1BB042B1" w14:textId="159B2EE8" w:rsidR="00566EA9" w:rsidRPr="001D41EA" w:rsidRDefault="00566EA9" w:rsidP="001D41EA">
            <w:pPr>
              <w:spacing w:before="40" w:after="20"/>
              <w:jc w:val="center"/>
              <w:rPr>
                <w:rFonts w:cs="Arial"/>
                <w:sz w:val="18"/>
                <w:szCs w:val="18"/>
              </w:rPr>
            </w:pPr>
            <w:r w:rsidRPr="001D41EA">
              <w:rPr>
                <w:rFonts w:cs="Arial"/>
                <w:sz w:val="18"/>
                <w:szCs w:val="18"/>
              </w:rPr>
              <w:t>0.922</w:t>
            </w:r>
          </w:p>
        </w:tc>
      </w:tr>
      <w:tr w:rsidR="00566EA9" w:rsidRPr="001D41EA" w14:paraId="3E92895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BD51339" w14:textId="77777777" w:rsidR="00566EA9" w:rsidRPr="001D41EA" w:rsidRDefault="00566EA9" w:rsidP="001D41EA">
            <w:pPr>
              <w:spacing w:before="40" w:after="20"/>
              <w:rPr>
                <w:rFonts w:cs="Arial"/>
                <w:sz w:val="18"/>
                <w:szCs w:val="18"/>
              </w:rPr>
            </w:pPr>
            <w:r w:rsidRPr="001D41EA">
              <w:rPr>
                <w:rFonts w:cs="Arial"/>
                <w:sz w:val="18"/>
                <w:szCs w:val="18"/>
              </w:rPr>
              <w:t>Pyrenees S</w:t>
            </w:r>
          </w:p>
        </w:tc>
        <w:tc>
          <w:tcPr>
            <w:tcW w:w="1134" w:type="dxa"/>
            <w:tcBorders>
              <w:top w:val="nil"/>
              <w:left w:val="single" w:sz="18" w:space="0" w:color="5F497A" w:themeColor="accent4" w:themeShade="BF"/>
              <w:bottom w:val="nil"/>
              <w:right w:val="nil"/>
            </w:tcBorders>
            <w:vAlign w:val="bottom"/>
          </w:tcPr>
          <w:p w14:paraId="684F65FE" w14:textId="7D632B95" w:rsidR="00566EA9" w:rsidRPr="001D41EA" w:rsidRDefault="00566EA9" w:rsidP="001D41EA">
            <w:pPr>
              <w:spacing w:before="40" w:after="20"/>
              <w:jc w:val="center"/>
              <w:rPr>
                <w:rFonts w:cs="Arial"/>
                <w:sz w:val="18"/>
                <w:szCs w:val="18"/>
              </w:rPr>
            </w:pPr>
            <w:r w:rsidRPr="001D41EA">
              <w:rPr>
                <w:rFonts w:cs="Arial"/>
                <w:sz w:val="18"/>
                <w:szCs w:val="18"/>
              </w:rPr>
              <w:t>1.245</w:t>
            </w:r>
          </w:p>
        </w:tc>
        <w:tc>
          <w:tcPr>
            <w:tcW w:w="1134" w:type="dxa"/>
            <w:tcBorders>
              <w:top w:val="nil"/>
              <w:left w:val="nil"/>
              <w:bottom w:val="nil"/>
              <w:right w:val="nil"/>
            </w:tcBorders>
            <w:vAlign w:val="bottom"/>
          </w:tcPr>
          <w:p w14:paraId="4908BDE1" w14:textId="608BE0E6" w:rsidR="00566EA9" w:rsidRPr="001D41EA" w:rsidRDefault="00566EA9" w:rsidP="001D41EA">
            <w:pPr>
              <w:spacing w:before="40" w:after="20"/>
              <w:jc w:val="center"/>
              <w:rPr>
                <w:rFonts w:cs="Arial"/>
                <w:sz w:val="18"/>
                <w:szCs w:val="18"/>
              </w:rPr>
            </w:pPr>
            <w:r w:rsidRPr="001D41EA">
              <w:rPr>
                <w:rFonts w:cs="Arial"/>
                <w:sz w:val="18"/>
                <w:szCs w:val="18"/>
              </w:rPr>
              <w:t>1.242</w:t>
            </w:r>
          </w:p>
        </w:tc>
        <w:tc>
          <w:tcPr>
            <w:tcW w:w="170" w:type="dxa"/>
            <w:tcBorders>
              <w:top w:val="nil"/>
              <w:left w:val="nil"/>
              <w:bottom w:val="nil"/>
              <w:right w:val="nil"/>
            </w:tcBorders>
            <w:shd w:val="clear" w:color="auto" w:fill="auto"/>
            <w:vAlign w:val="bottom"/>
          </w:tcPr>
          <w:p w14:paraId="6F693D32" w14:textId="099B0F9A"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335DACEA" w14:textId="713FB570" w:rsidR="00566EA9" w:rsidRPr="001D41EA" w:rsidRDefault="00566EA9" w:rsidP="001D41EA">
            <w:pPr>
              <w:spacing w:before="40" w:after="20"/>
              <w:jc w:val="center"/>
              <w:rPr>
                <w:rFonts w:cs="Arial"/>
                <w:sz w:val="18"/>
                <w:szCs w:val="18"/>
              </w:rPr>
            </w:pPr>
            <w:r w:rsidRPr="001D41EA">
              <w:rPr>
                <w:rFonts w:cs="Arial"/>
                <w:sz w:val="18"/>
                <w:szCs w:val="18"/>
              </w:rPr>
              <w:t>0.796</w:t>
            </w:r>
          </w:p>
        </w:tc>
        <w:tc>
          <w:tcPr>
            <w:tcW w:w="1134" w:type="dxa"/>
            <w:tcBorders>
              <w:top w:val="nil"/>
              <w:left w:val="nil"/>
              <w:bottom w:val="nil"/>
              <w:right w:val="nil"/>
            </w:tcBorders>
            <w:vAlign w:val="bottom"/>
          </w:tcPr>
          <w:p w14:paraId="2BBF4954" w14:textId="34207A61" w:rsidR="00566EA9" w:rsidRPr="001D41EA" w:rsidRDefault="00566EA9" w:rsidP="001D41EA">
            <w:pPr>
              <w:spacing w:before="40" w:after="20"/>
              <w:jc w:val="center"/>
              <w:rPr>
                <w:rFonts w:cs="Arial"/>
                <w:sz w:val="18"/>
                <w:szCs w:val="18"/>
              </w:rPr>
            </w:pPr>
            <w:r w:rsidRPr="001D41EA">
              <w:rPr>
                <w:rFonts w:cs="Arial"/>
                <w:sz w:val="18"/>
                <w:szCs w:val="18"/>
              </w:rPr>
              <w:t>0.802</w:t>
            </w:r>
          </w:p>
        </w:tc>
        <w:tc>
          <w:tcPr>
            <w:tcW w:w="1134" w:type="dxa"/>
            <w:tcBorders>
              <w:top w:val="nil"/>
              <w:left w:val="nil"/>
              <w:bottom w:val="nil"/>
              <w:right w:val="nil"/>
            </w:tcBorders>
            <w:vAlign w:val="bottom"/>
          </w:tcPr>
          <w:p w14:paraId="7A2C7BAA" w14:textId="5D03BC45" w:rsidR="00566EA9" w:rsidRPr="001D41EA" w:rsidRDefault="00566EA9" w:rsidP="001D41EA">
            <w:pPr>
              <w:spacing w:before="40" w:after="20"/>
              <w:jc w:val="center"/>
              <w:rPr>
                <w:rFonts w:cs="Arial"/>
                <w:sz w:val="18"/>
                <w:szCs w:val="18"/>
              </w:rPr>
            </w:pPr>
            <w:r w:rsidRPr="001D41EA">
              <w:rPr>
                <w:rFonts w:cs="Arial"/>
                <w:sz w:val="18"/>
                <w:szCs w:val="18"/>
              </w:rPr>
              <w:t>0.798</w:t>
            </w:r>
          </w:p>
        </w:tc>
        <w:tc>
          <w:tcPr>
            <w:tcW w:w="1134" w:type="dxa"/>
            <w:tcBorders>
              <w:top w:val="nil"/>
              <w:left w:val="nil"/>
              <w:bottom w:val="nil"/>
              <w:right w:val="nil"/>
            </w:tcBorders>
            <w:shd w:val="clear" w:color="auto" w:fill="auto"/>
            <w:vAlign w:val="bottom"/>
          </w:tcPr>
          <w:p w14:paraId="646CD775" w14:textId="735A8585" w:rsidR="00566EA9" w:rsidRPr="001D41EA" w:rsidRDefault="00566EA9" w:rsidP="001D41EA">
            <w:pPr>
              <w:spacing w:before="40" w:after="20"/>
              <w:jc w:val="center"/>
              <w:rPr>
                <w:rFonts w:cs="Arial"/>
                <w:sz w:val="18"/>
                <w:szCs w:val="18"/>
              </w:rPr>
            </w:pPr>
            <w:r w:rsidRPr="001D41EA">
              <w:rPr>
                <w:rFonts w:cs="Arial"/>
                <w:sz w:val="18"/>
                <w:szCs w:val="18"/>
              </w:rPr>
              <w:t>0.813</w:t>
            </w:r>
          </w:p>
        </w:tc>
      </w:tr>
      <w:tr w:rsidR="00566EA9" w:rsidRPr="001D41EA" w14:paraId="0C64E36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6AB55F4" w14:textId="77777777" w:rsidR="00566EA9" w:rsidRPr="001D41EA" w:rsidRDefault="00566EA9" w:rsidP="001D41EA">
            <w:pPr>
              <w:spacing w:before="40" w:after="20"/>
              <w:rPr>
                <w:rFonts w:cs="Arial"/>
                <w:sz w:val="18"/>
                <w:szCs w:val="18"/>
              </w:rPr>
            </w:pPr>
            <w:r w:rsidRPr="001D41EA">
              <w:rPr>
                <w:rFonts w:cs="Arial"/>
                <w:sz w:val="18"/>
                <w:szCs w:val="18"/>
              </w:rPr>
              <w:t>Queenscliffe B</w:t>
            </w:r>
          </w:p>
        </w:tc>
        <w:tc>
          <w:tcPr>
            <w:tcW w:w="1134" w:type="dxa"/>
            <w:tcBorders>
              <w:top w:val="nil"/>
              <w:left w:val="single" w:sz="18" w:space="0" w:color="5F497A" w:themeColor="accent4" w:themeShade="BF"/>
              <w:bottom w:val="nil"/>
              <w:right w:val="nil"/>
            </w:tcBorders>
            <w:vAlign w:val="bottom"/>
          </w:tcPr>
          <w:p w14:paraId="460D1D79" w14:textId="72C13314" w:rsidR="00566EA9" w:rsidRPr="001D41EA" w:rsidRDefault="00566EA9" w:rsidP="001D41EA">
            <w:pPr>
              <w:spacing w:before="40" w:after="20"/>
              <w:jc w:val="center"/>
              <w:rPr>
                <w:rFonts w:cs="Arial"/>
                <w:sz w:val="18"/>
                <w:szCs w:val="18"/>
              </w:rPr>
            </w:pPr>
            <w:r w:rsidRPr="001D41EA">
              <w:rPr>
                <w:rFonts w:cs="Arial"/>
                <w:sz w:val="18"/>
                <w:szCs w:val="18"/>
              </w:rPr>
              <w:t>0.887</w:t>
            </w:r>
          </w:p>
        </w:tc>
        <w:tc>
          <w:tcPr>
            <w:tcW w:w="1134" w:type="dxa"/>
            <w:tcBorders>
              <w:top w:val="nil"/>
              <w:left w:val="nil"/>
              <w:bottom w:val="nil"/>
              <w:right w:val="nil"/>
            </w:tcBorders>
            <w:vAlign w:val="bottom"/>
          </w:tcPr>
          <w:p w14:paraId="00308EC4" w14:textId="78D17887" w:rsidR="00566EA9" w:rsidRPr="001D41EA" w:rsidRDefault="00566EA9" w:rsidP="001D41EA">
            <w:pPr>
              <w:spacing w:before="40" w:after="20"/>
              <w:jc w:val="center"/>
              <w:rPr>
                <w:rFonts w:cs="Arial"/>
                <w:sz w:val="18"/>
                <w:szCs w:val="18"/>
              </w:rPr>
            </w:pPr>
            <w:r w:rsidRPr="001D41EA">
              <w:rPr>
                <w:rFonts w:cs="Arial"/>
                <w:sz w:val="18"/>
                <w:szCs w:val="18"/>
              </w:rPr>
              <w:t>0.884</w:t>
            </w:r>
          </w:p>
        </w:tc>
        <w:tc>
          <w:tcPr>
            <w:tcW w:w="170" w:type="dxa"/>
            <w:tcBorders>
              <w:top w:val="nil"/>
              <w:left w:val="nil"/>
              <w:bottom w:val="nil"/>
              <w:right w:val="nil"/>
            </w:tcBorders>
            <w:shd w:val="clear" w:color="auto" w:fill="auto"/>
            <w:vAlign w:val="bottom"/>
          </w:tcPr>
          <w:p w14:paraId="61E1A694" w14:textId="4ABFE5B3"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28C07082" w14:textId="1709D366" w:rsidR="00566EA9" w:rsidRPr="001D41EA" w:rsidRDefault="00566EA9" w:rsidP="001D41EA">
            <w:pPr>
              <w:spacing w:before="40" w:after="20"/>
              <w:jc w:val="center"/>
              <w:rPr>
                <w:rFonts w:cs="Arial"/>
                <w:sz w:val="18"/>
                <w:szCs w:val="18"/>
              </w:rPr>
            </w:pPr>
            <w:r w:rsidRPr="001D41EA">
              <w:rPr>
                <w:rFonts w:cs="Arial"/>
                <w:sz w:val="18"/>
                <w:szCs w:val="18"/>
              </w:rPr>
              <w:t>0.813</w:t>
            </w:r>
          </w:p>
        </w:tc>
        <w:tc>
          <w:tcPr>
            <w:tcW w:w="1134" w:type="dxa"/>
            <w:tcBorders>
              <w:top w:val="nil"/>
              <w:left w:val="nil"/>
              <w:bottom w:val="nil"/>
              <w:right w:val="nil"/>
            </w:tcBorders>
            <w:vAlign w:val="bottom"/>
          </w:tcPr>
          <w:p w14:paraId="79A8ECEF" w14:textId="6EFFA95F" w:rsidR="00566EA9" w:rsidRPr="001D41EA" w:rsidRDefault="00566EA9" w:rsidP="001D41EA">
            <w:pPr>
              <w:spacing w:before="40" w:after="20"/>
              <w:jc w:val="center"/>
              <w:rPr>
                <w:rFonts w:cs="Arial"/>
                <w:sz w:val="18"/>
                <w:szCs w:val="18"/>
              </w:rPr>
            </w:pPr>
            <w:r w:rsidRPr="001D41EA">
              <w:rPr>
                <w:rFonts w:cs="Arial"/>
                <w:sz w:val="18"/>
                <w:szCs w:val="18"/>
              </w:rPr>
              <w:t>0.819</w:t>
            </w:r>
          </w:p>
        </w:tc>
        <w:tc>
          <w:tcPr>
            <w:tcW w:w="1134" w:type="dxa"/>
            <w:tcBorders>
              <w:top w:val="nil"/>
              <w:left w:val="nil"/>
              <w:bottom w:val="nil"/>
              <w:right w:val="nil"/>
            </w:tcBorders>
            <w:vAlign w:val="bottom"/>
          </w:tcPr>
          <w:p w14:paraId="35228B08" w14:textId="61119FFD" w:rsidR="00566EA9" w:rsidRPr="001D41EA" w:rsidRDefault="00566EA9" w:rsidP="001D41EA">
            <w:pPr>
              <w:spacing w:before="40" w:after="20"/>
              <w:jc w:val="center"/>
              <w:rPr>
                <w:rFonts w:cs="Arial"/>
                <w:sz w:val="18"/>
                <w:szCs w:val="18"/>
              </w:rPr>
            </w:pPr>
            <w:r w:rsidRPr="001D41EA">
              <w:rPr>
                <w:rFonts w:cs="Arial"/>
                <w:sz w:val="18"/>
                <w:szCs w:val="18"/>
              </w:rPr>
              <w:t>0.815</w:t>
            </w:r>
          </w:p>
        </w:tc>
        <w:tc>
          <w:tcPr>
            <w:tcW w:w="1134" w:type="dxa"/>
            <w:tcBorders>
              <w:top w:val="nil"/>
              <w:left w:val="nil"/>
              <w:bottom w:val="nil"/>
              <w:right w:val="nil"/>
            </w:tcBorders>
            <w:shd w:val="clear" w:color="auto" w:fill="auto"/>
            <w:vAlign w:val="bottom"/>
          </w:tcPr>
          <w:p w14:paraId="6096987D" w14:textId="7C339E20" w:rsidR="00566EA9" w:rsidRPr="001D41EA" w:rsidRDefault="00566EA9" w:rsidP="001D41EA">
            <w:pPr>
              <w:spacing w:before="40" w:after="20"/>
              <w:jc w:val="center"/>
              <w:rPr>
                <w:rFonts w:cs="Arial"/>
                <w:sz w:val="18"/>
                <w:szCs w:val="18"/>
              </w:rPr>
            </w:pPr>
            <w:r w:rsidRPr="001D41EA">
              <w:rPr>
                <w:rFonts w:cs="Arial"/>
                <w:sz w:val="18"/>
                <w:szCs w:val="18"/>
              </w:rPr>
              <w:t>0.830</w:t>
            </w:r>
          </w:p>
        </w:tc>
      </w:tr>
      <w:tr w:rsidR="00566EA9" w:rsidRPr="001D41EA" w14:paraId="0D478DD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575BBA5" w14:textId="77777777" w:rsidR="00566EA9" w:rsidRPr="001D41EA" w:rsidRDefault="00566EA9" w:rsidP="001D41EA">
            <w:pPr>
              <w:spacing w:before="40" w:after="20"/>
              <w:rPr>
                <w:rFonts w:cs="Arial"/>
                <w:sz w:val="18"/>
                <w:szCs w:val="18"/>
              </w:rPr>
            </w:pPr>
            <w:r w:rsidRPr="001D41EA">
              <w:rPr>
                <w:rFonts w:cs="Arial"/>
                <w:sz w:val="18"/>
                <w:szCs w:val="18"/>
              </w:rPr>
              <w:t>South Gippsland S</w:t>
            </w:r>
          </w:p>
        </w:tc>
        <w:tc>
          <w:tcPr>
            <w:tcW w:w="1134" w:type="dxa"/>
            <w:tcBorders>
              <w:top w:val="nil"/>
              <w:left w:val="single" w:sz="18" w:space="0" w:color="5F497A" w:themeColor="accent4" w:themeShade="BF"/>
              <w:bottom w:val="nil"/>
              <w:right w:val="nil"/>
            </w:tcBorders>
            <w:vAlign w:val="bottom"/>
          </w:tcPr>
          <w:p w14:paraId="60AC63C2" w14:textId="63461D12" w:rsidR="00566EA9" w:rsidRPr="001D41EA" w:rsidRDefault="00566EA9" w:rsidP="001D41EA">
            <w:pPr>
              <w:spacing w:before="40" w:after="20"/>
              <w:jc w:val="center"/>
              <w:rPr>
                <w:rFonts w:cs="Arial"/>
                <w:sz w:val="18"/>
                <w:szCs w:val="18"/>
              </w:rPr>
            </w:pPr>
            <w:r w:rsidRPr="001D41EA">
              <w:rPr>
                <w:rFonts w:cs="Arial"/>
                <w:sz w:val="18"/>
                <w:szCs w:val="18"/>
              </w:rPr>
              <w:t>1.040</w:t>
            </w:r>
          </w:p>
        </w:tc>
        <w:tc>
          <w:tcPr>
            <w:tcW w:w="1134" w:type="dxa"/>
            <w:tcBorders>
              <w:top w:val="nil"/>
              <w:left w:val="nil"/>
              <w:bottom w:val="nil"/>
              <w:right w:val="nil"/>
            </w:tcBorders>
            <w:vAlign w:val="bottom"/>
          </w:tcPr>
          <w:p w14:paraId="507BF9DE" w14:textId="13D627AA" w:rsidR="00566EA9" w:rsidRPr="001D41EA" w:rsidRDefault="00566EA9" w:rsidP="001D41EA">
            <w:pPr>
              <w:spacing w:before="40" w:after="20"/>
              <w:jc w:val="center"/>
              <w:rPr>
                <w:rFonts w:cs="Arial"/>
                <w:sz w:val="18"/>
                <w:szCs w:val="18"/>
              </w:rPr>
            </w:pPr>
            <w:r w:rsidRPr="001D41EA">
              <w:rPr>
                <w:rFonts w:cs="Arial"/>
                <w:sz w:val="18"/>
                <w:szCs w:val="18"/>
              </w:rPr>
              <w:t>1.037</w:t>
            </w:r>
          </w:p>
        </w:tc>
        <w:tc>
          <w:tcPr>
            <w:tcW w:w="170" w:type="dxa"/>
            <w:tcBorders>
              <w:top w:val="nil"/>
              <w:left w:val="nil"/>
              <w:bottom w:val="nil"/>
              <w:right w:val="nil"/>
            </w:tcBorders>
            <w:shd w:val="clear" w:color="auto" w:fill="auto"/>
            <w:vAlign w:val="bottom"/>
          </w:tcPr>
          <w:p w14:paraId="3F2DA52C" w14:textId="5F648E7B"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5526558F" w14:textId="19BC5C5B" w:rsidR="00566EA9" w:rsidRPr="001D41EA" w:rsidRDefault="00566EA9" w:rsidP="001D41EA">
            <w:pPr>
              <w:spacing w:before="40" w:after="20"/>
              <w:jc w:val="center"/>
              <w:rPr>
                <w:rFonts w:cs="Arial"/>
                <w:sz w:val="18"/>
                <w:szCs w:val="18"/>
              </w:rPr>
            </w:pPr>
            <w:r w:rsidRPr="001D41EA">
              <w:rPr>
                <w:rFonts w:cs="Arial"/>
                <w:sz w:val="18"/>
                <w:szCs w:val="18"/>
              </w:rPr>
              <w:t>0.802</w:t>
            </w:r>
          </w:p>
        </w:tc>
        <w:tc>
          <w:tcPr>
            <w:tcW w:w="1134" w:type="dxa"/>
            <w:tcBorders>
              <w:top w:val="nil"/>
              <w:left w:val="nil"/>
              <w:bottom w:val="nil"/>
              <w:right w:val="nil"/>
            </w:tcBorders>
            <w:vAlign w:val="bottom"/>
          </w:tcPr>
          <w:p w14:paraId="3AAD4137" w14:textId="6A2FE05B" w:rsidR="00566EA9" w:rsidRPr="001D41EA" w:rsidRDefault="00566EA9" w:rsidP="001D41EA">
            <w:pPr>
              <w:spacing w:before="40" w:after="20"/>
              <w:jc w:val="center"/>
              <w:rPr>
                <w:rFonts w:cs="Arial"/>
                <w:sz w:val="18"/>
                <w:szCs w:val="18"/>
              </w:rPr>
            </w:pPr>
            <w:r w:rsidRPr="001D41EA">
              <w:rPr>
                <w:rFonts w:cs="Arial"/>
                <w:sz w:val="18"/>
                <w:szCs w:val="18"/>
              </w:rPr>
              <w:t>0.808</w:t>
            </w:r>
          </w:p>
        </w:tc>
        <w:tc>
          <w:tcPr>
            <w:tcW w:w="1134" w:type="dxa"/>
            <w:tcBorders>
              <w:top w:val="nil"/>
              <w:left w:val="nil"/>
              <w:bottom w:val="nil"/>
              <w:right w:val="nil"/>
            </w:tcBorders>
            <w:vAlign w:val="bottom"/>
          </w:tcPr>
          <w:p w14:paraId="71236311" w14:textId="49BEDFF8" w:rsidR="00566EA9" w:rsidRPr="001D41EA" w:rsidRDefault="00566EA9" w:rsidP="001D41EA">
            <w:pPr>
              <w:spacing w:before="40" w:after="20"/>
              <w:jc w:val="center"/>
              <w:rPr>
                <w:rFonts w:cs="Arial"/>
                <w:sz w:val="18"/>
                <w:szCs w:val="18"/>
              </w:rPr>
            </w:pPr>
            <w:r w:rsidRPr="001D41EA">
              <w:rPr>
                <w:rFonts w:cs="Arial"/>
                <w:sz w:val="18"/>
                <w:szCs w:val="18"/>
              </w:rPr>
              <w:t>0.804</w:t>
            </w:r>
          </w:p>
        </w:tc>
        <w:tc>
          <w:tcPr>
            <w:tcW w:w="1134" w:type="dxa"/>
            <w:tcBorders>
              <w:top w:val="nil"/>
              <w:left w:val="nil"/>
              <w:bottom w:val="nil"/>
              <w:right w:val="nil"/>
            </w:tcBorders>
            <w:shd w:val="clear" w:color="auto" w:fill="auto"/>
            <w:vAlign w:val="bottom"/>
          </w:tcPr>
          <w:p w14:paraId="23ABB4E5" w14:textId="3AA30FED" w:rsidR="00566EA9" w:rsidRPr="001D41EA" w:rsidRDefault="00566EA9" w:rsidP="001D41EA">
            <w:pPr>
              <w:spacing w:before="40" w:after="20"/>
              <w:jc w:val="center"/>
              <w:rPr>
                <w:rFonts w:cs="Arial"/>
                <w:sz w:val="18"/>
                <w:szCs w:val="18"/>
              </w:rPr>
            </w:pPr>
            <w:r w:rsidRPr="001D41EA">
              <w:rPr>
                <w:rFonts w:cs="Arial"/>
                <w:sz w:val="18"/>
                <w:szCs w:val="18"/>
              </w:rPr>
              <w:t>0.819</w:t>
            </w:r>
          </w:p>
        </w:tc>
      </w:tr>
      <w:tr w:rsidR="00566EA9" w:rsidRPr="001D41EA" w14:paraId="3143CF5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D18F9A7" w14:textId="77777777" w:rsidR="00566EA9" w:rsidRPr="001D41EA" w:rsidRDefault="00566EA9" w:rsidP="001D41EA">
            <w:pPr>
              <w:spacing w:before="40" w:after="20"/>
              <w:rPr>
                <w:rFonts w:cs="Arial"/>
                <w:sz w:val="18"/>
                <w:szCs w:val="18"/>
              </w:rPr>
            </w:pPr>
            <w:r w:rsidRPr="001D41EA">
              <w:rPr>
                <w:rFonts w:cs="Arial"/>
                <w:sz w:val="18"/>
                <w:szCs w:val="18"/>
              </w:rPr>
              <w:t>Southern Grampians S</w:t>
            </w:r>
          </w:p>
        </w:tc>
        <w:tc>
          <w:tcPr>
            <w:tcW w:w="1134" w:type="dxa"/>
            <w:tcBorders>
              <w:top w:val="nil"/>
              <w:left w:val="single" w:sz="18" w:space="0" w:color="5F497A" w:themeColor="accent4" w:themeShade="BF"/>
              <w:bottom w:val="nil"/>
              <w:right w:val="nil"/>
            </w:tcBorders>
            <w:vAlign w:val="bottom"/>
          </w:tcPr>
          <w:p w14:paraId="122E23E8" w14:textId="1CA6C0FB" w:rsidR="00566EA9" w:rsidRPr="001D41EA" w:rsidRDefault="00566EA9" w:rsidP="001D41EA">
            <w:pPr>
              <w:spacing w:before="40" w:after="20"/>
              <w:jc w:val="center"/>
              <w:rPr>
                <w:rFonts w:cs="Arial"/>
                <w:sz w:val="18"/>
                <w:szCs w:val="18"/>
              </w:rPr>
            </w:pPr>
            <w:r w:rsidRPr="001D41EA">
              <w:rPr>
                <w:rFonts w:cs="Arial"/>
                <w:sz w:val="18"/>
                <w:szCs w:val="18"/>
              </w:rPr>
              <w:t>1.155</w:t>
            </w:r>
          </w:p>
        </w:tc>
        <w:tc>
          <w:tcPr>
            <w:tcW w:w="1134" w:type="dxa"/>
            <w:tcBorders>
              <w:top w:val="nil"/>
              <w:left w:val="nil"/>
              <w:bottom w:val="nil"/>
              <w:right w:val="nil"/>
            </w:tcBorders>
            <w:vAlign w:val="bottom"/>
          </w:tcPr>
          <w:p w14:paraId="0F244384" w14:textId="44461468" w:rsidR="00566EA9" w:rsidRPr="001D41EA" w:rsidRDefault="00566EA9" w:rsidP="001D41EA">
            <w:pPr>
              <w:spacing w:before="40" w:after="20"/>
              <w:jc w:val="center"/>
              <w:rPr>
                <w:rFonts w:cs="Arial"/>
                <w:sz w:val="18"/>
                <w:szCs w:val="18"/>
              </w:rPr>
            </w:pPr>
            <w:r w:rsidRPr="001D41EA">
              <w:rPr>
                <w:rFonts w:cs="Arial"/>
                <w:sz w:val="18"/>
                <w:szCs w:val="18"/>
              </w:rPr>
              <w:t>1.152</w:t>
            </w:r>
          </w:p>
        </w:tc>
        <w:tc>
          <w:tcPr>
            <w:tcW w:w="170" w:type="dxa"/>
            <w:tcBorders>
              <w:top w:val="nil"/>
              <w:left w:val="nil"/>
              <w:bottom w:val="nil"/>
              <w:right w:val="nil"/>
            </w:tcBorders>
            <w:shd w:val="clear" w:color="auto" w:fill="auto"/>
            <w:vAlign w:val="bottom"/>
          </w:tcPr>
          <w:p w14:paraId="7D3ED652" w14:textId="1BA940D9"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6EB110E8" w14:textId="4F89AE99" w:rsidR="00566EA9" w:rsidRPr="001D41EA" w:rsidRDefault="00566EA9" w:rsidP="001D41EA">
            <w:pPr>
              <w:spacing w:before="40" w:after="20"/>
              <w:jc w:val="center"/>
              <w:rPr>
                <w:rFonts w:cs="Arial"/>
                <w:sz w:val="18"/>
                <w:szCs w:val="18"/>
              </w:rPr>
            </w:pPr>
            <w:r w:rsidRPr="001D41EA">
              <w:rPr>
                <w:rFonts w:cs="Arial"/>
                <w:sz w:val="18"/>
                <w:szCs w:val="18"/>
              </w:rPr>
              <w:t>0.797</w:t>
            </w:r>
          </w:p>
        </w:tc>
        <w:tc>
          <w:tcPr>
            <w:tcW w:w="1134" w:type="dxa"/>
            <w:tcBorders>
              <w:top w:val="nil"/>
              <w:left w:val="nil"/>
              <w:bottom w:val="nil"/>
              <w:right w:val="nil"/>
            </w:tcBorders>
            <w:vAlign w:val="bottom"/>
          </w:tcPr>
          <w:p w14:paraId="19E27DB5" w14:textId="6FFC1519" w:rsidR="00566EA9" w:rsidRPr="001D41EA" w:rsidRDefault="00566EA9" w:rsidP="001D41EA">
            <w:pPr>
              <w:spacing w:before="40" w:after="20"/>
              <w:jc w:val="center"/>
              <w:rPr>
                <w:rFonts w:cs="Arial"/>
                <w:sz w:val="18"/>
                <w:szCs w:val="18"/>
              </w:rPr>
            </w:pPr>
            <w:r w:rsidRPr="001D41EA">
              <w:rPr>
                <w:rFonts w:cs="Arial"/>
                <w:sz w:val="18"/>
                <w:szCs w:val="18"/>
              </w:rPr>
              <w:t>0.803</w:t>
            </w:r>
          </w:p>
        </w:tc>
        <w:tc>
          <w:tcPr>
            <w:tcW w:w="1134" w:type="dxa"/>
            <w:tcBorders>
              <w:top w:val="nil"/>
              <w:left w:val="nil"/>
              <w:bottom w:val="nil"/>
              <w:right w:val="nil"/>
            </w:tcBorders>
            <w:vAlign w:val="bottom"/>
          </w:tcPr>
          <w:p w14:paraId="0F2420AD" w14:textId="34C2410A" w:rsidR="00566EA9" w:rsidRPr="001D41EA" w:rsidRDefault="00566EA9" w:rsidP="001D41EA">
            <w:pPr>
              <w:spacing w:before="40" w:after="20"/>
              <w:jc w:val="center"/>
              <w:rPr>
                <w:rFonts w:cs="Arial"/>
                <w:sz w:val="18"/>
                <w:szCs w:val="18"/>
              </w:rPr>
            </w:pPr>
            <w:r w:rsidRPr="001D41EA">
              <w:rPr>
                <w:rFonts w:cs="Arial"/>
                <w:sz w:val="18"/>
                <w:szCs w:val="18"/>
              </w:rPr>
              <w:t>0.798</w:t>
            </w:r>
          </w:p>
        </w:tc>
        <w:tc>
          <w:tcPr>
            <w:tcW w:w="1134" w:type="dxa"/>
            <w:tcBorders>
              <w:top w:val="nil"/>
              <w:left w:val="nil"/>
              <w:bottom w:val="nil"/>
              <w:right w:val="nil"/>
            </w:tcBorders>
            <w:shd w:val="clear" w:color="auto" w:fill="auto"/>
            <w:vAlign w:val="bottom"/>
          </w:tcPr>
          <w:p w14:paraId="20FD521C" w14:textId="1B45F846" w:rsidR="00566EA9" w:rsidRPr="001D41EA" w:rsidRDefault="00566EA9" w:rsidP="001D41EA">
            <w:pPr>
              <w:spacing w:before="40" w:after="20"/>
              <w:jc w:val="center"/>
              <w:rPr>
                <w:rFonts w:cs="Arial"/>
                <w:sz w:val="18"/>
                <w:szCs w:val="18"/>
              </w:rPr>
            </w:pPr>
            <w:r w:rsidRPr="001D41EA">
              <w:rPr>
                <w:rFonts w:cs="Arial"/>
                <w:sz w:val="18"/>
                <w:szCs w:val="18"/>
              </w:rPr>
              <w:t>0.814</w:t>
            </w:r>
          </w:p>
        </w:tc>
      </w:tr>
      <w:tr w:rsidR="00566EA9" w:rsidRPr="001D41EA" w14:paraId="78A6D7A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1762E46" w14:textId="77777777" w:rsidR="00566EA9" w:rsidRPr="001D41EA" w:rsidRDefault="00566EA9" w:rsidP="001D41EA">
            <w:pPr>
              <w:spacing w:before="40" w:after="20"/>
              <w:rPr>
                <w:rFonts w:cs="Arial"/>
                <w:sz w:val="18"/>
                <w:szCs w:val="18"/>
              </w:rPr>
            </w:pPr>
            <w:r w:rsidRPr="001D41EA">
              <w:rPr>
                <w:rFonts w:cs="Arial"/>
                <w:sz w:val="18"/>
                <w:szCs w:val="18"/>
              </w:rPr>
              <w:t>Stonnington C</w:t>
            </w:r>
          </w:p>
        </w:tc>
        <w:tc>
          <w:tcPr>
            <w:tcW w:w="1134" w:type="dxa"/>
            <w:tcBorders>
              <w:top w:val="nil"/>
              <w:left w:val="single" w:sz="18" w:space="0" w:color="5F497A" w:themeColor="accent4" w:themeShade="BF"/>
              <w:bottom w:val="nil"/>
              <w:right w:val="nil"/>
            </w:tcBorders>
            <w:vAlign w:val="bottom"/>
          </w:tcPr>
          <w:p w14:paraId="7DD9FBF5" w14:textId="66524E86" w:rsidR="00566EA9" w:rsidRPr="001D41EA" w:rsidRDefault="00566EA9" w:rsidP="001D41EA">
            <w:pPr>
              <w:spacing w:before="40" w:after="20"/>
              <w:jc w:val="center"/>
              <w:rPr>
                <w:rFonts w:cs="Arial"/>
                <w:sz w:val="18"/>
                <w:szCs w:val="18"/>
              </w:rPr>
            </w:pPr>
            <w:r w:rsidRPr="001D41EA">
              <w:rPr>
                <w:rFonts w:cs="Arial"/>
                <w:sz w:val="18"/>
                <w:szCs w:val="18"/>
              </w:rPr>
              <w:t>0.890</w:t>
            </w:r>
          </w:p>
        </w:tc>
        <w:tc>
          <w:tcPr>
            <w:tcW w:w="1134" w:type="dxa"/>
            <w:tcBorders>
              <w:top w:val="nil"/>
              <w:left w:val="nil"/>
              <w:bottom w:val="nil"/>
              <w:right w:val="nil"/>
            </w:tcBorders>
            <w:vAlign w:val="bottom"/>
          </w:tcPr>
          <w:p w14:paraId="2EA3DF9D" w14:textId="7E9B5440" w:rsidR="00566EA9" w:rsidRPr="001D41EA" w:rsidRDefault="00566EA9" w:rsidP="001D41EA">
            <w:pPr>
              <w:spacing w:before="40" w:after="20"/>
              <w:jc w:val="center"/>
              <w:rPr>
                <w:rFonts w:cs="Arial"/>
                <w:sz w:val="18"/>
                <w:szCs w:val="18"/>
              </w:rPr>
            </w:pPr>
            <w:r w:rsidRPr="001D41EA">
              <w:rPr>
                <w:rFonts w:cs="Arial"/>
                <w:sz w:val="18"/>
                <w:szCs w:val="18"/>
              </w:rPr>
              <w:t>0.887</w:t>
            </w:r>
          </w:p>
        </w:tc>
        <w:tc>
          <w:tcPr>
            <w:tcW w:w="170" w:type="dxa"/>
            <w:tcBorders>
              <w:top w:val="nil"/>
              <w:left w:val="nil"/>
              <w:bottom w:val="nil"/>
              <w:right w:val="nil"/>
            </w:tcBorders>
            <w:shd w:val="clear" w:color="auto" w:fill="auto"/>
            <w:vAlign w:val="bottom"/>
          </w:tcPr>
          <w:p w14:paraId="5FC65C61" w14:textId="06E9D95D"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57D2E6FA" w14:textId="27FC18D5" w:rsidR="00566EA9" w:rsidRPr="001D41EA" w:rsidRDefault="00566EA9" w:rsidP="001D41EA">
            <w:pPr>
              <w:spacing w:before="40" w:after="20"/>
              <w:jc w:val="center"/>
              <w:rPr>
                <w:rFonts w:cs="Arial"/>
                <w:sz w:val="18"/>
                <w:szCs w:val="18"/>
              </w:rPr>
            </w:pPr>
            <w:r w:rsidRPr="001D41EA">
              <w:rPr>
                <w:rFonts w:cs="Arial"/>
                <w:sz w:val="18"/>
                <w:szCs w:val="18"/>
              </w:rPr>
              <w:t>0.939</w:t>
            </w:r>
          </w:p>
        </w:tc>
        <w:tc>
          <w:tcPr>
            <w:tcW w:w="1134" w:type="dxa"/>
            <w:tcBorders>
              <w:top w:val="nil"/>
              <w:left w:val="nil"/>
              <w:bottom w:val="nil"/>
              <w:right w:val="nil"/>
            </w:tcBorders>
            <w:vAlign w:val="bottom"/>
          </w:tcPr>
          <w:p w14:paraId="50F3FAAF" w14:textId="0D516758" w:rsidR="00566EA9" w:rsidRPr="001D41EA" w:rsidRDefault="00566EA9" w:rsidP="001D41EA">
            <w:pPr>
              <w:spacing w:before="40" w:after="20"/>
              <w:jc w:val="center"/>
              <w:rPr>
                <w:rFonts w:cs="Arial"/>
                <w:sz w:val="18"/>
                <w:szCs w:val="18"/>
              </w:rPr>
            </w:pPr>
            <w:r w:rsidRPr="001D41EA">
              <w:rPr>
                <w:rFonts w:cs="Arial"/>
                <w:sz w:val="18"/>
                <w:szCs w:val="18"/>
              </w:rPr>
              <w:t>0.946</w:t>
            </w:r>
          </w:p>
        </w:tc>
        <w:tc>
          <w:tcPr>
            <w:tcW w:w="1134" w:type="dxa"/>
            <w:tcBorders>
              <w:top w:val="nil"/>
              <w:left w:val="nil"/>
              <w:bottom w:val="nil"/>
              <w:right w:val="nil"/>
            </w:tcBorders>
            <w:vAlign w:val="bottom"/>
          </w:tcPr>
          <w:p w14:paraId="25B2E13C" w14:textId="06F644C8" w:rsidR="00566EA9" w:rsidRPr="001D41EA" w:rsidRDefault="00566EA9" w:rsidP="001D41EA">
            <w:pPr>
              <w:spacing w:before="40" w:after="20"/>
              <w:jc w:val="center"/>
              <w:rPr>
                <w:rFonts w:cs="Arial"/>
                <w:sz w:val="18"/>
                <w:szCs w:val="18"/>
              </w:rPr>
            </w:pPr>
            <w:r w:rsidRPr="001D41EA">
              <w:rPr>
                <w:rFonts w:cs="Arial"/>
                <w:sz w:val="18"/>
                <w:szCs w:val="18"/>
              </w:rPr>
              <w:t>0.941</w:t>
            </w:r>
          </w:p>
        </w:tc>
        <w:tc>
          <w:tcPr>
            <w:tcW w:w="1134" w:type="dxa"/>
            <w:tcBorders>
              <w:top w:val="nil"/>
              <w:left w:val="nil"/>
              <w:bottom w:val="nil"/>
              <w:right w:val="nil"/>
            </w:tcBorders>
            <w:shd w:val="clear" w:color="auto" w:fill="auto"/>
            <w:vAlign w:val="bottom"/>
          </w:tcPr>
          <w:p w14:paraId="3AE4DAB3" w14:textId="30B96DC5" w:rsidR="00566EA9" w:rsidRPr="001D41EA" w:rsidRDefault="00566EA9" w:rsidP="001D41EA">
            <w:pPr>
              <w:spacing w:before="40" w:after="20"/>
              <w:jc w:val="center"/>
              <w:rPr>
                <w:rFonts w:cs="Arial"/>
                <w:sz w:val="18"/>
                <w:szCs w:val="18"/>
              </w:rPr>
            </w:pPr>
            <w:r w:rsidRPr="001D41EA">
              <w:rPr>
                <w:rFonts w:cs="Arial"/>
                <w:sz w:val="18"/>
                <w:szCs w:val="18"/>
              </w:rPr>
              <w:t>0.959</w:t>
            </w:r>
          </w:p>
        </w:tc>
      </w:tr>
      <w:tr w:rsidR="00566EA9" w:rsidRPr="001D41EA" w14:paraId="4ED5E1F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3ACC8BD" w14:textId="77777777" w:rsidR="00566EA9" w:rsidRPr="001D41EA" w:rsidRDefault="00566EA9" w:rsidP="001D41EA">
            <w:pPr>
              <w:spacing w:before="40" w:after="20"/>
              <w:rPr>
                <w:rFonts w:cs="Arial"/>
                <w:sz w:val="18"/>
                <w:szCs w:val="18"/>
              </w:rPr>
            </w:pPr>
            <w:r w:rsidRPr="001D41EA">
              <w:rPr>
                <w:rFonts w:cs="Arial"/>
                <w:sz w:val="18"/>
                <w:szCs w:val="18"/>
              </w:rPr>
              <w:t>Strathbogie S</w:t>
            </w:r>
          </w:p>
        </w:tc>
        <w:tc>
          <w:tcPr>
            <w:tcW w:w="1134" w:type="dxa"/>
            <w:tcBorders>
              <w:top w:val="nil"/>
              <w:left w:val="single" w:sz="18" w:space="0" w:color="5F497A" w:themeColor="accent4" w:themeShade="BF"/>
              <w:bottom w:val="nil"/>
              <w:right w:val="nil"/>
            </w:tcBorders>
            <w:vAlign w:val="bottom"/>
          </w:tcPr>
          <w:p w14:paraId="069DB9D4" w14:textId="54B4F27C" w:rsidR="00566EA9" w:rsidRPr="001D41EA" w:rsidRDefault="00566EA9" w:rsidP="001D41EA">
            <w:pPr>
              <w:spacing w:before="40" w:after="20"/>
              <w:jc w:val="center"/>
              <w:rPr>
                <w:rFonts w:cs="Arial"/>
                <w:sz w:val="18"/>
                <w:szCs w:val="18"/>
              </w:rPr>
            </w:pPr>
            <w:r w:rsidRPr="001D41EA">
              <w:rPr>
                <w:rFonts w:cs="Arial"/>
                <w:sz w:val="18"/>
                <w:szCs w:val="18"/>
              </w:rPr>
              <w:t>1.076</w:t>
            </w:r>
          </w:p>
        </w:tc>
        <w:tc>
          <w:tcPr>
            <w:tcW w:w="1134" w:type="dxa"/>
            <w:tcBorders>
              <w:top w:val="nil"/>
              <w:left w:val="nil"/>
              <w:bottom w:val="nil"/>
              <w:right w:val="nil"/>
            </w:tcBorders>
            <w:vAlign w:val="bottom"/>
          </w:tcPr>
          <w:p w14:paraId="6BEEB236" w14:textId="3CC769AC" w:rsidR="00566EA9" w:rsidRPr="001D41EA" w:rsidRDefault="00566EA9" w:rsidP="001D41EA">
            <w:pPr>
              <w:spacing w:before="40" w:after="20"/>
              <w:jc w:val="center"/>
              <w:rPr>
                <w:rFonts w:cs="Arial"/>
                <w:sz w:val="18"/>
                <w:szCs w:val="18"/>
              </w:rPr>
            </w:pPr>
            <w:r w:rsidRPr="001D41EA">
              <w:rPr>
                <w:rFonts w:cs="Arial"/>
                <w:sz w:val="18"/>
                <w:szCs w:val="18"/>
              </w:rPr>
              <w:t>1.072</w:t>
            </w:r>
          </w:p>
        </w:tc>
        <w:tc>
          <w:tcPr>
            <w:tcW w:w="170" w:type="dxa"/>
            <w:tcBorders>
              <w:top w:val="nil"/>
              <w:left w:val="nil"/>
              <w:bottom w:val="nil"/>
              <w:right w:val="nil"/>
            </w:tcBorders>
            <w:shd w:val="clear" w:color="auto" w:fill="auto"/>
            <w:vAlign w:val="bottom"/>
          </w:tcPr>
          <w:p w14:paraId="3F37A44C" w14:textId="4F53A22D"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54A6D9FD" w14:textId="492DB12B" w:rsidR="00566EA9" w:rsidRPr="001D41EA" w:rsidRDefault="00566EA9" w:rsidP="001D41EA">
            <w:pPr>
              <w:spacing w:before="40" w:after="20"/>
              <w:jc w:val="center"/>
              <w:rPr>
                <w:rFonts w:cs="Arial"/>
                <w:sz w:val="18"/>
                <w:szCs w:val="18"/>
              </w:rPr>
            </w:pPr>
            <w:r w:rsidRPr="001D41EA">
              <w:rPr>
                <w:rFonts w:cs="Arial"/>
                <w:sz w:val="18"/>
                <w:szCs w:val="18"/>
              </w:rPr>
              <w:t>0.801</w:t>
            </w:r>
          </w:p>
        </w:tc>
        <w:tc>
          <w:tcPr>
            <w:tcW w:w="1134" w:type="dxa"/>
            <w:tcBorders>
              <w:top w:val="nil"/>
              <w:left w:val="nil"/>
              <w:bottom w:val="nil"/>
              <w:right w:val="nil"/>
            </w:tcBorders>
            <w:vAlign w:val="bottom"/>
          </w:tcPr>
          <w:p w14:paraId="2005ABB5" w14:textId="78F2959C" w:rsidR="00566EA9" w:rsidRPr="001D41EA" w:rsidRDefault="00566EA9" w:rsidP="001D41EA">
            <w:pPr>
              <w:spacing w:before="40" w:after="20"/>
              <w:jc w:val="center"/>
              <w:rPr>
                <w:rFonts w:cs="Arial"/>
                <w:sz w:val="18"/>
                <w:szCs w:val="18"/>
              </w:rPr>
            </w:pPr>
            <w:r w:rsidRPr="001D41EA">
              <w:rPr>
                <w:rFonts w:cs="Arial"/>
                <w:sz w:val="18"/>
                <w:szCs w:val="18"/>
              </w:rPr>
              <w:t>0.807</w:t>
            </w:r>
          </w:p>
        </w:tc>
        <w:tc>
          <w:tcPr>
            <w:tcW w:w="1134" w:type="dxa"/>
            <w:tcBorders>
              <w:top w:val="nil"/>
              <w:left w:val="nil"/>
              <w:bottom w:val="nil"/>
              <w:right w:val="nil"/>
            </w:tcBorders>
            <w:vAlign w:val="bottom"/>
          </w:tcPr>
          <w:p w14:paraId="381B080F" w14:textId="0D627D75" w:rsidR="00566EA9" w:rsidRPr="001D41EA" w:rsidRDefault="00566EA9" w:rsidP="001D41EA">
            <w:pPr>
              <w:spacing w:before="40" w:after="20"/>
              <w:jc w:val="center"/>
              <w:rPr>
                <w:rFonts w:cs="Arial"/>
                <w:sz w:val="18"/>
                <w:szCs w:val="18"/>
              </w:rPr>
            </w:pPr>
            <w:r w:rsidRPr="001D41EA">
              <w:rPr>
                <w:rFonts w:cs="Arial"/>
                <w:sz w:val="18"/>
                <w:szCs w:val="18"/>
              </w:rPr>
              <w:t>0.802</w:t>
            </w:r>
          </w:p>
        </w:tc>
        <w:tc>
          <w:tcPr>
            <w:tcW w:w="1134" w:type="dxa"/>
            <w:tcBorders>
              <w:top w:val="nil"/>
              <w:left w:val="nil"/>
              <w:bottom w:val="nil"/>
              <w:right w:val="nil"/>
            </w:tcBorders>
            <w:shd w:val="clear" w:color="auto" w:fill="auto"/>
            <w:vAlign w:val="bottom"/>
          </w:tcPr>
          <w:p w14:paraId="14990EB5" w14:textId="1673A7AE" w:rsidR="00566EA9" w:rsidRPr="001D41EA" w:rsidRDefault="00566EA9" w:rsidP="001D41EA">
            <w:pPr>
              <w:spacing w:before="40" w:after="20"/>
              <w:jc w:val="center"/>
              <w:rPr>
                <w:rFonts w:cs="Arial"/>
                <w:sz w:val="18"/>
                <w:szCs w:val="18"/>
              </w:rPr>
            </w:pPr>
            <w:r w:rsidRPr="001D41EA">
              <w:rPr>
                <w:rFonts w:cs="Arial"/>
                <w:sz w:val="18"/>
                <w:szCs w:val="18"/>
              </w:rPr>
              <w:t>0.818</w:t>
            </w:r>
          </w:p>
        </w:tc>
      </w:tr>
      <w:tr w:rsidR="00566EA9" w:rsidRPr="001D41EA" w14:paraId="7EAC3F2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E4A7AA6" w14:textId="77777777" w:rsidR="00566EA9" w:rsidRPr="001D41EA" w:rsidRDefault="00566EA9" w:rsidP="001D41EA">
            <w:pPr>
              <w:spacing w:before="40" w:after="20"/>
              <w:rPr>
                <w:rFonts w:cs="Arial"/>
                <w:sz w:val="18"/>
                <w:szCs w:val="18"/>
              </w:rPr>
            </w:pPr>
            <w:r w:rsidRPr="001D41EA">
              <w:rPr>
                <w:rFonts w:cs="Arial"/>
                <w:sz w:val="18"/>
                <w:szCs w:val="18"/>
              </w:rPr>
              <w:t>Surf Coast S</w:t>
            </w:r>
          </w:p>
        </w:tc>
        <w:tc>
          <w:tcPr>
            <w:tcW w:w="1134" w:type="dxa"/>
            <w:tcBorders>
              <w:top w:val="nil"/>
              <w:left w:val="single" w:sz="18" w:space="0" w:color="5F497A" w:themeColor="accent4" w:themeShade="BF"/>
              <w:bottom w:val="nil"/>
              <w:right w:val="nil"/>
            </w:tcBorders>
            <w:vAlign w:val="bottom"/>
          </w:tcPr>
          <w:p w14:paraId="0A501BCF" w14:textId="6DF47E32" w:rsidR="00566EA9" w:rsidRPr="001D41EA" w:rsidRDefault="00566EA9" w:rsidP="001D41EA">
            <w:pPr>
              <w:spacing w:before="40" w:after="20"/>
              <w:jc w:val="center"/>
              <w:rPr>
                <w:rFonts w:cs="Arial"/>
                <w:sz w:val="18"/>
                <w:szCs w:val="18"/>
              </w:rPr>
            </w:pPr>
            <w:r w:rsidRPr="001D41EA">
              <w:rPr>
                <w:rFonts w:cs="Arial"/>
                <w:sz w:val="18"/>
                <w:szCs w:val="18"/>
              </w:rPr>
              <w:t>0.964</w:t>
            </w:r>
          </w:p>
        </w:tc>
        <w:tc>
          <w:tcPr>
            <w:tcW w:w="1134" w:type="dxa"/>
            <w:tcBorders>
              <w:top w:val="nil"/>
              <w:left w:val="nil"/>
              <w:bottom w:val="nil"/>
              <w:right w:val="nil"/>
            </w:tcBorders>
            <w:vAlign w:val="bottom"/>
          </w:tcPr>
          <w:p w14:paraId="3E477E16" w14:textId="579A4903" w:rsidR="00566EA9" w:rsidRPr="001D41EA" w:rsidRDefault="00566EA9" w:rsidP="001D41EA">
            <w:pPr>
              <w:spacing w:before="40" w:after="20"/>
              <w:jc w:val="center"/>
              <w:rPr>
                <w:rFonts w:cs="Arial"/>
                <w:sz w:val="18"/>
                <w:szCs w:val="18"/>
              </w:rPr>
            </w:pPr>
            <w:r w:rsidRPr="001D41EA">
              <w:rPr>
                <w:rFonts w:cs="Arial"/>
                <w:sz w:val="18"/>
                <w:szCs w:val="18"/>
              </w:rPr>
              <w:t>0.961</w:t>
            </w:r>
          </w:p>
        </w:tc>
        <w:tc>
          <w:tcPr>
            <w:tcW w:w="170" w:type="dxa"/>
            <w:tcBorders>
              <w:top w:val="nil"/>
              <w:left w:val="nil"/>
              <w:bottom w:val="nil"/>
              <w:right w:val="nil"/>
            </w:tcBorders>
            <w:shd w:val="clear" w:color="auto" w:fill="auto"/>
            <w:vAlign w:val="bottom"/>
          </w:tcPr>
          <w:p w14:paraId="57BCDA12" w14:textId="6888829C"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0306DAB4" w14:textId="54EFD3E0" w:rsidR="00566EA9" w:rsidRPr="001D41EA" w:rsidRDefault="00566EA9" w:rsidP="001D41EA">
            <w:pPr>
              <w:spacing w:before="40" w:after="20"/>
              <w:jc w:val="center"/>
              <w:rPr>
                <w:rFonts w:cs="Arial"/>
                <w:sz w:val="18"/>
                <w:szCs w:val="18"/>
              </w:rPr>
            </w:pPr>
            <w:r w:rsidRPr="001D41EA">
              <w:rPr>
                <w:rFonts w:cs="Arial"/>
                <w:sz w:val="18"/>
                <w:szCs w:val="18"/>
              </w:rPr>
              <w:t>0.796</w:t>
            </w:r>
          </w:p>
        </w:tc>
        <w:tc>
          <w:tcPr>
            <w:tcW w:w="1134" w:type="dxa"/>
            <w:tcBorders>
              <w:top w:val="nil"/>
              <w:left w:val="nil"/>
              <w:bottom w:val="nil"/>
              <w:right w:val="nil"/>
            </w:tcBorders>
            <w:vAlign w:val="bottom"/>
          </w:tcPr>
          <w:p w14:paraId="3900F007" w14:textId="0FA025C6" w:rsidR="00566EA9" w:rsidRPr="001D41EA" w:rsidRDefault="00566EA9" w:rsidP="001D41EA">
            <w:pPr>
              <w:spacing w:before="40" w:after="20"/>
              <w:jc w:val="center"/>
              <w:rPr>
                <w:rFonts w:cs="Arial"/>
                <w:sz w:val="18"/>
                <w:szCs w:val="18"/>
              </w:rPr>
            </w:pPr>
            <w:r w:rsidRPr="001D41EA">
              <w:rPr>
                <w:rFonts w:cs="Arial"/>
                <w:sz w:val="18"/>
                <w:szCs w:val="18"/>
              </w:rPr>
              <w:t>0.802</w:t>
            </w:r>
          </w:p>
        </w:tc>
        <w:tc>
          <w:tcPr>
            <w:tcW w:w="1134" w:type="dxa"/>
            <w:tcBorders>
              <w:top w:val="nil"/>
              <w:left w:val="nil"/>
              <w:bottom w:val="nil"/>
              <w:right w:val="nil"/>
            </w:tcBorders>
            <w:vAlign w:val="bottom"/>
          </w:tcPr>
          <w:p w14:paraId="290EF2AD" w14:textId="0DD5D7E7" w:rsidR="00566EA9" w:rsidRPr="001D41EA" w:rsidRDefault="00566EA9" w:rsidP="001D41EA">
            <w:pPr>
              <w:spacing w:before="40" w:after="20"/>
              <w:jc w:val="center"/>
              <w:rPr>
                <w:rFonts w:cs="Arial"/>
                <w:sz w:val="18"/>
                <w:szCs w:val="18"/>
              </w:rPr>
            </w:pPr>
            <w:r w:rsidRPr="001D41EA">
              <w:rPr>
                <w:rFonts w:cs="Arial"/>
                <w:sz w:val="18"/>
                <w:szCs w:val="18"/>
              </w:rPr>
              <w:t>0.798</w:t>
            </w:r>
          </w:p>
        </w:tc>
        <w:tc>
          <w:tcPr>
            <w:tcW w:w="1134" w:type="dxa"/>
            <w:tcBorders>
              <w:top w:val="nil"/>
              <w:left w:val="nil"/>
              <w:bottom w:val="nil"/>
              <w:right w:val="nil"/>
            </w:tcBorders>
            <w:shd w:val="clear" w:color="auto" w:fill="auto"/>
            <w:vAlign w:val="bottom"/>
          </w:tcPr>
          <w:p w14:paraId="7404FEB4" w14:textId="5FC86A85" w:rsidR="00566EA9" w:rsidRPr="001D41EA" w:rsidRDefault="00566EA9" w:rsidP="001D41EA">
            <w:pPr>
              <w:spacing w:before="40" w:after="20"/>
              <w:jc w:val="center"/>
              <w:rPr>
                <w:rFonts w:cs="Arial"/>
                <w:sz w:val="18"/>
                <w:szCs w:val="18"/>
              </w:rPr>
            </w:pPr>
            <w:r w:rsidRPr="001D41EA">
              <w:rPr>
                <w:rFonts w:cs="Arial"/>
                <w:sz w:val="18"/>
                <w:szCs w:val="18"/>
              </w:rPr>
              <w:t>0.813</w:t>
            </w:r>
          </w:p>
        </w:tc>
      </w:tr>
      <w:tr w:rsidR="00566EA9" w:rsidRPr="001D41EA" w14:paraId="25D60D5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0FF3CBE" w14:textId="77777777" w:rsidR="00566EA9" w:rsidRPr="001D41EA" w:rsidRDefault="00566EA9" w:rsidP="001D41EA">
            <w:pPr>
              <w:spacing w:before="40" w:after="20"/>
              <w:rPr>
                <w:rFonts w:cs="Arial"/>
                <w:sz w:val="18"/>
                <w:szCs w:val="18"/>
              </w:rPr>
            </w:pPr>
            <w:r w:rsidRPr="001D41EA">
              <w:rPr>
                <w:rFonts w:cs="Arial"/>
                <w:sz w:val="18"/>
                <w:szCs w:val="18"/>
              </w:rPr>
              <w:t>Swan Hill RC</w:t>
            </w:r>
          </w:p>
        </w:tc>
        <w:tc>
          <w:tcPr>
            <w:tcW w:w="1134" w:type="dxa"/>
            <w:tcBorders>
              <w:top w:val="nil"/>
              <w:left w:val="single" w:sz="18" w:space="0" w:color="5F497A" w:themeColor="accent4" w:themeShade="BF"/>
              <w:bottom w:val="nil"/>
              <w:right w:val="nil"/>
            </w:tcBorders>
            <w:vAlign w:val="bottom"/>
          </w:tcPr>
          <w:p w14:paraId="4ACA17D2" w14:textId="26AB5399" w:rsidR="00566EA9" w:rsidRPr="001D41EA" w:rsidRDefault="00566EA9" w:rsidP="001D41EA">
            <w:pPr>
              <w:spacing w:before="40" w:after="20"/>
              <w:jc w:val="center"/>
              <w:rPr>
                <w:rFonts w:cs="Arial"/>
                <w:sz w:val="18"/>
                <w:szCs w:val="18"/>
              </w:rPr>
            </w:pPr>
            <w:r w:rsidRPr="001D41EA">
              <w:rPr>
                <w:rFonts w:cs="Arial"/>
                <w:sz w:val="18"/>
                <w:szCs w:val="18"/>
              </w:rPr>
              <w:t>1.729</w:t>
            </w:r>
          </w:p>
        </w:tc>
        <w:tc>
          <w:tcPr>
            <w:tcW w:w="1134" w:type="dxa"/>
            <w:tcBorders>
              <w:top w:val="nil"/>
              <w:left w:val="nil"/>
              <w:bottom w:val="nil"/>
              <w:right w:val="nil"/>
            </w:tcBorders>
            <w:vAlign w:val="bottom"/>
          </w:tcPr>
          <w:p w14:paraId="4600A21D" w14:textId="15B2E1E9" w:rsidR="00566EA9" w:rsidRPr="001D41EA" w:rsidRDefault="00566EA9" w:rsidP="001D41EA">
            <w:pPr>
              <w:spacing w:before="40" w:after="20"/>
              <w:jc w:val="center"/>
              <w:rPr>
                <w:rFonts w:cs="Arial"/>
                <w:sz w:val="18"/>
                <w:szCs w:val="18"/>
              </w:rPr>
            </w:pPr>
            <w:r w:rsidRPr="001D41EA">
              <w:rPr>
                <w:rFonts w:cs="Arial"/>
                <w:sz w:val="18"/>
                <w:szCs w:val="18"/>
              </w:rPr>
              <w:t>1.724</w:t>
            </w:r>
          </w:p>
        </w:tc>
        <w:tc>
          <w:tcPr>
            <w:tcW w:w="170" w:type="dxa"/>
            <w:tcBorders>
              <w:top w:val="nil"/>
              <w:left w:val="nil"/>
              <w:bottom w:val="nil"/>
              <w:right w:val="nil"/>
            </w:tcBorders>
            <w:shd w:val="clear" w:color="auto" w:fill="auto"/>
            <w:vAlign w:val="bottom"/>
          </w:tcPr>
          <w:p w14:paraId="21580FAC" w14:textId="15D351D0"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4A5E0ADB" w14:textId="0A916C82" w:rsidR="00566EA9" w:rsidRPr="001D41EA" w:rsidRDefault="00566EA9" w:rsidP="001D41EA">
            <w:pPr>
              <w:spacing w:before="40" w:after="20"/>
              <w:jc w:val="center"/>
              <w:rPr>
                <w:rFonts w:cs="Arial"/>
                <w:sz w:val="18"/>
                <w:szCs w:val="18"/>
              </w:rPr>
            </w:pPr>
            <w:r w:rsidRPr="001D41EA">
              <w:rPr>
                <w:rFonts w:cs="Arial"/>
                <w:sz w:val="18"/>
                <w:szCs w:val="18"/>
              </w:rPr>
              <w:t>0.927</w:t>
            </w:r>
          </w:p>
        </w:tc>
        <w:tc>
          <w:tcPr>
            <w:tcW w:w="1134" w:type="dxa"/>
            <w:tcBorders>
              <w:top w:val="nil"/>
              <w:left w:val="nil"/>
              <w:bottom w:val="nil"/>
              <w:right w:val="nil"/>
            </w:tcBorders>
            <w:vAlign w:val="bottom"/>
          </w:tcPr>
          <w:p w14:paraId="14D35771" w14:textId="07FC67EF" w:rsidR="00566EA9" w:rsidRPr="001D41EA" w:rsidRDefault="00566EA9" w:rsidP="001D41EA">
            <w:pPr>
              <w:spacing w:before="40" w:after="20"/>
              <w:jc w:val="center"/>
              <w:rPr>
                <w:rFonts w:cs="Arial"/>
                <w:sz w:val="18"/>
                <w:szCs w:val="18"/>
              </w:rPr>
            </w:pPr>
            <w:r w:rsidRPr="001D41EA">
              <w:rPr>
                <w:rFonts w:cs="Arial"/>
                <w:sz w:val="18"/>
                <w:szCs w:val="18"/>
              </w:rPr>
              <w:t>0.934</w:t>
            </w:r>
          </w:p>
        </w:tc>
        <w:tc>
          <w:tcPr>
            <w:tcW w:w="1134" w:type="dxa"/>
            <w:tcBorders>
              <w:top w:val="nil"/>
              <w:left w:val="nil"/>
              <w:bottom w:val="nil"/>
              <w:right w:val="nil"/>
            </w:tcBorders>
            <w:vAlign w:val="bottom"/>
          </w:tcPr>
          <w:p w14:paraId="0907DD4A" w14:textId="792BF1D8" w:rsidR="00566EA9" w:rsidRPr="001D41EA" w:rsidRDefault="00566EA9" w:rsidP="001D41EA">
            <w:pPr>
              <w:spacing w:before="40" w:after="20"/>
              <w:jc w:val="center"/>
              <w:rPr>
                <w:rFonts w:cs="Arial"/>
                <w:sz w:val="18"/>
                <w:szCs w:val="18"/>
              </w:rPr>
            </w:pPr>
            <w:r w:rsidRPr="001D41EA">
              <w:rPr>
                <w:rFonts w:cs="Arial"/>
                <w:sz w:val="18"/>
                <w:szCs w:val="18"/>
              </w:rPr>
              <w:t>0.929</w:t>
            </w:r>
          </w:p>
        </w:tc>
        <w:tc>
          <w:tcPr>
            <w:tcW w:w="1134" w:type="dxa"/>
            <w:tcBorders>
              <w:top w:val="nil"/>
              <w:left w:val="nil"/>
              <w:bottom w:val="nil"/>
              <w:right w:val="nil"/>
            </w:tcBorders>
            <w:shd w:val="clear" w:color="auto" w:fill="auto"/>
            <w:vAlign w:val="bottom"/>
          </w:tcPr>
          <w:p w14:paraId="0ACE4267" w14:textId="25E9EA40" w:rsidR="00566EA9" w:rsidRPr="001D41EA" w:rsidRDefault="00566EA9" w:rsidP="001D41EA">
            <w:pPr>
              <w:spacing w:before="40" w:after="20"/>
              <w:jc w:val="center"/>
              <w:rPr>
                <w:rFonts w:cs="Arial"/>
                <w:sz w:val="18"/>
                <w:szCs w:val="18"/>
              </w:rPr>
            </w:pPr>
            <w:r w:rsidRPr="001D41EA">
              <w:rPr>
                <w:rFonts w:cs="Arial"/>
                <w:sz w:val="18"/>
                <w:szCs w:val="18"/>
              </w:rPr>
              <w:t>0.947</w:t>
            </w:r>
          </w:p>
        </w:tc>
      </w:tr>
      <w:tr w:rsidR="00566EA9" w:rsidRPr="001D41EA" w14:paraId="5D36727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FC969C4" w14:textId="77777777" w:rsidR="00566EA9" w:rsidRPr="001D41EA" w:rsidRDefault="00566EA9" w:rsidP="001D41EA">
            <w:pPr>
              <w:spacing w:before="40" w:after="20"/>
              <w:rPr>
                <w:rFonts w:cs="Arial"/>
                <w:sz w:val="18"/>
                <w:szCs w:val="18"/>
              </w:rPr>
            </w:pPr>
            <w:r w:rsidRPr="001D41EA">
              <w:rPr>
                <w:rFonts w:cs="Arial"/>
                <w:sz w:val="18"/>
                <w:szCs w:val="18"/>
              </w:rPr>
              <w:t>Towong S</w:t>
            </w:r>
          </w:p>
        </w:tc>
        <w:tc>
          <w:tcPr>
            <w:tcW w:w="1134" w:type="dxa"/>
            <w:tcBorders>
              <w:top w:val="nil"/>
              <w:left w:val="single" w:sz="18" w:space="0" w:color="5F497A" w:themeColor="accent4" w:themeShade="BF"/>
              <w:bottom w:val="nil"/>
              <w:right w:val="nil"/>
            </w:tcBorders>
            <w:vAlign w:val="bottom"/>
          </w:tcPr>
          <w:p w14:paraId="0CEB446C" w14:textId="19CC599E" w:rsidR="00566EA9" w:rsidRPr="001D41EA" w:rsidRDefault="00566EA9" w:rsidP="001D41EA">
            <w:pPr>
              <w:spacing w:before="40" w:after="20"/>
              <w:jc w:val="center"/>
              <w:rPr>
                <w:rFonts w:cs="Arial"/>
                <w:sz w:val="18"/>
                <w:szCs w:val="18"/>
              </w:rPr>
            </w:pPr>
            <w:r w:rsidRPr="001D41EA">
              <w:rPr>
                <w:rFonts w:cs="Arial"/>
                <w:sz w:val="18"/>
                <w:szCs w:val="18"/>
              </w:rPr>
              <w:t>1.174</w:t>
            </w:r>
          </w:p>
        </w:tc>
        <w:tc>
          <w:tcPr>
            <w:tcW w:w="1134" w:type="dxa"/>
            <w:tcBorders>
              <w:top w:val="nil"/>
              <w:left w:val="nil"/>
              <w:bottom w:val="nil"/>
              <w:right w:val="nil"/>
            </w:tcBorders>
            <w:vAlign w:val="bottom"/>
          </w:tcPr>
          <w:p w14:paraId="38AC89E6" w14:textId="4F96B6FF" w:rsidR="00566EA9" w:rsidRPr="001D41EA" w:rsidRDefault="00566EA9" w:rsidP="001D41EA">
            <w:pPr>
              <w:spacing w:before="40" w:after="20"/>
              <w:jc w:val="center"/>
              <w:rPr>
                <w:rFonts w:cs="Arial"/>
                <w:sz w:val="18"/>
                <w:szCs w:val="18"/>
              </w:rPr>
            </w:pPr>
            <w:r w:rsidRPr="001D41EA">
              <w:rPr>
                <w:rFonts w:cs="Arial"/>
                <w:sz w:val="18"/>
                <w:szCs w:val="18"/>
              </w:rPr>
              <w:t>1.170</w:t>
            </w:r>
          </w:p>
        </w:tc>
        <w:tc>
          <w:tcPr>
            <w:tcW w:w="170" w:type="dxa"/>
            <w:tcBorders>
              <w:top w:val="nil"/>
              <w:left w:val="nil"/>
              <w:bottom w:val="nil"/>
              <w:right w:val="nil"/>
            </w:tcBorders>
            <w:shd w:val="clear" w:color="auto" w:fill="auto"/>
            <w:vAlign w:val="bottom"/>
          </w:tcPr>
          <w:p w14:paraId="4E330BE7" w14:textId="63ACAFA5"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175C8479" w14:textId="63F7421B" w:rsidR="00566EA9" w:rsidRPr="001D41EA" w:rsidRDefault="00566EA9" w:rsidP="001D41EA">
            <w:pPr>
              <w:spacing w:before="40" w:after="20"/>
              <w:jc w:val="center"/>
              <w:rPr>
                <w:rFonts w:cs="Arial"/>
                <w:sz w:val="18"/>
                <w:szCs w:val="18"/>
              </w:rPr>
            </w:pPr>
            <w:r w:rsidRPr="001D41EA">
              <w:rPr>
                <w:rFonts w:cs="Arial"/>
                <w:sz w:val="18"/>
                <w:szCs w:val="18"/>
              </w:rPr>
              <w:t>0.791</w:t>
            </w:r>
          </w:p>
        </w:tc>
        <w:tc>
          <w:tcPr>
            <w:tcW w:w="1134" w:type="dxa"/>
            <w:tcBorders>
              <w:top w:val="nil"/>
              <w:left w:val="nil"/>
              <w:bottom w:val="nil"/>
              <w:right w:val="nil"/>
            </w:tcBorders>
            <w:vAlign w:val="bottom"/>
          </w:tcPr>
          <w:p w14:paraId="5352CA7B" w14:textId="1FAFEE1C" w:rsidR="00566EA9" w:rsidRPr="001D41EA" w:rsidRDefault="00566EA9" w:rsidP="001D41EA">
            <w:pPr>
              <w:spacing w:before="40" w:after="20"/>
              <w:jc w:val="center"/>
              <w:rPr>
                <w:rFonts w:cs="Arial"/>
                <w:sz w:val="18"/>
                <w:szCs w:val="18"/>
              </w:rPr>
            </w:pPr>
            <w:r w:rsidRPr="001D41EA">
              <w:rPr>
                <w:rFonts w:cs="Arial"/>
                <w:sz w:val="18"/>
                <w:szCs w:val="18"/>
              </w:rPr>
              <w:t>0.797</w:t>
            </w:r>
          </w:p>
        </w:tc>
        <w:tc>
          <w:tcPr>
            <w:tcW w:w="1134" w:type="dxa"/>
            <w:tcBorders>
              <w:top w:val="nil"/>
              <w:left w:val="nil"/>
              <w:bottom w:val="nil"/>
              <w:right w:val="nil"/>
            </w:tcBorders>
            <w:vAlign w:val="bottom"/>
          </w:tcPr>
          <w:p w14:paraId="44B9EEF4" w14:textId="3B4E7C04" w:rsidR="00566EA9" w:rsidRPr="001D41EA" w:rsidRDefault="00566EA9" w:rsidP="001D41EA">
            <w:pPr>
              <w:spacing w:before="40" w:after="20"/>
              <w:jc w:val="center"/>
              <w:rPr>
                <w:rFonts w:cs="Arial"/>
                <w:sz w:val="18"/>
                <w:szCs w:val="18"/>
              </w:rPr>
            </w:pPr>
            <w:r w:rsidRPr="001D41EA">
              <w:rPr>
                <w:rFonts w:cs="Arial"/>
                <w:sz w:val="18"/>
                <w:szCs w:val="18"/>
              </w:rPr>
              <w:t>0.793</w:t>
            </w:r>
          </w:p>
        </w:tc>
        <w:tc>
          <w:tcPr>
            <w:tcW w:w="1134" w:type="dxa"/>
            <w:tcBorders>
              <w:top w:val="nil"/>
              <w:left w:val="nil"/>
              <w:bottom w:val="nil"/>
              <w:right w:val="nil"/>
            </w:tcBorders>
            <w:shd w:val="clear" w:color="auto" w:fill="auto"/>
            <w:vAlign w:val="bottom"/>
          </w:tcPr>
          <w:p w14:paraId="2A2EB730" w14:textId="4CF8891B" w:rsidR="00566EA9" w:rsidRPr="001D41EA" w:rsidRDefault="00566EA9" w:rsidP="001D41EA">
            <w:pPr>
              <w:spacing w:before="40" w:after="20"/>
              <w:jc w:val="center"/>
              <w:rPr>
                <w:rFonts w:cs="Arial"/>
                <w:sz w:val="18"/>
                <w:szCs w:val="18"/>
              </w:rPr>
            </w:pPr>
            <w:r w:rsidRPr="001D41EA">
              <w:rPr>
                <w:rFonts w:cs="Arial"/>
                <w:sz w:val="18"/>
                <w:szCs w:val="18"/>
              </w:rPr>
              <w:t>0.808</w:t>
            </w:r>
          </w:p>
        </w:tc>
      </w:tr>
      <w:tr w:rsidR="00566EA9" w:rsidRPr="001D41EA" w14:paraId="3683247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CD3459C" w14:textId="77777777" w:rsidR="00566EA9" w:rsidRPr="001D41EA" w:rsidRDefault="00566EA9" w:rsidP="001D41EA">
            <w:pPr>
              <w:spacing w:before="40" w:after="20"/>
              <w:rPr>
                <w:rFonts w:cs="Arial"/>
                <w:sz w:val="18"/>
                <w:szCs w:val="18"/>
              </w:rPr>
            </w:pPr>
            <w:r w:rsidRPr="001D41EA">
              <w:rPr>
                <w:rFonts w:cs="Arial"/>
                <w:sz w:val="18"/>
                <w:szCs w:val="18"/>
              </w:rPr>
              <w:t>Wangaratta RC</w:t>
            </w:r>
          </w:p>
        </w:tc>
        <w:tc>
          <w:tcPr>
            <w:tcW w:w="1134" w:type="dxa"/>
            <w:tcBorders>
              <w:top w:val="nil"/>
              <w:left w:val="single" w:sz="18" w:space="0" w:color="5F497A" w:themeColor="accent4" w:themeShade="BF"/>
              <w:bottom w:val="nil"/>
              <w:right w:val="nil"/>
            </w:tcBorders>
            <w:vAlign w:val="bottom"/>
          </w:tcPr>
          <w:p w14:paraId="2022327D" w14:textId="75B0C0F9" w:rsidR="00566EA9" w:rsidRPr="001D41EA" w:rsidRDefault="00566EA9" w:rsidP="001D41EA">
            <w:pPr>
              <w:spacing w:before="40" w:after="20"/>
              <w:jc w:val="center"/>
              <w:rPr>
                <w:rFonts w:cs="Arial"/>
                <w:sz w:val="18"/>
                <w:szCs w:val="18"/>
              </w:rPr>
            </w:pPr>
            <w:r w:rsidRPr="001D41EA">
              <w:rPr>
                <w:rFonts w:cs="Arial"/>
                <w:sz w:val="18"/>
                <w:szCs w:val="18"/>
              </w:rPr>
              <w:t>1.121</w:t>
            </w:r>
          </w:p>
        </w:tc>
        <w:tc>
          <w:tcPr>
            <w:tcW w:w="1134" w:type="dxa"/>
            <w:tcBorders>
              <w:top w:val="nil"/>
              <w:left w:val="nil"/>
              <w:bottom w:val="nil"/>
              <w:right w:val="nil"/>
            </w:tcBorders>
            <w:vAlign w:val="bottom"/>
          </w:tcPr>
          <w:p w14:paraId="5AF79D75" w14:textId="18E80D71" w:rsidR="00566EA9" w:rsidRPr="001D41EA" w:rsidRDefault="00566EA9" w:rsidP="001D41EA">
            <w:pPr>
              <w:spacing w:before="40" w:after="20"/>
              <w:jc w:val="center"/>
              <w:rPr>
                <w:rFonts w:cs="Arial"/>
                <w:sz w:val="18"/>
                <w:szCs w:val="18"/>
              </w:rPr>
            </w:pPr>
            <w:r w:rsidRPr="001D41EA">
              <w:rPr>
                <w:rFonts w:cs="Arial"/>
                <w:sz w:val="18"/>
                <w:szCs w:val="18"/>
              </w:rPr>
              <w:t>1.118</w:t>
            </w:r>
          </w:p>
        </w:tc>
        <w:tc>
          <w:tcPr>
            <w:tcW w:w="170" w:type="dxa"/>
            <w:tcBorders>
              <w:top w:val="nil"/>
              <w:left w:val="nil"/>
              <w:bottom w:val="nil"/>
              <w:right w:val="nil"/>
            </w:tcBorders>
            <w:shd w:val="clear" w:color="auto" w:fill="auto"/>
            <w:vAlign w:val="bottom"/>
          </w:tcPr>
          <w:p w14:paraId="6860663F" w14:textId="5E263CC8"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553F696F" w14:textId="19585AA1" w:rsidR="00566EA9" w:rsidRPr="001D41EA" w:rsidRDefault="00566EA9" w:rsidP="001D41EA">
            <w:pPr>
              <w:spacing w:before="40" w:after="20"/>
              <w:jc w:val="center"/>
              <w:rPr>
                <w:rFonts w:cs="Arial"/>
                <w:sz w:val="18"/>
                <w:szCs w:val="18"/>
              </w:rPr>
            </w:pPr>
            <w:r w:rsidRPr="001D41EA">
              <w:rPr>
                <w:rFonts w:cs="Arial"/>
                <w:sz w:val="18"/>
                <w:szCs w:val="18"/>
              </w:rPr>
              <w:t>0.810</w:t>
            </w:r>
          </w:p>
        </w:tc>
        <w:tc>
          <w:tcPr>
            <w:tcW w:w="1134" w:type="dxa"/>
            <w:tcBorders>
              <w:top w:val="nil"/>
              <w:left w:val="nil"/>
              <w:bottom w:val="nil"/>
              <w:right w:val="nil"/>
            </w:tcBorders>
            <w:vAlign w:val="bottom"/>
          </w:tcPr>
          <w:p w14:paraId="7CBCAC66" w14:textId="6D999D44" w:rsidR="00566EA9" w:rsidRPr="001D41EA" w:rsidRDefault="00566EA9" w:rsidP="001D41EA">
            <w:pPr>
              <w:spacing w:before="40" w:after="20"/>
              <w:jc w:val="center"/>
              <w:rPr>
                <w:rFonts w:cs="Arial"/>
                <w:sz w:val="18"/>
                <w:szCs w:val="18"/>
              </w:rPr>
            </w:pPr>
            <w:r w:rsidRPr="001D41EA">
              <w:rPr>
                <w:rFonts w:cs="Arial"/>
                <w:sz w:val="18"/>
                <w:szCs w:val="18"/>
              </w:rPr>
              <w:t>0.816</w:t>
            </w:r>
          </w:p>
        </w:tc>
        <w:tc>
          <w:tcPr>
            <w:tcW w:w="1134" w:type="dxa"/>
            <w:tcBorders>
              <w:top w:val="nil"/>
              <w:left w:val="nil"/>
              <w:bottom w:val="nil"/>
              <w:right w:val="nil"/>
            </w:tcBorders>
            <w:vAlign w:val="bottom"/>
          </w:tcPr>
          <w:p w14:paraId="1F04DA69" w14:textId="39331E2F" w:rsidR="00566EA9" w:rsidRPr="001D41EA" w:rsidRDefault="00566EA9" w:rsidP="001D41EA">
            <w:pPr>
              <w:spacing w:before="40" w:after="20"/>
              <w:jc w:val="center"/>
              <w:rPr>
                <w:rFonts w:cs="Arial"/>
                <w:sz w:val="18"/>
                <w:szCs w:val="18"/>
              </w:rPr>
            </w:pPr>
            <w:r w:rsidRPr="001D41EA">
              <w:rPr>
                <w:rFonts w:cs="Arial"/>
                <w:sz w:val="18"/>
                <w:szCs w:val="18"/>
              </w:rPr>
              <w:t>0.812</w:t>
            </w:r>
          </w:p>
        </w:tc>
        <w:tc>
          <w:tcPr>
            <w:tcW w:w="1134" w:type="dxa"/>
            <w:tcBorders>
              <w:top w:val="nil"/>
              <w:left w:val="nil"/>
              <w:bottom w:val="nil"/>
              <w:right w:val="nil"/>
            </w:tcBorders>
            <w:shd w:val="clear" w:color="auto" w:fill="auto"/>
            <w:vAlign w:val="bottom"/>
          </w:tcPr>
          <w:p w14:paraId="6D2EC687" w14:textId="7919BAE0" w:rsidR="00566EA9" w:rsidRPr="001D41EA" w:rsidRDefault="00566EA9" w:rsidP="001D41EA">
            <w:pPr>
              <w:spacing w:before="40" w:after="20"/>
              <w:jc w:val="center"/>
              <w:rPr>
                <w:rFonts w:cs="Arial"/>
                <w:sz w:val="18"/>
                <w:szCs w:val="18"/>
              </w:rPr>
            </w:pPr>
            <w:r w:rsidRPr="001D41EA">
              <w:rPr>
                <w:rFonts w:cs="Arial"/>
                <w:sz w:val="18"/>
                <w:szCs w:val="18"/>
              </w:rPr>
              <w:t>0.827</w:t>
            </w:r>
          </w:p>
        </w:tc>
      </w:tr>
      <w:tr w:rsidR="00566EA9" w:rsidRPr="001D41EA" w14:paraId="7B5880C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01A2FE9" w14:textId="77777777" w:rsidR="00566EA9" w:rsidRPr="001D41EA" w:rsidRDefault="00566EA9" w:rsidP="001D41EA">
            <w:pPr>
              <w:spacing w:before="40" w:after="20"/>
              <w:rPr>
                <w:rFonts w:cs="Arial"/>
                <w:sz w:val="18"/>
                <w:szCs w:val="18"/>
              </w:rPr>
            </w:pPr>
            <w:r w:rsidRPr="001D41EA">
              <w:rPr>
                <w:rFonts w:cs="Arial"/>
                <w:sz w:val="18"/>
                <w:szCs w:val="18"/>
              </w:rPr>
              <w:t>Warrnambool C</w:t>
            </w:r>
          </w:p>
        </w:tc>
        <w:tc>
          <w:tcPr>
            <w:tcW w:w="1134" w:type="dxa"/>
            <w:tcBorders>
              <w:top w:val="nil"/>
              <w:left w:val="single" w:sz="18" w:space="0" w:color="5F497A" w:themeColor="accent4" w:themeShade="BF"/>
              <w:bottom w:val="nil"/>
              <w:right w:val="nil"/>
            </w:tcBorders>
            <w:vAlign w:val="bottom"/>
          </w:tcPr>
          <w:p w14:paraId="67ACD934" w14:textId="6B23205A" w:rsidR="00566EA9" w:rsidRPr="001D41EA" w:rsidRDefault="00566EA9" w:rsidP="001D41EA">
            <w:pPr>
              <w:spacing w:before="40" w:after="20"/>
              <w:jc w:val="center"/>
              <w:rPr>
                <w:rFonts w:cs="Arial"/>
                <w:sz w:val="18"/>
                <w:szCs w:val="18"/>
              </w:rPr>
            </w:pPr>
            <w:r w:rsidRPr="001D41EA">
              <w:rPr>
                <w:rFonts w:cs="Arial"/>
                <w:sz w:val="18"/>
                <w:szCs w:val="18"/>
              </w:rPr>
              <w:t>1.191</w:t>
            </w:r>
          </w:p>
        </w:tc>
        <w:tc>
          <w:tcPr>
            <w:tcW w:w="1134" w:type="dxa"/>
            <w:tcBorders>
              <w:top w:val="nil"/>
              <w:left w:val="nil"/>
              <w:bottom w:val="nil"/>
              <w:right w:val="nil"/>
            </w:tcBorders>
            <w:vAlign w:val="bottom"/>
          </w:tcPr>
          <w:p w14:paraId="6D159EBE" w14:textId="3D9D1C00" w:rsidR="00566EA9" w:rsidRPr="001D41EA" w:rsidRDefault="00566EA9" w:rsidP="001D41EA">
            <w:pPr>
              <w:spacing w:before="40" w:after="20"/>
              <w:jc w:val="center"/>
              <w:rPr>
                <w:rFonts w:cs="Arial"/>
                <w:sz w:val="18"/>
                <w:szCs w:val="18"/>
              </w:rPr>
            </w:pPr>
            <w:r w:rsidRPr="001D41EA">
              <w:rPr>
                <w:rFonts w:cs="Arial"/>
                <w:sz w:val="18"/>
                <w:szCs w:val="18"/>
              </w:rPr>
              <w:t>1.188</w:t>
            </w:r>
          </w:p>
        </w:tc>
        <w:tc>
          <w:tcPr>
            <w:tcW w:w="170" w:type="dxa"/>
            <w:tcBorders>
              <w:top w:val="nil"/>
              <w:left w:val="nil"/>
              <w:bottom w:val="nil"/>
              <w:right w:val="nil"/>
            </w:tcBorders>
            <w:shd w:val="clear" w:color="auto" w:fill="auto"/>
            <w:vAlign w:val="bottom"/>
          </w:tcPr>
          <w:p w14:paraId="7177CCB7" w14:textId="4BF64586"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1BF585B0" w14:textId="4F47F6DA" w:rsidR="00566EA9" w:rsidRPr="001D41EA" w:rsidRDefault="00566EA9" w:rsidP="001D41EA">
            <w:pPr>
              <w:spacing w:before="40" w:after="20"/>
              <w:jc w:val="center"/>
              <w:rPr>
                <w:rFonts w:cs="Arial"/>
                <w:sz w:val="18"/>
                <w:szCs w:val="18"/>
              </w:rPr>
            </w:pPr>
            <w:r w:rsidRPr="001D41EA">
              <w:rPr>
                <w:rFonts w:cs="Arial"/>
                <w:sz w:val="18"/>
                <w:szCs w:val="18"/>
              </w:rPr>
              <w:t>0.850</w:t>
            </w:r>
          </w:p>
        </w:tc>
        <w:tc>
          <w:tcPr>
            <w:tcW w:w="1134" w:type="dxa"/>
            <w:tcBorders>
              <w:top w:val="nil"/>
              <w:left w:val="nil"/>
              <w:bottom w:val="nil"/>
              <w:right w:val="nil"/>
            </w:tcBorders>
            <w:vAlign w:val="bottom"/>
          </w:tcPr>
          <w:p w14:paraId="3516787F" w14:textId="16D5F4A5" w:rsidR="00566EA9" w:rsidRPr="001D41EA" w:rsidRDefault="00566EA9" w:rsidP="001D41EA">
            <w:pPr>
              <w:spacing w:before="40" w:after="20"/>
              <w:jc w:val="center"/>
              <w:rPr>
                <w:rFonts w:cs="Arial"/>
                <w:sz w:val="18"/>
                <w:szCs w:val="18"/>
              </w:rPr>
            </w:pPr>
            <w:r w:rsidRPr="001D41EA">
              <w:rPr>
                <w:rFonts w:cs="Arial"/>
                <w:sz w:val="18"/>
                <w:szCs w:val="18"/>
              </w:rPr>
              <w:t>0.857</w:t>
            </w:r>
          </w:p>
        </w:tc>
        <w:tc>
          <w:tcPr>
            <w:tcW w:w="1134" w:type="dxa"/>
            <w:tcBorders>
              <w:top w:val="nil"/>
              <w:left w:val="nil"/>
              <w:bottom w:val="nil"/>
              <w:right w:val="nil"/>
            </w:tcBorders>
            <w:vAlign w:val="bottom"/>
          </w:tcPr>
          <w:p w14:paraId="42F91F54" w14:textId="2917238D" w:rsidR="00566EA9" w:rsidRPr="001D41EA" w:rsidRDefault="00566EA9" w:rsidP="001D41EA">
            <w:pPr>
              <w:spacing w:before="40" w:after="20"/>
              <w:jc w:val="center"/>
              <w:rPr>
                <w:rFonts w:cs="Arial"/>
                <w:sz w:val="18"/>
                <w:szCs w:val="18"/>
              </w:rPr>
            </w:pPr>
            <w:r w:rsidRPr="001D41EA">
              <w:rPr>
                <w:rFonts w:cs="Arial"/>
                <w:sz w:val="18"/>
                <w:szCs w:val="18"/>
              </w:rPr>
              <w:t>0.852</w:t>
            </w:r>
          </w:p>
        </w:tc>
        <w:tc>
          <w:tcPr>
            <w:tcW w:w="1134" w:type="dxa"/>
            <w:tcBorders>
              <w:top w:val="nil"/>
              <w:left w:val="nil"/>
              <w:bottom w:val="nil"/>
              <w:right w:val="nil"/>
            </w:tcBorders>
            <w:shd w:val="clear" w:color="auto" w:fill="auto"/>
            <w:vAlign w:val="bottom"/>
          </w:tcPr>
          <w:p w14:paraId="3A196585" w14:textId="77BBA83E" w:rsidR="00566EA9" w:rsidRPr="001D41EA" w:rsidRDefault="00566EA9" w:rsidP="001D41EA">
            <w:pPr>
              <w:spacing w:before="40" w:after="20"/>
              <w:jc w:val="center"/>
              <w:rPr>
                <w:rFonts w:cs="Arial"/>
                <w:sz w:val="18"/>
                <w:szCs w:val="18"/>
              </w:rPr>
            </w:pPr>
            <w:r w:rsidRPr="001D41EA">
              <w:rPr>
                <w:rFonts w:cs="Arial"/>
                <w:sz w:val="18"/>
                <w:szCs w:val="18"/>
              </w:rPr>
              <w:t>0.869</w:t>
            </w:r>
          </w:p>
        </w:tc>
      </w:tr>
      <w:tr w:rsidR="00566EA9" w:rsidRPr="001D41EA" w14:paraId="52D4461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D51F804" w14:textId="77777777" w:rsidR="00566EA9" w:rsidRPr="001D41EA" w:rsidRDefault="00566EA9" w:rsidP="001D41EA">
            <w:pPr>
              <w:spacing w:before="40" w:after="20"/>
              <w:rPr>
                <w:rFonts w:cs="Arial"/>
                <w:sz w:val="18"/>
                <w:szCs w:val="18"/>
              </w:rPr>
            </w:pPr>
            <w:r w:rsidRPr="001D41EA">
              <w:rPr>
                <w:rFonts w:cs="Arial"/>
                <w:sz w:val="18"/>
                <w:szCs w:val="18"/>
              </w:rPr>
              <w:t>Wellington S</w:t>
            </w:r>
          </w:p>
        </w:tc>
        <w:tc>
          <w:tcPr>
            <w:tcW w:w="1134" w:type="dxa"/>
            <w:tcBorders>
              <w:top w:val="nil"/>
              <w:left w:val="single" w:sz="18" w:space="0" w:color="5F497A" w:themeColor="accent4" w:themeShade="BF"/>
              <w:bottom w:val="nil"/>
              <w:right w:val="nil"/>
            </w:tcBorders>
            <w:vAlign w:val="bottom"/>
          </w:tcPr>
          <w:p w14:paraId="1CA46621" w14:textId="7532526C" w:rsidR="00566EA9" w:rsidRPr="001D41EA" w:rsidRDefault="00566EA9" w:rsidP="001D41EA">
            <w:pPr>
              <w:spacing w:before="40" w:after="20"/>
              <w:jc w:val="center"/>
              <w:rPr>
                <w:rFonts w:cs="Arial"/>
                <w:sz w:val="18"/>
                <w:szCs w:val="18"/>
              </w:rPr>
            </w:pPr>
            <w:r w:rsidRPr="001D41EA">
              <w:rPr>
                <w:rFonts w:cs="Arial"/>
                <w:sz w:val="18"/>
                <w:szCs w:val="18"/>
              </w:rPr>
              <w:t>1.158</w:t>
            </w:r>
          </w:p>
        </w:tc>
        <w:tc>
          <w:tcPr>
            <w:tcW w:w="1134" w:type="dxa"/>
            <w:tcBorders>
              <w:top w:val="nil"/>
              <w:left w:val="nil"/>
              <w:bottom w:val="nil"/>
              <w:right w:val="nil"/>
            </w:tcBorders>
            <w:vAlign w:val="bottom"/>
          </w:tcPr>
          <w:p w14:paraId="69EECE10" w14:textId="2690FBD6" w:rsidR="00566EA9" w:rsidRPr="001D41EA" w:rsidRDefault="00566EA9" w:rsidP="001D41EA">
            <w:pPr>
              <w:spacing w:before="40" w:after="20"/>
              <w:jc w:val="center"/>
              <w:rPr>
                <w:rFonts w:cs="Arial"/>
                <w:sz w:val="18"/>
                <w:szCs w:val="18"/>
              </w:rPr>
            </w:pPr>
            <w:r w:rsidRPr="001D41EA">
              <w:rPr>
                <w:rFonts w:cs="Arial"/>
                <w:sz w:val="18"/>
                <w:szCs w:val="18"/>
              </w:rPr>
              <w:t>1.154</w:t>
            </w:r>
          </w:p>
        </w:tc>
        <w:tc>
          <w:tcPr>
            <w:tcW w:w="170" w:type="dxa"/>
            <w:tcBorders>
              <w:top w:val="nil"/>
              <w:left w:val="nil"/>
              <w:bottom w:val="nil"/>
              <w:right w:val="nil"/>
            </w:tcBorders>
            <w:shd w:val="clear" w:color="auto" w:fill="auto"/>
            <w:vAlign w:val="bottom"/>
          </w:tcPr>
          <w:p w14:paraId="09641FFF" w14:textId="5C907430"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612C277E" w14:textId="231A0B4C" w:rsidR="00566EA9" w:rsidRPr="001D41EA" w:rsidRDefault="00566EA9" w:rsidP="001D41EA">
            <w:pPr>
              <w:spacing w:before="40" w:after="20"/>
              <w:jc w:val="center"/>
              <w:rPr>
                <w:rFonts w:cs="Arial"/>
                <w:sz w:val="18"/>
                <w:szCs w:val="18"/>
              </w:rPr>
            </w:pPr>
            <w:r w:rsidRPr="001D41EA">
              <w:rPr>
                <w:rFonts w:cs="Arial"/>
                <w:sz w:val="18"/>
                <w:szCs w:val="18"/>
              </w:rPr>
              <w:t>0.806</w:t>
            </w:r>
          </w:p>
        </w:tc>
        <w:tc>
          <w:tcPr>
            <w:tcW w:w="1134" w:type="dxa"/>
            <w:tcBorders>
              <w:top w:val="nil"/>
              <w:left w:val="nil"/>
              <w:bottom w:val="nil"/>
              <w:right w:val="nil"/>
            </w:tcBorders>
            <w:vAlign w:val="bottom"/>
          </w:tcPr>
          <w:p w14:paraId="75F3ECE7" w14:textId="3930322F" w:rsidR="00566EA9" w:rsidRPr="001D41EA" w:rsidRDefault="00566EA9" w:rsidP="001D41EA">
            <w:pPr>
              <w:spacing w:before="40" w:after="20"/>
              <w:jc w:val="center"/>
              <w:rPr>
                <w:rFonts w:cs="Arial"/>
                <w:sz w:val="18"/>
                <w:szCs w:val="18"/>
              </w:rPr>
            </w:pPr>
            <w:r w:rsidRPr="001D41EA">
              <w:rPr>
                <w:rFonts w:cs="Arial"/>
                <w:sz w:val="18"/>
                <w:szCs w:val="18"/>
              </w:rPr>
              <w:t>0.813</w:t>
            </w:r>
          </w:p>
        </w:tc>
        <w:tc>
          <w:tcPr>
            <w:tcW w:w="1134" w:type="dxa"/>
            <w:tcBorders>
              <w:top w:val="nil"/>
              <w:left w:val="nil"/>
              <w:bottom w:val="nil"/>
              <w:right w:val="nil"/>
            </w:tcBorders>
            <w:vAlign w:val="bottom"/>
          </w:tcPr>
          <w:p w14:paraId="5ED02092" w14:textId="09020B2C" w:rsidR="00566EA9" w:rsidRPr="001D41EA" w:rsidRDefault="00566EA9" w:rsidP="001D41EA">
            <w:pPr>
              <w:spacing w:before="40" w:after="20"/>
              <w:jc w:val="center"/>
              <w:rPr>
                <w:rFonts w:cs="Arial"/>
                <w:sz w:val="18"/>
                <w:szCs w:val="18"/>
              </w:rPr>
            </w:pPr>
            <w:r w:rsidRPr="001D41EA">
              <w:rPr>
                <w:rFonts w:cs="Arial"/>
                <w:sz w:val="18"/>
                <w:szCs w:val="18"/>
              </w:rPr>
              <w:t>0.808</w:t>
            </w:r>
          </w:p>
        </w:tc>
        <w:tc>
          <w:tcPr>
            <w:tcW w:w="1134" w:type="dxa"/>
            <w:tcBorders>
              <w:top w:val="nil"/>
              <w:left w:val="nil"/>
              <w:bottom w:val="nil"/>
              <w:right w:val="nil"/>
            </w:tcBorders>
            <w:shd w:val="clear" w:color="auto" w:fill="auto"/>
            <w:vAlign w:val="bottom"/>
          </w:tcPr>
          <w:p w14:paraId="29D45BD8" w14:textId="2E733F26" w:rsidR="00566EA9" w:rsidRPr="001D41EA" w:rsidRDefault="00566EA9" w:rsidP="001D41EA">
            <w:pPr>
              <w:spacing w:before="40" w:after="20"/>
              <w:jc w:val="center"/>
              <w:rPr>
                <w:rFonts w:cs="Arial"/>
                <w:sz w:val="18"/>
                <w:szCs w:val="18"/>
              </w:rPr>
            </w:pPr>
            <w:r w:rsidRPr="001D41EA">
              <w:rPr>
                <w:rFonts w:cs="Arial"/>
                <w:sz w:val="18"/>
                <w:szCs w:val="18"/>
              </w:rPr>
              <w:t>0.824</w:t>
            </w:r>
          </w:p>
        </w:tc>
      </w:tr>
      <w:tr w:rsidR="00566EA9" w:rsidRPr="001D41EA" w14:paraId="7761C83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4927571" w14:textId="77777777" w:rsidR="00566EA9" w:rsidRPr="001D41EA" w:rsidRDefault="00566EA9" w:rsidP="001D41EA">
            <w:pPr>
              <w:spacing w:before="40" w:after="20"/>
              <w:rPr>
                <w:rFonts w:cs="Arial"/>
                <w:sz w:val="18"/>
                <w:szCs w:val="18"/>
              </w:rPr>
            </w:pPr>
            <w:r w:rsidRPr="001D41EA">
              <w:rPr>
                <w:rFonts w:cs="Arial"/>
                <w:sz w:val="18"/>
                <w:szCs w:val="18"/>
              </w:rPr>
              <w:t>West Wimmera S</w:t>
            </w:r>
          </w:p>
        </w:tc>
        <w:tc>
          <w:tcPr>
            <w:tcW w:w="1134" w:type="dxa"/>
            <w:tcBorders>
              <w:top w:val="nil"/>
              <w:left w:val="single" w:sz="18" w:space="0" w:color="5F497A" w:themeColor="accent4" w:themeShade="BF"/>
              <w:bottom w:val="nil"/>
              <w:right w:val="nil"/>
            </w:tcBorders>
            <w:vAlign w:val="bottom"/>
          </w:tcPr>
          <w:p w14:paraId="71B03EA6" w14:textId="164A5612" w:rsidR="00566EA9" w:rsidRPr="001D41EA" w:rsidRDefault="00566EA9" w:rsidP="001D41EA">
            <w:pPr>
              <w:spacing w:before="40" w:after="20"/>
              <w:jc w:val="center"/>
              <w:rPr>
                <w:rFonts w:cs="Arial"/>
                <w:sz w:val="18"/>
                <w:szCs w:val="18"/>
              </w:rPr>
            </w:pPr>
            <w:r w:rsidRPr="001D41EA">
              <w:rPr>
                <w:rFonts w:cs="Arial"/>
                <w:sz w:val="18"/>
                <w:szCs w:val="18"/>
              </w:rPr>
              <w:t>0.995</w:t>
            </w:r>
          </w:p>
        </w:tc>
        <w:tc>
          <w:tcPr>
            <w:tcW w:w="1134" w:type="dxa"/>
            <w:tcBorders>
              <w:top w:val="nil"/>
              <w:left w:val="nil"/>
              <w:bottom w:val="nil"/>
              <w:right w:val="nil"/>
            </w:tcBorders>
            <w:vAlign w:val="bottom"/>
          </w:tcPr>
          <w:p w14:paraId="116054E7" w14:textId="3CD4AC08" w:rsidR="00566EA9" w:rsidRPr="001D41EA" w:rsidRDefault="00566EA9" w:rsidP="001D41EA">
            <w:pPr>
              <w:spacing w:before="40" w:after="20"/>
              <w:jc w:val="center"/>
              <w:rPr>
                <w:rFonts w:cs="Arial"/>
                <w:sz w:val="18"/>
                <w:szCs w:val="18"/>
              </w:rPr>
            </w:pPr>
            <w:r w:rsidRPr="001D41EA">
              <w:rPr>
                <w:rFonts w:cs="Arial"/>
                <w:sz w:val="18"/>
                <w:szCs w:val="18"/>
              </w:rPr>
              <w:t>0.992</w:t>
            </w:r>
          </w:p>
        </w:tc>
        <w:tc>
          <w:tcPr>
            <w:tcW w:w="170" w:type="dxa"/>
            <w:tcBorders>
              <w:top w:val="nil"/>
              <w:left w:val="nil"/>
              <w:bottom w:val="nil"/>
              <w:right w:val="nil"/>
            </w:tcBorders>
            <w:shd w:val="clear" w:color="auto" w:fill="auto"/>
            <w:vAlign w:val="bottom"/>
          </w:tcPr>
          <w:p w14:paraId="37A5D94A" w14:textId="2724CC06"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708DCEA3" w14:textId="45D89149" w:rsidR="00566EA9" w:rsidRPr="001D41EA" w:rsidRDefault="00566EA9" w:rsidP="001D41EA">
            <w:pPr>
              <w:spacing w:before="40" w:after="20"/>
              <w:jc w:val="center"/>
              <w:rPr>
                <w:rFonts w:cs="Arial"/>
                <w:sz w:val="18"/>
                <w:szCs w:val="18"/>
              </w:rPr>
            </w:pPr>
            <w:r w:rsidRPr="001D41EA">
              <w:rPr>
                <w:rFonts w:cs="Arial"/>
                <w:sz w:val="18"/>
                <w:szCs w:val="18"/>
              </w:rPr>
              <w:t>0.787</w:t>
            </w:r>
          </w:p>
        </w:tc>
        <w:tc>
          <w:tcPr>
            <w:tcW w:w="1134" w:type="dxa"/>
            <w:tcBorders>
              <w:top w:val="nil"/>
              <w:left w:val="nil"/>
              <w:bottom w:val="nil"/>
              <w:right w:val="nil"/>
            </w:tcBorders>
            <w:vAlign w:val="bottom"/>
          </w:tcPr>
          <w:p w14:paraId="0B3D2C7E" w14:textId="204A8A51" w:rsidR="00566EA9" w:rsidRPr="001D41EA" w:rsidRDefault="00566EA9" w:rsidP="001D41EA">
            <w:pPr>
              <w:spacing w:before="40" w:after="20"/>
              <w:jc w:val="center"/>
              <w:rPr>
                <w:rFonts w:cs="Arial"/>
                <w:sz w:val="18"/>
                <w:szCs w:val="18"/>
              </w:rPr>
            </w:pPr>
            <w:r w:rsidRPr="001D41EA">
              <w:rPr>
                <w:rFonts w:cs="Arial"/>
                <w:sz w:val="18"/>
                <w:szCs w:val="18"/>
              </w:rPr>
              <w:t>0.793</w:t>
            </w:r>
          </w:p>
        </w:tc>
        <w:tc>
          <w:tcPr>
            <w:tcW w:w="1134" w:type="dxa"/>
            <w:tcBorders>
              <w:top w:val="nil"/>
              <w:left w:val="nil"/>
              <w:bottom w:val="nil"/>
              <w:right w:val="nil"/>
            </w:tcBorders>
            <w:vAlign w:val="bottom"/>
          </w:tcPr>
          <w:p w14:paraId="19E99EF6" w14:textId="66A9155F" w:rsidR="00566EA9" w:rsidRPr="001D41EA" w:rsidRDefault="00566EA9" w:rsidP="001D41EA">
            <w:pPr>
              <w:spacing w:before="40" w:after="20"/>
              <w:jc w:val="center"/>
              <w:rPr>
                <w:rFonts w:cs="Arial"/>
                <w:sz w:val="18"/>
                <w:szCs w:val="18"/>
              </w:rPr>
            </w:pPr>
            <w:r w:rsidRPr="001D41EA">
              <w:rPr>
                <w:rFonts w:cs="Arial"/>
                <w:sz w:val="18"/>
                <w:szCs w:val="18"/>
              </w:rPr>
              <w:t>0.789</w:t>
            </w:r>
          </w:p>
        </w:tc>
        <w:tc>
          <w:tcPr>
            <w:tcW w:w="1134" w:type="dxa"/>
            <w:tcBorders>
              <w:top w:val="nil"/>
              <w:left w:val="nil"/>
              <w:bottom w:val="nil"/>
              <w:right w:val="nil"/>
            </w:tcBorders>
            <w:shd w:val="clear" w:color="auto" w:fill="auto"/>
            <w:vAlign w:val="bottom"/>
          </w:tcPr>
          <w:p w14:paraId="44E09931" w14:textId="7FA5D671" w:rsidR="00566EA9" w:rsidRPr="001D41EA" w:rsidRDefault="00566EA9" w:rsidP="001D41EA">
            <w:pPr>
              <w:spacing w:before="40" w:after="20"/>
              <w:jc w:val="center"/>
              <w:rPr>
                <w:rFonts w:cs="Arial"/>
                <w:sz w:val="18"/>
                <w:szCs w:val="18"/>
              </w:rPr>
            </w:pPr>
            <w:r w:rsidRPr="001D41EA">
              <w:rPr>
                <w:rFonts w:cs="Arial"/>
                <w:sz w:val="18"/>
                <w:szCs w:val="18"/>
              </w:rPr>
              <w:t>0.804</w:t>
            </w:r>
          </w:p>
        </w:tc>
      </w:tr>
      <w:tr w:rsidR="00566EA9" w:rsidRPr="001D41EA" w14:paraId="1E87584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D4AB088" w14:textId="77777777" w:rsidR="00566EA9" w:rsidRPr="001D41EA" w:rsidRDefault="00566EA9" w:rsidP="001D41EA">
            <w:pPr>
              <w:spacing w:before="40" w:after="20"/>
              <w:rPr>
                <w:rFonts w:cs="Arial"/>
                <w:sz w:val="18"/>
                <w:szCs w:val="18"/>
              </w:rPr>
            </w:pPr>
            <w:r w:rsidRPr="001D41EA">
              <w:rPr>
                <w:rFonts w:cs="Arial"/>
                <w:sz w:val="18"/>
                <w:szCs w:val="18"/>
              </w:rPr>
              <w:t>Whitehorse C</w:t>
            </w:r>
          </w:p>
        </w:tc>
        <w:tc>
          <w:tcPr>
            <w:tcW w:w="1134" w:type="dxa"/>
            <w:tcBorders>
              <w:top w:val="nil"/>
              <w:left w:val="single" w:sz="18" w:space="0" w:color="5F497A" w:themeColor="accent4" w:themeShade="BF"/>
              <w:bottom w:val="nil"/>
              <w:right w:val="nil"/>
            </w:tcBorders>
            <w:vAlign w:val="bottom"/>
          </w:tcPr>
          <w:p w14:paraId="3563476B" w14:textId="1820B3B3" w:rsidR="00566EA9" w:rsidRPr="001D41EA" w:rsidRDefault="00566EA9" w:rsidP="001D41EA">
            <w:pPr>
              <w:spacing w:before="40" w:after="20"/>
              <w:jc w:val="center"/>
              <w:rPr>
                <w:rFonts w:cs="Arial"/>
                <w:sz w:val="18"/>
                <w:szCs w:val="18"/>
              </w:rPr>
            </w:pPr>
            <w:r w:rsidRPr="001D41EA">
              <w:rPr>
                <w:rFonts w:cs="Arial"/>
                <w:sz w:val="18"/>
                <w:szCs w:val="18"/>
              </w:rPr>
              <w:t>0.874</w:t>
            </w:r>
          </w:p>
        </w:tc>
        <w:tc>
          <w:tcPr>
            <w:tcW w:w="1134" w:type="dxa"/>
            <w:tcBorders>
              <w:top w:val="nil"/>
              <w:left w:val="nil"/>
              <w:bottom w:val="nil"/>
              <w:right w:val="nil"/>
            </w:tcBorders>
            <w:vAlign w:val="bottom"/>
          </w:tcPr>
          <w:p w14:paraId="3CB7B102" w14:textId="399A9D3D" w:rsidR="00566EA9" w:rsidRPr="001D41EA" w:rsidRDefault="00566EA9" w:rsidP="001D41EA">
            <w:pPr>
              <w:spacing w:before="40" w:after="20"/>
              <w:jc w:val="center"/>
              <w:rPr>
                <w:rFonts w:cs="Arial"/>
                <w:sz w:val="18"/>
                <w:szCs w:val="18"/>
              </w:rPr>
            </w:pPr>
            <w:r w:rsidRPr="001D41EA">
              <w:rPr>
                <w:rFonts w:cs="Arial"/>
                <w:sz w:val="18"/>
                <w:szCs w:val="18"/>
              </w:rPr>
              <w:t>0.871</w:t>
            </w:r>
          </w:p>
        </w:tc>
        <w:tc>
          <w:tcPr>
            <w:tcW w:w="170" w:type="dxa"/>
            <w:tcBorders>
              <w:top w:val="nil"/>
              <w:left w:val="nil"/>
              <w:bottom w:val="nil"/>
              <w:right w:val="nil"/>
            </w:tcBorders>
            <w:shd w:val="clear" w:color="auto" w:fill="auto"/>
            <w:vAlign w:val="bottom"/>
          </w:tcPr>
          <w:p w14:paraId="6E0E6B19" w14:textId="242DC3BF"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3A2F81F6" w14:textId="7B8F0460" w:rsidR="00566EA9" w:rsidRPr="001D41EA" w:rsidRDefault="00566EA9" w:rsidP="001D41EA">
            <w:pPr>
              <w:spacing w:before="40" w:after="20"/>
              <w:jc w:val="center"/>
              <w:rPr>
                <w:rFonts w:cs="Arial"/>
                <w:sz w:val="18"/>
                <w:szCs w:val="18"/>
              </w:rPr>
            </w:pPr>
            <w:r w:rsidRPr="001D41EA">
              <w:rPr>
                <w:rFonts w:cs="Arial"/>
                <w:sz w:val="18"/>
                <w:szCs w:val="18"/>
              </w:rPr>
              <w:t>1.160</w:t>
            </w:r>
          </w:p>
        </w:tc>
        <w:tc>
          <w:tcPr>
            <w:tcW w:w="1134" w:type="dxa"/>
            <w:tcBorders>
              <w:top w:val="nil"/>
              <w:left w:val="nil"/>
              <w:bottom w:val="nil"/>
              <w:right w:val="nil"/>
            </w:tcBorders>
            <w:vAlign w:val="bottom"/>
          </w:tcPr>
          <w:p w14:paraId="4B999927" w14:textId="38A7C133" w:rsidR="00566EA9" w:rsidRPr="001D41EA" w:rsidRDefault="00566EA9" w:rsidP="001D41EA">
            <w:pPr>
              <w:spacing w:before="40" w:after="20"/>
              <w:jc w:val="center"/>
              <w:rPr>
                <w:rFonts w:cs="Arial"/>
                <w:sz w:val="18"/>
                <w:szCs w:val="18"/>
              </w:rPr>
            </w:pPr>
            <w:r w:rsidRPr="001D41EA">
              <w:rPr>
                <w:rFonts w:cs="Arial"/>
                <w:sz w:val="18"/>
                <w:szCs w:val="18"/>
              </w:rPr>
              <w:t>1.169</w:t>
            </w:r>
          </w:p>
        </w:tc>
        <w:tc>
          <w:tcPr>
            <w:tcW w:w="1134" w:type="dxa"/>
            <w:tcBorders>
              <w:top w:val="nil"/>
              <w:left w:val="nil"/>
              <w:bottom w:val="nil"/>
              <w:right w:val="nil"/>
            </w:tcBorders>
            <w:vAlign w:val="bottom"/>
          </w:tcPr>
          <w:p w14:paraId="0DB27659" w14:textId="16AB91C7" w:rsidR="00566EA9" w:rsidRPr="001D41EA" w:rsidRDefault="00566EA9" w:rsidP="001D41EA">
            <w:pPr>
              <w:spacing w:before="40" w:after="20"/>
              <w:jc w:val="center"/>
              <w:rPr>
                <w:rFonts w:cs="Arial"/>
                <w:sz w:val="18"/>
                <w:szCs w:val="18"/>
              </w:rPr>
            </w:pPr>
            <w:r w:rsidRPr="001D41EA">
              <w:rPr>
                <w:rFonts w:cs="Arial"/>
                <w:sz w:val="18"/>
                <w:szCs w:val="18"/>
              </w:rPr>
              <w:t>1.163</w:t>
            </w:r>
          </w:p>
        </w:tc>
        <w:tc>
          <w:tcPr>
            <w:tcW w:w="1134" w:type="dxa"/>
            <w:tcBorders>
              <w:top w:val="nil"/>
              <w:left w:val="nil"/>
              <w:bottom w:val="nil"/>
              <w:right w:val="nil"/>
            </w:tcBorders>
            <w:shd w:val="clear" w:color="auto" w:fill="auto"/>
            <w:vAlign w:val="bottom"/>
          </w:tcPr>
          <w:p w14:paraId="5E953E64" w14:textId="4F044760" w:rsidR="00566EA9" w:rsidRPr="001D41EA" w:rsidRDefault="00566EA9" w:rsidP="001D41EA">
            <w:pPr>
              <w:spacing w:before="40" w:after="20"/>
              <w:jc w:val="center"/>
              <w:rPr>
                <w:rFonts w:cs="Arial"/>
                <w:sz w:val="18"/>
                <w:szCs w:val="18"/>
              </w:rPr>
            </w:pPr>
            <w:r w:rsidRPr="001D41EA">
              <w:rPr>
                <w:rFonts w:cs="Arial"/>
                <w:sz w:val="18"/>
                <w:szCs w:val="18"/>
              </w:rPr>
              <w:t>1.185</w:t>
            </w:r>
          </w:p>
        </w:tc>
      </w:tr>
      <w:tr w:rsidR="00566EA9" w:rsidRPr="001D41EA" w14:paraId="2750A62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9523605" w14:textId="77777777" w:rsidR="00566EA9" w:rsidRPr="001D41EA" w:rsidRDefault="00566EA9" w:rsidP="001D41EA">
            <w:pPr>
              <w:spacing w:before="40" w:after="20"/>
              <w:rPr>
                <w:rFonts w:cs="Arial"/>
                <w:sz w:val="18"/>
                <w:szCs w:val="18"/>
              </w:rPr>
            </w:pPr>
            <w:r w:rsidRPr="001D41EA">
              <w:rPr>
                <w:rFonts w:cs="Arial"/>
                <w:sz w:val="18"/>
                <w:szCs w:val="18"/>
              </w:rPr>
              <w:t>Whittlesea C</w:t>
            </w:r>
          </w:p>
        </w:tc>
        <w:tc>
          <w:tcPr>
            <w:tcW w:w="1134" w:type="dxa"/>
            <w:tcBorders>
              <w:top w:val="nil"/>
              <w:left w:val="single" w:sz="18" w:space="0" w:color="5F497A" w:themeColor="accent4" w:themeShade="BF"/>
              <w:bottom w:val="nil"/>
              <w:right w:val="nil"/>
            </w:tcBorders>
            <w:vAlign w:val="bottom"/>
          </w:tcPr>
          <w:p w14:paraId="71EF2751" w14:textId="7232FDAC" w:rsidR="00566EA9" w:rsidRPr="001D41EA" w:rsidRDefault="00566EA9" w:rsidP="001D41EA">
            <w:pPr>
              <w:spacing w:before="40" w:after="20"/>
              <w:jc w:val="center"/>
              <w:rPr>
                <w:rFonts w:cs="Arial"/>
                <w:sz w:val="18"/>
                <w:szCs w:val="18"/>
              </w:rPr>
            </w:pPr>
            <w:r w:rsidRPr="001D41EA">
              <w:rPr>
                <w:rFonts w:cs="Arial"/>
                <w:sz w:val="18"/>
                <w:szCs w:val="18"/>
              </w:rPr>
              <w:t>1.008</w:t>
            </w:r>
          </w:p>
        </w:tc>
        <w:tc>
          <w:tcPr>
            <w:tcW w:w="1134" w:type="dxa"/>
            <w:tcBorders>
              <w:top w:val="nil"/>
              <w:left w:val="nil"/>
              <w:bottom w:val="nil"/>
              <w:right w:val="nil"/>
            </w:tcBorders>
            <w:vAlign w:val="bottom"/>
          </w:tcPr>
          <w:p w14:paraId="7EC455E5" w14:textId="293A9A7C" w:rsidR="00566EA9" w:rsidRPr="001D41EA" w:rsidRDefault="00566EA9" w:rsidP="001D41EA">
            <w:pPr>
              <w:spacing w:before="40" w:after="20"/>
              <w:jc w:val="center"/>
              <w:rPr>
                <w:rFonts w:cs="Arial"/>
                <w:sz w:val="18"/>
                <w:szCs w:val="18"/>
              </w:rPr>
            </w:pPr>
            <w:r w:rsidRPr="001D41EA">
              <w:rPr>
                <w:rFonts w:cs="Arial"/>
                <w:sz w:val="18"/>
                <w:szCs w:val="18"/>
              </w:rPr>
              <w:t>1.005</w:t>
            </w:r>
          </w:p>
        </w:tc>
        <w:tc>
          <w:tcPr>
            <w:tcW w:w="170" w:type="dxa"/>
            <w:tcBorders>
              <w:top w:val="nil"/>
              <w:left w:val="nil"/>
              <w:bottom w:val="nil"/>
              <w:right w:val="nil"/>
            </w:tcBorders>
            <w:shd w:val="clear" w:color="auto" w:fill="auto"/>
            <w:vAlign w:val="bottom"/>
          </w:tcPr>
          <w:p w14:paraId="4D201B9D" w14:textId="21C079DC"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63D045C0" w14:textId="48454935" w:rsidR="00566EA9" w:rsidRPr="001D41EA" w:rsidRDefault="00566EA9" w:rsidP="001D41EA">
            <w:pPr>
              <w:spacing w:before="40" w:after="20"/>
              <w:jc w:val="center"/>
              <w:rPr>
                <w:rFonts w:cs="Arial"/>
                <w:sz w:val="18"/>
                <w:szCs w:val="18"/>
              </w:rPr>
            </w:pPr>
            <w:r w:rsidRPr="001D41EA">
              <w:rPr>
                <w:rFonts w:cs="Arial"/>
                <w:sz w:val="18"/>
                <w:szCs w:val="18"/>
              </w:rPr>
              <w:t>1.128</w:t>
            </w:r>
          </w:p>
        </w:tc>
        <w:tc>
          <w:tcPr>
            <w:tcW w:w="1134" w:type="dxa"/>
            <w:tcBorders>
              <w:top w:val="nil"/>
              <w:left w:val="nil"/>
              <w:bottom w:val="nil"/>
              <w:right w:val="nil"/>
            </w:tcBorders>
            <w:vAlign w:val="bottom"/>
          </w:tcPr>
          <w:p w14:paraId="4810D049" w14:textId="25165F01" w:rsidR="00566EA9" w:rsidRPr="001D41EA" w:rsidRDefault="00566EA9" w:rsidP="001D41EA">
            <w:pPr>
              <w:spacing w:before="40" w:after="20"/>
              <w:jc w:val="center"/>
              <w:rPr>
                <w:rFonts w:cs="Arial"/>
                <w:sz w:val="18"/>
                <w:szCs w:val="18"/>
              </w:rPr>
            </w:pPr>
            <w:r w:rsidRPr="001D41EA">
              <w:rPr>
                <w:rFonts w:cs="Arial"/>
                <w:sz w:val="18"/>
                <w:szCs w:val="18"/>
              </w:rPr>
              <w:t>1.136</w:t>
            </w:r>
          </w:p>
        </w:tc>
        <w:tc>
          <w:tcPr>
            <w:tcW w:w="1134" w:type="dxa"/>
            <w:tcBorders>
              <w:top w:val="nil"/>
              <w:left w:val="nil"/>
              <w:bottom w:val="nil"/>
              <w:right w:val="nil"/>
            </w:tcBorders>
            <w:vAlign w:val="bottom"/>
          </w:tcPr>
          <w:p w14:paraId="5E7B7320" w14:textId="664780A7" w:rsidR="00566EA9" w:rsidRPr="001D41EA" w:rsidRDefault="00566EA9" w:rsidP="001D41EA">
            <w:pPr>
              <w:spacing w:before="40" w:after="20"/>
              <w:jc w:val="center"/>
              <w:rPr>
                <w:rFonts w:cs="Arial"/>
                <w:sz w:val="18"/>
                <w:szCs w:val="18"/>
              </w:rPr>
            </w:pPr>
            <w:r w:rsidRPr="001D41EA">
              <w:rPr>
                <w:rFonts w:cs="Arial"/>
                <w:sz w:val="18"/>
                <w:szCs w:val="18"/>
              </w:rPr>
              <w:t>1.130</w:t>
            </w:r>
          </w:p>
        </w:tc>
        <w:tc>
          <w:tcPr>
            <w:tcW w:w="1134" w:type="dxa"/>
            <w:tcBorders>
              <w:top w:val="nil"/>
              <w:left w:val="nil"/>
              <w:bottom w:val="nil"/>
              <w:right w:val="nil"/>
            </w:tcBorders>
            <w:shd w:val="clear" w:color="auto" w:fill="auto"/>
            <w:vAlign w:val="bottom"/>
          </w:tcPr>
          <w:p w14:paraId="48134BD3" w14:textId="601F77F5" w:rsidR="00566EA9" w:rsidRPr="001D41EA" w:rsidRDefault="00566EA9" w:rsidP="001D41EA">
            <w:pPr>
              <w:spacing w:before="40" w:after="20"/>
              <w:jc w:val="center"/>
              <w:rPr>
                <w:rFonts w:cs="Arial"/>
                <w:sz w:val="18"/>
                <w:szCs w:val="18"/>
              </w:rPr>
            </w:pPr>
            <w:r w:rsidRPr="001D41EA">
              <w:rPr>
                <w:rFonts w:cs="Arial"/>
                <w:sz w:val="18"/>
                <w:szCs w:val="18"/>
              </w:rPr>
              <w:t>1.152</w:t>
            </w:r>
          </w:p>
        </w:tc>
      </w:tr>
      <w:tr w:rsidR="00566EA9" w:rsidRPr="001D41EA" w14:paraId="53A0DF1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C042C51" w14:textId="77777777" w:rsidR="00566EA9" w:rsidRPr="001D41EA" w:rsidRDefault="00566EA9" w:rsidP="001D41EA">
            <w:pPr>
              <w:spacing w:before="40" w:after="20"/>
              <w:rPr>
                <w:rFonts w:cs="Arial"/>
                <w:sz w:val="18"/>
                <w:szCs w:val="18"/>
              </w:rPr>
            </w:pPr>
            <w:r w:rsidRPr="001D41EA">
              <w:rPr>
                <w:rFonts w:cs="Arial"/>
                <w:sz w:val="18"/>
                <w:szCs w:val="18"/>
              </w:rPr>
              <w:t>Wodonga C</w:t>
            </w:r>
          </w:p>
        </w:tc>
        <w:tc>
          <w:tcPr>
            <w:tcW w:w="1134" w:type="dxa"/>
            <w:tcBorders>
              <w:top w:val="nil"/>
              <w:left w:val="single" w:sz="18" w:space="0" w:color="5F497A" w:themeColor="accent4" w:themeShade="BF"/>
              <w:bottom w:val="nil"/>
              <w:right w:val="nil"/>
            </w:tcBorders>
            <w:vAlign w:val="bottom"/>
          </w:tcPr>
          <w:p w14:paraId="27251810" w14:textId="3249E46C" w:rsidR="00566EA9" w:rsidRPr="001D41EA" w:rsidRDefault="00566EA9" w:rsidP="001D41EA">
            <w:pPr>
              <w:spacing w:before="40" w:after="20"/>
              <w:jc w:val="center"/>
              <w:rPr>
                <w:rFonts w:cs="Arial"/>
                <w:sz w:val="18"/>
                <w:szCs w:val="18"/>
              </w:rPr>
            </w:pPr>
            <w:r w:rsidRPr="001D41EA">
              <w:rPr>
                <w:rFonts w:cs="Arial"/>
                <w:sz w:val="18"/>
                <w:szCs w:val="18"/>
              </w:rPr>
              <w:t>1.379</w:t>
            </w:r>
          </w:p>
        </w:tc>
        <w:tc>
          <w:tcPr>
            <w:tcW w:w="1134" w:type="dxa"/>
            <w:tcBorders>
              <w:top w:val="nil"/>
              <w:left w:val="nil"/>
              <w:bottom w:val="nil"/>
              <w:right w:val="nil"/>
            </w:tcBorders>
            <w:vAlign w:val="bottom"/>
          </w:tcPr>
          <w:p w14:paraId="5518E239" w14:textId="57CCC4B8" w:rsidR="00566EA9" w:rsidRPr="001D41EA" w:rsidRDefault="00566EA9" w:rsidP="001D41EA">
            <w:pPr>
              <w:spacing w:before="40" w:after="20"/>
              <w:jc w:val="center"/>
              <w:rPr>
                <w:rFonts w:cs="Arial"/>
                <w:sz w:val="18"/>
                <w:szCs w:val="18"/>
              </w:rPr>
            </w:pPr>
            <w:r w:rsidRPr="001D41EA">
              <w:rPr>
                <w:rFonts w:cs="Arial"/>
                <w:sz w:val="18"/>
                <w:szCs w:val="18"/>
              </w:rPr>
              <w:t>1.375</w:t>
            </w:r>
          </w:p>
        </w:tc>
        <w:tc>
          <w:tcPr>
            <w:tcW w:w="170" w:type="dxa"/>
            <w:tcBorders>
              <w:top w:val="nil"/>
              <w:left w:val="nil"/>
              <w:bottom w:val="nil"/>
              <w:right w:val="nil"/>
            </w:tcBorders>
            <w:shd w:val="clear" w:color="auto" w:fill="auto"/>
            <w:vAlign w:val="bottom"/>
          </w:tcPr>
          <w:p w14:paraId="36AB7854" w14:textId="3BAC0ACB"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6B33FD43" w14:textId="65A3BD9A" w:rsidR="00566EA9" w:rsidRPr="001D41EA" w:rsidRDefault="00566EA9" w:rsidP="001D41EA">
            <w:pPr>
              <w:spacing w:before="40" w:after="20"/>
              <w:jc w:val="center"/>
              <w:rPr>
                <w:rFonts w:cs="Arial"/>
                <w:sz w:val="18"/>
                <w:szCs w:val="18"/>
              </w:rPr>
            </w:pPr>
            <w:r w:rsidRPr="001D41EA">
              <w:rPr>
                <w:rFonts w:cs="Arial"/>
                <w:sz w:val="18"/>
                <w:szCs w:val="18"/>
              </w:rPr>
              <w:t>0.820</w:t>
            </w:r>
          </w:p>
        </w:tc>
        <w:tc>
          <w:tcPr>
            <w:tcW w:w="1134" w:type="dxa"/>
            <w:tcBorders>
              <w:top w:val="nil"/>
              <w:left w:val="nil"/>
              <w:bottom w:val="nil"/>
              <w:right w:val="nil"/>
            </w:tcBorders>
            <w:vAlign w:val="bottom"/>
          </w:tcPr>
          <w:p w14:paraId="4487EFDF" w14:textId="55ADB953" w:rsidR="00566EA9" w:rsidRPr="001D41EA" w:rsidRDefault="00566EA9" w:rsidP="001D41EA">
            <w:pPr>
              <w:spacing w:before="40" w:after="20"/>
              <w:jc w:val="center"/>
              <w:rPr>
                <w:rFonts w:cs="Arial"/>
                <w:sz w:val="18"/>
                <w:szCs w:val="18"/>
              </w:rPr>
            </w:pPr>
            <w:r w:rsidRPr="001D41EA">
              <w:rPr>
                <w:rFonts w:cs="Arial"/>
                <w:sz w:val="18"/>
                <w:szCs w:val="18"/>
              </w:rPr>
              <w:t>0.827</w:t>
            </w:r>
          </w:p>
        </w:tc>
        <w:tc>
          <w:tcPr>
            <w:tcW w:w="1134" w:type="dxa"/>
            <w:tcBorders>
              <w:top w:val="nil"/>
              <w:left w:val="nil"/>
              <w:bottom w:val="nil"/>
              <w:right w:val="nil"/>
            </w:tcBorders>
            <w:vAlign w:val="bottom"/>
          </w:tcPr>
          <w:p w14:paraId="331E31C2" w14:textId="04AB9313" w:rsidR="00566EA9" w:rsidRPr="001D41EA" w:rsidRDefault="00566EA9" w:rsidP="001D41EA">
            <w:pPr>
              <w:spacing w:before="40" w:after="20"/>
              <w:jc w:val="center"/>
              <w:rPr>
                <w:rFonts w:cs="Arial"/>
                <w:sz w:val="18"/>
                <w:szCs w:val="18"/>
              </w:rPr>
            </w:pPr>
            <w:r w:rsidRPr="001D41EA">
              <w:rPr>
                <w:rFonts w:cs="Arial"/>
                <w:sz w:val="18"/>
                <w:szCs w:val="18"/>
              </w:rPr>
              <w:t>0.822</w:t>
            </w:r>
          </w:p>
        </w:tc>
        <w:tc>
          <w:tcPr>
            <w:tcW w:w="1134" w:type="dxa"/>
            <w:tcBorders>
              <w:top w:val="nil"/>
              <w:left w:val="nil"/>
              <w:bottom w:val="nil"/>
              <w:right w:val="nil"/>
            </w:tcBorders>
            <w:shd w:val="clear" w:color="auto" w:fill="auto"/>
            <w:vAlign w:val="bottom"/>
          </w:tcPr>
          <w:p w14:paraId="2E0A13A8" w14:textId="45360549" w:rsidR="00566EA9" w:rsidRPr="001D41EA" w:rsidRDefault="00566EA9" w:rsidP="001D41EA">
            <w:pPr>
              <w:spacing w:before="40" w:after="20"/>
              <w:jc w:val="center"/>
              <w:rPr>
                <w:rFonts w:cs="Arial"/>
                <w:sz w:val="18"/>
                <w:szCs w:val="18"/>
              </w:rPr>
            </w:pPr>
            <w:r w:rsidRPr="001D41EA">
              <w:rPr>
                <w:rFonts w:cs="Arial"/>
                <w:sz w:val="18"/>
                <w:szCs w:val="18"/>
              </w:rPr>
              <w:t>0.838</w:t>
            </w:r>
          </w:p>
        </w:tc>
      </w:tr>
      <w:tr w:rsidR="00566EA9" w:rsidRPr="001D41EA" w14:paraId="42FEAF8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D9C0F29" w14:textId="77777777" w:rsidR="00566EA9" w:rsidRPr="001D41EA" w:rsidRDefault="00566EA9" w:rsidP="001D41EA">
            <w:pPr>
              <w:spacing w:before="40" w:after="20"/>
              <w:rPr>
                <w:rFonts w:cs="Arial"/>
                <w:sz w:val="18"/>
                <w:szCs w:val="18"/>
              </w:rPr>
            </w:pPr>
            <w:r w:rsidRPr="001D41EA">
              <w:rPr>
                <w:rFonts w:cs="Arial"/>
                <w:sz w:val="18"/>
                <w:szCs w:val="18"/>
              </w:rPr>
              <w:t>Wyndham C</w:t>
            </w:r>
          </w:p>
        </w:tc>
        <w:tc>
          <w:tcPr>
            <w:tcW w:w="1134" w:type="dxa"/>
            <w:tcBorders>
              <w:top w:val="nil"/>
              <w:left w:val="single" w:sz="18" w:space="0" w:color="5F497A" w:themeColor="accent4" w:themeShade="BF"/>
              <w:bottom w:val="nil"/>
              <w:right w:val="nil"/>
            </w:tcBorders>
            <w:vAlign w:val="bottom"/>
          </w:tcPr>
          <w:p w14:paraId="46FE7781" w14:textId="4475A300" w:rsidR="00566EA9" w:rsidRPr="001D41EA" w:rsidRDefault="00566EA9" w:rsidP="001D41EA">
            <w:pPr>
              <w:spacing w:before="40" w:after="20"/>
              <w:jc w:val="center"/>
              <w:rPr>
                <w:rFonts w:cs="Arial"/>
                <w:sz w:val="18"/>
                <w:szCs w:val="18"/>
              </w:rPr>
            </w:pPr>
            <w:r w:rsidRPr="001D41EA">
              <w:rPr>
                <w:rFonts w:cs="Arial"/>
                <w:sz w:val="18"/>
                <w:szCs w:val="18"/>
              </w:rPr>
              <w:t>1.002</w:t>
            </w:r>
          </w:p>
        </w:tc>
        <w:tc>
          <w:tcPr>
            <w:tcW w:w="1134" w:type="dxa"/>
            <w:tcBorders>
              <w:top w:val="nil"/>
              <w:left w:val="nil"/>
              <w:bottom w:val="nil"/>
              <w:right w:val="nil"/>
            </w:tcBorders>
            <w:vAlign w:val="bottom"/>
          </w:tcPr>
          <w:p w14:paraId="2B3B6103" w14:textId="6FFB1CE6" w:rsidR="00566EA9" w:rsidRPr="001D41EA" w:rsidRDefault="00566EA9" w:rsidP="001D41EA">
            <w:pPr>
              <w:spacing w:before="40" w:after="20"/>
              <w:jc w:val="center"/>
              <w:rPr>
                <w:rFonts w:cs="Arial"/>
                <w:sz w:val="18"/>
                <w:szCs w:val="18"/>
              </w:rPr>
            </w:pPr>
            <w:r w:rsidRPr="001D41EA">
              <w:rPr>
                <w:rFonts w:cs="Arial"/>
                <w:sz w:val="18"/>
                <w:szCs w:val="18"/>
              </w:rPr>
              <w:t>0.999</w:t>
            </w:r>
          </w:p>
        </w:tc>
        <w:tc>
          <w:tcPr>
            <w:tcW w:w="170" w:type="dxa"/>
            <w:tcBorders>
              <w:top w:val="nil"/>
              <w:left w:val="nil"/>
              <w:bottom w:val="nil"/>
              <w:right w:val="nil"/>
            </w:tcBorders>
            <w:shd w:val="clear" w:color="auto" w:fill="auto"/>
            <w:vAlign w:val="bottom"/>
          </w:tcPr>
          <w:p w14:paraId="20057F11" w14:textId="677E14C6"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0DE873E3" w14:textId="0F90A4F6" w:rsidR="00566EA9" w:rsidRPr="001D41EA" w:rsidRDefault="00566EA9" w:rsidP="001D41EA">
            <w:pPr>
              <w:spacing w:before="40" w:after="20"/>
              <w:jc w:val="center"/>
              <w:rPr>
                <w:rFonts w:cs="Arial"/>
                <w:sz w:val="18"/>
                <w:szCs w:val="18"/>
              </w:rPr>
            </w:pPr>
            <w:r w:rsidRPr="001D41EA">
              <w:rPr>
                <w:rFonts w:cs="Arial"/>
                <w:sz w:val="18"/>
                <w:szCs w:val="18"/>
              </w:rPr>
              <w:t>1.061</w:t>
            </w:r>
          </w:p>
        </w:tc>
        <w:tc>
          <w:tcPr>
            <w:tcW w:w="1134" w:type="dxa"/>
            <w:tcBorders>
              <w:top w:val="nil"/>
              <w:left w:val="nil"/>
              <w:bottom w:val="nil"/>
              <w:right w:val="nil"/>
            </w:tcBorders>
            <w:vAlign w:val="bottom"/>
          </w:tcPr>
          <w:p w14:paraId="29B29499" w14:textId="3B151928" w:rsidR="00566EA9" w:rsidRPr="001D41EA" w:rsidRDefault="00566EA9" w:rsidP="001D41EA">
            <w:pPr>
              <w:spacing w:before="40" w:after="20"/>
              <w:jc w:val="center"/>
              <w:rPr>
                <w:rFonts w:cs="Arial"/>
                <w:sz w:val="18"/>
                <w:szCs w:val="18"/>
              </w:rPr>
            </w:pPr>
            <w:r w:rsidRPr="001D41EA">
              <w:rPr>
                <w:rFonts w:cs="Arial"/>
                <w:sz w:val="18"/>
                <w:szCs w:val="18"/>
              </w:rPr>
              <w:t>1.069</w:t>
            </w:r>
          </w:p>
        </w:tc>
        <w:tc>
          <w:tcPr>
            <w:tcW w:w="1134" w:type="dxa"/>
            <w:tcBorders>
              <w:top w:val="nil"/>
              <w:left w:val="nil"/>
              <w:bottom w:val="nil"/>
              <w:right w:val="nil"/>
            </w:tcBorders>
            <w:vAlign w:val="bottom"/>
          </w:tcPr>
          <w:p w14:paraId="2F345EFA" w14:textId="3372D851" w:rsidR="00566EA9" w:rsidRPr="001D41EA" w:rsidRDefault="00566EA9" w:rsidP="001D41EA">
            <w:pPr>
              <w:spacing w:before="40" w:after="20"/>
              <w:jc w:val="center"/>
              <w:rPr>
                <w:rFonts w:cs="Arial"/>
                <w:sz w:val="18"/>
                <w:szCs w:val="18"/>
              </w:rPr>
            </w:pPr>
            <w:r w:rsidRPr="001D41EA">
              <w:rPr>
                <w:rFonts w:cs="Arial"/>
                <w:sz w:val="18"/>
                <w:szCs w:val="18"/>
              </w:rPr>
              <w:t>1.063</w:t>
            </w:r>
          </w:p>
        </w:tc>
        <w:tc>
          <w:tcPr>
            <w:tcW w:w="1134" w:type="dxa"/>
            <w:tcBorders>
              <w:top w:val="nil"/>
              <w:left w:val="nil"/>
              <w:bottom w:val="nil"/>
              <w:right w:val="nil"/>
            </w:tcBorders>
            <w:shd w:val="clear" w:color="auto" w:fill="auto"/>
            <w:vAlign w:val="bottom"/>
          </w:tcPr>
          <w:p w14:paraId="42FB6FD9" w14:textId="57E16B86" w:rsidR="00566EA9" w:rsidRPr="001D41EA" w:rsidRDefault="00566EA9" w:rsidP="001D41EA">
            <w:pPr>
              <w:spacing w:before="40" w:after="20"/>
              <w:jc w:val="center"/>
              <w:rPr>
                <w:rFonts w:cs="Arial"/>
                <w:sz w:val="18"/>
                <w:szCs w:val="18"/>
              </w:rPr>
            </w:pPr>
            <w:r w:rsidRPr="001D41EA">
              <w:rPr>
                <w:rFonts w:cs="Arial"/>
                <w:sz w:val="18"/>
                <w:szCs w:val="18"/>
              </w:rPr>
              <w:t>1.084</w:t>
            </w:r>
          </w:p>
        </w:tc>
      </w:tr>
      <w:tr w:rsidR="00566EA9" w:rsidRPr="001D41EA" w14:paraId="4C67997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F9F88E8" w14:textId="77777777" w:rsidR="00566EA9" w:rsidRPr="001D41EA" w:rsidRDefault="00566EA9" w:rsidP="001D41EA">
            <w:pPr>
              <w:spacing w:before="40" w:after="20"/>
              <w:rPr>
                <w:rFonts w:cs="Arial"/>
                <w:sz w:val="18"/>
                <w:szCs w:val="18"/>
              </w:rPr>
            </w:pPr>
            <w:r w:rsidRPr="001D41EA">
              <w:rPr>
                <w:rFonts w:cs="Arial"/>
                <w:sz w:val="18"/>
                <w:szCs w:val="18"/>
              </w:rPr>
              <w:t>Yarra C</w:t>
            </w:r>
          </w:p>
        </w:tc>
        <w:tc>
          <w:tcPr>
            <w:tcW w:w="1134" w:type="dxa"/>
            <w:tcBorders>
              <w:top w:val="nil"/>
              <w:left w:val="single" w:sz="18" w:space="0" w:color="5F497A" w:themeColor="accent4" w:themeShade="BF"/>
              <w:bottom w:val="nil"/>
              <w:right w:val="nil"/>
            </w:tcBorders>
            <w:vAlign w:val="bottom"/>
          </w:tcPr>
          <w:p w14:paraId="66540A17" w14:textId="7DE6D42F" w:rsidR="00566EA9" w:rsidRPr="001D41EA" w:rsidRDefault="00566EA9" w:rsidP="001D41EA">
            <w:pPr>
              <w:spacing w:before="40" w:after="20"/>
              <w:jc w:val="center"/>
              <w:rPr>
                <w:rFonts w:cs="Arial"/>
                <w:sz w:val="18"/>
                <w:szCs w:val="18"/>
              </w:rPr>
            </w:pPr>
            <w:r w:rsidRPr="001D41EA">
              <w:rPr>
                <w:rFonts w:cs="Arial"/>
                <w:sz w:val="18"/>
                <w:szCs w:val="18"/>
              </w:rPr>
              <w:t>0.923</w:t>
            </w:r>
          </w:p>
        </w:tc>
        <w:tc>
          <w:tcPr>
            <w:tcW w:w="1134" w:type="dxa"/>
            <w:tcBorders>
              <w:top w:val="nil"/>
              <w:left w:val="nil"/>
              <w:bottom w:val="nil"/>
              <w:right w:val="nil"/>
            </w:tcBorders>
            <w:vAlign w:val="bottom"/>
          </w:tcPr>
          <w:p w14:paraId="4113FE14" w14:textId="1B670D7B" w:rsidR="00566EA9" w:rsidRPr="001D41EA" w:rsidRDefault="00566EA9" w:rsidP="001D41EA">
            <w:pPr>
              <w:spacing w:before="40" w:after="20"/>
              <w:jc w:val="center"/>
              <w:rPr>
                <w:rFonts w:cs="Arial"/>
                <w:sz w:val="18"/>
                <w:szCs w:val="18"/>
              </w:rPr>
            </w:pPr>
            <w:r w:rsidRPr="001D41EA">
              <w:rPr>
                <w:rFonts w:cs="Arial"/>
                <w:sz w:val="18"/>
                <w:szCs w:val="18"/>
              </w:rPr>
              <w:t>0.920</w:t>
            </w:r>
          </w:p>
        </w:tc>
        <w:tc>
          <w:tcPr>
            <w:tcW w:w="170" w:type="dxa"/>
            <w:tcBorders>
              <w:top w:val="nil"/>
              <w:left w:val="nil"/>
              <w:bottom w:val="nil"/>
              <w:right w:val="nil"/>
            </w:tcBorders>
            <w:shd w:val="clear" w:color="auto" w:fill="auto"/>
            <w:vAlign w:val="bottom"/>
          </w:tcPr>
          <w:p w14:paraId="37072A6B" w14:textId="7998EE3D"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28F32CF4" w14:textId="5B7CEBA4" w:rsidR="00566EA9" w:rsidRPr="001D41EA" w:rsidRDefault="00566EA9" w:rsidP="001D41EA">
            <w:pPr>
              <w:spacing w:before="40" w:after="20"/>
              <w:jc w:val="center"/>
              <w:rPr>
                <w:rFonts w:cs="Arial"/>
                <w:sz w:val="18"/>
                <w:szCs w:val="18"/>
              </w:rPr>
            </w:pPr>
            <w:r w:rsidRPr="001D41EA">
              <w:rPr>
                <w:rFonts w:cs="Arial"/>
                <w:sz w:val="18"/>
                <w:szCs w:val="18"/>
              </w:rPr>
              <w:t>1.015</w:t>
            </w:r>
          </w:p>
        </w:tc>
        <w:tc>
          <w:tcPr>
            <w:tcW w:w="1134" w:type="dxa"/>
            <w:tcBorders>
              <w:top w:val="nil"/>
              <w:left w:val="nil"/>
              <w:bottom w:val="nil"/>
              <w:right w:val="nil"/>
            </w:tcBorders>
            <w:vAlign w:val="bottom"/>
          </w:tcPr>
          <w:p w14:paraId="14105D91" w14:textId="6268E91D" w:rsidR="00566EA9" w:rsidRPr="001D41EA" w:rsidRDefault="00566EA9" w:rsidP="001D41EA">
            <w:pPr>
              <w:spacing w:before="40" w:after="20"/>
              <w:jc w:val="center"/>
              <w:rPr>
                <w:rFonts w:cs="Arial"/>
                <w:sz w:val="18"/>
                <w:szCs w:val="18"/>
              </w:rPr>
            </w:pPr>
            <w:r w:rsidRPr="001D41EA">
              <w:rPr>
                <w:rFonts w:cs="Arial"/>
                <w:sz w:val="18"/>
                <w:szCs w:val="18"/>
              </w:rPr>
              <w:t>1.023</w:t>
            </w:r>
          </w:p>
        </w:tc>
        <w:tc>
          <w:tcPr>
            <w:tcW w:w="1134" w:type="dxa"/>
            <w:tcBorders>
              <w:top w:val="nil"/>
              <w:left w:val="nil"/>
              <w:bottom w:val="nil"/>
              <w:right w:val="nil"/>
            </w:tcBorders>
            <w:vAlign w:val="bottom"/>
          </w:tcPr>
          <w:p w14:paraId="4E61139F" w14:textId="6DC3E502" w:rsidR="00566EA9" w:rsidRPr="001D41EA" w:rsidRDefault="00566EA9" w:rsidP="001D41EA">
            <w:pPr>
              <w:spacing w:before="40" w:after="20"/>
              <w:jc w:val="center"/>
              <w:rPr>
                <w:rFonts w:cs="Arial"/>
                <w:sz w:val="18"/>
                <w:szCs w:val="18"/>
              </w:rPr>
            </w:pPr>
            <w:r w:rsidRPr="001D41EA">
              <w:rPr>
                <w:rFonts w:cs="Arial"/>
                <w:sz w:val="18"/>
                <w:szCs w:val="18"/>
              </w:rPr>
              <w:t>1.017</w:t>
            </w:r>
          </w:p>
        </w:tc>
        <w:tc>
          <w:tcPr>
            <w:tcW w:w="1134" w:type="dxa"/>
            <w:tcBorders>
              <w:top w:val="nil"/>
              <w:left w:val="nil"/>
              <w:bottom w:val="nil"/>
              <w:right w:val="nil"/>
            </w:tcBorders>
            <w:shd w:val="clear" w:color="auto" w:fill="auto"/>
            <w:vAlign w:val="bottom"/>
          </w:tcPr>
          <w:p w14:paraId="52E23DBF" w14:textId="0F357803" w:rsidR="00566EA9" w:rsidRPr="001D41EA" w:rsidRDefault="00566EA9" w:rsidP="001D41EA">
            <w:pPr>
              <w:spacing w:before="40" w:after="20"/>
              <w:jc w:val="center"/>
              <w:rPr>
                <w:rFonts w:cs="Arial"/>
                <w:sz w:val="18"/>
                <w:szCs w:val="18"/>
              </w:rPr>
            </w:pPr>
            <w:r w:rsidRPr="001D41EA">
              <w:rPr>
                <w:rFonts w:cs="Arial"/>
                <w:sz w:val="18"/>
                <w:szCs w:val="18"/>
              </w:rPr>
              <w:t>1.037</w:t>
            </w:r>
          </w:p>
        </w:tc>
      </w:tr>
      <w:tr w:rsidR="00566EA9" w:rsidRPr="001D41EA" w14:paraId="24141E7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D770BE0" w14:textId="77777777" w:rsidR="00566EA9" w:rsidRPr="001D41EA" w:rsidRDefault="00566EA9" w:rsidP="001D41EA">
            <w:pPr>
              <w:spacing w:before="40" w:after="20"/>
              <w:rPr>
                <w:rFonts w:cs="Arial"/>
                <w:sz w:val="18"/>
                <w:szCs w:val="18"/>
              </w:rPr>
            </w:pPr>
            <w:r w:rsidRPr="001D41EA">
              <w:rPr>
                <w:rFonts w:cs="Arial"/>
                <w:sz w:val="18"/>
                <w:szCs w:val="18"/>
              </w:rPr>
              <w:t>Yarra Ranges S</w:t>
            </w:r>
          </w:p>
        </w:tc>
        <w:tc>
          <w:tcPr>
            <w:tcW w:w="1134" w:type="dxa"/>
            <w:tcBorders>
              <w:top w:val="nil"/>
              <w:left w:val="single" w:sz="18" w:space="0" w:color="5F497A" w:themeColor="accent4" w:themeShade="BF"/>
              <w:bottom w:val="nil"/>
              <w:right w:val="nil"/>
            </w:tcBorders>
            <w:vAlign w:val="bottom"/>
          </w:tcPr>
          <w:p w14:paraId="1B0F5935" w14:textId="1149CF5A" w:rsidR="00566EA9" w:rsidRPr="001D41EA" w:rsidRDefault="00566EA9" w:rsidP="001D41EA">
            <w:pPr>
              <w:spacing w:before="40" w:after="20"/>
              <w:jc w:val="center"/>
              <w:rPr>
                <w:rFonts w:cs="Arial"/>
                <w:sz w:val="18"/>
                <w:szCs w:val="18"/>
              </w:rPr>
            </w:pPr>
            <w:r w:rsidRPr="001D41EA">
              <w:rPr>
                <w:rFonts w:cs="Arial"/>
                <w:sz w:val="18"/>
                <w:szCs w:val="18"/>
              </w:rPr>
              <w:t>1.026</w:t>
            </w:r>
          </w:p>
        </w:tc>
        <w:tc>
          <w:tcPr>
            <w:tcW w:w="1134" w:type="dxa"/>
            <w:tcBorders>
              <w:top w:val="nil"/>
              <w:left w:val="nil"/>
              <w:bottom w:val="nil"/>
              <w:right w:val="nil"/>
            </w:tcBorders>
            <w:vAlign w:val="bottom"/>
          </w:tcPr>
          <w:p w14:paraId="36DE0F03" w14:textId="57A47561" w:rsidR="00566EA9" w:rsidRPr="001D41EA" w:rsidRDefault="00566EA9" w:rsidP="001D41EA">
            <w:pPr>
              <w:spacing w:before="40" w:after="20"/>
              <w:jc w:val="center"/>
              <w:rPr>
                <w:rFonts w:cs="Arial"/>
                <w:sz w:val="18"/>
                <w:szCs w:val="18"/>
              </w:rPr>
            </w:pPr>
            <w:r w:rsidRPr="001D41EA">
              <w:rPr>
                <w:rFonts w:cs="Arial"/>
                <w:sz w:val="18"/>
                <w:szCs w:val="18"/>
              </w:rPr>
              <w:t>1.023</w:t>
            </w:r>
          </w:p>
        </w:tc>
        <w:tc>
          <w:tcPr>
            <w:tcW w:w="170" w:type="dxa"/>
            <w:tcBorders>
              <w:top w:val="nil"/>
              <w:left w:val="nil"/>
              <w:bottom w:val="nil"/>
              <w:right w:val="nil"/>
            </w:tcBorders>
            <w:shd w:val="clear" w:color="auto" w:fill="auto"/>
            <w:vAlign w:val="bottom"/>
          </w:tcPr>
          <w:p w14:paraId="7FF2A7E0" w14:textId="6B72F998"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1B1F28A6" w14:textId="5B37E13B" w:rsidR="00566EA9" w:rsidRPr="001D41EA" w:rsidRDefault="00566EA9" w:rsidP="001D41EA">
            <w:pPr>
              <w:spacing w:before="40" w:after="20"/>
              <w:jc w:val="center"/>
              <w:rPr>
                <w:rFonts w:cs="Arial"/>
                <w:sz w:val="18"/>
                <w:szCs w:val="18"/>
              </w:rPr>
            </w:pPr>
            <w:r w:rsidRPr="001D41EA">
              <w:rPr>
                <w:rFonts w:cs="Arial"/>
                <w:sz w:val="18"/>
                <w:szCs w:val="18"/>
              </w:rPr>
              <w:t>0.830</w:t>
            </w:r>
          </w:p>
        </w:tc>
        <w:tc>
          <w:tcPr>
            <w:tcW w:w="1134" w:type="dxa"/>
            <w:tcBorders>
              <w:top w:val="nil"/>
              <w:left w:val="nil"/>
              <w:bottom w:val="nil"/>
              <w:right w:val="nil"/>
            </w:tcBorders>
            <w:vAlign w:val="bottom"/>
          </w:tcPr>
          <w:p w14:paraId="15672DEA" w14:textId="09C869DB" w:rsidR="00566EA9" w:rsidRPr="001D41EA" w:rsidRDefault="00566EA9" w:rsidP="001D41EA">
            <w:pPr>
              <w:spacing w:before="40" w:after="20"/>
              <w:jc w:val="center"/>
              <w:rPr>
                <w:rFonts w:cs="Arial"/>
                <w:sz w:val="18"/>
                <w:szCs w:val="18"/>
              </w:rPr>
            </w:pPr>
            <w:r w:rsidRPr="001D41EA">
              <w:rPr>
                <w:rFonts w:cs="Arial"/>
                <w:sz w:val="18"/>
                <w:szCs w:val="18"/>
              </w:rPr>
              <w:t>0.836</w:t>
            </w:r>
          </w:p>
        </w:tc>
        <w:tc>
          <w:tcPr>
            <w:tcW w:w="1134" w:type="dxa"/>
            <w:tcBorders>
              <w:top w:val="nil"/>
              <w:left w:val="nil"/>
              <w:bottom w:val="nil"/>
              <w:right w:val="nil"/>
            </w:tcBorders>
            <w:vAlign w:val="bottom"/>
          </w:tcPr>
          <w:p w14:paraId="49E27AF2" w14:textId="6891ACBB" w:rsidR="00566EA9" w:rsidRPr="001D41EA" w:rsidRDefault="00566EA9" w:rsidP="001D41EA">
            <w:pPr>
              <w:spacing w:before="40" w:after="20"/>
              <w:jc w:val="center"/>
              <w:rPr>
                <w:rFonts w:cs="Arial"/>
                <w:sz w:val="18"/>
                <w:szCs w:val="18"/>
              </w:rPr>
            </w:pPr>
            <w:r w:rsidRPr="001D41EA">
              <w:rPr>
                <w:rFonts w:cs="Arial"/>
                <w:sz w:val="18"/>
                <w:szCs w:val="18"/>
              </w:rPr>
              <w:t>0.831</w:t>
            </w:r>
          </w:p>
        </w:tc>
        <w:tc>
          <w:tcPr>
            <w:tcW w:w="1134" w:type="dxa"/>
            <w:tcBorders>
              <w:top w:val="nil"/>
              <w:left w:val="nil"/>
              <w:bottom w:val="nil"/>
              <w:right w:val="nil"/>
            </w:tcBorders>
            <w:shd w:val="clear" w:color="auto" w:fill="auto"/>
            <w:vAlign w:val="bottom"/>
          </w:tcPr>
          <w:p w14:paraId="32593A08" w14:textId="379C6849" w:rsidR="00566EA9" w:rsidRPr="001D41EA" w:rsidRDefault="00566EA9" w:rsidP="001D41EA">
            <w:pPr>
              <w:spacing w:before="40" w:after="20"/>
              <w:jc w:val="center"/>
              <w:rPr>
                <w:rFonts w:cs="Arial"/>
                <w:sz w:val="18"/>
                <w:szCs w:val="18"/>
              </w:rPr>
            </w:pPr>
            <w:r w:rsidRPr="001D41EA">
              <w:rPr>
                <w:rFonts w:cs="Arial"/>
                <w:sz w:val="18"/>
                <w:szCs w:val="18"/>
              </w:rPr>
              <w:t>0.847</w:t>
            </w:r>
          </w:p>
        </w:tc>
      </w:tr>
      <w:tr w:rsidR="00566EA9" w:rsidRPr="001D41EA" w14:paraId="27D0998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2E0D794" w14:textId="77777777" w:rsidR="00566EA9" w:rsidRPr="001D41EA" w:rsidRDefault="00566EA9" w:rsidP="001D41EA">
            <w:pPr>
              <w:spacing w:before="40" w:after="20"/>
              <w:rPr>
                <w:rFonts w:cs="Arial"/>
                <w:sz w:val="18"/>
                <w:szCs w:val="18"/>
              </w:rPr>
            </w:pPr>
            <w:r w:rsidRPr="001D41EA">
              <w:rPr>
                <w:rFonts w:cs="Arial"/>
                <w:sz w:val="18"/>
                <w:szCs w:val="18"/>
              </w:rPr>
              <w:t>Yarriambiack S</w:t>
            </w:r>
          </w:p>
        </w:tc>
        <w:tc>
          <w:tcPr>
            <w:tcW w:w="1134" w:type="dxa"/>
            <w:tcBorders>
              <w:top w:val="nil"/>
              <w:left w:val="single" w:sz="18" w:space="0" w:color="5F497A" w:themeColor="accent4" w:themeShade="BF"/>
              <w:bottom w:val="nil"/>
              <w:right w:val="nil"/>
            </w:tcBorders>
            <w:vAlign w:val="bottom"/>
          </w:tcPr>
          <w:p w14:paraId="76BB0C46" w14:textId="06599702" w:rsidR="00566EA9" w:rsidRPr="001D41EA" w:rsidRDefault="00566EA9" w:rsidP="001D41EA">
            <w:pPr>
              <w:spacing w:before="40" w:after="20"/>
              <w:jc w:val="center"/>
              <w:rPr>
                <w:rFonts w:cs="Arial"/>
                <w:sz w:val="18"/>
                <w:szCs w:val="18"/>
              </w:rPr>
            </w:pPr>
            <w:r w:rsidRPr="001D41EA">
              <w:rPr>
                <w:rFonts w:cs="Arial"/>
                <w:sz w:val="18"/>
                <w:szCs w:val="18"/>
              </w:rPr>
              <w:t>1.081</w:t>
            </w:r>
          </w:p>
        </w:tc>
        <w:tc>
          <w:tcPr>
            <w:tcW w:w="1134" w:type="dxa"/>
            <w:tcBorders>
              <w:top w:val="nil"/>
              <w:left w:val="nil"/>
              <w:bottom w:val="nil"/>
              <w:right w:val="nil"/>
            </w:tcBorders>
            <w:vAlign w:val="bottom"/>
          </w:tcPr>
          <w:p w14:paraId="00D2CC86" w14:textId="3602DD14" w:rsidR="00566EA9" w:rsidRPr="001D41EA" w:rsidRDefault="00566EA9" w:rsidP="001D41EA">
            <w:pPr>
              <w:spacing w:before="40" w:after="20"/>
              <w:jc w:val="center"/>
              <w:rPr>
                <w:rFonts w:cs="Arial"/>
                <w:sz w:val="18"/>
                <w:szCs w:val="18"/>
              </w:rPr>
            </w:pPr>
            <w:r w:rsidRPr="001D41EA">
              <w:rPr>
                <w:rFonts w:cs="Arial"/>
                <w:sz w:val="18"/>
                <w:szCs w:val="18"/>
              </w:rPr>
              <w:t>1.078</w:t>
            </w:r>
          </w:p>
        </w:tc>
        <w:tc>
          <w:tcPr>
            <w:tcW w:w="170" w:type="dxa"/>
            <w:tcBorders>
              <w:top w:val="nil"/>
              <w:left w:val="nil"/>
              <w:bottom w:val="nil"/>
              <w:right w:val="nil"/>
            </w:tcBorders>
            <w:shd w:val="clear" w:color="auto" w:fill="auto"/>
            <w:vAlign w:val="bottom"/>
          </w:tcPr>
          <w:p w14:paraId="31FCE428" w14:textId="0B86352B"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4DC9A434" w14:textId="26E80855" w:rsidR="00566EA9" w:rsidRPr="001D41EA" w:rsidRDefault="00566EA9" w:rsidP="001D41EA">
            <w:pPr>
              <w:spacing w:before="40" w:after="20"/>
              <w:jc w:val="center"/>
              <w:rPr>
                <w:rFonts w:cs="Arial"/>
                <w:sz w:val="18"/>
                <w:szCs w:val="18"/>
              </w:rPr>
            </w:pPr>
            <w:r w:rsidRPr="001D41EA">
              <w:rPr>
                <w:rFonts w:cs="Arial"/>
                <w:sz w:val="18"/>
                <w:szCs w:val="18"/>
              </w:rPr>
              <w:t>0.797</w:t>
            </w:r>
          </w:p>
        </w:tc>
        <w:tc>
          <w:tcPr>
            <w:tcW w:w="1134" w:type="dxa"/>
            <w:tcBorders>
              <w:top w:val="nil"/>
              <w:left w:val="nil"/>
              <w:bottom w:val="nil"/>
              <w:right w:val="nil"/>
            </w:tcBorders>
            <w:vAlign w:val="bottom"/>
          </w:tcPr>
          <w:p w14:paraId="4BAD43C8" w14:textId="2E9463F8" w:rsidR="00566EA9" w:rsidRPr="001D41EA" w:rsidRDefault="00566EA9" w:rsidP="001D41EA">
            <w:pPr>
              <w:spacing w:before="40" w:after="20"/>
              <w:jc w:val="center"/>
              <w:rPr>
                <w:rFonts w:cs="Arial"/>
                <w:sz w:val="18"/>
                <w:szCs w:val="18"/>
              </w:rPr>
            </w:pPr>
            <w:r w:rsidRPr="001D41EA">
              <w:rPr>
                <w:rFonts w:cs="Arial"/>
                <w:sz w:val="18"/>
                <w:szCs w:val="18"/>
              </w:rPr>
              <w:t>0.803</w:t>
            </w:r>
          </w:p>
        </w:tc>
        <w:tc>
          <w:tcPr>
            <w:tcW w:w="1134" w:type="dxa"/>
            <w:tcBorders>
              <w:top w:val="nil"/>
              <w:left w:val="nil"/>
              <w:bottom w:val="nil"/>
              <w:right w:val="nil"/>
            </w:tcBorders>
            <w:vAlign w:val="bottom"/>
          </w:tcPr>
          <w:p w14:paraId="05667771" w14:textId="0DCBF8B0" w:rsidR="00566EA9" w:rsidRPr="001D41EA" w:rsidRDefault="00566EA9" w:rsidP="001D41EA">
            <w:pPr>
              <w:spacing w:before="40" w:after="20"/>
              <w:jc w:val="center"/>
              <w:rPr>
                <w:rFonts w:cs="Arial"/>
                <w:sz w:val="18"/>
                <w:szCs w:val="18"/>
              </w:rPr>
            </w:pPr>
            <w:r w:rsidRPr="001D41EA">
              <w:rPr>
                <w:rFonts w:cs="Arial"/>
                <w:sz w:val="18"/>
                <w:szCs w:val="18"/>
              </w:rPr>
              <w:t>0.798</w:t>
            </w:r>
          </w:p>
        </w:tc>
        <w:tc>
          <w:tcPr>
            <w:tcW w:w="1134" w:type="dxa"/>
            <w:tcBorders>
              <w:top w:val="nil"/>
              <w:left w:val="nil"/>
              <w:bottom w:val="nil"/>
              <w:right w:val="nil"/>
            </w:tcBorders>
            <w:shd w:val="clear" w:color="auto" w:fill="auto"/>
            <w:vAlign w:val="bottom"/>
          </w:tcPr>
          <w:p w14:paraId="510E2C91" w14:textId="65103860" w:rsidR="00566EA9" w:rsidRPr="001D41EA" w:rsidRDefault="00566EA9" w:rsidP="001D41EA">
            <w:pPr>
              <w:spacing w:before="40" w:after="20"/>
              <w:jc w:val="center"/>
              <w:rPr>
                <w:rFonts w:cs="Arial"/>
                <w:sz w:val="18"/>
                <w:szCs w:val="18"/>
              </w:rPr>
            </w:pPr>
            <w:r w:rsidRPr="001D41EA">
              <w:rPr>
                <w:rFonts w:cs="Arial"/>
                <w:sz w:val="18"/>
                <w:szCs w:val="18"/>
              </w:rPr>
              <w:t>0.814</w:t>
            </w:r>
          </w:p>
        </w:tc>
      </w:tr>
      <w:tr w:rsidR="009E2B93" w:rsidRPr="001D41EA" w14:paraId="1794BF2F" w14:textId="77777777" w:rsidTr="009E2B93">
        <w:tc>
          <w:tcPr>
            <w:tcW w:w="2268" w:type="dxa"/>
            <w:tcBorders>
              <w:top w:val="nil"/>
              <w:left w:val="nil"/>
              <w:bottom w:val="nil"/>
              <w:right w:val="single" w:sz="18" w:space="0" w:color="5F497A" w:themeColor="accent4" w:themeShade="BF"/>
            </w:tcBorders>
            <w:shd w:val="clear" w:color="auto" w:fill="auto"/>
            <w:vAlign w:val="center"/>
          </w:tcPr>
          <w:p w14:paraId="089DDA1C" w14:textId="77777777" w:rsidR="009E2B93" w:rsidRPr="001D41EA" w:rsidRDefault="009E2B93" w:rsidP="001D41EA">
            <w:pPr>
              <w:spacing w:before="40" w:after="20"/>
              <w:rPr>
                <w:rFonts w:cs="Arial"/>
                <w:sz w:val="18"/>
                <w:szCs w:val="18"/>
                <w:lang w:eastAsia="ko-KR"/>
              </w:rPr>
            </w:pPr>
          </w:p>
        </w:tc>
        <w:tc>
          <w:tcPr>
            <w:tcW w:w="1134" w:type="dxa"/>
            <w:tcBorders>
              <w:top w:val="nil"/>
              <w:left w:val="single" w:sz="18" w:space="0" w:color="5F497A" w:themeColor="accent4" w:themeShade="BF"/>
              <w:bottom w:val="single" w:sz="8" w:space="0" w:color="5F497A" w:themeColor="accent4" w:themeShade="BF"/>
              <w:right w:val="nil"/>
            </w:tcBorders>
            <w:vAlign w:val="center"/>
          </w:tcPr>
          <w:p w14:paraId="2AC51B65" w14:textId="77777777"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vAlign w:val="center"/>
          </w:tcPr>
          <w:p w14:paraId="66B8C682" w14:textId="77777777" w:rsidR="009E2B93" w:rsidRPr="001D41EA" w:rsidRDefault="009E2B93" w:rsidP="001D41EA">
            <w:pPr>
              <w:spacing w:before="40" w:after="20"/>
              <w:jc w:val="center"/>
              <w:rPr>
                <w:rFonts w:cs="Arial"/>
                <w:sz w:val="18"/>
                <w:szCs w:val="18"/>
              </w:rPr>
            </w:pPr>
          </w:p>
        </w:tc>
        <w:tc>
          <w:tcPr>
            <w:tcW w:w="170" w:type="dxa"/>
            <w:tcBorders>
              <w:top w:val="nil"/>
              <w:left w:val="nil"/>
              <w:bottom w:val="single" w:sz="8" w:space="0" w:color="5F497A" w:themeColor="accent4" w:themeShade="BF"/>
              <w:right w:val="nil"/>
            </w:tcBorders>
            <w:shd w:val="clear" w:color="auto" w:fill="auto"/>
            <w:vAlign w:val="center"/>
          </w:tcPr>
          <w:p w14:paraId="59A45ABE" w14:textId="77777777"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vAlign w:val="center"/>
          </w:tcPr>
          <w:p w14:paraId="113A0BFC" w14:textId="77777777"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vAlign w:val="center"/>
          </w:tcPr>
          <w:p w14:paraId="7AEA77AB" w14:textId="77777777"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tcPr>
          <w:p w14:paraId="06DD9A1E" w14:textId="77777777"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shd w:val="clear" w:color="auto" w:fill="auto"/>
            <w:vAlign w:val="center"/>
          </w:tcPr>
          <w:p w14:paraId="0FFDD302" w14:textId="4700DAFB" w:rsidR="009E2B93" w:rsidRPr="001D41EA" w:rsidRDefault="009E2B93" w:rsidP="001D41EA">
            <w:pPr>
              <w:spacing w:before="40" w:after="20"/>
              <w:jc w:val="center"/>
              <w:rPr>
                <w:rFonts w:cs="Arial"/>
                <w:sz w:val="18"/>
                <w:szCs w:val="18"/>
              </w:rPr>
            </w:pPr>
          </w:p>
        </w:tc>
      </w:tr>
      <w:tr w:rsidR="009E2B93" w:rsidRPr="001D41EA" w14:paraId="10CF0B70" w14:textId="77777777" w:rsidTr="009E2B93">
        <w:tc>
          <w:tcPr>
            <w:tcW w:w="2268" w:type="dxa"/>
            <w:tcBorders>
              <w:top w:val="nil"/>
              <w:left w:val="nil"/>
              <w:bottom w:val="nil"/>
              <w:right w:val="single" w:sz="18" w:space="0" w:color="5F497A" w:themeColor="accent4" w:themeShade="BF"/>
            </w:tcBorders>
            <w:shd w:val="clear" w:color="auto" w:fill="auto"/>
            <w:vAlign w:val="center"/>
          </w:tcPr>
          <w:p w14:paraId="40771E2E" w14:textId="77777777" w:rsidR="009E2B93" w:rsidRPr="001D41EA" w:rsidRDefault="009E2B93" w:rsidP="001D41EA">
            <w:pPr>
              <w:spacing w:before="40" w:after="20"/>
              <w:rPr>
                <w:rFonts w:cs="Arial"/>
                <w:sz w:val="18"/>
                <w:szCs w:val="18"/>
                <w:lang w:eastAsia="ko-KR"/>
              </w:rPr>
            </w:pPr>
          </w:p>
        </w:tc>
        <w:tc>
          <w:tcPr>
            <w:tcW w:w="1134" w:type="dxa"/>
            <w:tcBorders>
              <w:top w:val="single" w:sz="8" w:space="0" w:color="5F497A" w:themeColor="accent4" w:themeShade="BF"/>
              <w:left w:val="single" w:sz="18" w:space="0" w:color="5F497A" w:themeColor="accent4" w:themeShade="BF"/>
              <w:right w:val="nil"/>
            </w:tcBorders>
            <w:vAlign w:val="center"/>
          </w:tcPr>
          <w:p w14:paraId="34CD95B7" w14:textId="38CACCC3"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134" w:type="dxa"/>
            <w:tcBorders>
              <w:top w:val="single" w:sz="8" w:space="0" w:color="5F497A" w:themeColor="accent4" w:themeShade="BF"/>
              <w:left w:val="nil"/>
              <w:right w:val="nil"/>
            </w:tcBorders>
            <w:vAlign w:val="center"/>
          </w:tcPr>
          <w:p w14:paraId="4DF56080" w14:textId="571E289C"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70" w:type="dxa"/>
            <w:tcBorders>
              <w:top w:val="single" w:sz="8" w:space="0" w:color="5F497A" w:themeColor="accent4" w:themeShade="BF"/>
              <w:left w:val="nil"/>
              <w:right w:val="nil"/>
            </w:tcBorders>
            <w:shd w:val="clear" w:color="auto" w:fill="auto"/>
            <w:vAlign w:val="center"/>
          </w:tcPr>
          <w:p w14:paraId="5983F23A" w14:textId="77777777" w:rsidR="009E2B93" w:rsidRPr="001D41EA" w:rsidRDefault="009E2B93" w:rsidP="001D41EA">
            <w:pPr>
              <w:spacing w:before="40" w:after="20"/>
              <w:jc w:val="center"/>
              <w:rPr>
                <w:rFonts w:cs="Arial"/>
                <w:sz w:val="18"/>
                <w:szCs w:val="18"/>
              </w:rPr>
            </w:pPr>
          </w:p>
        </w:tc>
        <w:tc>
          <w:tcPr>
            <w:tcW w:w="1134" w:type="dxa"/>
            <w:tcBorders>
              <w:top w:val="single" w:sz="8" w:space="0" w:color="5F497A" w:themeColor="accent4" w:themeShade="BF"/>
              <w:left w:val="nil"/>
              <w:right w:val="nil"/>
            </w:tcBorders>
            <w:vAlign w:val="center"/>
          </w:tcPr>
          <w:p w14:paraId="35F09235" w14:textId="3B08C55C"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134" w:type="dxa"/>
            <w:tcBorders>
              <w:top w:val="single" w:sz="8" w:space="0" w:color="5F497A" w:themeColor="accent4" w:themeShade="BF"/>
              <w:left w:val="nil"/>
              <w:right w:val="nil"/>
            </w:tcBorders>
            <w:vAlign w:val="center"/>
          </w:tcPr>
          <w:p w14:paraId="6925CDBF" w14:textId="5A882859"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134" w:type="dxa"/>
            <w:tcBorders>
              <w:top w:val="single" w:sz="8" w:space="0" w:color="5F497A" w:themeColor="accent4" w:themeShade="BF"/>
              <w:left w:val="nil"/>
              <w:right w:val="nil"/>
            </w:tcBorders>
          </w:tcPr>
          <w:p w14:paraId="60656057" w14:textId="631A4153" w:rsidR="009E2B93" w:rsidRPr="001D41EA" w:rsidRDefault="00790D04" w:rsidP="001D41EA">
            <w:pPr>
              <w:spacing w:before="40" w:after="20"/>
              <w:jc w:val="center"/>
              <w:rPr>
                <w:rFonts w:cs="Arial"/>
                <w:b/>
                <w:sz w:val="18"/>
                <w:szCs w:val="18"/>
              </w:rPr>
            </w:pPr>
            <w:r w:rsidRPr="001D41EA">
              <w:rPr>
                <w:rFonts w:cs="Arial"/>
                <w:b/>
                <w:sz w:val="18"/>
                <w:szCs w:val="18"/>
              </w:rPr>
              <w:t>1.000</w:t>
            </w:r>
          </w:p>
        </w:tc>
        <w:tc>
          <w:tcPr>
            <w:tcW w:w="1134" w:type="dxa"/>
            <w:tcBorders>
              <w:top w:val="single" w:sz="8" w:space="0" w:color="5F497A" w:themeColor="accent4" w:themeShade="BF"/>
              <w:left w:val="nil"/>
              <w:right w:val="nil"/>
            </w:tcBorders>
            <w:shd w:val="clear" w:color="auto" w:fill="auto"/>
            <w:vAlign w:val="center"/>
          </w:tcPr>
          <w:p w14:paraId="6A531810" w14:textId="7E6E1695" w:rsidR="009E2B93" w:rsidRPr="001D41EA" w:rsidRDefault="009E2B93" w:rsidP="001D41EA">
            <w:pPr>
              <w:spacing w:before="40" w:after="20"/>
              <w:jc w:val="center"/>
              <w:rPr>
                <w:rFonts w:cs="Arial"/>
                <w:b/>
                <w:sz w:val="18"/>
                <w:szCs w:val="18"/>
              </w:rPr>
            </w:pPr>
            <w:r w:rsidRPr="001D41EA">
              <w:rPr>
                <w:rFonts w:cs="Arial"/>
                <w:b/>
                <w:sz w:val="18"/>
                <w:szCs w:val="18"/>
              </w:rPr>
              <w:t>1.000</w:t>
            </w:r>
          </w:p>
        </w:tc>
      </w:tr>
    </w:tbl>
    <w:p w14:paraId="7D0D5FE7" w14:textId="77777777" w:rsidR="00A009D7" w:rsidRPr="00A44829" w:rsidRDefault="00A009D7" w:rsidP="00FF36E8">
      <w:pPr>
        <w:spacing w:before="40" w:after="20"/>
        <w:rPr>
          <w:rFonts w:cs="Arial"/>
          <w:sz w:val="18"/>
          <w:szCs w:val="18"/>
        </w:rPr>
      </w:pPr>
    </w:p>
    <w:p w14:paraId="71F67132" w14:textId="2905C53B" w:rsidR="00961975" w:rsidRPr="00A44829" w:rsidRDefault="00A009D7" w:rsidP="00FF36E8">
      <w:pPr>
        <w:spacing w:before="40" w:after="20"/>
        <w:rPr>
          <w:rFonts w:cs="Arial"/>
          <w:sz w:val="18"/>
          <w:szCs w:val="18"/>
        </w:rPr>
      </w:pPr>
      <w:r w:rsidRPr="005D19CF">
        <w:rPr>
          <w:rFonts w:cs="Arial"/>
          <w:i/>
          <w:sz w:val="16"/>
          <w:szCs w:val="16"/>
        </w:rPr>
        <w:t xml:space="preserve">* Modified Population - adjusted by </w:t>
      </w:r>
      <w:r w:rsidR="005D19CF">
        <w:rPr>
          <w:rFonts w:cs="Arial"/>
          <w:i/>
          <w:sz w:val="16"/>
          <w:szCs w:val="16"/>
        </w:rPr>
        <w:t>half</w:t>
      </w:r>
      <w:r w:rsidRPr="005D19CF">
        <w:rPr>
          <w:rFonts w:cs="Arial"/>
          <w:i/>
          <w:sz w:val="16"/>
          <w:szCs w:val="16"/>
        </w:rPr>
        <w:t xml:space="preserve"> vacancy rate to take account of part-time residents.</w:t>
      </w:r>
      <w:r w:rsidRPr="00A44829">
        <w:rPr>
          <w:rFonts w:cs="Arial"/>
          <w:i/>
          <w:sz w:val="16"/>
          <w:szCs w:val="16"/>
        </w:rPr>
        <w:t xml:space="preserve">  </w:t>
      </w:r>
    </w:p>
    <w:p w14:paraId="1B3F7430" w14:textId="77777777" w:rsidR="00566EA9" w:rsidRPr="00A44829" w:rsidRDefault="00566EA9">
      <w:pPr>
        <w:rPr>
          <w:rFonts w:cs="Arial"/>
          <w:bCs/>
          <w:color w:val="5F497A" w:themeColor="accent4" w:themeShade="BF"/>
          <w:sz w:val="4"/>
          <w:szCs w:val="4"/>
        </w:rPr>
      </w:pPr>
      <w:r w:rsidRPr="00A44829">
        <w:rPr>
          <w:rFonts w:cs="Arial"/>
        </w:rPr>
        <w:br w:type="page"/>
      </w:r>
    </w:p>
    <w:p w14:paraId="16617D22" w14:textId="5D32424F" w:rsidR="00961975" w:rsidRPr="00A44829" w:rsidRDefault="00CE4507" w:rsidP="00C33713">
      <w:pPr>
        <w:pStyle w:val="VGC-Head10"/>
      </w:pPr>
      <w:r w:rsidRPr="00A44829">
        <w:lastRenderedPageBreak/>
        <w:t>Appendix 4</w:t>
      </w:r>
      <w:r w:rsidR="004A3F14" w:rsidRPr="00A44829">
        <w:tab/>
      </w:r>
      <w:r w:rsidR="00EE4593" w:rsidRPr="00A44829">
        <w:t>2019-20</w:t>
      </w:r>
      <w:r w:rsidR="00A97ABE" w:rsidRPr="00A44829">
        <w:t xml:space="preserve"> </w:t>
      </w:r>
      <w:r w:rsidR="00961975" w:rsidRPr="00A44829">
        <w:t xml:space="preserve">General Purpose Grants </w:t>
      </w:r>
    </w:p>
    <w:p w14:paraId="350A3F78" w14:textId="1C9D0662" w:rsidR="00961975" w:rsidRPr="00A44829" w:rsidRDefault="00961975" w:rsidP="008C1A28">
      <w:pPr>
        <w:pStyle w:val="VGC-Head2"/>
      </w:pPr>
      <w:r w:rsidRPr="00A44829">
        <w:t xml:space="preserve">D.  Cost Adjustors - </w:t>
      </w:r>
      <w:r w:rsidR="002A2397">
        <w:t>Index</w:t>
      </w:r>
    </w:p>
    <w:p w14:paraId="6531A852" w14:textId="77777777" w:rsidR="008F0C49" w:rsidRPr="00A44829"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9E2B93" w:rsidRPr="00A44829" w14:paraId="1AA2322D" w14:textId="77777777" w:rsidTr="00A66703">
        <w:tc>
          <w:tcPr>
            <w:tcW w:w="2268" w:type="dxa"/>
            <w:tcBorders>
              <w:top w:val="nil"/>
              <w:left w:val="nil"/>
              <w:bottom w:val="nil"/>
              <w:right w:val="single" w:sz="18" w:space="0" w:color="5F497A" w:themeColor="accent4" w:themeShade="BF"/>
            </w:tcBorders>
            <w:shd w:val="clear" w:color="auto" w:fill="auto"/>
            <w:vAlign w:val="bottom"/>
          </w:tcPr>
          <w:p w14:paraId="3D1347CD" w14:textId="77777777" w:rsidR="009E2B93" w:rsidRPr="00A44829" w:rsidRDefault="009E2B93" w:rsidP="00576338">
            <w:pPr>
              <w:spacing w:before="40" w:after="20"/>
              <w:ind w:right="105"/>
              <w:jc w:val="right"/>
              <w:rPr>
                <w:rFonts w:cs="Arial"/>
                <w:b/>
                <w:sz w:val="18"/>
                <w:szCs w:val="18"/>
              </w:rPr>
            </w:pPr>
            <w:r w:rsidRPr="00A44829">
              <w:rPr>
                <w:rFonts w:cs="Arial"/>
                <w:b/>
                <w:sz w:val="18"/>
                <w:szCs w:val="18"/>
              </w:rPr>
              <w:t>Cost Adjustor</w:t>
            </w:r>
          </w:p>
        </w:tc>
        <w:tc>
          <w:tcPr>
            <w:tcW w:w="6804" w:type="dxa"/>
            <w:gridSpan w:val="6"/>
            <w:tcBorders>
              <w:top w:val="nil"/>
              <w:left w:val="single" w:sz="18" w:space="0" w:color="5F497A" w:themeColor="accent4" w:themeShade="BF"/>
              <w:bottom w:val="single" w:sz="8" w:space="0" w:color="5F497A" w:themeColor="accent4" w:themeShade="BF"/>
            </w:tcBorders>
            <w:shd w:val="clear" w:color="auto" w:fill="auto"/>
            <w:vAlign w:val="bottom"/>
          </w:tcPr>
          <w:p w14:paraId="27B66089" w14:textId="0C242D10" w:rsidR="009E2B93" w:rsidRPr="00A44829" w:rsidRDefault="009E2B93" w:rsidP="008001AD">
            <w:pPr>
              <w:spacing w:before="40" w:after="20"/>
              <w:jc w:val="center"/>
              <w:rPr>
                <w:rFonts w:cs="Arial"/>
                <w:b/>
                <w:sz w:val="18"/>
                <w:szCs w:val="18"/>
              </w:rPr>
            </w:pPr>
            <w:r w:rsidRPr="00A44829">
              <w:rPr>
                <w:rFonts w:cs="Arial"/>
                <w:b/>
                <w:sz w:val="18"/>
                <w:szCs w:val="18"/>
              </w:rPr>
              <w:t>Population Dispersion</w:t>
            </w:r>
          </w:p>
        </w:tc>
      </w:tr>
      <w:tr w:rsidR="009E2B93" w:rsidRPr="00A44829" w14:paraId="7EE18D0A" w14:textId="77777777" w:rsidTr="009E2B93">
        <w:tc>
          <w:tcPr>
            <w:tcW w:w="2268" w:type="dxa"/>
            <w:tcBorders>
              <w:top w:val="nil"/>
              <w:left w:val="nil"/>
              <w:bottom w:val="nil"/>
              <w:right w:val="single" w:sz="18" w:space="0" w:color="5F497A" w:themeColor="accent4" w:themeShade="BF"/>
            </w:tcBorders>
            <w:shd w:val="clear" w:color="auto" w:fill="auto"/>
            <w:vAlign w:val="bottom"/>
          </w:tcPr>
          <w:p w14:paraId="5B6BA9FC" w14:textId="77777777" w:rsidR="009E2B93" w:rsidRPr="005D19CF" w:rsidRDefault="009E2B93" w:rsidP="00576338">
            <w:pPr>
              <w:spacing w:before="40" w:after="20"/>
              <w:ind w:right="105"/>
              <w:jc w:val="right"/>
              <w:rPr>
                <w:rFonts w:cs="Arial"/>
                <w:b/>
                <w:sz w:val="16"/>
                <w:szCs w:val="16"/>
              </w:rPr>
            </w:pPr>
            <w:r w:rsidRPr="005D19CF">
              <w:rPr>
                <w:rFonts w:cs="Arial"/>
                <w:b/>
                <w:sz w:val="16"/>
                <w:szCs w:val="16"/>
              </w:rPr>
              <w:t>Major Cost Driver</w:t>
            </w: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4C6506E2" w14:textId="77777777" w:rsidR="009E2B93" w:rsidRPr="005D19CF" w:rsidRDefault="009E2B93" w:rsidP="008001AD">
            <w:pPr>
              <w:spacing w:before="40" w:after="20"/>
              <w:jc w:val="center"/>
              <w:rPr>
                <w:rFonts w:cs="Arial"/>
                <w:sz w:val="16"/>
                <w:szCs w:val="16"/>
              </w:rPr>
            </w:pPr>
            <w:r w:rsidRPr="005D19CF">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AC5D9E0" w14:textId="2102208C" w:rsidR="009E2B93" w:rsidRPr="005D19CF" w:rsidRDefault="009E2B93" w:rsidP="005D04BF">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15,000)</w:t>
            </w: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7344550B" w14:textId="56BC39A4" w:rsidR="009E2B93" w:rsidRPr="005D19CF" w:rsidRDefault="009E2B93" w:rsidP="005D04BF">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20,000)</w:t>
            </w:r>
          </w:p>
        </w:tc>
        <w:tc>
          <w:tcPr>
            <w:tcW w:w="1134" w:type="dxa"/>
            <w:tcBorders>
              <w:top w:val="single" w:sz="8" w:space="0" w:color="5F497A" w:themeColor="accent4" w:themeShade="BF"/>
              <w:left w:val="nil"/>
              <w:bottom w:val="single" w:sz="8" w:space="0" w:color="5F497A" w:themeColor="accent4" w:themeShade="BF"/>
              <w:right w:val="nil"/>
            </w:tcBorders>
          </w:tcPr>
          <w:p w14:paraId="0BCFDA18" w14:textId="1F2C119F" w:rsidR="009E2B93" w:rsidRPr="005D19CF" w:rsidRDefault="009E2B93" w:rsidP="008001AD">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(no min)</w:t>
            </w: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1F7F6BB4" w14:textId="278DF3D4" w:rsidR="009E2B93" w:rsidRPr="005D19CF" w:rsidRDefault="009E2B93" w:rsidP="008001AD">
            <w:pPr>
              <w:spacing w:before="40" w:after="20"/>
              <w:jc w:val="center"/>
              <w:rPr>
                <w:rFonts w:cs="Arial"/>
                <w:sz w:val="16"/>
                <w:szCs w:val="16"/>
              </w:rPr>
            </w:pPr>
            <w:r w:rsidRPr="005D19CF">
              <w:rPr>
                <w:rFonts w:cs="Arial"/>
                <w:sz w:val="16"/>
                <w:szCs w:val="16"/>
              </w:rPr>
              <w:t xml:space="preserve">Population </w:t>
            </w:r>
            <w:r w:rsidRPr="005D19CF">
              <w:rPr>
                <w:rFonts w:cs="Arial"/>
                <w:sz w:val="16"/>
                <w:szCs w:val="16"/>
              </w:rPr>
              <w:br/>
              <w:t>&gt; 60 years</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765390A9" w14:textId="77777777" w:rsidR="009E2B93" w:rsidRPr="00A44829" w:rsidRDefault="009E2B93" w:rsidP="008001AD">
            <w:pPr>
              <w:spacing w:before="40" w:after="20"/>
              <w:jc w:val="center"/>
              <w:rPr>
                <w:rFonts w:cs="Arial"/>
                <w:sz w:val="16"/>
                <w:szCs w:val="16"/>
              </w:rPr>
            </w:pPr>
            <w:r w:rsidRPr="005D19CF">
              <w:rPr>
                <w:rFonts w:cs="Arial"/>
                <w:sz w:val="16"/>
                <w:szCs w:val="16"/>
              </w:rPr>
              <w:t xml:space="preserve">No. of </w:t>
            </w:r>
            <w:r w:rsidRPr="005D19CF">
              <w:rPr>
                <w:rFonts w:cs="Arial"/>
                <w:sz w:val="16"/>
                <w:szCs w:val="16"/>
              </w:rPr>
              <w:br/>
              <w:t>Dwellings</w:t>
            </w:r>
          </w:p>
        </w:tc>
      </w:tr>
      <w:tr w:rsidR="00566EA9" w:rsidRPr="001D41EA" w14:paraId="3528E1B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DECBD55" w14:textId="77777777" w:rsidR="00566EA9" w:rsidRPr="001D41EA" w:rsidRDefault="00566EA9" w:rsidP="001D41EA">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6E2833BA" w14:textId="5E45D657"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17555C36" w14:textId="77777777" w:rsidR="00566EA9" w:rsidRPr="001D41EA" w:rsidRDefault="00566EA9" w:rsidP="001D41EA">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40BF3DFD" w14:textId="77777777" w:rsidR="00566EA9" w:rsidRPr="001D41EA" w:rsidRDefault="00566EA9" w:rsidP="001D41EA">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3CF8C3FD" w14:textId="77777777" w:rsidR="00566EA9" w:rsidRPr="001D41EA" w:rsidRDefault="00566EA9" w:rsidP="001D41EA">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03B9D97F" w14:textId="3FEE8889" w:rsidR="00566EA9" w:rsidRPr="001D41EA" w:rsidRDefault="00566EA9" w:rsidP="001D41EA">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0BD994A9" w14:textId="09AB5CD9" w:rsidR="00566EA9" w:rsidRPr="001D41EA" w:rsidRDefault="00566EA9" w:rsidP="001D41EA">
            <w:pPr>
              <w:spacing w:before="40" w:after="20"/>
              <w:jc w:val="center"/>
              <w:rPr>
                <w:rFonts w:cs="Arial"/>
                <w:sz w:val="18"/>
                <w:szCs w:val="18"/>
              </w:rPr>
            </w:pPr>
            <w:r w:rsidRPr="001D41EA">
              <w:rPr>
                <w:rFonts w:cs="Arial"/>
                <w:sz w:val="18"/>
                <w:szCs w:val="18"/>
              </w:rPr>
              <w:t> </w:t>
            </w:r>
          </w:p>
        </w:tc>
      </w:tr>
      <w:tr w:rsidR="00566EA9" w:rsidRPr="001D41EA" w14:paraId="6E5256F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C68573C" w14:textId="77777777" w:rsidR="00566EA9" w:rsidRPr="001D41EA" w:rsidRDefault="00566EA9" w:rsidP="001D41EA">
            <w:pPr>
              <w:spacing w:before="40" w:after="20"/>
              <w:rPr>
                <w:rFonts w:cs="Arial"/>
                <w:sz w:val="18"/>
                <w:szCs w:val="18"/>
              </w:rPr>
            </w:pPr>
            <w:r w:rsidRPr="001D41EA">
              <w:rPr>
                <w:rFonts w:cs="Arial"/>
                <w:sz w:val="18"/>
                <w:szCs w:val="18"/>
              </w:rPr>
              <w:t>Macedon Ranges S</w:t>
            </w:r>
          </w:p>
        </w:tc>
        <w:tc>
          <w:tcPr>
            <w:tcW w:w="1134" w:type="dxa"/>
            <w:tcBorders>
              <w:top w:val="nil"/>
              <w:left w:val="single" w:sz="18" w:space="0" w:color="5F497A" w:themeColor="accent4" w:themeShade="BF"/>
              <w:bottom w:val="nil"/>
              <w:right w:val="nil"/>
            </w:tcBorders>
            <w:shd w:val="clear" w:color="auto" w:fill="auto"/>
            <w:vAlign w:val="bottom"/>
          </w:tcPr>
          <w:p w14:paraId="49E7A19E" w14:textId="0E15A343" w:rsidR="00566EA9" w:rsidRPr="001D41EA" w:rsidRDefault="00566EA9" w:rsidP="001D41EA">
            <w:pPr>
              <w:spacing w:before="40" w:after="20"/>
              <w:jc w:val="center"/>
              <w:rPr>
                <w:rFonts w:cs="Arial"/>
                <w:sz w:val="18"/>
                <w:szCs w:val="18"/>
              </w:rPr>
            </w:pPr>
            <w:r w:rsidRPr="001D41EA">
              <w:rPr>
                <w:rFonts w:cs="Arial"/>
                <w:sz w:val="18"/>
                <w:szCs w:val="18"/>
              </w:rPr>
              <w:t>1.437</w:t>
            </w:r>
          </w:p>
        </w:tc>
        <w:tc>
          <w:tcPr>
            <w:tcW w:w="1134" w:type="dxa"/>
            <w:tcBorders>
              <w:top w:val="nil"/>
              <w:left w:val="nil"/>
              <w:bottom w:val="nil"/>
              <w:right w:val="nil"/>
            </w:tcBorders>
            <w:shd w:val="clear" w:color="auto" w:fill="auto"/>
            <w:vAlign w:val="bottom"/>
          </w:tcPr>
          <w:p w14:paraId="562FF7F3" w14:textId="6F24FE2E" w:rsidR="00566EA9" w:rsidRPr="001D41EA" w:rsidRDefault="00566EA9" w:rsidP="001D41EA">
            <w:pPr>
              <w:spacing w:before="40" w:after="20"/>
              <w:jc w:val="center"/>
              <w:rPr>
                <w:rFonts w:cs="Arial"/>
                <w:sz w:val="18"/>
                <w:szCs w:val="18"/>
              </w:rPr>
            </w:pPr>
            <w:r w:rsidRPr="001D41EA">
              <w:rPr>
                <w:rFonts w:cs="Arial"/>
                <w:sz w:val="18"/>
                <w:szCs w:val="18"/>
              </w:rPr>
              <w:t>1.425</w:t>
            </w:r>
          </w:p>
        </w:tc>
        <w:tc>
          <w:tcPr>
            <w:tcW w:w="1134" w:type="dxa"/>
            <w:tcBorders>
              <w:top w:val="nil"/>
              <w:left w:val="nil"/>
              <w:bottom w:val="nil"/>
              <w:right w:val="nil"/>
            </w:tcBorders>
            <w:vAlign w:val="bottom"/>
          </w:tcPr>
          <w:p w14:paraId="0947FF0C" w14:textId="7938176E" w:rsidR="00566EA9" w:rsidRPr="001D41EA" w:rsidRDefault="00566EA9" w:rsidP="001D41EA">
            <w:pPr>
              <w:spacing w:before="40" w:after="20"/>
              <w:jc w:val="center"/>
              <w:rPr>
                <w:rFonts w:cs="Arial"/>
                <w:sz w:val="18"/>
                <w:szCs w:val="18"/>
              </w:rPr>
            </w:pPr>
            <w:r w:rsidRPr="001D41EA">
              <w:rPr>
                <w:rFonts w:cs="Arial"/>
                <w:sz w:val="18"/>
                <w:szCs w:val="18"/>
              </w:rPr>
              <w:t>1.417</w:t>
            </w:r>
          </w:p>
        </w:tc>
        <w:tc>
          <w:tcPr>
            <w:tcW w:w="1134" w:type="dxa"/>
            <w:tcBorders>
              <w:top w:val="nil"/>
              <w:left w:val="nil"/>
              <w:bottom w:val="nil"/>
              <w:right w:val="nil"/>
            </w:tcBorders>
            <w:vAlign w:val="bottom"/>
          </w:tcPr>
          <w:p w14:paraId="0AC5FE90" w14:textId="77E7C660" w:rsidR="00566EA9" w:rsidRPr="001D41EA" w:rsidRDefault="00566EA9" w:rsidP="001D41EA">
            <w:pPr>
              <w:spacing w:before="40" w:after="20"/>
              <w:jc w:val="center"/>
              <w:rPr>
                <w:rFonts w:cs="Arial"/>
                <w:sz w:val="18"/>
                <w:szCs w:val="18"/>
              </w:rPr>
            </w:pPr>
            <w:r w:rsidRPr="001D41EA">
              <w:rPr>
                <w:rFonts w:cs="Arial"/>
                <w:sz w:val="18"/>
                <w:szCs w:val="18"/>
              </w:rPr>
              <w:t>1.434</w:t>
            </w:r>
          </w:p>
        </w:tc>
        <w:tc>
          <w:tcPr>
            <w:tcW w:w="1134" w:type="dxa"/>
            <w:tcBorders>
              <w:top w:val="nil"/>
              <w:left w:val="nil"/>
              <w:bottom w:val="nil"/>
              <w:right w:val="nil"/>
            </w:tcBorders>
            <w:vAlign w:val="bottom"/>
          </w:tcPr>
          <w:p w14:paraId="2A1013B4" w14:textId="11B254FA" w:rsidR="00566EA9" w:rsidRPr="001D41EA" w:rsidRDefault="00566EA9" w:rsidP="001D41EA">
            <w:pPr>
              <w:spacing w:before="40" w:after="20"/>
              <w:jc w:val="center"/>
              <w:rPr>
                <w:rFonts w:cs="Arial"/>
                <w:sz w:val="18"/>
                <w:szCs w:val="18"/>
              </w:rPr>
            </w:pPr>
            <w:r w:rsidRPr="001D41EA">
              <w:rPr>
                <w:rFonts w:cs="Arial"/>
                <w:sz w:val="18"/>
                <w:szCs w:val="18"/>
              </w:rPr>
              <w:t>1.400</w:t>
            </w:r>
          </w:p>
        </w:tc>
        <w:tc>
          <w:tcPr>
            <w:tcW w:w="1134" w:type="dxa"/>
            <w:tcBorders>
              <w:top w:val="nil"/>
              <w:left w:val="nil"/>
              <w:bottom w:val="nil"/>
              <w:right w:val="nil"/>
            </w:tcBorders>
            <w:shd w:val="clear" w:color="auto" w:fill="auto"/>
            <w:vAlign w:val="bottom"/>
          </w:tcPr>
          <w:p w14:paraId="45D0978A" w14:textId="0172B74B" w:rsidR="00566EA9" w:rsidRPr="001D41EA" w:rsidRDefault="00566EA9" w:rsidP="001D41EA">
            <w:pPr>
              <w:spacing w:before="40" w:after="20"/>
              <w:jc w:val="center"/>
              <w:rPr>
                <w:rFonts w:cs="Arial"/>
                <w:sz w:val="18"/>
                <w:szCs w:val="18"/>
              </w:rPr>
            </w:pPr>
            <w:r w:rsidRPr="001D41EA">
              <w:rPr>
                <w:rFonts w:cs="Arial"/>
                <w:sz w:val="18"/>
                <w:szCs w:val="18"/>
              </w:rPr>
              <w:t>1.420</w:t>
            </w:r>
          </w:p>
        </w:tc>
      </w:tr>
      <w:tr w:rsidR="00566EA9" w:rsidRPr="001D41EA" w14:paraId="57BD94F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7DFD0D2" w14:textId="77777777" w:rsidR="00566EA9" w:rsidRPr="001D41EA" w:rsidRDefault="00566EA9" w:rsidP="001D41EA">
            <w:pPr>
              <w:spacing w:before="40" w:after="20"/>
              <w:rPr>
                <w:rFonts w:cs="Arial"/>
                <w:sz w:val="18"/>
                <w:szCs w:val="18"/>
              </w:rPr>
            </w:pPr>
            <w:r w:rsidRPr="001D41EA">
              <w:rPr>
                <w:rFonts w:cs="Arial"/>
                <w:sz w:val="18"/>
                <w:szCs w:val="18"/>
              </w:rPr>
              <w:t>Manningham C</w:t>
            </w:r>
          </w:p>
        </w:tc>
        <w:tc>
          <w:tcPr>
            <w:tcW w:w="1134" w:type="dxa"/>
            <w:tcBorders>
              <w:top w:val="nil"/>
              <w:left w:val="single" w:sz="18" w:space="0" w:color="5F497A" w:themeColor="accent4" w:themeShade="BF"/>
              <w:bottom w:val="nil"/>
              <w:right w:val="nil"/>
            </w:tcBorders>
            <w:shd w:val="clear" w:color="auto" w:fill="auto"/>
            <w:vAlign w:val="bottom"/>
          </w:tcPr>
          <w:p w14:paraId="105AE906" w14:textId="28EE5BC4" w:rsidR="00566EA9" w:rsidRPr="001D41EA" w:rsidRDefault="00566EA9" w:rsidP="001D41EA">
            <w:pPr>
              <w:spacing w:before="40" w:after="20"/>
              <w:jc w:val="center"/>
              <w:rPr>
                <w:rFonts w:cs="Arial"/>
                <w:sz w:val="18"/>
                <w:szCs w:val="18"/>
              </w:rPr>
            </w:pPr>
            <w:r w:rsidRPr="001D41EA">
              <w:rPr>
                <w:rFonts w:cs="Arial"/>
                <w:sz w:val="18"/>
                <w:szCs w:val="18"/>
              </w:rPr>
              <w:t>0.903</w:t>
            </w:r>
          </w:p>
        </w:tc>
        <w:tc>
          <w:tcPr>
            <w:tcW w:w="1134" w:type="dxa"/>
            <w:tcBorders>
              <w:top w:val="nil"/>
              <w:left w:val="nil"/>
              <w:bottom w:val="nil"/>
              <w:right w:val="nil"/>
            </w:tcBorders>
            <w:shd w:val="clear" w:color="auto" w:fill="auto"/>
            <w:vAlign w:val="bottom"/>
          </w:tcPr>
          <w:p w14:paraId="0AAA51C4" w14:textId="5B43256D" w:rsidR="00566EA9" w:rsidRPr="001D41EA" w:rsidRDefault="00566EA9" w:rsidP="001D41EA">
            <w:pPr>
              <w:spacing w:before="40" w:after="20"/>
              <w:jc w:val="center"/>
              <w:rPr>
                <w:rFonts w:cs="Arial"/>
                <w:sz w:val="18"/>
                <w:szCs w:val="18"/>
              </w:rPr>
            </w:pPr>
            <w:r w:rsidRPr="001D41EA">
              <w:rPr>
                <w:rFonts w:cs="Arial"/>
                <w:sz w:val="18"/>
                <w:szCs w:val="18"/>
              </w:rPr>
              <w:t>0.895</w:t>
            </w:r>
          </w:p>
        </w:tc>
        <w:tc>
          <w:tcPr>
            <w:tcW w:w="1134" w:type="dxa"/>
            <w:tcBorders>
              <w:top w:val="nil"/>
              <w:left w:val="nil"/>
              <w:bottom w:val="nil"/>
              <w:right w:val="nil"/>
            </w:tcBorders>
            <w:vAlign w:val="bottom"/>
          </w:tcPr>
          <w:p w14:paraId="430F83BA" w14:textId="39FFA6EB" w:rsidR="00566EA9" w:rsidRPr="001D41EA" w:rsidRDefault="00566EA9" w:rsidP="001D41EA">
            <w:pPr>
              <w:spacing w:before="40" w:after="20"/>
              <w:jc w:val="center"/>
              <w:rPr>
                <w:rFonts w:cs="Arial"/>
                <w:sz w:val="18"/>
                <w:szCs w:val="18"/>
              </w:rPr>
            </w:pPr>
            <w:r w:rsidRPr="001D41EA">
              <w:rPr>
                <w:rFonts w:cs="Arial"/>
                <w:sz w:val="18"/>
                <w:szCs w:val="18"/>
              </w:rPr>
              <w:t>0.891</w:t>
            </w:r>
          </w:p>
        </w:tc>
        <w:tc>
          <w:tcPr>
            <w:tcW w:w="1134" w:type="dxa"/>
            <w:tcBorders>
              <w:top w:val="nil"/>
              <w:left w:val="nil"/>
              <w:bottom w:val="nil"/>
              <w:right w:val="nil"/>
            </w:tcBorders>
            <w:vAlign w:val="bottom"/>
          </w:tcPr>
          <w:p w14:paraId="30EF9262" w14:textId="1FB35F23" w:rsidR="00566EA9" w:rsidRPr="001D41EA" w:rsidRDefault="00566EA9" w:rsidP="001D41EA">
            <w:pPr>
              <w:spacing w:before="40" w:after="20"/>
              <w:jc w:val="center"/>
              <w:rPr>
                <w:rFonts w:cs="Arial"/>
                <w:sz w:val="18"/>
                <w:szCs w:val="18"/>
              </w:rPr>
            </w:pPr>
            <w:r w:rsidRPr="001D41EA">
              <w:rPr>
                <w:rFonts w:cs="Arial"/>
                <w:sz w:val="18"/>
                <w:szCs w:val="18"/>
              </w:rPr>
              <w:t>0.901</w:t>
            </w:r>
          </w:p>
        </w:tc>
        <w:tc>
          <w:tcPr>
            <w:tcW w:w="1134" w:type="dxa"/>
            <w:tcBorders>
              <w:top w:val="nil"/>
              <w:left w:val="nil"/>
              <w:bottom w:val="nil"/>
              <w:right w:val="nil"/>
            </w:tcBorders>
            <w:vAlign w:val="bottom"/>
          </w:tcPr>
          <w:p w14:paraId="453D40E6" w14:textId="3F558C6B" w:rsidR="00566EA9" w:rsidRPr="001D41EA" w:rsidRDefault="00566EA9" w:rsidP="001D41EA">
            <w:pPr>
              <w:spacing w:before="40" w:after="20"/>
              <w:jc w:val="center"/>
              <w:rPr>
                <w:rFonts w:cs="Arial"/>
                <w:sz w:val="18"/>
                <w:szCs w:val="18"/>
              </w:rPr>
            </w:pPr>
            <w:r w:rsidRPr="001D41EA">
              <w:rPr>
                <w:rFonts w:cs="Arial"/>
                <w:sz w:val="18"/>
                <w:szCs w:val="18"/>
              </w:rPr>
              <w:t>0.880</w:t>
            </w:r>
          </w:p>
        </w:tc>
        <w:tc>
          <w:tcPr>
            <w:tcW w:w="1134" w:type="dxa"/>
            <w:tcBorders>
              <w:top w:val="nil"/>
              <w:left w:val="nil"/>
              <w:bottom w:val="nil"/>
              <w:right w:val="nil"/>
            </w:tcBorders>
            <w:shd w:val="clear" w:color="auto" w:fill="auto"/>
            <w:vAlign w:val="bottom"/>
          </w:tcPr>
          <w:p w14:paraId="59EF9896" w14:textId="4FF8C262" w:rsidR="00566EA9" w:rsidRPr="001D41EA" w:rsidRDefault="00566EA9" w:rsidP="001D41EA">
            <w:pPr>
              <w:spacing w:before="40" w:after="20"/>
              <w:jc w:val="center"/>
              <w:rPr>
                <w:rFonts w:cs="Arial"/>
                <w:sz w:val="18"/>
                <w:szCs w:val="18"/>
              </w:rPr>
            </w:pPr>
            <w:r w:rsidRPr="001D41EA">
              <w:rPr>
                <w:rFonts w:cs="Arial"/>
                <w:sz w:val="18"/>
                <w:szCs w:val="18"/>
              </w:rPr>
              <w:t>0.892</w:t>
            </w:r>
          </w:p>
        </w:tc>
      </w:tr>
      <w:tr w:rsidR="00566EA9" w:rsidRPr="001D41EA" w14:paraId="0A55998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F07FBAE" w14:textId="77777777" w:rsidR="00566EA9" w:rsidRPr="001D41EA" w:rsidRDefault="00566EA9" w:rsidP="001D41EA">
            <w:pPr>
              <w:spacing w:before="40" w:after="20"/>
              <w:rPr>
                <w:rFonts w:cs="Arial"/>
                <w:sz w:val="18"/>
                <w:szCs w:val="18"/>
              </w:rPr>
            </w:pPr>
            <w:r w:rsidRPr="001D41EA">
              <w:rPr>
                <w:rFonts w:cs="Arial"/>
                <w:sz w:val="18"/>
                <w:szCs w:val="18"/>
              </w:rPr>
              <w:t>Mansfield S</w:t>
            </w:r>
          </w:p>
        </w:tc>
        <w:tc>
          <w:tcPr>
            <w:tcW w:w="1134" w:type="dxa"/>
            <w:tcBorders>
              <w:top w:val="nil"/>
              <w:left w:val="single" w:sz="18" w:space="0" w:color="5F497A" w:themeColor="accent4" w:themeShade="BF"/>
              <w:bottom w:val="nil"/>
              <w:right w:val="nil"/>
            </w:tcBorders>
            <w:shd w:val="clear" w:color="auto" w:fill="auto"/>
            <w:vAlign w:val="bottom"/>
          </w:tcPr>
          <w:p w14:paraId="104F0E0B" w14:textId="1545F774" w:rsidR="00566EA9" w:rsidRPr="001D41EA" w:rsidRDefault="00566EA9" w:rsidP="001D41EA">
            <w:pPr>
              <w:spacing w:before="40" w:after="20"/>
              <w:jc w:val="center"/>
              <w:rPr>
                <w:rFonts w:cs="Arial"/>
                <w:sz w:val="18"/>
                <w:szCs w:val="18"/>
              </w:rPr>
            </w:pPr>
            <w:r w:rsidRPr="001D41EA">
              <w:rPr>
                <w:rFonts w:cs="Arial"/>
                <w:sz w:val="18"/>
                <w:szCs w:val="18"/>
              </w:rPr>
              <w:t>1.202</w:t>
            </w:r>
          </w:p>
        </w:tc>
        <w:tc>
          <w:tcPr>
            <w:tcW w:w="1134" w:type="dxa"/>
            <w:tcBorders>
              <w:top w:val="nil"/>
              <w:left w:val="nil"/>
              <w:bottom w:val="nil"/>
              <w:right w:val="nil"/>
            </w:tcBorders>
            <w:shd w:val="clear" w:color="auto" w:fill="auto"/>
            <w:vAlign w:val="bottom"/>
          </w:tcPr>
          <w:p w14:paraId="43DA6894" w14:textId="3832EC6A" w:rsidR="00566EA9" w:rsidRPr="001D41EA" w:rsidRDefault="00566EA9" w:rsidP="001D41EA">
            <w:pPr>
              <w:spacing w:before="40" w:after="20"/>
              <w:jc w:val="center"/>
              <w:rPr>
                <w:rFonts w:cs="Arial"/>
                <w:sz w:val="18"/>
                <w:szCs w:val="18"/>
              </w:rPr>
            </w:pPr>
            <w:r w:rsidRPr="001D41EA">
              <w:rPr>
                <w:rFonts w:cs="Arial"/>
                <w:sz w:val="18"/>
                <w:szCs w:val="18"/>
              </w:rPr>
              <w:t>1.192</w:t>
            </w:r>
          </w:p>
        </w:tc>
        <w:tc>
          <w:tcPr>
            <w:tcW w:w="1134" w:type="dxa"/>
            <w:tcBorders>
              <w:top w:val="nil"/>
              <w:left w:val="nil"/>
              <w:bottom w:val="nil"/>
              <w:right w:val="nil"/>
            </w:tcBorders>
            <w:vAlign w:val="bottom"/>
          </w:tcPr>
          <w:p w14:paraId="2CEAD287" w14:textId="14A47F18" w:rsidR="00566EA9" w:rsidRPr="001D41EA" w:rsidRDefault="00566EA9" w:rsidP="001D41EA">
            <w:pPr>
              <w:spacing w:before="40" w:after="20"/>
              <w:jc w:val="center"/>
              <w:rPr>
                <w:rFonts w:cs="Arial"/>
                <w:sz w:val="18"/>
                <w:szCs w:val="18"/>
              </w:rPr>
            </w:pPr>
            <w:r w:rsidRPr="001D41EA">
              <w:rPr>
                <w:rFonts w:cs="Arial"/>
                <w:sz w:val="18"/>
                <w:szCs w:val="18"/>
              </w:rPr>
              <w:t>1.185</w:t>
            </w:r>
          </w:p>
        </w:tc>
        <w:tc>
          <w:tcPr>
            <w:tcW w:w="1134" w:type="dxa"/>
            <w:tcBorders>
              <w:top w:val="nil"/>
              <w:left w:val="nil"/>
              <w:bottom w:val="nil"/>
              <w:right w:val="nil"/>
            </w:tcBorders>
            <w:vAlign w:val="bottom"/>
          </w:tcPr>
          <w:p w14:paraId="42E52CE5" w14:textId="05AC745E" w:rsidR="00566EA9" w:rsidRPr="001D41EA" w:rsidRDefault="00566EA9" w:rsidP="001D41EA">
            <w:pPr>
              <w:spacing w:before="40" w:after="20"/>
              <w:jc w:val="center"/>
              <w:rPr>
                <w:rFonts w:cs="Arial"/>
                <w:sz w:val="18"/>
                <w:szCs w:val="18"/>
              </w:rPr>
            </w:pPr>
            <w:r w:rsidRPr="001D41EA">
              <w:rPr>
                <w:rFonts w:cs="Arial"/>
                <w:sz w:val="18"/>
                <w:szCs w:val="18"/>
              </w:rPr>
              <w:t>1.199</w:t>
            </w:r>
          </w:p>
        </w:tc>
        <w:tc>
          <w:tcPr>
            <w:tcW w:w="1134" w:type="dxa"/>
            <w:tcBorders>
              <w:top w:val="nil"/>
              <w:left w:val="nil"/>
              <w:bottom w:val="nil"/>
              <w:right w:val="nil"/>
            </w:tcBorders>
            <w:vAlign w:val="bottom"/>
          </w:tcPr>
          <w:p w14:paraId="479B59F0" w14:textId="43F8F9EA" w:rsidR="00566EA9" w:rsidRPr="001D41EA" w:rsidRDefault="00566EA9" w:rsidP="001D41EA">
            <w:pPr>
              <w:spacing w:before="40" w:after="20"/>
              <w:jc w:val="center"/>
              <w:rPr>
                <w:rFonts w:cs="Arial"/>
                <w:sz w:val="18"/>
                <w:szCs w:val="18"/>
              </w:rPr>
            </w:pPr>
            <w:r w:rsidRPr="001D41EA">
              <w:rPr>
                <w:rFonts w:cs="Arial"/>
                <w:sz w:val="18"/>
                <w:szCs w:val="18"/>
              </w:rPr>
              <w:t>1.171</w:t>
            </w:r>
          </w:p>
        </w:tc>
        <w:tc>
          <w:tcPr>
            <w:tcW w:w="1134" w:type="dxa"/>
            <w:tcBorders>
              <w:top w:val="nil"/>
              <w:left w:val="nil"/>
              <w:bottom w:val="nil"/>
              <w:right w:val="nil"/>
            </w:tcBorders>
            <w:shd w:val="clear" w:color="auto" w:fill="auto"/>
            <w:vAlign w:val="bottom"/>
          </w:tcPr>
          <w:p w14:paraId="2DD61E4F" w14:textId="41984F96" w:rsidR="00566EA9" w:rsidRPr="001D41EA" w:rsidRDefault="00566EA9" w:rsidP="001D41EA">
            <w:pPr>
              <w:spacing w:before="40" w:after="20"/>
              <w:jc w:val="center"/>
              <w:rPr>
                <w:rFonts w:cs="Arial"/>
                <w:sz w:val="18"/>
                <w:szCs w:val="18"/>
              </w:rPr>
            </w:pPr>
            <w:r w:rsidRPr="001D41EA">
              <w:rPr>
                <w:rFonts w:cs="Arial"/>
                <w:sz w:val="18"/>
                <w:szCs w:val="18"/>
              </w:rPr>
              <w:t>1.188</w:t>
            </w:r>
          </w:p>
        </w:tc>
      </w:tr>
      <w:tr w:rsidR="00566EA9" w:rsidRPr="001D41EA" w14:paraId="24238BB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0EFF8A3" w14:textId="77777777" w:rsidR="00566EA9" w:rsidRPr="001D41EA" w:rsidRDefault="00566EA9" w:rsidP="001D41EA">
            <w:pPr>
              <w:spacing w:before="40" w:after="20"/>
              <w:rPr>
                <w:rFonts w:cs="Arial"/>
                <w:sz w:val="18"/>
                <w:szCs w:val="18"/>
              </w:rPr>
            </w:pPr>
            <w:r w:rsidRPr="001D41EA">
              <w:rPr>
                <w:rFonts w:cs="Arial"/>
                <w:sz w:val="18"/>
                <w:szCs w:val="18"/>
              </w:rPr>
              <w:t>Maribyrnong C</w:t>
            </w:r>
          </w:p>
        </w:tc>
        <w:tc>
          <w:tcPr>
            <w:tcW w:w="1134" w:type="dxa"/>
            <w:tcBorders>
              <w:top w:val="nil"/>
              <w:left w:val="single" w:sz="18" w:space="0" w:color="5F497A" w:themeColor="accent4" w:themeShade="BF"/>
              <w:bottom w:val="nil"/>
              <w:right w:val="nil"/>
            </w:tcBorders>
            <w:shd w:val="clear" w:color="auto" w:fill="auto"/>
            <w:vAlign w:val="bottom"/>
          </w:tcPr>
          <w:p w14:paraId="61222CDA" w14:textId="0B321592" w:rsidR="00566EA9" w:rsidRPr="001D41EA" w:rsidRDefault="00566EA9" w:rsidP="001D41EA">
            <w:pPr>
              <w:spacing w:before="40" w:after="2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771F8467" w14:textId="1B7240FB" w:rsidR="00566EA9" w:rsidRPr="001D41EA" w:rsidRDefault="00566EA9" w:rsidP="001D41EA">
            <w:pPr>
              <w:spacing w:before="40" w:after="2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0F276220" w14:textId="0933A6D7" w:rsidR="00566EA9" w:rsidRPr="001D41EA" w:rsidRDefault="00566EA9" w:rsidP="001D41EA">
            <w:pPr>
              <w:spacing w:before="40" w:after="2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08A79C71" w14:textId="1D944ECA" w:rsidR="00566EA9" w:rsidRPr="001D41EA" w:rsidRDefault="00566EA9" w:rsidP="001D41EA">
            <w:pPr>
              <w:spacing w:before="40" w:after="2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74EC1F18" w14:textId="5D9F5633" w:rsidR="00566EA9" w:rsidRPr="001D41EA" w:rsidRDefault="00566EA9" w:rsidP="001D41EA">
            <w:pPr>
              <w:spacing w:before="40" w:after="2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2171C1C6" w14:textId="44BAD2EB" w:rsidR="00566EA9" w:rsidRPr="001D41EA" w:rsidRDefault="00566EA9" w:rsidP="001D41EA">
            <w:pPr>
              <w:spacing w:before="40" w:after="20"/>
              <w:jc w:val="center"/>
              <w:rPr>
                <w:rFonts w:cs="Arial"/>
                <w:sz w:val="18"/>
                <w:szCs w:val="18"/>
              </w:rPr>
            </w:pPr>
            <w:r w:rsidRPr="001D41EA">
              <w:rPr>
                <w:rFonts w:cs="Arial"/>
                <w:sz w:val="18"/>
                <w:szCs w:val="18"/>
              </w:rPr>
              <w:t>0.885</w:t>
            </w:r>
          </w:p>
        </w:tc>
      </w:tr>
      <w:tr w:rsidR="00566EA9" w:rsidRPr="001D41EA" w14:paraId="653F747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2B2D913" w14:textId="77777777" w:rsidR="00566EA9" w:rsidRPr="001D41EA" w:rsidRDefault="00566EA9" w:rsidP="001D41EA">
            <w:pPr>
              <w:spacing w:before="40" w:after="20"/>
              <w:rPr>
                <w:rFonts w:cs="Arial"/>
                <w:sz w:val="18"/>
                <w:szCs w:val="18"/>
              </w:rPr>
            </w:pPr>
            <w:r w:rsidRPr="001D41EA">
              <w:rPr>
                <w:rFonts w:cs="Arial"/>
                <w:sz w:val="18"/>
                <w:szCs w:val="18"/>
              </w:rPr>
              <w:t>Maroondah C</w:t>
            </w:r>
          </w:p>
        </w:tc>
        <w:tc>
          <w:tcPr>
            <w:tcW w:w="1134" w:type="dxa"/>
            <w:tcBorders>
              <w:top w:val="nil"/>
              <w:left w:val="single" w:sz="18" w:space="0" w:color="5F497A" w:themeColor="accent4" w:themeShade="BF"/>
              <w:bottom w:val="nil"/>
              <w:right w:val="nil"/>
            </w:tcBorders>
            <w:shd w:val="clear" w:color="auto" w:fill="auto"/>
            <w:vAlign w:val="bottom"/>
          </w:tcPr>
          <w:p w14:paraId="223E643A" w14:textId="4E3A6CE5" w:rsidR="00566EA9" w:rsidRPr="001D41EA" w:rsidRDefault="00566EA9" w:rsidP="001D41EA">
            <w:pPr>
              <w:spacing w:before="40" w:after="2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4E97D2FF" w14:textId="327059C5" w:rsidR="00566EA9" w:rsidRPr="001D41EA" w:rsidRDefault="00566EA9" w:rsidP="001D41EA">
            <w:pPr>
              <w:spacing w:before="40" w:after="2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31866DE2" w14:textId="1B30A679" w:rsidR="00566EA9" w:rsidRPr="001D41EA" w:rsidRDefault="00566EA9" w:rsidP="001D41EA">
            <w:pPr>
              <w:spacing w:before="40" w:after="2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49405C82" w14:textId="346F2382" w:rsidR="00566EA9" w:rsidRPr="001D41EA" w:rsidRDefault="00566EA9" w:rsidP="001D41EA">
            <w:pPr>
              <w:spacing w:before="40" w:after="2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0D324A80" w14:textId="26B20ADE" w:rsidR="00566EA9" w:rsidRPr="001D41EA" w:rsidRDefault="00566EA9" w:rsidP="001D41EA">
            <w:pPr>
              <w:spacing w:before="40" w:after="2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5D60CA58" w14:textId="1757BBEB" w:rsidR="00566EA9" w:rsidRPr="001D41EA" w:rsidRDefault="00566EA9" w:rsidP="001D41EA">
            <w:pPr>
              <w:spacing w:before="40" w:after="20"/>
              <w:jc w:val="center"/>
              <w:rPr>
                <w:rFonts w:cs="Arial"/>
                <w:sz w:val="18"/>
                <w:szCs w:val="18"/>
              </w:rPr>
            </w:pPr>
            <w:r w:rsidRPr="001D41EA">
              <w:rPr>
                <w:rFonts w:cs="Arial"/>
                <w:sz w:val="18"/>
                <w:szCs w:val="18"/>
              </w:rPr>
              <w:t>0.885</w:t>
            </w:r>
          </w:p>
        </w:tc>
      </w:tr>
      <w:tr w:rsidR="00566EA9" w:rsidRPr="001D41EA" w14:paraId="3A49AB5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E6526DE" w14:textId="77777777" w:rsidR="00566EA9" w:rsidRPr="001D41EA" w:rsidRDefault="00566EA9" w:rsidP="001D41EA">
            <w:pPr>
              <w:spacing w:before="40" w:after="20"/>
              <w:rPr>
                <w:rFonts w:cs="Arial"/>
                <w:sz w:val="18"/>
                <w:szCs w:val="18"/>
              </w:rPr>
            </w:pPr>
            <w:r w:rsidRPr="001D41EA">
              <w:rPr>
                <w:rFonts w:cs="Arial"/>
                <w:sz w:val="18"/>
                <w:szCs w:val="18"/>
              </w:rPr>
              <w:t>Melbourne C</w:t>
            </w:r>
          </w:p>
        </w:tc>
        <w:tc>
          <w:tcPr>
            <w:tcW w:w="1134" w:type="dxa"/>
            <w:tcBorders>
              <w:top w:val="nil"/>
              <w:left w:val="single" w:sz="18" w:space="0" w:color="5F497A" w:themeColor="accent4" w:themeShade="BF"/>
              <w:bottom w:val="nil"/>
              <w:right w:val="nil"/>
            </w:tcBorders>
            <w:shd w:val="clear" w:color="auto" w:fill="auto"/>
            <w:vAlign w:val="bottom"/>
          </w:tcPr>
          <w:p w14:paraId="199100B9" w14:textId="1BD0F4F9" w:rsidR="00566EA9" w:rsidRPr="001D41EA" w:rsidRDefault="00566EA9" w:rsidP="001D41EA">
            <w:pPr>
              <w:spacing w:before="40" w:after="2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6AD56629" w14:textId="3A52BCB0" w:rsidR="00566EA9" w:rsidRPr="001D41EA" w:rsidRDefault="00566EA9" w:rsidP="001D41EA">
            <w:pPr>
              <w:spacing w:before="40" w:after="2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17BD3280" w14:textId="131D89AD" w:rsidR="00566EA9" w:rsidRPr="001D41EA" w:rsidRDefault="00566EA9" w:rsidP="001D41EA">
            <w:pPr>
              <w:spacing w:before="40" w:after="2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6CE945F8" w14:textId="6F376E3D" w:rsidR="00566EA9" w:rsidRPr="001D41EA" w:rsidRDefault="00566EA9" w:rsidP="001D41EA">
            <w:pPr>
              <w:spacing w:before="40" w:after="2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504718DD" w14:textId="3C8D036F" w:rsidR="00566EA9" w:rsidRPr="001D41EA" w:rsidRDefault="00566EA9" w:rsidP="001D41EA">
            <w:pPr>
              <w:spacing w:before="40" w:after="2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5291B13F" w14:textId="08C99B1C" w:rsidR="00566EA9" w:rsidRPr="001D41EA" w:rsidRDefault="00566EA9" w:rsidP="001D41EA">
            <w:pPr>
              <w:spacing w:before="40" w:after="20"/>
              <w:jc w:val="center"/>
              <w:rPr>
                <w:rFonts w:cs="Arial"/>
                <w:sz w:val="18"/>
                <w:szCs w:val="18"/>
              </w:rPr>
            </w:pPr>
            <w:r w:rsidRPr="001D41EA">
              <w:rPr>
                <w:rFonts w:cs="Arial"/>
                <w:sz w:val="18"/>
                <w:szCs w:val="18"/>
              </w:rPr>
              <w:t>0.885</w:t>
            </w:r>
          </w:p>
        </w:tc>
      </w:tr>
      <w:tr w:rsidR="00566EA9" w:rsidRPr="001D41EA" w14:paraId="50D6FF8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73FAA5C" w14:textId="77777777" w:rsidR="00566EA9" w:rsidRPr="001D41EA" w:rsidRDefault="00566EA9" w:rsidP="001D41EA">
            <w:pPr>
              <w:spacing w:before="40" w:after="20"/>
              <w:rPr>
                <w:rFonts w:cs="Arial"/>
                <w:sz w:val="18"/>
                <w:szCs w:val="18"/>
              </w:rPr>
            </w:pPr>
            <w:r w:rsidRPr="001D41EA">
              <w:rPr>
                <w:rFonts w:cs="Arial"/>
                <w:sz w:val="18"/>
                <w:szCs w:val="18"/>
              </w:rPr>
              <w:t>Melton C</w:t>
            </w:r>
          </w:p>
        </w:tc>
        <w:tc>
          <w:tcPr>
            <w:tcW w:w="1134" w:type="dxa"/>
            <w:tcBorders>
              <w:top w:val="nil"/>
              <w:left w:val="single" w:sz="18" w:space="0" w:color="5F497A" w:themeColor="accent4" w:themeShade="BF"/>
              <w:bottom w:val="nil"/>
              <w:right w:val="nil"/>
            </w:tcBorders>
            <w:shd w:val="clear" w:color="auto" w:fill="auto"/>
            <w:vAlign w:val="bottom"/>
          </w:tcPr>
          <w:p w14:paraId="20775F45" w14:textId="39503639" w:rsidR="00566EA9" w:rsidRPr="001D41EA" w:rsidRDefault="00566EA9" w:rsidP="001D41EA">
            <w:pPr>
              <w:spacing w:before="40" w:after="20"/>
              <w:jc w:val="center"/>
              <w:rPr>
                <w:rFonts w:cs="Arial"/>
                <w:sz w:val="18"/>
                <w:szCs w:val="18"/>
              </w:rPr>
            </w:pPr>
            <w:r w:rsidRPr="001D41EA">
              <w:rPr>
                <w:rFonts w:cs="Arial"/>
                <w:sz w:val="18"/>
                <w:szCs w:val="18"/>
              </w:rPr>
              <w:t>1.188</w:t>
            </w:r>
          </w:p>
        </w:tc>
        <w:tc>
          <w:tcPr>
            <w:tcW w:w="1134" w:type="dxa"/>
            <w:tcBorders>
              <w:top w:val="nil"/>
              <w:left w:val="nil"/>
              <w:bottom w:val="nil"/>
              <w:right w:val="nil"/>
            </w:tcBorders>
            <w:shd w:val="clear" w:color="auto" w:fill="auto"/>
            <w:vAlign w:val="bottom"/>
          </w:tcPr>
          <w:p w14:paraId="1E8E975C" w14:textId="553CF342" w:rsidR="00566EA9" w:rsidRPr="001D41EA" w:rsidRDefault="00566EA9" w:rsidP="001D41EA">
            <w:pPr>
              <w:spacing w:before="40" w:after="20"/>
              <w:jc w:val="center"/>
              <w:rPr>
                <w:rFonts w:cs="Arial"/>
                <w:sz w:val="18"/>
                <w:szCs w:val="18"/>
              </w:rPr>
            </w:pPr>
            <w:r w:rsidRPr="001D41EA">
              <w:rPr>
                <w:rFonts w:cs="Arial"/>
                <w:sz w:val="18"/>
                <w:szCs w:val="18"/>
              </w:rPr>
              <w:t>1.178</w:t>
            </w:r>
          </w:p>
        </w:tc>
        <w:tc>
          <w:tcPr>
            <w:tcW w:w="1134" w:type="dxa"/>
            <w:tcBorders>
              <w:top w:val="nil"/>
              <w:left w:val="nil"/>
              <w:bottom w:val="nil"/>
              <w:right w:val="nil"/>
            </w:tcBorders>
            <w:vAlign w:val="bottom"/>
          </w:tcPr>
          <w:p w14:paraId="5F516E3A" w14:textId="1E4D20EB" w:rsidR="00566EA9" w:rsidRPr="001D41EA" w:rsidRDefault="00566EA9" w:rsidP="001D41EA">
            <w:pPr>
              <w:spacing w:before="40" w:after="20"/>
              <w:jc w:val="center"/>
              <w:rPr>
                <w:rFonts w:cs="Arial"/>
                <w:sz w:val="18"/>
                <w:szCs w:val="18"/>
              </w:rPr>
            </w:pPr>
            <w:r w:rsidRPr="001D41EA">
              <w:rPr>
                <w:rFonts w:cs="Arial"/>
                <w:sz w:val="18"/>
                <w:szCs w:val="18"/>
              </w:rPr>
              <w:t>1.171</w:t>
            </w:r>
          </w:p>
        </w:tc>
        <w:tc>
          <w:tcPr>
            <w:tcW w:w="1134" w:type="dxa"/>
            <w:tcBorders>
              <w:top w:val="nil"/>
              <w:left w:val="nil"/>
              <w:bottom w:val="nil"/>
              <w:right w:val="nil"/>
            </w:tcBorders>
            <w:vAlign w:val="bottom"/>
          </w:tcPr>
          <w:p w14:paraId="20335792" w14:textId="0FF4871B" w:rsidR="00566EA9" w:rsidRPr="001D41EA" w:rsidRDefault="00566EA9" w:rsidP="001D41EA">
            <w:pPr>
              <w:spacing w:before="40" w:after="20"/>
              <w:jc w:val="center"/>
              <w:rPr>
                <w:rFonts w:cs="Arial"/>
                <w:sz w:val="18"/>
                <w:szCs w:val="18"/>
              </w:rPr>
            </w:pPr>
            <w:r w:rsidRPr="001D41EA">
              <w:rPr>
                <w:rFonts w:cs="Arial"/>
                <w:sz w:val="18"/>
                <w:szCs w:val="18"/>
              </w:rPr>
              <w:t>1.185</w:t>
            </w:r>
          </w:p>
        </w:tc>
        <w:tc>
          <w:tcPr>
            <w:tcW w:w="1134" w:type="dxa"/>
            <w:tcBorders>
              <w:top w:val="nil"/>
              <w:left w:val="nil"/>
              <w:bottom w:val="nil"/>
              <w:right w:val="nil"/>
            </w:tcBorders>
            <w:vAlign w:val="bottom"/>
          </w:tcPr>
          <w:p w14:paraId="51FE7DB0" w14:textId="32EFBEF9" w:rsidR="00566EA9" w:rsidRPr="001D41EA" w:rsidRDefault="00566EA9" w:rsidP="001D41EA">
            <w:pPr>
              <w:spacing w:before="40" w:after="20"/>
              <w:jc w:val="center"/>
              <w:rPr>
                <w:rFonts w:cs="Arial"/>
                <w:sz w:val="18"/>
                <w:szCs w:val="18"/>
              </w:rPr>
            </w:pPr>
            <w:r w:rsidRPr="001D41EA">
              <w:rPr>
                <w:rFonts w:cs="Arial"/>
                <w:sz w:val="18"/>
                <w:szCs w:val="18"/>
              </w:rPr>
              <w:t>1.158</w:t>
            </w:r>
          </w:p>
        </w:tc>
        <w:tc>
          <w:tcPr>
            <w:tcW w:w="1134" w:type="dxa"/>
            <w:tcBorders>
              <w:top w:val="nil"/>
              <w:left w:val="nil"/>
              <w:bottom w:val="nil"/>
              <w:right w:val="nil"/>
            </w:tcBorders>
            <w:shd w:val="clear" w:color="auto" w:fill="auto"/>
            <w:vAlign w:val="bottom"/>
          </w:tcPr>
          <w:p w14:paraId="2B28A1E1" w14:textId="327E17B9" w:rsidR="00566EA9" w:rsidRPr="001D41EA" w:rsidRDefault="00566EA9" w:rsidP="001D41EA">
            <w:pPr>
              <w:spacing w:before="40" w:after="20"/>
              <w:jc w:val="center"/>
              <w:rPr>
                <w:rFonts w:cs="Arial"/>
                <w:sz w:val="18"/>
                <w:szCs w:val="18"/>
              </w:rPr>
            </w:pPr>
            <w:r w:rsidRPr="001D41EA">
              <w:rPr>
                <w:rFonts w:cs="Arial"/>
                <w:sz w:val="18"/>
                <w:szCs w:val="18"/>
              </w:rPr>
              <w:t>1.174</w:t>
            </w:r>
          </w:p>
        </w:tc>
      </w:tr>
      <w:tr w:rsidR="00566EA9" w:rsidRPr="001D41EA" w14:paraId="67C825D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3154F6E" w14:textId="77777777" w:rsidR="00566EA9" w:rsidRPr="001D41EA" w:rsidRDefault="00566EA9" w:rsidP="001D41EA">
            <w:pPr>
              <w:spacing w:before="40" w:after="20"/>
              <w:rPr>
                <w:rFonts w:cs="Arial"/>
                <w:sz w:val="18"/>
                <w:szCs w:val="18"/>
              </w:rPr>
            </w:pPr>
            <w:r w:rsidRPr="001D41EA">
              <w:rPr>
                <w:rFonts w:cs="Arial"/>
                <w:sz w:val="18"/>
                <w:szCs w:val="18"/>
              </w:rPr>
              <w:t>Mildura RC</w:t>
            </w:r>
          </w:p>
        </w:tc>
        <w:tc>
          <w:tcPr>
            <w:tcW w:w="1134" w:type="dxa"/>
            <w:tcBorders>
              <w:top w:val="nil"/>
              <w:left w:val="single" w:sz="18" w:space="0" w:color="5F497A" w:themeColor="accent4" w:themeShade="BF"/>
              <w:bottom w:val="nil"/>
              <w:right w:val="nil"/>
            </w:tcBorders>
            <w:shd w:val="clear" w:color="auto" w:fill="auto"/>
            <w:vAlign w:val="bottom"/>
          </w:tcPr>
          <w:p w14:paraId="43951F0E" w14:textId="2A60CFB4" w:rsidR="00566EA9" w:rsidRPr="001D41EA" w:rsidRDefault="00566EA9" w:rsidP="001D41EA">
            <w:pPr>
              <w:spacing w:before="40" w:after="20"/>
              <w:jc w:val="center"/>
              <w:rPr>
                <w:rFonts w:cs="Arial"/>
                <w:sz w:val="18"/>
                <w:szCs w:val="18"/>
              </w:rPr>
            </w:pPr>
            <w:r w:rsidRPr="001D41EA">
              <w:rPr>
                <w:rFonts w:cs="Arial"/>
                <w:sz w:val="18"/>
                <w:szCs w:val="18"/>
              </w:rPr>
              <w:t>1.285</w:t>
            </w:r>
          </w:p>
        </w:tc>
        <w:tc>
          <w:tcPr>
            <w:tcW w:w="1134" w:type="dxa"/>
            <w:tcBorders>
              <w:top w:val="nil"/>
              <w:left w:val="nil"/>
              <w:bottom w:val="nil"/>
              <w:right w:val="nil"/>
            </w:tcBorders>
            <w:shd w:val="clear" w:color="auto" w:fill="auto"/>
            <w:vAlign w:val="bottom"/>
          </w:tcPr>
          <w:p w14:paraId="4AD52BBC" w14:textId="5F0CE868" w:rsidR="00566EA9" w:rsidRPr="001D41EA" w:rsidRDefault="00566EA9" w:rsidP="001D41EA">
            <w:pPr>
              <w:spacing w:before="40" w:after="20"/>
              <w:jc w:val="center"/>
              <w:rPr>
                <w:rFonts w:cs="Arial"/>
                <w:sz w:val="18"/>
                <w:szCs w:val="18"/>
              </w:rPr>
            </w:pPr>
            <w:r w:rsidRPr="001D41EA">
              <w:rPr>
                <w:rFonts w:cs="Arial"/>
                <w:sz w:val="18"/>
                <w:szCs w:val="18"/>
              </w:rPr>
              <w:t>1.274</w:t>
            </w:r>
          </w:p>
        </w:tc>
        <w:tc>
          <w:tcPr>
            <w:tcW w:w="1134" w:type="dxa"/>
            <w:tcBorders>
              <w:top w:val="nil"/>
              <w:left w:val="nil"/>
              <w:bottom w:val="nil"/>
              <w:right w:val="nil"/>
            </w:tcBorders>
            <w:vAlign w:val="bottom"/>
          </w:tcPr>
          <w:p w14:paraId="6EFBA85B" w14:textId="0D3CCA95" w:rsidR="00566EA9" w:rsidRPr="001D41EA" w:rsidRDefault="00566EA9" w:rsidP="001D41EA">
            <w:pPr>
              <w:spacing w:before="40" w:after="20"/>
              <w:jc w:val="center"/>
              <w:rPr>
                <w:rFonts w:cs="Arial"/>
                <w:sz w:val="18"/>
                <w:szCs w:val="18"/>
              </w:rPr>
            </w:pPr>
            <w:r w:rsidRPr="001D41EA">
              <w:rPr>
                <w:rFonts w:cs="Arial"/>
                <w:sz w:val="18"/>
                <w:szCs w:val="18"/>
              </w:rPr>
              <w:t>1.267</w:t>
            </w:r>
          </w:p>
        </w:tc>
        <w:tc>
          <w:tcPr>
            <w:tcW w:w="1134" w:type="dxa"/>
            <w:tcBorders>
              <w:top w:val="nil"/>
              <w:left w:val="nil"/>
              <w:bottom w:val="nil"/>
              <w:right w:val="nil"/>
            </w:tcBorders>
            <w:vAlign w:val="bottom"/>
          </w:tcPr>
          <w:p w14:paraId="35461DAE" w14:textId="70345FB6" w:rsidR="00566EA9" w:rsidRPr="001D41EA" w:rsidRDefault="00566EA9" w:rsidP="001D41EA">
            <w:pPr>
              <w:spacing w:before="40" w:after="20"/>
              <w:jc w:val="center"/>
              <w:rPr>
                <w:rFonts w:cs="Arial"/>
                <w:sz w:val="18"/>
                <w:szCs w:val="18"/>
              </w:rPr>
            </w:pPr>
            <w:r w:rsidRPr="001D41EA">
              <w:rPr>
                <w:rFonts w:cs="Arial"/>
                <w:sz w:val="18"/>
                <w:szCs w:val="18"/>
              </w:rPr>
              <w:t>1.282</w:t>
            </w:r>
          </w:p>
        </w:tc>
        <w:tc>
          <w:tcPr>
            <w:tcW w:w="1134" w:type="dxa"/>
            <w:tcBorders>
              <w:top w:val="nil"/>
              <w:left w:val="nil"/>
              <w:bottom w:val="nil"/>
              <w:right w:val="nil"/>
            </w:tcBorders>
            <w:vAlign w:val="bottom"/>
          </w:tcPr>
          <w:p w14:paraId="47769BD3" w14:textId="2448C20E" w:rsidR="00566EA9" w:rsidRPr="001D41EA" w:rsidRDefault="00566EA9" w:rsidP="001D41EA">
            <w:pPr>
              <w:spacing w:before="40" w:after="20"/>
              <w:jc w:val="center"/>
              <w:rPr>
                <w:rFonts w:cs="Arial"/>
                <w:sz w:val="18"/>
                <w:szCs w:val="18"/>
              </w:rPr>
            </w:pPr>
            <w:r w:rsidRPr="001D41EA">
              <w:rPr>
                <w:rFonts w:cs="Arial"/>
                <w:sz w:val="18"/>
                <w:szCs w:val="18"/>
              </w:rPr>
              <w:t>1.252</w:t>
            </w:r>
          </w:p>
        </w:tc>
        <w:tc>
          <w:tcPr>
            <w:tcW w:w="1134" w:type="dxa"/>
            <w:tcBorders>
              <w:top w:val="nil"/>
              <w:left w:val="nil"/>
              <w:bottom w:val="nil"/>
              <w:right w:val="nil"/>
            </w:tcBorders>
            <w:shd w:val="clear" w:color="auto" w:fill="auto"/>
            <w:vAlign w:val="bottom"/>
          </w:tcPr>
          <w:p w14:paraId="2C44D5BB" w14:textId="16494D29" w:rsidR="00566EA9" w:rsidRPr="001D41EA" w:rsidRDefault="00566EA9" w:rsidP="001D41EA">
            <w:pPr>
              <w:spacing w:before="40" w:after="20"/>
              <w:jc w:val="center"/>
              <w:rPr>
                <w:rFonts w:cs="Arial"/>
                <w:sz w:val="18"/>
                <w:szCs w:val="18"/>
              </w:rPr>
            </w:pPr>
            <w:r w:rsidRPr="001D41EA">
              <w:rPr>
                <w:rFonts w:cs="Arial"/>
                <w:sz w:val="18"/>
                <w:szCs w:val="18"/>
              </w:rPr>
              <w:t>1.270</w:t>
            </w:r>
          </w:p>
        </w:tc>
      </w:tr>
      <w:tr w:rsidR="00566EA9" w:rsidRPr="001D41EA" w14:paraId="7F5F184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461CC09" w14:textId="77777777" w:rsidR="00566EA9" w:rsidRPr="001D41EA" w:rsidRDefault="00566EA9" w:rsidP="001D41EA">
            <w:pPr>
              <w:spacing w:before="40" w:after="20"/>
              <w:rPr>
                <w:rFonts w:cs="Arial"/>
                <w:sz w:val="18"/>
                <w:szCs w:val="18"/>
              </w:rPr>
            </w:pPr>
            <w:r w:rsidRPr="001D41EA">
              <w:rPr>
                <w:rFonts w:cs="Arial"/>
                <w:sz w:val="18"/>
                <w:szCs w:val="18"/>
              </w:rPr>
              <w:t>Mitchell S</w:t>
            </w:r>
          </w:p>
        </w:tc>
        <w:tc>
          <w:tcPr>
            <w:tcW w:w="1134" w:type="dxa"/>
            <w:tcBorders>
              <w:top w:val="nil"/>
              <w:left w:val="single" w:sz="18" w:space="0" w:color="5F497A" w:themeColor="accent4" w:themeShade="BF"/>
              <w:bottom w:val="nil"/>
              <w:right w:val="nil"/>
            </w:tcBorders>
            <w:shd w:val="clear" w:color="auto" w:fill="auto"/>
            <w:vAlign w:val="bottom"/>
          </w:tcPr>
          <w:p w14:paraId="36DD1796" w14:textId="1521C89B" w:rsidR="00566EA9" w:rsidRPr="001D41EA" w:rsidRDefault="00566EA9" w:rsidP="001D41EA">
            <w:pPr>
              <w:spacing w:before="40" w:after="20"/>
              <w:jc w:val="center"/>
              <w:rPr>
                <w:rFonts w:cs="Arial"/>
                <w:sz w:val="18"/>
                <w:szCs w:val="18"/>
              </w:rPr>
            </w:pPr>
            <w:r w:rsidRPr="001D41EA">
              <w:rPr>
                <w:rFonts w:cs="Arial"/>
                <w:sz w:val="18"/>
                <w:szCs w:val="18"/>
              </w:rPr>
              <w:t>1.426</w:t>
            </w:r>
          </w:p>
        </w:tc>
        <w:tc>
          <w:tcPr>
            <w:tcW w:w="1134" w:type="dxa"/>
            <w:tcBorders>
              <w:top w:val="nil"/>
              <w:left w:val="nil"/>
              <w:bottom w:val="nil"/>
              <w:right w:val="nil"/>
            </w:tcBorders>
            <w:shd w:val="clear" w:color="auto" w:fill="auto"/>
            <w:vAlign w:val="bottom"/>
          </w:tcPr>
          <w:p w14:paraId="5ADEB6AC" w14:textId="4C19AA50" w:rsidR="00566EA9" w:rsidRPr="001D41EA" w:rsidRDefault="00566EA9" w:rsidP="001D41EA">
            <w:pPr>
              <w:spacing w:before="40" w:after="20"/>
              <w:jc w:val="center"/>
              <w:rPr>
                <w:rFonts w:cs="Arial"/>
                <w:sz w:val="18"/>
                <w:szCs w:val="18"/>
              </w:rPr>
            </w:pPr>
            <w:r w:rsidRPr="001D41EA">
              <w:rPr>
                <w:rFonts w:cs="Arial"/>
                <w:sz w:val="18"/>
                <w:szCs w:val="18"/>
              </w:rPr>
              <w:t>1.413</w:t>
            </w:r>
          </w:p>
        </w:tc>
        <w:tc>
          <w:tcPr>
            <w:tcW w:w="1134" w:type="dxa"/>
            <w:tcBorders>
              <w:top w:val="nil"/>
              <w:left w:val="nil"/>
              <w:bottom w:val="nil"/>
              <w:right w:val="nil"/>
            </w:tcBorders>
            <w:vAlign w:val="bottom"/>
          </w:tcPr>
          <w:p w14:paraId="2D12D4E1" w14:textId="0FA7AE42" w:rsidR="00566EA9" w:rsidRPr="001D41EA" w:rsidRDefault="00566EA9" w:rsidP="001D41EA">
            <w:pPr>
              <w:spacing w:before="40" w:after="20"/>
              <w:jc w:val="center"/>
              <w:rPr>
                <w:rFonts w:cs="Arial"/>
                <w:sz w:val="18"/>
                <w:szCs w:val="18"/>
              </w:rPr>
            </w:pPr>
            <w:r w:rsidRPr="001D41EA">
              <w:rPr>
                <w:rFonts w:cs="Arial"/>
                <w:sz w:val="18"/>
                <w:szCs w:val="18"/>
              </w:rPr>
              <w:t>1.405</w:t>
            </w:r>
          </w:p>
        </w:tc>
        <w:tc>
          <w:tcPr>
            <w:tcW w:w="1134" w:type="dxa"/>
            <w:tcBorders>
              <w:top w:val="nil"/>
              <w:left w:val="nil"/>
              <w:bottom w:val="nil"/>
              <w:right w:val="nil"/>
            </w:tcBorders>
            <w:vAlign w:val="bottom"/>
          </w:tcPr>
          <w:p w14:paraId="79D0E2A6" w14:textId="2ED4E2BC" w:rsidR="00566EA9" w:rsidRPr="001D41EA" w:rsidRDefault="00566EA9" w:rsidP="001D41EA">
            <w:pPr>
              <w:spacing w:before="40" w:after="20"/>
              <w:jc w:val="center"/>
              <w:rPr>
                <w:rFonts w:cs="Arial"/>
                <w:sz w:val="18"/>
                <w:szCs w:val="18"/>
              </w:rPr>
            </w:pPr>
            <w:r w:rsidRPr="001D41EA">
              <w:rPr>
                <w:rFonts w:cs="Arial"/>
                <w:sz w:val="18"/>
                <w:szCs w:val="18"/>
              </w:rPr>
              <w:t>1.422</w:t>
            </w:r>
          </w:p>
        </w:tc>
        <w:tc>
          <w:tcPr>
            <w:tcW w:w="1134" w:type="dxa"/>
            <w:tcBorders>
              <w:top w:val="nil"/>
              <w:left w:val="nil"/>
              <w:bottom w:val="nil"/>
              <w:right w:val="nil"/>
            </w:tcBorders>
            <w:vAlign w:val="bottom"/>
          </w:tcPr>
          <w:p w14:paraId="467D80E6" w14:textId="380B0816" w:rsidR="00566EA9" w:rsidRPr="001D41EA" w:rsidRDefault="00566EA9" w:rsidP="001D41EA">
            <w:pPr>
              <w:spacing w:before="40" w:after="20"/>
              <w:jc w:val="center"/>
              <w:rPr>
                <w:rFonts w:cs="Arial"/>
                <w:sz w:val="18"/>
                <w:szCs w:val="18"/>
              </w:rPr>
            </w:pPr>
            <w:r w:rsidRPr="001D41EA">
              <w:rPr>
                <w:rFonts w:cs="Arial"/>
                <w:sz w:val="18"/>
                <w:szCs w:val="18"/>
              </w:rPr>
              <w:t>1.389</w:t>
            </w:r>
          </w:p>
        </w:tc>
        <w:tc>
          <w:tcPr>
            <w:tcW w:w="1134" w:type="dxa"/>
            <w:tcBorders>
              <w:top w:val="nil"/>
              <w:left w:val="nil"/>
              <w:bottom w:val="nil"/>
              <w:right w:val="nil"/>
            </w:tcBorders>
            <w:shd w:val="clear" w:color="auto" w:fill="auto"/>
            <w:vAlign w:val="bottom"/>
          </w:tcPr>
          <w:p w14:paraId="57C6C421" w14:textId="1A41F9E7" w:rsidR="00566EA9" w:rsidRPr="001D41EA" w:rsidRDefault="00566EA9" w:rsidP="001D41EA">
            <w:pPr>
              <w:spacing w:before="40" w:after="20"/>
              <w:jc w:val="center"/>
              <w:rPr>
                <w:rFonts w:cs="Arial"/>
                <w:sz w:val="18"/>
                <w:szCs w:val="18"/>
              </w:rPr>
            </w:pPr>
            <w:r w:rsidRPr="001D41EA">
              <w:rPr>
                <w:rFonts w:cs="Arial"/>
                <w:sz w:val="18"/>
                <w:szCs w:val="18"/>
              </w:rPr>
              <w:t>1.408</w:t>
            </w:r>
          </w:p>
        </w:tc>
      </w:tr>
      <w:tr w:rsidR="00566EA9" w:rsidRPr="001D41EA" w14:paraId="1B90F24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E324F86" w14:textId="77777777" w:rsidR="00566EA9" w:rsidRPr="001D41EA" w:rsidRDefault="00566EA9" w:rsidP="001D41EA">
            <w:pPr>
              <w:spacing w:before="40" w:after="20"/>
              <w:rPr>
                <w:rFonts w:cs="Arial"/>
                <w:sz w:val="18"/>
                <w:szCs w:val="18"/>
              </w:rPr>
            </w:pPr>
            <w:r w:rsidRPr="001D41EA">
              <w:rPr>
                <w:rFonts w:cs="Arial"/>
                <w:sz w:val="18"/>
                <w:szCs w:val="18"/>
              </w:rPr>
              <w:t>Moira S</w:t>
            </w:r>
          </w:p>
        </w:tc>
        <w:tc>
          <w:tcPr>
            <w:tcW w:w="1134" w:type="dxa"/>
            <w:tcBorders>
              <w:top w:val="nil"/>
              <w:left w:val="single" w:sz="18" w:space="0" w:color="5F497A" w:themeColor="accent4" w:themeShade="BF"/>
              <w:bottom w:val="nil"/>
              <w:right w:val="nil"/>
            </w:tcBorders>
            <w:shd w:val="clear" w:color="auto" w:fill="auto"/>
            <w:vAlign w:val="bottom"/>
          </w:tcPr>
          <w:p w14:paraId="6B21C6AE" w14:textId="701CD873" w:rsidR="00566EA9" w:rsidRPr="001D41EA" w:rsidRDefault="00566EA9" w:rsidP="001D41EA">
            <w:pPr>
              <w:spacing w:before="40" w:after="20"/>
              <w:jc w:val="center"/>
              <w:rPr>
                <w:rFonts w:cs="Arial"/>
                <w:sz w:val="18"/>
                <w:szCs w:val="18"/>
              </w:rPr>
            </w:pPr>
            <w:r w:rsidRPr="001D41EA">
              <w:rPr>
                <w:rFonts w:cs="Arial"/>
                <w:sz w:val="18"/>
                <w:szCs w:val="18"/>
              </w:rPr>
              <w:t>1.531</w:t>
            </w:r>
          </w:p>
        </w:tc>
        <w:tc>
          <w:tcPr>
            <w:tcW w:w="1134" w:type="dxa"/>
            <w:tcBorders>
              <w:top w:val="nil"/>
              <w:left w:val="nil"/>
              <w:bottom w:val="nil"/>
              <w:right w:val="nil"/>
            </w:tcBorders>
            <w:shd w:val="clear" w:color="auto" w:fill="auto"/>
            <w:vAlign w:val="bottom"/>
          </w:tcPr>
          <w:p w14:paraId="09CFFCEC" w14:textId="1DA8A333" w:rsidR="00566EA9" w:rsidRPr="001D41EA" w:rsidRDefault="00566EA9" w:rsidP="001D41EA">
            <w:pPr>
              <w:spacing w:before="40" w:after="20"/>
              <w:jc w:val="center"/>
              <w:rPr>
                <w:rFonts w:cs="Arial"/>
                <w:sz w:val="18"/>
                <w:szCs w:val="18"/>
              </w:rPr>
            </w:pPr>
            <w:r w:rsidRPr="001D41EA">
              <w:rPr>
                <w:rFonts w:cs="Arial"/>
                <w:sz w:val="18"/>
                <w:szCs w:val="18"/>
              </w:rPr>
              <w:t>1.517</w:t>
            </w:r>
          </w:p>
        </w:tc>
        <w:tc>
          <w:tcPr>
            <w:tcW w:w="1134" w:type="dxa"/>
            <w:tcBorders>
              <w:top w:val="nil"/>
              <w:left w:val="nil"/>
              <w:bottom w:val="nil"/>
              <w:right w:val="nil"/>
            </w:tcBorders>
            <w:vAlign w:val="bottom"/>
          </w:tcPr>
          <w:p w14:paraId="0B269905" w14:textId="698992E6" w:rsidR="00566EA9" w:rsidRPr="001D41EA" w:rsidRDefault="00566EA9" w:rsidP="001D41EA">
            <w:pPr>
              <w:spacing w:before="40" w:after="20"/>
              <w:jc w:val="center"/>
              <w:rPr>
                <w:rFonts w:cs="Arial"/>
                <w:sz w:val="18"/>
                <w:szCs w:val="18"/>
              </w:rPr>
            </w:pPr>
            <w:r w:rsidRPr="001D41EA">
              <w:rPr>
                <w:rFonts w:cs="Arial"/>
                <w:sz w:val="18"/>
                <w:szCs w:val="18"/>
              </w:rPr>
              <w:t>1.509</w:t>
            </w:r>
          </w:p>
        </w:tc>
        <w:tc>
          <w:tcPr>
            <w:tcW w:w="1134" w:type="dxa"/>
            <w:tcBorders>
              <w:top w:val="nil"/>
              <w:left w:val="nil"/>
              <w:bottom w:val="nil"/>
              <w:right w:val="nil"/>
            </w:tcBorders>
            <w:vAlign w:val="bottom"/>
          </w:tcPr>
          <w:p w14:paraId="12291187" w14:textId="5DD5644F" w:rsidR="00566EA9" w:rsidRPr="001D41EA" w:rsidRDefault="00566EA9" w:rsidP="001D41EA">
            <w:pPr>
              <w:spacing w:before="40" w:after="20"/>
              <w:jc w:val="center"/>
              <w:rPr>
                <w:rFonts w:cs="Arial"/>
                <w:sz w:val="18"/>
                <w:szCs w:val="18"/>
              </w:rPr>
            </w:pPr>
            <w:r w:rsidRPr="001D41EA">
              <w:rPr>
                <w:rFonts w:cs="Arial"/>
                <w:sz w:val="18"/>
                <w:szCs w:val="18"/>
              </w:rPr>
              <w:t>1.527</w:t>
            </w:r>
          </w:p>
        </w:tc>
        <w:tc>
          <w:tcPr>
            <w:tcW w:w="1134" w:type="dxa"/>
            <w:tcBorders>
              <w:top w:val="nil"/>
              <w:left w:val="nil"/>
              <w:bottom w:val="nil"/>
              <w:right w:val="nil"/>
            </w:tcBorders>
            <w:vAlign w:val="bottom"/>
          </w:tcPr>
          <w:p w14:paraId="62C8F988" w14:textId="5E7613F9" w:rsidR="00566EA9" w:rsidRPr="001D41EA" w:rsidRDefault="00566EA9" w:rsidP="001D41EA">
            <w:pPr>
              <w:spacing w:before="40" w:after="20"/>
              <w:jc w:val="center"/>
              <w:rPr>
                <w:rFonts w:cs="Arial"/>
                <w:sz w:val="18"/>
                <w:szCs w:val="18"/>
              </w:rPr>
            </w:pPr>
            <w:r w:rsidRPr="001D41EA">
              <w:rPr>
                <w:rFonts w:cs="Arial"/>
                <w:sz w:val="18"/>
                <w:szCs w:val="18"/>
              </w:rPr>
              <w:t>1.491</w:t>
            </w:r>
          </w:p>
        </w:tc>
        <w:tc>
          <w:tcPr>
            <w:tcW w:w="1134" w:type="dxa"/>
            <w:tcBorders>
              <w:top w:val="nil"/>
              <w:left w:val="nil"/>
              <w:bottom w:val="nil"/>
              <w:right w:val="nil"/>
            </w:tcBorders>
            <w:shd w:val="clear" w:color="auto" w:fill="auto"/>
            <w:vAlign w:val="bottom"/>
          </w:tcPr>
          <w:p w14:paraId="5319B065" w14:textId="72E91929" w:rsidR="00566EA9" w:rsidRPr="001D41EA" w:rsidRDefault="00566EA9" w:rsidP="001D41EA">
            <w:pPr>
              <w:spacing w:before="40" w:after="20"/>
              <w:jc w:val="center"/>
              <w:rPr>
                <w:rFonts w:cs="Arial"/>
                <w:sz w:val="18"/>
                <w:szCs w:val="18"/>
              </w:rPr>
            </w:pPr>
            <w:r w:rsidRPr="001D41EA">
              <w:rPr>
                <w:rFonts w:cs="Arial"/>
                <w:sz w:val="18"/>
                <w:szCs w:val="18"/>
              </w:rPr>
              <w:t>1.512</w:t>
            </w:r>
          </w:p>
        </w:tc>
      </w:tr>
      <w:tr w:rsidR="00566EA9" w:rsidRPr="001D41EA" w14:paraId="75888FA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2AC451F" w14:textId="77777777" w:rsidR="00566EA9" w:rsidRPr="001D41EA" w:rsidRDefault="00566EA9" w:rsidP="001D41EA">
            <w:pPr>
              <w:spacing w:before="40" w:after="20"/>
              <w:rPr>
                <w:rFonts w:cs="Arial"/>
                <w:sz w:val="18"/>
                <w:szCs w:val="18"/>
              </w:rPr>
            </w:pPr>
            <w:r w:rsidRPr="001D41EA">
              <w:rPr>
                <w:rFonts w:cs="Arial"/>
                <w:sz w:val="18"/>
                <w:szCs w:val="18"/>
              </w:rPr>
              <w:t>Monash C</w:t>
            </w:r>
          </w:p>
        </w:tc>
        <w:tc>
          <w:tcPr>
            <w:tcW w:w="1134" w:type="dxa"/>
            <w:tcBorders>
              <w:top w:val="nil"/>
              <w:left w:val="single" w:sz="18" w:space="0" w:color="5F497A" w:themeColor="accent4" w:themeShade="BF"/>
              <w:bottom w:val="nil"/>
              <w:right w:val="nil"/>
            </w:tcBorders>
            <w:shd w:val="clear" w:color="auto" w:fill="auto"/>
            <w:vAlign w:val="bottom"/>
          </w:tcPr>
          <w:p w14:paraId="45E4853C" w14:textId="737734B3" w:rsidR="00566EA9" w:rsidRPr="001D41EA" w:rsidRDefault="00566EA9" w:rsidP="001D41EA">
            <w:pPr>
              <w:spacing w:before="40" w:after="2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6AD839DE" w14:textId="3F2DAC24" w:rsidR="00566EA9" w:rsidRPr="001D41EA" w:rsidRDefault="00566EA9" w:rsidP="001D41EA">
            <w:pPr>
              <w:spacing w:before="40" w:after="2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0430E925" w14:textId="5631B752" w:rsidR="00566EA9" w:rsidRPr="001D41EA" w:rsidRDefault="00566EA9" w:rsidP="001D41EA">
            <w:pPr>
              <w:spacing w:before="40" w:after="2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1C33AF1F" w14:textId="4C52A140" w:rsidR="00566EA9" w:rsidRPr="001D41EA" w:rsidRDefault="00566EA9" w:rsidP="001D41EA">
            <w:pPr>
              <w:spacing w:before="40" w:after="2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636CEEB4" w14:textId="1900F3A3" w:rsidR="00566EA9" w:rsidRPr="001D41EA" w:rsidRDefault="00566EA9" w:rsidP="001D41EA">
            <w:pPr>
              <w:spacing w:before="40" w:after="2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650E6D6B" w14:textId="548F7075" w:rsidR="00566EA9" w:rsidRPr="001D41EA" w:rsidRDefault="00566EA9" w:rsidP="001D41EA">
            <w:pPr>
              <w:spacing w:before="40" w:after="20"/>
              <w:jc w:val="center"/>
              <w:rPr>
                <w:rFonts w:cs="Arial"/>
                <w:sz w:val="18"/>
                <w:szCs w:val="18"/>
              </w:rPr>
            </w:pPr>
            <w:r w:rsidRPr="001D41EA">
              <w:rPr>
                <w:rFonts w:cs="Arial"/>
                <w:sz w:val="18"/>
                <w:szCs w:val="18"/>
              </w:rPr>
              <w:t>0.885</w:t>
            </w:r>
          </w:p>
        </w:tc>
      </w:tr>
      <w:tr w:rsidR="00566EA9" w:rsidRPr="001D41EA" w14:paraId="1B992AF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2FB6464" w14:textId="77777777" w:rsidR="00566EA9" w:rsidRPr="001D41EA" w:rsidRDefault="00566EA9" w:rsidP="001D41EA">
            <w:pPr>
              <w:spacing w:before="40" w:after="20"/>
              <w:rPr>
                <w:rFonts w:cs="Arial"/>
                <w:sz w:val="18"/>
                <w:szCs w:val="18"/>
              </w:rPr>
            </w:pPr>
            <w:r w:rsidRPr="001D41EA">
              <w:rPr>
                <w:rFonts w:cs="Arial"/>
                <w:sz w:val="18"/>
                <w:szCs w:val="18"/>
              </w:rPr>
              <w:t>Moonee Valley C</w:t>
            </w:r>
          </w:p>
        </w:tc>
        <w:tc>
          <w:tcPr>
            <w:tcW w:w="1134" w:type="dxa"/>
            <w:tcBorders>
              <w:top w:val="nil"/>
              <w:left w:val="single" w:sz="18" w:space="0" w:color="5F497A" w:themeColor="accent4" w:themeShade="BF"/>
              <w:bottom w:val="nil"/>
              <w:right w:val="nil"/>
            </w:tcBorders>
            <w:shd w:val="clear" w:color="auto" w:fill="auto"/>
            <w:vAlign w:val="bottom"/>
          </w:tcPr>
          <w:p w14:paraId="514713B0" w14:textId="1DDA13D8" w:rsidR="00566EA9" w:rsidRPr="001D41EA" w:rsidRDefault="00566EA9" w:rsidP="001D41EA">
            <w:pPr>
              <w:spacing w:before="40" w:after="2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2ECB2C18" w14:textId="5238090E" w:rsidR="00566EA9" w:rsidRPr="001D41EA" w:rsidRDefault="00566EA9" w:rsidP="001D41EA">
            <w:pPr>
              <w:spacing w:before="40" w:after="2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43675070" w14:textId="4AC031C8" w:rsidR="00566EA9" w:rsidRPr="001D41EA" w:rsidRDefault="00566EA9" w:rsidP="001D41EA">
            <w:pPr>
              <w:spacing w:before="40" w:after="2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61DA5CFE" w14:textId="4A429B60" w:rsidR="00566EA9" w:rsidRPr="001D41EA" w:rsidRDefault="00566EA9" w:rsidP="001D41EA">
            <w:pPr>
              <w:spacing w:before="40" w:after="2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6D85A99C" w14:textId="784F83EB" w:rsidR="00566EA9" w:rsidRPr="001D41EA" w:rsidRDefault="00566EA9" w:rsidP="001D41EA">
            <w:pPr>
              <w:spacing w:before="40" w:after="2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3BC8A61B" w14:textId="1D84CA9B" w:rsidR="00566EA9" w:rsidRPr="001D41EA" w:rsidRDefault="00566EA9" w:rsidP="001D41EA">
            <w:pPr>
              <w:spacing w:before="40" w:after="20"/>
              <w:jc w:val="center"/>
              <w:rPr>
                <w:rFonts w:cs="Arial"/>
                <w:sz w:val="18"/>
                <w:szCs w:val="18"/>
              </w:rPr>
            </w:pPr>
            <w:r w:rsidRPr="001D41EA">
              <w:rPr>
                <w:rFonts w:cs="Arial"/>
                <w:sz w:val="18"/>
                <w:szCs w:val="18"/>
              </w:rPr>
              <w:t>0.885</w:t>
            </w:r>
          </w:p>
        </w:tc>
      </w:tr>
      <w:tr w:rsidR="00566EA9" w:rsidRPr="001D41EA" w14:paraId="389DB2D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E11C7FA" w14:textId="77777777" w:rsidR="00566EA9" w:rsidRPr="001D41EA" w:rsidRDefault="00566EA9" w:rsidP="001D41EA">
            <w:pPr>
              <w:spacing w:before="40" w:after="20"/>
              <w:rPr>
                <w:rFonts w:cs="Arial"/>
                <w:sz w:val="18"/>
                <w:szCs w:val="18"/>
              </w:rPr>
            </w:pPr>
            <w:r w:rsidRPr="001D41EA">
              <w:rPr>
                <w:rFonts w:cs="Arial"/>
                <w:sz w:val="18"/>
                <w:szCs w:val="18"/>
              </w:rPr>
              <w:t>Moorabool S</w:t>
            </w:r>
          </w:p>
        </w:tc>
        <w:tc>
          <w:tcPr>
            <w:tcW w:w="1134" w:type="dxa"/>
            <w:tcBorders>
              <w:top w:val="nil"/>
              <w:left w:val="single" w:sz="18" w:space="0" w:color="5F497A" w:themeColor="accent4" w:themeShade="BF"/>
              <w:bottom w:val="nil"/>
              <w:right w:val="nil"/>
            </w:tcBorders>
            <w:shd w:val="clear" w:color="auto" w:fill="auto"/>
            <w:vAlign w:val="bottom"/>
          </w:tcPr>
          <w:p w14:paraId="6B31ACE4" w14:textId="0A5D5615" w:rsidR="00566EA9" w:rsidRPr="001D41EA" w:rsidRDefault="00566EA9" w:rsidP="001D41EA">
            <w:pPr>
              <w:spacing w:before="40" w:after="20"/>
              <w:jc w:val="center"/>
              <w:rPr>
                <w:rFonts w:cs="Arial"/>
                <w:sz w:val="18"/>
                <w:szCs w:val="18"/>
              </w:rPr>
            </w:pPr>
            <w:r w:rsidRPr="001D41EA">
              <w:rPr>
                <w:rFonts w:cs="Arial"/>
                <w:sz w:val="18"/>
                <w:szCs w:val="18"/>
              </w:rPr>
              <w:t>1.378</w:t>
            </w:r>
          </w:p>
        </w:tc>
        <w:tc>
          <w:tcPr>
            <w:tcW w:w="1134" w:type="dxa"/>
            <w:tcBorders>
              <w:top w:val="nil"/>
              <w:left w:val="nil"/>
              <w:bottom w:val="nil"/>
              <w:right w:val="nil"/>
            </w:tcBorders>
            <w:shd w:val="clear" w:color="auto" w:fill="auto"/>
            <w:vAlign w:val="bottom"/>
          </w:tcPr>
          <w:p w14:paraId="6BC29652" w14:textId="39BC18D4" w:rsidR="00566EA9" w:rsidRPr="001D41EA" w:rsidRDefault="00566EA9" w:rsidP="001D41EA">
            <w:pPr>
              <w:spacing w:before="40" w:after="20"/>
              <w:jc w:val="center"/>
              <w:rPr>
                <w:rFonts w:cs="Arial"/>
                <w:sz w:val="18"/>
                <w:szCs w:val="18"/>
              </w:rPr>
            </w:pPr>
            <w:r w:rsidRPr="001D41EA">
              <w:rPr>
                <w:rFonts w:cs="Arial"/>
                <w:sz w:val="18"/>
                <w:szCs w:val="18"/>
              </w:rPr>
              <w:t>1.366</w:t>
            </w:r>
          </w:p>
        </w:tc>
        <w:tc>
          <w:tcPr>
            <w:tcW w:w="1134" w:type="dxa"/>
            <w:tcBorders>
              <w:top w:val="nil"/>
              <w:left w:val="nil"/>
              <w:bottom w:val="nil"/>
              <w:right w:val="nil"/>
            </w:tcBorders>
            <w:vAlign w:val="bottom"/>
          </w:tcPr>
          <w:p w14:paraId="230DAC6B" w14:textId="00115583" w:rsidR="00566EA9" w:rsidRPr="001D41EA" w:rsidRDefault="00566EA9" w:rsidP="001D41EA">
            <w:pPr>
              <w:spacing w:before="40" w:after="20"/>
              <w:jc w:val="center"/>
              <w:rPr>
                <w:rFonts w:cs="Arial"/>
                <w:sz w:val="18"/>
                <w:szCs w:val="18"/>
              </w:rPr>
            </w:pPr>
            <w:r w:rsidRPr="001D41EA">
              <w:rPr>
                <w:rFonts w:cs="Arial"/>
                <w:sz w:val="18"/>
                <w:szCs w:val="18"/>
              </w:rPr>
              <w:t>1.358</w:t>
            </w:r>
          </w:p>
        </w:tc>
        <w:tc>
          <w:tcPr>
            <w:tcW w:w="1134" w:type="dxa"/>
            <w:tcBorders>
              <w:top w:val="nil"/>
              <w:left w:val="nil"/>
              <w:bottom w:val="nil"/>
              <w:right w:val="nil"/>
            </w:tcBorders>
            <w:vAlign w:val="bottom"/>
          </w:tcPr>
          <w:p w14:paraId="3DD4D83A" w14:textId="340A238F" w:rsidR="00566EA9" w:rsidRPr="001D41EA" w:rsidRDefault="00566EA9" w:rsidP="001D41EA">
            <w:pPr>
              <w:spacing w:before="40" w:after="20"/>
              <w:jc w:val="center"/>
              <w:rPr>
                <w:rFonts w:cs="Arial"/>
                <w:sz w:val="18"/>
                <w:szCs w:val="18"/>
              </w:rPr>
            </w:pPr>
            <w:r w:rsidRPr="001D41EA">
              <w:rPr>
                <w:rFonts w:cs="Arial"/>
                <w:sz w:val="18"/>
                <w:szCs w:val="18"/>
              </w:rPr>
              <w:t>1.374</w:t>
            </w:r>
          </w:p>
        </w:tc>
        <w:tc>
          <w:tcPr>
            <w:tcW w:w="1134" w:type="dxa"/>
            <w:tcBorders>
              <w:top w:val="nil"/>
              <w:left w:val="nil"/>
              <w:bottom w:val="nil"/>
              <w:right w:val="nil"/>
            </w:tcBorders>
            <w:vAlign w:val="bottom"/>
          </w:tcPr>
          <w:p w14:paraId="5E9C5C9C" w14:textId="0402FBCC" w:rsidR="00566EA9" w:rsidRPr="001D41EA" w:rsidRDefault="00566EA9" w:rsidP="001D41EA">
            <w:pPr>
              <w:spacing w:before="40" w:after="20"/>
              <w:jc w:val="center"/>
              <w:rPr>
                <w:rFonts w:cs="Arial"/>
                <w:sz w:val="18"/>
                <w:szCs w:val="18"/>
              </w:rPr>
            </w:pPr>
            <w:r w:rsidRPr="001D41EA">
              <w:rPr>
                <w:rFonts w:cs="Arial"/>
                <w:sz w:val="18"/>
                <w:szCs w:val="18"/>
              </w:rPr>
              <w:t>1.342</w:t>
            </w:r>
          </w:p>
        </w:tc>
        <w:tc>
          <w:tcPr>
            <w:tcW w:w="1134" w:type="dxa"/>
            <w:tcBorders>
              <w:top w:val="nil"/>
              <w:left w:val="nil"/>
              <w:bottom w:val="nil"/>
              <w:right w:val="nil"/>
            </w:tcBorders>
            <w:shd w:val="clear" w:color="auto" w:fill="auto"/>
            <w:vAlign w:val="bottom"/>
          </w:tcPr>
          <w:p w14:paraId="2F99C169" w14:textId="01826FDE" w:rsidR="00566EA9" w:rsidRPr="001D41EA" w:rsidRDefault="00566EA9" w:rsidP="001D41EA">
            <w:pPr>
              <w:spacing w:before="40" w:after="20"/>
              <w:jc w:val="center"/>
              <w:rPr>
                <w:rFonts w:cs="Arial"/>
                <w:sz w:val="18"/>
                <w:szCs w:val="18"/>
              </w:rPr>
            </w:pPr>
            <w:r w:rsidRPr="001D41EA">
              <w:rPr>
                <w:rFonts w:cs="Arial"/>
                <w:sz w:val="18"/>
                <w:szCs w:val="18"/>
              </w:rPr>
              <w:t>1.361</w:t>
            </w:r>
          </w:p>
        </w:tc>
      </w:tr>
      <w:tr w:rsidR="00566EA9" w:rsidRPr="001D41EA" w14:paraId="5B42B01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4E27F7B" w14:textId="77777777" w:rsidR="00566EA9" w:rsidRPr="001D41EA" w:rsidRDefault="00566EA9" w:rsidP="001D41EA">
            <w:pPr>
              <w:spacing w:before="40" w:after="20"/>
              <w:rPr>
                <w:rFonts w:cs="Arial"/>
                <w:sz w:val="18"/>
                <w:szCs w:val="18"/>
              </w:rPr>
            </w:pPr>
            <w:r w:rsidRPr="001D41EA">
              <w:rPr>
                <w:rFonts w:cs="Arial"/>
                <w:sz w:val="18"/>
                <w:szCs w:val="18"/>
              </w:rPr>
              <w:t>Moreland C</w:t>
            </w:r>
          </w:p>
        </w:tc>
        <w:tc>
          <w:tcPr>
            <w:tcW w:w="1134" w:type="dxa"/>
            <w:tcBorders>
              <w:top w:val="nil"/>
              <w:left w:val="single" w:sz="18" w:space="0" w:color="5F497A" w:themeColor="accent4" w:themeShade="BF"/>
              <w:bottom w:val="nil"/>
              <w:right w:val="nil"/>
            </w:tcBorders>
            <w:shd w:val="clear" w:color="auto" w:fill="auto"/>
            <w:vAlign w:val="bottom"/>
          </w:tcPr>
          <w:p w14:paraId="50414CF4" w14:textId="040A5851" w:rsidR="00566EA9" w:rsidRPr="001D41EA" w:rsidRDefault="00566EA9" w:rsidP="001D41EA">
            <w:pPr>
              <w:spacing w:before="40" w:after="2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7431FA1D" w14:textId="1BEAC58A" w:rsidR="00566EA9" w:rsidRPr="001D41EA" w:rsidRDefault="00566EA9" w:rsidP="001D41EA">
            <w:pPr>
              <w:spacing w:before="40" w:after="2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3C5523B2" w14:textId="18A90141" w:rsidR="00566EA9" w:rsidRPr="001D41EA" w:rsidRDefault="00566EA9" w:rsidP="001D41EA">
            <w:pPr>
              <w:spacing w:before="40" w:after="2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7CDACD64" w14:textId="26A1E50E" w:rsidR="00566EA9" w:rsidRPr="001D41EA" w:rsidRDefault="00566EA9" w:rsidP="001D41EA">
            <w:pPr>
              <w:spacing w:before="40" w:after="2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29473291" w14:textId="2BDD2264" w:rsidR="00566EA9" w:rsidRPr="001D41EA" w:rsidRDefault="00566EA9" w:rsidP="001D41EA">
            <w:pPr>
              <w:spacing w:before="40" w:after="2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2B6BA26B" w14:textId="5D7D1F6B" w:rsidR="00566EA9" w:rsidRPr="001D41EA" w:rsidRDefault="00566EA9" w:rsidP="001D41EA">
            <w:pPr>
              <w:spacing w:before="40" w:after="20"/>
              <w:jc w:val="center"/>
              <w:rPr>
                <w:rFonts w:cs="Arial"/>
                <w:sz w:val="18"/>
                <w:szCs w:val="18"/>
              </w:rPr>
            </w:pPr>
            <w:r w:rsidRPr="001D41EA">
              <w:rPr>
                <w:rFonts w:cs="Arial"/>
                <w:sz w:val="18"/>
                <w:szCs w:val="18"/>
              </w:rPr>
              <w:t>0.885</w:t>
            </w:r>
          </w:p>
        </w:tc>
      </w:tr>
      <w:tr w:rsidR="00566EA9" w:rsidRPr="001D41EA" w14:paraId="2D5C574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86B7984" w14:textId="77777777" w:rsidR="00566EA9" w:rsidRPr="001D41EA" w:rsidRDefault="00566EA9" w:rsidP="001D41EA">
            <w:pPr>
              <w:spacing w:before="40" w:after="20"/>
              <w:rPr>
                <w:rFonts w:cs="Arial"/>
                <w:sz w:val="18"/>
                <w:szCs w:val="18"/>
              </w:rPr>
            </w:pPr>
            <w:r w:rsidRPr="001D41EA">
              <w:rPr>
                <w:rFonts w:cs="Arial"/>
                <w:sz w:val="18"/>
                <w:szCs w:val="18"/>
              </w:rPr>
              <w:t>Mornington Peninsula S</w:t>
            </w:r>
          </w:p>
        </w:tc>
        <w:tc>
          <w:tcPr>
            <w:tcW w:w="1134" w:type="dxa"/>
            <w:tcBorders>
              <w:top w:val="nil"/>
              <w:left w:val="single" w:sz="18" w:space="0" w:color="5F497A" w:themeColor="accent4" w:themeShade="BF"/>
              <w:bottom w:val="nil"/>
              <w:right w:val="nil"/>
            </w:tcBorders>
            <w:shd w:val="clear" w:color="auto" w:fill="auto"/>
            <w:vAlign w:val="bottom"/>
          </w:tcPr>
          <w:p w14:paraId="3E219824" w14:textId="242B4033" w:rsidR="00566EA9" w:rsidRPr="001D41EA" w:rsidRDefault="00566EA9" w:rsidP="001D41EA">
            <w:pPr>
              <w:spacing w:before="40" w:after="20"/>
              <w:jc w:val="center"/>
              <w:rPr>
                <w:rFonts w:cs="Arial"/>
                <w:sz w:val="18"/>
                <w:szCs w:val="18"/>
              </w:rPr>
            </w:pPr>
            <w:r w:rsidRPr="001D41EA">
              <w:rPr>
                <w:rFonts w:cs="Arial"/>
                <w:sz w:val="18"/>
                <w:szCs w:val="18"/>
              </w:rPr>
              <w:t>1.098</w:t>
            </w:r>
          </w:p>
        </w:tc>
        <w:tc>
          <w:tcPr>
            <w:tcW w:w="1134" w:type="dxa"/>
            <w:tcBorders>
              <w:top w:val="nil"/>
              <w:left w:val="nil"/>
              <w:bottom w:val="nil"/>
              <w:right w:val="nil"/>
            </w:tcBorders>
            <w:shd w:val="clear" w:color="auto" w:fill="auto"/>
            <w:vAlign w:val="bottom"/>
          </w:tcPr>
          <w:p w14:paraId="29D67917" w14:textId="2A4AAB1D" w:rsidR="00566EA9" w:rsidRPr="001D41EA" w:rsidRDefault="00566EA9" w:rsidP="001D41EA">
            <w:pPr>
              <w:spacing w:before="40" w:after="20"/>
              <w:jc w:val="center"/>
              <w:rPr>
                <w:rFonts w:cs="Arial"/>
                <w:sz w:val="18"/>
                <w:szCs w:val="18"/>
              </w:rPr>
            </w:pPr>
            <w:r w:rsidRPr="001D41EA">
              <w:rPr>
                <w:rFonts w:cs="Arial"/>
                <w:sz w:val="18"/>
                <w:szCs w:val="18"/>
              </w:rPr>
              <w:t>1.089</w:t>
            </w:r>
          </w:p>
        </w:tc>
        <w:tc>
          <w:tcPr>
            <w:tcW w:w="1134" w:type="dxa"/>
            <w:tcBorders>
              <w:top w:val="nil"/>
              <w:left w:val="nil"/>
              <w:bottom w:val="nil"/>
              <w:right w:val="nil"/>
            </w:tcBorders>
            <w:vAlign w:val="bottom"/>
          </w:tcPr>
          <w:p w14:paraId="23F0434B" w14:textId="0D932F0F" w:rsidR="00566EA9" w:rsidRPr="001D41EA" w:rsidRDefault="00566EA9" w:rsidP="001D41EA">
            <w:pPr>
              <w:spacing w:before="40" w:after="20"/>
              <w:jc w:val="center"/>
              <w:rPr>
                <w:rFonts w:cs="Arial"/>
                <w:sz w:val="18"/>
                <w:szCs w:val="18"/>
              </w:rPr>
            </w:pPr>
            <w:r w:rsidRPr="001D41EA">
              <w:rPr>
                <w:rFonts w:cs="Arial"/>
                <w:sz w:val="18"/>
                <w:szCs w:val="18"/>
              </w:rPr>
              <w:t>1.083</w:t>
            </w:r>
          </w:p>
        </w:tc>
        <w:tc>
          <w:tcPr>
            <w:tcW w:w="1134" w:type="dxa"/>
            <w:tcBorders>
              <w:top w:val="nil"/>
              <w:left w:val="nil"/>
              <w:bottom w:val="nil"/>
              <w:right w:val="nil"/>
            </w:tcBorders>
            <w:vAlign w:val="bottom"/>
          </w:tcPr>
          <w:p w14:paraId="1D67F04B" w14:textId="62811CC7" w:rsidR="00566EA9" w:rsidRPr="001D41EA" w:rsidRDefault="00566EA9" w:rsidP="001D41EA">
            <w:pPr>
              <w:spacing w:before="40" w:after="20"/>
              <w:jc w:val="center"/>
              <w:rPr>
                <w:rFonts w:cs="Arial"/>
                <w:sz w:val="18"/>
                <w:szCs w:val="18"/>
              </w:rPr>
            </w:pPr>
            <w:r w:rsidRPr="001D41EA">
              <w:rPr>
                <w:rFonts w:cs="Arial"/>
                <w:sz w:val="18"/>
                <w:szCs w:val="18"/>
              </w:rPr>
              <w:t>1.095</w:t>
            </w:r>
          </w:p>
        </w:tc>
        <w:tc>
          <w:tcPr>
            <w:tcW w:w="1134" w:type="dxa"/>
            <w:tcBorders>
              <w:top w:val="nil"/>
              <w:left w:val="nil"/>
              <w:bottom w:val="nil"/>
              <w:right w:val="nil"/>
            </w:tcBorders>
            <w:vAlign w:val="bottom"/>
          </w:tcPr>
          <w:p w14:paraId="53526937" w14:textId="0E39DF54" w:rsidR="00566EA9" w:rsidRPr="001D41EA" w:rsidRDefault="00566EA9" w:rsidP="001D41EA">
            <w:pPr>
              <w:spacing w:before="40" w:after="20"/>
              <w:jc w:val="center"/>
              <w:rPr>
                <w:rFonts w:cs="Arial"/>
                <w:sz w:val="18"/>
                <w:szCs w:val="18"/>
              </w:rPr>
            </w:pPr>
            <w:r w:rsidRPr="001D41EA">
              <w:rPr>
                <w:rFonts w:cs="Arial"/>
                <w:sz w:val="18"/>
                <w:szCs w:val="18"/>
              </w:rPr>
              <w:t>1.070</w:t>
            </w:r>
          </w:p>
        </w:tc>
        <w:tc>
          <w:tcPr>
            <w:tcW w:w="1134" w:type="dxa"/>
            <w:tcBorders>
              <w:top w:val="nil"/>
              <w:left w:val="nil"/>
              <w:bottom w:val="nil"/>
              <w:right w:val="nil"/>
            </w:tcBorders>
            <w:shd w:val="clear" w:color="auto" w:fill="auto"/>
            <w:vAlign w:val="bottom"/>
          </w:tcPr>
          <w:p w14:paraId="1B9B3C13" w14:textId="5D39559B" w:rsidR="00566EA9" w:rsidRPr="001D41EA" w:rsidRDefault="00566EA9" w:rsidP="001D41EA">
            <w:pPr>
              <w:spacing w:before="40" w:after="20"/>
              <w:jc w:val="center"/>
              <w:rPr>
                <w:rFonts w:cs="Arial"/>
                <w:sz w:val="18"/>
                <w:szCs w:val="18"/>
              </w:rPr>
            </w:pPr>
            <w:r w:rsidRPr="001D41EA">
              <w:rPr>
                <w:rFonts w:cs="Arial"/>
                <w:sz w:val="18"/>
                <w:szCs w:val="18"/>
              </w:rPr>
              <w:t>1.085</w:t>
            </w:r>
          </w:p>
        </w:tc>
      </w:tr>
      <w:tr w:rsidR="00566EA9" w:rsidRPr="001D41EA" w14:paraId="68AA8AB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A8C34DA" w14:textId="77777777" w:rsidR="00566EA9" w:rsidRPr="001D41EA" w:rsidRDefault="00566EA9" w:rsidP="001D41EA">
            <w:pPr>
              <w:spacing w:before="40" w:after="20"/>
              <w:rPr>
                <w:rFonts w:cs="Arial"/>
                <w:sz w:val="18"/>
                <w:szCs w:val="18"/>
              </w:rPr>
            </w:pPr>
            <w:r w:rsidRPr="001D41EA">
              <w:rPr>
                <w:rFonts w:cs="Arial"/>
                <w:sz w:val="18"/>
                <w:szCs w:val="18"/>
              </w:rPr>
              <w:t>Mount Alexander S</w:t>
            </w:r>
          </w:p>
        </w:tc>
        <w:tc>
          <w:tcPr>
            <w:tcW w:w="1134" w:type="dxa"/>
            <w:tcBorders>
              <w:top w:val="nil"/>
              <w:left w:val="single" w:sz="18" w:space="0" w:color="5F497A" w:themeColor="accent4" w:themeShade="BF"/>
              <w:bottom w:val="nil"/>
              <w:right w:val="nil"/>
            </w:tcBorders>
            <w:shd w:val="clear" w:color="auto" w:fill="auto"/>
            <w:vAlign w:val="bottom"/>
          </w:tcPr>
          <w:p w14:paraId="7FD459AC" w14:textId="7B960F12" w:rsidR="00566EA9" w:rsidRPr="001D41EA" w:rsidRDefault="00566EA9" w:rsidP="001D41EA">
            <w:pPr>
              <w:spacing w:before="40" w:after="20"/>
              <w:jc w:val="center"/>
              <w:rPr>
                <w:rFonts w:cs="Arial"/>
                <w:sz w:val="18"/>
                <w:szCs w:val="18"/>
              </w:rPr>
            </w:pPr>
            <w:r w:rsidRPr="001D41EA">
              <w:rPr>
                <w:rFonts w:cs="Arial"/>
                <w:sz w:val="18"/>
                <w:szCs w:val="18"/>
              </w:rPr>
              <w:t>1.054</w:t>
            </w:r>
          </w:p>
        </w:tc>
        <w:tc>
          <w:tcPr>
            <w:tcW w:w="1134" w:type="dxa"/>
            <w:tcBorders>
              <w:top w:val="nil"/>
              <w:left w:val="nil"/>
              <w:bottom w:val="nil"/>
              <w:right w:val="nil"/>
            </w:tcBorders>
            <w:shd w:val="clear" w:color="auto" w:fill="auto"/>
            <w:vAlign w:val="bottom"/>
          </w:tcPr>
          <w:p w14:paraId="10810A75" w14:textId="46CD17BB" w:rsidR="00566EA9" w:rsidRPr="001D41EA" w:rsidRDefault="00566EA9" w:rsidP="001D41EA">
            <w:pPr>
              <w:spacing w:before="40" w:after="20"/>
              <w:jc w:val="center"/>
              <w:rPr>
                <w:rFonts w:cs="Arial"/>
                <w:sz w:val="18"/>
                <w:szCs w:val="18"/>
              </w:rPr>
            </w:pPr>
            <w:r w:rsidRPr="001D41EA">
              <w:rPr>
                <w:rFonts w:cs="Arial"/>
                <w:sz w:val="18"/>
                <w:szCs w:val="18"/>
              </w:rPr>
              <w:t>1.045</w:t>
            </w:r>
          </w:p>
        </w:tc>
        <w:tc>
          <w:tcPr>
            <w:tcW w:w="1134" w:type="dxa"/>
            <w:tcBorders>
              <w:top w:val="nil"/>
              <w:left w:val="nil"/>
              <w:bottom w:val="nil"/>
              <w:right w:val="nil"/>
            </w:tcBorders>
            <w:vAlign w:val="bottom"/>
          </w:tcPr>
          <w:p w14:paraId="417ADE6E" w14:textId="451433E1" w:rsidR="00566EA9" w:rsidRPr="001D41EA" w:rsidRDefault="00566EA9" w:rsidP="001D41EA">
            <w:pPr>
              <w:spacing w:before="40" w:after="20"/>
              <w:jc w:val="center"/>
              <w:rPr>
                <w:rFonts w:cs="Arial"/>
                <w:sz w:val="18"/>
                <w:szCs w:val="18"/>
              </w:rPr>
            </w:pPr>
            <w:r w:rsidRPr="001D41EA">
              <w:rPr>
                <w:rFonts w:cs="Arial"/>
                <w:sz w:val="18"/>
                <w:szCs w:val="18"/>
              </w:rPr>
              <w:t>1.039</w:t>
            </w:r>
          </w:p>
        </w:tc>
        <w:tc>
          <w:tcPr>
            <w:tcW w:w="1134" w:type="dxa"/>
            <w:tcBorders>
              <w:top w:val="nil"/>
              <w:left w:val="nil"/>
              <w:bottom w:val="nil"/>
              <w:right w:val="nil"/>
            </w:tcBorders>
            <w:vAlign w:val="bottom"/>
          </w:tcPr>
          <w:p w14:paraId="67177EE8" w14:textId="33171B80" w:rsidR="00566EA9" w:rsidRPr="001D41EA" w:rsidRDefault="00566EA9" w:rsidP="001D41EA">
            <w:pPr>
              <w:spacing w:before="40" w:after="20"/>
              <w:jc w:val="center"/>
              <w:rPr>
                <w:rFonts w:cs="Arial"/>
                <w:sz w:val="18"/>
                <w:szCs w:val="18"/>
              </w:rPr>
            </w:pPr>
            <w:r w:rsidRPr="001D41EA">
              <w:rPr>
                <w:rFonts w:cs="Arial"/>
                <w:sz w:val="18"/>
                <w:szCs w:val="18"/>
              </w:rPr>
              <w:t>1.051</w:t>
            </w:r>
          </w:p>
        </w:tc>
        <w:tc>
          <w:tcPr>
            <w:tcW w:w="1134" w:type="dxa"/>
            <w:tcBorders>
              <w:top w:val="nil"/>
              <w:left w:val="nil"/>
              <w:bottom w:val="nil"/>
              <w:right w:val="nil"/>
            </w:tcBorders>
            <w:vAlign w:val="bottom"/>
          </w:tcPr>
          <w:p w14:paraId="21B3F715" w14:textId="1886D266" w:rsidR="00566EA9" w:rsidRPr="001D41EA" w:rsidRDefault="00566EA9" w:rsidP="001D41EA">
            <w:pPr>
              <w:spacing w:before="40" w:after="20"/>
              <w:jc w:val="center"/>
              <w:rPr>
                <w:rFonts w:cs="Arial"/>
                <w:sz w:val="18"/>
                <w:szCs w:val="18"/>
              </w:rPr>
            </w:pPr>
            <w:r w:rsidRPr="001D41EA">
              <w:rPr>
                <w:rFonts w:cs="Arial"/>
                <w:sz w:val="18"/>
                <w:szCs w:val="18"/>
              </w:rPr>
              <w:t>1.027</w:t>
            </w:r>
          </w:p>
        </w:tc>
        <w:tc>
          <w:tcPr>
            <w:tcW w:w="1134" w:type="dxa"/>
            <w:tcBorders>
              <w:top w:val="nil"/>
              <w:left w:val="nil"/>
              <w:bottom w:val="nil"/>
              <w:right w:val="nil"/>
            </w:tcBorders>
            <w:shd w:val="clear" w:color="auto" w:fill="auto"/>
            <w:vAlign w:val="bottom"/>
          </w:tcPr>
          <w:p w14:paraId="101AA14C" w14:textId="07423ED1" w:rsidR="00566EA9" w:rsidRPr="001D41EA" w:rsidRDefault="00566EA9" w:rsidP="001D41EA">
            <w:pPr>
              <w:spacing w:before="40" w:after="20"/>
              <w:jc w:val="center"/>
              <w:rPr>
                <w:rFonts w:cs="Arial"/>
                <w:sz w:val="18"/>
                <w:szCs w:val="18"/>
              </w:rPr>
            </w:pPr>
            <w:r w:rsidRPr="001D41EA">
              <w:rPr>
                <w:rFonts w:cs="Arial"/>
                <w:sz w:val="18"/>
                <w:szCs w:val="18"/>
              </w:rPr>
              <w:t>1.041</w:t>
            </w:r>
          </w:p>
        </w:tc>
      </w:tr>
      <w:tr w:rsidR="00566EA9" w:rsidRPr="001D41EA" w14:paraId="7DF9ADD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19891D4" w14:textId="77777777" w:rsidR="00566EA9" w:rsidRPr="001D41EA" w:rsidRDefault="00566EA9" w:rsidP="001D41EA">
            <w:pPr>
              <w:spacing w:before="40" w:after="20"/>
              <w:rPr>
                <w:rFonts w:cs="Arial"/>
                <w:sz w:val="18"/>
                <w:szCs w:val="18"/>
              </w:rPr>
            </w:pPr>
            <w:r w:rsidRPr="001D41EA">
              <w:rPr>
                <w:rFonts w:cs="Arial"/>
                <w:sz w:val="18"/>
                <w:szCs w:val="18"/>
              </w:rPr>
              <w:t>Moyne S</w:t>
            </w:r>
          </w:p>
        </w:tc>
        <w:tc>
          <w:tcPr>
            <w:tcW w:w="1134" w:type="dxa"/>
            <w:tcBorders>
              <w:top w:val="nil"/>
              <w:left w:val="single" w:sz="18" w:space="0" w:color="5F497A" w:themeColor="accent4" w:themeShade="BF"/>
              <w:bottom w:val="nil"/>
              <w:right w:val="nil"/>
            </w:tcBorders>
            <w:shd w:val="clear" w:color="auto" w:fill="auto"/>
            <w:vAlign w:val="bottom"/>
          </w:tcPr>
          <w:p w14:paraId="051F5BD1" w14:textId="13708E67" w:rsidR="00566EA9" w:rsidRPr="001D41EA" w:rsidRDefault="00566EA9" w:rsidP="001D41EA">
            <w:pPr>
              <w:spacing w:before="40" w:after="20"/>
              <w:jc w:val="center"/>
              <w:rPr>
                <w:rFonts w:cs="Arial"/>
                <w:sz w:val="18"/>
                <w:szCs w:val="18"/>
              </w:rPr>
            </w:pPr>
            <w:r w:rsidRPr="001D41EA">
              <w:rPr>
                <w:rFonts w:cs="Arial"/>
                <w:sz w:val="18"/>
                <w:szCs w:val="18"/>
              </w:rPr>
              <w:t>1.430</w:t>
            </w:r>
          </w:p>
        </w:tc>
        <w:tc>
          <w:tcPr>
            <w:tcW w:w="1134" w:type="dxa"/>
            <w:tcBorders>
              <w:top w:val="nil"/>
              <w:left w:val="nil"/>
              <w:bottom w:val="nil"/>
              <w:right w:val="nil"/>
            </w:tcBorders>
            <w:shd w:val="clear" w:color="auto" w:fill="auto"/>
            <w:vAlign w:val="bottom"/>
          </w:tcPr>
          <w:p w14:paraId="1F1226B0" w14:textId="6013BAEA" w:rsidR="00566EA9" w:rsidRPr="001D41EA" w:rsidRDefault="00566EA9" w:rsidP="001D41EA">
            <w:pPr>
              <w:spacing w:before="40" w:after="20"/>
              <w:jc w:val="center"/>
              <w:rPr>
                <w:rFonts w:cs="Arial"/>
                <w:sz w:val="18"/>
                <w:szCs w:val="18"/>
              </w:rPr>
            </w:pPr>
            <w:r w:rsidRPr="001D41EA">
              <w:rPr>
                <w:rFonts w:cs="Arial"/>
                <w:sz w:val="18"/>
                <w:szCs w:val="18"/>
              </w:rPr>
              <w:t>1.418</w:t>
            </w:r>
          </w:p>
        </w:tc>
        <w:tc>
          <w:tcPr>
            <w:tcW w:w="1134" w:type="dxa"/>
            <w:tcBorders>
              <w:top w:val="nil"/>
              <w:left w:val="nil"/>
              <w:bottom w:val="nil"/>
              <w:right w:val="nil"/>
            </w:tcBorders>
            <w:vAlign w:val="bottom"/>
          </w:tcPr>
          <w:p w14:paraId="1662E58A" w14:textId="6FF6975E" w:rsidR="00566EA9" w:rsidRPr="001D41EA" w:rsidRDefault="00566EA9" w:rsidP="001D41EA">
            <w:pPr>
              <w:spacing w:before="40" w:after="20"/>
              <w:jc w:val="center"/>
              <w:rPr>
                <w:rFonts w:cs="Arial"/>
                <w:sz w:val="18"/>
                <w:szCs w:val="18"/>
              </w:rPr>
            </w:pPr>
            <w:r w:rsidRPr="001D41EA">
              <w:rPr>
                <w:rFonts w:cs="Arial"/>
                <w:sz w:val="18"/>
                <w:szCs w:val="18"/>
              </w:rPr>
              <w:t>1.410</w:t>
            </w:r>
          </w:p>
        </w:tc>
        <w:tc>
          <w:tcPr>
            <w:tcW w:w="1134" w:type="dxa"/>
            <w:tcBorders>
              <w:top w:val="nil"/>
              <w:left w:val="nil"/>
              <w:bottom w:val="nil"/>
              <w:right w:val="nil"/>
            </w:tcBorders>
            <w:vAlign w:val="bottom"/>
          </w:tcPr>
          <w:p w14:paraId="5AF5EC27" w14:textId="6219F4B9" w:rsidR="00566EA9" w:rsidRPr="001D41EA" w:rsidRDefault="00566EA9" w:rsidP="001D41EA">
            <w:pPr>
              <w:spacing w:before="40" w:after="20"/>
              <w:jc w:val="center"/>
              <w:rPr>
                <w:rFonts w:cs="Arial"/>
                <w:sz w:val="18"/>
                <w:szCs w:val="18"/>
              </w:rPr>
            </w:pPr>
            <w:r w:rsidRPr="001D41EA">
              <w:rPr>
                <w:rFonts w:cs="Arial"/>
                <w:sz w:val="18"/>
                <w:szCs w:val="18"/>
              </w:rPr>
              <w:t>1.426</w:t>
            </w:r>
          </w:p>
        </w:tc>
        <w:tc>
          <w:tcPr>
            <w:tcW w:w="1134" w:type="dxa"/>
            <w:tcBorders>
              <w:top w:val="nil"/>
              <w:left w:val="nil"/>
              <w:bottom w:val="nil"/>
              <w:right w:val="nil"/>
            </w:tcBorders>
            <w:vAlign w:val="bottom"/>
          </w:tcPr>
          <w:p w14:paraId="6B0C8A10" w14:textId="18CE358D" w:rsidR="00566EA9" w:rsidRPr="001D41EA" w:rsidRDefault="00566EA9" w:rsidP="001D41EA">
            <w:pPr>
              <w:spacing w:before="40" w:after="20"/>
              <w:jc w:val="center"/>
              <w:rPr>
                <w:rFonts w:cs="Arial"/>
                <w:sz w:val="18"/>
                <w:szCs w:val="18"/>
              </w:rPr>
            </w:pPr>
            <w:r w:rsidRPr="001D41EA">
              <w:rPr>
                <w:rFonts w:cs="Arial"/>
                <w:sz w:val="18"/>
                <w:szCs w:val="18"/>
              </w:rPr>
              <w:t>1.393</w:t>
            </w:r>
          </w:p>
        </w:tc>
        <w:tc>
          <w:tcPr>
            <w:tcW w:w="1134" w:type="dxa"/>
            <w:tcBorders>
              <w:top w:val="nil"/>
              <w:left w:val="nil"/>
              <w:bottom w:val="nil"/>
              <w:right w:val="nil"/>
            </w:tcBorders>
            <w:shd w:val="clear" w:color="auto" w:fill="auto"/>
            <w:vAlign w:val="bottom"/>
          </w:tcPr>
          <w:p w14:paraId="5B198B16" w14:textId="39E91B9E" w:rsidR="00566EA9" w:rsidRPr="001D41EA" w:rsidRDefault="00566EA9" w:rsidP="001D41EA">
            <w:pPr>
              <w:spacing w:before="40" w:after="20"/>
              <w:jc w:val="center"/>
              <w:rPr>
                <w:rFonts w:cs="Arial"/>
                <w:sz w:val="18"/>
                <w:szCs w:val="18"/>
              </w:rPr>
            </w:pPr>
            <w:r w:rsidRPr="001D41EA">
              <w:rPr>
                <w:rFonts w:cs="Arial"/>
                <w:sz w:val="18"/>
                <w:szCs w:val="18"/>
              </w:rPr>
              <w:t>1.413</w:t>
            </w:r>
          </w:p>
        </w:tc>
      </w:tr>
      <w:tr w:rsidR="00566EA9" w:rsidRPr="001D41EA" w14:paraId="078ED9D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E8E4187" w14:textId="77777777" w:rsidR="00566EA9" w:rsidRPr="001D41EA" w:rsidRDefault="00566EA9" w:rsidP="001D41EA">
            <w:pPr>
              <w:spacing w:before="40" w:after="20"/>
              <w:rPr>
                <w:rFonts w:cs="Arial"/>
                <w:sz w:val="18"/>
                <w:szCs w:val="18"/>
              </w:rPr>
            </w:pPr>
            <w:r w:rsidRPr="001D41EA">
              <w:rPr>
                <w:rFonts w:cs="Arial"/>
                <w:sz w:val="18"/>
                <w:szCs w:val="18"/>
              </w:rPr>
              <w:t>Murrindindi S</w:t>
            </w:r>
          </w:p>
        </w:tc>
        <w:tc>
          <w:tcPr>
            <w:tcW w:w="1134" w:type="dxa"/>
            <w:tcBorders>
              <w:top w:val="nil"/>
              <w:left w:val="single" w:sz="18" w:space="0" w:color="5F497A" w:themeColor="accent4" w:themeShade="BF"/>
              <w:bottom w:val="nil"/>
              <w:right w:val="nil"/>
            </w:tcBorders>
            <w:shd w:val="clear" w:color="auto" w:fill="auto"/>
            <w:vAlign w:val="bottom"/>
          </w:tcPr>
          <w:p w14:paraId="6274DC24" w14:textId="3ED55B7C" w:rsidR="00566EA9" w:rsidRPr="001D41EA" w:rsidRDefault="00566EA9" w:rsidP="001D41EA">
            <w:pPr>
              <w:spacing w:before="40" w:after="20"/>
              <w:jc w:val="center"/>
              <w:rPr>
                <w:rFonts w:cs="Arial"/>
                <w:sz w:val="18"/>
                <w:szCs w:val="18"/>
              </w:rPr>
            </w:pPr>
            <w:r w:rsidRPr="001D41EA">
              <w:rPr>
                <w:rFonts w:cs="Arial"/>
                <w:sz w:val="18"/>
                <w:szCs w:val="18"/>
              </w:rPr>
              <w:t>1.582</w:t>
            </w:r>
          </w:p>
        </w:tc>
        <w:tc>
          <w:tcPr>
            <w:tcW w:w="1134" w:type="dxa"/>
            <w:tcBorders>
              <w:top w:val="nil"/>
              <w:left w:val="nil"/>
              <w:bottom w:val="nil"/>
              <w:right w:val="nil"/>
            </w:tcBorders>
            <w:shd w:val="clear" w:color="auto" w:fill="auto"/>
            <w:vAlign w:val="bottom"/>
          </w:tcPr>
          <w:p w14:paraId="382E33E9" w14:textId="1A236AC8" w:rsidR="00566EA9" w:rsidRPr="001D41EA" w:rsidRDefault="00566EA9" w:rsidP="001D41EA">
            <w:pPr>
              <w:spacing w:before="40" w:after="20"/>
              <w:jc w:val="center"/>
              <w:rPr>
                <w:rFonts w:cs="Arial"/>
                <w:sz w:val="18"/>
                <w:szCs w:val="18"/>
              </w:rPr>
            </w:pPr>
            <w:r w:rsidRPr="001D41EA">
              <w:rPr>
                <w:rFonts w:cs="Arial"/>
                <w:sz w:val="18"/>
                <w:szCs w:val="18"/>
              </w:rPr>
              <w:t>1.568</w:t>
            </w:r>
          </w:p>
        </w:tc>
        <w:tc>
          <w:tcPr>
            <w:tcW w:w="1134" w:type="dxa"/>
            <w:tcBorders>
              <w:top w:val="nil"/>
              <w:left w:val="nil"/>
              <w:bottom w:val="nil"/>
              <w:right w:val="nil"/>
            </w:tcBorders>
            <w:vAlign w:val="bottom"/>
          </w:tcPr>
          <w:p w14:paraId="5F8A3B86" w14:textId="5BC4401D" w:rsidR="00566EA9" w:rsidRPr="001D41EA" w:rsidRDefault="00566EA9" w:rsidP="001D41EA">
            <w:pPr>
              <w:spacing w:before="40" w:after="20"/>
              <w:jc w:val="center"/>
              <w:rPr>
                <w:rFonts w:cs="Arial"/>
                <w:sz w:val="18"/>
                <w:szCs w:val="18"/>
              </w:rPr>
            </w:pPr>
            <w:r w:rsidRPr="001D41EA">
              <w:rPr>
                <w:rFonts w:cs="Arial"/>
                <w:sz w:val="18"/>
                <w:szCs w:val="18"/>
              </w:rPr>
              <w:t>1.559</w:t>
            </w:r>
          </w:p>
        </w:tc>
        <w:tc>
          <w:tcPr>
            <w:tcW w:w="1134" w:type="dxa"/>
            <w:tcBorders>
              <w:top w:val="nil"/>
              <w:left w:val="nil"/>
              <w:bottom w:val="nil"/>
              <w:right w:val="nil"/>
            </w:tcBorders>
            <w:vAlign w:val="bottom"/>
          </w:tcPr>
          <w:p w14:paraId="4802F877" w14:textId="12DC80FD" w:rsidR="00566EA9" w:rsidRPr="001D41EA" w:rsidRDefault="00566EA9" w:rsidP="001D41EA">
            <w:pPr>
              <w:spacing w:before="40" w:after="20"/>
              <w:jc w:val="center"/>
              <w:rPr>
                <w:rFonts w:cs="Arial"/>
                <w:sz w:val="18"/>
                <w:szCs w:val="18"/>
              </w:rPr>
            </w:pPr>
            <w:r w:rsidRPr="001D41EA">
              <w:rPr>
                <w:rFonts w:cs="Arial"/>
                <w:sz w:val="18"/>
                <w:szCs w:val="18"/>
              </w:rPr>
              <w:t>1.578</w:t>
            </w:r>
          </w:p>
        </w:tc>
        <w:tc>
          <w:tcPr>
            <w:tcW w:w="1134" w:type="dxa"/>
            <w:tcBorders>
              <w:top w:val="nil"/>
              <w:left w:val="nil"/>
              <w:bottom w:val="nil"/>
              <w:right w:val="nil"/>
            </w:tcBorders>
            <w:vAlign w:val="bottom"/>
          </w:tcPr>
          <w:p w14:paraId="551A6144" w14:textId="304D2554" w:rsidR="00566EA9" w:rsidRPr="001D41EA" w:rsidRDefault="00566EA9" w:rsidP="001D41EA">
            <w:pPr>
              <w:spacing w:before="40" w:after="20"/>
              <w:jc w:val="center"/>
              <w:rPr>
                <w:rFonts w:cs="Arial"/>
                <w:sz w:val="18"/>
                <w:szCs w:val="18"/>
              </w:rPr>
            </w:pPr>
            <w:r w:rsidRPr="001D41EA">
              <w:rPr>
                <w:rFonts w:cs="Arial"/>
                <w:sz w:val="18"/>
                <w:szCs w:val="18"/>
              </w:rPr>
              <w:t>1.541</w:t>
            </w:r>
          </w:p>
        </w:tc>
        <w:tc>
          <w:tcPr>
            <w:tcW w:w="1134" w:type="dxa"/>
            <w:tcBorders>
              <w:top w:val="nil"/>
              <w:left w:val="nil"/>
              <w:bottom w:val="nil"/>
              <w:right w:val="nil"/>
            </w:tcBorders>
            <w:shd w:val="clear" w:color="auto" w:fill="auto"/>
            <w:vAlign w:val="bottom"/>
          </w:tcPr>
          <w:p w14:paraId="70124285" w14:textId="1A9DE2EE" w:rsidR="00566EA9" w:rsidRPr="001D41EA" w:rsidRDefault="00566EA9" w:rsidP="001D41EA">
            <w:pPr>
              <w:spacing w:before="40" w:after="20"/>
              <w:jc w:val="center"/>
              <w:rPr>
                <w:rFonts w:cs="Arial"/>
                <w:sz w:val="18"/>
                <w:szCs w:val="18"/>
              </w:rPr>
            </w:pPr>
            <w:r w:rsidRPr="001D41EA">
              <w:rPr>
                <w:rFonts w:cs="Arial"/>
                <w:sz w:val="18"/>
                <w:szCs w:val="18"/>
              </w:rPr>
              <w:t>1.563</w:t>
            </w:r>
          </w:p>
        </w:tc>
      </w:tr>
      <w:tr w:rsidR="00566EA9" w:rsidRPr="001D41EA" w14:paraId="169160A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E47A16A" w14:textId="77777777" w:rsidR="00566EA9" w:rsidRPr="001D41EA" w:rsidRDefault="00566EA9" w:rsidP="001D41EA">
            <w:pPr>
              <w:spacing w:before="40" w:after="20"/>
              <w:rPr>
                <w:rFonts w:cs="Arial"/>
                <w:sz w:val="18"/>
                <w:szCs w:val="18"/>
              </w:rPr>
            </w:pPr>
            <w:r w:rsidRPr="001D41EA">
              <w:rPr>
                <w:rFonts w:cs="Arial"/>
                <w:sz w:val="18"/>
                <w:szCs w:val="18"/>
              </w:rPr>
              <w:t>Nillumbik S</w:t>
            </w:r>
          </w:p>
        </w:tc>
        <w:tc>
          <w:tcPr>
            <w:tcW w:w="1134" w:type="dxa"/>
            <w:tcBorders>
              <w:top w:val="nil"/>
              <w:left w:val="single" w:sz="18" w:space="0" w:color="5F497A" w:themeColor="accent4" w:themeShade="BF"/>
              <w:bottom w:val="nil"/>
              <w:right w:val="nil"/>
            </w:tcBorders>
            <w:shd w:val="clear" w:color="auto" w:fill="auto"/>
            <w:vAlign w:val="bottom"/>
          </w:tcPr>
          <w:p w14:paraId="6D081B99" w14:textId="36178F04" w:rsidR="00566EA9" w:rsidRPr="001D41EA" w:rsidRDefault="00566EA9" w:rsidP="001D41EA">
            <w:pPr>
              <w:spacing w:before="40" w:after="20"/>
              <w:jc w:val="center"/>
              <w:rPr>
                <w:rFonts w:cs="Arial"/>
                <w:sz w:val="18"/>
                <w:szCs w:val="18"/>
              </w:rPr>
            </w:pPr>
            <w:r w:rsidRPr="001D41EA">
              <w:rPr>
                <w:rFonts w:cs="Arial"/>
                <w:sz w:val="18"/>
                <w:szCs w:val="18"/>
              </w:rPr>
              <w:t>0.923</w:t>
            </w:r>
          </w:p>
        </w:tc>
        <w:tc>
          <w:tcPr>
            <w:tcW w:w="1134" w:type="dxa"/>
            <w:tcBorders>
              <w:top w:val="nil"/>
              <w:left w:val="nil"/>
              <w:bottom w:val="nil"/>
              <w:right w:val="nil"/>
            </w:tcBorders>
            <w:shd w:val="clear" w:color="auto" w:fill="auto"/>
            <w:vAlign w:val="bottom"/>
          </w:tcPr>
          <w:p w14:paraId="6B17B058" w14:textId="40D65C07" w:rsidR="00566EA9" w:rsidRPr="001D41EA" w:rsidRDefault="00566EA9" w:rsidP="001D41EA">
            <w:pPr>
              <w:spacing w:before="40" w:after="20"/>
              <w:jc w:val="center"/>
              <w:rPr>
                <w:rFonts w:cs="Arial"/>
                <w:sz w:val="18"/>
                <w:szCs w:val="18"/>
              </w:rPr>
            </w:pPr>
            <w:r w:rsidRPr="001D41EA">
              <w:rPr>
                <w:rFonts w:cs="Arial"/>
                <w:sz w:val="18"/>
                <w:szCs w:val="18"/>
              </w:rPr>
              <w:t>0.915</w:t>
            </w:r>
          </w:p>
        </w:tc>
        <w:tc>
          <w:tcPr>
            <w:tcW w:w="1134" w:type="dxa"/>
            <w:tcBorders>
              <w:top w:val="nil"/>
              <w:left w:val="nil"/>
              <w:bottom w:val="nil"/>
              <w:right w:val="nil"/>
            </w:tcBorders>
            <w:vAlign w:val="bottom"/>
          </w:tcPr>
          <w:p w14:paraId="06D5123D" w14:textId="7A954EA2" w:rsidR="00566EA9" w:rsidRPr="001D41EA" w:rsidRDefault="00566EA9" w:rsidP="001D41EA">
            <w:pPr>
              <w:spacing w:before="40" w:after="20"/>
              <w:jc w:val="center"/>
              <w:rPr>
                <w:rFonts w:cs="Arial"/>
                <w:sz w:val="18"/>
                <w:szCs w:val="18"/>
              </w:rPr>
            </w:pPr>
            <w:r w:rsidRPr="001D41EA">
              <w:rPr>
                <w:rFonts w:cs="Arial"/>
                <w:sz w:val="18"/>
                <w:szCs w:val="18"/>
              </w:rPr>
              <w:t>0.910</w:t>
            </w:r>
          </w:p>
        </w:tc>
        <w:tc>
          <w:tcPr>
            <w:tcW w:w="1134" w:type="dxa"/>
            <w:tcBorders>
              <w:top w:val="nil"/>
              <w:left w:val="nil"/>
              <w:bottom w:val="nil"/>
              <w:right w:val="nil"/>
            </w:tcBorders>
            <w:vAlign w:val="bottom"/>
          </w:tcPr>
          <w:p w14:paraId="455F9D70" w14:textId="4CF691BD" w:rsidR="00566EA9" w:rsidRPr="001D41EA" w:rsidRDefault="00566EA9" w:rsidP="001D41EA">
            <w:pPr>
              <w:spacing w:before="40" w:after="20"/>
              <w:jc w:val="center"/>
              <w:rPr>
                <w:rFonts w:cs="Arial"/>
                <w:sz w:val="18"/>
                <w:szCs w:val="18"/>
              </w:rPr>
            </w:pPr>
            <w:r w:rsidRPr="001D41EA">
              <w:rPr>
                <w:rFonts w:cs="Arial"/>
                <w:sz w:val="18"/>
                <w:szCs w:val="18"/>
              </w:rPr>
              <w:t>0.921</w:t>
            </w:r>
          </w:p>
        </w:tc>
        <w:tc>
          <w:tcPr>
            <w:tcW w:w="1134" w:type="dxa"/>
            <w:tcBorders>
              <w:top w:val="nil"/>
              <w:left w:val="nil"/>
              <w:bottom w:val="nil"/>
              <w:right w:val="nil"/>
            </w:tcBorders>
            <w:vAlign w:val="bottom"/>
          </w:tcPr>
          <w:p w14:paraId="372961C9" w14:textId="2A41E74A" w:rsidR="00566EA9" w:rsidRPr="001D41EA" w:rsidRDefault="00566EA9" w:rsidP="001D41EA">
            <w:pPr>
              <w:spacing w:before="40" w:after="20"/>
              <w:jc w:val="center"/>
              <w:rPr>
                <w:rFonts w:cs="Arial"/>
                <w:sz w:val="18"/>
                <w:szCs w:val="18"/>
              </w:rPr>
            </w:pPr>
            <w:r w:rsidRPr="001D41EA">
              <w:rPr>
                <w:rFonts w:cs="Arial"/>
                <w:sz w:val="18"/>
                <w:szCs w:val="18"/>
              </w:rPr>
              <w:t>0.900</w:t>
            </w:r>
          </w:p>
        </w:tc>
        <w:tc>
          <w:tcPr>
            <w:tcW w:w="1134" w:type="dxa"/>
            <w:tcBorders>
              <w:top w:val="nil"/>
              <w:left w:val="nil"/>
              <w:bottom w:val="nil"/>
              <w:right w:val="nil"/>
            </w:tcBorders>
            <w:shd w:val="clear" w:color="auto" w:fill="auto"/>
            <w:vAlign w:val="bottom"/>
          </w:tcPr>
          <w:p w14:paraId="49993BA1" w14:textId="3D52BD60" w:rsidR="00566EA9" w:rsidRPr="001D41EA" w:rsidRDefault="00566EA9" w:rsidP="001D41EA">
            <w:pPr>
              <w:spacing w:before="40" w:after="20"/>
              <w:jc w:val="center"/>
              <w:rPr>
                <w:rFonts w:cs="Arial"/>
                <w:sz w:val="18"/>
                <w:szCs w:val="18"/>
              </w:rPr>
            </w:pPr>
            <w:r w:rsidRPr="001D41EA">
              <w:rPr>
                <w:rFonts w:cs="Arial"/>
                <w:sz w:val="18"/>
                <w:szCs w:val="18"/>
              </w:rPr>
              <w:t>0.912</w:t>
            </w:r>
          </w:p>
        </w:tc>
      </w:tr>
      <w:tr w:rsidR="00566EA9" w:rsidRPr="001D41EA" w14:paraId="2E44623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2351C30" w14:textId="77777777" w:rsidR="00566EA9" w:rsidRPr="001D41EA" w:rsidRDefault="00566EA9" w:rsidP="001D41EA">
            <w:pPr>
              <w:spacing w:before="40" w:after="20"/>
              <w:rPr>
                <w:rFonts w:cs="Arial"/>
                <w:sz w:val="18"/>
                <w:szCs w:val="18"/>
              </w:rPr>
            </w:pPr>
            <w:r w:rsidRPr="001D41EA">
              <w:rPr>
                <w:rFonts w:cs="Arial"/>
                <w:sz w:val="18"/>
                <w:szCs w:val="18"/>
              </w:rPr>
              <w:t>Northern Grampians S</w:t>
            </w:r>
          </w:p>
        </w:tc>
        <w:tc>
          <w:tcPr>
            <w:tcW w:w="1134" w:type="dxa"/>
            <w:tcBorders>
              <w:top w:val="nil"/>
              <w:left w:val="single" w:sz="18" w:space="0" w:color="5F497A" w:themeColor="accent4" w:themeShade="BF"/>
              <w:bottom w:val="nil"/>
              <w:right w:val="nil"/>
            </w:tcBorders>
            <w:shd w:val="clear" w:color="auto" w:fill="auto"/>
            <w:vAlign w:val="bottom"/>
          </w:tcPr>
          <w:p w14:paraId="2A874883" w14:textId="2A37EE42" w:rsidR="00566EA9" w:rsidRPr="001D41EA" w:rsidRDefault="00566EA9" w:rsidP="001D41EA">
            <w:pPr>
              <w:spacing w:before="40" w:after="20"/>
              <w:jc w:val="center"/>
              <w:rPr>
                <w:rFonts w:cs="Arial"/>
                <w:sz w:val="18"/>
                <w:szCs w:val="18"/>
              </w:rPr>
            </w:pPr>
            <w:r w:rsidRPr="001D41EA">
              <w:rPr>
                <w:rFonts w:cs="Arial"/>
                <w:sz w:val="18"/>
                <w:szCs w:val="18"/>
              </w:rPr>
              <w:t>1.436</w:t>
            </w:r>
          </w:p>
        </w:tc>
        <w:tc>
          <w:tcPr>
            <w:tcW w:w="1134" w:type="dxa"/>
            <w:tcBorders>
              <w:top w:val="nil"/>
              <w:left w:val="nil"/>
              <w:bottom w:val="nil"/>
              <w:right w:val="nil"/>
            </w:tcBorders>
            <w:shd w:val="clear" w:color="auto" w:fill="auto"/>
            <w:vAlign w:val="bottom"/>
          </w:tcPr>
          <w:p w14:paraId="22F592B9" w14:textId="3EBC2069" w:rsidR="00566EA9" w:rsidRPr="001D41EA" w:rsidRDefault="00566EA9" w:rsidP="001D41EA">
            <w:pPr>
              <w:spacing w:before="40" w:after="20"/>
              <w:jc w:val="center"/>
              <w:rPr>
                <w:rFonts w:cs="Arial"/>
                <w:sz w:val="18"/>
                <w:szCs w:val="18"/>
              </w:rPr>
            </w:pPr>
            <w:r w:rsidRPr="001D41EA">
              <w:rPr>
                <w:rFonts w:cs="Arial"/>
                <w:sz w:val="18"/>
                <w:szCs w:val="18"/>
              </w:rPr>
              <w:t>1.423</w:t>
            </w:r>
          </w:p>
        </w:tc>
        <w:tc>
          <w:tcPr>
            <w:tcW w:w="1134" w:type="dxa"/>
            <w:tcBorders>
              <w:top w:val="nil"/>
              <w:left w:val="nil"/>
              <w:bottom w:val="nil"/>
              <w:right w:val="nil"/>
            </w:tcBorders>
            <w:vAlign w:val="bottom"/>
          </w:tcPr>
          <w:p w14:paraId="420A8179" w14:textId="52342C18" w:rsidR="00566EA9" w:rsidRPr="001D41EA" w:rsidRDefault="00566EA9" w:rsidP="001D41EA">
            <w:pPr>
              <w:spacing w:before="40" w:after="20"/>
              <w:jc w:val="center"/>
              <w:rPr>
                <w:rFonts w:cs="Arial"/>
                <w:sz w:val="18"/>
                <w:szCs w:val="18"/>
              </w:rPr>
            </w:pPr>
            <w:r w:rsidRPr="001D41EA">
              <w:rPr>
                <w:rFonts w:cs="Arial"/>
                <w:sz w:val="18"/>
                <w:szCs w:val="18"/>
              </w:rPr>
              <w:t>1.415</w:t>
            </w:r>
          </w:p>
        </w:tc>
        <w:tc>
          <w:tcPr>
            <w:tcW w:w="1134" w:type="dxa"/>
            <w:tcBorders>
              <w:top w:val="nil"/>
              <w:left w:val="nil"/>
              <w:bottom w:val="nil"/>
              <w:right w:val="nil"/>
            </w:tcBorders>
            <w:vAlign w:val="bottom"/>
          </w:tcPr>
          <w:p w14:paraId="0BCCB8A7" w14:textId="368C674A" w:rsidR="00566EA9" w:rsidRPr="001D41EA" w:rsidRDefault="00566EA9" w:rsidP="001D41EA">
            <w:pPr>
              <w:spacing w:before="40" w:after="20"/>
              <w:jc w:val="center"/>
              <w:rPr>
                <w:rFonts w:cs="Arial"/>
                <w:sz w:val="18"/>
                <w:szCs w:val="18"/>
              </w:rPr>
            </w:pPr>
            <w:r w:rsidRPr="001D41EA">
              <w:rPr>
                <w:rFonts w:cs="Arial"/>
                <w:sz w:val="18"/>
                <w:szCs w:val="18"/>
              </w:rPr>
              <w:t>1.432</w:t>
            </w:r>
          </w:p>
        </w:tc>
        <w:tc>
          <w:tcPr>
            <w:tcW w:w="1134" w:type="dxa"/>
            <w:tcBorders>
              <w:top w:val="nil"/>
              <w:left w:val="nil"/>
              <w:bottom w:val="nil"/>
              <w:right w:val="nil"/>
            </w:tcBorders>
            <w:vAlign w:val="bottom"/>
          </w:tcPr>
          <w:p w14:paraId="2815D6A0" w14:textId="4363622A" w:rsidR="00566EA9" w:rsidRPr="001D41EA" w:rsidRDefault="00566EA9" w:rsidP="001D41EA">
            <w:pPr>
              <w:spacing w:before="40" w:after="20"/>
              <w:jc w:val="center"/>
              <w:rPr>
                <w:rFonts w:cs="Arial"/>
                <w:sz w:val="18"/>
                <w:szCs w:val="18"/>
              </w:rPr>
            </w:pPr>
            <w:r w:rsidRPr="001D41EA">
              <w:rPr>
                <w:rFonts w:cs="Arial"/>
                <w:sz w:val="18"/>
                <w:szCs w:val="18"/>
              </w:rPr>
              <w:t>1.399</w:t>
            </w:r>
          </w:p>
        </w:tc>
        <w:tc>
          <w:tcPr>
            <w:tcW w:w="1134" w:type="dxa"/>
            <w:tcBorders>
              <w:top w:val="nil"/>
              <w:left w:val="nil"/>
              <w:bottom w:val="nil"/>
              <w:right w:val="nil"/>
            </w:tcBorders>
            <w:shd w:val="clear" w:color="auto" w:fill="auto"/>
            <w:vAlign w:val="bottom"/>
          </w:tcPr>
          <w:p w14:paraId="68D77F88" w14:textId="56B9CEC1" w:rsidR="00566EA9" w:rsidRPr="001D41EA" w:rsidRDefault="00566EA9" w:rsidP="001D41EA">
            <w:pPr>
              <w:spacing w:before="40" w:after="20"/>
              <w:jc w:val="center"/>
              <w:rPr>
                <w:rFonts w:cs="Arial"/>
                <w:sz w:val="18"/>
                <w:szCs w:val="18"/>
              </w:rPr>
            </w:pPr>
            <w:r w:rsidRPr="001D41EA">
              <w:rPr>
                <w:rFonts w:cs="Arial"/>
                <w:sz w:val="18"/>
                <w:szCs w:val="18"/>
              </w:rPr>
              <w:t>1.418</w:t>
            </w:r>
          </w:p>
        </w:tc>
      </w:tr>
      <w:tr w:rsidR="00566EA9" w:rsidRPr="001D41EA" w14:paraId="7F6026A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078C1B5" w14:textId="77777777" w:rsidR="00566EA9" w:rsidRPr="001D41EA" w:rsidRDefault="00566EA9" w:rsidP="001D41EA">
            <w:pPr>
              <w:spacing w:before="40" w:after="20"/>
              <w:rPr>
                <w:rFonts w:cs="Arial"/>
                <w:sz w:val="18"/>
                <w:szCs w:val="18"/>
              </w:rPr>
            </w:pPr>
            <w:r w:rsidRPr="001D41EA">
              <w:rPr>
                <w:rFonts w:cs="Arial"/>
                <w:sz w:val="18"/>
                <w:szCs w:val="18"/>
              </w:rPr>
              <w:t>Port Phillip C</w:t>
            </w:r>
          </w:p>
        </w:tc>
        <w:tc>
          <w:tcPr>
            <w:tcW w:w="1134" w:type="dxa"/>
            <w:tcBorders>
              <w:top w:val="nil"/>
              <w:left w:val="single" w:sz="18" w:space="0" w:color="5F497A" w:themeColor="accent4" w:themeShade="BF"/>
              <w:bottom w:val="nil"/>
              <w:right w:val="nil"/>
            </w:tcBorders>
            <w:shd w:val="clear" w:color="auto" w:fill="auto"/>
            <w:vAlign w:val="bottom"/>
          </w:tcPr>
          <w:p w14:paraId="03ABFB8C" w14:textId="313DB8BA" w:rsidR="00566EA9" w:rsidRPr="001D41EA" w:rsidRDefault="00566EA9" w:rsidP="001D41EA">
            <w:pPr>
              <w:spacing w:before="40" w:after="2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77DDE593" w14:textId="27E47FA7" w:rsidR="00566EA9" w:rsidRPr="001D41EA" w:rsidRDefault="00566EA9" w:rsidP="001D41EA">
            <w:pPr>
              <w:spacing w:before="40" w:after="2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16BD2FB1" w14:textId="0401F978" w:rsidR="00566EA9" w:rsidRPr="001D41EA" w:rsidRDefault="00566EA9" w:rsidP="001D41EA">
            <w:pPr>
              <w:spacing w:before="40" w:after="2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3F6AC756" w14:textId="5ACC353A" w:rsidR="00566EA9" w:rsidRPr="001D41EA" w:rsidRDefault="00566EA9" w:rsidP="001D41EA">
            <w:pPr>
              <w:spacing w:before="40" w:after="2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72DB535E" w14:textId="6722DA98" w:rsidR="00566EA9" w:rsidRPr="001D41EA" w:rsidRDefault="00566EA9" w:rsidP="001D41EA">
            <w:pPr>
              <w:spacing w:before="40" w:after="2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631A3495" w14:textId="3F28E1F8" w:rsidR="00566EA9" w:rsidRPr="001D41EA" w:rsidRDefault="00566EA9" w:rsidP="001D41EA">
            <w:pPr>
              <w:spacing w:before="40" w:after="20"/>
              <w:jc w:val="center"/>
              <w:rPr>
                <w:rFonts w:cs="Arial"/>
                <w:sz w:val="18"/>
                <w:szCs w:val="18"/>
              </w:rPr>
            </w:pPr>
            <w:r w:rsidRPr="001D41EA">
              <w:rPr>
                <w:rFonts w:cs="Arial"/>
                <w:sz w:val="18"/>
                <w:szCs w:val="18"/>
              </w:rPr>
              <w:t>0.885</w:t>
            </w:r>
          </w:p>
        </w:tc>
      </w:tr>
      <w:tr w:rsidR="00566EA9" w:rsidRPr="001D41EA" w14:paraId="2410235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6B78513" w14:textId="77777777" w:rsidR="00566EA9" w:rsidRPr="001D41EA" w:rsidRDefault="00566EA9" w:rsidP="001D41EA">
            <w:pPr>
              <w:spacing w:before="40" w:after="20"/>
              <w:rPr>
                <w:rFonts w:cs="Arial"/>
                <w:sz w:val="18"/>
                <w:szCs w:val="18"/>
              </w:rPr>
            </w:pPr>
            <w:r w:rsidRPr="001D41EA">
              <w:rPr>
                <w:rFonts w:cs="Arial"/>
                <w:sz w:val="18"/>
                <w:szCs w:val="18"/>
              </w:rPr>
              <w:t>Pyrenees S</w:t>
            </w:r>
          </w:p>
        </w:tc>
        <w:tc>
          <w:tcPr>
            <w:tcW w:w="1134" w:type="dxa"/>
            <w:tcBorders>
              <w:top w:val="nil"/>
              <w:left w:val="single" w:sz="18" w:space="0" w:color="5F497A" w:themeColor="accent4" w:themeShade="BF"/>
              <w:bottom w:val="nil"/>
              <w:right w:val="nil"/>
            </w:tcBorders>
            <w:shd w:val="clear" w:color="auto" w:fill="auto"/>
            <w:vAlign w:val="bottom"/>
          </w:tcPr>
          <w:p w14:paraId="6978EA90" w14:textId="1E71BE63" w:rsidR="00566EA9" w:rsidRPr="001D41EA" w:rsidRDefault="00566EA9" w:rsidP="001D41EA">
            <w:pPr>
              <w:spacing w:before="40" w:after="20"/>
              <w:jc w:val="center"/>
              <w:rPr>
                <w:rFonts w:cs="Arial"/>
                <w:sz w:val="18"/>
                <w:szCs w:val="18"/>
              </w:rPr>
            </w:pPr>
            <w:r w:rsidRPr="001D41EA">
              <w:rPr>
                <w:rFonts w:cs="Arial"/>
                <w:sz w:val="18"/>
                <w:szCs w:val="18"/>
              </w:rPr>
              <w:t>1.386</w:t>
            </w:r>
          </w:p>
        </w:tc>
        <w:tc>
          <w:tcPr>
            <w:tcW w:w="1134" w:type="dxa"/>
            <w:tcBorders>
              <w:top w:val="nil"/>
              <w:left w:val="nil"/>
              <w:bottom w:val="nil"/>
              <w:right w:val="nil"/>
            </w:tcBorders>
            <w:shd w:val="clear" w:color="auto" w:fill="auto"/>
            <w:vAlign w:val="bottom"/>
          </w:tcPr>
          <w:p w14:paraId="5ECB8D26" w14:textId="0CA1A6E6" w:rsidR="00566EA9" w:rsidRPr="001D41EA" w:rsidRDefault="00566EA9" w:rsidP="001D41EA">
            <w:pPr>
              <w:spacing w:before="40" w:after="20"/>
              <w:jc w:val="center"/>
              <w:rPr>
                <w:rFonts w:cs="Arial"/>
                <w:sz w:val="18"/>
                <w:szCs w:val="18"/>
              </w:rPr>
            </w:pPr>
            <w:r w:rsidRPr="001D41EA">
              <w:rPr>
                <w:rFonts w:cs="Arial"/>
                <w:sz w:val="18"/>
                <w:szCs w:val="18"/>
              </w:rPr>
              <w:t>1.374</w:t>
            </w:r>
          </w:p>
        </w:tc>
        <w:tc>
          <w:tcPr>
            <w:tcW w:w="1134" w:type="dxa"/>
            <w:tcBorders>
              <w:top w:val="nil"/>
              <w:left w:val="nil"/>
              <w:bottom w:val="nil"/>
              <w:right w:val="nil"/>
            </w:tcBorders>
            <w:vAlign w:val="bottom"/>
          </w:tcPr>
          <w:p w14:paraId="41F2C7CA" w14:textId="308C6B3F" w:rsidR="00566EA9" w:rsidRPr="001D41EA" w:rsidRDefault="00566EA9" w:rsidP="001D41EA">
            <w:pPr>
              <w:spacing w:before="40" w:after="20"/>
              <w:jc w:val="center"/>
              <w:rPr>
                <w:rFonts w:cs="Arial"/>
                <w:sz w:val="18"/>
                <w:szCs w:val="18"/>
              </w:rPr>
            </w:pPr>
            <w:r w:rsidRPr="001D41EA">
              <w:rPr>
                <w:rFonts w:cs="Arial"/>
                <w:sz w:val="18"/>
                <w:szCs w:val="18"/>
              </w:rPr>
              <w:t>1.367</w:t>
            </w:r>
          </w:p>
        </w:tc>
        <w:tc>
          <w:tcPr>
            <w:tcW w:w="1134" w:type="dxa"/>
            <w:tcBorders>
              <w:top w:val="nil"/>
              <w:left w:val="nil"/>
              <w:bottom w:val="nil"/>
              <w:right w:val="nil"/>
            </w:tcBorders>
            <w:vAlign w:val="bottom"/>
          </w:tcPr>
          <w:p w14:paraId="5FE24C29" w14:textId="15FB1160" w:rsidR="00566EA9" w:rsidRPr="001D41EA" w:rsidRDefault="00566EA9" w:rsidP="001D41EA">
            <w:pPr>
              <w:spacing w:before="40" w:after="20"/>
              <w:jc w:val="center"/>
              <w:rPr>
                <w:rFonts w:cs="Arial"/>
                <w:sz w:val="18"/>
                <w:szCs w:val="18"/>
              </w:rPr>
            </w:pPr>
            <w:r w:rsidRPr="001D41EA">
              <w:rPr>
                <w:rFonts w:cs="Arial"/>
                <w:sz w:val="18"/>
                <w:szCs w:val="18"/>
              </w:rPr>
              <w:t>1.383</w:t>
            </w:r>
          </w:p>
        </w:tc>
        <w:tc>
          <w:tcPr>
            <w:tcW w:w="1134" w:type="dxa"/>
            <w:tcBorders>
              <w:top w:val="nil"/>
              <w:left w:val="nil"/>
              <w:bottom w:val="nil"/>
              <w:right w:val="nil"/>
            </w:tcBorders>
            <w:vAlign w:val="bottom"/>
          </w:tcPr>
          <w:p w14:paraId="19E77A2F" w14:textId="5BD66046" w:rsidR="00566EA9" w:rsidRPr="001D41EA" w:rsidRDefault="00566EA9" w:rsidP="001D41EA">
            <w:pPr>
              <w:spacing w:before="40" w:after="20"/>
              <w:jc w:val="center"/>
              <w:rPr>
                <w:rFonts w:cs="Arial"/>
                <w:sz w:val="18"/>
                <w:szCs w:val="18"/>
              </w:rPr>
            </w:pPr>
            <w:r w:rsidRPr="001D41EA">
              <w:rPr>
                <w:rFonts w:cs="Arial"/>
                <w:sz w:val="18"/>
                <w:szCs w:val="18"/>
              </w:rPr>
              <w:t>1.351</w:t>
            </w:r>
          </w:p>
        </w:tc>
        <w:tc>
          <w:tcPr>
            <w:tcW w:w="1134" w:type="dxa"/>
            <w:tcBorders>
              <w:top w:val="nil"/>
              <w:left w:val="nil"/>
              <w:bottom w:val="nil"/>
              <w:right w:val="nil"/>
            </w:tcBorders>
            <w:shd w:val="clear" w:color="auto" w:fill="auto"/>
            <w:vAlign w:val="bottom"/>
          </w:tcPr>
          <w:p w14:paraId="604722D5" w14:textId="4A383372" w:rsidR="00566EA9" w:rsidRPr="001D41EA" w:rsidRDefault="00566EA9" w:rsidP="001D41EA">
            <w:pPr>
              <w:spacing w:before="40" w:after="20"/>
              <w:jc w:val="center"/>
              <w:rPr>
                <w:rFonts w:cs="Arial"/>
                <w:sz w:val="18"/>
                <w:szCs w:val="18"/>
              </w:rPr>
            </w:pPr>
            <w:r w:rsidRPr="001D41EA">
              <w:rPr>
                <w:rFonts w:cs="Arial"/>
                <w:sz w:val="18"/>
                <w:szCs w:val="18"/>
              </w:rPr>
              <w:t>1.369</w:t>
            </w:r>
          </w:p>
        </w:tc>
      </w:tr>
      <w:tr w:rsidR="00566EA9" w:rsidRPr="001D41EA" w14:paraId="7D432BC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A2891E8" w14:textId="77777777" w:rsidR="00566EA9" w:rsidRPr="001D41EA" w:rsidRDefault="00566EA9" w:rsidP="001D41EA">
            <w:pPr>
              <w:spacing w:before="40" w:after="20"/>
              <w:rPr>
                <w:rFonts w:cs="Arial"/>
                <w:sz w:val="18"/>
                <w:szCs w:val="18"/>
              </w:rPr>
            </w:pPr>
            <w:r w:rsidRPr="001D41EA">
              <w:rPr>
                <w:rFonts w:cs="Arial"/>
                <w:sz w:val="18"/>
                <w:szCs w:val="18"/>
              </w:rPr>
              <w:t>Queenscliffe B</w:t>
            </w:r>
          </w:p>
        </w:tc>
        <w:tc>
          <w:tcPr>
            <w:tcW w:w="1134" w:type="dxa"/>
            <w:tcBorders>
              <w:top w:val="nil"/>
              <w:left w:val="single" w:sz="18" w:space="0" w:color="5F497A" w:themeColor="accent4" w:themeShade="BF"/>
              <w:bottom w:val="nil"/>
              <w:right w:val="nil"/>
            </w:tcBorders>
            <w:shd w:val="clear" w:color="auto" w:fill="auto"/>
            <w:vAlign w:val="bottom"/>
          </w:tcPr>
          <w:p w14:paraId="217227D5" w14:textId="691A8A55" w:rsidR="00566EA9" w:rsidRPr="001D41EA" w:rsidRDefault="00566EA9" w:rsidP="001D41EA">
            <w:pPr>
              <w:spacing w:before="40" w:after="2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336ED2D9" w14:textId="3A39CAA0" w:rsidR="00566EA9" w:rsidRPr="001D41EA" w:rsidRDefault="00566EA9" w:rsidP="001D41EA">
            <w:pPr>
              <w:spacing w:before="40" w:after="2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3D9B98B6" w14:textId="561F3D9B" w:rsidR="00566EA9" w:rsidRPr="001D41EA" w:rsidRDefault="00566EA9" w:rsidP="001D41EA">
            <w:pPr>
              <w:spacing w:before="40" w:after="2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5216E9C3" w14:textId="078B4937" w:rsidR="00566EA9" w:rsidRPr="001D41EA" w:rsidRDefault="00566EA9" w:rsidP="001D41EA">
            <w:pPr>
              <w:spacing w:before="40" w:after="2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153E5BB5" w14:textId="058477A9" w:rsidR="00566EA9" w:rsidRPr="001D41EA" w:rsidRDefault="00566EA9" w:rsidP="001D41EA">
            <w:pPr>
              <w:spacing w:before="40" w:after="2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1450DD36" w14:textId="45EF361B" w:rsidR="00566EA9" w:rsidRPr="001D41EA" w:rsidRDefault="00566EA9" w:rsidP="001D41EA">
            <w:pPr>
              <w:spacing w:before="40" w:after="20"/>
              <w:jc w:val="center"/>
              <w:rPr>
                <w:rFonts w:cs="Arial"/>
                <w:sz w:val="18"/>
                <w:szCs w:val="18"/>
              </w:rPr>
            </w:pPr>
            <w:r w:rsidRPr="001D41EA">
              <w:rPr>
                <w:rFonts w:cs="Arial"/>
                <w:sz w:val="18"/>
                <w:szCs w:val="18"/>
              </w:rPr>
              <w:t>0.885</w:t>
            </w:r>
          </w:p>
        </w:tc>
      </w:tr>
      <w:tr w:rsidR="00566EA9" w:rsidRPr="001D41EA" w14:paraId="5E109EC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4F30587" w14:textId="77777777" w:rsidR="00566EA9" w:rsidRPr="001D41EA" w:rsidRDefault="00566EA9" w:rsidP="001D41EA">
            <w:pPr>
              <w:spacing w:before="40" w:after="20"/>
              <w:rPr>
                <w:rFonts w:cs="Arial"/>
                <w:sz w:val="18"/>
                <w:szCs w:val="18"/>
              </w:rPr>
            </w:pPr>
            <w:r w:rsidRPr="001D41EA">
              <w:rPr>
                <w:rFonts w:cs="Arial"/>
                <w:sz w:val="18"/>
                <w:szCs w:val="18"/>
              </w:rPr>
              <w:t>South Gippsland S</w:t>
            </w:r>
          </w:p>
        </w:tc>
        <w:tc>
          <w:tcPr>
            <w:tcW w:w="1134" w:type="dxa"/>
            <w:tcBorders>
              <w:top w:val="nil"/>
              <w:left w:val="single" w:sz="18" w:space="0" w:color="5F497A" w:themeColor="accent4" w:themeShade="BF"/>
              <w:bottom w:val="nil"/>
              <w:right w:val="nil"/>
            </w:tcBorders>
            <w:shd w:val="clear" w:color="auto" w:fill="auto"/>
            <w:vAlign w:val="bottom"/>
          </w:tcPr>
          <w:p w14:paraId="4A27C151" w14:textId="04FB8DFE" w:rsidR="00566EA9" w:rsidRPr="001D41EA" w:rsidRDefault="00566EA9" w:rsidP="001D41EA">
            <w:pPr>
              <w:spacing w:before="40" w:after="20"/>
              <w:jc w:val="center"/>
              <w:rPr>
                <w:rFonts w:cs="Arial"/>
                <w:sz w:val="18"/>
                <w:szCs w:val="18"/>
              </w:rPr>
            </w:pPr>
            <w:r w:rsidRPr="001D41EA">
              <w:rPr>
                <w:rFonts w:cs="Arial"/>
                <w:sz w:val="18"/>
                <w:szCs w:val="18"/>
              </w:rPr>
              <w:t>1.332</w:t>
            </w:r>
          </w:p>
        </w:tc>
        <w:tc>
          <w:tcPr>
            <w:tcW w:w="1134" w:type="dxa"/>
            <w:tcBorders>
              <w:top w:val="nil"/>
              <w:left w:val="nil"/>
              <w:bottom w:val="nil"/>
              <w:right w:val="nil"/>
            </w:tcBorders>
            <w:shd w:val="clear" w:color="auto" w:fill="auto"/>
            <w:vAlign w:val="bottom"/>
          </w:tcPr>
          <w:p w14:paraId="72301FE2" w14:textId="4182F721" w:rsidR="00566EA9" w:rsidRPr="001D41EA" w:rsidRDefault="00566EA9" w:rsidP="001D41EA">
            <w:pPr>
              <w:spacing w:before="40" w:after="20"/>
              <w:jc w:val="center"/>
              <w:rPr>
                <w:rFonts w:cs="Arial"/>
                <w:sz w:val="18"/>
                <w:szCs w:val="18"/>
              </w:rPr>
            </w:pPr>
            <w:r w:rsidRPr="001D41EA">
              <w:rPr>
                <w:rFonts w:cs="Arial"/>
                <w:sz w:val="18"/>
                <w:szCs w:val="18"/>
              </w:rPr>
              <w:t>1.320</w:t>
            </w:r>
          </w:p>
        </w:tc>
        <w:tc>
          <w:tcPr>
            <w:tcW w:w="1134" w:type="dxa"/>
            <w:tcBorders>
              <w:top w:val="nil"/>
              <w:left w:val="nil"/>
              <w:bottom w:val="nil"/>
              <w:right w:val="nil"/>
            </w:tcBorders>
            <w:vAlign w:val="bottom"/>
          </w:tcPr>
          <w:p w14:paraId="3B440AAD" w14:textId="584F8D1F" w:rsidR="00566EA9" w:rsidRPr="001D41EA" w:rsidRDefault="00566EA9" w:rsidP="001D41EA">
            <w:pPr>
              <w:spacing w:before="40" w:after="20"/>
              <w:jc w:val="center"/>
              <w:rPr>
                <w:rFonts w:cs="Arial"/>
                <w:sz w:val="18"/>
                <w:szCs w:val="18"/>
              </w:rPr>
            </w:pPr>
            <w:r w:rsidRPr="001D41EA">
              <w:rPr>
                <w:rFonts w:cs="Arial"/>
                <w:sz w:val="18"/>
                <w:szCs w:val="18"/>
              </w:rPr>
              <w:t>1.312</w:t>
            </w:r>
          </w:p>
        </w:tc>
        <w:tc>
          <w:tcPr>
            <w:tcW w:w="1134" w:type="dxa"/>
            <w:tcBorders>
              <w:top w:val="nil"/>
              <w:left w:val="nil"/>
              <w:bottom w:val="nil"/>
              <w:right w:val="nil"/>
            </w:tcBorders>
            <w:vAlign w:val="bottom"/>
          </w:tcPr>
          <w:p w14:paraId="6C262B01" w14:textId="7EE5B9D2" w:rsidR="00566EA9" w:rsidRPr="001D41EA" w:rsidRDefault="00566EA9" w:rsidP="001D41EA">
            <w:pPr>
              <w:spacing w:before="40" w:after="20"/>
              <w:jc w:val="center"/>
              <w:rPr>
                <w:rFonts w:cs="Arial"/>
                <w:sz w:val="18"/>
                <w:szCs w:val="18"/>
              </w:rPr>
            </w:pPr>
            <w:r w:rsidRPr="001D41EA">
              <w:rPr>
                <w:rFonts w:cs="Arial"/>
                <w:sz w:val="18"/>
                <w:szCs w:val="18"/>
              </w:rPr>
              <w:t>1.328</w:t>
            </w:r>
          </w:p>
        </w:tc>
        <w:tc>
          <w:tcPr>
            <w:tcW w:w="1134" w:type="dxa"/>
            <w:tcBorders>
              <w:top w:val="nil"/>
              <w:left w:val="nil"/>
              <w:bottom w:val="nil"/>
              <w:right w:val="nil"/>
            </w:tcBorders>
            <w:vAlign w:val="bottom"/>
          </w:tcPr>
          <w:p w14:paraId="3C5A6624" w14:textId="4E16AC24" w:rsidR="00566EA9" w:rsidRPr="001D41EA" w:rsidRDefault="00566EA9" w:rsidP="001D41EA">
            <w:pPr>
              <w:spacing w:before="40" w:after="20"/>
              <w:jc w:val="center"/>
              <w:rPr>
                <w:rFonts w:cs="Arial"/>
                <w:sz w:val="18"/>
                <w:szCs w:val="18"/>
              </w:rPr>
            </w:pPr>
            <w:r w:rsidRPr="001D41EA">
              <w:rPr>
                <w:rFonts w:cs="Arial"/>
                <w:sz w:val="18"/>
                <w:szCs w:val="18"/>
              </w:rPr>
              <w:t>1.297</w:t>
            </w:r>
          </w:p>
        </w:tc>
        <w:tc>
          <w:tcPr>
            <w:tcW w:w="1134" w:type="dxa"/>
            <w:tcBorders>
              <w:top w:val="nil"/>
              <w:left w:val="nil"/>
              <w:bottom w:val="nil"/>
              <w:right w:val="nil"/>
            </w:tcBorders>
            <w:shd w:val="clear" w:color="auto" w:fill="auto"/>
            <w:vAlign w:val="bottom"/>
          </w:tcPr>
          <w:p w14:paraId="730D3E01" w14:textId="56D6CED9" w:rsidR="00566EA9" w:rsidRPr="001D41EA" w:rsidRDefault="00566EA9" w:rsidP="001D41EA">
            <w:pPr>
              <w:spacing w:before="40" w:after="20"/>
              <w:jc w:val="center"/>
              <w:rPr>
                <w:rFonts w:cs="Arial"/>
                <w:sz w:val="18"/>
                <w:szCs w:val="18"/>
              </w:rPr>
            </w:pPr>
            <w:r w:rsidRPr="001D41EA">
              <w:rPr>
                <w:rFonts w:cs="Arial"/>
                <w:sz w:val="18"/>
                <w:szCs w:val="18"/>
              </w:rPr>
              <w:t>1.315</w:t>
            </w:r>
          </w:p>
        </w:tc>
      </w:tr>
      <w:tr w:rsidR="00566EA9" w:rsidRPr="001D41EA" w14:paraId="3FDF8A9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EA82038" w14:textId="77777777" w:rsidR="00566EA9" w:rsidRPr="001D41EA" w:rsidRDefault="00566EA9" w:rsidP="001D41EA">
            <w:pPr>
              <w:spacing w:before="40" w:after="20"/>
              <w:rPr>
                <w:rFonts w:cs="Arial"/>
                <w:sz w:val="18"/>
                <w:szCs w:val="18"/>
              </w:rPr>
            </w:pPr>
            <w:r w:rsidRPr="001D41EA">
              <w:rPr>
                <w:rFonts w:cs="Arial"/>
                <w:sz w:val="18"/>
                <w:szCs w:val="18"/>
              </w:rPr>
              <w:t>Southern Grampians S</w:t>
            </w:r>
          </w:p>
        </w:tc>
        <w:tc>
          <w:tcPr>
            <w:tcW w:w="1134" w:type="dxa"/>
            <w:tcBorders>
              <w:top w:val="nil"/>
              <w:left w:val="single" w:sz="18" w:space="0" w:color="5F497A" w:themeColor="accent4" w:themeShade="BF"/>
              <w:bottom w:val="nil"/>
              <w:right w:val="nil"/>
            </w:tcBorders>
            <w:shd w:val="clear" w:color="auto" w:fill="auto"/>
            <w:vAlign w:val="bottom"/>
          </w:tcPr>
          <w:p w14:paraId="52E8DBB6" w14:textId="09CA38A5" w:rsidR="00566EA9" w:rsidRPr="001D41EA" w:rsidRDefault="00566EA9" w:rsidP="001D41EA">
            <w:pPr>
              <w:spacing w:before="40" w:after="20"/>
              <w:jc w:val="center"/>
              <w:rPr>
                <w:rFonts w:cs="Arial"/>
                <w:sz w:val="18"/>
                <w:szCs w:val="18"/>
              </w:rPr>
            </w:pPr>
            <w:r w:rsidRPr="001D41EA">
              <w:rPr>
                <w:rFonts w:cs="Arial"/>
                <w:sz w:val="18"/>
                <w:szCs w:val="18"/>
              </w:rPr>
              <w:t>1.187</w:t>
            </w:r>
          </w:p>
        </w:tc>
        <w:tc>
          <w:tcPr>
            <w:tcW w:w="1134" w:type="dxa"/>
            <w:tcBorders>
              <w:top w:val="nil"/>
              <w:left w:val="nil"/>
              <w:bottom w:val="nil"/>
              <w:right w:val="nil"/>
            </w:tcBorders>
            <w:shd w:val="clear" w:color="auto" w:fill="auto"/>
            <w:vAlign w:val="bottom"/>
          </w:tcPr>
          <w:p w14:paraId="4A41A703" w14:textId="2DEBD54E" w:rsidR="00566EA9" w:rsidRPr="001D41EA" w:rsidRDefault="00566EA9" w:rsidP="001D41EA">
            <w:pPr>
              <w:spacing w:before="40" w:after="20"/>
              <w:jc w:val="center"/>
              <w:rPr>
                <w:rFonts w:cs="Arial"/>
                <w:sz w:val="18"/>
                <w:szCs w:val="18"/>
              </w:rPr>
            </w:pPr>
            <w:r w:rsidRPr="001D41EA">
              <w:rPr>
                <w:rFonts w:cs="Arial"/>
                <w:sz w:val="18"/>
                <w:szCs w:val="18"/>
              </w:rPr>
              <w:t>1.177</w:t>
            </w:r>
          </w:p>
        </w:tc>
        <w:tc>
          <w:tcPr>
            <w:tcW w:w="1134" w:type="dxa"/>
            <w:tcBorders>
              <w:top w:val="nil"/>
              <w:left w:val="nil"/>
              <w:bottom w:val="nil"/>
              <w:right w:val="nil"/>
            </w:tcBorders>
            <w:vAlign w:val="bottom"/>
          </w:tcPr>
          <w:p w14:paraId="53B10C62" w14:textId="4B62D020" w:rsidR="00566EA9" w:rsidRPr="001D41EA" w:rsidRDefault="00566EA9" w:rsidP="001D41EA">
            <w:pPr>
              <w:spacing w:before="40" w:after="20"/>
              <w:jc w:val="center"/>
              <w:rPr>
                <w:rFonts w:cs="Arial"/>
                <w:sz w:val="18"/>
                <w:szCs w:val="18"/>
              </w:rPr>
            </w:pPr>
            <w:r w:rsidRPr="001D41EA">
              <w:rPr>
                <w:rFonts w:cs="Arial"/>
                <w:sz w:val="18"/>
                <w:szCs w:val="18"/>
              </w:rPr>
              <w:t>1.170</w:t>
            </w:r>
          </w:p>
        </w:tc>
        <w:tc>
          <w:tcPr>
            <w:tcW w:w="1134" w:type="dxa"/>
            <w:tcBorders>
              <w:top w:val="nil"/>
              <w:left w:val="nil"/>
              <w:bottom w:val="nil"/>
              <w:right w:val="nil"/>
            </w:tcBorders>
            <w:vAlign w:val="bottom"/>
          </w:tcPr>
          <w:p w14:paraId="0AD1D0A4" w14:textId="28D73DB5" w:rsidR="00566EA9" w:rsidRPr="001D41EA" w:rsidRDefault="00566EA9" w:rsidP="001D41EA">
            <w:pPr>
              <w:spacing w:before="40" w:after="20"/>
              <w:jc w:val="center"/>
              <w:rPr>
                <w:rFonts w:cs="Arial"/>
                <w:sz w:val="18"/>
                <w:szCs w:val="18"/>
              </w:rPr>
            </w:pPr>
            <w:r w:rsidRPr="001D41EA">
              <w:rPr>
                <w:rFonts w:cs="Arial"/>
                <w:sz w:val="18"/>
                <w:szCs w:val="18"/>
              </w:rPr>
              <w:t>1.184</w:t>
            </w:r>
          </w:p>
        </w:tc>
        <w:tc>
          <w:tcPr>
            <w:tcW w:w="1134" w:type="dxa"/>
            <w:tcBorders>
              <w:top w:val="nil"/>
              <w:left w:val="nil"/>
              <w:bottom w:val="nil"/>
              <w:right w:val="nil"/>
            </w:tcBorders>
            <w:vAlign w:val="bottom"/>
          </w:tcPr>
          <w:p w14:paraId="4A34F3D4" w14:textId="646719AD" w:rsidR="00566EA9" w:rsidRPr="001D41EA" w:rsidRDefault="00566EA9" w:rsidP="001D41EA">
            <w:pPr>
              <w:spacing w:before="40" w:after="20"/>
              <w:jc w:val="center"/>
              <w:rPr>
                <w:rFonts w:cs="Arial"/>
                <w:sz w:val="18"/>
                <w:szCs w:val="18"/>
              </w:rPr>
            </w:pPr>
            <w:r w:rsidRPr="001D41EA">
              <w:rPr>
                <w:rFonts w:cs="Arial"/>
                <w:sz w:val="18"/>
                <w:szCs w:val="18"/>
              </w:rPr>
              <w:t>1.157</w:t>
            </w:r>
          </w:p>
        </w:tc>
        <w:tc>
          <w:tcPr>
            <w:tcW w:w="1134" w:type="dxa"/>
            <w:tcBorders>
              <w:top w:val="nil"/>
              <w:left w:val="nil"/>
              <w:bottom w:val="nil"/>
              <w:right w:val="nil"/>
            </w:tcBorders>
            <w:shd w:val="clear" w:color="auto" w:fill="auto"/>
            <w:vAlign w:val="bottom"/>
          </w:tcPr>
          <w:p w14:paraId="6C7AD8E4" w14:textId="6250E247" w:rsidR="00566EA9" w:rsidRPr="001D41EA" w:rsidRDefault="00566EA9" w:rsidP="001D41EA">
            <w:pPr>
              <w:spacing w:before="40" w:after="20"/>
              <w:jc w:val="center"/>
              <w:rPr>
                <w:rFonts w:cs="Arial"/>
                <w:sz w:val="18"/>
                <w:szCs w:val="18"/>
              </w:rPr>
            </w:pPr>
            <w:r w:rsidRPr="001D41EA">
              <w:rPr>
                <w:rFonts w:cs="Arial"/>
                <w:sz w:val="18"/>
                <w:szCs w:val="18"/>
              </w:rPr>
              <w:t>1.173</w:t>
            </w:r>
          </w:p>
        </w:tc>
      </w:tr>
      <w:tr w:rsidR="00566EA9" w:rsidRPr="001D41EA" w14:paraId="4F08A03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DD525CF" w14:textId="77777777" w:rsidR="00566EA9" w:rsidRPr="001D41EA" w:rsidRDefault="00566EA9" w:rsidP="001D41EA">
            <w:pPr>
              <w:spacing w:before="40" w:after="20"/>
              <w:rPr>
                <w:rFonts w:cs="Arial"/>
                <w:sz w:val="18"/>
                <w:szCs w:val="18"/>
              </w:rPr>
            </w:pPr>
            <w:r w:rsidRPr="001D41EA">
              <w:rPr>
                <w:rFonts w:cs="Arial"/>
                <w:sz w:val="18"/>
                <w:szCs w:val="18"/>
              </w:rPr>
              <w:t>Stonnington C</w:t>
            </w:r>
          </w:p>
        </w:tc>
        <w:tc>
          <w:tcPr>
            <w:tcW w:w="1134" w:type="dxa"/>
            <w:tcBorders>
              <w:top w:val="nil"/>
              <w:left w:val="single" w:sz="18" w:space="0" w:color="5F497A" w:themeColor="accent4" w:themeShade="BF"/>
              <w:bottom w:val="nil"/>
              <w:right w:val="nil"/>
            </w:tcBorders>
            <w:shd w:val="clear" w:color="auto" w:fill="auto"/>
            <w:vAlign w:val="bottom"/>
          </w:tcPr>
          <w:p w14:paraId="75187DAB" w14:textId="5405B53A" w:rsidR="00566EA9" w:rsidRPr="001D41EA" w:rsidRDefault="00566EA9" w:rsidP="001D41EA">
            <w:pPr>
              <w:spacing w:before="40" w:after="2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4799F28C" w14:textId="7A066070" w:rsidR="00566EA9" w:rsidRPr="001D41EA" w:rsidRDefault="00566EA9" w:rsidP="001D41EA">
            <w:pPr>
              <w:spacing w:before="40" w:after="2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77FAAE36" w14:textId="61AE97E1" w:rsidR="00566EA9" w:rsidRPr="001D41EA" w:rsidRDefault="00566EA9" w:rsidP="001D41EA">
            <w:pPr>
              <w:spacing w:before="40" w:after="2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13C3B908" w14:textId="020581DC" w:rsidR="00566EA9" w:rsidRPr="001D41EA" w:rsidRDefault="00566EA9" w:rsidP="001D41EA">
            <w:pPr>
              <w:spacing w:before="40" w:after="2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66FA4726" w14:textId="285396B6" w:rsidR="00566EA9" w:rsidRPr="001D41EA" w:rsidRDefault="00566EA9" w:rsidP="001D41EA">
            <w:pPr>
              <w:spacing w:before="40" w:after="2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2A886E9F" w14:textId="29C98A08" w:rsidR="00566EA9" w:rsidRPr="001D41EA" w:rsidRDefault="00566EA9" w:rsidP="001D41EA">
            <w:pPr>
              <w:spacing w:before="40" w:after="20"/>
              <w:jc w:val="center"/>
              <w:rPr>
                <w:rFonts w:cs="Arial"/>
                <w:sz w:val="18"/>
                <w:szCs w:val="18"/>
              </w:rPr>
            </w:pPr>
            <w:r w:rsidRPr="001D41EA">
              <w:rPr>
                <w:rFonts w:cs="Arial"/>
                <w:sz w:val="18"/>
                <w:szCs w:val="18"/>
              </w:rPr>
              <w:t>0.885</w:t>
            </w:r>
          </w:p>
        </w:tc>
      </w:tr>
      <w:tr w:rsidR="00566EA9" w:rsidRPr="001D41EA" w14:paraId="48AD09C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8F7C271" w14:textId="77777777" w:rsidR="00566EA9" w:rsidRPr="001D41EA" w:rsidRDefault="00566EA9" w:rsidP="001D41EA">
            <w:pPr>
              <w:spacing w:before="40" w:after="20"/>
              <w:rPr>
                <w:rFonts w:cs="Arial"/>
                <w:sz w:val="18"/>
                <w:szCs w:val="18"/>
              </w:rPr>
            </w:pPr>
            <w:r w:rsidRPr="001D41EA">
              <w:rPr>
                <w:rFonts w:cs="Arial"/>
                <w:sz w:val="18"/>
                <w:szCs w:val="18"/>
              </w:rPr>
              <w:t>Strathbogie S</w:t>
            </w:r>
          </w:p>
        </w:tc>
        <w:tc>
          <w:tcPr>
            <w:tcW w:w="1134" w:type="dxa"/>
            <w:tcBorders>
              <w:top w:val="nil"/>
              <w:left w:val="single" w:sz="18" w:space="0" w:color="5F497A" w:themeColor="accent4" w:themeShade="BF"/>
              <w:bottom w:val="nil"/>
              <w:right w:val="nil"/>
            </w:tcBorders>
            <w:shd w:val="clear" w:color="auto" w:fill="auto"/>
            <w:vAlign w:val="bottom"/>
          </w:tcPr>
          <w:p w14:paraId="73EB15B5" w14:textId="33C10B15" w:rsidR="00566EA9" w:rsidRPr="001D41EA" w:rsidRDefault="00566EA9" w:rsidP="001D41EA">
            <w:pPr>
              <w:spacing w:before="40" w:after="20"/>
              <w:jc w:val="center"/>
              <w:rPr>
                <w:rFonts w:cs="Arial"/>
                <w:sz w:val="18"/>
                <w:szCs w:val="18"/>
              </w:rPr>
            </w:pPr>
            <w:r w:rsidRPr="001D41EA">
              <w:rPr>
                <w:rFonts w:cs="Arial"/>
                <w:sz w:val="18"/>
                <w:szCs w:val="18"/>
              </w:rPr>
              <w:t>1.392</w:t>
            </w:r>
          </w:p>
        </w:tc>
        <w:tc>
          <w:tcPr>
            <w:tcW w:w="1134" w:type="dxa"/>
            <w:tcBorders>
              <w:top w:val="nil"/>
              <w:left w:val="nil"/>
              <w:bottom w:val="nil"/>
              <w:right w:val="nil"/>
            </w:tcBorders>
            <w:shd w:val="clear" w:color="auto" w:fill="auto"/>
            <w:vAlign w:val="bottom"/>
          </w:tcPr>
          <w:p w14:paraId="1CACA47C" w14:textId="0FD2E49F" w:rsidR="00566EA9" w:rsidRPr="001D41EA" w:rsidRDefault="00566EA9" w:rsidP="001D41EA">
            <w:pPr>
              <w:spacing w:before="40" w:after="20"/>
              <w:jc w:val="center"/>
              <w:rPr>
                <w:rFonts w:cs="Arial"/>
                <w:sz w:val="18"/>
                <w:szCs w:val="18"/>
              </w:rPr>
            </w:pPr>
            <w:r w:rsidRPr="001D41EA">
              <w:rPr>
                <w:rFonts w:cs="Arial"/>
                <w:sz w:val="18"/>
                <w:szCs w:val="18"/>
              </w:rPr>
              <w:t>1.380</w:t>
            </w:r>
          </w:p>
        </w:tc>
        <w:tc>
          <w:tcPr>
            <w:tcW w:w="1134" w:type="dxa"/>
            <w:tcBorders>
              <w:top w:val="nil"/>
              <w:left w:val="nil"/>
              <w:bottom w:val="nil"/>
              <w:right w:val="nil"/>
            </w:tcBorders>
            <w:vAlign w:val="bottom"/>
          </w:tcPr>
          <w:p w14:paraId="262EF9E5" w14:textId="28995FE3" w:rsidR="00566EA9" w:rsidRPr="001D41EA" w:rsidRDefault="00566EA9" w:rsidP="001D41EA">
            <w:pPr>
              <w:spacing w:before="40" w:after="20"/>
              <w:jc w:val="center"/>
              <w:rPr>
                <w:rFonts w:cs="Arial"/>
                <w:sz w:val="18"/>
                <w:szCs w:val="18"/>
              </w:rPr>
            </w:pPr>
            <w:r w:rsidRPr="001D41EA">
              <w:rPr>
                <w:rFonts w:cs="Arial"/>
                <w:sz w:val="18"/>
                <w:szCs w:val="18"/>
              </w:rPr>
              <w:t>1.372</w:t>
            </w:r>
          </w:p>
        </w:tc>
        <w:tc>
          <w:tcPr>
            <w:tcW w:w="1134" w:type="dxa"/>
            <w:tcBorders>
              <w:top w:val="nil"/>
              <w:left w:val="nil"/>
              <w:bottom w:val="nil"/>
              <w:right w:val="nil"/>
            </w:tcBorders>
            <w:vAlign w:val="bottom"/>
          </w:tcPr>
          <w:p w14:paraId="0A84B0AA" w14:textId="1F003CD1" w:rsidR="00566EA9" w:rsidRPr="001D41EA" w:rsidRDefault="00566EA9" w:rsidP="001D41EA">
            <w:pPr>
              <w:spacing w:before="40" w:after="20"/>
              <w:jc w:val="center"/>
              <w:rPr>
                <w:rFonts w:cs="Arial"/>
                <w:sz w:val="18"/>
                <w:szCs w:val="18"/>
              </w:rPr>
            </w:pPr>
            <w:r w:rsidRPr="001D41EA">
              <w:rPr>
                <w:rFonts w:cs="Arial"/>
                <w:sz w:val="18"/>
                <w:szCs w:val="18"/>
              </w:rPr>
              <w:t>1.388</w:t>
            </w:r>
          </w:p>
        </w:tc>
        <w:tc>
          <w:tcPr>
            <w:tcW w:w="1134" w:type="dxa"/>
            <w:tcBorders>
              <w:top w:val="nil"/>
              <w:left w:val="nil"/>
              <w:bottom w:val="nil"/>
              <w:right w:val="nil"/>
            </w:tcBorders>
            <w:vAlign w:val="bottom"/>
          </w:tcPr>
          <w:p w14:paraId="73359FA7" w14:textId="6729DDFD" w:rsidR="00566EA9" w:rsidRPr="001D41EA" w:rsidRDefault="00566EA9" w:rsidP="001D41EA">
            <w:pPr>
              <w:spacing w:before="40" w:after="20"/>
              <w:jc w:val="center"/>
              <w:rPr>
                <w:rFonts w:cs="Arial"/>
                <w:sz w:val="18"/>
                <w:szCs w:val="18"/>
              </w:rPr>
            </w:pPr>
            <w:r w:rsidRPr="001D41EA">
              <w:rPr>
                <w:rFonts w:cs="Arial"/>
                <w:sz w:val="18"/>
                <w:szCs w:val="18"/>
              </w:rPr>
              <w:t>1.356</w:t>
            </w:r>
          </w:p>
        </w:tc>
        <w:tc>
          <w:tcPr>
            <w:tcW w:w="1134" w:type="dxa"/>
            <w:tcBorders>
              <w:top w:val="nil"/>
              <w:left w:val="nil"/>
              <w:bottom w:val="nil"/>
              <w:right w:val="nil"/>
            </w:tcBorders>
            <w:shd w:val="clear" w:color="auto" w:fill="auto"/>
            <w:vAlign w:val="bottom"/>
          </w:tcPr>
          <w:p w14:paraId="6B3AC539" w14:textId="4C36185D" w:rsidR="00566EA9" w:rsidRPr="001D41EA" w:rsidRDefault="00566EA9" w:rsidP="001D41EA">
            <w:pPr>
              <w:spacing w:before="40" w:after="20"/>
              <w:jc w:val="center"/>
              <w:rPr>
                <w:rFonts w:cs="Arial"/>
                <w:sz w:val="18"/>
                <w:szCs w:val="18"/>
              </w:rPr>
            </w:pPr>
            <w:r w:rsidRPr="001D41EA">
              <w:rPr>
                <w:rFonts w:cs="Arial"/>
                <w:sz w:val="18"/>
                <w:szCs w:val="18"/>
              </w:rPr>
              <w:t>1.375</w:t>
            </w:r>
          </w:p>
        </w:tc>
      </w:tr>
      <w:tr w:rsidR="00566EA9" w:rsidRPr="001D41EA" w14:paraId="0783A74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15CEAB0" w14:textId="77777777" w:rsidR="00566EA9" w:rsidRPr="001D41EA" w:rsidRDefault="00566EA9" w:rsidP="001D41EA">
            <w:pPr>
              <w:spacing w:before="40" w:after="20"/>
              <w:rPr>
                <w:rFonts w:cs="Arial"/>
                <w:sz w:val="18"/>
                <w:szCs w:val="18"/>
              </w:rPr>
            </w:pPr>
            <w:r w:rsidRPr="001D41EA">
              <w:rPr>
                <w:rFonts w:cs="Arial"/>
                <w:sz w:val="18"/>
                <w:szCs w:val="18"/>
              </w:rPr>
              <w:t>Surf Coast S</w:t>
            </w:r>
          </w:p>
        </w:tc>
        <w:tc>
          <w:tcPr>
            <w:tcW w:w="1134" w:type="dxa"/>
            <w:tcBorders>
              <w:top w:val="nil"/>
              <w:left w:val="single" w:sz="18" w:space="0" w:color="5F497A" w:themeColor="accent4" w:themeShade="BF"/>
              <w:bottom w:val="nil"/>
              <w:right w:val="nil"/>
            </w:tcBorders>
            <w:shd w:val="clear" w:color="auto" w:fill="auto"/>
            <w:vAlign w:val="bottom"/>
          </w:tcPr>
          <w:p w14:paraId="54A44225" w14:textId="52517F60" w:rsidR="00566EA9" w:rsidRPr="001D41EA" w:rsidRDefault="00566EA9" w:rsidP="001D41EA">
            <w:pPr>
              <w:spacing w:before="40" w:after="20"/>
              <w:jc w:val="center"/>
              <w:rPr>
                <w:rFonts w:cs="Arial"/>
                <w:sz w:val="18"/>
                <w:szCs w:val="18"/>
              </w:rPr>
            </w:pPr>
            <w:r w:rsidRPr="001D41EA">
              <w:rPr>
                <w:rFonts w:cs="Arial"/>
                <w:sz w:val="18"/>
                <w:szCs w:val="18"/>
              </w:rPr>
              <w:t>1.146</w:t>
            </w:r>
          </w:p>
        </w:tc>
        <w:tc>
          <w:tcPr>
            <w:tcW w:w="1134" w:type="dxa"/>
            <w:tcBorders>
              <w:top w:val="nil"/>
              <w:left w:val="nil"/>
              <w:bottom w:val="nil"/>
              <w:right w:val="nil"/>
            </w:tcBorders>
            <w:shd w:val="clear" w:color="auto" w:fill="auto"/>
            <w:vAlign w:val="bottom"/>
          </w:tcPr>
          <w:p w14:paraId="3C8A67F9" w14:textId="1B906CAE" w:rsidR="00566EA9" w:rsidRPr="001D41EA" w:rsidRDefault="00566EA9" w:rsidP="001D41EA">
            <w:pPr>
              <w:spacing w:before="40" w:after="20"/>
              <w:jc w:val="center"/>
              <w:rPr>
                <w:rFonts w:cs="Arial"/>
                <w:sz w:val="18"/>
                <w:szCs w:val="18"/>
              </w:rPr>
            </w:pPr>
            <w:r w:rsidRPr="001D41EA">
              <w:rPr>
                <w:rFonts w:cs="Arial"/>
                <w:sz w:val="18"/>
                <w:szCs w:val="18"/>
              </w:rPr>
              <w:t>1.136</w:t>
            </w:r>
          </w:p>
        </w:tc>
        <w:tc>
          <w:tcPr>
            <w:tcW w:w="1134" w:type="dxa"/>
            <w:tcBorders>
              <w:top w:val="nil"/>
              <w:left w:val="nil"/>
              <w:bottom w:val="nil"/>
              <w:right w:val="nil"/>
            </w:tcBorders>
            <w:vAlign w:val="bottom"/>
          </w:tcPr>
          <w:p w14:paraId="24C38FD4" w14:textId="0EA60AC8" w:rsidR="00566EA9" w:rsidRPr="001D41EA" w:rsidRDefault="00566EA9" w:rsidP="001D41EA">
            <w:pPr>
              <w:spacing w:before="40" w:after="20"/>
              <w:jc w:val="center"/>
              <w:rPr>
                <w:rFonts w:cs="Arial"/>
                <w:sz w:val="18"/>
                <w:szCs w:val="18"/>
              </w:rPr>
            </w:pPr>
            <w:r w:rsidRPr="001D41EA">
              <w:rPr>
                <w:rFonts w:cs="Arial"/>
                <w:sz w:val="18"/>
                <w:szCs w:val="18"/>
              </w:rPr>
              <w:t>1.129</w:t>
            </w:r>
          </w:p>
        </w:tc>
        <w:tc>
          <w:tcPr>
            <w:tcW w:w="1134" w:type="dxa"/>
            <w:tcBorders>
              <w:top w:val="nil"/>
              <w:left w:val="nil"/>
              <w:bottom w:val="nil"/>
              <w:right w:val="nil"/>
            </w:tcBorders>
            <w:vAlign w:val="bottom"/>
          </w:tcPr>
          <w:p w14:paraId="2C8963E8" w14:textId="12F85DA5" w:rsidR="00566EA9" w:rsidRPr="001D41EA" w:rsidRDefault="00566EA9" w:rsidP="001D41EA">
            <w:pPr>
              <w:spacing w:before="40" w:after="20"/>
              <w:jc w:val="center"/>
              <w:rPr>
                <w:rFonts w:cs="Arial"/>
                <w:sz w:val="18"/>
                <w:szCs w:val="18"/>
              </w:rPr>
            </w:pPr>
            <w:r w:rsidRPr="001D41EA">
              <w:rPr>
                <w:rFonts w:cs="Arial"/>
                <w:sz w:val="18"/>
                <w:szCs w:val="18"/>
              </w:rPr>
              <w:t>1.143</w:t>
            </w:r>
          </w:p>
        </w:tc>
        <w:tc>
          <w:tcPr>
            <w:tcW w:w="1134" w:type="dxa"/>
            <w:tcBorders>
              <w:top w:val="nil"/>
              <w:left w:val="nil"/>
              <w:bottom w:val="nil"/>
              <w:right w:val="nil"/>
            </w:tcBorders>
            <w:vAlign w:val="bottom"/>
          </w:tcPr>
          <w:p w14:paraId="7D717FB8" w14:textId="5D2D4540" w:rsidR="00566EA9" w:rsidRPr="001D41EA" w:rsidRDefault="00566EA9" w:rsidP="001D41EA">
            <w:pPr>
              <w:spacing w:before="40" w:after="20"/>
              <w:jc w:val="center"/>
              <w:rPr>
                <w:rFonts w:cs="Arial"/>
                <w:sz w:val="18"/>
                <w:szCs w:val="18"/>
              </w:rPr>
            </w:pPr>
            <w:r w:rsidRPr="001D41EA">
              <w:rPr>
                <w:rFonts w:cs="Arial"/>
                <w:sz w:val="18"/>
                <w:szCs w:val="18"/>
              </w:rPr>
              <w:t>1.116</w:t>
            </w:r>
          </w:p>
        </w:tc>
        <w:tc>
          <w:tcPr>
            <w:tcW w:w="1134" w:type="dxa"/>
            <w:tcBorders>
              <w:top w:val="nil"/>
              <w:left w:val="nil"/>
              <w:bottom w:val="nil"/>
              <w:right w:val="nil"/>
            </w:tcBorders>
            <w:shd w:val="clear" w:color="auto" w:fill="auto"/>
            <w:vAlign w:val="bottom"/>
          </w:tcPr>
          <w:p w14:paraId="063DAF88" w14:textId="2CC69EF0" w:rsidR="00566EA9" w:rsidRPr="001D41EA" w:rsidRDefault="00566EA9" w:rsidP="001D41EA">
            <w:pPr>
              <w:spacing w:before="40" w:after="20"/>
              <w:jc w:val="center"/>
              <w:rPr>
                <w:rFonts w:cs="Arial"/>
                <w:sz w:val="18"/>
                <w:szCs w:val="18"/>
              </w:rPr>
            </w:pPr>
            <w:r w:rsidRPr="001D41EA">
              <w:rPr>
                <w:rFonts w:cs="Arial"/>
                <w:sz w:val="18"/>
                <w:szCs w:val="18"/>
              </w:rPr>
              <w:t>1.132</w:t>
            </w:r>
          </w:p>
        </w:tc>
      </w:tr>
      <w:tr w:rsidR="00566EA9" w:rsidRPr="001D41EA" w14:paraId="630E498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0B55BCE" w14:textId="77777777" w:rsidR="00566EA9" w:rsidRPr="001D41EA" w:rsidRDefault="00566EA9" w:rsidP="001D41EA">
            <w:pPr>
              <w:spacing w:before="40" w:after="20"/>
              <w:rPr>
                <w:rFonts w:cs="Arial"/>
                <w:sz w:val="18"/>
                <w:szCs w:val="18"/>
              </w:rPr>
            </w:pPr>
            <w:r w:rsidRPr="001D41EA">
              <w:rPr>
                <w:rFonts w:cs="Arial"/>
                <w:sz w:val="18"/>
                <w:szCs w:val="18"/>
              </w:rPr>
              <w:t>Swan Hill RC</w:t>
            </w:r>
          </w:p>
        </w:tc>
        <w:tc>
          <w:tcPr>
            <w:tcW w:w="1134" w:type="dxa"/>
            <w:tcBorders>
              <w:top w:val="nil"/>
              <w:left w:val="single" w:sz="18" w:space="0" w:color="5F497A" w:themeColor="accent4" w:themeShade="BF"/>
              <w:bottom w:val="nil"/>
              <w:right w:val="nil"/>
            </w:tcBorders>
            <w:shd w:val="clear" w:color="auto" w:fill="auto"/>
            <w:vAlign w:val="bottom"/>
          </w:tcPr>
          <w:p w14:paraId="288FE832" w14:textId="5ACC2C3C" w:rsidR="00566EA9" w:rsidRPr="001D41EA" w:rsidRDefault="00566EA9" w:rsidP="001D41EA">
            <w:pPr>
              <w:spacing w:before="40" w:after="20"/>
              <w:jc w:val="center"/>
              <w:rPr>
                <w:rFonts w:cs="Arial"/>
                <w:sz w:val="18"/>
                <w:szCs w:val="18"/>
              </w:rPr>
            </w:pPr>
            <w:r w:rsidRPr="001D41EA">
              <w:rPr>
                <w:rFonts w:cs="Arial"/>
                <w:sz w:val="18"/>
                <w:szCs w:val="18"/>
              </w:rPr>
              <w:t>1.485</w:t>
            </w:r>
          </w:p>
        </w:tc>
        <w:tc>
          <w:tcPr>
            <w:tcW w:w="1134" w:type="dxa"/>
            <w:tcBorders>
              <w:top w:val="nil"/>
              <w:left w:val="nil"/>
              <w:bottom w:val="nil"/>
              <w:right w:val="nil"/>
            </w:tcBorders>
            <w:shd w:val="clear" w:color="auto" w:fill="auto"/>
            <w:vAlign w:val="bottom"/>
          </w:tcPr>
          <w:p w14:paraId="33CB9165" w14:textId="65C9EBD6" w:rsidR="00566EA9" w:rsidRPr="001D41EA" w:rsidRDefault="00566EA9" w:rsidP="001D41EA">
            <w:pPr>
              <w:spacing w:before="40" w:after="20"/>
              <w:jc w:val="center"/>
              <w:rPr>
                <w:rFonts w:cs="Arial"/>
                <w:sz w:val="18"/>
                <w:szCs w:val="18"/>
              </w:rPr>
            </w:pPr>
            <w:r w:rsidRPr="001D41EA">
              <w:rPr>
                <w:rFonts w:cs="Arial"/>
                <w:sz w:val="18"/>
                <w:szCs w:val="18"/>
              </w:rPr>
              <w:t>1.472</w:t>
            </w:r>
          </w:p>
        </w:tc>
        <w:tc>
          <w:tcPr>
            <w:tcW w:w="1134" w:type="dxa"/>
            <w:tcBorders>
              <w:top w:val="nil"/>
              <w:left w:val="nil"/>
              <w:bottom w:val="nil"/>
              <w:right w:val="nil"/>
            </w:tcBorders>
            <w:vAlign w:val="bottom"/>
          </w:tcPr>
          <w:p w14:paraId="23959141" w14:textId="0E695C1E" w:rsidR="00566EA9" w:rsidRPr="001D41EA" w:rsidRDefault="00566EA9" w:rsidP="001D41EA">
            <w:pPr>
              <w:spacing w:before="40" w:after="20"/>
              <w:jc w:val="center"/>
              <w:rPr>
                <w:rFonts w:cs="Arial"/>
                <w:sz w:val="18"/>
                <w:szCs w:val="18"/>
              </w:rPr>
            </w:pPr>
            <w:r w:rsidRPr="001D41EA">
              <w:rPr>
                <w:rFonts w:cs="Arial"/>
                <w:sz w:val="18"/>
                <w:szCs w:val="18"/>
              </w:rPr>
              <w:t>1.464</w:t>
            </w:r>
          </w:p>
        </w:tc>
        <w:tc>
          <w:tcPr>
            <w:tcW w:w="1134" w:type="dxa"/>
            <w:tcBorders>
              <w:top w:val="nil"/>
              <w:left w:val="nil"/>
              <w:bottom w:val="nil"/>
              <w:right w:val="nil"/>
            </w:tcBorders>
            <w:vAlign w:val="bottom"/>
          </w:tcPr>
          <w:p w14:paraId="4F407E03" w14:textId="7AFFA989" w:rsidR="00566EA9" w:rsidRPr="001D41EA" w:rsidRDefault="00566EA9" w:rsidP="001D41EA">
            <w:pPr>
              <w:spacing w:before="40" w:after="20"/>
              <w:jc w:val="center"/>
              <w:rPr>
                <w:rFonts w:cs="Arial"/>
                <w:sz w:val="18"/>
                <w:szCs w:val="18"/>
              </w:rPr>
            </w:pPr>
            <w:r w:rsidRPr="001D41EA">
              <w:rPr>
                <w:rFonts w:cs="Arial"/>
                <w:sz w:val="18"/>
                <w:szCs w:val="18"/>
              </w:rPr>
              <w:t>1.481</w:t>
            </w:r>
          </w:p>
        </w:tc>
        <w:tc>
          <w:tcPr>
            <w:tcW w:w="1134" w:type="dxa"/>
            <w:tcBorders>
              <w:top w:val="nil"/>
              <w:left w:val="nil"/>
              <w:bottom w:val="nil"/>
              <w:right w:val="nil"/>
            </w:tcBorders>
            <w:vAlign w:val="bottom"/>
          </w:tcPr>
          <w:p w14:paraId="3BF241FB" w14:textId="3D17E747" w:rsidR="00566EA9" w:rsidRPr="001D41EA" w:rsidRDefault="00566EA9" w:rsidP="001D41EA">
            <w:pPr>
              <w:spacing w:before="40" w:after="20"/>
              <w:jc w:val="center"/>
              <w:rPr>
                <w:rFonts w:cs="Arial"/>
                <w:sz w:val="18"/>
                <w:szCs w:val="18"/>
              </w:rPr>
            </w:pPr>
            <w:r w:rsidRPr="001D41EA">
              <w:rPr>
                <w:rFonts w:cs="Arial"/>
                <w:sz w:val="18"/>
                <w:szCs w:val="18"/>
              </w:rPr>
              <w:t>1.447</w:t>
            </w:r>
          </w:p>
        </w:tc>
        <w:tc>
          <w:tcPr>
            <w:tcW w:w="1134" w:type="dxa"/>
            <w:tcBorders>
              <w:top w:val="nil"/>
              <w:left w:val="nil"/>
              <w:bottom w:val="nil"/>
              <w:right w:val="nil"/>
            </w:tcBorders>
            <w:shd w:val="clear" w:color="auto" w:fill="auto"/>
            <w:vAlign w:val="bottom"/>
          </w:tcPr>
          <w:p w14:paraId="57DA0C14" w14:textId="59106808" w:rsidR="00566EA9" w:rsidRPr="001D41EA" w:rsidRDefault="00566EA9" w:rsidP="001D41EA">
            <w:pPr>
              <w:spacing w:before="40" w:after="20"/>
              <w:jc w:val="center"/>
              <w:rPr>
                <w:rFonts w:cs="Arial"/>
                <w:sz w:val="18"/>
                <w:szCs w:val="18"/>
              </w:rPr>
            </w:pPr>
            <w:r w:rsidRPr="001D41EA">
              <w:rPr>
                <w:rFonts w:cs="Arial"/>
                <w:sz w:val="18"/>
                <w:szCs w:val="18"/>
              </w:rPr>
              <w:t>1.467</w:t>
            </w:r>
          </w:p>
        </w:tc>
      </w:tr>
      <w:tr w:rsidR="00566EA9" w:rsidRPr="001D41EA" w14:paraId="48B5512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628DB2D" w14:textId="77777777" w:rsidR="00566EA9" w:rsidRPr="001D41EA" w:rsidRDefault="00566EA9" w:rsidP="001D41EA">
            <w:pPr>
              <w:spacing w:before="40" w:after="20"/>
              <w:rPr>
                <w:rFonts w:cs="Arial"/>
                <w:sz w:val="18"/>
                <w:szCs w:val="18"/>
              </w:rPr>
            </w:pPr>
            <w:r w:rsidRPr="001D41EA">
              <w:rPr>
                <w:rFonts w:cs="Arial"/>
                <w:sz w:val="18"/>
                <w:szCs w:val="18"/>
              </w:rPr>
              <w:t>Towong S</w:t>
            </w:r>
          </w:p>
        </w:tc>
        <w:tc>
          <w:tcPr>
            <w:tcW w:w="1134" w:type="dxa"/>
            <w:tcBorders>
              <w:top w:val="nil"/>
              <w:left w:val="single" w:sz="18" w:space="0" w:color="5F497A" w:themeColor="accent4" w:themeShade="BF"/>
              <w:bottom w:val="nil"/>
              <w:right w:val="nil"/>
            </w:tcBorders>
            <w:shd w:val="clear" w:color="auto" w:fill="auto"/>
            <w:vAlign w:val="bottom"/>
          </w:tcPr>
          <w:p w14:paraId="586D1A39" w14:textId="6573E18E" w:rsidR="00566EA9" w:rsidRPr="001D41EA" w:rsidRDefault="00566EA9" w:rsidP="001D41EA">
            <w:pPr>
              <w:spacing w:before="40" w:after="20"/>
              <w:jc w:val="center"/>
              <w:rPr>
                <w:rFonts w:cs="Arial"/>
                <w:sz w:val="18"/>
                <w:szCs w:val="18"/>
              </w:rPr>
            </w:pPr>
            <w:r w:rsidRPr="001D41EA">
              <w:rPr>
                <w:rFonts w:cs="Arial"/>
                <w:sz w:val="18"/>
                <w:szCs w:val="18"/>
              </w:rPr>
              <w:t>1.750</w:t>
            </w:r>
          </w:p>
        </w:tc>
        <w:tc>
          <w:tcPr>
            <w:tcW w:w="1134" w:type="dxa"/>
            <w:tcBorders>
              <w:top w:val="nil"/>
              <w:left w:val="nil"/>
              <w:bottom w:val="nil"/>
              <w:right w:val="nil"/>
            </w:tcBorders>
            <w:shd w:val="clear" w:color="auto" w:fill="auto"/>
            <w:vAlign w:val="bottom"/>
          </w:tcPr>
          <w:p w14:paraId="6C93E47B" w14:textId="29A0FEF2" w:rsidR="00566EA9" w:rsidRPr="001D41EA" w:rsidRDefault="00566EA9" w:rsidP="001D41EA">
            <w:pPr>
              <w:spacing w:before="40" w:after="20"/>
              <w:jc w:val="center"/>
              <w:rPr>
                <w:rFonts w:cs="Arial"/>
                <w:sz w:val="18"/>
                <w:szCs w:val="18"/>
              </w:rPr>
            </w:pPr>
            <w:r w:rsidRPr="001D41EA">
              <w:rPr>
                <w:rFonts w:cs="Arial"/>
                <w:sz w:val="18"/>
                <w:szCs w:val="18"/>
              </w:rPr>
              <w:t>1.734</w:t>
            </w:r>
          </w:p>
        </w:tc>
        <w:tc>
          <w:tcPr>
            <w:tcW w:w="1134" w:type="dxa"/>
            <w:tcBorders>
              <w:top w:val="nil"/>
              <w:left w:val="nil"/>
              <w:bottom w:val="nil"/>
              <w:right w:val="nil"/>
            </w:tcBorders>
            <w:vAlign w:val="bottom"/>
          </w:tcPr>
          <w:p w14:paraId="00B1327B" w14:textId="20615525" w:rsidR="00566EA9" w:rsidRPr="001D41EA" w:rsidRDefault="00566EA9" w:rsidP="001D41EA">
            <w:pPr>
              <w:spacing w:before="40" w:after="20"/>
              <w:jc w:val="center"/>
              <w:rPr>
                <w:rFonts w:cs="Arial"/>
                <w:sz w:val="18"/>
                <w:szCs w:val="18"/>
              </w:rPr>
            </w:pPr>
            <w:r w:rsidRPr="001D41EA">
              <w:rPr>
                <w:rFonts w:cs="Arial"/>
                <w:sz w:val="18"/>
                <w:szCs w:val="18"/>
              </w:rPr>
              <w:t>1.724</w:t>
            </w:r>
          </w:p>
        </w:tc>
        <w:tc>
          <w:tcPr>
            <w:tcW w:w="1134" w:type="dxa"/>
            <w:tcBorders>
              <w:top w:val="nil"/>
              <w:left w:val="nil"/>
              <w:bottom w:val="nil"/>
              <w:right w:val="nil"/>
            </w:tcBorders>
            <w:vAlign w:val="bottom"/>
          </w:tcPr>
          <w:p w14:paraId="412CA3AD" w14:textId="510C2E01" w:rsidR="00566EA9" w:rsidRPr="001D41EA" w:rsidRDefault="00566EA9" w:rsidP="001D41EA">
            <w:pPr>
              <w:spacing w:before="40" w:after="20"/>
              <w:jc w:val="center"/>
              <w:rPr>
                <w:rFonts w:cs="Arial"/>
                <w:sz w:val="18"/>
                <w:szCs w:val="18"/>
              </w:rPr>
            </w:pPr>
            <w:r w:rsidRPr="001D41EA">
              <w:rPr>
                <w:rFonts w:cs="Arial"/>
                <w:sz w:val="18"/>
                <w:szCs w:val="18"/>
              </w:rPr>
              <w:t>1.745</w:t>
            </w:r>
          </w:p>
        </w:tc>
        <w:tc>
          <w:tcPr>
            <w:tcW w:w="1134" w:type="dxa"/>
            <w:tcBorders>
              <w:top w:val="nil"/>
              <w:left w:val="nil"/>
              <w:bottom w:val="nil"/>
              <w:right w:val="nil"/>
            </w:tcBorders>
            <w:vAlign w:val="bottom"/>
          </w:tcPr>
          <w:p w14:paraId="28EA4C76" w14:textId="5B4DB3BA" w:rsidR="00566EA9" w:rsidRPr="001D41EA" w:rsidRDefault="00566EA9" w:rsidP="001D41EA">
            <w:pPr>
              <w:spacing w:before="40" w:after="20"/>
              <w:jc w:val="center"/>
              <w:rPr>
                <w:rFonts w:cs="Arial"/>
                <w:sz w:val="18"/>
                <w:szCs w:val="18"/>
              </w:rPr>
            </w:pPr>
            <w:r w:rsidRPr="001D41EA">
              <w:rPr>
                <w:rFonts w:cs="Arial"/>
                <w:sz w:val="18"/>
                <w:szCs w:val="18"/>
              </w:rPr>
              <w:t>1.704</w:t>
            </w:r>
          </w:p>
        </w:tc>
        <w:tc>
          <w:tcPr>
            <w:tcW w:w="1134" w:type="dxa"/>
            <w:tcBorders>
              <w:top w:val="nil"/>
              <w:left w:val="nil"/>
              <w:bottom w:val="nil"/>
              <w:right w:val="nil"/>
            </w:tcBorders>
            <w:shd w:val="clear" w:color="auto" w:fill="auto"/>
            <w:vAlign w:val="bottom"/>
          </w:tcPr>
          <w:p w14:paraId="3F84120D" w14:textId="4EF4DED4" w:rsidR="00566EA9" w:rsidRPr="001D41EA" w:rsidRDefault="00566EA9" w:rsidP="001D41EA">
            <w:pPr>
              <w:spacing w:before="40" w:after="20"/>
              <w:jc w:val="center"/>
              <w:rPr>
                <w:rFonts w:cs="Arial"/>
                <w:sz w:val="18"/>
                <w:szCs w:val="18"/>
              </w:rPr>
            </w:pPr>
            <w:r w:rsidRPr="001D41EA">
              <w:rPr>
                <w:rFonts w:cs="Arial"/>
                <w:sz w:val="18"/>
                <w:szCs w:val="18"/>
              </w:rPr>
              <w:t>1.728</w:t>
            </w:r>
          </w:p>
        </w:tc>
      </w:tr>
      <w:tr w:rsidR="00566EA9" w:rsidRPr="001D41EA" w14:paraId="641385A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EF63D65" w14:textId="77777777" w:rsidR="00566EA9" w:rsidRPr="001D41EA" w:rsidRDefault="00566EA9" w:rsidP="001D41EA">
            <w:pPr>
              <w:spacing w:before="40" w:after="20"/>
              <w:rPr>
                <w:rFonts w:cs="Arial"/>
                <w:sz w:val="18"/>
                <w:szCs w:val="18"/>
              </w:rPr>
            </w:pPr>
            <w:r w:rsidRPr="001D41EA">
              <w:rPr>
                <w:rFonts w:cs="Arial"/>
                <w:sz w:val="18"/>
                <w:szCs w:val="18"/>
              </w:rPr>
              <w:t>Wangaratta RC</w:t>
            </w:r>
          </w:p>
        </w:tc>
        <w:tc>
          <w:tcPr>
            <w:tcW w:w="1134" w:type="dxa"/>
            <w:tcBorders>
              <w:top w:val="nil"/>
              <w:left w:val="single" w:sz="18" w:space="0" w:color="5F497A" w:themeColor="accent4" w:themeShade="BF"/>
              <w:bottom w:val="nil"/>
              <w:right w:val="nil"/>
            </w:tcBorders>
            <w:shd w:val="clear" w:color="auto" w:fill="auto"/>
            <w:vAlign w:val="bottom"/>
          </w:tcPr>
          <w:p w14:paraId="779E46CC" w14:textId="23155950" w:rsidR="00566EA9" w:rsidRPr="001D41EA" w:rsidRDefault="00566EA9" w:rsidP="001D41EA">
            <w:pPr>
              <w:spacing w:before="40" w:after="20"/>
              <w:jc w:val="center"/>
              <w:rPr>
                <w:rFonts w:cs="Arial"/>
                <w:sz w:val="18"/>
                <w:szCs w:val="18"/>
              </w:rPr>
            </w:pPr>
            <w:r w:rsidRPr="001D41EA">
              <w:rPr>
                <w:rFonts w:cs="Arial"/>
                <w:sz w:val="18"/>
                <w:szCs w:val="18"/>
              </w:rPr>
              <w:t>1.046</w:t>
            </w:r>
          </w:p>
        </w:tc>
        <w:tc>
          <w:tcPr>
            <w:tcW w:w="1134" w:type="dxa"/>
            <w:tcBorders>
              <w:top w:val="nil"/>
              <w:left w:val="nil"/>
              <w:bottom w:val="nil"/>
              <w:right w:val="nil"/>
            </w:tcBorders>
            <w:shd w:val="clear" w:color="auto" w:fill="auto"/>
            <w:vAlign w:val="bottom"/>
          </w:tcPr>
          <w:p w14:paraId="0E0EEABC" w14:textId="051013EE" w:rsidR="00566EA9" w:rsidRPr="001D41EA" w:rsidRDefault="00566EA9" w:rsidP="001D41EA">
            <w:pPr>
              <w:spacing w:before="40" w:after="20"/>
              <w:jc w:val="center"/>
              <w:rPr>
                <w:rFonts w:cs="Arial"/>
                <w:sz w:val="18"/>
                <w:szCs w:val="18"/>
              </w:rPr>
            </w:pPr>
            <w:r w:rsidRPr="001D41EA">
              <w:rPr>
                <w:rFonts w:cs="Arial"/>
                <w:sz w:val="18"/>
                <w:szCs w:val="18"/>
              </w:rPr>
              <w:t>1.037</w:t>
            </w:r>
          </w:p>
        </w:tc>
        <w:tc>
          <w:tcPr>
            <w:tcW w:w="1134" w:type="dxa"/>
            <w:tcBorders>
              <w:top w:val="nil"/>
              <w:left w:val="nil"/>
              <w:bottom w:val="nil"/>
              <w:right w:val="nil"/>
            </w:tcBorders>
            <w:vAlign w:val="bottom"/>
          </w:tcPr>
          <w:p w14:paraId="6D4FF40D" w14:textId="54D937F9" w:rsidR="00566EA9" w:rsidRPr="001D41EA" w:rsidRDefault="00566EA9" w:rsidP="001D41EA">
            <w:pPr>
              <w:spacing w:before="40" w:after="20"/>
              <w:jc w:val="center"/>
              <w:rPr>
                <w:rFonts w:cs="Arial"/>
                <w:sz w:val="18"/>
                <w:szCs w:val="18"/>
              </w:rPr>
            </w:pPr>
            <w:r w:rsidRPr="001D41EA">
              <w:rPr>
                <w:rFonts w:cs="Arial"/>
                <w:sz w:val="18"/>
                <w:szCs w:val="18"/>
              </w:rPr>
              <w:t>1.031</w:t>
            </w:r>
          </w:p>
        </w:tc>
        <w:tc>
          <w:tcPr>
            <w:tcW w:w="1134" w:type="dxa"/>
            <w:tcBorders>
              <w:top w:val="nil"/>
              <w:left w:val="nil"/>
              <w:bottom w:val="nil"/>
              <w:right w:val="nil"/>
            </w:tcBorders>
            <w:vAlign w:val="bottom"/>
          </w:tcPr>
          <w:p w14:paraId="76B95DF8" w14:textId="2C45333C" w:rsidR="00566EA9" w:rsidRPr="001D41EA" w:rsidRDefault="00566EA9" w:rsidP="001D41EA">
            <w:pPr>
              <w:spacing w:before="40" w:after="20"/>
              <w:jc w:val="center"/>
              <w:rPr>
                <w:rFonts w:cs="Arial"/>
                <w:sz w:val="18"/>
                <w:szCs w:val="18"/>
              </w:rPr>
            </w:pPr>
            <w:r w:rsidRPr="001D41EA">
              <w:rPr>
                <w:rFonts w:cs="Arial"/>
                <w:sz w:val="18"/>
                <w:szCs w:val="18"/>
              </w:rPr>
              <w:t>1.043</w:t>
            </w:r>
          </w:p>
        </w:tc>
        <w:tc>
          <w:tcPr>
            <w:tcW w:w="1134" w:type="dxa"/>
            <w:tcBorders>
              <w:top w:val="nil"/>
              <w:left w:val="nil"/>
              <w:bottom w:val="nil"/>
              <w:right w:val="nil"/>
            </w:tcBorders>
            <w:vAlign w:val="bottom"/>
          </w:tcPr>
          <w:p w14:paraId="2F529B0C" w14:textId="75CB4E39" w:rsidR="00566EA9" w:rsidRPr="001D41EA" w:rsidRDefault="00566EA9" w:rsidP="001D41EA">
            <w:pPr>
              <w:spacing w:before="40" w:after="20"/>
              <w:jc w:val="center"/>
              <w:rPr>
                <w:rFonts w:cs="Arial"/>
                <w:sz w:val="18"/>
                <w:szCs w:val="18"/>
              </w:rPr>
            </w:pPr>
            <w:r w:rsidRPr="001D41EA">
              <w:rPr>
                <w:rFonts w:cs="Arial"/>
                <w:sz w:val="18"/>
                <w:szCs w:val="18"/>
              </w:rPr>
              <w:t>1.019</w:t>
            </w:r>
          </w:p>
        </w:tc>
        <w:tc>
          <w:tcPr>
            <w:tcW w:w="1134" w:type="dxa"/>
            <w:tcBorders>
              <w:top w:val="nil"/>
              <w:left w:val="nil"/>
              <w:bottom w:val="nil"/>
              <w:right w:val="nil"/>
            </w:tcBorders>
            <w:shd w:val="clear" w:color="auto" w:fill="auto"/>
            <w:vAlign w:val="bottom"/>
          </w:tcPr>
          <w:p w14:paraId="0F12ECCF" w14:textId="1384E136" w:rsidR="00566EA9" w:rsidRPr="001D41EA" w:rsidRDefault="00566EA9" w:rsidP="001D41EA">
            <w:pPr>
              <w:spacing w:before="40" w:after="20"/>
              <w:jc w:val="center"/>
              <w:rPr>
                <w:rFonts w:cs="Arial"/>
                <w:sz w:val="18"/>
                <w:szCs w:val="18"/>
              </w:rPr>
            </w:pPr>
            <w:r w:rsidRPr="001D41EA">
              <w:rPr>
                <w:rFonts w:cs="Arial"/>
                <w:sz w:val="18"/>
                <w:szCs w:val="18"/>
              </w:rPr>
              <w:t>1.033</w:t>
            </w:r>
          </w:p>
        </w:tc>
      </w:tr>
      <w:tr w:rsidR="00566EA9" w:rsidRPr="001D41EA" w14:paraId="2E3CC85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BFC6529" w14:textId="77777777" w:rsidR="00566EA9" w:rsidRPr="001D41EA" w:rsidRDefault="00566EA9" w:rsidP="001D41EA">
            <w:pPr>
              <w:spacing w:before="40" w:after="20"/>
              <w:rPr>
                <w:rFonts w:cs="Arial"/>
                <w:sz w:val="18"/>
                <w:szCs w:val="18"/>
              </w:rPr>
            </w:pPr>
            <w:r w:rsidRPr="001D41EA">
              <w:rPr>
                <w:rFonts w:cs="Arial"/>
                <w:sz w:val="18"/>
                <w:szCs w:val="18"/>
              </w:rPr>
              <w:t>Warrnambool C</w:t>
            </w:r>
          </w:p>
        </w:tc>
        <w:tc>
          <w:tcPr>
            <w:tcW w:w="1134" w:type="dxa"/>
            <w:tcBorders>
              <w:top w:val="nil"/>
              <w:left w:val="single" w:sz="18" w:space="0" w:color="5F497A" w:themeColor="accent4" w:themeShade="BF"/>
              <w:bottom w:val="nil"/>
              <w:right w:val="nil"/>
            </w:tcBorders>
            <w:shd w:val="clear" w:color="auto" w:fill="auto"/>
            <w:vAlign w:val="bottom"/>
          </w:tcPr>
          <w:p w14:paraId="7CC1C6E2" w14:textId="6BC09BDF" w:rsidR="00566EA9" w:rsidRPr="001D41EA" w:rsidRDefault="00566EA9" w:rsidP="001D41EA">
            <w:pPr>
              <w:spacing w:before="40" w:after="20"/>
              <w:jc w:val="center"/>
              <w:rPr>
                <w:rFonts w:cs="Arial"/>
                <w:sz w:val="18"/>
                <w:szCs w:val="18"/>
              </w:rPr>
            </w:pPr>
            <w:r w:rsidRPr="001D41EA">
              <w:rPr>
                <w:rFonts w:cs="Arial"/>
                <w:sz w:val="18"/>
                <w:szCs w:val="18"/>
              </w:rPr>
              <w:t>0.910</w:t>
            </w:r>
          </w:p>
        </w:tc>
        <w:tc>
          <w:tcPr>
            <w:tcW w:w="1134" w:type="dxa"/>
            <w:tcBorders>
              <w:top w:val="nil"/>
              <w:left w:val="nil"/>
              <w:bottom w:val="nil"/>
              <w:right w:val="nil"/>
            </w:tcBorders>
            <w:shd w:val="clear" w:color="auto" w:fill="auto"/>
            <w:vAlign w:val="bottom"/>
          </w:tcPr>
          <w:p w14:paraId="30F7C902" w14:textId="5728B03F" w:rsidR="00566EA9" w:rsidRPr="001D41EA" w:rsidRDefault="00566EA9" w:rsidP="001D41EA">
            <w:pPr>
              <w:spacing w:before="40" w:after="20"/>
              <w:jc w:val="center"/>
              <w:rPr>
                <w:rFonts w:cs="Arial"/>
                <w:sz w:val="18"/>
                <w:szCs w:val="18"/>
              </w:rPr>
            </w:pPr>
            <w:r w:rsidRPr="001D41EA">
              <w:rPr>
                <w:rFonts w:cs="Arial"/>
                <w:sz w:val="18"/>
                <w:szCs w:val="18"/>
              </w:rPr>
              <w:t>0.902</w:t>
            </w:r>
          </w:p>
        </w:tc>
        <w:tc>
          <w:tcPr>
            <w:tcW w:w="1134" w:type="dxa"/>
            <w:tcBorders>
              <w:top w:val="nil"/>
              <w:left w:val="nil"/>
              <w:bottom w:val="nil"/>
              <w:right w:val="nil"/>
            </w:tcBorders>
            <w:vAlign w:val="bottom"/>
          </w:tcPr>
          <w:p w14:paraId="2CE723C6" w14:textId="4EFE5300" w:rsidR="00566EA9" w:rsidRPr="001D41EA" w:rsidRDefault="00566EA9" w:rsidP="001D41EA">
            <w:pPr>
              <w:spacing w:before="40" w:after="20"/>
              <w:jc w:val="center"/>
              <w:rPr>
                <w:rFonts w:cs="Arial"/>
                <w:sz w:val="18"/>
                <w:szCs w:val="18"/>
              </w:rPr>
            </w:pPr>
            <w:r w:rsidRPr="001D41EA">
              <w:rPr>
                <w:rFonts w:cs="Arial"/>
                <w:sz w:val="18"/>
                <w:szCs w:val="18"/>
              </w:rPr>
              <w:t>0.897</w:t>
            </w:r>
          </w:p>
        </w:tc>
        <w:tc>
          <w:tcPr>
            <w:tcW w:w="1134" w:type="dxa"/>
            <w:tcBorders>
              <w:top w:val="nil"/>
              <w:left w:val="nil"/>
              <w:bottom w:val="nil"/>
              <w:right w:val="nil"/>
            </w:tcBorders>
            <w:vAlign w:val="bottom"/>
          </w:tcPr>
          <w:p w14:paraId="617E8AD7" w14:textId="0DC31958" w:rsidR="00566EA9" w:rsidRPr="001D41EA" w:rsidRDefault="00566EA9" w:rsidP="001D41EA">
            <w:pPr>
              <w:spacing w:before="40" w:after="20"/>
              <w:jc w:val="center"/>
              <w:rPr>
                <w:rFonts w:cs="Arial"/>
                <w:sz w:val="18"/>
                <w:szCs w:val="18"/>
              </w:rPr>
            </w:pPr>
            <w:r w:rsidRPr="001D41EA">
              <w:rPr>
                <w:rFonts w:cs="Arial"/>
                <w:sz w:val="18"/>
                <w:szCs w:val="18"/>
              </w:rPr>
              <w:t>0.907</w:t>
            </w:r>
          </w:p>
        </w:tc>
        <w:tc>
          <w:tcPr>
            <w:tcW w:w="1134" w:type="dxa"/>
            <w:tcBorders>
              <w:top w:val="nil"/>
              <w:left w:val="nil"/>
              <w:bottom w:val="nil"/>
              <w:right w:val="nil"/>
            </w:tcBorders>
            <w:vAlign w:val="bottom"/>
          </w:tcPr>
          <w:p w14:paraId="3A5438CC" w14:textId="10AFFF7E" w:rsidR="00566EA9" w:rsidRPr="001D41EA" w:rsidRDefault="00566EA9" w:rsidP="001D41EA">
            <w:pPr>
              <w:spacing w:before="40" w:after="20"/>
              <w:jc w:val="center"/>
              <w:rPr>
                <w:rFonts w:cs="Arial"/>
                <w:sz w:val="18"/>
                <w:szCs w:val="18"/>
              </w:rPr>
            </w:pPr>
            <w:r w:rsidRPr="001D41EA">
              <w:rPr>
                <w:rFonts w:cs="Arial"/>
                <w:sz w:val="18"/>
                <w:szCs w:val="18"/>
              </w:rPr>
              <w:t>0.886</w:t>
            </w:r>
          </w:p>
        </w:tc>
        <w:tc>
          <w:tcPr>
            <w:tcW w:w="1134" w:type="dxa"/>
            <w:tcBorders>
              <w:top w:val="nil"/>
              <w:left w:val="nil"/>
              <w:bottom w:val="nil"/>
              <w:right w:val="nil"/>
            </w:tcBorders>
            <w:shd w:val="clear" w:color="auto" w:fill="auto"/>
            <w:vAlign w:val="bottom"/>
          </w:tcPr>
          <w:p w14:paraId="4C13CA18" w14:textId="4AE932EE" w:rsidR="00566EA9" w:rsidRPr="001D41EA" w:rsidRDefault="00566EA9" w:rsidP="001D41EA">
            <w:pPr>
              <w:spacing w:before="40" w:after="20"/>
              <w:jc w:val="center"/>
              <w:rPr>
                <w:rFonts w:cs="Arial"/>
                <w:sz w:val="18"/>
                <w:szCs w:val="18"/>
              </w:rPr>
            </w:pPr>
            <w:r w:rsidRPr="001D41EA">
              <w:rPr>
                <w:rFonts w:cs="Arial"/>
                <w:sz w:val="18"/>
                <w:szCs w:val="18"/>
              </w:rPr>
              <w:t>0.899</w:t>
            </w:r>
          </w:p>
        </w:tc>
      </w:tr>
      <w:tr w:rsidR="00566EA9" w:rsidRPr="001D41EA" w14:paraId="5B4C526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CDEB8B3" w14:textId="77777777" w:rsidR="00566EA9" w:rsidRPr="001D41EA" w:rsidRDefault="00566EA9" w:rsidP="001D41EA">
            <w:pPr>
              <w:spacing w:before="40" w:after="20"/>
              <w:rPr>
                <w:rFonts w:cs="Arial"/>
                <w:sz w:val="18"/>
                <w:szCs w:val="18"/>
              </w:rPr>
            </w:pPr>
            <w:r w:rsidRPr="001D41EA">
              <w:rPr>
                <w:rFonts w:cs="Arial"/>
                <w:sz w:val="18"/>
                <w:szCs w:val="18"/>
              </w:rPr>
              <w:t>Wellington S</w:t>
            </w:r>
          </w:p>
        </w:tc>
        <w:tc>
          <w:tcPr>
            <w:tcW w:w="1134" w:type="dxa"/>
            <w:tcBorders>
              <w:top w:val="nil"/>
              <w:left w:val="single" w:sz="18" w:space="0" w:color="5F497A" w:themeColor="accent4" w:themeShade="BF"/>
              <w:bottom w:val="nil"/>
              <w:right w:val="nil"/>
            </w:tcBorders>
            <w:shd w:val="clear" w:color="auto" w:fill="auto"/>
            <w:vAlign w:val="bottom"/>
          </w:tcPr>
          <w:p w14:paraId="376097F9" w14:textId="6F53AA1A" w:rsidR="00566EA9" w:rsidRPr="001D41EA" w:rsidRDefault="00566EA9" w:rsidP="001D41EA">
            <w:pPr>
              <w:spacing w:before="40" w:after="20"/>
              <w:jc w:val="center"/>
              <w:rPr>
                <w:rFonts w:cs="Arial"/>
                <w:sz w:val="18"/>
                <w:szCs w:val="18"/>
              </w:rPr>
            </w:pPr>
            <w:r w:rsidRPr="001D41EA">
              <w:rPr>
                <w:rFonts w:cs="Arial"/>
                <w:sz w:val="18"/>
                <w:szCs w:val="18"/>
              </w:rPr>
              <w:t>1.436</w:t>
            </w:r>
          </w:p>
        </w:tc>
        <w:tc>
          <w:tcPr>
            <w:tcW w:w="1134" w:type="dxa"/>
            <w:tcBorders>
              <w:top w:val="nil"/>
              <w:left w:val="nil"/>
              <w:bottom w:val="nil"/>
              <w:right w:val="nil"/>
            </w:tcBorders>
            <w:shd w:val="clear" w:color="auto" w:fill="auto"/>
            <w:vAlign w:val="bottom"/>
          </w:tcPr>
          <w:p w14:paraId="0FB3097F" w14:textId="77B198E2" w:rsidR="00566EA9" w:rsidRPr="001D41EA" w:rsidRDefault="00566EA9" w:rsidP="001D41EA">
            <w:pPr>
              <w:spacing w:before="40" w:after="20"/>
              <w:jc w:val="center"/>
              <w:rPr>
                <w:rFonts w:cs="Arial"/>
                <w:sz w:val="18"/>
                <w:szCs w:val="18"/>
              </w:rPr>
            </w:pPr>
            <w:r w:rsidRPr="001D41EA">
              <w:rPr>
                <w:rFonts w:cs="Arial"/>
                <w:sz w:val="18"/>
                <w:szCs w:val="18"/>
              </w:rPr>
              <w:t>1.423</w:t>
            </w:r>
          </w:p>
        </w:tc>
        <w:tc>
          <w:tcPr>
            <w:tcW w:w="1134" w:type="dxa"/>
            <w:tcBorders>
              <w:top w:val="nil"/>
              <w:left w:val="nil"/>
              <w:bottom w:val="nil"/>
              <w:right w:val="nil"/>
            </w:tcBorders>
            <w:vAlign w:val="bottom"/>
          </w:tcPr>
          <w:p w14:paraId="627FFF0A" w14:textId="7343169A" w:rsidR="00566EA9" w:rsidRPr="001D41EA" w:rsidRDefault="00566EA9" w:rsidP="001D41EA">
            <w:pPr>
              <w:spacing w:before="40" w:after="20"/>
              <w:jc w:val="center"/>
              <w:rPr>
                <w:rFonts w:cs="Arial"/>
                <w:sz w:val="18"/>
                <w:szCs w:val="18"/>
              </w:rPr>
            </w:pPr>
            <w:r w:rsidRPr="001D41EA">
              <w:rPr>
                <w:rFonts w:cs="Arial"/>
                <w:sz w:val="18"/>
                <w:szCs w:val="18"/>
              </w:rPr>
              <w:t>1.415</w:t>
            </w:r>
          </w:p>
        </w:tc>
        <w:tc>
          <w:tcPr>
            <w:tcW w:w="1134" w:type="dxa"/>
            <w:tcBorders>
              <w:top w:val="nil"/>
              <w:left w:val="nil"/>
              <w:bottom w:val="nil"/>
              <w:right w:val="nil"/>
            </w:tcBorders>
            <w:vAlign w:val="bottom"/>
          </w:tcPr>
          <w:p w14:paraId="1A7AAF45" w14:textId="6FC6FF90" w:rsidR="00566EA9" w:rsidRPr="001D41EA" w:rsidRDefault="00566EA9" w:rsidP="001D41EA">
            <w:pPr>
              <w:spacing w:before="40" w:after="20"/>
              <w:jc w:val="center"/>
              <w:rPr>
                <w:rFonts w:cs="Arial"/>
                <w:sz w:val="18"/>
                <w:szCs w:val="18"/>
              </w:rPr>
            </w:pPr>
            <w:r w:rsidRPr="001D41EA">
              <w:rPr>
                <w:rFonts w:cs="Arial"/>
                <w:sz w:val="18"/>
                <w:szCs w:val="18"/>
              </w:rPr>
              <w:t>1.432</w:t>
            </w:r>
          </w:p>
        </w:tc>
        <w:tc>
          <w:tcPr>
            <w:tcW w:w="1134" w:type="dxa"/>
            <w:tcBorders>
              <w:top w:val="nil"/>
              <w:left w:val="nil"/>
              <w:bottom w:val="nil"/>
              <w:right w:val="nil"/>
            </w:tcBorders>
            <w:vAlign w:val="bottom"/>
          </w:tcPr>
          <w:p w14:paraId="6367FB6C" w14:textId="40472DA0" w:rsidR="00566EA9" w:rsidRPr="001D41EA" w:rsidRDefault="00566EA9" w:rsidP="001D41EA">
            <w:pPr>
              <w:spacing w:before="40" w:after="20"/>
              <w:jc w:val="center"/>
              <w:rPr>
                <w:rFonts w:cs="Arial"/>
                <w:sz w:val="18"/>
                <w:szCs w:val="18"/>
              </w:rPr>
            </w:pPr>
            <w:r w:rsidRPr="001D41EA">
              <w:rPr>
                <w:rFonts w:cs="Arial"/>
                <w:sz w:val="18"/>
                <w:szCs w:val="18"/>
              </w:rPr>
              <w:t>1.399</w:t>
            </w:r>
          </w:p>
        </w:tc>
        <w:tc>
          <w:tcPr>
            <w:tcW w:w="1134" w:type="dxa"/>
            <w:tcBorders>
              <w:top w:val="nil"/>
              <w:left w:val="nil"/>
              <w:bottom w:val="nil"/>
              <w:right w:val="nil"/>
            </w:tcBorders>
            <w:shd w:val="clear" w:color="auto" w:fill="auto"/>
            <w:vAlign w:val="bottom"/>
          </w:tcPr>
          <w:p w14:paraId="27254171" w14:textId="05AE25C6" w:rsidR="00566EA9" w:rsidRPr="001D41EA" w:rsidRDefault="00566EA9" w:rsidP="001D41EA">
            <w:pPr>
              <w:spacing w:before="40" w:after="20"/>
              <w:jc w:val="center"/>
              <w:rPr>
                <w:rFonts w:cs="Arial"/>
                <w:sz w:val="18"/>
                <w:szCs w:val="18"/>
              </w:rPr>
            </w:pPr>
            <w:r w:rsidRPr="001D41EA">
              <w:rPr>
                <w:rFonts w:cs="Arial"/>
                <w:sz w:val="18"/>
                <w:szCs w:val="18"/>
              </w:rPr>
              <w:t>1.418</w:t>
            </w:r>
          </w:p>
        </w:tc>
      </w:tr>
      <w:tr w:rsidR="00566EA9" w:rsidRPr="001D41EA" w14:paraId="24BA451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A024F21" w14:textId="77777777" w:rsidR="00566EA9" w:rsidRPr="001D41EA" w:rsidRDefault="00566EA9" w:rsidP="001D41EA">
            <w:pPr>
              <w:spacing w:before="40" w:after="20"/>
              <w:rPr>
                <w:rFonts w:cs="Arial"/>
                <w:sz w:val="18"/>
                <w:szCs w:val="18"/>
              </w:rPr>
            </w:pPr>
            <w:r w:rsidRPr="001D41EA">
              <w:rPr>
                <w:rFonts w:cs="Arial"/>
                <w:sz w:val="18"/>
                <w:szCs w:val="18"/>
              </w:rPr>
              <w:t>West Wimmera S</w:t>
            </w:r>
          </w:p>
        </w:tc>
        <w:tc>
          <w:tcPr>
            <w:tcW w:w="1134" w:type="dxa"/>
            <w:tcBorders>
              <w:top w:val="nil"/>
              <w:left w:val="single" w:sz="18" w:space="0" w:color="5F497A" w:themeColor="accent4" w:themeShade="BF"/>
              <w:bottom w:val="nil"/>
              <w:right w:val="nil"/>
            </w:tcBorders>
            <w:shd w:val="clear" w:color="auto" w:fill="auto"/>
            <w:vAlign w:val="bottom"/>
          </w:tcPr>
          <w:p w14:paraId="65A25551" w14:textId="04EBDDD2" w:rsidR="00566EA9" w:rsidRPr="001D41EA" w:rsidRDefault="00566EA9" w:rsidP="001D41EA">
            <w:pPr>
              <w:spacing w:before="40" w:after="20"/>
              <w:jc w:val="center"/>
              <w:rPr>
                <w:rFonts w:cs="Arial"/>
                <w:sz w:val="18"/>
                <w:szCs w:val="18"/>
              </w:rPr>
            </w:pPr>
            <w:r w:rsidRPr="001D41EA">
              <w:rPr>
                <w:rFonts w:cs="Arial"/>
                <w:sz w:val="18"/>
                <w:szCs w:val="18"/>
              </w:rPr>
              <w:t>1.727</w:t>
            </w:r>
          </w:p>
        </w:tc>
        <w:tc>
          <w:tcPr>
            <w:tcW w:w="1134" w:type="dxa"/>
            <w:tcBorders>
              <w:top w:val="nil"/>
              <w:left w:val="nil"/>
              <w:bottom w:val="nil"/>
              <w:right w:val="nil"/>
            </w:tcBorders>
            <w:shd w:val="clear" w:color="auto" w:fill="auto"/>
            <w:vAlign w:val="bottom"/>
          </w:tcPr>
          <w:p w14:paraId="1FAFE456" w14:textId="67A9804D" w:rsidR="00566EA9" w:rsidRPr="001D41EA" w:rsidRDefault="00566EA9" w:rsidP="001D41EA">
            <w:pPr>
              <w:spacing w:before="40" w:after="20"/>
              <w:jc w:val="center"/>
              <w:rPr>
                <w:rFonts w:cs="Arial"/>
                <w:sz w:val="18"/>
                <w:szCs w:val="18"/>
              </w:rPr>
            </w:pPr>
            <w:r w:rsidRPr="001D41EA">
              <w:rPr>
                <w:rFonts w:cs="Arial"/>
                <w:sz w:val="18"/>
                <w:szCs w:val="18"/>
              </w:rPr>
              <w:t>1.711</w:t>
            </w:r>
          </w:p>
        </w:tc>
        <w:tc>
          <w:tcPr>
            <w:tcW w:w="1134" w:type="dxa"/>
            <w:tcBorders>
              <w:top w:val="nil"/>
              <w:left w:val="nil"/>
              <w:bottom w:val="nil"/>
              <w:right w:val="nil"/>
            </w:tcBorders>
            <w:vAlign w:val="bottom"/>
          </w:tcPr>
          <w:p w14:paraId="39D77DE6" w14:textId="6CAC00F5" w:rsidR="00566EA9" w:rsidRPr="001D41EA" w:rsidRDefault="00566EA9" w:rsidP="001D41EA">
            <w:pPr>
              <w:spacing w:before="40" w:after="20"/>
              <w:jc w:val="center"/>
              <w:rPr>
                <w:rFonts w:cs="Arial"/>
                <w:sz w:val="18"/>
                <w:szCs w:val="18"/>
              </w:rPr>
            </w:pPr>
            <w:r w:rsidRPr="001D41EA">
              <w:rPr>
                <w:rFonts w:cs="Arial"/>
                <w:sz w:val="18"/>
                <w:szCs w:val="18"/>
              </w:rPr>
              <w:t>1.702</w:t>
            </w:r>
          </w:p>
        </w:tc>
        <w:tc>
          <w:tcPr>
            <w:tcW w:w="1134" w:type="dxa"/>
            <w:tcBorders>
              <w:top w:val="nil"/>
              <w:left w:val="nil"/>
              <w:bottom w:val="nil"/>
              <w:right w:val="nil"/>
            </w:tcBorders>
            <w:vAlign w:val="bottom"/>
          </w:tcPr>
          <w:p w14:paraId="4C129436" w14:textId="1DADA1EE" w:rsidR="00566EA9" w:rsidRPr="001D41EA" w:rsidRDefault="00566EA9" w:rsidP="001D41EA">
            <w:pPr>
              <w:spacing w:before="40" w:after="20"/>
              <w:jc w:val="center"/>
              <w:rPr>
                <w:rFonts w:cs="Arial"/>
                <w:sz w:val="18"/>
                <w:szCs w:val="18"/>
              </w:rPr>
            </w:pPr>
            <w:r w:rsidRPr="001D41EA">
              <w:rPr>
                <w:rFonts w:cs="Arial"/>
                <w:sz w:val="18"/>
                <w:szCs w:val="18"/>
              </w:rPr>
              <w:t>1.722</w:t>
            </w:r>
          </w:p>
        </w:tc>
        <w:tc>
          <w:tcPr>
            <w:tcW w:w="1134" w:type="dxa"/>
            <w:tcBorders>
              <w:top w:val="nil"/>
              <w:left w:val="nil"/>
              <w:bottom w:val="nil"/>
              <w:right w:val="nil"/>
            </w:tcBorders>
            <w:vAlign w:val="bottom"/>
          </w:tcPr>
          <w:p w14:paraId="1B05C569" w14:textId="2929E2BB" w:rsidR="00566EA9" w:rsidRPr="001D41EA" w:rsidRDefault="00566EA9" w:rsidP="001D41EA">
            <w:pPr>
              <w:spacing w:before="40" w:after="20"/>
              <w:jc w:val="center"/>
              <w:rPr>
                <w:rFonts w:cs="Arial"/>
                <w:sz w:val="18"/>
                <w:szCs w:val="18"/>
              </w:rPr>
            </w:pPr>
            <w:r w:rsidRPr="001D41EA">
              <w:rPr>
                <w:rFonts w:cs="Arial"/>
                <w:sz w:val="18"/>
                <w:szCs w:val="18"/>
              </w:rPr>
              <w:t>1.682</w:t>
            </w:r>
          </w:p>
        </w:tc>
        <w:tc>
          <w:tcPr>
            <w:tcW w:w="1134" w:type="dxa"/>
            <w:tcBorders>
              <w:top w:val="nil"/>
              <w:left w:val="nil"/>
              <w:bottom w:val="nil"/>
              <w:right w:val="nil"/>
            </w:tcBorders>
            <w:shd w:val="clear" w:color="auto" w:fill="auto"/>
            <w:vAlign w:val="bottom"/>
          </w:tcPr>
          <w:p w14:paraId="4773135A" w14:textId="46EBED69" w:rsidR="00566EA9" w:rsidRPr="001D41EA" w:rsidRDefault="00566EA9" w:rsidP="001D41EA">
            <w:pPr>
              <w:spacing w:before="40" w:after="20"/>
              <w:jc w:val="center"/>
              <w:rPr>
                <w:rFonts w:cs="Arial"/>
                <w:sz w:val="18"/>
                <w:szCs w:val="18"/>
              </w:rPr>
            </w:pPr>
            <w:r w:rsidRPr="001D41EA">
              <w:rPr>
                <w:rFonts w:cs="Arial"/>
                <w:sz w:val="18"/>
                <w:szCs w:val="18"/>
              </w:rPr>
              <w:t>1.705</w:t>
            </w:r>
          </w:p>
        </w:tc>
      </w:tr>
      <w:tr w:rsidR="00566EA9" w:rsidRPr="001D41EA" w14:paraId="28E699C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8F9D562" w14:textId="77777777" w:rsidR="00566EA9" w:rsidRPr="001D41EA" w:rsidRDefault="00566EA9" w:rsidP="001D41EA">
            <w:pPr>
              <w:spacing w:before="40" w:after="20"/>
              <w:rPr>
                <w:rFonts w:cs="Arial"/>
                <w:sz w:val="18"/>
                <w:szCs w:val="18"/>
              </w:rPr>
            </w:pPr>
            <w:r w:rsidRPr="001D41EA">
              <w:rPr>
                <w:rFonts w:cs="Arial"/>
                <w:sz w:val="18"/>
                <w:szCs w:val="18"/>
              </w:rPr>
              <w:t>Whitehorse C</w:t>
            </w:r>
          </w:p>
        </w:tc>
        <w:tc>
          <w:tcPr>
            <w:tcW w:w="1134" w:type="dxa"/>
            <w:tcBorders>
              <w:top w:val="nil"/>
              <w:left w:val="single" w:sz="18" w:space="0" w:color="5F497A" w:themeColor="accent4" w:themeShade="BF"/>
              <w:bottom w:val="nil"/>
              <w:right w:val="nil"/>
            </w:tcBorders>
            <w:shd w:val="clear" w:color="auto" w:fill="auto"/>
            <w:vAlign w:val="bottom"/>
          </w:tcPr>
          <w:p w14:paraId="437BC966" w14:textId="63FFA7F0" w:rsidR="00566EA9" w:rsidRPr="001D41EA" w:rsidRDefault="00566EA9" w:rsidP="001D41EA">
            <w:pPr>
              <w:spacing w:before="40" w:after="2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7EEA1BC0" w14:textId="61DA9760" w:rsidR="00566EA9" w:rsidRPr="001D41EA" w:rsidRDefault="00566EA9" w:rsidP="001D41EA">
            <w:pPr>
              <w:spacing w:before="40" w:after="2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7637A2D0" w14:textId="19EE1B03" w:rsidR="00566EA9" w:rsidRPr="001D41EA" w:rsidRDefault="00566EA9" w:rsidP="001D41EA">
            <w:pPr>
              <w:spacing w:before="40" w:after="2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6C628F47" w14:textId="5E8F1376" w:rsidR="00566EA9" w:rsidRPr="001D41EA" w:rsidRDefault="00566EA9" w:rsidP="001D41EA">
            <w:pPr>
              <w:spacing w:before="40" w:after="2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4F6DEE63" w14:textId="31EA79BF" w:rsidR="00566EA9" w:rsidRPr="001D41EA" w:rsidRDefault="00566EA9" w:rsidP="001D41EA">
            <w:pPr>
              <w:spacing w:before="40" w:after="2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475F2A4D" w14:textId="0B4D731A" w:rsidR="00566EA9" w:rsidRPr="001D41EA" w:rsidRDefault="00566EA9" w:rsidP="001D41EA">
            <w:pPr>
              <w:spacing w:before="40" w:after="20"/>
              <w:jc w:val="center"/>
              <w:rPr>
                <w:rFonts w:cs="Arial"/>
                <w:sz w:val="18"/>
                <w:szCs w:val="18"/>
              </w:rPr>
            </w:pPr>
            <w:r w:rsidRPr="001D41EA">
              <w:rPr>
                <w:rFonts w:cs="Arial"/>
                <w:sz w:val="18"/>
                <w:szCs w:val="18"/>
              </w:rPr>
              <w:t>0.885</w:t>
            </w:r>
          </w:p>
        </w:tc>
      </w:tr>
      <w:tr w:rsidR="00566EA9" w:rsidRPr="001D41EA" w14:paraId="652B36D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1A5230F" w14:textId="77777777" w:rsidR="00566EA9" w:rsidRPr="001D41EA" w:rsidRDefault="00566EA9" w:rsidP="001D41EA">
            <w:pPr>
              <w:spacing w:before="40" w:after="20"/>
              <w:rPr>
                <w:rFonts w:cs="Arial"/>
                <w:sz w:val="18"/>
                <w:szCs w:val="18"/>
              </w:rPr>
            </w:pPr>
            <w:r w:rsidRPr="001D41EA">
              <w:rPr>
                <w:rFonts w:cs="Arial"/>
                <w:sz w:val="18"/>
                <w:szCs w:val="18"/>
              </w:rPr>
              <w:t>Whittlesea C</w:t>
            </w:r>
          </w:p>
        </w:tc>
        <w:tc>
          <w:tcPr>
            <w:tcW w:w="1134" w:type="dxa"/>
            <w:tcBorders>
              <w:top w:val="nil"/>
              <w:left w:val="single" w:sz="18" w:space="0" w:color="5F497A" w:themeColor="accent4" w:themeShade="BF"/>
              <w:bottom w:val="nil"/>
              <w:right w:val="nil"/>
            </w:tcBorders>
            <w:shd w:val="clear" w:color="auto" w:fill="auto"/>
            <w:vAlign w:val="bottom"/>
          </w:tcPr>
          <w:p w14:paraId="273EB4CB" w14:textId="35455056" w:rsidR="00566EA9" w:rsidRPr="001D41EA" w:rsidRDefault="00566EA9" w:rsidP="001D41EA">
            <w:pPr>
              <w:spacing w:before="40" w:after="20"/>
              <w:jc w:val="center"/>
              <w:rPr>
                <w:rFonts w:cs="Arial"/>
                <w:sz w:val="18"/>
                <w:szCs w:val="18"/>
              </w:rPr>
            </w:pPr>
            <w:r w:rsidRPr="001D41EA">
              <w:rPr>
                <w:rFonts w:cs="Arial"/>
                <w:sz w:val="18"/>
                <w:szCs w:val="18"/>
              </w:rPr>
              <w:t>0.909</w:t>
            </w:r>
          </w:p>
        </w:tc>
        <w:tc>
          <w:tcPr>
            <w:tcW w:w="1134" w:type="dxa"/>
            <w:tcBorders>
              <w:top w:val="nil"/>
              <w:left w:val="nil"/>
              <w:bottom w:val="nil"/>
              <w:right w:val="nil"/>
            </w:tcBorders>
            <w:shd w:val="clear" w:color="auto" w:fill="auto"/>
            <w:vAlign w:val="bottom"/>
          </w:tcPr>
          <w:p w14:paraId="2BAA8805" w14:textId="3F27CD4E" w:rsidR="00566EA9" w:rsidRPr="001D41EA" w:rsidRDefault="00566EA9" w:rsidP="001D41EA">
            <w:pPr>
              <w:spacing w:before="40" w:after="20"/>
              <w:jc w:val="center"/>
              <w:rPr>
                <w:rFonts w:cs="Arial"/>
                <w:sz w:val="18"/>
                <w:szCs w:val="18"/>
              </w:rPr>
            </w:pPr>
            <w:r w:rsidRPr="001D41EA">
              <w:rPr>
                <w:rFonts w:cs="Arial"/>
                <w:sz w:val="18"/>
                <w:szCs w:val="18"/>
              </w:rPr>
              <w:t>0.901</w:t>
            </w:r>
          </w:p>
        </w:tc>
        <w:tc>
          <w:tcPr>
            <w:tcW w:w="1134" w:type="dxa"/>
            <w:tcBorders>
              <w:top w:val="nil"/>
              <w:left w:val="nil"/>
              <w:bottom w:val="nil"/>
              <w:right w:val="nil"/>
            </w:tcBorders>
            <w:vAlign w:val="bottom"/>
          </w:tcPr>
          <w:p w14:paraId="4830EB1A" w14:textId="74FC0FE9" w:rsidR="00566EA9" w:rsidRPr="001D41EA" w:rsidRDefault="00566EA9" w:rsidP="001D41EA">
            <w:pPr>
              <w:spacing w:before="40" w:after="20"/>
              <w:jc w:val="center"/>
              <w:rPr>
                <w:rFonts w:cs="Arial"/>
                <w:sz w:val="18"/>
                <w:szCs w:val="18"/>
              </w:rPr>
            </w:pPr>
            <w:r w:rsidRPr="001D41EA">
              <w:rPr>
                <w:rFonts w:cs="Arial"/>
                <w:sz w:val="18"/>
                <w:szCs w:val="18"/>
              </w:rPr>
              <w:t>0.896</w:t>
            </w:r>
          </w:p>
        </w:tc>
        <w:tc>
          <w:tcPr>
            <w:tcW w:w="1134" w:type="dxa"/>
            <w:tcBorders>
              <w:top w:val="nil"/>
              <w:left w:val="nil"/>
              <w:bottom w:val="nil"/>
              <w:right w:val="nil"/>
            </w:tcBorders>
            <w:vAlign w:val="bottom"/>
          </w:tcPr>
          <w:p w14:paraId="7DD1C15A" w14:textId="04FB510A" w:rsidR="00566EA9" w:rsidRPr="001D41EA" w:rsidRDefault="00566EA9" w:rsidP="001D41EA">
            <w:pPr>
              <w:spacing w:before="40" w:after="20"/>
              <w:jc w:val="center"/>
              <w:rPr>
                <w:rFonts w:cs="Arial"/>
                <w:sz w:val="18"/>
                <w:szCs w:val="18"/>
              </w:rPr>
            </w:pPr>
            <w:r w:rsidRPr="001D41EA">
              <w:rPr>
                <w:rFonts w:cs="Arial"/>
                <w:sz w:val="18"/>
                <w:szCs w:val="18"/>
              </w:rPr>
              <w:t>0.907</w:t>
            </w:r>
          </w:p>
        </w:tc>
        <w:tc>
          <w:tcPr>
            <w:tcW w:w="1134" w:type="dxa"/>
            <w:tcBorders>
              <w:top w:val="nil"/>
              <w:left w:val="nil"/>
              <w:bottom w:val="nil"/>
              <w:right w:val="nil"/>
            </w:tcBorders>
            <w:vAlign w:val="bottom"/>
          </w:tcPr>
          <w:p w14:paraId="17B822A2" w14:textId="3860959F" w:rsidR="00566EA9" w:rsidRPr="001D41EA" w:rsidRDefault="00566EA9" w:rsidP="001D41EA">
            <w:pPr>
              <w:spacing w:before="40" w:after="20"/>
              <w:jc w:val="center"/>
              <w:rPr>
                <w:rFonts w:cs="Arial"/>
                <w:sz w:val="18"/>
                <w:szCs w:val="18"/>
              </w:rPr>
            </w:pPr>
            <w:r w:rsidRPr="001D41EA">
              <w:rPr>
                <w:rFonts w:cs="Arial"/>
                <w:sz w:val="18"/>
                <w:szCs w:val="18"/>
              </w:rPr>
              <w:t>0.885</w:t>
            </w:r>
          </w:p>
        </w:tc>
        <w:tc>
          <w:tcPr>
            <w:tcW w:w="1134" w:type="dxa"/>
            <w:tcBorders>
              <w:top w:val="nil"/>
              <w:left w:val="nil"/>
              <w:bottom w:val="nil"/>
              <w:right w:val="nil"/>
            </w:tcBorders>
            <w:shd w:val="clear" w:color="auto" w:fill="auto"/>
            <w:vAlign w:val="bottom"/>
          </w:tcPr>
          <w:p w14:paraId="0E1560B2" w14:textId="6C58B5F2" w:rsidR="00566EA9" w:rsidRPr="001D41EA" w:rsidRDefault="00566EA9" w:rsidP="001D41EA">
            <w:pPr>
              <w:spacing w:before="40" w:after="20"/>
              <w:jc w:val="center"/>
              <w:rPr>
                <w:rFonts w:cs="Arial"/>
                <w:sz w:val="18"/>
                <w:szCs w:val="18"/>
              </w:rPr>
            </w:pPr>
            <w:r w:rsidRPr="001D41EA">
              <w:rPr>
                <w:rFonts w:cs="Arial"/>
                <w:sz w:val="18"/>
                <w:szCs w:val="18"/>
              </w:rPr>
              <w:t>0.898</w:t>
            </w:r>
          </w:p>
        </w:tc>
      </w:tr>
      <w:tr w:rsidR="00566EA9" w:rsidRPr="001D41EA" w14:paraId="79AFC9F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5E406C9" w14:textId="77777777" w:rsidR="00566EA9" w:rsidRPr="001D41EA" w:rsidRDefault="00566EA9" w:rsidP="001D41EA">
            <w:pPr>
              <w:spacing w:before="40" w:after="20"/>
              <w:rPr>
                <w:rFonts w:cs="Arial"/>
                <w:sz w:val="18"/>
                <w:szCs w:val="18"/>
              </w:rPr>
            </w:pPr>
            <w:r w:rsidRPr="001D41EA">
              <w:rPr>
                <w:rFonts w:cs="Arial"/>
                <w:sz w:val="18"/>
                <w:szCs w:val="18"/>
              </w:rPr>
              <w:t>Wodonga C</w:t>
            </w:r>
          </w:p>
        </w:tc>
        <w:tc>
          <w:tcPr>
            <w:tcW w:w="1134" w:type="dxa"/>
            <w:tcBorders>
              <w:top w:val="nil"/>
              <w:left w:val="single" w:sz="18" w:space="0" w:color="5F497A" w:themeColor="accent4" w:themeShade="BF"/>
              <w:bottom w:val="nil"/>
              <w:right w:val="nil"/>
            </w:tcBorders>
            <w:shd w:val="clear" w:color="auto" w:fill="auto"/>
            <w:vAlign w:val="bottom"/>
          </w:tcPr>
          <w:p w14:paraId="57E532B2" w14:textId="2249062B" w:rsidR="00566EA9" w:rsidRPr="001D41EA" w:rsidRDefault="00566EA9" w:rsidP="001D41EA">
            <w:pPr>
              <w:spacing w:before="40" w:after="20"/>
              <w:jc w:val="center"/>
              <w:rPr>
                <w:rFonts w:cs="Arial"/>
                <w:sz w:val="18"/>
                <w:szCs w:val="18"/>
              </w:rPr>
            </w:pPr>
            <w:r w:rsidRPr="001D41EA">
              <w:rPr>
                <w:rFonts w:cs="Arial"/>
                <w:sz w:val="18"/>
                <w:szCs w:val="18"/>
              </w:rPr>
              <w:t>0.919</w:t>
            </w:r>
          </w:p>
        </w:tc>
        <w:tc>
          <w:tcPr>
            <w:tcW w:w="1134" w:type="dxa"/>
            <w:tcBorders>
              <w:top w:val="nil"/>
              <w:left w:val="nil"/>
              <w:bottom w:val="nil"/>
              <w:right w:val="nil"/>
            </w:tcBorders>
            <w:shd w:val="clear" w:color="auto" w:fill="auto"/>
            <w:vAlign w:val="bottom"/>
          </w:tcPr>
          <w:p w14:paraId="0ED6C32A" w14:textId="667E5FD5" w:rsidR="00566EA9" w:rsidRPr="001D41EA" w:rsidRDefault="00566EA9" w:rsidP="001D41EA">
            <w:pPr>
              <w:spacing w:before="40" w:after="20"/>
              <w:jc w:val="center"/>
              <w:rPr>
                <w:rFonts w:cs="Arial"/>
                <w:sz w:val="18"/>
                <w:szCs w:val="18"/>
              </w:rPr>
            </w:pPr>
            <w:r w:rsidRPr="001D41EA">
              <w:rPr>
                <w:rFonts w:cs="Arial"/>
                <w:sz w:val="18"/>
                <w:szCs w:val="18"/>
              </w:rPr>
              <w:t>0.911</w:t>
            </w:r>
          </w:p>
        </w:tc>
        <w:tc>
          <w:tcPr>
            <w:tcW w:w="1134" w:type="dxa"/>
            <w:tcBorders>
              <w:top w:val="nil"/>
              <w:left w:val="nil"/>
              <w:bottom w:val="nil"/>
              <w:right w:val="nil"/>
            </w:tcBorders>
            <w:vAlign w:val="bottom"/>
          </w:tcPr>
          <w:p w14:paraId="6009D655" w14:textId="192F61C5" w:rsidR="00566EA9" w:rsidRPr="001D41EA" w:rsidRDefault="00566EA9" w:rsidP="001D41EA">
            <w:pPr>
              <w:spacing w:before="40" w:after="20"/>
              <w:jc w:val="center"/>
              <w:rPr>
                <w:rFonts w:cs="Arial"/>
                <w:sz w:val="18"/>
                <w:szCs w:val="18"/>
              </w:rPr>
            </w:pPr>
            <w:r w:rsidRPr="001D41EA">
              <w:rPr>
                <w:rFonts w:cs="Arial"/>
                <w:sz w:val="18"/>
                <w:szCs w:val="18"/>
              </w:rPr>
              <w:t>0.906</w:t>
            </w:r>
          </w:p>
        </w:tc>
        <w:tc>
          <w:tcPr>
            <w:tcW w:w="1134" w:type="dxa"/>
            <w:tcBorders>
              <w:top w:val="nil"/>
              <w:left w:val="nil"/>
              <w:bottom w:val="nil"/>
              <w:right w:val="nil"/>
            </w:tcBorders>
            <w:vAlign w:val="bottom"/>
          </w:tcPr>
          <w:p w14:paraId="0746F42A" w14:textId="49C691EA" w:rsidR="00566EA9" w:rsidRPr="001D41EA" w:rsidRDefault="00566EA9" w:rsidP="001D41EA">
            <w:pPr>
              <w:spacing w:before="40" w:after="20"/>
              <w:jc w:val="center"/>
              <w:rPr>
                <w:rFonts w:cs="Arial"/>
                <w:sz w:val="18"/>
                <w:szCs w:val="18"/>
              </w:rPr>
            </w:pPr>
            <w:r w:rsidRPr="001D41EA">
              <w:rPr>
                <w:rFonts w:cs="Arial"/>
                <w:sz w:val="18"/>
                <w:szCs w:val="18"/>
              </w:rPr>
              <w:t>0.916</w:t>
            </w:r>
          </w:p>
        </w:tc>
        <w:tc>
          <w:tcPr>
            <w:tcW w:w="1134" w:type="dxa"/>
            <w:tcBorders>
              <w:top w:val="nil"/>
              <w:left w:val="nil"/>
              <w:bottom w:val="nil"/>
              <w:right w:val="nil"/>
            </w:tcBorders>
            <w:vAlign w:val="bottom"/>
          </w:tcPr>
          <w:p w14:paraId="74705DEE" w14:textId="61D8A58F" w:rsidR="00566EA9" w:rsidRPr="001D41EA" w:rsidRDefault="00566EA9" w:rsidP="001D41EA">
            <w:pPr>
              <w:spacing w:before="40" w:after="20"/>
              <w:jc w:val="center"/>
              <w:rPr>
                <w:rFonts w:cs="Arial"/>
                <w:sz w:val="18"/>
                <w:szCs w:val="18"/>
              </w:rPr>
            </w:pPr>
            <w:r w:rsidRPr="001D41EA">
              <w:rPr>
                <w:rFonts w:cs="Arial"/>
                <w:sz w:val="18"/>
                <w:szCs w:val="18"/>
              </w:rPr>
              <w:t>0.895</w:t>
            </w:r>
          </w:p>
        </w:tc>
        <w:tc>
          <w:tcPr>
            <w:tcW w:w="1134" w:type="dxa"/>
            <w:tcBorders>
              <w:top w:val="nil"/>
              <w:left w:val="nil"/>
              <w:bottom w:val="nil"/>
              <w:right w:val="nil"/>
            </w:tcBorders>
            <w:shd w:val="clear" w:color="auto" w:fill="auto"/>
            <w:vAlign w:val="bottom"/>
          </w:tcPr>
          <w:p w14:paraId="15D0789D" w14:textId="4F5439D6" w:rsidR="00566EA9" w:rsidRPr="001D41EA" w:rsidRDefault="00566EA9" w:rsidP="001D41EA">
            <w:pPr>
              <w:spacing w:before="40" w:after="20"/>
              <w:jc w:val="center"/>
              <w:rPr>
                <w:rFonts w:cs="Arial"/>
                <w:sz w:val="18"/>
                <w:szCs w:val="18"/>
              </w:rPr>
            </w:pPr>
            <w:r w:rsidRPr="001D41EA">
              <w:rPr>
                <w:rFonts w:cs="Arial"/>
                <w:sz w:val="18"/>
                <w:szCs w:val="18"/>
              </w:rPr>
              <w:t>0.908</w:t>
            </w:r>
          </w:p>
        </w:tc>
      </w:tr>
      <w:tr w:rsidR="00566EA9" w:rsidRPr="001D41EA" w14:paraId="66D7DDE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7E40C01" w14:textId="77777777" w:rsidR="00566EA9" w:rsidRPr="001D41EA" w:rsidRDefault="00566EA9" w:rsidP="001D41EA">
            <w:pPr>
              <w:spacing w:before="40" w:after="20"/>
              <w:rPr>
                <w:rFonts w:cs="Arial"/>
                <w:sz w:val="18"/>
                <w:szCs w:val="18"/>
              </w:rPr>
            </w:pPr>
            <w:r w:rsidRPr="001D41EA">
              <w:rPr>
                <w:rFonts w:cs="Arial"/>
                <w:sz w:val="18"/>
                <w:szCs w:val="18"/>
              </w:rPr>
              <w:t>Wyndham C</w:t>
            </w:r>
          </w:p>
        </w:tc>
        <w:tc>
          <w:tcPr>
            <w:tcW w:w="1134" w:type="dxa"/>
            <w:tcBorders>
              <w:top w:val="nil"/>
              <w:left w:val="single" w:sz="18" w:space="0" w:color="5F497A" w:themeColor="accent4" w:themeShade="BF"/>
              <w:bottom w:val="nil"/>
              <w:right w:val="nil"/>
            </w:tcBorders>
            <w:shd w:val="clear" w:color="auto" w:fill="auto"/>
            <w:vAlign w:val="bottom"/>
          </w:tcPr>
          <w:p w14:paraId="32AD6532" w14:textId="6D3BAD3E" w:rsidR="00566EA9" w:rsidRPr="001D41EA" w:rsidRDefault="00566EA9" w:rsidP="001D41EA">
            <w:pPr>
              <w:spacing w:before="40" w:after="20"/>
              <w:jc w:val="center"/>
              <w:rPr>
                <w:rFonts w:cs="Arial"/>
                <w:sz w:val="18"/>
                <w:szCs w:val="18"/>
              </w:rPr>
            </w:pPr>
            <w:r w:rsidRPr="001D41EA">
              <w:rPr>
                <w:rFonts w:cs="Arial"/>
                <w:sz w:val="18"/>
                <w:szCs w:val="18"/>
              </w:rPr>
              <w:t>0.899</w:t>
            </w:r>
          </w:p>
        </w:tc>
        <w:tc>
          <w:tcPr>
            <w:tcW w:w="1134" w:type="dxa"/>
            <w:tcBorders>
              <w:top w:val="nil"/>
              <w:left w:val="nil"/>
              <w:bottom w:val="nil"/>
              <w:right w:val="nil"/>
            </w:tcBorders>
            <w:shd w:val="clear" w:color="auto" w:fill="auto"/>
            <w:vAlign w:val="bottom"/>
          </w:tcPr>
          <w:p w14:paraId="410FF90B" w14:textId="25720FF2" w:rsidR="00566EA9" w:rsidRPr="001D41EA" w:rsidRDefault="00566EA9" w:rsidP="001D41EA">
            <w:pPr>
              <w:spacing w:before="40" w:after="20"/>
              <w:jc w:val="center"/>
              <w:rPr>
                <w:rFonts w:cs="Arial"/>
                <w:sz w:val="18"/>
                <w:szCs w:val="18"/>
              </w:rPr>
            </w:pPr>
            <w:r w:rsidRPr="001D41EA">
              <w:rPr>
                <w:rFonts w:cs="Arial"/>
                <w:sz w:val="18"/>
                <w:szCs w:val="18"/>
              </w:rPr>
              <w:t>0.891</w:t>
            </w:r>
          </w:p>
        </w:tc>
        <w:tc>
          <w:tcPr>
            <w:tcW w:w="1134" w:type="dxa"/>
            <w:tcBorders>
              <w:top w:val="nil"/>
              <w:left w:val="nil"/>
              <w:bottom w:val="nil"/>
              <w:right w:val="nil"/>
            </w:tcBorders>
            <w:vAlign w:val="bottom"/>
          </w:tcPr>
          <w:p w14:paraId="1CD1F896" w14:textId="23DA8A76" w:rsidR="00566EA9" w:rsidRPr="001D41EA" w:rsidRDefault="00566EA9" w:rsidP="001D41EA">
            <w:pPr>
              <w:spacing w:before="40" w:after="20"/>
              <w:jc w:val="center"/>
              <w:rPr>
                <w:rFonts w:cs="Arial"/>
                <w:sz w:val="18"/>
                <w:szCs w:val="18"/>
              </w:rPr>
            </w:pPr>
            <w:r w:rsidRPr="001D41EA">
              <w:rPr>
                <w:rFonts w:cs="Arial"/>
                <w:sz w:val="18"/>
                <w:szCs w:val="18"/>
              </w:rPr>
              <w:t>0.886</w:t>
            </w:r>
          </w:p>
        </w:tc>
        <w:tc>
          <w:tcPr>
            <w:tcW w:w="1134" w:type="dxa"/>
            <w:tcBorders>
              <w:top w:val="nil"/>
              <w:left w:val="nil"/>
              <w:bottom w:val="nil"/>
              <w:right w:val="nil"/>
            </w:tcBorders>
            <w:vAlign w:val="bottom"/>
          </w:tcPr>
          <w:p w14:paraId="66D960C3" w14:textId="11FE98A7" w:rsidR="00566EA9" w:rsidRPr="001D41EA" w:rsidRDefault="00566EA9" w:rsidP="001D41EA">
            <w:pPr>
              <w:spacing w:before="40" w:after="20"/>
              <w:jc w:val="center"/>
              <w:rPr>
                <w:rFonts w:cs="Arial"/>
                <w:sz w:val="18"/>
                <w:szCs w:val="18"/>
              </w:rPr>
            </w:pPr>
            <w:r w:rsidRPr="001D41EA">
              <w:rPr>
                <w:rFonts w:cs="Arial"/>
                <w:sz w:val="18"/>
                <w:szCs w:val="18"/>
              </w:rPr>
              <w:t>0.897</w:t>
            </w:r>
          </w:p>
        </w:tc>
        <w:tc>
          <w:tcPr>
            <w:tcW w:w="1134" w:type="dxa"/>
            <w:tcBorders>
              <w:top w:val="nil"/>
              <w:left w:val="nil"/>
              <w:bottom w:val="nil"/>
              <w:right w:val="nil"/>
            </w:tcBorders>
            <w:vAlign w:val="bottom"/>
          </w:tcPr>
          <w:p w14:paraId="3E3A40F3" w14:textId="6F32F297" w:rsidR="00566EA9" w:rsidRPr="001D41EA" w:rsidRDefault="00566EA9" w:rsidP="001D41EA">
            <w:pPr>
              <w:spacing w:before="40" w:after="20"/>
              <w:jc w:val="center"/>
              <w:rPr>
                <w:rFonts w:cs="Arial"/>
                <w:sz w:val="18"/>
                <w:szCs w:val="18"/>
              </w:rPr>
            </w:pPr>
            <w:r w:rsidRPr="001D41EA">
              <w:rPr>
                <w:rFonts w:cs="Arial"/>
                <w:sz w:val="18"/>
                <w:szCs w:val="18"/>
              </w:rPr>
              <w:t>0.876</w:t>
            </w:r>
          </w:p>
        </w:tc>
        <w:tc>
          <w:tcPr>
            <w:tcW w:w="1134" w:type="dxa"/>
            <w:tcBorders>
              <w:top w:val="nil"/>
              <w:left w:val="nil"/>
              <w:bottom w:val="nil"/>
              <w:right w:val="nil"/>
            </w:tcBorders>
            <w:shd w:val="clear" w:color="auto" w:fill="auto"/>
            <w:vAlign w:val="bottom"/>
          </w:tcPr>
          <w:p w14:paraId="5BDA756E" w14:textId="10918657" w:rsidR="00566EA9" w:rsidRPr="001D41EA" w:rsidRDefault="00566EA9" w:rsidP="001D41EA">
            <w:pPr>
              <w:spacing w:before="40" w:after="20"/>
              <w:jc w:val="center"/>
              <w:rPr>
                <w:rFonts w:cs="Arial"/>
                <w:sz w:val="18"/>
                <w:szCs w:val="18"/>
              </w:rPr>
            </w:pPr>
            <w:r w:rsidRPr="001D41EA">
              <w:rPr>
                <w:rFonts w:cs="Arial"/>
                <w:sz w:val="18"/>
                <w:szCs w:val="18"/>
              </w:rPr>
              <w:t>0.888</w:t>
            </w:r>
          </w:p>
        </w:tc>
      </w:tr>
      <w:tr w:rsidR="00566EA9" w:rsidRPr="001D41EA" w14:paraId="6FC3692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2695BDD" w14:textId="77777777" w:rsidR="00566EA9" w:rsidRPr="001D41EA" w:rsidRDefault="00566EA9" w:rsidP="001D41EA">
            <w:pPr>
              <w:spacing w:before="40" w:after="20"/>
              <w:rPr>
                <w:rFonts w:cs="Arial"/>
                <w:sz w:val="18"/>
                <w:szCs w:val="18"/>
              </w:rPr>
            </w:pPr>
            <w:r w:rsidRPr="001D41EA">
              <w:rPr>
                <w:rFonts w:cs="Arial"/>
                <w:sz w:val="18"/>
                <w:szCs w:val="18"/>
              </w:rPr>
              <w:t>Yarra C</w:t>
            </w:r>
          </w:p>
        </w:tc>
        <w:tc>
          <w:tcPr>
            <w:tcW w:w="1134" w:type="dxa"/>
            <w:tcBorders>
              <w:top w:val="nil"/>
              <w:left w:val="single" w:sz="18" w:space="0" w:color="5F497A" w:themeColor="accent4" w:themeShade="BF"/>
              <w:bottom w:val="nil"/>
              <w:right w:val="nil"/>
            </w:tcBorders>
            <w:shd w:val="clear" w:color="auto" w:fill="auto"/>
            <w:vAlign w:val="bottom"/>
          </w:tcPr>
          <w:p w14:paraId="1EF5D872" w14:textId="39DB7845" w:rsidR="00566EA9" w:rsidRPr="001D41EA" w:rsidRDefault="00566EA9" w:rsidP="001D41EA">
            <w:pPr>
              <w:spacing w:before="40" w:after="20"/>
              <w:jc w:val="center"/>
              <w:rPr>
                <w:rFonts w:cs="Arial"/>
                <w:sz w:val="18"/>
                <w:szCs w:val="18"/>
              </w:rPr>
            </w:pPr>
            <w:r w:rsidRPr="001D41EA">
              <w:rPr>
                <w:rFonts w:cs="Arial"/>
                <w:sz w:val="18"/>
                <w:szCs w:val="18"/>
              </w:rPr>
              <w:t>0.896</w:t>
            </w:r>
          </w:p>
        </w:tc>
        <w:tc>
          <w:tcPr>
            <w:tcW w:w="1134" w:type="dxa"/>
            <w:tcBorders>
              <w:top w:val="nil"/>
              <w:left w:val="nil"/>
              <w:bottom w:val="nil"/>
              <w:right w:val="nil"/>
            </w:tcBorders>
            <w:shd w:val="clear" w:color="auto" w:fill="auto"/>
            <w:vAlign w:val="bottom"/>
          </w:tcPr>
          <w:p w14:paraId="587D58DE" w14:textId="33A1BF8A" w:rsidR="00566EA9" w:rsidRPr="001D41EA" w:rsidRDefault="00566EA9" w:rsidP="001D41EA">
            <w:pPr>
              <w:spacing w:before="40" w:after="2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5BC72A1E" w14:textId="5F3DEE1E" w:rsidR="00566EA9" w:rsidRPr="001D41EA" w:rsidRDefault="00566EA9" w:rsidP="001D41EA">
            <w:pPr>
              <w:spacing w:before="40" w:after="2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1656FB7D" w14:textId="65E4DEB2" w:rsidR="00566EA9" w:rsidRPr="001D41EA" w:rsidRDefault="00566EA9" w:rsidP="001D41EA">
            <w:pPr>
              <w:spacing w:before="40" w:after="2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02A7A934" w14:textId="18403ECA" w:rsidR="00566EA9" w:rsidRPr="001D41EA" w:rsidRDefault="00566EA9" w:rsidP="001D41EA">
            <w:pPr>
              <w:spacing w:before="40" w:after="20"/>
              <w:jc w:val="center"/>
              <w:rPr>
                <w:rFonts w:cs="Arial"/>
                <w:sz w:val="18"/>
                <w:szCs w:val="18"/>
              </w:rPr>
            </w:pPr>
            <w:r w:rsidRPr="001D41EA">
              <w:rPr>
                <w:rFonts w:cs="Arial"/>
                <w:sz w:val="18"/>
                <w:szCs w:val="18"/>
              </w:rPr>
              <w:t>0.873</w:t>
            </w:r>
          </w:p>
        </w:tc>
        <w:tc>
          <w:tcPr>
            <w:tcW w:w="1134" w:type="dxa"/>
            <w:tcBorders>
              <w:top w:val="nil"/>
              <w:left w:val="nil"/>
              <w:bottom w:val="nil"/>
              <w:right w:val="nil"/>
            </w:tcBorders>
            <w:shd w:val="clear" w:color="auto" w:fill="auto"/>
            <w:vAlign w:val="bottom"/>
          </w:tcPr>
          <w:p w14:paraId="7512DD5F" w14:textId="73B582FA" w:rsidR="00566EA9" w:rsidRPr="001D41EA" w:rsidRDefault="00566EA9" w:rsidP="001D41EA">
            <w:pPr>
              <w:spacing w:before="40" w:after="20"/>
              <w:jc w:val="center"/>
              <w:rPr>
                <w:rFonts w:cs="Arial"/>
                <w:sz w:val="18"/>
                <w:szCs w:val="18"/>
              </w:rPr>
            </w:pPr>
            <w:r w:rsidRPr="001D41EA">
              <w:rPr>
                <w:rFonts w:cs="Arial"/>
                <w:sz w:val="18"/>
                <w:szCs w:val="18"/>
              </w:rPr>
              <w:t>0.885</w:t>
            </w:r>
          </w:p>
        </w:tc>
      </w:tr>
      <w:tr w:rsidR="00566EA9" w:rsidRPr="001D41EA" w14:paraId="2CC6B53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6A67781" w14:textId="77777777" w:rsidR="00566EA9" w:rsidRPr="001D41EA" w:rsidRDefault="00566EA9" w:rsidP="001D41EA">
            <w:pPr>
              <w:spacing w:before="40" w:after="20"/>
              <w:rPr>
                <w:rFonts w:cs="Arial"/>
                <w:sz w:val="18"/>
                <w:szCs w:val="18"/>
              </w:rPr>
            </w:pPr>
            <w:r w:rsidRPr="001D41EA">
              <w:rPr>
                <w:rFonts w:cs="Arial"/>
                <w:sz w:val="18"/>
                <w:szCs w:val="18"/>
              </w:rPr>
              <w:t>Yarra Ranges S</w:t>
            </w:r>
          </w:p>
        </w:tc>
        <w:tc>
          <w:tcPr>
            <w:tcW w:w="1134" w:type="dxa"/>
            <w:tcBorders>
              <w:top w:val="nil"/>
              <w:left w:val="single" w:sz="18" w:space="0" w:color="5F497A" w:themeColor="accent4" w:themeShade="BF"/>
              <w:bottom w:val="nil"/>
              <w:right w:val="nil"/>
            </w:tcBorders>
            <w:shd w:val="clear" w:color="auto" w:fill="auto"/>
            <w:vAlign w:val="bottom"/>
          </w:tcPr>
          <w:p w14:paraId="2B436475" w14:textId="156EA87C" w:rsidR="00566EA9" w:rsidRPr="001D41EA" w:rsidRDefault="00566EA9" w:rsidP="001D41EA">
            <w:pPr>
              <w:spacing w:before="40" w:after="20"/>
              <w:jc w:val="center"/>
              <w:rPr>
                <w:rFonts w:cs="Arial"/>
                <w:sz w:val="18"/>
                <w:szCs w:val="18"/>
              </w:rPr>
            </w:pPr>
            <w:r w:rsidRPr="001D41EA">
              <w:rPr>
                <w:rFonts w:cs="Arial"/>
                <w:sz w:val="18"/>
                <w:szCs w:val="18"/>
              </w:rPr>
              <w:t>1.152</w:t>
            </w:r>
          </w:p>
        </w:tc>
        <w:tc>
          <w:tcPr>
            <w:tcW w:w="1134" w:type="dxa"/>
            <w:tcBorders>
              <w:top w:val="nil"/>
              <w:left w:val="nil"/>
              <w:bottom w:val="nil"/>
              <w:right w:val="nil"/>
            </w:tcBorders>
            <w:shd w:val="clear" w:color="auto" w:fill="auto"/>
            <w:vAlign w:val="bottom"/>
          </w:tcPr>
          <w:p w14:paraId="5371B91D" w14:textId="514253AB" w:rsidR="00566EA9" w:rsidRPr="001D41EA" w:rsidRDefault="00566EA9" w:rsidP="001D41EA">
            <w:pPr>
              <w:spacing w:before="40" w:after="20"/>
              <w:jc w:val="center"/>
              <w:rPr>
                <w:rFonts w:cs="Arial"/>
                <w:sz w:val="18"/>
                <w:szCs w:val="18"/>
              </w:rPr>
            </w:pPr>
            <w:r w:rsidRPr="001D41EA">
              <w:rPr>
                <w:rFonts w:cs="Arial"/>
                <w:sz w:val="18"/>
                <w:szCs w:val="18"/>
              </w:rPr>
              <w:t>1.141</w:t>
            </w:r>
          </w:p>
        </w:tc>
        <w:tc>
          <w:tcPr>
            <w:tcW w:w="1134" w:type="dxa"/>
            <w:tcBorders>
              <w:top w:val="nil"/>
              <w:left w:val="nil"/>
              <w:bottom w:val="nil"/>
              <w:right w:val="nil"/>
            </w:tcBorders>
            <w:vAlign w:val="bottom"/>
          </w:tcPr>
          <w:p w14:paraId="4CD77ADB" w14:textId="7890B0EB" w:rsidR="00566EA9" w:rsidRPr="001D41EA" w:rsidRDefault="00566EA9" w:rsidP="001D41EA">
            <w:pPr>
              <w:spacing w:before="40" w:after="20"/>
              <w:jc w:val="center"/>
              <w:rPr>
                <w:rFonts w:cs="Arial"/>
                <w:sz w:val="18"/>
                <w:szCs w:val="18"/>
              </w:rPr>
            </w:pPr>
            <w:r w:rsidRPr="001D41EA">
              <w:rPr>
                <w:rFonts w:cs="Arial"/>
                <w:sz w:val="18"/>
                <w:szCs w:val="18"/>
              </w:rPr>
              <w:t>1.135</w:t>
            </w:r>
          </w:p>
        </w:tc>
        <w:tc>
          <w:tcPr>
            <w:tcW w:w="1134" w:type="dxa"/>
            <w:tcBorders>
              <w:top w:val="nil"/>
              <w:left w:val="nil"/>
              <w:bottom w:val="nil"/>
              <w:right w:val="nil"/>
            </w:tcBorders>
            <w:vAlign w:val="bottom"/>
          </w:tcPr>
          <w:p w14:paraId="25CFE76A" w14:textId="61E0137E" w:rsidR="00566EA9" w:rsidRPr="001D41EA" w:rsidRDefault="00566EA9" w:rsidP="001D41EA">
            <w:pPr>
              <w:spacing w:before="40" w:after="20"/>
              <w:jc w:val="center"/>
              <w:rPr>
                <w:rFonts w:cs="Arial"/>
                <w:sz w:val="18"/>
                <w:szCs w:val="18"/>
              </w:rPr>
            </w:pPr>
            <w:r w:rsidRPr="001D41EA">
              <w:rPr>
                <w:rFonts w:cs="Arial"/>
                <w:sz w:val="18"/>
                <w:szCs w:val="18"/>
              </w:rPr>
              <w:t>1.149</w:t>
            </w:r>
          </w:p>
        </w:tc>
        <w:tc>
          <w:tcPr>
            <w:tcW w:w="1134" w:type="dxa"/>
            <w:tcBorders>
              <w:top w:val="nil"/>
              <w:left w:val="nil"/>
              <w:bottom w:val="nil"/>
              <w:right w:val="nil"/>
            </w:tcBorders>
            <w:vAlign w:val="bottom"/>
          </w:tcPr>
          <w:p w14:paraId="0190FDED" w14:textId="6C58A6CE" w:rsidR="00566EA9" w:rsidRPr="001D41EA" w:rsidRDefault="00566EA9" w:rsidP="001D41EA">
            <w:pPr>
              <w:spacing w:before="40" w:after="20"/>
              <w:jc w:val="center"/>
              <w:rPr>
                <w:rFonts w:cs="Arial"/>
                <w:sz w:val="18"/>
                <w:szCs w:val="18"/>
              </w:rPr>
            </w:pPr>
            <w:r w:rsidRPr="001D41EA">
              <w:rPr>
                <w:rFonts w:cs="Arial"/>
                <w:sz w:val="18"/>
                <w:szCs w:val="18"/>
              </w:rPr>
              <w:t>1.122</w:t>
            </w:r>
          </w:p>
        </w:tc>
        <w:tc>
          <w:tcPr>
            <w:tcW w:w="1134" w:type="dxa"/>
            <w:tcBorders>
              <w:top w:val="nil"/>
              <w:left w:val="nil"/>
              <w:bottom w:val="nil"/>
              <w:right w:val="nil"/>
            </w:tcBorders>
            <w:shd w:val="clear" w:color="auto" w:fill="auto"/>
            <w:vAlign w:val="bottom"/>
          </w:tcPr>
          <w:p w14:paraId="326A22D3" w14:textId="20042B78" w:rsidR="00566EA9" w:rsidRPr="001D41EA" w:rsidRDefault="00566EA9" w:rsidP="001D41EA">
            <w:pPr>
              <w:spacing w:before="40" w:after="20"/>
              <w:jc w:val="center"/>
              <w:rPr>
                <w:rFonts w:cs="Arial"/>
                <w:sz w:val="18"/>
                <w:szCs w:val="18"/>
              </w:rPr>
            </w:pPr>
            <w:r w:rsidRPr="001D41EA">
              <w:rPr>
                <w:rFonts w:cs="Arial"/>
                <w:sz w:val="18"/>
                <w:szCs w:val="18"/>
              </w:rPr>
              <w:t>1.138</w:t>
            </w:r>
          </w:p>
        </w:tc>
      </w:tr>
      <w:tr w:rsidR="00566EA9" w:rsidRPr="001D41EA" w14:paraId="72E402D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E221B83" w14:textId="77777777" w:rsidR="00566EA9" w:rsidRPr="001D41EA" w:rsidRDefault="00566EA9" w:rsidP="001D41EA">
            <w:pPr>
              <w:spacing w:before="40" w:after="20"/>
              <w:rPr>
                <w:rFonts w:cs="Arial"/>
                <w:sz w:val="18"/>
                <w:szCs w:val="18"/>
              </w:rPr>
            </w:pPr>
            <w:r w:rsidRPr="001D41EA">
              <w:rPr>
                <w:rFonts w:cs="Arial"/>
                <w:sz w:val="18"/>
                <w:szCs w:val="18"/>
              </w:rPr>
              <w:t>Yarriambiack S</w:t>
            </w:r>
          </w:p>
        </w:tc>
        <w:tc>
          <w:tcPr>
            <w:tcW w:w="1134" w:type="dxa"/>
            <w:tcBorders>
              <w:top w:val="nil"/>
              <w:left w:val="single" w:sz="18" w:space="0" w:color="5F497A" w:themeColor="accent4" w:themeShade="BF"/>
              <w:bottom w:val="nil"/>
              <w:right w:val="nil"/>
            </w:tcBorders>
            <w:shd w:val="clear" w:color="auto" w:fill="auto"/>
            <w:vAlign w:val="bottom"/>
          </w:tcPr>
          <w:p w14:paraId="5D8658B4" w14:textId="5B044D2B" w:rsidR="00566EA9" w:rsidRPr="001D41EA" w:rsidRDefault="00566EA9" w:rsidP="001D41EA">
            <w:pPr>
              <w:spacing w:before="40" w:after="20"/>
              <w:jc w:val="center"/>
              <w:rPr>
                <w:rFonts w:cs="Arial"/>
                <w:sz w:val="18"/>
                <w:szCs w:val="18"/>
              </w:rPr>
            </w:pPr>
            <w:r w:rsidRPr="001D41EA">
              <w:rPr>
                <w:rFonts w:cs="Arial"/>
                <w:sz w:val="18"/>
                <w:szCs w:val="18"/>
              </w:rPr>
              <w:t>1.516</w:t>
            </w:r>
          </w:p>
        </w:tc>
        <w:tc>
          <w:tcPr>
            <w:tcW w:w="1134" w:type="dxa"/>
            <w:tcBorders>
              <w:top w:val="nil"/>
              <w:left w:val="nil"/>
              <w:bottom w:val="nil"/>
              <w:right w:val="nil"/>
            </w:tcBorders>
            <w:shd w:val="clear" w:color="auto" w:fill="auto"/>
            <w:vAlign w:val="bottom"/>
          </w:tcPr>
          <w:p w14:paraId="0605C6F6" w14:textId="4F115BC3" w:rsidR="00566EA9" w:rsidRPr="001D41EA" w:rsidRDefault="00566EA9" w:rsidP="001D41EA">
            <w:pPr>
              <w:spacing w:before="40" w:after="20"/>
              <w:jc w:val="center"/>
              <w:rPr>
                <w:rFonts w:cs="Arial"/>
                <w:sz w:val="18"/>
                <w:szCs w:val="18"/>
              </w:rPr>
            </w:pPr>
            <w:r w:rsidRPr="001D41EA">
              <w:rPr>
                <w:rFonts w:cs="Arial"/>
                <w:sz w:val="18"/>
                <w:szCs w:val="18"/>
              </w:rPr>
              <w:t>1.503</w:t>
            </w:r>
          </w:p>
        </w:tc>
        <w:tc>
          <w:tcPr>
            <w:tcW w:w="1134" w:type="dxa"/>
            <w:tcBorders>
              <w:top w:val="nil"/>
              <w:left w:val="nil"/>
              <w:bottom w:val="nil"/>
              <w:right w:val="nil"/>
            </w:tcBorders>
            <w:vAlign w:val="bottom"/>
          </w:tcPr>
          <w:p w14:paraId="26AE8F7B" w14:textId="67FA2C51" w:rsidR="00566EA9" w:rsidRPr="001D41EA" w:rsidRDefault="00566EA9" w:rsidP="001D41EA">
            <w:pPr>
              <w:spacing w:before="40" w:after="20"/>
              <w:jc w:val="center"/>
              <w:rPr>
                <w:rFonts w:cs="Arial"/>
                <w:sz w:val="18"/>
                <w:szCs w:val="18"/>
              </w:rPr>
            </w:pPr>
            <w:r w:rsidRPr="001D41EA">
              <w:rPr>
                <w:rFonts w:cs="Arial"/>
                <w:sz w:val="18"/>
                <w:szCs w:val="18"/>
              </w:rPr>
              <w:t>1.495</w:t>
            </w:r>
          </w:p>
        </w:tc>
        <w:tc>
          <w:tcPr>
            <w:tcW w:w="1134" w:type="dxa"/>
            <w:tcBorders>
              <w:top w:val="nil"/>
              <w:left w:val="nil"/>
              <w:bottom w:val="nil"/>
              <w:right w:val="nil"/>
            </w:tcBorders>
            <w:vAlign w:val="bottom"/>
          </w:tcPr>
          <w:p w14:paraId="3E709C0F" w14:textId="03830F86" w:rsidR="00566EA9" w:rsidRPr="001D41EA" w:rsidRDefault="00566EA9" w:rsidP="001D41EA">
            <w:pPr>
              <w:spacing w:before="40" w:after="20"/>
              <w:jc w:val="center"/>
              <w:rPr>
                <w:rFonts w:cs="Arial"/>
                <w:sz w:val="18"/>
                <w:szCs w:val="18"/>
              </w:rPr>
            </w:pPr>
            <w:r w:rsidRPr="001D41EA">
              <w:rPr>
                <w:rFonts w:cs="Arial"/>
                <w:sz w:val="18"/>
                <w:szCs w:val="18"/>
              </w:rPr>
              <w:t>1.512</w:t>
            </w:r>
          </w:p>
        </w:tc>
        <w:tc>
          <w:tcPr>
            <w:tcW w:w="1134" w:type="dxa"/>
            <w:tcBorders>
              <w:top w:val="nil"/>
              <w:left w:val="nil"/>
              <w:bottom w:val="nil"/>
              <w:right w:val="nil"/>
            </w:tcBorders>
            <w:vAlign w:val="bottom"/>
          </w:tcPr>
          <w:p w14:paraId="11C3196F" w14:textId="55F730F7" w:rsidR="00566EA9" w:rsidRPr="001D41EA" w:rsidRDefault="00566EA9" w:rsidP="001D41EA">
            <w:pPr>
              <w:spacing w:before="40" w:after="20"/>
              <w:jc w:val="center"/>
              <w:rPr>
                <w:rFonts w:cs="Arial"/>
                <w:sz w:val="18"/>
                <w:szCs w:val="18"/>
              </w:rPr>
            </w:pPr>
            <w:r w:rsidRPr="001D41EA">
              <w:rPr>
                <w:rFonts w:cs="Arial"/>
                <w:sz w:val="18"/>
                <w:szCs w:val="18"/>
              </w:rPr>
              <w:t>1.477</w:t>
            </w:r>
          </w:p>
        </w:tc>
        <w:tc>
          <w:tcPr>
            <w:tcW w:w="1134" w:type="dxa"/>
            <w:tcBorders>
              <w:top w:val="nil"/>
              <w:left w:val="nil"/>
              <w:bottom w:val="nil"/>
              <w:right w:val="nil"/>
            </w:tcBorders>
            <w:shd w:val="clear" w:color="auto" w:fill="auto"/>
            <w:vAlign w:val="bottom"/>
          </w:tcPr>
          <w:p w14:paraId="04B37033" w14:textId="071E50CC" w:rsidR="00566EA9" w:rsidRPr="001D41EA" w:rsidRDefault="00566EA9" w:rsidP="001D41EA">
            <w:pPr>
              <w:spacing w:before="40" w:after="20"/>
              <w:jc w:val="center"/>
              <w:rPr>
                <w:rFonts w:cs="Arial"/>
                <w:sz w:val="18"/>
                <w:szCs w:val="18"/>
              </w:rPr>
            </w:pPr>
            <w:r w:rsidRPr="001D41EA">
              <w:rPr>
                <w:rFonts w:cs="Arial"/>
                <w:sz w:val="18"/>
                <w:szCs w:val="18"/>
              </w:rPr>
              <w:t>1.498</w:t>
            </w:r>
          </w:p>
        </w:tc>
      </w:tr>
      <w:tr w:rsidR="009E2B93" w:rsidRPr="001D41EA" w14:paraId="4A103597" w14:textId="77777777" w:rsidTr="009E2B93">
        <w:tc>
          <w:tcPr>
            <w:tcW w:w="2268" w:type="dxa"/>
            <w:tcBorders>
              <w:top w:val="nil"/>
              <w:left w:val="nil"/>
              <w:bottom w:val="nil"/>
              <w:right w:val="single" w:sz="18" w:space="0" w:color="5F497A" w:themeColor="accent4" w:themeShade="BF"/>
            </w:tcBorders>
            <w:shd w:val="clear" w:color="auto" w:fill="auto"/>
            <w:vAlign w:val="center"/>
          </w:tcPr>
          <w:p w14:paraId="304D88F6" w14:textId="77777777" w:rsidR="009E2B93" w:rsidRPr="001D41EA" w:rsidRDefault="009E2B93" w:rsidP="001D41EA">
            <w:pPr>
              <w:spacing w:before="40" w:after="20"/>
              <w:rPr>
                <w:rFonts w:cs="Arial"/>
                <w:sz w:val="18"/>
                <w:szCs w:val="18"/>
                <w:lang w:eastAsia="ko-KR"/>
              </w:rPr>
            </w:pPr>
          </w:p>
        </w:tc>
        <w:tc>
          <w:tcPr>
            <w:tcW w:w="1134" w:type="dxa"/>
            <w:tcBorders>
              <w:top w:val="nil"/>
              <w:left w:val="single" w:sz="18" w:space="0" w:color="5F497A" w:themeColor="accent4" w:themeShade="BF"/>
              <w:bottom w:val="single" w:sz="8" w:space="0" w:color="5F497A" w:themeColor="accent4" w:themeShade="BF"/>
              <w:right w:val="nil"/>
            </w:tcBorders>
            <w:shd w:val="clear" w:color="auto" w:fill="auto"/>
            <w:vAlign w:val="center"/>
          </w:tcPr>
          <w:p w14:paraId="298C0848" w14:textId="77777777"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shd w:val="clear" w:color="auto" w:fill="auto"/>
            <w:vAlign w:val="center"/>
          </w:tcPr>
          <w:p w14:paraId="7C266D7F" w14:textId="77777777"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vAlign w:val="center"/>
          </w:tcPr>
          <w:p w14:paraId="69439BF1" w14:textId="77777777"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tcPr>
          <w:p w14:paraId="380C1A25" w14:textId="77777777"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vAlign w:val="center"/>
          </w:tcPr>
          <w:p w14:paraId="61C261A9" w14:textId="011FB269"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shd w:val="clear" w:color="auto" w:fill="auto"/>
            <w:vAlign w:val="center"/>
          </w:tcPr>
          <w:p w14:paraId="79298CEC" w14:textId="77777777" w:rsidR="009E2B93" w:rsidRPr="001D41EA" w:rsidRDefault="009E2B93" w:rsidP="001D41EA">
            <w:pPr>
              <w:spacing w:before="40" w:after="20"/>
              <w:jc w:val="center"/>
              <w:rPr>
                <w:rFonts w:cs="Arial"/>
                <w:sz w:val="18"/>
                <w:szCs w:val="18"/>
              </w:rPr>
            </w:pPr>
          </w:p>
        </w:tc>
      </w:tr>
      <w:tr w:rsidR="009E2B93" w:rsidRPr="001D41EA" w14:paraId="50AD90B5" w14:textId="77777777" w:rsidTr="009E2B93">
        <w:tc>
          <w:tcPr>
            <w:tcW w:w="2268" w:type="dxa"/>
            <w:tcBorders>
              <w:top w:val="nil"/>
              <w:left w:val="nil"/>
              <w:bottom w:val="nil"/>
              <w:right w:val="single" w:sz="18" w:space="0" w:color="5F497A" w:themeColor="accent4" w:themeShade="BF"/>
            </w:tcBorders>
            <w:shd w:val="clear" w:color="auto" w:fill="auto"/>
            <w:vAlign w:val="center"/>
          </w:tcPr>
          <w:p w14:paraId="6AE4C56F" w14:textId="77777777" w:rsidR="009E2B93" w:rsidRPr="001D41EA" w:rsidRDefault="009E2B93" w:rsidP="001D41EA">
            <w:pPr>
              <w:spacing w:before="40" w:after="20"/>
              <w:rPr>
                <w:rFonts w:cs="Arial"/>
                <w:sz w:val="18"/>
                <w:szCs w:val="18"/>
                <w:lang w:eastAsia="ko-KR"/>
              </w:rPr>
            </w:pPr>
          </w:p>
        </w:tc>
        <w:tc>
          <w:tcPr>
            <w:tcW w:w="1134" w:type="dxa"/>
            <w:tcBorders>
              <w:top w:val="single" w:sz="8" w:space="0" w:color="5F497A" w:themeColor="accent4" w:themeShade="BF"/>
              <w:left w:val="single" w:sz="18" w:space="0" w:color="5F497A" w:themeColor="accent4" w:themeShade="BF"/>
              <w:right w:val="nil"/>
            </w:tcBorders>
            <w:shd w:val="clear" w:color="auto" w:fill="auto"/>
            <w:vAlign w:val="center"/>
          </w:tcPr>
          <w:p w14:paraId="65771C86" w14:textId="489C47DD"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134" w:type="dxa"/>
            <w:tcBorders>
              <w:top w:val="single" w:sz="8" w:space="0" w:color="5F497A" w:themeColor="accent4" w:themeShade="BF"/>
              <w:left w:val="nil"/>
              <w:right w:val="nil"/>
            </w:tcBorders>
            <w:shd w:val="clear" w:color="auto" w:fill="auto"/>
            <w:vAlign w:val="center"/>
          </w:tcPr>
          <w:p w14:paraId="258E1B6B" w14:textId="2E7DC8AC"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134" w:type="dxa"/>
            <w:tcBorders>
              <w:top w:val="single" w:sz="8" w:space="0" w:color="5F497A" w:themeColor="accent4" w:themeShade="BF"/>
              <w:left w:val="nil"/>
              <w:right w:val="nil"/>
            </w:tcBorders>
            <w:vAlign w:val="center"/>
          </w:tcPr>
          <w:p w14:paraId="57BEB06F" w14:textId="2A882ABA"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134" w:type="dxa"/>
            <w:tcBorders>
              <w:top w:val="single" w:sz="8" w:space="0" w:color="5F497A" w:themeColor="accent4" w:themeShade="BF"/>
              <w:left w:val="nil"/>
              <w:right w:val="nil"/>
            </w:tcBorders>
          </w:tcPr>
          <w:p w14:paraId="02CCFE6B" w14:textId="0148EB1E" w:rsidR="009E2B93" w:rsidRPr="001D41EA" w:rsidRDefault="00790D04" w:rsidP="001D41EA">
            <w:pPr>
              <w:spacing w:before="40" w:after="20"/>
              <w:jc w:val="center"/>
              <w:rPr>
                <w:rFonts w:cs="Arial"/>
                <w:b/>
                <w:sz w:val="18"/>
                <w:szCs w:val="18"/>
              </w:rPr>
            </w:pPr>
            <w:r w:rsidRPr="001D41EA">
              <w:rPr>
                <w:rFonts w:cs="Arial"/>
                <w:b/>
                <w:sz w:val="18"/>
                <w:szCs w:val="18"/>
              </w:rPr>
              <w:t>1.000</w:t>
            </w:r>
          </w:p>
        </w:tc>
        <w:tc>
          <w:tcPr>
            <w:tcW w:w="1134" w:type="dxa"/>
            <w:tcBorders>
              <w:top w:val="single" w:sz="8" w:space="0" w:color="5F497A" w:themeColor="accent4" w:themeShade="BF"/>
              <w:left w:val="nil"/>
              <w:right w:val="nil"/>
            </w:tcBorders>
            <w:vAlign w:val="center"/>
          </w:tcPr>
          <w:p w14:paraId="498386FD" w14:textId="4353D988"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134" w:type="dxa"/>
            <w:tcBorders>
              <w:top w:val="single" w:sz="8" w:space="0" w:color="5F497A" w:themeColor="accent4" w:themeShade="BF"/>
              <w:left w:val="nil"/>
              <w:right w:val="nil"/>
            </w:tcBorders>
            <w:shd w:val="clear" w:color="auto" w:fill="auto"/>
            <w:vAlign w:val="center"/>
          </w:tcPr>
          <w:p w14:paraId="55DE6AA1" w14:textId="46823A3B" w:rsidR="009E2B93" w:rsidRPr="001D41EA" w:rsidRDefault="009E2B93" w:rsidP="001D41EA">
            <w:pPr>
              <w:spacing w:before="40" w:after="20"/>
              <w:jc w:val="center"/>
              <w:rPr>
                <w:rFonts w:cs="Arial"/>
                <w:b/>
                <w:sz w:val="18"/>
                <w:szCs w:val="18"/>
              </w:rPr>
            </w:pPr>
            <w:r w:rsidRPr="001D41EA">
              <w:rPr>
                <w:rFonts w:cs="Arial"/>
                <w:b/>
                <w:sz w:val="18"/>
                <w:szCs w:val="18"/>
              </w:rPr>
              <w:t>1.000</w:t>
            </w:r>
          </w:p>
        </w:tc>
      </w:tr>
    </w:tbl>
    <w:p w14:paraId="2D955103" w14:textId="051B1537" w:rsidR="00EB2E62" w:rsidRPr="00A44829" w:rsidRDefault="00EB2E62" w:rsidP="00FF36E8">
      <w:pPr>
        <w:spacing w:before="40" w:after="20"/>
        <w:rPr>
          <w:rFonts w:cs="Arial"/>
          <w:sz w:val="18"/>
          <w:szCs w:val="18"/>
        </w:rPr>
      </w:pPr>
    </w:p>
    <w:p w14:paraId="5451B116" w14:textId="2E95CC04" w:rsidR="00A424B1" w:rsidRPr="00A44829" w:rsidRDefault="00A009D7" w:rsidP="00FF36E8">
      <w:pPr>
        <w:spacing w:before="40" w:after="20"/>
        <w:rPr>
          <w:rFonts w:cs="Arial"/>
          <w:sz w:val="18"/>
          <w:szCs w:val="18"/>
        </w:rPr>
      </w:pPr>
      <w:r w:rsidRPr="005D19CF">
        <w:rPr>
          <w:rFonts w:cs="Arial"/>
          <w:i/>
          <w:sz w:val="16"/>
          <w:szCs w:val="16"/>
        </w:rPr>
        <w:t xml:space="preserve">* Modified Population - adjusted by </w:t>
      </w:r>
      <w:r w:rsidR="005D19CF" w:rsidRPr="005D19CF">
        <w:rPr>
          <w:rFonts w:cs="Arial"/>
          <w:i/>
          <w:sz w:val="16"/>
          <w:szCs w:val="16"/>
        </w:rPr>
        <w:t>half</w:t>
      </w:r>
      <w:r w:rsidRPr="005D19CF">
        <w:rPr>
          <w:rFonts w:cs="Arial"/>
          <w:i/>
          <w:sz w:val="16"/>
          <w:szCs w:val="16"/>
        </w:rPr>
        <w:t xml:space="preserve"> vacancy rate to take account of part-time residents.</w:t>
      </w:r>
      <w:r w:rsidRPr="00A44829">
        <w:rPr>
          <w:rFonts w:cs="Arial"/>
          <w:i/>
          <w:sz w:val="16"/>
          <w:szCs w:val="16"/>
        </w:rPr>
        <w:t xml:space="preserve">  </w:t>
      </w:r>
    </w:p>
    <w:p w14:paraId="0BA607CF" w14:textId="77777777" w:rsidR="00566EA9" w:rsidRPr="00A44829" w:rsidRDefault="00566EA9">
      <w:pPr>
        <w:rPr>
          <w:rFonts w:cs="Arial"/>
          <w:bCs/>
          <w:color w:val="5F497A" w:themeColor="accent4" w:themeShade="BF"/>
          <w:sz w:val="4"/>
          <w:szCs w:val="4"/>
        </w:rPr>
      </w:pPr>
      <w:r w:rsidRPr="00A44829">
        <w:rPr>
          <w:rFonts w:cs="Arial"/>
        </w:rPr>
        <w:br w:type="page"/>
      </w:r>
    </w:p>
    <w:p w14:paraId="5D038064" w14:textId="310E4627" w:rsidR="00244A4F" w:rsidRPr="00A44829" w:rsidRDefault="00EE4593" w:rsidP="00C33713">
      <w:pPr>
        <w:pStyle w:val="VGC-Head10"/>
      </w:pPr>
      <w:r w:rsidRPr="00A44829">
        <w:lastRenderedPageBreak/>
        <w:t>2019-20</w:t>
      </w:r>
      <w:r w:rsidR="00A97ABE" w:rsidRPr="00A44829">
        <w:t xml:space="preserve"> </w:t>
      </w:r>
      <w:r w:rsidR="00244A4F" w:rsidRPr="00A44829">
        <w:t>General Purpose Grants</w:t>
      </w:r>
      <w:r w:rsidR="00CE4507" w:rsidRPr="00A44829">
        <w:tab/>
        <w:t>Appendix 4</w:t>
      </w:r>
    </w:p>
    <w:p w14:paraId="6A616FA4" w14:textId="6C7E139D" w:rsidR="00244A4F" w:rsidRPr="00A44829" w:rsidRDefault="004F1184" w:rsidP="008C1A28">
      <w:pPr>
        <w:pStyle w:val="VGC-Head2"/>
      </w:pPr>
      <w:r w:rsidRPr="00A44829">
        <w:tab/>
      </w:r>
      <w:r w:rsidR="00244A4F" w:rsidRPr="00A44829">
        <w:t xml:space="preserve">D.  Cost Adjustors - </w:t>
      </w:r>
      <w:r w:rsidR="002A2397">
        <w:t>Index</w:t>
      </w:r>
    </w:p>
    <w:p w14:paraId="3704D553" w14:textId="77777777" w:rsidR="008F0C49" w:rsidRPr="00A44829"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tblGrid>
      <w:tr w:rsidR="009E2B93" w:rsidRPr="00A44829" w14:paraId="253D96F6" w14:textId="77777777" w:rsidTr="00A66703">
        <w:tc>
          <w:tcPr>
            <w:tcW w:w="2268" w:type="dxa"/>
            <w:tcBorders>
              <w:top w:val="nil"/>
              <w:left w:val="nil"/>
              <w:bottom w:val="nil"/>
              <w:right w:val="single" w:sz="18" w:space="0" w:color="5F497A" w:themeColor="accent4" w:themeShade="BF"/>
            </w:tcBorders>
            <w:shd w:val="clear" w:color="auto" w:fill="auto"/>
            <w:vAlign w:val="bottom"/>
          </w:tcPr>
          <w:p w14:paraId="4F789676" w14:textId="77777777" w:rsidR="009E2B93" w:rsidRPr="00A44829" w:rsidRDefault="009E2B93" w:rsidP="00576338">
            <w:pPr>
              <w:spacing w:before="40" w:after="20"/>
              <w:ind w:right="105"/>
              <w:jc w:val="right"/>
              <w:rPr>
                <w:rFonts w:cs="Arial"/>
                <w:b/>
                <w:sz w:val="18"/>
                <w:szCs w:val="18"/>
              </w:rPr>
            </w:pPr>
            <w:r w:rsidRPr="00A44829">
              <w:rPr>
                <w:rFonts w:cs="Arial"/>
                <w:b/>
                <w:sz w:val="18"/>
                <w:szCs w:val="18"/>
              </w:rPr>
              <w:t>Cost Adjustor</w:t>
            </w:r>
          </w:p>
        </w:tc>
        <w:tc>
          <w:tcPr>
            <w:tcW w:w="3741" w:type="dxa"/>
            <w:gridSpan w:val="3"/>
            <w:tcBorders>
              <w:top w:val="nil"/>
              <w:left w:val="single" w:sz="18" w:space="0" w:color="5F497A" w:themeColor="accent4" w:themeShade="BF"/>
              <w:bottom w:val="single" w:sz="8" w:space="0" w:color="5F497A" w:themeColor="accent4" w:themeShade="BF"/>
            </w:tcBorders>
            <w:shd w:val="clear" w:color="auto" w:fill="auto"/>
            <w:vAlign w:val="bottom"/>
          </w:tcPr>
          <w:p w14:paraId="60310761" w14:textId="35AA43F8" w:rsidR="009E2B93" w:rsidRPr="00A44829" w:rsidRDefault="009E2B93" w:rsidP="008001AD">
            <w:pPr>
              <w:spacing w:before="40" w:after="20"/>
              <w:jc w:val="center"/>
              <w:rPr>
                <w:rFonts w:cs="Arial"/>
                <w:b/>
                <w:sz w:val="18"/>
                <w:szCs w:val="18"/>
              </w:rPr>
            </w:pPr>
            <w:r w:rsidRPr="00A44829">
              <w:rPr>
                <w:rFonts w:cs="Arial"/>
                <w:b/>
                <w:sz w:val="18"/>
                <w:szCs w:val="18"/>
              </w:rPr>
              <w:t>Population Growth</w:t>
            </w:r>
          </w:p>
        </w:tc>
        <w:tc>
          <w:tcPr>
            <w:tcW w:w="170" w:type="dxa"/>
            <w:vMerge w:val="restart"/>
            <w:tcBorders>
              <w:top w:val="nil"/>
              <w:left w:val="nil"/>
              <w:bottom w:val="single" w:sz="8" w:space="0" w:color="5F497A" w:themeColor="accent4" w:themeShade="BF"/>
              <w:right w:val="nil"/>
            </w:tcBorders>
            <w:vAlign w:val="bottom"/>
          </w:tcPr>
          <w:p w14:paraId="53F4FE43" w14:textId="77777777" w:rsidR="009E2B93" w:rsidRPr="00A44829" w:rsidRDefault="009E2B93" w:rsidP="008001AD">
            <w:pPr>
              <w:spacing w:before="40" w:after="20"/>
              <w:jc w:val="center"/>
              <w:rPr>
                <w:rFonts w:cs="Arial"/>
                <w:b/>
                <w:sz w:val="18"/>
                <w:szCs w:val="18"/>
              </w:rPr>
            </w:pPr>
          </w:p>
        </w:tc>
        <w:tc>
          <w:tcPr>
            <w:tcW w:w="1247" w:type="dxa"/>
            <w:tcBorders>
              <w:top w:val="nil"/>
              <w:left w:val="nil"/>
              <w:bottom w:val="single" w:sz="8" w:space="0" w:color="5F497A" w:themeColor="accent4" w:themeShade="BF"/>
              <w:right w:val="nil"/>
            </w:tcBorders>
            <w:vAlign w:val="bottom"/>
          </w:tcPr>
          <w:p w14:paraId="78CB2B00" w14:textId="77777777" w:rsidR="009E2B93" w:rsidRPr="00A44829" w:rsidRDefault="009E2B93" w:rsidP="008001AD">
            <w:pPr>
              <w:spacing w:before="40" w:after="20"/>
              <w:jc w:val="center"/>
              <w:rPr>
                <w:rFonts w:cs="Arial"/>
                <w:b/>
                <w:sz w:val="18"/>
                <w:szCs w:val="18"/>
              </w:rPr>
            </w:pPr>
            <w:r w:rsidRPr="00A44829">
              <w:rPr>
                <w:rFonts w:cs="Arial"/>
                <w:b/>
                <w:sz w:val="18"/>
                <w:szCs w:val="18"/>
              </w:rPr>
              <w:t xml:space="preserve">Population </w:t>
            </w:r>
            <w:r w:rsidRPr="00A44829">
              <w:rPr>
                <w:rFonts w:cs="Arial"/>
                <w:b/>
                <w:sz w:val="18"/>
                <w:szCs w:val="18"/>
              </w:rPr>
              <w:br/>
              <w:t>&lt; 6 years</w:t>
            </w:r>
          </w:p>
        </w:tc>
      </w:tr>
      <w:tr w:rsidR="009E2B93" w:rsidRPr="00A44829" w14:paraId="59F7F021" w14:textId="77777777" w:rsidTr="00A66703">
        <w:tc>
          <w:tcPr>
            <w:tcW w:w="2268" w:type="dxa"/>
            <w:tcBorders>
              <w:top w:val="nil"/>
              <w:left w:val="nil"/>
              <w:bottom w:val="nil"/>
              <w:right w:val="single" w:sz="18" w:space="0" w:color="5F497A" w:themeColor="accent4" w:themeShade="BF"/>
            </w:tcBorders>
            <w:shd w:val="clear" w:color="auto" w:fill="auto"/>
            <w:vAlign w:val="bottom"/>
          </w:tcPr>
          <w:p w14:paraId="46D52DDD" w14:textId="77777777" w:rsidR="009E2B93" w:rsidRPr="005D19CF" w:rsidRDefault="009E2B93" w:rsidP="00576338">
            <w:pPr>
              <w:spacing w:before="40" w:after="20"/>
              <w:ind w:right="105"/>
              <w:jc w:val="right"/>
              <w:rPr>
                <w:rFonts w:cs="Arial"/>
                <w:b/>
                <w:sz w:val="16"/>
                <w:szCs w:val="16"/>
              </w:rPr>
            </w:pPr>
            <w:r w:rsidRPr="005D19CF">
              <w:rPr>
                <w:rFonts w:cs="Arial"/>
                <w:b/>
                <w:sz w:val="16"/>
                <w:szCs w:val="16"/>
              </w:rPr>
              <w:t>Major Cost Driver</w:t>
            </w:r>
          </w:p>
        </w:tc>
        <w:tc>
          <w:tcPr>
            <w:tcW w:w="1247"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7B4D5099" w14:textId="77777777" w:rsidR="009E2B93" w:rsidRPr="005D19CF" w:rsidRDefault="009E2B93" w:rsidP="008001AD">
            <w:pPr>
              <w:spacing w:before="40" w:after="20"/>
              <w:jc w:val="center"/>
              <w:rPr>
                <w:rFonts w:cs="Arial"/>
                <w:sz w:val="16"/>
                <w:szCs w:val="16"/>
              </w:rPr>
            </w:pPr>
            <w:r w:rsidRPr="005D19CF">
              <w:rPr>
                <w:rFonts w:cs="Arial"/>
                <w:sz w:val="16"/>
                <w:szCs w:val="16"/>
              </w:rPr>
              <w:t>Population</w:t>
            </w:r>
          </w:p>
        </w:tc>
        <w:tc>
          <w:tcPr>
            <w:tcW w:w="1247" w:type="dxa"/>
            <w:tcBorders>
              <w:top w:val="single" w:sz="8" w:space="0" w:color="5F497A" w:themeColor="accent4" w:themeShade="BF"/>
              <w:left w:val="nil"/>
              <w:bottom w:val="single" w:sz="8" w:space="0" w:color="5F497A" w:themeColor="accent4" w:themeShade="BF"/>
              <w:right w:val="nil"/>
            </w:tcBorders>
          </w:tcPr>
          <w:p w14:paraId="0AA0804D" w14:textId="45D2C1E9" w:rsidR="009E2B93" w:rsidRPr="005D19CF" w:rsidRDefault="009E2B93" w:rsidP="005D04BF">
            <w:pPr>
              <w:spacing w:before="40" w:after="20"/>
              <w:jc w:val="center"/>
              <w:rPr>
                <w:rFonts w:cs="Arial"/>
                <w:sz w:val="16"/>
                <w:szCs w:val="16"/>
              </w:rPr>
            </w:pPr>
            <w:r w:rsidRPr="005D19CF">
              <w:rPr>
                <w:rFonts w:cs="Arial"/>
                <w:sz w:val="16"/>
                <w:szCs w:val="16"/>
              </w:rPr>
              <w:t>Modified Pop*</w:t>
            </w:r>
            <w:r w:rsidRPr="005D19CF">
              <w:rPr>
                <w:rFonts w:cs="Arial"/>
                <w:sz w:val="16"/>
                <w:szCs w:val="16"/>
              </w:rPr>
              <w:br/>
              <w:t>(min 15,000)</w:t>
            </w:r>
          </w:p>
        </w:tc>
        <w:tc>
          <w:tcPr>
            <w:tcW w:w="1247"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6019EB33" w14:textId="4AC02B68" w:rsidR="009E2B93" w:rsidRPr="005D19CF" w:rsidRDefault="009E2B93" w:rsidP="005D04BF">
            <w:pPr>
              <w:spacing w:before="40" w:after="20"/>
              <w:jc w:val="center"/>
              <w:rPr>
                <w:rFonts w:cs="Arial"/>
                <w:sz w:val="16"/>
                <w:szCs w:val="16"/>
              </w:rPr>
            </w:pPr>
            <w:r w:rsidRPr="005D19CF">
              <w:rPr>
                <w:rFonts w:cs="Arial"/>
                <w:sz w:val="16"/>
                <w:szCs w:val="16"/>
              </w:rPr>
              <w:t>Modified Pop*</w:t>
            </w:r>
            <w:r w:rsidRPr="005D19CF">
              <w:rPr>
                <w:rFonts w:cs="Arial"/>
                <w:sz w:val="16"/>
                <w:szCs w:val="16"/>
              </w:rPr>
              <w:br/>
              <w:t>(no min)</w:t>
            </w:r>
          </w:p>
        </w:tc>
        <w:tc>
          <w:tcPr>
            <w:tcW w:w="170" w:type="dxa"/>
            <w:vMerge/>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5D60F9D6" w14:textId="77777777" w:rsidR="009E2B93" w:rsidRPr="005D19CF" w:rsidRDefault="009E2B93" w:rsidP="008001AD">
            <w:pPr>
              <w:spacing w:before="40" w:after="20"/>
              <w:jc w:val="center"/>
              <w:rPr>
                <w:rFonts w:cs="Arial"/>
                <w:sz w:val="16"/>
                <w:szCs w:val="16"/>
              </w:rPr>
            </w:pP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6C5D7FAD" w14:textId="77777777" w:rsidR="009E2B93" w:rsidRPr="00A44829" w:rsidRDefault="009E2B93" w:rsidP="008001AD">
            <w:pPr>
              <w:spacing w:before="40" w:after="20"/>
              <w:jc w:val="center"/>
              <w:rPr>
                <w:rFonts w:cs="Arial"/>
                <w:sz w:val="16"/>
                <w:szCs w:val="16"/>
              </w:rPr>
            </w:pPr>
            <w:r w:rsidRPr="005D19CF">
              <w:rPr>
                <w:rFonts w:cs="Arial"/>
                <w:sz w:val="16"/>
                <w:szCs w:val="16"/>
              </w:rPr>
              <w:t>Population</w:t>
            </w:r>
          </w:p>
        </w:tc>
      </w:tr>
      <w:tr w:rsidR="00566EA9" w:rsidRPr="001D41EA" w14:paraId="2CB6AAA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7C40B91" w14:textId="77777777" w:rsidR="00566EA9" w:rsidRPr="001D41EA" w:rsidRDefault="00566EA9" w:rsidP="001D41EA">
            <w:pPr>
              <w:spacing w:before="40" w:after="20"/>
              <w:rPr>
                <w:rFonts w:cs="Arial"/>
                <w:sz w:val="18"/>
                <w:szCs w:val="18"/>
              </w:rPr>
            </w:pPr>
          </w:p>
        </w:tc>
        <w:tc>
          <w:tcPr>
            <w:tcW w:w="1247"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6FC6A87" w14:textId="6F56AA6E"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single" w:sz="8" w:space="0" w:color="5F497A" w:themeColor="accent4" w:themeShade="BF"/>
              <w:left w:val="nil"/>
              <w:bottom w:val="nil"/>
              <w:right w:val="nil"/>
            </w:tcBorders>
            <w:vAlign w:val="bottom"/>
          </w:tcPr>
          <w:p w14:paraId="63A6C920" w14:textId="77777777" w:rsidR="00566EA9" w:rsidRPr="001D41EA" w:rsidRDefault="00566EA9" w:rsidP="001D41EA">
            <w:pPr>
              <w:spacing w:before="40" w:after="20"/>
              <w:jc w:val="center"/>
              <w:rPr>
                <w:rFonts w:cs="Arial"/>
                <w:sz w:val="18"/>
                <w:szCs w:val="18"/>
              </w:rPr>
            </w:pPr>
          </w:p>
        </w:tc>
        <w:tc>
          <w:tcPr>
            <w:tcW w:w="1247" w:type="dxa"/>
            <w:tcBorders>
              <w:top w:val="single" w:sz="8" w:space="0" w:color="5F497A" w:themeColor="accent4" w:themeShade="BF"/>
              <w:left w:val="nil"/>
              <w:bottom w:val="nil"/>
              <w:right w:val="nil"/>
            </w:tcBorders>
            <w:vAlign w:val="bottom"/>
          </w:tcPr>
          <w:p w14:paraId="2C8FA75E" w14:textId="4A66C52A" w:rsidR="00566EA9" w:rsidRPr="001D41EA" w:rsidRDefault="00566EA9" w:rsidP="001D41EA">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1E149153" w14:textId="6AD5371E"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1617DE45" w14:textId="5BA55C13" w:rsidR="00566EA9" w:rsidRPr="001D41EA" w:rsidRDefault="00566EA9" w:rsidP="001D41EA">
            <w:pPr>
              <w:spacing w:before="40" w:after="20"/>
              <w:jc w:val="center"/>
              <w:rPr>
                <w:rFonts w:cs="Arial"/>
                <w:sz w:val="18"/>
                <w:szCs w:val="18"/>
              </w:rPr>
            </w:pPr>
            <w:r w:rsidRPr="001D41EA">
              <w:rPr>
                <w:rFonts w:cs="Arial"/>
                <w:sz w:val="18"/>
                <w:szCs w:val="18"/>
              </w:rPr>
              <w:t> </w:t>
            </w:r>
          </w:p>
        </w:tc>
      </w:tr>
      <w:tr w:rsidR="00566EA9" w:rsidRPr="001D41EA" w14:paraId="008949D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6BC8062" w14:textId="77777777" w:rsidR="00566EA9" w:rsidRPr="001D41EA" w:rsidRDefault="00566EA9" w:rsidP="001D41EA">
            <w:pPr>
              <w:spacing w:before="40" w:after="20"/>
              <w:rPr>
                <w:rFonts w:cs="Arial"/>
                <w:sz w:val="18"/>
                <w:szCs w:val="18"/>
              </w:rPr>
            </w:pPr>
            <w:r w:rsidRPr="001D41EA">
              <w:rPr>
                <w:rFonts w:cs="Arial"/>
                <w:sz w:val="18"/>
                <w:szCs w:val="18"/>
              </w:rPr>
              <w:t>Macedon Ranges S</w:t>
            </w:r>
          </w:p>
        </w:tc>
        <w:tc>
          <w:tcPr>
            <w:tcW w:w="1247" w:type="dxa"/>
            <w:tcBorders>
              <w:top w:val="nil"/>
              <w:left w:val="single" w:sz="18" w:space="0" w:color="5F497A" w:themeColor="accent4" w:themeShade="BF"/>
              <w:bottom w:val="nil"/>
              <w:right w:val="nil"/>
            </w:tcBorders>
            <w:shd w:val="clear" w:color="auto" w:fill="auto"/>
            <w:vAlign w:val="bottom"/>
          </w:tcPr>
          <w:p w14:paraId="38961BA6" w14:textId="71CA191E" w:rsidR="00566EA9" w:rsidRPr="001D41EA" w:rsidRDefault="00566EA9" w:rsidP="001D41EA">
            <w:pPr>
              <w:spacing w:before="40" w:after="20"/>
              <w:jc w:val="center"/>
              <w:rPr>
                <w:rFonts w:cs="Arial"/>
                <w:sz w:val="18"/>
                <w:szCs w:val="18"/>
              </w:rPr>
            </w:pPr>
            <w:r w:rsidRPr="001D41EA">
              <w:rPr>
                <w:rFonts w:cs="Arial"/>
                <w:sz w:val="18"/>
                <w:szCs w:val="18"/>
              </w:rPr>
              <w:t>0.991</w:t>
            </w:r>
          </w:p>
        </w:tc>
        <w:tc>
          <w:tcPr>
            <w:tcW w:w="1247" w:type="dxa"/>
            <w:tcBorders>
              <w:top w:val="nil"/>
              <w:left w:val="nil"/>
              <w:bottom w:val="nil"/>
              <w:right w:val="nil"/>
            </w:tcBorders>
            <w:vAlign w:val="bottom"/>
          </w:tcPr>
          <w:p w14:paraId="6BAE0BBB" w14:textId="71329A64" w:rsidR="00566EA9" w:rsidRPr="001D41EA" w:rsidRDefault="00566EA9" w:rsidP="001D41EA">
            <w:pPr>
              <w:spacing w:before="40" w:after="20"/>
              <w:jc w:val="center"/>
              <w:rPr>
                <w:rFonts w:cs="Arial"/>
                <w:sz w:val="18"/>
                <w:szCs w:val="18"/>
              </w:rPr>
            </w:pPr>
            <w:r w:rsidRPr="001D41EA">
              <w:rPr>
                <w:rFonts w:cs="Arial"/>
                <w:sz w:val="18"/>
                <w:szCs w:val="18"/>
              </w:rPr>
              <w:t>0.994</w:t>
            </w:r>
          </w:p>
        </w:tc>
        <w:tc>
          <w:tcPr>
            <w:tcW w:w="1247" w:type="dxa"/>
            <w:tcBorders>
              <w:top w:val="nil"/>
              <w:left w:val="nil"/>
              <w:bottom w:val="nil"/>
              <w:right w:val="nil"/>
            </w:tcBorders>
            <w:vAlign w:val="bottom"/>
          </w:tcPr>
          <w:p w14:paraId="71AF8672" w14:textId="3D59F054" w:rsidR="00566EA9" w:rsidRPr="001D41EA" w:rsidRDefault="00566EA9" w:rsidP="001D41EA">
            <w:pPr>
              <w:spacing w:before="40" w:after="20"/>
              <w:jc w:val="center"/>
              <w:rPr>
                <w:rFonts w:cs="Arial"/>
                <w:sz w:val="18"/>
                <w:szCs w:val="18"/>
              </w:rPr>
            </w:pPr>
            <w:r w:rsidRPr="001D41EA">
              <w:rPr>
                <w:rFonts w:cs="Arial"/>
                <w:sz w:val="18"/>
                <w:szCs w:val="18"/>
              </w:rPr>
              <w:t>0.992</w:t>
            </w:r>
          </w:p>
        </w:tc>
        <w:tc>
          <w:tcPr>
            <w:tcW w:w="170" w:type="dxa"/>
            <w:tcBorders>
              <w:top w:val="nil"/>
              <w:left w:val="nil"/>
              <w:bottom w:val="nil"/>
              <w:right w:val="nil"/>
            </w:tcBorders>
            <w:vAlign w:val="bottom"/>
          </w:tcPr>
          <w:p w14:paraId="75C5A6C4" w14:textId="3E65A60D"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3A9BA803" w14:textId="5CA00AE6" w:rsidR="00566EA9" w:rsidRPr="001D41EA" w:rsidRDefault="00566EA9" w:rsidP="001D41EA">
            <w:pPr>
              <w:spacing w:before="40" w:after="20"/>
              <w:jc w:val="center"/>
              <w:rPr>
                <w:rFonts w:cs="Arial"/>
                <w:sz w:val="18"/>
                <w:szCs w:val="18"/>
              </w:rPr>
            </w:pPr>
            <w:r w:rsidRPr="001D41EA">
              <w:rPr>
                <w:rFonts w:cs="Arial"/>
                <w:sz w:val="18"/>
                <w:szCs w:val="18"/>
              </w:rPr>
              <w:t>1.039</w:t>
            </w:r>
          </w:p>
        </w:tc>
      </w:tr>
      <w:tr w:rsidR="00566EA9" w:rsidRPr="001D41EA" w14:paraId="71037EC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DE29346" w14:textId="77777777" w:rsidR="00566EA9" w:rsidRPr="001D41EA" w:rsidRDefault="00566EA9" w:rsidP="001D41EA">
            <w:pPr>
              <w:spacing w:before="40" w:after="20"/>
              <w:rPr>
                <w:rFonts w:cs="Arial"/>
                <w:sz w:val="18"/>
                <w:szCs w:val="18"/>
              </w:rPr>
            </w:pPr>
            <w:r w:rsidRPr="001D41EA">
              <w:rPr>
                <w:rFonts w:cs="Arial"/>
                <w:sz w:val="18"/>
                <w:szCs w:val="18"/>
              </w:rPr>
              <w:t>Manningham C</w:t>
            </w:r>
          </w:p>
        </w:tc>
        <w:tc>
          <w:tcPr>
            <w:tcW w:w="1247" w:type="dxa"/>
            <w:tcBorders>
              <w:top w:val="nil"/>
              <w:left w:val="single" w:sz="18" w:space="0" w:color="5F497A" w:themeColor="accent4" w:themeShade="BF"/>
              <w:bottom w:val="nil"/>
              <w:right w:val="nil"/>
            </w:tcBorders>
            <w:shd w:val="clear" w:color="auto" w:fill="auto"/>
            <w:vAlign w:val="bottom"/>
          </w:tcPr>
          <w:p w14:paraId="6838B9EC" w14:textId="02CF1304" w:rsidR="00566EA9" w:rsidRPr="001D41EA" w:rsidRDefault="00566EA9" w:rsidP="001D41EA">
            <w:pPr>
              <w:spacing w:before="40" w:after="20"/>
              <w:jc w:val="center"/>
              <w:rPr>
                <w:rFonts w:cs="Arial"/>
                <w:sz w:val="18"/>
                <w:szCs w:val="18"/>
              </w:rPr>
            </w:pPr>
            <w:r w:rsidRPr="001D41EA">
              <w:rPr>
                <w:rFonts w:cs="Arial"/>
                <w:sz w:val="18"/>
                <w:szCs w:val="18"/>
              </w:rPr>
              <w:t>0.891</w:t>
            </w:r>
          </w:p>
        </w:tc>
        <w:tc>
          <w:tcPr>
            <w:tcW w:w="1247" w:type="dxa"/>
            <w:tcBorders>
              <w:top w:val="nil"/>
              <w:left w:val="nil"/>
              <w:bottom w:val="nil"/>
              <w:right w:val="nil"/>
            </w:tcBorders>
            <w:vAlign w:val="bottom"/>
          </w:tcPr>
          <w:p w14:paraId="49E8B7FC" w14:textId="5D1944C9" w:rsidR="00566EA9" w:rsidRPr="001D41EA" w:rsidRDefault="00566EA9" w:rsidP="001D41EA">
            <w:pPr>
              <w:spacing w:before="40" w:after="20"/>
              <w:jc w:val="center"/>
              <w:rPr>
                <w:rFonts w:cs="Arial"/>
                <w:sz w:val="18"/>
                <w:szCs w:val="18"/>
              </w:rPr>
            </w:pPr>
            <w:r w:rsidRPr="001D41EA">
              <w:rPr>
                <w:rFonts w:cs="Arial"/>
                <w:sz w:val="18"/>
                <w:szCs w:val="18"/>
              </w:rPr>
              <w:t>0.894</w:t>
            </w:r>
          </w:p>
        </w:tc>
        <w:tc>
          <w:tcPr>
            <w:tcW w:w="1247" w:type="dxa"/>
            <w:tcBorders>
              <w:top w:val="nil"/>
              <w:left w:val="nil"/>
              <w:bottom w:val="nil"/>
              <w:right w:val="nil"/>
            </w:tcBorders>
            <w:vAlign w:val="bottom"/>
          </w:tcPr>
          <w:p w14:paraId="634181BD" w14:textId="2D70C60A" w:rsidR="00566EA9" w:rsidRPr="001D41EA" w:rsidRDefault="00566EA9" w:rsidP="001D41EA">
            <w:pPr>
              <w:spacing w:before="40" w:after="20"/>
              <w:jc w:val="center"/>
              <w:rPr>
                <w:rFonts w:cs="Arial"/>
                <w:sz w:val="18"/>
                <w:szCs w:val="18"/>
              </w:rPr>
            </w:pPr>
            <w:r w:rsidRPr="001D41EA">
              <w:rPr>
                <w:rFonts w:cs="Arial"/>
                <w:sz w:val="18"/>
                <w:szCs w:val="18"/>
              </w:rPr>
              <w:t>0.891</w:t>
            </w:r>
          </w:p>
        </w:tc>
        <w:tc>
          <w:tcPr>
            <w:tcW w:w="170" w:type="dxa"/>
            <w:tcBorders>
              <w:top w:val="nil"/>
              <w:left w:val="nil"/>
              <w:bottom w:val="nil"/>
              <w:right w:val="nil"/>
            </w:tcBorders>
            <w:vAlign w:val="bottom"/>
          </w:tcPr>
          <w:p w14:paraId="631B2080" w14:textId="5A6A3124"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22BABD79" w14:textId="36EC252B" w:rsidR="00566EA9" w:rsidRPr="001D41EA" w:rsidRDefault="00566EA9" w:rsidP="001D41EA">
            <w:pPr>
              <w:spacing w:before="40" w:after="20"/>
              <w:jc w:val="center"/>
              <w:rPr>
                <w:rFonts w:cs="Arial"/>
                <w:sz w:val="18"/>
                <w:szCs w:val="18"/>
              </w:rPr>
            </w:pPr>
            <w:r w:rsidRPr="001D41EA">
              <w:rPr>
                <w:rFonts w:cs="Arial"/>
                <w:sz w:val="18"/>
                <w:szCs w:val="18"/>
              </w:rPr>
              <w:t>0.835</w:t>
            </w:r>
          </w:p>
        </w:tc>
      </w:tr>
      <w:tr w:rsidR="00566EA9" w:rsidRPr="001D41EA" w14:paraId="1D98293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E24995A" w14:textId="77777777" w:rsidR="00566EA9" w:rsidRPr="001D41EA" w:rsidRDefault="00566EA9" w:rsidP="001D41EA">
            <w:pPr>
              <w:spacing w:before="40" w:after="20"/>
              <w:rPr>
                <w:rFonts w:cs="Arial"/>
                <w:sz w:val="18"/>
                <w:szCs w:val="18"/>
              </w:rPr>
            </w:pPr>
            <w:r w:rsidRPr="001D41EA">
              <w:rPr>
                <w:rFonts w:cs="Arial"/>
                <w:sz w:val="18"/>
                <w:szCs w:val="18"/>
              </w:rPr>
              <w:t>Mansfield S</w:t>
            </w:r>
          </w:p>
        </w:tc>
        <w:tc>
          <w:tcPr>
            <w:tcW w:w="1247" w:type="dxa"/>
            <w:tcBorders>
              <w:top w:val="nil"/>
              <w:left w:val="single" w:sz="18" w:space="0" w:color="5F497A" w:themeColor="accent4" w:themeShade="BF"/>
              <w:bottom w:val="nil"/>
              <w:right w:val="nil"/>
            </w:tcBorders>
            <w:shd w:val="clear" w:color="auto" w:fill="auto"/>
            <w:vAlign w:val="bottom"/>
          </w:tcPr>
          <w:p w14:paraId="4D1BD68E" w14:textId="1C5ABC76" w:rsidR="00566EA9" w:rsidRPr="001D41EA" w:rsidRDefault="00566EA9" w:rsidP="001D41EA">
            <w:pPr>
              <w:spacing w:before="40" w:after="20"/>
              <w:jc w:val="center"/>
              <w:rPr>
                <w:rFonts w:cs="Arial"/>
                <w:sz w:val="18"/>
                <w:szCs w:val="18"/>
              </w:rPr>
            </w:pPr>
            <w:r w:rsidRPr="001D41EA">
              <w:rPr>
                <w:rFonts w:cs="Arial"/>
                <w:sz w:val="18"/>
                <w:szCs w:val="18"/>
              </w:rPr>
              <w:t>0.963</w:t>
            </w:r>
          </w:p>
        </w:tc>
        <w:tc>
          <w:tcPr>
            <w:tcW w:w="1247" w:type="dxa"/>
            <w:tcBorders>
              <w:top w:val="nil"/>
              <w:left w:val="nil"/>
              <w:bottom w:val="nil"/>
              <w:right w:val="nil"/>
            </w:tcBorders>
            <w:vAlign w:val="bottom"/>
          </w:tcPr>
          <w:p w14:paraId="5D2F9BB3" w14:textId="5FFCCC8A" w:rsidR="00566EA9" w:rsidRPr="001D41EA" w:rsidRDefault="00566EA9" w:rsidP="001D41EA">
            <w:pPr>
              <w:spacing w:before="40" w:after="20"/>
              <w:jc w:val="center"/>
              <w:rPr>
                <w:rFonts w:cs="Arial"/>
                <w:sz w:val="18"/>
                <w:szCs w:val="18"/>
              </w:rPr>
            </w:pPr>
            <w:r w:rsidRPr="001D41EA">
              <w:rPr>
                <w:rFonts w:cs="Arial"/>
                <w:sz w:val="18"/>
                <w:szCs w:val="18"/>
              </w:rPr>
              <w:t>0.967</w:t>
            </w:r>
          </w:p>
        </w:tc>
        <w:tc>
          <w:tcPr>
            <w:tcW w:w="1247" w:type="dxa"/>
            <w:tcBorders>
              <w:top w:val="nil"/>
              <w:left w:val="nil"/>
              <w:bottom w:val="nil"/>
              <w:right w:val="nil"/>
            </w:tcBorders>
            <w:vAlign w:val="bottom"/>
          </w:tcPr>
          <w:p w14:paraId="4002DCA7" w14:textId="003FA387" w:rsidR="00566EA9" w:rsidRPr="001D41EA" w:rsidRDefault="00566EA9" w:rsidP="001D41EA">
            <w:pPr>
              <w:spacing w:before="40" w:after="20"/>
              <w:jc w:val="center"/>
              <w:rPr>
                <w:rFonts w:cs="Arial"/>
                <w:sz w:val="18"/>
                <w:szCs w:val="18"/>
              </w:rPr>
            </w:pPr>
            <w:r w:rsidRPr="001D41EA">
              <w:rPr>
                <w:rFonts w:cs="Arial"/>
                <w:sz w:val="18"/>
                <w:szCs w:val="18"/>
              </w:rPr>
              <w:t>0.964</w:t>
            </w:r>
          </w:p>
        </w:tc>
        <w:tc>
          <w:tcPr>
            <w:tcW w:w="170" w:type="dxa"/>
            <w:tcBorders>
              <w:top w:val="nil"/>
              <w:left w:val="nil"/>
              <w:bottom w:val="nil"/>
              <w:right w:val="nil"/>
            </w:tcBorders>
            <w:vAlign w:val="bottom"/>
          </w:tcPr>
          <w:p w14:paraId="48D7CF0E" w14:textId="247119E8"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1A2F2481" w14:textId="21FBA50A" w:rsidR="00566EA9" w:rsidRPr="001D41EA" w:rsidRDefault="00566EA9" w:rsidP="001D41EA">
            <w:pPr>
              <w:spacing w:before="40" w:after="20"/>
              <w:jc w:val="center"/>
              <w:rPr>
                <w:rFonts w:cs="Arial"/>
                <w:sz w:val="18"/>
                <w:szCs w:val="18"/>
              </w:rPr>
            </w:pPr>
            <w:r w:rsidRPr="001D41EA">
              <w:rPr>
                <w:rFonts w:cs="Arial"/>
                <w:sz w:val="18"/>
                <w:szCs w:val="18"/>
              </w:rPr>
              <w:t>0.847</w:t>
            </w:r>
          </w:p>
        </w:tc>
      </w:tr>
      <w:tr w:rsidR="00566EA9" w:rsidRPr="001D41EA" w14:paraId="6924E78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1727108" w14:textId="77777777" w:rsidR="00566EA9" w:rsidRPr="001D41EA" w:rsidRDefault="00566EA9" w:rsidP="001D41EA">
            <w:pPr>
              <w:spacing w:before="40" w:after="20"/>
              <w:rPr>
                <w:rFonts w:cs="Arial"/>
                <w:sz w:val="18"/>
                <w:szCs w:val="18"/>
              </w:rPr>
            </w:pPr>
            <w:r w:rsidRPr="001D41EA">
              <w:rPr>
                <w:rFonts w:cs="Arial"/>
                <w:sz w:val="18"/>
                <w:szCs w:val="18"/>
              </w:rPr>
              <w:t>Maribyrnong C</w:t>
            </w:r>
          </w:p>
        </w:tc>
        <w:tc>
          <w:tcPr>
            <w:tcW w:w="1247" w:type="dxa"/>
            <w:tcBorders>
              <w:top w:val="nil"/>
              <w:left w:val="single" w:sz="18" w:space="0" w:color="5F497A" w:themeColor="accent4" w:themeShade="BF"/>
              <w:bottom w:val="nil"/>
              <w:right w:val="nil"/>
            </w:tcBorders>
            <w:shd w:val="clear" w:color="auto" w:fill="auto"/>
            <w:vAlign w:val="bottom"/>
          </w:tcPr>
          <w:p w14:paraId="4E672D60" w14:textId="4DF724A2" w:rsidR="00566EA9" w:rsidRPr="001D41EA" w:rsidRDefault="00566EA9" w:rsidP="001D41EA">
            <w:pPr>
              <w:spacing w:before="40" w:after="20"/>
              <w:jc w:val="center"/>
              <w:rPr>
                <w:rFonts w:cs="Arial"/>
                <w:sz w:val="18"/>
                <w:szCs w:val="18"/>
              </w:rPr>
            </w:pPr>
            <w:r w:rsidRPr="001D41EA">
              <w:rPr>
                <w:rFonts w:cs="Arial"/>
                <w:sz w:val="18"/>
                <w:szCs w:val="18"/>
              </w:rPr>
              <w:t>1.017</w:t>
            </w:r>
          </w:p>
        </w:tc>
        <w:tc>
          <w:tcPr>
            <w:tcW w:w="1247" w:type="dxa"/>
            <w:tcBorders>
              <w:top w:val="nil"/>
              <w:left w:val="nil"/>
              <w:bottom w:val="nil"/>
              <w:right w:val="nil"/>
            </w:tcBorders>
            <w:vAlign w:val="bottom"/>
          </w:tcPr>
          <w:p w14:paraId="52A9F167" w14:textId="1D4536F1" w:rsidR="00566EA9" w:rsidRPr="001D41EA" w:rsidRDefault="00566EA9" w:rsidP="001D41EA">
            <w:pPr>
              <w:spacing w:before="40" w:after="20"/>
              <w:jc w:val="center"/>
              <w:rPr>
                <w:rFonts w:cs="Arial"/>
                <w:sz w:val="18"/>
                <w:szCs w:val="18"/>
              </w:rPr>
            </w:pPr>
            <w:r w:rsidRPr="001D41EA">
              <w:rPr>
                <w:rFonts w:cs="Arial"/>
                <w:sz w:val="18"/>
                <w:szCs w:val="18"/>
              </w:rPr>
              <w:t>1.021</w:t>
            </w:r>
          </w:p>
        </w:tc>
        <w:tc>
          <w:tcPr>
            <w:tcW w:w="1247" w:type="dxa"/>
            <w:tcBorders>
              <w:top w:val="nil"/>
              <w:left w:val="nil"/>
              <w:bottom w:val="nil"/>
              <w:right w:val="nil"/>
            </w:tcBorders>
            <w:vAlign w:val="bottom"/>
          </w:tcPr>
          <w:p w14:paraId="6744A43F" w14:textId="03597819" w:rsidR="00566EA9" w:rsidRPr="001D41EA" w:rsidRDefault="00566EA9" w:rsidP="001D41EA">
            <w:pPr>
              <w:spacing w:before="40" w:after="20"/>
              <w:jc w:val="center"/>
              <w:rPr>
                <w:rFonts w:cs="Arial"/>
                <w:sz w:val="18"/>
                <w:szCs w:val="18"/>
              </w:rPr>
            </w:pPr>
            <w:r w:rsidRPr="001D41EA">
              <w:rPr>
                <w:rFonts w:cs="Arial"/>
                <w:sz w:val="18"/>
                <w:szCs w:val="18"/>
              </w:rPr>
              <w:t>1.018</w:t>
            </w:r>
          </w:p>
        </w:tc>
        <w:tc>
          <w:tcPr>
            <w:tcW w:w="170" w:type="dxa"/>
            <w:tcBorders>
              <w:top w:val="nil"/>
              <w:left w:val="nil"/>
              <w:bottom w:val="nil"/>
              <w:right w:val="nil"/>
            </w:tcBorders>
            <w:vAlign w:val="bottom"/>
          </w:tcPr>
          <w:p w14:paraId="4F5E0610" w14:textId="1A610192"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51B7358" w14:textId="1685F125" w:rsidR="00566EA9" w:rsidRPr="001D41EA" w:rsidRDefault="00566EA9" w:rsidP="001D41EA">
            <w:pPr>
              <w:spacing w:before="40" w:after="20"/>
              <w:jc w:val="center"/>
              <w:rPr>
                <w:rFonts w:cs="Arial"/>
                <w:sz w:val="18"/>
                <w:szCs w:val="18"/>
              </w:rPr>
            </w:pPr>
            <w:r w:rsidRPr="001D41EA">
              <w:rPr>
                <w:rFonts w:cs="Arial"/>
                <w:sz w:val="18"/>
                <w:szCs w:val="18"/>
              </w:rPr>
              <w:t>1.026</w:t>
            </w:r>
          </w:p>
        </w:tc>
      </w:tr>
      <w:tr w:rsidR="00566EA9" w:rsidRPr="001D41EA" w14:paraId="6574752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7D25FAF" w14:textId="77777777" w:rsidR="00566EA9" w:rsidRPr="001D41EA" w:rsidRDefault="00566EA9" w:rsidP="001D41EA">
            <w:pPr>
              <w:spacing w:before="40" w:after="20"/>
              <w:rPr>
                <w:rFonts w:cs="Arial"/>
                <w:sz w:val="18"/>
                <w:szCs w:val="18"/>
              </w:rPr>
            </w:pPr>
            <w:r w:rsidRPr="001D41EA">
              <w:rPr>
                <w:rFonts w:cs="Arial"/>
                <w:sz w:val="18"/>
                <w:szCs w:val="18"/>
              </w:rPr>
              <w:t>Maroondah C</w:t>
            </w:r>
          </w:p>
        </w:tc>
        <w:tc>
          <w:tcPr>
            <w:tcW w:w="1247" w:type="dxa"/>
            <w:tcBorders>
              <w:top w:val="nil"/>
              <w:left w:val="single" w:sz="18" w:space="0" w:color="5F497A" w:themeColor="accent4" w:themeShade="BF"/>
              <w:bottom w:val="nil"/>
              <w:right w:val="nil"/>
            </w:tcBorders>
            <w:shd w:val="clear" w:color="auto" w:fill="auto"/>
            <w:vAlign w:val="bottom"/>
          </w:tcPr>
          <w:p w14:paraId="6CADA745" w14:textId="2B80C746" w:rsidR="00566EA9" w:rsidRPr="001D41EA" w:rsidRDefault="00566EA9" w:rsidP="001D41EA">
            <w:pPr>
              <w:spacing w:before="40" w:after="20"/>
              <w:jc w:val="center"/>
              <w:rPr>
                <w:rFonts w:cs="Arial"/>
                <w:sz w:val="18"/>
                <w:szCs w:val="18"/>
              </w:rPr>
            </w:pPr>
            <w:r w:rsidRPr="001D41EA">
              <w:rPr>
                <w:rFonts w:cs="Arial"/>
                <w:sz w:val="18"/>
                <w:szCs w:val="18"/>
              </w:rPr>
              <w:t>0.885</w:t>
            </w:r>
          </w:p>
        </w:tc>
        <w:tc>
          <w:tcPr>
            <w:tcW w:w="1247" w:type="dxa"/>
            <w:tcBorders>
              <w:top w:val="nil"/>
              <w:left w:val="nil"/>
              <w:bottom w:val="nil"/>
              <w:right w:val="nil"/>
            </w:tcBorders>
            <w:vAlign w:val="bottom"/>
          </w:tcPr>
          <w:p w14:paraId="571DD629" w14:textId="06699011" w:rsidR="00566EA9" w:rsidRPr="001D41EA" w:rsidRDefault="00566EA9" w:rsidP="001D41EA">
            <w:pPr>
              <w:spacing w:before="40" w:after="20"/>
              <w:jc w:val="center"/>
              <w:rPr>
                <w:rFonts w:cs="Arial"/>
                <w:sz w:val="18"/>
                <w:szCs w:val="18"/>
              </w:rPr>
            </w:pPr>
            <w:r w:rsidRPr="001D41EA">
              <w:rPr>
                <w:rFonts w:cs="Arial"/>
                <w:sz w:val="18"/>
                <w:szCs w:val="18"/>
              </w:rPr>
              <w:t>0.888</w:t>
            </w:r>
          </w:p>
        </w:tc>
        <w:tc>
          <w:tcPr>
            <w:tcW w:w="1247" w:type="dxa"/>
            <w:tcBorders>
              <w:top w:val="nil"/>
              <w:left w:val="nil"/>
              <w:bottom w:val="nil"/>
              <w:right w:val="nil"/>
            </w:tcBorders>
            <w:vAlign w:val="bottom"/>
          </w:tcPr>
          <w:p w14:paraId="5CF6F514" w14:textId="1AC8822B" w:rsidR="00566EA9" w:rsidRPr="001D41EA" w:rsidRDefault="00566EA9" w:rsidP="001D41EA">
            <w:pPr>
              <w:spacing w:before="40" w:after="20"/>
              <w:jc w:val="center"/>
              <w:rPr>
                <w:rFonts w:cs="Arial"/>
                <w:sz w:val="18"/>
                <w:szCs w:val="18"/>
              </w:rPr>
            </w:pPr>
            <w:r w:rsidRPr="001D41EA">
              <w:rPr>
                <w:rFonts w:cs="Arial"/>
                <w:sz w:val="18"/>
                <w:szCs w:val="18"/>
              </w:rPr>
              <w:t>0.886</w:t>
            </w:r>
          </w:p>
        </w:tc>
        <w:tc>
          <w:tcPr>
            <w:tcW w:w="170" w:type="dxa"/>
            <w:tcBorders>
              <w:top w:val="nil"/>
              <w:left w:val="nil"/>
              <w:bottom w:val="nil"/>
              <w:right w:val="nil"/>
            </w:tcBorders>
            <w:vAlign w:val="bottom"/>
          </w:tcPr>
          <w:p w14:paraId="0924F994" w14:textId="1936629F"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A875929" w14:textId="56722DAD" w:rsidR="00566EA9" w:rsidRPr="001D41EA" w:rsidRDefault="00566EA9" w:rsidP="001D41EA">
            <w:pPr>
              <w:spacing w:before="40" w:after="20"/>
              <w:jc w:val="center"/>
              <w:rPr>
                <w:rFonts w:cs="Arial"/>
                <w:sz w:val="18"/>
                <w:szCs w:val="18"/>
              </w:rPr>
            </w:pPr>
            <w:r w:rsidRPr="001D41EA">
              <w:rPr>
                <w:rFonts w:cs="Arial"/>
                <w:sz w:val="18"/>
                <w:szCs w:val="18"/>
              </w:rPr>
              <w:t>1.038</w:t>
            </w:r>
          </w:p>
        </w:tc>
      </w:tr>
      <w:tr w:rsidR="00566EA9" w:rsidRPr="001D41EA" w14:paraId="570ABA7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FBF2B4A" w14:textId="77777777" w:rsidR="00566EA9" w:rsidRPr="001D41EA" w:rsidRDefault="00566EA9" w:rsidP="001D41EA">
            <w:pPr>
              <w:spacing w:before="40" w:after="20"/>
              <w:rPr>
                <w:rFonts w:cs="Arial"/>
                <w:sz w:val="18"/>
                <w:szCs w:val="18"/>
              </w:rPr>
            </w:pPr>
            <w:r w:rsidRPr="001D41EA">
              <w:rPr>
                <w:rFonts w:cs="Arial"/>
                <w:sz w:val="18"/>
                <w:szCs w:val="18"/>
              </w:rPr>
              <w:t>Melbourne C</w:t>
            </w:r>
          </w:p>
        </w:tc>
        <w:tc>
          <w:tcPr>
            <w:tcW w:w="1247" w:type="dxa"/>
            <w:tcBorders>
              <w:top w:val="nil"/>
              <w:left w:val="single" w:sz="18" w:space="0" w:color="5F497A" w:themeColor="accent4" w:themeShade="BF"/>
              <w:bottom w:val="nil"/>
              <w:right w:val="nil"/>
            </w:tcBorders>
            <w:shd w:val="clear" w:color="auto" w:fill="auto"/>
            <w:vAlign w:val="bottom"/>
          </w:tcPr>
          <w:p w14:paraId="23EC92B9" w14:textId="754F1D5C" w:rsidR="00566EA9" w:rsidRPr="001D41EA" w:rsidRDefault="00566EA9" w:rsidP="001D41EA">
            <w:pPr>
              <w:spacing w:before="40" w:after="20"/>
              <w:jc w:val="center"/>
              <w:rPr>
                <w:rFonts w:cs="Arial"/>
                <w:sz w:val="18"/>
                <w:szCs w:val="18"/>
              </w:rPr>
            </w:pPr>
            <w:r w:rsidRPr="001D41EA">
              <w:rPr>
                <w:rFonts w:cs="Arial"/>
                <w:sz w:val="18"/>
                <w:szCs w:val="18"/>
              </w:rPr>
              <w:t>1.375</w:t>
            </w:r>
          </w:p>
        </w:tc>
        <w:tc>
          <w:tcPr>
            <w:tcW w:w="1247" w:type="dxa"/>
            <w:tcBorders>
              <w:top w:val="nil"/>
              <w:left w:val="nil"/>
              <w:bottom w:val="nil"/>
              <w:right w:val="nil"/>
            </w:tcBorders>
            <w:vAlign w:val="bottom"/>
          </w:tcPr>
          <w:p w14:paraId="5D08691E" w14:textId="7726589E" w:rsidR="00566EA9" w:rsidRPr="001D41EA" w:rsidRDefault="00566EA9" w:rsidP="001D41EA">
            <w:pPr>
              <w:spacing w:before="40" w:after="20"/>
              <w:jc w:val="center"/>
              <w:rPr>
                <w:rFonts w:cs="Arial"/>
                <w:sz w:val="18"/>
                <w:szCs w:val="18"/>
              </w:rPr>
            </w:pPr>
            <w:r w:rsidRPr="001D41EA">
              <w:rPr>
                <w:rFonts w:cs="Arial"/>
                <w:sz w:val="18"/>
                <w:szCs w:val="18"/>
              </w:rPr>
              <w:t>1.379</w:t>
            </w:r>
          </w:p>
        </w:tc>
        <w:tc>
          <w:tcPr>
            <w:tcW w:w="1247" w:type="dxa"/>
            <w:tcBorders>
              <w:top w:val="nil"/>
              <w:left w:val="nil"/>
              <w:bottom w:val="nil"/>
              <w:right w:val="nil"/>
            </w:tcBorders>
            <w:vAlign w:val="bottom"/>
          </w:tcPr>
          <w:p w14:paraId="45C578B5" w14:textId="15228B87" w:rsidR="00566EA9" w:rsidRPr="001D41EA" w:rsidRDefault="00566EA9" w:rsidP="001D41EA">
            <w:pPr>
              <w:spacing w:before="40" w:after="20"/>
              <w:jc w:val="center"/>
              <w:rPr>
                <w:rFonts w:cs="Arial"/>
                <w:sz w:val="18"/>
                <w:szCs w:val="18"/>
              </w:rPr>
            </w:pPr>
            <w:r w:rsidRPr="001D41EA">
              <w:rPr>
                <w:rFonts w:cs="Arial"/>
                <w:sz w:val="18"/>
                <w:szCs w:val="18"/>
              </w:rPr>
              <w:t>1.376</w:t>
            </w:r>
          </w:p>
        </w:tc>
        <w:tc>
          <w:tcPr>
            <w:tcW w:w="170" w:type="dxa"/>
            <w:tcBorders>
              <w:top w:val="nil"/>
              <w:left w:val="nil"/>
              <w:bottom w:val="nil"/>
              <w:right w:val="nil"/>
            </w:tcBorders>
            <w:vAlign w:val="bottom"/>
          </w:tcPr>
          <w:p w14:paraId="43B485C1" w14:textId="694F83B2"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7F7C1A52" w14:textId="2A7C32B6" w:rsidR="00566EA9" w:rsidRPr="001D41EA" w:rsidRDefault="00566EA9" w:rsidP="001D41EA">
            <w:pPr>
              <w:spacing w:before="40" w:after="20"/>
              <w:jc w:val="center"/>
              <w:rPr>
                <w:rFonts w:cs="Arial"/>
                <w:sz w:val="18"/>
                <w:szCs w:val="18"/>
              </w:rPr>
            </w:pPr>
            <w:r w:rsidRPr="001D41EA">
              <w:rPr>
                <w:rFonts w:cs="Arial"/>
                <w:sz w:val="18"/>
                <w:szCs w:val="18"/>
              </w:rPr>
              <w:t>0.715</w:t>
            </w:r>
          </w:p>
        </w:tc>
      </w:tr>
      <w:tr w:rsidR="00566EA9" w:rsidRPr="001D41EA" w14:paraId="225B03D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1A1539B" w14:textId="77777777" w:rsidR="00566EA9" w:rsidRPr="001D41EA" w:rsidRDefault="00566EA9" w:rsidP="001D41EA">
            <w:pPr>
              <w:spacing w:before="40" w:after="20"/>
              <w:rPr>
                <w:rFonts w:cs="Arial"/>
                <w:sz w:val="18"/>
                <w:szCs w:val="18"/>
              </w:rPr>
            </w:pPr>
            <w:r w:rsidRPr="001D41EA">
              <w:rPr>
                <w:rFonts w:cs="Arial"/>
                <w:sz w:val="18"/>
                <w:szCs w:val="18"/>
              </w:rPr>
              <w:t>Melton C</w:t>
            </w:r>
          </w:p>
        </w:tc>
        <w:tc>
          <w:tcPr>
            <w:tcW w:w="1247" w:type="dxa"/>
            <w:tcBorders>
              <w:top w:val="nil"/>
              <w:left w:val="single" w:sz="18" w:space="0" w:color="5F497A" w:themeColor="accent4" w:themeShade="BF"/>
              <w:bottom w:val="nil"/>
              <w:right w:val="nil"/>
            </w:tcBorders>
            <w:shd w:val="clear" w:color="auto" w:fill="auto"/>
            <w:vAlign w:val="bottom"/>
          </w:tcPr>
          <w:p w14:paraId="3511475D" w14:textId="79B22AEF" w:rsidR="00566EA9" w:rsidRPr="001D41EA" w:rsidRDefault="00566EA9" w:rsidP="001D41EA">
            <w:pPr>
              <w:spacing w:before="40" w:after="20"/>
              <w:jc w:val="center"/>
              <w:rPr>
                <w:rFonts w:cs="Arial"/>
                <w:sz w:val="18"/>
                <w:szCs w:val="18"/>
              </w:rPr>
            </w:pPr>
            <w:r w:rsidRPr="001D41EA">
              <w:rPr>
                <w:rFonts w:cs="Arial"/>
                <w:sz w:val="18"/>
                <w:szCs w:val="18"/>
              </w:rPr>
              <w:t>1.262</w:t>
            </w:r>
          </w:p>
        </w:tc>
        <w:tc>
          <w:tcPr>
            <w:tcW w:w="1247" w:type="dxa"/>
            <w:tcBorders>
              <w:top w:val="nil"/>
              <w:left w:val="nil"/>
              <w:bottom w:val="nil"/>
              <w:right w:val="nil"/>
            </w:tcBorders>
            <w:vAlign w:val="bottom"/>
          </w:tcPr>
          <w:p w14:paraId="1FB05EC7" w14:textId="43260337" w:rsidR="00566EA9" w:rsidRPr="001D41EA" w:rsidRDefault="00566EA9" w:rsidP="001D41EA">
            <w:pPr>
              <w:spacing w:before="40" w:after="20"/>
              <w:jc w:val="center"/>
              <w:rPr>
                <w:rFonts w:cs="Arial"/>
                <w:sz w:val="18"/>
                <w:szCs w:val="18"/>
              </w:rPr>
            </w:pPr>
            <w:r w:rsidRPr="001D41EA">
              <w:rPr>
                <w:rFonts w:cs="Arial"/>
                <w:sz w:val="18"/>
                <w:szCs w:val="18"/>
              </w:rPr>
              <w:t>1.266</w:t>
            </w:r>
          </w:p>
        </w:tc>
        <w:tc>
          <w:tcPr>
            <w:tcW w:w="1247" w:type="dxa"/>
            <w:tcBorders>
              <w:top w:val="nil"/>
              <w:left w:val="nil"/>
              <w:bottom w:val="nil"/>
              <w:right w:val="nil"/>
            </w:tcBorders>
            <w:vAlign w:val="bottom"/>
          </w:tcPr>
          <w:p w14:paraId="72EB7D65" w14:textId="24564081" w:rsidR="00566EA9" w:rsidRPr="001D41EA" w:rsidRDefault="00566EA9" w:rsidP="001D41EA">
            <w:pPr>
              <w:spacing w:before="40" w:after="20"/>
              <w:jc w:val="center"/>
              <w:rPr>
                <w:rFonts w:cs="Arial"/>
                <w:sz w:val="18"/>
                <w:szCs w:val="18"/>
              </w:rPr>
            </w:pPr>
            <w:r w:rsidRPr="001D41EA">
              <w:rPr>
                <w:rFonts w:cs="Arial"/>
                <w:sz w:val="18"/>
                <w:szCs w:val="18"/>
              </w:rPr>
              <w:t>1.263</w:t>
            </w:r>
          </w:p>
        </w:tc>
        <w:tc>
          <w:tcPr>
            <w:tcW w:w="170" w:type="dxa"/>
            <w:tcBorders>
              <w:top w:val="nil"/>
              <w:left w:val="nil"/>
              <w:bottom w:val="nil"/>
              <w:right w:val="nil"/>
            </w:tcBorders>
            <w:vAlign w:val="bottom"/>
          </w:tcPr>
          <w:p w14:paraId="4F3677E3" w14:textId="1BF56171"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77A22464" w14:textId="2FA7F7F4" w:rsidR="00566EA9" w:rsidRPr="001D41EA" w:rsidRDefault="00566EA9" w:rsidP="001D41EA">
            <w:pPr>
              <w:spacing w:before="40" w:after="20"/>
              <w:jc w:val="center"/>
              <w:rPr>
                <w:rFonts w:cs="Arial"/>
                <w:sz w:val="18"/>
                <w:szCs w:val="18"/>
              </w:rPr>
            </w:pPr>
            <w:r w:rsidRPr="001D41EA">
              <w:rPr>
                <w:rFonts w:cs="Arial"/>
                <w:sz w:val="18"/>
                <w:szCs w:val="18"/>
              </w:rPr>
              <w:t>1.270</w:t>
            </w:r>
          </w:p>
        </w:tc>
      </w:tr>
      <w:tr w:rsidR="00566EA9" w:rsidRPr="001D41EA" w14:paraId="4AE7D13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8B03916" w14:textId="77777777" w:rsidR="00566EA9" w:rsidRPr="001D41EA" w:rsidRDefault="00566EA9" w:rsidP="001D41EA">
            <w:pPr>
              <w:spacing w:before="40" w:after="20"/>
              <w:rPr>
                <w:rFonts w:cs="Arial"/>
                <w:sz w:val="18"/>
                <w:szCs w:val="18"/>
              </w:rPr>
            </w:pPr>
            <w:r w:rsidRPr="001D41EA">
              <w:rPr>
                <w:rFonts w:cs="Arial"/>
                <w:sz w:val="18"/>
                <w:szCs w:val="18"/>
              </w:rPr>
              <w:t>Mildura RC</w:t>
            </w:r>
          </w:p>
        </w:tc>
        <w:tc>
          <w:tcPr>
            <w:tcW w:w="1247" w:type="dxa"/>
            <w:tcBorders>
              <w:top w:val="nil"/>
              <w:left w:val="single" w:sz="18" w:space="0" w:color="5F497A" w:themeColor="accent4" w:themeShade="BF"/>
              <w:bottom w:val="nil"/>
              <w:right w:val="nil"/>
            </w:tcBorders>
            <w:shd w:val="clear" w:color="auto" w:fill="auto"/>
            <w:vAlign w:val="bottom"/>
          </w:tcPr>
          <w:p w14:paraId="3B8AC7E0" w14:textId="59E0258E" w:rsidR="00566EA9" w:rsidRPr="001D41EA" w:rsidRDefault="00566EA9" w:rsidP="001D41EA">
            <w:pPr>
              <w:spacing w:before="40" w:after="20"/>
              <w:jc w:val="center"/>
              <w:rPr>
                <w:rFonts w:cs="Arial"/>
                <w:sz w:val="18"/>
                <w:szCs w:val="18"/>
              </w:rPr>
            </w:pPr>
            <w:r w:rsidRPr="001D41EA">
              <w:rPr>
                <w:rFonts w:cs="Arial"/>
                <w:sz w:val="18"/>
                <w:szCs w:val="18"/>
              </w:rPr>
              <w:t>0.864</w:t>
            </w:r>
          </w:p>
        </w:tc>
        <w:tc>
          <w:tcPr>
            <w:tcW w:w="1247" w:type="dxa"/>
            <w:tcBorders>
              <w:top w:val="nil"/>
              <w:left w:val="nil"/>
              <w:bottom w:val="nil"/>
              <w:right w:val="nil"/>
            </w:tcBorders>
            <w:vAlign w:val="bottom"/>
          </w:tcPr>
          <w:p w14:paraId="040C214B" w14:textId="070D913B" w:rsidR="00566EA9" w:rsidRPr="001D41EA" w:rsidRDefault="00566EA9" w:rsidP="001D41EA">
            <w:pPr>
              <w:spacing w:before="40" w:after="20"/>
              <w:jc w:val="center"/>
              <w:rPr>
                <w:rFonts w:cs="Arial"/>
                <w:sz w:val="18"/>
                <w:szCs w:val="18"/>
              </w:rPr>
            </w:pPr>
            <w:r w:rsidRPr="001D41EA">
              <w:rPr>
                <w:rFonts w:cs="Arial"/>
                <w:sz w:val="18"/>
                <w:szCs w:val="18"/>
              </w:rPr>
              <w:t>0.867</w:t>
            </w:r>
          </w:p>
        </w:tc>
        <w:tc>
          <w:tcPr>
            <w:tcW w:w="1247" w:type="dxa"/>
            <w:tcBorders>
              <w:top w:val="nil"/>
              <w:left w:val="nil"/>
              <w:bottom w:val="nil"/>
              <w:right w:val="nil"/>
            </w:tcBorders>
            <w:vAlign w:val="bottom"/>
          </w:tcPr>
          <w:p w14:paraId="5622AFC5" w14:textId="2E893357" w:rsidR="00566EA9" w:rsidRPr="001D41EA" w:rsidRDefault="00566EA9" w:rsidP="001D41EA">
            <w:pPr>
              <w:spacing w:before="40" w:after="20"/>
              <w:jc w:val="center"/>
              <w:rPr>
                <w:rFonts w:cs="Arial"/>
                <w:sz w:val="18"/>
                <w:szCs w:val="18"/>
              </w:rPr>
            </w:pPr>
            <w:r w:rsidRPr="001D41EA">
              <w:rPr>
                <w:rFonts w:cs="Arial"/>
                <w:sz w:val="18"/>
                <w:szCs w:val="18"/>
              </w:rPr>
              <w:t>0.864</w:t>
            </w:r>
          </w:p>
        </w:tc>
        <w:tc>
          <w:tcPr>
            <w:tcW w:w="170" w:type="dxa"/>
            <w:tcBorders>
              <w:top w:val="nil"/>
              <w:left w:val="nil"/>
              <w:bottom w:val="nil"/>
              <w:right w:val="nil"/>
            </w:tcBorders>
            <w:vAlign w:val="bottom"/>
          </w:tcPr>
          <w:p w14:paraId="0BBDF8C7" w14:textId="60835F34"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11FDA677" w14:textId="2AE83C7D" w:rsidR="00566EA9" w:rsidRPr="001D41EA" w:rsidRDefault="00566EA9" w:rsidP="001D41EA">
            <w:pPr>
              <w:spacing w:before="40" w:after="20"/>
              <w:jc w:val="center"/>
              <w:rPr>
                <w:rFonts w:cs="Arial"/>
                <w:sz w:val="18"/>
                <w:szCs w:val="18"/>
              </w:rPr>
            </w:pPr>
            <w:r w:rsidRPr="001D41EA">
              <w:rPr>
                <w:rFonts w:cs="Arial"/>
                <w:sz w:val="18"/>
                <w:szCs w:val="18"/>
              </w:rPr>
              <w:t>1.015</w:t>
            </w:r>
          </w:p>
        </w:tc>
      </w:tr>
      <w:tr w:rsidR="00566EA9" w:rsidRPr="001D41EA" w14:paraId="0A0E046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A52D8DE" w14:textId="77777777" w:rsidR="00566EA9" w:rsidRPr="001D41EA" w:rsidRDefault="00566EA9" w:rsidP="001D41EA">
            <w:pPr>
              <w:spacing w:before="40" w:after="20"/>
              <w:rPr>
                <w:rFonts w:cs="Arial"/>
                <w:sz w:val="18"/>
                <w:szCs w:val="18"/>
              </w:rPr>
            </w:pPr>
            <w:r w:rsidRPr="001D41EA">
              <w:rPr>
                <w:rFonts w:cs="Arial"/>
                <w:sz w:val="18"/>
                <w:szCs w:val="18"/>
              </w:rPr>
              <w:t>Mitchell S</w:t>
            </w:r>
          </w:p>
        </w:tc>
        <w:tc>
          <w:tcPr>
            <w:tcW w:w="1247" w:type="dxa"/>
            <w:tcBorders>
              <w:top w:val="nil"/>
              <w:left w:val="single" w:sz="18" w:space="0" w:color="5F497A" w:themeColor="accent4" w:themeShade="BF"/>
              <w:bottom w:val="nil"/>
              <w:right w:val="nil"/>
            </w:tcBorders>
            <w:shd w:val="clear" w:color="auto" w:fill="auto"/>
            <w:vAlign w:val="bottom"/>
          </w:tcPr>
          <w:p w14:paraId="17568FF9" w14:textId="2A653EC9" w:rsidR="00566EA9" w:rsidRPr="001D41EA" w:rsidRDefault="00566EA9" w:rsidP="001D41EA">
            <w:pPr>
              <w:spacing w:before="40" w:after="20"/>
              <w:jc w:val="center"/>
              <w:rPr>
                <w:rFonts w:cs="Arial"/>
                <w:sz w:val="18"/>
                <w:szCs w:val="18"/>
              </w:rPr>
            </w:pPr>
            <w:r w:rsidRPr="001D41EA">
              <w:rPr>
                <w:rFonts w:cs="Arial"/>
                <w:sz w:val="18"/>
                <w:szCs w:val="18"/>
              </w:rPr>
              <w:t>1.099</w:t>
            </w:r>
          </w:p>
        </w:tc>
        <w:tc>
          <w:tcPr>
            <w:tcW w:w="1247" w:type="dxa"/>
            <w:tcBorders>
              <w:top w:val="nil"/>
              <w:left w:val="nil"/>
              <w:bottom w:val="nil"/>
              <w:right w:val="nil"/>
            </w:tcBorders>
            <w:vAlign w:val="bottom"/>
          </w:tcPr>
          <w:p w14:paraId="3EFC3F4C" w14:textId="0926616A" w:rsidR="00566EA9" w:rsidRPr="001D41EA" w:rsidRDefault="00566EA9" w:rsidP="001D41EA">
            <w:pPr>
              <w:spacing w:before="40" w:after="20"/>
              <w:jc w:val="center"/>
              <w:rPr>
                <w:rFonts w:cs="Arial"/>
                <w:sz w:val="18"/>
                <w:szCs w:val="18"/>
              </w:rPr>
            </w:pPr>
            <w:r w:rsidRPr="001D41EA">
              <w:rPr>
                <w:rFonts w:cs="Arial"/>
                <w:sz w:val="18"/>
                <w:szCs w:val="18"/>
              </w:rPr>
              <w:t>1.103</w:t>
            </w:r>
          </w:p>
        </w:tc>
        <w:tc>
          <w:tcPr>
            <w:tcW w:w="1247" w:type="dxa"/>
            <w:tcBorders>
              <w:top w:val="nil"/>
              <w:left w:val="nil"/>
              <w:bottom w:val="nil"/>
              <w:right w:val="nil"/>
            </w:tcBorders>
            <w:vAlign w:val="bottom"/>
          </w:tcPr>
          <w:p w14:paraId="6EDDF655" w14:textId="2073E26C" w:rsidR="00566EA9" w:rsidRPr="001D41EA" w:rsidRDefault="00566EA9" w:rsidP="001D41EA">
            <w:pPr>
              <w:spacing w:before="40" w:after="20"/>
              <w:jc w:val="center"/>
              <w:rPr>
                <w:rFonts w:cs="Arial"/>
                <w:sz w:val="18"/>
                <w:szCs w:val="18"/>
              </w:rPr>
            </w:pPr>
            <w:r w:rsidRPr="001D41EA">
              <w:rPr>
                <w:rFonts w:cs="Arial"/>
                <w:sz w:val="18"/>
                <w:szCs w:val="18"/>
              </w:rPr>
              <w:t>1.100</w:t>
            </w:r>
          </w:p>
        </w:tc>
        <w:tc>
          <w:tcPr>
            <w:tcW w:w="170" w:type="dxa"/>
            <w:tcBorders>
              <w:top w:val="nil"/>
              <w:left w:val="nil"/>
              <w:bottom w:val="nil"/>
              <w:right w:val="nil"/>
            </w:tcBorders>
            <w:vAlign w:val="bottom"/>
          </w:tcPr>
          <w:p w14:paraId="54400188" w14:textId="18C20495"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3687928D" w14:textId="66367635" w:rsidR="00566EA9" w:rsidRPr="001D41EA" w:rsidRDefault="00566EA9" w:rsidP="001D41EA">
            <w:pPr>
              <w:spacing w:before="40" w:after="20"/>
              <w:jc w:val="center"/>
              <w:rPr>
                <w:rFonts w:cs="Arial"/>
                <w:sz w:val="18"/>
                <w:szCs w:val="18"/>
              </w:rPr>
            </w:pPr>
            <w:r w:rsidRPr="001D41EA">
              <w:rPr>
                <w:rFonts w:cs="Arial"/>
                <w:sz w:val="18"/>
                <w:szCs w:val="18"/>
              </w:rPr>
              <w:t>1.084</w:t>
            </w:r>
          </w:p>
        </w:tc>
      </w:tr>
      <w:tr w:rsidR="00566EA9" w:rsidRPr="001D41EA" w14:paraId="18E3C56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6CB29A6" w14:textId="77777777" w:rsidR="00566EA9" w:rsidRPr="001D41EA" w:rsidRDefault="00566EA9" w:rsidP="001D41EA">
            <w:pPr>
              <w:spacing w:before="40" w:after="20"/>
              <w:rPr>
                <w:rFonts w:cs="Arial"/>
                <w:sz w:val="18"/>
                <w:szCs w:val="18"/>
              </w:rPr>
            </w:pPr>
            <w:r w:rsidRPr="001D41EA">
              <w:rPr>
                <w:rFonts w:cs="Arial"/>
                <w:sz w:val="18"/>
                <w:szCs w:val="18"/>
              </w:rPr>
              <w:t>Moira S</w:t>
            </w:r>
          </w:p>
        </w:tc>
        <w:tc>
          <w:tcPr>
            <w:tcW w:w="1247" w:type="dxa"/>
            <w:tcBorders>
              <w:top w:val="nil"/>
              <w:left w:val="single" w:sz="18" w:space="0" w:color="5F497A" w:themeColor="accent4" w:themeShade="BF"/>
              <w:bottom w:val="nil"/>
              <w:right w:val="nil"/>
            </w:tcBorders>
            <w:shd w:val="clear" w:color="auto" w:fill="auto"/>
            <w:vAlign w:val="bottom"/>
          </w:tcPr>
          <w:p w14:paraId="4B099D6C" w14:textId="5261C44B" w:rsidR="00566EA9" w:rsidRPr="001D41EA" w:rsidRDefault="00566EA9" w:rsidP="001D41EA">
            <w:pPr>
              <w:spacing w:before="40" w:after="20"/>
              <w:jc w:val="center"/>
              <w:rPr>
                <w:rFonts w:cs="Arial"/>
                <w:sz w:val="18"/>
                <w:szCs w:val="18"/>
              </w:rPr>
            </w:pPr>
            <w:r w:rsidRPr="001D41EA">
              <w:rPr>
                <w:rFonts w:cs="Arial"/>
                <w:sz w:val="18"/>
                <w:szCs w:val="18"/>
              </w:rPr>
              <w:t>0.834</w:t>
            </w:r>
          </w:p>
        </w:tc>
        <w:tc>
          <w:tcPr>
            <w:tcW w:w="1247" w:type="dxa"/>
            <w:tcBorders>
              <w:top w:val="nil"/>
              <w:left w:val="nil"/>
              <w:bottom w:val="nil"/>
              <w:right w:val="nil"/>
            </w:tcBorders>
            <w:vAlign w:val="bottom"/>
          </w:tcPr>
          <w:p w14:paraId="3A2BFD3A" w14:textId="0BB44073" w:rsidR="00566EA9" w:rsidRPr="001D41EA" w:rsidRDefault="00566EA9" w:rsidP="001D41EA">
            <w:pPr>
              <w:spacing w:before="40" w:after="20"/>
              <w:jc w:val="center"/>
              <w:rPr>
                <w:rFonts w:cs="Arial"/>
                <w:sz w:val="18"/>
                <w:szCs w:val="18"/>
              </w:rPr>
            </w:pPr>
            <w:r w:rsidRPr="001D41EA">
              <w:rPr>
                <w:rFonts w:cs="Arial"/>
                <w:sz w:val="18"/>
                <w:szCs w:val="18"/>
              </w:rPr>
              <w:t>0.837</w:t>
            </w:r>
          </w:p>
        </w:tc>
        <w:tc>
          <w:tcPr>
            <w:tcW w:w="1247" w:type="dxa"/>
            <w:tcBorders>
              <w:top w:val="nil"/>
              <w:left w:val="nil"/>
              <w:bottom w:val="nil"/>
              <w:right w:val="nil"/>
            </w:tcBorders>
            <w:vAlign w:val="bottom"/>
          </w:tcPr>
          <w:p w14:paraId="4AE90316" w14:textId="1D192F08" w:rsidR="00566EA9" w:rsidRPr="001D41EA" w:rsidRDefault="00566EA9" w:rsidP="001D41EA">
            <w:pPr>
              <w:spacing w:before="40" w:after="20"/>
              <w:jc w:val="center"/>
              <w:rPr>
                <w:rFonts w:cs="Arial"/>
                <w:sz w:val="18"/>
                <w:szCs w:val="18"/>
              </w:rPr>
            </w:pPr>
            <w:r w:rsidRPr="001D41EA">
              <w:rPr>
                <w:rFonts w:cs="Arial"/>
                <w:sz w:val="18"/>
                <w:szCs w:val="18"/>
              </w:rPr>
              <w:t>0.835</w:t>
            </w:r>
          </w:p>
        </w:tc>
        <w:tc>
          <w:tcPr>
            <w:tcW w:w="170" w:type="dxa"/>
            <w:tcBorders>
              <w:top w:val="nil"/>
              <w:left w:val="nil"/>
              <w:bottom w:val="nil"/>
              <w:right w:val="nil"/>
            </w:tcBorders>
            <w:vAlign w:val="bottom"/>
          </w:tcPr>
          <w:p w14:paraId="68284E70" w14:textId="6A2E02AC"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D560AA8" w14:textId="0229663E" w:rsidR="00566EA9" w:rsidRPr="001D41EA" w:rsidRDefault="00566EA9" w:rsidP="001D41EA">
            <w:pPr>
              <w:spacing w:before="40" w:after="20"/>
              <w:jc w:val="center"/>
              <w:rPr>
                <w:rFonts w:cs="Arial"/>
                <w:sz w:val="18"/>
                <w:szCs w:val="18"/>
              </w:rPr>
            </w:pPr>
            <w:r w:rsidRPr="001D41EA">
              <w:rPr>
                <w:rFonts w:cs="Arial"/>
                <w:sz w:val="18"/>
                <w:szCs w:val="18"/>
              </w:rPr>
              <w:t>0.901</w:t>
            </w:r>
          </w:p>
        </w:tc>
      </w:tr>
      <w:tr w:rsidR="00566EA9" w:rsidRPr="001D41EA" w14:paraId="25DFBB2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5197368" w14:textId="77777777" w:rsidR="00566EA9" w:rsidRPr="001D41EA" w:rsidRDefault="00566EA9" w:rsidP="001D41EA">
            <w:pPr>
              <w:spacing w:before="40" w:after="20"/>
              <w:rPr>
                <w:rFonts w:cs="Arial"/>
                <w:sz w:val="18"/>
                <w:szCs w:val="18"/>
              </w:rPr>
            </w:pPr>
            <w:r w:rsidRPr="001D41EA">
              <w:rPr>
                <w:rFonts w:cs="Arial"/>
                <w:sz w:val="18"/>
                <w:szCs w:val="18"/>
              </w:rPr>
              <w:t>Monash C</w:t>
            </w:r>
          </w:p>
        </w:tc>
        <w:tc>
          <w:tcPr>
            <w:tcW w:w="1247" w:type="dxa"/>
            <w:tcBorders>
              <w:top w:val="nil"/>
              <w:left w:val="single" w:sz="18" w:space="0" w:color="5F497A" w:themeColor="accent4" w:themeShade="BF"/>
              <w:bottom w:val="nil"/>
              <w:right w:val="nil"/>
            </w:tcBorders>
            <w:shd w:val="clear" w:color="auto" w:fill="auto"/>
            <w:vAlign w:val="bottom"/>
          </w:tcPr>
          <w:p w14:paraId="6C6D5F4E" w14:textId="0943FF44" w:rsidR="00566EA9" w:rsidRPr="001D41EA" w:rsidRDefault="00566EA9" w:rsidP="001D41EA">
            <w:pPr>
              <w:spacing w:before="40" w:after="20"/>
              <w:jc w:val="center"/>
              <w:rPr>
                <w:rFonts w:cs="Arial"/>
                <w:sz w:val="18"/>
                <w:szCs w:val="18"/>
              </w:rPr>
            </w:pPr>
            <w:r w:rsidRPr="001D41EA">
              <w:rPr>
                <w:rFonts w:cs="Arial"/>
                <w:sz w:val="18"/>
                <w:szCs w:val="18"/>
              </w:rPr>
              <w:t>0.940</w:t>
            </w:r>
          </w:p>
        </w:tc>
        <w:tc>
          <w:tcPr>
            <w:tcW w:w="1247" w:type="dxa"/>
            <w:tcBorders>
              <w:top w:val="nil"/>
              <w:left w:val="nil"/>
              <w:bottom w:val="nil"/>
              <w:right w:val="nil"/>
            </w:tcBorders>
            <w:vAlign w:val="bottom"/>
          </w:tcPr>
          <w:p w14:paraId="0E5B7D1D" w14:textId="10A483AA" w:rsidR="00566EA9" w:rsidRPr="001D41EA" w:rsidRDefault="00566EA9" w:rsidP="001D41EA">
            <w:pPr>
              <w:spacing w:before="40" w:after="20"/>
              <w:jc w:val="center"/>
              <w:rPr>
                <w:rFonts w:cs="Arial"/>
                <w:sz w:val="18"/>
                <w:szCs w:val="18"/>
              </w:rPr>
            </w:pPr>
            <w:r w:rsidRPr="001D41EA">
              <w:rPr>
                <w:rFonts w:cs="Arial"/>
                <w:sz w:val="18"/>
                <w:szCs w:val="18"/>
              </w:rPr>
              <w:t>0.943</w:t>
            </w:r>
          </w:p>
        </w:tc>
        <w:tc>
          <w:tcPr>
            <w:tcW w:w="1247" w:type="dxa"/>
            <w:tcBorders>
              <w:top w:val="nil"/>
              <w:left w:val="nil"/>
              <w:bottom w:val="nil"/>
              <w:right w:val="nil"/>
            </w:tcBorders>
            <w:vAlign w:val="bottom"/>
          </w:tcPr>
          <w:p w14:paraId="3AEE1D5C" w14:textId="125BBE75" w:rsidR="00566EA9" w:rsidRPr="001D41EA" w:rsidRDefault="00566EA9" w:rsidP="001D41EA">
            <w:pPr>
              <w:spacing w:before="40" w:after="20"/>
              <w:jc w:val="center"/>
              <w:rPr>
                <w:rFonts w:cs="Arial"/>
                <w:sz w:val="18"/>
                <w:szCs w:val="18"/>
              </w:rPr>
            </w:pPr>
            <w:r w:rsidRPr="001D41EA">
              <w:rPr>
                <w:rFonts w:cs="Arial"/>
                <w:sz w:val="18"/>
                <w:szCs w:val="18"/>
              </w:rPr>
              <w:t>0.940</w:t>
            </w:r>
          </w:p>
        </w:tc>
        <w:tc>
          <w:tcPr>
            <w:tcW w:w="170" w:type="dxa"/>
            <w:tcBorders>
              <w:top w:val="nil"/>
              <w:left w:val="nil"/>
              <w:bottom w:val="nil"/>
              <w:right w:val="nil"/>
            </w:tcBorders>
            <w:vAlign w:val="bottom"/>
          </w:tcPr>
          <w:p w14:paraId="5BE92D29" w14:textId="64A65173"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1B765676" w14:textId="5B8FA126" w:rsidR="00566EA9" w:rsidRPr="001D41EA" w:rsidRDefault="00566EA9" w:rsidP="001D41EA">
            <w:pPr>
              <w:spacing w:before="40" w:after="20"/>
              <w:jc w:val="center"/>
              <w:rPr>
                <w:rFonts w:cs="Arial"/>
                <w:sz w:val="18"/>
                <w:szCs w:val="18"/>
              </w:rPr>
            </w:pPr>
            <w:r w:rsidRPr="001D41EA">
              <w:rPr>
                <w:rFonts w:cs="Arial"/>
                <w:sz w:val="18"/>
                <w:szCs w:val="18"/>
              </w:rPr>
              <w:t>0.839</w:t>
            </w:r>
          </w:p>
        </w:tc>
      </w:tr>
      <w:tr w:rsidR="00566EA9" w:rsidRPr="001D41EA" w14:paraId="1DADE82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31C3358" w14:textId="77777777" w:rsidR="00566EA9" w:rsidRPr="001D41EA" w:rsidRDefault="00566EA9" w:rsidP="001D41EA">
            <w:pPr>
              <w:spacing w:before="40" w:after="20"/>
              <w:rPr>
                <w:rFonts w:cs="Arial"/>
                <w:sz w:val="18"/>
                <w:szCs w:val="18"/>
              </w:rPr>
            </w:pPr>
            <w:r w:rsidRPr="001D41EA">
              <w:rPr>
                <w:rFonts w:cs="Arial"/>
                <w:sz w:val="18"/>
                <w:szCs w:val="18"/>
              </w:rPr>
              <w:t>Moonee Valley C</w:t>
            </w:r>
          </w:p>
        </w:tc>
        <w:tc>
          <w:tcPr>
            <w:tcW w:w="1247" w:type="dxa"/>
            <w:tcBorders>
              <w:top w:val="nil"/>
              <w:left w:val="single" w:sz="18" w:space="0" w:color="5F497A" w:themeColor="accent4" w:themeShade="BF"/>
              <w:bottom w:val="nil"/>
              <w:right w:val="nil"/>
            </w:tcBorders>
            <w:shd w:val="clear" w:color="auto" w:fill="auto"/>
            <w:vAlign w:val="bottom"/>
          </w:tcPr>
          <w:p w14:paraId="3BEA7ED3" w14:textId="30261469" w:rsidR="00566EA9" w:rsidRPr="001D41EA" w:rsidRDefault="00566EA9" w:rsidP="001D41EA">
            <w:pPr>
              <w:spacing w:before="40" w:after="20"/>
              <w:jc w:val="center"/>
              <w:rPr>
                <w:rFonts w:cs="Arial"/>
                <w:sz w:val="18"/>
                <w:szCs w:val="18"/>
              </w:rPr>
            </w:pPr>
            <w:r w:rsidRPr="001D41EA">
              <w:rPr>
                <w:rFonts w:cs="Arial"/>
                <w:sz w:val="18"/>
                <w:szCs w:val="18"/>
              </w:rPr>
              <w:t>0.959</w:t>
            </w:r>
          </w:p>
        </w:tc>
        <w:tc>
          <w:tcPr>
            <w:tcW w:w="1247" w:type="dxa"/>
            <w:tcBorders>
              <w:top w:val="nil"/>
              <w:left w:val="nil"/>
              <w:bottom w:val="nil"/>
              <w:right w:val="nil"/>
            </w:tcBorders>
            <w:vAlign w:val="bottom"/>
          </w:tcPr>
          <w:p w14:paraId="0B2D90E3" w14:textId="3FE9BF4F" w:rsidR="00566EA9" w:rsidRPr="001D41EA" w:rsidRDefault="00566EA9" w:rsidP="001D41EA">
            <w:pPr>
              <w:spacing w:before="40" w:after="20"/>
              <w:jc w:val="center"/>
              <w:rPr>
                <w:rFonts w:cs="Arial"/>
                <w:sz w:val="18"/>
                <w:szCs w:val="18"/>
              </w:rPr>
            </w:pPr>
            <w:r w:rsidRPr="001D41EA">
              <w:rPr>
                <w:rFonts w:cs="Arial"/>
                <w:sz w:val="18"/>
                <w:szCs w:val="18"/>
              </w:rPr>
              <w:t>0.962</w:t>
            </w:r>
          </w:p>
        </w:tc>
        <w:tc>
          <w:tcPr>
            <w:tcW w:w="1247" w:type="dxa"/>
            <w:tcBorders>
              <w:top w:val="nil"/>
              <w:left w:val="nil"/>
              <w:bottom w:val="nil"/>
              <w:right w:val="nil"/>
            </w:tcBorders>
            <w:vAlign w:val="bottom"/>
          </w:tcPr>
          <w:p w14:paraId="2E1045E9" w14:textId="055D1843" w:rsidR="00566EA9" w:rsidRPr="001D41EA" w:rsidRDefault="00566EA9" w:rsidP="001D41EA">
            <w:pPr>
              <w:spacing w:before="40" w:after="20"/>
              <w:jc w:val="center"/>
              <w:rPr>
                <w:rFonts w:cs="Arial"/>
                <w:sz w:val="18"/>
                <w:szCs w:val="18"/>
              </w:rPr>
            </w:pPr>
            <w:r w:rsidRPr="001D41EA">
              <w:rPr>
                <w:rFonts w:cs="Arial"/>
                <w:sz w:val="18"/>
                <w:szCs w:val="18"/>
              </w:rPr>
              <w:t>0.959</w:t>
            </w:r>
          </w:p>
        </w:tc>
        <w:tc>
          <w:tcPr>
            <w:tcW w:w="170" w:type="dxa"/>
            <w:tcBorders>
              <w:top w:val="nil"/>
              <w:left w:val="nil"/>
              <w:bottom w:val="nil"/>
              <w:right w:val="nil"/>
            </w:tcBorders>
            <w:vAlign w:val="bottom"/>
          </w:tcPr>
          <w:p w14:paraId="4156CCA4" w14:textId="5F787EA8"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39F596FB" w14:textId="2C9FD557" w:rsidR="00566EA9" w:rsidRPr="001D41EA" w:rsidRDefault="00566EA9" w:rsidP="001D41EA">
            <w:pPr>
              <w:spacing w:before="40" w:after="20"/>
              <w:jc w:val="center"/>
              <w:rPr>
                <w:rFonts w:cs="Arial"/>
                <w:sz w:val="18"/>
                <w:szCs w:val="18"/>
              </w:rPr>
            </w:pPr>
            <w:r w:rsidRPr="001D41EA">
              <w:rPr>
                <w:rFonts w:cs="Arial"/>
                <w:sz w:val="18"/>
                <w:szCs w:val="18"/>
              </w:rPr>
              <w:t>0.926</w:t>
            </w:r>
          </w:p>
        </w:tc>
      </w:tr>
      <w:tr w:rsidR="00566EA9" w:rsidRPr="001D41EA" w14:paraId="4B11BB4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3AF4F19" w14:textId="77777777" w:rsidR="00566EA9" w:rsidRPr="001D41EA" w:rsidRDefault="00566EA9" w:rsidP="001D41EA">
            <w:pPr>
              <w:spacing w:before="40" w:after="20"/>
              <w:rPr>
                <w:rFonts w:cs="Arial"/>
                <w:sz w:val="18"/>
                <w:szCs w:val="18"/>
              </w:rPr>
            </w:pPr>
            <w:r w:rsidRPr="001D41EA">
              <w:rPr>
                <w:rFonts w:cs="Arial"/>
                <w:sz w:val="18"/>
                <w:szCs w:val="18"/>
              </w:rPr>
              <w:t>Moorabool S</w:t>
            </w:r>
          </w:p>
        </w:tc>
        <w:tc>
          <w:tcPr>
            <w:tcW w:w="1247" w:type="dxa"/>
            <w:tcBorders>
              <w:top w:val="nil"/>
              <w:left w:val="single" w:sz="18" w:space="0" w:color="5F497A" w:themeColor="accent4" w:themeShade="BF"/>
              <w:bottom w:val="nil"/>
              <w:right w:val="nil"/>
            </w:tcBorders>
            <w:shd w:val="clear" w:color="auto" w:fill="auto"/>
            <w:vAlign w:val="bottom"/>
          </w:tcPr>
          <w:p w14:paraId="677A3763" w14:textId="0AC82A13" w:rsidR="00566EA9" w:rsidRPr="001D41EA" w:rsidRDefault="00566EA9" w:rsidP="001D41EA">
            <w:pPr>
              <w:spacing w:before="40" w:after="20"/>
              <w:jc w:val="center"/>
              <w:rPr>
                <w:rFonts w:cs="Arial"/>
                <w:sz w:val="18"/>
                <w:szCs w:val="18"/>
              </w:rPr>
            </w:pPr>
            <w:r w:rsidRPr="001D41EA">
              <w:rPr>
                <w:rFonts w:cs="Arial"/>
                <w:sz w:val="18"/>
                <w:szCs w:val="18"/>
              </w:rPr>
              <w:t>0.991</w:t>
            </w:r>
          </w:p>
        </w:tc>
        <w:tc>
          <w:tcPr>
            <w:tcW w:w="1247" w:type="dxa"/>
            <w:tcBorders>
              <w:top w:val="nil"/>
              <w:left w:val="nil"/>
              <w:bottom w:val="nil"/>
              <w:right w:val="nil"/>
            </w:tcBorders>
            <w:vAlign w:val="bottom"/>
          </w:tcPr>
          <w:p w14:paraId="45B6EB39" w14:textId="3C02C89C" w:rsidR="00566EA9" w:rsidRPr="001D41EA" w:rsidRDefault="00566EA9" w:rsidP="001D41EA">
            <w:pPr>
              <w:spacing w:before="40" w:after="20"/>
              <w:jc w:val="center"/>
              <w:rPr>
                <w:rFonts w:cs="Arial"/>
                <w:sz w:val="18"/>
                <w:szCs w:val="18"/>
              </w:rPr>
            </w:pPr>
            <w:r w:rsidRPr="001D41EA">
              <w:rPr>
                <w:rFonts w:cs="Arial"/>
                <w:sz w:val="18"/>
                <w:szCs w:val="18"/>
              </w:rPr>
              <w:t>0.995</w:t>
            </w:r>
          </w:p>
        </w:tc>
        <w:tc>
          <w:tcPr>
            <w:tcW w:w="1247" w:type="dxa"/>
            <w:tcBorders>
              <w:top w:val="nil"/>
              <w:left w:val="nil"/>
              <w:bottom w:val="nil"/>
              <w:right w:val="nil"/>
            </w:tcBorders>
            <w:vAlign w:val="bottom"/>
          </w:tcPr>
          <w:p w14:paraId="56ABD1D7" w14:textId="51D6DADE" w:rsidR="00566EA9" w:rsidRPr="001D41EA" w:rsidRDefault="00566EA9" w:rsidP="001D41EA">
            <w:pPr>
              <w:spacing w:before="40" w:after="20"/>
              <w:jc w:val="center"/>
              <w:rPr>
                <w:rFonts w:cs="Arial"/>
                <w:sz w:val="18"/>
                <w:szCs w:val="18"/>
              </w:rPr>
            </w:pPr>
            <w:r w:rsidRPr="001D41EA">
              <w:rPr>
                <w:rFonts w:cs="Arial"/>
                <w:sz w:val="18"/>
                <w:szCs w:val="18"/>
              </w:rPr>
              <w:t>0.992</w:t>
            </w:r>
          </w:p>
        </w:tc>
        <w:tc>
          <w:tcPr>
            <w:tcW w:w="170" w:type="dxa"/>
            <w:tcBorders>
              <w:top w:val="nil"/>
              <w:left w:val="nil"/>
              <w:bottom w:val="nil"/>
              <w:right w:val="nil"/>
            </w:tcBorders>
            <w:vAlign w:val="bottom"/>
          </w:tcPr>
          <w:p w14:paraId="189E0F22" w14:textId="3A975A74"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02B73FA8" w14:textId="5B75EBE1" w:rsidR="00566EA9" w:rsidRPr="001D41EA" w:rsidRDefault="00566EA9" w:rsidP="001D41EA">
            <w:pPr>
              <w:spacing w:before="40" w:after="20"/>
              <w:jc w:val="center"/>
              <w:rPr>
                <w:rFonts w:cs="Arial"/>
                <w:sz w:val="18"/>
                <w:szCs w:val="18"/>
              </w:rPr>
            </w:pPr>
            <w:r w:rsidRPr="001D41EA">
              <w:rPr>
                <w:rFonts w:cs="Arial"/>
                <w:sz w:val="18"/>
                <w:szCs w:val="18"/>
              </w:rPr>
              <w:t>1.030</w:t>
            </w:r>
          </w:p>
        </w:tc>
      </w:tr>
      <w:tr w:rsidR="00566EA9" w:rsidRPr="001D41EA" w14:paraId="685B88A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249F221" w14:textId="77777777" w:rsidR="00566EA9" w:rsidRPr="001D41EA" w:rsidRDefault="00566EA9" w:rsidP="001D41EA">
            <w:pPr>
              <w:spacing w:before="40" w:after="20"/>
              <w:rPr>
                <w:rFonts w:cs="Arial"/>
                <w:sz w:val="18"/>
                <w:szCs w:val="18"/>
              </w:rPr>
            </w:pPr>
            <w:r w:rsidRPr="001D41EA">
              <w:rPr>
                <w:rFonts w:cs="Arial"/>
                <w:sz w:val="18"/>
                <w:szCs w:val="18"/>
              </w:rPr>
              <w:t>Moreland C</w:t>
            </w:r>
          </w:p>
        </w:tc>
        <w:tc>
          <w:tcPr>
            <w:tcW w:w="1247" w:type="dxa"/>
            <w:tcBorders>
              <w:top w:val="nil"/>
              <w:left w:val="single" w:sz="18" w:space="0" w:color="5F497A" w:themeColor="accent4" w:themeShade="BF"/>
              <w:bottom w:val="nil"/>
              <w:right w:val="nil"/>
            </w:tcBorders>
            <w:shd w:val="clear" w:color="auto" w:fill="auto"/>
            <w:vAlign w:val="bottom"/>
          </w:tcPr>
          <w:p w14:paraId="69DA9EF9" w14:textId="55E70B7A" w:rsidR="00566EA9" w:rsidRPr="001D41EA" w:rsidRDefault="00566EA9" w:rsidP="001D41EA">
            <w:pPr>
              <w:spacing w:before="40" w:after="20"/>
              <w:jc w:val="center"/>
              <w:rPr>
                <w:rFonts w:cs="Arial"/>
                <w:sz w:val="18"/>
                <w:szCs w:val="18"/>
              </w:rPr>
            </w:pPr>
            <w:r w:rsidRPr="001D41EA">
              <w:rPr>
                <w:rFonts w:cs="Arial"/>
                <w:sz w:val="18"/>
                <w:szCs w:val="18"/>
              </w:rPr>
              <w:t>1.008</w:t>
            </w:r>
          </w:p>
        </w:tc>
        <w:tc>
          <w:tcPr>
            <w:tcW w:w="1247" w:type="dxa"/>
            <w:tcBorders>
              <w:top w:val="nil"/>
              <w:left w:val="nil"/>
              <w:bottom w:val="nil"/>
              <w:right w:val="nil"/>
            </w:tcBorders>
            <w:vAlign w:val="bottom"/>
          </w:tcPr>
          <w:p w14:paraId="392AC292" w14:textId="1BB02103" w:rsidR="00566EA9" w:rsidRPr="001D41EA" w:rsidRDefault="00566EA9" w:rsidP="001D41EA">
            <w:pPr>
              <w:spacing w:before="40" w:after="20"/>
              <w:jc w:val="center"/>
              <w:rPr>
                <w:rFonts w:cs="Arial"/>
                <w:sz w:val="18"/>
                <w:szCs w:val="18"/>
              </w:rPr>
            </w:pPr>
            <w:r w:rsidRPr="001D41EA">
              <w:rPr>
                <w:rFonts w:cs="Arial"/>
                <w:sz w:val="18"/>
                <w:szCs w:val="18"/>
              </w:rPr>
              <w:t>1.012</w:t>
            </w:r>
          </w:p>
        </w:tc>
        <w:tc>
          <w:tcPr>
            <w:tcW w:w="1247" w:type="dxa"/>
            <w:tcBorders>
              <w:top w:val="nil"/>
              <w:left w:val="nil"/>
              <w:bottom w:val="nil"/>
              <w:right w:val="nil"/>
            </w:tcBorders>
            <w:vAlign w:val="bottom"/>
          </w:tcPr>
          <w:p w14:paraId="03119F23" w14:textId="4EEF33D3" w:rsidR="00566EA9" w:rsidRPr="001D41EA" w:rsidRDefault="00566EA9" w:rsidP="001D41EA">
            <w:pPr>
              <w:spacing w:before="40" w:after="20"/>
              <w:jc w:val="center"/>
              <w:rPr>
                <w:rFonts w:cs="Arial"/>
                <w:sz w:val="18"/>
                <w:szCs w:val="18"/>
              </w:rPr>
            </w:pPr>
            <w:r w:rsidRPr="001D41EA">
              <w:rPr>
                <w:rFonts w:cs="Arial"/>
                <w:sz w:val="18"/>
                <w:szCs w:val="18"/>
              </w:rPr>
              <w:t>1.009</w:t>
            </w:r>
          </w:p>
        </w:tc>
        <w:tc>
          <w:tcPr>
            <w:tcW w:w="170" w:type="dxa"/>
            <w:tcBorders>
              <w:top w:val="nil"/>
              <w:left w:val="nil"/>
              <w:bottom w:val="nil"/>
              <w:right w:val="nil"/>
            </w:tcBorders>
            <w:vAlign w:val="bottom"/>
          </w:tcPr>
          <w:p w14:paraId="5612C2AD" w14:textId="49A40749"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28C35333" w14:textId="34B848FF" w:rsidR="00566EA9" w:rsidRPr="001D41EA" w:rsidRDefault="00566EA9" w:rsidP="001D41EA">
            <w:pPr>
              <w:spacing w:before="40" w:after="20"/>
              <w:jc w:val="center"/>
              <w:rPr>
                <w:rFonts w:cs="Arial"/>
                <w:sz w:val="18"/>
                <w:szCs w:val="18"/>
              </w:rPr>
            </w:pPr>
            <w:r w:rsidRPr="001D41EA">
              <w:rPr>
                <w:rFonts w:cs="Arial"/>
                <w:sz w:val="18"/>
                <w:szCs w:val="18"/>
              </w:rPr>
              <w:t>0.988</w:t>
            </w:r>
          </w:p>
        </w:tc>
      </w:tr>
      <w:tr w:rsidR="00566EA9" w:rsidRPr="001D41EA" w14:paraId="00ED135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A96EA5B" w14:textId="77777777" w:rsidR="00566EA9" w:rsidRPr="001D41EA" w:rsidRDefault="00566EA9" w:rsidP="001D41EA">
            <w:pPr>
              <w:spacing w:before="40" w:after="20"/>
              <w:rPr>
                <w:rFonts w:cs="Arial"/>
                <w:sz w:val="18"/>
                <w:szCs w:val="18"/>
              </w:rPr>
            </w:pPr>
            <w:r w:rsidRPr="001D41EA">
              <w:rPr>
                <w:rFonts w:cs="Arial"/>
                <w:sz w:val="18"/>
                <w:szCs w:val="18"/>
              </w:rPr>
              <w:t>Mornington Peninsula S</w:t>
            </w:r>
          </w:p>
        </w:tc>
        <w:tc>
          <w:tcPr>
            <w:tcW w:w="1247" w:type="dxa"/>
            <w:tcBorders>
              <w:top w:val="nil"/>
              <w:left w:val="single" w:sz="18" w:space="0" w:color="5F497A" w:themeColor="accent4" w:themeShade="BF"/>
              <w:bottom w:val="nil"/>
              <w:right w:val="nil"/>
            </w:tcBorders>
            <w:shd w:val="clear" w:color="auto" w:fill="auto"/>
            <w:vAlign w:val="bottom"/>
          </w:tcPr>
          <w:p w14:paraId="2AA95D8E" w14:textId="1CD5316F" w:rsidR="00566EA9" w:rsidRPr="001D41EA" w:rsidRDefault="00566EA9" w:rsidP="001D41EA">
            <w:pPr>
              <w:spacing w:before="40" w:after="20"/>
              <w:jc w:val="center"/>
              <w:rPr>
                <w:rFonts w:cs="Arial"/>
                <w:sz w:val="18"/>
                <w:szCs w:val="18"/>
              </w:rPr>
            </w:pPr>
            <w:r w:rsidRPr="001D41EA">
              <w:rPr>
                <w:rFonts w:cs="Arial"/>
                <w:sz w:val="18"/>
                <w:szCs w:val="18"/>
              </w:rPr>
              <w:t>0.933</w:t>
            </w:r>
          </w:p>
        </w:tc>
        <w:tc>
          <w:tcPr>
            <w:tcW w:w="1247" w:type="dxa"/>
            <w:tcBorders>
              <w:top w:val="nil"/>
              <w:left w:val="nil"/>
              <w:bottom w:val="nil"/>
              <w:right w:val="nil"/>
            </w:tcBorders>
            <w:vAlign w:val="bottom"/>
          </w:tcPr>
          <w:p w14:paraId="4EE13CAC" w14:textId="39D63E26" w:rsidR="00566EA9" w:rsidRPr="001D41EA" w:rsidRDefault="00566EA9" w:rsidP="001D41EA">
            <w:pPr>
              <w:spacing w:before="40" w:after="20"/>
              <w:jc w:val="center"/>
              <w:rPr>
                <w:rFonts w:cs="Arial"/>
                <w:sz w:val="18"/>
                <w:szCs w:val="18"/>
              </w:rPr>
            </w:pPr>
            <w:r w:rsidRPr="001D41EA">
              <w:rPr>
                <w:rFonts w:cs="Arial"/>
                <w:sz w:val="18"/>
                <w:szCs w:val="18"/>
              </w:rPr>
              <w:t>0.936</w:t>
            </w:r>
          </w:p>
        </w:tc>
        <w:tc>
          <w:tcPr>
            <w:tcW w:w="1247" w:type="dxa"/>
            <w:tcBorders>
              <w:top w:val="nil"/>
              <w:left w:val="nil"/>
              <w:bottom w:val="nil"/>
              <w:right w:val="nil"/>
            </w:tcBorders>
            <w:vAlign w:val="bottom"/>
          </w:tcPr>
          <w:p w14:paraId="3E76E8C7" w14:textId="6B1B14F0" w:rsidR="00566EA9" w:rsidRPr="001D41EA" w:rsidRDefault="00566EA9" w:rsidP="001D41EA">
            <w:pPr>
              <w:spacing w:before="40" w:after="20"/>
              <w:jc w:val="center"/>
              <w:rPr>
                <w:rFonts w:cs="Arial"/>
                <w:sz w:val="18"/>
                <w:szCs w:val="18"/>
              </w:rPr>
            </w:pPr>
            <w:r w:rsidRPr="001D41EA">
              <w:rPr>
                <w:rFonts w:cs="Arial"/>
                <w:sz w:val="18"/>
                <w:szCs w:val="18"/>
              </w:rPr>
              <w:t>0.934</w:t>
            </w:r>
          </w:p>
        </w:tc>
        <w:tc>
          <w:tcPr>
            <w:tcW w:w="170" w:type="dxa"/>
            <w:tcBorders>
              <w:top w:val="nil"/>
              <w:left w:val="nil"/>
              <w:bottom w:val="nil"/>
              <w:right w:val="nil"/>
            </w:tcBorders>
            <w:vAlign w:val="bottom"/>
          </w:tcPr>
          <w:p w14:paraId="72CCEC1D" w14:textId="08FF32ED"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3A8AFBDD" w14:textId="41516BC4" w:rsidR="00566EA9" w:rsidRPr="001D41EA" w:rsidRDefault="00566EA9" w:rsidP="001D41EA">
            <w:pPr>
              <w:spacing w:before="40" w:after="20"/>
              <w:jc w:val="center"/>
              <w:rPr>
                <w:rFonts w:cs="Arial"/>
                <w:sz w:val="18"/>
                <w:szCs w:val="18"/>
              </w:rPr>
            </w:pPr>
            <w:r w:rsidRPr="001D41EA">
              <w:rPr>
                <w:rFonts w:cs="Arial"/>
                <w:sz w:val="18"/>
                <w:szCs w:val="18"/>
              </w:rPr>
              <w:t>0.873</w:t>
            </w:r>
          </w:p>
        </w:tc>
      </w:tr>
      <w:tr w:rsidR="00566EA9" w:rsidRPr="001D41EA" w14:paraId="5C24539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20BEA71" w14:textId="77777777" w:rsidR="00566EA9" w:rsidRPr="001D41EA" w:rsidRDefault="00566EA9" w:rsidP="001D41EA">
            <w:pPr>
              <w:spacing w:before="40" w:after="20"/>
              <w:rPr>
                <w:rFonts w:cs="Arial"/>
                <w:sz w:val="18"/>
                <w:szCs w:val="18"/>
              </w:rPr>
            </w:pPr>
            <w:r w:rsidRPr="001D41EA">
              <w:rPr>
                <w:rFonts w:cs="Arial"/>
                <w:sz w:val="18"/>
                <w:szCs w:val="18"/>
              </w:rPr>
              <w:t>Mount Alexander S</w:t>
            </w:r>
          </w:p>
        </w:tc>
        <w:tc>
          <w:tcPr>
            <w:tcW w:w="1247" w:type="dxa"/>
            <w:tcBorders>
              <w:top w:val="nil"/>
              <w:left w:val="single" w:sz="18" w:space="0" w:color="5F497A" w:themeColor="accent4" w:themeShade="BF"/>
              <w:bottom w:val="nil"/>
              <w:right w:val="nil"/>
            </w:tcBorders>
            <w:shd w:val="clear" w:color="auto" w:fill="auto"/>
            <w:vAlign w:val="bottom"/>
          </w:tcPr>
          <w:p w14:paraId="3E2DB1DE" w14:textId="6BA0047C" w:rsidR="00566EA9" w:rsidRPr="001D41EA" w:rsidRDefault="00566EA9" w:rsidP="001D41EA">
            <w:pPr>
              <w:spacing w:before="40" w:after="20"/>
              <w:jc w:val="center"/>
              <w:rPr>
                <w:rFonts w:cs="Arial"/>
                <w:sz w:val="18"/>
                <w:szCs w:val="18"/>
              </w:rPr>
            </w:pPr>
            <w:r w:rsidRPr="001D41EA">
              <w:rPr>
                <w:rFonts w:cs="Arial"/>
                <w:sz w:val="18"/>
                <w:szCs w:val="18"/>
              </w:rPr>
              <w:t>0.934</w:t>
            </w:r>
          </w:p>
        </w:tc>
        <w:tc>
          <w:tcPr>
            <w:tcW w:w="1247" w:type="dxa"/>
            <w:tcBorders>
              <w:top w:val="nil"/>
              <w:left w:val="nil"/>
              <w:bottom w:val="nil"/>
              <w:right w:val="nil"/>
            </w:tcBorders>
            <w:vAlign w:val="bottom"/>
          </w:tcPr>
          <w:p w14:paraId="2E171412" w14:textId="74D8F16B" w:rsidR="00566EA9" w:rsidRPr="001D41EA" w:rsidRDefault="00566EA9" w:rsidP="001D41EA">
            <w:pPr>
              <w:spacing w:before="40" w:after="20"/>
              <w:jc w:val="center"/>
              <w:rPr>
                <w:rFonts w:cs="Arial"/>
                <w:sz w:val="18"/>
                <w:szCs w:val="18"/>
              </w:rPr>
            </w:pPr>
            <w:r w:rsidRPr="001D41EA">
              <w:rPr>
                <w:rFonts w:cs="Arial"/>
                <w:sz w:val="18"/>
                <w:szCs w:val="18"/>
              </w:rPr>
              <w:t>0.937</w:t>
            </w:r>
          </w:p>
        </w:tc>
        <w:tc>
          <w:tcPr>
            <w:tcW w:w="1247" w:type="dxa"/>
            <w:tcBorders>
              <w:top w:val="nil"/>
              <w:left w:val="nil"/>
              <w:bottom w:val="nil"/>
              <w:right w:val="nil"/>
            </w:tcBorders>
            <w:vAlign w:val="bottom"/>
          </w:tcPr>
          <w:p w14:paraId="7A0D5531" w14:textId="41B2971F" w:rsidR="00566EA9" w:rsidRPr="001D41EA" w:rsidRDefault="00566EA9" w:rsidP="001D41EA">
            <w:pPr>
              <w:spacing w:before="40" w:after="20"/>
              <w:jc w:val="center"/>
              <w:rPr>
                <w:rFonts w:cs="Arial"/>
                <w:sz w:val="18"/>
                <w:szCs w:val="18"/>
              </w:rPr>
            </w:pPr>
            <w:r w:rsidRPr="001D41EA">
              <w:rPr>
                <w:rFonts w:cs="Arial"/>
                <w:sz w:val="18"/>
                <w:szCs w:val="18"/>
              </w:rPr>
              <w:t>0.934</w:t>
            </w:r>
          </w:p>
        </w:tc>
        <w:tc>
          <w:tcPr>
            <w:tcW w:w="170" w:type="dxa"/>
            <w:tcBorders>
              <w:top w:val="nil"/>
              <w:left w:val="nil"/>
              <w:bottom w:val="nil"/>
              <w:right w:val="nil"/>
            </w:tcBorders>
            <w:vAlign w:val="bottom"/>
          </w:tcPr>
          <w:p w14:paraId="6C8A4284" w14:textId="7B5C66D6"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0F26BCC4" w14:textId="22E21322" w:rsidR="00566EA9" w:rsidRPr="001D41EA" w:rsidRDefault="00566EA9" w:rsidP="001D41EA">
            <w:pPr>
              <w:spacing w:before="40" w:after="20"/>
              <w:jc w:val="center"/>
              <w:rPr>
                <w:rFonts w:cs="Arial"/>
                <w:sz w:val="18"/>
                <w:szCs w:val="18"/>
              </w:rPr>
            </w:pPr>
            <w:r w:rsidRPr="001D41EA">
              <w:rPr>
                <w:rFonts w:cs="Arial"/>
                <w:sz w:val="18"/>
                <w:szCs w:val="18"/>
              </w:rPr>
              <w:t>0.775</w:t>
            </w:r>
          </w:p>
        </w:tc>
      </w:tr>
      <w:tr w:rsidR="00566EA9" w:rsidRPr="001D41EA" w14:paraId="6C00E09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8A79E05" w14:textId="77777777" w:rsidR="00566EA9" w:rsidRPr="001D41EA" w:rsidRDefault="00566EA9" w:rsidP="001D41EA">
            <w:pPr>
              <w:spacing w:before="40" w:after="20"/>
              <w:rPr>
                <w:rFonts w:cs="Arial"/>
                <w:sz w:val="18"/>
                <w:szCs w:val="18"/>
              </w:rPr>
            </w:pPr>
            <w:r w:rsidRPr="001D41EA">
              <w:rPr>
                <w:rFonts w:cs="Arial"/>
                <w:sz w:val="18"/>
                <w:szCs w:val="18"/>
              </w:rPr>
              <w:t>Moyne S</w:t>
            </w:r>
          </w:p>
        </w:tc>
        <w:tc>
          <w:tcPr>
            <w:tcW w:w="1247" w:type="dxa"/>
            <w:tcBorders>
              <w:top w:val="nil"/>
              <w:left w:val="single" w:sz="18" w:space="0" w:color="5F497A" w:themeColor="accent4" w:themeShade="BF"/>
              <w:bottom w:val="nil"/>
              <w:right w:val="nil"/>
            </w:tcBorders>
            <w:shd w:val="clear" w:color="auto" w:fill="auto"/>
            <w:vAlign w:val="bottom"/>
          </w:tcPr>
          <w:p w14:paraId="516621AC" w14:textId="5604CEB3" w:rsidR="00566EA9" w:rsidRPr="001D41EA" w:rsidRDefault="00566EA9" w:rsidP="001D41EA">
            <w:pPr>
              <w:spacing w:before="40" w:after="20"/>
              <w:jc w:val="center"/>
              <w:rPr>
                <w:rFonts w:cs="Arial"/>
                <w:sz w:val="18"/>
                <w:szCs w:val="18"/>
              </w:rPr>
            </w:pPr>
            <w:r w:rsidRPr="001D41EA">
              <w:rPr>
                <w:rFonts w:cs="Arial"/>
                <w:sz w:val="18"/>
                <w:szCs w:val="18"/>
              </w:rPr>
              <w:t>0.834</w:t>
            </w:r>
          </w:p>
        </w:tc>
        <w:tc>
          <w:tcPr>
            <w:tcW w:w="1247" w:type="dxa"/>
            <w:tcBorders>
              <w:top w:val="nil"/>
              <w:left w:val="nil"/>
              <w:bottom w:val="nil"/>
              <w:right w:val="nil"/>
            </w:tcBorders>
            <w:vAlign w:val="bottom"/>
          </w:tcPr>
          <w:p w14:paraId="61584E58" w14:textId="117A9095" w:rsidR="00566EA9" w:rsidRPr="001D41EA" w:rsidRDefault="00566EA9" w:rsidP="001D41EA">
            <w:pPr>
              <w:spacing w:before="40" w:after="20"/>
              <w:jc w:val="center"/>
              <w:rPr>
                <w:rFonts w:cs="Arial"/>
                <w:sz w:val="18"/>
                <w:szCs w:val="18"/>
              </w:rPr>
            </w:pPr>
            <w:r w:rsidRPr="001D41EA">
              <w:rPr>
                <w:rFonts w:cs="Arial"/>
                <w:sz w:val="18"/>
                <w:szCs w:val="18"/>
              </w:rPr>
              <w:t>0.837</w:t>
            </w:r>
          </w:p>
        </w:tc>
        <w:tc>
          <w:tcPr>
            <w:tcW w:w="1247" w:type="dxa"/>
            <w:tcBorders>
              <w:top w:val="nil"/>
              <w:left w:val="nil"/>
              <w:bottom w:val="nil"/>
              <w:right w:val="nil"/>
            </w:tcBorders>
            <w:vAlign w:val="bottom"/>
          </w:tcPr>
          <w:p w14:paraId="5626A710" w14:textId="260958A8" w:rsidR="00566EA9" w:rsidRPr="001D41EA" w:rsidRDefault="00566EA9" w:rsidP="001D41EA">
            <w:pPr>
              <w:spacing w:before="40" w:after="20"/>
              <w:jc w:val="center"/>
              <w:rPr>
                <w:rFonts w:cs="Arial"/>
                <w:sz w:val="18"/>
                <w:szCs w:val="18"/>
              </w:rPr>
            </w:pPr>
            <w:r w:rsidRPr="001D41EA">
              <w:rPr>
                <w:rFonts w:cs="Arial"/>
                <w:sz w:val="18"/>
                <w:szCs w:val="18"/>
              </w:rPr>
              <w:t>0.835</w:t>
            </w:r>
          </w:p>
        </w:tc>
        <w:tc>
          <w:tcPr>
            <w:tcW w:w="170" w:type="dxa"/>
            <w:tcBorders>
              <w:top w:val="nil"/>
              <w:left w:val="nil"/>
              <w:bottom w:val="nil"/>
              <w:right w:val="nil"/>
            </w:tcBorders>
            <w:vAlign w:val="bottom"/>
          </w:tcPr>
          <w:p w14:paraId="23E3FA04" w14:textId="4F9AE52B"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7BFB1FD3" w14:textId="04568F0C" w:rsidR="00566EA9" w:rsidRPr="001D41EA" w:rsidRDefault="00566EA9" w:rsidP="001D41EA">
            <w:pPr>
              <w:spacing w:before="40" w:after="20"/>
              <w:jc w:val="center"/>
              <w:rPr>
                <w:rFonts w:cs="Arial"/>
                <w:sz w:val="18"/>
                <w:szCs w:val="18"/>
              </w:rPr>
            </w:pPr>
            <w:r w:rsidRPr="001D41EA">
              <w:rPr>
                <w:rFonts w:cs="Arial"/>
                <w:sz w:val="18"/>
                <w:szCs w:val="18"/>
              </w:rPr>
              <w:t>0.955</w:t>
            </w:r>
          </w:p>
        </w:tc>
      </w:tr>
      <w:tr w:rsidR="00566EA9" w:rsidRPr="001D41EA" w14:paraId="388AF16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8B48293" w14:textId="77777777" w:rsidR="00566EA9" w:rsidRPr="001D41EA" w:rsidRDefault="00566EA9" w:rsidP="001D41EA">
            <w:pPr>
              <w:spacing w:before="40" w:after="20"/>
              <w:rPr>
                <w:rFonts w:cs="Arial"/>
                <w:sz w:val="18"/>
                <w:szCs w:val="18"/>
              </w:rPr>
            </w:pPr>
            <w:r w:rsidRPr="001D41EA">
              <w:rPr>
                <w:rFonts w:cs="Arial"/>
                <w:sz w:val="18"/>
                <w:szCs w:val="18"/>
              </w:rPr>
              <w:t>Murrindindi S</w:t>
            </w:r>
          </w:p>
        </w:tc>
        <w:tc>
          <w:tcPr>
            <w:tcW w:w="1247" w:type="dxa"/>
            <w:tcBorders>
              <w:top w:val="nil"/>
              <w:left w:val="single" w:sz="18" w:space="0" w:color="5F497A" w:themeColor="accent4" w:themeShade="BF"/>
              <w:bottom w:val="nil"/>
              <w:right w:val="nil"/>
            </w:tcBorders>
            <w:shd w:val="clear" w:color="auto" w:fill="auto"/>
            <w:vAlign w:val="bottom"/>
          </w:tcPr>
          <w:p w14:paraId="40024880" w14:textId="07BA6C78" w:rsidR="00566EA9" w:rsidRPr="001D41EA" w:rsidRDefault="00566EA9" w:rsidP="001D41EA">
            <w:pPr>
              <w:spacing w:before="40" w:after="20"/>
              <w:jc w:val="center"/>
              <w:rPr>
                <w:rFonts w:cs="Arial"/>
                <w:sz w:val="18"/>
                <w:szCs w:val="18"/>
              </w:rPr>
            </w:pPr>
            <w:r w:rsidRPr="001D41EA">
              <w:rPr>
                <w:rFonts w:cs="Arial"/>
                <w:sz w:val="18"/>
                <w:szCs w:val="18"/>
              </w:rPr>
              <w:t>0.904</w:t>
            </w:r>
          </w:p>
        </w:tc>
        <w:tc>
          <w:tcPr>
            <w:tcW w:w="1247" w:type="dxa"/>
            <w:tcBorders>
              <w:top w:val="nil"/>
              <w:left w:val="nil"/>
              <w:bottom w:val="nil"/>
              <w:right w:val="nil"/>
            </w:tcBorders>
            <w:vAlign w:val="bottom"/>
          </w:tcPr>
          <w:p w14:paraId="254F3DF0" w14:textId="15DFF869" w:rsidR="00566EA9" w:rsidRPr="001D41EA" w:rsidRDefault="00566EA9" w:rsidP="001D41EA">
            <w:pPr>
              <w:spacing w:before="40" w:after="20"/>
              <w:jc w:val="center"/>
              <w:rPr>
                <w:rFonts w:cs="Arial"/>
                <w:sz w:val="18"/>
                <w:szCs w:val="18"/>
              </w:rPr>
            </w:pPr>
            <w:r w:rsidRPr="001D41EA">
              <w:rPr>
                <w:rFonts w:cs="Arial"/>
                <w:sz w:val="18"/>
                <w:szCs w:val="18"/>
              </w:rPr>
              <w:t>0.907</w:t>
            </w:r>
          </w:p>
        </w:tc>
        <w:tc>
          <w:tcPr>
            <w:tcW w:w="1247" w:type="dxa"/>
            <w:tcBorders>
              <w:top w:val="nil"/>
              <w:left w:val="nil"/>
              <w:bottom w:val="nil"/>
              <w:right w:val="nil"/>
            </w:tcBorders>
            <w:vAlign w:val="bottom"/>
          </w:tcPr>
          <w:p w14:paraId="32A41D29" w14:textId="4C498C31" w:rsidR="00566EA9" w:rsidRPr="001D41EA" w:rsidRDefault="00566EA9" w:rsidP="001D41EA">
            <w:pPr>
              <w:spacing w:before="40" w:after="20"/>
              <w:jc w:val="center"/>
              <w:rPr>
                <w:rFonts w:cs="Arial"/>
                <w:sz w:val="18"/>
                <w:szCs w:val="18"/>
              </w:rPr>
            </w:pPr>
            <w:r w:rsidRPr="001D41EA">
              <w:rPr>
                <w:rFonts w:cs="Arial"/>
                <w:sz w:val="18"/>
                <w:szCs w:val="18"/>
              </w:rPr>
              <w:t>0.905</w:t>
            </w:r>
          </w:p>
        </w:tc>
        <w:tc>
          <w:tcPr>
            <w:tcW w:w="170" w:type="dxa"/>
            <w:tcBorders>
              <w:top w:val="nil"/>
              <w:left w:val="nil"/>
              <w:bottom w:val="nil"/>
              <w:right w:val="nil"/>
            </w:tcBorders>
            <w:vAlign w:val="bottom"/>
          </w:tcPr>
          <w:p w14:paraId="5CFF6C62" w14:textId="3C94088C"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4DEDD82C" w14:textId="1618A70C" w:rsidR="00566EA9" w:rsidRPr="001D41EA" w:rsidRDefault="00566EA9" w:rsidP="001D41EA">
            <w:pPr>
              <w:spacing w:before="40" w:after="20"/>
              <w:jc w:val="center"/>
              <w:rPr>
                <w:rFonts w:cs="Arial"/>
                <w:sz w:val="18"/>
                <w:szCs w:val="18"/>
              </w:rPr>
            </w:pPr>
            <w:r w:rsidRPr="001D41EA">
              <w:rPr>
                <w:rFonts w:cs="Arial"/>
                <w:sz w:val="18"/>
                <w:szCs w:val="18"/>
              </w:rPr>
              <w:t>0.797</w:t>
            </w:r>
          </w:p>
        </w:tc>
      </w:tr>
      <w:tr w:rsidR="00566EA9" w:rsidRPr="001D41EA" w14:paraId="3D2E1D7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55B6843" w14:textId="77777777" w:rsidR="00566EA9" w:rsidRPr="001D41EA" w:rsidRDefault="00566EA9" w:rsidP="001D41EA">
            <w:pPr>
              <w:spacing w:before="40" w:after="20"/>
              <w:rPr>
                <w:rFonts w:cs="Arial"/>
                <w:sz w:val="18"/>
                <w:szCs w:val="18"/>
              </w:rPr>
            </w:pPr>
            <w:r w:rsidRPr="001D41EA">
              <w:rPr>
                <w:rFonts w:cs="Arial"/>
                <w:sz w:val="18"/>
                <w:szCs w:val="18"/>
              </w:rPr>
              <w:t>Nillumbik S</w:t>
            </w:r>
          </w:p>
        </w:tc>
        <w:tc>
          <w:tcPr>
            <w:tcW w:w="1247" w:type="dxa"/>
            <w:tcBorders>
              <w:top w:val="nil"/>
              <w:left w:val="single" w:sz="18" w:space="0" w:color="5F497A" w:themeColor="accent4" w:themeShade="BF"/>
              <w:bottom w:val="nil"/>
              <w:right w:val="nil"/>
            </w:tcBorders>
            <w:shd w:val="clear" w:color="auto" w:fill="auto"/>
            <w:vAlign w:val="bottom"/>
          </w:tcPr>
          <w:p w14:paraId="5EBBB17F" w14:textId="4ACD3613" w:rsidR="00566EA9" w:rsidRPr="001D41EA" w:rsidRDefault="00566EA9" w:rsidP="001D41EA">
            <w:pPr>
              <w:spacing w:before="40" w:after="20"/>
              <w:jc w:val="center"/>
              <w:rPr>
                <w:rFonts w:cs="Arial"/>
                <w:sz w:val="18"/>
                <w:szCs w:val="18"/>
              </w:rPr>
            </w:pPr>
            <w:r w:rsidRPr="001D41EA">
              <w:rPr>
                <w:rFonts w:cs="Arial"/>
                <w:sz w:val="18"/>
                <w:szCs w:val="18"/>
              </w:rPr>
              <w:t>0.833</w:t>
            </w:r>
          </w:p>
        </w:tc>
        <w:tc>
          <w:tcPr>
            <w:tcW w:w="1247" w:type="dxa"/>
            <w:tcBorders>
              <w:top w:val="nil"/>
              <w:left w:val="nil"/>
              <w:bottom w:val="nil"/>
              <w:right w:val="nil"/>
            </w:tcBorders>
            <w:vAlign w:val="bottom"/>
          </w:tcPr>
          <w:p w14:paraId="07D37E72" w14:textId="3DA05204" w:rsidR="00566EA9" w:rsidRPr="001D41EA" w:rsidRDefault="00566EA9" w:rsidP="001D41EA">
            <w:pPr>
              <w:spacing w:before="40" w:after="20"/>
              <w:jc w:val="center"/>
              <w:rPr>
                <w:rFonts w:cs="Arial"/>
                <w:sz w:val="18"/>
                <w:szCs w:val="18"/>
              </w:rPr>
            </w:pPr>
            <w:r w:rsidRPr="001D41EA">
              <w:rPr>
                <w:rFonts w:cs="Arial"/>
                <w:sz w:val="18"/>
                <w:szCs w:val="18"/>
              </w:rPr>
              <w:t>0.836</w:t>
            </w:r>
          </w:p>
        </w:tc>
        <w:tc>
          <w:tcPr>
            <w:tcW w:w="1247" w:type="dxa"/>
            <w:tcBorders>
              <w:top w:val="nil"/>
              <w:left w:val="nil"/>
              <w:bottom w:val="nil"/>
              <w:right w:val="nil"/>
            </w:tcBorders>
            <w:vAlign w:val="bottom"/>
          </w:tcPr>
          <w:p w14:paraId="61954933" w14:textId="4A77387F" w:rsidR="00566EA9" w:rsidRPr="001D41EA" w:rsidRDefault="00566EA9" w:rsidP="001D41EA">
            <w:pPr>
              <w:spacing w:before="40" w:after="20"/>
              <w:jc w:val="center"/>
              <w:rPr>
                <w:rFonts w:cs="Arial"/>
                <w:sz w:val="18"/>
                <w:szCs w:val="18"/>
              </w:rPr>
            </w:pPr>
            <w:r w:rsidRPr="001D41EA">
              <w:rPr>
                <w:rFonts w:cs="Arial"/>
                <w:sz w:val="18"/>
                <w:szCs w:val="18"/>
              </w:rPr>
              <w:t>0.834</w:t>
            </w:r>
          </w:p>
        </w:tc>
        <w:tc>
          <w:tcPr>
            <w:tcW w:w="170" w:type="dxa"/>
            <w:tcBorders>
              <w:top w:val="nil"/>
              <w:left w:val="nil"/>
              <w:bottom w:val="nil"/>
              <w:right w:val="nil"/>
            </w:tcBorders>
            <w:vAlign w:val="bottom"/>
          </w:tcPr>
          <w:p w14:paraId="3726113B" w14:textId="5ABF4032"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4A6FC6E5" w14:textId="760E92C1" w:rsidR="00566EA9" w:rsidRPr="001D41EA" w:rsidRDefault="00566EA9" w:rsidP="001D41EA">
            <w:pPr>
              <w:spacing w:before="40" w:after="20"/>
              <w:jc w:val="center"/>
              <w:rPr>
                <w:rFonts w:cs="Arial"/>
                <w:sz w:val="18"/>
                <w:szCs w:val="18"/>
              </w:rPr>
            </w:pPr>
            <w:r w:rsidRPr="001D41EA">
              <w:rPr>
                <w:rFonts w:cs="Arial"/>
                <w:sz w:val="18"/>
                <w:szCs w:val="18"/>
              </w:rPr>
              <w:t>0.909</w:t>
            </w:r>
          </w:p>
        </w:tc>
      </w:tr>
      <w:tr w:rsidR="00566EA9" w:rsidRPr="001D41EA" w14:paraId="589A432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D2CB1F3" w14:textId="77777777" w:rsidR="00566EA9" w:rsidRPr="001D41EA" w:rsidRDefault="00566EA9" w:rsidP="001D41EA">
            <w:pPr>
              <w:spacing w:before="40" w:after="20"/>
              <w:rPr>
                <w:rFonts w:cs="Arial"/>
                <w:sz w:val="18"/>
                <w:szCs w:val="18"/>
              </w:rPr>
            </w:pPr>
            <w:r w:rsidRPr="001D41EA">
              <w:rPr>
                <w:rFonts w:cs="Arial"/>
                <w:sz w:val="18"/>
                <w:szCs w:val="18"/>
              </w:rPr>
              <w:t>Northern Grampians S</w:t>
            </w:r>
          </w:p>
        </w:tc>
        <w:tc>
          <w:tcPr>
            <w:tcW w:w="1247" w:type="dxa"/>
            <w:tcBorders>
              <w:top w:val="nil"/>
              <w:left w:val="single" w:sz="18" w:space="0" w:color="5F497A" w:themeColor="accent4" w:themeShade="BF"/>
              <w:bottom w:val="nil"/>
              <w:right w:val="nil"/>
            </w:tcBorders>
            <w:shd w:val="clear" w:color="auto" w:fill="auto"/>
            <w:vAlign w:val="bottom"/>
          </w:tcPr>
          <w:p w14:paraId="26B383B5" w14:textId="2820F917" w:rsidR="00566EA9" w:rsidRPr="001D41EA" w:rsidRDefault="00566EA9" w:rsidP="001D41EA">
            <w:pPr>
              <w:spacing w:before="40" w:after="20"/>
              <w:jc w:val="center"/>
              <w:rPr>
                <w:rFonts w:cs="Arial"/>
                <w:sz w:val="18"/>
                <w:szCs w:val="18"/>
              </w:rPr>
            </w:pPr>
            <w:r w:rsidRPr="001D41EA">
              <w:rPr>
                <w:rFonts w:cs="Arial"/>
                <w:sz w:val="18"/>
                <w:szCs w:val="18"/>
              </w:rPr>
              <w:t>0.706</w:t>
            </w:r>
          </w:p>
        </w:tc>
        <w:tc>
          <w:tcPr>
            <w:tcW w:w="1247" w:type="dxa"/>
            <w:tcBorders>
              <w:top w:val="nil"/>
              <w:left w:val="nil"/>
              <w:bottom w:val="nil"/>
              <w:right w:val="nil"/>
            </w:tcBorders>
            <w:vAlign w:val="bottom"/>
          </w:tcPr>
          <w:p w14:paraId="2AA51F6F" w14:textId="1400AE51" w:rsidR="00566EA9" w:rsidRPr="001D41EA" w:rsidRDefault="00566EA9" w:rsidP="001D41EA">
            <w:pPr>
              <w:spacing w:before="40" w:after="20"/>
              <w:jc w:val="center"/>
              <w:rPr>
                <w:rFonts w:cs="Arial"/>
                <w:sz w:val="18"/>
                <w:szCs w:val="18"/>
              </w:rPr>
            </w:pPr>
            <w:r w:rsidRPr="001D41EA">
              <w:rPr>
                <w:rFonts w:cs="Arial"/>
                <w:sz w:val="18"/>
                <w:szCs w:val="18"/>
              </w:rPr>
              <w:t>0.709</w:t>
            </w:r>
          </w:p>
        </w:tc>
        <w:tc>
          <w:tcPr>
            <w:tcW w:w="1247" w:type="dxa"/>
            <w:tcBorders>
              <w:top w:val="nil"/>
              <w:left w:val="nil"/>
              <w:bottom w:val="nil"/>
              <w:right w:val="nil"/>
            </w:tcBorders>
            <w:vAlign w:val="bottom"/>
          </w:tcPr>
          <w:p w14:paraId="4FD074B8" w14:textId="792C0D6C" w:rsidR="00566EA9" w:rsidRPr="001D41EA" w:rsidRDefault="00566EA9" w:rsidP="001D41EA">
            <w:pPr>
              <w:spacing w:before="40" w:after="20"/>
              <w:jc w:val="center"/>
              <w:rPr>
                <w:rFonts w:cs="Arial"/>
                <w:sz w:val="18"/>
                <w:szCs w:val="18"/>
              </w:rPr>
            </w:pPr>
            <w:r w:rsidRPr="001D41EA">
              <w:rPr>
                <w:rFonts w:cs="Arial"/>
                <w:sz w:val="18"/>
                <w:szCs w:val="18"/>
              </w:rPr>
              <w:t>0.707</w:t>
            </w:r>
          </w:p>
        </w:tc>
        <w:tc>
          <w:tcPr>
            <w:tcW w:w="170" w:type="dxa"/>
            <w:tcBorders>
              <w:top w:val="nil"/>
              <w:left w:val="nil"/>
              <w:bottom w:val="nil"/>
              <w:right w:val="nil"/>
            </w:tcBorders>
            <w:vAlign w:val="bottom"/>
          </w:tcPr>
          <w:p w14:paraId="0B1A9901" w14:textId="2A0BEAB0"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166C6CE5" w14:textId="26371E8E" w:rsidR="00566EA9" w:rsidRPr="001D41EA" w:rsidRDefault="00566EA9" w:rsidP="001D41EA">
            <w:pPr>
              <w:spacing w:before="40" w:after="20"/>
              <w:jc w:val="center"/>
              <w:rPr>
                <w:rFonts w:cs="Arial"/>
                <w:sz w:val="18"/>
                <w:szCs w:val="18"/>
              </w:rPr>
            </w:pPr>
            <w:r w:rsidRPr="001D41EA">
              <w:rPr>
                <w:rFonts w:cs="Arial"/>
                <w:sz w:val="18"/>
                <w:szCs w:val="18"/>
              </w:rPr>
              <w:t>0.802</w:t>
            </w:r>
          </w:p>
        </w:tc>
      </w:tr>
      <w:tr w:rsidR="00566EA9" w:rsidRPr="001D41EA" w14:paraId="61F20E0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10E8D87" w14:textId="77777777" w:rsidR="00566EA9" w:rsidRPr="001D41EA" w:rsidRDefault="00566EA9" w:rsidP="001D41EA">
            <w:pPr>
              <w:spacing w:before="40" w:after="20"/>
              <w:rPr>
                <w:rFonts w:cs="Arial"/>
                <w:sz w:val="18"/>
                <w:szCs w:val="18"/>
              </w:rPr>
            </w:pPr>
            <w:r w:rsidRPr="001D41EA">
              <w:rPr>
                <w:rFonts w:cs="Arial"/>
                <w:sz w:val="18"/>
                <w:szCs w:val="18"/>
              </w:rPr>
              <w:t>Port Phillip C</w:t>
            </w:r>
          </w:p>
        </w:tc>
        <w:tc>
          <w:tcPr>
            <w:tcW w:w="1247" w:type="dxa"/>
            <w:tcBorders>
              <w:top w:val="nil"/>
              <w:left w:val="single" w:sz="18" w:space="0" w:color="5F497A" w:themeColor="accent4" w:themeShade="BF"/>
              <w:bottom w:val="nil"/>
              <w:right w:val="nil"/>
            </w:tcBorders>
            <w:shd w:val="clear" w:color="auto" w:fill="auto"/>
            <w:vAlign w:val="bottom"/>
          </w:tcPr>
          <w:p w14:paraId="16583888" w14:textId="2B9C0567" w:rsidR="00566EA9" w:rsidRPr="001D41EA" w:rsidRDefault="00566EA9" w:rsidP="001D41EA">
            <w:pPr>
              <w:spacing w:before="40" w:after="20"/>
              <w:jc w:val="center"/>
              <w:rPr>
                <w:rFonts w:cs="Arial"/>
                <w:sz w:val="18"/>
                <w:szCs w:val="18"/>
              </w:rPr>
            </w:pPr>
            <w:r w:rsidRPr="001D41EA">
              <w:rPr>
                <w:rFonts w:cs="Arial"/>
                <w:sz w:val="18"/>
                <w:szCs w:val="18"/>
              </w:rPr>
              <w:t>0.936</w:t>
            </w:r>
          </w:p>
        </w:tc>
        <w:tc>
          <w:tcPr>
            <w:tcW w:w="1247" w:type="dxa"/>
            <w:tcBorders>
              <w:top w:val="nil"/>
              <w:left w:val="nil"/>
              <w:bottom w:val="nil"/>
              <w:right w:val="nil"/>
            </w:tcBorders>
            <w:vAlign w:val="bottom"/>
          </w:tcPr>
          <w:p w14:paraId="582CD1C7" w14:textId="1B8815C4" w:rsidR="00566EA9" w:rsidRPr="001D41EA" w:rsidRDefault="00566EA9" w:rsidP="001D41EA">
            <w:pPr>
              <w:spacing w:before="40" w:after="20"/>
              <w:jc w:val="center"/>
              <w:rPr>
                <w:rFonts w:cs="Arial"/>
                <w:sz w:val="18"/>
                <w:szCs w:val="18"/>
              </w:rPr>
            </w:pPr>
            <w:r w:rsidRPr="001D41EA">
              <w:rPr>
                <w:rFonts w:cs="Arial"/>
                <w:sz w:val="18"/>
                <w:szCs w:val="18"/>
              </w:rPr>
              <w:t>0.939</w:t>
            </w:r>
          </w:p>
        </w:tc>
        <w:tc>
          <w:tcPr>
            <w:tcW w:w="1247" w:type="dxa"/>
            <w:tcBorders>
              <w:top w:val="nil"/>
              <w:left w:val="nil"/>
              <w:bottom w:val="nil"/>
              <w:right w:val="nil"/>
            </w:tcBorders>
            <w:vAlign w:val="bottom"/>
          </w:tcPr>
          <w:p w14:paraId="517D6DA1" w14:textId="4EB7AF68" w:rsidR="00566EA9" w:rsidRPr="001D41EA" w:rsidRDefault="00566EA9" w:rsidP="001D41EA">
            <w:pPr>
              <w:spacing w:before="40" w:after="20"/>
              <w:jc w:val="center"/>
              <w:rPr>
                <w:rFonts w:cs="Arial"/>
                <w:sz w:val="18"/>
                <w:szCs w:val="18"/>
              </w:rPr>
            </w:pPr>
            <w:r w:rsidRPr="001D41EA">
              <w:rPr>
                <w:rFonts w:cs="Arial"/>
                <w:sz w:val="18"/>
                <w:szCs w:val="18"/>
              </w:rPr>
              <w:t>0.937</w:t>
            </w:r>
          </w:p>
        </w:tc>
        <w:tc>
          <w:tcPr>
            <w:tcW w:w="170" w:type="dxa"/>
            <w:tcBorders>
              <w:top w:val="nil"/>
              <w:left w:val="nil"/>
              <w:bottom w:val="nil"/>
              <w:right w:val="nil"/>
            </w:tcBorders>
            <w:vAlign w:val="bottom"/>
          </w:tcPr>
          <w:p w14:paraId="53E3AA7B" w14:textId="77D11340"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0100739" w14:textId="2ADC82BA" w:rsidR="00566EA9" w:rsidRPr="001D41EA" w:rsidRDefault="00566EA9" w:rsidP="001D41EA">
            <w:pPr>
              <w:spacing w:before="40" w:after="20"/>
              <w:jc w:val="center"/>
              <w:rPr>
                <w:rFonts w:cs="Arial"/>
                <w:sz w:val="18"/>
                <w:szCs w:val="18"/>
              </w:rPr>
            </w:pPr>
            <w:r w:rsidRPr="001D41EA">
              <w:rPr>
                <w:rFonts w:cs="Arial"/>
                <w:sz w:val="18"/>
                <w:szCs w:val="18"/>
              </w:rPr>
              <w:t>0.788</w:t>
            </w:r>
          </w:p>
        </w:tc>
      </w:tr>
      <w:tr w:rsidR="00566EA9" w:rsidRPr="001D41EA" w14:paraId="00CEC2C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E118AE6" w14:textId="77777777" w:rsidR="00566EA9" w:rsidRPr="001D41EA" w:rsidRDefault="00566EA9" w:rsidP="001D41EA">
            <w:pPr>
              <w:spacing w:before="40" w:after="20"/>
              <w:rPr>
                <w:rFonts w:cs="Arial"/>
                <w:sz w:val="18"/>
                <w:szCs w:val="18"/>
              </w:rPr>
            </w:pPr>
            <w:r w:rsidRPr="001D41EA">
              <w:rPr>
                <w:rFonts w:cs="Arial"/>
                <w:sz w:val="18"/>
                <w:szCs w:val="18"/>
              </w:rPr>
              <w:t>Pyrenees S</w:t>
            </w:r>
          </w:p>
        </w:tc>
        <w:tc>
          <w:tcPr>
            <w:tcW w:w="1247" w:type="dxa"/>
            <w:tcBorders>
              <w:top w:val="nil"/>
              <w:left w:val="single" w:sz="18" w:space="0" w:color="5F497A" w:themeColor="accent4" w:themeShade="BF"/>
              <w:bottom w:val="nil"/>
              <w:right w:val="nil"/>
            </w:tcBorders>
            <w:shd w:val="clear" w:color="auto" w:fill="auto"/>
            <w:vAlign w:val="bottom"/>
          </w:tcPr>
          <w:p w14:paraId="220A574C" w14:textId="688FD270" w:rsidR="00566EA9" w:rsidRPr="001D41EA" w:rsidRDefault="00566EA9" w:rsidP="001D41EA">
            <w:pPr>
              <w:spacing w:before="40" w:after="20"/>
              <w:jc w:val="center"/>
              <w:rPr>
                <w:rFonts w:cs="Arial"/>
                <w:sz w:val="18"/>
                <w:szCs w:val="18"/>
              </w:rPr>
            </w:pPr>
            <w:r w:rsidRPr="001D41EA">
              <w:rPr>
                <w:rFonts w:cs="Arial"/>
                <w:sz w:val="18"/>
                <w:szCs w:val="18"/>
              </w:rPr>
              <w:t>0.942</w:t>
            </w:r>
          </w:p>
        </w:tc>
        <w:tc>
          <w:tcPr>
            <w:tcW w:w="1247" w:type="dxa"/>
            <w:tcBorders>
              <w:top w:val="nil"/>
              <w:left w:val="nil"/>
              <w:bottom w:val="nil"/>
              <w:right w:val="nil"/>
            </w:tcBorders>
            <w:vAlign w:val="bottom"/>
          </w:tcPr>
          <w:p w14:paraId="0E838B71" w14:textId="70890DB8" w:rsidR="00566EA9" w:rsidRPr="001D41EA" w:rsidRDefault="00566EA9" w:rsidP="001D41EA">
            <w:pPr>
              <w:spacing w:before="40" w:after="20"/>
              <w:jc w:val="center"/>
              <w:rPr>
                <w:rFonts w:cs="Arial"/>
                <w:sz w:val="18"/>
                <w:szCs w:val="18"/>
              </w:rPr>
            </w:pPr>
            <w:r w:rsidRPr="001D41EA">
              <w:rPr>
                <w:rFonts w:cs="Arial"/>
                <w:sz w:val="18"/>
                <w:szCs w:val="18"/>
              </w:rPr>
              <w:t>0.945</w:t>
            </w:r>
          </w:p>
        </w:tc>
        <w:tc>
          <w:tcPr>
            <w:tcW w:w="1247" w:type="dxa"/>
            <w:tcBorders>
              <w:top w:val="nil"/>
              <w:left w:val="nil"/>
              <w:bottom w:val="nil"/>
              <w:right w:val="nil"/>
            </w:tcBorders>
            <w:vAlign w:val="bottom"/>
          </w:tcPr>
          <w:p w14:paraId="01C3CBDD" w14:textId="54E02F6C" w:rsidR="00566EA9" w:rsidRPr="001D41EA" w:rsidRDefault="00566EA9" w:rsidP="001D41EA">
            <w:pPr>
              <w:spacing w:before="40" w:after="20"/>
              <w:jc w:val="center"/>
              <w:rPr>
                <w:rFonts w:cs="Arial"/>
                <w:sz w:val="18"/>
                <w:szCs w:val="18"/>
              </w:rPr>
            </w:pPr>
            <w:r w:rsidRPr="001D41EA">
              <w:rPr>
                <w:rFonts w:cs="Arial"/>
                <w:sz w:val="18"/>
                <w:szCs w:val="18"/>
              </w:rPr>
              <w:t>0.943</w:t>
            </w:r>
          </w:p>
        </w:tc>
        <w:tc>
          <w:tcPr>
            <w:tcW w:w="170" w:type="dxa"/>
            <w:tcBorders>
              <w:top w:val="nil"/>
              <w:left w:val="nil"/>
              <w:bottom w:val="nil"/>
              <w:right w:val="nil"/>
            </w:tcBorders>
            <w:vAlign w:val="bottom"/>
          </w:tcPr>
          <w:p w14:paraId="4F709B2D" w14:textId="37882B82"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2DFDE88A" w14:textId="7DF9FBEE" w:rsidR="00566EA9" w:rsidRPr="001D41EA" w:rsidRDefault="00566EA9" w:rsidP="001D41EA">
            <w:pPr>
              <w:spacing w:before="40" w:after="20"/>
              <w:jc w:val="center"/>
              <w:rPr>
                <w:rFonts w:cs="Arial"/>
                <w:sz w:val="18"/>
                <w:szCs w:val="18"/>
              </w:rPr>
            </w:pPr>
            <w:r w:rsidRPr="001D41EA">
              <w:rPr>
                <w:rFonts w:cs="Arial"/>
                <w:sz w:val="18"/>
                <w:szCs w:val="18"/>
              </w:rPr>
              <w:t>0.824</w:t>
            </w:r>
          </w:p>
        </w:tc>
      </w:tr>
      <w:tr w:rsidR="00566EA9" w:rsidRPr="001D41EA" w14:paraId="26376E8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7136BE5" w14:textId="77777777" w:rsidR="00566EA9" w:rsidRPr="001D41EA" w:rsidRDefault="00566EA9" w:rsidP="001D41EA">
            <w:pPr>
              <w:spacing w:before="40" w:after="20"/>
              <w:rPr>
                <w:rFonts w:cs="Arial"/>
                <w:sz w:val="18"/>
                <w:szCs w:val="18"/>
              </w:rPr>
            </w:pPr>
            <w:r w:rsidRPr="001D41EA">
              <w:rPr>
                <w:rFonts w:cs="Arial"/>
                <w:sz w:val="18"/>
                <w:szCs w:val="18"/>
              </w:rPr>
              <w:t>Queenscliffe B</w:t>
            </w:r>
          </w:p>
        </w:tc>
        <w:tc>
          <w:tcPr>
            <w:tcW w:w="1247" w:type="dxa"/>
            <w:tcBorders>
              <w:top w:val="nil"/>
              <w:left w:val="single" w:sz="18" w:space="0" w:color="5F497A" w:themeColor="accent4" w:themeShade="BF"/>
              <w:bottom w:val="nil"/>
              <w:right w:val="nil"/>
            </w:tcBorders>
            <w:shd w:val="clear" w:color="auto" w:fill="auto"/>
            <w:vAlign w:val="bottom"/>
          </w:tcPr>
          <w:p w14:paraId="5F1EDF9F" w14:textId="7A42D444" w:rsidR="00566EA9" w:rsidRPr="001D41EA" w:rsidRDefault="00566EA9" w:rsidP="001D41EA">
            <w:pPr>
              <w:spacing w:before="40" w:after="20"/>
              <w:jc w:val="center"/>
              <w:rPr>
                <w:rFonts w:cs="Arial"/>
                <w:sz w:val="18"/>
                <w:szCs w:val="18"/>
              </w:rPr>
            </w:pPr>
            <w:r w:rsidRPr="001D41EA">
              <w:rPr>
                <w:rFonts w:cs="Arial"/>
                <w:sz w:val="18"/>
                <w:szCs w:val="18"/>
              </w:rPr>
              <w:t>0.723</w:t>
            </w:r>
          </w:p>
        </w:tc>
        <w:tc>
          <w:tcPr>
            <w:tcW w:w="1247" w:type="dxa"/>
            <w:tcBorders>
              <w:top w:val="nil"/>
              <w:left w:val="nil"/>
              <w:bottom w:val="nil"/>
              <w:right w:val="nil"/>
            </w:tcBorders>
            <w:vAlign w:val="bottom"/>
          </w:tcPr>
          <w:p w14:paraId="1492B5CD" w14:textId="70D629D0" w:rsidR="00566EA9" w:rsidRPr="001D41EA" w:rsidRDefault="00566EA9" w:rsidP="001D41EA">
            <w:pPr>
              <w:spacing w:before="40" w:after="20"/>
              <w:jc w:val="center"/>
              <w:rPr>
                <w:rFonts w:cs="Arial"/>
                <w:sz w:val="18"/>
                <w:szCs w:val="18"/>
              </w:rPr>
            </w:pPr>
            <w:r w:rsidRPr="001D41EA">
              <w:rPr>
                <w:rFonts w:cs="Arial"/>
                <w:sz w:val="18"/>
                <w:szCs w:val="18"/>
              </w:rPr>
              <w:t>0.725</w:t>
            </w:r>
          </w:p>
        </w:tc>
        <w:tc>
          <w:tcPr>
            <w:tcW w:w="1247" w:type="dxa"/>
            <w:tcBorders>
              <w:top w:val="nil"/>
              <w:left w:val="nil"/>
              <w:bottom w:val="nil"/>
              <w:right w:val="nil"/>
            </w:tcBorders>
            <w:vAlign w:val="bottom"/>
          </w:tcPr>
          <w:p w14:paraId="3E75BB47" w14:textId="630F0D2B" w:rsidR="00566EA9" w:rsidRPr="001D41EA" w:rsidRDefault="00566EA9" w:rsidP="001D41EA">
            <w:pPr>
              <w:spacing w:before="40" w:after="20"/>
              <w:jc w:val="center"/>
              <w:rPr>
                <w:rFonts w:cs="Arial"/>
                <w:sz w:val="18"/>
                <w:szCs w:val="18"/>
              </w:rPr>
            </w:pPr>
            <w:r w:rsidRPr="001D41EA">
              <w:rPr>
                <w:rFonts w:cs="Arial"/>
                <w:sz w:val="18"/>
                <w:szCs w:val="18"/>
              </w:rPr>
              <w:t>0.723</w:t>
            </w:r>
          </w:p>
        </w:tc>
        <w:tc>
          <w:tcPr>
            <w:tcW w:w="170" w:type="dxa"/>
            <w:tcBorders>
              <w:top w:val="nil"/>
              <w:left w:val="nil"/>
              <w:bottom w:val="nil"/>
              <w:right w:val="nil"/>
            </w:tcBorders>
            <w:vAlign w:val="bottom"/>
          </w:tcPr>
          <w:p w14:paraId="459E7327" w14:textId="53790728"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AB46945" w14:textId="65146FE2" w:rsidR="00566EA9" w:rsidRPr="001D41EA" w:rsidRDefault="00566EA9" w:rsidP="001D41EA">
            <w:pPr>
              <w:spacing w:before="40" w:after="20"/>
              <w:jc w:val="center"/>
              <w:rPr>
                <w:rFonts w:cs="Arial"/>
                <w:sz w:val="18"/>
                <w:szCs w:val="18"/>
              </w:rPr>
            </w:pPr>
            <w:r w:rsidRPr="001D41EA">
              <w:rPr>
                <w:rFonts w:cs="Arial"/>
                <w:sz w:val="18"/>
                <w:szCs w:val="18"/>
              </w:rPr>
              <w:t>0.715</w:t>
            </w:r>
          </w:p>
        </w:tc>
      </w:tr>
      <w:tr w:rsidR="00566EA9" w:rsidRPr="001D41EA" w14:paraId="0C39DEB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7992C68" w14:textId="77777777" w:rsidR="00566EA9" w:rsidRPr="001D41EA" w:rsidRDefault="00566EA9" w:rsidP="001D41EA">
            <w:pPr>
              <w:spacing w:before="40" w:after="20"/>
              <w:rPr>
                <w:rFonts w:cs="Arial"/>
                <w:sz w:val="18"/>
                <w:szCs w:val="18"/>
              </w:rPr>
            </w:pPr>
            <w:r w:rsidRPr="001D41EA">
              <w:rPr>
                <w:rFonts w:cs="Arial"/>
                <w:sz w:val="18"/>
                <w:szCs w:val="18"/>
              </w:rPr>
              <w:t>South Gippsland S</w:t>
            </w:r>
          </w:p>
        </w:tc>
        <w:tc>
          <w:tcPr>
            <w:tcW w:w="1247" w:type="dxa"/>
            <w:tcBorders>
              <w:top w:val="nil"/>
              <w:left w:val="single" w:sz="18" w:space="0" w:color="5F497A" w:themeColor="accent4" w:themeShade="BF"/>
              <w:bottom w:val="nil"/>
              <w:right w:val="nil"/>
            </w:tcBorders>
            <w:shd w:val="clear" w:color="auto" w:fill="auto"/>
            <w:vAlign w:val="bottom"/>
          </w:tcPr>
          <w:p w14:paraId="0A495E10" w14:textId="5C150F96" w:rsidR="00566EA9" w:rsidRPr="001D41EA" w:rsidRDefault="00566EA9" w:rsidP="001D41EA">
            <w:pPr>
              <w:spacing w:before="40" w:after="20"/>
              <w:jc w:val="center"/>
              <w:rPr>
                <w:rFonts w:cs="Arial"/>
                <w:sz w:val="18"/>
                <w:szCs w:val="18"/>
              </w:rPr>
            </w:pPr>
            <w:r w:rsidRPr="001D41EA">
              <w:rPr>
                <w:rFonts w:cs="Arial"/>
                <w:sz w:val="18"/>
                <w:szCs w:val="18"/>
              </w:rPr>
              <w:t>0.897</w:t>
            </w:r>
          </w:p>
        </w:tc>
        <w:tc>
          <w:tcPr>
            <w:tcW w:w="1247" w:type="dxa"/>
            <w:tcBorders>
              <w:top w:val="nil"/>
              <w:left w:val="nil"/>
              <w:bottom w:val="nil"/>
              <w:right w:val="nil"/>
            </w:tcBorders>
            <w:vAlign w:val="bottom"/>
          </w:tcPr>
          <w:p w14:paraId="70399A76" w14:textId="2F03C935" w:rsidR="00566EA9" w:rsidRPr="001D41EA" w:rsidRDefault="00566EA9" w:rsidP="001D41EA">
            <w:pPr>
              <w:spacing w:before="40" w:after="20"/>
              <w:jc w:val="center"/>
              <w:rPr>
                <w:rFonts w:cs="Arial"/>
                <w:sz w:val="18"/>
                <w:szCs w:val="18"/>
              </w:rPr>
            </w:pPr>
            <w:r w:rsidRPr="001D41EA">
              <w:rPr>
                <w:rFonts w:cs="Arial"/>
                <w:sz w:val="18"/>
                <w:szCs w:val="18"/>
              </w:rPr>
              <w:t>0.900</w:t>
            </w:r>
          </w:p>
        </w:tc>
        <w:tc>
          <w:tcPr>
            <w:tcW w:w="1247" w:type="dxa"/>
            <w:tcBorders>
              <w:top w:val="nil"/>
              <w:left w:val="nil"/>
              <w:bottom w:val="nil"/>
              <w:right w:val="nil"/>
            </w:tcBorders>
            <w:vAlign w:val="bottom"/>
          </w:tcPr>
          <w:p w14:paraId="3BAA3BD8" w14:textId="3F4AB651" w:rsidR="00566EA9" w:rsidRPr="001D41EA" w:rsidRDefault="00566EA9" w:rsidP="001D41EA">
            <w:pPr>
              <w:spacing w:before="40" w:after="20"/>
              <w:jc w:val="center"/>
              <w:rPr>
                <w:rFonts w:cs="Arial"/>
                <w:sz w:val="18"/>
                <w:szCs w:val="18"/>
              </w:rPr>
            </w:pPr>
            <w:r w:rsidRPr="001D41EA">
              <w:rPr>
                <w:rFonts w:cs="Arial"/>
                <w:sz w:val="18"/>
                <w:szCs w:val="18"/>
              </w:rPr>
              <w:t>0.898</w:t>
            </w:r>
          </w:p>
        </w:tc>
        <w:tc>
          <w:tcPr>
            <w:tcW w:w="170" w:type="dxa"/>
            <w:tcBorders>
              <w:top w:val="nil"/>
              <w:left w:val="nil"/>
              <w:bottom w:val="nil"/>
              <w:right w:val="nil"/>
            </w:tcBorders>
            <w:vAlign w:val="bottom"/>
          </w:tcPr>
          <w:p w14:paraId="0CC69182" w14:textId="304126E1"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38C8D901" w14:textId="4E7D5D54" w:rsidR="00566EA9" w:rsidRPr="001D41EA" w:rsidRDefault="00566EA9" w:rsidP="001D41EA">
            <w:pPr>
              <w:spacing w:before="40" w:after="20"/>
              <w:jc w:val="center"/>
              <w:rPr>
                <w:rFonts w:cs="Arial"/>
                <w:sz w:val="18"/>
                <w:szCs w:val="18"/>
              </w:rPr>
            </w:pPr>
            <w:r w:rsidRPr="001D41EA">
              <w:rPr>
                <w:rFonts w:cs="Arial"/>
                <w:sz w:val="18"/>
                <w:szCs w:val="18"/>
              </w:rPr>
              <w:t>0.913</w:t>
            </w:r>
          </w:p>
        </w:tc>
      </w:tr>
      <w:tr w:rsidR="00566EA9" w:rsidRPr="001D41EA" w14:paraId="0C48D7D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3220D24" w14:textId="77777777" w:rsidR="00566EA9" w:rsidRPr="001D41EA" w:rsidRDefault="00566EA9" w:rsidP="001D41EA">
            <w:pPr>
              <w:spacing w:before="40" w:after="20"/>
              <w:rPr>
                <w:rFonts w:cs="Arial"/>
                <w:sz w:val="18"/>
                <w:szCs w:val="18"/>
              </w:rPr>
            </w:pPr>
            <w:r w:rsidRPr="001D41EA">
              <w:rPr>
                <w:rFonts w:cs="Arial"/>
                <w:sz w:val="18"/>
                <w:szCs w:val="18"/>
              </w:rPr>
              <w:t>Southern Grampians S</w:t>
            </w:r>
          </w:p>
        </w:tc>
        <w:tc>
          <w:tcPr>
            <w:tcW w:w="1247" w:type="dxa"/>
            <w:tcBorders>
              <w:top w:val="nil"/>
              <w:left w:val="single" w:sz="18" w:space="0" w:color="5F497A" w:themeColor="accent4" w:themeShade="BF"/>
              <w:bottom w:val="nil"/>
              <w:right w:val="nil"/>
            </w:tcBorders>
            <w:shd w:val="clear" w:color="auto" w:fill="auto"/>
            <w:vAlign w:val="bottom"/>
          </w:tcPr>
          <w:p w14:paraId="6C5EDED0" w14:textId="3A724651" w:rsidR="00566EA9" w:rsidRPr="001D41EA" w:rsidRDefault="00566EA9" w:rsidP="001D41EA">
            <w:pPr>
              <w:spacing w:before="40" w:after="20"/>
              <w:jc w:val="center"/>
              <w:rPr>
                <w:rFonts w:cs="Arial"/>
                <w:sz w:val="18"/>
                <w:szCs w:val="18"/>
              </w:rPr>
            </w:pPr>
            <w:r w:rsidRPr="001D41EA">
              <w:rPr>
                <w:rFonts w:cs="Arial"/>
                <w:sz w:val="18"/>
                <w:szCs w:val="18"/>
              </w:rPr>
              <w:t>0.792</w:t>
            </w:r>
          </w:p>
        </w:tc>
        <w:tc>
          <w:tcPr>
            <w:tcW w:w="1247" w:type="dxa"/>
            <w:tcBorders>
              <w:top w:val="nil"/>
              <w:left w:val="nil"/>
              <w:bottom w:val="nil"/>
              <w:right w:val="nil"/>
            </w:tcBorders>
            <w:vAlign w:val="bottom"/>
          </w:tcPr>
          <w:p w14:paraId="0A3562A8" w14:textId="4D00735B" w:rsidR="00566EA9" w:rsidRPr="001D41EA" w:rsidRDefault="00566EA9" w:rsidP="001D41EA">
            <w:pPr>
              <w:spacing w:before="40" w:after="20"/>
              <w:jc w:val="center"/>
              <w:rPr>
                <w:rFonts w:cs="Arial"/>
                <w:sz w:val="18"/>
                <w:szCs w:val="18"/>
              </w:rPr>
            </w:pPr>
            <w:r w:rsidRPr="001D41EA">
              <w:rPr>
                <w:rFonts w:cs="Arial"/>
                <w:sz w:val="18"/>
                <w:szCs w:val="18"/>
              </w:rPr>
              <w:t>0.794</w:t>
            </w:r>
          </w:p>
        </w:tc>
        <w:tc>
          <w:tcPr>
            <w:tcW w:w="1247" w:type="dxa"/>
            <w:tcBorders>
              <w:top w:val="nil"/>
              <w:left w:val="nil"/>
              <w:bottom w:val="nil"/>
              <w:right w:val="nil"/>
            </w:tcBorders>
            <w:vAlign w:val="bottom"/>
          </w:tcPr>
          <w:p w14:paraId="0E96CF5F" w14:textId="25565369" w:rsidR="00566EA9" w:rsidRPr="001D41EA" w:rsidRDefault="00566EA9" w:rsidP="001D41EA">
            <w:pPr>
              <w:spacing w:before="40" w:after="20"/>
              <w:jc w:val="center"/>
              <w:rPr>
                <w:rFonts w:cs="Arial"/>
                <w:sz w:val="18"/>
                <w:szCs w:val="18"/>
              </w:rPr>
            </w:pPr>
            <w:r w:rsidRPr="001D41EA">
              <w:rPr>
                <w:rFonts w:cs="Arial"/>
                <w:sz w:val="18"/>
                <w:szCs w:val="18"/>
              </w:rPr>
              <w:t>0.792</w:t>
            </w:r>
          </w:p>
        </w:tc>
        <w:tc>
          <w:tcPr>
            <w:tcW w:w="170" w:type="dxa"/>
            <w:tcBorders>
              <w:top w:val="nil"/>
              <w:left w:val="nil"/>
              <w:bottom w:val="nil"/>
              <w:right w:val="nil"/>
            </w:tcBorders>
            <w:vAlign w:val="bottom"/>
          </w:tcPr>
          <w:p w14:paraId="4A9E2217" w14:textId="7BCAA574"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2F8E9723" w14:textId="283A49D4" w:rsidR="00566EA9" w:rsidRPr="001D41EA" w:rsidRDefault="00566EA9" w:rsidP="001D41EA">
            <w:pPr>
              <w:spacing w:before="40" w:after="20"/>
              <w:jc w:val="center"/>
              <w:rPr>
                <w:rFonts w:cs="Arial"/>
                <w:sz w:val="18"/>
                <w:szCs w:val="18"/>
              </w:rPr>
            </w:pPr>
            <w:r w:rsidRPr="001D41EA">
              <w:rPr>
                <w:rFonts w:cs="Arial"/>
                <w:sz w:val="18"/>
                <w:szCs w:val="18"/>
              </w:rPr>
              <w:t>0.873</w:t>
            </w:r>
          </w:p>
        </w:tc>
      </w:tr>
      <w:tr w:rsidR="00566EA9" w:rsidRPr="001D41EA" w14:paraId="4E2B4BE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18CD01B" w14:textId="77777777" w:rsidR="00566EA9" w:rsidRPr="001D41EA" w:rsidRDefault="00566EA9" w:rsidP="001D41EA">
            <w:pPr>
              <w:spacing w:before="40" w:after="20"/>
              <w:rPr>
                <w:rFonts w:cs="Arial"/>
                <w:sz w:val="18"/>
                <w:szCs w:val="18"/>
              </w:rPr>
            </w:pPr>
            <w:r w:rsidRPr="001D41EA">
              <w:rPr>
                <w:rFonts w:cs="Arial"/>
                <w:sz w:val="18"/>
                <w:szCs w:val="18"/>
              </w:rPr>
              <w:t>Stonnington C</w:t>
            </w:r>
          </w:p>
        </w:tc>
        <w:tc>
          <w:tcPr>
            <w:tcW w:w="1247" w:type="dxa"/>
            <w:tcBorders>
              <w:top w:val="nil"/>
              <w:left w:val="single" w:sz="18" w:space="0" w:color="5F497A" w:themeColor="accent4" w:themeShade="BF"/>
              <w:bottom w:val="nil"/>
              <w:right w:val="nil"/>
            </w:tcBorders>
            <w:shd w:val="clear" w:color="auto" w:fill="auto"/>
            <w:vAlign w:val="bottom"/>
          </w:tcPr>
          <w:p w14:paraId="721891D1" w14:textId="5F2F1910" w:rsidR="00566EA9" w:rsidRPr="001D41EA" w:rsidRDefault="00566EA9" w:rsidP="001D41EA">
            <w:pPr>
              <w:spacing w:before="40" w:after="20"/>
              <w:jc w:val="center"/>
              <w:rPr>
                <w:rFonts w:cs="Arial"/>
                <w:sz w:val="18"/>
                <w:szCs w:val="18"/>
              </w:rPr>
            </w:pPr>
            <w:r w:rsidRPr="001D41EA">
              <w:rPr>
                <w:rFonts w:cs="Arial"/>
                <w:sz w:val="18"/>
                <w:szCs w:val="18"/>
              </w:rPr>
              <w:t>0.973</w:t>
            </w:r>
          </w:p>
        </w:tc>
        <w:tc>
          <w:tcPr>
            <w:tcW w:w="1247" w:type="dxa"/>
            <w:tcBorders>
              <w:top w:val="nil"/>
              <w:left w:val="nil"/>
              <w:bottom w:val="nil"/>
              <w:right w:val="nil"/>
            </w:tcBorders>
            <w:vAlign w:val="bottom"/>
          </w:tcPr>
          <w:p w14:paraId="21BFE667" w14:textId="2CE16CDB" w:rsidR="00566EA9" w:rsidRPr="001D41EA" w:rsidRDefault="00566EA9" w:rsidP="001D41EA">
            <w:pPr>
              <w:spacing w:before="40" w:after="20"/>
              <w:jc w:val="center"/>
              <w:rPr>
                <w:rFonts w:cs="Arial"/>
                <w:sz w:val="18"/>
                <w:szCs w:val="18"/>
              </w:rPr>
            </w:pPr>
            <w:r w:rsidRPr="001D41EA">
              <w:rPr>
                <w:rFonts w:cs="Arial"/>
                <w:sz w:val="18"/>
                <w:szCs w:val="18"/>
              </w:rPr>
              <w:t>0.977</w:t>
            </w:r>
          </w:p>
        </w:tc>
        <w:tc>
          <w:tcPr>
            <w:tcW w:w="1247" w:type="dxa"/>
            <w:tcBorders>
              <w:top w:val="nil"/>
              <w:left w:val="nil"/>
              <w:bottom w:val="nil"/>
              <w:right w:val="nil"/>
            </w:tcBorders>
            <w:vAlign w:val="bottom"/>
          </w:tcPr>
          <w:p w14:paraId="339F025A" w14:textId="5F19D291" w:rsidR="00566EA9" w:rsidRPr="001D41EA" w:rsidRDefault="00566EA9" w:rsidP="001D41EA">
            <w:pPr>
              <w:spacing w:before="40" w:after="20"/>
              <w:jc w:val="center"/>
              <w:rPr>
                <w:rFonts w:cs="Arial"/>
                <w:sz w:val="18"/>
                <w:szCs w:val="18"/>
              </w:rPr>
            </w:pPr>
            <w:r w:rsidRPr="001D41EA">
              <w:rPr>
                <w:rFonts w:cs="Arial"/>
                <w:sz w:val="18"/>
                <w:szCs w:val="18"/>
              </w:rPr>
              <w:t>0.974</w:t>
            </w:r>
          </w:p>
        </w:tc>
        <w:tc>
          <w:tcPr>
            <w:tcW w:w="170" w:type="dxa"/>
            <w:tcBorders>
              <w:top w:val="nil"/>
              <w:left w:val="nil"/>
              <w:bottom w:val="nil"/>
              <w:right w:val="nil"/>
            </w:tcBorders>
            <w:vAlign w:val="bottom"/>
          </w:tcPr>
          <w:p w14:paraId="762A013F" w14:textId="7CAFE9AD"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447EC3D3" w14:textId="03A48C5C" w:rsidR="00566EA9" w:rsidRPr="001D41EA" w:rsidRDefault="00566EA9" w:rsidP="001D41EA">
            <w:pPr>
              <w:spacing w:before="40" w:after="20"/>
              <w:jc w:val="center"/>
              <w:rPr>
                <w:rFonts w:cs="Arial"/>
                <w:sz w:val="18"/>
                <w:szCs w:val="18"/>
              </w:rPr>
            </w:pPr>
            <w:r w:rsidRPr="001D41EA">
              <w:rPr>
                <w:rFonts w:cs="Arial"/>
                <w:sz w:val="18"/>
                <w:szCs w:val="18"/>
              </w:rPr>
              <w:t>0.715</w:t>
            </w:r>
          </w:p>
        </w:tc>
      </w:tr>
      <w:tr w:rsidR="00566EA9" w:rsidRPr="001D41EA" w14:paraId="22828B5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E0B6CA7" w14:textId="77777777" w:rsidR="00566EA9" w:rsidRPr="001D41EA" w:rsidRDefault="00566EA9" w:rsidP="001D41EA">
            <w:pPr>
              <w:spacing w:before="40" w:after="20"/>
              <w:rPr>
                <w:rFonts w:cs="Arial"/>
                <w:sz w:val="18"/>
                <w:szCs w:val="18"/>
              </w:rPr>
            </w:pPr>
            <w:r w:rsidRPr="001D41EA">
              <w:rPr>
                <w:rFonts w:cs="Arial"/>
                <w:sz w:val="18"/>
                <w:szCs w:val="18"/>
              </w:rPr>
              <w:t>Strathbogie S</w:t>
            </w:r>
          </w:p>
        </w:tc>
        <w:tc>
          <w:tcPr>
            <w:tcW w:w="1247" w:type="dxa"/>
            <w:tcBorders>
              <w:top w:val="nil"/>
              <w:left w:val="single" w:sz="18" w:space="0" w:color="5F497A" w:themeColor="accent4" w:themeShade="BF"/>
              <w:bottom w:val="nil"/>
              <w:right w:val="nil"/>
            </w:tcBorders>
            <w:shd w:val="clear" w:color="auto" w:fill="auto"/>
            <w:vAlign w:val="bottom"/>
          </w:tcPr>
          <w:p w14:paraId="4754220D" w14:textId="5AA9584C" w:rsidR="00566EA9" w:rsidRPr="001D41EA" w:rsidRDefault="00566EA9" w:rsidP="001D41EA">
            <w:pPr>
              <w:spacing w:before="40" w:after="20"/>
              <w:jc w:val="center"/>
              <w:rPr>
                <w:rFonts w:cs="Arial"/>
                <w:sz w:val="18"/>
                <w:szCs w:val="18"/>
              </w:rPr>
            </w:pPr>
            <w:r w:rsidRPr="001D41EA">
              <w:rPr>
                <w:rFonts w:cs="Arial"/>
                <w:sz w:val="18"/>
                <w:szCs w:val="18"/>
              </w:rPr>
              <w:t>0.947</w:t>
            </w:r>
          </w:p>
        </w:tc>
        <w:tc>
          <w:tcPr>
            <w:tcW w:w="1247" w:type="dxa"/>
            <w:tcBorders>
              <w:top w:val="nil"/>
              <w:left w:val="nil"/>
              <w:bottom w:val="nil"/>
              <w:right w:val="nil"/>
            </w:tcBorders>
            <w:vAlign w:val="bottom"/>
          </w:tcPr>
          <w:p w14:paraId="692F0460" w14:textId="2DAD4243" w:rsidR="00566EA9" w:rsidRPr="001D41EA" w:rsidRDefault="00566EA9" w:rsidP="001D41EA">
            <w:pPr>
              <w:spacing w:before="40" w:after="20"/>
              <w:jc w:val="center"/>
              <w:rPr>
                <w:rFonts w:cs="Arial"/>
                <w:sz w:val="18"/>
                <w:szCs w:val="18"/>
              </w:rPr>
            </w:pPr>
            <w:r w:rsidRPr="001D41EA">
              <w:rPr>
                <w:rFonts w:cs="Arial"/>
                <w:sz w:val="18"/>
                <w:szCs w:val="18"/>
              </w:rPr>
              <w:t>0.950</w:t>
            </w:r>
          </w:p>
        </w:tc>
        <w:tc>
          <w:tcPr>
            <w:tcW w:w="1247" w:type="dxa"/>
            <w:tcBorders>
              <w:top w:val="nil"/>
              <w:left w:val="nil"/>
              <w:bottom w:val="nil"/>
              <w:right w:val="nil"/>
            </w:tcBorders>
            <w:vAlign w:val="bottom"/>
          </w:tcPr>
          <w:p w14:paraId="01AB2F68" w14:textId="6AD3D855" w:rsidR="00566EA9" w:rsidRPr="001D41EA" w:rsidRDefault="00566EA9" w:rsidP="001D41EA">
            <w:pPr>
              <w:spacing w:before="40" w:after="20"/>
              <w:jc w:val="center"/>
              <w:rPr>
                <w:rFonts w:cs="Arial"/>
                <w:sz w:val="18"/>
                <w:szCs w:val="18"/>
              </w:rPr>
            </w:pPr>
            <w:r w:rsidRPr="001D41EA">
              <w:rPr>
                <w:rFonts w:cs="Arial"/>
                <w:sz w:val="18"/>
                <w:szCs w:val="18"/>
              </w:rPr>
              <w:t>0.947</w:t>
            </w:r>
          </w:p>
        </w:tc>
        <w:tc>
          <w:tcPr>
            <w:tcW w:w="170" w:type="dxa"/>
            <w:tcBorders>
              <w:top w:val="nil"/>
              <w:left w:val="nil"/>
              <w:bottom w:val="nil"/>
              <w:right w:val="nil"/>
            </w:tcBorders>
            <w:vAlign w:val="bottom"/>
          </w:tcPr>
          <w:p w14:paraId="1F4664BA" w14:textId="5C1F2678"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A92F309" w14:textId="3213B185" w:rsidR="00566EA9" w:rsidRPr="001D41EA" w:rsidRDefault="00566EA9" w:rsidP="001D41EA">
            <w:pPr>
              <w:spacing w:before="40" w:after="20"/>
              <w:jc w:val="center"/>
              <w:rPr>
                <w:rFonts w:cs="Arial"/>
                <w:sz w:val="18"/>
                <w:szCs w:val="18"/>
              </w:rPr>
            </w:pPr>
            <w:r w:rsidRPr="001D41EA">
              <w:rPr>
                <w:rFonts w:cs="Arial"/>
                <w:sz w:val="18"/>
                <w:szCs w:val="18"/>
              </w:rPr>
              <w:t>0.777</w:t>
            </w:r>
          </w:p>
        </w:tc>
      </w:tr>
      <w:tr w:rsidR="00566EA9" w:rsidRPr="001D41EA" w14:paraId="3F852C4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528781A" w14:textId="77777777" w:rsidR="00566EA9" w:rsidRPr="001D41EA" w:rsidRDefault="00566EA9" w:rsidP="001D41EA">
            <w:pPr>
              <w:spacing w:before="40" w:after="20"/>
              <w:rPr>
                <w:rFonts w:cs="Arial"/>
                <w:sz w:val="18"/>
                <w:szCs w:val="18"/>
              </w:rPr>
            </w:pPr>
            <w:r w:rsidRPr="001D41EA">
              <w:rPr>
                <w:rFonts w:cs="Arial"/>
                <w:sz w:val="18"/>
                <w:szCs w:val="18"/>
              </w:rPr>
              <w:t>Surf Coast S</w:t>
            </w:r>
          </w:p>
        </w:tc>
        <w:tc>
          <w:tcPr>
            <w:tcW w:w="1247" w:type="dxa"/>
            <w:tcBorders>
              <w:top w:val="nil"/>
              <w:left w:val="single" w:sz="18" w:space="0" w:color="5F497A" w:themeColor="accent4" w:themeShade="BF"/>
              <w:bottom w:val="nil"/>
              <w:right w:val="nil"/>
            </w:tcBorders>
            <w:shd w:val="clear" w:color="auto" w:fill="auto"/>
            <w:vAlign w:val="bottom"/>
          </w:tcPr>
          <w:p w14:paraId="7C943BB5" w14:textId="388E12AF" w:rsidR="00566EA9" w:rsidRPr="001D41EA" w:rsidRDefault="00566EA9" w:rsidP="001D41EA">
            <w:pPr>
              <w:spacing w:before="40" w:after="20"/>
              <w:jc w:val="center"/>
              <w:rPr>
                <w:rFonts w:cs="Arial"/>
                <w:sz w:val="18"/>
                <w:szCs w:val="18"/>
              </w:rPr>
            </w:pPr>
            <w:r w:rsidRPr="001D41EA">
              <w:rPr>
                <w:rFonts w:cs="Arial"/>
                <w:sz w:val="18"/>
                <w:szCs w:val="18"/>
              </w:rPr>
              <w:t>1.054</w:t>
            </w:r>
          </w:p>
        </w:tc>
        <w:tc>
          <w:tcPr>
            <w:tcW w:w="1247" w:type="dxa"/>
            <w:tcBorders>
              <w:top w:val="nil"/>
              <w:left w:val="nil"/>
              <w:bottom w:val="nil"/>
              <w:right w:val="nil"/>
            </w:tcBorders>
            <w:vAlign w:val="bottom"/>
          </w:tcPr>
          <w:p w14:paraId="4C53AEC8" w14:textId="3D6F9579" w:rsidR="00566EA9" w:rsidRPr="001D41EA" w:rsidRDefault="00566EA9" w:rsidP="001D41EA">
            <w:pPr>
              <w:spacing w:before="40" w:after="20"/>
              <w:jc w:val="center"/>
              <w:rPr>
                <w:rFonts w:cs="Arial"/>
                <w:sz w:val="18"/>
                <w:szCs w:val="18"/>
              </w:rPr>
            </w:pPr>
            <w:r w:rsidRPr="001D41EA">
              <w:rPr>
                <w:rFonts w:cs="Arial"/>
                <w:sz w:val="18"/>
                <w:szCs w:val="18"/>
              </w:rPr>
              <w:t>1.057</w:t>
            </w:r>
          </w:p>
        </w:tc>
        <w:tc>
          <w:tcPr>
            <w:tcW w:w="1247" w:type="dxa"/>
            <w:tcBorders>
              <w:top w:val="nil"/>
              <w:left w:val="nil"/>
              <w:bottom w:val="nil"/>
              <w:right w:val="nil"/>
            </w:tcBorders>
            <w:vAlign w:val="bottom"/>
          </w:tcPr>
          <w:p w14:paraId="5DC38CC8" w14:textId="7CC60AE3" w:rsidR="00566EA9" w:rsidRPr="001D41EA" w:rsidRDefault="00566EA9" w:rsidP="001D41EA">
            <w:pPr>
              <w:spacing w:before="40" w:after="20"/>
              <w:jc w:val="center"/>
              <w:rPr>
                <w:rFonts w:cs="Arial"/>
                <w:sz w:val="18"/>
                <w:szCs w:val="18"/>
              </w:rPr>
            </w:pPr>
            <w:r w:rsidRPr="001D41EA">
              <w:rPr>
                <w:rFonts w:cs="Arial"/>
                <w:sz w:val="18"/>
                <w:szCs w:val="18"/>
              </w:rPr>
              <w:t>1.054</w:t>
            </w:r>
          </w:p>
        </w:tc>
        <w:tc>
          <w:tcPr>
            <w:tcW w:w="170" w:type="dxa"/>
            <w:tcBorders>
              <w:top w:val="nil"/>
              <w:left w:val="nil"/>
              <w:bottom w:val="nil"/>
              <w:right w:val="nil"/>
            </w:tcBorders>
            <w:vAlign w:val="bottom"/>
          </w:tcPr>
          <w:p w14:paraId="31FCC294" w14:textId="549C8EB0"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48C16D26" w14:textId="151AE941" w:rsidR="00566EA9" w:rsidRPr="001D41EA" w:rsidRDefault="00566EA9" w:rsidP="001D41EA">
            <w:pPr>
              <w:spacing w:before="40" w:after="20"/>
              <w:jc w:val="center"/>
              <w:rPr>
                <w:rFonts w:cs="Arial"/>
                <w:sz w:val="18"/>
                <w:szCs w:val="18"/>
              </w:rPr>
            </w:pPr>
            <w:r w:rsidRPr="001D41EA">
              <w:rPr>
                <w:rFonts w:cs="Arial"/>
                <w:sz w:val="18"/>
                <w:szCs w:val="18"/>
              </w:rPr>
              <w:t>1.008</w:t>
            </w:r>
          </w:p>
        </w:tc>
      </w:tr>
      <w:tr w:rsidR="00566EA9" w:rsidRPr="001D41EA" w14:paraId="229B588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300D26B" w14:textId="77777777" w:rsidR="00566EA9" w:rsidRPr="001D41EA" w:rsidRDefault="00566EA9" w:rsidP="001D41EA">
            <w:pPr>
              <w:spacing w:before="40" w:after="20"/>
              <w:rPr>
                <w:rFonts w:cs="Arial"/>
                <w:sz w:val="18"/>
                <w:szCs w:val="18"/>
              </w:rPr>
            </w:pPr>
            <w:r w:rsidRPr="001D41EA">
              <w:rPr>
                <w:rFonts w:cs="Arial"/>
                <w:sz w:val="18"/>
                <w:szCs w:val="18"/>
              </w:rPr>
              <w:t>Swan Hill RC</w:t>
            </w:r>
          </w:p>
        </w:tc>
        <w:tc>
          <w:tcPr>
            <w:tcW w:w="1247" w:type="dxa"/>
            <w:tcBorders>
              <w:top w:val="nil"/>
              <w:left w:val="single" w:sz="18" w:space="0" w:color="5F497A" w:themeColor="accent4" w:themeShade="BF"/>
              <w:bottom w:val="nil"/>
              <w:right w:val="nil"/>
            </w:tcBorders>
            <w:shd w:val="clear" w:color="auto" w:fill="auto"/>
            <w:vAlign w:val="bottom"/>
          </w:tcPr>
          <w:p w14:paraId="01955447" w14:textId="44732AFE" w:rsidR="00566EA9" w:rsidRPr="001D41EA" w:rsidRDefault="00566EA9" w:rsidP="001D41EA">
            <w:pPr>
              <w:spacing w:before="40" w:after="20"/>
              <w:jc w:val="center"/>
              <w:rPr>
                <w:rFonts w:cs="Arial"/>
                <w:sz w:val="18"/>
                <w:szCs w:val="18"/>
              </w:rPr>
            </w:pPr>
            <w:r w:rsidRPr="001D41EA">
              <w:rPr>
                <w:rFonts w:cs="Arial"/>
                <w:sz w:val="18"/>
                <w:szCs w:val="18"/>
              </w:rPr>
              <w:t>0.780</w:t>
            </w:r>
          </w:p>
        </w:tc>
        <w:tc>
          <w:tcPr>
            <w:tcW w:w="1247" w:type="dxa"/>
            <w:tcBorders>
              <w:top w:val="nil"/>
              <w:left w:val="nil"/>
              <w:bottom w:val="nil"/>
              <w:right w:val="nil"/>
            </w:tcBorders>
            <w:vAlign w:val="bottom"/>
          </w:tcPr>
          <w:p w14:paraId="5E092A87" w14:textId="11453DF3" w:rsidR="00566EA9" w:rsidRPr="001D41EA" w:rsidRDefault="00566EA9" w:rsidP="001D41EA">
            <w:pPr>
              <w:spacing w:before="40" w:after="20"/>
              <w:jc w:val="center"/>
              <w:rPr>
                <w:rFonts w:cs="Arial"/>
                <w:sz w:val="18"/>
                <w:szCs w:val="18"/>
              </w:rPr>
            </w:pPr>
            <w:r w:rsidRPr="001D41EA">
              <w:rPr>
                <w:rFonts w:cs="Arial"/>
                <w:sz w:val="18"/>
                <w:szCs w:val="18"/>
              </w:rPr>
              <w:t>0.782</w:t>
            </w:r>
          </w:p>
        </w:tc>
        <w:tc>
          <w:tcPr>
            <w:tcW w:w="1247" w:type="dxa"/>
            <w:tcBorders>
              <w:top w:val="nil"/>
              <w:left w:val="nil"/>
              <w:bottom w:val="nil"/>
              <w:right w:val="nil"/>
            </w:tcBorders>
            <w:vAlign w:val="bottom"/>
          </w:tcPr>
          <w:p w14:paraId="58CECF94" w14:textId="2866476E" w:rsidR="00566EA9" w:rsidRPr="001D41EA" w:rsidRDefault="00566EA9" w:rsidP="001D41EA">
            <w:pPr>
              <w:spacing w:before="40" w:after="20"/>
              <w:jc w:val="center"/>
              <w:rPr>
                <w:rFonts w:cs="Arial"/>
                <w:sz w:val="18"/>
                <w:szCs w:val="18"/>
              </w:rPr>
            </w:pPr>
            <w:r w:rsidRPr="001D41EA">
              <w:rPr>
                <w:rFonts w:cs="Arial"/>
                <w:sz w:val="18"/>
                <w:szCs w:val="18"/>
              </w:rPr>
              <w:t>0.780</w:t>
            </w:r>
          </w:p>
        </w:tc>
        <w:tc>
          <w:tcPr>
            <w:tcW w:w="170" w:type="dxa"/>
            <w:tcBorders>
              <w:top w:val="nil"/>
              <w:left w:val="nil"/>
              <w:bottom w:val="nil"/>
              <w:right w:val="nil"/>
            </w:tcBorders>
            <w:vAlign w:val="bottom"/>
          </w:tcPr>
          <w:p w14:paraId="10FE4BEB" w14:textId="76CF0A9E"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06B32B93" w14:textId="7FD7506C" w:rsidR="00566EA9" w:rsidRPr="001D41EA" w:rsidRDefault="00566EA9" w:rsidP="001D41EA">
            <w:pPr>
              <w:spacing w:before="40" w:after="20"/>
              <w:jc w:val="center"/>
              <w:rPr>
                <w:rFonts w:cs="Arial"/>
                <w:sz w:val="18"/>
                <w:szCs w:val="18"/>
              </w:rPr>
            </w:pPr>
            <w:r w:rsidRPr="001D41EA">
              <w:rPr>
                <w:rFonts w:cs="Arial"/>
                <w:sz w:val="18"/>
                <w:szCs w:val="18"/>
              </w:rPr>
              <w:t>1.056</w:t>
            </w:r>
          </w:p>
        </w:tc>
      </w:tr>
      <w:tr w:rsidR="00566EA9" w:rsidRPr="001D41EA" w14:paraId="1C751C7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CA020BD" w14:textId="77777777" w:rsidR="00566EA9" w:rsidRPr="001D41EA" w:rsidRDefault="00566EA9" w:rsidP="001D41EA">
            <w:pPr>
              <w:spacing w:before="40" w:after="20"/>
              <w:rPr>
                <w:rFonts w:cs="Arial"/>
                <w:sz w:val="18"/>
                <w:szCs w:val="18"/>
              </w:rPr>
            </w:pPr>
            <w:r w:rsidRPr="001D41EA">
              <w:rPr>
                <w:rFonts w:cs="Arial"/>
                <w:sz w:val="18"/>
                <w:szCs w:val="18"/>
              </w:rPr>
              <w:t>Towong S</w:t>
            </w:r>
          </w:p>
        </w:tc>
        <w:tc>
          <w:tcPr>
            <w:tcW w:w="1247" w:type="dxa"/>
            <w:tcBorders>
              <w:top w:val="nil"/>
              <w:left w:val="single" w:sz="18" w:space="0" w:color="5F497A" w:themeColor="accent4" w:themeShade="BF"/>
              <w:bottom w:val="nil"/>
              <w:right w:val="nil"/>
            </w:tcBorders>
            <w:shd w:val="clear" w:color="auto" w:fill="auto"/>
            <w:vAlign w:val="bottom"/>
          </w:tcPr>
          <w:p w14:paraId="6614C980" w14:textId="02353759" w:rsidR="00566EA9" w:rsidRPr="001D41EA" w:rsidRDefault="00566EA9" w:rsidP="001D41EA">
            <w:pPr>
              <w:spacing w:before="40" w:after="20"/>
              <w:jc w:val="center"/>
              <w:rPr>
                <w:rFonts w:cs="Arial"/>
                <w:sz w:val="18"/>
                <w:szCs w:val="18"/>
              </w:rPr>
            </w:pPr>
            <w:r w:rsidRPr="001D41EA">
              <w:rPr>
                <w:rFonts w:cs="Arial"/>
                <w:sz w:val="18"/>
                <w:szCs w:val="18"/>
              </w:rPr>
              <w:t>0.858</w:t>
            </w:r>
          </w:p>
        </w:tc>
        <w:tc>
          <w:tcPr>
            <w:tcW w:w="1247" w:type="dxa"/>
            <w:tcBorders>
              <w:top w:val="nil"/>
              <w:left w:val="nil"/>
              <w:bottom w:val="nil"/>
              <w:right w:val="nil"/>
            </w:tcBorders>
            <w:vAlign w:val="bottom"/>
          </w:tcPr>
          <w:p w14:paraId="521F0294" w14:textId="4E990B67" w:rsidR="00566EA9" w:rsidRPr="001D41EA" w:rsidRDefault="00566EA9" w:rsidP="001D41EA">
            <w:pPr>
              <w:spacing w:before="40" w:after="20"/>
              <w:jc w:val="center"/>
              <w:rPr>
                <w:rFonts w:cs="Arial"/>
                <w:sz w:val="18"/>
                <w:szCs w:val="18"/>
              </w:rPr>
            </w:pPr>
            <w:r w:rsidRPr="001D41EA">
              <w:rPr>
                <w:rFonts w:cs="Arial"/>
                <w:sz w:val="18"/>
                <w:szCs w:val="18"/>
              </w:rPr>
              <w:t>0.861</w:t>
            </w:r>
          </w:p>
        </w:tc>
        <w:tc>
          <w:tcPr>
            <w:tcW w:w="1247" w:type="dxa"/>
            <w:tcBorders>
              <w:top w:val="nil"/>
              <w:left w:val="nil"/>
              <w:bottom w:val="nil"/>
              <w:right w:val="nil"/>
            </w:tcBorders>
            <w:vAlign w:val="bottom"/>
          </w:tcPr>
          <w:p w14:paraId="46832158" w14:textId="60573F7E" w:rsidR="00566EA9" w:rsidRPr="001D41EA" w:rsidRDefault="00566EA9" w:rsidP="001D41EA">
            <w:pPr>
              <w:spacing w:before="40" w:after="20"/>
              <w:jc w:val="center"/>
              <w:rPr>
                <w:rFonts w:cs="Arial"/>
                <w:sz w:val="18"/>
                <w:szCs w:val="18"/>
              </w:rPr>
            </w:pPr>
            <w:r w:rsidRPr="001D41EA">
              <w:rPr>
                <w:rFonts w:cs="Arial"/>
                <w:sz w:val="18"/>
                <w:szCs w:val="18"/>
              </w:rPr>
              <w:t>0.859</w:t>
            </w:r>
          </w:p>
        </w:tc>
        <w:tc>
          <w:tcPr>
            <w:tcW w:w="170" w:type="dxa"/>
            <w:tcBorders>
              <w:top w:val="nil"/>
              <w:left w:val="nil"/>
              <w:bottom w:val="nil"/>
              <w:right w:val="nil"/>
            </w:tcBorders>
            <w:vAlign w:val="bottom"/>
          </w:tcPr>
          <w:p w14:paraId="2FA311C0" w14:textId="0E2BA3C9"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1DECB1FE" w14:textId="3B3715C9" w:rsidR="00566EA9" w:rsidRPr="001D41EA" w:rsidRDefault="00566EA9" w:rsidP="001D41EA">
            <w:pPr>
              <w:spacing w:before="40" w:after="20"/>
              <w:jc w:val="center"/>
              <w:rPr>
                <w:rFonts w:cs="Arial"/>
                <w:sz w:val="18"/>
                <w:szCs w:val="18"/>
              </w:rPr>
            </w:pPr>
            <w:r w:rsidRPr="001D41EA">
              <w:rPr>
                <w:rFonts w:cs="Arial"/>
                <w:sz w:val="18"/>
                <w:szCs w:val="18"/>
              </w:rPr>
              <w:t>0.836</w:t>
            </w:r>
          </w:p>
        </w:tc>
      </w:tr>
      <w:tr w:rsidR="00566EA9" w:rsidRPr="001D41EA" w14:paraId="4542C33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3D0D33F" w14:textId="77777777" w:rsidR="00566EA9" w:rsidRPr="001D41EA" w:rsidRDefault="00566EA9" w:rsidP="001D41EA">
            <w:pPr>
              <w:spacing w:before="40" w:after="20"/>
              <w:rPr>
                <w:rFonts w:cs="Arial"/>
                <w:sz w:val="18"/>
                <w:szCs w:val="18"/>
              </w:rPr>
            </w:pPr>
            <w:r w:rsidRPr="001D41EA">
              <w:rPr>
                <w:rFonts w:cs="Arial"/>
                <w:sz w:val="18"/>
                <w:szCs w:val="18"/>
              </w:rPr>
              <w:t>Wangaratta RC</w:t>
            </w:r>
          </w:p>
        </w:tc>
        <w:tc>
          <w:tcPr>
            <w:tcW w:w="1247" w:type="dxa"/>
            <w:tcBorders>
              <w:top w:val="nil"/>
              <w:left w:val="single" w:sz="18" w:space="0" w:color="5F497A" w:themeColor="accent4" w:themeShade="BF"/>
              <w:bottom w:val="nil"/>
              <w:right w:val="nil"/>
            </w:tcBorders>
            <w:shd w:val="clear" w:color="auto" w:fill="auto"/>
            <w:vAlign w:val="bottom"/>
          </w:tcPr>
          <w:p w14:paraId="0D44FA92" w14:textId="4B4B8999" w:rsidR="00566EA9" w:rsidRPr="001D41EA" w:rsidRDefault="00566EA9" w:rsidP="001D41EA">
            <w:pPr>
              <w:spacing w:before="40" w:after="20"/>
              <w:jc w:val="center"/>
              <w:rPr>
                <w:rFonts w:cs="Arial"/>
                <w:sz w:val="18"/>
                <w:szCs w:val="18"/>
              </w:rPr>
            </w:pPr>
            <w:r w:rsidRPr="001D41EA">
              <w:rPr>
                <w:rFonts w:cs="Arial"/>
                <w:sz w:val="18"/>
                <w:szCs w:val="18"/>
              </w:rPr>
              <w:t>0.921</w:t>
            </w:r>
          </w:p>
        </w:tc>
        <w:tc>
          <w:tcPr>
            <w:tcW w:w="1247" w:type="dxa"/>
            <w:tcBorders>
              <w:top w:val="nil"/>
              <w:left w:val="nil"/>
              <w:bottom w:val="nil"/>
              <w:right w:val="nil"/>
            </w:tcBorders>
            <w:vAlign w:val="bottom"/>
          </w:tcPr>
          <w:p w14:paraId="075B21BE" w14:textId="2BEA9AA9" w:rsidR="00566EA9" w:rsidRPr="001D41EA" w:rsidRDefault="00566EA9" w:rsidP="001D41EA">
            <w:pPr>
              <w:spacing w:before="40" w:after="20"/>
              <w:jc w:val="center"/>
              <w:rPr>
                <w:rFonts w:cs="Arial"/>
                <w:sz w:val="18"/>
                <w:szCs w:val="18"/>
              </w:rPr>
            </w:pPr>
            <w:r w:rsidRPr="001D41EA">
              <w:rPr>
                <w:rFonts w:cs="Arial"/>
                <w:sz w:val="18"/>
                <w:szCs w:val="18"/>
              </w:rPr>
              <w:t>0.924</w:t>
            </w:r>
          </w:p>
        </w:tc>
        <w:tc>
          <w:tcPr>
            <w:tcW w:w="1247" w:type="dxa"/>
            <w:tcBorders>
              <w:top w:val="nil"/>
              <w:left w:val="nil"/>
              <w:bottom w:val="nil"/>
              <w:right w:val="nil"/>
            </w:tcBorders>
            <w:vAlign w:val="bottom"/>
          </w:tcPr>
          <w:p w14:paraId="2A4D6EFC" w14:textId="623C0455" w:rsidR="00566EA9" w:rsidRPr="001D41EA" w:rsidRDefault="00566EA9" w:rsidP="001D41EA">
            <w:pPr>
              <w:spacing w:before="40" w:after="20"/>
              <w:jc w:val="center"/>
              <w:rPr>
                <w:rFonts w:cs="Arial"/>
                <w:sz w:val="18"/>
                <w:szCs w:val="18"/>
              </w:rPr>
            </w:pPr>
            <w:r w:rsidRPr="001D41EA">
              <w:rPr>
                <w:rFonts w:cs="Arial"/>
                <w:sz w:val="18"/>
                <w:szCs w:val="18"/>
              </w:rPr>
              <w:t>0.921</w:t>
            </w:r>
          </w:p>
        </w:tc>
        <w:tc>
          <w:tcPr>
            <w:tcW w:w="170" w:type="dxa"/>
            <w:tcBorders>
              <w:top w:val="nil"/>
              <w:left w:val="nil"/>
              <w:bottom w:val="nil"/>
              <w:right w:val="nil"/>
            </w:tcBorders>
            <w:vAlign w:val="bottom"/>
          </w:tcPr>
          <w:p w14:paraId="77A77902" w14:textId="337F20E6"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EDA3C28" w14:textId="2F1DE03D" w:rsidR="00566EA9" w:rsidRPr="001D41EA" w:rsidRDefault="00566EA9" w:rsidP="001D41EA">
            <w:pPr>
              <w:spacing w:before="40" w:after="20"/>
              <w:jc w:val="center"/>
              <w:rPr>
                <w:rFonts w:cs="Arial"/>
                <w:sz w:val="18"/>
                <w:szCs w:val="18"/>
              </w:rPr>
            </w:pPr>
            <w:r w:rsidRPr="001D41EA">
              <w:rPr>
                <w:rFonts w:cs="Arial"/>
                <w:sz w:val="18"/>
                <w:szCs w:val="18"/>
              </w:rPr>
              <w:t>0.901</w:t>
            </w:r>
          </w:p>
        </w:tc>
      </w:tr>
      <w:tr w:rsidR="00566EA9" w:rsidRPr="001D41EA" w14:paraId="0C08C81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D48ECFA" w14:textId="77777777" w:rsidR="00566EA9" w:rsidRPr="001D41EA" w:rsidRDefault="00566EA9" w:rsidP="001D41EA">
            <w:pPr>
              <w:spacing w:before="40" w:after="20"/>
              <w:rPr>
                <w:rFonts w:cs="Arial"/>
                <w:sz w:val="18"/>
                <w:szCs w:val="18"/>
              </w:rPr>
            </w:pPr>
            <w:r w:rsidRPr="001D41EA">
              <w:rPr>
                <w:rFonts w:cs="Arial"/>
                <w:sz w:val="18"/>
                <w:szCs w:val="18"/>
              </w:rPr>
              <w:t>Warrnambool C</w:t>
            </w:r>
          </w:p>
        </w:tc>
        <w:tc>
          <w:tcPr>
            <w:tcW w:w="1247" w:type="dxa"/>
            <w:tcBorders>
              <w:top w:val="nil"/>
              <w:left w:val="single" w:sz="18" w:space="0" w:color="5F497A" w:themeColor="accent4" w:themeShade="BF"/>
              <w:bottom w:val="nil"/>
              <w:right w:val="nil"/>
            </w:tcBorders>
            <w:shd w:val="clear" w:color="auto" w:fill="auto"/>
            <w:vAlign w:val="bottom"/>
          </w:tcPr>
          <w:p w14:paraId="61B80949" w14:textId="28303EFB" w:rsidR="00566EA9" w:rsidRPr="001D41EA" w:rsidRDefault="00566EA9" w:rsidP="001D41EA">
            <w:pPr>
              <w:spacing w:before="40" w:after="20"/>
              <w:jc w:val="center"/>
              <w:rPr>
                <w:rFonts w:cs="Arial"/>
                <w:sz w:val="18"/>
                <w:szCs w:val="18"/>
              </w:rPr>
            </w:pPr>
            <w:r w:rsidRPr="001D41EA">
              <w:rPr>
                <w:rFonts w:cs="Arial"/>
                <w:sz w:val="18"/>
                <w:szCs w:val="18"/>
              </w:rPr>
              <w:t>0.849</w:t>
            </w:r>
          </w:p>
        </w:tc>
        <w:tc>
          <w:tcPr>
            <w:tcW w:w="1247" w:type="dxa"/>
            <w:tcBorders>
              <w:top w:val="nil"/>
              <w:left w:val="nil"/>
              <w:bottom w:val="nil"/>
              <w:right w:val="nil"/>
            </w:tcBorders>
            <w:vAlign w:val="bottom"/>
          </w:tcPr>
          <w:p w14:paraId="425EA6FC" w14:textId="5DECED36" w:rsidR="00566EA9" w:rsidRPr="001D41EA" w:rsidRDefault="00566EA9" w:rsidP="001D41EA">
            <w:pPr>
              <w:spacing w:before="40" w:after="20"/>
              <w:jc w:val="center"/>
              <w:rPr>
                <w:rFonts w:cs="Arial"/>
                <w:sz w:val="18"/>
                <w:szCs w:val="18"/>
              </w:rPr>
            </w:pPr>
            <w:r w:rsidRPr="001D41EA">
              <w:rPr>
                <w:rFonts w:cs="Arial"/>
                <w:sz w:val="18"/>
                <w:szCs w:val="18"/>
              </w:rPr>
              <w:t>0.852</w:t>
            </w:r>
          </w:p>
        </w:tc>
        <w:tc>
          <w:tcPr>
            <w:tcW w:w="1247" w:type="dxa"/>
            <w:tcBorders>
              <w:top w:val="nil"/>
              <w:left w:val="nil"/>
              <w:bottom w:val="nil"/>
              <w:right w:val="nil"/>
            </w:tcBorders>
            <w:vAlign w:val="bottom"/>
          </w:tcPr>
          <w:p w14:paraId="6C4926E2" w14:textId="65551C23" w:rsidR="00566EA9" w:rsidRPr="001D41EA" w:rsidRDefault="00566EA9" w:rsidP="001D41EA">
            <w:pPr>
              <w:spacing w:before="40" w:after="20"/>
              <w:jc w:val="center"/>
              <w:rPr>
                <w:rFonts w:cs="Arial"/>
                <w:sz w:val="18"/>
                <w:szCs w:val="18"/>
              </w:rPr>
            </w:pPr>
            <w:r w:rsidRPr="001D41EA">
              <w:rPr>
                <w:rFonts w:cs="Arial"/>
                <w:sz w:val="18"/>
                <w:szCs w:val="18"/>
              </w:rPr>
              <w:t>0.849</w:t>
            </w:r>
          </w:p>
        </w:tc>
        <w:tc>
          <w:tcPr>
            <w:tcW w:w="170" w:type="dxa"/>
            <w:tcBorders>
              <w:top w:val="nil"/>
              <w:left w:val="nil"/>
              <w:bottom w:val="nil"/>
              <w:right w:val="nil"/>
            </w:tcBorders>
            <w:vAlign w:val="bottom"/>
          </w:tcPr>
          <w:p w14:paraId="4D65A57C" w14:textId="0D255DA9"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4F8A69C7" w14:textId="6D86C1EE" w:rsidR="00566EA9" w:rsidRPr="001D41EA" w:rsidRDefault="00566EA9" w:rsidP="001D41EA">
            <w:pPr>
              <w:spacing w:before="40" w:after="20"/>
              <w:jc w:val="center"/>
              <w:rPr>
                <w:rFonts w:cs="Arial"/>
                <w:sz w:val="18"/>
                <w:szCs w:val="18"/>
              </w:rPr>
            </w:pPr>
            <w:r w:rsidRPr="001D41EA">
              <w:rPr>
                <w:rFonts w:cs="Arial"/>
                <w:sz w:val="18"/>
                <w:szCs w:val="18"/>
              </w:rPr>
              <w:t>0.939</w:t>
            </w:r>
          </w:p>
        </w:tc>
      </w:tr>
      <w:tr w:rsidR="00566EA9" w:rsidRPr="001D41EA" w14:paraId="147641E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7F006AC" w14:textId="77777777" w:rsidR="00566EA9" w:rsidRPr="001D41EA" w:rsidRDefault="00566EA9" w:rsidP="001D41EA">
            <w:pPr>
              <w:spacing w:before="40" w:after="20"/>
              <w:rPr>
                <w:rFonts w:cs="Arial"/>
                <w:sz w:val="18"/>
                <w:szCs w:val="18"/>
              </w:rPr>
            </w:pPr>
            <w:r w:rsidRPr="001D41EA">
              <w:rPr>
                <w:rFonts w:cs="Arial"/>
                <w:sz w:val="18"/>
                <w:szCs w:val="18"/>
              </w:rPr>
              <w:t>Wellington S</w:t>
            </w:r>
          </w:p>
        </w:tc>
        <w:tc>
          <w:tcPr>
            <w:tcW w:w="1247" w:type="dxa"/>
            <w:tcBorders>
              <w:top w:val="nil"/>
              <w:left w:val="single" w:sz="18" w:space="0" w:color="5F497A" w:themeColor="accent4" w:themeShade="BF"/>
              <w:bottom w:val="nil"/>
              <w:right w:val="nil"/>
            </w:tcBorders>
            <w:shd w:val="clear" w:color="auto" w:fill="auto"/>
            <w:vAlign w:val="bottom"/>
          </w:tcPr>
          <w:p w14:paraId="5E3CCDCC" w14:textId="65CAC7BC" w:rsidR="00566EA9" w:rsidRPr="001D41EA" w:rsidRDefault="00566EA9" w:rsidP="001D41EA">
            <w:pPr>
              <w:spacing w:before="40" w:after="20"/>
              <w:jc w:val="center"/>
              <w:rPr>
                <w:rFonts w:cs="Arial"/>
                <w:sz w:val="18"/>
                <w:szCs w:val="18"/>
              </w:rPr>
            </w:pPr>
            <w:r w:rsidRPr="001D41EA">
              <w:rPr>
                <w:rFonts w:cs="Arial"/>
                <w:sz w:val="18"/>
                <w:szCs w:val="18"/>
              </w:rPr>
              <w:t>0.856</w:t>
            </w:r>
          </w:p>
        </w:tc>
        <w:tc>
          <w:tcPr>
            <w:tcW w:w="1247" w:type="dxa"/>
            <w:tcBorders>
              <w:top w:val="nil"/>
              <w:left w:val="nil"/>
              <w:bottom w:val="nil"/>
              <w:right w:val="nil"/>
            </w:tcBorders>
            <w:vAlign w:val="bottom"/>
          </w:tcPr>
          <w:p w14:paraId="53BFA843" w14:textId="2F5D764D" w:rsidR="00566EA9" w:rsidRPr="001D41EA" w:rsidRDefault="00566EA9" w:rsidP="001D41EA">
            <w:pPr>
              <w:spacing w:before="40" w:after="20"/>
              <w:jc w:val="center"/>
              <w:rPr>
                <w:rFonts w:cs="Arial"/>
                <w:sz w:val="18"/>
                <w:szCs w:val="18"/>
              </w:rPr>
            </w:pPr>
            <w:r w:rsidRPr="001D41EA">
              <w:rPr>
                <w:rFonts w:cs="Arial"/>
                <w:sz w:val="18"/>
                <w:szCs w:val="18"/>
              </w:rPr>
              <w:t>0.859</w:t>
            </w:r>
          </w:p>
        </w:tc>
        <w:tc>
          <w:tcPr>
            <w:tcW w:w="1247" w:type="dxa"/>
            <w:tcBorders>
              <w:top w:val="nil"/>
              <w:left w:val="nil"/>
              <w:bottom w:val="nil"/>
              <w:right w:val="nil"/>
            </w:tcBorders>
            <w:vAlign w:val="bottom"/>
          </w:tcPr>
          <w:p w14:paraId="5DAFF8BA" w14:textId="2F903D3E" w:rsidR="00566EA9" w:rsidRPr="001D41EA" w:rsidRDefault="00566EA9" w:rsidP="001D41EA">
            <w:pPr>
              <w:spacing w:before="40" w:after="20"/>
              <w:jc w:val="center"/>
              <w:rPr>
                <w:rFonts w:cs="Arial"/>
                <w:sz w:val="18"/>
                <w:szCs w:val="18"/>
              </w:rPr>
            </w:pPr>
            <w:r w:rsidRPr="001D41EA">
              <w:rPr>
                <w:rFonts w:cs="Arial"/>
                <w:sz w:val="18"/>
                <w:szCs w:val="18"/>
              </w:rPr>
              <w:t>0.857</w:t>
            </w:r>
          </w:p>
        </w:tc>
        <w:tc>
          <w:tcPr>
            <w:tcW w:w="170" w:type="dxa"/>
            <w:tcBorders>
              <w:top w:val="nil"/>
              <w:left w:val="nil"/>
              <w:bottom w:val="nil"/>
              <w:right w:val="nil"/>
            </w:tcBorders>
            <w:vAlign w:val="bottom"/>
          </w:tcPr>
          <w:p w14:paraId="42E5EDCF" w14:textId="4B8A421F"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09E0E9CE" w14:textId="12178DDC" w:rsidR="00566EA9" w:rsidRPr="001D41EA" w:rsidRDefault="00566EA9" w:rsidP="001D41EA">
            <w:pPr>
              <w:spacing w:before="40" w:after="20"/>
              <w:jc w:val="center"/>
              <w:rPr>
                <w:rFonts w:cs="Arial"/>
                <w:sz w:val="18"/>
                <w:szCs w:val="18"/>
              </w:rPr>
            </w:pPr>
            <w:r w:rsidRPr="001D41EA">
              <w:rPr>
                <w:rFonts w:cs="Arial"/>
                <w:sz w:val="18"/>
                <w:szCs w:val="18"/>
              </w:rPr>
              <w:t>0.935</w:t>
            </w:r>
          </w:p>
        </w:tc>
      </w:tr>
      <w:tr w:rsidR="00566EA9" w:rsidRPr="001D41EA" w14:paraId="7F4D44D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7CA1781" w14:textId="77777777" w:rsidR="00566EA9" w:rsidRPr="001D41EA" w:rsidRDefault="00566EA9" w:rsidP="001D41EA">
            <w:pPr>
              <w:spacing w:before="40" w:after="20"/>
              <w:rPr>
                <w:rFonts w:cs="Arial"/>
                <w:sz w:val="18"/>
                <w:szCs w:val="18"/>
              </w:rPr>
            </w:pPr>
            <w:r w:rsidRPr="001D41EA">
              <w:rPr>
                <w:rFonts w:cs="Arial"/>
                <w:sz w:val="18"/>
                <w:szCs w:val="18"/>
              </w:rPr>
              <w:t>West Wimmera S</w:t>
            </w:r>
          </w:p>
        </w:tc>
        <w:tc>
          <w:tcPr>
            <w:tcW w:w="1247" w:type="dxa"/>
            <w:tcBorders>
              <w:top w:val="nil"/>
              <w:left w:val="single" w:sz="18" w:space="0" w:color="5F497A" w:themeColor="accent4" w:themeShade="BF"/>
              <w:bottom w:val="nil"/>
              <w:right w:val="nil"/>
            </w:tcBorders>
            <w:shd w:val="clear" w:color="auto" w:fill="auto"/>
            <w:vAlign w:val="bottom"/>
          </w:tcPr>
          <w:p w14:paraId="3EF45D45" w14:textId="2CA9E84C" w:rsidR="00566EA9" w:rsidRPr="001D41EA" w:rsidRDefault="00566EA9" w:rsidP="001D41EA">
            <w:pPr>
              <w:spacing w:before="40" w:after="20"/>
              <w:jc w:val="center"/>
              <w:rPr>
                <w:rFonts w:cs="Arial"/>
                <w:sz w:val="18"/>
                <w:szCs w:val="18"/>
              </w:rPr>
            </w:pPr>
            <w:r w:rsidRPr="001D41EA">
              <w:rPr>
                <w:rFonts w:cs="Arial"/>
                <w:sz w:val="18"/>
                <w:szCs w:val="18"/>
              </w:rPr>
              <w:t>0.694</w:t>
            </w:r>
          </w:p>
        </w:tc>
        <w:tc>
          <w:tcPr>
            <w:tcW w:w="1247" w:type="dxa"/>
            <w:tcBorders>
              <w:top w:val="nil"/>
              <w:left w:val="nil"/>
              <w:bottom w:val="nil"/>
              <w:right w:val="nil"/>
            </w:tcBorders>
            <w:vAlign w:val="bottom"/>
          </w:tcPr>
          <w:p w14:paraId="7046B7D0" w14:textId="0D416801" w:rsidR="00566EA9" w:rsidRPr="001D41EA" w:rsidRDefault="00566EA9" w:rsidP="001D41EA">
            <w:pPr>
              <w:spacing w:before="40" w:after="20"/>
              <w:jc w:val="center"/>
              <w:rPr>
                <w:rFonts w:cs="Arial"/>
                <w:sz w:val="18"/>
                <w:szCs w:val="18"/>
              </w:rPr>
            </w:pPr>
            <w:r w:rsidRPr="001D41EA">
              <w:rPr>
                <w:rFonts w:cs="Arial"/>
                <w:sz w:val="18"/>
                <w:szCs w:val="18"/>
              </w:rPr>
              <w:t>0.696</w:t>
            </w:r>
          </w:p>
        </w:tc>
        <w:tc>
          <w:tcPr>
            <w:tcW w:w="1247" w:type="dxa"/>
            <w:tcBorders>
              <w:top w:val="nil"/>
              <w:left w:val="nil"/>
              <w:bottom w:val="nil"/>
              <w:right w:val="nil"/>
            </w:tcBorders>
            <w:vAlign w:val="bottom"/>
          </w:tcPr>
          <w:p w14:paraId="3FAAFCC1" w14:textId="213FB147" w:rsidR="00566EA9" w:rsidRPr="001D41EA" w:rsidRDefault="00566EA9" w:rsidP="001D41EA">
            <w:pPr>
              <w:spacing w:before="40" w:after="20"/>
              <w:jc w:val="center"/>
              <w:rPr>
                <w:rFonts w:cs="Arial"/>
                <w:sz w:val="18"/>
                <w:szCs w:val="18"/>
              </w:rPr>
            </w:pPr>
            <w:r w:rsidRPr="001D41EA">
              <w:rPr>
                <w:rFonts w:cs="Arial"/>
                <w:sz w:val="18"/>
                <w:szCs w:val="18"/>
              </w:rPr>
              <w:t>0.694</w:t>
            </w:r>
          </w:p>
        </w:tc>
        <w:tc>
          <w:tcPr>
            <w:tcW w:w="170" w:type="dxa"/>
            <w:tcBorders>
              <w:top w:val="nil"/>
              <w:left w:val="nil"/>
              <w:bottom w:val="nil"/>
              <w:right w:val="nil"/>
            </w:tcBorders>
            <w:vAlign w:val="bottom"/>
          </w:tcPr>
          <w:p w14:paraId="1DAF460B" w14:textId="2380AC23"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81EC3E0" w14:textId="1A588F29" w:rsidR="00566EA9" w:rsidRPr="001D41EA" w:rsidRDefault="00566EA9" w:rsidP="001D41EA">
            <w:pPr>
              <w:spacing w:before="40" w:after="20"/>
              <w:jc w:val="center"/>
              <w:rPr>
                <w:rFonts w:cs="Arial"/>
                <w:sz w:val="18"/>
                <w:szCs w:val="18"/>
              </w:rPr>
            </w:pPr>
            <w:r w:rsidRPr="001D41EA">
              <w:rPr>
                <w:rFonts w:cs="Arial"/>
                <w:sz w:val="18"/>
                <w:szCs w:val="18"/>
              </w:rPr>
              <w:t>0.926</w:t>
            </w:r>
          </w:p>
        </w:tc>
      </w:tr>
      <w:tr w:rsidR="00566EA9" w:rsidRPr="001D41EA" w14:paraId="75354C6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256A520" w14:textId="77777777" w:rsidR="00566EA9" w:rsidRPr="001D41EA" w:rsidRDefault="00566EA9" w:rsidP="001D41EA">
            <w:pPr>
              <w:spacing w:before="40" w:after="20"/>
              <w:rPr>
                <w:rFonts w:cs="Arial"/>
                <w:sz w:val="18"/>
                <w:szCs w:val="18"/>
              </w:rPr>
            </w:pPr>
            <w:r w:rsidRPr="001D41EA">
              <w:rPr>
                <w:rFonts w:cs="Arial"/>
                <w:sz w:val="18"/>
                <w:szCs w:val="18"/>
              </w:rPr>
              <w:t>Whitehorse C</w:t>
            </w:r>
          </w:p>
        </w:tc>
        <w:tc>
          <w:tcPr>
            <w:tcW w:w="1247" w:type="dxa"/>
            <w:tcBorders>
              <w:top w:val="nil"/>
              <w:left w:val="single" w:sz="18" w:space="0" w:color="5F497A" w:themeColor="accent4" w:themeShade="BF"/>
              <w:bottom w:val="nil"/>
              <w:right w:val="nil"/>
            </w:tcBorders>
            <w:shd w:val="clear" w:color="auto" w:fill="auto"/>
            <w:vAlign w:val="bottom"/>
          </w:tcPr>
          <w:p w14:paraId="61099F4E" w14:textId="5278E692" w:rsidR="00566EA9" w:rsidRPr="001D41EA" w:rsidRDefault="00566EA9" w:rsidP="001D41EA">
            <w:pPr>
              <w:spacing w:before="40" w:after="20"/>
              <w:jc w:val="center"/>
              <w:rPr>
                <w:rFonts w:cs="Arial"/>
                <w:sz w:val="18"/>
                <w:szCs w:val="18"/>
              </w:rPr>
            </w:pPr>
            <w:r w:rsidRPr="001D41EA">
              <w:rPr>
                <w:rFonts w:cs="Arial"/>
                <w:sz w:val="18"/>
                <w:szCs w:val="18"/>
              </w:rPr>
              <w:t>0.929</w:t>
            </w:r>
          </w:p>
        </w:tc>
        <w:tc>
          <w:tcPr>
            <w:tcW w:w="1247" w:type="dxa"/>
            <w:tcBorders>
              <w:top w:val="nil"/>
              <w:left w:val="nil"/>
              <w:bottom w:val="nil"/>
              <w:right w:val="nil"/>
            </w:tcBorders>
            <w:vAlign w:val="bottom"/>
          </w:tcPr>
          <w:p w14:paraId="6B58A00E" w14:textId="03323E3E" w:rsidR="00566EA9" w:rsidRPr="001D41EA" w:rsidRDefault="00566EA9" w:rsidP="001D41EA">
            <w:pPr>
              <w:spacing w:before="40" w:after="20"/>
              <w:jc w:val="center"/>
              <w:rPr>
                <w:rFonts w:cs="Arial"/>
                <w:sz w:val="18"/>
                <w:szCs w:val="18"/>
              </w:rPr>
            </w:pPr>
            <w:r w:rsidRPr="001D41EA">
              <w:rPr>
                <w:rFonts w:cs="Arial"/>
                <w:sz w:val="18"/>
                <w:szCs w:val="18"/>
              </w:rPr>
              <w:t>0.932</w:t>
            </w:r>
          </w:p>
        </w:tc>
        <w:tc>
          <w:tcPr>
            <w:tcW w:w="1247" w:type="dxa"/>
            <w:tcBorders>
              <w:top w:val="nil"/>
              <w:left w:val="nil"/>
              <w:bottom w:val="nil"/>
              <w:right w:val="nil"/>
            </w:tcBorders>
            <w:vAlign w:val="bottom"/>
          </w:tcPr>
          <w:p w14:paraId="493155A4" w14:textId="398A83C6" w:rsidR="00566EA9" w:rsidRPr="001D41EA" w:rsidRDefault="00566EA9" w:rsidP="001D41EA">
            <w:pPr>
              <w:spacing w:before="40" w:after="20"/>
              <w:jc w:val="center"/>
              <w:rPr>
                <w:rFonts w:cs="Arial"/>
                <w:sz w:val="18"/>
                <w:szCs w:val="18"/>
              </w:rPr>
            </w:pPr>
            <w:r w:rsidRPr="001D41EA">
              <w:rPr>
                <w:rFonts w:cs="Arial"/>
                <w:sz w:val="18"/>
                <w:szCs w:val="18"/>
              </w:rPr>
              <w:t>0.929</w:t>
            </w:r>
          </w:p>
        </w:tc>
        <w:tc>
          <w:tcPr>
            <w:tcW w:w="170" w:type="dxa"/>
            <w:tcBorders>
              <w:top w:val="nil"/>
              <w:left w:val="nil"/>
              <w:bottom w:val="nil"/>
              <w:right w:val="nil"/>
            </w:tcBorders>
            <w:vAlign w:val="bottom"/>
          </w:tcPr>
          <w:p w14:paraId="04AF5A69" w14:textId="11EE2611"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562C1BDA" w14:textId="78370A34" w:rsidR="00566EA9" w:rsidRPr="001D41EA" w:rsidRDefault="00566EA9" w:rsidP="001D41EA">
            <w:pPr>
              <w:spacing w:before="40" w:after="20"/>
              <w:jc w:val="center"/>
              <w:rPr>
                <w:rFonts w:cs="Arial"/>
                <w:sz w:val="18"/>
                <w:szCs w:val="18"/>
              </w:rPr>
            </w:pPr>
            <w:r w:rsidRPr="001D41EA">
              <w:rPr>
                <w:rFonts w:cs="Arial"/>
                <w:sz w:val="18"/>
                <w:szCs w:val="18"/>
              </w:rPr>
              <w:t>0.888</w:t>
            </w:r>
          </w:p>
        </w:tc>
      </w:tr>
      <w:tr w:rsidR="00566EA9" w:rsidRPr="001D41EA" w14:paraId="3CB7FD5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8C07C23" w14:textId="77777777" w:rsidR="00566EA9" w:rsidRPr="001D41EA" w:rsidRDefault="00566EA9" w:rsidP="001D41EA">
            <w:pPr>
              <w:spacing w:before="40" w:after="20"/>
              <w:rPr>
                <w:rFonts w:cs="Arial"/>
                <w:sz w:val="18"/>
                <w:szCs w:val="18"/>
              </w:rPr>
            </w:pPr>
            <w:r w:rsidRPr="001D41EA">
              <w:rPr>
                <w:rFonts w:cs="Arial"/>
                <w:sz w:val="18"/>
                <w:szCs w:val="18"/>
              </w:rPr>
              <w:t>Whittlesea C</w:t>
            </w:r>
          </w:p>
        </w:tc>
        <w:tc>
          <w:tcPr>
            <w:tcW w:w="1247" w:type="dxa"/>
            <w:tcBorders>
              <w:top w:val="nil"/>
              <w:left w:val="single" w:sz="18" w:space="0" w:color="5F497A" w:themeColor="accent4" w:themeShade="BF"/>
              <w:bottom w:val="nil"/>
              <w:right w:val="nil"/>
            </w:tcBorders>
            <w:shd w:val="clear" w:color="auto" w:fill="auto"/>
            <w:vAlign w:val="bottom"/>
          </w:tcPr>
          <w:p w14:paraId="2B66FC18" w14:textId="728F5749" w:rsidR="00566EA9" w:rsidRPr="001D41EA" w:rsidRDefault="00566EA9" w:rsidP="001D41EA">
            <w:pPr>
              <w:spacing w:before="40" w:after="20"/>
              <w:jc w:val="center"/>
              <w:rPr>
                <w:rFonts w:cs="Arial"/>
                <w:sz w:val="18"/>
                <w:szCs w:val="18"/>
              </w:rPr>
            </w:pPr>
            <w:r w:rsidRPr="001D41EA">
              <w:rPr>
                <w:rFonts w:cs="Arial"/>
                <w:sz w:val="18"/>
                <w:szCs w:val="18"/>
              </w:rPr>
              <w:t>1.190</w:t>
            </w:r>
          </w:p>
        </w:tc>
        <w:tc>
          <w:tcPr>
            <w:tcW w:w="1247" w:type="dxa"/>
            <w:tcBorders>
              <w:top w:val="nil"/>
              <w:left w:val="nil"/>
              <w:bottom w:val="nil"/>
              <w:right w:val="nil"/>
            </w:tcBorders>
            <w:vAlign w:val="bottom"/>
          </w:tcPr>
          <w:p w14:paraId="4219D390" w14:textId="00148907" w:rsidR="00566EA9" w:rsidRPr="001D41EA" w:rsidRDefault="00566EA9" w:rsidP="001D41EA">
            <w:pPr>
              <w:spacing w:before="40" w:after="20"/>
              <w:jc w:val="center"/>
              <w:rPr>
                <w:rFonts w:cs="Arial"/>
                <w:sz w:val="18"/>
                <w:szCs w:val="18"/>
              </w:rPr>
            </w:pPr>
            <w:r w:rsidRPr="001D41EA">
              <w:rPr>
                <w:rFonts w:cs="Arial"/>
                <w:sz w:val="18"/>
                <w:szCs w:val="18"/>
              </w:rPr>
              <w:t>1.194</w:t>
            </w:r>
          </w:p>
        </w:tc>
        <w:tc>
          <w:tcPr>
            <w:tcW w:w="1247" w:type="dxa"/>
            <w:tcBorders>
              <w:top w:val="nil"/>
              <w:left w:val="nil"/>
              <w:bottom w:val="nil"/>
              <w:right w:val="nil"/>
            </w:tcBorders>
            <w:vAlign w:val="bottom"/>
          </w:tcPr>
          <w:p w14:paraId="28E1F318" w14:textId="2ED98E9C" w:rsidR="00566EA9" w:rsidRPr="001D41EA" w:rsidRDefault="00566EA9" w:rsidP="001D41EA">
            <w:pPr>
              <w:spacing w:before="40" w:after="20"/>
              <w:jc w:val="center"/>
              <w:rPr>
                <w:rFonts w:cs="Arial"/>
                <w:sz w:val="18"/>
                <w:szCs w:val="18"/>
              </w:rPr>
            </w:pPr>
            <w:r w:rsidRPr="001D41EA">
              <w:rPr>
                <w:rFonts w:cs="Arial"/>
                <w:sz w:val="18"/>
                <w:szCs w:val="18"/>
              </w:rPr>
              <w:t>1.191</w:t>
            </w:r>
          </w:p>
        </w:tc>
        <w:tc>
          <w:tcPr>
            <w:tcW w:w="170" w:type="dxa"/>
            <w:tcBorders>
              <w:top w:val="nil"/>
              <w:left w:val="nil"/>
              <w:bottom w:val="nil"/>
              <w:right w:val="nil"/>
            </w:tcBorders>
            <w:vAlign w:val="bottom"/>
          </w:tcPr>
          <w:p w14:paraId="7F37B968" w14:textId="6B40D1EF"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17D0B4E2" w14:textId="30C2AE71" w:rsidR="00566EA9" w:rsidRPr="001D41EA" w:rsidRDefault="00566EA9" w:rsidP="001D41EA">
            <w:pPr>
              <w:spacing w:before="40" w:after="20"/>
              <w:jc w:val="center"/>
              <w:rPr>
                <w:rFonts w:cs="Arial"/>
                <w:sz w:val="18"/>
                <w:szCs w:val="18"/>
              </w:rPr>
            </w:pPr>
            <w:r w:rsidRPr="001D41EA">
              <w:rPr>
                <w:rFonts w:cs="Arial"/>
                <w:sz w:val="18"/>
                <w:szCs w:val="18"/>
              </w:rPr>
              <w:t>1.226</w:t>
            </w:r>
          </w:p>
        </w:tc>
      </w:tr>
      <w:tr w:rsidR="00566EA9" w:rsidRPr="001D41EA" w14:paraId="1AF0A3F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97FF2FC" w14:textId="77777777" w:rsidR="00566EA9" w:rsidRPr="001D41EA" w:rsidRDefault="00566EA9" w:rsidP="001D41EA">
            <w:pPr>
              <w:spacing w:before="40" w:after="20"/>
              <w:rPr>
                <w:rFonts w:cs="Arial"/>
                <w:sz w:val="18"/>
                <w:szCs w:val="18"/>
              </w:rPr>
            </w:pPr>
            <w:r w:rsidRPr="001D41EA">
              <w:rPr>
                <w:rFonts w:cs="Arial"/>
                <w:sz w:val="18"/>
                <w:szCs w:val="18"/>
              </w:rPr>
              <w:t>Wodonga C</w:t>
            </w:r>
          </w:p>
        </w:tc>
        <w:tc>
          <w:tcPr>
            <w:tcW w:w="1247" w:type="dxa"/>
            <w:tcBorders>
              <w:top w:val="nil"/>
              <w:left w:val="single" w:sz="18" w:space="0" w:color="5F497A" w:themeColor="accent4" w:themeShade="BF"/>
              <w:bottom w:val="nil"/>
              <w:right w:val="nil"/>
            </w:tcBorders>
            <w:shd w:val="clear" w:color="auto" w:fill="auto"/>
            <w:vAlign w:val="bottom"/>
          </w:tcPr>
          <w:p w14:paraId="3C99A6B5" w14:textId="37AAFF31" w:rsidR="00566EA9" w:rsidRPr="001D41EA" w:rsidRDefault="00566EA9" w:rsidP="001D41EA">
            <w:pPr>
              <w:spacing w:before="40" w:after="20"/>
              <w:jc w:val="center"/>
              <w:rPr>
                <w:rFonts w:cs="Arial"/>
                <w:sz w:val="18"/>
                <w:szCs w:val="18"/>
              </w:rPr>
            </w:pPr>
            <w:r w:rsidRPr="001D41EA">
              <w:rPr>
                <w:rFonts w:cs="Arial"/>
                <w:sz w:val="18"/>
                <w:szCs w:val="18"/>
              </w:rPr>
              <w:t>0.955</w:t>
            </w:r>
          </w:p>
        </w:tc>
        <w:tc>
          <w:tcPr>
            <w:tcW w:w="1247" w:type="dxa"/>
            <w:tcBorders>
              <w:top w:val="nil"/>
              <w:left w:val="nil"/>
              <w:bottom w:val="nil"/>
              <w:right w:val="nil"/>
            </w:tcBorders>
            <w:vAlign w:val="bottom"/>
          </w:tcPr>
          <w:p w14:paraId="741F0B8E" w14:textId="360CC1FC" w:rsidR="00566EA9" w:rsidRPr="001D41EA" w:rsidRDefault="00566EA9" w:rsidP="001D41EA">
            <w:pPr>
              <w:spacing w:before="40" w:after="20"/>
              <w:jc w:val="center"/>
              <w:rPr>
                <w:rFonts w:cs="Arial"/>
                <w:sz w:val="18"/>
                <w:szCs w:val="18"/>
              </w:rPr>
            </w:pPr>
            <w:r w:rsidRPr="001D41EA">
              <w:rPr>
                <w:rFonts w:cs="Arial"/>
                <w:sz w:val="18"/>
                <w:szCs w:val="18"/>
              </w:rPr>
              <w:t>0.958</w:t>
            </w:r>
          </w:p>
        </w:tc>
        <w:tc>
          <w:tcPr>
            <w:tcW w:w="1247" w:type="dxa"/>
            <w:tcBorders>
              <w:top w:val="nil"/>
              <w:left w:val="nil"/>
              <w:bottom w:val="nil"/>
              <w:right w:val="nil"/>
            </w:tcBorders>
            <w:vAlign w:val="bottom"/>
          </w:tcPr>
          <w:p w14:paraId="6D9D3CA7" w14:textId="227AA974" w:rsidR="00566EA9" w:rsidRPr="001D41EA" w:rsidRDefault="00566EA9" w:rsidP="001D41EA">
            <w:pPr>
              <w:spacing w:before="40" w:after="20"/>
              <w:jc w:val="center"/>
              <w:rPr>
                <w:rFonts w:cs="Arial"/>
                <w:sz w:val="18"/>
                <w:szCs w:val="18"/>
              </w:rPr>
            </w:pPr>
            <w:r w:rsidRPr="001D41EA">
              <w:rPr>
                <w:rFonts w:cs="Arial"/>
                <w:sz w:val="18"/>
                <w:szCs w:val="18"/>
              </w:rPr>
              <w:t>0.955</w:t>
            </w:r>
          </w:p>
        </w:tc>
        <w:tc>
          <w:tcPr>
            <w:tcW w:w="170" w:type="dxa"/>
            <w:tcBorders>
              <w:top w:val="nil"/>
              <w:left w:val="nil"/>
              <w:bottom w:val="nil"/>
              <w:right w:val="nil"/>
            </w:tcBorders>
            <w:vAlign w:val="bottom"/>
          </w:tcPr>
          <w:p w14:paraId="442CB6C6" w14:textId="56C396DD"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026C972F" w14:textId="287F8051" w:rsidR="00566EA9" w:rsidRPr="001D41EA" w:rsidRDefault="00566EA9" w:rsidP="001D41EA">
            <w:pPr>
              <w:spacing w:before="40" w:after="20"/>
              <w:jc w:val="center"/>
              <w:rPr>
                <w:rFonts w:cs="Arial"/>
                <w:sz w:val="18"/>
                <w:szCs w:val="18"/>
              </w:rPr>
            </w:pPr>
            <w:r w:rsidRPr="001D41EA">
              <w:rPr>
                <w:rFonts w:cs="Arial"/>
                <w:sz w:val="18"/>
                <w:szCs w:val="18"/>
              </w:rPr>
              <w:t>1.121</w:t>
            </w:r>
          </w:p>
        </w:tc>
      </w:tr>
      <w:tr w:rsidR="00566EA9" w:rsidRPr="001D41EA" w14:paraId="337C32C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CCF15EC" w14:textId="77777777" w:rsidR="00566EA9" w:rsidRPr="001D41EA" w:rsidRDefault="00566EA9" w:rsidP="001D41EA">
            <w:pPr>
              <w:spacing w:before="40" w:after="20"/>
              <w:rPr>
                <w:rFonts w:cs="Arial"/>
                <w:sz w:val="18"/>
                <w:szCs w:val="18"/>
              </w:rPr>
            </w:pPr>
            <w:r w:rsidRPr="001D41EA">
              <w:rPr>
                <w:rFonts w:cs="Arial"/>
                <w:sz w:val="18"/>
                <w:szCs w:val="18"/>
              </w:rPr>
              <w:t>Wyndham C</w:t>
            </w:r>
          </w:p>
        </w:tc>
        <w:tc>
          <w:tcPr>
            <w:tcW w:w="1247" w:type="dxa"/>
            <w:tcBorders>
              <w:top w:val="nil"/>
              <w:left w:val="single" w:sz="18" w:space="0" w:color="5F497A" w:themeColor="accent4" w:themeShade="BF"/>
              <w:bottom w:val="nil"/>
              <w:right w:val="nil"/>
            </w:tcBorders>
            <w:shd w:val="clear" w:color="auto" w:fill="auto"/>
            <w:vAlign w:val="bottom"/>
          </w:tcPr>
          <w:p w14:paraId="4F88CB63" w14:textId="3E6A69B5" w:rsidR="00566EA9" w:rsidRPr="001D41EA" w:rsidRDefault="00566EA9" w:rsidP="001D41EA">
            <w:pPr>
              <w:spacing w:before="40" w:after="20"/>
              <w:jc w:val="center"/>
              <w:rPr>
                <w:rFonts w:cs="Arial"/>
                <w:sz w:val="18"/>
                <w:szCs w:val="18"/>
              </w:rPr>
            </w:pPr>
            <w:r w:rsidRPr="001D41EA">
              <w:rPr>
                <w:rFonts w:cs="Arial"/>
                <w:sz w:val="18"/>
                <w:szCs w:val="18"/>
              </w:rPr>
              <w:t>1.375</w:t>
            </w:r>
          </w:p>
        </w:tc>
        <w:tc>
          <w:tcPr>
            <w:tcW w:w="1247" w:type="dxa"/>
            <w:tcBorders>
              <w:top w:val="nil"/>
              <w:left w:val="nil"/>
              <w:bottom w:val="nil"/>
              <w:right w:val="nil"/>
            </w:tcBorders>
            <w:vAlign w:val="bottom"/>
          </w:tcPr>
          <w:p w14:paraId="5A9EBA02" w14:textId="13662D22" w:rsidR="00566EA9" w:rsidRPr="001D41EA" w:rsidRDefault="00566EA9" w:rsidP="001D41EA">
            <w:pPr>
              <w:spacing w:before="40" w:after="20"/>
              <w:jc w:val="center"/>
              <w:rPr>
                <w:rFonts w:cs="Arial"/>
                <w:sz w:val="18"/>
                <w:szCs w:val="18"/>
              </w:rPr>
            </w:pPr>
            <w:r w:rsidRPr="001D41EA">
              <w:rPr>
                <w:rFonts w:cs="Arial"/>
                <w:sz w:val="18"/>
                <w:szCs w:val="18"/>
              </w:rPr>
              <w:t>1.379</w:t>
            </w:r>
          </w:p>
        </w:tc>
        <w:tc>
          <w:tcPr>
            <w:tcW w:w="1247" w:type="dxa"/>
            <w:tcBorders>
              <w:top w:val="nil"/>
              <w:left w:val="nil"/>
              <w:bottom w:val="nil"/>
              <w:right w:val="nil"/>
            </w:tcBorders>
            <w:vAlign w:val="bottom"/>
          </w:tcPr>
          <w:p w14:paraId="4DEF67D6" w14:textId="51DE25CD" w:rsidR="00566EA9" w:rsidRPr="001D41EA" w:rsidRDefault="00566EA9" w:rsidP="001D41EA">
            <w:pPr>
              <w:spacing w:before="40" w:after="20"/>
              <w:jc w:val="center"/>
              <w:rPr>
                <w:rFonts w:cs="Arial"/>
                <w:sz w:val="18"/>
                <w:szCs w:val="18"/>
              </w:rPr>
            </w:pPr>
            <w:r w:rsidRPr="001D41EA">
              <w:rPr>
                <w:rFonts w:cs="Arial"/>
                <w:sz w:val="18"/>
                <w:szCs w:val="18"/>
              </w:rPr>
              <w:t>1.376</w:t>
            </w:r>
          </w:p>
        </w:tc>
        <w:tc>
          <w:tcPr>
            <w:tcW w:w="170" w:type="dxa"/>
            <w:tcBorders>
              <w:top w:val="nil"/>
              <w:left w:val="nil"/>
              <w:bottom w:val="nil"/>
              <w:right w:val="nil"/>
            </w:tcBorders>
            <w:vAlign w:val="bottom"/>
          </w:tcPr>
          <w:p w14:paraId="746F5288" w14:textId="525D0901"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6DBE2AC8" w14:textId="562F5BE8" w:rsidR="00566EA9" w:rsidRPr="001D41EA" w:rsidRDefault="00566EA9" w:rsidP="001D41EA">
            <w:pPr>
              <w:spacing w:before="40" w:after="20"/>
              <w:jc w:val="center"/>
              <w:rPr>
                <w:rFonts w:cs="Arial"/>
                <w:sz w:val="18"/>
                <w:szCs w:val="18"/>
              </w:rPr>
            </w:pPr>
            <w:r w:rsidRPr="001D41EA">
              <w:rPr>
                <w:rFonts w:cs="Arial"/>
                <w:sz w:val="18"/>
                <w:szCs w:val="18"/>
              </w:rPr>
              <w:t>1.429</w:t>
            </w:r>
          </w:p>
        </w:tc>
      </w:tr>
      <w:tr w:rsidR="00566EA9" w:rsidRPr="001D41EA" w14:paraId="62B8B9F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EB469A3" w14:textId="77777777" w:rsidR="00566EA9" w:rsidRPr="001D41EA" w:rsidRDefault="00566EA9" w:rsidP="001D41EA">
            <w:pPr>
              <w:spacing w:before="40" w:after="20"/>
              <w:rPr>
                <w:rFonts w:cs="Arial"/>
                <w:sz w:val="18"/>
                <w:szCs w:val="18"/>
              </w:rPr>
            </w:pPr>
            <w:r w:rsidRPr="001D41EA">
              <w:rPr>
                <w:rFonts w:cs="Arial"/>
                <w:sz w:val="18"/>
                <w:szCs w:val="18"/>
              </w:rPr>
              <w:t>Yarra C</w:t>
            </w:r>
          </w:p>
        </w:tc>
        <w:tc>
          <w:tcPr>
            <w:tcW w:w="1247" w:type="dxa"/>
            <w:tcBorders>
              <w:top w:val="nil"/>
              <w:left w:val="single" w:sz="18" w:space="0" w:color="5F497A" w:themeColor="accent4" w:themeShade="BF"/>
              <w:bottom w:val="nil"/>
              <w:right w:val="nil"/>
            </w:tcBorders>
            <w:shd w:val="clear" w:color="auto" w:fill="auto"/>
            <w:vAlign w:val="bottom"/>
          </w:tcPr>
          <w:p w14:paraId="2A45634A" w14:textId="71E5A660" w:rsidR="00566EA9" w:rsidRPr="001D41EA" w:rsidRDefault="00566EA9" w:rsidP="001D41EA">
            <w:pPr>
              <w:spacing w:before="40" w:after="20"/>
              <w:jc w:val="center"/>
              <w:rPr>
                <w:rFonts w:cs="Arial"/>
                <w:sz w:val="18"/>
                <w:szCs w:val="18"/>
              </w:rPr>
            </w:pPr>
            <w:r w:rsidRPr="001D41EA">
              <w:rPr>
                <w:rFonts w:cs="Arial"/>
                <w:sz w:val="18"/>
                <w:szCs w:val="18"/>
              </w:rPr>
              <w:t>1.070</w:t>
            </w:r>
          </w:p>
        </w:tc>
        <w:tc>
          <w:tcPr>
            <w:tcW w:w="1247" w:type="dxa"/>
            <w:tcBorders>
              <w:top w:val="nil"/>
              <w:left w:val="nil"/>
              <w:bottom w:val="nil"/>
              <w:right w:val="nil"/>
            </w:tcBorders>
            <w:vAlign w:val="bottom"/>
          </w:tcPr>
          <w:p w14:paraId="7E1AC8DF" w14:textId="122C9B93" w:rsidR="00566EA9" w:rsidRPr="001D41EA" w:rsidRDefault="00566EA9" w:rsidP="001D41EA">
            <w:pPr>
              <w:spacing w:before="40" w:after="20"/>
              <w:jc w:val="center"/>
              <w:rPr>
                <w:rFonts w:cs="Arial"/>
                <w:sz w:val="18"/>
                <w:szCs w:val="18"/>
              </w:rPr>
            </w:pPr>
            <w:r w:rsidRPr="001D41EA">
              <w:rPr>
                <w:rFonts w:cs="Arial"/>
                <w:sz w:val="18"/>
                <w:szCs w:val="18"/>
              </w:rPr>
              <w:t>1.073</w:t>
            </w:r>
          </w:p>
        </w:tc>
        <w:tc>
          <w:tcPr>
            <w:tcW w:w="1247" w:type="dxa"/>
            <w:tcBorders>
              <w:top w:val="nil"/>
              <w:left w:val="nil"/>
              <w:bottom w:val="nil"/>
              <w:right w:val="nil"/>
            </w:tcBorders>
            <w:vAlign w:val="bottom"/>
          </w:tcPr>
          <w:p w14:paraId="42FED5E4" w14:textId="5459230E" w:rsidR="00566EA9" w:rsidRPr="001D41EA" w:rsidRDefault="00566EA9" w:rsidP="001D41EA">
            <w:pPr>
              <w:spacing w:before="40" w:after="20"/>
              <w:jc w:val="center"/>
              <w:rPr>
                <w:rFonts w:cs="Arial"/>
                <w:sz w:val="18"/>
                <w:szCs w:val="18"/>
              </w:rPr>
            </w:pPr>
            <w:r w:rsidRPr="001D41EA">
              <w:rPr>
                <w:rFonts w:cs="Arial"/>
                <w:sz w:val="18"/>
                <w:szCs w:val="18"/>
              </w:rPr>
              <w:t>1.070</w:t>
            </w:r>
          </w:p>
        </w:tc>
        <w:tc>
          <w:tcPr>
            <w:tcW w:w="170" w:type="dxa"/>
            <w:tcBorders>
              <w:top w:val="nil"/>
              <w:left w:val="nil"/>
              <w:bottom w:val="nil"/>
              <w:right w:val="nil"/>
            </w:tcBorders>
            <w:vAlign w:val="bottom"/>
          </w:tcPr>
          <w:p w14:paraId="456054A9" w14:textId="7AA2A2F4"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1B9CA027" w14:textId="4C5266CC" w:rsidR="00566EA9" w:rsidRPr="001D41EA" w:rsidRDefault="00566EA9" w:rsidP="001D41EA">
            <w:pPr>
              <w:spacing w:before="40" w:after="20"/>
              <w:jc w:val="center"/>
              <w:rPr>
                <w:rFonts w:cs="Arial"/>
                <w:sz w:val="18"/>
                <w:szCs w:val="18"/>
              </w:rPr>
            </w:pPr>
            <w:r w:rsidRPr="001D41EA">
              <w:rPr>
                <w:rFonts w:cs="Arial"/>
                <w:sz w:val="18"/>
                <w:szCs w:val="18"/>
              </w:rPr>
              <w:t>0.753</w:t>
            </w:r>
          </w:p>
        </w:tc>
      </w:tr>
      <w:tr w:rsidR="00566EA9" w:rsidRPr="001D41EA" w14:paraId="588638D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3C2B1E9" w14:textId="77777777" w:rsidR="00566EA9" w:rsidRPr="001D41EA" w:rsidRDefault="00566EA9" w:rsidP="001D41EA">
            <w:pPr>
              <w:spacing w:before="40" w:after="20"/>
              <w:rPr>
                <w:rFonts w:cs="Arial"/>
                <w:sz w:val="18"/>
                <w:szCs w:val="18"/>
              </w:rPr>
            </w:pPr>
            <w:r w:rsidRPr="001D41EA">
              <w:rPr>
                <w:rFonts w:cs="Arial"/>
                <w:sz w:val="18"/>
                <w:szCs w:val="18"/>
              </w:rPr>
              <w:t>Yarra Ranges S</w:t>
            </w:r>
          </w:p>
        </w:tc>
        <w:tc>
          <w:tcPr>
            <w:tcW w:w="1247" w:type="dxa"/>
            <w:tcBorders>
              <w:top w:val="nil"/>
              <w:left w:val="single" w:sz="18" w:space="0" w:color="5F497A" w:themeColor="accent4" w:themeShade="BF"/>
              <w:bottom w:val="nil"/>
              <w:right w:val="nil"/>
            </w:tcBorders>
            <w:shd w:val="clear" w:color="auto" w:fill="auto"/>
            <w:vAlign w:val="bottom"/>
          </w:tcPr>
          <w:p w14:paraId="3F30238B" w14:textId="103E7934" w:rsidR="00566EA9" w:rsidRPr="001D41EA" w:rsidRDefault="00566EA9" w:rsidP="001D41EA">
            <w:pPr>
              <w:spacing w:before="40" w:after="20"/>
              <w:jc w:val="center"/>
              <w:rPr>
                <w:rFonts w:cs="Arial"/>
                <w:sz w:val="18"/>
                <w:szCs w:val="18"/>
              </w:rPr>
            </w:pPr>
            <w:r w:rsidRPr="001D41EA">
              <w:rPr>
                <w:rFonts w:cs="Arial"/>
                <w:sz w:val="18"/>
                <w:szCs w:val="18"/>
              </w:rPr>
              <w:t>0.879</w:t>
            </w:r>
          </w:p>
        </w:tc>
        <w:tc>
          <w:tcPr>
            <w:tcW w:w="1247" w:type="dxa"/>
            <w:tcBorders>
              <w:top w:val="nil"/>
              <w:left w:val="nil"/>
              <w:bottom w:val="nil"/>
              <w:right w:val="nil"/>
            </w:tcBorders>
            <w:vAlign w:val="bottom"/>
          </w:tcPr>
          <w:p w14:paraId="5E10277C" w14:textId="47BC723E" w:rsidR="00566EA9" w:rsidRPr="001D41EA" w:rsidRDefault="00566EA9" w:rsidP="001D41EA">
            <w:pPr>
              <w:spacing w:before="40" w:after="20"/>
              <w:jc w:val="center"/>
              <w:rPr>
                <w:rFonts w:cs="Arial"/>
                <w:sz w:val="18"/>
                <w:szCs w:val="18"/>
              </w:rPr>
            </w:pPr>
            <w:r w:rsidRPr="001D41EA">
              <w:rPr>
                <w:rFonts w:cs="Arial"/>
                <w:sz w:val="18"/>
                <w:szCs w:val="18"/>
              </w:rPr>
              <w:t>0.882</w:t>
            </w:r>
          </w:p>
        </w:tc>
        <w:tc>
          <w:tcPr>
            <w:tcW w:w="1247" w:type="dxa"/>
            <w:tcBorders>
              <w:top w:val="nil"/>
              <w:left w:val="nil"/>
              <w:bottom w:val="nil"/>
              <w:right w:val="nil"/>
            </w:tcBorders>
            <w:vAlign w:val="bottom"/>
          </w:tcPr>
          <w:p w14:paraId="34D0548D" w14:textId="237790C3" w:rsidR="00566EA9" w:rsidRPr="001D41EA" w:rsidRDefault="00566EA9" w:rsidP="001D41EA">
            <w:pPr>
              <w:spacing w:before="40" w:after="20"/>
              <w:jc w:val="center"/>
              <w:rPr>
                <w:rFonts w:cs="Arial"/>
                <w:sz w:val="18"/>
                <w:szCs w:val="18"/>
              </w:rPr>
            </w:pPr>
            <w:r w:rsidRPr="001D41EA">
              <w:rPr>
                <w:rFonts w:cs="Arial"/>
                <w:sz w:val="18"/>
                <w:szCs w:val="18"/>
              </w:rPr>
              <w:t>0.880</w:t>
            </w:r>
          </w:p>
        </w:tc>
        <w:tc>
          <w:tcPr>
            <w:tcW w:w="170" w:type="dxa"/>
            <w:tcBorders>
              <w:top w:val="nil"/>
              <w:left w:val="nil"/>
              <w:bottom w:val="nil"/>
              <w:right w:val="nil"/>
            </w:tcBorders>
            <w:vAlign w:val="bottom"/>
          </w:tcPr>
          <w:p w14:paraId="374882E2" w14:textId="3CF95352"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73D1F3E3" w14:textId="43FE3965" w:rsidR="00566EA9" w:rsidRPr="001D41EA" w:rsidRDefault="00566EA9" w:rsidP="001D41EA">
            <w:pPr>
              <w:spacing w:before="40" w:after="20"/>
              <w:jc w:val="center"/>
              <w:rPr>
                <w:rFonts w:cs="Arial"/>
                <w:sz w:val="18"/>
                <w:szCs w:val="18"/>
              </w:rPr>
            </w:pPr>
            <w:r w:rsidRPr="001D41EA">
              <w:rPr>
                <w:rFonts w:cs="Arial"/>
                <w:sz w:val="18"/>
                <w:szCs w:val="18"/>
              </w:rPr>
              <w:t>0.985</w:t>
            </w:r>
          </w:p>
        </w:tc>
      </w:tr>
      <w:tr w:rsidR="00566EA9" w:rsidRPr="001D41EA" w14:paraId="54E9F52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0403141" w14:textId="77777777" w:rsidR="00566EA9" w:rsidRPr="001D41EA" w:rsidRDefault="00566EA9" w:rsidP="001D41EA">
            <w:pPr>
              <w:spacing w:before="40" w:after="20"/>
              <w:rPr>
                <w:rFonts w:cs="Arial"/>
                <w:sz w:val="18"/>
                <w:szCs w:val="18"/>
              </w:rPr>
            </w:pPr>
            <w:r w:rsidRPr="001D41EA">
              <w:rPr>
                <w:rFonts w:cs="Arial"/>
                <w:sz w:val="18"/>
                <w:szCs w:val="18"/>
              </w:rPr>
              <w:t>Yarriambiack S</w:t>
            </w:r>
          </w:p>
        </w:tc>
        <w:tc>
          <w:tcPr>
            <w:tcW w:w="1247" w:type="dxa"/>
            <w:tcBorders>
              <w:top w:val="nil"/>
              <w:left w:val="single" w:sz="18" w:space="0" w:color="5F497A" w:themeColor="accent4" w:themeShade="BF"/>
              <w:bottom w:val="nil"/>
              <w:right w:val="nil"/>
            </w:tcBorders>
            <w:shd w:val="clear" w:color="auto" w:fill="auto"/>
            <w:vAlign w:val="bottom"/>
          </w:tcPr>
          <w:p w14:paraId="29AE6295" w14:textId="0AECB1E9" w:rsidR="00566EA9" w:rsidRPr="001D41EA" w:rsidRDefault="00566EA9" w:rsidP="001D41EA">
            <w:pPr>
              <w:spacing w:before="40" w:after="20"/>
              <w:jc w:val="center"/>
              <w:rPr>
                <w:rFonts w:cs="Arial"/>
                <w:sz w:val="18"/>
                <w:szCs w:val="18"/>
              </w:rPr>
            </w:pPr>
            <w:r w:rsidRPr="001D41EA">
              <w:rPr>
                <w:rFonts w:cs="Arial"/>
                <w:sz w:val="18"/>
                <w:szCs w:val="18"/>
              </w:rPr>
              <w:t>0.687</w:t>
            </w:r>
          </w:p>
        </w:tc>
        <w:tc>
          <w:tcPr>
            <w:tcW w:w="1247" w:type="dxa"/>
            <w:tcBorders>
              <w:top w:val="nil"/>
              <w:left w:val="nil"/>
              <w:bottom w:val="nil"/>
              <w:right w:val="nil"/>
            </w:tcBorders>
            <w:vAlign w:val="bottom"/>
          </w:tcPr>
          <w:p w14:paraId="019AFD4E" w14:textId="3571DF6F" w:rsidR="00566EA9" w:rsidRPr="001D41EA" w:rsidRDefault="00566EA9" w:rsidP="001D41EA">
            <w:pPr>
              <w:spacing w:before="40" w:after="20"/>
              <w:jc w:val="center"/>
              <w:rPr>
                <w:rFonts w:cs="Arial"/>
                <w:sz w:val="18"/>
                <w:szCs w:val="18"/>
              </w:rPr>
            </w:pPr>
            <w:r w:rsidRPr="001D41EA">
              <w:rPr>
                <w:rFonts w:cs="Arial"/>
                <w:sz w:val="18"/>
                <w:szCs w:val="18"/>
              </w:rPr>
              <w:t>0.690</w:t>
            </w:r>
          </w:p>
        </w:tc>
        <w:tc>
          <w:tcPr>
            <w:tcW w:w="1247" w:type="dxa"/>
            <w:tcBorders>
              <w:top w:val="nil"/>
              <w:left w:val="nil"/>
              <w:bottom w:val="nil"/>
              <w:right w:val="nil"/>
            </w:tcBorders>
            <w:vAlign w:val="bottom"/>
          </w:tcPr>
          <w:p w14:paraId="2208AB0C" w14:textId="6C956A1B" w:rsidR="00566EA9" w:rsidRPr="001D41EA" w:rsidRDefault="00566EA9" w:rsidP="001D41EA">
            <w:pPr>
              <w:spacing w:before="40" w:after="20"/>
              <w:jc w:val="center"/>
              <w:rPr>
                <w:rFonts w:cs="Arial"/>
                <w:sz w:val="18"/>
                <w:szCs w:val="18"/>
              </w:rPr>
            </w:pPr>
            <w:r w:rsidRPr="001D41EA">
              <w:rPr>
                <w:rFonts w:cs="Arial"/>
                <w:sz w:val="18"/>
                <w:szCs w:val="18"/>
              </w:rPr>
              <w:t>0.688</w:t>
            </w:r>
          </w:p>
        </w:tc>
        <w:tc>
          <w:tcPr>
            <w:tcW w:w="170" w:type="dxa"/>
            <w:tcBorders>
              <w:top w:val="nil"/>
              <w:left w:val="nil"/>
              <w:bottom w:val="nil"/>
              <w:right w:val="nil"/>
            </w:tcBorders>
            <w:vAlign w:val="bottom"/>
          </w:tcPr>
          <w:p w14:paraId="4196B8B0" w14:textId="3B148445" w:rsidR="00566EA9" w:rsidRPr="001D41EA" w:rsidRDefault="00566EA9" w:rsidP="001D41EA">
            <w:pPr>
              <w:spacing w:before="40" w:after="20"/>
              <w:jc w:val="center"/>
              <w:rPr>
                <w:rFonts w:cs="Arial"/>
                <w:sz w:val="18"/>
                <w:szCs w:val="18"/>
              </w:rPr>
            </w:pPr>
            <w:r w:rsidRPr="001D41EA">
              <w:rPr>
                <w:rFonts w:cs="Arial"/>
                <w:sz w:val="18"/>
                <w:szCs w:val="18"/>
              </w:rPr>
              <w:t> </w:t>
            </w:r>
          </w:p>
        </w:tc>
        <w:tc>
          <w:tcPr>
            <w:tcW w:w="1247" w:type="dxa"/>
            <w:tcBorders>
              <w:top w:val="nil"/>
              <w:left w:val="nil"/>
              <w:bottom w:val="nil"/>
              <w:right w:val="nil"/>
            </w:tcBorders>
            <w:shd w:val="clear" w:color="auto" w:fill="auto"/>
            <w:vAlign w:val="bottom"/>
          </w:tcPr>
          <w:p w14:paraId="4E37FCCC" w14:textId="1D232BA7" w:rsidR="00566EA9" w:rsidRPr="001D41EA" w:rsidRDefault="00566EA9" w:rsidP="001D41EA">
            <w:pPr>
              <w:spacing w:before="40" w:after="20"/>
              <w:jc w:val="center"/>
              <w:rPr>
                <w:rFonts w:cs="Arial"/>
                <w:sz w:val="18"/>
                <w:szCs w:val="18"/>
              </w:rPr>
            </w:pPr>
            <w:r w:rsidRPr="001D41EA">
              <w:rPr>
                <w:rFonts w:cs="Arial"/>
                <w:sz w:val="18"/>
                <w:szCs w:val="18"/>
              </w:rPr>
              <w:t>0.776</w:t>
            </w:r>
          </w:p>
        </w:tc>
      </w:tr>
      <w:tr w:rsidR="009E2B93" w:rsidRPr="001D41EA" w14:paraId="3B60E943" w14:textId="77777777" w:rsidTr="00A66703">
        <w:tc>
          <w:tcPr>
            <w:tcW w:w="2268" w:type="dxa"/>
            <w:tcBorders>
              <w:top w:val="nil"/>
              <w:left w:val="nil"/>
              <w:bottom w:val="nil"/>
              <w:right w:val="single" w:sz="18" w:space="0" w:color="5F497A" w:themeColor="accent4" w:themeShade="BF"/>
            </w:tcBorders>
            <w:shd w:val="clear" w:color="auto" w:fill="auto"/>
            <w:vAlign w:val="center"/>
          </w:tcPr>
          <w:p w14:paraId="2E6F9BBC" w14:textId="77777777" w:rsidR="009E2B93" w:rsidRPr="001D41EA" w:rsidRDefault="009E2B93" w:rsidP="001D41EA">
            <w:pPr>
              <w:spacing w:before="40" w:after="20"/>
              <w:rPr>
                <w:rFonts w:cs="Arial"/>
                <w:sz w:val="18"/>
                <w:szCs w:val="18"/>
                <w:lang w:eastAsia="ko-KR"/>
              </w:rPr>
            </w:pPr>
          </w:p>
        </w:tc>
        <w:tc>
          <w:tcPr>
            <w:tcW w:w="1247" w:type="dxa"/>
            <w:tcBorders>
              <w:top w:val="nil"/>
              <w:left w:val="single" w:sz="18" w:space="0" w:color="5F497A" w:themeColor="accent4" w:themeShade="BF"/>
              <w:bottom w:val="single" w:sz="8" w:space="0" w:color="5F497A" w:themeColor="accent4" w:themeShade="BF"/>
              <w:right w:val="nil"/>
            </w:tcBorders>
            <w:shd w:val="clear" w:color="auto" w:fill="auto"/>
            <w:vAlign w:val="center"/>
          </w:tcPr>
          <w:p w14:paraId="0AB653B7" w14:textId="77777777" w:rsidR="009E2B93" w:rsidRPr="001D41EA" w:rsidRDefault="009E2B93" w:rsidP="001D41EA">
            <w:pPr>
              <w:spacing w:before="40" w:after="20"/>
              <w:jc w:val="center"/>
              <w:rPr>
                <w:rFonts w:cs="Arial"/>
                <w:sz w:val="18"/>
                <w:szCs w:val="18"/>
              </w:rPr>
            </w:pPr>
          </w:p>
        </w:tc>
        <w:tc>
          <w:tcPr>
            <w:tcW w:w="1247" w:type="dxa"/>
            <w:tcBorders>
              <w:top w:val="nil"/>
              <w:left w:val="nil"/>
              <w:bottom w:val="single" w:sz="8" w:space="0" w:color="5F497A" w:themeColor="accent4" w:themeShade="BF"/>
              <w:right w:val="nil"/>
            </w:tcBorders>
          </w:tcPr>
          <w:p w14:paraId="014B1ABC" w14:textId="77777777" w:rsidR="009E2B93" w:rsidRPr="001D41EA" w:rsidRDefault="009E2B93" w:rsidP="001D41EA">
            <w:pPr>
              <w:spacing w:before="40" w:after="20"/>
              <w:jc w:val="center"/>
              <w:rPr>
                <w:rFonts w:cs="Arial"/>
                <w:sz w:val="18"/>
                <w:szCs w:val="18"/>
              </w:rPr>
            </w:pPr>
          </w:p>
        </w:tc>
        <w:tc>
          <w:tcPr>
            <w:tcW w:w="1247" w:type="dxa"/>
            <w:tcBorders>
              <w:top w:val="nil"/>
              <w:left w:val="nil"/>
              <w:bottom w:val="single" w:sz="8" w:space="0" w:color="5F497A" w:themeColor="accent4" w:themeShade="BF"/>
              <w:right w:val="nil"/>
            </w:tcBorders>
            <w:vAlign w:val="center"/>
          </w:tcPr>
          <w:p w14:paraId="0FB653D9" w14:textId="31F43968" w:rsidR="009E2B93" w:rsidRPr="001D41EA" w:rsidRDefault="009E2B93" w:rsidP="001D41EA">
            <w:pPr>
              <w:spacing w:before="40" w:after="20"/>
              <w:jc w:val="center"/>
              <w:rPr>
                <w:rFonts w:cs="Arial"/>
                <w:sz w:val="18"/>
                <w:szCs w:val="18"/>
              </w:rPr>
            </w:pPr>
          </w:p>
        </w:tc>
        <w:tc>
          <w:tcPr>
            <w:tcW w:w="170" w:type="dxa"/>
            <w:tcBorders>
              <w:top w:val="nil"/>
              <w:left w:val="nil"/>
              <w:bottom w:val="single" w:sz="8" w:space="0" w:color="5F497A" w:themeColor="accent4" w:themeShade="BF"/>
              <w:right w:val="nil"/>
            </w:tcBorders>
            <w:vAlign w:val="center"/>
          </w:tcPr>
          <w:p w14:paraId="60BB606E" w14:textId="77777777" w:rsidR="009E2B93" w:rsidRPr="001D41EA" w:rsidRDefault="009E2B93" w:rsidP="001D41EA">
            <w:pPr>
              <w:spacing w:before="40" w:after="20"/>
              <w:jc w:val="center"/>
              <w:rPr>
                <w:rFonts w:cs="Arial"/>
                <w:sz w:val="18"/>
                <w:szCs w:val="18"/>
              </w:rPr>
            </w:pPr>
          </w:p>
        </w:tc>
        <w:tc>
          <w:tcPr>
            <w:tcW w:w="1247" w:type="dxa"/>
            <w:tcBorders>
              <w:top w:val="nil"/>
              <w:left w:val="nil"/>
              <w:bottom w:val="single" w:sz="8" w:space="0" w:color="5F497A" w:themeColor="accent4" w:themeShade="BF"/>
              <w:right w:val="nil"/>
            </w:tcBorders>
            <w:shd w:val="clear" w:color="auto" w:fill="auto"/>
            <w:vAlign w:val="center"/>
          </w:tcPr>
          <w:p w14:paraId="0F6F496F" w14:textId="77777777" w:rsidR="009E2B93" w:rsidRPr="001D41EA" w:rsidRDefault="009E2B93" w:rsidP="001D41EA">
            <w:pPr>
              <w:spacing w:before="40" w:after="20"/>
              <w:jc w:val="center"/>
              <w:rPr>
                <w:rFonts w:cs="Arial"/>
                <w:sz w:val="18"/>
                <w:szCs w:val="18"/>
              </w:rPr>
            </w:pPr>
          </w:p>
        </w:tc>
      </w:tr>
      <w:tr w:rsidR="009E2B93" w:rsidRPr="001D41EA" w14:paraId="7D34D412" w14:textId="77777777" w:rsidTr="00A66703">
        <w:tc>
          <w:tcPr>
            <w:tcW w:w="2268" w:type="dxa"/>
            <w:tcBorders>
              <w:top w:val="nil"/>
              <w:left w:val="nil"/>
              <w:bottom w:val="nil"/>
              <w:right w:val="single" w:sz="18" w:space="0" w:color="5F497A" w:themeColor="accent4" w:themeShade="BF"/>
            </w:tcBorders>
            <w:shd w:val="clear" w:color="auto" w:fill="auto"/>
            <w:vAlign w:val="center"/>
          </w:tcPr>
          <w:p w14:paraId="0FE18330" w14:textId="77777777" w:rsidR="009E2B93" w:rsidRPr="001D41EA" w:rsidRDefault="009E2B93" w:rsidP="001D41EA">
            <w:pPr>
              <w:spacing w:before="40" w:after="20"/>
              <w:rPr>
                <w:rFonts w:cs="Arial"/>
                <w:sz w:val="18"/>
                <w:szCs w:val="18"/>
                <w:lang w:eastAsia="ko-KR"/>
              </w:rPr>
            </w:pPr>
          </w:p>
        </w:tc>
        <w:tc>
          <w:tcPr>
            <w:tcW w:w="1247" w:type="dxa"/>
            <w:tcBorders>
              <w:top w:val="single" w:sz="8" w:space="0" w:color="5F497A" w:themeColor="accent4" w:themeShade="BF"/>
              <w:left w:val="single" w:sz="18" w:space="0" w:color="5F497A" w:themeColor="accent4" w:themeShade="BF"/>
              <w:right w:val="nil"/>
            </w:tcBorders>
            <w:shd w:val="clear" w:color="auto" w:fill="auto"/>
            <w:vAlign w:val="center"/>
          </w:tcPr>
          <w:p w14:paraId="597285BA" w14:textId="0D00BD22"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247" w:type="dxa"/>
            <w:tcBorders>
              <w:top w:val="single" w:sz="8" w:space="0" w:color="5F497A" w:themeColor="accent4" w:themeShade="BF"/>
              <w:left w:val="nil"/>
              <w:right w:val="nil"/>
            </w:tcBorders>
          </w:tcPr>
          <w:p w14:paraId="66E9534B" w14:textId="657088D5" w:rsidR="009E2B93" w:rsidRPr="001D41EA" w:rsidRDefault="00790D04" w:rsidP="001D41EA">
            <w:pPr>
              <w:spacing w:before="40" w:after="20"/>
              <w:jc w:val="center"/>
              <w:rPr>
                <w:rFonts w:cs="Arial"/>
                <w:b/>
                <w:sz w:val="18"/>
                <w:szCs w:val="18"/>
              </w:rPr>
            </w:pPr>
            <w:r w:rsidRPr="001D41EA">
              <w:rPr>
                <w:rFonts w:cs="Arial"/>
                <w:b/>
                <w:sz w:val="18"/>
                <w:szCs w:val="18"/>
              </w:rPr>
              <w:t>1.000</w:t>
            </w:r>
          </w:p>
        </w:tc>
        <w:tc>
          <w:tcPr>
            <w:tcW w:w="1247" w:type="dxa"/>
            <w:tcBorders>
              <w:top w:val="single" w:sz="8" w:space="0" w:color="5F497A" w:themeColor="accent4" w:themeShade="BF"/>
              <w:left w:val="nil"/>
              <w:right w:val="nil"/>
            </w:tcBorders>
            <w:vAlign w:val="center"/>
          </w:tcPr>
          <w:p w14:paraId="198120BE" w14:textId="394D5602"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70" w:type="dxa"/>
            <w:tcBorders>
              <w:top w:val="single" w:sz="8" w:space="0" w:color="5F497A" w:themeColor="accent4" w:themeShade="BF"/>
              <w:left w:val="nil"/>
              <w:right w:val="nil"/>
            </w:tcBorders>
            <w:vAlign w:val="center"/>
          </w:tcPr>
          <w:p w14:paraId="09D1C948" w14:textId="77777777" w:rsidR="009E2B93" w:rsidRPr="001D41EA" w:rsidRDefault="009E2B93" w:rsidP="001D41EA">
            <w:pPr>
              <w:spacing w:before="40" w:after="20"/>
              <w:jc w:val="center"/>
              <w:rPr>
                <w:rFonts w:cs="Arial"/>
                <w:sz w:val="18"/>
                <w:szCs w:val="18"/>
              </w:rPr>
            </w:pPr>
          </w:p>
        </w:tc>
        <w:tc>
          <w:tcPr>
            <w:tcW w:w="1247" w:type="dxa"/>
            <w:tcBorders>
              <w:top w:val="single" w:sz="8" w:space="0" w:color="5F497A" w:themeColor="accent4" w:themeShade="BF"/>
              <w:left w:val="nil"/>
              <w:right w:val="nil"/>
            </w:tcBorders>
            <w:shd w:val="clear" w:color="auto" w:fill="auto"/>
            <w:vAlign w:val="center"/>
          </w:tcPr>
          <w:p w14:paraId="502381BB" w14:textId="5844A1CD" w:rsidR="009E2B93" w:rsidRPr="001D41EA" w:rsidRDefault="009E2B93" w:rsidP="001D41EA">
            <w:pPr>
              <w:spacing w:before="40" w:after="20"/>
              <w:jc w:val="center"/>
              <w:rPr>
                <w:rFonts w:cs="Arial"/>
                <w:b/>
                <w:sz w:val="18"/>
                <w:szCs w:val="18"/>
              </w:rPr>
            </w:pPr>
            <w:r w:rsidRPr="001D41EA">
              <w:rPr>
                <w:rFonts w:cs="Arial"/>
                <w:b/>
                <w:sz w:val="18"/>
                <w:szCs w:val="18"/>
              </w:rPr>
              <w:t>1.000</w:t>
            </w:r>
          </w:p>
        </w:tc>
      </w:tr>
    </w:tbl>
    <w:p w14:paraId="3FA22657" w14:textId="77777777" w:rsidR="005D19CF" w:rsidRDefault="005D19CF" w:rsidP="00FF36E8">
      <w:pPr>
        <w:spacing w:before="40" w:after="20"/>
        <w:rPr>
          <w:rFonts w:cs="Arial"/>
          <w:i/>
          <w:sz w:val="16"/>
          <w:szCs w:val="16"/>
        </w:rPr>
      </w:pPr>
    </w:p>
    <w:p w14:paraId="6EB8C161" w14:textId="17374D6E" w:rsidR="007B7FEA" w:rsidRPr="00A44829" w:rsidRDefault="00A009D7" w:rsidP="00FF36E8">
      <w:pPr>
        <w:spacing w:before="40" w:after="20"/>
        <w:rPr>
          <w:rFonts w:cs="Arial"/>
          <w:sz w:val="18"/>
          <w:szCs w:val="18"/>
        </w:rPr>
      </w:pPr>
      <w:r w:rsidRPr="005D19CF">
        <w:rPr>
          <w:rFonts w:cs="Arial"/>
          <w:i/>
          <w:sz w:val="16"/>
          <w:szCs w:val="16"/>
        </w:rPr>
        <w:t xml:space="preserve">* Modified Population - adjusted by </w:t>
      </w:r>
      <w:r w:rsidR="005D19CF">
        <w:rPr>
          <w:rFonts w:cs="Arial"/>
          <w:i/>
          <w:sz w:val="16"/>
          <w:szCs w:val="16"/>
        </w:rPr>
        <w:t>half</w:t>
      </w:r>
      <w:r w:rsidRPr="005D19CF">
        <w:rPr>
          <w:rFonts w:cs="Arial"/>
          <w:i/>
          <w:sz w:val="16"/>
          <w:szCs w:val="16"/>
        </w:rPr>
        <w:t xml:space="preserve"> vacancy rate to take account of part-time residents.</w:t>
      </w:r>
      <w:r w:rsidRPr="00A44829">
        <w:rPr>
          <w:rFonts w:cs="Arial"/>
          <w:i/>
          <w:sz w:val="16"/>
          <w:szCs w:val="16"/>
        </w:rPr>
        <w:t xml:space="preserve">  </w:t>
      </w:r>
      <w:r w:rsidR="007B7FEA" w:rsidRPr="00A44829">
        <w:rPr>
          <w:rFonts w:cs="Arial"/>
          <w:sz w:val="18"/>
          <w:szCs w:val="18"/>
        </w:rPr>
        <w:br w:type="page"/>
      </w:r>
    </w:p>
    <w:p w14:paraId="40DF9668" w14:textId="230FFA4E" w:rsidR="007B7FEA" w:rsidRPr="00A44829" w:rsidRDefault="007B7FEA" w:rsidP="00C33713">
      <w:pPr>
        <w:pStyle w:val="VGC-Head10"/>
      </w:pPr>
      <w:r w:rsidRPr="00A44829">
        <w:lastRenderedPageBreak/>
        <w:t>Appendix 4</w:t>
      </w:r>
      <w:r w:rsidRPr="00A44829">
        <w:tab/>
      </w:r>
      <w:r w:rsidR="00EE4593" w:rsidRPr="00A44829">
        <w:t>2019-20</w:t>
      </w:r>
      <w:r w:rsidR="00A97ABE" w:rsidRPr="00A44829">
        <w:t xml:space="preserve"> </w:t>
      </w:r>
      <w:r w:rsidRPr="00A44829">
        <w:t xml:space="preserve">General Purpose Grants </w:t>
      </w:r>
    </w:p>
    <w:p w14:paraId="5C99EA79" w14:textId="2401472B" w:rsidR="007B7FEA" w:rsidRPr="00A44829" w:rsidRDefault="007B7FEA" w:rsidP="008C1A28">
      <w:pPr>
        <w:pStyle w:val="VGC-Head2"/>
      </w:pPr>
      <w:r w:rsidRPr="00A44829">
        <w:t xml:space="preserve">D.  Cost Adjustors - </w:t>
      </w:r>
      <w:r w:rsidR="002A2397">
        <w:t>Index</w:t>
      </w:r>
    </w:p>
    <w:p w14:paraId="17C503DE" w14:textId="77777777" w:rsidR="008F0C49" w:rsidRPr="00A44829" w:rsidRDefault="008F0C49"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70"/>
        <w:gridCol w:w="1134"/>
        <w:gridCol w:w="1134"/>
      </w:tblGrid>
      <w:tr w:rsidR="009E2B93" w:rsidRPr="00A44829" w14:paraId="1AACBA38" w14:textId="77777777" w:rsidTr="00A66703">
        <w:tc>
          <w:tcPr>
            <w:tcW w:w="2268" w:type="dxa"/>
            <w:tcBorders>
              <w:top w:val="nil"/>
              <w:left w:val="nil"/>
              <w:bottom w:val="nil"/>
              <w:right w:val="single" w:sz="18" w:space="0" w:color="5F497A" w:themeColor="accent4" w:themeShade="BF"/>
            </w:tcBorders>
            <w:shd w:val="clear" w:color="auto" w:fill="auto"/>
            <w:vAlign w:val="bottom"/>
          </w:tcPr>
          <w:p w14:paraId="7C32224D" w14:textId="77777777" w:rsidR="009E2B93" w:rsidRPr="00A44829" w:rsidRDefault="009E2B93" w:rsidP="00576338">
            <w:pPr>
              <w:spacing w:before="40" w:after="20"/>
              <w:ind w:right="105"/>
              <w:jc w:val="right"/>
              <w:rPr>
                <w:rFonts w:cs="Arial"/>
                <w:b/>
                <w:sz w:val="18"/>
                <w:szCs w:val="18"/>
              </w:rPr>
            </w:pPr>
            <w:r w:rsidRPr="00A44829">
              <w:rPr>
                <w:rFonts w:cs="Arial"/>
                <w:b/>
                <w:sz w:val="18"/>
                <w:szCs w:val="18"/>
              </w:rPr>
              <w:t>Cost Adjustor</w:t>
            </w:r>
          </w:p>
        </w:tc>
        <w:tc>
          <w:tcPr>
            <w:tcW w:w="4536" w:type="dxa"/>
            <w:gridSpan w:val="4"/>
            <w:tcBorders>
              <w:top w:val="nil"/>
              <w:left w:val="single" w:sz="18" w:space="0" w:color="5F497A" w:themeColor="accent4" w:themeShade="BF"/>
              <w:bottom w:val="single" w:sz="8" w:space="0" w:color="5F497A" w:themeColor="accent4" w:themeShade="BF"/>
            </w:tcBorders>
            <w:shd w:val="clear" w:color="auto" w:fill="auto"/>
            <w:vAlign w:val="bottom"/>
          </w:tcPr>
          <w:p w14:paraId="2A5AEF31" w14:textId="544C2346" w:rsidR="009E2B93" w:rsidRPr="00A44829" w:rsidRDefault="009E2B93" w:rsidP="008001AD">
            <w:pPr>
              <w:spacing w:before="40" w:after="20"/>
              <w:jc w:val="center"/>
              <w:rPr>
                <w:rFonts w:cs="Arial"/>
                <w:b/>
                <w:sz w:val="18"/>
                <w:szCs w:val="18"/>
              </w:rPr>
            </w:pPr>
            <w:r w:rsidRPr="00A44829">
              <w:rPr>
                <w:rFonts w:cs="Arial"/>
                <w:b/>
                <w:sz w:val="18"/>
                <w:szCs w:val="18"/>
              </w:rPr>
              <w:t xml:space="preserve">Regional Services </w:t>
            </w:r>
          </w:p>
        </w:tc>
        <w:tc>
          <w:tcPr>
            <w:tcW w:w="170" w:type="dxa"/>
            <w:vMerge w:val="restart"/>
            <w:tcBorders>
              <w:top w:val="nil"/>
              <w:left w:val="nil"/>
              <w:bottom w:val="single" w:sz="8" w:space="0" w:color="5F497A" w:themeColor="accent4" w:themeShade="BF"/>
              <w:right w:val="nil"/>
            </w:tcBorders>
            <w:vAlign w:val="bottom"/>
          </w:tcPr>
          <w:p w14:paraId="7D96F128" w14:textId="77777777" w:rsidR="009E2B93" w:rsidRPr="00A44829" w:rsidRDefault="009E2B93" w:rsidP="008001AD">
            <w:pPr>
              <w:spacing w:before="40" w:after="20"/>
              <w:jc w:val="center"/>
              <w:rPr>
                <w:rFonts w:cs="Arial"/>
                <w:b/>
                <w:sz w:val="18"/>
                <w:szCs w:val="18"/>
              </w:rPr>
            </w:pPr>
          </w:p>
        </w:tc>
        <w:tc>
          <w:tcPr>
            <w:tcW w:w="2268" w:type="dxa"/>
            <w:gridSpan w:val="2"/>
            <w:tcBorders>
              <w:top w:val="nil"/>
              <w:left w:val="nil"/>
              <w:bottom w:val="single" w:sz="8" w:space="0" w:color="5F497A" w:themeColor="accent4" w:themeShade="BF"/>
              <w:right w:val="nil"/>
            </w:tcBorders>
            <w:vAlign w:val="bottom"/>
          </w:tcPr>
          <w:p w14:paraId="22AE7AE0" w14:textId="0E6BFBF8" w:rsidR="009E2B93" w:rsidRPr="00A44829" w:rsidRDefault="009E2B93" w:rsidP="008001AD">
            <w:pPr>
              <w:spacing w:before="40" w:after="20"/>
              <w:jc w:val="center"/>
              <w:rPr>
                <w:rFonts w:cs="Arial"/>
                <w:b/>
                <w:sz w:val="18"/>
                <w:szCs w:val="18"/>
              </w:rPr>
            </w:pPr>
            <w:r w:rsidRPr="00A44829">
              <w:rPr>
                <w:rFonts w:cs="Arial"/>
                <w:b/>
                <w:sz w:val="18"/>
                <w:szCs w:val="18"/>
              </w:rPr>
              <w:t xml:space="preserve">Remoteness </w:t>
            </w:r>
          </w:p>
        </w:tc>
      </w:tr>
      <w:tr w:rsidR="009E2B93" w:rsidRPr="00A44829" w14:paraId="5F558701" w14:textId="77777777" w:rsidTr="009E2B93">
        <w:tc>
          <w:tcPr>
            <w:tcW w:w="2268" w:type="dxa"/>
            <w:tcBorders>
              <w:top w:val="nil"/>
              <w:left w:val="nil"/>
              <w:bottom w:val="nil"/>
              <w:right w:val="single" w:sz="18" w:space="0" w:color="5F497A" w:themeColor="accent4" w:themeShade="BF"/>
            </w:tcBorders>
            <w:shd w:val="clear" w:color="auto" w:fill="auto"/>
            <w:vAlign w:val="bottom"/>
          </w:tcPr>
          <w:p w14:paraId="6F70BDD3" w14:textId="77777777" w:rsidR="009E2B93" w:rsidRPr="005D19CF" w:rsidRDefault="009E2B93" w:rsidP="00576338">
            <w:pPr>
              <w:spacing w:before="40" w:after="20"/>
              <w:ind w:right="105"/>
              <w:jc w:val="right"/>
              <w:rPr>
                <w:rFonts w:cs="Arial"/>
                <w:b/>
                <w:sz w:val="16"/>
                <w:szCs w:val="16"/>
              </w:rPr>
            </w:pPr>
            <w:r w:rsidRPr="005D19CF">
              <w:rPr>
                <w:rFonts w:cs="Arial"/>
                <w:b/>
                <w:sz w:val="16"/>
                <w:szCs w:val="16"/>
              </w:rPr>
              <w:t>Major Cost Driver</w:t>
            </w: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532F2C6E" w14:textId="77777777" w:rsidR="009E2B93" w:rsidRPr="005D19CF" w:rsidRDefault="009E2B93" w:rsidP="008001AD">
            <w:pPr>
              <w:spacing w:before="40" w:after="20"/>
              <w:jc w:val="center"/>
              <w:rPr>
                <w:rFonts w:cs="Arial"/>
                <w:sz w:val="16"/>
                <w:szCs w:val="16"/>
              </w:rPr>
            </w:pPr>
            <w:r w:rsidRPr="005D19CF">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53C85DA3" w14:textId="5F6C35F9" w:rsidR="009E2B93" w:rsidRPr="005D19CF" w:rsidRDefault="009E2B93" w:rsidP="008001AD">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15,000)</w:t>
            </w:r>
          </w:p>
        </w:tc>
        <w:tc>
          <w:tcPr>
            <w:tcW w:w="1134" w:type="dxa"/>
            <w:tcBorders>
              <w:top w:val="single" w:sz="8" w:space="0" w:color="5F497A" w:themeColor="accent4" w:themeShade="BF"/>
              <w:left w:val="nil"/>
              <w:bottom w:val="single" w:sz="8" w:space="0" w:color="5F497A" w:themeColor="accent4" w:themeShade="BF"/>
              <w:right w:val="nil"/>
            </w:tcBorders>
          </w:tcPr>
          <w:p w14:paraId="01247DFE" w14:textId="1C02582E" w:rsidR="009E2B93" w:rsidRPr="005D19CF" w:rsidRDefault="009E2B93" w:rsidP="008001AD">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(no min)</w:t>
            </w:r>
          </w:p>
        </w:tc>
        <w:tc>
          <w:tcPr>
            <w:tcW w:w="1134" w:type="dxa"/>
            <w:tcBorders>
              <w:top w:val="single" w:sz="8" w:space="0" w:color="5F497A" w:themeColor="accent4" w:themeShade="BF"/>
              <w:left w:val="nil"/>
              <w:bottom w:val="single" w:sz="8" w:space="0" w:color="5F497A" w:themeColor="accent4" w:themeShade="BF"/>
              <w:right w:val="nil"/>
            </w:tcBorders>
          </w:tcPr>
          <w:p w14:paraId="48BD22B6" w14:textId="3E954FD5" w:rsidR="009E2B93" w:rsidRPr="005D19CF" w:rsidRDefault="009E2B93" w:rsidP="008001AD">
            <w:pPr>
              <w:spacing w:before="40" w:after="20"/>
              <w:jc w:val="center"/>
              <w:rPr>
                <w:rFonts w:cs="Arial"/>
                <w:sz w:val="16"/>
                <w:szCs w:val="16"/>
              </w:rPr>
            </w:pPr>
            <w:r w:rsidRPr="005D19CF">
              <w:rPr>
                <w:rFonts w:cs="Arial"/>
                <w:sz w:val="16"/>
                <w:szCs w:val="16"/>
              </w:rPr>
              <w:t xml:space="preserve">No of </w:t>
            </w:r>
            <w:r w:rsidRPr="005D19CF">
              <w:rPr>
                <w:rFonts w:cs="Arial"/>
                <w:sz w:val="16"/>
                <w:szCs w:val="16"/>
              </w:rPr>
              <w:br/>
              <w:t>Dwellings</w:t>
            </w:r>
          </w:p>
        </w:tc>
        <w:tc>
          <w:tcPr>
            <w:tcW w:w="170" w:type="dxa"/>
            <w:vMerge/>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1AE97A8F" w14:textId="77777777" w:rsidR="009E2B93" w:rsidRPr="005D19CF" w:rsidRDefault="009E2B93" w:rsidP="008001AD">
            <w:pPr>
              <w:spacing w:before="40" w:after="20"/>
              <w:jc w:val="center"/>
              <w:rPr>
                <w:rFonts w:cs="Arial"/>
                <w:sz w:val="16"/>
                <w:szCs w:val="16"/>
              </w:rPr>
            </w:pP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0A0F7CA5" w14:textId="4D2A802A" w:rsidR="009E2B93" w:rsidRPr="005D19CF" w:rsidRDefault="009E2B93" w:rsidP="005D04BF">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15,000)</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F2D7E5E" w14:textId="3DA3F5CD" w:rsidR="009E2B93" w:rsidRPr="005D19CF" w:rsidRDefault="009E2B93" w:rsidP="005D04BF">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20,000)</w:t>
            </w:r>
          </w:p>
        </w:tc>
      </w:tr>
      <w:tr w:rsidR="00566EA9" w:rsidRPr="001D41EA" w14:paraId="0853038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F292DAB" w14:textId="77777777" w:rsidR="00566EA9" w:rsidRPr="001D41EA" w:rsidRDefault="00566EA9" w:rsidP="001D41EA">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9C9E013" w14:textId="473F07D0"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vAlign w:val="bottom"/>
          </w:tcPr>
          <w:p w14:paraId="70A6028E" w14:textId="77777777" w:rsidR="00566EA9" w:rsidRPr="001D41EA" w:rsidRDefault="00566EA9" w:rsidP="001D41EA">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1D2E226D" w14:textId="77777777" w:rsidR="00566EA9" w:rsidRPr="001D41EA" w:rsidRDefault="00566EA9" w:rsidP="001D41EA">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2BBCF0A2" w14:textId="7002240E" w:rsidR="00566EA9" w:rsidRPr="001D41EA" w:rsidRDefault="00566EA9" w:rsidP="001D41EA">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0A6831D3" w14:textId="581B8829"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vAlign w:val="bottom"/>
          </w:tcPr>
          <w:p w14:paraId="5A4C1D41" w14:textId="3AAC78C6"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350B29E5" w14:textId="35321933" w:rsidR="00566EA9" w:rsidRPr="001D41EA" w:rsidRDefault="00566EA9" w:rsidP="001D41EA">
            <w:pPr>
              <w:spacing w:before="40" w:after="20"/>
              <w:jc w:val="center"/>
              <w:rPr>
                <w:rFonts w:cs="Arial"/>
                <w:sz w:val="18"/>
                <w:szCs w:val="18"/>
              </w:rPr>
            </w:pPr>
            <w:r w:rsidRPr="001D41EA">
              <w:rPr>
                <w:rFonts w:cs="Arial"/>
                <w:sz w:val="18"/>
                <w:szCs w:val="18"/>
              </w:rPr>
              <w:t> </w:t>
            </w:r>
          </w:p>
        </w:tc>
      </w:tr>
      <w:tr w:rsidR="00566EA9" w:rsidRPr="001D41EA" w14:paraId="76C9370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3BACA2C" w14:textId="77777777" w:rsidR="00566EA9" w:rsidRPr="001D41EA" w:rsidRDefault="00566EA9" w:rsidP="001D41EA">
            <w:pPr>
              <w:spacing w:before="40" w:after="20"/>
              <w:rPr>
                <w:rFonts w:cs="Arial"/>
                <w:sz w:val="18"/>
                <w:szCs w:val="18"/>
              </w:rPr>
            </w:pPr>
            <w:r w:rsidRPr="001D41EA">
              <w:rPr>
                <w:rFonts w:cs="Arial"/>
                <w:sz w:val="18"/>
                <w:szCs w:val="18"/>
              </w:rPr>
              <w:t>Macedon Ranges S</w:t>
            </w:r>
          </w:p>
        </w:tc>
        <w:tc>
          <w:tcPr>
            <w:tcW w:w="1134" w:type="dxa"/>
            <w:tcBorders>
              <w:top w:val="nil"/>
              <w:left w:val="single" w:sz="18" w:space="0" w:color="5F497A" w:themeColor="accent4" w:themeShade="BF"/>
              <w:bottom w:val="nil"/>
              <w:right w:val="nil"/>
            </w:tcBorders>
            <w:shd w:val="clear" w:color="auto" w:fill="auto"/>
            <w:vAlign w:val="bottom"/>
          </w:tcPr>
          <w:p w14:paraId="5FEAF76A" w14:textId="5DFD88A6" w:rsidR="00566EA9" w:rsidRPr="001D41EA" w:rsidRDefault="00566EA9" w:rsidP="001D41EA">
            <w:pPr>
              <w:spacing w:before="40" w:after="20"/>
              <w:jc w:val="center"/>
              <w:rPr>
                <w:rFonts w:cs="Arial"/>
                <w:sz w:val="18"/>
                <w:szCs w:val="18"/>
              </w:rPr>
            </w:pPr>
            <w:r w:rsidRPr="001D41EA">
              <w:rPr>
                <w:rFonts w:cs="Arial"/>
                <w:sz w:val="18"/>
                <w:szCs w:val="18"/>
              </w:rPr>
              <w:t>0.863</w:t>
            </w:r>
          </w:p>
        </w:tc>
        <w:tc>
          <w:tcPr>
            <w:tcW w:w="1134" w:type="dxa"/>
            <w:tcBorders>
              <w:top w:val="nil"/>
              <w:left w:val="nil"/>
              <w:bottom w:val="nil"/>
              <w:right w:val="nil"/>
            </w:tcBorders>
            <w:vAlign w:val="bottom"/>
          </w:tcPr>
          <w:p w14:paraId="54227A0B" w14:textId="62704150" w:rsidR="00566EA9" w:rsidRPr="001D41EA" w:rsidRDefault="00566EA9" w:rsidP="001D41EA">
            <w:pPr>
              <w:spacing w:before="40" w:after="20"/>
              <w:jc w:val="center"/>
              <w:rPr>
                <w:rFonts w:cs="Arial"/>
                <w:sz w:val="18"/>
                <w:szCs w:val="18"/>
              </w:rPr>
            </w:pPr>
            <w:r w:rsidRPr="001D41EA">
              <w:rPr>
                <w:rFonts w:cs="Arial"/>
                <w:sz w:val="18"/>
                <w:szCs w:val="18"/>
              </w:rPr>
              <w:t>0.865</w:t>
            </w:r>
          </w:p>
        </w:tc>
        <w:tc>
          <w:tcPr>
            <w:tcW w:w="1134" w:type="dxa"/>
            <w:tcBorders>
              <w:top w:val="nil"/>
              <w:left w:val="nil"/>
              <w:bottom w:val="nil"/>
              <w:right w:val="nil"/>
            </w:tcBorders>
            <w:vAlign w:val="bottom"/>
          </w:tcPr>
          <w:p w14:paraId="1E946FEA" w14:textId="07868151" w:rsidR="00566EA9" w:rsidRPr="001D41EA" w:rsidRDefault="00566EA9" w:rsidP="001D41EA">
            <w:pPr>
              <w:spacing w:before="40" w:after="20"/>
              <w:jc w:val="center"/>
              <w:rPr>
                <w:rFonts w:cs="Arial"/>
                <w:sz w:val="18"/>
                <w:szCs w:val="18"/>
              </w:rPr>
            </w:pPr>
            <w:r w:rsidRPr="001D41EA">
              <w:rPr>
                <w:rFonts w:cs="Arial"/>
                <w:sz w:val="18"/>
                <w:szCs w:val="18"/>
              </w:rPr>
              <w:t>0.864</w:t>
            </w:r>
          </w:p>
        </w:tc>
        <w:tc>
          <w:tcPr>
            <w:tcW w:w="1134" w:type="dxa"/>
            <w:tcBorders>
              <w:top w:val="nil"/>
              <w:left w:val="nil"/>
              <w:bottom w:val="nil"/>
              <w:right w:val="nil"/>
            </w:tcBorders>
            <w:vAlign w:val="bottom"/>
          </w:tcPr>
          <w:p w14:paraId="49B0DE59" w14:textId="4E1BBF71" w:rsidR="00566EA9" w:rsidRPr="001D41EA" w:rsidRDefault="00566EA9" w:rsidP="001D41EA">
            <w:pPr>
              <w:spacing w:before="40" w:after="20"/>
              <w:jc w:val="center"/>
              <w:rPr>
                <w:rFonts w:cs="Arial"/>
                <w:sz w:val="18"/>
                <w:szCs w:val="18"/>
              </w:rPr>
            </w:pPr>
            <w:r w:rsidRPr="001D41EA">
              <w:rPr>
                <w:rFonts w:cs="Arial"/>
                <w:sz w:val="18"/>
                <w:szCs w:val="18"/>
              </w:rPr>
              <w:t>0.853</w:t>
            </w:r>
          </w:p>
        </w:tc>
        <w:tc>
          <w:tcPr>
            <w:tcW w:w="170" w:type="dxa"/>
            <w:tcBorders>
              <w:top w:val="nil"/>
              <w:left w:val="nil"/>
              <w:bottom w:val="nil"/>
              <w:right w:val="nil"/>
            </w:tcBorders>
            <w:vAlign w:val="bottom"/>
          </w:tcPr>
          <w:p w14:paraId="214EDAD2" w14:textId="198C22AD"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692D5FA3" w14:textId="301B0B69" w:rsidR="00566EA9" w:rsidRPr="001D41EA" w:rsidRDefault="00566EA9" w:rsidP="001D41EA">
            <w:pPr>
              <w:spacing w:before="40" w:after="20"/>
              <w:jc w:val="center"/>
              <w:rPr>
                <w:rFonts w:cs="Arial"/>
                <w:sz w:val="18"/>
                <w:szCs w:val="18"/>
              </w:rPr>
            </w:pPr>
            <w:r w:rsidRPr="001D41EA">
              <w:rPr>
                <w:rFonts w:cs="Arial"/>
                <w:sz w:val="18"/>
                <w:szCs w:val="18"/>
              </w:rPr>
              <w:t>1.053</w:t>
            </w:r>
          </w:p>
        </w:tc>
        <w:tc>
          <w:tcPr>
            <w:tcW w:w="1134" w:type="dxa"/>
            <w:tcBorders>
              <w:top w:val="nil"/>
              <w:left w:val="nil"/>
              <w:bottom w:val="nil"/>
              <w:right w:val="nil"/>
            </w:tcBorders>
            <w:shd w:val="clear" w:color="auto" w:fill="auto"/>
            <w:vAlign w:val="bottom"/>
          </w:tcPr>
          <w:p w14:paraId="0CBAD6A5" w14:textId="18917657" w:rsidR="00566EA9" w:rsidRPr="001D41EA" w:rsidRDefault="00566EA9" w:rsidP="001D41EA">
            <w:pPr>
              <w:spacing w:before="40" w:after="20"/>
              <w:jc w:val="center"/>
              <w:rPr>
                <w:rFonts w:cs="Arial"/>
                <w:sz w:val="18"/>
                <w:szCs w:val="18"/>
              </w:rPr>
            </w:pPr>
            <w:r w:rsidRPr="001D41EA">
              <w:rPr>
                <w:rFonts w:cs="Arial"/>
                <w:sz w:val="18"/>
                <w:szCs w:val="18"/>
              </w:rPr>
              <w:t>1.047</w:t>
            </w:r>
          </w:p>
        </w:tc>
      </w:tr>
      <w:tr w:rsidR="00566EA9" w:rsidRPr="001D41EA" w14:paraId="27B83D8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0510580" w14:textId="77777777" w:rsidR="00566EA9" w:rsidRPr="001D41EA" w:rsidRDefault="00566EA9" w:rsidP="001D41EA">
            <w:pPr>
              <w:spacing w:before="40" w:after="20"/>
              <w:rPr>
                <w:rFonts w:cs="Arial"/>
                <w:sz w:val="18"/>
                <w:szCs w:val="18"/>
              </w:rPr>
            </w:pPr>
            <w:r w:rsidRPr="001D41EA">
              <w:rPr>
                <w:rFonts w:cs="Arial"/>
                <w:sz w:val="18"/>
                <w:szCs w:val="18"/>
              </w:rPr>
              <w:t>Manningham C</w:t>
            </w:r>
          </w:p>
        </w:tc>
        <w:tc>
          <w:tcPr>
            <w:tcW w:w="1134" w:type="dxa"/>
            <w:tcBorders>
              <w:top w:val="nil"/>
              <w:left w:val="single" w:sz="18" w:space="0" w:color="5F497A" w:themeColor="accent4" w:themeShade="BF"/>
              <w:bottom w:val="nil"/>
              <w:right w:val="nil"/>
            </w:tcBorders>
            <w:shd w:val="clear" w:color="auto" w:fill="auto"/>
            <w:vAlign w:val="bottom"/>
          </w:tcPr>
          <w:p w14:paraId="5F4CC003" w14:textId="1F75AE1E" w:rsidR="00566EA9" w:rsidRPr="001D41EA" w:rsidRDefault="00566EA9" w:rsidP="001D41EA">
            <w:pPr>
              <w:spacing w:before="40" w:after="20"/>
              <w:jc w:val="center"/>
              <w:rPr>
                <w:rFonts w:cs="Arial"/>
                <w:sz w:val="18"/>
                <w:szCs w:val="18"/>
              </w:rPr>
            </w:pPr>
            <w:r w:rsidRPr="001D41EA">
              <w:rPr>
                <w:rFonts w:cs="Arial"/>
                <w:sz w:val="18"/>
                <w:szCs w:val="18"/>
              </w:rPr>
              <w:t>0.883</w:t>
            </w:r>
          </w:p>
        </w:tc>
        <w:tc>
          <w:tcPr>
            <w:tcW w:w="1134" w:type="dxa"/>
            <w:tcBorders>
              <w:top w:val="nil"/>
              <w:left w:val="nil"/>
              <w:bottom w:val="nil"/>
              <w:right w:val="nil"/>
            </w:tcBorders>
            <w:vAlign w:val="bottom"/>
          </w:tcPr>
          <w:p w14:paraId="1E6F1BFE" w14:textId="00A56575" w:rsidR="00566EA9" w:rsidRPr="001D41EA" w:rsidRDefault="00566EA9" w:rsidP="001D41EA">
            <w:pPr>
              <w:spacing w:before="40" w:after="20"/>
              <w:jc w:val="center"/>
              <w:rPr>
                <w:rFonts w:cs="Arial"/>
                <w:sz w:val="18"/>
                <w:szCs w:val="18"/>
              </w:rPr>
            </w:pPr>
            <w:r w:rsidRPr="001D41EA">
              <w:rPr>
                <w:rFonts w:cs="Arial"/>
                <w:sz w:val="18"/>
                <w:szCs w:val="18"/>
              </w:rPr>
              <w:t>0.885</w:t>
            </w:r>
          </w:p>
        </w:tc>
        <w:tc>
          <w:tcPr>
            <w:tcW w:w="1134" w:type="dxa"/>
            <w:tcBorders>
              <w:top w:val="nil"/>
              <w:left w:val="nil"/>
              <w:bottom w:val="nil"/>
              <w:right w:val="nil"/>
            </w:tcBorders>
            <w:vAlign w:val="bottom"/>
          </w:tcPr>
          <w:p w14:paraId="004E50D6" w14:textId="6431E197" w:rsidR="00566EA9" w:rsidRPr="001D41EA" w:rsidRDefault="00566EA9" w:rsidP="001D41EA">
            <w:pPr>
              <w:spacing w:before="40" w:after="20"/>
              <w:jc w:val="center"/>
              <w:rPr>
                <w:rFonts w:cs="Arial"/>
                <w:sz w:val="18"/>
                <w:szCs w:val="18"/>
              </w:rPr>
            </w:pPr>
            <w:r w:rsidRPr="001D41EA">
              <w:rPr>
                <w:rFonts w:cs="Arial"/>
                <w:sz w:val="18"/>
                <w:szCs w:val="18"/>
              </w:rPr>
              <w:t>0.884</w:t>
            </w:r>
          </w:p>
        </w:tc>
        <w:tc>
          <w:tcPr>
            <w:tcW w:w="1134" w:type="dxa"/>
            <w:tcBorders>
              <w:top w:val="nil"/>
              <w:left w:val="nil"/>
              <w:bottom w:val="nil"/>
              <w:right w:val="nil"/>
            </w:tcBorders>
            <w:vAlign w:val="bottom"/>
          </w:tcPr>
          <w:p w14:paraId="27919E24" w14:textId="68A83E83" w:rsidR="00566EA9" w:rsidRPr="001D41EA" w:rsidRDefault="00566EA9" w:rsidP="001D41EA">
            <w:pPr>
              <w:spacing w:before="40" w:after="20"/>
              <w:jc w:val="center"/>
              <w:rPr>
                <w:rFonts w:cs="Arial"/>
                <w:sz w:val="18"/>
                <w:szCs w:val="18"/>
              </w:rPr>
            </w:pPr>
            <w:r w:rsidRPr="001D41EA">
              <w:rPr>
                <w:rFonts w:cs="Arial"/>
                <w:sz w:val="18"/>
                <w:szCs w:val="18"/>
              </w:rPr>
              <w:t>0.872</w:t>
            </w:r>
          </w:p>
        </w:tc>
        <w:tc>
          <w:tcPr>
            <w:tcW w:w="170" w:type="dxa"/>
            <w:tcBorders>
              <w:top w:val="nil"/>
              <w:left w:val="nil"/>
              <w:bottom w:val="nil"/>
              <w:right w:val="nil"/>
            </w:tcBorders>
            <w:vAlign w:val="bottom"/>
          </w:tcPr>
          <w:p w14:paraId="186C8DC4" w14:textId="19731909"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17876502" w14:textId="6F9421E4" w:rsidR="00566EA9" w:rsidRPr="001D41EA" w:rsidRDefault="00566EA9" w:rsidP="001D41EA">
            <w:pPr>
              <w:spacing w:before="40" w:after="20"/>
              <w:jc w:val="center"/>
              <w:rPr>
                <w:rFonts w:cs="Arial"/>
                <w:sz w:val="18"/>
                <w:szCs w:val="18"/>
              </w:rPr>
            </w:pPr>
            <w:r w:rsidRPr="001D41EA">
              <w:rPr>
                <w:rFonts w:cs="Arial"/>
                <w:sz w:val="18"/>
                <w:szCs w:val="18"/>
              </w:rPr>
              <w:t>0.918</w:t>
            </w:r>
          </w:p>
        </w:tc>
        <w:tc>
          <w:tcPr>
            <w:tcW w:w="1134" w:type="dxa"/>
            <w:tcBorders>
              <w:top w:val="nil"/>
              <w:left w:val="nil"/>
              <w:bottom w:val="nil"/>
              <w:right w:val="nil"/>
            </w:tcBorders>
            <w:shd w:val="clear" w:color="auto" w:fill="auto"/>
            <w:vAlign w:val="bottom"/>
          </w:tcPr>
          <w:p w14:paraId="403AB82C" w14:textId="20E52DCD" w:rsidR="00566EA9" w:rsidRPr="001D41EA" w:rsidRDefault="00566EA9" w:rsidP="001D41EA">
            <w:pPr>
              <w:spacing w:before="40" w:after="20"/>
              <w:jc w:val="center"/>
              <w:rPr>
                <w:rFonts w:cs="Arial"/>
                <w:sz w:val="18"/>
                <w:szCs w:val="18"/>
              </w:rPr>
            </w:pPr>
            <w:r w:rsidRPr="001D41EA">
              <w:rPr>
                <w:rFonts w:cs="Arial"/>
                <w:sz w:val="18"/>
                <w:szCs w:val="18"/>
              </w:rPr>
              <w:t>0.913</w:t>
            </w:r>
          </w:p>
        </w:tc>
      </w:tr>
      <w:tr w:rsidR="00566EA9" w:rsidRPr="001D41EA" w14:paraId="0313034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21D8A88" w14:textId="77777777" w:rsidR="00566EA9" w:rsidRPr="001D41EA" w:rsidRDefault="00566EA9" w:rsidP="001D41EA">
            <w:pPr>
              <w:spacing w:before="40" w:after="20"/>
              <w:rPr>
                <w:rFonts w:cs="Arial"/>
                <w:sz w:val="18"/>
                <w:szCs w:val="18"/>
              </w:rPr>
            </w:pPr>
            <w:r w:rsidRPr="001D41EA">
              <w:rPr>
                <w:rFonts w:cs="Arial"/>
                <w:sz w:val="18"/>
                <w:szCs w:val="18"/>
              </w:rPr>
              <w:t>Mansfield S</w:t>
            </w:r>
          </w:p>
        </w:tc>
        <w:tc>
          <w:tcPr>
            <w:tcW w:w="1134" w:type="dxa"/>
            <w:tcBorders>
              <w:top w:val="nil"/>
              <w:left w:val="single" w:sz="18" w:space="0" w:color="5F497A" w:themeColor="accent4" w:themeShade="BF"/>
              <w:bottom w:val="nil"/>
              <w:right w:val="nil"/>
            </w:tcBorders>
            <w:shd w:val="clear" w:color="auto" w:fill="auto"/>
            <w:vAlign w:val="bottom"/>
          </w:tcPr>
          <w:p w14:paraId="2258747A" w14:textId="131AE2A0" w:rsidR="00566EA9" w:rsidRPr="001D41EA" w:rsidRDefault="00566EA9" w:rsidP="001D41EA">
            <w:pPr>
              <w:spacing w:before="40" w:after="20"/>
              <w:jc w:val="center"/>
              <w:rPr>
                <w:rFonts w:cs="Arial"/>
                <w:sz w:val="18"/>
                <w:szCs w:val="18"/>
              </w:rPr>
            </w:pPr>
            <w:r w:rsidRPr="001D41EA">
              <w:rPr>
                <w:rFonts w:cs="Arial"/>
                <w:sz w:val="18"/>
                <w:szCs w:val="18"/>
              </w:rPr>
              <w:t>1.083</w:t>
            </w:r>
          </w:p>
        </w:tc>
        <w:tc>
          <w:tcPr>
            <w:tcW w:w="1134" w:type="dxa"/>
            <w:tcBorders>
              <w:top w:val="nil"/>
              <w:left w:val="nil"/>
              <w:bottom w:val="nil"/>
              <w:right w:val="nil"/>
            </w:tcBorders>
            <w:vAlign w:val="bottom"/>
          </w:tcPr>
          <w:p w14:paraId="36792378" w14:textId="0974BCBD" w:rsidR="00566EA9" w:rsidRPr="001D41EA" w:rsidRDefault="00566EA9" w:rsidP="001D41EA">
            <w:pPr>
              <w:spacing w:before="40" w:after="20"/>
              <w:jc w:val="center"/>
              <w:rPr>
                <w:rFonts w:cs="Arial"/>
                <w:sz w:val="18"/>
                <w:szCs w:val="18"/>
              </w:rPr>
            </w:pPr>
            <w:r w:rsidRPr="001D41EA">
              <w:rPr>
                <w:rFonts w:cs="Arial"/>
                <w:sz w:val="18"/>
                <w:szCs w:val="18"/>
              </w:rPr>
              <w:t>1.085</w:t>
            </w:r>
          </w:p>
        </w:tc>
        <w:tc>
          <w:tcPr>
            <w:tcW w:w="1134" w:type="dxa"/>
            <w:tcBorders>
              <w:top w:val="nil"/>
              <w:left w:val="nil"/>
              <w:bottom w:val="nil"/>
              <w:right w:val="nil"/>
            </w:tcBorders>
            <w:vAlign w:val="bottom"/>
          </w:tcPr>
          <w:p w14:paraId="6056FDAB" w14:textId="5E79635E" w:rsidR="00566EA9" w:rsidRPr="001D41EA" w:rsidRDefault="00566EA9" w:rsidP="001D41EA">
            <w:pPr>
              <w:spacing w:before="40" w:after="20"/>
              <w:jc w:val="center"/>
              <w:rPr>
                <w:rFonts w:cs="Arial"/>
                <w:sz w:val="18"/>
                <w:szCs w:val="18"/>
              </w:rPr>
            </w:pPr>
            <w:r w:rsidRPr="001D41EA">
              <w:rPr>
                <w:rFonts w:cs="Arial"/>
                <w:sz w:val="18"/>
                <w:szCs w:val="18"/>
              </w:rPr>
              <w:t>1.083</w:t>
            </w:r>
          </w:p>
        </w:tc>
        <w:tc>
          <w:tcPr>
            <w:tcW w:w="1134" w:type="dxa"/>
            <w:tcBorders>
              <w:top w:val="nil"/>
              <w:left w:val="nil"/>
              <w:bottom w:val="nil"/>
              <w:right w:val="nil"/>
            </w:tcBorders>
            <w:vAlign w:val="bottom"/>
          </w:tcPr>
          <w:p w14:paraId="60528071" w14:textId="71E5FCA4" w:rsidR="00566EA9" w:rsidRPr="001D41EA" w:rsidRDefault="00566EA9" w:rsidP="001D41EA">
            <w:pPr>
              <w:spacing w:before="40" w:after="20"/>
              <w:jc w:val="center"/>
              <w:rPr>
                <w:rFonts w:cs="Arial"/>
                <w:sz w:val="18"/>
                <w:szCs w:val="18"/>
              </w:rPr>
            </w:pPr>
            <w:r w:rsidRPr="001D41EA">
              <w:rPr>
                <w:rFonts w:cs="Arial"/>
                <w:sz w:val="18"/>
                <w:szCs w:val="18"/>
              </w:rPr>
              <w:t>1.069</w:t>
            </w:r>
          </w:p>
        </w:tc>
        <w:tc>
          <w:tcPr>
            <w:tcW w:w="170" w:type="dxa"/>
            <w:tcBorders>
              <w:top w:val="nil"/>
              <w:left w:val="nil"/>
              <w:bottom w:val="nil"/>
              <w:right w:val="nil"/>
            </w:tcBorders>
            <w:vAlign w:val="bottom"/>
          </w:tcPr>
          <w:p w14:paraId="581664B0" w14:textId="1F1A0436"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6E219484" w14:textId="44203CFF" w:rsidR="00566EA9" w:rsidRPr="001D41EA" w:rsidRDefault="00566EA9" w:rsidP="001D41EA">
            <w:pPr>
              <w:spacing w:before="40" w:after="20"/>
              <w:jc w:val="center"/>
              <w:rPr>
                <w:rFonts w:cs="Arial"/>
                <w:sz w:val="18"/>
                <w:szCs w:val="18"/>
              </w:rPr>
            </w:pPr>
            <w:r w:rsidRPr="001D41EA">
              <w:rPr>
                <w:rFonts w:cs="Arial"/>
                <w:sz w:val="18"/>
                <w:szCs w:val="18"/>
              </w:rPr>
              <w:t>1.445</w:t>
            </w:r>
          </w:p>
        </w:tc>
        <w:tc>
          <w:tcPr>
            <w:tcW w:w="1134" w:type="dxa"/>
            <w:tcBorders>
              <w:top w:val="nil"/>
              <w:left w:val="nil"/>
              <w:bottom w:val="nil"/>
              <w:right w:val="nil"/>
            </w:tcBorders>
            <w:shd w:val="clear" w:color="auto" w:fill="auto"/>
            <w:vAlign w:val="bottom"/>
          </w:tcPr>
          <w:p w14:paraId="194B9154" w14:textId="23D0D104" w:rsidR="00566EA9" w:rsidRPr="001D41EA" w:rsidRDefault="00566EA9" w:rsidP="001D41EA">
            <w:pPr>
              <w:spacing w:before="40" w:after="20"/>
              <w:jc w:val="center"/>
              <w:rPr>
                <w:rFonts w:cs="Arial"/>
                <w:sz w:val="18"/>
                <w:szCs w:val="18"/>
              </w:rPr>
            </w:pPr>
            <w:r w:rsidRPr="001D41EA">
              <w:rPr>
                <w:rFonts w:cs="Arial"/>
                <w:sz w:val="18"/>
                <w:szCs w:val="18"/>
              </w:rPr>
              <w:t>1.437</w:t>
            </w:r>
          </w:p>
        </w:tc>
      </w:tr>
      <w:tr w:rsidR="00566EA9" w:rsidRPr="001D41EA" w14:paraId="653F57F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B71AABD" w14:textId="77777777" w:rsidR="00566EA9" w:rsidRPr="001D41EA" w:rsidRDefault="00566EA9" w:rsidP="001D41EA">
            <w:pPr>
              <w:spacing w:before="40" w:after="20"/>
              <w:rPr>
                <w:rFonts w:cs="Arial"/>
                <w:sz w:val="18"/>
                <w:szCs w:val="18"/>
              </w:rPr>
            </w:pPr>
            <w:r w:rsidRPr="001D41EA">
              <w:rPr>
                <w:rFonts w:cs="Arial"/>
                <w:sz w:val="18"/>
                <w:szCs w:val="18"/>
              </w:rPr>
              <w:t>Maribyrnong C</w:t>
            </w:r>
          </w:p>
        </w:tc>
        <w:tc>
          <w:tcPr>
            <w:tcW w:w="1134" w:type="dxa"/>
            <w:tcBorders>
              <w:top w:val="nil"/>
              <w:left w:val="single" w:sz="18" w:space="0" w:color="5F497A" w:themeColor="accent4" w:themeShade="BF"/>
              <w:bottom w:val="nil"/>
              <w:right w:val="nil"/>
            </w:tcBorders>
            <w:shd w:val="clear" w:color="auto" w:fill="auto"/>
            <w:vAlign w:val="bottom"/>
          </w:tcPr>
          <w:p w14:paraId="22AFD660" w14:textId="1CEF39C8" w:rsidR="00566EA9" w:rsidRPr="001D41EA" w:rsidRDefault="00566EA9" w:rsidP="001D41EA">
            <w:pPr>
              <w:spacing w:before="40" w:after="20"/>
              <w:jc w:val="center"/>
              <w:rPr>
                <w:rFonts w:cs="Arial"/>
                <w:sz w:val="18"/>
                <w:szCs w:val="18"/>
              </w:rPr>
            </w:pPr>
            <w:r w:rsidRPr="001D41EA">
              <w:rPr>
                <w:rFonts w:cs="Arial"/>
                <w:sz w:val="18"/>
                <w:szCs w:val="18"/>
              </w:rPr>
              <w:t>1.161</w:t>
            </w:r>
          </w:p>
        </w:tc>
        <w:tc>
          <w:tcPr>
            <w:tcW w:w="1134" w:type="dxa"/>
            <w:tcBorders>
              <w:top w:val="nil"/>
              <w:left w:val="nil"/>
              <w:bottom w:val="nil"/>
              <w:right w:val="nil"/>
            </w:tcBorders>
            <w:vAlign w:val="bottom"/>
          </w:tcPr>
          <w:p w14:paraId="4EBFF6CF" w14:textId="20887165" w:rsidR="00566EA9" w:rsidRPr="001D41EA" w:rsidRDefault="00566EA9" w:rsidP="001D41EA">
            <w:pPr>
              <w:spacing w:before="40" w:after="20"/>
              <w:jc w:val="center"/>
              <w:rPr>
                <w:rFonts w:cs="Arial"/>
                <w:sz w:val="18"/>
                <w:szCs w:val="18"/>
              </w:rPr>
            </w:pPr>
            <w:r w:rsidRPr="001D41EA">
              <w:rPr>
                <w:rFonts w:cs="Arial"/>
                <w:sz w:val="18"/>
                <w:szCs w:val="18"/>
              </w:rPr>
              <w:t>1.163</w:t>
            </w:r>
          </w:p>
        </w:tc>
        <w:tc>
          <w:tcPr>
            <w:tcW w:w="1134" w:type="dxa"/>
            <w:tcBorders>
              <w:top w:val="nil"/>
              <w:left w:val="nil"/>
              <w:bottom w:val="nil"/>
              <w:right w:val="nil"/>
            </w:tcBorders>
            <w:vAlign w:val="bottom"/>
          </w:tcPr>
          <w:p w14:paraId="4FFD749B" w14:textId="2D72EAF6" w:rsidR="00566EA9" w:rsidRPr="001D41EA" w:rsidRDefault="00566EA9" w:rsidP="001D41EA">
            <w:pPr>
              <w:spacing w:before="40" w:after="20"/>
              <w:jc w:val="center"/>
              <w:rPr>
                <w:rFonts w:cs="Arial"/>
                <w:sz w:val="18"/>
                <w:szCs w:val="18"/>
              </w:rPr>
            </w:pPr>
            <w:r w:rsidRPr="001D41EA">
              <w:rPr>
                <w:rFonts w:cs="Arial"/>
                <w:sz w:val="18"/>
                <w:szCs w:val="18"/>
              </w:rPr>
              <w:t>1.161</w:t>
            </w:r>
          </w:p>
        </w:tc>
        <w:tc>
          <w:tcPr>
            <w:tcW w:w="1134" w:type="dxa"/>
            <w:tcBorders>
              <w:top w:val="nil"/>
              <w:left w:val="nil"/>
              <w:bottom w:val="nil"/>
              <w:right w:val="nil"/>
            </w:tcBorders>
            <w:vAlign w:val="bottom"/>
          </w:tcPr>
          <w:p w14:paraId="356C3AE7" w14:textId="2CACACD8" w:rsidR="00566EA9" w:rsidRPr="001D41EA" w:rsidRDefault="00566EA9" w:rsidP="001D41EA">
            <w:pPr>
              <w:spacing w:before="40" w:after="20"/>
              <w:jc w:val="center"/>
              <w:rPr>
                <w:rFonts w:cs="Arial"/>
                <w:sz w:val="18"/>
                <w:szCs w:val="18"/>
              </w:rPr>
            </w:pPr>
            <w:r w:rsidRPr="001D41EA">
              <w:rPr>
                <w:rFonts w:cs="Arial"/>
                <w:sz w:val="18"/>
                <w:szCs w:val="18"/>
              </w:rPr>
              <w:t>1.146</w:t>
            </w:r>
          </w:p>
        </w:tc>
        <w:tc>
          <w:tcPr>
            <w:tcW w:w="170" w:type="dxa"/>
            <w:tcBorders>
              <w:top w:val="nil"/>
              <w:left w:val="nil"/>
              <w:bottom w:val="nil"/>
              <w:right w:val="nil"/>
            </w:tcBorders>
            <w:vAlign w:val="bottom"/>
          </w:tcPr>
          <w:p w14:paraId="141C8E08" w14:textId="776FAD43"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268181C7" w14:textId="1256D888" w:rsidR="00566EA9" w:rsidRPr="001D41EA" w:rsidRDefault="00566EA9" w:rsidP="001D41EA">
            <w:pPr>
              <w:spacing w:before="40" w:after="2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515C83F6" w14:textId="28BD902E" w:rsidR="00566EA9" w:rsidRPr="001D41EA" w:rsidRDefault="00566EA9" w:rsidP="001D41EA">
            <w:pPr>
              <w:spacing w:before="40" w:after="20"/>
              <w:jc w:val="center"/>
              <w:rPr>
                <w:rFonts w:cs="Arial"/>
                <w:sz w:val="18"/>
                <w:szCs w:val="18"/>
              </w:rPr>
            </w:pPr>
            <w:r w:rsidRPr="001D41EA">
              <w:rPr>
                <w:rFonts w:cs="Arial"/>
                <w:sz w:val="18"/>
                <w:szCs w:val="18"/>
              </w:rPr>
              <w:t>0.908</w:t>
            </w:r>
          </w:p>
        </w:tc>
      </w:tr>
      <w:tr w:rsidR="00566EA9" w:rsidRPr="001D41EA" w14:paraId="6942BFD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A1DC81D" w14:textId="77777777" w:rsidR="00566EA9" w:rsidRPr="001D41EA" w:rsidRDefault="00566EA9" w:rsidP="001D41EA">
            <w:pPr>
              <w:spacing w:before="40" w:after="20"/>
              <w:rPr>
                <w:rFonts w:cs="Arial"/>
                <w:sz w:val="18"/>
                <w:szCs w:val="18"/>
              </w:rPr>
            </w:pPr>
            <w:r w:rsidRPr="001D41EA">
              <w:rPr>
                <w:rFonts w:cs="Arial"/>
                <w:sz w:val="18"/>
                <w:szCs w:val="18"/>
              </w:rPr>
              <w:t>Maroondah C</w:t>
            </w:r>
          </w:p>
        </w:tc>
        <w:tc>
          <w:tcPr>
            <w:tcW w:w="1134" w:type="dxa"/>
            <w:tcBorders>
              <w:top w:val="nil"/>
              <w:left w:val="single" w:sz="18" w:space="0" w:color="5F497A" w:themeColor="accent4" w:themeShade="BF"/>
              <w:bottom w:val="nil"/>
              <w:right w:val="nil"/>
            </w:tcBorders>
            <w:shd w:val="clear" w:color="auto" w:fill="auto"/>
            <w:vAlign w:val="bottom"/>
          </w:tcPr>
          <w:p w14:paraId="7392DB45" w14:textId="0B510616" w:rsidR="00566EA9" w:rsidRPr="001D41EA" w:rsidRDefault="00566EA9" w:rsidP="001D41EA">
            <w:pPr>
              <w:spacing w:before="40" w:after="20"/>
              <w:jc w:val="center"/>
              <w:rPr>
                <w:rFonts w:cs="Arial"/>
                <w:sz w:val="18"/>
                <w:szCs w:val="18"/>
              </w:rPr>
            </w:pPr>
            <w:r w:rsidRPr="001D41EA">
              <w:rPr>
                <w:rFonts w:cs="Arial"/>
                <w:sz w:val="18"/>
                <w:szCs w:val="18"/>
              </w:rPr>
              <w:t>1.007</w:t>
            </w:r>
          </w:p>
        </w:tc>
        <w:tc>
          <w:tcPr>
            <w:tcW w:w="1134" w:type="dxa"/>
            <w:tcBorders>
              <w:top w:val="nil"/>
              <w:left w:val="nil"/>
              <w:bottom w:val="nil"/>
              <w:right w:val="nil"/>
            </w:tcBorders>
            <w:vAlign w:val="bottom"/>
          </w:tcPr>
          <w:p w14:paraId="63F2E4FE" w14:textId="3E633782" w:rsidR="00566EA9" w:rsidRPr="001D41EA" w:rsidRDefault="00566EA9" w:rsidP="001D41EA">
            <w:pPr>
              <w:spacing w:before="40" w:after="20"/>
              <w:jc w:val="center"/>
              <w:rPr>
                <w:rFonts w:cs="Arial"/>
                <w:sz w:val="18"/>
                <w:szCs w:val="18"/>
              </w:rPr>
            </w:pPr>
            <w:r w:rsidRPr="001D41EA">
              <w:rPr>
                <w:rFonts w:cs="Arial"/>
                <w:sz w:val="18"/>
                <w:szCs w:val="18"/>
              </w:rPr>
              <w:t>1.009</w:t>
            </w:r>
          </w:p>
        </w:tc>
        <w:tc>
          <w:tcPr>
            <w:tcW w:w="1134" w:type="dxa"/>
            <w:tcBorders>
              <w:top w:val="nil"/>
              <w:left w:val="nil"/>
              <w:bottom w:val="nil"/>
              <w:right w:val="nil"/>
            </w:tcBorders>
            <w:vAlign w:val="bottom"/>
          </w:tcPr>
          <w:p w14:paraId="4AE0DA71" w14:textId="7F5554EF" w:rsidR="00566EA9" w:rsidRPr="001D41EA" w:rsidRDefault="00566EA9" w:rsidP="001D41EA">
            <w:pPr>
              <w:spacing w:before="40" w:after="20"/>
              <w:jc w:val="center"/>
              <w:rPr>
                <w:rFonts w:cs="Arial"/>
                <w:sz w:val="18"/>
                <w:szCs w:val="18"/>
              </w:rPr>
            </w:pPr>
            <w:r w:rsidRPr="001D41EA">
              <w:rPr>
                <w:rFonts w:cs="Arial"/>
                <w:sz w:val="18"/>
                <w:szCs w:val="18"/>
              </w:rPr>
              <w:t>1.007</w:t>
            </w:r>
          </w:p>
        </w:tc>
        <w:tc>
          <w:tcPr>
            <w:tcW w:w="1134" w:type="dxa"/>
            <w:tcBorders>
              <w:top w:val="nil"/>
              <w:left w:val="nil"/>
              <w:bottom w:val="nil"/>
              <w:right w:val="nil"/>
            </w:tcBorders>
            <w:vAlign w:val="bottom"/>
          </w:tcPr>
          <w:p w14:paraId="7847D915" w14:textId="07A84572" w:rsidR="00566EA9" w:rsidRPr="001D41EA" w:rsidRDefault="00566EA9" w:rsidP="001D41EA">
            <w:pPr>
              <w:spacing w:before="40" w:after="20"/>
              <w:jc w:val="center"/>
              <w:rPr>
                <w:rFonts w:cs="Arial"/>
                <w:sz w:val="18"/>
                <w:szCs w:val="18"/>
              </w:rPr>
            </w:pPr>
            <w:r w:rsidRPr="001D41EA">
              <w:rPr>
                <w:rFonts w:cs="Arial"/>
                <w:sz w:val="18"/>
                <w:szCs w:val="18"/>
              </w:rPr>
              <w:t>0.995</w:t>
            </w:r>
          </w:p>
        </w:tc>
        <w:tc>
          <w:tcPr>
            <w:tcW w:w="170" w:type="dxa"/>
            <w:tcBorders>
              <w:top w:val="nil"/>
              <w:left w:val="nil"/>
              <w:bottom w:val="nil"/>
              <w:right w:val="nil"/>
            </w:tcBorders>
            <w:vAlign w:val="bottom"/>
          </w:tcPr>
          <w:p w14:paraId="776001A6" w14:textId="5D7CDA30"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392C236F" w14:textId="19CB50FC" w:rsidR="00566EA9" w:rsidRPr="001D41EA" w:rsidRDefault="00566EA9" w:rsidP="001D41EA">
            <w:pPr>
              <w:spacing w:before="40" w:after="2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6D5822FA" w14:textId="27EE9C74" w:rsidR="00566EA9" w:rsidRPr="001D41EA" w:rsidRDefault="00566EA9" w:rsidP="001D41EA">
            <w:pPr>
              <w:spacing w:before="40" w:after="20"/>
              <w:jc w:val="center"/>
              <w:rPr>
                <w:rFonts w:cs="Arial"/>
                <w:sz w:val="18"/>
                <w:szCs w:val="18"/>
              </w:rPr>
            </w:pPr>
            <w:r w:rsidRPr="001D41EA">
              <w:rPr>
                <w:rFonts w:cs="Arial"/>
                <w:sz w:val="18"/>
                <w:szCs w:val="18"/>
              </w:rPr>
              <w:t>0.908</w:t>
            </w:r>
          </w:p>
        </w:tc>
      </w:tr>
      <w:tr w:rsidR="00566EA9" w:rsidRPr="001D41EA" w14:paraId="3189135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0C7629E" w14:textId="77777777" w:rsidR="00566EA9" w:rsidRPr="001D41EA" w:rsidRDefault="00566EA9" w:rsidP="001D41EA">
            <w:pPr>
              <w:spacing w:before="40" w:after="20"/>
              <w:rPr>
                <w:rFonts w:cs="Arial"/>
                <w:sz w:val="18"/>
                <w:szCs w:val="18"/>
              </w:rPr>
            </w:pPr>
            <w:r w:rsidRPr="001D41EA">
              <w:rPr>
                <w:rFonts w:cs="Arial"/>
                <w:sz w:val="18"/>
                <w:szCs w:val="18"/>
              </w:rPr>
              <w:t>Melbourne C</w:t>
            </w:r>
          </w:p>
        </w:tc>
        <w:tc>
          <w:tcPr>
            <w:tcW w:w="1134" w:type="dxa"/>
            <w:tcBorders>
              <w:top w:val="nil"/>
              <w:left w:val="single" w:sz="18" w:space="0" w:color="5F497A" w:themeColor="accent4" w:themeShade="BF"/>
              <w:bottom w:val="nil"/>
              <w:right w:val="nil"/>
            </w:tcBorders>
            <w:shd w:val="clear" w:color="auto" w:fill="auto"/>
            <w:vAlign w:val="bottom"/>
          </w:tcPr>
          <w:p w14:paraId="3C1F1F5D" w14:textId="07F4DDDE" w:rsidR="00566EA9" w:rsidRPr="001D41EA" w:rsidRDefault="00566EA9" w:rsidP="001D41EA">
            <w:pPr>
              <w:spacing w:before="40" w:after="20"/>
              <w:jc w:val="center"/>
              <w:rPr>
                <w:rFonts w:cs="Arial"/>
                <w:sz w:val="18"/>
                <w:szCs w:val="18"/>
              </w:rPr>
            </w:pPr>
            <w:r w:rsidRPr="001D41EA">
              <w:rPr>
                <w:rFonts w:cs="Arial"/>
                <w:sz w:val="18"/>
                <w:szCs w:val="18"/>
              </w:rPr>
              <w:t>1.218</w:t>
            </w:r>
          </w:p>
        </w:tc>
        <w:tc>
          <w:tcPr>
            <w:tcW w:w="1134" w:type="dxa"/>
            <w:tcBorders>
              <w:top w:val="nil"/>
              <w:left w:val="nil"/>
              <w:bottom w:val="nil"/>
              <w:right w:val="nil"/>
            </w:tcBorders>
            <w:vAlign w:val="bottom"/>
          </w:tcPr>
          <w:p w14:paraId="11031611" w14:textId="57F04B50" w:rsidR="00566EA9" w:rsidRPr="001D41EA" w:rsidRDefault="00566EA9" w:rsidP="001D41EA">
            <w:pPr>
              <w:spacing w:before="40" w:after="20"/>
              <w:jc w:val="center"/>
              <w:rPr>
                <w:rFonts w:cs="Arial"/>
                <w:sz w:val="18"/>
                <w:szCs w:val="18"/>
              </w:rPr>
            </w:pPr>
            <w:r w:rsidRPr="001D41EA">
              <w:rPr>
                <w:rFonts w:cs="Arial"/>
                <w:sz w:val="18"/>
                <w:szCs w:val="18"/>
              </w:rPr>
              <w:t>1.221</w:t>
            </w:r>
          </w:p>
        </w:tc>
        <w:tc>
          <w:tcPr>
            <w:tcW w:w="1134" w:type="dxa"/>
            <w:tcBorders>
              <w:top w:val="nil"/>
              <w:left w:val="nil"/>
              <w:bottom w:val="nil"/>
              <w:right w:val="nil"/>
            </w:tcBorders>
            <w:vAlign w:val="bottom"/>
          </w:tcPr>
          <w:p w14:paraId="52EB85F7" w14:textId="388628B6" w:rsidR="00566EA9" w:rsidRPr="001D41EA" w:rsidRDefault="00566EA9" w:rsidP="001D41EA">
            <w:pPr>
              <w:spacing w:before="40" w:after="20"/>
              <w:jc w:val="center"/>
              <w:rPr>
                <w:rFonts w:cs="Arial"/>
                <w:sz w:val="18"/>
                <w:szCs w:val="18"/>
              </w:rPr>
            </w:pPr>
            <w:r w:rsidRPr="001D41EA">
              <w:rPr>
                <w:rFonts w:cs="Arial"/>
                <w:sz w:val="18"/>
                <w:szCs w:val="18"/>
              </w:rPr>
              <w:t>1.219</w:t>
            </w:r>
          </w:p>
        </w:tc>
        <w:tc>
          <w:tcPr>
            <w:tcW w:w="1134" w:type="dxa"/>
            <w:tcBorders>
              <w:top w:val="nil"/>
              <w:left w:val="nil"/>
              <w:bottom w:val="nil"/>
              <w:right w:val="nil"/>
            </w:tcBorders>
            <w:vAlign w:val="bottom"/>
          </w:tcPr>
          <w:p w14:paraId="3E725781" w14:textId="0DD49022" w:rsidR="00566EA9" w:rsidRPr="001D41EA" w:rsidRDefault="00566EA9" w:rsidP="001D41EA">
            <w:pPr>
              <w:spacing w:before="40" w:after="20"/>
              <w:jc w:val="center"/>
              <w:rPr>
                <w:rFonts w:cs="Arial"/>
                <w:sz w:val="18"/>
                <w:szCs w:val="18"/>
              </w:rPr>
            </w:pPr>
            <w:r w:rsidRPr="001D41EA">
              <w:rPr>
                <w:rFonts w:cs="Arial"/>
                <w:sz w:val="18"/>
                <w:szCs w:val="18"/>
              </w:rPr>
              <w:t>1.204</w:t>
            </w:r>
          </w:p>
        </w:tc>
        <w:tc>
          <w:tcPr>
            <w:tcW w:w="170" w:type="dxa"/>
            <w:tcBorders>
              <w:top w:val="nil"/>
              <w:left w:val="nil"/>
              <w:bottom w:val="nil"/>
              <w:right w:val="nil"/>
            </w:tcBorders>
            <w:vAlign w:val="bottom"/>
          </w:tcPr>
          <w:p w14:paraId="4393B4B9" w14:textId="2EAA1CCE"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1488F447" w14:textId="4F1FC401" w:rsidR="00566EA9" w:rsidRPr="001D41EA" w:rsidRDefault="00566EA9" w:rsidP="001D41EA">
            <w:pPr>
              <w:spacing w:before="40" w:after="2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650FFDD0" w14:textId="10AF4AE9" w:rsidR="00566EA9" w:rsidRPr="001D41EA" w:rsidRDefault="00566EA9" w:rsidP="001D41EA">
            <w:pPr>
              <w:spacing w:before="40" w:after="20"/>
              <w:jc w:val="center"/>
              <w:rPr>
                <w:rFonts w:cs="Arial"/>
                <w:sz w:val="18"/>
                <w:szCs w:val="18"/>
              </w:rPr>
            </w:pPr>
            <w:r w:rsidRPr="001D41EA">
              <w:rPr>
                <w:rFonts w:cs="Arial"/>
                <w:sz w:val="18"/>
                <w:szCs w:val="18"/>
              </w:rPr>
              <w:t>0.908</w:t>
            </w:r>
          </w:p>
        </w:tc>
      </w:tr>
      <w:tr w:rsidR="00566EA9" w:rsidRPr="001D41EA" w14:paraId="7B6A4BB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2B7D754" w14:textId="77777777" w:rsidR="00566EA9" w:rsidRPr="001D41EA" w:rsidRDefault="00566EA9" w:rsidP="001D41EA">
            <w:pPr>
              <w:spacing w:before="40" w:after="20"/>
              <w:rPr>
                <w:rFonts w:cs="Arial"/>
                <w:sz w:val="18"/>
                <w:szCs w:val="18"/>
              </w:rPr>
            </w:pPr>
            <w:r w:rsidRPr="001D41EA">
              <w:rPr>
                <w:rFonts w:cs="Arial"/>
                <w:sz w:val="18"/>
                <w:szCs w:val="18"/>
              </w:rPr>
              <w:t>Melton C</w:t>
            </w:r>
          </w:p>
        </w:tc>
        <w:tc>
          <w:tcPr>
            <w:tcW w:w="1134" w:type="dxa"/>
            <w:tcBorders>
              <w:top w:val="nil"/>
              <w:left w:val="single" w:sz="18" w:space="0" w:color="5F497A" w:themeColor="accent4" w:themeShade="BF"/>
              <w:bottom w:val="nil"/>
              <w:right w:val="nil"/>
            </w:tcBorders>
            <w:shd w:val="clear" w:color="auto" w:fill="auto"/>
            <w:vAlign w:val="bottom"/>
          </w:tcPr>
          <w:p w14:paraId="11CCB2D8" w14:textId="2FD97961" w:rsidR="00566EA9" w:rsidRPr="001D41EA" w:rsidRDefault="00566EA9" w:rsidP="001D41EA">
            <w:pPr>
              <w:spacing w:before="40" w:after="20"/>
              <w:jc w:val="center"/>
              <w:rPr>
                <w:rFonts w:cs="Arial"/>
                <w:sz w:val="18"/>
                <w:szCs w:val="18"/>
              </w:rPr>
            </w:pPr>
            <w:r w:rsidRPr="001D41EA">
              <w:rPr>
                <w:rFonts w:cs="Arial"/>
                <w:sz w:val="18"/>
                <w:szCs w:val="18"/>
              </w:rPr>
              <w:t>0.722</w:t>
            </w:r>
          </w:p>
        </w:tc>
        <w:tc>
          <w:tcPr>
            <w:tcW w:w="1134" w:type="dxa"/>
            <w:tcBorders>
              <w:top w:val="nil"/>
              <w:left w:val="nil"/>
              <w:bottom w:val="nil"/>
              <w:right w:val="nil"/>
            </w:tcBorders>
            <w:vAlign w:val="bottom"/>
          </w:tcPr>
          <w:p w14:paraId="74F5CFB9" w14:textId="45124293" w:rsidR="00566EA9" w:rsidRPr="001D41EA" w:rsidRDefault="00566EA9" w:rsidP="001D41EA">
            <w:pPr>
              <w:spacing w:before="40" w:after="20"/>
              <w:jc w:val="center"/>
              <w:rPr>
                <w:rFonts w:cs="Arial"/>
                <w:sz w:val="18"/>
                <w:szCs w:val="18"/>
              </w:rPr>
            </w:pPr>
            <w:r w:rsidRPr="001D41EA">
              <w:rPr>
                <w:rFonts w:cs="Arial"/>
                <w:sz w:val="18"/>
                <w:szCs w:val="18"/>
              </w:rPr>
              <w:t>0.723</w:t>
            </w:r>
          </w:p>
        </w:tc>
        <w:tc>
          <w:tcPr>
            <w:tcW w:w="1134" w:type="dxa"/>
            <w:tcBorders>
              <w:top w:val="nil"/>
              <w:left w:val="nil"/>
              <w:bottom w:val="nil"/>
              <w:right w:val="nil"/>
            </w:tcBorders>
            <w:vAlign w:val="bottom"/>
          </w:tcPr>
          <w:p w14:paraId="1994EF70" w14:textId="6890CE0D" w:rsidR="00566EA9" w:rsidRPr="001D41EA" w:rsidRDefault="00566EA9" w:rsidP="001D41EA">
            <w:pPr>
              <w:spacing w:before="40" w:after="20"/>
              <w:jc w:val="center"/>
              <w:rPr>
                <w:rFonts w:cs="Arial"/>
                <w:sz w:val="18"/>
                <w:szCs w:val="18"/>
              </w:rPr>
            </w:pPr>
            <w:r w:rsidRPr="001D41EA">
              <w:rPr>
                <w:rFonts w:cs="Arial"/>
                <w:sz w:val="18"/>
                <w:szCs w:val="18"/>
              </w:rPr>
              <w:t>0.722</w:t>
            </w:r>
          </w:p>
        </w:tc>
        <w:tc>
          <w:tcPr>
            <w:tcW w:w="1134" w:type="dxa"/>
            <w:tcBorders>
              <w:top w:val="nil"/>
              <w:left w:val="nil"/>
              <w:bottom w:val="nil"/>
              <w:right w:val="nil"/>
            </w:tcBorders>
            <w:vAlign w:val="bottom"/>
          </w:tcPr>
          <w:p w14:paraId="152EE272" w14:textId="163DC1F6" w:rsidR="00566EA9" w:rsidRPr="001D41EA" w:rsidRDefault="00566EA9" w:rsidP="001D41EA">
            <w:pPr>
              <w:spacing w:before="40" w:after="20"/>
              <w:jc w:val="center"/>
              <w:rPr>
                <w:rFonts w:cs="Arial"/>
                <w:sz w:val="18"/>
                <w:szCs w:val="18"/>
              </w:rPr>
            </w:pPr>
            <w:r w:rsidRPr="001D41EA">
              <w:rPr>
                <w:rFonts w:cs="Arial"/>
                <w:sz w:val="18"/>
                <w:szCs w:val="18"/>
              </w:rPr>
              <w:t>0.713</w:t>
            </w:r>
          </w:p>
        </w:tc>
        <w:tc>
          <w:tcPr>
            <w:tcW w:w="170" w:type="dxa"/>
            <w:tcBorders>
              <w:top w:val="nil"/>
              <w:left w:val="nil"/>
              <w:bottom w:val="nil"/>
              <w:right w:val="nil"/>
            </w:tcBorders>
            <w:vAlign w:val="bottom"/>
          </w:tcPr>
          <w:p w14:paraId="42B1FB2B" w14:textId="5A46A9CC"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40FD6C99" w14:textId="63ECD01F" w:rsidR="00566EA9" w:rsidRPr="001D41EA" w:rsidRDefault="00566EA9" w:rsidP="001D41EA">
            <w:pPr>
              <w:spacing w:before="40" w:after="20"/>
              <w:jc w:val="center"/>
              <w:rPr>
                <w:rFonts w:cs="Arial"/>
                <w:sz w:val="18"/>
                <w:szCs w:val="18"/>
              </w:rPr>
            </w:pPr>
            <w:r w:rsidRPr="001D41EA">
              <w:rPr>
                <w:rFonts w:cs="Arial"/>
                <w:sz w:val="18"/>
                <w:szCs w:val="18"/>
              </w:rPr>
              <w:t>0.936</w:t>
            </w:r>
          </w:p>
        </w:tc>
        <w:tc>
          <w:tcPr>
            <w:tcW w:w="1134" w:type="dxa"/>
            <w:tcBorders>
              <w:top w:val="nil"/>
              <w:left w:val="nil"/>
              <w:bottom w:val="nil"/>
              <w:right w:val="nil"/>
            </w:tcBorders>
            <w:shd w:val="clear" w:color="auto" w:fill="auto"/>
            <w:vAlign w:val="bottom"/>
          </w:tcPr>
          <w:p w14:paraId="553C0A77" w14:textId="0EF92D60" w:rsidR="00566EA9" w:rsidRPr="001D41EA" w:rsidRDefault="00566EA9" w:rsidP="001D41EA">
            <w:pPr>
              <w:spacing w:before="40" w:after="20"/>
              <w:jc w:val="center"/>
              <w:rPr>
                <w:rFonts w:cs="Arial"/>
                <w:sz w:val="18"/>
                <w:szCs w:val="18"/>
              </w:rPr>
            </w:pPr>
            <w:r w:rsidRPr="001D41EA">
              <w:rPr>
                <w:rFonts w:cs="Arial"/>
                <w:sz w:val="18"/>
                <w:szCs w:val="18"/>
              </w:rPr>
              <w:t>0.931</w:t>
            </w:r>
          </w:p>
        </w:tc>
      </w:tr>
      <w:tr w:rsidR="00566EA9" w:rsidRPr="001D41EA" w14:paraId="6423A3F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7E8DA65" w14:textId="77777777" w:rsidR="00566EA9" w:rsidRPr="001D41EA" w:rsidRDefault="00566EA9" w:rsidP="001D41EA">
            <w:pPr>
              <w:spacing w:before="40" w:after="20"/>
              <w:rPr>
                <w:rFonts w:cs="Arial"/>
                <w:sz w:val="18"/>
                <w:szCs w:val="18"/>
              </w:rPr>
            </w:pPr>
            <w:r w:rsidRPr="001D41EA">
              <w:rPr>
                <w:rFonts w:cs="Arial"/>
                <w:sz w:val="18"/>
                <w:szCs w:val="18"/>
              </w:rPr>
              <w:t>Mildura RC</w:t>
            </w:r>
          </w:p>
        </w:tc>
        <w:tc>
          <w:tcPr>
            <w:tcW w:w="1134" w:type="dxa"/>
            <w:tcBorders>
              <w:top w:val="nil"/>
              <w:left w:val="single" w:sz="18" w:space="0" w:color="5F497A" w:themeColor="accent4" w:themeShade="BF"/>
              <w:bottom w:val="nil"/>
              <w:right w:val="nil"/>
            </w:tcBorders>
            <w:shd w:val="clear" w:color="auto" w:fill="auto"/>
            <w:vAlign w:val="bottom"/>
          </w:tcPr>
          <w:p w14:paraId="7B0F1FD7" w14:textId="084E75E0" w:rsidR="00566EA9" w:rsidRPr="001D41EA" w:rsidRDefault="00566EA9" w:rsidP="001D41EA">
            <w:pPr>
              <w:spacing w:before="40" w:after="20"/>
              <w:jc w:val="center"/>
              <w:rPr>
                <w:rFonts w:cs="Arial"/>
                <w:sz w:val="18"/>
                <w:szCs w:val="18"/>
              </w:rPr>
            </w:pPr>
            <w:r w:rsidRPr="001D41EA">
              <w:rPr>
                <w:rFonts w:cs="Arial"/>
                <w:sz w:val="18"/>
                <w:szCs w:val="18"/>
              </w:rPr>
              <w:t>1.329</w:t>
            </w:r>
          </w:p>
        </w:tc>
        <w:tc>
          <w:tcPr>
            <w:tcW w:w="1134" w:type="dxa"/>
            <w:tcBorders>
              <w:top w:val="nil"/>
              <w:left w:val="nil"/>
              <w:bottom w:val="nil"/>
              <w:right w:val="nil"/>
            </w:tcBorders>
            <w:vAlign w:val="bottom"/>
          </w:tcPr>
          <w:p w14:paraId="0E45826E" w14:textId="450CB61E" w:rsidR="00566EA9" w:rsidRPr="001D41EA" w:rsidRDefault="00566EA9" w:rsidP="001D41EA">
            <w:pPr>
              <w:spacing w:before="40" w:after="20"/>
              <w:jc w:val="center"/>
              <w:rPr>
                <w:rFonts w:cs="Arial"/>
                <w:sz w:val="18"/>
                <w:szCs w:val="18"/>
              </w:rPr>
            </w:pPr>
            <w:r w:rsidRPr="001D41EA">
              <w:rPr>
                <w:rFonts w:cs="Arial"/>
                <w:sz w:val="18"/>
                <w:szCs w:val="18"/>
              </w:rPr>
              <w:t>1.332</w:t>
            </w:r>
          </w:p>
        </w:tc>
        <w:tc>
          <w:tcPr>
            <w:tcW w:w="1134" w:type="dxa"/>
            <w:tcBorders>
              <w:top w:val="nil"/>
              <w:left w:val="nil"/>
              <w:bottom w:val="nil"/>
              <w:right w:val="nil"/>
            </w:tcBorders>
            <w:vAlign w:val="bottom"/>
          </w:tcPr>
          <w:p w14:paraId="33E0E9E9" w14:textId="13B36907" w:rsidR="00566EA9" w:rsidRPr="001D41EA" w:rsidRDefault="00566EA9" w:rsidP="001D41EA">
            <w:pPr>
              <w:spacing w:before="40" w:after="20"/>
              <w:jc w:val="center"/>
              <w:rPr>
                <w:rFonts w:cs="Arial"/>
                <w:sz w:val="18"/>
                <w:szCs w:val="18"/>
              </w:rPr>
            </w:pPr>
            <w:r w:rsidRPr="001D41EA">
              <w:rPr>
                <w:rFonts w:cs="Arial"/>
                <w:sz w:val="18"/>
                <w:szCs w:val="18"/>
              </w:rPr>
              <w:t>1.330</w:t>
            </w:r>
          </w:p>
        </w:tc>
        <w:tc>
          <w:tcPr>
            <w:tcW w:w="1134" w:type="dxa"/>
            <w:tcBorders>
              <w:top w:val="nil"/>
              <w:left w:val="nil"/>
              <w:bottom w:val="nil"/>
              <w:right w:val="nil"/>
            </w:tcBorders>
            <w:vAlign w:val="bottom"/>
          </w:tcPr>
          <w:p w14:paraId="1BA96B3D" w14:textId="64D0F9FF" w:rsidR="00566EA9" w:rsidRPr="001D41EA" w:rsidRDefault="00566EA9" w:rsidP="001D41EA">
            <w:pPr>
              <w:spacing w:before="40" w:after="20"/>
              <w:jc w:val="center"/>
              <w:rPr>
                <w:rFonts w:cs="Arial"/>
                <w:sz w:val="18"/>
                <w:szCs w:val="18"/>
              </w:rPr>
            </w:pPr>
            <w:r w:rsidRPr="001D41EA">
              <w:rPr>
                <w:rFonts w:cs="Arial"/>
                <w:sz w:val="18"/>
                <w:szCs w:val="18"/>
              </w:rPr>
              <w:t>1.313</w:t>
            </w:r>
          </w:p>
        </w:tc>
        <w:tc>
          <w:tcPr>
            <w:tcW w:w="170" w:type="dxa"/>
            <w:tcBorders>
              <w:top w:val="nil"/>
              <w:left w:val="nil"/>
              <w:bottom w:val="nil"/>
              <w:right w:val="nil"/>
            </w:tcBorders>
            <w:vAlign w:val="bottom"/>
          </w:tcPr>
          <w:p w14:paraId="4D83BC41" w14:textId="40139E47"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51D9F330" w14:textId="4BABE02F" w:rsidR="00566EA9" w:rsidRPr="001D41EA" w:rsidRDefault="00566EA9" w:rsidP="001D41EA">
            <w:pPr>
              <w:spacing w:before="40" w:after="20"/>
              <w:jc w:val="center"/>
              <w:rPr>
                <w:rFonts w:cs="Arial"/>
                <w:sz w:val="18"/>
                <w:szCs w:val="18"/>
              </w:rPr>
            </w:pPr>
            <w:r w:rsidRPr="001D41EA">
              <w:rPr>
                <w:rFonts w:cs="Arial"/>
                <w:sz w:val="18"/>
                <w:szCs w:val="18"/>
              </w:rPr>
              <w:t>1.777</w:t>
            </w:r>
          </w:p>
        </w:tc>
        <w:tc>
          <w:tcPr>
            <w:tcW w:w="1134" w:type="dxa"/>
            <w:tcBorders>
              <w:top w:val="nil"/>
              <w:left w:val="nil"/>
              <w:bottom w:val="nil"/>
              <w:right w:val="nil"/>
            </w:tcBorders>
            <w:shd w:val="clear" w:color="auto" w:fill="auto"/>
            <w:vAlign w:val="bottom"/>
          </w:tcPr>
          <w:p w14:paraId="31534FA8" w14:textId="1BC4557A" w:rsidR="00566EA9" w:rsidRPr="001D41EA" w:rsidRDefault="00566EA9" w:rsidP="001D41EA">
            <w:pPr>
              <w:spacing w:before="40" w:after="20"/>
              <w:jc w:val="center"/>
              <w:rPr>
                <w:rFonts w:cs="Arial"/>
                <w:sz w:val="18"/>
                <w:szCs w:val="18"/>
              </w:rPr>
            </w:pPr>
            <w:r w:rsidRPr="001D41EA">
              <w:rPr>
                <w:rFonts w:cs="Arial"/>
                <w:sz w:val="18"/>
                <w:szCs w:val="18"/>
              </w:rPr>
              <w:t>1.767</w:t>
            </w:r>
          </w:p>
        </w:tc>
      </w:tr>
      <w:tr w:rsidR="00566EA9" w:rsidRPr="001D41EA" w14:paraId="62E7B4B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6571772" w14:textId="77777777" w:rsidR="00566EA9" w:rsidRPr="001D41EA" w:rsidRDefault="00566EA9" w:rsidP="001D41EA">
            <w:pPr>
              <w:spacing w:before="40" w:after="20"/>
              <w:rPr>
                <w:rFonts w:cs="Arial"/>
                <w:sz w:val="18"/>
                <w:szCs w:val="18"/>
              </w:rPr>
            </w:pPr>
            <w:r w:rsidRPr="001D41EA">
              <w:rPr>
                <w:rFonts w:cs="Arial"/>
                <w:sz w:val="18"/>
                <w:szCs w:val="18"/>
              </w:rPr>
              <w:t>Mitchell S</w:t>
            </w:r>
          </w:p>
        </w:tc>
        <w:tc>
          <w:tcPr>
            <w:tcW w:w="1134" w:type="dxa"/>
            <w:tcBorders>
              <w:top w:val="nil"/>
              <w:left w:val="single" w:sz="18" w:space="0" w:color="5F497A" w:themeColor="accent4" w:themeShade="BF"/>
              <w:bottom w:val="nil"/>
              <w:right w:val="nil"/>
            </w:tcBorders>
            <w:shd w:val="clear" w:color="auto" w:fill="auto"/>
            <w:vAlign w:val="bottom"/>
          </w:tcPr>
          <w:p w14:paraId="162B57E5" w14:textId="560FDA19" w:rsidR="00566EA9" w:rsidRPr="001D41EA" w:rsidRDefault="00566EA9" w:rsidP="001D41EA">
            <w:pPr>
              <w:spacing w:before="40" w:after="20"/>
              <w:jc w:val="center"/>
              <w:rPr>
                <w:rFonts w:cs="Arial"/>
                <w:sz w:val="18"/>
                <w:szCs w:val="18"/>
              </w:rPr>
            </w:pPr>
            <w:r w:rsidRPr="001D41EA">
              <w:rPr>
                <w:rFonts w:cs="Arial"/>
                <w:sz w:val="18"/>
                <w:szCs w:val="18"/>
              </w:rPr>
              <w:t>0.854</w:t>
            </w:r>
          </w:p>
        </w:tc>
        <w:tc>
          <w:tcPr>
            <w:tcW w:w="1134" w:type="dxa"/>
            <w:tcBorders>
              <w:top w:val="nil"/>
              <w:left w:val="nil"/>
              <w:bottom w:val="nil"/>
              <w:right w:val="nil"/>
            </w:tcBorders>
            <w:vAlign w:val="bottom"/>
          </w:tcPr>
          <w:p w14:paraId="17D799C0" w14:textId="392ED470" w:rsidR="00566EA9" w:rsidRPr="001D41EA" w:rsidRDefault="00566EA9" w:rsidP="001D41EA">
            <w:pPr>
              <w:spacing w:before="40" w:after="20"/>
              <w:jc w:val="center"/>
              <w:rPr>
                <w:rFonts w:cs="Arial"/>
                <w:sz w:val="18"/>
                <w:szCs w:val="18"/>
              </w:rPr>
            </w:pPr>
            <w:r w:rsidRPr="001D41EA">
              <w:rPr>
                <w:rFonts w:cs="Arial"/>
                <w:sz w:val="18"/>
                <w:szCs w:val="18"/>
              </w:rPr>
              <w:t>0.856</w:t>
            </w:r>
          </w:p>
        </w:tc>
        <w:tc>
          <w:tcPr>
            <w:tcW w:w="1134" w:type="dxa"/>
            <w:tcBorders>
              <w:top w:val="nil"/>
              <w:left w:val="nil"/>
              <w:bottom w:val="nil"/>
              <w:right w:val="nil"/>
            </w:tcBorders>
            <w:vAlign w:val="bottom"/>
          </w:tcPr>
          <w:p w14:paraId="2DC3CA0A" w14:textId="5498A0FB" w:rsidR="00566EA9" w:rsidRPr="001D41EA" w:rsidRDefault="00566EA9" w:rsidP="001D41EA">
            <w:pPr>
              <w:spacing w:before="40" w:after="20"/>
              <w:jc w:val="center"/>
              <w:rPr>
                <w:rFonts w:cs="Arial"/>
                <w:sz w:val="18"/>
                <w:szCs w:val="18"/>
              </w:rPr>
            </w:pPr>
            <w:r w:rsidRPr="001D41EA">
              <w:rPr>
                <w:rFonts w:cs="Arial"/>
                <w:sz w:val="18"/>
                <w:szCs w:val="18"/>
              </w:rPr>
              <w:t>0.855</w:t>
            </w:r>
          </w:p>
        </w:tc>
        <w:tc>
          <w:tcPr>
            <w:tcW w:w="1134" w:type="dxa"/>
            <w:tcBorders>
              <w:top w:val="nil"/>
              <w:left w:val="nil"/>
              <w:bottom w:val="nil"/>
              <w:right w:val="nil"/>
            </w:tcBorders>
            <w:vAlign w:val="bottom"/>
          </w:tcPr>
          <w:p w14:paraId="45321F02" w14:textId="7E64A448" w:rsidR="00566EA9" w:rsidRPr="001D41EA" w:rsidRDefault="00566EA9" w:rsidP="001D41EA">
            <w:pPr>
              <w:spacing w:before="40" w:after="20"/>
              <w:jc w:val="center"/>
              <w:rPr>
                <w:rFonts w:cs="Arial"/>
                <w:sz w:val="18"/>
                <w:szCs w:val="18"/>
              </w:rPr>
            </w:pPr>
            <w:r w:rsidRPr="001D41EA">
              <w:rPr>
                <w:rFonts w:cs="Arial"/>
                <w:sz w:val="18"/>
                <w:szCs w:val="18"/>
              </w:rPr>
              <w:t>0.844</w:t>
            </w:r>
          </w:p>
        </w:tc>
        <w:tc>
          <w:tcPr>
            <w:tcW w:w="170" w:type="dxa"/>
            <w:tcBorders>
              <w:top w:val="nil"/>
              <w:left w:val="nil"/>
              <w:bottom w:val="nil"/>
              <w:right w:val="nil"/>
            </w:tcBorders>
            <w:vAlign w:val="bottom"/>
          </w:tcPr>
          <w:p w14:paraId="2EDC7BC6" w14:textId="75FF5BF5"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5B8531EC" w14:textId="6077C54E" w:rsidR="00566EA9" w:rsidRPr="001D41EA" w:rsidRDefault="00566EA9" w:rsidP="001D41EA">
            <w:pPr>
              <w:spacing w:before="40" w:after="20"/>
              <w:jc w:val="center"/>
              <w:rPr>
                <w:rFonts w:cs="Arial"/>
                <w:sz w:val="18"/>
                <w:szCs w:val="18"/>
              </w:rPr>
            </w:pPr>
            <w:r w:rsidRPr="001D41EA">
              <w:rPr>
                <w:rFonts w:cs="Arial"/>
                <w:sz w:val="18"/>
                <w:szCs w:val="18"/>
              </w:rPr>
              <w:t>1.094</w:t>
            </w:r>
          </w:p>
        </w:tc>
        <w:tc>
          <w:tcPr>
            <w:tcW w:w="1134" w:type="dxa"/>
            <w:tcBorders>
              <w:top w:val="nil"/>
              <w:left w:val="nil"/>
              <w:bottom w:val="nil"/>
              <w:right w:val="nil"/>
            </w:tcBorders>
            <w:shd w:val="clear" w:color="auto" w:fill="auto"/>
            <w:vAlign w:val="bottom"/>
          </w:tcPr>
          <w:p w14:paraId="1FD90028" w14:textId="6DD9328D" w:rsidR="00566EA9" w:rsidRPr="001D41EA" w:rsidRDefault="00566EA9" w:rsidP="001D41EA">
            <w:pPr>
              <w:spacing w:before="40" w:after="20"/>
              <w:jc w:val="center"/>
              <w:rPr>
                <w:rFonts w:cs="Arial"/>
                <w:sz w:val="18"/>
                <w:szCs w:val="18"/>
              </w:rPr>
            </w:pPr>
            <w:r w:rsidRPr="001D41EA">
              <w:rPr>
                <w:rFonts w:cs="Arial"/>
                <w:sz w:val="18"/>
                <w:szCs w:val="18"/>
              </w:rPr>
              <w:t>1.088</w:t>
            </w:r>
          </w:p>
        </w:tc>
      </w:tr>
      <w:tr w:rsidR="00566EA9" w:rsidRPr="001D41EA" w14:paraId="6462655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E0C43BD" w14:textId="77777777" w:rsidR="00566EA9" w:rsidRPr="001D41EA" w:rsidRDefault="00566EA9" w:rsidP="001D41EA">
            <w:pPr>
              <w:spacing w:before="40" w:after="20"/>
              <w:rPr>
                <w:rFonts w:cs="Arial"/>
                <w:sz w:val="18"/>
                <w:szCs w:val="18"/>
              </w:rPr>
            </w:pPr>
            <w:r w:rsidRPr="001D41EA">
              <w:rPr>
                <w:rFonts w:cs="Arial"/>
                <w:sz w:val="18"/>
                <w:szCs w:val="18"/>
              </w:rPr>
              <w:t>Moira S</w:t>
            </w:r>
          </w:p>
        </w:tc>
        <w:tc>
          <w:tcPr>
            <w:tcW w:w="1134" w:type="dxa"/>
            <w:tcBorders>
              <w:top w:val="nil"/>
              <w:left w:val="single" w:sz="18" w:space="0" w:color="5F497A" w:themeColor="accent4" w:themeShade="BF"/>
              <w:bottom w:val="nil"/>
              <w:right w:val="nil"/>
            </w:tcBorders>
            <w:shd w:val="clear" w:color="auto" w:fill="auto"/>
            <w:vAlign w:val="bottom"/>
          </w:tcPr>
          <w:p w14:paraId="678FAE82" w14:textId="407536AC" w:rsidR="00566EA9" w:rsidRPr="001D41EA" w:rsidRDefault="00566EA9" w:rsidP="001D41EA">
            <w:pPr>
              <w:spacing w:before="40" w:after="20"/>
              <w:jc w:val="center"/>
              <w:rPr>
                <w:rFonts w:cs="Arial"/>
                <w:sz w:val="18"/>
                <w:szCs w:val="18"/>
              </w:rPr>
            </w:pPr>
            <w:r w:rsidRPr="001D41EA">
              <w:rPr>
                <w:rFonts w:cs="Arial"/>
                <w:sz w:val="18"/>
                <w:szCs w:val="18"/>
              </w:rPr>
              <w:t>0.840</w:t>
            </w:r>
          </w:p>
        </w:tc>
        <w:tc>
          <w:tcPr>
            <w:tcW w:w="1134" w:type="dxa"/>
            <w:tcBorders>
              <w:top w:val="nil"/>
              <w:left w:val="nil"/>
              <w:bottom w:val="nil"/>
              <w:right w:val="nil"/>
            </w:tcBorders>
            <w:vAlign w:val="bottom"/>
          </w:tcPr>
          <w:p w14:paraId="0E268D04" w14:textId="6BBF2A3E" w:rsidR="00566EA9" w:rsidRPr="001D41EA" w:rsidRDefault="00566EA9" w:rsidP="001D41EA">
            <w:pPr>
              <w:spacing w:before="40" w:after="20"/>
              <w:jc w:val="center"/>
              <w:rPr>
                <w:rFonts w:cs="Arial"/>
                <w:sz w:val="18"/>
                <w:szCs w:val="18"/>
              </w:rPr>
            </w:pPr>
            <w:r w:rsidRPr="001D41EA">
              <w:rPr>
                <w:rFonts w:cs="Arial"/>
                <w:sz w:val="18"/>
                <w:szCs w:val="18"/>
              </w:rPr>
              <w:t>0.842</w:t>
            </w:r>
          </w:p>
        </w:tc>
        <w:tc>
          <w:tcPr>
            <w:tcW w:w="1134" w:type="dxa"/>
            <w:tcBorders>
              <w:top w:val="nil"/>
              <w:left w:val="nil"/>
              <w:bottom w:val="nil"/>
              <w:right w:val="nil"/>
            </w:tcBorders>
            <w:vAlign w:val="bottom"/>
          </w:tcPr>
          <w:p w14:paraId="3DFFE9D1" w14:textId="1FC46A7C" w:rsidR="00566EA9" w:rsidRPr="001D41EA" w:rsidRDefault="00566EA9" w:rsidP="001D41EA">
            <w:pPr>
              <w:spacing w:before="40" w:after="20"/>
              <w:jc w:val="center"/>
              <w:rPr>
                <w:rFonts w:cs="Arial"/>
                <w:sz w:val="18"/>
                <w:szCs w:val="18"/>
              </w:rPr>
            </w:pPr>
            <w:r w:rsidRPr="001D41EA">
              <w:rPr>
                <w:rFonts w:cs="Arial"/>
                <w:sz w:val="18"/>
                <w:szCs w:val="18"/>
              </w:rPr>
              <w:t>0.841</w:t>
            </w:r>
          </w:p>
        </w:tc>
        <w:tc>
          <w:tcPr>
            <w:tcW w:w="1134" w:type="dxa"/>
            <w:tcBorders>
              <w:top w:val="nil"/>
              <w:left w:val="nil"/>
              <w:bottom w:val="nil"/>
              <w:right w:val="nil"/>
            </w:tcBorders>
            <w:vAlign w:val="bottom"/>
          </w:tcPr>
          <w:p w14:paraId="77FC997B" w14:textId="4D35E87E" w:rsidR="00566EA9" w:rsidRPr="001D41EA" w:rsidRDefault="00566EA9" w:rsidP="001D41EA">
            <w:pPr>
              <w:spacing w:before="40" w:after="20"/>
              <w:jc w:val="center"/>
              <w:rPr>
                <w:rFonts w:cs="Arial"/>
                <w:sz w:val="18"/>
                <w:szCs w:val="18"/>
              </w:rPr>
            </w:pPr>
            <w:r w:rsidRPr="001D41EA">
              <w:rPr>
                <w:rFonts w:cs="Arial"/>
                <w:sz w:val="18"/>
                <w:szCs w:val="18"/>
              </w:rPr>
              <w:t>0.830</w:t>
            </w:r>
          </w:p>
        </w:tc>
        <w:tc>
          <w:tcPr>
            <w:tcW w:w="170" w:type="dxa"/>
            <w:tcBorders>
              <w:top w:val="nil"/>
              <w:left w:val="nil"/>
              <w:bottom w:val="nil"/>
              <w:right w:val="nil"/>
            </w:tcBorders>
            <w:vAlign w:val="bottom"/>
          </w:tcPr>
          <w:p w14:paraId="30990B61" w14:textId="2825149F"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7A566047" w14:textId="3194F25A" w:rsidR="00566EA9" w:rsidRPr="001D41EA" w:rsidRDefault="00566EA9" w:rsidP="001D41EA">
            <w:pPr>
              <w:spacing w:before="40" w:after="20"/>
              <w:jc w:val="center"/>
              <w:rPr>
                <w:rFonts w:cs="Arial"/>
                <w:sz w:val="18"/>
                <w:szCs w:val="18"/>
              </w:rPr>
            </w:pPr>
            <w:r w:rsidRPr="001D41EA">
              <w:rPr>
                <w:rFonts w:cs="Arial"/>
                <w:sz w:val="18"/>
                <w:szCs w:val="18"/>
              </w:rPr>
              <w:t>1.237</w:t>
            </w:r>
          </w:p>
        </w:tc>
        <w:tc>
          <w:tcPr>
            <w:tcW w:w="1134" w:type="dxa"/>
            <w:tcBorders>
              <w:top w:val="nil"/>
              <w:left w:val="nil"/>
              <w:bottom w:val="nil"/>
              <w:right w:val="nil"/>
            </w:tcBorders>
            <w:shd w:val="clear" w:color="auto" w:fill="auto"/>
            <w:vAlign w:val="bottom"/>
          </w:tcPr>
          <w:p w14:paraId="5EB86E0A" w14:textId="3A223153" w:rsidR="00566EA9" w:rsidRPr="001D41EA" w:rsidRDefault="00566EA9" w:rsidP="001D41EA">
            <w:pPr>
              <w:spacing w:before="40" w:after="20"/>
              <w:jc w:val="center"/>
              <w:rPr>
                <w:rFonts w:cs="Arial"/>
                <w:sz w:val="18"/>
                <w:szCs w:val="18"/>
              </w:rPr>
            </w:pPr>
            <w:r w:rsidRPr="001D41EA">
              <w:rPr>
                <w:rFonts w:cs="Arial"/>
                <w:sz w:val="18"/>
                <w:szCs w:val="18"/>
              </w:rPr>
              <w:t>1.230</w:t>
            </w:r>
          </w:p>
        </w:tc>
      </w:tr>
      <w:tr w:rsidR="00566EA9" w:rsidRPr="001D41EA" w14:paraId="14F3F47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DD700DE" w14:textId="77777777" w:rsidR="00566EA9" w:rsidRPr="001D41EA" w:rsidRDefault="00566EA9" w:rsidP="001D41EA">
            <w:pPr>
              <w:spacing w:before="40" w:after="20"/>
              <w:rPr>
                <w:rFonts w:cs="Arial"/>
                <w:sz w:val="18"/>
                <w:szCs w:val="18"/>
              </w:rPr>
            </w:pPr>
            <w:r w:rsidRPr="001D41EA">
              <w:rPr>
                <w:rFonts w:cs="Arial"/>
                <w:sz w:val="18"/>
                <w:szCs w:val="18"/>
              </w:rPr>
              <w:t>Monash C</w:t>
            </w:r>
          </w:p>
        </w:tc>
        <w:tc>
          <w:tcPr>
            <w:tcW w:w="1134" w:type="dxa"/>
            <w:tcBorders>
              <w:top w:val="nil"/>
              <w:left w:val="single" w:sz="18" w:space="0" w:color="5F497A" w:themeColor="accent4" w:themeShade="BF"/>
              <w:bottom w:val="nil"/>
              <w:right w:val="nil"/>
            </w:tcBorders>
            <w:shd w:val="clear" w:color="auto" w:fill="auto"/>
            <w:vAlign w:val="bottom"/>
          </w:tcPr>
          <w:p w14:paraId="2C490FF4" w14:textId="4CCB13B2" w:rsidR="00566EA9" w:rsidRPr="001D41EA" w:rsidRDefault="00566EA9" w:rsidP="001D41EA">
            <w:pPr>
              <w:spacing w:before="40" w:after="20"/>
              <w:jc w:val="center"/>
              <w:rPr>
                <w:rFonts w:cs="Arial"/>
                <w:sz w:val="18"/>
                <w:szCs w:val="18"/>
              </w:rPr>
            </w:pPr>
            <w:r w:rsidRPr="001D41EA">
              <w:rPr>
                <w:rFonts w:cs="Arial"/>
                <w:sz w:val="18"/>
                <w:szCs w:val="18"/>
              </w:rPr>
              <w:t>1.292</w:t>
            </w:r>
          </w:p>
        </w:tc>
        <w:tc>
          <w:tcPr>
            <w:tcW w:w="1134" w:type="dxa"/>
            <w:tcBorders>
              <w:top w:val="nil"/>
              <w:left w:val="nil"/>
              <w:bottom w:val="nil"/>
              <w:right w:val="nil"/>
            </w:tcBorders>
            <w:vAlign w:val="bottom"/>
          </w:tcPr>
          <w:p w14:paraId="09F5CC2D" w14:textId="25BF65A3" w:rsidR="00566EA9" w:rsidRPr="001D41EA" w:rsidRDefault="00566EA9" w:rsidP="001D41EA">
            <w:pPr>
              <w:spacing w:before="40" w:after="20"/>
              <w:jc w:val="center"/>
              <w:rPr>
                <w:rFonts w:cs="Arial"/>
                <w:sz w:val="18"/>
                <w:szCs w:val="18"/>
              </w:rPr>
            </w:pPr>
            <w:r w:rsidRPr="001D41EA">
              <w:rPr>
                <w:rFonts w:cs="Arial"/>
                <w:sz w:val="18"/>
                <w:szCs w:val="18"/>
              </w:rPr>
              <w:t>1.294</w:t>
            </w:r>
          </w:p>
        </w:tc>
        <w:tc>
          <w:tcPr>
            <w:tcW w:w="1134" w:type="dxa"/>
            <w:tcBorders>
              <w:top w:val="nil"/>
              <w:left w:val="nil"/>
              <w:bottom w:val="nil"/>
              <w:right w:val="nil"/>
            </w:tcBorders>
            <w:vAlign w:val="bottom"/>
          </w:tcPr>
          <w:p w14:paraId="79E17F86" w14:textId="3AAAED1D" w:rsidR="00566EA9" w:rsidRPr="001D41EA" w:rsidRDefault="00566EA9" w:rsidP="001D41EA">
            <w:pPr>
              <w:spacing w:before="40" w:after="20"/>
              <w:jc w:val="center"/>
              <w:rPr>
                <w:rFonts w:cs="Arial"/>
                <w:sz w:val="18"/>
                <w:szCs w:val="18"/>
              </w:rPr>
            </w:pPr>
            <w:r w:rsidRPr="001D41EA">
              <w:rPr>
                <w:rFonts w:cs="Arial"/>
                <w:sz w:val="18"/>
                <w:szCs w:val="18"/>
              </w:rPr>
              <w:t>1.292</w:t>
            </w:r>
          </w:p>
        </w:tc>
        <w:tc>
          <w:tcPr>
            <w:tcW w:w="1134" w:type="dxa"/>
            <w:tcBorders>
              <w:top w:val="nil"/>
              <w:left w:val="nil"/>
              <w:bottom w:val="nil"/>
              <w:right w:val="nil"/>
            </w:tcBorders>
            <w:vAlign w:val="bottom"/>
          </w:tcPr>
          <w:p w14:paraId="35A6873B" w14:textId="4A5755A4" w:rsidR="00566EA9" w:rsidRPr="001D41EA" w:rsidRDefault="00566EA9" w:rsidP="001D41EA">
            <w:pPr>
              <w:spacing w:before="40" w:after="20"/>
              <w:jc w:val="center"/>
              <w:rPr>
                <w:rFonts w:cs="Arial"/>
                <w:sz w:val="18"/>
                <w:szCs w:val="18"/>
              </w:rPr>
            </w:pPr>
            <w:r w:rsidRPr="001D41EA">
              <w:rPr>
                <w:rFonts w:cs="Arial"/>
                <w:sz w:val="18"/>
                <w:szCs w:val="18"/>
              </w:rPr>
              <w:t>1.276</w:t>
            </w:r>
          </w:p>
        </w:tc>
        <w:tc>
          <w:tcPr>
            <w:tcW w:w="170" w:type="dxa"/>
            <w:tcBorders>
              <w:top w:val="nil"/>
              <w:left w:val="nil"/>
              <w:bottom w:val="nil"/>
              <w:right w:val="nil"/>
            </w:tcBorders>
            <w:vAlign w:val="bottom"/>
          </w:tcPr>
          <w:p w14:paraId="509EB4B4" w14:textId="137D41D5"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73874829" w14:textId="47534645" w:rsidR="00566EA9" w:rsidRPr="001D41EA" w:rsidRDefault="00566EA9" w:rsidP="001D41EA">
            <w:pPr>
              <w:spacing w:before="40" w:after="2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27E846E1" w14:textId="60BBA041" w:rsidR="00566EA9" w:rsidRPr="001D41EA" w:rsidRDefault="00566EA9" w:rsidP="001D41EA">
            <w:pPr>
              <w:spacing w:before="40" w:after="20"/>
              <w:jc w:val="center"/>
              <w:rPr>
                <w:rFonts w:cs="Arial"/>
                <w:sz w:val="18"/>
                <w:szCs w:val="18"/>
              </w:rPr>
            </w:pPr>
            <w:r w:rsidRPr="001D41EA">
              <w:rPr>
                <w:rFonts w:cs="Arial"/>
                <w:sz w:val="18"/>
                <w:szCs w:val="18"/>
              </w:rPr>
              <w:t>0.908</w:t>
            </w:r>
          </w:p>
        </w:tc>
      </w:tr>
      <w:tr w:rsidR="00566EA9" w:rsidRPr="001D41EA" w14:paraId="7448C95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DF73593" w14:textId="77777777" w:rsidR="00566EA9" w:rsidRPr="001D41EA" w:rsidRDefault="00566EA9" w:rsidP="001D41EA">
            <w:pPr>
              <w:spacing w:before="40" w:after="20"/>
              <w:rPr>
                <w:rFonts w:cs="Arial"/>
                <w:sz w:val="18"/>
                <w:szCs w:val="18"/>
              </w:rPr>
            </w:pPr>
            <w:r w:rsidRPr="001D41EA">
              <w:rPr>
                <w:rFonts w:cs="Arial"/>
                <w:sz w:val="18"/>
                <w:szCs w:val="18"/>
              </w:rPr>
              <w:t>Moonee Valley C</w:t>
            </w:r>
          </w:p>
        </w:tc>
        <w:tc>
          <w:tcPr>
            <w:tcW w:w="1134" w:type="dxa"/>
            <w:tcBorders>
              <w:top w:val="nil"/>
              <w:left w:val="single" w:sz="18" w:space="0" w:color="5F497A" w:themeColor="accent4" w:themeShade="BF"/>
              <w:bottom w:val="nil"/>
              <w:right w:val="nil"/>
            </w:tcBorders>
            <w:shd w:val="clear" w:color="auto" w:fill="auto"/>
            <w:vAlign w:val="bottom"/>
          </w:tcPr>
          <w:p w14:paraId="3FCF4442" w14:textId="18FFB9A1" w:rsidR="00566EA9" w:rsidRPr="001D41EA" w:rsidRDefault="00566EA9" w:rsidP="001D41EA">
            <w:pPr>
              <w:spacing w:before="40" w:after="20"/>
              <w:jc w:val="center"/>
              <w:rPr>
                <w:rFonts w:cs="Arial"/>
                <w:sz w:val="18"/>
                <w:szCs w:val="18"/>
              </w:rPr>
            </w:pPr>
            <w:r w:rsidRPr="001D41EA">
              <w:rPr>
                <w:rFonts w:cs="Arial"/>
                <w:sz w:val="18"/>
                <w:szCs w:val="18"/>
              </w:rPr>
              <w:t>0.973</w:t>
            </w:r>
          </w:p>
        </w:tc>
        <w:tc>
          <w:tcPr>
            <w:tcW w:w="1134" w:type="dxa"/>
            <w:tcBorders>
              <w:top w:val="nil"/>
              <w:left w:val="nil"/>
              <w:bottom w:val="nil"/>
              <w:right w:val="nil"/>
            </w:tcBorders>
            <w:vAlign w:val="bottom"/>
          </w:tcPr>
          <w:p w14:paraId="0D7A7B8F" w14:textId="25810B10" w:rsidR="00566EA9" w:rsidRPr="001D41EA" w:rsidRDefault="00566EA9" w:rsidP="001D41EA">
            <w:pPr>
              <w:spacing w:before="40" w:after="20"/>
              <w:jc w:val="center"/>
              <w:rPr>
                <w:rFonts w:cs="Arial"/>
                <w:sz w:val="18"/>
                <w:szCs w:val="18"/>
              </w:rPr>
            </w:pPr>
            <w:r w:rsidRPr="001D41EA">
              <w:rPr>
                <w:rFonts w:cs="Arial"/>
                <w:sz w:val="18"/>
                <w:szCs w:val="18"/>
              </w:rPr>
              <w:t>0.975</w:t>
            </w:r>
          </w:p>
        </w:tc>
        <w:tc>
          <w:tcPr>
            <w:tcW w:w="1134" w:type="dxa"/>
            <w:tcBorders>
              <w:top w:val="nil"/>
              <w:left w:val="nil"/>
              <w:bottom w:val="nil"/>
              <w:right w:val="nil"/>
            </w:tcBorders>
            <w:vAlign w:val="bottom"/>
          </w:tcPr>
          <w:p w14:paraId="49CD2F5F" w14:textId="629239C8" w:rsidR="00566EA9" w:rsidRPr="001D41EA" w:rsidRDefault="00566EA9" w:rsidP="001D41EA">
            <w:pPr>
              <w:spacing w:before="40" w:after="20"/>
              <w:jc w:val="center"/>
              <w:rPr>
                <w:rFonts w:cs="Arial"/>
                <w:sz w:val="18"/>
                <w:szCs w:val="18"/>
              </w:rPr>
            </w:pPr>
            <w:r w:rsidRPr="001D41EA">
              <w:rPr>
                <w:rFonts w:cs="Arial"/>
                <w:sz w:val="18"/>
                <w:szCs w:val="18"/>
              </w:rPr>
              <w:t>0.974</w:t>
            </w:r>
          </w:p>
        </w:tc>
        <w:tc>
          <w:tcPr>
            <w:tcW w:w="1134" w:type="dxa"/>
            <w:tcBorders>
              <w:top w:val="nil"/>
              <w:left w:val="nil"/>
              <w:bottom w:val="nil"/>
              <w:right w:val="nil"/>
            </w:tcBorders>
            <w:vAlign w:val="bottom"/>
          </w:tcPr>
          <w:p w14:paraId="2EE2DFC9" w14:textId="1EBF86C0" w:rsidR="00566EA9" w:rsidRPr="001D41EA" w:rsidRDefault="00566EA9" w:rsidP="001D41EA">
            <w:pPr>
              <w:spacing w:before="40" w:after="20"/>
              <w:jc w:val="center"/>
              <w:rPr>
                <w:rFonts w:cs="Arial"/>
                <w:sz w:val="18"/>
                <w:szCs w:val="18"/>
              </w:rPr>
            </w:pPr>
            <w:r w:rsidRPr="001D41EA">
              <w:rPr>
                <w:rFonts w:cs="Arial"/>
                <w:sz w:val="18"/>
                <w:szCs w:val="18"/>
              </w:rPr>
              <w:t>0.962</w:t>
            </w:r>
          </w:p>
        </w:tc>
        <w:tc>
          <w:tcPr>
            <w:tcW w:w="170" w:type="dxa"/>
            <w:tcBorders>
              <w:top w:val="nil"/>
              <w:left w:val="nil"/>
              <w:bottom w:val="nil"/>
              <w:right w:val="nil"/>
            </w:tcBorders>
            <w:vAlign w:val="bottom"/>
          </w:tcPr>
          <w:p w14:paraId="50AFFCC2" w14:textId="34A1261A"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0A80770C" w14:textId="253F8FAF" w:rsidR="00566EA9" w:rsidRPr="001D41EA" w:rsidRDefault="00566EA9" w:rsidP="001D41EA">
            <w:pPr>
              <w:spacing w:before="40" w:after="2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7D63AF4B" w14:textId="1277F70E" w:rsidR="00566EA9" w:rsidRPr="001D41EA" w:rsidRDefault="00566EA9" w:rsidP="001D41EA">
            <w:pPr>
              <w:spacing w:before="40" w:after="20"/>
              <w:jc w:val="center"/>
              <w:rPr>
                <w:rFonts w:cs="Arial"/>
                <w:sz w:val="18"/>
                <w:szCs w:val="18"/>
              </w:rPr>
            </w:pPr>
            <w:r w:rsidRPr="001D41EA">
              <w:rPr>
                <w:rFonts w:cs="Arial"/>
                <w:sz w:val="18"/>
                <w:szCs w:val="18"/>
              </w:rPr>
              <w:t>0.908</w:t>
            </w:r>
          </w:p>
        </w:tc>
      </w:tr>
      <w:tr w:rsidR="00566EA9" w:rsidRPr="001D41EA" w14:paraId="5899AE6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76089BD" w14:textId="77777777" w:rsidR="00566EA9" w:rsidRPr="001D41EA" w:rsidRDefault="00566EA9" w:rsidP="001D41EA">
            <w:pPr>
              <w:spacing w:before="40" w:after="20"/>
              <w:rPr>
                <w:rFonts w:cs="Arial"/>
                <w:sz w:val="18"/>
                <w:szCs w:val="18"/>
              </w:rPr>
            </w:pPr>
            <w:r w:rsidRPr="001D41EA">
              <w:rPr>
                <w:rFonts w:cs="Arial"/>
                <w:sz w:val="18"/>
                <w:szCs w:val="18"/>
              </w:rPr>
              <w:t>Moorabool S</w:t>
            </w:r>
          </w:p>
        </w:tc>
        <w:tc>
          <w:tcPr>
            <w:tcW w:w="1134" w:type="dxa"/>
            <w:tcBorders>
              <w:top w:val="nil"/>
              <w:left w:val="single" w:sz="18" w:space="0" w:color="5F497A" w:themeColor="accent4" w:themeShade="BF"/>
              <w:bottom w:val="nil"/>
              <w:right w:val="nil"/>
            </w:tcBorders>
            <w:shd w:val="clear" w:color="auto" w:fill="auto"/>
            <w:vAlign w:val="bottom"/>
          </w:tcPr>
          <w:p w14:paraId="3D90D2A1" w14:textId="1F4D9CB2" w:rsidR="00566EA9" w:rsidRPr="001D41EA" w:rsidRDefault="00566EA9" w:rsidP="001D41EA">
            <w:pPr>
              <w:spacing w:before="40" w:after="20"/>
              <w:jc w:val="center"/>
              <w:rPr>
                <w:rFonts w:cs="Arial"/>
                <w:sz w:val="18"/>
                <w:szCs w:val="18"/>
              </w:rPr>
            </w:pPr>
            <w:r w:rsidRPr="001D41EA">
              <w:rPr>
                <w:rFonts w:cs="Arial"/>
                <w:sz w:val="18"/>
                <w:szCs w:val="18"/>
              </w:rPr>
              <w:t>0.766</w:t>
            </w:r>
          </w:p>
        </w:tc>
        <w:tc>
          <w:tcPr>
            <w:tcW w:w="1134" w:type="dxa"/>
            <w:tcBorders>
              <w:top w:val="nil"/>
              <w:left w:val="nil"/>
              <w:bottom w:val="nil"/>
              <w:right w:val="nil"/>
            </w:tcBorders>
            <w:vAlign w:val="bottom"/>
          </w:tcPr>
          <w:p w14:paraId="77ED4273" w14:textId="7F810C83" w:rsidR="00566EA9" w:rsidRPr="001D41EA" w:rsidRDefault="00566EA9" w:rsidP="001D41EA">
            <w:pPr>
              <w:spacing w:before="40" w:after="20"/>
              <w:jc w:val="center"/>
              <w:rPr>
                <w:rFonts w:cs="Arial"/>
                <w:sz w:val="18"/>
                <w:szCs w:val="18"/>
              </w:rPr>
            </w:pPr>
            <w:r w:rsidRPr="001D41EA">
              <w:rPr>
                <w:rFonts w:cs="Arial"/>
                <w:sz w:val="18"/>
                <w:szCs w:val="18"/>
              </w:rPr>
              <w:t>0.768</w:t>
            </w:r>
          </w:p>
        </w:tc>
        <w:tc>
          <w:tcPr>
            <w:tcW w:w="1134" w:type="dxa"/>
            <w:tcBorders>
              <w:top w:val="nil"/>
              <w:left w:val="nil"/>
              <w:bottom w:val="nil"/>
              <w:right w:val="nil"/>
            </w:tcBorders>
            <w:vAlign w:val="bottom"/>
          </w:tcPr>
          <w:p w14:paraId="7A3E39A1" w14:textId="14C9F21B" w:rsidR="00566EA9" w:rsidRPr="001D41EA" w:rsidRDefault="00566EA9" w:rsidP="001D41EA">
            <w:pPr>
              <w:spacing w:before="40" w:after="20"/>
              <w:jc w:val="center"/>
              <w:rPr>
                <w:rFonts w:cs="Arial"/>
                <w:sz w:val="18"/>
                <w:szCs w:val="18"/>
              </w:rPr>
            </w:pPr>
            <w:r w:rsidRPr="001D41EA">
              <w:rPr>
                <w:rFonts w:cs="Arial"/>
                <w:sz w:val="18"/>
                <w:szCs w:val="18"/>
              </w:rPr>
              <w:t>0.766</w:t>
            </w:r>
          </w:p>
        </w:tc>
        <w:tc>
          <w:tcPr>
            <w:tcW w:w="1134" w:type="dxa"/>
            <w:tcBorders>
              <w:top w:val="nil"/>
              <w:left w:val="nil"/>
              <w:bottom w:val="nil"/>
              <w:right w:val="nil"/>
            </w:tcBorders>
            <w:vAlign w:val="bottom"/>
          </w:tcPr>
          <w:p w14:paraId="641B3F6B" w14:textId="2259BAAB" w:rsidR="00566EA9" w:rsidRPr="001D41EA" w:rsidRDefault="00566EA9" w:rsidP="001D41EA">
            <w:pPr>
              <w:spacing w:before="40" w:after="20"/>
              <w:jc w:val="center"/>
              <w:rPr>
                <w:rFonts w:cs="Arial"/>
                <w:sz w:val="18"/>
                <w:szCs w:val="18"/>
              </w:rPr>
            </w:pPr>
            <w:r w:rsidRPr="001D41EA">
              <w:rPr>
                <w:rFonts w:cs="Arial"/>
                <w:sz w:val="18"/>
                <w:szCs w:val="18"/>
              </w:rPr>
              <w:t>0.757</w:t>
            </w:r>
          </w:p>
        </w:tc>
        <w:tc>
          <w:tcPr>
            <w:tcW w:w="170" w:type="dxa"/>
            <w:tcBorders>
              <w:top w:val="nil"/>
              <w:left w:val="nil"/>
              <w:bottom w:val="nil"/>
              <w:right w:val="nil"/>
            </w:tcBorders>
            <w:vAlign w:val="bottom"/>
          </w:tcPr>
          <w:p w14:paraId="045CDFA4" w14:textId="675B0930"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79FC3C0A" w14:textId="2A7C52D3" w:rsidR="00566EA9" w:rsidRPr="001D41EA" w:rsidRDefault="00566EA9" w:rsidP="001D41EA">
            <w:pPr>
              <w:spacing w:before="40" w:after="20"/>
              <w:jc w:val="center"/>
              <w:rPr>
                <w:rFonts w:cs="Arial"/>
                <w:sz w:val="18"/>
                <w:szCs w:val="18"/>
              </w:rPr>
            </w:pPr>
            <w:r w:rsidRPr="001D41EA">
              <w:rPr>
                <w:rFonts w:cs="Arial"/>
                <w:sz w:val="18"/>
                <w:szCs w:val="18"/>
              </w:rPr>
              <w:t>1.047</w:t>
            </w:r>
          </w:p>
        </w:tc>
        <w:tc>
          <w:tcPr>
            <w:tcW w:w="1134" w:type="dxa"/>
            <w:tcBorders>
              <w:top w:val="nil"/>
              <w:left w:val="nil"/>
              <w:bottom w:val="nil"/>
              <w:right w:val="nil"/>
            </w:tcBorders>
            <w:shd w:val="clear" w:color="auto" w:fill="auto"/>
            <w:vAlign w:val="bottom"/>
          </w:tcPr>
          <w:p w14:paraId="5C9844F1" w14:textId="7E824110" w:rsidR="00566EA9" w:rsidRPr="001D41EA" w:rsidRDefault="00566EA9" w:rsidP="001D41EA">
            <w:pPr>
              <w:spacing w:before="40" w:after="20"/>
              <w:jc w:val="center"/>
              <w:rPr>
                <w:rFonts w:cs="Arial"/>
                <w:sz w:val="18"/>
                <w:szCs w:val="18"/>
              </w:rPr>
            </w:pPr>
            <w:r w:rsidRPr="001D41EA">
              <w:rPr>
                <w:rFonts w:cs="Arial"/>
                <w:sz w:val="18"/>
                <w:szCs w:val="18"/>
              </w:rPr>
              <w:t>1.041</w:t>
            </w:r>
          </w:p>
        </w:tc>
      </w:tr>
      <w:tr w:rsidR="00566EA9" w:rsidRPr="001D41EA" w14:paraId="4F96B61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AC3E7D4" w14:textId="77777777" w:rsidR="00566EA9" w:rsidRPr="001D41EA" w:rsidRDefault="00566EA9" w:rsidP="001D41EA">
            <w:pPr>
              <w:spacing w:before="40" w:after="20"/>
              <w:rPr>
                <w:rFonts w:cs="Arial"/>
                <w:sz w:val="18"/>
                <w:szCs w:val="18"/>
              </w:rPr>
            </w:pPr>
            <w:r w:rsidRPr="001D41EA">
              <w:rPr>
                <w:rFonts w:cs="Arial"/>
                <w:sz w:val="18"/>
                <w:szCs w:val="18"/>
              </w:rPr>
              <w:t>Moreland C</w:t>
            </w:r>
          </w:p>
        </w:tc>
        <w:tc>
          <w:tcPr>
            <w:tcW w:w="1134" w:type="dxa"/>
            <w:tcBorders>
              <w:top w:val="nil"/>
              <w:left w:val="single" w:sz="18" w:space="0" w:color="5F497A" w:themeColor="accent4" w:themeShade="BF"/>
              <w:bottom w:val="nil"/>
              <w:right w:val="nil"/>
            </w:tcBorders>
            <w:shd w:val="clear" w:color="auto" w:fill="auto"/>
            <w:vAlign w:val="bottom"/>
          </w:tcPr>
          <w:p w14:paraId="68A17E04" w14:textId="66070FE7" w:rsidR="00566EA9" w:rsidRPr="001D41EA" w:rsidRDefault="00566EA9" w:rsidP="001D41EA">
            <w:pPr>
              <w:spacing w:before="40" w:after="20"/>
              <w:jc w:val="center"/>
              <w:rPr>
                <w:rFonts w:cs="Arial"/>
                <w:sz w:val="18"/>
                <w:szCs w:val="18"/>
              </w:rPr>
            </w:pPr>
            <w:r w:rsidRPr="001D41EA">
              <w:rPr>
                <w:rFonts w:cs="Arial"/>
                <w:sz w:val="18"/>
                <w:szCs w:val="18"/>
              </w:rPr>
              <w:t>0.822</w:t>
            </w:r>
          </w:p>
        </w:tc>
        <w:tc>
          <w:tcPr>
            <w:tcW w:w="1134" w:type="dxa"/>
            <w:tcBorders>
              <w:top w:val="nil"/>
              <w:left w:val="nil"/>
              <w:bottom w:val="nil"/>
              <w:right w:val="nil"/>
            </w:tcBorders>
            <w:vAlign w:val="bottom"/>
          </w:tcPr>
          <w:p w14:paraId="166C3CAB" w14:textId="37F9EBF5" w:rsidR="00566EA9" w:rsidRPr="001D41EA" w:rsidRDefault="00566EA9" w:rsidP="001D41EA">
            <w:pPr>
              <w:spacing w:before="40" w:after="20"/>
              <w:jc w:val="center"/>
              <w:rPr>
                <w:rFonts w:cs="Arial"/>
                <w:sz w:val="18"/>
                <w:szCs w:val="18"/>
              </w:rPr>
            </w:pPr>
            <w:r w:rsidRPr="001D41EA">
              <w:rPr>
                <w:rFonts w:cs="Arial"/>
                <w:sz w:val="18"/>
                <w:szCs w:val="18"/>
              </w:rPr>
              <w:t>0.823</w:t>
            </w:r>
          </w:p>
        </w:tc>
        <w:tc>
          <w:tcPr>
            <w:tcW w:w="1134" w:type="dxa"/>
            <w:tcBorders>
              <w:top w:val="nil"/>
              <w:left w:val="nil"/>
              <w:bottom w:val="nil"/>
              <w:right w:val="nil"/>
            </w:tcBorders>
            <w:vAlign w:val="bottom"/>
          </w:tcPr>
          <w:p w14:paraId="6A17B2B5" w14:textId="09DDE415" w:rsidR="00566EA9" w:rsidRPr="001D41EA" w:rsidRDefault="00566EA9" w:rsidP="001D41EA">
            <w:pPr>
              <w:spacing w:before="40" w:after="20"/>
              <w:jc w:val="center"/>
              <w:rPr>
                <w:rFonts w:cs="Arial"/>
                <w:sz w:val="18"/>
                <w:szCs w:val="18"/>
              </w:rPr>
            </w:pPr>
            <w:r w:rsidRPr="001D41EA">
              <w:rPr>
                <w:rFonts w:cs="Arial"/>
                <w:sz w:val="18"/>
                <w:szCs w:val="18"/>
              </w:rPr>
              <w:t>0.822</w:t>
            </w:r>
          </w:p>
        </w:tc>
        <w:tc>
          <w:tcPr>
            <w:tcW w:w="1134" w:type="dxa"/>
            <w:tcBorders>
              <w:top w:val="nil"/>
              <w:left w:val="nil"/>
              <w:bottom w:val="nil"/>
              <w:right w:val="nil"/>
            </w:tcBorders>
            <w:vAlign w:val="bottom"/>
          </w:tcPr>
          <w:p w14:paraId="51601E19" w14:textId="2083B772" w:rsidR="00566EA9" w:rsidRPr="001D41EA" w:rsidRDefault="00566EA9" w:rsidP="001D41EA">
            <w:pPr>
              <w:spacing w:before="40" w:after="20"/>
              <w:jc w:val="center"/>
              <w:rPr>
                <w:rFonts w:cs="Arial"/>
                <w:sz w:val="18"/>
                <w:szCs w:val="18"/>
              </w:rPr>
            </w:pPr>
            <w:r w:rsidRPr="001D41EA">
              <w:rPr>
                <w:rFonts w:cs="Arial"/>
                <w:sz w:val="18"/>
                <w:szCs w:val="18"/>
              </w:rPr>
              <w:t>0.812</w:t>
            </w:r>
          </w:p>
        </w:tc>
        <w:tc>
          <w:tcPr>
            <w:tcW w:w="170" w:type="dxa"/>
            <w:tcBorders>
              <w:top w:val="nil"/>
              <w:left w:val="nil"/>
              <w:bottom w:val="nil"/>
              <w:right w:val="nil"/>
            </w:tcBorders>
            <w:vAlign w:val="bottom"/>
          </w:tcPr>
          <w:p w14:paraId="6F6F84D6" w14:textId="782164A1"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24480B31" w14:textId="341E7AFC" w:rsidR="00566EA9" w:rsidRPr="001D41EA" w:rsidRDefault="00566EA9" w:rsidP="001D41EA">
            <w:pPr>
              <w:spacing w:before="40" w:after="2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7AE21D9B" w14:textId="1060F130" w:rsidR="00566EA9" w:rsidRPr="001D41EA" w:rsidRDefault="00566EA9" w:rsidP="001D41EA">
            <w:pPr>
              <w:spacing w:before="40" w:after="20"/>
              <w:jc w:val="center"/>
              <w:rPr>
                <w:rFonts w:cs="Arial"/>
                <w:sz w:val="18"/>
                <w:szCs w:val="18"/>
              </w:rPr>
            </w:pPr>
            <w:r w:rsidRPr="001D41EA">
              <w:rPr>
                <w:rFonts w:cs="Arial"/>
                <w:sz w:val="18"/>
                <w:szCs w:val="18"/>
              </w:rPr>
              <w:t>0.908</w:t>
            </w:r>
          </w:p>
        </w:tc>
      </w:tr>
      <w:tr w:rsidR="00566EA9" w:rsidRPr="001D41EA" w14:paraId="04096B5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3D4C169" w14:textId="77777777" w:rsidR="00566EA9" w:rsidRPr="001D41EA" w:rsidRDefault="00566EA9" w:rsidP="001D41EA">
            <w:pPr>
              <w:spacing w:before="40" w:after="20"/>
              <w:rPr>
                <w:rFonts w:cs="Arial"/>
                <w:sz w:val="18"/>
                <w:szCs w:val="18"/>
              </w:rPr>
            </w:pPr>
            <w:r w:rsidRPr="001D41EA">
              <w:rPr>
                <w:rFonts w:cs="Arial"/>
                <w:sz w:val="18"/>
                <w:szCs w:val="18"/>
              </w:rPr>
              <w:t>Mornington Peninsula S</w:t>
            </w:r>
          </w:p>
        </w:tc>
        <w:tc>
          <w:tcPr>
            <w:tcW w:w="1134" w:type="dxa"/>
            <w:tcBorders>
              <w:top w:val="nil"/>
              <w:left w:val="single" w:sz="18" w:space="0" w:color="5F497A" w:themeColor="accent4" w:themeShade="BF"/>
              <w:bottom w:val="nil"/>
              <w:right w:val="nil"/>
            </w:tcBorders>
            <w:shd w:val="clear" w:color="auto" w:fill="auto"/>
            <w:vAlign w:val="bottom"/>
          </w:tcPr>
          <w:p w14:paraId="740CBB4C" w14:textId="72117788" w:rsidR="00566EA9" w:rsidRPr="001D41EA" w:rsidRDefault="00566EA9" w:rsidP="001D41EA">
            <w:pPr>
              <w:spacing w:before="40" w:after="20"/>
              <w:jc w:val="center"/>
              <w:rPr>
                <w:rFonts w:cs="Arial"/>
                <w:sz w:val="18"/>
                <w:szCs w:val="18"/>
              </w:rPr>
            </w:pPr>
            <w:r w:rsidRPr="001D41EA">
              <w:rPr>
                <w:rFonts w:cs="Arial"/>
                <w:sz w:val="18"/>
                <w:szCs w:val="18"/>
              </w:rPr>
              <w:t>0.950</w:t>
            </w:r>
          </w:p>
        </w:tc>
        <w:tc>
          <w:tcPr>
            <w:tcW w:w="1134" w:type="dxa"/>
            <w:tcBorders>
              <w:top w:val="nil"/>
              <w:left w:val="nil"/>
              <w:bottom w:val="nil"/>
              <w:right w:val="nil"/>
            </w:tcBorders>
            <w:vAlign w:val="bottom"/>
          </w:tcPr>
          <w:p w14:paraId="277A50DE" w14:textId="232385FB" w:rsidR="00566EA9" w:rsidRPr="001D41EA" w:rsidRDefault="00566EA9" w:rsidP="001D41EA">
            <w:pPr>
              <w:spacing w:before="40" w:after="20"/>
              <w:jc w:val="center"/>
              <w:rPr>
                <w:rFonts w:cs="Arial"/>
                <w:sz w:val="18"/>
                <w:szCs w:val="18"/>
              </w:rPr>
            </w:pPr>
            <w:r w:rsidRPr="001D41EA">
              <w:rPr>
                <w:rFonts w:cs="Arial"/>
                <w:sz w:val="18"/>
                <w:szCs w:val="18"/>
              </w:rPr>
              <w:t>0.952</w:t>
            </w:r>
          </w:p>
        </w:tc>
        <w:tc>
          <w:tcPr>
            <w:tcW w:w="1134" w:type="dxa"/>
            <w:tcBorders>
              <w:top w:val="nil"/>
              <w:left w:val="nil"/>
              <w:bottom w:val="nil"/>
              <w:right w:val="nil"/>
            </w:tcBorders>
            <w:vAlign w:val="bottom"/>
          </w:tcPr>
          <w:p w14:paraId="02BD57B6" w14:textId="24D7C57A" w:rsidR="00566EA9" w:rsidRPr="001D41EA" w:rsidRDefault="00566EA9" w:rsidP="001D41EA">
            <w:pPr>
              <w:spacing w:before="40" w:after="20"/>
              <w:jc w:val="center"/>
              <w:rPr>
                <w:rFonts w:cs="Arial"/>
                <w:sz w:val="18"/>
                <w:szCs w:val="18"/>
              </w:rPr>
            </w:pPr>
            <w:r w:rsidRPr="001D41EA">
              <w:rPr>
                <w:rFonts w:cs="Arial"/>
                <w:sz w:val="18"/>
                <w:szCs w:val="18"/>
              </w:rPr>
              <w:t>0.951</w:t>
            </w:r>
          </w:p>
        </w:tc>
        <w:tc>
          <w:tcPr>
            <w:tcW w:w="1134" w:type="dxa"/>
            <w:tcBorders>
              <w:top w:val="nil"/>
              <w:left w:val="nil"/>
              <w:bottom w:val="nil"/>
              <w:right w:val="nil"/>
            </w:tcBorders>
            <w:vAlign w:val="bottom"/>
          </w:tcPr>
          <w:p w14:paraId="1A7D0AAD" w14:textId="04BFA441" w:rsidR="00566EA9" w:rsidRPr="001D41EA" w:rsidRDefault="00566EA9" w:rsidP="001D41EA">
            <w:pPr>
              <w:spacing w:before="40" w:after="20"/>
              <w:jc w:val="center"/>
              <w:rPr>
                <w:rFonts w:cs="Arial"/>
                <w:sz w:val="18"/>
                <w:szCs w:val="18"/>
              </w:rPr>
            </w:pPr>
            <w:r w:rsidRPr="001D41EA">
              <w:rPr>
                <w:rFonts w:cs="Arial"/>
                <w:sz w:val="18"/>
                <w:szCs w:val="18"/>
              </w:rPr>
              <w:t>0.939</w:t>
            </w:r>
          </w:p>
        </w:tc>
        <w:tc>
          <w:tcPr>
            <w:tcW w:w="170" w:type="dxa"/>
            <w:tcBorders>
              <w:top w:val="nil"/>
              <w:left w:val="nil"/>
              <w:bottom w:val="nil"/>
              <w:right w:val="nil"/>
            </w:tcBorders>
            <w:vAlign w:val="bottom"/>
          </w:tcPr>
          <w:p w14:paraId="4A0F40E6" w14:textId="470CF74D"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46399E48" w14:textId="57782CD2" w:rsidR="00566EA9" w:rsidRPr="001D41EA" w:rsidRDefault="00566EA9" w:rsidP="001D41EA">
            <w:pPr>
              <w:spacing w:before="40" w:after="20"/>
              <w:jc w:val="center"/>
              <w:rPr>
                <w:rFonts w:cs="Arial"/>
                <w:sz w:val="18"/>
                <w:szCs w:val="18"/>
              </w:rPr>
            </w:pPr>
            <w:r w:rsidRPr="001D41EA">
              <w:rPr>
                <w:rFonts w:cs="Arial"/>
                <w:sz w:val="18"/>
                <w:szCs w:val="18"/>
              </w:rPr>
              <w:t>0.936</w:t>
            </w:r>
          </w:p>
        </w:tc>
        <w:tc>
          <w:tcPr>
            <w:tcW w:w="1134" w:type="dxa"/>
            <w:tcBorders>
              <w:top w:val="nil"/>
              <w:left w:val="nil"/>
              <w:bottom w:val="nil"/>
              <w:right w:val="nil"/>
            </w:tcBorders>
            <w:shd w:val="clear" w:color="auto" w:fill="auto"/>
            <w:vAlign w:val="bottom"/>
          </w:tcPr>
          <w:p w14:paraId="2B7A0B1F" w14:textId="385C6B0D" w:rsidR="00566EA9" w:rsidRPr="001D41EA" w:rsidRDefault="00566EA9" w:rsidP="001D41EA">
            <w:pPr>
              <w:spacing w:before="40" w:after="20"/>
              <w:jc w:val="center"/>
              <w:rPr>
                <w:rFonts w:cs="Arial"/>
                <w:sz w:val="18"/>
                <w:szCs w:val="18"/>
              </w:rPr>
            </w:pPr>
            <w:r w:rsidRPr="001D41EA">
              <w:rPr>
                <w:rFonts w:cs="Arial"/>
                <w:sz w:val="18"/>
                <w:szCs w:val="18"/>
              </w:rPr>
              <w:t>0.931</w:t>
            </w:r>
          </w:p>
        </w:tc>
      </w:tr>
      <w:tr w:rsidR="00566EA9" w:rsidRPr="001D41EA" w14:paraId="7520DC3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868DD72" w14:textId="77777777" w:rsidR="00566EA9" w:rsidRPr="001D41EA" w:rsidRDefault="00566EA9" w:rsidP="001D41EA">
            <w:pPr>
              <w:spacing w:before="40" w:after="20"/>
              <w:rPr>
                <w:rFonts w:cs="Arial"/>
                <w:sz w:val="18"/>
                <w:szCs w:val="18"/>
              </w:rPr>
            </w:pPr>
            <w:r w:rsidRPr="001D41EA">
              <w:rPr>
                <w:rFonts w:cs="Arial"/>
                <w:sz w:val="18"/>
                <w:szCs w:val="18"/>
              </w:rPr>
              <w:t>Mount Alexander S</w:t>
            </w:r>
          </w:p>
        </w:tc>
        <w:tc>
          <w:tcPr>
            <w:tcW w:w="1134" w:type="dxa"/>
            <w:tcBorders>
              <w:top w:val="nil"/>
              <w:left w:val="single" w:sz="18" w:space="0" w:color="5F497A" w:themeColor="accent4" w:themeShade="BF"/>
              <w:bottom w:val="nil"/>
              <w:right w:val="nil"/>
            </w:tcBorders>
            <w:shd w:val="clear" w:color="auto" w:fill="auto"/>
            <w:vAlign w:val="bottom"/>
          </w:tcPr>
          <w:p w14:paraId="6A04589F" w14:textId="4C83A7BD" w:rsidR="00566EA9" w:rsidRPr="001D41EA" w:rsidRDefault="00566EA9" w:rsidP="001D41EA">
            <w:pPr>
              <w:spacing w:before="40" w:after="20"/>
              <w:jc w:val="center"/>
              <w:rPr>
                <w:rFonts w:cs="Arial"/>
                <w:sz w:val="18"/>
                <w:szCs w:val="18"/>
              </w:rPr>
            </w:pPr>
            <w:r w:rsidRPr="001D41EA">
              <w:rPr>
                <w:rFonts w:cs="Arial"/>
                <w:sz w:val="18"/>
                <w:szCs w:val="18"/>
              </w:rPr>
              <w:t>0.919</w:t>
            </w:r>
          </w:p>
        </w:tc>
        <w:tc>
          <w:tcPr>
            <w:tcW w:w="1134" w:type="dxa"/>
            <w:tcBorders>
              <w:top w:val="nil"/>
              <w:left w:val="nil"/>
              <w:bottom w:val="nil"/>
              <w:right w:val="nil"/>
            </w:tcBorders>
            <w:vAlign w:val="bottom"/>
          </w:tcPr>
          <w:p w14:paraId="43C8AF7E" w14:textId="71C6EB94" w:rsidR="00566EA9" w:rsidRPr="001D41EA" w:rsidRDefault="00566EA9" w:rsidP="001D41EA">
            <w:pPr>
              <w:spacing w:before="40" w:after="20"/>
              <w:jc w:val="center"/>
              <w:rPr>
                <w:rFonts w:cs="Arial"/>
                <w:sz w:val="18"/>
                <w:szCs w:val="18"/>
              </w:rPr>
            </w:pPr>
            <w:r w:rsidRPr="001D41EA">
              <w:rPr>
                <w:rFonts w:cs="Arial"/>
                <w:sz w:val="18"/>
                <w:szCs w:val="18"/>
              </w:rPr>
              <w:t>0.920</w:t>
            </w:r>
          </w:p>
        </w:tc>
        <w:tc>
          <w:tcPr>
            <w:tcW w:w="1134" w:type="dxa"/>
            <w:tcBorders>
              <w:top w:val="nil"/>
              <w:left w:val="nil"/>
              <w:bottom w:val="nil"/>
              <w:right w:val="nil"/>
            </w:tcBorders>
            <w:vAlign w:val="bottom"/>
          </w:tcPr>
          <w:p w14:paraId="3FF0C37D" w14:textId="77487882" w:rsidR="00566EA9" w:rsidRPr="001D41EA" w:rsidRDefault="00566EA9" w:rsidP="001D41EA">
            <w:pPr>
              <w:spacing w:before="40" w:after="20"/>
              <w:jc w:val="center"/>
              <w:rPr>
                <w:rFonts w:cs="Arial"/>
                <w:sz w:val="18"/>
                <w:szCs w:val="18"/>
              </w:rPr>
            </w:pPr>
            <w:r w:rsidRPr="001D41EA">
              <w:rPr>
                <w:rFonts w:cs="Arial"/>
                <w:sz w:val="18"/>
                <w:szCs w:val="18"/>
              </w:rPr>
              <w:t>0.919</w:t>
            </w:r>
          </w:p>
        </w:tc>
        <w:tc>
          <w:tcPr>
            <w:tcW w:w="1134" w:type="dxa"/>
            <w:tcBorders>
              <w:top w:val="nil"/>
              <w:left w:val="nil"/>
              <w:bottom w:val="nil"/>
              <w:right w:val="nil"/>
            </w:tcBorders>
            <w:vAlign w:val="bottom"/>
          </w:tcPr>
          <w:p w14:paraId="0501458D" w14:textId="32441B39" w:rsidR="00566EA9" w:rsidRPr="001D41EA" w:rsidRDefault="00566EA9" w:rsidP="001D41EA">
            <w:pPr>
              <w:spacing w:before="40" w:after="20"/>
              <w:jc w:val="center"/>
              <w:rPr>
                <w:rFonts w:cs="Arial"/>
                <w:sz w:val="18"/>
                <w:szCs w:val="18"/>
              </w:rPr>
            </w:pPr>
            <w:r w:rsidRPr="001D41EA">
              <w:rPr>
                <w:rFonts w:cs="Arial"/>
                <w:sz w:val="18"/>
                <w:szCs w:val="18"/>
              </w:rPr>
              <w:t>0.908</w:t>
            </w:r>
          </w:p>
        </w:tc>
        <w:tc>
          <w:tcPr>
            <w:tcW w:w="170" w:type="dxa"/>
            <w:tcBorders>
              <w:top w:val="nil"/>
              <w:left w:val="nil"/>
              <w:bottom w:val="nil"/>
              <w:right w:val="nil"/>
            </w:tcBorders>
            <w:vAlign w:val="bottom"/>
          </w:tcPr>
          <w:p w14:paraId="1CD5DE5C" w14:textId="79D52741"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53C0225F" w14:textId="014FE8BF" w:rsidR="00566EA9" w:rsidRPr="001D41EA" w:rsidRDefault="00566EA9" w:rsidP="001D41EA">
            <w:pPr>
              <w:spacing w:before="40" w:after="20"/>
              <w:jc w:val="center"/>
              <w:rPr>
                <w:rFonts w:cs="Arial"/>
                <w:sz w:val="18"/>
                <w:szCs w:val="18"/>
              </w:rPr>
            </w:pPr>
            <w:r w:rsidRPr="001D41EA">
              <w:rPr>
                <w:rFonts w:cs="Arial"/>
                <w:sz w:val="18"/>
                <w:szCs w:val="18"/>
              </w:rPr>
              <w:t>1.079</w:t>
            </w:r>
          </w:p>
        </w:tc>
        <w:tc>
          <w:tcPr>
            <w:tcW w:w="1134" w:type="dxa"/>
            <w:tcBorders>
              <w:top w:val="nil"/>
              <w:left w:val="nil"/>
              <w:bottom w:val="nil"/>
              <w:right w:val="nil"/>
            </w:tcBorders>
            <w:shd w:val="clear" w:color="auto" w:fill="auto"/>
            <w:vAlign w:val="bottom"/>
          </w:tcPr>
          <w:p w14:paraId="0CF38423" w14:textId="71A08BE0" w:rsidR="00566EA9" w:rsidRPr="001D41EA" w:rsidRDefault="00566EA9" w:rsidP="001D41EA">
            <w:pPr>
              <w:spacing w:before="40" w:after="20"/>
              <w:jc w:val="center"/>
              <w:rPr>
                <w:rFonts w:cs="Arial"/>
                <w:sz w:val="18"/>
                <w:szCs w:val="18"/>
              </w:rPr>
            </w:pPr>
            <w:r w:rsidRPr="001D41EA">
              <w:rPr>
                <w:rFonts w:cs="Arial"/>
                <w:sz w:val="18"/>
                <w:szCs w:val="18"/>
              </w:rPr>
              <w:t>1.073</w:t>
            </w:r>
          </w:p>
        </w:tc>
      </w:tr>
      <w:tr w:rsidR="00566EA9" w:rsidRPr="001D41EA" w14:paraId="7F5C121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8AD68AD" w14:textId="77777777" w:rsidR="00566EA9" w:rsidRPr="001D41EA" w:rsidRDefault="00566EA9" w:rsidP="001D41EA">
            <w:pPr>
              <w:spacing w:before="40" w:after="20"/>
              <w:rPr>
                <w:rFonts w:cs="Arial"/>
                <w:sz w:val="18"/>
                <w:szCs w:val="18"/>
              </w:rPr>
            </w:pPr>
            <w:r w:rsidRPr="001D41EA">
              <w:rPr>
                <w:rFonts w:cs="Arial"/>
                <w:sz w:val="18"/>
                <w:szCs w:val="18"/>
              </w:rPr>
              <w:t>Moyne S</w:t>
            </w:r>
          </w:p>
        </w:tc>
        <w:tc>
          <w:tcPr>
            <w:tcW w:w="1134" w:type="dxa"/>
            <w:tcBorders>
              <w:top w:val="nil"/>
              <w:left w:val="single" w:sz="18" w:space="0" w:color="5F497A" w:themeColor="accent4" w:themeShade="BF"/>
              <w:bottom w:val="nil"/>
              <w:right w:val="nil"/>
            </w:tcBorders>
            <w:shd w:val="clear" w:color="auto" w:fill="auto"/>
            <w:vAlign w:val="bottom"/>
          </w:tcPr>
          <w:p w14:paraId="7F9572F6" w14:textId="3722FBD3" w:rsidR="00566EA9" w:rsidRPr="001D41EA" w:rsidRDefault="00566EA9" w:rsidP="001D41EA">
            <w:pPr>
              <w:spacing w:before="40" w:after="20"/>
              <w:jc w:val="center"/>
              <w:rPr>
                <w:rFonts w:cs="Arial"/>
                <w:sz w:val="18"/>
                <w:szCs w:val="18"/>
              </w:rPr>
            </w:pPr>
            <w:r w:rsidRPr="001D41EA">
              <w:rPr>
                <w:rFonts w:cs="Arial"/>
                <w:sz w:val="18"/>
                <w:szCs w:val="18"/>
              </w:rPr>
              <w:t>0.719</w:t>
            </w:r>
          </w:p>
        </w:tc>
        <w:tc>
          <w:tcPr>
            <w:tcW w:w="1134" w:type="dxa"/>
            <w:tcBorders>
              <w:top w:val="nil"/>
              <w:left w:val="nil"/>
              <w:bottom w:val="nil"/>
              <w:right w:val="nil"/>
            </w:tcBorders>
            <w:vAlign w:val="bottom"/>
          </w:tcPr>
          <w:p w14:paraId="23683776" w14:textId="54239ECC" w:rsidR="00566EA9" w:rsidRPr="001D41EA" w:rsidRDefault="00566EA9" w:rsidP="001D41EA">
            <w:pPr>
              <w:spacing w:before="40" w:after="20"/>
              <w:jc w:val="center"/>
              <w:rPr>
                <w:rFonts w:cs="Arial"/>
                <w:sz w:val="18"/>
                <w:szCs w:val="18"/>
              </w:rPr>
            </w:pPr>
            <w:r w:rsidRPr="001D41EA">
              <w:rPr>
                <w:rFonts w:cs="Arial"/>
                <w:sz w:val="18"/>
                <w:szCs w:val="18"/>
              </w:rPr>
              <w:t>0.720</w:t>
            </w:r>
          </w:p>
        </w:tc>
        <w:tc>
          <w:tcPr>
            <w:tcW w:w="1134" w:type="dxa"/>
            <w:tcBorders>
              <w:top w:val="nil"/>
              <w:left w:val="nil"/>
              <w:bottom w:val="nil"/>
              <w:right w:val="nil"/>
            </w:tcBorders>
            <w:vAlign w:val="bottom"/>
          </w:tcPr>
          <w:p w14:paraId="170F6087" w14:textId="758FED72" w:rsidR="00566EA9" w:rsidRPr="001D41EA" w:rsidRDefault="00566EA9" w:rsidP="001D41EA">
            <w:pPr>
              <w:spacing w:before="40" w:after="20"/>
              <w:jc w:val="center"/>
              <w:rPr>
                <w:rFonts w:cs="Arial"/>
                <w:sz w:val="18"/>
                <w:szCs w:val="18"/>
              </w:rPr>
            </w:pPr>
            <w:r w:rsidRPr="001D41EA">
              <w:rPr>
                <w:rFonts w:cs="Arial"/>
                <w:sz w:val="18"/>
                <w:szCs w:val="18"/>
              </w:rPr>
              <w:t>0.719</w:t>
            </w:r>
          </w:p>
        </w:tc>
        <w:tc>
          <w:tcPr>
            <w:tcW w:w="1134" w:type="dxa"/>
            <w:tcBorders>
              <w:top w:val="nil"/>
              <w:left w:val="nil"/>
              <w:bottom w:val="nil"/>
              <w:right w:val="nil"/>
            </w:tcBorders>
            <w:vAlign w:val="bottom"/>
          </w:tcPr>
          <w:p w14:paraId="70247983" w14:textId="2D95197D" w:rsidR="00566EA9" w:rsidRPr="001D41EA" w:rsidRDefault="00566EA9" w:rsidP="001D41EA">
            <w:pPr>
              <w:spacing w:before="40" w:after="20"/>
              <w:jc w:val="center"/>
              <w:rPr>
                <w:rFonts w:cs="Arial"/>
                <w:sz w:val="18"/>
                <w:szCs w:val="18"/>
              </w:rPr>
            </w:pPr>
            <w:r w:rsidRPr="001D41EA">
              <w:rPr>
                <w:rFonts w:cs="Arial"/>
                <w:sz w:val="18"/>
                <w:szCs w:val="18"/>
              </w:rPr>
              <w:t>0.710</w:t>
            </w:r>
          </w:p>
        </w:tc>
        <w:tc>
          <w:tcPr>
            <w:tcW w:w="170" w:type="dxa"/>
            <w:tcBorders>
              <w:top w:val="nil"/>
              <w:left w:val="nil"/>
              <w:bottom w:val="nil"/>
              <w:right w:val="nil"/>
            </w:tcBorders>
            <w:vAlign w:val="bottom"/>
          </w:tcPr>
          <w:p w14:paraId="42569A04" w14:textId="4BFF999D"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0F5F5603" w14:textId="27B507A2" w:rsidR="00566EA9" w:rsidRPr="001D41EA" w:rsidRDefault="00566EA9" w:rsidP="001D41EA">
            <w:pPr>
              <w:spacing w:before="40" w:after="20"/>
              <w:jc w:val="center"/>
              <w:rPr>
                <w:rFonts w:cs="Arial"/>
                <w:sz w:val="18"/>
                <w:szCs w:val="18"/>
              </w:rPr>
            </w:pPr>
            <w:r w:rsidRPr="001D41EA">
              <w:rPr>
                <w:rFonts w:cs="Arial"/>
                <w:sz w:val="18"/>
                <w:szCs w:val="18"/>
              </w:rPr>
              <w:t>1.315</w:t>
            </w:r>
          </w:p>
        </w:tc>
        <w:tc>
          <w:tcPr>
            <w:tcW w:w="1134" w:type="dxa"/>
            <w:tcBorders>
              <w:top w:val="nil"/>
              <w:left w:val="nil"/>
              <w:bottom w:val="nil"/>
              <w:right w:val="nil"/>
            </w:tcBorders>
            <w:shd w:val="clear" w:color="auto" w:fill="auto"/>
            <w:vAlign w:val="bottom"/>
          </w:tcPr>
          <w:p w14:paraId="57735A4D" w14:textId="66F2A565" w:rsidR="00566EA9" w:rsidRPr="001D41EA" w:rsidRDefault="00566EA9" w:rsidP="001D41EA">
            <w:pPr>
              <w:spacing w:before="40" w:after="20"/>
              <w:jc w:val="center"/>
              <w:rPr>
                <w:rFonts w:cs="Arial"/>
                <w:sz w:val="18"/>
                <w:szCs w:val="18"/>
              </w:rPr>
            </w:pPr>
            <w:r w:rsidRPr="001D41EA">
              <w:rPr>
                <w:rFonts w:cs="Arial"/>
                <w:sz w:val="18"/>
                <w:szCs w:val="18"/>
              </w:rPr>
              <w:t>1.308</w:t>
            </w:r>
          </w:p>
        </w:tc>
      </w:tr>
      <w:tr w:rsidR="00566EA9" w:rsidRPr="001D41EA" w14:paraId="3C871A7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A2DE4B4" w14:textId="77777777" w:rsidR="00566EA9" w:rsidRPr="001D41EA" w:rsidRDefault="00566EA9" w:rsidP="001D41EA">
            <w:pPr>
              <w:spacing w:before="40" w:after="20"/>
              <w:rPr>
                <w:rFonts w:cs="Arial"/>
                <w:sz w:val="18"/>
                <w:szCs w:val="18"/>
              </w:rPr>
            </w:pPr>
            <w:r w:rsidRPr="001D41EA">
              <w:rPr>
                <w:rFonts w:cs="Arial"/>
                <w:sz w:val="18"/>
                <w:szCs w:val="18"/>
              </w:rPr>
              <w:t>Murrindindi S</w:t>
            </w:r>
          </w:p>
        </w:tc>
        <w:tc>
          <w:tcPr>
            <w:tcW w:w="1134" w:type="dxa"/>
            <w:tcBorders>
              <w:top w:val="nil"/>
              <w:left w:val="single" w:sz="18" w:space="0" w:color="5F497A" w:themeColor="accent4" w:themeShade="BF"/>
              <w:bottom w:val="nil"/>
              <w:right w:val="nil"/>
            </w:tcBorders>
            <w:shd w:val="clear" w:color="auto" w:fill="auto"/>
            <w:vAlign w:val="bottom"/>
          </w:tcPr>
          <w:p w14:paraId="1DAB8EA8" w14:textId="05C001D7" w:rsidR="00566EA9" w:rsidRPr="001D41EA" w:rsidRDefault="00566EA9" w:rsidP="001D41EA">
            <w:pPr>
              <w:spacing w:before="40" w:after="20"/>
              <w:jc w:val="center"/>
              <w:rPr>
                <w:rFonts w:cs="Arial"/>
                <w:sz w:val="18"/>
                <w:szCs w:val="18"/>
              </w:rPr>
            </w:pPr>
            <w:r w:rsidRPr="001D41EA">
              <w:rPr>
                <w:rFonts w:cs="Arial"/>
                <w:sz w:val="18"/>
                <w:szCs w:val="18"/>
              </w:rPr>
              <w:t>0.841</w:t>
            </w:r>
          </w:p>
        </w:tc>
        <w:tc>
          <w:tcPr>
            <w:tcW w:w="1134" w:type="dxa"/>
            <w:tcBorders>
              <w:top w:val="nil"/>
              <w:left w:val="nil"/>
              <w:bottom w:val="nil"/>
              <w:right w:val="nil"/>
            </w:tcBorders>
            <w:vAlign w:val="bottom"/>
          </w:tcPr>
          <w:p w14:paraId="598C7E86" w14:textId="32134908" w:rsidR="00566EA9" w:rsidRPr="001D41EA" w:rsidRDefault="00566EA9" w:rsidP="001D41EA">
            <w:pPr>
              <w:spacing w:before="40" w:after="20"/>
              <w:jc w:val="center"/>
              <w:rPr>
                <w:rFonts w:cs="Arial"/>
                <w:sz w:val="18"/>
                <w:szCs w:val="18"/>
              </w:rPr>
            </w:pPr>
            <w:r w:rsidRPr="001D41EA">
              <w:rPr>
                <w:rFonts w:cs="Arial"/>
                <w:sz w:val="18"/>
                <w:szCs w:val="18"/>
              </w:rPr>
              <w:t>0.842</w:t>
            </w:r>
          </w:p>
        </w:tc>
        <w:tc>
          <w:tcPr>
            <w:tcW w:w="1134" w:type="dxa"/>
            <w:tcBorders>
              <w:top w:val="nil"/>
              <w:left w:val="nil"/>
              <w:bottom w:val="nil"/>
              <w:right w:val="nil"/>
            </w:tcBorders>
            <w:vAlign w:val="bottom"/>
          </w:tcPr>
          <w:p w14:paraId="704BFFBE" w14:textId="28E58D07" w:rsidR="00566EA9" w:rsidRPr="001D41EA" w:rsidRDefault="00566EA9" w:rsidP="001D41EA">
            <w:pPr>
              <w:spacing w:before="40" w:after="20"/>
              <w:jc w:val="center"/>
              <w:rPr>
                <w:rFonts w:cs="Arial"/>
                <w:sz w:val="18"/>
                <w:szCs w:val="18"/>
              </w:rPr>
            </w:pPr>
            <w:r w:rsidRPr="001D41EA">
              <w:rPr>
                <w:rFonts w:cs="Arial"/>
                <w:sz w:val="18"/>
                <w:szCs w:val="18"/>
              </w:rPr>
              <w:t>0.841</w:t>
            </w:r>
          </w:p>
        </w:tc>
        <w:tc>
          <w:tcPr>
            <w:tcW w:w="1134" w:type="dxa"/>
            <w:tcBorders>
              <w:top w:val="nil"/>
              <w:left w:val="nil"/>
              <w:bottom w:val="nil"/>
              <w:right w:val="nil"/>
            </w:tcBorders>
            <w:vAlign w:val="bottom"/>
          </w:tcPr>
          <w:p w14:paraId="7DDEBD0F" w14:textId="09600636" w:rsidR="00566EA9" w:rsidRPr="001D41EA" w:rsidRDefault="00566EA9" w:rsidP="001D41EA">
            <w:pPr>
              <w:spacing w:before="40" w:after="20"/>
              <w:jc w:val="center"/>
              <w:rPr>
                <w:rFonts w:cs="Arial"/>
                <w:sz w:val="18"/>
                <w:szCs w:val="18"/>
              </w:rPr>
            </w:pPr>
            <w:r w:rsidRPr="001D41EA">
              <w:rPr>
                <w:rFonts w:cs="Arial"/>
                <w:sz w:val="18"/>
                <w:szCs w:val="18"/>
              </w:rPr>
              <w:t>0.830</w:t>
            </w:r>
          </w:p>
        </w:tc>
        <w:tc>
          <w:tcPr>
            <w:tcW w:w="170" w:type="dxa"/>
            <w:tcBorders>
              <w:top w:val="nil"/>
              <w:left w:val="nil"/>
              <w:bottom w:val="nil"/>
              <w:right w:val="nil"/>
            </w:tcBorders>
            <w:vAlign w:val="bottom"/>
          </w:tcPr>
          <w:p w14:paraId="6507D53E" w14:textId="43DAEFBA"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788CA1D5" w14:textId="412B8F8E" w:rsidR="00566EA9" w:rsidRPr="001D41EA" w:rsidRDefault="00566EA9" w:rsidP="001D41EA">
            <w:pPr>
              <w:spacing w:before="40" w:after="20"/>
              <w:jc w:val="center"/>
              <w:rPr>
                <w:rFonts w:cs="Arial"/>
                <w:sz w:val="18"/>
                <w:szCs w:val="18"/>
              </w:rPr>
            </w:pPr>
            <w:r w:rsidRPr="001D41EA">
              <w:rPr>
                <w:rFonts w:cs="Arial"/>
                <w:sz w:val="18"/>
                <w:szCs w:val="18"/>
              </w:rPr>
              <w:t>1.213</w:t>
            </w:r>
          </w:p>
        </w:tc>
        <w:tc>
          <w:tcPr>
            <w:tcW w:w="1134" w:type="dxa"/>
            <w:tcBorders>
              <w:top w:val="nil"/>
              <w:left w:val="nil"/>
              <w:bottom w:val="nil"/>
              <w:right w:val="nil"/>
            </w:tcBorders>
            <w:shd w:val="clear" w:color="auto" w:fill="auto"/>
            <w:vAlign w:val="bottom"/>
          </w:tcPr>
          <w:p w14:paraId="46296150" w14:textId="3F2F2463" w:rsidR="00566EA9" w:rsidRPr="001D41EA" w:rsidRDefault="00566EA9" w:rsidP="001D41EA">
            <w:pPr>
              <w:spacing w:before="40" w:after="20"/>
              <w:jc w:val="center"/>
              <w:rPr>
                <w:rFonts w:cs="Arial"/>
                <w:sz w:val="18"/>
                <w:szCs w:val="18"/>
              </w:rPr>
            </w:pPr>
            <w:r w:rsidRPr="001D41EA">
              <w:rPr>
                <w:rFonts w:cs="Arial"/>
                <w:sz w:val="18"/>
                <w:szCs w:val="18"/>
              </w:rPr>
              <w:t>1.206</w:t>
            </w:r>
          </w:p>
        </w:tc>
      </w:tr>
      <w:tr w:rsidR="00566EA9" w:rsidRPr="001D41EA" w14:paraId="3C072EE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6104B36" w14:textId="77777777" w:rsidR="00566EA9" w:rsidRPr="001D41EA" w:rsidRDefault="00566EA9" w:rsidP="001D41EA">
            <w:pPr>
              <w:spacing w:before="40" w:after="20"/>
              <w:rPr>
                <w:rFonts w:cs="Arial"/>
                <w:sz w:val="18"/>
                <w:szCs w:val="18"/>
              </w:rPr>
            </w:pPr>
            <w:r w:rsidRPr="001D41EA">
              <w:rPr>
                <w:rFonts w:cs="Arial"/>
                <w:sz w:val="18"/>
                <w:szCs w:val="18"/>
              </w:rPr>
              <w:t>Nillumbik S</w:t>
            </w:r>
          </w:p>
        </w:tc>
        <w:tc>
          <w:tcPr>
            <w:tcW w:w="1134" w:type="dxa"/>
            <w:tcBorders>
              <w:top w:val="nil"/>
              <w:left w:val="single" w:sz="18" w:space="0" w:color="5F497A" w:themeColor="accent4" w:themeShade="BF"/>
              <w:bottom w:val="nil"/>
              <w:right w:val="nil"/>
            </w:tcBorders>
            <w:shd w:val="clear" w:color="auto" w:fill="auto"/>
            <w:vAlign w:val="bottom"/>
          </w:tcPr>
          <w:p w14:paraId="5A221E9F" w14:textId="0E93AFBA" w:rsidR="00566EA9" w:rsidRPr="001D41EA" w:rsidRDefault="00566EA9" w:rsidP="001D41EA">
            <w:pPr>
              <w:spacing w:before="40" w:after="20"/>
              <w:jc w:val="center"/>
              <w:rPr>
                <w:rFonts w:cs="Arial"/>
                <w:sz w:val="18"/>
                <w:szCs w:val="18"/>
              </w:rPr>
            </w:pPr>
            <w:r w:rsidRPr="001D41EA">
              <w:rPr>
                <w:rFonts w:cs="Arial"/>
                <w:sz w:val="18"/>
                <w:szCs w:val="18"/>
              </w:rPr>
              <w:t>0.798</w:t>
            </w:r>
          </w:p>
        </w:tc>
        <w:tc>
          <w:tcPr>
            <w:tcW w:w="1134" w:type="dxa"/>
            <w:tcBorders>
              <w:top w:val="nil"/>
              <w:left w:val="nil"/>
              <w:bottom w:val="nil"/>
              <w:right w:val="nil"/>
            </w:tcBorders>
            <w:vAlign w:val="bottom"/>
          </w:tcPr>
          <w:p w14:paraId="69FDA8F4" w14:textId="52C92A2B" w:rsidR="00566EA9" w:rsidRPr="001D41EA" w:rsidRDefault="00566EA9" w:rsidP="001D41EA">
            <w:pPr>
              <w:spacing w:before="40" w:after="20"/>
              <w:jc w:val="center"/>
              <w:rPr>
                <w:rFonts w:cs="Arial"/>
                <w:sz w:val="18"/>
                <w:szCs w:val="18"/>
              </w:rPr>
            </w:pPr>
            <w:r w:rsidRPr="001D41EA">
              <w:rPr>
                <w:rFonts w:cs="Arial"/>
                <w:sz w:val="18"/>
                <w:szCs w:val="18"/>
              </w:rPr>
              <w:t>0.799</w:t>
            </w:r>
          </w:p>
        </w:tc>
        <w:tc>
          <w:tcPr>
            <w:tcW w:w="1134" w:type="dxa"/>
            <w:tcBorders>
              <w:top w:val="nil"/>
              <w:left w:val="nil"/>
              <w:bottom w:val="nil"/>
              <w:right w:val="nil"/>
            </w:tcBorders>
            <w:vAlign w:val="bottom"/>
          </w:tcPr>
          <w:p w14:paraId="263C0F27" w14:textId="0A6384EC" w:rsidR="00566EA9" w:rsidRPr="001D41EA" w:rsidRDefault="00566EA9" w:rsidP="001D41EA">
            <w:pPr>
              <w:spacing w:before="40" w:after="20"/>
              <w:jc w:val="center"/>
              <w:rPr>
                <w:rFonts w:cs="Arial"/>
                <w:sz w:val="18"/>
                <w:szCs w:val="18"/>
              </w:rPr>
            </w:pPr>
            <w:r w:rsidRPr="001D41EA">
              <w:rPr>
                <w:rFonts w:cs="Arial"/>
                <w:sz w:val="18"/>
                <w:szCs w:val="18"/>
              </w:rPr>
              <w:t>0.798</w:t>
            </w:r>
          </w:p>
        </w:tc>
        <w:tc>
          <w:tcPr>
            <w:tcW w:w="1134" w:type="dxa"/>
            <w:tcBorders>
              <w:top w:val="nil"/>
              <w:left w:val="nil"/>
              <w:bottom w:val="nil"/>
              <w:right w:val="nil"/>
            </w:tcBorders>
            <w:vAlign w:val="bottom"/>
          </w:tcPr>
          <w:p w14:paraId="434787C2" w14:textId="26EF0849" w:rsidR="00566EA9" w:rsidRPr="001D41EA" w:rsidRDefault="00566EA9" w:rsidP="001D41EA">
            <w:pPr>
              <w:spacing w:before="40" w:after="20"/>
              <w:jc w:val="center"/>
              <w:rPr>
                <w:rFonts w:cs="Arial"/>
                <w:sz w:val="18"/>
                <w:szCs w:val="18"/>
              </w:rPr>
            </w:pPr>
            <w:r w:rsidRPr="001D41EA">
              <w:rPr>
                <w:rFonts w:cs="Arial"/>
                <w:sz w:val="18"/>
                <w:szCs w:val="18"/>
              </w:rPr>
              <w:t>0.788</w:t>
            </w:r>
          </w:p>
        </w:tc>
        <w:tc>
          <w:tcPr>
            <w:tcW w:w="170" w:type="dxa"/>
            <w:tcBorders>
              <w:top w:val="nil"/>
              <w:left w:val="nil"/>
              <w:bottom w:val="nil"/>
              <w:right w:val="nil"/>
            </w:tcBorders>
            <w:vAlign w:val="bottom"/>
          </w:tcPr>
          <w:p w14:paraId="2A3005A1" w14:textId="3B1D94FD"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0F54B766" w14:textId="78E977C9" w:rsidR="00566EA9" w:rsidRPr="001D41EA" w:rsidRDefault="00566EA9" w:rsidP="001D41EA">
            <w:pPr>
              <w:spacing w:before="40" w:after="20"/>
              <w:jc w:val="center"/>
              <w:rPr>
                <w:rFonts w:cs="Arial"/>
                <w:sz w:val="18"/>
                <w:szCs w:val="18"/>
              </w:rPr>
            </w:pPr>
            <w:r w:rsidRPr="001D41EA">
              <w:rPr>
                <w:rFonts w:cs="Arial"/>
                <w:sz w:val="18"/>
                <w:szCs w:val="18"/>
              </w:rPr>
              <w:t>0.954</w:t>
            </w:r>
          </w:p>
        </w:tc>
        <w:tc>
          <w:tcPr>
            <w:tcW w:w="1134" w:type="dxa"/>
            <w:tcBorders>
              <w:top w:val="nil"/>
              <w:left w:val="nil"/>
              <w:bottom w:val="nil"/>
              <w:right w:val="nil"/>
            </w:tcBorders>
            <w:shd w:val="clear" w:color="auto" w:fill="auto"/>
            <w:vAlign w:val="bottom"/>
          </w:tcPr>
          <w:p w14:paraId="400C8997" w14:textId="2FA55DF8" w:rsidR="00566EA9" w:rsidRPr="001D41EA" w:rsidRDefault="00566EA9" w:rsidP="001D41EA">
            <w:pPr>
              <w:spacing w:before="40" w:after="20"/>
              <w:jc w:val="center"/>
              <w:rPr>
                <w:rFonts w:cs="Arial"/>
                <w:sz w:val="18"/>
                <w:szCs w:val="18"/>
              </w:rPr>
            </w:pPr>
            <w:r w:rsidRPr="001D41EA">
              <w:rPr>
                <w:rFonts w:cs="Arial"/>
                <w:sz w:val="18"/>
                <w:szCs w:val="18"/>
              </w:rPr>
              <w:t>0.949</w:t>
            </w:r>
          </w:p>
        </w:tc>
      </w:tr>
      <w:tr w:rsidR="00566EA9" w:rsidRPr="001D41EA" w14:paraId="7657338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A9F7E4D" w14:textId="77777777" w:rsidR="00566EA9" w:rsidRPr="001D41EA" w:rsidRDefault="00566EA9" w:rsidP="001D41EA">
            <w:pPr>
              <w:spacing w:before="40" w:after="20"/>
              <w:rPr>
                <w:rFonts w:cs="Arial"/>
                <w:sz w:val="18"/>
                <w:szCs w:val="18"/>
              </w:rPr>
            </w:pPr>
            <w:r w:rsidRPr="001D41EA">
              <w:rPr>
                <w:rFonts w:cs="Arial"/>
                <w:sz w:val="18"/>
                <w:szCs w:val="18"/>
              </w:rPr>
              <w:t>Northern Grampians S</w:t>
            </w:r>
          </w:p>
        </w:tc>
        <w:tc>
          <w:tcPr>
            <w:tcW w:w="1134" w:type="dxa"/>
            <w:tcBorders>
              <w:top w:val="nil"/>
              <w:left w:val="single" w:sz="18" w:space="0" w:color="5F497A" w:themeColor="accent4" w:themeShade="BF"/>
              <w:bottom w:val="nil"/>
              <w:right w:val="nil"/>
            </w:tcBorders>
            <w:shd w:val="clear" w:color="auto" w:fill="auto"/>
            <w:vAlign w:val="bottom"/>
          </w:tcPr>
          <w:p w14:paraId="53BD521F" w14:textId="7612C7FC" w:rsidR="00566EA9" w:rsidRPr="001D41EA" w:rsidRDefault="00566EA9" w:rsidP="001D41EA">
            <w:pPr>
              <w:spacing w:before="40" w:after="20"/>
              <w:jc w:val="center"/>
              <w:rPr>
                <w:rFonts w:cs="Arial"/>
                <w:sz w:val="18"/>
                <w:szCs w:val="18"/>
              </w:rPr>
            </w:pPr>
            <w:r w:rsidRPr="001D41EA">
              <w:rPr>
                <w:rFonts w:cs="Arial"/>
                <w:sz w:val="18"/>
                <w:szCs w:val="18"/>
              </w:rPr>
              <w:t>0.983</w:t>
            </w:r>
          </w:p>
        </w:tc>
        <w:tc>
          <w:tcPr>
            <w:tcW w:w="1134" w:type="dxa"/>
            <w:tcBorders>
              <w:top w:val="nil"/>
              <w:left w:val="nil"/>
              <w:bottom w:val="nil"/>
              <w:right w:val="nil"/>
            </w:tcBorders>
            <w:vAlign w:val="bottom"/>
          </w:tcPr>
          <w:p w14:paraId="21045CBC" w14:textId="498F0708" w:rsidR="00566EA9" w:rsidRPr="001D41EA" w:rsidRDefault="00566EA9" w:rsidP="001D41EA">
            <w:pPr>
              <w:spacing w:before="40" w:after="20"/>
              <w:jc w:val="center"/>
              <w:rPr>
                <w:rFonts w:cs="Arial"/>
                <w:sz w:val="18"/>
                <w:szCs w:val="18"/>
              </w:rPr>
            </w:pPr>
            <w:r w:rsidRPr="001D41EA">
              <w:rPr>
                <w:rFonts w:cs="Arial"/>
                <w:sz w:val="18"/>
                <w:szCs w:val="18"/>
              </w:rPr>
              <w:t>0.985</w:t>
            </w:r>
          </w:p>
        </w:tc>
        <w:tc>
          <w:tcPr>
            <w:tcW w:w="1134" w:type="dxa"/>
            <w:tcBorders>
              <w:top w:val="nil"/>
              <w:left w:val="nil"/>
              <w:bottom w:val="nil"/>
              <w:right w:val="nil"/>
            </w:tcBorders>
            <w:vAlign w:val="bottom"/>
          </w:tcPr>
          <w:p w14:paraId="3EE42FEF" w14:textId="0F0D9ABF" w:rsidR="00566EA9" w:rsidRPr="001D41EA" w:rsidRDefault="00566EA9" w:rsidP="001D41EA">
            <w:pPr>
              <w:spacing w:before="40" w:after="20"/>
              <w:jc w:val="center"/>
              <w:rPr>
                <w:rFonts w:cs="Arial"/>
                <w:sz w:val="18"/>
                <w:szCs w:val="18"/>
              </w:rPr>
            </w:pPr>
            <w:r w:rsidRPr="001D41EA">
              <w:rPr>
                <w:rFonts w:cs="Arial"/>
                <w:sz w:val="18"/>
                <w:szCs w:val="18"/>
              </w:rPr>
              <w:t>0.984</w:t>
            </w:r>
          </w:p>
        </w:tc>
        <w:tc>
          <w:tcPr>
            <w:tcW w:w="1134" w:type="dxa"/>
            <w:tcBorders>
              <w:top w:val="nil"/>
              <w:left w:val="nil"/>
              <w:bottom w:val="nil"/>
              <w:right w:val="nil"/>
            </w:tcBorders>
            <w:vAlign w:val="bottom"/>
          </w:tcPr>
          <w:p w14:paraId="3F665A3C" w14:textId="17F646E3" w:rsidR="00566EA9" w:rsidRPr="001D41EA" w:rsidRDefault="00566EA9" w:rsidP="001D41EA">
            <w:pPr>
              <w:spacing w:before="40" w:after="20"/>
              <w:jc w:val="center"/>
              <w:rPr>
                <w:rFonts w:cs="Arial"/>
                <w:sz w:val="18"/>
                <w:szCs w:val="18"/>
              </w:rPr>
            </w:pPr>
            <w:r w:rsidRPr="001D41EA">
              <w:rPr>
                <w:rFonts w:cs="Arial"/>
                <w:sz w:val="18"/>
                <w:szCs w:val="18"/>
              </w:rPr>
              <w:t>0.971</w:t>
            </w:r>
          </w:p>
        </w:tc>
        <w:tc>
          <w:tcPr>
            <w:tcW w:w="170" w:type="dxa"/>
            <w:tcBorders>
              <w:top w:val="nil"/>
              <w:left w:val="nil"/>
              <w:bottom w:val="nil"/>
              <w:right w:val="nil"/>
            </w:tcBorders>
            <w:vAlign w:val="bottom"/>
          </w:tcPr>
          <w:p w14:paraId="54A083A4" w14:textId="5E0A4077"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2CE70E3C" w14:textId="4A57F271" w:rsidR="00566EA9" w:rsidRPr="001D41EA" w:rsidRDefault="00566EA9" w:rsidP="001D41EA">
            <w:pPr>
              <w:spacing w:before="40" w:after="20"/>
              <w:jc w:val="center"/>
              <w:rPr>
                <w:rFonts w:cs="Arial"/>
                <w:sz w:val="18"/>
                <w:szCs w:val="18"/>
              </w:rPr>
            </w:pPr>
            <w:r w:rsidRPr="001D41EA">
              <w:rPr>
                <w:rFonts w:cs="Arial"/>
                <w:sz w:val="18"/>
                <w:szCs w:val="18"/>
              </w:rPr>
              <w:t>1.387</w:t>
            </w:r>
          </w:p>
        </w:tc>
        <w:tc>
          <w:tcPr>
            <w:tcW w:w="1134" w:type="dxa"/>
            <w:tcBorders>
              <w:top w:val="nil"/>
              <w:left w:val="nil"/>
              <w:bottom w:val="nil"/>
              <w:right w:val="nil"/>
            </w:tcBorders>
            <w:shd w:val="clear" w:color="auto" w:fill="auto"/>
            <w:vAlign w:val="bottom"/>
          </w:tcPr>
          <w:p w14:paraId="3719DD9A" w14:textId="2AFCB165" w:rsidR="00566EA9" w:rsidRPr="001D41EA" w:rsidRDefault="00566EA9" w:rsidP="001D41EA">
            <w:pPr>
              <w:spacing w:before="40" w:after="20"/>
              <w:jc w:val="center"/>
              <w:rPr>
                <w:rFonts w:cs="Arial"/>
                <w:sz w:val="18"/>
                <w:szCs w:val="18"/>
              </w:rPr>
            </w:pPr>
            <w:r w:rsidRPr="001D41EA">
              <w:rPr>
                <w:rFonts w:cs="Arial"/>
                <w:sz w:val="18"/>
                <w:szCs w:val="18"/>
              </w:rPr>
              <w:t>1.379</w:t>
            </w:r>
          </w:p>
        </w:tc>
      </w:tr>
      <w:tr w:rsidR="00566EA9" w:rsidRPr="001D41EA" w14:paraId="44BAA66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A61F442" w14:textId="77777777" w:rsidR="00566EA9" w:rsidRPr="001D41EA" w:rsidRDefault="00566EA9" w:rsidP="001D41EA">
            <w:pPr>
              <w:spacing w:before="40" w:after="20"/>
              <w:rPr>
                <w:rFonts w:cs="Arial"/>
                <w:sz w:val="18"/>
                <w:szCs w:val="18"/>
              </w:rPr>
            </w:pPr>
            <w:r w:rsidRPr="001D41EA">
              <w:rPr>
                <w:rFonts w:cs="Arial"/>
                <w:sz w:val="18"/>
                <w:szCs w:val="18"/>
              </w:rPr>
              <w:t>Port Phillip C</w:t>
            </w:r>
          </w:p>
        </w:tc>
        <w:tc>
          <w:tcPr>
            <w:tcW w:w="1134" w:type="dxa"/>
            <w:tcBorders>
              <w:top w:val="nil"/>
              <w:left w:val="single" w:sz="18" w:space="0" w:color="5F497A" w:themeColor="accent4" w:themeShade="BF"/>
              <w:bottom w:val="nil"/>
              <w:right w:val="nil"/>
            </w:tcBorders>
            <w:shd w:val="clear" w:color="auto" w:fill="auto"/>
            <w:vAlign w:val="bottom"/>
          </w:tcPr>
          <w:p w14:paraId="6AE42C77" w14:textId="3B2E2916" w:rsidR="00566EA9" w:rsidRPr="001D41EA" w:rsidRDefault="00566EA9" w:rsidP="001D41EA">
            <w:pPr>
              <w:spacing w:before="40" w:after="20"/>
              <w:jc w:val="center"/>
              <w:rPr>
                <w:rFonts w:cs="Arial"/>
                <w:sz w:val="18"/>
                <w:szCs w:val="18"/>
              </w:rPr>
            </w:pPr>
            <w:r w:rsidRPr="001D41EA">
              <w:rPr>
                <w:rFonts w:cs="Arial"/>
                <w:sz w:val="18"/>
                <w:szCs w:val="18"/>
              </w:rPr>
              <w:t>1.218</w:t>
            </w:r>
          </w:p>
        </w:tc>
        <w:tc>
          <w:tcPr>
            <w:tcW w:w="1134" w:type="dxa"/>
            <w:tcBorders>
              <w:top w:val="nil"/>
              <w:left w:val="nil"/>
              <w:bottom w:val="nil"/>
              <w:right w:val="nil"/>
            </w:tcBorders>
            <w:vAlign w:val="bottom"/>
          </w:tcPr>
          <w:p w14:paraId="4E8ABCAD" w14:textId="74EB1013" w:rsidR="00566EA9" w:rsidRPr="001D41EA" w:rsidRDefault="00566EA9" w:rsidP="001D41EA">
            <w:pPr>
              <w:spacing w:before="40" w:after="20"/>
              <w:jc w:val="center"/>
              <w:rPr>
                <w:rFonts w:cs="Arial"/>
                <w:sz w:val="18"/>
                <w:szCs w:val="18"/>
              </w:rPr>
            </w:pPr>
            <w:r w:rsidRPr="001D41EA">
              <w:rPr>
                <w:rFonts w:cs="Arial"/>
                <w:sz w:val="18"/>
                <w:szCs w:val="18"/>
              </w:rPr>
              <w:t>1.221</w:t>
            </w:r>
          </w:p>
        </w:tc>
        <w:tc>
          <w:tcPr>
            <w:tcW w:w="1134" w:type="dxa"/>
            <w:tcBorders>
              <w:top w:val="nil"/>
              <w:left w:val="nil"/>
              <w:bottom w:val="nil"/>
              <w:right w:val="nil"/>
            </w:tcBorders>
            <w:vAlign w:val="bottom"/>
          </w:tcPr>
          <w:p w14:paraId="1B932F76" w14:textId="78D495FF" w:rsidR="00566EA9" w:rsidRPr="001D41EA" w:rsidRDefault="00566EA9" w:rsidP="001D41EA">
            <w:pPr>
              <w:spacing w:before="40" w:after="20"/>
              <w:jc w:val="center"/>
              <w:rPr>
                <w:rFonts w:cs="Arial"/>
                <w:sz w:val="18"/>
                <w:szCs w:val="18"/>
              </w:rPr>
            </w:pPr>
            <w:r w:rsidRPr="001D41EA">
              <w:rPr>
                <w:rFonts w:cs="Arial"/>
                <w:sz w:val="18"/>
                <w:szCs w:val="18"/>
              </w:rPr>
              <w:t>1.219</w:t>
            </w:r>
          </w:p>
        </w:tc>
        <w:tc>
          <w:tcPr>
            <w:tcW w:w="1134" w:type="dxa"/>
            <w:tcBorders>
              <w:top w:val="nil"/>
              <w:left w:val="nil"/>
              <w:bottom w:val="nil"/>
              <w:right w:val="nil"/>
            </w:tcBorders>
            <w:vAlign w:val="bottom"/>
          </w:tcPr>
          <w:p w14:paraId="3B7524F8" w14:textId="0E8B4376" w:rsidR="00566EA9" w:rsidRPr="001D41EA" w:rsidRDefault="00566EA9" w:rsidP="001D41EA">
            <w:pPr>
              <w:spacing w:before="40" w:after="20"/>
              <w:jc w:val="center"/>
              <w:rPr>
                <w:rFonts w:cs="Arial"/>
                <w:sz w:val="18"/>
                <w:szCs w:val="18"/>
              </w:rPr>
            </w:pPr>
            <w:r w:rsidRPr="001D41EA">
              <w:rPr>
                <w:rFonts w:cs="Arial"/>
                <w:sz w:val="18"/>
                <w:szCs w:val="18"/>
              </w:rPr>
              <w:t>1.204</w:t>
            </w:r>
          </w:p>
        </w:tc>
        <w:tc>
          <w:tcPr>
            <w:tcW w:w="170" w:type="dxa"/>
            <w:tcBorders>
              <w:top w:val="nil"/>
              <w:left w:val="nil"/>
              <w:bottom w:val="nil"/>
              <w:right w:val="nil"/>
            </w:tcBorders>
            <w:vAlign w:val="bottom"/>
          </w:tcPr>
          <w:p w14:paraId="18181C0E" w14:textId="0FA7C808"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6FF91661" w14:textId="32B19D4B" w:rsidR="00566EA9" w:rsidRPr="001D41EA" w:rsidRDefault="00566EA9" w:rsidP="001D41EA">
            <w:pPr>
              <w:spacing w:before="40" w:after="2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41DC8A83" w14:textId="62EC1D89" w:rsidR="00566EA9" w:rsidRPr="001D41EA" w:rsidRDefault="00566EA9" w:rsidP="001D41EA">
            <w:pPr>
              <w:spacing w:before="40" w:after="20"/>
              <w:jc w:val="center"/>
              <w:rPr>
                <w:rFonts w:cs="Arial"/>
                <w:sz w:val="18"/>
                <w:szCs w:val="18"/>
              </w:rPr>
            </w:pPr>
            <w:r w:rsidRPr="001D41EA">
              <w:rPr>
                <w:rFonts w:cs="Arial"/>
                <w:sz w:val="18"/>
                <w:szCs w:val="18"/>
              </w:rPr>
              <w:t>0.908</w:t>
            </w:r>
          </w:p>
        </w:tc>
      </w:tr>
      <w:tr w:rsidR="00566EA9" w:rsidRPr="001D41EA" w14:paraId="18529E8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78F471D" w14:textId="77777777" w:rsidR="00566EA9" w:rsidRPr="001D41EA" w:rsidRDefault="00566EA9" w:rsidP="001D41EA">
            <w:pPr>
              <w:spacing w:before="40" w:after="20"/>
              <w:rPr>
                <w:rFonts w:cs="Arial"/>
                <w:sz w:val="18"/>
                <w:szCs w:val="18"/>
              </w:rPr>
            </w:pPr>
            <w:r w:rsidRPr="001D41EA">
              <w:rPr>
                <w:rFonts w:cs="Arial"/>
                <w:sz w:val="18"/>
                <w:szCs w:val="18"/>
              </w:rPr>
              <w:t>Pyrenees S</w:t>
            </w:r>
          </w:p>
        </w:tc>
        <w:tc>
          <w:tcPr>
            <w:tcW w:w="1134" w:type="dxa"/>
            <w:tcBorders>
              <w:top w:val="nil"/>
              <w:left w:val="single" w:sz="18" w:space="0" w:color="5F497A" w:themeColor="accent4" w:themeShade="BF"/>
              <w:bottom w:val="nil"/>
              <w:right w:val="nil"/>
            </w:tcBorders>
            <w:shd w:val="clear" w:color="auto" w:fill="auto"/>
            <w:vAlign w:val="bottom"/>
          </w:tcPr>
          <w:p w14:paraId="5EA8011E" w14:textId="17360210" w:rsidR="00566EA9" w:rsidRPr="001D41EA" w:rsidRDefault="00566EA9" w:rsidP="001D41EA">
            <w:pPr>
              <w:spacing w:before="40" w:after="20"/>
              <w:jc w:val="center"/>
              <w:rPr>
                <w:rFonts w:cs="Arial"/>
                <w:sz w:val="18"/>
                <w:szCs w:val="18"/>
              </w:rPr>
            </w:pPr>
            <w:r w:rsidRPr="001D41EA">
              <w:rPr>
                <w:rFonts w:cs="Arial"/>
                <w:sz w:val="18"/>
                <w:szCs w:val="18"/>
              </w:rPr>
              <w:t>0.740</w:t>
            </w:r>
          </w:p>
        </w:tc>
        <w:tc>
          <w:tcPr>
            <w:tcW w:w="1134" w:type="dxa"/>
            <w:tcBorders>
              <w:top w:val="nil"/>
              <w:left w:val="nil"/>
              <w:bottom w:val="nil"/>
              <w:right w:val="nil"/>
            </w:tcBorders>
            <w:vAlign w:val="bottom"/>
          </w:tcPr>
          <w:p w14:paraId="6E3FD714" w14:textId="0DF9EBDE" w:rsidR="00566EA9" w:rsidRPr="001D41EA" w:rsidRDefault="00566EA9" w:rsidP="001D41EA">
            <w:pPr>
              <w:spacing w:before="40" w:after="20"/>
              <w:jc w:val="center"/>
              <w:rPr>
                <w:rFonts w:cs="Arial"/>
                <w:sz w:val="18"/>
                <w:szCs w:val="18"/>
              </w:rPr>
            </w:pPr>
            <w:r w:rsidRPr="001D41EA">
              <w:rPr>
                <w:rFonts w:cs="Arial"/>
                <w:sz w:val="18"/>
                <w:szCs w:val="18"/>
              </w:rPr>
              <w:t>0.741</w:t>
            </w:r>
          </w:p>
        </w:tc>
        <w:tc>
          <w:tcPr>
            <w:tcW w:w="1134" w:type="dxa"/>
            <w:tcBorders>
              <w:top w:val="nil"/>
              <w:left w:val="nil"/>
              <w:bottom w:val="nil"/>
              <w:right w:val="nil"/>
            </w:tcBorders>
            <w:vAlign w:val="bottom"/>
          </w:tcPr>
          <w:p w14:paraId="5B79458A" w14:textId="47DA6523" w:rsidR="00566EA9" w:rsidRPr="001D41EA" w:rsidRDefault="00566EA9" w:rsidP="001D41EA">
            <w:pPr>
              <w:spacing w:before="40" w:after="20"/>
              <w:jc w:val="center"/>
              <w:rPr>
                <w:rFonts w:cs="Arial"/>
                <w:sz w:val="18"/>
                <w:szCs w:val="18"/>
              </w:rPr>
            </w:pPr>
            <w:r w:rsidRPr="001D41EA">
              <w:rPr>
                <w:rFonts w:cs="Arial"/>
                <w:sz w:val="18"/>
                <w:szCs w:val="18"/>
              </w:rPr>
              <w:t>0.740</w:t>
            </w:r>
          </w:p>
        </w:tc>
        <w:tc>
          <w:tcPr>
            <w:tcW w:w="1134" w:type="dxa"/>
            <w:tcBorders>
              <w:top w:val="nil"/>
              <w:left w:val="nil"/>
              <w:bottom w:val="nil"/>
              <w:right w:val="nil"/>
            </w:tcBorders>
            <w:vAlign w:val="bottom"/>
          </w:tcPr>
          <w:p w14:paraId="222B0BC9" w14:textId="2066C01D" w:rsidR="00566EA9" w:rsidRPr="001D41EA" w:rsidRDefault="00566EA9" w:rsidP="001D41EA">
            <w:pPr>
              <w:spacing w:before="40" w:after="20"/>
              <w:jc w:val="center"/>
              <w:rPr>
                <w:rFonts w:cs="Arial"/>
                <w:sz w:val="18"/>
                <w:szCs w:val="18"/>
              </w:rPr>
            </w:pPr>
            <w:r w:rsidRPr="001D41EA">
              <w:rPr>
                <w:rFonts w:cs="Arial"/>
                <w:sz w:val="18"/>
                <w:szCs w:val="18"/>
              </w:rPr>
              <w:t>0.731</w:t>
            </w:r>
          </w:p>
        </w:tc>
        <w:tc>
          <w:tcPr>
            <w:tcW w:w="170" w:type="dxa"/>
            <w:tcBorders>
              <w:top w:val="nil"/>
              <w:left w:val="nil"/>
              <w:bottom w:val="nil"/>
              <w:right w:val="nil"/>
            </w:tcBorders>
            <w:vAlign w:val="bottom"/>
          </w:tcPr>
          <w:p w14:paraId="686FD8B0" w14:textId="20E4EE8E"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25D8BA65" w14:textId="09A08525" w:rsidR="00566EA9" w:rsidRPr="001D41EA" w:rsidRDefault="00566EA9" w:rsidP="001D41EA">
            <w:pPr>
              <w:spacing w:before="40" w:after="20"/>
              <w:jc w:val="center"/>
              <w:rPr>
                <w:rFonts w:cs="Arial"/>
                <w:sz w:val="18"/>
                <w:szCs w:val="18"/>
              </w:rPr>
            </w:pPr>
            <w:r w:rsidRPr="001D41EA">
              <w:rPr>
                <w:rFonts w:cs="Arial"/>
                <w:sz w:val="18"/>
                <w:szCs w:val="18"/>
              </w:rPr>
              <w:t>1.214</w:t>
            </w:r>
          </w:p>
        </w:tc>
        <w:tc>
          <w:tcPr>
            <w:tcW w:w="1134" w:type="dxa"/>
            <w:tcBorders>
              <w:top w:val="nil"/>
              <w:left w:val="nil"/>
              <w:bottom w:val="nil"/>
              <w:right w:val="nil"/>
            </w:tcBorders>
            <w:shd w:val="clear" w:color="auto" w:fill="auto"/>
            <w:vAlign w:val="bottom"/>
          </w:tcPr>
          <w:p w14:paraId="06738219" w14:textId="6E20A1D3" w:rsidR="00566EA9" w:rsidRPr="001D41EA" w:rsidRDefault="00566EA9" w:rsidP="001D41EA">
            <w:pPr>
              <w:spacing w:before="40" w:after="20"/>
              <w:jc w:val="center"/>
              <w:rPr>
                <w:rFonts w:cs="Arial"/>
                <w:sz w:val="18"/>
                <w:szCs w:val="18"/>
              </w:rPr>
            </w:pPr>
            <w:r w:rsidRPr="001D41EA">
              <w:rPr>
                <w:rFonts w:cs="Arial"/>
                <w:sz w:val="18"/>
                <w:szCs w:val="18"/>
              </w:rPr>
              <w:t>1.207</w:t>
            </w:r>
          </w:p>
        </w:tc>
      </w:tr>
      <w:tr w:rsidR="00566EA9" w:rsidRPr="001D41EA" w14:paraId="086A3DBD"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49933CE" w14:textId="77777777" w:rsidR="00566EA9" w:rsidRPr="001D41EA" w:rsidRDefault="00566EA9" w:rsidP="001D41EA">
            <w:pPr>
              <w:spacing w:before="40" w:after="20"/>
              <w:rPr>
                <w:rFonts w:cs="Arial"/>
                <w:sz w:val="18"/>
                <w:szCs w:val="18"/>
              </w:rPr>
            </w:pPr>
            <w:r w:rsidRPr="001D41EA">
              <w:rPr>
                <w:rFonts w:cs="Arial"/>
                <w:sz w:val="18"/>
                <w:szCs w:val="18"/>
              </w:rPr>
              <w:t>Queenscliffe B</w:t>
            </w:r>
          </w:p>
        </w:tc>
        <w:tc>
          <w:tcPr>
            <w:tcW w:w="1134" w:type="dxa"/>
            <w:tcBorders>
              <w:top w:val="nil"/>
              <w:left w:val="single" w:sz="18" w:space="0" w:color="5F497A" w:themeColor="accent4" w:themeShade="BF"/>
              <w:bottom w:val="nil"/>
              <w:right w:val="nil"/>
            </w:tcBorders>
            <w:shd w:val="clear" w:color="auto" w:fill="auto"/>
            <w:vAlign w:val="bottom"/>
          </w:tcPr>
          <w:p w14:paraId="74654298" w14:textId="74ECFD22" w:rsidR="00566EA9" w:rsidRPr="001D41EA" w:rsidRDefault="00566EA9" w:rsidP="001D41EA">
            <w:pPr>
              <w:spacing w:before="40" w:after="20"/>
              <w:jc w:val="center"/>
              <w:rPr>
                <w:rFonts w:cs="Arial"/>
                <w:sz w:val="18"/>
                <w:szCs w:val="18"/>
              </w:rPr>
            </w:pPr>
            <w:r w:rsidRPr="001D41EA">
              <w:rPr>
                <w:rFonts w:cs="Arial"/>
                <w:sz w:val="18"/>
                <w:szCs w:val="18"/>
              </w:rPr>
              <w:t>1.229</w:t>
            </w:r>
          </w:p>
        </w:tc>
        <w:tc>
          <w:tcPr>
            <w:tcW w:w="1134" w:type="dxa"/>
            <w:tcBorders>
              <w:top w:val="nil"/>
              <w:left w:val="nil"/>
              <w:bottom w:val="nil"/>
              <w:right w:val="nil"/>
            </w:tcBorders>
            <w:vAlign w:val="bottom"/>
          </w:tcPr>
          <w:p w14:paraId="6BB8BC79" w14:textId="42B7E754" w:rsidR="00566EA9" w:rsidRPr="001D41EA" w:rsidRDefault="00566EA9" w:rsidP="001D41EA">
            <w:pPr>
              <w:spacing w:before="40" w:after="20"/>
              <w:jc w:val="center"/>
              <w:rPr>
                <w:rFonts w:cs="Arial"/>
                <w:sz w:val="18"/>
                <w:szCs w:val="18"/>
              </w:rPr>
            </w:pPr>
            <w:r w:rsidRPr="001D41EA">
              <w:rPr>
                <w:rFonts w:cs="Arial"/>
                <w:sz w:val="18"/>
                <w:szCs w:val="18"/>
              </w:rPr>
              <w:t>1.232</w:t>
            </w:r>
          </w:p>
        </w:tc>
        <w:tc>
          <w:tcPr>
            <w:tcW w:w="1134" w:type="dxa"/>
            <w:tcBorders>
              <w:top w:val="nil"/>
              <w:left w:val="nil"/>
              <w:bottom w:val="nil"/>
              <w:right w:val="nil"/>
            </w:tcBorders>
            <w:vAlign w:val="bottom"/>
          </w:tcPr>
          <w:p w14:paraId="4A49A3D0" w14:textId="24326399" w:rsidR="00566EA9" w:rsidRPr="001D41EA" w:rsidRDefault="00566EA9" w:rsidP="001D41EA">
            <w:pPr>
              <w:spacing w:before="40" w:after="20"/>
              <w:jc w:val="center"/>
              <w:rPr>
                <w:rFonts w:cs="Arial"/>
                <w:sz w:val="18"/>
                <w:szCs w:val="18"/>
              </w:rPr>
            </w:pPr>
            <w:r w:rsidRPr="001D41EA">
              <w:rPr>
                <w:rFonts w:cs="Arial"/>
                <w:sz w:val="18"/>
                <w:szCs w:val="18"/>
              </w:rPr>
              <w:t>1.230</w:t>
            </w:r>
          </w:p>
        </w:tc>
        <w:tc>
          <w:tcPr>
            <w:tcW w:w="1134" w:type="dxa"/>
            <w:tcBorders>
              <w:top w:val="nil"/>
              <w:left w:val="nil"/>
              <w:bottom w:val="nil"/>
              <w:right w:val="nil"/>
            </w:tcBorders>
            <w:vAlign w:val="bottom"/>
          </w:tcPr>
          <w:p w14:paraId="29236685" w14:textId="3C23B581" w:rsidR="00566EA9" w:rsidRPr="001D41EA" w:rsidRDefault="00566EA9" w:rsidP="001D41EA">
            <w:pPr>
              <w:spacing w:before="40" w:after="20"/>
              <w:jc w:val="center"/>
              <w:rPr>
                <w:rFonts w:cs="Arial"/>
                <w:sz w:val="18"/>
                <w:szCs w:val="18"/>
              </w:rPr>
            </w:pPr>
            <w:r w:rsidRPr="001D41EA">
              <w:rPr>
                <w:rFonts w:cs="Arial"/>
                <w:sz w:val="18"/>
                <w:szCs w:val="18"/>
              </w:rPr>
              <w:t>1.214</w:t>
            </w:r>
          </w:p>
        </w:tc>
        <w:tc>
          <w:tcPr>
            <w:tcW w:w="170" w:type="dxa"/>
            <w:tcBorders>
              <w:top w:val="nil"/>
              <w:left w:val="nil"/>
              <w:bottom w:val="nil"/>
              <w:right w:val="nil"/>
            </w:tcBorders>
            <w:vAlign w:val="bottom"/>
          </w:tcPr>
          <w:p w14:paraId="4E20B9D5" w14:textId="40F6F64C"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5885FF16" w14:textId="5D5392AE" w:rsidR="00566EA9" w:rsidRPr="001D41EA" w:rsidRDefault="00566EA9" w:rsidP="001D41EA">
            <w:pPr>
              <w:spacing w:before="40" w:after="20"/>
              <w:jc w:val="center"/>
              <w:rPr>
                <w:rFonts w:cs="Arial"/>
                <w:sz w:val="18"/>
                <w:szCs w:val="18"/>
              </w:rPr>
            </w:pPr>
            <w:r w:rsidRPr="001D41EA">
              <w:rPr>
                <w:rFonts w:cs="Arial"/>
                <w:sz w:val="18"/>
                <w:szCs w:val="18"/>
              </w:rPr>
              <w:t>0.996</w:t>
            </w:r>
          </w:p>
        </w:tc>
        <w:tc>
          <w:tcPr>
            <w:tcW w:w="1134" w:type="dxa"/>
            <w:tcBorders>
              <w:top w:val="nil"/>
              <w:left w:val="nil"/>
              <w:bottom w:val="nil"/>
              <w:right w:val="nil"/>
            </w:tcBorders>
            <w:shd w:val="clear" w:color="auto" w:fill="auto"/>
            <w:vAlign w:val="bottom"/>
          </w:tcPr>
          <w:p w14:paraId="2797DF9C" w14:textId="6A2F0B94" w:rsidR="00566EA9" w:rsidRPr="001D41EA" w:rsidRDefault="00566EA9" w:rsidP="001D41EA">
            <w:pPr>
              <w:spacing w:before="40" w:after="20"/>
              <w:jc w:val="center"/>
              <w:rPr>
                <w:rFonts w:cs="Arial"/>
                <w:sz w:val="18"/>
                <w:szCs w:val="18"/>
              </w:rPr>
            </w:pPr>
            <w:r w:rsidRPr="001D41EA">
              <w:rPr>
                <w:rFonts w:cs="Arial"/>
                <w:sz w:val="18"/>
                <w:szCs w:val="18"/>
              </w:rPr>
              <w:t>0.991</w:t>
            </w:r>
          </w:p>
        </w:tc>
      </w:tr>
      <w:tr w:rsidR="00566EA9" w:rsidRPr="001D41EA" w14:paraId="6563AD3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ECF3BDF" w14:textId="77777777" w:rsidR="00566EA9" w:rsidRPr="001D41EA" w:rsidRDefault="00566EA9" w:rsidP="001D41EA">
            <w:pPr>
              <w:spacing w:before="40" w:after="20"/>
              <w:rPr>
                <w:rFonts w:cs="Arial"/>
                <w:sz w:val="18"/>
                <w:szCs w:val="18"/>
              </w:rPr>
            </w:pPr>
            <w:r w:rsidRPr="001D41EA">
              <w:rPr>
                <w:rFonts w:cs="Arial"/>
                <w:sz w:val="18"/>
                <w:szCs w:val="18"/>
              </w:rPr>
              <w:t>South Gippsland S</w:t>
            </w:r>
          </w:p>
        </w:tc>
        <w:tc>
          <w:tcPr>
            <w:tcW w:w="1134" w:type="dxa"/>
            <w:tcBorders>
              <w:top w:val="nil"/>
              <w:left w:val="single" w:sz="18" w:space="0" w:color="5F497A" w:themeColor="accent4" w:themeShade="BF"/>
              <w:bottom w:val="nil"/>
              <w:right w:val="nil"/>
            </w:tcBorders>
            <w:shd w:val="clear" w:color="auto" w:fill="auto"/>
            <w:vAlign w:val="bottom"/>
          </w:tcPr>
          <w:p w14:paraId="1F38CD67" w14:textId="29DC1BF6" w:rsidR="00566EA9" w:rsidRPr="001D41EA" w:rsidRDefault="00566EA9" w:rsidP="001D41EA">
            <w:pPr>
              <w:spacing w:before="40" w:after="20"/>
              <w:jc w:val="center"/>
              <w:rPr>
                <w:rFonts w:cs="Arial"/>
                <w:sz w:val="18"/>
                <w:szCs w:val="18"/>
              </w:rPr>
            </w:pPr>
            <w:r w:rsidRPr="001D41EA">
              <w:rPr>
                <w:rFonts w:cs="Arial"/>
                <w:sz w:val="18"/>
                <w:szCs w:val="18"/>
              </w:rPr>
              <w:t>0.868</w:t>
            </w:r>
          </w:p>
        </w:tc>
        <w:tc>
          <w:tcPr>
            <w:tcW w:w="1134" w:type="dxa"/>
            <w:tcBorders>
              <w:top w:val="nil"/>
              <w:left w:val="nil"/>
              <w:bottom w:val="nil"/>
              <w:right w:val="nil"/>
            </w:tcBorders>
            <w:vAlign w:val="bottom"/>
          </w:tcPr>
          <w:p w14:paraId="612CB7C4" w14:textId="7C29751F" w:rsidR="00566EA9" w:rsidRPr="001D41EA" w:rsidRDefault="00566EA9" w:rsidP="001D41EA">
            <w:pPr>
              <w:spacing w:before="40" w:after="20"/>
              <w:jc w:val="center"/>
              <w:rPr>
                <w:rFonts w:cs="Arial"/>
                <w:sz w:val="18"/>
                <w:szCs w:val="18"/>
              </w:rPr>
            </w:pPr>
            <w:r w:rsidRPr="001D41EA">
              <w:rPr>
                <w:rFonts w:cs="Arial"/>
                <w:sz w:val="18"/>
                <w:szCs w:val="18"/>
              </w:rPr>
              <w:t>0.870</w:t>
            </w:r>
          </w:p>
        </w:tc>
        <w:tc>
          <w:tcPr>
            <w:tcW w:w="1134" w:type="dxa"/>
            <w:tcBorders>
              <w:top w:val="nil"/>
              <w:left w:val="nil"/>
              <w:bottom w:val="nil"/>
              <w:right w:val="nil"/>
            </w:tcBorders>
            <w:vAlign w:val="bottom"/>
          </w:tcPr>
          <w:p w14:paraId="504255A0" w14:textId="5D7F0E69" w:rsidR="00566EA9" w:rsidRPr="001D41EA" w:rsidRDefault="00566EA9" w:rsidP="001D41EA">
            <w:pPr>
              <w:spacing w:before="40" w:after="20"/>
              <w:jc w:val="center"/>
              <w:rPr>
                <w:rFonts w:cs="Arial"/>
                <w:sz w:val="18"/>
                <w:szCs w:val="18"/>
              </w:rPr>
            </w:pPr>
            <w:r w:rsidRPr="001D41EA">
              <w:rPr>
                <w:rFonts w:cs="Arial"/>
                <w:sz w:val="18"/>
                <w:szCs w:val="18"/>
              </w:rPr>
              <w:t>0.868</w:t>
            </w:r>
          </w:p>
        </w:tc>
        <w:tc>
          <w:tcPr>
            <w:tcW w:w="1134" w:type="dxa"/>
            <w:tcBorders>
              <w:top w:val="nil"/>
              <w:left w:val="nil"/>
              <w:bottom w:val="nil"/>
              <w:right w:val="nil"/>
            </w:tcBorders>
            <w:vAlign w:val="bottom"/>
          </w:tcPr>
          <w:p w14:paraId="0B92C1C2" w14:textId="6E58BE90" w:rsidR="00566EA9" w:rsidRPr="001D41EA" w:rsidRDefault="00566EA9" w:rsidP="001D41EA">
            <w:pPr>
              <w:spacing w:before="40" w:after="20"/>
              <w:jc w:val="center"/>
              <w:rPr>
                <w:rFonts w:cs="Arial"/>
                <w:sz w:val="18"/>
                <w:szCs w:val="18"/>
              </w:rPr>
            </w:pPr>
            <w:r w:rsidRPr="001D41EA">
              <w:rPr>
                <w:rFonts w:cs="Arial"/>
                <w:sz w:val="18"/>
                <w:szCs w:val="18"/>
              </w:rPr>
              <w:t>0.858</w:t>
            </w:r>
          </w:p>
        </w:tc>
        <w:tc>
          <w:tcPr>
            <w:tcW w:w="170" w:type="dxa"/>
            <w:tcBorders>
              <w:top w:val="nil"/>
              <w:left w:val="nil"/>
              <w:bottom w:val="nil"/>
              <w:right w:val="nil"/>
            </w:tcBorders>
            <w:vAlign w:val="bottom"/>
          </w:tcPr>
          <w:p w14:paraId="181FE401" w14:textId="5D939425"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1A7ABA81" w14:textId="01A736C6" w:rsidR="00566EA9" w:rsidRPr="001D41EA" w:rsidRDefault="00566EA9" w:rsidP="001D41EA">
            <w:pPr>
              <w:spacing w:before="40" w:after="20"/>
              <w:jc w:val="center"/>
              <w:rPr>
                <w:rFonts w:cs="Arial"/>
                <w:sz w:val="18"/>
                <w:szCs w:val="18"/>
              </w:rPr>
            </w:pPr>
            <w:r w:rsidRPr="001D41EA">
              <w:rPr>
                <w:rFonts w:cs="Arial"/>
                <w:sz w:val="18"/>
                <w:szCs w:val="18"/>
              </w:rPr>
              <w:t>1.276</w:t>
            </w:r>
          </w:p>
        </w:tc>
        <w:tc>
          <w:tcPr>
            <w:tcW w:w="1134" w:type="dxa"/>
            <w:tcBorders>
              <w:top w:val="nil"/>
              <w:left w:val="nil"/>
              <w:bottom w:val="nil"/>
              <w:right w:val="nil"/>
            </w:tcBorders>
            <w:shd w:val="clear" w:color="auto" w:fill="auto"/>
            <w:vAlign w:val="bottom"/>
          </w:tcPr>
          <w:p w14:paraId="7151ACEB" w14:textId="06ECE98E" w:rsidR="00566EA9" w:rsidRPr="001D41EA" w:rsidRDefault="00566EA9" w:rsidP="001D41EA">
            <w:pPr>
              <w:spacing w:before="40" w:after="20"/>
              <w:jc w:val="center"/>
              <w:rPr>
                <w:rFonts w:cs="Arial"/>
                <w:sz w:val="18"/>
                <w:szCs w:val="18"/>
              </w:rPr>
            </w:pPr>
            <w:r w:rsidRPr="001D41EA">
              <w:rPr>
                <w:rFonts w:cs="Arial"/>
                <w:sz w:val="18"/>
                <w:szCs w:val="18"/>
              </w:rPr>
              <w:t>1.269</w:t>
            </w:r>
          </w:p>
        </w:tc>
      </w:tr>
      <w:tr w:rsidR="00566EA9" w:rsidRPr="001D41EA" w14:paraId="0BA4C8E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BF88B38" w14:textId="77777777" w:rsidR="00566EA9" w:rsidRPr="001D41EA" w:rsidRDefault="00566EA9" w:rsidP="001D41EA">
            <w:pPr>
              <w:spacing w:before="40" w:after="20"/>
              <w:rPr>
                <w:rFonts w:cs="Arial"/>
                <w:sz w:val="18"/>
                <w:szCs w:val="18"/>
              </w:rPr>
            </w:pPr>
            <w:r w:rsidRPr="001D41EA">
              <w:rPr>
                <w:rFonts w:cs="Arial"/>
                <w:sz w:val="18"/>
                <w:szCs w:val="18"/>
              </w:rPr>
              <w:t>Southern Grampians S</w:t>
            </w:r>
          </w:p>
        </w:tc>
        <w:tc>
          <w:tcPr>
            <w:tcW w:w="1134" w:type="dxa"/>
            <w:tcBorders>
              <w:top w:val="nil"/>
              <w:left w:val="single" w:sz="18" w:space="0" w:color="5F497A" w:themeColor="accent4" w:themeShade="BF"/>
              <w:bottom w:val="nil"/>
              <w:right w:val="nil"/>
            </w:tcBorders>
            <w:shd w:val="clear" w:color="auto" w:fill="auto"/>
            <w:vAlign w:val="bottom"/>
          </w:tcPr>
          <w:p w14:paraId="4901A954" w14:textId="49C892BA" w:rsidR="00566EA9" w:rsidRPr="001D41EA" w:rsidRDefault="00566EA9" w:rsidP="001D41EA">
            <w:pPr>
              <w:spacing w:before="40" w:after="20"/>
              <w:jc w:val="center"/>
              <w:rPr>
                <w:rFonts w:cs="Arial"/>
                <w:sz w:val="18"/>
                <w:szCs w:val="18"/>
              </w:rPr>
            </w:pPr>
            <w:r w:rsidRPr="001D41EA">
              <w:rPr>
                <w:rFonts w:cs="Arial"/>
                <w:sz w:val="18"/>
                <w:szCs w:val="18"/>
              </w:rPr>
              <w:t>1.053</w:t>
            </w:r>
          </w:p>
        </w:tc>
        <w:tc>
          <w:tcPr>
            <w:tcW w:w="1134" w:type="dxa"/>
            <w:tcBorders>
              <w:top w:val="nil"/>
              <w:left w:val="nil"/>
              <w:bottom w:val="nil"/>
              <w:right w:val="nil"/>
            </w:tcBorders>
            <w:vAlign w:val="bottom"/>
          </w:tcPr>
          <w:p w14:paraId="5FC9C804" w14:textId="2EB1BA02" w:rsidR="00566EA9" w:rsidRPr="001D41EA" w:rsidRDefault="00566EA9" w:rsidP="001D41EA">
            <w:pPr>
              <w:spacing w:before="40" w:after="20"/>
              <w:jc w:val="center"/>
              <w:rPr>
                <w:rFonts w:cs="Arial"/>
                <w:sz w:val="18"/>
                <w:szCs w:val="18"/>
              </w:rPr>
            </w:pPr>
            <w:r w:rsidRPr="001D41EA">
              <w:rPr>
                <w:rFonts w:cs="Arial"/>
                <w:sz w:val="18"/>
                <w:szCs w:val="18"/>
              </w:rPr>
              <w:t>1.055</w:t>
            </w:r>
          </w:p>
        </w:tc>
        <w:tc>
          <w:tcPr>
            <w:tcW w:w="1134" w:type="dxa"/>
            <w:tcBorders>
              <w:top w:val="nil"/>
              <w:left w:val="nil"/>
              <w:bottom w:val="nil"/>
              <w:right w:val="nil"/>
            </w:tcBorders>
            <w:vAlign w:val="bottom"/>
          </w:tcPr>
          <w:p w14:paraId="572D343A" w14:textId="7339A502" w:rsidR="00566EA9" w:rsidRPr="001D41EA" w:rsidRDefault="00566EA9" w:rsidP="001D41EA">
            <w:pPr>
              <w:spacing w:before="40" w:after="20"/>
              <w:jc w:val="center"/>
              <w:rPr>
                <w:rFonts w:cs="Arial"/>
                <w:sz w:val="18"/>
                <w:szCs w:val="18"/>
              </w:rPr>
            </w:pPr>
            <w:r w:rsidRPr="001D41EA">
              <w:rPr>
                <w:rFonts w:cs="Arial"/>
                <w:sz w:val="18"/>
                <w:szCs w:val="18"/>
              </w:rPr>
              <w:t>1.054</w:t>
            </w:r>
          </w:p>
        </w:tc>
        <w:tc>
          <w:tcPr>
            <w:tcW w:w="1134" w:type="dxa"/>
            <w:tcBorders>
              <w:top w:val="nil"/>
              <w:left w:val="nil"/>
              <w:bottom w:val="nil"/>
              <w:right w:val="nil"/>
            </w:tcBorders>
            <w:vAlign w:val="bottom"/>
          </w:tcPr>
          <w:p w14:paraId="5B0B2CC0" w14:textId="057C261B" w:rsidR="00566EA9" w:rsidRPr="001D41EA" w:rsidRDefault="00566EA9" w:rsidP="001D41EA">
            <w:pPr>
              <w:spacing w:before="40" w:after="20"/>
              <w:jc w:val="center"/>
              <w:rPr>
                <w:rFonts w:cs="Arial"/>
                <w:sz w:val="18"/>
                <w:szCs w:val="18"/>
              </w:rPr>
            </w:pPr>
            <w:r w:rsidRPr="001D41EA">
              <w:rPr>
                <w:rFonts w:cs="Arial"/>
                <w:sz w:val="18"/>
                <w:szCs w:val="18"/>
              </w:rPr>
              <w:t>1.041</w:t>
            </w:r>
          </w:p>
        </w:tc>
        <w:tc>
          <w:tcPr>
            <w:tcW w:w="170" w:type="dxa"/>
            <w:tcBorders>
              <w:top w:val="nil"/>
              <w:left w:val="nil"/>
              <w:bottom w:val="nil"/>
              <w:right w:val="nil"/>
            </w:tcBorders>
            <w:vAlign w:val="bottom"/>
          </w:tcPr>
          <w:p w14:paraId="56C09FC9" w14:textId="06CE8E56"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36BEBA49" w14:textId="3D373962" w:rsidR="00566EA9" w:rsidRPr="001D41EA" w:rsidRDefault="00566EA9" w:rsidP="001D41EA">
            <w:pPr>
              <w:spacing w:before="40" w:after="20"/>
              <w:jc w:val="center"/>
              <w:rPr>
                <w:rFonts w:cs="Arial"/>
                <w:sz w:val="18"/>
                <w:szCs w:val="18"/>
              </w:rPr>
            </w:pPr>
            <w:r w:rsidRPr="001D41EA">
              <w:rPr>
                <w:rFonts w:cs="Arial"/>
                <w:sz w:val="18"/>
                <w:szCs w:val="18"/>
              </w:rPr>
              <w:t>1.474</w:t>
            </w:r>
          </w:p>
        </w:tc>
        <w:tc>
          <w:tcPr>
            <w:tcW w:w="1134" w:type="dxa"/>
            <w:tcBorders>
              <w:top w:val="nil"/>
              <w:left w:val="nil"/>
              <w:bottom w:val="nil"/>
              <w:right w:val="nil"/>
            </w:tcBorders>
            <w:shd w:val="clear" w:color="auto" w:fill="auto"/>
            <w:vAlign w:val="bottom"/>
          </w:tcPr>
          <w:p w14:paraId="4DFD5B4F" w14:textId="0AA12AAA" w:rsidR="00566EA9" w:rsidRPr="001D41EA" w:rsidRDefault="00566EA9" w:rsidP="001D41EA">
            <w:pPr>
              <w:spacing w:before="40" w:after="20"/>
              <w:jc w:val="center"/>
              <w:rPr>
                <w:rFonts w:cs="Arial"/>
                <w:sz w:val="18"/>
                <w:szCs w:val="18"/>
              </w:rPr>
            </w:pPr>
            <w:r w:rsidRPr="001D41EA">
              <w:rPr>
                <w:rFonts w:cs="Arial"/>
                <w:sz w:val="18"/>
                <w:szCs w:val="18"/>
              </w:rPr>
              <w:t>1.466</w:t>
            </w:r>
          </w:p>
        </w:tc>
      </w:tr>
      <w:tr w:rsidR="00566EA9" w:rsidRPr="001D41EA" w14:paraId="7499DEF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BBC32A3" w14:textId="77777777" w:rsidR="00566EA9" w:rsidRPr="001D41EA" w:rsidRDefault="00566EA9" w:rsidP="001D41EA">
            <w:pPr>
              <w:spacing w:before="40" w:after="20"/>
              <w:rPr>
                <w:rFonts w:cs="Arial"/>
                <w:sz w:val="18"/>
                <w:szCs w:val="18"/>
              </w:rPr>
            </w:pPr>
            <w:r w:rsidRPr="001D41EA">
              <w:rPr>
                <w:rFonts w:cs="Arial"/>
                <w:sz w:val="18"/>
                <w:szCs w:val="18"/>
              </w:rPr>
              <w:t>Stonnington C</w:t>
            </w:r>
          </w:p>
        </w:tc>
        <w:tc>
          <w:tcPr>
            <w:tcW w:w="1134" w:type="dxa"/>
            <w:tcBorders>
              <w:top w:val="nil"/>
              <w:left w:val="single" w:sz="18" w:space="0" w:color="5F497A" w:themeColor="accent4" w:themeShade="BF"/>
              <w:bottom w:val="nil"/>
              <w:right w:val="nil"/>
            </w:tcBorders>
            <w:shd w:val="clear" w:color="auto" w:fill="auto"/>
            <w:vAlign w:val="bottom"/>
          </w:tcPr>
          <w:p w14:paraId="0DEF8690" w14:textId="63EE68DD" w:rsidR="00566EA9" w:rsidRPr="001D41EA" w:rsidRDefault="00566EA9" w:rsidP="001D41EA">
            <w:pPr>
              <w:spacing w:before="40" w:after="20"/>
              <w:jc w:val="center"/>
              <w:rPr>
                <w:rFonts w:cs="Arial"/>
                <w:sz w:val="18"/>
                <w:szCs w:val="18"/>
              </w:rPr>
            </w:pPr>
            <w:r w:rsidRPr="001D41EA">
              <w:rPr>
                <w:rFonts w:cs="Arial"/>
                <w:sz w:val="18"/>
                <w:szCs w:val="18"/>
              </w:rPr>
              <w:t>1.218</w:t>
            </w:r>
          </w:p>
        </w:tc>
        <w:tc>
          <w:tcPr>
            <w:tcW w:w="1134" w:type="dxa"/>
            <w:tcBorders>
              <w:top w:val="nil"/>
              <w:left w:val="nil"/>
              <w:bottom w:val="nil"/>
              <w:right w:val="nil"/>
            </w:tcBorders>
            <w:vAlign w:val="bottom"/>
          </w:tcPr>
          <w:p w14:paraId="3909F2A4" w14:textId="4C39CD76" w:rsidR="00566EA9" w:rsidRPr="001D41EA" w:rsidRDefault="00566EA9" w:rsidP="001D41EA">
            <w:pPr>
              <w:spacing w:before="40" w:after="20"/>
              <w:jc w:val="center"/>
              <w:rPr>
                <w:rFonts w:cs="Arial"/>
                <w:sz w:val="18"/>
                <w:szCs w:val="18"/>
              </w:rPr>
            </w:pPr>
            <w:r w:rsidRPr="001D41EA">
              <w:rPr>
                <w:rFonts w:cs="Arial"/>
                <w:sz w:val="18"/>
                <w:szCs w:val="18"/>
              </w:rPr>
              <w:t>1.221</w:t>
            </w:r>
          </w:p>
        </w:tc>
        <w:tc>
          <w:tcPr>
            <w:tcW w:w="1134" w:type="dxa"/>
            <w:tcBorders>
              <w:top w:val="nil"/>
              <w:left w:val="nil"/>
              <w:bottom w:val="nil"/>
              <w:right w:val="nil"/>
            </w:tcBorders>
            <w:vAlign w:val="bottom"/>
          </w:tcPr>
          <w:p w14:paraId="465A4489" w14:textId="608C0646" w:rsidR="00566EA9" w:rsidRPr="001D41EA" w:rsidRDefault="00566EA9" w:rsidP="001D41EA">
            <w:pPr>
              <w:spacing w:before="40" w:after="20"/>
              <w:jc w:val="center"/>
              <w:rPr>
                <w:rFonts w:cs="Arial"/>
                <w:sz w:val="18"/>
                <w:szCs w:val="18"/>
              </w:rPr>
            </w:pPr>
            <w:r w:rsidRPr="001D41EA">
              <w:rPr>
                <w:rFonts w:cs="Arial"/>
                <w:sz w:val="18"/>
                <w:szCs w:val="18"/>
              </w:rPr>
              <w:t>1.219</w:t>
            </w:r>
          </w:p>
        </w:tc>
        <w:tc>
          <w:tcPr>
            <w:tcW w:w="1134" w:type="dxa"/>
            <w:tcBorders>
              <w:top w:val="nil"/>
              <w:left w:val="nil"/>
              <w:bottom w:val="nil"/>
              <w:right w:val="nil"/>
            </w:tcBorders>
            <w:vAlign w:val="bottom"/>
          </w:tcPr>
          <w:p w14:paraId="4DAE5D7C" w14:textId="76D9A689" w:rsidR="00566EA9" w:rsidRPr="001D41EA" w:rsidRDefault="00566EA9" w:rsidP="001D41EA">
            <w:pPr>
              <w:spacing w:before="40" w:after="20"/>
              <w:jc w:val="center"/>
              <w:rPr>
                <w:rFonts w:cs="Arial"/>
                <w:sz w:val="18"/>
                <w:szCs w:val="18"/>
              </w:rPr>
            </w:pPr>
            <w:r w:rsidRPr="001D41EA">
              <w:rPr>
                <w:rFonts w:cs="Arial"/>
                <w:sz w:val="18"/>
                <w:szCs w:val="18"/>
              </w:rPr>
              <w:t>1.204</w:t>
            </w:r>
          </w:p>
        </w:tc>
        <w:tc>
          <w:tcPr>
            <w:tcW w:w="170" w:type="dxa"/>
            <w:tcBorders>
              <w:top w:val="nil"/>
              <w:left w:val="nil"/>
              <w:bottom w:val="nil"/>
              <w:right w:val="nil"/>
            </w:tcBorders>
            <w:vAlign w:val="bottom"/>
          </w:tcPr>
          <w:p w14:paraId="35454B12" w14:textId="16D6C052"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3E5DB008" w14:textId="479CC8A7" w:rsidR="00566EA9" w:rsidRPr="001D41EA" w:rsidRDefault="00566EA9" w:rsidP="001D41EA">
            <w:pPr>
              <w:spacing w:before="40" w:after="2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2B36E91E" w14:textId="64CA97B7" w:rsidR="00566EA9" w:rsidRPr="001D41EA" w:rsidRDefault="00566EA9" w:rsidP="001D41EA">
            <w:pPr>
              <w:spacing w:before="40" w:after="20"/>
              <w:jc w:val="center"/>
              <w:rPr>
                <w:rFonts w:cs="Arial"/>
                <w:sz w:val="18"/>
                <w:szCs w:val="18"/>
              </w:rPr>
            </w:pPr>
            <w:r w:rsidRPr="001D41EA">
              <w:rPr>
                <w:rFonts w:cs="Arial"/>
                <w:sz w:val="18"/>
                <w:szCs w:val="18"/>
              </w:rPr>
              <w:t>0.908</w:t>
            </w:r>
          </w:p>
        </w:tc>
      </w:tr>
      <w:tr w:rsidR="00566EA9" w:rsidRPr="001D41EA" w14:paraId="289FA18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E0AA27C" w14:textId="77777777" w:rsidR="00566EA9" w:rsidRPr="001D41EA" w:rsidRDefault="00566EA9" w:rsidP="001D41EA">
            <w:pPr>
              <w:spacing w:before="40" w:after="20"/>
              <w:rPr>
                <w:rFonts w:cs="Arial"/>
                <w:sz w:val="18"/>
                <w:szCs w:val="18"/>
              </w:rPr>
            </w:pPr>
            <w:r w:rsidRPr="001D41EA">
              <w:rPr>
                <w:rFonts w:cs="Arial"/>
                <w:sz w:val="18"/>
                <w:szCs w:val="18"/>
              </w:rPr>
              <w:t>Strathbogie S</w:t>
            </w:r>
          </w:p>
        </w:tc>
        <w:tc>
          <w:tcPr>
            <w:tcW w:w="1134" w:type="dxa"/>
            <w:tcBorders>
              <w:top w:val="nil"/>
              <w:left w:val="single" w:sz="18" w:space="0" w:color="5F497A" w:themeColor="accent4" w:themeShade="BF"/>
              <w:bottom w:val="nil"/>
              <w:right w:val="nil"/>
            </w:tcBorders>
            <w:shd w:val="clear" w:color="auto" w:fill="auto"/>
            <w:vAlign w:val="bottom"/>
          </w:tcPr>
          <w:p w14:paraId="09084E49" w14:textId="4B2B3AA5" w:rsidR="00566EA9" w:rsidRPr="001D41EA" w:rsidRDefault="00566EA9" w:rsidP="001D41EA">
            <w:pPr>
              <w:spacing w:before="40" w:after="20"/>
              <w:jc w:val="center"/>
              <w:rPr>
                <w:rFonts w:cs="Arial"/>
                <w:sz w:val="18"/>
                <w:szCs w:val="18"/>
              </w:rPr>
            </w:pPr>
            <w:r w:rsidRPr="001D41EA">
              <w:rPr>
                <w:rFonts w:cs="Arial"/>
                <w:sz w:val="18"/>
                <w:szCs w:val="18"/>
              </w:rPr>
              <w:t>0.818</w:t>
            </w:r>
          </w:p>
        </w:tc>
        <w:tc>
          <w:tcPr>
            <w:tcW w:w="1134" w:type="dxa"/>
            <w:tcBorders>
              <w:top w:val="nil"/>
              <w:left w:val="nil"/>
              <w:bottom w:val="nil"/>
              <w:right w:val="nil"/>
            </w:tcBorders>
            <w:vAlign w:val="bottom"/>
          </w:tcPr>
          <w:p w14:paraId="1EAFF4D4" w14:textId="5475ACBF" w:rsidR="00566EA9" w:rsidRPr="001D41EA" w:rsidRDefault="00566EA9" w:rsidP="001D41EA">
            <w:pPr>
              <w:spacing w:before="40" w:after="20"/>
              <w:jc w:val="center"/>
              <w:rPr>
                <w:rFonts w:cs="Arial"/>
                <w:sz w:val="18"/>
                <w:szCs w:val="18"/>
              </w:rPr>
            </w:pPr>
            <w:r w:rsidRPr="001D41EA">
              <w:rPr>
                <w:rFonts w:cs="Arial"/>
                <w:sz w:val="18"/>
                <w:szCs w:val="18"/>
              </w:rPr>
              <w:t>0.820</w:t>
            </w:r>
          </w:p>
        </w:tc>
        <w:tc>
          <w:tcPr>
            <w:tcW w:w="1134" w:type="dxa"/>
            <w:tcBorders>
              <w:top w:val="nil"/>
              <w:left w:val="nil"/>
              <w:bottom w:val="nil"/>
              <w:right w:val="nil"/>
            </w:tcBorders>
            <w:vAlign w:val="bottom"/>
          </w:tcPr>
          <w:p w14:paraId="078455EF" w14:textId="41710F4D" w:rsidR="00566EA9" w:rsidRPr="001D41EA" w:rsidRDefault="00566EA9" w:rsidP="001D41EA">
            <w:pPr>
              <w:spacing w:before="40" w:after="20"/>
              <w:jc w:val="center"/>
              <w:rPr>
                <w:rFonts w:cs="Arial"/>
                <w:sz w:val="18"/>
                <w:szCs w:val="18"/>
              </w:rPr>
            </w:pPr>
            <w:r w:rsidRPr="001D41EA">
              <w:rPr>
                <w:rFonts w:cs="Arial"/>
                <w:sz w:val="18"/>
                <w:szCs w:val="18"/>
              </w:rPr>
              <w:t>0.819</w:t>
            </w:r>
          </w:p>
        </w:tc>
        <w:tc>
          <w:tcPr>
            <w:tcW w:w="1134" w:type="dxa"/>
            <w:tcBorders>
              <w:top w:val="nil"/>
              <w:left w:val="nil"/>
              <w:bottom w:val="nil"/>
              <w:right w:val="nil"/>
            </w:tcBorders>
            <w:vAlign w:val="bottom"/>
          </w:tcPr>
          <w:p w14:paraId="5F50263B" w14:textId="2964D6BD" w:rsidR="00566EA9" w:rsidRPr="001D41EA" w:rsidRDefault="00566EA9" w:rsidP="001D41EA">
            <w:pPr>
              <w:spacing w:before="40" w:after="20"/>
              <w:jc w:val="center"/>
              <w:rPr>
                <w:rFonts w:cs="Arial"/>
                <w:sz w:val="18"/>
                <w:szCs w:val="18"/>
              </w:rPr>
            </w:pPr>
            <w:r w:rsidRPr="001D41EA">
              <w:rPr>
                <w:rFonts w:cs="Arial"/>
                <w:sz w:val="18"/>
                <w:szCs w:val="18"/>
              </w:rPr>
              <w:t>0.808</w:t>
            </w:r>
          </w:p>
        </w:tc>
        <w:tc>
          <w:tcPr>
            <w:tcW w:w="170" w:type="dxa"/>
            <w:tcBorders>
              <w:top w:val="nil"/>
              <w:left w:val="nil"/>
              <w:bottom w:val="nil"/>
              <w:right w:val="nil"/>
            </w:tcBorders>
            <w:vAlign w:val="bottom"/>
          </w:tcPr>
          <w:p w14:paraId="20D78EA3" w14:textId="1C8EDB5E"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0887B798" w14:textId="2F825C4C" w:rsidR="00566EA9" w:rsidRPr="001D41EA" w:rsidRDefault="00566EA9" w:rsidP="001D41EA">
            <w:pPr>
              <w:spacing w:before="40" w:after="20"/>
              <w:jc w:val="center"/>
              <w:rPr>
                <w:rFonts w:cs="Arial"/>
                <w:sz w:val="18"/>
                <w:szCs w:val="18"/>
              </w:rPr>
            </w:pPr>
            <w:r w:rsidRPr="001D41EA">
              <w:rPr>
                <w:rFonts w:cs="Arial"/>
                <w:sz w:val="18"/>
                <w:szCs w:val="18"/>
              </w:rPr>
              <w:t>1.213</w:t>
            </w:r>
          </w:p>
        </w:tc>
        <w:tc>
          <w:tcPr>
            <w:tcW w:w="1134" w:type="dxa"/>
            <w:tcBorders>
              <w:top w:val="nil"/>
              <w:left w:val="nil"/>
              <w:bottom w:val="nil"/>
              <w:right w:val="nil"/>
            </w:tcBorders>
            <w:shd w:val="clear" w:color="auto" w:fill="auto"/>
            <w:vAlign w:val="bottom"/>
          </w:tcPr>
          <w:p w14:paraId="599AF46B" w14:textId="371B9D76" w:rsidR="00566EA9" w:rsidRPr="001D41EA" w:rsidRDefault="00566EA9" w:rsidP="001D41EA">
            <w:pPr>
              <w:spacing w:before="40" w:after="20"/>
              <w:jc w:val="center"/>
              <w:rPr>
                <w:rFonts w:cs="Arial"/>
                <w:sz w:val="18"/>
                <w:szCs w:val="18"/>
              </w:rPr>
            </w:pPr>
            <w:r w:rsidRPr="001D41EA">
              <w:rPr>
                <w:rFonts w:cs="Arial"/>
                <w:sz w:val="18"/>
                <w:szCs w:val="18"/>
              </w:rPr>
              <w:t>1.206</w:t>
            </w:r>
          </w:p>
        </w:tc>
      </w:tr>
      <w:tr w:rsidR="00566EA9" w:rsidRPr="001D41EA" w14:paraId="0A3CF4E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F04D77E" w14:textId="77777777" w:rsidR="00566EA9" w:rsidRPr="001D41EA" w:rsidRDefault="00566EA9" w:rsidP="001D41EA">
            <w:pPr>
              <w:spacing w:before="40" w:after="20"/>
              <w:rPr>
                <w:rFonts w:cs="Arial"/>
                <w:sz w:val="18"/>
                <w:szCs w:val="18"/>
              </w:rPr>
            </w:pPr>
            <w:r w:rsidRPr="001D41EA">
              <w:rPr>
                <w:rFonts w:cs="Arial"/>
                <w:sz w:val="18"/>
                <w:szCs w:val="18"/>
              </w:rPr>
              <w:t>Surf Coast S</w:t>
            </w:r>
          </w:p>
        </w:tc>
        <w:tc>
          <w:tcPr>
            <w:tcW w:w="1134" w:type="dxa"/>
            <w:tcBorders>
              <w:top w:val="nil"/>
              <w:left w:val="single" w:sz="18" w:space="0" w:color="5F497A" w:themeColor="accent4" w:themeShade="BF"/>
              <w:bottom w:val="nil"/>
              <w:right w:val="nil"/>
            </w:tcBorders>
            <w:shd w:val="clear" w:color="auto" w:fill="auto"/>
            <w:vAlign w:val="bottom"/>
          </w:tcPr>
          <w:p w14:paraId="47CBC4A1" w14:textId="39748724" w:rsidR="00566EA9" w:rsidRPr="001D41EA" w:rsidRDefault="00566EA9" w:rsidP="001D41EA">
            <w:pPr>
              <w:spacing w:before="40" w:after="20"/>
              <w:jc w:val="center"/>
              <w:rPr>
                <w:rFonts w:cs="Arial"/>
                <w:sz w:val="18"/>
                <w:szCs w:val="18"/>
              </w:rPr>
            </w:pPr>
            <w:r w:rsidRPr="001D41EA">
              <w:rPr>
                <w:rFonts w:cs="Arial"/>
                <w:sz w:val="18"/>
                <w:szCs w:val="18"/>
              </w:rPr>
              <w:t>0.896</w:t>
            </w:r>
          </w:p>
        </w:tc>
        <w:tc>
          <w:tcPr>
            <w:tcW w:w="1134" w:type="dxa"/>
            <w:tcBorders>
              <w:top w:val="nil"/>
              <w:left w:val="nil"/>
              <w:bottom w:val="nil"/>
              <w:right w:val="nil"/>
            </w:tcBorders>
            <w:vAlign w:val="bottom"/>
          </w:tcPr>
          <w:p w14:paraId="6F4335BE" w14:textId="467150A9" w:rsidR="00566EA9" w:rsidRPr="001D41EA" w:rsidRDefault="00566EA9" w:rsidP="001D41EA">
            <w:pPr>
              <w:spacing w:before="40" w:after="20"/>
              <w:jc w:val="center"/>
              <w:rPr>
                <w:rFonts w:cs="Arial"/>
                <w:sz w:val="18"/>
                <w:szCs w:val="18"/>
              </w:rPr>
            </w:pPr>
            <w:r w:rsidRPr="001D41EA">
              <w:rPr>
                <w:rFonts w:cs="Arial"/>
                <w:sz w:val="18"/>
                <w:szCs w:val="18"/>
              </w:rPr>
              <w:t>0.898</w:t>
            </w:r>
          </w:p>
        </w:tc>
        <w:tc>
          <w:tcPr>
            <w:tcW w:w="1134" w:type="dxa"/>
            <w:tcBorders>
              <w:top w:val="nil"/>
              <w:left w:val="nil"/>
              <w:bottom w:val="nil"/>
              <w:right w:val="nil"/>
            </w:tcBorders>
            <w:vAlign w:val="bottom"/>
          </w:tcPr>
          <w:p w14:paraId="34C14398" w14:textId="04304268" w:rsidR="00566EA9" w:rsidRPr="001D41EA" w:rsidRDefault="00566EA9" w:rsidP="001D41EA">
            <w:pPr>
              <w:spacing w:before="40" w:after="20"/>
              <w:jc w:val="center"/>
              <w:rPr>
                <w:rFonts w:cs="Arial"/>
                <w:sz w:val="18"/>
                <w:szCs w:val="18"/>
              </w:rPr>
            </w:pPr>
            <w:r w:rsidRPr="001D41EA">
              <w:rPr>
                <w:rFonts w:cs="Arial"/>
                <w:sz w:val="18"/>
                <w:szCs w:val="18"/>
              </w:rPr>
              <w:t>0.897</w:t>
            </w:r>
          </w:p>
        </w:tc>
        <w:tc>
          <w:tcPr>
            <w:tcW w:w="1134" w:type="dxa"/>
            <w:tcBorders>
              <w:top w:val="nil"/>
              <w:left w:val="nil"/>
              <w:bottom w:val="nil"/>
              <w:right w:val="nil"/>
            </w:tcBorders>
            <w:vAlign w:val="bottom"/>
          </w:tcPr>
          <w:p w14:paraId="0071B163" w14:textId="4A704F8B" w:rsidR="00566EA9" w:rsidRPr="001D41EA" w:rsidRDefault="00566EA9" w:rsidP="001D41EA">
            <w:pPr>
              <w:spacing w:before="40" w:after="20"/>
              <w:jc w:val="center"/>
              <w:rPr>
                <w:rFonts w:cs="Arial"/>
                <w:sz w:val="18"/>
                <w:szCs w:val="18"/>
              </w:rPr>
            </w:pPr>
            <w:r w:rsidRPr="001D41EA">
              <w:rPr>
                <w:rFonts w:cs="Arial"/>
                <w:sz w:val="18"/>
                <w:szCs w:val="18"/>
              </w:rPr>
              <w:t>0.885</w:t>
            </w:r>
          </w:p>
        </w:tc>
        <w:tc>
          <w:tcPr>
            <w:tcW w:w="170" w:type="dxa"/>
            <w:tcBorders>
              <w:top w:val="nil"/>
              <w:left w:val="nil"/>
              <w:bottom w:val="nil"/>
              <w:right w:val="nil"/>
            </w:tcBorders>
            <w:vAlign w:val="bottom"/>
          </w:tcPr>
          <w:p w14:paraId="24AEE414" w14:textId="51A87770"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6470A72F" w14:textId="46FAEBC3" w:rsidR="00566EA9" w:rsidRPr="001D41EA" w:rsidRDefault="00566EA9" w:rsidP="001D41EA">
            <w:pPr>
              <w:spacing w:before="40" w:after="20"/>
              <w:jc w:val="center"/>
              <w:rPr>
                <w:rFonts w:cs="Arial"/>
                <w:sz w:val="18"/>
                <w:szCs w:val="18"/>
              </w:rPr>
            </w:pPr>
            <w:r w:rsidRPr="001D41EA">
              <w:rPr>
                <w:rFonts w:cs="Arial"/>
                <w:sz w:val="18"/>
                <w:szCs w:val="18"/>
              </w:rPr>
              <w:t>1.073</w:t>
            </w:r>
          </w:p>
        </w:tc>
        <w:tc>
          <w:tcPr>
            <w:tcW w:w="1134" w:type="dxa"/>
            <w:tcBorders>
              <w:top w:val="nil"/>
              <w:left w:val="nil"/>
              <w:bottom w:val="nil"/>
              <w:right w:val="nil"/>
            </w:tcBorders>
            <w:shd w:val="clear" w:color="auto" w:fill="auto"/>
            <w:vAlign w:val="bottom"/>
          </w:tcPr>
          <w:p w14:paraId="50CAAC33" w14:textId="23337D25" w:rsidR="00566EA9" w:rsidRPr="001D41EA" w:rsidRDefault="00566EA9" w:rsidP="001D41EA">
            <w:pPr>
              <w:spacing w:before="40" w:after="20"/>
              <w:jc w:val="center"/>
              <w:rPr>
                <w:rFonts w:cs="Arial"/>
                <w:sz w:val="18"/>
                <w:szCs w:val="18"/>
              </w:rPr>
            </w:pPr>
            <w:r w:rsidRPr="001D41EA">
              <w:rPr>
                <w:rFonts w:cs="Arial"/>
                <w:sz w:val="18"/>
                <w:szCs w:val="18"/>
              </w:rPr>
              <w:t>1.067</w:t>
            </w:r>
          </w:p>
        </w:tc>
      </w:tr>
      <w:tr w:rsidR="00566EA9" w:rsidRPr="001D41EA" w14:paraId="40B30C9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F8BE342" w14:textId="77777777" w:rsidR="00566EA9" w:rsidRPr="001D41EA" w:rsidRDefault="00566EA9" w:rsidP="001D41EA">
            <w:pPr>
              <w:spacing w:before="40" w:after="20"/>
              <w:rPr>
                <w:rFonts w:cs="Arial"/>
                <w:sz w:val="18"/>
                <w:szCs w:val="18"/>
              </w:rPr>
            </w:pPr>
            <w:r w:rsidRPr="001D41EA">
              <w:rPr>
                <w:rFonts w:cs="Arial"/>
                <w:sz w:val="18"/>
                <w:szCs w:val="18"/>
              </w:rPr>
              <w:t>Swan Hill RC</w:t>
            </w:r>
          </w:p>
        </w:tc>
        <w:tc>
          <w:tcPr>
            <w:tcW w:w="1134" w:type="dxa"/>
            <w:tcBorders>
              <w:top w:val="nil"/>
              <w:left w:val="single" w:sz="18" w:space="0" w:color="5F497A" w:themeColor="accent4" w:themeShade="BF"/>
              <w:bottom w:val="nil"/>
              <w:right w:val="nil"/>
            </w:tcBorders>
            <w:shd w:val="clear" w:color="auto" w:fill="auto"/>
            <w:vAlign w:val="bottom"/>
          </w:tcPr>
          <w:p w14:paraId="149A54AA" w14:textId="0954BE19" w:rsidR="00566EA9" w:rsidRPr="001D41EA" w:rsidRDefault="00566EA9" w:rsidP="001D41EA">
            <w:pPr>
              <w:spacing w:before="40" w:after="20"/>
              <w:jc w:val="center"/>
              <w:rPr>
                <w:rFonts w:cs="Arial"/>
                <w:sz w:val="18"/>
                <w:szCs w:val="18"/>
              </w:rPr>
            </w:pPr>
            <w:r w:rsidRPr="001D41EA">
              <w:rPr>
                <w:rFonts w:cs="Arial"/>
                <w:sz w:val="18"/>
                <w:szCs w:val="18"/>
              </w:rPr>
              <w:t>0.979</w:t>
            </w:r>
          </w:p>
        </w:tc>
        <w:tc>
          <w:tcPr>
            <w:tcW w:w="1134" w:type="dxa"/>
            <w:tcBorders>
              <w:top w:val="nil"/>
              <w:left w:val="nil"/>
              <w:bottom w:val="nil"/>
              <w:right w:val="nil"/>
            </w:tcBorders>
            <w:vAlign w:val="bottom"/>
          </w:tcPr>
          <w:p w14:paraId="7FAEB0A1" w14:textId="130D8DC4" w:rsidR="00566EA9" w:rsidRPr="001D41EA" w:rsidRDefault="00566EA9" w:rsidP="001D41EA">
            <w:pPr>
              <w:spacing w:before="40" w:after="20"/>
              <w:jc w:val="center"/>
              <w:rPr>
                <w:rFonts w:cs="Arial"/>
                <w:sz w:val="18"/>
                <w:szCs w:val="18"/>
              </w:rPr>
            </w:pPr>
            <w:r w:rsidRPr="001D41EA">
              <w:rPr>
                <w:rFonts w:cs="Arial"/>
                <w:sz w:val="18"/>
                <w:szCs w:val="18"/>
              </w:rPr>
              <w:t>0.981</w:t>
            </w:r>
          </w:p>
        </w:tc>
        <w:tc>
          <w:tcPr>
            <w:tcW w:w="1134" w:type="dxa"/>
            <w:tcBorders>
              <w:top w:val="nil"/>
              <w:left w:val="nil"/>
              <w:bottom w:val="nil"/>
              <w:right w:val="nil"/>
            </w:tcBorders>
            <w:vAlign w:val="bottom"/>
          </w:tcPr>
          <w:p w14:paraId="550D4C4C" w14:textId="0A045307" w:rsidR="00566EA9" w:rsidRPr="001D41EA" w:rsidRDefault="00566EA9" w:rsidP="001D41EA">
            <w:pPr>
              <w:spacing w:before="40" w:after="20"/>
              <w:jc w:val="center"/>
              <w:rPr>
                <w:rFonts w:cs="Arial"/>
                <w:sz w:val="18"/>
                <w:szCs w:val="18"/>
              </w:rPr>
            </w:pPr>
            <w:r w:rsidRPr="001D41EA">
              <w:rPr>
                <w:rFonts w:cs="Arial"/>
                <w:sz w:val="18"/>
                <w:szCs w:val="18"/>
              </w:rPr>
              <w:t>0.979</w:t>
            </w:r>
          </w:p>
        </w:tc>
        <w:tc>
          <w:tcPr>
            <w:tcW w:w="1134" w:type="dxa"/>
            <w:tcBorders>
              <w:top w:val="nil"/>
              <w:left w:val="nil"/>
              <w:bottom w:val="nil"/>
              <w:right w:val="nil"/>
            </w:tcBorders>
            <w:vAlign w:val="bottom"/>
          </w:tcPr>
          <w:p w14:paraId="6BBB1D80" w14:textId="62F1D735" w:rsidR="00566EA9" w:rsidRPr="001D41EA" w:rsidRDefault="00566EA9" w:rsidP="001D41EA">
            <w:pPr>
              <w:spacing w:before="40" w:after="20"/>
              <w:jc w:val="center"/>
              <w:rPr>
                <w:rFonts w:cs="Arial"/>
                <w:sz w:val="18"/>
                <w:szCs w:val="18"/>
              </w:rPr>
            </w:pPr>
            <w:r w:rsidRPr="001D41EA">
              <w:rPr>
                <w:rFonts w:cs="Arial"/>
                <w:sz w:val="18"/>
                <w:szCs w:val="18"/>
              </w:rPr>
              <w:t>0.967</w:t>
            </w:r>
          </w:p>
        </w:tc>
        <w:tc>
          <w:tcPr>
            <w:tcW w:w="170" w:type="dxa"/>
            <w:tcBorders>
              <w:top w:val="nil"/>
              <w:left w:val="nil"/>
              <w:bottom w:val="nil"/>
              <w:right w:val="nil"/>
            </w:tcBorders>
            <w:vAlign w:val="bottom"/>
          </w:tcPr>
          <w:p w14:paraId="0467B203" w14:textId="72D9F7C6"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1924CFF8" w14:textId="2F0359DF" w:rsidR="00566EA9" w:rsidRPr="001D41EA" w:rsidRDefault="00566EA9" w:rsidP="001D41EA">
            <w:pPr>
              <w:spacing w:before="40" w:after="20"/>
              <w:jc w:val="center"/>
              <w:rPr>
                <w:rFonts w:cs="Arial"/>
                <w:sz w:val="18"/>
                <w:szCs w:val="18"/>
              </w:rPr>
            </w:pPr>
            <w:r w:rsidRPr="001D41EA">
              <w:rPr>
                <w:rFonts w:cs="Arial"/>
                <w:sz w:val="18"/>
                <w:szCs w:val="18"/>
              </w:rPr>
              <w:t>1.652</w:t>
            </w:r>
          </w:p>
        </w:tc>
        <w:tc>
          <w:tcPr>
            <w:tcW w:w="1134" w:type="dxa"/>
            <w:tcBorders>
              <w:top w:val="nil"/>
              <w:left w:val="nil"/>
              <w:bottom w:val="nil"/>
              <w:right w:val="nil"/>
            </w:tcBorders>
            <w:shd w:val="clear" w:color="auto" w:fill="auto"/>
            <w:vAlign w:val="bottom"/>
          </w:tcPr>
          <w:p w14:paraId="344B1D62" w14:textId="2E9B8C11" w:rsidR="00566EA9" w:rsidRPr="001D41EA" w:rsidRDefault="00566EA9" w:rsidP="001D41EA">
            <w:pPr>
              <w:spacing w:before="40" w:after="20"/>
              <w:jc w:val="center"/>
              <w:rPr>
                <w:rFonts w:cs="Arial"/>
                <w:sz w:val="18"/>
                <w:szCs w:val="18"/>
              </w:rPr>
            </w:pPr>
            <w:r w:rsidRPr="001D41EA">
              <w:rPr>
                <w:rFonts w:cs="Arial"/>
                <w:sz w:val="18"/>
                <w:szCs w:val="18"/>
              </w:rPr>
              <w:t>1.642</w:t>
            </w:r>
          </w:p>
        </w:tc>
      </w:tr>
      <w:tr w:rsidR="00566EA9" w:rsidRPr="001D41EA" w14:paraId="6580017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FF714D0" w14:textId="77777777" w:rsidR="00566EA9" w:rsidRPr="001D41EA" w:rsidRDefault="00566EA9" w:rsidP="001D41EA">
            <w:pPr>
              <w:spacing w:before="40" w:after="20"/>
              <w:rPr>
                <w:rFonts w:cs="Arial"/>
                <w:sz w:val="18"/>
                <w:szCs w:val="18"/>
              </w:rPr>
            </w:pPr>
            <w:r w:rsidRPr="001D41EA">
              <w:rPr>
                <w:rFonts w:cs="Arial"/>
                <w:sz w:val="18"/>
                <w:szCs w:val="18"/>
              </w:rPr>
              <w:t>Towong S</w:t>
            </w:r>
          </w:p>
        </w:tc>
        <w:tc>
          <w:tcPr>
            <w:tcW w:w="1134" w:type="dxa"/>
            <w:tcBorders>
              <w:top w:val="nil"/>
              <w:left w:val="single" w:sz="18" w:space="0" w:color="5F497A" w:themeColor="accent4" w:themeShade="BF"/>
              <w:bottom w:val="nil"/>
              <w:right w:val="nil"/>
            </w:tcBorders>
            <w:shd w:val="clear" w:color="auto" w:fill="auto"/>
            <w:vAlign w:val="bottom"/>
          </w:tcPr>
          <w:p w14:paraId="34E63120" w14:textId="205929AA" w:rsidR="00566EA9" w:rsidRPr="001D41EA" w:rsidRDefault="00566EA9" w:rsidP="001D41EA">
            <w:pPr>
              <w:spacing w:before="40" w:after="20"/>
              <w:jc w:val="center"/>
              <w:rPr>
                <w:rFonts w:cs="Arial"/>
                <w:sz w:val="18"/>
                <w:szCs w:val="18"/>
              </w:rPr>
            </w:pPr>
            <w:r w:rsidRPr="001D41EA">
              <w:rPr>
                <w:rFonts w:cs="Arial"/>
                <w:sz w:val="18"/>
                <w:szCs w:val="18"/>
              </w:rPr>
              <w:t>0.808</w:t>
            </w:r>
          </w:p>
        </w:tc>
        <w:tc>
          <w:tcPr>
            <w:tcW w:w="1134" w:type="dxa"/>
            <w:tcBorders>
              <w:top w:val="nil"/>
              <w:left w:val="nil"/>
              <w:bottom w:val="nil"/>
              <w:right w:val="nil"/>
            </w:tcBorders>
            <w:vAlign w:val="bottom"/>
          </w:tcPr>
          <w:p w14:paraId="7DF76FFD" w14:textId="17A02F29" w:rsidR="00566EA9" w:rsidRPr="001D41EA" w:rsidRDefault="00566EA9" w:rsidP="001D41EA">
            <w:pPr>
              <w:spacing w:before="40" w:after="20"/>
              <w:jc w:val="center"/>
              <w:rPr>
                <w:rFonts w:cs="Arial"/>
                <w:sz w:val="18"/>
                <w:szCs w:val="18"/>
              </w:rPr>
            </w:pPr>
            <w:r w:rsidRPr="001D41EA">
              <w:rPr>
                <w:rFonts w:cs="Arial"/>
                <w:sz w:val="18"/>
                <w:szCs w:val="18"/>
              </w:rPr>
              <w:t>0.810</w:t>
            </w:r>
          </w:p>
        </w:tc>
        <w:tc>
          <w:tcPr>
            <w:tcW w:w="1134" w:type="dxa"/>
            <w:tcBorders>
              <w:top w:val="nil"/>
              <w:left w:val="nil"/>
              <w:bottom w:val="nil"/>
              <w:right w:val="nil"/>
            </w:tcBorders>
            <w:vAlign w:val="bottom"/>
          </w:tcPr>
          <w:p w14:paraId="59BD547B" w14:textId="773DE78C" w:rsidR="00566EA9" w:rsidRPr="001D41EA" w:rsidRDefault="00566EA9" w:rsidP="001D41EA">
            <w:pPr>
              <w:spacing w:before="40" w:after="20"/>
              <w:jc w:val="center"/>
              <w:rPr>
                <w:rFonts w:cs="Arial"/>
                <w:sz w:val="18"/>
                <w:szCs w:val="18"/>
              </w:rPr>
            </w:pPr>
            <w:r w:rsidRPr="001D41EA">
              <w:rPr>
                <w:rFonts w:cs="Arial"/>
                <w:sz w:val="18"/>
                <w:szCs w:val="18"/>
              </w:rPr>
              <w:t>0.809</w:t>
            </w:r>
          </w:p>
        </w:tc>
        <w:tc>
          <w:tcPr>
            <w:tcW w:w="1134" w:type="dxa"/>
            <w:tcBorders>
              <w:top w:val="nil"/>
              <w:left w:val="nil"/>
              <w:bottom w:val="nil"/>
              <w:right w:val="nil"/>
            </w:tcBorders>
            <w:vAlign w:val="bottom"/>
          </w:tcPr>
          <w:p w14:paraId="1890352C" w14:textId="1CE8D3C8" w:rsidR="00566EA9" w:rsidRPr="001D41EA" w:rsidRDefault="00566EA9" w:rsidP="001D41EA">
            <w:pPr>
              <w:spacing w:before="40" w:after="20"/>
              <w:jc w:val="center"/>
              <w:rPr>
                <w:rFonts w:cs="Arial"/>
                <w:sz w:val="18"/>
                <w:szCs w:val="18"/>
              </w:rPr>
            </w:pPr>
            <w:r w:rsidRPr="001D41EA">
              <w:rPr>
                <w:rFonts w:cs="Arial"/>
                <w:sz w:val="18"/>
                <w:szCs w:val="18"/>
              </w:rPr>
              <w:t>0.798</w:t>
            </w:r>
          </w:p>
        </w:tc>
        <w:tc>
          <w:tcPr>
            <w:tcW w:w="170" w:type="dxa"/>
            <w:tcBorders>
              <w:top w:val="nil"/>
              <w:left w:val="nil"/>
              <w:bottom w:val="nil"/>
              <w:right w:val="nil"/>
            </w:tcBorders>
            <w:vAlign w:val="bottom"/>
          </w:tcPr>
          <w:p w14:paraId="6F54A0FD" w14:textId="2B11651E"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1CB0F91B" w14:textId="5560F1FC" w:rsidR="00566EA9" w:rsidRPr="001D41EA" w:rsidRDefault="00566EA9" w:rsidP="001D41EA">
            <w:pPr>
              <w:spacing w:before="40" w:after="20"/>
              <w:jc w:val="center"/>
              <w:rPr>
                <w:rFonts w:cs="Arial"/>
                <w:sz w:val="18"/>
                <w:szCs w:val="18"/>
              </w:rPr>
            </w:pPr>
            <w:r w:rsidRPr="001D41EA">
              <w:rPr>
                <w:rFonts w:cs="Arial"/>
                <w:sz w:val="18"/>
                <w:szCs w:val="18"/>
              </w:rPr>
              <w:t>1.463</w:t>
            </w:r>
          </w:p>
        </w:tc>
        <w:tc>
          <w:tcPr>
            <w:tcW w:w="1134" w:type="dxa"/>
            <w:tcBorders>
              <w:top w:val="nil"/>
              <w:left w:val="nil"/>
              <w:bottom w:val="nil"/>
              <w:right w:val="nil"/>
            </w:tcBorders>
            <w:shd w:val="clear" w:color="auto" w:fill="auto"/>
            <w:vAlign w:val="bottom"/>
          </w:tcPr>
          <w:p w14:paraId="4C514990" w14:textId="03303255" w:rsidR="00566EA9" w:rsidRPr="001D41EA" w:rsidRDefault="00566EA9" w:rsidP="001D41EA">
            <w:pPr>
              <w:spacing w:before="40" w:after="20"/>
              <w:jc w:val="center"/>
              <w:rPr>
                <w:rFonts w:cs="Arial"/>
                <w:sz w:val="18"/>
                <w:szCs w:val="18"/>
              </w:rPr>
            </w:pPr>
            <w:r w:rsidRPr="001D41EA">
              <w:rPr>
                <w:rFonts w:cs="Arial"/>
                <w:sz w:val="18"/>
                <w:szCs w:val="18"/>
              </w:rPr>
              <w:t>1.455</w:t>
            </w:r>
          </w:p>
        </w:tc>
      </w:tr>
      <w:tr w:rsidR="00566EA9" w:rsidRPr="001D41EA" w14:paraId="317CF2A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AC4F823" w14:textId="77777777" w:rsidR="00566EA9" w:rsidRPr="001D41EA" w:rsidRDefault="00566EA9" w:rsidP="001D41EA">
            <w:pPr>
              <w:spacing w:before="40" w:after="20"/>
              <w:rPr>
                <w:rFonts w:cs="Arial"/>
                <w:sz w:val="18"/>
                <w:szCs w:val="18"/>
              </w:rPr>
            </w:pPr>
            <w:r w:rsidRPr="001D41EA">
              <w:rPr>
                <w:rFonts w:cs="Arial"/>
                <w:sz w:val="18"/>
                <w:szCs w:val="18"/>
              </w:rPr>
              <w:t>Wangaratta RC</w:t>
            </w:r>
          </w:p>
        </w:tc>
        <w:tc>
          <w:tcPr>
            <w:tcW w:w="1134" w:type="dxa"/>
            <w:tcBorders>
              <w:top w:val="nil"/>
              <w:left w:val="single" w:sz="18" w:space="0" w:color="5F497A" w:themeColor="accent4" w:themeShade="BF"/>
              <w:bottom w:val="nil"/>
              <w:right w:val="nil"/>
            </w:tcBorders>
            <w:shd w:val="clear" w:color="auto" w:fill="auto"/>
            <w:vAlign w:val="bottom"/>
          </w:tcPr>
          <w:p w14:paraId="7170429C" w14:textId="6B079BED" w:rsidR="00566EA9" w:rsidRPr="001D41EA" w:rsidRDefault="00566EA9" w:rsidP="001D41EA">
            <w:pPr>
              <w:spacing w:before="40" w:after="20"/>
              <w:jc w:val="center"/>
              <w:rPr>
                <w:rFonts w:cs="Arial"/>
                <w:sz w:val="18"/>
                <w:szCs w:val="18"/>
              </w:rPr>
            </w:pPr>
            <w:r w:rsidRPr="001D41EA">
              <w:rPr>
                <w:rFonts w:cs="Arial"/>
                <w:sz w:val="18"/>
                <w:szCs w:val="18"/>
              </w:rPr>
              <w:t>1.086</w:t>
            </w:r>
          </w:p>
        </w:tc>
        <w:tc>
          <w:tcPr>
            <w:tcW w:w="1134" w:type="dxa"/>
            <w:tcBorders>
              <w:top w:val="nil"/>
              <w:left w:val="nil"/>
              <w:bottom w:val="nil"/>
              <w:right w:val="nil"/>
            </w:tcBorders>
            <w:vAlign w:val="bottom"/>
          </w:tcPr>
          <w:p w14:paraId="7AB84A16" w14:textId="1DF5C405" w:rsidR="00566EA9" w:rsidRPr="001D41EA" w:rsidRDefault="00566EA9" w:rsidP="001D41EA">
            <w:pPr>
              <w:spacing w:before="40" w:after="20"/>
              <w:jc w:val="center"/>
              <w:rPr>
                <w:rFonts w:cs="Arial"/>
                <w:sz w:val="18"/>
                <w:szCs w:val="18"/>
              </w:rPr>
            </w:pPr>
            <w:r w:rsidRPr="001D41EA">
              <w:rPr>
                <w:rFonts w:cs="Arial"/>
                <w:sz w:val="18"/>
                <w:szCs w:val="18"/>
              </w:rPr>
              <w:t>1.088</w:t>
            </w:r>
          </w:p>
        </w:tc>
        <w:tc>
          <w:tcPr>
            <w:tcW w:w="1134" w:type="dxa"/>
            <w:tcBorders>
              <w:top w:val="nil"/>
              <w:left w:val="nil"/>
              <w:bottom w:val="nil"/>
              <w:right w:val="nil"/>
            </w:tcBorders>
            <w:vAlign w:val="bottom"/>
          </w:tcPr>
          <w:p w14:paraId="0517E87E" w14:textId="786DB407" w:rsidR="00566EA9" w:rsidRPr="001D41EA" w:rsidRDefault="00566EA9" w:rsidP="001D41EA">
            <w:pPr>
              <w:spacing w:before="40" w:after="20"/>
              <w:jc w:val="center"/>
              <w:rPr>
                <w:rFonts w:cs="Arial"/>
                <w:sz w:val="18"/>
                <w:szCs w:val="18"/>
              </w:rPr>
            </w:pPr>
            <w:r w:rsidRPr="001D41EA">
              <w:rPr>
                <w:rFonts w:cs="Arial"/>
                <w:sz w:val="18"/>
                <w:szCs w:val="18"/>
              </w:rPr>
              <w:t>1.086</w:t>
            </w:r>
          </w:p>
        </w:tc>
        <w:tc>
          <w:tcPr>
            <w:tcW w:w="1134" w:type="dxa"/>
            <w:tcBorders>
              <w:top w:val="nil"/>
              <w:left w:val="nil"/>
              <w:bottom w:val="nil"/>
              <w:right w:val="nil"/>
            </w:tcBorders>
            <w:vAlign w:val="bottom"/>
          </w:tcPr>
          <w:p w14:paraId="0AFF3218" w14:textId="23A063EF" w:rsidR="00566EA9" w:rsidRPr="001D41EA" w:rsidRDefault="00566EA9" w:rsidP="001D41EA">
            <w:pPr>
              <w:spacing w:before="40" w:after="20"/>
              <w:jc w:val="center"/>
              <w:rPr>
                <w:rFonts w:cs="Arial"/>
                <w:sz w:val="18"/>
                <w:szCs w:val="18"/>
              </w:rPr>
            </w:pPr>
            <w:r w:rsidRPr="001D41EA">
              <w:rPr>
                <w:rFonts w:cs="Arial"/>
                <w:sz w:val="18"/>
                <w:szCs w:val="18"/>
              </w:rPr>
              <w:t>1.073</w:t>
            </w:r>
          </w:p>
        </w:tc>
        <w:tc>
          <w:tcPr>
            <w:tcW w:w="170" w:type="dxa"/>
            <w:tcBorders>
              <w:top w:val="nil"/>
              <w:left w:val="nil"/>
              <w:bottom w:val="nil"/>
              <w:right w:val="nil"/>
            </w:tcBorders>
            <w:vAlign w:val="bottom"/>
          </w:tcPr>
          <w:p w14:paraId="7B317F2F" w14:textId="5B26972C"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34E91E51" w14:textId="72825A88" w:rsidR="00566EA9" w:rsidRPr="001D41EA" w:rsidRDefault="00566EA9" w:rsidP="001D41EA">
            <w:pPr>
              <w:spacing w:before="40" w:after="20"/>
              <w:jc w:val="center"/>
              <w:rPr>
                <w:rFonts w:cs="Arial"/>
                <w:sz w:val="18"/>
                <w:szCs w:val="18"/>
              </w:rPr>
            </w:pPr>
            <w:r w:rsidRPr="001D41EA">
              <w:rPr>
                <w:rFonts w:cs="Arial"/>
                <w:sz w:val="18"/>
                <w:szCs w:val="18"/>
              </w:rPr>
              <w:t>1.287</w:t>
            </w:r>
          </w:p>
        </w:tc>
        <w:tc>
          <w:tcPr>
            <w:tcW w:w="1134" w:type="dxa"/>
            <w:tcBorders>
              <w:top w:val="nil"/>
              <w:left w:val="nil"/>
              <w:bottom w:val="nil"/>
              <w:right w:val="nil"/>
            </w:tcBorders>
            <w:shd w:val="clear" w:color="auto" w:fill="auto"/>
            <w:vAlign w:val="bottom"/>
          </w:tcPr>
          <w:p w14:paraId="6E3CE729" w14:textId="0DD814A9" w:rsidR="00566EA9" w:rsidRPr="001D41EA" w:rsidRDefault="00566EA9" w:rsidP="001D41EA">
            <w:pPr>
              <w:spacing w:before="40" w:after="20"/>
              <w:jc w:val="center"/>
              <w:rPr>
                <w:rFonts w:cs="Arial"/>
                <w:sz w:val="18"/>
                <w:szCs w:val="18"/>
              </w:rPr>
            </w:pPr>
            <w:r w:rsidRPr="001D41EA">
              <w:rPr>
                <w:rFonts w:cs="Arial"/>
                <w:sz w:val="18"/>
                <w:szCs w:val="18"/>
              </w:rPr>
              <w:t>1.280</w:t>
            </w:r>
          </w:p>
        </w:tc>
      </w:tr>
      <w:tr w:rsidR="00566EA9" w:rsidRPr="001D41EA" w14:paraId="627A8F7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175B3BB" w14:textId="77777777" w:rsidR="00566EA9" w:rsidRPr="001D41EA" w:rsidRDefault="00566EA9" w:rsidP="001D41EA">
            <w:pPr>
              <w:spacing w:before="40" w:after="20"/>
              <w:rPr>
                <w:rFonts w:cs="Arial"/>
                <w:sz w:val="18"/>
                <w:szCs w:val="18"/>
              </w:rPr>
            </w:pPr>
            <w:r w:rsidRPr="001D41EA">
              <w:rPr>
                <w:rFonts w:cs="Arial"/>
                <w:sz w:val="18"/>
                <w:szCs w:val="18"/>
              </w:rPr>
              <w:t>Warrnambool C</w:t>
            </w:r>
          </w:p>
        </w:tc>
        <w:tc>
          <w:tcPr>
            <w:tcW w:w="1134" w:type="dxa"/>
            <w:tcBorders>
              <w:top w:val="nil"/>
              <w:left w:val="single" w:sz="18" w:space="0" w:color="5F497A" w:themeColor="accent4" w:themeShade="BF"/>
              <w:bottom w:val="nil"/>
              <w:right w:val="nil"/>
            </w:tcBorders>
            <w:shd w:val="clear" w:color="auto" w:fill="auto"/>
            <w:vAlign w:val="bottom"/>
          </w:tcPr>
          <w:p w14:paraId="3B7CD637" w14:textId="359D579C" w:rsidR="00566EA9" w:rsidRPr="001D41EA" w:rsidRDefault="00566EA9" w:rsidP="001D41EA">
            <w:pPr>
              <w:spacing w:before="40" w:after="20"/>
              <w:jc w:val="center"/>
              <w:rPr>
                <w:rFonts w:cs="Arial"/>
                <w:sz w:val="18"/>
                <w:szCs w:val="18"/>
              </w:rPr>
            </w:pPr>
            <w:r w:rsidRPr="001D41EA">
              <w:rPr>
                <w:rFonts w:cs="Arial"/>
                <w:sz w:val="18"/>
                <w:szCs w:val="18"/>
              </w:rPr>
              <w:t>1.329</w:t>
            </w:r>
          </w:p>
        </w:tc>
        <w:tc>
          <w:tcPr>
            <w:tcW w:w="1134" w:type="dxa"/>
            <w:tcBorders>
              <w:top w:val="nil"/>
              <w:left w:val="nil"/>
              <w:bottom w:val="nil"/>
              <w:right w:val="nil"/>
            </w:tcBorders>
            <w:vAlign w:val="bottom"/>
          </w:tcPr>
          <w:p w14:paraId="3F32C82F" w14:textId="7036C8B2" w:rsidR="00566EA9" w:rsidRPr="001D41EA" w:rsidRDefault="00566EA9" w:rsidP="001D41EA">
            <w:pPr>
              <w:spacing w:before="40" w:after="20"/>
              <w:jc w:val="center"/>
              <w:rPr>
                <w:rFonts w:cs="Arial"/>
                <w:sz w:val="18"/>
                <w:szCs w:val="18"/>
              </w:rPr>
            </w:pPr>
            <w:r w:rsidRPr="001D41EA">
              <w:rPr>
                <w:rFonts w:cs="Arial"/>
                <w:sz w:val="18"/>
                <w:szCs w:val="18"/>
              </w:rPr>
              <w:t>1.332</w:t>
            </w:r>
          </w:p>
        </w:tc>
        <w:tc>
          <w:tcPr>
            <w:tcW w:w="1134" w:type="dxa"/>
            <w:tcBorders>
              <w:top w:val="nil"/>
              <w:left w:val="nil"/>
              <w:bottom w:val="nil"/>
              <w:right w:val="nil"/>
            </w:tcBorders>
            <w:vAlign w:val="bottom"/>
          </w:tcPr>
          <w:p w14:paraId="60E092C5" w14:textId="00BE4A61" w:rsidR="00566EA9" w:rsidRPr="001D41EA" w:rsidRDefault="00566EA9" w:rsidP="001D41EA">
            <w:pPr>
              <w:spacing w:before="40" w:after="20"/>
              <w:jc w:val="center"/>
              <w:rPr>
                <w:rFonts w:cs="Arial"/>
                <w:sz w:val="18"/>
                <w:szCs w:val="18"/>
              </w:rPr>
            </w:pPr>
            <w:r w:rsidRPr="001D41EA">
              <w:rPr>
                <w:rFonts w:cs="Arial"/>
                <w:sz w:val="18"/>
                <w:szCs w:val="18"/>
              </w:rPr>
              <w:t>1.330</w:t>
            </w:r>
          </w:p>
        </w:tc>
        <w:tc>
          <w:tcPr>
            <w:tcW w:w="1134" w:type="dxa"/>
            <w:tcBorders>
              <w:top w:val="nil"/>
              <w:left w:val="nil"/>
              <w:bottom w:val="nil"/>
              <w:right w:val="nil"/>
            </w:tcBorders>
            <w:vAlign w:val="bottom"/>
          </w:tcPr>
          <w:p w14:paraId="1A368280" w14:textId="1F382C81" w:rsidR="00566EA9" w:rsidRPr="001D41EA" w:rsidRDefault="00566EA9" w:rsidP="001D41EA">
            <w:pPr>
              <w:spacing w:before="40" w:after="20"/>
              <w:jc w:val="center"/>
              <w:rPr>
                <w:rFonts w:cs="Arial"/>
                <w:sz w:val="18"/>
                <w:szCs w:val="18"/>
              </w:rPr>
            </w:pPr>
            <w:r w:rsidRPr="001D41EA">
              <w:rPr>
                <w:rFonts w:cs="Arial"/>
                <w:sz w:val="18"/>
                <w:szCs w:val="18"/>
              </w:rPr>
              <w:t>1.313</w:t>
            </w:r>
          </w:p>
        </w:tc>
        <w:tc>
          <w:tcPr>
            <w:tcW w:w="170" w:type="dxa"/>
            <w:tcBorders>
              <w:top w:val="nil"/>
              <w:left w:val="nil"/>
              <w:bottom w:val="nil"/>
              <w:right w:val="nil"/>
            </w:tcBorders>
            <w:vAlign w:val="bottom"/>
          </w:tcPr>
          <w:p w14:paraId="383930A8" w14:textId="49100C5B"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050C73CD" w14:textId="07B6ECF2" w:rsidR="00566EA9" w:rsidRPr="001D41EA" w:rsidRDefault="00566EA9" w:rsidP="001D41EA">
            <w:pPr>
              <w:spacing w:before="40" w:after="20"/>
              <w:jc w:val="center"/>
              <w:rPr>
                <w:rFonts w:cs="Arial"/>
                <w:sz w:val="18"/>
                <w:szCs w:val="18"/>
              </w:rPr>
            </w:pPr>
            <w:r w:rsidRPr="001D41EA">
              <w:rPr>
                <w:rFonts w:cs="Arial"/>
                <w:sz w:val="18"/>
                <w:szCs w:val="18"/>
              </w:rPr>
              <w:t>1.148</w:t>
            </w:r>
          </w:p>
        </w:tc>
        <w:tc>
          <w:tcPr>
            <w:tcW w:w="1134" w:type="dxa"/>
            <w:tcBorders>
              <w:top w:val="nil"/>
              <w:left w:val="nil"/>
              <w:bottom w:val="nil"/>
              <w:right w:val="nil"/>
            </w:tcBorders>
            <w:shd w:val="clear" w:color="auto" w:fill="auto"/>
            <w:vAlign w:val="bottom"/>
          </w:tcPr>
          <w:p w14:paraId="49C33FFC" w14:textId="0FACAEAC" w:rsidR="00566EA9" w:rsidRPr="001D41EA" w:rsidRDefault="00566EA9" w:rsidP="001D41EA">
            <w:pPr>
              <w:spacing w:before="40" w:after="20"/>
              <w:jc w:val="center"/>
              <w:rPr>
                <w:rFonts w:cs="Arial"/>
                <w:sz w:val="18"/>
                <w:szCs w:val="18"/>
              </w:rPr>
            </w:pPr>
            <w:r w:rsidRPr="001D41EA">
              <w:rPr>
                <w:rFonts w:cs="Arial"/>
                <w:sz w:val="18"/>
                <w:szCs w:val="18"/>
              </w:rPr>
              <w:t>1.141</w:t>
            </w:r>
          </w:p>
        </w:tc>
      </w:tr>
      <w:tr w:rsidR="00566EA9" w:rsidRPr="001D41EA" w14:paraId="79C4780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2DDEDA5" w14:textId="77777777" w:rsidR="00566EA9" w:rsidRPr="001D41EA" w:rsidRDefault="00566EA9" w:rsidP="001D41EA">
            <w:pPr>
              <w:spacing w:before="40" w:after="20"/>
              <w:rPr>
                <w:rFonts w:cs="Arial"/>
                <w:sz w:val="18"/>
                <w:szCs w:val="18"/>
              </w:rPr>
            </w:pPr>
            <w:r w:rsidRPr="001D41EA">
              <w:rPr>
                <w:rFonts w:cs="Arial"/>
                <w:sz w:val="18"/>
                <w:szCs w:val="18"/>
              </w:rPr>
              <w:t>Wellington S</w:t>
            </w:r>
          </w:p>
        </w:tc>
        <w:tc>
          <w:tcPr>
            <w:tcW w:w="1134" w:type="dxa"/>
            <w:tcBorders>
              <w:top w:val="nil"/>
              <w:left w:val="single" w:sz="18" w:space="0" w:color="5F497A" w:themeColor="accent4" w:themeShade="BF"/>
              <w:bottom w:val="nil"/>
              <w:right w:val="nil"/>
            </w:tcBorders>
            <w:shd w:val="clear" w:color="auto" w:fill="auto"/>
            <w:vAlign w:val="bottom"/>
          </w:tcPr>
          <w:p w14:paraId="66F295A0" w14:textId="6EB5BD25" w:rsidR="00566EA9" w:rsidRPr="001D41EA" w:rsidRDefault="00566EA9" w:rsidP="001D41EA">
            <w:pPr>
              <w:spacing w:before="40" w:after="20"/>
              <w:jc w:val="center"/>
              <w:rPr>
                <w:rFonts w:cs="Arial"/>
                <w:sz w:val="18"/>
                <w:szCs w:val="18"/>
              </w:rPr>
            </w:pPr>
            <w:r w:rsidRPr="001D41EA">
              <w:rPr>
                <w:rFonts w:cs="Arial"/>
                <w:sz w:val="18"/>
                <w:szCs w:val="18"/>
              </w:rPr>
              <w:t>0.956</w:t>
            </w:r>
          </w:p>
        </w:tc>
        <w:tc>
          <w:tcPr>
            <w:tcW w:w="1134" w:type="dxa"/>
            <w:tcBorders>
              <w:top w:val="nil"/>
              <w:left w:val="nil"/>
              <w:bottom w:val="nil"/>
              <w:right w:val="nil"/>
            </w:tcBorders>
            <w:vAlign w:val="bottom"/>
          </w:tcPr>
          <w:p w14:paraId="03630E4B" w14:textId="4D262B47" w:rsidR="00566EA9" w:rsidRPr="001D41EA" w:rsidRDefault="00566EA9" w:rsidP="001D41EA">
            <w:pPr>
              <w:spacing w:before="40" w:after="20"/>
              <w:jc w:val="center"/>
              <w:rPr>
                <w:rFonts w:cs="Arial"/>
                <w:sz w:val="18"/>
                <w:szCs w:val="18"/>
              </w:rPr>
            </w:pPr>
            <w:r w:rsidRPr="001D41EA">
              <w:rPr>
                <w:rFonts w:cs="Arial"/>
                <w:sz w:val="18"/>
                <w:szCs w:val="18"/>
              </w:rPr>
              <w:t>0.957</w:t>
            </w:r>
          </w:p>
        </w:tc>
        <w:tc>
          <w:tcPr>
            <w:tcW w:w="1134" w:type="dxa"/>
            <w:tcBorders>
              <w:top w:val="nil"/>
              <w:left w:val="nil"/>
              <w:bottom w:val="nil"/>
              <w:right w:val="nil"/>
            </w:tcBorders>
            <w:vAlign w:val="bottom"/>
          </w:tcPr>
          <w:p w14:paraId="0F4A05D1" w14:textId="4C571FEE" w:rsidR="00566EA9" w:rsidRPr="001D41EA" w:rsidRDefault="00566EA9" w:rsidP="001D41EA">
            <w:pPr>
              <w:spacing w:before="40" w:after="20"/>
              <w:jc w:val="center"/>
              <w:rPr>
                <w:rFonts w:cs="Arial"/>
                <w:sz w:val="18"/>
                <w:szCs w:val="18"/>
              </w:rPr>
            </w:pPr>
            <w:r w:rsidRPr="001D41EA">
              <w:rPr>
                <w:rFonts w:cs="Arial"/>
                <w:sz w:val="18"/>
                <w:szCs w:val="18"/>
              </w:rPr>
              <w:t>0.956</w:t>
            </w:r>
          </w:p>
        </w:tc>
        <w:tc>
          <w:tcPr>
            <w:tcW w:w="1134" w:type="dxa"/>
            <w:tcBorders>
              <w:top w:val="nil"/>
              <w:left w:val="nil"/>
              <w:bottom w:val="nil"/>
              <w:right w:val="nil"/>
            </w:tcBorders>
            <w:vAlign w:val="bottom"/>
          </w:tcPr>
          <w:p w14:paraId="0A280DB2" w14:textId="4570BED5" w:rsidR="00566EA9" w:rsidRPr="001D41EA" w:rsidRDefault="00566EA9" w:rsidP="001D41EA">
            <w:pPr>
              <w:spacing w:before="40" w:after="20"/>
              <w:jc w:val="center"/>
              <w:rPr>
                <w:rFonts w:cs="Arial"/>
                <w:sz w:val="18"/>
                <w:szCs w:val="18"/>
              </w:rPr>
            </w:pPr>
            <w:r w:rsidRPr="001D41EA">
              <w:rPr>
                <w:rFonts w:cs="Arial"/>
                <w:sz w:val="18"/>
                <w:szCs w:val="18"/>
              </w:rPr>
              <w:t>0.944</w:t>
            </w:r>
          </w:p>
        </w:tc>
        <w:tc>
          <w:tcPr>
            <w:tcW w:w="170" w:type="dxa"/>
            <w:tcBorders>
              <w:top w:val="nil"/>
              <w:left w:val="nil"/>
              <w:bottom w:val="nil"/>
              <w:right w:val="nil"/>
            </w:tcBorders>
            <w:vAlign w:val="bottom"/>
          </w:tcPr>
          <w:p w14:paraId="3DA20CDA" w14:textId="1155D543"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0CD3E0F6" w14:textId="24E323B0" w:rsidR="00566EA9" w:rsidRPr="001D41EA" w:rsidRDefault="00566EA9" w:rsidP="001D41EA">
            <w:pPr>
              <w:spacing w:before="40" w:after="20"/>
              <w:jc w:val="center"/>
              <w:rPr>
                <w:rFonts w:cs="Arial"/>
                <w:sz w:val="18"/>
                <w:szCs w:val="18"/>
              </w:rPr>
            </w:pPr>
            <w:r w:rsidRPr="001D41EA">
              <w:rPr>
                <w:rFonts w:cs="Arial"/>
                <w:sz w:val="18"/>
                <w:szCs w:val="18"/>
              </w:rPr>
              <w:t>1.408</w:t>
            </w:r>
          </w:p>
        </w:tc>
        <w:tc>
          <w:tcPr>
            <w:tcW w:w="1134" w:type="dxa"/>
            <w:tcBorders>
              <w:top w:val="nil"/>
              <w:left w:val="nil"/>
              <w:bottom w:val="nil"/>
              <w:right w:val="nil"/>
            </w:tcBorders>
            <w:shd w:val="clear" w:color="auto" w:fill="auto"/>
            <w:vAlign w:val="bottom"/>
          </w:tcPr>
          <w:p w14:paraId="376A0812" w14:textId="38DCE131" w:rsidR="00566EA9" w:rsidRPr="001D41EA" w:rsidRDefault="00566EA9" w:rsidP="001D41EA">
            <w:pPr>
              <w:spacing w:before="40" w:after="20"/>
              <w:jc w:val="center"/>
              <w:rPr>
                <w:rFonts w:cs="Arial"/>
                <w:sz w:val="18"/>
                <w:szCs w:val="18"/>
              </w:rPr>
            </w:pPr>
            <w:r w:rsidRPr="001D41EA">
              <w:rPr>
                <w:rFonts w:cs="Arial"/>
                <w:sz w:val="18"/>
                <w:szCs w:val="18"/>
              </w:rPr>
              <w:t>1.400</w:t>
            </w:r>
          </w:p>
        </w:tc>
      </w:tr>
      <w:tr w:rsidR="00566EA9" w:rsidRPr="001D41EA" w14:paraId="1480413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13E5894" w14:textId="77777777" w:rsidR="00566EA9" w:rsidRPr="001D41EA" w:rsidRDefault="00566EA9" w:rsidP="001D41EA">
            <w:pPr>
              <w:spacing w:before="40" w:after="20"/>
              <w:rPr>
                <w:rFonts w:cs="Arial"/>
                <w:sz w:val="18"/>
                <w:szCs w:val="18"/>
              </w:rPr>
            </w:pPr>
            <w:r w:rsidRPr="001D41EA">
              <w:rPr>
                <w:rFonts w:cs="Arial"/>
                <w:sz w:val="18"/>
                <w:szCs w:val="18"/>
              </w:rPr>
              <w:t>West Wimmera S</w:t>
            </w:r>
          </w:p>
        </w:tc>
        <w:tc>
          <w:tcPr>
            <w:tcW w:w="1134" w:type="dxa"/>
            <w:tcBorders>
              <w:top w:val="nil"/>
              <w:left w:val="single" w:sz="18" w:space="0" w:color="5F497A" w:themeColor="accent4" w:themeShade="BF"/>
              <w:bottom w:val="nil"/>
              <w:right w:val="nil"/>
            </w:tcBorders>
            <w:shd w:val="clear" w:color="auto" w:fill="auto"/>
            <w:vAlign w:val="bottom"/>
          </w:tcPr>
          <w:p w14:paraId="4FD8CEC0" w14:textId="0CB7EEDE" w:rsidR="00566EA9" w:rsidRPr="001D41EA" w:rsidRDefault="00566EA9" w:rsidP="001D41EA">
            <w:pPr>
              <w:spacing w:before="40" w:after="20"/>
              <w:jc w:val="center"/>
              <w:rPr>
                <w:rFonts w:cs="Arial"/>
                <w:sz w:val="18"/>
                <w:szCs w:val="18"/>
              </w:rPr>
            </w:pPr>
            <w:r w:rsidRPr="001D41EA">
              <w:rPr>
                <w:rFonts w:cs="Arial"/>
                <w:sz w:val="18"/>
                <w:szCs w:val="18"/>
              </w:rPr>
              <w:t>0.808</w:t>
            </w:r>
          </w:p>
        </w:tc>
        <w:tc>
          <w:tcPr>
            <w:tcW w:w="1134" w:type="dxa"/>
            <w:tcBorders>
              <w:top w:val="nil"/>
              <w:left w:val="nil"/>
              <w:bottom w:val="nil"/>
              <w:right w:val="nil"/>
            </w:tcBorders>
            <w:vAlign w:val="bottom"/>
          </w:tcPr>
          <w:p w14:paraId="4B80834D" w14:textId="07537ADE" w:rsidR="00566EA9" w:rsidRPr="001D41EA" w:rsidRDefault="00566EA9" w:rsidP="001D41EA">
            <w:pPr>
              <w:spacing w:before="40" w:after="20"/>
              <w:jc w:val="center"/>
              <w:rPr>
                <w:rFonts w:cs="Arial"/>
                <w:sz w:val="18"/>
                <w:szCs w:val="18"/>
              </w:rPr>
            </w:pPr>
            <w:r w:rsidRPr="001D41EA">
              <w:rPr>
                <w:rFonts w:cs="Arial"/>
                <w:sz w:val="18"/>
                <w:szCs w:val="18"/>
              </w:rPr>
              <w:t>0.809</w:t>
            </w:r>
          </w:p>
        </w:tc>
        <w:tc>
          <w:tcPr>
            <w:tcW w:w="1134" w:type="dxa"/>
            <w:tcBorders>
              <w:top w:val="nil"/>
              <w:left w:val="nil"/>
              <w:bottom w:val="nil"/>
              <w:right w:val="nil"/>
            </w:tcBorders>
            <w:vAlign w:val="bottom"/>
          </w:tcPr>
          <w:p w14:paraId="6328B04A" w14:textId="289D3D50" w:rsidR="00566EA9" w:rsidRPr="001D41EA" w:rsidRDefault="00566EA9" w:rsidP="001D41EA">
            <w:pPr>
              <w:spacing w:before="40" w:after="20"/>
              <w:jc w:val="center"/>
              <w:rPr>
                <w:rFonts w:cs="Arial"/>
                <w:sz w:val="18"/>
                <w:szCs w:val="18"/>
              </w:rPr>
            </w:pPr>
            <w:r w:rsidRPr="001D41EA">
              <w:rPr>
                <w:rFonts w:cs="Arial"/>
                <w:sz w:val="18"/>
                <w:szCs w:val="18"/>
              </w:rPr>
              <w:t>0.808</w:t>
            </w:r>
          </w:p>
        </w:tc>
        <w:tc>
          <w:tcPr>
            <w:tcW w:w="1134" w:type="dxa"/>
            <w:tcBorders>
              <w:top w:val="nil"/>
              <w:left w:val="nil"/>
              <w:bottom w:val="nil"/>
              <w:right w:val="nil"/>
            </w:tcBorders>
            <w:vAlign w:val="bottom"/>
          </w:tcPr>
          <w:p w14:paraId="1C3A0754" w14:textId="3345F56A" w:rsidR="00566EA9" w:rsidRPr="001D41EA" w:rsidRDefault="00566EA9" w:rsidP="001D41EA">
            <w:pPr>
              <w:spacing w:before="40" w:after="20"/>
              <w:jc w:val="center"/>
              <w:rPr>
                <w:rFonts w:cs="Arial"/>
                <w:sz w:val="18"/>
                <w:szCs w:val="18"/>
              </w:rPr>
            </w:pPr>
            <w:r w:rsidRPr="001D41EA">
              <w:rPr>
                <w:rFonts w:cs="Arial"/>
                <w:sz w:val="18"/>
                <w:szCs w:val="18"/>
              </w:rPr>
              <w:t>0.798</w:t>
            </w:r>
          </w:p>
        </w:tc>
        <w:tc>
          <w:tcPr>
            <w:tcW w:w="170" w:type="dxa"/>
            <w:tcBorders>
              <w:top w:val="nil"/>
              <w:left w:val="nil"/>
              <w:bottom w:val="nil"/>
              <w:right w:val="nil"/>
            </w:tcBorders>
            <w:vAlign w:val="bottom"/>
          </w:tcPr>
          <w:p w14:paraId="7937D9A2" w14:textId="1DE4A4B3"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6EA51DED" w14:textId="678F1B8D" w:rsidR="00566EA9" w:rsidRPr="001D41EA" w:rsidRDefault="00566EA9" w:rsidP="001D41EA">
            <w:pPr>
              <w:spacing w:before="40" w:after="20"/>
              <w:jc w:val="center"/>
              <w:rPr>
                <w:rFonts w:cs="Arial"/>
                <w:sz w:val="18"/>
                <w:szCs w:val="18"/>
              </w:rPr>
            </w:pPr>
            <w:r w:rsidRPr="001D41EA">
              <w:rPr>
                <w:rFonts w:cs="Arial"/>
                <w:sz w:val="18"/>
                <w:szCs w:val="18"/>
              </w:rPr>
              <w:t>1.785</w:t>
            </w:r>
          </w:p>
        </w:tc>
        <w:tc>
          <w:tcPr>
            <w:tcW w:w="1134" w:type="dxa"/>
            <w:tcBorders>
              <w:top w:val="nil"/>
              <w:left w:val="nil"/>
              <w:bottom w:val="nil"/>
              <w:right w:val="nil"/>
            </w:tcBorders>
            <w:shd w:val="clear" w:color="auto" w:fill="auto"/>
            <w:vAlign w:val="bottom"/>
          </w:tcPr>
          <w:p w14:paraId="4F79F386" w14:textId="7820D6B9" w:rsidR="00566EA9" w:rsidRPr="001D41EA" w:rsidRDefault="00566EA9" w:rsidP="001D41EA">
            <w:pPr>
              <w:spacing w:before="40" w:after="20"/>
              <w:jc w:val="center"/>
              <w:rPr>
                <w:rFonts w:cs="Arial"/>
                <w:sz w:val="18"/>
                <w:szCs w:val="18"/>
              </w:rPr>
            </w:pPr>
            <w:r w:rsidRPr="001D41EA">
              <w:rPr>
                <w:rFonts w:cs="Arial"/>
                <w:sz w:val="18"/>
                <w:szCs w:val="18"/>
              </w:rPr>
              <w:t>1.775</w:t>
            </w:r>
          </w:p>
        </w:tc>
      </w:tr>
      <w:tr w:rsidR="00566EA9" w:rsidRPr="001D41EA" w14:paraId="0EADAD8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7526CD1" w14:textId="77777777" w:rsidR="00566EA9" w:rsidRPr="001D41EA" w:rsidRDefault="00566EA9" w:rsidP="001D41EA">
            <w:pPr>
              <w:spacing w:before="40" w:after="20"/>
              <w:rPr>
                <w:rFonts w:cs="Arial"/>
                <w:sz w:val="18"/>
                <w:szCs w:val="18"/>
              </w:rPr>
            </w:pPr>
            <w:r w:rsidRPr="001D41EA">
              <w:rPr>
                <w:rFonts w:cs="Arial"/>
                <w:sz w:val="18"/>
                <w:szCs w:val="18"/>
              </w:rPr>
              <w:t>Whitehorse C</w:t>
            </w:r>
          </w:p>
        </w:tc>
        <w:tc>
          <w:tcPr>
            <w:tcW w:w="1134" w:type="dxa"/>
            <w:tcBorders>
              <w:top w:val="nil"/>
              <w:left w:val="single" w:sz="18" w:space="0" w:color="5F497A" w:themeColor="accent4" w:themeShade="BF"/>
              <w:bottom w:val="nil"/>
              <w:right w:val="nil"/>
            </w:tcBorders>
            <w:shd w:val="clear" w:color="auto" w:fill="auto"/>
            <w:vAlign w:val="bottom"/>
          </w:tcPr>
          <w:p w14:paraId="50254A3E" w14:textId="1EDA63A1" w:rsidR="00566EA9" w:rsidRPr="001D41EA" w:rsidRDefault="00566EA9" w:rsidP="001D41EA">
            <w:pPr>
              <w:spacing w:before="40" w:after="20"/>
              <w:jc w:val="center"/>
              <w:rPr>
                <w:rFonts w:cs="Arial"/>
                <w:sz w:val="18"/>
                <w:szCs w:val="18"/>
              </w:rPr>
            </w:pPr>
            <w:r w:rsidRPr="001D41EA">
              <w:rPr>
                <w:rFonts w:cs="Arial"/>
                <w:sz w:val="18"/>
                <w:szCs w:val="18"/>
              </w:rPr>
              <w:t>1.188</w:t>
            </w:r>
          </w:p>
        </w:tc>
        <w:tc>
          <w:tcPr>
            <w:tcW w:w="1134" w:type="dxa"/>
            <w:tcBorders>
              <w:top w:val="nil"/>
              <w:left w:val="nil"/>
              <w:bottom w:val="nil"/>
              <w:right w:val="nil"/>
            </w:tcBorders>
            <w:vAlign w:val="bottom"/>
          </w:tcPr>
          <w:p w14:paraId="419E0ED4" w14:textId="3B2CEB09" w:rsidR="00566EA9" w:rsidRPr="001D41EA" w:rsidRDefault="00566EA9" w:rsidP="001D41EA">
            <w:pPr>
              <w:spacing w:before="40" w:after="20"/>
              <w:jc w:val="center"/>
              <w:rPr>
                <w:rFonts w:cs="Arial"/>
                <w:sz w:val="18"/>
                <w:szCs w:val="18"/>
              </w:rPr>
            </w:pPr>
            <w:r w:rsidRPr="001D41EA">
              <w:rPr>
                <w:rFonts w:cs="Arial"/>
                <w:sz w:val="18"/>
                <w:szCs w:val="18"/>
              </w:rPr>
              <w:t>1.190</w:t>
            </w:r>
          </w:p>
        </w:tc>
        <w:tc>
          <w:tcPr>
            <w:tcW w:w="1134" w:type="dxa"/>
            <w:tcBorders>
              <w:top w:val="nil"/>
              <w:left w:val="nil"/>
              <w:bottom w:val="nil"/>
              <w:right w:val="nil"/>
            </w:tcBorders>
            <w:vAlign w:val="bottom"/>
          </w:tcPr>
          <w:p w14:paraId="36F238A5" w14:textId="4541800D" w:rsidR="00566EA9" w:rsidRPr="001D41EA" w:rsidRDefault="00566EA9" w:rsidP="001D41EA">
            <w:pPr>
              <w:spacing w:before="40" w:after="20"/>
              <w:jc w:val="center"/>
              <w:rPr>
                <w:rFonts w:cs="Arial"/>
                <w:sz w:val="18"/>
                <w:szCs w:val="18"/>
              </w:rPr>
            </w:pPr>
            <w:r w:rsidRPr="001D41EA">
              <w:rPr>
                <w:rFonts w:cs="Arial"/>
                <w:sz w:val="18"/>
                <w:szCs w:val="18"/>
              </w:rPr>
              <w:t>1.188</w:t>
            </w:r>
          </w:p>
        </w:tc>
        <w:tc>
          <w:tcPr>
            <w:tcW w:w="1134" w:type="dxa"/>
            <w:tcBorders>
              <w:top w:val="nil"/>
              <w:left w:val="nil"/>
              <w:bottom w:val="nil"/>
              <w:right w:val="nil"/>
            </w:tcBorders>
            <w:vAlign w:val="bottom"/>
          </w:tcPr>
          <w:p w14:paraId="67ABC0D7" w14:textId="7CDA4D02" w:rsidR="00566EA9" w:rsidRPr="001D41EA" w:rsidRDefault="00566EA9" w:rsidP="001D41EA">
            <w:pPr>
              <w:spacing w:before="40" w:after="20"/>
              <w:jc w:val="center"/>
              <w:rPr>
                <w:rFonts w:cs="Arial"/>
                <w:sz w:val="18"/>
                <w:szCs w:val="18"/>
              </w:rPr>
            </w:pPr>
            <w:r w:rsidRPr="001D41EA">
              <w:rPr>
                <w:rFonts w:cs="Arial"/>
                <w:sz w:val="18"/>
                <w:szCs w:val="18"/>
              </w:rPr>
              <w:t>1.173</w:t>
            </w:r>
          </w:p>
        </w:tc>
        <w:tc>
          <w:tcPr>
            <w:tcW w:w="170" w:type="dxa"/>
            <w:tcBorders>
              <w:top w:val="nil"/>
              <w:left w:val="nil"/>
              <w:bottom w:val="nil"/>
              <w:right w:val="nil"/>
            </w:tcBorders>
            <w:vAlign w:val="bottom"/>
          </w:tcPr>
          <w:p w14:paraId="4311F28A" w14:textId="5DC94135"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22926A55" w14:textId="0CD77549" w:rsidR="00566EA9" w:rsidRPr="001D41EA" w:rsidRDefault="00566EA9" w:rsidP="001D41EA">
            <w:pPr>
              <w:spacing w:before="40" w:after="2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6605FC51" w14:textId="40BB1BA1" w:rsidR="00566EA9" w:rsidRPr="001D41EA" w:rsidRDefault="00566EA9" w:rsidP="001D41EA">
            <w:pPr>
              <w:spacing w:before="40" w:after="20"/>
              <w:jc w:val="center"/>
              <w:rPr>
                <w:rFonts w:cs="Arial"/>
                <w:sz w:val="18"/>
                <w:szCs w:val="18"/>
              </w:rPr>
            </w:pPr>
            <w:r w:rsidRPr="001D41EA">
              <w:rPr>
                <w:rFonts w:cs="Arial"/>
                <w:sz w:val="18"/>
                <w:szCs w:val="18"/>
              </w:rPr>
              <w:t>0.908</w:t>
            </w:r>
          </w:p>
        </w:tc>
      </w:tr>
      <w:tr w:rsidR="00566EA9" w:rsidRPr="001D41EA" w14:paraId="1945EE5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7E708C8" w14:textId="77777777" w:rsidR="00566EA9" w:rsidRPr="001D41EA" w:rsidRDefault="00566EA9" w:rsidP="001D41EA">
            <w:pPr>
              <w:spacing w:before="40" w:after="20"/>
              <w:rPr>
                <w:rFonts w:cs="Arial"/>
                <w:sz w:val="18"/>
                <w:szCs w:val="18"/>
              </w:rPr>
            </w:pPr>
            <w:r w:rsidRPr="001D41EA">
              <w:rPr>
                <w:rFonts w:cs="Arial"/>
                <w:sz w:val="18"/>
                <w:szCs w:val="18"/>
              </w:rPr>
              <w:t>Whittlesea C</w:t>
            </w:r>
          </w:p>
        </w:tc>
        <w:tc>
          <w:tcPr>
            <w:tcW w:w="1134" w:type="dxa"/>
            <w:tcBorders>
              <w:top w:val="nil"/>
              <w:left w:val="single" w:sz="18" w:space="0" w:color="5F497A" w:themeColor="accent4" w:themeShade="BF"/>
              <w:bottom w:val="nil"/>
              <w:right w:val="nil"/>
            </w:tcBorders>
            <w:shd w:val="clear" w:color="auto" w:fill="auto"/>
            <w:vAlign w:val="bottom"/>
          </w:tcPr>
          <w:p w14:paraId="3548BA59" w14:textId="651FCC79" w:rsidR="00566EA9" w:rsidRPr="001D41EA" w:rsidRDefault="00566EA9" w:rsidP="001D41EA">
            <w:pPr>
              <w:spacing w:before="40" w:after="20"/>
              <w:jc w:val="center"/>
              <w:rPr>
                <w:rFonts w:cs="Arial"/>
                <w:sz w:val="18"/>
                <w:szCs w:val="18"/>
              </w:rPr>
            </w:pPr>
            <w:r w:rsidRPr="001D41EA">
              <w:rPr>
                <w:rFonts w:cs="Arial"/>
                <w:sz w:val="18"/>
                <w:szCs w:val="18"/>
              </w:rPr>
              <w:t>0.808</w:t>
            </w:r>
          </w:p>
        </w:tc>
        <w:tc>
          <w:tcPr>
            <w:tcW w:w="1134" w:type="dxa"/>
            <w:tcBorders>
              <w:top w:val="nil"/>
              <w:left w:val="nil"/>
              <w:bottom w:val="nil"/>
              <w:right w:val="nil"/>
            </w:tcBorders>
            <w:vAlign w:val="bottom"/>
          </w:tcPr>
          <w:p w14:paraId="4221AC11" w14:textId="0FF427C2" w:rsidR="00566EA9" w:rsidRPr="001D41EA" w:rsidRDefault="00566EA9" w:rsidP="001D41EA">
            <w:pPr>
              <w:spacing w:before="40" w:after="20"/>
              <w:jc w:val="center"/>
              <w:rPr>
                <w:rFonts w:cs="Arial"/>
                <w:sz w:val="18"/>
                <w:szCs w:val="18"/>
              </w:rPr>
            </w:pPr>
            <w:r w:rsidRPr="001D41EA">
              <w:rPr>
                <w:rFonts w:cs="Arial"/>
                <w:sz w:val="18"/>
                <w:szCs w:val="18"/>
              </w:rPr>
              <w:t>0.810</w:t>
            </w:r>
          </w:p>
        </w:tc>
        <w:tc>
          <w:tcPr>
            <w:tcW w:w="1134" w:type="dxa"/>
            <w:tcBorders>
              <w:top w:val="nil"/>
              <w:left w:val="nil"/>
              <w:bottom w:val="nil"/>
              <w:right w:val="nil"/>
            </w:tcBorders>
            <w:vAlign w:val="bottom"/>
          </w:tcPr>
          <w:p w14:paraId="4A4053CE" w14:textId="24A6033D" w:rsidR="00566EA9" w:rsidRPr="001D41EA" w:rsidRDefault="00566EA9" w:rsidP="001D41EA">
            <w:pPr>
              <w:spacing w:before="40" w:after="20"/>
              <w:jc w:val="center"/>
              <w:rPr>
                <w:rFonts w:cs="Arial"/>
                <w:sz w:val="18"/>
                <w:szCs w:val="18"/>
              </w:rPr>
            </w:pPr>
            <w:r w:rsidRPr="001D41EA">
              <w:rPr>
                <w:rFonts w:cs="Arial"/>
                <w:sz w:val="18"/>
                <w:szCs w:val="18"/>
              </w:rPr>
              <w:t>0.808</w:t>
            </w:r>
          </w:p>
        </w:tc>
        <w:tc>
          <w:tcPr>
            <w:tcW w:w="1134" w:type="dxa"/>
            <w:tcBorders>
              <w:top w:val="nil"/>
              <w:left w:val="nil"/>
              <w:bottom w:val="nil"/>
              <w:right w:val="nil"/>
            </w:tcBorders>
            <w:vAlign w:val="bottom"/>
          </w:tcPr>
          <w:p w14:paraId="20D2E9CF" w14:textId="0FD6F2C3" w:rsidR="00566EA9" w:rsidRPr="001D41EA" w:rsidRDefault="00566EA9" w:rsidP="001D41EA">
            <w:pPr>
              <w:spacing w:before="40" w:after="20"/>
              <w:jc w:val="center"/>
              <w:rPr>
                <w:rFonts w:cs="Arial"/>
                <w:sz w:val="18"/>
                <w:szCs w:val="18"/>
              </w:rPr>
            </w:pPr>
            <w:r w:rsidRPr="001D41EA">
              <w:rPr>
                <w:rFonts w:cs="Arial"/>
                <w:sz w:val="18"/>
                <w:szCs w:val="18"/>
              </w:rPr>
              <w:t>0.798</w:t>
            </w:r>
          </w:p>
        </w:tc>
        <w:tc>
          <w:tcPr>
            <w:tcW w:w="170" w:type="dxa"/>
            <w:tcBorders>
              <w:top w:val="nil"/>
              <w:left w:val="nil"/>
              <w:bottom w:val="nil"/>
              <w:right w:val="nil"/>
            </w:tcBorders>
            <w:vAlign w:val="bottom"/>
          </w:tcPr>
          <w:p w14:paraId="566077AD" w14:textId="442BCDC6"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4DDBFAA5" w14:textId="5F8201D7" w:rsidR="00566EA9" w:rsidRPr="001D41EA" w:rsidRDefault="00566EA9" w:rsidP="001D41EA">
            <w:pPr>
              <w:spacing w:before="40" w:after="20"/>
              <w:jc w:val="center"/>
              <w:rPr>
                <w:rFonts w:cs="Arial"/>
                <w:sz w:val="18"/>
                <w:szCs w:val="18"/>
              </w:rPr>
            </w:pPr>
            <w:r w:rsidRPr="001D41EA">
              <w:rPr>
                <w:rFonts w:cs="Arial"/>
                <w:sz w:val="18"/>
                <w:szCs w:val="18"/>
              </w:rPr>
              <w:t>0.946</w:t>
            </w:r>
          </w:p>
        </w:tc>
        <w:tc>
          <w:tcPr>
            <w:tcW w:w="1134" w:type="dxa"/>
            <w:tcBorders>
              <w:top w:val="nil"/>
              <w:left w:val="nil"/>
              <w:bottom w:val="nil"/>
              <w:right w:val="nil"/>
            </w:tcBorders>
            <w:shd w:val="clear" w:color="auto" w:fill="auto"/>
            <w:vAlign w:val="bottom"/>
          </w:tcPr>
          <w:p w14:paraId="0B2B5AC5" w14:textId="198D77F0" w:rsidR="00566EA9" w:rsidRPr="001D41EA" w:rsidRDefault="00566EA9" w:rsidP="001D41EA">
            <w:pPr>
              <w:spacing w:before="40" w:after="20"/>
              <w:jc w:val="center"/>
              <w:rPr>
                <w:rFonts w:cs="Arial"/>
                <w:sz w:val="18"/>
                <w:szCs w:val="18"/>
              </w:rPr>
            </w:pPr>
            <w:r w:rsidRPr="001D41EA">
              <w:rPr>
                <w:rFonts w:cs="Arial"/>
                <w:sz w:val="18"/>
                <w:szCs w:val="18"/>
              </w:rPr>
              <w:t>0.941</w:t>
            </w:r>
          </w:p>
        </w:tc>
      </w:tr>
      <w:tr w:rsidR="00566EA9" w:rsidRPr="001D41EA" w14:paraId="69AC316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AD550FB" w14:textId="77777777" w:rsidR="00566EA9" w:rsidRPr="001D41EA" w:rsidRDefault="00566EA9" w:rsidP="001D41EA">
            <w:pPr>
              <w:spacing w:before="40" w:after="20"/>
              <w:rPr>
                <w:rFonts w:cs="Arial"/>
                <w:sz w:val="18"/>
                <w:szCs w:val="18"/>
              </w:rPr>
            </w:pPr>
            <w:r w:rsidRPr="001D41EA">
              <w:rPr>
                <w:rFonts w:cs="Arial"/>
                <w:sz w:val="18"/>
                <w:szCs w:val="18"/>
              </w:rPr>
              <w:t>Wodonga C</w:t>
            </w:r>
          </w:p>
        </w:tc>
        <w:tc>
          <w:tcPr>
            <w:tcW w:w="1134" w:type="dxa"/>
            <w:tcBorders>
              <w:top w:val="nil"/>
              <w:left w:val="single" w:sz="18" w:space="0" w:color="5F497A" w:themeColor="accent4" w:themeShade="BF"/>
              <w:bottom w:val="nil"/>
              <w:right w:val="nil"/>
            </w:tcBorders>
            <w:shd w:val="clear" w:color="auto" w:fill="auto"/>
            <w:vAlign w:val="bottom"/>
          </w:tcPr>
          <w:p w14:paraId="54906AB3" w14:textId="633EFC11" w:rsidR="00566EA9" w:rsidRPr="001D41EA" w:rsidRDefault="00566EA9" w:rsidP="001D41EA">
            <w:pPr>
              <w:spacing w:before="40" w:after="20"/>
              <w:jc w:val="center"/>
              <w:rPr>
                <w:rFonts w:cs="Arial"/>
                <w:sz w:val="18"/>
                <w:szCs w:val="18"/>
              </w:rPr>
            </w:pPr>
            <w:r w:rsidRPr="001D41EA">
              <w:rPr>
                <w:rFonts w:cs="Arial"/>
                <w:sz w:val="18"/>
                <w:szCs w:val="18"/>
              </w:rPr>
              <w:t>1.329</w:t>
            </w:r>
          </w:p>
        </w:tc>
        <w:tc>
          <w:tcPr>
            <w:tcW w:w="1134" w:type="dxa"/>
            <w:tcBorders>
              <w:top w:val="nil"/>
              <w:left w:val="nil"/>
              <w:bottom w:val="nil"/>
              <w:right w:val="nil"/>
            </w:tcBorders>
            <w:vAlign w:val="bottom"/>
          </w:tcPr>
          <w:p w14:paraId="435A33BD" w14:textId="0258F5C4" w:rsidR="00566EA9" w:rsidRPr="001D41EA" w:rsidRDefault="00566EA9" w:rsidP="001D41EA">
            <w:pPr>
              <w:spacing w:before="40" w:after="20"/>
              <w:jc w:val="center"/>
              <w:rPr>
                <w:rFonts w:cs="Arial"/>
                <w:sz w:val="18"/>
                <w:szCs w:val="18"/>
              </w:rPr>
            </w:pPr>
            <w:r w:rsidRPr="001D41EA">
              <w:rPr>
                <w:rFonts w:cs="Arial"/>
                <w:sz w:val="18"/>
                <w:szCs w:val="18"/>
              </w:rPr>
              <w:t>1.332</w:t>
            </w:r>
          </w:p>
        </w:tc>
        <w:tc>
          <w:tcPr>
            <w:tcW w:w="1134" w:type="dxa"/>
            <w:tcBorders>
              <w:top w:val="nil"/>
              <w:left w:val="nil"/>
              <w:bottom w:val="nil"/>
              <w:right w:val="nil"/>
            </w:tcBorders>
            <w:vAlign w:val="bottom"/>
          </w:tcPr>
          <w:p w14:paraId="2C57B615" w14:textId="29D90EA9" w:rsidR="00566EA9" w:rsidRPr="001D41EA" w:rsidRDefault="00566EA9" w:rsidP="001D41EA">
            <w:pPr>
              <w:spacing w:before="40" w:after="20"/>
              <w:jc w:val="center"/>
              <w:rPr>
                <w:rFonts w:cs="Arial"/>
                <w:sz w:val="18"/>
                <w:szCs w:val="18"/>
              </w:rPr>
            </w:pPr>
            <w:r w:rsidRPr="001D41EA">
              <w:rPr>
                <w:rFonts w:cs="Arial"/>
                <w:sz w:val="18"/>
                <w:szCs w:val="18"/>
              </w:rPr>
              <w:t>1.330</w:t>
            </w:r>
          </w:p>
        </w:tc>
        <w:tc>
          <w:tcPr>
            <w:tcW w:w="1134" w:type="dxa"/>
            <w:tcBorders>
              <w:top w:val="nil"/>
              <w:left w:val="nil"/>
              <w:bottom w:val="nil"/>
              <w:right w:val="nil"/>
            </w:tcBorders>
            <w:vAlign w:val="bottom"/>
          </w:tcPr>
          <w:p w14:paraId="767FA3E9" w14:textId="0714348E" w:rsidR="00566EA9" w:rsidRPr="001D41EA" w:rsidRDefault="00566EA9" w:rsidP="001D41EA">
            <w:pPr>
              <w:spacing w:before="40" w:after="20"/>
              <w:jc w:val="center"/>
              <w:rPr>
                <w:rFonts w:cs="Arial"/>
                <w:sz w:val="18"/>
                <w:szCs w:val="18"/>
              </w:rPr>
            </w:pPr>
            <w:r w:rsidRPr="001D41EA">
              <w:rPr>
                <w:rFonts w:cs="Arial"/>
                <w:sz w:val="18"/>
                <w:szCs w:val="18"/>
              </w:rPr>
              <w:t>1.313</w:t>
            </w:r>
          </w:p>
        </w:tc>
        <w:tc>
          <w:tcPr>
            <w:tcW w:w="170" w:type="dxa"/>
            <w:tcBorders>
              <w:top w:val="nil"/>
              <w:left w:val="nil"/>
              <w:bottom w:val="nil"/>
              <w:right w:val="nil"/>
            </w:tcBorders>
            <w:vAlign w:val="bottom"/>
          </w:tcPr>
          <w:p w14:paraId="19C02213" w14:textId="2D30D6D2"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7AE7F343" w14:textId="45AE08B6" w:rsidR="00566EA9" w:rsidRPr="001D41EA" w:rsidRDefault="00566EA9" w:rsidP="001D41EA">
            <w:pPr>
              <w:spacing w:before="40" w:after="20"/>
              <w:jc w:val="center"/>
              <w:rPr>
                <w:rFonts w:cs="Arial"/>
                <w:sz w:val="18"/>
                <w:szCs w:val="18"/>
              </w:rPr>
            </w:pPr>
            <w:r w:rsidRPr="001D41EA">
              <w:rPr>
                <w:rFonts w:cs="Arial"/>
                <w:sz w:val="18"/>
                <w:szCs w:val="18"/>
              </w:rPr>
              <w:t>1.058</w:t>
            </w:r>
          </w:p>
        </w:tc>
        <w:tc>
          <w:tcPr>
            <w:tcW w:w="1134" w:type="dxa"/>
            <w:tcBorders>
              <w:top w:val="nil"/>
              <w:left w:val="nil"/>
              <w:bottom w:val="nil"/>
              <w:right w:val="nil"/>
            </w:tcBorders>
            <w:shd w:val="clear" w:color="auto" w:fill="auto"/>
            <w:vAlign w:val="bottom"/>
          </w:tcPr>
          <w:p w14:paraId="2F6C52AB" w14:textId="40910077" w:rsidR="00566EA9" w:rsidRPr="001D41EA" w:rsidRDefault="00566EA9" w:rsidP="001D41EA">
            <w:pPr>
              <w:spacing w:before="40" w:after="20"/>
              <w:jc w:val="center"/>
              <w:rPr>
                <w:rFonts w:cs="Arial"/>
                <w:sz w:val="18"/>
                <w:szCs w:val="18"/>
              </w:rPr>
            </w:pPr>
            <w:r w:rsidRPr="001D41EA">
              <w:rPr>
                <w:rFonts w:cs="Arial"/>
                <w:sz w:val="18"/>
                <w:szCs w:val="18"/>
              </w:rPr>
              <w:t>1.052</w:t>
            </w:r>
          </w:p>
        </w:tc>
      </w:tr>
      <w:tr w:rsidR="00566EA9" w:rsidRPr="001D41EA" w14:paraId="0D40744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DEF261D" w14:textId="77777777" w:rsidR="00566EA9" w:rsidRPr="001D41EA" w:rsidRDefault="00566EA9" w:rsidP="001D41EA">
            <w:pPr>
              <w:spacing w:before="40" w:after="20"/>
              <w:rPr>
                <w:rFonts w:cs="Arial"/>
                <w:sz w:val="18"/>
                <w:szCs w:val="18"/>
              </w:rPr>
            </w:pPr>
            <w:r w:rsidRPr="001D41EA">
              <w:rPr>
                <w:rFonts w:cs="Arial"/>
                <w:sz w:val="18"/>
                <w:szCs w:val="18"/>
              </w:rPr>
              <w:t>Wyndham C</w:t>
            </w:r>
          </w:p>
        </w:tc>
        <w:tc>
          <w:tcPr>
            <w:tcW w:w="1134" w:type="dxa"/>
            <w:tcBorders>
              <w:top w:val="nil"/>
              <w:left w:val="single" w:sz="18" w:space="0" w:color="5F497A" w:themeColor="accent4" w:themeShade="BF"/>
              <w:bottom w:val="nil"/>
              <w:right w:val="nil"/>
            </w:tcBorders>
            <w:shd w:val="clear" w:color="auto" w:fill="auto"/>
            <w:vAlign w:val="bottom"/>
          </w:tcPr>
          <w:p w14:paraId="2A95F224" w14:textId="15CBA09C" w:rsidR="00566EA9" w:rsidRPr="001D41EA" w:rsidRDefault="00566EA9" w:rsidP="001D41EA">
            <w:pPr>
              <w:spacing w:before="40" w:after="20"/>
              <w:jc w:val="center"/>
              <w:rPr>
                <w:rFonts w:cs="Arial"/>
                <w:sz w:val="18"/>
                <w:szCs w:val="18"/>
              </w:rPr>
            </w:pPr>
            <w:r w:rsidRPr="001D41EA">
              <w:rPr>
                <w:rFonts w:cs="Arial"/>
                <w:sz w:val="18"/>
                <w:szCs w:val="18"/>
              </w:rPr>
              <w:t>0.807</w:t>
            </w:r>
          </w:p>
        </w:tc>
        <w:tc>
          <w:tcPr>
            <w:tcW w:w="1134" w:type="dxa"/>
            <w:tcBorders>
              <w:top w:val="nil"/>
              <w:left w:val="nil"/>
              <w:bottom w:val="nil"/>
              <w:right w:val="nil"/>
            </w:tcBorders>
            <w:vAlign w:val="bottom"/>
          </w:tcPr>
          <w:p w14:paraId="55770D1E" w14:textId="3FDD502C" w:rsidR="00566EA9" w:rsidRPr="001D41EA" w:rsidRDefault="00566EA9" w:rsidP="001D41EA">
            <w:pPr>
              <w:spacing w:before="40" w:after="20"/>
              <w:jc w:val="center"/>
              <w:rPr>
                <w:rFonts w:cs="Arial"/>
                <w:sz w:val="18"/>
                <w:szCs w:val="18"/>
              </w:rPr>
            </w:pPr>
            <w:r w:rsidRPr="001D41EA">
              <w:rPr>
                <w:rFonts w:cs="Arial"/>
                <w:sz w:val="18"/>
                <w:szCs w:val="18"/>
              </w:rPr>
              <w:t>0.808</w:t>
            </w:r>
          </w:p>
        </w:tc>
        <w:tc>
          <w:tcPr>
            <w:tcW w:w="1134" w:type="dxa"/>
            <w:tcBorders>
              <w:top w:val="nil"/>
              <w:left w:val="nil"/>
              <w:bottom w:val="nil"/>
              <w:right w:val="nil"/>
            </w:tcBorders>
            <w:vAlign w:val="bottom"/>
          </w:tcPr>
          <w:p w14:paraId="2C68F1BE" w14:textId="2859771C" w:rsidR="00566EA9" w:rsidRPr="001D41EA" w:rsidRDefault="00566EA9" w:rsidP="001D41EA">
            <w:pPr>
              <w:spacing w:before="40" w:after="20"/>
              <w:jc w:val="center"/>
              <w:rPr>
                <w:rFonts w:cs="Arial"/>
                <w:sz w:val="18"/>
                <w:szCs w:val="18"/>
              </w:rPr>
            </w:pPr>
            <w:r w:rsidRPr="001D41EA">
              <w:rPr>
                <w:rFonts w:cs="Arial"/>
                <w:sz w:val="18"/>
                <w:szCs w:val="18"/>
              </w:rPr>
              <w:t>0.807</w:t>
            </w:r>
          </w:p>
        </w:tc>
        <w:tc>
          <w:tcPr>
            <w:tcW w:w="1134" w:type="dxa"/>
            <w:tcBorders>
              <w:top w:val="nil"/>
              <w:left w:val="nil"/>
              <w:bottom w:val="nil"/>
              <w:right w:val="nil"/>
            </w:tcBorders>
            <w:vAlign w:val="bottom"/>
          </w:tcPr>
          <w:p w14:paraId="533F2106" w14:textId="0B3B3FD2" w:rsidR="00566EA9" w:rsidRPr="001D41EA" w:rsidRDefault="00566EA9" w:rsidP="001D41EA">
            <w:pPr>
              <w:spacing w:before="40" w:after="20"/>
              <w:jc w:val="center"/>
              <w:rPr>
                <w:rFonts w:cs="Arial"/>
                <w:sz w:val="18"/>
                <w:szCs w:val="18"/>
              </w:rPr>
            </w:pPr>
            <w:r w:rsidRPr="001D41EA">
              <w:rPr>
                <w:rFonts w:cs="Arial"/>
                <w:sz w:val="18"/>
                <w:szCs w:val="18"/>
              </w:rPr>
              <w:t>0.797</w:t>
            </w:r>
          </w:p>
        </w:tc>
        <w:tc>
          <w:tcPr>
            <w:tcW w:w="170" w:type="dxa"/>
            <w:tcBorders>
              <w:top w:val="nil"/>
              <w:left w:val="nil"/>
              <w:bottom w:val="nil"/>
              <w:right w:val="nil"/>
            </w:tcBorders>
            <w:vAlign w:val="bottom"/>
          </w:tcPr>
          <w:p w14:paraId="37E2B6F3" w14:textId="7B0C1C2C"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0F9164F8" w14:textId="1AA1CFBA" w:rsidR="00566EA9" w:rsidRPr="001D41EA" w:rsidRDefault="00566EA9" w:rsidP="001D41EA">
            <w:pPr>
              <w:spacing w:before="40" w:after="20"/>
              <w:jc w:val="center"/>
              <w:rPr>
                <w:rFonts w:cs="Arial"/>
                <w:sz w:val="18"/>
                <w:szCs w:val="18"/>
              </w:rPr>
            </w:pPr>
            <w:r w:rsidRPr="001D41EA">
              <w:rPr>
                <w:rFonts w:cs="Arial"/>
                <w:sz w:val="18"/>
                <w:szCs w:val="18"/>
              </w:rPr>
              <w:t>0.944</w:t>
            </w:r>
          </w:p>
        </w:tc>
        <w:tc>
          <w:tcPr>
            <w:tcW w:w="1134" w:type="dxa"/>
            <w:tcBorders>
              <w:top w:val="nil"/>
              <w:left w:val="nil"/>
              <w:bottom w:val="nil"/>
              <w:right w:val="nil"/>
            </w:tcBorders>
            <w:shd w:val="clear" w:color="auto" w:fill="auto"/>
            <w:vAlign w:val="bottom"/>
          </w:tcPr>
          <w:p w14:paraId="57DB25A8" w14:textId="4CAAE345" w:rsidR="00566EA9" w:rsidRPr="001D41EA" w:rsidRDefault="00566EA9" w:rsidP="001D41EA">
            <w:pPr>
              <w:spacing w:before="40" w:after="20"/>
              <w:jc w:val="center"/>
              <w:rPr>
                <w:rFonts w:cs="Arial"/>
                <w:sz w:val="18"/>
                <w:szCs w:val="18"/>
              </w:rPr>
            </w:pPr>
            <w:r w:rsidRPr="001D41EA">
              <w:rPr>
                <w:rFonts w:cs="Arial"/>
                <w:sz w:val="18"/>
                <w:szCs w:val="18"/>
              </w:rPr>
              <w:t>0.939</w:t>
            </w:r>
          </w:p>
        </w:tc>
      </w:tr>
      <w:tr w:rsidR="00566EA9" w:rsidRPr="001D41EA" w14:paraId="13E0338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CB97DE3" w14:textId="77777777" w:rsidR="00566EA9" w:rsidRPr="001D41EA" w:rsidRDefault="00566EA9" w:rsidP="001D41EA">
            <w:pPr>
              <w:spacing w:before="40" w:after="20"/>
              <w:rPr>
                <w:rFonts w:cs="Arial"/>
                <w:sz w:val="18"/>
                <w:szCs w:val="18"/>
              </w:rPr>
            </w:pPr>
            <w:r w:rsidRPr="001D41EA">
              <w:rPr>
                <w:rFonts w:cs="Arial"/>
                <w:sz w:val="18"/>
                <w:szCs w:val="18"/>
              </w:rPr>
              <w:t>Yarra C</w:t>
            </w:r>
          </w:p>
        </w:tc>
        <w:tc>
          <w:tcPr>
            <w:tcW w:w="1134" w:type="dxa"/>
            <w:tcBorders>
              <w:top w:val="nil"/>
              <w:left w:val="single" w:sz="18" w:space="0" w:color="5F497A" w:themeColor="accent4" w:themeShade="BF"/>
              <w:bottom w:val="nil"/>
              <w:right w:val="nil"/>
            </w:tcBorders>
            <w:shd w:val="clear" w:color="auto" w:fill="auto"/>
            <w:vAlign w:val="bottom"/>
          </w:tcPr>
          <w:p w14:paraId="731F7336" w14:textId="52DD9998" w:rsidR="00566EA9" w:rsidRPr="001D41EA" w:rsidRDefault="00566EA9" w:rsidP="001D41EA">
            <w:pPr>
              <w:spacing w:before="40" w:after="20"/>
              <w:jc w:val="center"/>
              <w:rPr>
                <w:rFonts w:cs="Arial"/>
                <w:sz w:val="18"/>
                <w:szCs w:val="18"/>
              </w:rPr>
            </w:pPr>
            <w:r w:rsidRPr="001D41EA">
              <w:rPr>
                <w:rFonts w:cs="Arial"/>
                <w:sz w:val="18"/>
                <w:szCs w:val="18"/>
              </w:rPr>
              <w:t>1.218</w:t>
            </w:r>
          </w:p>
        </w:tc>
        <w:tc>
          <w:tcPr>
            <w:tcW w:w="1134" w:type="dxa"/>
            <w:tcBorders>
              <w:top w:val="nil"/>
              <w:left w:val="nil"/>
              <w:bottom w:val="nil"/>
              <w:right w:val="nil"/>
            </w:tcBorders>
            <w:vAlign w:val="bottom"/>
          </w:tcPr>
          <w:p w14:paraId="1893C14D" w14:textId="1A5A39A8" w:rsidR="00566EA9" w:rsidRPr="001D41EA" w:rsidRDefault="00566EA9" w:rsidP="001D41EA">
            <w:pPr>
              <w:spacing w:before="40" w:after="20"/>
              <w:jc w:val="center"/>
              <w:rPr>
                <w:rFonts w:cs="Arial"/>
                <w:sz w:val="18"/>
                <w:szCs w:val="18"/>
              </w:rPr>
            </w:pPr>
            <w:r w:rsidRPr="001D41EA">
              <w:rPr>
                <w:rFonts w:cs="Arial"/>
                <w:sz w:val="18"/>
                <w:szCs w:val="18"/>
              </w:rPr>
              <w:t>1.221</w:t>
            </w:r>
          </w:p>
        </w:tc>
        <w:tc>
          <w:tcPr>
            <w:tcW w:w="1134" w:type="dxa"/>
            <w:tcBorders>
              <w:top w:val="nil"/>
              <w:left w:val="nil"/>
              <w:bottom w:val="nil"/>
              <w:right w:val="nil"/>
            </w:tcBorders>
            <w:vAlign w:val="bottom"/>
          </w:tcPr>
          <w:p w14:paraId="3E3F860B" w14:textId="1262A8EB" w:rsidR="00566EA9" w:rsidRPr="001D41EA" w:rsidRDefault="00566EA9" w:rsidP="001D41EA">
            <w:pPr>
              <w:spacing w:before="40" w:after="20"/>
              <w:jc w:val="center"/>
              <w:rPr>
                <w:rFonts w:cs="Arial"/>
                <w:sz w:val="18"/>
                <w:szCs w:val="18"/>
              </w:rPr>
            </w:pPr>
            <w:r w:rsidRPr="001D41EA">
              <w:rPr>
                <w:rFonts w:cs="Arial"/>
                <w:sz w:val="18"/>
                <w:szCs w:val="18"/>
              </w:rPr>
              <w:t>1.219</w:t>
            </w:r>
          </w:p>
        </w:tc>
        <w:tc>
          <w:tcPr>
            <w:tcW w:w="1134" w:type="dxa"/>
            <w:tcBorders>
              <w:top w:val="nil"/>
              <w:left w:val="nil"/>
              <w:bottom w:val="nil"/>
              <w:right w:val="nil"/>
            </w:tcBorders>
            <w:vAlign w:val="bottom"/>
          </w:tcPr>
          <w:p w14:paraId="776B62FD" w14:textId="6DF6EC67" w:rsidR="00566EA9" w:rsidRPr="001D41EA" w:rsidRDefault="00566EA9" w:rsidP="001D41EA">
            <w:pPr>
              <w:spacing w:before="40" w:after="20"/>
              <w:jc w:val="center"/>
              <w:rPr>
                <w:rFonts w:cs="Arial"/>
                <w:sz w:val="18"/>
                <w:szCs w:val="18"/>
              </w:rPr>
            </w:pPr>
            <w:r w:rsidRPr="001D41EA">
              <w:rPr>
                <w:rFonts w:cs="Arial"/>
                <w:sz w:val="18"/>
                <w:szCs w:val="18"/>
              </w:rPr>
              <w:t>1.204</w:t>
            </w:r>
          </w:p>
        </w:tc>
        <w:tc>
          <w:tcPr>
            <w:tcW w:w="170" w:type="dxa"/>
            <w:tcBorders>
              <w:top w:val="nil"/>
              <w:left w:val="nil"/>
              <w:bottom w:val="nil"/>
              <w:right w:val="nil"/>
            </w:tcBorders>
            <w:vAlign w:val="bottom"/>
          </w:tcPr>
          <w:p w14:paraId="6DC170B4" w14:textId="34D80BA0"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310D9FB4" w14:textId="5F42DBA7" w:rsidR="00566EA9" w:rsidRPr="001D41EA" w:rsidRDefault="00566EA9" w:rsidP="001D41EA">
            <w:pPr>
              <w:spacing w:before="40" w:after="20"/>
              <w:jc w:val="center"/>
              <w:rPr>
                <w:rFonts w:cs="Arial"/>
                <w:sz w:val="18"/>
                <w:szCs w:val="18"/>
              </w:rPr>
            </w:pPr>
            <w:r w:rsidRPr="001D41EA">
              <w:rPr>
                <w:rFonts w:cs="Arial"/>
                <w:sz w:val="18"/>
                <w:szCs w:val="18"/>
              </w:rPr>
              <w:t>0.914</w:t>
            </w:r>
          </w:p>
        </w:tc>
        <w:tc>
          <w:tcPr>
            <w:tcW w:w="1134" w:type="dxa"/>
            <w:tcBorders>
              <w:top w:val="nil"/>
              <w:left w:val="nil"/>
              <w:bottom w:val="nil"/>
              <w:right w:val="nil"/>
            </w:tcBorders>
            <w:shd w:val="clear" w:color="auto" w:fill="auto"/>
            <w:vAlign w:val="bottom"/>
          </w:tcPr>
          <w:p w14:paraId="72B48F09" w14:textId="22F19067" w:rsidR="00566EA9" w:rsidRPr="001D41EA" w:rsidRDefault="00566EA9" w:rsidP="001D41EA">
            <w:pPr>
              <w:spacing w:before="40" w:after="20"/>
              <w:jc w:val="center"/>
              <w:rPr>
                <w:rFonts w:cs="Arial"/>
                <w:sz w:val="18"/>
                <w:szCs w:val="18"/>
              </w:rPr>
            </w:pPr>
            <w:r w:rsidRPr="001D41EA">
              <w:rPr>
                <w:rFonts w:cs="Arial"/>
                <w:sz w:val="18"/>
                <w:szCs w:val="18"/>
              </w:rPr>
              <w:t>0.908</w:t>
            </w:r>
          </w:p>
        </w:tc>
      </w:tr>
      <w:tr w:rsidR="00566EA9" w:rsidRPr="001D41EA" w14:paraId="457E91F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B255AD9" w14:textId="77777777" w:rsidR="00566EA9" w:rsidRPr="001D41EA" w:rsidRDefault="00566EA9" w:rsidP="001D41EA">
            <w:pPr>
              <w:spacing w:before="40" w:after="20"/>
              <w:rPr>
                <w:rFonts w:cs="Arial"/>
                <w:sz w:val="18"/>
                <w:szCs w:val="18"/>
              </w:rPr>
            </w:pPr>
            <w:r w:rsidRPr="001D41EA">
              <w:rPr>
                <w:rFonts w:cs="Arial"/>
                <w:sz w:val="18"/>
                <w:szCs w:val="18"/>
              </w:rPr>
              <w:t>Yarra Ranges S</w:t>
            </w:r>
          </w:p>
        </w:tc>
        <w:tc>
          <w:tcPr>
            <w:tcW w:w="1134" w:type="dxa"/>
            <w:tcBorders>
              <w:top w:val="nil"/>
              <w:left w:val="single" w:sz="18" w:space="0" w:color="5F497A" w:themeColor="accent4" w:themeShade="BF"/>
              <w:bottom w:val="nil"/>
              <w:right w:val="nil"/>
            </w:tcBorders>
            <w:shd w:val="clear" w:color="auto" w:fill="auto"/>
            <w:vAlign w:val="bottom"/>
          </w:tcPr>
          <w:p w14:paraId="031AEF08" w14:textId="283D8720" w:rsidR="00566EA9" w:rsidRPr="001D41EA" w:rsidRDefault="00566EA9" w:rsidP="001D41EA">
            <w:pPr>
              <w:spacing w:before="40" w:after="20"/>
              <w:jc w:val="center"/>
              <w:rPr>
                <w:rFonts w:cs="Arial"/>
                <w:sz w:val="18"/>
                <w:szCs w:val="18"/>
              </w:rPr>
            </w:pPr>
            <w:r w:rsidRPr="001D41EA">
              <w:rPr>
                <w:rFonts w:cs="Arial"/>
                <w:sz w:val="18"/>
                <w:szCs w:val="18"/>
              </w:rPr>
              <w:t>0.822</w:t>
            </w:r>
          </w:p>
        </w:tc>
        <w:tc>
          <w:tcPr>
            <w:tcW w:w="1134" w:type="dxa"/>
            <w:tcBorders>
              <w:top w:val="nil"/>
              <w:left w:val="nil"/>
              <w:bottom w:val="nil"/>
              <w:right w:val="nil"/>
            </w:tcBorders>
            <w:vAlign w:val="bottom"/>
          </w:tcPr>
          <w:p w14:paraId="3B50C239" w14:textId="5B75A9F2" w:rsidR="00566EA9" w:rsidRPr="001D41EA" w:rsidRDefault="00566EA9" w:rsidP="001D41EA">
            <w:pPr>
              <w:spacing w:before="40" w:after="20"/>
              <w:jc w:val="center"/>
              <w:rPr>
                <w:rFonts w:cs="Arial"/>
                <w:sz w:val="18"/>
                <w:szCs w:val="18"/>
              </w:rPr>
            </w:pPr>
            <w:r w:rsidRPr="001D41EA">
              <w:rPr>
                <w:rFonts w:cs="Arial"/>
                <w:sz w:val="18"/>
                <w:szCs w:val="18"/>
              </w:rPr>
              <w:t>0.823</w:t>
            </w:r>
          </w:p>
        </w:tc>
        <w:tc>
          <w:tcPr>
            <w:tcW w:w="1134" w:type="dxa"/>
            <w:tcBorders>
              <w:top w:val="nil"/>
              <w:left w:val="nil"/>
              <w:bottom w:val="nil"/>
              <w:right w:val="nil"/>
            </w:tcBorders>
            <w:vAlign w:val="bottom"/>
          </w:tcPr>
          <w:p w14:paraId="52C382D3" w14:textId="4C058227" w:rsidR="00566EA9" w:rsidRPr="001D41EA" w:rsidRDefault="00566EA9" w:rsidP="001D41EA">
            <w:pPr>
              <w:spacing w:before="40" w:after="20"/>
              <w:jc w:val="center"/>
              <w:rPr>
                <w:rFonts w:cs="Arial"/>
                <w:sz w:val="18"/>
                <w:szCs w:val="18"/>
              </w:rPr>
            </w:pPr>
            <w:r w:rsidRPr="001D41EA">
              <w:rPr>
                <w:rFonts w:cs="Arial"/>
                <w:sz w:val="18"/>
                <w:szCs w:val="18"/>
              </w:rPr>
              <w:t>0.822</w:t>
            </w:r>
          </w:p>
        </w:tc>
        <w:tc>
          <w:tcPr>
            <w:tcW w:w="1134" w:type="dxa"/>
            <w:tcBorders>
              <w:top w:val="nil"/>
              <w:left w:val="nil"/>
              <w:bottom w:val="nil"/>
              <w:right w:val="nil"/>
            </w:tcBorders>
            <w:vAlign w:val="bottom"/>
          </w:tcPr>
          <w:p w14:paraId="2437E704" w14:textId="0A5EF8D3" w:rsidR="00566EA9" w:rsidRPr="001D41EA" w:rsidRDefault="00566EA9" w:rsidP="001D41EA">
            <w:pPr>
              <w:spacing w:before="40" w:after="20"/>
              <w:jc w:val="center"/>
              <w:rPr>
                <w:rFonts w:cs="Arial"/>
                <w:sz w:val="18"/>
                <w:szCs w:val="18"/>
              </w:rPr>
            </w:pPr>
            <w:r w:rsidRPr="001D41EA">
              <w:rPr>
                <w:rFonts w:cs="Arial"/>
                <w:sz w:val="18"/>
                <w:szCs w:val="18"/>
              </w:rPr>
              <w:t>0.812</w:t>
            </w:r>
          </w:p>
        </w:tc>
        <w:tc>
          <w:tcPr>
            <w:tcW w:w="170" w:type="dxa"/>
            <w:tcBorders>
              <w:top w:val="nil"/>
              <w:left w:val="nil"/>
              <w:bottom w:val="nil"/>
              <w:right w:val="nil"/>
            </w:tcBorders>
            <w:vAlign w:val="bottom"/>
          </w:tcPr>
          <w:p w14:paraId="0FA65AEC" w14:textId="787C6448"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7BFADABC" w14:textId="57200FBF" w:rsidR="00566EA9" w:rsidRPr="001D41EA" w:rsidRDefault="00566EA9" w:rsidP="001D41EA">
            <w:pPr>
              <w:spacing w:before="40" w:after="20"/>
              <w:jc w:val="center"/>
              <w:rPr>
                <w:rFonts w:cs="Arial"/>
                <w:sz w:val="18"/>
                <w:szCs w:val="18"/>
              </w:rPr>
            </w:pPr>
            <w:r w:rsidRPr="001D41EA">
              <w:rPr>
                <w:rFonts w:cs="Arial"/>
                <w:sz w:val="18"/>
                <w:szCs w:val="18"/>
              </w:rPr>
              <w:t>1.088</w:t>
            </w:r>
          </w:p>
        </w:tc>
        <w:tc>
          <w:tcPr>
            <w:tcW w:w="1134" w:type="dxa"/>
            <w:tcBorders>
              <w:top w:val="nil"/>
              <w:left w:val="nil"/>
              <w:bottom w:val="nil"/>
              <w:right w:val="nil"/>
            </w:tcBorders>
            <w:shd w:val="clear" w:color="auto" w:fill="auto"/>
            <w:vAlign w:val="bottom"/>
          </w:tcPr>
          <w:p w14:paraId="61A657AE" w14:textId="0408FA51" w:rsidR="00566EA9" w:rsidRPr="001D41EA" w:rsidRDefault="00566EA9" w:rsidP="001D41EA">
            <w:pPr>
              <w:spacing w:before="40" w:after="20"/>
              <w:jc w:val="center"/>
              <w:rPr>
                <w:rFonts w:cs="Arial"/>
                <w:sz w:val="18"/>
                <w:szCs w:val="18"/>
              </w:rPr>
            </w:pPr>
            <w:r w:rsidRPr="001D41EA">
              <w:rPr>
                <w:rFonts w:cs="Arial"/>
                <w:sz w:val="18"/>
                <w:szCs w:val="18"/>
              </w:rPr>
              <w:t>1.081</w:t>
            </w:r>
          </w:p>
        </w:tc>
      </w:tr>
      <w:tr w:rsidR="00566EA9" w:rsidRPr="001D41EA" w14:paraId="4667840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3B19B53" w14:textId="77777777" w:rsidR="00566EA9" w:rsidRPr="001D41EA" w:rsidRDefault="00566EA9" w:rsidP="001D41EA">
            <w:pPr>
              <w:spacing w:before="40" w:after="20"/>
              <w:rPr>
                <w:rFonts w:cs="Arial"/>
                <w:sz w:val="18"/>
                <w:szCs w:val="18"/>
              </w:rPr>
            </w:pPr>
            <w:r w:rsidRPr="001D41EA">
              <w:rPr>
                <w:rFonts w:cs="Arial"/>
                <w:sz w:val="18"/>
                <w:szCs w:val="18"/>
              </w:rPr>
              <w:t>Yarriambiack S</w:t>
            </w:r>
          </w:p>
        </w:tc>
        <w:tc>
          <w:tcPr>
            <w:tcW w:w="1134" w:type="dxa"/>
            <w:tcBorders>
              <w:top w:val="nil"/>
              <w:left w:val="single" w:sz="18" w:space="0" w:color="5F497A" w:themeColor="accent4" w:themeShade="BF"/>
              <w:bottom w:val="nil"/>
              <w:right w:val="nil"/>
            </w:tcBorders>
            <w:shd w:val="clear" w:color="auto" w:fill="auto"/>
            <w:vAlign w:val="bottom"/>
          </w:tcPr>
          <w:p w14:paraId="6FA091A5" w14:textId="6777A66D" w:rsidR="00566EA9" w:rsidRPr="001D41EA" w:rsidRDefault="00566EA9" w:rsidP="001D41EA">
            <w:pPr>
              <w:spacing w:before="40" w:after="20"/>
              <w:jc w:val="center"/>
              <w:rPr>
                <w:rFonts w:cs="Arial"/>
                <w:sz w:val="18"/>
                <w:szCs w:val="18"/>
              </w:rPr>
            </w:pPr>
            <w:r w:rsidRPr="001D41EA">
              <w:rPr>
                <w:rFonts w:cs="Arial"/>
                <w:sz w:val="18"/>
                <w:szCs w:val="18"/>
              </w:rPr>
              <w:t>0.891</w:t>
            </w:r>
          </w:p>
        </w:tc>
        <w:tc>
          <w:tcPr>
            <w:tcW w:w="1134" w:type="dxa"/>
            <w:tcBorders>
              <w:top w:val="nil"/>
              <w:left w:val="nil"/>
              <w:bottom w:val="nil"/>
              <w:right w:val="nil"/>
            </w:tcBorders>
            <w:vAlign w:val="bottom"/>
          </w:tcPr>
          <w:p w14:paraId="7E00669E" w14:textId="74389BDB" w:rsidR="00566EA9" w:rsidRPr="001D41EA" w:rsidRDefault="00566EA9" w:rsidP="001D41EA">
            <w:pPr>
              <w:spacing w:before="40" w:after="20"/>
              <w:jc w:val="center"/>
              <w:rPr>
                <w:rFonts w:cs="Arial"/>
                <w:sz w:val="18"/>
                <w:szCs w:val="18"/>
              </w:rPr>
            </w:pPr>
            <w:r w:rsidRPr="001D41EA">
              <w:rPr>
                <w:rFonts w:cs="Arial"/>
                <w:sz w:val="18"/>
                <w:szCs w:val="18"/>
              </w:rPr>
              <w:t>0.893</w:t>
            </w:r>
          </w:p>
        </w:tc>
        <w:tc>
          <w:tcPr>
            <w:tcW w:w="1134" w:type="dxa"/>
            <w:tcBorders>
              <w:top w:val="nil"/>
              <w:left w:val="nil"/>
              <w:bottom w:val="nil"/>
              <w:right w:val="nil"/>
            </w:tcBorders>
            <w:vAlign w:val="bottom"/>
          </w:tcPr>
          <w:p w14:paraId="63F4448E" w14:textId="3AC00EDB" w:rsidR="00566EA9" w:rsidRPr="001D41EA" w:rsidRDefault="00566EA9" w:rsidP="001D41EA">
            <w:pPr>
              <w:spacing w:before="40" w:after="20"/>
              <w:jc w:val="center"/>
              <w:rPr>
                <w:rFonts w:cs="Arial"/>
                <w:sz w:val="18"/>
                <w:szCs w:val="18"/>
              </w:rPr>
            </w:pPr>
            <w:r w:rsidRPr="001D41EA">
              <w:rPr>
                <w:rFonts w:cs="Arial"/>
                <w:sz w:val="18"/>
                <w:szCs w:val="18"/>
              </w:rPr>
              <w:t>0.891</w:t>
            </w:r>
          </w:p>
        </w:tc>
        <w:tc>
          <w:tcPr>
            <w:tcW w:w="1134" w:type="dxa"/>
            <w:tcBorders>
              <w:top w:val="nil"/>
              <w:left w:val="nil"/>
              <w:bottom w:val="nil"/>
              <w:right w:val="nil"/>
            </w:tcBorders>
            <w:vAlign w:val="bottom"/>
          </w:tcPr>
          <w:p w14:paraId="706DA904" w14:textId="7506A96B" w:rsidR="00566EA9" w:rsidRPr="001D41EA" w:rsidRDefault="00566EA9" w:rsidP="001D41EA">
            <w:pPr>
              <w:spacing w:before="40" w:after="20"/>
              <w:jc w:val="center"/>
              <w:rPr>
                <w:rFonts w:cs="Arial"/>
                <w:sz w:val="18"/>
                <w:szCs w:val="18"/>
              </w:rPr>
            </w:pPr>
            <w:r w:rsidRPr="001D41EA">
              <w:rPr>
                <w:rFonts w:cs="Arial"/>
                <w:sz w:val="18"/>
                <w:szCs w:val="18"/>
              </w:rPr>
              <w:t>0.880</w:t>
            </w:r>
          </w:p>
        </w:tc>
        <w:tc>
          <w:tcPr>
            <w:tcW w:w="170" w:type="dxa"/>
            <w:tcBorders>
              <w:top w:val="nil"/>
              <w:left w:val="nil"/>
              <w:bottom w:val="nil"/>
              <w:right w:val="nil"/>
            </w:tcBorders>
            <w:vAlign w:val="bottom"/>
          </w:tcPr>
          <w:p w14:paraId="39F9F4C4" w14:textId="1B9E611D"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nil"/>
              <w:left w:val="nil"/>
              <w:bottom w:val="nil"/>
              <w:right w:val="nil"/>
            </w:tcBorders>
            <w:vAlign w:val="bottom"/>
          </w:tcPr>
          <w:p w14:paraId="452FD5D9" w14:textId="26005719" w:rsidR="00566EA9" w:rsidRPr="001D41EA" w:rsidRDefault="00566EA9" w:rsidP="001D41EA">
            <w:pPr>
              <w:spacing w:before="40" w:after="20"/>
              <w:jc w:val="center"/>
              <w:rPr>
                <w:rFonts w:cs="Arial"/>
                <w:sz w:val="18"/>
                <w:szCs w:val="18"/>
              </w:rPr>
            </w:pPr>
            <w:r w:rsidRPr="001D41EA">
              <w:rPr>
                <w:rFonts w:cs="Arial"/>
                <w:sz w:val="18"/>
                <w:szCs w:val="18"/>
              </w:rPr>
              <w:t>1.721</w:t>
            </w:r>
          </w:p>
        </w:tc>
        <w:tc>
          <w:tcPr>
            <w:tcW w:w="1134" w:type="dxa"/>
            <w:tcBorders>
              <w:top w:val="nil"/>
              <w:left w:val="nil"/>
              <w:bottom w:val="nil"/>
              <w:right w:val="nil"/>
            </w:tcBorders>
            <w:shd w:val="clear" w:color="auto" w:fill="auto"/>
            <w:vAlign w:val="bottom"/>
          </w:tcPr>
          <w:p w14:paraId="572BCD15" w14:textId="761A3172" w:rsidR="00566EA9" w:rsidRPr="001D41EA" w:rsidRDefault="00566EA9" w:rsidP="001D41EA">
            <w:pPr>
              <w:spacing w:before="40" w:after="20"/>
              <w:jc w:val="center"/>
              <w:rPr>
                <w:rFonts w:cs="Arial"/>
                <w:sz w:val="18"/>
                <w:szCs w:val="18"/>
              </w:rPr>
            </w:pPr>
            <w:r w:rsidRPr="001D41EA">
              <w:rPr>
                <w:rFonts w:cs="Arial"/>
                <w:sz w:val="18"/>
                <w:szCs w:val="18"/>
              </w:rPr>
              <w:t>1.712</w:t>
            </w:r>
          </w:p>
        </w:tc>
      </w:tr>
      <w:tr w:rsidR="009E2B93" w:rsidRPr="001D41EA" w14:paraId="17A954F7" w14:textId="77777777" w:rsidTr="009E2B93">
        <w:tc>
          <w:tcPr>
            <w:tcW w:w="2268" w:type="dxa"/>
            <w:tcBorders>
              <w:top w:val="nil"/>
              <w:left w:val="nil"/>
              <w:bottom w:val="nil"/>
              <w:right w:val="single" w:sz="18" w:space="0" w:color="5F497A" w:themeColor="accent4" w:themeShade="BF"/>
            </w:tcBorders>
            <w:shd w:val="clear" w:color="auto" w:fill="auto"/>
            <w:vAlign w:val="center"/>
          </w:tcPr>
          <w:p w14:paraId="0C40115A" w14:textId="77777777" w:rsidR="009E2B93" w:rsidRPr="001D41EA" w:rsidRDefault="009E2B93" w:rsidP="001D41EA">
            <w:pPr>
              <w:spacing w:before="40" w:after="20"/>
              <w:rPr>
                <w:rFonts w:cs="Arial"/>
                <w:sz w:val="18"/>
                <w:szCs w:val="18"/>
                <w:lang w:eastAsia="ko-KR"/>
              </w:rPr>
            </w:pPr>
          </w:p>
        </w:tc>
        <w:tc>
          <w:tcPr>
            <w:tcW w:w="1134" w:type="dxa"/>
            <w:tcBorders>
              <w:top w:val="nil"/>
              <w:left w:val="single" w:sz="18" w:space="0" w:color="5F497A" w:themeColor="accent4" w:themeShade="BF"/>
              <w:bottom w:val="single" w:sz="8" w:space="0" w:color="5F497A" w:themeColor="accent4" w:themeShade="BF"/>
              <w:right w:val="nil"/>
            </w:tcBorders>
            <w:shd w:val="clear" w:color="auto" w:fill="auto"/>
            <w:vAlign w:val="center"/>
          </w:tcPr>
          <w:p w14:paraId="10E66E42" w14:textId="77777777"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vAlign w:val="center"/>
          </w:tcPr>
          <w:p w14:paraId="7320952B" w14:textId="77777777"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tcPr>
          <w:p w14:paraId="198DECE9" w14:textId="77777777"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tcPr>
          <w:p w14:paraId="44077F7E" w14:textId="2CF6F7D2" w:rsidR="009E2B93" w:rsidRPr="001D41EA" w:rsidRDefault="009E2B93" w:rsidP="001D41EA">
            <w:pPr>
              <w:spacing w:before="40" w:after="20"/>
              <w:jc w:val="center"/>
              <w:rPr>
                <w:rFonts w:cs="Arial"/>
                <w:sz w:val="18"/>
                <w:szCs w:val="18"/>
              </w:rPr>
            </w:pPr>
          </w:p>
        </w:tc>
        <w:tc>
          <w:tcPr>
            <w:tcW w:w="170" w:type="dxa"/>
            <w:tcBorders>
              <w:top w:val="nil"/>
              <w:left w:val="nil"/>
              <w:bottom w:val="single" w:sz="8" w:space="0" w:color="5F497A" w:themeColor="accent4" w:themeShade="BF"/>
              <w:right w:val="nil"/>
            </w:tcBorders>
            <w:vAlign w:val="center"/>
          </w:tcPr>
          <w:p w14:paraId="6EB2DBC3" w14:textId="77777777"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vAlign w:val="center"/>
          </w:tcPr>
          <w:p w14:paraId="5EA5C39F" w14:textId="77777777"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shd w:val="clear" w:color="auto" w:fill="auto"/>
            <w:vAlign w:val="center"/>
          </w:tcPr>
          <w:p w14:paraId="184E874D" w14:textId="77777777" w:rsidR="009E2B93" w:rsidRPr="001D41EA" w:rsidRDefault="009E2B93" w:rsidP="001D41EA">
            <w:pPr>
              <w:spacing w:before="40" w:after="20"/>
              <w:jc w:val="center"/>
              <w:rPr>
                <w:rFonts w:cs="Arial"/>
                <w:sz w:val="18"/>
                <w:szCs w:val="18"/>
              </w:rPr>
            </w:pPr>
          </w:p>
        </w:tc>
      </w:tr>
      <w:tr w:rsidR="009E2B93" w:rsidRPr="001D41EA" w14:paraId="147DAEE1" w14:textId="77777777" w:rsidTr="009E2B93">
        <w:tc>
          <w:tcPr>
            <w:tcW w:w="2268" w:type="dxa"/>
            <w:tcBorders>
              <w:top w:val="nil"/>
              <w:left w:val="nil"/>
              <w:bottom w:val="nil"/>
              <w:right w:val="single" w:sz="18" w:space="0" w:color="5F497A" w:themeColor="accent4" w:themeShade="BF"/>
            </w:tcBorders>
            <w:shd w:val="clear" w:color="auto" w:fill="auto"/>
            <w:vAlign w:val="center"/>
          </w:tcPr>
          <w:p w14:paraId="562D3FDA" w14:textId="77777777" w:rsidR="009E2B93" w:rsidRPr="001D41EA" w:rsidRDefault="009E2B93" w:rsidP="001D41EA">
            <w:pPr>
              <w:spacing w:before="40" w:after="20"/>
              <w:rPr>
                <w:rFonts w:cs="Arial"/>
                <w:sz w:val="18"/>
                <w:szCs w:val="18"/>
                <w:lang w:eastAsia="ko-KR"/>
              </w:rPr>
            </w:pPr>
          </w:p>
        </w:tc>
        <w:tc>
          <w:tcPr>
            <w:tcW w:w="1134" w:type="dxa"/>
            <w:tcBorders>
              <w:top w:val="single" w:sz="8" w:space="0" w:color="5F497A" w:themeColor="accent4" w:themeShade="BF"/>
              <w:left w:val="single" w:sz="18" w:space="0" w:color="5F497A" w:themeColor="accent4" w:themeShade="BF"/>
              <w:right w:val="nil"/>
            </w:tcBorders>
            <w:shd w:val="clear" w:color="auto" w:fill="auto"/>
            <w:vAlign w:val="center"/>
          </w:tcPr>
          <w:p w14:paraId="20F769E9" w14:textId="5C000B6A"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134" w:type="dxa"/>
            <w:tcBorders>
              <w:top w:val="single" w:sz="8" w:space="0" w:color="5F497A" w:themeColor="accent4" w:themeShade="BF"/>
              <w:left w:val="nil"/>
              <w:right w:val="nil"/>
            </w:tcBorders>
            <w:vAlign w:val="center"/>
          </w:tcPr>
          <w:p w14:paraId="4EA6CFB5" w14:textId="08C2C877"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134" w:type="dxa"/>
            <w:tcBorders>
              <w:top w:val="single" w:sz="8" w:space="0" w:color="5F497A" w:themeColor="accent4" w:themeShade="BF"/>
              <w:left w:val="nil"/>
              <w:right w:val="nil"/>
            </w:tcBorders>
          </w:tcPr>
          <w:p w14:paraId="7C675BCC" w14:textId="293E304B" w:rsidR="009E2B93" w:rsidRPr="001D41EA" w:rsidRDefault="00790D04" w:rsidP="001D41EA">
            <w:pPr>
              <w:spacing w:before="40" w:after="20"/>
              <w:jc w:val="center"/>
              <w:rPr>
                <w:rFonts w:cs="Arial"/>
                <w:b/>
                <w:sz w:val="18"/>
                <w:szCs w:val="18"/>
              </w:rPr>
            </w:pPr>
            <w:r w:rsidRPr="001D41EA">
              <w:rPr>
                <w:rFonts w:cs="Arial"/>
                <w:b/>
                <w:sz w:val="18"/>
                <w:szCs w:val="18"/>
              </w:rPr>
              <w:t>1.000</w:t>
            </w:r>
          </w:p>
        </w:tc>
        <w:tc>
          <w:tcPr>
            <w:tcW w:w="1134" w:type="dxa"/>
            <w:tcBorders>
              <w:top w:val="single" w:sz="8" w:space="0" w:color="5F497A" w:themeColor="accent4" w:themeShade="BF"/>
              <w:left w:val="nil"/>
              <w:right w:val="nil"/>
            </w:tcBorders>
          </w:tcPr>
          <w:p w14:paraId="707B3834" w14:textId="74C67444" w:rsidR="009E2B93" w:rsidRPr="001D41EA" w:rsidRDefault="009E2B93" w:rsidP="001D41EA">
            <w:pPr>
              <w:spacing w:before="40" w:after="20"/>
              <w:jc w:val="center"/>
              <w:rPr>
                <w:rFonts w:cs="Arial"/>
                <w:sz w:val="18"/>
                <w:szCs w:val="18"/>
              </w:rPr>
            </w:pPr>
            <w:r w:rsidRPr="001D41EA">
              <w:rPr>
                <w:rFonts w:cs="Arial"/>
                <w:b/>
                <w:sz w:val="18"/>
                <w:szCs w:val="18"/>
              </w:rPr>
              <w:t>1.000</w:t>
            </w:r>
          </w:p>
        </w:tc>
        <w:tc>
          <w:tcPr>
            <w:tcW w:w="170" w:type="dxa"/>
            <w:tcBorders>
              <w:top w:val="single" w:sz="8" w:space="0" w:color="5F497A" w:themeColor="accent4" w:themeShade="BF"/>
              <w:left w:val="nil"/>
              <w:right w:val="nil"/>
            </w:tcBorders>
            <w:vAlign w:val="center"/>
          </w:tcPr>
          <w:p w14:paraId="422820D8" w14:textId="77777777" w:rsidR="009E2B93" w:rsidRPr="001D41EA" w:rsidRDefault="009E2B93" w:rsidP="001D41EA">
            <w:pPr>
              <w:spacing w:before="40" w:after="20"/>
              <w:jc w:val="center"/>
              <w:rPr>
                <w:rFonts w:cs="Arial"/>
                <w:sz w:val="18"/>
                <w:szCs w:val="18"/>
              </w:rPr>
            </w:pPr>
          </w:p>
        </w:tc>
        <w:tc>
          <w:tcPr>
            <w:tcW w:w="1134" w:type="dxa"/>
            <w:tcBorders>
              <w:top w:val="single" w:sz="8" w:space="0" w:color="5F497A" w:themeColor="accent4" w:themeShade="BF"/>
              <w:left w:val="nil"/>
              <w:right w:val="nil"/>
            </w:tcBorders>
            <w:vAlign w:val="center"/>
          </w:tcPr>
          <w:p w14:paraId="1880E559" w14:textId="6193BD9E"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134" w:type="dxa"/>
            <w:tcBorders>
              <w:top w:val="single" w:sz="8" w:space="0" w:color="5F497A" w:themeColor="accent4" w:themeShade="BF"/>
              <w:left w:val="nil"/>
              <w:right w:val="nil"/>
            </w:tcBorders>
            <w:shd w:val="clear" w:color="auto" w:fill="auto"/>
            <w:vAlign w:val="center"/>
          </w:tcPr>
          <w:p w14:paraId="23EB49DF" w14:textId="7BDE3FD2" w:rsidR="009E2B93" w:rsidRPr="001D41EA" w:rsidRDefault="009E2B93" w:rsidP="001D41EA">
            <w:pPr>
              <w:spacing w:before="40" w:after="20"/>
              <w:jc w:val="center"/>
              <w:rPr>
                <w:rFonts w:cs="Arial"/>
                <w:b/>
                <w:sz w:val="18"/>
                <w:szCs w:val="18"/>
              </w:rPr>
            </w:pPr>
            <w:r w:rsidRPr="001D41EA">
              <w:rPr>
                <w:rFonts w:cs="Arial"/>
                <w:b/>
                <w:sz w:val="18"/>
                <w:szCs w:val="18"/>
              </w:rPr>
              <w:t>1.000</w:t>
            </w:r>
          </w:p>
        </w:tc>
      </w:tr>
    </w:tbl>
    <w:p w14:paraId="06F43238" w14:textId="77777777" w:rsidR="00A009D7" w:rsidRPr="00A44829" w:rsidRDefault="00A009D7" w:rsidP="00FF36E8">
      <w:pPr>
        <w:spacing w:before="40" w:after="20"/>
        <w:rPr>
          <w:rFonts w:cs="Arial"/>
          <w:sz w:val="18"/>
          <w:szCs w:val="18"/>
        </w:rPr>
      </w:pPr>
    </w:p>
    <w:p w14:paraId="34AAB06D" w14:textId="241F2E24" w:rsidR="007B7FEA" w:rsidRPr="00A44829" w:rsidRDefault="00A009D7" w:rsidP="00FF36E8">
      <w:pPr>
        <w:spacing w:before="40" w:after="20"/>
        <w:rPr>
          <w:rFonts w:cs="Arial"/>
          <w:sz w:val="18"/>
          <w:szCs w:val="18"/>
        </w:rPr>
      </w:pPr>
      <w:r w:rsidRPr="005D19CF">
        <w:rPr>
          <w:rFonts w:cs="Arial"/>
          <w:i/>
          <w:sz w:val="16"/>
          <w:szCs w:val="16"/>
        </w:rPr>
        <w:t xml:space="preserve">* Modified Population - adjusted by </w:t>
      </w:r>
      <w:r w:rsidR="005D19CF">
        <w:rPr>
          <w:rFonts w:cs="Arial"/>
          <w:i/>
          <w:sz w:val="16"/>
          <w:szCs w:val="16"/>
        </w:rPr>
        <w:t>half</w:t>
      </w:r>
      <w:r w:rsidRPr="005D19CF">
        <w:rPr>
          <w:rFonts w:cs="Arial"/>
          <w:i/>
          <w:sz w:val="16"/>
          <w:szCs w:val="16"/>
        </w:rPr>
        <w:t xml:space="preserve"> vacancy rate to take account of part-time residents.</w:t>
      </w:r>
      <w:r w:rsidRPr="00A44829">
        <w:rPr>
          <w:rFonts w:cs="Arial"/>
          <w:i/>
          <w:sz w:val="16"/>
          <w:szCs w:val="16"/>
        </w:rPr>
        <w:t xml:space="preserve">  </w:t>
      </w:r>
    </w:p>
    <w:p w14:paraId="0ABCE6DB" w14:textId="77777777" w:rsidR="00566EA9" w:rsidRPr="00A44829" w:rsidRDefault="00566EA9">
      <w:pPr>
        <w:rPr>
          <w:rFonts w:cs="Arial"/>
          <w:bCs/>
          <w:color w:val="5F497A" w:themeColor="accent4" w:themeShade="BF"/>
          <w:sz w:val="4"/>
          <w:szCs w:val="4"/>
        </w:rPr>
      </w:pPr>
      <w:r w:rsidRPr="00A44829">
        <w:rPr>
          <w:rFonts w:cs="Arial"/>
        </w:rPr>
        <w:br w:type="page"/>
      </w:r>
    </w:p>
    <w:p w14:paraId="133F1267" w14:textId="370252E2" w:rsidR="007B7FEA" w:rsidRPr="00A44829" w:rsidRDefault="00EE4593" w:rsidP="00C33713">
      <w:pPr>
        <w:pStyle w:val="VGC-Head10"/>
      </w:pPr>
      <w:r w:rsidRPr="00A44829">
        <w:lastRenderedPageBreak/>
        <w:t>2019-20</w:t>
      </w:r>
      <w:r w:rsidR="00A97ABE" w:rsidRPr="00A44829">
        <w:t xml:space="preserve"> </w:t>
      </w:r>
      <w:r w:rsidR="007B7FEA" w:rsidRPr="00A44829">
        <w:t>General Purpose Grants</w:t>
      </w:r>
      <w:r w:rsidR="007B7FEA" w:rsidRPr="00A44829">
        <w:tab/>
        <w:t>Appendix 4</w:t>
      </w:r>
    </w:p>
    <w:p w14:paraId="75B1B3DC" w14:textId="10F09803" w:rsidR="007B7FEA" w:rsidRPr="00A44829" w:rsidRDefault="004F1184" w:rsidP="008C1A28">
      <w:pPr>
        <w:pStyle w:val="VGC-Head2"/>
      </w:pPr>
      <w:r w:rsidRPr="00A44829">
        <w:tab/>
      </w:r>
      <w:r w:rsidR="007B7FEA" w:rsidRPr="00A44829">
        <w:t xml:space="preserve">D.  Cost Adjustors - </w:t>
      </w:r>
      <w:r w:rsidR="002A2397">
        <w:t>Index</w:t>
      </w:r>
    </w:p>
    <w:p w14:paraId="3D4DF2D6" w14:textId="77777777" w:rsidR="008F0C49" w:rsidRPr="00A44829" w:rsidRDefault="008F0C49"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A44829" w14:paraId="6F57741F" w14:textId="77777777" w:rsidTr="00A66703">
        <w:tc>
          <w:tcPr>
            <w:tcW w:w="2268" w:type="dxa"/>
            <w:tcBorders>
              <w:top w:val="nil"/>
              <w:left w:val="nil"/>
              <w:bottom w:val="nil"/>
              <w:right w:val="single" w:sz="18" w:space="0" w:color="5F497A" w:themeColor="accent4" w:themeShade="BF"/>
            </w:tcBorders>
            <w:shd w:val="clear" w:color="auto" w:fill="auto"/>
            <w:vAlign w:val="bottom"/>
          </w:tcPr>
          <w:p w14:paraId="7269D594" w14:textId="77777777" w:rsidR="009E2B93" w:rsidRPr="00A44829" w:rsidRDefault="009E2B93" w:rsidP="00576338">
            <w:pPr>
              <w:spacing w:before="40" w:after="20"/>
              <w:ind w:right="105"/>
              <w:jc w:val="right"/>
              <w:rPr>
                <w:rFonts w:cs="Arial"/>
                <w:b/>
                <w:sz w:val="18"/>
                <w:szCs w:val="18"/>
              </w:rPr>
            </w:pPr>
            <w:r w:rsidRPr="00A44829">
              <w:rPr>
                <w:rFonts w:cs="Arial"/>
                <w:b/>
                <w:sz w:val="18"/>
                <w:szCs w:val="18"/>
              </w:rPr>
              <w:t>Cost Adjustor</w:t>
            </w:r>
          </w:p>
        </w:tc>
        <w:tc>
          <w:tcPr>
            <w:tcW w:w="2268" w:type="dxa"/>
            <w:gridSpan w:val="2"/>
            <w:tcBorders>
              <w:top w:val="nil"/>
              <w:left w:val="single" w:sz="18" w:space="0" w:color="5F497A" w:themeColor="accent4" w:themeShade="BF"/>
              <w:bottom w:val="single" w:sz="8" w:space="0" w:color="5F497A" w:themeColor="accent4" w:themeShade="BF"/>
            </w:tcBorders>
            <w:shd w:val="clear" w:color="auto" w:fill="auto"/>
            <w:vAlign w:val="bottom"/>
          </w:tcPr>
          <w:p w14:paraId="613386CD" w14:textId="42488505" w:rsidR="009E2B93" w:rsidRPr="00A44829" w:rsidRDefault="009E2B93" w:rsidP="008001AD">
            <w:pPr>
              <w:spacing w:before="40" w:after="20"/>
              <w:jc w:val="center"/>
              <w:rPr>
                <w:rFonts w:cs="Arial"/>
                <w:b/>
                <w:sz w:val="18"/>
                <w:szCs w:val="18"/>
              </w:rPr>
            </w:pPr>
            <w:r w:rsidRPr="00A44829">
              <w:rPr>
                <w:rFonts w:cs="Arial"/>
                <w:b/>
                <w:sz w:val="18"/>
                <w:szCs w:val="18"/>
              </w:rPr>
              <w:t>Socio-Economic</w:t>
            </w:r>
          </w:p>
        </w:tc>
        <w:tc>
          <w:tcPr>
            <w:tcW w:w="170" w:type="dxa"/>
            <w:vMerge w:val="restart"/>
            <w:tcBorders>
              <w:top w:val="nil"/>
              <w:left w:val="nil"/>
              <w:bottom w:val="single" w:sz="8" w:space="0" w:color="5F497A" w:themeColor="accent4" w:themeShade="BF"/>
              <w:right w:val="nil"/>
            </w:tcBorders>
            <w:vAlign w:val="bottom"/>
          </w:tcPr>
          <w:p w14:paraId="10C74004" w14:textId="77777777" w:rsidR="009E2B93" w:rsidRPr="00A44829" w:rsidRDefault="009E2B93" w:rsidP="008001AD">
            <w:pPr>
              <w:spacing w:before="40" w:after="20"/>
              <w:jc w:val="center"/>
              <w:rPr>
                <w:rFonts w:cs="Arial"/>
                <w:b/>
                <w:sz w:val="18"/>
                <w:szCs w:val="18"/>
              </w:rPr>
            </w:pPr>
          </w:p>
        </w:tc>
        <w:tc>
          <w:tcPr>
            <w:tcW w:w="4536" w:type="dxa"/>
            <w:gridSpan w:val="4"/>
            <w:tcBorders>
              <w:top w:val="nil"/>
              <w:left w:val="nil"/>
              <w:bottom w:val="single" w:sz="8" w:space="0" w:color="5F497A" w:themeColor="accent4" w:themeShade="BF"/>
              <w:right w:val="nil"/>
            </w:tcBorders>
            <w:vAlign w:val="bottom"/>
          </w:tcPr>
          <w:p w14:paraId="46EF8F40" w14:textId="31677605" w:rsidR="009E2B93" w:rsidRPr="00A44829" w:rsidRDefault="009E2B93" w:rsidP="008001AD">
            <w:pPr>
              <w:spacing w:before="40" w:after="20"/>
              <w:jc w:val="center"/>
              <w:rPr>
                <w:rFonts w:cs="Arial"/>
                <w:b/>
                <w:sz w:val="18"/>
                <w:szCs w:val="18"/>
              </w:rPr>
            </w:pPr>
            <w:r w:rsidRPr="00A44829">
              <w:rPr>
                <w:rFonts w:cs="Arial"/>
                <w:b/>
                <w:sz w:val="18"/>
                <w:szCs w:val="18"/>
              </w:rPr>
              <w:t>Tourism</w:t>
            </w:r>
          </w:p>
        </w:tc>
      </w:tr>
      <w:tr w:rsidR="009E2B93" w:rsidRPr="00A44829" w14:paraId="231B4EA1" w14:textId="77777777" w:rsidTr="009E2B93">
        <w:tc>
          <w:tcPr>
            <w:tcW w:w="2268" w:type="dxa"/>
            <w:tcBorders>
              <w:top w:val="nil"/>
              <w:left w:val="nil"/>
              <w:bottom w:val="nil"/>
              <w:right w:val="single" w:sz="18" w:space="0" w:color="5F497A" w:themeColor="accent4" w:themeShade="BF"/>
            </w:tcBorders>
            <w:shd w:val="clear" w:color="auto" w:fill="auto"/>
            <w:vAlign w:val="bottom"/>
          </w:tcPr>
          <w:p w14:paraId="090EBC5B" w14:textId="77777777" w:rsidR="009E2B93" w:rsidRPr="005D19CF" w:rsidRDefault="009E2B93" w:rsidP="00576338">
            <w:pPr>
              <w:spacing w:before="40" w:after="20"/>
              <w:ind w:right="105"/>
              <w:jc w:val="right"/>
              <w:rPr>
                <w:rFonts w:cs="Arial"/>
                <w:b/>
                <w:sz w:val="16"/>
                <w:szCs w:val="16"/>
              </w:rPr>
            </w:pPr>
            <w:r w:rsidRPr="005D19CF">
              <w:rPr>
                <w:rFonts w:cs="Arial"/>
                <w:b/>
                <w:sz w:val="16"/>
                <w:szCs w:val="16"/>
              </w:rPr>
              <w:t>Major Cost Driver</w:t>
            </w: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155CA28A" w14:textId="77777777" w:rsidR="009E2B93" w:rsidRPr="005D19CF" w:rsidRDefault="009E2B93" w:rsidP="008001AD">
            <w:pPr>
              <w:spacing w:before="40" w:after="20"/>
              <w:jc w:val="center"/>
              <w:rPr>
                <w:rFonts w:cs="Arial"/>
                <w:sz w:val="16"/>
                <w:szCs w:val="16"/>
              </w:rPr>
            </w:pPr>
            <w:r w:rsidRPr="005D19CF">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1DD43372" w14:textId="77777777" w:rsidR="009E2B93" w:rsidRPr="005D19CF" w:rsidRDefault="009E2B93" w:rsidP="008001AD">
            <w:pPr>
              <w:spacing w:before="40" w:after="20"/>
              <w:jc w:val="center"/>
              <w:rPr>
                <w:rFonts w:cs="Arial"/>
                <w:sz w:val="16"/>
                <w:szCs w:val="16"/>
              </w:rPr>
            </w:pPr>
            <w:r w:rsidRPr="005D19CF">
              <w:rPr>
                <w:rFonts w:cs="Arial"/>
                <w:sz w:val="16"/>
                <w:szCs w:val="16"/>
              </w:rPr>
              <w:t xml:space="preserve">Population </w:t>
            </w:r>
            <w:r w:rsidRPr="005D19CF">
              <w:rPr>
                <w:rFonts w:cs="Arial"/>
                <w:sz w:val="16"/>
                <w:szCs w:val="16"/>
              </w:rPr>
              <w:br/>
              <w:t>&gt; 60 years</w:t>
            </w:r>
          </w:p>
        </w:tc>
        <w:tc>
          <w:tcPr>
            <w:tcW w:w="170" w:type="dxa"/>
            <w:vMerge/>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70C64F70" w14:textId="77777777" w:rsidR="009E2B93" w:rsidRPr="005D19CF" w:rsidRDefault="009E2B93" w:rsidP="008001AD">
            <w:pPr>
              <w:spacing w:before="40" w:after="20"/>
              <w:jc w:val="center"/>
              <w:rPr>
                <w:rFonts w:cs="Arial"/>
                <w:b/>
                <w:sz w:val="16"/>
                <w:szCs w:val="16"/>
              </w:rPr>
            </w:pP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02E27048" w14:textId="77777777" w:rsidR="009E2B93" w:rsidRPr="005D19CF" w:rsidRDefault="009E2B93" w:rsidP="008001AD">
            <w:pPr>
              <w:spacing w:before="40" w:after="20"/>
              <w:jc w:val="center"/>
              <w:rPr>
                <w:rFonts w:cs="Arial"/>
                <w:sz w:val="16"/>
                <w:szCs w:val="16"/>
              </w:rPr>
            </w:pPr>
            <w:r w:rsidRPr="005D19CF">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43FA1F8C" w14:textId="2C244D88" w:rsidR="009E2B93" w:rsidRPr="005D19CF" w:rsidRDefault="009E2B93" w:rsidP="008001AD">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(min 15,000)</w:t>
            </w:r>
          </w:p>
        </w:tc>
        <w:tc>
          <w:tcPr>
            <w:tcW w:w="1134" w:type="dxa"/>
            <w:tcBorders>
              <w:top w:val="single" w:sz="8" w:space="0" w:color="5F497A" w:themeColor="accent4" w:themeShade="BF"/>
              <w:left w:val="nil"/>
              <w:bottom w:val="single" w:sz="8" w:space="0" w:color="5F497A" w:themeColor="accent4" w:themeShade="BF"/>
              <w:right w:val="nil"/>
            </w:tcBorders>
          </w:tcPr>
          <w:p w14:paraId="33AA4E36" w14:textId="6F92EF67" w:rsidR="009E2B93" w:rsidRPr="005D19CF" w:rsidRDefault="009E2B93" w:rsidP="008001AD">
            <w:pPr>
              <w:spacing w:before="40" w:after="20"/>
              <w:jc w:val="center"/>
              <w:rPr>
                <w:rFonts w:cs="Arial"/>
                <w:sz w:val="16"/>
                <w:szCs w:val="16"/>
              </w:rPr>
            </w:pPr>
            <w:r w:rsidRPr="005D19CF">
              <w:rPr>
                <w:rFonts w:cs="Arial"/>
                <w:sz w:val="16"/>
                <w:szCs w:val="16"/>
              </w:rPr>
              <w:t xml:space="preserve">Modified Pop* </w:t>
            </w:r>
            <w:r w:rsidRPr="005D19CF">
              <w:rPr>
                <w:rFonts w:cs="Arial"/>
                <w:sz w:val="16"/>
                <w:szCs w:val="16"/>
              </w:rPr>
              <w:br/>
              <w:t>(no min)</w:t>
            </w:r>
          </w:p>
        </w:tc>
        <w:tc>
          <w:tcPr>
            <w:tcW w:w="1134" w:type="dxa"/>
            <w:tcBorders>
              <w:top w:val="single" w:sz="8" w:space="0" w:color="5F497A" w:themeColor="accent4" w:themeShade="BF"/>
              <w:left w:val="nil"/>
              <w:bottom w:val="single" w:sz="8" w:space="0" w:color="5F497A" w:themeColor="accent4" w:themeShade="BF"/>
              <w:right w:val="nil"/>
            </w:tcBorders>
          </w:tcPr>
          <w:p w14:paraId="6D9909D6" w14:textId="6F1C81BE" w:rsidR="009E2B93" w:rsidRPr="00A44829" w:rsidRDefault="009E2B93" w:rsidP="008001AD">
            <w:pPr>
              <w:spacing w:before="40" w:after="20"/>
              <w:jc w:val="center"/>
              <w:rPr>
                <w:rFonts w:cs="Arial"/>
                <w:sz w:val="16"/>
                <w:szCs w:val="16"/>
              </w:rPr>
            </w:pPr>
            <w:r w:rsidRPr="005D19CF">
              <w:rPr>
                <w:rFonts w:cs="Arial"/>
                <w:sz w:val="16"/>
                <w:szCs w:val="16"/>
              </w:rPr>
              <w:t xml:space="preserve">No of </w:t>
            </w:r>
            <w:r w:rsidRPr="005D19CF">
              <w:rPr>
                <w:rFonts w:cs="Arial"/>
                <w:sz w:val="16"/>
                <w:szCs w:val="16"/>
              </w:rPr>
              <w:br/>
              <w:t>Dwellings</w:t>
            </w:r>
          </w:p>
        </w:tc>
      </w:tr>
      <w:tr w:rsidR="00566EA9" w:rsidRPr="001D41EA" w14:paraId="79B9691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9A441F0" w14:textId="77777777" w:rsidR="00566EA9" w:rsidRPr="001D41EA" w:rsidRDefault="00566EA9" w:rsidP="001D41EA">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D829104" w14:textId="557DDA9C"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750237D1" w14:textId="30C0C2F9" w:rsidR="00566EA9" w:rsidRPr="001D41EA" w:rsidRDefault="00566EA9" w:rsidP="001D41EA">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7124464F" w14:textId="583877D3" w:rsidR="00566EA9" w:rsidRPr="001D41EA" w:rsidRDefault="00566EA9" w:rsidP="001D41EA">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17AA286E" w14:textId="5283EC38" w:rsidR="00566EA9" w:rsidRPr="001D41EA" w:rsidRDefault="00566EA9" w:rsidP="001D41EA">
            <w:pPr>
              <w:spacing w:before="40" w:after="20"/>
              <w:jc w:val="center"/>
              <w:rPr>
                <w:rFonts w:cs="Arial"/>
                <w:sz w:val="18"/>
                <w:szCs w:val="18"/>
              </w:rPr>
            </w:pPr>
            <w:r w:rsidRPr="001D41EA">
              <w:rPr>
                <w:rFonts w:cs="Arial"/>
                <w:sz w:val="18"/>
                <w:szCs w:val="18"/>
              </w:rPr>
              <w:t> </w:t>
            </w:r>
          </w:p>
        </w:tc>
        <w:tc>
          <w:tcPr>
            <w:tcW w:w="1134" w:type="dxa"/>
            <w:tcBorders>
              <w:top w:val="single" w:sz="8" w:space="0" w:color="5F497A" w:themeColor="accent4" w:themeShade="BF"/>
              <w:left w:val="nil"/>
              <w:bottom w:val="nil"/>
              <w:right w:val="nil"/>
            </w:tcBorders>
            <w:vAlign w:val="bottom"/>
          </w:tcPr>
          <w:p w14:paraId="75DDD4CE" w14:textId="428CD38D" w:rsidR="00566EA9" w:rsidRPr="001D41EA" w:rsidRDefault="00566EA9" w:rsidP="001D41EA">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0812D01E" w14:textId="77777777" w:rsidR="00566EA9" w:rsidRPr="001D41EA" w:rsidRDefault="00566EA9" w:rsidP="001D41EA">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5A39E2AA" w14:textId="5CCCA35D" w:rsidR="00566EA9" w:rsidRPr="001D41EA" w:rsidRDefault="00566EA9" w:rsidP="001D41EA">
            <w:pPr>
              <w:spacing w:before="40" w:after="20"/>
              <w:jc w:val="center"/>
              <w:rPr>
                <w:rFonts w:cs="Arial"/>
                <w:sz w:val="18"/>
                <w:szCs w:val="18"/>
              </w:rPr>
            </w:pPr>
            <w:r w:rsidRPr="001D41EA">
              <w:rPr>
                <w:rFonts w:cs="Arial"/>
                <w:sz w:val="18"/>
                <w:szCs w:val="18"/>
              </w:rPr>
              <w:t> </w:t>
            </w:r>
          </w:p>
        </w:tc>
      </w:tr>
      <w:tr w:rsidR="00566EA9" w:rsidRPr="001D41EA" w14:paraId="51B66E1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901E003" w14:textId="77777777" w:rsidR="00566EA9" w:rsidRPr="001D41EA" w:rsidRDefault="00566EA9" w:rsidP="001D41EA">
            <w:pPr>
              <w:spacing w:before="40" w:after="20"/>
              <w:rPr>
                <w:rFonts w:cs="Arial"/>
                <w:sz w:val="18"/>
                <w:szCs w:val="18"/>
              </w:rPr>
            </w:pPr>
            <w:r w:rsidRPr="001D41EA">
              <w:rPr>
                <w:rFonts w:cs="Arial"/>
                <w:sz w:val="18"/>
                <w:szCs w:val="18"/>
              </w:rPr>
              <w:t>Macedon Ranges S</w:t>
            </w:r>
          </w:p>
        </w:tc>
        <w:tc>
          <w:tcPr>
            <w:tcW w:w="1134" w:type="dxa"/>
            <w:tcBorders>
              <w:top w:val="nil"/>
              <w:left w:val="single" w:sz="18" w:space="0" w:color="5F497A" w:themeColor="accent4" w:themeShade="BF"/>
              <w:bottom w:val="nil"/>
              <w:right w:val="nil"/>
            </w:tcBorders>
            <w:shd w:val="clear" w:color="auto" w:fill="auto"/>
            <w:vAlign w:val="bottom"/>
          </w:tcPr>
          <w:p w14:paraId="37FBBDB7" w14:textId="31A41528" w:rsidR="00566EA9" w:rsidRPr="001D41EA" w:rsidRDefault="00566EA9" w:rsidP="001D41EA">
            <w:pPr>
              <w:spacing w:before="40" w:after="20"/>
              <w:jc w:val="center"/>
              <w:rPr>
                <w:rFonts w:cs="Arial"/>
                <w:sz w:val="18"/>
                <w:szCs w:val="18"/>
              </w:rPr>
            </w:pPr>
            <w:r w:rsidRPr="001D41EA">
              <w:rPr>
                <w:rFonts w:cs="Arial"/>
                <w:sz w:val="18"/>
                <w:szCs w:val="18"/>
              </w:rPr>
              <w:t>0.835</w:t>
            </w:r>
          </w:p>
        </w:tc>
        <w:tc>
          <w:tcPr>
            <w:tcW w:w="1134" w:type="dxa"/>
            <w:tcBorders>
              <w:top w:val="nil"/>
              <w:left w:val="nil"/>
              <w:bottom w:val="nil"/>
              <w:right w:val="nil"/>
            </w:tcBorders>
            <w:shd w:val="clear" w:color="auto" w:fill="auto"/>
            <w:vAlign w:val="bottom"/>
          </w:tcPr>
          <w:p w14:paraId="4FA9DB2A" w14:textId="7ECC685C" w:rsidR="00566EA9" w:rsidRPr="001D41EA" w:rsidRDefault="00566EA9" w:rsidP="001D41EA">
            <w:pPr>
              <w:spacing w:before="40" w:after="20"/>
              <w:jc w:val="center"/>
              <w:rPr>
                <w:rFonts w:cs="Arial"/>
                <w:sz w:val="18"/>
                <w:szCs w:val="18"/>
              </w:rPr>
            </w:pPr>
            <w:r w:rsidRPr="001D41EA">
              <w:rPr>
                <w:rFonts w:cs="Arial"/>
                <w:sz w:val="18"/>
                <w:szCs w:val="18"/>
              </w:rPr>
              <w:t>0.826</w:t>
            </w:r>
          </w:p>
        </w:tc>
        <w:tc>
          <w:tcPr>
            <w:tcW w:w="170" w:type="dxa"/>
            <w:tcBorders>
              <w:top w:val="nil"/>
              <w:left w:val="nil"/>
              <w:bottom w:val="nil"/>
              <w:right w:val="nil"/>
            </w:tcBorders>
            <w:vAlign w:val="bottom"/>
          </w:tcPr>
          <w:p w14:paraId="4249B140" w14:textId="2918FA33"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2021B9AC" w14:textId="02CC808B" w:rsidR="00566EA9" w:rsidRPr="001D41EA" w:rsidRDefault="00566EA9" w:rsidP="001D41EA">
            <w:pPr>
              <w:spacing w:before="40" w:after="20"/>
              <w:jc w:val="center"/>
              <w:rPr>
                <w:rFonts w:cs="Arial"/>
                <w:sz w:val="18"/>
                <w:szCs w:val="18"/>
              </w:rPr>
            </w:pPr>
            <w:r w:rsidRPr="001D41EA">
              <w:rPr>
                <w:rFonts w:cs="Arial"/>
                <w:sz w:val="18"/>
                <w:szCs w:val="18"/>
              </w:rPr>
              <w:t>1.058</w:t>
            </w:r>
          </w:p>
        </w:tc>
        <w:tc>
          <w:tcPr>
            <w:tcW w:w="1134" w:type="dxa"/>
            <w:tcBorders>
              <w:top w:val="nil"/>
              <w:left w:val="nil"/>
              <w:bottom w:val="nil"/>
              <w:right w:val="nil"/>
            </w:tcBorders>
            <w:vAlign w:val="bottom"/>
          </w:tcPr>
          <w:p w14:paraId="48DCB1A8" w14:textId="7A6C165B" w:rsidR="00566EA9" w:rsidRPr="001D41EA" w:rsidRDefault="00566EA9" w:rsidP="001D41EA">
            <w:pPr>
              <w:spacing w:before="40" w:after="20"/>
              <w:jc w:val="center"/>
              <w:rPr>
                <w:rFonts w:cs="Arial"/>
                <w:sz w:val="18"/>
                <w:szCs w:val="18"/>
              </w:rPr>
            </w:pPr>
            <w:r w:rsidRPr="001D41EA">
              <w:rPr>
                <w:rFonts w:cs="Arial"/>
                <w:sz w:val="18"/>
                <w:szCs w:val="18"/>
              </w:rPr>
              <w:t>1.051</w:t>
            </w:r>
          </w:p>
        </w:tc>
        <w:tc>
          <w:tcPr>
            <w:tcW w:w="1134" w:type="dxa"/>
            <w:tcBorders>
              <w:top w:val="nil"/>
              <w:left w:val="nil"/>
              <w:bottom w:val="nil"/>
              <w:right w:val="nil"/>
            </w:tcBorders>
            <w:vAlign w:val="bottom"/>
          </w:tcPr>
          <w:p w14:paraId="661C0591" w14:textId="1FA2944E" w:rsidR="00566EA9" w:rsidRPr="001D41EA" w:rsidRDefault="00566EA9" w:rsidP="001D41EA">
            <w:pPr>
              <w:spacing w:before="40" w:after="20"/>
              <w:jc w:val="center"/>
              <w:rPr>
                <w:rFonts w:cs="Arial"/>
                <w:sz w:val="18"/>
                <w:szCs w:val="18"/>
              </w:rPr>
            </w:pPr>
            <w:r w:rsidRPr="001D41EA">
              <w:rPr>
                <w:rFonts w:cs="Arial"/>
                <w:sz w:val="18"/>
                <w:szCs w:val="18"/>
              </w:rPr>
              <w:t>1.054</w:t>
            </w:r>
          </w:p>
        </w:tc>
        <w:tc>
          <w:tcPr>
            <w:tcW w:w="1134" w:type="dxa"/>
            <w:tcBorders>
              <w:top w:val="nil"/>
              <w:left w:val="nil"/>
              <w:bottom w:val="nil"/>
              <w:right w:val="nil"/>
            </w:tcBorders>
            <w:vAlign w:val="bottom"/>
          </w:tcPr>
          <w:p w14:paraId="55986062" w14:textId="3B202677" w:rsidR="00566EA9" w:rsidRPr="001D41EA" w:rsidRDefault="00566EA9" w:rsidP="001D41EA">
            <w:pPr>
              <w:spacing w:before="40" w:after="20"/>
              <w:jc w:val="center"/>
              <w:rPr>
                <w:rFonts w:cs="Arial"/>
                <w:sz w:val="18"/>
                <w:szCs w:val="18"/>
              </w:rPr>
            </w:pPr>
            <w:r w:rsidRPr="001D41EA">
              <w:rPr>
                <w:rFonts w:cs="Arial"/>
                <w:sz w:val="18"/>
                <w:szCs w:val="18"/>
              </w:rPr>
              <w:t>1.032</w:t>
            </w:r>
          </w:p>
        </w:tc>
      </w:tr>
      <w:tr w:rsidR="00566EA9" w:rsidRPr="001D41EA" w14:paraId="7BCF643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EAA1DB4" w14:textId="77777777" w:rsidR="00566EA9" w:rsidRPr="001D41EA" w:rsidRDefault="00566EA9" w:rsidP="001D41EA">
            <w:pPr>
              <w:spacing w:before="40" w:after="20"/>
              <w:rPr>
                <w:rFonts w:cs="Arial"/>
                <w:sz w:val="18"/>
                <w:szCs w:val="18"/>
              </w:rPr>
            </w:pPr>
            <w:r w:rsidRPr="001D41EA">
              <w:rPr>
                <w:rFonts w:cs="Arial"/>
                <w:sz w:val="18"/>
                <w:szCs w:val="18"/>
              </w:rPr>
              <w:t>Manningham C</w:t>
            </w:r>
          </w:p>
        </w:tc>
        <w:tc>
          <w:tcPr>
            <w:tcW w:w="1134" w:type="dxa"/>
            <w:tcBorders>
              <w:top w:val="nil"/>
              <w:left w:val="single" w:sz="18" w:space="0" w:color="5F497A" w:themeColor="accent4" w:themeShade="BF"/>
              <w:bottom w:val="nil"/>
              <w:right w:val="nil"/>
            </w:tcBorders>
            <w:shd w:val="clear" w:color="auto" w:fill="auto"/>
            <w:vAlign w:val="bottom"/>
          </w:tcPr>
          <w:p w14:paraId="3F4268D1" w14:textId="5B706A90" w:rsidR="00566EA9" w:rsidRPr="001D41EA" w:rsidRDefault="00566EA9" w:rsidP="001D41EA">
            <w:pPr>
              <w:spacing w:before="40" w:after="20"/>
              <w:jc w:val="center"/>
              <w:rPr>
                <w:rFonts w:cs="Arial"/>
                <w:sz w:val="18"/>
                <w:szCs w:val="18"/>
              </w:rPr>
            </w:pPr>
            <w:r w:rsidRPr="001D41EA">
              <w:rPr>
                <w:rFonts w:cs="Arial"/>
                <w:sz w:val="18"/>
                <w:szCs w:val="18"/>
              </w:rPr>
              <w:t>0.815</w:t>
            </w:r>
          </w:p>
        </w:tc>
        <w:tc>
          <w:tcPr>
            <w:tcW w:w="1134" w:type="dxa"/>
            <w:tcBorders>
              <w:top w:val="nil"/>
              <w:left w:val="nil"/>
              <w:bottom w:val="nil"/>
              <w:right w:val="nil"/>
            </w:tcBorders>
            <w:shd w:val="clear" w:color="auto" w:fill="auto"/>
            <w:vAlign w:val="bottom"/>
          </w:tcPr>
          <w:p w14:paraId="71BBFF60" w14:textId="02B4ED29" w:rsidR="00566EA9" w:rsidRPr="001D41EA" w:rsidRDefault="00566EA9" w:rsidP="001D41EA">
            <w:pPr>
              <w:spacing w:before="40" w:after="20"/>
              <w:jc w:val="center"/>
              <w:rPr>
                <w:rFonts w:cs="Arial"/>
                <w:sz w:val="18"/>
                <w:szCs w:val="18"/>
              </w:rPr>
            </w:pPr>
            <w:r w:rsidRPr="001D41EA">
              <w:rPr>
                <w:rFonts w:cs="Arial"/>
                <w:sz w:val="18"/>
                <w:szCs w:val="18"/>
              </w:rPr>
              <w:t>0.806</w:t>
            </w:r>
          </w:p>
        </w:tc>
        <w:tc>
          <w:tcPr>
            <w:tcW w:w="170" w:type="dxa"/>
            <w:tcBorders>
              <w:top w:val="nil"/>
              <w:left w:val="nil"/>
              <w:bottom w:val="nil"/>
              <w:right w:val="nil"/>
            </w:tcBorders>
            <w:vAlign w:val="bottom"/>
          </w:tcPr>
          <w:p w14:paraId="544103D4" w14:textId="1F101009"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5D3CC2E4" w14:textId="71FADF03" w:rsidR="00566EA9" w:rsidRPr="001D41EA" w:rsidRDefault="00566EA9" w:rsidP="001D41EA">
            <w:pPr>
              <w:spacing w:before="40" w:after="20"/>
              <w:jc w:val="center"/>
              <w:rPr>
                <w:rFonts w:cs="Arial"/>
                <w:sz w:val="18"/>
                <w:szCs w:val="18"/>
              </w:rPr>
            </w:pPr>
            <w:r w:rsidRPr="001D41EA">
              <w:rPr>
                <w:rFonts w:cs="Arial"/>
                <w:sz w:val="18"/>
                <w:szCs w:val="18"/>
              </w:rPr>
              <w:t>0.902</w:t>
            </w:r>
          </w:p>
        </w:tc>
        <w:tc>
          <w:tcPr>
            <w:tcW w:w="1134" w:type="dxa"/>
            <w:tcBorders>
              <w:top w:val="nil"/>
              <w:left w:val="nil"/>
              <w:bottom w:val="nil"/>
              <w:right w:val="nil"/>
            </w:tcBorders>
            <w:vAlign w:val="bottom"/>
          </w:tcPr>
          <w:p w14:paraId="7F0D8DB9" w14:textId="404A5ADF" w:rsidR="00566EA9" w:rsidRPr="001D41EA" w:rsidRDefault="00566EA9" w:rsidP="001D41EA">
            <w:pPr>
              <w:spacing w:before="40" w:after="20"/>
              <w:jc w:val="center"/>
              <w:rPr>
                <w:rFonts w:cs="Arial"/>
                <w:sz w:val="18"/>
                <w:szCs w:val="18"/>
              </w:rPr>
            </w:pPr>
            <w:r w:rsidRPr="001D41EA">
              <w:rPr>
                <w:rFonts w:cs="Arial"/>
                <w:sz w:val="18"/>
                <w:szCs w:val="18"/>
              </w:rPr>
              <w:t>0.895</w:t>
            </w:r>
          </w:p>
        </w:tc>
        <w:tc>
          <w:tcPr>
            <w:tcW w:w="1134" w:type="dxa"/>
            <w:tcBorders>
              <w:top w:val="nil"/>
              <w:left w:val="nil"/>
              <w:bottom w:val="nil"/>
              <w:right w:val="nil"/>
            </w:tcBorders>
            <w:vAlign w:val="bottom"/>
          </w:tcPr>
          <w:p w14:paraId="2FFA4362" w14:textId="7F8CF340" w:rsidR="00566EA9" w:rsidRPr="001D41EA" w:rsidRDefault="00566EA9" w:rsidP="001D41EA">
            <w:pPr>
              <w:spacing w:before="40" w:after="20"/>
              <w:jc w:val="center"/>
              <w:rPr>
                <w:rFonts w:cs="Arial"/>
                <w:sz w:val="18"/>
                <w:szCs w:val="18"/>
              </w:rPr>
            </w:pPr>
            <w:r w:rsidRPr="001D41EA">
              <w:rPr>
                <w:rFonts w:cs="Arial"/>
                <w:sz w:val="18"/>
                <w:szCs w:val="18"/>
              </w:rPr>
              <w:t>0.898</w:t>
            </w:r>
          </w:p>
        </w:tc>
        <w:tc>
          <w:tcPr>
            <w:tcW w:w="1134" w:type="dxa"/>
            <w:tcBorders>
              <w:top w:val="nil"/>
              <w:left w:val="nil"/>
              <w:bottom w:val="nil"/>
              <w:right w:val="nil"/>
            </w:tcBorders>
            <w:vAlign w:val="bottom"/>
          </w:tcPr>
          <w:p w14:paraId="4602FDCC" w14:textId="5D5CE113" w:rsidR="00566EA9" w:rsidRPr="001D41EA" w:rsidRDefault="00566EA9" w:rsidP="001D41EA">
            <w:pPr>
              <w:spacing w:before="40" w:after="20"/>
              <w:jc w:val="center"/>
              <w:rPr>
                <w:rFonts w:cs="Arial"/>
                <w:sz w:val="18"/>
                <w:szCs w:val="18"/>
              </w:rPr>
            </w:pPr>
            <w:r w:rsidRPr="001D41EA">
              <w:rPr>
                <w:rFonts w:cs="Arial"/>
                <w:sz w:val="18"/>
                <w:szCs w:val="18"/>
              </w:rPr>
              <w:t>0.880</w:t>
            </w:r>
          </w:p>
        </w:tc>
      </w:tr>
      <w:tr w:rsidR="00566EA9" w:rsidRPr="001D41EA" w14:paraId="10C7D85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E452591" w14:textId="77777777" w:rsidR="00566EA9" w:rsidRPr="001D41EA" w:rsidRDefault="00566EA9" w:rsidP="001D41EA">
            <w:pPr>
              <w:spacing w:before="40" w:after="20"/>
              <w:rPr>
                <w:rFonts w:cs="Arial"/>
                <w:sz w:val="18"/>
                <w:szCs w:val="18"/>
              </w:rPr>
            </w:pPr>
            <w:r w:rsidRPr="001D41EA">
              <w:rPr>
                <w:rFonts w:cs="Arial"/>
                <w:sz w:val="18"/>
                <w:szCs w:val="18"/>
              </w:rPr>
              <w:t>Mansfield S</w:t>
            </w:r>
          </w:p>
        </w:tc>
        <w:tc>
          <w:tcPr>
            <w:tcW w:w="1134" w:type="dxa"/>
            <w:tcBorders>
              <w:top w:val="nil"/>
              <w:left w:val="single" w:sz="18" w:space="0" w:color="5F497A" w:themeColor="accent4" w:themeShade="BF"/>
              <w:bottom w:val="nil"/>
              <w:right w:val="nil"/>
            </w:tcBorders>
            <w:shd w:val="clear" w:color="auto" w:fill="auto"/>
            <w:vAlign w:val="bottom"/>
          </w:tcPr>
          <w:p w14:paraId="1DBF0884" w14:textId="4F33756F" w:rsidR="00566EA9" w:rsidRPr="001D41EA" w:rsidRDefault="00566EA9" w:rsidP="001D41EA">
            <w:pPr>
              <w:spacing w:before="40" w:after="20"/>
              <w:jc w:val="center"/>
              <w:rPr>
                <w:rFonts w:cs="Arial"/>
                <w:sz w:val="18"/>
                <w:szCs w:val="18"/>
              </w:rPr>
            </w:pPr>
            <w:r w:rsidRPr="001D41EA">
              <w:rPr>
                <w:rFonts w:cs="Arial"/>
                <w:sz w:val="18"/>
                <w:szCs w:val="18"/>
              </w:rPr>
              <w:t>0.986</w:t>
            </w:r>
          </w:p>
        </w:tc>
        <w:tc>
          <w:tcPr>
            <w:tcW w:w="1134" w:type="dxa"/>
            <w:tcBorders>
              <w:top w:val="nil"/>
              <w:left w:val="nil"/>
              <w:bottom w:val="nil"/>
              <w:right w:val="nil"/>
            </w:tcBorders>
            <w:shd w:val="clear" w:color="auto" w:fill="auto"/>
            <w:vAlign w:val="bottom"/>
          </w:tcPr>
          <w:p w14:paraId="44B66574" w14:textId="042D13DF" w:rsidR="00566EA9" w:rsidRPr="001D41EA" w:rsidRDefault="00566EA9" w:rsidP="001D41EA">
            <w:pPr>
              <w:spacing w:before="40" w:after="20"/>
              <w:jc w:val="center"/>
              <w:rPr>
                <w:rFonts w:cs="Arial"/>
                <w:sz w:val="18"/>
                <w:szCs w:val="18"/>
              </w:rPr>
            </w:pPr>
            <w:r w:rsidRPr="001D41EA">
              <w:rPr>
                <w:rFonts w:cs="Arial"/>
                <w:sz w:val="18"/>
                <w:szCs w:val="18"/>
              </w:rPr>
              <w:t>0.975</w:t>
            </w:r>
          </w:p>
        </w:tc>
        <w:tc>
          <w:tcPr>
            <w:tcW w:w="170" w:type="dxa"/>
            <w:tcBorders>
              <w:top w:val="nil"/>
              <w:left w:val="nil"/>
              <w:bottom w:val="nil"/>
              <w:right w:val="nil"/>
            </w:tcBorders>
            <w:vAlign w:val="bottom"/>
          </w:tcPr>
          <w:p w14:paraId="245EE125" w14:textId="7A9AE6BD"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66EFFF49" w14:textId="505FFEBE" w:rsidR="00566EA9" w:rsidRPr="001D41EA" w:rsidRDefault="00566EA9" w:rsidP="001D41EA">
            <w:pPr>
              <w:spacing w:before="40" w:after="20"/>
              <w:jc w:val="center"/>
              <w:rPr>
                <w:rFonts w:cs="Arial"/>
                <w:sz w:val="18"/>
                <w:szCs w:val="18"/>
              </w:rPr>
            </w:pPr>
            <w:r w:rsidRPr="001D41EA">
              <w:rPr>
                <w:rFonts w:cs="Arial"/>
                <w:sz w:val="18"/>
                <w:szCs w:val="18"/>
              </w:rPr>
              <w:t>1.723</w:t>
            </w:r>
          </w:p>
        </w:tc>
        <w:tc>
          <w:tcPr>
            <w:tcW w:w="1134" w:type="dxa"/>
            <w:tcBorders>
              <w:top w:val="nil"/>
              <w:left w:val="nil"/>
              <w:bottom w:val="nil"/>
              <w:right w:val="nil"/>
            </w:tcBorders>
            <w:vAlign w:val="bottom"/>
          </w:tcPr>
          <w:p w14:paraId="2021923A" w14:textId="0DBCA9BA" w:rsidR="00566EA9" w:rsidRPr="001D41EA" w:rsidRDefault="00566EA9" w:rsidP="001D41EA">
            <w:pPr>
              <w:spacing w:before="40" w:after="20"/>
              <w:jc w:val="center"/>
              <w:rPr>
                <w:rFonts w:cs="Arial"/>
                <w:sz w:val="18"/>
                <w:szCs w:val="18"/>
              </w:rPr>
            </w:pPr>
            <w:r w:rsidRPr="001D41EA">
              <w:rPr>
                <w:rFonts w:cs="Arial"/>
                <w:sz w:val="18"/>
                <w:szCs w:val="18"/>
              </w:rPr>
              <w:t>1.712</w:t>
            </w:r>
          </w:p>
        </w:tc>
        <w:tc>
          <w:tcPr>
            <w:tcW w:w="1134" w:type="dxa"/>
            <w:tcBorders>
              <w:top w:val="nil"/>
              <w:left w:val="nil"/>
              <w:bottom w:val="nil"/>
              <w:right w:val="nil"/>
            </w:tcBorders>
            <w:vAlign w:val="bottom"/>
          </w:tcPr>
          <w:p w14:paraId="7641E288" w14:textId="19C7EADD" w:rsidR="00566EA9" w:rsidRPr="001D41EA" w:rsidRDefault="00566EA9" w:rsidP="001D41EA">
            <w:pPr>
              <w:spacing w:before="40" w:after="20"/>
              <w:jc w:val="center"/>
              <w:rPr>
                <w:rFonts w:cs="Arial"/>
                <w:sz w:val="18"/>
                <w:szCs w:val="18"/>
              </w:rPr>
            </w:pPr>
            <w:r w:rsidRPr="001D41EA">
              <w:rPr>
                <w:rFonts w:cs="Arial"/>
                <w:sz w:val="18"/>
                <w:szCs w:val="18"/>
              </w:rPr>
              <w:t>1.716</w:t>
            </w:r>
          </w:p>
        </w:tc>
        <w:tc>
          <w:tcPr>
            <w:tcW w:w="1134" w:type="dxa"/>
            <w:tcBorders>
              <w:top w:val="nil"/>
              <w:left w:val="nil"/>
              <w:bottom w:val="nil"/>
              <w:right w:val="nil"/>
            </w:tcBorders>
            <w:vAlign w:val="bottom"/>
          </w:tcPr>
          <w:p w14:paraId="42F37477" w14:textId="2589CCCB" w:rsidR="00566EA9" w:rsidRPr="001D41EA" w:rsidRDefault="00566EA9" w:rsidP="001D41EA">
            <w:pPr>
              <w:spacing w:before="40" w:after="20"/>
              <w:jc w:val="center"/>
              <w:rPr>
                <w:rFonts w:cs="Arial"/>
                <w:sz w:val="18"/>
                <w:szCs w:val="18"/>
              </w:rPr>
            </w:pPr>
            <w:r w:rsidRPr="001D41EA">
              <w:rPr>
                <w:rFonts w:cs="Arial"/>
                <w:sz w:val="18"/>
                <w:szCs w:val="18"/>
              </w:rPr>
              <w:t>1.682</w:t>
            </w:r>
          </w:p>
        </w:tc>
      </w:tr>
      <w:tr w:rsidR="00566EA9" w:rsidRPr="001D41EA" w14:paraId="51C2D8C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DC26228" w14:textId="77777777" w:rsidR="00566EA9" w:rsidRPr="001D41EA" w:rsidRDefault="00566EA9" w:rsidP="001D41EA">
            <w:pPr>
              <w:spacing w:before="40" w:after="20"/>
              <w:rPr>
                <w:rFonts w:cs="Arial"/>
                <w:sz w:val="18"/>
                <w:szCs w:val="18"/>
              </w:rPr>
            </w:pPr>
            <w:r w:rsidRPr="001D41EA">
              <w:rPr>
                <w:rFonts w:cs="Arial"/>
                <w:sz w:val="18"/>
                <w:szCs w:val="18"/>
              </w:rPr>
              <w:t>Maribyrnong C</w:t>
            </w:r>
          </w:p>
        </w:tc>
        <w:tc>
          <w:tcPr>
            <w:tcW w:w="1134" w:type="dxa"/>
            <w:tcBorders>
              <w:top w:val="nil"/>
              <w:left w:val="single" w:sz="18" w:space="0" w:color="5F497A" w:themeColor="accent4" w:themeShade="BF"/>
              <w:bottom w:val="nil"/>
              <w:right w:val="nil"/>
            </w:tcBorders>
            <w:shd w:val="clear" w:color="auto" w:fill="auto"/>
            <w:vAlign w:val="bottom"/>
          </w:tcPr>
          <w:p w14:paraId="053C845B" w14:textId="32825D8A" w:rsidR="00566EA9" w:rsidRPr="001D41EA" w:rsidRDefault="00566EA9" w:rsidP="001D41EA">
            <w:pPr>
              <w:spacing w:before="40" w:after="20"/>
              <w:jc w:val="center"/>
              <w:rPr>
                <w:rFonts w:cs="Arial"/>
                <w:sz w:val="18"/>
                <w:szCs w:val="18"/>
              </w:rPr>
            </w:pPr>
            <w:r w:rsidRPr="001D41EA">
              <w:rPr>
                <w:rFonts w:cs="Arial"/>
                <w:sz w:val="18"/>
                <w:szCs w:val="18"/>
              </w:rPr>
              <w:t>1.053</w:t>
            </w:r>
          </w:p>
        </w:tc>
        <w:tc>
          <w:tcPr>
            <w:tcW w:w="1134" w:type="dxa"/>
            <w:tcBorders>
              <w:top w:val="nil"/>
              <w:left w:val="nil"/>
              <w:bottom w:val="nil"/>
              <w:right w:val="nil"/>
            </w:tcBorders>
            <w:shd w:val="clear" w:color="auto" w:fill="auto"/>
            <w:vAlign w:val="bottom"/>
          </w:tcPr>
          <w:p w14:paraId="7DAE5924" w14:textId="4E4B5026" w:rsidR="00566EA9" w:rsidRPr="001D41EA" w:rsidRDefault="00566EA9" w:rsidP="001D41EA">
            <w:pPr>
              <w:spacing w:before="40" w:after="20"/>
              <w:jc w:val="center"/>
              <w:rPr>
                <w:rFonts w:cs="Arial"/>
                <w:sz w:val="18"/>
                <w:szCs w:val="18"/>
              </w:rPr>
            </w:pPr>
            <w:r w:rsidRPr="001D41EA">
              <w:rPr>
                <w:rFonts w:cs="Arial"/>
                <w:sz w:val="18"/>
                <w:szCs w:val="18"/>
              </w:rPr>
              <w:t>1.042</w:t>
            </w:r>
          </w:p>
        </w:tc>
        <w:tc>
          <w:tcPr>
            <w:tcW w:w="170" w:type="dxa"/>
            <w:tcBorders>
              <w:top w:val="nil"/>
              <w:left w:val="nil"/>
              <w:bottom w:val="nil"/>
              <w:right w:val="nil"/>
            </w:tcBorders>
            <w:vAlign w:val="bottom"/>
          </w:tcPr>
          <w:p w14:paraId="249EC23A" w14:textId="21AB21DD"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798DE031" w14:textId="3A4E938D" w:rsidR="00566EA9" w:rsidRPr="001D41EA" w:rsidRDefault="00566EA9" w:rsidP="001D41EA">
            <w:pPr>
              <w:spacing w:before="40" w:after="20"/>
              <w:jc w:val="center"/>
              <w:rPr>
                <w:rFonts w:cs="Arial"/>
                <w:sz w:val="18"/>
                <w:szCs w:val="18"/>
              </w:rPr>
            </w:pPr>
            <w:r w:rsidRPr="001D41EA">
              <w:rPr>
                <w:rFonts w:cs="Arial"/>
                <w:sz w:val="18"/>
                <w:szCs w:val="18"/>
              </w:rPr>
              <w:t>0.958</w:t>
            </w:r>
          </w:p>
        </w:tc>
        <w:tc>
          <w:tcPr>
            <w:tcW w:w="1134" w:type="dxa"/>
            <w:tcBorders>
              <w:top w:val="nil"/>
              <w:left w:val="nil"/>
              <w:bottom w:val="nil"/>
              <w:right w:val="nil"/>
            </w:tcBorders>
            <w:vAlign w:val="bottom"/>
          </w:tcPr>
          <w:p w14:paraId="52DEAFAF" w14:textId="737F6894" w:rsidR="00566EA9" w:rsidRPr="001D41EA" w:rsidRDefault="00566EA9" w:rsidP="001D41EA">
            <w:pPr>
              <w:spacing w:before="40" w:after="20"/>
              <w:jc w:val="center"/>
              <w:rPr>
                <w:rFonts w:cs="Arial"/>
                <w:sz w:val="18"/>
                <w:szCs w:val="18"/>
              </w:rPr>
            </w:pPr>
            <w:r w:rsidRPr="001D41EA">
              <w:rPr>
                <w:rFonts w:cs="Arial"/>
                <w:sz w:val="18"/>
                <w:szCs w:val="18"/>
              </w:rPr>
              <w:t>0.951</w:t>
            </w:r>
          </w:p>
        </w:tc>
        <w:tc>
          <w:tcPr>
            <w:tcW w:w="1134" w:type="dxa"/>
            <w:tcBorders>
              <w:top w:val="nil"/>
              <w:left w:val="nil"/>
              <w:bottom w:val="nil"/>
              <w:right w:val="nil"/>
            </w:tcBorders>
            <w:vAlign w:val="bottom"/>
          </w:tcPr>
          <w:p w14:paraId="0353830C" w14:textId="79DBE63B" w:rsidR="00566EA9" w:rsidRPr="001D41EA" w:rsidRDefault="00566EA9" w:rsidP="001D41EA">
            <w:pPr>
              <w:spacing w:before="40" w:after="20"/>
              <w:jc w:val="center"/>
              <w:rPr>
                <w:rFonts w:cs="Arial"/>
                <w:sz w:val="18"/>
                <w:szCs w:val="18"/>
              </w:rPr>
            </w:pPr>
            <w:r w:rsidRPr="001D41EA">
              <w:rPr>
                <w:rFonts w:cs="Arial"/>
                <w:sz w:val="18"/>
                <w:szCs w:val="18"/>
              </w:rPr>
              <w:t>0.954</w:t>
            </w:r>
          </w:p>
        </w:tc>
        <w:tc>
          <w:tcPr>
            <w:tcW w:w="1134" w:type="dxa"/>
            <w:tcBorders>
              <w:top w:val="nil"/>
              <w:left w:val="nil"/>
              <w:bottom w:val="nil"/>
              <w:right w:val="nil"/>
            </w:tcBorders>
            <w:vAlign w:val="bottom"/>
          </w:tcPr>
          <w:p w14:paraId="4406BE64" w14:textId="041C5801" w:rsidR="00566EA9" w:rsidRPr="001D41EA" w:rsidRDefault="00566EA9" w:rsidP="001D41EA">
            <w:pPr>
              <w:spacing w:before="40" w:after="20"/>
              <w:jc w:val="center"/>
              <w:rPr>
                <w:rFonts w:cs="Arial"/>
                <w:sz w:val="18"/>
                <w:szCs w:val="18"/>
              </w:rPr>
            </w:pPr>
            <w:r w:rsidRPr="001D41EA">
              <w:rPr>
                <w:rFonts w:cs="Arial"/>
                <w:sz w:val="18"/>
                <w:szCs w:val="18"/>
              </w:rPr>
              <w:t>0.935</w:t>
            </w:r>
          </w:p>
        </w:tc>
      </w:tr>
      <w:tr w:rsidR="00566EA9" w:rsidRPr="001D41EA" w14:paraId="3AFA1EA4"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B03D51D" w14:textId="77777777" w:rsidR="00566EA9" w:rsidRPr="001D41EA" w:rsidRDefault="00566EA9" w:rsidP="001D41EA">
            <w:pPr>
              <w:spacing w:before="40" w:after="20"/>
              <w:rPr>
                <w:rFonts w:cs="Arial"/>
                <w:sz w:val="18"/>
                <w:szCs w:val="18"/>
              </w:rPr>
            </w:pPr>
            <w:r w:rsidRPr="001D41EA">
              <w:rPr>
                <w:rFonts w:cs="Arial"/>
                <w:sz w:val="18"/>
                <w:szCs w:val="18"/>
              </w:rPr>
              <w:t>Maroondah C</w:t>
            </w:r>
          </w:p>
        </w:tc>
        <w:tc>
          <w:tcPr>
            <w:tcW w:w="1134" w:type="dxa"/>
            <w:tcBorders>
              <w:top w:val="nil"/>
              <w:left w:val="single" w:sz="18" w:space="0" w:color="5F497A" w:themeColor="accent4" w:themeShade="BF"/>
              <w:bottom w:val="nil"/>
              <w:right w:val="nil"/>
            </w:tcBorders>
            <w:shd w:val="clear" w:color="auto" w:fill="auto"/>
            <w:vAlign w:val="bottom"/>
          </w:tcPr>
          <w:p w14:paraId="1D138C8F" w14:textId="4E68C780" w:rsidR="00566EA9" w:rsidRPr="001D41EA" w:rsidRDefault="00566EA9" w:rsidP="001D41EA">
            <w:pPr>
              <w:spacing w:before="40" w:after="20"/>
              <w:jc w:val="center"/>
              <w:rPr>
                <w:rFonts w:cs="Arial"/>
                <w:sz w:val="18"/>
                <w:szCs w:val="18"/>
              </w:rPr>
            </w:pPr>
            <w:r w:rsidRPr="001D41EA">
              <w:rPr>
                <w:rFonts w:cs="Arial"/>
                <w:sz w:val="18"/>
                <w:szCs w:val="18"/>
              </w:rPr>
              <w:t>0.885</w:t>
            </w:r>
          </w:p>
        </w:tc>
        <w:tc>
          <w:tcPr>
            <w:tcW w:w="1134" w:type="dxa"/>
            <w:tcBorders>
              <w:top w:val="nil"/>
              <w:left w:val="nil"/>
              <w:bottom w:val="nil"/>
              <w:right w:val="nil"/>
            </w:tcBorders>
            <w:shd w:val="clear" w:color="auto" w:fill="auto"/>
            <w:vAlign w:val="bottom"/>
          </w:tcPr>
          <w:p w14:paraId="12040752" w14:textId="24BA48A0" w:rsidR="00566EA9" w:rsidRPr="001D41EA" w:rsidRDefault="00566EA9" w:rsidP="001D41EA">
            <w:pPr>
              <w:spacing w:before="40" w:after="20"/>
              <w:jc w:val="center"/>
              <w:rPr>
                <w:rFonts w:cs="Arial"/>
                <w:sz w:val="18"/>
                <w:szCs w:val="18"/>
              </w:rPr>
            </w:pPr>
            <w:r w:rsidRPr="001D41EA">
              <w:rPr>
                <w:rFonts w:cs="Arial"/>
                <w:sz w:val="18"/>
                <w:szCs w:val="18"/>
              </w:rPr>
              <w:t>0.876</w:t>
            </w:r>
          </w:p>
        </w:tc>
        <w:tc>
          <w:tcPr>
            <w:tcW w:w="170" w:type="dxa"/>
            <w:tcBorders>
              <w:top w:val="nil"/>
              <w:left w:val="nil"/>
              <w:bottom w:val="nil"/>
              <w:right w:val="nil"/>
            </w:tcBorders>
            <w:vAlign w:val="bottom"/>
          </w:tcPr>
          <w:p w14:paraId="3F997F33" w14:textId="3813B2A7"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7EB19A05" w14:textId="1980F4C6" w:rsidR="00566EA9" w:rsidRPr="001D41EA" w:rsidRDefault="00566EA9" w:rsidP="001D41EA">
            <w:pPr>
              <w:spacing w:before="40" w:after="2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7E6EB17E" w14:textId="033B10D2" w:rsidR="00566EA9" w:rsidRPr="001D41EA" w:rsidRDefault="00566EA9" w:rsidP="001D41EA">
            <w:pPr>
              <w:spacing w:before="40" w:after="20"/>
              <w:jc w:val="center"/>
              <w:rPr>
                <w:rFonts w:cs="Arial"/>
                <w:sz w:val="18"/>
                <w:szCs w:val="18"/>
              </w:rPr>
            </w:pPr>
            <w:r w:rsidRPr="001D41EA">
              <w:rPr>
                <w:rFonts w:cs="Arial"/>
                <w:sz w:val="18"/>
                <w:szCs w:val="18"/>
              </w:rPr>
              <w:t>0.882</w:t>
            </w:r>
          </w:p>
        </w:tc>
        <w:tc>
          <w:tcPr>
            <w:tcW w:w="1134" w:type="dxa"/>
            <w:tcBorders>
              <w:top w:val="nil"/>
              <w:left w:val="nil"/>
              <w:bottom w:val="nil"/>
              <w:right w:val="nil"/>
            </w:tcBorders>
            <w:vAlign w:val="bottom"/>
          </w:tcPr>
          <w:p w14:paraId="18267AD3" w14:textId="0C01074F" w:rsidR="00566EA9" w:rsidRPr="001D41EA" w:rsidRDefault="00566EA9" w:rsidP="001D41EA">
            <w:pPr>
              <w:spacing w:before="40" w:after="20"/>
              <w:jc w:val="center"/>
              <w:rPr>
                <w:rFonts w:cs="Arial"/>
                <w:sz w:val="18"/>
                <w:szCs w:val="18"/>
              </w:rPr>
            </w:pPr>
            <w:r w:rsidRPr="001D41EA">
              <w:rPr>
                <w:rFonts w:cs="Arial"/>
                <w:sz w:val="18"/>
                <w:szCs w:val="18"/>
              </w:rPr>
              <w:t>0.884</w:t>
            </w:r>
          </w:p>
        </w:tc>
        <w:tc>
          <w:tcPr>
            <w:tcW w:w="1134" w:type="dxa"/>
            <w:tcBorders>
              <w:top w:val="nil"/>
              <w:left w:val="nil"/>
              <w:bottom w:val="nil"/>
              <w:right w:val="nil"/>
            </w:tcBorders>
            <w:vAlign w:val="bottom"/>
          </w:tcPr>
          <w:p w14:paraId="779C1C64" w14:textId="1E820BF7" w:rsidR="00566EA9" w:rsidRPr="001D41EA" w:rsidRDefault="00566EA9" w:rsidP="001D41EA">
            <w:pPr>
              <w:spacing w:before="40" w:after="20"/>
              <w:jc w:val="center"/>
              <w:rPr>
                <w:rFonts w:cs="Arial"/>
                <w:sz w:val="18"/>
                <w:szCs w:val="18"/>
              </w:rPr>
            </w:pPr>
            <w:r w:rsidRPr="001D41EA">
              <w:rPr>
                <w:rFonts w:cs="Arial"/>
                <w:sz w:val="18"/>
                <w:szCs w:val="18"/>
              </w:rPr>
              <w:t>0.866</w:t>
            </w:r>
          </w:p>
        </w:tc>
      </w:tr>
      <w:tr w:rsidR="00566EA9" w:rsidRPr="001D41EA" w14:paraId="6207F16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8764C3A" w14:textId="77777777" w:rsidR="00566EA9" w:rsidRPr="001D41EA" w:rsidRDefault="00566EA9" w:rsidP="001D41EA">
            <w:pPr>
              <w:spacing w:before="40" w:after="20"/>
              <w:rPr>
                <w:rFonts w:cs="Arial"/>
                <w:sz w:val="18"/>
                <w:szCs w:val="18"/>
              </w:rPr>
            </w:pPr>
            <w:r w:rsidRPr="001D41EA">
              <w:rPr>
                <w:rFonts w:cs="Arial"/>
                <w:sz w:val="18"/>
                <w:szCs w:val="18"/>
              </w:rPr>
              <w:t>Melbourne C</w:t>
            </w:r>
          </w:p>
        </w:tc>
        <w:tc>
          <w:tcPr>
            <w:tcW w:w="1134" w:type="dxa"/>
            <w:tcBorders>
              <w:top w:val="nil"/>
              <w:left w:val="single" w:sz="18" w:space="0" w:color="5F497A" w:themeColor="accent4" w:themeShade="BF"/>
              <w:bottom w:val="nil"/>
              <w:right w:val="nil"/>
            </w:tcBorders>
            <w:shd w:val="clear" w:color="auto" w:fill="auto"/>
            <w:vAlign w:val="bottom"/>
          </w:tcPr>
          <w:p w14:paraId="5D570DF5" w14:textId="7E11B7EB" w:rsidR="00566EA9" w:rsidRPr="001D41EA" w:rsidRDefault="00566EA9" w:rsidP="001D41EA">
            <w:pPr>
              <w:spacing w:before="40" w:after="20"/>
              <w:jc w:val="center"/>
              <w:rPr>
                <w:rFonts w:cs="Arial"/>
                <w:sz w:val="18"/>
                <w:szCs w:val="18"/>
              </w:rPr>
            </w:pPr>
            <w:r w:rsidRPr="001D41EA">
              <w:rPr>
                <w:rFonts w:cs="Arial"/>
                <w:sz w:val="18"/>
                <w:szCs w:val="18"/>
              </w:rPr>
              <w:t>1.002</w:t>
            </w:r>
          </w:p>
        </w:tc>
        <w:tc>
          <w:tcPr>
            <w:tcW w:w="1134" w:type="dxa"/>
            <w:tcBorders>
              <w:top w:val="nil"/>
              <w:left w:val="nil"/>
              <w:bottom w:val="nil"/>
              <w:right w:val="nil"/>
            </w:tcBorders>
            <w:shd w:val="clear" w:color="auto" w:fill="auto"/>
            <w:vAlign w:val="bottom"/>
          </w:tcPr>
          <w:p w14:paraId="6FBF5561" w14:textId="08C9A1FB" w:rsidR="00566EA9" w:rsidRPr="001D41EA" w:rsidRDefault="00566EA9" w:rsidP="001D41EA">
            <w:pPr>
              <w:spacing w:before="40" w:after="20"/>
              <w:jc w:val="center"/>
              <w:rPr>
                <w:rFonts w:cs="Arial"/>
                <w:sz w:val="18"/>
                <w:szCs w:val="18"/>
              </w:rPr>
            </w:pPr>
            <w:r w:rsidRPr="001D41EA">
              <w:rPr>
                <w:rFonts w:cs="Arial"/>
                <w:sz w:val="18"/>
                <w:szCs w:val="18"/>
              </w:rPr>
              <w:t>0.992</w:t>
            </w:r>
          </w:p>
        </w:tc>
        <w:tc>
          <w:tcPr>
            <w:tcW w:w="170" w:type="dxa"/>
            <w:tcBorders>
              <w:top w:val="nil"/>
              <w:left w:val="nil"/>
              <w:bottom w:val="nil"/>
              <w:right w:val="nil"/>
            </w:tcBorders>
            <w:vAlign w:val="bottom"/>
          </w:tcPr>
          <w:p w14:paraId="1A3B613A" w14:textId="1DB8780F"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730DB2A0" w14:textId="3A57CFC2" w:rsidR="00566EA9" w:rsidRPr="001D41EA" w:rsidRDefault="00566EA9" w:rsidP="001D41EA">
            <w:pPr>
              <w:spacing w:before="40" w:after="20"/>
              <w:jc w:val="center"/>
              <w:rPr>
                <w:rFonts w:cs="Arial"/>
                <w:sz w:val="18"/>
                <w:szCs w:val="18"/>
              </w:rPr>
            </w:pPr>
            <w:r w:rsidRPr="001D41EA">
              <w:rPr>
                <w:rFonts w:cs="Arial"/>
                <w:sz w:val="18"/>
                <w:szCs w:val="18"/>
              </w:rPr>
              <w:t>1.723</w:t>
            </w:r>
          </w:p>
        </w:tc>
        <w:tc>
          <w:tcPr>
            <w:tcW w:w="1134" w:type="dxa"/>
            <w:tcBorders>
              <w:top w:val="nil"/>
              <w:left w:val="nil"/>
              <w:bottom w:val="nil"/>
              <w:right w:val="nil"/>
            </w:tcBorders>
            <w:vAlign w:val="bottom"/>
          </w:tcPr>
          <w:p w14:paraId="6F8AAC0B" w14:textId="55CA1A72" w:rsidR="00566EA9" w:rsidRPr="001D41EA" w:rsidRDefault="00566EA9" w:rsidP="001D41EA">
            <w:pPr>
              <w:spacing w:before="40" w:after="20"/>
              <w:jc w:val="center"/>
              <w:rPr>
                <w:rFonts w:cs="Arial"/>
                <w:sz w:val="18"/>
                <w:szCs w:val="18"/>
              </w:rPr>
            </w:pPr>
            <w:r w:rsidRPr="001D41EA">
              <w:rPr>
                <w:rFonts w:cs="Arial"/>
                <w:sz w:val="18"/>
                <w:szCs w:val="18"/>
              </w:rPr>
              <w:t>1.712</w:t>
            </w:r>
          </w:p>
        </w:tc>
        <w:tc>
          <w:tcPr>
            <w:tcW w:w="1134" w:type="dxa"/>
            <w:tcBorders>
              <w:top w:val="nil"/>
              <w:left w:val="nil"/>
              <w:bottom w:val="nil"/>
              <w:right w:val="nil"/>
            </w:tcBorders>
            <w:vAlign w:val="bottom"/>
          </w:tcPr>
          <w:p w14:paraId="7340506A" w14:textId="45656081" w:rsidR="00566EA9" w:rsidRPr="001D41EA" w:rsidRDefault="00566EA9" w:rsidP="001D41EA">
            <w:pPr>
              <w:spacing w:before="40" w:after="20"/>
              <w:jc w:val="center"/>
              <w:rPr>
                <w:rFonts w:cs="Arial"/>
                <w:sz w:val="18"/>
                <w:szCs w:val="18"/>
              </w:rPr>
            </w:pPr>
            <w:r w:rsidRPr="001D41EA">
              <w:rPr>
                <w:rFonts w:cs="Arial"/>
                <w:sz w:val="18"/>
                <w:szCs w:val="18"/>
              </w:rPr>
              <w:t>1.716</w:t>
            </w:r>
          </w:p>
        </w:tc>
        <w:tc>
          <w:tcPr>
            <w:tcW w:w="1134" w:type="dxa"/>
            <w:tcBorders>
              <w:top w:val="nil"/>
              <w:left w:val="nil"/>
              <w:bottom w:val="nil"/>
              <w:right w:val="nil"/>
            </w:tcBorders>
            <w:vAlign w:val="bottom"/>
          </w:tcPr>
          <w:p w14:paraId="35F70F05" w14:textId="5D340D94" w:rsidR="00566EA9" w:rsidRPr="001D41EA" w:rsidRDefault="00566EA9" w:rsidP="001D41EA">
            <w:pPr>
              <w:spacing w:before="40" w:after="20"/>
              <w:jc w:val="center"/>
              <w:rPr>
                <w:rFonts w:cs="Arial"/>
                <w:sz w:val="18"/>
                <w:szCs w:val="18"/>
              </w:rPr>
            </w:pPr>
            <w:r w:rsidRPr="001D41EA">
              <w:rPr>
                <w:rFonts w:cs="Arial"/>
                <w:sz w:val="18"/>
                <w:szCs w:val="18"/>
              </w:rPr>
              <w:t>1.682</w:t>
            </w:r>
          </w:p>
        </w:tc>
      </w:tr>
      <w:tr w:rsidR="00566EA9" w:rsidRPr="001D41EA" w14:paraId="7A19BBA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5C409C7" w14:textId="77777777" w:rsidR="00566EA9" w:rsidRPr="001D41EA" w:rsidRDefault="00566EA9" w:rsidP="001D41EA">
            <w:pPr>
              <w:spacing w:before="40" w:after="20"/>
              <w:rPr>
                <w:rFonts w:cs="Arial"/>
                <w:sz w:val="18"/>
                <w:szCs w:val="18"/>
              </w:rPr>
            </w:pPr>
            <w:r w:rsidRPr="001D41EA">
              <w:rPr>
                <w:rFonts w:cs="Arial"/>
                <w:sz w:val="18"/>
                <w:szCs w:val="18"/>
              </w:rPr>
              <w:t>Melton C</w:t>
            </w:r>
          </w:p>
        </w:tc>
        <w:tc>
          <w:tcPr>
            <w:tcW w:w="1134" w:type="dxa"/>
            <w:tcBorders>
              <w:top w:val="nil"/>
              <w:left w:val="single" w:sz="18" w:space="0" w:color="5F497A" w:themeColor="accent4" w:themeShade="BF"/>
              <w:bottom w:val="nil"/>
              <w:right w:val="nil"/>
            </w:tcBorders>
            <w:shd w:val="clear" w:color="auto" w:fill="auto"/>
            <w:vAlign w:val="bottom"/>
          </w:tcPr>
          <w:p w14:paraId="2CB7F495" w14:textId="30F9C301" w:rsidR="00566EA9" w:rsidRPr="001D41EA" w:rsidRDefault="00566EA9" w:rsidP="001D41EA">
            <w:pPr>
              <w:spacing w:before="40" w:after="20"/>
              <w:jc w:val="center"/>
              <w:rPr>
                <w:rFonts w:cs="Arial"/>
                <w:sz w:val="18"/>
                <w:szCs w:val="18"/>
              </w:rPr>
            </w:pPr>
            <w:r w:rsidRPr="001D41EA">
              <w:rPr>
                <w:rFonts w:cs="Arial"/>
                <w:sz w:val="18"/>
                <w:szCs w:val="18"/>
              </w:rPr>
              <w:t>1.056</w:t>
            </w:r>
          </w:p>
        </w:tc>
        <w:tc>
          <w:tcPr>
            <w:tcW w:w="1134" w:type="dxa"/>
            <w:tcBorders>
              <w:top w:val="nil"/>
              <w:left w:val="nil"/>
              <w:bottom w:val="nil"/>
              <w:right w:val="nil"/>
            </w:tcBorders>
            <w:shd w:val="clear" w:color="auto" w:fill="auto"/>
            <w:vAlign w:val="bottom"/>
          </w:tcPr>
          <w:p w14:paraId="282EB114" w14:textId="78BAC7D7" w:rsidR="00566EA9" w:rsidRPr="001D41EA" w:rsidRDefault="00566EA9" w:rsidP="001D41EA">
            <w:pPr>
              <w:spacing w:before="40" w:after="20"/>
              <w:jc w:val="center"/>
              <w:rPr>
                <w:rFonts w:cs="Arial"/>
                <w:sz w:val="18"/>
                <w:szCs w:val="18"/>
              </w:rPr>
            </w:pPr>
            <w:r w:rsidRPr="001D41EA">
              <w:rPr>
                <w:rFonts w:cs="Arial"/>
                <w:sz w:val="18"/>
                <w:szCs w:val="18"/>
              </w:rPr>
              <w:t>1.045</w:t>
            </w:r>
          </w:p>
        </w:tc>
        <w:tc>
          <w:tcPr>
            <w:tcW w:w="170" w:type="dxa"/>
            <w:tcBorders>
              <w:top w:val="nil"/>
              <w:left w:val="nil"/>
              <w:bottom w:val="nil"/>
              <w:right w:val="nil"/>
            </w:tcBorders>
            <w:vAlign w:val="bottom"/>
          </w:tcPr>
          <w:p w14:paraId="224C018B" w14:textId="644B0F5B"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58E3EA97" w14:textId="30917213" w:rsidR="00566EA9" w:rsidRPr="001D41EA" w:rsidRDefault="00566EA9" w:rsidP="001D41EA">
            <w:pPr>
              <w:spacing w:before="40" w:after="20"/>
              <w:jc w:val="center"/>
              <w:rPr>
                <w:rFonts w:cs="Arial"/>
                <w:sz w:val="18"/>
                <w:szCs w:val="18"/>
              </w:rPr>
            </w:pPr>
            <w:r w:rsidRPr="001D41EA">
              <w:rPr>
                <w:rFonts w:cs="Arial"/>
                <w:sz w:val="18"/>
                <w:szCs w:val="18"/>
              </w:rPr>
              <w:t>0.866</w:t>
            </w:r>
          </w:p>
        </w:tc>
        <w:tc>
          <w:tcPr>
            <w:tcW w:w="1134" w:type="dxa"/>
            <w:tcBorders>
              <w:top w:val="nil"/>
              <w:left w:val="nil"/>
              <w:bottom w:val="nil"/>
              <w:right w:val="nil"/>
            </w:tcBorders>
            <w:vAlign w:val="bottom"/>
          </w:tcPr>
          <w:p w14:paraId="3AAB8C6E" w14:textId="56D21D31" w:rsidR="00566EA9" w:rsidRPr="001D41EA" w:rsidRDefault="00566EA9" w:rsidP="001D41EA">
            <w:pPr>
              <w:spacing w:before="40" w:after="20"/>
              <w:jc w:val="center"/>
              <w:rPr>
                <w:rFonts w:cs="Arial"/>
                <w:sz w:val="18"/>
                <w:szCs w:val="18"/>
              </w:rPr>
            </w:pPr>
            <w:r w:rsidRPr="001D41EA">
              <w:rPr>
                <w:rFonts w:cs="Arial"/>
                <w:sz w:val="18"/>
                <w:szCs w:val="18"/>
              </w:rPr>
              <w:t>0.861</w:t>
            </w:r>
          </w:p>
        </w:tc>
        <w:tc>
          <w:tcPr>
            <w:tcW w:w="1134" w:type="dxa"/>
            <w:tcBorders>
              <w:top w:val="nil"/>
              <w:left w:val="nil"/>
              <w:bottom w:val="nil"/>
              <w:right w:val="nil"/>
            </w:tcBorders>
            <w:vAlign w:val="bottom"/>
          </w:tcPr>
          <w:p w14:paraId="6698C3AC" w14:textId="55B6B5EB" w:rsidR="00566EA9" w:rsidRPr="001D41EA" w:rsidRDefault="00566EA9" w:rsidP="001D41EA">
            <w:pPr>
              <w:spacing w:before="40" w:after="20"/>
              <w:jc w:val="center"/>
              <w:rPr>
                <w:rFonts w:cs="Arial"/>
                <w:sz w:val="18"/>
                <w:szCs w:val="18"/>
              </w:rPr>
            </w:pPr>
            <w:r w:rsidRPr="001D41EA">
              <w:rPr>
                <w:rFonts w:cs="Arial"/>
                <w:sz w:val="18"/>
                <w:szCs w:val="18"/>
              </w:rPr>
              <w:t>0.863</w:t>
            </w:r>
          </w:p>
        </w:tc>
        <w:tc>
          <w:tcPr>
            <w:tcW w:w="1134" w:type="dxa"/>
            <w:tcBorders>
              <w:top w:val="nil"/>
              <w:left w:val="nil"/>
              <w:bottom w:val="nil"/>
              <w:right w:val="nil"/>
            </w:tcBorders>
            <w:vAlign w:val="bottom"/>
          </w:tcPr>
          <w:p w14:paraId="62372F2D" w14:textId="5D6DDF65" w:rsidR="00566EA9" w:rsidRPr="001D41EA" w:rsidRDefault="00566EA9" w:rsidP="001D41EA">
            <w:pPr>
              <w:spacing w:before="40" w:after="20"/>
              <w:jc w:val="center"/>
              <w:rPr>
                <w:rFonts w:cs="Arial"/>
                <w:sz w:val="18"/>
                <w:szCs w:val="18"/>
              </w:rPr>
            </w:pPr>
            <w:r w:rsidRPr="001D41EA">
              <w:rPr>
                <w:rFonts w:cs="Arial"/>
                <w:sz w:val="18"/>
                <w:szCs w:val="18"/>
              </w:rPr>
              <w:t>0.845</w:t>
            </w:r>
          </w:p>
        </w:tc>
      </w:tr>
      <w:tr w:rsidR="00566EA9" w:rsidRPr="001D41EA" w14:paraId="1D9B39B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84185A8" w14:textId="77777777" w:rsidR="00566EA9" w:rsidRPr="001D41EA" w:rsidRDefault="00566EA9" w:rsidP="001D41EA">
            <w:pPr>
              <w:spacing w:before="40" w:after="20"/>
              <w:rPr>
                <w:rFonts w:cs="Arial"/>
                <w:sz w:val="18"/>
                <w:szCs w:val="18"/>
              </w:rPr>
            </w:pPr>
            <w:r w:rsidRPr="001D41EA">
              <w:rPr>
                <w:rFonts w:cs="Arial"/>
                <w:sz w:val="18"/>
                <w:szCs w:val="18"/>
              </w:rPr>
              <w:t>Mildura RC</w:t>
            </w:r>
          </w:p>
        </w:tc>
        <w:tc>
          <w:tcPr>
            <w:tcW w:w="1134" w:type="dxa"/>
            <w:tcBorders>
              <w:top w:val="nil"/>
              <w:left w:val="single" w:sz="18" w:space="0" w:color="5F497A" w:themeColor="accent4" w:themeShade="BF"/>
              <w:bottom w:val="nil"/>
              <w:right w:val="nil"/>
            </w:tcBorders>
            <w:shd w:val="clear" w:color="auto" w:fill="auto"/>
            <w:vAlign w:val="bottom"/>
          </w:tcPr>
          <w:p w14:paraId="14B165A9" w14:textId="5B201C87" w:rsidR="00566EA9" w:rsidRPr="001D41EA" w:rsidRDefault="00566EA9" w:rsidP="001D41EA">
            <w:pPr>
              <w:spacing w:before="40" w:after="20"/>
              <w:jc w:val="center"/>
              <w:rPr>
                <w:rFonts w:cs="Arial"/>
                <w:sz w:val="18"/>
                <w:szCs w:val="18"/>
              </w:rPr>
            </w:pPr>
            <w:r w:rsidRPr="001D41EA">
              <w:rPr>
                <w:rFonts w:cs="Arial"/>
                <w:sz w:val="18"/>
                <w:szCs w:val="18"/>
              </w:rPr>
              <w:t>1.254</w:t>
            </w:r>
          </w:p>
        </w:tc>
        <w:tc>
          <w:tcPr>
            <w:tcW w:w="1134" w:type="dxa"/>
            <w:tcBorders>
              <w:top w:val="nil"/>
              <w:left w:val="nil"/>
              <w:bottom w:val="nil"/>
              <w:right w:val="nil"/>
            </w:tcBorders>
            <w:shd w:val="clear" w:color="auto" w:fill="auto"/>
            <w:vAlign w:val="bottom"/>
          </w:tcPr>
          <w:p w14:paraId="7495BFE2" w14:textId="79F34407" w:rsidR="00566EA9" w:rsidRPr="001D41EA" w:rsidRDefault="00566EA9" w:rsidP="001D41EA">
            <w:pPr>
              <w:spacing w:before="40" w:after="20"/>
              <w:jc w:val="center"/>
              <w:rPr>
                <w:rFonts w:cs="Arial"/>
                <w:sz w:val="18"/>
                <w:szCs w:val="18"/>
              </w:rPr>
            </w:pPr>
            <w:r w:rsidRPr="001D41EA">
              <w:rPr>
                <w:rFonts w:cs="Arial"/>
                <w:sz w:val="18"/>
                <w:szCs w:val="18"/>
              </w:rPr>
              <w:t>1.241</w:t>
            </w:r>
          </w:p>
        </w:tc>
        <w:tc>
          <w:tcPr>
            <w:tcW w:w="170" w:type="dxa"/>
            <w:tcBorders>
              <w:top w:val="nil"/>
              <w:left w:val="nil"/>
              <w:bottom w:val="nil"/>
              <w:right w:val="nil"/>
            </w:tcBorders>
            <w:vAlign w:val="bottom"/>
          </w:tcPr>
          <w:p w14:paraId="2FEF49D9" w14:textId="39AE3CD7"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09F0D058" w14:textId="0485AA58" w:rsidR="00566EA9" w:rsidRPr="001D41EA" w:rsidRDefault="00566EA9" w:rsidP="001D41EA">
            <w:pPr>
              <w:spacing w:before="40" w:after="20"/>
              <w:jc w:val="center"/>
              <w:rPr>
                <w:rFonts w:cs="Arial"/>
                <w:sz w:val="18"/>
                <w:szCs w:val="18"/>
              </w:rPr>
            </w:pPr>
            <w:r w:rsidRPr="001D41EA">
              <w:rPr>
                <w:rFonts w:cs="Arial"/>
                <w:sz w:val="18"/>
                <w:szCs w:val="18"/>
              </w:rPr>
              <w:t>1.105</w:t>
            </w:r>
          </w:p>
        </w:tc>
        <w:tc>
          <w:tcPr>
            <w:tcW w:w="1134" w:type="dxa"/>
            <w:tcBorders>
              <w:top w:val="nil"/>
              <w:left w:val="nil"/>
              <w:bottom w:val="nil"/>
              <w:right w:val="nil"/>
            </w:tcBorders>
            <w:vAlign w:val="bottom"/>
          </w:tcPr>
          <w:p w14:paraId="76757085" w14:textId="16E4B7BB" w:rsidR="00566EA9" w:rsidRPr="001D41EA" w:rsidRDefault="00566EA9" w:rsidP="001D41EA">
            <w:pPr>
              <w:spacing w:before="40" w:after="20"/>
              <w:jc w:val="center"/>
              <w:rPr>
                <w:rFonts w:cs="Arial"/>
                <w:sz w:val="18"/>
                <w:szCs w:val="18"/>
              </w:rPr>
            </w:pPr>
            <w:r w:rsidRPr="001D41EA">
              <w:rPr>
                <w:rFonts w:cs="Arial"/>
                <w:sz w:val="18"/>
                <w:szCs w:val="18"/>
              </w:rPr>
              <w:t>1.097</w:t>
            </w:r>
          </w:p>
        </w:tc>
        <w:tc>
          <w:tcPr>
            <w:tcW w:w="1134" w:type="dxa"/>
            <w:tcBorders>
              <w:top w:val="nil"/>
              <w:left w:val="nil"/>
              <w:bottom w:val="nil"/>
              <w:right w:val="nil"/>
            </w:tcBorders>
            <w:vAlign w:val="bottom"/>
          </w:tcPr>
          <w:p w14:paraId="0AA93036" w14:textId="5F693887" w:rsidR="00566EA9" w:rsidRPr="001D41EA" w:rsidRDefault="00566EA9" w:rsidP="001D41EA">
            <w:pPr>
              <w:spacing w:before="40" w:after="20"/>
              <w:jc w:val="center"/>
              <w:rPr>
                <w:rFonts w:cs="Arial"/>
                <w:sz w:val="18"/>
                <w:szCs w:val="18"/>
              </w:rPr>
            </w:pPr>
            <w:r w:rsidRPr="001D41EA">
              <w:rPr>
                <w:rFonts w:cs="Arial"/>
                <w:sz w:val="18"/>
                <w:szCs w:val="18"/>
              </w:rPr>
              <w:t>1.100</w:t>
            </w:r>
          </w:p>
        </w:tc>
        <w:tc>
          <w:tcPr>
            <w:tcW w:w="1134" w:type="dxa"/>
            <w:tcBorders>
              <w:top w:val="nil"/>
              <w:left w:val="nil"/>
              <w:bottom w:val="nil"/>
              <w:right w:val="nil"/>
            </w:tcBorders>
            <w:vAlign w:val="bottom"/>
          </w:tcPr>
          <w:p w14:paraId="126A9322" w14:textId="62AA8AB4" w:rsidR="00566EA9" w:rsidRPr="001D41EA" w:rsidRDefault="00566EA9" w:rsidP="001D41EA">
            <w:pPr>
              <w:spacing w:before="40" w:after="20"/>
              <w:jc w:val="center"/>
              <w:rPr>
                <w:rFonts w:cs="Arial"/>
                <w:sz w:val="18"/>
                <w:szCs w:val="18"/>
              </w:rPr>
            </w:pPr>
            <w:r w:rsidRPr="001D41EA">
              <w:rPr>
                <w:rFonts w:cs="Arial"/>
                <w:sz w:val="18"/>
                <w:szCs w:val="18"/>
              </w:rPr>
              <w:t>1.078</w:t>
            </w:r>
          </w:p>
        </w:tc>
      </w:tr>
      <w:tr w:rsidR="00566EA9" w:rsidRPr="001D41EA" w14:paraId="189F312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70234CA" w14:textId="77777777" w:rsidR="00566EA9" w:rsidRPr="001D41EA" w:rsidRDefault="00566EA9" w:rsidP="001D41EA">
            <w:pPr>
              <w:spacing w:before="40" w:after="20"/>
              <w:rPr>
                <w:rFonts w:cs="Arial"/>
                <w:sz w:val="18"/>
                <w:szCs w:val="18"/>
              </w:rPr>
            </w:pPr>
            <w:r w:rsidRPr="001D41EA">
              <w:rPr>
                <w:rFonts w:cs="Arial"/>
                <w:sz w:val="18"/>
                <w:szCs w:val="18"/>
              </w:rPr>
              <w:t>Mitchell S</w:t>
            </w:r>
          </w:p>
        </w:tc>
        <w:tc>
          <w:tcPr>
            <w:tcW w:w="1134" w:type="dxa"/>
            <w:tcBorders>
              <w:top w:val="nil"/>
              <w:left w:val="single" w:sz="18" w:space="0" w:color="5F497A" w:themeColor="accent4" w:themeShade="BF"/>
              <w:bottom w:val="nil"/>
              <w:right w:val="nil"/>
            </w:tcBorders>
            <w:shd w:val="clear" w:color="auto" w:fill="auto"/>
            <w:vAlign w:val="bottom"/>
          </w:tcPr>
          <w:p w14:paraId="5AB00744" w14:textId="4397F84D" w:rsidR="00566EA9" w:rsidRPr="001D41EA" w:rsidRDefault="00566EA9" w:rsidP="001D41EA">
            <w:pPr>
              <w:spacing w:before="40" w:after="20"/>
              <w:jc w:val="center"/>
              <w:rPr>
                <w:rFonts w:cs="Arial"/>
                <w:sz w:val="18"/>
                <w:szCs w:val="18"/>
              </w:rPr>
            </w:pPr>
            <w:r w:rsidRPr="001D41EA">
              <w:rPr>
                <w:rFonts w:cs="Arial"/>
                <w:sz w:val="18"/>
                <w:szCs w:val="18"/>
              </w:rPr>
              <w:t>1.046</w:t>
            </w:r>
          </w:p>
        </w:tc>
        <w:tc>
          <w:tcPr>
            <w:tcW w:w="1134" w:type="dxa"/>
            <w:tcBorders>
              <w:top w:val="nil"/>
              <w:left w:val="nil"/>
              <w:bottom w:val="nil"/>
              <w:right w:val="nil"/>
            </w:tcBorders>
            <w:shd w:val="clear" w:color="auto" w:fill="auto"/>
            <w:vAlign w:val="bottom"/>
          </w:tcPr>
          <w:p w14:paraId="2E13AC66" w14:textId="381D84CE" w:rsidR="00566EA9" w:rsidRPr="001D41EA" w:rsidRDefault="00566EA9" w:rsidP="001D41EA">
            <w:pPr>
              <w:spacing w:before="40" w:after="20"/>
              <w:jc w:val="center"/>
              <w:rPr>
                <w:rFonts w:cs="Arial"/>
                <w:sz w:val="18"/>
                <w:szCs w:val="18"/>
              </w:rPr>
            </w:pPr>
            <w:r w:rsidRPr="001D41EA">
              <w:rPr>
                <w:rFonts w:cs="Arial"/>
                <w:sz w:val="18"/>
                <w:szCs w:val="18"/>
              </w:rPr>
              <w:t>1.035</w:t>
            </w:r>
          </w:p>
        </w:tc>
        <w:tc>
          <w:tcPr>
            <w:tcW w:w="170" w:type="dxa"/>
            <w:tcBorders>
              <w:top w:val="nil"/>
              <w:left w:val="nil"/>
              <w:bottom w:val="nil"/>
              <w:right w:val="nil"/>
            </w:tcBorders>
            <w:vAlign w:val="bottom"/>
          </w:tcPr>
          <w:p w14:paraId="43C97FB9" w14:textId="4CC90B77"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2435BEAA" w14:textId="5F7C9CB7" w:rsidR="00566EA9" w:rsidRPr="001D41EA" w:rsidRDefault="00566EA9" w:rsidP="001D41EA">
            <w:pPr>
              <w:spacing w:before="40" w:after="20"/>
              <w:jc w:val="center"/>
              <w:rPr>
                <w:rFonts w:cs="Arial"/>
                <w:sz w:val="18"/>
                <w:szCs w:val="18"/>
              </w:rPr>
            </w:pPr>
            <w:r w:rsidRPr="001D41EA">
              <w:rPr>
                <w:rFonts w:cs="Arial"/>
                <w:sz w:val="18"/>
                <w:szCs w:val="18"/>
              </w:rPr>
              <w:t>0.979</w:t>
            </w:r>
          </w:p>
        </w:tc>
        <w:tc>
          <w:tcPr>
            <w:tcW w:w="1134" w:type="dxa"/>
            <w:tcBorders>
              <w:top w:val="nil"/>
              <w:left w:val="nil"/>
              <w:bottom w:val="nil"/>
              <w:right w:val="nil"/>
            </w:tcBorders>
            <w:vAlign w:val="bottom"/>
          </w:tcPr>
          <w:p w14:paraId="3CE04D29" w14:textId="4A94F611" w:rsidR="00566EA9" w:rsidRPr="001D41EA" w:rsidRDefault="00566EA9" w:rsidP="001D41EA">
            <w:pPr>
              <w:spacing w:before="40" w:after="20"/>
              <w:jc w:val="center"/>
              <w:rPr>
                <w:rFonts w:cs="Arial"/>
                <w:sz w:val="18"/>
                <w:szCs w:val="18"/>
              </w:rPr>
            </w:pPr>
            <w:r w:rsidRPr="001D41EA">
              <w:rPr>
                <w:rFonts w:cs="Arial"/>
                <w:sz w:val="18"/>
                <w:szCs w:val="18"/>
              </w:rPr>
              <w:t>0.972</w:t>
            </w:r>
          </w:p>
        </w:tc>
        <w:tc>
          <w:tcPr>
            <w:tcW w:w="1134" w:type="dxa"/>
            <w:tcBorders>
              <w:top w:val="nil"/>
              <w:left w:val="nil"/>
              <w:bottom w:val="nil"/>
              <w:right w:val="nil"/>
            </w:tcBorders>
            <w:vAlign w:val="bottom"/>
          </w:tcPr>
          <w:p w14:paraId="1E9C7E2E" w14:textId="4FB0BEFE" w:rsidR="00566EA9" w:rsidRPr="001D41EA" w:rsidRDefault="00566EA9" w:rsidP="001D41EA">
            <w:pPr>
              <w:spacing w:before="40" w:after="20"/>
              <w:jc w:val="center"/>
              <w:rPr>
                <w:rFonts w:cs="Arial"/>
                <w:sz w:val="18"/>
                <w:szCs w:val="18"/>
              </w:rPr>
            </w:pPr>
            <w:r w:rsidRPr="001D41EA">
              <w:rPr>
                <w:rFonts w:cs="Arial"/>
                <w:sz w:val="18"/>
                <w:szCs w:val="18"/>
              </w:rPr>
              <w:t>0.974</w:t>
            </w:r>
          </w:p>
        </w:tc>
        <w:tc>
          <w:tcPr>
            <w:tcW w:w="1134" w:type="dxa"/>
            <w:tcBorders>
              <w:top w:val="nil"/>
              <w:left w:val="nil"/>
              <w:bottom w:val="nil"/>
              <w:right w:val="nil"/>
            </w:tcBorders>
            <w:vAlign w:val="bottom"/>
          </w:tcPr>
          <w:p w14:paraId="03FCE9BA" w14:textId="4A9C07CA" w:rsidR="00566EA9" w:rsidRPr="001D41EA" w:rsidRDefault="00566EA9" w:rsidP="001D41EA">
            <w:pPr>
              <w:spacing w:before="40" w:after="20"/>
              <w:jc w:val="center"/>
              <w:rPr>
                <w:rFonts w:cs="Arial"/>
                <w:sz w:val="18"/>
                <w:szCs w:val="18"/>
              </w:rPr>
            </w:pPr>
            <w:r w:rsidRPr="001D41EA">
              <w:rPr>
                <w:rFonts w:cs="Arial"/>
                <w:sz w:val="18"/>
                <w:szCs w:val="18"/>
              </w:rPr>
              <w:t>0.955</w:t>
            </w:r>
          </w:p>
        </w:tc>
      </w:tr>
      <w:tr w:rsidR="00566EA9" w:rsidRPr="001D41EA" w14:paraId="70408E9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E2D81EE" w14:textId="77777777" w:rsidR="00566EA9" w:rsidRPr="001D41EA" w:rsidRDefault="00566EA9" w:rsidP="001D41EA">
            <w:pPr>
              <w:spacing w:before="40" w:after="20"/>
              <w:rPr>
                <w:rFonts w:cs="Arial"/>
                <w:sz w:val="18"/>
                <w:szCs w:val="18"/>
              </w:rPr>
            </w:pPr>
            <w:r w:rsidRPr="001D41EA">
              <w:rPr>
                <w:rFonts w:cs="Arial"/>
                <w:sz w:val="18"/>
                <w:szCs w:val="18"/>
              </w:rPr>
              <w:t>Moira S</w:t>
            </w:r>
          </w:p>
        </w:tc>
        <w:tc>
          <w:tcPr>
            <w:tcW w:w="1134" w:type="dxa"/>
            <w:tcBorders>
              <w:top w:val="nil"/>
              <w:left w:val="single" w:sz="18" w:space="0" w:color="5F497A" w:themeColor="accent4" w:themeShade="BF"/>
              <w:bottom w:val="nil"/>
              <w:right w:val="nil"/>
            </w:tcBorders>
            <w:shd w:val="clear" w:color="auto" w:fill="auto"/>
            <w:vAlign w:val="bottom"/>
          </w:tcPr>
          <w:p w14:paraId="22DE5C5B" w14:textId="5EE3B157" w:rsidR="00566EA9" w:rsidRPr="001D41EA" w:rsidRDefault="00566EA9" w:rsidP="001D41EA">
            <w:pPr>
              <w:spacing w:before="40" w:after="20"/>
              <w:jc w:val="center"/>
              <w:rPr>
                <w:rFonts w:cs="Arial"/>
                <w:sz w:val="18"/>
                <w:szCs w:val="18"/>
              </w:rPr>
            </w:pPr>
            <w:r w:rsidRPr="001D41EA">
              <w:rPr>
                <w:rFonts w:cs="Arial"/>
                <w:sz w:val="18"/>
                <w:szCs w:val="18"/>
              </w:rPr>
              <w:t>1.200</w:t>
            </w:r>
          </w:p>
        </w:tc>
        <w:tc>
          <w:tcPr>
            <w:tcW w:w="1134" w:type="dxa"/>
            <w:tcBorders>
              <w:top w:val="nil"/>
              <w:left w:val="nil"/>
              <w:bottom w:val="nil"/>
              <w:right w:val="nil"/>
            </w:tcBorders>
            <w:shd w:val="clear" w:color="auto" w:fill="auto"/>
            <w:vAlign w:val="bottom"/>
          </w:tcPr>
          <w:p w14:paraId="4789E12E" w14:textId="60173217" w:rsidR="00566EA9" w:rsidRPr="001D41EA" w:rsidRDefault="00566EA9" w:rsidP="001D41EA">
            <w:pPr>
              <w:spacing w:before="40" w:after="20"/>
              <w:jc w:val="center"/>
              <w:rPr>
                <w:rFonts w:cs="Arial"/>
                <w:sz w:val="18"/>
                <w:szCs w:val="18"/>
              </w:rPr>
            </w:pPr>
            <w:r w:rsidRPr="001D41EA">
              <w:rPr>
                <w:rFonts w:cs="Arial"/>
                <w:sz w:val="18"/>
                <w:szCs w:val="18"/>
              </w:rPr>
              <w:t>1.188</w:t>
            </w:r>
          </w:p>
        </w:tc>
        <w:tc>
          <w:tcPr>
            <w:tcW w:w="170" w:type="dxa"/>
            <w:tcBorders>
              <w:top w:val="nil"/>
              <w:left w:val="nil"/>
              <w:bottom w:val="nil"/>
              <w:right w:val="nil"/>
            </w:tcBorders>
            <w:vAlign w:val="bottom"/>
          </w:tcPr>
          <w:p w14:paraId="0F907E8D" w14:textId="70EC9A37"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35539CB9" w14:textId="74E9943D" w:rsidR="00566EA9" w:rsidRPr="001D41EA" w:rsidRDefault="00566EA9" w:rsidP="001D41EA">
            <w:pPr>
              <w:spacing w:before="40" w:after="20"/>
              <w:jc w:val="center"/>
              <w:rPr>
                <w:rFonts w:cs="Arial"/>
                <w:sz w:val="18"/>
                <w:szCs w:val="18"/>
              </w:rPr>
            </w:pPr>
            <w:r w:rsidRPr="001D41EA">
              <w:rPr>
                <w:rFonts w:cs="Arial"/>
                <w:sz w:val="18"/>
                <w:szCs w:val="18"/>
              </w:rPr>
              <w:t>1.202</w:t>
            </w:r>
          </w:p>
        </w:tc>
        <w:tc>
          <w:tcPr>
            <w:tcW w:w="1134" w:type="dxa"/>
            <w:tcBorders>
              <w:top w:val="nil"/>
              <w:left w:val="nil"/>
              <w:bottom w:val="nil"/>
              <w:right w:val="nil"/>
            </w:tcBorders>
            <w:vAlign w:val="bottom"/>
          </w:tcPr>
          <w:p w14:paraId="63B03335" w14:textId="3FE8D9FA" w:rsidR="00566EA9" w:rsidRPr="001D41EA" w:rsidRDefault="00566EA9" w:rsidP="001D41EA">
            <w:pPr>
              <w:spacing w:before="40" w:after="20"/>
              <w:jc w:val="center"/>
              <w:rPr>
                <w:rFonts w:cs="Arial"/>
                <w:sz w:val="18"/>
                <w:szCs w:val="18"/>
              </w:rPr>
            </w:pPr>
            <w:r w:rsidRPr="001D41EA">
              <w:rPr>
                <w:rFonts w:cs="Arial"/>
                <w:sz w:val="18"/>
                <w:szCs w:val="18"/>
              </w:rPr>
              <w:t>1.194</w:t>
            </w:r>
          </w:p>
        </w:tc>
        <w:tc>
          <w:tcPr>
            <w:tcW w:w="1134" w:type="dxa"/>
            <w:tcBorders>
              <w:top w:val="nil"/>
              <w:left w:val="nil"/>
              <w:bottom w:val="nil"/>
              <w:right w:val="nil"/>
            </w:tcBorders>
            <w:vAlign w:val="bottom"/>
          </w:tcPr>
          <w:p w14:paraId="6D708B90" w14:textId="62FF225C" w:rsidR="00566EA9" w:rsidRPr="001D41EA" w:rsidRDefault="00566EA9" w:rsidP="001D41EA">
            <w:pPr>
              <w:spacing w:before="40" w:after="20"/>
              <w:jc w:val="center"/>
              <w:rPr>
                <w:rFonts w:cs="Arial"/>
                <w:sz w:val="18"/>
                <w:szCs w:val="18"/>
              </w:rPr>
            </w:pPr>
            <w:r w:rsidRPr="001D41EA">
              <w:rPr>
                <w:rFonts w:cs="Arial"/>
                <w:sz w:val="18"/>
                <w:szCs w:val="18"/>
              </w:rPr>
              <w:t>1.197</w:t>
            </w:r>
          </w:p>
        </w:tc>
        <w:tc>
          <w:tcPr>
            <w:tcW w:w="1134" w:type="dxa"/>
            <w:tcBorders>
              <w:top w:val="nil"/>
              <w:left w:val="nil"/>
              <w:bottom w:val="nil"/>
              <w:right w:val="nil"/>
            </w:tcBorders>
            <w:vAlign w:val="bottom"/>
          </w:tcPr>
          <w:p w14:paraId="79A95576" w14:textId="70D61BC1" w:rsidR="00566EA9" w:rsidRPr="001D41EA" w:rsidRDefault="00566EA9" w:rsidP="001D41EA">
            <w:pPr>
              <w:spacing w:before="40" w:after="20"/>
              <w:jc w:val="center"/>
              <w:rPr>
                <w:rFonts w:cs="Arial"/>
                <w:sz w:val="18"/>
                <w:szCs w:val="18"/>
              </w:rPr>
            </w:pPr>
            <w:r w:rsidRPr="001D41EA">
              <w:rPr>
                <w:rFonts w:cs="Arial"/>
                <w:sz w:val="18"/>
                <w:szCs w:val="18"/>
              </w:rPr>
              <w:t>1.173</w:t>
            </w:r>
          </w:p>
        </w:tc>
      </w:tr>
      <w:tr w:rsidR="00566EA9" w:rsidRPr="001D41EA" w14:paraId="6BBF5762"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7AA56DF" w14:textId="77777777" w:rsidR="00566EA9" w:rsidRPr="001D41EA" w:rsidRDefault="00566EA9" w:rsidP="001D41EA">
            <w:pPr>
              <w:spacing w:before="40" w:after="20"/>
              <w:rPr>
                <w:rFonts w:cs="Arial"/>
                <w:sz w:val="18"/>
                <w:szCs w:val="18"/>
              </w:rPr>
            </w:pPr>
            <w:r w:rsidRPr="001D41EA">
              <w:rPr>
                <w:rFonts w:cs="Arial"/>
                <w:sz w:val="18"/>
                <w:szCs w:val="18"/>
              </w:rPr>
              <w:t>Monash C</w:t>
            </w:r>
          </w:p>
        </w:tc>
        <w:tc>
          <w:tcPr>
            <w:tcW w:w="1134" w:type="dxa"/>
            <w:tcBorders>
              <w:top w:val="nil"/>
              <w:left w:val="single" w:sz="18" w:space="0" w:color="5F497A" w:themeColor="accent4" w:themeShade="BF"/>
              <w:bottom w:val="nil"/>
              <w:right w:val="nil"/>
            </w:tcBorders>
            <w:shd w:val="clear" w:color="auto" w:fill="auto"/>
            <w:vAlign w:val="bottom"/>
          </w:tcPr>
          <w:p w14:paraId="5CD38F23" w14:textId="60F3B060" w:rsidR="00566EA9" w:rsidRPr="001D41EA" w:rsidRDefault="00566EA9" w:rsidP="001D41EA">
            <w:pPr>
              <w:spacing w:before="40" w:after="20"/>
              <w:jc w:val="center"/>
              <w:rPr>
                <w:rFonts w:cs="Arial"/>
                <w:sz w:val="18"/>
                <w:szCs w:val="18"/>
              </w:rPr>
            </w:pPr>
            <w:r w:rsidRPr="001D41EA">
              <w:rPr>
                <w:rFonts w:cs="Arial"/>
                <w:sz w:val="18"/>
                <w:szCs w:val="18"/>
              </w:rPr>
              <w:t>0.885</w:t>
            </w:r>
          </w:p>
        </w:tc>
        <w:tc>
          <w:tcPr>
            <w:tcW w:w="1134" w:type="dxa"/>
            <w:tcBorders>
              <w:top w:val="nil"/>
              <w:left w:val="nil"/>
              <w:bottom w:val="nil"/>
              <w:right w:val="nil"/>
            </w:tcBorders>
            <w:shd w:val="clear" w:color="auto" w:fill="auto"/>
            <w:vAlign w:val="bottom"/>
          </w:tcPr>
          <w:p w14:paraId="3B2721BC" w14:textId="7FC2370D" w:rsidR="00566EA9" w:rsidRPr="001D41EA" w:rsidRDefault="00566EA9" w:rsidP="001D41EA">
            <w:pPr>
              <w:spacing w:before="40" w:after="20"/>
              <w:jc w:val="center"/>
              <w:rPr>
                <w:rFonts w:cs="Arial"/>
                <w:sz w:val="18"/>
                <w:szCs w:val="18"/>
              </w:rPr>
            </w:pPr>
            <w:r w:rsidRPr="001D41EA">
              <w:rPr>
                <w:rFonts w:cs="Arial"/>
                <w:sz w:val="18"/>
                <w:szCs w:val="18"/>
              </w:rPr>
              <w:t>0.876</w:t>
            </w:r>
          </w:p>
        </w:tc>
        <w:tc>
          <w:tcPr>
            <w:tcW w:w="170" w:type="dxa"/>
            <w:tcBorders>
              <w:top w:val="nil"/>
              <w:left w:val="nil"/>
              <w:bottom w:val="nil"/>
              <w:right w:val="nil"/>
            </w:tcBorders>
            <w:vAlign w:val="bottom"/>
          </w:tcPr>
          <w:p w14:paraId="6745F1FA" w14:textId="64BEDE85"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0160E502" w14:textId="58C6E84E" w:rsidR="00566EA9" w:rsidRPr="001D41EA" w:rsidRDefault="00566EA9" w:rsidP="001D41EA">
            <w:pPr>
              <w:spacing w:before="40" w:after="20"/>
              <w:jc w:val="center"/>
              <w:rPr>
                <w:rFonts w:cs="Arial"/>
                <w:sz w:val="18"/>
                <w:szCs w:val="18"/>
              </w:rPr>
            </w:pPr>
            <w:r w:rsidRPr="001D41EA">
              <w:rPr>
                <w:rFonts w:cs="Arial"/>
                <w:sz w:val="18"/>
                <w:szCs w:val="18"/>
              </w:rPr>
              <w:t>1.015</w:t>
            </w:r>
          </w:p>
        </w:tc>
        <w:tc>
          <w:tcPr>
            <w:tcW w:w="1134" w:type="dxa"/>
            <w:tcBorders>
              <w:top w:val="nil"/>
              <w:left w:val="nil"/>
              <w:bottom w:val="nil"/>
              <w:right w:val="nil"/>
            </w:tcBorders>
            <w:vAlign w:val="bottom"/>
          </w:tcPr>
          <w:p w14:paraId="7D3E2164" w14:textId="61CAD878" w:rsidR="00566EA9" w:rsidRPr="001D41EA" w:rsidRDefault="00566EA9" w:rsidP="001D41EA">
            <w:pPr>
              <w:spacing w:before="40" w:after="20"/>
              <w:jc w:val="center"/>
              <w:rPr>
                <w:rFonts w:cs="Arial"/>
                <w:sz w:val="18"/>
                <w:szCs w:val="18"/>
              </w:rPr>
            </w:pPr>
            <w:r w:rsidRPr="001D41EA">
              <w:rPr>
                <w:rFonts w:cs="Arial"/>
                <w:sz w:val="18"/>
                <w:szCs w:val="18"/>
              </w:rPr>
              <w:t>1.009</w:t>
            </w:r>
          </w:p>
        </w:tc>
        <w:tc>
          <w:tcPr>
            <w:tcW w:w="1134" w:type="dxa"/>
            <w:tcBorders>
              <w:top w:val="nil"/>
              <w:left w:val="nil"/>
              <w:bottom w:val="nil"/>
              <w:right w:val="nil"/>
            </w:tcBorders>
            <w:vAlign w:val="bottom"/>
          </w:tcPr>
          <w:p w14:paraId="51D27EA1" w14:textId="3DDF4F28" w:rsidR="00566EA9" w:rsidRPr="001D41EA" w:rsidRDefault="00566EA9" w:rsidP="001D41EA">
            <w:pPr>
              <w:spacing w:before="40" w:after="20"/>
              <w:jc w:val="center"/>
              <w:rPr>
                <w:rFonts w:cs="Arial"/>
                <w:sz w:val="18"/>
                <w:szCs w:val="18"/>
              </w:rPr>
            </w:pPr>
            <w:r w:rsidRPr="001D41EA">
              <w:rPr>
                <w:rFonts w:cs="Arial"/>
                <w:sz w:val="18"/>
                <w:szCs w:val="18"/>
              </w:rPr>
              <w:t>1.011</w:t>
            </w:r>
          </w:p>
        </w:tc>
        <w:tc>
          <w:tcPr>
            <w:tcW w:w="1134" w:type="dxa"/>
            <w:tcBorders>
              <w:top w:val="nil"/>
              <w:left w:val="nil"/>
              <w:bottom w:val="nil"/>
              <w:right w:val="nil"/>
            </w:tcBorders>
            <w:vAlign w:val="bottom"/>
          </w:tcPr>
          <w:p w14:paraId="5393E4DA" w14:textId="3AEC8A06" w:rsidR="00566EA9" w:rsidRPr="001D41EA" w:rsidRDefault="00566EA9" w:rsidP="001D41EA">
            <w:pPr>
              <w:spacing w:before="40" w:after="20"/>
              <w:jc w:val="center"/>
              <w:rPr>
                <w:rFonts w:cs="Arial"/>
                <w:sz w:val="18"/>
                <w:szCs w:val="18"/>
              </w:rPr>
            </w:pPr>
            <w:r w:rsidRPr="001D41EA">
              <w:rPr>
                <w:rFonts w:cs="Arial"/>
                <w:sz w:val="18"/>
                <w:szCs w:val="18"/>
              </w:rPr>
              <w:t>0.991</w:t>
            </w:r>
          </w:p>
        </w:tc>
      </w:tr>
      <w:tr w:rsidR="00566EA9" w:rsidRPr="001D41EA" w14:paraId="1D1AD2E8"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68842CA" w14:textId="77777777" w:rsidR="00566EA9" w:rsidRPr="001D41EA" w:rsidRDefault="00566EA9" w:rsidP="001D41EA">
            <w:pPr>
              <w:spacing w:before="40" w:after="20"/>
              <w:rPr>
                <w:rFonts w:cs="Arial"/>
                <w:sz w:val="18"/>
                <w:szCs w:val="18"/>
              </w:rPr>
            </w:pPr>
            <w:r w:rsidRPr="001D41EA">
              <w:rPr>
                <w:rFonts w:cs="Arial"/>
                <w:sz w:val="18"/>
                <w:szCs w:val="18"/>
              </w:rPr>
              <w:t>Moonee Valley C</w:t>
            </w:r>
          </w:p>
        </w:tc>
        <w:tc>
          <w:tcPr>
            <w:tcW w:w="1134" w:type="dxa"/>
            <w:tcBorders>
              <w:top w:val="nil"/>
              <w:left w:val="single" w:sz="18" w:space="0" w:color="5F497A" w:themeColor="accent4" w:themeShade="BF"/>
              <w:bottom w:val="nil"/>
              <w:right w:val="nil"/>
            </w:tcBorders>
            <w:shd w:val="clear" w:color="auto" w:fill="auto"/>
            <w:vAlign w:val="bottom"/>
          </w:tcPr>
          <w:p w14:paraId="54770058" w14:textId="1F77CF84" w:rsidR="00566EA9" w:rsidRPr="001D41EA" w:rsidRDefault="00566EA9" w:rsidP="001D41EA">
            <w:pPr>
              <w:spacing w:before="40" w:after="20"/>
              <w:jc w:val="center"/>
              <w:rPr>
                <w:rFonts w:cs="Arial"/>
                <w:sz w:val="18"/>
                <w:szCs w:val="18"/>
              </w:rPr>
            </w:pPr>
            <w:r w:rsidRPr="001D41EA">
              <w:rPr>
                <w:rFonts w:cs="Arial"/>
                <w:sz w:val="18"/>
                <w:szCs w:val="18"/>
              </w:rPr>
              <w:t>0.919</w:t>
            </w:r>
          </w:p>
        </w:tc>
        <w:tc>
          <w:tcPr>
            <w:tcW w:w="1134" w:type="dxa"/>
            <w:tcBorders>
              <w:top w:val="nil"/>
              <w:left w:val="nil"/>
              <w:bottom w:val="nil"/>
              <w:right w:val="nil"/>
            </w:tcBorders>
            <w:shd w:val="clear" w:color="auto" w:fill="auto"/>
            <w:vAlign w:val="bottom"/>
          </w:tcPr>
          <w:p w14:paraId="74551C50" w14:textId="5260AB6E" w:rsidR="00566EA9" w:rsidRPr="001D41EA" w:rsidRDefault="00566EA9" w:rsidP="001D41EA">
            <w:pPr>
              <w:spacing w:before="40" w:after="20"/>
              <w:jc w:val="center"/>
              <w:rPr>
                <w:rFonts w:cs="Arial"/>
                <w:sz w:val="18"/>
                <w:szCs w:val="18"/>
              </w:rPr>
            </w:pPr>
            <w:r w:rsidRPr="001D41EA">
              <w:rPr>
                <w:rFonts w:cs="Arial"/>
                <w:sz w:val="18"/>
                <w:szCs w:val="18"/>
              </w:rPr>
              <w:t>0.909</w:t>
            </w:r>
          </w:p>
        </w:tc>
        <w:tc>
          <w:tcPr>
            <w:tcW w:w="170" w:type="dxa"/>
            <w:tcBorders>
              <w:top w:val="nil"/>
              <w:left w:val="nil"/>
              <w:bottom w:val="nil"/>
              <w:right w:val="nil"/>
            </w:tcBorders>
            <w:vAlign w:val="bottom"/>
          </w:tcPr>
          <w:p w14:paraId="002C1BEF" w14:textId="4CEF8B31"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37383E79" w14:textId="619D88CE" w:rsidR="00566EA9" w:rsidRPr="001D41EA" w:rsidRDefault="00566EA9" w:rsidP="001D41EA">
            <w:pPr>
              <w:spacing w:before="40" w:after="20"/>
              <w:jc w:val="center"/>
              <w:rPr>
                <w:rFonts w:cs="Arial"/>
                <w:sz w:val="18"/>
                <w:szCs w:val="18"/>
              </w:rPr>
            </w:pPr>
            <w:r w:rsidRPr="001D41EA">
              <w:rPr>
                <w:rFonts w:cs="Arial"/>
                <w:sz w:val="18"/>
                <w:szCs w:val="18"/>
              </w:rPr>
              <w:t>0.916</w:t>
            </w:r>
          </w:p>
        </w:tc>
        <w:tc>
          <w:tcPr>
            <w:tcW w:w="1134" w:type="dxa"/>
            <w:tcBorders>
              <w:top w:val="nil"/>
              <w:left w:val="nil"/>
              <w:bottom w:val="nil"/>
              <w:right w:val="nil"/>
            </w:tcBorders>
            <w:vAlign w:val="bottom"/>
          </w:tcPr>
          <w:p w14:paraId="03C1669A" w14:textId="73962B9D" w:rsidR="00566EA9" w:rsidRPr="001D41EA" w:rsidRDefault="00566EA9" w:rsidP="001D41EA">
            <w:pPr>
              <w:spacing w:before="40" w:after="20"/>
              <w:jc w:val="center"/>
              <w:rPr>
                <w:rFonts w:cs="Arial"/>
                <w:sz w:val="18"/>
                <w:szCs w:val="18"/>
              </w:rPr>
            </w:pPr>
            <w:r w:rsidRPr="001D41EA">
              <w:rPr>
                <w:rFonts w:cs="Arial"/>
                <w:sz w:val="18"/>
                <w:szCs w:val="18"/>
              </w:rPr>
              <w:t>0.910</w:t>
            </w:r>
          </w:p>
        </w:tc>
        <w:tc>
          <w:tcPr>
            <w:tcW w:w="1134" w:type="dxa"/>
            <w:tcBorders>
              <w:top w:val="nil"/>
              <w:left w:val="nil"/>
              <w:bottom w:val="nil"/>
              <w:right w:val="nil"/>
            </w:tcBorders>
            <w:vAlign w:val="bottom"/>
          </w:tcPr>
          <w:p w14:paraId="1E872A51" w14:textId="63140BA3" w:rsidR="00566EA9" w:rsidRPr="001D41EA" w:rsidRDefault="00566EA9" w:rsidP="001D41EA">
            <w:pPr>
              <w:spacing w:before="40" w:after="20"/>
              <w:jc w:val="center"/>
              <w:rPr>
                <w:rFonts w:cs="Arial"/>
                <w:sz w:val="18"/>
                <w:szCs w:val="18"/>
              </w:rPr>
            </w:pPr>
            <w:r w:rsidRPr="001D41EA">
              <w:rPr>
                <w:rFonts w:cs="Arial"/>
                <w:sz w:val="18"/>
                <w:szCs w:val="18"/>
              </w:rPr>
              <w:t>0.913</w:t>
            </w:r>
          </w:p>
        </w:tc>
        <w:tc>
          <w:tcPr>
            <w:tcW w:w="1134" w:type="dxa"/>
            <w:tcBorders>
              <w:top w:val="nil"/>
              <w:left w:val="nil"/>
              <w:bottom w:val="nil"/>
              <w:right w:val="nil"/>
            </w:tcBorders>
            <w:vAlign w:val="bottom"/>
          </w:tcPr>
          <w:p w14:paraId="2D89DE1D" w14:textId="130F51BF" w:rsidR="00566EA9" w:rsidRPr="001D41EA" w:rsidRDefault="00566EA9" w:rsidP="001D41EA">
            <w:pPr>
              <w:spacing w:before="40" w:after="20"/>
              <w:jc w:val="center"/>
              <w:rPr>
                <w:rFonts w:cs="Arial"/>
                <w:sz w:val="18"/>
                <w:szCs w:val="18"/>
              </w:rPr>
            </w:pPr>
            <w:r w:rsidRPr="001D41EA">
              <w:rPr>
                <w:rFonts w:cs="Arial"/>
                <w:sz w:val="18"/>
                <w:szCs w:val="18"/>
              </w:rPr>
              <w:t>0.894</w:t>
            </w:r>
          </w:p>
        </w:tc>
      </w:tr>
      <w:tr w:rsidR="00566EA9" w:rsidRPr="001D41EA" w14:paraId="4960518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919D5FD" w14:textId="77777777" w:rsidR="00566EA9" w:rsidRPr="001D41EA" w:rsidRDefault="00566EA9" w:rsidP="001D41EA">
            <w:pPr>
              <w:spacing w:before="40" w:after="20"/>
              <w:rPr>
                <w:rFonts w:cs="Arial"/>
                <w:sz w:val="18"/>
                <w:szCs w:val="18"/>
              </w:rPr>
            </w:pPr>
            <w:r w:rsidRPr="001D41EA">
              <w:rPr>
                <w:rFonts w:cs="Arial"/>
                <w:sz w:val="18"/>
                <w:szCs w:val="18"/>
              </w:rPr>
              <w:t>Moorabool S</w:t>
            </w:r>
          </w:p>
        </w:tc>
        <w:tc>
          <w:tcPr>
            <w:tcW w:w="1134" w:type="dxa"/>
            <w:tcBorders>
              <w:top w:val="nil"/>
              <w:left w:val="single" w:sz="18" w:space="0" w:color="5F497A" w:themeColor="accent4" w:themeShade="BF"/>
              <w:bottom w:val="nil"/>
              <w:right w:val="nil"/>
            </w:tcBorders>
            <w:shd w:val="clear" w:color="auto" w:fill="auto"/>
            <w:vAlign w:val="bottom"/>
          </w:tcPr>
          <w:p w14:paraId="5F331E3B" w14:textId="4DBFC495" w:rsidR="00566EA9" w:rsidRPr="001D41EA" w:rsidRDefault="00566EA9" w:rsidP="001D41EA">
            <w:pPr>
              <w:spacing w:before="40" w:after="20"/>
              <w:jc w:val="center"/>
              <w:rPr>
                <w:rFonts w:cs="Arial"/>
                <w:sz w:val="18"/>
                <w:szCs w:val="18"/>
              </w:rPr>
            </w:pPr>
            <w:r w:rsidRPr="001D41EA">
              <w:rPr>
                <w:rFonts w:cs="Arial"/>
                <w:sz w:val="18"/>
                <w:szCs w:val="18"/>
              </w:rPr>
              <w:t>1.002</w:t>
            </w:r>
          </w:p>
        </w:tc>
        <w:tc>
          <w:tcPr>
            <w:tcW w:w="1134" w:type="dxa"/>
            <w:tcBorders>
              <w:top w:val="nil"/>
              <w:left w:val="nil"/>
              <w:bottom w:val="nil"/>
              <w:right w:val="nil"/>
            </w:tcBorders>
            <w:shd w:val="clear" w:color="auto" w:fill="auto"/>
            <w:vAlign w:val="bottom"/>
          </w:tcPr>
          <w:p w14:paraId="471B96AC" w14:textId="50E56ACF" w:rsidR="00566EA9" w:rsidRPr="001D41EA" w:rsidRDefault="00566EA9" w:rsidP="001D41EA">
            <w:pPr>
              <w:spacing w:before="40" w:after="20"/>
              <w:jc w:val="center"/>
              <w:rPr>
                <w:rFonts w:cs="Arial"/>
                <w:sz w:val="18"/>
                <w:szCs w:val="18"/>
              </w:rPr>
            </w:pPr>
            <w:r w:rsidRPr="001D41EA">
              <w:rPr>
                <w:rFonts w:cs="Arial"/>
                <w:sz w:val="18"/>
                <w:szCs w:val="18"/>
              </w:rPr>
              <w:t>0.992</w:t>
            </w:r>
          </w:p>
        </w:tc>
        <w:tc>
          <w:tcPr>
            <w:tcW w:w="170" w:type="dxa"/>
            <w:tcBorders>
              <w:top w:val="nil"/>
              <w:left w:val="nil"/>
              <w:bottom w:val="nil"/>
              <w:right w:val="nil"/>
            </w:tcBorders>
            <w:vAlign w:val="bottom"/>
          </w:tcPr>
          <w:p w14:paraId="08702B24" w14:textId="52EAB33B"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5233B1B5" w14:textId="0C3F6982" w:rsidR="00566EA9" w:rsidRPr="001D41EA" w:rsidRDefault="00566EA9" w:rsidP="001D41EA">
            <w:pPr>
              <w:spacing w:before="40" w:after="20"/>
              <w:jc w:val="center"/>
              <w:rPr>
                <w:rFonts w:cs="Arial"/>
                <w:sz w:val="18"/>
                <w:szCs w:val="18"/>
              </w:rPr>
            </w:pPr>
            <w:r w:rsidRPr="001D41EA">
              <w:rPr>
                <w:rFonts w:cs="Arial"/>
                <w:sz w:val="18"/>
                <w:szCs w:val="18"/>
              </w:rPr>
              <w:t>0.948</w:t>
            </w:r>
          </w:p>
        </w:tc>
        <w:tc>
          <w:tcPr>
            <w:tcW w:w="1134" w:type="dxa"/>
            <w:tcBorders>
              <w:top w:val="nil"/>
              <w:left w:val="nil"/>
              <w:bottom w:val="nil"/>
              <w:right w:val="nil"/>
            </w:tcBorders>
            <w:vAlign w:val="bottom"/>
          </w:tcPr>
          <w:p w14:paraId="24355E59" w14:textId="77BF5FB0" w:rsidR="00566EA9" w:rsidRPr="001D41EA" w:rsidRDefault="00566EA9" w:rsidP="001D41EA">
            <w:pPr>
              <w:spacing w:before="40" w:after="20"/>
              <w:jc w:val="center"/>
              <w:rPr>
                <w:rFonts w:cs="Arial"/>
                <w:sz w:val="18"/>
                <w:szCs w:val="18"/>
              </w:rPr>
            </w:pPr>
            <w:r w:rsidRPr="001D41EA">
              <w:rPr>
                <w:rFonts w:cs="Arial"/>
                <w:sz w:val="18"/>
                <w:szCs w:val="18"/>
              </w:rPr>
              <w:t>0.941</w:t>
            </w:r>
          </w:p>
        </w:tc>
        <w:tc>
          <w:tcPr>
            <w:tcW w:w="1134" w:type="dxa"/>
            <w:tcBorders>
              <w:top w:val="nil"/>
              <w:left w:val="nil"/>
              <w:bottom w:val="nil"/>
              <w:right w:val="nil"/>
            </w:tcBorders>
            <w:vAlign w:val="bottom"/>
          </w:tcPr>
          <w:p w14:paraId="3C1AFC15" w14:textId="03C6DD60" w:rsidR="00566EA9" w:rsidRPr="001D41EA" w:rsidRDefault="00566EA9" w:rsidP="001D41EA">
            <w:pPr>
              <w:spacing w:before="40" w:after="20"/>
              <w:jc w:val="center"/>
              <w:rPr>
                <w:rFonts w:cs="Arial"/>
                <w:sz w:val="18"/>
                <w:szCs w:val="18"/>
              </w:rPr>
            </w:pPr>
            <w:r w:rsidRPr="001D41EA">
              <w:rPr>
                <w:rFonts w:cs="Arial"/>
                <w:sz w:val="18"/>
                <w:szCs w:val="18"/>
              </w:rPr>
              <w:t>0.944</w:t>
            </w:r>
          </w:p>
        </w:tc>
        <w:tc>
          <w:tcPr>
            <w:tcW w:w="1134" w:type="dxa"/>
            <w:tcBorders>
              <w:top w:val="nil"/>
              <w:left w:val="nil"/>
              <w:bottom w:val="nil"/>
              <w:right w:val="nil"/>
            </w:tcBorders>
            <w:vAlign w:val="bottom"/>
          </w:tcPr>
          <w:p w14:paraId="2E713DE5" w14:textId="7F2757DB" w:rsidR="00566EA9" w:rsidRPr="001D41EA" w:rsidRDefault="00566EA9" w:rsidP="001D41EA">
            <w:pPr>
              <w:spacing w:before="40" w:after="20"/>
              <w:jc w:val="center"/>
              <w:rPr>
                <w:rFonts w:cs="Arial"/>
                <w:sz w:val="18"/>
                <w:szCs w:val="18"/>
              </w:rPr>
            </w:pPr>
            <w:r w:rsidRPr="001D41EA">
              <w:rPr>
                <w:rFonts w:cs="Arial"/>
                <w:sz w:val="18"/>
                <w:szCs w:val="18"/>
              </w:rPr>
              <w:t>0.925</w:t>
            </w:r>
          </w:p>
        </w:tc>
      </w:tr>
      <w:tr w:rsidR="00566EA9" w:rsidRPr="001D41EA" w14:paraId="6554BE2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F25ACD9" w14:textId="77777777" w:rsidR="00566EA9" w:rsidRPr="001D41EA" w:rsidRDefault="00566EA9" w:rsidP="001D41EA">
            <w:pPr>
              <w:spacing w:before="40" w:after="20"/>
              <w:rPr>
                <w:rFonts w:cs="Arial"/>
                <w:sz w:val="18"/>
                <w:szCs w:val="18"/>
              </w:rPr>
            </w:pPr>
            <w:r w:rsidRPr="001D41EA">
              <w:rPr>
                <w:rFonts w:cs="Arial"/>
                <w:sz w:val="18"/>
                <w:szCs w:val="18"/>
              </w:rPr>
              <w:t>Moreland C</w:t>
            </w:r>
          </w:p>
        </w:tc>
        <w:tc>
          <w:tcPr>
            <w:tcW w:w="1134" w:type="dxa"/>
            <w:tcBorders>
              <w:top w:val="nil"/>
              <w:left w:val="single" w:sz="18" w:space="0" w:color="5F497A" w:themeColor="accent4" w:themeShade="BF"/>
              <w:bottom w:val="nil"/>
              <w:right w:val="nil"/>
            </w:tcBorders>
            <w:shd w:val="clear" w:color="auto" w:fill="auto"/>
            <w:vAlign w:val="bottom"/>
          </w:tcPr>
          <w:p w14:paraId="3364C8C4" w14:textId="23625E4D" w:rsidR="00566EA9" w:rsidRPr="001D41EA" w:rsidRDefault="00566EA9" w:rsidP="001D41EA">
            <w:pPr>
              <w:spacing w:before="40" w:after="20"/>
              <w:jc w:val="center"/>
              <w:rPr>
                <w:rFonts w:cs="Arial"/>
                <w:sz w:val="18"/>
                <w:szCs w:val="18"/>
              </w:rPr>
            </w:pPr>
            <w:r w:rsidRPr="001D41EA">
              <w:rPr>
                <w:rFonts w:cs="Arial"/>
                <w:sz w:val="18"/>
                <w:szCs w:val="18"/>
              </w:rPr>
              <w:t>0.989</w:t>
            </w:r>
          </w:p>
        </w:tc>
        <w:tc>
          <w:tcPr>
            <w:tcW w:w="1134" w:type="dxa"/>
            <w:tcBorders>
              <w:top w:val="nil"/>
              <w:left w:val="nil"/>
              <w:bottom w:val="nil"/>
              <w:right w:val="nil"/>
            </w:tcBorders>
            <w:shd w:val="clear" w:color="auto" w:fill="auto"/>
            <w:vAlign w:val="bottom"/>
          </w:tcPr>
          <w:p w14:paraId="3C76C911" w14:textId="0FC87FA0" w:rsidR="00566EA9" w:rsidRPr="001D41EA" w:rsidRDefault="00566EA9" w:rsidP="001D41EA">
            <w:pPr>
              <w:spacing w:before="40" w:after="20"/>
              <w:jc w:val="center"/>
              <w:rPr>
                <w:rFonts w:cs="Arial"/>
                <w:sz w:val="18"/>
                <w:szCs w:val="18"/>
              </w:rPr>
            </w:pPr>
            <w:r w:rsidRPr="001D41EA">
              <w:rPr>
                <w:rFonts w:cs="Arial"/>
                <w:sz w:val="18"/>
                <w:szCs w:val="18"/>
              </w:rPr>
              <w:t>0.979</w:t>
            </w:r>
          </w:p>
        </w:tc>
        <w:tc>
          <w:tcPr>
            <w:tcW w:w="170" w:type="dxa"/>
            <w:tcBorders>
              <w:top w:val="nil"/>
              <w:left w:val="nil"/>
              <w:bottom w:val="nil"/>
              <w:right w:val="nil"/>
            </w:tcBorders>
            <w:vAlign w:val="bottom"/>
          </w:tcPr>
          <w:p w14:paraId="340C5E0E" w14:textId="753C6A9B"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5981007F" w14:textId="19D4D3D3" w:rsidR="00566EA9" w:rsidRPr="001D41EA" w:rsidRDefault="00566EA9" w:rsidP="001D41EA">
            <w:pPr>
              <w:spacing w:before="40" w:after="20"/>
              <w:jc w:val="center"/>
              <w:rPr>
                <w:rFonts w:cs="Arial"/>
                <w:sz w:val="18"/>
                <w:szCs w:val="18"/>
              </w:rPr>
            </w:pPr>
            <w:r w:rsidRPr="001D41EA">
              <w:rPr>
                <w:rFonts w:cs="Arial"/>
                <w:sz w:val="18"/>
                <w:szCs w:val="18"/>
              </w:rPr>
              <w:t>0.934</w:t>
            </w:r>
          </w:p>
        </w:tc>
        <w:tc>
          <w:tcPr>
            <w:tcW w:w="1134" w:type="dxa"/>
            <w:tcBorders>
              <w:top w:val="nil"/>
              <w:left w:val="nil"/>
              <w:bottom w:val="nil"/>
              <w:right w:val="nil"/>
            </w:tcBorders>
            <w:vAlign w:val="bottom"/>
          </w:tcPr>
          <w:p w14:paraId="44FCF7EE" w14:textId="14CF100F" w:rsidR="00566EA9" w:rsidRPr="001D41EA" w:rsidRDefault="00566EA9" w:rsidP="001D41EA">
            <w:pPr>
              <w:spacing w:before="40" w:after="20"/>
              <w:jc w:val="center"/>
              <w:rPr>
                <w:rFonts w:cs="Arial"/>
                <w:sz w:val="18"/>
                <w:szCs w:val="18"/>
              </w:rPr>
            </w:pPr>
            <w:r w:rsidRPr="001D41EA">
              <w:rPr>
                <w:rFonts w:cs="Arial"/>
                <w:sz w:val="18"/>
                <w:szCs w:val="18"/>
              </w:rPr>
              <w:t>0.928</w:t>
            </w:r>
          </w:p>
        </w:tc>
        <w:tc>
          <w:tcPr>
            <w:tcW w:w="1134" w:type="dxa"/>
            <w:tcBorders>
              <w:top w:val="nil"/>
              <w:left w:val="nil"/>
              <w:bottom w:val="nil"/>
              <w:right w:val="nil"/>
            </w:tcBorders>
            <w:vAlign w:val="bottom"/>
          </w:tcPr>
          <w:p w14:paraId="6DBA1228" w14:textId="66A7D116" w:rsidR="00566EA9" w:rsidRPr="001D41EA" w:rsidRDefault="00566EA9" w:rsidP="001D41EA">
            <w:pPr>
              <w:spacing w:before="40" w:after="20"/>
              <w:jc w:val="center"/>
              <w:rPr>
                <w:rFonts w:cs="Arial"/>
                <w:sz w:val="18"/>
                <w:szCs w:val="18"/>
              </w:rPr>
            </w:pPr>
            <w:r w:rsidRPr="001D41EA">
              <w:rPr>
                <w:rFonts w:cs="Arial"/>
                <w:sz w:val="18"/>
                <w:szCs w:val="18"/>
              </w:rPr>
              <w:t>0.930</w:t>
            </w:r>
          </w:p>
        </w:tc>
        <w:tc>
          <w:tcPr>
            <w:tcW w:w="1134" w:type="dxa"/>
            <w:tcBorders>
              <w:top w:val="nil"/>
              <w:left w:val="nil"/>
              <w:bottom w:val="nil"/>
              <w:right w:val="nil"/>
            </w:tcBorders>
            <w:vAlign w:val="bottom"/>
          </w:tcPr>
          <w:p w14:paraId="37C03F9A" w14:textId="4F0D1754" w:rsidR="00566EA9" w:rsidRPr="001D41EA" w:rsidRDefault="00566EA9" w:rsidP="001D41EA">
            <w:pPr>
              <w:spacing w:before="40" w:after="20"/>
              <w:jc w:val="center"/>
              <w:rPr>
                <w:rFonts w:cs="Arial"/>
                <w:sz w:val="18"/>
                <w:szCs w:val="18"/>
              </w:rPr>
            </w:pPr>
            <w:r w:rsidRPr="001D41EA">
              <w:rPr>
                <w:rFonts w:cs="Arial"/>
                <w:sz w:val="18"/>
                <w:szCs w:val="18"/>
              </w:rPr>
              <w:t>0.912</w:t>
            </w:r>
          </w:p>
        </w:tc>
      </w:tr>
      <w:tr w:rsidR="00566EA9" w:rsidRPr="001D41EA" w14:paraId="79B4DE69"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F0EC0E4" w14:textId="77777777" w:rsidR="00566EA9" w:rsidRPr="001D41EA" w:rsidRDefault="00566EA9" w:rsidP="001D41EA">
            <w:pPr>
              <w:spacing w:before="40" w:after="20"/>
              <w:rPr>
                <w:rFonts w:cs="Arial"/>
                <w:sz w:val="18"/>
                <w:szCs w:val="18"/>
              </w:rPr>
            </w:pPr>
            <w:r w:rsidRPr="001D41EA">
              <w:rPr>
                <w:rFonts w:cs="Arial"/>
                <w:sz w:val="18"/>
                <w:szCs w:val="18"/>
              </w:rPr>
              <w:t>Mornington Peninsula S</w:t>
            </w:r>
          </w:p>
        </w:tc>
        <w:tc>
          <w:tcPr>
            <w:tcW w:w="1134" w:type="dxa"/>
            <w:tcBorders>
              <w:top w:val="nil"/>
              <w:left w:val="single" w:sz="18" w:space="0" w:color="5F497A" w:themeColor="accent4" w:themeShade="BF"/>
              <w:bottom w:val="nil"/>
              <w:right w:val="nil"/>
            </w:tcBorders>
            <w:shd w:val="clear" w:color="auto" w:fill="auto"/>
            <w:vAlign w:val="bottom"/>
          </w:tcPr>
          <w:p w14:paraId="740AE0EA" w14:textId="4444BF4B" w:rsidR="00566EA9" w:rsidRPr="001D41EA" w:rsidRDefault="00566EA9" w:rsidP="001D41EA">
            <w:pPr>
              <w:spacing w:before="40" w:after="20"/>
              <w:jc w:val="center"/>
              <w:rPr>
                <w:rFonts w:cs="Arial"/>
                <w:sz w:val="18"/>
                <w:szCs w:val="18"/>
              </w:rPr>
            </w:pPr>
            <w:r w:rsidRPr="001D41EA">
              <w:rPr>
                <w:rFonts w:cs="Arial"/>
                <w:sz w:val="18"/>
                <w:szCs w:val="18"/>
              </w:rPr>
              <w:t>0.935</w:t>
            </w:r>
          </w:p>
        </w:tc>
        <w:tc>
          <w:tcPr>
            <w:tcW w:w="1134" w:type="dxa"/>
            <w:tcBorders>
              <w:top w:val="nil"/>
              <w:left w:val="nil"/>
              <w:bottom w:val="nil"/>
              <w:right w:val="nil"/>
            </w:tcBorders>
            <w:shd w:val="clear" w:color="auto" w:fill="auto"/>
            <w:vAlign w:val="bottom"/>
          </w:tcPr>
          <w:p w14:paraId="60635509" w14:textId="1C6B688E" w:rsidR="00566EA9" w:rsidRPr="001D41EA" w:rsidRDefault="00566EA9" w:rsidP="001D41EA">
            <w:pPr>
              <w:spacing w:before="40" w:after="20"/>
              <w:jc w:val="center"/>
              <w:rPr>
                <w:rFonts w:cs="Arial"/>
                <w:sz w:val="18"/>
                <w:szCs w:val="18"/>
              </w:rPr>
            </w:pPr>
            <w:r w:rsidRPr="001D41EA">
              <w:rPr>
                <w:rFonts w:cs="Arial"/>
                <w:sz w:val="18"/>
                <w:szCs w:val="18"/>
              </w:rPr>
              <w:t>0.926</w:t>
            </w:r>
          </w:p>
        </w:tc>
        <w:tc>
          <w:tcPr>
            <w:tcW w:w="170" w:type="dxa"/>
            <w:tcBorders>
              <w:top w:val="nil"/>
              <w:left w:val="nil"/>
              <w:bottom w:val="nil"/>
              <w:right w:val="nil"/>
            </w:tcBorders>
            <w:vAlign w:val="bottom"/>
          </w:tcPr>
          <w:p w14:paraId="5DC226FD" w14:textId="68DD8336"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7C5EA740" w14:textId="5F96CDED" w:rsidR="00566EA9" w:rsidRPr="001D41EA" w:rsidRDefault="00566EA9" w:rsidP="001D41EA">
            <w:pPr>
              <w:spacing w:before="40" w:after="20"/>
              <w:jc w:val="center"/>
              <w:rPr>
                <w:rFonts w:cs="Arial"/>
                <w:sz w:val="18"/>
                <w:szCs w:val="18"/>
              </w:rPr>
            </w:pPr>
            <w:r w:rsidRPr="001D41EA">
              <w:rPr>
                <w:rFonts w:cs="Arial"/>
                <w:sz w:val="18"/>
                <w:szCs w:val="18"/>
              </w:rPr>
              <w:t>1.202</w:t>
            </w:r>
          </w:p>
        </w:tc>
        <w:tc>
          <w:tcPr>
            <w:tcW w:w="1134" w:type="dxa"/>
            <w:tcBorders>
              <w:top w:val="nil"/>
              <w:left w:val="nil"/>
              <w:bottom w:val="nil"/>
              <w:right w:val="nil"/>
            </w:tcBorders>
            <w:vAlign w:val="bottom"/>
          </w:tcPr>
          <w:p w14:paraId="56433F4E" w14:textId="3766DBBC" w:rsidR="00566EA9" w:rsidRPr="001D41EA" w:rsidRDefault="00566EA9" w:rsidP="001D41EA">
            <w:pPr>
              <w:spacing w:before="40" w:after="20"/>
              <w:jc w:val="center"/>
              <w:rPr>
                <w:rFonts w:cs="Arial"/>
                <w:sz w:val="18"/>
                <w:szCs w:val="18"/>
              </w:rPr>
            </w:pPr>
            <w:r w:rsidRPr="001D41EA">
              <w:rPr>
                <w:rFonts w:cs="Arial"/>
                <w:sz w:val="18"/>
                <w:szCs w:val="18"/>
              </w:rPr>
              <w:t>1.194</w:t>
            </w:r>
          </w:p>
        </w:tc>
        <w:tc>
          <w:tcPr>
            <w:tcW w:w="1134" w:type="dxa"/>
            <w:tcBorders>
              <w:top w:val="nil"/>
              <w:left w:val="nil"/>
              <w:bottom w:val="nil"/>
              <w:right w:val="nil"/>
            </w:tcBorders>
            <w:vAlign w:val="bottom"/>
          </w:tcPr>
          <w:p w14:paraId="3411C97B" w14:textId="00087E96" w:rsidR="00566EA9" w:rsidRPr="001D41EA" w:rsidRDefault="00566EA9" w:rsidP="001D41EA">
            <w:pPr>
              <w:spacing w:before="40" w:after="20"/>
              <w:jc w:val="center"/>
              <w:rPr>
                <w:rFonts w:cs="Arial"/>
                <w:sz w:val="18"/>
                <w:szCs w:val="18"/>
              </w:rPr>
            </w:pPr>
            <w:r w:rsidRPr="001D41EA">
              <w:rPr>
                <w:rFonts w:cs="Arial"/>
                <w:sz w:val="18"/>
                <w:szCs w:val="18"/>
              </w:rPr>
              <w:t>1.197</w:t>
            </w:r>
          </w:p>
        </w:tc>
        <w:tc>
          <w:tcPr>
            <w:tcW w:w="1134" w:type="dxa"/>
            <w:tcBorders>
              <w:top w:val="nil"/>
              <w:left w:val="nil"/>
              <w:bottom w:val="nil"/>
              <w:right w:val="nil"/>
            </w:tcBorders>
            <w:vAlign w:val="bottom"/>
          </w:tcPr>
          <w:p w14:paraId="6CE07351" w14:textId="60ECF850" w:rsidR="00566EA9" w:rsidRPr="001D41EA" w:rsidRDefault="00566EA9" w:rsidP="001D41EA">
            <w:pPr>
              <w:spacing w:before="40" w:after="20"/>
              <w:jc w:val="center"/>
              <w:rPr>
                <w:rFonts w:cs="Arial"/>
                <w:sz w:val="18"/>
                <w:szCs w:val="18"/>
              </w:rPr>
            </w:pPr>
            <w:r w:rsidRPr="001D41EA">
              <w:rPr>
                <w:rFonts w:cs="Arial"/>
                <w:sz w:val="18"/>
                <w:szCs w:val="18"/>
              </w:rPr>
              <w:t>1.173</w:t>
            </w:r>
          </w:p>
        </w:tc>
      </w:tr>
      <w:tr w:rsidR="00566EA9" w:rsidRPr="001D41EA" w14:paraId="34F3498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AC5693E" w14:textId="77777777" w:rsidR="00566EA9" w:rsidRPr="001D41EA" w:rsidRDefault="00566EA9" w:rsidP="001D41EA">
            <w:pPr>
              <w:spacing w:before="40" w:after="20"/>
              <w:rPr>
                <w:rFonts w:cs="Arial"/>
                <w:sz w:val="18"/>
                <w:szCs w:val="18"/>
              </w:rPr>
            </w:pPr>
            <w:r w:rsidRPr="001D41EA">
              <w:rPr>
                <w:rFonts w:cs="Arial"/>
                <w:sz w:val="18"/>
                <w:szCs w:val="18"/>
              </w:rPr>
              <w:t>Mount Alexander S</w:t>
            </w:r>
          </w:p>
        </w:tc>
        <w:tc>
          <w:tcPr>
            <w:tcW w:w="1134" w:type="dxa"/>
            <w:tcBorders>
              <w:top w:val="nil"/>
              <w:left w:val="single" w:sz="18" w:space="0" w:color="5F497A" w:themeColor="accent4" w:themeShade="BF"/>
              <w:bottom w:val="nil"/>
              <w:right w:val="nil"/>
            </w:tcBorders>
            <w:shd w:val="clear" w:color="auto" w:fill="auto"/>
            <w:vAlign w:val="bottom"/>
          </w:tcPr>
          <w:p w14:paraId="7263362E" w14:textId="7DFEFB43" w:rsidR="00566EA9" w:rsidRPr="001D41EA" w:rsidRDefault="00566EA9" w:rsidP="001D41EA">
            <w:pPr>
              <w:spacing w:before="40" w:after="20"/>
              <w:jc w:val="center"/>
              <w:rPr>
                <w:rFonts w:cs="Arial"/>
                <w:sz w:val="18"/>
                <w:szCs w:val="18"/>
              </w:rPr>
            </w:pPr>
            <w:r w:rsidRPr="001D41EA">
              <w:rPr>
                <w:rFonts w:cs="Arial"/>
                <w:sz w:val="18"/>
                <w:szCs w:val="18"/>
              </w:rPr>
              <w:t>1.053</w:t>
            </w:r>
          </w:p>
        </w:tc>
        <w:tc>
          <w:tcPr>
            <w:tcW w:w="1134" w:type="dxa"/>
            <w:tcBorders>
              <w:top w:val="nil"/>
              <w:left w:val="nil"/>
              <w:bottom w:val="nil"/>
              <w:right w:val="nil"/>
            </w:tcBorders>
            <w:shd w:val="clear" w:color="auto" w:fill="auto"/>
            <w:vAlign w:val="bottom"/>
          </w:tcPr>
          <w:p w14:paraId="63226790" w14:textId="39FA3DE4" w:rsidR="00566EA9" w:rsidRPr="001D41EA" w:rsidRDefault="00566EA9" w:rsidP="001D41EA">
            <w:pPr>
              <w:spacing w:before="40" w:after="20"/>
              <w:jc w:val="center"/>
              <w:rPr>
                <w:rFonts w:cs="Arial"/>
                <w:sz w:val="18"/>
                <w:szCs w:val="18"/>
              </w:rPr>
            </w:pPr>
            <w:r w:rsidRPr="001D41EA">
              <w:rPr>
                <w:rFonts w:cs="Arial"/>
                <w:sz w:val="18"/>
                <w:szCs w:val="18"/>
              </w:rPr>
              <w:t>1.042</w:t>
            </w:r>
          </w:p>
        </w:tc>
        <w:tc>
          <w:tcPr>
            <w:tcW w:w="170" w:type="dxa"/>
            <w:tcBorders>
              <w:top w:val="nil"/>
              <w:left w:val="nil"/>
              <w:bottom w:val="nil"/>
              <w:right w:val="nil"/>
            </w:tcBorders>
            <w:vAlign w:val="bottom"/>
          </w:tcPr>
          <w:p w14:paraId="39EBEC09" w14:textId="7099438F"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2ACADE40" w14:textId="502513BE" w:rsidR="00566EA9" w:rsidRPr="001D41EA" w:rsidRDefault="00566EA9" w:rsidP="001D41EA">
            <w:pPr>
              <w:spacing w:before="40" w:after="20"/>
              <w:jc w:val="center"/>
              <w:rPr>
                <w:rFonts w:cs="Arial"/>
                <w:sz w:val="18"/>
                <w:szCs w:val="18"/>
              </w:rPr>
            </w:pPr>
            <w:r w:rsidRPr="001D41EA">
              <w:rPr>
                <w:rFonts w:cs="Arial"/>
                <w:sz w:val="18"/>
                <w:szCs w:val="18"/>
              </w:rPr>
              <w:t>1.148</w:t>
            </w:r>
          </w:p>
        </w:tc>
        <w:tc>
          <w:tcPr>
            <w:tcW w:w="1134" w:type="dxa"/>
            <w:tcBorders>
              <w:top w:val="nil"/>
              <w:left w:val="nil"/>
              <w:bottom w:val="nil"/>
              <w:right w:val="nil"/>
            </w:tcBorders>
            <w:vAlign w:val="bottom"/>
          </w:tcPr>
          <w:p w14:paraId="43BD13F1" w14:textId="3973378A" w:rsidR="00566EA9" w:rsidRPr="001D41EA" w:rsidRDefault="00566EA9" w:rsidP="001D41EA">
            <w:pPr>
              <w:spacing w:before="40" w:after="20"/>
              <w:jc w:val="center"/>
              <w:rPr>
                <w:rFonts w:cs="Arial"/>
                <w:sz w:val="18"/>
                <w:szCs w:val="18"/>
              </w:rPr>
            </w:pPr>
            <w:r w:rsidRPr="001D41EA">
              <w:rPr>
                <w:rFonts w:cs="Arial"/>
                <w:sz w:val="18"/>
                <w:szCs w:val="18"/>
              </w:rPr>
              <w:t>1.140</w:t>
            </w:r>
          </w:p>
        </w:tc>
        <w:tc>
          <w:tcPr>
            <w:tcW w:w="1134" w:type="dxa"/>
            <w:tcBorders>
              <w:top w:val="nil"/>
              <w:left w:val="nil"/>
              <w:bottom w:val="nil"/>
              <w:right w:val="nil"/>
            </w:tcBorders>
            <w:vAlign w:val="bottom"/>
          </w:tcPr>
          <w:p w14:paraId="1242599C" w14:textId="142688F8" w:rsidR="00566EA9" w:rsidRPr="001D41EA" w:rsidRDefault="00566EA9" w:rsidP="001D41EA">
            <w:pPr>
              <w:spacing w:before="40" w:after="20"/>
              <w:jc w:val="center"/>
              <w:rPr>
                <w:rFonts w:cs="Arial"/>
                <w:sz w:val="18"/>
                <w:szCs w:val="18"/>
              </w:rPr>
            </w:pPr>
            <w:r w:rsidRPr="001D41EA">
              <w:rPr>
                <w:rFonts w:cs="Arial"/>
                <w:sz w:val="18"/>
                <w:szCs w:val="18"/>
              </w:rPr>
              <w:t>1.143</w:t>
            </w:r>
          </w:p>
        </w:tc>
        <w:tc>
          <w:tcPr>
            <w:tcW w:w="1134" w:type="dxa"/>
            <w:tcBorders>
              <w:top w:val="nil"/>
              <w:left w:val="nil"/>
              <w:bottom w:val="nil"/>
              <w:right w:val="nil"/>
            </w:tcBorders>
            <w:vAlign w:val="bottom"/>
          </w:tcPr>
          <w:p w14:paraId="47B2E475" w14:textId="256151C9" w:rsidR="00566EA9" w:rsidRPr="001D41EA" w:rsidRDefault="00566EA9" w:rsidP="001D41EA">
            <w:pPr>
              <w:spacing w:before="40" w:after="20"/>
              <w:jc w:val="center"/>
              <w:rPr>
                <w:rFonts w:cs="Arial"/>
                <w:sz w:val="18"/>
                <w:szCs w:val="18"/>
              </w:rPr>
            </w:pPr>
            <w:r w:rsidRPr="001D41EA">
              <w:rPr>
                <w:rFonts w:cs="Arial"/>
                <w:sz w:val="18"/>
                <w:szCs w:val="18"/>
              </w:rPr>
              <w:t>1.120</w:t>
            </w:r>
          </w:p>
        </w:tc>
      </w:tr>
      <w:tr w:rsidR="00566EA9" w:rsidRPr="001D41EA" w14:paraId="17426F2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4587E88" w14:textId="77777777" w:rsidR="00566EA9" w:rsidRPr="001D41EA" w:rsidRDefault="00566EA9" w:rsidP="001D41EA">
            <w:pPr>
              <w:spacing w:before="40" w:after="20"/>
              <w:rPr>
                <w:rFonts w:cs="Arial"/>
                <w:sz w:val="18"/>
                <w:szCs w:val="18"/>
              </w:rPr>
            </w:pPr>
            <w:r w:rsidRPr="001D41EA">
              <w:rPr>
                <w:rFonts w:cs="Arial"/>
                <w:sz w:val="18"/>
                <w:szCs w:val="18"/>
              </w:rPr>
              <w:t>Moyne S</w:t>
            </w:r>
          </w:p>
        </w:tc>
        <w:tc>
          <w:tcPr>
            <w:tcW w:w="1134" w:type="dxa"/>
            <w:tcBorders>
              <w:top w:val="nil"/>
              <w:left w:val="single" w:sz="18" w:space="0" w:color="5F497A" w:themeColor="accent4" w:themeShade="BF"/>
              <w:bottom w:val="nil"/>
              <w:right w:val="nil"/>
            </w:tcBorders>
            <w:shd w:val="clear" w:color="auto" w:fill="auto"/>
            <w:vAlign w:val="bottom"/>
          </w:tcPr>
          <w:p w14:paraId="01FB13FB" w14:textId="218B4EA2" w:rsidR="00566EA9" w:rsidRPr="001D41EA" w:rsidRDefault="00566EA9" w:rsidP="001D41EA">
            <w:pPr>
              <w:spacing w:before="40" w:after="20"/>
              <w:jc w:val="center"/>
              <w:rPr>
                <w:rFonts w:cs="Arial"/>
                <w:sz w:val="18"/>
                <w:szCs w:val="18"/>
              </w:rPr>
            </w:pPr>
            <w:r w:rsidRPr="001D41EA">
              <w:rPr>
                <w:rFonts w:cs="Arial"/>
                <w:sz w:val="18"/>
                <w:szCs w:val="18"/>
              </w:rPr>
              <w:t>0.982</w:t>
            </w:r>
          </w:p>
        </w:tc>
        <w:tc>
          <w:tcPr>
            <w:tcW w:w="1134" w:type="dxa"/>
            <w:tcBorders>
              <w:top w:val="nil"/>
              <w:left w:val="nil"/>
              <w:bottom w:val="nil"/>
              <w:right w:val="nil"/>
            </w:tcBorders>
            <w:shd w:val="clear" w:color="auto" w:fill="auto"/>
            <w:vAlign w:val="bottom"/>
          </w:tcPr>
          <w:p w14:paraId="183A3F4E" w14:textId="785462AE" w:rsidR="00566EA9" w:rsidRPr="001D41EA" w:rsidRDefault="00566EA9" w:rsidP="001D41EA">
            <w:pPr>
              <w:spacing w:before="40" w:after="20"/>
              <w:jc w:val="center"/>
              <w:rPr>
                <w:rFonts w:cs="Arial"/>
                <w:sz w:val="18"/>
                <w:szCs w:val="18"/>
              </w:rPr>
            </w:pPr>
            <w:r w:rsidRPr="001D41EA">
              <w:rPr>
                <w:rFonts w:cs="Arial"/>
                <w:sz w:val="18"/>
                <w:szCs w:val="18"/>
              </w:rPr>
              <w:t>0.972</w:t>
            </w:r>
          </w:p>
        </w:tc>
        <w:tc>
          <w:tcPr>
            <w:tcW w:w="170" w:type="dxa"/>
            <w:tcBorders>
              <w:top w:val="nil"/>
              <w:left w:val="nil"/>
              <w:bottom w:val="nil"/>
              <w:right w:val="nil"/>
            </w:tcBorders>
            <w:vAlign w:val="bottom"/>
          </w:tcPr>
          <w:p w14:paraId="0D9B52E2" w14:textId="3DE532BF"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1AC74D6B" w14:textId="585AB880" w:rsidR="00566EA9" w:rsidRPr="001D41EA" w:rsidRDefault="00566EA9" w:rsidP="001D41EA">
            <w:pPr>
              <w:spacing w:before="40" w:after="20"/>
              <w:jc w:val="center"/>
              <w:rPr>
                <w:rFonts w:cs="Arial"/>
                <w:sz w:val="18"/>
                <w:szCs w:val="18"/>
              </w:rPr>
            </w:pPr>
            <w:r w:rsidRPr="001D41EA">
              <w:rPr>
                <w:rFonts w:cs="Arial"/>
                <w:sz w:val="18"/>
                <w:szCs w:val="18"/>
              </w:rPr>
              <w:t>1.168</w:t>
            </w:r>
          </w:p>
        </w:tc>
        <w:tc>
          <w:tcPr>
            <w:tcW w:w="1134" w:type="dxa"/>
            <w:tcBorders>
              <w:top w:val="nil"/>
              <w:left w:val="nil"/>
              <w:bottom w:val="nil"/>
              <w:right w:val="nil"/>
            </w:tcBorders>
            <w:vAlign w:val="bottom"/>
          </w:tcPr>
          <w:p w14:paraId="6AF1C6E1" w14:textId="2B64FA1E" w:rsidR="00566EA9" w:rsidRPr="001D41EA" w:rsidRDefault="00566EA9" w:rsidP="001D41EA">
            <w:pPr>
              <w:spacing w:before="40" w:after="20"/>
              <w:jc w:val="center"/>
              <w:rPr>
                <w:rFonts w:cs="Arial"/>
                <w:sz w:val="18"/>
                <w:szCs w:val="18"/>
              </w:rPr>
            </w:pPr>
            <w:r w:rsidRPr="001D41EA">
              <w:rPr>
                <w:rFonts w:cs="Arial"/>
                <w:sz w:val="18"/>
                <w:szCs w:val="18"/>
              </w:rPr>
              <w:t>1.160</w:t>
            </w:r>
          </w:p>
        </w:tc>
        <w:tc>
          <w:tcPr>
            <w:tcW w:w="1134" w:type="dxa"/>
            <w:tcBorders>
              <w:top w:val="nil"/>
              <w:left w:val="nil"/>
              <w:bottom w:val="nil"/>
              <w:right w:val="nil"/>
            </w:tcBorders>
            <w:vAlign w:val="bottom"/>
          </w:tcPr>
          <w:p w14:paraId="09C4D60F" w14:textId="5BDC0ECA" w:rsidR="00566EA9" w:rsidRPr="001D41EA" w:rsidRDefault="00566EA9" w:rsidP="001D41EA">
            <w:pPr>
              <w:spacing w:before="40" w:after="20"/>
              <w:jc w:val="center"/>
              <w:rPr>
                <w:rFonts w:cs="Arial"/>
                <w:sz w:val="18"/>
                <w:szCs w:val="18"/>
              </w:rPr>
            </w:pPr>
            <w:r w:rsidRPr="001D41EA">
              <w:rPr>
                <w:rFonts w:cs="Arial"/>
                <w:sz w:val="18"/>
                <w:szCs w:val="18"/>
              </w:rPr>
              <w:t>1.163</w:t>
            </w:r>
          </w:p>
        </w:tc>
        <w:tc>
          <w:tcPr>
            <w:tcW w:w="1134" w:type="dxa"/>
            <w:tcBorders>
              <w:top w:val="nil"/>
              <w:left w:val="nil"/>
              <w:bottom w:val="nil"/>
              <w:right w:val="nil"/>
            </w:tcBorders>
            <w:vAlign w:val="bottom"/>
          </w:tcPr>
          <w:p w14:paraId="58678ABE" w14:textId="24303693" w:rsidR="00566EA9" w:rsidRPr="001D41EA" w:rsidRDefault="00566EA9" w:rsidP="001D41EA">
            <w:pPr>
              <w:spacing w:before="40" w:after="20"/>
              <w:jc w:val="center"/>
              <w:rPr>
                <w:rFonts w:cs="Arial"/>
                <w:sz w:val="18"/>
                <w:szCs w:val="18"/>
              </w:rPr>
            </w:pPr>
            <w:r w:rsidRPr="001D41EA">
              <w:rPr>
                <w:rFonts w:cs="Arial"/>
                <w:sz w:val="18"/>
                <w:szCs w:val="18"/>
              </w:rPr>
              <w:t>1.140</w:t>
            </w:r>
          </w:p>
        </w:tc>
      </w:tr>
      <w:tr w:rsidR="00566EA9" w:rsidRPr="001D41EA" w14:paraId="49B182C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AAF9DC9" w14:textId="77777777" w:rsidR="00566EA9" w:rsidRPr="001D41EA" w:rsidRDefault="00566EA9" w:rsidP="001D41EA">
            <w:pPr>
              <w:spacing w:before="40" w:after="20"/>
              <w:rPr>
                <w:rFonts w:cs="Arial"/>
                <w:sz w:val="18"/>
                <w:szCs w:val="18"/>
              </w:rPr>
            </w:pPr>
            <w:r w:rsidRPr="001D41EA">
              <w:rPr>
                <w:rFonts w:cs="Arial"/>
                <w:sz w:val="18"/>
                <w:szCs w:val="18"/>
              </w:rPr>
              <w:t>Murrindindi S</w:t>
            </w:r>
          </w:p>
        </w:tc>
        <w:tc>
          <w:tcPr>
            <w:tcW w:w="1134" w:type="dxa"/>
            <w:tcBorders>
              <w:top w:val="nil"/>
              <w:left w:val="single" w:sz="18" w:space="0" w:color="5F497A" w:themeColor="accent4" w:themeShade="BF"/>
              <w:bottom w:val="nil"/>
              <w:right w:val="nil"/>
            </w:tcBorders>
            <w:shd w:val="clear" w:color="auto" w:fill="auto"/>
            <w:vAlign w:val="bottom"/>
          </w:tcPr>
          <w:p w14:paraId="6E4507B3" w14:textId="68AA5B0D" w:rsidR="00566EA9" w:rsidRPr="001D41EA" w:rsidRDefault="00566EA9" w:rsidP="001D41EA">
            <w:pPr>
              <w:spacing w:before="40" w:after="20"/>
              <w:jc w:val="center"/>
              <w:rPr>
                <w:rFonts w:cs="Arial"/>
                <w:sz w:val="18"/>
                <w:szCs w:val="18"/>
              </w:rPr>
            </w:pPr>
            <w:r w:rsidRPr="001D41EA">
              <w:rPr>
                <w:rFonts w:cs="Arial"/>
                <w:sz w:val="18"/>
                <w:szCs w:val="18"/>
              </w:rPr>
              <w:t>1.049</w:t>
            </w:r>
          </w:p>
        </w:tc>
        <w:tc>
          <w:tcPr>
            <w:tcW w:w="1134" w:type="dxa"/>
            <w:tcBorders>
              <w:top w:val="nil"/>
              <w:left w:val="nil"/>
              <w:bottom w:val="nil"/>
              <w:right w:val="nil"/>
            </w:tcBorders>
            <w:shd w:val="clear" w:color="auto" w:fill="auto"/>
            <w:vAlign w:val="bottom"/>
          </w:tcPr>
          <w:p w14:paraId="69455C81" w14:textId="6A73DDA8" w:rsidR="00566EA9" w:rsidRPr="001D41EA" w:rsidRDefault="00566EA9" w:rsidP="001D41EA">
            <w:pPr>
              <w:spacing w:before="40" w:after="20"/>
              <w:jc w:val="center"/>
              <w:rPr>
                <w:rFonts w:cs="Arial"/>
                <w:sz w:val="18"/>
                <w:szCs w:val="18"/>
              </w:rPr>
            </w:pPr>
            <w:r w:rsidRPr="001D41EA">
              <w:rPr>
                <w:rFonts w:cs="Arial"/>
                <w:sz w:val="18"/>
                <w:szCs w:val="18"/>
              </w:rPr>
              <w:t>1.038</w:t>
            </w:r>
          </w:p>
        </w:tc>
        <w:tc>
          <w:tcPr>
            <w:tcW w:w="170" w:type="dxa"/>
            <w:tcBorders>
              <w:top w:val="nil"/>
              <w:left w:val="nil"/>
              <w:bottom w:val="nil"/>
              <w:right w:val="nil"/>
            </w:tcBorders>
            <w:vAlign w:val="bottom"/>
          </w:tcPr>
          <w:p w14:paraId="24FAB215" w14:textId="2CC44F76"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408E94B7" w14:textId="7A0B715C" w:rsidR="00566EA9" w:rsidRPr="001D41EA" w:rsidRDefault="00566EA9" w:rsidP="001D41EA">
            <w:pPr>
              <w:spacing w:before="40" w:after="20"/>
              <w:jc w:val="center"/>
              <w:rPr>
                <w:rFonts w:cs="Arial"/>
                <w:sz w:val="18"/>
                <w:szCs w:val="18"/>
              </w:rPr>
            </w:pPr>
            <w:r w:rsidRPr="001D41EA">
              <w:rPr>
                <w:rFonts w:cs="Arial"/>
                <w:sz w:val="18"/>
                <w:szCs w:val="18"/>
              </w:rPr>
              <w:t>1.487</w:t>
            </w:r>
          </w:p>
        </w:tc>
        <w:tc>
          <w:tcPr>
            <w:tcW w:w="1134" w:type="dxa"/>
            <w:tcBorders>
              <w:top w:val="nil"/>
              <w:left w:val="nil"/>
              <w:bottom w:val="nil"/>
              <w:right w:val="nil"/>
            </w:tcBorders>
            <w:vAlign w:val="bottom"/>
          </w:tcPr>
          <w:p w14:paraId="38EBF617" w14:textId="2408D5E0" w:rsidR="00566EA9" w:rsidRPr="001D41EA" w:rsidRDefault="00566EA9" w:rsidP="001D41EA">
            <w:pPr>
              <w:spacing w:before="40" w:after="20"/>
              <w:jc w:val="center"/>
              <w:rPr>
                <w:rFonts w:cs="Arial"/>
                <w:sz w:val="18"/>
                <w:szCs w:val="18"/>
              </w:rPr>
            </w:pPr>
            <w:r w:rsidRPr="001D41EA">
              <w:rPr>
                <w:rFonts w:cs="Arial"/>
                <w:sz w:val="18"/>
                <w:szCs w:val="18"/>
              </w:rPr>
              <w:t>1.477</w:t>
            </w:r>
          </w:p>
        </w:tc>
        <w:tc>
          <w:tcPr>
            <w:tcW w:w="1134" w:type="dxa"/>
            <w:tcBorders>
              <w:top w:val="nil"/>
              <w:left w:val="nil"/>
              <w:bottom w:val="nil"/>
              <w:right w:val="nil"/>
            </w:tcBorders>
            <w:vAlign w:val="bottom"/>
          </w:tcPr>
          <w:p w14:paraId="509E140D" w14:textId="0201CB2B" w:rsidR="00566EA9" w:rsidRPr="001D41EA" w:rsidRDefault="00566EA9" w:rsidP="001D41EA">
            <w:pPr>
              <w:spacing w:before="40" w:after="20"/>
              <w:jc w:val="center"/>
              <w:rPr>
                <w:rFonts w:cs="Arial"/>
                <w:sz w:val="18"/>
                <w:szCs w:val="18"/>
              </w:rPr>
            </w:pPr>
            <w:r w:rsidRPr="001D41EA">
              <w:rPr>
                <w:rFonts w:cs="Arial"/>
                <w:sz w:val="18"/>
                <w:szCs w:val="18"/>
              </w:rPr>
              <w:t>1.480</w:t>
            </w:r>
          </w:p>
        </w:tc>
        <w:tc>
          <w:tcPr>
            <w:tcW w:w="1134" w:type="dxa"/>
            <w:tcBorders>
              <w:top w:val="nil"/>
              <w:left w:val="nil"/>
              <w:bottom w:val="nil"/>
              <w:right w:val="nil"/>
            </w:tcBorders>
            <w:vAlign w:val="bottom"/>
          </w:tcPr>
          <w:p w14:paraId="4F4CA061" w14:textId="19DBED77" w:rsidR="00566EA9" w:rsidRPr="001D41EA" w:rsidRDefault="00566EA9" w:rsidP="001D41EA">
            <w:pPr>
              <w:spacing w:before="40" w:after="20"/>
              <w:jc w:val="center"/>
              <w:rPr>
                <w:rFonts w:cs="Arial"/>
                <w:sz w:val="18"/>
                <w:szCs w:val="18"/>
              </w:rPr>
            </w:pPr>
            <w:r w:rsidRPr="001D41EA">
              <w:rPr>
                <w:rFonts w:cs="Arial"/>
                <w:sz w:val="18"/>
                <w:szCs w:val="18"/>
              </w:rPr>
              <w:t>1.451</w:t>
            </w:r>
          </w:p>
        </w:tc>
      </w:tr>
      <w:tr w:rsidR="00566EA9" w:rsidRPr="001D41EA" w14:paraId="29CA5CAF"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9F2E875" w14:textId="77777777" w:rsidR="00566EA9" w:rsidRPr="001D41EA" w:rsidRDefault="00566EA9" w:rsidP="001D41EA">
            <w:pPr>
              <w:spacing w:before="40" w:after="20"/>
              <w:rPr>
                <w:rFonts w:cs="Arial"/>
                <w:sz w:val="18"/>
                <w:szCs w:val="18"/>
              </w:rPr>
            </w:pPr>
            <w:r w:rsidRPr="001D41EA">
              <w:rPr>
                <w:rFonts w:cs="Arial"/>
                <w:sz w:val="18"/>
                <w:szCs w:val="18"/>
              </w:rPr>
              <w:t>Nillumbik S</w:t>
            </w:r>
          </w:p>
        </w:tc>
        <w:tc>
          <w:tcPr>
            <w:tcW w:w="1134" w:type="dxa"/>
            <w:tcBorders>
              <w:top w:val="nil"/>
              <w:left w:val="single" w:sz="18" w:space="0" w:color="5F497A" w:themeColor="accent4" w:themeShade="BF"/>
              <w:bottom w:val="nil"/>
              <w:right w:val="nil"/>
            </w:tcBorders>
            <w:shd w:val="clear" w:color="auto" w:fill="auto"/>
            <w:vAlign w:val="bottom"/>
          </w:tcPr>
          <w:p w14:paraId="36CC9404" w14:textId="2531B498" w:rsidR="00566EA9" w:rsidRPr="001D41EA" w:rsidRDefault="00566EA9" w:rsidP="001D41EA">
            <w:pPr>
              <w:spacing w:before="40" w:after="20"/>
              <w:jc w:val="center"/>
              <w:rPr>
                <w:rFonts w:cs="Arial"/>
                <w:sz w:val="18"/>
                <w:szCs w:val="18"/>
              </w:rPr>
            </w:pPr>
            <w:r w:rsidRPr="001D41EA">
              <w:rPr>
                <w:rFonts w:cs="Arial"/>
                <w:sz w:val="18"/>
                <w:szCs w:val="18"/>
              </w:rPr>
              <w:t>0.704</w:t>
            </w:r>
          </w:p>
        </w:tc>
        <w:tc>
          <w:tcPr>
            <w:tcW w:w="1134" w:type="dxa"/>
            <w:tcBorders>
              <w:top w:val="nil"/>
              <w:left w:val="nil"/>
              <w:bottom w:val="nil"/>
              <w:right w:val="nil"/>
            </w:tcBorders>
            <w:shd w:val="clear" w:color="auto" w:fill="auto"/>
            <w:vAlign w:val="bottom"/>
          </w:tcPr>
          <w:p w14:paraId="61572A2E" w14:textId="7EE9E4D6" w:rsidR="00566EA9" w:rsidRPr="001D41EA" w:rsidRDefault="00566EA9" w:rsidP="001D41EA">
            <w:pPr>
              <w:spacing w:before="40" w:after="20"/>
              <w:jc w:val="center"/>
              <w:rPr>
                <w:rFonts w:cs="Arial"/>
                <w:sz w:val="18"/>
                <w:szCs w:val="18"/>
              </w:rPr>
            </w:pPr>
            <w:r w:rsidRPr="001D41EA">
              <w:rPr>
                <w:rFonts w:cs="Arial"/>
                <w:sz w:val="18"/>
                <w:szCs w:val="18"/>
              </w:rPr>
              <w:t>0.697</w:t>
            </w:r>
          </w:p>
        </w:tc>
        <w:tc>
          <w:tcPr>
            <w:tcW w:w="170" w:type="dxa"/>
            <w:tcBorders>
              <w:top w:val="nil"/>
              <w:left w:val="nil"/>
              <w:bottom w:val="nil"/>
              <w:right w:val="nil"/>
            </w:tcBorders>
            <w:vAlign w:val="bottom"/>
          </w:tcPr>
          <w:p w14:paraId="67FA008C" w14:textId="1A48D76F"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7CF3F2E4" w14:textId="6DFCD9BB" w:rsidR="00566EA9" w:rsidRPr="001D41EA" w:rsidRDefault="00566EA9" w:rsidP="001D41EA">
            <w:pPr>
              <w:spacing w:before="40" w:after="20"/>
              <w:jc w:val="center"/>
              <w:rPr>
                <w:rFonts w:cs="Arial"/>
                <w:sz w:val="18"/>
                <w:szCs w:val="18"/>
              </w:rPr>
            </w:pPr>
            <w:r w:rsidRPr="001D41EA">
              <w:rPr>
                <w:rFonts w:cs="Arial"/>
                <w:sz w:val="18"/>
                <w:szCs w:val="18"/>
              </w:rPr>
              <w:t>0.888</w:t>
            </w:r>
          </w:p>
        </w:tc>
        <w:tc>
          <w:tcPr>
            <w:tcW w:w="1134" w:type="dxa"/>
            <w:tcBorders>
              <w:top w:val="nil"/>
              <w:left w:val="nil"/>
              <w:bottom w:val="nil"/>
              <w:right w:val="nil"/>
            </w:tcBorders>
            <w:vAlign w:val="bottom"/>
          </w:tcPr>
          <w:p w14:paraId="35BA1495" w14:textId="1839BBAB" w:rsidR="00566EA9" w:rsidRPr="001D41EA" w:rsidRDefault="00566EA9" w:rsidP="001D41EA">
            <w:pPr>
              <w:spacing w:before="40" w:after="20"/>
              <w:jc w:val="center"/>
              <w:rPr>
                <w:rFonts w:cs="Arial"/>
                <w:sz w:val="18"/>
                <w:szCs w:val="18"/>
              </w:rPr>
            </w:pPr>
            <w:r w:rsidRPr="001D41EA">
              <w:rPr>
                <w:rFonts w:cs="Arial"/>
                <w:sz w:val="18"/>
                <w:szCs w:val="18"/>
              </w:rPr>
              <w:t>0.882</w:t>
            </w:r>
          </w:p>
        </w:tc>
        <w:tc>
          <w:tcPr>
            <w:tcW w:w="1134" w:type="dxa"/>
            <w:tcBorders>
              <w:top w:val="nil"/>
              <w:left w:val="nil"/>
              <w:bottom w:val="nil"/>
              <w:right w:val="nil"/>
            </w:tcBorders>
            <w:vAlign w:val="bottom"/>
          </w:tcPr>
          <w:p w14:paraId="103BC403" w14:textId="79E155C6" w:rsidR="00566EA9" w:rsidRPr="001D41EA" w:rsidRDefault="00566EA9" w:rsidP="001D41EA">
            <w:pPr>
              <w:spacing w:before="40" w:after="20"/>
              <w:jc w:val="center"/>
              <w:rPr>
                <w:rFonts w:cs="Arial"/>
                <w:sz w:val="18"/>
                <w:szCs w:val="18"/>
              </w:rPr>
            </w:pPr>
            <w:r w:rsidRPr="001D41EA">
              <w:rPr>
                <w:rFonts w:cs="Arial"/>
                <w:sz w:val="18"/>
                <w:szCs w:val="18"/>
              </w:rPr>
              <w:t>0.884</w:t>
            </w:r>
          </w:p>
        </w:tc>
        <w:tc>
          <w:tcPr>
            <w:tcW w:w="1134" w:type="dxa"/>
            <w:tcBorders>
              <w:top w:val="nil"/>
              <w:left w:val="nil"/>
              <w:bottom w:val="nil"/>
              <w:right w:val="nil"/>
            </w:tcBorders>
            <w:vAlign w:val="bottom"/>
          </w:tcPr>
          <w:p w14:paraId="3EB4666E" w14:textId="54A49825" w:rsidR="00566EA9" w:rsidRPr="001D41EA" w:rsidRDefault="00566EA9" w:rsidP="001D41EA">
            <w:pPr>
              <w:spacing w:before="40" w:after="20"/>
              <w:jc w:val="center"/>
              <w:rPr>
                <w:rFonts w:cs="Arial"/>
                <w:sz w:val="18"/>
                <w:szCs w:val="18"/>
              </w:rPr>
            </w:pPr>
            <w:r w:rsidRPr="001D41EA">
              <w:rPr>
                <w:rFonts w:cs="Arial"/>
                <w:sz w:val="18"/>
                <w:szCs w:val="18"/>
              </w:rPr>
              <w:t>0.866</w:t>
            </w:r>
          </w:p>
        </w:tc>
      </w:tr>
      <w:tr w:rsidR="00566EA9" w:rsidRPr="001D41EA" w14:paraId="7554398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3526D6E" w14:textId="77777777" w:rsidR="00566EA9" w:rsidRPr="001D41EA" w:rsidRDefault="00566EA9" w:rsidP="001D41EA">
            <w:pPr>
              <w:spacing w:before="40" w:after="20"/>
              <w:rPr>
                <w:rFonts w:cs="Arial"/>
                <w:sz w:val="18"/>
                <w:szCs w:val="18"/>
              </w:rPr>
            </w:pPr>
            <w:r w:rsidRPr="001D41EA">
              <w:rPr>
                <w:rFonts w:cs="Arial"/>
                <w:sz w:val="18"/>
                <w:szCs w:val="18"/>
              </w:rPr>
              <w:t>Northern Grampians S</w:t>
            </w:r>
          </w:p>
        </w:tc>
        <w:tc>
          <w:tcPr>
            <w:tcW w:w="1134" w:type="dxa"/>
            <w:tcBorders>
              <w:top w:val="nil"/>
              <w:left w:val="single" w:sz="18" w:space="0" w:color="5F497A" w:themeColor="accent4" w:themeShade="BF"/>
              <w:bottom w:val="nil"/>
              <w:right w:val="nil"/>
            </w:tcBorders>
            <w:shd w:val="clear" w:color="auto" w:fill="auto"/>
            <w:vAlign w:val="bottom"/>
          </w:tcPr>
          <w:p w14:paraId="1C3CF638" w14:textId="496DB029" w:rsidR="00566EA9" w:rsidRPr="001D41EA" w:rsidRDefault="00566EA9" w:rsidP="001D41EA">
            <w:pPr>
              <w:spacing w:before="40" w:after="20"/>
              <w:jc w:val="center"/>
              <w:rPr>
                <w:rFonts w:cs="Arial"/>
                <w:sz w:val="18"/>
                <w:szCs w:val="18"/>
              </w:rPr>
            </w:pPr>
            <w:r w:rsidRPr="001D41EA">
              <w:rPr>
                <w:rFonts w:cs="Arial"/>
                <w:sz w:val="18"/>
                <w:szCs w:val="18"/>
              </w:rPr>
              <w:t>1.247</w:t>
            </w:r>
          </w:p>
        </w:tc>
        <w:tc>
          <w:tcPr>
            <w:tcW w:w="1134" w:type="dxa"/>
            <w:tcBorders>
              <w:top w:val="nil"/>
              <w:left w:val="nil"/>
              <w:bottom w:val="nil"/>
              <w:right w:val="nil"/>
            </w:tcBorders>
            <w:shd w:val="clear" w:color="auto" w:fill="auto"/>
            <w:vAlign w:val="bottom"/>
          </w:tcPr>
          <w:p w14:paraId="69BE9357" w14:textId="100C043E" w:rsidR="00566EA9" w:rsidRPr="001D41EA" w:rsidRDefault="00566EA9" w:rsidP="001D41EA">
            <w:pPr>
              <w:spacing w:before="40" w:after="20"/>
              <w:jc w:val="center"/>
              <w:rPr>
                <w:rFonts w:cs="Arial"/>
                <w:sz w:val="18"/>
                <w:szCs w:val="18"/>
              </w:rPr>
            </w:pPr>
            <w:r w:rsidRPr="001D41EA">
              <w:rPr>
                <w:rFonts w:cs="Arial"/>
                <w:sz w:val="18"/>
                <w:szCs w:val="18"/>
              </w:rPr>
              <w:t>1.234</w:t>
            </w:r>
          </w:p>
        </w:tc>
        <w:tc>
          <w:tcPr>
            <w:tcW w:w="170" w:type="dxa"/>
            <w:tcBorders>
              <w:top w:val="nil"/>
              <w:left w:val="nil"/>
              <w:bottom w:val="nil"/>
              <w:right w:val="nil"/>
            </w:tcBorders>
            <w:vAlign w:val="bottom"/>
          </w:tcPr>
          <w:p w14:paraId="4F275802" w14:textId="1C143BAE"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336811AE" w14:textId="380B6EDA" w:rsidR="00566EA9" w:rsidRPr="001D41EA" w:rsidRDefault="00566EA9" w:rsidP="001D41EA">
            <w:pPr>
              <w:spacing w:before="40" w:after="20"/>
              <w:jc w:val="center"/>
              <w:rPr>
                <w:rFonts w:cs="Arial"/>
                <w:sz w:val="18"/>
                <w:szCs w:val="18"/>
              </w:rPr>
            </w:pPr>
            <w:r w:rsidRPr="001D41EA">
              <w:rPr>
                <w:rFonts w:cs="Arial"/>
                <w:sz w:val="18"/>
                <w:szCs w:val="18"/>
              </w:rPr>
              <w:t>1.474</w:t>
            </w:r>
          </w:p>
        </w:tc>
        <w:tc>
          <w:tcPr>
            <w:tcW w:w="1134" w:type="dxa"/>
            <w:tcBorders>
              <w:top w:val="nil"/>
              <w:left w:val="nil"/>
              <w:bottom w:val="nil"/>
              <w:right w:val="nil"/>
            </w:tcBorders>
            <w:vAlign w:val="bottom"/>
          </w:tcPr>
          <w:p w14:paraId="3A7B0898" w14:textId="29A8811B" w:rsidR="00566EA9" w:rsidRPr="001D41EA" w:rsidRDefault="00566EA9" w:rsidP="001D41EA">
            <w:pPr>
              <w:spacing w:before="40" w:after="20"/>
              <w:jc w:val="center"/>
              <w:rPr>
                <w:rFonts w:cs="Arial"/>
                <w:sz w:val="18"/>
                <w:szCs w:val="18"/>
              </w:rPr>
            </w:pPr>
            <w:r w:rsidRPr="001D41EA">
              <w:rPr>
                <w:rFonts w:cs="Arial"/>
                <w:sz w:val="18"/>
                <w:szCs w:val="18"/>
              </w:rPr>
              <w:t>1.464</w:t>
            </w:r>
          </w:p>
        </w:tc>
        <w:tc>
          <w:tcPr>
            <w:tcW w:w="1134" w:type="dxa"/>
            <w:tcBorders>
              <w:top w:val="nil"/>
              <w:left w:val="nil"/>
              <w:bottom w:val="nil"/>
              <w:right w:val="nil"/>
            </w:tcBorders>
            <w:vAlign w:val="bottom"/>
          </w:tcPr>
          <w:p w14:paraId="7D819A98" w14:textId="406DAF77" w:rsidR="00566EA9" w:rsidRPr="001D41EA" w:rsidRDefault="00566EA9" w:rsidP="001D41EA">
            <w:pPr>
              <w:spacing w:before="40" w:after="20"/>
              <w:jc w:val="center"/>
              <w:rPr>
                <w:rFonts w:cs="Arial"/>
                <w:sz w:val="18"/>
                <w:szCs w:val="18"/>
              </w:rPr>
            </w:pPr>
            <w:r w:rsidRPr="001D41EA">
              <w:rPr>
                <w:rFonts w:cs="Arial"/>
                <w:sz w:val="18"/>
                <w:szCs w:val="18"/>
              </w:rPr>
              <w:t>1.468</w:t>
            </w:r>
          </w:p>
        </w:tc>
        <w:tc>
          <w:tcPr>
            <w:tcW w:w="1134" w:type="dxa"/>
            <w:tcBorders>
              <w:top w:val="nil"/>
              <w:left w:val="nil"/>
              <w:bottom w:val="nil"/>
              <w:right w:val="nil"/>
            </w:tcBorders>
            <w:vAlign w:val="bottom"/>
          </w:tcPr>
          <w:p w14:paraId="1D057488" w14:textId="4AF14D15" w:rsidR="00566EA9" w:rsidRPr="001D41EA" w:rsidRDefault="00566EA9" w:rsidP="001D41EA">
            <w:pPr>
              <w:spacing w:before="40" w:after="20"/>
              <w:jc w:val="center"/>
              <w:rPr>
                <w:rFonts w:cs="Arial"/>
                <w:sz w:val="18"/>
                <w:szCs w:val="18"/>
              </w:rPr>
            </w:pPr>
            <w:r w:rsidRPr="001D41EA">
              <w:rPr>
                <w:rFonts w:cs="Arial"/>
                <w:sz w:val="18"/>
                <w:szCs w:val="18"/>
              </w:rPr>
              <w:t>1.439</w:t>
            </w:r>
          </w:p>
        </w:tc>
      </w:tr>
      <w:tr w:rsidR="00566EA9" w:rsidRPr="001D41EA" w14:paraId="42EEEEC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B30E69C" w14:textId="77777777" w:rsidR="00566EA9" w:rsidRPr="001D41EA" w:rsidRDefault="00566EA9" w:rsidP="001D41EA">
            <w:pPr>
              <w:spacing w:before="40" w:after="20"/>
              <w:rPr>
                <w:rFonts w:cs="Arial"/>
                <w:sz w:val="18"/>
                <w:szCs w:val="18"/>
              </w:rPr>
            </w:pPr>
            <w:r w:rsidRPr="001D41EA">
              <w:rPr>
                <w:rFonts w:cs="Arial"/>
                <w:sz w:val="18"/>
                <w:szCs w:val="18"/>
              </w:rPr>
              <w:t>Port Phillip C</w:t>
            </w:r>
          </w:p>
        </w:tc>
        <w:tc>
          <w:tcPr>
            <w:tcW w:w="1134" w:type="dxa"/>
            <w:tcBorders>
              <w:top w:val="nil"/>
              <w:left w:val="single" w:sz="18" w:space="0" w:color="5F497A" w:themeColor="accent4" w:themeShade="BF"/>
              <w:bottom w:val="nil"/>
              <w:right w:val="nil"/>
            </w:tcBorders>
            <w:shd w:val="clear" w:color="auto" w:fill="auto"/>
            <w:vAlign w:val="bottom"/>
          </w:tcPr>
          <w:p w14:paraId="5E0BC969" w14:textId="26270B34" w:rsidR="00566EA9" w:rsidRPr="001D41EA" w:rsidRDefault="00566EA9" w:rsidP="001D41EA">
            <w:pPr>
              <w:spacing w:before="40" w:after="20"/>
              <w:jc w:val="center"/>
              <w:rPr>
                <w:rFonts w:cs="Arial"/>
                <w:sz w:val="18"/>
                <w:szCs w:val="18"/>
              </w:rPr>
            </w:pPr>
            <w:r w:rsidRPr="001D41EA">
              <w:rPr>
                <w:rFonts w:cs="Arial"/>
                <w:sz w:val="18"/>
                <w:szCs w:val="18"/>
              </w:rPr>
              <w:t>0.805</w:t>
            </w:r>
          </w:p>
        </w:tc>
        <w:tc>
          <w:tcPr>
            <w:tcW w:w="1134" w:type="dxa"/>
            <w:tcBorders>
              <w:top w:val="nil"/>
              <w:left w:val="nil"/>
              <w:bottom w:val="nil"/>
              <w:right w:val="nil"/>
            </w:tcBorders>
            <w:shd w:val="clear" w:color="auto" w:fill="auto"/>
            <w:vAlign w:val="bottom"/>
          </w:tcPr>
          <w:p w14:paraId="053A99B7" w14:textId="42E584EF" w:rsidR="00566EA9" w:rsidRPr="001D41EA" w:rsidRDefault="00566EA9" w:rsidP="001D41EA">
            <w:pPr>
              <w:spacing w:before="40" w:after="20"/>
              <w:jc w:val="center"/>
              <w:rPr>
                <w:rFonts w:cs="Arial"/>
                <w:sz w:val="18"/>
                <w:szCs w:val="18"/>
              </w:rPr>
            </w:pPr>
            <w:r w:rsidRPr="001D41EA">
              <w:rPr>
                <w:rFonts w:cs="Arial"/>
                <w:sz w:val="18"/>
                <w:szCs w:val="18"/>
              </w:rPr>
              <w:t>0.796</w:t>
            </w:r>
          </w:p>
        </w:tc>
        <w:tc>
          <w:tcPr>
            <w:tcW w:w="170" w:type="dxa"/>
            <w:tcBorders>
              <w:top w:val="nil"/>
              <w:left w:val="nil"/>
              <w:bottom w:val="nil"/>
              <w:right w:val="nil"/>
            </w:tcBorders>
            <w:vAlign w:val="bottom"/>
          </w:tcPr>
          <w:p w14:paraId="3427A96B" w14:textId="7DC02DFE"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709B4097" w14:textId="7A29A3C1" w:rsidR="00566EA9" w:rsidRPr="001D41EA" w:rsidRDefault="00566EA9" w:rsidP="001D41EA">
            <w:pPr>
              <w:spacing w:before="40" w:after="20"/>
              <w:jc w:val="center"/>
              <w:rPr>
                <w:rFonts w:cs="Arial"/>
                <w:sz w:val="18"/>
                <w:szCs w:val="18"/>
              </w:rPr>
            </w:pPr>
            <w:r w:rsidRPr="001D41EA">
              <w:rPr>
                <w:rFonts w:cs="Arial"/>
                <w:sz w:val="18"/>
                <w:szCs w:val="18"/>
              </w:rPr>
              <w:t>1.055</w:t>
            </w:r>
          </w:p>
        </w:tc>
        <w:tc>
          <w:tcPr>
            <w:tcW w:w="1134" w:type="dxa"/>
            <w:tcBorders>
              <w:top w:val="nil"/>
              <w:left w:val="nil"/>
              <w:bottom w:val="nil"/>
              <w:right w:val="nil"/>
            </w:tcBorders>
            <w:vAlign w:val="bottom"/>
          </w:tcPr>
          <w:p w14:paraId="0F09CF14" w14:textId="2A7C28A3" w:rsidR="00566EA9" w:rsidRPr="001D41EA" w:rsidRDefault="00566EA9" w:rsidP="001D41EA">
            <w:pPr>
              <w:spacing w:before="40" w:after="20"/>
              <w:jc w:val="center"/>
              <w:rPr>
                <w:rFonts w:cs="Arial"/>
                <w:sz w:val="18"/>
                <w:szCs w:val="18"/>
              </w:rPr>
            </w:pPr>
            <w:r w:rsidRPr="001D41EA">
              <w:rPr>
                <w:rFonts w:cs="Arial"/>
                <w:sz w:val="18"/>
                <w:szCs w:val="18"/>
              </w:rPr>
              <w:t>1.048</w:t>
            </w:r>
          </w:p>
        </w:tc>
        <w:tc>
          <w:tcPr>
            <w:tcW w:w="1134" w:type="dxa"/>
            <w:tcBorders>
              <w:top w:val="nil"/>
              <w:left w:val="nil"/>
              <w:bottom w:val="nil"/>
              <w:right w:val="nil"/>
            </w:tcBorders>
            <w:vAlign w:val="bottom"/>
          </w:tcPr>
          <w:p w14:paraId="655F5E76" w14:textId="782FC310" w:rsidR="00566EA9" w:rsidRPr="001D41EA" w:rsidRDefault="00566EA9" w:rsidP="001D41EA">
            <w:pPr>
              <w:spacing w:before="40" w:after="20"/>
              <w:jc w:val="center"/>
              <w:rPr>
                <w:rFonts w:cs="Arial"/>
                <w:sz w:val="18"/>
                <w:szCs w:val="18"/>
              </w:rPr>
            </w:pPr>
            <w:r w:rsidRPr="001D41EA">
              <w:rPr>
                <w:rFonts w:cs="Arial"/>
                <w:sz w:val="18"/>
                <w:szCs w:val="18"/>
              </w:rPr>
              <w:t>1.050</w:t>
            </w:r>
          </w:p>
        </w:tc>
        <w:tc>
          <w:tcPr>
            <w:tcW w:w="1134" w:type="dxa"/>
            <w:tcBorders>
              <w:top w:val="nil"/>
              <w:left w:val="nil"/>
              <w:bottom w:val="nil"/>
              <w:right w:val="nil"/>
            </w:tcBorders>
            <w:vAlign w:val="bottom"/>
          </w:tcPr>
          <w:p w14:paraId="0659ED3D" w14:textId="5B5B3273" w:rsidR="00566EA9" w:rsidRPr="001D41EA" w:rsidRDefault="00566EA9" w:rsidP="001D41EA">
            <w:pPr>
              <w:spacing w:before="40" w:after="20"/>
              <w:jc w:val="center"/>
              <w:rPr>
                <w:rFonts w:cs="Arial"/>
                <w:sz w:val="18"/>
                <w:szCs w:val="18"/>
              </w:rPr>
            </w:pPr>
            <w:r w:rsidRPr="001D41EA">
              <w:rPr>
                <w:rFonts w:cs="Arial"/>
                <w:sz w:val="18"/>
                <w:szCs w:val="18"/>
              </w:rPr>
              <w:t>1.029</w:t>
            </w:r>
          </w:p>
        </w:tc>
      </w:tr>
      <w:tr w:rsidR="00566EA9" w:rsidRPr="001D41EA" w14:paraId="1AD13C4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34A921E" w14:textId="77777777" w:rsidR="00566EA9" w:rsidRPr="001D41EA" w:rsidRDefault="00566EA9" w:rsidP="001D41EA">
            <w:pPr>
              <w:spacing w:before="40" w:after="20"/>
              <w:rPr>
                <w:rFonts w:cs="Arial"/>
                <w:sz w:val="18"/>
                <w:szCs w:val="18"/>
              </w:rPr>
            </w:pPr>
            <w:r w:rsidRPr="001D41EA">
              <w:rPr>
                <w:rFonts w:cs="Arial"/>
                <w:sz w:val="18"/>
                <w:szCs w:val="18"/>
              </w:rPr>
              <w:t>Pyrenees S</w:t>
            </w:r>
          </w:p>
        </w:tc>
        <w:tc>
          <w:tcPr>
            <w:tcW w:w="1134" w:type="dxa"/>
            <w:tcBorders>
              <w:top w:val="nil"/>
              <w:left w:val="single" w:sz="18" w:space="0" w:color="5F497A" w:themeColor="accent4" w:themeShade="BF"/>
              <w:bottom w:val="nil"/>
              <w:right w:val="nil"/>
            </w:tcBorders>
            <w:shd w:val="clear" w:color="auto" w:fill="auto"/>
            <w:vAlign w:val="bottom"/>
          </w:tcPr>
          <w:p w14:paraId="3ED47C97" w14:textId="54AB4682" w:rsidR="00566EA9" w:rsidRPr="001D41EA" w:rsidRDefault="00566EA9" w:rsidP="001D41EA">
            <w:pPr>
              <w:spacing w:before="40" w:after="20"/>
              <w:jc w:val="center"/>
              <w:rPr>
                <w:rFonts w:cs="Arial"/>
                <w:sz w:val="18"/>
                <w:szCs w:val="18"/>
              </w:rPr>
            </w:pPr>
            <w:r w:rsidRPr="001D41EA">
              <w:rPr>
                <w:rFonts w:cs="Arial"/>
                <w:sz w:val="18"/>
                <w:szCs w:val="18"/>
              </w:rPr>
              <w:t>1.197</w:t>
            </w:r>
          </w:p>
        </w:tc>
        <w:tc>
          <w:tcPr>
            <w:tcW w:w="1134" w:type="dxa"/>
            <w:tcBorders>
              <w:top w:val="nil"/>
              <w:left w:val="nil"/>
              <w:bottom w:val="nil"/>
              <w:right w:val="nil"/>
            </w:tcBorders>
            <w:shd w:val="clear" w:color="auto" w:fill="auto"/>
            <w:vAlign w:val="bottom"/>
          </w:tcPr>
          <w:p w14:paraId="78BC71B6" w14:textId="49BCD62C" w:rsidR="00566EA9" w:rsidRPr="001D41EA" w:rsidRDefault="00566EA9" w:rsidP="001D41EA">
            <w:pPr>
              <w:spacing w:before="40" w:after="20"/>
              <w:jc w:val="center"/>
              <w:rPr>
                <w:rFonts w:cs="Arial"/>
                <w:sz w:val="18"/>
                <w:szCs w:val="18"/>
              </w:rPr>
            </w:pPr>
            <w:r w:rsidRPr="001D41EA">
              <w:rPr>
                <w:rFonts w:cs="Arial"/>
                <w:sz w:val="18"/>
                <w:szCs w:val="18"/>
              </w:rPr>
              <w:t>1.184</w:t>
            </w:r>
          </w:p>
        </w:tc>
        <w:tc>
          <w:tcPr>
            <w:tcW w:w="170" w:type="dxa"/>
            <w:tcBorders>
              <w:top w:val="nil"/>
              <w:left w:val="nil"/>
              <w:bottom w:val="nil"/>
              <w:right w:val="nil"/>
            </w:tcBorders>
            <w:vAlign w:val="bottom"/>
          </w:tcPr>
          <w:p w14:paraId="7063508B" w14:textId="3FBE7E58"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2D15E766" w14:textId="6C7133DE" w:rsidR="00566EA9" w:rsidRPr="001D41EA" w:rsidRDefault="00566EA9" w:rsidP="001D41EA">
            <w:pPr>
              <w:spacing w:before="40" w:after="20"/>
              <w:jc w:val="center"/>
              <w:rPr>
                <w:rFonts w:cs="Arial"/>
                <w:sz w:val="18"/>
                <w:szCs w:val="18"/>
              </w:rPr>
            </w:pPr>
            <w:r w:rsidRPr="001D41EA">
              <w:rPr>
                <w:rFonts w:cs="Arial"/>
                <w:sz w:val="18"/>
                <w:szCs w:val="18"/>
              </w:rPr>
              <w:t>1.063</w:t>
            </w:r>
          </w:p>
        </w:tc>
        <w:tc>
          <w:tcPr>
            <w:tcW w:w="1134" w:type="dxa"/>
            <w:tcBorders>
              <w:top w:val="nil"/>
              <w:left w:val="nil"/>
              <w:bottom w:val="nil"/>
              <w:right w:val="nil"/>
            </w:tcBorders>
            <w:vAlign w:val="bottom"/>
          </w:tcPr>
          <w:p w14:paraId="3C5AF41E" w14:textId="4DDFBC57" w:rsidR="00566EA9" w:rsidRPr="001D41EA" w:rsidRDefault="00566EA9" w:rsidP="001D41EA">
            <w:pPr>
              <w:spacing w:before="40" w:after="20"/>
              <w:jc w:val="center"/>
              <w:rPr>
                <w:rFonts w:cs="Arial"/>
                <w:sz w:val="18"/>
                <w:szCs w:val="18"/>
              </w:rPr>
            </w:pPr>
            <w:r w:rsidRPr="001D41EA">
              <w:rPr>
                <w:rFonts w:cs="Arial"/>
                <w:sz w:val="18"/>
                <w:szCs w:val="18"/>
              </w:rPr>
              <w:t>1.056</w:t>
            </w:r>
          </w:p>
        </w:tc>
        <w:tc>
          <w:tcPr>
            <w:tcW w:w="1134" w:type="dxa"/>
            <w:tcBorders>
              <w:top w:val="nil"/>
              <w:left w:val="nil"/>
              <w:bottom w:val="nil"/>
              <w:right w:val="nil"/>
            </w:tcBorders>
            <w:vAlign w:val="bottom"/>
          </w:tcPr>
          <w:p w14:paraId="21A4912F" w14:textId="1B4936A4" w:rsidR="00566EA9" w:rsidRPr="001D41EA" w:rsidRDefault="00566EA9" w:rsidP="001D41EA">
            <w:pPr>
              <w:spacing w:before="40" w:after="20"/>
              <w:jc w:val="center"/>
              <w:rPr>
                <w:rFonts w:cs="Arial"/>
                <w:sz w:val="18"/>
                <w:szCs w:val="18"/>
              </w:rPr>
            </w:pPr>
            <w:r w:rsidRPr="001D41EA">
              <w:rPr>
                <w:rFonts w:cs="Arial"/>
                <w:sz w:val="18"/>
                <w:szCs w:val="18"/>
              </w:rPr>
              <w:t>1.059</w:t>
            </w:r>
          </w:p>
        </w:tc>
        <w:tc>
          <w:tcPr>
            <w:tcW w:w="1134" w:type="dxa"/>
            <w:tcBorders>
              <w:top w:val="nil"/>
              <w:left w:val="nil"/>
              <w:bottom w:val="nil"/>
              <w:right w:val="nil"/>
            </w:tcBorders>
            <w:vAlign w:val="bottom"/>
          </w:tcPr>
          <w:p w14:paraId="0854085B" w14:textId="62C1EDAB" w:rsidR="00566EA9" w:rsidRPr="001D41EA" w:rsidRDefault="00566EA9" w:rsidP="001D41EA">
            <w:pPr>
              <w:spacing w:before="40" w:after="20"/>
              <w:jc w:val="center"/>
              <w:rPr>
                <w:rFonts w:cs="Arial"/>
                <w:sz w:val="18"/>
                <w:szCs w:val="18"/>
              </w:rPr>
            </w:pPr>
            <w:r w:rsidRPr="001D41EA">
              <w:rPr>
                <w:rFonts w:cs="Arial"/>
                <w:sz w:val="18"/>
                <w:szCs w:val="18"/>
              </w:rPr>
              <w:t>1.037</w:t>
            </w:r>
          </w:p>
        </w:tc>
      </w:tr>
      <w:tr w:rsidR="00566EA9" w:rsidRPr="001D41EA" w14:paraId="5224C2A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802A352" w14:textId="77777777" w:rsidR="00566EA9" w:rsidRPr="001D41EA" w:rsidRDefault="00566EA9" w:rsidP="001D41EA">
            <w:pPr>
              <w:spacing w:before="40" w:after="20"/>
              <w:rPr>
                <w:rFonts w:cs="Arial"/>
                <w:sz w:val="18"/>
                <w:szCs w:val="18"/>
              </w:rPr>
            </w:pPr>
            <w:r w:rsidRPr="001D41EA">
              <w:rPr>
                <w:rFonts w:cs="Arial"/>
                <w:sz w:val="18"/>
                <w:szCs w:val="18"/>
              </w:rPr>
              <w:t>Queenscliffe B</w:t>
            </w:r>
          </w:p>
        </w:tc>
        <w:tc>
          <w:tcPr>
            <w:tcW w:w="1134" w:type="dxa"/>
            <w:tcBorders>
              <w:top w:val="nil"/>
              <w:left w:val="single" w:sz="18" w:space="0" w:color="5F497A" w:themeColor="accent4" w:themeShade="BF"/>
              <w:bottom w:val="nil"/>
              <w:right w:val="nil"/>
            </w:tcBorders>
            <w:shd w:val="clear" w:color="auto" w:fill="auto"/>
            <w:vAlign w:val="bottom"/>
          </w:tcPr>
          <w:p w14:paraId="484062B8" w14:textId="44C7ACE3" w:rsidR="00566EA9" w:rsidRPr="001D41EA" w:rsidRDefault="00566EA9" w:rsidP="001D41EA">
            <w:pPr>
              <w:spacing w:before="40" w:after="20"/>
              <w:jc w:val="center"/>
              <w:rPr>
                <w:rFonts w:cs="Arial"/>
                <w:sz w:val="18"/>
                <w:szCs w:val="18"/>
              </w:rPr>
            </w:pPr>
            <w:r w:rsidRPr="001D41EA">
              <w:rPr>
                <w:rFonts w:cs="Arial"/>
                <w:sz w:val="18"/>
                <w:szCs w:val="18"/>
              </w:rPr>
              <w:t>0.784</w:t>
            </w:r>
          </w:p>
        </w:tc>
        <w:tc>
          <w:tcPr>
            <w:tcW w:w="1134" w:type="dxa"/>
            <w:tcBorders>
              <w:top w:val="nil"/>
              <w:left w:val="nil"/>
              <w:bottom w:val="nil"/>
              <w:right w:val="nil"/>
            </w:tcBorders>
            <w:shd w:val="clear" w:color="auto" w:fill="auto"/>
            <w:vAlign w:val="bottom"/>
          </w:tcPr>
          <w:p w14:paraId="69181631" w14:textId="3B404C4B" w:rsidR="00566EA9" w:rsidRPr="001D41EA" w:rsidRDefault="00566EA9" w:rsidP="001D41EA">
            <w:pPr>
              <w:spacing w:before="40" w:after="20"/>
              <w:jc w:val="center"/>
              <w:rPr>
                <w:rFonts w:cs="Arial"/>
                <w:sz w:val="18"/>
                <w:szCs w:val="18"/>
              </w:rPr>
            </w:pPr>
            <w:r w:rsidRPr="001D41EA">
              <w:rPr>
                <w:rFonts w:cs="Arial"/>
                <w:sz w:val="18"/>
                <w:szCs w:val="18"/>
              </w:rPr>
              <w:t>0.776</w:t>
            </w:r>
          </w:p>
        </w:tc>
        <w:tc>
          <w:tcPr>
            <w:tcW w:w="170" w:type="dxa"/>
            <w:tcBorders>
              <w:top w:val="nil"/>
              <w:left w:val="nil"/>
              <w:bottom w:val="nil"/>
              <w:right w:val="nil"/>
            </w:tcBorders>
            <w:vAlign w:val="bottom"/>
          </w:tcPr>
          <w:p w14:paraId="5C183E79" w14:textId="499DF9E6"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29219EA5" w14:textId="2CBBAC31" w:rsidR="00566EA9" w:rsidRPr="001D41EA" w:rsidRDefault="00566EA9" w:rsidP="001D41EA">
            <w:pPr>
              <w:spacing w:before="40" w:after="20"/>
              <w:jc w:val="center"/>
              <w:rPr>
                <w:rFonts w:cs="Arial"/>
                <w:sz w:val="18"/>
                <w:szCs w:val="18"/>
              </w:rPr>
            </w:pPr>
            <w:r w:rsidRPr="001D41EA">
              <w:rPr>
                <w:rFonts w:cs="Arial"/>
                <w:sz w:val="18"/>
                <w:szCs w:val="18"/>
              </w:rPr>
              <w:t>1.723</w:t>
            </w:r>
          </w:p>
        </w:tc>
        <w:tc>
          <w:tcPr>
            <w:tcW w:w="1134" w:type="dxa"/>
            <w:tcBorders>
              <w:top w:val="nil"/>
              <w:left w:val="nil"/>
              <w:bottom w:val="nil"/>
              <w:right w:val="nil"/>
            </w:tcBorders>
            <w:vAlign w:val="bottom"/>
          </w:tcPr>
          <w:p w14:paraId="09CFEEFF" w14:textId="36C9B090" w:rsidR="00566EA9" w:rsidRPr="001D41EA" w:rsidRDefault="00566EA9" w:rsidP="001D41EA">
            <w:pPr>
              <w:spacing w:before="40" w:after="20"/>
              <w:jc w:val="center"/>
              <w:rPr>
                <w:rFonts w:cs="Arial"/>
                <w:sz w:val="18"/>
                <w:szCs w:val="18"/>
              </w:rPr>
            </w:pPr>
            <w:r w:rsidRPr="001D41EA">
              <w:rPr>
                <w:rFonts w:cs="Arial"/>
                <w:sz w:val="18"/>
                <w:szCs w:val="18"/>
              </w:rPr>
              <w:t>1.712</w:t>
            </w:r>
          </w:p>
        </w:tc>
        <w:tc>
          <w:tcPr>
            <w:tcW w:w="1134" w:type="dxa"/>
            <w:tcBorders>
              <w:top w:val="nil"/>
              <w:left w:val="nil"/>
              <w:bottom w:val="nil"/>
              <w:right w:val="nil"/>
            </w:tcBorders>
            <w:vAlign w:val="bottom"/>
          </w:tcPr>
          <w:p w14:paraId="7AB5F002" w14:textId="72875934" w:rsidR="00566EA9" w:rsidRPr="001D41EA" w:rsidRDefault="00566EA9" w:rsidP="001D41EA">
            <w:pPr>
              <w:spacing w:before="40" w:after="20"/>
              <w:jc w:val="center"/>
              <w:rPr>
                <w:rFonts w:cs="Arial"/>
                <w:sz w:val="18"/>
                <w:szCs w:val="18"/>
              </w:rPr>
            </w:pPr>
            <w:r w:rsidRPr="001D41EA">
              <w:rPr>
                <w:rFonts w:cs="Arial"/>
                <w:sz w:val="18"/>
                <w:szCs w:val="18"/>
              </w:rPr>
              <w:t>1.716</w:t>
            </w:r>
          </w:p>
        </w:tc>
        <w:tc>
          <w:tcPr>
            <w:tcW w:w="1134" w:type="dxa"/>
            <w:tcBorders>
              <w:top w:val="nil"/>
              <w:left w:val="nil"/>
              <w:bottom w:val="nil"/>
              <w:right w:val="nil"/>
            </w:tcBorders>
            <w:vAlign w:val="bottom"/>
          </w:tcPr>
          <w:p w14:paraId="091051F4" w14:textId="4D761860" w:rsidR="00566EA9" w:rsidRPr="001D41EA" w:rsidRDefault="00566EA9" w:rsidP="001D41EA">
            <w:pPr>
              <w:spacing w:before="40" w:after="20"/>
              <w:jc w:val="center"/>
              <w:rPr>
                <w:rFonts w:cs="Arial"/>
                <w:sz w:val="18"/>
                <w:szCs w:val="18"/>
              </w:rPr>
            </w:pPr>
            <w:r w:rsidRPr="001D41EA">
              <w:rPr>
                <w:rFonts w:cs="Arial"/>
                <w:sz w:val="18"/>
                <w:szCs w:val="18"/>
              </w:rPr>
              <w:t>1.682</w:t>
            </w:r>
          </w:p>
        </w:tc>
      </w:tr>
      <w:tr w:rsidR="00566EA9" w:rsidRPr="001D41EA" w14:paraId="44D162E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74C3F4E" w14:textId="77777777" w:rsidR="00566EA9" w:rsidRPr="001D41EA" w:rsidRDefault="00566EA9" w:rsidP="001D41EA">
            <w:pPr>
              <w:spacing w:before="40" w:after="20"/>
              <w:rPr>
                <w:rFonts w:cs="Arial"/>
                <w:sz w:val="18"/>
                <w:szCs w:val="18"/>
              </w:rPr>
            </w:pPr>
            <w:r w:rsidRPr="001D41EA">
              <w:rPr>
                <w:rFonts w:cs="Arial"/>
                <w:sz w:val="18"/>
                <w:szCs w:val="18"/>
              </w:rPr>
              <w:t>South Gippsland S</w:t>
            </w:r>
          </w:p>
        </w:tc>
        <w:tc>
          <w:tcPr>
            <w:tcW w:w="1134" w:type="dxa"/>
            <w:tcBorders>
              <w:top w:val="nil"/>
              <w:left w:val="single" w:sz="18" w:space="0" w:color="5F497A" w:themeColor="accent4" w:themeShade="BF"/>
              <w:bottom w:val="nil"/>
              <w:right w:val="nil"/>
            </w:tcBorders>
            <w:shd w:val="clear" w:color="auto" w:fill="auto"/>
            <w:vAlign w:val="bottom"/>
          </w:tcPr>
          <w:p w14:paraId="73258DD7" w14:textId="4691F7B6" w:rsidR="00566EA9" w:rsidRPr="001D41EA" w:rsidRDefault="00566EA9" w:rsidP="001D41EA">
            <w:pPr>
              <w:spacing w:before="40" w:after="20"/>
              <w:jc w:val="center"/>
              <w:rPr>
                <w:rFonts w:cs="Arial"/>
                <w:sz w:val="18"/>
                <w:szCs w:val="18"/>
              </w:rPr>
            </w:pPr>
            <w:r w:rsidRPr="001D41EA">
              <w:rPr>
                <w:rFonts w:cs="Arial"/>
                <w:sz w:val="18"/>
                <w:szCs w:val="18"/>
              </w:rPr>
              <w:t>1.069</w:t>
            </w:r>
          </w:p>
        </w:tc>
        <w:tc>
          <w:tcPr>
            <w:tcW w:w="1134" w:type="dxa"/>
            <w:tcBorders>
              <w:top w:val="nil"/>
              <w:left w:val="nil"/>
              <w:bottom w:val="nil"/>
              <w:right w:val="nil"/>
            </w:tcBorders>
            <w:shd w:val="clear" w:color="auto" w:fill="auto"/>
            <w:vAlign w:val="bottom"/>
          </w:tcPr>
          <w:p w14:paraId="02BF70A3" w14:textId="68D8DCFA" w:rsidR="00566EA9" w:rsidRPr="001D41EA" w:rsidRDefault="00566EA9" w:rsidP="001D41EA">
            <w:pPr>
              <w:spacing w:before="40" w:after="20"/>
              <w:jc w:val="center"/>
              <w:rPr>
                <w:rFonts w:cs="Arial"/>
                <w:sz w:val="18"/>
                <w:szCs w:val="18"/>
              </w:rPr>
            </w:pPr>
            <w:r w:rsidRPr="001D41EA">
              <w:rPr>
                <w:rFonts w:cs="Arial"/>
                <w:sz w:val="18"/>
                <w:szCs w:val="18"/>
              </w:rPr>
              <w:t>1.058</w:t>
            </w:r>
          </w:p>
        </w:tc>
        <w:tc>
          <w:tcPr>
            <w:tcW w:w="170" w:type="dxa"/>
            <w:tcBorders>
              <w:top w:val="nil"/>
              <w:left w:val="nil"/>
              <w:bottom w:val="nil"/>
              <w:right w:val="nil"/>
            </w:tcBorders>
            <w:vAlign w:val="bottom"/>
          </w:tcPr>
          <w:p w14:paraId="0550D6B0" w14:textId="390892D9"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0948DDA2" w14:textId="62A2572F" w:rsidR="00566EA9" w:rsidRPr="001D41EA" w:rsidRDefault="00566EA9" w:rsidP="001D41EA">
            <w:pPr>
              <w:spacing w:before="40" w:after="20"/>
              <w:jc w:val="center"/>
              <w:rPr>
                <w:rFonts w:cs="Arial"/>
                <w:sz w:val="18"/>
                <w:szCs w:val="18"/>
              </w:rPr>
            </w:pPr>
            <w:r w:rsidRPr="001D41EA">
              <w:rPr>
                <w:rFonts w:cs="Arial"/>
                <w:sz w:val="18"/>
                <w:szCs w:val="18"/>
              </w:rPr>
              <w:t>1.265</w:t>
            </w:r>
          </w:p>
        </w:tc>
        <w:tc>
          <w:tcPr>
            <w:tcW w:w="1134" w:type="dxa"/>
            <w:tcBorders>
              <w:top w:val="nil"/>
              <w:left w:val="nil"/>
              <w:bottom w:val="nil"/>
              <w:right w:val="nil"/>
            </w:tcBorders>
            <w:vAlign w:val="bottom"/>
          </w:tcPr>
          <w:p w14:paraId="4B6B4318" w14:textId="08F7834A" w:rsidR="00566EA9" w:rsidRPr="001D41EA" w:rsidRDefault="00566EA9" w:rsidP="001D41EA">
            <w:pPr>
              <w:spacing w:before="40" w:after="20"/>
              <w:jc w:val="center"/>
              <w:rPr>
                <w:rFonts w:cs="Arial"/>
                <w:sz w:val="18"/>
                <w:szCs w:val="18"/>
              </w:rPr>
            </w:pPr>
            <w:r w:rsidRPr="001D41EA">
              <w:rPr>
                <w:rFonts w:cs="Arial"/>
                <w:sz w:val="18"/>
                <w:szCs w:val="18"/>
              </w:rPr>
              <w:t>1.257</w:t>
            </w:r>
          </w:p>
        </w:tc>
        <w:tc>
          <w:tcPr>
            <w:tcW w:w="1134" w:type="dxa"/>
            <w:tcBorders>
              <w:top w:val="nil"/>
              <w:left w:val="nil"/>
              <w:bottom w:val="nil"/>
              <w:right w:val="nil"/>
            </w:tcBorders>
            <w:vAlign w:val="bottom"/>
          </w:tcPr>
          <w:p w14:paraId="2270928E" w14:textId="1A745FDD" w:rsidR="00566EA9" w:rsidRPr="001D41EA" w:rsidRDefault="00566EA9" w:rsidP="001D41EA">
            <w:pPr>
              <w:spacing w:before="40" w:after="20"/>
              <w:jc w:val="center"/>
              <w:rPr>
                <w:rFonts w:cs="Arial"/>
                <w:sz w:val="18"/>
                <w:szCs w:val="18"/>
              </w:rPr>
            </w:pPr>
            <w:r w:rsidRPr="001D41EA">
              <w:rPr>
                <w:rFonts w:cs="Arial"/>
                <w:sz w:val="18"/>
                <w:szCs w:val="18"/>
              </w:rPr>
              <w:t>1.260</w:t>
            </w:r>
          </w:p>
        </w:tc>
        <w:tc>
          <w:tcPr>
            <w:tcW w:w="1134" w:type="dxa"/>
            <w:tcBorders>
              <w:top w:val="nil"/>
              <w:left w:val="nil"/>
              <w:bottom w:val="nil"/>
              <w:right w:val="nil"/>
            </w:tcBorders>
            <w:vAlign w:val="bottom"/>
          </w:tcPr>
          <w:p w14:paraId="6CF9C397" w14:textId="7D8E5AAD" w:rsidR="00566EA9" w:rsidRPr="001D41EA" w:rsidRDefault="00566EA9" w:rsidP="001D41EA">
            <w:pPr>
              <w:spacing w:before="40" w:after="20"/>
              <w:jc w:val="center"/>
              <w:rPr>
                <w:rFonts w:cs="Arial"/>
                <w:sz w:val="18"/>
                <w:szCs w:val="18"/>
              </w:rPr>
            </w:pPr>
            <w:r w:rsidRPr="001D41EA">
              <w:rPr>
                <w:rFonts w:cs="Arial"/>
                <w:sz w:val="18"/>
                <w:szCs w:val="18"/>
              </w:rPr>
              <w:t>1.235</w:t>
            </w:r>
          </w:p>
        </w:tc>
      </w:tr>
      <w:tr w:rsidR="00566EA9" w:rsidRPr="001D41EA" w14:paraId="760577C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FCD0DAB" w14:textId="77777777" w:rsidR="00566EA9" w:rsidRPr="001D41EA" w:rsidRDefault="00566EA9" w:rsidP="001D41EA">
            <w:pPr>
              <w:spacing w:before="40" w:after="20"/>
              <w:rPr>
                <w:rFonts w:cs="Arial"/>
                <w:sz w:val="18"/>
                <w:szCs w:val="18"/>
              </w:rPr>
            </w:pPr>
            <w:r w:rsidRPr="001D41EA">
              <w:rPr>
                <w:rFonts w:cs="Arial"/>
                <w:sz w:val="18"/>
                <w:szCs w:val="18"/>
              </w:rPr>
              <w:t>Southern Grampians S</w:t>
            </w:r>
          </w:p>
        </w:tc>
        <w:tc>
          <w:tcPr>
            <w:tcW w:w="1134" w:type="dxa"/>
            <w:tcBorders>
              <w:top w:val="nil"/>
              <w:left w:val="single" w:sz="18" w:space="0" w:color="5F497A" w:themeColor="accent4" w:themeShade="BF"/>
              <w:bottom w:val="nil"/>
              <w:right w:val="nil"/>
            </w:tcBorders>
            <w:shd w:val="clear" w:color="auto" w:fill="auto"/>
            <w:vAlign w:val="bottom"/>
          </w:tcPr>
          <w:p w14:paraId="68921E5A" w14:textId="5939A44B" w:rsidR="00566EA9" w:rsidRPr="001D41EA" w:rsidRDefault="00566EA9" w:rsidP="001D41EA">
            <w:pPr>
              <w:spacing w:before="40" w:after="20"/>
              <w:jc w:val="center"/>
              <w:rPr>
                <w:rFonts w:cs="Arial"/>
                <w:sz w:val="18"/>
                <w:szCs w:val="18"/>
              </w:rPr>
            </w:pPr>
            <w:r w:rsidRPr="001D41EA">
              <w:rPr>
                <w:rFonts w:cs="Arial"/>
                <w:sz w:val="18"/>
                <w:szCs w:val="18"/>
              </w:rPr>
              <w:t>1.063</w:t>
            </w:r>
          </w:p>
        </w:tc>
        <w:tc>
          <w:tcPr>
            <w:tcW w:w="1134" w:type="dxa"/>
            <w:tcBorders>
              <w:top w:val="nil"/>
              <w:left w:val="nil"/>
              <w:bottom w:val="nil"/>
              <w:right w:val="nil"/>
            </w:tcBorders>
            <w:shd w:val="clear" w:color="auto" w:fill="auto"/>
            <w:vAlign w:val="bottom"/>
          </w:tcPr>
          <w:p w14:paraId="48A35C9A" w14:textId="1360BE6B" w:rsidR="00566EA9" w:rsidRPr="001D41EA" w:rsidRDefault="00566EA9" w:rsidP="001D41EA">
            <w:pPr>
              <w:spacing w:before="40" w:after="20"/>
              <w:jc w:val="center"/>
              <w:rPr>
                <w:rFonts w:cs="Arial"/>
                <w:sz w:val="18"/>
                <w:szCs w:val="18"/>
              </w:rPr>
            </w:pPr>
            <w:r w:rsidRPr="001D41EA">
              <w:rPr>
                <w:rFonts w:cs="Arial"/>
                <w:sz w:val="18"/>
                <w:szCs w:val="18"/>
              </w:rPr>
              <w:t>1.052</w:t>
            </w:r>
          </w:p>
        </w:tc>
        <w:tc>
          <w:tcPr>
            <w:tcW w:w="170" w:type="dxa"/>
            <w:tcBorders>
              <w:top w:val="nil"/>
              <w:left w:val="nil"/>
              <w:bottom w:val="nil"/>
              <w:right w:val="nil"/>
            </w:tcBorders>
            <w:vAlign w:val="bottom"/>
          </w:tcPr>
          <w:p w14:paraId="3E246E17" w14:textId="40296CC4"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16A042A6" w14:textId="0175DB4D" w:rsidR="00566EA9" w:rsidRPr="001D41EA" w:rsidRDefault="00566EA9" w:rsidP="001D41EA">
            <w:pPr>
              <w:spacing w:before="40" w:after="20"/>
              <w:jc w:val="center"/>
              <w:rPr>
                <w:rFonts w:cs="Arial"/>
                <w:sz w:val="18"/>
                <w:szCs w:val="18"/>
              </w:rPr>
            </w:pPr>
            <w:r w:rsidRPr="001D41EA">
              <w:rPr>
                <w:rFonts w:cs="Arial"/>
                <w:sz w:val="18"/>
                <w:szCs w:val="18"/>
              </w:rPr>
              <w:t>1.084</w:t>
            </w:r>
          </w:p>
        </w:tc>
        <w:tc>
          <w:tcPr>
            <w:tcW w:w="1134" w:type="dxa"/>
            <w:tcBorders>
              <w:top w:val="nil"/>
              <w:left w:val="nil"/>
              <w:bottom w:val="nil"/>
              <w:right w:val="nil"/>
            </w:tcBorders>
            <w:vAlign w:val="bottom"/>
          </w:tcPr>
          <w:p w14:paraId="1D298910" w14:textId="216AD6F1" w:rsidR="00566EA9" w:rsidRPr="001D41EA" w:rsidRDefault="00566EA9" w:rsidP="001D41EA">
            <w:pPr>
              <w:spacing w:before="40" w:after="20"/>
              <w:jc w:val="center"/>
              <w:rPr>
                <w:rFonts w:cs="Arial"/>
                <w:sz w:val="18"/>
                <w:szCs w:val="18"/>
              </w:rPr>
            </w:pPr>
            <w:r w:rsidRPr="001D41EA">
              <w:rPr>
                <w:rFonts w:cs="Arial"/>
                <w:sz w:val="18"/>
                <w:szCs w:val="18"/>
              </w:rPr>
              <w:t>1.076</w:t>
            </w:r>
          </w:p>
        </w:tc>
        <w:tc>
          <w:tcPr>
            <w:tcW w:w="1134" w:type="dxa"/>
            <w:tcBorders>
              <w:top w:val="nil"/>
              <w:left w:val="nil"/>
              <w:bottom w:val="nil"/>
              <w:right w:val="nil"/>
            </w:tcBorders>
            <w:vAlign w:val="bottom"/>
          </w:tcPr>
          <w:p w14:paraId="1A39F5EC" w14:textId="1AC49759" w:rsidR="00566EA9" w:rsidRPr="001D41EA" w:rsidRDefault="00566EA9" w:rsidP="001D41EA">
            <w:pPr>
              <w:spacing w:before="40" w:after="20"/>
              <w:jc w:val="center"/>
              <w:rPr>
                <w:rFonts w:cs="Arial"/>
                <w:sz w:val="18"/>
                <w:szCs w:val="18"/>
              </w:rPr>
            </w:pPr>
            <w:r w:rsidRPr="001D41EA">
              <w:rPr>
                <w:rFonts w:cs="Arial"/>
                <w:sz w:val="18"/>
                <w:szCs w:val="18"/>
              </w:rPr>
              <w:t>1.079</w:t>
            </w:r>
          </w:p>
        </w:tc>
        <w:tc>
          <w:tcPr>
            <w:tcW w:w="1134" w:type="dxa"/>
            <w:tcBorders>
              <w:top w:val="nil"/>
              <w:left w:val="nil"/>
              <w:bottom w:val="nil"/>
              <w:right w:val="nil"/>
            </w:tcBorders>
            <w:vAlign w:val="bottom"/>
          </w:tcPr>
          <w:p w14:paraId="5D7BEB79" w14:textId="02EEEE5D" w:rsidR="00566EA9" w:rsidRPr="001D41EA" w:rsidRDefault="00566EA9" w:rsidP="001D41EA">
            <w:pPr>
              <w:spacing w:before="40" w:after="20"/>
              <w:jc w:val="center"/>
              <w:rPr>
                <w:rFonts w:cs="Arial"/>
                <w:sz w:val="18"/>
                <w:szCs w:val="18"/>
              </w:rPr>
            </w:pPr>
            <w:r w:rsidRPr="001D41EA">
              <w:rPr>
                <w:rFonts w:cs="Arial"/>
                <w:sz w:val="18"/>
                <w:szCs w:val="18"/>
              </w:rPr>
              <w:t>1.057</w:t>
            </w:r>
          </w:p>
        </w:tc>
      </w:tr>
      <w:tr w:rsidR="00566EA9" w:rsidRPr="001D41EA" w14:paraId="1D01F66B"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AD183BB" w14:textId="77777777" w:rsidR="00566EA9" w:rsidRPr="001D41EA" w:rsidRDefault="00566EA9" w:rsidP="001D41EA">
            <w:pPr>
              <w:spacing w:before="40" w:after="20"/>
              <w:rPr>
                <w:rFonts w:cs="Arial"/>
                <w:sz w:val="18"/>
                <w:szCs w:val="18"/>
              </w:rPr>
            </w:pPr>
            <w:r w:rsidRPr="001D41EA">
              <w:rPr>
                <w:rFonts w:cs="Arial"/>
                <w:sz w:val="18"/>
                <w:szCs w:val="18"/>
              </w:rPr>
              <w:t>Stonnington C</w:t>
            </w:r>
          </w:p>
        </w:tc>
        <w:tc>
          <w:tcPr>
            <w:tcW w:w="1134" w:type="dxa"/>
            <w:tcBorders>
              <w:top w:val="nil"/>
              <w:left w:val="single" w:sz="18" w:space="0" w:color="5F497A" w:themeColor="accent4" w:themeShade="BF"/>
              <w:bottom w:val="nil"/>
              <w:right w:val="nil"/>
            </w:tcBorders>
            <w:shd w:val="clear" w:color="auto" w:fill="auto"/>
            <w:vAlign w:val="bottom"/>
          </w:tcPr>
          <w:p w14:paraId="62B786CE" w14:textId="233B2A62" w:rsidR="00566EA9" w:rsidRPr="001D41EA" w:rsidRDefault="00566EA9" w:rsidP="001D41EA">
            <w:pPr>
              <w:spacing w:before="40" w:after="20"/>
              <w:jc w:val="center"/>
              <w:rPr>
                <w:rFonts w:cs="Arial"/>
                <w:sz w:val="18"/>
                <w:szCs w:val="18"/>
              </w:rPr>
            </w:pPr>
            <w:r w:rsidRPr="001D41EA">
              <w:rPr>
                <w:rFonts w:cs="Arial"/>
                <w:sz w:val="18"/>
                <w:szCs w:val="18"/>
              </w:rPr>
              <w:t>0.744</w:t>
            </w:r>
          </w:p>
        </w:tc>
        <w:tc>
          <w:tcPr>
            <w:tcW w:w="1134" w:type="dxa"/>
            <w:tcBorders>
              <w:top w:val="nil"/>
              <w:left w:val="nil"/>
              <w:bottom w:val="nil"/>
              <w:right w:val="nil"/>
            </w:tcBorders>
            <w:shd w:val="clear" w:color="auto" w:fill="auto"/>
            <w:vAlign w:val="bottom"/>
          </w:tcPr>
          <w:p w14:paraId="35BB7FED" w14:textId="2FD5C377" w:rsidR="00566EA9" w:rsidRPr="001D41EA" w:rsidRDefault="00566EA9" w:rsidP="001D41EA">
            <w:pPr>
              <w:spacing w:before="40" w:after="20"/>
              <w:jc w:val="center"/>
              <w:rPr>
                <w:rFonts w:cs="Arial"/>
                <w:sz w:val="18"/>
                <w:szCs w:val="18"/>
              </w:rPr>
            </w:pPr>
            <w:r w:rsidRPr="001D41EA">
              <w:rPr>
                <w:rFonts w:cs="Arial"/>
                <w:sz w:val="18"/>
                <w:szCs w:val="18"/>
              </w:rPr>
              <w:t>0.737</w:t>
            </w:r>
          </w:p>
        </w:tc>
        <w:tc>
          <w:tcPr>
            <w:tcW w:w="170" w:type="dxa"/>
            <w:tcBorders>
              <w:top w:val="nil"/>
              <w:left w:val="nil"/>
              <w:bottom w:val="nil"/>
              <w:right w:val="nil"/>
            </w:tcBorders>
            <w:vAlign w:val="bottom"/>
          </w:tcPr>
          <w:p w14:paraId="752780EF" w14:textId="7A8B9363"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078A48DD" w14:textId="36B87480" w:rsidR="00566EA9" w:rsidRPr="001D41EA" w:rsidRDefault="00566EA9" w:rsidP="001D41EA">
            <w:pPr>
              <w:spacing w:before="40" w:after="20"/>
              <w:jc w:val="center"/>
              <w:rPr>
                <w:rFonts w:cs="Arial"/>
                <w:sz w:val="18"/>
                <w:szCs w:val="18"/>
              </w:rPr>
            </w:pPr>
            <w:r w:rsidRPr="001D41EA">
              <w:rPr>
                <w:rFonts w:cs="Arial"/>
                <w:sz w:val="18"/>
                <w:szCs w:val="18"/>
              </w:rPr>
              <w:t>1.035</w:t>
            </w:r>
          </w:p>
        </w:tc>
        <w:tc>
          <w:tcPr>
            <w:tcW w:w="1134" w:type="dxa"/>
            <w:tcBorders>
              <w:top w:val="nil"/>
              <w:left w:val="nil"/>
              <w:bottom w:val="nil"/>
              <w:right w:val="nil"/>
            </w:tcBorders>
            <w:vAlign w:val="bottom"/>
          </w:tcPr>
          <w:p w14:paraId="5F19F976" w14:textId="5D5A2089" w:rsidR="00566EA9" w:rsidRPr="001D41EA" w:rsidRDefault="00566EA9" w:rsidP="001D41EA">
            <w:pPr>
              <w:spacing w:before="40" w:after="20"/>
              <w:jc w:val="center"/>
              <w:rPr>
                <w:rFonts w:cs="Arial"/>
                <w:sz w:val="18"/>
                <w:szCs w:val="18"/>
              </w:rPr>
            </w:pPr>
            <w:r w:rsidRPr="001D41EA">
              <w:rPr>
                <w:rFonts w:cs="Arial"/>
                <w:sz w:val="18"/>
                <w:szCs w:val="18"/>
              </w:rPr>
              <w:t>1.028</w:t>
            </w:r>
          </w:p>
        </w:tc>
        <w:tc>
          <w:tcPr>
            <w:tcW w:w="1134" w:type="dxa"/>
            <w:tcBorders>
              <w:top w:val="nil"/>
              <w:left w:val="nil"/>
              <w:bottom w:val="nil"/>
              <w:right w:val="nil"/>
            </w:tcBorders>
            <w:vAlign w:val="bottom"/>
          </w:tcPr>
          <w:p w14:paraId="4A5F5432" w14:textId="659F1B9B" w:rsidR="00566EA9" w:rsidRPr="001D41EA" w:rsidRDefault="00566EA9" w:rsidP="001D41EA">
            <w:pPr>
              <w:spacing w:before="40" w:after="20"/>
              <w:jc w:val="center"/>
              <w:rPr>
                <w:rFonts w:cs="Arial"/>
                <w:sz w:val="18"/>
                <w:szCs w:val="18"/>
              </w:rPr>
            </w:pPr>
            <w:r w:rsidRPr="001D41EA">
              <w:rPr>
                <w:rFonts w:cs="Arial"/>
                <w:sz w:val="18"/>
                <w:szCs w:val="18"/>
              </w:rPr>
              <w:t>1.030</w:t>
            </w:r>
          </w:p>
        </w:tc>
        <w:tc>
          <w:tcPr>
            <w:tcW w:w="1134" w:type="dxa"/>
            <w:tcBorders>
              <w:top w:val="nil"/>
              <w:left w:val="nil"/>
              <w:bottom w:val="nil"/>
              <w:right w:val="nil"/>
            </w:tcBorders>
            <w:vAlign w:val="bottom"/>
          </w:tcPr>
          <w:p w14:paraId="02840008" w14:textId="23F30278" w:rsidR="00566EA9" w:rsidRPr="001D41EA" w:rsidRDefault="00566EA9" w:rsidP="001D41EA">
            <w:pPr>
              <w:spacing w:before="40" w:after="20"/>
              <w:jc w:val="center"/>
              <w:rPr>
                <w:rFonts w:cs="Arial"/>
                <w:sz w:val="18"/>
                <w:szCs w:val="18"/>
              </w:rPr>
            </w:pPr>
            <w:r w:rsidRPr="001D41EA">
              <w:rPr>
                <w:rFonts w:cs="Arial"/>
                <w:sz w:val="18"/>
                <w:szCs w:val="18"/>
              </w:rPr>
              <w:t>1.010</w:t>
            </w:r>
          </w:p>
        </w:tc>
      </w:tr>
      <w:tr w:rsidR="00566EA9" w:rsidRPr="001D41EA" w14:paraId="4BAC1D4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6F573399" w14:textId="77777777" w:rsidR="00566EA9" w:rsidRPr="001D41EA" w:rsidRDefault="00566EA9" w:rsidP="001D41EA">
            <w:pPr>
              <w:spacing w:before="40" w:after="20"/>
              <w:rPr>
                <w:rFonts w:cs="Arial"/>
                <w:sz w:val="18"/>
                <w:szCs w:val="18"/>
              </w:rPr>
            </w:pPr>
            <w:r w:rsidRPr="001D41EA">
              <w:rPr>
                <w:rFonts w:cs="Arial"/>
                <w:sz w:val="18"/>
                <w:szCs w:val="18"/>
              </w:rPr>
              <w:t>Strathbogie S</w:t>
            </w:r>
          </w:p>
        </w:tc>
        <w:tc>
          <w:tcPr>
            <w:tcW w:w="1134" w:type="dxa"/>
            <w:tcBorders>
              <w:top w:val="nil"/>
              <w:left w:val="single" w:sz="18" w:space="0" w:color="5F497A" w:themeColor="accent4" w:themeShade="BF"/>
              <w:bottom w:val="nil"/>
              <w:right w:val="nil"/>
            </w:tcBorders>
            <w:shd w:val="clear" w:color="auto" w:fill="auto"/>
            <w:vAlign w:val="bottom"/>
          </w:tcPr>
          <w:p w14:paraId="7F63656C" w14:textId="3CB2846B" w:rsidR="00566EA9" w:rsidRPr="001D41EA" w:rsidRDefault="00566EA9" w:rsidP="001D41EA">
            <w:pPr>
              <w:spacing w:before="40" w:after="20"/>
              <w:jc w:val="center"/>
              <w:rPr>
                <w:rFonts w:cs="Arial"/>
                <w:sz w:val="18"/>
                <w:szCs w:val="18"/>
              </w:rPr>
            </w:pPr>
            <w:r w:rsidRPr="001D41EA">
              <w:rPr>
                <w:rFonts w:cs="Arial"/>
                <w:sz w:val="18"/>
                <w:szCs w:val="18"/>
              </w:rPr>
              <w:t>1.123</w:t>
            </w:r>
          </w:p>
        </w:tc>
        <w:tc>
          <w:tcPr>
            <w:tcW w:w="1134" w:type="dxa"/>
            <w:tcBorders>
              <w:top w:val="nil"/>
              <w:left w:val="nil"/>
              <w:bottom w:val="nil"/>
              <w:right w:val="nil"/>
            </w:tcBorders>
            <w:shd w:val="clear" w:color="auto" w:fill="auto"/>
            <w:vAlign w:val="bottom"/>
          </w:tcPr>
          <w:p w14:paraId="2336CF5B" w14:textId="278EDA02" w:rsidR="00566EA9" w:rsidRPr="001D41EA" w:rsidRDefault="00566EA9" w:rsidP="001D41EA">
            <w:pPr>
              <w:spacing w:before="40" w:after="20"/>
              <w:jc w:val="center"/>
              <w:rPr>
                <w:rFonts w:cs="Arial"/>
                <w:sz w:val="18"/>
                <w:szCs w:val="18"/>
              </w:rPr>
            </w:pPr>
            <w:r w:rsidRPr="001D41EA">
              <w:rPr>
                <w:rFonts w:cs="Arial"/>
                <w:sz w:val="18"/>
                <w:szCs w:val="18"/>
              </w:rPr>
              <w:t>1.111</w:t>
            </w:r>
          </w:p>
        </w:tc>
        <w:tc>
          <w:tcPr>
            <w:tcW w:w="170" w:type="dxa"/>
            <w:tcBorders>
              <w:top w:val="nil"/>
              <w:left w:val="nil"/>
              <w:bottom w:val="nil"/>
              <w:right w:val="nil"/>
            </w:tcBorders>
            <w:vAlign w:val="bottom"/>
          </w:tcPr>
          <w:p w14:paraId="08BD97ED" w14:textId="6782EFA0"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6C7A059C" w14:textId="2E4E501A" w:rsidR="00566EA9" w:rsidRPr="001D41EA" w:rsidRDefault="00566EA9" w:rsidP="001D41EA">
            <w:pPr>
              <w:spacing w:before="40" w:after="20"/>
              <w:jc w:val="center"/>
              <w:rPr>
                <w:rFonts w:cs="Arial"/>
                <w:sz w:val="18"/>
                <w:szCs w:val="18"/>
              </w:rPr>
            </w:pPr>
            <w:r w:rsidRPr="001D41EA">
              <w:rPr>
                <w:rFonts w:cs="Arial"/>
                <w:sz w:val="18"/>
                <w:szCs w:val="18"/>
              </w:rPr>
              <w:t>1.135</w:t>
            </w:r>
          </w:p>
        </w:tc>
        <w:tc>
          <w:tcPr>
            <w:tcW w:w="1134" w:type="dxa"/>
            <w:tcBorders>
              <w:top w:val="nil"/>
              <w:left w:val="nil"/>
              <w:bottom w:val="nil"/>
              <w:right w:val="nil"/>
            </w:tcBorders>
            <w:vAlign w:val="bottom"/>
          </w:tcPr>
          <w:p w14:paraId="20361973" w14:textId="0D63B2F7" w:rsidR="00566EA9" w:rsidRPr="001D41EA" w:rsidRDefault="00566EA9" w:rsidP="001D41EA">
            <w:pPr>
              <w:spacing w:before="40" w:after="20"/>
              <w:jc w:val="center"/>
              <w:rPr>
                <w:rFonts w:cs="Arial"/>
                <w:sz w:val="18"/>
                <w:szCs w:val="18"/>
              </w:rPr>
            </w:pPr>
            <w:r w:rsidRPr="001D41EA">
              <w:rPr>
                <w:rFonts w:cs="Arial"/>
                <w:sz w:val="18"/>
                <w:szCs w:val="18"/>
              </w:rPr>
              <w:t>1.128</w:t>
            </w:r>
          </w:p>
        </w:tc>
        <w:tc>
          <w:tcPr>
            <w:tcW w:w="1134" w:type="dxa"/>
            <w:tcBorders>
              <w:top w:val="nil"/>
              <w:left w:val="nil"/>
              <w:bottom w:val="nil"/>
              <w:right w:val="nil"/>
            </w:tcBorders>
            <w:vAlign w:val="bottom"/>
          </w:tcPr>
          <w:p w14:paraId="66DF953C" w14:textId="44D56614" w:rsidR="00566EA9" w:rsidRPr="001D41EA" w:rsidRDefault="00566EA9" w:rsidP="001D41EA">
            <w:pPr>
              <w:spacing w:before="40" w:after="20"/>
              <w:jc w:val="center"/>
              <w:rPr>
                <w:rFonts w:cs="Arial"/>
                <w:sz w:val="18"/>
                <w:szCs w:val="18"/>
              </w:rPr>
            </w:pPr>
            <w:r w:rsidRPr="001D41EA">
              <w:rPr>
                <w:rFonts w:cs="Arial"/>
                <w:sz w:val="18"/>
                <w:szCs w:val="18"/>
              </w:rPr>
              <w:t>1.131</w:t>
            </w:r>
          </w:p>
        </w:tc>
        <w:tc>
          <w:tcPr>
            <w:tcW w:w="1134" w:type="dxa"/>
            <w:tcBorders>
              <w:top w:val="nil"/>
              <w:left w:val="nil"/>
              <w:bottom w:val="nil"/>
              <w:right w:val="nil"/>
            </w:tcBorders>
            <w:vAlign w:val="bottom"/>
          </w:tcPr>
          <w:p w14:paraId="567B1A48" w14:textId="49B9D785" w:rsidR="00566EA9" w:rsidRPr="001D41EA" w:rsidRDefault="00566EA9" w:rsidP="001D41EA">
            <w:pPr>
              <w:spacing w:before="40" w:after="20"/>
              <w:jc w:val="center"/>
              <w:rPr>
                <w:rFonts w:cs="Arial"/>
                <w:sz w:val="18"/>
                <w:szCs w:val="18"/>
              </w:rPr>
            </w:pPr>
            <w:r w:rsidRPr="001D41EA">
              <w:rPr>
                <w:rFonts w:cs="Arial"/>
                <w:sz w:val="18"/>
                <w:szCs w:val="18"/>
              </w:rPr>
              <w:t>1.108</w:t>
            </w:r>
          </w:p>
        </w:tc>
      </w:tr>
      <w:tr w:rsidR="00566EA9" w:rsidRPr="001D41EA" w14:paraId="00518B6E"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4EB7CC4" w14:textId="77777777" w:rsidR="00566EA9" w:rsidRPr="001D41EA" w:rsidRDefault="00566EA9" w:rsidP="001D41EA">
            <w:pPr>
              <w:spacing w:before="40" w:after="20"/>
              <w:rPr>
                <w:rFonts w:cs="Arial"/>
                <w:sz w:val="18"/>
                <w:szCs w:val="18"/>
              </w:rPr>
            </w:pPr>
            <w:r w:rsidRPr="001D41EA">
              <w:rPr>
                <w:rFonts w:cs="Arial"/>
                <w:sz w:val="18"/>
                <w:szCs w:val="18"/>
              </w:rPr>
              <w:t>Surf Coast S</w:t>
            </w:r>
          </w:p>
        </w:tc>
        <w:tc>
          <w:tcPr>
            <w:tcW w:w="1134" w:type="dxa"/>
            <w:tcBorders>
              <w:top w:val="nil"/>
              <w:left w:val="single" w:sz="18" w:space="0" w:color="5F497A" w:themeColor="accent4" w:themeShade="BF"/>
              <w:bottom w:val="nil"/>
              <w:right w:val="nil"/>
            </w:tcBorders>
            <w:shd w:val="clear" w:color="auto" w:fill="auto"/>
            <w:vAlign w:val="bottom"/>
          </w:tcPr>
          <w:p w14:paraId="791E347B" w14:textId="798DE361" w:rsidR="00566EA9" w:rsidRPr="001D41EA" w:rsidRDefault="00566EA9" w:rsidP="001D41EA">
            <w:pPr>
              <w:spacing w:before="40" w:after="20"/>
              <w:jc w:val="center"/>
              <w:rPr>
                <w:rFonts w:cs="Arial"/>
                <w:sz w:val="18"/>
                <w:szCs w:val="18"/>
              </w:rPr>
            </w:pPr>
            <w:r w:rsidRPr="001D41EA">
              <w:rPr>
                <w:rFonts w:cs="Arial"/>
                <w:sz w:val="18"/>
                <w:szCs w:val="18"/>
              </w:rPr>
              <w:t>0.778</w:t>
            </w:r>
          </w:p>
        </w:tc>
        <w:tc>
          <w:tcPr>
            <w:tcW w:w="1134" w:type="dxa"/>
            <w:tcBorders>
              <w:top w:val="nil"/>
              <w:left w:val="nil"/>
              <w:bottom w:val="nil"/>
              <w:right w:val="nil"/>
            </w:tcBorders>
            <w:shd w:val="clear" w:color="auto" w:fill="auto"/>
            <w:vAlign w:val="bottom"/>
          </w:tcPr>
          <w:p w14:paraId="16D04540" w14:textId="5358E6D0" w:rsidR="00566EA9" w:rsidRPr="001D41EA" w:rsidRDefault="00566EA9" w:rsidP="001D41EA">
            <w:pPr>
              <w:spacing w:before="40" w:after="20"/>
              <w:jc w:val="center"/>
              <w:rPr>
                <w:rFonts w:cs="Arial"/>
                <w:sz w:val="18"/>
                <w:szCs w:val="18"/>
              </w:rPr>
            </w:pPr>
            <w:r w:rsidRPr="001D41EA">
              <w:rPr>
                <w:rFonts w:cs="Arial"/>
                <w:sz w:val="18"/>
                <w:szCs w:val="18"/>
              </w:rPr>
              <w:t>0.770</w:t>
            </w:r>
          </w:p>
        </w:tc>
        <w:tc>
          <w:tcPr>
            <w:tcW w:w="170" w:type="dxa"/>
            <w:tcBorders>
              <w:top w:val="nil"/>
              <w:left w:val="nil"/>
              <w:bottom w:val="nil"/>
              <w:right w:val="nil"/>
            </w:tcBorders>
            <w:vAlign w:val="bottom"/>
          </w:tcPr>
          <w:p w14:paraId="4EFD77C0" w14:textId="2AA216A1"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6CE7CFDF" w14:textId="149BAD08" w:rsidR="00566EA9" w:rsidRPr="001D41EA" w:rsidRDefault="00566EA9" w:rsidP="001D41EA">
            <w:pPr>
              <w:spacing w:before="40" w:after="20"/>
              <w:jc w:val="center"/>
              <w:rPr>
                <w:rFonts w:cs="Arial"/>
                <w:sz w:val="18"/>
                <w:szCs w:val="18"/>
              </w:rPr>
            </w:pPr>
            <w:r w:rsidRPr="001D41EA">
              <w:rPr>
                <w:rFonts w:cs="Arial"/>
                <w:sz w:val="18"/>
                <w:szCs w:val="18"/>
              </w:rPr>
              <w:t>1.723</w:t>
            </w:r>
          </w:p>
        </w:tc>
        <w:tc>
          <w:tcPr>
            <w:tcW w:w="1134" w:type="dxa"/>
            <w:tcBorders>
              <w:top w:val="nil"/>
              <w:left w:val="nil"/>
              <w:bottom w:val="nil"/>
              <w:right w:val="nil"/>
            </w:tcBorders>
            <w:vAlign w:val="bottom"/>
          </w:tcPr>
          <w:p w14:paraId="141E9706" w14:textId="3349BBDD" w:rsidR="00566EA9" w:rsidRPr="001D41EA" w:rsidRDefault="00566EA9" w:rsidP="001D41EA">
            <w:pPr>
              <w:spacing w:before="40" w:after="20"/>
              <w:jc w:val="center"/>
              <w:rPr>
                <w:rFonts w:cs="Arial"/>
                <w:sz w:val="18"/>
                <w:szCs w:val="18"/>
              </w:rPr>
            </w:pPr>
            <w:r w:rsidRPr="001D41EA">
              <w:rPr>
                <w:rFonts w:cs="Arial"/>
                <w:sz w:val="18"/>
                <w:szCs w:val="18"/>
              </w:rPr>
              <w:t>1.712</w:t>
            </w:r>
          </w:p>
        </w:tc>
        <w:tc>
          <w:tcPr>
            <w:tcW w:w="1134" w:type="dxa"/>
            <w:tcBorders>
              <w:top w:val="nil"/>
              <w:left w:val="nil"/>
              <w:bottom w:val="nil"/>
              <w:right w:val="nil"/>
            </w:tcBorders>
            <w:vAlign w:val="bottom"/>
          </w:tcPr>
          <w:p w14:paraId="3320A4A7" w14:textId="2EB8CA5A" w:rsidR="00566EA9" w:rsidRPr="001D41EA" w:rsidRDefault="00566EA9" w:rsidP="001D41EA">
            <w:pPr>
              <w:spacing w:before="40" w:after="20"/>
              <w:jc w:val="center"/>
              <w:rPr>
                <w:rFonts w:cs="Arial"/>
                <w:sz w:val="18"/>
                <w:szCs w:val="18"/>
              </w:rPr>
            </w:pPr>
            <w:r w:rsidRPr="001D41EA">
              <w:rPr>
                <w:rFonts w:cs="Arial"/>
                <w:sz w:val="18"/>
                <w:szCs w:val="18"/>
              </w:rPr>
              <w:t>1.716</w:t>
            </w:r>
          </w:p>
        </w:tc>
        <w:tc>
          <w:tcPr>
            <w:tcW w:w="1134" w:type="dxa"/>
            <w:tcBorders>
              <w:top w:val="nil"/>
              <w:left w:val="nil"/>
              <w:bottom w:val="nil"/>
              <w:right w:val="nil"/>
            </w:tcBorders>
            <w:vAlign w:val="bottom"/>
          </w:tcPr>
          <w:p w14:paraId="74948224" w14:textId="0237B9F6" w:rsidR="00566EA9" w:rsidRPr="001D41EA" w:rsidRDefault="00566EA9" w:rsidP="001D41EA">
            <w:pPr>
              <w:spacing w:before="40" w:after="20"/>
              <w:jc w:val="center"/>
              <w:rPr>
                <w:rFonts w:cs="Arial"/>
                <w:sz w:val="18"/>
                <w:szCs w:val="18"/>
              </w:rPr>
            </w:pPr>
            <w:r w:rsidRPr="001D41EA">
              <w:rPr>
                <w:rFonts w:cs="Arial"/>
                <w:sz w:val="18"/>
                <w:szCs w:val="18"/>
              </w:rPr>
              <w:t>1.682</w:t>
            </w:r>
          </w:p>
        </w:tc>
      </w:tr>
      <w:tr w:rsidR="00566EA9" w:rsidRPr="001D41EA" w14:paraId="49180F6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535EA140" w14:textId="77777777" w:rsidR="00566EA9" w:rsidRPr="001D41EA" w:rsidRDefault="00566EA9" w:rsidP="001D41EA">
            <w:pPr>
              <w:spacing w:before="40" w:after="20"/>
              <w:rPr>
                <w:rFonts w:cs="Arial"/>
                <w:sz w:val="18"/>
                <w:szCs w:val="18"/>
              </w:rPr>
            </w:pPr>
            <w:r w:rsidRPr="001D41EA">
              <w:rPr>
                <w:rFonts w:cs="Arial"/>
                <w:sz w:val="18"/>
                <w:szCs w:val="18"/>
              </w:rPr>
              <w:t>Swan Hill RC</w:t>
            </w:r>
          </w:p>
        </w:tc>
        <w:tc>
          <w:tcPr>
            <w:tcW w:w="1134" w:type="dxa"/>
            <w:tcBorders>
              <w:top w:val="nil"/>
              <w:left w:val="single" w:sz="18" w:space="0" w:color="5F497A" w:themeColor="accent4" w:themeShade="BF"/>
              <w:bottom w:val="nil"/>
              <w:right w:val="nil"/>
            </w:tcBorders>
            <w:shd w:val="clear" w:color="auto" w:fill="auto"/>
            <w:vAlign w:val="bottom"/>
          </w:tcPr>
          <w:p w14:paraId="705CE71F" w14:textId="2EE5CEFC" w:rsidR="00566EA9" w:rsidRPr="001D41EA" w:rsidRDefault="00566EA9" w:rsidP="001D41EA">
            <w:pPr>
              <w:spacing w:before="40" w:after="20"/>
              <w:jc w:val="center"/>
              <w:rPr>
                <w:rFonts w:cs="Arial"/>
                <w:sz w:val="18"/>
                <w:szCs w:val="18"/>
              </w:rPr>
            </w:pPr>
            <w:r w:rsidRPr="001D41EA">
              <w:rPr>
                <w:rFonts w:cs="Arial"/>
                <w:sz w:val="18"/>
                <w:szCs w:val="18"/>
              </w:rPr>
              <w:t>1.214</w:t>
            </w:r>
          </w:p>
        </w:tc>
        <w:tc>
          <w:tcPr>
            <w:tcW w:w="1134" w:type="dxa"/>
            <w:tcBorders>
              <w:top w:val="nil"/>
              <w:left w:val="nil"/>
              <w:bottom w:val="nil"/>
              <w:right w:val="nil"/>
            </w:tcBorders>
            <w:shd w:val="clear" w:color="auto" w:fill="auto"/>
            <w:vAlign w:val="bottom"/>
          </w:tcPr>
          <w:p w14:paraId="371B7471" w14:textId="4142715E" w:rsidR="00566EA9" w:rsidRPr="001D41EA" w:rsidRDefault="00566EA9" w:rsidP="001D41EA">
            <w:pPr>
              <w:spacing w:before="40" w:after="20"/>
              <w:jc w:val="center"/>
              <w:rPr>
                <w:rFonts w:cs="Arial"/>
                <w:sz w:val="18"/>
                <w:szCs w:val="18"/>
              </w:rPr>
            </w:pPr>
            <w:r w:rsidRPr="001D41EA">
              <w:rPr>
                <w:rFonts w:cs="Arial"/>
                <w:sz w:val="18"/>
                <w:szCs w:val="18"/>
              </w:rPr>
              <w:t>1.201</w:t>
            </w:r>
          </w:p>
        </w:tc>
        <w:tc>
          <w:tcPr>
            <w:tcW w:w="170" w:type="dxa"/>
            <w:tcBorders>
              <w:top w:val="nil"/>
              <w:left w:val="nil"/>
              <w:bottom w:val="nil"/>
              <w:right w:val="nil"/>
            </w:tcBorders>
            <w:vAlign w:val="bottom"/>
          </w:tcPr>
          <w:p w14:paraId="334EE759" w14:textId="2C3D488B"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750E0211" w14:textId="2D03E922" w:rsidR="00566EA9" w:rsidRPr="001D41EA" w:rsidRDefault="00566EA9" w:rsidP="001D41EA">
            <w:pPr>
              <w:spacing w:before="40" w:after="20"/>
              <w:jc w:val="center"/>
              <w:rPr>
                <w:rFonts w:cs="Arial"/>
                <w:sz w:val="18"/>
                <w:szCs w:val="18"/>
              </w:rPr>
            </w:pPr>
            <w:r w:rsidRPr="001D41EA">
              <w:rPr>
                <w:rFonts w:cs="Arial"/>
                <w:sz w:val="18"/>
                <w:szCs w:val="18"/>
              </w:rPr>
              <w:t>1.201</w:t>
            </w:r>
          </w:p>
        </w:tc>
        <w:tc>
          <w:tcPr>
            <w:tcW w:w="1134" w:type="dxa"/>
            <w:tcBorders>
              <w:top w:val="nil"/>
              <w:left w:val="nil"/>
              <w:bottom w:val="nil"/>
              <w:right w:val="nil"/>
            </w:tcBorders>
            <w:vAlign w:val="bottom"/>
          </w:tcPr>
          <w:p w14:paraId="357243FB" w14:textId="0A1389DB" w:rsidR="00566EA9" w:rsidRPr="001D41EA" w:rsidRDefault="00566EA9" w:rsidP="001D41EA">
            <w:pPr>
              <w:spacing w:before="40" w:after="20"/>
              <w:jc w:val="center"/>
              <w:rPr>
                <w:rFonts w:cs="Arial"/>
                <w:sz w:val="18"/>
                <w:szCs w:val="18"/>
              </w:rPr>
            </w:pPr>
            <w:r w:rsidRPr="001D41EA">
              <w:rPr>
                <w:rFonts w:cs="Arial"/>
                <w:sz w:val="18"/>
                <w:szCs w:val="18"/>
              </w:rPr>
              <w:t>1.193</w:t>
            </w:r>
          </w:p>
        </w:tc>
        <w:tc>
          <w:tcPr>
            <w:tcW w:w="1134" w:type="dxa"/>
            <w:tcBorders>
              <w:top w:val="nil"/>
              <w:left w:val="nil"/>
              <w:bottom w:val="nil"/>
              <w:right w:val="nil"/>
            </w:tcBorders>
            <w:vAlign w:val="bottom"/>
          </w:tcPr>
          <w:p w14:paraId="2FEE9B60" w14:textId="2A9C5B7F" w:rsidR="00566EA9" w:rsidRPr="001D41EA" w:rsidRDefault="00566EA9" w:rsidP="001D41EA">
            <w:pPr>
              <w:spacing w:before="40" w:after="20"/>
              <w:jc w:val="center"/>
              <w:rPr>
                <w:rFonts w:cs="Arial"/>
                <w:sz w:val="18"/>
                <w:szCs w:val="18"/>
              </w:rPr>
            </w:pPr>
            <w:r w:rsidRPr="001D41EA">
              <w:rPr>
                <w:rFonts w:cs="Arial"/>
                <w:sz w:val="18"/>
                <w:szCs w:val="18"/>
              </w:rPr>
              <w:t>1.196</w:t>
            </w:r>
          </w:p>
        </w:tc>
        <w:tc>
          <w:tcPr>
            <w:tcW w:w="1134" w:type="dxa"/>
            <w:tcBorders>
              <w:top w:val="nil"/>
              <w:left w:val="nil"/>
              <w:bottom w:val="nil"/>
              <w:right w:val="nil"/>
            </w:tcBorders>
            <w:vAlign w:val="bottom"/>
          </w:tcPr>
          <w:p w14:paraId="7BA6CD1F" w14:textId="4B6ECECF" w:rsidR="00566EA9" w:rsidRPr="001D41EA" w:rsidRDefault="00566EA9" w:rsidP="001D41EA">
            <w:pPr>
              <w:spacing w:before="40" w:after="20"/>
              <w:jc w:val="center"/>
              <w:rPr>
                <w:rFonts w:cs="Arial"/>
                <w:sz w:val="18"/>
                <w:szCs w:val="18"/>
              </w:rPr>
            </w:pPr>
            <w:r w:rsidRPr="001D41EA">
              <w:rPr>
                <w:rFonts w:cs="Arial"/>
                <w:sz w:val="18"/>
                <w:szCs w:val="18"/>
              </w:rPr>
              <w:t>1.172</w:t>
            </w:r>
          </w:p>
        </w:tc>
      </w:tr>
      <w:tr w:rsidR="00566EA9" w:rsidRPr="001D41EA" w14:paraId="6FB8E915"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3B13C70C" w14:textId="77777777" w:rsidR="00566EA9" w:rsidRPr="001D41EA" w:rsidRDefault="00566EA9" w:rsidP="001D41EA">
            <w:pPr>
              <w:spacing w:before="40" w:after="20"/>
              <w:rPr>
                <w:rFonts w:cs="Arial"/>
                <w:sz w:val="18"/>
                <w:szCs w:val="18"/>
              </w:rPr>
            </w:pPr>
            <w:r w:rsidRPr="001D41EA">
              <w:rPr>
                <w:rFonts w:cs="Arial"/>
                <w:sz w:val="18"/>
                <w:szCs w:val="18"/>
              </w:rPr>
              <w:t>Towong S</w:t>
            </w:r>
          </w:p>
        </w:tc>
        <w:tc>
          <w:tcPr>
            <w:tcW w:w="1134" w:type="dxa"/>
            <w:tcBorders>
              <w:top w:val="nil"/>
              <w:left w:val="single" w:sz="18" w:space="0" w:color="5F497A" w:themeColor="accent4" w:themeShade="BF"/>
              <w:bottom w:val="nil"/>
              <w:right w:val="nil"/>
            </w:tcBorders>
            <w:shd w:val="clear" w:color="auto" w:fill="auto"/>
            <w:vAlign w:val="bottom"/>
          </w:tcPr>
          <w:p w14:paraId="00C7EF08" w14:textId="7500B376" w:rsidR="00566EA9" w:rsidRPr="001D41EA" w:rsidRDefault="00566EA9" w:rsidP="001D41EA">
            <w:pPr>
              <w:spacing w:before="40" w:after="20"/>
              <w:jc w:val="center"/>
              <w:rPr>
                <w:rFonts w:cs="Arial"/>
                <w:sz w:val="18"/>
                <w:szCs w:val="18"/>
              </w:rPr>
            </w:pPr>
            <w:r w:rsidRPr="001D41EA">
              <w:rPr>
                <w:rFonts w:cs="Arial"/>
                <w:sz w:val="18"/>
                <w:szCs w:val="18"/>
              </w:rPr>
              <w:t>1.063</w:t>
            </w:r>
          </w:p>
        </w:tc>
        <w:tc>
          <w:tcPr>
            <w:tcW w:w="1134" w:type="dxa"/>
            <w:tcBorders>
              <w:top w:val="nil"/>
              <w:left w:val="nil"/>
              <w:bottom w:val="nil"/>
              <w:right w:val="nil"/>
            </w:tcBorders>
            <w:shd w:val="clear" w:color="auto" w:fill="auto"/>
            <w:vAlign w:val="bottom"/>
          </w:tcPr>
          <w:p w14:paraId="1129A6F4" w14:textId="36F1B505" w:rsidR="00566EA9" w:rsidRPr="001D41EA" w:rsidRDefault="00566EA9" w:rsidP="001D41EA">
            <w:pPr>
              <w:spacing w:before="40" w:after="20"/>
              <w:jc w:val="center"/>
              <w:rPr>
                <w:rFonts w:cs="Arial"/>
                <w:sz w:val="18"/>
                <w:szCs w:val="18"/>
              </w:rPr>
            </w:pPr>
            <w:r w:rsidRPr="001D41EA">
              <w:rPr>
                <w:rFonts w:cs="Arial"/>
                <w:sz w:val="18"/>
                <w:szCs w:val="18"/>
              </w:rPr>
              <w:t>1.052</w:t>
            </w:r>
          </w:p>
        </w:tc>
        <w:tc>
          <w:tcPr>
            <w:tcW w:w="170" w:type="dxa"/>
            <w:tcBorders>
              <w:top w:val="nil"/>
              <w:left w:val="nil"/>
              <w:bottom w:val="nil"/>
              <w:right w:val="nil"/>
            </w:tcBorders>
            <w:vAlign w:val="bottom"/>
          </w:tcPr>
          <w:p w14:paraId="05F69618" w14:textId="708CA21B"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5FE8BF37" w14:textId="71BA6418" w:rsidR="00566EA9" w:rsidRPr="001D41EA" w:rsidRDefault="00566EA9" w:rsidP="001D41EA">
            <w:pPr>
              <w:spacing w:before="40" w:after="20"/>
              <w:jc w:val="center"/>
              <w:rPr>
                <w:rFonts w:cs="Arial"/>
                <w:sz w:val="18"/>
                <w:szCs w:val="18"/>
              </w:rPr>
            </w:pPr>
            <w:r w:rsidRPr="001D41EA">
              <w:rPr>
                <w:rFonts w:cs="Arial"/>
                <w:sz w:val="18"/>
                <w:szCs w:val="18"/>
              </w:rPr>
              <w:t>1.195</w:t>
            </w:r>
          </w:p>
        </w:tc>
        <w:tc>
          <w:tcPr>
            <w:tcW w:w="1134" w:type="dxa"/>
            <w:tcBorders>
              <w:top w:val="nil"/>
              <w:left w:val="nil"/>
              <w:bottom w:val="nil"/>
              <w:right w:val="nil"/>
            </w:tcBorders>
            <w:vAlign w:val="bottom"/>
          </w:tcPr>
          <w:p w14:paraId="7EFC94C7" w14:textId="169EE069" w:rsidR="00566EA9" w:rsidRPr="001D41EA" w:rsidRDefault="00566EA9" w:rsidP="001D41EA">
            <w:pPr>
              <w:spacing w:before="40" w:after="20"/>
              <w:jc w:val="center"/>
              <w:rPr>
                <w:rFonts w:cs="Arial"/>
                <w:sz w:val="18"/>
                <w:szCs w:val="18"/>
              </w:rPr>
            </w:pPr>
            <w:r w:rsidRPr="001D41EA">
              <w:rPr>
                <w:rFonts w:cs="Arial"/>
                <w:sz w:val="18"/>
                <w:szCs w:val="18"/>
              </w:rPr>
              <w:t>1.187</w:t>
            </w:r>
          </w:p>
        </w:tc>
        <w:tc>
          <w:tcPr>
            <w:tcW w:w="1134" w:type="dxa"/>
            <w:tcBorders>
              <w:top w:val="nil"/>
              <w:left w:val="nil"/>
              <w:bottom w:val="nil"/>
              <w:right w:val="nil"/>
            </w:tcBorders>
            <w:vAlign w:val="bottom"/>
          </w:tcPr>
          <w:p w14:paraId="6CF2B1B6" w14:textId="6813E100" w:rsidR="00566EA9" w:rsidRPr="001D41EA" w:rsidRDefault="00566EA9" w:rsidP="001D41EA">
            <w:pPr>
              <w:spacing w:before="40" w:after="20"/>
              <w:jc w:val="center"/>
              <w:rPr>
                <w:rFonts w:cs="Arial"/>
                <w:sz w:val="18"/>
                <w:szCs w:val="18"/>
              </w:rPr>
            </w:pPr>
            <w:r w:rsidRPr="001D41EA">
              <w:rPr>
                <w:rFonts w:cs="Arial"/>
                <w:sz w:val="18"/>
                <w:szCs w:val="18"/>
              </w:rPr>
              <w:t>1.190</w:t>
            </w:r>
          </w:p>
        </w:tc>
        <w:tc>
          <w:tcPr>
            <w:tcW w:w="1134" w:type="dxa"/>
            <w:tcBorders>
              <w:top w:val="nil"/>
              <w:left w:val="nil"/>
              <w:bottom w:val="nil"/>
              <w:right w:val="nil"/>
            </w:tcBorders>
            <w:vAlign w:val="bottom"/>
          </w:tcPr>
          <w:p w14:paraId="3AE49F1D" w14:textId="5DABBA6E" w:rsidR="00566EA9" w:rsidRPr="001D41EA" w:rsidRDefault="00566EA9" w:rsidP="001D41EA">
            <w:pPr>
              <w:spacing w:before="40" w:after="20"/>
              <w:jc w:val="center"/>
              <w:rPr>
                <w:rFonts w:cs="Arial"/>
                <w:sz w:val="18"/>
                <w:szCs w:val="18"/>
              </w:rPr>
            </w:pPr>
            <w:r w:rsidRPr="001D41EA">
              <w:rPr>
                <w:rFonts w:cs="Arial"/>
                <w:sz w:val="18"/>
                <w:szCs w:val="18"/>
              </w:rPr>
              <w:t>1.166</w:t>
            </w:r>
          </w:p>
        </w:tc>
      </w:tr>
      <w:tr w:rsidR="00566EA9" w:rsidRPr="001D41EA" w14:paraId="096F3F2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23D2CAC2" w14:textId="77777777" w:rsidR="00566EA9" w:rsidRPr="001D41EA" w:rsidRDefault="00566EA9" w:rsidP="001D41EA">
            <w:pPr>
              <w:spacing w:before="40" w:after="20"/>
              <w:rPr>
                <w:rFonts w:cs="Arial"/>
                <w:sz w:val="18"/>
                <w:szCs w:val="18"/>
              </w:rPr>
            </w:pPr>
            <w:r w:rsidRPr="001D41EA">
              <w:rPr>
                <w:rFonts w:cs="Arial"/>
                <w:sz w:val="18"/>
                <w:szCs w:val="18"/>
              </w:rPr>
              <w:t>Wangaratta RC</w:t>
            </w:r>
          </w:p>
        </w:tc>
        <w:tc>
          <w:tcPr>
            <w:tcW w:w="1134" w:type="dxa"/>
            <w:tcBorders>
              <w:top w:val="nil"/>
              <w:left w:val="single" w:sz="18" w:space="0" w:color="5F497A" w:themeColor="accent4" w:themeShade="BF"/>
              <w:bottom w:val="nil"/>
              <w:right w:val="nil"/>
            </w:tcBorders>
            <w:shd w:val="clear" w:color="auto" w:fill="auto"/>
            <w:vAlign w:val="bottom"/>
          </w:tcPr>
          <w:p w14:paraId="68B93F54" w14:textId="201BEA5A" w:rsidR="00566EA9" w:rsidRPr="001D41EA" w:rsidRDefault="00566EA9" w:rsidP="001D41EA">
            <w:pPr>
              <w:spacing w:before="40" w:after="20"/>
              <w:jc w:val="center"/>
              <w:rPr>
                <w:rFonts w:cs="Arial"/>
                <w:sz w:val="18"/>
                <w:szCs w:val="18"/>
              </w:rPr>
            </w:pPr>
            <w:r w:rsidRPr="001D41EA">
              <w:rPr>
                <w:rFonts w:cs="Arial"/>
                <w:sz w:val="18"/>
                <w:szCs w:val="18"/>
              </w:rPr>
              <w:t>1.093</w:t>
            </w:r>
          </w:p>
        </w:tc>
        <w:tc>
          <w:tcPr>
            <w:tcW w:w="1134" w:type="dxa"/>
            <w:tcBorders>
              <w:top w:val="nil"/>
              <w:left w:val="nil"/>
              <w:bottom w:val="nil"/>
              <w:right w:val="nil"/>
            </w:tcBorders>
            <w:shd w:val="clear" w:color="auto" w:fill="auto"/>
            <w:vAlign w:val="bottom"/>
          </w:tcPr>
          <w:p w14:paraId="25BF64F7" w14:textId="69FA30BF" w:rsidR="00566EA9" w:rsidRPr="001D41EA" w:rsidRDefault="00566EA9" w:rsidP="001D41EA">
            <w:pPr>
              <w:spacing w:before="40" w:after="20"/>
              <w:jc w:val="center"/>
              <w:rPr>
                <w:rFonts w:cs="Arial"/>
                <w:sz w:val="18"/>
                <w:szCs w:val="18"/>
              </w:rPr>
            </w:pPr>
            <w:r w:rsidRPr="001D41EA">
              <w:rPr>
                <w:rFonts w:cs="Arial"/>
                <w:sz w:val="18"/>
                <w:szCs w:val="18"/>
              </w:rPr>
              <w:t>1.082</w:t>
            </w:r>
          </w:p>
        </w:tc>
        <w:tc>
          <w:tcPr>
            <w:tcW w:w="170" w:type="dxa"/>
            <w:tcBorders>
              <w:top w:val="nil"/>
              <w:left w:val="nil"/>
              <w:bottom w:val="nil"/>
              <w:right w:val="nil"/>
            </w:tcBorders>
            <w:vAlign w:val="bottom"/>
          </w:tcPr>
          <w:p w14:paraId="3A911D57" w14:textId="2C303DC5"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6C1F62A0" w14:textId="3E2CF61D" w:rsidR="00566EA9" w:rsidRPr="001D41EA" w:rsidRDefault="00566EA9" w:rsidP="001D41EA">
            <w:pPr>
              <w:spacing w:before="40" w:after="20"/>
              <w:jc w:val="center"/>
              <w:rPr>
                <w:rFonts w:cs="Arial"/>
                <w:sz w:val="18"/>
                <w:szCs w:val="18"/>
              </w:rPr>
            </w:pPr>
            <w:r w:rsidRPr="001D41EA">
              <w:rPr>
                <w:rFonts w:cs="Arial"/>
                <w:sz w:val="18"/>
                <w:szCs w:val="18"/>
              </w:rPr>
              <w:t>1.140</w:t>
            </w:r>
          </w:p>
        </w:tc>
        <w:tc>
          <w:tcPr>
            <w:tcW w:w="1134" w:type="dxa"/>
            <w:tcBorders>
              <w:top w:val="nil"/>
              <w:left w:val="nil"/>
              <w:bottom w:val="nil"/>
              <w:right w:val="nil"/>
            </w:tcBorders>
            <w:vAlign w:val="bottom"/>
          </w:tcPr>
          <w:p w14:paraId="0B179408" w14:textId="5DEA917F" w:rsidR="00566EA9" w:rsidRPr="001D41EA" w:rsidRDefault="00566EA9" w:rsidP="001D41EA">
            <w:pPr>
              <w:spacing w:before="40" w:after="20"/>
              <w:jc w:val="center"/>
              <w:rPr>
                <w:rFonts w:cs="Arial"/>
                <w:sz w:val="18"/>
                <w:szCs w:val="18"/>
              </w:rPr>
            </w:pPr>
            <w:r w:rsidRPr="001D41EA">
              <w:rPr>
                <w:rFonts w:cs="Arial"/>
                <w:sz w:val="18"/>
                <w:szCs w:val="18"/>
              </w:rPr>
              <w:t>1.132</w:t>
            </w:r>
          </w:p>
        </w:tc>
        <w:tc>
          <w:tcPr>
            <w:tcW w:w="1134" w:type="dxa"/>
            <w:tcBorders>
              <w:top w:val="nil"/>
              <w:left w:val="nil"/>
              <w:bottom w:val="nil"/>
              <w:right w:val="nil"/>
            </w:tcBorders>
            <w:vAlign w:val="bottom"/>
          </w:tcPr>
          <w:p w14:paraId="39BFFDE1" w14:textId="0ADCA29C" w:rsidR="00566EA9" w:rsidRPr="001D41EA" w:rsidRDefault="00566EA9" w:rsidP="001D41EA">
            <w:pPr>
              <w:spacing w:before="40" w:after="20"/>
              <w:jc w:val="center"/>
              <w:rPr>
                <w:rFonts w:cs="Arial"/>
                <w:sz w:val="18"/>
                <w:szCs w:val="18"/>
              </w:rPr>
            </w:pPr>
            <w:r w:rsidRPr="001D41EA">
              <w:rPr>
                <w:rFonts w:cs="Arial"/>
                <w:sz w:val="18"/>
                <w:szCs w:val="18"/>
              </w:rPr>
              <w:t>1.135</w:t>
            </w:r>
          </w:p>
        </w:tc>
        <w:tc>
          <w:tcPr>
            <w:tcW w:w="1134" w:type="dxa"/>
            <w:tcBorders>
              <w:top w:val="nil"/>
              <w:left w:val="nil"/>
              <w:bottom w:val="nil"/>
              <w:right w:val="nil"/>
            </w:tcBorders>
            <w:vAlign w:val="bottom"/>
          </w:tcPr>
          <w:p w14:paraId="2296ACC8" w14:textId="4D56FC9C" w:rsidR="00566EA9" w:rsidRPr="001D41EA" w:rsidRDefault="00566EA9" w:rsidP="001D41EA">
            <w:pPr>
              <w:spacing w:before="40" w:after="20"/>
              <w:jc w:val="center"/>
              <w:rPr>
                <w:rFonts w:cs="Arial"/>
                <w:sz w:val="18"/>
                <w:szCs w:val="18"/>
              </w:rPr>
            </w:pPr>
            <w:r w:rsidRPr="001D41EA">
              <w:rPr>
                <w:rFonts w:cs="Arial"/>
                <w:sz w:val="18"/>
                <w:szCs w:val="18"/>
              </w:rPr>
              <w:t>1.113</w:t>
            </w:r>
          </w:p>
        </w:tc>
      </w:tr>
      <w:tr w:rsidR="00566EA9" w:rsidRPr="001D41EA" w14:paraId="76A7A5F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0BD5EA53" w14:textId="77777777" w:rsidR="00566EA9" w:rsidRPr="001D41EA" w:rsidRDefault="00566EA9" w:rsidP="001D41EA">
            <w:pPr>
              <w:spacing w:before="40" w:after="20"/>
              <w:rPr>
                <w:rFonts w:cs="Arial"/>
                <w:sz w:val="18"/>
                <w:szCs w:val="18"/>
              </w:rPr>
            </w:pPr>
            <w:r w:rsidRPr="001D41EA">
              <w:rPr>
                <w:rFonts w:cs="Arial"/>
                <w:sz w:val="18"/>
                <w:szCs w:val="18"/>
              </w:rPr>
              <w:t>Warrnambool C</w:t>
            </w:r>
          </w:p>
        </w:tc>
        <w:tc>
          <w:tcPr>
            <w:tcW w:w="1134" w:type="dxa"/>
            <w:tcBorders>
              <w:top w:val="nil"/>
              <w:left w:val="single" w:sz="18" w:space="0" w:color="5F497A" w:themeColor="accent4" w:themeShade="BF"/>
              <w:bottom w:val="nil"/>
              <w:right w:val="nil"/>
            </w:tcBorders>
            <w:shd w:val="clear" w:color="auto" w:fill="auto"/>
            <w:vAlign w:val="bottom"/>
          </w:tcPr>
          <w:p w14:paraId="288B2601" w14:textId="1D25C085" w:rsidR="00566EA9" w:rsidRPr="001D41EA" w:rsidRDefault="00566EA9" w:rsidP="001D41EA">
            <w:pPr>
              <w:spacing w:before="40" w:after="20"/>
              <w:jc w:val="center"/>
              <w:rPr>
                <w:rFonts w:cs="Arial"/>
                <w:sz w:val="18"/>
                <w:szCs w:val="18"/>
              </w:rPr>
            </w:pPr>
            <w:r w:rsidRPr="001D41EA">
              <w:rPr>
                <w:rFonts w:cs="Arial"/>
                <w:sz w:val="18"/>
                <w:szCs w:val="18"/>
              </w:rPr>
              <w:t>1.083</w:t>
            </w:r>
          </w:p>
        </w:tc>
        <w:tc>
          <w:tcPr>
            <w:tcW w:w="1134" w:type="dxa"/>
            <w:tcBorders>
              <w:top w:val="nil"/>
              <w:left w:val="nil"/>
              <w:bottom w:val="nil"/>
              <w:right w:val="nil"/>
            </w:tcBorders>
            <w:shd w:val="clear" w:color="auto" w:fill="auto"/>
            <w:vAlign w:val="bottom"/>
          </w:tcPr>
          <w:p w14:paraId="7D3DC283" w14:textId="4C576B9B" w:rsidR="00566EA9" w:rsidRPr="001D41EA" w:rsidRDefault="00566EA9" w:rsidP="001D41EA">
            <w:pPr>
              <w:spacing w:before="40" w:after="20"/>
              <w:jc w:val="center"/>
              <w:rPr>
                <w:rFonts w:cs="Arial"/>
                <w:sz w:val="18"/>
                <w:szCs w:val="18"/>
              </w:rPr>
            </w:pPr>
            <w:r w:rsidRPr="001D41EA">
              <w:rPr>
                <w:rFonts w:cs="Arial"/>
                <w:sz w:val="18"/>
                <w:szCs w:val="18"/>
              </w:rPr>
              <w:t>1.072</w:t>
            </w:r>
          </w:p>
        </w:tc>
        <w:tc>
          <w:tcPr>
            <w:tcW w:w="170" w:type="dxa"/>
            <w:tcBorders>
              <w:top w:val="nil"/>
              <w:left w:val="nil"/>
              <w:bottom w:val="nil"/>
              <w:right w:val="nil"/>
            </w:tcBorders>
            <w:vAlign w:val="bottom"/>
          </w:tcPr>
          <w:p w14:paraId="455C06BD" w14:textId="47BA6C67"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767B50E8" w14:textId="50C8097A" w:rsidR="00566EA9" w:rsidRPr="001D41EA" w:rsidRDefault="00566EA9" w:rsidP="001D41EA">
            <w:pPr>
              <w:spacing w:before="40" w:after="20"/>
              <w:jc w:val="center"/>
              <w:rPr>
                <w:rFonts w:cs="Arial"/>
                <w:sz w:val="18"/>
                <w:szCs w:val="18"/>
              </w:rPr>
            </w:pPr>
            <w:r w:rsidRPr="001D41EA">
              <w:rPr>
                <w:rFonts w:cs="Arial"/>
                <w:sz w:val="18"/>
                <w:szCs w:val="18"/>
              </w:rPr>
              <w:t>1.232</w:t>
            </w:r>
          </w:p>
        </w:tc>
        <w:tc>
          <w:tcPr>
            <w:tcW w:w="1134" w:type="dxa"/>
            <w:tcBorders>
              <w:top w:val="nil"/>
              <w:left w:val="nil"/>
              <w:bottom w:val="nil"/>
              <w:right w:val="nil"/>
            </w:tcBorders>
            <w:vAlign w:val="bottom"/>
          </w:tcPr>
          <w:p w14:paraId="73DBC2B9" w14:textId="252063F0" w:rsidR="00566EA9" w:rsidRPr="001D41EA" w:rsidRDefault="00566EA9" w:rsidP="001D41EA">
            <w:pPr>
              <w:spacing w:before="40" w:after="20"/>
              <w:jc w:val="center"/>
              <w:rPr>
                <w:rFonts w:cs="Arial"/>
                <w:sz w:val="18"/>
                <w:szCs w:val="18"/>
              </w:rPr>
            </w:pPr>
            <w:r w:rsidRPr="001D41EA">
              <w:rPr>
                <w:rFonts w:cs="Arial"/>
                <w:sz w:val="18"/>
                <w:szCs w:val="18"/>
              </w:rPr>
              <w:t>1.224</w:t>
            </w:r>
          </w:p>
        </w:tc>
        <w:tc>
          <w:tcPr>
            <w:tcW w:w="1134" w:type="dxa"/>
            <w:tcBorders>
              <w:top w:val="nil"/>
              <w:left w:val="nil"/>
              <w:bottom w:val="nil"/>
              <w:right w:val="nil"/>
            </w:tcBorders>
            <w:vAlign w:val="bottom"/>
          </w:tcPr>
          <w:p w14:paraId="3ED7DD64" w14:textId="66A6C720" w:rsidR="00566EA9" w:rsidRPr="001D41EA" w:rsidRDefault="00566EA9" w:rsidP="001D41EA">
            <w:pPr>
              <w:spacing w:before="40" w:after="20"/>
              <w:jc w:val="center"/>
              <w:rPr>
                <w:rFonts w:cs="Arial"/>
                <w:sz w:val="18"/>
                <w:szCs w:val="18"/>
              </w:rPr>
            </w:pPr>
            <w:r w:rsidRPr="001D41EA">
              <w:rPr>
                <w:rFonts w:cs="Arial"/>
                <w:sz w:val="18"/>
                <w:szCs w:val="18"/>
              </w:rPr>
              <w:t>1.227</w:t>
            </w:r>
          </w:p>
        </w:tc>
        <w:tc>
          <w:tcPr>
            <w:tcW w:w="1134" w:type="dxa"/>
            <w:tcBorders>
              <w:top w:val="nil"/>
              <w:left w:val="nil"/>
              <w:bottom w:val="nil"/>
              <w:right w:val="nil"/>
            </w:tcBorders>
            <w:vAlign w:val="bottom"/>
          </w:tcPr>
          <w:p w14:paraId="50CA2985" w14:textId="273207C5" w:rsidR="00566EA9" w:rsidRPr="001D41EA" w:rsidRDefault="00566EA9" w:rsidP="001D41EA">
            <w:pPr>
              <w:spacing w:before="40" w:after="20"/>
              <w:jc w:val="center"/>
              <w:rPr>
                <w:rFonts w:cs="Arial"/>
                <w:sz w:val="18"/>
                <w:szCs w:val="18"/>
              </w:rPr>
            </w:pPr>
            <w:r w:rsidRPr="001D41EA">
              <w:rPr>
                <w:rFonts w:cs="Arial"/>
                <w:sz w:val="18"/>
                <w:szCs w:val="18"/>
              </w:rPr>
              <w:t>1.202</w:t>
            </w:r>
          </w:p>
        </w:tc>
      </w:tr>
      <w:tr w:rsidR="00566EA9" w:rsidRPr="001D41EA" w14:paraId="2444BABC"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896B59F" w14:textId="77777777" w:rsidR="00566EA9" w:rsidRPr="001D41EA" w:rsidRDefault="00566EA9" w:rsidP="001D41EA">
            <w:pPr>
              <w:spacing w:before="40" w:after="20"/>
              <w:rPr>
                <w:rFonts w:cs="Arial"/>
                <w:sz w:val="18"/>
                <w:szCs w:val="18"/>
              </w:rPr>
            </w:pPr>
            <w:r w:rsidRPr="001D41EA">
              <w:rPr>
                <w:rFonts w:cs="Arial"/>
                <w:sz w:val="18"/>
                <w:szCs w:val="18"/>
              </w:rPr>
              <w:t>Wellington S</w:t>
            </w:r>
          </w:p>
        </w:tc>
        <w:tc>
          <w:tcPr>
            <w:tcW w:w="1134" w:type="dxa"/>
            <w:tcBorders>
              <w:top w:val="nil"/>
              <w:left w:val="single" w:sz="18" w:space="0" w:color="5F497A" w:themeColor="accent4" w:themeShade="BF"/>
              <w:bottom w:val="nil"/>
              <w:right w:val="nil"/>
            </w:tcBorders>
            <w:shd w:val="clear" w:color="auto" w:fill="auto"/>
            <w:vAlign w:val="bottom"/>
          </w:tcPr>
          <w:p w14:paraId="68C253ED" w14:textId="4560CEAF" w:rsidR="00566EA9" w:rsidRPr="001D41EA" w:rsidRDefault="00566EA9" w:rsidP="001D41EA">
            <w:pPr>
              <w:spacing w:before="40" w:after="20"/>
              <w:jc w:val="center"/>
              <w:rPr>
                <w:rFonts w:cs="Arial"/>
                <w:sz w:val="18"/>
                <w:szCs w:val="18"/>
              </w:rPr>
            </w:pPr>
            <w:r w:rsidRPr="001D41EA">
              <w:rPr>
                <w:rFonts w:cs="Arial"/>
                <w:sz w:val="18"/>
                <w:szCs w:val="18"/>
              </w:rPr>
              <w:t>1.123</w:t>
            </w:r>
          </w:p>
        </w:tc>
        <w:tc>
          <w:tcPr>
            <w:tcW w:w="1134" w:type="dxa"/>
            <w:tcBorders>
              <w:top w:val="nil"/>
              <w:left w:val="nil"/>
              <w:bottom w:val="nil"/>
              <w:right w:val="nil"/>
            </w:tcBorders>
            <w:shd w:val="clear" w:color="auto" w:fill="auto"/>
            <w:vAlign w:val="bottom"/>
          </w:tcPr>
          <w:p w14:paraId="021A89A9" w14:textId="2DE5D94E" w:rsidR="00566EA9" w:rsidRPr="001D41EA" w:rsidRDefault="00566EA9" w:rsidP="001D41EA">
            <w:pPr>
              <w:spacing w:before="40" w:after="20"/>
              <w:jc w:val="center"/>
              <w:rPr>
                <w:rFonts w:cs="Arial"/>
                <w:sz w:val="18"/>
                <w:szCs w:val="18"/>
              </w:rPr>
            </w:pPr>
            <w:r w:rsidRPr="001D41EA">
              <w:rPr>
                <w:rFonts w:cs="Arial"/>
                <w:sz w:val="18"/>
                <w:szCs w:val="18"/>
              </w:rPr>
              <w:t>1.111</w:t>
            </w:r>
          </w:p>
        </w:tc>
        <w:tc>
          <w:tcPr>
            <w:tcW w:w="170" w:type="dxa"/>
            <w:tcBorders>
              <w:top w:val="nil"/>
              <w:left w:val="nil"/>
              <w:bottom w:val="nil"/>
              <w:right w:val="nil"/>
            </w:tcBorders>
            <w:vAlign w:val="bottom"/>
          </w:tcPr>
          <w:p w14:paraId="4F1FD4B6" w14:textId="1E3EFA27"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13302C6E" w14:textId="65CE54FC" w:rsidR="00566EA9" w:rsidRPr="001D41EA" w:rsidRDefault="00566EA9" w:rsidP="001D41EA">
            <w:pPr>
              <w:spacing w:before="40" w:after="20"/>
              <w:jc w:val="center"/>
              <w:rPr>
                <w:rFonts w:cs="Arial"/>
                <w:sz w:val="18"/>
                <w:szCs w:val="18"/>
              </w:rPr>
            </w:pPr>
            <w:r w:rsidRPr="001D41EA">
              <w:rPr>
                <w:rFonts w:cs="Arial"/>
                <w:sz w:val="18"/>
                <w:szCs w:val="18"/>
              </w:rPr>
              <w:t>1.121</w:t>
            </w:r>
          </w:p>
        </w:tc>
        <w:tc>
          <w:tcPr>
            <w:tcW w:w="1134" w:type="dxa"/>
            <w:tcBorders>
              <w:top w:val="nil"/>
              <w:left w:val="nil"/>
              <w:bottom w:val="nil"/>
              <w:right w:val="nil"/>
            </w:tcBorders>
            <w:vAlign w:val="bottom"/>
          </w:tcPr>
          <w:p w14:paraId="3A252811" w14:textId="379F249C" w:rsidR="00566EA9" w:rsidRPr="001D41EA" w:rsidRDefault="00566EA9" w:rsidP="001D41EA">
            <w:pPr>
              <w:spacing w:before="40" w:after="20"/>
              <w:jc w:val="center"/>
              <w:rPr>
                <w:rFonts w:cs="Arial"/>
                <w:sz w:val="18"/>
                <w:szCs w:val="18"/>
              </w:rPr>
            </w:pPr>
            <w:r w:rsidRPr="001D41EA">
              <w:rPr>
                <w:rFonts w:cs="Arial"/>
                <w:sz w:val="18"/>
                <w:szCs w:val="18"/>
              </w:rPr>
              <w:t>1.114</w:t>
            </w:r>
          </w:p>
        </w:tc>
        <w:tc>
          <w:tcPr>
            <w:tcW w:w="1134" w:type="dxa"/>
            <w:tcBorders>
              <w:top w:val="nil"/>
              <w:left w:val="nil"/>
              <w:bottom w:val="nil"/>
              <w:right w:val="nil"/>
            </w:tcBorders>
            <w:vAlign w:val="bottom"/>
          </w:tcPr>
          <w:p w14:paraId="308ACFEC" w14:textId="6F4C3F13" w:rsidR="00566EA9" w:rsidRPr="001D41EA" w:rsidRDefault="00566EA9" w:rsidP="001D41EA">
            <w:pPr>
              <w:spacing w:before="40" w:after="20"/>
              <w:jc w:val="center"/>
              <w:rPr>
                <w:rFonts w:cs="Arial"/>
                <w:sz w:val="18"/>
                <w:szCs w:val="18"/>
              </w:rPr>
            </w:pPr>
            <w:r w:rsidRPr="001D41EA">
              <w:rPr>
                <w:rFonts w:cs="Arial"/>
                <w:sz w:val="18"/>
                <w:szCs w:val="18"/>
              </w:rPr>
              <w:t>1.116</w:t>
            </w:r>
          </w:p>
        </w:tc>
        <w:tc>
          <w:tcPr>
            <w:tcW w:w="1134" w:type="dxa"/>
            <w:tcBorders>
              <w:top w:val="nil"/>
              <w:left w:val="nil"/>
              <w:bottom w:val="nil"/>
              <w:right w:val="nil"/>
            </w:tcBorders>
            <w:vAlign w:val="bottom"/>
          </w:tcPr>
          <w:p w14:paraId="3E7EDF2E" w14:textId="5B1CA3E7" w:rsidR="00566EA9" w:rsidRPr="001D41EA" w:rsidRDefault="00566EA9" w:rsidP="001D41EA">
            <w:pPr>
              <w:spacing w:before="40" w:after="20"/>
              <w:jc w:val="center"/>
              <w:rPr>
                <w:rFonts w:cs="Arial"/>
                <w:sz w:val="18"/>
                <w:szCs w:val="18"/>
              </w:rPr>
            </w:pPr>
            <w:r w:rsidRPr="001D41EA">
              <w:rPr>
                <w:rFonts w:cs="Arial"/>
                <w:sz w:val="18"/>
                <w:szCs w:val="18"/>
              </w:rPr>
              <w:t>1.094</w:t>
            </w:r>
          </w:p>
        </w:tc>
      </w:tr>
      <w:tr w:rsidR="00566EA9" w:rsidRPr="001D41EA" w14:paraId="05634C5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BBC7BA9" w14:textId="77777777" w:rsidR="00566EA9" w:rsidRPr="001D41EA" w:rsidRDefault="00566EA9" w:rsidP="001D41EA">
            <w:pPr>
              <w:spacing w:before="40" w:after="20"/>
              <w:rPr>
                <w:rFonts w:cs="Arial"/>
                <w:sz w:val="18"/>
                <w:szCs w:val="18"/>
              </w:rPr>
            </w:pPr>
            <w:r w:rsidRPr="001D41EA">
              <w:rPr>
                <w:rFonts w:cs="Arial"/>
                <w:sz w:val="18"/>
                <w:szCs w:val="18"/>
              </w:rPr>
              <w:t>West Wimmera S</w:t>
            </w:r>
          </w:p>
        </w:tc>
        <w:tc>
          <w:tcPr>
            <w:tcW w:w="1134" w:type="dxa"/>
            <w:tcBorders>
              <w:top w:val="nil"/>
              <w:left w:val="single" w:sz="18" w:space="0" w:color="5F497A" w:themeColor="accent4" w:themeShade="BF"/>
              <w:bottom w:val="nil"/>
              <w:right w:val="nil"/>
            </w:tcBorders>
            <w:shd w:val="clear" w:color="auto" w:fill="auto"/>
            <w:vAlign w:val="bottom"/>
          </w:tcPr>
          <w:p w14:paraId="08E0F989" w14:textId="74C8B340" w:rsidR="00566EA9" w:rsidRPr="001D41EA" w:rsidRDefault="00566EA9" w:rsidP="001D41EA">
            <w:pPr>
              <w:spacing w:before="40" w:after="20"/>
              <w:jc w:val="center"/>
              <w:rPr>
                <w:rFonts w:cs="Arial"/>
                <w:sz w:val="18"/>
                <w:szCs w:val="18"/>
              </w:rPr>
            </w:pPr>
            <w:r w:rsidRPr="001D41EA">
              <w:rPr>
                <w:rFonts w:cs="Arial"/>
                <w:sz w:val="18"/>
                <w:szCs w:val="18"/>
              </w:rPr>
              <w:t>1.086</w:t>
            </w:r>
          </w:p>
        </w:tc>
        <w:tc>
          <w:tcPr>
            <w:tcW w:w="1134" w:type="dxa"/>
            <w:tcBorders>
              <w:top w:val="nil"/>
              <w:left w:val="nil"/>
              <w:bottom w:val="nil"/>
              <w:right w:val="nil"/>
            </w:tcBorders>
            <w:shd w:val="clear" w:color="auto" w:fill="auto"/>
            <w:vAlign w:val="bottom"/>
          </w:tcPr>
          <w:p w14:paraId="39D1A90E" w14:textId="52919263" w:rsidR="00566EA9" w:rsidRPr="001D41EA" w:rsidRDefault="00566EA9" w:rsidP="001D41EA">
            <w:pPr>
              <w:spacing w:before="40" w:after="20"/>
              <w:jc w:val="center"/>
              <w:rPr>
                <w:rFonts w:cs="Arial"/>
                <w:sz w:val="18"/>
                <w:szCs w:val="18"/>
              </w:rPr>
            </w:pPr>
            <w:r w:rsidRPr="001D41EA">
              <w:rPr>
                <w:rFonts w:cs="Arial"/>
                <w:sz w:val="18"/>
                <w:szCs w:val="18"/>
              </w:rPr>
              <w:t>1.075</w:t>
            </w:r>
          </w:p>
        </w:tc>
        <w:tc>
          <w:tcPr>
            <w:tcW w:w="170" w:type="dxa"/>
            <w:tcBorders>
              <w:top w:val="nil"/>
              <w:left w:val="nil"/>
              <w:bottom w:val="nil"/>
              <w:right w:val="nil"/>
            </w:tcBorders>
            <w:vAlign w:val="bottom"/>
          </w:tcPr>
          <w:p w14:paraId="3B4F3EF9" w14:textId="5722633F"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6A2FBBD5" w14:textId="35A9CEC9" w:rsidR="00566EA9" w:rsidRPr="001D41EA" w:rsidRDefault="00566EA9" w:rsidP="001D41EA">
            <w:pPr>
              <w:spacing w:before="40" w:after="20"/>
              <w:jc w:val="center"/>
              <w:rPr>
                <w:rFonts w:cs="Arial"/>
                <w:sz w:val="18"/>
                <w:szCs w:val="18"/>
              </w:rPr>
            </w:pPr>
            <w:r w:rsidRPr="001D41EA">
              <w:rPr>
                <w:rFonts w:cs="Arial"/>
                <w:sz w:val="18"/>
                <w:szCs w:val="18"/>
              </w:rPr>
              <w:t>1.102</w:t>
            </w:r>
          </w:p>
        </w:tc>
        <w:tc>
          <w:tcPr>
            <w:tcW w:w="1134" w:type="dxa"/>
            <w:tcBorders>
              <w:top w:val="nil"/>
              <w:left w:val="nil"/>
              <w:bottom w:val="nil"/>
              <w:right w:val="nil"/>
            </w:tcBorders>
            <w:vAlign w:val="bottom"/>
          </w:tcPr>
          <w:p w14:paraId="4445D15D" w14:textId="4E6EC14C" w:rsidR="00566EA9" w:rsidRPr="001D41EA" w:rsidRDefault="00566EA9" w:rsidP="001D41EA">
            <w:pPr>
              <w:spacing w:before="40" w:after="20"/>
              <w:jc w:val="center"/>
              <w:rPr>
                <w:rFonts w:cs="Arial"/>
                <w:sz w:val="18"/>
                <w:szCs w:val="18"/>
              </w:rPr>
            </w:pPr>
            <w:r w:rsidRPr="001D41EA">
              <w:rPr>
                <w:rFonts w:cs="Arial"/>
                <w:sz w:val="18"/>
                <w:szCs w:val="18"/>
              </w:rPr>
              <w:t>1.094</w:t>
            </w:r>
          </w:p>
        </w:tc>
        <w:tc>
          <w:tcPr>
            <w:tcW w:w="1134" w:type="dxa"/>
            <w:tcBorders>
              <w:top w:val="nil"/>
              <w:left w:val="nil"/>
              <w:bottom w:val="nil"/>
              <w:right w:val="nil"/>
            </w:tcBorders>
            <w:vAlign w:val="bottom"/>
          </w:tcPr>
          <w:p w14:paraId="29368264" w14:textId="09FA5701" w:rsidR="00566EA9" w:rsidRPr="001D41EA" w:rsidRDefault="00566EA9" w:rsidP="001D41EA">
            <w:pPr>
              <w:spacing w:before="40" w:after="20"/>
              <w:jc w:val="center"/>
              <w:rPr>
                <w:rFonts w:cs="Arial"/>
                <w:sz w:val="18"/>
                <w:szCs w:val="18"/>
              </w:rPr>
            </w:pPr>
            <w:r w:rsidRPr="001D41EA">
              <w:rPr>
                <w:rFonts w:cs="Arial"/>
                <w:sz w:val="18"/>
                <w:szCs w:val="18"/>
              </w:rPr>
              <w:t>1.097</w:t>
            </w:r>
          </w:p>
        </w:tc>
        <w:tc>
          <w:tcPr>
            <w:tcW w:w="1134" w:type="dxa"/>
            <w:tcBorders>
              <w:top w:val="nil"/>
              <w:left w:val="nil"/>
              <w:bottom w:val="nil"/>
              <w:right w:val="nil"/>
            </w:tcBorders>
            <w:vAlign w:val="bottom"/>
          </w:tcPr>
          <w:p w14:paraId="457DC7B5" w14:textId="63E88565" w:rsidR="00566EA9" w:rsidRPr="001D41EA" w:rsidRDefault="00566EA9" w:rsidP="001D41EA">
            <w:pPr>
              <w:spacing w:before="40" w:after="20"/>
              <w:jc w:val="center"/>
              <w:rPr>
                <w:rFonts w:cs="Arial"/>
                <w:sz w:val="18"/>
                <w:szCs w:val="18"/>
              </w:rPr>
            </w:pPr>
            <w:r w:rsidRPr="001D41EA">
              <w:rPr>
                <w:rFonts w:cs="Arial"/>
                <w:sz w:val="18"/>
                <w:szCs w:val="18"/>
              </w:rPr>
              <w:t>1.075</w:t>
            </w:r>
          </w:p>
        </w:tc>
      </w:tr>
      <w:tr w:rsidR="00566EA9" w:rsidRPr="001D41EA" w14:paraId="282A3D9A"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D735F92" w14:textId="77777777" w:rsidR="00566EA9" w:rsidRPr="001D41EA" w:rsidRDefault="00566EA9" w:rsidP="001D41EA">
            <w:pPr>
              <w:spacing w:before="40" w:after="20"/>
              <w:rPr>
                <w:rFonts w:cs="Arial"/>
                <w:sz w:val="18"/>
                <w:szCs w:val="18"/>
              </w:rPr>
            </w:pPr>
            <w:r w:rsidRPr="001D41EA">
              <w:rPr>
                <w:rFonts w:cs="Arial"/>
                <w:sz w:val="18"/>
                <w:szCs w:val="18"/>
              </w:rPr>
              <w:t>Whitehorse C</w:t>
            </w:r>
          </w:p>
        </w:tc>
        <w:tc>
          <w:tcPr>
            <w:tcW w:w="1134" w:type="dxa"/>
            <w:tcBorders>
              <w:top w:val="nil"/>
              <w:left w:val="single" w:sz="18" w:space="0" w:color="5F497A" w:themeColor="accent4" w:themeShade="BF"/>
              <w:bottom w:val="nil"/>
              <w:right w:val="nil"/>
            </w:tcBorders>
            <w:shd w:val="clear" w:color="auto" w:fill="auto"/>
            <w:vAlign w:val="bottom"/>
          </w:tcPr>
          <w:p w14:paraId="5E263AF4" w14:textId="6A527132" w:rsidR="00566EA9" w:rsidRPr="001D41EA" w:rsidRDefault="00566EA9" w:rsidP="001D41EA">
            <w:pPr>
              <w:spacing w:before="40" w:after="20"/>
              <w:jc w:val="center"/>
              <w:rPr>
                <w:rFonts w:cs="Arial"/>
                <w:sz w:val="18"/>
                <w:szCs w:val="18"/>
              </w:rPr>
            </w:pPr>
            <w:r w:rsidRPr="001D41EA">
              <w:rPr>
                <w:rFonts w:cs="Arial"/>
                <w:sz w:val="18"/>
                <w:szCs w:val="18"/>
              </w:rPr>
              <w:t>0.872</w:t>
            </w:r>
          </w:p>
        </w:tc>
        <w:tc>
          <w:tcPr>
            <w:tcW w:w="1134" w:type="dxa"/>
            <w:tcBorders>
              <w:top w:val="nil"/>
              <w:left w:val="nil"/>
              <w:bottom w:val="nil"/>
              <w:right w:val="nil"/>
            </w:tcBorders>
            <w:shd w:val="clear" w:color="auto" w:fill="auto"/>
            <w:vAlign w:val="bottom"/>
          </w:tcPr>
          <w:p w14:paraId="7BB09773" w14:textId="77CD6E84" w:rsidR="00566EA9" w:rsidRPr="001D41EA" w:rsidRDefault="00566EA9" w:rsidP="001D41EA">
            <w:pPr>
              <w:spacing w:before="40" w:after="20"/>
              <w:jc w:val="center"/>
              <w:rPr>
                <w:rFonts w:cs="Arial"/>
                <w:sz w:val="18"/>
                <w:szCs w:val="18"/>
              </w:rPr>
            </w:pPr>
            <w:r w:rsidRPr="001D41EA">
              <w:rPr>
                <w:rFonts w:cs="Arial"/>
                <w:sz w:val="18"/>
                <w:szCs w:val="18"/>
              </w:rPr>
              <w:t>0.863</w:t>
            </w:r>
          </w:p>
        </w:tc>
        <w:tc>
          <w:tcPr>
            <w:tcW w:w="170" w:type="dxa"/>
            <w:tcBorders>
              <w:top w:val="nil"/>
              <w:left w:val="nil"/>
              <w:bottom w:val="nil"/>
              <w:right w:val="nil"/>
            </w:tcBorders>
            <w:vAlign w:val="bottom"/>
          </w:tcPr>
          <w:p w14:paraId="40AF1DCC" w14:textId="0FBE4F2F"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1917013D" w14:textId="1F15B89D" w:rsidR="00566EA9" w:rsidRPr="001D41EA" w:rsidRDefault="00566EA9" w:rsidP="001D41EA">
            <w:pPr>
              <w:spacing w:before="40" w:after="20"/>
              <w:jc w:val="center"/>
              <w:rPr>
                <w:rFonts w:cs="Arial"/>
                <w:sz w:val="18"/>
                <w:szCs w:val="18"/>
              </w:rPr>
            </w:pPr>
            <w:r w:rsidRPr="001D41EA">
              <w:rPr>
                <w:rFonts w:cs="Arial"/>
                <w:sz w:val="18"/>
                <w:szCs w:val="18"/>
              </w:rPr>
              <w:t>1.001</w:t>
            </w:r>
          </w:p>
        </w:tc>
        <w:tc>
          <w:tcPr>
            <w:tcW w:w="1134" w:type="dxa"/>
            <w:tcBorders>
              <w:top w:val="nil"/>
              <w:left w:val="nil"/>
              <w:bottom w:val="nil"/>
              <w:right w:val="nil"/>
            </w:tcBorders>
            <w:vAlign w:val="bottom"/>
          </w:tcPr>
          <w:p w14:paraId="22974ABE" w14:textId="1F581FDA" w:rsidR="00566EA9" w:rsidRPr="001D41EA" w:rsidRDefault="00566EA9" w:rsidP="001D41EA">
            <w:pPr>
              <w:spacing w:before="40" w:after="20"/>
              <w:jc w:val="center"/>
              <w:rPr>
                <w:rFonts w:cs="Arial"/>
                <w:sz w:val="18"/>
                <w:szCs w:val="18"/>
              </w:rPr>
            </w:pPr>
            <w:r w:rsidRPr="001D41EA">
              <w:rPr>
                <w:rFonts w:cs="Arial"/>
                <w:sz w:val="18"/>
                <w:szCs w:val="18"/>
              </w:rPr>
              <w:t>0.994</w:t>
            </w:r>
          </w:p>
        </w:tc>
        <w:tc>
          <w:tcPr>
            <w:tcW w:w="1134" w:type="dxa"/>
            <w:tcBorders>
              <w:top w:val="nil"/>
              <w:left w:val="nil"/>
              <w:bottom w:val="nil"/>
              <w:right w:val="nil"/>
            </w:tcBorders>
            <w:vAlign w:val="bottom"/>
          </w:tcPr>
          <w:p w14:paraId="2BAEEAD5" w14:textId="12CAA63F" w:rsidR="00566EA9" w:rsidRPr="001D41EA" w:rsidRDefault="00566EA9" w:rsidP="001D41EA">
            <w:pPr>
              <w:spacing w:before="40" w:after="20"/>
              <w:jc w:val="center"/>
              <w:rPr>
                <w:rFonts w:cs="Arial"/>
                <w:sz w:val="18"/>
                <w:szCs w:val="18"/>
              </w:rPr>
            </w:pPr>
            <w:r w:rsidRPr="001D41EA">
              <w:rPr>
                <w:rFonts w:cs="Arial"/>
                <w:sz w:val="18"/>
                <w:szCs w:val="18"/>
              </w:rPr>
              <w:t>0.997</w:t>
            </w:r>
          </w:p>
        </w:tc>
        <w:tc>
          <w:tcPr>
            <w:tcW w:w="1134" w:type="dxa"/>
            <w:tcBorders>
              <w:top w:val="nil"/>
              <w:left w:val="nil"/>
              <w:bottom w:val="nil"/>
              <w:right w:val="nil"/>
            </w:tcBorders>
            <w:vAlign w:val="bottom"/>
          </w:tcPr>
          <w:p w14:paraId="211B1CBD" w14:textId="03586D45" w:rsidR="00566EA9" w:rsidRPr="001D41EA" w:rsidRDefault="00566EA9" w:rsidP="001D41EA">
            <w:pPr>
              <w:spacing w:before="40" w:after="20"/>
              <w:jc w:val="center"/>
              <w:rPr>
                <w:rFonts w:cs="Arial"/>
                <w:sz w:val="18"/>
                <w:szCs w:val="18"/>
              </w:rPr>
            </w:pPr>
            <w:r w:rsidRPr="001D41EA">
              <w:rPr>
                <w:rFonts w:cs="Arial"/>
                <w:sz w:val="18"/>
                <w:szCs w:val="18"/>
              </w:rPr>
              <w:t>0.977</w:t>
            </w:r>
          </w:p>
        </w:tc>
      </w:tr>
      <w:tr w:rsidR="00566EA9" w:rsidRPr="001D41EA" w14:paraId="04A51B36"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78A0699" w14:textId="77777777" w:rsidR="00566EA9" w:rsidRPr="001D41EA" w:rsidRDefault="00566EA9" w:rsidP="001D41EA">
            <w:pPr>
              <w:spacing w:before="40" w:after="20"/>
              <w:rPr>
                <w:rFonts w:cs="Arial"/>
                <w:sz w:val="18"/>
                <w:szCs w:val="18"/>
              </w:rPr>
            </w:pPr>
            <w:r w:rsidRPr="001D41EA">
              <w:rPr>
                <w:rFonts w:cs="Arial"/>
                <w:sz w:val="18"/>
                <w:szCs w:val="18"/>
              </w:rPr>
              <w:t>Whittlesea C</w:t>
            </w:r>
          </w:p>
        </w:tc>
        <w:tc>
          <w:tcPr>
            <w:tcW w:w="1134" w:type="dxa"/>
            <w:tcBorders>
              <w:top w:val="nil"/>
              <w:left w:val="single" w:sz="18" w:space="0" w:color="5F497A" w:themeColor="accent4" w:themeShade="BF"/>
              <w:bottom w:val="nil"/>
              <w:right w:val="nil"/>
            </w:tcBorders>
            <w:shd w:val="clear" w:color="auto" w:fill="auto"/>
            <w:vAlign w:val="bottom"/>
          </w:tcPr>
          <w:p w14:paraId="052C0AA1" w14:textId="7264B440" w:rsidR="00566EA9" w:rsidRPr="001D41EA" w:rsidRDefault="00566EA9" w:rsidP="001D41EA">
            <w:pPr>
              <w:spacing w:before="40" w:after="20"/>
              <w:jc w:val="center"/>
              <w:rPr>
                <w:rFonts w:cs="Arial"/>
                <w:sz w:val="18"/>
                <w:szCs w:val="18"/>
              </w:rPr>
            </w:pPr>
            <w:r w:rsidRPr="001D41EA">
              <w:rPr>
                <w:rFonts w:cs="Arial"/>
                <w:sz w:val="18"/>
                <w:szCs w:val="18"/>
              </w:rPr>
              <w:t>1.066</w:t>
            </w:r>
          </w:p>
        </w:tc>
        <w:tc>
          <w:tcPr>
            <w:tcW w:w="1134" w:type="dxa"/>
            <w:tcBorders>
              <w:top w:val="nil"/>
              <w:left w:val="nil"/>
              <w:bottom w:val="nil"/>
              <w:right w:val="nil"/>
            </w:tcBorders>
            <w:shd w:val="clear" w:color="auto" w:fill="auto"/>
            <w:vAlign w:val="bottom"/>
          </w:tcPr>
          <w:p w14:paraId="05A07D76" w14:textId="1C63E055" w:rsidR="00566EA9" w:rsidRPr="001D41EA" w:rsidRDefault="00566EA9" w:rsidP="001D41EA">
            <w:pPr>
              <w:spacing w:before="40" w:after="20"/>
              <w:jc w:val="center"/>
              <w:rPr>
                <w:rFonts w:cs="Arial"/>
                <w:sz w:val="18"/>
                <w:szCs w:val="18"/>
              </w:rPr>
            </w:pPr>
            <w:r w:rsidRPr="001D41EA">
              <w:rPr>
                <w:rFonts w:cs="Arial"/>
                <w:sz w:val="18"/>
                <w:szCs w:val="18"/>
              </w:rPr>
              <w:t>1.055</w:t>
            </w:r>
          </w:p>
        </w:tc>
        <w:tc>
          <w:tcPr>
            <w:tcW w:w="170" w:type="dxa"/>
            <w:tcBorders>
              <w:top w:val="nil"/>
              <w:left w:val="nil"/>
              <w:bottom w:val="nil"/>
              <w:right w:val="nil"/>
            </w:tcBorders>
            <w:vAlign w:val="bottom"/>
          </w:tcPr>
          <w:p w14:paraId="78F9C977" w14:textId="49A502C7"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21B2E3E0" w14:textId="3EA1D1B4" w:rsidR="00566EA9" w:rsidRPr="001D41EA" w:rsidRDefault="00566EA9" w:rsidP="001D41EA">
            <w:pPr>
              <w:spacing w:before="40" w:after="20"/>
              <w:jc w:val="center"/>
              <w:rPr>
                <w:rFonts w:cs="Arial"/>
                <w:sz w:val="18"/>
                <w:szCs w:val="18"/>
              </w:rPr>
            </w:pPr>
            <w:r w:rsidRPr="001D41EA">
              <w:rPr>
                <w:rFonts w:cs="Arial"/>
                <w:sz w:val="18"/>
                <w:szCs w:val="18"/>
              </w:rPr>
              <w:t>0.862</w:t>
            </w:r>
          </w:p>
        </w:tc>
        <w:tc>
          <w:tcPr>
            <w:tcW w:w="1134" w:type="dxa"/>
            <w:tcBorders>
              <w:top w:val="nil"/>
              <w:left w:val="nil"/>
              <w:bottom w:val="nil"/>
              <w:right w:val="nil"/>
            </w:tcBorders>
            <w:vAlign w:val="bottom"/>
          </w:tcPr>
          <w:p w14:paraId="66DCD5C6" w14:textId="60F6C267" w:rsidR="00566EA9" w:rsidRPr="001D41EA" w:rsidRDefault="00566EA9" w:rsidP="001D41EA">
            <w:pPr>
              <w:spacing w:before="40" w:after="20"/>
              <w:jc w:val="center"/>
              <w:rPr>
                <w:rFonts w:cs="Arial"/>
                <w:sz w:val="18"/>
                <w:szCs w:val="18"/>
              </w:rPr>
            </w:pPr>
            <w:r w:rsidRPr="001D41EA">
              <w:rPr>
                <w:rFonts w:cs="Arial"/>
                <w:sz w:val="18"/>
                <w:szCs w:val="18"/>
              </w:rPr>
              <w:t>0.856</w:t>
            </w:r>
          </w:p>
        </w:tc>
        <w:tc>
          <w:tcPr>
            <w:tcW w:w="1134" w:type="dxa"/>
            <w:tcBorders>
              <w:top w:val="nil"/>
              <w:left w:val="nil"/>
              <w:bottom w:val="nil"/>
              <w:right w:val="nil"/>
            </w:tcBorders>
            <w:vAlign w:val="bottom"/>
          </w:tcPr>
          <w:p w14:paraId="22081F8A" w14:textId="758CC55A" w:rsidR="00566EA9" w:rsidRPr="001D41EA" w:rsidRDefault="00566EA9" w:rsidP="001D41EA">
            <w:pPr>
              <w:spacing w:before="40" w:after="20"/>
              <w:jc w:val="center"/>
              <w:rPr>
                <w:rFonts w:cs="Arial"/>
                <w:sz w:val="18"/>
                <w:szCs w:val="18"/>
              </w:rPr>
            </w:pPr>
            <w:r w:rsidRPr="001D41EA">
              <w:rPr>
                <w:rFonts w:cs="Arial"/>
                <w:sz w:val="18"/>
                <w:szCs w:val="18"/>
              </w:rPr>
              <w:t>0.858</w:t>
            </w:r>
          </w:p>
        </w:tc>
        <w:tc>
          <w:tcPr>
            <w:tcW w:w="1134" w:type="dxa"/>
            <w:tcBorders>
              <w:top w:val="nil"/>
              <w:left w:val="nil"/>
              <w:bottom w:val="nil"/>
              <w:right w:val="nil"/>
            </w:tcBorders>
            <w:vAlign w:val="bottom"/>
          </w:tcPr>
          <w:p w14:paraId="4101FF1F" w14:textId="347C0907" w:rsidR="00566EA9" w:rsidRPr="001D41EA" w:rsidRDefault="00566EA9" w:rsidP="001D41EA">
            <w:pPr>
              <w:spacing w:before="40" w:after="20"/>
              <w:jc w:val="center"/>
              <w:rPr>
                <w:rFonts w:cs="Arial"/>
                <w:sz w:val="18"/>
                <w:szCs w:val="18"/>
              </w:rPr>
            </w:pPr>
            <w:r w:rsidRPr="001D41EA">
              <w:rPr>
                <w:rFonts w:cs="Arial"/>
                <w:sz w:val="18"/>
                <w:szCs w:val="18"/>
              </w:rPr>
              <w:t>0.841</w:t>
            </w:r>
          </w:p>
        </w:tc>
      </w:tr>
      <w:tr w:rsidR="00566EA9" w:rsidRPr="001D41EA" w14:paraId="6E529160"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D119D04" w14:textId="77777777" w:rsidR="00566EA9" w:rsidRPr="001D41EA" w:rsidRDefault="00566EA9" w:rsidP="001D41EA">
            <w:pPr>
              <w:spacing w:before="40" w:after="20"/>
              <w:rPr>
                <w:rFonts w:cs="Arial"/>
                <w:sz w:val="18"/>
                <w:szCs w:val="18"/>
              </w:rPr>
            </w:pPr>
            <w:r w:rsidRPr="001D41EA">
              <w:rPr>
                <w:rFonts w:cs="Arial"/>
                <w:sz w:val="18"/>
                <w:szCs w:val="18"/>
              </w:rPr>
              <w:t>Wodonga C</w:t>
            </w:r>
          </w:p>
        </w:tc>
        <w:tc>
          <w:tcPr>
            <w:tcW w:w="1134" w:type="dxa"/>
            <w:tcBorders>
              <w:top w:val="nil"/>
              <w:left w:val="single" w:sz="18" w:space="0" w:color="5F497A" w:themeColor="accent4" w:themeShade="BF"/>
              <w:bottom w:val="nil"/>
              <w:right w:val="nil"/>
            </w:tcBorders>
            <w:shd w:val="clear" w:color="auto" w:fill="auto"/>
            <w:vAlign w:val="bottom"/>
          </w:tcPr>
          <w:p w14:paraId="37C17759" w14:textId="15732AC9" w:rsidR="00566EA9" w:rsidRPr="001D41EA" w:rsidRDefault="00566EA9" w:rsidP="001D41EA">
            <w:pPr>
              <w:spacing w:before="40" w:after="20"/>
              <w:jc w:val="center"/>
              <w:rPr>
                <w:rFonts w:cs="Arial"/>
                <w:sz w:val="18"/>
                <w:szCs w:val="18"/>
              </w:rPr>
            </w:pPr>
            <w:r w:rsidRPr="001D41EA">
              <w:rPr>
                <w:rFonts w:cs="Arial"/>
                <w:sz w:val="18"/>
                <w:szCs w:val="18"/>
              </w:rPr>
              <w:t>1.113</w:t>
            </w:r>
          </w:p>
        </w:tc>
        <w:tc>
          <w:tcPr>
            <w:tcW w:w="1134" w:type="dxa"/>
            <w:tcBorders>
              <w:top w:val="nil"/>
              <w:left w:val="nil"/>
              <w:bottom w:val="nil"/>
              <w:right w:val="nil"/>
            </w:tcBorders>
            <w:shd w:val="clear" w:color="auto" w:fill="auto"/>
            <w:vAlign w:val="bottom"/>
          </w:tcPr>
          <w:p w14:paraId="140C6375" w14:textId="7E3D214E" w:rsidR="00566EA9" w:rsidRPr="001D41EA" w:rsidRDefault="00566EA9" w:rsidP="001D41EA">
            <w:pPr>
              <w:spacing w:before="40" w:after="20"/>
              <w:jc w:val="center"/>
              <w:rPr>
                <w:rFonts w:cs="Arial"/>
                <w:sz w:val="18"/>
                <w:szCs w:val="18"/>
              </w:rPr>
            </w:pPr>
            <w:r w:rsidRPr="001D41EA">
              <w:rPr>
                <w:rFonts w:cs="Arial"/>
                <w:sz w:val="18"/>
                <w:szCs w:val="18"/>
              </w:rPr>
              <w:t>1.102</w:t>
            </w:r>
          </w:p>
        </w:tc>
        <w:tc>
          <w:tcPr>
            <w:tcW w:w="170" w:type="dxa"/>
            <w:tcBorders>
              <w:top w:val="nil"/>
              <w:left w:val="nil"/>
              <w:bottom w:val="nil"/>
              <w:right w:val="nil"/>
            </w:tcBorders>
            <w:vAlign w:val="bottom"/>
          </w:tcPr>
          <w:p w14:paraId="3A5035FA" w14:textId="41B95C14"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323393AF" w14:textId="0A33A7B3" w:rsidR="00566EA9" w:rsidRPr="001D41EA" w:rsidRDefault="00566EA9" w:rsidP="001D41EA">
            <w:pPr>
              <w:spacing w:before="40" w:after="20"/>
              <w:jc w:val="center"/>
              <w:rPr>
                <w:rFonts w:cs="Arial"/>
                <w:sz w:val="18"/>
                <w:szCs w:val="18"/>
              </w:rPr>
            </w:pPr>
            <w:r w:rsidRPr="001D41EA">
              <w:rPr>
                <w:rFonts w:cs="Arial"/>
                <w:sz w:val="18"/>
                <w:szCs w:val="18"/>
              </w:rPr>
              <w:t>0.930</w:t>
            </w:r>
          </w:p>
        </w:tc>
        <w:tc>
          <w:tcPr>
            <w:tcW w:w="1134" w:type="dxa"/>
            <w:tcBorders>
              <w:top w:val="nil"/>
              <w:left w:val="nil"/>
              <w:bottom w:val="nil"/>
              <w:right w:val="nil"/>
            </w:tcBorders>
            <w:vAlign w:val="bottom"/>
          </w:tcPr>
          <w:p w14:paraId="7FB56E92" w14:textId="7AB522F7" w:rsidR="00566EA9" w:rsidRPr="001D41EA" w:rsidRDefault="00566EA9" w:rsidP="001D41EA">
            <w:pPr>
              <w:spacing w:before="40" w:after="20"/>
              <w:jc w:val="center"/>
              <w:rPr>
                <w:rFonts w:cs="Arial"/>
                <w:sz w:val="18"/>
                <w:szCs w:val="18"/>
              </w:rPr>
            </w:pPr>
            <w:r w:rsidRPr="001D41EA">
              <w:rPr>
                <w:rFonts w:cs="Arial"/>
                <w:sz w:val="18"/>
                <w:szCs w:val="18"/>
              </w:rPr>
              <w:t>0.924</w:t>
            </w:r>
          </w:p>
        </w:tc>
        <w:tc>
          <w:tcPr>
            <w:tcW w:w="1134" w:type="dxa"/>
            <w:tcBorders>
              <w:top w:val="nil"/>
              <w:left w:val="nil"/>
              <w:bottom w:val="nil"/>
              <w:right w:val="nil"/>
            </w:tcBorders>
            <w:vAlign w:val="bottom"/>
          </w:tcPr>
          <w:p w14:paraId="44E7AF95" w14:textId="120B4CA1" w:rsidR="00566EA9" w:rsidRPr="001D41EA" w:rsidRDefault="00566EA9" w:rsidP="001D41EA">
            <w:pPr>
              <w:spacing w:before="40" w:after="20"/>
              <w:jc w:val="center"/>
              <w:rPr>
                <w:rFonts w:cs="Arial"/>
                <w:sz w:val="18"/>
                <w:szCs w:val="18"/>
              </w:rPr>
            </w:pPr>
            <w:r w:rsidRPr="001D41EA">
              <w:rPr>
                <w:rFonts w:cs="Arial"/>
                <w:sz w:val="18"/>
                <w:szCs w:val="18"/>
              </w:rPr>
              <w:t>0.926</w:t>
            </w:r>
          </w:p>
        </w:tc>
        <w:tc>
          <w:tcPr>
            <w:tcW w:w="1134" w:type="dxa"/>
            <w:tcBorders>
              <w:top w:val="nil"/>
              <w:left w:val="nil"/>
              <w:bottom w:val="nil"/>
              <w:right w:val="nil"/>
            </w:tcBorders>
            <w:vAlign w:val="bottom"/>
          </w:tcPr>
          <w:p w14:paraId="6E5FDA9C" w14:textId="5687695F" w:rsidR="00566EA9" w:rsidRPr="001D41EA" w:rsidRDefault="00566EA9" w:rsidP="001D41EA">
            <w:pPr>
              <w:spacing w:before="40" w:after="20"/>
              <w:jc w:val="center"/>
              <w:rPr>
                <w:rFonts w:cs="Arial"/>
                <w:sz w:val="18"/>
                <w:szCs w:val="18"/>
              </w:rPr>
            </w:pPr>
            <w:r w:rsidRPr="001D41EA">
              <w:rPr>
                <w:rFonts w:cs="Arial"/>
                <w:sz w:val="18"/>
                <w:szCs w:val="18"/>
              </w:rPr>
              <w:t>0.908</w:t>
            </w:r>
          </w:p>
        </w:tc>
      </w:tr>
      <w:tr w:rsidR="00566EA9" w:rsidRPr="001D41EA" w14:paraId="530EDF5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09FEFB5" w14:textId="77777777" w:rsidR="00566EA9" w:rsidRPr="001D41EA" w:rsidRDefault="00566EA9" w:rsidP="001D41EA">
            <w:pPr>
              <w:spacing w:before="40" w:after="20"/>
              <w:rPr>
                <w:rFonts w:cs="Arial"/>
                <w:sz w:val="18"/>
                <w:szCs w:val="18"/>
              </w:rPr>
            </w:pPr>
            <w:r w:rsidRPr="001D41EA">
              <w:rPr>
                <w:rFonts w:cs="Arial"/>
                <w:sz w:val="18"/>
                <w:szCs w:val="18"/>
              </w:rPr>
              <w:t>Wyndham C</w:t>
            </w:r>
          </w:p>
        </w:tc>
        <w:tc>
          <w:tcPr>
            <w:tcW w:w="1134" w:type="dxa"/>
            <w:tcBorders>
              <w:top w:val="nil"/>
              <w:left w:val="single" w:sz="18" w:space="0" w:color="5F497A" w:themeColor="accent4" w:themeShade="BF"/>
              <w:bottom w:val="nil"/>
              <w:right w:val="nil"/>
            </w:tcBorders>
            <w:shd w:val="clear" w:color="auto" w:fill="auto"/>
            <w:vAlign w:val="bottom"/>
          </w:tcPr>
          <w:p w14:paraId="42BBD8E2" w14:textId="23E233C9" w:rsidR="00566EA9" w:rsidRPr="001D41EA" w:rsidRDefault="00566EA9" w:rsidP="001D41EA">
            <w:pPr>
              <w:spacing w:before="40" w:after="20"/>
              <w:jc w:val="center"/>
              <w:rPr>
                <w:rFonts w:cs="Arial"/>
                <w:sz w:val="18"/>
                <w:szCs w:val="18"/>
              </w:rPr>
            </w:pPr>
            <w:r w:rsidRPr="001D41EA">
              <w:rPr>
                <w:rFonts w:cs="Arial"/>
                <w:sz w:val="18"/>
                <w:szCs w:val="18"/>
              </w:rPr>
              <w:t>1.006</w:t>
            </w:r>
          </w:p>
        </w:tc>
        <w:tc>
          <w:tcPr>
            <w:tcW w:w="1134" w:type="dxa"/>
            <w:tcBorders>
              <w:top w:val="nil"/>
              <w:left w:val="nil"/>
              <w:bottom w:val="nil"/>
              <w:right w:val="nil"/>
            </w:tcBorders>
            <w:shd w:val="clear" w:color="auto" w:fill="auto"/>
            <w:vAlign w:val="bottom"/>
          </w:tcPr>
          <w:p w14:paraId="3B7C1FC2" w14:textId="37E96A6E" w:rsidR="00566EA9" w:rsidRPr="001D41EA" w:rsidRDefault="00566EA9" w:rsidP="001D41EA">
            <w:pPr>
              <w:spacing w:before="40" w:after="20"/>
              <w:jc w:val="center"/>
              <w:rPr>
                <w:rFonts w:cs="Arial"/>
                <w:sz w:val="18"/>
                <w:szCs w:val="18"/>
              </w:rPr>
            </w:pPr>
            <w:r w:rsidRPr="001D41EA">
              <w:rPr>
                <w:rFonts w:cs="Arial"/>
                <w:sz w:val="18"/>
                <w:szCs w:val="18"/>
              </w:rPr>
              <w:t>0.995</w:t>
            </w:r>
          </w:p>
        </w:tc>
        <w:tc>
          <w:tcPr>
            <w:tcW w:w="170" w:type="dxa"/>
            <w:tcBorders>
              <w:top w:val="nil"/>
              <w:left w:val="nil"/>
              <w:bottom w:val="nil"/>
              <w:right w:val="nil"/>
            </w:tcBorders>
            <w:vAlign w:val="bottom"/>
          </w:tcPr>
          <w:p w14:paraId="23DB1E29" w14:textId="5BF0D834"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2820C5B7" w14:textId="10A4D196" w:rsidR="00566EA9" w:rsidRPr="001D41EA" w:rsidRDefault="00566EA9" w:rsidP="001D41EA">
            <w:pPr>
              <w:spacing w:before="40" w:after="20"/>
              <w:jc w:val="center"/>
              <w:rPr>
                <w:rFonts w:cs="Arial"/>
                <w:sz w:val="18"/>
                <w:szCs w:val="18"/>
              </w:rPr>
            </w:pPr>
            <w:r w:rsidRPr="001D41EA">
              <w:rPr>
                <w:rFonts w:cs="Arial"/>
                <w:sz w:val="18"/>
                <w:szCs w:val="18"/>
              </w:rPr>
              <w:t>0.910</w:t>
            </w:r>
          </w:p>
        </w:tc>
        <w:tc>
          <w:tcPr>
            <w:tcW w:w="1134" w:type="dxa"/>
            <w:tcBorders>
              <w:top w:val="nil"/>
              <w:left w:val="nil"/>
              <w:bottom w:val="nil"/>
              <w:right w:val="nil"/>
            </w:tcBorders>
            <w:vAlign w:val="bottom"/>
          </w:tcPr>
          <w:p w14:paraId="0C4DC783" w14:textId="1E090FE2" w:rsidR="00566EA9" w:rsidRPr="001D41EA" w:rsidRDefault="00566EA9" w:rsidP="001D41EA">
            <w:pPr>
              <w:spacing w:before="40" w:after="20"/>
              <w:jc w:val="center"/>
              <w:rPr>
                <w:rFonts w:cs="Arial"/>
                <w:sz w:val="18"/>
                <w:szCs w:val="18"/>
              </w:rPr>
            </w:pPr>
            <w:r w:rsidRPr="001D41EA">
              <w:rPr>
                <w:rFonts w:cs="Arial"/>
                <w:sz w:val="18"/>
                <w:szCs w:val="18"/>
              </w:rPr>
              <w:t>0.903</w:t>
            </w:r>
          </w:p>
        </w:tc>
        <w:tc>
          <w:tcPr>
            <w:tcW w:w="1134" w:type="dxa"/>
            <w:tcBorders>
              <w:top w:val="nil"/>
              <w:left w:val="nil"/>
              <w:bottom w:val="nil"/>
              <w:right w:val="nil"/>
            </w:tcBorders>
            <w:vAlign w:val="bottom"/>
          </w:tcPr>
          <w:p w14:paraId="673B7655" w14:textId="5CB300E8" w:rsidR="00566EA9" w:rsidRPr="001D41EA" w:rsidRDefault="00566EA9" w:rsidP="001D41EA">
            <w:pPr>
              <w:spacing w:before="40" w:after="20"/>
              <w:jc w:val="center"/>
              <w:rPr>
                <w:rFonts w:cs="Arial"/>
                <w:sz w:val="18"/>
                <w:szCs w:val="18"/>
              </w:rPr>
            </w:pPr>
            <w:r w:rsidRPr="001D41EA">
              <w:rPr>
                <w:rFonts w:cs="Arial"/>
                <w:sz w:val="18"/>
                <w:szCs w:val="18"/>
              </w:rPr>
              <w:t>0.906</w:t>
            </w:r>
          </w:p>
        </w:tc>
        <w:tc>
          <w:tcPr>
            <w:tcW w:w="1134" w:type="dxa"/>
            <w:tcBorders>
              <w:top w:val="nil"/>
              <w:left w:val="nil"/>
              <w:bottom w:val="nil"/>
              <w:right w:val="nil"/>
            </w:tcBorders>
            <w:vAlign w:val="bottom"/>
          </w:tcPr>
          <w:p w14:paraId="1EEBB1C0" w14:textId="5A3699C6" w:rsidR="00566EA9" w:rsidRPr="001D41EA" w:rsidRDefault="00566EA9" w:rsidP="001D41EA">
            <w:pPr>
              <w:spacing w:before="40" w:after="20"/>
              <w:jc w:val="center"/>
              <w:rPr>
                <w:rFonts w:cs="Arial"/>
                <w:sz w:val="18"/>
                <w:szCs w:val="18"/>
              </w:rPr>
            </w:pPr>
            <w:r w:rsidRPr="001D41EA">
              <w:rPr>
                <w:rFonts w:cs="Arial"/>
                <w:sz w:val="18"/>
                <w:szCs w:val="18"/>
              </w:rPr>
              <w:t>0.888</w:t>
            </w:r>
          </w:p>
        </w:tc>
      </w:tr>
      <w:tr w:rsidR="00566EA9" w:rsidRPr="001D41EA" w14:paraId="79E9B593"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7C9A656A" w14:textId="77777777" w:rsidR="00566EA9" w:rsidRPr="001D41EA" w:rsidRDefault="00566EA9" w:rsidP="001D41EA">
            <w:pPr>
              <w:spacing w:before="40" w:after="20"/>
              <w:rPr>
                <w:rFonts w:cs="Arial"/>
                <w:sz w:val="18"/>
                <w:szCs w:val="18"/>
              </w:rPr>
            </w:pPr>
            <w:r w:rsidRPr="001D41EA">
              <w:rPr>
                <w:rFonts w:cs="Arial"/>
                <w:sz w:val="18"/>
                <w:szCs w:val="18"/>
              </w:rPr>
              <w:t>Yarra C</w:t>
            </w:r>
          </w:p>
        </w:tc>
        <w:tc>
          <w:tcPr>
            <w:tcW w:w="1134" w:type="dxa"/>
            <w:tcBorders>
              <w:top w:val="nil"/>
              <w:left w:val="single" w:sz="18" w:space="0" w:color="5F497A" w:themeColor="accent4" w:themeShade="BF"/>
              <w:bottom w:val="nil"/>
              <w:right w:val="nil"/>
            </w:tcBorders>
            <w:shd w:val="clear" w:color="auto" w:fill="auto"/>
            <w:vAlign w:val="bottom"/>
          </w:tcPr>
          <w:p w14:paraId="4A3193C9" w14:textId="7BB6246E" w:rsidR="00566EA9" w:rsidRPr="001D41EA" w:rsidRDefault="00566EA9" w:rsidP="001D41EA">
            <w:pPr>
              <w:spacing w:before="40" w:after="20"/>
              <w:jc w:val="center"/>
              <w:rPr>
                <w:rFonts w:cs="Arial"/>
                <w:sz w:val="18"/>
                <w:szCs w:val="18"/>
              </w:rPr>
            </w:pPr>
            <w:r w:rsidRPr="001D41EA">
              <w:rPr>
                <w:rFonts w:cs="Arial"/>
                <w:sz w:val="18"/>
                <w:szCs w:val="18"/>
              </w:rPr>
              <w:t>0.919</w:t>
            </w:r>
          </w:p>
        </w:tc>
        <w:tc>
          <w:tcPr>
            <w:tcW w:w="1134" w:type="dxa"/>
            <w:tcBorders>
              <w:top w:val="nil"/>
              <w:left w:val="nil"/>
              <w:bottom w:val="nil"/>
              <w:right w:val="nil"/>
            </w:tcBorders>
            <w:shd w:val="clear" w:color="auto" w:fill="auto"/>
            <w:vAlign w:val="bottom"/>
          </w:tcPr>
          <w:p w14:paraId="6AFF5EA8" w14:textId="15A0988F" w:rsidR="00566EA9" w:rsidRPr="001D41EA" w:rsidRDefault="00566EA9" w:rsidP="001D41EA">
            <w:pPr>
              <w:spacing w:before="40" w:after="20"/>
              <w:jc w:val="center"/>
              <w:rPr>
                <w:rFonts w:cs="Arial"/>
                <w:sz w:val="18"/>
                <w:szCs w:val="18"/>
              </w:rPr>
            </w:pPr>
            <w:r w:rsidRPr="001D41EA">
              <w:rPr>
                <w:rFonts w:cs="Arial"/>
                <w:sz w:val="18"/>
                <w:szCs w:val="18"/>
              </w:rPr>
              <w:t>0.909</w:t>
            </w:r>
          </w:p>
        </w:tc>
        <w:tc>
          <w:tcPr>
            <w:tcW w:w="170" w:type="dxa"/>
            <w:tcBorders>
              <w:top w:val="nil"/>
              <w:left w:val="nil"/>
              <w:bottom w:val="nil"/>
              <w:right w:val="nil"/>
            </w:tcBorders>
            <w:vAlign w:val="bottom"/>
          </w:tcPr>
          <w:p w14:paraId="61DF4EA9" w14:textId="43374736"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4ED99E82" w14:textId="4D095E85" w:rsidR="00566EA9" w:rsidRPr="001D41EA" w:rsidRDefault="00566EA9" w:rsidP="001D41EA">
            <w:pPr>
              <w:spacing w:before="40" w:after="20"/>
              <w:jc w:val="center"/>
              <w:rPr>
                <w:rFonts w:cs="Arial"/>
                <w:sz w:val="18"/>
                <w:szCs w:val="18"/>
              </w:rPr>
            </w:pPr>
            <w:r w:rsidRPr="001D41EA">
              <w:rPr>
                <w:rFonts w:cs="Arial"/>
                <w:sz w:val="18"/>
                <w:szCs w:val="18"/>
              </w:rPr>
              <w:t>0.999</w:t>
            </w:r>
          </w:p>
        </w:tc>
        <w:tc>
          <w:tcPr>
            <w:tcW w:w="1134" w:type="dxa"/>
            <w:tcBorders>
              <w:top w:val="nil"/>
              <w:left w:val="nil"/>
              <w:bottom w:val="nil"/>
              <w:right w:val="nil"/>
            </w:tcBorders>
            <w:vAlign w:val="bottom"/>
          </w:tcPr>
          <w:p w14:paraId="0DA2B766" w14:textId="7B7BF379" w:rsidR="00566EA9" w:rsidRPr="001D41EA" w:rsidRDefault="00566EA9" w:rsidP="001D41EA">
            <w:pPr>
              <w:spacing w:before="40" w:after="20"/>
              <w:jc w:val="center"/>
              <w:rPr>
                <w:rFonts w:cs="Arial"/>
                <w:sz w:val="18"/>
                <w:szCs w:val="18"/>
              </w:rPr>
            </w:pPr>
            <w:r w:rsidRPr="001D41EA">
              <w:rPr>
                <w:rFonts w:cs="Arial"/>
                <w:sz w:val="18"/>
                <w:szCs w:val="18"/>
              </w:rPr>
              <w:t>0.992</w:t>
            </w:r>
          </w:p>
        </w:tc>
        <w:tc>
          <w:tcPr>
            <w:tcW w:w="1134" w:type="dxa"/>
            <w:tcBorders>
              <w:top w:val="nil"/>
              <w:left w:val="nil"/>
              <w:bottom w:val="nil"/>
              <w:right w:val="nil"/>
            </w:tcBorders>
            <w:vAlign w:val="bottom"/>
          </w:tcPr>
          <w:p w14:paraId="4042E8F6" w14:textId="5D385D05" w:rsidR="00566EA9" w:rsidRPr="001D41EA" w:rsidRDefault="00566EA9" w:rsidP="001D41EA">
            <w:pPr>
              <w:spacing w:before="40" w:after="20"/>
              <w:jc w:val="center"/>
              <w:rPr>
                <w:rFonts w:cs="Arial"/>
                <w:sz w:val="18"/>
                <w:szCs w:val="18"/>
              </w:rPr>
            </w:pPr>
            <w:r w:rsidRPr="001D41EA">
              <w:rPr>
                <w:rFonts w:cs="Arial"/>
                <w:sz w:val="18"/>
                <w:szCs w:val="18"/>
              </w:rPr>
              <w:t>0.995</w:t>
            </w:r>
          </w:p>
        </w:tc>
        <w:tc>
          <w:tcPr>
            <w:tcW w:w="1134" w:type="dxa"/>
            <w:tcBorders>
              <w:top w:val="nil"/>
              <w:left w:val="nil"/>
              <w:bottom w:val="nil"/>
              <w:right w:val="nil"/>
            </w:tcBorders>
            <w:vAlign w:val="bottom"/>
          </w:tcPr>
          <w:p w14:paraId="3662732F" w14:textId="56557097" w:rsidR="00566EA9" w:rsidRPr="001D41EA" w:rsidRDefault="00566EA9" w:rsidP="001D41EA">
            <w:pPr>
              <w:spacing w:before="40" w:after="20"/>
              <w:jc w:val="center"/>
              <w:rPr>
                <w:rFonts w:cs="Arial"/>
                <w:sz w:val="18"/>
                <w:szCs w:val="18"/>
              </w:rPr>
            </w:pPr>
            <w:r w:rsidRPr="001D41EA">
              <w:rPr>
                <w:rFonts w:cs="Arial"/>
                <w:sz w:val="18"/>
                <w:szCs w:val="18"/>
              </w:rPr>
              <w:t>0.975</w:t>
            </w:r>
          </w:p>
        </w:tc>
      </w:tr>
      <w:tr w:rsidR="00566EA9" w:rsidRPr="001D41EA" w14:paraId="2C8D8D67"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15E7D100" w14:textId="77777777" w:rsidR="00566EA9" w:rsidRPr="001D41EA" w:rsidRDefault="00566EA9" w:rsidP="001D41EA">
            <w:pPr>
              <w:spacing w:before="40" w:after="20"/>
              <w:rPr>
                <w:rFonts w:cs="Arial"/>
                <w:sz w:val="18"/>
                <w:szCs w:val="18"/>
              </w:rPr>
            </w:pPr>
            <w:r w:rsidRPr="001D41EA">
              <w:rPr>
                <w:rFonts w:cs="Arial"/>
                <w:sz w:val="18"/>
                <w:szCs w:val="18"/>
              </w:rPr>
              <w:t>Yarra Ranges S</w:t>
            </w:r>
          </w:p>
        </w:tc>
        <w:tc>
          <w:tcPr>
            <w:tcW w:w="1134" w:type="dxa"/>
            <w:tcBorders>
              <w:top w:val="nil"/>
              <w:left w:val="single" w:sz="18" w:space="0" w:color="5F497A" w:themeColor="accent4" w:themeShade="BF"/>
              <w:bottom w:val="nil"/>
              <w:right w:val="nil"/>
            </w:tcBorders>
            <w:shd w:val="clear" w:color="auto" w:fill="auto"/>
            <w:vAlign w:val="bottom"/>
          </w:tcPr>
          <w:p w14:paraId="7949A591" w14:textId="26CD40A6" w:rsidR="00566EA9" w:rsidRPr="001D41EA" w:rsidRDefault="00566EA9" w:rsidP="001D41EA">
            <w:pPr>
              <w:spacing w:before="40" w:after="20"/>
              <w:jc w:val="center"/>
              <w:rPr>
                <w:rFonts w:cs="Arial"/>
                <w:sz w:val="18"/>
                <w:szCs w:val="18"/>
              </w:rPr>
            </w:pPr>
            <w:r w:rsidRPr="001D41EA">
              <w:rPr>
                <w:rFonts w:cs="Arial"/>
                <w:sz w:val="18"/>
                <w:szCs w:val="18"/>
              </w:rPr>
              <w:t>0.902</w:t>
            </w:r>
          </w:p>
        </w:tc>
        <w:tc>
          <w:tcPr>
            <w:tcW w:w="1134" w:type="dxa"/>
            <w:tcBorders>
              <w:top w:val="nil"/>
              <w:left w:val="nil"/>
              <w:bottom w:val="nil"/>
              <w:right w:val="nil"/>
            </w:tcBorders>
            <w:shd w:val="clear" w:color="auto" w:fill="auto"/>
            <w:vAlign w:val="bottom"/>
          </w:tcPr>
          <w:p w14:paraId="1961B133" w14:textId="2B35FA72" w:rsidR="00566EA9" w:rsidRPr="001D41EA" w:rsidRDefault="00566EA9" w:rsidP="001D41EA">
            <w:pPr>
              <w:spacing w:before="40" w:after="20"/>
              <w:jc w:val="center"/>
              <w:rPr>
                <w:rFonts w:cs="Arial"/>
                <w:sz w:val="18"/>
                <w:szCs w:val="18"/>
              </w:rPr>
            </w:pPr>
            <w:r w:rsidRPr="001D41EA">
              <w:rPr>
                <w:rFonts w:cs="Arial"/>
                <w:sz w:val="18"/>
                <w:szCs w:val="18"/>
              </w:rPr>
              <w:t>0.892</w:t>
            </w:r>
          </w:p>
        </w:tc>
        <w:tc>
          <w:tcPr>
            <w:tcW w:w="170" w:type="dxa"/>
            <w:tcBorders>
              <w:top w:val="nil"/>
              <w:left w:val="nil"/>
              <w:bottom w:val="nil"/>
              <w:right w:val="nil"/>
            </w:tcBorders>
            <w:vAlign w:val="bottom"/>
          </w:tcPr>
          <w:p w14:paraId="53D7BF61" w14:textId="258EAB2B"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16D5BB84" w14:textId="50D5AE98" w:rsidR="00566EA9" w:rsidRPr="001D41EA" w:rsidRDefault="00566EA9" w:rsidP="001D41EA">
            <w:pPr>
              <w:spacing w:before="40" w:after="20"/>
              <w:jc w:val="center"/>
              <w:rPr>
                <w:rFonts w:cs="Arial"/>
                <w:sz w:val="18"/>
                <w:szCs w:val="18"/>
              </w:rPr>
            </w:pPr>
            <w:r w:rsidRPr="001D41EA">
              <w:rPr>
                <w:rFonts w:cs="Arial"/>
                <w:sz w:val="18"/>
                <w:szCs w:val="18"/>
              </w:rPr>
              <w:t>1.005</w:t>
            </w:r>
          </w:p>
        </w:tc>
        <w:tc>
          <w:tcPr>
            <w:tcW w:w="1134" w:type="dxa"/>
            <w:tcBorders>
              <w:top w:val="nil"/>
              <w:left w:val="nil"/>
              <w:bottom w:val="nil"/>
              <w:right w:val="nil"/>
            </w:tcBorders>
            <w:vAlign w:val="bottom"/>
          </w:tcPr>
          <w:p w14:paraId="2087712D" w14:textId="3097EC7D" w:rsidR="00566EA9" w:rsidRPr="001D41EA" w:rsidRDefault="00566EA9" w:rsidP="001D41EA">
            <w:pPr>
              <w:spacing w:before="40" w:after="20"/>
              <w:jc w:val="center"/>
              <w:rPr>
                <w:rFonts w:cs="Arial"/>
                <w:sz w:val="18"/>
                <w:szCs w:val="18"/>
              </w:rPr>
            </w:pPr>
            <w:r w:rsidRPr="001D41EA">
              <w:rPr>
                <w:rFonts w:cs="Arial"/>
                <w:sz w:val="18"/>
                <w:szCs w:val="18"/>
              </w:rPr>
              <w:t>0.998</w:t>
            </w:r>
          </w:p>
        </w:tc>
        <w:tc>
          <w:tcPr>
            <w:tcW w:w="1134" w:type="dxa"/>
            <w:tcBorders>
              <w:top w:val="nil"/>
              <w:left w:val="nil"/>
              <w:bottom w:val="nil"/>
              <w:right w:val="nil"/>
            </w:tcBorders>
            <w:vAlign w:val="bottom"/>
          </w:tcPr>
          <w:p w14:paraId="4DDC7469" w14:textId="4F584722" w:rsidR="00566EA9" w:rsidRPr="001D41EA" w:rsidRDefault="00566EA9" w:rsidP="001D41EA">
            <w:pPr>
              <w:spacing w:before="40" w:after="20"/>
              <w:jc w:val="center"/>
              <w:rPr>
                <w:rFonts w:cs="Arial"/>
                <w:sz w:val="18"/>
                <w:szCs w:val="18"/>
              </w:rPr>
            </w:pPr>
            <w:r w:rsidRPr="001D41EA">
              <w:rPr>
                <w:rFonts w:cs="Arial"/>
                <w:sz w:val="18"/>
                <w:szCs w:val="18"/>
              </w:rPr>
              <w:t>1.000</w:t>
            </w:r>
          </w:p>
        </w:tc>
        <w:tc>
          <w:tcPr>
            <w:tcW w:w="1134" w:type="dxa"/>
            <w:tcBorders>
              <w:top w:val="nil"/>
              <w:left w:val="nil"/>
              <w:bottom w:val="nil"/>
              <w:right w:val="nil"/>
            </w:tcBorders>
            <w:vAlign w:val="bottom"/>
          </w:tcPr>
          <w:p w14:paraId="070D83FF" w14:textId="08ADC762" w:rsidR="00566EA9" w:rsidRPr="001D41EA" w:rsidRDefault="00566EA9" w:rsidP="001D41EA">
            <w:pPr>
              <w:spacing w:before="40" w:after="20"/>
              <w:jc w:val="center"/>
              <w:rPr>
                <w:rFonts w:cs="Arial"/>
                <w:sz w:val="18"/>
                <w:szCs w:val="18"/>
              </w:rPr>
            </w:pPr>
            <w:r w:rsidRPr="001D41EA">
              <w:rPr>
                <w:rFonts w:cs="Arial"/>
                <w:sz w:val="18"/>
                <w:szCs w:val="18"/>
              </w:rPr>
              <w:t>0.980</w:t>
            </w:r>
          </w:p>
        </w:tc>
      </w:tr>
      <w:tr w:rsidR="00566EA9" w:rsidRPr="001D41EA" w14:paraId="5991A681" w14:textId="77777777" w:rsidTr="002B721C">
        <w:tc>
          <w:tcPr>
            <w:tcW w:w="2268" w:type="dxa"/>
            <w:tcBorders>
              <w:top w:val="nil"/>
              <w:left w:val="nil"/>
              <w:bottom w:val="nil"/>
              <w:right w:val="single" w:sz="18" w:space="0" w:color="5F497A" w:themeColor="accent4" w:themeShade="BF"/>
            </w:tcBorders>
            <w:shd w:val="clear" w:color="auto" w:fill="auto"/>
            <w:vAlign w:val="center"/>
          </w:tcPr>
          <w:p w14:paraId="4D7671FF" w14:textId="77777777" w:rsidR="00566EA9" w:rsidRPr="001D41EA" w:rsidRDefault="00566EA9" w:rsidP="001D41EA">
            <w:pPr>
              <w:spacing w:before="40" w:after="20"/>
              <w:rPr>
                <w:rFonts w:cs="Arial"/>
                <w:sz w:val="18"/>
                <w:szCs w:val="18"/>
              </w:rPr>
            </w:pPr>
            <w:r w:rsidRPr="001D41EA">
              <w:rPr>
                <w:rFonts w:cs="Arial"/>
                <w:sz w:val="18"/>
                <w:szCs w:val="18"/>
              </w:rPr>
              <w:t>Yarriambiack S</w:t>
            </w:r>
          </w:p>
        </w:tc>
        <w:tc>
          <w:tcPr>
            <w:tcW w:w="1134" w:type="dxa"/>
            <w:tcBorders>
              <w:top w:val="nil"/>
              <w:left w:val="single" w:sz="18" w:space="0" w:color="5F497A" w:themeColor="accent4" w:themeShade="BF"/>
              <w:bottom w:val="nil"/>
              <w:right w:val="nil"/>
            </w:tcBorders>
            <w:shd w:val="clear" w:color="auto" w:fill="auto"/>
            <w:vAlign w:val="bottom"/>
          </w:tcPr>
          <w:p w14:paraId="54002BB6" w14:textId="0DC6C0E3" w:rsidR="00566EA9" w:rsidRPr="001D41EA" w:rsidRDefault="00566EA9" w:rsidP="001D41EA">
            <w:pPr>
              <w:spacing w:before="40" w:after="20"/>
              <w:jc w:val="center"/>
              <w:rPr>
                <w:rFonts w:cs="Arial"/>
                <w:sz w:val="18"/>
                <w:szCs w:val="18"/>
              </w:rPr>
            </w:pPr>
            <w:r w:rsidRPr="001D41EA">
              <w:rPr>
                <w:rFonts w:cs="Arial"/>
                <w:sz w:val="18"/>
                <w:szCs w:val="18"/>
              </w:rPr>
              <w:t>1.234</w:t>
            </w:r>
          </w:p>
        </w:tc>
        <w:tc>
          <w:tcPr>
            <w:tcW w:w="1134" w:type="dxa"/>
            <w:tcBorders>
              <w:top w:val="nil"/>
              <w:left w:val="nil"/>
              <w:bottom w:val="nil"/>
              <w:right w:val="nil"/>
            </w:tcBorders>
            <w:shd w:val="clear" w:color="auto" w:fill="auto"/>
            <w:vAlign w:val="bottom"/>
          </w:tcPr>
          <w:p w14:paraId="2599CA6C" w14:textId="1CE2867B" w:rsidR="00566EA9" w:rsidRPr="001D41EA" w:rsidRDefault="00566EA9" w:rsidP="001D41EA">
            <w:pPr>
              <w:spacing w:before="40" w:after="20"/>
              <w:jc w:val="center"/>
              <w:rPr>
                <w:rFonts w:cs="Arial"/>
                <w:sz w:val="18"/>
                <w:szCs w:val="18"/>
              </w:rPr>
            </w:pPr>
            <w:r w:rsidRPr="001D41EA">
              <w:rPr>
                <w:rFonts w:cs="Arial"/>
                <w:sz w:val="18"/>
                <w:szCs w:val="18"/>
              </w:rPr>
              <w:t>1.221</w:t>
            </w:r>
          </w:p>
        </w:tc>
        <w:tc>
          <w:tcPr>
            <w:tcW w:w="170" w:type="dxa"/>
            <w:tcBorders>
              <w:top w:val="nil"/>
              <w:left w:val="nil"/>
              <w:bottom w:val="nil"/>
              <w:right w:val="nil"/>
            </w:tcBorders>
            <w:vAlign w:val="bottom"/>
          </w:tcPr>
          <w:p w14:paraId="17F75AE4" w14:textId="0DEC6C4F" w:rsidR="00566EA9" w:rsidRPr="001D41EA" w:rsidRDefault="00566EA9" w:rsidP="001D41EA">
            <w:pPr>
              <w:spacing w:before="40" w:after="20"/>
              <w:jc w:val="center"/>
              <w:rPr>
                <w:rFonts w:cs="Arial"/>
                <w:sz w:val="18"/>
                <w:szCs w:val="18"/>
              </w:rPr>
            </w:pPr>
          </w:p>
        </w:tc>
        <w:tc>
          <w:tcPr>
            <w:tcW w:w="1134" w:type="dxa"/>
            <w:tcBorders>
              <w:top w:val="nil"/>
              <w:left w:val="nil"/>
              <w:bottom w:val="nil"/>
              <w:right w:val="nil"/>
            </w:tcBorders>
            <w:vAlign w:val="bottom"/>
          </w:tcPr>
          <w:p w14:paraId="0766A583" w14:textId="394DD122" w:rsidR="00566EA9" w:rsidRPr="001D41EA" w:rsidRDefault="00566EA9" w:rsidP="001D41EA">
            <w:pPr>
              <w:spacing w:before="40" w:after="20"/>
              <w:jc w:val="center"/>
              <w:rPr>
                <w:rFonts w:cs="Arial"/>
                <w:sz w:val="18"/>
                <w:szCs w:val="18"/>
              </w:rPr>
            </w:pPr>
            <w:r w:rsidRPr="001D41EA">
              <w:rPr>
                <w:rFonts w:cs="Arial"/>
                <w:sz w:val="18"/>
                <w:szCs w:val="18"/>
              </w:rPr>
              <w:t>1.084</w:t>
            </w:r>
          </w:p>
        </w:tc>
        <w:tc>
          <w:tcPr>
            <w:tcW w:w="1134" w:type="dxa"/>
            <w:tcBorders>
              <w:top w:val="nil"/>
              <w:left w:val="nil"/>
              <w:bottom w:val="nil"/>
              <w:right w:val="nil"/>
            </w:tcBorders>
            <w:vAlign w:val="bottom"/>
          </w:tcPr>
          <w:p w14:paraId="07E84D6A" w14:textId="795CE4E2" w:rsidR="00566EA9" w:rsidRPr="001D41EA" w:rsidRDefault="00566EA9" w:rsidP="001D41EA">
            <w:pPr>
              <w:spacing w:before="40" w:after="20"/>
              <w:jc w:val="center"/>
              <w:rPr>
                <w:rFonts w:cs="Arial"/>
                <w:sz w:val="18"/>
                <w:szCs w:val="18"/>
              </w:rPr>
            </w:pPr>
            <w:r w:rsidRPr="001D41EA">
              <w:rPr>
                <w:rFonts w:cs="Arial"/>
                <w:sz w:val="18"/>
                <w:szCs w:val="18"/>
              </w:rPr>
              <w:t>1.077</w:t>
            </w:r>
          </w:p>
        </w:tc>
        <w:tc>
          <w:tcPr>
            <w:tcW w:w="1134" w:type="dxa"/>
            <w:tcBorders>
              <w:top w:val="nil"/>
              <w:left w:val="nil"/>
              <w:bottom w:val="nil"/>
              <w:right w:val="nil"/>
            </w:tcBorders>
            <w:vAlign w:val="bottom"/>
          </w:tcPr>
          <w:p w14:paraId="228A88ED" w14:textId="7BC5A2A4" w:rsidR="00566EA9" w:rsidRPr="001D41EA" w:rsidRDefault="00566EA9" w:rsidP="001D41EA">
            <w:pPr>
              <w:spacing w:before="40" w:after="20"/>
              <w:jc w:val="center"/>
              <w:rPr>
                <w:rFonts w:cs="Arial"/>
                <w:sz w:val="18"/>
                <w:szCs w:val="18"/>
              </w:rPr>
            </w:pPr>
            <w:r w:rsidRPr="001D41EA">
              <w:rPr>
                <w:rFonts w:cs="Arial"/>
                <w:sz w:val="18"/>
                <w:szCs w:val="18"/>
              </w:rPr>
              <w:t>1.080</w:t>
            </w:r>
          </w:p>
        </w:tc>
        <w:tc>
          <w:tcPr>
            <w:tcW w:w="1134" w:type="dxa"/>
            <w:tcBorders>
              <w:top w:val="nil"/>
              <w:left w:val="nil"/>
              <w:bottom w:val="nil"/>
              <w:right w:val="nil"/>
            </w:tcBorders>
            <w:vAlign w:val="bottom"/>
          </w:tcPr>
          <w:p w14:paraId="75EE7F2C" w14:textId="67FD672F" w:rsidR="00566EA9" w:rsidRPr="001D41EA" w:rsidRDefault="00566EA9" w:rsidP="001D41EA">
            <w:pPr>
              <w:spacing w:before="40" w:after="20"/>
              <w:jc w:val="center"/>
              <w:rPr>
                <w:rFonts w:cs="Arial"/>
                <w:sz w:val="18"/>
                <w:szCs w:val="18"/>
              </w:rPr>
            </w:pPr>
            <w:r w:rsidRPr="001D41EA">
              <w:rPr>
                <w:rFonts w:cs="Arial"/>
                <w:sz w:val="18"/>
                <w:szCs w:val="18"/>
              </w:rPr>
              <w:t>1.058</w:t>
            </w:r>
          </w:p>
        </w:tc>
      </w:tr>
      <w:tr w:rsidR="009E2B93" w:rsidRPr="001D41EA" w14:paraId="29DAC1B4" w14:textId="77777777" w:rsidTr="009E2B93">
        <w:tc>
          <w:tcPr>
            <w:tcW w:w="2268" w:type="dxa"/>
            <w:tcBorders>
              <w:top w:val="nil"/>
              <w:left w:val="nil"/>
              <w:bottom w:val="nil"/>
              <w:right w:val="single" w:sz="18" w:space="0" w:color="5F497A" w:themeColor="accent4" w:themeShade="BF"/>
            </w:tcBorders>
            <w:shd w:val="clear" w:color="auto" w:fill="auto"/>
            <w:vAlign w:val="center"/>
          </w:tcPr>
          <w:p w14:paraId="43AD95E1" w14:textId="77777777" w:rsidR="009E2B93" w:rsidRPr="001D41EA" w:rsidRDefault="009E2B93" w:rsidP="001D41EA">
            <w:pPr>
              <w:spacing w:before="40" w:after="20"/>
              <w:rPr>
                <w:rFonts w:cs="Arial"/>
                <w:sz w:val="18"/>
                <w:szCs w:val="18"/>
                <w:lang w:eastAsia="ko-KR"/>
              </w:rPr>
            </w:pPr>
          </w:p>
        </w:tc>
        <w:tc>
          <w:tcPr>
            <w:tcW w:w="1134" w:type="dxa"/>
            <w:tcBorders>
              <w:top w:val="nil"/>
              <w:left w:val="single" w:sz="18" w:space="0" w:color="5F497A" w:themeColor="accent4" w:themeShade="BF"/>
              <w:bottom w:val="single" w:sz="8" w:space="0" w:color="5F497A" w:themeColor="accent4" w:themeShade="BF"/>
              <w:right w:val="nil"/>
            </w:tcBorders>
            <w:shd w:val="clear" w:color="auto" w:fill="auto"/>
            <w:vAlign w:val="center"/>
          </w:tcPr>
          <w:p w14:paraId="755BAB9B" w14:textId="77777777"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shd w:val="clear" w:color="auto" w:fill="auto"/>
            <w:vAlign w:val="center"/>
          </w:tcPr>
          <w:p w14:paraId="58D35577" w14:textId="77777777" w:rsidR="009E2B93" w:rsidRPr="001D41EA" w:rsidRDefault="009E2B93" w:rsidP="001D41EA">
            <w:pPr>
              <w:spacing w:before="40" w:after="20"/>
              <w:jc w:val="center"/>
              <w:rPr>
                <w:rFonts w:cs="Arial"/>
                <w:sz w:val="18"/>
                <w:szCs w:val="18"/>
              </w:rPr>
            </w:pPr>
          </w:p>
        </w:tc>
        <w:tc>
          <w:tcPr>
            <w:tcW w:w="170" w:type="dxa"/>
            <w:tcBorders>
              <w:top w:val="nil"/>
              <w:left w:val="nil"/>
              <w:bottom w:val="single" w:sz="8" w:space="0" w:color="5F497A" w:themeColor="accent4" w:themeShade="BF"/>
              <w:right w:val="nil"/>
            </w:tcBorders>
            <w:vAlign w:val="center"/>
          </w:tcPr>
          <w:p w14:paraId="3E828F52" w14:textId="77777777"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vAlign w:val="center"/>
          </w:tcPr>
          <w:p w14:paraId="31C11581" w14:textId="77777777"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vAlign w:val="center"/>
          </w:tcPr>
          <w:p w14:paraId="5762D219" w14:textId="77777777"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tcPr>
          <w:p w14:paraId="063EDF8E" w14:textId="77777777" w:rsidR="009E2B93" w:rsidRPr="001D41EA" w:rsidRDefault="009E2B93" w:rsidP="001D41EA">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tcPr>
          <w:p w14:paraId="0522F9EE" w14:textId="37B3C2A4" w:rsidR="009E2B93" w:rsidRPr="001D41EA" w:rsidRDefault="009E2B93" w:rsidP="001D41EA">
            <w:pPr>
              <w:spacing w:before="40" w:after="20"/>
              <w:jc w:val="center"/>
              <w:rPr>
                <w:rFonts w:cs="Arial"/>
                <w:sz w:val="18"/>
                <w:szCs w:val="18"/>
              </w:rPr>
            </w:pPr>
          </w:p>
        </w:tc>
      </w:tr>
      <w:tr w:rsidR="009E2B93" w:rsidRPr="001D41EA" w14:paraId="649D77DC" w14:textId="77777777" w:rsidTr="009E2B93">
        <w:tc>
          <w:tcPr>
            <w:tcW w:w="2268" w:type="dxa"/>
            <w:tcBorders>
              <w:top w:val="nil"/>
              <w:left w:val="nil"/>
              <w:bottom w:val="nil"/>
              <w:right w:val="single" w:sz="18" w:space="0" w:color="5F497A" w:themeColor="accent4" w:themeShade="BF"/>
            </w:tcBorders>
            <w:shd w:val="clear" w:color="auto" w:fill="auto"/>
            <w:vAlign w:val="center"/>
          </w:tcPr>
          <w:p w14:paraId="4845F09B" w14:textId="77777777" w:rsidR="009E2B93" w:rsidRPr="001D41EA" w:rsidRDefault="009E2B93" w:rsidP="001D41EA">
            <w:pPr>
              <w:spacing w:before="40" w:after="20"/>
              <w:rPr>
                <w:rFonts w:cs="Arial"/>
                <w:sz w:val="18"/>
                <w:szCs w:val="18"/>
                <w:lang w:eastAsia="ko-KR"/>
              </w:rPr>
            </w:pPr>
          </w:p>
        </w:tc>
        <w:tc>
          <w:tcPr>
            <w:tcW w:w="1134" w:type="dxa"/>
            <w:tcBorders>
              <w:top w:val="single" w:sz="8" w:space="0" w:color="5F497A" w:themeColor="accent4" w:themeShade="BF"/>
              <w:left w:val="single" w:sz="18" w:space="0" w:color="5F497A" w:themeColor="accent4" w:themeShade="BF"/>
              <w:right w:val="nil"/>
            </w:tcBorders>
            <w:shd w:val="clear" w:color="auto" w:fill="auto"/>
            <w:vAlign w:val="center"/>
          </w:tcPr>
          <w:p w14:paraId="3E2C3876" w14:textId="18434AEF"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134" w:type="dxa"/>
            <w:tcBorders>
              <w:top w:val="single" w:sz="8" w:space="0" w:color="5F497A" w:themeColor="accent4" w:themeShade="BF"/>
              <w:left w:val="nil"/>
              <w:right w:val="nil"/>
            </w:tcBorders>
            <w:shd w:val="clear" w:color="auto" w:fill="auto"/>
            <w:vAlign w:val="center"/>
          </w:tcPr>
          <w:p w14:paraId="417ECBA7" w14:textId="689E7F2D"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70" w:type="dxa"/>
            <w:tcBorders>
              <w:top w:val="single" w:sz="8" w:space="0" w:color="5F497A" w:themeColor="accent4" w:themeShade="BF"/>
              <w:left w:val="nil"/>
              <w:right w:val="nil"/>
            </w:tcBorders>
            <w:vAlign w:val="center"/>
          </w:tcPr>
          <w:p w14:paraId="385795C4" w14:textId="77777777" w:rsidR="009E2B93" w:rsidRPr="001D41EA" w:rsidRDefault="009E2B93" w:rsidP="001D41EA">
            <w:pPr>
              <w:spacing w:before="40" w:after="20"/>
              <w:jc w:val="center"/>
              <w:rPr>
                <w:rFonts w:cs="Arial"/>
                <w:sz w:val="18"/>
                <w:szCs w:val="18"/>
              </w:rPr>
            </w:pPr>
          </w:p>
        </w:tc>
        <w:tc>
          <w:tcPr>
            <w:tcW w:w="1134" w:type="dxa"/>
            <w:tcBorders>
              <w:top w:val="single" w:sz="8" w:space="0" w:color="5F497A" w:themeColor="accent4" w:themeShade="BF"/>
              <w:left w:val="nil"/>
              <w:right w:val="nil"/>
            </w:tcBorders>
            <w:vAlign w:val="center"/>
          </w:tcPr>
          <w:p w14:paraId="131960B7" w14:textId="2381BEB6"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134" w:type="dxa"/>
            <w:tcBorders>
              <w:top w:val="single" w:sz="8" w:space="0" w:color="5F497A" w:themeColor="accent4" w:themeShade="BF"/>
              <w:left w:val="nil"/>
              <w:right w:val="nil"/>
            </w:tcBorders>
            <w:vAlign w:val="center"/>
          </w:tcPr>
          <w:p w14:paraId="4F9FFE28" w14:textId="508A6B1B" w:rsidR="009E2B93" w:rsidRPr="001D41EA" w:rsidRDefault="009E2B93" w:rsidP="001D41EA">
            <w:pPr>
              <w:spacing w:before="40" w:after="20"/>
              <w:jc w:val="center"/>
              <w:rPr>
                <w:rFonts w:cs="Arial"/>
                <w:b/>
                <w:sz w:val="18"/>
                <w:szCs w:val="18"/>
              </w:rPr>
            </w:pPr>
            <w:r w:rsidRPr="001D41EA">
              <w:rPr>
                <w:rFonts w:cs="Arial"/>
                <w:b/>
                <w:sz w:val="18"/>
                <w:szCs w:val="18"/>
              </w:rPr>
              <w:t>1.000</w:t>
            </w:r>
          </w:p>
        </w:tc>
        <w:tc>
          <w:tcPr>
            <w:tcW w:w="1134" w:type="dxa"/>
            <w:tcBorders>
              <w:top w:val="single" w:sz="8" w:space="0" w:color="5F497A" w:themeColor="accent4" w:themeShade="BF"/>
              <w:left w:val="nil"/>
              <w:right w:val="nil"/>
            </w:tcBorders>
          </w:tcPr>
          <w:p w14:paraId="3305D05E" w14:textId="51CF752D" w:rsidR="009E2B93" w:rsidRPr="001D41EA" w:rsidRDefault="00790D04" w:rsidP="001D41EA">
            <w:pPr>
              <w:spacing w:before="40" w:after="20"/>
              <w:jc w:val="center"/>
              <w:rPr>
                <w:rFonts w:cs="Arial"/>
                <w:b/>
                <w:sz w:val="18"/>
                <w:szCs w:val="18"/>
              </w:rPr>
            </w:pPr>
            <w:r w:rsidRPr="001D41EA">
              <w:rPr>
                <w:rFonts w:cs="Arial"/>
                <w:b/>
                <w:sz w:val="18"/>
                <w:szCs w:val="18"/>
              </w:rPr>
              <w:t>1.000</w:t>
            </w:r>
          </w:p>
        </w:tc>
        <w:tc>
          <w:tcPr>
            <w:tcW w:w="1134" w:type="dxa"/>
            <w:tcBorders>
              <w:top w:val="single" w:sz="8" w:space="0" w:color="5F497A" w:themeColor="accent4" w:themeShade="BF"/>
              <w:left w:val="nil"/>
              <w:right w:val="nil"/>
            </w:tcBorders>
          </w:tcPr>
          <w:p w14:paraId="47E62EC8" w14:textId="3512F320" w:rsidR="009E2B93" w:rsidRPr="001D41EA" w:rsidRDefault="009E2B93" w:rsidP="001D41EA">
            <w:pPr>
              <w:spacing w:before="40" w:after="20"/>
              <w:jc w:val="center"/>
              <w:rPr>
                <w:rFonts w:cs="Arial"/>
                <w:b/>
                <w:sz w:val="18"/>
                <w:szCs w:val="18"/>
              </w:rPr>
            </w:pPr>
            <w:r w:rsidRPr="001D41EA">
              <w:rPr>
                <w:rFonts w:cs="Arial"/>
                <w:b/>
                <w:sz w:val="18"/>
                <w:szCs w:val="18"/>
              </w:rPr>
              <w:t>1.000</w:t>
            </w:r>
          </w:p>
        </w:tc>
      </w:tr>
    </w:tbl>
    <w:p w14:paraId="080C1E86" w14:textId="142E1F91" w:rsidR="00EB2E62" w:rsidRPr="00A44829" w:rsidRDefault="00EB2E62" w:rsidP="00FF36E8">
      <w:pPr>
        <w:spacing w:before="40" w:after="20"/>
        <w:rPr>
          <w:rFonts w:cs="Arial"/>
          <w:sz w:val="18"/>
          <w:szCs w:val="18"/>
        </w:rPr>
      </w:pPr>
    </w:p>
    <w:p w14:paraId="53FBA7DC" w14:textId="5D1E5363" w:rsidR="00357C69" w:rsidRPr="00A44829" w:rsidRDefault="00A009D7" w:rsidP="00FF36E8">
      <w:pPr>
        <w:spacing w:before="40" w:after="20"/>
        <w:rPr>
          <w:rFonts w:cs="Arial"/>
          <w:sz w:val="18"/>
          <w:szCs w:val="18"/>
        </w:rPr>
      </w:pPr>
      <w:r w:rsidRPr="005D19CF">
        <w:rPr>
          <w:rFonts w:cs="Arial"/>
          <w:i/>
          <w:sz w:val="16"/>
          <w:szCs w:val="16"/>
        </w:rPr>
        <w:t xml:space="preserve">* Modified Population - adjusted by </w:t>
      </w:r>
      <w:r w:rsidR="005D19CF">
        <w:rPr>
          <w:rFonts w:cs="Arial"/>
          <w:i/>
          <w:sz w:val="16"/>
          <w:szCs w:val="16"/>
        </w:rPr>
        <w:t>half</w:t>
      </w:r>
      <w:r w:rsidRPr="005D19CF">
        <w:rPr>
          <w:rFonts w:cs="Arial"/>
          <w:i/>
          <w:sz w:val="16"/>
          <w:szCs w:val="16"/>
        </w:rPr>
        <w:t xml:space="preserve"> vacancy rate to take account of part-time residents.</w:t>
      </w:r>
      <w:r w:rsidRPr="00A44829">
        <w:rPr>
          <w:rFonts w:cs="Arial"/>
          <w:i/>
          <w:sz w:val="16"/>
          <w:szCs w:val="16"/>
        </w:rPr>
        <w:t xml:space="preserve">  </w:t>
      </w:r>
    </w:p>
    <w:p w14:paraId="7DE2E065" w14:textId="77777777" w:rsidR="00566EA9" w:rsidRPr="00A44829" w:rsidRDefault="00566EA9">
      <w:pPr>
        <w:rPr>
          <w:rFonts w:cs="Arial"/>
          <w:bCs/>
          <w:color w:val="5F497A" w:themeColor="accent4" w:themeShade="BF"/>
          <w:sz w:val="4"/>
          <w:szCs w:val="4"/>
        </w:rPr>
      </w:pPr>
      <w:r w:rsidRPr="00A44829">
        <w:rPr>
          <w:rFonts w:cs="Arial"/>
        </w:rPr>
        <w:br w:type="page"/>
      </w:r>
    </w:p>
    <w:p w14:paraId="78639110" w14:textId="6F328C0E" w:rsidR="00C94778" w:rsidRPr="00A44829" w:rsidRDefault="00CE4507" w:rsidP="00C33713">
      <w:pPr>
        <w:pStyle w:val="VGC-Head10"/>
      </w:pPr>
      <w:r w:rsidRPr="00A44829">
        <w:lastRenderedPageBreak/>
        <w:t>Appendix 4</w:t>
      </w:r>
      <w:r w:rsidR="00496979" w:rsidRPr="00A44829">
        <w:tab/>
      </w:r>
      <w:r w:rsidR="00EE4593" w:rsidRPr="00A44829">
        <w:t>2019-20</w:t>
      </w:r>
      <w:r w:rsidR="00A97ABE" w:rsidRPr="00A44829">
        <w:t xml:space="preserve"> </w:t>
      </w:r>
      <w:r w:rsidR="00496979" w:rsidRPr="00A44829">
        <w:t xml:space="preserve">General Purpose Grants </w:t>
      </w:r>
    </w:p>
    <w:p w14:paraId="1EC11377" w14:textId="77777777" w:rsidR="00C94778" w:rsidRPr="00A44829" w:rsidRDefault="00CE520A" w:rsidP="008C1A28">
      <w:pPr>
        <w:pStyle w:val="VGC-Head2"/>
      </w:pPr>
      <w:r w:rsidRPr="00A44829">
        <w:t xml:space="preserve">E.  </w:t>
      </w:r>
      <w:r w:rsidR="00C94778" w:rsidRPr="00A44829">
        <w:t>Composite Cost Adjustors</w:t>
      </w:r>
    </w:p>
    <w:p w14:paraId="7014916C" w14:textId="77777777" w:rsidR="00496979" w:rsidRPr="00A44829"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1D77D1" w:rsidRPr="00A44829" w14:paraId="59C85FD6" w14:textId="77777777" w:rsidTr="00B44BBE">
        <w:trPr>
          <w:trHeight w:val="20"/>
          <w:tblHeader/>
        </w:trPr>
        <w:tc>
          <w:tcPr>
            <w:tcW w:w="2268" w:type="dxa"/>
            <w:tcBorders>
              <w:top w:val="nil"/>
              <w:left w:val="nil"/>
              <w:right w:val="single" w:sz="18" w:space="0" w:color="5F497A" w:themeColor="accent4" w:themeShade="BF"/>
            </w:tcBorders>
            <w:shd w:val="clear" w:color="auto" w:fill="auto"/>
            <w:tcMar>
              <w:left w:w="28" w:type="dxa"/>
              <w:right w:w="28" w:type="dxa"/>
            </w:tcMar>
            <w:vAlign w:val="bottom"/>
          </w:tcPr>
          <w:p w14:paraId="601BCA3A" w14:textId="77777777" w:rsidR="001D77D1" w:rsidRPr="00A44829" w:rsidRDefault="001D77D1" w:rsidP="008001AD">
            <w:pPr>
              <w:spacing w:before="40" w:after="20"/>
              <w:jc w:val="center"/>
              <w:rPr>
                <w:rFonts w:cs="Arial"/>
                <w:sz w:val="18"/>
                <w:szCs w:val="18"/>
              </w:rPr>
            </w:pPr>
          </w:p>
        </w:tc>
        <w:tc>
          <w:tcPr>
            <w:tcW w:w="851" w:type="dxa"/>
            <w:tcBorders>
              <w:top w:val="nil"/>
              <w:left w:val="single" w:sz="18" w:space="0" w:color="5F497A" w:themeColor="accent4" w:themeShade="BF"/>
              <w:bottom w:val="single" w:sz="8" w:space="0" w:color="5F497A" w:themeColor="accent4" w:themeShade="BF"/>
              <w:right w:val="nil"/>
            </w:tcBorders>
            <w:shd w:val="clear" w:color="auto" w:fill="auto"/>
            <w:tcMar>
              <w:left w:w="28" w:type="dxa"/>
              <w:right w:w="28" w:type="dxa"/>
            </w:tcMar>
            <w:vAlign w:val="bottom"/>
          </w:tcPr>
          <w:p w14:paraId="252A05CA" w14:textId="77777777" w:rsidR="001D77D1" w:rsidRPr="00A44829" w:rsidRDefault="001D77D1" w:rsidP="008001AD">
            <w:pPr>
              <w:spacing w:before="40" w:after="20"/>
              <w:jc w:val="center"/>
              <w:rPr>
                <w:rFonts w:cs="Arial"/>
                <w:spacing w:val="-4"/>
                <w:sz w:val="16"/>
                <w:szCs w:val="16"/>
              </w:rPr>
            </w:pPr>
            <w:r w:rsidRPr="00A44829">
              <w:rPr>
                <w:rFonts w:cs="Arial"/>
                <w:spacing w:val="-4"/>
                <w:sz w:val="16"/>
                <w:szCs w:val="16"/>
              </w:rPr>
              <w:t>Govern</w:t>
            </w:r>
            <w:r w:rsidR="00985540" w:rsidRPr="00A44829">
              <w:rPr>
                <w:rFonts w:cs="Arial"/>
                <w:spacing w:val="-4"/>
                <w:sz w:val="16"/>
                <w:szCs w:val="16"/>
              </w:rPr>
              <w:t xml:space="preserve"> </w:t>
            </w:r>
            <w:r w:rsidR="00985540" w:rsidRPr="00A44829">
              <w:rPr>
                <w:rFonts w:cs="Arial"/>
                <w:spacing w:val="-4"/>
                <w:sz w:val="16"/>
                <w:szCs w:val="16"/>
              </w:rPr>
              <w:br/>
            </w:r>
            <w:r w:rsidR="00C75CC1" w:rsidRPr="00A44829">
              <w:rPr>
                <w:rFonts w:cs="Arial"/>
                <w:spacing w:val="-4"/>
                <w:sz w:val="16"/>
                <w:szCs w:val="16"/>
              </w:rPr>
              <w:t>-</w:t>
            </w:r>
            <w:r w:rsidRPr="00A44829">
              <w:rPr>
                <w:rFonts w:cs="Arial"/>
                <w:spacing w:val="-4"/>
                <w:sz w:val="16"/>
                <w:szCs w:val="16"/>
              </w:rPr>
              <w:t>ance</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582CCD61" w14:textId="77777777" w:rsidR="001D77D1" w:rsidRPr="00A44829" w:rsidRDefault="001D77D1" w:rsidP="008001AD">
            <w:pPr>
              <w:spacing w:before="40" w:after="20"/>
              <w:jc w:val="center"/>
              <w:rPr>
                <w:rFonts w:cs="Arial"/>
                <w:spacing w:val="-4"/>
                <w:sz w:val="16"/>
                <w:szCs w:val="16"/>
              </w:rPr>
            </w:pPr>
            <w:r w:rsidRPr="00A44829">
              <w:rPr>
                <w:rFonts w:cs="Arial"/>
                <w:spacing w:val="-4"/>
                <w:sz w:val="16"/>
                <w:szCs w:val="16"/>
              </w:rPr>
              <w:t>Family &amp; Comm</w:t>
            </w:r>
            <w:r w:rsidR="00C75CC1" w:rsidRPr="00A44829">
              <w:rPr>
                <w:rFonts w:cs="Arial"/>
                <w:spacing w:val="-4"/>
                <w:sz w:val="16"/>
                <w:szCs w:val="16"/>
              </w:rPr>
              <w:t>-</w:t>
            </w:r>
            <w:r w:rsidRPr="00A44829">
              <w:rPr>
                <w:rFonts w:cs="Arial"/>
                <w:spacing w:val="-4"/>
                <w:sz w:val="16"/>
                <w:szCs w:val="16"/>
              </w:rPr>
              <w:t>unity Services</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49CFE884" w14:textId="77777777" w:rsidR="001D77D1" w:rsidRPr="00A44829" w:rsidRDefault="001D77D1" w:rsidP="008001AD">
            <w:pPr>
              <w:spacing w:before="40" w:after="20"/>
              <w:jc w:val="center"/>
              <w:rPr>
                <w:rFonts w:cs="Arial"/>
                <w:spacing w:val="-4"/>
                <w:sz w:val="16"/>
                <w:szCs w:val="16"/>
              </w:rPr>
            </w:pPr>
            <w:r w:rsidRPr="00A44829">
              <w:rPr>
                <w:rFonts w:cs="Arial"/>
                <w:spacing w:val="-4"/>
                <w:sz w:val="16"/>
                <w:szCs w:val="16"/>
              </w:rPr>
              <w:t xml:space="preserve">Aged </w:t>
            </w:r>
            <w:r w:rsidR="009F66DE" w:rsidRPr="00A44829">
              <w:rPr>
                <w:rFonts w:cs="Arial"/>
                <w:spacing w:val="-4"/>
                <w:sz w:val="16"/>
                <w:szCs w:val="16"/>
              </w:rPr>
              <w:t xml:space="preserve">&amp; Disabled </w:t>
            </w:r>
            <w:r w:rsidRPr="00A44829">
              <w:rPr>
                <w:rFonts w:cs="Arial"/>
                <w:spacing w:val="-4"/>
                <w:sz w:val="16"/>
                <w:szCs w:val="16"/>
              </w:rPr>
              <w:t>Services</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4817E778" w14:textId="77777777" w:rsidR="001D77D1" w:rsidRPr="00A44829" w:rsidRDefault="001D77D1" w:rsidP="008001AD">
            <w:pPr>
              <w:spacing w:before="40" w:after="20"/>
              <w:jc w:val="center"/>
              <w:rPr>
                <w:rFonts w:cs="Arial"/>
                <w:spacing w:val="-4"/>
                <w:sz w:val="16"/>
                <w:szCs w:val="16"/>
              </w:rPr>
            </w:pPr>
            <w:r w:rsidRPr="00A44829">
              <w:rPr>
                <w:rFonts w:cs="Arial"/>
                <w:spacing w:val="-4"/>
                <w:sz w:val="16"/>
                <w:szCs w:val="16"/>
              </w:rPr>
              <w:t>Recreation &amp; Culture</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5817C66D" w14:textId="77777777" w:rsidR="001D77D1" w:rsidRPr="00A44829" w:rsidRDefault="001D77D1" w:rsidP="008001AD">
            <w:pPr>
              <w:spacing w:before="40" w:after="20"/>
              <w:jc w:val="center"/>
              <w:rPr>
                <w:rFonts w:cs="Arial"/>
                <w:spacing w:val="-4"/>
                <w:sz w:val="16"/>
                <w:szCs w:val="16"/>
              </w:rPr>
            </w:pPr>
            <w:r w:rsidRPr="00A44829">
              <w:rPr>
                <w:rFonts w:cs="Arial"/>
                <w:spacing w:val="-4"/>
                <w:sz w:val="16"/>
                <w:szCs w:val="16"/>
              </w:rPr>
              <w:t>Waste Manage</w:t>
            </w:r>
            <w:r w:rsidR="00C75CC1" w:rsidRPr="00A44829">
              <w:rPr>
                <w:rFonts w:cs="Arial"/>
                <w:spacing w:val="-4"/>
                <w:sz w:val="16"/>
                <w:szCs w:val="16"/>
              </w:rPr>
              <w:t>-</w:t>
            </w:r>
            <w:r w:rsidRPr="00A44829">
              <w:rPr>
                <w:rFonts w:cs="Arial"/>
                <w:spacing w:val="-4"/>
                <w:sz w:val="16"/>
                <w:szCs w:val="16"/>
              </w:rPr>
              <w:t>ment</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232429A7" w14:textId="77777777" w:rsidR="001D77D1" w:rsidRPr="00A44829" w:rsidRDefault="001D77D1" w:rsidP="008001AD">
            <w:pPr>
              <w:spacing w:before="40" w:after="20"/>
              <w:jc w:val="center"/>
              <w:rPr>
                <w:rFonts w:cs="Arial"/>
                <w:spacing w:val="-4"/>
                <w:sz w:val="16"/>
                <w:szCs w:val="16"/>
              </w:rPr>
            </w:pPr>
            <w:r w:rsidRPr="00A44829">
              <w:rPr>
                <w:rFonts w:cs="Arial"/>
                <w:spacing w:val="-4"/>
                <w:sz w:val="16"/>
                <w:szCs w:val="16"/>
              </w:rPr>
              <w:t xml:space="preserve">Traffic </w:t>
            </w:r>
            <w:r w:rsidR="00985540" w:rsidRPr="00A44829">
              <w:rPr>
                <w:rFonts w:cs="Arial"/>
                <w:spacing w:val="-4"/>
                <w:sz w:val="16"/>
                <w:szCs w:val="16"/>
              </w:rPr>
              <w:br/>
            </w:r>
            <w:r w:rsidRPr="00A44829">
              <w:rPr>
                <w:rFonts w:cs="Arial"/>
                <w:spacing w:val="-4"/>
                <w:sz w:val="16"/>
                <w:szCs w:val="16"/>
              </w:rPr>
              <w:t>&amp; Street Manage</w:t>
            </w:r>
            <w:r w:rsidR="00C75CC1" w:rsidRPr="00A44829">
              <w:rPr>
                <w:rFonts w:cs="Arial"/>
                <w:spacing w:val="-4"/>
                <w:sz w:val="16"/>
                <w:szCs w:val="16"/>
              </w:rPr>
              <w:t>-</w:t>
            </w:r>
            <w:r w:rsidRPr="00A44829">
              <w:rPr>
                <w:rFonts w:cs="Arial"/>
                <w:spacing w:val="-4"/>
                <w:sz w:val="16"/>
                <w:szCs w:val="16"/>
              </w:rPr>
              <w:t>ment</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3D5EAE48" w14:textId="77777777" w:rsidR="001D77D1" w:rsidRPr="00A44829" w:rsidRDefault="003E7389" w:rsidP="008001AD">
            <w:pPr>
              <w:spacing w:before="40" w:after="20"/>
              <w:jc w:val="center"/>
              <w:rPr>
                <w:rFonts w:cs="Arial"/>
                <w:spacing w:val="-4"/>
                <w:sz w:val="16"/>
                <w:szCs w:val="16"/>
              </w:rPr>
            </w:pPr>
            <w:r w:rsidRPr="00A44829">
              <w:rPr>
                <w:rFonts w:cs="Arial"/>
                <w:spacing w:val="-4"/>
                <w:sz w:val="16"/>
                <w:szCs w:val="16"/>
              </w:rPr>
              <w:t>Environ-ment</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7450C5FD" w14:textId="77777777" w:rsidR="001D77D1" w:rsidRPr="00A44829" w:rsidRDefault="001D77D1" w:rsidP="008001AD">
            <w:pPr>
              <w:spacing w:before="40" w:after="20"/>
              <w:jc w:val="center"/>
              <w:rPr>
                <w:rFonts w:cs="Arial"/>
                <w:spacing w:val="-4"/>
                <w:sz w:val="16"/>
                <w:szCs w:val="16"/>
              </w:rPr>
            </w:pPr>
            <w:r w:rsidRPr="00A44829">
              <w:rPr>
                <w:rFonts w:cs="Arial"/>
                <w:spacing w:val="-4"/>
                <w:sz w:val="16"/>
                <w:szCs w:val="16"/>
              </w:rPr>
              <w:t>Business &amp; Economic Services</w:t>
            </w:r>
          </w:p>
        </w:tc>
      </w:tr>
      <w:tr w:rsidR="005146A4" w:rsidRPr="001D41EA" w14:paraId="48FFA8F9" w14:textId="77777777" w:rsidTr="00B44BBE">
        <w:trPr>
          <w:trHeight w:val="20"/>
          <w:tblHeader/>
        </w:trPr>
        <w:tc>
          <w:tcPr>
            <w:tcW w:w="2268" w:type="dxa"/>
            <w:tcBorders>
              <w:left w:val="nil"/>
              <w:bottom w:val="nil"/>
              <w:right w:val="single" w:sz="18" w:space="0" w:color="5F497A" w:themeColor="accent4" w:themeShade="BF"/>
            </w:tcBorders>
            <w:shd w:val="clear" w:color="auto" w:fill="auto"/>
            <w:vAlign w:val="center"/>
          </w:tcPr>
          <w:p w14:paraId="7711885A" w14:textId="77777777" w:rsidR="005146A4" w:rsidRPr="001D41EA" w:rsidRDefault="005146A4" w:rsidP="001D41EA">
            <w:pPr>
              <w:spacing w:before="40" w:after="40"/>
              <w:rPr>
                <w:rFonts w:cs="Arial"/>
                <w:sz w:val="18"/>
                <w:szCs w:val="18"/>
              </w:rPr>
            </w:pPr>
          </w:p>
        </w:tc>
        <w:tc>
          <w:tcPr>
            <w:tcW w:w="85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76A8EF4F" w14:textId="626DFBD7" w:rsidR="005146A4" w:rsidRPr="001D41EA" w:rsidRDefault="005146A4" w:rsidP="001D41EA">
            <w:pPr>
              <w:spacing w:before="40" w:after="40"/>
              <w:jc w:val="center"/>
              <w:rPr>
                <w:rFonts w:cs="Arial"/>
                <w:sz w:val="18"/>
                <w:szCs w:val="18"/>
              </w:rPr>
            </w:pPr>
            <w:r w:rsidRPr="001D41EA">
              <w:rPr>
                <w:rFonts w:cs="Arial"/>
                <w:sz w:val="18"/>
                <w:szCs w:val="18"/>
              </w:rPr>
              <w:t> </w:t>
            </w:r>
          </w:p>
        </w:tc>
        <w:tc>
          <w:tcPr>
            <w:tcW w:w="851" w:type="dxa"/>
            <w:tcBorders>
              <w:top w:val="single" w:sz="8" w:space="0" w:color="5F497A" w:themeColor="accent4" w:themeShade="BF"/>
              <w:left w:val="nil"/>
              <w:bottom w:val="nil"/>
              <w:right w:val="nil"/>
            </w:tcBorders>
            <w:shd w:val="clear" w:color="auto" w:fill="auto"/>
            <w:vAlign w:val="bottom"/>
          </w:tcPr>
          <w:p w14:paraId="49F1AB66" w14:textId="77777777" w:rsidR="005146A4" w:rsidRPr="001D41EA" w:rsidRDefault="005146A4" w:rsidP="001D41EA">
            <w:pPr>
              <w:spacing w:before="40" w:after="4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57495214" w14:textId="77777777" w:rsidR="005146A4" w:rsidRPr="001D41EA" w:rsidRDefault="005146A4" w:rsidP="001D41EA">
            <w:pPr>
              <w:spacing w:before="40" w:after="4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32DEA3EE" w14:textId="77777777" w:rsidR="005146A4" w:rsidRPr="001D41EA" w:rsidRDefault="005146A4" w:rsidP="001D41EA">
            <w:pPr>
              <w:spacing w:before="40" w:after="4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2243B30F" w14:textId="77777777" w:rsidR="005146A4" w:rsidRPr="001D41EA" w:rsidRDefault="005146A4" w:rsidP="001D41EA">
            <w:pPr>
              <w:spacing w:before="40" w:after="4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1A3918DF" w14:textId="77777777" w:rsidR="005146A4" w:rsidRPr="001D41EA" w:rsidRDefault="005146A4" w:rsidP="001D41EA">
            <w:pPr>
              <w:spacing w:before="40" w:after="4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1B7BF55C" w14:textId="77777777" w:rsidR="005146A4" w:rsidRPr="001D41EA" w:rsidRDefault="005146A4" w:rsidP="001D41EA">
            <w:pPr>
              <w:spacing w:before="40" w:after="4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7D8095CC" w14:textId="6B888C88" w:rsidR="005146A4" w:rsidRPr="001D41EA" w:rsidRDefault="005146A4" w:rsidP="001D41EA">
            <w:pPr>
              <w:spacing w:before="40" w:after="40"/>
              <w:jc w:val="center"/>
              <w:rPr>
                <w:rFonts w:cs="Arial"/>
                <w:sz w:val="18"/>
                <w:szCs w:val="18"/>
              </w:rPr>
            </w:pPr>
            <w:r w:rsidRPr="001D41EA">
              <w:rPr>
                <w:rFonts w:cs="Arial"/>
                <w:sz w:val="18"/>
                <w:szCs w:val="18"/>
              </w:rPr>
              <w:t> </w:t>
            </w:r>
          </w:p>
        </w:tc>
      </w:tr>
      <w:tr w:rsidR="005146A4" w:rsidRPr="001D41EA" w14:paraId="2E669847"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30227A9" w14:textId="77777777" w:rsidR="005146A4" w:rsidRPr="001D41EA" w:rsidRDefault="005146A4" w:rsidP="001D41EA">
            <w:pPr>
              <w:spacing w:before="40" w:after="40"/>
              <w:rPr>
                <w:rFonts w:cs="Arial"/>
                <w:sz w:val="18"/>
                <w:szCs w:val="18"/>
              </w:rPr>
            </w:pPr>
            <w:r w:rsidRPr="001D41EA">
              <w:rPr>
                <w:rFonts w:cs="Arial"/>
                <w:sz w:val="18"/>
                <w:szCs w:val="18"/>
              </w:rPr>
              <w:t>Alpine S</w:t>
            </w:r>
          </w:p>
        </w:tc>
        <w:tc>
          <w:tcPr>
            <w:tcW w:w="851" w:type="dxa"/>
            <w:tcBorders>
              <w:top w:val="nil"/>
              <w:left w:val="single" w:sz="18" w:space="0" w:color="5F497A" w:themeColor="accent4" w:themeShade="BF"/>
              <w:bottom w:val="nil"/>
              <w:right w:val="nil"/>
            </w:tcBorders>
            <w:shd w:val="clear" w:color="auto" w:fill="auto"/>
            <w:vAlign w:val="bottom"/>
          </w:tcPr>
          <w:p w14:paraId="54B831A5" w14:textId="7084293A" w:rsidR="005146A4" w:rsidRPr="001D41EA" w:rsidRDefault="005146A4" w:rsidP="001D41EA">
            <w:pPr>
              <w:spacing w:before="40" w:after="40"/>
              <w:jc w:val="center"/>
              <w:rPr>
                <w:rFonts w:cs="Arial"/>
                <w:sz w:val="18"/>
                <w:szCs w:val="18"/>
              </w:rPr>
            </w:pPr>
            <w:r w:rsidRPr="001D41EA">
              <w:rPr>
                <w:rFonts w:cs="Arial"/>
                <w:sz w:val="18"/>
                <w:szCs w:val="18"/>
              </w:rPr>
              <w:t>1.210</w:t>
            </w:r>
          </w:p>
        </w:tc>
        <w:tc>
          <w:tcPr>
            <w:tcW w:w="851" w:type="dxa"/>
            <w:tcBorders>
              <w:top w:val="nil"/>
              <w:left w:val="nil"/>
              <w:bottom w:val="nil"/>
              <w:right w:val="nil"/>
            </w:tcBorders>
            <w:shd w:val="clear" w:color="auto" w:fill="auto"/>
            <w:vAlign w:val="bottom"/>
          </w:tcPr>
          <w:p w14:paraId="39556A13" w14:textId="192E7E99" w:rsidR="005146A4" w:rsidRPr="001D41EA" w:rsidRDefault="005146A4" w:rsidP="001D41EA">
            <w:pPr>
              <w:spacing w:before="40" w:after="40"/>
              <w:jc w:val="center"/>
              <w:rPr>
                <w:rFonts w:cs="Arial"/>
                <w:sz w:val="18"/>
                <w:szCs w:val="18"/>
              </w:rPr>
            </w:pPr>
            <w:r w:rsidRPr="001D41EA">
              <w:rPr>
                <w:rFonts w:cs="Arial"/>
                <w:sz w:val="18"/>
                <w:szCs w:val="18"/>
              </w:rPr>
              <w:t>1.006</w:t>
            </w:r>
          </w:p>
        </w:tc>
        <w:tc>
          <w:tcPr>
            <w:tcW w:w="851" w:type="dxa"/>
            <w:tcBorders>
              <w:top w:val="nil"/>
              <w:left w:val="nil"/>
              <w:bottom w:val="nil"/>
              <w:right w:val="nil"/>
            </w:tcBorders>
            <w:shd w:val="clear" w:color="auto" w:fill="auto"/>
            <w:vAlign w:val="bottom"/>
          </w:tcPr>
          <w:p w14:paraId="1CD31A4B" w14:textId="27BB760C" w:rsidR="005146A4" w:rsidRPr="001D41EA" w:rsidRDefault="005146A4" w:rsidP="001D41EA">
            <w:pPr>
              <w:spacing w:before="40" w:after="40"/>
              <w:jc w:val="center"/>
              <w:rPr>
                <w:rFonts w:cs="Arial"/>
                <w:sz w:val="18"/>
                <w:szCs w:val="18"/>
              </w:rPr>
            </w:pPr>
            <w:r w:rsidRPr="001D41EA">
              <w:rPr>
                <w:rFonts w:cs="Arial"/>
                <w:sz w:val="18"/>
                <w:szCs w:val="18"/>
              </w:rPr>
              <w:t>1.136</w:t>
            </w:r>
          </w:p>
        </w:tc>
        <w:tc>
          <w:tcPr>
            <w:tcW w:w="851" w:type="dxa"/>
            <w:tcBorders>
              <w:top w:val="nil"/>
              <w:left w:val="nil"/>
              <w:bottom w:val="nil"/>
              <w:right w:val="nil"/>
            </w:tcBorders>
            <w:shd w:val="clear" w:color="auto" w:fill="auto"/>
            <w:vAlign w:val="bottom"/>
          </w:tcPr>
          <w:p w14:paraId="69A47C58" w14:textId="5DAC6241" w:rsidR="005146A4" w:rsidRPr="001D41EA" w:rsidRDefault="005146A4" w:rsidP="001D41EA">
            <w:pPr>
              <w:spacing w:before="40" w:after="40"/>
              <w:jc w:val="center"/>
              <w:rPr>
                <w:rFonts w:cs="Arial"/>
                <w:sz w:val="18"/>
                <w:szCs w:val="18"/>
              </w:rPr>
            </w:pPr>
            <w:r w:rsidRPr="001D41EA">
              <w:rPr>
                <w:rFonts w:cs="Arial"/>
                <w:sz w:val="18"/>
                <w:szCs w:val="18"/>
              </w:rPr>
              <w:t>1.328</w:t>
            </w:r>
          </w:p>
        </w:tc>
        <w:tc>
          <w:tcPr>
            <w:tcW w:w="851" w:type="dxa"/>
            <w:tcBorders>
              <w:top w:val="nil"/>
              <w:left w:val="nil"/>
              <w:bottom w:val="nil"/>
              <w:right w:val="nil"/>
            </w:tcBorders>
            <w:shd w:val="clear" w:color="auto" w:fill="auto"/>
            <w:vAlign w:val="bottom"/>
          </w:tcPr>
          <w:p w14:paraId="664338A6" w14:textId="394244C9" w:rsidR="005146A4" w:rsidRPr="001D41EA" w:rsidRDefault="005146A4" w:rsidP="001D41EA">
            <w:pPr>
              <w:spacing w:before="40" w:after="40"/>
              <w:jc w:val="center"/>
              <w:rPr>
                <w:rFonts w:cs="Arial"/>
                <w:sz w:val="18"/>
                <w:szCs w:val="18"/>
              </w:rPr>
            </w:pPr>
            <w:r w:rsidRPr="001D41EA">
              <w:rPr>
                <w:rFonts w:cs="Arial"/>
                <w:sz w:val="18"/>
                <w:szCs w:val="18"/>
              </w:rPr>
              <w:t>1.378</w:t>
            </w:r>
          </w:p>
        </w:tc>
        <w:tc>
          <w:tcPr>
            <w:tcW w:w="851" w:type="dxa"/>
            <w:tcBorders>
              <w:top w:val="nil"/>
              <w:left w:val="nil"/>
              <w:bottom w:val="nil"/>
              <w:right w:val="nil"/>
            </w:tcBorders>
            <w:shd w:val="clear" w:color="auto" w:fill="auto"/>
            <w:vAlign w:val="bottom"/>
          </w:tcPr>
          <w:p w14:paraId="3BE11BBC" w14:textId="3E559F72" w:rsidR="005146A4" w:rsidRPr="001D41EA" w:rsidRDefault="005146A4" w:rsidP="001D41EA">
            <w:pPr>
              <w:spacing w:before="40" w:after="40"/>
              <w:jc w:val="center"/>
              <w:rPr>
                <w:rFonts w:cs="Arial"/>
                <w:sz w:val="18"/>
                <w:szCs w:val="18"/>
              </w:rPr>
            </w:pPr>
            <w:r w:rsidRPr="001D41EA">
              <w:rPr>
                <w:rFonts w:cs="Arial"/>
                <w:sz w:val="18"/>
                <w:szCs w:val="18"/>
              </w:rPr>
              <w:t>1.224</w:t>
            </w:r>
          </w:p>
        </w:tc>
        <w:tc>
          <w:tcPr>
            <w:tcW w:w="851" w:type="dxa"/>
            <w:tcBorders>
              <w:top w:val="nil"/>
              <w:left w:val="nil"/>
              <w:bottom w:val="nil"/>
              <w:right w:val="nil"/>
            </w:tcBorders>
            <w:shd w:val="clear" w:color="auto" w:fill="auto"/>
            <w:vAlign w:val="bottom"/>
          </w:tcPr>
          <w:p w14:paraId="45F1D68F" w14:textId="75D2BCBD" w:rsidR="005146A4" w:rsidRPr="001D41EA" w:rsidRDefault="005146A4" w:rsidP="001D41EA">
            <w:pPr>
              <w:spacing w:before="40" w:after="40"/>
              <w:jc w:val="center"/>
              <w:rPr>
                <w:rFonts w:cs="Arial"/>
                <w:sz w:val="18"/>
                <w:szCs w:val="18"/>
              </w:rPr>
            </w:pPr>
            <w:r w:rsidRPr="001D41EA">
              <w:rPr>
                <w:rFonts w:cs="Arial"/>
                <w:sz w:val="18"/>
                <w:szCs w:val="18"/>
              </w:rPr>
              <w:t>1.382</w:t>
            </w:r>
          </w:p>
        </w:tc>
        <w:tc>
          <w:tcPr>
            <w:tcW w:w="851" w:type="dxa"/>
            <w:tcBorders>
              <w:top w:val="nil"/>
              <w:left w:val="nil"/>
              <w:bottom w:val="nil"/>
              <w:right w:val="nil"/>
            </w:tcBorders>
            <w:shd w:val="clear" w:color="auto" w:fill="auto"/>
            <w:vAlign w:val="bottom"/>
          </w:tcPr>
          <w:p w14:paraId="69C10EED" w14:textId="309FA72E" w:rsidR="005146A4" w:rsidRPr="001D41EA" w:rsidRDefault="005146A4" w:rsidP="001D41EA">
            <w:pPr>
              <w:spacing w:before="40" w:after="40"/>
              <w:jc w:val="center"/>
              <w:rPr>
                <w:rFonts w:cs="Arial"/>
                <w:sz w:val="18"/>
                <w:szCs w:val="18"/>
              </w:rPr>
            </w:pPr>
            <w:r w:rsidRPr="001D41EA">
              <w:rPr>
                <w:rFonts w:cs="Arial"/>
                <w:sz w:val="18"/>
                <w:szCs w:val="18"/>
              </w:rPr>
              <w:t>1.321</w:t>
            </w:r>
          </w:p>
        </w:tc>
      </w:tr>
      <w:tr w:rsidR="005146A4" w:rsidRPr="001D41EA" w14:paraId="256BD4BC"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30ECB123" w14:textId="77777777" w:rsidR="005146A4" w:rsidRPr="001D41EA" w:rsidRDefault="005146A4" w:rsidP="001D41EA">
            <w:pPr>
              <w:spacing w:before="40" w:after="40"/>
              <w:rPr>
                <w:rFonts w:cs="Arial"/>
                <w:sz w:val="18"/>
                <w:szCs w:val="18"/>
              </w:rPr>
            </w:pPr>
            <w:r w:rsidRPr="001D41EA">
              <w:rPr>
                <w:rFonts w:cs="Arial"/>
                <w:sz w:val="18"/>
                <w:szCs w:val="18"/>
              </w:rPr>
              <w:t>Ararat RC</w:t>
            </w:r>
          </w:p>
        </w:tc>
        <w:tc>
          <w:tcPr>
            <w:tcW w:w="851" w:type="dxa"/>
            <w:tcBorders>
              <w:top w:val="nil"/>
              <w:left w:val="single" w:sz="18" w:space="0" w:color="5F497A" w:themeColor="accent4" w:themeShade="BF"/>
              <w:bottom w:val="nil"/>
              <w:right w:val="nil"/>
            </w:tcBorders>
            <w:shd w:val="clear" w:color="auto" w:fill="auto"/>
            <w:vAlign w:val="bottom"/>
          </w:tcPr>
          <w:p w14:paraId="03546149" w14:textId="77DD67C0" w:rsidR="005146A4" w:rsidRPr="001D41EA" w:rsidRDefault="005146A4" w:rsidP="001D41EA">
            <w:pPr>
              <w:spacing w:before="40" w:after="40"/>
              <w:jc w:val="center"/>
              <w:rPr>
                <w:rFonts w:cs="Arial"/>
                <w:sz w:val="18"/>
                <w:szCs w:val="18"/>
              </w:rPr>
            </w:pPr>
            <w:r w:rsidRPr="001D41EA">
              <w:rPr>
                <w:rFonts w:cs="Arial"/>
                <w:sz w:val="18"/>
                <w:szCs w:val="18"/>
              </w:rPr>
              <w:t>1.107</w:t>
            </w:r>
          </w:p>
        </w:tc>
        <w:tc>
          <w:tcPr>
            <w:tcW w:w="851" w:type="dxa"/>
            <w:tcBorders>
              <w:top w:val="nil"/>
              <w:left w:val="nil"/>
              <w:bottom w:val="nil"/>
              <w:right w:val="nil"/>
            </w:tcBorders>
            <w:shd w:val="clear" w:color="auto" w:fill="auto"/>
            <w:vAlign w:val="bottom"/>
          </w:tcPr>
          <w:p w14:paraId="5724F1A1" w14:textId="03E21B01" w:rsidR="005146A4" w:rsidRPr="001D41EA" w:rsidRDefault="005146A4" w:rsidP="001D41EA">
            <w:pPr>
              <w:spacing w:before="40" w:after="40"/>
              <w:jc w:val="center"/>
              <w:rPr>
                <w:rFonts w:cs="Arial"/>
                <w:sz w:val="18"/>
                <w:szCs w:val="18"/>
              </w:rPr>
            </w:pPr>
            <w:r w:rsidRPr="001D41EA">
              <w:rPr>
                <w:rFonts w:cs="Arial"/>
                <w:sz w:val="18"/>
                <w:szCs w:val="18"/>
              </w:rPr>
              <w:t>1.004</w:t>
            </w:r>
          </w:p>
        </w:tc>
        <w:tc>
          <w:tcPr>
            <w:tcW w:w="851" w:type="dxa"/>
            <w:tcBorders>
              <w:top w:val="nil"/>
              <w:left w:val="nil"/>
              <w:bottom w:val="nil"/>
              <w:right w:val="nil"/>
            </w:tcBorders>
            <w:shd w:val="clear" w:color="auto" w:fill="auto"/>
            <w:vAlign w:val="bottom"/>
          </w:tcPr>
          <w:p w14:paraId="3F568B9A" w14:textId="1432985C" w:rsidR="005146A4" w:rsidRPr="001D41EA" w:rsidRDefault="005146A4" w:rsidP="001D41EA">
            <w:pPr>
              <w:spacing w:before="40" w:after="40"/>
              <w:jc w:val="center"/>
              <w:rPr>
                <w:rFonts w:cs="Arial"/>
                <w:sz w:val="18"/>
                <w:szCs w:val="18"/>
              </w:rPr>
            </w:pPr>
            <w:r w:rsidRPr="001D41EA">
              <w:rPr>
                <w:rFonts w:cs="Arial"/>
                <w:sz w:val="18"/>
                <w:szCs w:val="18"/>
              </w:rPr>
              <w:t>1.065</w:t>
            </w:r>
          </w:p>
        </w:tc>
        <w:tc>
          <w:tcPr>
            <w:tcW w:w="851" w:type="dxa"/>
            <w:tcBorders>
              <w:top w:val="nil"/>
              <w:left w:val="nil"/>
              <w:bottom w:val="nil"/>
              <w:right w:val="nil"/>
            </w:tcBorders>
            <w:shd w:val="clear" w:color="auto" w:fill="auto"/>
            <w:vAlign w:val="bottom"/>
          </w:tcPr>
          <w:p w14:paraId="763662D1" w14:textId="740BAE3A" w:rsidR="005146A4" w:rsidRPr="001D41EA" w:rsidRDefault="005146A4" w:rsidP="001D41EA">
            <w:pPr>
              <w:spacing w:before="40" w:after="40"/>
              <w:jc w:val="center"/>
              <w:rPr>
                <w:rFonts w:cs="Arial"/>
                <w:sz w:val="18"/>
                <w:szCs w:val="18"/>
              </w:rPr>
            </w:pPr>
            <w:r w:rsidRPr="001D41EA">
              <w:rPr>
                <w:rFonts w:cs="Arial"/>
                <w:sz w:val="18"/>
                <w:szCs w:val="18"/>
              </w:rPr>
              <w:t>1.032</w:t>
            </w:r>
          </w:p>
        </w:tc>
        <w:tc>
          <w:tcPr>
            <w:tcW w:w="851" w:type="dxa"/>
            <w:tcBorders>
              <w:top w:val="nil"/>
              <w:left w:val="nil"/>
              <w:bottom w:val="nil"/>
              <w:right w:val="nil"/>
            </w:tcBorders>
            <w:shd w:val="clear" w:color="auto" w:fill="auto"/>
            <w:vAlign w:val="bottom"/>
          </w:tcPr>
          <w:p w14:paraId="1F79DDE5" w14:textId="7F27D8BC" w:rsidR="005146A4" w:rsidRPr="001D41EA" w:rsidRDefault="005146A4" w:rsidP="001D41EA">
            <w:pPr>
              <w:spacing w:before="40" w:after="40"/>
              <w:jc w:val="center"/>
              <w:rPr>
                <w:rFonts w:cs="Arial"/>
                <w:sz w:val="18"/>
                <w:szCs w:val="18"/>
              </w:rPr>
            </w:pPr>
            <w:r w:rsidRPr="001D41EA">
              <w:rPr>
                <w:rFonts w:cs="Arial"/>
                <w:sz w:val="18"/>
                <w:szCs w:val="18"/>
              </w:rPr>
              <w:t>1.125</w:t>
            </w:r>
          </w:p>
        </w:tc>
        <w:tc>
          <w:tcPr>
            <w:tcW w:w="851" w:type="dxa"/>
            <w:tcBorders>
              <w:top w:val="nil"/>
              <w:left w:val="nil"/>
              <w:bottom w:val="nil"/>
              <w:right w:val="nil"/>
            </w:tcBorders>
            <w:shd w:val="clear" w:color="auto" w:fill="auto"/>
            <w:vAlign w:val="bottom"/>
          </w:tcPr>
          <w:p w14:paraId="2142584F" w14:textId="36B29344" w:rsidR="005146A4" w:rsidRPr="001D41EA" w:rsidRDefault="005146A4" w:rsidP="001D41EA">
            <w:pPr>
              <w:spacing w:before="40" w:after="40"/>
              <w:jc w:val="center"/>
              <w:rPr>
                <w:rFonts w:cs="Arial"/>
                <w:sz w:val="18"/>
                <w:szCs w:val="18"/>
              </w:rPr>
            </w:pPr>
            <w:r w:rsidRPr="001D41EA">
              <w:rPr>
                <w:rFonts w:cs="Arial"/>
                <w:sz w:val="18"/>
                <w:szCs w:val="18"/>
              </w:rPr>
              <w:t>1.029</w:t>
            </w:r>
          </w:p>
        </w:tc>
        <w:tc>
          <w:tcPr>
            <w:tcW w:w="851" w:type="dxa"/>
            <w:tcBorders>
              <w:top w:val="nil"/>
              <w:left w:val="nil"/>
              <w:bottom w:val="nil"/>
              <w:right w:val="nil"/>
            </w:tcBorders>
            <w:shd w:val="clear" w:color="auto" w:fill="auto"/>
            <w:vAlign w:val="bottom"/>
          </w:tcPr>
          <w:p w14:paraId="0942986F" w14:textId="7BC871FD" w:rsidR="005146A4" w:rsidRPr="001D41EA" w:rsidRDefault="005146A4" w:rsidP="001D41EA">
            <w:pPr>
              <w:spacing w:before="40" w:after="40"/>
              <w:jc w:val="center"/>
              <w:rPr>
                <w:rFonts w:cs="Arial"/>
                <w:sz w:val="18"/>
                <w:szCs w:val="18"/>
              </w:rPr>
            </w:pPr>
            <w:r w:rsidRPr="001D41EA">
              <w:rPr>
                <w:rFonts w:cs="Arial"/>
                <w:sz w:val="18"/>
                <w:szCs w:val="18"/>
              </w:rPr>
              <w:t>1.152</w:t>
            </w:r>
          </w:p>
        </w:tc>
        <w:tc>
          <w:tcPr>
            <w:tcW w:w="851" w:type="dxa"/>
            <w:tcBorders>
              <w:top w:val="nil"/>
              <w:left w:val="nil"/>
              <w:bottom w:val="nil"/>
              <w:right w:val="nil"/>
            </w:tcBorders>
            <w:shd w:val="clear" w:color="auto" w:fill="auto"/>
            <w:vAlign w:val="bottom"/>
          </w:tcPr>
          <w:p w14:paraId="5ADE839C" w14:textId="53C9F264" w:rsidR="005146A4" w:rsidRPr="001D41EA" w:rsidRDefault="005146A4" w:rsidP="001D41EA">
            <w:pPr>
              <w:spacing w:before="40" w:after="40"/>
              <w:jc w:val="center"/>
              <w:rPr>
                <w:rFonts w:cs="Arial"/>
                <w:sz w:val="18"/>
                <w:szCs w:val="18"/>
              </w:rPr>
            </w:pPr>
            <w:r w:rsidRPr="001D41EA">
              <w:rPr>
                <w:rFonts w:cs="Arial"/>
                <w:sz w:val="18"/>
                <w:szCs w:val="18"/>
              </w:rPr>
              <w:t>1.163</w:t>
            </w:r>
          </w:p>
        </w:tc>
      </w:tr>
      <w:tr w:rsidR="005146A4" w:rsidRPr="001D41EA" w14:paraId="6C948243"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34CCFAB4" w14:textId="77777777" w:rsidR="005146A4" w:rsidRPr="001D41EA" w:rsidRDefault="005146A4" w:rsidP="001D41EA">
            <w:pPr>
              <w:spacing w:before="40" w:after="40"/>
              <w:rPr>
                <w:rFonts w:cs="Arial"/>
                <w:sz w:val="18"/>
                <w:szCs w:val="18"/>
              </w:rPr>
            </w:pPr>
            <w:r w:rsidRPr="001D41EA">
              <w:rPr>
                <w:rFonts w:cs="Arial"/>
                <w:sz w:val="18"/>
                <w:szCs w:val="18"/>
              </w:rPr>
              <w:t>Ballarat C</w:t>
            </w:r>
          </w:p>
        </w:tc>
        <w:tc>
          <w:tcPr>
            <w:tcW w:w="851" w:type="dxa"/>
            <w:tcBorders>
              <w:top w:val="nil"/>
              <w:left w:val="single" w:sz="18" w:space="0" w:color="5F497A" w:themeColor="accent4" w:themeShade="BF"/>
              <w:bottom w:val="nil"/>
              <w:right w:val="nil"/>
            </w:tcBorders>
            <w:shd w:val="clear" w:color="auto" w:fill="auto"/>
            <w:vAlign w:val="bottom"/>
          </w:tcPr>
          <w:p w14:paraId="36BA8D07" w14:textId="0564CD5C" w:rsidR="005146A4" w:rsidRPr="001D41EA" w:rsidRDefault="005146A4" w:rsidP="001D41EA">
            <w:pPr>
              <w:spacing w:before="40" w:after="40"/>
              <w:jc w:val="center"/>
              <w:rPr>
                <w:rFonts w:cs="Arial"/>
                <w:sz w:val="18"/>
                <w:szCs w:val="18"/>
              </w:rPr>
            </w:pPr>
            <w:r w:rsidRPr="001D41EA">
              <w:rPr>
                <w:rFonts w:cs="Arial"/>
                <w:sz w:val="18"/>
                <w:szCs w:val="18"/>
              </w:rPr>
              <w:t>0.957</w:t>
            </w:r>
          </w:p>
        </w:tc>
        <w:tc>
          <w:tcPr>
            <w:tcW w:w="851" w:type="dxa"/>
            <w:tcBorders>
              <w:top w:val="nil"/>
              <w:left w:val="nil"/>
              <w:bottom w:val="nil"/>
              <w:right w:val="nil"/>
            </w:tcBorders>
            <w:shd w:val="clear" w:color="auto" w:fill="auto"/>
            <w:vAlign w:val="bottom"/>
          </w:tcPr>
          <w:p w14:paraId="2DC123E1" w14:textId="0726EC89" w:rsidR="005146A4" w:rsidRPr="001D41EA" w:rsidRDefault="005146A4" w:rsidP="001D41EA">
            <w:pPr>
              <w:spacing w:before="40" w:after="40"/>
              <w:jc w:val="center"/>
              <w:rPr>
                <w:rFonts w:cs="Arial"/>
                <w:sz w:val="18"/>
                <w:szCs w:val="18"/>
              </w:rPr>
            </w:pPr>
            <w:r w:rsidRPr="001D41EA">
              <w:rPr>
                <w:rFonts w:cs="Arial"/>
                <w:sz w:val="18"/>
                <w:szCs w:val="18"/>
              </w:rPr>
              <w:t>0.999</w:t>
            </w:r>
          </w:p>
        </w:tc>
        <w:tc>
          <w:tcPr>
            <w:tcW w:w="851" w:type="dxa"/>
            <w:tcBorders>
              <w:top w:val="nil"/>
              <w:left w:val="nil"/>
              <w:bottom w:val="nil"/>
              <w:right w:val="nil"/>
            </w:tcBorders>
            <w:shd w:val="clear" w:color="auto" w:fill="auto"/>
            <w:vAlign w:val="bottom"/>
          </w:tcPr>
          <w:p w14:paraId="658A3C83" w14:textId="7B4CFA64" w:rsidR="005146A4" w:rsidRPr="001D41EA" w:rsidRDefault="005146A4" w:rsidP="001D41EA">
            <w:pPr>
              <w:spacing w:before="40" w:after="40"/>
              <w:jc w:val="center"/>
              <w:rPr>
                <w:rFonts w:cs="Arial"/>
                <w:sz w:val="18"/>
                <w:szCs w:val="18"/>
              </w:rPr>
            </w:pPr>
            <w:r w:rsidRPr="001D41EA">
              <w:rPr>
                <w:rFonts w:cs="Arial"/>
                <w:sz w:val="18"/>
                <w:szCs w:val="18"/>
              </w:rPr>
              <w:t>0.971</w:t>
            </w:r>
          </w:p>
        </w:tc>
        <w:tc>
          <w:tcPr>
            <w:tcW w:w="851" w:type="dxa"/>
            <w:tcBorders>
              <w:top w:val="nil"/>
              <w:left w:val="nil"/>
              <w:bottom w:val="nil"/>
              <w:right w:val="nil"/>
            </w:tcBorders>
            <w:shd w:val="clear" w:color="auto" w:fill="auto"/>
            <w:vAlign w:val="bottom"/>
          </w:tcPr>
          <w:p w14:paraId="03405C43" w14:textId="532EB820" w:rsidR="005146A4" w:rsidRPr="001D41EA" w:rsidRDefault="005146A4" w:rsidP="001D41EA">
            <w:pPr>
              <w:spacing w:before="40" w:after="40"/>
              <w:jc w:val="center"/>
              <w:rPr>
                <w:rFonts w:cs="Arial"/>
                <w:sz w:val="18"/>
                <w:szCs w:val="18"/>
              </w:rPr>
            </w:pPr>
            <w:r w:rsidRPr="001D41EA">
              <w:rPr>
                <w:rFonts w:cs="Arial"/>
                <w:sz w:val="18"/>
                <w:szCs w:val="18"/>
              </w:rPr>
              <w:t>1.108</w:t>
            </w:r>
          </w:p>
        </w:tc>
        <w:tc>
          <w:tcPr>
            <w:tcW w:w="851" w:type="dxa"/>
            <w:tcBorders>
              <w:top w:val="nil"/>
              <w:left w:val="nil"/>
              <w:bottom w:val="nil"/>
              <w:right w:val="nil"/>
            </w:tcBorders>
            <w:shd w:val="clear" w:color="auto" w:fill="auto"/>
            <w:vAlign w:val="bottom"/>
          </w:tcPr>
          <w:p w14:paraId="572034AE" w14:textId="425A8FBF" w:rsidR="005146A4" w:rsidRPr="001D41EA" w:rsidRDefault="005146A4" w:rsidP="001D41EA">
            <w:pPr>
              <w:spacing w:before="40" w:after="40"/>
              <w:jc w:val="center"/>
              <w:rPr>
                <w:rFonts w:cs="Arial"/>
                <w:sz w:val="18"/>
                <w:szCs w:val="18"/>
              </w:rPr>
            </w:pPr>
            <w:r w:rsidRPr="001D41EA">
              <w:rPr>
                <w:rFonts w:cs="Arial"/>
                <w:sz w:val="18"/>
                <w:szCs w:val="18"/>
              </w:rPr>
              <w:t>1.008</w:t>
            </w:r>
          </w:p>
        </w:tc>
        <w:tc>
          <w:tcPr>
            <w:tcW w:w="851" w:type="dxa"/>
            <w:tcBorders>
              <w:top w:val="nil"/>
              <w:left w:val="nil"/>
              <w:bottom w:val="nil"/>
              <w:right w:val="nil"/>
            </w:tcBorders>
            <w:shd w:val="clear" w:color="auto" w:fill="auto"/>
            <w:vAlign w:val="bottom"/>
          </w:tcPr>
          <w:p w14:paraId="0991D5DA" w14:textId="27497059" w:rsidR="005146A4" w:rsidRPr="001D41EA" w:rsidRDefault="005146A4" w:rsidP="001D41EA">
            <w:pPr>
              <w:spacing w:before="40" w:after="40"/>
              <w:jc w:val="center"/>
              <w:rPr>
                <w:rFonts w:cs="Arial"/>
                <w:sz w:val="18"/>
                <w:szCs w:val="18"/>
              </w:rPr>
            </w:pPr>
            <w:r w:rsidRPr="001D41EA">
              <w:rPr>
                <w:rFonts w:cs="Arial"/>
                <w:sz w:val="18"/>
                <w:szCs w:val="18"/>
              </w:rPr>
              <w:t>1.099</w:t>
            </w:r>
          </w:p>
        </w:tc>
        <w:tc>
          <w:tcPr>
            <w:tcW w:w="851" w:type="dxa"/>
            <w:tcBorders>
              <w:top w:val="nil"/>
              <w:left w:val="nil"/>
              <w:bottom w:val="nil"/>
              <w:right w:val="nil"/>
            </w:tcBorders>
            <w:shd w:val="clear" w:color="auto" w:fill="auto"/>
            <w:vAlign w:val="bottom"/>
          </w:tcPr>
          <w:p w14:paraId="3AC5C01F" w14:textId="4767D7A1" w:rsidR="005146A4" w:rsidRPr="001D41EA" w:rsidRDefault="005146A4" w:rsidP="001D41EA">
            <w:pPr>
              <w:spacing w:before="40" w:after="40"/>
              <w:jc w:val="center"/>
              <w:rPr>
                <w:rFonts w:cs="Arial"/>
                <w:sz w:val="18"/>
                <w:szCs w:val="18"/>
              </w:rPr>
            </w:pPr>
            <w:r w:rsidRPr="001D41EA">
              <w:rPr>
                <w:rFonts w:cs="Arial"/>
                <w:sz w:val="18"/>
                <w:szCs w:val="18"/>
              </w:rPr>
              <w:t>0.994</w:t>
            </w:r>
          </w:p>
        </w:tc>
        <w:tc>
          <w:tcPr>
            <w:tcW w:w="851" w:type="dxa"/>
            <w:tcBorders>
              <w:top w:val="nil"/>
              <w:left w:val="nil"/>
              <w:bottom w:val="nil"/>
              <w:right w:val="nil"/>
            </w:tcBorders>
            <w:shd w:val="clear" w:color="auto" w:fill="auto"/>
            <w:vAlign w:val="bottom"/>
          </w:tcPr>
          <w:p w14:paraId="4F683A61" w14:textId="75C81865" w:rsidR="005146A4" w:rsidRPr="001D41EA" w:rsidRDefault="005146A4" w:rsidP="001D41EA">
            <w:pPr>
              <w:spacing w:before="40" w:after="40"/>
              <w:jc w:val="center"/>
              <w:rPr>
                <w:rFonts w:cs="Arial"/>
                <w:sz w:val="18"/>
                <w:szCs w:val="18"/>
              </w:rPr>
            </w:pPr>
            <w:r w:rsidRPr="001D41EA">
              <w:rPr>
                <w:rFonts w:cs="Arial"/>
                <w:sz w:val="18"/>
                <w:szCs w:val="18"/>
              </w:rPr>
              <w:t>1.119</w:t>
            </w:r>
          </w:p>
        </w:tc>
      </w:tr>
      <w:tr w:rsidR="005146A4" w:rsidRPr="001D41EA" w14:paraId="44932896"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8563B2E" w14:textId="77777777" w:rsidR="005146A4" w:rsidRPr="001D41EA" w:rsidRDefault="005146A4" w:rsidP="001D41EA">
            <w:pPr>
              <w:spacing w:before="40" w:after="40"/>
              <w:rPr>
                <w:rFonts w:cs="Arial"/>
                <w:sz w:val="18"/>
                <w:szCs w:val="18"/>
              </w:rPr>
            </w:pPr>
            <w:r w:rsidRPr="001D41EA">
              <w:rPr>
                <w:rFonts w:cs="Arial"/>
                <w:sz w:val="18"/>
                <w:szCs w:val="18"/>
              </w:rPr>
              <w:t>Banyule C</w:t>
            </w:r>
          </w:p>
        </w:tc>
        <w:tc>
          <w:tcPr>
            <w:tcW w:w="851" w:type="dxa"/>
            <w:tcBorders>
              <w:top w:val="nil"/>
              <w:left w:val="single" w:sz="18" w:space="0" w:color="5F497A" w:themeColor="accent4" w:themeShade="BF"/>
              <w:bottom w:val="nil"/>
              <w:right w:val="nil"/>
            </w:tcBorders>
            <w:shd w:val="clear" w:color="auto" w:fill="auto"/>
            <w:vAlign w:val="bottom"/>
          </w:tcPr>
          <w:p w14:paraId="3F290A7C" w14:textId="185CE3E3" w:rsidR="005146A4" w:rsidRPr="001D41EA" w:rsidRDefault="005146A4" w:rsidP="001D41EA">
            <w:pPr>
              <w:spacing w:before="40" w:after="40"/>
              <w:jc w:val="center"/>
              <w:rPr>
                <w:rFonts w:cs="Arial"/>
                <w:sz w:val="18"/>
                <w:szCs w:val="18"/>
              </w:rPr>
            </w:pPr>
            <w:r w:rsidRPr="001D41EA">
              <w:rPr>
                <w:rFonts w:cs="Arial"/>
                <w:sz w:val="18"/>
                <w:szCs w:val="18"/>
              </w:rPr>
              <w:t>0.937</w:t>
            </w:r>
          </w:p>
        </w:tc>
        <w:tc>
          <w:tcPr>
            <w:tcW w:w="851" w:type="dxa"/>
            <w:tcBorders>
              <w:top w:val="nil"/>
              <w:left w:val="nil"/>
              <w:bottom w:val="nil"/>
              <w:right w:val="nil"/>
            </w:tcBorders>
            <w:shd w:val="clear" w:color="auto" w:fill="auto"/>
            <w:vAlign w:val="bottom"/>
          </w:tcPr>
          <w:p w14:paraId="2484086C" w14:textId="3E9F456B" w:rsidR="005146A4" w:rsidRPr="001D41EA" w:rsidRDefault="005146A4" w:rsidP="001D41EA">
            <w:pPr>
              <w:spacing w:before="40" w:after="40"/>
              <w:jc w:val="center"/>
              <w:rPr>
                <w:rFonts w:cs="Arial"/>
                <w:sz w:val="18"/>
                <w:szCs w:val="18"/>
              </w:rPr>
            </w:pPr>
            <w:r w:rsidRPr="001D41EA">
              <w:rPr>
                <w:rFonts w:cs="Arial"/>
                <w:sz w:val="18"/>
                <w:szCs w:val="18"/>
              </w:rPr>
              <w:t>0.923</w:t>
            </w:r>
          </w:p>
        </w:tc>
        <w:tc>
          <w:tcPr>
            <w:tcW w:w="851" w:type="dxa"/>
            <w:tcBorders>
              <w:top w:val="nil"/>
              <w:left w:val="nil"/>
              <w:bottom w:val="nil"/>
              <w:right w:val="nil"/>
            </w:tcBorders>
            <w:shd w:val="clear" w:color="auto" w:fill="auto"/>
            <w:vAlign w:val="bottom"/>
          </w:tcPr>
          <w:p w14:paraId="7843D4BF" w14:textId="7F36FE6C" w:rsidR="005146A4" w:rsidRPr="001D41EA" w:rsidRDefault="005146A4" w:rsidP="001D41EA">
            <w:pPr>
              <w:spacing w:before="40" w:after="40"/>
              <w:jc w:val="center"/>
              <w:rPr>
                <w:rFonts w:cs="Arial"/>
                <w:sz w:val="18"/>
                <w:szCs w:val="18"/>
              </w:rPr>
            </w:pPr>
            <w:r w:rsidRPr="001D41EA">
              <w:rPr>
                <w:rFonts w:cs="Arial"/>
                <w:sz w:val="18"/>
                <w:szCs w:val="18"/>
              </w:rPr>
              <w:t>0.895</w:t>
            </w:r>
          </w:p>
        </w:tc>
        <w:tc>
          <w:tcPr>
            <w:tcW w:w="851" w:type="dxa"/>
            <w:tcBorders>
              <w:top w:val="nil"/>
              <w:left w:val="nil"/>
              <w:bottom w:val="nil"/>
              <w:right w:val="nil"/>
            </w:tcBorders>
            <w:shd w:val="clear" w:color="auto" w:fill="auto"/>
            <w:vAlign w:val="bottom"/>
          </w:tcPr>
          <w:p w14:paraId="5D45A875" w14:textId="7BCB6C4B" w:rsidR="005146A4" w:rsidRPr="001D41EA" w:rsidRDefault="005146A4" w:rsidP="001D41EA">
            <w:pPr>
              <w:spacing w:before="40" w:after="40"/>
              <w:jc w:val="center"/>
              <w:rPr>
                <w:rFonts w:cs="Arial"/>
                <w:sz w:val="18"/>
                <w:szCs w:val="18"/>
              </w:rPr>
            </w:pPr>
            <w:r w:rsidRPr="001D41EA">
              <w:rPr>
                <w:rFonts w:cs="Arial"/>
                <w:sz w:val="18"/>
                <w:szCs w:val="18"/>
              </w:rPr>
              <w:t>0.964</w:t>
            </w:r>
          </w:p>
        </w:tc>
        <w:tc>
          <w:tcPr>
            <w:tcW w:w="851" w:type="dxa"/>
            <w:tcBorders>
              <w:top w:val="nil"/>
              <w:left w:val="nil"/>
              <w:bottom w:val="nil"/>
              <w:right w:val="nil"/>
            </w:tcBorders>
            <w:shd w:val="clear" w:color="auto" w:fill="auto"/>
            <w:vAlign w:val="bottom"/>
          </w:tcPr>
          <w:p w14:paraId="545C811F" w14:textId="46066B36" w:rsidR="005146A4" w:rsidRPr="001D41EA" w:rsidRDefault="005146A4" w:rsidP="001D41EA">
            <w:pPr>
              <w:spacing w:before="40" w:after="40"/>
              <w:jc w:val="center"/>
              <w:rPr>
                <w:rFonts w:cs="Arial"/>
                <w:sz w:val="18"/>
                <w:szCs w:val="18"/>
              </w:rPr>
            </w:pPr>
            <w:r w:rsidRPr="001D41EA">
              <w:rPr>
                <w:rFonts w:cs="Arial"/>
                <w:sz w:val="18"/>
                <w:szCs w:val="18"/>
              </w:rPr>
              <w:t>0.945</w:t>
            </w:r>
          </w:p>
        </w:tc>
        <w:tc>
          <w:tcPr>
            <w:tcW w:w="851" w:type="dxa"/>
            <w:tcBorders>
              <w:top w:val="nil"/>
              <w:left w:val="nil"/>
              <w:bottom w:val="nil"/>
              <w:right w:val="nil"/>
            </w:tcBorders>
            <w:shd w:val="clear" w:color="auto" w:fill="auto"/>
            <w:vAlign w:val="bottom"/>
          </w:tcPr>
          <w:p w14:paraId="7BD25C52" w14:textId="7F4BDB18" w:rsidR="005146A4" w:rsidRPr="001D41EA" w:rsidRDefault="005146A4" w:rsidP="001D41EA">
            <w:pPr>
              <w:spacing w:before="40" w:after="40"/>
              <w:jc w:val="center"/>
              <w:rPr>
                <w:rFonts w:cs="Arial"/>
                <w:sz w:val="18"/>
                <w:szCs w:val="18"/>
              </w:rPr>
            </w:pPr>
            <w:r w:rsidRPr="001D41EA">
              <w:rPr>
                <w:rFonts w:cs="Arial"/>
                <w:sz w:val="18"/>
                <w:szCs w:val="18"/>
              </w:rPr>
              <w:t>0.952</w:t>
            </w:r>
          </w:p>
        </w:tc>
        <w:tc>
          <w:tcPr>
            <w:tcW w:w="851" w:type="dxa"/>
            <w:tcBorders>
              <w:top w:val="nil"/>
              <w:left w:val="nil"/>
              <w:bottom w:val="nil"/>
              <w:right w:val="nil"/>
            </w:tcBorders>
            <w:shd w:val="clear" w:color="auto" w:fill="auto"/>
            <w:vAlign w:val="bottom"/>
          </w:tcPr>
          <w:p w14:paraId="502CC2BB" w14:textId="1C2117D0" w:rsidR="005146A4" w:rsidRPr="001D41EA" w:rsidRDefault="005146A4" w:rsidP="001D41EA">
            <w:pPr>
              <w:spacing w:before="40" w:after="40"/>
              <w:jc w:val="center"/>
              <w:rPr>
                <w:rFonts w:cs="Arial"/>
                <w:sz w:val="18"/>
                <w:szCs w:val="18"/>
              </w:rPr>
            </w:pPr>
            <w:r w:rsidRPr="001D41EA">
              <w:rPr>
                <w:rFonts w:cs="Arial"/>
                <w:sz w:val="18"/>
                <w:szCs w:val="18"/>
              </w:rPr>
              <w:t>0.905</w:t>
            </w:r>
          </w:p>
        </w:tc>
        <w:tc>
          <w:tcPr>
            <w:tcW w:w="851" w:type="dxa"/>
            <w:tcBorders>
              <w:top w:val="nil"/>
              <w:left w:val="nil"/>
              <w:bottom w:val="nil"/>
              <w:right w:val="nil"/>
            </w:tcBorders>
            <w:shd w:val="clear" w:color="auto" w:fill="auto"/>
            <w:vAlign w:val="bottom"/>
          </w:tcPr>
          <w:p w14:paraId="60374D08" w14:textId="3C9B5636" w:rsidR="005146A4" w:rsidRPr="001D41EA" w:rsidRDefault="005146A4" w:rsidP="001D41EA">
            <w:pPr>
              <w:spacing w:before="40" w:after="40"/>
              <w:jc w:val="center"/>
              <w:rPr>
                <w:rFonts w:cs="Arial"/>
                <w:sz w:val="18"/>
                <w:szCs w:val="18"/>
              </w:rPr>
            </w:pPr>
            <w:r w:rsidRPr="001D41EA">
              <w:rPr>
                <w:rFonts w:cs="Arial"/>
                <w:sz w:val="18"/>
                <w:szCs w:val="18"/>
              </w:rPr>
              <w:t>0.987</w:t>
            </w:r>
          </w:p>
        </w:tc>
      </w:tr>
      <w:tr w:rsidR="005146A4" w:rsidRPr="001D41EA" w14:paraId="32119F1C"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5C88E5EC" w14:textId="77777777" w:rsidR="005146A4" w:rsidRPr="001D41EA" w:rsidRDefault="005146A4" w:rsidP="001D41EA">
            <w:pPr>
              <w:spacing w:before="40" w:after="40"/>
              <w:rPr>
                <w:rFonts w:cs="Arial"/>
                <w:sz w:val="18"/>
                <w:szCs w:val="18"/>
              </w:rPr>
            </w:pPr>
            <w:r w:rsidRPr="001D41EA">
              <w:rPr>
                <w:rFonts w:cs="Arial"/>
                <w:sz w:val="18"/>
                <w:szCs w:val="18"/>
              </w:rPr>
              <w:t>Bass Coast S</w:t>
            </w:r>
          </w:p>
        </w:tc>
        <w:tc>
          <w:tcPr>
            <w:tcW w:w="851" w:type="dxa"/>
            <w:tcBorders>
              <w:top w:val="nil"/>
              <w:left w:val="single" w:sz="18" w:space="0" w:color="5F497A" w:themeColor="accent4" w:themeShade="BF"/>
              <w:bottom w:val="nil"/>
              <w:right w:val="nil"/>
            </w:tcBorders>
            <w:shd w:val="clear" w:color="auto" w:fill="auto"/>
            <w:vAlign w:val="bottom"/>
          </w:tcPr>
          <w:p w14:paraId="0AE96A00" w14:textId="2E4732AE" w:rsidR="005146A4" w:rsidRPr="001D41EA" w:rsidRDefault="005146A4" w:rsidP="001D41EA">
            <w:pPr>
              <w:spacing w:before="40" w:after="40"/>
              <w:jc w:val="center"/>
              <w:rPr>
                <w:rFonts w:cs="Arial"/>
                <w:sz w:val="18"/>
                <w:szCs w:val="18"/>
              </w:rPr>
            </w:pPr>
            <w:r w:rsidRPr="001D41EA">
              <w:rPr>
                <w:rFonts w:cs="Arial"/>
                <w:sz w:val="18"/>
                <w:szCs w:val="18"/>
              </w:rPr>
              <w:t>1.113</w:t>
            </w:r>
          </w:p>
        </w:tc>
        <w:tc>
          <w:tcPr>
            <w:tcW w:w="851" w:type="dxa"/>
            <w:tcBorders>
              <w:top w:val="nil"/>
              <w:left w:val="nil"/>
              <w:bottom w:val="nil"/>
              <w:right w:val="nil"/>
            </w:tcBorders>
            <w:shd w:val="clear" w:color="auto" w:fill="auto"/>
            <w:vAlign w:val="bottom"/>
          </w:tcPr>
          <w:p w14:paraId="37943E9E" w14:textId="7C70079D" w:rsidR="005146A4" w:rsidRPr="001D41EA" w:rsidRDefault="005146A4" w:rsidP="001D41EA">
            <w:pPr>
              <w:spacing w:before="40" w:after="40"/>
              <w:jc w:val="center"/>
              <w:rPr>
                <w:rFonts w:cs="Arial"/>
                <w:sz w:val="18"/>
                <w:szCs w:val="18"/>
              </w:rPr>
            </w:pPr>
            <w:r w:rsidRPr="001D41EA">
              <w:rPr>
                <w:rFonts w:cs="Arial"/>
                <w:sz w:val="18"/>
                <w:szCs w:val="18"/>
              </w:rPr>
              <w:t>1.059</w:t>
            </w:r>
          </w:p>
        </w:tc>
        <w:tc>
          <w:tcPr>
            <w:tcW w:w="851" w:type="dxa"/>
            <w:tcBorders>
              <w:top w:val="nil"/>
              <w:left w:val="nil"/>
              <w:bottom w:val="nil"/>
              <w:right w:val="nil"/>
            </w:tcBorders>
            <w:shd w:val="clear" w:color="auto" w:fill="auto"/>
            <w:vAlign w:val="bottom"/>
          </w:tcPr>
          <w:p w14:paraId="4D330B37" w14:textId="70E0FA08" w:rsidR="005146A4" w:rsidRPr="001D41EA" w:rsidRDefault="005146A4" w:rsidP="001D41EA">
            <w:pPr>
              <w:spacing w:before="40" w:after="40"/>
              <w:jc w:val="center"/>
              <w:rPr>
                <w:rFonts w:cs="Arial"/>
                <w:sz w:val="18"/>
                <w:szCs w:val="18"/>
              </w:rPr>
            </w:pPr>
            <w:r w:rsidRPr="001D41EA">
              <w:rPr>
                <w:rFonts w:cs="Arial"/>
                <w:sz w:val="18"/>
                <w:szCs w:val="18"/>
              </w:rPr>
              <w:t>1.142</w:t>
            </w:r>
          </w:p>
        </w:tc>
        <w:tc>
          <w:tcPr>
            <w:tcW w:w="851" w:type="dxa"/>
            <w:tcBorders>
              <w:top w:val="nil"/>
              <w:left w:val="nil"/>
              <w:bottom w:val="nil"/>
              <w:right w:val="nil"/>
            </w:tcBorders>
            <w:shd w:val="clear" w:color="auto" w:fill="auto"/>
            <w:vAlign w:val="bottom"/>
          </w:tcPr>
          <w:p w14:paraId="3A421253" w14:textId="01E5099C" w:rsidR="005146A4" w:rsidRPr="001D41EA" w:rsidRDefault="005146A4" w:rsidP="001D41EA">
            <w:pPr>
              <w:spacing w:before="40" w:after="40"/>
              <w:jc w:val="center"/>
              <w:rPr>
                <w:rFonts w:cs="Arial"/>
                <w:sz w:val="18"/>
                <w:szCs w:val="18"/>
              </w:rPr>
            </w:pPr>
            <w:r w:rsidRPr="001D41EA">
              <w:rPr>
                <w:rFonts w:cs="Arial"/>
                <w:sz w:val="18"/>
                <w:szCs w:val="18"/>
              </w:rPr>
              <w:t>1.215</w:t>
            </w:r>
          </w:p>
        </w:tc>
        <w:tc>
          <w:tcPr>
            <w:tcW w:w="851" w:type="dxa"/>
            <w:tcBorders>
              <w:top w:val="nil"/>
              <w:left w:val="nil"/>
              <w:bottom w:val="nil"/>
              <w:right w:val="nil"/>
            </w:tcBorders>
            <w:shd w:val="clear" w:color="auto" w:fill="auto"/>
            <w:vAlign w:val="bottom"/>
          </w:tcPr>
          <w:p w14:paraId="13C5CFB9" w14:textId="4AAE4D29" w:rsidR="005146A4" w:rsidRPr="001D41EA" w:rsidRDefault="005146A4" w:rsidP="001D41EA">
            <w:pPr>
              <w:spacing w:before="40" w:after="40"/>
              <w:jc w:val="center"/>
              <w:rPr>
                <w:rFonts w:cs="Arial"/>
                <w:sz w:val="18"/>
                <w:szCs w:val="18"/>
              </w:rPr>
            </w:pPr>
            <w:r w:rsidRPr="001D41EA">
              <w:rPr>
                <w:rFonts w:cs="Arial"/>
                <w:sz w:val="18"/>
                <w:szCs w:val="18"/>
              </w:rPr>
              <w:t>1.300</w:t>
            </w:r>
          </w:p>
        </w:tc>
        <w:tc>
          <w:tcPr>
            <w:tcW w:w="851" w:type="dxa"/>
            <w:tcBorders>
              <w:top w:val="nil"/>
              <w:left w:val="nil"/>
              <w:bottom w:val="nil"/>
              <w:right w:val="nil"/>
            </w:tcBorders>
            <w:shd w:val="clear" w:color="auto" w:fill="auto"/>
            <w:vAlign w:val="bottom"/>
          </w:tcPr>
          <w:p w14:paraId="26BEB052" w14:textId="1BD2ED2C" w:rsidR="005146A4" w:rsidRPr="001D41EA" w:rsidRDefault="005146A4" w:rsidP="001D41EA">
            <w:pPr>
              <w:spacing w:before="40" w:after="40"/>
              <w:jc w:val="center"/>
              <w:rPr>
                <w:rFonts w:cs="Arial"/>
                <w:sz w:val="18"/>
                <w:szCs w:val="18"/>
              </w:rPr>
            </w:pPr>
            <w:r w:rsidRPr="001D41EA">
              <w:rPr>
                <w:rFonts w:cs="Arial"/>
                <w:sz w:val="18"/>
                <w:szCs w:val="18"/>
              </w:rPr>
              <w:t>1.160</w:t>
            </w:r>
          </w:p>
        </w:tc>
        <w:tc>
          <w:tcPr>
            <w:tcW w:w="851" w:type="dxa"/>
            <w:tcBorders>
              <w:top w:val="nil"/>
              <w:left w:val="nil"/>
              <w:bottom w:val="nil"/>
              <w:right w:val="nil"/>
            </w:tcBorders>
            <w:shd w:val="clear" w:color="auto" w:fill="auto"/>
            <w:vAlign w:val="bottom"/>
          </w:tcPr>
          <w:p w14:paraId="7C7EF188" w14:textId="05E18236" w:rsidR="005146A4" w:rsidRPr="001D41EA" w:rsidRDefault="005146A4" w:rsidP="001D41EA">
            <w:pPr>
              <w:spacing w:before="40" w:after="40"/>
              <w:jc w:val="center"/>
              <w:rPr>
                <w:rFonts w:cs="Arial"/>
                <w:sz w:val="18"/>
                <w:szCs w:val="18"/>
              </w:rPr>
            </w:pPr>
            <w:r w:rsidRPr="001D41EA">
              <w:rPr>
                <w:rFonts w:cs="Arial"/>
                <w:sz w:val="18"/>
                <w:szCs w:val="18"/>
              </w:rPr>
              <w:t>1.167</w:t>
            </w:r>
          </w:p>
        </w:tc>
        <w:tc>
          <w:tcPr>
            <w:tcW w:w="851" w:type="dxa"/>
            <w:tcBorders>
              <w:top w:val="nil"/>
              <w:left w:val="nil"/>
              <w:bottom w:val="nil"/>
              <w:right w:val="nil"/>
            </w:tcBorders>
            <w:shd w:val="clear" w:color="auto" w:fill="auto"/>
            <w:vAlign w:val="bottom"/>
          </w:tcPr>
          <w:p w14:paraId="2D04F401" w14:textId="374D0133" w:rsidR="005146A4" w:rsidRPr="001D41EA" w:rsidRDefault="005146A4" w:rsidP="001D41EA">
            <w:pPr>
              <w:spacing w:before="40" w:after="40"/>
              <w:jc w:val="center"/>
              <w:rPr>
                <w:rFonts w:cs="Arial"/>
                <w:sz w:val="18"/>
                <w:szCs w:val="18"/>
              </w:rPr>
            </w:pPr>
            <w:r w:rsidRPr="001D41EA">
              <w:rPr>
                <w:rFonts w:cs="Arial"/>
                <w:sz w:val="18"/>
                <w:szCs w:val="18"/>
              </w:rPr>
              <w:t>1.173</w:t>
            </w:r>
          </w:p>
        </w:tc>
      </w:tr>
      <w:tr w:rsidR="005146A4" w:rsidRPr="001D41EA" w14:paraId="1CA6088C"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911B95B" w14:textId="77777777" w:rsidR="005146A4" w:rsidRPr="001D41EA" w:rsidRDefault="005146A4" w:rsidP="001D41EA">
            <w:pPr>
              <w:spacing w:before="40" w:after="40"/>
              <w:rPr>
                <w:rFonts w:cs="Arial"/>
                <w:sz w:val="18"/>
                <w:szCs w:val="18"/>
              </w:rPr>
            </w:pPr>
            <w:r w:rsidRPr="001D41EA">
              <w:rPr>
                <w:rFonts w:cs="Arial"/>
                <w:sz w:val="18"/>
                <w:szCs w:val="18"/>
              </w:rPr>
              <w:t>Baw Baw S</w:t>
            </w:r>
          </w:p>
        </w:tc>
        <w:tc>
          <w:tcPr>
            <w:tcW w:w="851" w:type="dxa"/>
            <w:tcBorders>
              <w:top w:val="nil"/>
              <w:left w:val="single" w:sz="18" w:space="0" w:color="5F497A" w:themeColor="accent4" w:themeShade="BF"/>
              <w:bottom w:val="nil"/>
              <w:right w:val="nil"/>
            </w:tcBorders>
            <w:shd w:val="clear" w:color="auto" w:fill="auto"/>
            <w:vAlign w:val="bottom"/>
          </w:tcPr>
          <w:p w14:paraId="6800BD22" w14:textId="2033C21E" w:rsidR="005146A4" w:rsidRPr="001D41EA" w:rsidRDefault="005146A4" w:rsidP="001D41EA">
            <w:pPr>
              <w:spacing w:before="40" w:after="40"/>
              <w:jc w:val="center"/>
              <w:rPr>
                <w:rFonts w:cs="Arial"/>
                <w:sz w:val="18"/>
                <w:szCs w:val="18"/>
              </w:rPr>
            </w:pPr>
            <w:r w:rsidRPr="001D41EA">
              <w:rPr>
                <w:rFonts w:cs="Arial"/>
                <w:sz w:val="18"/>
                <w:szCs w:val="18"/>
              </w:rPr>
              <w:t>1.071</w:t>
            </w:r>
          </w:p>
        </w:tc>
        <w:tc>
          <w:tcPr>
            <w:tcW w:w="851" w:type="dxa"/>
            <w:tcBorders>
              <w:top w:val="nil"/>
              <w:left w:val="nil"/>
              <w:bottom w:val="nil"/>
              <w:right w:val="nil"/>
            </w:tcBorders>
            <w:shd w:val="clear" w:color="auto" w:fill="auto"/>
            <w:vAlign w:val="bottom"/>
          </w:tcPr>
          <w:p w14:paraId="7F64C2D3" w14:textId="7CAAC266" w:rsidR="005146A4" w:rsidRPr="001D41EA" w:rsidRDefault="005146A4" w:rsidP="001D41EA">
            <w:pPr>
              <w:spacing w:before="40" w:after="40"/>
              <w:jc w:val="center"/>
              <w:rPr>
                <w:rFonts w:cs="Arial"/>
                <w:sz w:val="18"/>
                <w:szCs w:val="18"/>
              </w:rPr>
            </w:pPr>
            <w:r w:rsidRPr="001D41EA">
              <w:rPr>
                <w:rFonts w:cs="Arial"/>
                <w:sz w:val="18"/>
                <w:szCs w:val="18"/>
              </w:rPr>
              <w:t>1.035</w:t>
            </w:r>
          </w:p>
        </w:tc>
        <w:tc>
          <w:tcPr>
            <w:tcW w:w="851" w:type="dxa"/>
            <w:tcBorders>
              <w:top w:val="nil"/>
              <w:left w:val="nil"/>
              <w:bottom w:val="nil"/>
              <w:right w:val="nil"/>
            </w:tcBorders>
            <w:shd w:val="clear" w:color="auto" w:fill="auto"/>
            <w:vAlign w:val="bottom"/>
          </w:tcPr>
          <w:p w14:paraId="5793140F" w14:textId="3DF0CA87" w:rsidR="005146A4" w:rsidRPr="001D41EA" w:rsidRDefault="005146A4" w:rsidP="001D41EA">
            <w:pPr>
              <w:spacing w:before="40" w:after="40"/>
              <w:jc w:val="center"/>
              <w:rPr>
                <w:rFonts w:cs="Arial"/>
                <w:sz w:val="18"/>
                <w:szCs w:val="18"/>
              </w:rPr>
            </w:pPr>
            <w:r w:rsidRPr="001D41EA">
              <w:rPr>
                <w:rFonts w:cs="Arial"/>
                <w:sz w:val="18"/>
                <w:szCs w:val="18"/>
              </w:rPr>
              <w:t>1.035</w:t>
            </w:r>
          </w:p>
        </w:tc>
        <w:tc>
          <w:tcPr>
            <w:tcW w:w="851" w:type="dxa"/>
            <w:tcBorders>
              <w:top w:val="nil"/>
              <w:left w:val="nil"/>
              <w:bottom w:val="nil"/>
              <w:right w:val="nil"/>
            </w:tcBorders>
            <w:shd w:val="clear" w:color="auto" w:fill="auto"/>
            <w:vAlign w:val="bottom"/>
          </w:tcPr>
          <w:p w14:paraId="40756395" w14:textId="5996601A" w:rsidR="005146A4" w:rsidRPr="001D41EA" w:rsidRDefault="005146A4" w:rsidP="001D41EA">
            <w:pPr>
              <w:spacing w:before="40" w:after="40"/>
              <w:jc w:val="center"/>
              <w:rPr>
                <w:rFonts w:cs="Arial"/>
                <w:sz w:val="18"/>
                <w:szCs w:val="18"/>
              </w:rPr>
            </w:pPr>
            <w:r w:rsidRPr="001D41EA">
              <w:rPr>
                <w:rFonts w:cs="Arial"/>
                <w:sz w:val="18"/>
                <w:szCs w:val="18"/>
              </w:rPr>
              <w:t>0.983</w:t>
            </w:r>
          </w:p>
        </w:tc>
        <w:tc>
          <w:tcPr>
            <w:tcW w:w="851" w:type="dxa"/>
            <w:tcBorders>
              <w:top w:val="nil"/>
              <w:left w:val="nil"/>
              <w:bottom w:val="nil"/>
              <w:right w:val="nil"/>
            </w:tcBorders>
            <w:shd w:val="clear" w:color="auto" w:fill="auto"/>
            <w:vAlign w:val="bottom"/>
          </w:tcPr>
          <w:p w14:paraId="727A26B0" w14:textId="78F1B516" w:rsidR="005146A4" w:rsidRPr="001D41EA" w:rsidRDefault="005146A4" w:rsidP="001D41EA">
            <w:pPr>
              <w:spacing w:before="40" w:after="40"/>
              <w:jc w:val="center"/>
              <w:rPr>
                <w:rFonts w:cs="Arial"/>
                <w:sz w:val="18"/>
                <w:szCs w:val="18"/>
              </w:rPr>
            </w:pPr>
            <w:r w:rsidRPr="001D41EA">
              <w:rPr>
                <w:rFonts w:cs="Arial"/>
                <w:sz w:val="18"/>
                <w:szCs w:val="18"/>
              </w:rPr>
              <w:t>1.121</w:t>
            </w:r>
          </w:p>
        </w:tc>
        <w:tc>
          <w:tcPr>
            <w:tcW w:w="851" w:type="dxa"/>
            <w:tcBorders>
              <w:top w:val="nil"/>
              <w:left w:val="nil"/>
              <w:bottom w:val="nil"/>
              <w:right w:val="nil"/>
            </w:tcBorders>
            <w:shd w:val="clear" w:color="auto" w:fill="auto"/>
            <w:vAlign w:val="bottom"/>
          </w:tcPr>
          <w:p w14:paraId="532B2CCA" w14:textId="6BBCFF8E" w:rsidR="005146A4" w:rsidRPr="001D41EA" w:rsidRDefault="005146A4" w:rsidP="001D41EA">
            <w:pPr>
              <w:spacing w:before="40" w:after="40"/>
              <w:jc w:val="center"/>
              <w:rPr>
                <w:rFonts w:cs="Arial"/>
                <w:sz w:val="18"/>
                <w:szCs w:val="18"/>
              </w:rPr>
            </w:pPr>
            <w:r w:rsidRPr="001D41EA">
              <w:rPr>
                <w:rFonts w:cs="Arial"/>
                <w:sz w:val="18"/>
                <w:szCs w:val="18"/>
              </w:rPr>
              <w:t>1.022</w:t>
            </w:r>
          </w:p>
        </w:tc>
        <w:tc>
          <w:tcPr>
            <w:tcW w:w="851" w:type="dxa"/>
            <w:tcBorders>
              <w:top w:val="nil"/>
              <w:left w:val="nil"/>
              <w:bottom w:val="nil"/>
              <w:right w:val="nil"/>
            </w:tcBorders>
            <w:shd w:val="clear" w:color="auto" w:fill="auto"/>
            <w:vAlign w:val="bottom"/>
          </w:tcPr>
          <w:p w14:paraId="3A622F27" w14:textId="4CA4E073" w:rsidR="005146A4" w:rsidRPr="001D41EA" w:rsidRDefault="005146A4" w:rsidP="001D41EA">
            <w:pPr>
              <w:spacing w:before="40" w:after="40"/>
              <w:jc w:val="center"/>
              <w:rPr>
                <w:rFonts w:cs="Arial"/>
                <w:sz w:val="18"/>
                <w:szCs w:val="18"/>
              </w:rPr>
            </w:pPr>
            <w:r w:rsidRPr="001D41EA">
              <w:rPr>
                <w:rFonts w:cs="Arial"/>
                <w:sz w:val="18"/>
                <w:szCs w:val="18"/>
              </w:rPr>
              <w:t>1.119</w:t>
            </w:r>
          </w:p>
        </w:tc>
        <w:tc>
          <w:tcPr>
            <w:tcW w:w="851" w:type="dxa"/>
            <w:tcBorders>
              <w:top w:val="nil"/>
              <w:left w:val="nil"/>
              <w:bottom w:val="nil"/>
              <w:right w:val="nil"/>
            </w:tcBorders>
            <w:shd w:val="clear" w:color="auto" w:fill="auto"/>
            <w:vAlign w:val="bottom"/>
          </w:tcPr>
          <w:p w14:paraId="63B7C8FA" w14:textId="6C436AF9" w:rsidR="005146A4" w:rsidRPr="001D41EA" w:rsidRDefault="005146A4" w:rsidP="001D41EA">
            <w:pPr>
              <w:spacing w:before="40" w:after="40"/>
              <w:jc w:val="center"/>
              <w:rPr>
                <w:rFonts w:cs="Arial"/>
                <w:sz w:val="18"/>
                <w:szCs w:val="18"/>
              </w:rPr>
            </w:pPr>
            <w:r w:rsidRPr="001D41EA">
              <w:rPr>
                <w:rFonts w:cs="Arial"/>
                <w:sz w:val="18"/>
                <w:szCs w:val="18"/>
              </w:rPr>
              <w:t>1.081</w:t>
            </w:r>
          </w:p>
        </w:tc>
      </w:tr>
      <w:tr w:rsidR="005146A4" w:rsidRPr="001D41EA" w14:paraId="643EA4BB"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8A2A1A7" w14:textId="77777777" w:rsidR="005146A4" w:rsidRPr="001D41EA" w:rsidRDefault="005146A4" w:rsidP="001D41EA">
            <w:pPr>
              <w:spacing w:before="40" w:after="40"/>
              <w:rPr>
                <w:rFonts w:cs="Arial"/>
                <w:sz w:val="18"/>
                <w:szCs w:val="18"/>
              </w:rPr>
            </w:pPr>
            <w:r w:rsidRPr="001D41EA">
              <w:rPr>
                <w:rFonts w:cs="Arial"/>
                <w:sz w:val="18"/>
                <w:szCs w:val="18"/>
              </w:rPr>
              <w:t>Bayside C</w:t>
            </w:r>
          </w:p>
        </w:tc>
        <w:tc>
          <w:tcPr>
            <w:tcW w:w="851" w:type="dxa"/>
            <w:tcBorders>
              <w:top w:val="nil"/>
              <w:left w:val="single" w:sz="18" w:space="0" w:color="5F497A" w:themeColor="accent4" w:themeShade="BF"/>
              <w:bottom w:val="nil"/>
              <w:right w:val="nil"/>
            </w:tcBorders>
            <w:shd w:val="clear" w:color="auto" w:fill="auto"/>
            <w:vAlign w:val="bottom"/>
          </w:tcPr>
          <w:p w14:paraId="02203F64" w14:textId="716BD26F" w:rsidR="005146A4" w:rsidRPr="001D41EA" w:rsidRDefault="005146A4" w:rsidP="001D41EA">
            <w:pPr>
              <w:spacing w:before="40" w:after="40"/>
              <w:jc w:val="center"/>
              <w:rPr>
                <w:rFonts w:cs="Arial"/>
                <w:sz w:val="18"/>
                <w:szCs w:val="18"/>
              </w:rPr>
            </w:pPr>
            <w:r w:rsidRPr="001D41EA">
              <w:rPr>
                <w:rFonts w:cs="Arial"/>
                <w:sz w:val="18"/>
                <w:szCs w:val="18"/>
              </w:rPr>
              <w:t>0.923</w:t>
            </w:r>
          </w:p>
        </w:tc>
        <w:tc>
          <w:tcPr>
            <w:tcW w:w="851" w:type="dxa"/>
            <w:tcBorders>
              <w:top w:val="nil"/>
              <w:left w:val="nil"/>
              <w:bottom w:val="nil"/>
              <w:right w:val="nil"/>
            </w:tcBorders>
            <w:shd w:val="clear" w:color="auto" w:fill="auto"/>
            <w:vAlign w:val="bottom"/>
          </w:tcPr>
          <w:p w14:paraId="2A2C89E4" w14:textId="5074CF74" w:rsidR="005146A4" w:rsidRPr="001D41EA" w:rsidRDefault="005146A4" w:rsidP="001D41EA">
            <w:pPr>
              <w:spacing w:before="40" w:after="40"/>
              <w:jc w:val="center"/>
              <w:rPr>
                <w:rFonts w:cs="Arial"/>
                <w:sz w:val="18"/>
                <w:szCs w:val="18"/>
              </w:rPr>
            </w:pPr>
            <w:r w:rsidRPr="001D41EA">
              <w:rPr>
                <w:rFonts w:cs="Arial"/>
                <w:sz w:val="18"/>
                <w:szCs w:val="18"/>
              </w:rPr>
              <w:t>0.842</w:t>
            </w:r>
          </w:p>
        </w:tc>
        <w:tc>
          <w:tcPr>
            <w:tcW w:w="851" w:type="dxa"/>
            <w:tcBorders>
              <w:top w:val="nil"/>
              <w:left w:val="nil"/>
              <w:bottom w:val="nil"/>
              <w:right w:val="nil"/>
            </w:tcBorders>
            <w:shd w:val="clear" w:color="auto" w:fill="auto"/>
            <w:vAlign w:val="bottom"/>
          </w:tcPr>
          <w:p w14:paraId="09B2A9E7" w14:textId="2C477AF8" w:rsidR="005146A4" w:rsidRPr="001D41EA" w:rsidRDefault="005146A4" w:rsidP="001D41EA">
            <w:pPr>
              <w:spacing w:before="40" w:after="40"/>
              <w:jc w:val="center"/>
              <w:rPr>
                <w:rFonts w:cs="Arial"/>
                <w:sz w:val="18"/>
                <w:szCs w:val="18"/>
              </w:rPr>
            </w:pPr>
            <w:r w:rsidRPr="001D41EA">
              <w:rPr>
                <w:rFonts w:cs="Arial"/>
                <w:sz w:val="18"/>
                <w:szCs w:val="18"/>
              </w:rPr>
              <w:t>0.799</w:t>
            </w:r>
          </w:p>
        </w:tc>
        <w:tc>
          <w:tcPr>
            <w:tcW w:w="851" w:type="dxa"/>
            <w:tcBorders>
              <w:top w:val="nil"/>
              <w:left w:val="nil"/>
              <w:bottom w:val="nil"/>
              <w:right w:val="nil"/>
            </w:tcBorders>
            <w:shd w:val="clear" w:color="auto" w:fill="auto"/>
            <w:vAlign w:val="bottom"/>
          </w:tcPr>
          <w:p w14:paraId="262CC4A2" w14:textId="4D45502A" w:rsidR="005146A4" w:rsidRPr="001D41EA" w:rsidRDefault="005146A4" w:rsidP="001D41EA">
            <w:pPr>
              <w:spacing w:before="40" w:after="40"/>
              <w:jc w:val="center"/>
              <w:rPr>
                <w:rFonts w:cs="Arial"/>
                <w:sz w:val="18"/>
                <w:szCs w:val="18"/>
              </w:rPr>
            </w:pPr>
            <w:r w:rsidRPr="001D41EA">
              <w:rPr>
                <w:rFonts w:cs="Arial"/>
                <w:sz w:val="18"/>
                <w:szCs w:val="18"/>
              </w:rPr>
              <w:t>0.924</w:t>
            </w:r>
          </w:p>
        </w:tc>
        <w:tc>
          <w:tcPr>
            <w:tcW w:w="851" w:type="dxa"/>
            <w:tcBorders>
              <w:top w:val="nil"/>
              <w:left w:val="nil"/>
              <w:bottom w:val="nil"/>
              <w:right w:val="nil"/>
            </w:tcBorders>
            <w:shd w:val="clear" w:color="auto" w:fill="auto"/>
            <w:vAlign w:val="bottom"/>
          </w:tcPr>
          <w:p w14:paraId="1E8039CB" w14:textId="77212D73" w:rsidR="005146A4" w:rsidRPr="001D41EA" w:rsidRDefault="005146A4" w:rsidP="001D41EA">
            <w:pPr>
              <w:spacing w:before="40" w:after="40"/>
              <w:jc w:val="center"/>
              <w:rPr>
                <w:rFonts w:cs="Arial"/>
                <w:sz w:val="18"/>
                <w:szCs w:val="18"/>
              </w:rPr>
            </w:pPr>
            <w:r w:rsidRPr="001D41EA">
              <w:rPr>
                <w:rFonts w:cs="Arial"/>
                <w:sz w:val="18"/>
                <w:szCs w:val="18"/>
              </w:rPr>
              <w:t>0.949</w:t>
            </w:r>
          </w:p>
        </w:tc>
        <w:tc>
          <w:tcPr>
            <w:tcW w:w="851" w:type="dxa"/>
            <w:tcBorders>
              <w:top w:val="nil"/>
              <w:left w:val="nil"/>
              <w:bottom w:val="nil"/>
              <w:right w:val="nil"/>
            </w:tcBorders>
            <w:shd w:val="clear" w:color="auto" w:fill="auto"/>
            <w:vAlign w:val="bottom"/>
          </w:tcPr>
          <w:p w14:paraId="3835EA67" w14:textId="4ED99EF2" w:rsidR="005146A4" w:rsidRPr="001D41EA" w:rsidRDefault="005146A4" w:rsidP="001D41EA">
            <w:pPr>
              <w:spacing w:before="40" w:after="40"/>
              <w:jc w:val="center"/>
              <w:rPr>
                <w:rFonts w:cs="Arial"/>
                <w:sz w:val="18"/>
                <w:szCs w:val="18"/>
              </w:rPr>
            </w:pPr>
            <w:r w:rsidRPr="001D41EA">
              <w:rPr>
                <w:rFonts w:cs="Arial"/>
                <w:sz w:val="18"/>
                <w:szCs w:val="18"/>
              </w:rPr>
              <w:t>0.941</w:t>
            </w:r>
          </w:p>
        </w:tc>
        <w:tc>
          <w:tcPr>
            <w:tcW w:w="851" w:type="dxa"/>
            <w:tcBorders>
              <w:top w:val="nil"/>
              <w:left w:val="nil"/>
              <w:bottom w:val="nil"/>
              <w:right w:val="nil"/>
            </w:tcBorders>
            <w:shd w:val="clear" w:color="auto" w:fill="auto"/>
            <w:vAlign w:val="bottom"/>
          </w:tcPr>
          <w:p w14:paraId="076E3A1A" w14:textId="0DB381A9" w:rsidR="005146A4" w:rsidRPr="001D41EA" w:rsidRDefault="005146A4" w:rsidP="001D41EA">
            <w:pPr>
              <w:spacing w:before="40" w:after="40"/>
              <w:jc w:val="center"/>
              <w:rPr>
                <w:rFonts w:cs="Arial"/>
                <w:sz w:val="18"/>
                <w:szCs w:val="18"/>
              </w:rPr>
            </w:pPr>
            <w:r w:rsidRPr="001D41EA">
              <w:rPr>
                <w:rFonts w:cs="Arial"/>
                <w:sz w:val="18"/>
                <w:szCs w:val="18"/>
              </w:rPr>
              <w:t>0.908</w:t>
            </w:r>
          </w:p>
        </w:tc>
        <w:tc>
          <w:tcPr>
            <w:tcW w:w="851" w:type="dxa"/>
            <w:tcBorders>
              <w:top w:val="nil"/>
              <w:left w:val="nil"/>
              <w:bottom w:val="nil"/>
              <w:right w:val="nil"/>
            </w:tcBorders>
            <w:shd w:val="clear" w:color="auto" w:fill="auto"/>
            <w:vAlign w:val="bottom"/>
          </w:tcPr>
          <w:p w14:paraId="2AB7B244" w14:textId="3A81D868" w:rsidR="005146A4" w:rsidRPr="001D41EA" w:rsidRDefault="005146A4" w:rsidP="001D41EA">
            <w:pPr>
              <w:spacing w:before="40" w:after="40"/>
              <w:jc w:val="center"/>
              <w:rPr>
                <w:rFonts w:cs="Arial"/>
                <w:sz w:val="18"/>
                <w:szCs w:val="18"/>
              </w:rPr>
            </w:pPr>
            <w:r w:rsidRPr="001D41EA">
              <w:rPr>
                <w:rFonts w:cs="Arial"/>
                <w:sz w:val="18"/>
                <w:szCs w:val="18"/>
              </w:rPr>
              <w:t>0.979</w:t>
            </w:r>
          </w:p>
        </w:tc>
      </w:tr>
      <w:tr w:rsidR="005146A4" w:rsidRPr="001D41EA" w14:paraId="3FF0EC8D"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52428574" w14:textId="77777777" w:rsidR="005146A4" w:rsidRPr="001D41EA" w:rsidRDefault="005146A4" w:rsidP="001D41EA">
            <w:pPr>
              <w:spacing w:before="40" w:after="40"/>
              <w:rPr>
                <w:rFonts w:cs="Arial"/>
                <w:sz w:val="18"/>
                <w:szCs w:val="18"/>
              </w:rPr>
            </w:pPr>
            <w:r w:rsidRPr="001D41EA">
              <w:rPr>
                <w:rFonts w:cs="Arial"/>
                <w:sz w:val="18"/>
                <w:szCs w:val="18"/>
              </w:rPr>
              <w:t>Benalla RC</w:t>
            </w:r>
          </w:p>
        </w:tc>
        <w:tc>
          <w:tcPr>
            <w:tcW w:w="851" w:type="dxa"/>
            <w:tcBorders>
              <w:top w:val="nil"/>
              <w:left w:val="single" w:sz="18" w:space="0" w:color="5F497A" w:themeColor="accent4" w:themeShade="BF"/>
              <w:bottom w:val="nil"/>
              <w:right w:val="nil"/>
            </w:tcBorders>
            <w:shd w:val="clear" w:color="auto" w:fill="auto"/>
            <w:vAlign w:val="bottom"/>
          </w:tcPr>
          <w:p w14:paraId="5D06A614" w14:textId="2257E779" w:rsidR="005146A4" w:rsidRPr="001D41EA" w:rsidRDefault="005146A4" w:rsidP="001D41EA">
            <w:pPr>
              <w:spacing w:before="40" w:after="40"/>
              <w:jc w:val="center"/>
              <w:rPr>
                <w:rFonts w:cs="Arial"/>
                <w:sz w:val="18"/>
                <w:szCs w:val="18"/>
              </w:rPr>
            </w:pPr>
            <w:r w:rsidRPr="001D41EA">
              <w:rPr>
                <w:rFonts w:cs="Arial"/>
                <w:sz w:val="18"/>
                <w:szCs w:val="18"/>
              </w:rPr>
              <w:t>1.066</w:t>
            </w:r>
          </w:p>
        </w:tc>
        <w:tc>
          <w:tcPr>
            <w:tcW w:w="851" w:type="dxa"/>
            <w:tcBorders>
              <w:top w:val="nil"/>
              <w:left w:val="nil"/>
              <w:bottom w:val="nil"/>
              <w:right w:val="nil"/>
            </w:tcBorders>
            <w:shd w:val="clear" w:color="auto" w:fill="auto"/>
            <w:vAlign w:val="bottom"/>
          </w:tcPr>
          <w:p w14:paraId="631E3F88" w14:textId="2157D0B2" w:rsidR="005146A4" w:rsidRPr="001D41EA" w:rsidRDefault="005146A4" w:rsidP="001D41EA">
            <w:pPr>
              <w:spacing w:before="40" w:after="40"/>
              <w:jc w:val="center"/>
              <w:rPr>
                <w:rFonts w:cs="Arial"/>
                <w:sz w:val="18"/>
                <w:szCs w:val="18"/>
              </w:rPr>
            </w:pPr>
            <w:r w:rsidRPr="001D41EA">
              <w:rPr>
                <w:rFonts w:cs="Arial"/>
                <w:sz w:val="18"/>
                <w:szCs w:val="18"/>
              </w:rPr>
              <w:t>0.976</w:t>
            </w:r>
          </w:p>
        </w:tc>
        <w:tc>
          <w:tcPr>
            <w:tcW w:w="851" w:type="dxa"/>
            <w:tcBorders>
              <w:top w:val="nil"/>
              <w:left w:val="nil"/>
              <w:bottom w:val="nil"/>
              <w:right w:val="nil"/>
            </w:tcBorders>
            <w:shd w:val="clear" w:color="auto" w:fill="auto"/>
            <w:vAlign w:val="bottom"/>
          </w:tcPr>
          <w:p w14:paraId="1A781E53" w14:textId="40EDF7EF" w:rsidR="005146A4" w:rsidRPr="001D41EA" w:rsidRDefault="005146A4" w:rsidP="001D41EA">
            <w:pPr>
              <w:spacing w:before="40" w:after="40"/>
              <w:jc w:val="center"/>
              <w:rPr>
                <w:rFonts w:cs="Arial"/>
                <w:sz w:val="18"/>
                <w:szCs w:val="18"/>
              </w:rPr>
            </w:pPr>
            <w:r w:rsidRPr="001D41EA">
              <w:rPr>
                <w:rFonts w:cs="Arial"/>
                <w:sz w:val="18"/>
                <w:szCs w:val="18"/>
              </w:rPr>
              <w:t>1.041</w:t>
            </w:r>
          </w:p>
        </w:tc>
        <w:tc>
          <w:tcPr>
            <w:tcW w:w="851" w:type="dxa"/>
            <w:tcBorders>
              <w:top w:val="nil"/>
              <w:left w:val="nil"/>
              <w:bottom w:val="nil"/>
              <w:right w:val="nil"/>
            </w:tcBorders>
            <w:shd w:val="clear" w:color="auto" w:fill="auto"/>
            <w:vAlign w:val="bottom"/>
          </w:tcPr>
          <w:p w14:paraId="0D30086F" w14:textId="044D594E" w:rsidR="005146A4" w:rsidRPr="001D41EA" w:rsidRDefault="005146A4" w:rsidP="001D41EA">
            <w:pPr>
              <w:spacing w:before="40" w:after="40"/>
              <w:jc w:val="center"/>
              <w:rPr>
                <w:rFonts w:cs="Arial"/>
                <w:sz w:val="18"/>
                <w:szCs w:val="18"/>
              </w:rPr>
            </w:pPr>
            <w:r w:rsidRPr="001D41EA">
              <w:rPr>
                <w:rFonts w:cs="Arial"/>
                <w:sz w:val="18"/>
                <w:szCs w:val="18"/>
              </w:rPr>
              <w:t>0.967</w:t>
            </w:r>
          </w:p>
        </w:tc>
        <w:tc>
          <w:tcPr>
            <w:tcW w:w="851" w:type="dxa"/>
            <w:tcBorders>
              <w:top w:val="nil"/>
              <w:left w:val="nil"/>
              <w:bottom w:val="nil"/>
              <w:right w:val="nil"/>
            </w:tcBorders>
            <w:shd w:val="clear" w:color="auto" w:fill="auto"/>
            <w:vAlign w:val="bottom"/>
          </w:tcPr>
          <w:p w14:paraId="06C0393C" w14:textId="2667B1C5" w:rsidR="005146A4" w:rsidRPr="001D41EA" w:rsidRDefault="005146A4" w:rsidP="001D41EA">
            <w:pPr>
              <w:spacing w:before="40" w:after="40"/>
              <w:jc w:val="center"/>
              <w:rPr>
                <w:rFonts w:cs="Arial"/>
                <w:sz w:val="18"/>
                <w:szCs w:val="18"/>
              </w:rPr>
            </w:pPr>
            <w:r w:rsidRPr="001D41EA">
              <w:rPr>
                <w:rFonts w:cs="Arial"/>
                <w:sz w:val="18"/>
                <w:szCs w:val="18"/>
              </w:rPr>
              <w:t>1.070</w:t>
            </w:r>
          </w:p>
        </w:tc>
        <w:tc>
          <w:tcPr>
            <w:tcW w:w="851" w:type="dxa"/>
            <w:tcBorders>
              <w:top w:val="nil"/>
              <w:left w:val="nil"/>
              <w:bottom w:val="nil"/>
              <w:right w:val="nil"/>
            </w:tcBorders>
            <w:shd w:val="clear" w:color="auto" w:fill="auto"/>
            <w:vAlign w:val="bottom"/>
          </w:tcPr>
          <w:p w14:paraId="17605B09" w14:textId="731BA163" w:rsidR="005146A4" w:rsidRPr="001D41EA" w:rsidRDefault="005146A4" w:rsidP="001D41EA">
            <w:pPr>
              <w:spacing w:before="40" w:after="40"/>
              <w:jc w:val="center"/>
              <w:rPr>
                <w:rFonts w:cs="Arial"/>
                <w:sz w:val="18"/>
                <w:szCs w:val="18"/>
              </w:rPr>
            </w:pPr>
            <w:r w:rsidRPr="001D41EA">
              <w:rPr>
                <w:rFonts w:cs="Arial"/>
                <w:sz w:val="18"/>
                <w:szCs w:val="18"/>
              </w:rPr>
              <w:t>0.966</w:t>
            </w:r>
          </w:p>
        </w:tc>
        <w:tc>
          <w:tcPr>
            <w:tcW w:w="851" w:type="dxa"/>
            <w:tcBorders>
              <w:top w:val="nil"/>
              <w:left w:val="nil"/>
              <w:bottom w:val="nil"/>
              <w:right w:val="nil"/>
            </w:tcBorders>
            <w:shd w:val="clear" w:color="auto" w:fill="auto"/>
            <w:vAlign w:val="bottom"/>
          </w:tcPr>
          <w:p w14:paraId="66913080" w14:textId="060B5678" w:rsidR="005146A4" w:rsidRPr="001D41EA" w:rsidRDefault="005146A4" w:rsidP="001D41EA">
            <w:pPr>
              <w:spacing w:before="40" w:after="40"/>
              <w:jc w:val="center"/>
              <w:rPr>
                <w:rFonts w:cs="Arial"/>
                <w:sz w:val="18"/>
                <w:szCs w:val="18"/>
              </w:rPr>
            </w:pPr>
            <w:r w:rsidRPr="001D41EA">
              <w:rPr>
                <w:rFonts w:cs="Arial"/>
                <w:sz w:val="18"/>
                <w:szCs w:val="18"/>
              </w:rPr>
              <w:t>1.282</w:t>
            </w:r>
          </w:p>
        </w:tc>
        <w:tc>
          <w:tcPr>
            <w:tcW w:w="851" w:type="dxa"/>
            <w:tcBorders>
              <w:top w:val="nil"/>
              <w:left w:val="nil"/>
              <w:bottom w:val="nil"/>
              <w:right w:val="nil"/>
            </w:tcBorders>
            <w:shd w:val="clear" w:color="auto" w:fill="auto"/>
            <w:vAlign w:val="bottom"/>
          </w:tcPr>
          <w:p w14:paraId="6AFE7C3C" w14:textId="7C00E4AD" w:rsidR="005146A4" w:rsidRPr="001D41EA" w:rsidRDefault="005146A4" w:rsidP="001D41EA">
            <w:pPr>
              <w:spacing w:before="40" w:after="40"/>
              <w:jc w:val="center"/>
              <w:rPr>
                <w:rFonts w:cs="Arial"/>
                <w:sz w:val="18"/>
                <w:szCs w:val="18"/>
              </w:rPr>
            </w:pPr>
            <w:r w:rsidRPr="001D41EA">
              <w:rPr>
                <w:rFonts w:cs="Arial"/>
                <w:sz w:val="18"/>
                <w:szCs w:val="18"/>
              </w:rPr>
              <w:t>1.109</w:t>
            </w:r>
          </w:p>
        </w:tc>
      </w:tr>
      <w:tr w:rsidR="005146A4" w:rsidRPr="001D41EA" w14:paraId="6CE25A5F"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8AFC6A6" w14:textId="77777777" w:rsidR="005146A4" w:rsidRPr="001D41EA" w:rsidRDefault="005146A4" w:rsidP="001D41EA">
            <w:pPr>
              <w:spacing w:before="40" w:after="40"/>
              <w:rPr>
                <w:rFonts w:cs="Arial"/>
                <w:sz w:val="18"/>
                <w:szCs w:val="18"/>
              </w:rPr>
            </w:pPr>
            <w:r w:rsidRPr="001D41EA">
              <w:rPr>
                <w:rFonts w:cs="Arial"/>
                <w:sz w:val="18"/>
                <w:szCs w:val="18"/>
              </w:rPr>
              <w:t>Boroondara C</w:t>
            </w:r>
          </w:p>
        </w:tc>
        <w:tc>
          <w:tcPr>
            <w:tcW w:w="851" w:type="dxa"/>
            <w:tcBorders>
              <w:top w:val="nil"/>
              <w:left w:val="single" w:sz="18" w:space="0" w:color="5F497A" w:themeColor="accent4" w:themeShade="BF"/>
              <w:bottom w:val="nil"/>
              <w:right w:val="nil"/>
            </w:tcBorders>
            <w:shd w:val="clear" w:color="auto" w:fill="auto"/>
            <w:vAlign w:val="bottom"/>
          </w:tcPr>
          <w:p w14:paraId="2A649796" w14:textId="4951ABB2" w:rsidR="005146A4" w:rsidRPr="001D41EA" w:rsidRDefault="005146A4" w:rsidP="001D41EA">
            <w:pPr>
              <w:spacing w:before="40" w:after="40"/>
              <w:jc w:val="center"/>
              <w:rPr>
                <w:rFonts w:cs="Arial"/>
                <w:sz w:val="18"/>
                <w:szCs w:val="18"/>
              </w:rPr>
            </w:pPr>
            <w:r w:rsidRPr="001D41EA">
              <w:rPr>
                <w:rFonts w:cs="Arial"/>
                <w:sz w:val="18"/>
                <w:szCs w:val="18"/>
              </w:rPr>
              <w:t>0.924</w:t>
            </w:r>
          </w:p>
        </w:tc>
        <w:tc>
          <w:tcPr>
            <w:tcW w:w="851" w:type="dxa"/>
            <w:tcBorders>
              <w:top w:val="nil"/>
              <w:left w:val="nil"/>
              <w:bottom w:val="nil"/>
              <w:right w:val="nil"/>
            </w:tcBorders>
            <w:shd w:val="clear" w:color="auto" w:fill="auto"/>
            <w:vAlign w:val="bottom"/>
          </w:tcPr>
          <w:p w14:paraId="701821B1" w14:textId="5D34A667" w:rsidR="005146A4" w:rsidRPr="001D41EA" w:rsidRDefault="005146A4" w:rsidP="001D41EA">
            <w:pPr>
              <w:spacing w:before="40" w:after="40"/>
              <w:jc w:val="center"/>
              <w:rPr>
                <w:rFonts w:cs="Arial"/>
                <w:sz w:val="18"/>
                <w:szCs w:val="18"/>
              </w:rPr>
            </w:pPr>
            <w:r w:rsidRPr="001D41EA">
              <w:rPr>
                <w:rFonts w:cs="Arial"/>
                <w:sz w:val="18"/>
                <w:szCs w:val="18"/>
              </w:rPr>
              <w:t>0.829</w:t>
            </w:r>
          </w:p>
        </w:tc>
        <w:tc>
          <w:tcPr>
            <w:tcW w:w="851" w:type="dxa"/>
            <w:tcBorders>
              <w:top w:val="nil"/>
              <w:left w:val="nil"/>
              <w:bottom w:val="nil"/>
              <w:right w:val="nil"/>
            </w:tcBorders>
            <w:shd w:val="clear" w:color="auto" w:fill="auto"/>
            <w:vAlign w:val="bottom"/>
          </w:tcPr>
          <w:p w14:paraId="68D17916" w14:textId="47E095FC" w:rsidR="005146A4" w:rsidRPr="001D41EA" w:rsidRDefault="005146A4" w:rsidP="001D41EA">
            <w:pPr>
              <w:spacing w:before="40" w:after="40"/>
              <w:jc w:val="center"/>
              <w:rPr>
                <w:rFonts w:cs="Arial"/>
                <w:sz w:val="18"/>
                <w:szCs w:val="18"/>
              </w:rPr>
            </w:pPr>
            <w:r w:rsidRPr="001D41EA">
              <w:rPr>
                <w:rFonts w:cs="Arial"/>
                <w:sz w:val="18"/>
                <w:szCs w:val="18"/>
              </w:rPr>
              <w:t>0.809</w:t>
            </w:r>
          </w:p>
        </w:tc>
        <w:tc>
          <w:tcPr>
            <w:tcW w:w="851" w:type="dxa"/>
            <w:tcBorders>
              <w:top w:val="nil"/>
              <w:left w:val="nil"/>
              <w:bottom w:val="nil"/>
              <w:right w:val="nil"/>
            </w:tcBorders>
            <w:shd w:val="clear" w:color="auto" w:fill="auto"/>
            <w:vAlign w:val="bottom"/>
          </w:tcPr>
          <w:p w14:paraId="471F2F83" w14:textId="0DE6B2DA" w:rsidR="005146A4" w:rsidRPr="001D41EA" w:rsidRDefault="005146A4" w:rsidP="001D41EA">
            <w:pPr>
              <w:spacing w:before="40" w:after="40"/>
              <w:jc w:val="center"/>
              <w:rPr>
                <w:rFonts w:cs="Arial"/>
                <w:sz w:val="18"/>
                <w:szCs w:val="18"/>
              </w:rPr>
            </w:pPr>
            <w:r w:rsidRPr="001D41EA">
              <w:rPr>
                <w:rFonts w:cs="Arial"/>
                <w:sz w:val="18"/>
                <w:szCs w:val="18"/>
              </w:rPr>
              <w:t>1.043</w:t>
            </w:r>
          </w:p>
        </w:tc>
        <w:tc>
          <w:tcPr>
            <w:tcW w:w="851" w:type="dxa"/>
            <w:tcBorders>
              <w:top w:val="nil"/>
              <w:left w:val="nil"/>
              <w:bottom w:val="nil"/>
              <w:right w:val="nil"/>
            </w:tcBorders>
            <w:shd w:val="clear" w:color="auto" w:fill="auto"/>
            <w:vAlign w:val="bottom"/>
          </w:tcPr>
          <w:p w14:paraId="126E8B5C" w14:textId="6668018D" w:rsidR="005146A4" w:rsidRPr="001D41EA" w:rsidRDefault="005146A4" w:rsidP="001D41EA">
            <w:pPr>
              <w:spacing w:before="40" w:after="40"/>
              <w:jc w:val="center"/>
              <w:rPr>
                <w:rFonts w:cs="Arial"/>
                <w:sz w:val="18"/>
                <w:szCs w:val="18"/>
              </w:rPr>
            </w:pPr>
            <w:r w:rsidRPr="001D41EA">
              <w:rPr>
                <w:rFonts w:cs="Arial"/>
                <w:sz w:val="18"/>
                <w:szCs w:val="18"/>
              </w:rPr>
              <w:t>0.934</w:t>
            </w:r>
          </w:p>
        </w:tc>
        <w:tc>
          <w:tcPr>
            <w:tcW w:w="851" w:type="dxa"/>
            <w:tcBorders>
              <w:top w:val="nil"/>
              <w:left w:val="nil"/>
              <w:bottom w:val="nil"/>
              <w:right w:val="nil"/>
            </w:tcBorders>
            <w:shd w:val="clear" w:color="auto" w:fill="auto"/>
            <w:vAlign w:val="bottom"/>
          </w:tcPr>
          <w:p w14:paraId="35E508F0" w14:textId="3F106C71" w:rsidR="005146A4" w:rsidRPr="001D41EA" w:rsidRDefault="005146A4" w:rsidP="001D41EA">
            <w:pPr>
              <w:spacing w:before="40" w:after="40"/>
              <w:jc w:val="center"/>
              <w:rPr>
                <w:rFonts w:cs="Arial"/>
                <w:sz w:val="18"/>
                <w:szCs w:val="18"/>
              </w:rPr>
            </w:pPr>
            <w:r w:rsidRPr="001D41EA">
              <w:rPr>
                <w:rFonts w:cs="Arial"/>
                <w:sz w:val="18"/>
                <w:szCs w:val="18"/>
              </w:rPr>
              <w:t>1.013</w:t>
            </w:r>
          </w:p>
        </w:tc>
        <w:tc>
          <w:tcPr>
            <w:tcW w:w="851" w:type="dxa"/>
            <w:tcBorders>
              <w:top w:val="nil"/>
              <w:left w:val="nil"/>
              <w:bottom w:val="nil"/>
              <w:right w:val="nil"/>
            </w:tcBorders>
            <w:shd w:val="clear" w:color="auto" w:fill="auto"/>
            <w:vAlign w:val="bottom"/>
          </w:tcPr>
          <w:p w14:paraId="2E94A1BA" w14:textId="741D0C4E" w:rsidR="005146A4" w:rsidRPr="001D41EA" w:rsidRDefault="005146A4" w:rsidP="001D41EA">
            <w:pPr>
              <w:spacing w:before="40" w:after="40"/>
              <w:jc w:val="center"/>
              <w:rPr>
                <w:rFonts w:cs="Arial"/>
                <w:sz w:val="18"/>
                <w:szCs w:val="18"/>
              </w:rPr>
            </w:pPr>
            <w:r w:rsidRPr="001D41EA">
              <w:rPr>
                <w:rFonts w:cs="Arial"/>
                <w:sz w:val="18"/>
                <w:szCs w:val="18"/>
              </w:rPr>
              <w:t>0.897</w:t>
            </w:r>
          </w:p>
        </w:tc>
        <w:tc>
          <w:tcPr>
            <w:tcW w:w="851" w:type="dxa"/>
            <w:tcBorders>
              <w:top w:val="nil"/>
              <w:left w:val="nil"/>
              <w:bottom w:val="nil"/>
              <w:right w:val="nil"/>
            </w:tcBorders>
            <w:shd w:val="clear" w:color="auto" w:fill="auto"/>
            <w:vAlign w:val="bottom"/>
          </w:tcPr>
          <w:p w14:paraId="170D1B70" w14:textId="196E03B3" w:rsidR="005146A4" w:rsidRPr="001D41EA" w:rsidRDefault="005146A4" w:rsidP="001D41EA">
            <w:pPr>
              <w:spacing w:before="40" w:after="40"/>
              <w:jc w:val="center"/>
              <w:rPr>
                <w:rFonts w:cs="Arial"/>
                <w:sz w:val="18"/>
                <w:szCs w:val="18"/>
              </w:rPr>
            </w:pPr>
            <w:r w:rsidRPr="001D41EA">
              <w:rPr>
                <w:rFonts w:cs="Arial"/>
                <w:sz w:val="18"/>
                <w:szCs w:val="18"/>
              </w:rPr>
              <w:t>1.013</w:t>
            </w:r>
          </w:p>
        </w:tc>
      </w:tr>
      <w:tr w:rsidR="005146A4" w:rsidRPr="001D41EA" w14:paraId="27D1771C"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42B1E1AD" w14:textId="77777777" w:rsidR="005146A4" w:rsidRPr="001D41EA" w:rsidRDefault="005146A4" w:rsidP="001D41EA">
            <w:pPr>
              <w:spacing w:before="40" w:after="40"/>
              <w:rPr>
                <w:rFonts w:cs="Arial"/>
                <w:sz w:val="18"/>
                <w:szCs w:val="18"/>
              </w:rPr>
            </w:pPr>
            <w:r w:rsidRPr="001D41EA">
              <w:rPr>
                <w:rFonts w:cs="Arial"/>
                <w:sz w:val="18"/>
                <w:szCs w:val="18"/>
              </w:rPr>
              <w:t>Brimbank C</w:t>
            </w:r>
          </w:p>
        </w:tc>
        <w:tc>
          <w:tcPr>
            <w:tcW w:w="851" w:type="dxa"/>
            <w:tcBorders>
              <w:top w:val="nil"/>
              <w:left w:val="single" w:sz="18" w:space="0" w:color="5F497A" w:themeColor="accent4" w:themeShade="BF"/>
              <w:bottom w:val="nil"/>
              <w:right w:val="nil"/>
            </w:tcBorders>
            <w:shd w:val="clear" w:color="auto" w:fill="auto"/>
            <w:vAlign w:val="bottom"/>
          </w:tcPr>
          <w:p w14:paraId="3D2B8ABB" w14:textId="2C90AB24" w:rsidR="005146A4" w:rsidRPr="001D41EA" w:rsidRDefault="005146A4" w:rsidP="001D41EA">
            <w:pPr>
              <w:spacing w:before="40" w:after="40"/>
              <w:jc w:val="center"/>
              <w:rPr>
                <w:rFonts w:cs="Arial"/>
                <w:sz w:val="18"/>
                <w:szCs w:val="18"/>
              </w:rPr>
            </w:pPr>
            <w:r w:rsidRPr="001D41EA">
              <w:rPr>
                <w:rFonts w:cs="Arial"/>
                <w:sz w:val="18"/>
                <w:szCs w:val="18"/>
              </w:rPr>
              <w:t>1.023</w:t>
            </w:r>
          </w:p>
        </w:tc>
        <w:tc>
          <w:tcPr>
            <w:tcW w:w="851" w:type="dxa"/>
            <w:tcBorders>
              <w:top w:val="nil"/>
              <w:left w:val="nil"/>
              <w:bottom w:val="nil"/>
              <w:right w:val="nil"/>
            </w:tcBorders>
            <w:shd w:val="clear" w:color="auto" w:fill="auto"/>
            <w:vAlign w:val="bottom"/>
          </w:tcPr>
          <w:p w14:paraId="4A75FC74" w14:textId="450257FF" w:rsidR="005146A4" w:rsidRPr="001D41EA" w:rsidRDefault="005146A4" w:rsidP="001D41EA">
            <w:pPr>
              <w:spacing w:before="40" w:after="40"/>
              <w:jc w:val="center"/>
              <w:rPr>
                <w:rFonts w:cs="Arial"/>
                <w:sz w:val="18"/>
                <w:szCs w:val="18"/>
              </w:rPr>
            </w:pPr>
            <w:r w:rsidRPr="001D41EA">
              <w:rPr>
                <w:rFonts w:cs="Arial"/>
                <w:sz w:val="18"/>
                <w:szCs w:val="18"/>
              </w:rPr>
              <w:t>1.069</w:t>
            </w:r>
          </w:p>
        </w:tc>
        <w:tc>
          <w:tcPr>
            <w:tcW w:w="851" w:type="dxa"/>
            <w:tcBorders>
              <w:top w:val="nil"/>
              <w:left w:val="nil"/>
              <w:bottom w:val="nil"/>
              <w:right w:val="nil"/>
            </w:tcBorders>
            <w:shd w:val="clear" w:color="auto" w:fill="auto"/>
            <w:vAlign w:val="bottom"/>
          </w:tcPr>
          <w:p w14:paraId="2B62C3C9" w14:textId="05F6BC43" w:rsidR="005146A4" w:rsidRPr="001D41EA" w:rsidRDefault="005146A4" w:rsidP="001D41EA">
            <w:pPr>
              <w:spacing w:before="40" w:after="40"/>
              <w:jc w:val="center"/>
              <w:rPr>
                <w:rFonts w:cs="Arial"/>
                <w:sz w:val="18"/>
                <w:szCs w:val="18"/>
              </w:rPr>
            </w:pPr>
            <w:r w:rsidRPr="001D41EA">
              <w:rPr>
                <w:rFonts w:cs="Arial"/>
                <w:sz w:val="18"/>
                <w:szCs w:val="18"/>
              </w:rPr>
              <w:t>1.146</w:t>
            </w:r>
          </w:p>
        </w:tc>
        <w:tc>
          <w:tcPr>
            <w:tcW w:w="851" w:type="dxa"/>
            <w:tcBorders>
              <w:top w:val="nil"/>
              <w:left w:val="nil"/>
              <w:bottom w:val="nil"/>
              <w:right w:val="nil"/>
            </w:tcBorders>
            <w:shd w:val="clear" w:color="auto" w:fill="auto"/>
            <w:vAlign w:val="bottom"/>
          </w:tcPr>
          <w:p w14:paraId="06FDC11A" w14:textId="65A11C05" w:rsidR="005146A4" w:rsidRPr="001D41EA" w:rsidRDefault="005146A4" w:rsidP="001D41EA">
            <w:pPr>
              <w:spacing w:before="40" w:after="40"/>
              <w:jc w:val="center"/>
              <w:rPr>
                <w:rFonts w:cs="Arial"/>
                <w:sz w:val="18"/>
                <w:szCs w:val="18"/>
              </w:rPr>
            </w:pPr>
            <w:r w:rsidRPr="001D41EA">
              <w:rPr>
                <w:rFonts w:cs="Arial"/>
                <w:sz w:val="18"/>
                <w:szCs w:val="18"/>
              </w:rPr>
              <w:t>0.915</w:t>
            </w:r>
          </w:p>
        </w:tc>
        <w:tc>
          <w:tcPr>
            <w:tcW w:w="851" w:type="dxa"/>
            <w:tcBorders>
              <w:top w:val="nil"/>
              <w:left w:val="nil"/>
              <w:bottom w:val="nil"/>
              <w:right w:val="nil"/>
            </w:tcBorders>
            <w:shd w:val="clear" w:color="auto" w:fill="auto"/>
            <w:vAlign w:val="bottom"/>
          </w:tcPr>
          <w:p w14:paraId="4FE5B612" w14:textId="70BCE92B" w:rsidR="005146A4" w:rsidRPr="001D41EA" w:rsidRDefault="005146A4" w:rsidP="001D41EA">
            <w:pPr>
              <w:spacing w:before="40" w:after="40"/>
              <w:jc w:val="center"/>
              <w:rPr>
                <w:rFonts w:cs="Arial"/>
                <w:sz w:val="18"/>
                <w:szCs w:val="18"/>
              </w:rPr>
            </w:pPr>
            <w:r w:rsidRPr="001D41EA">
              <w:rPr>
                <w:rFonts w:cs="Arial"/>
                <w:sz w:val="18"/>
                <w:szCs w:val="18"/>
              </w:rPr>
              <w:t>0.875</w:t>
            </w:r>
          </w:p>
        </w:tc>
        <w:tc>
          <w:tcPr>
            <w:tcW w:w="851" w:type="dxa"/>
            <w:tcBorders>
              <w:top w:val="nil"/>
              <w:left w:val="nil"/>
              <w:bottom w:val="nil"/>
              <w:right w:val="nil"/>
            </w:tcBorders>
            <w:shd w:val="clear" w:color="auto" w:fill="auto"/>
            <w:vAlign w:val="bottom"/>
          </w:tcPr>
          <w:p w14:paraId="3A86B026" w14:textId="1A4A1268" w:rsidR="005146A4" w:rsidRPr="001D41EA" w:rsidRDefault="005146A4" w:rsidP="001D41EA">
            <w:pPr>
              <w:spacing w:before="40" w:after="40"/>
              <w:jc w:val="center"/>
              <w:rPr>
                <w:rFonts w:cs="Arial"/>
                <w:sz w:val="18"/>
                <w:szCs w:val="18"/>
              </w:rPr>
            </w:pPr>
            <w:r w:rsidRPr="001D41EA">
              <w:rPr>
                <w:rFonts w:cs="Arial"/>
                <w:sz w:val="18"/>
                <w:szCs w:val="18"/>
              </w:rPr>
              <w:t>0.867</w:t>
            </w:r>
          </w:p>
        </w:tc>
        <w:tc>
          <w:tcPr>
            <w:tcW w:w="851" w:type="dxa"/>
            <w:tcBorders>
              <w:top w:val="nil"/>
              <w:left w:val="nil"/>
              <w:bottom w:val="nil"/>
              <w:right w:val="nil"/>
            </w:tcBorders>
            <w:shd w:val="clear" w:color="auto" w:fill="auto"/>
            <w:vAlign w:val="bottom"/>
          </w:tcPr>
          <w:p w14:paraId="5C2072F3" w14:textId="26B0D5F5" w:rsidR="005146A4" w:rsidRPr="001D41EA" w:rsidRDefault="005146A4" w:rsidP="001D41EA">
            <w:pPr>
              <w:spacing w:before="40" w:after="40"/>
              <w:jc w:val="center"/>
              <w:rPr>
                <w:rFonts w:cs="Arial"/>
                <w:sz w:val="18"/>
                <w:szCs w:val="18"/>
              </w:rPr>
            </w:pPr>
            <w:r w:rsidRPr="001D41EA">
              <w:rPr>
                <w:rFonts w:cs="Arial"/>
                <w:sz w:val="18"/>
                <w:szCs w:val="18"/>
              </w:rPr>
              <w:t>0.891</w:t>
            </w:r>
          </w:p>
        </w:tc>
        <w:tc>
          <w:tcPr>
            <w:tcW w:w="851" w:type="dxa"/>
            <w:tcBorders>
              <w:top w:val="nil"/>
              <w:left w:val="nil"/>
              <w:bottom w:val="nil"/>
              <w:right w:val="nil"/>
            </w:tcBorders>
            <w:shd w:val="clear" w:color="auto" w:fill="auto"/>
            <w:vAlign w:val="bottom"/>
          </w:tcPr>
          <w:p w14:paraId="63E6C99D" w14:textId="690CD7FE" w:rsidR="005146A4" w:rsidRPr="001D41EA" w:rsidRDefault="005146A4" w:rsidP="001D41EA">
            <w:pPr>
              <w:spacing w:before="40" w:after="40"/>
              <w:jc w:val="center"/>
              <w:rPr>
                <w:rFonts w:cs="Arial"/>
                <w:sz w:val="18"/>
                <w:szCs w:val="18"/>
              </w:rPr>
            </w:pPr>
            <w:r w:rsidRPr="001D41EA">
              <w:rPr>
                <w:rFonts w:cs="Arial"/>
                <w:sz w:val="18"/>
                <w:szCs w:val="18"/>
              </w:rPr>
              <w:t>0.877</w:t>
            </w:r>
          </w:p>
        </w:tc>
      </w:tr>
      <w:tr w:rsidR="005146A4" w:rsidRPr="001D41EA" w14:paraId="3EDFD960"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9D3364E" w14:textId="77777777" w:rsidR="005146A4" w:rsidRPr="001D41EA" w:rsidRDefault="005146A4" w:rsidP="001D41EA">
            <w:pPr>
              <w:spacing w:before="40" w:after="40"/>
              <w:rPr>
                <w:rFonts w:cs="Arial"/>
                <w:sz w:val="18"/>
                <w:szCs w:val="18"/>
              </w:rPr>
            </w:pPr>
            <w:r w:rsidRPr="001D41EA">
              <w:rPr>
                <w:rFonts w:cs="Arial"/>
                <w:sz w:val="18"/>
                <w:szCs w:val="18"/>
              </w:rPr>
              <w:t>Buloke S</w:t>
            </w:r>
          </w:p>
        </w:tc>
        <w:tc>
          <w:tcPr>
            <w:tcW w:w="851" w:type="dxa"/>
            <w:tcBorders>
              <w:top w:val="nil"/>
              <w:left w:val="single" w:sz="18" w:space="0" w:color="5F497A" w:themeColor="accent4" w:themeShade="BF"/>
              <w:bottom w:val="nil"/>
              <w:right w:val="nil"/>
            </w:tcBorders>
            <w:shd w:val="clear" w:color="auto" w:fill="auto"/>
            <w:vAlign w:val="bottom"/>
          </w:tcPr>
          <w:p w14:paraId="26D70C9A" w14:textId="2CC709C2" w:rsidR="005146A4" w:rsidRPr="001D41EA" w:rsidRDefault="005146A4" w:rsidP="001D41EA">
            <w:pPr>
              <w:spacing w:before="40" w:after="40"/>
              <w:jc w:val="center"/>
              <w:rPr>
                <w:rFonts w:cs="Arial"/>
                <w:sz w:val="18"/>
                <w:szCs w:val="18"/>
              </w:rPr>
            </w:pPr>
            <w:r w:rsidRPr="001D41EA">
              <w:rPr>
                <w:rFonts w:cs="Arial"/>
                <w:sz w:val="18"/>
                <w:szCs w:val="18"/>
              </w:rPr>
              <w:t>1.332</w:t>
            </w:r>
          </w:p>
        </w:tc>
        <w:tc>
          <w:tcPr>
            <w:tcW w:w="851" w:type="dxa"/>
            <w:tcBorders>
              <w:top w:val="nil"/>
              <w:left w:val="nil"/>
              <w:bottom w:val="nil"/>
              <w:right w:val="nil"/>
            </w:tcBorders>
            <w:shd w:val="clear" w:color="auto" w:fill="auto"/>
            <w:vAlign w:val="bottom"/>
          </w:tcPr>
          <w:p w14:paraId="230B479D" w14:textId="6ACE3330" w:rsidR="005146A4" w:rsidRPr="001D41EA" w:rsidRDefault="005146A4" w:rsidP="001D41EA">
            <w:pPr>
              <w:spacing w:before="40" w:after="40"/>
              <w:jc w:val="center"/>
              <w:rPr>
                <w:rFonts w:cs="Arial"/>
                <w:sz w:val="18"/>
                <w:szCs w:val="18"/>
              </w:rPr>
            </w:pPr>
            <w:r w:rsidRPr="001D41EA">
              <w:rPr>
                <w:rFonts w:cs="Arial"/>
                <w:sz w:val="18"/>
                <w:szCs w:val="18"/>
              </w:rPr>
              <w:t>1.077</w:t>
            </w:r>
          </w:p>
        </w:tc>
        <w:tc>
          <w:tcPr>
            <w:tcW w:w="851" w:type="dxa"/>
            <w:tcBorders>
              <w:top w:val="nil"/>
              <w:left w:val="nil"/>
              <w:bottom w:val="nil"/>
              <w:right w:val="nil"/>
            </w:tcBorders>
            <w:shd w:val="clear" w:color="auto" w:fill="auto"/>
            <w:vAlign w:val="bottom"/>
          </w:tcPr>
          <w:p w14:paraId="02C71972" w14:textId="038E9EDE" w:rsidR="005146A4" w:rsidRPr="001D41EA" w:rsidRDefault="005146A4" w:rsidP="001D41EA">
            <w:pPr>
              <w:spacing w:before="40" w:after="40"/>
              <w:jc w:val="center"/>
              <w:rPr>
                <w:rFonts w:cs="Arial"/>
                <w:sz w:val="18"/>
                <w:szCs w:val="18"/>
              </w:rPr>
            </w:pPr>
            <w:r w:rsidRPr="001D41EA">
              <w:rPr>
                <w:rFonts w:cs="Arial"/>
                <w:sz w:val="18"/>
                <w:szCs w:val="18"/>
              </w:rPr>
              <w:t>1.234</w:t>
            </w:r>
          </w:p>
        </w:tc>
        <w:tc>
          <w:tcPr>
            <w:tcW w:w="851" w:type="dxa"/>
            <w:tcBorders>
              <w:top w:val="nil"/>
              <w:left w:val="nil"/>
              <w:bottom w:val="nil"/>
              <w:right w:val="nil"/>
            </w:tcBorders>
            <w:shd w:val="clear" w:color="auto" w:fill="auto"/>
            <w:vAlign w:val="bottom"/>
          </w:tcPr>
          <w:p w14:paraId="2B27E1DD" w14:textId="117169D1" w:rsidR="005146A4" w:rsidRPr="001D41EA" w:rsidRDefault="005146A4" w:rsidP="001D41EA">
            <w:pPr>
              <w:spacing w:before="40" w:after="40"/>
              <w:jc w:val="center"/>
              <w:rPr>
                <w:rFonts w:cs="Arial"/>
                <w:sz w:val="18"/>
                <w:szCs w:val="18"/>
              </w:rPr>
            </w:pPr>
            <w:r w:rsidRPr="001D41EA">
              <w:rPr>
                <w:rFonts w:cs="Arial"/>
                <w:sz w:val="18"/>
                <w:szCs w:val="18"/>
              </w:rPr>
              <w:t>1.122</w:t>
            </w:r>
          </w:p>
        </w:tc>
        <w:tc>
          <w:tcPr>
            <w:tcW w:w="851" w:type="dxa"/>
            <w:tcBorders>
              <w:top w:val="nil"/>
              <w:left w:val="nil"/>
              <w:bottom w:val="nil"/>
              <w:right w:val="nil"/>
            </w:tcBorders>
            <w:shd w:val="clear" w:color="auto" w:fill="auto"/>
            <w:vAlign w:val="bottom"/>
          </w:tcPr>
          <w:p w14:paraId="34109EA6" w14:textId="46F52F1F" w:rsidR="005146A4" w:rsidRPr="001D41EA" w:rsidRDefault="005146A4" w:rsidP="001D41EA">
            <w:pPr>
              <w:spacing w:before="40" w:after="40"/>
              <w:jc w:val="center"/>
              <w:rPr>
                <w:rFonts w:cs="Arial"/>
                <w:sz w:val="18"/>
                <w:szCs w:val="18"/>
              </w:rPr>
            </w:pPr>
            <w:r w:rsidRPr="001D41EA">
              <w:rPr>
                <w:rFonts w:cs="Arial"/>
                <w:sz w:val="18"/>
                <w:szCs w:val="18"/>
              </w:rPr>
              <w:t>1.446</w:t>
            </w:r>
          </w:p>
        </w:tc>
        <w:tc>
          <w:tcPr>
            <w:tcW w:w="851" w:type="dxa"/>
            <w:tcBorders>
              <w:top w:val="nil"/>
              <w:left w:val="nil"/>
              <w:bottom w:val="nil"/>
              <w:right w:val="nil"/>
            </w:tcBorders>
            <w:shd w:val="clear" w:color="auto" w:fill="auto"/>
            <w:vAlign w:val="bottom"/>
          </w:tcPr>
          <w:p w14:paraId="7CA31C18" w14:textId="471D9AF1" w:rsidR="005146A4" w:rsidRPr="001D41EA" w:rsidRDefault="005146A4" w:rsidP="001D41EA">
            <w:pPr>
              <w:spacing w:before="40" w:after="40"/>
              <w:jc w:val="center"/>
              <w:rPr>
                <w:rFonts w:cs="Arial"/>
                <w:sz w:val="18"/>
                <w:szCs w:val="18"/>
              </w:rPr>
            </w:pPr>
            <w:r w:rsidRPr="001D41EA">
              <w:rPr>
                <w:rFonts w:cs="Arial"/>
                <w:sz w:val="18"/>
                <w:szCs w:val="18"/>
              </w:rPr>
              <w:t>1.048</w:t>
            </w:r>
          </w:p>
        </w:tc>
        <w:tc>
          <w:tcPr>
            <w:tcW w:w="851" w:type="dxa"/>
            <w:tcBorders>
              <w:top w:val="nil"/>
              <w:left w:val="nil"/>
              <w:bottom w:val="nil"/>
              <w:right w:val="nil"/>
            </w:tcBorders>
            <w:shd w:val="clear" w:color="auto" w:fill="auto"/>
            <w:vAlign w:val="bottom"/>
          </w:tcPr>
          <w:p w14:paraId="1879C419" w14:textId="55CDF1DB" w:rsidR="005146A4" w:rsidRPr="001D41EA" w:rsidRDefault="005146A4" w:rsidP="001D41EA">
            <w:pPr>
              <w:spacing w:before="40" w:after="40"/>
              <w:jc w:val="center"/>
              <w:rPr>
                <w:rFonts w:cs="Arial"/>
                <w:sz w:val="18"/>
                <w:szCs w:val="18"/>
              </w:rPr>
            </w:pPr>
            <w:r w:rsidRPr="001D41EA">
              <w:rPr>
                <w:rFonts w:cs="Arial"/>
                <w:sz w:val="18"/>
                <w:szCs w:val="18"/>
              </w:rPr>
              <w:t>1.429</w:t>
            </w:r>
          </w:p>
        </w:tc>
        <w:tc>
          <w:tcPr>
            <w:tcW w:w="851" w:type="dxa"/>
            <w:tcBorders>
              <w:top w:val="nil"/>
              <w:left w:val="nil"/>
              <w:bottom w:val="nil"/>
              <w:right w:val="nil"/>
            </w:tcBorders>
            <w:shd w:val="clear" w:color="auto" w:fill="auto"/>
            <w:vAlign w:val="bottom"/>
          </w:tcPr>
          <w:p w14:paraId="1264C4D5" w14:textId="58C44463" w:rsidR="005146A4" w:rsidRPr="001D41EA" w:rsidRDefault="005146A4" w:rsidP="001D41EA">
            <w:pPr>
              <w:spacing w:before="40" w:after="40"/>
              <w:jc w:val="center"/>
              <w:rPr>
                <w:rFonts w:cs="Arial"/>
                <w:sz w:val="18"/>
                <w:szCs w:val="18"/>
              </w:rPr>
            </w:pPr>
            <w:r w:rsidRPr="001D41EA">
              <w:rPr>
                <w:rFonts w:cs="Arial"/>
                <w:sz w:val="18"/>
                <w:szCs w:val="18"/>
              </w:rPr>
              <w:t>1.253</w:t>
            </w:r>
          </w:p>
        </w:tc>
      </w:tr>
      <w:tr w:rsidR="005146A4" w:rsidRPr="001D41EA" w14:paraId="2D11E746"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CA301FB" w14:textId="77777777" w:rsidR="005146A4" w:rsidRPr="001D41EA" w:rsidRDefault="005146A4" w:rsidP="001D41EA">
            <w:pPr>
              <w:spacing w:before="40" w:after="40"/>
              <w:rPr>
                <w:rFonts w:cs="Arial"/>
                <w:sz w:val="18"/>
                <w:szCs w:val="18"/>
              </w:rPr>
            </w:pPr>
            <w:r w:rsidRPr="001D41EA">
              <w:rPr>
                <w:rFonts w:cs="Arial"/>
                <w:sz w:val="18"/>
                <w:szCs w:val="18"/>
              </w:rPr>
              <w:t>Campaspe S</w:t>
            </w:r>
          </w:p>
        </w:tc>
        <w:tc>
          <w:tcPr>
            <w:tcW w:w="851" w:type="dxa"/>
            <w:tcBorders>
              <w:top w:val="nil"/>
              <w:left w:val="single" w:sz="18" w:space="0" w:color="5F497A" w:themeColor="accent4" w:themeShade="BF"/>
              <w:bottom w:val="nil"/>
              <w:right w:val="nil"/>
            </w:tcBorders>
            <w:shd w:val="clear" w:color="auto" w:fill="auto"/>
            <w:vAlign w:val="bottom"/>
          </w:tcPr>
          <w:p w14:paraId="048FC651" w14:textId="7C805E08" w:rsidR="005146A4" w:rsidRPr="001D41EA" w:rsidRDefault="005146A4" w:rsidP="001D41EA">
            <w:pPr>
              <w:spacing w:before="40" w:after="40"/>
              <w:jc w:val="center"/>
              <w:rPr>
                <w:rFonts w:cs="Arial"/>
                <w:sz w:val="18"/>
                <w:szCs w:val="18"/>
              </w:rPr>
            </w:pPr>
            <w:r w:rsidRPr="001D41EA">
              <w:rPr>
                <w:rFonts w:cs="Arial"/>
                <w:sz w:val="18"/>
                <w:szCs w:val="18"/>
              </w:rPr>
              <w:t>1.158</w:t>
            </w:r>
          </w:p>
        </w:tc>
        <w:tc>
          <w:tcPr>
            <w:tcW w:w="851" w:type="dxa"/>
            <w:tcBorders>
              <w:top w:val="nil"/>
              <w:left w:val="nil"/>
              <w:bottom w:val="nil"/>
              <w:right w:val="nil"/>
            </w:tcBorders>
            <w:shd w:val="clear" w:color="auto" w:fill="auto"/>
            <w:vAlign w:val="bottom"/>
          </w:tcPr>
          <w:p w14:paraId="1AB7B385" w14:textId="63A45177" w:rsidR="005146A4" w:rsidRPr="001D41EA" w:rsidRDefault="005146A4" w:rsidP="001D41EA">
            <w:pPr>
              <w:spacing w:before="40" w:after="40"/>
              <w:jc w:val="center"/>
              <w:rPr>
                <w:rFonts w:cs="Arial"/>
                <w:sz w:val="18"/>
                <w:szCs w:val="18"/>
              </w:rPr>
            </w:pPr>
            <w:r w:rsidRPr="001D41EA">
              <w:rPr>
                <w:rFonts w:cs="Arial"/>
                <w:sz w:val="18"/>
                <w:szCs w:val="18"/>
              </w:rPr>
              <w:t>1.078</w:t>
            </w:r>
          </w:p>
        </w:tc>
        <w:tc>
          <w:tcPr>
            <w:tcW w:w="851" w:type="dxa"/>
            <w:tcBorders>
              <w:top w:val="nil"/>
              <w:left w:val="nil"/>
              <w:bottom w:val="nil"/>
              <w:right w:val="nil"/>
            </w:tcBorders>
            <w:shd w:val="clear" w:color="auto" w:fill="auto"/>
            <w:vAlign w:val="bottom"/>
          </w:tcPr>
          <w:p w14:paraId="146EC199" w14:textId="31D6261C" w:rsidR="005146A4" w:rsidRPr="001D41EA" w:rsidRDefault="005146A4" w:rsidP="001D41EA">
            <w:pPr>
              <w:spacing w:before="40" w:after="40"/>
              <w:jc w:val="center"/>
              <w:rPr>
                <w:rFonts w:cs="Arial"/>
                <w:sz w:val="18"/>
                <w:szCs w:val="18"/>
              </w:rPr>
            </w:pPr>
            <w:r w:rsidRPr="001D41EA">
              <w:rPr>
                <w:rFonts w:cs="Arial"/>
                <w:sz w:val="18"/>
                <w:szCs w:val="18"/>
              </w:rPr>
              <w:t>1.135</w:t>
            </w:r>
          </w:p>
        </w:tc>
        <w:tc>
          <w:tcPr>
            <w:tcW w:w="851" w:type="dxa"/>
            <w:tcBorders>
              <w:top w:val="nil"/>
              <w:left w:val="nil"/>
              <w:bottom w:val="nil"/>
              <w:right w:val="nil"/>
            </w:tcBorders>
            <w:shd w:val="clear" w:color="auto" w:fill="auto"/>
            <w:vAlign w:val="bottom"/>
          </w:tcPr>
          <w:p w14:paraId="7805BA9C" w14:textId="7F80DEE1" w:rsidR="005146A4" w:rsidRPr="001D41EA" w:rsidRDefault="005146A4" w:rsidP="001D41EA">
            <w:pPr>
              <w:spacing w:before="40" w:after="40"/>
              <w:jc w:val="center"/>
              <w:rPr>
                <w:rFonts w:cs="Arial"/>
                <w:sz w:val="18"/>
                <w:szCs w:val="18"/>
              </w:rPr>
            </w:pPr>
            <w:r w:rsidRPr="001D41EA">
              <w:rPr>
                <w:rFonts w:cs="Arial"/>
                <w:sz w:val="18"/>
                <w:szCs w:val="18"/>
              </w:rPr>
              <w:t>1.111</w:t>
            </w:r>
          </w:p>
        </w:tc>
        <w:tc>
          <w:tcPr>
            <w:tcW w:w="851" w:type="dxa"/>
            <w:tcBorders>
              <w:top w:val="nil"/>
              <w:left w:val="nil"/>
              <w:bottom w:val="nil"/>
              <w:right w:val="nil"/>
            </w:tcBorders>
            <w:shd w:val="clear" w:color="auto" w:fill="auto"/>
            <w:vAlign w:val="bottom"/>
          </w:tcPr>
          <w:p w14:paraId="0ED4DD13" w14:textId="0DF34E5C" w:rsidR="005146A4" w:rsidRPr="001D41EA" w:rsidRDefault="005146A4" w:rsidP="001D41EA">
            <w:pPr>
              <w:spacing w:before="40" w:after="40"/>
              <w:jc w:val="center"/>
              <w:rPr>
                <w:rFonts w:cs="Arial"/>
                <w:sz w:val="18"/>
                <w:szCs w:val="18"/>
              </w:rPr>
            </w:pPr>
            <w:r w:rsidRPr="001D41EA">
              <w:rPr>
                <w:rFonts w:cs="Arial"/>
                <w:sz w:val="18"/>
                <w:szCs w:val="18"/>
              </w:rPr>
              <w:t>1.259</w:t>
            </w:r>
          </w:p>
        </w:tc>
        <w:tc>
          <w:tcPr>
            <w:tcW w:w="851" w:type="dxa"/>
            <w:tcBorders>
              <w:top w:val="nil"/>
              <w:left w:val="nil"/>
              <w:bottom w:val="nil"/>
              <w:right w:val="nil"/>
            </w:tcBorders>
            <w:shd w:val="clear" w:color="auto" w:fill="auto"/>
            <w:vAlign w:val="bottom"/>
          </w:tcPr>
          <w:p w14:paraId="1731D2AF" w14:textId="4A11D332" w:rsidR="005146A4" w:rsidRPr="001D41EA" w:rsidRDefault="005146A4" w:rsidP="001D41EA">
            <w:pPr>
              <w:spacing w:before="40" w:after="40"/>
              <w:jc w:val="center"/>
              <w:rPr>
                <w:rFonts w:cs="Arial"/>
                <w:sz w:val="18"/>
                <w:szCs w:val="18"/>
              </w:rPr>
            </w:pPr>
            <w:r w:rsidRPr="001D41EA">
              <w:rPr>
                <w:rFonts w:cs="Arial"/>
                <w:sz w:val="18"/>
                <w:szCs w:val="18"/>
              </w:rPr>
              <w:t>1.047</w:t>
            </w:r>
          </w:p>
        </w:tc>
        <w:tc>
          <w:tcPr>
            <w:tcW w:w="851" w:type="dxa"/>
            <w:tcBorders>
              <w:top w:val="nil"/>
              <w:left w:val="nil"/>
              <w:bottom w:val="nil"/>
              <w:right w:val="nil"/>
            </w:tcBorders>
            <w:shd w:val="clear" w:color="auto" w:fill="auto"/>
            <w:vAlign w:val="bottom"/>
          </w:tcPr>
          <w:p w14:paraId="6D6C4090" w14:textId="28E012B6" w:rsidR="005146A4" w:rsidRPr="001D41EA" w:rsidRDefault="005146A4" w:rsidP="001D41EA">
            <w:pPr>
              <w:spacing w:before="40" w:after="40"/>
              <w:jc w:val="center"/>
              <w:rPr>
                <w:rFonts w:cs="Arial"/>
                <w:sz w:val="18"/>
                <w:szCs w:val="18"/>
              </w:rPr>
            </w:pPr>
            <w:r w:rsidRPr="001D41EA">
              <w:rPr>
                <w:rFonts w:cs="Arial"/>
                <w:sz w:val="18"/>
                <w:szCs w:val="18"/>
              </w:rPr>
              <w:t>1.204</w:t>
            </w:r>
          </w:p>
        </w:tc>
        <w:tc>
          <w:tcPr>
            <w:tcW w:w="851" w:type="dxa"/>
            <w:tcBorders>
              <w:top w:val="nil"/>
              <w:left w:val="nil"/>
              <w:bottom w:val="nil"/>
              <w:right w:val="nil"/>
            </w:tcBorders>
            <w:shd w:val="clear" w:color="auto" w:fill="auto"/>
            <w:vAlign w:val="bottom"/>
          </w:tcPr>
          <w:p w14:paraId="6CF5CEF8" w14:textId="373A9906" w:rsidR="005146A4" w:rsidRPr="001D41EA" w:rsidRDefault="005146A4" w:rsidP="001D41EA">
            <w:pPr>
              <w:spacing w:before="40" w:after="40"/>
              <w:jc w:val="center"/>
              <w:rPr>
                <w:rFonts w:cs="Arial"/>
                <w:sz w:val="18"/>
                <w:szCs w:val="18"/>
              </w:rPr>
            </w:pPr>
            <w:r w:rsidRPr="001D41EA">
              <w:rPr>
                <w:rFonts w:cs="Arial"/>
                <w:sz w:val="18"/>
                <w:szCs w:val="18"/>
              </w:rPr>
              <w:t>1.150</w:t>
            </w:r>
          </w:p>
        </w:tc>
      </w:tr>
      <w:tr w:rsidR="005146A4" w:rsidRPr="001D41EA" w14:paraId="6F50FA2C"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2E2208E" w14:textId="77777777" w:rsidR="005146A4" w:rsidRPr="001D41EA" w:rsidRDefault="005146A4" w:rsidP="001D41EA">
            <w:pPr>
              <w:spacing w:before="40" w:after="40"/>
              <w:rPr>
                <w:rFonts w:cs="Arial"/>
                <w:sz w:val="18"/>
                <w:szCs w:val="18"/>
              </w:rPr>
            </w:pPr>
            <w:r w:rsidRPr="001D41EA">
              <w:rPr>
                <w:rFonts w:cs="Arial"/>
                <w:sz w:val="18"/>
                <w:szCs w:val="18"/>
              </w:rPr>
              <w:t>Cardinia S</w:t>
            </w:r>
          </w:p>
        </w:tc>
        <w:tc>
          <w:tcPr>
            <w:tcW w:w="851" w:type="dxa"/>
            <w:tcBorders>
              <w:top w:val="nil"/>
              <w:left w:val="single" w:sz="18" w:space="0" w:color="5F497A" w:themeColor="accent4" w:themeShade="BF"/>
              <w:bottom w:val="nil"/>
              <w:right w:val="nil"/>
            </w:tcBorders>
            <w:shd w:val="clear" w:color="auto" w:fill="auto"/>
            <w:vAlign w:val="bottom"/>
          </w:tcPr>
          <w:p w14:paraId="58079CEF" w14:textId="5E0D4AE7" w:rsidR="005146A4" w:rsidRPr="001D41EA" w:rsidRDefault="005146A4" w:rsidP="001D41EA">
            <w:pPr>
              <w:spacing w:before="40" w:after="40"/>
              <w:jc w:val="center"/>
              <w:rPr>
                <w:rFonts w:cs="Arial"/>
                <w:sz w:val="18"/>
                <w:szCs w:val="18"/>
              </w:rPr>
            </w:pPr>
            <w:r w:rsidRPr="001D41EA">
              <w:rPr>
                <w:rFonts w:cs="Arial"/>
                <w:sz w:val="18"/>
                <w:szCs w:val="18"/>
              </w:rPr>
              <w:t>1.017</w:t>
            </w:r>
          </w:p>
        </w:tc>
        <w:tc>
          <w:tcPr>
            <w:tcW w:w="851" w:type="dxa"/>
            <w:tcBorders>
              <w:top w:val="nil"/>
              <w:left w:val="nil"/>
              <w:bottom w:val="nil"/>
              <w:right w:val="nil"/>
            </w:tcBorders>
            <w:shd w:val="clear" w:color="auto" w:fill="auto"/>
            <w:vAlign w:val="bottom"/>
          </w:tcPr>
          <w:p w14:paraId="371C6341" w14:textId="3EFF63F3" w:rsidR="005146A4" w:rsidRPr="001D41EA" w:rsidRDefault="005146A4" w:rsidP="001D41EA">
            <w:pPr>
              <w:spacing w:before="40" w:after="40"/>
              <w:jc w:val="center"/>
              <w:rPr>
                <w:rFonts w:cs="Arial"/>
                <w:sz w:val="18"/>
                <w:szCs w:val="18"/>
              </w:rPr>
            </w:pPr>
            <w:r w:rsidRPr="001D41EA">
              <w:rPr>
                <w:rFonts w:cs="Arial"/>
                <w:sz w:val="18"/>
                <w:szCs w:val="18"/>
              </w:rPr>
              <w:t>1.121</w:t>
            </w:r>
          </w:p>
        </w:tc>
        <w:tc>
          <w:tcPr>
            <w:tcW w:w="851" w:type="dxa"/>
            <w:tcBorders>
              <w:top w:val="nil"/>
              <w:left w:val="nil"/>
              <w:bottom w:val="nil"/>
              <w:right w:val="nil"/>
            </w:tcBorders>
            <w:shd w:val="clear" w:color="auto" w:fill="auto"/>
            <w:vAlign w:val="bottom"/>
          </w:tcPr>
          <w:p w14:paraId="571873B4" w14:textId="66AA278F" w:rsidR="005146A4" w:rsidRPr="001D41EA" w:rsidRDefault="005146A4" w:rsidP="001D41EA">
            <w:pPr>
              <w:spacing w:before="40" w:after="40"/>
              <w:jc w:val="center"/>
              <w:rPr>
                <w:rFonts w:cs="Arial"/>
                <w:sz w:val="18"/>
                <w:szCs w:val="18"/>
              </w:rPr>
            </w:pPr>
            <w:r w:rsidRPr="001D41EA">
              <w:rPr>
                <w:rFonts w:cs="Arial"/>
                <w:sz w:val="18"/>
                <w:szCs w:val="18"/>
              </w:rPr>
              <w:t>1.012</w:t>
            </w:r>
          </w:p>
        </w:tc>
        <w:tc>
          <w:tcPr>
            <w:tcW w:w="851" w:type="dxa"/>
            <w:tcBorders>
              <w:top w:val="nil"/>
              <w:left w:val="nil"/>
              <w:bottom w:val="nil"/>
              <w:right w:val="nil"/>
            </w:tcBorders>
            <w:shd w:val="clear" w:color="auto" w:fill="auto"/>
            <w:vAlign w:val="bottom"/>
          </w:tcPr>
          <w:p w14:paraId="601B97FB" w14:textId="28BC8153" w:rsidR="005146A4" w:rsidRPr="001D41EA" w:rsidRDefault="005146A4" w:rsidP="001D41EA">
            <w:pPr>
              <w:spacing w:before="40" w:after="40"/>
              <w:jc w:val="center"/>
              <w:rPr>
                <w:rFonts w:cs="Arial"/>
                <w:sz w:val="18"/>
                <w:szCs w:val="18"/>
              </w:rPr>
            </w:pPr>
            <w:r w:rsidRPr="001D41EA">
              <w:rPr>
                <w:rFonts w:cs="Arial"/>
                <w:sz w:val="18"/>
                <w:szCs w:val="18"/>
              </w:rPr>
              <w:t>0.918</w:t>
            </w:r>
          </w:p>
        </w:tc>
        <w:tc>
          <w:tcPr>
            <w:tcW w:w="851" w:type="dxa"/>
            <w:tcBorders>
              <w:top w:val="nil"/>
              <w:left w:val="nil"/>
              <w:bottom w:val="nil"/>
              <w:right w:val="nil"/>
            </w:tcBorders>
            <w:shd w:val="clear" w:color="auto" w:fill="auto"/>
            <w:vAlign w:val="bottom"/>
          </w:tcPr>
          <w:p w14:paraId="1DA25EFD" w14:textId="62BA27F7" w:rsidR="005146A4" w:rsidRPr="001D41EA" w:rsidRDefault="005146A4" w:rsidP="001D41EA">
            <w:pPr>
              <w:spacing w:before="40" w:after="40"/>
              <w:jc w:val="center"/>
              <w:rPr>
                <w:rFonts w:cs="Arial"/>
                <w:sz w:val="18"/>
                <w:szCs w:val="18"/>
              </w:rPr>
            </w:pPr>
            <w:r w:rsidRPr="001D41EA">
              <w:rPr>
                <w:rFonts w:cs="Arial"/>
                <w:sz w:val="18"/>
                <w:szCs w:val="18"/>
              </w:rPr>
              <w:t>1.076</w:t>
            </w:r>
          </w:p>
        </w:tc>
        <w:tc>
          <w:tcPr>
            <w:tcW w:w="851" w:type="dxa"/>
            <w:tcBorders>
              <w:top w:val="nil"/>
              <w:left w:val="nil"/>
              <w:bottom w:val="nil"/>
              <w:right w:val="nil"/>
            </w:tcBorders>
            <w:shd w:val="clear" w:color="auto" w:fill="auto"/>
            <w:vAlign w:val="bottom"/>
          </w:tcPr>
          <w:p w14:paraId="7922CB7A" w14:textId="1A9C0E44" w:rsidR="005146A4" w:rsidRPr="001D41EA" w:rsidRDefault="005146A4" w:rsidP="001D41EA">
            <w:pPr>
              <w:spacing w:before="40" w:after="40"/>
              <w:jc w:val="center"/>
              <w:rPr>
                <w:rFonts w:cs="Arial"/>
                <w:sz w:val="18"/>
                <w:szCs w:val="18"/>
              </w:rPr>
            </w:pPr>
            <w:r w:rsidRPr="001D41EA">
              <w:rPr>
                <w:rFonts w:cs="Arial"/>
                <w:sz w:val="18"/>
                <w:szCs w:val="18"/>
              </w:rPr>
              <w:t>1.012</w:t>
            </w:r>
          </w:p>
        </w:tc>
        <w:tc>
          <w:tcPr>
            <w:tcW w:w="851" w:type="dxa"/>
            <w:tcBorders>
              <w:top w:val="nil"/>
              <w:left w:val="nil"/>
              <w:bottom w:val="nil"/>
              <w:right w:val="nil"/>
            </w:tcBorders>
            <w:shd w:val="clear" w:color="auto" w:fill="auto"/>
            <w:vAlign w:val="bottom"/>
          </w:tcPr>
          <w:p w14:paraId="46E4F0AB" w14:textId="6FDC10E1" w:rsidR="005146A4" w:rsidRPr="001D41EA" w:rsidRDefault="005146A4" w:rsidP="001D41EA">
            <w:pPr>
              <w:spacing w:before="40" w:after="40"/>
              <w:jc w:val="center"/>
              <w:rPr>
                <w:rFonts w:cs="Arial"/>
                <w:sz w:val="18"/>
                <w:szCs w:val="18"/>
              </w:rPr>
            </w:pPr>
            <w:r w:rsidRPr="001D41EA">
              <w:rPr>
                <w:rFonts w:cs="Arial"/>
                <w:sz w:val="18"/>
                <w:szCs w:val="18"/>
              </w:rPr>
              <w:t>1.154</w:t>
            </w:r>
          </w:p>
        </w:tc>
        <w:tc>
          <w:tcPr>
            <w:tcW w:w="851" w:type="dxa"/>
            <w:tcBorders>
              <w:top w:val="nil"/>
              <w:left w:val="nil"/>
              <w:bottom w:val="nil"/>
              <w:right w:val="nil"/>
            </w:tcBorders>
            <w:shd w:val="clear" w:color="auto" w:fill="auto"/>
            <w:vAlign w:val="bottom"/>
          </w:tcPr>
          <w:p w14:paraId="57F1B8F2" w14:textId="68808132" w:rsidR="005146A4" w:rsidRPr="001D41EA" w:rsidRDefault="005146A4" w:rsidP="001D41EA">
            <w:pPr>
              <w:spacing w:before="40" w:after="40"/>
              <w:jc w:val="center"/>
              <w:rPr>
                <w:rFonts w:cs="Arial"/>
                <w:sz w:val="18"/>
                <w:szCs w:val="18"/>
              </w:rPr>
            </w:pPr>
            <w:r w:rsidRPr="001D41EA">
              <w:rPr>
                <w:rFonts w:cs="Arial"/>
                <w:sz w:val="18"/>
                <w:szCs w:val="18"/>
              </w:rPr>
              <w:t>0.963</w:t>
            </w:r>
          </w:p>
        </w:tc>
      </w:tr>
      <w:tr w:rsidR="005146A4" w:rsidRPr="001D41EA" w14:paraId="60E8B328"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09A5728" w14:textId="77777777" w:rsidR="005146A4" w:rsidRPr="001D41EA" w:rsidRDefault="005146A4" w:rsidP="001D41EA">
            <w:pPr>
              <w:spacing w:before="40" w:after="40"/>
              <w:rPr>
                <w:rFonts w:cs="Arial"/>
                <w:sz w:val="18"/>
                <w:szCs w:val="18"/>
              </w:rPr>
            </w:pPr>
            <w:r w:rsidRPr="001D41EA">
              <w:rPr>
                <w:rFonts w:cs="Arial"/>
                <w:sz w:val="18"/>
                <w:szCs w:val="18"/>
              </w:rPr>
              <w:t>Casey C</w:t>
            </w:r>
          </w:p>
        </w:tc>
        <w:tc>
          <w:tcPr>
            <w:tcW w:w="851" w:type="dxa"/>
            <w:tcBorders>
              <w:top w:val="nil"/>
              <w:left w:val="single" w:sz="18" w:space="0" w:color="5F497A" w:themeColor="accent4" w:themeShade="BF"/>
              <w:bottom w:val="nil"/>
              <w:right w:val="nil"/>
            </w:tcBorders>
            <w:shd w:val="clear" w:color="auto" w:fill="auto"/>
            <w:vAlign w:val="bottom"/>
          </w:tcPr>
          <w:p w14:paraId="0C0E6609" w14:textId="24E945F0" w:rsidR="005146A4" w:rsidRPr="001D41EA" w:rsidRDefault="005146A4" w:rsidP="001D41EA">
            <w:pPr>
              <w:spacing w:before="40" w:after="40"/>
              <w:jc w:val="center"/>
              <w:rPr>
                <w:rFonts w:cs="Arial"/>
                <w:sz w:val="18"/>
                <w:szCs w:val="18"/>
              </w:rPr>
            </w:pPr>
            <w:r w:rsidRPr="001D41EA">
              <w:rPr>
                <w:rFonts w:cs="Arial"/>
                <w:sz w:val="18"/>
                <w:szCs w:val="18"/>
              </w:rPr>
              <w:t>0.890</w:t>
            </w:r>
          </w:p>
        </w:tc>
        <w:tc>
          <w:tcPr>
            <w:tcW w:w="851" w:type="dxa"/>
            <w:tcBorders>
              <w:top w:val="nil"/>
              <w:left w:val="nil"/>
              <w:bottom w:val="nil"/>
              <w:right w:val="nil"/>
            </w:tcBorders>
            <w:shd w:val="clear" w:color="auto" w:fill="auto"/>
            <w:vAlign w:val="bottom"/>
          </w:tcPr>
          <w:p w14:paraId="1F6D2C35" w14:textId="242CDBCF" w:rsidR="005146A4" w:rsidRPr="001D41EA" w:rsidRDefault="005146A4" w:rsidP="001D41EA">
            <w:pPr>
              <w:spacing w:before="40" w:after="40"/>
              <w:jc w:val="center"/>
              <w:rPr>
                <w:rFonts w:cs="Arial"/>
                <w:sz w:val="18"/>
                <w:szCs w:val="18"/>
              </w:rPr>
            </w:pPr>
            <w:r w:rsidRPr="001D41EA">
              <w:rPr>
                <w:rFonts w:cs="Arial"/>
                <w:sz w:val="18"/>
                <w:szCs w:val="18"/>
              </w:rPr>
              <w:t>1.068</w:t>
            </w:r>
          </w:p>
        </w:tc>
        <w:tc>
          <w:tcPr>
            <w:tcW w:w="851" w:type="dxa"/>
            <w:tcBorders>
              <w:top w:val="nil"/>
              <w:left w:val="nil"/>
              <w:bottom w:val="nil"/>
              <w:right w:val="nil"/>
            </w:tcBorders>
            <w:shd w:val="clear" w:color="auto" w:fill="auto"/>
            <w:vAlign w:val="bottom"/>
          </w:tcPr>
          <w:p w14:paraId="3A45A4ED" w14:textId="67F962F2" w:rsidR="005146A4" w:rsidRPr="001D41EA" w:rsidRDefault="005146A4" w:rsidP="001D41EA">
            <w:pPr>
              <w:spacing w:before="40" w:after="40"/>
              <w:jc w:val="center"/>
              <w:rPr>
                <w:rFonts w:cs="Arial"/>
                <w:sz w:val="18"/>
                <w:szCs w:val="18"/>
              </w:rPr>
            </w:pPr>
            <w:r w:rsidRPr="001D41EA">
              <w:rPr>
                <w:rFonts w:cs="Arial"/>
                <w:sz w:val="18"/>
                <w:szCs w:val="18"/>
              </w:rPr>
              <w:t>0.974</w:t>
            </w:r>
          </w:p>
        </w:tc>
        <w:tc>
          <w:tcPr>
            <w:tcW w:w="851" w:type="dxa"/>
            <w:tcBorders>
              <w:top w:val="nil"/>
              <w:left w:val="nil"/>
              <w:bottom w:val="nil"/>
              <w:right w:val="nil"/>
            </w:tcBorders>
            <w:shd w:val="clear" w:color="auto" w:fill="auto"/>
            <w:vAlign w:val="bottom"/>
          </w:tcPr>
          <w:p w14:paraId="1CD4F05E" w14:textId="6555DA71" w:rsidR="005146A4" w:rsidRPr="001D41EA" w:rsidRDefault="005146A4" w:rsidP="001D41EA">
            <w:pPr>
              <w:spacing w:before="40" w:after="40"/>
              <w:jc w:val="center"/>
              <w:rPr>
                <w:rFonts w:cs="Arial"/>
                <w:sz w:val="18"/>
                <w:szCs w:val="18"/>
              </w:rPr>
            </w:pPr>
            <w:r w:rsidRPr="001D41EA">
              <w:rPr>
                <w:rFonts w:cs="Arial"/>
                <w:sz w:val="18"/>
                <w:szCs w:val="18"/>
              </w:rPr>
              <w:t>0.856</w:t>
            </w:r>
          </w:p>
        </w:tc>
        <w:tc>
          <w:tcPr>
            <w:tcW w:w="851" w:type="dxa"/>
            <w:tcBorders>
              <w:top w:val="nil"/>
              <w:left w:val="nil"/>
              <w:bottom w:val="nil"/>
              <w:right w:val="nil"/>
            </w:tcBorders>
            <w:shd w:val="clear" w:color="auto" w:fill="auto"/>
            <w:vAlign w:val="bottom"/>
          </w:tcPr>
          <w:p w14:paraId="3015F894" w14:textId="29AA1CE9" w:rsidR="005146A4" w:rsidRPr="001D41EA" w:rsidRDefault="005146A4" w:rsidP="001D41EA">
            <w:pPr>
              <w:spacing w:before="40" w:after="40"/>
              <w:jc w:val="center"/>
              <w:rPr>
                <w:rFonts w:cs="Arial"/>
                <w:sz w:val="18"/>
                <w:szCs w:val="18"/>
              </w:rPr>
            </w:pPr>
            <w:r w:rsidRPr="001D41EA">
              <w:rPr>
                <w:rFonts w:cs="Arial"/>
                <w:sz w:val="18"/>
                <w:szCs w:val="18"/>
              </w:rPr>
              <w:t>0.799</w:t>
            </w:r>
          </w:p>
        </w:tc>
        <w:tc>
          <w:tcPr>
            <w:tcW w:w="851" w:type="dxa"/>
            <w:tcBorders>
              <w:top w:val="nil"/>
              <w:left w:val="nil"/>
              <w:bottom w:val="nil"/>
              <w:right w:val="nil"/>
            </w:tcBorders>
            <w:shd w:val="clear" w:color="auto" w:fill="auto"/>
            <w:vAlign w:val="bottom"/>
          </w:tcPr>
          <w:p w14:paraId="55EE029B" w14:textId="7E23D3C8" w:rsidR="005146A4" w:rsidRPr="001D41EA" w:rsidRDefault="005146A4" w:rsidP="001D41EA">
            <w:pPr>
              <w:spacing w:before="40" w:after="40"/>
              <w:jc w:val="center"/>
              <w:rPr>
                <w:rFonts w:cs="Arial"/>
                <w:sz w:val="18"/>
                <w:szCs w:val="18"/>
              </w:rPr>
            </w:pPr>
            <w:r w:rsidRPr="001D41EA">
              <w:rPr>
                <w:rFonts w:cs="Arial"/>
                <w:sz w:val="18"/>
                <w:szCs w:val="18"/>
              </w:rPr>
              <w:t>0.902</w:t>
            </w:r>
          </w:p>
        </w:tc>
        <w:tc>
          <w:tcPr>
            <w:tcW w:w="851" w:type="dxa"/>
            <w:tcBorders>
              <w:top w:val="nil"/>
              <w:left w:val="nil"/>
              <w:bottom w:val="nil"/>
              <w:right w:val="nil"/>
            </w:tcBorders>
            <w:shd w:val="clear" w:color="auto" w:fill="auto"/>
            <w:vAlign w:val="bottom"/>
          </w:tcPr>
          <w:p w14:paraId="26E6E108" w14:textId="3F80A840" w:rsidR="005146A4" w:rsidRPr="001D41EA" w:rsidRDefault="005146A4" w:rsidP="001D41EA">
            <w:pPr>
              <w:spacing w:before="40" w:after="40"/>
              <w:jc w:val="center"/>
              <w:rPr>
                <w:rFonts w:cs="Arial"/>
                <w:sz w:val="18"/>
                <w:szCs w:val="18"/>
              </w:rPr>
            </w:pPr>
            <w:r w:rsidRPr="001D41EA">
              <w:rPr>
                <w:rFonts w:cs="Arial"/>
                <w:sz w:val="18"/>
                <w:szCs w:val="18"/>
              </w:rPr>
              <w:t>0.921</w:t>
            </w:r>
          </w:p>
        </w:tc>
        <w:tc>
          <w:tcPr>
            <w:tcW w:w="851" w:type="dxa"/>
            <w:tcBorders>
              <w:top w:val="nil"/>
              <w:left w:val="nil"/>
              <w:bottom w:val="nil"/>
              <w:right w:val="nil"/>
            </w:tcBorders>
            <w:shd w:val="clear" w:color="auto" w:fill="auto"/>
            <w:vAlign w:val="bottom"/>
          </w:tcPr>
          <w:p w14:paraId="0253B8E4" w14:textId="45C37E2F" w:rsidR="005146A4" w:rsidRPr="001D41EA" w:rsidRDefault="005146A4" w:rsidP="001D41EA">
            <w:pPr>
              <w:spacing w:before="40" w:after="40"/>
              <w:jc w:val="center"/>
              <w:rPr>
                <w:rFonts w:cs="Arial"/>
                <w:sz w:val="18"/>
                <w:szCs w:val="18"/>
              </w:rPr>
            </w:pPr>
            <w:r w:rsidRPr="001D41EA">
              <w:rPr>
                <w:rFonts w:cs="Arial"/>
                <w:sz w:val="18"/>
                <w:szCs w:val="18"/>
              </w:rPr>
              <w:t>0.785</w:t>
            </w:r>
          </w:p>
        </w:tc>
      </w:tr>
      <w:tr w:rsidR="005146A4" w:rsidRPr="001D41EA" w14:paraId="4A6D1481"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5A2DE571" w14:textId="77777777" w:rsidR="005146A4" w:rsidRPr="001D41EA" w:rsidRDefault="005146A4" w:rsidP="001D41EA">
            <w:pPr>
              <w:spacing w:before="40" w:after="40"/>
              <w:rPr>
                <w:rFonts w:cs="Arial"/>
                <w:sz w:val="18"/>
                <w:szCs w:val="18"/>
              </w:rPr>
            </w:pPr>
            <w:r w:rsidRPr="001D41EA">
              <w:rPr>
                <w:rFonts w:cs="Arial"/>
                <w:sz w:val="18"/>
                <w:szCs w:val="18"/>
              </w:rPr>
              <w:t>Central Goldfields S</w:t>
            </w:r>
          </w:p>
        </w:tc>
        <w:tc>
          <w:tcPr>
            <w:tcW w:w="851" w:type="dxa"/>
            <w:tcBorders>
              <w:top w:val="nil"/>
              <w:left w:val="single" w:sz="18" w:space="0" w:color="5F497A" w:themeColor="accent4" w:themeShade="BF"/>
              <w:bottom w:val="nil"/>
              <w:right w:val="nil"/>
            </w:tcBorders>
            <w:shd w:val="clear" w:color="auto" w:fill="auto"/>
            <w:vAlign w:val="bottom"/>
          </w:tcPr>
          <w:p w14:paraId="2DC7FDB6" w14:textId="77CCB03B" w:rsidR="005146A4" w:rsidRPr="001D41EA" w:rsidRDefault="005146A4" w:rsidP="001D41EA">
            <w:pPr>
              <w:spacing w:before="40" w:after="40"/>
              <w:jc w:val="center"/>
              <w:rPr>
                <w:rFonts w:cs="Arial"/>
                <w:sz w:val="18"/>
                <w:szCs w:val="18"/>
              </w:rPr>
            </w:pPr>
            <w:r w:rsidRPr="001D41EA">
              <w:rPr>
                <w:rFonts w:cs="Arial"/>
                <w:sz w:val="18"/>
                <w:szCs w:val="18"/>
              </w:rPr>
              <w:t>1.051</w:t>
            </w:r>
          </w:p>
        </w:tc>
        <w:tc>
          <w:tcPr>
            <w:tcW w:w="851" w:type="dxa"/>
            <w:tcBorders>
              <w:top w:val="nil"/>
              <w:left w:val="nil"/>
              <w:bottom w:val="nil"/>
              <w:right w:val="nil"/>
            </w:tcBorders>
            <w:shd w:val="clear" w:color="auto" w:fill="auto"/>
            <w:vAlign w:val="bottom"/>
          </w:tcPr>
          <w:p w14:paraId="6C5D0AE7" w14:textId="0291BB80" w:rsidR="005146A4" w:rsidRPr="001D41EA" w:rsidRDefault="005146A4" w:rsidP="001D41EA">
            <w:pPr>
              <w:spacing w:before="40" w:after="40"/>
              <w:jc w:val="center"/>
              <w:rPr>
                <w:rFonts w:cs="Arial"/>
                <w:sz w:val="18"/>
                <w:szCs w:val="18"/>
              </w:rPr>
            </w:pPr>
            <w:r w:rsidRPr="001D41EA">
              <w:rPr>
                <w:rFonts w:cs="Arial"/>
                <w:sz w:val="18"/>
                <w:szCs w:val="18"/>
              </w:rPr>
              <w:t>1.012</w:t>
            </w:r>
          </w:p>
        </w:tc>
        <w:tc>
          <w:tcPr>
            <w:tcW w:w="851" w:type="dxa"/>
            <w:tcBorders>
              <w:top w:val="nil"/>
              <w:left w:val="nil"/>
              <w:bottom w:val="nil"/>
              <w:right w:val="nil"/>
            </w:tcBorders>
            <w:shd w:val="clear" w:color="auto" w:fill="auto"/>
            <w:vAlign w:val="bottom"/>
          </w:tcPr>
          <w:p w14:paraId="48782D50" w14:textId="2BD2DEEA" w:rsidR="005146A4" w:rsidRPr="001D41EA" w:rsidRDefault="005146A4" w:rsidP="001D41EA">
            <w:pPr>
              <w:spacing w:before="40" w:after="40"/>
              <w:jc w:val="center"/>
              <w:rPr>
                <w:rFonts w:cs="Arial"/>
                <w:sz w:val="18"/>
                <w:szCs w:val="18"/>
              </w:rPr>
            </w:pPr>
            <w:r w:rsidRPr="001D41EA">
              <w:rPr>
                <w:rFonts w:cs="Arial"/>
                <w:sz w:val="18"/>
                <w:szCs w:val="18"/>
              </w:rPr>
              <w:t>1.126</w:t>
            </w:r>
          </w:p>
        </w:tc>
        <w:tc>
          <w:tcPr>
            <w:tcW w:w="851" w:type="dxa"/>
            <w:tcBorders>
              <w:top w:val="nil"/>
              <w:left w:val="nil"/>
              <w:bottom w:val="nil"/>
              <w:right w:val="nil"/>
            </w:tcBorders>
            <w:shd w:val="clear" w:color="auto" w:fill="auto"/>
            <w:vAlign w:val="bottom"/>
          </w:tcPr>
          <w:p w14:paraId="456F3765" w14:textId="53BE8070" w:rsidR="005146A4" w:rsidRPr="001D41EA" w:rsidRDefault="005146A4" w:rsidP="001D41EA">
            <w:pPr>
              <w:spacing w:before="40" w:after="40"/>
              <w:jc w:val="center"/>
              <w:rPr>
                <w:rFonts w:cs="Arial"/>
                <w:sz w:val="18"/>
                <w:szCs w:val="18"/>
              </w:rPr>
            </w:pPr>
            <w:r w:rsidRPr="001D41EA">
              <w:rPr>
                <w:rFonts w:cs="Arial"/>
                <w:sz w:val="18"/>
                <w:szCs w:val="18"/>
              </w:rPr>
              <w:t>0.953</w:t>
            </w:r>
          </w:p>
        </w:tc>
        <w:tc>
          <w:tcPr>
            <w:tcW w:w="851" w:type="dxa"/>
            <w:tcBorders>
              <w:top w:val="nil"/>
              <w:left w:val="nil"/>
              <w:bottom w:val="nil"/>
              <w:right w:val="nil"/>
            </w:tcBorders>
            <w:shd w:val="clear" w:color="auto" w:fill="auto"/>
            <w:vAlign w:val="bottom"/>
          </w:tcPr>
          <w:p w14:paraId="56ACF5A8" w14:textId="4E5239D4" w:rsidR="005146A4" w:rsidRPr="001D41EA" w:rsidRDefault="005146A4" w:rsidP="001D41EA">
            <w:pPr>
              <w:spacing w:before="40" w:after="40"/>
              <w:jc w:val="center"/>
              <w:rPr>
                <w:rFonts w:cs="Arial"/>
                <w:sz w:val="18"/>
                <w:szCs w:val="18"/>
              </w:rPr>
            </w:pPr>
            <w:r w:rsidRPr="001D41EA">
              <w:rPr>
                <w:rFonts w:cs="Arial"/>
                <w:sz w:val="18"/>
                <w:szCs w:val="18"/>
              </w:rPr>
              <w:t>1.073</w:t>
            </w:r>
          </w:p>
        </w:tc>
        <w:tc>
          <w:tcPr>
            <w:tcW w:w="851" w:type="dxa"/>
            <w:tcBorders>
              <w:top w:val="nil"/>
              <w:left w:val="nil"/>
              <w:bottom w:val="nil"/>
              <w:right w:val="nil"/>
            </w:tcBorders>
            <w:shd w:val="clear" w:color="auto" w:fill="auto"/>
            <w:vAlign w:val="bottom"/>
          </w:tcPr>
          <w:p w14:paraId="44591150" w14:textId="43815E7F" w:rsidR="005146A4" w:rsidRPr="001D41EA" w:rsidRDefault="005146A4" w:rsidP="001D41EA">
            <w:pPr>
              <w:spacing w:before="40" w:after="40"/>
              <w:jc w:val="center"/>
              <w:rPr>
                <w:rFonts w:cs="Arial"/>
                <w:sz w:val="18"/>
                <w:szCs w:val="18"/>
              </w:rPr>
            </w:pPr>
            <w:r w:rsidRPr="001D41EA">
              <w:rPr>
                <w:rFonts w:cs="Arial"/>
                <w:sz w:val="18"/>
                <w:szCs w:val="18"/>
              </w:rPr>
              <w:t>0.966</w:t>
            </w:r>
          </w:p>
        </w:tc>
        <w:tc>
          <w:tcPr>
            <w:tcW w:w="851" w:type="dxa"/>
            <w:tcBorders>
              <w:top w:val="nil"/>
              <w:left w:val="nil"/>
              <w:bottom w:val="nil"/>
              <w:right w:val="nil"/>
            </w:tcBorders>
            <w:shd w:val="clear" w:color="auto" w:fill="auto"/>
            <w:vAlign w:val="bottom"/>
          </w:tcPr>
          <w:p w14:paraId="27F9F764" w14:textId="5512F7DD" w:rsidR="005146A4" w:rsidRPr="001D41EA" w:rsidRDefault="005146A4" w:rsidP="001D41EA">
            <w:pPr>
              <w:spacing w:before="40" w:after="40"/>
              <w:jc w:val="center"/>
              <w:rPr>
                <w:rFonts w:cs="Arial"/>
                <w:sz w:val="18"/>
                <w:szCs w:val="18"/>
              </w:rPr>
            </w:pPr>
            <w:r w:rsidRPr="001D41EA">
              <w:rPr>
                <w:rFonts w:cs="Arial"/>
                <w:sz w:val="18"/>
                <w:szCs w:val="18"/>
              </w:rPr>
              <w:t>1.278</w:t>
            </w:r>
          </w:p>
        </w:tc>
        <w:tc>
          <w:tcPr>
            <w:tcW w:w="851" w:type="dxa"/>
            <w:tcBorders>
              <w:top w:val="nil"/>
              <w:left w:val="nil"/>
              <w:bottom w:val="nil"/>
              <w:right w:val="nil"/>
            </w:tcBorders>
            <w:shd w:val="clear" w:color="auto" w:fill="auto"/>
            <w:vAlign w:val="bottom"/>
          </w:tcPr>
          <w:p w14:paraId="3B947C30" w14:textId="53BBCF4C" w:rsidR="005146A4" w:rsidRPr="001D41EA" w:rsidRDefault="005146A4" w:rsidP="001D41EA">
            <w:pPr>
              <w:spacing w:before="40" w:after="40"/>
              <w:jc w:val="center"/>
              <w:rPr>
                <w:rFonts w:cs="Arial"/>
                <w:sz w:val="18"/>
                <w:szCs w:val="18"/>
              </w:rPr>
            </w:pPr>
            <w:r w:rsidRPr="001D41EA">
              <w:rPr>
                <w:rFonts w:cs="Arial"/>
                <w:sz w:val="18"/>
                <w:szCs w:val="18"/>
              </w:rPr>
              <w:t>1.085</w:t>
            </w:r>
          </w:p>
        </w:tc>
      </w:tr>
      <w:tr w:rsidR="005146A4" w:rsidRPr="001D41EA" w14:paraId="477CC8C5"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55B87540" w14:textId="77777777" w:rsidR="005146A4" w:rsidRPr="001D41EA" w:rsidRDefault="005146A4" w:rsidP="001D41EA">
            <w:pPr>
              <w:spacing w:before="40" w:after="40"/>
              <w:rPr>
                <w:rFonts w:cs="Arial"/>
                <w:sz w:val="18"/>
                <w:szCs w:val="18"/>
              </w:rPr>
            </w:pPr>
            <w:r w:rsidRPr="001D41EA">
              <w:rPr>
                <w:rFonts w:cs="Arial"/>
                <w:sz w:val="18"/>
                <w:szCs w:val="18"/>
              </w:rPr>
              <w:t>Colac Otway S</w:t>
            </w:r>
          </w:p>
        </w:tc>
        <w:tc>
          <w:tcPr>
            <w:tcW w:w="851" w:type="dxa"/>
            <w:tcBorders>
              <w:top w:val="nil"/>
              <w:left w:val="single" w:sz="18" w:space="0" w:color="5F497A" w:themeColor="accent4" w:themeShade="BF"/>
              <w:bottom w:val="nil"/>
              <w:right w:val="nil"/>
            </w:tcBorders>
            <w:shd w:val="clear" w:color="auto" w:fill="auto"/>
            <w:vAlign w:val="bottom"/>
          </w:tcPr>
          <w:p w14:paraId="2076F0AB" w14:textId="670C73AB" w:rsidR="005146A4" w:rsidRPr="001D41EA" w:rsidRDefault="005146A4" w:rsidP="001D41EA">
            <w:pPr>
              <w:spacing w:before="40" w:after="40"/>
              <w:jc w:val="center"/>
              <w:rPr>
                <w:rFonts w:cs="Arial"/>
                <w:sz w:val="18"/>
                <w:szCs w:val="18"/>
              </w:rPr>
            </w:pPr>
            <w:r w:rsidRPr="001D41EA">
              <w:rPr>
                <w:rFonts w:cs="Arial"/>
                <w:sz w:val="18"/>
                <w:szCs w:val="18"/>
              </w:rPr>
              <w:t>1.105</w:t>
            </w:r>
          </w:p>
        </w:tc>
        <w:tc>
          <w:tcPr>
            <w:tcW w:w="851" w:type="dxa"/>
            <w:tcBorders>
              <w:top w:val="nil"/>
              <w:left w:val="nil"/>
              <w:bottom w:val="nil"/>
              <w:right w:val="nil"/>
            </w:tcBorders>
            <w:shd w:val="clear" w:color="auto" w:fill="auto"/>
            <w:vAlign w:val="bottom"/>
          </w:tcPr>
          <w:p w14:paraId="0DFB907D" w14:textId="63BE57E3" w:rsidR="005146A4" w:rsidRPr="001D41EA" w:rsidRDefault="005146A4" w:rsidP="001D41EA">
            <w:pPr>
              <w:spacing w:before="40" w:after="40"/>
              <w:jc w:val="center"/>
              <w:rPr>
                <w:rFonts w:cs="Arial"/>
                <w:sz w:val="18"/>
                <w:szCs w:val="18"/>
              </w:rPr>
            </w:pPr>
            <w:r w:rsidRPr="001D41EA">
              <w:rPr>
                <w:rFonts w:cs="Arial"/>
                <w:sz w:val="18"/>
                <w:szCs w:val="18"/>
              </w:rPr>
              <w:t>1.027</w:t>
            </w:r>
          </w:p>
        </w:tc>
        <w:tc>
          <w:tcPr>
            <w:tcW w:w="851" w:type="dxa"/>
            <w:tcBorders>
              <w:top w:val="nil"/>
              <w:left w:val="nil"/>
              <w:bottom w:val="nil"/>
              <w:right w:val="nil"/>
            </w:tcBorders>
            <w:shd w:val="clear" w:color="auto" w:fill="auto"/>
            <w:vAlign w:val="bottom"/>
          </w:tcPr>
          <w:p w14:paraId="06E2C003" w14:textId="183E8778" w:rsidR="005146A4" w:rsidRPr="001D41EA" w:rsidRDefault="005146A4" w:rsidP="001D41EA">
            <w:pPr>
              <w:spacing w:before="40" w:after="40"/>
              <w:jc w:val="center"/>
              <w:rPr>
                <w:rFonts w:cs="Arial"/>
                <w:sz w:val="18"/>
                <w:szCs w:val="18"/>
              </w:rPr>
            </w:pPr>
            <w:r w:rsidRPr="001D41EA">
              <w:rPr>
                <w:rFonts w:cs="Arial"/>
                <w:sz w:val="18"/>
                <w:szCs w:val="18"/>
              </w:rPr>
              <w:t>1.073</w:t>
            </w:r>
          </w:p>
        </w:tc>
        <w:tc>
          <w:tcPr>
            <w:tcW w:w="851" w:type="dxa"/>
            <w:tcBorders>
              <w:top w:val="nil"/>
              <w:left w:val="nil"/>
              <w:bottom w:val="nil"/>
              <w:right w:val="nil"/>
            </w:tcBorders>
            <w:shd w:val="clear" w:color="auto" w:fill="auto"/>
            <w:vAlign w:val="bottom"/>
          </w:tcPr>
          <w:p w14:paraId="43ECFA32" w14:textId="31DFBE91" w:rsidR="005146A4" w:rsidRPr="001D41EA" w:rsidRDefault="005146A4" w:rsidP="001D41EA">
            <w:pPr>
              <w:spacing w:before="40" w:after="40"/>
              <w:jc w:val="center"/>
              <w:rPr>
                <w:rFonts w:cs="Arial"/>
                <w:sz w:val="18"/>
                <w:szCs w:val="18"/>
              </w:rPr>
            </w:pPr>
            <w:r w:rsidRPr="001D41EA">
              <w:rPr>
                <w:rFonts w:cs="Arial"/>
                <w:sz w:val="18"/>
                <w:szCs w:val="18"/>
              </w:rPr>
              <w:t>1.135</w:t>
            </w:r>
          </w:p>
        </w:tc>
        <w:tc>
          <w:tcPr>
            <w:tcW w:w="851" w:type="dxa"/>
            <w:tcBorders>
              <w:top w:val="nil"/>
              <w:left w:val="nil"/>
              <w:bottom w:val="nil"/>
              <w:right w:val="nil"/>
            </w:tcBorders>
            <w:shd w:val="clear" w:color="auto" w:fill="auto"/>
            <w:vAlign w:val="bottom"/>
          </w:tcPr>
          <w:p w14:paraId="75473876" w14:textId="6F9E8E73" w:rsidR="005146A4" w:rsidRPr="001D41EA" w:rsidRDefault="005146A4" w:rsidP="001D41EA">
            <w:pPr>
              <w:spacing w:before="40" w:after="40"/>
              <w:jc w:val="center"/>
              <w:rPr>
                <w:rFonts w:cs="Arial"/>
                <w:sz w:val="18"/>
                <w:szCs w:val="18"/>
              </w:rPr>
            </w:pPr>
            <w:r w:rsidRPr="001D41EA">
              <w:rPr>
                <w:rFonts w:cs="Arial"/>
                <w:sz w:val="18"/>
                <w:szCs w:val="18"/>
              </w:rPr>
              <w:t>1.198</w:t>
            </w:r>
          </w:p>
        </w:tc>
        <w:tc>
          <w:tcPr>
            <w:tcW w:w="851" w:type="dxa"/>
            <w:tcBorders>
              <w:top w:val="nil"/>
              <w:left w:val="nil"/>
              <w:bottom w:val="nil"/>
              <w:right w:val="nil"/>
            </w:tcBorders>
            <w:shd w:val="clear" w:color="auto" w:fill="auto"/>
            <w:vAlign w:val="bottom"/>
          </w:tcPr>
          <w:p w14:paraId="484E0113" w14:textId="30CBC073" w:rsidR="005146A4" w:rsidRPr="001D41EA" w:rsidRDefault="005146A4" w:rsidP="001D41EA">
            <w:pPr>
              <w:spacing w:before="40" w:after="40"/>
              <w:jc w:val="center"/>
              <w:rPr>
                <w:rFonts w:cs="Arial"/>
                <w:sz w:val="18"/>
                <w:szCs w:val="18"/>
              </w:rPr>
            </w:pPr>
            <w:r w:rsidRPr="001D41EA">
              <w:rPr>
                <w:rFonts w:cs="Arial"/>
                <w:sz w:val="18"/>
                <w:szCs w:val="18"/>
              </w:rPr>
              <w:t>1.084</w:t>
            </w:r>
          </w:p>
        </w:tc>
        <w:tc>
          <w:tcPr>
            <w:tcW w:w="851" w:type="dxa"/>
            <w:tcBorders>
              <w:top w:val="nil"/>
              <w:left w:val="nil"/>
              <w:bottom w:val="nil"/>
              <w:right w:val="nil"/>
            </w:tcBorders>
            <w:shd w:val="clear" w:color="auto" w:fill="auto"/>
            <w:vAlign w:val="bottom"/>
          </w:tcPr>
          <w:p w14:paraId="738C19A1" w14:textId="13A2BA32" w:rsidR="005146A4" w:rsidRPr="001D41EA" w:rsidRDefault="005146A4" w:rsidP="001D41EA">
            <w:pPr>
              <w:spacing w:before="40" w:after="40"/>
              <w:jc w:val="center"/>
              <w:rPr>
                <w:rFonts w:cs="Arial"/>
                <w:sz w:val="18"/>
                <w:szCs w:val="18"/>
              </w:rPr>
            </w:pPr>
            <w:r w:rsidRPr="001D41EA">
              <w:rPr>
                <w:rFonts w:cs="Arial"/>
                <w:sz w:val="18"/>
                <w:szCs w:val="18"/>
              </w:rPr>
              <w:t>1.220</w:t>
            </w:r>
          </w:p>
        </w:tc>
        <w:tc>
          <w:tcPr>
            <w:tcW w:w="851" w:type="dxa"/>
            <w:tcBorders>
              <w:top w:val="nil"/>
              <w:left w:val="nil"/>
              <w:bottom w:val="nil"/>
              <w:right w:val="nil"/>
            </w:tcBorders>
            <w:shd w:val="clear" w:color="auto" w:fill="auto"/>
            <w:vAlign w:val="bottom"/>
          </w:tcPr>
          <w:p w14:paraId="60C02C9F" w14:textId="64CDCF67" w:rsidR="005146A4" w:rsidRPr="001D41EA" w:rsidRDefault="005146A4" w:rsidP="001D41EA">
            <w:pPr>
              <w:spacing w:before="40" w:after="40"/>
              <w:jc w:val="center"/>
              <w:rPr>
                <w:rFonts w:cs="Arial"/>
                <w:sz w:val="18"/>
                <w:szCs w:val="18"/>
              </w:rPr>
            </w:pPr>
            <w:r w:rsidRPr="001D41EA">
              <w:rPr>
                <w:rFonts w:cs="Arial"/>
                <w:sz w:val="18"/>
                <w:szCs w:val="18"/>
              </w:rPr>
              <w:t>1.184</w:t>
            </w:r>
          </w:p>
        </w:tc>
      </w:tr>
      <w:tr w:rsidR="005146A4" w:rsidRPr="001D41EA" w14:paraId="4908EE76"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92F14D2" w14:textId="77777777" w:rsidR="005146A4" w:rsidRPr="001D41EA" w:rsidRDefault="005146A4" w:rsidP="001D41EA">
            <w:pPr>
              <w:spacing w:before="40" w:after="40"/>
              <w:rPr>
                <w:rFonts w:cs="Arial"/>
                <w:sz w:val="18"/>
                <w:szCs w:val="18"/>
              </w:rPr>
            </w:pPr>
            <w:r w:rsidRPr="001D41EA">
              <w:rPr>
                <w:rFonts w:cs="Arial"/>
                <w:sz w:val="18"/>
                <w:szCs w:val="18"/>
              </w:rPr>
              <w:t>Corangamite S</w:t>
            </w:r>
          </w:p>
        </w:tc>
        <w:tc>
          <w:tcPr>
            <w:tcW w:w="851" w:type="dxa"/>
            <w:tcBorders>
              <w:top w:val="nil"/>
              <w:left w:val="single" w:sz="18" w:space="0" w:color="5F497A" w:themeColor="accent4" w:themeShade="BF"/>
              <w:bottom w:val="nil"/>
              <w:right w:val="nil"/>
            </w:tcBorders>
            <w:shd w:val="clear" w:color="auto" w:fill="auto"/>
            <w:vAlign w:val="bottom"/>
          </w:tcPr>
          <w:p w14:paraId="3E3E7B4E" w14:textId="469A87F2" w:rsidR="005146A4" w:rsidRPr="001D41EA" w:rsidRDefault="005146A4" w:rsidP="001D41EA">
            <w:pPr>
              <w:spacing w:before="40" w:after="40"/>
              <w:jc w:val="center"/>
              <w:rPr>
                <w:rFonts w:cs="Arial"/>
                <w:sz w:val="18"/>
                <w:szCs w:val="18"/>
              </w:rPr>
            </w:pPr>
            <w:r w:rsidRPr="001D41EA">
              <w:rPr>
                <w:rFonts w:cs="Arial"/>
                <w:sz w:val="18"/>
                <w:szCs w:val="18"/>
              </w:rPr>
              <w:t>1.152</w:t>
            </w:r>
          </w:p>
        </w:tc>
        <w:tc>
          <w:tcPr>
            <w:tcW w:w="851" w:type="dxa"/>
            <w:tcBorders>
              <w:top w:val="nil"/>
              <w:left w:val="nil"/>
              <w:bottom w:val="nil"/>
              <w:right w:val="nil"/>
            </w:tcBorders>
            <w:shd w:val="clear" w:color="auto" w:fill="auto"/>
            <w:vAlign w:val="bottom"/>
          </w:tcPr>
          <w:p w14:paraId="7E0D2FF5" w14:textId="315E2D7A" w:rsidR="005146A4" w:rsidRPr="001D41EA" w:rsidRDefault="005146A4" w:rsidP="001D41EA">
            <w:pPr>
              <w:spacing w:before="40" w:after="40"/>
              <w:jc w:val="center"/>
              <w:rPr>
                <w:rFonts w:cs="Arial"/>
                <w:sz w:val="18"/>
                <w:szCs w:val="18"/>
              </w:rPr>
            </w:pPr>
            <w:r w:rsidRPr="001D41EA">
              <w:rPr>
                <w:rFonts w:cs="Arial"/>
                <w:sz w:val="18"/>
                <w:szCs w:val="18"/>
              </w:rPr>
              <w:t>1.032</w:t>
            </w:r>
          </w:p>
        </w:tc>
        <w:tc>
          <w:tcPr>
            <w:tcW w:w="851" w:type="dxa"/>
            <w:tcBorders>
              <w:top w:val="nil"/>
              <w:left w:val="nil"/>
              <w:bottom w:val="nil"/>
              <w:right w:val="nil"/>
            </w:tcBorders>
            <w:shd w:val="clear" w:color="auto" w:fill="auto"/>
            <w:vAlign w:val="bottom"/>
          </w:tcPr>
          <w:p w14:paraId="5AF5B4ED" w14:textId="05035DA4" w:rsidR="005146A4" w:rsidRPr="001D41EA" w:rsidRDefault="005146A4" w:rsidP="001D41EA">
            <w:pPr>
              <w:spacing w:before="40" w:after="40"/>
              <w:jc w:val="center"/>
              <w:rPr>
                <w:rFonts w:cs="Arial"/>
                <w:sz w:val="18"/>
                <w:szCs w:val="18"/>
              </w:rPr>
            </w:pPr>
            <w:r w:rsidRPr="001D41EA">
              <w:rPr>
                <w:rFonts w:cs="Arial"/>
                <w:sz w:val="18"/>
                <w:szCs w:val="18"/>
              </w:rPr>
              <w:t>1.104</w:t>
            </w:r>
          </w:p>
        </w:tc>
        <w:tc>
          <w:tcPr>
            <w:tcW w:w="851" w:type="dxa"/>
            <w:tcBorders>
              <w:top w:val="nil"/>
              <w:left w:val="nil"/>
              <w:bottom w:val="nil"/>
              <w:right w:val="nil"/>
            </w:tcBorders>
            <w:shd w:val="clear" w:color="auto" w:fill="auto"/>
            <w:vAlign w:val="bottom"/>
          </w:tcPr>
          <w:p w14:paraId="1F2AC9BB" w14:textId="6D2C1885" w:rsidR="005146A4" w:rsidRPr="001D41EA" w:rsidRDefault="005146A4" w:rsidP="001D41EA">
            <w:pPr>
              <w:spacing w:before="40" w:after="40"/>
              <w:jc w:val="center"/>
              <w:rPr>
                <w:rFonts w:cs="Arial"/>
                <w:sz w:val="18"/>
                <w:szCs w:val="18"/>
              </w:rPr>
            </w:pPr>
            <w:r w:rsidRPr="001D41EA">
              <w:rPr>
                <w:rFonts w:cs="Arial"/>
                <w:sz w:val="18"/>
                <w:szCs w:val="18"/>
              </w:rPr>
              <w:t>1.053</w:t>
            </w:r>
          </w:p>
        </w:tc>
        <w:tc>
          <w:tcPr>
            <w:tcW w:w="851" w:type="dxa"/>
            <w:tcBorders>
              <w:top w:val="nil"/>
              <w:left w:val="nil"/>
              <w:bottom w:val="nil"/>
              <w:right w:val="nil"/>
            </w:tcBorders>
            <w:shd w:val="clear" w:color="auto" w:fill="auto"/>
            <w:vAlign w:val="bottom"/>
          </w:tcPr>
          <w:p w14:paraId="4789D869" w14:textId="4FB58C25" w:rsidR="005146A4" w:rsidRPr="001D41EA" w:rsidRDefault="005146A4" w:rsidP="001D41EA">
            <w:pPr>
              <w:spacing w:before="40" w:after="40"/>
              <w:jc w:val="center"/>
              <w:rPr>
                <w:rFonts w:cs="Arial"/>
                <w:sz w:val="18"/>
                <w:szCs w:val="18"/>
              </w:rPr>
            </w:pPr>
            <w:r w:rsidRPr="001D41EA">
              <w:rPr>
                <w:rFonts w:cs="Arial"/>
                <w:sz w:val="18"/>
                <w:szCs w:val="18"/>
              </w:rPr>
              <w:t>1.253</w:t>
            </w:r>
          </w:p>
        </w:tc>
        <w:tc>
          <w:tcPr>
            <w:tcW w:w="851" w:type="dxa"/>
            <w:tcBorders>
              <w:top w:val="nil"/>
              <w:left w:val="nil"/>
              <w:bottom w:val="nil"/>
              <w:right w:val="nil"/>
            </w:tcBorders>
            <w:shd w:val="clear" w:color="auto" w:fill="auto"/>
            <w:vAlign w:val="bottom"/>
          </w:tcPr>
          <w:p w14:paraId="0E4006F2" w14:textId="02CE3B97" w:rsidR="005146A4" w:rsidRPr="001D41EA" w:rsidRDefault="005146A4" w:rsidP="001D41EA">
            <w:pPr>
              <w:spacing w:before="40" w:after="40"/>
              <w:jc w:val="center"/>
              <w:rPr>
                <w:rFonts w:cs="Arial"/>
                <w:sz w:val="18"/>
                <w:szCs w:val="18"/>
              </w:rPr>
            </w:pPr>
            <w:r w:rsidRPr="001D41EA">
              <w:rPr>
                <w:rFonts w:cs="Arial"/>
                <w:sz w:val="18"/>
                <w:szCs w:val="18"/>
              </w:rPr>
              <w:t>1.004</w:t>
            </w:r>
          </w:p>
        </w:tc>
        <w:tc>
          <w:tcPr>
            <w:tcW w:w="851" w:type="dxa"/>
            <w:tcBorders>
              <w:top w:val="nil"/>
              <w:left w:val="nil"/>
              <w:bottom w:val="nil"/>
              <w:right w:val="nil"/>
            </w:tcBorders>
            <w:shd w:val="clear" w:color="auto" w:fill="auto"/>
            <w:vAlign w:val="bottom"/>
          </w:tcPr>
          <w:p w14:paraId="49571A60" w14:textId="3CD0C2A8" w:rsidR="005146A4" w:rsidRPr="001D41EA" w:rsidRDefault="005146A4" w:rsidP="001D41EA">
            <w:pPr>
              <w:spacing w:before="40" w:after="40"/>
              <w:jc w:val="center"/>
              <w:rPr>
                <w:rFonts w:cs="Arial"/>
                <w:sz w:val="18"/>
                <w:szCs w:val="18"/>
              </w:rPr>
            </w:pPr>
            <w:r w:rsidRPr="001D41EA">
              <w:rPr>
                <w:rFonts w:cs="Arial"/>
                <w:sz w:val="18"/>
                <w:szCs w:val="18"/>
              </w:rPr>
              <w:t>1.224</w:t>
            </w:r>
          </w:p>
        </w:tc>
        <w:tc>
          <w:tcPr>
            <w:tcW w:w="851" w:type="dxa"/>
            <w:tcBorders>
              <w:top w:val="nil"/>
              <w:left w:val="nil"/>
              <w:bottom w:val="nil"/>
              <w:right w:val="nil"/>
            </w:tcBorders>
            <w:shd w:val="clear" w:color="auto" w:fill="auto"/>
            <w:vAlign w:val="bottom"/>
          </w:tcPr>
          <w:p w14:paraId="2D9BB203" w14:textId="2FC886B8" w:rsidR="005146A4" w:rsidRPr="001D41EA" w:rsidRDefault="005146A4" w:rsidP="001D41EA">
            <w:pPr>
              <w:spacing w:before="40" w:after="40"/>
              <w:jc w:val="center"/>
              <w:rPr>
                <w:rFonts w:cs="Arial"/>
                <w:sz w:val="18"/>
                <w:szCs w:val="18"/>
              </w:rPr>
            </w:pPr>
            <w:r w:rsidRPr="001D41EA">
              <w:rPr>
                <w:rFonts w:cs="Arial"/>
                <w:sz w:val="18"/>
                <w:szCs w:val="18"/>
              </w:rPr>
              <w:t>1.148</w:t>
            </w:r>
          </w:p>
        </w:tc>
      </w:tr>
      <w:tr w:rsidR="005146A4" w:rsidRPr="001D41EA" w14:paraId="52DE725A"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6B108BE" w14:textId="77777777" w:rsidR="005146A4" w:rsidRPr="001D41EA" w:rsidRDefault="005146A4" w:rsidP="001D41EA">
            <w:pPr>
              <w:spacing w:before="40" w:after="40"/>
              <w:rPr>
                <w:rFonts w:cs="Arial"/>
                <w:sz w:val="18"/>
                <w:szCs w:val="18"/>
              </w:rPr>
            </w:pPr>
            <w:r w:rsidRPr="001D41EA">
              <w:rPr>
                <w:rFonts w:cs="Arial"/>
                <w:sz w:val="18"/>
                <w:szCs w:val="18"/>
              </w:rPr>
              <w:t>Darebin C</w:t>
            </w:r>
          </w:p>
        </w:tc>
        <w:tc>
          <w:tcPr>
            <w:tcW w:w="851" w:type="dxa"/>
            <w:tcBorders>
              <w:top w:val="nil"/>
              <w:left w:val="single" w:sz="18" w:space="0" w:color="5F497A" w:themeColor="accent4" w:themeShade="BF"/>
              <w:bottom w:val="nil"/>
              <w:right w:val="nil"/>
            </w:tcBorders>
            <w:shd w:val="clear" w:color="auto" w:fill="auto"/>
            <w:vAlign w:val="bottom"/>
          </w:tcPr>
          <w:p w14:paraId="00A9661A" w14:textId="3AE5099A" w:rsidR="005146A4" w:rsidRPr="001D41EA" w:rsidRDefault="005146A4" w:rsidP="001D41EA">
            <w:pPr>
              <w:spacing w:before="40" w:after="40"/>
              <w:jc w:val="center"/>
              <w:rPr>
                <w:rFonts w:cs="Arial"/>
                <w:sz w:val="18"/>
                <w:szCs w:val="18"/>
              </w:rPr>
            </w:pPr>
            <w:r w:rsidRPr="001D41EA">
              <w:rPr>
                <w:rFonts w:cs="Arial"/>
                <w:sz w:val="18"/>
                <w:szCs w:val="18"/>
              </w:rPr>
              <w:t>0.982</w:t>
            </w:r>
          </w:p>
        </w:tc>
        <w:tc>
          <w:tcPr>
            <w:tcW w:w="851" w:type="dxa"/>
            <w:tcBorders>
              <w:top w:val="nil"/>
              <w:left w:val="nil"/>
              <w:bottom w:val="nil"/>
              <w:right w:val="nil"/>
            </w:tcBorders>
            <w:shd w:val="clear" w:color="auto" w:fill="auto"/>
            <w:vAlign w:val="bottom"/>
          </w:tcPr>
          <w:p w14:paraId="7DBE9755" w14:textId="7FAE1ABB" w:rsidR="005146A4" w:rsidRPr="001D41EA" w:rsidRDefault="005146A4" w:rsidP="001D41EA">
            <w:pPr>
              <w:spacing w:before="40" w:after="40"/>
              <w:jc w:val="center"/>
              <w:rPr>
                <w:rFonts w:cs="Arial"/>
                <w:sz w:val="18"/>
                <w:szCs w:val="18"/>
              </w:rPr>
            </w:pPr>
            <w:r w:rsidRPr="001D41EA">
              <w:rPr>
                <w:rFonts w:cs="Arial"/>
                <w:sz w:val="18"/>
                <w:szCs w:val="18"/>
              </w:rPr>
              <w:t>0.975</w:t>
            </w:r>
          </w:p>
        </w:tc>
        <w:tc>
          <w:tcPr>
            <w:tcW w:w="851" w:type="dxa"/>
            <w:tcBorders>
              <w:top w:val="nil"/>
              <w:left w:val="nil"/>
              <w:bottom w:val="nil"/>
              <w:right w:val="nil"/>
            </w:tcBorders>
            <w:shd w:val="clear" w:color="auto" w:fill="auto"/>
            <w:vAlign w:val="bottom"/>
          </w:tcPr>
          <w:p w14:paraId="13C0984F" w14:textId="55446434" w:rsidR="005146A4" w:rsidRPr="001D41EA" w:rsidRDefault="005146A4" w:rsidP="001D41EA">
            <w:pPr>
              <w:spacing w:before="40" w:after="40"/>
              <w:jc w:val="center"/>
              <w:rPr>
                <w:rFonts w:cs="Arial"/>
                <w:sz w:val="18"/>
                <w:szCs w:val="18"/>
              </w:rPr>
            </w:pPr>
            <w:r w:rsidRPr="001D41EA">
              <w:rPr>
                <w:rFonts w:cs="Arial"/>
                <w:sz w:val="18"/>
                <w:szCs w:val="18"/>
              </w:rPr>
              <w:t>1.010</w:t>
            </w:r>
          </w:p>
        </w:tc>
        <w:tc>
          <w:tcPr>
            <w:tcW w:w="851" w:type="dxa"/>
            <w:tcBorders>
              <w:top w:val="nil"/>
              <w:left w:val="nil"/>
              <w:bottom w:val="nil"/>
              <w:right w:val="nil"/>
            </w:tcBorders>
            <w:shd w:val="clear" w:color="auto" w:fill="auto"/>
            <w:vAlign w:val="bottom"/>
          </w:tcPr>
          <w:p w14:paraId="5E9FDA73" w14:textId="3BC50ADD" w:rsidR="005146A4" w:rsidRPr="001D41EA" w:rsidRDefault="005146A4" w:rsidP="001D41EA">
            <w:pPr>
              <w:spacing w:before="40" w:after="40"/>
              <w:jc w:val="center"/>
              <w:rPr>
                <w:rFonts w:cs="Arial"/>
                <w:sz w:val="18"/>
                <w:szCs w:val="18"/>
              </w:rPr>
            </w:pPr>
            <w:r w:rsidRPr="001D41EA">
              <w:rPr>
                <w:rFonts w:cs="Arial"/>
                <w:sz w:val="18"/>
                <w:szCs w:val="18"/>
              </w:rPr>
              <w:t>0.948</w:t>
            </w:r>
          </w:p>
        </w:tc>
        <w:tc>
          <w:tcPr>
            <w:tcW w:w="851" w:type="dxa"/>
            <w:tcBorders>
              <w:top w:val="nil"/>
              <w:left w:val="nil"/>
              <w:bottom w:val="nil"/>
              <w:right w:val="nil"/>
            </w:tcBorders>
            <w:shd w:val="clear" w:color="auto" w:fill="auto"/>
            <w:vAlign w:val="bottom"/>
          </w:tcPr>
          <w:p w14:paraId="358C601E" w14:textId="113E9050" w:rsidR="005146A4" w:rsidRPr="001D41EA" w:rsidRDefault="005146A4" w:rsidP="001D41EA">
            <w:pPr>
              <w:spacing w:before="40" w:after="40"/>
              <w:jc w:val="center"/>
              <w:rPr>
                <w:rFonts w:cs="Arial"/>
                <w:sz w:val="18"/>
                <w:szCs w:val="18"/>
              </w:rPr>
            </w:pPr>
            <w:r w:rsidRPr="001D41EA">
              <w:rPr>
                <w:rFonts w:cs="Arial"/>
                <w:sz w:val="18"/>
                <w:szCs w:val="18"/>
              </w:rPr>
              <w:t>0.917</w:t>
            </w:r>
          </w:p>
        </w:tc>
        <w:tc>
          <w:tcPr>
            <w:tcW w:w="851" w:type="dxa"/>
            <w:tcBorders>
              <w:top w:val="nil"/>
              <w:left w:val="nil"/>
              <w:bottom w:val="nil"/>
              <w:right w:val="nil"/>
            </w:tcBorders>
            <w:shd w:val="clear" w:color="auto" w:fill="auto"/>
            <w:vAlign w:val="bottom"/>
          </w:tcPr>
          <w:p w14:paraId="65503FC7" w14:textId="2833003E" w:rsidR="005146A4" w:rsidRPr="001D41EA" w:rsidRDefault="005146A4" w:rsidP="001D41EA">
            <w:pPr>
              <w:spacing w:before="40" w:after="40"/>
              <w:jc w:val="center"/>
              <w:rPr>
                <w:rFonts w:cs="Arial"/>
                <w:sz w:val="18"/>
                <w:szCs w:val="18"/>
              </w:rPr>
            </w:pPr>
            <w:r w:rsidRPr="001D41EA">
              <w:rPr>
                <w:rFonts w:cs="Arial"/>
                <w:sz w:val="18"/>
                <w:szCs w:val="18"/>
              </w:rPr>
              <w:t>0.943</w:t>
            </w:r>
          </w:p>
        </w:tc>
        <w:tc>
          <w:tcPr>
            <w:tcW w:w="851" w:type="dxa"/>
            <w:tcBorders>
              <w:top w:val="nil"/>
              <w:left w:val="nil"/>
              <w:bottom w:val="nil"/>
              <w:right w:val="nil"/>
            </w:tcBorders>
            <w:shd w:val="clear" w:color="auto" w:fill="auto"/>
            <w:vAlign w:val="bottom"/>
          </w:tcPr>
          <w:p w14:paraId="52ABB02D" w14:textId="479D0052" w:rsidR="005146A4" w:rsidRPr="001D41EA" w:rsidRDefault="005146A4" w:rsidP="001D41EA">
            <w:pPr>
              <w:spacing w:before="40" w:after="40"/>
              <w:jc w:val="center"/>
              <w:rPr>
                <w:rFonts w:cs="Arial"/>
                <w:sz w:val="18"/>
                <w:szCs w:val="18"/>
              </w:rPr>
            </w:pPr>
            <w:r w:rsidRPr="001D41EA">
              <w:rPr>
                <w:rFonts w:cs="Arial"/>
                <w:sz w:val="18"/>
                <w:szCs w:val="18"/>
              </w:rPr>
              <w:t>0.909</w:t>
            </w:r>
          </w:p>
        </w:tc>
        <w:tc>
          <w:tcPr>
            <w:tcW w:w="851" w:type="dxa"/>
            <w:tcBorders>
              <w:top w:val="nil"/>
              <w:left w:val="nil"/>
              <w:bottom w:val="nil"/>
              <w:right w:val="nil"/>
            </w:tcBorders>
            <w:shd w:val="clear" w:color="auto" w:fill="auto"/>
            <w:vAlign w:val="bottom"/>
          </w:tcPr>
          <w:p w14:paraId="1F9283FE" w14:textId="6D2233A9" w:rsidR="005146A4" w:rsidRPr="001D41EA" w:rsidRDefault="005146A4" w:rsidP="001D41EA">
            <w:pPr>
              <w:spacing w:before="40" w:after="40"/>
              <w:jc w:val="center"/>
              <w:rPr>
                <w:rFonts w:cs="Arial"/>
                <w:sz w:val="18"/>
                <w:szCs w:val="18"/>
              </w:rPr>
            </w:pPr>
            <w:r w:rsidRPr="001D41EA">
              <w:rPr>
                <w:rFonts w:cs="Arial"/>
                <w:sz w:val="18"/>
                <w:szCs w:val="18"/>
              </w:rPr>
              <w:t>0.945</w:t>
            </w:r>
          </w:p>
        </w:tc>
      </w:tr>
      <w:tr w:rsidR="005146A4" w:rsidRPr="001D41EA" w14:paraId="48294899"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3AD5C0AF" w14:textId="77777777" w:rsidR="005146A4" w:rsidRPr="001D41EA" w:rsidRDefault="005146A4" w:rsidP="001D41EA">
            <w:pPr>
              <w:spacing w:before="40" w:after="40"/>
              <w:rPr>
                <w:rFonts w:cs="Arial"/>
                <w:sz w:val="18"/>
                <w:szCs w:val="18"/>
              </w:rPr>
            </w:pPr>
            <w:r w:rsidRPr="001D41EA">
              <w:rPr>
                <w:rFonts w:cs="Arial"/>
                <w:sz w:val="18"/>
                <w:szCs w:val="18"/>
              </w:rPr>
              <w:t>East Gippsland S</w:t>
            </w:r>
          </w:p>
        </w:tc>
        <w:tc>
          <w:tcPr>
            <w:tcW w:w="851" w:type="dxa"/>
            <w:tcBorders>
              <w:top w:val="nil"/>
              <w:left w:val="single" w:sz="18" w:space="0" w:color="5F497A" w:themeColor="accent4" w:themeShade="BF"/>
              <w:bottom w:val="nil"/>
              <w:right w:val="nil"/>
            </w:tcBorders>
            <w:shd w:val="clear" w:color="auto" w:fill="auto"/>
            <w:vAlign w:val="bottom"/>
          </w:tcPr>
          <w:p w14:paraId="354DD92F" w14:textId="5424CD7C" w:rsidR="005146A4" w:rsidRPr="001D41EA" w:rsidRDefault="005146A4" w:rsidP="001D41EA">
            <w:pPr>
              <w:spacing w:before="40" w:after="40"/>
              <w:jc w:val="center"/>
              <w:rPr>
                <w:rFonts w:cs="Arial"/>
                <w:sz w:val="18"/>
                <w:szCs w:val="18"/>
              </w:rPr>
            </w:pPr>
            <w:r w:rsidRPr="001D41EA">
              <w:rPr>
                <w:rFonts w:cs="Arial"/>
                <w:sz w:val="18"/>
                <w:szCs w:val="18"/>
              </w:rPr>
              <w:t>1.365</w:t>
            </w:r>
          </w:p>
        </w:tc>
        <w:tc>
          <w:tcPr>
            <w:tcW w:w="851" w:type="dxa"/>
            <w:tcBorders>
              <w:top w:val="nil"/>
              <w:left w:val="nil"/>
              <w:bottom w:val="nil"/>
              <w:right w:val="nil"/>
            </w:tcBorders>
            <w:shd w:val="clear" w:color="auto" w:fill="auto"/>
            <w:vAlign w:val="bottom"/>
          </w:tcPr>
          <w:p w14:paraId="0691B13A" w14:textId="22EBE7E3" w:rsidR="005146A4" w:rsidRPr="001D41EA" w:rsidRDefault="005146A4" w:rsidP="001D41EA">
            <w:pPr>
              <w:spacing w:before="40" w:after="40"/>
              <w:jc w:val="center"/>
              <w:rPr>
                <w:rFonts w:cs="Arial"/>
                <w:sz w:val="18"/>
                <w:szCs w:val="18"/>
              </w:rPr>
            </w:pPr>
            <w:r w:rsidRPr="001D41EA">
              <w:rPr>
                <w:rFonts w:cs="Arial"/>
                <w:sz w:val="18"/>
                <w:szCs w:val="18"/>
              </w:rPr>
              <w:t>1.158</w:t>
            </w:r>
          </w:p>
        </w:tc>
        <w:tc>
          <w:tcPr>
            <w:tcW w:w="851" w:type="dxa"/>
            <w:tcBorders>
              <w:top w:val="nil"/>
              <w:left w:val="nil"/>
              <w:bottom w:val="nil"/>
              <w:right w:val="nil"/>
            </w:tcBorders>
            <w:shd w:val="clear" w:color="auto" w:fill="auto"/>
            <w:vAlign w:val="bottom"/>
          </w:tcPr>
          <w:p w14:paraId="1E48A6AF" w14:textId="4F2BC123" w:rsidR="005146A4" w:rsidRPr="001D41EA" w:rsidRDefault="005146A4" w:rsidP="001D41EA">
            <w:pPr>
              <w:spacing w:before="40" w:after="40"/>
              <w:jc w:val="center"/>
              <w:rPr>
                <w:rFonts w:cs="Arial"/>
                <w:sz w:val="18"/>
                <w:szCs w:val="18"/>
              </w:rPr>
            </w:pPr>
            <w:r w:rsidRPr="001D41EA">
              <w:rPr>
                <w:rFonts w:cs="Arial"/>
                <w:sz w:val="18"/>
                <w:szCs w:val="18"/>
              </w:rPr>
              <w:t>1.251</w:t>
            </w:r>
          </w:p>
        </w:tc>
        <w:tc>
          <w:tcPr>
            <w:tcW w:w="851" w:type="dxa"/>
            <w:tcBorders>
              <w:top w:val="nil"/>
              <w:left w:val="nil"/>
              <w:bottom w:val="nil"/>
              <w:right w:val="nil"/>
            </w:tcBorders>
            <w:shd w:val="clear" w:color="auto" w:fill="auto"/>
            <w:vAlign w:val="bottom"/>
          </w:tcPr>
          <w:p w14:paraId="642F4C48" w14:textId="5C9D351A" w:rsidR="005146A4" w:rsidRPr="001D41EA" w:rsidRDefault="005146A4" w:rsidP="001D41EA">
            <w:pPr>
              <w:spacing w:before="40" w:after="40"/>
              <w:jc w:val="center"/>
              <w:rPr>
                <w:rFonts w:cs="Arial"/>
                <w:sz w:val="18"/>
                <w:szCs w:val="18"/>
              </w:rPr>
            </w:pPr>
            <w:r w:rsidRPr="001D41EA">
              <w:rPr>
                <w:rFonts w:cs="Arial"/>
                <w:sz w:val="18"/>
                <w:szCs w:val="18"/>
              </w:rPr>
              <w:t>1.211</w:t>
            </w:r>
          </w:p>
        </w:tc>
        <w:tc>
          <w:tcPr>
            <w:tcW w:w="851" w:type="dxa"/>
            <w:tcBorders>
              <w:top w:val="nil"/>
              <w:left w:val="nil"/>
              <w:bottom w:val="nil"/>
              <w:right w:val="nil"/>
            </w:tcBorders>
            <w:shd w:val="clear" w:color="auto" w:fill="auto"/>
            <w:vAlign w:val="bottom"/>
          </w:tcPr>
          <w:p w14:paraId="058E55A7" w14:textId="160B1B09" w:rsidR="005146A4" w:rsidRPr="001D41EA" w:rsidRDefault="005146A4" w:rsidP="001D41EA">
            <w:pPr>
              <w:spacing w:before="40" w:after="40"/>
              <w:jc w:val="center"/>
              <w:rPr>
                <w:rFonts w:cs="Arial"/>
                <w:sz w:val="18"/>
                <w:szCs w:val="18"/>
              </w:rPr>
            </w:pPr>
            <w:r w:rsidRPr="001D41EA">
              <w:rPr>
                <w:rFonts w:cs="Arial"/>
                <w:sz w:val="18"/>
                <w:szCs w:val="18"/>
              </w:rPr>
              <w:t>1.433</w:t>
            </w:r>
          </w:p>
        </w:tc>
        <w:tc>
          <w:tcPr>
            <w:tcW w:w="851" w:type="dxa"/>
            <w:tcBorders>
              <w:top w:val="nil"/>
              <w:left w:val="nil"/>
              <w:bottom w:val="nil"/>
              <w:right w:val="nil"/>
            </w:tcBorders>
            <w:shd w:val="clear" w:color="auto" w:fill="auto"/>
            <w:vAlign w:val="bottom"/>
          </w:tcPr>
          <w:p w14:paraId="4078A5EF" w14:textId="4318F406" w:rsidR="005146A4" w:rsidRPr="001D41EA" w:rsidRDefault="005146A4" w:rsidP="001D41EA">
            <w:pPr>
              <w:spacing w:before="40" w:after="40"/>
              <w:jc w:val="center"/>
              <w:rPr>
                <w:rFonts w:cs="Arial"/>
                <w:sz w:val="18"/>
                <w:szCs w:val="18"/>
              </w:rPr>
            </w:pPr>
            <w:r w:rsidRPr="001D41EA">
              <w:rPr>
                <w:rFonts w:cs="Arial"/>
                <w:sz w:val="18"/>
                <w:szCs w:val="18"/>
              </w:rPr>
              <w:t>1.132</w:t>
            </w:r>
          </w:p>
        </w:tc>
        <w:tc>
          <w:tcPr>
            <w:tcW w:w="851" w:type="dxa"/>
            <w:tcBorders>
              <w:top w:val="nil"/>
              <w:left w:val="nil"/>
              <w:bottom w:val="nil"/>
              <w:right w:val="nil"/>
            </w:tcBorders>
            <w:shd w:val="clear" w:color="auto" w:fill="auto"/>
            <w:vAlign w:val="bottom"/>
          </w:tcPr>
          <w:p w14:paraId="6F82997D" w14:textId="2F565629" w:rsidR="005146A4" w:rsidRPr="001D41EA" w:rsidRDefault="005146A4" w:rsidP="001D41EA">
            <w:pPr>
              <w:spacing w:before="40" w:after="40"/>
              <w:jc w:val="center"/>
              <w:rPr>
                <w:rFonts w:cs="Arial"/>
                <w:sz w:val="18"/>
                <w:szCs w:val="18"/>
              </w:rPr>
            </w:pPr>
            <w:r w:rsidRPr="001D41EA">
              <w:rPr>
                <w:rFonts w:cs="Arial"/>
                <w:sz w:val="18"/>
                <w:szCs w:val="18"/>
              </w:rPr>
              <w:t>1.452</w:t>
            </w:r>
          </w:p>
        </w:tc>
        <w:tc>
          <w:tcPr>
            <w:tcW w:w="851" w:type="dxa"/>
            <w:tcBorders>
              <w:top w:val="nil"/>
              <w:left w:val="nil"/>
              <w:bottom w:val="nil"/>
              <w:right w:val="nil"/>
            </w:tcBorders>
            <w:shd w:val="clear" w:color="auto" w:fill="auto"/>
            <w:vAlign w:val="bottom"/>
          </w:tcPr>
          <w:p w14:paraId="00473E2F" w14:textId="1E341D6A" w:rsidR="005146A4" w:rsidRPr="001D41EA" w:rsidRDefault="005146A4" w:rsidP="001D41EA">
            <w:pPr>
              <w:spacing w:before="40" w:after="40"/>
              <w:jc w:val="center"/>
              <w:rPr>
                <w:rFonts w:cs="Arial"/>
                <w:sz w:val="18"/>
                <w:szCs w:val="18"/>
              </w:rPr>
            </w:pPr>
            <w:r w:rsidRPr="001D41EA">
              <w:rPr>
                <w:rFonts w:cs="Arial"/>
                <w:sz w:val="18"/>
                <w:szCs w:val="18"/>
              </w:rPr>
              <w:t>1.295</w:t>
            </w:r>
          </w:p>
        </w:tc>
      </w:tr>
      <w:tr w:rsidR="005146A4" w:rsidRPr="001D41EA" w14:paraId="75EB0C1A"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2D2DFE9" w14:textId="77777777" w:rsidR="005146A4" w:rsidRPr="001D41EA" w:rsidRDefault="005146A4" w:rsidP="001D41EA">
            <w:pPr>
              <w:spacing w:before="40" w:after="40"/>
              <w:rPr>
                <w:rFonts w:cs="Arial"/>
                <w:sz w:val="18"/>
                <w:szCs w:val="18"/>
              </w:rPr>
            </w:pPr>
            <w:r w:rsidRPr="001D41EA">
              <w:rPr>
                <w:rFonts w:cs="Arial"/>
                <w:sz w:val="18"/>
                <w:szCs w:val="18"/>
              </w:rPr>
              <w:t>Frankston C</w:t>
            </w:r>
          </w:p>
        </w:tc>
        <w:tc>
          <w:tcPr>
            <w:tcW w:w="851" w:type="dxa"/>
            <w:tcBorders>
              <w:top w:val="nil"/>
              <w:left w:val="single" w:sz="18" w:space="0" w:color="5F497A" w:themeColor="accent4" w:themeShade="BF"/>
              <w:bottom w:val="nil"/>
              <w:right w:val="nil"/>
            </w:tcBorders>
            <w:shd w:val="clear" w:color="auto" w:fill="auto"/>
            <w:vAlign w:val="bottom"/>
          </w:tcPr>
          <w:p w14:paraId="1EE4DD11" w14:textId="50594007" w:rsidR="005146A4" w:rsidRPr="001D41EA" w:rsidRDefault="005146A4" w:rsidP="001D41EA">
            <w:pPr>
              <w:spacing w:before="40" w:after="40"/>
              <w:jc w:val="center"/>
              <w:rPr>
                <w:rFonts w:cs="Arial"/>
                <w:sz w:val="18"/>
                <w:szCs w:val="18"/>
              </w:rPr>
            </w:pPr>
            <w:r w:rsidRPr="001D41EA">
              <w:rPr>
                <w:rFonts w:cs="Arial"/>
                <w:sz w:val="18"/>
                <w:szCs w:val="18"/>
              </w:rPr>
              <w:t>0.922</w:t>
            </w:r>
          </w:p>
        </w:tc>
        <w:tc>
          <w:tcPr>
            <w:tcW w:w="851" w:type="dxa"/>
            <w:tcBorders>
              <w:top w:val="nil"/>
              <w:left w:val="nil"/>
              <w:bottom w:val="nil"/>
              <w:right w:val="nil"/>
            </w:tcBorders>
            <w:shd w:val="clear" w:color="auto" w:fill="auto"/>
            <w:vAlign w:val="bottom"/>
          </w:tcPr>
          <w:p w14:paraId="4D018C8C" w14:textId="0AFA2231" w:rsidR="005146A4" w:rsidRPr="001D41EA" w:rsidRDefault="005146A4" w:rsidP="001D41EA">
            <w:pPr>
              <w:spacing w:before="40" w:after="40"/>
              <w:jc w:val="center"/>
              <w:rPr>
                <w:rFonts w:cs="Arial"/>
                <w:sz w:val="18"/>
                <w:szCs w:val="18"/>
              </w:rPr>
            </w:pPr>
            <w:r w:rsidRPr="001D41EA">
              <w:rPr>
                <w:rFonts w:cs="Arial"/>
                <w:sz w:val="18"/>
                <w:szCs w:val="18"/>
              </w:rPr>
              <w:t>0.979</w:t>
            </w:r>
          </w:p>
        </w:tc>
        <w:tc>
          <w:tcPr>
            <w:tcW w:w="851" w:type="dxa"/>
            <w:tcBorders>
              <w:top w:val="nil"/>
              <w:left w:val="nil"/>
              <w:bottom w:val="nil"/>
              <w:right w:val="nil"/>
            </w:tcBorders>
            <w:shd w:val="clear" w:color="auto" w:fill="auto"/>
            <w:vAlign w:val="bottom"/>
          </w:tcPr>
          <w:p w14:paraId="4F79B99D" w14:textId="38FE5684" w:rsidR="005146A4" w:rsidRPr="001D41EA" w:rsidRDefault="005146A4" w:rsidP="001D41EA">
            <w:pPr>
              <w:spacing w:before="40" w:after="40"/>
              <w:jc w:val="center"/>
              <w:rPr>
                <w:rFonts w:cs="Arial"/>
                <w:sz w:val="18"/>
                <w:szCs w:val="18"/>
              </w:rPr>
            </w:pPr>
            <w:r w:rsidRPr="001D41EA">
              <w:rPr>
                <w:rFonts w:cs="Arial"/>
                <w:sz w:val="18"/>
                <w:szCs w:val="18"/>
              </w:rPr>
              <w:t>0.950</w:t>
            </w:r>
          </w:p>
        </w:tc>
        <w:tc>
          <w:tcPr>
            <w:tcW w:w="851" w:type="dxa"/>
            <w:tcBorders>
              <w:top w:val="nil"/>
              <w:left w:val="nil"/>
              <w:bottom w:val="nil"/>
              <w:right w:val="nil"/>
            </w:tcBorders>
            <w:shd w:val="clear" w:color="auto" w:fill="auto"/>
            <w:vAlign w:val="bottom"/>
          </w:tcPr>
          <w:p w14:paraId="0BD2A550" w14:textId="1049DFF2" w:rsidR="005146A4" w:rsidRPr="001D41EA" w:rsidRDefault="005146A4" w:rsidP="001D41EA">
            <w:pPr>
              <w:spacing w:before="40" w:after="40"/>
              <w:jc w:val="center"/>
              <w:rPr>
                <w:rFonts w:cs="Arial"/>
                <w:sz w:val="18"/>
                <w:szCs w:val="18"/>
              </w:rPr>
            </w:pPr>
            <w:r w:rsidRPr="001D41EA">
              <w:rPr>
                <w:rFonts w:cs="Arial"/>
                <w:sz w:val="18"/>
                <w:szCs w:val="18"/>
              </w:rPr>
              <w:t>0.910</w:t>
            </w:r>
          </w:p>
        </w:tc>
        <w:tc>
          <w:tcPr>
            <w:tcW w:w="851" w:type="dxa"/>
            <w:tcBorders>
              <w:top w:val="nil"/>
              <w:left w:val="nil"/>
              <w:bottom w:val="nil"/>
              <w:right w:val="nil"/>
            </w:tcBorders>
            <w:shd w:val="clear" w:color="auto" w:fill="auto"/>
            <w:vAlign w:val="bottom"/>
          </w:tcPr>
          <w:p w14:paraId="2B1CA968" w14:textId="7D210028" w:rsidR="005146A4" w:rsidRPr="001D41EA" w:rsidRDefault="005146A4" w:rsidP="001D41EA">
            <w:pPr>
              <w:spacing w:before="40" w:after="40"/>
              <w:jc w:val="center"/>
              <w:rPr>
                <w:rFonts w:cs="Arial"/>
                <w:sz w:val="18"/>
                <w:szCs w:val="18"/>
              </w:rPr>
            </w:pPr>
            <w:r w:rsidRPr="001D41EA">
              <w:rPr>
                <w:rFonts w:cs="Arial"/>
                <w:sz w:val="18"/>
                <w:szCs w:val="18"/>
              </w:rPr>
              <w:t>0.926</w:t>
            </w:r>
          </w:p>
        </w:tc>
        <w:tc>
          <w:tcPr>
            <w:tcW w:w="851" w:type="dxa"/>
            <w:tcBorders>
              <w:top w:val="nil"/>
              <w:left w:val="nil"/>
              <w:bottom w:val="nil"/>
              <w:right w:val="nil"/>
            </w:tcBorders>
            <w:shd w:val="clear" w:color="auto" w:fill="auto"/>
            <w:vAlign w:val="bottom"/>
          </w:tcPr>
          <w:p w14:paraId="059BCF3B" w14:textId="760FF60A" w:rsidR="005146A4" w:rsidRPr="001D41EA" w:rsidRDefault="005146A4" w:rsidP="001D41EA">
            <w:pPr>
              <w:spacing w:before="40" w:after="40"/>
              <w:jc w:val="center"/>
              <w:rPr>
                <w:rFonts w:cs="Arial"/>
                <w:sz w:val="18"/>
                <w:szCs w:val="18"/>
              </w:rPr>
            </w:pPr>
            <w:r w:rsidRPr="001D41EA">
              <w:rPr>
                <w:rFonts w:cs="Arial"/>
                <w:sz w:val="18"/>
                <w:szCs w:val="18"/>
              </w:rPr>
              <w:t>0.920</w:t>
            </w:r>
          </w:p>
        </w:tc>
        <w:tc>
          <w:tcPr>
            <w:tcW w:w="851" w:type="dxa"/>
            <w:tcBorders>
              <w:top w:val="nil"/>
              <w:left w:val="nil"/>
              <w:bottom w:val="nil"/>
              <w:right w:val="nil"/>
            </w:tcBorders>
            <w:shd w:val="clear" w:color="auto" w:fill="auto"/>
            <w:vAlign w:val="bottom"/>
          </w:tcPr>
          <w:p w14:paraId="4569B2BF" w14:textId="5D5ED30B" w:rsidR="005146A4" w:rsidRPr="001D41EA" w:rsidRDefault="005146A4" w:rsidP="001D41EA">
            <w:pPr>
              <w:spacing w:before="40" w:after="40"/>
              <w:jc w:val="center"/>
              <w:rPr>
                <w:rFonts w:cs="Arial"/>
                <w:sz w:val="18"/>
                <w:szCs w:val="18"/>
              </w:rPr>
            </w:pPr>
            <w:r w:rsidRPr="001D41EA">
              <w:rPr>
                <w:rFonts w:cs="Arial"/>
                <w:sz w:val="18"/>
                <w:szCs w:val="18"/>
              </w:rPr>
              <w:t>0.945</w:t>
            </w:r>
          </w:p>
        </w:tc>
        <w:tc>
          <w:tcPr>
            <w:tcW w:w="851" w:type="dxa"/>
            <w:tcBorders>
              <w:top w:val="nil"/>
              <w:left w:val="nil"/>
              <w:bottom w:val="nil"/>
              <w:right w:val="nil"/>
            </w:tcBorders>
            <w:shd w:val="clear" w:color="auto" w:fill="auto"/>
            <w:vAlign w:val="bottom"/>
          </w:tcPr>
          <w:p w14:paraId="02FB1897" w14:textId="19D33F1D" w:rsidR="005146A4" w:rsidRPr="001D41EA" w:rsidRDefault="005146A4" w:rsidP="001D41EA">
            <w:pPr>
              <w:spacing w:before="40" w:after="40"/>
              <w:jc w:val="center"/>
              <w:rPr>
                <w:rFonts w:cs="Arial"/>
                <w:sz w:val="18"/>
                <w:szCs w:val="18"/>
              </w:rPr>
            </w:pPr>
            <w:r w:rsidRPr="001D41EA">
              <w:rPr>
                <w:rFonts w:cs="Arial"/>
                <w:sz w:val="18"/>
                <w:szCs w:val="18"/>
              </w:rPr>
              <w:t>0.950</w:t>
            </w:r>
          </w:p>
        </w:tc>
      </w:tr>
      <w:tr w:rsidR="005146A4" w:rsidRPr="001D41EA" w14:paraId="2E05919E"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553C4AF1" w14:textId="77777777" w:rsidR="005146A4" w:rsidRPr="001D41EA" w:rsidRDefault="005146A4" w:rsidP="001D41EA">
            <w:pPr>
              <w:spacing w:before="40" w:after="40"/>
              <w:rPr>
                <w:rFonts w:cs="Arial"/>
                <w:sz w:val="18"/>
                <w:szCs w:val="18"/>
              </w:rPr>
            </w:pPr>
            <w:r w:rsidRPr="001D41EA">
              <w:rPr>
                <w:rFonts w:cs="Arial"/>
                <w:sz w:val="18"/>
                <w:szCs w:val="18"/>
              </w:rPr>
              <w:t>Gannawarra S</w:t>
            </w:r>
          </w:p>
        </w:tc>
        <w:tc>
          <w:tcPr>
            <w:tcW w:w="851" w:type="dxa"/>
            <w:tcBorders>
              <w:top w:val="nil"/>
              <w:left w:val="single" w:sz="18" w:space="0" w:color="5F497A" w:themeColor="accent4" w:themeShade="BF"/>
              <w:bottom w:val="nil"/>
              <w:right w:val="nil"/>
            </w:tcBorders>
            <w:shd w:val="clear" w:color="auto" w:fill="auto"/>
            <w:vAlign w:val="bottom"/>
          </w:tcPr>
          <w:p w14:paraId="0513D5F2" w14:textId="58290783" w:rsidR="005146A4" w:rsidRPr="001D41EA" w:rsidRDefault="005146A4" w:rsidP="001D41EA">
            <w:pPr>
              <w:spacing w:before="40" w:after="40"/>
              <w:jc w:val="center"/>
              <w:rPr>
                <w:rFonts w:cs="Arial"/>
                <w:sz w:val="18"/>
                <w:szCs w:val="18"/>
              </w:rPr>
            </w:pPr>
            <w:r w:rsidRPr="001D41EA">
              <w:rPr>
                <w:rFonts w:cs="Arial"/>
                <w:sz w:val="18"/>
                <w:szCs w:val="18"/>
              </w:rPr>
              <w:t>1.188</w:t>
            </w:r>
          </w:p>
        </w:tc>
        <w:tc>
          <w:tcPr>
            <w:tcW w:w="851" w:type="dxa"/>
            <w:tcBorders>
              <w:top w:val="nil"/>
              <w:left w:val="nil"/>
              <w:bottom w:val="nil"/>
              <w:right w:val="nil"/>
            </w:tcBorders>
            <w:shd w:val="clear" w:color="auto" w:fill="auto"/>
            <w:vAlign w:val="bottom"/>
          </w:tcPr>
          <w:p w14:paraId="650368F2" w14:textId="39120D79" w:rsidR="005146A4" w:rsidRPr="001D41EA" w:rsidRDefault="005146A4" w:rsidP="001D41EA">
            <w:pPr>
              <w:spacing w:before="40" w:after="40"/>
              <w:jc w:val="center"/>
              <w:rPr>
                <w:rFonts w:cs="Arial"/>
                <w:sz w:val="18"/>
                <w:szCs w:val="18"/>
              </w:rPr>
            </w:pPr>
            <w:r w:rsidRPr="001D41EA">
              <w:rPr>
                <w:rFonts w:cs="Arial"/>
                <w:sz w:val="18"/>
                <w:szCs w:val="18"/>
              </w:rPr>
              <w:t>1.036</w:t>
            </w:r>
          </w:p>
        </w:tc>
        <w:tc>
          <w:tcPr>
            <w:tcW w:w="851" w:type="dxa"/>
            <w:tcBorders>
              <w:top w:val="nil"/>
              <w:left w:val="nil"/>
              <w:bottom w:val="nil"/>
              <w:right w:val="nil"/>
            </w:tcBorders>
            <w:shd w:val="clear" w:color="auto" w:fill="auto"/>
            <w:vAlign w:val="bottom"/>
          </w:tcPr>
          <w:p w14:paraId="4EDE096B" w14:textId="049BAF7B" w:rsidR="005146A4" w:rsidRPr="001D41EA" w:rsidRDefault="005146A4" w:rsidP="001D41EA">
            <w:pPr>
              <w:spacing w:before="40" w:after="40"/>
              <w:jc w:val="center"/>
              <w:rPr>
                <w:rFonts w:cs="Arial"/>
                <w:sz w:val="18"/>
                <w:szCs w:val="18"/>
              </w:rPr>
            </w:pPr>
            <w:r w:rsidRPr="001D41EA">
              <w:rPr>
                <w:rFonts w:cs="Arial"/>
                <w:sz w:val="18"/>
                <w:szCs w:val="18"/>
              </w:rPr>
              <w:t>1.131</w:t>
            </w:r>
          </w:p>
        </w:tc>
        <w:tc>
          <w:tcPr>
            <w:tcW w:w="851" w:type="dxa"/>
            <w:tcBorders>
              <w:top w:val="nil"/>
              <w:left w:val="nil"/>
              <w:bottom w:val="nil"/>
              <w:right w:val="nil"/>
            </w:tcBorders>
            <w:shd w:val="clear" w:color="auto" w:fill="auto"/>
            <w:vAlign w:val="bottom"/>
          </w:tcPr>
          <w:p w14:paraId="371C313A" w14:textId="63A7B0F6" w:rsidR="005146A4" w:rsidRPr="001D41EA" w:rsidRDefault="005146A4" w:rsidP="001D41EA">
            <w:pPr>
              <w:spacing w:before="40" w:after="40"/>
              <w:jc w:val="center"/>
              <w:rPr>
                <w:rFonts w:cs="Arial"/>
                <w:sz w:val="18"/>
                <w:szCs w:val="18"/>
              </w:rPr>
            </w:pPr>
            <w:r w:rsidRPr="001D41EA">
              <w:rPr>
                <w:rFonts w:cs="Arial"/>
                <w:sz w:val="18"/>
                <w:szCs w:val="18"/>
              </w:rPr>
              <w:t>0.971</w:t>
            </w:r>
          </w:p>
        </w:tc>
        <w:tc>
          <w:tcPr>
            <w:tcW w:w="851" w:type="dxa"/>
            <w:tcBorders>
              <w:top w:val="nil"/>
              <w:left w:val="nil"/>
              <w:bottom w:val="nil"/>
              <w:right w:val="nil"/>
            </w:tcBorders>
            <w:shd w:val="clear" w:color="auto" w:fill="auto"/>
            <w:vAlign w:val="bottom"/>
          </w:tcPr>
          <w:p w14:paraId="4F99525D" w14:textId="333CBECF" w:rsidR="005146A4" w:rsidRPr="001D41EA" w:rsidRDefault="005146A4" w:rsidP="001D41EA">
            <w:pPr>
              <w:spacing w:before="40" w:after="40"/>
              <w:jc w:val="center"/>
              <w:rPr>
                <w:rFonts w:cs="Arial"/>
                <w:sz w:val="18"/>
                <w:szCs w:val="18"/>
              </w:rPr>
            </w:pPr>
            <w:r w:rsidRPr="001D41EA">
              <w:rPr>
                <w:rFonts w:cs="Arial"/>
                <w:sz w:val="18"/>
                <w:szCs w:val="18"/>
              </w:rPr>
              <w:t>1.192</w:t>
            </w:r>
          </w:p>
        </w:tc>
        <w:tc>
          <w:tcPr>
            <w:tcW w:w="851" w:type="dxa"/>
            <w:tcBorders>
              <w:top w:val="nil"/>
              <w:left w:val="nil"/>
              <w:bottom w:val="nil"/>
              <w:right w:val="nil"/>
            </w:tcBorders>
            <w:shd w:val="clear" w:color="auto" w:fill="auto"/>
            <w:vAlign w:val="bottom"/>
          </w:tcPr>
          <w:p w14:paraId="47F9A0E3" w14:textId="3C70E530" w:rsidR="005146A4" w:rsidRPr="001D41EA" w:rsidRDefault="005146A4" w:rsidP="001D41EA">
            <w:pPr>
              <w:spacing w:before="40" w:after="40"/>
              <w:jc w:val="center"/>
              <w:rPr>
                <w:rFonts w:cs="Arial"/>
                <w:sz w:val="18"/>
                <w:szCs w:val="18"/>
              </w:rPr>
            </w:pPr>
            <w:r w:rsidRPr="001D41EA">
              <w:rPr>
                <w:rFonts w:cs="Arial"/>
                <w:sz w:val="18"/>
                <w:szCs w:val="18"/>
              </w:rPr>
              <w:t>0.966</w:t>
            </w:r>
          </w:p>
        </w:tc>
        <w:tc>
          <w:tcPr>
            <w:tcW w:w="851" w:type="dxa"/>
            <w:tcBorders>
              <w:top w:val="nil"/>
              <w:left w:val="nil"/>
              <w:bottom w:val="nil"/>
              <w:right w:val="nil"/>
            </w:tcBorders>
            <w:shd w:val="clear" w:color="auto" w:fill="auto"/>
            <w:vAlign w:val="bottom"/>
          </w:tcPr>
          <w:p w14:paraId="4E9DFBE8" w14:textId="5215420C" w:rsidR="005146A4" w:rsidRPr="001D41EA" w:rsidRDefault="005146A4" w:rsidP="001D41EA">
            <w:pPr>
              <w:spacing w:before="40" w:after="40"/>
              <w:jc w:val="center"/>
              <w:rPr>
                <w:rFonts w:cs="Arial"/>
                <w:sz w:val="18"/>
                <w:szCs w:val="18"/>
              </w:rPr>
            </w:pPr>
            <w:r w:rsidRPr="001D41EA">
              <w:rPr>
                <w:rFonts w:cs="Arial"/>
                <w:sz w:val="18"/>
                <w:szCs w:val="18"/>
              </w:rPr>
              <w:t>1.309</w:t>
            </w:r>
          </w:p>
        </w:tc>
        <w:tc>
          <w:tcPr>
            <w:tcW w:w="851" w:type="dxa"/>
            <w:tcBorders>
              <w:top w:val="nil"/>
              <w:left w:val="nil"/>
              <w:bottom w:val="nil"/>
              <w:right w:val="nil"/>
            </w:tcBorders>
            <w:shd w:val="clear" w:color="auto" w:fill="auto"/>
            <w:vAlign w:val="bottom"/>
          </w:tcPr>
          <w:p w14:paraId="1DD5CC26" w14:textId="14939782" w:rsidR="005146A4" w:rsidRPr="001D41EA" w:rsidRDefault="005146A4" w:rsidP="001D41EA">
            <w:pPr>
              <w:spacing w:before="40" w:after="40"/>
              <w:jc w:val="center"/>
              <w:rPr>
                <w:rFonts w:cs="Arial"/>
                <w:sz w:val="18"/>
                <w:szCs w:val="18"/>
              </w:rPr>
            </w:pPr>
            <w:r w:rsidRPr="001D41EA">
              <w:rPr>
                <w:rFonts w:cs="Arial"/>
                <w:sz w:val="18"/>
                <w:szCs w:val="18"/>
              </w:rPr>
              <w:t>1.146</w:t>
            </w:r>
          </w:p>
        </w:tc>
      </w:tr>
      <w:tr w:rsidR="005146A4" w:rsidRPr="001D41EA" w14:paraId="6FA348A3"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6B01CA3" w14:textId="77777777" w:rsidR="005146A4" w:rsidRPr="001D41EA" w:rsidRDefault="005146A4" w:rsidP="001D41EA">
            <w:pPr>
              <w:spacing w:before="40" w:after="40"/>
              <w:rPr>
                <w:rFonts w:cs="Arial"/>
                <w:sz w:val="18"/>
                <w:szCs w:val="18"/>
              </w:rPr>
            </w:pPr>
            <w:r w:rsidRPr="001D41EA">
              <w:rPr>
                <w:rFonts w:cs="Arial"/>
                <w:sz w:val="18"/>
                <w:szCs w:val="18"/>
              </w:rPr>
              <w:t>Glen Eira C</w:t>
            </w:r>
          </w:p>
        </w:tc>
        <w:tc>
          <w:tcPr>
            <w:tcW w:w="851" w:type="dxa"/>
            <w:tcBorders>
              <w:top w:val="nil"/>
              <w:left w:val="single" w:sz="18" w:space="0" w:color="5F497A" w:themeColor="accent4" w:themeShade="BF"/>
              <w:bottom w:val="nil"/>
              <w:right w:val="nil"/>
            </w:tcBorders>
            <w:shd w:val="clear" w:color="auto" w:fill="auto"/>
            <w:vAlign w:val="bottom"/>
          </w:tcPr>
          <w:p w14:paraId="4D476292" w14:textId="7D282533" w:rsidR="005146A4" w:rsidRPr="001D41EA" w:rsidRDefault="005146A4" w:rsidP="001D41EA">
            <w:pPr>
              <w:spacing w:before="40" w:after="40"/>
              <w:jc w:val="center"/>
              <w:rPr>
                <w:rFonts w:cs="Arial"/>
                <w:sz w:val="18"/>
                <w:szCs w:val="18"/>
              </w:rPr>
            </w:pPr>
            <w:r w:rsidRPr="001D41EA">
              <w:rPr>
                <w:rFonts w:cs="Arial"/>
                <w:sz w:val="18"/>
                <w:szCs w:val="18"/>
              </w:rPr>
              <w:t>0.935</w:t>
            </w:r>
          </w:p>
        </w:tc>
        <w:tc>
          <w:tcPr>
            <w:tcW w:w="851" w:type="dxa"/>
            <w:tcBorders>
              <w:top w:val="nil"/>
              <w:left w:val="nil"/>
              <w:bottom w:val="nil"/>
              <w:right w:val="nil"/>
            </w:tcBorders>
            <w:shd w:val="clear" w:color="auto" w:fill="auto"/>
            <w:vAlign w:val="bottom"/>
          </w:tcPr>
          <w:p w14:paraId="469D4E36" w14:textId="0828009B" w:rsidR="005146A4" w:rsidRPr="001D41EA" w:rsidRDefault="005146A4" w:rsidP="001D41EA">
            <w:pPr>
              <w:spacing w:before="40" w:after="40"/>
              <w:jc w:val="center"/>
              <w:rPr>
                <w:rFonts w:cs="Arial"/>
                <w:sz w:val="18"/>
                <w:szCs w:val="18"/>
              </w:rPr>
            </w:pPr>
            <w:r w:rsidRPr="001D41EA">
              <w:rPr>
                <w:rFonts w:cs="Arial"/>
                <w:sz w:val="18"/>
                <w:szCs w:val="18"/>
              </w:rPr>
              <w:t>0.904</w:t>
            </w:r>
          </w:p>
        </w:tc>
        <w:tc>
          <w:tcPr>
            <w:tcW w:w="851" w:type="dxa"/>
            <w:tcBorders>
              <w:top w:val="nil"/>
              <w:left w:val="nil"/>
              <w:bottom w:val="nil"/>
              <w:right w:val="nil"/>
            </w:tcBorders>
            <w:shd w:val="clear" w:color="auto" w:fill="auto"/>
            <w:vAlign w:val="bottom"/>
          </w:tcPr>
          <w:p w14:paraId="1BCE38EC" w14:textId="01ABDD28" w:rsidR="005146A4" w:rsidRPr="001D41EA" w:rsidRDefault="005146A4" w:rsidP="001D41EA">
            <w:pPr>
              <w:spacing w:before="40" w:after="40"/>
              <w:jc w:val="center"/>
              <w:rPr>
                <w:rFonts w:cs="Arial"/>
                <w:sz w:val="18"/>
                <w:szCs w:val="18"/>
              </w:rPr>
            </w:pPr>
            <w:r w:rsidRPr="001D41EA">
              <w:rPr>
                <w:rFonts w:cs="Arial"/>
                <w:sz w:val="18"/>
                <w:szCs w:val="18"/>
              </w:rPr>
              <w:t>0.878</w:t>
            </w:r>
          </w:p>
        </w:tc>
        <w:tc>
          <w:tcPr>
            <w:tcW w:w="851" w:type="dxa"/>
            <w:tcBorders>
              <w:top w:val="nil"/>
              <w:left w:val="nil"/>
              <w:bottom w:val="nil"/>
              <w:right w:val="nil"/>
            </w:tcBorders>
            <w:shd w:val="clear" w:color="auto" w:fill="auto"/>
            <w:vAlign w:val="bottom"/>
          </w:tcPr>
          <w:p w14:paraId="516A7E44" w14:textId="394FE667" w:rsidR="005146A4" w:rsidRPr="001D41EA" w:rsidRDefault="005146A4" w:rsidP="001D41EA">
            <w:pPr>
              <w:spacing w:before="40" w:after="40"/>
              <w:jc w:val="center"/>
              <w:rPr>
                <w:rFonts w:cs="Arial"/>
                <w:sz w:val="18"/>
                <w:szCs w:val="18"/>
              </w:rPr>
            </w:pPr>
            <w:r w:rsidRPr="001D41EA">
              <w:rPr>
                <w:rFonts w:cs="Arial"/>
                <w:sz w:val="18"/>
                <w:szCs w:val="18"/>
              </w:rPr>
              <w:t>0.920</w:t>
            </w:r>
          </w:p>
        </w:tc>
        <w:tc>
          <w:tcPr>
            <w:tcW w:w="851" w:type="dxa"/>
            <w:tcBorders>
              <w:top w:val="nil"/>
              <w:left w:val="nil"/>
              <w:bottom w:val="nil"/>
              <w:right w:val="nil"/>
            </w:tcBorders>
            <w:shd w:val="clear" w:color="auto" w:fill="auto"/>
            <w:vAlign w:val="bottom"/>
          </w:tcPr>
          <w:p w14:paraId="7D7AC9F2" w14:textId="4946D0F7" w:rsidR="005146A4" w:rsidRPr="001D41EA" w:rsidRDefault="005146A4" w:rsidP="001D41EA">
            <w:pPr>
              <w:spacing w:before="40" w:after="40"/>
              <w:jc w:val="center"/>
              <w:rPr>
                <w:rFonts w:cs="Arial"/>
                <w:sz w:val="18"/>
                <w:szCs w:val="18"/>
              </w:rPr>
            </w:pPr>
            <w:r w:rsidRPr="001D41EA">
              <w:rPr>
                <w:rFonts w:cs="Arial"/>
                <w:sz w:val="18"/>
                <w:szCs w:val="18"/>
              </w:rPr>
              <w:t>0.919</w:t>
            </w:r>
          </w:p>
        </w:tc>
        <w:tc>
          <w:tcPr>
            <w:tcW w:w="851" w:type="dxa"/>
            <w:tcBorders>
              <w:top w:val="nil"/>
              <w:left w:val="nil"/>
              <w:bottom w:val="nil"/>
              <w:right w:val="nil"/>
            </w:tcBorders>
            <w:shd w:val="clear" w:color="auto" w:fill="auto"/>
            <w:vAlign w:val="bottom"/>
          </w:tcPr>
          <w:p w14:paraId="6AA2418C" w14:textId="3CCB7284" w:rsidR="005146A4" w:rsidRPr="001D41EA" w:rsidRDefault="005146A4" w:rsidP="001D41EA">
            <w:pPr>
              <w:spacing w:before="40" w:after="40"/>
              <w:jc w:val="center"/>
              <w:rPr>
                <w:rFonts w:cs="Arial"/>
                <w:sz w:val="18"/>
                <w:szCs w:val="18"/>
              </w:rPr>
            </w:pPr>
            <w:r w:rsidRPr="001D41EA">
              <w:rPr>
                <w:rFonts w:cs="Arial"/>
                <w:sz w:val="18"/>
                <w:szCs w:val="18"/>
              </w:rPr>
              <w:t>0.921</w:t>
            </w:r>
          </w:p>
        </w:tc>
        <w:tc>
          <w:tcPr>
            <w:tcW w:w="851" w:type="dxa"/>
            <w:tcBorders>
              <w:top w:val="nil"/>
              <w:left w:val="nil"/>
              <w:bottom w:val="nil"/>
              <w:right w:val="nil"/>
            </w:tcBorders>
            <w:shd w:val="clear" w:color="auto" w:fill="auto"/>
            <w:vAlign w:val="bottom"/>
          </w:tcPr>
          <w:p w14:paraId="6DB982C8" w14:textId="63F5032C" w:rsidR="005146A4" w:rsidRPr="001D41EA" w:rsidRDefault="005146A4" w:rsidP="001D41EA">
            <w:pPr>
              <w:spacing w:before="40" w:after="40"/>
              <w:jc w:val="center"/>
              <w:rPr>
                <w:rFonts w:cs="Arial"/>
                <w:sz w:val="18"/>
                <w:szCs w:val="18"/>
              </w:rPr>
            </w:pPr>
            <w:r w:rsidRPr="001D41EA">
              <w:rPr>
                <w:rFonts w:cs="Arial"/>
                <w:sz w:val="18"/>
                <w:szCs w:val="18"/>
              </w:rPr>
              <w:t>0.901</w:t>
            </w:r>
          </w:p>
        </w:tc>
        <w:tc>
          <w:tcPr>
            <w:tcW w:w="851" w:type="dxa"/>
            <w:tcBorders>
              <w:top w:val="nil"/>
              <w:left w:val="nil"/>
              <w:bottom w:val="nil"/>
              <w:right w:val="nil"/>
            </w:tcBorders>
            <w:shd w:val="clear" w:color="auto" w:fill="auto"/>
            <w:vAlign w:val="bottom"/>
          </w:tcPr>
          <w:p w14:paraId="00DB1438" w14:textId="4987AB4A" w:rsidR="005146A4" w:rsidRPr="001D41EA" w:rsidRDefault="005146A4" w:rsidP="001D41EA">
            <w:pPr>
              <w:spacing w:before="40" w:after="40"/>
              <w:jc w:val="center"/>
              <w:rPr>
                <w:rFonts w:cs="Arial"/>
                <w:sz w:val="18"/>
                <w:szCs w:val="18"/>
              </w:rPr>
            </w:pPr>
            <w:r w:rsidRPr="001D41EA">
              <w:rPr>
                <w:rFonts w:cs="Arial"/>
                <w:sz w:val="18"/>
                <w:szCs w:val="18"/>
              </w:rPr>
              <w:t>0.938</w:t>
            </w:r>
          </w:p>
        </w:tc>
      </w:tr>
      <w:tr w:rsidR="005146A4" w:rsidRPr="001D41EA" w14:paraId="477B55C6"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6267A11" w14:textId="77777777" w:rsidR="005146A4" w:rsidRPr="001D41EA" w:rsidRDefault="005146A4" w:rsidP="001D41EA">
            <w:pPr>
              <w:spacing w:before="40" w:after="40"/>
              <w:rPr>
                <w:rFonts w:cs="Arial"/>
                <w:sz w:val="18"/>
                <w:szCs w:val="18"/>
              </w:rPr>
            </w:pPr>
            <w:r w:rsidRPr="001D41EA">
              <w:rPr>
                <w:rFonts w:cs="Arial"/>
                <w:sz w:val="18"/>
                <w:szCs w:val="18"/>
              </w:rPr>
              <w:t>Glenelg S</w:t>
            </w:r>
          </w:p>
        </w:tc>
        <w:tc>
          <w:tcPr>
            <w:tcW w:w="851" w:type="dxa"/>
            <w:tcBorders>
              <w:top w:val="nil"/>
              <w:left w:val="single" w:sz="18" w:space="0" w:color="5F497A" w:themeColor="accent4" w:themeShade="BF"/>
              <w:bottom w:val="nil"/>
              <w:right w:val="nil"/>
            </w:tcBorders>
            <w:shd w:val="clear" w:color="auto" w:fill="auto"/>
            <w:vAlign w:val="bottom"/>
          </w:tcPr>
          <w:p w14:paraId="6D25D649" w14:textId="74C31CD5" w:rsidR="005146A4" w:rsidRPr="001D41EA" w:rsidRDefault="005146A4" w:rsidP="001D41EA">
            <w:pPr>
              <w:spacing w:before="40" w:after="40"/>
              <w:jc w:val="center"/>
              <w:rPr>
                <w:rFonts w:cs="Arial"/>
                <w:sz w:val="18"/>
                <w:szCs w:val="18"/>
              </w:rPr>
            </w:pPr>
            <w:r w:rsidRPr="001D41EA">
              <w:rPr>
                <w:rFonts w:cs="Arial"/>
                <w:sz w:val="18"/>
                <w:szCs w:val="18"/>
              </w:rPr>
              <w:t>1.205</w:t>
            </w:r>
          </w:p>
        </w:tc>
        <w:tc>
          <w:tcPr>
            <w:tcW w:w="851" w:type="dxa"/>
            <w:tcBorders>
              <w:top w:val="nil"/>
              <w:left w:val="nil"/>
              <w:bottom w:val="nil"/>
              <w:right w:val="nil"/>
            </w:tcBorders>
            <w:shd w:val="clear" w:color="auto" w:fill="auto"/>
            <w:vAlign w:val="bottom"/>
          </w:tcPr>
          <w:p w14:paraId="5F9A8EE0" w14:textId="7C36073E" w:rsidR="005146A4" w:rsidRPr="001D41EA" w:rsidRDefault="005146A4" w:rsidP="001D41EA">
            <w:pPr>
              <w:spacing w:before="40" w:after="40"/>
              <w:jc w:val="center"/>
              <w:rPr>
                <w:rFonts w:cs="Arial"/>
                <w:sz w:val="18"/>
                <w:szCs w:val="18"/>
              </w:rPr>
            </w:pPr>
            <w:r w:rsidRPr="001D41EA">
              <w:rPr>
                <w:rFonts w:cs="Arial"/>
                <w:sz w:val="18"/>
                <w:szCs w:val="18"/>
              </w:rPr>
              <w:t>1.058</w:t>
            </w:r>
          </w:p>
        </w:tc>
        <w:tc>
          <w:tcPr>
            <w:tcW w:w="851" w:type="dxa"/>
            <w:tcBorders>
              <w:top w:val="nil"/>
              <w:left w:val="nil"/>
              <w:bottom w:val="nil"/>
              <w:right w:val="nil"/>
            </w:tcBorders>
            <w:shd w:val="clear" w:color="auto" w:fill="auto"/>
            <w:vAlign w:val="bottom"/>
          </w:tcPr>
          <w:p w14:paraId="476817FE" w14:textId="3FC0DD12" w:rsidR="005146A4" w:rsidRPr="001D41EA" w:rsidRDefault="005146A4" w:rsidP="001D41EA">
            <w:pPr>
              <w:spacing w:before="40" w:after="40"/>
              <w:jc w:val="center"/>
              <w:rPr>
                <w:rFonts w:cs="Arial"/>
                <w:sz w:val="18"/>
                <w:szCs w:val="18"/>
              </w:rPr>
            </w:pPr>
            <w:r w:rsidRPr="001D41EA">
              <w:rPr>
                <w:rFonts w:cs="Arial"/>
                <w:sz w:val="18"/>
                <w:szCs w:val="18"/>
              </w:rPr>
              <w:t>1.126</w:t>
            </w:r>
          </w:p>
        </w:tc>
        <w:tc>
          <w:tcPr>
            <w:tcW w:w="851" w:type="dxa"/>
            <w:tcBorders>
              <w:top w:val="nil"/>
              <w:left w:val="nil"/>
              <w:bottom w:val="nil"/>
              <w:right w:val="nil"/>
            </w:tcBorders>
            <w:shd w:val="clear" w:color="auto" w:fill="auto"/>
            <w:vAlign w:val="bottom"/>
          </w:tcPr>
          <w:p w14:paraId="7F6D4555" w14:textId="64EDC5A4" w:rsidR="005146A4" w:rsidRPr="001D41EA" w:rsidRDefault="005146A4" w:rsidP="001D41EA">
            <w:pPr>
              <w:spacing w:before="40" w:after="40"/>
              <w:jc w:val="center"/>
              <w:rPr>
                <w:rFonts w:cs="Arial"/>
                <w:sz w:val="18"/>
                <w:szCs w:val="18"/>
              </w:rPr>
            </w:pPr>
            <w:r w:rsidRPr="001D41EA">
              <w:rPr>
                <w:rFonts w:cs="Arial"/>
                <w:sz w:val="18"/>
                <w:szCs w:val="18"/>
              </w:rPr>
              <w:t>1.044</w:t>
            </w:r>
          </w:p>
        </w:tc>
        <w:tc>
          <w:tcPr>
            <w:tcW w:w="851" w:type="dxa"/>
            <w:tcBorders>
              <w:top w:val="nil"/>
              <w:left w:val="nil"/>
              <w:bottom w:val="nil"/>
              <w:right w:val="nil"/>
            </w:tcBorders>
            <w:shd w:val="clear" w:color="auto" w:fill="auto"/>
            <w:vAlign w:val="bottom"/>
          </w:tcPr>
          <w:p w14:paraId="1E09DAD2" w14:textId="10C41712" w:rsidR="005146A4" w:rsidRPr="001D41EA" w:rsidRDefault="005146A4" w:rsidP="001D41EA">
            <w:pPr>
              <w:spacing w:before="40" w:after="40"/>
              <w:jc w:val="center"/>
              <w:rPr>
                <w:rFonts w:cs="Arial"/>
                <w:sz w:val="18"/>
                <w:szCs w:val="18"/>
              </w:rPr>
            </w:pPr>
            <w:r w:rsidRPr="001D41EA">
              <w:rPr>
                <w:rFonts w:cs="Arial"/>
                <w:sz w:val="18"/>
                <w:szCs w:val="18"/>
              </w:rPr>
              <w:t>1.226</w:t>
            </w:r>
          </w:p>
        </w:tc>
        <w:tc>
          <w:tcPr>
            <w:tcW w:w="851" w:type="dxa"/>
            <w:tcBorders>
              <w:top w:val="nil"/>
              <w:left w:val="nil"/>
              <w:bottom w:val="nil"/>
              <w:right w:val="nil"/>
            </w:tcBorders>
            <w:shd w:val="clear" w:color="auto" w:fill="auto"/>
            <w:vAlign w:val="bottom"/>
          </w:tcPr>
          <w:p w14:paraId="7B1C7763" w14:textId="4DB5D5FF" w:rsidR="005146A4" w:rsidRPr="001D41EA" w:rsidRDefault="005146A4" w:rsidP="001D41EA">
            <w:pPr>
              <w:spacing w:before="40" w:after="40"/>
              <w:jc w:val="center"/>
              <w:rPr>
                <w:rFonts w:cs="Arial"/>
                <w:sz w:val="18"/>
                <w:szCs w:val="18"/>
              </w:rPr>
            </w:pPr>
            <w:r w:rsidRPr="001D41EA">
              <w:rPr>
                <w:rFonts w:cs="Arial"/>
                <w:sz w:val="18"/>
                <w:szCs w:val="18"/>
              </w:rPr>
              <w:t>1.003</w:t>
            </w:r>
          </w:p>
        </w:tc>
        <w:tc>
          <w:tcPr>
            <w:tcW w:w="851" w:type="dxa"/>
            <w:tcBorders>
              <w:top w:val="nil"/>
              <w:left w:val="nil"/>
              <w:bottom w:val="nil"/>
              <w:right w:val="nil"/>
            </w:tcBorders>
            <w:shd w:val="clear" w:color="auto" w:fill="auto"/>
            <w:vAlign w:val="bottom"/>
          </w:tcPr>
          <w:p w14:paraId="0E1D0DA6" w14:textId="53DF63EA" w:rsidR="005146A4" w:rsidRPr="001D41EA" w:rsidRDefault="005146A4" w:rsidP="001D41EA">
            <w:pPr>
              <w:spacing w:before="40" w:after="40"/>
              <w:jc w:val="center"/>
              <w:rPr>
                <w:rFonts w:cs="Arial"/>
                <w:sz w:val="18"/>
                <w:szCs w:val="18"/>
              </w:rPr>
            </w:pPr>
            <w:r w:rsidRPr="001D41EA">
              <w:rPr>
                <w:rFonts w:cs="Arial"/>
                <w:sz w:val="18"/>
                <w:szCs w:val="18"/>
              </w:rPr>
              <w:t>1.310</w:t>
            </w:r>
          </w:p>
        </w:tc>
        <w:tc>
          <w:tcPr>
            <w:tcW w:w="851" w:type="dxa"/>
            <w:tcBorders>
              <w:top w:val="nil"/>
              <w:left w:val="nil"/>
              <w:bottom w:val="nil"/>
              <w:right w:val="nil"/>
            </w:tcBorders>
            <w:shd w:val="clear" w:color="auto" w:fill="auto"/>
            <w:vAlign w:val="bottom"/>
          </w:tcPr>
          <w:p w14:paraId="0BA15660" w14:textId="3C08DE67" w:rsidR="005146A4" w:rsidRPr="001D41EA" w:rsidRDefault="005146A4" w:rsidP="001D41EA">
            <w:pPr>
              <w:spacing w:before="40" w:after="40"/>
              <w:jc w:val="center"/>
              <w:rPr>
                <w:rFonts w:cs="Arial"/>
                <w:sz w:val="18"/>
                <w:szCs w:val="18"/>
              </w:rPr>
            </w:pPr>
            <w:r w:rsidRPr="001D41EA">
              <w:rPr>
                <w:rFonts w:cs="Arial"/>
                <w:sz w:val="18"/>
                <w:szCs w:val="18"/>
              </w:rPr>
              <w:t>1.180</w:t>
            </w:r>
          </w:p>
        </w:tc>
      </w:tr>
      <w:tr w:rsidR="005146A4" w:rsidRPr="001D41EA" w14:paraId="138FACB0"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1966FE9" w14:textId="77777777" w:rsidR="005146A4" w:rsidRPr="001D41EA" w:rsidRDefault="005146A4" w:rsidP="001D41EA">
            <w:pPr>
              <w:spacing w:before="40" w:after="40"/>
              <w:rPr>
                <w:rFonts w:cs="Arial"/>
                <w:sz w:val="18"/>
                <w:szCs w:val="18"/>
              </w:rPr>
            </w:pPr>
            <w:r w:rsidRPr="001D41EA">
              <w:rPr>
                <w:rFonts w:cs="Arial"/>
                <w:sz w:val="18"/>
                <w:szCs w:val="18"/>
              </w:rPr>
              <w:t>Golden Plains S</w:t>
            </w:r>
          </w:p>
        </w:tc>
        <w:tc>
          <w:tcPr>
            <w:tcW w:w="851" w:type="dxa"/>
            <w:tcBorders>
              <w:top w:val="nil"/>
              <w:left w:val="single" w:sz="18" w:space="0" w:color="5F497A" w:themeColor="accent4" w:themeShade="BF"/>
              <w:bottom w:val="nil"/>
              <w:right w:val="nil"/>
            </w:tcBorders>
            <w:shd w:val="clear" w:color="auto" w:fill="auto"/>
            <w:vAlign w:val="bottom"/>
          </w:tcPr>
          <w:p w14:paraId="63501575" w14:textId="3B48D974" w:rsidR="005146A4" w:rsidRPr="001D41EA" w:rsidRDefault="005146A4" w:rsidP="001D41EA">
            <w:pPr>
              <w:spacing w:before="40" w:after="40"/>
              <w:jc w:val="center"/>
              <w:rPr>
                <w:rFonts w:cs="Arial"/>
                <w:sz w:val="18"/>
                <w:szCs w:val="18"/>
              </w:rPr>
            </w:pPr>
            <w:r w:rsidRPr="001D41EA">
              <w:rPr>
                <w:rFonts w:cs="Arial"/>
                <w:sz w:val="18"/>
                <w:szCs w:val="18"/>
              </w:rPr>
              <w:t>1.089</w:t>
            </w:r>
          </w:p>
        </w:tc>
        <w:tc>
          <w:tcPr>
            <w:tcW w:w="851" w:type="dxa"/>
            <w:tcBorders>
              <w:top w:val="nil"/>
              <w:left w:val="nil"/>
              <w:bottom w:val="nil"/>
              <w:right w:val="nil"/>
            </w:tcBorders>
            <w:shd w:val="clear" w:color="auto" w:fill="auto"/>
            <w:vAlign w:val="bottom"/>
          </w:tcPr>
          <w:p w14:paraId="12542537" w14:textId="74CB0E48" w:rsidR="005146A4" w:rsidRPr="001D41EA" w:rsidRDefault="005146A4" w:rsidP="001D41EA">
            <w:pPr>
              <w:spacing w:before="40" w:after="40"/>
              <w:jc w:val="center"/>
              <w:rPr>
                <w:rFonts w:cs="Arial"/>
                <w:sz w:val="18"/>
                <w:szCs w:val="18"/>
              </w:rPr>
            </w:pPr>
            <w:r w:rsidRPr="001D41EA">
              <w:rPr>
                <w:rFonts w:cs="Arial"/>
                <w:sz w:val="18"/>
                <w:szCs w:val="18"/>
              </w:rPr>
              <w:t>1.042</w:t>
            </w:r>
          </w:p>
        </w:tc>
        <w:tc>
          <w:tcPr>
            <w:tcW w:w="851" w:type="dxa"/>
            <w:tcBorders>
              <w:top w:val="nil"/>
              <w:left w:val="nil"/>
              <w:bottom w:val="nil"/>
              <w:right w:val="nil"/>
            </w:tcBorders>
            <w:shd w:val="clear" w:color="auto" w:fill="auto"/>
            <w:vAlign w:val="bottom"/>
          </w:tcPr>
          <w:p w14:paraId="41245E30" w14:textId="2CEFC383" w:rsidR="005146A4" w:rsidRPr="001D41EA" w:rsidRDefault="005146A4" w:rsidP="001D41EA">
            <w:pPr>
              <w:spacing w:before="40" w:after="40"/>
              <w:jc w:val="center"/>
              <w:rPr>
                <w:rFonts w:cs="Arial"/>
                <w:sz w:val="18"/>
                <w:szCs w:val="18"/>
              </w:rPr>
            </w:pPr>
            <w:r w:rsidRPr="001D41EA">
              <w:rPr>
                <w:rFonts w:cs="Arial"/>
                <w:sz w:val="18"/>
                <w:szCs w:val="18"/>
              </w:rPr>
              <w:t>0.999</w:t>
            </w:r>
          </w:p>
        </w:tc>
        <w:tc>
          <w:tcPr>
            <w:tcW w:w="851" w:type="dxa"/>
            <w:tcBorders>
              <w:top w:val="nil"/>
              <w:left w:val="nil"/>
              <w:bottom w:val="nil"/>
              <w:right w:val="nil"/>
            </w:tcBorders>
            <w:shd w:val="clear" w:color="auto" w:fill="auto"/>
            <w:vAlign w:val="bottom"/>
          </w:tcPr>
          <w:p w14:paraId="2B3E1B8D" w14:textId="052C4D0A" w:rsidR="005146A4" w:rsidRPr="001D41EA" w:rsidRDefault="005146A4" w:rsidP="001D41EA">
            <w:pPr>
              <w:spacing w:before="40" w:after="40"/>
              <w:jc w:val="center"/>
              <w:rPr>
                <w:rFonts w:cs="Arial"/>
                <w:sz w:val="18"/>
                <w:szCs w:val="18"/>
              </w:rPr>
            </w:pPr>
            <w:r w:rsidRPr="001D41EA">
              <w:rPr>
                <w:rFonts w:cs="Arial"/>
                <w:sz w:val="18"/>
                <w:szCs w:val="18"/>
              </w:rPr>
              <w:t>0.890</w:t>
            </w:r>
          </w:p>
        </w:tc>
        <w:tc>
          <w:tcPr>
            <w:tcW w:w="851" w:type="dxa"/>
            <w:tcBorders>
              <w:top w:val="nil"/>
              <w:left w:val="nil"/>
              <w:bottom w:val="nil"/>
              <w:right w:val="nil"/>
            </w:tcBorders>
            <w:shd w:val="clear" w:color="auto" w:fill="auto"/>
            <w:vAlign w:val="bottom"/>
          </w:tcPr>
          <w:p w14:paraId="08B3A7F9" w14:textId="0F9420F3" w:rsidR="005146A4" w:rsidRPr="001D41EA" w:rsidRDefault="005146A4" w:rsidP="001D41EA">
            <w:pPr>
              <w:spacing w:before="40" w:after="40"/>
              <w:jc w:val="center"/>
              <w:rPr>
                <w:rFonts w:cs="Arial"/>
                <w:sz w:val="18"/>
                <w:szCs w:val="18"/>
              </w:rPr>
            </w:pPr>
            <w:r w:rsidRPr="001D41EA">
              <w:rPr>
                <w:rFonts w:cs="Arial"/>
                <w:sz w:val="18"/>
                <w:szCs w:val="18"/>
              </w:rPr>
              <w:t>1.157</w:t>
            </w:r>
          </w:p>
        </w:tc>
        <w:tc>
          <w:tcPr>
            <w:tcW w:w="851" w:type="dxa"/>
            <w:tcBorders>
              <w:top w:val="nil"/>
              <w:left w:val="nil"/>
              <w:bottom w:val="nil"/>
              <w:right w:val="nil"/>
            </w:tcBorders>
            <w:shd w:val="clear" w:color="auto" w:fill="auto"/>
            <w:vAlign w:val="bottom"/>
          </w:tcPr>
          <w:p w14:paraId="6F3FB453" w14:textId="40C0B31D" w:rsidR="005146A4" w:rsidRPr="001D41EA" w:rsidRDefault="005146A4" w:rsidP="001D41EA">
            <w:pPr>
              <w:spacing w:before="40" w:after="40"/>
              <w:jc w:val="center"/>
              <w:rPr>
                <w:rFonts w:cs="Arial"/>
                <w:sz w:val="18"/>
                <w:szCs w:val="18"/>
              </w:rPr>
            </w:pPr>
            <w:r w:rsidRPr="001D41EA">
              <w:rPr>
                <w:rFonts w:cs="Arial"/>
                <w:sz w:val="18"/>
                <w:szCs w:val="18"/>
              </w:rPr>
              <w:t>0.944</w:t>
            </w:r>
          </w:p>
        </w:tc>
        <w:tc>
          <w:tcPr>
            <w:tcW w:w="851" w:type="dxa"/>
            <w:tcBorders>
              <w:top w:val="nil"/>
              <w:left w:val="nil"/>
              <w:bottom w:val="nil"/>
              <w:right w:val="nil"/>
            </w:tcBorders>
            <w:shd w:val="clear" w:color="auto" w:fill="auto"/>
            <w:vAlign w:val="bottom"/>
          </w:tcPr>
          <w:p w14:paraId="79F5CF2E" w14:textId="3BA43926" w:rsidR="005146A4" w:rsidRPr="001D41EA" w:rsidRDefault="005146A4" w:rsidP="001D41EA">
            <w:pPr>
              <w:spacing w:before="40" w:after="40"/>
              <w:jc w:val="center"/>
              <w:rPr>
                <w:rFonts w:cs="Arial"/>
                <w:sz w:val="18"/>
                <w:szCs w:val="18"/>
              </w:rPr>
            </w:pPr>
            <w:r w:rsidRPr="001D41EA">
              <w:rPr>
                <w:rFonts w:cs="Arial"/>
                <w:sz w:val="18"/>
                <w:szCs w:val="18"/>
              </w:rPr>
              <w:t>1.256</w:t>
            </w:r>
          </w:p>
        </w:tc>
        <w:tc>
          <w:tcPr>
            <w:tcW w:w="851" w:type="dxa"/>
            <w:tcBorders>
              <w:top w:val="nil"/>
              <w:left w:val="nil"/>
              <w:bottom w:val="nil"/>
              <w:right w:val="nil"/>
            </w:tcBorders>
            <w:shd w:val="clear" w:color="auto" w:fill="auto"/>
            <w:vAlign w:val="bottom"/>
          </w:tcPr>
          <w:p w14:paraId="661A21CD" w14:textId="263149F0" w:rsidR="005146A4" w:rsidRPr="001D41EA" w:rsidRDefault="005146A4" w:rsidP="001D41EA">
            <w:pPr>
              <w:spacing w:before="40" w:after="40"/>
              <w:jc w:val="center"/>
              <w:rPr>
                <w:rFonts w:cs="Arial"/>
                <w:sz w:val="18"/>
                <w:szCs w:val="18"/>
              </w:rPr>
            </w:pPr>
            <w:r w:rsidRPr="001D41EA">
              <w:rPr>
                <w:rFonts w:cs="Arial"/>
                <w:sz w:val="18"/>
                <w:szCs w:val="18"/>
              </w:rPr>
              <w:t>1.014</w:t>
            </w:r>
          </w:p>
        </w:tc>
      </w:tr>
      <w:tr w:rsidR="005146A4" w:rsidRPr="001D41EA" w14:paraId="78FA9D42"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09E08F0B" w14:textId="77777777" w:rsidR="005146A4" w:rsidRPr="001D41EA" w:rsidRDefault="005146A4" w:rsidP="001D41EA">
            <w:pPr>
              <w:spacing w:before="40" w:after="40"/>
              <w:rPr>
                <w:rFonts w:cs="Arial"/>
                <w:sz w:val="18"/>
                <w:szCs w:val="18"/>
              </w:rPr>
            </w:pPr>
            <w:r w:rsidRPr="001D41EA">
              <w:rPr>
                <w:rFonts w:cs="Arial"/>
                <w:sz w:val="18"/>
                <w:szCs w:val="18"/>
              </w:rPr>
              <w:t>Greater Bendigo C</w:t>
            </w:r>
          </w:p>
        </w:tc>
        <w:tc>
          <w:tcPr>
            <w:tcW w:w="851" w:type="dxa"/>
            <w:tcBorders>
              <w:top w:val="nil"/>
              <w:left w:val="single" w:sz="18" w:space="0" w:color="5F497A" w:themeColor="accent4" w:themeShade="BF"/>
              <w:bottom w:val="nil"/>
              <w:right w:val="nil"/>
            </w:tcBorders>
            <w:shd w:val="clear" w:color="auto" w:fill="auto"/>
            <w:vAlign w:val="bottom"/>
          </w:tcPr>
          <w:p w14:paraId="06DC47D5" w14:textId="4BEE3B94" w:rsidR="005146A4" w:rsidRPr="001D41EA" w:rsidRDefault="005146A4" w:rsidP="001D41EA">
            <w:pPr>
              <w:spacing w:before="40" w:after="40"/>
              <w:jc w:val="center"/>
              <w:rPr>
                <w:rFonts w:cs="Arial"/>
                <w:sz w:val="18"/>
                <w:szCs w:val="18"/>
              </w:rPr>
            </w:pPr>
            <w:r w:rsidRPr="001D41EA">
              <w:rPr>
                <w:rFonts w:cs="Arial"/>
                <w:sz w:val="18"/>
                <w:szCs w:val="18"/>
              </w:rPr>
              <w:t>0.994</w:t>
            </w:r>
          </w:p>
        </w:tc>
        <w:tc>
          <w:tcPr>
            <w:tcW w:w="851" w:type="dxa"/>
            <w:tcBorders>
              <w:top w:val="nil"/>
              <w:left w:val="nil"/>
              <w:bottom w:val="nil"/>
              <w:right w:val="nil"/>
            </w:tcBorders>
            <w:shd w:val="clear" w:color="auto" w:fill="auto"/>
            <w:vAlign w:val="bottom"/>
          </w:tcPr>
          <w:p w14:paraId="4BBC57A6" w14:textId="0D7069DF" w:rsidR="005146A4" w:rsidRPr="001D41EA" w:rsidRDefault="005146A4" w:rsidP="001D41EA">
            <w:pPr>
              <w:spacing w:before="40" w:after="40"/>
              <w:jc w:val="center"/>
              <w:rPr>
                <w:rFonts w:cs="Arial"/>
                <w:sz w:val="18"/>
                <w:szCs w:val="18"/>
              </w:rPr>
            </w:pPr>
            <w:r w:rsidRPr="001D41EA">
              <w:rPr>
                <w:rFonts w:cs="Arial"/>
                <w:sz w:val="18"/>
                <w:szCs w:val="18"/>
              </w:rPr>
              <w:t>1.020</w:t>
            </w:r>
          </w:p>
        </w:tc>
        <w:tc>
          <w:tcPr>
            <w:tcW w:w="851" w:type="dxa"/>
            <w:tcBorders>
              <w:top w:val="nil"/>
              <w:left w:val="nil"/>
              <w:bottom w:val="nil"/>
              <w:right w:val="nil"/>
            </w:tcBorders>
            <w:shd w:val="clear" w:color="auto" w:fill="auto"/>
            <w:vAlign w:val="bottom"/>
          </w:tcPr>
          <w:p w14:paraId="137B47A9" w14:textId="2C9A3FF8" w:rsidR="005146A4" w:rsidRPr="001D41EA" w:rsidRDefault="005146A4" w:rsidP="001D41EA">
            <w:pPr>
              <w:spacing w:before="40" w:after="40"/>
              <w:jc w:val="center"/>
              <w:rPr>
                <w:rFonts w:cs="Arial"/>
                <w:sz w:val="18"/>
                <w:szCs w:val="18"/>
              </w:rPr>
            </w:pPr>
            <w:r w:rsidRPr="001D41EA">
              <w:rPr>
                <w:rFonts w:cs="Arial"/>
                <w:sz w:val="18"/>
                <w:szCs w:val="18"/>
              </w:rPr>
              <w:t>0.993</w:t>
            </w:r>
          </w:p>
        </w:tc>
        <w:tc>
          <w:tcPr>
            <w:tcW w:w="851" w:type="dxa"/>
            <w:tcBorders>
              <w:top w:val="nil"/>
              <w:left w:val="nil"/>
              <w:bottom w:val="nil"/>
              <w:right w:val="nil"/>
            </w:tcBorders>
            <w:shd w:val="clear" w:color="auto" w:fill="auto"/>
            <w:vAlign w:val="bottom"/>
          </w:tcPr>
          <w:p w14:paraId="7B78D563" w14:textId="3494CA29" w:rsidR="005146A4" w:rsidRPr="001D41EA" w:rsidRDefault="005146A4" w:rsidP="001D41EA">
            <w:pPr>
              <w:spacing w:before="40" w:after="40"/>
              <w:jc w:val="center"/>
              <w:rPr>
                <w:rFonts w:cs="Arial"/>
                <w:sz w:val="18"/>
                <w:szCs w:val="18"/>
              </w:rPr>
            </w:pPr>
            <w:r w:rsidRPr="001D41EA">
              <w:rPr>
                <w:rFonts w:cs="Arial"/>
                <w:sz w:val="18"/>
                <w:szCs w:val="18"/>
              </w:rPr>
              <w:t>1.123</w:t>
            </w:r>
          </w:p>
        </w:tc>
        <w:tc>
          <w:tcPr>
            <w:tcW w:w="851" w:type="dxa"/>
            <w:tcBorders>
              <w:top w:val="nil"/>
              <w:left w:val="nil"/>
              <w:bottom w:val="nil"/>
              <w:right w:val="nil"/>
            </w:tcBorders>
            <w:shd w:val="clear" w:color="auto" w:fill="auto"/>
            <w:vAlign w:val="bottom"/>
          </w:tcPr>
          <w:p w14:paraId="659F439A" w14:textId="4B1C6228" w:rsidR="005146A4" w:rsidRPr="001D41EA" w:rsidRDefault="005146A4" w:rsidP="001D41EA">
            <w:pPr>
              <w:spacing w:before="40" w:after="40"/>
              <w:jc w:val="center"/>
              <w:rPr>
                <w:rFonts w:cs="Arial"/>
                <w:sz w:val="18"/>
                <w:szCs w:val="18"/>
              </w:rPr>
            </w:pPr>
            <w:r w:rsidRPr="001D41EA">
              <w:rPr>
                <w:rFonts w:cs="Arial"/>
                <w:sz w:val="18"/>
                <w:szCs w:val="18"/>
              </w:rPr>
              <w:t>1.035</w:t>
            </w:r>
          </w:p>
        </w:tc>
        <w:tc>
          <w:tcPr>
            <w:tcW w:w="851" w:type="dxa"/>
            <w:tcBorders>
              <w:top w:val="nil"/>
              <w:left w:val="nil"/>
              <w:bottom w:val="nil"/>
              <w:right w:val="nil"/>
            </w:tcBorders>
            <w:shd w:val="clear" w:color="auto" w:fill="auto"/>
            <w:vAlign w:val="bottom"/>
          </w:tcPr>
          <w:p w14:paraId="29F168E7" w14:textId="1AEE7B84" w:rsidR="005146A4" w:rsidRPr="001D41EA" w:rsidRDefault="005146A4" w:rsidP="001D41EA">
            <w:pPr>
              <w:spacing w:before="40" w:after="40"/>
              <w:jc w:val="center"/>
              <w:rPr>
                <w:rFonts w:cs="Arial"/>
                <w:sz w:val="18"/>
                <w:szCs w:val="18"/>
              </w:rPr>
            </w:pPr>
            <w:r w:rsidRPr="001D41EA">
              <w:rPr>
                <w:rFonts w:cs="Arial"/>
                <w:sz w:val="18"/>
                <w:szCs w:val="18"/>
              </w:rPr>
              <w:t>1.113</w:t>
            </w:r>
          </w:p>
        </w:tc>
        <w:tc>
          <w:tcPr>
            <w:tcW w:w="851" w:type="dxa"/>
            <w:tcBorders>
              <w:top w:val="nil"/>
              <w:left w:val="nil"/>
              <w:bottom w:val="nil"/>
              <w:right w:val="nil"/>
            </w:tcBorders>
            <w:shd w:val="clear" w:color="auto" w:fill="auto"/>
            <w:vAlign w:val="bottom"/>
          </w:tcPr>
          <w:p w14:paraId="2D52265C" w14:textId="4A052868" w:rsidR="005146A4" w:rsidRPr="001D41EA" w:rsidRDefault="005146A4" w:rsidP="001D41EA">
            <w:pPr>
              <w:spacing w:before="40" w:after="40"/>
              <w:jc w:val="center"/>
              <w:rPr>
                <w:rFonts w:cs="Arial"/>
                <w:sz w:val="18"/>
                <w:szCs w:val="18"/>
              </w:rPr>
            </w:pPr>
            <w:r w:rsidRPr="001D41EA">
              <w:rPr>
                <w:rFonts w:cs="Arial"/>
                <w:sz w:val="18"/>
                <w:szCs w:val="18"/>
              </w:rPr>
              <w:t>1.053</w:t>
            </w:r>
          </w:p>
        </w:tc>
        <w:tc>
          <w:tcPr>
            <w:tcW w:w="851" w:type="dxa"/>
            <w:tcBorders>
              <w:top w:val="nil"/>
              <w:left w:val="nil"/>
              <w:bottom w:val="nil"/>
              <w:right w:val="nil"/>
            </w:tcBorders>
            <w:shd w:val="clear" w:color="auto" w:fill="auto"/>
            <w:vAlign w:val="bottom"/>
          </w:tcPr>
          <w:p w14:paraId="439652FD" w14:textId="42EBF320" w:rsidR="005146A4" w:rsidRPr="001D41EA" w:rsidRDefault="005146A4" w:rsidP="001D41EA">
            <w:pPr>
              <w:spacing w:before="40" w:after="40"/>
              <w:jc w:val="center"/>
              <w:rPr>
                <w:rFonts w:cs="Arial"/>
                <w:sz w:val="18"/>
                <w:szCs w:val="18"/>
              </w:rPr>
            </w:pPr>
            <w:r w:rsidRPr="001D41EA">
              <w:rPr>
                <w:rFonts w:cs="Arial"/>
                <w:sz w:val="18"/>
                <w:szCs w:val="18"/>
              </w:rPr>
              <w:t>1.135</w:t>
            </w:r>
          </w:p>
        </w:tc>
      </w:tr>
      <w:tr w:rsidR="005146A4" w:rsidRPr="001D41EA" w14:paraId="4D3CCF90"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416FD5A7" w14:textId="77777777" w:rsidR="005146A4" w:rsidRPr="001D41EA" w:rsidRDefault="005146A4" w:rsidP="001D41EA">
            <w:pPr>
              <w:spacing w:before="40" w:after="40"/>
              <w:rPr>
                <w:rFonts w:cs="Arial"/>
                <w:sz w:val="18"/>
                <w:szCs w:val="18"/>
              </w:rPr>
            </w:pPr>
            <w:r w:rsidRPr="001D41EA">
              <w:rPr>
                <w:rFonts w:cs="Arial"/>
                <w:sz w:val="18"/>
                <w:szCs w:val="18"/>
              </w:rPr>
              <w:t>Greater Dandenong C</w:t>
            </w:r>
          </w:p>
        </w:tc>
        <w:tc>
          <w:tcPr>
            <w:tcW w:w="851" w:type="dxa"/>
            <w:tcBorders>
              <w:top w:val="nil"/>
              <w:left w:val="single" w:sz="18" w:space="0" w:color="5F497A" w:themeColor="accent4" w:themeShade="BF"/>
              <w:bottom w:val="nil"/>
              <w:right w:val="nil"/>
            </w:tcBorders>
            <w:shd w:val="clear" w:color="auto" w:fill="auto"/>
            <w:vAlign w:val="bottom"/>
          </w:tcPr>
          <w:p w14:paraId="7A643810" w14:textId="70DAE831" w:rsidR="005146A4" w:rsidRPr="001D41EA" w:rsidRDefault="005146A4" w:rsidP="001D41EA">
            <w:pPr>
              <w:spacing w:before="40" w:after="40"/>
              <w:jc w:val="center"/>
              <w:rPr>
                <w:rFonts w:cs="Arial"/>
                <w:sz w:val="18"/>
                <w:szCs w:val="18"/>
              </w:rPr>
            </w:pPr>
            <w:r w:rsidRPr="001D41EA">
              <w:rPr>
                <w:rFonts w:cs="Arial"/>
                <w:sz w:val="18"/>
                <w:szCs w:val="18"/>
              </w:rPr>
              <w:t>1.081</w:t>
            </w:r>
          </w:p>
        </w:tc>
        <w:tc>
          <w:tcPr>
            <w:tcW w:w="851" w:type="dxa"/>
            <w:tcBorders>
              <w:top w:val="nil"/>
              <w:left w:val="nil"/>
              <w:bottom w:val="nil"/>
              <w:right w:val="nil"/>
            </w:tcBorders>
            <w:shd w:val="clear" w:color="auto" w:fill="auto"/>
            <w:vAlign w:val="bottom"/>
          </w:tcPr>
          <w:p w14:paraId="71C7BA31" w14:textId="190A8A47" w:rsidR="005146A4" w:rsidRPr="001D41EA" w:rsidRDefault="005146A4" w:rsidP="001D41EA">
            <w:pPr>
              <w:spacing w:before="40" w:after="40"/>
              <w:jc w:val="center"/>
              <w:rPr>
                <w:rFonts w:cs="Arial"/>
                <w:sz w:val="18"/>
                <w:szCs w:val="18"/>
              </w:rPr>
            </w:pPr>
            <w:r w:rsidRPr="001D41EA">
              <w:rPr>
                <w:rFonts w:cs="Arial"/>
                <w:sz w:val="18"/>
                <w:szCs w:val="18"/>
              </w:rPr>
              <w:t>1.121</w:t>
            </w:r>
          </w:p>
        </w:tc>
        <w:tc>
          <w:tcPr>
            <w:tcW w:w="851" w:type="dxa"/>
            <w:tcBorders>
              <w:top w:val="nil"/>
              <w:left w:val="nil"/>
              <w:bottom w:val="nil"/>
              <w:right w:val="nil"/>
            </w:tcBorders>
            <w:shd w:val="clear" w:color="auto" w:fill="auto"/>
            <w:vAlign w:val="bottom"/>
          </w:tcPr>
          <w:p w14:paraId="163ED7B9" w14:textId="44677D9D" w:rsidR="005146A4" w:rsidRPr="001D41EA" w:rsidRDefault="005146A4" w:rsidP="001D41EA">
            <w:pPr>
              <w:spacing w:before="40" w:after="40"/>
              <w:jc w:val="center"/>
              <w:rPr>
                <w:rFonts w:cs="Arial"/>
                <w:sz w:val="18"/>
                <w:szCs w:val="18"/>
              </w:rPr>
            </w:pPr>
            <w:r w:rsidRPr="001D41EA">
              <w:rPr>
                <w:rFonts w:cs="Arial"/>
                <w:sz w:val="18"/>
                <w:szCs w:val="18"/>
              </w:rPr>
              <w:t>1.210</w:t>
            </w:r>
          </w:p>
        </w:tc>
        <w:tc>
          <w:tcPr>
            <w:tcW w:w="851" w:type="dxa"/>
            <w:tcBorders>
              <w:top w:val="nil"/>
              <w:left w:val="nil"/>
              <w:bottom w:val="nil"/>
              <w:right w:val="nil"/>
            </w:tcBorders>
            <w:shd w:val="clear" w:color="auto" w:fill="auto"/>
            <w:vAlign w:val="bottom"/>
          </w:tcPr>
          <w:p w14:paraId="03E699AB" w14:textId="514AD63D" w:rsidR="005146A4" w:rsidRPr="001D41EA" w:rsidRDefault="005146A4" w:rsidP="001D41EA">
            <w:pPr>
              <w:spacing w:before="40" w:after="40"/>
              <w:jc w:val="center"/>
              <w:rPr>
                <w:rFonts w:cs="Arial"/>
                <w:sz w:val="18"/>
                <w:szCs w:val="18"/>
              </w:rPr>
            </w:pPr>
            <w:r w:rsidRPr="001D41EA">
              <w:rPr>
                <w:rFonts w:cs="Arial"/>
                <w:sz w:val="18"/>
                <w:szCs w:val="18"/>
              </w:rPr>
              <w:t>1.041</w:t>
            </w:r>
          </w:p>
        </w:tc>
        <w:tc>
          <w:tcPr>
            <w:tcW w:w="851" w:type="dxa"/>
            <w:tcBorders>
              <w:top w:val="nil"/>
              <w:left w:val="nil"/>
              <w:bottom w:val="nil"/>
              <w:right w:val="nil"/>
            </w:tcBorders>
            <w:shd w:val="clear" w:color="auto" w:fill="auto"/>
            <w:vAlign w:val="bottom"/>
          </w:tcPr>
          <w:p w14:paraId="40A1F735" w14:textId="3F09B2B5" w:rsidR="005146A4" w:rsidRPr="001D41EA" w:rsidRDefault="005146A4" w:rsidP="001D41EA">
            <w:pPr>
              <w:spacing w:before="40" w:after="40"/>
              <w:jc w:val="center"/>
              <w:rPr>
                <w:rFonts w:cs="Arial"/>
                <w:sz w:val="18"/>
                <w:szCs w:val="18"/>
              </w:rPr>
            </w:pPr>
            <w:r w:rsidRPr="001D41EA">
              <w:rPr>
                <w:rFonts w:cs="Arial"/>
                <w:sz w:val="18"/>
                <w:szCs w:val="18"/>
              </w:rPr>
              <w:t>0.927</w:t>
            </w:r>
          </w:p>
        </w:tc>
        <w:tc>
          <w:tcPr>
            <w:tcW w:w="851" w:type="dxa"/>
            <w:tcBorders>
              <w:top w:val="nil"/>
              <w:left w:val="nil"/>
              <w:bottom w:val="nil"/>
              <w:right w:val="nil"/>
            </w:tcBorders>
            <w:shd w:val="clear" w:color="auto" w:fill="auto"/>
            <w:vAlign w:val="bottom"/>
          </w:tcPr>
          <w:p w14:paraId="20958E0A" w14:textId="7219ADB5" w:rsidR="005146A4" w:rsidRPr="001D41EA" w:rsidRDefault="005146A4" w:rsidP="001D41EA">
            <w:pPr>
              <w:spacing w:before="40" w:after="40"/>
              <w:jc w:val="center"/>
              <w:rPr>
                <w:rFonts w:cs="Arial"/>
                <w:sz w:val="18"/>
                <w:szCs w:val="18"/>
              </w:rPr>
            </w:pPr>
            <w:r w:rsidRPr="001D41EA">
              <w:rPr>
                <w:rFonts w:cs="Arial"/>
                <w:sz w:val="18"/>
                <w:szCs w:val="18"/>
              </w:rPr>
              <w:t>0.998</w:t>
            </w:r>
          </w:p>
        </w:tc>
        <w:tc>
          <w:tcPr>
            <w:tcW w:w="851" w:type="dxa"/>
            <w:tcBorders>
              <w:top w:val="nil"/>
              <w:left w:val="nil"/>
              <w:bottom w:val="nil"/>
              <w:right w:val="nil"/>
            </w:tcBorders>
            <w:shd w:val="clear" w:color="auto" w:fill="auto"/>
            <w:vAlign w:val="bottom"/>
          </w:tcPr>
          <w:p w14:paraId="2476CAAF" w14:textId="5E29DE6E" w:rsidR="005146A4" w:rsidRPr="001D41EA" w:rsidRDefault="005146A4" w:rsidP="001D41EA">
            <w:pPr>
              <w:spacing w:before="40" w:after="40"/>
              <w:jc w:val="center"/>
              <w:rPr>
                <w:rFonts w:cs="Arial"/>
                <w:sz w:val="18"/>
                <w:szCs w:val="18"/>
              </w:rPr>
            </w:pPr>
            <w:r w:rsidRPr="001D41EA">
              <w:rPr>
                <w:rFonts w:cs="Arial"/>
                <w:sz w:val="18"/>
                <w:szCs w:val="18"/>
              </w:rPr>
              <w:t>0.914</w:t>
            </w:r>
          </w:p>
        </w:tc>
        <w:tc>
          <w:tcPr>
            <w:tcW w:w="851" w:type="dxa"/>
            <w:tcBorders>
              <w:top w:val="nil"/>
              <w:left w:val="nil"/>
              <w:bottom w:val="nil"/>
              <w:right w:val="nil"/>
            </w:tcBorders>
            <w:shd w:val="clear" w:color="auto" w:fill="auto"/>
            <w:vAlign w:val="bottom"/>
          </w:tcPr>
          <w:p w14:paraId="7C4A6620" w14:textId="07470E89" w:rsidR="005146A4" w:rsidRPr="001D41EA" w:rsidRDefault="005146A4" w:rsidP="001D41EA">
            <w:pPr>
              <w:spacing w:before="40" w:after="40"/>
              <w:jc w:val="center"/>
              <w:rPr>
                <w:rFonts w:cs="Arial"/>
                <w:sz w:val="18"/>
                <w:szCs w:val="18"/>
              </w:rPr>
            </w:pPr>
            <w:r w:rsidRPr="001D41EA">
              <w:rPr>
                <w:rFonts w:cs="Arial"/>
                <w:sz w:val="18"/>
                <w:szCs w:val="18"/>
              </w:rPr>
              <w:t>0.979</w:t>
            </w:r>
          </w:p>
        </w:tc>
      </w:tr>
      <w:tr w:rsidR="005146A4" w:rsidRPr="001D41EA" w14:paraId="6AC03FCA"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30F39D8E" w14:textId="77777777" w:rsidR="005146A4" w:rsidRPr="001D41EA" w:rsidRDefault="005146A4" w:rsidP="001D41EA">
            <w:pPr>
              <w:spacing w:before="40" w:after="40"/>
              <w:rPr>
                <w:rFonts w:cs="Arial"/>
                <w:sz w:val="18"/>
                <w:szCs w:val="18"/>
              </w:rPr>
            </w:pPr>
            <w:r w:rsidRPr="001D41EA">
              <w:rPr>
                <w:rFonts w:cs="Arial"/>
                <w:sz w:val="18"/>
                <w:szCs w:val="18"/>
              </w:rPr>
              <w:t>Greater Geelong C</w:t>
            </w:r>
          </w:p>
        </w:tc>
        <w:tc>
          <w:tcPr>
            <w:tcW w:w="851" w:type="dxa"/>
            <w:tcBorders>
              <w:top w:val="nil"/>
              <w:left w:val="single" w:sz="18" w:space="0" w:color="5F497A" w:themeColor="accent4" w:themeShade="BF"/>
              <w:bottom w:val="nil"/>
              <w:right w:val="nil"/>
            </w:tcBorders>
            <w:shd w:val="clear" w:color="auto" w:fill="auto"/>
            <w:vAlign w:val="bottom"/>
          </w:tcPr>
          <w:p w14:paraId="0CF02D0D" w14:textId="4C0558D0" w:rsidR="005146A4" w:rsidRPr="001D41EA" w:rsidRDefault="005146A4" w:rsidP="001D41EA">
            <w:pPr>
              <w:spacing w:before="40" w:after="40"/>
              <w:jc w:val="center"/>
              <w:rPr>
                <w:rFonts w:cs="Arial"/>
                <w:sz w:val="18"/>
                <w:szCs w:val="18"/>
              </w:rPr>
            </w:pPr>
            <w:r w:rsidRPr="001D41EA">
              <w:rPr>
                <w:rFonts w:cs="Arial"/>
                <w:sz w:val="18"/>
                <w:szCs w:val="18"/>
              </w:rPr>
              <w:t>0.940</w:t>
            </w:r>
          </w:p>
        </w:tc>
        <w:tc>
          <w:tcPr>
            <w:tcW w:w="851" w:type="dxa"/>
            <w:tcBorders>
              <w:top w:val="nil"/>
              <w:left w:val="nil"/>
              <w:bottom w:val="nil"/>
              <w:right w:val="nil"/>
            </w:tcBorders>
            <w:shd w:val="clear" w:color="auto" w:fill="auto"/>
            <w:vAlign w:val="bottom"/>
          </w:tcPr>
          <w:p w14:paraId="74FD04BD" w14:textId="042D0280" w:rsidR="005146A4" w:rsidRPr="001D41EA" w:rsidRDefault="005146A4" w:rsidP="001D41EA">
            <w:pPr>
              <w:spacing w:before="40" w:after="40"/>
              <w:jc w:val="center"/>
              <w:rPr>
                <w:rFonts w:cs="Arial"/>
                <w:sz w:val="18"/>
                <w:szCs w:val="18"/>
              </w:rPr>
            </w:pPr>
            <w:r w:rsidRPr="001D41EA">
              <w:rPr>
                <w:rFonts w:cs="Arial"/>
                <w:sz w:val="18"/>
                <w:szCs w:val="18"/>
              </w:rPr>
              <w:t>1.015</w:t>
            </w:r>
          </w:p>
        </w:tc>
        <w:tc>
          <w:tcPr>
            <w:tcW w:w="851" w:type="dxa"/>
            <w:tcBorders>
              <w:top w:val="nil"/>
              <w:left w:val="nil"/>
              <w:bottom w:val="nil"/>
              <w:right w:val="nil"/>
            </w:tcBorders>
            <w:shd w:val="clear" w:color="auto" w:fill="auto"/>
            <w:vAlign w:val="bottom"/>
          </w:tcPr>
          <w:p w14:paraId="29ABCFA1" w14:textId="4DC5A14C" w:rsidR="005146A4" w:rsidRPr="001D41EA" w:rsidRDefault="005146A4" w:rsidP="001D41EA">
            <w:pPr>
              <w:spacing w:before="40" w:after="40"/>
              <w:jc w:val="center"/>
              <w:rPr>
                <w:rFonts w:cs="Arial"/>
                <w:sz w:val="18"/>
                <w:szCs w:val="18"/>
              </w:rPr>
            </w:pPr>
            <w:r w:rsidRPr="001D41EA">
              <w:rPr>
                <w:rFonts w:cs="Arial"/>
                <w:sz w:val="18"/>
                <w:szCs w:val="18"/>
              </w:rPr>
              <w:t>1.015</w:t>
            </w:r>
          </w:p>
        </w:tc>
        <w:tc>
          <w:tcPr>
            <w:tcW w:w="851" w:type="dxa"/>
            <w:tcBorders>
              <w:top w:val="nil"/>
              <w:left w:val="nil"/>
              <w:bottom w:val="nil"/>
              <w:right w:val="nil"/>
            </w:tcBorders>
            <w:shd w:val="clear" w:color="auto" w:fill="auto"/>
            <w:vAlign w:val="bottom"/>
          </w:tcPr>
          <w:p w14:paraId="3F492ED4" w14:textId="31C9AE50" w:rsidR="005146A4" w:rsidRPr="001D41EA" w:rsidRDefault="005146A4" w:rsidP="001D41EA">
            <w:pPr>
              <w:spacing w:before="40" w:after="40"/>
              <w:jc w:val="center"/>
              <w:rPr>
                <w:rFonts w:cs="Arial"/>
                <w:sz w:val="18"/>
                <w:szCs w:val="18"/>
              </w:rPr>
            </w:pPr>
            <w:r w:rsidRPr="001D41EA">
              <w:rPr>
                <w:rFonts w:cs="Arial"/>
                <w:sz w:val="18"/>
                <w:szCs w:val="18"/>
              </w:rPr>
              <w:t>1.138</w:t>
            </w:r>
          </w:p>
        </w:tc>
        <w:tc>
          <w:tcPr>
            <w:tcW w:w="851" w:type="dxa"/>
            <w:tcBorders>
              <w:top w:val="nil"/>
              <w:left w:val="nil"/>
              <w:bottom w:val="nil"/>
              <w:right w:val="nil"/>
            </w:tcBorders>
            <w:shd w:val="clear" w:color="auto" w:fill="auto"/>
            <w:vAlign w:val="bottom"/>
          </w:tcPr>
          <w:p w14:paraId="75963E99" w14:textId="2130F467" w:rsidR="005146A4" w:rsidRPr="001D41EA" w:rsidRDefault="005146A4" w:rsidP="001D41EA">
            <w:pPr>
              <w:spacing w:before="40" w:after="40"/>
              <w:jc w:val="center"/>
              <w:rPr>
                <w:rFonts w:cs="Arial"/>
                <w:sz w:val="18"/>
                <w:szCs w:val="18"/>
              </w:rPr>
            </w:pPr>
            <w:r w:rsidRPr="001D41EA">
              <w:rPr>
                <w:rFonts w:cs="Arial"/>
                <w:sz w:val="18"/>
                <w:szCs w:val="18"/>
              </w:rPr>
              <w:t>0.996</w:t>
            </w:r>
          </w:p>
        </w:tc>
        <w:tc>
          <w:tcPr>
            <w:tcW w:w="851" w:type="dxa"/>
            <w:tcBorders>
              <w:top w:val="nil"/>
              <w:left w:val="nil"/>
              <w:bottom w:val="nil"/>
              <w:right w:val="nil"/>
            </w:tcBorders>
            <w:shd w:val="clear" w:color="auto" w:fill="auto"/>
            <w:vAlign w:val="bottom"/>
          </w:tcPr>
          <w:p w14:paraId="1FEC6DA4" w14:textId="6E1CD5E0" w:rsidR="005146A4" w:rsidRPr="001D41EA" w:rsidRDefault="005146A4" w:rsidP="001D41EA">
            <w:pPr>
              <w:spacing w:before="40" w:after="40"/>
              <w:jc w:val="center"/>
              <w:rPr>
                <w:rFonts w:cs="Arial"/>
                <w:sz w:val="18"/>
                <w:szCs w:val="18"/>
              </w:rPr>
            </w:pPr>
            <w:r w:rsidRPr="001D41EA">
              <w:rPr>
                <w:rFonts w:cs="Arial"/>
                <w:sz w:val="18"/>
                <w:szCs w:val="18"/>
              </w:rPr>
              <w:t>1.116</w:t>
            </w:r>
          </w:p>
        </w:tc>
        <w:tc>
          <w:tcPr>
            <w:tcW w:w="851" w:type="dxa"/>
            <w:tcBorders>
              <w:top w:val="nil"/>
              <w:left w:val="nil"/>
              <w:bottom w:val="nil"/>
              <w:right w:val="nil"/>
            </w:tcBorders>
            <w:shd w:val="clear" w:color="auto" w:fill="auto"/>
            <w:vAlign w:val="bottom"/>
          </w:tcPr>
          <w:p w14:paraId="4C37025F" w14:textId="6345F6FF" w:rsidR="005146A4" w:rsidRPr="001D41EA" w:rsidRDefault="005146A4" w:rsidP="001D41EA">
            <w:pPr>
              <w:spacing w:before="40" w:after="40"/>
              <w:jc w:val="center"/>
              <w:rPr>
                <w:rFonts w:cs="Arial"/>
                <w:sz w:val="18"/>
                <w:szCs w:val="18"/>
              </w:rPr>
            </w:pPr>
            <w:r w:rsidRPr="001D41EA">
              <w:rPr>
                <w:rFonts w:cs="Arial"/>
                <w:sz w:val="18"/>
                <w:szCs w:val="18"/>
              </w:rPr>
              <w:t>0.993</w:t>
            </w:r>
          </w:p>
        </w:tc>
        <w:tc>
          <w:tcPr>
            <w:tcW w:w="851" w:type="dxa"/>
            <w:tcBorders>
              <w:top w:val="nil"/>
              <w:left w:val="nil"/>
              <w:bottom w:val="nil"/>
              <w:right w:val="nil"/>
            </w:tcBorders>
            <w:shd w:val="clear" w:color="auto" w:fill="auto"/>
            <w:vAlign w:val="bottom"/>
          </w:tcPr>
          <w:p w14:paraId="7562CF86" w14:textId="0E2181F6" w:rsidR="005146A4" w:rsidRPr="001D41EA" w:rsidRDefault="005146A4" w:rsidP="001D41EA">
            <w:pPr>
              <w:spacing w:before="40" w:after="40"/>
              <w:jc w:val="center"/>
              <w:rPr>
                <w:rFonts w:cs="Arial"/>
                <w:sz w:val="18"/>
                <w:szCs w:val="18"/>
              </w:rPr>
            </w:pPr>
            <w:r w:rsidRPr="001D41EA">
              <w:rPr>
                <w:rFonts w:cs="Arial"/>
                <w:sz w:val="18"/>
                <w:szCs w:val="18"/>
              </w:rPr>
              <w:t>1.046</w:t>
            </w:r>
          </w:p>
        </w:tc>
      </w:tr>
      <w:tr w:rsidR="005146A4" w:rsidRPr="001D41EA" w14:paraId="202B0DC4"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C5C08D0" w14:textId="77777777" w:rsidR="005146A4" w:rsidRPr="001D41EA" w:rsidRDefault="005146A4" w:rsidP="001D41EA">
            <w:pPr>
              <w:spacing w:before="40" w:after="40"/>
              <w:rPr>
                <w:rFonts w:cs="Arial"/>
                <w:sz w:val="18"/>
                <w:szCs w:val="18"/>
              </w:rPr>
            </w:pPr>
            <w:r w:rsidRPr="001D41EA">
              <w:rPr>
                <w:rFonts w:cs="Arial"/>
                <w:sz w:val="18"/>
                <w:szCs w:val="18"/>
              </w:rPr>
              <w:t>Greater Shepparton C</w:t>
            </w:r>
          </w:p>
        </w:tc>
        <w:tc>
          <w:tcPr>
            <w:tcW w:w="851" w:type="dxa"/>
            <w:tcBorders>
              <w:top w:val="nil"/>
              <w:left w:val="single" w:sz="18" w:space="0" w:color="5F497A" w:themeColor="accent4" w:themeShade="BF"/>
              <w:bottom w:val="nil"/>
              <w:right w:val="nil"/>
            </w:tcBorders>
            <w:shd w:val="clear" w:color="auto" w:fill="auto"/>
            <w:vAlign w:val="bottom"/>
          </w:tcPr>
          <w:p w14:paraId="21CB0B00" w14:textId="36836E5E" w:rsidR="005146A4" w:rsidRPr="001D41EA" w:rsidRDefault="005146A4" w:rsidP="001D41EA">
            <w:pPr>
              <w:spacing w:before="40" w:after="40"/>
              <w:jc w:val="center"/>
              <w:rPr>
                <w:rFonts w:cs="Arial"/>
                <w:sz w:val="18"/>
                <w:szCs w:val="18"/>
              </w:rPr>
            </w:pPr>
            <w:r w:rsidRPr="001D41EA">
              <w:rPr>
                <w:rFonts w:cs="Arial"/>
                <w:sz w:val="18"/>
                <w:szCs w:val="18"/>
              </w:rPr>
              <w:t>1.106</w:t>
            </w:r>
          </w:p>
        </w:tc>
        <w:tc>
          <w:tcPr>
            <w:tcW w:w="851" w:type="dxa"/>
            <w:tcBorders>
              <w:top w:val="nil"/>
              <w:left w:val="nil"/>
              <w:bottom w:val="nil"/>
              <w:right w:val="nil"/>
            </w:tcBorders>
            <w:shd w:val="clear" w:color="auto" w:fill="auto"/>
            <w:vAlign w:val="bottom"/>
          </w:tcPr>
          <w:p w14:paraId="0571C729" w14:textId="6B2DE83C" w:rsidR="005146A4" w:rsidRPr="001D41EA" w:rsidRDefault="005146A4" w:rsidP="001D41EA">
            <w:pPr>
              <w:spacing w:before="40" w:after="40"/>
              <w:jc w:val="center"/>
              <w:rPr>
                <w:rFonts w:cs="Arial"/>
                <w:sz w:val="18"/>
                <w:szCs w:val="18"/>
              </w:rPr>
            </w:pPr>
            <w:r w:rsidRPr="001D41EA">
              <w:rPr>
                <w:rFonts w:cs="Arial"/>
                <w:sz w:val="18"/>
                <w:szCs w:val="18"/>
              </w:rPr>
              <w:t>1.095</w:t>
            </w:r>
          </w:p>
        </w:tc>
        <w:tc>
          <w:tcPr>
            <w:tcW w:w="851" w:type="dxa"/>
            <w:tcBorders>
              <w:top w:val="nil"/>
              <w:left w:val="nil"/>
              <w:bottom w:val="nil"/>
              <w:right w:val="nil"/>
            </w:tcBorders>
            <w:shd w:val="clear" w:color="auto" w:fill="auto"/>
            <w:vAlign w:val="bottom"/>
          </w:tcPr>
          <w:p w14:paraId="78F2204C" w14:textId="5B3328B3" w:rsidR="005146A4" w:rsidRPr="001D41EA" w:rsidRDefault="005146A4" w:rsidP="001D41EA">
            <w:pPr>
              <w:spacing w:before="40" w:after="40"/>
              <w:jc w:val="center"/>
              <w:rPr>
                <w:rFonts w:cs="Arial"/>
                <w:sz w:val="18"/>
                <w:szCs w:val="18"/>
              </w:rPr>
            </w:pPr>
            <w:r w:rsidRPr="001D41EA">
              <w:rPr>
                <w:rFonts w:cs="Arial"/>
                <w:sz w:val="18"/>
                <w:szCs w:val="18"/>
              </w:rPr>
              <w:t>1.054</w:t>
            </w:r>
          </w:p>
        </w:tc>
        <w:tc>
          <w:tcPr>
            <w:tcW w:w="851" w:type="dxa"/>
            <w:tcBorders>
              <w:top w:val="nil"/>
              <w:left w:val="nil"/>
              <w:bottom w:val="nil"/>
              <w:right w:val="nil"/>
            </w:tcBorders>
            <w:shd w:val="clear" w:color="auto" w:fill="auto"/>
            <w:vAlign w:val="bottom"/>
          </w:tcPr>
          <w:p w14:paraId="7BCDEA7C" w14:textId="54AD523D" w:rsidR="005146A4" w:rsidRPr="001D41EA" w:rsidRDefault="005146A4" w:rsidP="001D41EA">
            <w:pPr>
              <w:spacing w:before="40" w:after="40"/>
              <w:jc w:val="center"/>
              <w:rPr>
                <w:rFonts w:cs="Arial"/>
                <w:sz w:val="18"/>
                <w:szCs w:val="18"/>
              </w:rPr>
            </w:pPr>
            <w:r w:rsidRPr="001D41EA">
              <w:rPr>
                <w:rFonts w:cs="Arial"/>
                <w:sz w:val="18"/>
                <w:szCs w:val="18"/>
              </w:rPr>
              <w:t>1.137</w:t>
            </w:r>
          </w:p>
        </w:tc>
        <w:tc>
          <w:tcPr>
            <w:tcW w:w="851" w:type="dxa"/>
            <w:tcBorders>
              <w:top w:val="nil"/>
              <w:left w:val="nil"/>
              <w:bottom w:val="nil"/>
              <w:right w:val="nil"/>
            </w:tcBorders>
            <w:shd w:val="clear" w:color="auto" w:fill="auto"/>
            <w:vAlign w:val="bottom"/>
          </w:tcPr>
          <w:p w14:paraId="25A98006" w14:textId="1838C7A1" w:rsidR="005146A4" w:rsidRPr="001D41EA" w:rsidRDefault="005146A4" w:rsidP="001D41EA">
            <w:pPr>
              <w:spacing w:before="40" w:after="40"/>
              <w:jc w:val="center"/>
              <w:rPr>
                <w:rFonts w:cs="Arial"/>
                <w:sz w:val="18"/>
                <w:szCs w:val="18"/>
              </w:rPr>
            </w:pPr>
            <w:r w:rsidRPr="001D41EA">
              <w:rPr>
                <w:rFonts w:cs="Arial"/>
                <w:sz w:val="18"/>
                <w:szCs w:val="18"/>
              </w:rPr>
              <w:t>1.080</w:t>
            </w:r>
          </w:p>
        </w:tc>
        <w:tc>
          <w:tcPr>
            <w:tcW w:w="851" w:type="dxa"/>
            <w:tcBorders>
              <w:top w:val="nil"/>
              <w:left w:val="nil"/>
              <w:bottom w:val="nil"/>
              <w:right w:val="nil"/>
            </w:tcBorders>
            <w:shd w:val="clear" w:color="auto" w:fill="auto"/>
            <w:vAlign w:val="bottom"/>
          </w:tcPr>
          <w:p w14:paraId="72A12C16" w14:textId="554F1A51" w:rsidR="005146A4" w:rsidRPr="001D41EA" w:rsidRDefault="005146A4" w:rsidP="001D41EA">
            <w:pPr>
              <w:spacing w:before="40" w:after="40"/>
              <w:jc w:val="center"/>
              <w:rPr>
                <w:rFonts w:cs="Arial"/>
                <w:sz w:val="18"/>
                <w:szCs w:val="18"/>
              </w:rPr>
            </w:pPr>
            <w:r w:rsidRPr="001D41EA">
              <w:rPr>
                <w:rFonts w:cs="Arial"/>
                <w:sz w:val="18"/>
                <w:szCs w:val="18"/>
              </w:rPr>
              <w:t>1.103</w:t>
            </w:r>
          </w:p>
        </w:tc>
        <w:tc>
          <w:tcPr>
            <w:tcW w:w="851" w:type="dxa"/>
            <w:tcBorders>
              <w:top w:val="nil"/>
              <w:left w:val="nil"/>
              <w:bottom w:val="nil"/>
              <w:right w:val="nil"/>
            </w:tcBorders>
            <w:shd w:val="clear" w:color="auto" w:fill="auto"/>
            <w:vAlign w:val="bottom"/>
          </w:tcPr>
          <w:p w14:paraId="2C2533E4" w14:textId="56B1836B" w:rsidR="005146A4" w:rsidRPr="001D41EA" w:rsidRDefault="005146A4" w:rsidP="001D41EA">
            <w:pPr>
              <w:spacing w:before="40" w:after="40"/>
              <w:jc w:val="center"/>
              <w:rPr>
                <w:rFonts w:cs="Arial"/>
                <w:sz w:val="18"/>
                <w:szCs w:val="18"/>
              </w:rPr>
            </w:pPr>
            <w:r w:rsidRPr="001D41EA">
              <w:rPr>
                <w:rFonts w:cs="Arial"/>
                <w:sz w:val="18"/>
                <w:szCs w:val="18"/>
              </w:rPr>
              <w:t>1.181</w:t>
            </w:r>
          </w:p>
        </w:tc>
        <w:tc>
          <w:tcPr>
            <w:tcW w:w="851" w:type="dxa"/>
            <w:tcBorders>
              <w:top w:val="nil"/>
              <w:left w:val="nil"/>
              <w:bottom w:val="nil"/>
              <w:right w:val="nil"/>
            </w:tcBorders>
            <w:shd w:val="clear" w:color="auto" w:fill="auto"/>
            <w:vAlign w:val="bottom"/>
          </w:tcPr>
          <w:p w14:paraId="2A447AE3" w14:textId="730B9295" w:rsidR="005146A4" w:rsidRPr="001D41EA" w:rsidRDefault="005146A4" w:rsidP="001D41EA">
            <w:pPr>
              <w:spacing w:before="40" w:after="40"/>
              <w:jc w:val="center"/>
              <w:rPr>
                <w:rFonts w:cs="Arial"/>
                <w:sz w:val="18"/>
                <w:szCs w:val="18"/>
              </w:rPr>
            </w:pPr>
            <w:r w:rsidRPr="001D41EA">
              <w:rPr>
                <w:rFonts w:cs="Arial"/>
                <w:sz w:val="18"/>
                <w:szCs w:val="18"/>
              </w:rPr>
              <w:t>1.180</w:t>
            </w:r>
          </w:p>
        </w:tc>
      </w:tr>
      <w:tr w:rsidR="005146A4" w:rsidRPr="001D41EA" w14:paraId="61219D4D"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EBBCDA1" w14:textId="77777777" w:rsidR="005146A4" w:rsidRPr="001D41EA" w:rsidRDefault="005146A4" w:rsidP="001D41EA">
            <w:pPr>
              <w:spacing w:before="40" w:after="40"/>
              <w:rPr>
                <w:rFonts w:cs="Arial"/>
                <w:sz w:val="18"/>
                <w:szCs w:val="18"/>
              </w:rPr>
            </w:pPr>
            <w:r w:rsidRPr="001D41EA">
              <w:rPr>
                <w:rFonts w:cs="Arial"/>
                <w:sz w:val="18"/>
                <w:szCs w:val="18"/>
              </w:rPr>
              <w:t>Hepburn S</w:t>
            </w:r>
          </w:p>
        </w:tc>
        <w:tc>
          <w:tcPr>
            <w:tcW w:w="851" w:type="dxa"/>
            <w:tcBorders>
              <w:top w:val="nil"/>
              <w:left w:val="single" w:sz="18" w:space="0" w:color="5F497A" w:themeColor="accent4" w:themeShade="BF"/>
              <w:bottom w:val="nil"/>
              <w:right w:val="nil"/>
            </w:tcBorders>
            <w:shd w:val="clear" w:color="auto" w:fill="auto"/>
            <w:vAlign w:val="bottom"/>
          </w:tcPr>
          <w:p w14:paraId="75CC6084" w14:textId="1E0361DB" w:rsidR="005146A4" w:rsidRPr="001D41EA" w:rsidRDefault="005146A4" w:rsidP="001D41EA">
            <w:pPr>
              <w:spacing w:before="40" w:after="40"/>
              <w:jc w:val="center"/>
              <w:rPr>
                <w:rFonts w:cs="Arial"/>
                <w:sz w:val="18"/>
                <w:szCs w:val="18"/>
              </w:rPr>
            </w:pPr>
            <w:r w:rsidRPr="001D41EA">
              <w:rPr>
                <w:rFonts w:cs="Arial"/>
                <w:sz w:val="18"/>
                <w:szCs w:val="18"/>
              </w:rPr>
              <w:t>1.087</w:t>
            </w:r>
          </w:p>
        </w:tc>
        <w:tc>
          <w:tcPr>
            <w:tcW w:w="851" w:type="dxa"/>
            <w:tcBorders>
              <w:top w:val="nil"/>
              <w:left w:val="nil"/>
              <w:bottom w:val="nil"/>
              <w:right w:val="nil"/>
            </w:tcBorders>
            <w:shd w:val="clear" w:color="auto" w:fill="auto"/>
            <w:vAlign w:val="bottom"/>
          </w:tcPr>
          <w:p w14:paraId="3C9FAFA6" w14:textId="02CDCEA0" w:rsidR="005146A4" w:rsidRPr="001D41EA" w:rsidRDefault="005146A4" w:rsidP="001D41EA">
            <w:pPr>
              <w:spacing w:before="40" w:after="40"/>
              <w:jc w:val="center"/>
              <w:rPr>
                <w:rFonts w:cs="Arial"/>
                <w:sz w:val="18"/>
                <w:szCs w:val="18"/>
              </w:rPr>
            </w:pPr>
            <w:r w:rsidRPr="001D41EA">
              <w:rPr>
                <w:rFonts w:cs="Arial"/>
                <w:sz w:val="18"/>
                <w:szCs w:val="18"/>
              </w:rPr>
              <w:t>0.972</w:t>
            </w:r>
          </w:p>
        </w:tc>
        <w:tc>
          <w:tcPr>
            <w:tcW w:w="851" w:type="dxa"/>
            <w:tcBorders>
              <w:top w:val="nil"/>
              <w:left w:val="nil"/>
              <w:bottom w:val="nil"/>
              <w:right w:val="nil"/>
            </w:tcBorders>
            <w:shd w:val="clear" w:color="auto" w:fill="auto"/>
            <w:vAlign w:val="bottom"/>
          </w:tcPr>
          <w:p w14:paraId="55224B58" w14:textId="2C7C8F37" w:rsidR="005146A4" w:rsidRPr="001D41EA" w:rsidRDefault="005146A4" w:rsidP="001D41EA">
            <w:pPr>
              <w:spacing w:before="40" w:after="40"/>
              <w:jc w:val="center"/>
              <w:rPr>
                <w:rFonts w:cs="Arial"/>
                <w:sz w:val="18"/>
                <w:szCs w:val="18"/>
              </w:rPr>
            </w:pPr>
            <w:r w:rsidRPr="001D41EA">
              <w:rPr>
                <w:rFonts w:cs="Arial"/>
                <w:sz w:val="18"/>
                <w:szCs w:val="18"/>
              </w:rPr>
              <w:t>1.063</w:t>
            </w:r>
          </w:p>
        </w:tc>
        <w:tc>
          <w:tcPr>
            <w:tcW w:w="851" w:type="dxa"/>
            <w:tcBorders>
              <w:top w:val="nil"/>
              <w:left w:val="nil"/>
              <w:bottom w:val="nil"/>
              <w:right w:val="nil"/>
            </w:tcBorders>
            <w:shd w:val="clear" w:color="auto" w:fill="auto"/>
            <w:vAlign w:val="bottom"/>
          </w:tcPr>
          <w:p w14:paraId="1FB15938" w14:textId="418F0893" w:rsidR="005146A4" w:rsidRPr="001D41EA" w:rsidRDefault="005146A4" w:rsidP="001D41EA">
            <w:pPr>
              <w:spacing w:before="40" w:after="40"/>
              <w:jc w:val="center"/>
              <w:rPr>
                <w:rFonts w:cs="Arial"/>
                <w:sz w:val="18"/>
                <w:szCs w:val="18"/>
              </w:rPr>
            </w:pPr>
            <w:r w:rsidRPr="001D41EA">
              <w:rPr>
                <w:rFonts w:cs="Arial"/>
                <w:sz w:val="18"/>
                <w:szCs w:val="18"/>
              </w:rPr>
              <w:t>1.157</w:t>
            </w:r>
          </w:p>
        </w:tc>
        <w:tc>
          <w:tcPr>
            <w:tcW w:w="851" w:type="dxa"/>
            <w:tcBorders>
              <w:top w:val="nil"/>
              <w:left w:val="nil"/>
              <w:bottom w:val="nil"/>
              <w:right w:val="nil"/>
            </w:tcBorders>
            <w:shd w:val="clear" w:color="auto" w:fill="auto"/>
            <w:vAlign w:val="bottom"/>
          </w:tcPr>
          <w:p w14:paraId="71B8828C" w14:textId="2748C6D8" w:rsidR="005146A4" w:rsidRPr="001D41EA" w:rsidRDefault="005146A4" w:rsidP="001D41EA">
            <w:pPr>
              <w:spacing w:before="40" w:after="40"/>
              <w:jc w:val="center"/>
              <w:rPr>
                <w:rFonts w:cs="Arial"/>
                <w:sz w:val="18"/>
                <w:szCs w:val="18"/>
              </w:rPr>
            </w:pPr>
            <w:r w:rsidRPr="001D41EA">
              <w:rPr>
                <w:rFonts w:cs="Arial"/>
                <w:sz w:val="18"/>
                <w:szCs w:val="18"/>
              </w:rPr>
              <w:t>1.247</w:t>
            </w:r>
          </w:p>
        </w:tc>
        <w:tc>
          <w:tcPr>
            <w:tcW w:w="851" w:type="dxa"/>
            <w:tcBorders>
              <w:top w:val="nil"/>
              <w:left w:val="nil"/>
              <w:bottom w:val="nil"/>
              <w:right w:val="nil"/>
            </w:tcBorders>
            <w:shd w:val="clear" w:color="auto" w:fill="auto"/>
            <w:vAlign w:val="bottom"/>
          </w:tcPr>
          <w:p w14:paraId="4E752075" w14:textId="2E012556" w:rsidR="005146A4" w:rsidRPr="001D41EA" w:rsidRDefault="005146A4" w:rsidP="001D41EA">
            <w:pPr>
              <w:spacing w:before="40" w:after="40"/>
              <w:jc w:val="center"/>
              <w:rPr>
                <w:rFonts w:cs="Arial"/>
                <w:sz w:val="18"/>
                <w:szCs w:val="18"/>
              </w:rPr>
            </w:pPr>
            <w:r w:rsidRPr="001D41EA">
              <w:rPr>
                <w:rFonts w:cs="Arial"/>
                <w:sz w:val="18"/>
                <w:szCs w:val="18"/>
              </w:rPr>
              <w:t>1.098</w:t>
            </w:r>
          </w:p>
        </w:tc>
        <w:tc>
          <w:tcPr>
            <w:tcW w:w="851" w:type="dxa"/>
            <w:tcBorders>
              <w:top w:val="nil"/>
              <w:left w:val="nil"/>
              <w:bottom w:val="nil"/>
              <w:right w:val="nil"/>
            </w:tcBorders>
            <w:shd w:val="clear" w:color="auto" w:fill="auto"/>
            <w:vAlign w:val="bottom"/>
          </w:tcPr>
          <w:p w14:paraId="7E6AFC0C" w14:textId="7D02180D" w:rsidR="005146A4" w:rsidRPr="001D41EA" w:rsidRDefault="005146A4" w:rsidP="001D41EA">
            <w:pPr>
              <w:spacing w:before="40" w:after="40"/>
              <w:jc w:val="center"/>
              <w:rPr>
                <w:rFonts w:cs="Arial"/>
                <w:sz w:val="18"/>
                <w:szCs w:val="18"/>
              </w:rPr>
            </w:pPr>
            <w:r w:rsidRPr="001D41EA">
              <w:rPr>
                <w:rFonts w:cs="Arial"/>
                <w:sz w:val="18"/>
                <w:szCs w:val="18"/>
              </w:rPr>
              <w:t>1.237</w:t>
            </w:r>
          </w:p>
        </w:tc>
        <w:tc>
          <w:tcPr>
            <w:tcW w:w="851" w:type="dxa"/>
            <w:tcBorders>
              <w:top w:val="nil"/>
              <w:left w:val="nil"/>
              <w:bottom w:val="nil"/>
              <w:right w:val="nil"/>
            </w:tcBorders>
            <w:shd w:val="clear" w:color="auto" w:fill="auto"/>
            <w:vAlign w:val="bottom"/>
          </w:tcPr>
          <w:p w14:paraId="69544680" w14:textId="54619352" w:rsidR="005146A4" w:rsidRPr="001D41EA" w:rsidRDefault="005146A4" w:rsidP="001D41EA">
            <w:pPr>
              <w:spacing w:before="40" w:after="40"/>
              <w:jc w:val="center"/>
              <w:rPr>
                <w:rFonts w:cs="Arial"/>
                <w:sz w:val="18"/>
                <w:szCs w:val="18"/>
              </w:rPr>
            </w:pPr>
            <w:r w:rsidRPr="001D41EA">
              <w:rPr>
                <w:rFonts w:cs="Arial"/>
                <w:sz w:val="18"/>
                <w:szCs w:val="18"/>
              </w:rPr>
              <w:t>1.153</w:t>
            </w:r>
          </w:p>
        </w:tc>
      </w:tr>
      <w:tr w:rsidR="005146A4" w:rsidRPr="001D41EA" w14:paraId="1C3433A8"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19C7607" w14:textId="77777777" w:rsidR="005146A4" w:rsidRPr="001D41EA" w:rsidRDefault="005146A4" w:rsidP="001D41EA">
            <w:pPr>
              <w:spacing w:before="40" w:after="40"/>
              <w:rPr>
                <w:rFonts w:cs="Arial"/>
                <w:sz w:val="18"/>
                <w:szCs w:val="18"/>
              </w:rPr>
            </w:pPr>
            <w:r w:rsidRPr="001D41EA">
              <w:rPr>
                <w:rFonts w:cs="Arial"/>
                <w:sz w:val="18"/>
                <w:szCs w:val="18"/>
              </w:rPr>
              <w:t>Hindmarsh S</w:t>
            </w:r>
          </w:p>
        </w:tc>
        <w:tc>
          <w:tcPr>
            <w:tcW w:w="851" w:type="dxa"/>
            <w:tcBorders>
              <w:top w:val="nil"/>
              <w:left w:val="single" w:sz="18" w:space="0" w:color="5F497A" w:themeColor="accent4" w:themeShade="BF"/>
              <w:bottom w:val="nil"/>
              <w:right w:val="nil"/>
            </w:tcBorders>
            <w:shd w:val="clear" w:color="auto" w:fill="auto"/>
            <w:vAlign w:val="bottom"/>
          </w:tcPr>
          <w:p w14:paraId="4A68C954" w14:textId="3E5DA082" w:rsidR="005146A4" w:rsidRPr="001D41EA" w:rsidRDefault="005146A4" w:rsidP="001D41EA">
            <w:pPr>
              <w:spacing w:before="40" w:after="40"/>
              <w:jc w:val="center"/>
              <w:rPr>
                <w:rFonts w:cs="Arial"/>
                <w:sz w:val="18"/>
                <w:szCs w:val="18"/>
              </w:rPr>
            </w:pPr>
            <w:r w:rsidRPr="001D41EA">
              <w:rPr>
                <w:rFonts w:cs="Arial"/>
                <w:sz w:val="18"/>
                <w:szCs w:val="18"/>
              </w:rPr>
              <w:t>1.330</w:t>
            </w:r>
          </w:p>
        </w:tc>
        <w:tc>
          <w:tcPr>
            <w:tcW w:w="851" w:type="dxa"/>
            <w:tcBorders>
              <w:top w:val="nil"/>
              <w:left w:val="nil"/>
              <w:bottom w:val="nil"/>
              <w:right w:val="nil"/>
            </w:tcBorders>
            <w:shd w:val="clear" w:color="auto" w:fill="auto"/>
            <w:vAlign w:val="bottom"/>
          </w:tcPr>
          <w:p w14:paraId="31006CBD" w14:textId="28E36E66" w:rsidR="005146A4" w:rsidRPr="001D41EA" w:rsidRDefault="005146A4" w:rsidP="001D41EA">
            <w:pPr>
              <w:spacing w:before="40" w:after="40"/>
              <w:jc w:val="center"/>
              <w:rPr>
                <w:rFonts w:cs="Arial"/>
                <w:sz w:val="18"/>
                <w:szCs w:val="18"/>
              </w:rPr>
            </w:pPr>
            <w:r w:rsidRPr="001D41EA">
              <w:rPr>
                <w:rFonts w:cs="Arial"/>
                <w:sz w:val="18"/>
                <w:szCs w:val="18"/>
              </w:rPr>
              <w:t>1.079</w:t>
            </w:r>
          </w:p>
        </w:tc>
        <w:tc>
          <w:tcPr>
            <w:tcW w:w="851" w:type="dxa"/>
            <w:tcBorders>
              <w:top w:val="nil"/>
              <w:left w:val="nil"/>
              <w:bottom w:val="nil"/>
              <w:right w:val="nil"/>
            </w:tcBorders>
            <w:shd w:val="clear" w:color="auto" w:fill="auto"/>
            <w:vAlign w:val="bottom"/>
          </w:tcPr>
          <w:p w14:paraId="7858649A" w14:textId="380F0A5C" w:rsidR="005146A4" w:rsidRPr="001D41EA" w:rsidRDefault="005146A4" w:rsidP="001D41EA">
            <w:pPr>
              <w:spacing w:before="40" w:after="40"/>
              <w:jc w:val="center"/>
              <w:rPr>
                <w:rFonts w:cs="Arial"/>
                <w:sz w:val="18"/>
                <w:szCs w:val="18"/>
              </w:rPr>
            </w:pPr>
            <w:r w:rsidRPr="001D41EA">
              <w:rPr>
                <w:rFonts w:cs="Arial"/>
                <w:sz w:val="18"/>
                <w:szCs w:val="18"/>
              </w:rPr>
              <w:t>1.208</w:t>
            </w:r>
          </w:p>
        </w:tc>
        <w:tc>
          <w:tcPr>
            <w:tcW w:w="851" w:type="dxa"/>
            <w:tcBorders>
              <w:top w:val="nil"/>
              <w:left w:val="nil"/>
              <w:bottom w:val="nil"/>
              <w:right w:val="nil"/>
            </w:tcBorders>
            <w:shd w:val="clear" w:color="auto" w:fill="auto"/>
            <w:vAlign w:val="bottom"/>
          </w:tcPr>
          <w:p w14:paraId="72184EE5" w14:textId="340D33F4" w:rsidR="005146A4" w:rsidRPr="001D41EA" w:rsidRDefault="005146A4" w:rsidP="001D41EA">
            <w:pPr>
              <w:spacing w:before="40" w:after="40"/>
              <w:jc w:val="center"/>
              <w:rPr>
                <w:rFonts w:cs="Arial"/>
                <w:sz w:val="18"/>
                <w:szCs w:val="18"/>
              </w:rPr>
            </w:pPr>
            <w:r w:rsidRPr="001D41EA">
              <w:rPr>
                <w:rFonts w:cs="Arial"/>
                <w:sz w:val="18"/>
                <w:szCs w:val="18"/>
              </w:rPr>
              <w:t>1.063</w:t>
            </w:r>
          </w:p>
        </w:tc>
        <w:tc>
          <w:tcPr>
            <w:tcW w:w="851" w:type="dxa"/>
            <w:tcBorders>
              <w:top w:val="nil"/>
              <w:left w:val="nil"/>
              <w:bottom w:val="nil"/>
              <w:right w:val="nil"/>
            </w:tcBorders>
            <w:shd w:val="clear" w:color="auto" w:fill="auto"/>
            <w:vAlign w:val="bottom"/>
          </w:tcPr>
          <w:p w14:paraId="29979736" w14:textId="798EEAE2" w:rsidR="005146A4" w:rsidRPr="001D41EA" w:rsidRDefault="005146A4" w:rsidP="001D41EA">
            <w:pPr>
              <w:spacing w:before="40" w:after="40"/>
              <w:jc w:val="center"/>
              <w:rPr>
                <w:rFonts w:cs="Arial"/>
                <w:sz w:val="18"/>
                <w:szCs w:val="18"/>
              </w:rPr>
            </w:pPr>
            <w:r w:rsidRPr="001D41EA">
              <w:rPr>
                <w:rFonts w:cs="Arial"/>
                <w:sz w:val="18"/>
                <w:szCs w:val="18"/>
              </w:rPr>
              <w:t>1.325</w:t>
            </w:r>
          </w:p>
        </w:tc>
        <w:tc>
          <w:tcPr>
            <w:tcW w:w="851" w:type="dxa"/>
            <w:tcBorders>
              <w:top w:val="nil"/>
              <w:left w:val="nil"/>
              <w:bottom w:val="nil"/>
              <w:right w:val="nil"/>
            </w:tcBorders>
            <w:shd w:val="clear" w:color="auto" w:fill="auto"/>
            <w:vAlign w:val="bottom"/>
          </w:tcPr>
          <w:p w14:paraId="3790BB60" w14:textId="7AD5D8BC" w:rsidR="005146A4" w:rsidRPr="001D41EA" w:rsidRDefault="005146A4" w:rsidP="001D41EA">
            <w:pPr>
              <w:spacing w:before="40" w:after="40"/>
              <w:jc w:val="center"/>
              <w:rPr>
                <w:rFonts w:cs="Arial"/>
                <w:sz w:val="18"/>
                <w:szCs w:val="18"/>
              </w:rPr>
            </w:pPr>
            <w:r w:rsidRPr="001D41EA">
              <w:rPr>
                <w:rFonts w:cs="Arial"/>
                <w:sz w:val="18"/>
                <w:szCs w:val="18"/>
              </w:rPr>
              <w:t>0.999</w:t>
            </w:r>
          </w:p>
        </w:tc>
        <w:tc>
          <w:tcPr>
            <w:tcW w:w="851" w:type="dxa"/>
            <w:tcBorders>
              <w:top w:val="nil"/>
              <w:left w:val="nil"/>
              <w:bottom w:val="nil"/>
              <w:right w:val="nil"/>
            </w:tcBorders>
            <w:shd w:val="clear" w:color="auto" w:fill="auto"/>
            <w:vAlign w:val="bottom"/>
          </w:tcPr>
          <w:p w14:paraId="467113A9" w14:textId="78E88F37" w:rsidR="005146A4" w:rsidRPr="001D41EA" w:rsidRDefault="005146A4" w:rsidP="001D41EA">
            <w:pPr>
              <w:spacing w:before="40" w:after="40"/>
              <w:jc w:val="center"/>
              <w:rPr>
                <w:rFonts w:cs="Arial"/>
                <w:sz w:val="18"/>
                <w:szCs w:val="18"/>
              </w:rPr>
            </w:pPr>
            <w:r w:rsidRPr="001D41EA">
              <w:rPr>
                <w:rFonts w:cs="Arial"/>
                <w:sz w:val="18"/>
                <w:szCs w:val="18"/>
              </w:rPr>
              <w:t>1.357</w:t>
            </w:r>
          </w:p>
        </w:tc>
        <w:tc>
          <w:tcPr>
            <w:tcW w:w="851" w:type="dxa"/>
            <w:tcBorders>
              <w:top w:val="nil"/>
              <w:left w:val="nil"/>
              <w:bottom w:val="nil"/>
              <w:right w:val="nil"/>
            </w:tcBorders>
            <w:shd w:val="clear" w:color="auto" w:fill="auto"/>
            <w:vAlign w:val="bottom"/>
          </w:tcPr>
          <w:p w14:paraId="7B0C26AA" w14:textId="0CCB38FB" w:rsidR="005146A4" w:rsidRPr="001D41EA" w:rsidRDefault="005146A4" w:rsidP="001D41EA">
            <w:pPr>
              <w:spacing w:before="40" w:after="40"/>
              <w:jc w:val="center"/>
              <w:rPr>
                <w:rFonts w:cs="Arial"/>
                <w:sz w:val="18"/>
                <w:szCs w:val="18"/>
              </w:rPr>
            </w:pPr>
            <w:r w:rsidRPr="001D41EA">
              <w:rPr>
                <w:rFonts w:cs="Arial"/>
                <w:sz w:val="18"/>
                <w:szCs w:val="18"/>
              </w:rPr>
              <w:t>1.259</w:t>
            </w:r>
          </w:p>
        </w:tc>
      </w:tr>
      <w:tr w:rsidR="005146A4" w:rsidRPr="001D41EA" w14:paraId="23181813"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9AE7D17" w14:textId="77777777" w:rsidR="005146A4" w:rsidRPr="001D41EA" w:rsidRDefault="005146A4" w:rsidP="001D41EA">
            <w:pPr>
              <w:spacing w:before="40" w:after="40"/>
              <w:rPr>
                <w:rFonts w:cs="Arial"/>
                <w:sz w:val="18"/>
                <w:szCs w:val="18"/>
              </w:rPr>
            </w:pPr>
            <w:r w:rsidRPr="001D41EA">
              <w:rPr>
                <w:rFonts w:cs="Arial"/>
                <w:sz w:val="18"/>
                <w:szCs w:val="18"/>
              </w:rPr>
              <w:t>Hobsons Bay C</w:t>
            </w:r>
          </w:p>
        </w:tc>
        <w:tc>
          <w:tcPr>
            <w:tcW w:w="851" w:type="dxa"/>
            <w:tcBorders>
              <w:top w:val="nil"/>
              <w:left w:val="single" w:sz="18" w:space="0" w:color="5F497A" w:themeColor="accent4" w:themeShade="BF"/>
              <w:bottom w:val="nil"/>
              <w:right w:val="nil"/>
            </w:tcBorders>
            <w:shd w:val="clear" w:color="auto" w:fill="auto"/>
            <w:vAlign w:val="bottom"/>
          </w:tcPr>
          <w:p w14:paraId="560192A7" w14:textId="6B559C5E" w:rsidR="005146A4" w:rsidRPr="001D41EA" w:rsidRDefault="005146A4" w:rsidP="001D41EA">
            <w:pPr>
              <w:spacing w:before="40" w:after="40"/>
              <w:jc w:val="center"/>
              <w:rPr>
                <w:rFonts w:cs="Arial"/>
                <w:sz w:val="18"/>
                <w:szCs w:val="18"/>
              </w:rPr>
            </w:pPr>
            <w:r w:rsidRPr="001D41EA">
              <w:rPr>
                <w:rFonts w:cs="Arial"/>
                <w:sz w:val="18"/>
                <w:szCs w:val="18"/>
              </w:rPr>
              <w:t>0.971</w:t>
            </w:r>
          </w:p>
        </w:tc>
        <w:tc>
          <w:tcPr>
            <w:tcW w:w="851" w:type="dxa"/>
            <w:tcBorders>
              <w:top w:val="nil"/>
              <w:left w:val="nil"/>
              <w:bottom w:val="nil"/>
              <w:right w:val="nil"/>
            </w:tcBorders>
            <w:shd w:val="clear" w:color="auto" w:fill="auto"/>
            <w:vAlign w:val="bottom"/>
          </w:tcPr>
          <w:p w14:paraId="1563EC75" w14:textId="4E5CC246" w:rsidR="005146A4" w:rsidRPr="001D41EA" w:rsidRDefault="005146A4" w:rsidP="001D41EA">
            <w:pPr>
              <w:spacing w:before="40" w:after="40"/>
              <w:jc w:val="center"/>
              <w:rPr>
                <w:rFonts w:cs="Arial"/>
                <w:sz w:val="18"/>
                <w:szCs w:val="18"/>
              </w:rPr>
            </w:pPr>
            <w:r w:rsidRPr="001D41EA">
              <w:rPr>
                <w:rFonts w:cs="Arial"/>
                <w:sz w:val="18"/>
                <w:szCs w:val="18"/>
              </w:rPr>
              <w:t>0.978</w:t>
            </w:r>
          </w:p>
        </w:tc>
        <w:tc>
          <w:tcPr>
            <w:tcW w:w="851" w:type="dxa"/>
            <w:tcBorders>
              <w:top w:val="nil"/>
              <w:left w:val="nil"/>
              <w:bottom w:val="nil"/>
              <w:right w:val="nil"/>
            </w:tcBorders>
            <w:shd w:val="clear" w:color="auto" w:fill="auto"/>
            <w:vAlign w:val="bottom"/>
          </w:tcPr>
          <w:p w14:paraId="35730B89" w14:textId="5795E8A5" w:rsidR="005146A4" w:rsidRPr="001D41EA" w:rsidRDefault="005146A4" w:rsidP="001D41EA">
            <w:pPr>
              <w:spacing w:before="40" w:after="40"/>
              <w:jc w:val="center"/>
              <w:rPr>
                <w:rFonts w:cs="Arial"/>
                <w:sz w:val="18"/>
                <w:szCs w:val="18"/>
              </w:rPr>
            </w:pPr>
            <w:r w:rsidRPr="001D41EA">
              <w:rPr>
                <w:rFonts w:cs="Arial"/>
                <w:sz w:val="18"/>
                <w:szCs w:val="18"/>
              </w:rPr>
              <w:t>0.967</w:t>
            </w:r>
          </w:p>
        </w:tc>
        <w:tc>
          <w:tcPr>
            <w:tcW w:w="851" w:type="dxa"/>
            <w:tcBorders>
              <w:top w:val="nil"/>
              <w:left w:val="nil"/>
              <w:bottom w:val="nil"/>
              <w:right w:val="nil"/>
            </w:tcBorders>
            <w:shd w:val="clear" w:color="auto" w:fill="auto"/>
            <w:vAlign w:val="bottom"/>
          </w:tcPr>
          <w:p w14:paraId="198E681B" w14:textId="2D0AED64" w:rsidR="005146A4" w:rsidRPr="001D41EA" w:rsidRDefault="005146A4" w:rsidP="001D41EA">
            <w:pPr>
              <w:spacing w:before="40" w:after="40"/>
              <w:jc w:val="center"/>
              <w:rPr>
                <w:rFonts w:cs="Arial"/>
                <w:sz w:val="18"/>
                <w:szCs w:val="18"/>
              </w:rPr>
            </w:pPr>
            <w:r w:rsidRPr="001D41EA">
              <w:rPr>
                <w:rFonts w:cs="Arial"/>
                <w:sz w:val="18"/>
                <w:szCs w:val="18"/>
              </w:rPr>
              <w:t>0.896</w:t>
            </w:r>
          </w:p>
        </w:tc>
        <w:tc>
          <w:tcPr>
            <w:tcW w:w="851" w:type="dxa"/>
            <w:tcBorders>
              <w:top w:val="nil"/>
              <w:left w:val="nil"/>
              <w:bottom w:val="nil"/>
              <w:right w:val="nil"/>
            </w:tcBorders>
            <w:shd w:val="clear" w:color="auto" w:fill="auto"/>
            <w:vAlign w:val="bottom"/>
          </w:tcPr>
          <w:p w14:paraId="073C856A" w14:textId="1741DAF0" w:rsidR="005146A4" w:rsidRPr="001D41EA" w:rsidRDefault="005146A4" w:rsidP="001D41EA">
            <w:pPr>
              <w:spacing w:before="40" w:after="40"/>
              <w:jc w:val="center"/>
              <w:rPr>
                <w:rFonts w:cs="Arial"/>
                <w:sz w:val="18"/>
                <w:szCs w:val="18"/>
              </w:rPr>
            </w:pPr>
            <w:r w:rsidRPr="001D41EA">
              <w:rPr>
                <w:rFonts w:cs="Arial"/>
                <w:sz w:val="18"/>
                <w:szCs w:val="18"/>
              </w:rPr>
              <w:t>0.944</w:t>
            </w:r>
          </w:p>
        </w:tc>
        <w:tc>
          <w:tcPr>
            <w:tcW w:w="851" w:type="dxa"/>
            <w:tcBorders>
              <w:top w:val="nil"/>
              <w:left w:val="nil"/>
              <w:bottom w:val="nil"/>
              <w:right w:val="nil"/>
            </w:tcBorders>
            <w:shd w:val="clear" w:color="auto" w:fill="auto"/>
            <w:vAlign w:val="bottom"/>
          </w:tcPr>
          <w:p w14:paraId="37D6F06D" w14:textId="5478F936" w:rsidR="005146A4" w:rsidRPr="001D41EA" w:rsidRDefault="005146A4" w:rsidP="001D41EA">
            <w:pPr>
              <w:spacing w:before="40" w:after="40"/>
              <w:jc w:val="center"/>
              <w:rPr>
                <w:rFonts w:cs="Arial"/>
                <w:sz w:val="18"/>
                <w:szCs w:val="18"/>
              </w:rPr>
            </w:pPr>
            <w:r w:rsidRPr="001D41EA">
              <w:rPr>
                <w:rFonts w:cs="Arial"/>
                <w:sz w:val="18"/>
                <w:szCs w:val="18"/>
              </w:rPr>
              <w:t>0.905</w:t>
            </w:r>
          </w:p>
        </w:tc>
        <w:tc>
          <w:tcPr>
            <w:tcW w:w="851" w:type="dxa"/>
            <w:tcBorders>
              <w:top w:val="nil"/>
              <w:left w:val="nil"/>
              <w:bottom w:val="nil"/>
              <w:right w:val="nil"/>
            </w:tcBorders>
            <w:shd w:val="clear" w:color="auto" w:fill="auto"/>
            <w:vAlign w:val="bottom"/>
          </w:tcPr>
          <w:p w14:paraId="4BD252EC" w14:textId="3FFD6628" w:rsidR="005146A4" w:rsidRPr="001D41EA" w:rsidRDefault="005146A4" w:rsidP="001D41EA">
            <w:pPr>
              <w:spacing w:before="40" w:after="40"/>
              <w:jc w:val="center"/>
              <w:rPr>
                <w:rFonts w:cs="Arial"/>
                <w:sz w:val="18"/>
                <w:szCs w:val="18"/>
              </w:rPr>
            </w:pPr>
            <w:r w:rsidRPr="001D41EA">
              <w:rPr>
                <w:rFonts w:cs="Arial"/>
                <w:sz w:val="18"/>
                <w:szCs w:val="18"/>
              </w:rPr>
              <w:t>0.912</w:t>
            </w:r>
          </w:p>
        </w:tc>
        <w:tc>
          <w:tcPr>
            <w:tcW w:w="851" w:type="dxa"/>
            <w:tcBorders>
              <w:top w:val="nil"/>
              <w:left w:val="nil"/>
              <w:bottom w:val="nil"/>
              <w:right w:val="nil"/>
            </w:tcBorders>
            <w:shd w:val="clear" w:color="auto" w:fill="auto"/>
            <w:vAlign w:val="bottom"/>
          </w:tcPr>
          <w:p w14:paraId="5EC412F5" w14:textId="7744E8B1" w:rsidR="005146A4" w:rsidRPr="001D41EA" w:rsidRDefault="005146A4" w:rsidP="001D41EA">
            <w:pPr>
              <w:spacing w:before="40" w:after="40"/>
              <w:jc w:val="center"/>
              <w:rPr>
                <w:rFonts w:cs="Arial"/>
                <w:sz w:val="18"/>
                <w:szCs w:val="18"/>
              </w:rPr>
            </w:pPr>
            <w:r w:rsidRPr="001D41EA">
              <w:rPr>
                <w:rFonts w:cs="Arial"/>
                <w:sz w:val="18"/>
                <w:szCs w:val="18"/>
              </w:rPr>
              <w:t>0.952</w:t>
            </w:r>
          </w:p>
        </w:tc>
      </w:tr>
      <w:tr w:rsidR="005146A4" w:rsidRPr="001D41EA" w14:paraId="4BEA385B"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E6046EC" w14:textId="77777777" w:rsidR="005146A4" w:rsidRPr="001D41EA" w:rsidRDefault="005146A4" w:rsidP="001D41EA">
            <w:pPr>
              <w:spacing w:before="40" w:after="40"/>
              <w:rPr>
                <w:rFonts w:cs="Arial"/>
                <w:sz w:val="18"/>
                <w:szCs w:val="18"/>
              </w:rPr>
            </w:pPr>
            <w:r w:rsidRPr="001D41EA">
              <w:rPr>
                <w:rFonts w:cs="Arial"/>
                <w:sz w:val="18"/>
                <w:szCs w:val="18"/>
              </w:rPr>
              <w:t>Horsham RC</w:t>
            </w:r>
          </w:p>
        </w:tc>
        <w:tc>
          <w:tcPr>
            <w:tcW w:w="851" w:type="dxa"/>
            <w:tcBorders>
              <w:top w:val="nil"/>
              <w:left w:val="single" w:sz="18" w:space="0" w:color="5F497A" w:themeColor="accent4" w:themeShade="BF"/>
              <w:bottom w:val="nil"/>
              <w:right w:val="nil"/>
            </w:tcBorders>
            <w:shd w:val="clear" w:color="auto" w:fill="auto"/>
            <w:vAlign w:val="bottom"/>
          </w:tcPr>
          <w:p w14:paraId="7E8DCA82" w14:textId="299FB82D" w:rsidR="005146A4" w:rsidRPr="001D41EA" w:rsidRDefault="005146A4" w:rsidP="001D41EA">
            <w:pPr>
              <w:spacing w:before="40" w:after="40"/>
              <w:jc w:val="center"/>
              <w:rPr>
                <w:rFonts w:cs="Arial"/>
                <w:sz w:val="18"/>
                <w:szCs w:val="18"/>
              </w:rPr>
            </w:pPr>
            <w:r w:rsidRPr="001D41EA">
              <w:rPr>
                <w:rFonts w:cs="Arial"/>
                <w:sz w:val="18"/>
                <w:szCs w:val="18"/>
              </w:rPr>
              <w:t>1.117</w:t>
            </w:r>
          </w:p>
        </w:tc>
        <w:tc>
          <w:tcPr>
            <w:tcW w:w="851" w:type="dxa"/>
            <w:tcBorders>
              <w:top w:val="nil"/>
              <w:left w:val="nil"/>
              <w:bottom w:val="nil"/>
              <w:right w:val="nil"/>
            </w:tcBorders>
            <w:shd w:val="clear" w:color="auto" w:fill="auto"/>
            <w:vAlign w:val="bottom"/>
          </w:tcPr>
          <w:p w14:paraId="209EEA52" w14:textId="6F696326" w:rsidR="005146A4" w:rsidRPr="001D41EA" w:rsidRDefault="005146A4" w:rsidP="001D41EA">
            <w:pPr>
              <w:spacing w:before="40" w:after="40"/>
              <w:jc w:val="center"/>
              <w:rPr>
                <w:rFonts w:cs="Arial"/>
                <w:sz w:val="18"/>
                <w:szCs w:val="18"/>
              </w:rPr>
            </w:pPr>
            <w:r w:rsidRPr="001D41EA">
              <w:rPr>
                <w:rFonts w:cs="Arial"/>
                <w:sz w:val="18"/>
                <w:szCs w:val="18"/>
              </w:rPr>
              <w:t>0.995</w:t>
            </w:r>
          </w:p>
        </w:tc>
        <w:tc>
          <w:tcPr>
            <w:tcW w:w="851" w:type="dxa"/>
            <w:tcBorders>
              <w:top w:val="nil"/>
              <w:left w:val="nil"/>
              <w:bottom w:val="nil"/>
              <w:right w:val="nil"/>
            </w:tcBorders>
            <w:shd w:val="clear" w:color="auto" w:fill="auto"/>
            <w:vAlign w:val="bottom"/>
          </w:tcPr>
          <w:p w14:paraId="0B900078" w14:textId="390D899D" w:rsidR="005146A4" w:rsidRPr="001D41EA" w:rsidRDefault="005146A4" w:rsidP="001D41EA">
            <w:pPr>
              <w:spacing w:before="40" w:after="40"/>
              <w:jc w:val="center"/>
              <w:rPr>
                <w:rFonts w:cs="Arial"/>
                <w:sz w:val="18"/>
                <w:szCs w:val="18"/>
              </w:rPr>
            </w:pPr>
            <w:r w:rsidRPr="001D41EA">
              <w:rPr>
                <w:rFonts w:cs="Arial"/>
                <w:sz w:val="18"/>
                <w:szCs w:val="18"/>
              </w:rPr>
              <w:t>0.999</w:t>
            </w:r>
          </w:p>
        </w:tc>
        <w:tc>
          <w:tcPr>
            <w:tcW w:w="851" w:type="dxa"/>
            <w:tcBorders>
              <w:top w:val="nil"/>
              <w:left w:val="nil"/>
              <w:bottom w:val="nil"/>
              <w:right w:val="nil"/>
            </w:tcBorders>
            <w:shd w:val="clear" w:color="auto" w:fill="auto"/>
            <w:vAlign w:val="bottom"/>
          </w:tcPr>
          <w:p w14:paraId="2E6EA34F" w14:textId="57651996" w:rsidR="005146A4" w:rsidRPr="001D41EA" w:rsidRDefault="005146A4" w:rsidP="001D41EA">
            <w:pPr>
              <w:spacing w:before="40" w:after="40"/>
              <w:jc w:val="center"/>
              <w:rPr>
                <w:rFonts w:cs="Arial"/>
                <w:sz w:val="18"/>
                <w:szCs w:val="18"/>
              </w:rPr>
            </w:pPr>
            <w:r w:rsidRPr="001D41EA">
              <w:rPr>
                <w:rFonts w:cs="Arial"/>
                <w:sz w:val="18"/>
                <w:szCs w:val="18"/>
              </w:rPr>
              <w:t>1.140</w:t>
            </w:r>
          </w:p>
        </w:tc>
        <w:tc>
          <w:tcPr>
            <w:tcW w:w="851" w:type="dxa"/>
            <w:tcBorders>
              <w:top w:val="nil"/>
              <w:left w:val="nil"/>
              <w:bottom w:val="nil"/>
              <w:right w:val="nil"/>
            </w:tcBorders>
            <w:shd w:val="clear" w:color="auto" w:fill="auto"/>
            <w:vAlign w:val="bottom"/>
          </w:tcPr>
          <w:p w14:paraId="657BCB83" w14:textId="5C936941" w:rsidR="005146A4" w:rsidRPr="001D41EA" w:rsidRDefault="005146A4" w:rsidP="001D41EA">
            <w:pPr>
              <w:spacing w:before="40" w:after="40"/>
              <w:jc w:val="center"/>
              <w:rPr>
                <w:rFonts w:cs="Arial"/>
                <w:sz w:val="18"/>
                <w:szCs w:val="18"/>
              </w:rPr>
            </w:pPr>
            <w:r w:rsidRPr="001D41EA">
              <w:rPr>
                <w:rFonts w:cs="Arial"/>
                <w:sz w:val="18"/>
                <w:szCs w:val="18"/>
              </w:rPr>
              <w:t>1.104</w:t>
            </w:r>
          </w:p>
        </w:tc>
        <w:tc>
          <w:tcPr>
            <w:tcW w:w="851" w:type="dxa"/>
            <w:tcBorders>
              <w:top w:val="nil"/>
              <w:left w:val="nil"/>
              <w:bottom w:val="nil"/>
              <w:right w:val="nil"/>
            </w:tcBorders>
            <w:shd w:val="clear" w:color="auto" w:fill="auto"/>
            <w:vAlign w:val="bottom"/>
          </w:tcPr>
          <w:p w14:paraId="593B5B2C" w14:textId="1E39D3AF" w:rsidR="005146A4" w:rsidRPr="001D41EA" w:rsidRDefault="005146A4" w:rsidP="001D41EA">
            <w:pPr>
              <w:spacing w:before="40" w:after="40"/>
              <w:jc w:val="center"/>
              <w:rPr>
                <w:rFonts w:cs="Arial"/>
                <w:sz w:val="18"/>
                <w:szCs w:val="18"/>
              </w:rPr>
            </w:pPr>
            <w:r w:rsidRPr="001D41EA">
              <w:rPr>
                <w:rFonts w:cs="Arial"/>
                <w:sz w:val="18"/>
                <w:szCs w:val="18"/>
              </w:rPr>
              <w:t>1.102</w:t>
            </w:r>
          </w:p>
        </w:tc>
        <w:tc>
          <w:tcPr>
            <w:tcW w:w="851" w:type="dxa"/>
            <w:tcBorders>
              <w:top w:val="nil"/>
              <w:left w:val="nil"/>
              <w:bottom w:val="nil"/>
              <w:right w:val="nil"/>
            </w:tcBorders>
            <w:shd w:val="clear" w:color="auto" w:fill="auto"/>
            <w:vAlign w:val="bottom"/>
          </w:tcPr>
          <w:p w14:paraId="5525871E" w14:textId="2B7A97B9" w:rsidR="005146A4" w:rsidRPr="001D41EA" w:rsidRDefault="005146A4" w:rsidP="001D41EA">
            <w:pPr>
              <w:spacing w:before="40" w:after="40"/>
              <w:jc w:val="center"/>
              <w:rPr>
                <w:rFonts w:cs="Arial"/>
                <w:sz w:val="18"/>
                <w:szCs w:val="18"/>
              </w:rPr>
            </w:pPr>
            <w:r w:rsidRPr="001D41EA">
              <w:rPr>
                <w:rFonts w:cs="Arial"/>
                <w:sz w:val="18"/>
                <w:szCs w:val="18"/>
              </w:rPr>
              <w:t>1.160</w:t>
            </w:r>
          </w:p>
        </w:tc>
        <w:tc>
          <w:tcPr>
            <w:tcW w:w="851" w:type="dxa"/>
            <w:tcBorders>
              <w:top w:val="nil"/>
              <w:left w:val="nil"/>
              <w:bottom w:val="nil"/>
              <w:right w:val="nil"/>
            </w:tcBorders>
            <w:shd w:val="clear" w:color="auto" w:fill="auto"/>
            <w:vAlign w:val="bottom"/>
          </w:tcPr>
          <w:p w14:paraId="1BBD6577" w14:textId="191B620F" w:rsidR="005146A4" w:rsidRPr="001D41EA" w:rsidRDefault="005146A4" w:rsidP="001D41EA">
            <w:pPr>
              <w:spacing w:before="40" w:after="40"/>
              <w:jc w:val="center"/>
              <w:rPr>
                <w:rFonts w:cs="Arial"/>
                <w:sz w:val="18"/>
                <w:szCs w:val="18"/>
              </w:rPr>
            </w:pPr>
            <w:r w:rsidRPr="001D41EA">
              <w:rPr>
                <w:rFonts w:cs="Arial"/>
                <w:sz w:val="18"/>
                <w:szCs w:val="18"/>
              </w:rPr>
              <w:t>1.290</w:t>
            </w:r>
          </w:p>
        </w:tc>
      </w:tr>
      <w:tr w:rsidR="005146A4" w:rsidRPr="001D41EA" w14:paraId="72B079A5"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380E8C0" w14:textId="77777777" w:rsidR="005146A4" w:rsidRPr="001D41EA" w:rsidRDefault="005146A4" w:rsidP="001D41EA">
            <w:pPr>
              <w:spacing w:before="40" w:after="40"/>
              <w:rPr>
                <w:rFonts w:cs="Arial"/>
                <w:sz w:val="18"/>
                <w:szCs w:val="18"/>
              </w:rPr>
            </w:pPr>
            <w:r w:rsidRPr="001D41EA">
              <w:rPr>
                <w:rFonts w:cs="Arial"/>
                <w:sz w:val="18"/>
                <w:szCs w:val="18"/>
              </w:rPr>
              <w:t>Hume C</w:t>
            </w:r>
          </w:p>
        </w:tc>
        <w:tc>
          <w:tcPr>
            <w:tcW w:w="851" w:type="dxa"/>
            <w:tcBorders>
              <w:top w:val="nil"/>
              <w:left w:val="single" w:sz="18" w:space="0" w:color="5F497A" w:themeColor="accent4" w:themeShade="BF"/>
              <w:bottom w:val="nil"/>
              <w:right w:val="nil"/>
            </w:tcBorders>
            <w:shd w:val="clear" w:color="auto" w:fill="auto"/>
            <w:vAlign w:val="bottom"/>
          </w:tcPr>
          <w:p w14:paraId="336E0AF5" w14:textId="4A8DA8B9" w:rsidR="005146A4" w:rsidRPr="001D41EA" w:rsidRDefault="005146A4" w:rsidP="001D41EA">
            <w:pPr>
              <w:spacing w:before="40" w:after="40"/>
              <w:jc w:val="center"/>
              <w:rPr>
                <w:rFonts w:cs="Arial"/>
                <w:sz w:val="18"/>
                <w:szCs w:val="18"/>
              </w:rPr>
            </w:pPr>
            <w:r w:rsidRPr="001D41EA">
              <w:rPr>
                <w:rFonts w:cs="Arial"/>
                <w:sz w:val="18"/>
                <w:szCs w:val="18"/>
              </w:rPr>
              <w:t>1.000</w:t>
            </w:r>
          </w:p>
        </w:tc>
        <w:tc>
          <w:tcPr>
            <w:tcW w:w="851" w:type="dxa"/>
            <w:tcBorders>
              <w:top w:val="nil"/>
              <w:left w:val="nil"/>
              <w:bottom w:val="nil"/>
              <w:right w:val="nil"/>
            </w:tcBorders>
            <w:shd w:val="clear" w:color="auto" w:fill="auto"/>
            <w:vAlign w:val="bottom"/>
          </w:tcPr>
          <w:p w14:paraId="1FA72090" w14:textId="378EA1CA" w:rsidR="005146A4" w:rsidRPr="001D41EA" w:rsidRDefault="005146A4" w:rsidP="001D41EA">
            <w:pPr>
              <w:spacing w:before="40" w:after="40"/>
              <w:jc w:val="center"/>
              <w:rPr>
                <w:rFonts w:cs="Arial"/>
                <w:sz w:val="18"/>
                <w:szCs w:val="18"/>
              </w:rPr>
            </w:pPr>
            <w:r w:rsidRPr="001D41EA">
              <w:rPr>
                <w:rFonts w:cs="Arial"/>
                <w:sz w:val="18"/>
                <w:szCs w:val="18"/>
              </w:rPr>
              <w:t>1.139</w:t>
            </w:r>
          </w:p>
        </w:tc>
        <w:tc>
          <w:tcPr>
            <w:tcW w:w="851" w:type="dxa"/>
            <w:tcBorders>
              <w:top w:val="nil"/>
              <w:left w:val="nil"/>
              <w:bottom w:val="nil"/>
              <w:right w:val="nil"/>
            </w:tcBorders>
            <w:shd w:val="clear" w:color="auto" w:fill="auto"/>
            <w:vAlign w:val="bottom"/>
          </w:tcPr>
          <w:p w14:paraId="6998F9B2" w14:textId="75E1A164" w:rsidR="005146A4" w:rsidRPr="001D41EA" w:rsidRDefault="005146A4" w:rsidP="001D41EA">
            <w:pPr>
              <w:spacing w:before="40" w:after="40"/>
              <w:jc w:val="center"/>
              <w:rPr>
                <w:rFonts w:cs="Arial"/>
                <w:sz w:val="18"/>
                <w:szCs w:val="18"/>
              </w:rPr>
            </w:pPr>
            <w:r w:rsidRPr="001D41EA">
              <w:rPr>
                <w:rFonts w:cs="Arial"/>
                <w:sz w:val="18"/>
                <w:szCs w:val="18"/>
              </w:rPr>
              <w:t>1.081</w:t>
            </w:r>
          </w:p>
        </w:tc>
        <w:tc>
          <w:tcPr>
            <w:tcW w:w="851" w:type="dxa"/>
            <w:tcBorders>
              <w:top w:val="nil"/>
              <w:left w:val="nil"/>
              <w:bottom w:val="nil"/>
              <w:right w:val="nil"/>
            </w:tcBorders>
            <w:shd w:val="clear" w:color="auto" w:fill="auto"/>
            <w:vAlign w:val="bottom"/>
          </w:tcPr>
          <w:p w14:paraId="2CB00326" w14:textId="6BF95F74" w:rsidR="005146A4" w:rsidRPr="001D41EA" w:rsidRDefault="005146A4" w:rsidP="001D41EA">
            <w:pPr>
              <w:spacing w:before="40" w:after="40"/>
              <w:jc w:val="center"/>
              <w:rPr>
                <w:rFonts w:cs="Arial"/>
                <w:sz w:val="18"/>
                <w:szCs w:val="18"/>
              </w:rPr>
            </w:pPr>
            <w:r w:rsidRPr="001D41EA">
              <w:rPr>
                <w:rFonts w:cs="Arial"/>
                <w:sz w:val="18"/>
                <w:szCs w:val="18"/>
              </w:rPr>
              <w:t>0.945</w:t>
            </w:r>
          </w:p>
        </w:tc>
        <w:tc>
          <w:tcPr>
            <w:tcW w:w="851" w:type="dxa"/>
            <w:tcBorders>
              <w:top w:val="nil"/>
              <w:left w:val="nil"/>
              <w:bottom w:val="nil"/>
              <w:right w:val="nil"/>
            </w:tcBorders>
            <w:shd w:val="clear" w:color="auto" w:fill="auto"/>
            <w:vAlign w:val="bottom"/>
          </w:tcPr>
          <w:p w14:paraId="77758857" w14:textId="58CFD528" w:rsidR="005146A4" w:rsidRPr="001D41EA" w:rsidRDefault="005146A4" w:rsidP="001D41EA">
            <w:pPr>
              <w:spacing w:before="40" w:after="40"/>
              <w:jc w:val="center"/>
              <w:rPr>
                <w:rFonts w:cs="Arial"/>
                <w:sz w:val="18"/>
                <w:szCs w:val="18"/>
              </w:rPr>
            </w:pPr>
            <w:r w:rsidRPr="001D41EA">
              <w:rPr>
                <w:rFonts w:cs="Arial"/>
                <w:sz w:val="18"/>
                <w:szCs w:val="18"/>
              </w:rPr>
              <w:t>0.934</w:t>
            </w:r>
          </w:p>
        </w:tc>
        <w:tc>
          <w:tcPr>
            <w:tcW w:w="851" w:type="dxa"/>
            <w:tcBorders>
              <w:top w:val="nil"/>
              <w:left w:val="nil"/>
              <w:bottom w:val="nil"/>
              <w:right w:val="nil"/>
            </w:tcBorders>
            <w:shd w:val="clear" w:color="auto" w:fill="auto"/>
            <w:vAlign w:val="bottom"/>
          </w:tcPr>
          <w:p w14:paraId="72FC7301" w14:textId="38314EA7" w:rsidR="005146A4" w:rsidRPr="001D41EA" w:rsidRDefault="005146A4" w:rsidP="001D41EA">
            <w:pPr>
              <w:spacing w:before="40" w:after="40"/>
              <w:jc w:val="center"/>
              <w:rPr>
                <w:rFonts w:cs="Arial"/>
                <w:sz w:val="18"/>
                <w:szCs w:val="18"/>
              </w:rPr>
            </w:pPr>
            <w:r w:rsidRPr="001D41EA">
              <w:rPr>
                <w:rFonts w:cs="Arial"/>
                <w:sz w:val="18"/>
                <w:szCs w:val="18"/>
              </w:rPr>
              <w:t>0.974</w:t>
            </w:r>
          </w:p>
        </w:tc>
        <w:tc>
          <w:tcPr>
            <w:tcW w:w="851" w:type="dxa"/>
            <w:tcBorders>
              <w:top w:val="nil"/>
              <w:left w:val="nil"/>
              <w:bottom w:val="nil"/>
              <w:right w:val="nil"/>
            </w:tcBorders>
            <w:shd w:val="clear" w:color="auto" w:fill="auto"/>
            <w:vAlign w:val="bottom"/>
          </w:tcPr>
          <w:p w14:paraId="59D4E1E0" w14:textId="56A31E74" w:rsidR="005146A4" w:rsidRPr="001D41EA" w:rsidRDefault="005146A4" w:rsidP="001D41EA">
            <w:pPr>
              <w:spacing w:before="40" w:after="40"/>
              <w:jc w:val="center"/>
              <w:rPr>
                <w:rFonts w:cs="Arial"/>
                <w:sz w:val="18"/>
                <w:szCs w:val="18"/>
              </w:rPr>
            </w:pPr>
            <w:r w:rsidRPr="001D41EA">
              <w:rPr>
                <w:rFonts w:cs="Arial"/>
                <w:sz w:val="18"/>
                <w:szCs w:val="18"/>
              </w:rPr>
              <w:t>0.952</w:t>
            </w:r>
          </w:p>
        </w:tc>
        <w:tc>
          <w:tcPr>
            <w:tcW w:w="851" w:type="dxa"/>
            <w:tcBorders>
              <w:top w:val="nil"/>
              <w:left w:val="nil"/>
              <w:bottom w:val="nil"/>
              <w:right w:val="nil"/>
            </w:tcBorders>
            <w:shd w:val="clear" w:color="auto" w:fill="auto"/>
            <w:vAlign w:val="bottom"/>
          </w:tcPr>
          <w:p w14:paraId="56EA3999" w14:textId="4AD43469" w:rsidR="005146A4" w:rsidRPr="001D41EA" w:rsidRDefault="005146A4" w:rsidP="001D41EA">
            <w:pPr>
              <w:spacing w:before="40" w:after="40"/>
              <w:jc w:val="center"/>
              <w:rPr>
                <w:rFonts w:cs="Arial"/>
                <w:sz w:val="18"/>
                <w:szCs w:val="18"/>
              </w:rPr>
            </w:pPr>
            <w:r w:rsidRPr="001D41EA">
              <w:rPr>
                <w:rFonts w:cs="Arial"/>
                <w:sz w:val="18"/>
                <w:szCs w:val="18"/>
              </w:rPr>
              <w:t>0.897</w:t>
            </w:r>
          </w:p>
        </w:tc>
      </w:tr>
      <w:tr w:rsidR="005146A4" w:rsidRPr="001D41EA" w14:paraId="3A418CA1"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737B1B0" w14:textId="77777777" w:rsidR="005146A4" w:rsidRPr="001D41EA" w:rsidRDefault="005146A4" w:rsidP="001D41EA">
            <w:pPr>
              <w:spacing w:before="40" w:after="40"/>
              <w:rPr>
                <w:rFonts w:cs="Arial"/>
                <w:sz w:val="18"/>
                <w:szCs w:val="18"/>
              </w:rPr>
            </w:pPr>
            <w:r w:rsidRPr="001D41EA">
              <w:rPr>
                <w:rFonts w:cs="Arial"/>
                <w:sz w:val="18"/>
                <w:szCs w:val="18"/>
              </w:rPr>
              <w:t>Indigo S</w:t>
            </w:r>
          </w:p>
        </w:tc>
        <w:tc>
          <w:tcPr>
            <w:tcW w:w="851" w:type="dxa"/>
            <w:tcBorders>
              <w:top w:val="nil"/>
              <w:left w:val="single" w:sz="18" w:space="0" w:color="5F497A" w:themeColor="accent4" w:themeShade="BF"/>
              <w:bottom w:val="nil"/>
              <w:right w:val="nil"/>
            </w:tcBorders>
            <w:shd w:val="clear" w:color="auto" w:fill="auto"/>
            <w:vAlign w:val="bottom"/>
          </w:tcPr>
          <w:p w14:paraId="2EA8ABCB" w14:textId="49EB8C0A" w:rsidR="005146A4" w:rsidRPr="001D41EA" w:rsidRDefault="005146A4" w:rsidP="001D41EA">
            <w:pPr>
              <w:spacing w:before="40" w:after="40"/>
              <w:jc w:val="center"/>
              <w:rPr>
                <w:rFonts w:cs="Arial"/>
                <w:sz w:val="18"/>
                <w:szCs w:val="18"/>
              </w:rPr>
            </w:pPr>
            <w:r w:rsidRPr="001D41EA">
              <w:rPr>
                <w:rFonts w:cs="Arial"/>
                <w:sz w:val="18"/>
                <w:szCs w:val="18"/>
              </w:rPr>
              <w:t>1.145</w:t>
            </w:r>
          </w:p>
        </w:tc>
        <w:tc>
          <w:tcPr>
            <w:tcW w:w="851" w:type="dxa"/>
            <w:tcBorders>
              <w:top w:val="nil"/>
              <w:left w:val="nil"/>
              <w:bottom w:val="nil"/>
              <w:right w:val="nil"/>
            </w:tcBorders>
            <w:shd w:val="clear" w:color="auto" w:fill="auto"/>
            <w:vAlign w:val="bottom"/>
          </w:tcPr>
          <w:p w14:paraId="17D35228" w14:textId="6C684B0C" w:rsidR="005146A4" w:rsidRPr="001D41EA" w:rsidRDefault="005146A4" w:rsidP="001D41EA">
            <w:pPr>
              <w:spacing w:before="40" w:after="40"/>
              <w:jc w:val="center"/>
              <w:rPr>
                <w:rFonts w:cs="Arial"/>
                <w:sz w:val="18"/>
                <w:szCs w:val="18"/>
              </w:rPr>
            </w:pPr>
            <w:r w:rsidRPr="001D41EA">
              <w:rPr>
                <w:rFonts w:cs="Arial"/>
                <w:sz w:val="18"/>
                <w:szCs w:val="18"/>
              </w:rPr>
              <w:t>1.025</w:t>
            </w:r>
          </w:p>
        </w:tc>
        <w:tc>
          <w:tcPr>
            <w:tcW w:w="851" w:type="dxa"/>
            <w:tcBorders>
              <w:top w:val="nil"/>
              <w:left w:val="nil"/>
              <w:bottom w:val="nil"/>
              <w:right w:val="nil"/>
            </w:tcBorders>
            <w:shd w:val="clear" w:color="auto" w:fill="auto"/>
            <w:vAlign w:val="bottom"/>
          </w:tcPr>
          <w:p w14:paraId="21037FFB" w14:textId="78140F61" w:rsidR="005146A4" w:rsidRPr="001D41EA" w:rsidRDefault="005146A4" w:rsidP="001D41EA">
            <w:pPr>
              <w:spacing w:before="40" w:after="40"/>
              <w:jc w:val="center"/>
              <w:rPr>
                <w:rFonts w:cs="Arial"/>
                <w:sz w:val="18"/>
                <w:szCs w:val="18"/>
              </w:rPr>
            </w:pPr>
            <w:r w:rsidRPr="001D41EA">
              <w:rPr>
                <w:rFonts w:cs="Arial"/>
                <w:sz w:val="18"/>
                <w:szCs w:val="18"/>
              </w:rPr>
              <w:t>1.088</w:t>
            </w:r>
          </w:p>
        </w:tc>
        <w:tc>
          <w:tcPr>
            <w:tcW w:w="851" w:type="dxa"/>
            <w:tcBorders>
              <w:top w:val="nil"/>
              <w:left w:val="nil"/>
              <w:bottom w:val="nil"/>
              <w:right w:val="nil"/>
            </w:tcBorders>
            <w:shd w:val="clear" w:color="auto" w:fill="auto"/>
            <w:vAlign w:val="bottom"/>
          </w:tcPr>
          <w:p w14:paraId="1E51838C" w14:textId="349EFE8A" w:rsidR="005146A4" w:rsidRPr="001D41EA" w:rsidRDefault="005146A4" w:rsidP="001D41EA">
            <w:pPr>
              <w:spacing w:before="40" w:after="40"/>
              <w:jc w:val="center"/>
              <w:rPr>
                <w:rFonts w:cs="Arial"/>
                <w:sz w:val="18"/>
                <w:szCs w:val="18"/>
              </w:rPr>
            </w:pPr>
            <w:r w:rsidRPr="001D41EA">
              <w:rPr>
                <w:rFonts w:cs="Arial"/>
                <w:sz w:val="18"/>
                <w:szCs w:val="18"/>
              </w:rPr>
              <w:t>1.062</w:t>
            </w:r>
          </w:p>
        </w:tc>
        <w:tc>
          <w:tcPr>
            <w:tcW w:w="851" w:type="dxa"/>
            <w:tcBorders>
              <w:top w:val="nil"/>
              <w:left w:val="nil"/>
              <w:bottom w:val="nil"/>
              <w:right w:val="nil"/>
            </w:tcBorders>
            <w:shd w:val="clear" w:color="auto" w:fill="auto"/>
            <w:vAlign w:val="bottom"/>
          </w:tcPr>
          <w:p w14:paraId="383050A6" w14:textId="5297C92D" w:rsidR="005146A4" w:rsidRPr="001D41EA" w:rsidRDefault="005146A4" w:rsidP="001D41EA">
            <w:pPr>
              <w:spacing w:before="40" w:after="40"/>
              <w:jc w:val="center"/>
              <w:rPr>
                <w:rFonts w:cs="Arial"/>
                <w:sz w:val="18"/>
                <w:szCs w:val="18"/>
              </w:rPr>
            </w:pPr>
            <w:r w:rsidRPr="001D41EA">
              <w:rPr>
                <w:rFonts w:cs="Arial"/>
                <w:sz w:val="18"/>
                <w:szCs w:val="18"/>
              </w:rPr>
              <w:t>1.288</w:t>
            </w:r>
          </w:p>
        </w:tc>
        <w:tc>
          <w:tcPr>
            <w:tcW w:w="851" w:type="dxa"/>
            <w:tcBorders>
              <w:top w:val="nil"/>
              <w:left w:val="nil"/>
              <w:bottom w:val="nil"/>
              <w:right w:val="nil"/>
            </w:tcBorders>
            <w:shd w:val="clear" w:color="auto" w:fill="auto"/>
            <w:vAlign w:val="bottom"/>
          </w:tcPr>
          <w:p w14:paraId="3092D263" w14:textId="240DA368" w:rsidR="005146A4" w:rsidRPr="001D41EA" w:rsidRDefault="005146A4" w:rsidP="001D41EA">
            <w:pPr>
              <w:spacing w:before="40" w:after="40"/>
              <w:jc w:val="center"/>
              <w:rPr>
                <w:rFonts w:cs="Arial"/>
                <w:sz w:val="18"/>
                <w:szCs w:val="18"/>
              </w:rPr>
            </w:pPr>
            <w:r w:rsidRPr="001D41EA">
              <w:rPr>
                <w:rFonts w:cs="Arial"/>
                <w:sz w:val="18"/>
                <w:szCs w:val="18"/>
              </w:rPr>
              <w:t>1.035</w:t>
            </w:r>
          </w:p>
        </w:tc>
        <w:tc>
          <w:tcPr>
            <w:tcW w:w="851" w:type="dxa"/>
            <w:tcBorders>
              <w:top w:val="nil"/>
              <w:left w:val="nil"/>
              <w:bottom w:val="nil"/>
              <w:right w:val="nil"/>
            </w:tcBorders>
            <w:shd w:val="clear" w:color="auto" w:fill="auto"/>
            <w:vAlign w:val="bottom"/>
          </w:tcPr>
          <w:p w14:paraId="0B9DF0E4" w14:textId="3A42A160" w:rsidR="005146A4" w:rsidRPr="001D41EA" w:rsidRDefault="005146A4" w:rsidP="001D41EA">
            <w:pPr>
              <w:spacing w:before="40" w:after="40"/>
              <w:jc w:val="center"/>
              <w:rPr>
                <w:rFonts w:cs="Arial"/>
                <w:sz w:val="18"/>
                <w:szCs w:val="18"/>
              </w:rPr>
            </w:pPr>
            <w:r w:rsidRPr="001D41EA">
              <w:rPr>
                <w:rFonts w:cs="Arial"/>
                <w:sz w:val="18"/>
                <w:szCs w:val="18"/>
              </w:rPr>
              <w:t>1.245</w:t>
            </w:r>
          </w:p>
        </w:tc>
        <w:tc>
          <w:tcPr>
            <w:tcW w:w="851" w:type="dxa"/>
            <w:tcBorders>
              <w:top w:val="nil"/>
              <w:left w:val="nil"/>
              <w:bottom w:val="nil"/>
              <w:right w:val="nil"/>
            </w:tcBorders>
            <w:shd w:val="clear" w:color="auto" w:fill="auto"/>
            <w:vAlign w:val="bottom"/>
          </w:tcPr>
          <w:p w14:paraId="452F14E6" w14:textId="2935BC7D" w:rsidR="005146A4" w:rsidRPr="001D41EA" w:rsidRDefault="005146A4" w:rsidP="001D41EA">
            <w:pPr>
              <w:spacing w:before="40" w:after="40"/>
              <w:jc w:val="center"/>
              <w:rPr>
                <w:rFonts w:cs="Arial"/>
                <w:sz w:val="18"/>
                <w:szCs w:val="18"/>
              </w:rPr>
            </w:pPr>
            <w:r w:rsidRPr="001D41EA">
              <w:rPr>
                <w:rFonts w:cs="Arial"/>
                <w:sz w:val="18"/>
                <w:szCs w:val="18"/>
              </w:rPr>
              <w:t>1.110</w:t>
            </w:r>
          </w:p>
        </w:tc>
      </w:tr>
      <w:tr w:rsidR="005146A4" w:rsidRPr="001D41EA" w14:paraId="6D220C61"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FBCC47E" w14:textId="77777777" w:rsidR="005146A4" w:rsidRPr="001D41EA" w:rsidRDefault="005146A4" w:rsidP="001D41EA">
            <w:pPr>
              <w:spacing w:before="40" w:after="40"/>
              <w:rPr>
                <w:rFonts w:cs="Arial"/>
                <w:sz w:val="18"/>
                <w:szCs w:val="18"/>
              </w:rPr>
            </w:pPr>
            <w:r w:rsidRPr="001D41EA">
              <w:rPr>
                <w:rFonts w:cs="Arial"/>
                <w:sz w:val="18"/>
                <w:szCs w:val="18"/>
              </w:rPr>
              <w:t>Kingston C</w:t>
            </w:r>
          </w:p>
        </w:tc>
        <w:tc>
          <w:tcPr>
            <w:tcW w:w="851" w:type="dxa"/>
            <w:tcBorders>
              <w:top w:val="nil"/>
              <w:left w:val="single" w:sz="18" w:space="0" w:color="5F497A" w:themeColor="accent4" w:themeShade="BF"/>
              <w:bottom w:val="nil"/>
              <w:right w:val="nil"/>
            </w:tcBorders>
            <w:shd w:val="clear" w:color="auto" w:fill="auto"/>
            <w:vAlign w:val="bottom"/>
          </w:tcPr>
          <w:p w14:paraId="07CB04F9" w14:textId="0D8CCE5F" w:rsidR="005146A4" w:rsidRPr="001D41EA" w:rsidRDefault="005146A4" w:rsidP="001D41EA">
            <w:pPr>
              <w:spacing w:before="40" w:after="40"/>
              <w:jc w:val="center"/>
              <w:rPr>
                <w:rFonts w:cs="Arial"/>
                <w:sz w:val="18"/>
                <w:szCs w:val="18"/>
              </w:rPr>
            </w:pPr>
            <w:r w:rsidRPr="001D41EA">
              <w:rPr>
                <w:rFonts w:cs="Arial"/>
                <w:sz w:val="18"/>
                <w:szCs w:val="18"/>
              </w:rPr>
              <w:t>0.935</w:t>
            </w:r>
          </w:p>
        </w:tc>
        <w:tc>
          <w:tcPr>
            <w:tcW w:w="851" w:type="dxa"/>
            <w:tcBorders>
              <w:top w:val="nil"/>
              <w:left w:val="nil"/>
              <w:bottom w:val="nil"/>
              <w:right w:val="nil"/>
            </w:tcBorders>
            <w:shd w:val="clear" w:color="auto" w:fill="auto"/>
            <w:vAlign w:val="bottom"/>
          </w:tcPr>
          <w:p w14:paraId="128A66DA" w14:textId="6DD5C682" w:rsidR="005146A4" w:rsidRPr="001D41EA" w:rsidRDefault="005146A4" w:rsidP="001D41EA">
            <w:pPr>
              <w:spacing w:before="40" w:after="40"/>
              <w:jc w:val="center"/>
              <w:rPr>
                <w:rFonts w:cs="Arial"/>
                <w:sz w:val="18"/>
                <w:szCs w:val="18"/>
              </w:rPr>
            </w:pPr>
            <w:r w:rsidRPr="001D41EA">
              <w:rPr>
                <w:rFonts w:cs="Arial"/>
                <w:sz w:val="18"/>
                <w:szCs w:val="18"/>
              </w:rPr>
              <w:t>0.925</w:t>
            </w:r>
          </w:p>
        </w:tc>
        <w:tc>
          <w:tcPr>
            <w:tcW w:w="851" w:type="dxa"/>
            <w:tcBorders>
              <w:top w:val="nil"/>
              <w:left w:val="nil"/>
              <w:bottom w:val="nil"/>
              <w:right w:val="nil"/>
            </w:tcBorders>
            <w:shd w:val="clear" w:color="auto" w:fill="auto"/>
            <w:vAlign w:val="bottom"/>
          </w:tcPr>
          <w:p w14:paraId="62987AFB" w14:textId="3D2D6BAD" w:rsidR="005146A4" w:rsidRPr="001D41EA" w:rsidRDefault="005146A4" w:rsidP="001D41EA">
            <w:pPr>
              <w:spacing w:before="40" w:after="40"/>
              <w:jc w:val="center"/>
              <w:rPr>
                <w:rFonts w:cs="Arial"/>
                <w:sz w:val="18"/>
                <w:szCs w:val="18"/>
              </w:rPr>
            </w:pPr>
            <w:r w:rsidRPr="001D41EA">
              <w:rPr>
                <w:rFonts w:cs="Arial"/>
                <w:sz w:val="18"/>
                <w:szCs w:val="18"/>
              </w:rPr>
              <w:t>0.941</w:t>
            </w:r>
          </w:p>
        </w:tc>
        <w:tc>
          <w:tcPr>
            <w:tcW w:w="851" w:type="dxa"/>
            <w:tcBorders>
              <w:top w:val="nil"/>
              <w:left w:val="nil"/>
              <w:bottom w:val="nil"/>
              <w:right w:val="nil"/>
            </w:tcBorders>
            <w:shd w:val="clear" w:color="auto" w:fill="auto"/>
            <w:vAlign w:val="bottom"/>
          </w:tcPr>
          <w:p w14:paraId="0EB2DB75" w14:textId="1288AED5" w:rsidR="005146A4" w:rsidRPr="001D41EA" w:rsidRDefault="005146A4" w:rsidP="001D41EA">
            <w:pPr>
              <w:spacing w:before="40" w:after="40"/>
              <w:jc w:val="center"/>
              <w:rPr>
                <w:rFonts w:cs="Arial"/>
                <w:sz w:val="18"/>
                <w:szCs w:val="18"/>
              </w:rPr>
            </w:pPr>
            <w:r w:rsidRPr="001D41EA">
              <w:rPr>
                <w:rFonts w:cs="Arial"/>
                <w:sz w:val="18"/>
                <w:szCs w:val="18"/>
              </w:rPr>
              <w:t>0.949</w:t>
            </w:r>
          </w:p>
        </w:tc>
        <w:tc>
          <w:tcPr>
            <w:tcW w:w="851" w:type="dxa"/>
            <w:tcBorders>
              <w:top w:val="nil"/>
              <w:left w:val="nil"/>
              <w:bottom w:val="nil"/>
              <w:right w:val="nil"/>
            </w:tcBorders>
            <w:shd w:val="clear" w:color="auto" w:fill="auto"/>
            <w:vAlign w:val="bottom"/>
          </w:tcPr>
          <w:p w14:paraId="7E99DD09" w14:textId="20A7D2D5" w:rsidR="005146A4" w:rsidRPr="001D41EA" w:rsidRDefault="005146A4" w:rsidP="001D41EA">
            <w:pPr>
              <w:spacing w:before="40" w:after="40"/>
              <w:jc w:val="center"/>
              <w:rPr>
                <w:rFonts w:cs="Arial"/>
                <w:sz w:val="18"/>
                <w:szCs w:val="18"/>
              </w:rPr>
            </w:pPr>
            <w:r w:rsidRPr="001D41EA">
              <w:rPr>
                <w:rFonts w:cs="Arial"/>
                <w:sz w:val="18"/>
                <w:szCs w:val="18"/>
              </w:rPr>
              <w:t>0.919</w:t>
            </w:r>
          </w:p>
        </w:tc>
        <w:tc>
          <w:tcPr>
            <w:tcW w:w="851" w:type="dxa"/>
            <w:tcBorders>
              <w:top w:val="nil"/>
              <w:left w:val="nil"/>
              <w:bottom w:val="nil"/>
              <w:right w:val="nil"/>
            </w:tcBorders>
            <w:shd w:val="clear" w:color="auto" w:fill="auto"/>
            <w:vAlign w:val="bottom"/>
          </w:tcPr>
          <w:p w14:paraId="6FC191AF" w14:textId="61500AB8" w:rsidR="005146A4" w:rsidRPr="001D41EA" w:rsidRDefault="005146A4" w:rsidP="001D41EA">
            <w:pPr>
              <w:spacing w:before="40" w:after="40"/>
              <w:jc w:val="center"/>
              <w:rPr>
                <w:rFonts w:cs="Arial"/>
                <w:sz w:val="18"/>
                <w:szCs w:val="18"/>
              </w:rPr>
            </w:pPr>
            <w:r w:rsidRPr="001D41EA">
              <w:rPr>
                <w:rFonts w:cs="Arial"/>
                <w:sz w:val="18"/>
                <w:szCs w:val="18"/>
              </w:rPr>
              <w:t>0.948</w:t>
            </w:r>
          </w:p>
        </w:tc>
        <w:tc>
          <w:tcPr>
            <w:tcW w:w="851" w:type="dxa"/>
            <w:tcBorders>
              <w:top w:val="nil"/>
              <w:left w:val="nil"/>
              <w:bottom w:val="nil"/>
              <w:right w:val="nil"/>
            </w:tcBorders>
            <w:shd w:val="clear" w:color="auto" w:fill="auto"/>
            <w:vAlign w:val="bottom"/>
          </w:tcPr>
          <w:p w14:paraId="6FFEEAAC" w14:textId="56B830C6" w:rsidR="005146A4" w:rsidRPr="001D41EA" w:rsidRDefault="005146A4" w:rsidP="001D41EA">
            <w:pPr>
              <w:spacing w:before="40" w:after="40"/>
              <w:jc w:val="center"/>
              <w:rPr>
                <w:rFonts w:cs="Arial"/>
                <w:sz w:val="18"/>
                <w:szCs w:val="18"/>
              </w:rPr>
            </w:pPr>
            <w:r w:rsidRPr="001D41EA">
              <w:rPr>
                <w:rFonts w:cs="Arial"/>
                <w:sz w:val="18"/>
                <w:szCs w:val="18"/>
              </w:rPr>
              <w:t>0.914</w:t>
            </w:r>
          </w:p>
        </w:tc>
        <w:tc>
          <w:tcPr>
            <w:tcW w:w="851" w:type="dxa"/>
            <w:tcBorders>
              <w:top w:val="nil"/>
              <w:left w:val="nil"/>
              <w:bottom w:val="nil"/>
              <w:right w:val="nil"/>
            </w:tcBorders>
            <w:shd w:val="clear" w:color="auto" w:fill="auto"/>
            <w:vAlign w:val="bottom"/>
          </w:tcPr>
          <w:p w14:paraId="217DAB51" w14:textId="73340666" w:rsidR="005146A4" w:rsidRPr="001D41EA" w:rsidRDefault="005146A4" w:rsidP="001D41EA">
            <w:pPr>
              <w:spacing w:before="40" w:after="40"/>
              <w:jc w:val="center"/>
              <w:rPr>
                <w:rFonts w:cs="Arial"/>
                <w:sz w:val="18"/>
                <w:szCs w:val="18"/>
              </w:rPr>
            </w:pPr>
            <w:r w:rsidRPr="001D41EA">
              <w:rPr>
                <w:rFonts w:cs="Arial"/>
                <w:sz w:val="18"/>
                <w:szCs w:val="18"/>
              </w:rPr>
              <w:t>0.958</w:t>
            </w:r>
          </w:p>
        </w:tc>
      </w:tr>
      <w:tr w:rsidR="005146A4" w:rsidRPr="001D41EA" w14:paraId="2255D53A"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4E41C9CB" w14:textId="77777777" w:rsidR="005146A4" w:rsidRPr="001D41EA" w:rsidRDefault="005146A4" w:rsidP="001D41EA">
            <w:pPr>
              <w:spacing w:before="40" w:after="40"/>
              <w:rPr>
                <w:rFonts w:cs="Arial"/>
                <w:sz w:val="18"/>
                <w:szCs w:val="18"/>
              </w:rPr>
            </w:pPr>
            <w:r w:rsidRPr="001D41EA">
              <w:rPr>
                <w:rFonts w:cs="Arial"/>
                <w:sz w:val="18"/>
                <w:szCs w:val="18"/>
              </w:rPr>
              <w:t>Knox C</w:t>
            </w:r>
          </w:p>
        </w:tc>
        <w:tc>
          <w:tcPr>
            <w:tcW w:w="851" w:type="dxa"/>
            <w:tcBorders>
              <w:top w:val="nil"/>
              <w:left w:val="single" w:sz="18" w:space="0" w:color="5F497A" w:themeColor="accent4" w:themeShade="BF"/>
              <w:bottom w:val="nil"/>
              <w:right w:val="nil"/>
            </w:tcBorders>
            <w:shd w:val="clear" w:color="auto" w:fill="auto"/>
            <w:vAlign w:val="bottom"/>
          </w:tcPr>
          <w:p w14:paraId="4CE74198" w14:textId="2DE67B88" w:rsidR="005146A4" w:rsidRPr="001D41EA" w:rsidRDefault="005146A4" w:rsidP="001D41EA">
            <w:pPr>
              <w:spacing w:before="40" w:after="40"/>
              <w:jc w:val="center"/>
              <w:rPr>
                <w:rFonts w:cs="Arial"/>
                <w:sz w:val="18"/>
                <w:szCs w:val="18"/>
              </w:rPr>
            </w:pPr>
            <w:r w:rsidRPr="001D41EA">
              <w:rPr>
                <w:rFonts w:cs="Arial"/>
                <w:sz w:val="18"/>
                <w:szCs w:val="18"/>
              </w:rPr>
              <w:t>0.932</w:t>
            </w:r>
          </w:p>
        </w:tc>
        <w:tc>
          <w:tcPr>
            <w:tcW w:w="851" w:type="dxa"/>
            <w:tcBorders>
              <w:top w:val="nil"/>
              <w:left w:val="nil"/>
              <w:bottom w:val="nil"/>
              <w:right w:val="nil"/>
            </w:tcBorders>
            <w:shd w:val="clear" w:color="auto" w:fill="auto"/>
            <w:vAlign w:val="bottom"/>
          </w:tcPr>
          <w:p w14:paraId="5ECC3DAE" w14:textId="7E1DC946" w:rsidR="005146A4" w:rsidRPr="001D41EA" w:rsidRDefault="005146A4" w:rsidP="001D41EA">
            <w:pPr>
              <w:spacing w:before="40" w:after="40"/>
              <w:jc w:val="center"/>
              <w:rPr>
                <w:rFonts w:cs="Arial"/>
                <w:sz w:val="18"/>
                <w:szCs w:val="18"/>
              </w:rPr>
            </w:pPr>
            <w:r w:rsidRPr="001D41EA">
              <w:rPr>
                <w:rFonts w:cs="Arial"/>
                <w:sz w:val="18"/>
                <w:szCs w:val="18"/>
              </w:rPr>
              <w:t>0.916</w:t>
            </w:r>
          </w:p>
        </w:tc>
        <w:tc>
          <w:tcPr>
            <w:tcW w:w="851" w:type="dxa"/>
            <w:tcBorders>
              <w:top w:val="nil"/>
              <w:left w:val="nil"/>
              <w:bottom w:val="nil"/>
              <w:right w:val="nil"/>
            </w:tcBorders>
            <w:shd w:val="clear" w:color="auto" w:fill="auto"/>
            <w:vAlign w:val="bottom"/>
          </w:tcPr>
          <w:p w14:paraId="5C6737C4" w14:textId="57BF7D76" w:rsidR="005146A4" w:rsidRPr="001D41EA" w:rsidRDefault="005146A4" w:rsidP="001D41EA">
            <w:pPr>
              <w:spacing w:before="40" w:after="40"/>
              <w:jc w:val="center"/>
              <w:rPr>
                <w:rFonts w:cs="Arial"/>
                <w:sz w:val="18"/>
                <w:szCs w:val="18"/>
              </w:rPr>
            </w:pPr>
            <w:r w:rsidRPr="001D41EA">
              <w:rPr>
                <w:rFonts w:cs="Arial"/>
                <w:sz w:val="18"/>
                <w:szCs w:val="18"/>
              </w:rPr>
              <w:t>0.931</w:t>
            </w:r>
          </w:p>
        </w:tc>
        <w:tc>
          <w:tcPr>
            <w:tcW w:w="851" w:type="dxa"/>
            <w:tcBorders>
              <w:top w:val="nil"/>
              <w:left w:val="nil"/>
              <w:bottom w:val="nil"/>
              <w:right w:val="nil"/>
            </w:tcBorders>
            <w:shd w:val="clear" w:color="auto" w:fill="auto"/>
            <w:vAlign w:val="bottom"/>
          </w:tcPr>
          <w:p w14:paraId="7ED34832" w14:textId="683CFB98" w:rsidR="005146A4" w:rsidRPr="001D41EA" w:rsidRDefault="005146A4" w:rsidP="001D41EA">
            <w:pPr>
              <w:spacing w:before="40" w:after="40"/>
              <w:jc w:val="center"/>
              <w:rPr>
                <w:rFonts w:cs="Arial"/>
                <w:sz w:val="18"/>
                <w:szCs w:val="18"/>
              </w:rPr>
            </w:pPr>
            <w:r w:rsidRPr="001D41EA">
              <w:rPr>
                <w:rFonts w:cs="Arial"/>
                <w:sz w:val="18"/>
                <w:szCs w:val="18"/>
              </w:rPr>
              <w:t>0.925</w:t>
            </w:r>
          </w:p>
        </w:tc>
        <w:tc>
          <w:tcPr>
            <w:tcW w:w="851" w:type="dxa"/>
            <w:tcBorders>
              <w:top w:val="nil"/>
              <w:left w:val="nil"/>
              <w:bottom w:val="nil"/>
              <w:right w:val="nil"/>
            </w:tcBorders>
            <w:shd w:val="clear" w:color="auto" w:fill="auto"/>
            <w:vAlign w:val="bottom"/>
          </w:tcPr>
          <w:p w14:paraId="0A8598E2" w14:textId="068CED5C" w:rsidR="005146A4" w:rsidRPr="001D41EA" w:rsidRDefault="005146A4" w:rsidP="001D41EA">
            <w:pPr>
              <w:spacing w:before="40" w:after="40"/>
              <w:jc w:val="center"/>
              <w:rPr>
                <w:rFonts w:cs="Arial"/>
                <w:sz w:val="18"/>
                <w:szCs w:val="18"/>
              </w:rPr>
            </w:pPr>
            <w:r w:rsidRPr="001D41EA">
              <w:rPr>
                <w:rFonts w:cs="Arial"/>
                <w:sz w:val="18"/>
                <w:szCs w:val="18"/>
              </w:rPr>
              <w:t>0.914</w:t>
            </w:r>
          </w:p>
        </w:tc>
        <w:tc>
          <w:tcPr>
            <w:tcW w:w="851" w:type="dxa"/>
            <w:tcBorders>
              <w:top w:val="nil"/>
              <w:left w:val="nil"/>
              <w:bottom w:val="nil"/>
              <w:right w:val="nil"/>
            </w:tcBorders>
            <w:shd w:val="clear" w:color="auto" w:fill="auto"/>
            <w:vAlign w:val="bottom"/>
          </w:tcPr>
          <w:p w14:paraId="4246CD2D" w14:textId="677A8E8D" w:rsidR="005146A4" w:rsidRPr="001D41EA" w:rsidRDefault="005146A4" w:rsidP="001D41EA">
            <w:pPr>
              <w:spacing w:before="40" w:after="40"/>
              <w:jc w:val="center"/>
              <w:rPr>
                <w:rFonts w:cs="Arial"/>
                <w:sz w:val="18"/>
                <w:szCs w:val="18"/>
              </w:rPr>
            </w:pPr>
            <w:r w:rsidRPr="001D41EA">
              <w:rPr>
                <w:rFonts w:cs="Arial"/>
                <w:sz w:val="18"/>
                <w:szCs w:val="18"/>
              </w:rPr>
              <w:t>0.919</w:t>
            </w:r>
          </w:p>
        </w:tc>
        <w:tc>
          <w:tcPr>
            <w:tcW w:w="851" w:type="dxa"/>
            <w:tcBorders>
              <w:top w:val="nil"/>
              <w:left w:val="nil"/>
              <w:bottom w:val="nil"/>
              <w:right w:val="nil"/>
            </w:tcBorders>
            <w:shd w:val="clear" w:color="auto" w:fill="auto"/>
            <w:vAlign w:val="bottom"/>
          </w:tcPr>
          <w:p w14:paraId="3139FE3B" w14:textId="63BBB6E6" w:rsidR="005146A4" w:rsidRPr="001D41EA" w:rsidRDefault="005146A4" w:rsidP="001D41EA">
            <w:pPr>
              <w:spacing w:before="40" w:after="40"/>
              <w:jc w:val="center"/>
              <w:rPr>
                <w:rFonts w:cs="Arial"/>
                <w:sz w:val="18"/>
                <w:szCs w:val="18"/>
              </w:rPr>
            </w:pPr>
            <w:r w:rsidRPr="001D41EA">
              <w:rPr>
                <w:rFonts w:cs="Arial"/>
                <w:sz w:val="18"/>
                <w:szCs w:val="18"/>
              </w:rPr>
              <w:t>0.916</w:t>
            </w:r>
          </w:p>
        </w:tc>
        <w:tc>
          <w:tcPr>
            <w:tcW w:w="851" w:type="dxa"/>
            <w:tcBorders>
              <w:top w:val="nil"/>
              <w:left w:val="nil"/>
              <w:bottom w:val="nil"/>
              <w:right w:val="nil"/>
            </w:tcBorders>
            <w:shd w:val="clear" w:color="auto" w:fill="auto"/>
            <w:vAlign w:val="bottom"/>
          </w:tcPr>
          <w:p w14:paraId="18DAF0D5" w14:textId="3364832D" w:rsidR="005146A4" w:rsidRPr="001D41EA" w:rsidRDefault="005146A4" w:rsidP="001D41EA">
            <w:pPr>
              <w:spacing w:before="40" w:after="40"/>
              <w:jc w:val="center"/>
              <w:rPr>
                <w:rFonts w:cs="Arial"/>
                <w:sz w:val="18"/>
                <w:szCs w:val="18"/>
              </w:rPr>
            </w:pPr>
            <w:r w:rsidRPr="001D41EA">
              <w:rPr>
                <w:rFonts w:cs="Arial"/>
                <w:sz w:val="18"/>
                <w:szCs w:val="18"/>
              </w:rPr>
              <w:t>0.941</w:t>
            </w:r>
          </w:p>
        </w:tc>
      </w:tr>
      <w:tr w:rsidR="005146A4" w:rsidRPr="001D41EA" w14:paraId="48439142"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51E1CE3D" w14:textId="77777777" w:rsidR="005146A4" w:rsidRPr="001D41EA" w:rsidRDefault="005146A4" w:rsidP="001D41EA">
            <w:pPr>
              <w:spacing w:before="40" w:after="40"/>
              <w:rPr>
                <w:rFonts w:cs="Arial"/>
                <w:sz w:val="18"/>
                <w:szCs w:val="18"/>
              </w:rPr>
            </w:pPr>
            <w:r w:rsidRPr="001D41EA">
              <w:rPr>
                <w:rFonts w:cs="Arial"/>
                <w:sz w:val="18"/>
                <w:szCs w:val="18"/>
              </w:rPr>
              <w:t>Latrobe C</w:t>
            </w:r>
          </w:p>
        </w:tc>
        <w:tc>
          <w:tcPr>
            <w:tcW w:w="851" w:type="dxa"/>
            <w:tcBorders>
              <w:top w:val="nil"/>
              <w:left w:val="single" w:sz="18" w:space="0" w:color="5F497A" w:themeColor="accent4" w:themeShade="BF"/>
              <w:bottom w:val="nil"/>
              <w:right w:val="nil"/>
            </w:tcBorders>
            <w:shd w:val="clear" w:color="auto" w:fill="auto"/>
            <w:vAlign w:val="bottom"/>
          </w:tcPr>
          <w:p w14:paraId="5EB1CE87" w14:textId="32092539" w:rsidR="005146A4" w:rsidRPr="001D41EA" w:rsidRDefault="005146A4" w:rsidP="001D41EA">
            <w:pPr>
              <w:spacing w:before="40" w:after="40"/>
              <w:jc w:val="center"/>
              <w:rPr>
                <w:rFonts w:cs="Arial"/>
                <w:sz w:val="18"/>
                <w:szCs w:val="18"/>
              </w:rPr>
            </w:pPr>
            <w:r w:rsidRPr="001D41EA">
              <w:rPr>
                <w:rFonts w:cs="Arial"/>
                <w:sz w:val="18"/>
                <w:szCs w:val="18"/>
              </w:rPr>
              <w:t>1.070</w:t>
            </w:r>
          </w:p>
        </w:tc>
        <w:tc>
          <w:tcPr>
            <w:tcW w:w="851" w:type="dxa"/>
            <w:tcBorders>
              <w:top w:val="nil"/>
              <w:left w:val="nil"/>
              <w:bottom w:val="nil"/>
              <w:right w:val="nil"/>
            </w:tcBorders>
            <w:shd w:val="clear" w:color="auto" w:fill="auto"/>
            <w:vAlign w:val="bottom"/>
          </w:tcPr>
          <w:p w14:paraId="664CFF1C" w14:textId="23E5C750" w:rsidR="005146A4" w:rsidRPr="001D41EA" w:rsidRDefault="005146A4" w:rsidP="001D41EA">
            <w:pPr>
              <w:spacing w:before="40" w:after="40"/>
              <w:jc w:val="center"/>
              <w:rPr>
                <w:rFonts w:cs="Arial"/>
                <w:sz w:val="18"/>
                <w:szCs w:val="18"/>
              </w:rPr>
            </w:pPr>
            <w:r w:rsidRPr="001D41EA">
              <w:rPr>
                <w:rFonts w:cs="Arial"/>
                <w:sz w:val="18"/>
                <w:szCs w:val="18"/>
              </w:rPr>
              <w:t>1.065</w:t>
            </w:r>
          </w:p>
        </w:tc>
        <w:tc>
          <w:tcPr>
            <w:tcW w:w="851" w:type="dxa"/>
            <w:tcBorders>
              <w:top w:val="nil"/>
              <w:left w:val="nil"/>
              <w:bottom w:val="nil"/>
              <w:right w:val="nil"/>
            </w:tcBorders>
            <w:shd w:val="clear" w:color="auto" w:fill="auto"/>
            <w:vAlign w:val="bottom"/>
          </w:tcPr>
          <w:p w14:paraId="32E3CEDB" w14:textId="411C061A" w:rsidR="005146A4" w:rsidRPr="001D41EA" w:rsidRDefault="005146A4" w:rsidP="001D41EA">
            <w:pPr>
              <w:spacing w:before="40" w:after="40"/>
              <w:jc w:val="center"/>
              <w:rPr>
                <w:rFonts w:cs="Arial"/>
                <w:sz w:val="18"/>
                <w:szCs w:val="18"/>
              </w:rPr>
            </w:pPr>
            <w:r w:rsidRPr="001D41EA">
              <w:rPr>
                <w:rFonts w:cs="Arial"/>
                <w:sz w:val="18"/>
                <w:szCs w:val="18"/>
              </w:rPr>
              <w:t>1.108</w:t>
            </w:r>
          </w:p>
        </w:tc>
        <w:tc>
          <w:tcPr>
            <w:tcW w:w="851" w:type="dxa"/>
            <w:tcBorders>
              <w:top w:val="nil"/>
              <w:left w:val="nil"/>
              <w:bottom w:val="nil"/>
              <w:right w:val="nil"/>
            </w:tcBorders>
            <w:shd w:val="clear" w:color="auto" w:fill="auto"/>
            <w:vAlign w:val="bottom"/>
          </w:tcPr>
          <w:p w14:paraId="688380CC" w14:textId="6B22FC91" w:rsidR="005146A4" w:rsidRPr="001D41EA" w:rsidRDefault="005146A4" w:rsidP="001D41EA">
            <w:pPr>
              <w:spacing w:before="40" w:after="40"/>
              <w:jc w:val="center"/>
              <w:rPr>
                <w:rFonts w:cs="Arial"/>
                <w:sz w:val="18"/>
                <w:szCs w:val="18"/>
              </w:rPr>
            </w:pPr>
            <w:r w:rsidRPr="001D41EA">
              <w:rPr>
                <w:rFonts w:cs="Arial"/>
                <w:sz w:val="18"/>
                <w:szCs w:val="18"/>
              </w:rPr>
              <w:t>1.156</w:t>
            </w:r>
          </w:p>
        </w:tc>
        <w:tc>
          <w:tcPr>
            <w:tcW w:w="851" w:type="dxa"/>
            <w:tcBorders>
              <w:top w:val="nil"/>
              <w:left w:val="nil"/>
              <w:bottom w:val="nil"/>
              <w:right w:val="nil"/>
            </w:tcBorders>
            <w:shd w:val="clear" w:color="auto" w:fill="auto"/>
            <w:vAlign w:val="bottom"/>
          </w:tcPr>
          <w:p w14:paraId="17F0F8C4" w14:textId="384040CF" w:rsidR="005146A4" w:rsidRPr="001D41EA" w:rsidRDefault="005146A4" w:rsidP="001D41EA">
            <w:pPr>
              <w:spacing w:before="40" w:after="40"/>
              <w:jc w:val="center"/>
              <w:rPr>
                <w:rFonts w:cs="Arial"/>
                <w:sz w:val="18"/>
                <w:szCs w:val="18"/>
              </w:rPr>
            </w:pPr>
            <w:r w:rsidRPr="001D41EA">
              <w:rPr>
                <w:rFonts w:cs="Arial"/>
                <w:sz w:val="18"/>
                <w:szCs w:val="18"/>
              </w:rPr>
              <w:t>1.160</w:t>
            </w:r>
          </w:p>
        </w:tc>
        <w:tc>
          <w:tcPr>
            <w:tcW w:w="851" w:type="dxa"/>
            <w:tcBorders>
              <w:top w:val="nil"/>
              <w:left w:val="nil"/>
              <w:bottom w:val="nil"/>
              <w:right w:val="nil"/>
            </w:tcBorders>
            <w:shd w:val="clear" w:color="auto" w:fill="auto"/>
            <w:vAlign w:val="bottom"/>
          </w:tcPr>
          <w:p w14:paraId="128424D6" w14:textId="1403220A" w:rsidR="005146A4" w:rsidRPr="001D41EA" w:rsidRDefault="005146A4" w:rsidP="001D41EA">
            <w:pPr>
              <w:spacing w:before="40" w:after="40"/>
              <w:jc w:val="center"/>
              <w:rPr>
                <w:rFonts w:cs="Arial"/>
                <w:sz w:val="18"/>
                <w:szCs w:val="18"/>
              </w:rPr>
            </w:pPr>
            <w:r w:rsidRPr="001D41EA">
              <w:rPr>
                <w:rFonts w:cs="Arial"/>
                <w:sz w:val="18"/>
                <w:szCs w:val="18"/>
              </w:rPr>
              <w:t>1.107</w:t>
            </w:r>
          </w:p>
        </w:tc>
        <w:tc>
          <w:tcPr>
            <w:tcW w:w="851" w:type="dxa"/>
            <w:tcBorders>
              <w:top w:val="nil"/>
              <w:left w:val="nil"/>
              <w:bottom w:val="nil"/>
              <w:right w:val="nil"/>
            </w:tcBorders>
            <w:shd w:val="clear" w:color="auto" w:fill="auto"/>
            <w:vAlign w:val="bottom"/>
          </w:tcPr>
          <w:p w14:paraId="7285F0F8" w14:textId="573D8F21" w:rsidR="005146A4" w:rsidRPr="001D41EA" w:rsidRDefault="005146A4" w:rsidP="001D41EA">
            <w:pPr>
              <w:spacing w:before="40" w:after="40"/>
              <w:jc w:val="center"/>
              <w:rPr>
                <w:rFonts w:cs="Arial"/>
                <w:sz w:val="18"/>
                <w:szCs w:val="18"/>
              </w:rPr>
            </w:pPr>
            <w:r w:rsidRPr="001D41EA">
              <w:rPr>
                <w:rFonts w:cs="Arial"/>
                <w:sz w:val="18"/>
                <w:szCs w:val="18"/>
              </w:rPr>
              <w:t>1.074</w:t>
            </w:r>
          </w:p>
        </w:tc>
        <w:tc>
          <w:tcPr>
            <w:tcW w:w="851" w:type="dxa"/>
            <w:tcBorders>
              <w:top w:val="nil"/>
              <w:left w:val="nil"/>
              <w:bottom w:val="nil"/>
              <w:right w:val="nil"/>
            </w:tcBorders>
            <w:shd w:val="clear" w:color="auto" w:fill="auto"/>
            <w:vAlign w:val="bottom"/>
          </w:tcPr>
          <w:p w14:paraId="177A4206" w14:textId="6FA8D959" w:rsidR="005146A4" w:rsidRPr="001D41EA" w:rsidRDefault="005146A4" w:rsidP="001D41EA">
            <w:pPr>
              <w:spacing w:before="40" w:after="40"/>
              <w:jc w:val="center"/>
              <w:rPr>
                <w:rFonts w:cs="Arial"/>
                <w:sz w:val="18"/>
                <w:szCs w:val="18"/>
              </w:rPr>
            </w:pPr>
            <w:r w:rsidRPr="001D41EA">
              <w:rPr>
                <w:rFonts w:cs="Arial"/>
                <w:sz w:val="18"/>
                <w:szCs w:val="18"/>
              </w:rPr>
              <w:t>1.179</w:t>
            </w:r>
          </w:p>
        </w:tc>
      </w:tr>
      <w:tr w:rsidR="005146A4" w:rsidRPr="001D41EA" w14:paraId="02DB126C"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32869D7" w14:textId="77777777" w:rsidR="005146A4" w:rsidRPr="001D41EA" w:rsidRDefault="005146A4" w:rsidP="001D41EA">
            <w:pPr>
              <w:spacing w:before="40" w:after="40"/>
              <w:rPr>
                <w:rFonts w:cs="Arial"/>
                <w:sz w:val="18"/>
                <w:szCs w:val="18"/>
              </w:rPr>
            </w:pPr>
            <w:r w:rsidRPr="001D41EA">
              <w:rPr>
                <w:rFonts w:cs="Arial"/>
                <w:sz w:val="18"/>
                <w:szCs w:val="18"/>
              </w:rPr>
              <w:t>Loddon S</w:t>
            </w:r>
          </w:p>
        </w:tc>
        <w:tc>
          <w:tcPr>
            <w:tcW w:w="851" w:type="dxa"/>
            <w:tcBorders>
              <w:top w:val="nil"/>
              <w:left w:val="single" w:sz="18" w:space="0" w:color="5F497A" w:themeColor="accent4" w:themeShade="BF"/>
              <w:bottom w:val="nil"/>
              <w:right w:val="nil"/>
            </w:tcBorders>
            <w:shd w:val="clear" w:color="auto" w:fill="auto"/>
            <w:vAlign w:val="bottom"/>
          </w:tcPr>
          <w:p w14:paraId="20714748" w14:textId="3BA72EE8" w:rsidR="005146A4" w:rsidRPr="001D41EA" w:rsidRDefault="005146A4" w:rsidP="001D41EA">
            <w:pPr>
              <w:spacing w:before="40" w:after="40"/>
              <w:jc w:val="center"/>
              <w:rPr>
                <w:rFonts w:cs="Arial"/>
                <w:sz w:val="18"/>
                <w:szCs w:val="18"/>
              </w:rPr>
            </w:pPr>
            <w:r w:rsidRPr="001D41EA">
              <w:rPr>
                <w:rFonts w:cs="Arial"/>
                <w:sz w:val="18"/>
                <w:szCs w:val="18"/>
              </w:rPr>
              <w:t>1.236</w:t>
            </w:r>
          </w:p>
        </w:tc>
        <w:tc>
          <w:tcPr>
            <w:tcW w:w="851" w:type="dxa"/>
            <w:tcBorders>
              <w:top w:val="nil"/>
              <w:left w:val="nil"/>
              <w:bottom w:val="nil"/>
              <w:right w:val="nil"/>
            </w:tcBorders>
            <w:shd w:val="clear" w:color="auto" w:fill="auto"/>
            <w:vAlign w:val="bottom"/>
          </w:tcPr>
          <w:p w14:paraId="34C85765" w14:textId="17BF52A0" w:rsidR="005146A4" w:rsidRPr="001D41EA" w:rsidRDefault="005146A4" w:rsidP="001D41EA">
            <w:pPr>
              <w:spacing w:before="40" w:after="40"/>
              <w:jc w:val="center"/>
              <w:rPr>
                <w:rFonts w:cs="Arial"/>
                <w:sz w:val="18"/>
                <w:szCs w:val="18"/>
              </w:rPr>
            </w:pPr>
            <w:r w:rsidRPr="001D41EA">
              <w:rPr>
                <w:rFonts w:cs="Arial"/>
                <w:sz w:val="18"/>
                <w:szCs w:val="18"/>
              </w:rPr>
              <w:t>1.077</w:t>
            </w:r>
          </w:p>
        </w:tc>
        <w:tc>
          <w:tcPr>
            <w:tcW w:w="851" w:type="dxa"/>
            <w:tcBorders>
              <w:top w:val="nil"/>
              <w:left w:val="nil"/>
              <w:bottom w:val="nil"/>
              <w:right w:val="nil"/>
            </w:tcBorders>
            <w:shd w:val="clear" w:color="auto" w:fill="auto"/>
            <w:vAlign w:val="bottom"/>
          </w:tcPr>
          <w:p w14:paraId="04CD870D" w14:textId="21D17D86" w:rsidR="005146A4" w:rsidRPr="001D41EA" w:rsidRDefault="005146A4" w:rsidP="001D41EA">
            <w:pPr>
              <w:spacing w:before="40" w:after="40"/>
              <w:jc w:val="center"/>
              <w:rPr>
                <w:rFonts w:cs="Arial"/>
                <w:sz w:val="18"/>
                <w:szCs w:val="18"/>
              </w:rPr>
            </w:pPr>
            <w:r w:rsidRPr="001D41EA">
              <w:rPr>
                <w:rFonts w:cs="Arial"/>
                <w:sz w:val="18"/>
                <w:szCs w:val="18"/>
              </w:rPr>
              <w:t>1.212</w:t>
            </w:r>
          </w:p>
        </w:tc>
        <w:tc>
          <w:tcPr>
            <w:tcW w:w="851" w:type="dxa"/>
            <w:tcBorders>
              <w:top w:val="nil"/>
              <w:left w:val="nil"/>
              <w:bottom w:val="nil"/>
              <w:right w:val="nil"/>
            </w:tcBorders>
            <w:shd w:val="clear" w:color="auto" w:fill="auto"/>
            <w:vAlign w:val="bottom"/>
          </w:tcPr>
          <w:p w14:paraId="5BC2AA87" w14:textId="7CC93666" w:rsidR="005146A4" w:rsidRPr="001D41EA" w:rsidRDefault="005146A4" w:rsidP="001D41EA">
            <w:pPr>
              <w:spacing w:before="40" w:after="40"/>
              <w:jc w:val="center"/>
              <w:rPr>
                <w:rFonts w:cs="Arial"/>
                <w:sz w:val="18"/>
                <w:szCs w:val="18"/>
              </w:rPr>
            </w:pPr>
            <w:r w:rsidRPr="001D41EA">
              <w:rPr>
                <w:rFonts w:cs="Arial"/>
                <w:sz w:val="18"/>
                <w:szCs w:val="18"/>
              </w:rPr>
              <w:t>1.050</w:t>
            </w:r>
          </w:p>
        </w:tc>
        <w:tc>
          <w:tcPr>
            <w:tcW w:w="851" w:type="dxa"/>
            <w:tcBorders>
              <w:top w:val="nil"/>
              <w:left w:val="nil"/>
              <w:bottom w:val="nil"/>
              <w:right w:val="nil"/>
            </w:tcBorders>
            <w:shd w:val="clear" w:color="auto" w:fill="auto"/>
            <w:vAlign w:val="bottom"/>
          </w:tcPr>
          <w:p w14:paraId="5614EEB5" w14:textId="4E38D426" w:rsidR="005146A4" w:rsidRPr="001D41EA" w:rsidRDefault="005146A4" w:rsidP="001D41EA">
            <w:pPr>
              <w:spacing w:before="40" w:after="40"/>
              <w:jc w:val="center"/>
              <w:rPr>
                <w:rFonts w:cs="Arial"/>
                <w:sz w:val="18"/>
                <w:szCs w:val="18"/>
              </w:rPr>
            </w:pPr>
            <w:r w:rsidRPr="001D41EA">
              <w:rPr>
                <w:rFonts w:cs="Arial"/>
                <w:sz w:val="18"/>
                <w:szCs w:val="18"/>
              </w:rPr>
              <w:t>1.356</w:t>
            </w:r>
          </w:p>
        </w:tc>
        <w:tc>
          <w:tcPr>
            <w:tcW w:w="851" w:type="dxa"/>
            <w:tcBorders>
              <w:top w:val="nil"/>
              <w:left w:val="nil"/>
              <w:bottom w:val="nil"/>
              <w:right w:val="nil"/>
            </w:tcBorders>
            <w:shd w:val="clear" w:color="auto" w:fill="auto"/>
            <w:vAlign w:val="bottom"/>
          </w:tcPr>
          <w:p w14:paraId="7C1684A5" w14:textId="752FA1A0" w:rsidR="005146A4" w:rsidRPr="001D41EA" w:rsidRDefault="005146A4" w:rsidP="001D41EA">
            <w:pPr>
              <w:spacing w:before="40" w:after="40"/>
              <w:jc w:val="center"/>
              <w:rPr>
                <w:rFonts w:cs="Arial"/>
                <w:sz w:val="18"/>
                <w:szCs w:val="18"/>
              </w:rPr>
            </w:pPr>
            <w:r w:rsidRPr="001D41EA">
              <w:rPr>
                <w:rFonts w:cs="Arial"/>
                <w:sz w:val="18"/>
                <w:szCs w:val="18"/>
              </w:rPr>
              <w:t>0.992</w:t>
            </w:r>
          </w:p>
        </w:tc>
        <w:tc>
          <w:tcPr>
            <w:tcW w:w="851" w:type="dxa"/>
            <w:tcBorders>
              <w:top w:val="nil"/>
              <w:left w:val="nil"/>
              <w:bottom w:val="nil"/>
              <w:right w:val="nil"/>
            </w:tcBorders>
            <w:shd w:val="clear" w:color="auto" w:fill="auto"/>
            <w:vAlign w:val="bottom"/>
          </w:tcPr>
          <w:p w14:paraId="06EBA78E" w14:textId="3F585F93" w:rsidR="005146A4" w:rsidRPr="001D41EA" w:rsidRDefault="005146A4" w:rsidP="001D41EA">
            <w:pPr>
              <w:spacing w:before="40" w:after="40"/>
              <w:jc w:val="center"/>
              <w:rPr>
                <w:rFonts w:cs="Arial"/>
                <w:sz w:val="18"/>
                <w:szCs w:val="18"/>
              </w:rPr>
            </w:pPr>
            <w:r w:rsidRPr="001D41EA">
              <w:rPr>
                <w:rFonts w:cs="Arial"/>
                <w:sz w:val="18"/>
                <w:szCs w:val="18"/>
              </w:rPr>
              <w:t>1.428</w:t>
            </w:r>
          </w:p>
        </w:tc>
        <w:tc>
          <w:tcPr>
            <w:tcW w:w="851" w:type="dxa"/>
            <w:tcBorders>
              <w:top w:val="nil"/>
              <w:left w:val="nil"/>
              <w:bottom w:val="nil"/>
              <w:right w:val="nil"/>
            </w:tcBorders>
            <w:shd w:val="clear" w:color="auto" w:fill="auto"/>
            <w:vAlign w:val="bottom"/>
          </w:tcPr>
          <w:p w14:paraId="19879E92" w14:textId="3C576C56" w:rsidR="005146A4" w:rsidRPr="001D41EA" w:rsidRDefault="005146A4" w:rsidP="001D41EA">
            <w:pPr>
              <w:spacing w:before="40" w:after="40"/>
              <w:jc w:val="center"/>
              <w:rPr>
                <w:rFonts w:cs="Arial"/>
                <w:sz w:val="18"/>
                <w:szCs w:val="18"/>
              </w:rPr>
            </w:pPr>
            <w:r w:rsidRPr="001D41EA">
              <w:rPr>
                <w:rFonts w:cs="Arial"/>
                <w:sz w:val="18"/>
                <w:szCs w:val="18"/>
              </w:rPr>
              <w:t>1.141</w:t>
            </w:r>
          </w:p>
        </w:tc>
      </w:tr>
    </w:tbl>
    <w:p w14:paraId="295E625F" w14:textId="77777777" w:rsidR="00EB2E62" w:rsidRPr="00A44829" w:rsidRDefault="00EB2E62" w:rsidP="00FF36E8">
      <w:pPr>
        <w:spacing w:before="40" w:after="20"/>
        <w:rPr>
          <w:rFonts w:cs="Arial"/>
          <w:sz w:val="18"/>
          <w:szCs w:val="18"/>
        </w:rPr>
      </w:pPr>
    </w:p>
    <w:p w14:paraId="24F0A5A4" w14:textId="77777777" w:rsidR="00496979" w:rsidRPr="00A44829" w:rsidRDefault="00496979" w:rsidP="00FF36E8">
      <w:pPr>
        <w:spacing w:before="40" w:after="20"/>
        <w:rPr>
          <w:rFonts w:cs="Arial"/>
          <w:sz w:val="18"/>
          <w:szCs w:val="18"/>
        </w:rPr>
      </w:pPr>
      <w:r w:rsidRPr="00A44829">
        <w:rPr>
          <w:rFonts w:cs="Arial"/>
          <w:sz w:val="18"/>
          <w:szCs w:val="18"/>
        </w:rPr>
        <w:br w:type="page"/>
      </w:r>
    </w:p>
    <w:p w14:paraId="3F0F47DD" w14:textId="0133DAC5" w:rsidR="00496979" w:rsidRPr="00A44829" w:rsidRDefault="00EE4593" w:rsidP="00C33713">
      <w:pPr>
        <w:pStyle w:val="VGC-Head10"/>
      </w:pPr>
      <w:r w:rsidRPr="00A44829">
        <w:lastRenderedPageBreak/>
        <w:t>2019-20</w:t>
      </w:r>
      <w:r w:rsidR="00A97ABE" w:rsidRPr="00A44829">
        <w:t xml:space="preserve"> </w:t>
      </w:r>
      <w:r w:rsidR="00496979" w:rsidRPr="00A44829">
        <w:t>General Purpose Grants</w:t>
      </w:r>
      <w:r w:rsidR="00CE4507" w:rsidRPr="00A44829">
        <w:tab/>
        <w:t>Appendix 4</w:t>
      </w:r>
    </w:p>
    <w:p w14:paraId="4844C778" w14:textId="77777777" w:rsidR="00496979" w:rsidRPr="00A44829" w:rsidRDefault="004F1184" w:rsidP="008C1A28">
      <w:pPr>
        <w:pStyle w:val="VGC-Head2"/>
      </w:pPr>
      <w:r w:rsidRPr="00A44829">
        <w:tab/>
      </w:r>
      <w:r w:rsidR="00496979" w:rsidRPr="00A44829">
        <w:t>E.  Composite Cost Adjustors</w:t>
      </w:r>
    </w:p>
    <w:p w14:paraId="11A52CCD" w14:textId="77777777" w:rsidR="00496979" w:rsidRPr="00A44829"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985540" w:rsidRPr="00A44829" w14:paraId="3CC82ABF" w14:textId="77777777" w:rsidTr="00B44BBE">
        <w:trPr>
          <w:trHeight w:val="20"/>
          <w:tblHeader/>
        </w:trPr>
        <w:tc>
          <w:tcPr>
            <w:tcW w:w="2268" w:type="dxa"/>
            <w:tcBorders>
              <w:top w:val="nil"/>
              <w:left w:val="nil"/>
              <w:right w:val="single" w:sz="18" w:space="0" w:color="5F497A" w:themeColor="accent4" w:themeShade="BF"/>
            </w:tcBorders>
            <w:shd w:val="clear" w:color="auto" w:fill="auto"/>
            <w:tcMar>
              <w:left w:w="28" w:type="dxa"/>
              <w:right w:w="28" w:type="dxa"/>
            </w:tcMar>
            <w:vAlign w:val="bottom"/>
          </w:tcPr>
          <w:p w14:paraId="08B45EA9" w14:textId="77777777" w:rsidR="00985540" w:rsidRPr="00A44829" w:rsidRDefault="00985540" w:rsidP="008001AD">
            <w:pPr>
              <w:spacing w:before="40" w:after="20"/>
              <w:jc w:val="center"/>
              <w:rPr>
                <w:rFonts w:cs="Arial"/>
                <w:sz w:val="18"/>
                <w:szCs w:val="18"/>
              </w:rPr>
            </w:pPr>
          </w:p>
        </w:tc>
        <w:tc>
          <w:tcPr>
            <w:tcW w:w="851" w:type="dxa"/>
            <w:tcBorders>
              <w:top w:val="nil"/>
              <w:left w:val="single" w:sz="18" w:space="0" w:color="5F497A" w:themeColor="accent4" w:themeShade="BF"/>
              <w:bottom w:val="single" w:sz="8" w:space="0" w:color="5F497A" w:themeColor="accent4" w:themeShade="BF"/>
              <w:right w:val="nil"/>
            </w:tcBorders>
            <w:shd w:val="clear" w:color="auto" w:fill="auto"/>
            <w:tcMar>
              <w:left w:w="28" w:type="dxa"/>
              <w:right w:w="28" w:type="dxa"/>
            </w:tcMar>
            <w:vAlign w:val="bottom"/>
          </w:tcPr>
          <w:p w14:paraId="0AA036FD" w14:textId="77777777" w:rsidR="00985540" w:rsidRPr="00A44829" w:rsidRDefault="00985540" w:rsidP="008001AD">
            <w:pPr>
              <w:spacing w:before="40" w:after="20"/>
              <w:jc w:val="center"/>
              <w:rPr>
                <w:rFonts w:cs="Arial"/>
                <w:spacing w:val="-4"/>
                <w:sz w:val="16"/>
                <w:szCs w:val="16"/>
              </w:rPr>
            </w:pPr>
            <w:r w:rsidRPr="00A44829">
              <w:rPr>
                <w:rFonts w:cs="Arial"/>
                <w:spacing w:val="-4"/>
                <w:sz w:val="16"/>
                <w:szCs w:val="16"/>
              </w:rPr>
              <w:t xml:space="preserve">Govern </w:t>
            </w:r>
            <w:r w:rsidRPr="00A44829">
              <w:rPr>
                <w:rFonts w:cs="Arial"/>
                <w:spacing w:val="-4"/>
                <w:sz w:val="16"/>
                <w:szCs w:val="16"/>
              </w:rPr>
              <w:br/>
              <w:t>-ance</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3F6A473A" w14:textId="77777777" w:rsidR="00985540" w:rsidRPr="00A44829" w:rsidRDefault="00985540" w:rsidP="008001AD">
            <w:pPr>
              <w:spacing w:before="40" w:after="20"/>
              <w:jc w:val="center"/>
              <w:rPr>
                <w:rFonts w:cs="Arial"/>
                <w:spacing w:val="-4"/>
                <w:sz w:val="16"/>
                <w:szCs w:val="16"/>
              </w:rPr>
            </w:pPr>
            <w:r w:rsidRPr="00A44829">
              <w:rPr>
                <w:rFonts w:cs="Arial"/>
                <w:spacing w:val="-4"/>
                <w:sz w:val="16"/>
                <w:szCs w:val="16"/>
              </w:rPr>
              <w:t>Family &amp; Comm-unity Services</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6B3B4233" w14:textId="77777777" w:rsidR="00985540" w:rsidRPr="00A44829" w:rsidRDefault="00985540" w:rsidP="008001AD">
            <w:pPr>
              <w:spacing w:before="40" w:after="20"/>
              <w:jc w:val="center"/>
              <w:rPr>
                <w:rFonts w:cs="Arial"/>
                <w:spacing w:val="-4"/>
                <w:sz w:val="16"/>
                <w:szCs w:val="16"/>
              </w:rPr>
            </w:pPr>
            <w:r w:rsidRPr="00A44829">
              <w:rPr>
                <w:rFonts w:cs="Arial"/>
                <w:spacing w:val="-4"/>
                <w:sz w:val="16"/>
                <w:szCs w:val="16"/>
              </w:rPr>
              <w:t>Aged &amp; Disabled Services</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5B679F54" w14:textId="77777777" w:rsidR="00985540" w:rsidRPr="00A44829" w:rsidRDefault="00985540" w:rsidP="008001AD">
            <w:pPr>
              <w:spacing w:before="40" w:after="20"/>
              <w:jc w:val="center"/>
              <w:rPr>
                <w:rFonts w:cs="Arial"/>
                <w:spacing w:val="-4"/>
                <w:sz w:val="16"/>
                <w:szCs w:val="16"/>
              </w:rPr>
            </w:pPr>
            <w:r w:rsidRPr="00A44829">
              <w:rPr>
                <w:rFonts w:cs="Arial"/>
                <w:spacing w:val="-4"/>
                <w:sz w:val="16"/>
                <w:szCs w:val="16"/>
              </w:rPr>
              <w:t>Recreation &amp; Culture</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31583CA6" w14:textId="77777777" w:rsidR="00985540" w:rsidRPr="00A44829" w:rsidRDefault="00985540" w:rsidP="008001AD">
            <w:pPr>
              <w:spacing w:before="40" w:after="20"/>
              <w:jc w:val="center"/>
              <w:rPr>
                <w:rFonts w:cs="Arial"/>
                <w:spacing w:val="-4"/>
                <w:sz w:val="16"/>
                <w:szCs w:val="16"/>
              </w:rPr>
            </w:pPr>
            <w:r w:rsidRPr="00A44829">
              <w:rPr>
                <w:rFonts w:cs="Arial"/>
                <w:spacing w:val="-4"/>
                <w:sz w:val="16"/>
                <w:szCs w:val="16"/>
              </w:rPr>
              <w:t>Waste Manage-ment</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211B6BB2" w14:textId="77777777" w:rsidR="00985540" w:rsidRPr="00A44829" w:rsidRDefault="00985540" w:rsidP="008001AD">
            <w:pPr>
              <w:spacing w:before="40" w:after="20"/>
              <w:jc w:val="center"/>
              <w:rPr>
                <w:rFonts w:cs="Arial"/>
                <w:spacing w:val="-4"/>
                <w:sz w:val="16"/>
                <w:szCs w:val="16"/>
              </w:rPr>
            </w:pPr>
            <w:r w:rsidRPr="00A44829">
              <w:rPr>
                <w:rFonts w:cs="Arial"/>
                <w:spacing w:val="-4"/>
                <w:sz w:val="16"/>
                <w:szCs w:val="16"/>
              </w:rPr>
              <w:t xml:space="preserve">Traffic </w:t>
            </w:r>
            <w:r w:rsidRPr="00A44829">
              <w:rPr>
                <w:rFonts w:cs="Arial"/>
                <w:spacing w:val="-4"/>
                <w:sz w:val="16"/>
                <w:szCs w:val="16"/>
              </w:rPr>
              <w:br/>
              <w:t>&amp; Street Manage-ment</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33FF58C4" w14:textId="77777777" w:rsidR="00985540" w:rsidRPr="00A44829" w:rsidRDefault="00985540" w:rsidP="008001AD">
            <w:pPr>
              <w:spacing w:before="40" w:after="20"/>
              <w:jc w:val="center"/>
              <w:rPr>
                <w:rFonts w:cs="Arial"/>
                <w:spacing w:val="-4"/>
                <w:sz w:val="16"/>
                <w:szCs w:val="16"/>
              </w:rPr>
            </w:pPr>
            <w:r w:rsidRPr="00A44829">
              <w:rPr>
                <w:rFonts w:cs="Arial"/>
                <w:spacing w:val="-4"/>
                <w:sz w:val="16"/>
                <w:szCs w:val="16"/>
              </w:rPr>
              <w:t>Environ-ment</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65FD2D85" w14:textId="77777777" w:rsidR="00985540" w:rsidRPr="00A44829" w:rsidRDefault="00985540" w:rsidP="008001AD">
            <w:pPr>
              <w:spacing w:before="40" w:after="20"/>
              <w:jc w:val="center"/>
              <w:rPr>
                <w:rFonts w:cs="Arial"/>
                <w:spacing w:val="-4"/>
                <w:sz w:val="16"/>
                <w:szCs w:val="16"/>
              </w:rPr>
            </w:pPr>
            <w:r w:rsidRPr="00A44829">
              <w:rPr>
                <w:rFonts w:cs="Arial"/>
                <w:spacing w:val="-4"/>
                <w:sz w:val="16"/>
                <w:szCs w:val="16"/>
              </w:rPr>
              <w:t>Business &amp; Economic Services</w:t>
            </w:r>
          </w:p>
        </w:tc>
      </w:tr>
      <w:tr w:rsidR="005146A4" w:rsidRPr="001D41EA" w14:paraId="26EAAD3C" w14:textId="77777777" w:rsidTr="00B44BBE">
        <w:trPr>
          <w:trHeight w:val="20"/>
          <w:tblHeader/>
        </w:trPr>
        <w:tc>
          <w:tcPr>
            <w:tcW w:w="2268" w:type="dxa"/>
            <w:tcBorders>
              <w:left w:val="nil"/>
              <w:bottom w:val="nil"/>
              <w:right w:val="single" w:sz="18" w:space="0" w:color="5F497A" w:themeColor="accent4" w:themeShade="BF"/>
            </w:tcBorders>
            <w:shd w:val="clear" w:color="auto" w:fill="auto"/>
            <w:vAlign w:val="center"/>
          </w:tcPr>
          <w:p w14:paraId="661CBCA6" w14:textId="77777777" w:rsidR="005146A4" w:rsidRPr="001D41EA" w:rsidRDefault="005146A4" w:rsidP="001D41EA">
            <w:pPr>
              <w:spacing w:before="40" w:after="20"/>
              <w:rPr>
                <w:rFonts w:cs="Arial"/>
                <w:sz w:val="18"/>
                <w:szCs w:val="18"/>
              </w:rPr>
            </w:pPr>
          </w:p>
        </w:tc>
        <w:tc>
          <w:tcPr>
            <w:tcW w:w="85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777E0F48" w14:textId="0F63E025" w:rsidR="005146A4" w:rsidRPr="001D41EA" w:rsidRDefault="005146A4" w:rsidP="001D41EA">
            <w:pPr>
              <w:spacing w:before="40" w:after="20"/>
              <w:jc w:val="center"/>
              <w:rPr>
                <w:rFonts w:cs="Arial"/>
                <w:sz w:val="18"/>
                <w:szCs w:val="18"/>
              </w:rPr>
            </w:pPr>
            <w:r w:rsidRPr="001D41EA">
              <w:rPr>
                <w:rFonts w:cs="Arial"/>
                <w:sz w:val="18"/>
                <w:szCs w:val="18"/>
              </w:rPr>
              <w:t> </w:t>
            </w:r>
          </w:p>
        </w:tc>
        <w:tc>
          <w:tcPr>
            <w:tcW w:w="851" w:type="dxa"/>
            <w:tcBorders>
              <w:top w:val="single" w:sz="8" w:space="0" w:color="5F497A" w:themeColor="accent4" w:themeShade="BF"/>
              <w:left w:val="nil"/>
              <w:bottom w:val="nil"/>
              <w:right w:val="nil"/>
            </w:tcBorders>
            <w:shd w:val="clear" w:color="auto" w:fill="auto"/>
            <w:vAlign w:val="bottom"/>
          </w:tcPr>
          <w:p w14:paraId="3A1D3B56" w14:textId="77777777" w:rsidR="005146A4" w:rsidRPr="001D41EA" w:rsidRDefault="005146A4" w:rsidP="001D41EA">
            <w:pPr>
              <w:spacing w:before="40" w:after="2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0E7A2797" w14:textId="77777777" w:rsidR="005146A4" w:rsidRPr="001D41EA" w:rsidRDefault="005146A4" w:rsidP="001D41EA">
            <w:pPr>
              <w:spacing w:before="40" w:after="2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7F4D7B0F" w14:textId="77777777" w:rsidR="005146A4" w:rsidRPr="001D41EA" w:rsidRDefault="005146A4" w:rsidP="001D41EA">
            <w:pPr>
              <w:spacing w:before="40" w:after="2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5A76D8EC" w14:textId="77777777" w:rsidR="005146A4" w:rsidRPr="001D41EA" w:rsidRDefault="005146A4" w:rsidP="001D41EA">
            <w:pPr>
              <w:spacing w:before="40" w:after="2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1C6CB3EC" w14:textId="77777777" w:rsidR="005146A4" w:rsidRPr="001D41EA" w:rsidRDefault="005146A4" w:rsidP="001D41EA">
            <w:pPr>
              <w:spacing w:before="40" w:after="2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113F2494" w14:textId="77777777" w:rsidR="005146A4" w:rsidRPr="001D41EA" w:rsidRDefault="005146A4" w:rsidP="001D41EA">
            <w:pPr>
              <w:spacing w:before="40" w:after="2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3E6AEBF3" w14:textId="177932ED" w:rsidR="005146A4" w:rsidRPr="001D41EA" w:rsidRDefault="005146A4" w:rsidP="001D41EA">
            <w:pPr>
              <w:spacing w:before="40" w:after="20"/>
              <w:jc w:val="center"/>
              <w:rPr>
                <w:rFonts w:cs="Arial"/>
                <w:sz w:val="18"/>
                <w:szCs w:val="18"/>
              </w:rPr>
            </w:pPr>
            <w:r w:rsidRPr="001D41EA">
              <w:rPr>
                <w:rFonts w:cs="Arial"/>
                <w:sz w:val="18"/>
                <w:szCs w:val="18"/>
              </w:rPr>
              <w:t> </w:t>
            </w:r>
          </w:p>
        </w:tc>
      </w:tr>
      <w:tr w:rsidR="005146A4" w:rsidRPr="001D41EA" w14:paraId="146621C9"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404961D" w14:textId="77777777" w:rsidR="005146A4" w:rsidRPr="001D41EA" w:rsidRDefault="005146A4" w:rsidP="001D41EA">
            <w:pPr>
              <w:spacing w:before="40" w:after="20"/>
              <w:rPr>
                <w:rFonts w:cs="Arial"/>
                <w:sz w:val="18"/>
                <w:szCs w:val="18"/>
              </w:rPr>
            </w:pPr>
            <w:r w:rsidRPr="001D41EA">
              <w:rPr>
                <w:rFonts w:cs="Arial"/>
                <w:sz w:val="18"/>
                <w:szCs w:val="18"/>
              </w:rPr>
              <w:t>Macedon Ranges S</w:t>
            </w:r>
          </w:p>
        </w:tc>
        <w:tc>
          <w:tcPr>
            <w:tcW w:w="851" w:type="dxa"/>
            <w:tcBorders>
              <w:top w:val="nil"/>
              <w:left w:val="single" w:sz="18" w:space="0" w:color="5F497A" w:themeColor="accent4" w:themeShade="BF"/>
              <w:bottom w:val="nil"/>
              <w:right w:val="nil"/>
            </w:tcBorders>
            <w:shd w:val="clear" w:color="auto" w:fill="auto"/>
            <w:vAlign w:val="bottom"/>
          </w:tcPr>
          <w:p w14:paraId="0EFF9CAC" w14:textId="1FA369AB" w:rsidR="005146A4" w:rsidRPr="001D41EA" w:rsidRDefault="005146A4" w:rsidP="001D41EA">
            <w:pPr>
              <w:spacing w:before="40" w:after="20"/>
              <w:jc w:val="center"/>
              <w:rPr>
                <w:rFonts w:cs="Arial"/>
                <w:sz w:val="18"/>
                <w:szCs w:val="18"/>
              </w:rPr>
            </w:pPr>
            <w:r w:rsidRPr="001D41EA">
              <w:rPr>
                <w:rFonts w:cs="Arial"/>
                <w:sz w:val="18"/>
                <w:szCs w:val="18"/>
              </w:rPr>
              <w:t>1.101</w:t>
            </w:r>
          </w:p>
        </w:tc>
        <w:tc>
          <w:tcPr>
            <w:tcW w:w="851" w:type="dxa"/>
            <w:tcBorders>
              <w:top w:val="nil"/>
              <w:left w:val="nil"/>
              <w:bottom w:val="nil"/>
              <w:right w:val="nil"/>
            </w:tcBorders>
            <w:shd w:val="clear" w:color="auto" w:fill="auto"/>
            <w:vAlign w:val="bottom"/>
          </w:tcPr>
          <w:p w14:paraId="7F2A268E" w14:textId="5B19881B" w:rsidR="005146A4" w:rsidRPr="001D41EA" w:rsidRDefault="005146A4" w:rsidP="001D41EA">
            <w:pPr>
              <w:spacing w:before="40" w:after="20"/>
              <w:jc w:val="center"/>
              <w:rPr>
                <w:rFonts w:cs="Arial"/>
                <w:sz w:val="18"/>
                <w:szCs w:val="18"/>
              </w:rPr>
            </w:pPr>
            <w:r w:rsidRPr="001D41EA">
              <w:rPr>
                <w:rFonts w:cs="Arial"/>
                <w:sz w:val="18"/>
                <w:szCs w:val="18"/>
              </w:rPr>
              <w:t>1.043</w:t>
            </w:r>
          </w:p>
        </w:tc>
        <w:tc>
          <w:tcPr>
            <w:tcW w:w="851" w:type="dxa"/>
            <w:tcBorders>
              <w:top w:val="nil"/>
              <w:left w:val="nil"/>
              <w:bottom w:val="nil"/>
              <w:right w:val="nil"/>
            </w:tcBorders>
            <w:shd w:val="clear" w:color="auto" w:fill="auto"/>
            <w:vAlign w:val="bottom"/>
          </w:tcPr>
          <w:p w14:paraId="0F161F02" w14:textId="7D875C7B" w:rsidR="005146A4" w:rsidRPr="001D41EA" w:rsidRDefault="005146A4" w:rsidP="001D41EA">
            <w:pPr>
              <w:spacing w:before="40" w:after="20"/>
              <w:jc w:val="center"/>
              <w:rPr>
                <w:rFonts w:cs="Arial"/>
                <w:sz w:val="18"/>
                <w:szCs w:val="18"/>
              </w:rPr>
            </w:pPr>
            <w:r w:rsidRPr="001D41EA">
              <w:rPr>
                <w:rFonts w:cs="Arial"/>
                <w:sz w:val="18"/>
                <w:szCs w:val="18"/>
              </w:rPr>
              <w:t>1.026</w:t>
            </w:r>
          </w:p>
        </w:tc>
        <w:tc>
          <w:tcPr>
            <w:tcW w:w="851" w:type="dxa"/>
            <w:tcBorders>
              <w:top w:val="nil"/>
              <w:left w:val="nil"/>
              <w:bottom w:val="nil"/>
              <w:right w:val="nil"/>
            </w:tcBorders>
            <w:shd w:val="clear" w:color="auto" w:fill="auto"/>
            <w:vAlign w:val="bottom"/>
          </w:tcPr>
          <w:p w14:paraId="5EB0484C" w14:textId="4CF3D15F" w:rsidR="005146A4" w:rsidRPr="001D41EA" w:rsidRDefault="005146A4" w:rsidP="001D41EA">
            <w:pPr>
              <w:spacing w:before="40" w:after="20"/>
              <w:jc w:val="center"/>
              <w:rPr>
                <w:rFonts w:cs="Arial"/>
                <w:sz w:val="18"/>
                <w:szCs w:val="18"/>
              </w:rPr>
            </w:pPr>
            <w:r w:rsidRPr="001D41EA">
              <w:rPr>
                <w:rFonts w:cs="Arial"/>
                <w:sz w:val="18"/>
                <w:szCs w:val="18"/>
              </w:rPr>
              <w:t>1.048</w:t>
            </w:r>
          </w:p>
        </w:tc>
        <w:tc>
          <w:tcPr>
            <w:tcW w:w="851" w:type="dxa"/>
            <w:tcBorders>
              <w:top w:val="nil"/>
              <w:left w:val="nil"/>
              <w:bottom w:val="nil"/>
              <w:right w:val="nil"/>
            </w:tcBorders>
            <w:shd w:val="clear" w:color="auto" w:fill="auto"/>
            <w:vAlign w:val="bottom"/>
          </w:tcPr>
          <w:p w14:paraId="2BD26AC5" w14:textId="40B3F890" w:rsidR="005146A4" w:rsidRPr="001D41EA" w:rsidRDefault="005146A4" w:rsidP="001D41EA">
            <w:pPr>
              <w:spacing w:before="40" w:after="20"/>
              <w:jc w:val="center"/>
              <w:rPr>
                <w:rFonts w:cs="Arial"/>
                <w:sz w:val="18"/>
                <w:szCs w:val="18"/>
              </w:rPr>
            </w:pPr>
            <w:r w:rsidRPr="001D41EA">
              <w:rPr>
                <w:rFonts w:cs="Arial"/>
                <w:sz w:val="18"/>
                <w:szCs w:val="18"/>
              </w:rPr>
              <w:t>1.253</w:t>
            </w:r>
          </w:p>
        </w:tc>
        <w:tc>
          <w:tcPr>
            <w:tcW w:w="851" w:type="dxa"/>
            <w:tcBorders>
              <w:top w:val="nil"/>
              <w:left w:val="nil"/>
              <w:bottom w:val="nil"/>
              <w:right w:val="nil"/>
            </w:tcBorders>
            <w:shd w:val="clear" w:color="auto" w:fill="auto"/>
            <w:vAlign w:val="bottom"/>
          </w:tcPr>
          <w:p w14:paraId="4256D544" w14:textId="535377FD" w:rsidR="005146A4" w:rsidRPr="001D41EA" w:rsidRDefault="005146A4" w:rsidP="001D41EA">
            <w:pPr>
              <w:spacing w:before="40" w:after="20"/>
              <w:jc w:val="center"/>
              <w:rPr>
                <w:rFonts w:cs="Arial"/>
                <w:sz w:val="18"/>
                <w:szCs w:val="18"/>
              </w:rPr>
            </w:pPr>
            <w:r w:rsidRPr="001D41EA">
              <w:rPr>
                <w:rFonts w:cs="Arial"/>
                <w:sz w:val="18"/>
                <w:szCs w:val="18"/>
              </w:rPr>
              <w:t>1.043</w:t>
            </w:r>
          </w:p>
        </w:tc>
        <w:tc>
          <w:tcPr>
            <w:tcW w:w="851" w:type="dxa"/>
            <w:tcBorders>
              <w:top w:val="nil"/>
              <w:left w:val="nil"/>
              <w:bottom w:val="nil"/>
              <w:right w:val="nil"/>
            </w:tcBorders>
            <w:shd w:val="clear" w:color="auto" w:fill="auto"/>
            <w:vAlign w:val="bottom"/>
          </w:tcPr>
          <w:p w14:paraId="18407968" w14:textId="442F1048" w:rsidR="005146A4" w:rsidRPr="001D41EA" w:rsidRDefault="005146A4" w:rsidP="001D41EA">
            <w:pPr>
              <w:spacing w:before="40" w:after="20"/>
              <w:jc w:val="center"/>
              <w:rPr>
                <w:rFonts w:cs="Arial"/>
                <w:sz w:val="18"/>
                <w:szCs w:val="18"/>
              </w:rPr>
            </w:pPr>
            <w:r w:rsidRPr="001D41EA">
              <w:rPr>
                <w:rFonts w:cs="Arial"/>
                <w:sz w:val="18"/>
                <w:szCs w:val="18"/>
              </w:rPr>
              <w:t>1.213</w:t>
            </w:r>
          </w:p>
        </w:tc>
        <w:tc>
          <w:tcPr>
            <w:tcW w:w="851" w:type="dxa"/>
            <w:tcBorders>
              <w:top w:val="nil"/>
              <w:left w:val="nil"/>
              <w:bottom w:val="nil"/>
              <w:right w:val="nil"/>
            </w:tcBorders>
            <w:shd w:val="clear" w:color="auto" w:fill="auto"/>
            <w:vAlign w:val="bottom"/>
          </w:tcPr>
          <w:p w14:paraId="7C7E4D3D" w14:textId="5C907F28" w:rsidR="005146A4" w:rsidRPr="001D41EA" w:rsidRDefault="005146A4" w:rsidP="001D41EA">
            <w:pPr>
              <w:spacing w:before="40" w:after="20"/>
              <w:jc w:val="center"/>
              <w:rPr>
                <w:rFonts w:cs="Arial"/>
                <w:sz w:val="18"/>
                <w:szCs w:val="18"/>
              </w:rPr>
            </w:pPr>
            <w:r w:rsidRPr="001D41EA">
              <w:rPr>
                <w:rFonts w:cs="Arial"/>
                <w:sz w:val="18"/>
                <w:szCs w:val="18"/>
              </w:rPr>
              <w:t>1.075</w:t>
            </w:r>
          </w:p>
        </w:tc>
      </w:tr>
      <w:tr w:rsidR="005146A4" w:rsidRPr="001D41EA" w14:paraId="46576472"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D2AE2FA" w14:textId="77777777" w:rsidR="005146A4" w:rsidRPr="001D41EA" w:rsidRDefault="005146A4" w:rsidP="001D41EA">
            <w:pPr>
              <w:spacing w:before="40" w:after="20"/>
              <w:rPr>
                <w:rFonts w:cs="Arial"/>
                <w:sz w:val="18"/>
                <w:szCs w:val="18"/>
              </w:rPr>
            </w:pPr>
            <w:r w:rsidRPr="001D41EA">
              <w:rPr>
                <w:rFonts w:cs="Arial"/>
                <w:sz w:val="18"/>
                <w:szCs w:val="18"/>
              </w:rPr>
              <w:t>Manningham C</w:t>
            </w:r>
          </w:p>
        </w:tc>
        <w:tc>
          <w:tcPr>
            <w:tcW w:w="851" w:type="dxa"/>
            <w:tcBorders>
              <w:top w:val="nil"/>
              <w:left w:val="single" w:sz="18" w:space="0" w:color="5F497A" w:themeColor="accent4" w:themeShade="BF"/>
              <w:bottom w:val="nil"/>
              <w:right w:val="nil"/>
            </w:tcBorders>
            <w:shd w:val="clear" w:color="auto" w:fill="auto"/>
            <w:vAlign w:val="bottom"/>
          </w:tcPr>
          <w:p w14:paraId="61526B2F" w14:textId="2E6B1C0A" w:rsidR="005146A4" w:rsidRPr="001D41EA" w:rsidRDefault="005146A4" w:rsidP="001D41EA">
            <w:pPr>
              <w:spacing w:before="40" w:after="20"/>
              <w:jc w:val="center"/>
              <w:rPr>
                <w:rFonts w:cs="Arial"/>
                <w:sz w:val="18"/>
                <w:szCs w:val="18"/>
              </w:rPr>
            </w:pPr>
            <w:r w:rsidRPr="001D41EA">
              <w:rPr>
                <w:rFonts w:cs="Arial"/>
                <w:sz w:val="18"/>
                <w:szCs w:val="18"/>
              </w:rPr>
              <w:t>0.988</w:t>
            </w:r>
          </w:p>
        </w:tc>
        <w:tc>
          <w:tcPr>
            <w:tcW w:w="851" w:type="dxa"/>
            <w:tcBorders>
              <w:top w:val="nil"/>
              <w:left w:val="nil"/>
              <w:bottom w:val="nil"/>
              <w:right w:val="nil"/>
            </w:tcBorders>
            <w:shd w:val="clear" w:color="auto" w:fill="auto"/>
            <w:vAlign w:val="bottom"/>
          </w:tcPr>
          <w:p w14:paraId="31E6C62A" w14:textId="5E1F84CC" w:rsidR="005146A4" w:rsidRPr="001D41EA" w:rsidRDefault="005146A4" w:rsidP="001D41EA">
            <w:pPr>
              <w:spacing w:before="40" w:after="20"/>
              <w:jc w:val="center"/>
              <w:rPr>
                <w:rFonts w:cs="Arial"/>
                <w:sz w:val="18"/>
                <w:szCs w:val="18"/>
              </w:rPr>
            </w:pPr>
            <w:r w:rsidRPr="001D41EA">
              <w:rPr>
                <w:rFonts w:cs="Arial"/>
                <w:sz w:val="18"/>
                <w:szCs w:val="18"/>
              </w:rPr>
              <w:t>0.884</w:t>
            </w:r>
          </w:p>
        </w:tc>
        <w:tc>
          <w:tcPr>
            <w:tcW w:w="851" w:type="dxa"/>
            <w:tcBorders>
              <w:top w:val="nil"/>
              <w:left w:val="nil"/>
              <w:bottom w:val="nil"/>
              <w:right w:val="nil"/>
            </w:tcBorders>
            <w:shd w:val="clear" w:color="auto" w:fill="auto"/>
            <w:vAlign w:val="bottom"/>
          </w:tcPr>
          <w:p w14:paraId="7D4CF5CC" w14:textId="7A3665CA" w:rsidR="005146A4" w:rsidRPr="001D41EA" w:rsidRDefault="005146A4" w:rsidP="001D41EA">
            <w:pPr>
              <w:spacing w:before="40" w:after="20"/>
              <w:jc w:val="center"/>
              <w:rPr>
                <w:rFonts w:cs="Arial"/>
                <w:sz w:val="18"/>
                <w:szCs w:val="18"/>
              </w:rPr>
            </w:pPr>
            <w:r w:rsidRPr="001D41EA">
              <w:rPr>
                <w:rFonts w:cs="Arial"/>
                <w:sz w:val="18"/>
                <w:szCs w:val="18"/>
              </w:rPr>
              <w:t>0.931</w:t>
            </w:r>
          </w:p>
        </w:tc>
        <w:tc>
          <w:tcPr>
            <w:tcW w:w="851" w:type="dxa"/>
            <w:tcBorders>
              <w:top w:val="nil"/>
              <w:left w:val="nil"/>
              <w:bottom w:val="nil"/>
              <w:right w:val="nil"/>
            </w:tcBorders>
            <w:shd w:val="clear" w:color="auto" w:fill="auto"/>
            <w:vAlign w:val="bottom"/>
          </w:tcPr>
          <w:p w14:paraId="0C7E8A53" w14:textId="13EBF4DD" w:rsidR="005146A4" w:rsidRPr="001D41EA" w:rsidRDefault="005146A4" w:rsidP="001D41EA">
            <w:pPr>
              <w:spacing w:before="40" w:after="20"/>
              <w:jc w:val="center"/>
              <w:rPr>
                <w:rFonts w:cs="Arial"/>
                <w:sz w:val="18"/>
                <w:szCs w:val="18"/>
              </w:rPr>
            </w:pPr>
            <w:r w:rsidRPr="001D41EA">
              <w:rPr>
                <w:rFonts w:cs="Arial"/>
                <w:sz w:val="18"/>
                <w:szCs w:val="18"/>
              </w:rPr>
              <w:t>0.918</w:t>
            </w:r>
          </w:p>
        </w:tc>
        <w:tc>
          <w:tcPr>
            <w:tcW w:w="851" w:type="dxa"/>
            <w:tcBorders>
              <w:top w:val="nil"/>
              <w:left w:val="nil"/>
              <w:bottom w:val="nil"/>
              <w:right w:val="nil"/>
            </w:tcBorders>
            <w:shd w:val="clear" w:color="auto" w:fill="auto"/>
            <w:vAlign w:val="bottom"/>
          </w:tcPr>
          <w:p w14:paraId="6D8D4553" w14:textId="5E1D8D23" w:rsidR="005146A4" w:rsidRPr="001D41EA" w:rsidRDefault="005146A4" w:rsidP="001D41EA">
            <w:pPr>
              <w:spacing w:before="40" w:after="20"/>
              <w:jc w:val="center"/>
              <w:rPr>
                <w:rFonts w:cs="Arial"/>
                <w:sz w:val="18"/>
                <w:szCs w:val="18"/>
              </w:rPr>
            </w:pPr>
            <w:r w:rsidRPr="001D41EA">
              <w:rPr>
                <w:rFonts w:cs="Arial"/>
                <w:sz w:val="18"/>
                <w:szCs w:val="18"/>
              </w:rPr>
              <w:t>0.933</w:t>
            </w:r>
          </w:p>
        </w:tc>
        <w:tc>
          <w:tcPr>
            <w:tcW w:w="851" w:type="dxa"/>
            <w:tcBorders>
              <w:top w:val="nil"/>
              <w:left w:val="nil"/>
              <w:bottom w:val="nil"/>
              <w:right w:val="nil"/>
            </w:tcBorders>
            <w:shd w:val="clear" w:color="auto" w:fill="auto"/>
            <w:vAlign w:val="bottom"/>
          </w:tcPr>
          <w:p w14:paraId="5FA983AD" w14:textId="2EBC632A" w:rsidR="005146A4" w:rsidRPr="001D41EA" w:rsidRDefault="005146A4" w:rsidP="001D41EA">
            <w:pPr>
              <w:spacing w:before="40" w:after="20"/>
              <w:jc w:val="center"/>
              <w:rPr>
                <w:rFonts w:cs="Arial"/>
                <w:sz w:val="18"/>
                <w:szCs w:val="18"/>
              </w:rPr>
            </w:pPr>
            <w:r w:rsidRPr="001D41EA">
              <w:rPr>
                <w:rFonts w:cs="Arial"/>
                <w:sz w:val="18"/>
                <w:szCs w:val="18"/>
              </w:rPr>
              <w:t>0.907</w:t>
            </w:r>
          </w:p>
        </w:tc>
        <w:tc>
          <w:tcPr>
            <w:tcW w:w="851" w:type="dxa"/>
            <w:tcBorders>
              <w:top w:val="nil"/>
              <w:left w:val="nil"/>
              <w:bottom w:val="nil"/>
              <w:right w:val="nil"/>
            </w:tcBorders>
            <w:shd w:val="clear" w:color="auto" w:fill="auto"/>
            <w:vAlign w:val="bottom"/>
          </w:tcPr>
          <w:p w14:paraId="052D6DE0" w14:textId="0C3507DF" w:rsidR="005146A4" w:rsidRPr="001D41EA" w:rsidRDefault="005146A4" w:rsidP="001D41EA">
            <w:pPr>
              <w:spacing w:before="40" w:after="20"/>
              <w:jc w:val="center"/>
              <w:rPr>
                <w:rFonts w:cs="Arial"/>
                <w:sz w:val="18"/>
                <w:szCs w:val="18"/>
              </w:rPr>
            </w:pPr>
            <w:r w:rsidRPr="001D41EA">
              <w:rPr>
                <w:rFonts w:cs="Arial"/>
                <w:sz w:val="18"/>
                <w:szCs w:val="18"/>
              </w:rPr>
              <w:t>0.957</w:t>
            </w:r>
          </w:p>
        </w:tc>
        <w:tc>
          <w:tcPr>
            <w:tcW w:w="851" w:type="dxa"/>
            <w:tcBorders>
              <w:top w:val="nil"/>
              <w:left w:val="nil"/>
              <w:bottom w:val="nil"/>
              <w:right w:val="nil"/>
            </w:tcBorders>
            <w:shd w:val="clear" w:color="auto" w:fill="auto"/>
            <w:vAlign w:val="bottom"/>
          </w:tcPr>
          <w:p w14:paraId="3ADCDEAD" w14:textId="697B9FAB" w:rsidR="005146A4" w:rsidRPr="001D41EA" w:rsidRDefault="005146A4" w:rsidP="001D41EA">
            <w:pPr>
              <w:spacing w:before="40" w:after="20"/>
              <w:jc w:val="center"/>
              <w:rPr>
                <w:rFonts w:cs="Arial"/>
                <w:sz w:val="18"/>
                <w:szCs w:val="18"/>
              </w:rPr>
            </w:pPr>
            <w:r w:rsidRPr="001D41EA">
              <w:rPr>
                <w:rFonts w:cs="Arial"/>
                <w:sz w:val="18"/>
                <w:szCs w:val="18"/>
              </w:rPr>
              <w:t>0.943</w:t>
            </w:r>
          </w:p>
        </w:tc>
      </w:tr>
      <w:tr w:rsidR="005146A4" w:rsidRPr="001D41EA" w14:paraId="7B7FF340"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1B53BD6" w14:textId="77777777" w:rsidR="005146A4" w:rsidRPr="001D41EA" w:rsidRDefault="005146A4" w:rsidP="001D41EA">
            <w:pPr>
              <w:spacing w:before="40" w:after="20"/>
              <w:rPr>
                <w:rFonts w:cs="Arial"/>
                <w:sz w:val="18"/>
                <w:szCs w:val="18"/>
              </w:rPr>
            </w:pPr>
            <w:r w:rsidRPr="001D41EA">
              <w:rPr>
                <w:rFonts w:cs="Arial"/>
                <w:sz w:val="18"/>
                <w:szCs w:val="18"/>
              </w:rPr>
              <w:t>Mansfield S</w:t>
            </w:r>
          </w:p>
        </w:tc>
        <w:tc>
          <w:tcPr>
            <w:tcW w:w="851" w:type="dxa"/>
            <w:tcBorders>
              <w:top w:val="nil"/>
              <w:left w:val="single" w:sz="18" w:space="0" w:color="5F497A" w:themeColor="accent4" w:themeShade="BF"/>
              <w:bottom w:val="nil"/>
              <w:right w:val="nil"/>
            </w:tcBorders>
            <w:shd w:val="clear" w:color="auto" w:fill="auto"/>
            <w:vAlign w:val="bottom"/>
          </w:tcPr>
          <w:p w14:paraId="40C55317" w14:textId="46A96306" w:rsidR="005146A4" w:rsidRPr="001D41EA" w:rsidRDefault="005146A4" w:rsidP="001D41EA">
            <w:pPr>
              <w:spacing w:before="40" w:after="20"/>
              <w:jc w:val="center"/>
              <w:rPr>
                <w:rFonts w:cs="Arial"/>
                <w:sz w:val="18"/>
                <w:szCs w:val="18"/>
              </w:rPr>
            </w:pPr>
            <w:r w:rsidRPr="001D41EA">
              <w:rPr>
                <w:rFonts w:cs="Arial"/>
                <w:sz w:val="18"/>
                <w:szCs w:val="18"/>
              </w:rPr>
              <w:t>1.137</w:t>
            </w:r>
          </w:p>
        </w:tc>
        <w:tc>
          <w:tcPr>
            <w:tcW w:w="851" w:type="dxa"/>
            <w:tcBorders>
              <w:top w:val="nil"/>
              <w:left w:val="nil"/>
              <w:bottom w:val="nil"/>
              <w:right w:val="nil"/>
            </w:tcBorders>
            <w:shd w:val="clear" w:color="auto" w:fill="auto"/>
            <w:vAlign w:val="bottom"/>
          </w:tcPr>
          <w:p w14:paraId="6D1164BB" w14:textId="6B48B957" w:rsidR="005146A4" w:rsidRPr="001D41EA" w:rsidRDefault="005146A4" w:rsidP="001D41EA">
            <w:pPr>
              <w:spacing w:before="40" w:after="20"/>
              <w:jc w:val="center"/>
              <w:rPr>
                <w:rFonts w:cs="Arial"/>
                <w:sz w:val="18"/>
                <w:szCs w:val="18"/>
              </w:rPr>
            </w:pPr>
            <w:r w:rsidRPr="001D41EA">
              <w:rPr>
                <w:rFonts w:cs="Arial"/>
                <w:sz w:val="18"/>
                <w:szCs w:val="18"/>
              </w:rPr>
              <w:t>0.967</w:t>
            </w:r>
          </w:p>
        </w:tc>
        <w:tc>
          <w:tcPr>
            <w:tcW w:w="851" w:type="dxa"/>
            <w:tcBorders>
              <w:top w:val="nil"/>
              <w:left w:val="nil"/>
              <w:bottom w:val="nil"/>
              <w:right w:val="nil"/>
            </w:tcBorders>
            <w:shd w:val="clear" w:color="auto" w:fill="auto"/>
            <w:vAlign w:val="bottom"/>
          </w:tcPr>
          <w:p w14:paraId="4F524FCC" w14:textId="5FFB287A" w:rsidR="005146A4" w:rsidRPr="001D41EA" w:rsidRDefault="005146A4" w:rsidP="001D41EA">
            <w:pPr>
              <w:spacing w:before="40" w:after="20"/>
              <w:jc w:val="center"/>
              <w:rPr>
                <w:rFonts w:cs="Arial"/>
                <w:sz w:val="18"/>
                <w:szCs w:val="18"/>
              </w:rPr>
            </w:pPr>
            <w:r w:rsidRPr="001D41EA">
              <w:rPr>
                <w:rFonts w:cs="Arial"/>
                <w:sz w:val="18"/>
                <w:szCs w:val="18"/>
              </w:rPr>
              <w:t>1.025</w:t>
            </w:r>
          </w:p>
        </w:tc>
        <w:tc>
          <w:tcPr>
            <w:tcW w:w="851" w:type="dxa"/>
            <w:tcBorders>
              <w:top w:val="nil"/>
              <w:left w:val="nil"/>
              <w:bottom w:val="nil"/>
              <w:right w:val="nil"/>
            </w:tcBorders>
            <w:shd w:val="clear" w:color="auto" w:fill="auto"/>
            <w:vAlign w:val="bottom"/>
          </w:tcPr>
          <w:p w14:paraId="23CC1450" w14:textId="414CC37C" w:rsidR="005146A4" w:rsidRPr="001D41EA" w:rsidRDefault="005146A4" w:rsidP="001D41EA">
            <w:pPr>
              <w:spacing w:before="40" w:after="20"/>
              <w:jc w:val="center"/>
              <w:rPr>
                <w:rFonts w:cs="Arial"/>
                <w:sz w:val="18"/>
                <w:szCs w:val="18"/>
              </w:rPr>
            </w:pPr>
            <w:r w:rsidRPr="001D41EA">
              <w:rPr>
                <w:rFonts w:cs="Arial"/>
                <w:sz w:val="18"/>
                <w:szCs w:val="18"/>
              </w:rPr>
              <w:t>1.243</w:t>
            </w:r>
          </w:p>
        </w:tc>
        <w:tc>
          <w:tcPr>
            <w:tcW w:w="851" w:type="dxa"/>
            <w:tcBorders>
              <w:top w:val="nil"/>
              <w:left w:val="nil"/>
              <w:bottom w:val="nil"/>
              <w:right w:val="nil"/>
            </w:tcBorders>
            <w:shd w:val="clear" w:color="auto" w:fill="auto"/>
            <w:vAlign w:val="bottom"/>
          </w:tcPr>
          <w:p w14:paraId="6733F450" w14:textId="38F44CDB" w:rsidR="005146A4" w:rsidRPr="001D41EA" w:rsidRDefault="005146A4" w:rsidP="001D41EA">
            <w:pPr>
              <w:spacing w:before="40" w:after="20"/>
              <w:jc w:val="center"/>
              <w:rPr>
                <w:rFonts w:cs="Arial"/>
                <w:sz w:val="18"/>
                <w:szCs w:val="18"/>
              </w:rPr>
            </w:pPr>
            <w:r w:rsidRPr="001D41EA">
              <w:rPr>
                <w:rFonts w:cs="Arial"/>
                <w:sz w:val="18"/>
                <w:szCs w:val="18"/>
              </w:rPr>
              <w:t>1.246</w:t>
            </w:r>
          </w:p>
        </w:tc>
        <w:tc>
          <w:tcPr>
            <w:tcW w:w="851" w:type="dxa"/>
            <w:tcBorders>
              <w:top w:val="nil"/>
              <w:left w:val="nil"/>
              <w:bottom w:val="nil"/>
              <w:right w:val="nil"/>
            </w:tcBorders>
            <w:shd w:val="clear" w:color="auto" w:fill="auto"/>
            <w:vAlign w:val="bottom"/>
          </w:tcPr>
          <w:p w14:paraId="4F308431" w14:textId="0F353B1D" w:rsidR="005146A4" w:rsidRPr="001D41EA" w:rsidRDefault="005146A4" w:rsidP="001D41EA">
            <w:pPr>
              <w:spacing w:before="40" w:after="20"/>
              <w:jc w:val="center"/>
              <w:rPr>
                <w:rFonts w:cs="Arial"/>
                <w:sz w:val="18"/>
                <w:szCs w:val="18"/>
              </w:rPr>
            </w:pPr>
            <w:r w:rsidRPr="001D41EA">
              <w:rPr>
                <w:rFonts w:cs="Arial"/>
                <w:sz w:val="18"/>
                <w:szCs w:val="18"/>
              </w:rPr>
              <w:t>1.185</w:t>
            </w:r>
          </w:p>
        </w:tc>
        <w:tc>
          <w:tcPr>
            <w:tcW w:w="851" w:type="dxa"/>
            <w:tcBorders>
              <w:top w:val="nil"/>
              <w:left w:val="nil"/>
              <w:bottom w:val="nil"/>
              <w:right w:val="nil"/>
            </w:tcBorders>
            <w:shd w:val="clear" w:color="auto" w:fill="auto"/>
            <w:vAlign w:val="bottom"/>
          </w:tcPr>
          <w:p w14:paraId="134C318E" w14:textId="08297AF1" w:rsidR="005146A4" w:rsidRPr="001D41EA" w:rsidRDefault="005146A4" w:rsidP="001D41EA">
            <w:pPr>
              <w:spacing w:before="40" w:after="20"/>
              <w:jc w:val="center"/>
              <w:rPr>
                <w:rFonts w:cs="Arial"/>
                <w:sz w:val="18"/>
                <w:szCs w:val="18"/>
              </w:rPr>
            </w:pPr>
            <w:r w:rsidRPr="001D41EA">
              <w:rPr>
                <w:rFonts w:cs="Arial"/>
                <w:sz w:val="18"/>
                <w:szCs w:val="18"/>
              </w:rPr>
              <w:t>1.362</w:t>
            </w:r>
          </w:p>
        </w:tc>
        <w:tc>
          <w:tcPr>
            <w:tcW w:w="851" w:type="dxa"/>
            <w:tcBorders>
              <w:top w:val="nil"/>
              <w:left w:val="nil"/>
              <w:bottom w:val="nil"/>
              <w:right w:val="nil"/>
            </w:tcBorders>
            <w:shd w:val="clear" w:color="auto" w:fill="auto"/>
            <w:vAlign w:val="bottom"/>
          </w:tcPr>
          <w:p w14:paraId="6D15E1AF" w14:textId="3A5E13E4" w:rsidR="005146A4" w:rsidRPr="001D41EA" w:rsidRDefault="005146A4" w:rsidP="001D41EA">
            <w:pPr>
              <w:spacing w:before="40" w:after="20"/>
              <w:jc w:val="center"/>
              <w:rPr>
                <w:rFonts w:cs="Arial"/>
                <w:sz w:val="18"/>
                <w:szCs w:val="18"/>
              </w:rPr>
            </w:pPr>
            <w:r w:rsidRPr="001D41EA">
              <w:rPr>
                <w:rFonts w:cs="Arial"/>
                <w:sz w:val="18"/>
                <w:szCs w:val="18"/>
              </w:rPr>
              <w:t>1.285</w:t>
            </w:r>
          </w:p>
        </w:tc>
      </w:tr>
      <w:tr w:rsidR="005146A4" w:rsidRPr="001D41EA" w14:paraId="61CC0CC7"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6A3E80A" w14:textId="77777777" w:rsidR="005146A4" w:rsidRPr="001D41EA" w:rsidRDefault="005146A4" w:rsidP="001D41EA">
            <w:pPr>
              <w:spacing w:before="40" w:after="20"/>
              <w:rPr>
                <w:rFonts w:cs="Arial"/>
                <w:sz w:val="18"/>
                <w:szCs w:val="18"/>
              </w:rPr>
            </w:pPr>
            <w:r w:rsidRPr="001D41EA">
              <w:rPr>
                <w:rFonts w:cs="Arial"/>
                <w:sz w:val="18"/>
                <w:szCs w:val="18"/>
              </w:rPr>
              <w:t>Maribyrnong C</w:t>
            </w:r>
          </w:p>
        </w:tc>
        <w:tc>
          <w:tcPr>
            <w:tcW w:w="851" w:type="dxa"/>
            <w:tcBorders>
              <w:top w:val="nil"/>
              <w:left w:val="single" w:sz="18" w:space="0" w:color="5F497A" w:themeColor="accent4" w:themeShade="BF"/>
              <w:bottom w:val="nil"/>
              <w:right w:val="nil"/>
            </w:tcBorders>
            <w:shd w:val="clear" w:color="auto" w:fill="auto"/>
            <w:vAlign w:val="bottom"/>
          </w:tcPr>
          <w:p w14:paraId="0909C956" w14:textId="462DEF57" w:rsidR="005146A4" w:rsidRPr="001D41EA" w:rsidRDefault="005146A4" w:rsidP="001D41EA">
            <w:pPr>
              <w:spacing w:before="40" w:after="20"/>
              <w:jc w:val="center"/>
              <w:rPr>
                <w:rFonts w:cs="Arial"/>
                <w:sz w:val="18"/>
                <w:szCs w:val="18"/>
              </w:rPr>
            </w:pPr>
            <w:r w:rsidRPr="001D41EA">
              <w:rPr>
                <w:rFonts w:cs="Arial"/>
                <w:sz w:val="18"/>
                <w:szCs w:val="18"/>
              </w:rPr>
              <w:t>1.024</w:t>
            </w:r>
          </w:p>
        </w:tc>
        <w:tc>
          <w:tcPr>
            <w:tcW w:w="851" w:type="dxa"/>
            <w:tcBorders>
              <w:top w:val="nil"/>
              <w:left w:val="nil"/>
              <w:bottom w:val="nil"/>
              <w:right w:val="nil"/>
            </w:tcBorders>
            <w:shd w:val="clear" w:color="auto" w:fill="auto"/>
            <w:vAlign w:val="bottom"/>
          </w:tcPr>
          <w:p w14:paraId="577DABE7" w14:textId="6B43AA74" w:rsidR="005146A4" w:rsidRPr="001D41EA" w:rsidRDefault="005146A4" w:rsidP="001D41EA">
            <w:pPr>
              <w:spacing w:before="40" w:after="20"/>
              <w:jc w:val="center"/>
              <w:rPr>
                <w:rFonts w:cs="Arial"/>
                <w:sz w:val="18"/>
                <w:szCs w:val="18"/>
              </w:rPr>
            </w:pPr>
            <w:r w:rsidRPr="001D41EA">
              <w:rPr>
                <w:rFonts w:cs="Arial"/>
                <w:sz w:val="18"/>
                <w:szCs w:val="18"/>
              </w:rPr>
              <w:t>1.015</w:t>
            </w:r>
          </w:p>
        </w:tc>
        <w:tc>
          <w:tcPr>
            <w:tcW w:w="851" w:type="dxa"/>
            <w:tcBorders>
              <w:top w:val="nil"/>
              <w:left w:val="nil"/>
              <w:bottom w:val="nil"/>
              <w:right w:val="nil"/>
            </w:tcBorders>
            <w:shd w:val="clear" w:color="auto" w:fill="auto"/>
            <w:vAlign w:val="bottom"/>
          </w:tcPr>
          <w:p w14:paraId="0B389796" w14:textId="1DEF19C8" w:rsidR="005146A4" w:rsidRPr="001D41EA" w:rsidRDefault="005146A4" w:rsidP="001D41EA">
            <w:pPr>
              <w:spacing w:before="40" w:after="20"/>
              <w:jc w:val="center"/>
              <w:rPr>
                <w:rFonts w:cs="Arial"/>
                <w:sz w:val="18"/>
                <w:szCs w:val="18"/>
              </w:rPr>
            </w:pPr>
            <w:r w:rsidRPr="001D41EA">
              <w:rPr>
                <w:rFonts w:cs="Arial"/>
                <w:sz w:val="18"/>
                <w:szCs w:val="18"/>
              </w:rPr>
              <w:t>1.018</w:t>
            </w:r>
          </w:p>
        </w:tc>
        <w:tc>
          <w:tcPr>
            <w:tcW w:w="851" w:type="dxa"/>
            <w:tcBorders>
              <w:top w:val="nil"/>
              <w:left w:val="nil"/>
              <w:bottom w:val="nil"/>
              <w:right w:val="nil"/>
            </w:tcBorders>
            <w:shd w:val="clear" w:color="auto" w:fill="auto"/>
            <w:vAlign w:val="bottom"/>
          </w:tcPr>
          <w:p w14:paraId="151C00BB" w14:textId="78BCC806" w:rsidR="005146A4" w:rsidRPr="001D41EA" w:rsidRDefault="005146A4" w:rsidP="001D41EA">
            <w:pPr>
              <w:spacing w:before="40" w:after="20"/>
              <w:jc w:val="center"/>
              <w:rPr>
                <w:rFonts w:cs="Arial"/>
                <w:sz w:val="18"/>
                <w:szCs w:val="18"/>
              </w:rPr>
            </w:pPr>
            <w:r w:rsidRPr="001D41EA">
              <w:rPr>
                <w:rFonts w:cs="Arial"/>
                <w:sz w:val="18"/>
                <w:szCs w:val="18"/>
              </w:rPr>
              <w:t>1.048</w:t>
            </w:r>
          </w:p>
        </w:tc>
        <w:tc>
          <w:tcPr>
            <w:tcW w:w="851" w:type="dxa"/>
            <w:tcBorders>
              <w:top w:val="nil"/>
              <w:left w:val="nil"/>
              <w:bottom w:val="nil"/>
              <w:right w:val="nil"/>
            </w:tcBorders>
            <w:shd w:val="clear" w:color="auto" w:fill="auto"/>
            <w:vAlign w:val="bottom"/>
          </w:tcPr>
          <w:p w14:paraId="6E54B1FD" w14:textId="7D527B1F" w:rsidR="005146A4" w:rsidRPr="001D41EA" w:rsidRDefault="005146A4" w:rsidP="001D41EA">
            <w:pPr>
              <w:spacing w:before="40" w:after="20"/>
              <w:jc w:val="center"/>
              <w:rPr>
                <w:rFonts w:cs="Arial"/>
                <w:sz w:val="18"/>
                <w:szCs w:val="18"/>
              </w:rPr>
            </w:pPr>
            <w:r w:rsidRPr="001D41EA">
              <w:rPr>
                <w:rFonts w:cs="Arial"/>
                <w:sz w:val="18"/>
                <w:szCs w:val="18"/>
              </w:rPr>
              <w:t>0.981</w:t>
            </w:r>
          </w:p>
        </w:tc>
        <w:tc>
          <w:tcPr>
            <w:tcW w:w="851" w:type="dxa"/>
            <w:tcBorders>
              <w:top w:val="nil"/>
              <w:left w:val="nil"/>
              <w:bottom w:val="nil"/>
              <w:right w:val="nil"/>
            </w:tcBorders>
            <w:shd w:val="clear" w:color="auto" w:fill="auto"/>
            <w:vAlign w:val="bottom"/>
          </w:tcPr>
          <w:p w14:paraId="423D2F9F" w14:textId="604A58A9" w:rsidR="005146A4" w:rsidRPr="001D41EA" w:rsidRDefault="005146A4" w:rsidP="001D41EA">
            <w:pPr>
              <w:spacing w:before="40" w:after="20"/>
              <w:jc w:val="center"/>
              <w:rPr>
                <w:rFonts w:cs="Arial"/>
                <w:sz w:val="18"/>
                <w:szCs w:val="18"/>
              </w:rPr>
            </w:pPr>
            <w:r w:rsidRPr="001D41EA">
              <w:rPr>
                <w:rFonts w:cs="Arial"/>
                <w:sz w:val="18"/>
                <w:szCs w:val="18"/>
              </w:rPr>
              <w:t>1.050</w:t>
            </w:r>
          </w:p>
        </w:tc>
        <w:tc>
          <w:tcPr>
            <w:tcW w:w="851" w:type="dxa"/>
            <w:tcBorders>
              <w:top w:val="nil"/>
              <w:left w:val="nil"/>
              <w:bottom w:val="nil"/>
              <w:right w:val="nil"/>
            </w:tcBorders>
            <w:shd w:val="clear" w:color="auto" w:fill="auto"/>
            <w:vAlign w:val="bottom"/>
          </w:tcPr>
          <w:p w14:paraId="4058B237" w14:textId="1F3823BD" w:rsidR="005146A4" w:rsidRPr="001D41EA" w:rsidRDefault="005146A4" w:rsidP="001D41EA">
            <w:pPr>
              <w:spacing w:before="40" w:after="20"/>
              <w:jc w:val="center"/>
              <w:rPr>
                <w:rFonts w:cs="Arial"/>
                <w:sz w:val="18"/>
                <w:szCs w:val="18"/>
              </w:rPr>
            </w:pPr>
            <w:r w:rsidRPr="001D41EA">
              <w:rPr>
                <w:rFonts w:cs="Arial"/>
                <w:sz w:val="18"/>
                <w:szCs w:val="18"/>
              </w:rPr>
              <w:t>0.932</w:t>
            </w:r>
          </w:p>
        </w:tc>
        <w:tc>
          <w:tcPr>
            <w:tcW w:w="851" w:type="dxa"/>
            <w:tcBorders>
              <w:top w:val="nil"/>
              <w:left w:val="nil"/>
              <w:bottom w:val="nil"/>
              <w:right w:val="nil"/>
            </w:tcBorders>
            <w:shd w:val="clear" w:color="auto" w:fill="auto"/>
            <w:vAlign w:val="bottom"/>
          </w:tcPr>
          <w:p w14:paraId="25B9BE73" w14:textId="47BFC30E" w:rsidR="005146A4" w:rsidRPr="001D41EA" w:rsidRDefault="005146A4" w:rsidP="001D41EA">
            <w:pPr>
              <w:spacing w:before="40" w:after="20"/>
              <w:jc w:val="center"/>
              <w:rPr>
                <w:rFonts w:cs="Arial"/>
                <w:sz w:val="18"/>
                <w:szCs w:val="18"/>
              </w:rPr>
            </w:pPr>
            <w:r w:rsidRPr="001D41EA">
              <w:rPr>
                <w:rFonts w:cs="Arial"/>
                <w:sz w:val="18"/>
                <w:szCs w:val="18"/>
              </w:rPr>
              <w:t>1.049</w:t>
            </w:r>
          </w:p>
        </w:tc>
      </w:tr>
      <w:tr w:rsidR="005146A4" w:rsidRPr="001D41EA" w14:paraId="08C02E18"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C1327AD" w14:textId="77777777" w:rsidR="005146A4" w:rsidRPr="001D41EA" w:rsidRDefault="005146A4" w:rsidP="001D41EA">
            <w:pPr>
              <w:spacing w:before="40" w:after="20"/>
              <w:rPr>
                <w:rFonts w:cs="Arial"/>
                <w:sz w:val="18"/>
                <w:szCs w:val="18"/>
              </w:rPr>
            </w:pPr>
            <w:r w:rsidRPr="001D41EA">
              <w:rPr>
                <w:rFonts w:cs="Arial"/>
                <w:sz w:val="18"/>
                <w:szCs w:val="18"/>
              </w:rPr>
              <w:t>Maroondah C</w:t>
            </w:r>
          </w:p>
        </w:tc>
        <w:tc>
          <w:tcPr>
            <w:tcW w:w="851" w:type="dxa"/>
            <w:tcBorders>
              <w:top w:val="nil"/>
              <w:left w:val="single" w:sz="18" w:space="0" w:color="5F497A" w:themeColor="accent4" w:themeShade="BF"/>
              <w:bottom w:val="nil"/>
              <w:right w:val="nil"/>
            </w:tcBorders>
            <w:shd w:val="clear" w:color="auto" w:fill="auto"/>
            <w:vAlign w:val="bottom"/>
          </w:tcPr>
          <w:p w14:paraId="35E5FB94" w14:textId="22AACF2C" w:rsidR="005146A4" w:rsidRPr="001D41EA" w:rsidRDefault="005146A4" w:rsidP="001D41EA">
            <w:pPr>
              <w:spacing w:before="40" w:after="20"/>
              <w:jc w:val="center"/>
              <w:rPr>
                <w:rFonts w:cs="Arial"/>
                <w:sz w:val="18"/>
                <w:szCs w:val="18"/>
              </w:rPr>
            </w:pPr>
            <w:r w:rsidRPr="001D41EA">
              <w:rPr>
                <w:rFonts w:cs="Arial"/>
                <w:sz w:val="18"/>
                <w:szCs w:val="18"/>
              </w:rPr>
              <w:t>0.951</w:t>
            </w:r>
          </w:p>
        </w:tc>
        <w:tc>
          <w:tcPr>
            <w:tcW w:w="851" w:type="dxa"/>
            <w:tcBorders>
              <w:top w:val="nil"/>
              <w:left w:val="nil"/>
              <w:bottom w:val="nil"/>
              <w:right w:val="nil"/>
            </w:tcBorders>
            <w:shd w:val="clear" w:color="auto" w:fill="auto"/>
            <w:vAlign w:val="bottom"/>
          </w:tcPr>
          <w:p w14:paraId="52F12D9D" w14:textId="0DDA91B8" w:rsidR="005146A4" w:rsidRPr="001D41EA" w:rsidRDefault="005146A4" w:rsidP="001D41EA">
            <w:pPr>
              <w:spacing w:before="40" w:after="20"/>
              <w:jc w:val="center"/>
              <w:rPr>
                <w:rFonts w:cs="Arial"/>
                <w:sz w:val="18"/>
                <w:szCs w:val="18"/>
              </w:rPr>
            </w:pPr>
            <w:r w:rsidRPr="001D41EA">
              <w:rPr>
                <w:rFonts w:cs="Arial"/>
                <w:sz w:val="18"/>
                <w:szCs w:val="18"/>
              </w:rPr>
              <w:t>0.947</w:t>
            </w:r>
          </w:p>
        </w:tc>
        <w:tc>
          <w:tcPr>
            <w:tcW w:w="851" w:type="dxa"/>
            <w:tcBorders>
              <w:top w:val="nil"/>
              <w:left w:val="nil"/>
              <w:bottom w:val="nil"/>
              <w:right w:val="nil"/>
            </w:tcBorders>
            <w:shd w:val="clear" w:color="auto" w:fill="auto"/>
            <w:vAlign w:val="bottom"/>
          </w:tcPr>
          <w:p w14:paraId="096FB981" w14:textId="1515054E" w:rsidR="005146A4" w:rsidRPr="001D41EA" w:rsidRDefault="005146A4" w:rsidP="001D41EA">
            <w:pPr>
              <w:spacing w:before="40" w:after="20"/>
              <w:jc w:val="center"/>
              <w:rPr>
                <w:rFonts w:cs="Arial"/>
                <w:sz w:val="18"/>
                <w:szCs w:val="18"/>
              </w:rPr>
            </w:pPr>
            <w:r w:rsidRPr="001D41EA">
              <w:rPr>
                <w:rFonts w:cs="Arial"/>
                <w:sz w:val="18"/>
                <w:szCs w:val="18"/>
              </w:rPr>
              <w:t>0.929</w:t>
            </w:r>
          </w:p>
        </w:tc>
        <w:tc>
          <w:tcPr>
            <w:tcW w:w="851" w:type="dxa"/>
            <w:tcBorders>
              <w:top w:val="nil"/>
              <w:left w:val="nil"/>
              <w:bottom w:val="nil"/>
              <w:right w:val="nil"/>
            </w:tcBorders>
            <w:shd w:val="clear" w:color="auto" w:fill="auto"/>
            <w:vAlign w:val="bottom"/>
          </w:tcPr>
          <w:p w14:paraId="1E2C38B2" w14:textId="6279436C" w:rsidR="005146A4" w:rsidRPr="001D41EA" w:rsidRDefault="005146A4" w:rsidP="001D41EA">
            <w:pPr>
              <w:spacing w:before="40" w:after="20"/>
              <w:jc w:val="center"/>
              <w:rPr>
                <w:rFonts w:cs="Arial"/>
                <w:sz w:val="18"/>
                <w:szCs w:val="18"/>
              </w:rPr>
            </w:pPr>
            <w:r w:rsidRPr="001D41EA">
              <w:rPr>
                <w:rFonts w:cs="Arial"/>
                <w:sz w:val="18"/>
                <w:szCs w:val="18"/>
              </w:rPr>
              <w:t>0.944</w:t>
            </w:r>
          </w:p>
        </w:tc>
        <w:tc>
          <w:tcPr>
            <w:tcW w:w="851" w:type="dxa"/>
            <w:tcBorders>
              <w:top w:val="nil"/>
              <w:left w:val="nil"/>
              <w:bottom w:val="nil"/>
              <w:right w:val="nil"/>
            </w:tcBorders>
            <w:shd w:val="clear" w:color="auto" w:fill="auto"/>
            <w:vAlign w:val="bottom"/>
          </w:tcPr>
          <w:p w14:paraId="2187CC4C" w14:textId="611C6804" w:rsidR="005146A4" w:rsidRPr="001D41EA" w:rsidRDefault="005146A4" w:rsidP="001D41EA">
            <w:pPr>
              <w:spacing w:before="40" w:after="20"/>
              <w:jc w:val="center"/>
              <w:rPr>
                <w:rFonts w:cs="Arial"/>
                <w:sz w:val="18"/>
                <w:szCs w:val="18"/>
              </w:rPr>
            </w:pPr>
            <w:r w:rsidRPr="001D41EA">
              <w:rPr>
                <w:rFonts w:cs="Arial"/>
                <w:sz w:val="18"/>
                <w:szCs w:val="18"/>
              </w:rPr>
              <w:t>0.944</w:t>
            </w:r>
          </w:p>
        </w:tc>
        <w:tc>
          <w:tcPr>
            <w:tcW w:w="851" w:type="dxa"/>
            <w:tcBorders>
              <w:top w:val="nil"/>
              <w:left w:val="nil"/>
              <w:bottom w:val="nil"/>
              <w:right w:val="nil"/>
            </w:tcBorders>
            <w:shd w:val="clear" w:color="auto" w:fill="auto"/>
            <w:vAlign w:val="bottom"/>
          </w:tcPr>
          <w:p w14:paraId="71B54BF5" w14:textId="19CF3CDE" w:rsidR="005146A4" w:rsidRPr="001D41EA" w:rsidRDefault="005146A4" w:rsidP="001D41EA">
            <w:pPr>
              <w:spacing w:before="40" w:after="20"/>
              <w:jc w:val="center"/>
              <w:rPr>
                <w:rFonts w:cs="Arial"/>
                <w:sz w:val="18"/>
                <w:szCs w:val="18"/>
              </w:rPr>
            </w:pPr>
            <w:r w:rsidRPr="001D41EA">
              <w:rPr>
                <w:rFonts w:cs="Arial"/>
                <w:sz w:val="18"/>
                <w:szCs w:val="18"/>
              </w:rPr>
              <w:t>0.947</w:t>
            </w:r>
          </w:p>
        </w:tc>
        <w:tc>
          <w:tcPr>
            <w:tcW w:w="851" w:type="dxa"/>
            <w:tcBorders>
              <w:top w:val="nil"/>
              <w:left w:val="nil"/>
              <w:bottom w:val="nil"/>
              <w:right w:val="nil"/>
            </w:tcBorders>
            <w:shd w:val="clear" w:color="auto" w:fill="auto"/>
            <w:vAlign w:val="bottom"/>
          </w:tcPr>
          <w:p w14:paraId="532FF9BA" w14:textId="3E5EDB34" w:rsidR="005146A4" w:rsidRPr="001D41EA" w:rsidRDefault="005146A4" w:rsidP="001D41EA">
            <w:pPr>
              <w:spacing w:before="40" w:after="20"/>
              <w:jc w:val="center"/>
              <w:rPr>
                <w:rFonts w:cs="Arial"/>
                <w:sz w:val="18"/>
                <w:szCs w:val="18"/>
              </w:rPr>
            </w:pPr>
            <w:r w:rsidRPr="001D41EA">
              <w:rPr>
                <w:rFonts w:cs="Arial"/>
                <w:sz w:val="18"/>
                <w:szCs w:val="18"/>
              </w:rPr>
              <w:t>0.923</w:t>
            </w:r>
          </w:p>
        </w:tc>
        <w:tc>
          <w:tcPr>
            <w:tcW w:w="851" w:type="dxa"/>
            <w:tcBorders>
              <w:top w:val="nil"/>
              <w:left w:val="nil"/>
              <w:bottom w:val="nil"/>
              <w:right w:val="nil"/>
            </w:tcBorders>
            <w:shd w:val="clear" w:color="auto" w:fill="auto"/>
            <w:vAlign w:val="bottom"/>
          </w:tcPr>
          <w:p w14:paraId="728C3AFF" w14:textId="580C2977" w:rsidR="005146A4" w:rsidRPr="001D41EA" w:rsidRDefault="005146A4" w:rsidP="001D41EA">
            <w:pPr>
              <w:spacing w:before="40" w:after="20"/>
              <w:jc w:val="center"/>
              <w:rPr>
                <w:rFonts w:cs="Arial"/>
                <w:sz w:val="18"/>
                <w:szCs w:val="18"/>
              </w:rPr>
            </w:pPr>
            <w:r w:rsidRPr="001D41EA">
              <w:rPr>
                <w:rFonts w:cs="Arial"/>
                <w:sz w:val="18"/>
                <w:szCs w:val="18"/>
              </w:rPr>
              <w:t>0.981</w:t>
            </w:r>
          </w:p>
        </w:tc>
      </w:tr>
      <w:tr w:rsidR="005146A4" w:rsidRPr="001D41EA" w14:paraId="017E79F0"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4FB50019" w14:textId="77777777" w:rsidR="005146A4" w:rsidRPr="001D41EA" w:rsidRDefault="005146A4" w:rsidP="001D41EA">
            <w:pPr>
              <w:spacing w:before="40" w:after="20"/>
              <w:rPr>
                <w:rFonts w:cs="Arial"/>
                <w:sz w:val="18"/>
                <w:szCs w:val="18"/>
              </w:rPr>
            </w:pPr>
            <w:r w:rsidRPr="001D41EA">
              <w:rPr>
                <w:rFonts w:cs="Arial"/>
                <w:sz w:val="18"/>
                <w:szCs w:val="18"/>
              </w:rPr>
              <w:t>Melbourne C</w:t>
            </w:r>
          </w:p>
        </w:tc>
        <w:tc>
          <w:tcPr>
            <w:tcW w:w="851" w:type="dxa"/>
            <w:tcBorders>
              <w:top w:val="nil"/>
              <w:left w:val="single" w:sz="18" w:space="0" w:color="5F497A" w:themeColor="accent4" w:themeShade="BF"/>
              <w:bottom w:val="nil"/>
              <w:right w:val="nil"/>
            </w:tcBorders>
            <w:shd w:val="clear" w:color="auto" w:fill="auto"/>
            <w:vAlign w:val="bottom"/>
          </w:tcPr>
          <w:p w14:paraId="6DD18D74" w14:textId="659F9052" w:rsidR="005146A4" w:rsidRPr="001D41EA" w:rsidRDefault="005146A4" w:rsidP="001D41EA">
            <w:pPr>
              <w:spacing w:before="40" w:after="20"/>
              <w:jc w:val="center"/>
              <w:rPr>
                <w:rFonts w:cs="Arial"/>
                <w:sz w:val="18"/>
                <w:szCs w:val="18"/>
              </w:rPr>
            </w:pPr>
            <w:r w:rsidRPr="001D41EA">
              <w:rPr>
                <w:rFonts w:cs="Arial"/>
                <w:sz w:val="18"/>
                <w:szCs w:val="18"/>
              </w:rPr>
              <w:t>0.981</w:t>
            </w:r>
          </w:p>
        </w:tc>
        <w:tc>
          <w:tcPr>
            <w:tcW w:w="851" w:type="dxa"/>
            <w:tcBorders>
              <w:top w:val="nil"/>
              <w:left w:val="nil"/>
              <w:bottom w:val="nil"/>
              <w:right w:val="nil"/>
            </w:tcBorders>
            <w:shd w:val="clear" w:color="auto" w:fill="auto"/>
            <w:vAlign w:val="bottom"/>
          </w:tcPr>
          <w:p w14:paraId="1B2C9B32" w14:textId="35708EAE" w:rsidR="005146A4" w:rsidRPr="001D41EA" w:rsidRDefault="005146A4" w:rsidP="001D41EA">
            <w:pPr>
              <w:spacing w:before="40" w:after="20"/>
              <w:jc w:val="center"/>
              <w:rPr>
                <w:rFonts w:cs="Arial"/>
                <w:sz w:val="18"/>
                <w:szCs w:val="18"/>
              </w:rPr>
            </w:pPr>
            <w:r w:rsidRPr="001D41EA">
              <w:rPr>
                <w:rFonts w:cs="Arial"/>
                <w:sz w:val="18"/>
                <w:szCs w:val="18"/>
              </w:rPr>
              <w:t>0.939</w:t>
            </w:r>
          </w:p>
        </w:tc>
        <w:tc>
          <w:tcPr>
            <w:tcW w:w="851" w:type="dxa"/>
            <w:tcBorders>
              <w:top w:val="nil"/>
              <w:left w:val="nil"/>
              <w:bottom w:val="nil"/>
              <w:right w:val="nil"/>
            </w:tcBorders>
            <w:shd w:val="clear" w:color="auto" w:fill="auto"/>
            <w:vAlign w:val="bottom"/>
          </w:tcPr>
          <w:p w14:paraId="194A90FA" w14:textId="3A1E6A79" w:rsidR="005146A4" w:rsidRPr="001D41EA" w:rsidRDefault="005146A4" w:rsidP="001D41EA">
            <w:pPr>
              <w:spacing w:before="40" w:after="20"/>
              <w:jc w:val="center"/>
              <w:rPr>
                <w:rFonts w:cs="Arial"/>
                <w:sz w:val="18"/>
                <w:szCs w:val="18"/>
              </w:rPr>
            </w:pPr>
            <w:r w:rsidRPr="001D41EA">
              <w:rPr>
                <w:rFonts w:cs="Arial"/>
                <w:sz w:val="18"/>
                <w:szCs w:val="18"/>
              </w:rPr>
              <w:t>0.922</w:t>
            </w:r>
          </w:p>
        </w:tc>
        <w:tc>
          <w:tcPr>
            <w:tcW w:w="851" w:type="dxa"/>
            <w:tcBorders>
              <w:top w:val="nil"/>
              <w:left w:val="nil"/>
              <w:bottom w:val="nil"/>
              <w:right w:val="nil"/>
            </w:tcBorders>
            <w:shd w:val="clear" w:color="auto" w:fill="auto"/>
            <w:vAlign w:val="bottom"/>
          </w:tcPr>
          <w:p w14:paraId="5CA8890E" w14:textId="3BE785D0" w:rsidR="005146A4" w:rsidRPr="001D41EA" w:rsidRDefault="005146A4" w:rsidP="001D41EA">
            <w:pPr>
              <w:spacing w:before="40" w:after="20"/>
              <w:jc w:val="center"/>
              <w:rPr>
                <w:rFonts w:cs="Arial"/>
                <w:sz w:val="18"/>
                <w:szCs w:val="18"/>
              </w:rPr>
            </w:pPr>
            <w:r w:rsidRPr="001D41EA">
              <w:rPr>
                <w:rFonts w:cs="Arial"/>
                <w:sz w:val="18"/>
                <w:szCs w:val="18"/>
              </w:rPr>
              <w:t>1.258</w:t>
            </w:r>
          </w:p>
        </w:tc>
        <w:tc>
          <w:tcPr>
            <w:tcW w:w="851" w:type="dxa"/>
            <w:tcBorders>
              <w:top w:val="nil"/>
              <w:left w:val="nil"/>
              <w:bottom w:val="nil"/>
              <w:right w:val="nil"/>
            </w:tcBorders>
            <w:shd w:val="clear" w:color="auto" w:fill="auto"/>
            <w:vAlign w:val="bottom"/>
          </w:tcPr>
          <w:p w14:paraId="489ECDCE" w14:textId="3C055EF2" w:rsidR="005146A4" w:rsidRPr="001D41EA" w:rsidRDefault="005146A4" w:rsidP="001D41EA">
            <w:pPr>
              <w:spacing w:before="40" w:after="20"/>
              <w:jc w:val="center"/>
              <w:rPr>
                <w:rFonts w:cs="Arial"/>
                <w:sz w:val="18"/>
                <w:szCs w:val="18"/>
              </w:rPr>
            </w:pPr>
            <w:r w:rsidRPr="001D41EA">
              <w:rPr>
                <w:rFonts w:cs="Arial"/>
                <w:sz w:val="18"/>
                <w:szCs w:val="18"/>
              </w:rPr>
              <w:t>1.017</w:t>
            </w:r>
          </w:p>
        </w:tc>
        <w:tc>
          <w:tcPr>
            <w:tcW w:w="851" w:type="dxa"/>
            <w:tcBorders>
              <w:top w:val="nil"/>
              <w:left w:val="nil"/>
              <w:bottom w:val="nil"/>
              <w:right w:val="nil"/>
            </w:tcBorders>
            <w:shd w:val="clear" w:color="auto" w:fill="auto"/>
            <w:vAlign w:val="bottom"/>
          </w:tcPr>
          <w:p w14:paraId="0F4A2B02" w14:textId="35183059" w:rsidR="005146A4" w:rsidRPr="001D41EA" w:rsidRDefault="005146A4" w:rsidP="001D41EA">
            <w:pPr>
              <w:spacing w:before="40" w:after="20"/>
              <w:jc w:val="center"/>
              <w:rPr>
                <w:rFonts w:cs="Arial"/>
                <w:sz w:val="18"/>
                <w:szCs w:val="18"/>
              </w:rPr>
            </w:pPr>
            <w:r w:rsidRPr="001D41EA">
              <w:rPr>
                <w:rFonts w:cs="Arial"/>
                <w:sz w:val="18"/>
                <w:szCs w:val="18"/>
              </w:rPr>
              <w:t>1.259</w:t>
            </w:r>
          </w:p>
        </w:tc>
        <w:tc>
          <w:tcPr>
            <w:tcW w:w="851" w:type="dxa"/>
            <w:tcBorders>
              <w:top w:val="nil"/>
              <w:left w:val="nil"/>
              <w:bottom w:val="nil"/>
              <w:right w:val="nil"/>
            </w:tcBorders>
            <w:shd w:val="clear" w:color="auto" w:fill="auto"/>
            <w:vAlign w:val="bottom"/>
          </w:tcPr>
          <w:p w14:paraId="2B60B708" w14:textId="7C039647" w:rsidR="005146A4" w:rsidRPr="001D41EA" w:rsidRDefault="005146A4" w:rsidP="001D41EA">
            <w:pPr>
              <w:spacing w:before="40" w:after="20"/>
              <w:jc w:val="center"/>
              <w:rPr>
                <w:rFonts w:cs="Arial"/>
                <w:sz w:val="18"/>
                <w:szCs w:val="18"/>
              </w:rPr>
            </w:pPr>
            <w:r w:rsidRPr="001D41EA">
              <w:rPr>
                <w:rFonts w:cs="Arial"/>
                <w:sz w:val="18"/>
                <w:szCs w:val="18"/>
              </w:rPr>
              <w:t>0.947</w:t>
            </w:r>
          </w:p>
        </w:tc>
        <w:tc>
          <w:tcPr>
            <w:tcW w:w="851" w:type="dxa"/>
            <w:tcBorders>
              <w:top w:val="nil"/>
              <w:left w:val="nil"/>
              <w:bottom w:val="nil"/>
              <w:right w:val="nil"/>
            </w:tcBorders>
            <w:shd w:val="clear" w:color="auto" w:fill="auto"/>
            <w:vAlign w:val="bottom"/>
          </w:tcPr>
          <w:p w14:paraId="385A7670" w14:textId="30A91ABA" w:rsidR="005146A4" w:rsidRPr="001D41EA" w:rsidRDefault="005146A4" w:rsidP="001D41EA">
            <w:pPr>
              <w:spacing w:before="40" w:after="20"/>
              <w:jc w:val="center"/>
              <w:rPr>
                <w:rFonts w:cs="Arial"/>
                <w:sz w:val="18"/>
                <w:szCs w:val="18"/>
              </w:rPr>
            </w:pPr>
            <w:r w:rsidRPr="001D41EA">
              <w:rPr>
                <w:rFonts w:cs="Arial"/>
                <w:sz w:val="18"/>
                <w:szCs w:val="18"/>
              </w:rPr>
              <w:t>1.098</w:t>
            </w:r>
          </w:p>
        </w:tc>
      </w:tr>
      <w:tr w:rsidR="005146A4" w:rsidRPr="001D41EA" w14:paraId="5E26191E"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C189818" w14:textId="77777777" w:rsidR="005146A4" w:rsidRPr="001D41EA" w:rsidRDefault="005146A4" w:rsidP="001D41EA">
            <w:pPr>
              <w:spacing w:before="40" w:after="20"/>
              <w:rPr>
                <w:rFonts w:cs="Arial"/>
                <w:sz w:val="18"/>
                <w:szCs w:val="18"/>
              </w:rPr>
            </w:pPr>
            <w:r w:rsidRPr="001D41EA">
              <w:rPr>
                <w:rFonts w:cs="Arial"/>
                <w:sz w:val="18"/>
                <w:szCs w:val="18"/>
              </w:rPr>
              <w:t>Melton C</w:t>
            </w:r>
          </w:p>
        </w:tc>
        <w:tc>
          <w:tcPr>
            <w:tcW w:w="851" w:type="dxa"/>
            <w:tcBorders>
              <w:top w:val="nil"/>
              <w:left w:val="single" w:sz="18" w:space="0" w:color="5F497A" w:themeColor="accent4" w:themeShade="BF"/>
              <w:bottom w:val="nil"/>
              <w:right w:val="nil"/>
            </w:tcBorders>
            <w:shd w:val="clear" w:color="auto" w:fill="auto"/>
            <w:vAlign w:val="bottom"/>
          </w:tcPr>
          <w:p w14:paraId="068FBB7F" w14:textId="62733200" w:rsidR="005146A4" w:rsidRPr="001D41EA" w:rsidRDefault="005146A4" w:rsidP="001D41EA">
            <w:pPr>
              <w:spacing w:before="40" w:after="20"/>
              <w:jc w:val="center"/>
              <w:rPr>
                <w:rFonts w:cs="Arial"/>
                <w:sz w:val="18"/>
                <w:szCs w:val="18"/>
              </w:rPr>
            </w:pPr>
            <w:r w:rsidRPr="001D41EA">
              <w:rPr>
                <w:rFonts w:cs="Arial"/>
                <w:sz w:val="18"/>
                <w:szCs w:val="18"/>
              </w:rPr>
              <w:t>1.022</w:t>
            </w:r>
          </w:p>
        </w:tc>
        <w:tc>
          <w:tcPr>
            <w:tcW w:w="851" w:type="dxa"/>
            <w:tcBorders>
              <w:top w:val="nil"/>
              <w:left w:val="nil"/>
              <w:bottom w:val="nil"/>
              <w:right w:val="nil"/>
            </w:tcBorders>
            <w:shd w:val="clear" w:color="auto" w:fill="auto"/>
            <w:vAlign w:val="bottom"/>
          </w:tcPr>
          <w:p w14:paraId="5318B002" w14:textId="7852216F" w:rsidR="005146A4" w:rsidRPr="001D41EA" w:rsidRDefault="005146A4" w:rsidP="001D41EA">
            <w:pPr>
              <w:spacing w:before="40" w:after="20"/>
              <w:jc w:val="center"/>
              <w:rPr>
                <w:rFonts w:cs="Arial"/>
                <w:sz w:val="18"/>
                <w:szCs w:val="18"/>
              </w:rPr>
            </w:pPr>
            <w:r w:rsidRPr="001D41EA">
              <w:rPr>
                <w:rFonts w:cs="Arial"/>
                <w:sz w:val="18"/>
                <w:szCs w:val="18"/>
              </w:rPr>
              <w:t>1.156</w:t>
            </w:r>
          </w:p>
        </w:tc>
        <w:tc>
          <w:tcPr>
            <w:tcW w:w="851" w:type="dxa"/>
            <w:tcBorders>
              <w:top w:val="nil"/>
              <w:left w:val="nil"/>
              <w:bottom w:val="nil"/>
              <w:right w:val="nil"/>
            </w:tcBorders>
            <w:shd w:val="clear" w:color="auto" w:fill="auto"/>
            <w:vAlign w:val="bottom"/>
          </w:tcPr>
          <w:p w14:paraId="75251165" w14:textId="01D98DB3" w:rsidR="005146A4" w:rsidRPr="001D41EA" w:rsidRDefault="005146A4" w:rsidP="001D41EA">
            <w:pPr>
              <w:spacing w:before="40" w:after="20"/>
              <w:jc w:val="center"/>
              <w:rPr>
                <w:rFonts w:cs="Arial"/>
                <w:sz w:val="18"/>
                <w:szCs w:val="18"/>
              </w:rPr>
            </w:pPr>
            <w:r w:rsidRPr="001D41EA">
              <w:rPr>
                <w:rFonts w:cs="Arial"/>
                <w:sz w:val="18"/>
                <w:szCs w:val="18"/>
              </w:rPr>
              <w:t>1.036</w:t>
            </w:r>
          </w:p>
        </w:tc>
        <w:tc>
          <w:tcPr>
            <w:tcW w:w="851" w:type="dxa"/>
            <w:tcBorders>
              <w:top w:val="nil"/>
              <w:left w:val="nil"/>
              <w:bottom w:val="nil"/>
              <w:right w:val="nil"/>
            </w:tcBorders>
            <w:shd w:val="clear" w:color="auto" w:fill="auto"/>
            <w:vAlign w:val="bottom"/>
          </w:tcPr>
          <w:p w14:paraId="2A193346" w14:textId="121DAE93" w:rsidR="005146A4" w:rsidRPr="001D41EA" w:rsidRDefault="005146A4" w:rsidP="001D41EA">
            <w:pPr>
              <w:spacing w:before="40" w:after="20"/>
              <w:jc w:val="center"/>
              <w:rPr>
                <w:rFonts w:cs="Arial"/>
                <w:sz w:val="18"/>
                <w:szCs w:val="18"/>
              </w:rPr>
            </w:pPr>
            <w:r w:rsidRPr="001D41EA">
              <w:rPr>
                <w:rFonts w:cs="Arial"/>
                <w:sz w:val="18"/>
                <w:szCs w:val="18"/>
              </w:rPr>
              <w:t>0.897</w:t>
            </w:r>
          </w:p>
        </w:tc>
        <w:tc>
          <w:tcPr>
            <w:tcW w:w="851" w:type="dxa"/>
            <w:tcBorders>
              <w:top w:val="nil"/>
              <w:left w:val="nil"/>
              <w:bottom w:val="nil"/>
              <w:right w:val="nil"/>
            </w:tcBorders>
            <w:shd w:val="clear" w:color="auto" w:fill="auto"/>
            <w:vAlign w:val="bottom"/>
          </w:tcPr>
          <w:p w14:paraId="23D0C758" w14:textId="17BEE6C5" w:rsidR="005146A4" w:rsidRPr="001D41EA" w:rsidRDefault="005146A4" w:rsidP="001D41EA">
            <w:pPr>
              <w:spacing w:before="40" w:after="20"/>
              <w:jc w:val="center"/>
              <w:rPr>
                <w:rFonts w:cs="Arial"/>
                <w:sz w:val="18"/>
                <w:szCs w:val="18"/>
              </w:rPr>
            </w:pPr>
            <w:r w:rsidRPr="001D41EA">
              <w:rPr>
                <w:rFonts w:cs="Arial"/>
                <w:sz w:val="18"/>
                <w:szCs w:val="18"/>
              </w:rPr>
              <w:t>1.036</w:t>
            </w:r>
          </w:p>
        </w:tc>
        <w:tc>
          <w:tcPr>
            <w:tcW w:w="851" w:type="dxa"/>
            <w:tcBorders>
              <w:top w:val="nil"/>
              <w:left w:val="nil"/>
              <w:bottom w:val="nil"/>
              <w:right w:val="nil"/>
            </w:tcBorders>
            <w:shd w:val="clear" w:color="auto" w:fill="auto"/>
            <w:vAlign w:val="bottom"/>
          </w:tcPr>
          <w:p w14:paraId="1B7C3651" w14:textId="11A7C1E0" w:rsidR="005146A4" w:rsidRPr="001D41EA" w:rsidRDefault="005146A4" w:rsidP="001D41EA">
            <w:pPr>
              <w:spacing w:before="40" w:after="20"/>
              <w:jc w:val="center"/>
              <w:rPr>
                <w:rFonts w:cs="Arial"/>
                <w:sz w:val="18"/>
                <w:szCs w:val="18"/>
              </w:rPr>
            </w:pPr>
            <w:r w:rsidRPr="001D41EA">
              <w:rPr>
                <w:rFonts w:cs="Arial"/>
                <w:sz w:val="18"/>
                <w:szCs w:val="18"/>
              </w:rPr>
              <w:t>0.975</w:t>
            </w:r>
          </w:p>
        </w:tc>
        <w:tc>
          <w:tcPr>
            <w:tcW w:w="851" w:type="dxa"/>
            <w:tcBorders>
              <w:top w:val="nil"/>
              <w:left w:val="nil"/>
              <w:bottom w:val="nil"/>
              <w:right w:val="nil"/>
            </w:tcBorders>
            <w:shd w:val="clear" w:color="auto" w:fill="auto"/>
            <w:vAlign w:val="bottom"/>
          </w:tcPr>
          <w:p w14:paraId="073C6F83" w14:textId="6BC56B97" w:rsidR="005146A4" w:rsidRPr="001D41EA" w:rsidRDefault="005146A4" w:rsidP="001D41EA">
            <w:pPr>
              <w:spacing w:before="40" w:after="20"/>
              <w:jc w:val="center"/>
              <w:rPr>
                <w:rFonts w:cs="Arial"/>
                <w:sz w:val="18"/>
                <w:szCs w:val="18"/>
              </w:rPr>
            </w:pPr>
            <w:r w:rsidRPr="001D41EA">
              <w:rPr>
                <w:rFonts w:cs="Arial"/>
                <w:sz w:val="18"/>
                <w:szCs w:val="18"/>
              </w:rPr>
              <w:t>1.024</w:t>
            </w:r>
          </w:p>
        </w:tc>
        <w:tc>
          <w:tcPr>
            <w:tcW w:w="851" w:type="dxa"/>
            <w:tcBorders>
              <w:top w:val="nil"/>
              <w:left w:val="nil"/>
              <w:bottom w:val="nil"/>
              <w:right w:val="nil"/>
            </w:tcBorders>
            <w:shd w:val="clear" w:color="auto" w:fill="auto"/>
            <w:vAlign w:val="bottom"/>
          </w:tcPr>
          <w:p w14:paraId="348E9CE7" w14:textId="0FBD690F" w:rsidR="005146A4" w:rsidRPr="001D41EA" w:rsidRDefault="005146A4" w:rsidP="001D41EA">
            <w:pPr>
              <w:spacing w:before="40" w:after="20"/>
              <w:jc w:val="center"/>
              <w:rPr>
                <w:rFonts w:cs="Arial"/>
                <w:sz w:val="18"/>
                <w:szCs w:val="18"/>
              </w:rPr>
            </w:pPr>
            <w:r w:rsidRPr="001D41EA">
              <w:rPr>
                <w:rFonts w:cs="Arial"/>
                <w:sz w:val="18"/>
                <w:szCs w:val="18"/>
              </w:rPr>
              <w:t>0.905</w:t>
            </w:r>
          </w:p>
        </w:tc>
      </w:tr>
      <w:tr w:rsidR="005146A4" w:rsidRPr="001D41EA" w14:paraId="23FD6976"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69E6D82" w14:textId="77777777" w:rsidR="005146A4" w:rsidRPr="001D41EA" w:rsidRDefault="005146A4" w:rsidP="001D41EA">
            <w:pPr>
              <w:spacing w:before="40" w:after="20"/>
              <w:rPr>
                <w:rFonts w:cs="Arial"/>
                <w:sz w:val="18"/>
                <w:szCs w:val="18"/>
              </w:rPr>
            </w:pPr>
            <w:r w:rsidRPr="001D41EA">
              <w:rPr>
                <w:rFonts w:cs="Arial"/>
                <w:sz w:val="18"/>
                <w:szCs w:val="18"/>
              </w:rPr>
              <w:t>Mildura RC</w:t>
            </w:r>
          </w:p>
        </w:tc>
        <w:tc>
          <w:tcPr>
            <w:tcW w:w="851" w:type="dxa"/>
            <w:tcBorders>
              <w:top w:val="nil"/>
              <w:left w:val="single" w:sz="18" w:space="0" w:color="5F497A" w:themeColor="accent4" w:themeShade="BF"/>
              <w:bottom w:val="nil"/>
              <w:right w:val="nil"/>
            </w:tcBorders>
            <w:shd w:val="clear" w:color="auto" w:fill="auto"/>
            <w:vAlign w:val="bottom"/>
          </w:tcPr>
          <w:p w14:paraId="36DC1DB9" w14:textId="707418D2" w:rsidR="005146A4" w:rsidRPr="001D41EA" w:rsidRDefault="005146A4" w:rsidP="001D41EA">
            <w:pPr>
              <w:spacing w:before="40" w:after="20"/>
              <w:jc w:val="center"/>
              <w:rPr>
                <w:rFonts w:cs="Arial"/>
                <w:sz w:val="18"/>
                <w:szCs w:val="18"/>
              </w:rPr>
            </w:pPr>
            <w:r w:rsidRPr="001D41EA">
              <w:rPr>
                <w:rFonts w:cs="Arial"/>
                <w:sz w:val="18"/>
                <w:szCs w:val="18"/>
              </w:rPr>
              <w:t>1.296</w:t>
            </w:r>
          </w:p>
        </w:tc>
        <w:tc>
          <w:tcPr>
            <w:tcW w:w="851" w:type="dxa"/>
            <w:tcBorders>
              <w:top w:val="nil"/>
              <w:left w:val="nil"/>
              <w:bottom w:val="nil"/>
              <w:right w:val="nil"/>
            </w:tcBorders>
            <w:shd w:val="clear" w:color="auto" w:fill="auto"/>
            <w:vAlign w:val="bottom"/>
          </w:tcPr>
          <w:p w14:paraId="356D01AC" w14:textId="30E92F38" w:rsidR="005146A4" w:rsidRPr="001D41EA" w:rsidRDefault="005146A4" w:rsidP="001D41EA">
            <w:pPr>
              <w:spacing w:before="40" w:after="20"/>
              <w:jc w:val="center"/>
              <w:rPr>
                <w:rFonts w:cs="Arial"/>
                <w:sz w:val="18"/>
                <w:szCs w:val="18"/>
              </w:rPr>
            </w:pPr>
            <w:r w:rsidRPr="001D41EA">
              <w:rPr>
                <w:rFonts w:cs="Arial"/>
                <w:sz w:val="18"/>
                <w:szCs w:val="18"/>
              </w:rPr>
              <w:t>1.155</w:t>
            </w:r>
          </w:p>
        </w:tc>
        <w:tc>
          <w:tcPr>
            <w:tcW w:w="851" w:type="dxa"/>
            <w:tcBorders>
              <w:top w:val="nil"/>
              <w:left w:val="nil"/>
              <w:bottom w:val="nil"/>
              <w:right w:val="nil"/>
            </w:tcBorders>
            <w:shd w:val="clear" w:color="auto" w:fill="auto"/>
            <w:vAlign w:val="bottom"/>
          </w:tcPr>
          <w:p w14:paraId="31E5F78E" w14:textId="7CC545CA" w:rsidR="005146A4" w:rsidRPr="001D41EA" w:rsidRDefault="005146A4" w:rsidP="001D41EA">
            <w:pPr>
              <w:spacing w:before="40" w:after="20"/>
              <w:jc w:val="center"/>
              <w:rPr>
                <w:rFonts w:cs="Arial"/>
                <w:sz w:val="18"/>
                <w:szCs w:val="18"/>
              </w:rPr>
            </w:pPr>
            <w:r w:rsidRPr="001D41EA">
              <w:rPr>
                <w:rFonts w:cs="Arial"/>
                <w:sz w:val="18"/>
                <w:szCs w:val="18"/>
              </w:rPr>
              <w:t>1.143</w:t>
            </w:r>
          </w:p>
        </w:tc>
        <w:tc>
          <w:tcPr>
            <w:tcW w:w="851" w:type="dxa"/>
            <w:tcBorders>
              <w:top w:val="nil"/>
              <w:left w:val="nil"/>
              <w:bottom w:val="nil"/>
              <w:right w:val="nil"/>
            </w:tcBorders>
            <w:shd w:val="clear" w:color="auto" w:fill="auto"/>
            <w:vAlign w:val="bottom"/>
          </w:tcPr>
          <w:p w14:paraId="5E56D4C8" w14:textId="37135D68" w:rsidR="005146A4" w:rsidRPr="001D41EA" w:rsidRDefault="005146A4" w:rsidP="001D41EA">
            <w:pPr>
              <w:spacing w:before="40" w:after="20"/>
              <w:jc w:val="center"/>
              <w:rPr>
                <w:rFonts w:cs="Arial"/>
                <w:sz w:val="18"/>
                <w:szCs w:val="18"/>
              </w:rPr>
            </w:pPr>
            <w:r w:rsidRPr="001D41EA">
              <w:rPr>
                <w:rFonts w:cs="Arial"/>
                <w:sz w:val="18"/>
                <w:szCs w:val="18"/>
              </w:rPr>
              <w:t>1.216</w:t>
            </w:r>
          </w:p>
        </w:tc>
        <w:tc>
          <w:tcPr>
            <w:tcW w:w="851" w:type="dxa"/>
            <w:tcBorders>
              <w:top w:val="nil"/>
              <w:left w:val="nil"/>
              <w:bottom w:val="nil"/>
              <w:right w:val="nil"/>
            </w:tcBorders>
            <w:shd w:val="clear" w:color="auto" w:fill="auto"/>
            <w:vAlign w:val="bottom"/>
          </w:tcPr>
          <w:p w14:paraId="442DE076" w14:textId="7CF31E8B" w:rsidR="005146A4" w:rsidRPr="001D41EA" w:rsidRDefault="005146A4" w:rsidP="001D41EA">
            <w:pPr>
              <w:spacing w:before="40" w:after="20"/>
              <w:jc w:val="center"/>
              <w:rPr>
                <w:rFonts w:cs="Arial"/>
                <w:sz w:val="18"/>
                <w:szCs w:val="18"/>
              </w:rPr>
            </w:pPr>
            <w:r w:rsidRPr="001D41EA">
              <w:rPr>
                <w:rFonts w:cs="Arial"/>
                <w:sz w:val="18"/>
                <w:szCs w:val="18"/>
              </w:rPr>
              <w:t>1.225</w:t>
            </w:r>
          </w:p>
        </w:tc>
        <w:tc>
          <w:tcPr>
            <w:tcW w:w="851" w:type="dxa"/>
            <w:tcBorders>
              <w:top w:val="nil"/>
              <w:left w:val="nil"/>
              <w:bottom w:val="nil"/>
              <w:right w:val="nil"/>
            </w:tcBorders>
            <w:shd w:val="clear" w:color="auto" w:fill="auto"/>
            <w:vAlign w:val="bottom"/>
          </w:tcPr>
          <w:p w14:paraId="2F08E69C" w14:textId="15E7AA71" w:rsidR="005146A4" w:rsidRPr="001D41EA" w:rsidRDefault="005146A4" w:rsidP="001D41EA">
            <w:pPr>
              <w:spacing w:before="40" w:after="20"/>
              <w:jc w:val="center"/>
              <w:rPr>
                <w:rFonts w:cs="Arial"/>
                <w:sz w:val="18"/>
                <w:szCs w:val="18"/>
              </w:rPr>
            </w:pPr>
            <w:r w:rsidRPr="001D41EA">
              <w:rPr>
                <w:rFonts w:cs="Arial"/>
                <w:sz w:val="18"/>
                <w:szCs w:val="18"/>
              </w:rPr>
              <w:t>1.157</w:t>
            </w:r>
          </w:p>
        </w:tc>
        <w:tc>
          <w:tcPr>
            <w:tcW w:w="851" w:type="dxa"/>
            <w:tcBorders>
              <w:top w:val="nil"/>
              <w:left w:val="nil"/>
              <w:bottom w:val="nil"/>
              <w:right w:val="nil"/>
            </w:tcBorders>
            <w:shd w:val="clear" w:color="auto" w:fill="auto"/>
            <w:vAlign w:val="bottom"/>
          </w:tcPr>
          <w:p w14:paraId="0383BD0D" w14:textId="738272E9" w:rsidR="005146A4" w:rsidRPr="001D41EA" w:rsidRDefault="005146A4" w:rsidP="001D41EA">
            <w:pPr>
              <w:spacing w:before="40" w:after="20"/>
              <w:jc w:val="center"/>
              <w:rPr>
                <w:rFonts w:cs="Arial"/>
                <w:sz w:val="18"/>
                <w:szCs w:val="18"/>
              </w:rPr>
            </w:pPr>
            <w:r w:rsidRPr="001D41EA">
              <w:rPr>
                <w:rFonts w:cs="Arial"/>
                <w:sz w:val="18"/>
                <w:szCs w:val="18"/>
              </w:rPr>
              <w:t>1.245</w:t>
            </w:r>
          </w:p>
        </w:tc>
        <w:tc>
          <w:tcPr>
            <w:tcW w:w="851" w:type="dxa"/>
            <w:tcBorders>
              <w:top w:val="nil"/>
              <w:left w:val="nil"/>
              <w:bottom w:val="nil"/>
              <w:right w:val="nil"/>
            </w:tcBorders>
            <w:shd w:val="clear" w:color="auto" w:fill="auto"/>
            <w:vAlign w:val="bottom"/>
          </w:tcPr>
          <w:p w14:paraId="6FF84F0C" w14:textId="6E7F47E2" w:rsidR="005146A4" w:rsidRPr="001D41EA" w:rsidRDefault="005146A4" w:rsidP="001D41EA">
            <w:pPr>
              <w:spacing w:before="40" w:after="20"/>
              <w:jc w:val="center"/>
              <w:rPr>
                <w:rFonts w:cs="Arial"/>
                <w:sz w:val="18"/>
                <w:szCs w:val="18"/>
              </w:rPr>
            </w:pPr>
            <w:r w:rsidRPr="001D41EA">
              <w:rPr>
                <w:rFonts w:cs="Arial"/>
                <w:sz w:val="18"/>
                <w:szCs w:val="18"/>
              </w:rPr>
              <w:t>1.346</w:t>
            </w:r>
          </w:p>
        </w:tc>
      </w:tr>
      <w:tr w:rsidR="005146A4" w:rsidRPr="001D41EA" w14:paraId="4106BC16"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4BC38F23" w14:textId="77777777" w:rsidR="005146A4" w:rsidRPr="001D41EA" w:rsidRDefault="005146A4" w:rsidP="001D41EA">
            <w:pPr>
              <w:spacing w:before="40" w:after="20"/>
              <w:rPr>
                <w:rFonts w:cs="Arial"/>
                <w:sz w:val="18"/>
                <w:szCs w:val="18"/>
              </w:rPr>
            </w:pPr>
            <w:r w:rsidRPr="001D41EA">
              <w:rPr>
                <w:rFonts w:cs="Arial"/>
                <w:sz w:val="18"/>
                <w:szCs w:val="18"/>
              </w:rPr>
              <w:t>Mitchell S</w:t>
            </w:r>
          </w:p>
        </w:tc>
        <w:tc>
          <w:tcPr>
            <w:tcW w:w="851" w:type="dxa"/>
            <w:tcBorders>
              <w:top w:val="nil"/>
              <w:left w:val="single" w:sz="18" w:space="0" w:color="5F497A" w:themeColor="accent4" w:themeShade="BF"/>
              <w:bottom w:val="nil"/>
              <w:right w:val="nil"/>
            </w:tcBorders>
            <w:shd w:val="clear" w:color="auto" w:fill="auto"/>
            <w:vAlign w:val="bottom"/>
          </w:tcPr>
          <w:p w14:paraId="2856FF31" w14:textId="23F59107" w:rsidR="005146A4" w:rsidRPr="001D41EA" w:rsidRDefault="005146A4" w:rsidP="001D41EA">
            <w:pPr>
              <w:spacing w:before="40" w:after="20"/>
              <w:jc w:val="center"/>
              <w:rPr>
                <w:rFonts w:cs="Arial"/>
                <w:sz w:val="18"/>
                <w:szCs w:val="18"/>
              </w:rPr>
            </w:pPr>
            <w:r w:rsidRPr="001D41EA">
              <w:rPr>
                <w:rFonts w:cs="Arial"/>
                <w:sz w:val="18"/>
                <w:szCs w:val="18"/>
              </w:rPr>
              <w:t>1.134</w:t>
            </w:r>
          </w:p>
        </w:tc>
        <w:tc>
          <w:tcPr>
            <w:tcW w:w="851" w:type="dxa"/>
            <w:tcBorders>
              <w:top w:val="nil"/>
              <w:left w:val="nil"/>
              <w:bottom w:val="nil"/>
              <w:right w:val="nil"/>
            </w:tcBorders>
            <w:shd w:val="clear" w:color="auto" w:fill="auto"/>
            <w:vAlign w:val="bottom"/>
          </w:tcPr>
          <w:p w14:paraId="2C88CD99" w14:textId="1EC990FD" w:rsidR="005146A4" w:rsidRPr="001D41EA" w:rsidRDefault="005146A4" w:rsidP="001D41EA">
            <w:pPr>
              <w:spacing w:before="40" w:after="20"/>
              <w:jc w:val="center"/>
              <w:rPr>
                <w:rFonts w:cs="Arial"/>
                <w:sz w:val="18"/>
                <w:szCs w:val="18"/>
              </w:rPr>
            </w:pPr>
            <w:r w:rsidRPr="001D41EA">
              <w:rPr>
                <w:rFonts w:cs="Arial"/>
                <w:sz w:val="18"/>
                <w:szCs w:val="18"/>
              </w:rPr>
              <w:t>1.130</w:t>
            </w:r>
          </w:p>
        </w:tc>
        <w:tc>
          <w:tcPr>
            <w:tcW w:w="851" w:type="dxa"/>
            <w:tcBorders>
              <w:top w:val="nil"/>
              <w:left w:val="nil"/>
              <w:bottom w:val="nil"/>
              <w:right w:val="nil"/>
            </w:tcBorders>
            <w:shd w:val="clear" w:color="auto" w:fill="auto"/>
            <w:vAlign w:val="bottom"/>
          </w:tcPr>
          <w:p w14:paraId="17443569" w14:textId="35CBEC6A" w:rsidR="005146A4" w:rsidRPr="001D41EA" w:rsidRDefault="005146A4" w:rsidP="001D41EA">
            <w:pPr>
              <w:spacing w:before="40" w:after="20"/>
              <w:jc w:val="center"/>
              <w:rPr>
                <w:rFonts w:cs="Arial"/>
                <w:sz w:val="18"/>
                <w:szCs w:val="18"/>
              </w:rPr>
            </w:pPr>
            <w:r w:rsidRPr="001D41EA">
              <w:rPr>
                <w:rFonts w:cs="Arial"/>
                <w:sz w:val="18"/>
                <w:szCs w:val="18"/>
              </w:rPr>
              <w:t>1.094</w:t>
            </w:r>
          </w:p>
        </w:tc>
        <w:tc>
          <w:tcPr>
            <w:tcW w:w="851" w:type="dxa"/>
            <w:tcBorders>
              <w:top w:val="nil"/>
              <w:left w:val="nil"/>
              <w:bottom w:val="nil"/>
              <w:right w:val="nil"/>
            </w:tcBorders>
            <w:shd w:val="clear" w:color="auto" w:fill="auto"/>
            <w:vAlign w:val="bottom"/>
          </w:tcPr>
          <w:p w14:paraId="2EC1B3EB" w14:textId="6B396251" w:rsidR="005146A4" w:rsidRPr="001D41EA" w:rsidRDefault="005146A4" w:rsidP="001D41EA">
            <w:pPr>
              <w:spacing w:before="40" w:after="20"/>
              <w:jc w:val="center"/>
              <w:rPr>
                <w:rFonts w:cs="Arial"/>
                <w:sz w:val="18"/>
                <w:szCs w:val="18"/>
              </w:rPr>
            </w:pPr>
            <w:r w:rsidRPr="001D41EA">
              <w:rPr>
                <w:rFonts w:cs="Arial"/>
                <w:sz w:val="18"/>
                <w:szCs w:val="18"/>
              </w:rPr>
              <w:t>1.024</w:t>
            </w:r>
          </w:p>
        </w:tc>
        <w:tc>
          <w:tcPr>
            <w:tcW w:w="851" w:type="dxa"/>
            <w:tcBorders>
              <w:top w:val="nil"/>
              <w:left w:val="nil"/>
              <w:bottom w:val="nil"/>
              <w:right w:val="nil"/>
            </w:tcBorders>
            <w:shd w:val="clear" w:color="auto" w:fill="auto"/>
            <w:vAlign w:val="bottom"/>
          </w:tcPr>
          <w:p w14:paraId="58200FBE" w14:textId="137DA607" w:rsidR="005146A4" w:rsidRPr="001D41EA" w:rsidRDefault="005146A4" w:rsidP="001D41EA">
            <w:pPr>
              <w:spacing w:before="40" w:after="20"/>
              <w:jc w:val="center"/>
              <w:rPr>
                <w:rFonts w:cs="Arial"/>
                <w:sz w:val="18"/>
                <w:szCs w:val="18"/>
              </w:rPr>
            </w:pPr>
            <w:r w:rsidRPr="001D41EA">
              <w:rPr>
                <w:rFonts w:cs="Arial"/>
                <w:sz w:val="18"/>
                <w:szCs w:val="18"/>
              </w:rPr>
              <w:t>1.241</w:t>
            </w:r>
          </w:p>
        </w:tc>
        <w:tc>
          <w:tcPr>
            <w:tcW w:w="851" w:type="dxa"/>
            <w:tcBorders>
              <w:top w:val="nil"/>
              <w:left w:val="nil"/>
              <w:bottom w:val="nil"/>
              <w:right w:val="nil"/>
            </w:tcBorders>
            <w:shd w:val="clear" w:color="auto" w:fill="auto"/>
            <w:vAlign w:val="bottom"/>
          </w:tcPr>
          <w:p w14:paraId="6108CFE7" w14:textId="565723E6" w:rsidR="005146A4" w:rsidRPr="001D41EA" w:rsidRDefault="005146A4" w:rsidP="001D41EA">
            <w:pPr>
              <w:spacing w:before="40" w:after="20"/>
              <w:jc w:val="center"/>
              <w:rPr>
                <w:rFonts w:cs="Arial"/>
                <w:sz w:val="18"/>
                <w:szCs w:val="18"/>
              </w:rPr>
            </w:pPr>
            <w:r w:rsidRPr="001D41EA">
              <w:rPr>
                <w:rFonts w:cs="Arial"/>
                <w:sz w:val="18"/>
                <w:szCs w:val="18"/>
              </w:rPr>
              <w:t>1.054</w:t>
            </w:r>
          </w:p>
        </w:tc>
        <w:tc>
          <w:tcPr>
            <w:tcW w:w="851" w:type="dxa"/>
            <w:tcBorders>
              <w:top w:val="nil"/>
              <w:left w:val="nil"/>
              <w:bottom w:val="nil"/>
              <w:right w:val="nil"/>
            </w:tcBorders>
            <w:shd w:val="clear" w:color="auto" w:fill="auto"/>
            <w:vAlign w:val="bottom"/>
          </w:tcPr>
          <w:p w14:paraId="2A1CAFA1" w14:textId="680901B9" w:rsidR="005146A4" w:rsidRPr="001D41EA" w:rsidRDefault="005146A4" w:rsidP="001D41EA">
            <w:pPr>
              <w:spacing w:before="40" w:after="20"/>
              <w:jc w:val="center"/>
              <w:rPr>
                <w:rFonts w:cs="Arial"/>
                <w:sz w:val="18"/>
                <w:szCs w:val="18"/>
              </w:rPr>
            </w:pPr>
            <w:r w:rsidRPr="001D41EA">
              <w:rPr>
                <w:rFonts w:cs="Arial"/>
                <w:sz w:val="18"/>
                <w:szCs w:val="18"/>
              </w:rPr>
              <w:t>1.198</w:t>
            </w:r>
          </w:p>
        </w:tc>
        <w:tc>
          <w:tcPr>
            <w:tcW w:w="851" w:type="dxa"/>
            <w:tcBorders>
              <w:top w:val="nil"/>
              <w:left w:val="nil"/>
              <w:bottom w:val="nil"/>
              <w:right w:val="nil"/>
            </w:tcBorders>
            <w:shd w:val="clear" w:color="auto" w:fill="auto"/>
            <w:vAlign w:val="bottom"/>
          </w:tcPr>
          <w:p w14:paraId="298A7DBE" w14:textId="3C9407E0" w:rsidR="005146A4" w:rsidRPr="001D41EA" w:rsidRDefault="005146A4" w:rsidP="001D41EA">
            <w:pPr>
              <w:spacing w:before="40" w:after="20"/>
              <w:jc w:val="center"/>
              <w:rPr>
                <w:rFonts w:cs="Arial"/>
                <w:sz w:val="18"/>
                <w:szCs w:val="18"/>
              </w:rPr>
            </w:pPr>
            <w:r w:rsidRPr="001D41EA">
              <w:rPr>
                <w:rFonts w:cs="Arial"/>
                <w:sz w:val="18"/>
                <w:szCs w:val="18"/>
              </w:rPr>
              <w:t>1.075</w:t>
            </w:r>
          </w:p>
        </w:tc>
      </w:tr>
      <w:tr w:rsidR="005146A4" w:rsidRPr="001D41EA" w14:paraId="6890EA3D"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3A6A7E92" w14:textId="77777777" w:rsidR="005146A4" w:rsidRPr="001D41EA" w:rsidRDefault="005146A4" w:rsidP="001D41EA">
            <w:pPr>
              <w:spacing w:before="40" w:after="20"/>
              <w:rPr>
                <w:rFonts w:cs="Arial"/>
                <w:sz w:val="18"/>
                <w:szCs w:val="18"/>
              </w:rPr>
            </w:pPr>
            <w:r w:rsidRPr="001D41EA">
              <w:rPr>
                <w:rFonts w:cs="Arial"/>
                <w:sz w:val="18"/>
                <w:szCs w:val="18"/>
              </w:rPr>
              <w:t>Moira S</w:t>
            </w:r>
          </w:p>
        </w:tc>
        <w:tc>
          <w:tcPr>
            <w:tcW w:w="851" w:type="dxa"/>
            <w:tcBorders>
              <w:top w:val="nil"/>
              <w:left w:val="single" w:sz="18" w:space="0" w:color="5F497A" w:themeColor="accent4" w:themeShade="BF"/>
              <w:bottom w:val="nil"/>
              <w:right w:val="nil"/>
            </w:tcBorders>
            <w:shd w:val="clear" w:color="auto" w:fill="auto"/>
            <w:vAlign w:val="bottom"/>
          </w:tcPr>
          <w:p w14:paraId="22867411" w14:textId="15FEE4E9" w:rsidR="005146A4" w:rsidRPr="001D41EA" w:rsidRDefault="005146A4" w:rsidP="001D41EA">
            <w:pPr>
              <w:spacing w:before="40" w:after="20"/>
              <w:jc w:val="center"/>
              <w:rPr>
                <w:rFonts w:cs="Arial"/>
                <w:sz w:val="18"/>
                <w:szCs w:val="18"/>
              </w:rPr>
            </w:pPr>
            <w:r w:rsidRPr="001D41EA">
              <w:rPr>
                <w:rFonts w:cs="Arial"/>
                <w:sz w:val="18"/>
                <w:szCs w:val="18"/>
              </w:rPr>
              <w:t>1.193</w:t>
            </w:r>
          </w:p>
        </w:tc>
        <w:tc>
          <w:tcPr>
            <w:tcW w:w="851" w:type="dxa"/>
            <w:tcBorders>
              <w:top w:val="nil"/>
              <w:left w:val="nil"/>
              <w:bottom w:val="nil"/>
              <w:right w:val="nil"/>
            </w:tcBorders>
            <w:shd w:val="clear" w:color="auto" w:fill="auto"/>
            <w:vAlign w:val="bottom"/>
          </w:tcPr>
          <w:p w14:paraId="1B1F7F87" w14:textId="6EA06B86" w:rsidR="005146A4" w:rsidRPr="001D41EA" w:rsidRDefault="005146A4" w:rsidP="001D41EA">
            <w:pPr>
              <w:spacing w:before="40" w:after="20"/>
              <w:jc w:val="center"/>
              <w:rPr>
                <w:rFonts w:cs="Arial"/>
                <w:sz w:val="18"/>
                <w:szCs w:val="18"/>
              </w:rPr>
            </w:pPr>
            <w:r w:rsidRPr="001D41EA">
              <w:rPr>
                <w:rFonts w:cs="Arial"/>
                <w:sz w:val="18"/>
                <w:szCs w:val="18"/>
              </w:rPr>
              <w:t>1.102</w:t>
            </w:r>
          </w:p>
        </w:tc>
        <w:tc>
          <w:tcPr>
            <w:tcW w:w="851" w:type="dxa"/>
            <w:tcBorders>
              <w:top w:val="nil"/>
              <w:left w:val="nil"/>
              <w:bottom w:val="nil"/>
              <w:right w:val="nil"/>
            </w:tcBorders>
            <w:shd w:val="clear" w:color="auto" w:fill="auto"/>
            <w:vAlign w:val="bottom"/>
          </w:tcPr>
          <w:p w14:paraId="226C1F3C" w14:textId="1B49EC51" w:rsidR="005146A4" w:rsidRPr="001D41EA" w:rsidRDefault="005146A4" w:rsidP="001D41EA">
            <w:pPr>
              <w:spacing w:before="40" w:after="20"/>
              <w:jc w:val="center"/>
              <w:rPr>
                <w:rFonts w:cs="Arial"/>
                <w:sz w:val="18"/>
                <w:szCs w:val="18"/>
              </w:rPr>
            </w:pPr>
            <w:r w:rsidRPr="001D41EA">
              <w:rPr>
                <w:rFonts w:cs="Arial"/>
                <w:sz w:val="18"/>
                <w:szCs w:val="18"/>
              </w:rPr>
              <w:t>1.206</w:t>
            </w:r>
          </w:p>
        </w:tc>
        <w:tc>
          <w:tcPr>
            <w:tcW w:w="851" w:type="dxa"/>
            <w:tcBorders>
              <w:top w:val="nil"/>
              <w:left w:val="nil"/>
              <w:bottom w:val="nil"/>
              <w:right w:val="nil"/>
            </w:tcBorders>
            <w:shd w:val="clear" w:color="auto" w:fill="auto"/>
            <w:vAlign w:val="bottom"/>
          </w:tcPr>
          <w:p w14:paraId="28F6F553" w14:textId="7DFBA3FB" w:rsidR="005146A4" w:rsidRPr="001D41EA" w:rsidRDefault="005146A4" w:rsidP="001D41EA">
            <w:pPr>
              <w:spacing w:before="40" w:after="20"/>
              <w:jc w:val="center"/>
              <w:rPr>
                <w:rFonts w:cs="Arial"/>
                <w:sz w:val="18"/>
                <w:szCs w:val="18"/>
              </w:rPr>
            </w:pPr>
            <w:r w:rsidRPr="001D41EA">
              <w:rPr>
                <w:rFonts w:cs="Arial"/>
                <w:sz w:val="18"/>
                <w:szCs w:val="18"/>
              </w:rPr>
              <w:t>1.098</w:t>
            </w:r>
          </w:p>
        </w:tc>
        <w:tc>
          <w:tcPr>
            <w:tcW w:w="851" w:type="dxa"/>
            <w:tcBorders>
              <w:top w:val="nil"/>
              <w:left w:val="nil"/>
              <w:bottom w:val="nil"/>
              <w:right w:val="nil"/>
            </w:tcBorders>
            <w:shd w:val="clear" w:color="auto" w:fill="auto"/>
            <w:vAlign w:val="bottom"/>
          </w:tcPr>
          <w:p w14:paraId="252E314B" w14:textId="39CEDC1B" w:rsidR="005146A4" w:rsidRPr="001D41EA" w:rsidRDefault="005146A4" w:rsidP="001D41EA">
            <w:pPr>
              <w:spacing w:before="40" w:after="20"/>
              <w:jc w:val="center"/>
              <w:rPr>
                <w:rFonts w:cs="Arial"/>
                <w:sz w:val="18"/>
                <w:szCs w:val="18"/>
              </w:rPr>
            </w:pPr>
            <w:r w:rsidRPr="001D41EA">
              <w:rPr>
                <w:rFonts w:cs="Arial"/>
                <w:sz w:val="18"/>
                <w:szCs w:val="18"/>
              </w:rPr>
              <w:t>1.322</w:t>
            </w:r>
          </w:p>
        </w:tc>
        <w:tc>
          <w:tcPr>
            <w:tcW w:w="851" w:type="dxa"/>
            <w:tcBorders>
              <w:top w:val="nil"/>
              <w:left w:val="nil"/>
              <w:bottom w:val="nil"/>
              <w:right w:val="nil"/>
            </w:tcBorders>
            <w:shd w:val="clear" w:color="auto" w:fill="auto"/>
            <w:vAlign w:val="bottom"/>
          </w:tcPr>
          <w:p w14:paraId="7825D04D" w14:textId="4FDEBE77" w:rsidR="005146A4" w:rsidRPr="001D41EA" w:rsidRDefault="005146A4" w:rsidP="001D41EA">
            <w:pPr>
              <w:spacing w:before="40" w:after="20"/>
              <w:jc w:val="center"/>
              <w:rPr>
                <w:rFonts w:cs="Arial"/>
                <w:sz w:val="18"/>
                <w:szCs w:val="18"/>
              </w:rPr>
            </w:pPr>
            <w:r w:rsidRPr="001D41EA">
              <w:rPr>
                <w:rFonts w:cs="Arial"/>
                <w:sz w:val="18"/>
                <w:szCs w:val="18"/>
              </w:rPr>
              <w:t>1.035</w:t>
            </w:r>
          </w:p>
        </w:tc>
        <w:tc>
          <w:tcPr>
            <w:tcW w:w="851" w:type="dxa"/>
            <w:tcBorders>
              <w:top w:val="nil"/>
              <w:left w:val="nil"/>
              <w:bottom w:val="nil"/>
              <w:right w:val="nil"/>
            </w:tcBorders>
            <w:shd w:val="clear" w:color="auto" w:fill="auto"/>
            <w:vAlign w:val="bottom"/>
          </w:tcPr>
          <w:p w14:paraId="5DB513CE" w14:textId="2F3DC016" w:rsidR="005146A4" w:rsidRPr="001D41EA" w:rsidRDefault="005146A4" w:rsidP="001D41EA">
            <w:pPr>
              <w:spacing w:before="40" w:after="20"/>
              <w:jc w:val="center"/>
              <w:rPr>
                <w:rFonts w:cs="Arial"/>
                <w:sz w:val="18"/>
                <w:szCs w:val="18"/>
              </w:rPr>
            </w:pPr>
            <w:r w:rsidRPr="001D41EA">
              <w:rPr>
                <w:rFonts w:cs="Arial"/>
                <w:sz w:val="18"/>
                <w:szCs w:val="18"/>
              </w:rPr>
              <w:t>1.272</w:t>
            </w:r>
          </w:p>
        </w:tc>
        <w:tc>
          <w:tcPr>
            <w:tcW w:w="851" w:type="dxa"/>
            <w:tcBorders>
              <w:top w:val="nil"/>
              <w:left w:val="nil"/>
              <w:bottom w:val="nil"/>
              <w:right w:val="nil"/>
            </w:tcBorders>
            <w:shd w:val="clear" w:color="auto" w:fill="auto"/>
            <w:vAlign w:val="bottom"/>
          </w:tcPr>
          <w:p w14:paraId="06C5AD2A" w14:textId="6EFED233" w:rsidR="005146A4" w:rsidRPr="001D41EA" w:rsidRDefault="005146A4" w:rsidP="001D41EA">
            <w:pPr>
              <w:spacing w:before="40" w:after="20"/>
              <w:jc w:val="center"/>
              <w:rPr>
                <w:rFonts w:cs="Arial"/>
                <w:sz w:val="18"/>
                <w:szCs w:val="18"/>
              </w:rPr>
            </w:pPr>
            <w:r w:rsidRPr="001D41EA">
              <w:rPr>
                <w:rFonts w:cs="Arial"/>
                <w:sz w:val="18"/>
                <w:szCs w:val="18"/>
              </w:rPr>
              <w:t>1.140</w:t>
            </w:r>
          </w:p>
        </w:tc>
      </w:tr>
      <w:tr w:rsidR="005146A4" w:rsidRPr="001D41EA" w14:paraId="0AFE1B77"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A771907" w14:textId="77777777" w:rsidR="005146A4" w:rsidRPr="001D41EA" w:rsidRDefault="005146A4" w:rsidP="001D41EA">
            <w:pPr>
              <w:spacing w:before="40" w:after="20"/>
              <w:rPr>
                <w:rFonts w:cs="Arial"/>
                <w:sz w:val="18"/>
                <w:szCs w:val="18"/>
              </w:rPr>
            </w:pPr>
            <w:r w:rsidRPr="001D41EA">
              <w:rPr>
                <w:rFonts w:cs="Arial"/>
                <w:sz w:val="18"/>
                <w:szCs w:val="18"/>
              </w:rPr>
              <w:t>Monash C</w:t>
            </w:r>
          </w:p>
        </w:tc>
        <w:tc>
          <w:tcPr>
            <w:tcW w:w="851" w:type="dxa"/>
            <w:tcBorders>
              <w:top w:val="nil"/>
              <w:left w:val="single" w:sz="18" w:space="0" w:color="5F497A" w:themeColor="accent4" w:themeShade="BF"/>
              <w:bottom w:val="nil"/>
              <w:right w:val="nil"/>
            </w:tcBorders>
            <w:shd w:val="clear" w:color="auto" w:fill="auto"/>
            <w:vAlign w:val="bottom"/>
          </w:tcPr>
          <w:p w14:paraId="6607E67A" w14:textId="40D2CFEF" w:rsidR="005146A4" w:rsidRPr="001D41EA" w:rsidRDefault="005146A4" w:rsidP="001D41EA">
            <w:pPr>
              <w:spacing w:before="40" w:after="20"/>
              <w:jc w:val="center"/>
              <w:rPr>
                <w:rFonts w:cs="Arial"/>
                <w:sz w:val="18"/>
                <w:szCs w:val="18"/>
              </w:rPr>
            </w:pPr>
            <w:r w:rsidRPr="001D41EA">
              <w:rPr>
                <w:rFonts w:cs="Arial"/>
                <w:sz w:val="18"/>
                <w:szCs w:val="18"/>
              </w:rPr>
              <w:t>0.972</w:t>
            </w:r>
          </w:p>
        </w:tc>
        <w:tc>
          <w:tcPr>
            <w:tcW w:w="851" w:type="dxa"/>
            <w:tcBorders>
              <w:top w:val="nil"/>
              <w:left w:val="nil"/>
              <w:bottom w:val="nil"/>
              <w:right w:val="nil"/>
            </w:tcBorders>
            <w:shd w:val="clear" w:color="auto" w:fill="auto"/>
            <w:vAlign w:val="bottom"/>
          </w:tcPr>
          <w:p w14:paraId="5821B45B" w14:textId="727FE2C1" w:rsidR="005146A4" w:rsidRPr="001D41EA" w:rsidRDefault="005146A4" w:rsidP="001D41EA">
            <w:pPr>
              <w:spacing w:before="40" w:after="20"/>
              <w:jc w:val="center"/>
              <w:rPr>
                <w:rFonts w:cs="Arial"/>
                <w:sz w:val="18"/>
                <w:szCs w:val="18"/>
              </w:rPr>
            </w:pPr>
            <w:r w:rsidRPr="001D41EA">
              <w:rPr>
                <w:rFonts w:cs="Arial"/>
                <w:sz w:val="18"/>
                <w:szCs w:val="18"/>
              </w:rPr>
              <w:t>0.909</w:t>
            </w:r>
          </w:p>
        </w:tc>
        <w:tc>
          <w:tcPr>
            <w:tcW w:w="851" w:type="dxa"/>
            <w:tcBorders>
              <w:top w:val="nil"/>
              <w:left w:val="nil"/>
              <w:bottom w:val="nil"/>
              <w:right w:val="nil"/>
            </w:tcBorders>
            <w:shd w:val="clear" w:color="auto" w:fill="auto"/>
            <w:vAlign w:val="bottom"/>
          </w:tcPr>
          <w:p w14:paraId="2010DF54" w14:textId="2F2B0BA3" w:rsidR="005146A4" w:rsidRPr="001D41EA" w:rsidRDefault="005146A4" w:rsidP="001D41EA">
            <w:pPr>
              <w:spacing w:before="40" w:after="20"/>
              <w:jc w:val="center"/>
              <w:rPr>
                <w:rFonts w:cs="Arial"/>
                <w:sz w:val="18"/>
                <w:szCs w:val="18"/>
              </w:rPr>
            </w:pPr>
            <w:r w:rsidRPr="001D41EA">
              <w:rPr>
                <w:rFonts w:cs="Arial"/>
                <w:sz w:val="18"/>
                <w:szCs w:val="18"/>
              </w:rPr>
              <w:t>0.974</w:t>
            </w:r>
          </w:p>
        </w:tc>
        <w:tc>
          <w:tcPr>
            <w:tcW w:w="851" w:type="dxa"/>
            <w:tcBorders>
              <w:top w:val="nil"/>
              <w:left w:val="nil"/>
              <w:bottom w:val="nil"/>
              <w:right w:val="nil"/>
            </w:tcBorders>
            <w:shd w:val="clear" w:color="auto" w:fill="auto"/>
            <w:vAlign w:val="bottom"/>
          </w:tcPr>
          <w:p w14:paraId="42544BF1" w14:textId="216A3A11" w:rsidR="005146A4" w:rsidRPr="001D41EA" w:rsidRDefault="005146A4" w:rsidP="001D41EA">
            <w:pPr>
              <w:spacing w:before="40" w:after="20"/>
              <w:jc w:val="center"/>
              <w:rPr>
                <w:rFonts w:cs="Arial"/>
                <w:sz w:val="18"/>
                <w:szCs w:val="18"/>
              </w:rPr>
            </w:pPr>
            <w:r w:rsidRPr="001D41EA">
              <w:rPr>
                <w:rFonts w:cs="Arial"/>
                <w:sz w:val="18"/>
                <w:szCs w:val="18"/>
              </w:rPr>
              <w:t>1.113</w:t>
            </w:r>
          </w:p>
        </w:tc>
        <w:tc>
          <w:tcPr>
            <w:tcW w:w="851" w:type="dxa"/>
            <w:tcBorders>
              <w:top w:val="nil"/>
              <w:left w:val="nil"/>
              <w:bottom w:val="nil"/>
              <w:right w:val="nil"/>
            </w:tcBorders>
            <w:shd w:val="clear" w:color="auto" w:fill="auto"/>
            <w:vAlign w:val="bottom"/>
          </w:tcPr>
          <w:p w14:paraId="36F23FC2" w14:textId="03426D74" w:rsidR="005146A4" w:rsidRPr="001D41EA" w:rsidRDefault="005146A4" w:rsidP="001D41EA">
            <w:pPr>
              <w:spacing w:before="40" w:after="20"/>
              <w:jc w:val="center"/>
              <w:rPr>
                <w:rFonts w:cs="Arial"/>
                <w:sz w:val="18"/>
                <w:szCs w:val="18"/>
              </w:rPr>
            </w:pPr>
            <w:r w:rsidRPr="001D41EA">
              <w:rPr>
                <w:rFonts w:cs="Arial"/>
                <w:sz w:val="18"/>
                <w:szCs w:val="18"/>
              </w:rPr>
              <w:t>0.938</w:t>
            </w:r>
          </w:p>
        </w:tc>
        <w:tc>
          <w:tcPr>
            <w:tcW w:w="851" w:type="dxa"/>
            <w:tcBorders>
              <w:top w:val="nil"/>
              <w:left w:val="nil"/>
              <w:bottom w:val="nil"/>
              <w:right w:val="nil"/>
            </w:tcBorders>
            <w:shd w:val="clear" w:color="auto" w:fill="auto"/>
            <w:vAlign w:val="bottom"/>
          </w:tcPr>
          <w:p w14:paraId="0684BBD7" w14:textId="266DB55D" w:rsidR="005146A4" w:rsidRPr="001D41EA" w:rsidRDefault="005146A4" w:rsidP="001D41EA">
            <w:pPr>
              <w:spacing w:before="40" w:after="20"/>
              <w:jc w:val="center"/>
              <w:rPr>
                <w:rFonts w:cs="Arial"/>
                <w:sz w:val="18"/>
                <w:szCs w:val="18"/>
              </w:rPr>
            </w:pPr>
            <w:r w:rsidRPr="001D41EA">
              <w:rPr>
                <w:rFonts w:cs="Arial"/>
                <w:sz w:val="18"/>
                <w:szCs w:val="18"/>
              </w:rPr>
              <w:t>1.064</w:t>
            </w:r>
          </w:p>
        </w:tc>
        <w:tc>
          <w:tcPr>
            <w:tcW w:w="851" w:type="dxa"/>
            <w:tcBorders>
              <w:top w:val="nil"/>
              <w:left w:val="nil"/>
              <w:bottom w:val="nil"/>
              <w:right w:val="nil"/>
            </w:tcBorders>
            <w:shd w:val="clear" w:color="auto" w:fill="auto"/>
            <w:vAlign w:val="bottom"/>
          </w:tcPr>
          <w:p w14:paraId="2D26C9B9" w14:textId="59D3696F" w:rsidR="005146A4" w:rsidRPr="001D41EA" w:rsidRDefault="005146A4" w:rsidP="001D41EA">
            <w:pPr>
              <w:spacing w:before="40" w:after="20"/>
              <w:jc w:val="center"/>
              <w:rPr>
                <w:rFonts w:cs="Arial"/>
                <w:sz w:val="18"/>
                <w:szCs w:val="18"/>
              </w:rPr>
            </w:pPr>
            <w:r w:rsidRPr="001D41EA">
              <w:rPr>
                <w:rFonts w:cs="Arial"/>
                <w:sz w:val="18"/>
                <w:szCs w:val="18"/>
              </w:rPr>
              <w:t>0.896</w:t>
            </w:r>
          </w:p>
        </w:tc>
        <w:tc>
          <w:tcPr>
            <w:tcW w:w="851" w:type="dxa"/>
            <w:tcBorders>
              <w:top w:val="nil"/>
              <w:left w:val="nil"/>
              <w:bottom w:val="nil"/>
              <w:right w:val="nil"/>
            </w:tcBorders>
            <w:shd w:val="clear" w:color="auto" w:fill="auto"/>
            <w:vAlign w:val="bottom"/>
          </w:tcPr>
          <w:p w14:paraId="441594E6" w14:textId="1E809E18" w:rsidR="005146A4" w:rsidRPr="001D41EA" w:rsidRDefault="005146A4" w:rsidP="001D41EA">
            <w:pPr>
              <w:spacing w:before="40" w:after="20"/>
              <w:jc w:val="center"/>
              <w:rPr>
                <w:rFonts w:cs="Arial"/>
                <w:sz w:val="18"/>
                <w:szCs w:val="18"/>
              </w:rPr>
            </w:pPr>
            <w:r w:rsidRPr="001D41EA">
              <w:rPr>
                <w:rFonts w:cs="Arial"/>
                <w:sz w:val="18"/>
                <w:szCs w:val="18"/>
              </w:rPr>
              <w:t>1.032</w:t>
            </w:r>
          </w:p>
        </w:tc>
      </w:tr>
      <w:tr w:rsidR="005146A4" w:rsidRPr="001D41EA" w14:paraId="5B6019C2"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51706AE3" w14:textId="77777777" w:rsidR="005146A4" w:rsidRPr="001D41EA" w:rsidRDefault="005146A4" w:rsidP="001D41EA">
            <w:pPr>
              <w:spacing w:before="40" w:after="20"/>
              <w:rPr>
                <w:rFonts w:cs="Arial"/>
                <w:sz w:val="18"/>
                <w:szCs w:val="18"/>
              </w:rPr>
            </w:pPr>
            <w:r w:rsidRPr="001D41EA">
              <w:rPr>
                <w:rFonts w:cs="Arial"/>
                <w:sz w:val="18"/>
                <w:szCs w:val="18"/>
              </w:rPr>
              <w:t>Moonee Valley C</w:t>
            </w:r>
          </w:p>
        </w:tc>
        <w:tc>
          <w:tcPr>
            <w:tcW w:w="851" w:type="dxa"/>
            <w:tcBorders>
              <w:top w:val="nil"/>
              <w:left w:val="single" w:sz="18" w:space="0" w:color="5F497A" w:themeColor="accent4" w:themeShade="BF"/>
              <w:bottom w:val="nil"/>
              <w:right w:val="nil"/>
            </w:tcBorders>
            <w:shd w:val="clear" w:color="auto" w:fill="auto"/>
            <w:vAlign w:val="bottom"/>
          </w:tcPr>
          <w:p w14:paraId="60C16B51" w14:textId="473DBF3B" w:rsidR="005146A4" w:rsidRPr="001D41EA" w:rsidRDefault="005146A4" w:rsidP="001D41EA">
            <w:pPr>
              <w:spacing w:before="40" w:after="20"/>
              <w:jc w:val="center"/>
              <w:rPr>
                <w:rFonts w:cs="Arial"/>
                <w:sz w:val="18"/>
                <w:szCs w:val="18"/>
              </w:rPr>
            </w:pPr>
            <w:r w:rsidRPr="001D41EA">
              <w:rPr>
                <w:rFonts w:cs="Arial"/>
                <w:sz w:val="18"/>
                <w:szCs w:val="18"/>
              </w:rPr>
              <w:t>0.952</w:t>
            </w:r>
          </w:p>
        </w:tc>
        <w:tc>
          <w:tcPr>
            <w:tcW w:w="851" w:type="dxa"/>
            <w:tcBorders>
              <w:top w:val="nil"/>
              <w:left w:val="nil"/>
              <w:bottom w:val="nil"/>
              <w:right w:val="nil"/>
            </w:tcBorders>
            <w:shd w:val="clear" w:color="auto" w:fill="auto"/>
            <w:vAlign w:val="bottom"/>
          </w:tcPr>
          <w:p w14:paraId="773EEEFE" w14:textId="26DE2356" w:rsidR="005146A4" w:rsidRPr="001D41EA" w:rsidRDefault="005146A4" w:rsidP="001D41EA">
            <w:pPr>
              <w:spacing w:before="40" w:after="20"/>
              <w:jc w:val="center"/>
              <w:rPr>
                <w:rFonts w:cs="Arial"/>
                <w:sz w:val="18"/>
                <w:szCs w:val="18"/>
              </w:rPr>
            </w:pPr>
            <w:r w:rsidRPr="001D41EA">
              <w:rPr>
                <w:rFonts w:cs="Arial"/>
                <w:sz w:val="18"/>
                <w:szCs w:val="18"/>
              </w:rPr>
              <w:t>0.927</w:t>
            </w:r>
          </w:p>
        </w:tc>
        <w:tc>
          <w:tcPr>
            <w:tcW w:w="851" w:type="dxa"/>
            <w:tcBorders>
              <w:top w:val="nil"/>
              <w:left w:val="nil"/>
              <w:bottom w:val="nil"/>
              <w:right w:val="nil"/>
            </w:tcBorders>
            <w:shd w:val="clear" w:color="auto" w:fill="auto"/>
            <w:vAlign w:val="bottom"/>
          </w:tcPr>
          <w:p w14:paraId="44638E0B" w14:textId="32FE591C" w:rsidR="005146A4" w:rsidRPr="001D41EA" w:rsidRDefault="005146A4" w:rsidP="001D41EA">
            <w:pPr>
              <w:spacing w:before="40" w:after="20"/>
              <w:jc w:val="center"/>
              <w:rPr>
                <w:rFonts w:cs="Arial"/>
                <w:sz w:val="18"/>
                <w:szCs w:val="18"/>
              </w:rPr>
            </w:pPr>
            <w:r w:rsidRPr="001D41EA">
              <w:rPr>
                <w:rFonts w:cs="Arial"/>
                <w:sz w:val="18"/>
                <w:szCs w:val="18"/>
              </w:rPr>
              <w:t>0.943</w:t>
            </w:r>
          </w:p>
        </w:tc>
        <w:tc>
          <w:tcPr>
            <w:tcW w:w="851" w:type="dxa"/>
            <w:tcBorders>
              <w:top w:val="nil"/>
              <w:left w:val="nil"/>
              <w:bottom w:val="nil"/>
              <w:right w:val="nil"/>
            </w:tcBorders>
            <w:shd w:val="clear" w:color="auto" w:fill="auto"/>
            <w:vAlign w:val="bottom"/>
          </w:tcPr>
          <w:p w14:paraId="3A4D1AEE" w14:textId="62AD49DB" w:rsidR="005146A4" w:rsidRPr="001D41EA" w:rsidRDefault="005146A4" w:rsidP="001D41EA">
            <w:pPr>
              <w:spacing w:before="40" w:after="20"/>
              <w:jc w:val="center"/>
              <w:rPr>
                <w:rFonts w:cs="Arial"/>
                <w:sz w:val="18"/>
                <w:szCs w:val="18"/>
              </w:rPr>
            </w:pPr>
            <w:r w:rsidRPr="001D41EA">
              <w:rPr>
                <w:rFonts w:cs="Arial"/>
                <w:sz w:val="18"/>
                <w:szCs w:val="18"/>
              </w:rPr>
              <w:t>0.941</w:t>
            </w:r>
          </w:p>
        </w:tc>
        <w:tc>
          <w:tcPr>
            <w:tcW w:w="851" w:type="dxa"/>
            <w:tcBorders>
              <w:top w:val="nil"/>
              <w:left w:val="nil"/>
              <w:bottom w:val="nil"/>
              <w:right w:val="nil"/>
            </w:tcBorders>
            <w:shd w:val="clear" w:color="auto" w:fill="auto"/>
            <w:vAlign w:val="bottom"/>
          </w:tcPr>
          <w:p w14:paraId="3B0EFB9F" w14:textId="2CF749BA" w:rsidR="005146A4" w:rsidRPr="001D41EA" w:rsidRDefault="005146A4" w:rsidP="001D41EA">
            <w:pPr>
              <w:spacing w:before="40" w:after="20"/>
              <w:jc w:val="center"/>
              <w:rPr>
                <w:rFonts w:cs="Arial"/>
                <w:sz w:val="18"/>
                <w:szCs w:val="18"/>
              </w:rPr>
            </w:pPr>
            <w:r w:rsidRPr="001D41EA">
              <w:rPr>
                <w:rFonts w:cs="Arial"/>
                <w:sz w:val="18"/>
                <w:szCs w:val="18"/>
              </w:rPr>
              <w:t>0.938</w:t>
            </w:r>
          </w:p>
        </w:tc>
        <w:tc>
          <w:tcPr>
            <w:tcW w:w="851" w:type="dxa"/>
            <w:tcBorders>
              <w:top w:val="nil"/>
              <w:left w:val="nil"/>
              <w:bottom w:val="nil"/>
              <w:right w:val="nil"/>
            </w:tcBorders>
            <w:shd w:val="clear" w:color="auto" w:fill="auto"/>
            <w:vAlign w:val="bottom"/>
          </w:tcPr>
          <w:p w14:paraId="48D7D076" w14:textId="25D41F04" w:rsidR="005146A4" w:rsidRPr="001D41EA" w:rsidRDefault="005146A4" w:rsidP="001D41EA">
            <w:pPr>
              <w:spacing w:before="40" w:after="20"/>
              <w:jc w:val="center"/>
              <w:rPr>
                <w:rFonts w:cs="Arial"/>
                <w:sz w:val="18"/>
                <w:szCs w:val="18"/>
              </w:rPr>
            </w:pPr>
            <w:r w:rsidRPr="001D41EA">
              <w:rPr>
                <w:rFonts w:cs="Arial"/>
                <w:sz w:val="18"/>
                <w:szCs w:val="18"/>
              </w:rPr>
              <w:t>0.956</w:t>
            </w:r>
          </w:p>
        </w:tc>
        <w:tc>
          <w:tcPr>
            <w:tcW w:w="851" w:type="dxa"/>
            <w:tcBorders>
              <w:top w:val="nil"/>
              <w:left w:val="nil"/>
              <w:bottom w:val="nil"/>
              <w:right w:val="nil"/>
            </w:tcBorders>
            <w:shd w:val="clear" w:color="auto" w:fill="auto"/>
            <w:vAlign w:val="bottom"/>
          </w:tcPr>
          <w:p w14:paraId="1A652692" w14:textId="55B6AA01" w:rsidR="005146A4" w:rsidRPr="001D41EA" w:rsidRDefault="005146A4" w:rsidP="001D41EA">
            <w:pPr>
              <w:spacing w:before="40" w:after="20"/>
              <w:jc w:val="center"/>
              <w:rPr>
                <w:rFonts w:cs="Arial"/>
                <w:sz w:val="18"/>
                <w:szCs w:val="18"/>
              </w:rPr>
            </w:pPr>
            <w:r w:rsidRPr="001D41EA">
              <w:rPr>
                <w:rFonts w:cs="Arial"/>
                <w:sz w:val="18"/>
                <w:szCs w:val="18"/>
              </w:rPr>
              <w:t>0.914</w:t>
            </w:r>
          </w:p>
        </w:tc>
        <w:tc>
          <w:tcPr>
            <w:tcW w:w="851" w:type="dxa"/>
            <w:tcBorders>
              <w:top w:val="nil"/>
              <w:left w:val="nil"/>
              <w:bottom w:val="nil"/>
              <w:right w:val="nil"/>
            </w:tcBorders>
            <w:shd w:val="clear" w:color="auto" w:fill="auto"/>
            <w:vAlign w:val="bottom"/>
          </w:tcPr>
          <w:p w14:paraId="35857180" w14:textId="5BA4C220" w:rsidR="005146A4" w:rsidRPr="001D41EA" w:rsidRDefault="005146A4" w:rsidP="001D41EA">
            <w:pPr>
              <w:spacing w:before="40" w:after="20"/>
              <w:jc w:val="center"/>
              <w:rPr>
                <w:rFonts w:cs="Arial"/>
                <w:sz w:val="18"/>
                <w:szCs w:val="18"/>
              </w:rPr>
            </w:pPr>
            <w:r w:rsidRPr="001D41EA">
              <w:rPr>
                <w:rFonts w:cs="Arial"/>
                <w:sz w:val="18"/>
                <w:szCs w:val="18"/>
              </w:rPr>
              <w:t>0.968</w:t>
            </w:r>
          </w:p>
        </w:tc>
      </w:tr>
      <w:tr w:rsidR="005146A4" w:rsidRPr="001D41EA" w14:paraId="5F118DC6"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0C914A6" w14:textId="77777777" w:rsidR="005146A4" w:rsidRPr="001D41EA" w:rsidRDefault="005146A4" w:rsidP="001D41EA">
            <w:pPr>
              <w:spacing w:before="40" w:after="20"/>
              <w:rPr>
                <w:rFonts w:cs="Arial"/>
                <w:sz w:val="18"/>
                <w:szCs w:val="18"/>
              </w:rPr>
            </w:pPr>
            <w:r w:rsidRPr="001D41EA">
              <w:rPr>
                <w:rFonts w:cs="Arial"/>
                <w:sz w:val="18"/>
                <w:szCs w:val="18"/>
              </w:rPr>
              <w:t>Moorabool S</w:t>
            </w:r>
          </w:p>
        </w:tc>
        <w:tc>
          <w:tcPr>
            <w:tcW w:w="851" w:type="dxa"/>
            <w:tcBorders>
              <w:top w:val="nil"/>
              <w:left w:val="single" w:sz="18" w:space="0" w:color="5F497A" w:themeColor="accent4" w:themeShade="BF"/>
              <w:bottom w:val="nil"/>
              <w:right w:val="nil"/>
            </w:tcBorders>
            <w:shd w:val="clear" w:color="auto" w:fill="auto"/>
            <w:vAlign w:val="bottom"/>
          </w:tcPr>
          <w:p w14:paraId="0D29F0BC" w14:textId="5AB836B1" w:rsidR="005146A4" w:rsidRPr="001D41EA" w:rsidRDefault="005146A4" w:rsidP="001D41EA">
            <w:pPr>
              <w:spacing w:before="40" w:after="20"/>
              <w:jc w:val="center"/>
              <w:rPr>
                <w:rFonts w:cs="Arial"/>
                <w:sz w:val="18"/>
                <w:szCs w:val="18"/>
              </w:rPr>
            </w:pPr>
            <w:r w:rsidRPr="001D41EA">
              <w:rPr>
                <w:rFonts w:cs="Arial"/>
                <w:sz w:val="18"/>
                <w:szCs w:val="18"/>
              </w:rPr>
              <w:t>1.102</w:t>
            </w:r>
          </w:p>
        </w:tc>
        <w:tc>
          <w:tcPr>
            <w:tcW w:w="851" w:type="dxa"/>
            <w:tcBorders>
              <w:top w:val="nil"/>
              <w:left w:val="nil"/>
              <w:bottom w:val="nil"/>
              <w:right w:val="nil"/>
            </w:tcBorders>
            <w:shd w:val="clear" w:color="auto" w:fill="auto"/>
            <w:vAlign w:val="bottom"/>
          </w:tcPr>
          <w:p w14:paraId="1D051A44" w14:textId="681701CF" w:rsidR="005146A4" w:rsidRPr="001D41EA" w:rsidRDefault="005146A4" w:rsidP="001D41EA">
            <w:pPr>
              <w:spacing w:before="40" w:after="20"/>
              <w:jc w:val="center"/>
              <w:rPr>
                <w:rFonts w:cs="Arial"/>
                <w:sz w:val="18"/>
                <w:szCs w:val="18"/>
              </w:rPr>
            </w:pPr>
            <w:r w:rsidRPr="001D41EA">
              <w:rPr>
                <w:rFonts w:cs="Arial"/>
                <w:sz w:val="18"/>
                <w:szCs w:val="18"/>
              </w:rPr>
              <w:t>1.073</w:t>
            </w:r>
          </w:p>
        </w:tc>
        <w:tc>
          <w:tcPr>
            <w:tcW w:w="851" w:type="dxa"/>
            <w:tcBorders>
              <w:top w:val="nil"/>
              <w:left w:val="nil"/>
              <w:bottom w:val="nil"/>
              <w:right w:val="nil"/>
            </w:tcBorders>
            <w:shd w:val="clear" w:color="auto" w:fill="auto"/>
            <w:vAlign w:val="bottom"/>
          </w:tcPr>
          <w:p w14:paraId="67CD5E7E" w14:textId="55AD5669" w:rsidR="005146A4" w:rsidRPr="001D41EA" w:rsidRDefault="005146A4" w:rsidP="001D41EA">
            <w:pPr>
              <w:spacing w:before="40" w:after="20"/>
              <w:jc w:val="center"/>
              <w:rPr>
                <w:rFonts w:cs="Arial"/>
                <w:sz w:val="18"/>
                <w:szCs w:val="18"/>
              </w:rPr>
            </w:pPr>
            <w:r w:rsidRPr="001D41EA">
              <w:rPr>
                <w:rFonts w:cs="Arial"/>
                <w:sz w:val="18"/>
                <w:szCs w:val="18"/>
              </w:rPr>
              <w:t>1.068</w:t>
            </w:r>
          </w:p>
        </w:tc>
        <w:tc>
          <w:tcPr>
            <w:tcW w:w="851" w:type="dxa"/>
            <w:tcBorders>
              <w:top w:val="nil"/>
              <w:left w:val="nil"/>
              <w:bottom w:val="nil"/>
              <w:right w:val="nil"/>
            </w:tcBorders>
            <w:shd w:val="clear" w:color="auto" w:fill="auto"/>
            <w:vAlign w:val="bottom"/>
          </w:tcPr>
          <w:p w14:paraId="4CAF0607" w14:textId="75D8EFC7" w:rsidR="005146A4" w:rsidRPr="001D41EA" w:rsidRDefault="005146A4" w:rsidP="001D41EA">
            <w:pPr>
              <w:spacing w:before="40" w:after="20"/>
              <w:jc w:val="center"/>
              <w:rPr>
                <w:rFonts w:cs="Arial"/>
                <w:sz w:val="18"/>
                <w:szCs w:val="18"/>
              </w:rPr>
            </w:pPr>
            <w:r w:rsidRPr="001D41EA">
              <w:rPr>
                <w:rFonts w:cs="Arial"/>
                <w:sz w:val="18"/>
                <w:szCs w:val="18"/>
              </w:rPr>
              <w:t>0.967</w:t>
            </w:r>
          </w:p>
        </w:tc>
        <w:tc>
          <w:tcPr>
            <w:tcW w:w="851" w:type="dxa"/>
            <w:tcBorders>
              <w:top w:val="nil"/>
              <w:left w:val="nil"/>
              <w:bottom w:val="nil"/>
              <w:right w:val="nil"/>
            </w:tcBorders>
            <w:shd w:val="clear" w:color="auto" w:fill="auto"/>
            <w:vAlign w:val="bottom"/>
          </w:tcPr>
          <w:p w14:paraId="718716DA" w14:textId="1E73AC3E" w:rsidR="005146A4" w:rsidRPr="001D41EA" w:rsidRDefault="005146A4" w:rsidP="001D41EA">
            <w:pPr>
              <w:spacing w:before="40" w:after="20"/>
              <w:jc w:val="center"/>
              <w:rPr>
                <w:rFonts w:cs="Arial"/>
                <w:sz w:val="18"/>
                <w:szCs w:val="18"/>
              </w:rPr>
            </w:pPr>
            <w:r w:rsidRPr="001D41EA">
              <w:rPr>
                <w:rFonts w:cs="Arial"/>
                <w:sz w:val="18"/>
                <w:szCs w:val="18"/>
              </w:rPr>
              <w:t>1.212</w:t>
            </w:r>
          </w:p>
        </w:tc>
        <w:tc>
          <w:tcPr>
            <w:tcW w:w="851" w:type="dxa"/>
            <w:tcBorders>
              <w:top w:val="nil"/>
              <w:left w:val="nil"/>
              <w:bottom w:val="nil"/>
              <w:right w:val="nil"/>
            </w:tcBorders>
            <w:shd w:val="clear" w:color="auto" w:fill="auto"/>
            <w:vAlign w:val="bottom"/>
          </w:tcPr>
          <w:p w14:paraId="6684A101" w14:textId="56A37F3E" w:rsidR="005146A4" w:rsidRPr="001D41EA" w:rsidRDefault="005146A4" w:rsidP="001D41EA">
            <w:pPr>
              <w:spacing w:before="40" w:after="20"/>
              <w:jc w:val="center"/>
              <w:rPr>
                <w:rFonts w:cs="Arial"/>
                <w:sz w:val="18"/>
                <w:szCs w:val="18"/>
              </w:rPr>
            </w:pPr>
            <w:r w:rsidRPr="001D41EA">
              <w:rPr>
                <w:rFonts w:cs="Arial"/>
                <w:sz w:val="18"/>
                <w:szCs w:val="18"/>
              </w:rPr>
              <w:t>0.987</w:t>
            </w:r>
          </w:p>
        </w:tc>
        <w:tc>
          <w:tcPr>
            <w:tcW w:w="851" w:type="dxa"/>
            <w:tcBorders>
              <w:top w:val="nil"/>
              <w:left w:val="nil"/>
              <w:bottom w:val="nil"/>
              <w:right w:val="nil"/>
            </w:tcBorders>
            <w:shd w:val="clear" w:color="auto" w:fill="auto"/>
            <w:vAlign w:val="bottom"/>
          </w:tcPr>
          <w:p w14:paraId="09218E4A" w14:textId="59555A9E" w:rsidR="005146A4" w:rsidRPr="001D41EA" w:rsidRDefault="005146A4" w:rsidP="001D41EA">
            <w:pPr>
              <w:spacing w:before="40" w:after="20"/>
              <w:jc w:val="center"/>
              <w:rPr>
                <w:rFonts w:cs="Arial"/>
                <w:sz w:val="18"/>
                <w:szCs w:val="18"/>
              </w:rPr>
            </w:pPr>
            <w:r w:rsidRPr="001D41EA">
              <w:rPr>
                <w:rFonts w:cs="Arial"/>
                <w:sz w:val="18"/>
                <w:szCs w:val="18"/>
              </w:rPr>
              <w:t>1.196</w:t>
            </w:r>
          </w:p>
        </w:tc>
        <w:tc>
          <w:tcPr>
            <w:tcW w:w="851" w:type="dxa"/>
            <w:tcBorders>
              <w:top w:val="nil"/>
              <w:left w:val="nil"/>
              <w:bottom w:val="nil"/>
              <w:right w:val="nil"/>
            </w:tcBorders>
            <w:shd w:val="clear" w:color="auto" w:fill="auto"/>
            <w:vAlign w:val="bottom"/>
          </w:tcPr>
          <w:p w14:paraId="675C6813" w14:textId="3A824B39" w:rsidR="005146A4" w:rsidRPr="001D41EA" w:rsidRDefault="005146A4" w:rsidP="001D41EA">
            <w:pPr>
              <w:spacing w:before="40" w:after="20"/>
              <w:jc w:val="center"/>
              <w:rPr>
                <w:rFonts w:cs="Arial"/>
                <w:sz w:val="18"/>
                <w:szCs w:val="18"/>
              </w:rPr>
            </w:pPr>
            <w:r w:rsidRPr="001D41EA">
              <w:rPr>
                <w:rFonts w:cs="Arial"/>
                <w:sz w:val="18"/>
                <w:szCs w:val="18"/>
              </w:rPr>
              <w:t>1.037</w:t>
            </w:r>
          </w:p>
        </w:tc>
      </w:tr>
      <w:tr w:rsidR="005146A4" w:rsidRPr="001D41EA" w14:paraId="66A0201B"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3F78BBD9" w14:textId="77777777" w:rsidR="005146A4" w:rsidRPr="001D41EA" w:rsidRDefault="005146A4" w:rsidP="001D41EA">
            <w:pPr>
              <w:spacing w:before="40" w:after="20"/>
              <w:rPr>
                <w:rFonts w:cs="Arial"/>
                <w:sz w:val="18"/>
                <w:szCs w:val="18"/>
              </w:rPr>
            </w:pPr>
            <w:r w:rsidRPr="001D41EA">
              <w:rPr>
                <w:rFonts w:cs="Arial"/>
                <w:sz w:val="18"/>
                <w:szCs w:val="18"/>
              </w:rPr>
              <w:t>Moreland C</w:t>
            </w:r>
          </w:p>
        </w:tc>
        <w:tc>
          <w:tcPr>
            <w:tcW w:w="851" w:type="dxa"/>
            <w:tcBorders>
              <w:top w:val="nil"/>
              <w:left w:val="single" w:sz="18" w:space="0" w:color="5F497A" w:themeColor="accent4" w:themeShade="BF"/>
              <w:bottom w:val="nil"/>
              <w:right w:val="nil"/>
            </w:tcBorders>
            <w:shd w:val="clear" w:color="auto" w:fill="auto"/>
            <w:vAlign w:val="bottom"/>
          </w:tcPr>
          <w:p w14:paraId="15CB4249" w14:textId="338C8BCB" w:rsidR="005146A4" w:rsidRPr="001D41EA" w:rsidRDefault="005146A4" w:rsidP="001D41EA">
            <w:pPr>
              <w:spacing w:before="40" w:after="20"/>
              <w:jc w:val="center"/>
              <w:rPr>
                <w:rFonts w:cs="Arial"/>
                <w:sz w:val="18"/>
                <w:szCs w:val="18"/>
              </w:rPr>
            </w:pPr>
            <w:r w:rsidRPr="001D41EA">
              <w:rPr>
                <w:rFonts w:cs="Arial"/>
                <w:sz w:val="18"/>
                <w:szCs w:val="18"/>
              </w:rPr>
              <w:t>0.954</w:t>
            </w:r>
          </w:p>
        </w:tc>
        <w:tc>
          <w:tcPr>
            <w:tcW w:w="851" w:type="dxa"/>
            <w:tcBorders>
              <w:top w:val="nil"/>
              <w:left w:val="nil"/>
              <w:bottom w:val="nil"/>
              <w:right w:val="nil"/>
            </w:tcBorders>
            <w:shd w:val="clear" w:color="auto" w:fill="auto"/>
            <w:vAlign w:val="bottom"/>
          </w:tcPr>
          <w:p w14:paraId="31BAA4D1" w14:textId="31DBCC87" w:rsidR="005146A4" w:rsidRPr="001D41EA" w:rsidRDefault="005146A4" w:rsidP="001D41EA">
            <w:pPr>
              <w:spacing w:before="40" w:after="20"/>
              <w:jc w:val="center"/>
              <w:rPr>
                <w:rFonts w:cs="Arial"/>
                <w:sz w:val="18"/>
                <w:szCs w:val="18"/>
              </w:rPr>
            </w:pPr>
            <w:r w:rsidRPr="001D41EA">
              <w:rPr>
                <w:rFonts w:cs="Arial"/>
                <w:sz w:val="18"/>
                <w:szCs w:val="18"/>
              </w:rPr>
              <w:t>0.975</w:t>
            </w:r>
          </w:p>
        </w:tc>
        <w:tc>
          <w:tcPr>
            <w:tcW w:w="851" w:type="dxa"/>
            <w:tcBorders>
              <w:top w:val="nil"/>
              <w:left w:val="nil"/>
              <w:bottom w:val="nil"/>
              <w:right w:val="nil"/>
            </w:tcBorders>
            <w:shd w:val="clear" w:color="auto" w:fill="auto"/>
            <w:vAlign w:val="bottom"/>
          </w:tcPr>
          <w:p w14:paraId="6051A58A" w14:textId="58423274" w:rsidR="005146A4" w:rsidRPr="001D41EA" w:rsidRDefault="005146A4" w:rsidP="001D41EA">
            <w:pPr>
              <w:spacing w:before="40" w:after="20"/>
              <w:jc w:val="center"/>
              <w:rPr>
                <w:rFonts w:cs="Arial"/>
                <w:sz w:val="18"/>
                <w:szCs w:val="18"/>
              </w:rPr>
            </w:pPr>
            <w:r w:rsidRPr="001D41EA">
              <w:rPr>
                <w:rFonts w:cs="Arial"/>
                <w:sz w:val="18"/>
                <w:szCs w:val="18"/>
              </w:rPr>
              <w:t>0.992</w:t>
            </w:r>
          </w:p>
        </w:tc>
        <w:tc>
          <w:tcPr>
            <w:tcW w:w="851" w:type="dxa"/>
            <w:tcBorders>
              <w:top w:val="nil"/>
              <w:left w:val="nil"/>
              <w:bottom w:val="nil"/>
              <w:right w:val="nil"/>
            </w:tcBorders>
            <w:shd w:val="clear" w:color="auto" w:fill="auto"/>
            <w:vAlign w:val="bottom"/>
          </w:tcPr>
          <w:p w14:paraId="37488124" w14:textId="7E967D0E" w:rsidR="005146A4" w:rsidRPr="001D41EA" w:rsidRDefault="005146A4" w:rsidP="001D41EA">
            <w:pPr>
              <w:spacing w:before="40" w:after="20"/>
              <w:jc w:val="center"/>
              <w:rPr>
                <w:rFonts w:cs="Arial"/>
                <w:sz w:val="18"/>
                <w:szCs w:val="18"/>
              </w:rPr>
            </w:pPr>
            <w:r w:rsidRPr="001D41EA">
              <w:rPr>
                <w:rFonts w:cs="Arial"/>
                <w:sz w:val="18"/>
                <w:szCs w:val="18"/>
              </w:rPr>
              <w:t>0.893</w:t>
            </w:r>
          </w:p>
        </w:tc>
        <w:tc>
          <w:tcPr>
            <w:tcW w:w="851" w:type="dxa"/>
            <w:tcBorders>
              <w:top w:val="nil"/>
              <w:left w:val="nil"/>
              <w:bottom w:val="nil"/>
              <w:right w:val="nil"/>
            </w:tcBorders>
            <w:shd w:val="clear" w:color="auto" w:fill="auto"/>
            <w:vAlign w:val="bottom"/>
          </w:tcPr>
          <w:p w14:paraId="738F0C08" w14:textId="6E487805" w:rsidR="005146A4" w:rsidRPr="001D41EA" w:rsidRDefault="005146A4" w:rsidP="001D41EA">
            <w:pPr>
              <w:spacing w:before="40" w:after="20"/>
              <w:jc w:val="center"/>
              <w:rPr>
                <w:rFonts w:cs="Arial"/>
                <w:sz w:val="18"/>
                <w:szCs w:val="18"/>
              </w:rPr>
            </w:pPr>
            <w:r w:rsidRPr="001D41EA">
              <w:rPr>
                <w:rFonts w:cs="Arial"/>
                <w:sz w:val="18"/>
                <w:szCs w:val="18"/>
              </w:rPr>
              <w:t>0.894</w:t>
            </w:r>
          </w:p>
        </w:tc>
        <w:tc>
          <w:tcPr>
            <w:tcW w:w="851" w:type="dxa"/>
            <w:tcBorders>
              <w:top w:val="nil"/>
              <w:left w:val="nil"/>
              <w:bottom w:val="nil"/>
              <w:right w:val="nil"/>
            </w:tcBorders>
            <w:shd w:val="clear" w:color="auto" w:fill="auto"/>
            <w:vAlign w:val="bottom"/>
          </w:tcPr>
          <w:p w14:paraId="51CD7376" w14:textId="6D31546B" w:rsidR="005146A4" w:rsidRPr="001D41EA" w:rsidRDefault="005146A4" w:rsidP="001D41EA">
            <w:pPr>
              <w:spacing w:before="40" w:after="20"/>
              <w:jc w:val="center"/>
              <w:rPr>
                <w:rFonts w:cs="Arial"/>
                <w:sz w:val="18"/>
                <w:szCs w:val="18"/>
              </w:rPr>
            </w:pPr>
            <w:r w:rsidRPr="001D41EA">
              <w:rPr>
                <w:rFonts w:cs="Arial"/>
                <w:sz w:val="18"/>
                <w:szCs w:val="18"/>
              </w:rPr>
              <w:t>0.908</w:t>
            </w:r>
          </w:p>
        </w:tc>
        <w:tc>
          <w:tcPr>
            <w:tcW w:w="851" w:type="dxa"/>
            <w:tcBorders>
              <w:top w:val="nil"/>
              <w:left w:val="nil"/>
              <w:bottom w:val="nil"/>
              <w:right w:val="nil"/>
            </w:tcBorders>
            <w:shd w:val="clear" w:color="auto" w:fill="auto"/>
            <w:vAlign w:val="bottom"/>
          </w:tcPr>
          <w:p w14:paraId="51D346B7" w14:textId="18808FC6" w:rsidR="005146A4" w:rsidRPr="001D41EA" w:rsidRDefault="005146A4" w:rsidP="001D41EA">
            <w:pPr>
              <w:spacing w:before="40" w:after="20"/>
              <w:jc w:val="center"/>
              <w:rPr>
                <w:rFonts w:cs="Arial"/>
                <w:sz w:val="18"/>
                <w:szCs w:val="18"/>
              </w:rPr>
            </w:pPr>
            <w:r w:rsidRPr="001D41EA">
              <w:rPr>
                <w:rFonts w:cs="Arial"/>
                <w:sz w:val="18"/>
                <w:szCs w:val="18"/>
              </w:rPr>
              <w:t>0.907</w:t>
            </w:r>
          </w:p>
        </w:tc>
        <w:tc>
          <w:tcPr>
            <w:tcW w:w="851" w:type="dxa"/>
            <w:tcBorders>
              <w:top w:val="nil"/>
              <w:left w:val="nil"/>
              <w:bottom w:val="nil"/>
              <w:right w:val="nil"/>
            </w:tcBorders>
            <w:shd w:val="clear" w:color="auto" w:fill="auto"/>
            <w:vAlign w:val="bottom"/>
          </w:tcPr>
          <w:p w14:paraId="314CB3F2" w14:textId="17185EFF" w:rsidR="005146A4" w:rsidRPr="001D41EA" w:rsidRDefault="005146A4" w:rsidP="001D41EA">
            <w:pPr>
              <w:spacing w:before="40" w:after="20"/>
              <w:jc w:val="center"/>
              <w:rPr>
                <w:rFonts w:cs="Arial"/>
                <w:sz w:val="18"/>
                <w:szCs w:val="18"/>
              </w:rPr>
            </w:pPr>
            <w:r w:rsidRPr="001D41EA">
              <w:rPr>
                <w:rFonts w:cs="Arial"/>
                <w:sz w:val="18"/>
                <w:szCs w:val="18"/>
              </w:rPr>
              <w:t>0.894</w:t>
            </w:r>
          </w:p>
        </w:tc>
      </w:tr>
      <w:tr w:rsidR="005146A4" w:rsidRPr="001D41EA" w14:paraId="0AC44587"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7FC99CE" w14:textId="77777777" w:rsidR="005146A4" w:rsidRPr="001D41EA" w:rsidRDefault="005146A4" w:rsidP="001D41EA">
            <w:pPr>
              <w:spacing w:before="40" w:after="20"/>
              <w:rPr>
                <w:rFonts w:cs="Arial"/>
                <w:sz w:val="18"/>
                <w:szCs w:val="18"/>
              </w:rPr>
            </w:pPr>
            <w:r w:rsidRPr="001D41EA">
              <w:rPr>
                <w:rFonts w:cs="Arial"/>
                <w:sz w:val="18"/>
                <w:szCs w:val="18"/>
              </w:rPr>
              <w:t>Mornington Peninsula S</w:t>
            </w:r>
          </w:p>
        </w:tc>
        <w:tc>
          <w:tcPr>
            <w:tcW w:w="851" w:type="dxa"/>
            <w:tcBorders>
              <w:top w:val="nil"/>
              <w:left w:val="single" w:sz="18" w:space="0" w:color="5F497A" w:themeColor="accent4" w:themeShade="BF"/>
              <w:bottom w:val="nil"/>
              <w:right w:val="nil"/>
            </w:tcBorders>
            <w:shd w:val="clear" w:color="auto" w:fill="auto"/>
            <w:vAlign w:val="bottom"/>
          </w:tcPr>
          <w:p w14:paraId="20A54031" w14:textId="1D011BBB" w:rsidR="005146A4" w:rsidRPr="001D41EA" w:rsidRDefault="005146A4" w:rsidP="001D41EA">
            <w:pPr>
              <w:spacing w:before="40" w:after="20"/>
              <w:jc w:val="center"/>
              <w:rPr>
                <w:rFonts w:cs="Arial"/>
                <w:sz w:val="18"/>
                <w:szCs w:val="18"/>
              </w:rPr>
            </w:pPr>
            <w:r w:rsidRPr="001D41EA">
              <w:rPr>
                <w:rFonts w:cs="Arial"/>
                <w:sz w:val="18"/>
                <w:szCs w:val="18"/>
              </w:rPr>
              <w:t>0.954</w:t>
            </w:r>
          </w:p>
        </w:tc>
        <w:tc>
          <w:tcPr>
            <w:tcW w:w="851" w:type="dxa"/>
            <w:tcBorders>
              <w:top w:val="nil"/>
              <w:left w:val="nil"/>
              <w:bottom w:val="nil"/>
              <w:right w:val="nil"/>
            </w:tcBorders>
            <w:shd w:val="clear" w:color="auto" w:fill="auto"/>
            <w:vAlign w:val="bottom"/>
          </w:tcPr>
          <w:p w14:paraId="7E9C4ECB" w14:textId="4E918629" w:rsidR="005146A4" w:rsidRPr="001D41EA" w:rsidRDefault="005146A4" w:rsidP="001D41EA">
            <w:pPr>
              <w:spacing w:before="40" w:after="20"/>
              <w:jc w:val="center"/>
              <w:rPr>
                <w:rFonts w:cs="Arial"/>
                <w:sz w:val="18"/>
                <w:szCs w:val="18"/>
              </w:rPr>
            </w:pPr>
            <w:r w:rsidRPr="001D41EA">
              <w:rPr>
                <w:rFonts w:cs="Arial"/>
                <w:sz w:val="18"/>
                <w:szCs w:val="18"/>
              </w:rPr>
              <w:t>0.944</w:t>
            </w:r>
          </w:p>
        </w:tc>
        <w:tc>
          <w:tcPr>
            <w:tcW w:w="851" w:type="dxa"/>
            <w:tcBorders>
              <w:top w:val="nil"/>
              <w:left w:val="nil"/>
              <w:bottom w:val="nil"/>
              <w:right w:val="nil"/>
            </w:tcBorders>
            <w:shd w:val="clear" w:color="auto" w:fill="auto"/>
            <w:vAlign w:val="bottom"/>
          </w:tcPr>
          <w:p w14:paraId="4D87CE63" w14:textId="3FD4B9B2" w:rsidR="005146A4" w:rsidRPr="001D41EA" w:rsidRDefault="005146A4" w:rsidP="001D41EA">
            <w:pPr>
              <w:spacing w:before="40" w:after="20"/>
              <w:jc w:val="center"/>
              <w:rPr>
                <w:rFonts w:cs="Arial"/>
                <w:sz w:val="18"/>
                <w:szCs w:val="18"/>
              </w:rPr>
            </w:pPr>
            <w:r w:rsidRPr="001D41EA">
              <w:rPr>
                <w:rFonts w:cs="Arial"/>
                <w:sz w:val="18"/>
                <w:szCs w:val="18"/>
              </w:rPr>
              <w:t>0.980</w:t>
            </w:r>
          </w:p>
        </w:tc>
        <w:tc>
          <w:tcPr>
            <w:tcW w:w="851" w:type="dxa"/>
            <w:tcBorders>
              <w:top w:val="nil"/>
              <w:left w:val="nil"/>
              <w:bottom w:val="nil"/>
              <w:right w:val="nil"/>
            </w:tcBorders>
            <w:shd w:val="clear" w:color="auto" w:fill="auto"/>
            <w:vAlign w:val="bottom"/>
          </w:tcPr>
          <w:p w14:paraId="6E05838E" w14:textId="5EE4C398" w:rsidR="005146A4" w:rsidRPr="001D41EA" w:rsidRDefault="005146A4" w:rsidP="001D41EA">
            <w:pPr>
              <w:spacing w:before="40" w:after="20"/>
              <w:jc w:val="center"/>
              <w:rPr>
                <w:rFonts w:cs="Arial"/>
                <w:sz w:val="18"/>
                <w:szCs w:val="18"/>
              </w:rPr>
            </w:pPr>
            <w:r w:rsidRPr="001D41EA">
              <w:rPr>
                <w:rFonts w:cs="Arial"/>
                <w:sz w:val="18"/>
                <w:szCs w:val="18"/>
              </w:rPr>
              <w:t>1.034</w:t>
            </w:r>
          </w:p>
        </w:tc>
        <w:tc>
          <w:tcPr>
            <w:tcW w:w="851" w:type="dxa"/>
            <w:tcBorders>
              <w:top w:val="nil"/>
              <w:left w:val="nil"/>
              <w:bottom w:val="nil"/>
              <w:right w:val="nil"/>
            </w:tcBorders>
            <w:shd w:val="clear" w:color="auto" w:fill="auto"/>
            <w:vAlign w:val="bottom"/>
          </w:tcPr>
          <w:p w14:paraId="6494C563" w14:textId="09308792" w:rsidR="005146A4" w:rsidRPr="001D41EA" w:rsidRDefault="005146A4" w:rsidP="001D41EA">
            <w:pPr>
              <w:spacing w:before="40" w:after="20"/>
              <w:jc w:val="center"/>
              <w:rPr>
                <w:rFonts w:cs="Arial"/>
                <w:sz w:val="18"/>
                <w:szCs w:val="18"/>
              </w:rPr>
            </w:pPr>
            <w:r w:rsidRPr="001D41EA">
              <w:rPr>
                <w:rFonts w:cs="Arial"/>
                <w:sz w:val="18"/>
                <w:szCs w:val="18"/>
              </w:rPr>
              <w:t>1.042</w:t>
            </w:r>
          </w:p>
        </w:tc>
        <w:tc>
          <w:tcPr>
            <w:tcW w:w="851" w:type="dxa"/>
            <w:tcBorders>
              <w:top w:val="nil"/>
              <w:left w:val="nil"/>
              <w:bottom w:val="nil"/>
              <w:right w:val="nil"/>
            </w:tcBorders>
            <w:shd w:val="clear" w:color="auto" w:fill="auto"/>
            <w:vAlign w:val="bottom"/>
          </w:tcPr>
          <w:p w14:paraId="3A6548E6" w14:textId="25CDAE5A" w:rsidR="005146A4" w:rsidRPr="001D41EA" w:rsidRDefault="005146A4" w:rsidP="001D41EA">
            <w:pPr>
              <w:spacing w:before="40" w:after="20"/>
              <w:jc w:val="center"/>
              <w:rPr>
                <w:rFonts w:cs="Arial"/>
                <w:sz w:val="18"/>
                <w:szCs w:val="18"/>
              </w:rPr>
            </w:pPr>
            <w:r w:rsidRPr="001D41EA">
              <w:rPr>
                <w:rFonts w:cs="Arial"/>
                <w:sz w:val="18"/>
                <w:szCs w:val="18"/>
              </w:rPr>
              <w:t>1.007</w:t>
            </w:r>
          </w:p>
        </w:tc>
        <w:tc>
          <w:tcPr>
            <w:tcW w:w="851" w:type="dxa"/>
            <w:tcBorders>
              <w:top w:val="nil"/>
              <w:left w:val="nil"/>
              <w:bottom w:val="nil"/>
              <w:right w:val="nil"/>
            </w:tcBorders>
            <w:shd w:val="clear" w:color="auto" w:fill="auto"/>
            <w:vAlign w:val="bottom"/>
          </w:tcPr>
          <w:p w14:paraId="5AAA628A" w14:textId="5EA68304" w:rsidR="005146A4" w:rsidRPr="001D41EA" w:rsidRDefault="005146A4" w:rsidP="001D41EA">
            <w:pPr>
              <w:spacing w:before="40" w:after="20"/>
              <w:jc w:val="center"/>
              <w:rPr>
                <w:rFonts w:cs="Arial"/>
                <w:sz w:val="18"/>
                <w:szCs w:val="18"/>
              </w:rPr>
            </w:pPr>
            <w:r w:rsidRPr="001D41EA">
              <w:rPr>
                <w:rFonts w:cs="Arial"/>
                <w:sz w:val="18"/>
                <w:szCs w:val="18"/>
              </w:rPr>
              <w:t>1.025</w:t>
            </w:r>
          </w:p>
        </w:tc>
        <w:tc>
          <w:tcPr>
            <w:tcW w:w="851" w:type="dxa"/>
            <w:tcBorders>
              <w:top w:val="nil"/>
              <w:left w:val="nil"/>
              <w:bottom w:val="nil"/>
              <w:right w:val="nil"/>
            </w:tcBorders>
            <w:shd w:val="clear" w:color="auto" w:fill="auto"/>
            <w:vAlign w:val="bottom"/>
          </w:tcPr>
          <w:p w14:paraId="559330CF" w14:textId="34FD25DE" w:rsidR="005146A4" w:rsidRPr="001D41EA" w:rsidRDefault="005146A4" w:rsidP="001D41EA">
            <w:pPr>
              <w:spacing w:before="40" w:after="20"/>
              <w:jc w:val="center"/>
              <w:rPr>
                <w:rFonts w:cs="Arial"/>
                <w:sz w:val="18"/>
                <w:szCs w:val="18"/>
              </w:rPr>
            </w:pPr>
            <w:r w:rsidRPr="001D41EA">
              <w:rPr>
                <w:rFonts w:cs="Arial"/>
                <w:sz w:val="18"/>
                <w:szCs w:val="18"/>
              </w:rPr>
              <w:t>0.992</w:t>
            </w:r>
          </w:p>
        </w:tc>
      </w:tr>
      <w:tr w:rsidR="005146A4" w:rsidRPr="001D41EA" w14:paraId="4645E387"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6ABF4BB" w14:textId="77777777" w:rsidR="005146A4" w:rsidRPr="001D41EA" w:rsidRDefault="005146A4" w:rsidP="001D41EA">
            <w:pPr>
              <w:spacing w:before="40" w:after="20"/>
              <w:rPr>
                <w:rFonts w:cs="Arial"/>
                <w:sz w:val="18"/>
                <w:szCs w:val="18"/>
              </w:rPr>
            </w:pPr>
            <w:r w:rsidRPr="001D41EA">
              <w:rPr>
                <w:rFonts w:cs="Arial"/>
                <w:sz w:val="18"/>
                <w:szCs w:val="18"/>
              </w:rPr>
              <w:t>Mount Alexander S</w:t>
            </w:r>
          </w:p>
        </w:tc>
        <w:tc>
          <w:tcPr>
            <w:tcW w:w="851" w:type="dxa"/>
            <w:tcBorders>
              <w:top w:val="nil"/>
              <w:left w:val="single" w:sz="18" w:space="0" w:color="5F497A" w:themeColor="accent4" w:themeShade="BF"/>
              <w:bottom w:val="nil"/>
              <w:right w:val="nil"/>
            </w:tcBorders>
            <w:shd w:val="clear" w:color="auto" w:fill="auto"/>
            <w:vAlign w:val="bottom"/>
          </w:tcPr>
          <w:p w14:paraId="2DD8759D" w14:textId="6EA28153" w:rsidR="005146A4" w:rsidRPr="001D41EA" w:rsidRDefault="005146A4" w:rsidP="001D41EA">
            <w:pPr>
              <w:spacing w:before="40" w:after="20"/>
              <w:jc w:val="center"/>
              <w:rPr>
                <w:rFonts w:cs="Arial"/>
                <w:sz w:val="18"/>
                <w:szCs w:val="18"/>
              </w:rPr>
            </w:pPr>
            <w:r w:rsidRPr="001D41EA">
              <w:rPr>
                <w:rFonts w:cs="Arial"/>
                <w:sz w:val="18"/>
                <w:szCs w:val="18"/>
              </w:rPr>
              <w:t>1.034</w:t>
            </w:r>
          </w:p>
        </w:tc>
        <w:tc>
          <w:tcPr>
            <w:tcW w:w="851" w:type="dxa"/>
            <w:tcBorders>
              <w:top w:val="nil"/>
              <w:left w:val="nil"/>
              <w:bottom w:val="nil"/>
              <w:right w:val="nil"/>
            </w:tcBorders>
            <w:shd w:val="clear" w:color="auto" w:fill="auto"/>
            <w:vAlign w:val="bottom"/>
          </w:tcPr>
          <w:p w14:paraId="6424CD0B" w14:textId="6B483886" w:rsidR="005146A4" w:rsidRPr="001D41EA" w:rsidRDefault="005146A4" w:rsidP="001D41EA">
            <w:pPr>
              <w:spacing w:before="40" w:after="20"/>
              <w:jc w:val="center"/>
              <w:rPr>
                <w:rFonts w:cs="Arial"/>
                <w:sz w:val="18"/>
                <w:szCs w:val="18"/>
              </w:rPr>
            </w:pPr>
            <w:r w:rsidRPr="001D41EA">
              <w:rPr>
                <w:rFonts w:cs="Arial"/>
                <w:sz w:val="18"/>
                <w:szCs w:val="18"/>
              </w:rPr>
              <w:t>0.935</w:t>
            </w:r>
          </w:p>
        </w:tc>
        <w:tc>
          <w:tcPr>
            <w:tcW w:w="851" w:type="dxa"/>
            <w:tcBorders>
              <w:top w:val="nil"/>
              <w:left w:val="nil"/>
              <w:bottom w:val="nil"/>
              <w:right w:val="nil"/>
            </w:tcBorders>
            <w:shd w:val="clear" w:color="auto" w:fill="auto"/>
            <w:vAlign w:val="bottom"/>
          </w:tcPr>
          <w:p w14:paraId="72DB03FF" w14:textId="4CAD51C2" w:rsidR="005146A4" w:rsidRPr="001D41EA" w:rsidRDefault="005146A4" w:rsidP="001D41EA">
            <w:pPr>
              <w:spacing w:before="40" w:after="20"/>
              <w:jc w:val="center"/>
              <w:rPr>
                <w:rFonts w:cs="Arial"/>
                <w:sz w:val="18"/>
                <w:szCs w:val="18"/>
              </w:rPr>
            </w:pPr>
            <w:r w:rsidRPr="001D41EA">
              <w:rPr>
                <w:rFonts w:cs="Arial"/>
                <w:sz w:val="18"/>
                <w:szCs w:val="18"/>
              </w:rPr>
              <w:t>1.003</w:t>
            </w:r>
          </w:p>
        </w:tc>
        <w:tc>
          <w:tcPr>
            <w:tcW w:w="851" w:type="dxa"/>
            <w:tcBorders>
              <w:top w:val="nil"/>
              <w:left w:val="nil"/>
              <w:bottom w:val="nil"/>
              <w:right w:val="nil"/>
            </w:tcBorders>
            <w:shd w:val="clear" w:color="auto" w:fill="auto"/>
            <w:vAlign w:val="bottom"/>
          </w:tcPr>
          <w:p w14:paraId="57354825" w14:textId="30265AAA" w:rsidR="005146A4" w:rsidRPr="001D41EA" w:rsidRDefault="005146A4" w:rsidP="001D41EA">
            <w:pPr>
              <w:spacing w:before="40" w:after="20"/>
              <w:jc w:val="center"/>
              <w:rPr>
                <w:rFonts w:cs="Arial"/>
                <w:sz w:val="18"/>
                <w:szCs w:val="18"/>
              </w:rPr>
            </w:pPr>
            <w:r w:rsidRPr="001D41EA">
              <w:rPr>
                <w:rFonts w:cs="Arial"/>
                <w:sz w:val="18"/>
                <w:szCs w:val="18"/>
              </w:rPr>
              <w:t>0.997</w:t>
            </w:r>
          </w:p>
        </w:tc>
        <w:tc>
          <w:tcPr>
            <w:tcW w:w="851" w:type="dxa"/>
            <w:tcBorders>
              <w:top w:val="nil"/>
              <w:left w:val="nil"/>
              <w:bottom w:val="nil"/>
              <w:right w:val="nil"/>
            </w:tcBorders>
            <w:shd w:val="clear" w:color="auto" w:fill="auto"/>
            <w:vAlign w:val="bottom"/>
          </w:tcPr>
          <w:p w14:paraId="321D8CAF" w14:textId="4A7107C5" w:rsidR="005146A4" w:rsidRPr="001D41EA" w:rsidRDefault="005146A4" w:rsidP="001D41EA">
            <w:pPr>
              <w:spacing w:before="40" w:after="20"/>
              <w:jc w:val="center"/>
              <w:rPr>
                <w:rFonts w:cs="Arial"/>
                <w:sz w:val="18"/>
                <w:szCs w:val="18"/>
              </w:rPr>
            </w:pPr>
            <w:r w:rsidRPr="001D41EA">
              <w:rPr>
                <w:rFonts w:cs="Arial"/>
                <w:sz w:val="18"/>
                <w:szCs w:val="18"/>
              </w:rPr>
              <w:t>1.094</w:t>
            </w:r>
          </w:p>
        </w:tc>
        <w:tc>
          <w:tcPr>
            <w:tcW w:w="851" w:type="dxa"/>
            <w:tcBorders>
              <w:top w:val="nil"/>
              <w:left w:val="nil"/>
              <w:bottom w:val="nil"/>
              <w:right w:val="nil"/>
            </w:tcBorders>
            <w:shd w:val="clear" w:color="auto" w:fill="auto"/>
            <w:vAlign w:val="bottom"/>
          </w:tcPr>
          <w:p w14:paraId="32AAD5DD" w14:textId="6D43EC80" w:rsidR="005146A4" w:rsidRPr="001D41EA" w:rsidRDefault="005146A4" w:rsidP="001D41EA">
            <w:pPr>
              <w:spacing w:before="40" w:after="20"/>
              <w:jc w:val="center"/>
              <w:rPr>
                <w:rFonts w:cs="Arial"/>
                <w:sz w:val="18"/>
                <w:szCs w:val="18"/>
              </w:rPr>
            </w:pPr>
            <w:r w:rsidRPr="001D41EA">
              <w:rPr>
                <w:rFonts w:cs="Arial"/>
                <w:sz w:val="18"/>
                <w:szCs w:val="18"/>
              </w:rPr>
              <w:t>1.010</w:t>
            </w:r>
          </w:p>
        </w:tc>
        <w:tc>
          <w:tcPr>
            <w:tcW w:w="851" w:type="dxa"/>
            <w:tcBorders>
              <w:top w:val="nil"/>
              <w:left w:val="nil"/>
              <w:bottom w:val="nil"/>
              <w:right w:val="nil"/>
            </w:tcBorders>
            <w:shd w:val="clear" w:color="auto" w:fill="auto"/>
            <w:vAlign w:val="bottom"/>
          </w:tcPr>
          <w:p w14:paraId="5EDB5347" w14:textId="61D4E5D5" w:rsidR="005146A4" w:rsidRPr="001D41EA" w:rsidRDefault="005146A4" w:rsidP="001D41EA">
            <w:pPr>
              <w:spacing w:before="40" w:after="20"/>
              <w:jc w:val="center"/>
              <w:rPr>
                <w:rFonts w:cs="Arial"/>
                <w:sz w:val="18"/>
                <w:szCs w:val="18"/>
              </w:rPr>
            </w:pPr>
            <w:r w:rsidRPr="001D41EA">
              <w:rPr>
                <w:rFonts w:cs="Arial"/>
                <w:sz w:val="18"/>
                <w:szCs w:val="18"/>
              </w:rPr>
              <w:t>1.085</w:t>
            </w:r>
          </w:p>
        </w:tc>
        <w:tc>
          <w:tcPr>
            <w:tcW w:w="851" w:type="dxa"/>
            <w:tcBorders>
              <w:top w:val="nil"/>
              <w:left w:val="nil"/>
              <w:bottom w:val="nil"/>
              <w:right w:val="nil"/>
            </w:tcBorders>
            <w:shd w:val="clear" w:color="auto" w:fill="auto"/>
            <w:vAlign w:val="bottom"/>
          </w:tcPr>
          <w:p w14:paraId="1F16BC63" w14:textId="3F81F59E" w:rsidR="005146A4" w:rsidRPr="001D41EA" w:rsidRDefault="005146A4" w:rsidP="001D41EA">
            <w:pPr>
              <w:spacing w:before="40" w:after="20"/>
              <w:jc w:val="center"/>
              <w:rPr>
                <w:rFonts w:cs="Arial"/>
                <w:sz w:val="18"/>
                <w:szCs w:val="18"/>
              </w:rPr>
            </w:pPr>
            <w:r w:rsidRPr="001D41EA">
              <w:rPr>
                <w:rFonts w:cs="Arial"/>
                <w:sz w:val="18"/>
                <w:szCs w:val="18"/>
              </w:rPr>
              <w:t>1.085</w:t>
            </w:r>
          </w:p>
        </w:tc>
      </w:tr>
      <w:tr w:rsidR="005146A4" w:rsidRPr="001D41EA" w14:paraId="01711F42"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0236896A" w14:textId="77777777" w:rsidR="005146A4" w:rsidRPr="001D41EA" w:rsidRDefault="005146A4" w:rsidP="001D41EA">
            <w:pPr>
              <w:spacing w:before="40" w:after="20"/>
              <w:rPr>
                <w:rFonts w:cs="Arial"/>
                <w:sz w:val="18"/>
                <w:szCs w:val="18"/>
              </w:rPr>
            </w:pPr>
            <w:r w:rsidRPr="001D41EA">
              <w:rPr>
                <w:rFonts w:cs="Arial"/>
                <w:sz w:val="18"/>
                <w:szCs w:val="18"/>
              </w:rPr>
              <w:t>Moyne S</w:t>
            </w:r>
          </w:p>
        </w:tc>
        <w:tc>
          <w:tcPr>
            <w:tcW w:w="851" w:type="dxa"/>
            <w:tcBorders>
              <w:top w:val="nil"/>
              <w:left w:val="single" w:sz="18" w:space="0" w:color="5F497A" w:themeColor="accent4" w:themeShade="BF"/>
              <w:bottom w:val="nil"/>
              <w:right w:val="nil"/>
            </w:tcBorders>
            <w:shd w:val="clear" w:color="auto" w:fill="auto"/>
            <w:vAlign w:val="bottom"/>
          </w:tcPr>
          <w:p w14:paraId="0142530C" w14:textId="77B8950C" w:rsidR="005146A4" w:rsidRPr="001D41EA" w:rsidRDefault="005146A4" w:rsidP="001D41EA">
            <w:pPr>
              <w:spacing w:before="40" w:after="20"/>
              <w:jc w:val="center"/>
              <w:rPr>
                <w:rFonts w:cs="Arial"/>
                <w:sz w:val="18"/>
                <w:szCs w:val="18"/>
              </w:rPr>
            </w:pPr>
            <w:r w:rsidRPr="001D41EA">
              <w:rPr>
                <w:rFonts w:cs="Arial"/>
                <w:sz w:val="18"/>
                <w:szCs w:val="18"/>
              </w:rPr>
              <w:t>1.173</w:t>
            </w:r>
          </w:p>
        </w:tc>
        <w:tc>
          <w:tcPr>
            <w:tcW w:w="851" w:type="dxa"/>
            <w:tcBorders>
              <w:top w:val="nil"/>
              <w:left w:val="nil"/>
              <w:bottom w:val="nil"/>
              <w:right w:val="nil"/>
            </w:tcBorders>
            <w:shd w:val="clear" w:color="auto" w:fill="auto"/>
            <w:vAlign w:val="bottom"/>
          </w:tcPr>
          <w:p w14:paraId="687894ED" w14:textId="7F3AE7B7" w:rsidR="005146A4" w:rsidRPr="001D41EA" w:rsidRDefault="005146A4" w:rsidP="001D41EA">
            <w:pPr>
              <w:spacing w:before="40" w:after="20"/>
              <w:jc w:val="center"/>
              <w:rPr>
                <w:rFonts w:cs="Arial"/>
                <w:sz w:val="18"/>
                <w:szCs w:val="18"/>
              </w:rPr>
            </w:pPr>
            <w:r w:rsidRPr="001D41EA">
              <w:rPr>
                <w:rFonts w:cs="Arial"/>
                <w:sz w:val="18"/>
                <w:szCs w:val="18"/>
              </w:rPr>
              <w:t>1.041</w:t>
            </w:r>
          </w:p>
        </w:tc>
        <w:tc>
          <w:tcPr>
            <w:tcW w:w="851" w:type="dxa"/>
            <w:tcBorders>
              <w:top w:val="nil"/>
              <w:left w:val="nil"/>
              <w:bottom w:val="nil"/>
              <w:right w:val="nil"/>
            </w:tcBorders>
            <w:shd w:val="clear" w:color="auto" w:fill="auto"/>
            <w:vAlign w:val="bottom"/>
          </w:tcPr>
          <w:p w14:paraId="74F64751" w14:textId="11D84926" w:rsidR="005146A4" w:rsidRPr="001D41EA" w:rsidRDefault="005146A4" w:rsidP="001D41EA">
            <w:pPr>
              <w:spacing w:before="40" w:after="20"/>
              <w:jc w:val="center"/>
              <w:rPr>
                <w:rFonts w:cs="Arial"/>
                <w:sz w:val="18"/>
                <w:szCs w:val="18"/>
              </w:rPr>
            </w:pPr>
            <w:r w:rsidRPr="001D41EA">
              <w:rPr>
                <w:rFonts w:cs="Arial"/>
                <w:sz w:val="18"/>
                <w:szCs w:val="18"/>
              </w:rPr>
              <w:t>1.064</w:t>
            </w:r>
          </w:p>
        </w:tc>
        <w:tc>
          <w:tcPr>
            <w:tcW w:w="851" w:type="dxa"/>
            <w:tcBorders>
              <w:top w:val="nil"/>
              <w:left w:val="nil"/>
              <w:bottom w:val="nil"/>
              <w:right w:val="nil"/>
            </w:tcBorders>
            <w:shd w:val="clear" w:color="auto" w:fill="auto"/>
            <w:vAlign w:val="bottom"/>
          </w:tcPr>
          <w:p w14:paraId="271AEBDC" w14:textId="317AFF69" w:rsidR="005146A4" w:rsidRPr="001D41EA" w:rsidRDefault="005146A4" w:rsidP="001D41EA">
            <w:pPr>
              <w:spacing w:before="40" w:after="20"/>
              <w:jc w:val="center"/>
              <w:rPr>
                <w:rFonts w:cs="Arial"/>
                <w:sz w:val="18"/>
                <w:szCs w:val="18"/>
              </w:rPr>
            </w:pPr>
            <w:r w:rsidRPr="001D41EA">
              <w:rPr>
                <w:rFonts w:cs="Arial"/>
                <w:sz w:val="18"/>
                <w:szCs w:val="18"/>
              </w:rPr>
              <w:t>1.015</w:t>
            </w:r>
          </w:p>
        </w:tc>
        <w:tc>
          <w:tcPr>
            <w:tcW w:w="851" w:type="dxa"/>
            <w:tcBorders>
              <w:top w:val="nil"/>
              <w:left w:val="nil"/>
              <w:bottom w:val="nil"/>
              <w:right w:val="nil"/>
            </w:tcBorders>
            <w:shd w:val="clear" w:color="auto" w:fill="auto"/>
            <w:vAlign w:val="bottom"/>
          </w:tcPr>
          <w:p w14:paraId="4ED70D18" w14:textId="56A5395B" w:rsidR="005146A4" w:rsidRPr="001D41EA" w:rsidRDefault="005146A4" w:rsidP="001D41EA">
            <w:pPr>
              <w:spacing w:before="40" w:after="20"/>
              <w:jc w:val="center"/>
              <w:rPr>
                <w:rFonts w:cs="Arial"/>
                <w:sz w:val="18"/>
                <w:szCs w:val="18"/>
              </w:rPr>
            </w:pPr>
            <w:r w:rsidRPr="001D41EA">
              <w:rPr>
                <w:rFonts w:cs="Arial"/>
                <w:sz w:val="18"/>
                <w:szCs w:val="18"/>
              </w:rPr>
              <w:t>1.264</w:t>
            </w:r>
          </w:p>
        </w:tc>
        <w:tc>
          <w:tcPr>
            <w:tcW w:w="851" w:type="dxa"/>
            <w:tcBorders>
              <w:top w:val="nil"/>
              <w:left w:val="nil"/>
              <w:bottom w:val="nil"/>
              <w:right w:val="nil"/>
            </w:tcBorders>
            <w:shd w:val="clear" w:color="auto" w:fill="auto"/>
            <w:vAlign w:val="bottom"/>
          </w:tcPr>
          <w:p w14:paraId="2B1E3813" w14:textId="1B964C93" w:rsidR="005146A4" w:rsidRPr="001D41EA" w:rsidRDefault="005146A4" w:rsidP="001D41EA">
            <w:pPr>
              <w:spacing w:before="40" w:after="20"/>
              <w:jc w:val="center"/>
              <w:rPr>
                <w:rFonts w:cs="Arial"/>
                <w:sz w:val="18"/>
                <w:szCs w:val="18"/>
              </w:rPr>
            </w:pPr>
            <w:r w:rsidRPr="001D41EA">
              <w:rPr>
                <w:rFonts w:cs="Arial"/>
                <w:sz w:val="18"/>
                <w:szCs w:val="18"/>
              </w:rPr>
              <w:t>0.975</w:t>
            </w:r>
          </w:p>
        </w:tc>
        <w:tc>
          <w:tcPr>
            <w:tcW w:w="851" w:type="dxa"/>
            <w:tcBorders>
              <w:top w:val="nil"/>
              <w:left w:val="nil"/>
              <w:bottom w:val="nil"/>
              <w:right w:val="nil"/>
            </w:tcBorders>
            <w:shd w:val="clear" w:color="auto" w:fill="auto"/>
            <w:vAlign w:val="bottom"/>
          </w:tcPr>
          <w:p w14:paraId="4159E906" w14:textId="7004682F" w:rsidR="005146A4" w:rsidRPr="001D41EA" w:rsidRDefault="005146A4" w:rsidP="001D41EA">
            <w:pPr>
              <w:spacing w:before="40" w:after="20"/>
              <w:jc w:val="center"/>
              <w:rPr>
                <w:rFonts w:cs="Arial"/>
                <w:sz w:val="18"/>
                <w:szCs w:val="18"/>
              </w:rPr>
            </w:pPr>
            <w:r w:rsidRPr="001D41EA">
              <w:rPr>
                <w:rFonts w:cs="Arial"/>
                <w:sz w:val="18"/>
                <w:szCs w:val="18"/>
              </w:rPr>
              <w:t>1.218</w:t>
            </w:r>
          </w:p>
        </w:tc>
        <w:tc>
          <w:tcPr>
            <w:tcW w:w="851" w:type="dxa"/>
            <w:tcBorders>
              <w:top w:val="nil"/>
              <w:left w:val="nil"/>
              <w:bottom w:val="nil"/>
              <w:right w:val="nil"/>
            </w:tcBorders>
            <w:shd w:val="clear" w:color="auto" w:fill="auto"/>
            <w:vAlign w:val="bottom"/>
          </w:tcPr>
          <w:p w14:paraId="314D66E5" w14:textId="741DC988" w:rsidR="005146A4" w:rsidRPr="001D41EA" w:rsidRDefault="005146A4" w:rsidP="001D41EA">
            <w:pPr>
              <w:spacing w:before="40" w:after="20"/>
              <w:jc w:val="center"/>
              <w:rPr>
                <w:rFonts w:cs="Arial"/>
                <w:sz w:val="18"/>
                <w:szCs w:val="18"/>
              </w:rPr>
            </w:pPr>
            <w:r w:rsidRPr="001D41EA">
              <w:rPr>
                <w:rFonts w:cs="Arial"/>
                <w:sz w:val="18"/>
                <w:szCs w:val="18"/>
              </w:rPr>
              <w:t>1.113</w:t>
            </w:r>
          </w:p>
        </w:tc>
      </w:tr>
      <w:tr w:rsidR="005146A4" w:rsidRPr="001D41EA" w14:paraId="47746016"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BC8E610" w14:textId="77777777" w:rsidR="005146A4" w:rsidRPr="001D41EA" w:rsidRDefault="005146A4" w:rsidP="001D41EA">
            <w:pPr>
              <w:spacing w:before="40" w:after="20"/>
              <w:rPr>
                <w:rFonts w:cs="Arial"/>
                <w:sz w:val="18"/>
                <w:szCs w:val="18"/>
              </w:rPr>
            </w:pPr>
            <w:r w:rsidRPr="001D41EA">
              <w:rPr>
                <w:rFonts w:cs="Arial"/>
                <w:sz w:val="18"/>
                <w:szCs w:val="18"/>
              </w:rPr>
              <w:t>Murrindindi S</w:t>
            </w:r>
          </w:p>
        </w:tc>
        <w:tc>
          <w:tcPr>
            <w:tcW w:w="851" w:type="dxa"/>
            <w:tcBorders>
              <w:top w:val="nil"/>
              <w:left w:val="single" w:sz="18" w:space="0" w:color="5F497A" w:themeColor="accent4" w:themeShade="BF"/>
              <w:bottom w:val="nil"/>
              <w:right w:val="nil"/>
            </w:tcBorders>
            <w:shd w:val="clear" w:color="auto" w:fill="auto"/>
            <w:vAlign w:val="bottom"/>
          </w:tcPr>
          <w:p w14:paraId="152EF1C5" w14:textId="35C96D5A" w:rsidR="005146A4" w:rsidRPr="001D41EA" w:rsidRDefault="005146A4" w:rsidP="001D41EA">
            <w:pPr>
              <w:spacing w:before="40" w:after="20"/>
              <w:jc w:val="center"/>
              <w:rPr>
                <w:rFonts w:cs="Arial"/>
                <w:sz w:val="18"/>
                <w:szCs w:val="18"/>
              </w:rPr>
            </w:pPr>
            <w:r w:rsidRPr="001D41EA">
              <w:rPr>
                <w:rFonts w:cs="Arial"/>
                <w:sz w:val="18"/>
                <w:szCs w:val="18"/>
              </w:rPr>
              <w:t>1.194</w:t>
            </w:r>
          </w:p>
        </w:tc>
        <w:tc>
          <w:tcPr>
            <w:tcW w:w="851" w:type="dxa"/>
            <w:tcBorders>
              <w:top w:val="nil"/>
              <w:left w:val="nil"/>
              <w:bottom w:val="nil"/>
              <w:right w:val="nil"/>
            </w:tcBorders>
            <w:shd w:val="clear" w:color="auto" w:fill="auto"/>
            <w:vAlign w:val="bottom"/>
          </w:tcPr>
          <w:p w14:paraId="44FDDE9E" w14:textId="0B74F4C8" w:rsidR="005146A4" w:rsidRPr="001D41EA" w:rsidRDefault="005146A4" w:rsidP="001D41EA">
            <w:pPr>
              <w:spacing w:before="40" w:after="20"/>
              <w:jc w:val="center"/>
              <w:rPr>
                <w:rFonts w:cs="Arial"/>
                <w:sz w:val="18"/>
                <w:szCs w:val="18"/>
              </w:rPr>
            </w:pPr>
            <w:r w:rsidRPr="001D41EA">
              <w:rPr>
                <w:rFonts w:cs="Arial"/>
                <w:sz w:val="18"/>
                <w:szCs w:val="18"/>
              </w:rPr>
              <w:t>1.047</w:t>
            </w:r>
          </w:p>
        </w:tc>
        <w:tc>
          <w:tcPr>
            <w:tcW w:w="851" w:type="dxa"/>
            <w:tcBorders>
              <w:top w:val="nil"/>
              <w:left w:val="nil"/>
              <w:bottom w:val="nil"/>
              <w:right w:val="nil"/>
            </w:tcBorders>
            <w:shd w:val="clear" w:color="auto" w:fill="auto"/>
            <w:vAlign w:val="bottom"/>
          </w:tcPr>
          <w:p w14:paraId="5A523B3F" w14:textId="20DF6364" w:rsidR="005146A4" w:rsidRPr="001D41EA" w:rsidRDefault="005146A4" w:rsidP="001D41EA">
            <w:pPr>
              <w:spacing w:before="40" w:after="20"/>
              <w:jc w:val="center"/>
              <w:rPr>
                <w:rFonts w:cs="Arial"/>
                <w:sz w:val="18"/>
                <w:szCs w:val="18"/>
              </w:rPr>
            </w:pPr>
            <w:r w:rsidRPr="001D41EA">
              <w:rPr>
                <w:rFonts w:cs="Arial"/>
                <w:sz w:val="18"/>
                <w:szCs w:val="18"/>
              </w:rPr>
              <w:t>1.142</w:t>
            </w:r>
          </w:p>
        </w:tc>
        <w:tc>
          <w:tcPr>
            <w:tcW w:w="851" w:type="dxa"/>
            <w:tcBorders>
              <w:top w:val="nil"/>
              <w:left w:val="nil"/>
              <w:bottom w:val="nil"/>
              <w:right w:val="nil"/>
            </w:tcBorders>
            <w:shd w:val="clear" w:color="auto" w:fill="auto"/>
            <w:vAlign w:val="bottom"/>
          </w:tcPr>
          <w:p w14:paraId="1FB7D6A6" w14:textId="34F4B8CA" w:rsidR="005146A4" w:rsidRPr="001D41EA" w:rsidRDefault="005146A4" w:rsidP="001D41EA">
            <w:pPr>
              <w:spacing w:before="40" w:after="20"/>
              <w:jc w:val="center"/>
              <w:rPr>
                <w:rFonts w:cs="Arial"/>
                <w:sz w:val="18"/>
                <w:szCs w:val="18"/>
              </w:rPr>
            </w:pPr>
            <w:r w:rsidRPr="001D41EA">
              <w:rPr>
                <w:rFonts w:cs="Arial"/>
                <w:sz w:val="18"/>
                <w:szCs w:val="18"/>
              </w:rPr>
              <w:t>1.181</w:t>
            </w:r>
          </w:p>
        </w:tc>
        <w:tc>
          <w:tcPr>
            <w:tcW w:w="851" w:type="dxa"/>
            <w:tcBorders>
              <w:top w:val="nil"/>
              <w:left w:val="nil"/>
              <w:bottom w:val="nil"/>
              <w:right w:val="nil"/>
            </w:tcBorders>
            <w:shd w:val="clear" w:color="auto" w:fill="auto"/>
            <w:vAlign w:val="bottom"/>
          </w:tcPr>
          <w:p w14:paraId="6AB27452" w14:textId="2B61DF79" w:rsidR="005146A4" w:rsidRPr="001D41EA" w:rsidRDefault="005146A4" w:rsidP="001D41EA">
            <w:pPr>
              <w:spacing w:before="40" w:after="20"/>
              <w:jc w:val="center"/>
              <w:rPr>
                <w:rFonts w:cs="Arial"/>
                <w:sz w:val="18"/>
                <w:szCs w:val="18"/>
              </w:rPr>
            </w:pPr>
            <w:r w:rsidRPr="001D41EA">
              <w:rPr>
                <w:rFonts w:cs="Arial"/>
                <w:sz w:val="18"/>
                <w:szCs w:val="18"/>
              </w:rPr>
              <w:t>1.383</w:t>
            </w:r>
          </w:p>
        </w:tc>
        <w:tc>
          <w:tcPr>
            <w:tcW w:w="851" w:type="dxa"/>
            <w:tcBorders>
              <w:top w:val="nil"/>
              <w:left w:val="nil"/>
              <w:bottom w:val="nil"/>
              <w:right w:val="nil"/>
            </w:tcBorders>
            <w:shd w:val="clear" w:color="auto" w:fill="auto"/>
            <w:vAlign w:val="bottom"/>
          </w:tcPr>
          <w:p w14:paraId="5B255BB5" w14:textId="64C6E060" w:rsidR="005146A4" w:rsidRPr="001D41EA" w:rsidRDefault="005146A4" w:rsidP="001D41EA">
            <w:pPr>
              <w:spacing w:before="40" w:after="20"/>
              <w:jc w:val="center"/>
              <w:rPr>
                <w:rFonts w:cs="Arial"/>
                <w:sz w:val="18"/>
                <w:szCs w:val="18"/>
              </w:rPr>
            </w:pPr>
            <w:r w:rsidRPr="001D41EA">
              <w:rPr>
                <w:rFonts w:cs="Arial"/>
                <w:sz w:val="18"/>
                <w:szCs w:val="18"/>
              </w:rPr>
              <w:t>1.106</w:t>
            </w:r>
          </w:p>
        </w:tc>
        <w:tc>
          <w:tcPr>
            <w:tcW w:w="851" w:type="dxa"/>
            <w:tcBorders>
              <w:top w:val="nil"/>
              <w:left w:val="nil"/>
              <w:bottom w:val="nil"/>
              <w:right w:val="nil"/>
            </w:tcBorders>
            <w:shd w:val="clear" w:color="auto" w:fill="auto"/>
            <w:vAlign w:val="bottom"/>
          </w:tcPr>
          <w:p w14:paraId="433C1A80" w14:textId="3C9A9E4A" w:rsidR="005146A4" w:rsidRPr="001D41EA" w:rsidRDefault="005146A4" w:rsidP="001D41EA">
            <w:pPr>
              <w:spacing w:before="40" w:after="20"/>
              <w:jc w:val="center"/>
              <w:rPr>
                <w:rFonts w:cs="Arial"/>
                <w:sz w:val="18"/>
                <w:szCs w:val="18"/>
              </w:rPr>
            </w:pPr>
            <w:r w:rsidRPr="001D41EA">
              <w:rPr>
                <w:rFonts w:cs="Arial"/>
                <w:sz w:val="18"/>
                <w:szCs w:val="18"/>
              </w:rPr>
              <w:t>1.320</w:t>
            </w:r>
          </w:p>
        </w:tc>
        <w:tc>
          <w:tcPr>
            <w:tcW w:w="851" w:type="dxa"/>
            <w:tcBorders>
              <w:top w:val="nil"/>
              <w:left w:val="nil"/>
              <w:bottom w:val="nil"/>
              <w:right w:val="nil"/>
            </w:tcBorders>
            <w:shd w:val="clear" w:color="auto" w:fill="auto"/>
            <w:vAlign w:val="bottom"/>
          </w:tcPr>
          <w:p w14:paraId="73D181FB" w14:textId="12B74771" w:rsidR="005146A4" w:rsidRPr="001D41EA" w:rsidRDefault="005146A4" w:rsidP="001D41EA">
            <w:pPr>
              <w:spacing w:before="40" w:after="20"/>
              <w:jc w:val="center"/>
              <w:rPr>
                <w:rFonts w:cs="Arial"/>
                <w:sz w:val="18"/>
                <w:szCs w:val="18"/>
              </w:rPr>
            </w:pPr>
            <w:r w:rsidRPr="001D41EA">
              <w:rPr>
                <w:rFonts w:cs="Arial"/>
                <w:sz w:val="18"/>
                <w:szCs w:val="18"/>
              </w:rPr>
              <w:t>1.177</w:t>
            </w:r>
          </w:p>
        </w:tc>
      </w:tr>
      <w:tr w:rsidR="005146A4" w:rsidRPr="001D41EA" w14:paraId="49D5C595"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56970707" w14:textId="77777777" w:rsidR="005146A4" w:rsidRPr="001D41EA" w:rsidRDefault="005146A4" w:rsidP="001D41EA">
            <w:pPr>
              <w:spacing w:before="40" w:after="20"/>
              <w:rPr>
                <w:rFonts w:cs="Arial"/>
                <w:sz w:val="18"/>
                <w:szCs w:val="18"/>
              </w:rPr>
            </w:pPr>
            <w:r w:rsidRPr="001D41EA">
              <w:rPr>
                <w:rFonts w:cs="Arial"/>
                <w:sz w:val="18"/>
                <w:szCs w:val="18"/>
              </w:rPr>
              <w:t>Nillumbik S</w:t>
            </w:r>
          </w:p>
        </w:tc>
        <w:tc>
          <w:tcPr>
            <w:tcW w:w="851" w:type="dxa"/>
            <w:tcBorders>
              <w:top w:val="nil"/>
              <w:left w:val="single" w:sz="18" w:space="0" w:color="5F497A" w:themeColor="accent4" w:themeShade="BF"/>
              <w:bottom w:val="nil"/>
              <w:right w:val="nil"/>
            </w:tcBorders>
            <w:shd w:val="clear" w:color="auto" w:fill="auto"/>
            <w:vAlign w:val="bottom"/>
          </w:tcPr>
          <w:p w14:paraId="7AF58BFA" w14:textId="1C3C6344" w:rsidR="005146A4" w:rsidRPr="001D41EA" w:rsidRDefault="005146A4" w:rsidP="001D41EA">
            <w:pPr>
              <w:spacing w:before="40" w:after="20"/>
              <w:jc w:val="center"/>
              <w:rPr>
                <w:rFonts w:cs="Arial"/>
                <w:sz w:val="18"/>
                <w:szCs w:val="18"/>
              </w:rPr>
            </w:pPr>
            <w:r w:rsidRPr="001D41EA">
              <w:rPr>
                <w:rFonts w:cs="Arial"/>
                <w:sz w:val="18"/>
                <w:szCs w:val="18"/>
              </w:rPr>
              <w:t>0.945</w:t>
            </w:r>
          </w:p>
        </w:tc>
        <w:tc>
          <w:tcPr>
            <w:tcW w:w="851" w:type="dxa"/>
            <w:tcBorders>
              <w:top w:val="nil"/>
              <w:left w:val="nil"/>
              <w:bottom w:val="nil"/>
              <w:right w:val="nil"/>
            </w:tcBorders>
            <w:shd w:val="clear" w:color="auto" w:fill="auto"/>
            <w:vAlign w:val="bottom"/>
          </w:tcPr>
          <w:p w14:paraId="3908005D" w14:textId="53B8D76E" w:rsidR="005146A4" w:rsidRPr="001D41EA" w:rsidRDefault="005146A4" w:rsidP="001D41EA">
            <w:pPr>
              <w:spacing w:before="40" w:after="20"/>
              <w:jc w:val="center"/>
              <w:rPr>
                <w:rFonts w:cs="Arial"/>
                <w:sz w:val="18"/>
                <w:szCs w:val="18"/>
              </w:rPr>
            </w:pPr>
            <w:r w:rsidRPr="001D41EA">
              <w:rPr>
                <w:rFonts w:cs="Arial"/>
                <w:sz w:val="18"/>
                <w:szCs w:val="18"/>
              </w:rPr>
              <w:t>0.854</w:t>
            </w:r>
          </w:p>
        </w:tc>
        <w:tc>
          <w:tcPr>
            <w:tcW w:w="851" w:type="dxa"/>
            <w:tcBorders>
              <w:top w:val="nil"/>
              <w:left w:val="nil"/>
              <w:bottom w:val="nil"/>
              <w:right w:val="nil"/>
            </w:tcBorders>
            <w:shd w:val="clear" w:color="auto" w:fill="auto"/>
            <w:vAlign w:val="bottom"/>
          </w:tcPr>
          <w:p w14:paraId="0302C415" w14:textId="752D8BD9" w:rsidR="005146A4" w:rsidRPr="001D41EA" w:rsidRDefault="005146A4" w:rsidP="001D41EA">
            <w:pPr>
              <w:spacing w:before="40" w:after="20"/>
              <w:jc w:val="center"/>
              <w:rPr>
                <w:rFonts w:cs="Arial"/>
                <w:sz w:val="18"/>
                <w:szCs w:val="18"/>
              </w:rPr>
            </w:pPr>
            <w:r w:rsidRPr="001D41EA">
              <w:rPr>
                <w:rFonts w:cs="Arial"/>
                <w:sz w:val="18"/>
                <w:szCs w:val="18"/>
              </w:rPr>
              <w:t>0.808</w:t>
            </w:r>
          </w:p>
        </w:tc>
        <w:tc>
          <w:tcPr>
            <w:tcW w:w="851" w:type="dxa"/>
            <w:tcBorders>
              <w:top w:val="nil"/>
              <w:left w:val="nil"/>
              <w:bottom w:val="nil"/>
              <w:right w:val="nil"/>
            </w:tcBorders>
            <w:shd w:val="clear" w:color="auto" w:fill="auto"/>
            <w:vAlign w:val="bottom"/>
          </w:tcPr>
          <w:p w14:paraId="1C291A5F" w14:textId="6F5AEB75" w:rsidR="005146A4" w:rsidRPr="001D41EA" w:rsidRDefault="005146A4" w:rsidP="001D41EA">
            <w:pPr>
              <w:spacing w:before="40" w:after="20"/>
              <w:jc w:val="center"/>
              <w:rPr>
                <w:rFonts w:cs="Arial"/>
                <w:sz w:val="18"/>
                <w:szCs w:val="18"/>
              </w:rPr>
            </w:pPr>
            <w:r w:rsidRPr="001D41EA">
              <w:rPr>
                <w:rFonts w:cs="Arial"/>
                <w:sz w:val="18"/>
                <w:szCs w:val="18"/>
              </w:rPr>
              <w:t>0.852</w:t>
            </w:r>
          </w:p>
        </w:tc>
        <w:tc>
          <w:tcPr>
            <w:tcW w:w="851" w:type="dxa"/>
            <w:tcBorders>
              <w:top w:val="nil"/>
              <w:left w:val="nil"/>
              <w:bottom w:val="nil"/>
              <w:right w:val="nil"/>
            </w:tcBorders>
            <w:shd w:val="clear" w:color="auto" w:fill="auto"/>
            <w:vAlign w:val="bottom"/>
          </w:tcPr>
          <w:p w14:paraId="6FE55F97" w14:textId="0E07C970" w:rsidR="005146A4" w:rsidRPr="001D41EA" w:rsidRDefault="005146A4" w:rsidP="001D41EA">
            <w:pPr>
              <w:spacing w:before="40" w:after="20"/>
              <w:jc w:val="center"/>
              <w:rPr>
                <w:rFonts w:cs="Arial"/>
                <w:sz w:val="18"/>
                <w:szCs w:val="18"/>
              </w:rPr>
            </w:pPr>
            <w:r w:rsidRPr="001D41EA">
              <w:rPr>
                <w:rFonts w:cs="Arial"/>
                <w:sz w:val="18"/>
                <w:szCs w:val="18"/>
              </w:rPr>
              <w:t>0.967</w:t>
            </w:r>
          </w:p>
        </w:tc>
        <w:tc>
          <w:tcPr>
            <w:tcW w:w="851" w:type="dxa"/>
            <w:tcBorders>
              <w:top w:val="nil"/>
              <w:left w:val="nil"/>
              <w:bottom w:val="nil"/>
              <w:right w:val="nil"/>
            </w:tcBorders>
            <w:shd w:val="clear" w:color="auto" w:fill="auto"/>
            <w:vAlign w:val="bottom"/>
          </w:tcPr>
          <w:p w14:paraId="4D9113B9" w14:textId="5BC790BF" w:rsidR="005146A4" w:rsidRPr="001D41EA" w:rsidRDefault="005146A4" w:rsidP="001D41EA">
            <w:pPr>
              <w:spacing w:before="40" w:after="20"/>
              <w:jc w:val="center"/>
              <w:rPr>
                <w:rFonts w:cs="Arial"/>
                <w:sz w:val="18"/>
                <w:szCs w:val="18"/>
              </w:rPr>
            </w:pPr>
            <w:r w:rsidRPr="001D41EA">
              <w:rPr>
                <w:rFonts w:cs="Arial"/>
                <w:sz w:val="18"/>
                <w:szCs w:val="18"/>
              </w:rPr>
              <w:t>0.875</w:t>
            </w:r>
          </w:p>
        </w:tc>
        <w:tc>
          <w:tcPr>
            <w:tcW w:w="851" w:type="dxa"/>
            <w:tcBorders>
              <w:top w:val="nil"/>
              <w:left w:val="nil"/>
              <w:bottom w:val="nil"/>
              <w:right w:val="nil"/>
            </w:tcBorders>
            <w:shd w:val="clear" w:color="auto" w:fill="auto"/>
            <w:vAlign w:val="bottom"/>
          </w:tcPr>
          <w:p w14:paraId="51AE8163" w14:textId="1208DF08" w:rsidR="005146A4" w:rsidRPr="001D41EA" w:rsidRDefault="005146A4" w:rsidP="001D41EA">
            <w:pPr>
              <w:spacing w:before="40" w:after="20"/>
              <w:jc w:val="center"/>
              <w:rPr>
                <w:rFonts w:cs="Arial"/>
                <w:sz w:val="18"/>
                <w:szCs w:val="18"/>
              </w:rPr>
            </w:pPr>
            <w:r w:rsidRPr="001D41EA">
              <w:rPr>
                <w:rFonts w:cs="Arial"/>
                <w:sz w:val="18"/>
                <w:szCs w:val="18"/>
              </w:rPr>
              <w:t>1.042</w:t>
            </w:r>
          </w:p>
        </w:tc>
        <w:tc>
          <w:tcPr>
            <w:tcW w:w="851" w:type="dxa"/>
            <w:tcBorders>
              <w:top w:val="nil"/>
              <w:left w:val="nil"/>
              <w:bottom w:val="nil"/>
              <w:right w:val="nil"/>
            </w:tcBorders>
            <w:shd w:val="clear" w:color="auto" w:fill="auto"/>
            <w:vAlign w:val="bottom"/>
          </w:tcPr>
          <w:p w14:paraId="2EA6A35C" w14:textId="7961021B" w:rsidR="005146A4" w:rsidRPr="001D41EA" w:rsidRDefault="005146A4" w:rsidP="001D41EA">
            <w:pPr>
              <w:spacing w:before="40" w:after="20"/>
              <w:jc w:val="center"/>
              <w:rPr>
                <w:rFonts w:cs="Arial"/>
                <w:sz w:val="18"/>
                <w:szCs w:val="18"/>
              </w:rPr>
            </w:pPr>
            <w:r w:rsidRPr="001D41EA">
              <w:rPr>
                <w:rFonts w:cs="Arial"/>
                <w:sz w:val="18"/>
                <w:szCs w:val="18"/>
              </w:rPr>
              <w:t>0.959</w:t>
            </w:r>
          </w:p>
        </w:tc>
      </w:tr>
      <w:tr w:rsidR="005146A4" w:rsidRPr="001D41EA" w14:paraId="6A35225C"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909B1B5" w14:textId="77777777" w:rsidR="005146A4" w:rsidRPr="001D41EA" w:rsidRDefault="005146A4" w:rsidP="001D41EA">
            <w:pPr>
              <w:spacing w:before="40" w:after="20"/>
              <w:rPr>
                <w:rFonts w:cs="Arial"/>
                <w:sz w:val="18"/>
                <w:szCs w:val="18"/>
              </w:rPr>
            </w:pPr>
            <w:r w:rsidRPr="001D41EA">
              <w:rPr>
                <w:rFonts w:cs="Arial"/>
                <w:sz w:val="18"/>
                <w:szCs w:val="18"/>
              </w:rPr>
              <w:t>Northern Grampians S</w:t>
            </w:r>
          </w:p>
        </w:tc>
        <w:tc>
          <w:tcPr>
            <w:tcW w:w="851" w:type="dxa"/>
            <w:tcBorders>
              <w:top w:val="nil"/>
              <w:left w:val="single" w:sz="18" w:space="0" w:color="5F497A" w:themeColor="accent4" w:themeShade="BF"/>
              <w:bottom w:val="nil"/>
              <w:right w:val="nil"/>
            </w:tcBorders>
            <w:shd w:val="clear" w:color="auto" w:fill="auto"/>
            <w:vAlign w:val="bottom"/>
          </w:tcPr>
          <w:p w14:paraId="73F338A7" w14:textId="199ABB99" w:rsidR="005146A4" w:rsidRPr="001D41EA" w:rsidRDefault="005146A4" w:rsidP="001D41EA">
            <w:pPr>
              <w:spacing w:before="40" w:after="20"/>
              <w:jc w:val="center"/>
              <w:rPr>
                <w:rFonts w:cs="Arial"/>
                <w:sz w:val="18"/>
                <w:szCs w:val="18"/>
              </w:rPr>
            </w:pPr>
            <w:r w:rsidRPr="001D41EA">
              <w:rPr>
                <w:rFonts w:cs="Arial"/>
                <w:sz w:val="18"/>
                <w:szCs w:val="18"/>
              </w:rPr>
              <w:t>1.200</w:t>
            </w:r>
          </w:p>
        </w:tc>
        <w:tc>
          <w:tcPr>
            <w:tcW w:w="851" w:type="dxa"/>
            <w:tcBorders>
              <w:top w:val="nil"/>
              <w:left w:val="nil"/>
              <w:bottom w:val="nil"/>
              <w:right w:val="nil"/>
            </w:tcBorders>
            <w:shd w:val="clear" w:color="auto" w:fill="auto"/>
            <w:vAlign w:val="bottom"/>
          </w:tcPr>
          <w:p w14:paraId="54D15EF2" w14:textId="601BA4BD" w:rsidR="005146A4" w:rsidRPr="001D41EA" w:rsidRDefault="005146A4" w:rsidP="001D41EA">
            <w:pPr>
              <w:spacing w:before="40" w:after="20"/>
              <w:jc w:val="center"/>
              <w:rPr>
                <w:rFonts w:cs="Arial"/>
                <w:sz w:val="18"/>
                <w:szCs w:val="18"/>
              </w:rPr>
            </w:pPr>
            <w:r w:rsidRPr="001D41EA">
              <w:rPr>
                <w:rFonts w:cs="Arial"/>
                <w:sz w:val="18"/>
                <w:szCs w:val="18"/>
              </w:rPr>
              <w:t>1.044</w:t>
            </w:r>
          </w:p>
        </w:tc>
        <w:tc>
          <w:tcPr>
            <w:tcW w:w="851" w:type="dxa"/>
            <w:tcBorders>
              <w:top w:val="nil"/>
              <w:left w:val="nil"/>
              <w:bottom w:val="nil"/>
              <w:right w:val="nil"/>
            </w:tcBorders>
            <w:shd w:val="clear" w:color="auto" w:fill="auto"/>
            <w:vAlign w:val="bottom"/>
          </w:tcPr>
          <w:p w14:paraId="7F34428D" w14:textId="1F8BBD6E" w:rsidR="005146A4" w:rsidRPr="001D41EA" w:rsidRDefault="005146A4" w:rsidP="001D41EA">
            <w:pPr>
              <w:spacing w:before="40" w:after="20"/>
              <w:jc w:val="center"/>
              <w:rPr>
                <w:rFonts w:cs="Arial"/>
                <w:sz w:val="18"/>
                <w:szCs w:val="18"/>
              </w:rPr>
            </w:pPr>
            <w:r w:rsidRPr="001D41EA">
              <w:rPr>
                <w:rFonts w:cs="Arial"/>
                <w:sz w:val="18"/>
                <w:szCs w:val="18"/>
              </w:rPr>
              <w:t>1.179</w:t>
            </w:r>
          </w:p>
        </w:tc>
        <w:tc>
          <w:tcPr>
            <w:tcW w:w="851" w:type="dxa"/>
            <w:tcBorders>
              <w:top w:val="nil"/>
              <w:left w:val="nil"/>
              <w:bottom w:val="nil"/>
              <w:right w:val="nil"/>
            </w:tcBorders>
            <w:shd w:val="clear" w:color="auto" w:fill="auto"/>
            <w:vAlign w:val="bottom"/>
          </w:tcPr>
          <w:p w14:paraId="12EA16DC" w14:textId="4EEEE579" w:rsidR="005146A4" w:rsidRPr="001D41EA" w:rsidRDefault="005146A4" w:rsidP="001D41EA">
            <w:pPr>
              <w:spacing w:before="40" w:after="20"/>
              <w:jc w:val="center"/>
              <w:rPr>
                <w:rFonts w:cs="Arial"/>
                <w:sz w:val="18"/>
                <w:szCs w:val="18"/>
              </w:rPr>
            </w:pPr>
            <w:r w:rsidRPr="001D41EA">
              <w:rPr>
                <w:rFonts w:cs="Arial"/>
                <w:sz w:val="18"/>
                <w:szCs w:val="18"/>
              </w:rPr>
              <w:t>1.200</w:t>
            </w:r>
          </w:p>
        </w:tc>
        <w:tc>
          <w:tcPr>
            <w:tcW w:w="851" w:type="dxa"/>
            <w:tcBorders>
              <w:top w:val="nil"/>
              <w:left w:val="nil"/>
              <w:bottom w:val="nil"/>
              <w:right w:val="nil"/>
            </w:tcBorders>
            <w:shd w:val="clear" w:color="auto" w:fill="auto"/>
            <w:vAlign w:val="bottom"/>
          </w:tcPr>
          <w:p w14:paraId="397B9E4F" w14:textId="3DE63BDB" w:rsidR="005146A4" w:rsidRPr="001D41EA" w:rsidRDefault="005146A4" w:rsidP="001D41EA">
            <w:pPr>
              <w:spacing w:before="40" w:after="20"/>
              <w:jc w:val="center"/>
              <w:rPr>
                <w:rFonts w:cs="Arial"/>
                <w:sz w:val="18"/>
                <w:szCs w:val="18"/>
              </w:rPr>
            </w:pPr>
            <w:r w:rsidRPr="001D41EA">
              <w:rPr>
                <w:rFonts w:cs="Arial"/>
                <w:sz w:val="18"/>
                <w:szCs w:val="18"/>
              </w:rPr>
              <w:t>1.326</w:t>
            </w:r>
          </w:p>
        </w:tc>
        <w:tc>
          <w:tcPr>
            <w:tcW w:w="851" w:type="dxa"/>
            <w:tcBorders>
              <w:top w:val="nil"/>
              <w:left w:val="nil"/>
              <w:bottom w:val="nil"/>
              <w:right w:val="nil"/>
            </w:tcBorders>
            <w:shd w:val="clear" w:color="auto" w:fill="auto"/>
            <w:vAlign w:val="bottom"/>
          </w:tcPr>
          <w:p w14:paraId="567512DE" w14:textId="449325C9" w:rsidR="005146A4" w:rsidRPr="001D41EA" w:rsidRDefault="005146A4" w:rsidP="001D41EA">
            <w:pPr>
              <w:spacing w:before="40" w:after="20"/>
              <w:jc w:val="center"/>
              <w:rPr>
                <w:rFonts w:cs="Arial"/>
                <w:sz w:val="18"/>
                <w:szCs w:val="18"/>
              </w:rPr>
            </w:pPr>
            <w:r w:rsidRPr="001D41EA">
              <w:rPr>
                <w:rFonts w:cs="Arial"/>
                <w:sz w:val="18"/>
                <w:szCs w:val="18"/>
              </w:rPr>
              <w:t>1.083</w:t>
            </w:r>
          </w:p>
        </w:tc>
        <w:tc>
          <w:tcPr>
            <w:tcW w:w="851" w:type="dxa"/>
            <w:tcBorders>
              <w:top w:val="nil"/>
              <w:left w:val="nil"/>
              <w:bottom w:val="nil"/>
              <w:right w:val="nil"/>
            </w:tcBorders>
            <w:shd w:val="clear" w:color="auto" w:fill="auto"/>
            <w:vAlign w:val="bottom"/>
          </w:tcPr>
          <w:p w14:paraId="6461A424" w14:textId="5C1D7911" w:rsidR="005146A4" w:rsidRPr="001D41EA" w:rsidRDefault="005146A4" w:rsidP="001D41EA">
            <w:pPr>
              <w:spacing w:before="40" w:after="20"/>
              <w:jc w:val="center"/>
              <w:rPr>
                <w:rFonts w:cs="Arial"/>
                <w:sz w:val="18"/>
                <w:szCs w:val="18"/>
              </w:rPr>
            </w:pPr>
            <w:r w:rsidRPr="001D41EA">
              <w:rPr>
                <w:rFonts w:cs="Arial"/>
                <w:sz w:val="18"/>
                <w:szCs w:val="18"/>
              </w:rPr>
              <w:t>1.386</w:t>
            </w:r>
          </w:p>
        </w:tc>
        <w:tc>
          <w:tcPr>
            <w:tcW w:w="851" w:type="dxa"/>
            <w:tcBorders>
              <w:top w:val="nil"/>
              <w:left w:val="nil"/>
              <w:bottom w:val="nil"/>
              <w:right w:val="nil"/>
            </w:tcBorders>
            <w:shd w:val="clear" w:color="auto" w:fill="auto"/>
            <w:vAlign w:val="bottom"/>
          </w:tcPr>
          <w:p w14:paraId="10E2DC96" w14:textId="71BA7456" w:rsidR="005146A4" w:rsidRPr="001D41EA" w:rsidRDefault="005146A4" w:rsidP="001D41EA">
            <w:pPr>
              <w:spacing w:before="40" w:after="20"/>
              <w:jc w:val="center"/>
              <w:rPr>
                <w:rFonts w:cs="Arial"/>
                <w:sz w:val="18"/>
                <w:szCs w:val="18"/>
              </w:rPr>
            </w:pPr>
            <w:r w:rsidRPr="001D41EA">
              <w:rPr>
                <w:rFonts w:cs="Arial"/>
                <w:sz w:val="18"/>
                <w:szCs w:val="18"/>
              </w:rPr>
              <w:t>1.241</w:t>
            </w:r>
          </w:p>
        </w:tc>
      </w:tr>
      <w:tr w:rsidR="005146A4" w:rsidRPr="001D41EA" w14:paraId="31149A72"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3740249" w14:textId="77777777" w:rsidR="005146A4" w:rsidRPr="001D41EA" w:rsidRDefault="005146A4" w:rsidP="001D41EA">
            <w:pPr>
              <w:spacing w:before="40" w:after="20"/>
              <w:rPr>
                <w:rFonts w:cs="Arial"/>
                <w:sz w:val="18"/>
                <w:szCs w:val="18"/>
              </w:rPr>
            </w:pPr>
            <w:r w:rsidRPr="001D41EA">
              <w:rPr>
                <w:rFonts w:cs="Arial"/>
                <w:sz w:val="18"/>
                <w:szCs w:val="18"/>
              </w:rPr>
              <w:t>Port Phillip C</w:t>
            </w:r>
          </w:p>
        </w:tc>
        <w:tc>
          <w:tcPr>
            <w:tcW w:w="851" w:type="dxa"/>
            <w:tcBorders>
              <w:top w:val="nil"/>
              <w:left w:val="single" w:sz="18" w:space="0" w:color="5F497A" w:themeColor="accent4" w:themeShade="BF"/>
              <w:bottom w:val="nil"/>
              <w:right w:val="nil"/>
            </w:tcBorders>
            <w:shd w:val="clear" w:color="auto" w:fill="auto"/>
            <w:vAlign w:val="bottom"/>
          </w:tcPr>
          <w:p w14:paraId="64885C58" w14:textId="190E0E6A" w:rsidR="005146A4" w:rsidRPr="001D41EA" w:rsidRDefault="005146A4" w:rsidP="001D41EA">
            <w:pPr>
              <w:spacing w:before="40" w:after="20"/>
              <w:jc w:val="center"/>
              <w:rPr>
                <w:rFonts w:cs="Arial"/>
                <w:sz w:val="18"/>
                <w:szCs w:val="18"/>
              </w:rPr>
            </w:pPr>
            <w:r w:rsidRPr="001D41EA">
              <w:rPr>
                <w:rFonts w:cs="Arial"/>
                <w:sz w:val="18"/>
                <w:szCs w:val="18"/>
              </w:rPr>
              <w:t>0.934</w:t>
            </w:r>
          </w:p>
        </w:tc>
        <w:tc>
          <w:tcPr>
            <w:tcW w:w="851" w:type="dxa"/>
            <w:tcBorders>
              <w:top w:val="nil"/>
              <w:left w:val="nil"/>
              <w:bottom w:val="nil"/>
              <w:right w:val="nil"/>
            </w:tcBorders>
            <w:shd w:val="clear" w:color="auto" w:fill="auto"/>
            <w:vAlign w:val="bottom"/>
          </w:tcPr>
          <w:p w14:paraId="5E4B9427" w14:textId="4B4BC60F" w:rsidR="005146A4" w:rsidRPr="001D41EA" w:rsidRDefault="005146A4" w:rsidP="001D41EA">
            <w:pPr>
              <w:spacing w:before="40" w:after="20"/>
              <w:jc w:val="center"/>
              <w:rPr>
                <w:rFonts w:cs="Arial"/>
                <w:sz w:val="18"/>
                <w:szCs w:val="18"/>
              </w:rPr>
            </w:pPr>
            <w:r w:rsidRPr="001D41EA">
              <w:rPr>
                <w:rFonts w:cs="Arial"/>
                <w:sz w:val="18"/>
                <w:szCs w:val="18"/>
              </w:rPr>
              <w:t>0.852</w:t>
            </w:r>
          </w:p>
        </w:tc>
        <w:tc>
          <w:tcPr>
            <w:tcW w:w="851" w:type="dxa"/>
            <w:tcBorders>
              <w:top w:val="nil"/>
              <w:left w:val="nil"/>
              <w:bottom w:val="nil"/>
              <w:right w:val="nil"/>
            </w:tcBorders>
            <w:shd w:val="clear" w:color="auto" w:fill="auto"/>
            <w:vAlign w:val="bottom"/>
          </w:tcPr>
          <w:p w14:paraId="147F837F" w14:textId="34FA0737" w:rsidR="005146A4" w:rsidRPr="001D41EA" w:rsidRDefault="005146A4" w:rsidP="001D41EA">
            <w:pPr>
              <w:spacing w:before="40" w:after="20"/>
              <w:jc w:val="center"/>
              <w:rPr>
                <w:rFonts w:cs="Arial"/>
                <w:sz w:val="18"/>
                <w:szCs w:val="18"/>
              </w:rPr>
            </w:pPr>
            <w:r w:rsidRPr="001D41EA">
              <w:rPr>
                <w:rFonts w:cs="Arial"/>
                <w:sz w:val="18"/>
                <w:szCs w:val="18"/>
              </w:rPr>
              <w:t>0.834</w:t>
            </w:r>
          </w:p>
        </w:tc>
        <w:tc>
          <w:tcPr>
            <w:tcW w:w="851" w:type="dxa"/>
            <w:tcBorders>
              <w:top w:val="nil"/>
              <w:left w:val="nil"/>
              <w:bottom w:val="nil"/>
              <w:right w:val="nil"/>
            </w:tcBorders>
            <w:shd w:val="clear" w:color="auto" w:fill="auto"/>
            <w:vAlign w:val="bottom"/>
          </w:tcPr>
          <w:p w14:paraId="7AE4651E" w14:textId="76F393AE" w:rsidR="005146A4" w:rsidRPr="001D41EA" w:rsidRDefault="005146A4" w:rsidP="001D41EA">
            <w:pPr>
              <w:spacing w:before="40" w:after="20"/>
              <w:jc w:val="center"/>
              <w:rPr>
                <w:rFonts w:cs="Arial"/>
                <w:sz w:val="18"/>
                <w:szCs w:val="18"/>
              </w:rPr>
            </w:pPr>
            <w:r w:rsidRPr="001D41EA">
              <w:rPr>
                <w:rFonts w:cs="Arial"/>
                <w:sz w:val="18"/>
                <w:szCs w:val="18"/>
              </w:rPr>
              <w:t>1.064</w:t>
            </w:r>
          </w:p>
        </w:tc>
        <w:tc>
          <w:tcPr>
            <w:tcW w:w="851" w:type="dxa"/>
            <w:tcBorders>
              <w:top w:val="nil"/>
              <w:left w:val="nil"/>
              <w:bottom w:val="nil"/>
              <w:right w:val="nil"/>
            </w:tcBorders>
            <w:shd w:val="clear" w:color="auto" w:fill="auto"/>
            <w:vAlign w:val="bottom"/>
          </w:tcPr>
          <w:p w14:paraId="270822C4" w14:textId="79757E15" w:rsidR="005146A4" w:rsidRPr="001D41EA" w:rsidRDefault="005146A4" w:rsidP="001D41EA">
            <w:pPr>
              <w:spacing w:before="40" w:after="20"/>
              <w:jc w:val="center"/>
              <w:rPr>
                <w:rFonts w:cs="Arial"/>
                <w:sz w:val="18"/>
                <w:szCs w:val="18"/>
              </w:rPr>
            </w:pPr>
            <w:r w:rsidRPr="001D41EA">
              <w:rPr>
                <w:rFonts w:cs="Arial"/>
                <w:sz w:val="18"/>
                <w:szCs w:val="18"/>
              </w:rPr>
              <w:t>0.984</w:t>
            </w:r>
          </w:p>
        </w:tc>
        <w:tc>
          <w:tcPr>
            <w:tcW w:w="851" w:type="dxa"/>
            <w:tcBorders>
              <w:top w:val="nil"/>
              <w:left w:val="nil"/>
              <w:bottom w:val="nil"/>
              <w:right w:val="nil"/>
            </w:tcBorders>
            <w:shd w:val="clear" w:color="auto" w:fill="auto"/>
            <w:vAlign w:val="bottom"/>
          </w:tcPr>
          <w:p w14:paraId="7E2A7E35" w14:textId="2B72DFD8" w:rsidR="005146A4" w:rsidRPr="001D41EA" w:rsidRDefault="005146A4" w:rsidP="001D41EA">
            <w:pPr>
              <w:spacing w:before="40" w:after="20"/>
              <w:jc w:val="center"/>
              <w:rPr>
                <w:rFonts w:cs="Arial"/>
                <w:sz w:val="18"/>
                <w:szCs w:val="18"/>
              </w:rPr>
            </w:pPr>
            <w:r w:rsidRPr="001D41EA">
              <w:rPr>
                <w:rFonts w:cs="Arial"/>
                <w:sz w:val="18"/>
                <w:szCs w:val="18"/>
              </w:rPr>
              <w:t>1.060</w:t>
            </w:r>
          </w:p>
        </w:tc>
        <w:tc>
          <w:tcPr>
            <w:tcW w:w="851" w:type="dxa"/>
            <w:tcBorders>
              <w:top w:val="nil"/>
              <w:left w:val="nil"/>
              <w:bottom w:val="nil"/>
              <w:right w:val="nil"/>
            </w:tcBorders>
            <w:shd w:val="clear" w:color="auto" w:fill="auto"/>
            <w:vAlign w:val="bottom"/>
          </w:tcPr>
          <w:p w14:paraId="3F38C29F" w14:textId="710230D1" w:rsidR="005146A4" w:rsidRPr="001D41EA" w:rsidRDefault="005146A4" w:rsidP="001D41EA">
            <w:pPr>
              <w:spacing w:before="40" w:after="20"/>
              <w:jc w:val="center"/>
              <w:rPr>
                <w:rFonts w:cs="Arial"/>
                <w:sz w:val="18"/>
                <w:szCs w:val="18"/>
              </w:rPr>
            </w:pPr>
            <w:r w:rsidRPr="001D41EA">
              <w:rPr>
                <w:rFonts w:cs="Arial"/>
                <w:sz w:val="18"/>
                <w:szCs w:val="18"/>
              </w:rPr>
              <w:t>0.911</w:t>
            </w:r>
          </w:p>
        </w:tc>
        <w:tc>
          <w:tcPr>
            <w:tcW w:w="851" w:type="dxa"/>
            <w:tcBorders>
              <w:top w:val="nil"/>
              <w:left w:val="nil"/>
              <w:bottom w:val="nil"/>
              <w:right w:val="nil"/>
            </w:tcBorders>
            <w:shd w:val="clear" w:color="auto" w:fill="auto"/>
            <w:vAlign w:val="bottom"/>
          </w:tcPr>
          <w:p w14:paraId="7F8F21E7" w14:textId="7C17A979" w:rsidR="005146A4" w:rsidRPr="001D41EA" w:rsidRDefault="005146A4" w:rsidP="001D41EA">
            <w:pPr>
              <w:spacing w:before="40" w:after="20"/>
              <w:jc w:val="center"/>
              <w:rPr>
                <w:rFonts w:cs="Arial"/>
                <w:sz w:val="18"/>
                <w:szCs w:val="18"/>
              </w:rPr>
            </w:pPr>
            <w:r w:rsidRPr="001D41EA">
              <w:rPr>
                <w:rFonts w:cs="Arial"/>
                <w:sz w:val="18"/>
                <w:szCs w:val="18"/>
              </w:rPr>
              <w:t>1.064</w:t>
            </w:r>
          </w:p>
        </w:tc>
      </w:tr>
      <w:tr w:rsidR="005146A4" w:rsidRPr="001D41EA" w14:paraId="5E92AF1B"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E75E73E" w14:textId="77777777" w:rsidR="005146A4" w:rsidRPr="001D41EA" w:rsidRDefault="005146A4" w:rsidP="001D41EA">
            <w:pPr>
              <w:spacing w:before="40" w:after="20"/>
              <w:rPr>
                <w:rFonts w:cs="Arial"/>
                <w:sz w:val="18"/>
                <w:szCs w:val="18"/>
              </w:rPr>
            </w:pPr>
            <w:r w:rsidRPr="001D41EA">
              <w:rPr>
                <w:rFonts w:cs="Arial"/>
                <w:sz w:val="18"/>
                <w:szCs w:val="18"/>
              </w:rPr>
              <w:t>Pyrenees S</w:t>
            </w:r>
          </w:p>
        </w:tc>
        <w:tc>
          <w:tcPr>
            <w:tcW w:w="851" w:type="dxa"/>
            <w:tcBorders>
              <w:top w:val="nil"/>
              <w:left w:val="single" w:sz="18" w:space="0" w:color="5F497A" w:themeColor="accent4" w:themeShade="BF"/>
              <w:bottom w:val="nil"/>
              <w:right w:val="nil"/>
            </w:tcBorders>
            <w:shd w:val="clear" w:color="auto" w:fill="auto"/>
            <w:vAlign w:val="bottom"/>
          </w:tcPr>
          <w:p w14:paraId="0C3541F1" w14:textId="32CD885C" w:rsidR="005146A4" w:rsidRPr="001D41EA" w:rsidRDefault="005146A4" w:rsidP="001D41EA">
            <w:pPr>
              <w:spacing w:before="40" w:after="20"/>
              <w:jc w:val="center"/>
              <w:rPr>
                <w:rFonts w:cs="Arial"/>
                <w:sz w:val="18"/>
                <w:szCs w:val="18"/>
              </w:rPr>
            </w:pPr>
            <w:r w:rsidRPr="001D41EA">
              <w:rPr>
                <w:rFonts w:cs="Arial"/>
                <w:sz w:val="18"/>
                <w:szCs w:val="18"/>
              </w:rPr>
              <w:t>1.161</w:t>
            </w:r>
          </w:p>
        </w:tc>
        <w:tc>
          <w:tcPr>
            <w:tcW w:w="851" w:type="dxa"/>
            <w:tcBorders>
              <w:top w:val="nil"/>
              <w:left w:val="nil"/>
              <w:bottom w:val="nil"/>
              <w:right w:val="nil"/>
            </w:tcBorders>
            <w:shd w:val="clear" w:color="auto" w:fill="auto"/>
            <w:vAlign w:val="bottom"/>
          </w:tcPr>
          <w:p w14:paraId="722F7D4F" w14:textId="11F4FF93" w:rsidR="005146A4" w:rsidRPr="001D41EA" w:rsidRDefault="005146A4" w:rsidP="001D41EA">
            <w:pPr>
              <w:spacing w:before="40" w:after="20"/>
              <w:jc w:val="center"/>
              <w:rPr>
                <w:rFonts w:cs="Arial"/>
                <w:sz w:val="18"/>
                <w:szCs w:val="18"/>
              </w:rPr>
            </w:pPr>
            <w:r w:rsidRPr="001D41EA">
              <w:rPr>
                <w:rFonts w:cs="Arial"/>
                <w:sz w:val="18"/>
                <w:szCs w:val="18"/>
              </w:rPr>
              <w:t>1.062</w:t>
            </w:r>
          </w:p>
        </w:tc>
        <w:tc>
          <w:tcPr>
            <w:tcW w:w="851" w:type="dxa"/>
            <w:tcBorders>
              <w:top w:val="nil"/>
              <w:left w:val="nil"/>
              <w:bottom w:val="nil"/>
              <w:right w:val="nil"/>
            </w:tcBorders>
            <w:shd w:val="clear" w:color="auto" w:fill="auto"/>
            <w:vAlign w:val="bottom"/>
          </w:tcPr>
          <w:p w14:paraId="22E739D6" w14:textId="7EFD6F2F" w:rsidR="005146A4" w:rsidRPr="001D41EA" w:rsidRDefault="005146A4" w:rsidP="001D41EA">
            <w:pPr>
              <w:spacing w:before="40" w:after="20"/>
              <w:jc w:val="center"/>
              <w:rPr>
                <w:rFonts w:cs="Arial"/>
                <w:sz w:val="18"/>
                <w:szCs w:val="18"/>
              </w:rPr>
            </w:pPr>
            <w:r w:rsidRPr="001D41EA">
              <w:rPr>
                <w:rFonts w:cs="Arial"/>
                <w:sz w:val="18"/>
                <w:szCs w:val="18"/>
              </w:rPr>
              <w:t>1.135</w:t>
            </w:r>
          </w:p>
        </w:tc>
        <w:tc>
          <w:tcPr>
            <w:tcW w:w="851" w:type="dxa"/>
            <w:tcBorders>
              <w:top w:val="nil"/>
              <w:left w:val="nil"/>
              <w:bottom w:val="nil"/>
              <w:right w:val="nil"/>
            </w:tcBorders>
            <w:shd w:val="clear" w:color="auto" w:fill="auto"/>
            <w:vAlign w:val="bottom"/>
          </w:tcPr>
          <w:p w14:paraId="1BA27D38" w14:textId="5B9F5489" w:rsidR="005146A4" w:rsidRPr="001D41EA" w:rsidRDefault="005146A4" w:rsidP="001D41EA">
            <w:pPr>
              <w:spacing w:before="40" w:after="20"/>
              <w:jc w:val="center"/>
              <w:rPr>
                <w:rFonts w:cs="Arial"/>
                <w:sz w:val="18"/>
                <w:szCs w:val="18"/>
              </w:rPr>
            </w:pPr>
            <w:r w:rsidRPr="001D41EA">
              <w:rPr>
                <w:rFonts w:cs="Arial"/>
                <w:sz w:val="18"/>
                <w:szCs w:val="18"/>
              </w:rPr>
              <w:t>0.986</w:t>
            </w:r>
          </w:p>
        </w:tc>
        <w:tc>
          <w:tcPr>
            <w:tcW w:w="851" w:type="dxa"/>
            <w:tcBorders>
              <w:top w:val="nil"/>
              <w:left w:val="nil"/>
              <w:bottom w:val="nil"/>
              <w:right w:val="nil"/>
            </w:tcBorders>
            <w:shd w:val="clear" w:color="auto" w:fill="auto"/>
            <w:vAlign w:val="bottom"/>
          </w:tcPr>
          <w:p w14:paraId="43AA82D8" w14:textId="0A7AEC5B" w:rsidR="005146A4" w:rsidRPr="001D41EA" w:rsidRDefault="005146A4" w:rsidP="001D41EA">
            <w:pPr>
              <w:spacing w:before="40" w:after="20"/>
              <w:jc w:val="center"/>
              <w:rPr>
                <w:rFonts w:cs="Arial"/>
                <w:sz w:val="18"/>
                <w:szCs w:val="18"/>
              </w:rPr>
            </w:pPr>
            <w:r w:rsidRPr="001D41EA">
              <w:rPr>
                <w:rFonts w:cs="Arial"/>
                <w:sz w:val="18"/>
                <w:szCs w:val="18"/>
              </w:rPr>
              <w:t>1.240</w:t>
            </w:r>
          </w:p>
        </w:tc>
        <w:tc>
          <w:tcPr>
            <w:tcW w:w="851" w:type="dxa"/>
            <w:tcBorders>
              <w:top w:val="nil"/>
              <w:left w:val="nil"/>
              <w:bottom w:val="nil"/>
              <w:right w:val="nil"/>
            </w:tcBorders>
            <w:shd w:val="clear" w:color="auto" w:fill="auto"/>
            <w:vAlign w:val="bottom"/>
          </w:tcPr>
          <w:p w14:paraId="7F6A6677" w14:textId="28CA17B5" w:rsidR="005146A4" w:rsidRPr="001D41EA" w:rsidRDefault="005146A4" w:rsidP="001D41EA">
            <w:pPr>
              <w:spacing w:before="40" w:after="20"/>
              <w:jc w:val="center"/>
              <w:rPr>
                <w:rFonts w:cs="Arial"/>
                <w:sz w:val="18"/>
                <w:szCs w:val="18"/>
              </w:rPr>
            </w:pPr>
            <w:r w:rsidRPr="001D41EA">
              <w:rPr>
                <w:rFonts w:cs="Arial"/>
                <w:sz w:val="18"/>
                <w:szCs w:val="18"/>
              </w:rPr>
              <w:t>0.989</w:t>
            </w:r>
          </w:p>
        </w:tc>
        <w:tc>
          <w:tcPr>
            <w:tcW w:w="851" w:type="dxa"/>
            <w:tcBorders>
              <w:top w:val="nil"/>
              <w:left w:val="nil"/>
              <w:bottom w:val="nil"/>
              <w:right w:val="nil"/>
            </w:tcBorders>
            <w:shd w:val="clear" w:color="auto" w:fill="auto"/>
            <w:vAlign w:val="bottom"/>
          </w:tcPr>
          <w:p w14:paraId="2FE9E6CE" w14:textId="6BFC3A84" w:rsidR="005146A4" w:rsidRPr="001D41EA" w:rsidRDefault="005146A4" w:rsidP="001D41EA">
            <w:pPr>
              <w:spacing w:before="40" w:after="20"/>
              <w:jc w:val="center"/>
              <w:rPr>
                <w:rFonts w:cs="Arial"/>
                <w:sz w:val="18"/>
                <w:szCs w:val="18"/>
              </w:rPr>
            </w:pPr>
            <w:r w:rsidRPr="001D41EA">
              <w:rPr>
                <w:rFonts w:cs="Arial"/>
                <w:sz w:val="18"/>
                <w:szCs w:val="18"/>
              </w:rPr>
              <w:t>1.374</w:t>
            </w:r>
          </w:p>
        </w:tc>
        <w:tc>
          <w:tcPr>
            <w:tcW w:w="851" w:type="dxa"/>
            <w:tcBorders>
              <w:top w:val="nil"/>
              <w:left w:val="nil"/>
              <w:bottom w:val="nil"/>
              <w:right w:val="nil"/>
            </w:tcBorders>
            <w:shd w:val="clear" w:color="auto" w:fill="auto"/>
            <w:vAlign w:val="bottom"/>
          </w:tcPr>
          <w:p w14:paraId="3B48452D" w14:textId="465DC9E5" w:rsidR="005146A4" w:rsidRPr="001D41EA" w:rsidRDefault="005146A4" w:rsidP="001D41EA">
            <w:pPr>
              <w:spacing w:before="40" w:after="20"/>
              <w:jc w:val="center"/>
              <w:rPr>
                <w:rFonts w:cs="Arial"/>
                <w:sz w:val="18"/>
                <w:szCs w:val="18"/>
              </w:rPr>
            </w:pPr>
            <w:r w:rsidRPr="001D41EA">
              <w:rPr>
                <w:rFonts w:cs="Arial"/>
                <w:sz w:val="18"/>
                <w:szCs w:val="18"/>
              </w:rPr>
              <w:t>1.090</w:t>
            </w:r>
          </w:p>
        </w:tc>
      </w:tr>
      <w:tr w:rsidR="005146A4" w:rsidRPr="001D41EA" w14:paraId="4B883CD2"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3C547DE5" w14:textId="77777777" w:rsidR="005146A4" w:rsidRPr="001D41EA" w:rsidRDefault="005146A4" w:rsidP="001D41EA">
            <w:pPr>
              <w:spacing w:before="40" w:after="20"/>
              <w:rPr>
                <w:rFonts w:cs="Arial"/>
                <w:sz w:val="18"/>
                <w:szCs w:val="18"/>
              </w:rPr>
            </w:pPr>
            <w:r w:rsidRPr="001D41EA">
              <w:rPr>
                <w:rFonts w:cs="Arial"/>
                <w:sz w:val="18"/>
                <w:szCs w:val="18"/>
              </w:rPr>
              <w:t>Queenscliffe B</w:t>
            </w:r>
          </w:p>
        </w:tc>
        <w:tc>
          <w:tcPr>
            <w:tcW w:w="851" w:type="dxa"/>
            <w:tcBorders>
              <w:top w:val="nil"/>
              <w:left w:val="single" w:sz="18" w:space="0" w:color="5F497A" w:themeColor="accent4" w:themeShade="BF"/>
              <w:bottom w:val="nil"/>
              <w:right w:val="nil"/>
            </w:tcBorders>
            <w:shd w:val="clear" w:color="auto" w:fill="auto"/>
            <w:vAlign w:val="bottom"/>
          </w:tcPr>
          <w:p w14:paraId="106E80ED" w14:textId="17173E6B" w:rsidR="005146A4" w:rsidRPr="001D41EA" w:rsidRDefault="005146A4" w:rsidP="001D41EA">
            <w:pPr>
              <w:spacing w:before="40" w:after="20"/>
              <w:jc w:val="center"/>
              <w:rPr>
                <w:rFonts w:cs="Arial"/>
                <w:sz w:val="18"/>
                <w:szCs w:val="18"/>
              </w:rPr>
            </w:pPr>
            <w:r w:rsidRPr="001D41EA">
              <w:rPr>
                <w:rFonts w:cs="Arial"/>
                <w:sz w:val="18"/>
                <w:szCs w:val="18"/>
              </w:rPr>
              <w:t>0.967</w:t>
            </w:r>
          </w:p>
        </w:tc>
        <w:tc>
          <w:tcPr>
            <w:tcW w:w="851" w:type="dxa"/>
            <w:tcBorders>
              <w:top w:val="nil"/>
              <w:left w:val="nil"/>
              <w:bottom w:val="nil"/>
              <w:right w:val="nil"/>
            </w:tcBorders>
            <w:shd w:val="clear" w:color="auto" w:fill="auto"/>
            <w:vAlign w:val="bottom"/>
          </w:tcPr>
          <w:p w14:paraId="7A54C98E" w14:textId="71C25BBF" w:rsidR="005146A4" w:rsidRPr="001D41EA" w:rsidRDefault="005146A4" w:rsidP="001D41EA">
            <w:pPr>
              <w:spacing w:before="40" w:after="20"/>
              <w:jc w:val="center"/>
              <w:rPr>
                <w:rFonts w:cs="Arial"/>
                <w:sz w:val="18"/>
                <w:szCs w:val="18"/>
              </w:rPr>
            </w:pPr>
            <w:r w:rsidRPr="001D41EA">
              <w:rPr>
                <w:rFonts w:cs="Arial"/>
                <w:sz w:val="18"/>
                <w:szCs w:val="18"/>
              </w:rPr>
              <w:t>0.793</w:t>
            </w:r>
          </w:p>
        </w:tc>
        <w:tc>
          <w:tcPr>
            <w:tcW w:w="851" w:type="dxa"/>
            <w:tcBorders>
              <w:top w:val="nil"/>
              <w:left w:val="nil"/>
              <w:bottom w:val="nil"/>
              <w:right w:val="nil"/>
            </w:tcBorders>
            <w:shd w:val="clear" w:color="auto" w:fill="auto"/>
            <w:vAlign w:val="bottom"/>
          </w:tcPr>
          <w:p w14:paraId="21C5350A" w14:textId="4846962A" w:rsidR="005146A4" w:rsidRPr="001D41EA" w:rsidRDefault="005146A4" w:rsidP="001D41EA">
            <w:pPr>
              <w:spacing w:before="40" w:after="20"/>
              <w:jc w:val="center"/>
              <w:rPr>
                <w:rFonts w:cs="Arial"/>
                <w:sz w:val="18"/>
                <w:szCs w:val="18"/>
              </w:rPr>
            </w:pPr>
            <w:r w:rsidRPr="001D41EA">
              <w:rPr>
                <w:rFonts w:cs="Arial"/>
                <w:sz w:val="18"/>
                <w:szCs w:val="18"/>
              </w:rPr>
              <w:t>0.850</w:t>
            </w:r>
          </w:p>
        </w:tc>
        <w:tc>
          <w:tcPr>
            <w:tcW w:w="851" w:type="dxa"/>
            <w:tcBorders>
              <w:top w:val="nil"/>
              <w:left w:val="nil"/>
              <w:bottom w:val="nil"/>
              <w:right w:val="nil"/>
            </w:tcBorders>
            <w:shd w:val="clear" w:color="auto" w:fill="auto"/>
            <w:vAlign w:val="bottom"/>
          </w:tcPr>
          <w:p w14:paraId="25907C34" w14:textId="56FB92C3" w:rsidR="005146A4" w:rsidRPr="001D41EA" w:rsidRDefault="005146A4" w:rsidP="001D41EA">
            <w:pPr>
              <w:spacing w:before="40" w:after="20"/>
              <w:jc w:val="center"/>
              <w:rPr>
                <w:rFonts w:cs="Arial"/>
                <w:sz w:val="18"/>
                <w:szCs w:val="18"/>
              </w:rPr>
            </w:pPr>
            <w:r w:rsidRPr="001D41EA">
              <w:rPr>
                <w:rFonts w:cs="Arial"/>
                <w:sz w:val="18"/>
                <w:szCs w:val="18"/>
              </w:rPr>
              <w:t>1.226</w:t>
            </w:r>
          </w:p>
        </w:tc>
        <w:tc>
          <w:tcPr>
            <w:tcW w:w="851" w:type="dxa"/>
            <w:tcBorders>
              <w:top w:val="nil"/>
              <w:left w:val="nil"/>
              <w:bottom w:val="nil"/>
              <w:right w:val="nil"/>
            </w:tcBorders>
            <w:shd w:val="clear" w:color="auto" w:fill="auto"/>
            <w:vAlign w:val="bottom"/>
          </w:tcPr>
          <w:p w14:paraId="32F999E1" w14:textId="0C3A23F3" w:rsidR="005146A4" w:rsidRPr="001D41EA" w:rsidRDefault="005146A4" w:rsidP="001D41EA">
            <w:pPr>
              <w:spacing w:before="40" w:after="20"/>
              <w:jc w:val="center"/>
              <w:rPr>
                <w:rFonts w:cs="Arial"/>
                <w:sz w:val="18"/>
                <w:szCs w:val="18"/>
              </w:rPr>
            </w:pPr>
            <w:r w:rsidRPr="001D41EA">
              <w:rPr>
                <w:rFonts w:cs="Arial"/>
                <w:sz w:val="18"/>
                <w:szCs w:val="18"/>
              </w:rPr>
              <w:t>1.112</w:t>
            </w:r>
          </w:p>
        </w:tc>
        <w:tc>
          <w:tcPr>
            <w:tcW w:w="851" w:type="dxa"/>
            <w:tcBorders>
              <w:top w:val="nil"/>
              <w:left w:val="nil"/>
              <w:bottom w:val="nil"/>
              <w:right w:val="nil"/>
            </w:tcBorders>
            <w:shd w:val="clear" w:color="auto" w:fill="auto"/>
            <w:vAlign w:val="bottom"/>
          </w:tcPr>
          <w:p w14:paraId="2C910F0D" w14:textId="2D81E457" w:rsidR="005146A4" w:rsidRPr="001D41EA" w:rsidRDefault="005146A4" w:rsidP="001D41EA">
            <w:pPr>
              <w:spacing w:before="40" w:after="20"/>
              <w:jc w:val="center"/>
              <w:rPr>
                <w:rFonts w:cs="Arial"/>
                <w:sz w:val="18"/>
                <w:szCs w:val="18"/>
              </w:rPr>
            </w:pPr>
            <w:r w:rsidRPr="001D41EA">
              <w:rPr>
                <w:rFonts w:cs="Arial"/>
                <w:sz w:val="18"/>
                <w:szCs w:val="18"/>
              </w:rPr>
              <w:t>1.131</w:t>
            </w:r>
          </w:p>
        </w:tc>
        <w:tc>
          <w:tcPr>
            <w:tcW w:w="851" w:type="dxa"/>
            <w:tcBorders>
              <w:top w:val="nil"/>
              <w:left w:val="nil"/>
              <w:bottom w:val="nil"/>
              <w:right w:val="nil"/>
            </w:tcBorders>
            <w:shd w:val="clear" w:color="auto" w:fill="auto"/>
            <w:vAlign w:val="bottom"/>
          </w:tcPr>
          <w:p w14:paraId="53FB360B" w14:textId="6B21A6E2" w:rsidR="005146A4" w:rsidRPr="001D41EA" w:rsidRDefault="005146A4" w:rsidP="001D41EA">
            <w:pPr>
              <w:spacing w:before="40" w:after="20"/>
              <w:jc w:val="center"/>
              <w:rPr>
                <w:rFonts w:cs="Arial"/>
                <w:sz w:val="18"/>
                <w:szCs w:val="18"/>
              </w:rPr>
            </w:pPr>
            <w:r w:rsidRPr="001D41EA">
              <w:rPr>
                <w:rFonts w:cs="Arial"/>
                <w:sz w:val="18"/>
                <w:szCs w:val="18"/>
              </w:rPr>
              <w:t>1.148</w:t>
            </w:r>
          </w:p>
        </w:tc>
        <w:tc>
          <w:tcPr>
            <w:tcW w:w="851" w:type="dxa"/>
            <w:tcBorders>
              <w:top w:val="nil"/>
              <w:left w:val="nil"/>
              <w:bottom w:val="nil"/>
              <w:right w:val="nil"/>
            </w:tcBorders>
            <w:shd w:val="clear" w:color="auto" w:fill="auto"/>
            <w:vAlign w:val="bottom"/>
          </w:tcPr>
          <w:p w14:paraId="67553968" w14:textId="050C1EAC" w:rsidR="005146A4" w:rsidRPr="001D41EA" w:rsidRDefault="005146A4" w:rsidP="001D41EA">
            <w:pPr>
              <w:spacing w:before="40" w:after="20"/>
              <w:jc w:val="center"/>
              <w:rPr>
                <w:rFonts w:cs="Arial"/>
                <w:sz w:val="18"/>
                <w:szCs w:val="18"/>
              </w:rPr>
            </w:pPr>
            <w:r w:rsidRPr="001D41EA">
              <w:rPr>
                <w:rFonts w:cs="Arial"/>
                <w:sz w:val="18"/>
                <w:szCs w:val="18"/>
              </w:rPr>
              <w:t>1.213</w:t>
            </w:r>
          </w:p>
        </w:tc>
      </w:tr>
      <w:tr w:rsidR="005146A4" w:rsidRPr="001D41EA" w14:paraId="003B0FDA"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44922FA9" w14:textId="77777777" w:rsidR="005146A4" w:rsidRPr="001D41EA" w:rsidRDefault="005146A4" w:rsidP="001D41EA">
            <w:pPr>
              <w:spacing w:before="40" w:after="20"/>
              <w:rPr>
                <w:rFonts w:cs="Arial"/>
                <w:sz w:val="18"/>
                <w:szCs w:val="18"/>
              </w:rPr>
            </w:pPr>
            <w:r w:rsidRPr="001D41EA">
              <w:rPr>
                <w:rFonts w:cs="Arial"/>
                <w:sz w:val="18"/>
                <w:szCs w:val="18"/>
              </w:rPr>
              <w:t>South Gippsland S</w:t>
            </w:r>
          </w:p>
        </w:tc>
        <w:tc>
          <w:tcPr>
            <w:tcW w:w="851" w:type="dxa"/>
            <w:tcBorders>
              <w:top w:val="nil"/>
              <w:left w:val="single" w:sz="18" w:space="0" w:color="5F497A" w:themeColor="accent4" w:themeShade="BF"/>
              <w:bottom w:val="nil"/>
              <w:right w:val="nil"/>
            </w:tcBorders>
            <w:shd w:val="clear" w:color="auto" w:fill="auto"/>
            <w:vAlign w:val="bottom"/>
          </w:tcPr>
          <w:p w14:paraId="373B4B66" w14:textId="3D01559F" w:rsidR="005146A4" w:rsidRPr="001D41EA" w:rsidRDefault="005146A4" w:rsidP="001D41EA">
            <w:pPr>
              <w:spacing w:before="40" w:after="20"/>
              <w:jc w:val="center"/>
              <w:rPr>
                <w:rFonts w:cs="Arial"/>
                <w:sz w:val="18"/>
                <w:szCs w:val="18"/>
              </w:rPr>
            </w:pPr>
            <w:r w:rsidRPr="001D41EA">
              <w:rPr>
                <w:rFonts w:cs="Arial"/>
                <w:sz w:val="18"/>
                <w:szCs w:val="18"/>
              </w:rPr>
              <w:t>1.132</w:t>
            </w:r>
          </w:p>
        </w:tc>
        <w:tc>
          <w:tcPr>
            <w:tcW w:w="851" w:type="dxa"/>
            <w:tcBorders>
              <w:top w:val="nil"/>
              <w:left w:val="nil"/>
              <w:bottom w:val="nil"/>
              <w:right w:val="nil"/>
            </w:tcBorders>
            <w:shd w:val="clear" w:color="auto" w:fill="auto"/>
            <w:vAlign w:val="bottom"/>
          </w:tcPr>
          <w:p w14:paraId="78C85C32" w14:textId="773E83E2" w:rsidR="005146A4" w:rsidRPr="001D41EA" w:rsidRDefault="005146A4" w:rsidP="001D41EA">
            <w:pPr>
              <w:spacing w:before="40" w:after="20"/>
              <w:jc w:val="center"/>
              <w:rPr>
                <w:rFonts w:cs="Arial"/>
                <w:sz w:val="18"/>
                <w:szCs w:val="18"/>
              </w:rPr>
            </w:pPr>
            <w:r w:rsidRPr="001D41EA">
              <w:rPr>
                <w:rFonts w:cs="Arial"/>
                <w:sz w:val="18"/>
                <w:szCs w:val="18"/>
              </w:rPr>
              <w:t>1.028</w:t>
            </w:r>
          </w:p>
        </w:tc>
        <w:tc>
          <w:tcPr>
            <w:tcW w:w="851" w:type="dxa"/>
            <w:tcBorders>
              <w:top w:val="nil"/>
              <w:left w:val="nil"/>
              <w:bottom w:val="nil"/>
              <w:right w:val="nil"/>
            </w:tcBorders>
            <w:shd w:val="clear" w:color="auto" w:fill="auto"/>
            <w:vAlign w:val="bottom"/>
          </w:tcPr>
          <w:p w14:paraId="3985E9B1" w14:textId="34566E1D" w:rsidR="005146A4" w:rsidRPr="001D41EA" w:rsidRDefault="005146A4" w:rsidP="001D41EA">
            <w:pPr>
              <w:spacing w:before="40" w:after="20"/>
              <w:jc w:val="center"/>
              <w:rPr>
                <w:rFonts w:cs="Arial"/>
                <w:sz w:val="18"/>
                <w:szCs w:val="18"/>
              </w:rPr>
            </w:pPr>
            <w:r w:rsidRPr="001D41EA">
              <w:rPr>
                <w:rFonts w:cs="Arial"/>
                <w:sz w:val="18"/>
                <w:szCs w:val="18"/>
              </w:rPr>
              <w:t>1.083</w:t>
            </w:r>
          </w:p>
        </w:tc>
        <w:tc>
          <w:tcPr>
            <w:tcW w:w="851" w:type="dxa"/>
            <w:tcBorders>
              <w:top w:val="nil"/>
              <w:left w:val="nil"/>
              <w:bottom w:val="nil"/>
              <w:right w:val="nil"/>
            </w:tcBorders>
            <w:shd w:val="clear" w:color="auto" w:fill="auto"/>
            <w:vAlign w:val="bottom"/>
          </w:tcPr>
          <w:p w14:paraId="61630B22" w14:textId="72CB0F7F" w:rsidR="005146A4" w:rsidRPr="001D41EA" w:rsidRDefault="005146A4" w:rsidP="001D41EA">
            <w:pPr>
              <w:spacing w:before="40" w:after="20"/>
              <w:jc w:val="center"/>
              <w:rPr>
                <w:rFonts w:cs="Arial"/>
                <w:sz w:val="18"/>
                <w:szCs w:val="18"/>
              </w:rPr>
            </w:pPr>
            <w:r w:rsidRPr="001D41EA">
              <w:rPr>
                <w:rFonts w:cs="Arial"/>
                <w:sz w:val="18"/>
                <w:szCs w:val="18"/>
              </w:rPr>
              <w:t>1.075</w:t>
            </w:r>
          </w:p>
        </w:tc>
        <w:tc>
          <w:tcPr>
            <w:tcW w:w="851" w:type="dxa"/>
            <w:tcBorders>
              <w:top w:val="nil"/>
              <w:left w:val="nil"/>
              <w:bottom w:val="nil"/>
              <w:right w:val="nil"/>
            </w:tcBorders>
            <w:shd w:val="clear" w:color="auto" w:fill="auto"/>
            <w:vAlign w:val="bottom"/>
          </w:tcPr>
          <w:p w14:paraId="2FAEFD68" w14:textId="731E677B" w:rsidR="005146A4" w:rsidRPr="001D41EA" w:rsidRDefault="005146A4" w:rsidP="001D41EA">
            <w:pPr>
              <w:spacing w:before="40" w:after="20"/>
              <w:jc w:val="center"/>
              <w:rPr>
                <w:rFonts w:cs="Arial"/>
                <w:sz w:val="18"/>
                <w:szCs w:val="18"/>
              </w:rPr>
            </w:pPr>
            <w:r w:rsidRPr="001D41EA">
              <w:rPr>
                <w:rFonts w:cs="Arial"/>
                <w:sz w:val="18"/>
                <w:szCs w:val="18"/>
              </w:rPr>
              <w:t>1.232</w:t>
            </w:r>
          </w:p>
        </w:tc>
        <w:tc>
          <w:tcPr>
            <w:tcW w:w="851" w:type="dxa"/>
            <w:tcBorders>
              <w:top w:val="nil"/>
              <w:left w:val="nil"/>
              <w:bottom w:val="nil"/>
              <w:right w:val="nil"/>
            </w:tcBorders>
            <w:shd w:val="clear" w:color="auto" w:fill="auto"/>
            <w:vAlign w:val="bottom"/>
          </w:tcPr>
          <w:p w14:paraId="673C4164" w14:textId="7074CCB2" w:rsidR="005146A4" w:rsidRPr="001D41EA" w:rsidRDefault="005146A4" w:rsidP="001D41EA">
            <w:pPr>
              <w:spacing w:before="40" w:after="20"/>
              <w:jc w:val="center"/>
              <w:rPr>
                <w:rFonts w:cs="Arial"/>
                <w:sz w:val="18"/>
                <w:szCs w:val="18"/>
              </w:rPr>
            </w:pPr>
            <w:r w:rsidRPr="001D41EA">
              <w:rPr>
                <w:rFonts w:cs="Arial"/>
                <w:sz w:val="18"/>
                <w:szCs w:val="18"/>
              </w:rPr>
              <w:t>1.040</w:t>
            </w:r>
          </w:p>
        </w:tc>
        <w:tc>
          <w:tcPr>
            <w:tcW w:w="851" w:type="dxa"/>
            <w:tcBorders>
              <w:top w:val="nil"/>
              <w:left w:val="nil"/>
              <w:bottom w:val="nil"/>
              <w:right w:val="nil"/>
            </w:tcBorders>
            <w:shd w:val="clear" w:color="auto" w:fill="auto"/>
            <w:vAlign w:val="bottom"/>
          </w:tcPr>
          <w:p w14:paraId="0DA58587" w14:textId="4BDDC1F9" w:rsidR="005146A4" w:rsidRPr="001D41EA" w:rsidRDefault="005146A4" w:rsidP="001D41EA">
            <w:pPr>
              <w:spacing w:before="40" w:after="20"/>
              <w:jc w:val="center"/>
              <w:rPr>
                <w:rFonts w:cs="Arial"/>
                <w:sz w:val="18"/>
                <w:szCs w:val="18"/>
              </w:rPr>
            </w:pPr>
            <w:r w:rsidRPr="001D41EA">
              <w:rPr>
                <w:rFonts w:cs="Arial"/>
                <w:sz w:val="18"/>
                <w:szCs w:val="18"/>
              </w:rPr>
              <w:t>1.179</w:t>
            </w:r>
          </w:p>
        </w:tc>
        <w:tc>
          <w:tcPr>
            <w:tcW w:w="851" w:type="dxa"/>
            <w:tcBorders>
              <w:top w:val="nil"/>
              <w:left w:val="nil"/>
              <w:bottom w:val="nil"/>
              <w:right w:val="nil"/>
            </w:tcBorders>
            <w:shd w:val="clear" w:color="auto" w:fill="auto"/>
            <w:vAlign w:val="bottom"/>
          </w:tcPr>
          <w:p w14:paraId="22004A9C" w14:textId="15674A4C" w:rsidR="005146A4" w:rsidRPr="001D41EA" w:rsidRDefault="005146A4" w:rsidP="001D41EA">
            <w:pPr>
              <w:spacing w:before="40" w:after="20"/>
              <w:jc w:val="center"/>
              <w:rPr>
                <w:rFonts w:cs="Arial"/>
                <w:sz w:val="18"/>
                <w:szCs w:val="18"/>
              </w:rPr>
            </w:pPr>
            <w:r w:rsidRPr="001D41EA">
              <w:rPr>
                <w:rFonts w:cs="Arial"/>
                <w:sz w:val="18"/>
                <w:szCs w:val="18"/>
              </w:rPr>
              <w:t>1.143</w:t>
            </w:r>
          </w:p>
        </w:tc>
      </w:tr>
      <w:tr w:rsidR="005146A4" w:rsidRPr="001D41EA" w14:paraId="1F62CAA8"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4DBD51D" w14:textId="77777777" w:rsidR="005146A4" w:rsidRPr="001D41EA" w:rsidRDefault="005146A4" w:rsidP="001D41EA">
            <w:pPr>
              <w:spacing w:before="40" w:after="20"/>
              <w:rPr>
                <w:rFonts w:cs="Arial"/>
                <w:sz w:val="18"/>
                <w:szCs w:val="18"/>
              </w:rPr>
            </w:pPr>
            <w:r w:rsidRPr="001D41EA">
              <w:rPr>
                <w:rFonts w:cs="Arial"/>
                <w:sz w:val="18"/>
                <w:szCs w:val="18"/>
              </w:rPr>
              <w:t>Southern Grampians S</w:t>
            </w:r>
          </w:p>
        </w:tc>
        <w:tc>
          <w:tcPr>
            <w:tcW w:w="851" w:type="dxa"/>
            <w:tcBorders>
              <w:top w:val="nil"/>
              <w:left w:val="single" w:sz="18" w:space="0" w:color="5F497A" w:themeColor="accent4" w:themeShade="BF"/>
              <w:bottom w:val="nil"/>
              <w:right w:val="nil"/>
            </w:tcBorders>
            <w:shd w:val="clear" w:color="auto" w:fill="auto"/>
            <w:vAlign w:val="bottom"/>
          </w:tcPr>
          <w:p w14:paraId="308BBF36" w14:textId="3699FB1C" w:rsidR="005146A4" w:rsidRPr="001D41EA" w:rsidRDefault="005146A4" w:rsidP="001D41EA">
            <w:pPr>
              <w:spacing w:before="40" w:after="20"/>
              <w:jc w:val="center"/>
              <w:rPr>
                <w:rFonts w:cs="Arial"/>
                <w:sz w:val="18"/>
                <w:szCs w:val="18"/>
              </w:rPr>
            </w:pPr>
            <w:r w:rsidRPr="001D41EA">
              <w:rPr>
                <w:rFonts w:cs="Arial"/>
                <w:sz w:val="18"/>
                <w:szCs w:val="18"/>
              </w:rPr>
              <w:t>1.152</w:t>
            </w:r>
          </w:p>
        </w:tc>
        <w:tc>
          <w:tcPr>
            <w:tcW w:w="851" w:type="dxa"/>
            <w:tcBorders>
              <w:top w:val="nil"/>
              <w:left w:val="nil"/>
              <w:bottom w:val="nil"/>
              <w:right w:val="nil"/>
            </w:tcBorders>
            <w:shd w:val="clear" w:color="auto" w:fill="auto"/>
            <w:vAlign w:val="bottom"/>
          </w:tcPr>
          <w:p w14:paraId="7C333E46" w14:textId="4C432F2C" w:rsidR="005146A4" w:rsidRPr="001D41EA" w:rsidRDefault="005146A4" w:rsidP="001D41EA">
            <w:pPr>
              <w:spacing w:before="40" w:after="20"/>
              <w:jc w:val="center"/>
              <w:rPr>
                <w:rFonts w:cs="Arial"/>
                <w:sz w:val="18"/>
                <w:szCs w:val="18"/>
              </w:rPr>
            </w:pPr>
            <w:r w:rsidRPr="001D41EA">
              <w:rPr>
                <w:rFonts w:cs="Arial"/>
                <w:sz w:val="18"/>
                <w:szCs w:val="18"/>
              </w:rPr>
              <w:t>0.986</w:t>
            </w:r>
          </w:p>
        </w:tc>
        <w:tc>
          <w:tcPr>
            <w:tcW w:w="851" w:type="dxa"/>
            <w:tcBorders>
              <w:top w:val="nil"/>
              <w:left w:val="nil"/>
              <w:bottom w:val="nil"/>
              <w:right w:val="nil"/>
            </w:tcBorders>
            <w:shd w:val="clear" w:color="auto" w:fill="auto"/>
            <w:vAlign w:val="bottom"/>
          </w:tcPr>
          <w:p w14:paraId="54E90475" w14:textId="48758832" w:rsidR="005146A4" w:rsidRPr="001D41EA" w:rsidRDefault="005146A4" w:rsidP="001D41EA">
            <w:pPr>
              <w:spacing w:before="40" w:after="20"/>
              <w:jc w:val="center"/>
              <w:rPr>
                <w:rFonts w:cs="Arial"/>
                <w:sz w:val="18"/>
                <w:szCs w:val="18"/>
              </w:rPr>
            </w:pPr>
            <w:r w:rsidRPr="001D41EA">
              <w:rPr>
                <w:rFonts w:cs="Arial"/>
                <w:sz w:val="18"/>
                <w:szCs w:val="18"/>
              </w:rPr>
              <w:t>1.041</w:t>
            </w:r>
          </w:p>
        </w:tc>
        <w:tc>
          <w:tcPr>
            <w:tcW w:w="851" w:type="dxa"/>
            <w:tcBorders>
              <w:top w:val="nil"/>
              <w:left w:val="nil"/>
              <w:bottom w:val="nil"/>
              <w:right w:val="nil"/>
            </w:tcBorders>
            <w:shd w:val="clear" w:color="auto" w:fill="auto"/>
            <w:vAlign w:val="bottom"/>
          </w:tcPr>
          <w:p w14:paraId="0A5CCE41" w14:textId="5FF6BE81" w:rsidR="005146A4" w:rsidRPr="001D41EA" w:rsidRDefault="005146A4" w:rsidP="001D41EA">
            <w:pPr>
              <w:spacing w:before="40" w:after="20"/>
              <w:jc w:val="center"/>
              <w:rPr>
                <w:rFonts w:cs="Arial"/>
                <w:sz w:val="18"/>
                <w:szCs w:val="18"/>
              </w:rPr>
            </w:pPr>
            <w:r w:rsidRPr="001D41EA">
              <w:rPr>
                <w:rFonts w:cs="Arial"/>
                <w:sz w:val="18"/>
                <w:szCs w:val="18"/>
              </w:rPr>
              <w:t>1.067</w:t>
            </w:r>
          </w:p>
        </w:tc>
        <w:tc>
          <w:tcPr>
            <w:tcW w:w="851" w:type="dxa"/>
            <w:tcBorders>
              <w:top w:val="nil"/>
              <w:left w:val="nil"/>
              <w:bottom w:val="nil"/>
              <w:right w:val="nil"/>
            </w:tcBorders>
            <w:shd w:val="clear" w:color="auto" w:fill="auto"/>
            <w:vAlign w:val="bottom"/>
          </w:tcPr>
          <w:p w14:paraId="25614D9C" w14:textId="17F73AA0" w:rsidR="005146A4" w:rsidRPr="001D41EA" w:rsidRDefault="005146A4" w:rsidP="001D41EA">
            <w:pPr>
              <w:spacing w:before="40" w:after="20"/>
              <w:jc w:val="center"/>
              <w:rPr>
                <w:rFonts w:cs="Arial"/>
                <w:sz w:val="18"/>
                <w:szCs w:val="18"/>
              </w:rPr>
            </w:pPr>
            <w:r w:rsidRPr="001D41EA">
              <w:rPr>
                <w:rFonts w:cs="Arial"/>
                <w:sz w:val="18"/>
                <w:szCs w:val="18"/>
              </w:rPr>
              <w:t>1.169</w:t>
            </w:r>
          </w:p>
        </w:tc>
        <w:tc>
          <w:tcPr>
            <w:tcW w:w="851" w:type="dxa"/>
            <w:tcBorders>
              <w:top w:val="nil"/>
              <w:left w:val="nil"/>
              <w:bottom w:val="nil"/>
              <w:right w:val="nil"/>
            </w:tcBorders>
            <w:shd w:val="clear" w:color="auto" w:fill="auto"/>
            <w:vAlign w:val="bottom"/>
          </w:tcPr>
          <w:p w14:paraId="20EB23C7" w14:textId="0290C4DA" w:rsidR="005146A4" w:rsidRPr="001D41EA" w:rsidRDefault="005146A4" w:rsidP="001D41EA">
            <w:pPr>
              <w:spacing w:before="40" w:after="20"/>
              <w:jc w:val="center"/>
              <w:rPr>
                <w:rFonts w:cs="Arial"/>
                <w:sz w:val="18"/>
                <w:szCs w:val="18"/>
              </w:rPr>
            </w:pPr>
            <w:r w:rsidRPr="001D41EA">
              <w:rPr>
                <w:rFonts w:cs="Arial"/>
                <w:sz w:val="18"/>
                <w:szCs w:val="18"/>
              </w:rPr>
              <w:t>1.032</w:t>
            </w:r>
          </w:p>
        </w:tc>
        <w:tc>
          <w:tcPr>
            <w:tcW w:w="851" w:type="dxa"/>
            <w:tcBorders>
              <w:top w:val="nil"/>
              <w:left w:val="nil"/>
              <w:bottom w:val="nil"/>
              <w:right w:val="nil"/>
            </w:tcBorders>
            <w:shd w:val="clear" w:color="auto" w:fill="auto"/>
            <w:vAlign w:val="bottom"/>
          </w:tcPr>
          <w:p w14:paraId="77C8556B" w14:textId="06DC7F91" w:rsidR="005146A4" w:rsidRPr="001D41EA" w:rsidRDefault="005146A4" w:rsidP="001D41EA">
            <w:pPr>
              <w:spacing w:before="40" w:after="20"/>
              <w:jc w:val="center"/>
              <w:rPr>
                <w:rFonts w:cs="Arial"/>
                <w:sz w:val="18"/>
                <w:szCs w:val="18"/>
              </w:rPr>
            </w:pPr>
            <w:r w:rsidRPr="001D41EA">
              <w:rPr>
                <w:rFonts w:cs="Arial"/>
                <w:sz w:val="18"/>
                <w:szCs w:val="18"/>
              </w:rPr>
              <w:t>1.192</w:t>
            </w:r>
          </w:p>
        </w:tc>
        <w:tc>
          <w:tcPr>
            <w:tcW w:w="851" w:type="dxa"/>
            <w:tcBorders>
              <w:top w:val="nil"/>
              <w:left w:val="nil"/>
              <w:bottom w:val="nil"/>
              <w:right w:val="nil"/>
            </w:tcBorders>
            <w:shd w:val="clear" w:color="auto" w:fill="auto"/>
            <w:vAlign w:val="bottom"/>
          </w:tcPr>
          <w:p w14:paraId="5B81D8B0" w14:textId="5416A323" w:rsidR="005146A4" w:rsidRPr="001D41EA" w:rsidRDefault="005146A4" w:rsidP="001D41EA">
            <w:pPr>
              <w:spacing w:before="40" w:after="20"/>
              <w:jc w:val="center"/>
              <w:rPr>
                <w:rFonts w:cs="Arial"/>
                <w:sz w:val="18"/>
                <w:szCs w:val="18"/>
              </w:rPr>
            </w:pPr>
            <w:r w:rsidRPr="001D41EA">
              <w:rPr>
                <w:rFonts w:cs="Arial"/>
                <w:sz w:val="18"/>
                <w:szCs w:val="18"/>
              </w:rPr>
              <w:t>1.213</w:t>
            </w:r>
          </w:p>
        </w:tc>
      </w:tr>
      <w:tr w:rsidR="005146A4" w:rsidRPr="001D41EA" w14:paraId="10A06872"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2C054608" w14:textId="77777777" w:rsidR="005146A4" w:rsidRPr="001D41EA" w:rsidRDefault="005146A4" w:rsidP="001D41EA">
            <w:pPr>
              <w:spacing w:before="40" w:after="20"/>
              <w:rPr>
                <w:rFonts w:cs="Arial"/>
                <w:sz w:val="18"/>
                <w:szCs w:val="18"/>
              </w:rPr>
            </w:pPr>
            <w:r w:rsidRPr="001D41EA">
              <w:rPr>
                <w:rFonts w:cs="Arial"/>
                <w:sz w:val="18"/>
                <w:szCs w:val="18"/>
              </w:rPr>
              <w:t>Stonnington C</w:t>
            </w:r>
          </w:p>
        </w:tc>
        <w:tc>
          <w:tcPr>
            <w:tcW w:w="851" w:type="dxa"/>
            <w:tcBorders>
              <w:top w:val="nil"/>
              <w:left w:val="single" w:sz="18" w:space="0" w:color="5F497A" w:themeColor="accent4" w:themeShade="BF"/>
              <w:bottom w:val="nil"/>
              <w:right w:val="nil"/>
            </w:tcBorders>
            <w:shd w:val="clear" w:color="auto" w:fill="auto"/>
            <w:vAlign w:val="bottom"/>
          </w:tcPr>
          <w:p w14:paraId="615C60D2" w14:textId="037D4ECD" w:rsidR="005146A4" w:rsidRPr="001D41EA" w:rsidRDefault="005146A4" w:rsidP="001D41EA">
            <w:pPr>
              <w:spacing w:before="40" w:after="20"/>
              <w:jc w:val="center"/>
              <w:rPr>
                <w:rFonts w:cs="Arial"/>
                <w:sz w:val="18"/>
                <w:szCs w:val="18"/>
              </w:rPr>
            </w:pPr>
            <w:r w:rsidRPr="001D41EA">
              <w:rPr>
                <w:rFonts w:cs="Arial"/>
                <w:sz w:val="18"/>
                <w:szCs w:val="18"/>
              </w:rPr>
              <w:t>0.940</w:t>
            </w:r>
          </w:p>
        </w:tc>
        <w:tc>
          <w:tcPr>
            <w:tcW w:w="851" w:type="dxa"/>
            <w:tcBorders>
              <w:top w:val="nil"/>
              <w:left w:val="nil"/>
              <w:bottom w:val="nil"/>
              <w:right w:val="nil"/>
            </w:tcBorders>
            <w:shd w:val="clear" w:color="auto" w:fill="auto"/>
            <w:vAlign w:val="bottom"/>
          </w:tcPr>
          <w:p w14:paraId="2FFB2FCE" w14:textId="7944B189" w:rsidR="005146A4" w:rsidRPr="001D41EA" w:rsidRDefault="005146A4" w:rsidP="001D41EA">
            <w:pPr>
              <w:spacing w:before="40" w:after="20"/>
              <w:jc w:val="center"/>
              <w:rPr>
                <w:rFonts w:cs="Arial"/>
                <w:sz w:val="18"/>
                <w:szCs w:val="18"/>
              </w:rPr>
            </w:pPr>
            <w:r w:rsidRPr="001D41EA">
              <w:rPr>
                <w:rFonts w:cs="Arial"/>
                <w:sz w:val="18"/>
                <w:szCs w:val="18"/>
              </w:rPr>
              <w:t>0.823</w:t>
            </w:r>
          </w:p>
        </w:tc>
        <w:tc>
          <w:tcPr>
            <w:tcW w:w="851" w:type="dxa"/>
            <w:tcBorders>
              <w:top w:val="nil"/>
              <w:left w:val="nil"/>
              <w:bottom w:val="nil"/>
              <w:right w:val="nil"/>
            </w:tcBorders>
            <w:shd w:val="clear" w:color="auto" w:fill="auto"/>
            <w:vAlign w:val="bottom"/>
          </w:tcPr>
          <w:p w14:paraId="5265D1AB" w14:textId="5B5BD545" w:rsidR="005146A4" w:rsidRPr="001D41EA" w:rsidRDefault="005146A4" w:rsidP="001D41EA">
            <w:pPr>
              <w:spacing w:before="40" w:after="20"/>
              <w:jc w:val="center"/>
              <w:rPr>
                <w:rFonts w:cs="Arial"/>
                <w:sz w:val="18"/>
                <w:szCs w:val="18"/>
              </w:rPr>
            </w:pPr>
            <w:r w:rsidRPr="001D41EA">
              <w:rPr>
                <w:rFonts w:cs="Arial"/>
                <w:sz w:val="18"/>
                <w:szCs w:val="18"/>
              </w:rPr>
              <w:t>0.817</w:t>
            </w:r>
          </w:p>
        </w:tc>
        <w:tc>
          <w:tcPr>
            <w:tcW w:w="851" w:type="dxa"/>
            <w:tcBorders>
              <w:top w:val="nil"/>
              <w:left w:val="nil"/>
              <w:bottom w:val="nil"/>
              <w:right w:val="nil"/>
            </w:tcBorders>
            <w:shd w:val="clear" w:color="auto" w:fill="auto"/>
            <w:vAlign w:val="bottom"/>
          </w:tcPr>
          <w:p w14:paraId="2729732D" w14:textId="6D11A5AF" w:rsidR="005146A4" w:rsidRPr="001D41EA" w:rsidRDefault="005146A4" w:rsidP="001D41EA">
            <w:pPr>
              <w:spacing w:before="40" w:after="20"/>
              <w:jc w:val="center"/>
              <w:rPr>
                <w:rFonts w:cs="Arial"/>
                <w:sz w:val="18"/>
                <w:szCs w:val="18"/>
              </w:rPr>
            </w:pPr>
            <w:r w:rsidRPr="001D41EA">
              <w:rPr>
                <w:rFonts w:cs="Arial"/>
                <w:sz w:val="18"/>
                <w:szCs w:val="18"/>
              </w:rPr>
              <w:t>1.063</w:t>
            </w:r>
          </w:p>
        </w:tc>
        <w:tc>
          <w:tcPr>
            <w:tcW w:w="851" w:type="dxa"/>
            <w:tcBorders>
              <w:top w:val="nil"/>
              <w:left w:val="nil"/>
              <w:bottom w:val="nil"/>
              <w:right w:val="nil"/>
            </w:tcBorders>
            <w:shd w:val="clear" w:color="auto" w:fill="auto"/>
            <w:vAlign w:val="bottom"/>
          </w:tcPr>
          <w:p w14:paraId="7C3447F5" w14:textId="590E20CF" w:rsidR="005146A4" w:rsidRPr="001D41EA" w:rsidRDefault="005146A4" w:rsidP="001D41EA">
            <w:pPr>
              <w:spacing w:before="40" w:after="20"/>
              <w:jc w:val="center"/>
              <w:rPr>
                <w:rFonts w:cs="Arial"/>
                <w:sz w:val="18"/>
                <w:szCs w:val="18"/>
              </w:rPr>
            </w:pPr>
            <w:r w:rsidRPr="001D41EA">
              <w:rPr>
                <w:rFonts w:cs="Arial"/>
                <w:sz w:val="18"/>
                <w:szCs w:val="18"/>
              </w:rPr>
              <w:t>0.980</w:t>
            </w:r>
          </w:p>
        </w:tc>
        <w:tc>
          <w:tcPr>
            <w:tcW w:w="851" w:type="dxa"/>
            <w:tcBorders>
              <w:top w:val="nil"/>
              <w:left w:val="nil"/>
              <w:bottom w:val="nil"/>
              <w:right w:val="nil"/>
            </w:tcBorders>
            <w:shd w:val="clear" w:color="auto" w:fill="auto"/>
            <w:vAlign w:val="bottom"/>
          </w:tcPr>
          <w:p w14:paraId="7CB96E32" w14:textId="0E0D9752" w:rsidR="005146A4" w:rsidRPr="001D41EA" w:rsidRDefault="005146A4" w:rsidP="001D41EA">
            <w:pPr>
              <w:spacing w:before="40" w:after="20"/>
              <w:jc w:val="center"/>
              <w:rPr>
                <w:rFonts w:cs="Arial"/>
                <w:sz w:val="18"/>
                <w:szCs w:val="18"/>
              </w:rPr>
            </w:pPr>
            <w:r w:rsidRPr="001D41EA">
              <w:rPr>
                <w:rFonts w:cs="Arial"/>
                <w:sz w:val="18"/>
                <w:szCs w:val="18"/>
              </w:rPr>
              <w:t>1.066</w:t>
            </w:r>
          </w:p>
        </w:tc>
        <w:tc>
          <w:tcPr>
            <w:tcW w:w="851" w:type="dxa"/>
            <w:tcBorders>
              <w:top w:val="nil"/>
              <w:left w:val="nil"/>
              <w:bottom w:val="nil"/>
              <w:right w:val="nil"/>
            </w:tcBorders>
            <w:shd w:val="clear" w:color="auto" w:fill="auto"/>
            <w:vAlign w:val="bottom"/>
          </w:tcPr>
          <w:p w14:paraId="70C57F74" w14:textId="3A72CA67" w:rsidR="005146A4" w:rsidRPr="001D41EA" w:rsidRDefault="005146A4" w:rsidP="001D41EA">
            <w:pPr>
              <w:spacing w:before="40" w:after="20"/>
              <w:jc w:val="center"/>
              <w:rPr>
                <w:rFonts w:cs="Arial"/>
                <w:sz w:val="18"/>
                <w:szCs w:val="18"/>
              </w:rPr>
            </w:pPr>
            <w:r w:rsidRPr="001D41EA">
              <w:rPr>
                <w:rFonts w:cs="Arial"/>
                <w:sz w:val="18"/>
                <w:szCs w:val="18"/>
              </w:rPr>
              <w:t>0.930</w:t>
            </w:r>
          </w:p>
        </w:tc>
        <w:tc>
          <w:tcPr>
            <w:tcW w:w="851" w:type="dxa"/>
            <w:tcBorders>
              <w:top w:val="nil"/>
              <w:left w:val="nil"/>
              <w:bottom w:val="nil"/>
              <w:right w:val="nil"/>
            </w:tcBorders>
            <w:shd w:val="clear" w:color="auto" w:fill="auto"/>
            <w:vAlign w:val="bottom"/>
          </w:tcPr>
          <w:p w14:paraId="63B778C1" w14:textId="60CBB24C" w:rsidR="005146A4" w:rsidRPr="001D41EA" w:rsidRDefault="005146A4" w:rsidP="001D41EA">
            <w:pPr>
              <w:spacing w:before="40" w:after="20"/>
              <w:jc w:val="center"/>
              <w:rPr>
                <w:rFonts w:cs="Arial"/>
                <w:sz w:val="18"/>
                <w:szCs w:val="18"/>
              </w:rPr>
            </w:pPr>
            <w:r w:rsidRPr="001D41EA">
              <w:rPr>
                <w:rFonts w:cs="Arial"/>
                <w:sz w:val="18"/>
                <w:szCs w:val="18"/>
              </w:rPr>
              <w:t>1.060</w:t>
            </w:r>
          </w:p>
        </w:tc>
      </w:tr>
      <w:tr w:rsidR="005146A4" w:rsidRPr="001D41EA" w14:paraId="52B189DA"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4D39934" w14:textId="77777777" w:rsidR="005146A4" w:rsidRPr="001D41EA" w:rsidRDefault="005146A4" w:rsidP="001D41EA">
            <w:pPr>
              <w:spacing w:before="40" w:after="20"/>
              <w:rPr>
                <w:rFonts w:cs="Arial"/>
                <w:sz w:val="18"/>
                <w:szCs w:val="18"/>
              </w:rPr>
            </w:pPr>
            <w:r w:rsidRPr="001D41EA">
              <w:rPr>
                <w:rFonts w:cs="Arial"/>
                <w:sz w:val="18"/>
                <w:szCs w:val="18"/>
              </w:rPr>
              <w:t>Strathbogie S</w:t>
            </w:r>
          </w:p>
        </w:tc>
        <w:tc>
          <w:tcPr>
            <w:tcW w:w="851" w:type="dxa"/>
            <w:tcBorders>
              <w:top w:val="nil"/>
              <w:left w:val="single" w:sz="18" w:space="0" w:color="5F497A" w:themeColor="accent4" w:themeShade="BF"/>
              <w:bottom w:val="nil"/>
              <w:right w:val="nil"/>
            </w:tcBorders>
            <w:shd w:val="clear" w:color="auto" w:fill="auto"/>
            <w:vAlign w:val="bottom"/>
          </w:tcPr>
          <w:p w14:paraId="74A95E24" w14:textId="0184087F" w:rsidR="005146A4" w:rsidRPr="001D41EA" w:rsidRDefault="005146A4" w:rsidP="001D41EA">
            <w:pPr>
              <w:spacing w:before="40" w:after="20"/>
              <w:jc w:val="center"/>
              <w:rPr>
                <w:rFonts w:cs="Arial"/>
                <w:sz w:val="18"/>
                <w:szCs w:val="18"/>
              </w:rPr>
            </w:pPr>
            <w:r w:rsidRPr="001D41EA">
              <w:rPr>
                <w:rFonts w:cs="Arial"/>
                <w:sz w:val="18"/>
                <w:szCs w:val="18"/>
              </w:rPr>
              <w:t>1.145</w:t>
            </w:r>
          </w:p>
        </w:tc>
        <w:tc>
          <w:tcPr>
            <w:tcW w:w="851" w:type="dxa"/>
            <w:tcBorders>
              <w:top w:val="nil"/>
              <w:left w:val="nil"/>
              <w:bottom w:val="nil"/>
              <w:right w:val="nil"/>
            </w:tcBorders>
            <w:shd w:val="clear" w:color="auto" w:fill="auto"/>
            <w:vAlign w:val="bottom"/>
          </w:tcPr>
          <w:p w14:paraId="208D8DD5" w14:textId="41469F6B" w:rsidR="005146A4" w:rsidRPr="001D41EA" w:rsidRDefault="005146A4" w:rsidP="001D41EA">
            <w:pPr>
              <w:spacing w:before="40" w:after="20"/>
              <w:jc w:val="center"/>
              <w:rPr>
                <w:rFonts w:cs="Arial"/>
                <w:sz w:val="18"/>
                <w:szCs w:val="18"/>
              </w:rPr>
            </w:pPr>
            <w:r w:rsidRPr="001D41EA">
              <w:rPr>
                <w:rFonts w:cs="Arial"/>
                <w:sz w:val="18"/>
                <w:szCs w:val="18"/>
              </w:rPr>
              <w:t>1.018</w:t>
            </w:r>
          </w:p>
        </w:tc>
        <w:tc>
          <w:tcPr>
            <w:tcW w:w="851" w:type="dxa"/>
            <w:tcBorders>
              <w:top w:val="nil"/>
              <w:left w:val="nil"/>
              <w:bottom w:val="nil"/>
              <w:right w:val="nil"/>
            </w:tcBorders>
            <w:shd w:val="clear" w:color="auto" w:fill="auto"/>
            <w:vAlign w:val="bottom"/>
          </w:tcPr>
          <w:p w14:paraId="7186D681" w14:textId="4D5E96F3" w:rsidR="005146A4" w:rsidRPr="001D41EA" w:rsidRDefault="005146A4" w:rsidP="001D41EA">
            <w:pPr>
              <w:spacing w:before="40" w:after="20"/>
              <w:jc w:val="center"/>
              <w:rPr>
                <w:rFonts w:cs="Arial"/>
                <w:sz w:val="18"/>
                <w:szCs w:val="18"/>
              </w:rPr>
            </w:pPr>
            <w:r w:rsidRPr="001D41EA">
              <w:rPr>
                <w:rFonts w:cs="Arial"/>
                <w:sz w:val="18"/>
                <w:szCs w:val="18"/>
              </w:rPr>
              <w:t>1.126</w:t>
            </w:r>
          </w:p>
        </w:tc>
        <w:tc>
          <w:tcPr>
            <w:tcW w:w="851" w:type="dxa"/>
            <w:tcBorders>
              <w:top w:val="nil"/>
              <w:left w:val="nil"/>
              <w:bottom w:val="nil"/>
              <w:right w:val="nil"/>
            </w:tcBorders>
            <w:shd w:val="clear" w:color="auto" w:fill="auto"/>
            <w:vAlign w:val="bottom"/>
          </w:tcPr>
          <w:p w14:paraId="5CE0008F" w14:textId="40D1CDBB" w:rsidR="005146A4" w:rsidRPr="001D41EA" w:rsidRDefault="005146A4" w:rsidP="001D41EA">
            <w:pPr>
              <w:spacing w:before="40" w:after="20"/>
              <w:jc w:val="center"/>
              <w:rPr>
                <w:rFonts w:cs="Arial"/>
                <w:sz w:val="18"/>
                <w:szCs w:val="18"/>
              </w:rPr>
            </w:pPr>
            <w:r w:rsidRPr="001D41EA">
              <w:rPr>
                <w:rFonts w:cs="Arial"/>
                <w:sz w:val="18"/>
                <w:szCs w:val="18"/>
              </w:rPr>
              <w:t>1.037</w:t>
            </w:r>
          </w:p>
        </w:tc>
        <w:tc>
          <w:tcPr>
            <w:tcW w:w="851" w:type="dxa"/>
            <w:tcBorders>
              <w:top w:val="nil"/>
              <w:left w:val="nil"/>
              <w:bottom w:val="nil"/>
              <w:right w:val="nil"/>
            </w:tcBorders>
            <w:shd w:val="clear" w:color="auto" w:fill="auto"/>
            <w:vAlign w:val="bottom"/>
          </w:tcPr>
          <w:p w14:paraId="188244CB" w14:textId="4BCE5686" w:rsidR="005146A4" w:rsidRPr="001D41EA" w:rsidRDefault="005146A4" w:rsidP="001D41EA">
            <w:pPr>
              <w:spacing w:before="40" w:after="20"/>
              <w:jc w:val="center"/>
              <w:rPr>
                <w:rFonts w:cs="Arial"/>
                <w:sz w:val="18"/>
                <w:szCs w:val="18"/>
              </w:rPr>
            </w:pPr>
            <w:r w:rsidRPr="001D41EA">
              <w:rPr>
                <w:rFonts w:cs="Arial"/>
                <w:sz w:val="18"/>
                <w:szCs w:val="18"/>
              </w:rPr>
              <w:t>1.255</w:t>
            </w:r>
          </w:p>
        </w:tc>
        <w:tc>
          <w:tcPr>
            <w:tcW w:w="851" w:type="dxa"/>
            <w:tcBorders>
              <w:top w:val="nil"/>
              <w:left w:val="nil"/>
              <w:bottom w:val="nil"/>
              <w:right w:val="nil"/>
            </w:tcBorders>
            <w:shd w:val="clear" w:color="auto" w:fill="auto"/>
            <w:vAlign w:val="bottom"/>
          </w:tcPr>
          <w:p w14:paraId="5895E73A" w14:textId="45DA397B" w:rsidR="005146A4" w:rsidRPr="001D41EA" w:rsidRDefault="005146A4" w:rsidP="001D41EA">
            <w:pPr>
              <w:spacing w:before="40" w:after="20"/>
              <w:jc w:val="center"/>
              <w:rPr>
                <w:rFonts w:cs="Arial"/>
                <w:sz w:val="18"/>
                <w:szCs w:val="18"/>
              </w:rPr>
            </w:pPr>
            <w:r w:rsidRPr="001D41EA">
              <w:rPr>
                <w:rFonts w:cs="Arial"/>
                <w:sz w:val="18"/>
                <w:szCs w:val="18"/>
              </w:rPr>
              <w:t>1.028</w:t>
            </w:r>
          </w:p>
        </w:tc>
        <w:tc>
          <w:tcPr>
            <w:tcW w:w="851" w:type="dxa"/>
            <w:tcBorders>
              <w:top w:val="nil"/>
              <w:left w:val="nil"/>
              <w:bottom w:val="nil"/>
              <w:right w:val="nil"/>
            </w:tcBorders>
            <w:shd w:val="clear" w:color="auto" w:fill="auto"/>
            <w:vAlign w:val="bottom"/>
          </w:tcPr>
          <w:p w14:paraId="09D480DA" w14:textId="5FDC059D" w:rsidR="005146A4" w:rsidRPr="001D41EA" w:rsidRDefault="005146A4" w:rsidP="001D41EA">
            <w:pPr>
              <w:spacing w:before="40" w:after="20"/>
              <w:jc w:val="center"/>
              <w:rPr>
                <w:rFonts w:cs="Arial"/>
                <w:sz w:val="18"/>
                <w:szCs w:val="18"/>
              </w:rPr>
            </w:pPr>
            <w:r w:rsidRPr="001D41EA">
              <w:rPr>
                <w:rFonts w:cs="Arial"/>
                <w:sz w:val="18"/>
                <w:szCs w:val="18"/>
              </w:rPr>
              <w:t>1.385</w:t>
            </w:r>
          </w:p>
        </w:tc>
        <w:tc>
          <w:tcPr>
            <w:tcW w:w="851" w:type="dxa"/>
            <w:tcBorders>
              <w:top w:val="nil"/>
              <w:left w:val="nil"/>
              <w:bottom w:val="nil"/>
              <w:right w:val="nil"/>
            </w:tcBorders>
            <w:shd w:val="clear" w:color="auto" w:fill="auto"/>
            <w:vAlign w:val="bottom"/>
          </w:tcPr>
          <w:p w14:paraId="385FEA70" w14:textId="16D04163" w:rsidR="005146A4" w:rsidRPr="001D41EA" w:rsidRDefault="005146A4" w:rsidP="001D41EA">
            <w:pPr>
              <w:spacing w:before="40" w:after="20"/>
              <w:jc w:val="center"/>
              <w:rPr>
                <w:rFonts w:cs="Arial"/>
                <w:sz w:val="18"/>
                <w:szCs w:val="18"/>
              </w:rPr>
            </w:pPr>
            <w:r w:rsidRPr="001D41EA">
              <w:rPr>
                <w:rFonts w:cs="Arial"/>
                <w:sz w:val="18"/>
                <w:szCs w:val="18"/>
              </w:rPr>
              <w:t>1.119</w:t>
            </w:r>
          </w:p>
        </w:tc>
      </w:tr>
      <w:tr w:rsidR="005146A4" w:rsidRPr="001D41EA" w14:paraId="017FC1C1"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00024EC2" w14:textId="77777777" w:rsidR="005146A4" w:rsidRPr="001D41EA" w:rsidRDefault="005146A4" w:rsidP="001D41EA">
            <w:pPr>
              <w:spacing w:before="40" w:after="20"/>
              <w:rPr>
                <w:rFonts w:cs="Arial"/>
                <w:sz w:val="18"/>
                <w:szCs w:val="18"/>
              </w:rPr>
            </w:pPr>
            <w:r w:rsidRPr="001D41EA">
              <w:rPr>
                <w:rFonts w:cs="Arial"/>
                <w:sz w:val="18"/>
                <w:szCs w:val="18"/>
              </w:rPr>
              <w:t>Surf Coast S</w:t>
            </w:r>
          </w:p>
        </w:tc>
        <w:tc>
          <w:tcPr>
            <w:tcW w:w="851" w:type="dxa"/>
            <w:tcBorders>
              <w:top w:val="nil"/>
              <w:left w:val="single" w:sz="18" w:space="0" w:color="5F497A" w:themeColor="accent4" w:themeShade="BF"/>
              <w:bottom w:val="nil"/>
              <w:right w:val="nil"/>
            </w:tcBorders>
            <w:shd w:val="clear" w:color="auto" w:fill="auto"/>
            <w:vAlign w:val="bottom"/>
          </w:tcPr>
          <w:p w14:paraId="739424CB" w14:textId="4E693547" w:rsidR="005146A4" w:rsidRPr="001D41EA" w:rsidRDefault="005146A4" w:rsidP="001D41EA">
            <w:pPr>
              <w:spacing w:before="40" w:after="20"/>
              <w:jc w:val="center"/>
              <w:rPr>
                <w:rFonts w:cs="Arial"/>
                <w:sz w:val="18"/>
                <w:szCs w:val="18"/>
              </w:rPr>
            </w:pPr>
            <w:r w:rsidRPr="001D41EA">
              <w:rPr>
                <w:rFonts w:cs="Arial"/>
                <w:sz w:val="18"/>
                <w:szCs w:val="18"/>
              </w:rPr>
              <w:t>1.036</w:t>
            </w:r>
          </w:p>
        </w:tc>
        <w:tc>
          <w:tcPr>
            <w:tcW w:w="851" w:type="dxa"/>
            <w:tcBorders>
              <w:top w:val="nil"/>
              <w:left w:val="nil"/>
              <w:bottom w:val="nil"/>
              <w:right w:val="nil"/>
            </w:tcBorders>
            <w:shd w:val="clear" w:color="auto" w:fill="auto"/>
            <w:vAlign w:val="bottom"/>
          </w:tcPr>
          <w:p w14:paraId="1554620E" w14:textId="352DB51E" w:rsidR="005146A4" w:rsidRPr="001D41EA" w:rsidRDefault="005146A4" w:rsidP="001D41EA">
            <w:pPr>
              <w:spacing w:before="40" w:after="20"/>
              <w:jc w:val="center"/>
              <w:rPr>
                <w:rFonts w:cs="Arial"/>
                <w:sz w:val="18"/>
                <w:szCs w:val="18"/>
              </w:rPr>
            </w:pPr>
            <w:r w:rsidRPr="001D41EA">
              <w:rPr>
                <w:rFonts w:cs="Arial"/>
                <w:sz w:val="18"/>
                <w:szCs w:val="18"/>
              </w:rPr>
              <w:t>0.968</w:t>
            </w:r>
          </w:p>
        </w:tc>
        <w:tc>
          <w:tcPr>
            <w:tcW w:w="851" w:type="dxa"/>
            <w:tcBorders>
              <w:top w:val="nil"/>
              <w:left w:val="nil"/>
              <w:bottom w:val="nil"/>
              <w:right w:val="nil"/>
            </w:tcBorders>
            <w:shd w:val="clear" w:color="auto" w:fill="auto"/>
            <w:vAlign w:val="bottom"/>
          </w:tcPr>
          <w:p w14:paraId="6142807C" w14:textId="358A0EF3" w:rsidR="005146A4" w:rsidRPr="001D41EA" w:rsidRDefault="005146A4" w:rsidP="001D41EA">
            <w:pPr>
              <w:spacing w:before="40" w:after="20"/>
              <w:jc w:val="center"/>
              <w:rPr>
                <w:rFonts w:cs="Arial"/>
                <w:sz w:val="18"/>
                <w:szCs w:val="18"/>
              </w:rPr>
            </w:pPr>
            <w:r w:rsidRPr="001D41EA">
              <w:rPr>
                <w:rFonts w:cs="Arial"/>
                <w:sz w:val="18"/>
                <w:szCs w:val="18"/>
              </w:rPr>
              <w:t>0.911</w:t>
            </w:r>
          </w:p>
        </w:tc>
        <w:tc>
          <w:tcPr>
            <w:tcW w:w="851" w:type="dxa"/>
            <w:tcBorders>
              <w:top w:val="nil"/>
              <w:left w:val="nil"/>
              <w:bottom w:val="nil"/>
              <w:right w:val="nil"/>
            </w:tcBorders>
            <w:shd w:val="clear" w:color="auto" w:fill="auto"/>
            <w:vAlign w:val="bottom"/>
          </w:tcPr>
          <w:p w14:paraId="4F48073D" w14:textId="0C6C4BF5" w:rsidR="005146A4" w:rsidRPr="001D41EA" w:rsidRDefault="005146A4" w:rsidP="001D41EA">
            <w:pPr>
              <w:spacing w:before="40" w:after="20"/>
              <w:jc w:val="center"/>
              <w:rPr>
                <w:rFonts w:cs="Arial"/>
                <w:sz w:val="18"/>
                <w:szCs w:val="18"/>
              </w:rPr>
            </w:pPr>
            <w:r w:rsidRPr="001D41EA">
              <w:rPr>
                <w:rFonts w:cs="Arial"/>
                <w:sz w:val="18"/>
                <w:szCs w:val="18"/>
              </w:rPr>
              <w:t>1.153</w:t>
            </w:r>
          </w:p>
        </w:tc>
        <w:tc>
          <w:tcPr>
            <w:tcW w:w="851" w:type="dxa"/>
            <w:tcBorders>
              <w:top w:val="nil"/>
              <w:left w:val="nil"/>
              <w:bottom w:val="nil"/>
              <w:right w:val="nil"/>
            </w:tcBorders>
            <w:shd w:val="clear" w:color="auto" w:fill="auto"/>
            <w:vAlign w:val="bottom"/>
          </w:tcPr>
          <w:p w14:paraId="194A821C" w14:textId="31AABB04" w:rsidR="005146A4" w:rsidRPr="001D41EA" w:rsidRDefault="005146A4" w:rsidP="001D41EA">
            <w:pPr>
              <w:spacing w:before="40" w:after="20"/>
              <w:jc w:val="center"/>
              <w:rPr>
                <w:rFonts w:cs="Arial"/>
                <w:sz w:val="18"/>
                <w:szCs w:val="18"/>
              </w:rPr>
            </w:pPr>
            <w:r w:rsidRPr="001D41EA">
              <w:rPr>
                <w:rFonts w:cs="Arial"/>
                <w:sz w:val="18"/>
                <w:szCs w:val="18"/>
              </w:rPr>
              <w:t>1.187</w:t>
            </w:r>
          </w:p>
        </w:tc>
        <w:tc>
          <w:tcPr>
            <w:tcW w:w="851" w:type="dxa"/>
            <w:tcBorders>
              <w:top w:val="nil"/>
              <w:left w:val="nil"/>
              <w:bottom w:val="nil"/>
              <w:right w:val="nil"/>
            </w:tcBorders>
            <w:shd w:val="clear" w:color="auto" w:fill="auto"/>
            <w:vAlign w:val="bottom"/>
          </w:tcPr>
          <w:p w14:paraId="5A6E2292" w14:textId="7DD54717" w:rsidR="005146A4" w:rsidRPr="001D41EA" w:rsidRDefault="005146A4" w:rsidP="001D41EA">
            <w:pPr>
              <w:spacing w:before="40" w:after="20"/>
              <w:jc w:val="center"/>
              <w:rPr>
                <w:rFonts w:cs="Arial"/>
                <w:sz w:val="18"/>
                <w:szCs w:val="18"/>
              </w:rPr>
            </w:pPr>
            <w:r w:rsidRPr="001D41EA">
              <w:rPr>
                <w:rFonts w:cs="Arial"/>
                <w:sz w:val="18"/>
                <w:szCs w:val="18"/>
              </w:rPr>
              <w:t>1.129</w:t>
            </w:r>
          </w:p>
        </w:tc>
        <w:tc>
          <w:tcPr>
            <w:tcW w:w="851" w:type="dxa"/>
            <w:tcBorders>
              <w:top w:val="nil"/>
              <w:left w:val="nil"/>
              <w:bottom w:val="nil"/>
              <w:right w:val="nil"/>
            </w:tcBorders>
            <w:shd w:val="clear" w:color="auto" w:fill="auto"/>
            <w:vAlign w:val="bottom"/>
          </w:tcPr>
          <w:p w14:paraId="4E310FEF" w14:textId="7A1537DC" w:rsidR="005146A4" w:rsidRPr="001D41EA" w:rsidRDefault="005146A4" w:rsidP="001D41EA">
            <w:pPr>
              <w:spacing w:before="40" w:after="20"/>
              <w:jc w:val="center"/>
              <w:rPr>
                <w:rFonts w:cs="Arial"/>
                <w:sz w:val="18"/>
                <w:szCs w:val="18"/>
              </w:rPr>
            </w:pPr>
            <w:r w:rsidRPr="001D41EA">
              <w:rPr>
                <w:rFonts w:cs="Arial"/>
                <w:sz w:val="18"/>
                <w:szCs w:val="18"/>
              </w:rPr>
              <w:t>1.225</w:t>
            </w:r>
          </w:p>
        </w:tc>
        <w:tc>
          <w:tcPr>
            <w:tcW w:w="851" w:type="dxa"/>
            <w:tcBorders>
              <w:top w:val="nil"/>
              <w:left w:val="nil"/>
              <w:bottom w:val="nil"/>
              <w:right w:val="nil"/>
            </w:tcBorders>
            <w:shd w:val="clear" w:color="auto" w:fill="auto"/>
            <w:vAlign w:val="bottom"/>
          </w:tcPr>
          <w:p w14:paraId="4B3D15F2" w14:textId="1B0CF287" w:rsidR="005146A4" w:rsidRPr="001D41EA" w:rsidRDefault="005146A4" w:rsidP="001D41EA">
            <w:pPr>
              <w:spacing w:before="40" w:after="20"/>
              <w:jc w:val="center"/>
              <w:rPr>
                <w:rFonts w:cs="Arial"/>
                <w:sz w:val="18"/>
                <w:szCs w:val="18"/>
              </w:rPr>
            </w:pPr>
            <w:r w:rsidRPr="001D41EA">
              <w:rPr>
                <w:rFonts w:cs="Arial"/>
                <w:sz w:val="18"/>
                <w:szCs w:val="18"/>
              </w:rPr>
              <w:t>1.136</w:t>
            </w:r>
          </w:p>
        </w:tc>
      </w:tr>
      <w:tr w:rsidR="005146A4" w:rsidRPr="001D41EA" w14:paraId="327DA131"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D38BE9D" w14:textId="77777777" w:rsidR="005146A4" w:rsidRPr="001D41EA" w:rsidRDefault="005146A4" w:rsidP="001D41EA">
            <w:pPr>
              <w:spacing w:before="40" w:after="20"/>
              <w:rPr>
                <w:rFonts w:cs="Arial"/>
                <w:sz w:val="18"/>
                <w:szCs w:val="18"/>
              </w:rPr>
            </w:pPr>
            <w:r w:rsidRPr="001D41EA">
              <w:rPr>
                <w:rFonts w:cs="Arial"/>
                <w:sz w:val="18"/>
                <w:szCs w:val="18"/>
              </w:rPr>
              <w:t>Swan Hill RC</w:t>
            </w:r>
          </w:p>
        </w:tc>
        <w:tc>
          <w:tcPr>
            <w:tcW w:w="851" w:type="dxa"/>
            <w:tcBorders>
              <w:top w:val="nil"/>
              <w:left w:val="single" w:sz="18" w:space="0" w:color="5F497A" w:themeColor="accent4" w:themeShade="BF"/>
              <w:bottom w:val="nil"/>
              <w:right w:val="nil"/>
            </w:tcBorders>
            <w:shd w:val="clear" w:color="auto" w:fill="auto"/>
            <w:vAlign w:val="bottom"/>
          </w:tcPr>
          <w:p w14:paraId="24F55B0A" w14:textId="5AC0E568" w:rsidR="005146A4" w:rsidRPr="001D41EA" w:rsidRDefault="005146A4" w:rsidP="001D41EA">
            <w:pPr>
              <w:spacing w:before="40" w:after="20"/>
              <w:jc w:val="center"/>
              <w:rPr>
                <w:rFonts w:cs="Arial"/>
                <w:sz w:val="18"/>
                <w:szCs w:val="18"/>
              </w:rPr>
            </w:pPr>
            <w:r w:rsidRPr="001D41EA">
              <w:rPr>
                <w:rFonts w:cs="Arial"/>
                <w:sz w:val="18"/>
                <w:szCs w:val="18"/>
              </w:rPr>
              <w:t>1.349</w:t>
            </w:r>
          </w:p>
        </w:tc>
        <w:tc>
          <w:tcPr>
            <w:tcW w:w="851" w:type="dxa"/>
            <w:tcBorders>
              <w:top w:val="nil"/>
              <w:left w:val="nil"/>
              <w:bottom w:val="nil"/>
              <w:right w:val="nil"/>
            </w:tcBorders>
            <w:shd w:val="clear" w:color="auto" w:fill="auto"/>
            <w:vAlign w:val="bottom"/>
          </w:tcPr>
          <w:p w14:paraId="73B250FB" w14:textId="352DA1BF" w:rsidR="005146A4" w:rsidRPr="001D41EA" w:rsidRDefault="005146A4" w:rsidP="001D41EA">
            <w:pPr>
              <w:spacing w:before="40" w:after="20"/>
              <w:jc w:val="center"/>
              <w:rPr>
                <w:rFonts w:cs="Arial"/>
                <w:sz w:val="18"/>
                <w:szCs w:val="18"/>
              </w:rPr>
            </w:pPr>
            <w:r w:rsidRPr="001D41EA">
              <w:rPr>
                <w:rFonts w:cs="Arial"/>
                <w:sz w:val="18"/>
                <w:szCs w:val="18"/>
              </w:rPr>
              <w:t>1.200</w:t>
            </w:r>
          </w:p>
        </w:tc>
        <w:tc>
          <w:tcPr>
            <w:tcW w:w="851" w:type="dxa"/>
            <w:tcBorders>
              <w:top w:val="nil"/>
              <w:left w:val="nil"/>
              <w:bottom w:val="nil"/>
              <w:right w:val="nil"/>
            </w:tcBorders>
            <w:shd w:val="clear" w:color="auto" w:fill="auto"/>
            <w:vAlign w:val="bottom"/>
          </w:tcPr>
          <w:p w14:paraId="1AD9942D" w14:textId="32A2E37F" w:rsidR="005146A4" w:rsidRPr="001D41EA" w:rsidRDefault="005146A4" w:rsidP="001D41EA">
            <w:pPr>
              <w:spacing w:before="40" w:after="20"/>
              <w:jc w:val="center"/>
              <w:rPr>
                <w:rFonts w:cs="Arial"/>
                <w:sz w:val="18"/>
                <w:szCs w:val="18"/>
              </w:rPr>
            </w:pPr>
            <w:r w:rsidRPr="001D41EA">
              <w:rPr>
                <w:rFonts w:cs="Arial"/>
                <w:sz w:val="18"/>
                <w:szCs w:val="18"/>
              </w:rPr>
              <w:t>1.196</w:t>
            </w:r>
          </w:p>
        </w:tc>
        <w:tc>
          <w:tcPr>
            <w:tcW w:w="851" w:type="dxa"/>
            <w:tcBorders>
              <w:top w:val="nil"/>
              <w:left w:val="nil"/>
              <w:bottom w:val="nil"/>
              <w:right w:val="nil"/>
            </w:tcBorders>
            <w:shd w:val="clear" w:color="auto" w:fill="auto"/>
            <w:vAlign w:val="bottom"/>
          </w:tcPr>
          <w:p w14:paraId="28163C45" w14:textId="2DFE4113" w:rsidR="005146A4" w:rsidRPr="001D41EA" w:rsidRDefault="005146A4" w:rsidP="001D41EA">
            <w:pPr>
              <w:spacing w:before="40" w:after="20"/>
              <w:jc w:val="center"/>
              <w:rPr>
                <w:rFonts w:cs="Arial"/>
                <w:sz w:val="18"/>
                <w:szCs w:val="18"/>
              </w:rPr>
            </w:pPr>
            <w:r w:rsidRPr="001D41EA">
              <w:rPr>
                <w:rFonts w:cs="Arial"/>
                <w:sz w:val="18"/>
                <w:szCs w:val="18"/>
              </w:rPr>
              <w:t>1.154</w:t>
            </w:r>
          </w:p>
        </w:tc>
        <w:tc>
          <w:tcPr>
            <w:tcW w:w="851" w:type="dxa"/>
            <w:tcBorders>
              <w:top w:val="nil"/>
              <w:left w:val="nil"/>
              <w:bottom w:val="nil"/>
              <w:right w:val="nil"/>
            </w:tcBorders>
            <w:shd w:val="clear" w:color="auto" w:fill="auto"/>
            <w:vAlign w:val="bottom"/>
          </w:tcPr>
          <w:p w14:paraId="7812E633" w14:textId="0E1349C0" w:rsidR="005146A4" w:rsidRPr="001D41EA" w:rsidRDefault="005146A4" w:rsidP="001D41EA">
            <w:pPr>
              <w:spacing w:before="40" w:after="20"/>
              <w:jc w:val="center"/>
              <w:rPr>
                <w:rFonts w:cs="Arial"/>
                <w:sz w:val="18"/>
                <w:szCs w:val="18"/>
              </w:rPr>
            </w:pPr>
            <w:r w:rsidRPr="001D41EA">
              <w:rPr>
                <w:rFonts w:cs="Arial"/>
                <w:sz w:val="18"/>
                <w:szCs w:val="18"/>
              </w:rPr>
              <w:t>1.318</w:t>
            </w:r>
          </w:p>
        </w:tc>
        <w:tc>
          <w:tcPr>
            <w:tcW w:w="851" w:type="dxa"/>
            <w:tcBorders>
              <w:top w:val="nil"/>
              <w:left w:val="nil"/>
              <w:bottom w:val="nil"/>
              <w:right w:val="nil"/>
            </w:tcBorders>
            <w:shd w:val="clear" w:color="auto" w:fill="auto"/>
            <w:vAlign w:val="bottom"/>
          </w:tcPr>
          <w:p w14:paraId="08162924" w14:textId="1501080B" w:rsidR="005146A4" w:rsidRPr="001D41EA" w:rsidRDefault="005146A4" w:rsidP="001D41EA">
            <w:pPr>
              <w:spacing w:before="40" w:after="20"/>
              <w:jc w:val="center"/>
              <w:rPr>
                <w:rFonts w:cs="Arial"/>
                <w:sz w:val="18"/>
                <w:szCs w:val="18"/>
              </w:rPr>
            </w:pPr>
            <w:r w:rsidRPr="001D41EA">
              <w:rPr>
                <w:rFonts w:cs="Arial"/>
                <w:sz w:val="18"/>
                <w:szCs w:val="18"/>
              </w:rPr>
              <w:t>1.065</w:t>
            </w:r>
          </w:p>
        </w:tc>
        <w:tc>
          <w:tcPr>
            <w:tcW w:w="851" w:type="dxa"/>
            <w:tcBorders>
              <w:top w:val="nil"/>
              <w:left w:val="nil"/>
              <w:bottom w:val="nil"/>
              <w:right w:val="nil"/>
            </w:tcBorders>
            <w:shd w:val="clear" w:color="auto" w:fill="auto"/>
            <w:vAlign w:val="bottom"/>
          </w:tcPr>
          <w:p w14:paraId="5535123C" w14:textId="639E57CC" w:rsidR="005146A4" w:rsidRPr="001D41EA" w:rsidRDefault="005146A4" w:rsidP="001D41EA">
            <w:pPr>
              <w:spacing w:before="40" w:after="20"/>
              <w:jc w:val="center"/>
              <w:rPr>
                <w:rFonts w:cs="Arial"/>
                <w:sz w:val="18"/>
                <w:szCs w:val="18"/>
              </w:rPr>
            </w:pPr>
            <w:r w:rsidRPr="001D41EA">
              <w:rPr>
                <w:rFonts w:cs="Arial"/>
                <w:sz w:val="18"/>
                <w:szCs w:val="18"/>
              </w:rPr>
              <w:t>1.253</w:t>
            </w:r>
          </w:p>
        </w:tc>
        <w:tc>
          <w:tcPr>
            <w:tcW w:w="851" w:type="dxa"/>
            <w:tcBorders>
              <w:top w:val="nil"/>
              <w:left w:val="nil"/>
              <w:bottom w:val="nil"/>
              <w:right w:val="nil"/>
            </w:tcBorders>
            <w:shd w:val="clear" w:color="auto" w:fill="auto"/>
            <w:vAlign w:val="bottom"/>
          </w:tcPr>
          <w:p w14:paraId="70095E90" w14:textId="4C9B2A17" w:rsidR="005146A4" w:rsidRPr="001D41EA" w:rsidRDefault="005146A4" w:rsidP="001D41EA">
            <w:pPr>
              <w:spacing w:before="40" w:after="20"/>
              <w:jc w:val="center"/>
              <w:rPr>
                <w:rFonts w:cs="Arial"/>
                <w:sz w:val="18"/>
                <w:szCs w:val="18"/>
              </w:rPr>
            </w:pPr>
            <w:r w:rsidRPr="001D41EA">
              <w:rPr>
                <w:rFonts w:cs="Arial"/>
                <w:sz w:val="18"/>
                <w:szCs w:val="18"/>
              </w:rPr>
              <w:t>1.265</w:t>
            </w:r>
          </w:p>
        </w:tc>
      </w:tr>
      <w:tr w:rsidR="005146A4" w:rsidRPr="001D41EA" w14:paraId="61C51F88"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189D976A" w14:textId="77777777" w:rsidR="005146A4" w:rsidRPr="001D41EA" w:rsidRDefault="005146A4" w:rsidP="001D41EA">
            <w:pPr>
              <w:spacing w:before="40" w:after="20"/>
              <w:rPr>
                <w:rFonts w:cs="Arial"/>
                <w:sz w:val="18"/>
                <w:szCs w:val="18"/>
              </w:rPr>
            </w:pPr>
            <w:r w:rsidRPr="001D41EA">
              <w:rPr>
                <w:rFonts w:cs="Arial"/>
                <w:sz w:val="18"/>
                <w:szCs w:val="18"/>
              </w:rPr>
              <w:t>Towong S</w:t>
            </w:r>
          </w:p>
        </w:tc>
        <w:tc>
          <w:tcPr>
            <w:tcW w:w="851" w:type="dxa"/>
            <w:tcBorders>
              <w:top w:val="nil"/>
              <w:left w:val="single" w:sz="18" w:space="0" w:color="5F497A" w:themeColor="accent4" w:themeShade="BF"/>
              <w:bottom w:val="nil"/>
              <w:right w:val="nil"/>
            </w:tcBorders>
            <w:shd w:val="clear" w:color="auto" w:fill="auto"/>
            <w:vAlign w:val="bottom"/>
          </w:tcPr>
          <w:p w14:paraId="70C68357" w14:textId="77AA8D4B" w:rsidR="005146A4" w:rsidRPr="001D41EA" w:rsidRDefault="005146A4" w:rsidP="001D41EA">
            <w:pPr>
              <w:spacing w:before="40" w:after="20"/>
              <w:jc w:val="center"/>
              <w:rPr>
                <w:rFonts w:cs="Arial"/>
                <w:sz w:val="18"/>
                <w:szCs w:val="18"/>
              </w:rPr>
            </w:pPr>
            <w:r w:rsidRPr="001D41EA">
              <w:rPr>
                <w:rFonts w:cs="Arial"/>
                <w:sz w:val="18"/>
                <w:szCs w:val="18"/>
              </w:rPr>
              <w:t>1.292</w:t>
            </w:r>
          </w:p>
        </w:tc>
        <w:tc>
          <w:tcPr>
            <w:tcW w:w="851" w:type="dxa"/>
            <w:tcBorders>
              <w:top w:val="nil"/>
              <w:left w:val="nil"/>
              <w:bottom w:val="nil"/>
              <w:right w:val="nil"/>
            </w:tcBorders>
            <w:shd w:val="clear" w:color="auto" w:fill="auto"/>
            <w:vAlign w:val="bottom"/>
          </w:tcPr>
          <w:p w14:paraId="0AA9858A" w14:textId="64FB6763" w:rsidR="005146A4" w:rsidRPr="001D41EA" w:rsidRDefault="005146A4" w:rsidP="001D41EA">
            <w:pPr>
              <w:spacing w:before="40" w:after="20"/>
              <w:jc w:val="center"/>
              <w:rPr>
                <w:rFonts w:cs="Arial"/>
                <w:sz w:val="18"/>
                <w:szCs w:val="18"/>
              </w:rPr>
            </w:pPr>
            <w:r w:rsidRPr="001D41EA">
              <w:rPr>
                <w:rFonts w:cs="Arial"/>
                <w:sz w:val="18"/>
                <w:szCs w:val="18"/>
              </w:rPr>
              <w:t>1.096</w:t>
            </w:r>
          </w:p>
        </w:tc>
        <w:tc>
          <w:tcPr>
            <w:tcW w:w="851" w:type="dxa"/>
            <w:tcBorders>
              <w:top w:val="nil"/>
              <w:left w:val="nil"/>
              <w:bottom w:val="nil"/>
              <w:right w:val="nil"/>
            </w:tcBorders>
            <w:shd w:val="clear" w:color="auto" w:fill="auto"/>
            <w:vAlign w:val="bottom"/>
          </w:tcPr>
          <w:p w14:paraId="2474A606" w14:textId="1BBA2599" w:rsidR="005146A4" w:rsidRPr="001D41EA" w:rsidRDefault="005146A4" w:rsidP="001D41EA">
            <w:pPr>
              <w:spacing w:before="40" w:after="20"/>
              <w:jc w:val="center"/>
              <w:rPr>
                <w:rFonts w:cs="Arial"/>
                <w:sz w:val="18"/>
                <w:szCs w:val="18"/>
              </w:rPr>
            </w:pPr>
            <w:r w:rsidRPr="001D41EA">
              <w:rPr>
                <w:rFonts w:cs="Arial"/>
                <w:sz w:val="18"/>
                <w:szCs w:val="18"/>
              </w:rPr>
              <w:t>1.196</w:t>
            </w:r>
          </w:p>
        </w:tc>
        <w:tc>
          <w:tcPr>
            <w:tcW w:w="851" w:type="dxa"/>
            <w:tcBorders>
              <w:top w:val="nil"/>
              <w:left w:val="nil"/>
              <w:bottom w:val="nil"/>
              <w:right w:val="nil"/>
            </w:tcBorders>
            <w:shd w:val="clear" w:color="auto" w:fill="auto"/>
            <w:vAlign w:val="bottom"/>
          </w:tcPr>
          <w:p w14:paraId="2A11F212" w14:textId="4F410FE2" w:rsidR="005146A4" w:rsidRPr="001D41EA" w:rsidRDefault="005146A4" w:rsidP="001D41EA">
            <w:pPr>
              <w:spacing w:before="40" w:after="20"/>
              <w:jc w:val="center"/>
              <w:rPr>
                <w:rFonts w:cs="Arial"/>
                <w:sz w:val="18"/>
                <w:szCs w:val="18"/>
              </w:rPr>
            </w:pPr>
            <w:r w:rsidRPr="001D41EA">
              <w:rPr>
                <w:rFonts w:cs="Arial"/>
                <w:sz w:val="18"/>
                <w:szCs w:val="18"/>
              </w:rPr>
              <w:t>1.136</w:t>
            </w:r>
          </w:p>
        </w:tc>
        <w:tc>
          <w:tcPr>
            <w:tcW w:w="851" w:type="dxa"/>
            <w:tcBorders>
              <w:top w:val="nil"/>
              <w:left w:val="nil"/>
              <w:bottom w:val="nil"/>
              <w:right w:val="nil"/>
            </w:tcBorders>
            <w:shd w:val="clear" w:color="auto" w:fill="auto"/>
            <w:vAlign w:val="bottom"/>
          </w:tcPr>
          <w:p w14:paraId="0D8077BB" w14:textId="0E0B3EE0" w:rsidR="005146A4" w:rsidRPr="001D41EA" w:rsidRDefault="005146A4" w:rsidP="001D41EA">
            <w:pPr>
              <w:spacing w:before="40" w:after="20"/>
              <w:jc w:val="center"/>
              <w:rPr>
                <w:rFonts w:cs="Arial"/>
                <w:sz w:val="18"/>
                <w:szCs w:val="18"/>
              </w:rPr>
            </w:pPr>
            <w:r w:rsidRPr="001D41EA">
              <w:rPr>
                <w:rFonts w:cs="Arial"/>
                <w:sz w:val="18"/>
                <w:szCs w:val="18"/>
              </w:rPr>
              <w:t>1.439</w:t>
            </w:r>
          </w:p>
        </w:tc>
        <w:tc>
          <w:tcPr>
            <w:tcW w:w="851" w:type="dxa"/>
            <w:tcBorders>
              <w:top w:val="nil"/>
              <w:left w:val="nil"/>
              <w:bottom w:val="nil"/>
              <w:right w:val="nil"/>
            </w:tcBorders>
            <w:shd w:val="clear" w:color="auto" w:fill="auto"/>
            <w:vAlign w:val="bottom"/>
          </w:tcPr>
          <w:p w14:paraId="147DF696" w14:textId="6077CED2" w:rsidR="005146A4" w:rsidRPr="001D41EA" w:rsidRDefault="005146A4" w:rsidP="001D41EA">
            <w:pPr>
              <w:spacing w:before="40" w:after="20"/>
              <w:jc w:val="center"/>
              <w:rPr>
                <w:rFonts w:cs="Arial"/>
                <w:sz w:val="18"/>
                <w:szCs w:val="18"/>
              </w:rPr>
            </w:pPr>
            <w:r w:rsidRPr="001D41EA">
              <w:rPr>
                <w:rFonts w:cs="Arial"/>
                <w:sz w:val="18"/>
                <w:szCs w:val="18"/>
              </w:rPr>
              <w:t>1.066</w:t>
            </w:r>
          </w:p>
        </w:tc>
        <w:tc>
          <w:tcPr>
            <w:tcW w:w="851" w:type="dxa"/>
            <w:tcBorders>
              <w:top w:val="nil"/>
              <w:left w:val="nil"/>
              <w:bottom w:val="nil"/>
              <w:right w:val="nil"/>
            </w:tcBorders>
            <w:shd w:val="clear" w:color="auto" w:fill="auto"/>
            <w:vAlign w:val="bottom"/>
          </w:tcPr>
          <w:p w14:paraId="3F698E11" w14:textId="6F463803" w:rsidR="005146A4" w:rsidRPr="001D41EA" w:rsidRDefault="005146A4" w:rsidP="001D41EA">
            <w:pPr>
              <w:spacing w:before="40" w:after="20"/>
              <w:jc w:val="center"/>
              <w:rPr>
                <w:rFonts w:cs="Arial"/>
                <w:sz w:val="18"/>
                <w:szCs w:val="18"/>
              </w:rPr>
            </w:pPr>
            <w:r w:rsidRPr="001D41EA">
              <w:rPr>
                <w:rFonts w:cs="Arial"/>
                <w:sz w:val="18"/>
                <w:szCs w:val="18"/>
              </w:rPr>
              <w:t>1.369</w:t>
            </w:r>
          </w:p>
        </w:tc>
        <w:tc>
          <w:tcPr>
            <w:tcW w:w="851" w:type="dxa"/>
            <w:tcBorders>
              <w:top w:val="nil"/>
              <w:left w:val="nil"/>
              <w:bottom w:val="nil"/>
              <w:right w:val="nil"/>
            </w:tcBorders>
            <w:shd w:val="clear" w:color="auto" w:fill="auto"/>
            <w:vAlign w:val="bottom"/>
          </w:tcPr>
          <w:p w14:paraId="4F7BF725" w14:textId="73DFB03D" w:rsidR="005146A4" w:rsidRPr="001D41EA" w:rsidRDefault="005146A4" w:rsidP="001D41EA">
            <w:pPr>
              <w:spacing w:before="40" w:after="20"/>
              <w:jc w:val="center"/>
              <w:rPr>
                <w:rFonts w:cs="Arial"/>
                <w:sz w:val="18"/>
                <w:szCs w:val="18"/>
              </w:rPr>
            </w:pPr>
            <w:r w:rsidRPr="001D41EA">
              <w:rPr>
                <w:rFonts w:cs="Arial"/>
                <w:sz w:val="18"/>
                <w:szCs w:val="18"/>
              </w:rPr>
              <w:t>1.210</w:t>
            </w:r>
          </w:p>
        </w:tc>
      </w:tr>
      <w:tr w:rsidR="005146A4" w:rsidRPr="001D41EA" w14:paraId="2EE3462E"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2577D1F" w14:textId="77777777" w:rsidR="005146A4" w:rsidRPr="001D41EA" w:rsidRDefault="005146A4" w:rsidP="001D41EA">
            <w:pPr>
              <w:spacing w:before="40" w:after="20"/>
              <w:rPr>
                <w:rFonts w:cs="Arial"/>
                <w:sz w:val="18"/>
                <w:szCs w:val="18"/>
              </w:rPr>
            </w:pPr>
            <w:r w:rsidRPr="001D41EA">
              <w:rPr>
                <w:rFonts w:cs="Arial"/>
                <w:sz w:val="18"/>
                <w:szCs w:val="18"/>
              </w:rPr>
              <w:t>Wangaratta RC</w:t>
            </w:r>
          </w:p>
        </w:tc>
        <w:tc>
          <w:tcPr>
            <w:tcW w:w="851" w:type="dxa"/>
            <w:tcBorders>
              <w:top w:val="nil"/>
              <w:left w:val="single" w:sz="18" w:space="0" w:color="5F497A" w:themeColor="accent4" w:themeShade="BF"/>
              <w:bottom w:val="nil"/>
              <w:right w:val="nil"/>
            </w:tcBorders>
            <w:shd w:val="clear" w:color="auto" w:fill="auto"/>
            <w:vAlign w:val="bottom"/>
          </w:tcPr>
          <w:p w14:paraId="5167EA7F" w14:textId="67791CC1" w:rsidR="005146A4" w:rsidRPr="001D41EA" w:rsidRDefault="005146A4" w:rsidP="001D41EA">
            <w:pPr>
              <w:spacing w:before="40" w:after="20"/>
              <w:jc w:val="center"/>
              <w:rPr>
                <w:rFonts w:cs="Arial"/>
                <w:sz w:val="18"/>
                <w:szCs w:val="18"/>
              </w:rPr>
            </w:pPr>
            <w:r w:rsidRPr="001D41EA">
              <w:rPr>
                <w:rFonts w:cs="Arial"/>
                <w:sz w:val="18"/>
                <w:szCs w:val="18"/>
              </w:rPr>
              <w:t>1.075</w:t>
            </w:r>
          </w:p>
        </w:tc>
        <w:tc>
          <w:tcPr>
            <w:tcW w:w="851" w:type="dxa"/>
            <w:tcBorders>
              <w:top w:val="nil"/>
              <w:left w:val="nil"/>
              <w:bottom w:val="nil"/>
              <w:right w:val="nil"/>
            </w:tcBorders>
            <w:shd w:val="clear" w:color="auto" w:fill="auto"/>
            <w:vAlign w:val="bottom"/>
          </w:tcPr>
          <w:p w14:paraId="1A9BFAFB" w14:textId="2C50F70D" w:rsidR="005146A4" w:rsidRPr="001D41EA" w:rsidRDefault="005146A4" w:rsidP="001D41EA">
            <w:pPr>
              <w:spacing w:before="40" w:after="20"/>
              <w:jc w:val="center"/>
              <w:rPr>
                <w:rFonts w:cs="Arial"/>
                <w:sz w:val="18"/>
                <w:szCs w:val="18"/>
              </w:rPr>
            </w:pPr>
            <w:r w:rsidRPr="001D41EA">
              <w:rPr>
                <w:rFonts w:cs="Arial"/>
                <w:sz w:val="18"/>
                <w:szCs w:val="18"/>
              </w:rPr>
              <w:t>0.983</w:t>
            </w:r>
          </w:p>
        </w:tc>
        <w:tc>
          <w:tcPr>
            <w:tcW w:w="851" w:type="dxa"/>
            <w:tcBorders>
              <w:top w:val="nil"/>
              <w:left w:val="nil"/>
              <w:bottom w:val="nil"/>
              <w:right w:val="nil"/>
            </w:tcBorders>
            <w:shd w:val="clear" w:color="auto" w:fill="auto"/>
            <w:vAlign w:val="bottom"/>
          </w:tcPr>
          <w:p w14:paraId="6CF837C9" w14:textId="39226685" w:rsidR="005146A4" w:rsidRPr="001D41EA" w:rsidRDefault="005146A4" w:rsidP="001D41EA">
            <w:pPr>
              <w:spacing w:before="40" w:after="20"/>
              <w:jc w:val="center"/>
              <w:rPr>
                <w:rFonts w:cs="Arial"/>
                <w:sz w:val="18"/>
                <w:szCs w:val="18"/>
              </w:rPr>
            </w:pPr>
            <w:r w:rsidRPr="001D41EA">
              <w:rPr>
                <w:rFonts w:cs="Arial"/>
                <w:sz w:val="18"/>
                <w:szCs w:val="18"/>
              </w:rPr>
              <w:t>1.018</w:t>
            </w:r>
          </w:p>
        </w:tc>
        <w:tc>
          <w:tcPr>
            <w:tcW w:w="851" w:type="dxa"/>
            <w:tcBorders>
              <w:top w:val="nil"/>
              <w:left w:val="nil"/>
              <w:bottom w:val="nil"/>
              <w:right w:val="nil"/>
            </w:tcBorders>
            <w:shd w:val="clear" w:color="auto" w:fill="auto"/>
            <w:vAlign w:val="bottom"/>
          </w:tcPr>
          <w:p w14:paraId="09811A9A" w14:textId="77C3CA04" w:rsidR="005146A4" w:rsidRPr="001D41EA" w:rsidRDefault="005146A4" w:rsidP="001D41EA">
            <w:pPr>
              <w:spacing w:before="40" w:after="20"/>
              <w:jc w:val="center"/>
              <w:rPr>
                <w:rFonts w:cs="Arial"/>
                <w:sz w:val="18"/>
                <w:szCs w:val="18"/>
              </w:rPr>
            </w:pPr>
            <w:r w:rsidRPr="001D41EA">
              <w:rPr>
                <w:rFonts w:cs="Arial"/>
                <w:sz w:val="18"/>
                <w:szCs w:val="18"/>
              </w:rPr>
              <w:t>1.060</w:t>
            </w:r>
          </w:p>
        </w:tc>
        <w:tc>
          <w:tcPr>
            <w:tcW w:w="851" w:type="dxa"/>
            <w:tcBorders>
              <w:top w:val="nil"/>
              <w:left w:val="nil"/>
              <w:bottom w:val="nil"/>
              <w:right w:val="nil"/>
            </w:tcBorders>
            <w:shd w:val="clear" w:color="auto" w:fill="auto"/>
            <w:vAlign w:val="bottom"/>
          </w:tcPr>
          <w:p w14:paraId="38E62DBC" w14:textId="2D29E328" w:rsidR="005146A4" w:rsidRPr="001D41EA" w:rsidRDefault="005146A4" w:rsidP="001D41EA">
            <w:pPr>
              <w:spacing w:before="40" w:after="20"/>
              <w:jc w:val="center"/>
              <w:rPr>
                <w:rFonts w:cs="Arial"/>
                <w:sz w:val="18"/>
                <w:szCs w:val="18"/>
              </w:rPr>
            </w:pPr>
            <w:r w:rsidRPr="001D41EA">
              <w:rPr>
                <w:rFonts w:cs="Arial"/>
                <w:sz w:val="18"/>
                <w:szCs w:val="18"/>
              </w:rPr>
              <w:t>1.101</w:t>
            </w:r>
          </w:p>
        </w:tc>
        <w:tc>
          <w:tcPr>
            <w:tcW w:w="851" w:type="dxa"/>
            <w:tcBorders>
              <w:top w:val="nil"/>
              <w:left w:val="nil"/>
              <w:bottom w:val="nil"/>
              <w:right w:val="nil"/>
            </w:tcBorders>
            <w:shd w:val="clear" w:color="auto" w:fill="auto"/>
            <w:vAlign w:val="bottom"/>
          </w:tcPr>
          <w:p w14:paraId="71754A14" w14:textId="3AFC37FE" w:rsidR="005146A4" w:rsidRPr="001D41EA" w:rsidRDefault="005146A4" w:rsidP="001D41EA">
            <w:pPr>
              <w:spacing w:before="40" w:after="20"/>
              <w:jc w:val="center"/>
              <w:rPr>
                <w:rFonts w:cs="Arial"/>
                <w:sz w:val="18"/>
                <w:szCs w:val="18"/>
              </w:rPr>
            </w:pPr>
            <w:r w:rsidRPr="001D41EA">
              <w:rPr>
                <w:rFonts w:cs="Arial"/>
                <w:sz w:val="18"/>
                <w:szCs w:val="18"/>
              </w:rPr>
              <w:t>1.061</w:t>
            </w:r>
          </w:p>
        </w:tc>
        <w:tc>
          <w:tcPr>
            <w:tcW w:w="851" w:type="dxa"/>
            <w:tcBorders>
              <w:top w:val="nil"/>
              <w:left w:val="nil"/>
              <w:bottom w:val="nil"/>
              <w:right w:val="nil"/>
            </w:tcBorders>
            <w:shd w:val="clear" w:color="auto" w:fill="auto"/>
            <w:vAlign w:val="bottom"/>
          </w:tcPr>
          <w:p w14:paraId="3BA7D7BA" w14:textId="78FCE988" w:rsidR="005146A4" w:rsidRPr="001D41EA" w:rsidRDefault="005146A4" w:rsidP="001D41EA">
            <w:pPr>
              <w:spacing w:before="40" w:after="20"/>
              <w:jc w:val="center"/>
              <w:rPr>
                <w:rFonts w:cs="Arial"/>
                <w:sz w:val="18"/>
                <w:szCs w:val="18"/>
              </w:rPr>
            </w:pPr>
            <w:r w:rsidRPr="001D41EA">
              <w:rPr>
                <w:rFonts w:cs="Arial"/>
                <w:sz w:val="18"/>
                <w:szCs w:val="18"/>
              </w:rPr>
              <w:t>1.132</w:t>
            </w:r>
          </w:p>
        </w:tc>
        <w:tc>
          <w:tcPr>
            <w:tcW w:w="851" w:type="dxa"/>
            <w:tcBorders>
              <w:top w:val="nil"/>
              <w:left w:val="nil"/>
              <w:bottom w:val="nil"/>
              <w:right w:val="nil"/>
            </w:tcBorders>
            <w:shd w:val="clear" w:color="auto" w:fill="auto"/>
            <w:vAlign w:val="bottom"/>
          </w:tcPr>
          <w:p w14:paraId="310BDB27" w14:textId="1997F394" w:rsidR="005146A4" w:rsidRPr="001D41EA" w:rsidRDefault="005146A4" w:rsidP="001D41EA">
            <w:pPr>
              <w:spacing w:before="40" w:after="20"/>
              <w:jc w:val="center"/>
              <w:rPr>
                <w:rFonts w:cs="Arial"/>
                <w:sz w:val="18"/>
                <w:szCs w:val="18"/>
              </w:rPr>
            </w:pPr>
            <w:r w:rsidRPr="001D41EA">
              <w:rPr>
                <w:rFonts w:cs="Arial"/>
                <w:sz w:val="18"/>
                <w:szCs w:val="18"/>
              </w:rPr>
              <w:t>1.170</w:t>
            </w:r>
          </w:p>
        </w:tc>
      </w:tr>
      <w:tr w:rsidR="005146A4" w:rsidRPr="001D41EA" w14:paraId="49C2833B"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0081279" w14:textId="77777777" w:rsidR="005146A4" w:rsidRPr="001D41EA" w:rsidRDefault="005146A4" w:rsidP="001D41EA">
            <w:pPr>
              <w:spacing w:before="40" w:after="20"/>
              <w:rPr>
                <w:rFonts w:cs="Arial"/>
                <w:sz w:val="18"/>
                <w:szCs w:val="18"/>
              </w:rPr>
            </w:pPr>
            <w:r w:rsidRPr="001D41EA">
              <w:rPr>
                <w:rFonts w:cs="Arial"/>
                <w:sz w:val="18"/>
                <w:szCs w:val="18"/>
              </w:rPr>
              <w:t>Warrnambool C</w:t>
            </w:r>
          </w:p>
        </w:tc>
        <w:tc>
          <w:tcPr>
            <w:tcW w:w="851" w:type="dxa"/>
            <w:tcBorders>
              <w:top w:val="nil"/>
              <w:left w:val="single" w:sz="18" w:space="0" w:color="5F497A" w:themeColor="accent4" w:themeShade="BF"/>
              <w:bottom w:val="nil"/>
              <w:right w:val="nil"/>
            </w:tcBorders>
            <w:shd w:val="clear" w:color="auto" w:fill="auto"/>
            <w:vAlign w:val="bottom"/>
          </w:tcPr>
          <w:p w14:paraId="30B99BE7" w14:textId="75684144" w:rsidR="005146A4" w:rsidRPr="001D41EA" w:rsidRDefault="005146A4" w:rsidP="001D41EA">
            <w:pPr>
              <w:spacing w:before="40" w:after="20"/>
              <w:jc w:val="center"/>
              <w:rPr>
                <w:rFonts w:cs="Arial"/>
                <w:sz w:val="18"/>
                <w:szCs w:val="18"/>
              </w:rPr>
            </w:pPr>
            <w:r w:rsidRPr="001D41EA">
              <w:rPr>
                <w:rFonts w:cs="Arial"/>
                <w:sz w:val="18"/>
                <w:szCs w:val="18"/>
              </w:rPr>
              <w:t>1.028</w:t>
            </w:r>
          </w:p>
        </w:tc>
        <w:tc>
          <w:tcPr>
            <w:tcW w:w="851" w:type="dxa"/>
            <w:tcBorders>
              <w:top w:val="nil"/>
              <w:left w:val="nil"/>
              <w:bottom w:val="nil"/>
              <w:right w:val="nil"/>
            </w:tcBorders>
            <w:shd w:val="clear" w:color="auto" w:fill="auto"/>
            <w:vAlign w:val="bottom"/>
          </w:tcPr>
          <w:p w14:paraId="5B9EAEA1" w14:textId="3B9CB900" w:rsidR="005146A4" w:rsidRPr="001D41EA" w:rsidRDefault="005146A4" w:rsidP="001D41EA">
            <w:pPr>
              <w:spacing w:before="40" w:after="20"/>
              <w:jc w:val="center"/>
              <w:rPr>
                <w:rFonts w:cs="Arial"/>
                <w:sz w:val="18"/>
                <w:szCs w:val="18"/>
              </w:rPr>
            </w:pPr>
            <w:r w:rsidRPr="001D41EA">
              <w:rPr>
                <w:rFonts w:cs="Arial"/>
                <w:sz w:val="18"/>
                <w:szCs w:val="18"/>
              </w:rPr>
              <w:t>0.969</w:t>
            </w:r>
          </w:p>
        </w:tc>
        <w:tc>
          <w:tcPr>
            <w:tcW w:w="851" w:type="dxa"/>
            <w:tcBorders>
              <w:top w:val="nil"/>
              <w:left w:val="nil"/>
              <w:bottom w:val="nil"/>
              <w:right w:val="nil"/>
            </w:tcBorders>
            <w:shd w:val="clear" w:color="auto" w:fill="auto"/>
            <w:vAlign w:val="bottom"/>
          </w:tcPr>
          <w:p w14:paraId="719E3BCA" w14:textId="0672130A" w:rsidR="005146A4" w:rsidRPr="001D41EA" w:rsidRDefault="005146A4" w:rsidP="001D41EA">
            <w:pPr>
              <w:spacing w:before="40" w:after="20"/>
              <w:jc w:val="center"/>
              <w:rPr>
                <w:rFonts w:cs="Arial"/>
                <w:sz w:val="18"/>
                <w:szCs w:val="18"/>
              </w:rPr>
            </w:pPr>
            <w:r w:rsidRPr="001D41EA">
              <w:rPr>
                <w:rFonts w:cs="Arial"/>
                <w:sz w:val="18"/>
                <w:szCs w:val="18"/>
              </w:rPr>
              <w:t>0.981</w:t>
            </w:r>
          </w:p>
        </w:tc>
        <w:tc>
          <w:tcPr>
            <w:tcW w:w="851" w:type="dxa"/>
            <w:tcBorders>
              <w:top w:val="nil"/>
              <w:left w:val="nil"/>
              <w:bottom w:val="nil"/>
              <w:right w:val="nil"/>
            </w:tcBorders>
            <w:shd w:val="clear" w:color="auto" w:fill="auto"/>
            <w:vAlign w:val="bottom"/>
          </w:tcPr>
          <w:p w14:paraId="5E68A466" w14:textId="61511889" w:rsidR="005146A4" w:rsidRPr="001D41EA" w:rsidRDefault="005146A4" w:rsidP="001D41EA">
            <w:pPr>
              <w:spacing w:before="40" w:after="20"/>
              <w:jc w:val="center"/>
              <w:rPr>
                <w:rFonts w:cs="Arial"/>
                <w:sz w:val="18"/>
                <w:szCs w:val="18"/>
              </w:rPr>
            </w:pPr>
            <w:r w:rsidRPr="001D41EA">
              <w:rPr>
                <w:rFonts w:cs="Arial"/>
                <w:sz w:val="18"/>
                <w:szCs w:val="18"/>
              </w:rPr>
              <w:t>1.151</w:t>
            </w:r>
          </w:p>
        </w:tc>
        <w:tc>
          <w:tcPr>
            <w:tcW w:w="851" w:type="dxa"/>
            <w:tcBorders>
              <w:top w:val="nil"/>
              <w:left w:val="nil"/>
              <w:bottom w:val="nil"/>
              <w:right w:val="nil"/>
            </w:tcBorders>
            <w:shd w:val="clear" w:color="auto" w:fill="auto"/>
            <w:vAlign w:val="bottom"/>
          </w:tcPr>
          <w:p w14:paraId="6F77CC2C" w14:textId="7F27188E" w:rsidR="005146A4" w:rsidRPr="001D41EA" w:rsidRDefault="005146A4" w:rsidP="001D41EA">
            <w:pPr>
              <w:spacing w:before="40" w:after="20"/>
              <w:jc w:val="center"/>
              <w:rPr>
                <w:rFonts w:cs="Arial"/>
                <w:sz w:val="18"/>
                <w:szCs w:val="18"/>
              </w:rPr>
            </w:pPr>
            <w:r w:rsidRPr="001D41EA">
              <w:rPr>
                <w:rFonts w:cs="Arial"/>
                <w:sz w:val="18"/>
                <w:szCs w:val="18"/>
              </w:rPr>
              <w:t>1.063</w:t>
            </w:r>
          </w:p>
        </w:tc>
        <w:tc>
          <w:tcPr>
            <w:tcW w:w="851" w:type="dxa"/>
            <w:tcBorders>
              <w:top w:val="nil"/>
              <w:left w:val="nil"/>
              <w:bottom w:val="nil"/>
              <w:right w:val="nil"/>
            </w:tcBorders>
            <w:shd w:val="clear" w:color="auto" w:fill="auto"/>
            <w:vAlign w:val="bottom"/>
          </w:tcPr>
          <w:p w14:paraId="61E09C22" w14:textId="19E60928" w:rsidR="005146A4" w:rsidRPr="001D41EA" w:rsidRDefault="005146A4" w:rsidP="001D41EA">
            <w:pPr>
              <w:spacing w:before="40" w:after="20"/>
              <w:jc w:val="center"/>
              <w:rPr>
                <w:rFonts w:cs="Arial"/>
                <w:sz w:val="18"/>
                <w:szCs w:val="18"/>
              </w:rPr>
            </w:pPr>
            <w:r w:rsidRPr="001D41EA">
              <w:rPr>
                <w:rFonts w:cs="Arial"/>
                <w:sz w:val="18"/>
                <w:szCs w:val="18"/>
              </w:rPr>
              <w:t>1.120</w:t>
            </w:r>
          </w:p>
        </w:tc>
        <w:tc>
          <w:tcPr>
            <w:tcW w:w="851" w:type="dxa"/>
            <w:tcBorders>
              <w:top w:val="nil"/>
              <w:left w:val="nil"/>
              <w:bottom w:val="nil"/>
              <w:right w:val="nil"/>
            </w:tcBorders>
            <w:shd w:val="clear" w:color="auto" w:fill="auto"/>
            <w:vAlign w:val="bottom"/>
          </w:tcPr>
          <w:p w14:paraId="00D2B0C7" w14:textId="28FA09E4" w:rsidR="005146A4" w:rsidRPr="001D41EA" w:rsidRDefault="005146A4" w:rsidP="001D41EA">
            <w:pPr>
              <w:spacing w:before="40" w:after="20"/>
              <w:jc w:val="center"/>
              <w:rPr>
                <w:rFonts w:cs="Arial"/>
                <w:sz w:val="18"/>
                <w:szCs w:val="18"/>
              </w:rPr>
            </w:pPr>
            <w:r w:rsidRPr="001D41EA">
              <w:rPr>
                <w:rFonts w:cs="Arial"/>
                <w:sz w:val="18"/>
                <w:szCs w:val="18"/>
              </w:rPr>
              <w:t>1.009</w:t>
            </w:r>
          </w:p>
        </w:tc>
        <w:tc>
          <w:tcPr>
            <w:tcW w:w="851" w:type="dxa"/>
            <w:tcBorders>
              <w:top w:val="nil"/>
              <w:left w:val="nil"/>
              <w:bottom w:val="nil"/>
              <w:right w:val="nil"/>
            </w:tcBorders>
            <w:shd w:val="clear" w:color="auto" w:fill="auto"/>
            <w:vAlign w:val="bottom"/>
          </w:tcPr>
          <w:p w14:paraId="2DD46F67" w14:textId="1B5A38D0" w:rsidR="005146A4" w:rsidRPr="001D41EA" w:rsidRDefault="005146A4" w:rsidP="001D41EA">
            <w:pPr>
              <w:spacing w:before="40" w:after="20"/>
              <w:jc w:val="center"/>
              <w:rPr>
                <w:rFonts w:cs="Arial"/>
                <w:sz w:val="18"/>
                <w:szCs w:val="18"/>
              </w:rPr>
            </w:pPr>
            <w:r w:rsidRPr="001D41EA">
              <w:rPr>
                <w:rFonts w:cs="Arial"/>
                <w:sz w:val="18"/>
                <w:szCs w:val="18"/>
              </w:rPr>
              <w:t>1.207</w:t>
            </w:r>
          </w:p>
        </w:tc>
      </w:tr>
      <w:tr w:rsidR="005146A4" w:rsidRPr="001D41EA" w14:paraId="572B5016"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46315858" w14:textId="77777777" w:rsidR="005146A4" w:rsidRPr="001D41EA" w:rsidRDefault="005146A4" w:rsidP="001D41EA">
            <w:pPr>
              <w:spacing w:before="40" w:after="20"/>
              <w:rPr>
                <w:rFonts w:cs="Arial"/>
                <w:sz w:val="18"/>
                <w:szCs w:val="18"/>
              </w:rPr>
            </w:pPr>
            <w:r w:rsidRPr="001D41EA">
              <w:rPr>
                <w:rFonts w:cs="Arial"/>
                <w:sz w:val="18"/>
                <w:szCs w:val="18"/>
              </w:rPr>
              <w:t>Wellington S</w:t>
            </w:r>
          </w:p>
        </w:tc>
        <w:tc>
          <w:tcPr>
            <w:tcW w:w="851" w:type="dxa"/>
            <w:tcBorders>
              <w:top w:val="nil"/>
              <w:left w:val="single" w:sz="18" w:space="0" w:color="5F497A" w:themeColor="accent4" w:themeShade="BF"/>
              <w:bottom w:val="nil"/>
              <w:right w:val="nil"/>
            </w:tcBorders>
            <w:shd w:val="clear" w:color="auto" w:fill="auto"/>
            <w:vAlign w:val="bottom"/>
          </w:tcPr>
          <w:p w14:paraId="6E170B52" w14:textId="6F4233E4" w:rsidR="005146A4" w:rsidRPr="001D41EA" w:rsidRDefault="005146A4" w:rsidP="001D41EA">
            <w:pPr>
              <w:spacing w:before="40" w:after="20"/>
              <w:jc w:val="center"/>
              <w:rPr>
                <w:rFonts w:cs="Arial"/>
                <w:sz w:val="18"/>
                <w:szCs w:val="18"/>
              </w:rPr>
            </w:pPr>
            <w:r w:rsidRPr="001D41EA">
              <w:rPr>
                <w:rFonts w:cs="Arial"/>
                <w:sz w:val="18"/>
                <w:szCs w:val="18"/>
              </w:rPr>
              <w:t>1.192</w:t>
            </w:r>
          </w:p>
        </w:tc>
        <w:tc>
          <w:tcPr>
            <w:tcW w:w="851" w:type="dxa"/>
            <w:tcBorders>
              <w:top w:val="nil"/>
              <w:left w:val="nil"/>
              <w:bottom w:val="nil"/>
              <w:right w:val="nil"/>
            </w:tcBorders>
            <w:shd w:val="clear" w:color="auto" w:fill="auto"/>
            <w:vAlign w:val="bottom"/>
          </w:tcPr>
          <w:p w14:paraId="051A4373" w14:textId="59CD91BC" w:rsidR="005146A4" w:rsidRPr="001D41EA" w:rsidRDefault="005146A4" w:rsidP="001D41EA">
            <w:pPr>
              <w:spacing w:before="40" w:after="20"/>
              <w:jc w:val="center"/>
              <w:rPr>
                <w:rFonts w:cs="Arial"/>
                <w:sz w:val="18"/>
                <w:szCs w:val="18"/>
              </w:rPr>
            </w:pPr>
            <w:r w:rsidRPr="001D41EA">
              <w:rPr>
                <w:rFonts w:cs="Arial"/>
                <w:sz w:val="18"/>
                <w:szCs w:val="18"/>
              </w:rPr>
              <w:t>1.074</w:t>
            </w:r>
          </w:p>
        </w:tc>
        <w:tc>
          <w:tcPr>
            <w:tcW w:w="851" w:type="dxa"/>
            <w:tcBorders>
              <w:top w:val="nil"/>
              <w:left w:val="nil"/>
              <w:bottom w:val="nil"/>
              <w:right w:val="nil"/>
            </w:tcBorders>
            <w:shd w:val="clear" w:color="auto" w:fill="auto"/>
            <w:vAlign w:val="bottom"/>
          </w:tcPr>
          <w:p w14:paraId="5B9A5397" w14:textId="3E5CC651" w:rsidR="005146A4" w:rsidRPr="001D41EA" w:rsidRDefault="005146A4" w:rsidP="001D41EA">
            <w:pPr>
              <w:spacing w:before="40" w:after="20"/>
              <w:jc w:val="center"/>
              <w:rPr>
                <w:rFonts w:cs="Arial"/>
                <w:sz w:val="18"/>
                <w:szCs w:val="18"/>
              </w:rPr>
            </w:pPr>
            <w:r w:rsidRPr="001D41EA">
              <w:rPr>
                <w:rFonts w:cs="Arial"/>
                <w:sz w:val="18"/>
                <w:szCs w:val="18"/>
              </w:rPr>
              <w:t>1.128</w:t>
            </w:r>
          </w:p>
        </w:tc>
        <w:tc>
          <w:tcPr>
            <w:tcW w:w="851" w:type="dxa"/>
            <w:tcBorders>
              <w:top w:val="nil"/>
              <w:left w:val="nil"/>
              <w:bottom w:val="nil"/>
              <w:right w:val="nil"/>
            </w:tcBorders>
            <w:shd w:val="clear" w:color="auto" w:fill="auto"/>
            <w:vAlign w:val="bottom"/>
          </w:tcPr>
          <w:p w14:paraId="4A85A644" w14:textId="0830F648" w:rsidR="005146A4" w:rsidRPr="001D41EA" w:rsidRDefault="005146A4" w:rsidP="001D41EA">
            <w:pPr>
              <w:spacing w:before="40" w:after="20"/>
              <w:jc w:val="center"/>
              <w:rPr>
                <w:rFonts w:cs="Arial"/>
                <w:sz w:val="18"/>
                <w:szCs w:val="18"/>
              </w:rPr>
            </w:pPr>
            <w:r w:rsidRPr="001D41EA">
              <w:rPr>
                <w:rFonts w:cs="Arial"/>
                <w:sz w:val="18"/>
                <w:szCs w:val="18"/>
              </w:rPr>
              <w:t>1.100</w:t>
            </w:r>
          </w:p>
        </w:tc>
        <w:tc>
          <w:tcPr>
            <w:tcW w:w="851" w:type="dxa"/>
            <w:tcBorders>
              <w:top w:val="nil"/>
              <w:left w:val="nil"/>
              <w:bottom w:val="nil"/>
              <w:right w:val="nil"/>
            </w:tcBorders>
            <w:shd w:val="clear" w:color="auto" w:fill="auto"/>
            <w:vAlign w:val="bottom"/>
          </w:tcPr>
          <w:p w14:paraId="04485373" w14:textId="5964EE5D" w:rsidR="005146A4" w:rsidRPr="001D41EA" w:rsidRDefault="005146A4" w:rsidP="001D41EA">
            <w:pPr>
              <w:spacing w:before="40" w:after="20"/>
              <w:jc w:val="center"/>
              <w:rPr>
                <w:rFonts w:cs="Arial"/>
                <w:sz w:val="18"/>
                <w:szCs w:val="18"/>
              </w:rPr>
            </w:pPr>
            <w:r w:rsidRPr="001D41EA">
              <w:rPr>
                <w:rFonts w:cs="Arial"/>
                <w:sz w:val="18"/>
                <w:szCs w:val="18"/>
              </w:rPr>
              <w:t>1.270</w:t>
            </w:r>
          </w:p>
        </w:tc>
        <w:tc>
          <w:tcPr>
            <w:tcW w:w="851" w:type="dxa"/>
            <w:tcBorders>
              <w:top w:val="nil"/>
              <w:left w:val="nil"/>
              <w:bottom w:val="nil"/>
              <w:right w:val="nil"/>
            </w:tcBorders>
            <w:shd w:val="clear" w:color="auto" w:fill="auto"/>
            <w:vAlign w:val="bottom"/>
          </w:tcPr>
          <w:p w14:paraId="65B626F6" w14:textId="10194732" w:rsidR="005146A4" w:rsidRPr="001D41EA" w:rsidRDefault="005146A4" w:rsidP="001D41EA">
            <w:pPr>
              <w:spacing w:before="40" w:after="20"/>
              <w:jc w:val="center"/>
              <w:rPr>
                <w:rFonts w:cs="Arial"/>
                <w:sz w:val="18"/>
                <w:szCs w:val="18"/>
              </w:rPr>
            </w:pPr>
            <w:r w:rsidRPr="001D41EA">
              <w:rPr>
                <w:rFonts w:cs="Arial"/>
                <w:sz w:val="18"/>
                <w:szCs w:val="18"/>
              </w:rPr>
              <w:t>1.052</w:t>
            </w:r>
          </w:p>
        </w:tc>
        <w:tc>
          <w:tcPr>
            <w:tcW w:w="851" w:type="dxa"/>
            <w:tcBorders>
              <w:top w:val="nil"/>
              <w:left w:val="nil"/>
              <w:bottom w:val="nil"/>
              <w:right w:val="nil"/>
            </w:tcBorders>
            <w:shd w:val="clear" w:color="auto" w:fill="auto"/>
            <w:vAlign w:val="bottom"/>
          </w:tcPr>
          <w:p w14:paraId="18019073" w14:textId="34CD01BC" w:rsidR="005146A4" w:rsidRPr="001D41EA" w:rsidRDefault="005146A4" w:rsidP="001D41EA">
            <w:pPr>
              <w:spacing w:before="40" w:after="20"/>
              <w:jc w:val="center"/>
              <w:rPr>
                <w:rFonts w:cs="Arial"/>
                <w:sz w:val="18"/>
                <w:szCs w:val="18"/>
              </w:rPr>
            </w:pPr>
            <w:r w:rsidRPr="001D41EA">
              <w:rPr>
                <w:rFonts w:cs="Arial"/>
                <w:sz w:val="18"/>
                <w:szCs w:val="18"/>
              </w:rPr>
              <w:t>1.342</w:t>
            </w:r>
          </w:p>
        </w:tc>
        <w:tc>
          <w:tcPr>
            <w:tcW w:w="851" w:type="dxa"/>
            <w:tcBorders>
              <w:top w:val="nil"/>
              <w:left w:val="nil"/>
              <w:bottom w:val="nil"/>
              <w:right w:val="nil"/>
            </w:tcBorders>
            <w:shd w:val="clear" w:color="auto" w:fill="auto"/>
            <w:vAlign w:val="bottom"/>
          </w:tcPr>
          <w:p w14:paraId="0F0F4088" w14:textId="37C86875" w:rsidR="005146A4" w:rsidRPr="001D41EA" w:rsidRDefault="005146A4" w:rsidP="001D41EA">
            <w:pPr>
              <w:spacing w:before="40" w:after="20"/>
              <w:jc w:val="center"/>
              <w:rPr>
                <w:rFonts w:cs="Arial"/>
                <w:sz w:val="18"/>
                <w:szCs w:val="18"/>
              </w:rPr>
            </w:pPr>
            <w:r w:rsidRPr="001D41EA">
              <w:rPr>
                <w:rFonts w:cs="Arial"/>
                <w:sz w:val="18"/>
                <w:szCs w:val="18"/>
              </w:rPr>
              <w:t>1.183</w:t>
            </w:r>
          </w:p>
        </w:tc>
      </w:tr>
      <w:tr w:rsidR="005146A4" w:rsidRPr="001D41EA" w14:paraId="66556123"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33AC3C0D" w14:textId="77777777" w:rsidR="005146A4" w:rsidRPr="001D41EA" w:rsidRDefault="005146A4" w:rsidP="001D41EA">
            <w:pPr>
              <w:spacing w:before="40" w:after="20"/>
              <w:rPr>
                <w:rFonts w:cs="Arial"/>
                <w:sz w:val="18"/>
                <w:szCs w:val="18"/>
              </w:rPr>
            </w:pPr>
            <w:r w:rsidRPr="001D41EA">
              <w:rPr>
                <w:rFonts w:cs="Arial"/>
                <w:sz w:val="18"/>
                <w:szCs w:val="18"/>
              </w:rPr>
              <w:t>West Wimmera S</w:t>
            </w:r>
          </w:p>
        </w:tc>
        <w:tc>
          <w:tcPr>
            <w:tcW w:w="851" w:type="dxa"/>
            <w:tcBorders>
              <w:top w:val="nil"/>
              <w:left w:val="single" w:sz="18" w:space="0" w:color="5F497A" w:themeColor="accent4" w:themeShade="BF"/>
              <w:bottom w:val="nil"/>
              <w:right w:val="nil"/>
            </w:tcBorders>
            <w:shd w:val="clear" w:color="auto" w:fill="auto"/>
            <w:vAlign w:val="bottom"/>
          </w:tcPr>
          <w:p w14:paraId="71889350" w14:textId="1E5C1E35" w:rsidR="005146A4" w:rsidRPr="001D41EA" w:rsidRDefault="005146A4" w:rsidP="001D41EA">
            <w:pPr>
              <w:spacing w:before="40" w:after="20"/>
              <w:jc w:val="center"/>
              <w:rPr>
                <w:rFonts w:cs="Arial"/>
                <w:sz w:val="18"/>
                <w:szCs w:val="18"/>
              </w:rPr>
            </w:pPr>
            <w:r w:rsidRPr="001D41EA">
              <w:rPr>
                <w:rFonts w:cs="Arial"/>
                <w:sz w:val="18"/>
                <w:szCs w:val="18"/>
              </w:rPr>
              <w:t>1.333</w:t>
            </w:r>
          </w:p>
        </w:tc>
        <w:tc>
          <w:tcPr>
            <w:tcW w:w="851" w:type="dxa"/>
            <w:tcBorders>
              <w:top w:val="nil"/>
              <w:left w:val="nil"/>
              <w:bottom w:val="nil"/>
              <w:right w:val="nil"/>
            </w:tcBorders>
            <w:shd w:val="clear" w:color="auto" w:fill="auto"/>
            <w:vAlign w:val="bottom"/>
          </w:tcPr>
          <w:p w14:paraId="1F88670A" w14:textId="4EFF9897" w:rsidR="005146A4" w:rsidRPr="001D41EA" w:rsidRDefault="005146A4" w:rsidP="001D41EA">
            <w:pPr>
              <w:spacing w:before="40" w:after="20"/>
              <w:jc w:val="center"/>
              <w:rPr>
                <w:rFonts w:cs="Arial"/>
                <w:sz w:val="18"/>
                <w:szCs w:val="18"/>
              </w:rPr>
            </w:pPr>
            <w:r w:rsidRPr="001D41EA">
              <w:rPr>
                <w:rFonts w:cs="Arial"/>
                <w:sz w:val="18"/>
                <w:szCs w:val="18"/>
              </w:rPr>
              <w:t>1.088</w:t>
            </w:r>
          </w:p>
        </w:tc>
        <w:tc>
          <w:tcPr>
            <w:tcW w:w="851" w:type="dxa"/>
            <w:tcBorders>
              <w:top w:val="nil"/>
              <w:left w:val="nil"/>
              <w:bottom w:val="nil"/>
              <w:right w:val="nil"/>
            </w:tcBorders>
            <w:shd w:val="clear" w:color="auto" w:fill="auto"/>
            <w:vAlign w:val="bottom"/>
          </w:tcPr>
          <w:p w14:paraId="4EE5B197" w14:textId="3E8DC1AE" w:rsidR="005146A4" w:rsidRPr="001D41EA" w:rsidRDefault="005146A4" w:rsidP="001D41EA">
            <w:pPr>
              <w:spacing w:before="40" w:after="20"/>
              <w:jc w:val="center"/>
              <w:rPr>
                <w:rFonts w:cs="Arial"/>
                <w:sz w:val="18"/>
                <w:szCs w:val="18"/>
              </w:rPr>
            </w:pPr>
            <w:r w:rsidRPr="001D41EA">
              <w:rPr>
                <w:rFonts w:cs="Arial"/>
                <w:sz w:val="18"/>
                <w:szCs w:val="18"/>
              </w:rPr>
              <w:t>1.204</w:t>
            </w:r>
          </w:p>
        </w:tc>
        <w:tc>
          <w:tcPr>
            <w:tcW w:w="851" w:type="dxa"/>
            <w:tcBorders>
              <w:top w:val="nil"/>
              <w:left w:val="nil"/>
              <w:bottom w:val="nil"/>
              <w:right w:val="nil"/>
            </w:tcBorders>
            <w:shd w:val="clear" w:color="auto" w:fill="auto"/>
            <w:vAlign w:val="bottom"/>
          </w:tcPr>
          <w:p w14:paraId="5CDAC838" w14:textId="5F4C0E78" w:rsidR="005146A4" w:rsidRPr="001D41EA" w:rsidRDefault="005146A4" w:rsidP="001D41EA">
            <w:pPr>
              <w:spacing w:before="40" w:after="20"/>
              <w:jc w:val="center"/>
              <w:rPr>
                <w:rFonts w:cs="Arial"/>
                <w:sz w:val="18"/>
                <w:szCs w:val="18"/>
              </w:rPr>
            </w:pPr>
            <w:r w:rsidRPr="001D41EA">
              <w:rPr>
                <w:rFonts w:cs="Arial"/>
                <w:sz w:val="18"/>
                <w:szCs w:val="18"/>
              </w:rPr>
              <w:t>1.107</w:t>
            </w:r>
          </w:p>
        </w:tc>
        <w:tc>
          <w:tcPr>
            <w:tcW w:w="851" w:type="dxa"/>
            <w:tcBorders>
              <w:top w:val="nil"/>
              <w:left w:val="nil"/>
              <w:bottom w:val="nil"/>
              <w:right w:val="nil"/>
            </w:tcBorders>
            <w:shd w:val="clear" w:color="auto" w:fill="auto"/>
            <w:vAlign w:val="bottom"/>
          </w:tcPr>
          <w:p w14:paraId="503FE86E" w14:textId="03D3FEC5" w:rsidR="005146A4" w:rsidRPr="001D41EA" w:rsidRDefault="005146A4" w:rsidP="001D41EA">
            <w:pPr>
              <w:spacing w:before="40" w:after="20"/>
              <w:jc w:val="center"/>
              <w:rPr>
                <w:rFonts w:cs="Arial"/>
                <w:sz w:val="18"/>
                <w:szCs w:val="18"/>
              </w:rPr>
            </w:pPr>
            <w:r w:rsidRPr="001D41EA">
              <w:rPr>
                <w:rFonts w:cs="Arial"/>
                <w:sz w:val="18"/>
                <w:szCs w:val="18"/>
              </w:rPr>
              <w:t>1.420</w:t>
            </w:r>
          </w:p>
        </w:tc>
        <w:tc>
          <w:tcPr>
            <w:tcW w:w="851" w:type="dxa"/>
            <w:tcBorders>
              <w:top w:val="nil"/>
              <w:left w:val="nil"/>
              <w:bottom w:val="nil"/>
              <w:right w:val="nil"/>
            </w:tcBorders>
            <w:shd w:val="clear" w:color="auto" w:fill="auto"/>
            <w:vAlign w:val="bottom"/>
          </w:tcPr>
          <w:p w14:paraId="3EC4A6DE" w14:textId="76E171A1" w:rsidR="005146A4" w:rsidRPr="001D41EA" w:rsidRDefault="005146A4" w:rsidP="001D41EA">
            <w:pPr>
              <w:spacing w:before="40" w:after="20"/>
              <w:jc w:val="center"/>
              <w:rPr>
                <w:rFonts w:cs="Arial"/>
                <w:sz w:val="18"/>
                <w:szCs w:val="18"/>
              </w:rPr>
            </w:pPr>
            <w:r w:rsidRPr="001D41EA">
              <w:rPr>
                <w:rFonts w:cs="Arial"/>
                <w:sz w:val="18"/>
                <w:szCs w:val="18"/>
              </w:rPr>
              <w:t>1.008</w:t>
            </w:r>
          </w:p>
        </w:tc>
        <w:tc>
          <w:tcPr>
            <w:tcW w:w="851" w:type="dxa"/>
            <w:tcBorders>
              <w:top w:val="nil"/>
              <w:left w:val="nil"/>
              <w:bottom w:val="nil"/>
              <w:right w:val="nil"/>
            </w:tcBorders>
            <w:shd w:val="clear" w:color="auto" w:fill="auto"/>
            <w:vAlign w:val="bottom"/>
          </w:tcPr>
          <w:p w14:paraId="19426380" w14:textId="41D111D1" w:rsidR="005146A4" w:rsidRPr="001D41EA" w:rsidRDefault="005146A4" w:rsidP="001D41EA">
            <w:pPr>
              <w:spacing w:before="40" w:after="20"/>
              <w:jc w:val="center"/>
              <w:rPr>
                <w:rFonts w:cs="Arial"/>
                <w:sz w:val="18"/>
                <w:szCs w:val="18"/>
              </w:rPr>
            </w:pPr>
            <w:r w:rsidRPr="001D41EA">
              <w:rPr>
                <w:rFonts w:cs="Arial"/>
                <w:sz w:val="18"/>
                <w:szCs w:val="18"/>
              </w:rPr>
              <w:t>1.577</w:t>
            </w:r>
          </w:p>
        </w:tc>
        <w:tc>
          <w:tcPr>
            <w:tcW w:w="851" w:type="dxa"/>
            <w:tcBorders>
              <w:top w:val="nil"/>
              <w:left w:val="nil"/>
              <w:bottom w:val="nil"/>
              <w:right w:val="nil"/>
            </w:tcBorders>
            <w:shd w:val="clear" w:color="auto" w:fill="auto"/>
            <w:vAlign w:val="bottom"/>
          </w:tcPr>
          <w:p w14:paraId="22EFD89A" w14:textId="0CA56129" w:rsidR="005146A4" w:rsidRPr="001D41EA" w:rsidRDefault="005146A4" w:rsidP="001D41EA">
            <w:pPr>
              <w:spacing w:before="40" w:after="20"/>
              <w:jc w:val="center"/>
              <w:rPr>
                <w:rFonts w:cs="Arial"/>
                <w:sz w:val="18"/>
                <w:szCs w:val="18"/>
              </w:rPr>
            </w:pPr>
            <w:r w:rsidRPr="001D41EA">
              <w:rPr>
                <w:rFonts w:cs="Arial"/>
                <w:sz w:val="18"/>
                <w:szCs w:val="18"/>
              </w:rPr>
              <w:t>1.264</w:t>
            </w:r>
          </w:p>
        </w:tc>
      </w:tr>
      <w:tr w:rsidR="005146A4" w:rsidRPr="001D41EA" w14:paraId="503FF3E5"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47C69B5" w14:textId="77777777" w:rsidR="005146A4" w:rsidRPr="001D41EA" w:rsidRDefault="005146A4" w:rsidP="001D41EA">
            <w:pPr>
              <w:spacing w:before="40" w:after="20"/>
              <w:rPr>
                <w:rFonts w:cs="Arial"/>
                <w:sz w:val="18"/>
                <w:szCs w:val="18"/>
              </w:rPr>
            </w:pPr>
            <w:r w:rsidRPr="001D41EA">
              <w:rPr>
                <w:rFonts w:cs="Arial"/>
                <w:sz w:val="18"/>
                <w:szCs w:val="18"/>
              </w:rPr>
              <w:t>Whitehorse C</w:t>
            </w:r>
          </w:p>
        </w:tc>
        <w:tc>
          <w:tcPr>
            <w:tcW w:w="851" w:type="dxa"/>
            <w:tcBorders>
              <w:top w:val="nil"/>
              <w:left w:val="single" w:sz="18" w:space="0" w:color="5F497A" w:themeColor="accent4" w:themeShade="BF"/>
              <w:bottom w:val="nil"/>
              <w:right w:val="nil"/>
            </w:tcBorders>
            <w:shd w:val="clear" w:color="auto" w:fill="auto"/>
            <w:vAlign w:val="bottom"/>
          </w:tcPr>
          <w:p w14:paraId="63F03778" w14:textId="3F8D1A64" w:rsidR="005146A4" w:rsidRPr="001D41EA" w:rsidRDefault="005146A4" w:rsidP="001D41EA">
            <w:pPr>
              <w:spacing w:before="40" w:after="20"/>
              <w:jc w:val="center"/>
              <w:rPr>
                <w:rFonts w:cs="Arial"/>
                <w:sz w:val="18"/>
                <w:szCs w:val="18"/>
              </w:rPr>
            </w:pPr>
            <w:r w:rsidRPr="001D41EA">
              <w:rPr>
                <w:rFonts w:cs="Arial"/>
                <w:sz w:val="18"/>
                <w:szCs w:val="18"/>
              </w:rPr>
              <w:t>0.971</w:t>
            </w:r>
          </w:p>
        </w:tc>
        <w:tc>
          <w:tcPr>
            <w:tcW w:w="851" w:type="dxa"/>
            <w:tcBorders>
              <w:top w:val="nil"/>
              <w:left w:val="nil"/>
              <w:bottom w:val="nil"/>
              <w:right w:val="nil"/>
            </w:tcBorders>
            <w:shd w:val="clear" w:color="auto" w:fill="auto"/>
            <w:vAlign w:val="bottom"/>
          </w:tcPr>
          <w:p w14:paraId="118CD408" w14:textId="233A4685" w:rsidR="005146A4" w:rsidRPr="001D41EA" w:rsidRDefault="005146A4" w:rsidP="001D41EA">
            <w:pPr>
              <w:spacing w:before="40" w:after="20"/>
              <w:jc w:val="center"/>
              <w:rPr>
                <w:rFonts w:cs="Arial"/>
                <w:sz w:val="18"/>
                <w:szCs w:val="18"/>
              </w:rPr>
            </w:pPr>
            <w:r w:rsidRPr="001D41EA">
              <w:rPr>
                <w:rFonts w:cs="Arial"/>
                <w:sz w:val="18"/>
                <w:szCs w:val="18"/>
              </w:rPr>
              <w:t>0.916</w:t>
            </w:r>
          </w:p>
        </w:tc>
        <w:tc>
          <w:tcPr>
            <w:tcW w:w="851" w:type="dxa"/>
            <w:tcBorders>
              <w:top w:val="nil"/>
              <w:left w:val="nil"/>
              <w:bottom w:val="nil"/>
              <w:right w:val="nil"/>
            </w:tcBorders>
            <w:shd w:val="clear" w:color="auto" w:fill="auto"/>
            <w:vAlign w:val="bottom"/>
          </w:tcPr>
          <w:p w14:paraId="62AEFDC9" w14:textId="0DB02E24" w:rsidR="005146A4" w:rsidRPr="001D41EA" w:rsidRDefault="005146A4" w:rsidP="001D41EA">
            <w:pPr>
              <w:spacing w:before="40" w:after="20"/>
              <w:jc w:val="center"/>
              <w:rPr>
                <w:rFonts w:cs="Arial"/>
                <w:sz w:val="18"/>
                <w:szCs w:val="18"/>
              </w:rPr>
            </w:pPr>
            <w:r w:rsidRPr="001D41EA">
              <w:rPr>
                <w:rFonts w:cs="Arial"/>
                <w:sz w:val="18"/>
                <w:szCs w:val="18"/>
              </w:rPr>
              <w:t>0.958</w:t>
            </w:r>
          </w:p>
        </w:tc>
        <w:tc>
          <w:tcPr>
            <w:tcW w:w="851" w:type="dxa"/>
            <w:tcBorders>
              <w:top w:val="nil"/>
              <w:left w:val="nil"/>
              <w:bottom w:val="nil"/>
              <w:right w:val="nil"/>
            </w:tcBorders>
            <w:shd w:val="clear" w:color="auto" w:fill="auto"/>
            <w:vAlign w:val="bottom"/>
          </w:tcPr>
          <w:p w14:paraId="6E4B01C7" w14:textId="3AE6DC0B" w:rsidR="005146A4" w:rsidRPr="001D41EA" w:rsidRDefault="005146A4" w:rsidP="001D41EA">
            <w:pPr>
              <w:spacing w:before="40" w:after="20"/>
              <w:jc w:val="center"/>
              <w:rPr>
                <w:rFonts w:cs="Arial"/>
                <w:sz w:val="18"/>
                <w:szCs w:val="18"/>
              </w:rPr>
            </w:pPr>
            <w:r w:rsidRPr="001D41EA">
              <w:rPr>
                <w:rFonts w:cs="Arial"/>
                <w:sz w:val="18"/>
                <w:szCs w:val="18"/>
              </w:rPr>
              <w:t>1.064</w:t>
            </w:r>
          </w:p>
        </w:tc>
        <w:tc>
          <w:tcPr>
            <w:tcW w:w="851" w:type="dxa"/>
            <w:tcBorders>
              <w:top w:val="nil"/>
              <w:left w:val="nil"/>
              <w:bottom w:val="nil"/>
              <w:right w:val="nil"/>
            </w:tcBorders>
            <w:shd w:val="clear" w:color="auto" w:fill="auto"/>
            <w:vAlign w:val="bottom"/>
          </w:tcPr>
          <w:p w14:paraId="4E900F80" w14:textId="459457FB" w:rsidR="005146A4" w:rsidRPr="001D41EA" w:rsidRDefault="005146A4" w:rsidP="001D41EA">
            <w:pPr>
              <w:spacing w:before="40" w:after="20"/>
              <w:jc w:val="center"/>
              <w:rPr>
                <w:rFonts w:cs="Arial"/>
                <w:sz w:val="18"/>
                <w:szCs w:val="18"/>
              </w:rPr>
            </w:pPr>
            <w:r w:rsidRPr="001D41EA">
              <w:rPr>
                <w:rFonts w:cs="Arial"/>
                <w:sz w:val="18"/>
                <w:szCs w:val="18"/>
              </w:rPr>
              <w:t>0.940</w:t>
            </w:r>
          </w:p>
        </w:tc>
        <w:tc>
          <w:tcPr>
            <w:tcW w:w="851" w:type="dxa"/>
            <w:tcBorders>
              <w:top w:val="nil"/>
              <w:left w:val="nil"/>
              <w:bottom w:val="nil"/>
              <w:right w:val="nil"/>
            </w:tcBorders>
            <w:shd w:val="clear" w:color="auto" w:fill="auto"/>
            <w:vAlign w:val="bottom"/>
          </w:tcPr>
          <w:p w14:paraId="07AF8409" w14:textId="670004AF" w:rsidR="005146A4" w:rsidRPr="001D41EA" w:rsidRDefault="005146A4" w:rsidP="001D41EA">
            <w:pPr>
              <w:spacing w:before="40" w:after="20"/>
              <w:jc w:val="center"/>
              <w:rPr>
                <w:rFonts w:cs="Arial"/>
                <w:sz w:val="18"/>
                <w:szCs w:val="18"/>
              </w:rPr>
            </w:pPr>
            <w:r w:rsidRPr="001D41EA">
              <w:rPr>
                <w:rFonts w:cs="Arial"/>
                <w:sz w:val="18"/>
                <w:szCs w:val="18"/>
              </w:rPr>
              <w:t>1.027</w:t>
            </w:r>
          </w:p>
        </w:tc>
        <w:tc>
          <w:tcPr>
            <w:tcW w:w="851" w:type="dxa"/>
            <w:tcBorders>
              <w:top w:val="nil"/>
              <w:left w:val="nil"/>
              <w:bottom w:val="nil"/>
              <w:right w:val="nil"/>
            </w:tcBorders>
            <w:shd w:val="clear" w:color="auto" w:fill="auto"/>
            <w:vAlign w:val="bottom"/>
          </w:tcPr>
          <w:p w14:paraId="7368FB46" w14:textId="06C098E0" w:rsidR="005146A4" w:rsidRPr="001D41EA" w:rsidRDefault="005146A4" w:rsidP="001D41EA">
            <w:pPr>
              <w:spacing w:before="40" w:after="20"/>
              <w:jc w:val="center"/>
              <w:rPr>
                <w:rFonts w:cs="Arial"/>
                <w:sz w:val="18"/>
                <w:szCs w:val="18"/>
              </w:rPr>
            </w:pPr>
            <w:r w:rsidRPr="001D41EA">
              <w:rPr>
                <w:rFonts w:cs="Arial"/>
                <w:sz w:val="18"/>
                <w:szCs w:val="18"/>
              </w:rPr>
              <w:t>0.901</w:t>
            </w:r>
          </w:p>
        </w:tc>
        <w:tc>
          <w:tcPr>
            <w:tcW w:w="851" w:type="dxa"/>
            <w:tcBorders>
              <w:top w:val="nil"/>
              <w:left w:val="nil"/>
              <w:bottom w:val="nil"/>
              <w:right w:val="nil"/>
            </w:tcBorders>
            <w:shd w:val="clear" w:color="auto" w:fill="auto"/>
            <w:vAlign w:val="bottom"/>
          </w:tcPr>
          <w:p w14:paraId="1D7C9A80" w14:textId="25B5810C" w:rsidR="005146A4" w:rsidRPr="001D41EA" w:rsidRDefault="005146A4" w:rsidP="001D41EA">
            <w:pPr>
              <w:spacing w:before="40" w:after="20"/>
              <w:jc w:val="center"/>
              <w:rPr>
                <w:rFonts w:cs="Arial"/>
                <w:sz w:val="18"/>
                <w:szCs w:val="18"/>
              </w:rPr>
            </w:pPr>
            <w:r w:rsidRPr="001D41EA">
              <w:rPr>
                <w:rFonts w:cs="Arial"/>
                <w:sz w:val="18"/>
                <w:szCs w:val="18"/>
              </w:rPr>
              <w:t>1.013</w:t>
            </w:r>
          </w:p>
        </w:tc>
      </w:tr>
      <w:tr w:rsidR="005146A4" w:rsidRPr="001D41EA" w14:paraId="7D8BE344"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407C7866" w14:textId="77777777" w:rsidR="005146A4" w:rsidRPr="001D41EA" w:rsidRDefault="005146A4" w:rsidP="001D41EA">
            <w:pPr>
              <w:spacing w:before="40" w:after="20"/>
              <w:rPr>
                <w:rFonts w:cs="Arial"/>
                <w:sz w:val="18"/>
                <w:szCs w:val="18"/>
              </w:rPr>
            </w:pPr>
            <w:r w:rsidRPr="001D41EA">
              <w:rPr>
                <w:rFonts w:cs="Arial"/>
                <w:sz w:val="18"/>
                <w:szCs w:val="18"/>
              </w:rPr>
              <w:t>Whittlesea C</w:t>
            </w:r>
          </w:p>
        </w:tc>
        <w:tc>
          <w:tcPr>
            <w:tcW w:w="851" w:type="dxa"/>
            <w:tcBorders>
              <w:top w:val="nil"/>
              <w:left w:val="single" w:sz="18" w:space="0" w:color="5F497A" w:themeColor="accent4" w:themeShade="BF"/>
              <w:bottom w:val="nil"/>
              <w:right w:val="nil"/>
            </w:tcBorders>
            <w:shd w:val="clear" w:color="auto" w:fill="auto"/>
            <w:vAlign w:val="bottom"/>
          </w:tcPr>
          <w:p w14:paraId="0223C397" w14:textId="3F2481A0" w:rsidR="005146A4" w:rsidRPr="001D41EA" w:rsidRDefault="005146A4" w:rsidP="001D41EA">
            <w:pPr>
              <w:spacing w:before="40" w:after="20"/>
              <w:jc w:val="center"/>
              <w:rPr>
                <w:rFonts w:cs="Arial"/>
                <w:sz w:val="18"/>
                <w:szCs w:val="18"/>
              </w:rPr>
            </w:pPr>
            <w:r w:rsidRPr="001D41EA">
              <w:rPr>
                <w:rFonts w:cs="Arial"/>
                <w:sz w:val="18"/>
                <w:szCs w:val="18"/>
              </w:rPr>
              <w:t>0.968</w:t>
            </w:r>
          </w:p>
        </w:tc>
        <w:tc>
          <w:tcPr>
            <w:tcW w:w="851" w:type="dxa"/>
            <w:tcBorders>
              <w:top w:val="nil"/>
              <w:left w:val="nil"/>
              <w:bottom w:val="nil"/>
              <w:right w:val="nil"/>
            </w:tcBorders>
            <w:shd w:val="clear" w:color="auto" w:fill="auto"/>
            <w:vAlign w:val="bottom"/>
          </w:tcPr>
          <w:p w14:paraId="311325DD" w14:textId="768DAFE9" w:rsidR="005146A4" w:rsidRPr="001D41EA" w:rsidRDefault="005146A4" w:rsidP="001D41EA">
            <w:pPr>
              <w:spacing w:before="40" w:after="20"/>
              <w:jc w:val="center"/>
              <w:rPr>
                <w:rFonts w:cs="Arial"/>
                <w:sz w:val="18"/>
                <w:szCs w:val="18"/>
              </w:rPr>
            </w:pPr>
            <w:r w:rsidRPr="001D41EA">
              <w:rPr>
                <w:rFonts w:cs="Arial"/>
                <w:sz w:val="18"/>
                <w:szCs w:val="18"/>
              </w:rPr>
              <w:t>1.095</w:t>
            </w:r>
          </w:p>
        </w:tc>
        <w:tc>
          <w:tcPr>
            <w:tcW w:w="851" w:type="dxa"/>
            <w:tcBorders>
              <w:top w:val="nil"/>
              <w:left w:val="nil"/>
              <w:bottom w:val="nil"/>
              <w:right w:val="nil"/>
            </w:tcBorders>
            <w:shd w:val="clear" w:color="auto" w:fill="auto"/>
            <w:vAlign w:val="bottom"/>
          </w:tcPr>
          <w:p w14:paraId="46A056FE" w14:textId="34A28737" w:rsidR="005146A4" w:rsidRPr="001D41EA" w:rsidRDefault="005146A4" w:rsidP="001D41EA">
            <w:pPr>
              <w:spacing w:before="40" w:after="20"/>
              <w:jc w:val="center"/>
              <w:rPr>
                <w:rFonts w:cs="Arial"/>
                <w:sz w:val="18"/>
                <w:szCs w:val="18"/>
              </w:rPr>
            </w:pPr>
            <w:r w:rsidRPr="001D41EA">
              <w:rPr>
                <w:rFonts w:cs="Arial"/>
                <w:sz w:val="18"/>
                <w:szCs w:val="18"/>
              </w:rPr>
              <w:t>1.017</w:t>
            </w:r>
          </w:p>
        </w:tc>
        <w:tc>
          <w:tcPr>
            <w:tcW w:w="851" w:type="dxa"/>
            <w:tcBorders>
              <w:top w:val="nil"/>
              <w:left w:val="nil"/>
              <w:bottom w:val="nil"/>
              <w:right w:val="nil"/>
            </w:tcBorders>
            <w:shd w:val="clear" w:color="auto" w:fill="auto"/>
            <w:vAlign w:val="bottom"/>
          </w:tcPr>
          <w:p w14:paraId="1036389A" w14:textId="5A2A0F56" w:rsidR="005146A4" w:rsidRPr="001D41EA" w:rsidRDefault="005146A4" w:rsidP="001D41EA">
            <w:pPr>
              <w:spacing w:before="40" w:after="20"/>
              <w:jc w:val="center"/>
              <w:rPr>
                <w:rFonts w:cs="Arial"/>
                <w:sz w:val="18"/>
                <w:szCs w:val="18"/>
              </w:rPr>
            </w:pPr>
            <w:r w:rsidRPr="001D41EA">
              <w:rPr>
                <w:rFonts w:cs="Arial"/>
                <w:sz w:val="18"/>
                <w:szCs w:val="18"/>
              </w:rPr>
              <w:t>0.878</w:t>
            </w:r>
          </w:p>
        </w:tc>
        <w:tc>
          <w:tcPr>
            <w:tcW w:w="851" w:type="dxa"/>
            <w:tcBorders>
              <w:top w:val="nil"/>
              <w:left w:val="nil"/>
              <w:bottom w:val="nil"/>
              <w:right w:val="nil"/>
            </w:tcBorders>
            <w:shd w:val="clear" w:color="auto" w:fill="auto"/>
            <w:vAlign w:val="bottom"/>
          </w:tcPr>
          <w:p w14:paraId="0B2615C2" w14:textId="1A9B4597" w:rsidR="005146A4" w:rsidRPr="001D41EA" w:rsidRDefault="005146A4" w:rsidP="001D41EA">
            <w:pPr>
              <w:spacing w:before="40" w:after="20"/>
              <w:jc w:val="center"/>
              <w:rPr>
                <w:rFonts w:cs="Arial"/>
                <w:sz w:val="18"/>
                <w:szCs w:val="18"/>
              </w:rPr>
            </w:pPr>
            <w:r w:rsidRPr="001D41EA">
              <w:rPr>
                <w:rFonts w:cs="Arial"/>
                <w:sz w:val="18"/>
                <w:szCs w:val="18"/>
              </w:rPr>
              <w:t>0.869</w:t>
            </w:r>
          </w:p>
        </w:tc>
        <w:tc>
          <w:tcPr>
            <w:tcW w:w="851" w:type="dxa"/>
            <w:tcBorders>
              <w:top w:val="nil"/>
              <w:left w:val="nil"/>
              <w:bottom w:val="nil"/>
              <w:right w:val="nil"/>
            </w:tcBorders>
            <w:shd w:val="clear" w:color="auto" w:fill="auto"/>
            <w:vAlign w:val="bottom"/>
          </w:tcPr>
          <w:p w14:paraId="4F1D7497" w14:textId="51C9622F" w:rsidR="005146A4" w:rsidRPr="001D41EA" w:rsidRDefault="005146A4" w:rsidP="001D41EA">
            <w:pPr>
              <w:spacing w:before="40" w:after="20"/>
              <w:jc w:val="center"/>
              <w:rPr>
                <w:rFonts w:cs="Arial"/>
                <w:sz w:val="18"/>
                <w:szCs w:val="18"/>
              </w:rPr>
            </w:pPr>
            <w:r w:rsidRPr="001D41EA">
              <w:rPr>
                <w:rFonts w:cs="Arial"/>
                <w:sz w:val="18"/>
                <w:szCs w:val="18"/>
              </w:rPr>
              <w:t>0.932</w:t>
            </w:r>
          </w:p>
        </w:tc>
        <w:tc>
          <w:tcPr>
            <w:tcW w:w="851" w:type="dxa"/>
            <w:tcBorders>
              <w:top w:val="nil"/>
              <w:left w:val="nil"/>
              <w:bottom w:val="nil"/>
              <w:right w:val="nil"/>
            </w:tcBorders>
            <w:shd w:val="clear" w:color="auto" w:fill="auto"/>
            <w:vAlign w:val="bottom"/>
          </w:tcPr>
          <w:p w14:paraId="380E98C7" w14:textId="35C884FC" w:rsidR="005146A4" w:rsidRPr="001D41EA" w:rsidRDefault="005146A4" w:rsidP="001D41EA">
            <w:pPr>
              <w:spacing w:before="40" w:after="20"/>
              <w:jc w:val="center"/>
              <w:rPr>
                <w:rFonts w:cs="Arial"/>
                <w:sz w:val="18"/>
                <w:szCs w:val="18"/>
              </w:rPr>
            </w:pPr>
            <w:r w:rsidRPr="001D41EA">
              <w:rPr>
                <w:rFonts w:cs="Arial"/>
                <w:sz w:val="18"/>
                <w:szCs w:val="18"/>
              </w:rPr>
              <w:t>0.936</w:t>
            </w:r>
          </w:p>
        </w:tc>
        <w:tc>
          <w:tcPr>
            <w:tcW w:w="851" w:type="dxa"/>
            <w:tcBorders>
              <w:top w:val="nil"/>
              <w:left w:val="nil"/>
              <w:bottom w:val="nil"/>
              <w:right w:val="nil"/>
            </w:tcBorders>
            <w:shd w:val="clear" w:color="auto" w:fill="auto"/>
            <w:vAlign w:val="bottom"/>
          </w:tcPr>
          <w:p w14:paraId="2307CE8E" w14:textId="68A27E34" w:rsidR="005146A4" w:rsidRPr="001D41EA" w:rsidRDefault="005146A4" w:rsidP="001D41EA">
            <w:pPr>
              <w:spacing w:before="40" w:after="20"/>
              <w:jc w:val="center"/>
              <w:rPr>
                <w:rFonts w:cs="Arial"/>
                <w:sz w:val="18"/>
                <w:szCs w:val="18"/>
              </w:rPr>
            </w:pPr>
            <w:r w:rsidRPr="001D41EA">
              <w:rPr>
                <w:rFonts w:cs="Arial"/>
                <w:sz w:val="18"/>
                <w:szCs w:val="18"/>
              </w:rPr>
              <w:t>0.866</w:t>
            </w:r>
          </w:p>
        </w:tc>
      </w:tr>
      <w:tr w:rsidR="005146A4" w:rsidRPr="001D41EA" w14:paraId="3D18499D"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7A9AA50E" w14:textId="77777777" w:rsidR="005146A4" w:rsidRPr="001D41EA" w:rsidRDefault="005146A4" w:rsidP="001D41EA">
            <w:pPr>
              <w:spacing w:before="40" w:after="20"/>
              <w:rPr>
                <w:rFonts w:cs="Arial"/>
                <w:sz w:val="18"/>
                <w:szCs w:val="18"/>
              </w:rPr>
            </w:pPr>
            <w:r w:rsidRPr="001D41EA">
              <w:rPr>
                <w:rFonts w:cs="Arial"/>
                <w:sz w:val="18"/>
                <w:szCs w:val="18"/>
              </w:rPr>
              <w:t>Wodonga C</w:t>
            </w:r>
          </w:p>
        </w:tc>
        <w:tc>
          <w:tcPr>
            <w:tcW w:w="851" w:type="dxa"/>
            <w:tcBorders>
              <w:top w:val="nil"/>
              <w:left w:val="single" w:sz="18" w:space="0" w:color="5F497A" w:themeColor="accent4" w:themeShade="BF"/>
              <w:bottom w:val="nil"/>
              <w:right w:val="nil"/>
            </w:tcBorders>
            <w:shd w:val="clear" w:color="auto" w:fill="auto"/>
            <w:vAlign w:val="bottom"/>
          </w:tcPr>
          <w:p w14:paraId="19BB05F2" w14:textId="3CD075BF" w:rsidR="005146A4" w:rsidRPr="001D41EA" w:rsidRDefault="005146A4" w:rsidP="001D41EA">
            <w:pPr>
              <w:spacing w:before="40" w:after="20"/>
              <w:jc w:val="center"/>
              <w:rPr>
                <w:rFonts w:cs="Arial"/>
                <w:sz w:val="18"/>
                <w:szCs w:val="18"/>
              </w:rPr>
            </w:pPr>
            <w:r w:rsidRPr="001D41EA">
              <w:rPr>
                <w:rFonts w:cs="Arial"/>
                <w:sz w:val="18"/>
                <w:szCs w:val="18"/>
              </w:rPr>
              <w:t>1.021</w:t>
            </w:r>
          </w:p>
        </w:tc>
        <w:tc>
          <w:tcPr>
            <w:tcW w:w="851" w:type="dxa"/>
            <w:tcBorders>
              <w:top w:val="nil"/>
              <w:left w:val="nil"/>
              <w:bottom w:val="nil"/>
              <w:right w:val="nil"/>
            </w:tcBorders>
            <w:shd w:val="clear" w:color="auto" w:fill="auto"/>
            <w:vAlign w:val="bottom"/>
          </w:tcPr>
          <w:p w14:paraId="36DFD222" w14:textId="2441E699" w:rsidR="005146A4" w:rsidRPr="001D41EA" w:rsidRDefault="005146A4" w:rsidP="001D41EA">
            <w:pPr>
              <w:spacing w:before="40" w:after="20"/>
              <w:jc w:val="center"/>
              <w:rPr>
                <w:rFonts w:cs="Arial"/>
                <w:sz w:val="18"/>
                <w:szCs w:val="18"/>
              </w:rPr>
            </w:pPr>
            <w:r w:rsidRPr="001D41EA">
              <w:rPr>
                <w:rFonts w:cs="Arial"/>
                <w:sz w:val="18"/>
                <w:szCs w:val="18"/>
              </w:rPr>
              <w:t>1.058</w:t>
            </w:r>
          </w:p>
        </w:tc>
        <w:tc>
          <w:tcPr>
            <w:tcW w:w="851" w:type="dxa"/>
            <w:tcBorders>
              <w:top w:val="nil"/>
              <w:left w:val="nil"/>
              <w:bottom w:val="nil"/>
              <w:right w:val="nil"/>
            </w:tcBorders>
            <w:shd w:val="clear" w:color="auto" w:fill="auto"/>
            <w:vAlign w:val="bottom"/>
          </w:tcPr>
          <w:p w14:paraId="438D2530" w14:textId="0F3836A1" w:rsidR="005146A4" w:rsidRPr="001D41EA" w:rsidRDefault="005146A4" w:rsidP="001D41EA">
            <w:pPr>
              <w:spacing w:before="40" w:after="20"/>
              <w:jc w:val="center"/>
              <w:rPr>
                <w:rFonts w:cs="Arial"/>
                <w:sz w:val="18"/>
                <w:szCs w:val="18"/>
              </w:rPr>
            </w:pPr>
            <w:r w:rsidRPr="001D41EA">
              <w:rPr>
                <w:rFonts w:cs="Arial"/>
                <w:sz w:val="18"/>
                <w:szCs w:val="18"/>
              </w:rPr>
              <w:t>0.977</w:t>
            </w:r>
          </w:p>
        </w:tc>
        <w:tc>
          <w:tcPr>
            <w:tcW w:w="851" w:type="dxa"/>
            <w:tcBorders>
              <w:top w:val="nil"/>
              <w:left w:val="nil"/>
              <w:bottom w:val="nil"/>
              <w:right w:val="nil"/>
            </w:tcBorders>
            <w:shd w:val="clear" w:color="auto" w:fill="auto"/>
            <w:vAlign w:val="bottom"/>
          </w:tcPr>
          <w:p w14:paraId="18D87D2E" w14:textId="7A94770E" w:rsidR="005146A4" w:rsidRPr="001D41EA" w:rsidRDefault="005146A4" w:rsidP="001D41EA">
            <w:pPr>
              <w:spacing w:before="40" w:after="20"/>
              <w:jc w:val="center"/>
              <w:rPr>
                <w:rFonts w:cs="Arial"/>
                <w:sz w:val="18"/>
                <w:szCs w:val="18"/>
              </w:rPr>
            </w:pPr>
            <w:r w:rsidRPr="001D41EA">
              <w:rPr>
                <w:rFonts w:cs="Arial"/>
                <w:sz w:val="18"/>
                <w:szCs w:val="18"/>
              </w:rPr>
              <w:t>1.075</w:t>
            </w:r>
          </w:p>
        </w:tc>
        <w:tc>
          <w:tcPr>
            <w:tcW w:w="851" w:type="dxa"/>
            <w:tcBorders>
              <w:top w:val="nil"/>
              <w:left w:val="nil"/>
              <w:bottom w:val="nil"/>
              <w:right w:val="nil"/>
            </w:tcBorders>
            <w:shd w:val="clear" w:color="auto" w:fill="auto"/>
            <w:vAlign w:val="bottom"/>
          </w:tcPr>
          <w:p w14:paraId="4446FFEA" w14:textId="2CA8599C" w:rsidR="005146A4" w:rsidRPr="001D41EA" w:rsidRDefault="005146A4" w:rsidP="001D41EA">
            <w:pPr>
              <w:spacing w:before="40" w:after="20"/>
              <w:jc w:val="center"/>
              <w:rPr>
                <w:rFonts w:cs="Arial"/>
                <w:sz w:val="18"/>
                <w:szCs w:val="18"/>
              </w:rPr>
            </w:pPr>
            <w:r w:rsidRPr="001D41EA">
              <w:rPr>
                <w:rFonts w:cs="Arial"/>
                <w:sz w:val="18"/>
                <w:szCs w:val="18"/>
              </w:rPr>
              <w:t>1.035</w:t>
            </w:r>
          </w:p>
        </w:tc>
        <w:tc>
          <w:tcPr>
            <w:tcW w:w="851" w:type="dxa"/>
            <w:tcBorders>
              <w:top w:val="nil"/>
              <w:left w:val="nil"/>
              <w:bottom w:val="nil"/>
              <w:right w:val="nil"/>
            </w:tcBorders>
            <w:shd w:val="clear" w:color="auto" w:fill="auto"/>
            <w:vAlign w:val="bottom"/>
          </w:tcPr>
          <w:p w14:paraId="72D4824E" w14:textId="51828386" w:rsidR="005146A4" w:rsidRPr="001D41EA" w:rsidRDefault="005146A4" w:rsidP="001D41EA">
            <w:pPr>
              <w:spacing w:before="40" w:after="20"/>
              <w:jc w:val="center"/>
              <w:rPr>
                <w:rFonts w:cs="Arial"/>
                <w:sz w:val="18"/>
                <w:szCs w:val="18"/>
              </w:rPr>
            </w:pPr>
            <w:r w:rsidRPr="001D41EA">
              <w:rPr>
                <w:rFonts w:cs="Arial"/>
                <w:sz w:val="18"/>
                <w:szCs w:val="18"/>
              </w:rPr>
              <w:t>1.102</w:t>
            </w:r>
          </w:p>
        </w:tc>
        <w:tc>
          <w:tcPr>
            <w:tcW w:w="851" w:type="dxa"/>
            <w:tcBorders>
              <w:top w:val="nil"/>
              <w:left w:val="nil"/>
              <w:bottom w:val="nil"/>
              <w:right w:val="nil"/>
            </w:tcBorders>
            <w:shd w:val="clear" w:color="auto" w:fill="auto"/>
            <w:vAlign w:val="bottom"/>
          </w:tcPr>
          <w:p w14:paraId="5D97E36B" w14:textId="16FC7AF5" w:rsidR="005146A4" w:rsidRPr="001D41EA" w:rsidRDefault="005146A4" w:rsidP="001D41EA">
            <w:pPr>
              <w:spacing w:before="40" w:after="20"/>
              <w:jc w:val="center"/>
              <w:rPr>
                <w:rFonts w:cs="Arial"/>
                <w:sz w:val="18"/>
                <w:szCs w:val="18"/>
              </w:rPr>
            </w:pPr>
            <w:r w:rsidRPr="001D41EA">
              <w:rPr>
                <w:rFonts w:cs="Arial"/>
                <w:sz w:val="18"/>
                <w:szCs w:val="18"/>
              </w:rPr>
              <w:t>0.999</w:t>
            </w:r>
          </w:p>
        </w:tc>
        <w:tc>
          <w:tcPr>
            <w:tcW w:w="851" w:type="dxa"/>
            <w:tcBorders>
              <w:top w:val="nil"/>
              <w:left w:val="nil"/>
              <w:bottom w:val="nil"/>
              <w:right w:val="nil"/>
            </w:tcBorders>
            <w:shd w:val="clear" w:color="auto" w:fill="auto"/>
            <w:vAlign w:val="bottom"/>
          </w:tcPr>
          <w:p w14:paraId="26FC6E18" w14:textId="6F05C338" w:rsidR="005146A4" w:rsidRPr="001D41EA" w:rsidRDefault="005146A4" w:rsidP="001D41EA">
            <w:pPr>
              <w:spacing w:before="40" w:after="20"/>
              <w:jc w:val="center"/>
              <w:rPr>
                <w:rFonts w:cs="Arial"/>
                <w:sz w:val="18"/>
                <w:szCs w:val="18"/>
              </w:rPr>
            </w:pPr>
            <w:r w:rsidRPr="001D41EA">
              <w:rPr>
                <w:rFonts w:cs="Arial"/>
                <w:sz w:val="18"/>
                <w:szCs w:val="18"/>
              </w:rPr>
              <w:t>1.157</w:t>
            </w:r>
          </w:p>
        </w:tc>
      </w:tr>
      <w:tr w:rsidR="005146A4" w:rsidRPr="001D41EA" w14:paraId="26FD12B2"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7CCDD08" w14:textId="77777777" w:rsidR="005146A4" w:rsidRPr="001D41EA" w:rsidRDefault="005146A4" w:rsidP="001D41EA">
            <w:pPr>
              <w:spacing w:before="40" w:after="20"/>
              <w:rPr>
                <w:rFonts w:cs="Arial"/>
                <w:sz w:val="18"/>
                <w:szCs w:val="18"/>
              </w:rPr>
            </w:pPr>
            <w:r w:rsidRPr="001D41EA">
              <w:rPr>
                <w:rFonts w:cs="Arial"/>
                <w:sz w:val="18"/>
                <w:szCs w:val="18"/>
              </w:rPr>
              <w:t>Wyndham C</w:t>
            </w:r>
          </w:p>
        </w:tc>
        <w:tc>
          <w:tcPr>
            <w:tcW w:w="851" w:type="dxa"/>
            <w:tcBorders>
              <w:top w:val="nil"/>
              <w:left w:val="single" w:sz="18" w:space="0" w:color="5F497A" w:themeColor="accent4" w:themeShade="BF"/>
              <w:bottom w:val="nil"/>
              <w:right w:val="nil"/>
            </w:tcBorders>
            <w:shd w:val="clear" w:color="auto" w:fill="auto"/>
            <w:vAlign w:val="bottom"/>
          </w:tcPr>
          <w:p w14:paraId="3948634F" w14:textId="4B1F40B7" w:rsidR="005146A4" w:rsidRPr="001D41EA" w:rsidRDefault="005146A4" w:rsidP="001D41EA">
            <w:pPr>
              <w:spacing w:before="40" w:after="20"/>
              <w:jc w:val="center"/>
              <w:rPr>
                <w:rFonts w:cs="Arial"/>
                <w:sz w:val="18"/>
                <w:szCs w:val="18"/>
              </w:rPr>
            </w:pPr>
            <w:r w:rsidRPr="001D41EA">
              <w:rPr>
                <w:rFonts w:cs="Arial"/>
                <w:sz w:val="18"/>
                <w:szCs w:val="18"/>
              </w:rPr>
              <w:t>0.936</w:t>
            </w:r>
          </w:p>
        </w:tc>
        <w:tc>
          <w:tcPr>
            <w:tcW w:w="851" w:type="dxa"/>
            <w:tcBorders>
              <w:top w:val="nil"/>
              <w:left w:val="nil"/>
              <w:bottom w:val="nil"/>
              <w:right w:val="nil"/>
            </w:tcBorders>
            <w:shd w:val="clear" w:color="auto" w:fill="auto"/>
            <w:vAlign w:val="bottom"/>
          </w:tcPr>
          <w:p w14:paraId="29169AA7" w14:textId="0902929D" w:rsidR="005146A4" w:rsidRPr="001D41EA" w:rsidRDefault="005146A4" w:rsidP="001D41EA">
            <w:pPr>
              <w:spacing w:before="40" w:after="20"/>
              <w:jc w:val="center"/>
              <w:rPr>
                <w:rFonts w:cs="Arial"/>
                <w:sz w:val="18"/>
                <w:szCs w:val="18"/>
              </w:rPr>
            </w:pPr>
            <w:r w:rsidRPr="001D41EA">
              <w:rPr>
                <w:rFonts w:cs="Arial"/>
                <w:sz w:val="18"/>
                <w:szCs w:val="18"/>
              </w:rPr>
              <w:t>1.153</w:t>
            </w:r>
          </w:p>
        </w:tc>
        <w:tc>
          <w:tcPr>
            <w:tcW w:w="851" w:type="dxa"/>
            <w:tcBorders>
              <w:top w:val="nil"/>
              <w:left w:val="nil"/>
              <w:bottom w:val="nil"/>
              <w:right w:val="nil"/>
            </w:tcBorders>
            <w:shd w:val="clear" w:color="auto" w:fill="auto"/>
            <w:vAlign w:val="bottom"/>
          </w:tcPr>
          <w:p w14:paraId="6337C10C" w14:textId="42BF3440" w:rsidR="005146A4" w:rsidRPr="001D41EA" w:rsidRDefault="005146A4" w:rsidP="001D41EA">
            <w:pPr>
              <w:spacing w:before="40" w:after="20"/>
              <w:jc w:val="center"/>
              <w:rPr>
                <w:rFonts w:cs="Arial"/>
                <w:sz w:val="18"/>
                <w:szCs w:val="18"/>
              </w:rPr>
            </w:pPr>
            <w:r w:rsidRPr="001D41EA">
              <w:rPr>
                <w:rFonts w:cs="Arial"/>
                <w:sz w:val="18"/>
                <w:szCs w:val="18"/>
              </w:rPr>
              <w:t>0.953</w:t>
            </w:r>
          </w:p>
        </w:tc>
        <w:tc>
          <w:tcPr>
            <w:tcW w:w="851" w:type="dxa"/>
            <w:tcBorders>
              <w:top w:val="nil"/>
              <w:left w:val="nil"/>
              <w:bottom w:val="nil"/>
              <w:right w:val="nil"/>
            </w:tcBorders>
            <w:shd w:val="clear" w:color="auto" w:fill="auto"/>
            <w:vAlign w:val="bottom"/>
          </w:tcPr>
          <w:p w14:paraId="6CF5D507" w14:textId="3C446353" w:rsidR="005146A4" w:rsidRPr="001D41EA" w:rsidRDefault="005146A4" w:rsidP="001D41EA">
            <w:pPr>
              <w:spacing w:before="40" w:after="20"/>
              <w:jc w:val="center"/>
              <w:rPr>
                <w:rFonts w:cs="Arial"/>
                <w:sz w:val="18"/>
                <w:szCs w:val="18"/>
              </w:rPr>
            </w:pPr>
            <w:r w:rsidRPr="001D41EA">
              <w:rPr>
                <w:rFonts w:cs="Arial"/>
                <w:sz w:val="18"/>
                <w:szCs w:val="18"/>
              </w:rPr>
              <w:t>0.880</w:t>
            </w:r>
          </w:p>
        </w:tc>
        <w:tc>
          <w:tcPr>
            <w:tcW w:w="851" w:type="dxa"/>
            <w:tcBorders>
              <w:top w:val="nil"/>
              <w:left w:val="nil"/>
              <w:bottom w:val="nil"/>
              <w:right w:val="nil"/>
            </w:tcBorders>
            <w:shd w:val="clear" w:color="auto" w:fill="auto"/>
            <w:vAlign w:val="bottom"/>
          </w:tcPr>
          <w:p w14:paraId="2DFA6E6C" w14:textId="26A34C75" w:rsidR="005146A4" w:rsidRPr="001D41EA" w:rsidRDefault="005146A4" w:rsidP="001D41EA">
            <w:pPr>
              <w:spacing w:before="40" w:after="20"/>
              <w:jc w:val="center"/>
              <w:rPr>
                <w:rFonts w:cs="Arial"/>
                <w:sz w:val="18"/>
                <w:szCs w:val="18"/>
              </w:rPr>
            </w:pPr>
            <w:r w:rsidRPr="001D41EA">
              <w:rPr>
                <w:rFonts w:cs="Arial"/>
                <w:sz w:val="18"/>
                <w:szCs w:val="18"/>
              </w:rPr>
              <w:t>0.851</w:t>
            </w:r>
          </w:p>
        </w:tc>
        <w:tc>
          <w:tcPr>
            <w:tcW w:w="851" w:type="dxa"/>
            <w:tcBorders>
              <w:top w:val="nil"/>
              <w:left w:val="nil"/>
              <w:bottom w:val="nil"/>
              <w:right w:val="nil"/>
            </w:tcBorders>
            <w:shd w:val="clear" w:color="auto" w:fill="auto"/>
            <w:vAlign w:val="bottom"/>
          </w:tcPr>
          <w:p w14:paraId="7B6AE8E4" w14:textId="61B8EE28" w:rsidR="005146A4" w:rsidRPr="001D41EA" w:rsidRDefault="005146A4" w:rsidP="001D41EA">
            <w:pPr>
              <w:spacing w:before="40" w:after="20"/>
              <w:jc w:val="center"/>
              <w:rPr>
                <w:rFonts w:cs="Arial"/>
                <w:sz w:val="18"/>
                <w:szCs w:val="18"/>
              </w:rPr>
            </w:pPr>
            <w:r w:rsidRPr="001D41EA">
              <w:rPr>
                <w:rFonts w:cs="Arial"/>
                <w:sz w:val="18"/>
                <w:szCs w:val="18"/>
              </w:rPr>
              <w:t>0.977</w:t>
            </w:r>
          </w:p>
        </w:tc>
        <w:tc>
          <w:tcPr>
            <w:tcW w:w="851" w:type="dxa"/>
            <w:tcBorders>
              <w:top w:val="nil"/>
              <w:left w:val="nil"/>
              <w:bottom w:val="nil"/>
              <w:right w:val="nil"/>
            </w:tcBorders>
            <w:shd w:val="clear" w:color="auto" w:fill="auto"/>
            <w:vAlign w:val="bottom"/>
          </w:tcPr>
          <w:p w14:paraId="4F7573DB" w14:textId="0E956394" w:rsidR="005146A4" w:rsidRPr="001D41EA" w:rsidRDefault="005146A4" w:rsidP="001D41EA">
            <w:pPr>
              <w:spacing w:before="40" w:after="20"/>
              <w:jc w:val="center"/>
              <w:rPr>
                <w:rFonts w:cs="Arial"/>
                <w:sz w:val="18"/>
                <w:szCs w:val="18"/>
              </w:rPr>
            </w:pPr>
            <w:r w:rsidRPr="001D41EA">
              <w:rPr>
                <w:rFonts w:cs="Arial"/>
                <w:sz w:val="18"/>
                <w:szCs w:val="18"/>
              </w:rPr>
              <w:t>0.949</w:t>
            </w:r>
          </w:p>
        </w:tc>
        <w:tc>
          <w:tcPr>
            <w:tcW w:w="851" w:type="dxa"/>
            <w:tcBorders>
              <w:top w:val="nil"/>
              <w:left w:val="nil"/>
              <w:bottom w:val="nil"/>
              <w:right w:val="nil"/>
            </w:tcBorders>
            <w:shd w:val="clear" w:color="auto" w:fill="auto"/>
            <w:vAlign w:val="bottom"/>
          </w:tcPr>
          <w:p w14:paraId="67EA6A4E" w14:textId="1419DF96" w:rsidR="005146A4" w:rsidRPr="001D41EA" w:rsidRDefault="005146A4" w:rsidP="001D41EA">
            <w:pPr>
              <w:spacing w:before="40" w:after="20"/>
              <w:jc w:val="center"/>
              <w:rPr>
                <w:rFonts w:cs="Arial"/>
                <w:sz w:val="18"/>
                <w:szCs w:val="18"/>
              </w:rPr>
            </w:pPr>
            <w:r w:rsidRPr="001D41EA">
              <w:rPr>
                <w:rFonts w:cs="Arial"/>
                <w:sz w:val="18"/>
                <w:szCs w:val="18"/>
              </w:rPr>
              <w:t>0.851</w:t>
            </w:r>
          </w:p>
        </w:tc>
      </w:tr>
      <w:tr w:rsidR="005146A4" w:rsidRPr="001D41EA" w14:paraId="452CFFA5"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55C300C4" w14:textId="77777777" w:rsidR="005146A4" w:rsidRPr="001D41EA" w:rsidRDefault="005146A4" w:rsidP="001D41EA">
            <w:pPr>
              <w:spacing w:before="40" w:after="20"/>
              <w:rPr>
                <w:rFonts w:cs="Arial"/>
                <w:sz w:val="18"/>
                <w:szCs w:val="18"/>
              </w:rPr>
            </w:pPr>
            <w:r w:rsidRPr="001D41EA">
              <w:rPr>
                <w:rFonts w:cs="Arial"/>
                <w:sz w:val="18"/>
                <w:szCs w:val="18"/>
              </w:rPr>
              <w:t>Yarra C</w:t>
            </w:r>
          </w:p>
        </w:tc>
        <w:tc>
          <w:tcPr>
            <w:tcW w:w="851" w:type="dxa"/>
            <w:tcBorders>
              <w:top w:val="nil"/>
              <w:left w:val="single" w:sz="18" w:space="0" w:color="5F497A" w:themeColor="accent4" w:themeShade="BF"/>
              <w:bottom w:val="nil"/>
              <w:right w:val="nil"/>
            </w:tcBorders>
            <w:shd w:val="clear" w:color="auto" w:fill="auto"/>
            <w:vAlign w:val="bottom"/>
          </w:tcPr>
          <w:p w14:paraId="350151B2" w14:textId="3FA34786" w:rsidR="005146A4" w:rsidRPr="001D41EA" w:rsidRDefault="005146A4" w:rsidP="001D41EA">
            <w:pPr>
              <w:spacing w:before="40" w:after="20"/>
              <w:jc w:val="center"/>
              <w:rPr>
                <w:rFonts w:cs="Arial"/>
                <w:sz w:val="18"/>
                <w:szCs w:val="18"/>
              </w:rPr>
            </w:pPr>
            <w:r w:rsidRPr="001D41EA">
              <w:rPr>
                <w:rFonts w:cs="Arial"/>
                <w:sz w:val="18"/>
                <w:szCs w:val="18"/>
              </w:rPr>
              <w:t>0.969</w:t>
            </w:r>
          </w:p>
        </w:tc>
        <w:tc>
          <w:tcPr>
            <w:tcW w:w="851" w:type="dxa"/>
            <w:tcBorders>
              <w:top w:val="nil"/>
              <w:left w:val="nil"/>
              <w:bottom w:val="nil"/>
              <w:right w:val="nil"/>
            </w:tcBorders>
            <w:shd w:val="clear" w:color="auto" w:fill="auto"/>
            <w:vAlign w:val="bottom"/>
          </w:tcPr>
          <w:p w14:paraId="0EA7E220" w14:textId="75FBA4D6" w:rsidR="005146A4" w:rsidRPr="001D41EA" w:rsidRDefault="005146A4" w:rsidP="001D41EA">
            <w:pPr>
              <w:spacing w:before="40" w:after="20"/>
              <w:jc w:val="center"/>
              <w:rPr>
                <w:rFonts w:cs="Arial"/>
                <w:sz w:val="18"/>
                <w:szCs w:val="18"/>
              </w:rPr>
            </w:pPr>
            <w:r w:rsidRPr="001D41EA">
              <w:rPr>
                <w:rFonts w:cs="Arial"/>
                <w:sz w:val="18"/>
                <w:szCs w:val="18"/>
              </w:rPr>
              <w:t>0.890</w:t>
            </w:r>
          </w:p>
        </w:tc>
        <w:tc>
          <w:tcPr>
            <w:tcW w:w="851" w:type="dxa"/>
            <w:tcBorders>
              <w:top w:val="nil"/>
              <w:left w:val="nil"/>
              <w:bottom w:val="nil"/>
              <w:right w:val="nil"/>
            </w:tcBorders>
            <w:shd w:val="clear" w:color="auto" w:fill="auto"/>
            <w:vAlign w:val="bottom"/>
          </w:tcPr>
          <w:p w14:paraId="599A8B8A" w14:textId="51EF98AE" w:rsidR="005146A4" w:rsidRPr="001D41EA" w:rsidRDefault="005146A4" w:rsidP="001D41EA">
            <w:pPr>
              <w:spacing w:before="40" w:after="20"/>
              <w:jc w:val="center"/>
              <w:rPr>
                <w:rFonts w:cs="Arial"/>
                <w:sz w:val="18"/>
                <w:szCs w:val="18"/>
              </w:rPr>
            </w:pPr>
            <w:r w:rsidRPr="001D41EA">
              <w:rPr>
                <w:rFonts w:cs="Arial"/>
                <w:sz w:val="18"/>
                <w:szCs w:val="18"/>
              </w:rPr>
              <w:t>0.900</w:t>
            </w:r>
          </w:p>
        </w:tc>
        <w:tc>
          <w:tcPr>
            <w:tcW w:w="851" w:type="dxa"/>
            <w:tcBorders>
              <w:top w:val="nil"/>
              <w:left w:val="nil"/>
              <w:bottom w:val="nil"/>
              <w:right w:val="nil"/>
            </w:tcBorders>
            <w:shd w:val="clear" w:color="auto" w:fill="auto"/>
            <w:vAlign w:val="bottom"/>
          </w:tcPr>
          <w:p w14:paraId="18E80387" w14:textId="6FC13DA0" w:rsidR="005146A4" w:rsidRPr="001D41EA" w:rsidRDefault="005146A4" w:rsidP="001D41EA">
            <w:pPr>
              <w:spacing w:before="40" w:after="20"/>
              <w:jc w:val="center"/>
              <w:rPr>
                <w:rFonts w:cs="Arial"/>
                <w:sz w:val="18"/>
                <w:szCs w:val="18"/>
              </w:rPr>
            </w:pPr>
            <w:r w:rsidRPr="001D41EA">
              <w:rPr>
                <w:rFonts w:cs="Arial"/>
                <w:sz w:val="18"/>
                <w:szCs w:val="18"/>
              </w:rPr>
              <w:t>1.061</w:t>
            </w:r>
          </w:p>
        </w:tc>
        <w:tc>
          <w:tcPr>
            <w:tcW w:w="851" w:type="dxa"/>
            <w:tcBorders>
              <w:top w:val="nil"/>
              <w:left w:val="nil"/>
              <w:bottom w:val="nil"/>
              <w:right w:val="nil"/>
            </w:tcBorders>
            <w:shd w:val="clear" w:color="auto" w:fill="auto"/>
            <w:vAlign w:val="bottom"/>
          </w:tcPr>
          <w:p w14:paraId="17DC1615" w14:textId="63660AF9" w:rsidR="005146A4" w:rsidRPr="001D41EA" w:rsidRDefault="005146A4" w:rsidP="001D41EA">
            <w:pPr>
              <w:spacing w:before="40" w:after="20"/>
              <w:jc w:val="center"/>
              <w:rPr>
                <w:rFonts w:cs="Arial"/>
                <w:sz w:val="18"/>
                <w:szCs w:val="18"/>
              </w:rPr>
            </w:pPr>
            <w:r w:rsidRPr="001D41EA">
              <w:rPr>
                <w:rFonts w:cs="Arial"/>
                <w:sz w:val="18"/>
                <w:szCs w:val="18"/>
              </w:rPr>
              <w:t>0.987</w:t>
            </w:r>
          </w:p>
        </w:tc>
        <w:tc>
          <w:tcPr>
            <w:tcW w:w="851" w:type="dxa"/>
            <w:tcBorders>
              <w:top w:val="nil"/>
              <w:left w:val="nil"/>
              <w:bottom w:val="nil"/>
              <w:right w:val="nil"/>
            </w:tcBorders>
            <w:shd w:val="clear" w:color="auto" w:fill="auto"/>
            <w:vAlign w:val="bottom"/>
          </w:tcPr>
          <w:p w14:paraId="7147D468" w14:textId="5CBFE95E" w:rsidR="005146A4" w:rsidRPr="001D41EA" w:rsidRDefault="005146A4" w:rsidP="001D41EA">
            <w:pPr>
              <w:spacing w:before="40" w:after="20"/>
              <w:jc w:val="center"/>
              <w:rPr>
                <w:rFonts w:cs="Arial"/>
                <w:sz w:val="18"/>
                <w:szCs w:val="18"/>
              </w:rPr>
            </w:pPr>
            <w:r w:rsidRPr="001D41EA">
              <w:rPr>
                <w:rFonts w:cs="Arial"/>
                <w:sz w:val="18"/>
                <w:szCs w:val="18"/>
              </w:rPr>
              <w:t>1.088</w:t>
            </w:r>
          </w:p>
        </w:tc>
        <w:tc>
          <w:tcPr>
            <w:tcW w:w="851" w:type="dxa"/>
            <w:tcBorders>
              <w:top w:val="nil"/>
              <w:left w:val="nil"/>
              <w:bottom w:val="nil"/>
              <w:right w:val="nil"/>
            </w:tcBorders>
            <w:shd w:val="clear" w:color="auto" w:fill="auto"/>
            <w:vAlign w:val="bottom"/>
          </w:tcPr>
          <w:p w14:paraId="6BAC7D22" w14:textId="49689F1A" w:rsidR="005146A4" w:rsidRPr="001D41EA" w:rsidRDefault="005146A4" w:rsidP="001D41EA">
            <w:pPr>
              <w:spacing w:before="40" w:after="20"/>
              <w:jc w:val="center"/>
              <w:rPr>
                <w:rFonts w:cs="Arial"/>
                <w:sz w:val="18"/>
                <w:szCs w:val="18"/>
              </w:rPr>
            </w:pPr>
            <w:r w:rsidRPr="001D41EA">
              <w:rPr>
                <w:rFonts w:cs="Arial"/>
                <w:sz w:val="18"/>
                <w:szCs w:val="18"/>
              </w:rPr>
              <w:t>0.950</w:t>
            </w:r>
          </w:p>
        </w:tc>
        <w:tc>
          <w:tcPr>
            <w:tcW w:w="851" w:type="dxa"/>
            <w:tcBorders>
              <w:top w:val="nil"/>
              <w:left w:val="nil"/>
              <w:bottom w:val="nil"/>
              <w:right w:val="nil"/>
            </w:tcBorders>
            <w:shd w:val="clear" w:color="auto" w:fill="auto"/>
            <w:vAlign w:val="bottom"/>
          </w:tcPr>
          <w:p w14:paraId="53497C28" w14:textId="4DAC8E1F" w:rsidR="005146A4" w:rsidRPr="001D41EA" w:rsidRDefault="005146A4" w:rsidP="001D41EA">
            <w:pPr>
              <w:spacing w:before="40" w:after="20"/>
              <w:jc w:val="center"/>
              <w:rPr>
                <w:rFonts w:cs="Arial"/>
                <w:sz w:val="18"/>
                <w:szCs w:val="18"/>
              </w:rPr>
            </w:pPr>
            <w:r w:rsidRPr="001D41EA">
              <w:rPr>
                <w:rFonts w:cs="Arial"/>
                <w:sz w:val="18"/>
                <w:szCs w:val="18"/>
              </w:rPr>
              <w:t>1.067</w:t>
            </w:r>
          </w:p>
        </w:tc>
      </w:tr>
      <w:tr w:rsidR="005146A4" w:rsidRPr="001D41EA" w14:paraId="173DC80B"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6A58331B" w14:textId="77777777" w:rsidR="005146A4" w:rsidRPr="001D41EA" w:rsidRDefault="005146A4" w:rsidP="001D41EA">
            <w:pPr>
              <w:spacing w:before="40" w:after="20"/>
              <w:rPr>
                <w:rFonts w:cs="Arial"/>
                <w:sz w:val="18"/>
                <w:szCs w:val="18"/>
              </w:rPr>
            </w:pPr>
            <w:r w:rsidRPr="001D41EA">
              <w:rPr>
                <w:rFonts w:cs="Arial"/>
                <w:sz w:val="18"/>
                <w:szCs w:val="18"/>
              </w:rPr>
              <w:t>Yarra Ranges S</w:t>
            </w:r>
          </w:p>
        </w:tc>
        <w:tc>
          <w:tcPr>
            <w:tcW w:w="851" w:type="dxa"/>
            <w:tcBorders>
              <w:top w:val="nil"/>
              <w:left w:val="single" w:sz="18" w:space="0" w:color="5F497A" w:themeColor="accent4" w:themeShade="BF"/>
              <w:bottom w:val="nil"/>
              <w:right w:val="nil"/>
            </w:tcBorders>
            <w:shd w:val="clear" w:color="auto" w:fill="auto"/>
            <w:vAlign w:val="bottom"/>
          </w:tcPr>
          <w:p w14:paraId="54AD8EAA" w14:textId="6FD527C1" w:rsidR="005146A4" w:rsidRPr="001D41EA" w:rsidRDefault="005146A4" w:rsidP="001D41EA">
            <w:pPr>
              <w:spacing w:before="40" w:after="20"/>
              <w:jc w:val="center"/>
              <w:rPr>
                <w:rFonts w:cs="Arial"/>
                <w:sz w:val="18"/>
                <w:szCs w:val="18"/>
              </w:rPr>
            </w:pPr>
            <w:r w:rsidRPr="001D41EA">
              <w:rPr>
                <w:rFonts w:cs="Arial"/>
                <w:sz w:val="18"/>
                <w:szCs w:val="18"/>
              </w:rPr>
              <w:t>1.008</w:t>
            </w:r>
          </w:p>
        </w:tc>
        <w:tc>
          <w:tcPr>
            <w:tcW w:w="851" w:type="dxa"/>
            <w:tcBorders>
              <w:top w:val="nil"/>
              <w:left w:val="nil"/>
              <w:bottom w:val="nil"/>
              <w:right w:val="nil"/>
            </w:tcBorders>
            <w:shd w:val="clear" w:color="auto" w:fill="auto"/>
            <w:vAlign w:val="bottom"/>
          </w:tcPr>
          <w:p w14:paraId="2146F344" w14:textId="5F6317EA" w:rsidR="005146A4" w:rsidRPr="001D41EA" w:rsidRDefault="005146A4" w:rsidP="001D41EA">
            <w:pPr>
              <w:spacing w:before="40" w:after="20"/>
              <w:jc w:val="center"/>
              <w:rPr>
                <w:rFonts w:cs="Arial"/>
                <w:sz w:val="18"/>
                <w:szCs w:val="18"/>
              </w:rPr>
            </w:pPr>
            <w:r w:rsidRPr="001D41EA">
              <w:rPr>
                <w:rFonts w:cs="Arial"/>
                <w:sz w:val="18"/>
                <w:szCs w:val="18"/>
              </w:rPr>
              <w:t>0.980</w:t>
            </w:r>
          </w:p>
        </w:tc>
        <w:tc>
          <w:tcPr>
            <w:tcW w:w="851" w:type="dxa"/>
            <w:tcBorders>
              <w:top w:val="nil"/>
              <w:left w:val="nil"/>
              <w:bottom w:val="nil"/>
              <w:right w:val="nil"/>
            </w:tcBorders>
            <w:shd w:val="clear" w:color="auto" w:fill="auto"/>
            <w:vAlign w:val="bottom"/>
          </w:tcPr>
          <w:p w14:paraId="39EF3392" w14:textId="77994F23" w:rsidR="005146A4" w:rsidRPr="001D41EA" w:rsidRDefault="005146A4" w:rsidP="001D41EA">
            <w:pPr>
              <w:spacing w:before="40" w:after="20"/>
              <w:jc w:val="center"/>
              <w:rPr>
                <w:rFonts w:cs="Arial"/>
                <w:sz w:val="18"/>
                <w:szCs w:val="18"/>
              </w:rPr>
            </w:pPr>
            <w:r w:rsidRPr="001D41EA">
              <w:rPr>
                <w:rFonts w:cs="Arial"/>
                <w:sz w:val="18"/>
                <w:szCs w:val="18"/>
              </w:rPr>
              <w:t>0.980</w:t>
            </w:r>
          </w:p>
        </w:tc>
        <w:tc>
          <w:tcPr>
            <w:tcW w:w="851" w:type="dxa"/>
            <w:tcBorders>
              <w:top w:val="nil"/>
              <w:left w:val="nil"/>
              <w:bottom w:val="nil"/>
              <w:right w:val="nil"/>
            </w:tcBorders>
            <w:shd w:val="clear" w:color="auto" w:fill="auto"/>
            <w:vAlign w:val="bottom"/>
          </w:tcPr>
          <w:p w14:paraId="289A46E6" w14:textId="4F7DD778" w:rsidR="005146A4" w:rsidRPr="001D41EA" w:rsidRDefault="005146A4" w:rsidP="001D41EA">
            <w:pPr>
              <w:spacing w:before="40" w:after="20"/>
              <w:jc w:val="center"/>
              <w:rPr>
                <w:rFonts w:cs="Arial"/>
                <w:sz w:val="18"/>
                <w:szCs w:val="18"/>
              </w:rPr>
            </w:pPr>
            <w:r w:rsidRPr="001D41EA">
              <w:rPr>
                <w:rFonts w:cs="Arial"/>
                <w:sz w:val="18"/>
                <w:szCs w:val="18"/>
              </w:rPr>
              <w:t>0.949</w:t>
            </w:r>
          </w:p>
        </w:tc>
        <w:tc>
          <w:tcPr>
            <w:tcW w:w="851" w:type="dxa"/>
            <w:tcBorders>
              <w:top w:val="nil"/>
              <w:left w:val="nil"/>
              <w:bottom w:val="nil"/>
              <w:right w:val="nil"/>
            </w:tcBorders>
            <w:shd w:val="clear" w:color="auto" w:fill="auto"/>
            <w:vAlign w:val="bottom"/>
          </w:tcPr>
          <w:p w14:paraId="419EBDBF" w14:textId="29BFE3D9" w:rsidR="005146A4" w:rsidRPr="001D41EA" w:rsidRDefault="005146A4" w:rsidP="001D41EA">
            <w:pPr>
              <w:spacing w:before="40" w:after="20"/>
              <w:jc w:val="center"/>
              <w:rPr>
                <w:rFonts w:cs="Arial"/>
                <w:sz w:val="18"/>
                <w:szCs w:val="18"/>
              </w:rPr>
            </w:pPr>
            <w:r w:rsidRPr="001D41EA">
              <w:rPr>
                <w:rFonts w:cs="Arial"/>
                <w:sz w:val="18"/>
                <w:szCs w:val="18"/>
              </w:rPr>
              <w:t>1.041</w:t>
            </w:r>
          </w:p>
        </w:tc>
        <w:tc>
          <w:tcPr>
            <w:tcW w:w="851" w:type="dxa"/>
            <w:tcBorders>
              <w:top w:val="nil"/>
              <w:left w:val="nil"/>
              <w:bottom w:val="nil"/>
              <w:right w:val="nil"/>
            </w:tcBorders>
            <w:shd w:val="clear" w:color="auto" w:fill="auto"/>
            <w:vAlign w:val="bottom"/>
          </w:tcPr>
          <w:p w14:paraId="01E21A36" w14:textId="4194B9B9" w:rsidR="005146A4" w:rsidRPr="001D41EA" w:rsidRDefault="005146A4" w:rsidP="001D41EA">
            <w:pPr>
              <w:spacing w:before="40" w:after="20"/>
              <w:jc w:val="center"/>
              <w:rPr>
                <w:rFonts w:cs="Arial"/>
                <w:sz w:val="18"/>
                <w:szCs w:val="18"/>
              </w:rPr>
            </w:pPr>
            <w:r w:rsidRPr="001D41EA">
              <w:rPr>
                <w:rFonts w:cs="Arial"/>
                <w:sz w:val="18"/>
                <w:szCs w:val="18"/>
              </w:rPr>
              <w:t>0.929</w:t>
            </w:r>
          </w:p>
        </w:tc>
        <w:tc>
          <w:tcPr>
            <w:tcW w:w="851" w:type="dxa"/>
            <w:tcBorders>
              <w:top w:val="nil"/>
              <w:left w:val="nil"/>
              <w:bottom w:val="nil"/>
              <w:right w:val="nil"/>
            </w:tcBorders>
            <w:shd w:val="clear" w:color="auto" w:fill="auto"/>
            <w:vAlign w:val="bottom"/>
          </w:tcPr>
          <w:p w14:paraId="5A144A94" w14:textId="01A5C966" w:rsidR="005146A4" w:rsidRPr="001D41EA" w:rsidRDefault="005146A4" w:rsidP="001D41EA">
            <w:pPr>
              <w:spacing w:before="40" w:after="20"/>
              <w:jc w:val="center"/>
              <w:rPr>
                <w:rFonts w:cs="Arial"/>
                <w:sz w:val="18"/>
                <w:szCs w:val="18"/>
              </w:rPr>
            </w:pPr>
            <w:r w:rsidRPr="001D41EA">
              <w:rPr>
                <w:rFonts w:cs="Arial"/>
                <w:sz w:val="18"/>
                <w:szCs w:val="18"/>
              </w:rPr>
              <w:t>1.165</w:t>
            </w:r>
          </w:p>
        </w:tc>
        <w:tc>
          <w:tcPr>
            <w:tcW w:w="851" w:type="dxa"/>
            <w:tcBorders>
              <w:top w:val="nil"/>
              <w:left w:val="nil"/>
              <w:bottom w:val="nil"/>
              <w:right w:val="nil"/>
            </w:tcBorders>
            <w:shd w:val="clear" w:color="auto" w:fill="auto"/>
            <w:vAlign w:val="bottom"/>
          </w:tcPr>
          <w:p w14:paraId="577DFC1D" w14:textId="502C03B4" w:rsidR="005146A4" w:rsidRPr="001D41EA" w:rsidRDefault="005146A4" w:rsidP="001D41EA">
            <w:pPr>
              <w:spacing w:before="40" w:after="20"/>
              <w:jc w:val="center"/>
              <w:rPr>
                <w:rFonts w:cs="Arial"/>
                <w:sz w:val="18"/>
                <w:szCs w:val="18"/>
              </w:rPr>
            </w:pPr>
            <w:r w:rsidRPr="001D41EA">
              <w:rPr>
                <w:rFonts w:cs="Arial"/>
                <w:sz w:val="18"/>
                <w:szCs w:val="18"/>
              </w:rPr>
              <w:t>0.974</w:t>
            </w:r>
          </w:p>
        </w:tc>
      </w:tr>
      <w:tr w:rsidR="005146A4" w:rsidRPr="001D41EA" w14:paraId="7123FA68" w14:textId="77777777" w:rsidTr="00CA09E3">
        <w:trPr>
          <w:trHeight w:val="20"/>
        </w:trPr>
        <w:tc>
          <w:tcPr>
            <w:tcW w:w="2268" w:type="dxa"/>
            <w:tcBorders>
              <w:top w:val="nil"/>
              <w:left w:val="nil"/>
              <w:bottom w:val="nil"/>
              <w:right w:val="single" w:sz="18" w:space="0" w:color="5F497A" w:themeColor="accent4" w:themeShade="BF"/>
            </w:tcBorders>
            <w:shd w:val="clear" w:color="auto" w:fill="auto"/>
            <w:vAlign w:val="center"/>
          </w:tcPr>
          <w:p w14:paraId="383009DD" w14:textId="77777777" w:rsidR="005146A4" w:rsidRPr="001D41EA" w:rsidRDefault="005146A4" w:rsidP="001D41EA">
            <w:pPr>
              <w:spacing w:before="40" w:after="20"/>
              <w:rPr>
                <w:rFonts w:cs="Arial"/>
                <w:sz w:val="18"/>
                <w:szCs w:val="18"/>
              </w:rPr>
            </w:pPr>
            <w:r w:rsidRPr="001D41EA">
              <w:rPr>
                <w:rFonts w:cs="Arial"/>
                <w:sz w:val="18"/>
                <w:szCs w:val="18"/>
              </w:rPr>
              <w:t>Yarriambiack S</w:t>
            </w:r>
          </w:p>
        </w:tc>
        <w:tc>
          <w:tcPr>
            <w:tcW w:w="851" w:type="dxa"/>
            <w:tcBorders>
              <w:top w:val="nil"/>
              <w:left w:val="single" w:sz="18" w:space="0" w:color="5F497A" w:themeColor="accent4" w:themeShade="BF"/>
              <w:right w:val="nil"/>
            </w:tcBorders>
            <w:shd w:val="clear" w:color="auto" w:fill="auto"/>
            <w:vAlign w:val="bottom"/>
          </w:tcPr>
          <w:p w14:paraId="25F74225" w14:textId="4396EC54" w:rsidR="005146A4" w:rsidRPr="001D41EA" w:rsidRDefault="005146A4" w:rsidP="001D41EA">
            <w:pPr>
              <w:spacing w:before="40" w:after="20"/>
              <w:jc w:val="center"/>
              <w:rPr>
                <w:rFonts w:cs="Arial"/>
                <w:sz w:val="18"/>
                <w:szCs w:val="18"/>
              </w:rPr>
            </w:pPr>
            <w:r w:rsidRPr="001D41EA">
              <w:rPr>
                <w:rFonts w:cs="Arial"/>
                <w:sz w:val="18"/>
                <w:szCs w:val="18"/>
              </w:rPr>
              <w:t>1.278</w:t>
            </w:r>
          </w:p>
        </w:tc>
        <w:tc>
          <w:tcPr>
            <w:tcW w:w="851" w:type="dxa"/>
            <w:tcBorders>
              <w:top w:val="nil"/>
              <w:left w:val="nil"/>
              <w:right w:val="nil"/>
            </w:tcBorders>
            <w:shd w:val="clear" w:color="auto" w:fill="auto"/>
            <w:vAlign w:val="bottom"/>
          </w:tcPr>
          <w:p w14:paraId="19B15DA2" w14:textId="0FF532F4" w:rsidR="005146A4" w:rsidRPr="001D41EA" w:rsidRDefault="005146A4" w:rsidP="001D41EA">
            <w:pPr>
              <w:spacing w:before="40" w:after="20"/>
              <w:jc w:val="center"/>
              <w:rPr>
                <w:rFonts w:cs="Arial"/>
                <w:sz w:val="18"/>
                <w:szCs w:val="18"/>
              </w:rPr>
            </w:pPr>
            <w:r w:rsidRPr="001D41EA">
              <w:rPr>
                <w:rFonts w:cs="Arial"/>
                <w:sz w:val="18"/>
                <w:szCs w:val="18"/>
              </w:rPr>
              <w:t>1.039</w:t>
            </w:r>
          </w:p>
        </w:tc>
        <w:tc>
          <w:tcPr>
            <w:tcW w:w="851" w:type="dxa"/>
            <w:tcBorders>
              <w:top w:val="nil"/>
              <w:left w:val="nil"/>
              <w:right w:val="nil"/>
            </w:tcBorders>
            <w:shd w:val="clear" w:color="auto" w:fill="auto"/>
            <w:vAlign w:val="bottom"/>
          </w:tcPr>
          <w:p w14:paraId="4461E1AC" w14:textId="4CB06559" w:rsidR="005146A4" w:rsidRPr="001D41EA" w:rsidRDefault="005146A4" w:rsidP="001D41EA">
            <w:pPr>
              <w:spacing w:before="40" w:after="20"/>
              <w:jc w:val="center"/>
              <w:rPr>
                <w:rFonts w:cs="Arial"/>
                <w:sz w:val="18"/>
                <w:szCs w:val="18"/>
              </w:rPr>
            </w:pPr>
            <w:r w:rsidRPr="001D41EA">
              <w:rPr>
                <w:rFonts w:cs="Arial"/>
                <w:sz w:val="18"/>
                <w:szCs w:val="18"/>
              </w:rPr>
              <w:t>1.176</w:t>
            </w:r>
          </w:p>
        </w:tc>
        <w:tc>
          <w:tcPr>
            <w:tcW w:w="851" w:type="dxa"/>
            <w:tcBorders>
              <w:top w:val="nil"/>
              <w:left w:val="nil"/>
              <w:right w:val="nil"/>
            </w:tcBorders>
            <w:shd w:val="clear" w:color="auto" w:fill="auto"/>
            <w:vAlign w:val="bottom"/>
          </w:tcPr>
          <w:p w14:paraId="7A1B6ACF" w14:textId="262CF5B4" w:rsidR="005146A4" w:rsidRPr="001D41EA" w:rsidRDefault="005146A4" w:rsidP="001D41EA">
            <w:pPr>
              <w:spacing w:before="40" w:after="20"/>
              <w:jc w:val="center"/>
              <w:rPr>
                <w:rFonts w:cs="Arial"/>
                <w:sz w:val="18"/>
                <w:szCs w:val="18"/>
              </w:rPr>
            </w:pPr>
            <w:r w:rsidRPr="001D41EA">
              <w:rPr>
                <w:rFonts w:cs="Arial"/>
                <w:sz w:val="18"/>
                <w:szCs w:val="18"/>
              </w:rPr>
              <w:t>1.084</w:t>
            </w:r>
          </w:p>
        </w:tc>
        <w:tc>
          <w:tcPr>
            <w:tcW w:w="851" w:type="dxa"/>
            <w:tcBorders>
              <w:top w:val="nil"/>
              <w:left w:val="nil"/>
              <w:right w:val="nil"/>
            </w:tcBorders>
            <w:shd w:val="clear" w:color="auto" w:fill="auto"/>
            <w:vAlign w:val="bottom"/>
          </w:tcPr>
          <w:p w14:paraId="08DD738D" w14:textId="25DAC339" w:rsidR="005146A4" w:rsidRPr="001D41EA" w:rsidRDefault="005146A4" w:rsidP="001D41EA">
            <w:pPr>
              <w:spacing w:before="40" w:after="20"/>
              <w:jc w:val="center"/>
              <w:rPr>
                <w:rFonts w:cs="Arial"/>
                <w:sz w:val="18"/>
                <w:szCs w:val="18"/>
              </w:rPr>
            </w:pPr>
            <w:r w:rsidRPr="001D41EA">
              <w:rPr>
                <w:rFonts w:cs="Arial"/>
                <w:sz w:val="18"/>
                <w:szCs w:val="18"/>
              </w:rPr>
              <w:t>1.321</w:t>
            </w:r>
          </w:p>
        </w:tc>
        <w:tc>
          <w:tcPr>
            <w:tcW w:w="851" w:type="dxa"/>
            <w:tcBorders>
              <w:top w:val="nil"/>
              <w:left w:val="nil"/>
              <w:right w:val="nil"/>
            </w:tcBorders>
            <w:shd w:val="clear" w:color="auto" w:fill="auto"/>
            <w:vAlign w:val="bottom"/>
          </w:tcPr>
          <w:p w14:paraId="32A68E83" w14:textId="54802A76" w:rsidR="005146A4" w:rsidRPr="001D41EA" w:rsidRDefault="005146A4" w:rsidP="001D41EA">
            <w:pPr>
              <w:spacing w:before="40" w:after="20"/>
              <w:jc w:val="center"/>
              <w:rPr>
                <w:rFonts w:cs="Arial"/>
                <w:sz w:val="18"/>
                <w:szCs w:val="18"/>
              </w:rPr>
            </w:pPr>
            <w:r w:rsidRPr="001D41EA">
              <w:rPr>
                <w:rFonts w:cs="Arial"/>
                <w:sz w:val="18"/>
                <w:szCs w:val="18"/>
              </w:rPr>
              <w:t>1.001</w:t>
            </w:r>
          </w:p>
        </w:tc>
        <w:tc>
          <w:tcPr>
            <w:tcW w:w="851" w:type="dxa"/>
            <w:tcBorders>
              <w:top w:val="nil"/>
              <w:left w:val="nil"/>
              <w:right w:val="nil"/>
            </w:tcBorders>
            <w:shd w:val="clear" w:color="auto" w:fill="auto"/>
            <w:vAlign w:val="bottom"/>
          </w:tcPr>
          <w:p w14:paraId="3AB60A76" w14:textId="53E9D904" w:rsidR="005146A4" w:rsidRPr="001D41EA" w:rsidRDefault="005146A4" w:rsidP="001D41EA">
            <w:pPr>
              <w:spacing w:before="40" w:after="20"/>
              <w:jc w:val="center"/>
              <w:rPr>
                <w:rFonts w:cs="Arial"/>
                <w:sz w:val="18"/>
                <w:szCs w:val="18"/>
              </w:rPr>
            </w:pPr>
            <w:r w:rsidRPr="001D41EA">
              <w:rPr>
                <w:rFonts w:cs="Arial"/>
                <w:sz w:val="18"/>
                <w:szCs w:val="18"/>
              </w:rPr>
              <w:t>1.290</w:t>
            </w:r>
          </w:p>
        </w:tc>
        <w:tc>
          <w:tcPr>
            <w:tcW w:w="851" w:type="dxa"/>
            <w:tcBorders>
              <w:top w:val="nil"/>
              <w:left w:val="nil"/>
              <w:right w:val="nil"/>
            </w:tcBorders>
            <w:shd w:val="clear" w:color="auto" w:fill="auto"/>
            <w:vAlign w:val="bottom"/>
          </w:tcPr>
          <w:p w14:paraId="74BC26A8" w14:textId="4D375AB9" w:rsidR="005146A4" w:rsidRPr="001D41EA" w:rsidRDefault="005146A4" w:rsidP="001D41EA">
            <w:pPr>
              <w:spacing w:before="40" w:after="20"/>
              <w:jc w:val="center"/>
              <w:rPr>
                <w:rFonts w:cs="Arial"/>
                <w:sz w:val="18"/>
                <w:szCs w:val="18"/>
              </w:rPr>
            </w:pPr>
            <w:r w:rsidRPr="001D41EA">
              <w:rPr>
                <w:rFonts w:cs="Arial"/>
                <w:sz w:val="18"/>
                <w:szCs w:val="18"/>
              </w:rPr>
              <w:t>1.252</w:t>
            </w:r>
          </w:p>
        </w:tc>
      </w:tr>
      <w:tr w:rsidR="00615E03" w:rsidRPr="001D41EA" w14:paraId="67F3AD74" w14:textId="77777777" w:rsidTr="00B44BBE">
        <w:trPr>
          <w:trHeight w:val="20"/>
        </w:trPr>
        <w:tc>
          <w:tcPr>
            <w:tcW w:w="2268" w:type="dxa"/>
            <w:tcBorders>
              <w:top w:val="nil"/>
              <w:left w:val="nil"/>
              <w:right w:val="single" w:sz="18" w:space="0" w:color="5F497A" w:themeColor="accent4" w:themeShade="BF"/>
            </w:tcBorders>
            <w:shd w:val="clear" w:color="auto" w:fill="auto"/>
            <w:vAlign w:val="center"/>
          </w:tcPr>
          <w:p w14:paraId="0C4A5FE5" w14:textId="77777777" w:rsidR="00615E03" w:rsidRPr="001D41EA" w:rsidRDefault="00615E03" w:rsidP="001D41EA">
            <w:pPr>
              <w:spacing w:before="40" w:after="20"/>
              <w:rPr>
                <w:rFonts w:cs="Arial"/>
                <w:sz w:val="18"/>
                <w:szCs w:val="18"/>
                <w:lang w:eastAsia="ko-KR"/>
              </w:rPr>
            </w:pPr>
          </w:p>
        </w:tc>
        <w:tc>
          <w:tcPr>
            <w:tcW w:w="851" w:type="dxa"/>
            <w:tcBorders>
              <w:top w:val="nil"/>
              <w:left w:val="single" w:sz="18" w:space="0" w:color="5F497A" w:themeColor="accent4" w:themeShade="BF"/>
              <w:bottom w:val="single" w:sz="8" w:space="0" w:color="5F497A" w:themeColor="accent4" w:themeShade="BF"/>
              <w:right w:val="nil"/>
            </w:tcBorders>
            <w:shd w:val="clear" w:color="auto" w:fill="auto"/>
            <w:vAlign w:val="center"/>
          </w:tcPr>
          <w:p w14:paraId="1C4D8E43" w14:textId="77777777" w:rsidR="00615E03" w:rsidRPr="001D41EA" w:rsidRDefault="00615E03" w:rsidP="001D41EA">
            <w:pPr>
              <w:spacing w:before="40" w:after="20"/>
              <w:jc w:val="center"/>
              <w:rPr>
                <w:rFonts w:cs="Arial"/>
                <w:sz w:val="18"/>
                <w:szCs w:val="18"/>
              </w:rPr>
            </w:pPr>
          </w:p>
        </w:tc>
        <w:tc>
          <w:tcPr>
            <w:tcW w:w="851" w:type="dxa"/>
            <w:tcBorders>
              <w:top w:val="nil"/>
              <w:left w:val="nil"/>
              <w:bottom w:val="single" w:sz="8" w:space="0" w:color="5F497A" w:themeColor="accent4" w:themeShade="BF"/>
              <w:right w:val="nil"/>
            </w:tcBorders>
            <w:shd w:val="clear" w:color="auto" w:fill="auto"/>
            <w:vAlign w:val="center"/>
          </w:tcPr>
          <w:p w14:paraId="66577169" w14:textId="77777777" w:rsidR="00615E03" w:rsidRPr="001D41EA" w:rsidRDefault="00615E03" w:rsidP="001D41EA">
            <w:pPr>
              <w:spacing w:before="40" w:after="20"/>
              <w:jc w:val="center"/>
              <w:rPr>
                <w:rFonts w:cs="Arial"/>
                <w:sz w:val="18"/>
                <w:szCs w:val="18"/>
              </w:rPr>
            </w:pPr>
          </w:p>
        </w:tc>
        <w:tc>
          <w:tcPr>
            <w:tcW w:w="851" w:type="dxa"/>
            <w:tcBorders>
              <w:top w:val="nil"/>
              <w:left w:val="nil"/>
              <w:bottom w:val="single" w:sz="8" w:space="0" w:color="5F497A" w:themeColor="accent4" w:themeShade="BF"/>
              <w:right w:val="nil"/>
            </w:tcBorders>
            <w:shd w:val="clear" w:color="auto" w:fill="auto"/>
            <w:vAlign w:val="center"/>
          </w:tcPr>
          <w:p w14:paraId="43A6B784" w14:textId="77777777" w:rsidR="00615E03" w:rsidRPr="001D41EA" w:rsidRDefault="00615E03" w:rsidP="001D41EA">
            <w:pPr>
              <w:spacing w:before="40" w:after="20"/>
              <w:jc w:val="center"/>
              <w:rPr>
                <w:rFonts w:cs="Arial"/>
                <w:sz w:val="18"/>
                <w:szCs w:val="18"/>
              </w:rPr>
            </w:pPr>
          </w:p>
        </w:tc>
        <w:tc>
          <w:tcPr>
            <w:tcW w:w="851" w:type="dxa"/>
            <w:tcBorders>
              <w:top w:val="nil"/>
              <w:left w:val="nil"/>
              <w:bottom w:val="single" w:sz="8" w:space="0" w:color="5F497A" w:themeColor="accent4" w:themeShade="BF"/>
              <w:right w:val="nil"/>
            </w:tcBorders>
            <w:shd w:val="clear" w:color="auto" w:fill="auto"/>
            <w:vAlign w:val="center"/>
          </w:tcPr>
          <w:p w14:paraId="6DDB0BC8" w14:textId="77777777" w:rsidR="00615E03" w:rsidRPr="001D41EA" w:rsidRDefault="00615E03" w:rsidP="001D41EA">
            <w:pPr>
              <w:spacing w:before="40" w:after="20"/>
              <w:jc w:val="center"/>
              <w:rPr>
                <w:rFonts w:cs="Arial"/>
                <w:sz w:val="18"/>
                <w:szCs w:val="18"/>
              </w:rPr>
            </w:pPr>
          </w:p>
        </w:tc>
        <w:tc>
          <w:tcPr>
            <w:tcW w:w="851" w:type="dxa"/>
            <w:tcBorders>
              <w:top w:val="nil"/>
              <w:left w:val="nil"/>
              <w:bottom w:val="single" w:sz="8" w:space="0" w:color="5F497A" w:themeColor="accent4" w:themeShade="BF"/>
              <w:right w:val="nil"/>
            </w:tcBorders>
            <w:shd w:val="clear" w:color="auto" w:fill="auto"/>
            <w:vAlign w:val="center"/>
          </w:tcPr>
          <w:p w14:paraId="075FE6C7" w14:textId="77777777" w:rsidR="00615E03" w:rsidRPr="001D41EA" w:rsidRDefault="00615E03" w:rsidP="001D41EA">
            <w:pPr>
              <w:spacing w:before="40" w:after="20"/>
              <w:jc w:val="center"/>
              <w:rPr>
                <w:rFonts w:cs="Arial"/>
                <w:sz w:val="18"/>
                <w:szCs w:val="18"/>
              </w:rPr>
            </w:pPr>
          </w:p>
        </w:tc>
        <w:tc>
          <w:tcPr>
            <w:tcW w:w="851" w:type="dxa"/>
            <w:tcBorders>
              <w:top w:val="nil"/>
              <w:left w:val="nil"/>
              <w:bottom w:val="single" w:sz="8" w:space="0" w:color="5F497A" w:themeColor="accent4" w:themeShade="BF"/>
              <w:right w:val="nil"/>
            </w:tcBorders>
            <w:shd w:val="clear" w:color="auto" w:fill="auto"/>
            <w:vAlign w:val="center"/>
          </w:tcPr>
          <w:p w14:paraId="05252229" w14:textId="77777777" w:rsidR="00615E03" w:rsidRPr="001D41EA" w:rsidRDefault="00615E03" w:rsidP="001D41EA">
            <w:pPr>
              <w:spacing w:before="40" w:after="20"/>
              <w:jc w:val="center"/>
              <w:rPr>
                <w:rFonts w:cs="Arial"/>
                <w:sz w:val="18"/>
                <w:szCs w:val="18"/>
              </w:rPr>
            </w:pPr>
          </w:p>
        </w:tc>
        <w:tc>
          <w:tcPr>
            <w:tcW w:w="851" w:type="dxa"/>
            <w:tcBorders>
              <w:top w:val="nil"/>
              <w:left w:val="nil"/>
              <w:bottom w:val="single" w:sz="8" w:space="0" w:color="5F497A" w:themeColor="accent4" w:themeShade="BF"/>
              <w:right w:val="nil"/>
            </w:tcBorders>
            <w:shd w:val="clear" w:color="auto" w:fill="auto"/>
            <w:vAlign w:val="center"/>
          </w:tcPr>
          <w:p w14:paraId="7C9C2568" w14:textId="77777777" w:rsidR="00615E03" w:rsidRPr="001D41EA" w:rsidRDefault="00615E03" w:rsidP="001D41EA">
            <w:pPr>
              <w:spacing w:before="40" w:after="20"/>
              <w:jc w:val="center"/>
              <w:rPr>
                <w:rFonts w:cs="Arial"/>
                <w:sz w:val="18"/>
                <w:szCs w:val="18"/>
              </w:rPr>
            </w:pPr>
          </w:p>
        </w:tc>
        <w:tc>
          <w:tcPr>
            <w:tcW w:w="851" w:type="dxa"/>
            <w:tcBorders>
              <w:top w:val="nil"/>
              <w:left w:val="nil"/>
              <w:bottom w:val="single" w:sz="8" w:space="0" w:color="5F497A" w:themeColor="accent4" w:themeShade="BF"/>
              <w:right w:val="nil"/>
            </w:tcBorders>
            <w:shd w:val="clear" w:color="auto" w:fill="auto"/>
            <w:vAlign w:val="center"/>
          </w:tcPr>
          <w:p w14:paraId="0D53EE8F" w14:textId="77777777" w:rsidR="00615E03" w:rsidRPr="001D41EA" w:rsidRDefault="00615E03" w:rsidP="001D41EA">
            <w:pPr>
              <w:spacing w:before="40" w:after="20"/>
              <w:jc w:val="center"/>
              <w:rPr>
                <w:rFonts w:cs="Arial"/>
                <w:sz w:val="18"/>
                <w:szCs w:val="18"/>
              </w:rPr>
            </w:pPr>
          </w:p>
        </w:tc>
      </w:tr>
      <w:tr w:rsidR="003C5C9E" w:rsidRPr="001D41EA" w14:paraId="10FBF539" w14:textId="77777777" w:rsidTr="00B44BBE">
        <w:trPr>
          <w:trHeight w:val="20"/>
        </w:trPr>
        <w:tc>
          <w:tcPr>
            <w:tcW w:w="2268" w:type="dxa"/>
            <w:tcBorders>
              <w:top w:val="nil"/>
              <w:left w:val="nil"/>
              <w:right w:val="single" w:sz="18" w:space="0" w:color="5F497A" w:themeColor="accent4" w:themeShade="BF"/>
            </w:tcBorders>
            <w:shd w:val="clear" w:color="auto" w:fill="auto"/>
            <w:vAlign w:val="center"/>
          </w:tcPr>
          <w:p w14:paraId="0A521C40" w14:textId="77777777" w:rsidR="003C5C9E" w:rsidRPr="001D41EA" w:rsidRDefault="003C5C9E" w:rsidP="001D41EA">
            <w:pPr>
              <w:spacing w:before="40" w:after="20"/>
              <w:rPr>
                <w:rFonts w:cs="Arial"/>
                <w:sz w:val="18"/>
                <w:szCs w:val="18"/>
                <w:lang w:eastAsia="ko-KR"/>
              </w:rPr>
            </w:pPr>
          </w:p>
        </w:tc>
        <w:tc>
          <w:tcPr>
            <w:tcW w:w="851" w:type="dxa"/>
            <w:tcBorders>
              <w:top w:val="single" w:sz="8" w:space="0" w:color="5F497A" w:themeColor="accent4" w:themeShade="BF"/>
              <w:left w:val="single" w:sz="18" w:space="0" w:color="5F497A" w:themeColor="accent4" w:themeShade="BF"/>
              <w:right w:val="nil"/>
            </w:tcBorders>
            <w:shd w:val="clear" w:color="auto" w:fill="auto"/>
            <w:vAlign w:val="center"/>
          </w:tcPr>
          <w:p w14:paraId="0B128650" w14:textId="77777777" w:rsidR="003C5C9E" w:rsidRPr="001D41EA" w:rsidRDefault="003C5C9E" w:rsidP="001D41EA">
            <w:pPr>
              <w:spacing w:before="40" w:after="20"/>
              <w:jc w:val="center"/>
              <w:rPr>
                <w:rFonts w:cs="Arial"/>
                <w:b/>
                <w:sz w:val="18"/>
                <w:szCs w:val="18"/>
              </w:rPr>
            </w:pPr>
          </w:p>
        </w:tc>
        <w:tc>
          <w:tcPr>
            <w:tcW w:w="851" w:type="dxa"/>
            <w:tcBorders>
              <w:top w:val="single" w:sz="8" w:space="0" w:color="5F497A" w:themeColor="accent4" w:themeShade="BF"/>
              <w:left w:val="nil"/>
              <w:right w:val="nil"/>
            </w:tcBorders>
            <w:shd w:val="clear" w:color="auto" w:fill="auto"/>
            <w:vAlign w:val="center"/>
          </w:tcPr>
          <w:p w14:paraId="60B77457" w14:textId="77777777" w:rsidR="003C5C9E" w:rsidRPr="001D41EA" w:rsidRDefault="003C5C9E" w:rsidP="001D41EA">
            <w:pPr>
              <w:spacing w:before="40" w:after="20"/>
              <w:jc w:val="center"/>
              <w:rPr>
                <w:rFonts w:cs="Arial"/>
                <w:b/>
                <w:sz w:val="18"/>
                <w:szCs w:val="18"/>
              </w:rPr>
            </w:pPr>
          </w:p>
        </w:tc>
        <w:tc>
          <w:tcPr>
            <w:tcW w:w="851" w:type="dxa"/>
            <w:tcBorders>
              <w:top w:val="single" w:sz="8" w:space="0" w:color="5F497A" w:themeColor="accent4" w:themeShade="BF"/>
              <w:left w:val="nil"/>
              <w:right w:val="nil"/>
            </w:tcBorders>
            <w:shd w:val="clear" w:color="auto" w:fill="auto"/>
            <w:vAlign w:val="center"/>
          </w:tcPr>
          <w:p w14:paraId="78F7202B" w14:textId="77777777" w:rsidR="003C5C9E" w:rsidRPr="001D41EA" w:rsidRDefault="003C5C9E" w:rsidP="001D41EA">
            <w:pPr>
              <w:spacing w:before="40" w:after="20"/>
              <w:jc w:val="center"/>
              <w:rPr>
                <w:rFonts w:cs="Arial"/>
                <w:b/>
                <w:sz w:val="18"/>
                <w:szCs w:val="18"/>
              </w:rPr>
            </w:pPr>
          </w:p>
        </w:tc>
        <w:tc>
          <w:tcPr>
            <w:tcW w:w="851" w:type="dxa"/>
            <w:tcBorders>
              <w:top w:val="single" w:sz="8" w:space="0" w:color="5F497A" w:themeColor="accent4" w:themeShade="BF"/>
              <w:left w:val="nil"/>
              <w:right w:val="nil"/>
            </w:tcBorders>
            <w:shd w:val="clear" w:color="auto" w:fill="auto"/>
            <w:vAlign w:val="center"/>
          </w:tcPr>
          <w:p w14:paraId="3B9A0769" w14:textId="77777777" w:rsidR="003C5C9E" w:rsidRPr="001D41EA" w:rsidRDefault="003C5C9E" w:rsidP="001D41EA">
            <w:pPr>
              <w:spacing w:before="40" w:after="20"/>
              <w:jc w:val="center"/>
              <w:rPr>
                <w:rFonts w:cs="Arial"/>
                <w:b/>
                <w:sz w:val="18"/>
                <w:szCs w:val="18"/>
              </w:rPr>
            </w:pPr>
          </w:p>
        </w:tc>
        <w:tc>
          <w:tcPr>
            <w:tcW w:w="851" w:type="dxa"/>
            <w:tcBorders>
              <w:top w:val="single" w:sz="8" w:space="0" w:color="5F497A" w:themeColor="accent4" w:themeShade="BF"/>
              <w:left w:val="nil"/>
              <w:right w:val="nil"/>
            </w:tcBorders>
            <w:shd w:val="clear" w:color="auto" w:fill="auto"/>
            <w:vAlign w:val="center"/>
          </w:tcPr>
          <w:p w14:paraId="1F1B0F4E" w14:textId="77777777" w:rsidR="003C5C9E" w:rsidRPr="001D41EA" w:rsidRDefault="003C5C9E" w:rsidP="001D41EA">
            <w:pPr>
              <w:spacing w:before="40" w:after="20"/>
              <w:jc w:val="center"/>
              <w:rPr>
                <w:rFonts w:cs="Arial"/>
                <w:b/>
                <w:sz w:val="18"/>
                <w:szCs w:val="18"/>
              </w:rPr>
            </w:pPr>
          </w:p>
        </w:tc>
        <w:tc>
          <w:tcPr>
            <w:tcW w:w="851" w:type="dxa"/>
            <w:tcBorders>
              <w:top w:val="single" w:sz="8" w:space="0" w:color="5F497A" w:themeColor="accent4" w:themeShade="BF"/>
              <w:left w:val="nil"/>
              <w:right w:val="nil"/>
            </w:tcBorders>
            <w:shd w:val="clear" w:color="auto" w:fill="auto"/>
            <w:vAlign w:val="center"/>
          </w:tcPr>
          <w:p w14:paraId="6C26D3BD" w14:textId="77777777" w:rsidR="003C5C9E" w:rsidRPr="001D41EA" w:rsidRDefault="003C5C9E" w:rsidP="001D41EA">
            <w:pPr>
              <w:spacing w:before="40" w:after="20"/>
              <w:jc w:val="center"/>
              <w:rPr>
                <w:rFonts w:cs="Arial"/>
                <w:b/>
                <w:sz w:val="18"/>
                <w:szCs w:val="18"/>
              </w:rPr>
            </w:pPr>
          </w:p>
        </w:tc>
        <w:tc>
          <w:tcPr>
            <w:tcW w:w="851" w:type="dxa"/>
            <w:tcBorders>
              <w:top w:val="single" w:sz="8" w:space="0" w:color="5F497A" w:themeColor="accent4" w:themeShade="BF"/>
              <w:left w:val="nil"/>
              <w:right w:val="nil"/>
            </w:tcBorders>
            <w:shd w:val="clear" w:color="auto" w:fill="auto"/>
            <w:vAlign w:val="center"/>
          </w:tcPr>
          <w:p w14:paraId="2895E08A" w14:textId="77777777" w:rsidR="003C5C9E" w:rsidRPr="001D41EA" w:rsidRDefault="003C5C9E" w:rsidP="001D41EA">
            <w:pPr>
              <w:spacing w:before="40" w:after="20"/>
              <w:jc w:val="center"/>
              <w:rPr>
                <w:rFonts w:cs="Arial"/>
                <w:b/>
                <w:sz w:val="18"/>
                <w:szCs w:val="18"/>
              </w:rPr>
            </w:pPr>
          </w:p>
        </w:tc>
        <w:tc>
          <w:tcPr>
            <w:tcW w:w="851" w:type="dxa"/>
            <w:tcBorders>
              <w:top w:val="single" w:sz="8" w:space="0" w:color="5F497A" w:themeColor="accent4" w:themeShade="BF"/>
              <w:left w:val="nil"/>
              <w:right w:val="nil"/>
            </w:tcBorders>
            <w:shd w:val="clear" w:color="auto" w:fill="auto"/>
            <w:vAlign w:val="center"/>
          </w:tcPr>
          <w:p w14:paraId="18D3D0BF" w14:textId="77777777" w:rsidR="003C5C9E" w:rsidRPr="001D41EA" w:rsidRDefault="003C5C9E" w:rsidP="001D41EA">
            <w:pPr>
              <w:spacing w:before="40" w:after="20"/>
              <w:jc w:val="center"/>
              <w:rPr>
                <w:rFonts w:cs="Arial"/>
                <w:b/>
                <w:sz w:val="18"/>
                <w:szCs w:val="18"/>
              </w:rPr>
            </w:pPr>
          </w:p>
        </w:tc>
      </w:tr>
    </w:tbl>
    <w:p w14:paraId="2CFB4A46" w14:textId="77777777" w:rsidR="00185DCF" w:rsidRPr="00A44829" w:rsidRDefault="00185DCF" w:rsidP="00FF36E8">
      <w:pPr>
        <w:spacing w:before="40" w:after="20"/>
        <w:rPr>
          <w:rFonts w:cs="Arial"/>
          <w:sz w:val="18"/>
          <w:szCs w:val="18"/>
        </w:rPr>
      </w:pPr>
      <w:r w:rsidRPr="00A44829">
        <w:rPr>
          <w:rFonts w:cs="Arial"/>
          <w:sz w:val="18"/>
          <w:szCs w:val="18"/>
        </w:rPr>
        <w:br w:type="page"/>
      </w:r>
    </w:p>
    <w:p w14:paraId="3F5D2C9B" w14:textId="3D5C5769" w:rsidR="00185DCF" w:rsidRPr="00A44829" w:rsidRDefault="00CE4507" w:rsidP="00C33713">
      <w:pPr>
        <w:pStyle w:val="VGC-Head10"/>
      </w:pPr>
      <w:r w:rsidRPr="00A44829">
        <w:lastRenderedPageBreak/>
        <w:t>Appendix 4</w:t>
      </w:r>
      <w:r w:rsidR="00185DCF" w:rsidRPr="00A44829">
        <w:tab/>
      </w:r>
      <w:r w:rsidR="00EE4593" w:rsidRPr="00A44829">
        <w:t>2019-20</w:t>
      </w:r>
      <w:r w:rsidR="00A97ABE" w:rsidRPr="00A44829">
        <w:t xml:space="preserve"> </w:t>
      </w:r>
      <w:r w:rsidR="00185DCF" w:rsidRPr="00A44829">
        <w:t xml:space="preserve">General Purpose Grants </w:t>
      </w:r>
    </w:p>
    <w:p w14:paraId="74851397" w14:textId="77777777" w:rsidR="00185DCF" w:rsidRPr="00A44829" w:rsidRDefault="00185DCF" w:rsidP="008C1A28">
      <w:pPr>
        <w:pStyle w:val="VGC-Head2"/>
      </w:pPr>
      <w:r w:rsidRPr="00A44829">
        <w:t>F.  Standardised Expenditure</w:t>
      </w:r>
    </w:p>
    <w:p w14:paraId="304D8D87" w14:textId="77777777" w:rsidR="00185DCF" w:rsidRPr="00A44829"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A44829" w14:paraId="231C7AB2" w14:textId="77777777" w:rsidTr="00B44BBE">
        <w:trPr>
          <w:tblHeader/>
        </w:trPr>
        <w:tc>
          <w:tcPr>
            <w:tcW w:w="2268" w:type="dxa"/>
            <w:tcBorders>
              <w:top w:val="nil"/>
              <w:left w:val="nil"/>
              <w:right w:val="single" w:sz="18" w:space="0" w:color="5F497A" w:themeColor="accent4" w:themeShade="BF"/>
            </w:tcBorders>
            <w:shd w:val="clear" w:color="auto" w:fill="auto"/>
            <w:vAlign w:val="bottom"/>
          </w:tcPr>
          <w:p w14:paraId="2A3B4FAF" w14:textId="77777777" w:rsidR="00CA4C9C" w:rsidRPr="00A44829" w:rsidRDefault="00CA4C9C" w:rsidP="008001AD">
            <w:pPr>
              <w:spacing w:before="40" w:after="20"/>
              <w:jc w:val="center"/>
              <w:rPr>
                <w:rFonts w:cs="Arial"/>
                <w:sz w:val="18"/>
                <w:szCs w:val="18"/>
              </w:rPr>
            </w:pPr>
          </w:p>
        </w:tc>
        <w:tc>
          <w:tcPr>
            <w:tcW w:w="6805" w:type="dxa"/>
            <w:gridSpan w:val="5"/>
            <w:tcBorders>
              <w:left w:val="single" w:sz="18" w:space="0" w:color="5F497A" w:themeColor="accent4" w:themeShade="BF"/>
              <w:bottom w:val="single" w:sz="8" w:space="0" w:color="5F497A" w:themeColor="accent4" w:themeShade="BF"/>
              <w:right w:val="nil"/>
            </w:tcBorders>
            <w:shd w:val="clear" w:color="auto" w:fill="auto"/>
            <w:vAlign w:val="bottom"/>
          </w:tcPr>
          <w:p w14:paraId="406CA5AB" w14:textId="77777777" w:rsidR="00CA4C9C" w:rsidRPr="00A44829" w:rsidRDefault="00CA4C9C" w:rsidP="008001AD">
            <w:pPr>
              <w:spacing w:before="40" w:after="20"/>
              <w:jc w:val="center"/>
              <w:rPr>
                <w:rFonts w:cs="Arial"/>
                <w:b/>
                <w:sz w:val="18"/>
                <w:szCs w:val="18"/>
              </w:rPr>
            </w:pPr>
            <w:r w:rsidRPr="00A44829">
              <w:rPr>
                <w:rFonts w:cs="Arial"/>
                <w:b/>
                <w:sz w:val="18"/>
                <w:szCs w:val="18"/>
              </w:rPr>
              <w:t>Net Standardised Expenditure</w:t>
            </w:r>
          </w:p>
        </w:tc>
      </w:tr>
      <w:tr w:rsidR="00CA4C9C" w:rsidRPr="00A44829" w14:paraId="7ABB57D7" w14:textId="77777777" w:rsidTr="00B44BBE">
        <w:trPr>
          <w:tblHeader/>
        </w:trPr>
        <w:tc>
          <w:tcPr>
            <w:tcW w:w="2268" w:type="dxa"/>
            <w:tcBorders>
              <w:top w:val="nil"/>
              <w:left w:val="nil"/>
              <w:right w:val="single" w:sz="18" w:space="0" w:color="5F497A" w:themeColor="accent4" w:themeShade="BF"/>
            </w:tcBorders>
            <w:shd w:val="clear" w:color="auto" w:fill="auto"/>
            <w:vAlign w:val="bottom"/>
          </w:tcPr>
          <w:p w14:paraId="169BD5E2" w14:textId="77777777" w:rsidR="00CA4C9C" w:rsidRPr="00A44829" w:rsidRDefault="00CA4C9C" w:rsidP="008001AD">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7369030F" w14:textId="77777777" w:rsidR="00CA4C9C" w:rsidRPr="00A44829" w:rsidRDefault="00CA4C9C" w:rsidP="008001AD">
            <w:pPr>
              <w:spacing w:before="40" w:after="20"/>
              <w:jc w:val="center"/>
              <w:rPr>
                <w:rFonts w:cs="Arial"/>
                <w:sz w:val="16"/>
                <w:szCs w:val="16"/>
              </w:rPr>
            </w:pPr>
            <w:r w:rsidRPr="00A44829">
              <w:rPr>
                <w:rFonts w:cs="Arial"/>
                <w:sz w:val="16"/>
                <w:szCs w:val="16"/>
              </w:rPr>
              <w:t>Governance</w:t>
            </w:r>
            <w:r w:rsidRPr="00A44829">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1EA74CFD" w14:textId="77777777" w:rsidR="00CA4C9C" w:rsidRPr="00A44829" w:rsidRDefault="00CA4C9C" w:rsidP="008001AD">
            <w:pPr>
              <w:spacing w:before="40" w:after="20"/>
              <w:jc w:val="center"/>
              <w:rPr>
                <w:rFonts w:cs="Arial"/>
                <w:sz w:val="16"/>
                <w:szCs w:val="16"/>
              </w:rPr>
            </w:pPr>
            <w:r w:rsidRPr="00A44829">
              <w:rPr>
                <w:rFonts w:cs="Arial"/>
                <w:sz w:val="16"/>
                <w:szCs w:val="16"/>
              </w:rPr>
              <w:t xml:space="preserve">Family &amp; Community Services </w:t>
            </w:r>
            <w:r w:rsidRPr="00A44829">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1341472D" w14:textId="77777777" w:rsidR="00CA4C9C" w:rsidRPr="00A44829" w:rsidRDefault="00CA4C9C" w:rsidP="008001AD">
            <w:pPr>
              <w:spacing w:before="40" w:after="20"/>
              <w:jc w:val="center"/>
              <w:rPr>
                <w:rFonts w:cs="Arial"/>
                <w:sz w:val="16"/>
                <w:szCs w:val="16"/>
              </w:rPr>
            </w:pPr>
            <w:r w:rsidRPr="00A44829">
              <w:rPr>
                <w:rFonts w:cs="Arial"/>
                <w:sz w:val="16"/>
                <w:szCs w:val="16"/>
              </w:rPr>
              <w:t xml:space="preserve">Aged </w:t>
            </w:r>
            <w:r w:rsidR="00286A84" w:rsidRPr="00A44829">
              <w:rPr>
                <w:rFonts w:cs="Arial"/>
                <w:sz w:val="16"/>
                <w:szCs w:val="16"/>
              </w:rPr>
              <w:t xml:space="preserve">&amp; </w:t>
            </w:r>
            <w:r w:rsidR="00327AC7" w:rsidRPr="00A44829">
              <w:rPr>
                <w:rFonts w:cs="Arial"/>
                <w:sz w:val="16"/>
                <w:szCs w:val="16"/>
              </w:rPr>
              <w:br/>
            </w:r>
            <w:r w:rsidR="00286A84" w:rsidRPr="00A44829">
              <w:rPr>
                <w:rFonts w:cs="Arial"/>
                <w:sz w:val="16"/>
                <w:szCs w:val="16"/>
              </w:rPr>
              <w:t xml:space="preserve">Disabled </w:t>
            </w:r>
            <w:r w:rsidRPr="00A44829">
              <w:rPr>
                <w:rFonts w:cs="Arial"/>
                <w:sz w:val="16"/>
                <w:szCs w:val="16"/>
              </w:rPr>
              <w:t>Services</w:t>
            </w:r>
            <w:r w:rsidRPr="00A44829">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vAlign w:val="bottom"/>
          </w:tcPr>
          <w:p w14:paraId="4A5444D7" w14:textId="77777777" w:rsidR="00CA4C9C" w:rsidRPr="00A44829" w:rsidRDefault="00CA4C9C" w:rsidP="008001AD">
            <w:pPr>
              <w:spacing w:before="40" w:after="20"/>
              <w:jc w:val="center"/>
              <w:rPr>
                <w:rFonts w:cs="Arial"/>
                <w:sz w:val="16"/>
                <w:szCs w:val="16"/>
              </w:rPr>
            </w:pPr>
            <w:r w:rsidRPr="00A44829">
              <w:rPr>
                <w:rFonts w:cs="Arial"/>
                <w:sz w:val="16"/>
                <w:szCs w:val="16"/>
              </w:rPr>
              <w:t xml:space="preserve">Recreation </w:t>
            </w:r>
            <w:r w:rsidR="00327AC7" w:rsidRPr="00A44829">
              <w:rPr>
                <w:rFonts w:cs="Arial"/>
                <w:sz w:val="16"/>
                <w:szCs w:val="16"/>
              </w:rPr>
              <w:br/>
            </w:r>
            <w:r w:rsidRPr="00A44829">
              <w:rPr>
                <w:rFonts w:cs="Arial"/>
                <w:sz w:val="16"/>
                <w:szCs w:val="16"/>
              </w:rPr>
              <w:t xml:space="preserve">&amp; Culture </w:t>
            </w:r>
            <w:r w:rsidRPr="00A44829">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1DE1CE7D" w14:textId="77777777" w:rsidR="00CA4C9C" w:rsidRPr="00A44829" w:rsidRDefault="00CA4C9C" w:rsidP="008001AD">
            <w:pPr>
              <w:spacing w:before="40" w:after="20"/>
              <w:jc w:val="center"/>
              <w:rPr>
                <w:rFonts w:cs="Arial"/>
                <w:sz w:val="16"/>
                <w:szCs w:val="16"/>
              </w:rPr>
            </w:pPr>
            <w:r w:rsidRPr="00A44829">
              <w:rPr>
                <w:rFonts w:cs="Arial"/>
                <w:sz w:val="16"/>
                <w:szCs w:val="16"/>
              </w:rPr>
              <w:t xml:space="preserve">Waste Management </w:t>
            </w:r>
            <w:r w:rsidRPr="00A44829">
              <w:rPr>
                <w:rFonts w:cs="Arial"/>
                <w:sz w:val="16"/>
                <w:szCs w:val="16"/>
              </w:rPr>
              <w:br/>
              <w:t>($)</w:t>
            </w:r>
          </w:p>
        </w:tc>
      </w:tr>
      <w:tr w:rsidR="00584325" w:rsidRPr="001D41EA" w14:paraId="722F3068" w14:textId="77777777" w:rsidTr="00B44BBE">
        <w:trPr>
          <w:tblHeader/>
        </w:trPr>
        <w:tc>
          <w:tcPr>
            <w:tcW w:w="2268" w:type="dxa"/>
            <w:tcBorders>
              <w:left w:val="nil"/>
              <w:bottom w:val="nil"/>
              <w:right w:val="single" w:sz="18" w:space="0" w:color="5F497A" w:themeColor="accent4" w:themeShade="BF"/>
            </w:tcBorders>
            <w:shd w:val="clear" w:color="auto" w:fill="auto"/>
            <w:noWrap/>
            <w:vAlign w:val="center"/>
          </w:tcPr>
          <w:p w14:paraId="0025C96C" w14:textId="77777777" w:rsidR="00584325" w:rsidRPr="001D41EA" w:rsidRDefault="00584325" w:rsidP="001D41EA">
            <w:pPr>
              <w:spacing w:before="40" w:after="4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44ACE084" w14:textId="6EB7AF4A" w:rsidR="00584325" w:rsidRPr="001D41EA" w:rsidRDefault="00584325" w:rsidP="001D41EA">
            <w:pPr>
              <w:spacing w:before="40" w:after="4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shd w:val="clear" w:color="auto" w:fill="auto"/>
            <w:noWrap/>
            <w:vAlign w:val="bottom"/>
          </w:tcPr>
          <w:p w14:paraId="372E0F35" w14:textId="77777777" w:rsidR="00584325" w:rsidRPr="001D41EA" w:rsidRDefault="00584325" w:rsidP="001D41EA">
            <w:pPr>
              <w:spacing w:before="40" w:after="4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7D0A31A7" w14:textId="77777777" w:rsidR="00584325" w:rsidRPr="001D41EA" w:rsidRDefault="00584325" w:rsidP="001D41EA">
            <w:pPr>
              <w:spacing w:before="40" w:after="40"/>
              <w:jc w:val="right"/>
              <w:rPr>
                <w:rFonts w:cs="Arial"/>
                <w:sz w:val="18"/>
                <w:szCs w:val="18"/>
              </w:rPr>
            </w:pPr>
          </w:p>
        </w:tc>
        <w:tc>
          <w:tcPr>
            <w:tcW w:w="1361" w:type="dxa"/>
            <w:tcBorders>
              <w:top w:val="single" w:sz="8" w:space="0" w:color="5F497A" w:themeColor="accent4" w:themeShade="BF"/>
              <w:left w:val="nil"/>
              <w:bottom w:val="nil"/>
              <w:right w:val="nil"/>
            </w:tcBorders>
            <w:vAlign w:val="bottom"/>
          </w:tcPr>
          <w:p w14:paraId="0B1FC5DD" w14:textId="77777777" w:rsidR="00584325" w:rsidRPr="001D41EA" w:rsidRDefault="00584325" w:rsidP="001D41EA">
            <w:pPr>
              <w:spacing w:before="40" w:after="4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5CF65BDE" w14:textId="77777777" w:rsidR="00584325" w:rsidRPr="001D41EA" w:rsidRDefault="00584325" w:rsidP="001D41EA">
            <w:pPr>
              <w:spacing w:before="40" w:after="40"/>
              <w:jc w:val="right"/>
              <w:rPr>
                <w:rFonts w:cs="Arial"/>
                <w:sz w:val="18"/>
                <w:szCs w:val="18"/>
              </w:rPr>
            </w:pPr>
          </w:p>
        </w:tc>
      </w:tr>
      <w:tr w:rsidR="00584325" w:rsidRPr="001D41EA" w14:paraId="4227D66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761010B" w14:textId="77777777" w:rsidR="00584325" w:rsidRPr="001D41EA" w:rsidRDefault="00584325" w:rsidP="001D41EA">
            <w:pPr>
              <w:spacing w:before="40" w:after="40"/>
              <w:rPr>
                <w:rFonts w:cs="Arial"/>
                <w:sz w:val="18"/>
                <w:szCs w:val="18"/>
              </w:rPr>
            </w:pPr>
            <w:r w:rsidRPr="001D41EA">
              <w:rPr>
                <w:rFonts w:cs="Arial"/>
                <w:sz w:val="18"/>
                <w:szCs w:val="18"/>
              </w:rPr>
              <w:t>Alpine S</w:t>
            </w:r>
          </w:p>
        </w:tc>
        <w:tc>
          <w:tcPr>
            <w:tcW w:w="1361" w:type="dxa"/>
            <w:tcBorders>
              <w:top w:val="nil"/>
              <w:left w:val="single" w:sz="18" w:space="0" w:color="5F497A" w:themeColor="accent4" w:themeShade="BF"/>
              <w:bottom w:val="nil"/>
              <w:right w:val="nil"/>
            </w:tcBorders>
            <w:shd w:val="clear" w:color="auto" w:fill="auto"/>
            <w:noWrap/>
            <w:vAlign w:val="bottom"/>
          </w:tcPr>
          <w:p w14:paraId="7F71AED3" w14:textId="17CCA5F8" w:rsidR="00584325" w:rsidRPr="001D41EA" w:rsidRDefault="00584325" w:rsidP="001D41EA">
            <w:pPr>
              <w:spacing w:before="40" w:after="40"/>
              <w:jc w:val="right"/>
              <w:rPr>
                <w:rFonts w:cs="Arial"/>
                <w:sz w:val="18"/>
                <w:szCs w:val="18"/>
              </w:rPr>
            </w:pPr>
            <w:r w:rsidRPr="001D41EA">
              <w:rPr>
                <w:rFonts w:cs="Arial"/>
                <w:sz w:val="18"/>
                <w:szCs w:val="18"/>
              </w:rPr>
              <w:t>1,461,596</w:t>
            </w:r>
          </w:p>
        </w:tc>
        <w:tc>
          <w:tcPr>
            <w:tcW w:w="1361" w:type="dxa"/>
            <w:tcBorders>
              <w:top w:val="nil"/>
              <w:left w:val="nil"/>
              <w:bottom w:val="nil"/>
              <w:right w:val="nil"/>
            </w:tcBorders>
            <w:shd w:val="clear" w:color="auto" w:fill="auto"/>
            <w:noWrap/>
            <w:vAlign w:val="bottom"/>
          </w:tcPr>
          <w:p w14:paraId="474CDED2" w14:textId="2107C6C7" w:rsidR="00584325" w:rsidRPr="001D41EA" w:rsidRDefault="00584325" w:rsidP="001D41EA">
            <w:pPr>
              <w:spacing w:before="40" w:after="40"/>
              <w:jc w:val="right"/>
              <w:rPr>
                <w:rFonts w:cs="Arial"/>
                <w:sz w:val="18"/>
                <w:szCs w:val="18"/>
              </w:rPr>
            </w:pPr>
            <w:r w:rsidRPr="001D41EA">
              <w:rPr>
                <w:rFonts w:cs="Arial"/>
                <w:sz w:val="18"/>
                <w:szCs w:val="18"/>
              </w:rPr>
              <w:t>1,333,966</w:t>
            </w:r>
          </w:p>
        </w:tc>
        <w:tc>
          <w:tcPr>
            <w:tcW w:w="1361" w:type="dxa"/>
            <w:tcBorders>
              <w:top w:val="nil"/>
              <w:left w:val="nil"/>
              <w:bottom w:val="nil"/>
              <w:right w:val="nil"/>
            </w:tcBorders>
            <w:shd w:val="clear" w:color="auto" w:fill="auto"/>
            <w:noWrap/>
            <w:vAlign w:val="bottom"/>
          </w:tcPr>
          <w:p w14:paraId="6B0CF607" w14:textId="42619629" w:rsidR="00584325" w:rsidRPr="001D41EA" w:rsidRDefault="00584325" w:rsidP="001D41EA">
            <w:pPr>
              <w:spacing w:before="40" w:after="40"/>
              <w:jc w:val="right"/>
              <w:rPr>
                <w:rFonts w:cs="Arial"/>
                <w:sz w:val="18"/>
                <w:szCs w:val="18"/>
              </w:rPr>
            </w:pPr>
            <w:r w:rsidRPr="001D41EA">
              <w:rPr>
                <w:rFonts w:cs="Arial"/>
                <w:sz w:val="18"/>
                <w:szCs w:val="18"/>
              </w:rPr>
              <w:t>1,097,116</w:t>
            </w:r>
          </w:p>
        </w:tc>
        <w:tc>
          <w:tcPr>
            <w:tcW w:w="1361" w:type="dxa"/>
            <w:tcBorders>
              <w:top w:val="nil"/>
              <w:left w:val="nil"/>
              <w:bottom w:val="nil"/>
              <w:right w:val="nil"/>
            </w:tcBorders>
            <w:vAlign w:val="bottom"/>
          </w:tcPr>
          <w:p w14:paraId="6B475F47" w14:textId="34CA82E1" w:rsidR="00584325" w:rsidRPr="001D41EA" w:rsidRDefault="00584325" w:rsidP="001D41EA">
            <w:pPr>
              <w:spacing w:before="40" w:after="40"/>
              <w:jc w:val="right"/>
              <w:rPr>
                <w:rFonts w:cs="Arial"/>
                <w:sz w:val="18"/>
                <w:szCs w:val="18"/>
              </w:rPr>
            </w:pPr>
            <w:r w:rsidRPr="001D41EA">
              <w:rPr>
                <w:rFonts w:cs="Arial"/>
                <w:sz w:val="18"/>
                <w:szCs w:val="18"/>
              </w:rPr>
              <w:t>5,523,981</w:t>
            </w:r>
          </w:p>
        </w:tc>
        <w:tc>
          <w:tcPr>
            <w:tcW w:w="1361" w:type="dxa"/>
            <w:tcBorders>
              <w:top w:val="nil"/>
              <w:left w:val="nil"/>
              <w:bottom w:val="nil"/>
              <w:right w:val="nil"/>
            </w:tcBorders>
            <w:shd w:val="clear" w:color="auto" w:fill="auto"/>
            <w:noWrap/>
            <w:vAlign w:val="bottom"/>
          </w:tcPr>
          <w:p w14:paraId="2C1F26FF" w14:textId="580BBF5D" w:rsidR="00584325" w:rsidRPr="001D41EA" w:rsidRDefault="00584325" w:rsidP="001D41EA">
            <w:pPr>
              <w:spacing w:before="40" w:after="40"/>
              <w:jc w:val="right"/>
              <w:rPr>
                <w:rFonts w:cs="Arial"/>
                <w:sz w:val="18"/>
                <w:szCs w:val="18"/>
              </w:rPr>
            </w:pPr>
            <w:r w:rsidRPr="001D41EA">
              <w:rPr>
                <w:rFonts w:cs="Arial"/>
                <w:sz w:val="18"/>
                <w:szCs w:val="18"/>
              </w:rPr>
              <w:t>3,930,708</w:t>
            </w:r>
          </w:p>
        </w:tc>
      </w:tr>
      <w:tr w:rsidR="00584325" w:rsidRPr="001D41EA" w14:paraId="1F86899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D584DF6" w14:textId="77777777" w:rsidR="00584325" w:rsidRPr="001D41EA" w:rsidRDefault="00584325" w:rsidP="001D41EA">
            <w:pPr>
              <w:spacing w:before="40" w:after="40"/>
              <w:rPr>
                <w:rFonts w:cs="Arial"/>
                <w:sz w:val="18"/>
                <w:szCs w:val="18"/>
              </w:rPr>
            </w:pPr>
            <w:r w:rsidRPr="001D41EA">
              <w:rPr>
                <w:rFonts w:cs="Arial"/>
                <w:sz w:val="18"/>
                <w:szCs w:val="18"/>
              </w:rPr>
              <w:t>Ararat RC</w:t>
            </w:r>
          </w:p>
        </w:tc>
        <w:tc>
          <w:tcPr>
            <w:tcW w:w="1361" w:type="dxa"/>
            <w:tcBorders>
              <w:top w:val="nil"/>
              <w:left w:val="single" w:sz="18" w:space="0" w:color="5F497A" w:themeColor="accent4" w:themeShade="BF"/>
              <w:bottom w:val="nil"/>
              <w:right w:val="nil"/>
            </w:tcBorders>
            <w:shd w:val="clear" w:color="auto" w:fill="auto"/>
            <w:noWrap/>
            <w:vAlign w:val="bottom"/>
          </w:tcPr>
          <w:p w14:paraId="0FB3A079" w14:textId="55B93384" w:rsidR="00584325" w:rsidRPr="001D41EA" w:rsidRDefault="00584325" w:rsidP="001D41EA">
            <w:pPr>
              <w:spacing w:before="40" w:after="40"/>
              <w:jc w:val="right"/>
              <w:rPr>
                <w:rFonts w:cs="Arial"/>
                <w:sz w:val="18"/>
                <w:szCs w:val="18"/>
              </w:rPr>
            </w:pPr>
            <w:r w:rsidRPr="001D41EA">
              <w:rPr>
                <w:rFonts w:cs="Arial"/>
                <w:sz w:val="18"/>
                <w:szCs w:val="18"/>
              </w:rPr>
              <w:t>1,330,346</w:t>
            </w:r>
          </w:p>
        </w:tc>
        <w:tc>
          <w:tcPr>
            <w:tcW w:w="1361" w:type="dxa"/>
            <w:tcBorders>
              <w:top w:val="nil"/>
              <w:left w:val="nil"/>
              <w:bottom w:val="nil"/>
              <w:right w:val="nil"/>
            </w:tcBorders>
            <w:shd w:val="clear" w:color="auto" w:fill="auto"/>
            <w:noWrap/>
            <w:vAlign w:val="bottom"/>
          </w:tcPr>
          <w:p w14:paraId="79200E15" w14:textId="3CFA3BE6" w:rsidR="00584325" w:rsidRPr="001D41EA" w:rsidRDefault="00584325" w:rsidP="001D41EA">
            <w:pPr>
              <w:spacing w:before="40" w:after="40"/>
              <w:jc w:val="right"/>
              <w:rPr>
                <w:rFonts w:cs="Arial"/>
                <w:sz w:val="18"/>
                <w:szCs w:val="18"/>
              </w:rPr>
            </w:pPr>
            <w:r w:rsidRPr="001D41EA">
              <w:rPr>
                <w:rFonts w:cs="Arial"/>
                <w:sz w:val="18"/>
                <w:szCs w:val="18"/>
              </w:rPr>
              <w:t>1,188,678</w:t>
            </w:r>
          </w:p>
        </w:tc>
        <w:tc>
          <w:tcPr>
            <w:tcW w:w="1361" w:type="dxa"/>
            <w:tcBorders>
              <w:top w:val="nil"/>
              <w:left w:val="nil"/>
              <w:bottom w:val="nil"/>
              <w:right w:val="nil"/>
            </w:tcBorders>
            <w:shd w:val="clear" w:color="auto" w:fill="auto"/>
            <w:noWrap/>
            <w:vAlign w:val="bottom"/>
          </w:tcPr>
          <w:p w14:paraId="5DC92A72" w14:textId="66D8C470" w:rsidR="00584325" w:rsidRPr="001D41EA" w:rsidRDefault="00584325" w:rsidP="001D41EA">
            <w:pPr>
              <w:spacing w:before="40" w:after="40"/>
              <w:jc w:val="right"/>
              <w:rPr>
                <w:rFonts w:cs="Arial"/>
                <w:sz w:val="18"/>
                <w:szCs w:val="18"/>
              </w:rPr>
            </w:pPr>
            <w:r w:rsidRPr="001D41EA">
              <w:rPr>
                <w:rFonts w:cs="Arial"/>
                <w:sz w:val="18"/>
                <w:szCs w:val="18"/>
              </w:rPr>
              <w:t>910,276</w:t>
            </w:r>
          </w:p>
        </w:tc>
        <w:tc>
          <w:tcPr>
            <w:tcW w:w="1361" w:type="dxa"/>
            <w:tcBorders>
              <w:top w:val="nil"/>
              <w:left w:val="nil"/>
              <w:bottom w:val="nil"/>
              <w:right w:val="nil"/>
            </w:tcBorders>
            <w:vAlign w:val="bottom"/>
          </w:tcPr>
          <w:p w14:paraId="096E4A22" w14:textId="24F4ED62" w:rsidR="00584325" w:rsidRPr="001D41EA" w:rsidRDefault="00584325" w:rsidP="001D41EA">
            <w:pPr>
              <w:spacing w:before="40" w:after="40"/>
              <w:jc w:val="right"/>
              <w:rPr>
                <w:rFonts w:cs="Arial"/>
                <w:sz w:val="18"/>
                <w:szCs w:val="18"/>
              </w:rPr>
            </w:pPr>
            <w:r w:rsidRPr="001D41EA">
              <w:rPr>
                <w:rFonts w:cs="Arial"/>
                <w:sz w:val="18"/>
                <w:szCs w:val="18"/>
              </w:rPr>
              <w:t>3,625,780</w:t>
            </w:r>
          </w:p>
        </w:tc>
        <w:tc>
          <w:tcPr>
            <w:tcW w:w="1361" w:type="dxa"/>
            <w:tcBorders>
              <w:top w:val="nil"/>
              <w:left w:val="nil"/>
              <w:bottom w:val="nil"/>
              <w:right w:val="nil"/>
            </w:tcBorders>
            <w:shd w:val="clear" w:color="auto" w:fill="auto"/>
            <w:noWrap/>
            <w:vAlign w:val="bottom"/>
          </w:tcPr>
          <w:p w14:paraId="671EB159" w14:textId="63438345" w:rsidR="00584325" w:rsidRPr="001D41EA" w:rsidRDefault="00584325" w:rsidP="001D41EA">
            <w:pPr>
              <w:spacing w:before="40" w:after="40"/>
              <w:jc w:val="right"/>
              <w:rPr>
                <w:rFonts w:cs="Arial"/>
                <w:sz w:val="18"/>
                <w:szCs w:val="18"/>
              </w:rPr>
            </w:pPr>
            <w:r w:rsidRPr="001D41EA">
              <w:rPr>
                <w:rFonts w:cs="Arial"/>
                <w:sz w:val="18"/>
                <w:szCs w:val="18"/>
              </w:rPr>
              <w:t>2,157,214</w:t>
            </w:r>
          </w:p>
        </w:tc>
      </w:tr>
      <w:tr w:rsidR="00584325" w:rsidRPr="001D41EA" w14:paraId="3EC3274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759FD31" w14:textId="77777777" w:rsidR="00584325" w:rsidRPr="001D41EA" w:rsidRDefault="00584325" w:rsidP="001D41EA">
            <w:pPr>
              <w:spacing w:before="40" w:after="40"/>
              <w:rPr>
                <w:rFonts w:cs="Arial"/>
                <w:sz w:val="18"/>
                <w:szCs w:val="18"/>
              </w:rPr>
            </w:pPr>
            <w:r w:rsidRPr="001D41EA">
              <w:rPr>
                <w:rFonts w:cs="Arial"/>
                <w:sz w:val="18"/>
                <w:szCs w:val="18"/>
              </w:rPr>
              <w:t>Ballarat C</w:t>
            </w:r>
          </w:p>
        </w:tc>
        <w:tc>
          <w:tcPr>
            <w:tcW w:w="1361" w:type="dxa"/>
            <w:tcBorders>
              <w:top w:val="nil"/>
              <w:left w:val="single" w:sz="18" w:space="0" w:color="5F497A" w:themeColor="accent4" w:themeShade="BF"/>
              <w:bottom w:val="nil"/>
              <w:right w:val="nil"/>
            </w:tcBorders>
            <w:shd w:val="clear" w:color="auto" w:fill="auto"/>
            <w:noWrap/>
            <w:vAlign w:val="bottom"/>
          </w:tcPr>
          <w:p w14:paraId="2252FA46" w14:textId="300FD086" w:rsidR="00584325" w:rsidRPr="001D41EA" w:rsidRDefault="00584325" w:rsidP="001D41EA">
            <w:pPr>
              <w:spacing w:before="40" w:after="40"/>
              <w:jc w:val="right"/>
              <w:rPr>
                <w:rFonts w:cs="Arial"/>
                <w:sz w:val="18"/>
                <w:szCs w:val="18"/>
              </w:rPr>
            </w:pPr>
            <w:r w:rsidRPr="001D41EA">
              <w:rPr>
                <w:rFonts w:cs="Arial"/>
                <w:sz w:val="18"/>
                <w:szCs w:val="18"/>
              </w:rPr>
              <w:t>6,107,084</w:t>
            </w:r>
          </w:p>
        </w:tc>
        <w:tc>
          <w:tcPr>
            <w:tcW w:w="1361" w:type="dxa"/>
            <w:tcBorders>
              <w:top w:val="nil"/>
              <w:left w:val="nil"/>
              <w:bottom w:val="nil"/>
              <w:right w:val="nil"/>
            </w:tcBorders>
            <w:shd w:val="clear" w:color="auto" w:fill="auto"/>
            <w:noWrap/>
            <w:vAlign w:val="bottom"/>
          </w:tcPr>
          <w:p w14:paraId="64580F1E" w14:textId="69BF7214" w:rsidR="00584325" w:rsidRPr="001D41EA" w:rsidRDefault="00584325" w:rsidP="001D41EA">
            <w:pPr>
              <w:spacing w:before="40" w:after="40"/>
              <w:jc w:val="right"/>
              <w:rPr>
                <w:rFonts w:cs="Arial"/>
                <w:sz w:val="18"/>
                <w:szCs w:val="18"/>
              </w:rPr>
            </w:pPr>
            <w:r w:rsidRPr="001D41EA">
              <w:rPr>
                <w:rFonts w:cs="Arial"/>
                <w:sz w:val="18"/>
                <w:szCs w:val="18"/>
              </w:rPr>
              <w:t>10,747,924</w:t>
            </w:r>
          </w:p>
        </w:tc>
        <w:tc>
          <w:tcPr>
            <w:tcW w:w="1361" w:type="dxa"/>
            <w:tcBorders>
              <w:top w:val="nil"/>
              <w:left w:val="nil"/>
              <w:bottom w:val="nil"/>
              <w:right w:val="nil"/>
            </w:tcBorders>
            <w:shd w:val="clear" w:color="auto" w:fill="auto"/>
            <w:noWrap/>
            <w:vAlign w:val="bottom"/>
          </w:tcPr>
          <w:p w14:paraId="2148DAE0" w14:textId="70885B74" w:rsidR="00584325" w:rsidRPr="001D41EA" w:rsidRDefault="00584325" w:rsidP="001D41EA">
            <w:pPr>
              <w:spacing w:before="40" w:after="40"/>
              <w:jc w:val="right"/>
              <w:rPr>
                <w:rFonts w:cs="Arial"/>
                <w:sz w:val="18"/>
                <w:szCs w:val="18"/>
              </w:rPr>
            </w:pPr>
            <w:r w:rsidRPr="001D41EA">
              <w:rPr>
                <w:rFonts w:cs="Arial"/>
                <w:sz w:val="18"/>
                <w:szCs w:val="18"/>
              </w:rPr>
              <w:t>5,433,827</w:t>
            </w:r>
          </w:p>
        </w:tc>
        <w:tc>
          <w:tcPr>
            <w:tcW w:w="1361" w:type="dxa"/>
            <w:tcBorders>
              <w:top w:val="nil"/>
              <w:left w:val="nil"/>
              <w:bottom w:val="nil"/>
              <w:right w:val="nil"/>
            </w:tcBorders>
            <w:vAlign w:val="bottom"/>
          </w:tcPr>
          <w:p w14:paraId="03018936" w14:textId="3A296A73" w:rsidR="00584325" w:rsidRPr="001D41EA" w:rsidRDefault="00584325" w:rsidP="001D41EA">
            <w:pPr>
              <w:spacing w:before="40" w:after="40"/>
              <w:jc w:val="right"/>
              <w:rPr>
                <w:rFonts w:cs="Arial"/>
                <w:sz w:val="18"/>
                <w:szCs w:val="18"/>
              </w:rPr>
            </w:pPr>
            <w:r w:rsidRPr="001D41EA">
              <w:rPr>
                <w:rFonts w:cs="Arial"/>
                <w:sz w:val="18"/>
                <w:szCs w:val="18"/>
              </w:rPr>
              <w:t>34,847,802</w:t>
            </w:r>
          </w:p>
        </w:tc>
        <w:tc>
          <w:tcPr>
            <w:tcW w:w="1361" w:type="dxa"/>
            <w:tcBorders>
              <w:top w:val="nil"/>
              <w:left w:val="nil"/>
              <w:bottom w:val="nil"/>
              <w:right w:val="nil"/>
            </w:tcBorders>
            <w:shd w:val="clear" w:color="auto" w:fill="auto"/>
            <w:noWrap/>
            <w:vAlign w:val="bottom"/>
          </w:tcPr>
          <w:p w14:paraId="6CF99B2E" w14:textId="61E59A9D" w:rsidR="00584325" w:rsidRPr="001D41EA" w:rsidRDefault="00584325" w:rsidP="001D41EA">
            <w:pPr>
              <w:spacing w:before="40" w:after="40"/>
              <w:jc w:val="right"/>
              <w:rPr>
                <w:rFonts w:cs="Arial"/>
                <w:sz w:val="18"/>
                <w:szCs w:val="18"/>
              </w:rPr>
            </w:pPr>
            <w:r w:rsidRPr="001D41EA">
              <w:rPr>
                <w:rFonts w:cs="Arial"/>
                <w:sz w:val="18"/>
                <w:szCs w:val="18"/>
              </w:rPr>
              <w:t>16,695,660</w:t>
            </w:r>
          </w:p>
        </w:tc>
      </w:tr>
      <w:tr w:rsidR="00584325" w:rsidRPr="001D41EA" w14:paraId="3396AD2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FC5B69D" w14:textId="77777777" w:rsidR="00584325" w:rsidRPr="001D41EA" w:rsidRDefault="00584325" w:rsidP="001D41EA">
            <w:pPr>
              <w:spacing w:before="40" w:after="40"/>
              <w:rPr>
                <w:rFonts w:cs="Arial"/>
                <w:sz w:val="18"/>
                <w:szCs w:val="18"/>
              </w:rPr>
            </w:pPr>
            <w:r w:rsidRPr="001D41EA">
              <w:rPr>
                <w:rFonts w:cs="Arial"/>
                <w:sz w:val="18"/>
                <w:szCs w:val="18"/>
              </w:rPr>
              <w:t>Banyule C</w:t>
            </w:r>
          </w:p>
        </w:tc>
        <w:tc>
          <w:tcPr>
            <w:tcW w:w="1361" w:type="dxa"/>
            <w:tcBorders>
              <w:top w:val="nil"/>
              <w:left w:val="single" w:sz="18" w:space="0" w:color="5F497A" w:themeColor="accent4" w:themeShade="BF"/>
              <w:bottom w:val="nil"/>
              <w:right w:val="nil"/>
            </w:tcBorders>
            <w:shd w:val="clear" w:color="auto" w:fill="auto"/>
            <w:noWrap/>
            <w:vAlign w:val="bottom"/>
          </w:tcPr>
          <w:p w14:paraId="3EFB823F" w14:textId="406954E6" w:rsidR="00584325" w:rsidRPr="001D41EA" w:rsidRDefault="00584325" w:rsidP="001D41EA">
            <w:pPr>
              <w:spacing w:before="40" w:after="40"/>
              <w:jc w:val="right"/>
              <w:rPr>
                <w:rFonts w:cs="Arial"/>
                <w:sz w:val="18"/>
                <w:szCs w:val="18"/>
              </w:rPr>
            </w:pPr>
            <w:r w:rsidRPr="001D41EA">
              <w:rPr>
                <w:rFonts w:cs="Arial"/>
                <w:sz w:val="18"/>
                <w:szCs w:val="18"/>
              </w:rPr>
              <w:t>7,243,372</w:t>
            </w:r>
          </w:p>
        </w:tc>
        <w:tc>
          <w:tcPr>
            <w:tcW w:w="1361" w:type="dxa"/>
            <w:tcBorders>
              <w:top w:val="nil"/>
              <w:left w:val="nil"/>
              <w:bottom w:val="nil"/>
              <w:right w:val="nil"/>
            </w:tcBorders>
            <w:shd w:val="clear" w:color="auto" w:fill="auto"/>
            <w:noWrap/>
            <w:vAlign w:val="bottom"/>
          </w:tcPr>
          <w:p w14:paraId="51C0833A" w14:textId="23EAC98F" w:rsidR="00584325" w:rsidRPr="001D41EA" w:rsidRDefault="00584325" w:rsidP="001D41EA">
            <w:pPr>
              <w:spacing w:before="40" w:after="40"/>
              <w:jc w:val="right"/>
              <w:rPr>
                <w:rFonts w:cs="Arial"/>
                <w:sz w:val="18"/>
                <w:szCs w:val="18"/>
              </w:rPr>
            </w:pPr>
            <w:r w:rsidRPr="001D41EA">
              <w:rPr>
                <w:rFonts w:cs="Arial"/>
                <w:sz w:val="18"/>
                <w:szCs w:val="18"/>
              </w:rPr>
              <w:t>11,667,357</w:t>
            </w:r>
          </w:p>
        </w:tc>
        <w:tc>
          <w:tcPr>
            <w:tcW w:w="1361" w:type="dxa"/>
            <w:tcBorders>
              <w:top w:val="nil"/>
              <w:left w:val="nil"/>
              <w:bottom w:val="nil"/>
              <w:right w:val="nil"/>
            </w:tcBorders>
            <w:shd w:val="clear" w:color="auto" w:fill="auto"/>
            <w:noWrap/>
            <w:vAlign w:val="bottom"/>
          </w:tcPr>
          <w:p w14:paraId="617727D4" w14:textId="014329CD" w:rsidR="00584325" w:rsidRPr="001D41EA" w:rsidRDefault="00584325" w:rsidP="001D41EA">
            <w:pPr>
              <w:spacing w:before="40" w:after="40"/>
              <w:jc w:val="right"/>
              <w:rPr>
                <w:rFonts w:cs="Arial"/>
                <w:sz w:val="18"/>
                <w:szCs w:val="18"/>
              </w:rPr>
            </w:pPr>
            <w:r w:rsidRPr="001D41EA">
              <w:rPr>
                <w:rFonts w:cs="Arial"/>
                <w:sz w:val="18"/>
                <w:szCs w:val="18"/>
              </w:rPr>
              <w:t>4,945,854</w:t>
            </w:r>
          </w:p>
        </w:tc>
        <w:tc>
          <w:tcPr>
            <w:tcW w:w="1361" w:type="dxa"/>
            <w:tcBorders>
              <w:top w:val="nil"/>
              <w:left w:val="nil"/>
              <w:bottom w:val="nil"/>
              <w:right w:val="nil"/>
            </w:tcBorders>
            <w:vAlign w:val="bottom"/>
          </w:tcPr>
          <w:p w14:paraId="333FCF1A" w14:textId="08A74F74" w:rsidR="00584325" w:rsidRPr="001D41EA" w:rsidRDefault="00584325" w:rsidP="001D41EA">
            <w:pPr>
              <w:spacing w:before="40" w:after="40"/>
              <w:jc w:val="right"/>
              <w:rPr>
                <w:rFonts w:cs="Arial"/>
                <w:sz w:val="18"/>
                <w:szCs w:val="18"/>
              </w:rPr>
            </w:pPr>
            <w:r w:rsidRPr="001D41EA">
              <w:rPr>
                <w:rFonts w:cs="Arial"/>
                <w:sz w:val="18"/>
                <w:szCs w:val="18"/>
              </w:rPr>
              <w:t>36,696,121</w:t>
            </w:r>
          </w:p>
        </w:tc>
        <w:tc>
          <w:tcPr>
            <w:tcW w:w="1361" w:type="dxa"/>
            <w:tcBorders>
              <w:top w:val="nil"/>
              <w:left w:val="nil"/>
              <w:bottom w:val="nil"/>
              <w:right w:val="nil"/>
            </w:tcBorders>
            <w:shd w:val="clear" w:color="auto" w:fill="auto"/>
            <w:noWrap/>
            <w:vAlign w:val="bottom"/>
          </w:tcPr>
          <w:p w14:paraId="31F8DF2E" w14:textId="159FCE8A" w:rsidR="00584325" w:rsidRPr="001D41EA" w:rsidRDefault="00584325" w:rsidP="001D41EA">
            <w:pPr>
              <w:spacing w:before="40" w:after="40"/>
              <w:jc w:val="right"/>
              <w:rPr>
                <w:rFonts w:cs="Arial"/>
                <w:sz w:val="18"/>
                <w:szCs w:val="18"/>
              </w:rPr>
            </w:pPr>
            <w:r w:rsidRPr="001D41EA">
              <w:rPr>
                <w:rFonts w:cs="Arial"/>
                <w:sz w:val="18"/>
                <w:szCs w:val="18"/>
              </w:rPr>
              <w:t>17,089,016</w:t>
            </w:r>
          </w:p>
        </w:tc>
      </w:tr>
      <w:tr w:rsidR="00584325" w:rsidRPr="001D41EA" w14:paraId="35E0D5E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67E3312" w14:textId="77777777" w:rsidR="00584325" w:rsidRPr="001D41EA" w:rsidRDefault="00584325" w:rsidP="001D41EA">
            <w:pPr>
              <w:spacing w:before="40" w:after="40"/>
              <w:rPr>
                <w:rFonts w:cs="Arial"/>
                <w:sz w:val="18"/>
                <w:szCs w:val="18"/>
              </w:rPr>
            </w:pPr>
            <w:r w:rsidRPr="001D41EA">
              <w:rPr>
                <w:rFonts w:cs="Arial"/>
                <w:sz w:val="18"/>
                <w:szCs w:val="18"/>
              </w:rPr>
              <w:t>Bass Coast S</w:t>
            </w:r>
          </w:p>
        </w:tc>
        <w:tc>
          <w:tcPr>
            <w:tcW w:w="1361" w:type="dxa"/>
            <w:tcBorders>
              <w:top w:val="nil"/>
              <w:left w:val="single" w:sz="18" w:space="0" w:color="5F497A" w:themeColor="accent4" w:themeShade="BF"/>
              <w:bottom w:val="nil"/>
              <w:right w:val="nil"/>
            </w:tcBorders>
            <w:shd w:val="clear" w:color="auto" w:fill="auto"/>
            <w:noWrap/>
            <w:vAlign w:val="bottom"/>
          </w:tcPr>
          <w:p w14:paraId="227A1B53" w14:textId="2EC3485B" w:rsidR="00584325" w:rsidRPr="001D41EA" w:rsidRDefault="00584325" w:rsidP="001D41EA">
            <w:pPr>
              <w:spacing w:before="40" w:after="40"/>
              <w:jc w:val="right"/>
              <w:rPr>
                <w:rFonts w:cs="Arial"/>
                <w:sz w:val="18"/>
                <w:szCs w:val="18"/>
              </w:rPr>
            </w:pPr>
            <w:r w:rsidRPr="001D41EA">
              <w:rPr>
                <w:rFonts w:cs="Arial"/>
                <w:sz w:val="18"/>
                <w:szCs w:val="18"/>
              </w:rPr>
              <w:t>3,070,780</w:t>
            </w:r>
          </w:p>
        </w:tc>
        <w:tc>
          <w:tcPr>
            <w:tcW w:w="1361" w:type="dxa"/>
            <w:tcBorders>
              <w:top w:val="nil"/>
              <w:left w:val="nil"/>
              <w:bottom w:val="nil"/>
              <w:right w:val="nil"/>
            </w:tcBorders>
            <w:shd w:val="clear" w:color="auto" w:fill="auto"/>
            <w:noWrap/>
            <w:vAlign w:val="bottom"/>
          </w:tcPr>
          <w:p w14:paraId="4176F434" w14:textId="14BBA071" w:rsidR="00584325" w:rsidRPr="001D41EA" w:rsidRDefault="00584325" w:rsidP="001D41EA">
            <w:pPr>
              <w:spacing w:before="40" w:after="40"/>
              <w:jc w:val="right"/>
              <w:rPr>
                <w:rFonts w:cs="Arial"/>
                <w:sz w:val="18"/>
                <w:szCs w:val="18"/>
              </w:rPr>
            </w:pPr>
            <w:r w:rsidRPr="001D41EA">
              <w:rPr>
                <w:rFonts w:cs="Arial"/>
                <w:sz w:val="18"/>
                <w:szCs w:val="18"/>
              </w:rPr>
              <w:t>3,826,677</w:t>
            </w:r>
          </w:p>
        </w:tc>
        <w:tc>
          <w:tcPr>
            <w:tcW w:w="1361" w:type="dxa"/>
            <w:tcBorders>
              <w:top w:val="nil"/>
              <w:left w:val="nil"/>
              <w:bottom w:val="nil"/>
              <w:right w:val="nil"/>
            </w:tcBorders>
            <w:shd w:val="clear" w:color="auto" w:fill="auto"/>
            <w:noWrap/>
            <w:vAlign w:val="bottom"/>
          </w:tcPr>
          <w:p w14:paraId="0B833973" w14:textId="7D06D4EB" w:rsidR="00584325" w:rsidRPr="001D41EA" w:rsidRDefault="00584325" w:rsidP="001D41EA">
            <w:pPr>
              <w:spacing w:before="40" w:after="40"/>
              <w:jc w:val="right"/>
              <w:rPr>
                <w:rFonts w:cs="Arial"/>
                <w:sz w:val="18"/>
                <w:szCs w:val="18"/>
              </w:rPr>
            </w:pPr>
            <w:r w:rsidRPr="001D41EA">
              <w:rPr>
                <w:rFonts w:cs="Arial"/>
                <w:sz w:val="18"/>
                <w:szCs w:val="18"/>
              </w:rPr>
              <w:t>3,427,403</w:t>
            </w:r>
          </w:p>
        </w:tc>
        <w:tc>
          <w:tcPr>
            <w:tcW w:w="1361" w:type="dxa"/>
            <w:tcBorders>
              <w:top w:val="nil"/>
              <w:left w:val="nil"/>
              <w:bottom w:val="nil"/>
              <w:right w:val="nil"/>
            </w:tcBorders>
            <w:vAlign w:val="bottom"/>
          </w:tcPr>
          <w:p w14:paraId="443F99FD" w14:textId="0A2336F8" w:rsidR="00584325" w:rsidRPr="001D41EA" w:rsidRDefault="00584325" w:rsidP="001D41EA">
            <w:pPr>
              <w:spacing w:before="40" w:after="40"/>
              <w:jc w:val="right"/>
              <w:rPr>
                <w:rFonts w:cs="Arial"/>
                <w:sz w:val="18"/>
                <w:szCs w:val="18"/>
              </w:rPr>
            </w:pPr>
            <w:r w:rsidRPr="001D41EA">
              <w:rPr>
                <w:rFonts w:cs="Arial"/>
                <w:sz w:val="18"/>
                <w:szCs w:val="18"/>
              </w:rPr>
              <w:t>16,375,540</w:t>
            </w:r>
          </w:p>
        </w:tc>
        <w:tc>
          <w:tcPr>
            <w:tcW w:w="1361" w:type="dxa"/>
            <w:tcBorders>
              <w:top w:val="nil"/>
              <w:left w:val="nil"/>
              <w:bottom w:val="nil"/>
              <w:right w:val="nil"/>
            </w:tcBorders>
            <w:shd w:val="clear" w:color="auto" w:fill="auto"/>
            <w:noWrap/>
            <w:vAlign w:val="bottom"/>
          </w:tcPr>
          <w:p w14:paraId="57035500" w14:textId="04008012" w:rsidR="00584325" w:rsidRPr="001D41EA" w:rsidRDefault="00584325" w:rsidP="001D41EA">
            <w:pPr>
              <w:spacing w:before="40" w:after="40"/>
              <w:jc w:val="right"/>
              <w:rPr>
                <w:rFonts w:cs="Arial"/>
                <w:sz w:val="18"/>
                <w:szCs w:val="18"/>
              </w:rPr>
            </w:pPr>
            <w:r w:rsidRPr="001D41EA">
              <w:rPr>
                <w:rFonts w:cs="Arial"/>
                <w:sz w:val="18"/>
                <w:szCs w:val="18"/>
              </w:rPr>
              <w:t>12,572,683</w:t>
            </w:r>
          </w:p>
        </w:tc>
      </w:tr>
      <w:tr w:rsidR="00584325" w:rsidRPr="001D41EA" w14:paraId="52A2B36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D7A4D18" w14:textId="77777777" w:rsidR="00584325" w:rsidRPr="001D41EA" w:rsidRDefault="00584325" w:rsidP="001D41EA">
            <w:pPr>
              <w:spacing w:before="40" w:after="40"/>
              <w:rPr>
                <w:rFonts w:cs="Arial"/>
                <w:sz w:val="18"/>
                <w:szCs w:val="18"/>
              </w:rPr>
            </w:pPr>
            <w:r w:rsidRPr="001D41EA">
              <w:rPr>
                <w:rFonts w:cs="Arial"/>
                <w:sz w:val="18"/>
                <w:szCs w:val="18"/>
              </w:rPr>
              <w:t>Baw Baw S</w:t>
            </w:r>
          </w:p>
        </w:tc>
        <w:tc>
          <w:tcPr>
            <w:tcW w:w="1361" w:type="dxa"/>
            <w:tcBorders>
              <w:top w:val="nil"/>
              <w:left w:val="single" w:sz="18" w:space="0" w:color="5F497A" w:themeColor="accent4" w:themeShade="BF"/>
              <w:bottom w:val="nil"/>
              <w:right w:val="nil"/>
            </w:tcBorders>
            <w:shd w:val="clear" w:color="auto" w:fill="auto"/>
            <w:noWrap/>
            <w:vAlign w:val="bottom"/>
          </w:tcPr>
          <w:p w14:paraId="27EC4D37" w14:textId="223DD9F4" w:rsidR="00584325" w:rsidRPr="001D41EA" w:rsidRDefault="00584325" w:rsidP="001D41EA">
            <w:pPr>
              <w:spacing w:before="40" w:after="40"/>
              <w:jc w:val="right"/>
              <w:rPr>
                <w:rFonts w:cs="Arial"/>
                <w:sz w:val="18"/>
                <w:szCs w:val="18"/>
              </w:rPr>
            </w:pPr>
            <w:r w:rsidRPr="001D41EA">
              <w:rPr>
                <w:rFonts w:cs="Arial"/>
                <w:sz w:val="18"/>
                <w:szCs w:val="18"/>
              </w:rPr>
              <w:t>3,346,188</w:t>
            </w:r>
          </w:p>
        </w:tc>
        <w:tc>
          <w:tcPr>
            <w:tcW w:w="1361" w:type="dxa"/>
            <w:tcBorders>
              <w:top w:val="nil"/>
              <w:left w:val="nil"/>
              <w:bottom w:val="nil"/>
              <w:right w:val="nil"/>
            </w:tcBorders>
            <w:shd w:val="clear" w:color="auto" w:fill="auto"/>
            <w:noWrap/>
            <w:vAlign w:val="bottom"/>
          </w:tcPr>
          <w:p w14:paraId="2F5AF300" w14:textId="39DF2DF2" w:rsidR="00584325" w:rsidRPr="001D41EA" w:rsidRDefault="00584325" w:rsidP="001D41EA">
            <w:pPr>
              <w:spacing w:before="40" w:after="40"/>
              <w:jc w:val="right"/>
              <w:rPr>
                <w:rFonts w:cs="Arial"/>
                <w:sz w:val="18"/>
                <w:szCs w:val="18"/>
              </w:rPr>
            </w:pPr>
            <w:r w:rsidRPr="001D41EA">
              <w:rPr>
                <w:rFonts w:cs="Arial"/>
                <w:sz w:val="18"/>
                <w:szCs w:val="18"/>
              </w:rPr>
              <w:t>5,473,133</w:t>
            </w:r>
          </w:p>
        </w:tc>
        <w:tc>
          <w:tcPr>
            <w:tcW w:w="1361" w:type="dxa"/>
            <w:tcBorders>
              <w:top w:val="nil"/>
              <w:left w:val="nil"/>
              <w:bottom w:val="nil"/>
              <w:right w:val="nil"/>
            </w:tcBorders>
            <w:shd w:val="clear" w:color="auto" w:fill="auto"/>
            <w:noWrap/>
            <w:vAlign w:val="bottom"/>
          </w:tcPr>
          <w:p w14:paraId="4F290D6F" w14:textId="41F2819E" w:rsidR="00584325" w:rsidRPr="001D41EA" w:rsidRDefault="00584325" w:rsidP="001D41EA">
            <w:pPr>
              <w:spacing w:before="40" w:after="40"/>
              <w:jc w:val="right"/>
              <w:rPr>
                <w:rFonts w:cs="Arial"/>
                <w:sz w:val="18"/>
                <w:szCs w:val="18"/>
              </w:rPr>
            </w:pPr>
            <w:r w:rsidRPr="001D41EA">
              <w:rPr>
                <w:rFonts w:cs="Arial"/>
                <w:sz w:val="18"/>
                <w:szCs w:val="18"/>
              </w:rPr>
              <w:t>3,171,128</w:t>
            </w:r>
          </w:p>
        </w:tc>
        <w:tc>
          <w:tcPr>
            <w:tcW w:w="1361" w:type="dxa"/>
            <w:tcBorders>
              <w:top w:val="nil"/>
              <w:left w:val="nil"/>
              <w:bottom w:val="nil"/>
              <w:right w:val="nil"/>
            </w:tcBorders>
            <w:vAlign w:val="bottom"/>
          </w:tcPr>
          <w:p w14:paraId="74F52B45" w14:textId="0F636909" w:rsidR="00584325" w:rsidRPr="001D41EA" w:rsidRDefault="00584325" w:rsidP="001D41EA">
            <w:pPr>
              <w:spacing w:before="40" w:after="40"/>
              <w:jc w:val="right"/>
              <w:rPr>
                <w:rFonts w:cs="Arial"/>
                <w:sz w:val="18"/>
                <w:szCs w:val="18"/>
              </w:rPr>
            </w:pPr>
            <w:r w:rsidRPr="001D41EA">
              <w:rPr>
                <w:rFonts w:cs="Arial"/>
                <w:sz w:val="18"/>
                <w:szCs w:val="18"/>
              </w:rPr>
              <w:t>14,978,876</w:t>
            </w:r>
          </w:p>
        </w:tc>
        <w:tc>
          <w:tcPr>
            <w:tcW w:w="1361" w:type="dxa"/>
            <w:tcBorders>
              <w:top w:val="nil"/>
              <w:left w:val="nil"/>
              <w:bottom w:val="nil"/>
              <w:right w:val="nil"/>
            </w:tcBorders>
            <w:shd w:val="clear" w:color="auto" w:fill="auto"/>
            <w:noWrap/>
            <w:vAlign w:val="bottom"/>
          </w:tcPr>
          <w:p w14:paraId="7C89EEFF" w14:textId="73C1418D" w:rsidR="00584325" w:rsidRPr="001D41EA" w:rsidRDefault="00584325" w:rsidP="001D41EA">
            <w:pPr>
              <w:spacing w:before="40" w:after="40"/>
              <w:jc w:val="right"/>
              <w:rPr>
                <w:rFonts w:cs="Arial"/>
                <w:sz w:val="18"/>
                <w:szCs w:val="18"/>
              </w:rPr>
            </w:pPr>
            <w:r w:rsidRPr="001D41EA">
              <w:rPr>
                <w:rFonts w:cs="Arial"/>
                <w:sz w:val="18"/>
                <w:szCs w:val="18"/>
              </w:rPr>
              <w:t>8,792,104</w:t>
            </w:r>
          </w:p>
        </w:tc>
      </w:tr>
      <w:tr w:rsidR="00584325" w:rsidRPr="001D41EA" w14:paraId="7796E56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6CA7A79" w14:textId="77777777" w:rsidR="00584325" w:rsidRPr="001D41EA" w:rsidRDefault="00584325" w:rsidP="001D41EA">
            <w:pPr>
              <w:spacing w:before="40" w:after="40"/>
              <w:rPr>
                <w:rFonts w:cs="Arial"/>
                <w:sz w:val="18"/>
                <w:szCs w:val="18"/>
              </w:rPr>
            </w:pPr>
            <w:r w:rsidRPr="001D41EA">
              <w:rPr>
                <w:rFonts w:cs="Arial"/>
                <w:sz w:val="18"/>
                <w:szCs w:val="18"/>
              </w:rPr>
              <w:t>Bayside C</w:t>
            </w:r>
          </w:p>
        </w:tc>
        <w:tc>
          <w:tcPr>
            <w:tcW w:w="1361" w:type="dxa"/>
            <w:tcBorders>
              <w:top w:val="nil"/>
              <w:left w:val="single" w:sz="18" w:space="0" w:color="5F497A" w:themeColor="accent4" w:themeShade="BF"/>
              <w:bottom w:val="nil"/>
              <w:right w:val="nil"/>
            </w:tcBorders>
            <w:shd w:val="clear" w:color="auto" w:fill="auto"/>
            <w:noWrap/>
            <w:vAlign w:val="bottom"/>
          </w:tcPr>
          <w:p w14:paraId="60C942EE" w14:textId="57FCC2C5" w:rsidR="00584325" w:rsidRPr="001D41EA" w:rsidRDefault="00584325" w:rsidP="001D41EA">
            <w:pPr>
              <w:spacing w:before="40" w:after="40"/>
              <w:jc w:val="right"/>
              <w:rPr>
                <w:rFonts w:cs="Arial"/>
                <w:sz w:val="18"/>
                <w:szCs w:val="18"/>
              </w:rPr>
            </w:pPr>
            <w:r w:rsidRPr="001D41EA">
              <w:rPr>
                <w:rFonts w:cs="Arial"/>
                <w:sz w:val="18"/>
                <w:szCs w:val="18"/>
              </w:rPr>
              <w:t>5,784,812</w:t>
            </w:r>
          </w:p>
        </w:tc>
        <w:tc>
          <w:tcPr>
            <w:tcW w:w="1361" w:type="dxa"/>
            <w:tcBorders>
              <w:top w:val="nil"/>
              <w:left w:val="nil"/>
              <w:bottom w:val="nil"/>
              <w:right w:val="nil"/>
            </w:tcBorders>
            <w:shd w:val="clear" w:color="auto" w:fill="auto"/>
            <w:noWrap/>
            <w:vAlign w:val="bottom"/>
          </w:tcPr>
          <w:p w14:paraId="24198F89" w14:textId="16C8E5D9" w:rsidR="00584325" w:rsidRPr="001D41EA" w:rsidRDefault="00584325" w:rsidP="001D41EA">
            <w:pPr>
              <w:spacing w:before="40" w:after="40"/>
              <w:jc w:val="right"/>
              <w:rPr>
                <w:rFonts w:cs="Arial"/>
                <w:sz w:val="18"/>
                <w:szCs w:val="18"/>
              </w:rPr>
            </w:pPr>
            <w:r w:rsidRPr="001D41EA">
              <w:rPr>
                <w:rFonts w:cs="Arial"/>
                <w:sz w:val="18"/>
                <w:szCs w:val="18"/>
              </w:rPr>
              <w:t>8,298,238</w:t>
            </w:r>
          </w:p>
        </w:tc>
        <w:tc>
          <w:tcPr>
            <w:tcW w:w="1361" w:type="dxa"/>
            <w:tcBorders>
              <w:top w:val="nil"/>
              <w:left w:val="nil"/>
              <w:bottom w:val="nil"/>
              <w:right w:val="nil"/>
            </w:tcBorders>
            <w:shd w:val="clear" w:color="auto" w:fill="auto"/>
            <w:noWrap/>
            <w:vAlign w:val="bottom"/>
          </w:tcPr>
          <w:p w14:paraId="03A443E7" w14:textId="342666FC" w:rsidR="00584325" w:rsidRPr="001D41EA" w:rsidRDefault="00584325" w:rsidP="001D41EA">
            <w:pPr>
              <w:spacing w:before="40" w:after="40"/>
              <w:jc w:val="right"/>
              <w:rPr>
                <w:rFonts w:cs="Arial"/>
                <w:sz w:val="18"/>
                <w:szCs w:val="18"/>
              </w:rPr>
            </w:pPr>
            <w:r w:rsidRPr="001D41EA">
              <w:rPr>
                <w:rFonts w:cs="Arial"/>
                <w:sz w:val="18"/>
                <w:szCs w:val="18"/>
              </w:rPr>
              <w:t>3,062,432</w:t>
            </w:r>
          </w:p>
        </w:tc>
        <w:tc>
          <w:tcPr>
            <w:tcW w:w="1361" w:type="dxa"/>
            <w:tcBorders>
              <w:top w:val="nil"/>
              <w:left w:val="nil"/>
              <w:bottom w:val="nil"/>
              <w:right w:val="nil"/>
            </w:tcBorders>
            <w:vAlign w:val="bottom"/>
          </w:tcPr>
          <w:p w14:paraId="4FCDB32F" w14:textId="4049B161" w:rsidR="00584325" w:rsidRPr="001D41EA" w:rsidRDefault="00584325" w:rsidP="001D41EA">
            <w:pPr>
              <w:spacing w:before="40" w:after="40"/>
              <w:jc w:val="right"/>
              <w:rPr>
                <w:rFonts w:cs="Arial"/>
                <w:sz w:val="18"/>
                <w:szCs w:val="18"/>
              </w:rPr>
            </w:pPr>
            <w:r w:rsidRPr="001D41EA">
              <w:rPr>
                <w:rFonts w:cs="Arial"/>
                <w:sz w:val="18"/>
                <w:szCs w:val="18"/>
              </w:rPr>
              <w:t>28,532,345</w:t>
            </w:r>
          </w:p>
        </w:tc>
        <w:tc>
          <w:tcPr>
            <w:tcW w:w="1361" w:type="dxa"/>
            <w:tcBorders>
              <w:top w:val="nil"/>
              <w:left w:val="nil"/>
              <w:bottom w:val="nil"/>
              <w:right w:val="nil"/>
            </w:tcBorders>
            <w:shd w:val="clear" w:color="auto" w:fill="auto"/>
            <w:noWrap/>
            <w:vAlign w:val="bottom"/>
          </w:tcPr>
          <w:p w14:paraId="215FE9BE" w14:textId="6626BC4A" w:rsidR="00584325" w:rsidRPr="001D41EA" w:rsidRDefault="00584325" w:rsidP="001D41EA">
            <w:pPr>
              <w:spacing w:before="40" w:after="40"/>
              <w:jc w:val="right"/>
              <w:rPr>
                <w:rFonts w:cs="Arial"/>
                <w:sz w:val="18"/>
                <w:szCs w:val="18"/>
              </w:rPr>
            </w:pPr>
            <w:r w:rsidRPr="001D41EA">
              <w:rPr>
                <w:rFonts w:cs="Arial"/>
                <w:sz w:val="18"/>
                <w:szCs w:val="18"/>
              </w:rPr>
              <w:t>14,164,339</w:t>
            </w:r>
          </w:p>
        </w:tc>
      </w:tr>
      <w:tr w:rsidR="00584325" w:rsidRPr="001D41EA" w14:paraId="7C2CB20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2EC8AC5" w14:textId="77777777" w:rsidR="00584325" w:rsidRPr="001D41EA" w:rsidRDefault="00584325" w:rsidP="001D41EA">
            <w:pPr>
              <w:spacing w:before="40" w:after="40"/>
              <w:rPr>
                <w:rFonts w:cs="Arial"/>
                <w:sz w:val="18"/>
                <w:szCs w:val="18"/>
              </w:rPr>
            </w:pPr>
            <w:r w:rsidRPr="001D41EA">
              <w:rPr>
                <w:rFonts w:cs="Arial"/>
                <w:sz w:val="18"/>
                <w:szCs w:val="18"/>
              </w:rPr>
              <w:t>Benalla RC</w:t>
            </w:r>
          </w:p>
        </w:tc>
        <w:tc>
          <w:tcPr>
            <w:tcW w:w="1361" w:type="dxa"/>
            <w:tcBorders>
              <w:top w:val="nil"/>
              <w:left w:val="single" w:sz="18" w:space="0" w:color="5F497A" w:themeColor="accent4" w:themeShade="BF"/>
              <w:bottom w:val="nil"/>
              <w:right w:val="nil"/>
            </w:tcBorders>
            <w:shd w:val="clear" w:color="auto" w:fill="auto"/>
            <w:noWrap/>
            <w:vAlign w:val="bottom"/>
          </w:tcPr>
          <w:p w14:paraId="7794914A" w14:textId="77124BDB" w:rsidR="00584325" w:rsidRPr="001D41EA" w:rsidRDefault="00584325" w:rsidP="001D41EA">
            <w:pPr>
              <w:spacing w:before="40" w:after="40"/>
              <w:jc w:val="right"/>
              <w:rPr>
                <w:rFonts w:cs="Arial"/>
                <w:sz w:val="18"/>
                <w:szCs w:val="18"/>
              </w:rPr>
            </w:pPr>
            <w:r w:rsidRPr="001D41EA">
              <w:rPr>
                <w:rFonts w:cs="Arial"/>
                <w:sz w:val="18"/>
                <w:szCs w:val="18"/>
              </w:rPr>
              <w:t>1,277,875</w:t>
            </w:r>
          </w:p>
        </w:tc>
        <w:tc>
          <w:tcPr>
            <w:tcW w:w="1361" w:type="dxa"/>
            <w:tcBorders>
              <w:top w:val="nil"/>
              <w:left w:val="nil"/>
              <w:bottom w:val="nil"/>
              <w:right w:val="nil"/>
            </w:tcBorders>
            <w:shd w:val="clear" w:color="auto" w:fill="auto"/>
            <w:noWrap/>
            <w:vAlign w:val="bottom"/>
          </w:tcPr>
          <w:p w14:paraId="1996A91D" w14:textId="13F4FCC2" w:rsidR="00584325" w:rsidRPr="001D41EA" w:rsidRDefault="00584325" w:rsidP="001D41EA">
            <w:pPr>
              <w:spacing w:before="40" w:after="40"/>
              <w:jc w:val="right"/>
              <w:rPr>
                <w:rFonts w:cs="Arial"/>
                <w:sz w:val="18"/>
                <w:szCs w:val="18"/>
              </w:rPr>
            </w:pPr>
            <w:r w:rsidRPr="001D41EA">
              <w:rPr>
                <w:rFonts w:cs="Arial"/>
                <w:sz w:val="18"/>
                <w:szCs w:val="18"/>
              </w:rPr>
              <w:t>1,358,418</w:t>
            </w:r>
          </w:p>
        </w:tc>
        <w:tc>
          <w:tcPr>
            <w:tcW w:w="1361" w:type="dxa"/>
            <w:tcBorders>
              <w:top w:val="nil"/>
              <w:left w:val="nil"/>
              <w:bottom w:val="nil"/>
              <w:right w:val="nil"/>
            </w:tcBorders>
            <w:shd w:val="clear" w:color="auto" w:fill="auto"/>
            <w:noWrap/>
            <w:vAlign w:val="bottom"/>
          </w:tcPr>
          <w:p w14:paraId="43E2804C" w14:textId="38915D0B" w:rsidR="00584325" w:rsidRPr="001D41EA" w:rsidRDefault="00584325" w:rsidP="001D41EA">
            <w:pPr>
              <w:spacing w:before="40" w:after="40"/>
              <w:jc w:val="right"/>
              <w:rPr>
                <w:rFonts w:cs="Arial"/>
                <w:sz w:val="18"/>
                <w:szCs w:val="18"/>
              </w:rPr>
            </w:pPr>
            <w:r w:rsidRPr="001D41EA">
              <w:rPr>
                <w:rFonts w:cs="Arial"/>
                <w:sz w:val="18"/>
                <w:szCs w:val="18"/>
              </w:rPr>
              <w:t>1,128,721</w:t>
            </w:r>
          </w:p>
        </w:tc>
        <w:tc>
          <w:tcPr>
            <w:tcW w:w="1361" w:type="dxa"/>
            <w:tcBorders>
              <w:top w:val="nil"/>
              <w:left w:val="nil"/>
              <w:bottom w:val="nil"/>
              <w:right w:val="nil"/>
            </w:tcBorders>
            <w:vAlign w:val="bottom"/>
          </w:tcPr>
          <w:p w14:paraId="6360B761" w14:textId="3BAB3C2C" w:rsidR="00584325" w:rsidRPr="001D41EA" w:rsidRDefault="00584325" w:rsidP="001D41EA">
            <w:pPr>
              <w:spacing w:before="40" w:after="40"/>
              <w:jc w:val="right"/>
              <w:rPr>
                <w:rFonts w:cs="Arial"/>
                <w:sz w:val="18"/>
                <w:szCs w:val="18"/>
              </w:rPr>
            </w:pPr>
            <w:r w:rsidRPr="001D41EA">
              <w:rPr>
                <w:rFonts w:cs="Arial"/>
                <w:sz w:val="18"/>
                <w:szCs w:val="18"/>
              </w:rPr>
              <w:t>3,971,153</w:t>
            </w:r>
          </w:p>
        </w:tc>
        <w:tc>
          <w:tcPr>
            <w:tcW w:w="1361" w:type="dxa"/>
            <w:tcBorders>
              <w:top w:val="nil"/>
              <w:left w:val="nil"/>
              <w:bottom w:val="nil"/>
              <w:right w:val="nil"/>
            </w:tcBorders>
            <w:shd w:val="clear" w:color="auto" w:fill="auto"/>
            <w:noWrap/>
            <w:vAlign w:val="bottom"/>
          </w:tcPr>
          <w:p w14:paraId="1067E0EE" w14:textId="33304145" w:rsidR="00584325" w:rsidRPr="001D41EA" w:rsidRDefault="00584325" w:rsidP="001D41EA">
            <w:pPr>
              <w:spacing w:before="40" w:after="40"/>
              <w:jc w:val="right"/>
              <w:rPr>
                <w:rFonts w:cs="Arial"/>
                <w:sz w:val="18"/>
                <w:szCs w:val="18"/>
              </w:rPr>
            </w:pPr>
            <w:r w:rsidRPr="001D41EA">
              <w:rPr>
                <w:rFonts w:cs="Arial"/>
                <w:sz w:val="18"/>
                <w:szCs w:val="18"/>
              </w:rPr>
              <w:t>2,579,491</w:t>
            </w:r>
          </w:p>
        </w:tc>
      </w:tr>
      <w:tr w:rsidR="00584325" w:rsidRPr="001D41EA" w14:paraId="5829181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9B6666C" w14:textId="77777777" w:rsidR="00584325" w:rsidRPr="001D41EA" w:rsidRDefault="00584325" w:rsidP="001D41EA">
            <w:pPr>
              <w:spacing w:before="40" w:after="40"/>
              <w:rPr>
                <w:rFonts w:cs="Arial"/>
                <w:sz w:val="18"/>
                <w:szCs w:val="18"/>
              </w:rPr>
            </w:pPr>
            <w:r w:rsidRPr="001D41EA">
              <w:rPr>
                <w:rFonts w:cs="Arial"/>
                <w:sz w:val="18"/>
                <w:szCs w:val="18"/>
              </w:rPr>
              <w:t>Boroondara C</w:t>
            </w:r>
          </w:p>
        </w:tc>
        <w:tc>
          <w:tcPr>
            <w:tcW w:w="1361" w:type="dxa"/>
            <w:tcBorders>
              <w:top w:val="nil"/>
              <w:left w:val="single" w:sz="18" w:space="0" w:color="5F497A" w:themeColor="accent4" w:themeShade="BF"/>
              <w:bottom w:val="nil"/>
              <w:right w:val="nil"/>
            </w:tcBorders>
            <w:shd w:val="clear" w:color="auto" w:fill="auto"/>
            <w:noWrap/>
            <w:vAlign w:val="bottom"/>
          </w:tcPr>
          <w:p w14:paraId="458419C5" w14:textId="5D44D360" w:rsidR="00584325" w:rsidRPr="001D41EA" w:rsidRDefault="00584325" w:rsidP="001D41EA">
            <w:pPr>
              <w:spacing w:before="40" w:after="40"/>
              <w:jc w:val="right"/>
              <w:rPr>
                <w:rFonts w:cs="Arial"/>
                <w:sz w:val="18"/>
                <w:szCs w:val="18"/>
              </w:rPr>
            </w:pPr>
            <w:r w:rsidRPr="001D41EA">
              <w:rPr>
                <w:rFonts w:cs="Arial"/>
                <w:sz w:val="18"/>
                <w:szCs w:val="18"/>
              </w:rPr>
              <w:t>9,935,286</w:t>
            </w:r>
          </w:p>
        </w:tc>
        <w:tc>
          <w:tcPr>
            <w:tcW w:w="1361" w:type="dxa"/>
            <w:tcBorders>
              <w:top w:val="nil"/>
              <w:left w:val="nil"/>
              <w:bottom w:val="nil"/>
              <w:right w:val="nil"/>
            </w:tcBorders>
            <w:shd w:val="clear" w:color="auto" w:fill="auto"/>
            <w:noWrap/>
            <w:vAlign w:val="bottom"/>
          </w:tcPr>
          <w:p w14:paraId="77DD80EA" w14:textId="346DE583" w:rsidR="00584325" w:rsidRPr="001D41EA" w:rsidRDefault="00584325" w:rsidP="001D41EA">
            <w:pPr>
              <w:spacing w:before="40" w:after="40"/>
              <w:jc w:val="right"/>
              <w:rPr>
                <w:rFonts w:cs="Arial"/>
                <w:sz w:val="18"/>
                <w:szCs w:val="18"/>
              </w:rPr>
            </w:pPr>
            <w:r w:rsidRPr="001D41EA">
              <w:rPr>
                <w:rFonts w:cs="Arial"/>
                <w:sz w:val="18"/>
                <w:szCs w:val="18"/>
              </w:rPr>
              <w:t>13,900,291</w:t>
            </w:r>
          </w:p>
        </w:tc>
        <w:tc>
          <w:tcPr>
            <w:tcW w:w="1361" w:type="dxa"/>
            <w:tcBorders>
              <w:top w:val="nil"/>
              <w:left w:val="nil"/>
              <w:bottom w:val="nil"/>
              <w:right w:val="nil"/>
            </w:tcBorders>
            <w:shd w:val="clear" w:color="auto" w:fill="auto"/>
            <w:noWrap/>
            <w:vAlign w:val="bottom"/>
          </w:tcPr>
          <w:p w14:paraId="07A795DC" w14:textId="770AB20C" w:rsidR="00584325" w:rsidRPr="001D41EA" w:rsidRDefault="00584325" w:rsidP="001D41EA">
            <w:pPr>
              <w:spacing w:before="40" w:after="40"/>
              <w:jc w:val="right"/>
              <w:rPr>
                <w:rFonts w:cs="Arial"/>
                <w:sz w:val="18"/>
                <w:szCs w:val="18"/>
              </w:rPr>
            </w:pPr>
            <w:r w:rsidRPr="001D41EA">
              <w:rPr>
                <w:rFonts w:cs="Arial"/>
                <w:sz w:val="18"/>
                <w:szCs w:val="18"/>
              </w:rPr>
              <w:t>4,552,828</w:t>
            </w:r>
          </w:p>
        </w:tc>
        <w:tc>
          <w:tcPr>
            <w:tcW w:w="1361" w:type="dxa"/>
            <w:tcBorders>
              <w:top w:val="nil"/>
              <w:left w:val="nil"/>
              <w:bottom w:val="nil"/>
              <w:right w:val="nil"/>
            </w:tcBorders>
            <w:vAlign w:val="bottom"/>
          </w:tcPr>
          <w:p w14:paraId="432CCE59" w14:textId="705D5FEE" w:rsidR="00584325" w:rsidRPr="001D41EA" w:rsidRDefault="00584325" w:rsidP="001D41EA">
            <w:pPr>
              <w:spacing w:before="40" w:after="40"/>
              <w:jc w:val="right"/>
              <w:rPr>
                <w:rFonts w:cs="Arial"/>
                <w:sz w:val="18"/>
                <w:szCs w:val="18"/>
              </w:rPr>
            </w:pPr>
            <w:r w:rsidRPr="001D41EA">
              <w:rPr>
                <w:rFonts w:cs="Arial"/>
                <w:sz w:val="18"/>
                <w:szCs w:val="18"/>
              </w:rPr>
              <w:t>55,362,719</w:t>
            </w:r>
          </w:p>
        </w:tc>
        <w:tc>
          <w:tcPr>
            <w:tcW w:w="1361" w:type="dxa"/>
            <w:tcBorders>
              <w:top w:val="nil"/>
              <w:left w:val="nil"/>
              <w:bottom w:val="nil"/>
              <w:right w:val="nil"/>
            </w:tcBorders>
            <w:shd w:val="clear" w:color="auto" w:fill="auto"/>
            <w:noWrap/>
            <w:vAlign w:val="bottom"/>
          </w:tcPr>
          <w:p w14:paraId="28F4F35E" w14:textId="49362B1E" w:rsidR="00584325" w:rsidRPr="001D41EA" w:rsidRDefault="00584325" w:rsidP="001D41EA">
            <w:pPr>
              <w:spacing w:before="40" w:after="40"/>
              <w:jc w:val="right"/>
              <w:rPr>
                <w:rFonts w:cs="Arial"/>
                <w:sz w:val="18"/>
                <w:szCs w:val="18"/>
              </w:rPr>
            </w:pPr>
            <w:r w:rsidRPr="001D41EA">
              <w:rPr>
                <w:rFonts w:cs="Arial"/>
                <w:sz w:val="18"/>
                <w:szCs w:val="18"/>
              </w:rPr>
              <w:t>23,387,674</w:t>
            </w:r>
          </w:p>
        </w:tc>
      </w:tr>
      <w:tr w:rsidR="00584325" w:rsidRPr="001D41EA" w14:paraId="038F76D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B8F0EDD" w14:textId="77777777" w:rsidR="00584325" w:rsidRPr="001D41EA" w:rsidRDefault="00584325" w:rsidP="001D41EA">
            <w:pPr>
              <w:spacing w:before="40" w:after="40"/>
              <w:rPr>
                <w:rFonts w:cs="Arial"/>
                <w:sz w:val="18"/>
                <w:szCs w:val="18"/>
              </w:rPr>
            </w:pPr>
            <w:r w:rsidRPr="001D41EA">
              <w:rPr>
                <w:rFonts w:cs="Arial"/>
                <w:sz w:val="18"/>
                <w:szCs w:val="18"/>
              </w:rPr>
              <w:t>Brimbank C</w:t>
            </w:r>
          </w:p>
        </w:tc>
        <w:tc>
          <w:tcPr>
            <w:tcW w:w="1361" w:type="dxa"/>
            <w:tcBorders>
              <w:top w:val="nil"/>
              <w:left w:val="single" w:sz="18" w:space="0" w:color="5F497A" w:themeColor="accent4" w:themeShade="BF"/>
              <w:bottom w:val="nil"/>
              <w:right w:val="nil"/>
            </w:tcBorders>
            <w:shd w:val="clear" w:color="auto" w:fill="auto"/>
            <w:noWrap/>
            <w:vAlign w:val="bottom"/>
          </w:tcPr>
          <w:p w14:paraId="7A3A1790" w14:textId="3E20E8E7" w:rsidR="00584325" w:rsidRPr="001D41EA" w:rsidRDefault="00584325" w:rsidP="001D41EA">
            <w:pPr>
              <w:spacing w:before="40" w:after="40"/>
              <w:jc w:val="right"/>
              <w:rPr>
                <w:rFonts w:cs="Arial"/>
                <w:sz w:val="18"/>
                <w:szCs w:val="18"/>
              </w:rPr>
            </w:pPr>
            <w:r w:rsidRPr="001D41EA">
              <w:rPr>
                <w:rFonts w:cs="Arial"/>
                <w:sz w:val="18"/>
                <w:szCs w:val="18"/>
              </w:rPr>
              <w:t>12,757,366</w:t>
            </w:r>
          </w:p>
        </w:tc>
        <w:tc>
          <w:tcPr>
            <w:tcW w:w="1361" w:type="dxa"/>
            <w:tcBorders>
              <w:top w:val="nil"/>
              <w:left w:val="nil"/>
              <w:bottom w:val="nil"/>
              <w:right w:val="nil"/>
            </w:tcBorders>
            <w:shd w:val="clear" w:color="auto" w:fill="auto"/>
            <w:noWrap/>
            <w:vAlign w:val="bottom"/>
          </w:tcPr>
          <w:p w14:paraId="21A6E301" w14:textId="0F93B8F1" w:rsidR="00584325" w:rsidRPr="001D41EA" w:rsidRDefault="00584325" w:rsidP="001D41EA">
            <w:pPr>
              <w:spacing w:before="40" w:after="40"/>
              <w:jc w:val="right"/>
              <w:rPr>
                <w:rFonts w:cs="Arial"/>
                <w:sz w:val="18"/>
                <w:szCs w:val="18"/>
              </w:rPr>
            </w:pPr>
            <w:r w:rsidRPr="001D41EA">
              <w:rPr>
                <w:rFonts w:cs="Arial"/>
                <w:sz w:val="18"/>
                <w:szCs w:val="18"/>
              </w:rPr>
              <w:t>22,902,862</w:t>
            </w:r>
          </w:p>
        </w:tc>
        <w:tc>
          <w:tcPr>
            <w:tcW w:w="1361" w:type="dxa"/>
            <w:tcBorders>
              <w:top w:val="nil"/>
              <w:left w:val="nil"/>
              <w:bottom w:val="nil"/>
              <w:right w:val="nil"/>
            </w:tcBorders>
            <w:shd w:val="clear" w:color="auto" w:fill="auto"/>
            <w:noWrap/>
            <w:vAlign w:val="bottom"/>
          </w:tcPr>
          <w:p w14:paraId="1A5F623A" w14:textId="312AB2EB" w:rsidR="00584325" w:rsidRPr="001D41EA" w:rsidRDefault="00584325" w:rsidP="001D41EA">
            <w:pPr>
              <w:spacing w:before="40" w:after="40"/>
              <w:jc w:val="right"/>
              <w:rPr>
                <w:rFonts w:cs="Arial"/>
                <w:sz w:val="18"/>
                <w:szCs w:val="18"/>
              </w:rPr>
            </w:pPr>
            <w:r w:rsidRPr="001D41EA">
              <w:rPr>
                <w:rFonts w:cs="Arial"/>
                <w:sz w:val="18"/>
                <w:szCs w:val="18"/>
              </w:rPr>
              <w:t>12,202,015</w:t>
            </w:r>
          </w:p>
        </w:tc>
        <w:tc>
          <w:tcPr>
            <w:tcW w:w="1361" w:type="dxa"/>
            <w:tcBorders>
              <w:top w:val="nil"/>
              <w:left w:val="nil"/>
              <w:bottom w:val="nil"/>
              <w:right w:val="nil"/>
            </w:tcBorders>
            <w:vAlign w:val="bottom"/>
          </w:tcPr>
          <w:p w14:paraId="5847FBC6" w14:textId="4E1EB225" w:rsidR="00584325" w:rsidRPr="001D41EA" w:rsidRDefault="00584325" w:rsidP="001D41EA">
            <w:pPr>
              <w:spacing w:before="40" w:after="40"/>
              <w:jc w:val="right"/>
              <w:rPr>
                <w:rFonts w:cs="Arial"/>
                <w:sz w:val="18"/>
                <w:szCs w:val="18"/>
              </w:rPr>
            </w:pPr>
            <w:r w:rsidRPr="001D41EA">
              <w:rPr>
                <w:rFonts w:cs="Arial"/>
                <w:sz w:val="18"/>
                <w:szCs w:val="18"/>
              </w:rPr>
              <w:t>55,757,646</w:t>
            </w:r>
          </w:p>
        </w:tc>
        <w:tc>
          <w:tcPr>
            <w:tcW w:w="1361" w:type="dxa"/>
            <w:tcBorders>
              <w:top w:val="nil"/>
              <w:left w:val="nil"/>
              <w:bottom w:val="nil"/>
              <w:right w:val="nil"/>
            </w:tcBorders>
            <w:shd w:val="clear" w:color="auto" w:fill="auto"/>
            <w:noWrap/>
            <w:vAlign w:val="bottom"/>
          </w:tcPr>
          <w:p w14:paraId="5C92B751" w14:textId="0AA507F1" w:rsidR="00584325" w:rsidRPr="001D41EA" w:rsidRDefault="00584325" w:rsidP="001D41EA">
            <w:pPr>
              <w:spacing w:before="40" w:after="40"/>
              <w:jc w:val="right"/>
              <w:rPr>
                <w:rFonts w:cs="Arial"/>
                <w:sz w:val="18"/>
                <w:szCs w:val="18"/>
              </w:rPr>
            </w:pPr>
            <w:r w:rsidRPr="001D41EA">
              <w:rPr>
                <w:rFonts w:cs="Arial"/>
                <w:sz w:val="18"/>
                <w:szCs w:val="18"/>
              </w:rPr>
              <w:t>21,705,121</w:t>
            </w:r>
          </w:p>
        </w:tc>
      </w:tr>
      <w:tr w:rsidR="00584325" w:rsidRPr="001D41EA" w14:paraId="61F481A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1CEFCD5" w14:textId="77777777" w:rsidR="00584325" w:rsidRPr="001D41EA" w:rsidRDefault="00584325" w:rsidP="001D41EA">
            <w:pPr>
              <w:spacing w:before="40" w:after="40"/>
              <w:rPr>
                <w:rFonts w:cs="Arial"/>
                <w:sz w:val="18"/>
                <w:szCs w:val="18"/>
              </w:rPr>
            </w:pPr>
            <w:r w:rsidRPr="001D41EA">
              <w:rPr>
                <w:rFonts w:cs="Arial"/>
                <w:sz w:val="18"/>
                <w:szCs w:val="18"/>
              </w:rPr>
              <w:t>Buloke S</w:t>
            </w:r>
          </w:p>
        </w:tc>
        <w:tc>
          <w:tcPr>
            <w:tcW w:w="1361" w:type="dxa"/>
            <w:tcBorders>
              <w:top w:val="nil"/>
              <w:left w:val="single" w:sz="18" w:space="0" w:color="5F497A" w:themeColor="accent4" w:themeShade="BF"/>
              <w:bottom w:val="nil"/>
              <w:right w:val="nil"/>
            </w:tcBorders>
            <w:shd w:val="clear" w:color="auto" w:fill="auto"/>
            <w:noWrap/>
            <w:vAlign w:val="bottom"/>
          </w:tcPr>
          <w:p w14:paraId="6CC65257" w14:textId="782E5B80" w:rsidR="00584325" w:rsidRPr="001D41EA" w:rsidRDefault="00584325" w:rsidP="001D41EA">
            <w:pPr>
              <w:spacing w:before="40" w:after="40"/>
              <w:jc w:val="right"/>
              <w:rPr>
                <w:rFonts w:cs="Arial"/>
                <w:sz w:val="18"/>
                <w:szCs w:val="18"/>
              </w:rPr>
            </w:pPr>
            <w:r w:rsidRPr="001D41EA">
              <w:rPr>
                <w:rFonts w:cs="Arial"/>
                <w:sz w:val="18"/>
                <w:szCs w:val="18"/>
              </w:rPr>
              <w:t>1,619,023</w:t>
            </w:r>
          </w:p>
        </w:tc>
        <w:tc>
          <w:tcPr>
            <w:tcW w:w="1361" w:type="dxa"/>
            <w:tcBorders>
              <w:top w:val="nil"/>
              <w:left w:val="nil"/>
              <w:bottom w:val="nil"/>
              <w:right w:val="nil"/>
            </w:tcBorders>
            <w:shd w:val="clear" w:color="auto" w:fill="auto"/>
            <w:noWrap/>
            <w:vAlign w:val="bottom"/>
          </w:tcPr>
          <w:p w14:paraId="0F51C114" w14:textId="25792B1F" w:rsidR="00584325" w:rsidRPr="001D41EA" w:rsidRDefault="00584325" w:rsidP="001D41EA">
            <w:pPr>
              <w:spacing w:before="40" w:after="40"/>
              <w:jc w:val="right"/>
              <w:rPr>
                <w:rFonts w:cs="Arial"/>
                <w:sz w:val="18"/>
                <w:szCs w:val="18"/>
              </w:rPr>
            </w:pPr>
            <w:r w:rsidRPr="001D41EA">
              <w:rPr>
                <w:rFonts w:cs="Arial"/>
                <w:sz w:val="18"/>
                <w:szCs w:val="18"/>
              </w:rPr>
              <w:t>685,217</w:t>
            </w:r>
          </w:p>
        </w:tc>
        <w:tc>
          <w:tcPr>
            <w:tcW w:w="1361" w:type="dxa"/>
            <w:tcBorders>
              <w:top w:val="nil"/>
              <w:left w:val="nil"/>
              <w:bottom w:val="nil"/>
              <w:right w:val="nil"/>
            </w:tcBorders>
            <w:shd w:val="clear" w:color="auto" w:fill="auto"/>
            <w:noWrap/>
            <w:vAlign w:val="bottom"/>
          </w:tcPr>
          <w:p w14:paraId="4E68DE47" w14:textId="34781436" w:rsidR="00584325" w:rsidRPr="001D41EA" w:rsidRDefault="00584325" w:rsidP="001D41EA">
            <w:pPr>
              <w:spacing w:before="40" w:after="40"/>
              <w:jc w:val="right"/>
              <w:rPr>
                <w:rFonts w:cs="Arial"/>
                <w:sz w:val="18"/>
                <w:szCs w:val="18"/>
              </w:rPr>
            </w:pPr>
            <w:r w:rsidRPr="001D41EA">
              <w:rPr>
                <w:rFonts w:cs="Arial"/>
                <w:sz w:val="18"/>
                <w:szCs w:val="18"/>
              </w:rPr>
              <w:t>717,636</w:t>
            </w:r>
          </w:p>
        </w:tc>
        <w:tc>
          <w:tcPr>
            <w:tcW w:w="1361" w:type="dxa"/>
            <w:tcBorders>
              <w:top w:val="nil"/>
              <w:left w:val="nil"/>
              <w:bottom w:val="nil"/>
              <w:right w:val="nil"/>
            </w:tcBorders>
            <w:vAlign w:val="bottom"/>
          </w:tcPr>
          <w:p w14:paraId="2824249C" w14:textId="7DAC2E2F" w:rsidR="00584325" w:rsidRPr="001D41EA" w:rsidRDefault="00584325" w:rsidP="001D41EA">
            <w:pPr>
              <w:spacing w:before="40" w:after="40"/>
              <w:jc w:val="right"/>
              <w:rPr>
                <w:rFonts w:cs="Arial"/>
                <w:sz w:val="18"/>
                <w:szCs w:val="18"/>
              </w:rPr>
            </w:pPr>
            <w:r w:rsidRPr="001D41EA">
              <w:rPr>
                <w:rFonts w:cs="Arial"/>
                <w:sz w:val="18"/>
                <w:szCs w:val="18"/>
              </w:rPr>
              <w:t>2,087,979</w:t>
            </w:r>
          </w:p>
        </w:tc>
        <w:tc>
          <w:tcPr>
            <w:tcW w:w="1361" w:type="dxa"/>
            <w:tcBorders>
              <w:top w:val="nil"/>
              <w:left w:val="nil"/>
              <w:bottom w:val="nil"/>
              <w:right w:val="nil"/>
            </w:tcBorders>
            <w:shd w:val="clear" w:color="auto" w:fill="auto"/>
            <w:noWrap/>
            <w:vAlign w:val="bottom"/>
          </w:tcPr>
          <w:p w14:paraId="0D9D2DD8" w14:textId="5174C7B8" w:rsidR="00584325" w:rsidRPr="001D41EA" w:rsidRDefault="00584325" w:rsidP="001D41EA">
            <w:pPr>
              <w:spacing w:before="40" w:after="40"/>
              <w:jc w:val="right"/>
              <w:rPr>
                <w:rFonts w:cs="Arial"/>
                <w:sz w:val="18"/>
                <w:szCs w:val="18"/>
              </w:rPr>
            </w:pPr>
            <w:r w:rsidRPr="001D41EA">
              <w:rPr>
                <w:rFonts w:cs="Arial"/>
                <w:sz w:val="18"/>
                <w:szCs w:val="18"/>
              </w:rPr>
              <w:t>1,621,520</w:t>
            </w:r>
          </w:p>
        </w:tc>
      </w:tr>
      <w:tr w:rsidR="00584325" w:rsidRPr="001D41EA" w14:paraId="628B4CF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C1E9066" w14:textId="77777777" w:rsidR="00584325" w:rsidRPr="001D41EA" w:rsidRDefault="00584325" w:rsidP="001D41EA">
            <w:pPr>
              <w:spacing w:before="40" w:after="40"/>
              <w:rPr>
                <w:rFonts w:cs="Arial"/>
                <w:sz w:val="18"/>
                <w:szCs w:val="18"/>
              </w:rPr>
            </w:pPr>
            <w:r w:rsidRPr="001D41EA">
              <w:rPr>
                <w:rFonts w:cs="Arial"/>
                <w:sz w:val="18"/>
                <w:szCs w:val="18"/>
              </w:rPr>
              <w:t>Campaspe S</w:t>
            </w:r>
          </w:p>
        </w:tc>
        <w:tc>
          <w:tcPr>
            <w:tcW w:w="1361" w:type="dxa"/>
            <w:tcBorders>
              <w:top w:val="nil"/>
              <w:left w:val="single" w:sz="18" w:space="0" w:color="5F497A" w:themeColor="accent4" w:themeShade="BF"/>
              <w:bottom w:val="nil"/>
              <w:right w:val="nil"/>
            </w:tcBorders>
            <w:shd w:val="clear" w:color="auto" w:fill="auto"/>
            <w:noWrap/>
            <w:vAlign w:val="bottom"/>
          </w:tcPr>
          <w:p w14:paraId="3B9683C1" w14:textId="081EC76C" w:rsidR="00584325" w:rsidRPr="001D41EA" w:rsidRDefault="00584325" w:rsidP="001D41EA">
            <w:pPr>
              <w:spacing w:before="40" w:after="40"/>
              <w:jc w:val="right"/>
              <w:rPr>
                <w:rFonts w:cs="Arial"/>
                <w:sz w:val="18"/>
                <w:szCs w:val="18"/>
              </w:rPr>
            </w:pPr>
            <w:r w:rsidRPr="001D41EA">
              <w:rPr>
                <w:rFonts w:cs="Arial"/>
                <w:sz w:val="18"/>
                <w:szCs w:val="18"/>
              </w:rPr>
              <w:t>2,633,507</w:t>
            </w:r>
          </w:p>
        </w:tc>
        <w:tc>
          <w:tcPr>
            <w:tcW w:w="1361" w:type="dxa"/>
            <w:tcBorders>
              <w:top w:val="nil"/>
              <w:left w:val="nil"/>
              <w:bottom w:val="nil"/>
              <w:right w:val="nil"/>
            </w:tcBorders>
            <w:shd w:val="clear" w:color="auto" w:fill="auto"/>
            <w:noWrap/>
            <w:vAlign w:val="bottom"/>
          </w:tcPr>
          <w:p w14:paraId="18494FC5" w14:textId="1FD52B17" w:rsidR="00584325" w:rsidRPr="001D41EA" w:rsidRDefault="00584325" w:rsidP="001D41EA">
            <w:pPr>
              <w:spacing w:before="40" w:after="40"/>
              <w:jc w:val="right"/>
              <w:rPr>
                <w:rFonts w:cs="Arial"/>
                <w:sz w:val="18"/>
                <w:szCs w:val="18"/>
              </w:rPr>
            </w:pPr>
            <w:r w:rsidRPr="001D41EA">
              <w:rPr>
                <w:rFonts w:cs="Arial"/>
                <w:sz w:val="18"/>
                <w:szCs w:val="18"/>
              </w:rPr>
              <w:t>4,172,588</w:t>
            </w:r>
          </w:p>
        </w:tc>
        <w:tc>
          <w:tcPr>
            <w:tcW w:w="1361" w:type="dxa"/>
            <w:tcBorders>
              <w:top w:val="nil"/>
              <w:left w:val="nil"/>
              <w:bottom w:val="nil"/>
              <w:right w:val="nil"/>
            </w:tcBorders>
            <w:shd w:val="clear" w:color="auto" w:fill="auto"/>
            <w:noWrap/>
            <w:vAlign w:val="bottom"/>
          </w:tcPr>
          <w:p w14:paraId="4F85E513" w14:textId="4FE2D551" w:rsidR="00584325" w:rsidRPr="001D41EA" w:rsidRDefault="00584325" w:rsidP="001D41EA">
            <w:pPr>
              <w:spacing w:before="40" w:after="40"/>
              <w:jc w:val="right"/>
              <w:rPr>
                <w:rFonts w:cs="Arial"/>
                <w:sz w:val="18"/>
                <w:szCs w:val="18"/>
              </w:rPr>
            </w:pPr>
            <w:r w:rsidRPr="001D41EA">
              <w:rPr>
                <w:rFonts w:cs="Arial"/>
                <w:sz w:val="18"/>
                <w:szCs w:val="18"/>
              </w:rPr>
              <w:t>3,115,122</w:t>
            </w:r>
          </w:p>
        </w:tc>
        <w:tc>
          <w:tcPr>
            <w:tcW w:w="1361" w:type="dxa"/>
            <w:tcBorders>
              <w:top w:val="nil"/>
              <w:left w:val="nil"/>
              <w:bottom w:val="nil"/>
              <w:right w:val="nil"/>
            </w:tcBorders>
            <w:vAlign w:val="bottom"/>
          </w:tcPr>
          <w:p w14:paraId="5EB1DFB2" w14:textId="4C1E5499" w:rsidR="00584325" w:rsidRPr="001D41EA" w:rsidRDefault="00584325" w:rsidP="001D41EA">
            <w:pPr>
              <w:spacing w:before="40" w:after="40"/>
              <w:jc w:val="right"/>
              <w:rPr>
                <w:rFonts w:cs="Arial"/>
                <w:sz w:val="18"/>
                <w:szCs w:val="18"/>
              </w:rPr>
            </w:pPr>
            <w:r w:rsidRPr="001D41EA">
              <w:rPr>
                <w:rFonts w:cs="Arial"/>
                <w:sz w:val="18"/>
                <w:szCs w:val="18"/>
              </w:rPr>
              <w:t>12,301,535</w:t>
            </w:r>
          </w:p>
        </w:tc>
        <w:tc>
          <w:tcPr>
            <w:tcW w:w="1361" w:type="dxa"/>
            <w:tcBorders>
              <w:top w:val="nil"/>
              <w:left w:val="nil"/>
              <w:bottom w:val="nil"/>
              <w:right w:val="nil"/>
            </w:tcBorders>
            <w:shd w:val="clear" w:color="auto" w:fill="auto"/>
            <w:noWrap/>
            <w:vAlign w:val="bottom"/>
          </w:tcPr>
          <w:p w14:paraId="68DF88AD" w14:textId="42A0590F" w:rsidR="00584325" w:rsidRPr="001D41EA" w:rsidRDefault="00584325" w:rsidP="001D41EA">
            <w:pPr>
              <w:spacing w:before="40" w:after="40"/>
              <w:jc w:val="right"/>
              <w:rPr>
                <w:rFonts w:cs="Arial"/>
                <w:sz w:val="18"/>
                <w:szCs w:val="18"/>
              </w:rPr>
            </w:pPr>
            <w:r w:rsidRPr="001D41EA">
              <w:rPr>
                <w:rFonts w:cs="Arial"/>
                <w:sz w:val="18"/>
                <w:szCs w:val="18"/>
              </w:rPr>
              <w:t>7,515,229</w:t>
            </w:r>
          </w:p>
        </w:tc>
      </w:tr>
      <w:tr w:rsidR="00584325" w:rsidRPr="001D41EA" w14:paraId="4DC6A0D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514335D" w14:textId="77777777" w:rsidR="00584325" w:rsidRPr="001D41EA" w:rsidRDefault="00584325" w:rsidP="001D41EA">
            <w:pPr>
              <w:spacing w:before="40" w:after="40"/>
              <w:rPr>
                <w:rFonts w:cs="Arial"/>
                <w:sz w:val="18"/>
                <w:szCs w:val="18"/>
              </w:rPr>
            </w:pPr>
            <w:r w:rsidRPr="001D41EA">
              <w:rPr>
                <w:rFonts w:cs="Arial"/>
                <w:sz w:val="18"/>
                <w:szCs w:val="18"/>
              </w:rPr>
              <w:t>Cardinia S</w:t>
            </w:r>
          </w:p>
        </w:tc>
        <w:tc>
          <w:tcPr>
            <w:tcW w:w="1361" w:type="dxa"/>
            <w:tcBorders>
              <w:top w:val="nil"/>
              <w:left w:val="single" w:sz="18" w:space="0" w:color="5F497A" w:themeColor="accent4" w:themeShade="BF"/>
              <w:bottom w:val="nil"/>
              <w:right w:val="nil"/>
            </w:tcBorders>
            <w:shd w:val="clear" w:color="auto" w:fill="auto"/>
            <w:noWrap/>
            <w:vAlign w:val="bottom"/>
          </w:tcPr>
          <w:p w14:paraId="430340E4" w14:textId="1C85685F" w:rsidR="00584325" w:rsidRPr="001D41EA" w:rsidRDefault="00584325" w:rsidP="001D41EA">
            <w:pPr>
              <w:spacing w:before="40" w:after="40"/>
              <w:jc w:val="right"/>
              <w:rPr>
                <w:rFonts w:cs="Arial"/>
                <w:sz w:val="18"/>
                <w:szCs w:val="18"/>
              </w:rPr>
            </w:pPr>
            <w:r w:rsidRPr="001D41EA">
              <w:rPr>
                <w:rFonts w:cs="Arial"/>
                <w:sz w:val="18"/>
                <w:szCs w:val="18"/>
              </w:rPr>
              <w:t>6,508,810</w:t>
            </w:r>
          </w:p>
        </w:tc>
        <w:tc>
          <w:tcPr>
            <w:tcW w:w="1361" w:type="dxa"/>
            <w:tcBorders>
              <w:top w:val="nil"/>
              <w:left w:val="nil"/>
              <w:bottom w:val="nil"/>
              <w:right w:val="nil"/>
            </w:tcBorders>
            <w:shd w:val="clear" w:color="auto" w:fill="auto"/>
            <w:noWrap/>
            <w:vAlign w:val="bottom"/>
          </w:tcPr>
          <w:p w14:paraId="6EDD36F4" w14:textId="4501C8C5" w:rsidR="00584325" w:rsidRPr="001D41EA" w:rsidRDefault="00584325" w:rsidP="001D41EA">
            <w:pPr>
              <w:spacing w:before="40" w:after="40"/>
              <w:jc w:val="right"/>
              <w:rPr>
                <w:rFonts w:cs="Arial"/>
                <w:sz w:val="18"/>
                <w:szCs w:val="18"/>
              </w:rPr>
            </w:pPr>
            <w:r w:rsidRPr="001D41EA">
              <w:rPr>
                <w:rFonts w:cs="Arial"/>
                <w:sz w:val="18"/>
                <w:szCs w:val="18"/>
              </w:rPr>
              <w:t>12,518,029</w:t>
            </w:r>
          </w:p>
        </w:tc>
        <w:tc>
          <w:tcPr>
            <w:tcW w:w="1361" w:type="dxa"/>
            <w:tcBorders>
              <w:top w:val="nil"/>
              <w:left w:val="nil"/>
              <w:bottom w:val="nil"/>
              <w:right w:val="nil"/>
            </w:tcBorders>
            <w:shd w:val="clear" w:color="auto" w:fill="auto"/>
            <w:noWrap/>
            <w:vAlign w:val="bottom"/>
          </w:tcPr>
          <w:p w14:paraId="37921D76" w14:textId="7080199C" w:rsidR="00584325" w:rsidRPr="001D41EA" w:rsidRDefault="00584325" w:rsidP="001D41EA">
            <w:pPr>
              <w:spacing w:before="40" w:after="40"/>
              <w:jc w:val="right"/>
              <w:rPr>
                <w:rFonts w:cs="Arial"/>
                <w:sz w:val="18"/>
                <w:szCs w:val="18"/>
              </w:rPr>
            </w:pPr>
            <w:r w:rsidRPr="001D41EA">
              <w:rPr>
                <w:rFonts w:cs="Arial"/>
                <w:sz w:val="18"/>
                <w:szCs w:val="18"/>
              </w:rPr>
              <w:t>3,999,734</w:t>
            </w:r>
          </w:p>
        </w:tc>
        <w:tc>
          <w:tcPr>
            <w:tcW w:w="1361" w:type="dxa"/>
            <w:tcBorders>
              <w:top w:val="nil"/>
              <w:left w:val="nil"/>
              <w:bottom w:val="nil"/>
              <w:right w:val="nil"/>
            </w:tcBorders>
            <w:vAlign w:val="bottom"/>
          </w:tcPr>
          <w:p w14:paraId="7B810437" w14:textId="7D637306" w:rsidR="00584325" w:rsidRPr="001D41EA" w:rsidRDefault="00584325" w:rsidP="001D41EA">
            <w:pPr>
              <w:spacing w:before="40" w:after="40"/>
              <w:jc w:val="right"/>
              <w:rPr>
                <w:rFonts w:cs="Arial"/>
                <w:sz w:val="18"/>
                <w:szCs w:val="18"/>
              </w:rPr>
            </w:pPr>
            <w:r w:rsidRPr="001D41EA">
              <w:rPr>
                <w:rFonts w:cs="Arial"/>
                <w:sz w:val="18"/>
                <w:szCs w:val="18"/>
              </w:rPr>
              <w:t>28,714,444</w:t>
            </w:r>
          </w:p>
        </w:tc>
        <w:tc>
          <w:tcPr>
            <w:tcW w:w="1361" w:type="dxa"/>
            <w:tcBorders>
              <w:top w:val="nil"/>
              <w:left w:val="nil"/>
              <w:bottom w:val="nil"/>
              <w:right w:val="nil"/>
            </w:tcBorders>
            <w:shd w:val="clear" w:color="auto" w:fill="auto"/>
            <w:noWrap/>
            <w:vAlign w:val="bottom"/>
          </w:tcPr>
          <w:p w14:paraId="1F8BB5B5" w14:textId="6B40A909" w:rsidR="00584325" w:rsidRPr="001D41EA" w:rsidRDefault="00584325" w:rsidP="001D41EA">
            <w:pPr>
              <w:spacing w:before="40" w:after="40"/>
              <w:jc w:val="right"/>
              <w:rPr>
                <w:rFonts w:cs="Arial"/>
                <w:sz w:val="18"/>
                <w:szCs w:val="18"/>
              </w:rPr>
            </w:pPr>
            <w:r w:rsidRPr="001D41EA">
              <w:rPr>
                <w:rFonts w:cs="Arial"/>
                <w:sz w:val="18"/>
                <w:szCs w:val="18"/>
              </w:rPr>
              <w:t>14,638,424</w:t>
            </w:r>
          </w:p>
        </w:tc>
      </w:tr>
      <w:tr w:rsidR="00584325" w:rsidRPr="001D41EA" w14:paraId="55C2066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8145761" w14:textId="77777777" w:rsidR="00584325" w:rsidRPr="001D41EA" w:rsidRDefault="00584325" w:rsidP="001D41EA">
            <w:pPr>
              <w:spacing w:before="40" w:after="40"/>
              <w:rPr>
                <w:rFonts w:cs="Arial"/>
                <w:sz w:val="18"/>
                <w:szCs w:val="18"/>
              </w:rPr>
            </w:pPr>
            <w:r w:rsidRPr="001D41EA">
              <w:rPr>
                <w:rFonts w:cs="Arial"/>
                <w:sz w:val="18"/>
                <w:szCs w:val="18"/>
              </w:rPr>
              <w:t>Casey C</w:t>
            </w:r>
          </w:p>
        </w:tc>
        <w:tc>
          <w:tcPr>
            <w:tcW w:w="1361" w:type="dxa"/>
            <w:tcBorders>
              <w:top w:val="nil"/>
              <w:left w:val="single" w:sz="18" w:space="0" w:color="5F497A" w:themeColor="accent4" w:themeShade="BF"/>
              <w:bottom w:val="nil"/>
              <w:right w:val="nil"/>
            </w:tcBorders>
            <w:shd w:val="clear" w:color="auto" w:fill="auto"/>
            <w:noWrap/>
            <w:vAlign w:val="bottom"/>
          </w:tcPr>
          <w:p w14:paraId="1F68FBD5" w14:textId="2AA1A1DA" w:rsidR="00584325" w:rsidRPr="001D41EA" w:rsidRDefault="00584325" w:rsidP="001D41EA">
            <w:pPr>
              <w:spacing w:before="40" w:after="40"/>
              <w:jc w:val="right"/>
              <w:rPr>
                <w:rFonts w:cs="Arial"/>
                <w:sz w:val="18"/>
                <w:szCs w:val="18"/>
              </w:rPr>
            </w:pPr>
            <w:r w:rsidRPr="001D41EA">
              <w:rPr>
                <w:rFonts w:cs="Arial"/>
                <w:sz w:val="18"/>
                <w:szCs w:val="18"/>
              </w:rPr>
              <w:t>17,902,059</w:t>
            </w:r>
          </w:p>
        </w:tc>
        <w:tc>
          <w:tcPr>
            <w:tcW w:w="1361" w:type="dxa"/>
            <w:tcBorders>
              <w:top w:val="nil"/>
              <w:left w:val="nil"/>
              <w:bottom w:val="nil"/>
              <w:right w:val="nil"/>
            </w:tcBorders>
            <w:shd w:val="clear" w:color="auto" w:fill="auto"/>
            <w:noWrap/>
            <w:vAlign w:val="bottom"/>
          </w:tcPr>
          <w:p w14:paraId="1991DAD2" w14:textId="15CAEB1C" w:rsidR="00584325" w:rsidRPr="001D41EA" w:rsidRDefault="00584325" w:rsidP="001D41EA">
            <w:pPr>
              <w:spacing w:before="40" w:after="40"/>
              <w:jc w:val="right"/>
              <w:rPr>
                <w:rFonts w:cs="Arial"/>
                <w:sz w:val="18"/>
                <w:szCs w:val="18"/>
              </w:rPr>
            </w:pPr>
            <w:r w:rsidRPr="001D41EA">
              <w:rPr>
                <w:rFonts w:cs="Arial"/>
                <w:sz w:val="18"/>
                <w:szCs w:val="18"/>
              </w:rPr>
              <w:t>37,324,643</w:t>
            </w:r>
          </w:p>
        </w:tc>
        <w:tc>
          <w:tcPr>
            <w:tcW w:w="1361" w:type="dxa"/>
            <w:tcBorders>
              <w:top w:val="nil"/>
              <w:left w:val="nil"/>
              <w:bottom w:val="nil"/>
              <w:right w:val="nil"/>
            </w:tcBorders>
            <w:shd w:val="clear" w:color="auto" w:fill="auto"/>
            <w:noWrap/>
            <w:vAlign w:val="bottom"/>
          </w:tcPr>
          <w:p w14:paraId="0B8465DC" w14:textId="24AA4C84" w:rsidR="00584325" w:rsidRPr="001D41EA" w:rsidRDefault="00584325" w:rsidP="001D41EA">
            <w:pPr>
              <w:spacing w:before="40" w:after="40"/>
              <w:jc w:val="right"/>
              <w:rPr>
                <w:rFonts w:cs="Arial"/>
                <w:sz w:val="18"/>
                <w:szCs w:val="18"/>
              </w:rPr>
            </w:pPr>
            <w:r w:rsidRPr="001D41EA">
              <w:rPr>
                <w:rFonts w:cs="Arial"/>
                <w:sz w:val="18"/>
                <w:szCs w:val="18"/>
              </w:rPr>
              <w:t>11,105,695</w:t>
            </w:r>
          </w:p>
        </w:tc>
        <w:tc>
          <w:tcPr>
            <w:tcW w:w="1361" w:type="dxa"/>
            <w:tcBorders>
              <w:top w:val="nil"/>
              <w:left w:val="nil"/>
              <w:bottom w:val="nil"/>
              <w:right w:val="nil"/>
            </w:tcBorders>
            <w:vAlign w:val="bottom"/>
          </w:tcPr>
          <w:p w14:paraId="71446BE8" w14:textId="34463866" w:rsidR="00584325" w:rsidRPr="001D41EA" w:rsidRDefault="00584325" w:rsidP="001D41EA">
            <w:pPr>
              <w:spacing w:before="40" w:after="40"/>
              <w:jc w:val="right"/>
              <w:rPr>
                <w:rFonts w:cs="Arial"/>
                <w:sz w:val="18"/>
                <w:szCs w:val="18"/>
              </w:rPr>
            </w:pPr>
            <w:r w:rsidRPr="001D41EA">
              <w:rPr>
                <w:rFonts w:cs="Arial"/>
                <w:sz w:val="18"/>
                <w:szCs w:val="18"/>
              </w:rPr>
              <w:t>84,887,954</w:t>
            </w:r>
          </w:p>
        </w:tc>
        <w:tc>
          <w:tcPr>
            <w:tcW w:w="1361" w:type="dxa"/>
            <w:tcBorders>
              <w:top w:val="nil"/>
              <w:left w:val="nil"/>
              <w:bottom w:val="nil"/>
              <w:right w:val="nil"/>
            </w:tcBorders>
            <w:shd w:val="clear" w:color="auto" w:fill="auto"/>
            <w:noWrap/>
            <w:vAlign w:val="bottom"/>
          </w:tcPr>
          <w:p w14:paraId="68EC8BF4" w14:textId="04EE6FBC" w:rsidR="00584325" w:rsidRPr="001D41EA" w:rsidRDefault="00584325" w:rsidP="001D41EA">
            <w:pPr>
              <w:spacing w:before="40" w:after="40"/>
              <w:jc w:val="right"/>
              <w:rPr>
                <w:rFonts w:cs="Arial"/>
                <w:sz w:val="18"/>
                <w:szCs w:val="18"/>
              </w:rPr>
            </w:pPr>
            <w:r w:rsidRPr="001D41EA">
              <w:rPr>
                <w:rFonts w:cs="Arial"/>
                <w:sz w:val="18"/>
                <w:szCs w:val="18"/>
              </w:rPr>
              <w:t>31,267,946</w:t>
            </w:r>
          </w:p>
        </w:tc>
      </w:tr>
      <w:tr w:rsidR="00584325" w:rsidRPr="001D41EA" w14:paraId="580805D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F7C7370" w14:textId="77777777" w:rsidR="00584325" w:rsidRPr="001D41EA" w:rsidRDefault="00584325" w:rsidP="001D41EA">
            <w:pPr>
              <w:spacing w:before="40" w:after="40"/>
              <w:rPr>
                <w:rFonts w:cs="Arial"/>
                <w:sz w:val="18"/>
                <w:szCs w:val="18"/>
              </w:rPr>
            </w:pPr>
            <w:r w:rsidRPr="001D41EA">
              <w:rPr>
                <w:rFonts w:cs="Arial"/>
                <w:sz w:val="18"/>
                <w:szCs w:val="18"/>
              </w:rPr>
              <w:t>Central Goldfields S</w:t>
            </w:r>
          </w:p>
        </w:tc>
        <w:tc>
          <w:tcPr>
            <w:tcW w:w="1361" w:type="dxa"/>
            <w:tcBorders>
              <w:top w:val="nil"/>
              <w:left w:val="single" w:sz="18" w:space="0" w:color="5F497A" w:themeColor="accent4" w:themeShade="BF"/>
              <w:bottom w:val="nil"/>
              <w:right w:val="nil"/>
            </w:tcBorders>
            <w:shd w:val="clear" w:color="auto" w:fill="auto"/>
            <w:noWrap/>
            <w:vAlign w:val="bottom"/>
          </w:tcPr>
          <w:p w14:paraId="3465573F" w14:textId="4A412822" w:rsidR="00584325" w:rsidRPr="001D41EA" w:rsidRDefault="00584325" w:rsidP="001D41EA">
            <w:pPr>
              <w:spacing w:before="40" w:after="40"/>
              <w:jc w:val="right"/>
              <w:rPr>
                <w:rFonts w:cs="Arial"/>
                <w:sz w:val="18"/>
                <w:szCs w:val="18"/>
              </w:rPr>
            </w:pPr>
            <w:r w:rsidRPr="001D41EA">
              <w:rPr>
                <w:rFonts w:cs="Arial"/>
                <w:sz w:val="18"/>
                <w:szCs w:val="18"/>
              </w:rPr>
              <w:t>1,258,219</w:t>
            </w:r>
          </w:p>
        </w:tc>
        <w:tc>
          <w:tcPr>
            <w:tcW w:w="1361" w:type="dxa"/>
            <w:tcBorders>
              <w:top w:val="nil"/>
              <w:left w:val="nil"/>
              <w:bottom w:val="nil"/>
              <w:right w:val="nil"/>
            </w:tcBorders>
            <w:shd w:val="clear" w:color="auto" w:fill="auto"/>
            <w:noWrap/>
            <w:vAlign w:val="bottom"/>
          </w:tcPr>
          <w:p w14:paraId="2ED0D146" w14:textId="40AD79F7" w:rsidR="00584325" w:rsidRPr="001D41EA" w:rsidRDefault="00584325" w:rsidP="001D41EA">
            <w:pPr>
              <w:spacing w:before="40" w:after="40"/>
              <w:jc w:val="right"/>
              <w:rPr>
                <w:rFonts w:cs="Arial"/>
                <w:sz w:val="18"/>
                <w:szCs w:val="18"/>
              </w:rPr>
            </w:pPr>
            <w:r w:rsidRPr="001D41EA">
              <w:rPr>
                <w:rFonts w:cs="Arial"/>
                <w:sz w:val="18"/>
                <w:szCs w:val="18"/>
              </w:rPr>
              <w:t>1,345,218</w:t>
            </w:r>
          </w:p>
        </w:tc>
        <w:tc>
          <w:tcPr>
            <w:tcW w:w="1361" w:type="dxa"/>
            <w:tcBorders>
              <w:top w:val="nil"/>
              <w:left w:val="nil"/>
              <w:bottom w:val="nil"/>
              <w:right w:val="nil"/>
            </w:tcBorders>
            <w:shd w:val="clear" w:color="auto" w:fill="auto"/>
            <w:noWrap/>
            <w:vAlign w:val="bottom"/>
          </w:tcPr>
          <w:p w14:paraId="1BF9258D" w14:textId="5A2CDBDC" w:rsidR="00584325" w:rsidRPr="001D41EA" w:rsidRDefault="00584325" w:rsidP="001D41EA">
            <w:pPr>
              <w:spacing w:before="40" w:after="40"/>
              <w:jc w:val="right"/>
              <w:rPr>
                <w:rFonts w:cs="Arial"/>
                <w:sz w:val="18"/>
                <w:szCs w:val="18"/>
              </w:rPr>
            </w:pPr>
            <w:r w:rsidRPr="001D41EA">
              <w:rPr>
                <w:rFonts w:cs="Arial"/>
                <w:sz w:val="18"/>
                <w:szCs w:val="18"/>
              </w:rPr>
              <w:t>1,432,610</w:t>
            </w:r>
          </w:p>
        </w:tc>
        <w:tc>
          <w:tcPr>
            <w:tcW w:w="1361" w:type="dxa"/>
            <w:tcBorders>
              <w:top w:val="nil"/>
              <w:left w:val="nil"/>
              <w:bottom w:val="nil"/>
              <w:right w:val="nil"/>
            </w:tcBorders>
            <w:vAlign w:val="bottom"/>
          </w:tcPr>
          <w:p w14:paraId="402251C3" w14:textId="05FB6CAE" w:rsidR="00584325" w:rsidRPr="001D41EA" w:rsidRDefault="00584325" w:rsidP="001D41EA">
            <w:pPr>
              <w:spacing w:before="40" w:after="40"/>
              <w:jc w:val="right"/>
              <w:rPr>
                <w:rFonts w:cs="Arial"/>
                <w:sz w:val="18"/>
                <w:szCs w:val="18"/>
              </w:rPr>
            </w:pPr>
            <w:r w:rsidRPr="001D41EA">
              <w:rPr>
                <w:rFonts w:cs="Arial"/>
                <w:sz w:val="18"/>
                <w:szCs w:val="18"/>
              </w:rPr>
              <w:t>3,712,939</w:t>
            </w:r>
          </w:p>
        </w:tc>
        <w:tc>
          <w:tcPr>
            <w:tcW w:w="1361" w:type="dxa"/>
            <w:tcBorders>
              <w:top w:val="nil"/>
              <w:left w:val="nil"/>
              <w:bottom w:val="nil"/>
              <w:right w:val="nil"/>
            </w:tcBorders>
            <w:shd w:val="clear" w:color="auto" w:fill="auto"/>
            <w:noWrap/>
            <w:vAlign w:val="bottom"/>
          </w:tcPr>
          <w:p w14:paraId="7FA780E0" w14:textId="1984F5F4" w:rsidR="00584325" w:rsidRPr="001D41EA" w:rsidRDefault="00584325" w:rsidP="001D41EA">
            <w:pPr>
              <w:spacing w:before="40" w:after="40"/>
              <w:jc w:val="right"/>
              <w:rPr>
                <w:rFonts w:cs="Arial"/>
                <w:sz w:val="18"/>
                <w:szCs w:val="18"/>
              </w:rPr>
            </w:pPr>
            <w:r w:rsidRPr="001D41EA">
              <w:rPr>
                <w:rFonts w:cs="Arial"/>
                <w:sz w:val="18"/>
                <w:szCs w:val="18"/>
              </w:rPr>
              <w:t>2,549,457</w:t>
            </w:r>
          </w:p>
        </w:tc>
      </w:tr>
      <w:tr w:rsidR="00584325" w:rsidRPr="001D41EA" w14:paraId="7B92BE1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6D3E0E4" w14:textId="77777777" w:rsidR="00584325" w:rsidRPr="001D41EA" w:rsidRDefault="00584325" w:rsidP="001D41EA">
            <w:pPr>
              <w:spacing w:before="40" w:after="40"/>
              <w:rPr>
                <w:rFonts w:cs="Arial"/>
                <w:sz w:val="18"/>
                <w:szCs w:val="18"/>
              </w:rPr>
            </w:pPr>
            <w:r w:rsidRPr="001D41EA">
              <w:rPr>
                <w:rFonts w:cs="Arial"/>
                <w:sz w:val="18"/>
                <w:szCs w:val="18"/>
              </w:rPr>
              <w:t>Colac Otway S</w:t>
            </w:r>
          </w:p>
        </w:tc>
        <w:tc>
          <w:tcPr>
            <w:tcW w:w="1361" w:type="dxa"/>
            <w:tcBorders>
              <w:top w:val="nil"/>
              <w:left w:val="single" w:sz="18" w:space="0" w:color="5F497A" w:themeColor="accent4" w:themeShade="BF"/>
              <w:bottom w:val="nil"/>
              <w:right w:val="nil"/>
            </w:tcBorders>
            <w:shd w:val="clear" w:color="auto" w:fill="auto"/>
            <w:noWrap/>
            <w:vAlign w:val="bottom"/>
          </w:tcPr>
          <w:p w14:paraId="49676CFC" w14:textId="1CDC4199" w:rsidR="00584325" w:rsidRPr="001D41EA" w:rsidRDefault="00584325" w:rsidP="001D41EA">
            <w:pPr>
              <w:spacing w:before="40" w:after="40"/>
              <w:jc w:val="right"/>
              <w:rPr>
                <w:rFonts w:cs="Arial"/>
                <w:sz w:val="18"/>
                <w:szCs w:val="18"/>
              </w:rPr>
            </w:pPr>
            <w:r w:rsidRPr="001D41EA">
              <w:rPr>
                <w:rFonts w:cs="Arial"/>
                <w:sz w:val="18"/>
                <w:szCs w:val="18"/>
              </w:rPr>
              <w:t>1,569,099</w:t>
            </w:r>
          </w:p>
        </w:tc>
        <w:tc>
          <w:tcPr>
            <w:tcW w:w="1361" w:type="dxa"/>
            <w:tcBorders>
              <w:top w:val="nil"/>
              <w:left w:val="nil"/>
              <w:bottom w:val="nil"/>
              <w:right w:val="nil"/>
            </w:tcBorders>
            <w:shd w:val="clear" w:color="auto" w:fill="auto"/>
            <w:noWrap/>
            <w:vAlign w:val="bottom"/>
          </w:tcPr>
          <w:p w14:paraId="1FCCD771" w14:textId="48CD47A6" w:rsidR="00584325" w:rsidRPr="001D41EA" w:rsidRDefault="00584325" w:rsidP="001D41EA">
            <w:pPr>
              <w:spacing w:before="40" w:after="40"/>
              <w:jc w:val="right"/>
              <w:rPr>
                <w:rFonts w:cs="Arial"/>
                <w:sz w:val="18"/>
                <w:szCs w:val="18"/>
              </w:rPr>
            </w:pPr>
            <w:r w:rsidRPr="001D41EA">
              <w:rPr>
                <w:rFonts w:cs="Arial"/>
                <w:sz w:val="18"/>
                <w:szCs w:val="18"/>
              </w:rPr>
              <w:t>2,234,207</w:t>
            </w:r>
          </w:p>
        </w:tc>
        <w:tc>
          <w:tcPr>
            <w:tcW w:w="1361" w:type="dxa"/>
            <w:tcBorders>
              <w:top w:val="nil"/>
              <w:left w:val="nil"/>
              <w:bottom w:val="nil"/>
              <w:right w:val="nil"/>
            </w:tcBorders>
            <w:shd w:val="clear" w:color="auto" w:fill="auto"/>
            <w:noWrap/>
            <w:vAlign w:val="bottom"/>
          </w:tcPr>
          <w:p w14:paraId="1071C001" w14:textId="06428692" w:rsidR="00584325" w:rsidRPr="001D41EA" w:rsidRDefault="00584325" w:rsidP="001D41EA">
            <w:pPr>
              <w:spacing w:before="40" w:after="40"/>
              <w:jc w:val="right"/>
              <w:rPr>
                <w:rFonts w:cs="Arial"/>
                <w:sz w:val="18"/>
                <w:szCs w:val="18"/>
              </w:rPr>
            </w:pPr>
            <w:r w:rsidRPr="001D41EA">
              <w:rPr>
                <w:rFonts w:cs="Arial"/>
                <w:sz w:val="18"/>
                <w:szCs w:val="18"/>
              </w:rPr>
              <w:t>1,565,827</w:t>
            </w:r>
          </w:p>
        </w:tc>
        <w:tc>
          <w:tcPr>
            <w:tcW w:w="1361" w:type="dxa"/>
            <w:tcBorders>
              <w:top w:val="nil"/>
              <w:left w:val="nil"/>
              <w:bottom w:val="nil"/>
              <w:right w:val="nil"/>
            </w:tcBorders>
            <w:vAlign w:val="bottom"/>
          </w:tcPr>
          <w:p w14:paraId="76DF9172" w14:textId="41314BA8" w:rsidR="00584325" w:rsidRPr="001D41EA" w:rsidRDefault="00584325" w:rsidP="001D41EA">
            <w:pPr>
              <w:spacing w:before="40" w:after="40"/>
              <w:jc w:val="right"/>
              <w:rPr>
                <w:rFonts w:cs="Arial"/>
                <w:sz w:val="18"/>
                <w:szCs w:val="18"/>
              </w:rPr>
            </w:pPr>
            <w:r w:rsidRPr="001D41EA">
              <w:rPr>
                <w:rFonts w:cs="Arial"/>
                <w:sz w:val="18"/>
                <w:szCs w:val="18"/>
              </w:rPr>
              <w:t>7,868,357</w:t>
            </w:r>
          </w:p>
        </w:tc>
        <w:tc>
          <w:tcPr>
            <w:tcW w:w="1361" w:type="dxa"/>
            <w:tcBorders>
              <w:top w:val="nil"/>
              <w:left w:val="nil"/>
              <w:bottom w:val="nil"/>
              <w:right w:val="nil"/>
            </w:tcBorders>
            <w:shd w:val="clear" w:color="auto" w:fill="auto"/>
            <w:noWrap/>
            <w:vAlign w:val="bottom"/>
          </w:tcPr>
          <w:p w14:paraId="79DBAD42" w14:textId="1B3043DA" w:rsidR="00584325" w:rsidRPr="001D41EA" w:rsidRDefault="00584325" w:rsidP="001D41EA">
            <w:pPr>
              <w:spacing w:before="40" w:after="40"/>
              <w:jc w:val="right"/>
              <w:rPr>
                <w:rFonts w:cs="Arial"/>
                <w:sz w:val="18"/>
                <w:szCs w:val="18"/>
              </w:rPr>
            </w:pPr>
            <w:r w:rsidRPr="001D41EA">
              <w:rPr>
                <w:rFonts w:cs="Arial"/>
                <w:sz w:val="18"/>
                <w:szCs w:val="18"/>
              </w:rPr>
              <w:t>4,980,761</w:t>
            </w:r>
          </w:p>
        </w:tc>
      </w:tr>
      <w:tr w:rsidR="00584325" w:rsidRPr="001D41EA" w14:paraId="0292025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792DDE8" w14:textId="77777777" w:rsidR="00584325" w:rsidRPr="001D41EA" w:rsidRDefault="00584325" w:rsidP="001D41EA">
            <w:pPr>
              <w:spacing w:before="40" w:after="40"/>
              <w:rPr>
                <w:rFonts w:cs="Arial"/>
                <w:sz w:val="18"/>
                <w:szCs w:val="18"/>
              </w:rPr>
            </w:pPr>
            <w:r w:rsidRPr="001D41EA">
              <w:rPr>
                <w:rFonts w:cs="Arial"/>
                <w:sz w:val="18"/>
                <w:szCs w:val="18"/>
              </w:rPr>
              <w:t>Corangamite S</w:t>
            </w:r>
          </w:p>
        </w:tc>
        <w:tc>
          <w:tcPr>
            <w:tcW w:w="1361" w:type="dxa"/>
            <w:tcBorders>
              <w:top w:val="nil"/>
              <w:left w:val="single" w:sz="18" w:space="0" w:color="5F497A" w:themeColor="accent4" w:themeShade="BF"/>
              <w:bottom w:val="nil"/>
              <w:right w:val="nil"/>
            </w:tcBorders>
            <w:shd w:val="clear" w:color="auto" w:fill="auto"/>
            <w:noWrap/>
            <w:vAlign w:val="bottom"/>
          </w:tcPr>
          <w:p w14:paraId="6857E29F" w14:textId="25A7B12D" w:rsidR="00584325" w:rsidRPr="001D41EA" w:rsidRDefault="00584325" w:rsidP="001D41EA">
            <w:pPr>
              <w:spacing w:before="40" w:after="40"/>
              <w:jc w:val="right"/>
              <w:rPr>
                <w:rFonts w:cs="Arial"/>
                <w:sz w:val="18"/>
                <w:szCs w:val="18"/>
              </w:rPr>
            </w:pPr>
            <w:r w:rsidRPr="001D41EA">
              <w:rPr>
                <w:rFonts w:cs="Arial"/>
                <w:sz w:val="18"/>
                <w:szCs w:val="18"/>
              </w:rPr>
              <w:t>1,387,132</w:t>
            </w:r>
          </w:p>
        </w:tc>
        <w:tc>
          <w:tcPr>
            <w:tcW w:w="1361" w:type="dxa"/>
            <w:tcBorders>
              <w:top w:val="nil"/>
              <w:left w:val="nil"/>
              <w:bottom w:val="nil"/>
              <w:right w:val="nil"/>
            </w:tcBorders>
            <w:shd w:val="clear" w:color="auto" w:fill="auto"/>
            <w:noWrap/>
            <w:vAlign w:val="bottom"/>
          </w:tcPr>
          <w:p w14:paraId="0E9DE9B2" w14:textId="2D44E0EB" w:rsidR="00584325" w:rsidRPr="001D41EA" w:rsidRDefault="00584325" w:rsidP="001D41EA">
            <w:pPr>
              <w:spacing w:before="40" w:after="40"/>
              <w:jc w:val="right"/>
              <w:rPr>
                <w:rFonts w:cs="Arial"/>
                <w:sz w:val="18"/>
                <w:szCs w:val="18"/>
              </w:rPr>
            </w:pPr>
            <w:r w:rsidRPr="001D41EA">
              <w:rPr>
                <w:rFonts w:cs="Arial"/>
                <w:sz w:val="18"/>
                <w:szCs w:val="18"/>
              </w:rPr>
              <w:t>1,687,674</w:t>
            </w:r>
          </w:p>
        </w:tc>
        <w:tc>
          <w:tcPr>
            <w:tcW w:w="1361" w:type="dxa"/>
            <w:tcBorders>
              <w:top w:val="nil"/>
              <w:left w:val="nil"/>
              <w:bottom w:val="nil"/>
              <w:right w:val="nil"/>
            </w:tcBorders>
            <w:shd w:val="clear" w:color="auto" w:fill="auto"/>
            <w:noWrap/>
            <w:vAlign w:val="bottom"/>
          </w:tcPr>
          <w:p w14:paraId="5B1B15C6" w14:textId="46755B7B" w:rsidR="00584325" w:rsidRPr="001D41EA" w:rsidRDefault="00584325" w:rsidP="001D41EA">
            <w:pPr>
              <w:spacing w:before="40" w:after="40"/>
              <w:jc w:val="right"/>
              <w:rPr>
                <w:rFonts w:cs="Arial"/>
                <w:sz w:val="18"/>
                <w:szCs w:val="18"/>
              </w:rPr>
            </w:pPr>
            <w:r w:rsidRPr="001D41EA">
              <w:rPr>
                <w:rFonts w:cs="Arial"/>
                <w:sz w:val="18"/>
                <w:szCs w:val="18"/>
              </w:rPr>
              <w:t>1,246,221</w:t>
            </w:r>
          </w:p>
        </w:tc>
        <w:tc>
          <w:tcPr>
            <w:tcW w:w="1361" w:type="dxa"/>
            <w:tcBorders>
              <w:top w:val="nil"/>
              <w:left w:val="nil"/>
              <w:bottom w:val="nil"/>
              <w:right w:val="nil"/>
            </w:tcBorders>
            <w:vAlign w:val="bottom"/>
          </w:tcPr>
          <w:p w14:paraId="391F2B0A" w14:textId="1F435BCC" w:rsidR="00584325" w:rsidRPr="001D41EA" w:rsidRDefault="00584325" w:rsidP="001D41EA">
            <w:pPr>
              <w:spacing w:before="40" w:after="40"/>
              <w:jc w:val="right"/>
              <w:rPr>
                <w:rFonts w:cs="Arial"/>
                <w:sz w:val="18"/>
                <w:szCs w:val="18"/>
              </w:rPr>
            </w:pPr>
            <w:r w:rsidRPr="001D41EA">
              <w:rPr>
                <w:rFonts w:cs="Arial"/>
                <w:sz w:val="18"/>
                <w:szCs w:val="18"/>
              </w:rPr>
              <w:t>5,118,136</w:t>
            </w:r>
          </w:p>
        </w:tc>
        <w:tc>
          <w:tcPr>
            <w:tcW w:w="1361" w:type="dxa"/>
            <w:tcBorders>
              <w:top w:val="nil"/>
              <w:left w:val="nil"/>
              <w:bottom w:val="nil"/>
              <w:right w:val="nil"/>
            </w:tcBorders>
            <w:shd w:val="clear" w:color="auto" w:fill="auto"/>
            <w:noWrap/>
            <w:vAlign w:val="bottom"/>
          </w:tcPr>
          <w:p w14:paraId="7BC2FDDD" w14:textId="762559FA" w:rsidR="00584325" w:rsidRPr="001D41EA" w:rsidRDefault="00584325" w:rsidP="001D41EA">
            <w:pPr>
              <w:spacing w:before="40" w:after="40"/>
              <w:jc w:val="right"/>
              <w:rPr>
                <w:rFonts w:cs="Arial"/>
                <w:sz w:val="18"/>
                <w:szCs w:val="18"/>
              </w:rPr>
            </w:pPr>
            <w:r w:rsidRPr="001D41EA">
              <w:rPr>
                <w:rFonts w:cs="Arial"/>
                <w:sz w:val="18"/>
                <w:szCs w:val="18"/>
              </w:rPr>
              <w:t>3,412,805</w:t>
            </w:r>
          </w:p>
        </w:tc>
      </w:tr>
      <w:tr w:rsidR="00584325" w:rsidRPr="001D41EA" w14:paraId="7FD2F27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66FC128" w14:textId="77777777" w:rsidR="00584325" w:rsidRPr="001D41EA" w:rsidRDefault="00584325" w:rsidP="001D41EA">
            <w:pPr>
              <w:spacing w:before="40" w:after="40"/>
              <w:rPr>
                <w:rFonts w:cs="Arial"/>
                <w:sz w:val="18"/>
                <w:szCs w:val="18"/>
              </w:rPr>
            </w:pPr>
            <w:r w:rsidRPr="001D41EA">
              <w:rPr>
                <w:rFonts w:cs="Arial"/>
                <w:sz w:val="18"/>
                <w:szCs w:val="18"/>
              </w:rPr>
              <w:t>Darebin C</w:t>
            </w:r>
          </w:p>
        </w:tc>
        <w:tc>
          <w:tcPr>
            <w:tcW w:w="1361" w:type="dxa"/>
            <w:tcBorders>
              <w:top w:val="nil"/>
              <w:left w:val="single" w:sz="18" w:space="0" w:color="5F497A" w:themeColor="accent4" w:themeShade="BF"/>
              <w:bottom w:val="nil"/>
              <w:right w:val="nil"/>
            </w:tcBorders>
            <w:shd w:val="clear" w:color="auto" w:fill="auto"/>
            <w:noWrap/>
            <w:vAlign w:val="bottom"/>
          </w:tcPr>
          <w:p w14:paraId="7851EC4E" w14:textId="11F9C6DB" w:rsidR="00584325" w:rsidRPr="001D41EA" w:rsidRDefault="00584325" w:rsidP="001D41EA">
            <w:pPr>
              <w:spacing w:before="40" w:after="40"/>
              <w:jc w:val="right"/>
              <w:rPr>
                <w:rFonts w:cs="Arial"/>
                <w:sz w:val="18"/>
                <w:szCs w:val="18"/>
              </w:rPr>
            </w:pPr>
            <w:r w:rsidRPr="001D41EA">
              <w:rPr>
                <w:rFonts w:cs="Arial"/>
                <w:sz w:val="18"/>
                <w:szCs w:val="18"/>
              </w:rPr>
              <w:t>9,448,304</w:t>
            </w:r>
          </w:p>
        </w:tc>
        <w:tc>
          <w:tcPr>
            <w:tcW w:w="1361" w:type="dxa"/>
            <w:tcBorders>
              <w:top w:val="nil"/>
              <w:left w:val="nil"/>
              <w:bottom w:val="nil"/>
              <w:right w:val="nil"/>
            </w:tcBorders>
            <w:shd w:val="clear" w:color="auto" w:fill="auto"/>
            <w:noWrap/>
            <w:vAlign w:val="bottom"/>
          </w:tcPr>
          <w:p w14:paraId="79E355D5" w14:textId="364E7CED" w:rsidR="00584325" w:rsidRPr="001D41EA" w:rsidRDefault="00584325" w:rsidP="001D41EA">
            <w:pPr>
              <w:spacing w:before="40" w:after="40"/>
              <w:jc w:val="right"/>
              <w:rPr>
                <w:rFonts w:cs="Arial"/>
                <w:sz w:val="18"/>
                <w:szCs w:val="18"/>
              </w:rPr>
            </w:pPr>
            <w:r w:rsidRPr="001D41EA">
              <w:rPr>
                <w:rFonts w:cs="Arial"/>
                <w:sz w:val="18"/>
                <w:szCs w:val="18"/>
              </w:rPr>
              <w:t>15,636,426</w:t>
            </w:r>
          </w:p>
        </w:tc>
        <w:tc>
          <w:tcPr>
            <w:tcW w:w="1361" w:type="dxa"/>
            <w:tcBorders>
              <w:top w:val="nil"/>
              <w:left w:val="nil"/>
              <w:bottom w:val="nil"/>
              <w:right w:val="nil"/>
            </w:tcBorders>
            <w:shd w:val="clear" w:color="auto" w:fill="auto"/>
            <w:noWrap/>
            <w:vAlign w:val="bottom"/>
          </w:tcPr>
          <w:p w14:paraId="2160C2FE" w14:textId="7C1B60DE" w:rsidR="00584325" w:rsidRPr="001D41EA" w:rsidRDefault="00584325" w:rsidP="001D41EA">
            <w:pPr>
              <w:spacing w:before="40" w:after="40"/>
              <w:jc w:val="right"/>
              <w:rPr>
                <w:rFonts w:cs="Arial"/>
                <w:sz w:val="18"/>
                <w:szCs w:val="18"/>
              </w:rPr>
            </w:pPr>
            <w:r w:rsidRPr="001D41EA">
              <w:rPr>
                <w:rFonts w:cs="Arial"/>
                <w:sz w:val="18"/>
                <w:szCs w:val="18"/>
              </w:rPr>
              <w:t>6,920,671</w:t>
            </w:r>
          </w:p>
        </w:tc>
        <w:tc>
          <w:tcPr>
            <w:tcW w:w="1361" w:type="dxa"/>
            <w:tcBorders>
              <w:top w:val="nil"/>
              <w:left w:val="nil"/>
              <w:bottom w:val="nil"/>
              <w:right w:val="nil"/>
            </w:tcBorders>
            <w:vAlign w:val="bottom"/>
          </w:tcPr>
          <w:p w14:paraId="1825526F" w14:textId="41601D82" w:rsidR="00584325" w:rsidRPr="001D41EA" w:rsidRDefault="00584325" w:rsidP="001D41EA">
            <w:pPr>
              <w:spacing w:before="40" w:after="40"/>
              <w:jc w:val="right"/>
              <w:rPr>
                <w:rFonts w:cs="Arial"/>
                <w:sz w:val="18"/>
                <w:szCs w:val="18"/>
              </w:rPr>
            </w:pPr>
            <w:r w:rsidRPr="001D41EA">
              <w:rPr>
                <w:rFonts w:cs="Arial"/>
                <w:sz w:val="18"/>
                <w:szCs w:val="18"/>
              </w:rPr>
              <w:t>44,769,795</w:t>
            </w:r>
          </w:p>
        </w:tc>
        <w:tc>
          <w:tcPr>
            <w:tcW w:w="1361" w:type="dxa"/>
            <w:tcBorders>
              <w:top w:val="nil"/>
              <w:left w:val="nil"/>
              <w:bottom w:val="nil"/>
              <w:right w:val="nil"/>
            </w:tcBorders>
            <w:shd w:val="clear" w:color="auto" w:fill="auto"/>
            <w:noWrap/>
            <w:vAlign w:val="bottom"/>
          </w:tcPr>
          <w:p w14:paraId="6AD81CBA" w14:textId="1F58DD9E" w:rsidR="00584325" w:rsidRPr="001D41EA" w:rsidRDefault="00584325" w:rsidP="001D41EA">
            <w:pPr>
              <w:spacing w:before="40" w:after="40"/>
              <w:jc w:val="right"/>
              <w:rPr>
                <w:rFonts w:cs="Arial"/>
                <w:sz w:val="18"/>
                <w:szCs w:val="18"/>
              </w:rPr>
            </w:pPr>
            <w:r w:rsidRPr="001D41EA">
              <w:rPr>
                <w:rFonts w:cs="Arial"/>
                <w:sz w:val="18"/>
                <w:szCs w:val="18"/>
              </w:rPr>
              <w:t>21,460,041</w:t>
            </w:r>
          </w:p>
        </w:tc>
      </w:tr>
      <w:tr w:rsidR="00584325" w:rsidRPr="001D41EA" w14:paraId="38AB08B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AABE863" w14:textId="77777777" w:rsidR="00584325" w:rsidRPr="001D41EA" w:rsidRDefault="00584325" w:rsidP="001D41EA">
            <w:pPr>
              <w:spacing w:before="40" w:after="40"/>
              <w:rPr>
                <w:rFonts w:cs="Arial"/>
                <w:sz w:val="18"/>
                <w:szCs w:val="18"/>
              </w:rPr>
            </w:pPr>
            <w:r w:rsidRPr="001D41EA">
              <w:rPr>
                <w:rFonts w:cs="Arial"/>
                <w:sz w:val="18"/>
                <w:szCs w:val="18"/>
              </w:rPr>
              <w:t>East Gippsland S</w:t>
            </w:r>
          </w:p>
        </w:tc>
        <w:tc>
          <w:tcPr>
            <w:tcW w:w="1361" w:type="dxa"/>
            <w:tcBorders>
              <w:top w:val="nil"/>
              <w:left w:val="single" w:sz="18" w:space="0" w:color="5F497A" w:themeColor="accent4" w:themeShade="BF"/>
              <w:bottom w:val="nil"/>
              <w:right w:val="nil"/>
            </w:tcBorders>
            <w:shd w:val="clear" w:color="auto" w:fill="auto"/>
            <w:noWrap/>
            <w:vAlign w:val="bottom"/>
          </w:tcPr>
          <w:p w14:paraId="0FFF0A3D" w14:textId="2F3AC4A0" w:rsidR="00584325" w:rsidRPr="001D41EA" w:rsidRDefault="00584325" w:rsidP="001D41EA">
            <w:pPr>
              <w:spacing w:before="40" w:after="40"/>
              <w:jc w:val="right"/>
              <w:rPr>
                <w:rFonts w:cs="Arial"/>
                <w:sz w:val="18"/>
                <w:szCs w:val="18"/>
              </w:rPr>
            </w:pPr>
            <w:r w:rsidRPr="001D41EA">
              <w:rPr>
                <w:rFonts w:cs="Arial"/>
                <w:sz w:val="18"/>
                <w:szCs w:val="18"/>
              </w:rPr>
              <w:t>4,118,793</w:t>
            </w:r>
          </w:p>
        </w:tc>
        <w:tc>
          <w:tcPr>
            <w:tcW w:w="1361" w:type="dxa"/>
            <w:tcBorders>
              <w:top w:val="nil"/>
              <w:left w:val="nil"/>
              <w:bottom w:val="nil"/>
              <w:right w:val="nil"/>
            </w:tcBorders>
            <w:shd w:val="clear" w:color="auto" w:fill="auto"/>
            <w:noWrap/>
            <w:vAlign w:val="bottom"/>
          </w:tcPr>
          <w:p w14:paraId="46388BB2" w14:textId="7C95F9E0" w:rsidR="00584325" w:rsidRPr="001D41EA" w:rsidRDefault="00584325" w:rsidP="001D41EA">
            <w:pPr>
              <w:spacing w:before="40" w:after="40"/>
              <w:jc w:val="right"/>
              <w:rPr>
                <w:rFonts w:cs="Arial"/>
                <w:sz w:val="18"/>
                <w:szCs w:val="18"/>
              </w:rPr>
            </w:pPr>
            <w:r w:rsidRPr="001D41EA">
              <w:rPr>
                <w:rFonts w:cs="Arial"/>
                <w:sz w:val="18"/>
                <w:szCs w:val="18"/>
              </w:rPr>
              <w:t>5,713,080</w:t>
            </w:r>
          </w:p>
        </w:tc>
        <w:tc>
          <w:tcPr>
            <w:tcW w:w="1361" w:type="dxa"/>
            <w:tcBorders>
              <w:top w:val="nil"/>
              <w:left w:val="nil"/>
              <w:bottom w:val="nil"/>
              <w:right w:val="nil"/>
            </w:tcBorders>
            <w:shd w:val="clear" w:color="auto" w:fill="auto"/>
            <w:noWrap/>
            <w:vAlign w:val="bottom"/>
          </w:tcPr>
          <w:p w14:paraId="0253F4B9" w14:textId="209FF8B8" w:rsidR="00584325" w:rsidRPr="001D41EA" w:rsidRDefault="00584325" w:rsidP="001D41EA">
            <w:pPr>
              <w:spacing w:before="40" w:after="40"/>
              <w:jc w:val="right"/>
              <w:rPr>
                <w:rFonts w:cs="Arial"/>
                <w:sz w:val="18"/>
                <w:szCs w:val="18"/>
              </w:rPr>
            </w:pPr>
            <w:r w:rsidRPr="001D41EA">
              <w:rPr>
                <w:rFonts w:cs="Arial"/>
                <w:sz w:val="18"/>
                <w:szCs w:val="18"/>
              </w:rPr>
              <w:t>5,580,397</w:t>
            </w:r>
          </w:p>
        </w:tc>
        <w:tc>
          <w:tcPr>
            <w:tcW w:w="1361" w:type="dxa"/>
            <w:tcBorders>
              <w:top w:val="nil"/>
              <w:left w:val="nil"/>
              <w:bottom w:val="nil"/>
              <w:right w:val="nil"/>
            </w:tcBorders>
            <w:vAlign w:val="bottom"/>
          </w:tcPr>
          <w:p w14:paraId="69E01480" w14:textId="34156583" w:rsidR="00584325" w:rsidRPr="001D41EA" w:rsidRDefault="00584325" w:rsidP="001D41EA">
            <w:pPr>
              <w:spacing w:before="40" w:after="40"/>
              <w:jc w:val="right"/>
              <w:rPr>
                <w:rFonts w:cs="Arial"/>
                <w:sz w:val="18"/>
                <w:szCs w:val="18"/>
              </w:rPr>
            </w:pPr>
            <w:r w:rsidRPr="001D41EA">
              <w:rPr>
                <w:rFonts w:cs="Arial"/>
                <w:sz w:val="18"/>
                <w:szCs w:val="18"/>
              </w:rPr>
              <w:t>17,638,104</w:t>
            </w:r>
          </w:p>
        </w:tc>
        <w:tc>
          <w:tcPr>
            <w:tcW w:w="1361" w:type="dxa"/>
            <w:tcBorders>
              <w:top w:val="nil"/>
              <w:left w:val="nil"/>
              <w:bottom w:val="nil"/>
              <w:right w:val="nil"/>
            </w:tcBorders>
            <w:shd w:val="clear" w:color="auto" w:fill="auto"/>
            <w:noWrap/>
            <w:vAlign w:val="bottom"/>
          </w:tcPr>
          <w:p w14:paraId="547F74A7" w14:textId="33E4350C" w:rsidR="00584325" w:rsidRPr="001D41EA" w:rsidRDefault="00584325" w:rsidP="001D41EA">
            <w:pPr>
              <w:spacing w:before="40" w:after="40"/>
              <w:jc w:val="right"/>
              <w:rPr>
                <w:rFonts w:cs="Arial"/>
                <w:sz w:val="18"/>
                <w:szCs w:val="18"/>
              </w:rPr>
            </w:pPr>
            <w:r w:rsidRPr="001D41EA">
              <w:rPr>
                <w:rFonts w:cs="Arial"/>
                <w:sz w:val="18"/>
                <w:szCs w:val="18"/>
              </w:rPr>
              <w:t>12,583,925</w:t>
            </w:r>
          </w:p>
        </w:tc>
      </w:tr>
      <w:tr w:rsidR="00584325" w:rsidRPr="001D41EA" w14:paraId="44C97DC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479B9A9" w14:textId="77777777" w:rsidR="00584325" w:rsidRPr="001D41EA" w:rsidRDefault="00584325" w:rsidP="001D41EA">
            <w:pPr>
              <w:spacing w:before="40" w:after="40"/>
              <w:rPr>
                <w:rFonts w:cs="Arial"/>
                <w:sz w:val="18"/>
                <w:szCs w:val="18"/>
              </w:rPr>
            </w:pPr>
            <w:r w:rsidRPr="001D41EA">
              <w:rPr>
                <w:rFonts w:cs="Arial"/>
                <w:sz w:val="18"/>
                <w:szCs w:val="18"/>
              </w:rPr>
              <w:t>Frankston C</w:t>
            </w:r>
          </w:p>
        </w:tc>
        <w:tc>
          <w:tcPr>
            <w:tcW w:w="1361" w:type="dxa"/>
            <w:tcBorders>
              <w:top w:val="nil"/>
              <w:left w:val="single" w:sz="18" w:space="0" w:color="5F497A" w:themeColor="accent4" w:themeShade="BF"/>
              <w:bottom w:val="nil"/>
              <w:right w:val="nil"/>
            </w:tcBorders>
            <w:shd w:val="clear" w:color="auto" w:fill="auto"/>
            <w:noWrap/>
            <w:vAlign w:val="bottom"/>
          </w:tcPr>
          <w:p w14:paraId="1CD43AD3" w14:textId="54D3DAC2" w:rsidR="00584325" w:rsidRPr="001D41EA" w:rsidRDefault="00584325" w:rsidP="001D41EA">
            <w:pPr>
              <w:spacing w:before="40" w:after="40"/>
              <w:jc w:val="right"/>
              <w:rPr>
                <w:rFonts w:cs="Arial"/>
                <w:sz w:val="18"/>
                <w:szCs w:val="18"/>
              </w:rPr>
            </w:pPr>
            <w:r w:rsidRPr="001D41EA">
              <w:rPr>
                <w:rFonts w:cs="Arial"/>
                <w:sz w:val="18"/>
                <w:szCs w:val="18"/>
              </w:rPr>
              <w:t>7,751,944</w:t>
            </w:r>
          </w:p>
        </w:tc>
        <w:tc>
          <w:tcPr>
            <w:tcW w:w="1361" w:type="dxa"/>
            <w:tcBorders>
              <w:top w:val="nil"/>
              <w:left w:val="nil"/>
              <w:bottom w:val="nil"/>
              <w:right w:val="nil"/>
            </w:tcBorders>
            <w:shd w:val="clear" w:color="auto" w:fill="auto"/>
            <w:noWrap/>
            <w:vAlign w:val="bottom"/>
          </w:tcPr>
          <w:p w14:paraId="14E16D7F" w14:textId="5E7C36AA" w:rsidR="00584325" w:rsidRPr="001D41EA" w:rsidRDefault="00584325" w:rsidP="001D41EA">
            <w:pPr>
              <w:spacing w:before="40" w:after="40"/>
              <w:jc w:val="right"/>
              <w:rPr>
                <w:rFonts w:cs="Arial"/>
                <w:sz w:val="18"/>
                <w:szCs w:val="18"/>
              </w:rPr>
            </w:pPr>
            <w:r w:rsidRPr="001D41EA">
              <w:rPr>
                <w:rFonts w:cs="Arial"/>
                <w:sz w:val="18"/>
                <w:szCs w:val="18"/>
              </w:rPr>
              <w:t>13,814,872</w:t>
            </w:r>
          </w:p>
        </w:tc>
        <w:tc>
          <w:tcPr>
            <w:tcW w:w="1361" w:type="dxa"/>
            <w:tcBorders>
              <w:top w:val="nil"/>
              <w:left w:val="nil"/>
              <w:bottom w:val="nil"/>
              <w:right w:val="nil"/>
            </w:tcBorders>
            <w:shd w:val="clear" w:color="auto" w:fill="auto"/>
            <w:noWrap/>
            <w:vAlign w:val="bottom"/>
          </w:tcPr>
          <w:p w14:paraId="2732677F" w14:textId="5E4A1111" w:rsidR="00584325" w:rsidRPr="001D41EA" w:rsidRDefault="00584325" w:rsidP="001D41EA">
            <w:pPr>
              <w:spacing w:before="40" w:after="40"/>
              <w:jc w:val="right"/>
              <w:rPr>
                <w:rFonts w:cs="Arial"/>
                <w:sz w:val="18"/>
                <w:szCs w:val="18"/>
              </w:rPr>
            </w:pPr>
            <w:r w:rsidRPr="001D41EA">
              <w:rPr>
                <w:rFonts w:cs="Arial"/>
                <w:sz w:val="18"/>
                <w:szCs w:val="18"/>
              </w:rPr>
              <w:t>6,080,192</w:t>
            </w:r>
          </w:p>
        </w:tc>
        <w:tc>
          <w:tcPr>
            <w:tcW w:w="1361" w:type="dxa"/>
            <w:tcBorders>
              <w:top w:val="nil"/>
              <w:left w:val="nil"/>
              <w:bottom w:val="nil"/>
              <w:right w:val="nil"/>
            </w:tcBorders>
            <w:vAlign w:val="bottom"/>
          </w:tcPr>
          <w:p w14:paraId="53B93C1E" w14:textId="5A7D95F0" w:rsidR="00584325" w:rsidRPr="001D41EA" w:rsidRDefault="00584325" w:rsidP="001D41EA">
            <w:pPr>
              <w:spacing w:before="40" w:after="40"/>
              <w:jc w:val="right"/>
              <w:rPr>
                <w:rFonts w:cs="Arial"/>
                <w:sz w:val="18"/>
                <w:szCs w:val="18"/>
              </w:rPr>
            </w:pPr>
            <w:r w:rsidRPr="001D41EA">
              <w:rPr>
                <w:rFonts w:cs="Arial"/>
                <w:sz w:val="18"/>
                <w:szCs w:val="18"/>
              </w:rPr>
              <w:t>37,685,091</w:t>
            </w:r>
          </w:p>
        </w:tc>
        <w:tc>
          <w:tcPr>
            <w:tcW w:w="1361" w:type="dxa"/>
            <w:tcBorders>
              <w:top w:val="nil"/>
              <w:left w:val="nil"/>
              <w:bottom w:val="nil"/>
              <w:right w:val="nil"/>
            </w:tcBorders>
            <w:shd w:val="clear" w:color="auto" w:fill="auto"/>
            <w:noWrap/>
            <w:vAlign w:val="bottom"/>
          </w:tcPr>
          <w:p w14:paraId="04442198" w14:textId="1EEDED15" w:rsidR="00584325" w:rsidRPr="001D41EA" w:rsidRDefault="00584325" w:rsidP="001D41EA">
            <w:pPr>
              <w:spacing w:before="40" w:after="40"/>
              <w:jc w:val="right"/>
              <w:rPr>
                <w:rFonts w:cs="Arial"/>
                <w:sz w:val="18"/>
                <w:szCs w:val="18"/>
              </w:rPr>
            </w:pPr>
            <w:r w:rsidRPr="001D41EA">
              <w:rPr>
                <w:rFonts w:cs="Arial"/>
                <w:sz w:val="18"/>
                <w:szCs w:val="18"/>
              </w:rPr>
              <w:t>18,922,726</w:t>
            </w:r>
          </w:p>
        </w:tc>
      </w:tr>
      <w:tr w:rsidR="00584325" w:rsidRPr="001D41EA" w14:paraId="3DF892E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0EA8EDD" w14:textId="77777777" w:rsidR="00584325" w:rsidRPr="001D41EA" w:rsidRDefault="00584325" w:rsidP="001D41EA">
            <w:pPr>
              <w:spacing w:before="40" w:after="40"/>
              <w:rPr>
                <w:rFonts w:cs="Arial"/>
                <w:sz w:val="18"/>
                <w:szCs w:val="18"/>
              </w:rPr>
            </w:pPr>
            <w:r w:rsidRPr="001D41EA">
              <w:rPr>
                <w:rFonts w:cs="Arial"/>
                <w:sz w:val="18"/>
                <w:szCs w:val="18"/>
              </w:rPr>
              <w:t>Gannawarra S</w:t>
            </w:r>
          </w:p>
        </w:tc>
        <w:tc>
          <w:tcPr>
            <w:tcW w:w="1361" w:type="dxa"/>
            <w:tcBorders>
              <w:top w:val="nil"/>
              <w:left w:val="single" w:sz="18" w:space="0" w:color="5F497A" w:themeColor="accent4" w:themeShade="BF"/>
              <w:bottom w:val="nil"/>
              <w:right w:val="nil"/>
            </w:tcBorders>
            <w:shd w:val="clear" w:color="auto" w:fill="auto"/>
            <w:noWrap/>
            <w:vAlign w:val="bottom"/>
          </w:tcPr>
          <w:p w14:paraId="417772C7" w14:textId="28AD10C1" w:rsidR="00584325" w:rsidRPr="001D41EA" w:rsidRDefault="00584325" w:rsidP="001D41EA">
            <w:pPr>
              <w:spacing w:before="40" w:after="40"/>
              <w:jc w:val="right"/>
              <w:rPr>
                <w:rFonts w:cs="Arial"/>
                <w:sz w:val="18"/>
                <w:szCs w:val="18"/>
              </w:rPr>
            </w:pPr>
            <w:r w:rsidRPr="001D41EA">
              <w:rPr>
                <w:rFonts w:cs="Arial"/>
                <w:sz w:val="18"/>
                <w:szCs w:val="18"/>
              </w:rPr>
              <w:t>1,433,289</w:t>
            </w:r>
          </w:p>
        </w:tc>
        <w:tc>
          <w:tcPr>
            <w:tcW w:w="1361" w:type="dxa"/>
            <w:tcBorders>
              <w:top w:val="nil"/>
              <w:left w:val="nil"/>
              <w:bottom w:val="nil"/>
              <w:right w:val="nil"/>
            </w:tcBorders>
            <w:shd w:val="clear" w:color="auto" w:fill="auto"/>
            <w:noWrap/>
            <w:vAlign w:val="bottom"/>
          </w:tcPr>
          <w:p w14:paraId="1E7B0281" w14:textId="12687297" w:rsidR="00584325" w:rsidRPr="001D41EA" w:rsidRDefault="00584325" w:rsidP="001D41EA">
            <w:pPr>
              <w:spacing w:before="40" w:after="40"/>
              <w:jc w:val="right"/>
              <w:rPr>
                <w:rFonts w:cs="Arial"/>
                <w:sz w:val="18"/>
                <w:szCs w:val="18"/>
              </w:rPr>
            </w:pPr>
            <w:r w:rsidRPr="001D41EA">
              <w:rPr>
                <w:rFonts w:cs="Arial"/>
                <w:sz w:val="18"/>
                <w:szCs w:val="18"/>
              </w:rPr>
              <w:t>1,109,900</w:t>
            </w:r>
          </w:p>
        </w:tc>
        <w:tc>
          <w:tcPr>
            <w:tcW w:w="1361" w:type="dxa"/>
            <w:tcBorders>
              <w:top w:val="nil"/>
              <w:left w:val="nil"/>
              <w:bottom w:val="nil"/>
              <w:right w:val="nil"/>
            </w:tcBorders>
            <w:shd w:val="clear" w:color="auto" w:fill="auto"/>
            <w:noWrap/>
            <w:vAlign w:val="bottom"/>
          </w:tcPr>
          <w:p w14:paraId="701BD55E" w14:textId="4C00C05B" w:rsidR="00584325" w:rsidRPr="001D41EA" w:rsidRDefault="00584325" w:rsidP="001D41EA">
            <w:pPr>
              <w:spacing w:before="40" w:after="40"/>
              <w:jc w:val="right"/>
              <w:rPr>
                <w:rFonts w:cs="Arial"/>
                <w:sz w:val="18"/>
                <w:szCs w:val="18"/>
              </w:rPr>
            </w:pPr>
            <w:r w:rsidRPr="001D41EA">
              <w:rPr>
                <w:rFonts w:cs="Arial"/>
                <w:sz w:val="18"/>
                <w:szCs w:val="18"/>
              </w:rPr>
              <w:t>1,003,858</w:t>
            </w:r>
          </w:p>
        </w:tc>
        <w:tc>
          <w:tcPr>
            <w:tcW w:w="1361" w:type="dxa"/>
            <w:tcBorders>
              <w:top w:val="nil"/>
              <w:left w:val="nil"/>
              <w:bottom w:val="nil"/>
              <w:right w:val="nil"/>
            </w:tcBorders>
            <w:vAlign w:val="bottom"/>
          </w:tcPr>
          <w:p w14:paraId="76D5746D" w14:textId="53E0310F" w:rsidR="00584325" w:rsidRPr="001D41EA" w:rsidRDefault="00584325" w:rsidP="001D41EA">
            <w:pPr>
              <w:spacing w:before="40" w:after="40"/>
              <w:jc w:val="right"/>
              <w:rPr>
                <w:rFonts w:cs="Arial"/>
                <w:sz w:val="18"/>
                <w:szCs w:val="18"/>
              </w:rPr>
            </w:pPr>
            <w:r w:rsidRPr="001D41EA">
              <w:rPr>
                <w:rFonts w:cs="Arial"/>
                <w:sz w:val="18"/>
                <w:szCs w:val="18"/>
              </w:rPr>
              <w:t>3,054,736</w:t>
            </w:r>
          </w:p>
        </w:tc>
        <w:tc>
          <w:tcPr>
            <w:tcW w:w="1361" w:type="dxa"/>
            <w:tcBorders>
              <w:top w:val="nil"/>
              <w:left w:val="nil"/>
              <w:bottom w:val="nil"/>
              <w:right w:val="nil"/>
            </w:tcBorders>
            <w:shd w:val="clear" w:color="auto" w:fill="auto"/>
            <w:noWrap/>
            <w:vAlign w:val="bottom"/>
          </w:tcPr>
          <w:p w14:paraId="75E06E68" w14:textId="5AC6E9A9" w:rsidR="00584325" w:rsidRPr="001D41EA" w:rsidRDefault="00584325" w:rsidP="001D41EA">
            <w:pPr>
              <w:spacing w:before="40" w:after="40"/>
              <w:jc w:val="right"/>
              <w:rPr>
                <w:rFonts w:cs="Arial"/>
                <w:sz w:val="18"/>
                <w:szCs w:val="18"/>
              </w:rPr>
            </w:pPr>
            <w:r w:rsidRPr="001D41EA">
              <w:rPr>
                <w:rFonts w:cs="Arial"/>
                <w:sz w:val="18"/>
                <w:szCs w:val="18"/>
              </w:rPr>
              <w:t>2,222,377</w:t>
            </w:r>
          </w:p>
        </w:tc>
      </w:tr>
      <w:tr w:rsidR="00584325" w:rsidRPr="001D41EA" w14:paraId="7489A26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4278866" w14:textId="77777777" w:rsidR="00584325" w:rsidRPr="001D41EA" w:rsidRDefault="00584325" w:rsidP="001D41EA">
            <w:pPr>
              <w:spacing w:before="40" w:after="40"/>
              <w:rPr>
                <w:rFonts w:cs="Arial"/>
                <w:sz w:val="18"/>
                <w:szCs w:val="18"/>
              </w:rPr>
            </w:pPr>
            <w:r w:rsidRPr="001D41EA">
              <w:rPr>
                <w:rFonts w:cs="Arial"/>
                <w:sz w:val="18"/>
                <w:szCs w:val="18"/>
              </w:rPr>
              <w:t>Glen Eira C</w:t>
            </w:r>
          </w:p>
        </w:tc>
        <w:tc>
          <w:tcPr>
            <w:tcW w:w="1361" w:type="dxa"/>
            <w:tcBorders>
              <w:top w:val="nil"/>
              <w:left w:val="single" w:sz="18" w:space="0" w:color="5F497A" w:themeColor="accent4" w:themeShade="BF"/>
              <w:bottom w:val="nil"/>
              <w:right w:val="nil"/>
            </w:tcBorders>
            <w:shd w:val="clear" w:color="auto" w:fill="auto"/>
            <w:noWrap/>
            <w:vAlign w:val="bottom"/>
          </w:tcPr>
          <w:p w14:paraId="7BA86F8B" w14:textId="1BFED0BD" w:rsidR="00584325" w:rsidRPr="001D41EA" w:rsidRDefault="00584325" w:rsidP="001D41EA">
            <w:pPr>
              <w:spacing w:before="40" w:after="40"/>
              <w:jc w:val="right"/>
              <w:rPr>
                <w:rFonts w:cs="Arial"/>
                <w:sz w:val="18"/>
                <w:szCs w:val="18"/>
              </w:rPr>
            </w:pPr>
            <w:r w:rsidRPr="001D41EA">
              <w:rPr>
                <w:rFonts w:cs="Arial"/>
                <w:sz w:val="18"/>
                <w:szCs w:val="18"/>
              </w:rPr>
              <w:t>8,535,735</w:t>
            </w:r>
          </w:p>
        </w:tc>
        <w:tc>
          <w:tcPr>
            <w:tcW w:w="1361" w:type="dxa"/>
            <w:tcBorders>
              <w:top w:val="nil"/>
              <w:left w:val="nil"/>
              <w:bottom w:val="nil"/>
              <w:right w:val="nil"/>
            </w:tcBorders>
            <w:shd w:val="clear" w:color="auto" w:fill="auto"/>
            <w:noWrap/>
            <w:vAlign w:val="bottom"/>
          </w:tcPr>
          <w:p w14:paraId="07CC1412" w14:textId="199A9C0F" w:rsidR="00584325" w:rsidRPr="001D41EA" w:rsidRDefault="00584325" w:rsidP="001D41EA">
            <w:pPr>
              <w:spacing w:before="40" w:after="40"/>
              <w:jc w:val="right"/>
              <w:rPr>
                <w:rFonts w:cs="Arial"/>
                <w:sz w:val="18"/>
                <w:szCs w:val="18"/>
              </w:rPr>
            </w:pPr>
            <w:r w:rsidRPr="001D41EA">
              <w:rPr>
                <w:rFonts w:cs="Arial"/>
                <w:sz w:val="18"/>
                <w:szCs w:val="18"/>
              </w:rPr>
              <w:t>13,386,286</w:t>
            </w:r>
          </w:p>
        </w:tc>
        <w:tc>
          <w:tcPr>
            <w:tcW w:w="1361" w:type="dxa"/>
            <w:tcBorders>
              <w:top w:val="nil"/>
              <w:left w:val="nil"/>
              <w:bottom w:val="nil"/>
              <w:right w:val="nil"/>
            </w:tcBorders>
            <w:shd w:val="clear" w:color="auto" w:fill="auto"/>
            <w:noWrap/>
            <w:vAlign w:val="bottom"/>
          </w:tcPr>
          <w:p w14:paraId="3B2AB1A8" w14:textId="5B61A42B" w:rsidR="00584325" w:rsidRPr="001D41EA" w:rsidRDefault="00584325" w:rsidP="001D41EA">
            <w:pPr>
              <w:spacing w:before="40" w:after="40"/>
              <w:jc w:val="right"/>
              <w:rPr>
                <w:rFonts w:cs="Arial"/>
                <w:sz w:val="18"/>
                <w:szCs w:val="18"/>
              </w:rPr>
            </w:pPr>
            <w:r w:rsidRPr="001D41EA">
              <w:rPr>
                <w:rFonts w:cs="Arial"/>
                <w:sz w:val="18"/>
                <w:szCs w:val="18"/>
              </w:rPr>
              <w:t>4,681,577</w:t>
            </w:r>
          </w:p>
        </w:tc>
        <w:tc>
          <w:tcPr>
            <w:tcW w:w="1361" w:type="dxa"/>
            <w:tcBorders>
              <w:top w:val="nil"/>
              <w:left w:val="nil"/>
              <w:bottom w:val="nil"/>
              <w:right w:val="nil"/>
            </w:tcBorders>
            <w:vAlign w:val="bottom"/>
          </w:tcPr>
          <w:p w14:paraId="6FEE5FEE" w14:textId="4BE3F2B7" w:rsidR="00584325" w:rsidRPr="001D41EA" w:rsidRDefault="00584325" w:rsidP="001D41EA">
            <w:pPr>
              <w:spacing w:before="40" w:after="40"/>
              <w:jc w:val="right"/>
              <w:rPr>
                <w:rFonts w:cs="Arial"/>
                <w:sz w:val="18"/>
                <w:szCs w:val="18"/>
              </w:rPr>
            </w:pPr>
            <w:r w:rsidRPr="001D41EA">
              <w:rPr>
                <w:rFonts w:cs="Arial"/>
                <w:sz w:val="18"/>
                <w:szCs w:val="18"/>
              </w:rPr>
              <w:t>41,342,987</w:t>
            </w:r>
          </w:p>
        </w:tc>
        <w:tc>
          <w:tcPr>
            <w:tcW w:w="1361" w:type="dxa"/>
            <w:tcBorders>
              <w:top w:val="nil"/>
              <w:left w:val="nil"/>
              <w:bottom w:val="nil"/>
              <w:right w:val="nil"/>
            </w:tcBorders>
            <w:shd w:val="clear" w:color="auto" w:fill="auto"/>
            <w:noWrap/>
            <w:vAlign w:val="bottom"/>
          </w:tcPr>
          <w:p w14:paraId="26E32EDD" w14:textId="02E3424E" w:rsidR="00584325" w:rsidRPr="001D41EA" w:rsidRDefault="00584325" w:rsidP="001D41EA">
            <w:pPr>
              <w:spacing w:before="40" w:after="40"/>
              <w:jc w:val="right"/>
              <w:rPr>
                <w:rFonts w:cs="Arial"/>
                <w:sz w:val="18"/>
                <w:szCs w:val="18"/>
              </w:rPr>
            </w:pPr>
            <w:r w:rsidRPr="001D41EA">
              <w:rPr>
                <w:rFonts w:cs="Arial"/>
                <w:sz w:val="18"/>
                <w:szCs w:val="18"/>
              </w:rPr>
              <w:t>20,037,247</w:t>
            </w:r>
          </w:p>
        </w:tc>
      </w:tr>
      <w:tr w:rsidR="00584325" w:rsidRPr="001D41EA" w14:paraId="69367BD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F296778" w14:textId="77777777" w:rsidR="00584325" w:rsidRPr="001D41EA" w:rsidRDefault="00584325" w:rsidP="001D41EA">
            <w:pPr>
              <w:spacing w:before="40" w:after="40"/>
              <w:rPr>
                <w:rFonts w:cs="Arial"/>
                <w:sz w:val="18"/>
                <w:szCs w:val="18"/>
              </w:rPr>
            </w:pPr>
            <w:r w:rsidRPr="001D41EA">
              <w:rPr>
                <w:rFonts w:cs="Arial"/>
                <w:sz w:val="18"/>
                <w:szCs w:val="18"/>
              </w:rPr>
              <w:t>Glenelg S</w:t>
            </w:r>
          </w:p>
        </w:tc>
        <w:tc>
          <w:tcPr>
            <w:tcW w:w="1361" w:type="dxa"/>
            <w:tcBorders>
              <w:top w:val="nil"/>
              <w:left w:val="single" w:sz="18" w:space="0" w:color="5F497A" w:themeColor="accent4" w:themeShade="BF"/>
              <w:bottom w:val="nil"/>
              <w:right w:val="nil"/>
            </w:tcBorders>
            <w:shd w:val="clear" w:color="auto" w:fill="auto"/>
            <w:noWrap/>
            <w:vAlign w:val="bottom"/>
          </w:tcPr>
          <w:p w14:paraId="52735D34" w14:textId="63736C6C" w:rsidR="00584325" w:rsidRPr="001D41EA" w:rsidRDefault="00584325" w:rsidP="001D41EA">
            <w:pPr>
              <w:spacing w:before="40" w:after="40"/>
              <w:jc w:val="right"/>
              <w:rPr>
                <w:rFonts w:cs="Arial"/>
                <w:sz w:val="18"/>
                <w:szCs w:val="18"/>
              </w:rPr>
            </w:pPr>
            <w:r w:rsidRPr="001D41EA">
              <w:rPr>
                <w:rFonts w:cs="Arial"/>
                <w:sz w:val="18"/>
                <w:szCs w:val="18"/>
              </w:rPr>
              <w:t>1,481,262</w:t>
            </w:r>
          </w:p>
        </w:tc>
        <w:tc>
          <w:tcPr>
            <w:tcW w:w="1361" w:type="dxa"/>
            <w:tcBorders>
              <w:top w:val="nil"/>
              <w:left w:val="nil"/>
              <w:bottom w:val="nil"/>
              <w:right w:val="nil"/>
            </w:tcBorders>
            <w:shd w:val="clear" w:color="auto" w:fill="auto"/>
            <w:noWrap/>
            <w:vAlign w:val="bottom"/>
          </w:tcPr>
          <w:p w14:paraId="2ECB8256" w14:textId="5E134D04" w:rsidR="00584325" w:rsidRPr="001D41EA" w:rsidRDefault="00584325" w:rsidP="001D41EA">
            <w:pPr>
              <w:spacing w:before="40" w:after="40"/>
              <w:jc w:val="right"/>
              <w:rPr>
                <w:rFonts w:cs="Arial"/>
                <w:sz w:val="18"/>
                <w:szCs w:val="18"/>
              </w:rPr>
            </w:pPr>
            <w:r w:rsidRPr="001D41EA">
              <w:rPr>
                <w:rFonts w:cs="Arial"/>
                <w:sz w:val="18"/>
                <w:szCs w:val="18"/>
              </w:rPr>
              <w:t>2,126,723</w:t>
            </w:r>
          </w:p>
        </w:tc>
        <w:tc>
          <w:tcPr>
            <w:tcW w:w="1361" w:type="dxa"/>
            <w:tcBorders>
              <w:top w:val="nil"/>
              <w:left w:val="nil"/>
              <w:bottom w:val="nil"/>
              <w:right w:val="nil"/>
            </w:tcBorders>
            <w:shd w:val="clear" w:color="auto" w:fill="auto"/>
            <w:noWrap/>
            <w:vAlign w:val="bottom"/>
          </w:tcPr>
          <w:p w14:paraId="5053ED0A" w14:textId="257E84DF" w:rsidR="00584325" w:rsidRPr="001D41EA" w:rsidRDefault="00584325" w:rsidP="001D41EA">
            <w:pPr>
              <w:spacing w:before="40" w:after="40"/>
              <w:jc w:val="right"/>
              <w:rPr>
                <w:rFonts w:cs="Arial"/>
                <w:sz w:val="18"/>
                <w:szCs w:val="18"/>
              </w:rPr>
            </w:pPr>
            <w:r w:rsidRPr="001D41EA">
              <w:rPr>
                <w:rFonts w:cs="Arial"/>
                <w:sz w:val="18"/>
                <w:szCs w:val="18"/>
              </w:rPr>
              <w:t>1,704,041</w:t>
            </w:r>
          </w:p>
        </w:tc>
        <w:tc>
          <w:tcPr>
            <w:tcW w:w="1361" w:type="dxa"/>
            <w:tcBorders>
              <w:top w:val="nil"/>
              <w:left w:val="nil"/>
              <w:bottom w:val="nil"/>
              <w:right w:val="nil"/>
            </w:tcBorders>
            <w:vAlign w:val="bottom"/>
          </w:tcPr>
          <w:p w14:paraId="3EB983A1" w14:textId="01BC2081" w:rsidR="00584325" w:rsidRPr="001D41EA" w:rsidRDefault="00584325" w:rsidP="001D41EA">
            <w:pPr>
              <w:spacing w:before="40" w:after="40"/>
              <w:jc w:val="right"/>
              <w:rPr>
                <w:rFonts w:cs="Arial"/>
                <w:sz w:val="18"/>
                <w:szCs w:val="18"/>
              </w:rPr>
            </w:pPr>
            <w:r w:rsidRPr="001D41EA">
              <w:rPr>
                <w:rFonts w:cs="Arial"/>
                <w:sz w:val="18"/>
                <w:szCs w:val="18"/>
              </w:rPr>
              <w:t>6,220,468</w:t>
            </w:r>
          </w:p>
        </w:tc>
        <w:tc>
          <w:tcPr>
            <w:tcW w:w="1361" w:type="dxa"/>
            <w:tcBorders>
              <w:top w:val="nil"/>
              <w:left w:val="nil"/>
              <w:bottom w:val="nil"/>
              <w:right w:val="nil"/>
            </w:tcBorders>
            <w:shd w:val="clear" w:color="auto" w:fill="auto"/>
            <w:noWrap/>
            <w:vAlign w:val="bottom"/>
          </w:tcPr>
          <w:p w14:paraId="6DFBA003" w14:textId="29379EE6" w:rsidR="00584325" w:rsidRPr="001D41EA" w:rsidRDefault="00584325" w:rsidP="001D41EA">
            <w:pPr>
              <w:spacing w:before="40" w:after="40"/>
              <w:jc w:val="right"/>
              <w:rPr>
                <w:rFonts w:cs="Arial"/>
                <w:sz w:val="18"/>
                <w:szCs w:val="18"/>
              </w:rPr>
            </w:pPr>
            <w:r w:rsidRPr="001D41EA">
              <w:rPr>
                <w:rFonts w:cs="Arial"/>
                <w:sz w:val="18"/>
                <w:szCs w:val="18"/>
              </w:rPr>
              <w:t>4,287,745</w:t>
            </w:r>
          </w:p>
        </w:tc>
      </w:tr>
      <w:tr w:rsidR="00584325" w:rsidRPr="001D41EA" w14:paraId="2B605AC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A39BE8B" w14:textId="77777777" w:rsidR="00584325" w:rsidRPr="001D41EA" w:rsidRDefault="00584325" w:rsidP="001D41EA">
            <w:pPr>
              <w:spacing w:before="40" w:after="40"/>
              <w:rPr>
                <w:rFonts w:cs="Arial"/>
                <w:sz w:val="18"/>
                <w:szCs w:val="18"/>
              </w:rPr>
            </w:pPr>
            <w:r w:rsidRPr="001D41EA">
              <w:rPr>
                <w:rFonts w:cs="Arial"/>
                <w:sz w:val="18"/>
                <w:szCs w:val="18"/>
              </w:rPr>
              <w:t>Golden Plains S</w:t>
            </w:r>
          </w:p>
        </w:tc>
        <w:tc>
          <w:tcPr>
            <w:tcW w:w="1361" w:type="dxa"/>
            <w:tcBorders>
              <w:top w:val="nil"/>
              <w:left w:val="single" w:sz="18" w:space="0" w:color="5F497A" w:themeColor="accent4" w:themeShade="BF"/>
              <w:bottom w:val="nil"/>
              <w:right w:val="nil"/>
            </w:tcBorders>
            <w:shd w:val="clear" w:color="auto" w:fill="auto"/>
            <w:noWrap/>
            <w:vAlign w:val="bottom"/>
          </w:tcPr>
          <w:p w14:paraId="444FD9B9" w14:textId="55D7B393" w:rsidR="00584325" w:rsidRPr="001D41EA" w:rsidRDefault="00584325" w:rsidP="001D41EA">
            <w:pPr>
              <w:spacing w:before="40" w:after="40"/>
              <w:jc w:val="right"/>
              <w:rPr>
                <w:rFonts w:cs="Arial"/>
                <w:sz w:val="18"/>
                <w:szCs w:val="18"/>
              </w:rPr>
            </w:pPr>
            <w:r w:rsidRPr="001D41EA">
              <w:rPr>
                <w:rFonts w:cs="Arial"/>
                <w:sz w:val="18"/>
                <w:szCs w:val="18"/>
              </w:rPr>
              <w:t>1,510,791</w:t>
            </w:r>
          </w:p>
        </w:tc>
        <w:tc>
          <w:tcPr>
            <w:tcW w:w="1361" w:type="dxa"/>
            <w:tcBorders>
              <w:top w:val="nil"/>
              <w:left w:val="nil"/>
              <w:bottom w:val="nil"/>
              <w:right w:val="nil"/>
            </w:tcBorders>
            <w:shd w:val="clear" w:color="auto" w:fill="auto"/>
            <w:noWrap/>
            <w:vAlign w:val="bottom"/>
          </w:tcPr>
          <w:p w14:paraId="46607861" w14:textId="4F10ECF6" w:rsidR="00584325" w:rsidRPr="001D41EA" w:rsidRDefault="00584325" w:rsidP="001D41EA">
            <w:pPr>
              <w:spacing w:before="40" w:after="40"/>
              <w:jc w:val="right"/>
              <w:rPr>
                <w:rFonts w:cs="Arial"/>
                <w:sz w:val="18"/>
                <w:szCs w:val="18"/>
              </w:rPr>
            </w:pPr>
            <w:r w:rsidRPr="001D41EA">
              <w:rPr>
                <w:rFonts w:cs="Arial"/>
                <w:sz w:val="18"/>
                <w:szCs w:val="18"/>
              </w:rPr>
              <w:t>2,451,004</w:t>
            </w:r>
          </w:p>
        </w:tc>
        <w:tc>
          <w:tcPr>
            <w:tcW w:w="1361" w:type="dxa"/>
            <w:tcBorders>
              <w:top w:val="nil"/>
              <w:left w:val="nil"/>
              <w:bottom w:val="nil"/>
              <w:right w:val="nil"/>
            </w:tcBorders>
            <w:shd w:val="clear" w:color="auto" w:fill="auto"/>
            <w:noWrap/>
            <w:vAlign w:val="bottom"/>
          </w:tcPr>
          <w:p w14:paraId="7DF709D6" w14:textId="575F7C0C" w:rsidR="00584325" w:rsidRPr="001D41EA" w:rsidRDefault="00584325" w:rsidP="001D41EA">
            <w:pPr>
              <w:spacing w:before="40" w:after="40"/>
              <w:jc w:val="right"/>
              <w:rPr>
                <w:rFonts w:cs="Arial"/>
                <w:sz w:val="18"/>
                <w:szCs w:val="18"/>
              </w:rPr>
            </w:pPr>
            <w:r w:rsidRPr="001D41EA">
              <w:rPr>
                <w:rFonts w:cs="Arial"/>
                <w:sz w:val="18"/>
                <w:szCs w:val="18"/>
              </w:rPr>
              <w:t>1,027,720</w:t>
            </w:r>
          </w:p>
        </w:tc>
        <w:tc>
          <w:tcPr>
            <w:tcW w:w="1361" w:type="dxa"/>
            <w:tcBorders>
              <w:top w:val="nil"/>
              <w:left w:val="nil"/>
              <w:bottom w:val="nil"/>
              <w:right w:val="nil"/>
            </w:tcBorders>
            <w:vAlign w:val="bottom"/>
          </w:tcPr>
          <w:p w14:paraId="09414677" w14:textId="0526BAAB" w:rsidR="00584325" w:rsidRPr="001D41EA" w:rsidRDefault="00584325" w:rsidP="001D41EA">
            <w:pPr>
              <w:spacing w:before="40" w:after="40"/>
              <w:jc w:val="right"/>
              <w:rPr>
                <w:rFonts w:cs="Arial"/>
                <w:sz w:val="18"/>
                <w:szCs w:val="18"/>
              </w:rPr>
            </w:pPr>
            <w:r w:rsidRPr="001D41EA">
              <w:rPr>
                <w:rFonts w:cs="Arial"/>
                <w:sz w:val="18"/>
                <w:szCs w:val="18"/>
              </w:rPr>
              <w:t>6,005,390</w:t>
            </w:r>
          </w:p>
        </w:tc>
        <w:tc>
          <w:tcPr>
            <w:tcW w:w="1361" w:type="dxa"/>
            <w:tcBorders>
              <w:top w:val="nil"/>
              <w:left w:val="nil"/>
              <w:bottom w:val="nil"/>
              <w:right w:val="nil"/>
            </w:tcBorders>
            <w:shd w:val="clear" w:color="auto" w:fill="auto"/>
            <w:noWrap/>
            <w:vAlign w:val="bottom"/>
          </w:tcPr>
          <w:p w14:paraId="2838F01D" w14:textId="39D3F196" w:rsidR="00584325" w:rsidRPr="001D41EA" w:rsidRDefault="00584325" w:rsidP="001D41EA">
            <w:pPr>
              <w:spacing w:before="40" w:after="40"/>
              <w:jc w:val="right"/>
              <w:rPr>
                <w:rFonts w:cs="Arial"/>
                <w:sz w:val="18"/>
                <w:szCs w:val="18"/>
              </w:rPr>
            </w:pPr>
            <w:r w:rsidRPr="001D41EA">
              <w:rPr>
                <w:rFonts w:cs="Arial"/>
                <w:sz w:val="18"/>
                <w:szCs w:val="18"/>
              </w:rPr>
              <w:t>3,596,174</w:t>
            </w:r>
          </w:p>
        </w:tc>
      </w:tr>
      <w:tr w:rsidR="00584325" w:rsidRPr="001D41EA" w14:paraId="1A04A60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A887B9C" w14:textId="77777777" w:rsidR="00584325" w:rsidRPr="001D41EA" w:rsidRDefault="00584325" w:rsidP="001D41EA">
            <w:pPr>
              <w:spacing w:before="40" w:after="40"/>
              <w:rPr>
                <w:rFonts w:cs="Arial"/>
                <w:sz w:val="18"/>
                <w:szCs w:val="18"/>
              </w:rPr>
            </w:pPr>
            <w:r w:rsidRPr="001D41EA">
              <w:rPr>
                <w:rFonts w:cs="Arial"/>
                <w:sz w:val="18"/>
                <w:szCs w:val="18"/>
              </w:rPr>
              <w:t>Greater Bendigo C</w:t>
            </w:r>
          </w:p>
        </w:tc>
        <w:tc>
          <w:tcPr>
            <w:tcW w:w="1361" w:type="dxa"/>
            <w:tcBorders>
              <w:top w:val="nil"/>
              <w:left w:val="single" w:sz="18" w:space="0" w:color="5F497A" w:themeColor="accent4" w:themeShade="BF"/>
              <w:bottom w:val="nil"/>
              <w:right w:val="nil"/>
            </w:tcBorders>
            <w:shd w:val="clear" w:color="auto" w:fill="auto"/>
            <w:noWrap/>
            <w:vAlign w:val="bottom"/>
          </w:tcPr>
          <w:p w14:paraId="50FAE34B" w14:textId="12E7DB91" w:rsidR="00584325" w:rsidRPr="001D41EA" w:rsidRDefault="00584325" w:rsidP="001D41EA">
            <w:pPr>
              <w:spacing w:before="40" w:after="40"/>
              <w:jc w:val="right"/>
              <w:rPr>
                <w:rFonts w:cs="Arial"/>
                <w:sz w:val="18"/>
                <w:szCs w:val="18"/>
              </w:rPr>
            </w:pPr>
            <w:r w:rsidRPr="001D41EA">
              <w:rPr>
                <w:rFonts w:cs="Arial"/>
                <w:sz w:val="18"/>
                <w:szCs w:val="18"/>
              </w:rPr>
              <w:t>6,874,813</w:t>
            </w:r>
          </w:p>
        </w:tc>
        <w:tc>
          <w:tcPr>
            <w:tcW w:w="1361" w:type="dxa"/>
            <w:tcBorders>
              <w:top w:val="nil"/>
              <w:left w:val="nil"/>
              <w:bottom w:val="nil"/>
              <w:right w:val="nil"/>
            </w:tcBorders>
            <w:shd w:val="clear" w:color="auto" w:fill="auto"/>
            <w:noWrap/>
            <w:vAlign w:val="bottom"/>
          </w:tcPr>
          <w:p w14:paraId="43EE82FF" w14:textId="63DEF582" w:rsidR="00584325" w:rsidRPr="001D41EA" w:rsidRDefault="00584325" w:rsidP="001D41EA">
            <w:pPr>
              <w:spacing w:before="40" w:after="40"/>
              <w:jc w:val="right"/>
              <w:rPr>
                <w:rFonts w:cs="Arial"/>
                <w:sz w:val="18"/>
                <w:szCs w:val="18"/>
              </w:rPr>
            </w:pPr>
            <w:r w:rsidRPr="001D41EA">
              <w:rPr>
                <w:rFonts w:cs="Arial"/>
                <w:sz w:val="18"/>
                <w:szCs w:val="18"/>
              </w:rPr>
              <w:t>11,950,501</w:t>
            </w:r>
          </w:p>
        </w:tc>
        <w:tc>
          <w:tcPr>
            <w:tcW w:w="1361" w:type="dxa"/>
            <w:tcBorders>
              <w:top w:val="nil"/>
              <w:left w:val="nil"/>
              <w:bottom w:val="nil"/>
              <w:right w:val="nil"/>
            </w:tcBorders>
            <w:shd w:val="clear" w:color="auto" w:fill="auto"/>
            <w:noWrap/>
            <w:vAlign w:val="bottom"/>
          </w:tcPr>
          <w:p w14:paraId="302446CE" w14:textId="7B7D6007" w:rsidR="00584325" w:rsidRPr="001D41EA" w:rsidRDefault="00584325" w:rsidP="001D41EA">
            <w:pPr>
              <w:spacing w:before="40" w:after="40"/>
              <w:jc w:val="right"/>
              <w:rPr>
                <w:rFonts w:cs="Arial"/>
                <w:sz w:val="18"/>
                <w:szCs w:val="18"/>
              </w:rPr>
            </w:pPr>
            <w:r w:rsidRPr="001D41EA">
              <w:rPr>
                <w:rFonts w:cs="Arial"/>
                <w:sz w:val="18"/>
                <w:szCs w:val="18"/>
              </w:rPr>
              <w:t>6,271,421</w:t>
            </w:r>
          </w:p>
        </w:tc>
        <w:tc>
          <w:tcPr>
            <w:tcW w:w="1361" w:type="dxa"/>
            <w:tcBorders>
              <w:top w:val="nil"/>
              <w:left w:val="nil"/>
              <w:bottom w:val="nil"/>
              <w:right w:val="nil"/>
            </w:tcBorders>
            <w:vAlign w:val="bottom"/>
          </w:tcPr>
          <w:p w14:paraId="7ABD2253" w14:textId="13D9EAA6" w:rsidR="00584325" w:rsidRPr="001D41EA" w:rsidRDefault="00584325" w:rsidP="001D41EA">
            <w:pPr>
              <w:spacing w:before="40" w:after="40"/>
              <w:jc w:val="right"/>
              <w:rPr>
                <w:rFonts w:cs="Arial"/>
                <w:sz w:val="18"/>
                <w:szCs w:val="18"/>
              </w:rPr>
            </w:pPr>
            <w:r w:rsidRPr="001D41EA">
              <w:rPr>
                <w:rFonts w:cs="Arial"/>
                <w:sz w:val="18"/>
                <w:szCs w:val="18"/>
              </w:rPr>
              <w:t>38,203,770</w:t>
            </w:r>
          </w:p>
        </w:tc>
        <w:tc>
          <w:tcPr>
            <w:tcW w:w="1361" w:type="dxa"/>
            <w:tcBorders>
              <w:top w:val="nil"/>
              <w:left w:val="nil"/>
              <w:bottom w:val="nil"/>
              <w:right w:val="nil"/>
            </w:tcBorders>
            <w:shd w:val="clear" w:color="auto" w:fill="auto"/>
            <w:noWrap/>
            <w:vAlign w:val="bottom"/>
          </w:tcPr>
          <w:p w14:paraId="44DAD405" w14:textId="2A0BB0C2" w:rsidR="00584325" w:rsidRPr="001D41EA" w:rsidRDefault="00584325" w:rsidP="001D41EA">
            <w:pPr>
              <w:spacing w:before="40" w:after="40"/>
              <w:jc w:val="right"/>
              <w:rPr>
                <w:rFonts w:cs="Arial"/>
                <w:sz w:val="18"/>
                <w:szCs w:val="18"/>
              </w:rPr>
            </w:pPr>
            <w:r w:rsidRPr="001D41EA">
              <w:rPr>
                <w:rFonts w:cs="Arial"/>
                <w:sz w:val="18"/>
                <w:szCs w:val="18"/>
              </w:rPr>
              <w:t>18,606,138</w:t>
            </w:r>
          </w:p>
        </w:tc>
      </w:tr>
      <w:tr w:rsidR="00584325" w:rsidRPr="001D41EA" w14:paraId="7BD39B9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F62F938" w14:textId="77777777" w:rsidR="00584325" w:rsidRPr="001D41EA" w:rsidRDefault="00584325" w:rsidP="001D41EA">
            <w:pPr>
              <w:spacing w:before="40" w:after="40"/>
              <w:rPr>
                <w:rFonts w:cs="Arial"/>
                <w:sz w:val="18"/>
                <w:szCs w:val="18"/>
              </w:rPr>
            </w:pPr>
            <w:r w:rsidRPr="001D41EA">
              <w:rPr>
                <w:rFonts w:cs="Arial"/>
                <w:sz w:val="18"/>
                <w:szCs w:val="18"/>
              </w:rPr>
              <w:t>Greater Dandenong C</w:t>
            </w:r>
          </w:p>
        </w:tc>
        <w:tc>
          <w:tcPr>
            <w:tcW w:w="1361" w:type="dxa"/>
            <w:tcBorders>
              <w:top w:val="nil"/>
              <w:left w:val="single" w:sz="18" w:space="0" w:color="5F497A" w:themeColor="accent4" w:themeShade="BF"/>
              <w:bottom w:val="nil"/>
              <w:right w:val="nil"/>
            </w:tcBorders>
            <w:shd w:val="clear" w:color="auto" w:fill="auto"/>
            <w:noWrap/>
            <w:vAlign w:val="bottom"/>
          </w:tcPr>
          <w:p w14:paraId="52FFB189" w14:textId="1D88BCC6" w:rsidR="00584325" w:rsidRPr="001D41EA" w:rsidRDefault="00584325" w:rsidP="001D41EA">
            <w:pPr>
              <w:spacing w:before="40" w:after="40"/>
              <w:jc w:val="right"/>
              <w:rPr>
                <w:rFonts w:cs="Arial"/>
                <w:sz w:val="18"/>
                <w:szCs w:val="18"/>
              </w:rPr>
            </w:pPr>
            <w:r w:rsidRPr="001D41EA">
              <w:rPr>
                <w:rFonts w:cs="Arial"/>
                <w:sz w:val="18"/>
                <w:szCs w:val="18"/>
              </w:rPr>
              <w:t>10,770,820</w:t>
            </w:r>
          </w:p>
        </w:tc>
        <w:tc>
          <w:tcPr>
            <w:tcW w:w="1361" w:type="dxa"/>
            <w:tcBorders>
              <w:top w:val="nil"/>
              <w:left w:val="nil"/>
              <w:bottom w:val="nil"/>
              <w:right w:val="nil"/>
            </w:tcBorders>
            <w:shd w:val="clear" w:color="auto" w:fill="auto"/>
            <w:noWrap/>
            <w:vAlign w:val="bottom"/>
          </w:tcPr>
          <w:p w14:paraId="364AA698" w14:textId="21BEB78C" w:rsidR="00584325" w:rsidRPr="001D41EA" w:rsidRDefault="00584325" w:rsidP="001D41EA">
            <w:pPr>
              <w:spacing w:before="40" w:after="40"/>
              <w:jc w:val="right"/>
              <w:rPr>
                <w:rFonts w:cs="Arial"/>
                <w:sz w:val="18"/>
                <w:szCs w:val="18"/>
              </w:rPr>
            </w:pPr>
            <w:r w:rsidRPr="001D41EA">
              <w:rPr>
                <w:rFonts w:cs="Arial"/>
                <w:sz w:val="18"/>
                <w:szCs w:val="18"/>
              </w:rPr>
              <w:t>19,410,970</w:t>
            </w:r>
          </w:p>
        </w:tc>
        <w:tc>
          <w:tcPr>
            <w:tcW w:w="1361" w:type="dxa"/>
            <w:tcBorders>
              <w:top w:val="nil"/>
              <w:left w:val="nil"/>
              <w:bottom w:val="nil"/>
              <w:right w:val="nil"/>
            </w:tcBorders>
            <w:shd w:val="clear" w:color="auto" w:fill="auto"/>
            <w:noWrap/>
            <w:vAlign w:val="bottom"/>
          </w:tcPr>
          <w:p w14:paraId="68E5D62E" w14:textId="2C943181" w:rsidR="00584325" w:rsidRPr="001D41EA" w:rsidRDefault="00584325" w:rsidP="001D41EA">
            <w:pPr>
              <w:spacing w:before="40" w:after="40"/>
              <w:jc w:val="right"/>
              <w:rPr>
                <w:rFonts w:cs="Arial"/>
                <w:sz w:val="18"/>
                <w:szCs w:val="18"/>
              </w:rPr>
            </w:pPr>
            <w:r w:rsidRPr="001D41EA">
              <w:rPr>
                <w:rFonts w:cs="Arial"/>
                <w:sz w:val="18"/>
                <w:szCs w:val="18"/>
              </w:rPr>
              <w:t>10,749,772</w:t>
            </w:r>
          </w:p>
        </w:tc>
        <w:tc>
          <w:tcPr>
            <w:tcW w:w="1361" w:type="dxa"/>
            <w:tcBorders>
              <w:top w:val="nil"/>
              <w:left w:val="nil"/>
              <w:bottom w:val="nil"/>
              <w:right w:val="nil"/>
            </w:tcBorders>
            <w:vAlign w:val="bottom"/>
          </w:tcPr>
          <w:p w14:paraId="54568F0E" w14:textId="4C3BEBD1" w:rsidR="00584325" w:rsidRPr="001D41EA" w:rsidRDefault="00584325" w:rsidP="001D41EA">
            <w:pPr>
              <w:spacing w:before="40" w:after="40"/>
              <w:jc w:val="right"/>
              <w:rPr>
                <w:rFonts w:cs="Arial"/>
                <w:sz w:val="18"/>
                <w:szCs w:val="18"/>
              </w:rPr>
            </w:pPr>
            <w:r w:rsidRPr="001D41EA">
              <w:rPr>
                <w:rFonts w:cs="Arial"/>
                <w:sz w:val="18"/>
                <w:szCs w:val="18"/>
              </w:rPr>
              <w:t>50,637,913</w:t>
            </w:r>
          </w:p>
        </w:tc>
        <w:tc>
          <w:tcPr>
            <w:tcW w:w="1361" w:type="dxa"/>
            <w:tcBorders>
              <w:top w:val="nil"/>
              <w:left w:val="nil"/>
              <w:bottom w:val="nil"/>
              <w:right w:val="nil"/>
            </w:tcBorders>
            <w:shd w:val="clear" w:color="auto" w:fill="auto"/>
            <w:noWrap/>
            <w:vAlign w:val="bottom"/>
          </w:tcPr>
          <w:p w14:paraId="17BAFEF4" w14:textId="31D2957B" w:rsidR="00584325" w:rsidRPr="001D41EA" w:rsidRDefault="00584325" w:rsidP="001D41EA">
            <w:pPr>
              <w:spacing w:before="40" w:after="40"/>
              <w:jc w:val="right"/>
              <w:rPr>
                <w:rFonts w:cs="Arial"/>
                <w:sz w:val="18"/>
                <w:szCs w:val="18"/>
              </w:rPr>
            </w:pPr>
            <w:r w:rsidRPr="001D41EA">
              <w:rPr>
                <w:rFonts w:cs="Arial"/>
                <w:sz w:val="18"/>
                <w:szCs w:val="18"/>
              </w:rPr>
              <w:t>18,490,898</w:t>
            </w:r>
          </w:p>
        </w:tc>
      </w:tr>
      <w:tr w:rsidR="00584325" w:rsidRPr="001D41EA" w14:paraId="22BD3F3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0043471" w14:textId="77777777" w:rsidR="00584325" w:rsidRPr="001D41EA" w:rsidRDefault="00584325" w:rsidP="001D41EA">
            <w:pPr>
              <w:spacing w:before="40" w:after="40"/>
              <w:rPr>
                <w:rFonts w:cs="Arial"/>
                <w:sz w:val="18"/>
                <w:szCs w:val="18"/>
              </w:rPr>
            </w:pPr>
            <w:r w:rsidRPr="001D41EA">
              <w:rPr>
                <w:rFonts w:cs="Arial"/>
                <w:sz w:val="18"/>
                <w:szCs w:val="18"/>
              </w:rPr>
              <w:t>Greater Geelong C</w:t>
            </w:r>
          </w:p>
        </w:tc>
        <w:tc>
          <w:tcPr>
            <w:tcW w:w="1361" w:type="dxa"/>
            <w:tcBorders>
              <w:top w:val="nil"/>
              <w:left w:val="single" w:sz="18" w:space="0" w:color="5F497A" w:themeColor="accent4" w:themeShade="BF"/>
              <w:bottom w:val="nil"/>
              <w:right w:val="nil"/>
            </w:tcBorders>
            <w:shd w:val="clear" w:color="auto" w:fill="auto"/>
            <w:noWrap/>
            <w:vAlign w:val="bottom"/>
          </w:tcPr>
          <w:p w14:paraId="3C5C8507" w14:textId="76BD6061" w:rsidR="00584325" w:rsidRPr="001D41EA" w:rsidRDefault="00584325" w:rsidP="001D41EA">
            <w:pPr>
              <w:spacing w:before="40" w:after="40"/>
              <w:jc w:val="right"/>
              <w:rPr>
                <w:rFonts w:cs="Arial"/>
                <w:sz w:val="18"/>
                <w:szCs w:val="18"/>
              </w:rPr>
            </w:pPr>
            <w:r w:rsidRPr="001D41EA">
              <w:rPr>
                <w:rFonts w:cs="Arial"/>
                <w:sz w:val="18"/>
                <w:szCs w:val="18"/>
              </w:rPr>
              <w:t>14,271,449</w:t>
            </w:r>
          </w:p>
        </w:tc>
        <w:tc>
          <w:tcPr>
            <w:tcW w:w="1361" w:type="dxa"/>
            <w:tcBorders>
              <w:top w:val="nil"/>
              <w:left w:val="nil"/>
              <w:bottom w:val="nil"/>
              <w:right w:val="nil"/>
            </w:tcBorders>
            <w:shd w:val="clear" w:color="auto" w:fill="auto"/>
            <w:noWrap/>
            <w:vAlign w:val="bottom"/>
          </w:tcPr>
          <w:p w14:paraId="44683D4E" w14:textId="5A275B21" w:rsidR="00584325" w:rsidRPr="001D41EA" w:rsidRDefault="00584325" w:rsidP="001D41EA">
            <w:pPr>
              <w:spacing w:before="40" w:after="40"/>
              <w:jc w:val="right"/>
              <w:rPr>
                <w:rFonts w:cs="Arial"/>
                <w:sz w:val="18"/>
                <w:szCs w:val="18"/>
              </w:rPr>
            </w:pPr>
            <w:r w:rsidRPr="001D41EA">
              <w:rPr>
                <w:rFonts w:cs="Arial"/>
                <w:sz w:val="18"/>
                <w:szCs w:val="18"/>
              </w:rPr>
              <w:t>25,806,970</w:t>
            </w:r>
          </w:p>
        </w:tc>
        <w:tc>
          <w:tcPr>
            <w:tcW w:w="1361" w:type="dxa"/>
            <w:tcBorders>
              <w:top w:val="nil"/>
              <w:left w:val="nil"/>
              <w:bottom w:val="nil"/>
              <w:right w:val="nil"/>
            </w:tcBorders>
            <w:shd w:val="clear" w:color="auto" w:fill="auto"/>
            <w:noWrap/>
            <w:vAlign w:val="bottom"/>
          </w:tcPr>
          <w:p w14:paraId="6E049FEA" w14:textId="32DFDE6D" w:rsidR="00584325" w:rsidRPr="001D41EA" w:rsidRDefault="00584325" w:rsidP="001D41EA">
            <w:pPr>
              <w:spacing w:before="40" w:after="40"/>
              <w:jc w:val="right"/>
              <w:rPr>
                <w:rFonts w:cs="Arial"/>
                <w:sz w:val="18"/>
                <w:szCs w:val="18"/>
              </w:rPr>
            </w:pPr>
            <w:r w:rsidRPr="001D41EA">
              <w:rPr>
                <w:rFonts w:cs="Arial"/>
                <w:sz w:val="18"/>
                <w:szCs w:val="18"/>
              </w:rPr>
              <w:t>14,033,841</w:t>
            </w:r>
          </w:p>
        </w:tc>
        <w:tc>
          <w:tcPr>
            <w:tcW w:w="1361" w:type="dxa"/>
            <w:tcBorders>
              <w:top w:val="nil"/>
              <w:left w:val="nil"/>
              <w:bottom w:val="nil"/>
              <w:right w:val="nil"/>
            </w:tcBorders>
            <w:vAlign w:val="bottom"/>
          </w:tcPr>
          <w:p w14:paraId="4277D842" w14:textId="5164C27B" w:rsidR="00584325" w:rsidRPr="001D41EA" w:rsidRDefault="00584325" w:rsidP="001D41EA">
            <w:pPr>
              <w:spacing w:before="40" w:after="40"/>
              <w:jc w:val="right"/>
              <w:rPr>
                <w:rFonts w:cs="Arial"/>
                <w:sz w:val="18"/>
                <w:szCs w:val="18"/>
              </w:rPr>
            </w:pPr>
            <w:r w:rsidRPr="001D41EA">
              <w:rPr>
                <w:rFonts w:cs="Arial"/>
                <w:sz w:val="18"/>
                <w:szCs w:val="18"/>
              </w:rPr>
              <w:t>85,370,750</w:t>
            </w:r>
          </w:p>
        </w:tc>
        <w:tc>
          <w:tcPr>
            <w:tcW w:w="1361" w:type="dxa"/>
            <w:tcBorders>
              <w:top w:val="nil"/>
              <w:left w:val="nil"/>
              <w:bottom w:val="nil"/>
              <w:right w:val="nil"/>
            </w:tcBorders>
            <w:shd w:val="clear" w:color="auto" w:fill="auto"/>
            <w:noWrap/>
            <w:vAlign w:val="bottom"/>
          </w:tcPr>
          <w:p w14:paraId="0AB02662" w14:textId="2185BC15" w:rsidR="00584325" w:rsidRPr="001D41EA" w:rsidRDefault="00584325" w:rsidP="001D41EA">
            <w:pPr>
              <w:spacing w:before="40" w:after="40"/>
              <w:jc w:val="right"/>
              <w:rPr>
                <w:rFonts w:cs="Arial"/>
                <w:sz w:val="18"/>
                <w:szCs w:val="18"/>
              </w:rPr>
            </w:pPr>
            <w:r w:rsidRPr="001D41EA">
              <w:rPr>
                <w:rFonts w:cs="Arial"/>
                <w:sz w:val="18"/>
                <w:szCs w:val="18"/>
              </w:rPr>
              <w:t>39,467,308</w:t>
            </w:r>
          </w:p>
        </w:tc>
      </w:tr>
      <w:tr w:rsidR="00584325" w:rsidRPr="001D41EA" w14:paraId="3E2D0A8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12FE57F" w14:textId="77777777" w:rsidR="00584325" w:rsidRPr="001D41EA" w:rsidRDefault="00584325" w:rsidP="001D41EA">
            <w:pPr>
              <w:spacing w:before="40" w:after="40"/>
              <w:rPr>
                <w:rFonts w:cs="Arial"/>
                <w:sz w:val="18"/>
                <w:szCs w:val="18"/>
              </w:rPr>
            </w:pPr>
            <w:r w:rsidRPr="001D41EA">
              <w:rPr>
                <w:rFonts w:cs="Arial"/>
                <w:sz w:val="18"/>
                <w:szCs w:val="18"/>
              </w:rPr>
              <w:t>Greater Shepparton C</w:t>
            </w:r>
          </w:p>
        </w:tc>
        <w:tc>
          <w:tcPr>
            <w:tcW w:w="1361" w:type="dxa"/>
            <w:tcBorders>
              <w:top w:val="nil"/>
              <w:left w:val="single" w:sz="18" w:space="0" w:color="5F497A" w:themeColor="accent4" w:themeShade="BF"/>
              <w:bottom w:val="nil"/>
              <w:right w:val="nil"/>
            </w:tcBorders>
            <w:shd w:val="clear" w:color="auto" w:fill="auto"/>
            <w:noWrap/>
            <w:vAlign w:val="bottom"/>
          </w:tcPr>
          <w:p w14:paraId="358406EA" w14:textId="228D2B7A" w:rsidR="00584325" w:rsidRPr="001D41EA" w:rsidRDefault="00584325" w:rsidP="001D41EA">
            <w:pPr>
              <w:spacing w:before="40" w:after="40"/>
              <w:jc w:val="right"/>
              <w:rPr>
                <w:rFonts w:cs="Arial"/>
                <w:sz w:val="18"/>
                <w:szCs w:val="18"/>
              </w:rPr>
            </w:pPr>
            <w:r w:rsidRPr="001D41EA">
              <w:rPr>
                <w:rFonts w:cs="Arial"/>
                <w:sz w:val="18"/>
                <w:szCs w:val="18"/>
              </w:rPr>
              <w:t>4,383,875</w:t>
            </w:r>
          </w:p>
        </w:tc>
        <w:tc>
          <w:tcPr>
            <w:tcW w:w="1361" w:type="dxa"/>
            <w:tcBorders>
              <w:top w:val="nil"/>
              <w:left w:val="nil"/>
              <w:bottom w:val="nil"/>
              <w:right w:val="nil"/>
            </w:tcBorders>
            <w:shd w:val="clear" w:color="auto" w:fill="auto"/>
            <w:noWrap/>
            <w:vAlign w:val="bottom"/>
          </w:tcPr>
          <w:p w14:paraId="250A0751" w14:textId="1CC9A37D" w:rsidR="00584325" w:rsidRPr="001D41EA" w:rsidRDefault="00584325" w:rsidP="001D41EA">
            <w:pPr>
              <w:spacing w:before="40" w:after="40"/>
              <w:jc w:val="right"/>
              <w:rPr>
                <w:rFonts w:cs="Arial"/>
                <w:sz w:val="18"/>
                <w:szCs w:val="18"/>
              </w:rPr>
            </w:pPr>
            <w:r w:rsidRPr="001D41EA">
              <w:rPr>
                <w:rFonts w:cs="Arial"/>
                <w:sz w:val="18"/>
                <w:szCs w:val="18"/>
              </w:rPr>
              <w:t>7,475,729</w:t>
            </w:r>
          </w:p>
        </w:tc>
        <w:tc>
          <w:tcPr>
            <w:tcW w:w="1361" w:type="dxa"/>
            <w:tcBorders>
              <w:top w:val="nil"/>
              <w:left w:val="nil"/>
              <w:bottom w:val="nil"/>
              <w:right w:val="nil"/>
            </w:tcBorders>
            <w:shd w:val="clear" w:color="auto" w:fill="auto"/>
            <w:noWrap/>
            <w:vAlign w:val="bottom"/>
          </w:tcPr>
          <w:p w14:paraId="0CC76CC5" w14:textId="7E91C6C7" w:rsidR="00584325" w:rsidRPr="001D41EA" w:rsidRDefault="00584325" w:rsidP="001D41EA">
            <w:pPr>
              <w:spacing w:before="40" w:after="40"/>
              <w:jc w:val="right"/>
              <w:rPr>
                <w:rFonts w:cs="Arial"/>
                <w:sz w:val="18"/>
                <w:szCs w:val="18"/>
              </w:rPr>
            </w:pPr>
            <w:r w:rsidRPr="001D41EA">
              <w:rPr>
                <w:rFonts w:cs="Arial"/>
                <w:sz w:val="18"/>
                <w:szCs w:val="18"/>
              </w:rPr>
              <w:t>4,073,002</w:t>
            </w:r>
          </w:p>
        </w:tc>
        <w:tc>
          <w:tcPr>
            <w:tcW w:w="1361" w:type="dxa"/>
            <w:tcBorders>
              <w:top w:val="nil"/>
              <w:left w:val="nil"/>
              <w:bottom w:val="nil"/>
              <w:right w:val="nil"/>
            </w:tcBorders>
            <w:vAlign w:val="bottom"/>
          </w:tcPr>
          <w:p w14:paraId="59A479D6" w14:textId="3983AE5D" w:rsidR="00584325" w:rsidRPr="001D41EA" w:rsidRDefault="00584325" w:rsidP="001D41EA">
            <w:pPr>
              <w:spacing w:before="40" w:after="40"/>
              <w:jc w:val="right"/>
              <w:rPr>
                <w:rFonts w:cs="Arial"/>
                <w:sz w:val="18"/>
                <w:szCs w:val="18"/>
              </w:rPr>
            </w:pPr>
            <w:r w:rsidRPr="001D41EA">
              <w:rPr>
                <w:rFonts w:cs="Arial"/>
                <w:sz w:val="18"/>
                <w:szCs w:val="18"/>
              </w:rPr>
              <w:t>22,011,835</w:t>
            </w:r>
          </w:p>
        </w:tc>
        <w:tc>
          <w:tcPr>
            <w:tcW w:w="1361" w:type="dxa"/>
            <w:tcBorders>
              <w:top w:val="nil"/>
              <w:left w:val="nil"/>
              <w:bottom w:val="nil"/>
              <w:right w:val="nil"/>
            </w:tcBorders>
            <w:shd w:val="clear" w:color="auto" w:fill="auto"/>
            <w:noWrap/>
            <w:vAlign w:val="bottom"/>
          </w:tcPr>
          <w:p w14:paraId="15E2F065" w14:textId="0BC4F92F" w:rsidR="00584325" w:rsidRPr="001D41EA" w:rsidRDefault="00584325" w:rsidP="001D41EA">
            <w:pPr>
              <w:spacing w:before="40" w:after="40"/>
              <w:jc w:val="right"/>
              <w:rPr>
                <w:rFonts w:cs="Arial"/>
                <w:sz w:val="18"/>
                <w:szCs w:val="18"/>
              </w:rPr>
            </w:pPr>
            <w:r w:rsidRPr="001D41EA">
              <w:rPr>
                <w:rFonts w:cs="Arial"/>
                <w:sz w:val="18"/>
                <w:szCs w:val="18"/>
              </w:rPr>
              <w:t>10,411,674</w:t>
            </w:r>
          </w:p>
        </w:tc>
      </w:tr>
      <w:tr w:rsidR="00584325" w:rsidRPr="001D41EA" w14:paraId="5296217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0F929CA" w14:textId="77777777" w:rsidR="00584325" w:rsidRPr="001D41EA" w:rsidRDefault="00584325" w:rsidP="001D41EA">
            <w:pPr>
              <w:spacing w:before="40" w:after="40"/>
              <w:rPr>
                <w:rFonts w:cs="Arial"/>
                <w:sz w:val="18"/>
                <w:szCs w:val="18"/>
              </w:rPr>
            </w:pPr>
            <w:r w:rsidRPr="001D41EA">
              <w:rPr>
                <w:rFonts w:cs="Arial"/>
                <w:sz w:val="18"/>
                <w:szCs w:val="18"/>
              </w:rPr>
              <w:t>Hepburn S</w:t>
            </w:r>
          </w:p>
        </w:tc>
        <w:tc>
          <w:tcPr>
            <w:tcW w:w="1361" w:type="dxa"/>
            <w:tcBorders>
              <w:top w:val="nil"/>
              <w:left w:val="single" w:sz="18" w:space="0" w:color="5F497A" w:themeColor="accent4" w:themeShade="BF"/>
              <w:bottom w:val="nil"/>
              <w:right w:val="nil"/>
            </w:tcBorders>
            <w:shd w:val="clear" w:color="auto" w:fill="auto"/>
            <w:noWrap/>
            <w:vAlign w:val="bottom"/>
          </w:tcPr>
          <w:p w14:paraId="51C5214B" w14:textId="1E9839EC" w:rsidR="00584325" w:rsidRPr="001D41EA" w:rsidRDefault="00584325" w:rsidP="001D41EA">
            <w:pPr>
              <w:spacing w:before="40" w:after="40"/>
              <w:jc w:val="right"/>
              <w:rPr>
                <w:rFonts w:cs="Arial"/>
                <w:sz w:val="18"/>
                <w:szCs w:val="18"/>
              </w:rPr>
            </w:pPr>
            <w:r w:rsidRPr="001D41EA">
              <w:rPr>
                <w:rFonts w:cs="Arial"/>
                <w:sz w:val="18"/>
                <w:szCs w:val="18"/>
              </w:rPr>
              <w:t>1,304,010</w:t>
            </w:r>
          </w:p>
        </w:tc>
        <w:tc>
          <w:tcPr>
            <w:tcW w:w="1361" w:type="dxa"/>
            <w:tcBorders>
              <w:top w:val="nil"/>
              <w:left w:val="nil"/>
              <w:bottom w:val="nil"/>
              <w:right w:val="nil"/>
            </w:tcBorders>
            <w:shd w:val="clear" w:color="auto" w:fill="auto"/>
            <w:noWrap/>
            <w:vAlign w:val="bottom"/>
          </w:tcPr>
          <w:p w14:paraId="129B1E34" w14:textId="50F2CEE7" w:rsidR="00584325" w:rsidRPr="001D41EA" w:rsidRDefault="00584325" w:rsidP="001D41EA">
            <w:pPr>
              <w:spacing w:before="40" w:after="40"/>
              <w:jc w:val="right"/>
              <w:rPr>
                <w:rFonts w:cs="Arial"/>
                <w:sz w:val="18"/>
                <w:szCs w:val="18"/>
              </w:rPr>
            </w:pPr>
            <w:r w:rsidRPr="001D41EA">
              <w:rPr>
                <w:rFonts w:cs="Arial"/>
                <w:sz w:val="18"/>
                <w:szCs w:val="18"/>
              </w:rPr>
              <w:t>1,524,058</w:t>
            </w:r>
          </w:p>
        </w:tc>
        <w:tc>
          <w:tcPr>
            <w:tcW w:w="1361" w:type="dxa"/>
            <w:tcBorders>
              <w:top w:val="nil"/>
              <w:left w:val="nil"/>
              <w:bottom w:val="nil"/>
              <w:right w:val="nil"/>
            </w:tcBorders>
            <w:shd w:val="clear" w:color="auto" w:fill="auto"/>
            <w:noWrap/>
            <w:vAlign w:val="bottom"/>
          </w:tcPr>
          <w:p w14:paraId="63E27034" w14:textId="0DF8484A" w:rsidR="00584325" w:rsidRPr="001D41EA" w:rsidRDefault="00584325" w:rsidP="001D41EA">
            <w:pPr>
              <w:spacing w:before="40" w:after="40"/>
              <w:jc w:val="right"/>
              <w:rPr>
                <w:rFonts w:cs="Arial"/>
                <w:sz w:val="18"/>
                <w:szCs w:val="18"/>
              </w:rPr>
            </w:pPr>
            <w:r w:rsidRPr="001D41EA">
              <w:rPr>
                <w:rFonts w:cs="Arial"/>
                <w:sz w:val="18"/>
                <w:szCs w:val="18"/>
              </w:rPr>
              <w:t>1,266,749</w:t>
            </w:r>
          </w:p>
        </w:tc>
        <w:tc>
          <w:tcPr>
            <w:tcW w:w="1361" w:type="dxa"/>
            <w:tcBorders>
              <w:top w:val="nil"/>
              <w:left w:val="nil"/>
              <w:bottom w:val="nil"/>
              <w:right w:val="nil"/>
            </w:tcBorders>
            <w:vAlign w:val="bottom"/>
          </w:tcPr>
          <w:p w14:paraId="00F76764" w14:textId="08FA0698" w:rsidR="00584325" w:rsidRPr="001D41EA" w:rsidRDefault="00584325" w:rsidP="001D41EA">
            <w:pPr>
              <w:spacing w:before="40" w:after="40"/>
              <w:jc w:val="right"/>
              <w:rPr>
                <w:rFonts w:cs="Arial"/>
                <w:sz w:val="18"/>
                <w:szCs w:val="18"/>
              </w:rPr>
            </w:pPr>
            <w:r w:rsidRPr="001D41EA">
              <w:rPr>
                <w:rFonts w:cs="Arial"/>
                <w:sz w:val="18"/>
                <w:szCs w:val="18"/>
              </w:rPr>
              <w:t>5,804,368</w:t>
            </w:r>
          </w:p>
        </w:tc>
        <w:tc>
          <w:tcPr>
            <w:tcW w:w="1361" w:type="dxa"/>
            <w:tcBorders>
              <w:top w:val="nil"/>
              <w:left w:val="nil"/>
              <w:bottom w:val="nil"/>
              <w:right w:val="nil"/>
            </w:tcBorders>
            <w:shd w:val="clear" w:color="auto" w:fill="auto"/>
            <w:noWrap/>
            <w:vAlign w:val="bottom"/>
          </w:tcPr>
          <w:p w14:paraId="2E461B68" w14:textId="7ADBA22C" w:rsidR="00584325" w:rsidRPr="001D41EA" w:rsidRDefault="00584325" w:rsidP="001D41EA">
            <w:pPr>
              <w:spacing w:before="40" w:after="40"/>
              <w:jc w:val="right"/>
              <w:rPr>
                <w:rFonts w:cs="Arial"/>
                <w:sz w:val="18"/>
                <w:szCs w:val="18"/>
              </w:rPr>
            </w:pPr>
            <w:r w:rsidRPr="001D41EA">
              <w:rPr>
                <w:rFonts w:cs="Arial"/>
                <w:sz w:val="18"/>
                <w:szCs w:val="18"/>
              </w:rPr>
              <w:t>3,887,666</w:t>
            </w:r>
          </w:p>
        </w:tc>
      </w:tr>
      <w:tr w:rsidR="00584325" w:rsidRPr="001D41EA" w14:paraId="2820C3B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48F093E" w14:textId="77777777" w:rsidR="00584325" w:rsidRPr="001D41EA" w:rsidRDefault="00584325" w:rsidP="001D41EA">
            <w:pPr>
              <w:spacing w:before="40" w:after="40"/>
              <w:rPr>
                <w:rFonts w:cs="Arial"/>
                <w:sz w:val="18"/>
                <w:szCs w:val="18"/>
              </w:rPr>
            </w:pPr>
            <w:r w:rsidRPr="001D41EA">
              <w:rPr>
                <w:rFonts w:cs="Arial"/>
                <w:sz w:val="18"/>
                <w:szCs w:val="18"/>
              </w:rPr>
              <w:t>Hindmarsh S</w:t>
            </w:r>
          </w:p>
        </w:tc>
        <w:tc>
          <w:tcPr>
            <w:tcW w:w="1361" w:type="dxa"/>
            <w:tcBorders>
              <w:top w:val="nil"/>
              <w:left w:val="single" w:sz="18" w:space="0" w:color="5F497A" w:themeColor="accent4" w:themeShade="BF"/>
              <w:bottom w:val="nil"/>
              <w:right w:val="nil"/>
            </w:tcBorders>
            <w:shd w:val="clear" w:color="auto" w:fill="auto"/>
            <w:noWrap/>
            <w:vAlign w:val="bottom"/>
          </w:tcPr>
          <w:p w14:paraId="5E626F6E" w14:textId="56E97196" w:rsidR="00584325" w:rsidRPr="001D41EA" w:rsidRDefault="00584325" w:rsidP="001D41EA">
            <w:pPr>
              <w:spacing w:before="40" w:after="40"/>
              <w:jc w:val="right"/>
              <w:rPr>
                <w:rFonts w:cs="Arial"/>
                <w:sz w:val="18"/>
                <w:szCs w:val="18"/>
              </w:rPr>
            </w:pPr>
            <w:r w:rsidRPr="001D41EA">
              <w:rPr>
                <w:rFonts w:cs="Arial"/>
                <w:sz w:val="18"/>
                <w:szCs w:val="18"/>
              </w:rPr>
              <w:t>1,616,278</w:t>
            </w:r>
          </w:p>
        </w:tc>
        <w:tc>
          <w:tcPr>
            <w:tcW w:w="1361" w:type="dxa"/>
            <w:tcBorders>
              <w:top w:val="nil"/>
              <w:left w:val="nil"/>
              <w:bottom w:val="nil"/>
              <w:right w:val="nil"/>
            </w:tcBorders>
            <w:shd w:val="clear" w:color="auto" w:fill="auto"/>
            <w:noWrap/>
            <w:vAlign w:val="bottom"/>
          </w:tcPr>
          <w:p w14:paraId="0159BBFC" w14:textId="54B76E38" w:rsidR="00584325" w:rsidRPr="001D41EA" w:rsidRDefault="00584325" w:rsidP="001D41EA">
            <w:pPr>
              <w:spacing w:before="40" w:after="40"/>
              <w:jc w:val="right"/>
              <w:rPr>
                <w:rFonts w:cs="Arial"/>
                <w:sz w:val="18"/>
                <w:szCs w:val="18"/>
              </w:rPr>
            </w:pPr>
            <w:r w:rsidRPr="001D41EA">
              <w:rPr>
                <w:rFonts w:cs="Arial"/>
                <w:sz w:val="18"/>
                <w:szCs w:val="18"/>
              </w:rPr>
              <w:t>627,083</w:t>
            </w:r>
          </w:p>
        </w:tc>
        <w:tc>
          <w:tcPr>
            <w:tcW w:w="1361" w:type="dxa"/>
            <w:tcBorders>
              <w:top w:val="nil"/>
              <w:left w:val="nil"/>
              <w:bottom w:val="nil"/>
              <w:right w:val="nil"/>
            </w:tcBorders>
            <w:shd w:val="clear" w:color="auto" w:fill="auto"/>
            <w:noWrap/>
            <w:vAlign w:val="bottom"/>
          </w:tcPr>
          <w:p w14:paraId="6A8D7109" w14:textId="1C0C354F" w:rsidR="00584325" w:rsidRPr="001D41EA" w:rsidRDefault="00584325" w:rsidP="001D41EA">
            <w:pPr>
              <w:spacing w:before="40" w:after="40"/>
              <w:jc w:val="right"/>
              <w:rPr>
                <w:rFonts w:cs="Arial"/>
                <w:sz w:val="18"/>
                <w:szCs w:val="18"/>
              </w:rPr>
            </w:pPr>
            <w:r w:rsidRPr="001D41EA">
              <w:rPr>
                <w:rFonts w:cs="Arial"/>
                <w:sz w:val="18"/>
                <w:szCs w:val="18"/>
              </w:rPr>
              <w:t>607,369</w:t>
            </w:r>
          </w:p>
        </w:tc>
        <w:tc>
          <w:tcPr>
            <w:tcW w:w="1361" w:type="dxa"/>
            <w:tcBorders>
              <w:top w:val="nil"/>
              <w:left w:val="nil"/>
              <w:bottom w:val="nil"/>
              <w:right w:val="nil"/>
            </w:tcBorders>
            <w:vAlign w:val="bottom"/>
          </w:tcPr>
          <w:p w14:paraId="4F3652D7" w14:textId="1B65DECF" w:rsidR="00584325" w:rsidRPr="001D41EA" w:rsidRDefault="00584325" w:rsidP="001D41EA">
            <w:pPr>
              <w:spacing w:before="40" w:after="40"/>
              <w:jc w:val="right"/>
              <w:rPr>
                <w:rFonts w:cs="Arial"/>
                <w:sz w:val="18"/>
                <w:szCs w:val="18"/>
              </w:rPr>
            </w:pPr>
            <w:r w:rsidRPr="001D41EA">
              <w:rPr>
                <w:rFonts w:cs="Arial"/>
                <w:sz w:val="18"/>
                <w:szCs w:val="18"/>
              </w:rPr>
              <w:t>1,841,516</w:t>
            </w:r>
          </w:p>
        </w:tc>
        <w:tc>
          <w:tcPr>
            <w:tcW w:w="1361" w:type="dxa"/>
            <w:tcBorders>
              <w:top w:val="nil"/>
              <w:left w:val="nil"/>
              <w:bottom w:val="nil"/>
              <w:right w:val="nil"/>
            </w:tcBorders>
            <w:shd w:val="clear" w:color="auto" w:fill="auto"/>
            <w:noWrap/>
            <w:vAlign w:val="bottom"/>
          </w:tcPr>
          <w:p w14:paraId="7214EEF9" w14:textId="2E216D23" w:rsidR="00584325" w:rsidRPr="001D41EA" w:rsidRDefault="00584325" w:rsidP="001D41EA">
            <w:pPr>
              <w:spacing w:before="40" w:after="40"/>
              <w:jc w:val="right"/>
              <w:rPr>
                <w:rFonts w:cs="Arial"/>
                <w:sz w:val="18"/>
                <w:szCs w:val="18"/>
              </w:rPr>
            </w:pPr>
            <w:r w:rsidRPr="001D41EA">
              <w:rPr>
                <w:rFonts w:cs="Arial"/>
                <w:sz w:val="18"/>
                <w:szCs w:val="18"/>
              </w:rPr>
              <w:t>1,391,944</w:t>
            </w:r>
          </w:p>
        </w:tc>
      </w:tr>
      <w:tr w:rsidR="00584325" w:rsidRPr="001D41EA" w14:paraId="380B486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C01F81D" w14:textId="77777777" w:rsidR="00584325" w:rsidRPr="001D41EA" w:rsidRDefault="00584325" w:rsidP="001D41EA">
            <w:pPr>
              <w:spacing w:before="40" w:after="40"/>
              <w:rPr>
                <w:rFonts w:cs="Arial"/>
                <w:sz w:val="18"/>
                <w:szCs w:val="18"/>
              </w:rPr>
            </w:pPr>
            <w:r w:rsidRPr="001D41EA">
              <w:rPr>
                <w:rFonts w:cs="Arial"/>
                <w:sz w:val="18"/>
                <w:szCs w:val="18"/>
              </w:rPr>
              <w:t>Hobsons Bay C</w:t>
            </w:r>
          </w:p>
        </w:tc>
        <w:tc>
          <w:tcPr>
            <w:tcW w:w="1361" w:type="dxa"/>
            <w:tcBorders>
              <w:top w:val="nil"/>
              <w:left w:val="single" w:sz="18" w:space="0" w:color="5F497A" w:themeColor="accent4" w:themeShade="BF"/>
              <w:bottom w:val="nil"/>
              <w:right w:val="nil"/>
            </w:tcBorders>
            <w:shd w:val="clear" w:color="auto" w:fill="auto"/>
            <w:noWrap/>
            <w:vAlign w:val="bottom"/>
          </w:tcPr>
          <w:p w14:paraId="42982AD4" w14:textId="5364AB8F" w:rsidR="00584325" w:rsidRPr="001D41EA" w:rsidRDefault="00584325" w:rsidP="001D41EA">
            <w:pPr>
              <w:spacing w:before="40" w:after="40"/>
              <w:jc w:val="right"/>
              <w:rPr>
                <w:rFonts w:cs="Arial"/>
                <w:sz w:val="18"/>
                <w:szCs w:val="18"/>
              </w:rPr>
            </w:pPr>
            <w:r w:rsidRPr="001D41EA">
              <w:rPr>
                <w:rFonts w:cs="Arial"/>
                <w:sz w:val="18"/>
                <w:szCs w:val="18"/>
              </w:rPr>
              <w:t>5,572,124</w:t>
            </w:r>
          </w:p>
        </w:tc>
        <w:tc>
          <w:tcPr>
            <w:tcW w:w="1361" w:type="dxa"/>
            <w:tcBorders>
              <w:top w:val="nil"/>
              <w:left w:val="nil"/>
              <w:bottom w:val="nil"/>
              <w:right w:val="nil"/>
            </w:tcBorders>
            <w:shd w:val="clear" w:color="auto" w:fill="auto"/>
            <w:noWrap/>
            <w:vAlign w:val="bottom"/>
          </w:tcPr>
          <w:p w14:paraId="62AFECFE" w14:textId="5816709A" w:rsidR="00584325" w:rsidRPr="001D41EA" w:rsidRDefault="00584325" w:rsidP="001D41EA">
            <w:pPr>
              <w:spacing w:before="40" w:after="40"/>
              <w:jc w:val="right"/>
              <w:rPr>
                <w:rFonts w:cs="Arial"/>
                <w:sz w:val="18"/>
                <w:szCs w:val="18"/>
              </w:rPr>
            </w:pPr>
            <w:r w:rsidRPr="001D41EA">
              <w:rPr>
                <w:rFonts w:cs="Arial"/>
                <w:sz w:val="18"/>
                <w:szCs w:val="18"/>
              </w:rPr>
              <w:t>9,375,497</w:t>
            </w:r>
          </w:p>
        </w:tc>
        <w:tc>
          <w:tcPr>
            <w:tcW w:w="1361" w:type="dxa"/>
            <w:tcBorders>
              <w:top w:val="nil"/>
              <w:left w:val="nil"/>
              <w:bottom w:val="nil"/>
              <w:right w:val="nil"/>
            </w:tcBorders>
            <w:shd w:val="clear" w:color="auto" w:fill="auto"/>
            <w:noWrap/>
            <w:vAlign w:val="bottom"/>
          </w:tcPr>
          <w:p w14:paraId="1223AE48" w14:textId="6FEAB41C" w:rsidR="00584325" w:rsidRPr="001D41EA" w:rsidRDefault="00584325" w:rsidP="001D41EA">
            <w:pPr>
              <w:spacing w:before="40" w:after="40"/>
              <w:jc w:val="right"/>
              <w:rPr>
                <w:rFonts w:cs="Arial"/>
                <w:sz w:val="18"/>
                <w:szCs w:val="18"/>
              </w:rPr>
            </w:pPr>
            <w:r w:rsidRPr="001D41EA">
              <w:rPr>
                <w:rFonts w:cs="Arial"/>
                <w:sz w:val="18"/>
                <w:szCs w:val="18"/>
              </w:rPr>
              <w:t>3,974,259</w:t>
            </w:r>
          </w:p>
        </w:tc>
        <w:tc>
          <w:tcPr>
            <w:tcW w:w="1361" w:type="dxa"/>
            <w:tcBorders>
              <w:top w:val="nil"/>
              <w:left w:val="nil"/>
              <w:bottom w:val="nil"/>
              <w:right w:val="nil"/>
            </w:tcBorders>
            <w:vAlign w:val="bottom"/>
          </w:tcPr>
          <w:p w14:paraId="7DE1CA1B" w14:textId="1A0C9328" w:rsidR="00584325" w:rsidRPr="001D41EA" w:rsidRDefault="00584325" w:rsidP="001D41EA">
            <w:pPr>
              <w:spacing w:before="40" w:after="40"/>
              <w:jc w:val="right"/>
              <w:rPr>
                <w:rFonts w:cs="Arial"/>
                <w:sz w:val="18"/>
                <w:szCs w:val="18"/>
              </w:rPr>
            </w:pPr>
            <w:r w:rsidRPr="001D41EA">
              <w:rPr>
                <w:rFonts w:cs="Arial"/>
                <w:sz w:val="18"/>
                <w:szCs w:val="18"/>
              </w:rPr>
              <w:t>25,209,826</w:t>
            </w:r>
          </w:p>
        </w:tc>
        <w:tc>
          <w:tcPr>
            <w:tcW w:w="1361" w:type="dxa"/>
            <w:tcBorders>
              <w:top w:val="nil"/>
              <w:left w:val="nil"/>
              <w:bottom w:val="nil"/>
              <w:right w:val="nil"/>
            </w:tcBorders>
            <w:shd w:val="clear" w:color="auto" w:fill="auto"/>
            <w:noWrap/>
            <w:vAlign w:val="bottom"/>
          </w:tcPr>
          <w:p w14:paraId="5A1378B9" w14:textId="6F76181B" w:rsidR="00584325" w:rsidRPr="001D41EA" w:rsidRDefault="00584325" w:rsidP="001D41EA">
            <w:pPr>
              <w:spacing w:before="40" w:after="40"/>
              <w:jc w:val="right"/>
              <w:rPr>
                <w:rFonts w:cs="Arial"/>
                <w:sz w:val="18"/>
                <w:szCs w:val="18"/>
              </w:rPr>
            </w:pPr>
            <w:r w:rsidRPr="001D41EA">
              <w:rPr>
                <w:rFonts w:cs="Arial"/>
                <w:sz w:val="18"/>
                <w:szCs w:val="18"/>
              </w:rPr>
              <w:t>12,802,741</w:t>
            </w:r>
          </w:p>
        </w:tc>
      </w:tr>
      <w:tr w:rsidR="00584325" w:rsidRPr="001D41EA" w14:paraId="4724333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3E60A56" w14:textId="77777777" w:rsidR="00584325" w:rsidRPr="001D41EA" w:rsidRDefault="00584325" w:rsidP="001D41EA">
            <w:pPr>
              <w:spacing w:before="40" w:after="40"/>
              <w:rPr>
                <w:rFonts w:cs="Arial"/>
                <w:sz w:val="18"/>
                <w:szCs w:val="18"/>
              </w:rPr>
            </w:pPr>
            <w:r w:rsidRPr="001D41EA">
              <w:rPr>
                <w:rFonts w:cs="Arial"/>
                <w:sz w:val="18"/>
                <w:szCs w:val="18"/>
              </w:rPr>
              <w:t>Horsham RC</w:t>
            </w:r>
          </w:p>
        </w:tc>
        <w:tc>
          <w:tcPr>
            <w:tcW w:w="1361" w:type="dxa"/>
            <w:tcBorders>
              <w:top w:val="nil"/>
              <w:left w:val="single" w:sz="18" w:space="0" w:color="5F497A" w:themeColor="accent4" w:themeShade="BF"/>
              <w:bottom w:val="nil"/>
              <w:right w:val="nil"/>
            </w:tcBorders>
            <w:shd w:val="clear" w:color="auto" w:fill="auto"/>
            <w:noWrap/>
            <w:vAlign w:val="bottom"/>
          </w:tcPr>
          <w:p w14:paraId="4B275A6F" w14:textId="2087B4F4" w:rsidR="00584325" w:rsidRPr="001D41EA" w:rsidRDefault="00584325" w:rsidP="001D41EA">
            <w:pPr>
              <w:spacing w:before="40" w:after="40"/>
              <w:jc w:val="right"/>
              <w:rPr>
                <w:rFonts w:cs="Arial"/>
                <w:sz w:val="18"/>
                <w:szCs w:val="18"/>
              </w:rPr>
            </w:pPr>
            <w:r w:rsidRPr="001D41EA">
              <w:rPr>
                <w:rFonts w:cs="Arial"/>
                <w:sz w:val="18"/>
                <w:szCs w:val="18"/>
              </w:rPr>
              <w:t>1,342,326</w:t>
            </w:r>
          </w:p>
        </w:tc>
        <w:tc>
          <w:tcPr>
            <w:tcW w:w="1361" w:type="dxa"/>
            <w:tcBorders>
              <w:top w:val="nil"/>
              <w:left w:val="nil"/>
              <w:bottom w:val="nil"/>
              <w:right w:val="nil"/>
            </w:tcBorders>
            <w:shd w:val="clear" w:color="auto" w:fill="auto"/>
            <w:noWrap/>
            <w:vAlign w:val="bottom"/>
          </w:tcPr>
          <w:p w14:paraId="3FC54252" w14:textId="1135B2E9" w:rsidR="00584325" w:rsidRPr="001D41EA" w:rsidRDefault="00584325" w:rsidP="001D41EA">
            <w:pPr>
              <w:spacing w:before="40" w:after="40"/>
              <w:jc w:val="right"/>
              <w:rPr>
                <w:rFonts w:cs="Arial"/>
                <w:sz w:val="18"/>
                <w:szCs w:val="18"/>
              </w:rPr>
            </w:pPr>
            <w:r w:rsidRPr="001D41EA">
              <w:rPr>
                <w:rFonts w:cs="Arial"/>
                <w:sz w:val="18"/>
                <w:szCs w:val="18"/>
              </w:rPr>
              <w:t>1,978,334</w:t>
            </w:r>
          </w:p>
        </w:tc>
        <w:tc>
          <w:tcPr>
            <w:tcW w:w="1361" w:type="dxa"/>
            <w:tcBorders>
              <w:top w:val="nil"/>
              <w:left w:val="nil"/>
              <w:bottom w:val="nil"/>
              <w:right w:val="nil"/>
            </w:tcBorders>
            <w:shd w:val="clear" w:color="auto" w:fill="auto"/>
            <w:noWrap/>
            <w:vAlign w:val="bottom"/>
          </w:tcPr>
          <w:p w14:paraId="0D8E1025" w14:textId="541D45F2" w:rsidR="00584325" w:rsidRPr="001D41EA" w:rsidRDefault="00584325" w:rsidP="001D41EA">
            <w:pPr>
              <w:spacing w:before="40" w:after="40"/>
              <w:jc w:val="right"/>
              <w:rPr>
                <w:rFonts w:cs="Arial"/>
                <w:sz w:val="18"/>
                <w:szCs w:val="18"/>
              </w:rPr>
            </w:pPr>
            <w:r w:rsidRPr="001D41EA">
              <w:rPr>
                <w:rFonts w:cs="Arial"/>
                <w:sz w:val="18"/>
                <w:szCs w:val="18"/>
              </w:rPr>
              <w:t>1,166,579</w:t>
            </w:r>
          </w:p>
        </w:tc>
        <w:tc>
          <w:tcPr>
            <w:tcW w:w="1361" w:type="dxa"/>
            <w:tcBorders>
              <w:top w:val="nil"/>
              <w:left w:val="nil"/>
              <w:bottom w:val="nil"/>
              <w:right w:val="nil"/>
            </w:tcBorders>
            <w:vAlign w:val="bottom"/>
          </w:tcPr>
          <w:p w14:paraId="1E0E1271" w14:textId="021142B0" w:rsidR="00584325" w:rsidRPr="001D41EA" w:rsidRDefault="00584325" w:rsidP="001D41EA">
            <w:pPr>
              <w:spacing w:before="40" w:after="40"/>
              <w:jc w:val="right"/>
              <w:rPr>
                <w:rFonts w:cs="Arial"/>
                <w:sz w:val="18"/>
                <w:szCs w:val="18"/>
              </w:rPr>
            </w:pPr>
            <w:r w:rsidRPr="001D41EA">
              <w:rPr>
                <w:rFonts w:cs="Arial"/>
                <w:sz w:val="18"/>
                <w:szCs w:val="18"/>
              </w:rPr>
              <w:t>6,683,316</w:t>
            </w:r>
          </w:p>
        </w:tc>
        <w:tc>
          <w:tcPr>
            <w:tcW w:w="1361" w:type="dxa"/>
            <w:tcBorders>
              <w:top w:val="nil"/>
              <w:left w:val="nil"/>
              <w:bottom w:val="nil"/>
              <w:right w:val="nil"/>
            </w:tcBorders>
            <w:shd w:val="clear" w:color="auto" w:fill="auto"/>
            <w:noWrap/>
            <w:vAlign w:val="bottom"/>
          </w:tcPr>
          <w:p w14:paraId="1CE638F8" w14:textId="6B381162" w:rsidR="00584325" w:rsidRPr="001D41EA" w:rsidRDefault="00584325" w:rsidP="001D41EA">
            <w:pPr>
              <w:spacing w:before="40" w:after="40"/>
              <w:jc w:val="right"/>
              <w:rPr>
                <w:rFonts w:cs="Arial"/>
                <w:sz w:val="18"/>
                <w:szCs w:val="18"/>
              </w:rPr>
            </w:pPr>
            <w:r w:rsidRPr="001D41EA">
              <w:rPr>
                <w:rFonts w:cs="Arial"/>
                <w:sz w:val="18"/>
                <w:szCs w:val="18"/>
              </w:rPr>
              <w:t>3,594,380</w:t>
            </w:r>
          </w:p>
        </w:tc>
      </w:tr>
      <w:tr w:rsidR="00584325" w:rsidRPr="001D41EA" w14:paraId="708AAFC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2CED7B8" w14:textId="77777777" w:rsidR="00584325" w:rsidRPr="001D41EA" w:rsidRDefault="00584325" w:rsidP="001D41EA">
            <w:pPr>
              <w:spacing w:before="40" w:after="40"/>
              <w:rPr>
                <w:rFonts w:cs="Arial"/>
                <w:sz w:val="18"/>
                <w:szCs w:val="18"/>
              </w:rPr>
            </w:pPr>
            <w:r w:rsidRPr="001D41EA">
              <w:rPr>
                <w:rFonts w:cs="Arial"/>
                <w:sz w:val="18"/>
                <w:szCs w:val="18"/>
              </w:rPr>
              <w:t>Hume C</w:t>
            </w:r>
          </w:p>
        </w:tc>
        <w:tc>
          <w:tcPr>
            <w:tcW w:w="1361" w:type="dxa"/>
            <w:tcBorders>
              <w:top w:val="nil"/>
              <w:left w:val="single" w:sz="18" w:space="0" w:color="5F497A" w:themeColor="accent4" w:themeShade="BF"/>
              <w:bottom w:val="nil"/>
              <w:right w:val="nil"/>
            </w:tcBorders>
            <w:shd w:val="clear" w:color="auto" w:fill="auto"/>
            <w:noWrap/>
            <w:vAlign w:val="bottom"/>
          </w:tcPr>
          <w:p w14:paraId="643693E5" w14:textId="60FFC653" w:rsidR="00584325" w:rsidRPr="001D41EA" w:rsidRDefault="00584325" w:rsidP="001D41EA">
            <w:pPr>
              <w:spacing w:before="40" w:after="40"/>
              <w:jc w:val="right"/>
              <w:rPr>
                <w:rFonts w:cs="Arial"/>
                <w:sz w:val="18"/>
                <w:szCs w:val="18"/>
              </w:rPr>
            </w:pPr>
            <w:r w:rsidRPr="001D41EA">
              <w:rPr>
                <w:rFonts w:cs="Arial"/>
                <w:sz w:val="18"/>
                <w:szCs w:val="18"/>
              </w:rPr>
              <w:t>13,387,521</w:t>
            </w:r>
          </w:p>
        </w:tc>
        <w:tc>
          <w:tcPr>
            <w:tcW w:w="1361" w:type="dxa"/>
            <w:tcBorders>
              <w:top w:val="nil"/>
              <w:left w:val="nil"/>
              <w:bottom w:val="nil"/>
              <w:right w:val="nil"/>
            </w:tcBorders>
            <w:shd w:val="clear" w:color="auto" w:fill="auto"/>
            <w:noWrap/>
            <w:vAlign w:val="bottom"/>
          </w:tcPr>
          <w:p w14:paraId="1CD4A12B" w14:textId="4F685A4F" w:rsidR="00584325" w:rsidRPr="001D41EA" w:rsidRDefault="00584325" w:rsidP="001D41EA">
            <w:pPr>
              <w:spacing w:before="40" w:after="40"/>
              <w:jc w:val="right"/>
              <w:rPr>
                <w:rFonts w:cs="Arial"/>
                <w:sz w:val="18"/>
                <w:szCs w:val="18"/>
              </w:rPr>
            </w:pPr>
            <w:r w:rsidRPr="001D41EA">
              <w:rPr>
                <w:rFonts w:cs="Arial"/>
                <w:sz w:val="18"/>
                <w:szCs w:val="18"/>
              </w:rPr>
              <w:t>26,793,719</w:t>
            </w:r>
          </w:p>
        </w:tc>
        <w:tc>
          <w:tcPr>
            <w:tcW w:w="1361" w:type="dxa"/>
            <w:tcBorders>
              <w:top w:val="nil"/>
              <w:left w:val="nil"/>
              <w:bottom w:val="nil"/>
              <w:right w:val="nil"/>
            </w:tcBorders>
            <w:shd w:val="clear" w:color="auto" w:fill="auto"/>
            <w:noWrap/>
            <w:vAlign w:val="bottom"/>
          </w:tcPr>
          <w:p w14:paraId="2437B475" w14:textId="715D61B6" w:rsidR="00584325" w:rsidRPr="001D41EA" w:rsidRDefault="00584325" w:rsidP="001D41EA">
            <w:pPr>
              <w:spacing w:before="40" w:after="40"/>
              <w:jc w:val="right"/>
              <w:rPr>
                <w:rFonts w:cs="Arial"/>
                <w:sz w:val="18"/>
                <w:szCs w:val="18"/>
              </w:rPr>
            </w:pPr>
            <w:r w:rsidRPr="001D41EA">
              <w:rPr>
                <w:rFonts w:cs="Arial"/>
                <w:sz w:val="18"/>
                <w:szCs w:val="18"/>
              </w:rPr>
              <w:t>10,515,682</w:t>
            </w:r>
          </w:p>
        </w:tc>
        <w:tc>
          <w:tcPr>
            <w:tcW w:w="1361" w:type="dxa"/>
            <w:tcBorders>
              <w:top w:val="nil"/>
              <w:left w:val="nil"/>
              <w:bottom w:val="nil"/>
              <w:right w:val="nil"/>
            </w:tcBorders>
            <w:vAlign w:val="bottom"/>
          </w:tcPr>
          <w:p w14:paraId="0812AB13" w14:textId="267A7B3B" w:rsidR="00584325" w:rsidRPr="001D41EA" w:rsidRDefault="00584325" w:rsidP="001D41EA">
            <w:pPr>
              <w:spacing w:before="40" w:after="40"/>
              <w:jc w:val="right"/>
              <w:rPr>
                <w:rFonts w:cs="Arial"/>
                <w:sz w:val="18"/>
                <w:szCs w:val="18"/>
              </w:rPr>
            </w:pPr>
            <w:r w:rsidRPr="001D41EA">
              <w:rPr>
                <w:rFonts w:cs="Arial"/>
                <w:sz w:val="18"/>
                <w:szCs w:val="18"/>
              </w:rPr>
              <w:t>61,949,816</w:t>
            </w:r>
          </w:p>
        </w:tc>
        <w:tc>
          <w:tcPr>
            <w:tcW w:w="1361" w:type="dxa"/>
            <w:tcBorders>
              <w:top w:val="nil"/>
              <w:left w:val="nil"/>
              <w:bottom w:val="nil"/>
              <w:right w:val="nil"/>
            </w:tcBorders>
            <w:shd w:val="clear" w:color="auto" w:fill="auto"/>
            <w:noWrap/>
            <w:vAlign w:val="bottom"/>
          </w:tcPr>
          <w:p w14:paraId="4F399EB7" w14:textId="43D64081" w:rsidR="00584325" w:rsidRPr="001D41EA" w:rsidRDefault="00584325" w:rsidP="001D41EA">
            <w:pPr>
              <w:spacing w:before="40" w:after="40"/>
              <w:jc w:val="right"/>
              <w:rPr>
                <w:rFonts w:cs="Arial"/>
                <w:sz w:val="18"/>
                <w:szCs w:val="18"/>
              </w:rPr>
            </w:pPr>
            <w:r w:rsidRPr="001D41EA">
              <w:rPr>
                <w:rFonts w:cs="Arial"/>
                <w:sz w:val="18"/>
                <w:szCs w:val="18"/>
              </w:rPr>
              <w:t>23,998,910</w:t>
            </w:r>
          </w:p>
        </w:tc>
      </w:tr>
      <w:tr w:rsidR="00584325" w:rsidRPr="001D41EA" w14:paraId="284EB09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385D184" w14:textId="77777777" w:rsidR="00584325" w:rsidRPr="001D41EA" w:rsidRDefault="00584325" w:rsidP="001D41EA">
            <w:pPr>
              <w:spacing w:before="40" w:after="40"/>
              <w:rPr>
                <w:rFonts w:cs="Arial"/>
                <w:sz w:val="18"/>
                <w:szCs w:val="18"/>
              </w:rPr>
            </w:pPr>
            <w:r w:rsidRPr="001D41EA">
              <w:rPr>
                <w:rFonts w:cs="Arial"/>
                <w:sz w:val="18"/>
                <w:szCs w:val="18"/>
              </w:rPr>
              <w:t>Indigo S</w:t>
            </w:r>
          </w:p>
        </w:tc>
        <w:tc>
          <w:tcPr>
            <w:tcW w:w="1361" w:type="dxa"/>
            <w:tcBorders>
              <w:top w:val="nil"/>
              <w:left w:val="single" w:sz="18" w:space="0" w:color="5F497A" w:themeColor="accent4" w:themeShade="BF"/>
              <w:bottom w:val="nil"/>
              <w:right w:val="nil"/>
            </w:tcBorders>
            <w:shd w:val="clear" w:color="auto" w:fill="auto"/>
            <w:noWrap/>
            <w:vAlign w:val="bottom"/>
          </w:tcPr>
          <w:p w14:paraId="0FC36A3B" w14:textId="0D7565F0" w:rsidR="00584325" w:rsidRPr="001D41EA" w:rsidRDefault="00584325" w:rsidP="001D41EA">
            <w:pPr>
              <w:spacing w:before="40" w:after="40"/>
              <w:jc w:val="right"/>
              <w:rPr>
                <w:rFonts w:cs="Arial"/>
                <w:sz w:val="18"/>
                <w:szCs w:val="18"/>
              </w:rPr>
            </w:pPr>
            <w:r w:rsidRPr="001D41EA">
              <w:rPr>
                <w:rFonts w:cs="Arial"/>
                <w:sz w:val="18"/>
                <w:szCs w:val="18"/>
              </w:rPr>
              <w:t>1,379,391</w:t>
            </w:r>
          </w:p>
        </w:tc>
        <w:tc>
          <w:tcPr>
            <w:tcW w:w="1361" w:type="dxa"/>
            <w:tcBorders>
              <w:top w:val="nil"/>
              <w:left w:val="nil"/>
              <w:bottom w:val="nil"/>
              <w:right w:val="nil"/>
            </w:tcBorders>
            <w:shd w:val="clear" w:color="auto" w:fill="auto"/>
            <w:noWrap/>
            <w:vAlign w:val="bottom"/>
          </w:tcPr>
          <w:p w14:paraId="56CF1287" w14:textId="6BD47031" w:rsidR="00584325" w:rsidRPr="001D41EA" w:rsidRDefault="00584325" w:rsidP="001D41EA">
            <w:pPr>
              <w:spacing w:before="40" w:after="40"/>
              <w:jc w:val="right"/>
              <w:rPr>
                <w:rFonts w:cs="Arial"/>
                <w:sz w:val="18"/>
                <w:szCs w:val="18"/>
              </w:rPr>
            </w:pPr>
            <w:r w:rsidRPr="001D41EA">
              <w:rPr>
                <w:rFonts w:cs="Arial"/>
                <w:sz w:val="18"/>
                <w:szCs w:val="18"/>
              </w:rPr>
              <w:t>1,709,332</w:t>
            </w:r>
          </w:p>
        </w:tc>
        <w:tc>
          <w:tcPr>
            <w:tcW w:w="1361" w:type="dxa"/>
            <w:tcBorders>
              <w:top w:val="nil"/>
              <w:left w:val="nil"/>
              <w:bottom w:val="nil"/>
              <w:right w:val="nil"/>
            </w:tcBorders>
            <w:shd w:val="clear" w:color="auto" w:fill="auto"/>
            <w:noWrap/>
            <w:vAlign w:val="bottom"/>
          </w:tcPr>
          <w:p w14:paraId="6106AE9E" w14:textId="4FE0F6FE" w:rsidR="00584325" w:rsidRPr="001D41EA" w:rsidRDefault="00584325" w:rsidP="001D41EA">
            <w:pPr>
              <w:spacing w:before="40" w:after="40"/>
              <w:jc w:val="right"/>
              <w:rPr>
                <w:rFonts w:cs="Arial"/>
                <w:sz w:val="18"/>
                <w:szCs w:val="18"/>
              </w:rPr>
            </w:pPr>
            <w:r w:rsidRPr="001D41EA">
              <w:rPr>
                <w:rFonts w:cs="Arial"/>
                <w:sz w:val="18"/>
                <w:szCs w:val="18"/>
              </w:rPr>
              <w:t>1,150,265</w:t>
            </w:r>
          </w:p>
        </w:tc>
        <w:tc>
          <w:tcPr>
            <w:tcW w:w="1361" w:type="dxa"/>
            <w:tcBorders>
              <w:top w:val="nil"/>
              <w:left w:val="nil"/>
              <w:bottom w:val="nil"/>
              <w:right w:val="nil"/>
            </w:tcBorders>
            <w:vAlign w:val="bottom"/>
          </w:tcPr>
          <w:p w14:paraId="5865BA9D" w14:textId="04705D65" w:rsidR="00584325" w:rsidRPr="001D41EA" w:rsidRDefault="00584325" w:rsidP="001D41EA">
            <w:pPr>
              <w:spacing w:before="40" w:after="40"/>
              <w:jc w:val="right"/>
              <w:rPr>
                <w:rFonts w:cs="Arial"/>
                <w:sz w:val="18"/>
                <w:szCs w:val="18"/>
              </w:rPr>
            </w:pPr>
            <w:r w:rsidRPr="001D41EA">
              <w:rPr>
                <w:rFonts w:cs="Arial"/>
                <w:sz w:val="18"/>
                <w:szCs w:val="18"/>
              </w:rPr>
              <w:t>5,131,864</w:t>
            </w:r>
          </w:p>
        </w:tc>
        <w:tc>
          <w:tcPr>
            <w:tcW w:w="1361" w:type="dxa"/>
            <w:tcBorders>
              <w:top w:val="nil"/>
              <w:left w:val="nil"/>
              <w:bottom w:val="nil"/>
              <w:right w:val="nil"/>
            </w:tcBorders>
            <w:shd w:val="clear" w:color="auto" w:fill="auto"/>
            <w:noWrap/>
            <w:vAlign w:val="bottom"/>
          </w:tcPr>
          <w:p w14:paraId="51B5035C" w14:textId="65BBAD7A" w:rsidR="00584325" w:rsidRPr="001D41EA" w:rsidRDefault="00584325" w:rsidP="001D41EA">
            <w:pPr>
              <w:spacing w:before="40" w:after="40"/>
              <w:jc w:val="right"/>
              <w:rPr>
                <w:rFonts w:cs="Arial"/>
                <w:sz w:val="18"/>
                <w:szCs w:val="18"/>
              </w:rPr>
            </w:pPr>
            <w:r w:rsidRPr="001D41EA">
              <w:rPr>
                <w:rFonts w:cs="Arial"/>
                <w:sz w:val="18"/>
                <w:szCs w:val="18"/>
              </w:rPr>
              <w:t>3,277,177</w:t>
            </w:r>
          </w:p>
        </w:tc>
      </w:tr>
      <w:tr w:rsidR="00584325" w:rsidRPr="001D41EA" w14:paraId="7D79FED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DD99EB1" w14:textId="77777777" w:rsidR="00584325" w:rsidRPr="001D41EA" w:rsidRDefault="00584325" w:rsidP="001D41EA">
            <w:pPr>
              <w:spacing w:before="40" w:after="40"/>
              <w:rPr>
                <w:rFonts w:cs="Arial"/>
                <w:sz w:val="18"/>
                <w:szCs w:val="18"/>
              </w:rPr>
            </w:pPr>
            <w:r w:rsidRPr="001D41EA">
              <w:rPr>
                <w:rFonts w:cs="Arial"/>
                <w:sz w:val="18"/>
                <w:szCs w:val="18"/>
              </w:rPr>
              <w:t>Kingston C</w:t>
            </w:r>
          </w:p>
        </w:tc>
        <w:tc>
          <w:tcPr>
            <w:tcW w:w="1361" w:type="dxa"/>
            <w:tcBorders>
              <w:top w:val="nil"/>
              <w:left w:val="single" w:sz="18" w:space="0" w:color="5F497A" w:themeColor="accent4" w:themeShade="BF"/>
              <w:bottom w:val="nil"/>
              <w:right w:val="nil"/>
            </w:tcBorders>
            <w:shd w:val="clear" w:color="auto" w:fill="auto"/>
            <w:noWrap/>
            <w:vAlign w:val="bottom"/>
          </w:tcPr>
          <w:p w14:paraId="50A9E695" w14:textId="6BFB0D97" w:rsidR="00584325" w:rsidRPr="001D41EA" w:rsidRDefault="00584325" w:rsidP="001D41EA">
            <w:pPr>
              <w:spacing w:before="40" w:after="40"/>
              <w:jc w:val="right"/>
              <w:rPr>
                <w:rFonts w:cs="Arial"/>
                <w:sz w:val="18"/>
                <w:szCs w:val="18"/>
              </w:rPr>
            </w:pPr>
            <w:r w:rsidRPr="001D41EA">
              <w:rPr>
                <w:rFonts w:cs="Arial"/>
                <w:sz w:val="18"/>
                <w:szCs w:val="18"/>
              </w:rPr>
              <w:t>9,070,717</w:t>
            </w:r>
          </w:p>
        </w:tc>
        <w:tc>
          <w:tcPr>
            <w:tcW w:w="1361" w:type="dxa"/>
            <w:tcBorders>
              <w:top w:val="nil"/>
              <w:left w:val="nil"/>
              <w:bottom w:val="nil"/>
              <w:right w:val="nil"/>
            </w:tcBorders>
            <w:shd w:val="clear" w:color="auto" w:fill="auto"/>
            <w:noWrap/>
            <w:vAlign w:val="bottom"/>
          </w:tcPr>
          <w:p w14:paraId="20FFCCC1" w14:textId="194545C1" w:rsidR="00584325" w:rsidRPr="001D41EA" w:rsidRDefault="00584325" w:rsidP="001D41EA">
            <w:pPr>
              <w:spacing w:before="40" w:after="40"/>
              <w:jc w:val="right"/>
              <w:rPr>
                <w:rFonts w:cs="Arial"/>
                <w:sz w:val="18"/>
                <w:szCs w:val="18"/>
              </w:rPr>
            </w:pPr>
            <w:r w:rsidRPr="001D41EA">
              <w:rPr>
                <w:rFonts w:cs="Arial"/>
                <w:sz w:val="18"/>
                <w:szCs w:val="18"/>
              </w:rPr>
              <w:t>14,687,298</w:t>
            </w:r>
          </w:p>
        </w:tc>
        <w:tc>
          <w:tcPr>
            <w:tcW w:w="1361" w:type="dxa"/>
            <w:tcBorders>
              <w:top w:val="nil"/>
              <w:left w:val="nil"/>
              <w:bottom w:val="nil"/>
              <w:right w:val="nil"/>
            </w:tcBorders>
            <w:shd w:val="clear" w:color="auto" w:fill="auto"/>
            <w:noWrap/>
            <w:vAlign w:val="bottom"/>
          </w:tcPr>
          <w:p w14:paraId="105ECDCD" w14:textId="1191C62C" w:rsidR="00584325" w:rsidRPr="001D41EA" w:rsidRDefault="00584325" w:rsidP="001D41EA">
            <w:pPr>
              <w:spacing w:before="40" w:after="40"/>
              <w:jc w:val="right"/>
              <w:rPr>
                <w:rFonts w:cs="Arial"/>
                <w:sz w:val="18"/>
                <w:szCs w:val="18"/>
              </w:rPr>
            </w:pPr>
            <w:r w:rsidRPr="001D41EA">
              <w:rPr>
                <w:rFonts w:cs="Arial"/>
                <w:sz w:val="18"/>
                <w:szCs w:val="18"/>
              </w:rPr>
              <w:t>6,783,595</w:t>
            </w:r>
          </w:p>
        </w:tc>
        <w:tc>
          <w:tcPr>
            <w:tcW w:w="1361" w:type="dxa"/>
            <w:tcBorders>
              <w:top w:val="nil"/>
              <w:left w:val="nil"/>
              <w:bottom w:val="nil"/>
              <w:right w:val="nil"/>
            </w:tcBorders>
            <w:vAlign w:val="bottom"/>
          </w:tcPr>
          <w:p w14:paraId="2009E21A" w14:textId="206C3D49" w:rsidR="00584325" w:rsidRPr="001D41EA" w:rsidRDefault="00584325" w:rsidP="001D41EA">
            <w:pPr>
              <w:spacing w:before="40" w:after="40"/>
              <w:jc w:val="right"/>
              <w:rPr>
                <w:rFonts w:cs="Arial"/>
                <w:sz w:val="18"/>
                <w:szCs w:val="18"/>
              </w:rPr>
            </w:pPr>
            <w:r w:rsidRPr="001D41EA">
              <w:rPr>
                <w:rFonts w:cs="Arial"/>
                <w:sz w:val="18"/>
                <w:szCs w:val="18"/>
              </w:rPr>
              <w:t>45,316,945</w:t>
            </w:r>
          </w:p>
        </w:tc>
        <w:tc>
          <w:tcPr>
            <w:tcW w:w="1361" w:type="dxa"/>
            <w:tcBorders>
              <w:top w:val="nil"/>
              <w:left w:val="nil"/>
              <w:bottom w:val="nil"/>
              <w:right w:val="nil"/>
            </w:tcBorders>
            <w:shd w:val="clear" w:color="auto" w:fill="auto"/>
            <w:noWrap/>
            <w:vAlign w:val="bottom"/>
          </w:tcPr>
          <w:p w14:paraId="3633D4DD" w14:textId="7377CEF1" w:rsidR="00584325" w:rsidRPr="001D41EA" w:rsidRDefault="00584325" w:rsidP="001D41EA">
            <w:pPr>
              <w:spacing w:before="40" w:after="40"/>
              <w:jc w:val="right"/>
              <w:rPr>
                <w:rFonts w:cs="Arial"/>
                <w:sz w:val="18"/>
                <w:szCs w:val="18"/>
              </w:rPr>
            </w:pPr>
            <w:r w:rsidRPr="001D41EA">
              <w:rPr>
                <w:rFonts w:cs="Arial"/>
                <w:sz w:val="18"/>
                <w:szCs w:val="18"/>
              </w:rPr>
              <w:t>21,300,426</w:t>
            </w:r>
          </w:p>
        </w:tc>
      </w:tr>
      <w:tr w:rsidR="00584325" w:rsidRPr="001D41EA" w14:paraId="18C0931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C31A4A4" w14:textId="77777777" w:rsidR="00584325" w:rsidRPr="001D41EA" w:rsidRDefault="00584325" w:rsidP="001D41EA">
            <w:pPr>
              <w:spacing w:before="40" w:after="40"/>
              <w:rPr>
                <w:rFonts w:cs="Arial"/>
                <w:sz w:val="18"/>
                <w:szCs w:val="18"/>
              </w:rPr>
            </w:pPr>
            <w:r w:rsidRPr="001D41EA">
              <w:rPr>
                <w:rFonts w:cs="Arial"/>
                <w:sz w:val="18"/>
                <w:szCs w:val="18"/>
              </w:rPr>
              <w:t>Knox C</w:t>
            </w:r>
          </w:p>
        </w:tc>
        <w:tc>
          <w:tcPr>
            <w:tcW w:w="1361" w:type="dxa"/>
            <w:tcBorders>
              <w:top w:val="nil"/>
              <w:left w:val="single" w:sz="18" w:space="0" w:color="5F497A" w:themeColor="accent4" w:themeShade="BF"/>
              <w:bottom w:val="nil"/>
              <w:right w:val="nil"/>
            </w:tcBorders>
            <w:shd w:val="clear" w:color="auto" w:fill="auto"/>
            <w:noWrap/>
            <w:vAlign w:val="bottom"/>
          </w:tcPr>
          <w:p w14:paraId="27860637" w14:textId="564AE0F2" w:rsidR="00584325" w:rsidRPr="001D41EA" w:rsidRDefault="00584325" w:rsidP="001D41EA">
            <w:pPr>
              <w:spacing w:before="40" w:after="40"/>
              <w:jc w:val="right"/>
              <w:rPr>
                <w:rFonts w:cs="Arial"/>
                <w:sz w:val="18"/>
                <w:szCs w:val="18"/>
              </w:rPr>
            </w:pPr>
            <w:r w:rsidRPr="001D41EA">
              <w:rPr>
                <w:rFonts w:cs="Arial"/>
                <w:sz w:val="18"/>
                <w:szCs w:val="18"/>
              </w:rPr>
              <w:t>9,023,899</w:t>
            </w:r>
          </w:p>
        </w:tc>
        <w:tc>
          <w:tcPr>
            <w:tcW w:w="1361" w:type="dxa"/>
            <w:tcBorders>
              <w:top w:val="nil"/>
              <w:left w:val="nil"/>
              <w:bottom w:val="nil"/>
              <w:right w:val="nil"/>
            </w:tcBorders>
            <w:shd w:val="clear" w:color="auto" w:fill="auto"/>
            <w:noWrap/>
            <w:vAlign w:val="bottom"/>
          </w:tcPr>
          <w:p w14:paraId="5BA92F44" w14:textId="11A48540" w:rsidR="00584325" w:rsidRPr="001D41EA" w:rsidRDefault="00584325" w:rsidP="001D41EA">
            <w:pPr>
              <w:spacing w:before="40" w:after="40"/>
              <w:jc w:val="right"/>
              <w:rPr>
                <w:rFonts w:cs="Arial"/>
                <w:sz w:val="18"/>
                <w:szCs w:val="18"/>
              </w:rPr>
            </w:pPr>
            <w:r w:rsidRPr="001D41EA">
              <w:rPr>
                <w:rFonts w:cs="Arial"/>
                <w:sz w:val="18"/>
                <w:szCs w:val="18"/>
              </w:rPr>
              <w:t>14,460,967</w:t>
            </w:r>
          </w:p>
        </w:tc>
        <w:tc>
          <w:tcPr>
            <w:tcW w:w="1361" w:type="dxa"/>
            <w:tcBorders>
              <w:top w:val="nil"/>
              <w:left w:val="nil"/>
              <w:bottom w:val="nil"/>
              <w:right w:val="nil"/>
            </w:tcBorders>
            <w:shd w:val="clear" w:color="auto" w:fill="auto"/>
            <w:noWrap/>
            <w:vAlign w:val="bottom"/>
          </w:tcPr>
          <w:p w14:paraId="048721E4" w14:textId="6F9899DA" w:rsidR="00584325" w:rsidRPr="001D41EA" w:rsidRDefault="00584325" w:rsidP="001D41EA">
            <w:pPr>
              <w:spacing w:before="40" w:after="40"/>
              <w:jc w:val="right"/>
              <w:rPr>
                <w:rFonts w:cs="Arial"/>
                <w:sz w:val="18"/>
                <w:szCs w:val="18"/>
              </w:rPr>
            </w:pPr>
            <w:r w:rsidRPr="001D41EA">
              <w:rPr>
                <w:rFonts w:cs="Arial"/>
                <w:sz w:val="18"/>
                <w:szCs w:val="18"/>
              </w:rPr>
              <w:t>6,388,378</w:t>
            </w:r>
          </w:p>
        </w:tc>
        <w:tc>
          <w:tcPr>
            <w:tcW w:w="1361" w:type="dxa"/>
            <w:tcBorders>
              <w:top w:val="nil"/>
              <w:left w:val="nil"/>
              <w:bottom w:val="nil"/>
              <w:right w:val="nil"/>
            </w:tcBorders>
            <w:vAlign w:val="bottom"/>
          </w:tcPr>
          <w:p w14:paraId="4F2BE7AB" w14:textId="4C53237A" w:rsidR="00584325" w:rsidRPr="001D41EA" w:rsidRDefault="00584325" w:rsidP="001D41EA">
            <w:pPr>
              <w:spacing w:before="40" w:after="40"/>
              <w:jc w:val="right"/>
              <w:rPr>
                <w:rFonts w:cs="Arial"/>
                <w:sz w:val="18"/>
                <w:szCs w:val="18"/>
              </w:rPr>
            </w:pPr>
            <w:r w:rsidRPr="001D41EA">
              <w:rPr>
                <w:rFonts w:cs="Arial"/>
                <w:sz w:val="18"/>
                <w:szCs w:val="18"/>
              </w:rPr>
              <w:t>44,058,882</w:t>
            </w:r>
          </w:p>
        </w:tc>
        <w:tc>
          <w:tcPr>
            <w:tcW w:w="1361" w:type="dxa"/>
            <w:tcBorders>
              <w:top w:val="nil"/>
              <w:left w:val="nil"/>
              <w:bottom w:val="nil"/>
              <w:right w:val="nil"/>
            </w:tcBorders>
            <w:shd w:val="clear" w:color="auto" w:fill="auto"/>
            <w:noWrap/>
            <w:vAlign w:val="bottom"/>
          </w:tcPr>
          <w:p w14:paraId="62635BAB" w14:textId="2C84CCB9" w:rsidR="00584325" w:rsidRPr="001D41EA" w:rsidRDefault="00584325" w:rsidP="001D41EA">
            <w:pPr>
              <w:spacing w:before="40" w:after="40"/>
              <w:jc w:val="right"/>
              <w:rPr>
                <w:rFonts w:cs="Arial"/>
                <w:sz w:val="18"/>
                <w:szCs w:val="18"/>
              </w:rPr>
            </w:pPr>
            <w:r w:rsidRPr="001D41EA">
              <w:rPr>
                <w:rFonts w:cs="Arial"/>
                <w:sz w:val="18"/>
                <w:szCs w:val="18"/>
              </w:rPr>
              <w:t>19,387,048</w:t>
            </w:r>
          </w:p>
        </w:tc>
      </w:tr>
      <w:tr w:rsidR="00584325" w:rsidRPr="001D41EA" w14:paraId="4246641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ED72595" w14:textId="77777777" w:rsidR="00584325" w:rsidRPr="001D41EA" w:rsidRDefault="00584325" w:rsidP="001D41EA">
            <w:pPr>
              <w:spacing w:before="40" w:after="40"/>
              <w:rPr>
                <w:rFonts w:cs="Arial"/>
                <w:sz w:val="18"/>
                <w:szCs w:val="18"/>
              </w:rPr>
            </w:pPr>
            <w:r w:rsidRPr="001D41EA">
              <w:rPr>
                <w:rFonts w:cs="Arial"/>
                <w:sz w:val="18"/>
                <w:szCs w:val="18"/>
              </w:rPr>
              <w:t>Latrobe C</w:t>
            </w:r>
          </w:p>
        </w:tc>
        <w:tc>
          <w:tcPr>
            <w:tcW w:w="1361" w:type="dxa"/>
            <w:tcBorders>
              <w:top w:val="nil"/>
              <w:left w:val="single" w:sz="18" w:space="0" w:color="5F497A" w:themeColor="accent4" w:themeShade="BF"/>
              <w:bottom w:val="nil"/>
              <w:right w:val="nil"/>
            </w:tcBorders>
            <w:shd w:val="clear" w:color="auto" w:fill="auto"/>
            <w:noWrap/>
            <w:vAlign w:val="bottom"/>
          </w:tcPr>
          <w:p w14:paraId="0EC98B44" w14:textId="7DAEA108" w:rsidR="00584325" w:rsidRPr="001D41EA" w:rsidRDefault="00584325" w:rsidP="001D41EA">
            <w:pPr>
              <w:spacing w:before="40" w:after="40"/>
              <w:jc w:val="right"/>
              <w:rPr>
                <w:rFonts w:cs="Arial"/>
                <w:sz w:val="18"/>
                <w:szCs w:val="18"/>
              </w:rPr>
            </w:pPr>
            <w:r w:rsidRPr="001D41EA">
              <w:rPr>
                <w:rFonts w:cs="Arial"/>
                <w:sz w:val="18"/>
                <w:szCs w:val="18"/>
              </w:rPr>
              <w:t>4,826,110</w:t>
            </w:r>
          </w:p>
        </w:tc>
        <w:tc>
          <w:tcPr>
            <w:tcW w:w="1361" w:type="dxa"/>
            <w:tcBorders>
              <w:top w:val="nil"/>
              <w:left w:val="nil"/>
              <w:bottom w:val="nil"/>
              <w:right w:val="nil"/>
            </w:tcBorders>
            <w:shd w:val="clear" w:color="auto" w:fill="auto"/>
            <w:noWrap/>
            <w:vAlign w:val="bottom"/>
          </w:tcPr>
          <w:p w14:paraId="64F063C7" w14:textId="2F64A937" w:rsidR="00584325" w:rsidRPr="001D41EA" w:rsidRDefault="00584325" w:rsidP="001D41EA">
            <w:pPr>
              <w:spacing w:before="40" w:after="40"/>
              <w:jc w:val="right"/>
              <w:rPr>
                <w:rFonts w:cs="Arial"/>
                <w:sz w:val="18"/>
                <w:szCs w:val="18"/>
              </w:rPr>
            </w:pPr>
            <w:r w:rsidRPr="001D41EA">
              <w:rPr>
                <w:rFonts w:cs="Arial"/>
                <w:sz w:val="18"/>
                <w:szCs w:val="18"/>
              </w:rPr>
              <w:t>8,213,255</w:t>
            </w:r>
          </w:p>
        </w:tc>
        <w:tc>
          <w:tcPr>
            <w:tcW w:w="1361" w:type="dxa"/>
            <w:tcBorders>
              <w:top w:val="nil"/>
              <w:left w:val="nil"/>
              <w:bottom w:val="nil"/>
              <w:right w:val="nil"/>
            </w:tcBorders>
            <w:shd w:val="clear" w:color="auto" w:fill="auto"/>
            <w:noWrap/>
            <w:vAlign w:val="bottom"/>
          </w:tcPr>
          <w:p w14:paraId="7530AC58" w14:textId="43BC7FD1" w:rsidR="00584325" w:rsidRPr="001D41EA" w:rsidRDefault="00584325" w:rsidP="001D41EA">
            <w:pPr>
              <w:spacing w:before="40" w:after="40"/>
              <w:jc w:val="right"/>
              <w:rPr>
                <w:rFonts w:cs="Arial"/>
                <w:sz w:val="18"/>
                <w:szCs w:val="18"/>
              </w:rPr>
            </w:pPr>
            <w:r w:rsidRPr="001D41EA">
              <w:rPr>
                <w:rFonts w:cs="Arial"/>
                <w:sz w:val="18"/>
                <w:szCs w:val="18"/>
              </w:rPr>
              <w:t>5,609,713</w:t>
            </w:r>
          </w:p>
        </w:tc>
        <w:tc>
          <w:tcPr>
            <w:tcW w:w="1361" w:type="dxa"/>
            <w:tcBorders>
              <w:top w:val="nil"/>
              <w:left w:val="nil"/>
              <w:bottom w:val="nil"/>
              <w:right w:val="nil"/>
            </w:tcBorders>
            <w:vAlign w:val="bottom"/>
          </w:tcPr>
          <w:p w14:paraId="6750B11D" w14:textId="318050CA" w:rsidR="00584325" w:rsidRPr="001D41EA" w:rsidRDefault="00584325" w:rsidP="001D41EA">
            <w:pPr>
              <w:spacing w:before="40" w:after="40"/>
              <w:jc w:val="right"/>
              <w:rPr>
                <w:rFonts w:cs="Arial"/>
                <w:sz w:val="18"/>
                <w:szCs w:val="18"/>
              </w:rPr>
            </w:pPr>
            <w:r w:rsidRPr="001D41EA">
              <w:rPr>
                <w:rFonts w:cs="Arial"/>
                <w:sz w:val="18"/>
                <w:szCs w:val="18"/>
              </w:rPr>
              <w:t>25,534,088</w:t>
            </w:r>
          </w:p>
        </w:tc>
        <w:tc>
          <w:tcPr>
            <w:tcW w:w="1361" w:type="dxa"/>
            <w:tcBorders>
              <w:top w:val="nil"/>
              <w:left w:val="nil"/>
              <w:bottom w:val="nil"/>
              <w:right w:val="nil"/>
            </w:tcBorders>
            <w:shd w:val="clear" w:color="auto" w:fill="auto"/>
            <w:noWrap/>
            <w:vAlign w:val="bottom"/>
          </w:tcPr>
          <w:p w14:paraId="1DA79D33" w14:textId="22A82363" w:rsidR="00584325" w:rsidRPr="001D41EA" w:rsidRDefault="00584325" w:rsidP="001D41EA">
            <w:pPr>
              <w:spacing w:before="40" w:after="40"/>
              <w:jc w:val="right"/>
              <w:rPr>
                <w:rFonts w:cs="Arial"/>
                <w:sz w:val="18"/>
                <w:szCs w:val="18"/>
              </w:rPr>
            </w:pPr>
            <w:r w:rsidRPr="001D41EA">
              <w:rPr>
                <w:rFonts w:cs="Arial"/>
                <w:sz w:val="18"/>
                <w:szCs w:val="18"/>
              </w:rPr>
              <w:t>14,160,940</w:t>
            </w:r>
          </w:p>
        </w:tc>
      </w:tr>
      <w:tr w:rsidR="00584325" w:rsidRPr="001D41EA" w14:paraId="30A8235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17A0FBC" w14:textId="77777777" w:rsidR="00584325" w:rsidRPr="001D41EA" w:rsidRDefault="00584325" w:rsidP="001D41EA">
            <w:pPr>
              <w:spacing w:before="40" w:after="40"/>
              <w:rPr>
                <w:rFonts w:cs="Arial"/>
                <w:sz w:val="18"/>
                <w:szCs w:val="18"/>
              </w:rPr>
            </w:pPr>
            <w:r w:rsidRPr="001D41EA">
              <w:rPr>
                <w:rFonts w:cs="Arial"/>
                <w:sz w:val="18"/>
                <w:szCs w:val="18"/>
              </w:rPr>
              <w:t>Loddon S</w:t>
            </w:r>
          </w:p>
        </w:tc>
        <w:tc>
          <w:tcPr>
            <w:tcW w:w="1361" w:type="dxa"/>
            <w:tcBorders>
              <w:top w:val="nil"/>
              <w:left w:val="single" w:sz="18" w:space="0" w:color="5F497A" w:themeColor="accent4" w:themeShade="BF"/>
              <w:bottom w:val="nil"/>
              <w:right w:val="nil"/>
            </w:tcBorders>
            <w:shd w:val="clear" w:color="auto" w:fill="auto"/>
            <w:noWrap/>
            <w:vAlign w:val="bottom"/>
          </w:tcPr>
          <w:p w14:paraId="62BA692D" w14:textId="276243D0" w:rsidR="00584325" w:rsidRPr="001D41EA" w:rsidRDefault="00584325" w:rsidP="001D41EA">
            <w:pPr>
              <w:spacing w:before="40" w:after="40"/>
              <w:jc w:val="right"/>
              <w:rPr>
                <w:rFonts w:cs="Arial"/>
                <w:sz w:val="18"/>
                <w:szCs w:val="18"/>
              </w:rPr>
            </w:pPr>
            <w:r w:rsidRPr="001D41EA">
              <w:rPr>
                <w:rFonts w:cs="Arial"/>
                <w:sz w:val="18"/>
                <w:szCs w:val="18"/>
              </w:rPr>
              <w:t>1,495,965</w:t>
            </w:r>
          </w:p>
        </w:tc>
        <w:tc>
          <w:tcPr>
            <w:tcW w:w="1361" w:type="dxa"/>
            <w:tcBorders>
              <w:top w:val="nil"/>
              <w:left w:val="nil"/>
              <w:bottom w:val="nil"/>
              <w:right w:val="nil"/>
            </w:tcBorders>
            <w:shd w:val="clear" w:color="auto" w:fill="auto"/>
            <w:noWrap/>
            <w:vAlign w:val="bottom"/>
          </w:tcPr>
          <w:p w14:paraId="2461C0EF" w14:textId="7FD05AE6" w:rsidR="00584325" w:rsidRPr="001D41EA" w:rsidRDefault="00584325" w:rsidP="001D41EA">
            <w:pPr>
              <w:spacing w:before="40" w:after="40"/>
              <w:jc w:val="right"/>
              <w:rPr>
                <w:rFonts w:cs="Arial"/>
                <w:sz w:val="18"/>
                <w:szCs w:val="18"/>
              </w:rPr>
            </w:pPr>
            <w:r w:rsidRPr="001D41EA">
              <w:rPr>
                <w:rFonts w:cs="Arial"/>
                <w:sz w:val="18"/>
                <w:szCs w:val="18"/>
              </w:rPr>
              <w:t>832,756</w:t>
            </w:r>
          </w:p>
        </w:tc>
        <w:tc>
          <w:tcPr>
            <w:tcW w:w="1361" w:type="dxa"/>
            <w:tcBorders>
              <w:top w:val="nil"/>
              <w:left w:val="nil"/>
              <w:bottom w:val="nil"/>
              <w:right w:val="nil"/>
            </w:tcBorders>
            <w:shd w:val="clear" w:color="auto" w:fill="auto"/>
            <w:noWrap/>
            <w:vAlign w:val="bottom"/>
          </w:tcPr>
          <w:p w14:paraId="553365A4" w14:textId="773C2FAC" w:rsidR="00584325" w:rsidRPr="001D41EA" w:rsidRDefault="00584325" w:rsidP="001D41EA">
            <w:pPr>
              <w:spacing w:before="40" w:after="40"/>
              <w:jc w:val="right"/>
              <w:rPr>
                <w:rFonts w:cs="Arial"/>
                <w:sz w:val="18"/>
                <w:szCs w:val="18"/>
              </w:rPr>
            </w:pPr>
            <w:r w:rsidRPr="001D41EA">
              <w:rPr>
                <w:rFonts w:cs="Arial"/>
                <w:sz w:val="18"/>
                <w:szCs w:val="18"/>
              </w:rPr>
              <w:t>870,263</w:t>
            </w:r>
          </w:p>
        </w:tc>
        <w:tc>
          <w:tcPr>
            <w:tcW w:w="1361" w:type="dxa"/>
            <w:tcBorders>
              <w:top w:val="nil"/>
              <w:left w:val="nil"/>
              <w:bottom w:val="nil"/>
              <w:right w:val="nil"/>
            </w:tcBorders>
            <w:vAlign w:val="bottom"/>
          </w:tcPr>
          <w:p w14:paraId="2FCF3619" w14:textId="5AFDDF15" w:rsidR="00584325" w:rsidRPr="001D41EA" w:rsidRDefault="00584325" w:rsidP="001D41EA">
            <w:pPr>
              <w:spacing w:before="40" w:after="40"/>
              <w:jc w:val="right"/>
              <w:rPr>
                <w:rFonts w:cs="Arial"/>
                <w:sz w:val="18"/>
                <w:szCs w:val="18"/>
              </w:rPr>
            </w:pPr>
            <w:r w:rsidRPr="001D41EA">
              <w:rPr>
                <w:rFonts w:cs="Arial"/>
                <w:sz w:val="18"/>
                <w:szCs w:val="18"/>
              </w:rPr>
              <w:t>2,442,296</w:t>
            </w:r>
          </w:p>
        </w:tc>
        <w:tc>
          <w:tcPr>
            <w:tcW w:w="1361" w:type="dxa"/>
            <w:tcBorders>
              <w:top w:val="nil"/>
              <w:left w:val="nil"/>
              <w:bottom w:val="nil"/>
              <w:right w:val="nil"/>
            </w:tcBorders>
            <w:shd w:val="clear" w:color="auto" w:fill="auto"/>
            <w:noWrap/>
            <w:vAlign w:val="bottom"/>
          </w:tcPr>
          <w:p w14:paraId="3B5B17AD" w14:textId="5863FD5F" w:rsidR="00584325" w:rsidRPr="001D41EA" w:rsidRDefault="00584325" w:rsidP="001D41EA">
            <w:pPr>
              <w:spacing w:before="40" w:after="40"/>
              <w:jc w:val="right"/>
              <w:rPr>
                <w:rFonts w:cs="Arial"/>
                <w:sz w:val="18"/>
                <w:szCs w:val="18"/>
              </w:rPr>
            </w:pPr>
            <w:r w:rsidRPr="001D41EA">
              <w:rPr>
                <w:rFonts w:cs="Arial"/>
                <w:sz w:val="18"/>
                <w:szCs w:val="18"/>
              </w:rPr>
              <w:t>1,983,294</w:t>
            </w:r>
          </w:p>
        </w:tc>
      </w:tr>
    </w:tbl>
    <w:p w14:paraId="3D606BC4" w14:textId="77777777" w:rsidR="00185DCF" w:rsidRPr="00A44829" w:rsidRDefault="00185DCF" w:rsidP="00FF36E8">
      <w:pPr>
        <w:spacing w:before="40" w:after="20"/>
        <w:rPr>
          <w:rFonts w:cs="Arial"/>
          <w:sz w:val="18"/>
          <w:szCs w:val="18"/>
        </w:rPr>
      </w:pPr>
    </w:p>
    <w:p w14:paraId="371309A8" w14:textId="77777777" w:rsidR="00F04ADE" w:rsidRPr="00A44829" w:rsidRDefault="00185DCF" w:rsidP="00FF36E8">
      <w:pPr>
        <w:spacing w:before="40" w:after="20"/>
        <w:rPr>
          <w:rFonts w:cs="Arial"/>
          <w:sz w:val="18"/>
          <w:szCs w:val="18"/>
        </w:rPr>
      </w:pPr>
      <w:r w:rsidRPr="00A44829">
        <w:rPr>
          <w:rFonts w:cs="Arial"/>
          <w:sz w:val="18"/>
          <w:szCs w:val="18"/>
        </w:rPr>
        <w:br w:type="page"/>
      </w:r>
    </w:p>
    <w:p w14:paraId="7066487F" w14:textId="1A92388E" w:rsidR="00F04ADE" w:rsidRPr="00A44829" w:rsidRDefault="00EE4593" w:rsidP="00C33713">
      <w:pPr>
        <w:pStyle w:val="VGC-Head10"/>
      </w:pPr>
      <w:r w:rsidRPr="00A44829">
        <w:lastRenderedPageBreak/>
        <w:t>2019-20</w:t>
      </w:r>
      <w:r w:rsidR="00A97ABE" w:rsidRPr="00A44829">
        <w:t xml:space="preserve"> </w:t>
      </w:r>
      <w:r w:rsidR="00F04ADE" w:rsidRPr="00A44829">
        <w:t>General Purpose Grants</w:t>
      </w:r>
      <w:r w:rsidR="00CE4507" w:rsidRPr="00A44829">
        <w:tab/>
        <w:t>Appendix 4</w:t>
      </w:r>
    </w:p>
    <w:p w14:paraId="1EF82181" w14:textId="77777777" w:rsidR="00F04ADE" w:rsidRPr="00A44829" w:rsidRDefault="004F1184" w:rsidP="008C1A28">
      <w:pPr>
        <w:pStyle w:val="VGC-Head2"/>
      </w:pPr>
      <w:r w:rsidRPr="00A44829">
        <w:tab/>
      </w:r>
      <w:r w:rsidR="00F04ADE" w:rsidRPr="00A44829">
        <w:t>F.  Standardised Expenditure</w:t>
      </w:r>
    </w:p>
    <w:p w14:paraId="302A24F6" w14:textId="77777777" w:rsidR="00D17F37" w:rsidRPr="00A44829" w:rsidRDefault="00D17F37"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F04ADE" w:rsidRPr="00A44829" w14:paraId="05AC83DF" w14:textId="77777777" w:rsidTr="00B44BBE">
        <w:trPr>
          <w:tblHeader/>
        </w:trPr>
        <w:tc>
          <w:tcPr>
            <w:tcW w:w="2268" w:type="dxa"/>
            <w:tcBorders>
              <w:top w:val="nil"/>
              <w:left w:val="nil"/>
              <w:right w:val="single" w:sz="18" w:space="0" w:color="5F497A" w:themeColor="accent4" w:themeShade="BF"/>
            </w:tcBorders>
            <w:shd w:val="clear" w:color="auto" w:fill="auto"/>
            <w:vAlign w:val="bottom"/>
          </w:tcPr>
          <w:p w14:paraId="5BD8B5B3" w14:textId="77777777" w:rsidR="00F04ADE" w:rsidRPr="00A44829" w:rsidRDefault="00F04ADE" w:rsidP="008001AD">
            <w:pPr>
              <w:spacing w:before="40" w:after="20"/>
              <w:jc w:val="center"/>
              <w:rPr>
                <w:rFonts w:cs="Arial"/>
                <w:sz w:val="18"/>
                <w:szCs w:val="18"/>
              </w:rPr>
            </w:pPr>
          </w:p>
        </w:tc>
        <w:tc>
          <w:tcPr>
            <w:tcW w:w="6805" w:type="dxa"/>
            <w:gridSpan w:val="5"/>
            <w:tcBorders>
              <w:left w:val="single" w:sz="18" w:space="0" w:color="5F497A" w:themeColor="accent4" w:themeShade="BF"/>
              <w:bottom w:val="single" w:sz="8" w:space="0" w:color="5F497A" w:themeColor="accent4" w:themeShade="BF"/>
              <w:right w:val="nil"/>
            </w:tcBorders>
            <w:shd w:val="clear" w:color="auto" w:fill="auto"/>
            <w:vAlign w:val="bottom"/>
          </w:tcPr>
          <w:p w14:paraId="23BF870B" w14:textId="77777777" w:rsidR="00F04ADE" w:rsidRPr="00A44829" w:rsidRDefault="00F04ADE" w:rsidP="008001AD">
            <w:pPr>
              <w:spacing w:before="40" w:after="20"/>
              <w:jc w:val="center"/>
              <w:rPr>
                <w:rFonts w:cs="Arial"/>
                <w:b/>
                <w:sz w:val="18"/>
                <w:szCs w:val="18"/>
              </w:rPr>
            </w:pPr>
            <w:r w:rsidRPr="00A44829">
              <w:rPr>
                <w:rFonts w:cs="Arial"/>
                <w:b/>
                <w:sz w:val="18"/>
                <w:szCs w:val="18"/>
              </w:rPr>
              <w:t>Net Standardised Expenditure</w:t>
            </w:r>
          </w:p>
        </w:tc>
      </w:tr>
      <w:tr w:rsidR="00D65191" w:rsidRPr="00A44829" w14:paraId="7FB04168" w14:textId="77777777" w:rsidTr="00B44BBE">
        <w:trPr>
          <w:tblHeader/>
        </w:trPr>
        <w:tc>
          <w:tcPr>
            <w:tcW w:w="2268" w:type="dxa"/>
            <w:tcBorders>
              <w:top w:val="nil"/>
              <w:left w:val="nil"/>
              <w:right w:val="single" w:sz="18" w:space="0" w:color="5F497A" w:themeColor="accent4" w:themeShade="BF"/>
            </w:tcBorders>
            <w:shd w:val="clear" w:color="auto" w:fill="auto"/>
            <w:vAlign w:val="bottom"/>
          </w:tcPr>
          <w:p w14:paraId="464BB171" w14:textId="77777777" w:rsidR="00D65191" w:rsidRPr="00A44829" w:rsidRDefault="00D65191" w:rsidP="008001AD">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60E31510" w14:textId="77777777" w:rsidR="00D65191" w:rsidRPr="00A44829" w:rsidRDefault="00D65191" w:rsidP="008001AD">
            <w:pPr>
              <w:spacing w:before="40" w:after="20"/>
              <w:jc w:val="center"/>
              <w:rPr>
                <w:rFonts w:cs="Arial"/>
                <w:sz w:val="16"/>
                <w:szCs w:val="16"/>
              </w:rPr>
            </w:pPr>
            <w:r w:rsidRPr="00A44829">
              <w:rPr>
                <w:rFonts w:cs="Arial"/>
                <w:sz w:val="16"/>
                <w:szCs w:val="16"/>
              </w:rPr>
              <w:t xml:space="preserve">Traffic </w:t>
            </w:r>
            <w:r w:rsidRPr="00A44829">
              <w:rPr>
                <w:rFonts w:cs="Arial"/>
                <w:sz w:val="16"/>
                <w:szCs w:val="16"/>
              </w:rPr>
              <w:br/>
              <w:t xml:space="preserve">&amp; Street Management </w:t>
            </w:r>
            <w:r w:rsidRPr="00A44829">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02ABFEED" w14:textId="77777777" w:rsidR="00D65191" w:rsidRPr="00A44829" w:rsidRDefault="00D65191" w:rsidP="008001AD">
            <w:pPr>
              <w:spacing w:before="40" w:after="20"/>
              <w:jc w:val="center"/>
              <w:rPr>
                <w:rFonts w:cs="Arial"/>
                <w:sz w:val="16"/>
                <w:szCs w:val="16"/>
              </w:rPr>
            </w:pPr>
            <w:r w:rsidRPr="00A44829">
              <w:rPr>
                <w:rFonts w:cs="Arial"/>
                <w:sz w:val="16"/>
                <w:szCs w:val="16"/>
              </w:rPr>
              <w:t>Environment</w:t>
            </w:r>
            <w:r w:rsidRPr="00A44829">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1B5F8418" w14:textId="77777777" w:rsidR="00D65191" w:rsidRPr="00A44829" w:rsidRDefault="00D65191" w:rsidP="008001AD">
            <w:pPr>
              <w:spacing w:before="40" w:after="20"/>
              <w:jc w:val="center"/>
              <w:rPr>
                <w:rFonts w:cs="Arial"/>
                <w:sz w:val="16"/>
                <w:szCs w:val="16"/>
              </w:rPr>
            </w:pPr>
            <w:r w:rsidRPr="00A44829">
              <w:rPr>
                <w:rFonts w:cs="Arial"/>
                <w:sz w:val="16"/>
                <w:szCs w:val="16"/>
              </w:rPr>
              <w:t xml:space="preserve">Business </w:t>
            </w:r>
            <w:r w:rsidRPr="00A44829">
              <w:rPr>
                <w:rFonts w:cs="Arial"/>
                <w:sz w:val="16"/>
                <w:szCs w:val="16"/>
              </w:rPr>
              <w:br/>
              <w:t>&amp; Economic Services</w:t>
            </w:r>
            <w:r w:rsidRPr="00A44829">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vAlign w:val="bottom"/>
          </w:tcPr>
          <w:p w14:paraId="3A5B56D3" w14:textId="77777777" w:rsidR="00D65191" w:rsidRPr="00A44829" w:rsidRDefault="00D65191" w:rsidP="008001AD">
            <w:pPr>
              <w:spacing w:before="40" w:after="20"/>
              <w:jc w:val="center"/>
              <w:rPr>
                <w:rFonts w:cs="Arial"/>
                <w:sz w:val="16"/>
                <w:szCs w:val="16"/>
              </w:rPr>
            </w:pPr>
            <w:r w:rsidRPr="00A44829">
              <w:rPr>
                <w:rFonts w:cs="Arial"/>
                <w:sz w:val="16"/>
                <w:szCs w:val="16"/>
              </w:rPr>
              <w:t xml:space="preserve">Local Roads </w:t>
            </w:r>
            <w:r w:rsidRPr="00A44829">
              <w:rPr>
                <w:rFonts w:cs="Arial"/>
                <w:sz w:val="16"/>
                <w:szCs w:val="16"/>
              </w:rPr>
              <w:br/>
              <w:t xml:space="preserve">&amp; Bridges </w:t>
            </w:r>
            <w:r w:rsidRPr="00A44829">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D1EBFC8" w14:textId="77777777" w:rsidR="00D65191" w:rsidRPr="00A44829" w:rsidRDefault="00D65191" w:rsidP="008001AD">
            <w:pPr>
              <w:spacing w:before="40" w:after="20"/>
              <w:jc w:val="center"/>
              <w:rPr>
                <w:rFonts w:cs="Arial"/>
                <w:sz w:val="16"/>
                <w:szCs w:val="16"/>
              </w:rPr>
            </w:pPr>
            <w:r w:rsidRPr="00A44829">
              <w:rPr>
                <w:rFonts w:cs="Arial"/>
                <w:sz w:val="16"/>
                <w:szCs w:val="16"/>
              </w:rPr>
              <w:t xml:space="preserve">Total </w:t>
            </w:r>
            <w:r w:rsidRPr="00A44829">
              <w:rPr>
                <w:rFonts w:cs="Arial"/>
                <w:sz w:val="16"/>
                <w:szCs w:val="16"/>
              </w:rPr>
              <w:br/>
              <w:t>($)</w:t>
            </w:r>
          </w:p>
        </w:tc>
      </w:tr>
      <w:tr w:rsidR="00584325" w:rsidRPr="001D41EA" w14:paraId="31896B81" w14:textId="77777777" w:rsidTr="00B44BBE">
        <w:trPr>
          <w:tblHeader/>
        </w:trPr>
        <w:tc>
          <w:tcPr>
            <w:tcW w:w="2268" w:type="dxa"/>
            <w:tcBorders>
              <w:left w:val="nil"/>
              <w:bottom w:val="nil"/>
              <w:right w:val="single" w:sz="18" w:space="0" w:color="5F497A" w:themeColor="accent4" w:themeShade="BF"/>
            </w:tcBorders>
            <w:shd w:val="clear" w:color="auto" w:fill="auto"/>
            <w:noWrap/>
            <w:vAlign w:val="center"/>
          </w:tcPr>
          <w:p w14:paraId="27CA263F" w14:textId="77777777" w:rsidR="00584325" w:rsidRPr="001D41EA" w:rsidRDefault="00584325" w:rsidP="001D41EA">
            <w:pPr>
              <w:spacing w:before="40" w:after="4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112A1548" w14:textId="77777777" w:rsidR="00584325" w:rsidRPr="001D41EA" w:rsidRDefault="00584325" w:rsidP="001D41EA">
            <w:pPr>
              <w:spacing w:before="40" w:after="4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167F2F32" w14:textId="77777777" w:rsidR="00584325" w:rsidRPr="001D41EA" w:rsidRDefault="00584325" w:rsidP="001D41EA">
            <w:pPr>
              <w:spacing w:before="40" w:after="4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284241F2" w14:textId="77777777" w:rsidR="00584325" w:rsidRPr="001D41EA" w:rsidRDefault="00584325" w:rsidP="001D41EA">
            <w:pPr>
              <w:spacing w:before="40" w:after="40"/>
              <w:jc w:val="right"/>
              <w:rPr>
                <w:rFonts w:cs="Arial"/>
                <w:sz w:val="18"/>
                <w:szCs w:val="18"/>
              </w:rPr>
            </w:pPr>
          </w:p>
        </w:tc>
        <w:tc>
          <w:tcPr>
            <w:tcW w:w="1361" w:type="dxa"/>
            <w:tcBorders>
              <w:top w:val="single" w:sz="8" w:space="0" w:color="5F497A" w:themeColor="accent4" w:themeShade="BF"/>
              <w:left w:val="nil"/>
              <w:bottom w:val="nil"/>
              <w:right w:val="nil"/>
            </w:tcBorders>
            <w:vAlign w:val="bottom"/>
          </w:tcPr>
          <w:p w14:paraId="10E89DE9" w14:textId="77777777" w:rsidR="00584325" w:rsidRPr="001D41EA" w:rsidRDefault="00584325" w:rsidP="001D41EA">
            <w:pPr>
              <w:spacing w:before="40" w:after="4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46FEA193" w14:textId="37A32DB4" w:rsidR="00584325" w:rsidRPr="001D41EA" w:rsidRDefault="00584325" w:rsidP="001D41EA">
            <w:pPr>
              <w:spacing w:before="40" w:after="40"/>
              <w:jc w:val="right"/>
              <w:rPr>
                <w:rFonts w:cs="Arial"/>
                <w:b/>
                <w:sz w:val="18"/>
                <w:szCs w:val="18"/>
              </w:rPr>
            </w:pPr>
            <w:r w:rsidRPr="001D41EA">
              <w:rPr>
                <w:rFonts w:cs="Arial"/>
                <w:b/>
                <w:sz w:val="18"/>
                <w:szCs w:val="18"/>
              </w:rPr>
              <w:t> </w:t>
            </w:r>
          </w:p>
        </w:tc>
      </w:tr>
      <w:tr w:rsidR="00584325" w:rsidRPr="001D41EA" w14:paraId="2AEF1C6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FEE0B4D" w14:textId="77777777" w:rsidR="00584325" w:rsidRPr="001D41EA" w:rsidRDefault="00584325" w:rsidP="001D41EA">
            <w:pPr>
              <w:spacing w:before="40" w:after="40"/>
              <w:rPr>
                <w:rFonts w:cs="Arial"/>
                <w:sz w:val="18"/>
                <w:szCs w:val="18"/>
              </w:rPr>
            </w:pPr>
            <w:r w:rsidRPr="001D41EA">
              <w:rPr>
                <w:rFonts w:cs="Arial"/>
                <w:sz w:val="18"/>
                <w:szCs w:val="18"/>
              </w:rPr>
              <w:t>Alpine S</w:t>
            </w:r>
          </w:p>
        </w:tc>
        <w:tc>
          <w:tcPr>
            <w:tcW w:w="1361" w:type="dxa"/>
            <w:tcBorders>
              <w:top w:val="nil"/>
              <w:left w:val="single" w:sz="18" w:space="0" w:color="5F497A" w:themeColor="accent4" w:themeShade="BF"/>
              <w:bottom w:val="nil"/>
              <w:right w:val="nil"/>
            </w:tcBorders>
            <w:shd w:val="clear" w:color="auto" w:fill="auto"/>
            <w:noWrap/>
            <w:vAlign w:val="bottom"/>
          </w:tcPr>
          <w:p w14:paraId="6A348833" w14:textId="0A1D2856" w:rsidR="00584325" w:rsidRPr="001D41EA" w:rsidRDefault="00584325" w:rsidP="001D41EA">
            <w:pPr>
              <w:spacing w:before="40" w:after="40"/>
              <w:jc w:val="right"/>
              <w:rPr>
                <w:rFonts w:cs="Arial"/>
                <w:sz w:val="18"/>
                <w:szCs w:val="18"/>
              </w:rPr>
            </w:pPr>
            <w:r w:rsidRPr="001D41EA">
              <w:rPr>
                <w:rFonts w:cs="Arial"/>
                <w:sz w:val="18"/>
                <w:szCs w:val="18"/>
              </w:rPr>
              <w:t>2,280,672</w:t>
            </w:r>
          </w:p>
        </w:tc>
        <w:tc>
          <w:tcPr>
            <w:tcW w:w="1361" w:type="dxa"/>
            <w:tcBorders>
              <w:top w:val="nil"/>
              <w:left w:val="nil"/>
              <w:bottom w:val="nil"/>
              <w:right w:val="nil"/>
            </w:tcBorders>
            <w:shd w:val="clear" w:color="auto" w:fill="auto"/>
            <w:noWrap/>
            <w:vAlign w:val="bottom"/>
          </w:tcPr>
          <w:p w14:paraId="7C59F6D9" w14:textId="1BA12BD5" w:rsidR="00584325" w:rsidRPr="001D41EA" w:rsidRDefault="00584325" w:rsidP="001D41EA">
            <w:pPr>
              <w:spacing w:before="40" w:after="40"/>
              <w:jc w:val="right"/>
              <w:rPr>
                <w:rFonts w:cs="Arial"/>
                <w:sz w:val="18"/>
                <w:szCs w:val="18"/>
              </w:rPr>
            </w:pPr>
            <w:r w:rsidRPr="001D41EA">
              <w:rPr>
                <w:rFonts w:cs="Arial"/>
                <w:sz w:val="18"/>
                <w:szCs w:val="18"/>
              </w:rPr>
              <w:t>1,388,627</w:t>
            </w:r>
          </w:p>
        </w:tc>
        <w:tc>
          <w:tcPr>
            <w:tcW w:w="1361" w:type="dxa"/>
            <w:tcBorders>
              <w:top w:val="nil"/>
              <w:left w:val="nil"/>
              <w:bottom w:val="nil"/>
              <w:right w:val="nil"/>
            </w:tcBorders>
            <w:shd w:val="clear" w:color="auto" w:fill="auto"/>
            <w:noWrap/>
            <w:vAlign w:val="bottom"/>
          </w:tcPr>
          <w:p w14:paraId="225FD95F" w14:textId="111B53E3" w:rsidR="00584325" w:rsidRPr="001D41EA" w:rsidRDefault="00584325" w:rsidP="001D41EA">
            <w:pPr>
              <w:spacing w:before="40" w:after="40"/>
              <w:jc w:val="right"/>
              <w:rPr>
                <w:rFonts w:cs="Arial"/>
                <w:sz w:val="18"/>
                <w:szCs w:val="18"/>
              </w:rPr>
            </w:pPr>
            <w:r w:rsidRPr="001D41EA">
              <w:rPr>
                <w:rFonts w:cs="Arial"/>
                <w:sz w:val="18"/>
                <w:szCs w:val="18"/>
              </w:rPr>
              <w:t>3,274,192</w:t>
            </w:r>
          </w:p>
        </w:tc>
        <w:tc>
          <w:tcPr>
            <w:tcW w:w="1361" w:type="dxa"/>
            <w:tcBorders>
              <w:top w:val="nil"/>
              <w:left w:val="nil"/>
              <w:bottom w:val="nil"/>
              <w:right w:val="nil"/>
            </w:tcBorders>
            <w:vAlign w:val="bottom"/>
          </w:tcPr>
          <w:p w14:paraId="5222D2C6" w14:textId="606DE635" w:rsidR="00584325" w:rsidRPr="001D41EA" w:rsidRDefault="00584325" w:rsidP="001D41EA">
            <w:pPr>
              <w:spacing w:before="40" w:after="40"/>
              <w:jc w:val="right"/>
              <w:rPr>
                <w:rFonts w:cs="Arial"/>
                <w:sz w:val="18"/>
                <w:szCs w:val="18"/>
              </w:rPr>
            </w:pPr>
            <w:r w:rsidRPr="001D41EA">
              <w:rPr>
                <w:rFonts w:cs="Arial"/>
                <w:sz w:val="18"/>
                <w:szCs w:val="18"/>
              </w:rPr>
              <w:t>7,946,471</w:t>
            </w:r>
          </w:p>
        </w:tc>
        <w:tc>
          <w:tcPr>
            <w:tcW w:w="1361" w:type="dxa"/>
            <w:tcBorders>
              <w:top w:val="nil"/>
              <w:left w:val="nil"/>
              <w:bottom w:val="nil"/>
              <w:right w:val="nil"/>
            </w:tcBorders>
            <w:shd w:val="clear" w:color="auto" w:fill="auto"/>
            <w:noWrap/>
            <w:vAlign w:val="bottom"/>
          </w:tcPr>
          <w:p w14:paraId="1CFCD7CA" w14:textId="732568AD" w:rsidR="00584325" w:rsidRPr="001D41EA" w:rsidRDefault="00584325" w:rsidP="001D41EA">
            <w:pPr>
              <w:spacing w:before="40" w:after="40"/>
              <w:jc w:val="right"/>
              <w:rPr>
                <w:rFonts w:cs="Arial"/>
                <w:b/>
                <w:sz w:val="18"/>
                <w:szCs w:val="18"/>
              </w:rPr>
            </w:pPr>
            <w:r w:rsidRPr="001D41EA">
              <w:rPr>
                <w:rFonts w:cs="Arial"/>
                <w:b/>
                <w:sz w:val="18"/>
                <w:szCs w:val="18"/>
              </w:rPr>
              <w:t>28,237,329</w:t>
            </w:r>
          </w:p>
        </w:tc>
      </w:tr>
      <w:tr w:rsidR="00584325" w:rsidRPr="001D41EA" w14:paraId="3DA8B3B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22161DA" w14:textId="77777777" w:rsidR="00584325" w:rsidRPr="001D41EA" w:rsidRDefault="00584325" w:rsidP="001D41EA">
            <w:pPr>
              <w:spacing w:before="40" w:after="40"/>
              <w:rPr>
                <w:rFonts w:cs="Arial"/>
                <w:sz w:val="18"/>
                <w:szCs w:val="18"/>
              </w:rPr>
            </w:pPr>
            <w:r w:rsidRPr="001D41EA">
              <w:rPr>
                <w:rFonts w:cs="Arial"/>
                <w:sz w:val="18"/>
                <w:szCs w:val="18"/>
              </w:rPr>
              <w:t>Ararat RC</w:t>
            </w:r>
          </w:p>
        </w:tc>
        <w:tc>
          <w:tcPr>
            <w:tcW w:w="1361" w:type="dxa"/>
            <w:tcBorders>
              <w:top w:val="nil"/>
              <w:left w:val="single" w:sz="18" w:space="0" w:color="5F497A" w:themeColor="accent4" w:themeShade="BF"/>
              <w:bottom w:val="nil"/>
              <w:right w:val="nil"/>
            </w:tcBorders>
            <w:shd w:val="clear" w:color="auto" w:fill="auto"/>
            <w:noWrap/>
            <w:vAlign w:val="bottom"/>
          </w:tcPr>
          <w:p w14:paraId="45B3B825" w14:textId="7D2DA47D" w:rsidR="00584325" w:rsidRPr="001D41EA" w:rsidRDefault="00584325" w:rsidP="001D41EA">
            <w:pPr>
              <w:spacing w:before="40" w:after="40"/>
              <w:jc w:val="right"/>
              <w:rPr>
                <w:rFonts w:cs="Arial"/>
                <w:sz w:val="18"/>
                <w:szCs w:val="18"/>
              </w:rPr>
            </w:pPr>
            <w:r w:rsidRPr="001D41EA">
              <w:rPr>
                <w:rFonts w:cs="Arial"/>
                <w:sz w:val="18"/>
                <w:szCs w:val="18"/>
              </w:rPr>
              <w:t>1,620,650</w:t>
            </w:r>
          </w:p>
        </w:tc>
        <w:tc>
          <w:tcPr>
            <w:tcW w:w="1361" w:type="dxa"/>
            <w:tcBorders>
              <w:top w:val="nil"/>
              <w:left w:val="nil"/>
              <w:bottom w:val="nil"/>
              <w:right w:val="nil"/>
            </w:tcBorders>
            <w:shd w:val="clear" w:color="auto" w:fill="auto"/>
            <w:noWrap/>
            <w:vAlign w:val="bottom"/>
          </w:tcPr>
          <w:p w14:paraId="1AAC3604" w14:textId="5B0C4220" w:rsidR="00584325" w:rsidRPr="001D41EA" w:rsidRDefault="00584325" w:rsidP="001D41EA">
            <w:pPr>
              <w:spacing w:before="40" w:after="40"/>
              <w:jc w:val="right"/>
              <w:rPr>
                <w:rFonts w:cs="Arial"/>
                <w:sz w:val="18"/>
                <w:szCs w:val="18"/>
              </w:rPr>
            </w:pPr>
            <w:r w:rsidRPr="001D41EA">
              <w:rPr>
                <w:rFonts w:cs="Arial"/>
                <w:sz w:val="18"/>
                <w:szCs w:val="18"/>
              </w:rPr>
              <w:t>1,155,774</w:t>
            </w:r>
          </w:p>
        </w:tc>
        <w:tc>
          <w:tcPr>
            <w:tcW w:w="1361" w:type="dxa"/>
            <w:tcBorders>
              <w:top w:val="nil"/>
              <w:left w:val="nil"/>
              <w:bottom w:val="nil"/>
              <w:right w:val="nil"/>
            </w:tcBorders>
            <w:shd w:val="clear" w:color="auto" w:fill="auto"/>
            <w:noWrap/>
            <w:vAlign w:val="bottom"/>
          </w:tcPr>
          <w:p w14:paraId="5BA0F15F" w14:textId="0051A311" w:rsidR="00584325" w:rsidRPr="001D41EA" w:rsidRDefault="00584325" w:rsidP="001D41EA">
            <w:pPr>
              <w:spacing w:before="40" w:after="40"/>
              <w:jc w:val="right"/>
              <w:rPr>
                <w:rFonts w:cs="Arial"/>
                <w:sz w:val="18"/>
                <w:szCs w:val="18"/>
              </w:rPr>
            </w:pPr>
            <w:r w:rsidRPr="001D41EA">
              <w:rPr>
                <w:rFonts w:cs="Arial"/>
                <w:sz w:val="18"/>
                <w:szCs w:val="18"/>
              </w:rPr>
              <w:t>2,881,408</w:t>
            </w:r>
          </w:p>
        </w:tc>
        <w:tc>
          <w:tcPr>
            <w:tcW w:w="1361" w:type="dxa"/>
            <w:tcBorders>
              <w:top w:val="nil"/>
              <w:left w:val="nil"/>
              <w:bottom w:val="nil"/>
              <w:right w:val="nil"/>
            </w:tcBorders>
            <w:vAlign w:val="bottom"/>
          </w:tcPr>
          <w:p w14:paraId="4858B303" w14:textId="56E963B2" w:rsidR="00584325" w:rsidRPr="001D41EA" w:rsidRDefault="00584325" w:rsidP="001D41EA">
            <w:pPr>
              <w:spacing w:before="40" w:after="40"/>
              <w:jc w:val="right"/>
              <w:rPr>
                <w:rFonts w:cs="Arial"/>
                <w:sz w:val="18"/>
                <w:szCs w:val="18"/>
              </w:rPr>
            </w:pPr>
            <w:r w:rsidRPr="001D41EA">
              <w:rPr>
                <w:rFonts w:cs="Arial"/>
                <w:sz w:val="18"/>
                <w:szCs w:val="18"/>
              </w:rPr>
              <w:t>16,300,521</w:t>
            </w:r>
          </w:p>
        </w:tc>
        <w:tc>
          <w:tcPr>
            <w:tcW w:w="1361" w:type="dxa"/>
            <w:tcBorders>
              <w:top w:val="nil"/>
              <w:left w:val="nil"/>
              <w:bottom w:val="nil"/>
              <w:right w:val="nil"/>
            </w:tcBorders>
            <w:shd w:val="clear" w:color="auto" w:fill="auto"/>
            <w:noWrap/>
            <w:vAlign w:val="bottom"/>
          </w:tcPr>
          <w:p w14:paraId="0DD84A57" w14:textId="52A2770F" w:rsidR="00584325" w:rsidRPr="001D41EA" w:rsidRDefault="00584325" w:rsidP="001D41EA">
            <w:pPr>
              <w:spacing w:before="40" w:after="40"/>
              <w:jc w:val="right"/>
              <w:rPr>
                <w:rFonts w:cs="Arial"/>
                <w:b/>
                <w:sz w:val="18"/>
                <w:szCs w:val="18"/>
              </w:rPr>
            </w:pPr>
            <w:r w:rsidRPr="001D41EA">
              <w:rPr>
                <w:rFonts w:cs="Arial"/>
                <w:b/>
                <w:sz w:val="18"/>
                <w:szCs w:val="18"/>
              </w:rPr>
              <w:t>31,170,647</w:t>
            </w:r>
          </w:p>
        </w:tc>
      </w:tr>
      <w:tr w:rsidR="00584325" w:rsidRPr="001D41EA" w14:paraId="57C04AC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C0236BD" w14:textId="77777777" w:rsidR="00584325" w:rsidRPr="001D41EA" w:rsidRDefault="00584325" w:rsidP="001D41EA">
            <w:pPr>
              <w:spacing w:before="40" w:after="40"/>
              <w:rPr>
                <w:rFonts w:cs="Arial"/>
                <w:sz w:val="18"/>
                <w:szCs w:val="18"/>
              </w:rPr>
            </w:pPr>
            <w:r w:rsidRPr="001D41EA">
              <w:rPr>
                <w:rFonts w:cs="Arial"/>
                <w:sz w:val="18"/>
                <w:szCs w:val="18"/>
              </w:rPr>
              <w:t>Ballarat C</w:t>
            </w:r>
          </w:p>
        </w:tc>
        <w:tc>
          <w:tcPr>
            <w:tcW w:w="1361" w:type="dxa"/>
            <w:tcBorders>
              <w:top w:val="nil"/>
              <w:left w:val="single" w:sz="18" w:space="0" w:color="5F497A" w:themeColor="accent4" w:themeShade="BF"/>
              <w:bottom w:val="nil"/>
              <w:right w:val="nil"/>
            </w:tcBorders>
            <w:shd w:val="clear" w:color="auto" w:fill="auto"/>
            <w:noWrap/>
            <w:vAlign w:val="bottom"/>
          </w:tcPr>
          <w:p w14:paraId="4BFAB54B" w14:textId="3DBE690B" w:rsidR="00584325" w:rsidRPr="001D41EA" w:rsidRDefault="00584325" w:rsidP="001D41EA">
            <w:pPr>
              <w:spacing w:before="40" w:after="40"/>
              <w:jc w:val="right"/>
              <w:rPr>
                <w:rFonts w:cs="Arial"/>
                <w:sz w:val="18"/>
                <w:szCs w:val="18"/>
              </w:rPr>
            </w:pPr>
            <w:r w:rsidRPr="001D41EA">
              <w:rPr>
                <w:rFonts w:cs="Arial"/>
                <w:sz w:val="18"/>
                <w:szCs w:val="18"/>
              </w:rPr>
              <w:t>15,515,915</w:t>
            </w:r>
          </w:p>
        </w:tc>
        <w:tc>
          <w:tcPr>
            <w:tcW w:w="1361" w:type="dxa"/>
            <w:tcBorders>
              <w:top w:val="nil"/>
              <w:left w:val="nil"/>
              <w:bottom w:val="nil"/>
              <w:right w:val="nil"/>
            </w:tcBorders>
            <w:shd w:val="clear" w:color="auto" w:fill="auto"/>
            <w:noWrap/>
            <w:vAlign w:val="bottom"/>
          </w:tcPr>
          <w:p w14:paraId="6C09E6C5" w14:textId="4CD0A8BB" w:rsidR="00584325" w:rsidRPr="001D41EA" w:rsidRDefault="00584325" w:rsidP="001D41EA">
            <w:pPr>
              <w:spacing w:before="40" w:after="40"/>
              <w:jc w:val="right"/>
              <w:rPr>
                <w:rFonts w:cs="Arial"/>
                <w:sz w:val="18"/>
                <w:szCs w:val="18"/>
              </w:rPr>
            </w:pPr>
            <w:r w:rsidRPr="001D41EA">
              <w:rPr>
                <w:rFonts w:cs="Arial"/>
                <w:sz w:val="18"/>
                <w:szCs w:val="18"/>
              </w:rPr>
              <w:t>7,128,038</w:t>
            </w:r>
          </w:p>
        </w:tc>
        <w:tc>
          <w:tcPr>
            <w:tcW w:w="1361" w:type="dxa"/>
            <w:tcBorders>
              <w:top w:val="nil"/>
              <w:left w:val="nil"/>
              <w:bottom w:val="nil"/>
              <w:right w:val="nil"/>
            </w:tcBorders>
            <w:shd w:val="clear" w:color="auto" w:fill="auto"/>
            <w:noWrap/>
            <w:vAlign w:val="bottom"/>
          </w:tcPr>
          <w:p w14:paraId="52E6FC51" w14:textId="7BE5F0B0" w:rsidR="00584325" w:rsidRPr="001D41EA" w:rsidRDefault="00584325" w:rsidP="001D41EA">
            <w:pPr>
              <w:spacing w:before="40" w:after="40"/>
              <w:jc w:val="right"/>
              <w:rPr>
                <w:rFonts w:cs="Arial"/>
                <w:sz w:val="18"/>
                <w:szCs w:val="18"/>
              </w:rPr>
            </w:pPr>
            <w:r w:rsidRPr="001D41EA">
              <w:rPr>
                <w:rFonts w:cs="Arial"/>
                <w:sz w:val="18"/>
                <w:szCs w:val="18"/>
              </w:rPr>
              <w:t>19,831,615</w:t>
            </w:r>
          </w:p>
        </w:tc>
        <w:tc>
          <w:tcPr>
            <w:tcW w:w="1361" w:type="dxa"/>
            <w:tcBorders>
              <w:top w:val="nil"/>
              <w:left w:val="nil"/>
              <w:bottom w:val="nil"/>
              <w:right w:val="nil"/>
            </w:tcBorders>
            <w:vAlign w:val="bottom"/>
          </w:tcPr>
          <w:p w14:paraId="026A86DF" w14:textId="3F4F7936" w:rsidR="00584325" w:rsidRPr="001D41EA" w:rsidRDefault="00584325" w:rsidP="001D41EA">
            <w:pPr>
              <w:spacing w:before="40" w:after="40"/>
              <w:jc w:val="right"/>
              <w:rPr>
                <w:rFonts w:cs="Arial"/>
                <w:sz w:val="18"/>
                <w:szCs w:val="18"/>
              </w:rPr>
            </w:pPr>
            <w:r w:rsidRPr="001D41EA">
              <w:rPr>
                <w:rFonts w:cs="Arial"/>
                <w:sz w:val="18"/>
                <w:szCs w:val="18"/>
              </w:rPr>
              <w:t>17,262,376</w:t>
            </w:r>
          </w:p>
        </w:tc>
        <w:tc>
          <w:tcPr>
            <w:tcW w:w="1361" w:type="dxa"/>
            <w:tcBorders>
              <w:top w:val="nil"/>
              <w:left w:val="nil"/>
              <w:bottom w:val="nil"/>
              <w:right w:val="nil"/>
            </w:tcBorders>
            <w:shd w:val="clear" w:color="auto" w:fill="auto"/>
            <w:noWrap/>
            <w:vAlign w:val="bottom"/>
          </w:tcPr>
          <w:p w14:paraId="4BC4CB83" w14:textId="66E9EE66" w:rsidR="00584325" w:rsidRPr="001D41EA" w:rsidRDefault="00584325" w:rsidP="001D41EA">
            <w:pPr>
              <w:spacing w:before="40" w:after="40"/>
              <w:jc w:val="right"/>
              <w:rPr>
                <w:rFonts w:cs="Arial"/>
                <w:b/>
                <w:sz w:val="18"/>
                <w:szCs w:val="18"/>
              </w:rPr>
            </w:pPr>
            <w:r w:rsidRPr="001D41EA">
              <w:rPr>
                <w:rFonts w:cs="Arial"/>
                <w:b/>
                <w:sz w:val="18"/>
                <w:szCs w:val="18"/>
              </w:rPr>
              <w:t>133,570,242</w:t>
            </w:r>
          </w:p>
        </w:tc>
      </w:tr>
      <w:tr w:rsidR="00584325" w:rsidRPr="001D41EA" w14:paraId="38F89B1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7011A72" w14:textId="77777777" w:rsidR="00584325" w:rsidRPr="001D41EA" w:rsidRDefault="00584325" w:rsidP="001D41EA">
            <w:pPr>
              <w:spacing w:before="40" w:after="40"/>
              <w:rPr>
                <w:rFonts w:cs="Arial"/>
                <w:sz w:val="18"/>
                <w:szCs w:val="18"/>
              </w:rPr>
            </w:pPr>
            <w:r w:rsidRPr="001D41EA">
              <w:rPr>
                <w:rFonts w:cs="Arial"/>
                <w:sz w:val="18"/>
                <w:szCs w:val="18"/>
              </w:rPr>
              <w:t>Banyule C</w:t>
            </w:r>
          </w:p>
        </w:tc>
        <w:tc>
          <w:tcPr>
            <w:tcW w:w="1361" w:type="dxa"/>
            <w:tcBorders>
              <w:top w:val="nil"/>
              <w:left w:val="single" w:sz="18" w:space="0" w:color="5F497A" w:themeColor="accent4" w:themeShade="BF"/>
              <w:bottom w:val="nil"/>
              <w:right w:val="nil"/>
            </w:tcBorders>
            <w:shd w:val="clear" w:color="auto" w:fill="auto"/>
            <w:noWrap/>
            <w:vAlign w:val="bottom"/>
          </w:tcPr>
          <w:p w14:paraId="506047B4" w14:textId="376B9A78" w:rsidR="00584325" w:rsidRPr="001D41EA" w:rsidRDefault="00584325" w:rsidP="001D41EA">
            <w:pPr>
              <w:spacing w:before="40" w:after="40"/>
              <w:jc w:val="right"/>
              <w:rPr>
                <w:rFonts w:cs="Arial"/>
                <w:sz w:val="18"/>
                <w:szCs w:val="18"/>
              </w:rPr>
            </w:pPr>
            <w:r w:rsidRPr="001D41EA">
              <w:rPr>
                <w:rFonts w:cs="Arial"/>
                <w:sz w:val="18"/>
                <w:szCs w:val="18"/>
              </w:rPr>
              <w:t>16,247,422</w:t>
            </w:r>
          </w:p>
        </w:tc>
        <w:tc>
          <w:tcPr>
            <w:tcW w:w="1361" w:type="dxa"/>
            <w:tcBorders>
              <w:top w:val="nil"/>
              <w:left w:val="nil"/>
              <w:bottom w:val="nil"/>
              <w:right w:val="nil"/>
            </w:tcBorders>
            <w:shd w:val="clear" w:color="auto" w:fill="auto"/>
            <w:noWrap/>
            <w:vAlign w:val="bottom"/>
          </w:tcPr>
          <w:p w14:paraId="18AB9863" w14:textId="3611B826" w:rsidR="00584325" w:rsidRPr="001D41EA" w:rsidRDefault="00584325" w:rsidP="001D41EA">
            <w:pPr>
              <w:spacing w:before="40" w:after="40"/>
              <w:jc w:val="right"/>
              <w:rPr>
                <w:rFonts w:cs="Arial"/>
                <w:sz w:val="18"/>
                <w:szCs w:val="18"/>
              </w:rPr>
            </w:pPr>
            <w:r w:rsidRPr="001D41EA">
              <w:rPr>
                <w:rFonts w:cs="Arial"/>
                <w:sz w:val="18"/>
                <w:szCs w:val="18"/>
              </w:rPr>
              <w:t>7,866,395</w:t>
            </w:r>
          </w:p>
        </w:tc>
        <w:tc>
          <w:tcPr>
            <w:tcW w:w="1361" w:type="dxa"/>
            <w:tcBorders>
              <w:top w:val="nil"/>
              <w:left w:val="nil"/>
              <w:bottom w:val="nil"/>
              <w:right w:val="nil"/>
            </w:tcBorders>
            <w:shd w:val="clear" w:color="auto" w:fill="auto"/>
            <w:noWrap/>
            <w:vAlign w:val="bottom"/>
          </w:tcPr>
          <w:p w14:paraId="0A01D932" w14:textId="60D25960" w:rsidR="00584325" w:rsidRPr="001D41EA" w:rsidRDefault="00584325" w:rsidP="001D41EA">
            <w:pPr>
              <w:spacing w:before="40" w:after="40"/>
              <w:jc w:val="right"/>
              <w:rPr>
                <w:rFonts w:cs="Arial"/>
                <w:sz w:val="18"/>
                <w:szCs w:val="18"/>
              </w:rPr>
            </w:pPr>
            <w:r w:rsidRPr="001D41EA">
              <w:rPr>
                <w:rFonts w:cs="Arial"/>
                <w:sz w:val="18"/>
                <w:szCs w:val="18"/>
              </w:rPr>
              <w:t>21,215,647</w:t>
            </w:r>
          </w:p>
        </w:tc>
        <w:tc>
          <w:tcPr>
            <w:tcW w:w="1361" w:type="dxa"/>
            <w:tcBorders>
              <w:top w:val="nil"/>
              <w:left w:val="nil"/>
              <w:bottom w:val="nil"/>
              <w:right w:val="nil"/>
            </w:tcBorders>
            <w:vAlign w:val="bottom"/>
          </w:tcPr>
          <w:p w14:paraId="03F614BB" w14:textId="00BBB456" w:rsidR="00584325" w:rsidRPr="001D41EA" w:rsidRDefault="00584325" w:rsidP="001D41EA">
            <w:pPr>
              <w:spacing w:before="40" w:after="40"/>
              <w:jc w:val="right"/>
              <w:rPr>
                <w:rFonts w:cs="Arial"/>
                <w:sz w:val="18"/>
                <w:szCs w:val="18"/>
              </w:rPr>
            </w:pPr>
            <w:r w:rsidRPr="001D41EA">
              <w:rPr>
                <w:rFonts w:cs="Arial"/>
                <w:sz w:val="18"/>
                <w:szCs w:val="18"/>
              </w:rPr>
              <w:t>6,903,473</w:t>
            </w:r>
          </w:p>
        </w:tc>
        <w:tc>
          <w:tcPr>
            <w:tcW w:w="1361" w:type="dxa"/>
            <w:tcBorders>
              <w:top w:val="nil"/>
              <w:left w:val="nil"/>
              <w:bottom w:val="nil"/>
              <w:right w:val="nil"/>
            </w:tcBorders>
            <w:shd w:val="clear" w:color="auto" w:fill="auto"/>
            <w:noWrap/>
            <w:vAlign w:val="bottom"/>
          </w:tcPr>
          <w:p w14:paraId="1285FAF1" w14:textId="3C01EF68" w:rsidR="00584325" w:rsidRPr="001D41EA" w:rsidRDefault="00584325" w:rsidP="001D41EA">
            <w:pPr>
              <w:spacing w:before="40" w:after="40"/>
              <w:jc w:val="right"/>
              <w:rPr>
                <w:rFonts w:cs="Arial"/>
                <w:b/>
                <w:sz w:val="18"/>
                <w:szCs w:val="18"/>
              </w:rPr>
            </w:pPr>
            <w:r w:rsidRPr="001D41EA">
              <w:rPr>
                <w:rFonts w:cs="Arial"/>
                <w:b/>
                <w:sz w:val="18"/>
                <w:szCs w:val="18"/>
              </w:rPr>
              <w:t>129,874,657</w:t>
            </w:r>
          </w:p>
        </w:tc>
      </w:tr>
      <w:tr w:rsidR="00584325" w:rsidRPr="001D41EA" w14:paraId="4EA71C2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46262ED" w14:textId="77777777" w:rsidR="00584325" w:rsidRPr="001D41EA" w:rsidRDefault="00584325" w:rsidP="001D41EA">
            <w:pPr>
              <w:spacing w:before="40" w:after="40"/>
              <w:rPr>
                <w:rFonts w:cs="Arial"/>
                <w:sz w:val="18"/>
                <w:szCs w:val="18"/>
              </w:rPr>
            </w:pPr>
            <w:r w:rsidRPr="001D41EA">
              <w:rPr>
                <w:rFonts w:cs="Arial"/>
                <w:sz w:val="18"/>
                <w:szCs w:val="18"/>
              </w:rPr>
              <w:t>Bass Coast S</w:t>
            </w:r>
          </w:p>
        </w:tc>
        <w:tc>
          <w:tcPr>
            <w:tcW w:w="1361" w:type="dxa"/>
            <w:tcBorders>
              <w:top w:val="nil"/>
              <w:left w:val="single" w:sz="18" w:space="0" w:color="5F497A" w:themeColor="accent4" w:themeShade="BF"/>
              <w:bottom w:val="nil"/>
              <w:right w:val="nil"/>
            </w:tcBorders>
            <w:shd w:val="clear" w:color="auto" w:fill="auto"/>
            <w:noWrap/>
            <w:vAlign w:val="bottom"/>
          </w:tcPr>
          <w:p w14:paraId="3D79DFF6" w14:textId="314A2A0C" w:rsidR="00584325" w:rsidRPr="001D41EA" w:rsidRDefault="00584325" w:rsidP="001D41EA">
            <w:pPr>
              <w:spacing w:before="40" w:after="40"/>
              <w:jc w:val="right"/>
              <w:rPr>
                <w:rFonts w:cs="Arial"/>
                <w:sz w:val="18"/>
                <w:szCs w:val="18"/>
              </w:rPr>
            </w:pPr>
            <w:r w:rsidRPr="001D41EA">
              <w:rPr>
                <w:rFonts w:cs="Arial"/>
                <w:sz w:val="18"/>
                <w:szCs w:val="18"/>
              </w:rPr>
              <w:t>7,006,290</w:t>
            </w:r>
          </w:p>
        </w:tc>
        <w:tc>
          <w:tcPr>
            <w:tcW w:w="1361" w:type="dxa"/>
            <w:tcBorders>
              <w:top w:val="nil"/>
              <w:left w:val="nil"/>
              <w:bottom w:val="nil"/>
              <w:right w:val="nil"/>
            </w:tcBorders>
            <w:shd w:val="clear" w:color="auto" w:fill="auto"/>
            <w:noWrap/>
            <w:vAlign w:val="bottom"/>
          </w:tcPr>
          <w:p w14:paraId="0791AD3F" w14:textId="053BD552" w:rsidR="00584325" w:rsidRPr="001D41EA" w:rsidRDefault="00584325" w:rsidP="001D41EA">
            <w:pPr>
              <w:spacing w:before="40" w:after="40"/>
              <w:jc w:val="right"/>
              <w:rPr>
                <w:rFonts w:cs="Arial"/>
                <w:sz w:val="18"/>
                <w:szCs w:val="18"/>
              </w:rPr>
            </w:pPr>
            <w:r w:rsidRPr="001D41EA">
              <w:rPr>
                <w:rFonts w:cs="Arial"/>
                <w:sz w:val="18"/>
                <w:szCs w:val="18"/>
              </w:rPr>
              <w:t>3,582,532</w:t>
            </w:r>
          </w:p>
        </w:tc>
        <w:tc>
          <w:tcPr>
            <w:tcW w:w="1361" w:type="dxa"/>
            <w:tcBorders>
              <w:top w:val="nil"/>
              <w:left w:val="nil"/>
              <w:bottom w:val="nil"/>
              <w:right w:val="nil"/>
            </w:tcBorders>
            <w:shd w:val="clear" w:color="auto" w:fill="auto"/>
            <w:noWrap/>
            <w:vAlign w:val="bottom"/>
          </w:tcPr>
          <w:p w14:paraId="7AB00B4C" w14:textId="63735ECA" w:rsidR="00584325" w:rsidRPr="001D41EA" w:rsidRDefault="00584325" w:rsidP="001D41EA">
            <w:pPr>
              <w:spacing w:before="40" w:after="40"/>
              <w:jc w:val="right"/>
              <w:rPr>
                <w:rFonts w:cs="Arial"/>
                <w:sz w:val="18"/>
                <w:szCs w:val="18"/>
              </w:rPr>
            </w:pPr>
            <w:r w:rsidRPr="001D41EA">
              <w:rPr>
                <w:rFonts w:cs="Arial"/>
                <w:sz w:val="18"/>
                <w:szCs w:val="18"/>
              </w:rPr>
              <w:t>8,892,953</w:t>
            </w:r>
          </w:p>
        </w:tc>
        <w:tc>
          <w:tcPr>
            <w:tcW w:w="1361" w:type="dxa"/>
            <w:tcBorders>
              <w:top w:val="nil"/>
              <w:left w:val="nil"/>
              <w:bottom w:val="nil"/>
              <w:right w:val="nil"/>
            </w:tcBorders>
            <w:vAlign w:val="bottom"/>
          </w:tcPr>
          <w:p w14:paraId="4EAE5267" w14:textId="5C084778" w:rsidR="00584325" w:rsidRPr="001D41EA" w:rsidRDefault="00584325" w:rsidP="001D41EA">
            <w:pPr>
              <w:spacing w:before="40" w:after="40"/>
              <w:jc w:val="right"/>
              <w:rPr>
                <w:rFonts w:cs="Arial"/>
                <w:sz w:val="18"/>
                <w:szCs w:val="18"/>
              </w:rPr>
            </w:pPr>
            <w:r w:rsidRPr="001D41EA">
              <w:rPr>
                <w:rFonts w:cs="Arial"/>
                <w:sz w:val="18"/>
                <w:szCs w:val="18"/>
              </w:rPr>
              <w:t>10,382,244</w:t>
            </w:r>
          </w:p>
        </w:tc>
        <w:tc>
          <w:tcPr>
            <w:tcW w:w="1361" w:type="dxa"/>
            <w:tcBorders>
              <w:top w:val="nil"/>
              <w:left w:val="nil"/>
              <w:bottom w:val="nil"/>
              <w:right w:val="nil"/>
            </w:tcBorders>
            <w:shd w:val="clear" w:color="auto" w:fill="auto"/>
            <w:noWrap/>
            <w:vAlign w:val="bottom"/>
          </w:tcPr>
          <w:p w14:paraId="109C138F" w14:textId="44AAA980" w:rsidR="00584325" w:rsidRPr="001D41EA" w:rsidRDefault="00584325" w:rsidP="001D41EA">
            <w:pPr>
              <w:spacing w:before="40" w:after="40"/>
              <w:jc w:val="right"/>
              <w:rPr>
                <w:rFonts w:cs="Arial"/>
                <w:b/>
                <w:sz w:val="18"/>
                <w:szCs w:val="18"/>
              </w:rPr>
            </w:pPr>
            <w:r w:rsidRPr="001D41EA">
              <w:rPr>
                <w:rFonts w:cs="Arial"/>
                <w:b/>
                <w:sz w:val="18"/>
                <w:szCs w:val="18"/>
              </w:rPr>
              <w:t>69,137,101</w:t>
            </w:r>
          </w:p>
        </w:tc>
      </w:tr>
      <w:tr w:rsidR="00584325" w:rsidRPr="001D41EA" w14:paraId="21D8282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BEF0D41" w14:textId="77777777" w:rsidR="00584325" w:rsidRPr="001D41EA" w:rsidRDefault="00584325" w:rsidP="001D41EA">
            <w:pPr>
              <w:spacing w:before="40" w:after="40"/>
              <w:rPr>
                <w:rFonts w:cs="Arial"/>
                <w:sz w:val="18"/>
                <w:szCs w:val="18"/>
              </w:rPr>
            </w:pPr>
            <w:r w:rsidRPr="001D41EA">
              <w:rPr>
                <w:rFonts w:cs="Arial"/>
                <w:sz w:val="18"/>
                <w:szCs w:val="18"/>
              </w:rPr>
              <w:t>Baw Baw S</w:t>
            </w:r>
          </w:p>
        </w:tc>
        <w:tc>
          <w:tcPr>
            <w:tcW w:w="1361" w:type="dxa"/>
            <w:tcBorders>
              <w:top w:val="nil"/>
              <w:left w:val="single" w:sz="18" w:space="0" w:color="5F497A" w:themeColor="accent4" w:themeShade="BF"/>
              <w:bottom w:val="nil"/>
              <w:right w:val="nil"/>
            </w:tcBorders>
            <w:shd w:val="clear" w:color="auto" w:fill="auto"/>
            <w:noWrap/>
            <w:vAlign w:val="bottom"/>
          </w:tcPr>
          <w:p w14:paraId="1CDC6CB4" w14:textId="62356459" w:rsidR="00584325" w:rsidRPr="001D41EA" w:rsidRDefault="00584325" w:rsidP="001D41EA">
            <w:pPr>
              <w:spacing w:before="40" w:after="40"/>
              <w:jc w:val="right"/>
              <w:rPr>
                <w:rFonts w:cs="Arial"/>
                <w:sz w:val="18"/>
                <w:szCs w:val="18"/>
              </w:rPr>
            </w:pPr>
            <w:r w:rsidRPr="001D41EA">
              <w:rPr>
                <w:rFonts w:cs="Arial"/>
                <w:sz w:val="18"/>
                <w:szCs w:val="18"/>
              </w:rPr>
              <w:t>6,990,613</w:t>
            </w:r>
          </w:p>
        </w:tc>
        <w:tc>
          <w:tcPr>
            <w:tcW w:w="1361" w:type="dxa"/>
            <w:tcBorders>
              <w:top w:val="nil"/>
              <w:left w:val="nil"/>
              <w:bottom w:val="nil"/>
              <w:right w:val="nil"/>
            </w:tcBorders>
            <w:shd w:val="clear" w:color="auto" w:fill="auto"/>
            <w:noWrap/>
            <w:vAlign w:val="bottom"/>
          </w:tcPr>
          <w:p w14:paraId="4F42F30E" w14:textId="355783CC" w:rsidR="00584325" w:rsidRPr="001D41EA" w:rsidRDefault="00584325" w:rsidP="001D41EA">
            <w:pPr>
              <w:spacing w:before="40" w:after="40"/>
              <w:jc w:val="right"/>
              <w:rPr>
                <w:rFonts w:cs="Arial"/>
                <w:sz w:val="18"/>
                <w:szCs w:val="18"/>
              </w:rPr>
            </w:pPr>
            <w:r w:rsidRPr="001D41EA">
              <w:rPr>
                <w:rFonts w:cs="Arial"/>
                <w:sz w:val="18"/>
                <w:szCs w:val="18"/>
              </w:rPr>
              <w:t>3,901,195</w:t>
            </w:r>
          </w:p>
        </w:tc>
        <w:tc>
          <w:tcPr>
            <w:tcW w:w="1361" w:type="dxa"/>
            <w:tcBorders>
              <w:top w:val="nil"/>
              <w:left w:val="nil"/>
              <w:bottom w:val="nil"/>
              <w:right w:val="nil"/>
            </w:tcBorders>
            <w:shd w:val="clear" w:color="auto" w:fill="auto"/>
            <w:noWrap/>
            <w:vAlign w:val="bottom"/>
          </w:tcPr>
          <w:p w14:paraId="56734CBB" w14:textId="7967FE4D" w:rsidR="00584325" w:rsidRPr="001D41EA" w:rsidRDefault="00584325" w:rsidP="001D41EA">
            <w:pPr>
              <w:spacing w:before="40" w:after="40"/>
              <w:jc w:val="right"/>
              <w:rPr>
                <w:rFonts w:cs="Arial"/>
                <w:sz w:val="18"/>
                <w:szCs w:val="18"/>
              </w:rPr>
            </w:pPr>
            <w:r w:rsidRPr="001D41EA">
              <w:rPr>
                <w:rFonts w:cs="Arial"/>
                <w:sz w:val="18"/>
                <w:szCs w:val="18"/>
              </w:rPr>
              <w:t>9,303,159</w:t>
            </w:r>
          </w:p>
        </w:tc>
        <w:tc>
          <w:tcPr>
            <w:tcW w:w="1361" w:type="dxa"/>
            <w:tcBorders>
              <w:top w:val="nil"/>
              <w:left w:val="nil"/>
              <w:bottom w:val="nil"/>
              <w:right w:val="nil"/>
            </w:tcBorders>
            <w:vAlign w:val="bottom"/>
          </w:tcPr>
          <w:p w14:paraId="20538A50" w14:textId="2593BDF8" w:rsidR="00584325" w:rsidRPr="001D41EA" w:rsidRDefault="00584325" w:rsidP="001D41EA">
            <w:pPr>
              <w:spacing w:before="40" w:after="40"/>
              <w:jc w:val="right"/>
              <w:rPr>
                <w:rFonts w:cs="Arial"/>
                <w:sz w:val="18"/>
                <w:szCs w:val="18"/>
              </w:rPr>
            </w:pPr>
            <w:r w:rsidRPr="001D41EA">
              <w:rPr>
                <w:rFonts w:cs="Arial"/>
                <w:sz w:val="18"/>
                <w:szCs w:val="18"/>
              </w:rPr>
              <w:t>20,206,769</w:t>
            </w:r>
          </w:p>
        </w:tc>
        <w:tc>
          <w:tcPr>
            <w:tcW w:w="1361" w:type="dxa"/>
            <w:tcBorders>
              <w:top w:val="nil"/>
              <w:left w:val="nil"/>
              <w:bottom w:val="nil"/>
              <w:right w:val="nil"/>
            </w:tcBorders>
            <w:shd w:val="clear" w:color="auto" w:fill="auto"/>
            <w:noWrap/>
            <w:vAlign w:val="bottom"/>
          </w:tcPr>
          <w:p w14:paraId="3FEDD383" w14:textId="2FEB9F72" w:rsidR="00584325" w:rsidRPr="001D41EA" w:rsidRDefault="00584325" w:rsidP="001D41EA">
            <w:pPr>
              <w:spacing w:before="40" w:after="40"/>
              <w:jc w:val="right"/>
              <w:rPr>
                <w:rFonts w:cs="Arial"/>
                <w:b/>
                <w:sz w:val="18"/>
                <w:szCs w:val="18"/>
              </w:rPr>
            </w:pPr>
            <w:r w:rsidRPr="001D41EA">
              <w:rPr>
                <w:rFonts w:cs="Arial"/>
                <w:b/>
                <w:sz w:val="18"/>
                <w:szCs w:val="18"/>
              </w:rPr>
              <w:t>76,163,166</w:t>
            </w:r>
          </w:p>
        </w:tc>
      </w:tr>
      <w:tr w:rsidR="00584325" w:rsidRPr="001D41EA" w14:paraId="77931FF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C881DCD" w14:textId="77777777" w:rsidR="00584325" w:rsidRPr="001D41EA" w:rsidRDefault="00584325" w:rsidP="001D41EA">
            <w:pPr>
              <w:spacing w:before="40" w:after="40"/>
              <w:rPr>
                <w:rFonts w:cs="Arial"/>
                <w:sz w:val="18"/>
                <w:szCs w:val="18"/>
              </w:rPr>
            </w:pPr>
            <w:r w:rsidRPr="001D41EA">
              <w:rPr>
                <w:rFonts w:cs="Arial"/>
                <w:sz w:val="18"/>
                <w:szCs w:val="18"/>
              </w:rPr>
              <w:t>Bayside C</w:t>
            </w:r>
          </w:p>
        </w:tc>
        <w:tc>
          <w:tcPr>
            <w:tcW w:w="1361" w:type="dxa"/>
            <w:tcBorders>
              <w:top w:val="nil"/>
              <w:left w:val="single" w:sz="18" w:space="0" w:color="5F497A" w:themeColor="accent4" w:themeShade="BF"/>
              <w:bottom w:val="nil"/>
              <w:right w:val="nil"/>
            </w:tcBorders>
            <w:shd w:val="clear" w:color="auto" w:fill="auto"/>
            <w:noWrap/>
            <w:vAlign w:val="bottom"/>
          </w:tcPr>
          <w:p w14:paraId="0CEC3AEF" w14:textId="7D50B5C5" w:rsidR="00584325" w:rsidRPr="001D41EA" w:rsidRDefault="00584325" w:rsidP="001D41EA">
            <w:pPr>
              <w:spacing w:before="40" w:after="40"/>
              <w:jc w:val="right"/>
              <w:rPr>
                <w:rFonts w:cs="Arial"/>
                <w:sz w:val="18"/>
                <w:szCs w:val="18"/>
              </w:rPr>
            </w:pPr>
            <w:r w:rsidRPr="001D41EA">
              <w:rPr>
                <w:rFonts w:cs="Arial"/>
                <w:sz w:val="18"/>
                <w:szCs w:val="18"/>
              </w:rPr>
              <w:t>13,034,910</w:t>
            </w:r>
          </w:p>
        </w:tc>
        <w:tc>
          <w:tcPr>
            <w:tcW w:w="1361" w:type="dxa"/>
            <w:tcBorders>
              <w:top w:val="nil"/>
              <w:left w:val="nil"/>
              <w:bottom w:val="nil"/>
              <w:right w:val="nil"/>
            </w:tcBorders>
            <w:shd w:val="clear" w:color="auto" w:fill="auto"/>
            <w:noWrap/>
            <w:vAlign w:val="bottom"/>
          </w:tcPr>
          <w:p w14:paraId="5D9DA73B" w14:textId="1C5A5336" w:rsidR="00584325" w:rsidRPr="001D41EA" w:rsidRDefault="00584325" w:rsidP="001D41EA">
            <w:pPr>
              <w:spacing w:before="40" w:after="40"/>
              <w:jc w:val="right"/>
              <w:rPr>
                <w:rFonts w:cs="Arial"/>
                <w:sz w:val="18"/>
                <w:szCs w:val="18"/>
              </w:rPr>
            </w:pPr>
            <w:r w:rsidRPr="001D41EA">
              <w:rPr>
                <w:rFonts w:cs="Arial"/>
                <w:sz w:val="18"/>
                <w:szCs w:val="18"/>
              </w:rPr>
              <w:t>6,401,998</w:t>
            </w:r>
          </w:p>
        </w:tc>
        <w:tc>
          <w:tcPr>
            <w:tcW w:w="1361" w:type="dxa"/>
            <w:tcBorders>
              <w:top w:val="nil"/>
              <w:left w:val="nil"/>
              <w:bottom w:val="nil"/>
              <w:right w:val="nil"/>
            </w:tcBorders>
            <w:shd w:val="clear" w:color="auto" w:fill="auto"/>
            <w:noWrap/>
            <w:vAlign w:val="bottom"/>
          </w:tcPr>
          <w:p w14:paraId="04257C6C" w14:textId="5036EFD8" w:rsidR="00584325" w:rsidRPr="001D41EA" w:rsidRDefault="00584325" w:rsidP="001D41EA">
            <w:pPr>
              <w:spacing w:before="40" w:after="40"/>
              <w:jc w:val="right"/>
              <w:rPr>
                <w:rFonts w:cs="Arial"/>
                <w:sz w:val="18"/>
                <w:szCs w:val="18"/>
              </w:rPr>
            </w:pPr>
            <w:r w:rsidRPr="001D41EA">
              <w:rPr>
                <w:rFonts w:cs="Arial"/>
                <w:sz w:val="18"/>
                <w:szCs w:val="18"/>
              </w:rPr>
              <w:t>17,090,124</w:t>
            </w:r>
          </w:p>
        </w:tc>
        <w:tc>
          <w:tcPr>
            <w:tcW w:w="1361" w:type="dxa"/>
            <w:tcBorders>
              <w:top w:val="nil"/>
              <w:left w:val="nil"/>
              <w:bottom w:val="nil"/>
              <w:right w:val="nil"/>
            </w:tcBorders>
            <w:vAlign w:val="bottom"/>
          </w:tcPr>
          <w:p w14:paraId="2D22E39F" w14:textId="669C1845" w:rsidR="00584325" w:rsidRPr="001D41EA" w:rsidRDefault="00584325" w:rsidP="001D41EA">
            <w:pPr>
              <w:spacing w:before="40" w:after="40"/>
              <w:jc w:val="right"/>
              <w:rPr>
                <w:rFonts w:cs="Arial"/>
                <w:sz w:val="18"/>
                <w:szCs w:val="18"/>
              </w:rPr>
            </w:pPr>
            <w:r w:rsidRPr="001D41EA">
              <w:rPr>
                <w:rFonts w:cs="Arial"/>
                <w:sz w:val="18"/>
                <w:szCs w:val="18"/>
              </w:rPr>
              <w:t>4,149,180</w:t>
            </w:r>
          </w:p>
        </w:tc>
        <w:tc>
          <w:tcPr>
            <w:tcW w:w="1361" w:type="dxa"/>
            <w:tcBorders>
              <w:top w:val="nil"/>
              <w:left w:val="nil"/>
              <w:bottom w:val="nil"/>
              <w:right w:val="nil"/>
            </w:tcBorders>
            <w:shd w:val="clear" w:color="auto" w:fill="auto"/>
            <w:noWrap/>
            <w:vAlign w:val="bottom"/>
          </w:tcPr>
          <w:p w14:paraId="2E8320EE" w14:textId="0D5BF100" w:rsidR="00584325" w:rsidRPr="001D41EA" w:rsidRDefault="00584325" w:rsidP="001D41EA">
            <w:pPr>
              <w:spacing w:before="40" w:after="40"/>
              <w:jc w:val="right"/>
              <w:rPr>
                <w:rFonts w:cs="Arial"/>
                <w:b/>
                <w:sz w:val="18"/>
                <w:szCs w:val="18"/>
              </w:rPr>
            </w:pPr>
            <w:r w:rsidRPr="001D41EA">
              <w:rPr>
                <w:rFonts w:cs="Arial"/>
                <w:b/>
                <w:sz w:val="18"/>
                <w:szCs w:val="18"/>
              </w:rPr>
              <w:t>100,518,378</w:t>
            </w:r>
          </w:p>
        </w:tc>
      </w:tr>
      <w:tr w:rsidR="00584325" w:rsidRPr="001D41EA" w14:paraId="11C15DA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23DB725" w14:textId="77777777" w:rsidR="00584325" w:rsidRPr="001D41EA" w:rsidRDefault="00584325" w:rsidP="001D41EA">
            <w:pPr>
              <w:spacing w:before="40" w:after="40"/>
              <w:rPr>
                <w:rFonts w:cs="Arial"/>
                <w:sz w:val="18"/>
                <w:szCs w:val="18"/>
              </w:rPr>
            </w:pPr>
            <w:r w:rsidRPr="001D41EA">
              <w:rPr>
                <w:rFonts w:cs="Arial"/>
                <w:sz w:val="18"/>
                <w:szCs w:val="18"/>
              </w:rPr>
              <w:t>Benalla RC</w:t>
            </w:r>
          </w:p>
        </w:tc>
        <w:tc>
          <w:tcPr>
            <w:tcW w:w="1361" w:type="dxa"/>
            <w:tcBorders>
              <w:top w:val="nil"/>
              <w:left w:val="single" w:sz="18" w:space="0" w:color="5F497A" w:themeColor="accent4" w:themeShade="BF"/>
              <w:bottom w:val="nil"/>
              <w:right w:val="nil"/>
            </w:tcBorders>
            <w:shd w:val="clear" w:color="auto" w:fill="auto"/>
            <w:noWrap/>
            <w:vAlign w:val="bottom"/>
          </w:tcPr>
          <w:p w14:paraId="74A7E8AB" w14:textId="1B394FFD" w:rsidR="00584325" w:rsidRPr="001D41EA" w:rsidRDefault="00584325" w:rsidP="001D41EA">
            <w:pPr>
              <w:spacing w:before="40" w:after="40"/>
              <w:jc w:val="right"/>
              <w:rPr>
                <w:rFonts w:cs="Arial"/>
                <w:sz w:val="18"/>
                <w:szCs w:val="18"/>
              </w:rPr>
            </w:pPr>
            <w:r w:rsidRPr="001D41EA">
              <w:rPr>
                <w:rFonts w:cs="Arial"/>
                <w:sz w:val="18"/>
                <w:szCs w:val="18"/>
              </w:rPr>
              <w:t>1,781,374</w:t>
            </w:r>
          </w:p>
        </w:tc>
        <w:tc>
          <w:tcPr>
            <w:tcW w:w="1361" w:type="dxa"/>
            <w:tcBorders>
              <w:top w:val="nil"/>
              <w:left w:val="nil"/>
              <w:bottom w:val="nil"/>
              <w:right w:val="nil"/>
            </w:tcBorders>
            <w:shd w:val="clear" w:color="auto" w:fill="auto"/>
            <w:noWrap/>
            <w:vAlign w:val="bottom"/>
          </w:tcPr>
          <w:p w14:paraId="6895ED57" w14:textId="00BE5F3A" w:rsidR="00584325" w:rsidRPr="001D41EA" w:rsidRDefault="00584325" w:rsidP="001D41EA">
            <w:pPr>
              <w:spacing w:before="40" w:after="40"/>
              <w:jc w:val="right"/>
              <w:rPr>
                <w:rFonts w:cs="Arial"/>
                <w:sz w:val="18"/>
                <w:szCs w:val="18"/>
              </w:rPr>
            </w:pPr>
            <w:r w:rsidRPr="001D41EA">
              <w:rPr>
                <w:rFonts w:cs="Arial"/>
                <w:sz w:val="18"/>
                <w:szCs w:val="18"/>
              </w:rPr>
              <w:t>1,288,130</w:t>
            </w:r>
          </w:p>
        </w:tc>
        <w:tc>
          <w:tcPr>
            <w:tcW w:w="1361" w:type="dxa"/>
            <w:tcBorders>
              <w:top w:val="nil"/>
              <w:left w:val="nil"/>
              <w:bottom w:val="nil"/>
              <w:right w:val="nil"/>
            </w:tcBorders>
            <w:shd w:val="clear" w:color="auto" w:fill="auto"/>
            <w:noWrap/>
            <w:vAlign w:val="bottom"/>
          </w:tcPr>
          <w:p w14:paraId="5ABF214F" w14:textId="2257DE08" w:rsidR="00584325" w:rsidRPr="001D41EA" w:rsidRDefault="00584325" w:rsidP="001D41EA">
            <w:pPr>
              <w:spacing w:before="40" w:after="40"/>
              <w:jc w:val="right"/>
              <w:rPr>
                <w:rFonts w:cs="Arial"/>
                <w:sz w:val="18"/>
                <w:szCs w:val="18"/>
              </w:rPr>
            </w:pPr>
            <w:r w:rsidRPr="001D41EA">
              <w:rPr>
                <w:rFonts w:cs="Arial"/>
                <w:sz w:val="18"/>
                <w:szCs w:val="18"/>
              </w:rPr>
              <w:t>2,747,033</w:t>
            </w:r>
          </w:p>
        </w:tc>
        <w:tc>
          <w:tcPr>
            <w:tcW w:w="1361" w:type="dxa"/>
            <w:tcBorders>
              <w:top w:val="nil"/>
              <w:left w:val="nil"/>
              <w:bottom w:val="nil"/>
              <w:right w:val="nil"/>
            </w:tcBorders>
            <w:vAlign w:val="bottom"/>
          </w:tcPr>
          <w:p w14:paraId="716DB374" w14:textId="1FEDA7F6" w:rsidR="00584325" w:rsidRPr="001D41EA" w:rsidRDefault="00584325" w:rsidP="001D41EA">
            <w:pPr>
              <w:spacing w:before="40" w:after="40"/>
              <w:jc w:val="right"/>
              <w:rPr>
                <w:rFonts w:cs="Arial"/>
                <w:sz w:val="18"/>
                <w:szCs w:val="18"/>
              </w:rPr>
            </w:pPr>
            <w:r w:rsidRPr="001D41EA">
              <w:rPr>
                <w:rFonts w:cs="Arial"/>
                <w:sz w:val="18"/>
                <w:szCs w:val="18"/>
              </w:rPr>
              <w:t>10,757,152</w:t>
            </w:r>
          </w:p>
        </w:tc>
        <w:tc>
          <w:tcPr>
            <w:tcW w:w="1361" w:type="dxa"/>
            <w:tcBorders>
              <w:top w:val="nil"/>
              <w:left w:val="nil"/>
              <w:bottom w:val="nil"/>
              <w:right w:val="nil"/>
            </w:tcBorders>
            <w:shd w:val="clear" w:color="auto" w:fill="auto"/>
            <w:noWrap/>
            <w:vAlign w:val="bottom"/>
          </w:tcPr>
          <w:p w14:paraId="188A6E97" w14:textId="7B51392E" w:rsidR="00584325" w:rsidRPr="001D41EA" w:rsidRDefault="00584325" w:rsidP="001D41EA">
            <w:pPr>
              <w:spacing w:before="40" w:after="40"/>
              <w:jc w:val="right"/>
              <w:rPr>
                <w:rFonts w:cs="Arial"/>
                <w:b/>
                <w:sz w:val="18"/>
                <w:szCs w:val="18"/>
              </w:rPr>
            </w:pPr>
            <w:r w:rsidRPr="001D41EA">
              <w:rPr>
                <w:rFonts w:cs="Arial"/>
                <w:b/>
                <w:sz w:val="18"/>
                <w:szCs w:val="18"/>
              </w:rPr>
              <w:t>26,889,346</w:t>
            </w:r>
          </w:p>
        </w:tc>
      </w:tr>
      <w:tr w:rsidR="00584325" w:rsidRPr="001D41EA" w14:paraId="6207C78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2330F2F" w14:textId="77777777" w:rsidR="00584325" w:rsidRPr="001D41EA" w:rsidRDefault="00584325" w:rsidP="001D41EA">
            <w:pPr>
              <w:spacing w:before="40" w:after="40"/>
              <w:rPr>
                <w:rFonts w:cs="Arial"/>
                <w:sz w:val="18"/>
                <w:szCs w:val="18"/>
              </w:rPr>
            </w:pPr>
            <w:r w:rsidRPr="001D41EA">
              <w:rPr>
                <w:rFonts w:cs="Arial"/>
                <w:sz w:val="18"/>
                <w:szCs w:val="18"/>
              </w:rPr>
              <w:t>Boroondara C</w:t>
            </w:r>
          </w:p>
        </w:tc>
        <w:tc>
          <w:tcPr>
            <w:tcW w:w="1361" w:type="dxa"/>
            <w:tcBorders>
              <w:top w:val="nil"/>
              <w:left w:val="single" w:sz="18" w:space="0" w:color="5F497A" w:themeColor="accent4" w:themeShade="BF"/>
              <w:bottom w:val="nil"/>
              <w:right w:val="nil"/>
            </w:tcBorders>
            <w:shd w:val="clear" w:color="auto" w:fill="auto"/>
            <w:noWrap/>
            <w:vAlign w:val="bottom"/>
          </w:tcPr>
          <w:p w14:paraId="3BDA6267" w14:textId="760B93BB" w:rsidR="00584325" w:rsidRPr="001D41EA" w:rsidRDefault="00584325" w:rsidP="001D41EA">
            <w:pPr>
              <w:spacing w:before="40" w:after="40"/>
              <w:jc w:val="right"/>
              <w:rPr>
                <w:rFonts w:cs="Arial"/>
                <w:sz w:val="18"/>
                <w:szCs w:val="18"/>
              </w:rPr>
            </w:pPr>
            <w:r w:rsidRPr="001D41EA">
              <w:rPr>
                <w:rFonts w:cs="Arial"/>
                <w:sz w:val="18"/>
                <w:szCs w:val="18"/>
              </w:rPr>
              <w:t>24,107,025</w:t>
            </w:r>
          </w:p>
        </w:tc>
        <w:tc>
          <w:tcPr>
            <w:tcW w:w="1361" w:type="dxa"/>
            <w:tcBorders>
              <w:top w:val="nil"/>
              <w:left w:val="nil"/>
              <w:bottom w:val="nil"/>
              <w:right w:val="nil"/>
            </w:tcBorders>
            <w:shd w:val="clear" w:color="auto" w:fill="auto"/>
            <w:noWrap/>
            <w:vAlign w:val="bottom"/>
          </w:tcPr>
          <w:p w14:paraId="43FDEB93" w14:textId="352F5276" w:rsidR="00584325" w:rsidRPr="001D41EA" w:rsidRDefault="00584325" w:rsidP="001D41EA">
            <w:pPr>
              <w:spacing w:before="40" w:after="40"/>
              <w:jc w:val="right"/>
              <w:rPr>
                <w:rFonts w:cs="Arial"/>
                <w:sz w:val="18"/>
                <w:szCs w:val="18"/>
              </w:rPr>
            </w:pPr>
            <w:r w:rsidRPr="001D41EA">
              <w:rPr>
                <w:rFonts w:cs="Arial"/>
                <w:sz w:val="18"/>
                <w:szCs w:val="18"/>
              </w:rPr>
              <w:t>10,840,912</w:t>
            </w:r>
          </w:p>
        </w:tc>
        <w:tc>
          <w:tcPr>
            <w:tcW w:w="1361" w:type="dxa"/>
            <w:tcBorders>
              <w:top w:val="nil"/>
              <w:left w:val="nil"/>
              <w:bottom w:val="nil"/>
              <w:right w:val="nil"/>
            </w:tcBorders>
            <w:shd w:val="clear" w:color="auto" w:fill="auto"/>
            <w:noWrap/>
            <w:vAlign w:val="bottom"/>
          </w:tcPr>
          <w:p w14:paraId="7F433E4A" w14:textId="737B5780" w:rsidR="00584325" w:rsidRPr="001D41EA" w:rsidRDefault="00584325" w:rsidP="001D41EA">
            <w:pPr>
              <w:spacing w:before="40" w:after="40"/>
              <w:jc w:val="right"/>
              <w:rPr>
                <w:rFonts w:cs="Arial"/>
                <w:sz w:val="18"/>
                <w:szCs w:val="18"/>
              </w:rPr>
            </w:pPr>
            <w:r w:rsidRPr="001D41EA">
              <w:rPr>
                <w:rFonts w:cs="Arial"/>
                <w:sz w:val="18"/>
                <w:szCs w:val="18"/>
              </w:rPr>
              <w:t>30,319,516</w:t>
            </w:r>
          </w:p>
        </w:tc>
        <w:tc>
          <w:tcPr>
            <w:tcW w:w="1361" w:type="dxa"/>
            <w:tcBorders>
              <w:top w:val="nil"/>
              <w:left w:val="nil"/>
              <w:bottom w:val="nil"/>
              <w:right w:val="nil"/>
            </w:tcBorders>
            <w:vAlign w:val="bottom"/>
          </w:tcPr>
          <w:p w14:paraId="51B99F8F" w14:textId="5DD8B326" w:rsidR="00584325" w:rsidRPr="001D41EA" w:rsidRDefault="00584325" w:rsidP="001D41EA">
            <w:pPr>
              <w:spacing w:before="40" w:after="40"/>
              <w:jc w:val="right"/>
              <w:rPr>
                <w:rFonts w:cs="Arial"/>
                <w:sz w:val="18"/>
                <w:szCs w:val="18"/>
              </w:rPr>
            </w:pPr>
            <w:r w:rsidRPr="001D41EA">
              <w:rPr>
                <w:rFonts w:cs="Arial"/>
                <w:sz w:val="18"/>
                <w:szCs w:val="18"/>
              </w:rPr>
              <w:t>6,642,271</w:t>
            </w:r>
          </w:p>
        </w:tc>
        <w:tc>
          <w:tcPr>
            <w:tcW w:w="1361" w:type="dxa"/>
            <w:tcBorders>
              <w:top w:val="nil"/>
              <w:left w:val="nil"/>
              <w:bottom w:val="nil"/>
              <w:right w:val="nil"/>
            </w:tcBorders>
            <w:shd w:val="clear" w:color="auto" w:fill="auto"/>
            <w:noWrap/>
            <w:vAlign w:val="bottom"/>
          </w:tcPr>
          <w:p w14:paraId="592B0265" w14:textId="5D5D9723" w:rsidR="00584325" w:rsidRPr="001D41EA" w:rsidRDefault="00584325" w:rsidP="001D41EA">
            <w:pPr>
              <w:spacing w:before="40" w:after="40"/>
              <w:jc w:val="right"/>
              <w:rPr>
                <w:rFonts w:cs="Arial"/>
                <w:b/>
                <w:sz w:val="18"/>
                <w:szCs w:val="18"/>
              </w:rPr>
            </w:pPr>
            <w:r w:rsidRPr="001D41EA">
              <w:rPr>
                <w:rFonts w:cs="Arial"/>
                <w:b/>
                <w:sz w:val="18"/>
                <w:szCs w:val="18"/>
              </w:rPr>
              <w:t>179,048,523</w:t>
            </w:r>
          </w:p>
        </w:tc>
      </w:tr>
      <w:tr w:rsidR="00584325" w:rsidRPr="001D41EA" w14:paraId="60CF53F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F7ED3B8" w14:textId="77777777" w:rsidR="00584325" w:rsidRPr="001D41EA" w:rsidRDefault="00584325" w:rsidP="001D41EA">
            <w:pPr>
              <w:spacing w:before="40" w:after="40"/>
              <w:rPr>
                <w:rFonts w:cs="Arial"/>
                <w:sz w:val="18"/>
                <w:szCs w:val="18"/>
              </w:rPr>
            </w:pPr>
            <w:r w:rsidRPr="001D41EA">
              <w:rPr>
                <w:rFonts w:cs="Arial"/>
                <w:sz w:val="18"/>
                <w:szCs w:val="18"/>
              </w:rPr>
              <w:t>Brimbank C</w:t>
            </w:r>
          </w:p>
        </w:tc>
        <w:tc>
          <w:tcPr>
            <w:tcW w:w="1361" w:type="dxa"/>
            <w:tcBorders>
              <w:top w:val="nil"/>
              <w:left w:val="single" w:sz="18" w:space="0" w:color="5F497A" w:themeColor="accent4" w:themeShade="BF"/>
              <w:bottom w:val="nil"/>
              <w:right w:val="nil"/>
            </w:tcBorders>
            <w:shd w:val="clear" w:color="auto" w:fill="auto"/>
            <w:noWrap/>
            <w:vAlign w:val="bottom"/>
          </w:tcPr>
          <w:p w14:paraId="1F8D2AD7" w14:textId="6A7C0DDA" w:rsidR="00584325" w:rsidRPr="001D41EA" w:rsidRDefault="00584325" w:rsidP="001D41EA">
            <w:pPr>
              <w:spacing w:before="40" w:after="40"/>
              <w:jc w:val="right"/>
              <w:rPr>
                <w:rFonts w:cs="Arial"/>
                <w:sz w:val="18"/>
                <w:szCs w:val="18"/>
              </w:rPr>
            </w:pPr>
            <w:r w:rsidRPr="001D41EA">
              <w:rPr>
                <w:rFonts w:cs="Arial"/>
                <w:sz w:val="18"/>
                <w:szCs w:val="18"/>
              </w:rPr>
              <w:t>23,683,240</w:t>
            </w:r>
          </w:p>
        </w:tc>
        <w:tc>
          <w:tcPr>
            <w:tcW w:w="1361" w:type="dxa"/>
            <w:tcBorders>
              <w:top w:val="nil"/>
              <w:left w:val="nil"/>
              <w:bottom w:val="nil"/>
              <w:right w:val="nil"/>
            </w:tcBorders>
            <w:shd w:val="clear" w:color="auto" w:fill="auto"/>
            <w:noWrap/>
            <w:vAlign w:val="bottom"/>
          </w:tcPr>
          <w:p w14:paraId="05B12A4A" w14:textId="342C52DE" w:rsidR="00584325" w:rsidRPr="001D41EA" w:rsidRDefault="00584325" w:rsidP="001D41EA">
            <w:pPr>
              <w:spacing w:before="40" w:after="40"/>
              <w:jc w:val="right"/>
              <w:rPr>
                <w:rFonts w:cs="Arial"/>
                <w:sz w:val="18"/>
                <w:szCs w:val="18"/>
              </w:rPr>
            </w:pPr>
            <w:r w:rsidRPr="001D41EA">
              <w:rPr>
                <w:rFonts w:cs="Arial"/>
                <w:sz w:val="18"/>
                <w:szCs w:val="18"/>
              </w:rPr>
              <w:t>12,402,041</w:t>
            </w:r>
          </w:p>
        </w:tc>
        <w:tc>
          <w:tcPr>
            <w:tcW w:w="1361" w:type="dxa"/>
            <w:tcBorders>
              <w:top w:val="nil"/>
              <w:left w:val="nil"/>
              <w:bottom w:val="nil"/>
              <w:right w:val="nil"/>
            </w:tcBorders>
            <w:shd w:val="clear" w:color="auto" w:fill="auto"/>
            <w:noWrap/>
            <w:vAlign w:val="bottom"/>
          </w:tcPr>
          <w:p w14:paraId="78B0047D" w14:textId="2373CCFE" w:rsidR="00584325" w:rsidRPr="001D41EA" w:rsidRDefault="00584325" w:rsidP="001D41EA">
            <w:pPr>
              <w:spacing w:before="40" w:after="40"/>
              <w:jc w:val="right"/>
              <w:rPr>
                <w:rFonts w:cs="Arial"/>
                <w:sz w:val="18"/>
                <w:szCs w:val="18"/>
              </w:rPr>
            </w:pPr>
            <w:r w:rsidRPr="001D41EA">
              <w:rPr>
                <w:rFonts w:cs="Arial"/>
                <w:sz w:val="18"/>
                <w:szCs w:val="18"/>
              </w:rPr>
              <w:t>30,180,743</w:t>
            </w:r>
          </w:p>
        </w:tc>
        <w:tc>
          <w:tcPr>
            <w:tcW w:w="1361" w:type="dxa"/>
            <w:tcBorders>
              <w:top w:val="nil"/>
              <w:left w:val="nil"/>
              <w:bottom w:val="nil"/>
              <w:right w:val="nil"/>
            </w:tcBorders>
            <w:vAlign w:val="bottom"/>
          </w:tcPr>
          <w:p w14:paraId="13A924AD" w14:textId="2C8BE48C" w:rsidR="00584325" w:rsidRPr="001D41EA" w:rsidRDefault="00584325" w:rsidP="001D41EA">
            <w:pPr>
              <w:spacing w:before="40" w:after="40"/>
              <w:jc w:val="right"/>
              <w:rPr>
                <w:rFonts w:cs="Arial"/>
                <w:sz w:val="18"/>
                <w:szCs w:val="18"/>
              </w:rPr>
            </w:pPr>
            <w:r w:rsidRPr="001D41EA">
              <w:rPr>
                <w:rFonts w:cs="Arial"/>
                <w:sz w:val="18"/>
                <w:szCs w:val="18"/>
              </w:rPr>
              <w:t>12,669,249</w:t>
            </w:r>
          </w:p>
        </w:tc>
        <w:tc>
          <w:tcPr>
            <w:tcW w:w="1361" w:type="dxa"/>
            <w:tcBorders>
              <w:top w:val="nil"/>
              <w:left w:val="nil"/>
              <w:bottom w:val="nil"/>
              <w:right w:val="nil"/>
            </w:tcBorders>
            <w:shd w:val="clear" w:color="auto" w:fill="auto"/>
            <w:noWrap/>
            <w:vAlign w:val="bottom"/>
          </w:tcPr>
          <w:p w14:paraId="5AF0BEAA" w14:textId="0DCB9226" w:rsidR="00584325" w:rsidRPr="001D41EA" w:rsidRDefault="00584325" w:rsidP="001D41EA">
            <w:pPr>
              <w:spacing w:before="40" w:after="40"/>
              <w:jc w:val="right"/>
              <w:rPr>
                <w:rFonts w:cs="Arial"/>
                <w:b/>
                <w:sz w:val="18"/>
                <w:szCs w:val="18"/>
              </w:rPr>
            </w:pPr>
            <w:r w:rsidRPr="001D41EA">
              <w:rPr>
                <w:rFonts w:cs="Arial"/>
                <w:b/>
                <w:sz w:val="18"/>
                <w:szCs w:val="18"/>
              </w:rPr>
              <w:t>204,260,283</w:t>
            </w:r>
          </w:p>
        </w:tc>
      </w:tr>
      <w:tr w:rsidR="00584325" w:rsidRPr="001D41EA" w14:paraId="1ACD64E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CD57DF5" w14:textId="77777777" w:rsidR="00584325" w:rsidRPr="001D41EA" w:rsidRDefault="00584325" w:rsidP="001D41EA">
            <w:pPr>
              <w:spacing w:before="40" w:after="40"/>
              <w:rPr>
                <w:rFonts w:cs="Arial"/>
                <w:sz w:val="18"/>
                <w:szCs w:val="18"/>
              </w:rPr>
            </w:pPr>
            <w:r w:rsidRPr="001D41EA">
              <w:rPr>
                <w:rFonts w:cs="Arial"/>
                <w:sz w:val="18"/>
                <w:szCs w:val="18"/>
              </w:rPr>
              <w:t>Buloke S</w:t>
            </w:r>
          </w:p>
        </w:tc>
        <w:tc>
          <w:tcPr>
            <w:tcW w:w="1361" w:type="dxa"/>
            <w:tcBorders>
              <w:top w:val="nil"/>
              <w:left w:val="single" w:sz="18" w:space="0" w:color="5F497A" w:themeColor="accent4" w:themeShade="BF"/>
              <w:bottom w:val="nil"/>
              <w:right w:val="nil"/>
            </w:tcBorders>
            <w:shd w:val="clear" w:color="auto" w:fill="auto"/>
            <w:noWrap/>
            <w:vAlign w:val="bottom"/>
          </w:tcPr>
          <w:p w14:paraId="754DD533" w14:textId="55B273A0" w:rsidR="00584325" w:rsidRPr="001D41EA" w:rsidRDefault="00584325" w:rsidP="001D41EA">
            <w:pPr>
              <w:spacing w:before="40" w:after="40"/>
              <w:jc w:val="right"/>
              <w:rPr>
                <w:rFonts w:cs="Arial"/>
                <w:sz w:val="18"/>
                <w:szCs w:val="18"/>
              </w:rPr>
            </w:pPr>
            <w:r w:rsidRPr="001D41EA">
              <w:rPr>
                <w:rFonts w:cs="Arial"/>
                <w:sz w:val="18"/>
                <w:szCs w:val="18"/>
              </w:rPr>
              <w:t>873,809</w:t>
            </w:r>
          </w:p>
        </w:tc>
        <w:tc>
          <w:tcPr>
            <w:tcW w:w="1361" w:type="dxa"/>
            <w:tcBorders>
              <w:top w:val="nil"/>
              <w:left w:val="nil"/>
              <w:bottom w:val="nil"/>
              <w:right w:val="nil"/>
            </w:tcBorders>
            <w:shd w:val="clear" w:color="auto" w:fill="auto"/>
            <w:noWrap/>
            <w:vAlign w:val="bottom"/>
          </w:tcPr>
          <w:p w14:paraId="45F90462" w14:textId="3A0AA754" w:rsidR="00584325" w:rsidRPr="001D41EA" w:rsidRDefault="00584325" w:rsidP="001D41EA">
            <w:pPr>
              <w:spacing w:before="40" w:after="40"/>
              <w:jc w:val="right"/>
              <w:rPr>
                <w:rFonts w:cs="Arial"/>
                <w:sz w:val="18"/>
                <w:szCs w:val="18"/>
              </w:rPr>
            </w:pPr>
            <w:r w:rsidRPr="001D41EA">
              <w:rPr>
                <w:rFonts w:cs="Arial"/>
                <w:sz w:val="18"/>
                <w:szCs w:val="18"/>
              </w:rPr>
              <w:t>1,436,756</w:t>
            </w:r>
          </w:p>
        </w:tc>
        <w:tc>
          <w:tcPr>
            <w:tcW w:w="1361" w:type="dxa"/>
            <w:tcBorders>
              <w:top w:val="nil"/>
              <w:left w:val="nil"/>
              <w:bottom w:val="nil"/>
              <w:right w:val="nil"/>
            </w:tcBorders>
            <w:shd w:val="clear" w:color="auto" w:fill="auto"/>
            <w:noWrap/>
            <w:vAlign w:val="bottom"/>
          </w:tcPr>
          <w:p w14:paraId="7D29EB01" w14:textId="45C21210" w:rsidR="00584325" w:rsidRPr="001D41EA" w:rsidRDefault="00584325" w:rsidP="001D41EA">
            <w:pPr>
              <w:spacing w:before="40" w:after="40"/>
              <w:jc w:val="right"/>
              <w:rPr>
                <w:rFonts w:cs="Arial"/>
                <w:sz w:val="18"/>
                <w:szCs w:val="18"/>
              </w:rPr>
            </w:pPr>
            <w:r w:rsidRPr="001D41EA">
              <w:rPr>
                <w:rFonts w:cs="Arial"/>
                <w:sz w:val="18"/>
                <w:szCs w:val="18"/>
              </w:rPr>
              <w:t>3,106,145</w:t>
            </w:r>
          </w:p>
        </w:tc>
        <w:tc>
          <w:tcPr>
            <w:tcW w:w="1361" w:type="dxa"/>
            <w:tcBorders>
              <w:top w:val="nil"/>
              <w:left w:val="nil"/>
              <w:bottom w:val="nil"/>
              <w:right w:val="nil"/>
            </w:tcBorders>
            <w:vAlign w:val="bottom"/>
          </w:tcPr>
          <w:p w14:paraId="4C298989" w14:textId="413BD3C4" w:rsidR="00584325" w:rsidRPr="001D41EA" w:rsidRDefault="00584325" w:rsidP="001D41EA">
            <w:pPr>
              <w:spacing w:before="40" w:after="40"/>
              <w:jc w:val="right"/>
              <w:rPr>
                <w:rFonts w:cs="Arial"/>
                <w:sz w:val="18"/>
                <w:szCs w:val="18"/>
              </w:rPr>
            </w:pPr>
            <w:r w:rsidRPr="001D41EA">
              <w:rPr>
                <w:rFonts w:cs="Arial"/>
                <w:sz w:val="18"/>
                <w:szCs w:val="18"/>
              </w:rPr>
              <w:t>17,894,674</w:t>
            </w:r>
          </w:p>
        </w:tc>
        <w:tc>
          <w:tcPr>
            <w:tcW w:w="1361" w:type="dxa"/>
            <w:tcBorders>
              <w:top w:val="nil"/>
              <w:left w:val="nil"/>
              <w:bottom w:val="nil"/>
              <w:right w:val="nil"/>
            </w:tcBorders>
            <w:shd w:val="clear" w:color="auto" w:fill="auto"/>
            <w:noWrap/>
            <w:vAlign w:val="bottom"/>
          </w:tcPr>
          <w:p w14:paraId="708E367E" w14:textId="2F37EBE2" w:rsidR="00584325" w:rsidRPr="001D41EA" w:rsidRDefault="00584325" w:rsidP="001D41EA">
            <w:pPr>
              <w:spacing w:before="40" w:after="40"/>
              <w:jc w:val="right"/>
              <w:rPr>
                <w:rFonts w:cs="Arial"/>
                <w:b/>
                <w:sz w:val="18"/>
                <w:szCs w:val="18"/>
              </w:rPr>
            </w:pPr>
            <w:r w:rsidRPr="001D41EA">
              <w:rPr>
                <w:rFonts w:cs="Arial"/>
                <w:b/>
                <w:sz w:val="18"/>
                <w:szCs w:val="18"/>
              </w:rPr>
              <w:t>30,042,760</w:t>
            </w:r>
          </w:p>
        </w:tc>
      </w:tr>
      <w:tr w:rsidR="00584325" w:rsidRPr="001D41EA" w14:paraId="1EA4CA3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4A5BA54" w14:textId="77777777" w:rsidR="00584325" w:rsidRPr="001D41EA" w:rsidRDefault="00584325" w:rsidP="001D41EA">
            <w:pPr>
              <w:spacing w:before="40" w:after="40"/>
              <w:rPr>
                <w:rFonts w:cs="Arial"/>
                <w:sz w:val="18"/>
                <w:szCs w:val="18"/>
              </w:rPr>
            </w:pPr>
            <w:r w:rsidRPr="001D41EA">
              <w:rPr>
                <w:rFonts w:cs="Arial"/>
                <w:sz w:val="18"/>
                <w:szCs w:val="18"/>
              </w:rPr>
              <w:t>Campaspe S</w:t>
            </w:r>
          </w:p>
        </w:tc>
        <w:tc>
          <w:tcPr>
            <w:tcW w:w="1361" w:type="dxa"/>
            <w:tcBorders>
              <w:top w:val="nil"/>
              <w:left w:val="single" w:sz="18" w:space="0" w:color="5F497A" w:themeColor="accent4" w:themeShade="BF"/>
              <w:bottom w:val="nil"/>
              <w:right w:val="nil"/>
            </w:tcBorders>
            <w:shd w:val="clear" w:color="auto" w:fill="auto"/>
            <w:noWrap/>
            <w:vAlign w:val="bottom"/>
          </w:tcPr>
          <w:p w14:paraId="74EA075F" w14:textId="0F61033D" w:rsidR="00584325" w:rsidRPr="001D41EA" w:rsidRDefault="00584325" w:rsidP="001D41EA">
            <w:pPr>
              <w:spacing w:before="40" w:after="40"/>
              <w:jc w:val="right"/>
              <w:rPr>
                <w:rFonts w:cs="Arial"/>
                <w:sz w:val="18"/>
                <w:szCs w:val="18"/>
              </w:rPr>
            </w:pPr>
            <w:r w:rsidRPr="001D41EA">
              <w:rPr>
                <w:rFonts w:cs="Arial"/>
                <w:sz w:val="18"/>
                <w:szCs w:val="18"/>
              </w:rPr>
              <w:t>5,192,024</w:t>
            </w:r>
          </w:p>
        </w:tc>
        <w:tc>
          <w:tcPr>
            <w:tcW w:w="1361" w:type="dxa"/>
            <w:tcBorders>
              <w:top w:val="nil"/>
              <w:left w:val="nil"/>
              <w:bottom w:val="nil"/>
              <w:right w:val="nil"/>
            </w:tcBorders>
            <w:shd w:val="clear" w:color="auto" w:fill="auto"/>
            <w:noWrap/>
            <w:vAlign w:val="bottom"/>
          </w:tcPr>
          <w:p w14:paraId="5129C611" w14:textId="17C5EF3D" w:rsidR="00584325" w:rsidRPr="001D41EA" w:rsidRDefault="00584325" w:rsidP="001D41EA">
            <w:pPr>
              <w:spacing w:before="40" w:after="40"/>
              <w:jc w:val="right"/>
              <w:rPr>
                <w:rFonts w:cs="Arial"/>
                <w:sz w:val="18"/>
                <w:szCs w:val="18"/>
              </w:rPr>
            </w:pPr>
            <w:r w:rsidRPr="001D41EA">
              <w:rPr>
                <w:rFonts w:cs="Arial"/>
                <w:sz w:val="18"/>
                <w:szCs w:val="18"/>
              </w:rPr>
              <w:t>3,042,157</w:t>
            </w:r>
          </w:p>
        </w:tc>
        <w:tc>
          <w:tcPr>
            <w:tcW w:w="1361" w:type="dxa"/>
            <w:tcBorders>
              <w:top w:val="nil"/>
              <w:left w:val="nil"/>
              <w:bottom w:val="nil"/>
              <w:right w:val="nil"/>
            </w:tcBorders>
            <w:shd w:val="clear" w:color="auto" w:fill="auto"/>
            <w:noWrap/>
            <w:vAlign w:val="bottom"/>
          </w:tcPr>
          <w:p w14:paraId="4AA04C12" w14:textId="1F77B3DB" w:rsidR="00584325" w:rsidRPr="001D41EA" w:rsidRDefault="00584325" w:rsidP="001D41EA">
            <w:pPr>
              <w:spacing w:before="40" w:after="40"/>
              <w:jc w:val="right"/>
              <w:rPr>
                <w:rFonts w:cs="Arial"/>
                <w:sz w:val="18"/>
                <w:szCs w:val="18"/>
              </w:rPr>
            </w:pPr>
            <w:r w:rsidRPr="001D41EA">
              <w:rPr>
                <w:rFonts w:cs="Arial"/>
                <w:sz w:val="18"/>
                <w:szCs w:val="18"/>
              </w:rPr>
              <w:t>7,171,505</w:t>
            </w:r>
          </w:p>
        </w:tc>
        <w:tc>
          <w:tcPr>
            <w:tcW w:w="1361" w:type="dxa"/>
            <w:tcBorders>
              <w:top w:val="nil"/>
              <w:left w:val="nil"/>
              <w:bottom w:val="nil"/>
              <w:right w:val="nil"/>
            </w:tcBorders>
            <w:vAlign w:val="bottom"/>
          </w:tcPr>
          <w:p w14:paraId="02933CD6" w14:textId="4E3B90FB" w:rsidR="00584325" w:rsidRPr="001D41EA" w:rsidRDefault="00584325" w:rsidP="001D41EA">
            <w:pPr>
              <w:spacing w:before="40" w:after="40"/>
              <w:jc w:val="right"/>
              <w:rPr>
                <w:rFonts w:cs="Arial"/>
                <w:sz w:val="18"/>
                <w:szCs w:val="18"/>
              </w:rPr>
            </w:pPr>
            <w:r w:rsidRPr="001D41EA">
              <w:rPr>
                <w:rFonts w:cs="Arial"/>
                <w:sz w:val="18"/>
                <w:szCs w:val="18"/>
              </w:rPr>
              <w:t>29,506,090</w:t>
            </w:r>
          </w:p>
        </w:tc>
        <w:tc>
          <w:tcPr>
            <w:tcW w:w="1361" w:type="dxa"/>
            <w:tcBorders>
              <w:top w:val="nil"/>
              <w:left w:val="nil"/>
              <w:bottom w:val="nil"/>
              <w:right w:val="nil"/>
            </w:tcBorders>
            <w:shd w:val="clear" w:color="auto" w:fill="auto"/>
            <w:noWrap/>
            <w:vAlign w:val="bottom"/>
          </w:tcPr>
          <w:p w14:paraId="65919F9A" w14:textId="5E35BE68" w:rsidR="00584325" w:rsidRPr="001D41EA" w:rsidRDefault="00584325" w:rsidP="001D41EA">
            <w:pPr>
              <w:spacing w:before="40" w:after="40"/>
              <w:jc w:val="right"/>
              <w:rPr>
                <w:rFonts w:cs="Arial"/>
                <w:b/>
                <w:sz w:val="18"/>
                <w:szCs w:val="18"/>
              </w:rPr>
            </w:pPr>
            <w:r w:rsidRPr="001D41EA">
              <w:rPr>
                <w:rFonts w:cs="Arial"/>
                <w:b/>
                <w:sz w:val="18"/>
                <w:szCs w:val="18"/>
              </w:rPr>
              <w:t>74,649,756</w:t>
            </w:r>
          </w:p>
        </w:tc>
      </w:tr>
      <w:tr w:rsidR="00584325" w:rsidRPr="001D41EA" w14:paraId="4525213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2ED6BDB" w14:textId="77777777" w:rsidR="00584325" w:rsidRPr="001D41EA" w:rsidRDefault="00584325" w:rsidP="001D41EA">
            <w:pPr>
              <w:spacing w:before="40" w:after="40"/>
              <w:rPr>
                <w:rFonts w:cs="Arial"/>
                <w:sz w:val="18"/>
                <w:szCs w:val="18"/>
              </w:rPr>
            </w:pPr>
            <w:r w:rsidRPr="001D41EA">
              <w:rPr>
                <w:rFonts w:cs="Arial"/>
                <w:sz w:val="18"/>
                <w:szCs w:val="18"/>
              </w:rPr>
              <w:t>Cardinia S</w:t>
            </w:r>
          </w:p>
        </w:tc>
        <w:tc>
          <w:tcPr>
            <w:tcW w:w="1361" w:type="dxa"/>
            <w:tcBorders>
              <w:top w:val="nil"/>
              <w:left w:val="single" w:sz="18" w:space="0" w:color="5F497A" w:themeColor="accent4" w:themeShade="BF"/>
              <w:bottom w:val="nil"/>
              <w:right w:val="nil"/>
            </w:tcBorders>
            <w:shd w:val="clear" w:color="auto" w:fill="auto"/>
            <w:noWrap/>
            <w:vAlign w:val="bottom"/>
          </w:tcPr>
          <w:p w14:paraId="594F70EC" w14:textId="4ED671B9" w:rsidR="00584325" w:rsidRPr="001D41EA" w:rsidRDefault="00584325" w:rsidP="001D41EA">
            <w:pPr>
              <w:spacing w:before="40" w:after="40"/>
              <w:jc w:val="right"/>
              <w:rPr>
                <w:rFonts w:cs="Arial"/>
                <w:sz w:val="18"/>
                <w:szCs w:val="18"/>
              </w:rPr>
            </w:pPr>
            <w:r w:rsidRPr="001D41EA">
              <w:rPr>
                <w:rFonts w:cs="Arial"/>
                <w:sz w:val="18"/>
                <w:szCs w:val="18"/>
              </w:rPr>
              <w:t>14,230,753</w:t>
            </w:r>
          </w:p>
        </w:tc>
        <w:tc>
          <w:tcPr>
            <w:tcW w:w="1361" w:type="dxa"/>
            <w:tcBorders>
              <w:top w:val="nil"/>
              <w:left w:val="nil"/>
              <w:bottom w:val="nil"/>
              <w:right w:val="nil"/>
            </w:tcBorders>
            <w:shd w:val="clear" w:color="auto" w:fill="auto"/>
            <w:noWrap/>
            <w:vAlign w:val="bottom"/>
          </w:tcPr>
          <w:p w14:paraId="57ABE8B2" w14:textId="13D5AD29" w:rsidR="00584325" w:rsidRPr="001D41EA" w:rsidRDefault="00584325" w:rsidP="001D41EA">
            <w:pPr>
              <w:spacing w:before="40" w:after="40"/>
              <w:jc w:val="right"/>
              <w:rPr>
                <w:rFonts w:cs="Arial"/>
                <w:sz w:val="18"/>
                <w:szCs w:val="18"/>
              </w:rPr>
            </w:pPr>
            <w:r w:rsidRPr="001D41EA">
              <w:rPr>
                <w:rFonts w:cs="Arial"/>
                <w:sz w:val="18"/>
                <w:szCs w:val="18"/>
              </w:rPr>
              <w:t>8,272,250</w:t>
            </w:r>
          </w:p>
        </w:tc>
        <w:tc>
          <w:tcPr>
            <w:tcW w:w="1361" w:type="dxa"/>
            <w:tcBorders>
              <w:top w:val="nil"/>
              <w:left w:val="nil"/>
              <w:bottom w:val="nil"/>
              <w:right w:val="nil"/>
            </w:tcBorders>
            <w:shd w:val="clear" w:color="auto" w:fill="auto"/>
            <w:noWrap/>
            <w:vAlign w:val="bottom"/>
          </w:tcPr>
          <w:p w14:paraId="790AE222" w14:textId="0760C767" w:rsidR="00584325" w:rsidRPr="001D41EA" w:rsidRDefault="00584325" w:rsidP="001D41EA">
            <w:pPr>
              <w:spacing w:before="40" w:after="40"/>
              <w:jc w:val="right"/>
              <w:rPr>
                <w:rFonts w:cs="Arial"/>
                <w:sz w:val="18"/>
                <w:szCs w:val="18"/>
              </w:rPr>
            </w:pPr>
            <w:r w:rsidRPr="001D41EA">
              <w:rPr>
                <w:rFonts w:cs="Arial"/>
                <w:sz w:val="18"/>
                <w:szCs w:val="18"/>
              </w:rPr>
              <w:t>17,032,796</w:t>
            </w:r>
          </w:p>
        </w:tc>
        <w:tc>
          <w:tcPr>
            <w:tcW w:w="1361" w:type="dxa"/>
            <w:tcBorders>
              <w:top w:val="nil"/>
              <w:left w:val="nil"/>
              <w:bottom w:val="nil"/>
              <w:right w:val="nil"/>
            </w:tcBorders>
            <w:vAlign w:val="bottom"/>
          </w:tcPr>
          <w:p w14:paraId="31921AA7" w14:textId="26CE752A" w:rsidR="00584325" w:rsidRPr="001D41EA" w:rsidRDefault="00584325" w:rsidP="001D41EA">
            <w:pPr>
              <w:spacing w:before="40" w:after="40"/>
              <w:jc w:val="right"/>
              <w:rPr>
                <w:rFonts w:cs="Arial"/>
                <w:sz w:val="18"/>
                <w:szCs w:val="18"/>
              </w:rPr>
            </w:pPr>
            <w:r w:rsidRPr="001D41EA">
              <w:rPr>
                <w:rFonts w:cs="Arial"/>
                <w:sz w:val="18"/>
                <w:szCs w:val="18"/>
              </w:rPr>
              <w:t>19,105,242</w:t>
            </w:r>
          </w:p>
        </w:tc>
        <w:tc>
          <w:tcPr>
            <w:tcW w:w="1361" w:type="dxa"/>
            <w:tcBorders>
              <w:top w:val="nil"/>
              <w:left w:val="nil"/>
              <w:bottom w:val="nil"/>
              <w:right w:val="nil"/>
            </w:tcBorders>
            <w:shd w:val="clear" w:color="auto" w:fill="auto"/>
            <w:noWrap/>
            <w:vAlign w:val="bottom"/>
          </w:tcPr>
          <w:p w14:paraId="4D154C83" w14:textId="59718F51" w:rsidR="00584325" w:rsidRPr="001D41EA" w:rsidRDefault="00584325" w:rsidP="001D41EA">
            <w:pPr>
              <w:spacing w:before="40" w:after="40"/>
              <w:jc w:val="right"/>
              <w:rPr>
                <w:rFonts w:cs="Arial"/>
                <w:b/>
                <w:sz w:val="18"/>
                <w:szCs w:val="18"/>
              </w:rPr>
            </w:pPr>
            <w:r w:rsidRPr="001D41EA">
              <w:rPr>
                <w:rFonts w:cs="Arial"/>
                <w:b/>
                <w:sz w:val="18"/>
                <w:szCs w:val="18"/>
              </w:rPr>
              <w:t>125,020,482</w:t>
            </w:r>
          </w:p>
        </w:tc>
      </w:tr>
      <w:tr w:rsidR="00584325" w:rsidRPr="001D41EA" w14:paraId="363B885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C7937B1" w14:textId="77777777" w:rsidR="00584325" w:rsidRPr="001D41EA" w:rsidRDefault="00584325" w:rsidP="001D41EA">
            <w:pPr>
              <w:spacing w:before="40" w:after="40"/>
              <w:rPr>
                <w:rFonts w:cs="Arial"/>
                <w:sz w:val="18"/>
                <w:szCs w:val="18"/>
              </w:rPr>
            </w:pPr>
            <w:r w:rsidRPr="001D41EA">
              <w:rPr>
                <w:rFonts w:cs="Arial"/>
                <w:sz w:val="18"/>
                <w:szCs w:val="18"/>
              </w:rPr>
              <w:t>Casey C</w:t>
            </w:r>
          </w:p>
        </w:tc>
        <w:tc>
          <w:tcPr>
            <w:tcW w:w="1361" w:type="dxa"/>
            <w:tcBorders>
              <w:top w:val="nil"/>
              <w:left w:val="single" w:sz="18" w:space="0" w:color="5F497A" w:themeColor="accent4" w:themeShade="BF"/>
              <w:bottom w:val="nil"/>
              <w:right w:val="nil"/>
            </w:tcBorders>
            <w:shd w:val="clear" w:color="auto" w:fill="auto"/>
            <w:noWrap/>
            <w:vAlign w:val="bottom"/>
          </w:tcPr>
          <w:p w14:paraId="115A57EC" w14:textId="74940611" w:rsidR="00584325" w:rsidRPr="001D41EA" w:rsidRDefault="00584325" w:rsidP="001D41EA">
            <w:pPr>
              <w:spacing w:before="40" w:after="40"/>
              <w:jc w:val="right"/>
              <w:rPr>
                <w:rFonts w:cs="Arial"/>
                <w:sz w:val="18"/>
                <w:szCs w:val="18"/>
              </w:rPr>
            </w:pPr>
            <w:r w:rsidRPr="001D41EA">
              <w:rPr>
                <w:rFonts w:cs="Arial"/>
                <w:sz w:val="18"/>
                <w:szCs w:val="18"/>
              </w:rPr>
              <w:t>40,183,081</w:t>
            </w:r>
          </w:p>
        </w:tc>
        <w:tc>
          <w:tcPr>
            <w:tcW w:w="1361" w:type="dxa"/>
            <w:tcBorders>
              <w:top w:val="nil"/>
              <w:left w:val="nil"/>
              <w:bottom w:val="nil"/>
              <w:right w:val="nil"/>
            </w:tcBorders>
            <w:shd w:val="clear" w:color="auto" w:fill="auto"/>
            <w:noWrap/>
            <w:vAlign w:val="bottom"/>
          </w:tcPr>
          <w:p w14:paraId="51EBAB4F" w14:textId="6DB9ACBD" w:rsidR="00584325" w:rsidRPr="001D41EA" w:rsidRDefault="00584325" w:rsidP="001D41EA">
            <w:pPr>
              <w:spacing w:before="40" w:after="40"/>
              <w:jc w:val="right"/>
              <w:rPr>
                <w:rFonts w:cs="Arial"/>
                <w:sz w:val="18"/>
                <w:szCs w:val="18"/>
              </w:rPr>
            </w:pPr>
            <w:r w:rsidRPr="001D41EA">
              <w:rPr>
                <w:rFonts w:cs="Arial"/>
                <w:sz w:val="18"/>
                <w:szCs w:val="18"/>
              </w:rPr>
              <w:t>20,912,827</w:t>
            </w:r>
          </w:p>
        </w:tc>
        <w:tc>
          <w:tcPr>
            <w:tcW w:w="1361" w:type="dxa"/>
            <w:tcBorders>
              <w:top w:val="nil"/>
              <w:left w:val="nil"/>
              <w:bottom w:val="nil"/>
              <w:right w:val="nil"/>
            </w:tcBorders>
            <w:shd w:val="clear" w:color="auto" w:fill="auto"/>
            <w:noWrap/>
            <w:vAlign w:val="bottom"/>
          </w:tcPr>
          <w:p w14:paraId="5917E6D7" w14:textId="0724C487" w:rsidR="00584325" w:rsidRPr="001D41EA" w:rsidRDefault="00584325" w:rsidP="001D41EA">
            <w:pPr>
              <w:spacing w:before="40" w:after="40"/>
              <w:jc w:val="right"/>
              <w:rPr>
                <w:rFonts w:cs="Arial"/>
                <w:sz w:val="18"/>
                <w:szCs w:val="18"/>
              </w:rPr>
            </w:pPr>
            <w:r w:rsidRPr="001D41EA">
              <w:rPr>
                <w:rFonts w:cs="Arial"/>
                <w:sz w:val="18"/>
                <w:szCs w:val="18"/>
              </w:rPr>
              <w:t>44,052,693</w:t>
            </w:r>
          </w:p>
        </w:tc>
        <w:tc>
          <w:tcPr>
            <w:tcW w:w="1361" w:type="dxa"/>
            <w:tcBorders>
              <w:top w:val="nil"/>
              <w:left w:val="nil"/>
              <w:bottom w:val="nil"/>
              <w:right w:val="nil"/>
            </w:tcBorders>
            <w:vAlign w:val="bottom"/>
          </w:tcPr>
          <w:p w14:paraId="04FFAA97" w14:textId="289417E1" w:rsidR="00584325" w:rsidRPr="001D41EA" w:rsidRDefault="00584325" w:rsidP="001D41EA">
            <w:pPr>
              <w:spacing w:before="40" w:after="40"/>
              <w:jc w:val="right"/>
              <w:rPr>
                <w:rFonts w:cs="Arial"/>
                <w:sz w:val="18"/>
                <w:szCs w:val="18"/>
              </w:rPr>
            </w:pPr>
            <w:r w:rsidRPr="001D41EA">
              <w:rPr>
                <w:rFonts w:cs="Arial"/>
                <w:sz w:val="18"/>
                <w:szCs w:val="18"/>
              </w:rPr>
              <w:t>18,915,818</w:t>
            </w:r>
          </w:p>
        </w:tc>
        <w:tc>
          <w:tcPr>
            <w:tcW w:w="1361" w:type="dxa"/>
            <w:tcBorders>
              <w:top w:val="nil"/>
              <w:left w:val="nil"/>
              <w:bottom w:val="nil"/>
              <w:right w:val="nil"/>
            </w:tcBorders>
            <w:shd w:val="clear" w:color="auto" w:fill="auto"/>
            <w:noWrap/>
            <w:vAlign w:val="bottom"/>
          </w:tcPr>
          <w:p w14:paraId="5F400638" w14:textId="5464EC5A" w:rsidR="00584325" w:rsidRPr="001D41EA" w:rsidRDefault="00584325" w:rsidP="001D41EA">
            <w:pPr>
              <w:spacing w:before="40" w:after="40"/>
              <w:jc w:val="right"/>
              <w:rPr>
                <w:rFonts w:cs="Arial"/>
                <w:b/>
                <w:sz w:val="18"/>
                <w:szCs w:val="18"/>
              </w:rPr>
            </w:pPr>
            <w:r w:rsidRPr="001D41EA">
              <w:rPr>
                <w:rFonts w:cs="Arial"/>
                <w:b/>
                <w:sz w:val="18"/>
                <w:szCs w:val="18"/>
              </w:rPr>
              <w:t>306,552,716</w:t>
            </w:r>
          </w:p>
        </w:tc>
      </w:tr>
      <w:tr w:rsidR="00584325" w:rsidRPr="001D41EA" w14:paraId="00B8895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4EAE81F" w14:textId="77777777" w:rsidR="00584325" w:rsidRPr="001D41EA" w:rsidRDefault="00584325" w:rsidP="001D41EA">
            <w:pPr>
              <w:spacing w:before="40" w:after="40"/>
              <w:rPr>
                <w:rFonts w:cs="Arial"/>
                <w:sz w:val="18"/>
                <w:szCs w:val="18"/>
              </w:rPr>
            </w:pPr>
            <w:r w:rsidRPr="001D41EA">
              <w:rPr>
                <w:rFonts w:cs="Arial"/>
                <w:sz w:val="18"/>
                <w:szCs w:val="18"/>
              </w:rPr>
              <w:t>Central Goldfields S</w:t>
            </w:r>
          </w:p>
        </w:tc>
        <w:tc>
          <w:tcPr>
            <w:tcW w:w="1361" w:type="dxa"/>
            <w:tcBorders>
              <w:top w:val="nil"/>
              <w:left w:val="single" w:sz="18" w:space="0" w:color="5F497A" w:themeColor="accent4" w:themeShade="BF"/>
              <w:bottom w:val="nil"/>
              <w:right w:val="nil"/>
            </w:tcBorders>
            <w:shd w:val="clear" w:color="auto" w:fill="auto"/>
            <w:noWrap/>
            <w:vAlign w:val="bottom"/>
          </w:tcPr>
          <w:p w14:paraId="62D7B7AA" w14:textId="3ECC1BD3" w:rsidR="00584325" w:rsidRPr="001D41EA" w:rsidRDefault="00584325" w:rsidP="001D41EA">
            <w:pPr>
              <w:spacing w:before="40" w:after="40"/>
              <w:jc w:val="right"/>
              <w:rPr>
                <w:rFonts w:cs="Arial"/>
                <w:sz w:val="18"/>
                <w:szCs w:val="18"/>
              </w:rPr>
            </w:pPr>
            <w:r w:rsidRPr="001D41EA">
              <w:rPr>
                <w:rFonts w:cs="Arial"/>
                <w:sz w:val="18"/>
                <w:szCs w:val="18"/>
              </w:rPr>
              <w:t>1,688,925</w:t>
            </w:r>
          </w:p>
        </w:tc>
        <w:tc>
          <w:tcPr>
            <w:tcW w:w="1361" w:type="dxa"/>
            <w:tcBorders>
              <w:top w:val="nil"/>
              <w:left w:val="nil"/>
              <w:bottom w:val="nil"/>
              <w:right w:val="nil"/>
            </w:tcBorders>
            <w:shd w:val="clear" w:color="auto" w:fill="auto"/>
            <w:noWrap/>
            <w:vAlign w:val="bottom"/>
          </w:tcPr>
          <w:p w14:paraId="08ADDCC3" w14:textId="37545368" w:rsidR="00584325" w:rsidRPr="001D41EA" w:rsidRDefault="00584325" w:rsidP="001D41EA">
            <w:pPr>
              <w:spacing w:before="40" w:after="40"/>
              <w:jc w:val="right"/>
              <w:rPr>
                <w:rFonts w:cs="Arial"/>
                <w:sz w:val="18"/>
                <w:szCs w:val="18"/>
              </w:rPr>
            </w:pPr>
            <w:r w:rsidRPr="001D41EA">
              <w:rPr>
                <w:rFonts w:cs="Arial"/>
                <w:sz w:val="18"/>
                <w:szCs w:val="18"/>
              </w:rPr>
              <w:t>1,283,471</w:t>
            </w:r>
          </w:p>
        </w:tc>
        <w:tc>
          <w:tcPr>
            <w:tcW w:w="1361" w:type="dxa"/>
            <w:tcBorders>
              <w:top w:val="nil"/>
              <w:left w:val="nil"/>
              <w:bottom w:val="nil"/>
              <w:right w:val="nil"/>
            </w:tcBorders>
            <w:shd w:val="clear" w:color="auto" w:fill="auto"/>
            <w:noWrap/>
            <w:vAlign w:val="bottom"/>
          </w:tcPr>
          <w:p w14:paraId="10FADCD1" w14:textId="391089E2" w:rsidR="00584325" w:rsidRPr="001D41EA" w:rsidRDefault="00584325" w:rsidP="001D41EA">
            <w:pPr>
              <w:spacing w:before="40" w:after="40"/>
              <w:jc w:val="right"/>
              <w:rPr>
                <w:rFonts w:cs="Arial"/>
                <w:sz w:val="18"/>
                <w:szCs w:val="18"/>
              </w:rPr>
            </w:pPr>
            <w:r w:rsidRPr="001D41EA">
              <w:rPr>
                <w:rFonts w:cs="Arial"/>
                <w:sz w:val="18"/>
                <w:szCs w:val="18"/>
              </w:rPr>
              <w:t>2,687,561</w:t>
            </w:r>
          </w:p>
        </w:tc>
        <w:tc>
          <w:tcPr>
            <w:tcW w:w="1361" w:type="dxa"/>
            <w:tcBorders>
              <w:top w:val="nil"/>
              <w:left w:val="nil"/>
              <w:bottom w:val="nil"/>
              <w:right w:val="nil"/>
            </w:tcBorders>
            <w:vAlign w:val="bottom"/>
          </w:tcPr>
          <w:p w14:paraId="02F5E558" w14:textId="4A86796B" w:rsidR="00584325" w:rsidRPr="001D41EA" w:rsidRDefault="00584325" w:rsidP="001D41EA">
            <w:pPr>
              <w:spacing w:before="40" w:after="40"/>
              <w:jc w:val="right"/>
              <w:rPr>
                <w:rFonts w:cs="Arial"/>
                <w:sz w:val="18"/>
                <w:szCs w:val="18"/>
              </w:rPr>
            </w:pPr>
            <w:r w:rsidRPr="001D41EA">
              <w:rPr>
                <w:rFonts w:cs="Arial"/>
                <w:sz w:val="18"/>
                <w:szCs w:val="18"/>
              </w:rPr>
              <w:t>8,841,861</w:t>
            </w:r>
          </w:p>
        </w:tc>
        <w:tc>
          <w:tcPr>
            <w:tcW w:w="1361" w:type="dxa"/>
            <w:tcBorders>
              <w:top w:val="nil"/>
              <w:left w:val="nil"/>
              <w:bottom w:val="nil"/>
              <w:right w:val="nil"/>
            </w:tcBorders>
            <w:shd w:val="clear" w:color="auto" w:fill="auto"/>
            <w:noWrap/>
            <w:vAlign w:val="bottom"/>
          </w:tcPr>
          <w:p w14:paraId="2E6C02EA" w14:textId="23ECE14E" w:rsidR="00584325" w:rsidRPr="001D41EA" w:rsidRDefault="00584325" w:rsidP="001D41EA">
            <w:pPr>
              <w:spacing w:before="40" w:after="40"/>
              <w:jc w:val="right"/>
              <w:rPr>
                <w:rFonts w:cs="Arial"/>
                <w:b/>
                <w:sz w:val="18"/>
                <w:szCs w:val="18"/>
              </w:rPr>
            </w:pPr>
            <w:r w:rsidRPr="001D41EA">
              <w:rPr>
                <w:rFonts w:cs="Arial"/>
                <w:b/>
                <w:sz w:val="18"/>
                <w:szCs w:val="18"/>
              </w:rPr>
              <w:t>24,800,262</w:t>
            </w:r>
          </w:p>
        </w:tc>
      </w:tr>
      <w:tr w:rsidR="00584325" w:rsidRPr="001D41EA" w14:paraId="05FEEA4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27A10F8" w14:textId="77777777" w:rsidR="00584325" w:rsidRPr="001D41EA" w:rsidRDefault="00584325" w:rsidP="001D41EA">
            <w:pPr>
              <w:spacing w:before="40" w:after="40"/>
              <w:rPr>
                <w:rFonts w:cs="Arial"/>
                <w:sz w:val="18"/>
                <w:szCs w:val="18"/>
              </w:rPr>
            </w:pPr>
            <w:r w:rsidRPr="001D41EA">
              <w:rPr>
                <w:rFonts w:cs="Arial"/>
                <w:sz w:val="18"/>
                <w:szCs w:val="18"/>
              </w:rPr>
              <w:t>Colac Otway S</w:t>
            </w:r>
          </w:p>
        </w:tc>
        <w:tc>
          <w:tcPr>
            <w:tcW w:w="1361" w:type="dxa"/>
            <w:tcBorders>
              <w:top w:val="nil"/>
              <w:left w:val="single" w:sz="18" w:space="0" w:color="5F497A" w:themeColor="accent4" w:themeShade="BF"/>
              <w:bottom w:val="nil"/>
              <w:right w:val="nil"/>
            </w:tcBorders>
            <w:shd w:val="clear" w:color="auto" w:fill="auto"/>
            <w:noWrap/>
            <w:vAlign w:val="bottom"/>
          </w:tcPr>
          <w:p w14:paraId="5FE9DAAD" w14:textId="518C223C" w:rsidR="00584325" w:rsidRPr="001D41EA" w:rsidRDefault="00584325" w:rsidP="001D41EA">
            <w:pPr>
              <w:spacing w:before="40" w:after="40"/>
              <w:jc w:val="right"/>
              <w:rPr>
                <w:rFonts w:cs="Arial"/>
                <w:sz w:val="18"/>
                <w:szCs w:val="18"/>
              </w:rPr>
            </w:pPr>
            <w:r w:rsidRPr="001D41EA">
              <w:rPr>
                <w:rFonts w:cs="Arial"/>
                <w:sz w:val="18"/>
                <w:szCs w:val="18"/>
              </w:rPr>
              <w:t>3,370,503</w:t>
            </w:r>
          </w:p>
        </w:tc>
        <w:tc>
          <w:tcPr>
            <w:tcW w:w="1361" w:type="dxa"/>
            <w:tcBorders>
              <w:top w:val="nil"/>
              <w:left w:val="nil"/>
              <w:bottom w:val="nil"/>
              <w:right w:val="nil"/>
            </w:tcBorders>
            <w:shd w:val="clear" w:color="auto" w:fill="auto"/>
            <w:noWrap/>
            <w:vAlign w:val="bottom"/>
          </w:tcPr>
          <w:p w14:paraId="29770953" w14:textId="080A3AC8" w:rsidR="00584325" w:rsidRPr="001D41EA" w:rsidRDefault="00584325" w:rsidP="001D41EA">
            <w:pPr>
              <w:spacing w:before="40" w:after="40"/>
              <w:jc w:val="right"/>
              <w:rPr>
                <w:rFonts w:cs="Arial"/>
                <w:sz w:val="18"/>
                <w:szCs w:val="18"/>
              </w:rPr>
            </w:pPr>
            <w:r w:rsidRPr="001D41EA">
              <w:rPr>
                <w:rFonts w:cs="Arial"/>
                <w:sz w:val="18"/>
                <w:szCs w:val="18"/>
              </w:rPr>
              <w:t>1,930,657</w:t>
            </w:r>
          </w:p>
        </w:tc>
        <w:tc>
          <w:tcPr>
            <w:tcW w:w="1361" w:type="dxa"/>
            <w:tcBorders>
              <w:top w:val="nil"/>
              <w:left w:val="nil"/>
              <w:bottom w:val="nil"/>
              <w:right w:val="nil"/>
            </w:tcBorders>
            <w:shd w:val="clear" w:color="auto" w:fill="auto"/>
            <w:noWrap/>
            <w:vAlign w:val="bottom"/>
          </w:tcPr>
          <w:p w14:paraId="56AD6CE6" w14:textId="0B7DBC1D" w:rsidR="00584325" w:rsidRPr="001D41EA" w:rsidRDefault="00584325" w:rsidP="001D41EA">
            <w:pPr>
              <w:spacing w:before="40" w:after="40"/>
              <w:jc w:val="right"/>
              <w:rPr>
                <w:rFonts w:cs="Arial"/>
                <w:sz w:val="18"/>
                <w:szCs w:val="18"/>
              </w:rPr>
            </w:pPr>
            <w:r w:rsidRPr="001D41EA">
              <w:rPr>
                <w:rFonts w:cs="Arial"/>
                <w:sz w:val="18"/>
                <w:szCs w:val="18"/>
              </w:rPr>
              <w:t>4,625,493</w:t>
            </w:r>
          </w:p>
        </w:tc>
        <w:tc>
          <w:tcPr>
            <w:tcW w:w="1361" w:type="dxa"/>
            <w:tcBorders>
              <w:top w:val="nil"/>
              <w:left w:val="nil"/>
              <w:bottom w:val="nil"/>
              <w:right w:val="nil"/>
            </w:tcBorders>
            <w:vAlign w:val="bottom"/>
          </w:tcPr>
          <w:p w14:paraId="563792CA" w14:textId="71A65383" w:rsidR="00584325" w:rsidRPr="001D41EA" w:rsidRDefault="00584325" w:rsidP="001D41EA">
            <w:pPr>
              <w:spacing w:before="40" w:after="40"/>
              <w:jc w:val="right"/>
              <w:rPr>
                <w:rFonts w:cs="Arial"/>
                <w:sz w:val="18"/>
                <w:szCs w:val="18"/>
              </w:rPr>
            </w:pPr>
            <w:r w:rsidRPr="001D41EA">
              <w:rPr>
                <w:rFonts w:cs="Arial"/>
                <w:sz w:val="18"/>
                <w:szCs w:val="18"/>
              </w:rPr>
              <w:t>19,160,250</w:t>
            </w:r>
          </w:p>
        </w:tc>
        <w:tc>
          <w:tcPr>
            <w:tcW w:w="1361" w:type="dxa"/>
            <w:tcBorders>
              <w:top w:val="nil"/>
              <w:left w:val="nil"/>
              <w:bottom w:val="nil"/>
              <w:right w:val="nil"/>
            </w:tcBorders>
            <w:shd w:val="clear" w:color="auto" w:fill="auto"/>
            <w:noWrap/>
            <w:vAlign w:val="bottom"/>
          </w:tcPr>
          <w:p w14:paraId="2D07240E" w14:textId="14DEC486" w:rsidR="00584325" w:rsidRPr="001D41EA" w:rsidRDefault="00584325" w:rsidP="001D41EA">
            <w:pPr>
              <w:spacing w:before="40" w:after="40"/>
              <w:jc w:val="right"/>
              <w:rPr>
                <w:rFonts w:cs="Arial"/>
                <w:b/>
                <w:sz w:val="18"/>
                <w:szCs w:val="18"/>
              </w:rPr>
            </w:pPr>
            <w:r w:rsidRPr="001D41EA">
              <w:rPr>
                <w:rFonts w:cs="Arial"/>
                <w:b/>
                <w:sz w:val="18"/>
                <w:szCs w:val="18"/>
              </w:rPr>
              <w:t>47,305,154</w:t>
            </w:r>
          </w:p>
        </w:tc>
      </w:tr>
      <w:tr w:rsidR="00584325" w:rsidRPr="001D41EA" w14:paraId="751AD93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F6F752D" w14:textId="77777777" w:rsidR="00584325" w:rsidRPr="001D41EA" w:rsidRDefault="00584325" w:rsidP="001D41EA">
            <w:pPr>
              <w:spacing w:before="40" w:after="40"/>
              <w:rPr>
                <w:rFonts w:cs="Arial"/>
                <w:sz w:val="18"/>
                <w:szCs w:val="18"/>
              </w:rPr>
            </w:pPr>
            <w:r w:rsidRPr="001D41EA">
              <w:rPr>
                <w:rFonts w:cs="Arial"/>
                <w:sz w:val="18"/>
                <w:szCs w:val="18"/>
              </w:rPr>
              <w:t>Corangamite S</w:t>
            </w:r>
          </w:p>
        </w:tc>
        <w:tc>
          <w:tcPr>
            <w:tcW w:w="1361" w:type="dxa"/>
            <w:tcBorders>
              <w:top w:val="nil"/>
              <w:left w:val="single" w:sz="18" w:space="0" w:color="5F497A" w:themeColor="accent4" w:themeShade="BF"/>
              <w:bottom w:val="nil"/>
              <w:right w:val="nil"/>
            </w:tcBorders>
            <w:shd w:val="clear" w:color="auto" w:fill="auto"/>
            <w:noWrap/>
            <w:vAlign w:val="bottom"/>
          </w:tcPr>
          <w:p w14:paraId="11EEF3BA" w14:textId="41260CF1" w:rsidR="00584325" w:rsidRPr="001D41EA" w:rsidRDefault="00584325" w:rsidP="001D41EA">
            <w:pPr>
              <w:spacing w:before="40" w:after="40"/>
              <w:jc w:val="right"/>
              <w:rPr>
                <w:rFonts w:cs="Arial"/>
                <w:sz w:val="18"/>
                <w:szCs w:val="18"/>
              </w:rPr>
            </w:pPr>
            <w:r w:rsidRPr="001D41EA">
              <w:rPr>
                <w:rFonts w:cs="Arial"/>
                <w:sz w:val="18"/>
                <w:szCs w:val="18"/>
              </w:rPr>
              <w:t>2,186,107</w:t>
            </w:r>
          </w:p>
        </w:tc>
        <w:tc>
          <w:tcPr>
            <w:tcW w:w="1361" w:type="dxa"/>
            <w:tcBorders>
              <w:top w:val="nil"/>
              <w:left w:val="nil"/>
              <w:bottom w:val="nil"/>
              <w:right w:val="nil"/>
            </w:tcBorders>
            <w:shd w:val="clear" w:color="auto" w:fill="auto"/>
            <w:noWrap/>
            <w:vAlign w:val="bottom"/>
          </w:tcPr>
          <w:p w14:paraId="1708D8C6" w14:textId="6BCB3F3B" w:rsidR="00584325" w:rsidRPr="001D41EA" w:rsidRDefault="00584325" w:rsidP="001D41EA">
            <w:pPr>
              <w:spacing w:before="40" w:after="40"/>
              <w:jc w:val="right"/>
              <w:rPr>
                <w:rFonts w:cs="Arial"/>
                <w:sz w:val="18"/>
                <w:szCs w:val="18"/>
              </w:rPr>
            </w:pPr>
            <w:r w:rsidRPr="001D41EA">
              <w:rPr>
                <w:rFonts w:cs="Arial"/>
                <w:sz w:val="18"/>
                <w:szCs w:val="18"/>
              </w:rPr>
              <w:t>1,359,706</w:t>
            </w:r>
          </w:p>
        </w:tc>
        <w:tc>
          <w:tcPr>
            <w:tcW w:w="1361" w:type="dxa"/>
            <w:tcBorders>
              <w:top w:val="nil"/>
              <w:left w:val="nil"/>
              <w:bottom w:val="nil"/>
              <w:right w:val="nil"/>
            </w:tcBorders>
            <w:shd w:val="clear" w:color="auto" w:fill="auto"/>
            <w:noWrap/>
            <w:vAlign w:val="bottom"/>
          </w:tcPr>
          <w:p w14:paraId="4970F23B" w14:textId="6F45B7C9" w:rsidR="00584325" w:rsidRPr="001D41EA" w:rsidRDefault="00584325" w:rsidP="001D41EA">
            <w:pPr>
              <w:spacing w:before="40" w:after="40"/>
              <w:jc w:val="right"/>
              <w:rPr>
                <w:rFonts w:cs="Arial"/>
                <w:sz w:val="18"/>
                <w:szCs w:val="18"/>
              </w:rPr>
            </w:pPr>
            <w:r w:rsidRPr="001D41EA">
              <w:rPr>
                <w:rFonts w:cs="Arial"/>
                <w:sz w:val="18"/>
                <w:szCs w:val="18"/>
              </w:rPr>
              <w:t>3,146,345</w:t>
            </w:r>
          </w:p>
        </w:tc>
        <w:tc>
          <w:tcPr>
            <w:tcW w:w="1361" w:type="dxa"/>
            <w:tcBorders>
              <w:top w:val="nil"/>
              <w:left w:val="nil"/>
              <w:bottom w:val="nil"/>
              <w:right w:val="nil"/>
            </w:tcBorders>
            <w:vAlign w:val="bottom"/>
          </w:tcPr>
          <w:p w14:paraId="0D099428" w14:textId="60A895E0" w:rsidR="00584325" w:rsidRPr="001D41EA" w:rsidRDefault="00584325" w:rsidP="001D41EA">
            <w:pPr>
              <w:spacing w:before="40" w:after="40"/>
              <w:jc w:val="right"/>
              <w:rPr>
                <w:rFonts w:cs="Arial"/>
                <w:sz w:val="18"/>
                <w:szCs w:val="18"/>
              </w:rPr>
            </w:pPr>
            <w:r w:rsidRPr="001D41EA">
              <w:rPr>
                <w:rFonts w:cs="Arial"/>
                <w:sz w:val="18"/>
                <w:szCs w:val="18"/>
              </w:rPr>
              <w:t>25,607,892</w:t>
            </w:r>
          </w:p>
        </w:tc>
        <w:tc>
          <w:tcPr>
            <w:tcW w:w="1361" w:type="dxa"/>
            <w:tcBorders>
              <w:top w:val="nil"/>
              <w:left w:val="nil"/>
              <w:bottom w:val="nil"/>
              <w:right w:val="nil"/>
            </w:tcBorders>
            <w:shd w:val="clear" w:color="auto" w:fill="auto"/>
            <w:noWrap/>
            <w:vAlign w:val="bottom"/>
          </w:tcPr>
          <w:p w14:paraId="43858A63" w14:textId="3E8A95F5" w:rsidR="00584325" w:rsidRPr="001D41EA" w:rsidRDefault="00584325" w:rsidP="001D41EA">
            <w:pPr>
              <w:spacing w:before="40" w:after="40"/>
              <w:jc w:val="right"/>
              <w:rPr>
                <w:rFonts w:cs="Arial"/>
                <w:b/>
                <w:sz w:val="18"/>
                <w:szCs w:val="18"/>
              </w:rPr>
            </w:pPr>
            <w:r w:rsidRPr="001D41EA">
              <w:rPr>
                <w:rFonts w:cs="Arial"/>
                <w:b/>
                <w:sz w:val="18"/>
                <w:szCs w:val="18"/>
              </w:rPr>
              <w:t>45,152,017</w:t>
            </w:r>
          </w:p>
        </w:tc>
      </w:tr>
      <w:tr w:rsidR="00584325" w:rsidRPr="001D41EA" w14:paraId="5EA1615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20C30B5" w14:textId="77777777" w:rsidR="00584325" w:rsidRPr="001D41EA" w:rsidRDefault="00584325" w:rsidP="001D41EA">
            <w:pPr>
              <w:spacing w:before="40" w:after="40"/>
              <w:rPr>
                <w:rFonts w:cs="Arial"/>
                <w:sz w:val="18"/>
                <w:szCs w:val="18"/>
              </w:rPr>
            </w:pPr>
            <w:r w:rsidRPr="001D41EA">
              <w:rPr>
                <w:rFonts w:cs="Arial"/>
                <w:sz w:val="18"/>
                <w:szCs w:val="18"/>
              </w:rPr>
              <w:t>Darebin C</w:t>
            </w:r>
          </w:p>
        </w:tc>
        <w:tc>
          <w:tcPr>
            <w:tcW w:w="1361" w:type="dxa"/>
            <w:tcBorders>
              <w:top w:val="nil"/>
              <w:left w:val="single" w:sz="18" w:space="0" w:color="5F497A" w:themeColor="accent4" w:themeShade="BF"/>
              <w:bottom w:val="nil"/>
              <w:right w:val="nil"/>
            </w:tcBorders>
            <w:shd w:val="clear" w:color="auto" w:fill="auto"/>
            <w:noWrap/>
            <w:vAlign w:val="bottom"/>
          </w:tcPr>
          <w:p w14:paraId="48B550DE" w14:textId="65A79AD7" w:rsidR="00584325" w:rsidRPr="001D41EA" w:rsidRDefault="00584325" w:rsidP="001D41EA">
            <w:pPr>
              <w:spacing w:before="40" w:after="40"/>
              <w:jc w:val="right"/>
              <w:rPr>
                <w:rFonts w:cs="Arial"/>
                <w:sz w:val="18"/>
                <w:szCs w:val="18"/>
              </w:rPr>
            </w:pPr>
            <w:r w:rsidRPr="001D41EA">
              <w:rPr>
                <w:rFonts w:cs="Arial"/>
                <w:sz w:val="18"/>
                <w:szCs w:val="18"/>
              </w:rPr>
              <w:t>19,979,765</w:t>
            </w:r>
          </w:p>
        </w:tc>
        <w:tc>
          <w:tcPr>
            <w:tcW w:w="1361" w:type="dxa"/>
            <w:tcBorders>
              <w:top w:val="nil"/>
              <w:left w:val="nil"/>
              <w:bottom w:val="nil"/>
              <w:right w:val="nil"/>
            </w:tcBorders>
            <w:shd w:val="clear" w:color="auto" w:fill="auto"/>
            <w:noWrap/>
            <w:vAlign w:val="bottom"/>
          </w:tcPr>
          <w:p w14:paraId="6EEC2891" w14:textId="69EC04D7" w:rsidR="00584325" w:rsidRPr="001D41EA" w:rsidRDefault="00584325" w:rsidP="001D41EA">
            <w:pPr>
              <w:spacing w:before="40" w:after="40"/>
              <w:jc w:val="right"/>
              <w:rPr>
                <w:rFonts w:cs="Arial"/>
                <w:sz w:val="18"/>
                <w:szCs w:val="18"/>
              </w:rPr>
            </w:pPr>
            <w:r w:rsidRPr="001D41EA">
              <w:rPr>
                <w:rFonts w:cs="Arial"/>
                <w:sz w:val="18"/>
                <w:szCs w:val="18"/>
              </w:rPr>
              <w:t>9,801,332</w:t>
            </w:r>
          </w:p>
        </w:tc>
        <w:tc>
          <w:tcPr>
            <w:tcW w:w="1361" w:type="dxa"/>
            <w:tcBorders>
              <w:top w:val="nil"/>
              <w:left w:val="nil"/>
              <w:bottom w:val="nil"/>
              <w:right w:val="nil"/>
            </w:tcBorders>
            <w:shd w:val="clear" w:color="auto" w:fill="auto"/>
            <w:noWrap/>
            <w:vAlign w:val="bottom"/>
          </w:tcPr>
          <w:p w14:paraId="74DD2D4C" w14:textId="1E82AB09" w:rsidR="00584325" w:rsidRPr="001D41EA" w:rsidRDefault="00584325" w:rsidP="001D41EA">
            <w:pPr>
              <w:spacing w:before="40" w:after="40"/>
              <w:jc w:val="right"/>
              <w:rPr>
                <w:rFonts w:cs="Arial"/>
                <w:sz w:val="18"/>
                <w:szCs w:val="18"/>
              </w:rPr>
            </w:pPr>
            <w:r w:rsidRPr="001D41EA">
              <w:rPr>
                <w:rFonts w:cs="Arial"/>
                <w:sz w:val="18"/>
                <w:szCs w:val="18"/>
              </w:rPr>
              <w:t>25,200,954</w:t>
            </w:r>
          </w:p>
        </w:tc>
        <w:tc>
          <w:tcPr>
            <w:tcW w:w="1361" w:type="dxa"/>
            <w:tcBorders>
              <w:top w:val="nil"/>
              <w:left w:val="nil"/>
              <w:bottom w:val="nil"/>
              <w:right w:val="nil"/>
            </w:tcBorders>
            <w:vAlign w:val="bottom"/>
          </w:tcPr>
          <w:p w14:paraId="641FA8BB" w14:textId="15E84693" w:rsidR="00584325" w:rsidRPr="001D41EA" w:rsidRDefault="00584325" w:rsidP="001D41EA">
            <w:pPr>
              <w:spacing w:before="40" w:after="40"/>
              <w:jc w:val="right"/>
              <w:rPr>
                <w:rFonts w:cs="Arial"/>
                <w:sz w:val="18"/>
                <w:szCs w:val="18"/>
              </w:rPr>
            </w:pPr>
            <w:r w:rsidRPr="001D41EA">
              <w:rPr>
                <w:rFonts w:cs="Arial"/>
                <w:sz w:val="18"/>
                <w:szCs w:val="18"/>
              </w:rPr>
              <w:t>6,448,047</w:t>
            </w:r>
          </w:p>
        </w:tc>
        <w:tc>
          <w:tcPr>
            <w:tcW w:w="1361" w:type="dxa"/>
            <w:tcBorders>
              <w:top w:val="nil"/>
              <w:left w:val="nil"/>
              <w:bottom w:val="nil"/>
              <w:right w:val="nil"/>
            </w:tcBorders>
            <w:shd w:val="clear" w:color="auto" w:fill="auto"/>
            <w:noWrap/>
            <w:vAlign w:val="bottom"/>
          </w:tcPr>
          <w:p w14:paraId="2D98EBF8" w14:textId="0AE821C3" w:rsidR="00584325" w:rsidRPr="001D41EA" w:rsidRDefault="00584325" w:rsidP="001D41EA">
            <w:pPr>
              <w:spacing w:before="40" w:after="40"/>
              <w:jc w:val="right"/>
              <w:rPr>
                <w:rFonts w:cs="Arial"/>
                <w:b/>
                <w:sz w:val="18"/>
                <w:szCs w:val="18"/>
              </w:rPr>
            </w:pPr>
            <w:r w:rsidRPr="001D41EA">
              <w:rPr>
                <w:rFonts w:cs="Arial"/>
                <w:b/>
                <w:sz w:val="18"/>
                <w:szCs w:val="18"/>
              </w:rPr>
              <w:t>159,665,337</w:t>
            </w:r>
          </w:p>
        </w:tc>
      </w:tr>
      <w:tr w:rsidR="00584325" w:rsidRPr="001D41EA" w14:paraId="00EBF3B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020DF36" w14:textId="77777777" w:rsidR="00584325" w:rsidRPr="001D41EA" w:rsidRDefault="00584325" w:rsidP="001D41EA">
            <w:pPr>
              <w:spacing w:before="40" w:after="40"/>
              <w:rPr>
                <w:rFonts w:cs="Arial"/>
                <w:sz w:val="18"/>
                <w:szCs w:val="18"/>
              </w:rPr>
            </w:pPr>
            <w:r w:rsidRPr="001D41EA">
              <w:rPr>
                <w:rFonts w:cs="Arial"/>
                <w:sz w:val="18"/>
                <w:szCs w:val="18"/>
              </w:rPr>
              <w:t>East Gippsland S</w:t>
            </w:r>
          </w:p>
        </w:tc>
        <w:tc>
          <w:tcPr>
            <w:tcW w:w="1361" w:type="dxa"/>
            <w:tcBorders>
              <w:top w:val="nil"/>
              <w:left w:val="single" w:sz="18" w:space="0" w:color="5F497A" w:themeColor="accent4" w:themeShade="BF"/>
              <w:bottom w:val="nil"/>
              <w:right w:val="nil"/>
            </w:tcBorders>
            <w:shd w:val="clear" w:color="auto" w:fill="auto"/>
            <w:noWrap/>
            <w:vAlign w:val="bottom"/>
          </w:tcPr>
          <w:p w14:paraId="381FFDD3" w14:textId="0663FDB3" w:rsidR="00584325" w:rsidRPr="001D41EA" w:rsidRDefault="00584325" w:rsidP="001D41EA">
            <w:pPr>
              <w:spacing w:before="40" w:after="40"/>
              <w:jc w:val="right"/>
              <w:rPr>
                <w:rFonts w:cs="Arial"/>
                <w:sz w:val="18"/>
                <w:szCs w:val="18"/>
              </w:rPr>
            </w:pPr>
            <w:r w:rsidRPr="001D41EA">
              <w:rPr>
                <w:rFonts w:cs="Arial"/>
                <w:sz w:val="18"/>
                <w:szCs w:val="18"/>
              </w:rPr>
              <w:t>7,388,622</w:t>
            </w:r>
          </w:p>
        </w:tc>
        <w:tc>
          <w:tcPr>
            <w:tcW w:w="1361" w:type="dxa"/>
            <w:tcBorders>
              <w:top w:val="nil"/>
              <w:left w:val="nil"/>
              <w:bottom w:val="nil"/>
              <w:right w:val="nil"/>
            </w:tcBorders>
            <w:shd w:val="clear" w:color="auto" w:fill="auto"/>
            <w:noWrap/>
            <w:vAlign w:val="bottom"/>
          </w:tcPr>
          <w:p w14:paraId="3E594E03" w14:textId="450876EC" w:rsidR="00584325" w:rsidRPr="001D41EA" w:rsidRDefault="00584325" w:rsidP="001D41EA">
            <w:pPr>
              <w:spacing w:before="40" w:after="40"/>
              <w:jc w:val="right"/>
              <w:rPr>
                <w:rFonts w:cs="Arial"/>
                <w:sz w:val="18"/>
                <w:szCs w:val="18"/>
              </w:rPr>
            </w:pPr>
            <w:r w:rsidRPr="001D41EA">
              <w:rPr>
                <w:rFonts w:cs="Arial"/>
                <w:sz w:val="18"/>
                <w:szCs w:val="18"/>
              </w:rPr>
              <w:t>4,828,123</w:t>
            </w:r>
          </w:p>
        </w:tc>
        <w:tc>
          <w:tcPr>
            <w:tcW w:w="1361" w:type="dxa"/>
            <w:tcBorders>
              <w:top w:val="nil"/>
              <w:left w:val="nil"/>
              <w:bottom w:val="nil"/>
              <w:right w:val="nil"/>
            </w:tcBorders>
            <w:shd w:val="clear" w:color="auto" w:fill="auto"/>
            <w:noWrap/>
            <w:vAlign w:val="bottom"/>
          </w:tcPr>
          <w:p w14:paraId="03129213" w14:textId="70C70CBB" w:rsidR="00584325" w:rsidRPr="001D41EA" w:rsidRDefault="00584325" w:rsidP="001D41EA">
            <w:pPr>
              <w:spacing w:before="40" w:after="40"/>
              <w:jc w:val="right"/>
              <w:rPr>
                <w:rFonts w:cs="Arial"/>
                <w:sz w:val="18"/>
                <w:szCs w:val="18"/>
              </w:rPr>
            </w:pPr>
            <w:r w:rsidRPr="001D41EA">
              <w:rPr>
                <w:rFonts w:cs="Arial"/>
                <w:sz w:val="18"/>
                <w:szCs w:val="18"/>
              </w:rPr>
              <w:t>10,612,316</w:t>
            </w:r>
          </w:p>
        </w:tc>
        <w:tc>
          <w:tcPr>
            <w:tcW w:w="1361" w:type="dxa"/>
            <w:tcBorders>
              <w:top w:val="nil"/>
              <w:left w:val="nil"/>
              <w:bottom w:val="nil"/>
              <w:right w:val="nil"/>
            </w:tcBorders>
            <w:vAlign w:val="bottom"/>
          </w:tcPr>
          <w:p w14:paraId="7A7A933A" w14:textId="1F404956" w:rsidR="00584325" w:rsidRPr="001D41EA" w:rsidRDefault="00584325" w:rsidP="001D41EA">
            <w:pPr>
              <w:spacing w:before="40" w:after="40"/>
              <w:jc w:val="right"/>
              <w:rPr>
                <w:rFonts w:cs="Arial"/>
                <w:sz w:val="18"/>
                <w:szCs w:val="18"/>
              </w:rPr>
            </w:pPr>
            <w:r w:rsidRPr="001D41EA">
              <w:rPr>
                <w:rFonts w:cs="Arial"/>
                <w:sz w:val="18"/>
                <w:szCs w:val="18"/>
              </w:rPr>
              <w:t>33,446,900</w:t>
            </w:r>
          </w:p>
        </w:tc>
        <w:tc>
          <w:tcPr>
            <w:tcW w:w="1361" w:type="dxa"/>
            <w:tcBorders>
              <w:top w:val="nil"/>
              <w:left w:val="nil"/>
              <w:bottom w:val="nil"/>
              <w:right w:val="nil"/>
            </w:tcBorders>
            <w:shd w:val="clear" w:color="auto" w:fill="auto"/>
            <w:noWrap/>
            <w:vAlign w:val="bottom"/>
          </w:tcPr>
          <w:p w14:paraId="4B6F1E58" w14:textId="004A3533" w:rsidR="00584325" w:rsidRPr="001D41EA" w:rsidRDefault="00584325" w:rsidP="001D41EA">
            <w:pPr>
              <w:spacing w:before="40" w:after="40"/>
              <w:jc w:val="right"/>
              <w:rPr>
                <w:rFonts w:cs="Arial"/>
                <w:b/>
                <w:sz w:val="18"/>
                <w:szCs w:val="18"/>
              </w:rPr>
            </w:pPr>
            <w:r w:rsidRPr="001D41EA">
              <w:rPr>
                <w:rFonts w:cs="Arial"/>
                <w:b/>
                <w:sz w:val="18"/>
                <w:szCs w:val="18"/>
              </w:rPr>
              <w:t>101,910,262</w:t>
            </w:r>
          </w:p>
        </w:tc>
      </w:tr>
      <w:tr w:rsidR="00584325" w:rsidRPr="001D41EA" w14:paraId="0D60207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6F12325" w14:textId="77777777" w:rsidR="00584325" w:rsidRPr="001D41EA" w:rsidRDefault="00584325" w:rsidP="001D41EA">
            <w:pPr>
              <w:spacing w:before="40" w:after="40"/>
              <w:rPr>
                <w:rFonts w:cs="Arial"/>
                <w:sz w:val="18"/>
                <w:szCs w:val="18"/>
              </w:rPr>
            </w:pPr>
            <w:r w:rsidRPr="001D41EA">
              <w:rPr>
                <w:rFonts w:cs="Arial"/>
                <w:sz w:val="18"/>
                <w:szCs w:val="18"/>
              </w:rPr>
              <w:t>Frankston C</w:t>
            </w:r>
          </w:p>
        </w:tc>
        <w:tc>
          <w:tcPr>
            <w:tcW w:w="1361" w:type="dxa"/>
            <w:tcBorders>
              <w:top w:val="nil"/>
              <w:left w:val="single" w:sz="18" w:space="0" w:color="5F497A" w:themeColor="accent4" w:themeShade="BF"/>
              <w:bottom w:val="nil"/>
              <w:right w:val="nil"/>
            </w:tcBorders>
            <w:shd w:val="clear" w:color="auto" w:fill="auto"/>
            <w:noWrap/>
            <w:vAlign w:val="bottom"/>
          </w:tcPr>
          <w:p w14:paraId="1BDE2BB8" w14:textId="39E7878C" w:rsidR="00584325" w:rsidRPr="001D41EA" w:rsidRDefault="00584325" w:rsidP="001D41EA">
            <w:pPr>
              <w:spacing w:before="40" w:after="40"/>
              <w:jc w:val="right"/>
              <w:rPr>
                <w:rFonts w:cs="Arial"/>
                <w:sz w:val="18"/>
                <w:szCs w:val="18"/>
              </w:rPr>
            </w:pPr>
            <w:r w:rsidRPr="001D41EA">
              <w:rPr>
                <w:rFonts w:cs="Arial"/>
                <w:sz w:val="18"/>
                <w:szCs w:val="18"/>
              </w:rPr>
              <w:t>17,085,929</w:t>
            </w:r>
          </w:p>
        </w:tc>
        <w:tc>
          <w:tcPr>
            <w:tcW w:w="1361" w:type="dxa"/>
            <w:tcBorders>
              <w:top w:val="nil"/>
              <w:left w:val="nil"/>
              <w:bottom w:val="nil"/>
              <w:right w:val="nil"/>
            </w:tcBorders>
            <w:shd w:val="clear" w:color="auto" w:fill="auto"/>
            <w:noWrap/>
            <w:vAlign w:val="bottom"/>
          </w:tcPr>
          <w:p w14:paraId="353FF8CD" w14:textId="0247CB2C" w:rsidR="00584325" w:rsidRPr="001D41EA" w:rsidRDefault="00584325" w:rsidP="001D41EA">
            <w:pPr>
              <w:spacing w:before="40" w:after="40"/>
              <w:jc w:val="right"/>
              <w:rPr>
                <w:rFonts w:cs="Arial"/>
                <w:sz w:val="18"/>
                <w:szCs w:val="18"/>
              </w:rPr>
            </w:pPr>
            <w:r w:rsidRPr="001D41EA">
              <w:rPr>
                <w:rFonts w:cs="Arial"/>
                <w:sz w:val="18"/>
                <w:szCs w:val="18"/>
              </w:rPr>
              <w:t>8,943,497</w:t>
            </w:r>
          </w:p>
        </w:tc>
        <w:tc>
          <w:tcPr>
            <w:tcW w:w="1361" w:type="dxa"/>
            <w:tcBorders>
              <w:top w:val="nil"/>
              <w:left w:val="nil"/>
              <w:bottom w:val="nil"/>
              <w:right w:val="nil"/>
            </w:tcBorders>
            <w:shd w:val="clear" w:color="auto" w:fill="auto"/>
            <w:noWrap/>
            <w:vAlign w:val="bottom"/>
          </w:tcPr>
          <w:p w14:paraId="7238AAD5" w14:textId="174A1986" w:rsidR="00584325" w:rsidRPr="001D41EA" w:rsidRDefault="00584325" w:rsidP="001D41EA">
            <w:pPr>
              <w:spacing w:before="40" w:after="40"/>
              <w:jc w:val="right"/>
              <w:rPr>
                <w:rFonts w:cs="Arial"/>
                <w:sz w:val="18"/>
                <w:szCs w:val="18"/>
              </w:rPr>
            </w:pPr>
            <w:r w:rsidRPr="001D41EA">
              <w:rPr>
                <w:rFonts w:cs="Arial"/>
                <w:sz w:val="18"/>
                <w:szCs w:val="18"/>
              </w:rPr>
              <w:t>22,228,589</w:t>
            </w:r>
          </w:p>
        </w:tc>
        <w:tc>
          <w:tcPr>
            <w:tcW w:w="1361" w:type="dxa"/>
            <w:tcBorders>
              <w:top w:val="nil"/>
              <w:left w:val="nil"/>
              <w:bottom w:val="nil"/>
              <w:right w:val="nil"/>
            </w:tcBorders>
            <w:vAlign w:val="bottom"/>
          </w:tcPr>
          <w:p w14:paraId="02FEAFD5" w14:textId="10C1E88D" w:rsidR="00584325" w:rsidRPr="001D41EA" w:rsidRDefault="00584325" w:rsidP="001D41EA">
            <w:pPr>
              <w:spacing w:before="40" w:after="40"/>
              <w:jc w:val="right"/>
              <w:rPr>
                <w:rFonts w:cs="Arial"/>
                <w:sz w:val="18"/>
                <w:szCs w:val="18"/>
              </w:rPr>
            </w:pPr>
            <w:r w:rsidRPr="001D41EA">
              <w:rPr>
                <w:rFonts w:cs="Arial"/>
                <w:sz w:val="18"/>
                <w:szCs w:val="18"/>
              </w:rPr>
              <w:t>8,282,301</w:t>
            </w:r>
          </w:p>
        </w:tc>
        <w:tc>
          <w:tcPr>
            <w:tcW w:w="1361" w:type="dxa"/>
            <w:tcBorders>
              <w:top w:val="nil"/>
              <w:left w:val="nil"/>
              <w:bottom w:val="nil"/>
              <w:right w:val="nil"/>
            </w:tcBorders>
            <w:shd w:val="clear" w:color="auto" w:fill="auto"/>
            <w:noWrap/>
            <w:vAlign w:val="bottom"/>
          </w:tcPr>
          <w:p w14:paraId="7FAC3AFE" w14:textId="7A031C8C" w:rsidR="00584325" w:rsidRPr="001D41EA" w:rsidRDefault="00584325" w:rsidP="001D41EA">
            <w:pPr>
              <w:spacing w:before="40" w:after="40"/>
              <w:jc w:val="right"/>
              <w:rPr>
                <w:rFonts w:cs="Arial"/>
                <w:b/>
                <w:sz w:val="18"/>
                <w:szCs w:val="18"/>
              </w:rPr>
            </w:pPr>
            <w:r w:rsidRPr="001D41EA">
              <w:rPr>
                <w:rFonts w:cs="Arial"/>
                <w:b/>
                <w:sz w:val="18"/>
                <w:szCs w:val="18"/>
              </w:rPr>
              <w:t>140,795,142</w:t>
            </w:r>
          </w:p>
        </w:tc>
      </w:tr>
      <w:tr w:rsidR="00584325" w:rsidRPr="001D41EA" w14:paraId="0EC979F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BC9EE90" w14:textId="77777777" w:rsidR="00584325" w:rsidRPr="001D41EA" w:rsidRDefault="00584325" w:rsidP="001D41EA">
            <w:pPr>
              <w:spacing w:before="40" w:after="40"/>
              <w:rPr>
                <w:rFonts w:cs="Arial"/>
                <w:sz w:val="18"/>
                <w:szCs w:val="18"/>
              </w:rPr>
            </w:pPr>
            <w:r w:rsidRPr="001D41EA">
              <w:rPr>
                <w:rFonts w:cs="Arial"/>
                <w:sz w:val="18"/>
                <w:szCs w:val="18"/>
              </w:rPr>
              <w:t>Gannawarra S</w:t>
            </w:r>
          </w:p>
        </w:tc>
        <w:tc>
          <w:tcPr>
            <w:tcW w:w="1361" w:type="dxa"/>
            <w:tcBorders>
              <w:top w:val="nil"/>
              <w:left w:val="single" w:sz="18" w:space="0" w:color="5F497A" w:themeColor="accent4" w:themeShade="BF"/>
              <w:bottom w:val="nil"/>
              <w:right w:val="nil"/>
            </w:tcBorders>
            <w:shd w:val="clear" w:color="auto" w:fill="auto"/>
            <w:noWrap/>
            <w:vAlign w:val="bottom"/>
          </w:tcPr>
          <w:p w14:paraId="4CD1DDC8" w14:textId="646B10F5" w:rsidR="00584325" w:rsidRPr="001D41EA" w:rsidRDefault="00584325" w:rsidP="001D41EA">
            <w:pPr>
              <w:spacing w:before="40" w:after="40"/>
              <w:jc w:val="right"/>
              <w:rPr>
                <w:rFonts w:cs="Arial"/>
                <w:sz w:val="18"/>
                <w:szCs w:val="18"/>
              </w:rPr>
            </w:pPr>
            <w:r w:rsidRPr="001D41EA">
              <w:rPr>
                <w:rFonts w:cs="Arial"/>
                <w:sz w:val="18"/>
                <w:szCs w:val="18"/>
              </w:rPr>
              <w:t>1,364,120</w:t>
            </w:r>
          </w:p>
        </w:tc>
        <w:tc>
          <w:tcPr>
            <w:tcW w:w="1361" w:type="dxa"/>
            <w:tcBorders>
              <w:top w:val="nil"/>
              <w:left w:val="nil"/>
              <w:bottom w:val="nil"/>
              <w:right w:val="nil"/>
            </w:tcBorders>
            <w:shd w:val="clear" w:color="auto" w:fill="auto"/>
            <w:noWrap/>
            <w:vAlign w:val="bottom"/>
          </w:tcPr>
          <w:p w14:paraId="2A3628D6" w14:textId="7A7668A2" w:rsidR="00584325" w:rsidRPr="001D41EA" w:rsidRDefault="00584325" w:rsidP="001D41EA">
            <w:pPr>
              <w:spacing w:before="40" w:after="40"/>
              <w:jc w:val="right"/>
              <w:rPr>
                <w:rFonts w:cs="Arial"/>
                <w:sz w:val="18"/>
                <w:szCs w:val="18"/>
              </w:rPr>
            </w:pPr>
            <w:r w:rsidRPr="001D41EA">
              <w:rPr>
                <w:rFonts w:cs="Arial"/>
                <w:sz w:val="18"/>
                <w:szCs w:val="18"/>
              </w:rPr>
              <w:t>1,315,305</w:t>
            </w:r>
          </w:p>
        </w:tc>
        <w:tc>
          <w:tcPr>
            <w:tcW w:w="1361" w:type="dxa"/>
            <w:tcBorders>
              <w:top w:val="nil"/>
              <w:left w:val="nil"/>
              <w:bottom w:val="nil"/>
              <w:right w:val="nil"/>
            </w:tcBorders>
            <w:shd w:val="clear" w:color="auto" w:fill="auto"/>
            <w:noWrap/>
            <w:vAlign w:val="bottom"/>
          </w:tcPr>
          <w:p w14:paraId="7AC951C9" w14:textId="2B9902B1" w:rsidR="00584325" w:rsidRPr="001D41EA" w:rsidRDefault="00584325" w:rsidP="001D41EA">
            <w:pPr>
              <w:spacing w:before="40" w:after="40"/>
              <w:jc w:val="right"/>
              <w:rPr>
                <w:rFonts w:cs="Arial"/>
                <w:sz w:val="18"/>
                <w:szCs w:val="18"/>
              </w:rPr>
            </w:pPr>
            <w:r w:rsidRPr="001D41EA">
              <w:rPr>
                <w:rFonts w:cs="Arial"/>
                <w:sz w:val="18"/>
                <w:szCs w:val="18"/>
              </w:rPr>
              <w:t>2,839,068</w:t>
            </w:r>
          </w:p>
        </w:tc>
        <w:tc>
          <w:tcPr>
            <w:tcW w:w="1361" w:type="dxa"/>
            <w:tcBorders>
              <w:top w:val="nil"/>
              <w:left w:val="nil"/>
              <w:bottom w:val="nil"/>
              <w:right w:val="nil"/>
            </w:tcBorders>
            <w:vAlign w:val="bottom"/>
          </w:tcPr>
          <w:p w14:paraId="18538721" w14:textId="28091340" w:rsidR="00584325" w:rsidRPr="001D41EA" w:rsidRDefault="00584325" w:rsidP="001D41EA">
            <w:pPr>
              <w:spacing w:before="40" w:after="40"/>
              <w:jc w:val="right"/>
              <w:rPr>
                <w:rFonts w:cs="Arial"/>
                <w:sz w:val="18"/>
                <w:szCs w:val="18"/>
              </w:rPr>
            </w:pPr>
            <w:r w:rsidRPr="001D41EA">
              <w:rPr>
                <w:rFonts w:cs="Arial"/>
                <w:sz w:val="18"/>
                <w:szCs w:val="18"/>
              </w:rPr>
              <w:t>14,800,511</w:t>
            </w:r>
          </w:p>
        </w:tc>
        <w:tc>
          <w:tcPr>
            <w:tcW w:w="1361" w:type="dxa"/>
            <w:tcBorders>
              <w:top w:val="nil"/>
              <w:left w:val="nil"/>
              <w:bottom w:val="nil"/>
              <w:right w:val="nil"/>
            </w:tcBorders>
            <w:shd w:val="clear" w:color="auto" w:fill="auto"/>
            <w:noWrap/>
            <w:vAlign w:val="bottom"/>
          </w:tcPr>
          <w:p w14:paraId="5773C13F" w14:textId="7F3434A5" w:rsidR="00584325" w:rsidRPr="001D41EA" w:rsidRDefault="00584325" w:rsidP="001D41EA">
            <w:pPr>
              <w:spacing w:before="40" w:after="40"/>
              <w:jc w:val="right"/>
              <w:rPr>
                <w:rFonts w:cs="Arial"/>
                <w:b/>
                <w:sz w:val="18"/>
                <w:szCs w:val="18"/>
              </w:rPr>
            </w:pPr>
            <w:r w:rsidRPr="001D41EA">
              <w:rPr>
                <w:rFonts w:cs="Arial"/>
                <w:b/>
                <w:sz w:val="18"/>
                <w:szCs w:val="18"/>
              </w:rPr>
              <w:t>29,143,164</w:t>
            </w:r>
          </w:p>
        </w:tc>
      </w:tr>
      <w:tr w:rsidR="00584325" w:rsidRPr="001D41EA" w14:paraId="1E5939F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2579CD0" w14:textId="77777777" w:rsidR="00584325" w:rsidRPr="001D41EA" w:rsidRDefault="00584325" w:rsidP="001D41EA">
            <w:pPr>
              <w:spacing w:before="40" w:after="40"/>
              <w:rPr>
                <w:rFonts w:cs="Arial"/>
                <w:sz w:val="18"/>
                <w:szCs w:val="18"/>
              </w:rPr>
            </w:pPr>
            <w:r w:rsidRPr="001D41EA">
              <w:rPr>
                <w:rFonts w:cs="Arial"/>
                <w:sz w:val="18"/>
                <w:szCs w:val="18"/>
              </w:rPr>
              <w:t>Glen Eira C</w:t>
            </w:r>
          </w:p>
        </w:tc>
        <w:tc>
          <w:tcPr>
            <w:tcW w:w="1361" w:type="dxa"/>
            <w:tcBorders>
              <w:top w:val="nil"/>
              <w:left w:val="single" w:sz="18" w:space="0" w:color="5F497A" w:themeColor="accent4" w:themeShade="BF"/>
              <w:bottom w:val="nil"/>
              <w:right w:val="nil"/>
            </w:tcBorders>
            <w:shd w:val="clear" w:color="auto" w:fill="auto"/>
            <w:noWrap/>
            <w:vAlign w:val="bottom"/>
          </w:tcPr>
          <w:p w14:paraId="5627D358" w14:textId="10D49934" w:rsidR="00584325" w:rsidRPr="001D41EA" w:rsidRDefault="00584325" w:rsidP="001D41EA">
            <w:pPr>
              <w:spacing w:before="40" w:after="40"/>
              <w:jc w:val="right"/>
              <w:rPr>
                <w:rFonts w:cs="Arial"/>
                <w:sz w:val="18"/>
                <w:szCs w:val="18"/>
              </w:rPr>
            </w:pPr>
            <w:r w:rsidRPr="001D41EA">
              <w:rPr>
                <w:rFonts w:cs="Arial"/>
                <w:sz w:val="18"/>
                <w:szCs w:val="18"/>
              </w:rPr>
              <w:t>18,572,562</w:t>
            </w:r>
          </w:p>
        </w:tc>
        <w:tc>
          <w:tcPr>
            <w:tcW w:w="1361" w:type="dxa"/>
            <w:tcBorders>
              <w:top w:val="nil"/>
              <w:left w:val="nil"/>
              <w:bottom w:val="nil"/>
              <w:right w:val="nil"/>
            </w:tcBorders>
            <w:shd w:val="clear" w:color="auto" w:fill="auto"/>
            <w:noWrap/>
            <w:vAlign w:val="bottom"/>
          </w:tcPr>
          <w:p w14:paraId="50E3B381" w14:textId="47060BB9" w:rsidR="00584325" w:rsidRPr="001D41EA" w:rsidRDefault="00584325" w:rsidP="001D41EA">
            <w:pPr>
              <w:spacing w:before="40" w:after="40"/>
              <w:jc w:val="right"/>
              <w:rPr>
                <w:rFonts w:cs="Arial"/>
                <w:sz w:val="18"/>
                <w:szCs w:val="18"/>
              </w:rPr>
            </w:pPr>
            <w:r w:rsidRPr="001D41EA">
              <w:rPr>
                <w:rFonts w:cs="Arial"/>
                <w:sz w:val="18"/>
                <w:szCs w:val="18"/>
              </w:rPr>
              <w:t>9,246,001</w:t>
            </w:r>
          </w:p>
        </w:tc>
        <w:tc>
          <w:tcPr>
            <w:tcW w:w="1361" w:type="dxa"/>
            <w:tcBorders>
              <w:top w:val="nil"/>
              <w:left w:val="nil"/>
              <w:bottom w:val="nil"/>
              <w:right w:val="nil"/>
            </w:tcBorders>
            <w:shd w:val="clear" w:color="auto" w:fill="auto"/>
            <w:noWrap/>
            <w:vAlign w:val="bottom"/>
          </w:tcPr>
          <w:p w14:paraId="4A6A4237" w14:textId="4DFC9C03" w:rsidR="00584325" w:rsidRPr="001D41EA" w:rsidRDefault="00584325" w:rsidP="001D41EA">
            <w:pPr>
              <w:spacing w:before="40" w:after="40"/>
              <w:jc w:val="right"/>
              <w:rPr>
                <w:rFonts w:cs="Arial"/>
                <w:sz w:val="18"/>
                <w:szCs w:val="18"/>
              </w:rPr>
            </w:pPr>
            <w:r w:rsidRPr="001D41EA">
              <w:rPr>
                <w:rFonts w:cs="Arial"/>
                <w:sz w:val="18"/>
                <w:szCs w:val="18"/>
              </w:rPr>
              <w:t>23,807,970</w:t>
            </w:r>
          </w:p>
        </w:tc>
        <w:tc>
          <w:tcPr>
            <w:tcW w:w="1361" w:type="dxa"/>
            <w:tcBorders>
              <w:top w:val="nil"/>
              <w:left w:val="nil"/>
              <w:bottom w:val="nil"/>
              <w:right w:val="nil"/>
            </w:tcBorders>
            <w:vAlign w:val="bottom"/>
          </w:tcPr>
          <w:p w14:paraId="697B1676" w14:textId="6EF9F6D4" w:rsidR="00584325" w:rsidRPr="001D41EA" w:rsidRDefault="00584325" w:rsidP="001D41EA">
            <w:pPr>
              <w:spacing w:before="40" w:after="40"/>
              <w:jc w:val="right"/>
              <w:rPr>
                <w:rFonts w:cs="Arial"/>
                <w:sz w:val="18"/>
                <w:szCs w:val="18"/>
              </w:rPr>
            </w:pPr>
            <w:r w:rsidRPr="001D41EA">
              <w:rPr>
                <w:rFonts w:cs="Arial"/>
                <w:sz w:val="18"/>
                <w:szCs w:val="18"/>
              </w:rPr>
              <w:t>4,739,369</w:t>
            </w:r>
          </w:p>
        </w:tc>
        <w:tc>
          <w:tcPr>
            <w:tcW w:w="1361" w:type="dxa"/>
            <w:tcBorders>
              <w:top w:val="nil"/>
              <w:left w:val="nil"/>
              <w:bottom w:val="nil"/>
              <w:right w:val="nil"/>
            </w:tcBorders>
            <w:shd w:val="clear" w:color="auto" w:fill="auto"/>
            <w:noWrap/>
            <w:vAlign w:val="bottom"/>
          </w:tcPr>
          <w:p w14:paraId="3219AEF2" w14:textId="067F17C2" w:rsidR="00584325" w:rsidRPr="001D41EA" w:rsidRDefault="00584325" w:rsidP="001D41EA">
            <w:pPr>
              <w:spacing w:before="40" w:after="40"/>
              <w:jc w:val="right"/>
              <w:rPr>
                <w:rFonts w:cs="Arial"/>
                <w:b/>
                <w:sz w:val="18"/>
                <w:szCs w:val="18"/>
              </w:rPr>
            </w:pPr>
            <w:r w:rsidRPr="001D41EA">
              <w:rPr>
                <w:rFonts w:cs="Arial"/>
                <w:b/>
                <w:sz w:val="18"/>
                <w:szCs w:val="18"/>
              </w:rPr>
              <w:t>144,349,735</w:t>
            </w:r>
          </w:p>
        </w:tc>
      </w:tr>
      <w:tr w:rsidR="00584325" w:rsidRPr="001D41EA" w14:paraId="548C3DB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0121146" w14:textId="77777777" w:rsidR="00584325" w:rsidRPr="001D41EA" w:rsidRDefault="00584325" w:rsidP="001D41EA">
            <w:pPr>
              <w:spacing w:before="40" w:after="40"/>
              <w:rPr>
                <w:rFonts w:cs="Arial"/>
                <w:sz w:val="18"/>
                <w:szCs w:val="18"/>
              </w:rPr>
            </w:pPr>
            <w:r w:rsidRPr="001D41EA">
              <w:rPr>
                <w:rFonts w:cs="Arial"/>
                <w:sz w:val="18"/>
                <w:szCs w:val="18"/>
              </w:rPr>
              <w:t>Glenelg S</w:t>
            </w:r>
          </w:p>
        </w:tc>
        <w:tc>
          <w:tcPr>
            <w:tcW w:w="1361" w:type="dxa"/>
            <w:tcBorders>
              <w:top w:val="nil"/>
              <w:left w:val="single" w:sz="18" w:space="0" w:color="5F497A" w:themeColor="accent4" w:themeShade="BF"/>
              <w:bottom w:val="nil"/>
              <w:right w:val="nil"/>
            </w:tcBorders>
            <w:shd w:val="clear" w:color="auto" w:fill="auto"/>
            <w:noWrap/>
            <w:vAlign w:val="bottom"/>
          </w:tcPr>
          <w:p w14:paraId="302D8206" w14:textId="54BF20F4" w:rsidR="00584325" w:rsidRPr="001D41EA" w:rsidRDefault="00584325" w:rsidP="001D41EA">
            <w:pPr>
              <w:spacing w:before="40" w:after="40"/>
              <w:jc w:val="right"/>
              <w:rPr>
                <w:rFonts w:cs="Arial"/>
                <w:sz w:val="18"/>
                <w:szCs w:val="18"/>
              </w:rPr>
            </w:pPr>
            <w:r w:rsidRPr="001D41EA">
              <w:rPr>
                <w:rFonts w:cs="Arial"/>
                <w:sz w:val="18"/>
                <w:szCs w:val="18"/>
              </w:rPr>
              <w:t>2,679,818</w:t>
            </w:r>
          </w:p>
        </w:tc>
        <w:tc>
          <w:tcPr>
            <w:tcW w:w="1361" w:type="dxa"/>
            <w:tcBorders>
              <w:top w:val="nil"/>
              <w:left w:val="nil"/>
              <w:bottom w:val="nil"/>
              <w:right w:val="nil"/>
            </w:tcBorders>
            <w:shd w:val="clear" w:color="auto" w:fill="auto"/>
            <w:noWrap/>
            <w:vAlign w:val="bottom"/>
          </w:tcPr>
          <w:p w14:paraId="5CE1E09E" w14:textId="43600250" w:rsidR="00584325" w:rsidRPr="001D41EA" w:rsidRDefault="00584325" w:rsidP="001D41EA">
            <w:pPr>
              <w:spacing w:before="40" w:after="40"/>
              <w:jc w:val="right"/>
              <w:rPr>
                <w:rFonts w:cs="Arial"/>
                <w:sz w:val="18"/>
                <w:szCs w:val="18"/>
              </w:rPr>
            </w:pPr>
            <w:r w:rsidRPr="001D41EA">
              <w:rPr>
                <w:rFonts w:cs="Arial"/>
                <w:sz w:val="18"/>
                <w:szCs w:val="18"/>
              </w:rPr>
              <w:t>1,784,998</w:t>
            </w:r>
          </w:p>
        </w:tc>
        <w:tc>
          <w:tcPr>
            <w:tcW w:w="1361" w:type="dxa"/>
            <w:tcBorders>
              <w:top w:val="nil"/>
              <w:left w:val="nil"/>
              <w:bottom w:val="nil"/>
              <w:right w:val="nil"/>
            </w:tcBorders>
            <w:shd w:val="clear" w:color="auto" w:fill="auto"/>
            <w:noWrap/>
            <w:vAlign w:val="bottom"/>
          </w:tcPr>
          <w:p w14:paraId="6072EF54" w14:textId="55459073" w:rsidR="00584325" w:rsidRPr="001D41EA" w:rsidRDefault="00584325" w:rsidP="001D41EA">
            <w:pPr>
              <w:spacing w:before="40" w:after="40"/>
              <w:jc w:val="right"/>
              <w:rPr>
                <w:rFonts w:cs="Arial"/>
                <w:sz w:val="18"/>
                <w:szCs w:val="18"/>
              </w:rPr>
            </w:pPr>
            <w:r w:rsidRPr="001D41EA">
              <w:rPr>
                <w:rFonts w:cs="Arial"/>
                <w:sz w:val="18"/>
                <w:szCs w:val="18"/>
              </w:rPr>
              <w:t>3,965,410</w:t>
            </w:r>
          </w:p>
        </w:tc>
        <w:tc>
          <w:tcPr>
            <w:tcW w:w="1361" w:type="dxa"/>
            <w:tcBorders>
              <w:top w:val="nil"/>
              <w:left w:val="nil"/>
              <w:bottom w:val="nil"/>
              <w:right w:val="nil"/>
            </w:tcBorders>
            <w:vAlign w:val="bottom"/>
          </w:tcPr>
          <w:p w14:paraId="345452DE" w14:textId="68C3805D" w:rsidR="00584325" w:rsidRPr="001D41EA" w:rsidRDefault="00584325" w:rsidP="001D41EA">
            <w:pPr>
              <w:spacing w:before="40" w:after="40"/>
              <w:jc w:val="right"/>
              <w:rPr>
                <w:rFonts w:cs="Arial"/>
                <w:sz w:val="18"/>
                <w:szCs w:val="18"/>
              </w:rPr>
            </w:pPr>
            <w:r w:rsidRPr="001D41EA">
              <w:rPr>
                <w:rFonts w:cs="Arial"/>
                <w:sz w:val="18"/>
                <w:szCs w:val="18"/>
              </w:rPr>
              <w:t>25,291,540</w:t>
            </w:r>
          </w:p>
        </w:tc>
        <w:tc>
          <w:tcPr>
            <w:tcW w:w="1361" w:type="dxa"/>
            <w:tcBorders>
              <w:top w:val="nil"/>
              <w:left w:val="nil"/>
              <w:bottom w:val="nil"/>
              <w:right w:val="nil"/>
            </w:tcBorders>
            <w:shd w:val="clear" w:color="auto" w:fill="auto"/>
            <w:noWrap/>
            <w:vAlign w:val="bottom"/>
          </w:tcPr>
          <w:p w14:paraId="21FBD0F6" w14:textId="2F2061E7" w:rsidR="00584325" w:rsidRPr="001D41EA" w:rsidRDefault="00584325" w:rsidP="001D41EA">
            <w:pPr>
              <w:spacing w:before="40" w:after="40"/>
              <w:jc w:val="right"/>
              <w:rPr>
                <w:rFonts w:cs="Arial"/>
                <w:b/>
                <w:sz w:val="18"/>
                <w:szCs w:val="18"/>
              </w:rPr>
            </w:pPr>
            <w:r w:rsidRPr="001D41EA">
              <w:rPr>
                <w:rFonts w:cs="Arial"/>
                <w:b/>
                <w:sz w:val="18"/>
                <w:szCs w:val="18"/>
              </w:rPr>
              <w:t>49,542,004</w:t>
            </w:r>
          </w:p>
        </w:tc>
      </w:tr>
      <w:tr w:rsidR="00584325" w:rsidRPr="001D41EA" w14:paraId="6E24968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3277E5A" w14:textId="77777777" w:rsidR="00584325" w:rsidRPr="001D41EA" w:rsidRDefault="00584325" w:rsidP="001D41EA">
            <w:pPr>
              <w:spacing w:before="40" w:after="40"/>
              <w:rPr>
                <w:rFonts w:cs="Arial"/>
                <w:sz w:val="18"/>
                <w:szCs w:val="18"/>
              </w:rPr>
            </w:pPr>
            <w:r w:rsidRPr="001D41EA">
              <w:rPr>
                <w:rFonts w:cs="Arial"/>
                <w:sz w:val="18"/>
                <w:szCs w:val="18"/>
              </w:rPr>
              <w:t>Golden Plains S</w:t>
            </w:r>
          </w:p>
        </w:tc>
        <w:tc>
          <w:tcPr>
            <w:tcW w:w="1361" w:type="dxa"/>
            <w:tcBorders>
              <w:top w:val="nil"/>
              <w:left w:val="single" w:sz="18" w:space="0" w:color="5F497A" w:themeColor="accent4" w:themeShade="BF"/>
              <w:bottom w:val="nil"/>
              <w:right w:val="nil"/>
            </w:tcBorders>
            <w:shd w:val="clear" w:color="auto" w:fill="auto"/>
            <w:noWrap/>
            <w:vAlign w:val="bottom"/>
          </w:tcPr>
          <w:p w14:paraId="3D270E60" w14:textId="0858A6E6" w:rsidR="00584325" w:rsidRPr="001D41EA" w:rsidRDefault="00584325" w:rsidP="001D41EA">
            <w:pPr>
              <w:spacing w:before="40" w:after="40"/>
              <w:jc w:val="right"/>
              <w:rPr>
                <w:rFonts w:cs="Arial"/>
                <w:sz w:val="18"/>
                <w:szCs w:val="18"/>
              </w:rPr>
            </w:pPr>
            <w:r w:rsidRPr="001D41EA">
              <w:rPr>
                <w:rFonts w:cs="Arial"/>
                <w:sz w:val="18"/>
                <w:szCs w:val="18"/>
              </w:rPr>
              <w:t>2,860,038</w:t>
            </w:r>
          </w:p>
        </w:tc>
        <w:tc>
          <w:tcPr>
            <w:tcW w:w="1361" w:type="dxa"/>
            <w:tcBorders>
              <w:top w:val="nil"/>
              <w:left w:val="nil"/>
              <w:bottom w:val="nil"/>
              <w:right w:val="nil"/>
            </w:tcBorders>
            <w:shd w:val="clear" w:color="auto" w:fill="auto"/>
            <w:noWrap/>
            <w:vAlign w:val="bottom"/>
          </w:tcPr>
          <w:p w14:paraId="1E5F3DE3" w14:textId="4C078013" w:rsidR="00584325" w:rsidRPr="001D41EA" w:rsidRDefault="00584325" w:rsidP="001D41EA">
            <w:pPr>
              <w:spacing w:before="40" w:after="40"/>
              <w:jc w:val="right"/>
              <w:rPr>
                <w:rFonts w:cs="Arial"/>
                <w:sz w:val="18"/>
                <w:szCs w:val="18"/>
              </w:rPr>
            </w:pPr>
            <w:r w:rsidRPr="001D41EA">
              <w:rPr>
                <w:rFonts w:cs="Arial"/>
                <w:sz w:val="18"/>
                <w:szCs w:val="18"/>
              </w:rPr>
              <w:t>1,943,597</w:t>
            </w:r>
          </w:p>
        </w:tc>
        <w:tc>
          <w:tcPr>
            <w:tcW w:w="1361" w:type="dxa"/>
            <w:tcBorders>
              <w:top w:val="nil"/>
              <w:left w:val="nil"/>
              <w:bottom w:val="nil"/>
              <w:right w:val="nil"/>
            </w:tcBorders>
            <w:shd w:val="clear" w:color="auto" w:fill="auto"/>
            <w:noWrap/>
            <w:vAlign w:val="bottom"/>
          </w:tcPr>
          <w:p w14:paraId="46D5EC1B" w14:textId="56C92D6C" w:rsidR="00584325" w:rsidRPr="001D41EA" w:rsidRDefault="00584325" w:rsidP="001D41EA">
            <w:pPr>
              <w:spacing w:before="40" w:after="40"/>
              <w:jc w:val="right"/>
              <w:rPr>
                <w:rFonts w:cs="Arial"/>
                <w:sz w:val="18"/>
                <w:szCs w:val="18"/>
              </w:rPr>
            </w:pPr>
            <w:r w:rsidRPr="001D41EA">
              <w:rPr>
                <w:rFonts w:cs="Arial"/>
                <w:sz w:val="18"/>
                <w:szCs w:val="18"/>
              </w:rPr>
              <w:t>3,869,947</w:t>
            </w:r>
          </w:p>
        </w:tc>
        <w:tc>
          <w:tcPr>
            <w:tcW w:w="1361" w:type="dxa"/>
            <w:tcBorders>
              <w:top w:val="nil"/>
              <w:left w:val="nil"/>
              <w:bottom w:val="nil"/>
              <w:right w:val="nil"/>
            </w:tcBorders>
            <w:vAlign w:val="bottom"/>
          </w:tcPr>
          <w:p w14:paraId="17CF9BF5" w14:textId="7EE05DE0" w:rsidR="00584325" w:rsidRPr="001D41EA" w:rsidRDefault="00584325" w:rsidP="001D41EA">
            <w:pPr>
              <w:spacing w:before="40" w:after="40"/>
              <w:jc w:val="right"/>
              <w:rPr>
                <w:rFonts w:cs="Arial"/>
                <w:sz w:val="18"/>
                <w:szCs w:val="18"/>
              </w:rPr>
            </w:pPr>
            <w:r w:rsidRPr="001D41EA">
              <w:rPr>
                <w:rFonts w:cs="Arial"/>
                <w:sz w:val="18"/>
                <w:szCs w:val="18"/>
              </w:rPr>
              <w:t>14,948,752</w:t>
            </w:r>
          </w:p>
        </w:tc>
        <w:tc>
          <w:tcPr>
            <w:tcW w:w="1361" w:type="dxa"/>
            <w:tcBorders>
              <w:top w:val="nil"/>
              <w:left w:val="nil"/>
              <w:bottom w:val="nil"/>
              <w:right w:val="nil"/>
            </w:tcBorders>
            <w:shd w:val="clear" w:color="auto" w:fill="auto"/>
            <w:noWrap/>
            <w:vAlign w:val="bottom"/>
          </w:tcPr>
          <w:p w14:paraId="129EB8CF" w14:textId="007E4BD2" w:rsidR="00584325" w:rsidRPr="001D41EA" w:rsidRDefault="00584325" w:rsidP="001D41EA">
            <w:pPr>
              <w:spacing w:before="40" w:after="40"/>
              <w:jc w:val="right"/>
              <w:rPr>
                <w:rFonts w:cs="Arial"/>
                <w:b/>
                <w:sz w:val="18"/>
                <w:szCs w:val="18"/>
              </w:rPr>
            </w:pPr>
            <w:r w:rsidRPr="001D41EA">
              <w:rPr>
                <w:rFonts w:cs="Arial"/>
                <w:b/>
                <w:sz w:val="18"/>
                <w:szCs w:val="18"/>
              </w:rPr>
              <w:t>38,213,415</w:t>
            </w:r>
          </w:p>
        </w:tc>
      </w:tr>
      <w:tr w:rsidR="00584325" w:rsidRPr="001D41EA" w14:paraId="15DC1E9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CAF446F" w14:textId="77777777" w:rsidR="00584325" w:rsidRPr="001D41EA" w:rsidRDefault="00584325" w:rsidP="001D41EA">
            <w:pPr>
              <w:spacing w:before="40" w:after="40"/>
              <w:rPr>
                <w:rFonts w:cs="Arial"/>
                <w:sz w:val="18"/>
                <w:szCs w:val="18"/>
              </w:rPr>
            </w:pPr>
            <w:r w:rsidRPr="001D41EA">
              <w:rPr>
                <w:rFonts w:cs="Arial"/>
                <w:sz w:val="18"/>
                <w:szCs w:val="18"/>
              </w:rPr>
              <w:t>Greater Bendigo C</w:t>
            </w:r>
          </w:p>
        </w:tc>
        <w:tc>
          <w:tcPr>
            <w:tcW w:w="1361" w:type="dxa"/>
            <w:tcBorders>
              <w:top w:val="nil"/>
              <w:left w:val="single" w:sz="18" w:space="0" w:color="5F497A" w:themeColor="accent4" w:themeShade="BF"/>
              <w:bottom w:val="nil"/>
              <w:right w:val="nil"/>
            </w:tcBorders>
            <w:shd w:val="clear" w:color="auto" w:fill="auto"/>
            <w:noWrap/>
            <w:vAlign w:val="bottom"/>
          </w:tcPr>
          <w:p w14:paraId="3AE1212E" w14:textId="082F6B11" w:rsidR="00584325" w:rsidRPr="001D41EA" w:rsidRDefault="00584325" w:rsidP="001D41EA">
            <w:pPr>
              <w:spacing w:before="40" w:after="40"/>
              <w:jc w:val="right"/>
              <w:rPr>
                <w:rFonts w:cs="Arial"/>
                <w:sz w:val="18"/>
                <w:szCs w:val="18"/>
              </w:rPr>
            </w:pPr>
            <w:r w:rsidRPr="001D41EA">
              <w:rPr>
                <w:rFonts w:cs="Arial"/>
                <w:sz w:val="18"/>
                <w:szCs w:val="18"/>
              </w:rPr>
              <w:t>16,992,747</w:t>
            </w:r>
          </w:p>
        </w:tc>
        <w:tc>
          <w:tcPr>
            <w:tcW w:w="1361" w:type="dxa"/>
            <w:tcBorders>
              <w:top w:val="nil"/>
              <w:left w:val="nil"/>
              <w:bottom w:val="nil"/>
              <w:right w:val="nil"/>
            </w:tcBorders>
            <w:shd w:val="clear" w:color="auto" w:fill="auto"/>
            <w:noWrap/>
            <w:vAlign w:val="bottom"/>
          </w:tcPr>
          <w:p w14:paraId="69C2A6CB" w14:textId="1E2B325C" w:rsidR="00584325" w:rsidRPr="001D41EA" w:rsidRDefault="00584325" w:rsidP="001D41EA">
            <w:pPr>
              <w:spacing w:before="40" w:after="40"/>
              <w:jc w:val="right"/>
              <w:rPr>
                <w:rFonts w:cs="Arial"/>
                <w:sz w:val="18"/>
                <w:szCs w:val="18"/>
              </w:rPr>
            </w:pPr>
            <w:r w:rsidRPr="001D41EA">
              <w:rPr>
                <w:rFonts w:cs="Arial"/>
                <w:sz w:val="18"/>
                <w:szCs w:val="18"/>
              </w:rPr>
              <w:t>8,165,412</w:t>
            </w:r>
          </w:p>
        </w:tc>
        <w:tc>
          <w:tcPr>
            <w:tcW w:w="1361" w:type="dxa"/>
            <w:tcBorders>
              <w:top w:val="nil"/>
              <w:left w:val="nil"/>
              <w:bottom w:val="nil"/>
              <w:right w:val="nil"/>
            </w:tcBorders>
            <w:shd w:val="clear" w:color="auto" w:fill="auto"/>
            <w:noWrap/>
            <w:vAlign w:val="bottom"/>
          </w:tcPr>
          <w:p w14:paraId="6B85A5B7" w14:textId="7A37C7D3" w:rsidR="00584325" w:rsidRPr="001D41EA" w:rsidRDefault="00584325" w:rsidP="001D41EA">
            <w:pPr>
              <w:spacing w:before="40" w:after="40"/>
              <w:jc w:val="right"/>
              <w:rPr>
                <w:rFonts w:cs="Arial"/>
                <w:sz w:val="18"/>
                <w:szCs w:val="18"/>
              </w:rPr>
            </w:pPr>
            <w:r w:rsidRPr="001D41EA">
              <w:rPr>
                <w:rFonts w:cs="Arial"/>
                <w:sz w:val="18"/>
                <w:szCs w:val="18"/>
              </w:rPr>
              <w:t>21,745,872</w:t>
            </w:r>
          </w:p>
        </w:tc>
        <w:tc>
          <w:tcPr>
            <w:tcW w:w="1361" w:type="dxa"/>
            <w:tcBorders>
              <w:top w:val="nil"/>
              <w:left w:val="nil"/>
              <w:bottom w:val="nil"/>
              <w:right w:val="nil"/>
            </w:tcBorders>
            <w:vAlign w:val="bottom"/>
          </w:tcPr>
          <w:p w14:paraId="013353DF" w14:textId="48F9EE63" w:rsidR="00584325" w:rsidRPr="001D41EA" w:rsidRDefault="00584325" w:rsidP="001D41EA">
            <w:pPr>
              <w:spacing w:before="40" w:after="40"/>
              <w:jc w:val="right"/>
              <w:rPr>
                <w:rFonts w:cs="Arial"/>
                <w:sz w:val="18"/>
                <w:szCs w:val="18"/>
              </w:rPr>
            </w:pPr>
            <w:r w:rsidRPr="001D41EA">
              <w:rPr>
                <w:rFonts w:cs="Arial"/>
                <w:sz w:val="18"/>
                <w:szCs w:val="18"/>
              </w:rPr>
              <w:t>25,264,886</w:t>
            </w:r>
          </w:p>
        </w:tc>
        <w:tc>
          <w:tcPr>
            <w:tcW w:w="1361" w:type="dxa"/>
            <w:tcBorders>
              <w:top w:val="nil"/>
              <w:left w:val="nil"/>
              <w:bottom w:val="nil"/>
              <w:right w:val="nil"/>
            </w:tcBorders>
            <w:shd w:val="clear" w:color="auto" w:fill="auto"/>
            <w:noWrap/>
            <w:vAlign w:val="bottom"/>
          </w:tcPr>
          <w:p w14:paraId="29254531" w14:textId="373B3072" w:rsidR="00584325" w:rsidRPr="001D41EA" w:rsidRDefault="00584325" w:rsidP="001D41EA">
            <w:pPr>
              <w:spacing w:before="40" w:after="40"/>
              <w:jc w:val="right"/>
              <w:rPr>
                <w:rFonts w:cs="Arial"/>
                <w:b/>
                <w:sz w:val="18"/>
                <w:szCs w:val="18"/>
              </w:rPr>
            </w:pPr>
            <w:r w:rsidRPr="001D41EA">
              <w:rPr>
                <w:rFonts w:cs="Arial"/>
                <w:b/>
                <w:sz w:val="18"/>
                <w:szCs w:val="18"/>
              </w:rPr>
              <w:t>154,075,561</w:t>
            </w:r>
          </w:p>
        </w:tc>
      </w:tr>
      <w:tr w:rsidR="00584325" w:rsidRPr="001D41EA" w14:paraId="74BF24D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88EC8F5" w14:textId="77777777" w:rsidR="00584325" w:rsidRPr="001D41EA" w:rsidRDefault="00584325" w:rsidP="001D41EA">
            <w:pPr>
              <w:spacing w:before="40" w:after="40"/>
              <w:rPr>
                <w:rFonts w:cs="Arial"/>
                <w:sz w:val="18"/>
                <w:szCs w:val="18"/>
              </w:rPr>
            </w:pPr>
            <w:r w:rsidRPr="001D41EA">
              <w:rPr>
                <w:rFonts w:cs="Arial"/>
                <w:sz w:val="18"/>
                <w:szCs w:val="18"/>
              </w:rPr>
              <w:t>Greater Dandenong C</w:t>
            </w:r>
          </w:p>
        </w:tc>
        <w:tc>
          <w:tcPr>
            <w:tcW w:w="1361" w:type="dxa"/>
            <w:tcBorders>
              <w:top w:val="nil"/>
              <w:left w:val="single" w:sz="18" w:space="0" w:color="5F497A" w:themeColor="accent4" w:themeShade="BF"/>
              <w:bottom w:val="nil"/>
              <w:right w:val="nil"/>
            </w:tcBorders>
            <w:shd w:val="clear" w:color="auto" w:fill="auto"/>
            <w:noWrap/>
            <w:vAlign w:val="bottom"/>
          </w:tcPr>
          <w:p w14:paraId="58C03A61" w14:textId="74BE4F24" w:rsidR="00584325" w:rsidRPr="001D41EA" w:rsidRDefault="00584325" w:rsidP="001D41EA">
            <w:pPr>
              <w:spacing w:before="40" w:after="40"/>
              <w:jc w:val="right"/>
              <w:rPr>
                <w:rFonts w:cs="Arial"/>
                <w:sz w:val="18"/>
                <w:szCs w:val="18"/>
              </w:rPr>
            </w:pPr>
            <w:r w:rsidRPr="001D41EA">
              <w:rPr>
                <w:rFonts w:cs="Arial"/>
                <w:sz w:val="18"/>
                <w:szCs w:val="18"/>
              </w:rPr>
              <w:t>21,757,664</w:t>
            </w:r>
          </w:p>
        </w:tc>
        <w:tc>
          <w:tcPr>
            <w:tcW w:w="1361" w:type="dxa"/>
            <w:tcBorders>
              <w:top w:val="nil"/>
              <w:left w:val="nil"/>
              <w:bottom w:val="nil"/>
              <w:right w:val="nil"/>
            </w:tcBorders>
            <w:shd w:val="clear" w:color="auto" w:fill="auto"/>
            <w:noWrap/>
            <w:vAlign w:val="bottom"/>
          </w:tcPr>
          <w:p w14:paraId="618C7573" w14:textId="43EF0E17" w:rsidR="00584325" w:rsidRPr="001D41EA" w:rsidRDefault="00584325" w:rsidP="001D41EA">
            <w:pPr>
              <w:spacing w:before="40" w:after="40"/>
              <w:jc w:val="right"/>
              <w:rPr>
                <w:rFonts w:cs="Arial"/>
                <w:sz w:val="18"/>
                <w:szCs w:val="18"/>
              </w:rPr>
            </w:pPr>
            <w:r w:rsidRPr="001D41EA">
              <w:rPr>
                <w:rFonts w:cs="Arial"/>
                <w:sz w:val="18"/>
                <w:szCs w:val="18"/>
              </w:rPr>
              <w:t>10,124,024</w:t>
            </w:r>
          </w:p>
        </w:tc>
        <w:tc>
          <w:tcPr>
            <w:tcW w:w="1361" w:type="dxa"/>
            <w:tcBorders>
              <w:top w:val="nil"/>
              <w:left w:val="nil"/>
              <w:bottom w:val="nil"/>
              <w:right w:val="nil"/>
            </w:tcBorders>
            <w:shd w:val="clear" w:color="auto" w:fill="auto"/>
            <w:noWrap/>
            <w:vAlign w:val="bottom"/>
          </w:tcPr>
          <w:p w14:paraId="6482B14A" w14:textId="44FC657E" w:rsidR="00584325" w:rsidRPr="001D41EA" w:rsidRDefault="00584325" w:rsidP="001D41EA">
            <w:pPr>
              <w:spacing w:before="40" w:after="40"/>
              <w:jc w:val="right"/>
              <w:rPr>
                <w:rFonts w:cs="Arial"/>
                <w:sz w:val="18"/>
                <w:szCs w:val="18"/>
              </w:rPr>
            </w:pPr>
            <w:r w:rsidRPr="001D41EA">
              <w:rPr>
                <w:rFonts w:cs="Arial"/>
                <w:sz w:val="18"/>
                <w:szCs w:val="18"/>
              </w:rPr>
              <w:t>26,829,483</w:t>
            </w:r>
          </w:p>
        </w:tc>
        <w:tc>
          <w:tcPr>
            <w:tcW w:w="1361" w:type="dxa"/>
            <w:tcBorders>
              <w:top w:val="nil"/>
              <w:left w:val="nil"/>
              <w:bottom w:val="nil"/>
              <w:right w:val="nil"/>
            </w:tcBorders>
            <w:vAlign w:val="bottom"/>
          </w:tcPr>
          <w:p w14:paraId="04D84F09" w14:textId="21CE6426" w:rsidR="00584325" w:rsidRPr="001D41EA" w:rsidRDefault="00584325" w:rsidP="001D41EA">
            <w:pPr>
              <w:spacing w:before="40" w:after="40"/>
              <w:jc w:val="right"/>
              <w:rPr>
                <w:rFonts w:cs="Arial"/>
                <w:sz w:val="18"/>
                <w:szCs w:val="18"/>
              </w:rPr>
            </w:pPr>
            <w:r w:rsidRPr="001D41EA">
              <w:rPr>
                <w:rFonts w:cs="Arial"/>
                <w:sz w:val="18"/>
                <w:szCs w:val="18"/>
              </w:rPr>
              <w:t>11,445,937</w:t>
            </w:r>
          </w:p>
        </w:tc>
        <w:tc>
          <w:tcPr>
            <w:tcW w:w="1361" w:type="dxa"/>
            <w:tcBorders>
              <w:top w:val="nil"/>
              <w:left w:val="nil"/>
              <w:bottom w:val="nil"/>
              <w:right w:val="nil"/>
            </w:tcBorders>
            <w:shd w:val="clear" w:color="auto" w:fill="auto"/>
            <w:noWrap/>
            <w:vAlign w:val="bottom"/>
          </w:tcPr>
          <w:p w14:paraId="795CB600" w14:textId="05E4C353" w:rsidR="00584325" w:rsidRPr="001D41EA" w:rsidRDefault="00584325" w:rsidP="001D41EA">
            <w:pPr>
              <w:spacing w:before="40" w:after="40"/>
              <w:jc w:val="right"/>
              <w:rPr>
                <w:rFonts w:cs="Arial"/>
                <w:b/>
                <w:sz w:val="18"/>
                <w:szCs w:val="18"/>
              </w:rPr>
            </w:pPr>
            <w:r w:rsidRPr="001D41EA">
              <w:rPr>
                <w:rFonts w:cs="Arial"/>
                <w:b/>
                <w:sz w:val="18"/>
                <w:szCs w:val="18"/>
              </w:rPr>
              <w:t>180,217,480</w:t>
            </w:r>
          </w:p>
        </w:tc>
      </w:tr>
      <w:tr w:rsidR="00584325" w:rsidRPr="001D41EA" w14:paraId="3D61B52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3F6570D" w14:textId="77777777" w:rsidR="00584325" w:rsidRPr="001D41EA" w:rsidRDefault="00584325" w:rsidP="001D41EA">
            <w:pPr>
              <w:spacing w:before="40" w:after="40"/>
              <w:rPr>
                <w:rFonts w:cs="Arial"/>
                <w:sz w:val="18"/>
                <w:szCs w:val="18"/>
              </w:rPr>
            </w:pPr>
            <w:r w:rsidRPr="001D41EA">
              <w:rPr>
                <w:rFonts w:cs="Arial"/>
                <w:sz w:val="18"/>
                <w:szCs w:val="18"/>
              </w:rPr>
              <w:t>Greater Geelong C</w:t>
            </w:r>
          </w:p>
        </w:tc>
        <w:tc>
          <w:tcPr>
            <w:tcW w:w="1361" w:type="dxa"/>
            <w:tcBorders>
              <w:top w:val="nil"/>
              <w:left w:val="single" w:sz="18" w:space="0" w:color="5F497A" w:themeColor="accent4" w:themeShade="BF"/>
              <w:bottom w:val="nil"/>
              <w:right w:val="nil"/>
            </w:tcBorders>
            <w:shd w:val="clear" w:color="auto" w:fill="auto"/>
            <w:noWrap/>
            <w:vAlign w:val="bottom"/>
          </w:tcPr>
          <w:p w14:paraId="7C76780B" w14:textId="3425FF80" w:rsidR="00584325" w:rsidRPr="001D41EA" w:rsidRDefault="00584325" w:rsidP="001D41EA">
            <w:pPr>
              <w:spacing w:before="40" w:after="40"/>
              <w:jc w:val="right"/>
              <w:rPr>
                <w:rFonts w:cs="Arial"/>
                <w:sz w:val="18"/>
                <w:szCs w:val="18"/>
              </w:rPr>
            </w:pPr>
            <w:r w:rsidRPr="001D41EA">
              <w:rPr>
                <w:rFonts w:cs="Arial"/>
                <w:sz w:val="18"/>
                <w:szCs w:val="18"/>
              </w:rPr>
              <w:t>37,515,397</w:t>
            </w:r>
          </w:p>
        </w:tc>
        <w:tc>
          <w:tcPr>
            <w:tcW w:w="1361" w:type="dxa"/>
            <w:tcBorders>
              <w:top w:val="nil"/>
              <w:left w:val="nil"/>
              <w:bottom w:val="nil"/>
              <w:right w:val="nil"/>
            </w:tcBorders>
            <w:shd w:val="clear" w:color="auto" w:fill="auto"/>
            <w:noWrap/>
            <w:vAlign w:val="bottom"/>
          </w:tcPr>
          <w:p w14:paraId="67E83488" w14:textId="30C79BC1" w:rsidR="00584325" w:rsidRPr="001D41EA" w:rsidRDefault="00584325" w:rsidP="001D41EA">
            <w:pPr>
              <w:spacing w:before="40" w:after="40"/>
              <w:jc w:val="right"/>
              <w:rPr>
                <w:rFonts w:cs="Arial"/>
                <w:sz w:val="18"/>
                <w:szCs w:val="18"/>
              </w:rPr>
            </w:pPr>
            <w:r w:rsidRPr="001D41EA">
              <w:rPr>
                <w:rFonts w:cs="Arial"/>
                <w:sz w:val="18"/>
                <w:szCs w:val="18"/>
              </w:rPr>
              <w:t>16,955,475</w:t>
            </w:r>
          </w:p>
        </w:tc>
        <w:tc>
          <w:tcPr>
            <w:tcW w:w="1361" w:type="dxa"/>
            <w:tcBorders>
              <w:top w:val="nil"/>
              <w:left w:val="nil"/>
              <w:bottom w:val="nil"/>
              <w:right w:val="nil"/>
            </w:tcBorders>
            <w:shd w:val="clear" w:color="auto" w:fill="auto"/>
            <w:noWrap/>
            <w:vAlign w:val="bottom"/>
          </w:tcPr>
          <w:p w14:paraId="52342D08" w14:textId="74AF152D" w:rsidR="00584325" w:rsidRPr="001D41EA" w:rsidRDefault="00584325" w:rsidP="001D41EA">
            <w:pPr>
              <w:spacing w:before="40" w:after="40"/>
              <w:jc w:val="right"/>
              <w:rPr>
                <w:rFonts w:cs="Arial"/>
                <w:sz w:val="18"/>
                <w:szCs w:val="18"/>
              </w:rPr>
            </w:pPr>
            <w:r w:rsidRPr="001D41EA">
              <w:rPr>
                <w:rFonts w:cs="Arial"/>
                <w:sz w:val="18"/>
                <w:szCs w:val="18"/>
              </w:rPr>
              <w:t>44,135,565</w:t>
            </w:r>
          </w:p>
        </w:tc>
        <w:tc>
          <w:tcPr>
            <w:tcW w:w="1361" w:type="dxa"/>
            <w:tcBorders>
              <w:top w:val="nil"/>
              <w:left w:val="nil"/>
              <w:bottom w:val="nil"/>
              <w:right w:val="nil"/>
            </w:tcBorders>
            <w:vAlign w:val="bottom"/>
          </w:tcPr>
          <w:p w14:paraId="36B06DC3" w14:textId="7BCC45EC" w:rsidR="00584325" w:rsidRPr="001D41EA" w:rsidRDefault="00584325" w:rsidP="001D41EA">
            <w:pPr>
              <w:spacing w:before="40" w:after="40"/>
              <w:jc w:val="right"/>
              <w:rPr>
                <w:rFonts w:cs="Arial"/>
                <w:sz w:val="18"/>
                <w:szCs w:val="18"/>
              </w:rPr>
            </w:pPr>
            <w:r w:rsidRPr="001D41EA">
              <w:rPr>
                <w:rFonts w:cs="Arial"/>
                <w:sz w:val="18"/>
                <w:szCs w:val="18"/>
              </w:rPr>
              <w:t>24,802,164</w:t>
            </w:r>
          </w:p>
        </w:tc>
        <w:tc>
          <w:tcPr>
            <w:tcW w:w="1361" w:type="dxa"/>
            <w:tcBorders>
              <w:top w:val="nil"/>
              <w:left w:val="nil"/>
              <w:bottom w:val="nil"/>
              <w:right w:val="nil"/>
            </w:tcBorders>
            <w:shd w:val="clear" w:color="auto" w:fill="auto"/>
            <w:noWrap/>
            <w:vAlign w:val="bottom"/>
          </w:tcPr>
          <w:p w14:paraId="296FB439" w14:textId="66A36232" w:rsidR="00584325" w:rsidRPr="001D41EA" w:rsidRDefault="00584325" w:rsidP="001D41EA">
            <w:pPr>
              <w:spacing w:before="40" w:after="40"/>
              <w:jc w:val="right"/>
              <w:rPr>
                <w:rFonts w:cs="Arial"/>
                <w:b/>
                <w:sz w:val="18"/>
                <w:szCs w:val="18"/>
              </w:rPr>
            </w:pPr>
            <w:r w:rsidRPr="001D41EA">
              <w:rPr>
                <w:rFonts w:cs="Arial"/>
                <w:b/>
                <w:sz w:val="18"/>
                <w:szCs w:val="18"/>
              </w:rPr>
              <w:t>302,358,919</w:t>
            </w:r>
          </w:p>
        </w:tc>
      </w:tr>
      <w:tr w:rsidR="00584325" w:rsidRPr="001D41EA" w14:paraId="50FCE1C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86EF606" w14:textId="77777777" w:rsidR="00584325" w:rsidRPr="001D41EA" w:rsidRDefault="00584325" w:rsidP="001D41EA">
            <w:pPr>
              <w:spacing w:before="40" w:after="40"/>
              <w:rPr>
                <w:rFonts w:cs="Arial"/>
                <w:sz w:val="18"/>
                <w:szCs w:val="18"/>
              </w:rPr>
            </w:pPr>
            <w:r w:rsidRPr="001D41EA">
              <w:rPr>
                <w:rFonts w:cs="Arial"/>
                <w:sz w:val="18"/>
                <w:szCs w:val="18"/>
              </w:rPr>
              <w:t>Greater Shepparton C</w:t>
            </w:r>
          </w:p>
        </w:tc>
        <w:tc>
          <w:tcPr>
            <w:tcW w:w="1361" w:type="dxa"/>
            <w:tcBorders>
              <w:top w:val="nil"/>
              <w:left w:val="single" w:sz="18" w:space="0" w:color="5F497A" w:themeColor="accent4" w:themeShade="BF"/>
              <w:bottom w:val="nil"/>
              <w:right w:val="nil"/>
            </w:tcBorders>
            <w:shd w:val="clear" w:color="auto" w:fill="auto"/>
            <w:noWrap/>
            <w:vAlign w:val="bottom"/>
          </w:tcPr>
          <w:p w14:paraId="03E13D1E" w14:textId="24FB14EC" w:rsidR="00584325" w:rsidRPr="001D41EA" w:rsidRDefault="00584325" w:rsidP="001D41EA">
            <w:pPr>
              <w:spacing w:before="40" w:after="40"/>
              <w:jc w:val="right"/>
              <w:rPr>
                <w:rFonts w:cs="Arial"/>
                <w:sz w:val="18"/>
                <w:szCs w:val="18"/>
              </w:rPr>
            </w:pPr>
            <w:r w:rsidRPr="001D41EA">
              <w:rPr>
                <w:rFonts w:cs="Arial"/>
                <w:sz w:val="18"/>
                <w:szCs w:val="18"/>
              </w:rPr>
              <w:t>9,577,843</w:t>
            </w:r>
          </w:p>
        </w:tc>
        <w:tc>
          <w:tcPr>
            <w:tcW w:w="1361" w:type="dxa"/>
            <w:tcBorders>
              <w:top w:val="nil"/>
              <w:left w:val="nil"/>
              <w:bottom w:val="nil"/>
              <w:right w:val="nil"/>
            </w:tcBorders>
            <w:shd w:val="clear" w:color="auto" w:fill="auto"/>
            <w:noWrap/>
            <w:vAlign w:val="bottom"/>
          </w:tcPr>
          <w:p w14:paraId="72F261D1" w14:textId="4F5E65C5" w:rsidR="00584325" w:rsidRPr="001D41EA" w:rsidRDefault="00584325" w:rsidP="001D41EA">
            <w:pPr>
              <w:spacing w:before="40" w:after="40"/>
              <w:jc w:val="right"/>
              <w:rPr>
                <w:rFonts w:cs="Arial"/>
                <w:sz w:val="18"/>
                <w:szCs w:val="18"/>
              </w:rPr>
            </w:pPr>
            <w:r w:rsidRPr="001D41EA">
              <w:rPr>
                <w:rFonts w:cs="Arial"/>
                <w:sz w:val="18"/>
                <w:szCs w:val="18"/>
              </w:rPr>
              <w:t>5,215,218</w:t>
            </w:r>
          </w:p>
        </w:tc>
        <w:tc>
          <w:tcPr>
            <w:tcW w:w="1361" w:type="dxa"/>
            <w:tcBorders>
              <w:top w:val="nil"/>
              <w:left w:val="nil"/>
              <w:bottom w:val="nil"/>
              <w:right w:val="nil"/>
            </w:tcBorders>
            <w:shd w:val="clear" w:color="auto" w:fill="auto"/>
            <w:noWrap/>
            <w:vAlign w:val="bottom"/>
          </w:tcPr>
          <w:p w14:paraId="579F786C" w14:textId="73730DB5" w:rsidR="00584325" w:rsidRPr="001D41EA" w:rsidRDefault="00584325" w:rsidP="001D41EA">
            <w:pPr>
              <w:spacing w:before="40" w:after="40"/>
              <w:jc w:val="right"/>
              <w:rPr>
                <w:rFonts w:cs="Arial"/>
                <w:sz w:val="18"/>
                <w:szCs w:val="18"/>
              </w:rPr>
            </w:pPr>
            <w:r w:rsidRPr="001D41EA">
              <w:rPr>
                <w:rFonts w:cs="Arial"/>
                <w:sz w:val="18"/>
                <w:szCs w:val="18"/>
              </w:rPr>
              <w:t>12,867,767</w:t>
            </w:r>
          </w:p>
        </w:tc>
        <w:tc>
          <w:tcPr>
            <w:tcW w:w="1361" w:type="dxa"/>
            <w:tcBorders>
              <w:top w:val="nil"/>
              <w:left w:val="nil"/>
              <w:bottom w:val="nil"/>
              <w:right w:val="nil"/>
            </w:tcBorders>
            <w:vAlign w:val="bottom"/>
          </w:tcPr>
          <w:p w14:paraId="1BDBBDD9" w14:textId="1FE1BC1C" w:rsidR="00584325" w:rsidRPr="001D41EA" w:rsidRDefault="00584325" w:rsidP="001D41EA">
            <w:pPr>
              <w:spacing w:before="40" w:after="40"/>
              <w:jc w:val="right"/>
              <w:rPr>
                <w:rFonts w:cs="Arial"/>
                <w:sz w:val="18"/>
                <w:szCs w:val="18"/>
              </w:rPr>
            </w:pPr>
            <w:r w:rsidRPr="001D41EA">
              <w:rPr>
                <w:rFonts w:cs="Arial"/>
                <w:sz w:val="18"/>
                <w:szCs w:val="18"/>
              </w:rPr>
              <w:t>22,709,412</w:t>
            </w:r>
          </w:p>
        </w:tc>
        <w:tc>
          <w:tcPr>
            <w:tcW w:w="1361" w:type="dxa"/>
            <w:tcBorders>
              <w:top w:val="nil"/>
              <w:left w:val="nil"/>
              <w:bottom w:val="nil"/>
              <w:right w:val="nil"/>
            </w:tcBorders>
            <w:shd w:val="clear" w:color="auto" w:fill="auto"/>
            <w:noWrap/>
            <w:vAlign w:val="bottom"/>
          </w:tcPr>
          <w:p w14:paraId="580EF5E9" w14:textId="31FA529E" w:rsidR="00584325" w:rsidRPr="001D41EA" w:rsidRDefault="00584325" w:rsidP="001D41EA">
            <w:pPr>
              <w:spacing w:before="40" w:after="40"/>
              <w:jc w:val="right"/>
              <w:rPr>
                <w:rFonts w:cs="Arial"/>
                <w:b/>
                <w:sz w:val="18"/>
                <w:szCs w:val="18"/>
              </w:rPr>
            </w:pPr>
            <w:r w:rsidRPr="001D41EA">
              <w:rPr>
                <w:rFonts w:cs="Arial"/>
                <w:b/>
                <w:sz w:val="18"/>
                <w:szCs w:val="18"/>
              </w:rPr>
              <w:t>98,726,354</w:t>
            </w:r>
          </w:p>
        </w:tc>
      </w:tr>
      <w:tr w:rsidR="00584325" w:rsidRPr="001D41EA" w14:paraId="6EC2F98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06F86D6" w14:textId="77777777" w:rsidR="00584325" w:rsidRPr="001D41EA" w:rsidRDefault="00584325" w:rsidP="001D41EA">
            <w:pPr>
              <w:spacing w:before="40" w:after="40"/>
              <w:rPr>
                <w:rFonts w:cs="Arial"/>
                <w:sz w:val="18"/>
                <w:szCs w:val="18"/>
              </w:rPr>
            </w:pPr>
            <w:r w:rsidRPr="001D41EA">
              <w:rPr>
                <w:rFonts w:cs="Arial"/>
                <w:sz w:val="18"/>
                <w:szCs w:val="18"/>
              </w:rPr>
              <w:t>Hepburn S</w:t>
            </w:r>
          </w:p>
        </w:tc>
        <w:tc>
          <w:tcPr>
            <w:tcW w:w="1361" w:type="dxa"/>
            <w:tcBorders>
              <w:top w:val="nil"/>
              <w:left w:val="single" w:sz="18" w:space="0" w:color="5F497A" w:themeColor="accent4" w:themeShade="BF"/>
              <w:bottom w:val="nil"/>
              <w:right w:val="nil"/>
            </w:tcBorders>
            <w:shd w:val="clear" w:color="auto" w:fill="auto"/>
            <w:noWrap/>
            <w:vAlign w:val="bottom"/>
          </w:tcPr>
          <w:p w14:paraId="219481E8" w14:textId="6B404612" w:rsidR="00584325" w:rsidRPr="001D41EA" w:rsidRDefault="00584325" w:rsidP="001D41EA">
            <w:pPr>
              <w:spacing w:before="40" w:after="40"/>
              <w:jc w:val="right"/>
              <w:rPr>
                <w:rFonts w:cs="Arial"/>
                <w:sz w:val="18"/>
                <w:szCs w:val="18"/>
              </w:rPr>
            </w:pPr>
            <w:r w:rsidRPr="001D41EA">
              <w:rPr>
                <w:rFonts w:cs="Arial"/>
                <w:sz w:val="18"/>
                <w:szCs w:val="18"/>
              </w:rPr>
              <w:t>2,467,710</w:t>
            </w:r>
          </w:p>
        </w:tc>
        <w:tc>
          <w:tcPr>
            <w:tcW w:w="1361" w:type="dxa"/>
            <w:tcBorders>
              <w:top w:val="nil"/>
              <w:left w:val="nil"/>
              <w:bottom w:val="nil"/>
              <w:right w:val="nil"/>
            </w:tcBorders>
            <w:shd w:val="clear" w:color="auto" w:fill="auto"/>
            <w:noWrap/>
            <w:vAlign w:val="bottom"/>
          </w:tcPr>
          <w:p w14:paraId="594863AB" w14:textId="1BCD161B" w:rsidR="00584325" w:rsidRPr="001D41EA" w:rsidRDefault="00584325" w:rsidP="001D41EA">
            <w:pPr>
              <w:spacing w:before="40" w:after="40"/>
              <w:jc w:val="right"/>
              <w:rPr>
                <w:rFonts w:cs="Arial"/>
                <w:sz w:val="18"/>
                <w:szCs w:val="18"/>
              </w:rPr>
            </w:pPr>
            <w:r w:rsidRPr="001D41EA">
              <w:rPr>
                <w:rFonts w:cs="Arial"/>
                <w:sz w:val="18"/>
                <w:szCs w:val="18"/>
              </w:rPr>
              <w:t>1,416,222</w:t>
            </w:r>
          </w:p>
        </w:tc>
        <w:tc>
          <w:tcPr>
            <w:tcW w:w="1361" w:type="dxa"/>
            <w:tcBorders>
              <w:top w:val="nil"/>
              <w:left w:val="nil"/>
              <w:bottom w:val="nil"/>
              <w:right w:val="nil"/>
            </w:tcBorders>
            <w:shd w:val="clear" w:color="auto" w:fill="auto"/>
            <w:noWrap/>
            <w:vAlign w:val="bottom"/>
          </w:tcPr>
          <w:p w14:paraId="49246E6A" w14:textId="25D5BD23" w:rsidR="00584325" w:rsidRPr="001D41EA" w:rsidRDefault="00584325" w:rsidP="001D41EA">
            <w:pPr>
              <w:spacing w:before="40" w:after="40"/>
              <w:jc w:val="right"/>
              <w:rPr>
                <w:rFonts w:cs="Arial"/>
                <w:sz w:val="18"/>
                <w:szCs w:val="18"/>
              </w:rPr>
            </w:pPr>
            <w:r w:rsidRPr="001D41EA">
              <w:rPr>
                <w:rFonts w:cs="Arial"/>
                <w:sz w:val="18"/>
                <w:szCs w:val="18"/>
              </w:rPr>
              <w:t>3,255,643</w:t>
            </w:r>
          </w:p>
        </w:tc>
        <w:tc>
          <w:tcPr>
            <w:tcW w:w="1361" w:type="dxa"/>
            <w:tcBorders>
              <w:top w:val="nil"/>
              <w:left w:val="nil"/>
              <w:bottom w:val="nil"/>
              <w:right w:val="nil"/>
            </w:tcBorders>
            <w:vAlign w:val="bottom"/>
          </w:tcPr>
          <w:p w14:paraId="15ACA370" w14:textId="13C5AB74" w:rsidR="00584325" w:rsidRPr="001D41EA" w:rsidRDefault="00584325" w:rsidP="001D41EA">
            <w:pPr>
              <w:spacing w:before="40" w:after="40"/>
              <w:jc w:val="right"/>
              <w:rPr>
                <w:rFonts w:cs="Arial"/>
                <w:sz w:val="18"/>
                <w:szCs w:val="18"/>
              </w:rPr>
            </w:pPr>
            <w:r w:rsidRPr="001D41EA">
              <w:rPr>
                <w:rFonts w:cs="Arial"/>
                <w:sz w:val="18"/>
                <w:szCs w:val="18"/>
              </w:rPr>
              <w:t>11,349,845</w:t>
            </w:r>
          </w:p>
        </w:tc>
        <w:tc>
          <w:tcPr>
            <w:tcW w:w="1361" w:type="dxa"/>
            <w:tcBorders>
              <w:top w:val="nil"/>
              <w:left w:val="nil"/>
              <w:bottom w:val="nil"/>
              <w:right w:val="nil"/>
            </w:tcBorders>
            <w:shd w:val="clear" w:color="auto" w:fill="auto"/>
            <w:noWrap/>
            <w:vAlign w:val="bottom"/>
          </w:tcPr>
          <w:p w14:paraId="1B06CBBE" w14:textId="214F3C69" w:rsidR="00584325" w:rsidRPr="001D41EA" w:rsidRDefault="00584325" w:rsidP="001D41EA">
            <w:pPr>
              <w:spacing w:before="40" w:after="40"/>
              <w:jc w:val="right"/>
              <w:rPr>
                <w:rFonts w:cs="Arial"/>
                <w:b/>
                <w:sz w:val="18"/>
                <w:szCs w:val="18"/>
              </w:rPr>
            </w:pPr>
            <w:r w:rsidRPr="001D41EA">
              <w:rPr>
                <w:rFonts w:cs="Arial"/>
                <w:b/>
                <w:sz w:val="18"/>
                <w:szCs w:val="18"/>
              </w:rPr>
              <w:t>32,276,271</w:t>
            </w:r>
          </w:p>
        </w:tc>
      </w:tr>
      <w:tr w:rsidR="00584325" w:rsidRPr="001D41EA" w14:paraId="7379522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8EAE6FD" w14:textId="77777777" w:rsidR="00584325" w:rsidRPr="001D41EA" w:rsidRDefault="00584325" w:rsidP="001D41EA">
            <w:pPr>
              <w:spacing w:before="40" w:after="40"/>
              <w:rPr>
                <w:rFonts w:cs="Arial"/>
                <w:sz w:val="18"/>
                <w:szCs w:val="18"/>
              </w:rPr>
            </w:pPr>
            <w:r w:rsidRPr="001D41EA">
              <w:rPr>
                <w:rFonts w:cs="Arial"/>
                <w:sz w:val="18"/>
                <w:szCs w:val="18"/>
              </w:rPr>
              <w:t>Hindmarsh S</w:t>
            </w:r>
          </w:p>
        </w:tc>
        <w:tc>
          <w:tcPr>
            <w:tcW w:w="1361" w:type="dxa"/>
            <w:tcBorders>
              <w:top w:val="nil"/>
              <w:left w:val="single" w:sz="18" w:space="0" w:color="5F497A" w:themeColor="accent4" w:themeShade="BF"/>
              <w:bottom w:val="nil"/>
              <w:right w:val="nil"/>
            </w:tcBorders>
            <w:shd w:val="clear" w:color="auto" w:fill="auto"/>
            <w:noWrap/>
            <w:vAlign w:val="bottom"/>
          </w:tcPr>
          <w:p w14:paraId="76AC4E00" w14:textId="77CD559E" w:rsidR="00584325" w:rsidRPr="001D41EA" w:rsidRDefault="00584325" w:rsidP="001D41EA">
            <w:pPr>
              <w:spacing w:before="40" w:after="40"/>
              <w:jc w:val="right"/>
              <w:rPr>
                <w:rFonts w:cs="Arial"/>
                <w:sz w:val="18"/>
                <w:szCs w:val="18"/>
              </w:rPr>
            </w:pPr>
            <w:r w:rsidRPr="001D41EA">
              <w:rPr>
                <w:rFonts w:cs="Arial"/>
                <w:sz w:val="18"/>
                <w:szCs w:val="18"/>
              </w:rPr>
              <w:t>775,872</w:t>
            </w:r>
          </w:p>
        </w:tc>
        <w:tc>
          <w:tcPr>
            <w:tcW w:w="1361" w:type="dxa"/>
            <w:tcBorders>
              <w:top w:val="nil"/>
              <w:left w:val="nil"/>
              <w:bottom w:val="nil"/>
              <w:right w:val="nil"/>
            </w:tcBorders>
            <w:shd w:val="clear" w:color="auto" w:fill="auto"/>
            <w:noWrap/>
            <w:vAlign w:val="bottom"/>
          </w:tcPr>
          <w:p w14:paraId="4B394AE3" w14:textId="1B5A878F" w:rsidR="00584325" w:rsidRPr="001D41EA" w:rsidRDefault="00584325" w:rsidP="001D41EA">
            <w:pPr>
              <w:spacing w:before="40" w:after="40"/>
              <w:jc w:val="right"/>
              <w:rPr>
                <w:rFonts w:cs="Arial"/>
                <w:sz w:val="18"/>
                <w:szCs w:val="18"/>
              </w:rPr>
            </w:pPr>
            <w:r w:rsidRPr="001D41EA">
              <w:rPr>
                <w:rFonts w:cs="Arial"/>
                <w:sz w:val="18"/>
                <w:szCs w:val="18"/>
              </w:rPr>
              <w:t>1,363,837</w:t>
            </w:r>
          </w:p>
        </w:tc>
        <w:tc>
          <w:tcPr>
            <w:tcW w:w="1361" w:type="dxa"/>
            <w:tcBorders>
              <w:top w:val="nil"/>
              <w:left w:val="nil"/>
              <w:bottom w:val="nil"/>
              <w:right w:val="nil"/>
            </w:tcBorders>
            <w:shd w:val="clear" w:color="auto" w:fill="auto"/>
            <w:noWrap/>
            <w:vAlign w:val="bottom"/>
          </w:tcPr>
          <w:p w14:paraId="6FFACE17" w14:textId="7B0F47D8" w:rsidR="00584325" w:rsidRPr="001D41EA" w:rsidRDefault="00584325" w:rsidP="001D41EA">
            <w:pPr>
              <w:spacing w:before="40" w:after="40"/>
              <w:jc w:val="right"/>
              <w:rPr>
                <w:rFonts w:cs="Arial"/>
                <w:sz w:val="18"/>
                <w:szCs w:val="18"/>
              </w:rPr>
            </w:pPr>
            <w:r w:rsidRPr="001D41EA">
              <w:rPr>
                <w:rFonts w:cs="Arial"/>
                <w:sz w:val="18"/>
                <w:szCs w:val="18"/>
              </w:rPr>
              <w:t>3,119,945</w:t>
            </w:r>
          </w:p>
        </w:tc>
        <w:tc>
          <w:tcPr>
            <w:tcW w:w="1361" w:type="dxa"/>
            <w:tcBorders>
              <w:top w:val="nil"/>
              <w:left w:val="nil"/>
              <w:bottom w:val="nil"/>
              <w:right w:val="nil"/>
            </w:tcBorders>
            <w:vAlign w:val="bottom"/>
          </w:tcPr>
          <w:p w14:paraId="03C12A37" w14:textId="144433F0" w:rsidR="00584325" w:rsidRPr="001D41EA" w:rsidRDefault="00584325" w:rsidP="001D41EA">
            <w:pPr>
              <w:spacing w:before="40" w:after="40"/>
              <w:jc w:val="right"/>
              <w:rPr>
                <w:rFonts w:cs="Arial"/>
                <w:sz w:val="18"/>
                <w:szCs w:val="18"/>
              </w:rPr>
            </w:pPr>
            <w:r w:rsidRPr="001D41EA">
              <w:rPr>
                <w:rFonts w:cs="Arial"/>
                <w:sz w:val="18"/>
                <w:szCs w:val="18"/>
              </w:rPr>
              <w:t>12,089,591</w:t>
            </w:r>
          </w:p>
        </w:tc>
        <w:tc>
          <w:tcPr>
            <w:tcW w:w="1361" w:type="dxa"/>
            <w:tcBorders>
              <w:top w:val="nil"/>
              <w:left w:val="nil"/>
              <w:bottom w:val="nil"/>
              <w:right w:val="nil"/>
            </w:tcBorders>
            <w:shd w:val="clear" w:color="auto" w:fill="auto"/>
            <w:noWrap/>
            <w:vAlign w:val="bottom"/>
          </w:tcPr>
          <w:p w14:paraId="247D3C26" w14:textId="17894B71" w:rsidR="00584325" w:rsidRPr="001D41EA" w:rsidRDefault="00584325" w:rsidP="001D41EA">
            <w:pPr>
              <w:spacing w:before="40" w:after="40"/>
              <w:jc w:val="right"/>
              <w:rPr>
                <w:rFonts w:cs="Arial"/>
                <w:b/>
                <w:sz w:val="18"/>
                <w:szCs w:val="18"/>
              </w:rPr>
            </w:pPr>
            <w:r w:rsidRPr="001D41EA">
              <w:rPr>
                <w:rFonts w:cs="Arial"/>
                <w:b/>
                <w:sz w:val="18"/>
                <w:szCs w:val="18"/>
              </w:rPr>
              <w:t>23,433,436</w:t>
            </w:r>
          </w:p>
        </w:tc>
      </w:tr>
      <w:tr w:rsidR="00584325" w:rsidRPr="001D41EA" w14:paraId="53A4BD5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052500F" w14:textId="77777777" w:rsidR="00584325" w:rsidRPr="001D41EA" w:rsidRDefault="00584325" w:rsidP="001D41EA">
            <w:pPr>
              <w:spacing w:before="40" w:after="40"/>
              <w:rPr>
                <w:rFonts w:cs="Arial"/>
                <w:sz w:val="18"/>
                <w:szCs w:val="18"/>
              </w:rPr>
            </w:pPr>
            <w:r w:rsidRPr="001D41EA">
              <w:rPr>
                <w:rFonts w:cs="Arial"/>
                <w:sz w:val="18"/>
                <w:szCs w:val="18"/>
              </w:rPr>
              <w:t>Hobsons Bay C</w:t>
            </w:r>
          </w:p>
        </w:tc>
        <w:tc>
          <w:tcPr>
            <w:tcW w:w="1361" w:type="dxa"/>
            <w:tcBorders>
              <w:top w:val="nil"/>
              <w:left w:val="single" w:sz="18" w:space="0" w:color="5F497A" w:themeColor="accent4" w:themeShade="BF"/>
              <w:bottom w:val="nil"/>
              <w:right w:val="nil"/>
            </w:tcBorders>
            <w:shd w:val="clear" w:color="auto" w:fill="auto"/>
            <w:noWrap/>
            <w:vAlign w:val="bottom"/>
          </w:tcPr>
          <w:p w14:paraId="40D5FC7B" w14:textId="091FEBF2" w:rsidR="00584325" w:rsidRPr="001D41EA" w:rsidRDefault="00584325" w:rsidP="001D41EA">
            <w:pPr>
              <w:spacing w:before="40" w:after="40"/>
              <w:jc w:val="right"/>
              <w:rPr>
                <w:rFonts w:cs="Arial"/>
                <w:sz w:val="18"/>
                <w:szCs w:val="18"/>
              </w:rPr>
            </w:pPr>
            <w:r w:rsidRPr="001D41EA">
              <w:rPr>
                <w:rFonts w:cs="Arial"/>
                <w:sz w:val="18"/>
                <w:szCs w:val="18"/>
              </w:rPr>
              <w:t>11,429,837</w:t>
            </w:r>
          </w:p>
        </w:tc>
        <w:tc>
          <w:tcPr>
            <w:tcW w:w="1361" w:type="dxa"/>
            <w:tcBorders>
              <w:top w:val="nil"/>
              <w:left w:val="nil"/>
              <w:bottom w:val="nil"/>
              <w:right w:val="nil"/>
            </w:tcBorders>
            <w:shd w:val="clear" w:color="auto" w:fill="auto"/>
            <w:noWrap/>
            <w:vAlign w:val="bottom"/>
          </w:tcPr>
          <w:p w14:paraId="6C43DAE4" w14:textId="28AB57BE" w:rsidR="00584325" w:rsidRPr="001D41EA" w:rsidRDefault="00584325" w:rsidP="001D41EA">
            <w:pPr>
              <w:spacing w:before="40" w:after="40"/>
              <w:jc w:val="right"/>
              <w:rPr>
                <w:rFonts w:cs="Arial"/>
                <w:sz w:val="18"/>
                <w:szCs w:val="18"/>
              </w:rPr>
            </w:pPr>
            <w:r w:rsidRPr="001D41EA">
              <w:rPr>
                <w:rFonts w:cs="Arial"/>
                <w:sz w:val="18"/>
                <w:szCs w:val="18"/>
              </w:rPr>
              <w:t>5,872,431</w:t>
            </w:r>
          </w:p>
        </w:tc>
        <w:tc>
          <w:tcPr>
            <w:tcW w:w="1361" w:type="dxa"/>
            <w:tcBorders>
              <w:top w:val="nil"/>
              <w:left w:val="nil"/>
              <w:bottom w:val="nil"/>
              <w:right w:val="nil"/>
            </w:tcBorders>
            <w:shd w:val="clear" w:color="auto" w:fill="auto"/>
            <w:noWrap/>
            <w:vAlign w:val="bottom"/>
          </w:tcPr>
          <w:p w14:paraId="02313F5D" w14:textId="5051C9AC" w:rsidR="00584325" w:rsidRPr="001D41EA" w:rsidRDefault="00584325" w:rsidP="001D41EA">
            <w:pPr>
              <w:spacing w:before="40" w:after="40"/>
              <w:jc w:val="right"/>
              <w:rPr>
                <w:rFonts w:cs="Arial"/>
                <w:sz w:val="18"/>
                <w:szCs w:val="18"/>
              </w:rPr>
            </w:pPr>
            <w:r w:rsidRPr="001D41EA">
              <w:rPr>
                <w:rFonts w:cs="Arial"/>
                <w:sz w:val="18"/>
                <w:szCs w:val="18"/>
              </w:rPr>
              <w:t>15,153,567</w:t>
            </w:r>
          </w:p>
        </w:tc>
        <w:tc>
          <w:tcPr>
            <w:tcW w:w="1361" w:type="dxa"/>
            <w:tcBorders>
              <w:top w:val="nil"/>
              <w:left w:val="nil"/>
              <w:bottom w:val="nil"/>
              <w:right w:val="nil"/>
            </w:tcBorders>
            <w:vAlign w:val="bottom"/>
          </w:tcPr>
          <w:p w14:paraId="365880DE" w14:textId="6CB2A76B" w:rsidR="00584325" w:rsidRPr="001D41EA" w:rsidRDefault="00584325" w:rsidP="001D41EA">
            <w:pPr>
              <w:spacing w:before="40" w:after="40"/>
              <w:jc w:val="right"/>
              <w:rPr>
                <w:rFonts w:cs="Arial"/>
                <w:sz w:val="18"/>
                <w:szCs w:val="18"/>
              </w:rPr>
            </w:pPr>
            <w:r w:rsidRPr="001D41EA">
              <w:rPr>
                <w:rFonts w:cs="Arial"/>
                <w:sz w:val="18"/>
                <w:szCs w:val="18"/>
              </w:rPr>
              <w:t>5,337,517</w:t>
            </w:r>
          </w:p>
        </w:tc>
        <w:tc>
          <w:tcPr>
            <w:tcW w:w="1361" w:type="dxa"/>
            <w:tcBorders>
              <w:top w:val="nil"/>
              <w:left w:val="nil"/>
              <w:bottom w:val="nil"/>
              <w:right w:val="nil"/>
            </w:tcBorders>
            <w:shd w:val="clear" w:color="auto" w:fill="auto"/>
            <w:noWrap/>
            <w:vAlign w:val="bottom"/>
          </w:tcPr>
          <w:p w14:paraId="7C549352" w14:textId="1CCDAF35" w:rsidR="00584325" w:rsidRPr="001D41EA" w:rsidRDefault="00584325" w:rsidP="001D41EA">
            <w:pPr>
              <w:spacing w:before="40" w:after="40"/>
              <w:jc w:val="right"/>
              <w:rPr>
                <w:rFonts w:cs="Arial"/>
                <w:b/>
                <w:sz w:val="18"/>
                <w:szCs w:val="18"/>
              </w:rPr>
            </w:pPr>
            <w:r w:rsidRPr="001D41EA">
              <w:rPr>
                <w:rFonts w:cs="Arial"/>
                <w:b/>
                <w:sz w:val="18"/>
                <w:szCs w:val="18"/>
              </w:rPr>
              <w:t>94,727,799</w:t>
            </w:r>
          </w:p>
        </w:tc>
      </w:tr>
      <w:tr w:rsidR="00584325" w:rsidRPr="001D41EA" w14:paraId="246D374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2011C9B" w14:textId="77777777" w:rsidR="00584325" w:rsidRPr="001D41EA" w:rsidRDefault="00584325" w:rsidP="001D41EA">
            <w:pPr>
              <w:spacing w:before="40" w:after="40"/>
              <w:rPr>
                <w:rFonts w:cs="Arial"/>
                <w:sz w:val="18"/>
                <w:szCs w:val="18"/>
              </w:rPr>
            </w:pPr>
            <w:r w:rsidRPr="001D41EA">
              <w:rPr>
                <w:rFonts w:cs="Arial"/>
                <w:sz w:val="18"/>
                <w:szCs w:val="18"/>
              </w:rPr>
              <w:t>Horsham RC</w:t>
            </w:r>
          </w:p>
        </w:tc>
        <w:tc>
          <w:tcPr>
            <w:tcW w:w="1361" w:type="dxa"/>
            <w:tcBorders>
              <w:top w:val="nil"/>
              <w:left w:val="single" w:sz="18" w:space="0" w:color="5F497A" w:themeColor="accent4" w:themeShade="BF"/>
              <w:bottom w:val="nil"/>
              <w:right w:val="nil"/>
            </w:tcBorders>
            <w:shd w:val="clear" w:color="auto" w:fill="auto"/>
            <w:noWrap/>
            <w:vAlign w:val="bottom"/>
          </w:tcPr>
          <w:p w14:paraId="2FB34A44" w14:textId="19C73722" w:rsidR="00584325" w:rsidRPr="001D41EA" w:rsidRDefault="00584325" w:rsidP="001D41EA">
            <w:pPr>
              <w:spacing w:before="40" w:after="40"/>
              <w:jc w:val="right"/>
              <w:rPr>
                <w:rFonts w:cs="Arial"/>
                <w:sz w:val="18"/>
                <w:szCs w:val="18"/>
              </w:rPr>
            </w:pPr>
            <w:r w:rsidRPr="001D41EA">
              <w:rPr>
                <w:rFonts w:cs="Arial"/>
                <w:sz w:val="18"/>
                <w:szCs w:val="18"/>
              </w:rPr>
              <w:t>2,897,468</w:t>
            </w:r>
          </w:p>
        </w:tc>
        <w:tc>
          <w:tcPr>
            <w:tcW w:w="1361" w:type="dxa"/>
            <w:tcBorders>
              <w:top w:val="nil"/>
              <w:left w:val="nil"/>
              <w:bottom w:val="nil"/>
              <w:right w:val="nil"/>
            </w:tcBorders>
            <w:shd w:val="clear" w:color="auto" w:fill="auto"/>
            <w:noWrap/>
            <w:vAlign w:val="bottom"/>
          </w:tcPr>
          <w:p w14:paraId="0C34D22C" w14:textId="0A9AD3A5" w:rsidR="00584325" w:rsidRPr="001D41EA" w:rsidRDefault="00584325" w:rsidP="001D41EA">
            <w:pPr>
              <w:spacing w:before="40" w:after="40"/>
              <w:jc w:val="right"/>
              <w:rPr>
                <w:rFonts w:cs="Arial"/>
                <w:sz w:val="18"/>
                <w:szCs w:val="18"/>
              </w:rPr>
            </w:pPr>
            <w:r w:rsidRPr="001D41EA">
              <w:rPr>
                <w:rFonts w:cs="Arial"/>
                <w:sz w:val="18"/>
                <w:szCs w:val="18"/>
              </w:rPr>
              <w:t>1,551,166</w:t>
            </w:r>
          </w:p>
        </w:tc>
        <w:tc>
          <w:tcPr>
            <w:tcW w:w="1361" w:type="dxa"/>
            <w:tcBorders>
              <w:top w:val="nil"/>
              <w:left w:val="nil"/>
              <w:bottom w:val="nil"/>
              <w:right w:val="nil"/>
            </w:tcBorders>
            <w:shd w:val="clear" w:color="auto" w:fill="auto"/>
            <w:noWrap/>
            <w:vAlign w:val="bottom"/>
          </w:tcPr>
          <w:p w14:paraId="616F8FB0" w14:textId="70B60E92" w:rsidR="00584325" w:rsidRPr="001D41EA" w:rsidRDefault="00584325" w:rsidP="001D41EA">
            <w:pPr>
              <w:spacing w:before="40" w:after="40"/>
              <w:jc w:val="right"/>
              <w:rPr>
                <w:rFonts w:cs="Arial"/>
                <w:sz w:val="18"/>
                <w:szCs w:val="18"/>
              </w:rPr>
            </w:pPr>
            <w:r w:rsidRPr="001D41EA">
              <w:rPr>
                <w:rFonts w:cs="Arial"/>
                <w:sz w:val="18"/>
                <w:szCs w:val="18"/>
              </w:rPr>
              <w:t>4,260,109</w:t>
            </w:r>
          </w:p>
        </w:tc>
        <w:tc>
          <w:tcPr>
            <w:tcW w:w="1361" w:type="dxa"/>
            <w:tcBorders>
              <w:top w:val="nil"/>
              <w:left w:val="nil"/>
              <w:bottom w:val="nil"/>
              <w:right w:val="nil"/>
            </w:tcBorders>
            <w:vAlign w:val="bottom"/>
          </w:tcPr>
          <w:p w14:paraId="0FE84B80" w14:textId="1359E8A2" w:rsidR="00584325" w:rsidRPr="001D41EA" w:rsidRDefault="00584325" w:rsidP="001D41EA">
            <w:pPr>
              <w:spacing w:before="40" w:after="40"/>
              <w:jc w:val="right"/>
              <w:rPr>
                <w:rFonts w:cs="Arial"/>
                <w:sz w:val="18"/>
                <w:szCs w:val="18"/>
              </w:rPr>
            </w:pPr>
            <w:r w:rsidRPr="001D41EA">
              <w:rPr>
                <w:rFonts w:cs="Arial"/>
                <w:sz w:val="18"/>
                <w:szCs w:val="18"/>
              </w:rPr>
              <w:t>15,964,285</w:t>
            </w:r>
          </w:p>
        </w:tc>
        <w:tc>
          <w:tcPr>
            <w:tcW w:w="1361" w:type="dxa"/>
            <w:tcBorders>
              <w:top w:val="nil"/>
              <w:left w:val="nil"/>
              <w:bottom w:val="nil"/>
              <w:right w:val="nil"/>
            </w:tcBorders>
            <w:shd w:val="clear" w:color="auto" w:fill="auto"/>
            <w:noWrap/>
            <w:vAlign w:val="bottom"/>
          </w:tcPr>
          <w:p w14:paraId="5DA52AF1" w14:textId="7B3E5069" w:rsidR="00584325" w:rsidRPr="001D41EA" w:rsidRDefault="00584325" w:rsidP="001D41EA">
            <w:pPr>
              <w:spacing w:before="40" w:after="40"/>
              <w:jc w:val="right"/>
              <w:rPr>
                <w:rFonts w:cs="Arial"/>
                <w:b/>
                <w:sz w:val="18"/>
                <w:szCs w:val="18"/>
              </w:rPr>
            </w:pPr>
            <w:r w:rsidRPr="001D41EA">
              <w:rPr>
                <w:rFonts w:cs="Arial"/>
                <w:b/>
                <w:sz w:val="18"/>
                <w:szCs w:val="18"/>
              </w:rPr>
              <w:t>39,437,964</w:t>
            </w:r>
          </w:p>
        </w:tc>
      </w:tr>
      <w:tr w:rsidR="00584325" w:rsidRPr="001D41EA" w14:paraId="0F574D1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CEF06A0" w14:textId="77777777" w:rsidR="00584325" w:rsidRPr="001D41EA" w:rsidRDefault="00584325" w:rsidP="001D41EA">
            <w:pPr>
              <w:spacing w:before="40" w:after="40"/>
              <w:rPr>
                <w:rFonts w:cs="Arial"/>
                <w:sz w:val="18"/>
                <w:szCs w:val="18"/>
              </w:rPr>
            </w:pPr>
            <w:r w:rsidRPr="001D41EA">
              <w:rPr>
                <w:rFonts w:cs="Arial"/>
                <w:sz w:val="18"/>
                <w:szCs w:val="18"/>
              </w:rPr>
              <w:t>Hume C</w:t>
            </w:r>
          </w:p>
        </w:tc>
        <w:tc>
          <w:tcPr>
            <w:tcW w:w="1361" w:type="dxa"/>
            <w:tcBorders>
              <w:top w:val="nil"/>
              <w:left w:val="single" w:sz="18" w:space="0" w:color="5F497A" w:themeColor="accent4" w:themeShade="BF"/>
              <w:bottom w:val="nil"/>
              <w:right w:val="nil"/>
            </w:tcBorders>
            <w:shd w:val="clear" w:color="auto" w:fill="auto"/>
            <w:noWrap/>
            <w:vAlign w:val="bottom"/>
          </w:tcPr>
          <w:p w14:paraId="48DDDB73" w14:textId="209FC9E0" w:rsidR="00584325" w:rsidRPr="001D41EA" w:rsidRDefault="00584325" w:rsidP="001D41EA">
            <w:pPr>
              <w:spacing w:before="40" w:after="40"/>
              <w:jc w:val="right"/>
              <w:rPr>
                <w:rFonts w:cs="Arial"/>
                <w:sz w:val="18"/>
                <w:szCs w:val="18"/>
              </w:rPr>
            </w:pPr>
            <w:r w:rsidRPr="001D41EA">
              <w:rPr>
                <w:rFonts w:cs="Arial"/>
                <w:sz w:val="18"/>
                <w:szCs w:val="18"/>
              </w:rPr>
              <w:t>28,677,477</w:t>
            </w:r>
          </w:p>
        </w:tc>
        <w:tc>
          <w:tcPr>
            <w:tcW w:w="1361" w:type="dxa"/>
            <w:tcBorders>
              <w:top w:val="nil"/>
              <w:left w:val="nil"/>
              <w:bottom w:val="nil"/>
              <w:right w:val="nil"/>
            </w:tcBorders>
            <w:shd w:val="clear" w:color="auto" w:fill="auto"/>
            <w:noWrap/>
            <w:vAlign w:val="bottom"/>
          </w:tcPr>
          <w:p w14:paraId="0238B4E1" w14:textId="2D10686C" w:rsidR="00584325" w:rsidRPr="001D41EA" w:rsidRDefault="00584325" w:rsidP="001D41EA">
            <w:pPr>
              <w:spacing w:before="40" w:after="40"/>
              <w:jc w:val="right"/>
              <w:rPr>
                <w:rFonts w:cs="Arial"/>
                <w:sz w:val="18"/>
                <w:szCs w:val="18"/>
              </w:rPr>
            </w:pPr>
            <w:r w:rsidRPr="001D41EA">
              <w:rPr>
                <w:rFonts w:cs="Arial"/>
                <w:sz w:val="18"/>
                <w:szCs w:val="18"/>
              </w:rPr>
              <w:t>14,256,788</w:t>
            </w:r>
          </w:p>
        </w:tc>
        <w:tc>
          <w:tcPr>
            <w:tcW w:w="1361" w:type="dxa"/>
            <w:tcBorders>
              <w:top w:val="nil"/>
              <w:left w:val="nil"/>
              <w:bottom w:val="nil"/>
              <w:right w:val="nil"/>
            </w:tcBorders>
            <w:shd w:val="clear" w:color="auto" w:fill="auto"/>
            <w:noWrap/>
            <w:vAlign w:val="bottom"/>
          </w:tcPr>
          <w:p w14:paraId="547FD701" w14:textId="6982CD1A" w:rsidR="00584325" w:rsidRPr="001D41EA" w:rsidRDefault="00584325" w:rsidP="001D41EA">
            <w:pPr>
              <w:spacing w:before="40" w:after="40"/>
              <w:jc w:val="right"/>
              <w:rPr>
                <w:rFonts w:cs="Arial"/>
                <w:sz w:val="18"/>
                <w:szCs w:val="18"/>
              </w:rPr>
            </w:pPr>
            <w:r w:rsidRPr="001D41EA">
              <w:rPr>
                <w:rFonts w:cs="Arial"/>
                <w:sz w:val="18"/>
                <w:szCs w:val="18"/>
              </w:rPr>
              <w:t>33,217,752</w:t>
            </w:r>
          </w:p>
        </w:tc>
        <w:tc>
          <w:tcPr>
            <w:tcW w:w="1361" w:type="dxa"/>
            <w:tcBorders>
              <w:top w:val="nil"/>
              <w:left w:val="nil"/>
              <w:bottom w:val="nil"/>
              <w:right w:val="nil"/>
            </w:tcBorders>
            <w:vAlign w:val="bottom"/>
          </w:tcPr>
          <w:p w14:paraId="47683534" w14:textId="5A033E6D" w:rsidR="00584325" w:rsidRPr="001D41EA" w:rsidRDefault="00584325" w:rsidP="001D41EA">
            <w:pPr>
              <w:spacing w:before="40" w:after="40"/>
              <w:jc w:val="right"/>
              <w:rPr>
                <w:rFonts w:cs="Arial"/>
                <w:sz w:val="18"/>
                <w:szCs w:val="18"/>
              </w:rPr>
            </w:pPr>
            <w:r w:rsidRPr="001D41EA">
              <w:rPr>
                <w:rFonts w:cs="Arial"/>
                <w:sz w:val="18"/>
                <w:szCs w:val="18"/>
              </w:rPr>
              <w:t>18,561,619</w:t>
            </w:r>
          </w:p>
        </w:tc>
        <w:tc>
          <w:tcPr>
            <w:tcW w:w="1361" w:type="dxa"/>
            <w:tcBorders>
              <w:top w:val="nil"/>
              <w:left w:val="nil"/>
              <w:bottom w:val="nil"/>
              <w:right w:val="nil"/>
            </w:tcBorders>
            <w:shd w:val="clear" w:color="auto" w:fill="auto"/>
            <w:noWrap/>
            <w:vAlign w:val="bottom"/>
          </w:tcPr>
          <w:p w14:paraId="03CDF5B2" w14:textId="497ECF96" w:rsidR="00584325" w:rsidRPr="001D41EA" w:rsidRDefault="00584325" w:rsidP="001D41EA">
            <w:pPr>
              <w:spacing w:before="40" w:after="40"/>
              <w:jc w:val="right"/>
              <w:rPr>
                <w:rFonts w:cs="Arial"/>
                <w:b/>
                <w:sz w:val="18"/>
                <w:szCs w:val="18"/>
              </w:rPr>
            </w:pPr>
            <w:r w:rsidRPr="001D41EA">
              <w:rPr>
                <w:rFonts w:cs="Arial"/>
                <w:b/>
                <w:sz w:val="18"/>
                <w:szCs w:val="18"/>
              </w:rPr>
              <w:t>231,359,283</w:t>
            </w:r>
          </w:p>
        </w:tc>
      </w:tr>
      <w:tr w:rsidR="00584325" w:rsidRPr="001D41EA" w14:paraId="54B1F9B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3341669" w14:textId="77777777" w:rsidR="00584325" w:rsidRPr="001D41EA" w:rsidRDefault="00584325" w:rsidP="001D41EA">
            <w:pPr>
              <w:spacing w:before="40" w:after="40"/>
              <w:rPr>
                <w:rFonts w:cs="Arial"/>
                <w:sz w:val="18"/>
                <w:szCs w:val="18"/>
              </w:rPr>
            </w:pPr>
            <w:r w:rsidRPr="001D41EA">
              <w:rPr>
                <w:rFonts w:cs="Arial"/>
                <w:sz w:val="18"/>
                <w:szCs w:val="18"/>
              </w:rPr>
              <w:t>Indigo S</w:t>
            </w:r>
          </w:p>
        </w:tc>
        <w:tc>
          <w:tcPr>
            <w:tcW w:w="1361" w:type="dxa"/>
            <w:tcBorders>
              <w:top w:val="nil"/>
              <w:left w:val="single" w:sz="18" w:space="0" w:color="5F497A" w:themeColor="accent4" w:themeShade="BF"/>
              <w:bottom w:val="nil"/>
              <w:right w:val="nil"/>
            </w:tcBorders>
            <w:shd w:val="clear" w:color="auto" w:fill="auto"/>
            <w:noWrap/>
            <w:vAlign w:val="bottom"/>
          </w:tcPr>
          <w:p w14:paraId="204C8B72" w14:textId="20EE8E3A" w:rsidR="00584325" w:rsidRPr="001D41EA" w:rsidRDefault="00584325" w:rsidP="001D41EA">
            <w:pPr>
              <w:spacing w:before="40" w:after="40"/>
              <w:jc w:val="right"/>
              <w:rPr>
                <w:rFonts w:cs="Arial"/>
                <w:sz w:val="18"/>
                <w:szCs w:val="18"/>
              </w:rPr>
            </w:pPr>
            <w:r w:rsidRPr="001D41EA">
              <w:rPr>
                <w:rFonts w:cs="Arial"/>
                <w:sz w:val="18"/>
                <w:szCs w:val="18"/>
              </w:rPr>
              <w:t>2,241,378</w:t>
            </w:r>
          </w:p>
        </w:tc>
        <w:tc>
          <w:tcPr>
            <w:tcW w:w="1361" w:type="dxa"/>
            <w:tcBorders>
              <w:top w:val="nil"/>
              <w:left w:val="nil"/>
              <w:bottom w:val="nil"/>
              <w:right w:val="nil"/>
            </w:tcBorders>
            <w:shd w:val="clear" w:color="auto" w:fill="auto"/>
            <w:noWrap/>
            <w:vAlign w:val="bottom"/>
          </w:tcPr>
          <w:p w14:paraId="338E4AF7" w14:textId="7AD30DA6" w:rsidR="00584325" w:rsidRPr="001D41EA" w:rsidRDefault="00584325" w:rsidP="001D41EA">
            <w:pPr>
              <w:spacing w:before="40" w:after="40"/>
              <w:jc w:val="right"/>
              <w:rPr>
                <w:rFonts w:cs="Arial"/>
                <w:sz w:val="18"/>
                <w:szCs w:val="18"/>
              </w:rPr>
            </w:pPr>
            <w:r w:rsidRPr="001D41EA">
              <w:rPr>
                <w:rFonts w:cs="Arial"/>
                <w:sz w:val="18"/>
                <w:szCs w:val="18"/>
              </w:rPr>
              <w:t>1,374,475</w:t>
            </w:r>
          </w:p>
        </w:tc>
        <w:tc>
          <w:tcPr>
            <w:tcW w:w="1361" w:type="dxa"/>
            <w:tcBorders>
              <w:top w:val="nil"/>
              <w:left w:val="nil"/>
              <w:bottom w:val="nil"/>
              <w:right w:val="nil"/>
            </w:tcBorders>
            <w:shd w:val="clear" w:color="auto" w:fill="auto"/>
            <w:noWrap/>
            <w:vAlign w:val="bottom"/>
          </w:tcPr>
          <w:p w14:paraId="74DEA232" w14:textId="0DBF9D8E" w:rsidR="00584325" w:rsidRPr="001D41EA" w:rsidRDefault="00584325" w:rsidP="001D41EA">
            <w:pPr>
              <w:spacing w:before="40" w:after="40"/>
              <w:jc w:val="right"/>
              <w:rPr>
                <w:rFonts w:cs="Arial"/>
                <w:sz w:val="18"/>
                <w:szCs w:val="18"/>
              </w:rPr>
            </w:pPr>
            <w:r w:rsidRPr="001D41EA">
              <w:rPr>
                <w:rFonts w:cs="Arial"/>
                <w:sz w:val="18"/>
                <w:szCs w:val="18"/>
              </w:rPr>
              <w:t>3,022,372</w:t>
            </w:r>
          </w:p>
        </w:tc>
        <w:tc>
          <w:tcPr>
            <w:tcW w:w="1361" w:type="dxa"/>
            <w:tcBorders>
              <w:top w:val="nil"/>
              <w:left w:val="nil"/>
              <w:bottom w:val="nil"/>
              <w:right w:val="nil"/>
            </w:tcBorders>
            <w:vAlign w:val="bottom"/>
          </w:tcPr>
          <w:p w14:paraId="1C014869" w14:textId="0B0C1AFE" w:rsidR="00584325" w:rsidRPr="001D41EA" w:rsidRDefault="00584325" w:rsidP="001D41EA">
            <w:pPr>
              <w:spacing w:before="40" w:after="40"/>
              <w:jc w:val="right"/>
              <w:rPr>
                <w:rFonts w:cs="Arial"/>
                <w:sz w:val="18"/>
                <w:szCs w:val="18"/>
              </w:rPr>
            </w:pPr>
            <w:r w:rsidRPr="001D41EA">
              <w:rPr>
                <w:rFonts w:cs="Arial"/>
                <w:sz w:val="18"/>
                <w:szCs w:val="18"/>
              </w:rPr>
              <w:t>12,039,533</w:t>
            </w:r>
          </w:p>
        </w:tc>
        <w:tc>
          <w:tcPr>
            <w:tcW w:w="1361" w:type="dxa"/>
            <w:tcBorders>
              <w:top w:val="nil"/>
              <w:left w:val="nil"/>
              <w:bottom w:val="nil"/>
              <w:right w:val="nil"/>
            </w:tcBorders>
            <w:shd w:val="clear" w:color="auto" w:fill="auto"/>
            <w:noWrap/>
            <w:vAlign w:val="bottom"/>
          </w:tcPr>
          <w:p w14:paraId="78439B83" w14:textId="6A7443E9" w:rsidR="00584325" w:rsidRPr="001D41EA" w:rsidRDefault="00584325" w:rsidP="001D41EA">
            <w:pPr>
              <w:spacing w:before="40" w:after="40"/>
              <w:jc w:val="right"/>
              <w:rPr>
                <w:rFonts w:cs="Arial"/>
                <w:b/>
                <w:sz w:val="18"/>
                <w:szCs w:val="18"/>
              </w:rPr>
            </w:pPr>
            <w:r w:rsidRPr="001D41EA">
              <w:rPr>
                <w:rFonts w:cs="Arial"/>
                <w:b/>
                <w:sz w:val="18"/>
                <w:szCs w:val="18"/>
              </w:rPr>
              <w:t>31,325,787</w:t>
            </w:r>
          </w:p>
        </w:tc>
      </w:tr>
      <w:tr w:rsidR="00584325" w:rsidRPr="001D41EA" w14:paraId="78CD551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AC57E2D" w14:textId="77777777" w:rsidR="00584325" w:rsidRPr="001D41EA" w:rsidRDefault="00584325" w:rsidP="001D41EA">
            <w:pPr>
              <w:spacing w:before="40" w:after="40"/>
              <w:rPr>
                <w:rFonts w:cs="Arial"/>
                <w:sz w:val="18"/>
                <w:szCs w:val="18"/>
              </w:rPr>
            </w:pPr>
            <w:r w:rsidRPr="001D41EA">
              <w:rPr>
                <w:rFonts w:cs="Arial"/>
                <w:sz w:val="18"/>
                <w:szCs w:val="18"/>
              </w:rPr>
              <w:t>Kingston C</w:t>
            </w:r>
          </w:p>
        </w:tc>
        <w:tc>
          <w:tcPr>
            <w:tcW w:w="1361" w:type="dxa"/>
            <w:tcBorders>
              <w:top w:val="nil"/>
              <w:left w:val="single" w:sz="18" w:space="0" w:color="5F497A" w:themeColor="accent4" w:themeShade="BF"/>
              <w:bottom w:val="nil"/>
              <w:right w:val="nil"/>
            </w:tcBorders>
            <w:shd w:val="clear" w:color="auto" w:fill="auto"/>
            <w:noWrap/>
            <w:vAlign w:val="bottom"/>
          </w:tcPr>
          <w:p w14:paraId="158673FE" w14:textId="095E1FFC" w:rsidR="00584325" w:rsidRPr="001D41EA" w:rsidRDefault="00584325" w:rsidP="001D41EA">
            <w:pPr>
              <w:spacing w:before="40" w:after="40"/>
              <w:jc w:val="right"/>
              <w:rPr>
                <w:rFonts w:cs="Arial"/>
                <w:sz w:val="18"/>
                <w:szCs w:val="18"/>
              </w:rPr>
            </w:pPr>
            <w:r w:rsidRPr="001D41EA">
              <w:rPr>
                <w:rFonts w:cs="Arial"/>
                <w:sz w:val="18"/>
                <w:szCs w:val="18"/>
              </w:rPr>
              <w:t>20,298,892</w:t>
            </w:r>
          </w:p>
        </w:tc>
        <w:tc>
          <w:tcPr>
            <w:tcW w:w="1361" w:type="dxa"/>
            <w:tcBorders>
              <w:top w:val="nil"/>
              <w:left w:val="nil"/>
              <w:bottom w:val="nil"/>
              <w:right w:val="nil"/>
            </w:tcBorders>
            <w:shd w:val="clear" w:color="auto" w:fill="auto"/>
            <w:noWrap/>
            <w:vAlign w:val="bottom"/>
          </w:tcPr>
          <w:p w14:paraId="621CA379" w14:textId="7AFDADF5" w:rsidR="00584325" w:rsidRPr="001D41EA" w:rsidRDefault="00584325" w:rsidP="001D41EA">
            <w:pPr>
              <w:spacing w:before="40" w:after="40"/>
              <w:jc w:val="right"/>
              <w:rPr>
                <w:rFonts w:cs="Arial"/>
                <w:sz w:val="18"/>
                <w:szCs w:val="18"/>
              </w:rPr>
            </w:pPr>
            <w:r w:rsidRPr="001D41EA">
              <w:rPr>
                <w:rFonts w:cs="Arial"/>
                <w:sz w:val="18"/>
                <w:szCs w:val="18"/>
              </w:rPr>
              <w:t>9,962,205</w:t>
            </w:r>
          </w:p>
        </w:tc>
        <w:tc>
          <w:tcPr>
            <w:tcW w:w="1361" w:type="dxa"/>
            <w:tcBorders>
              <w:top w:val="nil"/>
              <w:left w:val="nil"/>
              <w:bottom w:val="nil"/>
              <w:right w:val="nil"/>
            </w:tcBorders>
            <w:shd w:val="clear" w:color="auto" w:fill="auto"/>
            <w:noWrap/>
            <w:vAlign w:val="bottom"/>
          </w:tcPr>
          <w:p w14:paraId="7FB84EBE" w14:textId="71077EAC" w:rsidR="00584325" w:rsidRPr="001D41EA" w:rsidRDefault="00584325" w:rsidP="001D41EA">
            <w:pPr>
              <w:spacing w:before="40" w:after="40"/>
              <w:jc w:val="right"/>
              <w:rPr>
                <w:rFonts w:cs="Arial"/>
                <w:sz w:val="18"/>
                <w:szCs w:val="18"/>
              </w:rPr>
            </w:pPr>
            <w:r w:rsidRPr="001D41EA">
              <w:rPr>
                <w:rFonts w:cs="Arial"/>
                <w:sz w:val="18"/>
                <w:szCs w:val="18"/>
              </w:rPr>
              <w:t>25,828,748</w:t>
            </w:r>
          </w:p>
        </w:tc>
        <w:tc>
          <w:tcPr>
            <w:tcW w:w="1361" w:type="dxa"/>
            <w:tcBorders>
              <w:top w:val="nil"/>
              <w:left w:val="nil"/>
              <w:bottom w:val="nil"/>
              <w:right w:val="nil"/>
            </w:tcBorders>
            <w:vAlign w:val="bottom"/>
          </w:tcPr>
          <w:p w14:paraId="5CB1BD8B" w14:textId="47937143" w:rsidR="00584325" w:rsidRPr="001D41EA" w:rsidRDefault="00584325" w:rsidP="001D41EA">
            <w:pPr>
              <w:spacing w:before="40" w:after="40"/>
              <w:jc w:val="right"/>
              <w:rPr>
                <w:rFonts w:cs="Arial"/>
                <w:sz w:val="18"/>
                <w:szCs w:val="18"/>
              </w:rPr>
            </w:pPr>
            <w:r w:rsidRPr="001D41EA">
              <w:rPr>
                <w:rFonts w:cs="Arial"/>
                <w:sz w:val="18"/>
                <w:szCs w:val="18"/>
              </w:rPr>
              <w:t>7,718,780</w:t>
            </w:r>
          </w:p>
        </w:tc>
        <w:tc>
          <w:tcPr>
            <w:tcW w:w="1361" w:type="dxa"/>
            <w:tcBorders>
              <w:top w:val="nil"/>
              <w:left w:val="nil"/>
              <w:bottom w:val="nil"/>
              <w:right w:val="nil"/>
            </w:tcBorders>
            <w:shd w:val="clear" w:color="auto" w:fill="auto"/>
            <w:noWrap/>
            <w:vAlign w:val="bottom"/>
          </w:tcPr>
          <w:p w14:paraId="29C15457" w14:textId="7E6CFD04" w:rsidR="00584325" w:rsidRPr="001D41EA" w:rsidRDefault="00584325" w:rsidP="001D41EA">
            <w:pPr>
              <w:spacing w:before="40" w:after="40"/>
              <w:jc w:val="right"/>
              <w:rPr>
                <w:rFonts w:cs="Arial"/>
                <w:b/>
                <w:sz w:val="18"/>
                <w:szCs w:val="18"/>
              </w:rPr>
            </w:pPr>
            <w:r w:rsidRPr="001D41EA">
              <w:rPr>
                <w:rFonts w:cs="Arial"/>
                <w:b/>
                <w:sz w:val="18"/>
                <w:szCs w:val="18"/>
              </w:rPr>
              <w:t>160,967,606</w:t>
            </w:r>
          </w:p>
        </w:tc>
      </w:tr>
      <w:tr w:rsidR="00584325" w:rsidRPr="001D41EA" w14:paraId="19BC740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84611C5" w14:textId="77777777" w:rsidR="00584325" w:rsidRPr="001D41EA" w:rsidRDefault="00584325" w:rsidP="001D41EA">
            <w:pPr>
              <w:spacing w:before="40" w:after="40"/>
              <w:rPr>
                <w:rFonts w:cs="Arial"/>
                <w:sz w:val="18"/>
                <w:szCs w:val="18"/>
              </w:rPr>
            </w:pPr>
            <w:r w:rsidRPr="001D41EA">
              <w:rPr>
                <w:rFonts w:cs="Arial"/>
                <w:sz w:val="18"/>
                <w:szCs w:val="18"/>
              </w:rPr>
              <w:t>Knox C</w:t>
            </w:r>
          </w:p>
        </w:tc>
        <w:tc>
          <w:tcPr>
            <w:tcW w:w="1361" w:type="dxa"/>
            <w:tcBorders>
              <w:top w:val="nil"/>
              <w:left w:val="single" w:sz="18" w:space="0" w:color="5F497A" w:themeColor="accent4" w:themeShade="BF"/>
              <w:bottom w:val="nil"/>
              <w:right w:val="nil"/>
            </w:tcBorders>
            <w:shd w:val="clear" w:color="auto" w:fill="auto"/>
            <w:noWrap/>
            <w:vAlign w:val="bottom"/>
          </w:tcPr>
          <w:p w14:paraId="3324983F" w14:textId="36336EF3" w:rsidR="00584325" w:rsidRPr="001D41EA" w:rsidRDefault="00584325" w:rsidP="001D41EA">
            <w:pPr>
              <w:spacing w:before="40" w:after="40"/>
              <w:jc w:val="right"/>
              <w:rPr>
                <w:rFonts w:cs="Arial"/>
                <w:sz w:val="18"/>
                <w:szCs w:val="18"/>
              </w:rPr>
            </w:pPr>
            <w:r w:rsidRPr="001D41EA">
              <w:rPr>
                <w:rFonts w:cs="Arial"/>
                <w:sz w:val="18"/>
                <w:szCs w:val="18"/>
              </w:rPr>
              <w:t>19,636,299</w:t>
            </w:r>
          </w:p>
        </w:tc>
        <w:tc>
          <w:tcPr>
            <w:tcW w:w="1361" w:type="dxa"/>
            <w:tcBorders>
              <w:top w:val="nil"/>
              <w:left w:val="nil"/>
              <w:bottom w:val="nil"/>
              <w:right w:val="nil"/>
            </w:tcBorders>
            <w:shd w:val="clear" w:color="auto" w:fill="auto"/>
            <w:noWrap/>
            <w:vAlign w:val="bottom"/>
          </w:tcPr>
          <w:p w14:paraId="1DF16F19" w14:textId="6E343AB7" w:rsidR="00584325" w:rsidRPr="001D41EA" w:rsidRDefault="00584325" w:rsidP="001D41EA">
            <w:pPr>
              <w:spacing w:before="40" w:after="40"/>
              <w:jc w:val="right"/>
              <w:rPr>
                <w:rFonts w:cs="Arial"/>
                <w:sz w:val="18"/>
                <w:szCs w:val="18"/>
              </w:rPr>
            </w:pPr>
            <w:r w:rsidRPr="001D41EA">
              <w:rPr>
                <w:rFonts w:cs="Arial"/>
                <w:sz w:val="18"/>
                <w:szCs w:val="18"/>
              </w:rPr>
              <w:t>9,968,767</w:t>
            </w:r>
          </w:p>
        </w:tc>
        <w:tc>
          <w:tcPr>
            <w:tcW w:w="1361" w:type="dxa"/>
            <w:tcBorders>
              <w:top w:val="nil"/>
              <w:left w:val="nil"/>
              <w:bottom w:val="nil"/>
              <w:right w:val="nil"/>
            </w:tcBorders>
            <w:shd w:val="clear" w:color="auto" w:fill="auto"/>
            <w:noWrap/>
            <w:vAlign w:val="bottom"/>
          </w:tcPr>
          <w:p w14:paraId="523FCD20" w14:textId="64BD6189" w:rsidR="00584325" w:rsidRPr="001D41EA" w:rsidRDefault="00584325" w:rsidP="001D41EA">
            <w:pPr>
              <w:spacing w:before="40" w:after="40"/>
              <w:jc w:val="right"/>
              <w:rPr>
                <w:rFonts w:cs="Arial"/>
                <w:sz w:val="18"/>
                <w:szCs w:val="18"/>
              </w:rPr>
            </w:pPr>
            <w:r w:rsidRPr="001D41EA">
              <w:rPr>
                <w:rFonts w:cs="Arial"/>
                <w:sz w:val="18"/>
                <w:szCs w:val="18"/>
              </w:rPr>
              <w:t>25,335,445</w:t>
            </w:r>
          </w:p>
        </w:tc>
        <w:tc>
          <w:tcPr>
            <w:tcW w:w="1361" w:type="dxa"/>
            <w:tcBorders>
              <w:top w:val="nil"/>
              <w:left w:val="nil"/>
              <w:bottom w:val="nil"/>
              <w:right w:val="nil"/>
            </w:tcBorders>
            <w:vAlign w:val="bottom"/>
          </w:tcPr>
          <w:p w14:paraId="74AD238E" w14:textId="5053A3B4" w:rsidR="00584325" w:rsidRPr="001D41EA" w:rsidRDefault="00584325" w:rsidP="001D41EA">
            <w:pPr>
              <w:spacing w:before="40" w:after="40"/>
              <w:jc w:val="right"/>
              <w:rPr>
                <w:rFonts w:cs="Arial"/>
                <w:sz w:val="18"/>
                <w:szCs w:val="18"/>
              </w:rPr>
            </w:pPr>
            <w:r w:rsidRPr="001D41EA">
              <w:rPr>
                <w:rFonts w:cs="Arial"/>
                <w:sz w:val="18"/>
                <w:szCs w:val="18"/>
              </w:rPr>
              <w:t>8,210,353</w:t>
            </w:r>
          </w:p>
        </w:tc>
        <w:tc>
          <w:tcPr>
            <w:tcW w:w="1361" w:type="dxa"/>
            <w:tcBorders>
              <w:top w:val="nil"/>
              <w:left w:val="nil"/>
              <w:bottom w:val="nil"/>
              <w:right w:val="nil"/>
            </w:tcBorders>
            <w:shd w:val="clear" w:color="auto" w:fill="auto"/>
            <w:noWrap/>
            <w:vAlign w:val="bottom"/>
          </w:tcPr>
          <w:p w14:paraId="313A041C" w14:textId="33BC0F8D" w:rsidR="00584325" w:rsidRPr="001D41EA" w:rsidRDefault="00584325" w:rsidP="001D41EA">
            <w:pPr>
              <w:spacing w:before="40" w:after="40"/>
              <w:jc w:val="right"/>
              <w:rPr>
                <w:rFonts w:cs="Arial"/>
                <w:b/>
                <w:sz w:val="18"/>
                <w:szCs w:val="18"/>
              </w:rPr>
            </w:pPr>
            <w:r w:rsidRPr="001D41EA">
              <w:rPr>
                <w:rFonts w:cs="Arial"/>
                <w:b/>
                <w:sz w:val="18"/>
                <w:szCs w:val="18"/>
              </w:rPr>
              <w:t>156,470,040</w:t>
            </w:r>
          </w:p>
        </w:tc>
      </w:tr>
      <w:tr w:rsidR="00584325" w:rsidRPr="001D41EA" w14:paraId="3B3C5E5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DBBD974" w14:textId="77777777" w:rsidR="00584325" w:rsidRPr="001D41EA" w:rsidRDefault="00584325" w:rsidP="001D41EA">
            <w:pPr>
              <w:spacing w:before="40" w:after="40"/>
              <w:rPr>
                <w:rFonts w:cs="Arial"/>
                <w:sz w:val="18"/>
                <w:szCs w:val="18"/>
              </w:rPr>
            </w:pPr>
            <w:r w:rsidRPr="001D41EA">
              <w:rPr>
                <w:rFonts w:cs="Arial"/>
                <w:sz w:val="18"/>
                <w:szCs w:val="18"/>
              </w:rPr>
              <w:t>Latrobe C</w:t>
            </w:r>
          </w:p>
        </w:tc>
        <w:tc>
          <w:tcPr>
            <w:tcW w:w="1361" w:type="dxa"/>
            <w:tcBorders>
              <w:top w:val="nil"/>
              <w:left w:val="single" w:sz="18" w:space="0" w:color="5F497A" w:themeColor="accent4" w:themeShade="BF"/>
              <w:bottom w:val="nil"/>
              <w:right w:val="nil"/>
            </w:tcBorders>
            <w:shd w:val="clear" w:color="auto" w:fill="auto"/>
            <w:noWrap/>
            <w:vAlign w:val="bottom"/>
          </w:tcPr>
          <w:p w14:paraId="5A9217B9" w14:textId="50AD61EC" w:rsidR="00584325" w:rsidRPr="001D41EA" w:rsidRDefault="00584325" w:rsidP="001D41EA">
            <w:pPr>
              <w:spacing w:before="40" w:after="40"/>
              <w:jc w:val="right"/>
              <w:rPr>
                <w:rFonts w:cs="Arial"/>
                <w:sz w:val="18"/>
                <w:szCs w:val="18"/>
              </w:rPr>
            </w:pPr>
            <w:r w:rsidRPr="001D41EA">
              <w:rPr>
                <w:rFonts w:cs="Arial"/>
                <w:sz w:val="18"/>
                <w:szCs w:val="18"/>
              </w:rPr>
              <w:t>10,960,999</w:t>
            </w:r>
          </w:p>
        </w:tc>
        <w:tc>
          <w:tcPr>
            <w:tcW w:w="1361" w:type="dxa"/>
            <w:tcBorders>
              <w:top w:val="nil"/>
              <w:left w:val="nil"/>
              <w:bottom w:val="nil"/>
              <w:right w:val="nil"/>
            </w:tcBorders>
            <w:shd w:val="clear" w:color="auto" w:fill="auto"/>
            <w:noWrap/>
            <w:vAlign w:val="bottom"/>
          </w:tcPr>
          <w:p w14:paraId="31A4F34B" w14:textId="26928270" w:rsidR="00584325" w:rsidRPr="001D41EA" w:rsidRDefault="00584325" w:rsidP="001D41EA">
            <w:pPr>
              <w:spacing w:before="40" w:after="40"/>
              <w:jc w:val="right"/>
              <w:rPr>
                <w:rFonts w:cs="Arial"/>
                <w:sz w:val="18"/>
                <w:szCs w:val="18"/>
              </w:rPr>
            </w:pPr>
            <w:r w:rsidRPr="001D41EA">
              <w:rPr>
                <w:rFonts w:cs="Arial"/>
                <w:sz w:val="18"/>
                <w:szCs w:val="18"/>
              </w:rPr>
              <w:t>5,402,682</w:t>
            </w:r>
          </w:p>
        </w:tc>
        <w:tc>
          <w:tcPr>
            <w:tcW w:w="1361" w:type="dxa"/>
            <w:tcBorders>
              <w:top w:val="nil"/>
              <w:left w:val="nil"/>
              <w:bottom w:val="nil"/>
              <w:right w:val="nil"/>
            </w:tcBorders>
            <w:shd w:val="clear" w:color="auto" w:fill="auto"/>
            <w:noWrap/>
            <w:vAlign w:val="bottom"/>
          </w:tcPr>
          <w:p w14:paraId="20164AFB" w14:textId="5DA2C526" w:rsidR="00584325" w:rsidRPr="001D41EA" w:rsidRDefault="00584325" w:rsidP="001D41EA">
            <w:pPr>
              <w:spacing w:before="40" w:after="40"/>
              <w:jc w:val="right"/>
              <w:rPr>
                <w:rFonts w:cs="Arial"/>
                <w:sz w:val="18"/>
                <w:szCs w:val="18"/>
              </w:rPr>
            </w:pPr>
            <w:r w:rsidRPr="001D41EA">
              <w:rPr>
                <w:rFonts w:cs="Arial"/>
                <w:sz w:val="18"/>
                <w:szCs w:val="18"/>
              </w:rPr>
              <w:t>14,663,740</w:t>
            </w:r>
          </w:p>
        </w:tc>
        <w:tc>
          <w:tcPr>
            <w:tcW w:w="1361" w:type="dxa"/>
            <w:tcBorders>
              <w:top w:val="nil"/>
              <w:left w:val="nil"/>
              <w:bottom w:val="nil"/>
              <w:right w:val="nil"/>
            </w:tcBorders>
            <w:vAlign w:val="bottom"/>
          </w:tcPr>
          <w:p w14:paraId="124744A5" w14:textId="48722110" w:rsidR="00584325" w:rsidRPr="001D41EA" w:rsidRDefault="00584325" w:rsidP="001D41EA">
            <w:pPr>
              <w:spacing w:before="40" w:after="40"/>
              <w:jc w:val="right"/>
              <w:rPr>
                <w:rFonts w:cs="Arial"/>
                <w:sz w:val="18"/>
                <w:szCs w:val="18"/>
              </w:rPr>
            </w:pPr>
            <w:r w:rsidRPr="001D41EA">
              <w:rPr>
                <w:rFonts w:cs="Arial"/>
                <w:sz w:val="18"/>
                <w:szCs w:val="18"/>
              </w:rPr>
              <w:t>19,069,585</w:t>
            </w:r>
          </w:p>
        </w:tc>
        <w:tc>
          <w:tcPr>
            <w:tcW w:w="1361" w:type="dxa"/>
            <w:tcBorders>
              <w:top w:val="nil"/>
              <w:left w:val="nil"/>
              <w:bottom w:val="nil"/>
              <w:right w:val="nil"/>
            </w:tcBorders>
            <w:shd w:val="clear" w:color="auto" w:fill="auto"/>
            <w:noWrap/>
            <w:vAlign w:val="bottom"/>
          </w:tcPr>
          <w:p w14:paraId="53213007" w14:textId="5D6B4FFB" w:rsidR="00584325" w:rsidRPr="001D41EA" w:rsidRDefault="00584325" w:rsidP="001D41EA">
            <w:pPr>
              <w:spacing w:before="40" w:after="40"/>
              <w:jc w:val="right"/>
              <w:rPr>
                <w:rFonts w:cs="Arial"/>
                <w:b/>
                <w:sz w:val="18"/>
                <w:szCs w:val="18"/>
              </w:rPr>
            </w:pPr>
            <w:r w:rsidRPr="001D41EA">
              <w:rPr>
                <w:rFonts w:cs="Arial"/>
                <w:b/>
                <w:sz w:val="18"/>
                <w:szCs w:val="18"/>
              </w:rPr>
              <w:t>108,441,111</w:t>
            </w:r>
          </w:p>
        </w:tc>
      </w:tr>
      <w:tr w:rsidR="00584325" w:rsidRPr="001D41EA" w14:paraId="4C091B4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5FB7191" w14:textId="77777777" w:rsidR="00584325" w:rsidRPr="001D41EA" w:rsidRDefault="00584325" w:rsidP="001D41EA">
            <w:pPr>
              <w:spacing w:before="40" w:after="40"/>
              <w:rPr>
                <w:rFonts w:cs="Arial"/>
                <w:sz w:val="18"/>
                <w:szCs w:val="18"/>
              </w:rPr>
            </w:pPr>
            <w:r w:rsidRPr="001D41EA">
              <w:rPr>
                <w:rFonts w:cs="Arial"/>
                <w:sz w:val="18"/>
                <w:szCs w:val="18"/>
              </w:rPr>
              <w:t>Loddon S</w:t>
            </w:r>
          </w:p>
        </w:tc>
        <w:tc>
          <w:tcPr>
            <w:tcW w:w="1361" w:type="dxa"/>
            <w:tcBorders>
              <w:top w:val="nil"/>
              <w:left w:val="single" w:sz="18" w:space="0" w:color="5F497A" w:themeColor="accent4" w:themeShade="BF"/>
              <w:bottom w:val="nil"/>
              <w:right w:val="nil"/>
            </w:tcBorders>
            <w:shd w:val="clear" w:color="auto" w:fill="auto"/>
            <w:noWrap/>
            <w:vAlign w:val="bottom"/>
          </w:tcPr>
          <w:p w14:paraId="6A40923A" w14:textId="78E842F8" w:rsidR="00584325" w:rsidRPr="001D41EA" w:rsidRDefault="00584325" w:rsidP="001D41EA">
            <w:pPr>
              <w:spacing w:before="40" w:after="40"/>
              <w:jc w:val="right"/>
              <w:rPr>
                <w:rFonts w:cs="Arial"/>
                <w:sz w:val="18"/>
                <w:szCs w:val="18"/>
              </w:rPr>
            </w:pPr>
            <w:r w:rsidRPr="001D41EA">
              <w:rPr>
                <w:rFonts w:cs="Arial"/>
                <w:sz w:val="18"/>
                <w:szCs w:val="18"/>
              </w:rPr>
              <w:t>1,033,257</w:t>
            </w:r>
          </w:p>
        </w:tc>
        <w:tc>
          <w:tcPr>
            <w:tcW w:w="1361" w:type="dxa"/>
            <w:tcBorders>
              <w:top w:val="nil"/>
              <w:left w:val="nil"/>
              <w:bottom w:val="nil"/>
              <w:right w:val="nil"/>
            </w:tcBorders>
            <w:shd w:val="clear" w:color="auto" w:fill="auto"/>
            <w:noWrap/>
            <w:vAlign w:val="bottom"/>
          </w:tcPr>
          <w:p w14:paraId="4A36B102" w14:textId="015E2ECA" w:rsidR="00584325" w:rsidRPr="001D41EA" w:rsidRDefault="00584325" w:rsidP="001D41EA">
            <w:pPr>
              <w:spacing w:before="40" w:after="40"/>
              <w:jc w:val="right"/>
              <w:rPr>
                <w:rFonts w:cs="Arial"/>
                <w:sz w:val="18"/>
                <w:szCs w:val="18"/>
              </w:rPr>
            </w:pPr>
            <w:r w:rsidRPr="001D41EA">
              <w:rPr>
                <w:rFonts w:cs="Arial"/>
                <w:sz w:val="18"/>
                <w:szCs w:val="18"/>
              </w:rPr>
              <w:t>1,436,045</w:t>
            </w:r>
          </w:p>
        </w:tc>
        <w:tc>
          <w:tcPr>
            <w:tcW w:w="1361" w:type="dxa"/>
            <w:tcBorders>
              <w:top w:val="nil"/>
              <w:left w:val="nil"/>
              <w:bottom w:val="nil"/>
              <w:right w:val="nil"/>
            </w:tcBorders>
            <w:shd w:val="clear" w:color="auto" w:fill="auto"/>
            <w:noWrap/>
            <w:vAlign w:val="bottom"/>
          </w:tcPr>
          <w:p w14:paraId="2F316FD2" w14:textId="1535B741" w:rsidR="00584325" w:rsidRPr="001D41EA" w:rsidRDefault="00584325" w:rsidP="001D41EA">
            <w:pPr>
              <w:spacing w:before="40" w:after="40"/>
              <w:jc w:val="right"/>
              <w:rPr>
                <w:rFonts w:cs="Arial"/>
                <w:sz w:val="18"/>
                <w:szCs w:val="18"/>
              </w:rPr>
            </w:pPr>
            <w:r w:rsidRPr="001D41EA">
              <w:rPr>
                <w:rFonts w:cs="Arial"/>
                <w:sz w:val="18"/>
                <w:szCs w:val="18"/>
              </w:rPr>
              <w:t>2,827,838</w:t>
            </w:r>
          </w:p>
        </w:tc>
        <w:tc>
          <w:tcPr>
            <w:tcW w:w="1361" w:type="dxa"/>
            <w:tcBorders>
              <w:top w:val="nil"/>
              <w:left w:val="nil"/>
              <w:bottom w:val="nil"/>
              <w:right w:val="nil"/>
            </w:tcBorders>
            <w:vAlign w:val="bottom"/>
          </w:tcPr>
          <w:p w14:paraId="169B99D1" w14:textId="48C3F11C" w:rsidR="00584325" w:rsidRPr="001D41EA" w:rsidRDefault="00584325" w:rsidP="001D41EA">
            <w:pPr>
              <w:spacing w:before="40" w:after="40"/>
              <w:jc w:val="right"/>
              <w:rPr>
                <w:rFonts w:cs="Arial"/>
                <w:sz w:val="18"/>
                <w:szCs w:val="18"/>
              </w:rPr>
            </w:pPr>
            <w:r w:rsidRPr="001D41EA">
              <w:rPr>
                <w:rFonts w:cs="Arial"/>
                <w:sz w:val="18"/>
                <w:szCs w:val="18"/>
              </w:rPr>
              <w:t>26,734,665</w:t>
            </w:r>
          </w:p>
        </w:tc>
        <w:tc>
          <w:tcPr>
            <w:tcW w:w="1361" w:type="dxa"/>
            <w:tcBorders>
              <w:top w:val="nil"/>
              <w:left w:val="nil"/>
              <w:bottom w:val="nil"/>
              <w:right w:val="nil"/>
            </w:tcBorders>
            <w:shd w:val="clear" w:color="auto" w:fill="auto"/>
            <w:noWrap/>
            <w:vAlign w:val="bottom"/>
          </w:tcPr>
          <w:p w14:paraId="6A68A830" w14:textId="2005A2DE" w:rsidR="00584325" w:rsidRPr="001D41EA" w:rsidRDefault="00584325" w:rsidP="001D41EA">
            <w:pPr>
              <w:spacing w:before="40" w:after="40"/>
              <w:jc w:val="right"/>
              <w:rPr>
                <w:rFonts w:cs="Arial"/>
                <w:b/>
                <w:sz w:val="18"/>
                <w:szCs w:val="18"/>
              </w:rPr>
            </w:pPr>
            <w:r w:rsidRPr="001D41EA">
              <w:rPr>
                <w:rFonts w:cs="Arial"/>
                <w:b/>
                <w:sz w:val="18"/>
                <w:szCs w:val="18"/>
              </w:rPr>
              <w:t>39,656,380</w:t>
            </w:r>
          </w:p>
        </w:tc>
      </w:tr>
    </w:tbl>
    <w:p w14:paraId="1468EEA1" w14:textId="77777777" w:rsidR="00EB2E62" w:rsidRPr="00A44829" w:rsidRDefault="00EB2E62" w:rsidP="00FF36E8">
      <w:pPr>
        <w:spacing w:before="40" w:after="20"/>
        <w:rPr>
          <w:rFonts w:cs="Arial"/>
          <w:sz w:val="18"/>
          <w:szCs w:val="18"/>
        </w:rPr>
      </w:pPr>
    </w:p>
    <w:p w14:paraId="18975CEC" w14:textId="77777777" w:rsidR="00185DCF" w:rsidRPr="00A44829" w:rsidRDefault="00F04ADE" w:rsidP="00FF36E8">
      <w:pPr>
        <w:spacing w:before="40" w:after="20"/>
        <w:rPr>
          <w:rFonts w:cs="Arial"/>
          <w:sz w:val="18"/>
          <w:szCs w:val="18"/>
        </w:rPr>
      </w:pPr>
      <w:r w:rsidRPr="00A44829">
        <w:rPr>
          <w:rFonts w:cs="Arial"/>
          <w:sz w:val="18"/>
          <w:szCs w:val="18"/>
        </w:rPr>
        <w:br w:type="page"/>
      </w:r>
    </w:p>
    <w:p w14:paraId="01D499B0" w14:textId="7690639E" w:rsidR="00185DCF" w:rsidRPr="00A44829" w:rsidRDefault="00CE4507" w:rsidP="00C33713">
      <w:pPr>
        <w:pStyle w:val="VGC-Head10"/>
      </w:pPr>
      <w:r w:rsidRPr="00A44829">
        <w:lastRenderedPageBreak/>
        <w:t>Appendix 4</w:t>
      </w:r>
      <w:r w:rsidR="00F04ADE" w:rsidRPr="00A44829">
        <w:tab/>
      </w:r>
      <w:r w:rsidR="00EE4593" w:rsidRPr="00A44829">
        <w:t>2019-20</w:t>
      </w:r>
      <w:r w:rsidR="00A97ABE" w:rsidRPr="00A44829">
        <w:t xml:space="preserve"> </w:t>
      </w:r>
      <w:r w:rsidR="00F04ADE" w:rsidRPr="00A44829">
        <w:t>G</w:t>
      </w:r>
      <w:r w:rsidR="00185DCF" w:rsidRPr="00A44829">
        <w:t xml:space="preserve">eneral Purpose Grants </w:t>
      </w:r>
    </w:p>
    <w:p w14:paraId="5418A125" w14:textId="77777777" w:rsidR="00185DCF" w:rsidRPr="00A44829" w:rsidRDefault="00185DCF" w:rsidP="008C1A28">
      <w:pPr>
        <w:pStyle w:val="VGC-Head2"/>
      </w:pPr>
      <w:r w:rsidRPr="00A44829">
        <w:t>F.  Standardised Expenditure</w:t>
      </w:r>
    </w:p>
    <w:p w14:paraId="4FEAE8BA" w14:textId="77777777" w:rsidR="00D52C89" w:rsidRPr="00A44829" w:rsidRDefault="00D52C8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A44829" w14:paraId="21F7D4E2" w14:textId="77777777" w:rsidTr="00B44BBE">
        <w:trPr>
          <w:tblHeader/>
        </w:trPr>
        <w:tc>
          <w:tcPr>
            <w:tcW w:w="2268" w:type="dxa"/>
            <w:tcBorders>
              <w:top w:val="nil"/>
              <w:left w:val="nil"/>
              <w:right w:val="single" w:sz="18" w:space="0" w:color="5F497A" w:themeColor="accent4" w:themeShade="BF"/>
            </w:tcBorders>
            <w:shd w:val="clear" w:color="auto" w:fill="auto"/>
            <w:vAlign w:val="bottom"/>
          </w:tcPr>
          <w:p w14:paraId="01EF01B7" w14:textId="77777777" w:rsidR="00CA4C9C" w:rsidRPr="00A44829" w:rsidRDefault="00CA4C9C" w:rsidP="008001AD">
            <w:pPr>
              <w:spacing w:before="40" w:after="20"/>
              <w:jc w:val="center"/>
              <w:rPr>
                <w:rFonts w:cs="Arial"/>
                <w:sz w:val="18"/>
                <w:szCs w:val="18"/>
              </w:rPr>
            </w:pPr>
          </w:p>
        </w:tc>
        <w:tc>
          <w:tcPr>
            <w:tcW w:w="6805" w:type="dxa"/>
            <w:gridSpan w:val="5"/>
            <w:tcBorders>
              <w:left w:val="single" w:sz="18" w:space="0" w:color="5F497A" w:themeColor="accent4" w:themeShade="BF"/>
              <w:bottom w:val="single" w:sz="8" w:space="0" w:color="5F497A" w:themeColor="accent4" w:themeShade="BF"/>
              <w:right w:val="nil"/>
            </w:tcBorders>
            <w:shd w:val="clear" w:color="auto" w:fill="auto"/>
            <w:vAlign w:val="bottom"/>
          </w:tcPr>
          <w:p w14:paraId="49216A4D" w14:textId="77777777" w:rsidR="00CA4C9C" w:rsidRPr="00A44829" w:rsidRDefault="00CA4C9C" w:rsidP="008001AD">
            <w:pPr>
              <w:spacing w:before="40" w:after="20"/>
              <w:jc w:val="center"/>
              <w:rPr>
                <w:rFonts w:cs="Arial"/>
                <w:b/>
                <w:sz w:val="18"/>
                <w:szCs w:val="18"/>
              </w:rPr>
            </w:pPr>
            <w:r w:rsidRPr="00A44829">
              <w:rPr>
                <w:rFonts w:cs="Arial"/>
                <w:b/>
                <w:sz w:val="18"/>
                <w:szCs w:val="18"/>
              </w:rPr>
              <w:t>Net Standardised Expenditure</w:t>
            </w:r>
          </w:p>
        </w:tc>
      </w:tr>
      <w:tr w:rsidR="00F57D43" w:rsidRPr="00A44829" w14:paraId="313CFE44" w14:textId="77777777" w:rsidTr="00B44BBE">
        <w:trPr>
          <w:tblHeader/>
        </w:trPr>
        <w:tc>
          <w:tcPr>
            <w:tcW w:w="2268" w:type="dxa"/>
            <w:tcBorders>
              <w:top w:val="nil"/>
              <w:left w:val="nil"/>
              <w:right w:val="single" w:sz="18" w:space="0" w:color="5F497A" w:themeColor="accent4" w:themeShade="BF"/>
            </w:tcBorders>
            <w:shd w:val="clear" w:color="auto" w:fill="auto"/>
            <w:vAlign w:val="bottom"/>
          </w:tcPr>
          <w:p w14:paraId="3BAEA277" w14:textId="77777777" w:rsidR="00F57D43" w:rsidRPr="00A44829" w:rsidRDefault="00F57D43" w:rsidP="008001AD">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359B8A32" w14:textId="77777777" w:rsidR="00F57D43" w:rsidRPr="00A44829" w:rsidRDefault="00F57D43" w:rsidP="008001AD">
            <w:pPr>
              <w:spacing w:before="40" w:after="20"/>
              <w:jc w:val="center"/>
              <w:rPr>
                <w:rFonts w:cs="Arial"/>
                <w:sz w:val="16"/>
                <w:szCs w:val="16"/>
              </w:rPr>
            </w:pPr>
            <w:r w:rsidRPr="00A44829">
              <w:rPr>
                <w:rFonts w:cs="Arial"/>
                <w:sz w:val="16"/>
                <w:szCs w:val="16"/>
              </w:rPr>
              <w:t>Governance</w:t>
            </w:r>
            <w:r w:rsidRPr="00A44829">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2B116746" w14:textId="77777777" w:rsidR="00F57D43" w:rsidRPr="00A44829" w:rsidRDefault="00F57D43" w:rsidP="008001AD">
            <w:pPr>
              <w:spacing w:before="40" w:after="20"/>
              <w:jc w:val="center"/>
              <w:rPr>
                <w:rFonts w:cs="Arial"/>
                <w:sz w:val="16"/>
                <w:szCs w:val="16"/>
              </w:rPr>
            </w:pPr>
            <w:r w:rsidRPr="00A44829">
              <w:rPr>
                <w:rFonts w:cs="Arial"/>
                <w:sz w:val="16"/>
                <w:szCs w:val="16"/>
              </w:rPr>
              <w:t xml:space="preserve">Family &amp; Community Services </w:t>
            </w:r>
            <w:r w:rsidRPr="00A44829">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5B3AA5E" w14:textId="77777777" w:rsidR="00F57D43" w:rsidRPr="00A44829" w:rsidRDefault="00F57D43" w:rsidP="008001AD">
            <w:pPr>
              <w:spacing w:before="40" w:after="20"/>
              <w:jc w:val="center"/>
              <w:rPr>
                <w:rFonts w:cs="Arial"/>
                <w:sz w:val="16"/>
                <w:szCs w:val="16"/>
              </w:rPr>
            </w:pPr>
            <w:r w:rsidRPr="00A44829">
              <w:rPr>
                <w:rFonts w:cs="Arial"/>
                <w:sz w:val="16"/>
                <w:szCs w:val="16"/>
              </w:rPr>
              <w:t xml:space="preserve">Aged </w:t>
            </w:r>
            <w:r w:rsidR="00286A84" w:rsidRPr="00A44829">
              <w:rPr>
                <w:rFonts w:cs="Arial"/>
                <w:sz w:val="16"/>
                <w:szCs w:val="16"/>
              </w:rPr>
              <w:t xml:space="preserve">&amp; </w:t>
            </w:r>
            <w:r w:rsidR="00327AC7" w:rsidRPr="00A44829">
              <w:rPr>
                <w:rFonts w:cs="Arial"/>
                <w:sz w:val="16"/>
                <w:szCs w:val="16"/>
              </w:rPr>
              <w:br/>
            </w:r>
            <w:r w:rsidR="00286A84" w:rsidRPr="00A44829">
              <w:rPr>
                <w:rFonts w:cs="Arial"/>
                <w:sz w:val="16"/>
                <w:szCs w:val="16"/>
              </w:rPr>
              <w:t xml:space="preserve">Disabled </w:t>
            </w:r>
            <w:r w:rsidRPr="00A44829">
              <w:rPr>
                <w:rFonts w:cs="Arial"/>
                <w:sz w:val="16"/>
                <w:szCs w:val="16"/>
              </w:rPr>
              <w:t>Services</w:t>
            </w:r>
            <w:r w:rsidRPr="00A44829">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vAlign w:val="bottom"/>
          </w:tcPr>
          <w:p w14:paraId="689BABFE" w14:textId="77777777" w:rsidR="00F57D43" w:rsidRPr="00A44829" w:rsidRDefault="00F57D43" w:rsidP="008001AD">
            <w:pPr>
              <w:spacing w:before="40" w:after="20"/>
              <w:jc w:val="center"/>
              <w:rPr>
                <w:rFonts w:cs="Arial"/>
                <w:sz w:val="16"/>
                <w:szCs w:val="16"/>
              </w:rPr>
            </w:pPr>
            <w:r w:rsidRPr="00A44829">
              <w:rPr>
                <w:rFonts w:cs="Arial"/>
                <w:sz w:val="16"/>
                <w:szCs w:val="16"/>
              </w:rPr>
              <w:t xml:space="preserve">Recreation </w:t>
            </w:r>
            <w:r w:rsidR="00327AC7" w:rsidRPr="00A44829">
              <w:rPr>
                <w:rFonts w:cs="Arial"/>
                <w:sz w:val="16"/>
                <w:szCs w:val="16"/>
              </w:rPr>
              <w:br/>
            </w:r>
            <w:r w:rsidRPr="00A44829">
              <w:rPr>
                <w:rFonts w:cs="Arial"/>
                <w:sz w:val="16"/>
                <w:szCs w:val="16"/>
              </w:rPr>
              <w:t xml:space="preserve">&amp; Culture </w:t>
            </w:r>
            <w:r w:rsidRPr="00A44829">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372212EE" w14:textId="77777777" w:rsidR="00F57D43" w:rsidRPr="00A44829" w:rsidRDefault="00F57D43" w:rsidP="008001AD">
            <w:pPr>
              <w:spacing w:before="40" w:after="20"/>
              <w:jc w:val="center"/>
              <w:rPr>
                <w:rFonts w:cs="Arial"/>
                <w:sz w:val="16"/>
                <w:szCs w:val="16"/>
              </w:rPr>
            </w:pPr>
            <w:r w:rsidRPr="00A44829">
              <w:rPr>
                <w:rFonts w:cs="Arial"/>
                <w:sz w:val="16"/>
                <w:szCs w:val="16"/>
              </w:rPr>
              <w:t xml:space="preserve">Waste Management </w:t>
            </w:r>
            <w:r w:rsidRPr="00A44829">
              <w:rPr>
                <w:rFonts w:cs="Arial"/>
                <w:sz w:val="16"/>
                <w:szCs w:val="16"/>
              </w:rPr>
              <w:br/>
              <w:t>($)</w:t>
            </w:r>
          </w:p>
        </w:tc>
      </w:tr>
      <w:tr w:rsidR="00584325" w:rsidRPr="001D41EA" w14:paraId="77C19AAD" w14:textId="77777777" w:rsidTr="00B44BBE">
        <w:trPr>
          <w:tblHeader/>
        </w:trPr>
        <w:tc>
          <w:tcPr>
            <w:tcW w:w="2268" w:type="dxa"/>
            <w:tcBorders>
              <w:left w:val="nil"/>
              <w:bottom w:val="nil"/>
              <w:right w:val="single" w:sz="18" w:space="0" w:color="5F497A" w:themeColor="accent4" w:themeShade="BF"/>
            </w:tcBorders>
            <w:shd w:val="clear" w:color="auto" w:fill="auto"/>
            <w:noWrap/>
            <w:vAlign w:val="center"/>
          </w:tcPr>
          <w:p w14:paraId="0BF34D53" w14:textId="77777777" w:rsidR="00584325" w:rsidRPr="001D41EA" w:rsidRDefault="00584325" w:rsidP="001D41EA">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0FEA1BBB" w14:textId="6CE8A8BB" w:rsidR="00584325" w:rsidRPr="001D41EA" w:rsidRDefault="00584325" w:rsidP="001D41EA">
            <w:pPr>
              <w:spacing w:before="40" w:after="2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shd w:val="clear" w:color="auto" w:fill="auto"/>
            <w:noWrap/>
            <w:vAlign w:val="bottom"/>
          </w:tcPr>
          <w:p w14:paraId="23369FB7" w14:textId="77777777" w:rsidR="00584325" w:rsidRPr="001D41EA" w:rsidRDefault="00584325" w:rsidP="001D41EA">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0199ED9A" w14:textId="77777777" w:rsidR="00584325" w:rsidRPr="001D41EA" w:rsidRDefault="00584325" w:rsidP="001D41EA">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vAlign w:val="bottom"/>
          </w:tcPr>
          <w:p w14:paraId="093CD051" w14:textId="77777777" w:rsidR="00584325" w:rsidRPr="001D41EA" w:rsidRDefault="00584325" w:rsidP="001D41EA">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7D105CB6" w14:textId="77777777" w:rsidR="00584325" w:rsidRPr="001D41EA" w:rsidRDefault="00584325" w:rsidP="001D41EA">
            <w:pPr>
              <w:spacing w:before="40" w:after="20"/>
              <w:jc w:val="right"/>
              <w:rPr>
                <w:rFonts w:cs="Arial"/>
                <w:sz w:val="18"/>
                <w:szCs w:val="18"/>
              </w:rPr>
            </w:pPr>
          </w:p>
        </w:tc>
      </w:tr>
      <w:tr w:rsidR="00584325" w:rsidRPr="001D41EA" w14:paraId="01FFE19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957DE4D" w14:textId="77777777" w:rsidR="00584325" w:rsidRPr="001D41EA" w:rsidRDefault="00584325" w:rsidP="001D41EA">
            <w:pPr>
              <w:spacing w:before="40" w:after="20"/>
              <w:rPr>
                <w:rFonts w:cs="Arial"/>
                <w:sz w:val="18"/>
                <w:szCs w:val="18"/>
              </w:rPr>
            </w:pPr>
            <w:r w:rsidRPr="001D41EA">
              <w:rPr>
                <w:rFonts w:cs="Arial"/>
                <w:sz w:val="18"/>
                <w:szCs w:val="18"/>
              </w:rPr>
              <w:t>Macedon Ranges S</w:t>
            </w:r>
          </w:p>
        </w:tc>
        <w:tc>
          <w:tcPr>
            <w:tcW w:w="1361" w:type="dxa"/>
            <w:tcBorders>
              <w:top w:val="nil"/>
              <w:left w:val="single" w:sz="18" w:space="0" w:color="5F497A" w:themeColor="accent4" w:themeShade="BF"/>
              <w:bottom w:val="nil"/>
              <w:right w:val="nil"/>
            </w:tcBorders>
            <w:shd w:val="clear" w:color="auto" w:fill="auto"/>
            <w:noWrap/>
            <w:vAlign w:val="bottom"/>
          </w:tcPr>
          <w:p w14:paraId="1AF808C4" w14:textId="349DFF9A" w:rsidR="00584325" w:rsidRPr="001D41EA" w:rsidRDefault="00584325" w:rsidP="001D41EA">
            <w:pPr>
              <w:spacing w:before="40" w:after="20"/>
              <w:jc w:val="right"/>
              <w:rPr>
                <w:rFonts w:cs="Arial"/>
                <w:sz w:val="18"/>
                <w:szCs w:val="18"/>
              </w:rPr>
            </w:pPr>
            <w:r w:rsidRPr="001D41EA">
              <w:rPr>
                <w:rFonts w:cs="Arial"/>
                <w:sz w:val="18"/>
                <w:szCs w:val="18"/>
              </w:rPr>
              <w:t>3,264,589</w:t>
            </w:r>
          </w:p>
        </w:tc>
        <w:tc>
          <w:tcPr>
            <w:tcW w:w="1361" w:type="dxa"/>
            <w:tcBorders>
              <w:top w:val="nil"/>
              <w:left w:val="nil"/>
              <w:bottom w:val="nil"/>
              <w:right w:val="nil"/>
            </w:tcBorders>
            <w:shd w:val="clear" w:color="auto" w:fill="auto"/>
            <w:noWrap/>
            <w:vAlign w:val="bottom"/>
          </w:tcPr>
          <w:p w14:paraId="3875040C" w14:textId="2C63967B" w:rsidR="00584325" w:rsidRPr="001D41EA" w:rsidRDefault="00584325" w:rsidP="001D41EA">
            <w:pPr>
              <w:spacing w:before="40" w:after="20"/>
              <w:jc w:val="right"/>
              <w:rPr>
                <w:rFonts w:cs="Arial"/>
                <w:sz w:val="18"/>
                <w:szCs w:val="18"/>
              </w:rPr>
            </w:pPr>
            <w:r w:rsidRPr="001D41EA">
              <w:rPr>
                <w:rFonts w:cs="Arial"/>
                <w:sz w:val="18"/>
                <w:szCs w:val="18"/>
              </w:rPr>
              <w:t>5,240,960</w:t>
            </w:r>
          </w:p>
        </w:tc>
        <w:tc>
          <w:tcPr>
            <w:tcW w:w="1361" w:type="dxa"/>
            <w:tcBorders>
              <w:top w:val="nil"/>
              <w:left w:val="nil"/>
              <w:bottom w:val="nil"/>
              <w:right w:val="nil"/>
            </w:tcBorders>
            <w:shd w:val="clear" w:color="auto" w:fill="auto"/>
            <w:noWrap/>
            <w:vAlign w:val="bottom"/>
          </w:tcPr>
          <w:p w14:paraId="7C2906B7" w14:textId="0390B6DE" w:rsidR="00584325" w:rsidRPr="001D41EA" w:rsidRDefault="00584325" w:rsidP="001D41EA">
            <w:pPr>
              <w:spacing w:before="40" w:after="20"/>
              <w:jc w:val="right"/>
              <w:rPr>
                <w:rFonts w:cs="Arial"/>
                <w:sz w:val="18"/>
                <w:szCs w:val="18"/>
              </w:rPr>
            </w:pPr>
            <w:r w:rsidRPr="001D41EA">
              <w:rPr>
                <w:rFonts w:cs="Arial"/>
                <w:sz w:val="18"/>
                <w:szCs w:val="18"/>
              </w:rPr>
              <w:t>2,464,709</w:t>
            </w:r>
          </w:p>
        </w:tc>
        <w:tc>
          <w:tcPr>
            <w:tcW w:w="1361" w:type="dxa"/>
            <w:tcBorders>
              <w:top w:val="nil"/>
              <w:left w:val="nil"/>
              <w:bottom w:val="nil"/>
              <w:right w:val="nil"/>
            </w:tcBorders>
            <w:vAlign w:val="bottom"/>
          </w:tcPr>
          <w:p w14:paraId="4CF389D3" w14:textId="61C40F61" w:rsidR="00584325" w:rsidRPr="001D41EA" w:rsidRDefault="00584325" w:rsidP="001D41EA">
            <w:pPr>
              <w:spacing w:before="40" w:after="20"/>
              <w:jc w:val="right"/>
              <w:rPr>
                <w:rFonts w:cs="Arial"/>
                <w:sz w:val="18"/>
                <w:szCs w:val="18"/>
              </w:rPr>
            </w:pPr>
            <w:r w:rsidRPr="001D41EA">
              <w:rPr>
                <w:rFonts w:cs="Arial"/>
                <w:sz w:val="18"/>
                <w:szCs w:val="18"/>
              </w:rPr>
              <w:t>15,157,113</w:t>
            </w:r>
          </w:p>
        </w:tc>
        <w:tc>
          <w:tcPr>
            <w:tcW w:w="1361" w:type="dxa"/>
            <w:tcBorders>
              <w:top w:val="nil"/>
              <w:left w:val="nil"/>
              <w:bottom w:val="nil"/>
              <w:right w:val="nil"/>
            </w:tcBorders>
            <w:shd w:val="clear" w:color="auto" w:fill="auto"/>
            <w:noWrap/>
            <w:vAlign w:val="bottom"/>
          </w:tcPr>
          <w:p w14:paraId="35FB3A7F" w14:textId="398EE6F0" w:rsidR="00584325" w:rsidRPr="001D41EA" w:rsidRDefault="00584325" w:rsidP="001D41EA">
            <w:pPr>
              <w:spacing w:before="40" w:after="20"/>
              <w:jc w:val="right"/>
              <w:rPr>
                <w:rFonts w:cs="Arial"/>
                <w:sz w:val="18"/>
                <w:szCs w:val="18"/>
              </w:rPr>
            </w:pPr>
            <w:r w:rsidRPr="001D41EA">
              <w:rPr>
                <w:rFonts w:cs="Arial"/>
                <w:sz w:val="18"/>
                <w:szCs w:val="18"/>
              </w:rPr>
              <w:t>8,577,695</w:t>
            </w:r>
          </w:p>
        </w:tc>
      </w:tr>
      <w:tr w:rsidR="00584325" w:rsidRPr="001D41EA" w14:paraId="126188E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07F4F2D" w14:textId="77777777" w:rsidR="00584325" w:rsidRPr="001D41EA" w:rsidRDefault="00584325" w:rsidP="001D41EA">
            <w:pPr>
              <w:spacing w:before="40" w:after="20"/>
              <w:rPr>
                <w:rFonts w:cs="Arial"/>
                <w:sz w:val="18"/>
                <w:szCs w:val="18"/>
              </w:rPr>
            </w:pPr>
            <w:r w:rsidRPr="001D41EA">
              <w:rPr>
                <w:rFonts w:cs="Arial"/>
                <w:sz w:val="18"/>
                <w:szCs w:val="18"/>
              </w:rPr>
              <w:t>Manningham C</w:t>
            </w:r>
          </w:p>
        </w:tc>
        <w:tc>
          <w:tcPr>
            <w:tcW w:w="1361" w:type="dxa"/>
            <w:tcBorders>
              <w:top w:val="nil"/>
              <w:left w:val="single" w:sz="18" w:space="0" w:color="5F497A" w:themeColor="accent4" w:themeShade="BF"/>
              <w:bottom w:val="nil"/>
              <w:right w:val="nil"/>
            </w:tcBorders>
            <w:shd w:val="clear" w:color="auto" w:fill="auto"/>
            <w:noWrap/>
            <w:vAlign w:val="bottom"/>
          </w:tcPr>
          <w:p w14:paraId="3F0D56F4" w14:textId="3A3E51D7" w:rsidR="00584325" w:rsidRPr="001D41EA" w:rsidRDefault="00584325" w:rsidP="001D41EA">
            <w:pPr>
              <w:spacing w:before="40" w:after="20"/>
              <w:jc w:val="right"/>
              <w:rPr>
                <w:rFonts w:cs="Arial"/>
                <w:sz w:val="18"/>
                <w:szCs w:val="18"/>
              </w:rPr>
            </w:pPr>
            <w:r w:rsidRPr="001D41EA">
              <w:rPr>
                <w:rFonts w:cs="Arial"/>
                <w:sz w:val="18"/>
                <w:szCs w:val="18"/>
              </w:rPr>
              <w:t>7,388,177</w:t>
            </w:r>
          </w:p>
        </w:tc>
        <w:tc>
          <w:tcPr>
            <w:tcW w:w="1361" w:type="dxa"/>
            <w:tcBorders>
              <w:top w:val="nil"/>
              <w:left w:val="nil"/>
              <w:bottom w:val="nil"/>
              <w:right w:val="nil"/>
            </w:tcBorders>
            <w:shd w:val="clear" w:color="auto" w:fill="auto"/>
            <w:noWrap/>
            <w:vAlign w:val="bottom"/>
          </w:tcPr>
          <w:p w14:paraId="7DCDA4CE" w14:textId="03D677FB" w:rsidR="00584325" w:rsidRPr="001D41EA" w:rsidRDefault="00584325" w:rsidP="001D41EA">
            <w:pPr>
              <w:spacing w:before="40" w:after="20"/>
              <w:jc w:val="right"/>
              <w:rPr>
                <w:rFonts w:cs="Arial"/>
                <w:sz w:val="18"/>
                <w:szCs w:val="18"/>
              </w:rPr>
            </w:pPr>
            <w:r w:rsidRPr="001D41EA">
              <w:rPr>
                <w:rFonts w:cs="Arial"/>
                <w:sz w:val="18"/>
                <w:szCs w:val="18"/>
              </w:rPr>
              <w:t>10,572,263</w:t>
            </w:r>
          </w:p>
        </w:tc>
        <w:tc>
          <w:tcPr>
            <w:tcW w:w="1361" w:type="dxa"/>
            <w:tcBorders>
              <w:top w:val="nil"/>
              <w:left w:val="nil"/>
              <w:bottom w:val="nil"/>
              <w:right w:val="nil"/>
            </w:tcBorders>
            <w:shd w:val="clear" w:color="auto" w:fill="auto"/>
            <w:noWrap/>
            <w:vAlign w:val="bottom"/>
          </w:tcPr>
          <w:p w14:paraId="55386EB1" w14:textId="55C5879D" w:rsidR="00584325" w:rsidRPr="001D41EA" w:rsidRDefault="00584325" w:rsidP="001D41EA">
            <w:pPr>
              <w:spacing w:before="40" w:after="20"/>
              <w:jc w:val="right"/>
              <w:rPr>
                <w:rFonts w:cs="Arial"/>
                <w:sz w:val="18"/>
                <w:szCs w:val="18"/>
              </w:rPr>
            </w:pPr>
            <w:r w:rsidRPr="001D41EA">
              <w:rPr>
                <w:rFonts w:cs="Arial"/>
                <w:sz w:val="18"/>
                <w:szCs w:val="18"/>
              </w:rPr>
              <w:t>5,639,219</w:t>
            </w:r>
          </w:p>
        </w:tc>
        <w:tc>
          <w:tcPr>
            <w:tcW w:w="1361" w:type="dxa"/>
            <w:tcBorders>
              <w:top w:val="nil"/>
              <w:left w:val="nil"/>
              <w:bottom w:val="nil"/>
              <w:right w:val="nil"/>
            </w:tcBorders>
            <w:vAlign w:val="bottom"/>
          </w:tcPr>
          <w:p w14:paraId="70FB5FE1" w14:textId="15F06B0E" w:rsidR="00584325" w:rsidRPr="001D41EA" w:rsidRDefault="00584325" w:rsidP="001D41EA">
            <w:pPr>
              <w:spacing w:before="40" w:after="20"/>
              <w:jc w:val="right"/>
              <w:rPr>
                <w:rFonts w:cs="Arial"/>
                <w:sz w:val="18"/>
                <w:szCs w:val="18"/>
              </w:rPr>
            </w:pPr>
            <w:r w:rsidRPr="001D41EA">
              <w:rPr>
                <w:rFonts w:cs="Arial"/>
                <w:sz w:val="18"/>
                <w:szCs w:val="18"/>
              </w:rPr>
              <w:t>33,622,171</w:t>
            </w:r>
          </w:p>
        </w:tc>
        <w:tc>
          <w:tcPr>
            <w:tcW w:w="1361" w:type="dxa"/>
            <w:tcBorders>
              <w:top w:val="nil"/>
              <w:left w:val="nil"/>
              <w:bottom w:val="nil"/>
              <w:right w:val="nil"/>
            </w:tcBorders>
            <w:shd w:val="clear" w:color="auto" w:fill="auto"/>
            <w:noWrap/>
            <w:vAlign w:val="bottom"/>
          </w:tcPr>
          <w:p w14:paraId="769A23EF" w14:textId="4347A378" w:rsidR="00584325" w:rsidRPr="001D41EA" w:rsidRDefault="00584325" w:rsidP="001D41EA">
            <w:pPr>
              <w:spacing w:before="40" w:after="20"/>
              <w:jc w:val="right"/>
              <w:rPr>
                <w:rFonts w:cs="Arial"/>
                <w:sz w:val="18"/>
                <w:szCs w:val="18"/>
              </w:rPr>
            </w:pPr>
            <w:r w:rsidRPr="001D41EA">
              <w:rPr>
                <w:rFonts w:cs="Arial"/>
                <w:sz w:val="18"/>
                <w:szCs w:val="18"/>
              </w:rPr>
              <w:t>15,272,679</w:t>
            </w:r>
          </w:p>
        </w:tc>
      </w:tr>
      <w:tr w:rsidR="00584325" w:rsidRPr="001D41EA" w14:paraId="173B5A3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2CEC4BD" w14:textId="77777777" w:rsidR="00584325" w:rsidRPr="001D41EA" w:rsidRDefault="00584325" w:rsidP="001D41EA">
            <w:pPr>
              <w:spacing w:before="40" w:after="20"/>
              <w:rPr>
                <w:rFonts w:cs="Arial"/>
                <w:sz w:val="18"/>
                <w:szCs w:val="18"/>
              </w:rPr>
            </w:pPr>
            <w:r w:rsidRPr="001D41EA">
              <w:rPr>
                <w:rFonts w:cs="Arial"/>
                <w:sz w:val="18"/>
                <w:szCs w:val="18"/>
              </w:rPr>
              <w:t>Mansfield S</w:t>
            </w:r>
          </w:p>
        </w:tc>
        <w:tc>
          <w:tcPr>
            <w:tcW w:w="1361" w:type="dxa"/>
            <w:tcBorders>
              <w:top w:val="nil"/>
              <w:left w:val="single" w:sz="18" w:space="0" w:color="5F497A" w:themeColor="accent4" w:themeShade="BF"/>
              <w:bottom w:val="nil"/>
              <w:right w:val="nil"/>
            </w:tcBorders>
            <w:shd w:val="clear" w:color="auto" w:fill="auto"/>
            <w:noWrap/>
            <w:vAlign w:val="bottom"/>
          </w:tcPr>
          <w:p w14:paraId="115E5BEF" w14:textId="2E5712F4" w:rsidR="00584325" w:rsidRPr="001D41EA" w:rsidRDefault="00584325" w:rsidP="001D41EA">
            <w:pPr>
              <w:spacing w:before="40" w:after="20"/>
              <w:jc w:val="right"/>
              <w:rPr>
                <w:rFonts w:cs="Arial"/>
                <w:sz w:val="18"/>
                <w:szCs w:val="18"/>
              </w:rPr>
            </w:pPr>
            <w:r w:rsidRPr="001D41EA">
              <w:rPr>
                <w:rFonts w:cs="Arial"/>
                <w:sz w:val="18"/>
                <w:szCs w:val="18"/>
              </w:rPr>
              <w:t>1,368,659</w:t>
            </w:r>
          </w:p>
        </w:tc>
        <w:tc>
          <w:tcPr>
            <w:tcW w:w="1361" w:type="dxa"/>
            <w:tcBorders>
              <w:top w:val="nil"/>
              <w:left w:val="nil"/>
              <w:bottom w:val="nil"/>
              <w:right w:val="nil"/>
            </w:tcBorders>
            <w:shd w:val="clear" w:color="auto" w:fill="auto"/>
            <w:noWrap/>
            <w:vAlign w:val="bottom"/>
          </w:tcPr>
          <w:p w14:paraId="6BF9880F" w14:textId="5D7EE4BE" w:rsidR="00584325" w:rsidRPr="001D41EA" w:rsidRDefault="00584325" w:rsidP="001D41EA">
            <w:pPr>
              <w:spacing w:before="40" w:after="20"/>
              <w:jc w:val="right"/>
              <w:rPr>
                <w:rFonts w:cs="Arial"/>
                <w:sz w:val="18"/>
                <w:szCs w:val="18"/>
              </w:rPr>
            </w:pPr>
            <w:r w:rsidRPr="001D41EA">
              <w:rPr>
                <w:rFonts w:cs="Arial"/>
                <w:sz w:val="18"/>
                <w:szCs w:val="18"/>
              </w:rPr>
              <w:t>885,030</w:t>
            </w:r>
          </w:p>
        </w:tc>
        <w:tc>
          <w:tcPr>
            <w:tcW w:w="1361" w:type="dxa"/>
            <w:tcBorders>
              <w:top w:val="nil"/>
              <w:left w:val="nil"/>
              <w:bottom w:val="nil"/>
              <w:right w:val="nil"/>
            </w:tcBorders>
            <w:shd w:val="clear" w:color="auto" w:fill="auto"/>
            <w:noWrap/>
            <w:vAlign w:val="bottom"/>
          </w:tcPr>
          <w:p w14:paraId="5EE5960B" w14:textId="681A3F83" w:rsidR="00584325" w:rsidRPr="001D41EA" w:rsidRDefault="00584325" w:rsidP="001D41EA">
            <w:pPr>
              <w:spacing w:before="40" w:after="20"/>
              <w:jc w:val="right"/>
              <w:rPr>
                <w:rFonts w:cs="Arial"/>
                <w:sz w:val="18"/>
                <w:szCs w:val="18"/>
              </w:rPr>
            </w:pPr>
            <w:r w:rsidRPr="001D41EA">
              <w:rPr>
                <w:rFonts w:cs="Arial"/>
                <w:sz w:val="18"/>
                <w:szCs w:val="18"/>
              </w:rPr>
              <w:t>617,611</w:t>
            </w:r>
          </w:p>
        </w:tc>
        <w:tc>
          <w:tcPr>
            <w:tcW w:w="1361" w:type="dxa"/>
            <w:tcBorders>
              <w:top w:val="nil"/>
              <w:left w:val="nil"/>
              <w:bottom w:val="nil"/>
              <w:right w:val="nil"/>
            </w:tcBorders>
            <w:vAlign w:val="bottom"/>
          </w:tcPr>
          <w:p w14:paraId="28BA01BC" w14:textId="52037368" w:rsidR="00584325" w:rsidRPr="001D41EA" w:rsidRDefault="00584325" w:rsidP="001D41EA">
            <w:pPr>
              <w:spacing w:before="40" w:after="20"/>
              <w:jc w:val="right"/>
              <w:rPr>
                <w:rFonts w:cs="Arial"/>
                <w:sz w:val="18"/>
                <w:szCs w:val="18"/>
              </w:rPr>
            </w:pPr>
            <w:r w:rsidRPr="001D41EA">
              <w:rPr>
                <w:rFonts w:cs="Arial"/>
                <w:sz w:val="18"/>
                <w:szCs w:val="18"/>
              </w:rPr>
              <w:t>4,306,570</w:t>
            </w:r>
          </w:p>
        </w:tc>
        <w:tc>
          <w:tcPr>
            <w:tcW w:w="1361" w:type="dxa"/>
            <w:tcBorders>
              <w:top w:val="nil"/>
              <w:left w:val="nil"/>
              <w:bottom w:val="nil"/>
              <w:right w:val="nil"/>
            </w:tcBorders>
            <w:shd w:val="clear" w:color="auto" w:fill="auto"/>
            <w:noWrap/>
            <w:vAlign w:val="bottom"/>
          </w:tcPr>
          <w:p w14:paraId="02E145B1" w14:textId="696F4F6B" w:rsidR="00584325" w:rsidRPr="001D41EA" w:rsidRDefault="00584325" w:rsidP="001D41EA">
            <w:pPr>
              <w:spacing w:before="40" w:after="20"/>
              <w:jc w:val="right"/>
              <w:rPr>
                <w:rFonts w:cs="Arial"/>
                <w:sz w:val="18"/>
                <w:szCs w:val="18"/>
              </w:rPr>
            </w:pPr>
            <w:r w:rsidRPr="001D41EA">
              <w:rPr>
                <w:rFonts w:cs="Arial"/>
                <w:sz w:val="18"/>
                <w:szCs w:val="18"/>
              </w:rPr>
              <w:t>2,941,584</w:t>
            </w:r>
          </w:p>
        </w:tc>
      </w:tr>
      <w:tr w:rsidR="00584325" w:rsidRPr="001D41EA" w14:paraId="09A2FB1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B00AB53" w14:textId="77777777" w:rsidR="00584325" w:rsidRPr="001D41EA" w:rsidRDefault="00584325" w:rsidP="001D41EA">
            <w:pPr>
              <w:spacing w:before="40" w:after="20"/>
              <w:rPr>
                <w:rFonts w:cs="Arial"/>
                <w:sz w:val="18"/>
                <w:szCs w:val="18"/>
              </w:rPr>
            </w:pPr>
            <w:r w:rsidRPr="001D41EA">
              <w:rPr>
                <w:rFonts w:cs="Arial"/>
                <w:sz w:val="18"/>
                <w:szCs w:val="18"/>
              </w:rPr>
              <w:t>Maribyrnong C</w:t>
            </w:r>
          </w:p>
        </w:tc>
        <w:tc>
          <w:tcPr>
            <w:tcW w:w="1361" w:type="dxa"/>
            <w:tcBorders>
              <w:top w:val="nil"/>
              <w:left w:val="single" w:sz="18" w:space="0" w:color="5F497A" w:themeColor="accent4" w:themeShade="BF"/>
              <w:bottom w:val="nil"/>
              <w:right w:val="nil"/>
            </w:tcBorders>
            <w:shd w:val="clear" w:color="auto" w:fill="auto"/>
            <w:noWrap/>
            <w:vAlign w:val="bottom"/>
          </w:tcPr>
          <w:p w14:paraId="43B97A9A" w14:textId="6E46B8A0" w:rsidR="00584325" w:rsidRPr="001D41EA" w:rsidRDefault="00584325" w:rsidP="001D41EA">
            <w:pPr>
              <w:spacing w:before="40" w:after="20"/>
              <w:jc w:val="right"/>
              <w:rPr>
                <w:rFonts w:cs="Arial"/>
                <w:sz w:val="18"/>
                <w:szCs w:val="18"/>
              </w:rPr>
            </w:pPr>
            <w:r w:rsidRPr="001D41EA">
              <w:rPr>
                <w:rFonts w:cs="Arial"/>
                <w:sz w:val="18"/>
                <w:szCs w:val="18"/>
              </w:rPr>
              <w:t>5,592,155</w:t>
            </w:r>
          </w:p>
        </w:tc>
        <w:tc>
          <w:tcPr>
            <w:tcW w:w="1361" w:type="dxa"/>
            <w:tcBorders>
              <w:top w:val="nil"/>
              <w:left w:val="nil"/>
              <w:bottom w:val="nil"/>
              <w:right w:val="nil"/>
            </w:tcBorders>
            <w:shd w:val="clear" w:color="auto" w:fill="auto"/>
            <w:noWrap/>
            <w:vAlign w:val="bottom"/>
          </w:tcPr>
          <w:p w14:paraId="3DA12B8E" w14:textId="2A25BC86" w:rsidR="00584325" w:rsidRPr="001D41EA" w:rsidRDefault="00584325" w:rsidP="001D41EA">
            <w:pPr>
              <w:spacing w:before="40" w:after="20"/>
              <w:jc w:val="right"/>
              <w:rPr>
                <w:rFonts w:cs="Arial"/>
                <w:sz w:val="18"/>
                <w:szCs w:val="18"/>
              </w:rPr>
            </w:pPr>
            <w:r w:rsidRPr="001D41EA">
              <w:rPr>
                <w:rFonts w:cs="Arial"/>
                <w:sz w:val="18"/>
                <w:szCs w:val="18"/>
              </w:rPr>
              <w:t>9,348,433</w:t>
            </w:r>
          </w:p>
        </w:tc>
        <w:tc>
          <w:tcPr>
            <w:tcW w:w="1361" w:type="dxa"/>
            <w:tcBorders>
              <w:top w:val="nil"/>
              <w:left w:val="nil"/>
              <w:bottom w:val="nil"/>
              <w:right w:val="nil"/>
            </w:tcBorders>
            <w:shd w:val="clear" w:color="auto" w:fill="auto"/>
            <w:noWrap/>
            <w:vAlign w:val="bottom"/>
          </w:tcPr>
          <w:p w14:paraId="6B10B69B" w14:textId="04BE37D3" w:rsidR="00584325" w:rsidRPr="001D41EA" w:rsidRDefault="00584325" w:rsidP="001D41EA">
            <w:pPr>
              <w:spacing w:before="40" w:after="20"/>
              <w:jc w:val="right"/>
              <w:rPr>
                <w:rFonts w:cs="Arial"/>
                <w:sz w:val="18"/>
                <w:szCs w:val="18"/>
              </w:rPr>
            </w:pPr>
            <w:r w:rsidRPr="001D41EA">
              <w:rPr>
                <w:rFonts w:cs="Arial"/>
                <w:sz w:val="18"/>
                <w:szCs w:val="18"/>
              </w:rPr>
              <w:t>3,011,978</w:t>
            </w:r>
          </w:p>
        </w:tc>
        <w:tc>
          <w:tcPr>
            <w:tcW w:w="1361" w:type="dxa"/>
            <w:tcBorders>
              <w:top w:val="nil"/>
              <w:left w:val="nil"/>
              <w:bottom w:val="nil"/>
              <w:right w:val="nil"/>
            </w:tcBorders>
            <w:vAlign w:val="bottom"/>
          </w:tcPr>
          <w:p w14:paraId="7B3A5835" w14:textId="107056A6" w:rsidR="00584325" w:rsidRPr="001D41EA" w:rsidRDefault="00584325" w:rsidP="001D41EA">
            <w:pPr>
              <w:spacing w:before="40" w:after="20"/>
              <w:jc w:val="right"/>
              <w:rPr>
                <w:rFonts w:cs="Arial"/>
                <w:sz w:val="18"/>
                <w:szCs w:val="18"/>
              </w:rPr>
            </w:pPr>
            <w:r w:rsidRPr="001D41EA">
              <w:rPr>
                <w:rFonts w:cs="Arial"/>
                <w:sz w:val="18"/>
                <w:szCs w:val="18"/>
              </w:rPr>
              <w:t>28,044,497</w:t>
            </w:r>
          </w:p>
        </w:tc>
        <w:tc>
          <w:tcPr>
            <w:tcW w:w="1361" w:type="dxa"/>
            <w:tcBorders>
              <w:top w:val="nil"/>
              <w:left w:val="nil"/>
              <w:bottom w:val="nil"/>
              <w:right w:val="nil"/>
            </w:tcBorders>
            <w:shd w:val="clear" w:color="auto" w:fill="auto"/>
            <w:noWrap/>
            <w:vAlign w:val="bottom"/>
          </w:tcPr>
          <w:p w14:paraId="0856EBDC" w14:textId="40B8CC3C" w:rsidR="00584325" w:rsidRPr="001D41EA" w:rsidRDefault="00584325" w:rsidP="001D41EA">
            <w:pPr>
              <w:spacing w:before="40" w:after="20"/>
              <w:jc w:val="right"/>
              <w:rPr>
                <w:rFonts w:cs="Arial"/>
                <w:sz w:val="18"/>
                <w:szCs w:val="18"/>
              </w:rPr>
            </w:pPr>
            <w:r w:rsidRPr="001D41EA">
              <w:rPr>
                <w:rFonts w:cs="Arial"/>
                <w:sz w:val="18"/>
                <w:szCs w:val="18"/>
              </w:rPr>
              <w:t>12,952,006</w:t>
            </w:r>
          </w:p>
        </w:tc>
      </w:tr>
      <w:tr w:rsidR="00584325" w:rsidRPr="001D41EA" w14:paraId="2D07B57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C88571C" w14:textId="77777777" w:rsidR="00584325" w:rsidRPr="001D41EA" w:rsidRDefault="00584325" w:rsidP="001D41EA">
            <w:pPr>
              <w:spacing w:before="40" w:after="20"/>
              <w:rPr>
                <w:rFonts w:cs="Arial"/>
                <w:sz w:val="18"/>
                <w:szCs w:val="18"/>
              </w:rPr>
            </w:pPr>
            <w:r w:rsidRPr="001D41EA">
              <w:rPr>
                <w:rFonts w:cs="Arial"/>
                <w:sz w:val="18"/>
                <w:szCs w:val="18"/>
              </w:rPr>
              <w:t>Maroondah C</w:t>
            </w:r>
          </w:p>
        </w:tc>
        <w:tc>
          <w:tcPr>
            <w:tcW w:w="1361" w:type="dxa"/>
            <w:tcBorders>
              <w:top w:val="nil"/>
              <w:left w:val="single" w:sz="18" w:space="0" w:color="5F497A" w:themeColor="accent4" w:themeShade="BF"/>
              <w:bottom w:val="nil"/>
              <w:right w:val="nil"/>
            </w:tcBorders>
            <w:shd w:val="clear" w:color="auto" w:fill="auto"/>
            <w:noWrap/>
            <w:vAlign w:val="bottom"/>
          </w:tcPr>
          <w:p w14:paraId="2582A344" w14:textId="0C8000E7" w:rsidR="00584325" w:rsidRPr="001D41EA" w:rsidRDefault="00584325" w:rsidP="001D41EA">
            <w:pPr>
              <w:spacing w:before="40" w:after="20"/>
              <w:jc w:val="right"/>
              <w:rPr>
                <w:rFonts w:cs="Arial"/>
                <w:sz w:val="18"/>
                <w:szCs w:val="18"/>
              </w:rPr>
            </w:pPr>
            <w:r w:rsidRPr="001D41EA">
              <w:rPr>
                <w:rFonts w:cs="Arial"/>
                <w:sz w:val="18"/>
                <w:szCs w:val="18"/>
              </w:rPr>
              <w:t>6,640,034</w:t>
            </w:r>
          </w:p>
        </w:tc>
        <w:tc>
          <w:tcPr>
            <w:tcW w:w="1361" w:type="dxa"/>
            <w:tcBorders>
              <w:top w:val="nil"/>
              <w:left w:val="nil"/>
              <w:bottom w:val="nil"/>
              <w:right w:val="nil"/>
            </w:tcBorders>
            <w:shd w:val="clear" w:color="auto" w:fill="auto"/>
            <w:noWrap/>
            <w:vAlign w:val="bottom"/>
          </w:tcPr>
          <w:p w14:paraId="1FBE363B" w14:textId="25AF4EFF" w:rsidR="00584325" w:rsidRPr="001D41EA" w:rsidRDefault="00584325" w:rsidP="001D41EA">
            <w:pPr>
              <w:spacing w:before="40" w:after="20"/>
              <w:jc w:val="right"/>
              <w:rPr>
                <w:rFonts w:cs="Arial"/>
                <w:sz w:val="18"/>
                <w:szCs w:val="18"/>
              </w:rPr>
            </w:pPr>
            <w:r w:rsidRPr="001D41EA">
              <w:rPr>
                <w:rFonts w:cs="Arial"/>
                <w:sz w:val="18"/>
                <w:szCs w:val="18"/>
              </w:rPr>
              <w:t>10,913,270</w:t>
            </w:r>
          </w:p>
        </w:tc>
        <w:tc>
          <w:tcPr>
            <w:tcW w:w="1361" w:type="dxa"/>
            <w:tcBorders>
              <w:top w:val="nil"/>
              <w:left w:val="nil"/>
              <w:bottom w:val="nil"/>
              <w:right w:val="nil"/>
            </w:tcBorders>
            <w:shd w:val="clear" w:color="auto" w:fill="auto"/>
            <w:noWrap/>
            <w:vAlign w:val="bottom"/>
          </w:tcPr>
          <w:p w14:paraId="5F3336B2" w14:textId="51766580" w:rsidR="00584325" w:rsidRPr="001D41EA" w:rsidRDefault="00584325" w:rsidP="001D41EA">
            <w:pPr>
              <w:spacing w:before="40" w:after="20"/>
              <w:jc w:val="right"/>
              <w:rPr>
                <w:rFonts w:cs="Arial"/>
                <w:sz w:val="18"/>
                <w:szCs w:val="18"/>
              </w:rPr>
            </w:pPr>
            <w:r w:rsidRPr="001D41EA">
              <w:rPr>
                <w:rFonts w:cs="Arial"/>
                <w:sz w:val="18"/>
                <w:szCs w:val="18"/>
              </w:rPr>
              <w:t>4,565,945</w:t>
            </w:r>
          </w:p>
        </w:tc>
        <w:tc>
          <w:tcPr>
            <w:tcW w:w="1361" w:type="dxa"/>
            <w:tcBorders>
              <w:top w:val="nil"/>
              <w:left w:val="nil"/>
              <w:bottom w:val="nil"/>
              <w:right w:val="nil"/>
            </w:tcBorders>
            <w:vAlign w:val="bottom"/>
          </w:tcPr>
          <w:p w14:paraId="4AC62C85" w14:textId="4620C9AC" w:rsidR="00584325" w:rsidRPr="001D41EA" w:rsidRDefault="00584325" w:rsidP="001D41EA">
            <w:pPr>
              <w:spacing w:before="40" w:after="20"/>
              <w:jc w:val="right"/>
              <w:rPr>
                <w:rFonts w:cs="Arial"/>
                <w:sz w:val="18"/>
                <w:szCs w:val="18"/>
              </w:rPr>
            </w:pPr>
            <w:r w:rsidRPr="001D41EA">
              <w:rPr>
                <w:rFonts w:cs="Arial"/>
                <w:sz w:val="18"/>
                <w:szCs w:val="18"/>
              </w:rPr>
              <w:t>32,406,534</w:t>
            </w:r>
          </w:p>
        </w:tc>
        <w:tc>
          <w:tcPr>
            <w:tcW w:w="1361" w:type="dxa"/>
            <w:tcBorders>
              <w:top w:val="nil"/>
              <w:left w:val="nil"/>
              <w:bottom w:val="nil"/>
              <w:right w:val="nil"/>
            </w:tcBorders>
            <w:shd w:val="clear" w:color="auto" w:fill="auto"/>
            <w:noWrap/>
            <w:vAlign w:val="bottom"/>
          </w:tcPr>
          <w:p w14:paraId="2FA6CCB3" w14:textId="72E5B415" w:rsidR="00584325" w:rsidRPr="001D41EA" w:rsidRDefault="00584325" w:rsidP="001D41EA">
            <w:pPr>
              <w:spacing w:before="40" w:after="20"/>
              <w:jc w:val="right"/>
              <w:rPr>
                <w:rFonts w:cs="Arial"/>
                <w:sz w:val="18"/>
                <w:szCs w:val="18"/>
              </w:rPr>
            </w:pPr>
            <w:r w:rsidRPr="001D41EA">
              <w:rPr>
                <w:rFonts w:cs="Arial"/>
                <w:sz w:val="18"/>
                <w:szCs w:val="18"/>
              </w:rPr>
              <w:t>15,154,710</w:t>
            </w:r>
          </w:p>
        </w:tc>
      </w:tr>
      <w:tr w:rsidR="00584325" w:rsidRPr="001D41EA" w14:paraId="7EB4368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BC93FD1" w14:textId="77777777" w:rsidR="00584325" w:rsidRPr="001D41EA" w:rsidRDefault="00584325" w:rsidP="001D41EA">
            <w:pPr>
              <w:spacing w:before="40" w:after="20"/>
              <w:rPr>
                <w:rFonts w:cs="Arial"/>
                <w:sz w:val="18"/>
                <w:szCs w:val="18"/>
              </w:rPr>
            </w:pPr>
            <w:r w:rsidRPr="001D41EA">
              <w:rPr>
                <w:rFonts w:cs="Arial"/>
                <w:sz w:val="18"/>
                <w:szCs w:val="18"/>
              </w:rPr>
              <w:t>Melbourne C</w:t>
            </w:r>
          </w:p>
        </w:tc>
        <w:tc>
          <w:tcPr>
            <w:tcW w:w="1361" w:type="dxa"/>
            <w:tcBorders>
              <w:top w:val="nil"/>
              <w:left w:val="single" w:sz="18" w:space="0" w:color="5F497A" w:themeColor="accent4" w:themeShade="BF"/>
              <w:bottom w:val="nil"/>
              <w:right w:val="nil"/>
            </w:tcBorders>
            <w:shd w:val="clear" w:color="auto" w:fill="auto"/>
            <w:noWrap/>
            <w:vAlign w:val="bottom"/>
          </w:tcPr>
          <w:p w14:paraId="12A20780" w14:textId="713A7958" w:rsidR="00584325" w:rsidRPr="001D41EA" w:rsidRDefault="00584325" w:rsidP="001D41EA">
            <w:pPr>
              <w:spacing w:before="40" w:after="20"/>
              <w:jc w:val="right"/>
              <w:rPr>
                <w:rFonts w:cs="Arial"/>
                <w:sz w:val="18"/>
                <w:szCs w:val="18"/>
              </w:rPr>
            </w:pPr>
            <w:r w:rsidRPr="001D41EA">
              <w:rPr>
                <w:rFonts w:cs="Arial"/>
                <w:sz w:val="18"/>
                <w:szCs w:val="18"/>
              </w:rPr>
              <w:t>10,031,284</w:t>
            </w:r>
          </w:p>
        </w:tc>
        <w:tc>
          <w:tcPr>
            <w:tcW w:w="1361" w:type="dxa"/>
            <w:tcBorders>
              <w:top w:val="nil"/>
              <w:left w:val="nil"/>
              <w:bottom w:val="nil"/>
              <w:right w:val="nil"/>
            </w:tcBorders>
            <w:shd w:val="clear" w:color="auto" w:fill="auto"/>
            <w:noWrap/>
            <w:vAlign w:val="bottom"/>
          </w:tcPr>
          <w:p w14:paraId="6D06736B" w14:textId="6B4E1E93" w:rsidR="00584325" w:rsidRPr="001D41EA" w:rsidRDefault="00584325" w:rsidP="001D41EA">
            <w:pPr>
              <w:spacing w:before="40" w:after="20"/>
              <w:jc w:val="right"/>
              <w:rPr>
                <w:rFonts w:cs="Arial"/>
                <w:sz w:val="18"/>
                <w:szCs w:val="18"/>
              </w:rPr>
            </w:pPr>
            <w:r w:rsidRPr="001D41EA">
              <w:rPr>
                <w:rFonts w:cs="Arial"/>
                <w:sz w:val="18"/>
                <w:szCs w:val="18"/>
              </w:rPr>
              <w:t>15,614,888</w:t>
            </w:r>
          </w:p>
        </w:tc>
        <w:tc>
          <w:tcPr>
            <w:tcW w:w="1361" w:type="dxa"/>
            <w:tcBorders>
              <w:top w:val="nil"/>
              <w:left w:val="nil"/>
              <w:bottom w:val="nil"/>
              <w:right w:val="nil"/>
            </w:tcBorders>
            <w:shd w:val="clear" w:color="auto" w:fill="auto"/>
            <w:noWrap/>
            <w:vAlign w:val="bottom"/>
          </w:tcPr>
          <w:p w14:paraId="2B86B95F" w14:textId="2EF7E61D" w:rsidR="00584325" w:rsidRPr="001D41EA" w:rsidRDefault="00584325" w:rsidP="001D41EA">
            <w:pPr>
              <w:spacing w:before="40" w:after="20"/>
              <w:jc w:val="right"/>
              <w:rPr>
                <w:rFonts w:cs="Arial"/>
                <w:sz w:val="18"/>
                <w:szCs w:val="18"/>
              </w:rPr>
            </w:pPr>
            <w:r w:rsidRPr="001D41EA">
              <w:rPr>
                <w:rFonts w:cs="Arial"/>
                <w:sz w:val="18"/>
                <w:szCs w:val="18"/>
              </w:rPr>
              <w:t>2,719,797</w:t>
            </w:r>
          </w:p>
        </w:tc>
        <w:tc>
          <w:tcPr>
            <w:tcW w:w="1361" w:type="dxa"/>
            <w:tcBorders>
              <w:top w:val="nil"/>
              <w:left w:val="nil"/>
              <w:bottom w:val="nil"/>
              <w:right w:val="nil"/>
            </w:tcBorders>
            <w:vAlign w:val="bottom"/>
          </w:tcPr>
          <w:p w14:paraId="6A8241C2" w14:textId="7743B1FC" w:rsidR="00584325" w:rsidRPr="001D41EA" w:rsidRDefault="00584325" w:rsidP="001D41EA">
            <w:pPr>
              <w:spacing w:before="40" w:after="20"/>
              <w:jc w:val="right"/>
              <w:rPr>
                <w:rFonts w:cs="Arial"/>
                <w:sz w:val="18"/>
                <w:szCs w:val="18"/>
              </w:rPr>
            </w:pPr>
            <w:r w:rsidRPr="001D41EA">
              <w:rPr>
                <w:rFonts w:cs="Arial"/>
                <w:sz w:val="18"/>
                <w:szCs w:val="18"/>
              </w:rPr>
              <w:t>63,490,084</w:t>
            </w:r>
          </w:p>
        </w:tc>
        <w:tc>
          <w:tcPr>
            <w:tcW w:w="1361" w:type="dxa"/>
            <w:tcBorders>
              <w:top w:val="nil"/>
              <w:left w:val="nil"/>
              <w:bottom w:val="nil"/>
              <w:right w:val="nil"/>
            </w:tcBorders>
            <w:shd w:val="clear" w:color="auto" w:fill="auto"/>
            <w:noWrap/>
            <w:vAlign w:val="bottom"/>
          </w:tcPr>
          <w:p w14:paraId="22219DEC" w14:textId="7B100D60" w:rsidR="00584325" w:rsidRPr="001D41EA" w:rsidRDefault="00584325" w:rsidP="001D41EA">
            <w:pPr>
              <w:spacing w:before="40" w:after="20"/>
              <w:jc w:val="right"/>
              <w:rPr>
                <w:rFonts w:cs="Arial"/>
                <w:sz w:val="18"/>
                <w:szCs w:val="18"/>
              </w:rPr>
            </w:pPr>
            <w:r w:rsidRPr="001D41EA">
              <w:rPr>
                <w:rFonts w:cs="Arial"/>
                <w:sz w:val="18"/>
                <w:szCs w:val="18"/>
              </w:rPr>
              <w:t>31,176,303</w:t>
            </w:r>
          </w:p>
        </w:tc>
      </w:tr>
      <w:tr w:rsidR="00584325" w:rsidRPr="001D41EA" w14:paraId="68F252C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29CEA67" w14:textId="77777777" w:rsidR="00584325" w:rsidRPr="001D41EA" w:rsidRDefault="00584325" w:rsidP="001D41EA">
            <w:pPr>
              <w:spacing w:before="40" w:after="20"/>
              <w:rPr>
                <w:rFonts w:cs="Arial"/>
                <w:sz w:val="18"/>
                <w:szCs w:val="18"/>
              </w:rPr>
            </w:pPr>
            <w:r w:rsidRPr="001D41EA">
              <w:rPr>
                <w:rFonts w:cs="Arial"/>
                <w:sz w:val="18"/>
                <w:szCs w:val="18"/>
              </w:rPr>
              <w:t>Melton C</w:t>
            </w:r>
          </w:p>
        </w:tc>
        <w:tc>
          <w:tcPr>
            <w:tcW w:w="1361" w:type="dxa"/>
            <w:tcBorders>
              <w:top w:val="nil"/>
              <w:left w:val="single" w:sz="18" w:space="0" w:color="5F497A" w:themeColor="accent4" w:themeShade="BF"/>
              <w:bottom w:val="nil"/>
              <w:right w:val="nil"/>
            </w:tcBorders>
            <w:shd w:val="clear" w:color="auto" w:fill="auto"/>
            <w:noWrap/>
            <w:vAlign w:val="bottom"/>
          </w:tcPr>
          <w:p w14:paraId="38D959F2" w14:textId="31DE0D64" w:rsidR="00584325" w:rsidRPr="001D41EA" w:rsidRDefault="00584325" w:rsidP="001D41EA">
            <w:pPr>
              <w:spacing w:before="40" w:after="20"/>
              <w:jc w:val="right"/>
              <w:rPr>
                <w:rFonts w:cs="Arial"/>
                <w:sz w:val="18"/>
                <w:szCs w:val="18"/>
              </w:rPr>
            </w:pPr>
            <w:r w:rsidRPr="001D41EA">
              <w:rPr>
                <w:rFonts w:cs="Arial"/>
                <w:sz w:val="18"/>
                <w:szCs w:val="18"/>
              </w:rPr>
              <w:t>9,570,994</w:t>
            </w:r>
          </w:p>
        </w:tc>
        <w:tc>
          <w:tcPr>
            <w:tcW w:w="1361" w:type="dxa"/>
            <w:tcBorders>
              <w:top w:val="nil"/>
              <w:left w:val="nil"/>
              <w:bottom w:val="nil"/>
              <w:right w:val="nil"/>
            </w:tcBorders>
            <w:shd w:val="clear" w:color="auto" w:fill="auto"/>
            <w:noWrap/>
            <w:vAlign w:val="bottom"/>
          </w:tcPr>
          <w:p w14:paraId="055C5B4E" w14:textId="2EB4965D" w:rsidR="00584325" w:rsidRPr="001D41EA" w:rsidRDefault="00584325" w:rsidP="001D41EA">
            <w:pPr>
              <w:spacing w:before="40" w:after="20"/>
              <w:jc w:val="right"/>
              <w:rPr>
                <w:rFonts w:cs="Arial"/>
                <w:sz w:val="18"/>
                <w:szCs w:val="18"/>
              </w:rPr>
            </w:pPr>
            <w:r w:rsidRPr="001D41EA">
              <w:rPr>
                <w:rFonts w:cs="Arial"/>
                <w:sz w:val="18"/>
                <w:szCs w:val="18"/>
              </w:rPr>
              <w:t>19,079,696</w:t>
            </w:r>
          </w:p>
        </w:tc>
        <w:tc>
          <w:tcPr>
            <w:tcW w:w="1361" w:type="dxa"/>
            <w:tcBorders>
              <w:top w:val="nil"/>
              <w:left w:val="nil"/>
              <w:bottom w:val="nil"/>
              <w:right w:val="nil"/>
            </w:tcBorders>
            <w:shd w:val="clear" w:color="auto" w:fill="auto"/>
            <w:noWrap/>
            <w:vAlign w:val="bottom"/>
          </w:tcPr>
          <w:p w14:paraId="43277044" w14:textId="60F929E0" w:rsidR="00584325" w:rsidRPr="001D41EA" w:rsidRDefault="00584325" w:rsidP="001D41EA">
            <w:pPr>
              <w:spacing w:before="40" w:after="20"/>
              <w:jc w:val="right"/>
              <w:rPr>
                <w:rFonts w:cs="Arial"/>
                <w:sz w:val="18"/>
                <w:szCs w:val="18"/>
              </w:rPr>
            </w:pPr>
            <w:r w:rsidRPr="001D41EA">
              <w:rPr>
                <w:rFonts w:cs="Arial"/>
                <w:sz w:val="18"/>
                <w:szCs w:val="18"/>
              </w:rPr>
              <w:t>5,473,391</w:t>
            </w:r>
          </w:p>
        </w:tc>
        <w:tc>
          <w:tcPr>
            <w:tcW w:w="1361" w:type="dxa"/>
            <w:tcBorders>
              <w:top w:val="nil"/>
              <w:left w:val="nil"/>
              <w:bottom w:val="nil"/>
              <w:right w:val="nil"/>
            </w:tcBorders>
            <w:vAlign w:val="bottom"/>
          </w:tcPr>
          <w:p w14:paraId="5B0AABA1" w14:textId="51C86A23" w:rsidR="00584325" w:rsidRPr="001D41EA" w:rsidRDefault="00584325" w:rsidP="001D41EA">
            <w:pPr>
              <w:spacing w:before="40" w:after="20"/>
              <w:jc w:val="right"/>
              <w:rPr>
                <w:rFonts w:cs="Arial"/>
                <w:sz w:val="18"/>
                <w:szCs w:val="18"/>
              </w:rPr>
            </w:pPr>
            <w:r w:rsidRPr="001D41EA">
              <w:rPr>
                <w:rFonts w:cs="Arial"/>
                <w:sz w:val="18"/>
                <w:szCs w:val="18"/>
              </w:rPr>
              <w:t>41,036,493</w:t>
            </w:r>
          </w:p>
        </w:tc>
        <w:tc>
          <w:tcPr>
            <w:tcW w:w="1361" w:type="dxa"/>
            <w:tcBorders>
              <w:top w:val="nil"/>
              <w:left w:val="nil"/>
              <w:bottom w:val="nil"/>
              <w:right w:val="nil"/>
            </w:tcBorders>
            <w:shd w:val="clear" w:color="auto" w:fill="auto"/>
            <w:noWrap/>
            <w:vAlign w:val="bottom"/>
          </w:tcPr>
          <w:p w14:paraId="436731E7" w14:textId="109CB2E9" w:rsidR="00584325" w:rsidRPr="001D41EA" w:rsidRDefault="00584325" w:rsidP="001D41EA">
            <w:pPr>
              <w:spacing w:before="40" w:after="20"/>
              <w:jc w:val="right"/>
              <w:rPr>
                <w:rFonts w:cs="Arial"/>
                <w:sz w:val="18"/>
                <w:szCs w:val="18"/>
              </w:rPr>
            </w:pPr>
            <w:r w:rsidRPr="001D41EA">
              <w:rPr>
                <w:rFonts w:cs="Arial"/>
                <w:sz w:val="18"/>
                <w:szCs w:val="18"/>
              </w:rPr>
              <w:t>18,915,118</w:t>
            </w:r>
          </w:p>
        </w:tc>
      </w:tr>
      <w:tr w:rsidR="00584325" w:rsidRPr="001D41EA" w14:paraId="007AFFF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35E1FF7" w14:textId="77777777" w:rsidR="00584325" w:rsidRPr="001D41EA" w:rsidRDefault="00584325" w:rsidP="001D41EA">
            <w:pPr>
              <w:spacing w:before="40" w:after="20"/>
              <w:rPr>
                <w:rFonts w:cs="Arial"/>
                <w:sz w:val="18"/>
                <w:szCs w:val="18"/>
              </w:rPr>
            </w:pPr>
            <w:r w:rsidRPr="001D41EA">
              <w:rPr>
                <w:rFonts w:cs="Arial"/>
                <w:sz w:val="18"/>
                <w:szCs w:val="18"/>
              </w:rPr>
              <w:t>Mildura RC</w:t>
            </w:r>
          </w:p>
        </w:tc>
        <w:tc>
          <w:tcPr>
            <w:tcW w:w="1361" w:type="dxa"/>
            <w:tcBorders>
              <w:top w:val="nil"/>
              <w:left w:val="single" w:sz="18" w:space="0" w:color="5F497A" w:themeColor="accent4" w:themeShade="BF"/>
              <w:bottom w:val="nil"/>
              <w:right w:val="nil"/>
            </w:tcBorders>
            <w:shd w:val="clear" w:color="auto" w:fill="auto"/>
            <w:noWrap/>
            <w:vAlign w:val="bottom"/>
          </w:tcPr>
          <w:p w14:paraId="3CFD1CC0" w14:textId="6688413A" w:rsidR="00584325" w:rsidRPr="001D41EA" w:rsidRDefault="00584325" w:rsidP="001D41EA">
            <w:pPr>
              <w:spacing w:before="40" w:after="20"/>
              <w:jc w:val="right"/>
              <w:rPr>
                <w:rFonts w:cs="Arial"/>
                <w:sz w:val="18"/>
                <w:szCs w:val="18"/>
              </w:rPr>
            </w:pPr>
            <w:r w:rsidRPr="001D41EA">
              <w:rPr>
                <w:rFonts w:cs="Arial"/>
                <w:sz w:val="18"/>
                <w:szCs w:val="18"/>
              </w:rPr>
              <w:t>4,363,479</w:t>
            </w:r>
          </w:p>
        </w:tc>
        <w:tc>
          <w:tcPr>
            <w:tcW w:w="1361" w:type="dxa"/>
            <w:tcBorders>
              <w:top w:val="nil"/>
              <w:left w:val="nil"/>
              <w:bottom w:val="nil"/>
              <w:right w:val="nil"/>
            </w:tcBorders>
            <w:shd w:val="clear" w:color="auto" w:fill="auto"/>
            <w:noWrap/>
            <w:vAlign w:val="bottom"/>
          </w:tcPr>
          <w:p w14:paraId="5544B94E" w14:textId="143B2AD6" w:rsidR="00584325" w:rsidRPr="001D41EA" w:rsidRDefault="00584325" w:rsidP="001D41EA">
            <w:pPr>
              <w:spacing w:before="40" w:after="20"/>
              <w:jc w:val="right"/>
              <w:rPr>
                <w:rFonts w:cs="Arial"/>
                <w:sz w:val="18"/>
                <w:szCs w:val="18"/>
              </w:rPr>
            </w:pPr>
            <w:r w:rsidRPr="001D41EA">
              <w:rPr>
                <w:rFonts w:cs="Arial"/>
                <w:sz w:val="18"/>
                <w:szCs w:val="18"/>
              </w:rPr>
              <w:t>6,748,722</w:t>
            </w:r>
          </w:p>
        </w:tc>
        <w:tc>
          <w:tcPr>
            <w:tcW w:w="1361" w:type="dxa"/>
            <w:tcBorders>
              <w:top w:val="nil"/>
              <w:left w:val="nil"/>
              <w:bottom w:val="nil"/>
              <w:right w:val="nil"/>
            </w:tcBorders>
            <w:shd w:val="clear" w:color="auto" w:fill="auto"/>
            <w:noWrap/>
            <w:vAlign w:val="bottom"/>
          </w:tcPr>
          <w:p w14:paraId="4885D115" w14:textId="3CE70246" w:rsidR="00584325" w:rsidRPr="001D41EA" w:rsidRDefault="00584325" w:rsidP="001D41EA">
            <w:pPr>
              <w:spacing w:before="40" w:after="20"/>
              <w:jc w:val="right"/>
              <w:rPr>
                <w:rFonts w:cs="Arial"/>
                <w:sz w:val="18"/>
                <w:szCs w:val="18"/>
              </w:rPr>
            </w:pPr>
            <w:r w:rsidRPr="001D41EA">
              <w:rPr>
                <w:rFonts w:cs="Arial"/>
                <w:sz w:val="18"/>
                <w:szCs w:val="18"/>
              </w:rPr>
              <w:t>4,174,401</w:t>
            </w:r>
          </w:p>
        </w:tc>
        <w:tc>
          <w:tcPr>
            <w:tcW w:w="1361" w:type="dxa"/>
            <w:tcBorders>
              <w:top w:val="nil"/>
              <w:left w:val="nil"/>
              <w:bottom w:val="nil"/>
              <w:right w:val="nil"/>
            </w:tcBorders>
            <w:vAlign w:val="bottom"/>
          </w:tcPr>
          <w:p w14:paraId="50B2F41C" w14:textId="054F098E" w:rsidR="00584325" w:rsidRPr="001D41EA" w:rsidRDefault="00584325" w:rsidP="001D41EA">
            <w:pPr>
              <w:spacing w:before="40" w:after="20"/>
              <w:jc w:val="right"/>
              <w:rPr>
                <w:rFonts w:cs="Arial"/>
                <w:sz w:val="18"/>
                <w:szCs w:val="18"/>
              </w:rPr>
            </w:pPr>
            <w:r w:rsidRPr="001D41EA">
              <w:rPr>
                <w:rFonts w:cs="Arial"/>
                <w:sz w:val="18"/>
                <w:szCs w:val="18"/>
              </w:rPr>
              <w:t>19,830,292</w:t>
            </w:r>
          </w:p>
        </w:tc>
        <w:tc>
          <w:tcPr>
            <w:tcW w:w="1361" w:type="dxa"/>
            <w:tcBorders>
              <w:top w:val="nil"/>
              <w:left w:val="nil"/>
              <w:bottom w:val="nil"/>
              <w:right w:val="nil"/>
            </w:tcBorders>
            <w:shd w:val="clear" w:color="auto" w:fill="auto"/>
            <w:noWrap/>
            <w:vAlign w:val="bottom"/>
          </w:tcPr>
          <w:p w14:paraId="7C4BBC12" w14:textId="442E430F" w:rsidR="00584325" w:rsidRPr="001D41EA" w:rsidRDefault="00584325" w:rsidP="001D41EA">
            <w:pPr>
              <w:spacing w:before="40" w:after="20"/>
              <w:jc w:val="right"/>
              <w:rPr>
                <w:rFonts w:cs="Arial"/>
                <w:sz w:val="18"/>
                <w:szCs w:val="18"/>
              </w:rPr>
            </w:pPr>
            <w:r w:rsidRPr="001D41EA">
              <w:rPr>
                <w:rFonts w:cs="Arial"/>
                <w:sz w:val="18"/>
                <w:szCs w:val="18"/>
              </w:rPr>
              <w:t>10,586,872</w:t>
            </w:r>
          </w:p>
        </w:tc>
      </w:tr>
      <w:tr w:rsidR="00584325" w:rsidRPr="001D41EA" w14:paraId="024A7BE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9B98EB4" w14:textId="77777777" w:rsidR="00584325" w:rsidRPr="001D41EA" w:rsidRDefault="00584325" w:rsidP="001D41EA">
            <w:pPr>
              <w:spacing w:before="40" w:after="20"/>
              <w:rPr>
                <w:rFonts w:cs="Arial"/>
                <w:sz w:val="18"/>
                <w:szCs w:val="18"/>
              </w:rPr>
            </w:pPr>
            <w:r w:rsidRPr="001D41EA">
              <w:rPr>
                <w:rFonts w:cs="Arial"/>
                <w:sz w:val="18"/>
                <w:szCs w:val="18"/>
              </w:rPr>
              <w:t>Mitchell S</w:t>
            </w:r>
          </w:p>
        </w:tc>
        <w:tc>
          <w:tcPr>
            <w:tcW w:w="1361" w:type="dxa"/>
            <w:tcBorders>
              <w:top w:val="nil"/>
              <w:left w:val="single" w:sz="18" w:space="0" w:color="5F497A" w:themeColor="accent4" w:themeShade="BF"/>
              <w:bottom w:val="nil"/>
              <w:right w:val="nil"/>
            </w:tcBorders>
            <w:shd w:val="clear" w:color="auto" w:fill="auto"/>
            <w:noWrap/>
            <w:vAlign w:val="bottom"/>
          </w:tcPr>
          <w:p w14:paraId="2EA4542D" w14:textId="3DCF7250" w:rsidR="00584325" w:rsidRPr="001D41EA" w:rsidRDefault="00584325" w:rsidP="001D41EA">
            <w:pPr>
              <w:spacing w:before="40" w:after="20"/>
              <w:jc w:val="right"/>
              <w:rPr>
                <w:rFonts w:cs="Arial"/>
                <w:sz w:val="18"/>
                <w:szCs w:val="18"/>
              </w:rPr>
            </w:pPr>
            <w:r w:rsidRPr="001D41EA">
              <w:rPr>
                <w:rFonts w:cs="Arial"/>
                <w:sz w:val="18"/>
                <w:szCs w:val="18"/>
              </w:rPr>
              <w:t>3,022,245</w:t>
            </w:r>
          </w:p>
        </w:tc>
        <w:tc>
          <w:tcPr>
            <w:tcW w:w="1361" w:type="dxa"/>
            <w:tcBorders>
              <w:top w:val="nil"/>
              <w:left w:val="nil"/>
              <w:bottom w:val="nil"/>
              <w:right w:val="nil"/>
            </w:tcBorders>
            <w:shd w:val="clear" w:color="auto" w:fill="auto"/>
            <w:noWrap/>
            <w:vAlign w:val="bottom"/>
          </w:tcPr>
          <w:p w14:paraId="713E1DF2" w14:textId="5A613510" w:rsidR="00584325" w:rsidRPr="001D41EA" w:rsidRDefault="00584325" w:rsidP="001D41EA">
            <w:pPr>
              <w:spacing w:before="40" w:after="20"/>
              <w:jc w:val="right"/>
              <w:rPr>
                <w:rFonts w:cs="Arial"/>
                <w:sz w:val="18"/>
                <w:szCs w:val="18"/>
              </w:rPr>
            </w:pPr>
            <w:r w:rsidRPr="001D41EA">
              <w:rPr>
                <w:rFonts w:cs="Arial"/>
                <w:sz w:val="18"/>
                <w:szCs w:val="18"/>
              </w:rPr>
              <w:t>5,230,573</w:t>
            </w:r>
          </w:p>
        </w:tc>
        <w:tc>
          <w:tcPr>
            <w:tcW w:w="1361" w:type="dxa"/>
            <w:tcBorders>
              <w:top w:val="nil"/>
              <w:left w:val="nil"/>
              <w:bottom w:val="nil"/>
              <w:right w:val="nil"/>
            </w:tcBorders>
            <w:shd w:val="clear" w:color="auto" w:fill="auto"/>
            <w:noWrap/>
            <w:vAlign w:val="bottom"/>
          </w:tcPr>
          <w:p w14:paraId="770FBC11" w14:textId="5E3D8406" w:rsidR="00584325" w:rsidRPr="001D41EA" w:rsidRDefault="00584325" w:rsidP="001D41EA">
            <w:pPr>
              <w:spacing w:before="40" w:after="20"/>
              <w:jc w:val="right"/>
              <w:rPr>
                <w:rFonts w:cs="Arial"/>
                <w:sz w:val="18"/>
                <w:szCs w:val="18"/>
              </w:rPr>
            </w:pPr>
            <w:r w:rsidRPr="001D41EA">
              <w:rPr>
                <w:rFonts w:cs="Arial"/>
                <w:sz w:val="18"/>
                <w:szCs w:val="18"/>
              </w:rPr>
              <w:t>2,419,148</w:t>
            </w:r>
          </w:p>
        </w:tc>
        <w:tc>
          <w:tcPr>
            <w:tcW w:w="1361" w:type="dxa"/>
            <w:tcBorders>
              <w:top w:val="nil"/>
              <w:left w:val="nil"/>
              <w:bottom w:val="nil"/>
              <w:right w:val="nil"/>
            </w:tcBorders>
            <w:vAlign w:val="bottom"/>
          </w:tcPr>
          <w:p w14:paraId="31AED708" w14:textId="78FEB284" w:rsidR="00584325" w:rsidRPr="001D41EA" w:rsidRDefault="00584325" w:rsidP="001D41EA">
            <w:pPr>
              <w:spacing w:before="40" w:after="20"/>
              <w:jc w:val="right"/>
              <w:rPr>
                <w:rFonts w:cs="Arial"/>
                <w:sz w:val="18"/>
                <w:szCs w:val="18"/>
              </w:rPr>
            </w:pPr>
            <w:r w:rsidRPr="001D41EA">
              <w:rPr>
                <w:rFonts w:cs="Arial"/>
                <w:sz w:val="18"/>
                <w:szCs w:val="18"/>
              </w:rPr>
              <w:t>13,275,861</w:t>
            </w:r>
          </w:p>
        </w:tc>
        <w:tc>
          <w:tcPr>
            <w:tcW w:w="1361" w:type="dxa"/>
            <w:tcBorders>
              <w:top w:val="nil"/>
              <w:left w:val="nil"/>
              <w:bottom w:val="nil"/>
              <w:right w:val="nil"/>
            </w:tcBorders>
            <w:shd w:val="clear" w:color="auto" w:fill="auto"/>
            <w:noWrap/>
            <w:vAlign w:val="bottom"/>
          </w:tcPr>
          <w:p w14:paraId="1B7C1551" w14:textId="5E137813" w:rsidR="00584325" w:rsidRPr="001D41EA" w:rsidRDefault="00584325" w:rsidP="001D41EA">
            <w:pPr>
              <w:spacing w:before="40" w:after="20"/>
              <w:jc w:val="right"/>
              <w:rPr>
                <w:rFonts w:cs="Arial"/>
                <w:sz w:val="18"/>
                <w:szCs w:val="18"/>
              </w:rPr>
            </w:pPr>
            <w:r w:rsidRPr="001D41EA">
              <w:rPr>
                <w:rFonts w:cs="Arial"/>
                <w:sz w:val="18"/>
                <w:szCs w:val="18"/>
              </w:rPr>
              <w:t>7,608,435</w:t>
            </w:r>
          </w:p>
        </w:tc>
      </w:tr>
      <w:tr w:rsidR="00584325" w:rsidRPr="001D41EA" w14:paraId="7B5116D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E7F03BB" w14:textId="77777777" w:rsidR="00584325" w:rsidRPr="001D41EA" w:rsidRDefault="00584325" w:rsidP="001D41EA">
            <w:pPr>
              <w:spacing w:before="40" w:after="20"/>
              <w:rPr>
                <w:rFonts w:cs="Arial"/>
                <w:sz w:val="18"/>
                <w:szCs w:val="18"/>
              </w:rPr>
            </w:pPr>
            <w:r w:rsidRPr="001D41EA">
              <w:rPr>
                <w:rFonts w:cs="Arial"/>
                <w:sz w:val="18"/>
                <w:szCs w:val="18"/>
              </w:rPr>
              <w:t>Moira S</w:t>
            </w:r>
          </w:p>
        </w:tc>
        <w:tc>
          <w:tcPr>
            <w:tcW w:w="1361" w:type="dxa"/>
            <w:tcBorders>
              <w:top w:val="nil"/>
              <w:left w:val="single" w:sz="18" w:space="0" w:color="5F497A" w:themeColor="accent4" w:themeShade="BF"/>
              <w:bottom w:val="nil"/>
              <w:right w:val="nil"/>
            </w:tcBorders>
            <w:shd w:val="clear" w:color="auto" w:fill="auto"/>
            <w:noWrap/>
            <w:vAlign w:val="bottom"/>
          </w:tcPr>
          <w:p w14:paraId="69BF2873" w14:textId="2BF25023" w:rsidR="00584325" w:rsidRPr="001D41EA" w:rsidRDefault="00584325" w:rsidP="001D41EA">
            <w:pPr>
              <w:spacing w:before="40" w:after="20"/>
              <w:jc w:val="right"/>
              <w:rPr>
                <w:rFonts w:cs="Arial"/>
                <w:sz w:val="18"/>
                <w:szCs w:val="18"/>
              </w:rPr>
            </w:pPr>
            <w:r w:rsidRPr="001D41EA">
              <w:rPr>
                <w:rFonts w:cs="Arial"/>
                <w:sz w:val="18"/>
                <w:szCs w:val="18"/>
              </w:rPr>
              <w:t>2,191,228</w:t>
            </w:r>
          </w:p>
        </w:tc>
        <w:tc>
          <w:tcPr>
            <w:tcW w:w="1361" w:type="dxa"/>
            <w:tcBorders>
              <w:top w:val="nil"/>
              <w:left w:val="nil"/>
              <w:bottom w:val="nil"/>
              <w:right w:val="nil"/>
            </w:tcBorders>
            <w:shd w:val="clear" w:color="auto" w:fill="auto"/>
            <w:noWrap/>
            <w:vAlign w:val="bottom"/>
          </w:tcPr>
          <w:p w14:paraId="657FBCEF" w14:textId="09F92363" w:rsidR="00584325" w:rsidRPr="001D41EA" w:rsidRDefault="00584325" w:rsidP="001D41EA">
            <w:pPr>
              <w:spacing w:before="40" w:after="20"/>
              <w:jc w:val="right"/>
              <w:rPr>
                <w:rFonts w:cs="Arial"/>
                <w:sz w:val="18"/>
                <w:szCs w:val="18"/>
              </w:rPr>
            </w:pPr>
            <w:r w:rsidRPr="001D41EA">
              <w:rPr>
                <w:rFonts w:cs="Arial"/>
                <w:sz w:val="18"/>
                <w:szCs w:val="18"/>
              </w:rPr>
              <w:t>3,403,231</w:t>
            </w:r>
          </w:p>
        </w:tc>
        <w:tc>
          <w:tcPr>
            <w:tcW w:w="1361" w:type="dxa"/>
            <w:tcBorders>
              <w:top w:val="nil"/>
              <w:left w:val="nil"/>
              <w:bottom w:val="nil"/>
              <w:right w:val="nil"/>
            </w:tcBorders>
            <w:shd w:val="clear" w:color="auto" w:fill="auto"/>
            <w:noWrap/>
            <w:vAlign w:val="bottom"/>
          </w:tcPr>
          <w:p w14:paraId="70801202" w14:textId="35CF4A2F" w:rsidR="00584325" w:rsidRPr="001D41EA" w:rsidRDefault="00584325" w:rsidP="001D41EA">
            <w:pPr>
              <w:spacing w:before="40" w:after="20"/>
              <w:jc w:val="right"/>
              <w:rPr>
                <w:rFonts w:cs="Arial"/>
                <w:sz w:val="18"/>
                <w:szCs w:val="18"/>
              </w:rPr>
            </w:pPr>
            <w:r w:rsidRPr="001D41EA">
              <w:rPr>
                <w:rFonts w:cs="Arial"/>
                <w:sz w:val="18"/>
                <w:szCs w:val="18"/>
              </w:rPr>
              <w:t>2,961,762</w:t>
            </w:r>
          </w:p>
        </w:tc>
        <w:tc>
          <w:tcPr>
            <w:tcW w:w="1361" w:type="dxa"/>
            <w:tcBorders>
              <w:top w:val="nil"/>
              <w:left w:val="nil"/>
              <w:bottom w:val="nil"/>
              <w:right w:val="nil"/>
            </w:tcBorders>
            <w:vAlign w:val="bottom"/>
          </w:tcPr>
          <w:p w14:paraId="7C3FDA39" w14:textId="6C5DAFE8" w:rsidR="00584325" w:rsidRPr="001D41EA" w:rsidRDefault="00584325" w:rsidP="001D41EA">
            <w:pPr>
              <w:spacing w:before="40" w:after="20"/>
              <w:jc w:val="right"/>
              <w:rPr>
                <w:rFonts w:cs="Arial"/>
                <w:sz w:val="18"/>
                <w:szCs w:val="18"/>
              </w:rPr>
            </w:pPr>
            <w:r w:rsidRPr="001D41EA">
              <w:rPr>
                <w:rFonts w:cs="Arial"/>
                <w:sz w:val="18"/>
                <w:szCs w:val="18"/>
              </w:rPr>
              <w:t>9,800,491</w:t>
            </w:r>
          </w:p>
        </w:tc>
        <w:tc>
          <w:tcPr>
            <w:tcW w:w="1361" w:type="dxa"/>
            <w:tcBorders>
              <w:top w:val="nil"/>
              <w:left w:val="nil"/>
              <w:bottom w:val="nil"/>
              <w:right w:val="nil"/>
            </w:tcBorders>
            <w:shd w:val="clear" w:color="auto" w:fill="auto"/>
            <w:noWrap/>
            <w:vAlign w:val="bottom"/>
          </w:tcPr>
          <w:p w14:paraId="38A3B485" w14:textId="61325862" w:rsidR="00584325" w:rsidRPr="001D41EA" w:rsidRDefault="00584325" w:rsidP="001D41EA">
            <w:pPr>
              <w:spacing w:before="40" w:after="20"/>
              <w:jc w:val="right"/>
              <w:rPr>
                <w:rFonts w:cs="Arial"/>
                <w:sz w:val="18"/>
                <w:szCs w:val="18"/>
              </w:rPr>
            </w:pPr>
            <w:r w:rsidRPr="001D41EA">
              <w:rPr>
                <w:rFonts w:cs="Arial"/>
                <w:sz w:val="18"/>
                <w:szCs w:val="18"/>
              </w:rPr>
              <w:t>6,539,062</w:t>
            </w:r>
          </w:p>
        </w:tc>
      </w:tr>
      <w:tr w:rsidR="00584325" w:rsidRPr="001D41EA" w14:paraId="558EFBF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0E770EE" w14:textId="77777777" w:rsidR="00584325" w:rsidRPr="001D41EA" w:rsidRDefault="00584325" w:rsidP="001D41EA">
            <w:pPr>
              <w:spacing w:before="40" w:after="20"/>
              <w:rPr>
                <w:rFonts w:cs="Arial"/>
                <w:sz w:val="18"/>
                <w:szCs w:val="18"/>
              </w:rPr>
            </w:pPr>
            <w:r w:rsidRPr="001D41EA">
              <w:rPr>
                <w:rFonts w:cs="Arial"/>
                <w:sz w:val="18"/>
                <w:szCs w:val="18"/>
              </w:rPr>
              <w:t>Monash C</w:t>
            </w:r>
          </w:p>
        </w:tc>
        <w:tc>
          <w:tcPr>
            <w:tcW w:w="1361" w:type="dxa"/>
            <w:tcBorders>
              <w:top w:val="nil"/>
              <w:left w:val="single" w:sz="18" w:space="0" w:color="5F497A" w:themeColor="accent4" w:themeShade="BF"/>
              <w:bottom w:val="nil"/>
              <w:right w:val="nil"/>
            </w:tcBorders>
            <w:shd w:val="clear" w:color="auto" w:fill="auto"/>
            <w:noWrap/>
            <w:vAlign w:val="bottom"/>
          </w:tcPr>
          <w:p w14:paraId="79E4477A" w14:textId="6375803D" w:rsidR="00584325" w:rsidRPr="001D41EA" w:rsidRDefault="00584325" w:rsidP="001D41EA">
            <w:pPr>
              <w:spacing w:before="40" w:after="20"/>
              <w:jc w:val="right"/>
              <w:rPr>
                <w:rFonts w:cs="Arial"/>
                <w:sz w:val="18"/>
                <w:szCs w:val="18"/>
              </w:rPr>
            </w:pPr>
            <w:r w:rsidRPr="001D41EA">
              <w:rPr>
                <w:rFonts w:cs="Arial"/>
                <w:sz w:val="18"/>
                <w:szCs w:val="18"/>
              </w:rPr>
              <w:t>11,568,527</w:t>
            </w:r>
          </w:p>
        </w:tc>
        <w:tc>
          <w:tcPr>
            <w:tcW w:w="1361" w:type="dxa"/>
            <w:tcBorders>
              <w:top w:val="nil"/>
              <w:left w:val="nil"/>
              <w:bottom w:val="nil"/>
              <w:right w:val="nil"/>
            </w:tcBorders>
            <w:shd w:val="clear" w:color="auto" w:fill="auto"/>
            <w:noWrap/>
            <w:vAlign w:val="bottom"/>
          </w:tcPr>
          <w:p w14:paraId="45971E9D" w14:textId="2DC59FCB" w:rsidR="00584325" w:rsidRPr="001D41EA" w:rsidRDefault="00584325" w:rsidP="001D41EA">
            <w:pPr>
              <w:spacing w:before="40" w:after="20"/>
              <w:jc w:val="right"/>
              <w:rPr>
                <w:rFonts w:cs="Arial"/>
                <w:sz w:val="18"/>
                <w:szCs w:val="18"/>
              </w:rPr>
            </w:pPr>
            <w:r w:rsidRPr="001D41EA">
              <w:rPr>
                <w:rFonts w:cs="Arial"/>
                <w:sz w:val="18"/>
                <w:szCs w:val="18"/>
              </w:rPr>
              <w:t>17,544,253</w:t>
            </w:r>
          </w:p>
        </w:tc>
        <w:tc>
          <w:tcPr>
            <w:tcW w:w="1361" w:type="dxa"/>
            <w:tcBorders>
              <w:top w:val="nil"/>
              <w:left w:val="nil"/>
              <w:bottom w:val="nil"/>
              <w:right w:val="nil"/>
            </w:tcBorders>
            <w:shd w:val="clear" w:color="auto" w:fill="auto"/>
            <w:noWrap/>
            <w:vAlign w:val="bottom"/>
          </w:tcPr>
          <w:p w14:paraId="517E3A49" w14:textId="118FFD59" w:rsidR="00584325" w:rsidRPr="001D41EA" w:rsidRDefault="00584325" w:rsidP="001D41EA">
            <w:pPr>
              <w:spacing w:before="40" w:after="20"/>
              <w:jc w:val="right"/>
              <w:rPr>
                <w:rFonts w:cs="Arial"/>
                <w:sz w:val="18"/>
                <w:szCs w:val="18"/>
              </w:rPr>
            </w:pPr>
            <w:r w:rsidRPr="001D41EA">
              <w:rPr>
                <w:rFonts w:cs="Arial"/>
                <w:sz w:val="18"/>
                <w:szCs w:val="18"/>
              </w:rPr>
              <w:t>8,191,806</w:t>
            </w:r>
          </w:p>
        </w:tc>
        <w:tc>
          <w:tcPr>
            <w:tcW w:w="1361" w:type="dxa"/>
            <w:tcBorders>
              <w:top w:val="nil"/>
              <w:left w:val="nil"/>
              <w:bottom w:val="nil"/>
              <w:right w:val="nil"/>
            </w:tcBorders>
            <w:vAlign w:val="bottom"/>
          </w:tcPr>
          <w:p w14:paraId="728EE6C5" w14:textId="5BF70790" w:rsidR="00584325" w:rsidRPr="001D41EA" w:rsidRDefault="00584325" w:rsidP="001D41EA">
            <w:pPr>
              <w:spacing w:before="40" w:after="20"/>
              <w:jc w:val="right"/>
              <w:rPr>
                <w:rFonts w:cs="Arial"/>
                <w:sz w:val="18"/>
                <w:szCs w:val="18"/>
              </w:rPr>
            </w:pPr>
            <w:r w:rsidRPr="001D41EA">
              <w:rPr>
                <w:rFonts w:cs="Arial"/>
                <w:sz w:val="18"/>
                <w:szCs w:val="18"/>
              </w:rPr>
              <w:t>65,288,414</w:t>
            </w:r>
          </w:p>
        </w:tc>
        <w:tc>
          <w:tcPr>
            <w:tcW w:w="1361" w:type="dxa"/>
            <w:tcBorders>
              <w:top w:val="nil"/>
              <w:left w:val="nil"/>
              <w:bottom w:val="nil"/>
              <w:right w:val="nil"/>
            </w:tcBorders>
            <w:shd w:val="clear" w:color="auto" w:fill="auto"/>
            <w:noWrap/>
            <w:vAlign w:val="bottom"/>
          </w:tcPr>
          <w:p w14:paraId="6F38151D" w14:textId="2EE9FD0D" w:rsidR="00584325" w:rsidRPr="001D41EA" w:rsidRDefault="00584325" w:rsidP="001D41EA">
            <w:pPr>
              <w:spacing w:before="40" w:after="20"/>
              <w:jc w:val="right"/>
              <w:rPr>
                <w:rFonts w:cs="Arial"/>
                <w:sz w:val="18"/>
                <w:szCs w:val="18"/>
              </w:rPr>
            </w:pPr>
            <w:r w:rsidRPr="001D41EA">
              <w:rPr>
                <w:rFonts w:cs="Arial"/>
                <w:sz w:val="18"/>
                <w:szCs w:val="18"/>
              </w:rPr>
              <w:t>24,265,382</w:t>
            </w:r>
          </w:p>
        </w:tc>
      </w:tr>
      <w:tr w:rsidR="00584325" w:rsidRPr="001D41EA" w14:paraId="2697FD3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965D586" w14:textId="77777777" w:rsidR="00584325" w:rsidRPr="001D41EA" w:rsidRDefault="00584325" w:rsidP="001D41EA">
            <w:pPr>
              <w:spacing w:before="40" w:after="20"/>
              <w:rPr>
                <w:rFonts w:cs="Arial"/>
                <w:sz w:val="18"/>
                <w:szCs w:val="18"/>
              </w:rPr>
            </w:pPr>
            <w:r w:rsidRPr="001D41EA">
              <w:rPr>
                <w:rFonts w:cs="Arial"/>
                <w:sz w:val="18"/>
                <w:szCs w:val="18"/>
              </w:rPr>
              <w:t>Moonee Valley C</w:t>
            </w:r>
          </w:p>
        </w:tc>
        <w:tc>
          <w:tcPr>
            <w:tcW w:w="1361" w:type="dxa"/>
            <w:tcBorders>
              <w:top w:val="nil"/>
              <w:left w:val="single" w:sz="18" w:space="0" w:color="5F497A" w:themeColor="accent4" w:themeShade="BF"/>
              <w:bottom w:val="nil"/>
              <w:right w:val="nil"/>
            </w:tcBorders>
            <w:shd w:val="clear" w:color="auto" w:fill="auto"/>
            <w:noWrap/>
            <w:vAlign w:val="bottom"/>
          </w:tcPr>
          <w:p w14:paraId="02BD73DD" w14:textId="619D981D" w:rsidR="00584325" w:rsidRPr="001D41EA" w:rsidRDefault="00584325" w:rsidP="001D41EA">
            <w:pPr>
              <w:spacing w:before="40" w:after="20"/>
              <w:jc w:val="right"/>
              <w:rPr>
                <w:rFonts w:cs="Arial"/>
                <w:sz w:val="18"/>
                <w:szCs w:val="18"/>
              </w:rPr>
            </w:pPr>
            <w:r w:rsidRPr="001D41EA">
              <w:rPr>
                <w:rFonts w:cs="Arial"/>
                <w:sz w:val="18"/>
                <w:szCs w:val="18"/>
              </w:rPr>
              <w:t>7,232,692</w:t>
            </w:r>
          </w:p>
        </w:tc>
        <w:tc>
          <w:tcPr>
            <w:tcW w:w="1361" w:type="dxa"/>
            <w:tcBorders>
              <w:top w:val="nil"/>
              <w:left w:val="nil"/>
              <w:bottom w:val="nil"/>
              <w:right w:val="nil"/>
            </w:tcBorders>
            <w:shd w:val="clear" w:color="auto" w:fill="auto"/>
            <w:noWrap/>
            <w:vAlign w:val="bottom"/>
          </w:tcPr>
          <w:p w14:paraId="39129444" w14:textId="75E179CE" w:rsidR="00584325" w:rsidRPr="001D41EA" w:rsidRDefault="00584325" w:rsidP="001D41EA">
            <w:pPr>
              <w:spacing w:before="40" w:after="20"/>
              <w:jc w:val="right"/>
              <w:rPr>
                <w:rFonts w:cs="Arial"/>
                <w:sz w:val="18"/>
                <w:szCs w:val="18"/>
              </w:rPr>
            </w:pPr>
            <w:r w:rsidRPr="001D41EA">
              <w:rPr>
                <w:rFonts w:cs="Arial"/>
                <w:sz w:val="18"/>
                <w:szCs w:val="18"/>
              </w:rPr>
              <w:t>11,531,855</w:t>
            </w:r>
          </w:p>
        </w:tc>
        <w:tc>
          <w:tcPr>
            <w:tcW w:w="1361" w:type="dxa"/>
            <w:tcBorders>
              <w:top w:val="nil"/>
              <w:left w:val="nil"/>
              <w:bottom w:val="nil"/>
              <w:right w:val="nil"/>
            </w:tcBorders>
            <w:shd w:val="clear" w:color="auto" w:fill="auto"/>
            <w:noWrap/>
            <w:vAlign w:val="bottom"/>
          </w:tcPr>
          <w:p w14:paraId="18CECA47" w14:textId="660ADBE7" w:rsidR="00584325" w:rsidRPr="001D41EA" w:rsidRDefault="00584325" w:rsidP="001D41EA">
            <w:pPr>
              <w:spacing w:before="40" w:after="20"/>
              <w:jc w:val="right"/>
              <w:rPr>
                <w:rFonts w:cs="Arial"/>
                <w:sz w:val="18"/>
                <w:szCs w:val="18"/>
              </w:rPr>
            </w:pPr>
            <w:r w:rsidRPr="001D41EA">
              <w:rPr>
                <w:rFonts w:cs="Arial"/>
                <w:sz w:val="18"/>
                <w:szCs w:val="18"/>
              </w:rPr>
              <w:t>5,021,182</w:t>
            </w:r>
          </w:p>
        </w:tc>
        <w:tc>
          <w:tcPr>
            <w:tcW w:w="1361" w:type="dxa"/>
            <w:tcBorders>
              <w:top w:val="nil"/>
              <w:left w:val="nil"/>
              <w:bottom w:val="nil"/>
              <w:right w:val="nil"/>
            </w:tcBorders>
            <w:vAlign w:val="bottom"/>
          </w:tcPr>
          <w:p w14:paraId="5032BA8B" w14:textId="49A327BA" w:rsidR="00584325" w:rsidRPr="001D41EA" w:rsidRDefault="00584325" w:rsidP="001D41EA">
            <w:pPr>
              <w:spacing w:before="40" w:after="20"/>
              <w:jc w:val="right"/>
              <w:rPr>
                <w:rFonts w:cs="Arial"/>
                <w:sz w:val="18"/>
                <w:szCs w:val="18"/>
              </w:rPr>
            </w:pPr>
            <w:r w:rsidRPr="001D41EA">
              <w:rPr>
                <w:rFonts w:cs="Arial"/>
                <w:sz w:val="18"/>
                <w:szCs w:val="18"/>
              </w:rPr>
              <w:t>35,153,726</w:t>
            </w:r>
          </w:p>
        </w:tc>
        <w:tc>
          <w:tcPr>
            <w:tcW w:w="1361" w:type="dxa"/>
            <w:tcBorders>
              <w:top w:val="nil"/>
              <w:left w:val="nil"/>
              <w:bottom w:val="nil"/>
              <w:right w:val="nil"/>
            </w:tcBorders>
            <w:shd w:val="clear" w:color="auto" w:fill="auto"/>
            <w:noWrap/>
            <w:vAlign w:val="bottom"/>
          </w:tcPr>
          <w:p w14:paraId="452B3B8A" w14:textId="1337D940" w:rsidR="00584325" w:rsidRPr="001D41EA" w:rsidRDefault="00584325" w:rsidP="001D41EA">
            <w:pPr>
              <w:spacing w:before="40" w:after="20"/>
              <w:jc w:val="right"/>
              <w:rPr>
                <w:rFonts w:cs="Arial"/>
                <w:sz w:val="18"/>
                <w:szCs w:val="18"/>
              </w:rPr>
            </w:pPr>
            <w:r w:rsidRPr="001D41EA">
              <w:rPr>
                <w:rFonts w:cs="Arial"/>
                <w:sz w:val="18"/>
                <w:szCs w:val="18"/>
              </w:rPr>
              <w:t>17,282,643</w:t>
            </w:r>
          </w:p>
        </w:tc>
      </w:tr>
      <w:tr w:rsidR="00584325" w:rsidRPr="001D41EA" w14:paraId="1D33577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FD91565" w14:textId="77777777" w:rsidR="00584325" w:rsidRPr="001D41EA" w:rsidRDefault="00584325" w:rsidP="001D41EA">
            <w:pPr>
              <w:spacing w:before="40" w:after="20"/>
              <w:rPr>
                <w:rFonts w:cs="Arial"/>
                <w:sz w:val="18"/>
                <w:szCs w:val="18"/>
              </w:rPr>
            </w:pPr>
            <w:r w:rsidRPr="001D41EA">
              <w:rPr>
                <w:rFonts w:cs="Arial"/>
                <w:sz w:val="18"/>
                <w:szCs w:val="18"/>
              </w:rPr>
              <w:t>Moorabool S</w:t>
            </w:r>
          </w:p>
        </w:tc>
        <w:tc>
          <w:tcPr>
            <w:tcW w:w="1361" w:type="dxa"/>
            <w:tcBorders>
              <w:top w:val="nil"/>
              <w:left w:val="single" w:sz="18" w:space="0" w:color="5F497A" w:themeColor="accent4" w:themeShade="BF"/>
              <w:bottom w:val="nil"/>
              <w:right w:val="nil"/>
            </w:tcBorders>
            <w:shd w:val="clear" w:color="auto" w:fill="auto"/>
            <w:noWrap/>
            <w:vAlign w:val="bottom"/>
          </w:tcPr>
          <w:p w14:paraId="3616A04E" w14:textId="60961516" w:rsidR="00584325" w:rsidRPr="001D41EA" w:rsidRDefault="00584325" w:rsidP="001D41EA">
            <w:pPr>
              <w:spacing w:before="40" w:after="20"/>
              <w:jc w:val="right"/>
              <w:rPr>
                <w:rFonts w:cs="Arial"/>
                <w:sz w:val="18"/>
                <w:szCs w:val="18"/>
              </w:rPr>
            </w:pPr>
            <w:r w:rsidRPr="001D41EA">
              <w:rPr>
                <w:rFonts w:cs="Arial"/>
                <w:sz w:val="18"/>
                <w:szCs w:val="18"/>
              </w:rPr>
              <w:t>2,259,603</w:t>
            </w:r>
          </w:p>
        </w:tc>
        <w:tc>
          <w:tcPr>
            <w:tcW w:w="1361" w:type="dxa"/>
            <w:tcBorders>
              <w:top w:val="nil"/>
              <w:left w:val="nil"/>
              <w:bottom w:val="nil"/>
              <w:right w:val="nil"/>
            </w:tcBorders>
            <w:shd w:val="clear" w:color="auto" w:fill="auto"/>
            <w:noWrap/>
            <w:vAlign w:val="bottom"/>
          </w:tcPr>
          <w:p w14:paraId="1D10974C" w14:textId="78B3C69A" w:rsidR="00584325" w:rsidRPr="001D41EA" w:rsidRDefault="00584325" w:rsidP="001D41EA">
            <w:pPr>
              <w:spacing w:before="40" w:after="20"/>
              <w:jc w:val="right"/>
              <w:rPr>
                <w:rFonts w:cs="Arial"/>
                <w:sz w:val="18"/>
                <w:szCs w:val="18"/>
              </w:rPr>
            </w:pPr>
            <w:r w:rsidRPr="001D41EA">
              <w:rPr>
                <w:rFonts w:cs="Arial"/>
                <w:sz w:val="18"/>
                <w:szCs w:val="18"/>
              </w:rPr>
              <w:t>3,767,125</w:t>
            </w:r>
          </w:p>
        </w:tc>
        <w:tc>
          <w:tcPr>
            <w:tcW w:w="1361" w:type="dxa"/>
            <w:tcBorders>
              <w:top w:val="nil"/>
              <w:left w:val="nil"/>
              <w:bottom w:val="nil"/>
              <w:right w:val="nil"/>
            </w:tcBorders>
            <w:shd w:val="clear" w:color="auto" w:fill="auto"/>
            <w:noWrap/>
            <w:vAlign w:val="bottom"/>
          </w:tcPr>
          <w:p w14:paraId="2088F29D" w14:textId="23D70B71" w:rsidR="00584325" w:rsidRPr="001D41EA" w:rsidRDefault="00584325" w:rsidP="001D41EA">
            <w:pPr>
              <w:spacing w:before="40" w:after="20"/>
              <w:jc w:val="right"/>
              <w:rPr>
                <w:rFonts w:cs="Arial"/>
                <w:sz w:val="18"/>
                <w:szCs w:val="18"/>
              </w:rPr>
            </w:pPr>
            <w:r w:rsidRPr="001D41EA">
              <w:rPr>
                <w:rFonts w:cs="Arial"/>
                <w:sz w:val="18"/>
                <w:szCs w:val="18"/>
              </w:rPr>
              <w:t>1,852,193</w:t>
            </w:r>
          </w:p>
        </w:tc>
        <w:tc>
          <w:tcPr>
            <w:tcW w:w="1361" w:type="dxa"/>
            <w:tcBorders>
              <w:top w:val="nil"/>
              <w:left w:val="nil"/>
              <w:bottom w:val="nil"/>
              <w:right w:val="nil"/>
            </w:tcBorders>
            <w:vAlign w:val="bottom"/>
          </w:tcPr>
          <w:p w14:paraId="40D026C2" w14:textId="0BDEAD85" w:rsidR="00584325" w:rsidRPr="001D41EA" w:rsidRDefault="00584325" w:rsidP="001D41EA">
            <w:pPr>
              <w:spacing w:before="40" w:after="20"/>
              <w:jc w:val="right"/>
              <w:rPr>
                <w:rFonts w:cs="Arial"/>
                <w:sz w:val="18"/>
                <w:szCs w:val="18"/>
              </w:rPr>
            </w:pPr>
            <w:r w:rsidRPr="001D41EA">
              <w:rPr>
                <w:rFonts w:cs="Arial"/>
                <w:sz w:val="18"/>
                <w:szCs w:val="18"/>
              </w:rPr>
              <w:t>9,652,088</w:t>
            </w:r>
          </w:p>
        </w:tc>
        <w:tc>
          <w:tcPr>
            <w:tcW w:w="1361" w:type="dxa"/>
            <w:tcBorders>
              <w:top w:val="nil"/>
              <w:left w:val="nil"/>
              <w:bottom w:val="nil"/>
              <w:right w:val="nil"/>
            </w:tcBorders>
            <w:shd w:val="clear" w:color="auto" w:fill="auto"/>
            <w:noWrap/>
            <w:vAlign w:val="bottom"/>
          </w:tcPr>
          <w:p w14:paraId="0C6BC363" w14:textId="78B37505" w:rsidR="00584325" w:rsidRPr="001D41EA" w:rsidRDefault="00584325" w:rsidP="001D41EA">
            <w:pPr>
              <w:spacing w:before="40" w:after="20"/>
              <w:jc w:val="right"/>
              <w:rPr>
                <w:rFonts w:cs="Arial"/>
                <w:sz w:val="18"/>
                <w:szCs w:val="18"/>
              </w:rPr>
            </w:pPr>
            <w:r w:rsidRPr="001D41EA">
              <w:rPr>
                <w:rFonts w:cs="Arial"/>
                <w:sz w:val="18"/>
                <w:szCs w:val="18"/>
              </w:rPr>
              <w:t>5,871,029</w:t>
            </w:r>
          </w:p>
        </w:tc>
      </w:tr>
      <w:tr w:rsidR="00584325" w:rsidRPr="001D41EA" w14:paraId="3C10E6F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5AEB03E" w14:textId="77777777" w:rsidR="00584325" w:rsidRPr="001D41EA" w:rsidRDefault="00584325" w:rsidP="001D41EA">
            <w:pPr>
              <w:spacing w:before="40" w:after="20"/>
              <w:rPr>
                <w:rFonts w:cs="Arial"/>
                <w:sz w:val="18"/>
                <w:szCs w:val="18"/>
              </w:rPr>
            </w:pPr>
            <w:r w:rsidRPr="001D41EA">
              <w:rPr>
                <w:rFonts w:cs="Arial"/>
                <w:sz w:val="18"/>
                <w:szCs w:val="18"/>
              </w:rPr>
              <w:t>Moreland C</w:t>
            </w:r>
          </w:p>
        </w:tc>
        <w:tc>
          <w:tcPr>
            <w:tcW w:w="1361" w:type="dxa"/>
            <w:tcBorders>
              <w:top w:val="nil"/>
              <w:left w:val="single" w:sz="18" w:space="0" w:color="5F497A" w:themeColor="accent4" w:themeShade="BF"/>
              <w:bottom w:val="nil"/>
              <w:right w:val="nil"/>
            </w:tcBorders>
            <w:shd w:val="clear" w:color="auto" w:fill="auto"/>
            <w:noWrap/>
            <w:vAlign w:val="bottom"/>
          </w:tcPr>
          <w:p w14:paraId="29AC0FB8" w14:textId="179D3961" w:rsidR="00584325" w:rsidRPr="001D41EA" w:rsidRDefault="00584325" w:rsidP="001D41EA">
            <w:pPr>
              <w:spacing w:before="40" w:after="20"/>
              <w:jc w:val="right"/>
              <w:rPr>
                <w:rFonts w:cs="Arial"/>
                <w:sz w:val="18"/>
                <w:szCs w:val="18"/>
              </w:rPr>
            </w:pPr>
            <w:r w:rsidRPr="001D41EA">
              <w:rPr>
                <w:rFonts w:cs="Arial"/>
                <w:sz w:val="18"/>
                <w:szCs w:val="18"/>
              </w:rPr>
              <w:t>10,305,543</w:t>
            </w:r>
          </w:p>
        </w:tc>
        <w:tc>
          <w:tcPr>
            <w:tcW w:w="1361" w:type="dxa"/>
            <w:tcBorders>
              <w:top w:val="nil"/>
              <w:left w:val="nil"/>
              <w:bottom w:val="nil"/>
              <w:right w:val="nil"/>
            </w:tcBorders>
            <w:shd w:val="clear" w:color="auto" w:fill="auto"/>
            <w:noWrap/>
            <w:vAlign w:val="bottom"/>
          </w:tcPr>
          <w:p w14:paraId="48E3CD7A" w14:textId="05AEFBC2" w:rsidR="00584325" w:rsidRPr="001D41EA" w:rsidRDefault="00584325" w:rsidP="001D41EA">
            <w:pPr>
              <w:spacing w:before="40" w:after="20"/>
              <w:jc w:val="right"/>
              <w:rPr>
                <w:rFonts w:cs="Arial"/>
                <w:sz w:val="18"/>
                <w:szCs w:val="18"/>
              </w:rPr>
            </w:pPr>
            <w:r w:rsidRPr="001D41EA">
              <w:rPr>
                <w:rFonts w:cs="Arial"/>
                <w:sz w:val="18"/>
                <w:szCs w:val="18"/>
              </w:rPr>
              <w:t>17,595,066</w:t>
            </w:r>
          </w:p>
        </w:tc>
        <w:tc>
          <w:tcPr>
            <w:tcW w:w="1361" w:type="dxa"/>
            <w:tcBorders>
              <w:top w:val="nil"/>
              <w:left w:val="nil"/>
              <w:bottom w:val="nil"/>
              <w:right w:val="nil"/>
            </w:tcBorders>
            <w:shd w:val="clear" w:color="auto" w:fill="auto"/>
            <w:noWrap/>
            <w:vAlign w:val="bottom"/>
          </w:tcPr>
          <w:p w14:paraId="664E8DAC" w14:textId="24FCF9D3" w:rsidR="00584325" w:rsidRPr="001D41EA" w:rsidRDefault="00584325" w:rsidP="001D41EA">
            <w:pPr>
              <w:spacing w:before="40" w:after="20"/>
              <w:jc w:val="right"/>
              <w:rPr>
                <w:rFonts w:cs="Arial"/>
                <w:sz w:val="18"/>
                <w:szCs w:val="18"/>
              </w:rPr>
            </w:pPr>
            <w:r w:rsidRPr="001D41EA">
              <w:rPr>
                <w:rFonts w:cs="Arial"/>
                <w:sz w:val="18"/>
                <w:szCs w:val="18"/>
              </w:rPr>
              <w:t>7,084,022</w:t>
            </w:r>
          </w:p>
        </w:tc>
        <w:tc>
          <w:tcPr>
            <w:tcW w:w="1361" w:type="dxa"/>
            <w:tcBorders>
              <w:top w:val="nil"/>
              <w:left w:val="nil"/>
              <w:bottom w:val="nil"/>
              <w:right w:val="nil"/>
            </w:tcBorders>
            <w:vAlign w:val="bottom"/>
          </w:tcPr>
          <w:p w14:paraId="6E9DDCD8" w14:textId="1808DDE9" w:rsidR="00584325" w:rsidRPr="001D41EA" w:rsidRDefault="00584325" w:rsidP="001D41EA">
            <w:pPr>
              <w:spacing w:before="40" w:after="20"/>
              <w:jc w:val="right"/>
              <w:rPr>
                <w:rFonts w:cs="Arial"/>
                <w:sz w:val="18"/>
                <w:szCs w:val="18"/>
              </w:rPr>
            </w:pPr>
            <w:r w:rsidRPr="001D41EA">
              <w:rPr>
                <w:rFonts w:cs="Arial"/>
                <w:sz w:val="18"/>
                <w:szCs w:val="18"/>
              </w:rPr>
              <w:t>47,320,819</w:t>
            </w:r>
          </w:p>
        </w:tc>
        <w:tc>
          <w:tcPr>
            <w:tcW w:w="1361" w:type="dxa"/>
            <w:tcBorders>
              <w:top w:val="nil"/>
              <w:left w:val="nil"/>
              <w:bottom w:val="nil"/>
              <w:right w:val="nil"/>
            </w:tcBorders>
            <w:shd w:val="clear" w:color="auto" w:fill="auto"/>
            <w:noWrap/>
            <w:vAlign w:val="bottom"/>
          </w:tcPr>
          <w:p w14:paraId="392E30BF" w14:textId="2735E759" w:rsidR="00584325" w:rsidRPr="001D41EA" w:rsidRDefault="00584325" w:rsidP="001D41EA">
            <w:pPr>
              <w:spacing w:before="40" w:after="20"/>
              <w:jc w:val="right"/>
              <w:rPr>
                <w:rFonts w:cs="Arial"/>
                <w:sz w:val="18"/>
                <w:szCs w:val="18"/>
              </w:rPr>
            </w:pPr>
            <w:r w:rsidRPr="001D41EA">
              <w:rPr>
                <w:rFonts w:cs="Arial"/>
                <w:sz w:val="18"/>
                <w:szCs w:val="18"/>
              </w:rPr>
              <w:t>23,581,277</w:t>
            </w:r>
          </w:p>
        </w:tc>
      </w:tr>
      <w:tr w:rsidR="00584325" w:rsidRPr="001D41EA" w14:paraId="2116C8D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F79EB9F" w14:textId="77777777" w:rsidR="00584325" w:rsidRPr="001D41EA" w:rsidRDefault="00584325" w:rsidP="001D41EA">
            <w:pPr>
              <w:spacing w:before="40" w:after="20"/>
              <w:rPr>
                <w:rFonts w:cs="Arial"/>
                <w:sz w:val="18"/>
                <w:szCs w:val="18"/>
              </w:rPr>
            </w:pPr>
            <w:r w:rsidRPr="001D41EA">
              <w:rPr>
                <w:rFonts w:cs="Arial"/>
                <w:sz w:val="18"/>
                <w:szCs w:val="18"/>
              </w:rPr>
              <w:t>Mornington Peninsula S</w:t>
            </w:r>
          </w:p>
        </w:tc>
        <w:tc>
          <w:tcPr>
            <w:tcW w:w="1361" w:type="dxa"/>
            <w:tcBorders>
              <w:top w:val="nil"/>
              <w:left w:val="single" w:sz="18" w:space="0" w:color="5F497A" w:themeColor="accent4" w:themeShade="BF"/>
              <w:bottom w:val="nil"/>
              <w:right w:val="nil"/>
            </w:tcBorders>
            <w:shd w:val="clear" w:color="auto" w:fill="auto"/>
            <w:noWrap/>
            <w:vAlign w:val="bottom"/>
          </w:tcPr>
          <w:p w14:paraId="335114B2" w14:textId="59F9018B" w:rsidR="00584325" w:rsidRPr="001D41EA" w:rsidRDefault="00584325" w:rsidP="001D41EA">
            <w:pPr>
              <w:spacing w:before="40" w:after="20"/>
              <w:jc w:val="right"/>
              <w:rPr>
                <w:rFonts w:cs="Arial"/>
                <w:sz w:val="18"/>
                <w:szCs w:val="18"/>
              </w:rPr>
            </w:pPr>
            <w:r w:rsidRPr="001D41EA">
              <w:rPr>
                <w:rFonts w:cs="Arial"/>
                <w:sz w:val="18"/>
                <w:szCs w:val="18"/>
              </w:rPr>
              <w:t>10,797,303</w:t>
            </w:r>
          </w:p>
        </w:tc>
        <w:tc>
          <w:tcPr>
            <w:tcW w:w="1361" w:type="dxa"/>
            <w:tcBorders>
              <w:top w:val="nil"/>
              <w:left w:val="nil"/>
              <w:bottom w:val="nil"/>
              <w:right w:val="nil"/>
            </w:tcBorders>
            <w:shd w:val="clear" w:color="auto" w:fill="auto"/>
            <w:noWrap/>
            <w:vAlign w:val="bottom"/>
          </w:tcPr>
          <w:p w14:paraId="4893B3BA" w14:textId="40BD24E3" w:rsidR="00584325" w:rsidRPr="001D41EA" w:rsidRDefault="00584325" w:rsidP="001D41EA">
            <w:pPr>
              <w:spacing w:before="40" w:after="20"/>
              <w:jc w:val="right"/>
              <w:rPr>
                <w:rFonts w:cs="Arial"/>
                <w:sz w:val="18"/>
                <w:szCs w:val="18"/>
              </w:rPr>
            </w:pPr>
            <w:r w:rsidRPr="001D41EA">
              <w:rPr>
                <w:rFonts w:cs="Arial"/>
                <w:sz w:val="18"/>
                <w:szCs w:val="18"/>
              </w:rPr>
              <w:t>15,337,324</w:t>
            </w:r>
          </w:p>
        </w:tc>
        <w:tc>
          <w:tcPr>
            <w:tcW w:w="1361" w:type="dxa"/>
            <w:tcBorders>
              <w:top w:val="nil"/>
              <w:left w:val="nil"/>
              <w:bottom w:val="nil"/>
              <w:right w:val="nil"/>
            </w:tcBorders>
            <w:shd w:val="clear" w:color="auto" w:fill="auto"/>
            <w:noWrap/>
            <w:vAlign w:val="bottom"/>
          </w:tcPr>
          <w:p w14:paraId="6562AFD9" w14:textId="333CE7D1" w:rsidR="00584325" w:rsidRPr="001D41EA" w:rsidRDefault="00584325" w:rsidP="001D41EA">
            <w:pPr>
              <w:spacing w:before="40" w:after="20"/>
              <w:jc w:val="right"/>
              <w:rPr>
                <w:rFonts w:cs="Arial"/>
                <w:sz w:val="18"/>
                <w:szCs w:val="18"/>
              </w:rPr>
            </w:pPr>
            <w:r w:rsidRPr="001D41EA">
              <w:rPr>
                <w:rFonts w:cs="Arial"/>
                <w:sz w:val="18"/>
                <w:szCs w:val="18"/>
              </w:rPr>
              <w:t>10,132,337</w:t>
            </w:r>
          </w:p>
        </w:tc>
        <w:tc>
          <w:tcPr>
            <w:tcW w:w="1361" w:type="dxa"/>
            <w:tcBorders>
              <w:top w:val="nil"/>
              <w:left w:val="nil"/>
              <w:bottom w:val="nil"/>
              <w:right w:val="nil"/>
            </w:tcBorders>
            <w:vAlign w:val="bottom"/>
          </w:tcPr>
          <w:p w14:paraId="16010A66" w14:textId="4295FE1D" w:rsidR="00584325" w:rsidRPr="001D41EA" w:rsidRDefault="00584325" w:rsidP="001D41EA">
            <w:pPr>
              <w:spacing w:before="40" w:after="20"/>
              <w:jc w:val="right"/>
              <w:rPr>
                <w:rFonts w:cs="Arial"/>
                <w:sz w:val="18"/>
                <w:szCs w:val="18"/>
              </w:rPr>
            </w:pPr>
            <w:r w:rsidRPr="001D41EA">
              <w:rPr>
                <w:rFonts w:cs="Arial"/>
                <w:sz w:val="18"/>
                <w:szCs w:val="18"/>
              </w:rPr>
              <w:t>57,630,928</w:t>
            </w:r>
          </w:p>
        </w:tc>
        <w:tc>
          <w:tcPr>
            <w:tcW w:w="1361" w:type="dxa"/>
            <w:tcBorders>
              <w:top w:val="nil"/>
              <w:left w:val="nil"/>
              <w:bottom w:val="nil"/>
              <w:right w:val="nil"/>
            </w:tcBorders>
            <w:shd w:val="clear" w:color="auto" w:fill="auto"/>
            <w:noWrap/>
            <w:vAlign w:val="bottom"/>
          </w:tcPr>
          <w:p w14:paraId="40F8BA7B" w14:textId="0F42796D" w:rsidR="00584325" w:rsidRPr="001D41EA" w:rsidRDefault="00584325" w:rsidP="001D41EA">
            <w:pPr>
              <w:spacing w:before="40" w:after="20"/>
              <w:jc w:val="right"/>
              <w:rPr>
                <w:rFonts w:cs="Arial"/>
                <w:sz w:val="18"/>
                <w:szCs w:val="18"/>
              </w:rPr>
            </w:pPr>
            <w:r w:rsidRPr="001D41EA">
              <w:rPr>
                <w:rFonts w:cs="Arial"/>
                <w:sz w:val="18"/>
                <w:szCs w:val="18"/>
              </w:rPr>
              <w:t>33,805,905</w:t>
            </w:r>
          </w:p>
        </w:tc>
      </w:tr>
      <w:tr w:rsidR="00584325" w:rsidRPr="001D41EA" w14:paraId="195038C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223B6E0" w14:textId="77777777" w:rsidR="00584325" w:rsidRPr="001D41EA" w:rsidRDefault="00584325" w:rsidP="001D41EA">
            <w:pPr>
              <w:spacing w:before="40" w:after="20"/>
              <w:rPr>
                <w:rFonts w:cs="Arial"/>
                <w:sz w:val="18"/>
                <w:szCs w:val="18"/>
              </w:rPr>
            </w:pPr>
            <w:r w:rsidRPr="001D41EA">
              <w:rPr>
                <w:rFonts w:cs="Arial"/>
                <w:sz w:val="18"/>
                <w:szCs w:val="18"/>
              </w:rPr>
              <w:t>Mount Alexander S</w:t>
            </w:r>
          </w:p>
        </w:tc>
        <w:tc>
          <w:tcPr>
            <w:tcW w:w="1361" w:type="dxa"/>
            <w:tcBorders>
              <w:top w:val="nil"/>
              <w:left w:val="single" w:sz="18" w:space="0" w:color="5F497A" w:themeColor="accent4" w:themeShade="BF"/>
              <w:bottom w:val="nil"/>
              <w:right w:val="nil"/>
            </w:tcBorders>
            <w:shd w:val="clear" w:color="auto" w:fill="auto"/>
            <w:noWrap/>
            <w:vAlign w:val="bottom"/>
          </w:tcPr>
          <w:p w14:paraId="2F2B6FE4" w14:textId="04390ABE" w:rsidR="00584325" w:rsidRPr="001D41EA" w:rsidRDefault="00584325" w:rsidP="001D41EA">
            <w:pPr>
              <w:spacing w:before="40" w:after="20"/>
              <w:jc w:val="right"/>
              <w:rPr>
                <w:rFonts w:cs="Arial"/>
                <w:sz w:val="18"/>
                <w:szCs w:val="18"/>
              </w:rPr>
            </w:pPr>
            <w:r w:rsidRPr="001D41EA">
              <w:rPr>
                <w:rFonts w:cs="Arial"/>
                <w:sz w:val="18"/>
                <w:szCs w:val="18"/>
              </w:rPr>
              <w:t>1,236,066</w:t>
            </w:r>
          </w:p>
        </w:tc>
        <w:tc>
          <w:tcPr>
            <w:tcW w:w="1361" w:type="dxa"/>
            <w:tcBorders>
              <w:top w:val="nil"/>
              <w:left w:val="nil"/>
              <w:bottom w:val="nil"/>
              <w:right w:val="nil"/>
            </w:tcBorders>
            <w:shd w:val="clear" w:color="auto" w:fill="auto"/>
            <w:noWrap/>
            <w:vAlign w:val="bottom"/>
          </w:tcPr>
          <w:p w14:paraId="3070405E" w14:textId="1B5DBAB8" w:rsidR="00584325" w:rsidRPr="001D41EA" w:rsidRDefault="00584325" w:rsidP="001D41EA">
            <w:pPr>
              <w:spacing w:before="40" w:after="20"/>
              <w:jc w:val="right"/>
              <w:rPr>
                <w:rFonts w:cs="Arial"/>
                <w:sz w:val="18"/>
                <w:szCs w:val="18"/>
              </w:rPr>
            </w:pPr>
            <w:r w:rsidRPr="001D41EA">
              <w:rPr>
                <w:rFonts w:cs="Arial"/>
                <w:sz w:val="18"/>
                <w:szCs w:val="18"/>
              </w:rPr>
              <w:t>1,782,163</w:t>
            </w:r>
          </w:p>
        </w:tc>
        <w:tc>
          <w:tcPr>
            <w:tcW w:w="1361" w:type="dxa"/>
            <w:tcBorders>
              <w:top w:val="nil"/>
              <w:left w:val="nil"/>
              <w:bottom w:val="nil"/>
              <w:right w:val="nil"/>
            </w:tcBorders>
            <w:shd w:val="clear" w:color="auto" w:fill="auto"/>
            <w:noWrap/>
            <w:vAlign w:val="bottom"/>
          </w:tcPr>
          <w:p w14:paraId="5D622C04" w14:textId="75D0F850" w:rsidR="00584325" w:rsidRPr="001D41EA" w:rsidRDefault="00584325" w:rsidP="001D41EA">
            <w:pPr>
              <w:spacing w:before="40" w:after="20"/>
              <w:jc w:val="right"/>
              <w:rPr>
                <w:rFonts w:cs="Arial"/>
                <w:sz w:val="18"/>
                <w:szCs w:val="18"/>
              </w:rPr>
            </w:pPr>
            <w:r w:rsidRPr="001D41EA">
              <w:rPr>
                <w:rFonts w:cs="Arial"/>
                <w:sz w:val="18"/>
                <w:szCs w:val="18"/>
              </w:rPr>
              <w:t>1,359,363</w:t>
            </w:r>
          </w:p>
        </w:tc>
        <w:tc>
          <w:tcPr>
            <w:tcW w:w="1361" w:type="dxa"/>
            <w:tcBorders>
              <w:top w:val="nil"/>
              <w:left w:val="nil"/>
              <w:bottom w:val="nil"/>
              <w:right w:val="nil"/>
            </w:tcBorders>
            <w:vAlign w:val="bottom"/>
          </w:tcPr>
          <w:p w14:paraId="1A3F7570" w14:textId="6CD2FC3D" w:rsidR="00584325" w:rsidRPr="001D41EA" w:rsidRDefault="00584325" w:rsidP="001D41EA">
            <w:pPr>
              <w:spacing w:before="40" w:after="20"/>
              <w:jc w:val="right"/>
              <w:rPr>
                <w:rFonts w:cs="Arial"/>
                <w:sz w:val="18"/>
                <w:szCs w:val="18"/>
              </w:rPr>
            </w:pPr>
            <w:r w:rsidRPr="001D41EA">
              <w:rPr>
                <w:rFonts w:cs="Arial"/>
                <w:sz w:val="18"/>
                <w:szCs w:val="18"/>
              </w:rPr>
              <w:t>5,809,762</w:t>
            </w:r>
          </w:p>
        </w:tc>
        <w:tc>
          <w:tcPr>
            <w:tcW w:w="1361" w:type="dxa"/>
            <w:tcBorders>
              <w:top w:val="nil"/>
              <w:left w:val="nil"/>
              <w:bottom w:val="nil"/>
              <w:right w:val="nil"/>
            </w:tcBorders>
            <w:shd w:val="clear" w:color="auto" w:fill="auto"/>
            <w:noWrap/>
            <w:vAlign w:val="bottom"/>
          </w:tcPr>
          <w:p w14:paraId="0F891751" w14:textId="75238EA4" w:rsidR="00584325" w:rsidRPr="001D41EA" w:rsidRDefault="00584325" w:rsidP="001D41EA">
            <w:pPr>
              <w:spacing w:before="40" w:after="20"/>
              <w:jc w:val="right"/>
              <w:rPr>
                <w:rFonts w:cs="Arial"/>
                <w:sz w:val="18"/>
                <w:szCs w:val="18"/>
              </w:rPr>
            </w:pPr>
            <w:r w:rsidRPr="001D41EA">
              <w:rPr>
                <w:rFonts w:cs="Arial"/>
                <w:sz w:val="18"/>
                <w:szCs w:val="18"/>
              </w:rPr>
              <w:t>3,698,854</w:t>
            </w:r>
          </w:p>
        </w:tc>
      </w:tr>
      <w:tr w:rsidR="00584325" w:rsidRPr="001D41EA" w14:paraId="190CB34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59FB0B1" w14:textId="77777777" w:rsidR="00584325" w:rsidRPr="001D41EA" w:rsidRDefault="00584325" w:rsidP="001D41EA">
            <w:pPr>
              <w:spacing w:before="40" w:after="20"/>
              <w:rPr>
                <w:rFonts w:cs="Arial"/>
                <w:sz w:val="18"/>
                <w:szCs w:val="18"/>
              </w:rPr>
            </w:pPr>
            <w:r w:rsidRPr="001D41EA">
              <w:rPr>
                <w:rFonts w:cs="Arial"/>
                <w:sz w:val="18"/>
                <w:szCs w:val="18"/>
              </w:rPr>
              <w:t>Moyne S</w:t>
            </w:r>
          </w:p>
        </w:tc>
        <w:tc>
          <w:tcPr>
            <w:tcW w:w="1361" w:type="dxa"/>
            <w:tcBorders>
              <w:top w:val="nil"/>
              <w:left w:val="single" w:sz="18" w:space="0" w:color="5F497A" w:themeColor="accent4" w:themeShade="BF"/>
              <w:bottom w:val="nil"/>
              <w:right w:val="nil"/>
            </w:tcBorders>
            <w:shd w:val="clear" w:color="auto" w:fill="auto"/>
            <w:noWrap/>
            <w:vAlign w:val="bottom"/>
          </w:tcPr>
          <w:p w14:paraId="4A4A5430" w14:textId="70242BBA" w:rsidR="00584325" w:rsidRPr="001D41EA" w:rsidRDefault="00584325" w:rsidP="001D41EA">
            <w:pPr>
              <w:spacing w:before="40" w:after="20"/>
              <w:jc w:val="right"/>
              <w:rPr>
                <w:rFonts w:cs="Arial"/>
                <w:sz w:val="18"/>
                <w:szCs w:val="18"/>
              </w:rPr>
            </w:pPr>
            <w:r w:rsidRPr="001D41EA">
              <w:rPr>
                <w:rFonts w:cs="Arial"/>
                <w:sz w:val="18"/>
                <w:szCs w:val="18"/>
              </w:rPr>
              <w:t>1,414,805</w:t>
            </w:r>
          </w:p>
        </w:tc>
        <w:tc>
          <w:tcPr>
            <w:tcW w:w="1361" w:type="dxa"/>
            <w:tcBorders>
              <w:top w:val="nil"/>
              <w:left w:val="nil"/>
              <w:bottom w:val="nil"/>
              <w:right w:val="nil"/>
            </w:tcBorders>
            <w:shd w:val="clear" w:color="auto" w:fill="auto"/>
            <w:noWrap/>
            <w:vAlign w:val="bottom"/>
          </w:tcPr>
          <w:p w14:paraId="208C7FC5" w14:textId="36AE6C0B" w:rsidR="00584325" w:rsidRPr="001D41EA" w:rsidRDefault="00584325" w:rsidP="001D41EA">
            <w:pPr>
              <w:spacing w:before="40" w:after="20"/>
              <w:jc w:val="right"/>
              <w:rPr>
                <w:rFonts w:cs="Arial"/>
                <w:sz w:val="18"/>
                <w:szCs w:val="18"/>
              </w:rPr>
            </w:pPr>
            <w:r w:rsidRPr="001D41EA">
              <w:rPr>
                <w:rFonts w:cs="Arial"/>
                <w:sz w:val="18"/>
                <w:szCs w:val="18"/>
              </w:rPr>
              <w:t>1,788,464</w:t>
            </w:r>
          </w:p>
        </w:tc>
        <w:tc>
          <w:tcPr>
            <w:tcW w:w="1361" w:type="dxa"/>
            <w:tcBorders>
              <w:top w:val="nil"/>
              <w:left w:val="nil"/>
              <w:bottom w:val="nil"/>
              <w:right w:val="nil"/>
            </w:tcBorders>
            <w:shd w:val="clear" w:color="auto" w:fill="auto"/>
            <w:noWrap/>
            <w:vAlign w:val="bottom"/>
          </w:tcPr>
          <w:p w14:paraId="490E633C" w14:textId="5C73A402" w:rsidR="00584325" w:rsidRPr="001D41EA" w:rsidRDefault="00584325" w:rsidP="001D41EA">
            <w:pPr>
              <w:spacing w:before="40" w:after="20"/>
              <w:jc w:val="right"/>
              <w:rPr>
                <w:rFonts w:cs="Arial"/>
                <w:sz w:val="18"/>
                <w:szCs w:val="18"/>
              </w:rPr>
            </w:pPr>
            <w:r w:rsidRPr="001D41EA">
              <w:rPr>
                <w:rFonts w:cs="Arial"/>
                <w:sz w:val="18"/>
                <w:szCs w:val="18"/>
              </w:rPr>
              <w:t>1,046,889</w:t>
            </w:r>
          </w:p>
        </w:tc>
        <w:tc>
          <w:tcPr>
            <w:tcW w:w="1361" w:type="dxa"/>
            <w:tcBorders>
              <w:top w:val="nil"/>
              <w:left w:val="nil"/>
              <w:bottom w:val="nil"/>
              <w:right w:val="nil"/>
            </w:tcBorders>
            <w:vAlign w:val="bottom"/>
          </w:tcPr>
          <w:p w14:paraId="4801D741" w14:textId="5B67BB8A" w:rsidR="00584325" w:rsidRPr="001D41EA" w:rsidRDefault="00584325" w:rsidP="001D41EA">
            <w:pPr>
              <w:spacing w:before="40" w:after="20"/>
              <w:jc w:val="right"/>
              <w:rPr>
                <w:rFonts w:cs="Arial"/>
                <w:sz w:val="18"/>
                <w:szCs w:val="18"/>
              </w:rPr>
            </w:pPr>
            <w:r w:rsidRPr="001D41EA">
              <w:rPr>
                <w:rFonts w:cs="Arial"/>
                <w:sz w:val="18"/>
                <w:szCs w:val="18"/>
              </w:rPr>
              <w:t>5,327,237</w:t>
            </w:r>
          </w:p>
        </w:tc>
        <w:tc>
          <w:tcPr>
            <w:tcW w:w="1361" w:type="dxa"/>
            <w:tcBorders>
              <w:top w:val="nil"/>
              <w:left w:val="nil"/>
              <w:bottom w:val="nil"/>
              <w:right w:val="nil"/>
            </w:tcBorders>
            <w:shd w:val="clear" w:color="auto" w:fill="auto"/>
            <w:noWrap/>
            <w:vAlign w:val="bottom"/>
          </w:tcPr>
          <w:p w14:paraId="09ABA605" w14:textId="35927CAB" w:rsidR="00584325" w:rsidRPr="001D41EA" w:rsidRDefault="00584325" w:rsidP="001D41EA">
            <w:pPr>
              <w:spacing w:before="40" w:after="20"/>
              <w:jc w:val="right"/>
              <w:rPr>
                <w:rFonts w:cs="Arial"/>
                <w:sz w:val="18"/>
                <w:szCs w:val="18"/>
              </w:rPr>
            </w:pPr>
            <w:r w:rsidRPr="001D41EA">
              <w:rPr>
                <w:rFonts w:cs="Arial"/>
                <w:sz w:val="18"/>
                <w:szCs w:val="18"/>
              </w:rPr>
              <w:t>3,641,993</w:t>
            </w:r>
          </w:p>
        </w:tc>
      </w:tr>
      <w:tr w:rsidR="00584325" w:rsidRPr="001D41EA" w14:paraId="2BAEDD1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746A41B" w14:textId="77777777" w:rsidR="00584325" w:rsidRPr="001D41EA" w:rsidRDefault="00584325" w:rsidP="001D41EA">
            <w:pPr>
              <w:spacing w:before="40" w:after="20"/>
              <w:rPr>
                <w:rFonts w:cs="Arial"/>
                <w:sz w:val="18"/>
                <w:szCs w:val="18"/>
              </w:rPr>
            </w:pPr>
            <w:r w:rsidRPr="001D41EA">
              <w:rPr>
                <w:rFonts w:cs="Arial"/>
                <w:sz w:val="18"/>
                <w:szCs w:val="18"/>
              </w:rPr>
              <w:t>Murrindindi S</w:t>
            </w:r>
          </w:p>
        </w:tc>
        <w:tc>
          <w:tcPr>
            <w:tcW w:w="1361" w:type="dxa"/>
            <w:tcBorders>
              <w:top w:val="nil"/>
              <w:left w:val="single" w:sz="18" w:space="0" w:color="5F497A" w:themeColor="accent4" w:themeShade="BF"/>
              <w:bottom w:val="nil"/>
              <w:right w:val="nil"/>
            </w:tcBorders>
            <w:shd w:val="clear" w:color="auto" w:fill="auto"/>
            <w:noWrap/>
            <w:vAlign w:val="bottom"/>
          </w:tcPr>
          <w:p w14:paraId="0C125636" w14:textId="4FC5764D" w:rsidR="00584325" w:rsidRPr="001D41EA" w:rsidRDefault="00584325" w:rsidP="001D41EA">
            <w:pPr>
              <w:spacing w:before="40" w:after="20"/>
              <w:jc w:val="right"/>
              <w:rPr>
                <w:rFonts w:cs="Arial"/>
                <w:sz w:val="18"/>
                <w:szCs w:val="18"/>
              </w:rPr>
            </w:pPr>
            <w:r w:rsidRPr="001D41EA">
              <w:rPr>
                <w:rFonts w:cs="Arial"/>
                <w:sz w:val="18"/>
                <w:szCs w:val="18"/>
              </w:rPr>
              <w:t>1,441,101</w:t>
            </w:r>
          </w:p>
        </w:tc>
        <w:tc>
          <w:tcPr>
            <w:tcW w:w="1361" w:type="dxa"/>
            <w:tcBorders>
              <w:top w:val="nil"/>
              <w:left w:val="nil"/>
              <w:bottom w:val="nil"/>
              <w:right w:val="nil"/>
            </w:tcBorders>
            <w:shd w:val="clear" w:color="auto" w:fill="auto"/>
            <w:noWrap/>
            <w:vAlign w:val="bottom"/>
          </w:tcPr>
          <w:p w14:paraId="36820426" w14:textId="65583B11" w:rsidR="00584325" w:rsidRPr="001D41EA" w:rsidRDefault="00584325" w:rsidP="001D41EA">
            <w:pPr>
              <w:spacing w:before="40" w:after="20"/>
              <w:jc w:val="right"/>
              <w:rPr>
                <w:rFonts w:cs="Arial"/>
                <w:sz w:val="18"/>
                <w:szCs w:val="18"/>
              </w:rPr>
            </w:pPr>
            <w:r w:rsidRPr="001D41EA">
              <w:rPr>
                <w:rFonts w:cs="Arial"/>
                <w:sz w:val="18"/>
                <w:szCs w:val="18"/>
              </w:rPr>
              <w:t>1,545,458</w:t>
            </w:r>
          </w:p>
        </w:tc>
        <w:tc>
          <w:tcPr>
            <w:tcW w:w="1361" w:type="dxa"/>
            <w:tcBorders>
              <w:top w:val="nil"/>
              <w:left w:val="nil"/>
              <w:bottom w:val="nil"/>
              <w:right w:val="nil"/>
            </w:tcBorders>
            <w:shd w:val="clear" w:color="auto" w:fill="auto"/>
            <w:noWrap/>
            <w:vAlign w:val="bottom"/>
          </w:tcPr>
          <w:p w14:paraId="34E5F7ED" w14:textId="04DEE5E1" w:rsidR="00584325" w:rsidRPr="001D41EA" w:rsidRDefault="00584325" w:rsidP="001D41EA">
            <w:pPr>
              <w:spacing w:before="40" w:after="20"/>
              <w:jc w:val="right"/>
              <w:rPr>
                <w:rFonts w:cs="Arial"/>
                <w:sz w:val="18"/>
                <w:szCs w:val="18"/>
              </w:rPr>
            </w:pPr>
            <w:r w:rsidRPr="001D41EA">
              <w:rPr>
                <w:rFonts w:cs="Arial"/>
                <w:sz w:val="18"/>
                <w:szCs w:val="18"/>
              </w:rPr>
              <w:t>1,256,401</w:t>
            </w:r>
          </w:p>
        </w:tc>
        <w:tc>
          <w:tcPr>
            <w:tcW w:w="1361" w:type="dxa"/>
            <w:tcBorders>
              <w:top w:val="nil"/>
              <w:left w:val="nil"/>
              <w:bottom w:val="nil"/>
              <w:right w:val="nil"/>
            </w:tcBorders>
            <w:vAlign w:val="bottom"/>
          </w:tcPr>
          <w:p w14:paraId="75651BEE" w14:textId="76258F06" w:rsidR="00584325" w:rsidRPr="001D41EA" w:rsidRDefault="00584325" w:rsidP="001D41EA">
            <w:pPr>
              <w:spacing w:before="40" w:after="20"/>
              <w:jc w:val="right"/>
              <w:rPr>
                <w:rFonts w:cs="Arial"/>
                <w:sz w:val="18"/>
                <w:szCs w:val="18"/>
              </w:rPr>
            </w:pPr>
            <w:r w:rsidRPr="001D41EA">
              <w:rPr>
                <w:rFonts w:cs="Arial"/>
                <w:sz w:val="18"/>
                <w:szCs w:val="18"/>
              </w:rPr>
              <w:t>5,424,566</w:t>
            </w:r>
          </w:p>
        </w:tc>
        <w:tc>
          <w:tcPr>
            <w:tcW w:w="1361" w:type="dxa"/>
            <w:tcBorders>
              <w:top w:val="nil"/>
              <w:left w:val="nil"/>
              <w:bottom w:val="nil"/>
              <w:right w:val="nil"/>
            </w:tcBorders>
            <w:shd w:val="clear" w:color="auto" w:fill="auto"/>
            <w:noWrap/>
            <w:vAlign w:val="bottom"/>
          </w:tcPr>
          <w:p w14:paraId="42ED7BB0" w14:textId="19ECD26B" w:rsidR="00584325" w:rsidRPr="001D41EA" w:rsidRDefault="00584325" w:rsidP="001D41EA">
            <w:pPr>
              <w:spacing w:before="40" w:after="20"/>
              <w:jc w:val="right"/>
              <w:rPr>
                <w:rFonts w:cs="Arial"/>
                <w:sz w:val="18"/>
                <w:szCs w:val="18"/>
              </w:rPr>
            </w:pPr>
            <w:r w:rsidRPr="001D41EA">
              <w:rPr>
                <w:rFonts w:cs="Arial"/>
                <w:sz w:val="18"/>
                <w:szCs w:val="18"/>
              </w:rPr>
              <w:t>3,805,296</w:t>
            </w:r>
          </w:p>
        </w:tc>
      </w:tr>
      <w:tr w:rsidR="00584325" w:rsidRPr="001D41EA" w14:paraId="74B2261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E648023" w14:textId="77777777" w:rsidR="00584325" w:rsidRPr="001D41EA" w:rsidRDefault="00584325" w:rsidP="001D41EA">
            <w:pPr>
              <w:spacing w:before="40" w:after="20"/>
              <w:rPr>
                <w:rFonts w:cs="Arial"/>
                <w:sz w:val="18"/>
                <w:szCs w:val="18"/>
              </w:rPr>
            </w:pPr>
            <w:r w:rsidRPr="001D41EA">
              <w:rPr>
                <w:rFonts w:cs="Arial"/>
                <w:sz w:val="18"/>
                <w:szCs w:val="18"/>
              </w:rPr>
              <w:t>Nillumbik S</w:t>
            </w:r>
          </w:p>
        </w:tc>
        <w:tc>
          <w:tcPr>
            <w:tcW w:w="1361" w:type="dxa"/>
            <w:tcBorders>
              <w:top w:val="nil"/>
              <w:left w:val="single" w:sz="18" w:space="0" w:color="5F497A" w:themeColor="accent4" w:themeShade="BF"/>
              <w:bottom w:val="nil"/>
              <w:right w:val="nil"/>
            </w:tcBorders>
            <w:shd w:val="clear" w:color="auto" w:fill="auto"/>
            <w:noWrap/>
            <w:vAlign w:val="bottom"/>
          </w:tcPr>
          <w:p w14:paraId="2094B52E" w14:textId="2D510274" w:rsidR="00584325" w:rsidRPr="001D41EA" w:rsidRDefault="00584325" w:rsidP="001D41EA">
            <w:pPr>
              <w:spacing w:before="40" w:after="20"/>
              <w:jc w:val="right"/>
              <w:rPr>
                <w:rFonts w:cs="Arial"/>
                <w:sz w:val="18"/>
                <w:szCs w:val="18"/>
              </w:rPr>
            </w:pPr>
            <w:r w:rsidRPr="001D41EA">
              <w:rPr>
                <w:rFonts w:cs="Arial"/>
                <w:sz w:val="18"/>
                <w:szCs w:val="18"/>
              </w:rPr>
              <w:t>3,644,360</w:t>
            </w:r>
          </w:p>
        </w:tc>
        <w:tc>
          <w:tcPr>
            <w:tcW w:w="1361" w:type="dxa"/>
            <w:tcBorders>
              <w:top w:val="nil"/>
              <w:left w:val="nil"/>
              <w:bottom w:val="nil"/>
              <w:right w:val="nil"/>
            </w:tcBorders>
            <w:shd w:val="clear" w:color="auto" w:fill="auto"/>
            <w:noWrap/>
            <w:vAlign w:val="bottom"/>
          </w:tcPr>
          <w:p w14:paraId="03F75FEF" w14:textId="17D7DCBB" w:rsidR="00584325" w:rsidRPr="001D41EA" w:rsidRDefault="00584325" w:rsidP="001D41EA">
            <w:pPr>
              <w:spacing w:before="40" w:after="20"/>
              <w:jc w:val="right"/>
              <w:rPr>
                <w:rFonts w:cs="Arial"/>
                <w:sz w:val="18"/>
                <w:szCs w:val="18"/>
              </w:rPr>
            </w:pPr>
            <w:r w:rsidRPr="001D41EA">
              <w:rPr>
                <w:rFonts w:cs="Arial"/>
                <w:sz w:val="18"/>
                <w:szCs w:val="18"/>
              </w:rPr>
              <w:t>5,203,251</w:t>
            </w:r>
          </w:p>
        </w:tc>
        <w:tc>
          <w:tcPr>
            <w:tcW w:w="1361" w:type="dxa"/>
            <w:tcBorders>
              <w:top w:val="nil"/>
              <w:left w:val="nil"/>
              <w:bottom w:val="nil"/>
              <w:right w:val="nil"/>
            </w:tcBorders>
            <w:shd w:val="clear" w:color="auto" w:fill="auto"/>
            <w:noWrap/>
            <w:vAlign w:val="bottom"/>
          </w:tcPr>
          <w:p w14:paraId="44280C78" w14:textId="4F3BBB70" w:rsidR="00584325" w:rsidRPr="001D41EA" w:rsidRDefault="00584325" w:rsidP="001D41EA">
            <w:pPr>
              <w:spacing w:before="40" w:after="20"/>
              <w:jc w:val="right"/>
              <w:rPr>
                <w:rFonts w:cs="Arial"/>
                <w:sz w:val="18"/>
                <w:szCs w:val="18"/>
              </w:rPr>
            </w:pPr>
            <w:r w:rsidRPr="001D41EA">
              <w:rPr>
                <w:rFonts w:cs="Arial"/>
                <w:sz w:val="18"/>
                <w:szCs w:val="18"/>
              </w:rPr>
              <w:t>1,602,666</w:t>
            </w:r>
          </w:p>
        </w:tc>
        <w:tc>
          <w:tcPr>
            <w:tcW w:w="1361" w:type="dxa"/>
            <w:tcBorders>
              <w:top w:val="nil"/>
              <w:left w:val="nil"/>
              <w:bottom w:val="nil"/>
              <w:right w:val="nil"/>
            </w:tcBorders>
            <w:vAlign w:val="bottom"/>
          </w:tcPr>
          <w:p w14:paraId="4F733DB8" w14:textId="419298CB" w:rsidR="00584325" w:rsidRPr="001D41EA" w:rsidRDefault="00584325" w:rsidP="001D41EA">
            <w:pPr>
              <w:spacing w:before="40" w:after="20"/>
              <w:jc w:val="right"/>
              <w:rPr>
                <w:rFonts w:cs="Arial"/>
                <w:sz w:val="18"/>
                <w:szCs w:val="18"/>
              </w:rPr>
            </w:pPr>
            <w:r w:rsidRPr="001D41EA">
              <w:rPr>
                <w:rFonts w:cs="Arial"/>
                <w:sz w:val="18"/>
                <w:szCs w:val="18"/>
              </w:rPr>
              <w:t>16,130,370</w:t>
            </w:r>
          </w:p>
        </w:tc>
        <w:tc>
          <w:tcPr>
            <w:tcW w:w="1361" w:type="dxa"/>
            <w:tcBorders>
              <w:top w:val="nil"/>
              <w:left w:val="nil"/>
              <w:bottom w:val="nil"/>
              <w:right w:val="nil"/>
            </w:tcBorders>
            <w:shd w:val="clear" w:color="auto" w:fill="auto"/>
            <w:noWrap/>
            <w:vAlign w:val="bottom"/>
          </w:tcPr>
          <w:p w14:paraId="1313ABCA" w14:textId="2FFC8D2C" w:rsidR="00584325" w:rsidRPr="001D41EA" w:rsidRDefault="00584325" w:rsidP="001D41EA">
            <w:pPr>
              <w:spacing w:before="40" w:after="20"/>
              <w:jc w:val="right"/>
              <w:rPr>
                <w:rFonts w:cs="Arial"/>
                <w:sz w:val="18"/>
                <w:szCs w:val="18"/>
              </w:rPr>
            </w:pPr>
            <w:r w:rsidRPr="001D41EA">
              <w:rPr>
                <w:rFonts w:cs="Arial"/>
                <w:sz w:val="18"/>
                <w:szCs w:val="18"/>
              </w:rPr>
              <w:t>7,509,203</w:t>
            </w:r>
          </w:p>
        </w:tc>
      </w:tr>
      <w:tr w:rsidR="00584325" w:rsidRPr="001D41EA" w14:paraId="482C4C4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16C4C05" w14:textId="77777777" w:rsidR="00584325" w:rsidRPr="001D41EA" w:rsidRDefault="00584325" w:rsidP="001D41EA">
            <w:pPr>
              <w:spacing w:before="40" w:after="20"/>
              <w:rPr>
                <w:rFonts w:cs="Arial"/>
                <w:sz w:val="18"/>
                <w:szCs w:val="18"/>
              </w:rPr>
            </w:pPr>
            <w:r w:rsidRPr="001D41EA">
              <w:rPr>
                <w:rFonts w:cs="Arial"/>
                <w:sz w:val="18"/>
                <w:szCs w:val="18"/>
              </w:rPr>
              <w:t>Northern Grampians S</w:t>
            </w:r>
          </w:p>
        </w:tc>
        <w:tc>
          <w:tcPr>
            <w:tcW w:w="1361" w:type="dxa"/>
            <w:tcBorders>
              <w:top w:val="nil"/>
              <w:left w:val="single" w:sz="18" w:space="0" w:color="5F497A" w:themeColor="accent4" w:themeShade="BF"/>
              <w:bottom w:val="nil"/>
              <w:right w:val="nil"/>
            </w:tcBorders>
            <w:shd w:val="clear" w:color="auto" w:fill="auto"/>
            <w:noWrap/>
            <w:vAlign w:val="bottom"/>
          </w:tcPr>
          <w:p w14:paraId="62AD4BD5" w14:textId="06C09A45" w:rsidR="00584325" w:rsidRPr="001D41EA" w:rsidRDefault="00584325" w:rsidP="001D41EA">
            <w:pPr>
              <w:spacing w:before="40" w:after="20"/>
              <w:jc w:val="right"/>
              <w:rPr>
                <w:rFonts w:cs="Arial"/>
                <w:sz w:val="18"/>
                <w:szCs w:val="18"/>
              </w:rPr>
            </w:pPr>
            <w:r w:rsidRPr="001D41EA">
              <w:rPr>
                <w:rFonts w:cs="Arial"/>
                <w:sz w:val="18"/>
                <w:szCs w:val="18"/>
              </w:rPr>
              <w:t>1,449,642</w:t>
            </w:r>
          </w:p>
        </w:tc>
        <w:tc>
          <w:tcPr>
            <w:tcW w:w="1361" w:type="dxa"/>
            <w:tcBorders>
              <w:top w:val="nil"/>
              <w:left w:val="nil"/>
              <w:bottom w:val="nil"/>
              <w:right w:val="nil"/>
            </w:tcBorders>
            <w:shd w:val="clear" w:color="auto" w:fill="auto"/>
            <w:noWrap/>
            <w:vAlign w:val="bottom"/>
          </w:tcPr>
          <w:p w14:paraId="2D431980" w14:textId="25EAEEE8" w:rsidR="00584325" w:rsidRPr="001D41EA" w:rsidRDefault="00584325" w:rsidP="001D41EA">
            <w:pPr>
              <w:spacing w:before="40" w:after="20"/>
              <w:jc w:val="right"/>
              <w:rPr>
                <w:rFonts w:cs="Arial"/>
                <w:sz w:val="18"/>
                <w:szCs w:val="18"/>
              </w:rPr>
            </w:pPr>
            <w:r w:rsidRPr="001D41EA">
              <w:rPr>
                <w:rFonts w:cs="Arial"/>
                <w:sz w:val="18"/>
                <w:szCs w:val="18"/>
              </w:rPr>
              <w:t>1,214,595</w:t>
            </w:r>
          </w:p>
        </w:tc>
        <w:tc>
          <w:tcPr>
            <w:tcW w:w="1361" w:type="dxa"/>
            <w:tcBorders>
              <w:top w:val="nil"/>
              <w:left w:val="nil"/>
              <w:bottom w:val="nil"/>
              <w:right w:val="nil"/>
            </w:tcBorders>
            <w:shd w:val="clear" w:color="auto" w:fill="auto"/>
            <w:noWrap/>
            <w:vAlign w:val="bottom"/>
          </w:tcPr>
          <w:p w14:paraId="0236054B" w14:textId="40DC09B5" w:rsidR="00584325" w:rsidRPr="001D41EA" w:rsidRDefault="00584325" w:rsidP="001D41EA">
            <w:pPr>
              <w:spacing w:before="40" w:after="20"/>
              <w:jc w:val="right"/>
              <w:rPr>
                <w:rFonts w:cs="Arial"/>
                <w:sz w:val="18"/>
                <w:szCs w:val="18"/>
              </w:rPr>
            </w:pPr>
            <w:r w:rsidRPr="001D41EA">
              <w:rPr>
                <w:rFonts w:cs="Arial"/>
                <w:sz w:val="18"/>
                <w:szCs w:val="18"/>
              </w:rPr>
              <w:t>1,169,299</w:t>
            </w:r>
          </w:p>
        </w:tc>
        <w:tc>
          <w:tcPr>
            <w:tcW w:w="1361" w:type="dxa"/>
            <w:tcBorders>
              <w:top w:val="nil"/>
              <w:left w:val="nil"/>
              <w:bottom w:val="nil"/>
              <w:right w:val="nil"/>
            </w:tcBorders>
            <w:vAlign w:val="bottom"/>
          </w:tcPr>
          <w:p w14:paraId="6D75ADCA" w14:textId="546D2CE9" w:rsidR="00584325" w:rsidRPr="001D41EA" w:rsidRDefault="00584325" w:rsidP="001D41EA">
            <w:pPr>
              <w:spacing w:before="40" w:after="20"/>
              <w:jc w:val="right"/>
              <w:rPr>
                <w:rFonts w:cs="Arial"/>
                <w:sz w:val="18"/>
                <w:szCs w:val="18"/>
              </w:rPr>
            </w:pPr>
            <w:r w:rsidRPr="001D41EA">
              <w:rPr>
                <w:rFonts w:cs="Arial"/>
                <w:sz w:val="18"/>
                <w:szCs w:val="18"/>
              </w:rPr>
              <w:t>4,142,991</w:t>
            </w:r>
          </w:p>
        </w:tc>
        <w:tc>
          <w:tcPr>
            <w:tcW w:w="1361" w:type="dxa"/>
            <w:tcBorders>
              <w:top w:val="nil"/>
              <w:left w:val="nil"/>
              <w:bottom w:val="nil"/>
              <w:right w:val="nil"/>
            </w:tcBorders>
            <w:shd w:val="clear" w:color="auto" w:fill="auto"/>
            <w:noWrap/>
            <w:vAlign w:val="bottom"/>
          </w:tcPr>
          <w:p w14:paraId="56990A48" w14:textId="7B60BD68" w:rsidR="00584325" w:rsidRPr="001D41EA" w:rsidRDefault="00584325" w:rsidP="001D41EA">
            <w:pPr>
              <w:spacing w:before="40" w:after="20"/>
              <w:jc w:val="right"/>
              <w:rPr>
                <w:rFonts w:cs="Arial"/>
                <w:sz w:val="18"/>
                <w:szCs w:val="18"/>
              </w:rPr>
            </w:pPr>
            <w:r w:rsidRPr="001D41EA">
              <w:rPr>
                <w:rFonts w:cs="Arial"/>
                <w:sz w:val="18"/>
                <w:szCs w:val="18"/>
              </w:rPr>
              <w:t>2,809,401</w:t>
            </w:r>
          </w:p>
        </w:tc>
      </w:tr>
      <w:tr w:rsidR="00584325" w:rsidRPr="001D41EA" w14:paraId="66D059D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6778E71" w14:textId="77777777" w:rsidR="00584325" w:rsidRPr="001D41EA" w:rsidRDefault="00584325" w:rsidP="001D41EA">
            <w:pPr>
              <w:spacing w:before="40" w:after="20"/>
              <w:rPr>
                <w:rFonts w:cs="Arial"/>
                <w:sz w:val="18"/>
                <w:szCs w:val="18"/>
              </w:rPr>
            </w:pPr>
            <w:r w:rsidRPr="001D41EA">
              <w:rPr>
                <w:rFonts w:cs="Arial"/>
                <w:sz w:val="18"/>
                <w:szCs w:val="18"/>
              </w:rPr>
              <w:t>Port Phillip C</w:t>
            </w:r>
          </w:p>
        </w:tc>
        <w:tc>
          <w:tcPr>
            <w:tcW w:w="1361" w:type="dxa"/>
            <w:tcBorders>
              <w:top w:val="nil"/>
              <w:left w:val="single" w:sz="18" w:space="0" w:color="5F497A" w:themeColor="accent4" w:themeShade="BF"/>
              <w:bottom w:val="nil"/>
              <w:right w:val="nil"/>
            </w:tcBorders>
            <w:shd w:val="clear" w:color="auto" w:fill="auto"/>
            <w:noWrap/>
            <w:vAlign w:val="bottom"/>
          </w:tcPr>
          <w:p w14:paraId="13A083E8" w14:textId="494F4C05" w:rsidR="00584325" w:rsidRPr="001D41EA" w:rsidRDefault="00584325" w:rsidP="001D41EA">
            <w:pPr>
              <w:spacing w:before="40" w:after="20"/>
              <w:jc w:val="right"/>
              <w:rPr>
                <w:rFonts w:cs="Arial"/>
                <w:sz w:val="18"/>
                <w:szCs w:val="18"/>
              </w:rPr>
            </w:pPr>
            <w:r w:rsidRPr="001D41EA">
              <w:rPr>
                <w:rFonts w:cs="Arial"/>
                <w:sz w:val="18"/>
                <w:szCs w:val="18"/>
              </w:rPr>
              <w:t>6,321,654</w:t>
            </w:r>
          </w:p>
        </w:tc>
        <w:tc>
          <w:tcPr>
            <w:tcW w:w="1361" w:type="dxa"/>
            <w:tcBorders>
              <w:top w:val="nil"/>
              <w:left w:val="nil"/>
              <w:bottom w:val="nil"/>
              <w:right w:val="nil"/>
            </w:tcBorders>
            <w:shd w:val="clear" w:color="auto" w:fill="auto"/>
            <w:noWrap/>
            <w:vAlign w:val="bottom"/>
          </w:tcPr>
          <w:p w14:paraId="0FF1229E" w14:textId="022444CC" w:rsidR="00584325" w:rsidRPr="001D41EA" w:rsidRDefault="00584325" w:rsidP="001D41EA">
            <w:pPr>
              <w:spacing w:before="40" w:after="20"/>
              <w:jc w:val="right"/>
              <w:rPr>
                <w:rFonts w:cs="Arial"/>
                <w:sz w:val="18"/>
                <w:szCs w:val="18"/>
              </w:rPr>
            </w:pPr>
            <w:r w:rsidRPr="001D41EA">
              <w:rPr>
                <w:rFonts w:cs="Arial"/>
                <w:sz w:val="18"/>
                <w:szCs w:val="18"/>
              </w:rPr>
              <w:t>9,035,089</w:t>
            </w:r>
          </w:p>
        </w:tc>
        <w:tc>
          <w:tcPr>
            <w:tcW w:w="1361" w:type="dxa"/>
            <w:tcBorders>
              <w:top w:val="nil"/>
              <w:left w:val="nil"/>
              <w:bottom w:val="nil"/>
              <w:right w:val="nil"/>
            </w:tcBorders>
            <w:shd w:val="clear" w:color="auto" w:fill="auto"/>
            <w:noWrap/>
            <w:vAlign w:val="bottom"/>
          </w:tcPr>
          <w:p w14:paraId="30C9B7E1" w14:textId="446FE594" w:rsidR="00584325" w:rsidRPr="001D41EA" w:rsidRDefault="00584325" w:rsidP="001D41EA">
            <w:pPr>
              <w:spacing w:before="40" w:after="20"/>
              <w:jc w:val="right"/>
              <w:rPr>
                <w:rFonts w:cs="Arial"/>
                <w:sz w:val="18"/>
                <w:szCs w:val="18"/>
              </w:rPr>
            </w:pPr>
            <w:r w:rsidRPr="001D41EA">
              <w:rPr>
                <w:rFonts w:cs="Arial"/>
                <w:sz w:val="18"/>
                <w:szCs w:val="18"/>
              </w:rPr>
              <w:t>2,680,492</w:t>
            </w:r>
          </w:p>
        </w:tc>
        <w:tc>
          <w:tcPr>
            <w:tcW w:w="1361" w:type="dxa"/>
            <w:tcBorders>
              <w:top w:val="nil"/>
              <w:left w:val="nil"/>
              <w:bottom w:val="nil"/>
              <w:right w:val="nil"/>
            </w:tcBorders>
            <w:vAlign w:val="bottom"/>
          </w:tcPr>
          <w:p w14:paraId="459FFA38" w14:textId="13C743B3" w:rsidR="00584325" w:rsidRPr="001D41EA" w:rsidRDefault="00584325" w:rsidP="001D41EA">
            <w:pPr>
              <w:spacing w:before="40" w:after="20"/>
              <w:jc w:val="right"/>
              <w:rPr>
                <w:rFonts w:cs="Arial"/>
                <w:sz w:val="18"/>
                <w:szCs w:val="18"/>
              </w:rPr>
            </w:pPr>
            <w:r w:rsidRPr="001D41EA">
              <w:rPr>
                <w:rFonts w:cs="Arial"/>
                <w:sz w:val="18"/>
                <w:szCs w:val="18"/>
              </w:rPr>
              <w:t>35,549,415</w:t>
            </w:r>
          </w:p>
        </w:tc>
        <w:tc>
          <w:tcPr>
            <w:tcW w:w="1361" w:type="dxa"/>
            <w:tcBorders>
              <w:top w:val="nil"/>
              <w:left w:val="nil"/>
              <w:bottom w:val="nil"/>
              <w:right w:val="nil"/>
            </w:tcBorders>
            <w:shd w:val="clear" w:color="auto" w:fill="auto"/>
            <w:noWrap/>
            <w:vAlign w:val="bottom"/>
          </w:tcPr>
          <w:p w14:paraId="254F1B20" w14:textId="5E7CE7D7" w:rsidR="00584325" w:rsidRPr="001D41EA" w:rsidRDefault="00584325" w:rsidP="001D41EA">
            <w:pPr>
              <w:spacing w:before="40" w:after="20"/>
              <w:jc w:val="right"/>
              <w:rPr>
                <w:rFonts w:cs="Arial"/>
                <w:sz w:val="18"/>
                <w:szCs w:val="18"/>
              </w:rPr>
            </w:pPr>
            <w:r w:rsidRPr="001D41EA">
              <w:rPr>
                <w:rFonts w:cs="Arial"/>
                <w:sz w:val="18"/>
                <w:szCs w:val="18"/>
              </w:rPr>
              <w:t>20,943,993</w:t>
            </w:r>
          </w:p>
        </w:tc>
      </w:tr>
      <w:tr w:rsidR="00584325" w:rsidRPr="001D41EA" w14:paraId="50BDA87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21458D0" w14:textId="77777777" w:rsidR="00584325" w:rsidRPr="001D41EA" w:rsidRDefault="00584325" w:rsidP="001D41EA">
            <w:pPr>
              <w:spacing w:before="40" w:after="20"/>
              <w:rPr>
                <w:rFonts w:cs="Arial"/>
                <w:sz w:val="18"/>
                <w:szCs w:val="18"/>
              </w:rPr>
            </w:pPr>
            <w:r w:rsidRPr="001D41EA">
              <w:rPr>
                <w:rFonts w:cs="Arial"/>
                <w:sz w:val="18"/>
                <w:szCs w:val="18"/>
              </w:rPr>
              <w:t>Pyrenees S</w:t>
            </w:r>
          </w:p>
        </w:tc>
        <w:tc>
          <w:tcPr>
            <w:tcW w:w="1361" w:type="dxa"/>
            <w:tcBorders>
              <w:top w:val="nil"/>
              <w:left w:val="single" w:sz="18" w:space="0" w:color="5F497A" w:themeColor="accent4" w:themeShade="BF"/>
              <w:bottom w:val="nil"/>
              <w:right w:val="nil"/>
            </w:tcBorders>
            <w:shd w:val="clear" w:color="auto" w:fill="auto"/>
            <w:noWrap/>
            <w:vAlign w:val="bottom"/>
          </w:tcPr>
          <w:p w14:paraId="41A0021F" w14:textId="78D71DAF" w:rsidR="00584325" w:rsidRPr="001D41EA" w:rsidRDefault="00584325" w:rsidP="001D41EA">
            <w:pPr>
              <w:spacing w:before="40" w:after="20"/>
              <w:jc w:val="right"/>
              <w:rPr>
                <w:rFonts w:cs="Arial"/>
                <w:sz w:val="18"/>
                <w:szCs w:val="18"/>
              </w:rPr>
            </w:pPr>
            <w:r w:rsidRPr="001D41EA">
              <w:rPr>
                <w:rFonts w:cs="Arial"/>
                <w:sz w:val="18"/>
                <w:szCs w:val="18"/>
              </w:rPr>
              <w:t>1,399,446</w:t>
            </w:r>
          </w:p>
        </w:tc>
        <w:tc>
          <w:tcPr>
            <w:tcW w:w="1361" w:type="dxa"/>
            <w:tcBorders>
              <w:top w:val="nil"/>
              <w:left w:val="nil"/>
              <w:bottom w:val="nil"/>
              <w:right w:val="nil"/>
            </w:tcBorders>
            <w:shd w:val="clear" w:color="auto" w:fill="auto"/>
            <w:noWrap/>
            <w:vAlign w:val="bottom"/>
          </w:tcPr>
          <w:p w14:paraId="327E41F2" w14:textId="6F9AC911" w:rsidR="00584325" w:rsidRPr="001D41EA" w:rsidRDefault="00584325" w:rsidP="001D41EA">
            <w:pPr>
              <w:spacing w:before="40" w:after="20"/>
              <w:jc w:val="right"/>
              <w:rPr>
                <w:rFonts w:cs="Arial"/>
                <w:sz w:val="18"/>
                <w:szCs w:val="18"/>
              </w:rPr>
            </w:pPr>
            <w:r w:rsidRPr="001D41EA">
              <w:rPr>
                <w:rFonts w:cs="Arial"/>
                <w:sz w:val="18"/>
                <w:szCs w:val="18"/>
              </w:rPr>
              <w:t>799,874</w:t>
            </w:r>
          </w:p>
        </w:tc>
        <w:tc>
          <w:tcPr>
            <w:tcW w:w="1361" w:type="dxa"/>
            <w:tcBorders>
              <w:top w:val="nil"/>
              <w:left w:val="nil"/>
              <w:bottom w:val="nil"/>
              <w:right w:val="nil"/>
            </w:tcBorders>
            <w:shd w:val="clear" w:color="auto" w:fill="auto"/>
            <w:noWrap/>
            <w:vAlign w:val="bottom"/>
          </w:tcPr>
          <w:p w14:paraId="30B49CDC" w14:textId="2020932E" w:rsidR="00584325" w:rsidRPr="001D41EA" w:rsidRDefault="00584325" w:rsidP="001D41EA">
            <w:pPr>
              <w:spacing w:before="40" w:after="20"/>
              <w:jc w:val="right"/>
              <w:rPr>
                <w:rFonts w:cs="Arial"/>
                <w:sz w:val="18"/>
                <w:szCs w:val="18"/>
              </w:rPr>
            </w:pPr>
            <w:r w:rsidRPr="001D41EA">
              <w:rPr>
                <w:rFonts w:cs="Arial"/>
                <w:sz w:val="18"/>
                <w:szCs w:val="18"/>
              </w:rPr>
              <w:t>713,042</w:t>
            </w:r>
          </w:p>
        </w:tc>
        <w:tc>
          <w:tcPr>
            <w:tcW w:w="1361" w:type="dxa"/>
            <w:tcBorders>
              <w:top w:val="nil"/>
              <w:left w:val="nil"/>
              <w:bottom w:val="nil"/>
              <w:right w:val="nil"/>
            </w:tcBorders>
            <w:vAlign w:val="bottom"/>
          </w:tcPr>
          <w:p w14:paraId="1BF26363" w14:textId="1CBB04E2" w:rsidR="00584325" w:rsidRPr="001D41EA" w:rsidRDefault="00584325" w:rsidP="001D41EA">
            <w:pPr>
              <w:spacing w:before="40" w:after="20"/>
              <w:jc w:val="right"/>
              <w:rPr>
                <w:rFonts w:cs="Arial"/>
                <w:sz w:val="18"/>
                <w:szCs w:val="18"/>
              </w:rPr>
            </w:pPr>
            <w:r w:rsidRPr="001D41EA">
              <w:rPr>
                <w:rFonts w:cs="Arial"/>
                <w:sz w:val="18"/>
                <w:szCs w:val="18"/>
              </w:rPr>
              <w:t>2,203,846</w:t>
            </w:r>
          </w:p>
        </w:tc>
        <w:tc>
          <w:tcPr>
            <w:tcW w:w="1361" w:type="dxa"/>
            <w:tcBorders>
              <w:top w:val="nil"/>
              <w:left w:val="nil"/>
              <w:bottom w:val="nil"/>
              <w:right w:val="nil"/>
            </w:tcBorders>
            <w:shd w:val="clear" w:color="auto" w:fill="auto"/>
            <w:noWrap/>
            <w:vAlign w:val="bottom"/>
          </w:tcPr>
          <w:p w14:paraId="3CDBA109" w14:textId="4DB71C48" w:rsidR="00584325" w:rsidRPr="001D41EA" w:rsidRDefault="00584325" w:rsidP="001D41EA">
            <w:pPr>
              <w:spacing w:before="40" w:after="20"/>
              <w:jc w:val="right"/>
              <w:rPr>
                <w:rFonts w:cs="Arial"/>
                <w:sz w:val="18"/>
                <w:szCs w:val="18"/>
              </w:rPr>
            </w:pPr>
            <w:r w:rsidRPr="001D41EA">
              <w:rPr>
                <w:rFonts w:cs="Arial"/>
                <w:sz w:val="18"/>
                <w:szCs w:val="18"/>
              </w:rPr>
              <w:t>1,574,484</w:t>
            </w:r>
          </w:p>
        </w:tc>
      </w:tr>
      <w:tr w:rsidR="00584325" w:rsidRPr="001D41EA" w14:paraId="24995D8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6F4C10A" w14:textId="77777777" w:rsidR="00584325" w:rsidRPr="001D41EA" w:rsidRDefault="00584325" w:rsidP="001D41EA">
            <w:pPr>
              <w:spacing w:before="40" w:after="20"/>
              <w:rPr>
                <w:rFonts w:cs="Arial"/>
                <w:sz w:val="18"/>
                <w:szCs w:val="18"/>
              </w:rPr>
            </w:pPr>
            <w:r w:rsidRPr="001D41EA">
              <w:rPr>
                <w:rFonts w:cs="Arial"/>
                <w:sz w:val="18"/>
                <w:szCs w:val="18"/>
              </w:rPr>
              <w:t>Queenscliffe B</w:t>
            </w:r>
          </w:p>
        </w:tc>
        <w:tc>
          <w:tcPr>
            <w:tcW w:w="1361" w:type="dxa"/>
            <w:tcBorders>
              <w:top w:val="nil"/>
              <w:left w:val="single" w:sz="18" w:space="0" w:color="5F497A" w:themeColor="accent4" w:themeShade="BF"/>
              <w:bottom w:val="nil"/>
              <w:right w:val="nil"/>
            </w:tcBorders>
            <w:shd w:val="clear" w:color="auto" w:fill="auto"/>
            <w:noWrap/>
            <w:vAlign w:val="bottom"/>
          </w:tcPr>
          <w:p w14:paraId="469E4E03" w14:textId="04C4C941" w:rsidR="00584325" w:rsidRPr="001D41EA" w:rsidRDefault="00584325" w:rsidP="001D41EA">
            <w:pPr>
              <w:spacing w:before="40" w:after="20"/>
              <w:jc w:val="right"/>
              <w:rPr>
                <w:rFonts w:cs="Arial"/>
                <w:sz w:val="18"/>
                <w:szCs w:val="18"/>
              </w:rPr>
            </w:pPr>
            <w:r w:rsidRPr="001D41EA">
              <w:rPr>
                <w:rFonts w:cs="Arial"/>
                <w:sz w:val="18"/>
                <w:szCs w:val="18"/>
              </w:rPr>
              <w:t>1,150,574</w:t>
            </w:r>
          </w:p>
        </w:tc>
        <w:tc>
          <w:tcPr>
            <w:tcW w:w="1361" w:type="dxa"/>
            <w:tcBorders>
              <w:top w:val="nil"/>
              <w:left w:val="nil"/>
              <w:bottom w:val="nil"/>
              <w:right w:val="nil"/>
            </w:tcBorders>
            <w:shd w:val="clear" w:color="auto" w:fill="auto"/>
            <w:noWrap/>
            <w:vAlign w:val="bottom"/>
          </w:tcPr>
          <w:p w14:paraId="42239777" w14:textId="0C6986F4" w:rsidR="00584325" w:rsidRPr="001D41EA" w:rsidRDefault="00584325" w:rsidP="001D41EA">
            <w:pPr>
              <w:spacing w:before="40" w:after="20"/>
              <w:jc w:val="right"/>
              <w:rPr>
                <w:rFonts w:cs="Arial"/>
                <w:sz w:val="18"/>
                <w:szCs w:val="18"/>
              </w:rPr>
            </w:pPr>
            <w:r w:rsidRPr="001D41EA">
              <w:rPr>
                <w:rFonts w:cs="Arial"/>
                <w:sz w:val="18"/>
                <w:szCs w:val="18"/>
              </w:rPr>
              <w:t>213,767</w:t>
            </w:r>
          </w:p>
        </w:tc>
        <w:tc>
          <w:tcPr>
            <w:tcW w:w="1361" w:type="dxa"/>
            <w:tcBorders>
              <w:top w:val="nil"/>
              <w:left w:val="nil"/>
              <w:bottom w:val="nil"/>
              <w:right w:val="nil"/>
            </w:tcBorders>
            <w:shd w:val="clear" w:color="auto" w:fill="auto"/>
            <w:noWrap/>
            <w:vAlign w:val="bottom"/>
          </w:tcPr>
          <w:p w14:paraId="6A7689EB" w14:textId="476AE4EE" w:rsidR="00584325" w:rsidRPr="001D41EA" w:rsidRDefault="00584325" w:rsidP="001D41EA">
            <w:pPr>
              <w:spacing w:before="40" w:after="20"/>
              <w:jc w:val="right"/>
              <w:rPr>
                <w:rFonts w:cs="Arial"/>
                <w:sz w:val="18"/>
                <w:szCs w:val="18"/>
              </w:rPr>
            </w:pPr>
            <w:r w:rsidRPr="001D41EA">
              <w:rPr>
                <w:rFonts w:cs="Arial"/>
                <w:sz w:val="18"/>
                <w:szCs w:val="18"/>
              </w:rPr>
              <w:t>198,136</w:t>
            </w:r>
          </w:p>
        </w:tc>
        <w:tc>
          <w:tcPr>
            <w:tcW w:w="1361" w:type="dxa"/>
            <w:tcBorders>
              <w:top w:val="nil"/>
              <w:left w:val="nil"/>
              <w:bottom w:val="nil"/>
              <w:right w:val="nil"/>
            </w:tcBorders>
            <w:vAlign w:val="bottom"/>
          </w:tcPr>
          <w:p w14:paraId="6095E678" w14:textId="6ADD5154" w:rsidR="00584325" w:rsidRPr="001D41EA" w:rsidRDefault="00584325" w:rsidP="001D41EA">
            <w:pPr>
              <w:spacing w:before="40" w:after="20"/>
              <w:jc w:val="right"/>
              <w:rPr>
                <w:rFonts w:cs="Arial"/>
                <w:sz w:val="18"/>
                <w:szCs w:val="18"/>
              </w:rPr>
            </w:pPr>
            <w:r w:rsidRPr="001D41EA">
              <w:rPr>
                <w:rFonts w:cs="Arial"/>
                <w:sz w:val="18"/>
                <w:szCs w:val="18"/>
              </w:rPr>
              <w:t>1,566,450</w:t>
            </w:r>
          </w:p>
        </w:tc>
        <w:tc>
          <w:tcPr>
            <w:tcW w:w="1361" w:type="dxa"/>
            <w:tcBorders>
              <w:top w:val="nil"/>
              <w:left w:val="nil"/>
              <w:bottom w:val="nil"/>
              <w:right w:val="nil"/>
            </w:tcBorders>
            <w:shd w:val="clear" w:color="auto" w:fill="auto"/>
            <w:noWrap/>
            <w:vAlign w:val="bottom"/>
          </w:tcPr>
          <w:p w14:paraId="71B76B39" w14:textId="4785FFAC" w:rsidR="00584325" w:rsidRPr="001D41EA" w:rsidRDefault="00584325" w:rsidP="001D41EA">
            <w:pPr>
              <w:spacing w:before="40" w:after="20"/>
              <w:jc w:val="right"/>
              <w:rPr>
                <w:rFonts w:cs="Arial"/>
                <w:sz w:val="18"/>
                <w:szCs w:val="18"/>
              </w:rPr>
            </w:pPr>
            <w:r w:rsidRPr="001D41EA">
              <w:rPr>
                <w:rFonts w:cs="Arial"/>
                <w:sz w:val="18"/>
                <w:szCs w:val="18"/>
              </w:rPr>
              <w:t>1,130,207</w:t>
            </w:r>
          </w:p>
        </w:tc>
      </w:tr>
      <w:tr w:rsidR="00584325" w:rsidRPr="001D41EA" w14:paraId="0CC3D0A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AA696CE" w14:textId="77777777" w:rsidR="00584325" w:rsidRPr="001D41EA" w:rsidRDefault="00584325" w:rsidP="001D41EA">
            <w:pPr>
              <w:spacing w:before="40" w:after="20"/>
              <w:rPr>
                <w:rFonts w:cs="Arial"/>
                <w:sz w:val="18"/>
                <w:szCs w:val="18"/>
              </w:rPr>
            </w:pPr>
            <w:r w:rsidRPr="001D41EA">
              <w:rPr>
                <w:rFonts w:cs="Arial"/>
                <w:sz w:val="18"/>
                <w:szCs w:val="18"/>
              </w:rPr>
              <w:t>South Gippsland S</w:t>
            </w:r>
          </w:p>
        </w:tc>
        <w:tc>
          <w:tcPr>
            <w:tcW w:w="1361" w:type="dxa"/>
            <w:tcBorders>
              <w:top w:val="nil"/>
              <w:left w:val="single" w:sz="18" w:space="0" w:color="5F497A" w:themeColor="accent4" w:themeShade="BF"/>
              <w:bottom w:val="nil"/>
              <w:right w:val="nil"/>
            </w:tcBorders>
            <w:shd w:val="clear" w:color="auto" w:fill="auto"/>
            <w:noWrap/>
            <w:vAlign w:val="bottom"/>
          </w:tcPr>
          <w:p w14:paraId="53F43999" w14:textId="7AAE4292" w:rsidR="00584325" w:rsidRPr="001D41EA" w:rsidRDefault="00584325" w:rsidP="001D41EA">
            <w:pPr>
              <w:spacing w:before="40" w:after="20"/>
              <w:jc w:val="right"/>
              <w:rPr>
                <w:rFonts w:cs="Arial"/>
                <w:sz w:val="18"/>
                <w:szCs w:val="18"/>
              </w:rPr>
            </w:pPr>
            <w:r w:rsidRPr="001D41EA">
              <w:rPr>
                <w:rFonts w:cs="Arial"/>
                <w:sz w:val="18"/>
                <w:szCs w:val="18"/>
              </w:rPr>
              <w:t>2,221,641</w:t>
            </w:r>
          </w:p>
        </w:tc>
        <w:tc>
          <w:tcPr>
            <w:tcW w:w="1361" w:type="dxa"/>
            <w:tcBorders>
              <w:top w:val="nil"/>
              <w:left w:val="nil"/>
              <w:bottom w:val="nil"/>
              <w:right w:val="nil"/>
            </w:tcBorders>
            <w:shd w:val="clear" w:color="auto" w:fill="auto"/>
            <w:noWrap/>
            <w:vAlign w:val="bottom"/>
          </w:tcPr>
          <w:p w14:paraId="5B527779" w14:textId="0A3CDA1F" w:rsidR="00584325" w:rsidRPr="001D41EA" w:rsidRDefault="00584325" w:rsidP="001D41EA">
            <w:pPr>
              <w:spacing w:before="40" w:after="20"/>
              <w:jc w:val="right"/>
              <w:rPr>
                <w:rFonts w:cs="Arial"/>
                <w:sz w:val="18"/>
                <w:szCs w:val="18"/>
              </w:rPr>
            </w:pPr>
            <w:r w:rsidRPr="001D41EA">
              <w:rPr>
                <w:rFonts w:cs="Arial"/>
                <w:sz w:val="18"/>
                <w:szCs w:val="18"/>
              </w:rPr>
              <w:t>3,078,565</w:t>
            </w:r>
          </w:p>
        </w:tc>
        <w:tc>
          <w:tcPr>
            <w:tcW w:w="1361" w:type="dxa"/>
            <w:tcBorders>
              <w:top w:val="nil"/>
              <w:left w:val="nil"/>
              <w:bottom w:val="nil"/>
              <w:right w:val="nil"/>
            </w:tcBorders>
            <w:shd w:val="clear" w:color="auto" w:fill="auto"/>
            <w:noWrap/>
            <w:vAlign w:val="bottom"/>
          </w:tcPr>
          <w:p w14:paraId="05BE5572" w14:textId="5B888D22" w:rsidR="00584325" w:rsidRPr="001D41EA" w:rsidRDefault="00584325" w:rsidP="001D41EA">
            <w:pPr>
              <w:spacing w:before="40" w:after="20"/>
              <w:jc w:val="right"/>
              <w:rPr>
                <w:rFonts w:cs="Arial"/>
                <w:sz w:val="18"/>
                <w:szCs w:val="18"/>
              </w:rPr>
            </w:pPr>
            <w:r w:rsidRPr="001D41EA">
              <w:rPr>
                <w:rFonts w:cs="Arial"/>
                <w:sz w:val="18"/>
                <w:szCs w:val="18"/>
              </w:rPr>
              <w:t>2,274,551</w:t>
            </w:r>
          </w:p>
        </w:tc>
        <w:tc>
          <w:tcPr>
            <w:tcW w:w="1361" w:type="dxa"/>
            <w:tcBorders>
              <w:top w:val="nil"/>
              <w:left w:val="nil"/>
              <w:bottom w:val="nil"/>
              <w:right w:val="nil"/>
            </w:tcBorders>
            <w:vAlign w:val="bottom"/>
          </w:tcPr>
          <w:p w14:paraId="71E0ACE2" w14:textId="209B4232" w:rsidR="00584325" w:rsidRPr="001D41EA" w:rsidRDefault="00584325" w:rsidP="001D41EA">
            <w:pPr>
              <w:spacing w:before="40" w:after="20"/>
              <w:jc w:val="right"/>
              <w:rPr>
                <w:rFonts w:cs="Arial"/>
                <w:sz w:val="18"/>
                <w:szCs w:val="18"/>
              </w:rPr>
            </w:pPr>
            <w:r w:rsidRPr="001D41EA">
              <w:rPr>
                <w:rFonts w:cs="Arial"/>
                <w:sz w:val="18"/>
                <w:szCs w:val="18"/>
              </w:rPr>
              <w:t>10,266,701</w:t>
            </w:r>
          </w:p>
        </w:tc>
        <w:tc>
          <w:tcPr>
            <w:tcW w:w="1361" w:type="dxa"/>
            <w:tcBorders>
              <w:top w:val="nil"/>
              <w:left w:val="nil"/>
              <w:bottom w:val="nil"/>
              <w:right w:val="nil"/>
            </w:tcBorders>
            <w:shd w:val="clear" w:color="auto" w:fill="auto"/>
            <w:noWrap/>
            <w:vAlign w:val="bottom"/>
          </w:tcPr>
          <w:p w14:paraId="53555C53" w14:textId="7F4740C4" w:rsidR="00584325" w:rsidRPr="001D41EA" w:rsidRDefault="00584325" w:rsidP="001D41EA">
            <w:pPr>
              <w:spacing w:before="40" w:after="20"/>
              <w:jc w:val="right"/>
              <w:rPr>
                <w:rFonts w:cs="Arial"/>
                <w:sz w:val="18"/>
                <w:szCs w:val="18"/>
              </w:rPr>
            </w:pPr>
            <w:r w:rsidRPr="001D41EA">
              <w:rPr>
                <w:rFonts w:cs="Arial"/>
                <w:sz w:val="18"/>
                <w:szCs w:val="18"/>
              </w:rPr>
              <w:t>7,069,697</w:t>
            </w:r>
          </w:p>
        </w:tc>
      </w:tr>
      <w:tr w:rsidR="00584325" w:rsidRPr="001D41EA" w14:paraId="483A5FC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F28F4E8" w14:textId="77777777" w:rsidR="00584325" w:rsidRPr="001D41EA" w:rsidRDefault="00584325" w:rsidP="001D41EA">
            <w:pPr>
              <w:spacing w:before="40" w:after="20"/>
              <w:rPr>
                <w:rFonts w:cs="Arial"/>
                <w:sz w:val="18"/>
                <w:szCs w:val="18"/>
              </w:rPr>
            </w:pPr>
            <w:r w:rsidRPr="001D41EA">
              <w:rPr>
                <w:rFonts w:cs="Arial"/>
                <w:sz w:val="18"/>
                <w:szCs w:val="18"/>
              </w:rPr>
              <w:t>Southern Grampians S</w:t>
            </w:r>
          </w:p>
        </w:tc>
        <w:tc>
          <w:tcPr>
            <w:tcW w:w="1361" w:type="dxa"/>
            <w:tcBorders>
              <w:top w:val="nil"/>
              <w:left w:val="single" w:sz="18" w:space="0" w:color="5F497A" w:themeColor="accent4" w:themeShade="BF"/>
              <w:bottom w:val="nil"/>
              <w:right w:val="nil"/>
            </w:tcBorders>
            <w:shd w:val="clear" w:color="auto" w:fill="auto"/>
            <w:noWrap/>
            <w:vAlign w:val="bottom"/>
          </w:tcPr>
          <w:p w14:paraId="71483860" w14:textId="6B8C9FC7" w:rsidR="00584325" w:rsidRPr="001D41EA" w:rsidRDefault="00584325" w:rsidP="001D41EA">
            <w:pPr>
              <w:spacing w:before="40" w:after="20"/>
              <w:jc w:val="right"/>
              <w:rPr>
                <w:rFonts w:cs="Arial"/>
                <w:sz w:val="18"/>
                <w:szCs w:val="18"/>
              </w:rPr>
            </w:pPr>
            <w:r w:rsidRPr="001D41EA">
              <w:rPr>
                <w:rFonts w:cs="Arial"/>
                <w:sz w:val="18"/>
                <w:szCs w:val="18"/>
              </w:rPr>
              <w:t>1,387,277</w:t>
            </w:r>
          </w:p>
        </w:tc>
        <w:tc>
          <w:tcPr>
            <w:tcW w:w="1361" w:type="dxa"/>
            <w:tcBorders>
              <w:top w:val="nil"/>
              <w:left w:val="nil"/>
              <w:bottom w:val="nil"/>
              <w:right w:val="nil"/>
            </w:tcBorders>
            <w:shd w:val="clear" w:color="auto" w:fill="auto"/>
            <w:noWrap/>
            <w:vAlign w:val="bottom"/>
          </w:tcPr>
          <w:p w14:paraId="7AA7C1BE" w14:textId="0CDA89CF" w:rsidR="00584325" w:rsidRPr="001D41EA" w:rsidRDefault="00584325" w:rsidP="001D41EA">
            <w:pPr>
              <w:spacing w:before="40" w:after="20"/>
              <w:jc w:val="right"/>
              <w:rPr>
                <w:rFonts w:cs="Arial"/>
                <w:sz w:val="18"/>
                <w:szCs w:val="18"/>
              </w:rPr>
            </w:pPr>
            <w:r w:rsidRPr="001D41EA">
              <w:rPr>
                <w:rFonts w:cs="Arial"/>
                <w:sz w:val="18"/>
                <w:szCs w:val="18"/>
              </w:rPr>
              <w:t>1,586,905</w:t>
            </w:r>
          </w:p>
        </w:tc>
        <w:tc>
          <w:tcPr>
            <w:tcW w:w="1361" w:type="dxa"/>
            <w:tcBorders>
              <w:top w:val="nil"/>
              <w:left w:val="nil"/>
              <w:bottom w:val="nil"/>
              <w:right w:val="nil"/>
            </w:tcBorders>
            <w:shd w:val="clear" w:color="auto" w:fill="auto"/>
            <w:noWrap/>
            <w:vAlign w:val="bottom"/>
          </w:tcPr>
          <w:p w14:paraId="10C0946E" w14:textId="36E58F0F" w:rsidR="00584325" w:rsidRPr="001D41EA" w:rsidRDefault="00584325" w:rsidP="001D41EA">
            <w:pPr>
              <w:spacing w:before="40" w:after="20"/>
              <w:jc w:val="right"/>
              <w:rPr>
                <w:rFonts w:cs="Arial"/>
                <w:sz w:val="18"/>
                <w:szCs w:val="18"/>
              </w:rPr>
            </w:pPr>
            <w:r w:rsidRPr="001D41EA">
              <w:rPr>
                <w:rFonts w:cs="Arial"/>
                <w:sz w:val="18"/>
                <w:szCs w:val="18"/>
              </w:rPr>
              <w:t>1,145,627</w:t>
            </w:r>
          </w:p>
        </w:tc>
        <w:tc>
          <w:tcPr>
            <w:tcW w:w="1361" w:type="dxa"/>
            <w:tcBorders>
              <w:top w:val="nil"/>
              <w:left w:val="nil"/>
              <w:bottom w:val="nil"/>
              <w:right w:val="nil"/>
            </w:tcBorders>
            <w:vAlign w:val="bottom"/>
          </w:tcPr>
          <w:p w14:paraId="470B03EC" w14:textId="1FAE0985" w:rsidR="00584325" w:rsidRPr="001D41EA" w:rsidRDefault="00584325" w:rsidP="001D41EA">
            <w:pPr>
              <w:spacing w:before="40" w:after="20"/>
              <w:jc w:val="right"/>
              <w:rPr>
                <w:rFonts w:cs="Arial"/>
                <w:sz w:val="18"/>
                <w:szCs w:val="18"/>
              </w:rPr>
            </w:pPr>
            <w:r w:rsidRPr="001D41EA">
              <w:rPr>
                <w:rFonts w:cs="Arial"/>
                <w:sz w:val="18"/>
                <w:szCs w:val="18"/>
              </w:rPr>
              <w:t>5,200,224</w:t>
            </w:r>
          </w:p>
        </w:tc>
        <w:tc>
          <w:tcPr>
            <w:tcW w:w="1361" w:type="dxa"/>
            <w:tcBorders>
              <w:top w:val="nil"/>
              <w:left w:val="nil"/>
              <w:bottom w:val="nil"/>
              <w:right w:val="nil"/>
            </w:tcBorders>
            <w:shd w:val="clear" w:color="auto" w:fill="auto"/>
            <w:noWrap/>
            <w:vAlign w:val="bottom"/>
          </w:tcPr>
          <w:p w14:paraId="0CA244E9" w14:textId="72AFE956" w:rsidR="00584325" w:rsidRPr="001D41EA" w:rsidRDefault="00584325" w:rsidP="001D41EA">
            <w:pPr>
              <w:spacing w:before="40" w:after="20"/>
              <w:jc w:val="right"/>
              <w:rPr>
                <w:rFonts w:cs="Arial"/>
                <w:sz w:val="18"/>
                <w:szCs w:val="18"/>
              </w:rPr>
            </w:pPr>
            <w:r w:rsidRPr="001D41EA">
              <w:rPr>
                <w:rFonts w:cs="Arial"/>
                <w:sz w:val="18"/>
                <w:szCs w:val="18"/>
              </w:rPr>
              <w:t>3,305,631</w:t>
            </w:r>
          </w:p>
        </w:tc>
      </w:tr>
      <w:tr w:rsidR="00584325" w:rsidRPr="001D41EA" w14:paraId="1E39A4A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2786966" w14:textId="77777777" w:rsidR="00584325" w:rsidRPr="001D41EA" w:rsidRDefault="00584325" w:rsidP="001D41EA">
            <w:pPr>
              <w:spacing w:before="40" w:after="20"/>
              <w:rPr>
                <w:rFonts w:cs="Arial"/>
                <w:sz w:val="18"/>
                <w:szCs w:val="18"/>
              </w:rPr>
            </w:pPr>
            <w:r w:rsidRPr="001D41EA">
              <w:rPr>
                <w:rFonts w:cs="Arial"/>
                <w:sz w:val="18"/>
                <w:szCs w:val="18"/>
              </w:rPr>
              <w:t>Stonnington C</w:t>
            </w:r>
          </w:p>
        </w:tc>
        <w:tc>
          <w:tcPr>
            <w:tcW w:w="1361" w:type="dxa"/>
            <w:tcBorders>
              <w:top w:val="nil"/>
              <w:left w:val="single" w:sz="18" w:space="0" w:color="5F497A" w:themeColor="accent4" w:themeShade="BF"/>
              <w:bottom w:val="nil"/>
              <w:right w:val="nil"/>
            </w:tcBorders>
            <w:shd w:val="clear" w:color="auto" w:fill="auto"/>
            <w:noWrap/>
            <w:vAlign w:val="bottom"/>
          </w:tcPr>
          <w:p w14:paraId="60703250" w14:textId="61978705" w:rsidR="00584325" w:rsidRPr="001D41EA" w:rsidRDefault="00584325" w:rsidP="001D41EA">
            <w:pPr>
              <w:spacing w:before="40" w:after="20"/>
              <w:jc w:val="right"/>
              <w:rPr>
                <w:rFonts w:cs="Arial"/>
                <w:sz w:val="18"/>
                <w:szCs w:val="18"/>
              </w:rPr>
            </w:pPr>
            <w:r w:rsidRPr="001D41EA">
              <w:rPr>
                <w:rFonts w:cs="Arial"/>
                <w:sz w:val="18"/>
                <w:szCs w:val="18"/>
              </w:rPr>
              <w:t>6,532,278</w:t>
            </w:r>
          </w:p>
        </w:tc>
        <w:tc>
          <w:tcPr>
            <w:tcW w:w="1361" w:type="dxa"/>
            <w:tcBorders>
              <w:top w:val="nil"/>
              <w:left w:val="nil"/>
              <w:bottom w:val="nil"/>
              <w:right w:val="nil"/>
            </w:tcBorders>
            <w:shd w:val="clear" w:color="auto" w:fill="auto"/>
            <w:noWrap/>
            <w:vAlign w:val="bottom"/>
          </w:tcPr>
          <w:p w14:paraId="4B47131C" w14:textId="0D23B18C" w:rsidR="00584325" w:rsidRPr="001D41EA" w:rsidRDefault="00584325" w:rsidP="001D41EA">
            <w:pPr>
              <w:spacing w:before="40" w:after="20"/>
              <w:jc w:val="right"/>
              <w:rPr>
                <w:rFonts w:cs="Arial"/>
                <w:sz w:val="18"/>
                <w:szCs w:val="18"/>
              </w:rPr>
            </w:pPr>
            <w:r w:rsidRPr="001D41EA">
              <w:rPr>
                <w:rFonts w:cs="Arial"/>
                <w:sz w:val="18"/>
                <w:szCs w:val="18"/>
              </w:rPr>
              <w:t>8,809,285</w:t>
            </w:r>
          </w:p>
        </w:tc>
        <w:tc>
          <w:tcPr>
            <w:tcW w:w="1361" w:type="dxa"/>
            <w:tcBorders>
              <w:top w:val="nil"/>
              <w:left w:val="nil"/>
              <w:bottom w:val="nil"/>
              <w:right w:val="nil"/>
            </w:tcBorders>
            <w:shd w:val="clear" w:color="auto" w:fill="auto"/>
            <w:noWrap/>
            <w:vAlign w:val="bottom"/>
          </w:tcPr>
          <w:p w14:paraId="00B5072C" w14:textId="2D5EFC76" w:rsidR="00584325" w:rsidRPr="001D41EA" w:rsidRDefault="00584325" w:rsidP="001D41EA">
            <w:pPr>
              <w:spacing w:before="40" w:after="20"/>
              <w:jc w:val="right"/>
              <w:rPr>
                <w:rFonts w:cs="Arial"/>
                <w:sz w:val="18"/>
                <w:szCs w:val="18"/>
              </w:rPr>
            </w:pPr>
            <w:r w:rsidRPr="001D41EA">
              <w:rPr>
                <w:rFonts w:cs="Arial"/>
                <w:sz w:val="18"/>
                <w:szCs w:val="18"/>
              </w:rPr>
              <w:t>2,795,088</w:t>
            </w:r>
          </w:p>
        </w:tc>
        <w:tc>
          <w:tcPr>
            <w:tcW w:w="1361" w:type="dxa"/>
            <w:tcBorders>
              <w:top w:val="nil"/>
              <w:left w:val="nil"/>
              <w:bottom w:val="nil"/>
              <w:right w:val="nil"/>
            </w:tcBorders>
            <w:vAlign w:val="bottom"/>
          </w:tcPr>
          <w:p w14:paraId="3BE0C8F9" w14:textId="300801FA" w:rsidR="00584325" w:rsidRPr="001D41EA" w:rsidRDefault="00584325" w:rsidP="001D41EA">
            <w:pPr>
              <w:spacing w:before="40" w:after="20"/>
              <w:jc w:val="right"/>
              <w:rPr>
                <w:rFonts w:cs="Arial"/>
                <w:sz w:val="18"/>
                <w:szCs w:val="18"/>
              </w:rPr>
            </w:pPr>
            <w:r w:rsidRPr="001D41EA">
              <w:rPr>
                <w:rFonts w:cs="Arial"/>
                <w:sz w:val="18"/>
                <w:szCs w:val="18"/>
              </w:rPr>
              <w:t>36,445,221</w:t>
            </w:r>
          </w:p>
        </w:tc>
        <w:tc>
          <w:tcPr>
            <w:tcW w:w="1361" w:type="dxa"/>
            <w:tcBorders>
              <w:top w:val="nil"/>
              <w:left w:val="nil"/>
              <w:bottom w:val="nil"/>
              <w:right w:val="nil"/>
            </w:tcBorders>
            <w:shd w:val="clear" w:color="auto" w:fill="auto"/>
            <w:noWrap/>
            <w:vAlign w:val="bottom"/>
          </w:tcPr>
          <w:p w14:paraId="398AD5D2" w14:textId="3E4095C2" w:rsidR="00584325" w:rsidRPr="001D41EA" w:rsidRDefault="00584325" w:rsidP="001D41EA">
            <w:pPr>
              <w:spacing w:before="40" w:after="20"/>
              <w:jc w:val="right"/>
              <w:rPr>
                <w:rFonts w:cs="Arial"/>
                <w:sz w:val="18"/>
                <w:szCs w:val="18"/>
              </w:rPr>
            </w:pPr>
            <w:r w:rsidRPr="001D41EA">
              <w:rPr>
                <w:rFonts w:cs="Arial"/>
                <w:sz w:val="18"/>
                <w:szCs w:val="18"/>
              </w:rPr>
              <w:t>19,523,697</w:t>
            </w:r>
          </w:p>
        </w:tc>
      </w:tr>
      <w:tr w:rsidR="00584325" w:rsidRPr="001D41EA" w14:paraId="65A1AFF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46F039F" w14:textId="77777777" w:rsidR="00584325" w:rsidRPr="001D41EA" w:rsidRDefault="00584325" w:rsidP="001D41EA">
            <w:pPr>
              <w:spacing w:before="40" w:after="20"/>
              <w:rPr>
                <w:rFonts w:cs="Arial"/>
                <w:sz w:val="18"/>
                <w:szCs w:val="18"/>
              </w:rPr>
            </w:pPr>
            <w:r w:rsidRPr="001D41EA">
              <w:rPr>
                <w:rFonts w:cs="Arial"/>
                <w:sz w:val="18"/>
                <w:szCs w:val="18"/>
              </w:rPr>
              <w:t>Strathbogie S</w:t>
            </w:r>
          </w:p>
        </w:tc>
        <w:tc>
          <w:tcPr>
            <w:tcW w:w="1361" w:type="dxa"/>
            <w:tcBorders>
              <w:top w:val="nil"/>
              <w:left w:val="single" w:sz="18" w:space="0" w:color="5F497A" w:themeColor="accent4" w:themeShade="BF"/>
              <w:bottom w:val="nil"/>
              <w:right w:val="nil"/>
            </w:tcBorders>
            <w:shd w:val="clear" w:color="auto" w:fill="auto"/>
            <w:noWrap/>
            <w:vAlign w:val="bottom"/>
          </w:tcPr>
          <w:p w14:paraId="51EAB9E3" w14:textId="4EBE0752" w:rsidR="00584325" w:rsidRPr="001D41EA" w:rsidRDefault="00584325" w:rsidP="001D41EA">
            <w:pPr>
              <w:spacing w:before="40" w:after="20"/>
              <w:jc w:val="right"/>
              <w:rPr>
                <w:rFonts w:cs="Arial"/>
                <w:sz w:val="18"/>
                <w:szCs w:val="18"/>
              </w:rPr>
            </w:pPr>
            <w:r w:rsidRPr="001D41EA">
              <w:rPr>
                <w:rFonts w:cs="Arial"/>
                <w:sz w:val="18"/>
                <w:szCs w:val="18"/>
              </w:rPr>
              <w:t>1,379,023</w:t>
            </w:r>
          </w:p>
        </w:tc>
        <w:tc>
          <w:tcPr>
            <w:tcW w:w="1361" w:type="dxa"/>
            <w:tcBorders>
              <w:top w:val="nil"/>
              <w:left w:val="nil"/>
              <w:bottom w:val="nil"/>
              <w:right w:val="nil"/>
            </w:tcBorders>
            <w:shd w:val="clear" w:color="auto" w:fill="auto"/>
            <w:noWrap/>
            <w:vAlign w:val="bottom"/>
          </w:tcPr>
          <w:p w14:paraId="34EA0C1D" w14:textId="6B2BB871" w:rsidR="00584325" w:rsidRPr="001D41EA" w:rsidRDefault="00584325" w:rsidP="001D41EA">
            <w:pPr>
              <w:spacing w:before="40" w:after="20"/>
              <w:jc w:val="right"/>
              <w:rPr>
                <w:rFonts w:cs="Arial"/>
                <w:sz w:val="18"/>
                <w:szCs w:val="18"/>
              </w:rPr>
            </w:pPr>
            <w:r w:rsidRPr="001D41EA">
              <w:rPr>
                <w:rFonts w:cs="Arial"/>
                <w:sz w:val="18"/>
                <w:szCs w:val="18"/>
              </w:rPr>
              <w:t>1,093,760</w:t>
            </w:r>
          </w:p>
        </w:tc>
        <w:tc>
          <w:tcPr>
            <w:tcW w:w="1361" w:type="dxa"/>
            <w:tcBorders>
              <w:top w:val="nil"/>
              <w:left w:val="nil"/>
              <w:bottom w:val="nil"/>
              <w:right w:val="nil"/>
            </w:tcBorders>
            <w:shd w:val="clear" w:color="auto" w:fill="auto"/>
            <w:noWrap/>
            <w:vAlign w:val="bottom"/>
          </w:tcPr>
          <w:p w14:paraId="11DF756D" w14:textId="074FB739" w:rsidR="00584325" w:rsidRPr="001D41EA" w:rsidRDefault="00584325" w:rsidP="001D41EA">
            <w:pPr>
              <w:spacing w:before="40" w:after="20"/>
              <w:jc w:val="right"/>
              <w:rPr>
                <w:rFonts w:cs="Arial"/>
                <w:sz w:val="18"/>
                <w:szCs w:val="18"/>
              </w:rPr>
            </w:pPr>
            <w:r w:rsidRPr="001D41EA">
              <w:rPr>
                <w:rFonts w:cs="Arial"/>
                <w:sz w:val="18"/>
                <w:szCs w:val="18"/>
              </w:rPr>
              <w:t>1,039,058</w:t>
            </w:r>
          </w:p>
        </w:tc>
        <w:tc>
          <w:tcPr>
            <w:tcW w:w="1361" w:type="dxa"/>
            <w:tcBorders>
              <w:top w:val="nil"/>
              <w:left w:val="nil"/>
              <w:bottom w:val="nil"/>
              <w:right w:val="nil"/>
            </w:tcBorders>
            <w:vAlign w:val="bottom"/>
          </w:tcPr>
          <w:p w14:paraId="44A8959D" w14:textId="1834B60A" w:rsidR="00584325" w:rsidRPr="001D41EA" w:rsidRDefault="00584325" w:rsidP="001D41EA">
            <w:pPr>
              <w:spacing w:before="40" w:after="20"/>
              <w:jc w:val="right"/>
              <w:rPr>
                <w:rFonts w:cs="Arial"/>
                <w:sz w:val="18"/>
                <w:szCs w:val="18"/>
              </w:rPr>
            </w:pPr>
            <w:r w:rsidRPr="001D41EA">
              <w:rPr>
                <w:rFonts w:cs="Arial"/>
                <w:sz w:val="18"/>
                <w:szCs w:val="18"/>
              </w:rPr>
              <w:t>3,415,012</w:t>
            </w:r>
          </w:p>
        </w:tc>
        <w:tc>
          <w:tcPr>
            <w:tcW w:w="1361" w:type="dxa"/>
            <w:tcBorders>
              <w:top w:val="nil"/>
              <w:left w:val="nil"/>
              <w:bottom w:val="nil"/>
              <w:right w:val="nil"/>
            </w:tcBorders>
            <w:shd w:val="clear" w:color="auto" w:fill="auto"/>
            <w:noWrap/>
            <w:vAlign w:val="bottom"/>
          </w:tcPr>
          <w:p w14:paraId="128078A9" w14:textId="3938572E" w:rsidR="00584325" w:rsidRPr="001D41EA" w:rsidRDefault="00584325" w:rsidP="001D41EA">
            <w:pPr>
              <w:spacing w:before="40" w:after="20"/>
              <w:jc w:val="right"/>
              <w:rPr>
                <w:rFonts w:cs="Arial"/>
                <w:sz w:val="18"/>
                <w:szCs w:val="18"/>
              </w:rPr>
            </w:pPr>
            <w:r w:rsidRPr="001D41EA">
              <w:rPr>
                <w:rFonts w:cs="Arial"/>
                <w:sz w:val="18"/>
                <w:szCs w:val="18"/>
              </w:rPr>
              <w:t>2,592,611</w:t>
            </w:r>
          </w:p>
        </w:tc>
      </w:tr>
      <w:tr w:rsidR="00584325" w:rsidRPr="001D41EA" w14:paraId="7EF5730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6E80533" w14:textId="77777777" w:rsidR="00584325" w:rsidRPr="001D41EA" w:rsidRDefault="00584325" w:rsidP="001D41EA">
            <w:pPr>
              <w:spacing w:before="40" w:after="20"/>
              <w:rPr>
                <w:rFonts w:cs="Arial"/>
                <w:sz w:val="18"/>
                <w:szCs w:val="18"/>
              </w:rPr>
            </w:pPr>
            <w:r w:rsidRPr="001D41EA">
              <w:rPr>
                <w:rFonts w:cs="Arial"/>
                <w:sz w:val="18"/>
                <w:szCs w:val="18"/>
              </w:rPr>
              <w:t>Surf Coast S</w:t>
            </w:r>
          </w:p>
        </w:tc>
        <w:tc>
          <w:tcPr>
            <w:tcW w:w="1361" w:type="dxa"/>
            <w:tcBorders>
              <w:top w:val="nil"/>
              <w:left w:val="single" w:sz="18" w:space="0" w:color="5F497A" w:themeColor="accent4" w:themeShade="BF"/>
              <w:bottom w:val="nil"/>
              <w:right w:val="nil"/>
            </w:tcBorders>
            <w:shd w:val="clear" w:color="auto" w:fill="auto"/>
            <w:noWrap/>
            <w:vAlign w:val="bottom"/>
          </w:tcPr>
          <w:p w14:paraId="0E1C3C0A" w14:textId="4175465E" w:rsidR="00584325" w:rsidRPr="001D41EA" w:rsidRDefault="00584325" w:rsidP="001D41EA">
            <w:pPr>
              <w:spacing w:before="40" w:after="20"/>
              <w:jc w:val="right"/>
              <w:rPr>
                <w:rFonts w:cs="Arial"/>
                <w:sz w:val="18"/>
                <w:szCs w:val="18"/>
              </w:rPr>
            </w:pPr>
            <w:r w:rsidRPr="001D41EA">
              <w:rPr>
                <w:rFonts w:cs="Arial"/>
                <w:sz w:val="18"/>
                <w:szCs w:val="18"/>
              </w:rPr>
              <w:t>2,487,467</w:t>
            </w:r>
          </w:p>
        </w:tc>
        <w:tc>
          <w:tcPr>
            <w:tcW w:w="1361" w:type="dxa"/>
            <w:tcBorders>
              <w:top w:val="nil"/>
              <w:left w:val="nil"/>
              <w:bottom w:val="nil"/>
              <w:right w:val="nil"/>
            </w:tcBorders>
            <w:shd w:val="clear" w:color="auto" w:fill="auto"/>
            <w:noWrap/>
            <w:vAlign w:val="bottom"/>
          </w:tcPr>
          <w:p w14:paraId="6C37FC2F" w14:textId="4B196900" w:rsidR="00584325" w:rsidRPr="001D41EA" w:rsidRDefault="00584325" w:rsidP="001D41EA">
            <w:pPr>
              <w:spacing w:before="40" w:after="20"/>
              <w:jc w:val="right"/>
              <w:rPr>
                <w:rFonts w:cs="Arial"/>
                <w:sz w:val="18"/>
                <w:szCs w:val="18"/>
              </w:rPr>
            </w:pPr>
            <w:r w:rsidRPr="001D41EA">
              <w:rPr>
                <w:rFonts w:cs="Arial"/>
                <w:sz w:val="18"/>
                <w:szCs w:val="18"/>
              </w:rPr>
              <w:t>3,092,373</w:t>
            </w:r>
          </w:p>
        </w:tc>
        <w:tc>
          <w:tcPr>
            <w:tcW w:w="1361" w:type="dxa"/>
            <w:tcBorders>
              <w:top w:val="nil"/>
              <w:left w:val="nil"/>
              <w:bottom w:val="nil"/>
              <w:right w:val="nil"/>
            </w:tcBorders>
            <w:shd w:val="clear" w:color="auto" w:fill="auto"/>
            <w:noWrap/>
            <w:vAlign w:val="bottom"/>
          </w:tcPr>
          <w:p w14:paraId="3AD28BE3" w14:textId="28DE1193" w:rsidR="00584325" w:rsidRPr="001D41EA" w:rsidRDefault="00584325" w:rsidP="001D41EA">
            <w:pPr>
              <w:spacing w:before="40" w:after="20"/>
              <w:jc w:val="right"/>
              <w:rPr>
                <w:rFonts w:cs="Arial"/>
                <w:sz w:val="18"/>
                <w:szCs w:val="18"/>
              </w:rPr>
            </w:pPr>
            <w:r w:rsidRPr="001D41EA">
              <w:rPr>
                <w:rFonts w:cs="Arial"/>
                <w:sz w:val="18"/>
                <w:szCs w:val="18"/>
              </w:rPr>
              <w:t>1,268,306</w:t>
            </w:r>
          </w:p>
        </w:tc>
        <w:tc>
          <w:tcPr>
            <w:tcW w:w="1361" w:type="dxa"/>
            <w:tcBorders>
              <w:top w:val="nil"/>
              <w:left w:val="nil"/>
              <w:bottom w:val="nil"/>
              <w:right w:val="nil"/>
            </w:tcBorders>
            <w:vAlign w:val="bottom"/>
          </w:tcPr>
          <w:p w14:paraId="3A4D6433" w14:textId="6A54EF72" w:rsidR="00584325" w:rsidRPr="001D41EA" w:rsidRDefault="00584325" w:rsidP="001D41EA">
            <w:pPr>
              <w:spacing w:before="40" w:after="20"/>
              <w:jc w:val="right"/>
              <w:rPr>
                <w:rFonts w:cs="Arial"/>
                <w:sz w:val="18"/>
                <w:szCs w:val="18"/>
              </w:rPr>
            </w:pPr>
            <w:r w:rsidRPr="001D41EA">
              <w:rPr>
                <w:rFonts w:cs="Arial"/>
                <w:sz w:val="18"/>
                <w:szCs w:val="18"/>
              </w:rPr>
              <w:t>13,580,482</w:t>
            </w:r>
          </w:p>
        </w:tc>
        <w:tc>
          <w:tcPr>
            <w:tcW w:w="1361" w:type="dxa"/>
            <w:tcBorders>
              <w:top w:val="nil"/>
              <w:left w:val="nil"/>
              <w:bottom w:val="nil"/>
              <w:right w:val="nil"/>
            </w:tcBorders>
            <w:shd w:val="clear" w:color="auto" w:fill="auto"/>
            <w:noWrap/>
            <w:vAlign w:val="bottom"/>
          </w:tcPr>
          <w:p w14:paraId="4609BF1C" w14:textId="5772C759" w:rsidR="00584325" w:rsidRPr="001D41EA" w:rsidRDefault="00584325" w:rsidP="001D41EA">
            <w:pPr>
              <w:spacing w:before="40" w:after="20"/>
              <w:jc w:val="right"/>
              <w:rPr>
                <w:rFonts w:cs="Arial"/>
                <w:sz w:val="18"/>
                <w:szCs w:val="18"/>
              </w:rPr>
            </w:pPr>
            <w:r w:rsidRPr="001D41EA">
              <w:rPr>
                <w:rFonts w:cs="Arial"/>
                <w:sz w:val="18"/>
                <w:szCs w:val="18"/>
              </w:rPr>
              <w:t>8,094,023</w:t>
            </w:r>
          </w:p>
        </w:tc>
      </w:tr>
      <w:tr w:rsidR="00584325" w:rsidRPr="001D41EA" w14:paraId="5322AF8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94BD0C8" w14:textId="77777777" w:rsidR="00584325" w:rsidRPr="001D41EA" w:rsidRDefault="00584325" w:rsidP="001D41EA">
            <w:pPr>
              <w:spacing w:before="40" w:after="20"/>
              <w:rPr>
                <w:rFonts w:cs="Arial"/>
                <w:sz w:val="18"/>
                <w:szCs w:val="18"/>
              </w:rPr>
            </w:pPr>
            <w:r w:rsidRPr="001D41EA">
              <w:rPr>
                <w:rFonts w:cs="Arial"/>
                <w:sz w:val="18"/>
                <w:szCs w:val="18"/>
              </w:rPr>
              <w:t>Swan Hill RC</w:t>
            </w:r>
          </w:p>
        </w:tc>
        <w:tc>
          <w:tcPr>
            <w:tcW w:w="1361" w:type="dxa"/>
            <w:tcBorders>
              <w:top w:val="nil"/>
              <w:left w:val="single" w:sz="18" w:space="0" w:color="5F497A" w:themeColor="accent4" w:themeShade="BF"/>
              <w:bottom w:val="nil"/>
              <w:right w:val="nil"/>
            </w:tcBorders>
            <w:shd w:val="clear" w:color="auto" w:fill="auto"/>
            <w:noWrap/>
            <w:vAlign w:val="bottom"/>
          </w:tcPr>
          <w:p w14:paraId="5C954353" w14:textId="6956807D" w:rsidR="00584325" w:rsidRPr="001D41EA" w:rsidRDefault="00584325" w:rsidP="001D41EA">
            <w:pPr>
              <w:spacing w:before="40" w:after="20"/>
              <w:jc w:val="right"/>
              <w:rPr>
                <w:rFonts w:cs="Arial"/>
                <w:sz w:val="18"/>
                <w:szCs w:val="18"/>
              </w:rPr>
            </w:pPr>
            <w:r w:rsidRPr="001D41EA">
              <w:rPr>
                <w:rFonts w:cs="Arial"/>
                <w:sz w:val="18"/>
                <w:szCs w:val="18"/>
              </w:rPr>
              <w:t>1,702,021</w:t>
            </w:r>
          </w:p>
        </w:tc>
        <w:tc>
          <w:tcPr>
            <w:tcW w:w="1361" w:type="dxa"/>
            <w:tcBorders>
              <w:top w:val="nil"/>
              <w:left w:val="nil"/>
              <w:bottom w:val="nil"/>
              <w:right w:val="nil"/>
            </w:tcBorders>
            <w:shd w:val="clear" w:color="auto" w:fill="auto"/>
            <w:noWrap/>
            <w:vAlign w:val="bottom"/>
          </w:tcPr>
          <w:p w14:paraId="6544A99B" w14:textId="368C2F7A" w:rsidR="00584325" w:rsidRPr="001D41EA" w:rsidRDefault="00584325" w:rsidP="001D41EA">
            <w:pPr>
              <w:spacing w:before="40" w:after="20"/>
              <w:jc w:val="right"/>
              <w:rPr>
                <w:rFonts w:cs="Arial"/>
                <w:sz w:val="18"/>
                <w:szCs w:val="18"/>
              </w:rPr>
            </w:pPr>
            <w:r w:rsidRPr="001D41EA">
              <w:rPr>
                <w:rFonts w:cs="Arial"/>
                <w:sz w:val="18"/>
                <w:szCs w:val="18"/>
              </w:rPr>
              <w:t>2,652,501</w:t>
            </w:r>
          </w:p>
        </w:tc>
        <w:tc>
          <w:tcPr>
            <w:tcW w:w="1361" w:type="dxa"/>
            <w:tcBorders>
              <w:top w:val="nil"/>
              <w:left w:val="nil"/>
              <w:bottom w:val="nil"/>
              <w:right w:val="nil"/>
            </w:tcBorders>
            <w:shd w:val="clear" w:color="auto" w:fill="auto"/>
            <w:noWrap/>
            <w:vAlign w:val="bottom"/>
          </w:tcPr>
          <w:p w14:paraId="162B9313" w14:textId="3B061CA9" w:rsidR="00584325" w:rsidRPr="001D41EA" w:rsidRDefault="00584325" w:rsidP="001D41EA">
            <w:pPr>
              <w:spacing w:before="40" w:after="20"/>
              <w:jc w:val="right"/>
              <w:rPr>
                <w:rFonts w:cs="Arial"/>
                <w:sz w:val="18"/>
                <w:szCs w:val="18"/>
              </w:rPr>
            </w:pPr>
            <w:r w:rsidRPr="001D41EA">
              <w:rPr>
                <w:rFonts w:cs="Arial"/>
                <w:sz w:val="18"/>
                <w:szCs w:val="18"/>
              </w:rPr>
              <w:t>1,647,008</w:t>
            </w:r>
          </w:p>
        </w:tc>
        <w:tc>
          <w:tcPr>
            <w:tcW w:w="1361" w:type="dxa"/>
            <w:tcBorders>
              <w:top w:val="nil"/>
              <w:left w:val="nil"/>
              <w:bottom w:val="nil"/>
              <w:right w:val="nil"/>
            </w:tcBorders>
            <w:vAlign w:val="bottom"/>
          </w:tcPr>
          <w:p w14:paraId="20B60BBB" w14:textId="748641DA" w:rsidR="00584325" w:rsidRPr="001D41EA" w:rsidRDefault="00584325" w:rsidP="001D41EA">
            <w:pPr>
              <w:spacing w:before="40" w:after="20"/>
              <w:jc w:val="right"/>
              <w:rPr>
                <w:rFonts w:cs="Arial"/>
                <w:sz w:val="18"/>
                <w:szCs w:val="18"/>
              </w:rPr>
            </w:pPr>
            <w:r w:rsidRPr="001D41EA">
              <w:rPr>
                <w:rFonts w:cs="Arial"/>
                <w:sz w:val="18"/>
                <w:szCs w:val="18"/>
              </w:rPr>
              <w:t>7,028,936</w:t>
            </w:r>
          </w:p>
        </w:tc>
        <w:tc>
          <w:tcPr>
            <w:tcW w:w="1361" w:type="dxa"/>
            <w:tcBorders>
              <w:top w:val="nil"/>
              <w:left w:val="nil"/>
              <w:bottom w:val="nil"/>
              <w:right w:val="nil"/>
            </w:tcBorders>
            <w:shd w:val="clear" w:color="auto" w:fill="auto"/>
            <w:noWrap/>
            <w:vAlign w:val="bottom"/>
          </w:tcPr>
          <w:p w14:paraId="02ECD7E2" w14:textId="5D994CD1" w:rsidR="00584325" w:rsidRPr="001D41EA" w:rsidRDefault="00584325" w:rsidP="001D41EA">
            <w:pPr>
              <w:spacing w:before="40" w:after="20"/>
              <w:jc w:val="right"/>
              <w:rPr>
                <w:rFonts w:cs="Arial"/>
                <w:sz w:val="18"/>
                <w:szCs w:val="18"/>
              </w:rPr>
            </w:pPr>
            <w:r w:rsidRPr="001D41EA">
              <w:rPr>
                <w:rFonts w:cs="Arial"/>
                <w:sz w:val="18"/>
                <w:szCs w:val="18"/>
              </w:rPr>
              <w:t>4,236,474</w:t>
            </w:r>
          </w:p>
        </w:tc>
      </w:tr>
      <w:tr w:rsidR="00584325" w:rsidRPr="001D41EA" w14:paraId="25B34D1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4B39665" w14:textId="77777777" w:rsidR="00584325" w:rsidRPr="001D41EA" w:rsidRDefault="00584325" w:rsidP="001D41EA">
            <w:pPr>
              <w:spacing w:before="40" w:after="20"/>
              <w:rPr>
                <w:rFonts w:cs="Arial"/>
                <w:sz w:val="18"/>
                <w:szCs w:val="18"/>
              </w:rPr>
            </w:pPr>
            <w:r w:rsidRPr="001D41EA">
              <w:rPr>
                <w:rFonts w:cs="Arial"/>
                <w:sz w:val="18"/>
                <w:szCs w:val="18"/>
              </w:rPr>
              <w:t>Towong S</w:t>
            </w:r>
          </w:p>
        </w:tc>
        <w:tc>
          <w:tcPr>
            <w:tcW w:w="1361" w:type="dxa"/>
            <w:tcBorders>
              <w:top w:val="nil"/>
              <w:left w:val="single" w:sz="18" w:space="0" w:color="5F497A" w:themeColor="accent4" w:themeShade="BF"/>
              <w:bottom w:val="nil"/>
              <w:right w:val="nil"/>
            </w:tcBorders>
            <w:shd w:val="clear" w:color="auto" w:fill="auto"/>
            <w:noWrap/>
            <w:vAlign w:val="bottom"/>
          </w:tcPr>
          <w:p w14:paraId="289D89D1" w14:textId="5D24DB3F" w:rsidR="00584325" w:rsidRPr="001D41EA" w:rsidRDefault="00584325" w:rsidP="001D41EA">
            <w:pPr>
              <w:spacing w:before="40" w:after="20"/>
              <w:jc w:val="right"/>
              <w:rPr>
                <w:rFonts w:cs="Arial"/>
                <w:sz w:val="18"/>
                <w:szCs w:val="18"/>
              </w:rPr>
            </w:pPr>
            <w:r w:rsidRPr="001D41EA">
              <w:rPr>
                <w:rFonts w:cs="Arial"/>
                <w:sz w:val="18"/>
                <w:szCs w:val="18"/>
              </w:rPr>
              <w:t>1,567,534</w:t>
            </w:r>
          </w:p>
        </w:tc>
        <w:tc>
          <w:tcPr>
            <w:tcW w:w="1361" w:type="dxa"/>
            <w:tcBorders>
              <w:top w:val="nil"/>
              <w:left w:val="nil"/>
              <w:bottom w:val="nil"/>
              <w:right w:val="nil"/>
            </w:tcBorders>
            <w:shd w:val="clear" w:color="auto" w:fill="auto"/>
            <w:noWrap/>
            <w:vAlign w:val="bottom"/>
          </w:tcPr>
          <w:p w14:paraId="3EBCEAC5" w14:textId="69FBDA3F" w:rsidR="00584325" w:rsidRPr="001D41EA" w:rsidRDefault="00584325" w:rsidP="001D41EA">
            <w:pPr>
              <w:spacing w:before="40" w:after="20"/>
              <w:jc w:val="right"/>
              <w:rPr>
                <w:rFonts w:cs="Arial"/>
                <w:sz w:val="18"/>
                <w:szCs w:val="18"/>
              </w:rPr>
            </w:pPr>
            <w:r w:rsidRPr="001D41EA">
              <w:rPr>
                <w:rFonts w:cs="Arial"/>
                <w:sz w:val="18"/>
                <w:szCs w:val="18"/>
              </w:rPr>
              <w:t>686,355</w:t>
            </w:r>
          </w:p>
        </w:tc>
        <w:tc>
          <w:tcPr>
            <w:tcW w:w="1361" w:type="dxa"/>
            <w:tcBorders>
              <w:top w:val="nil"/>
              <w:left w:val="nil"/>
              <w:bottom w:val="nil"/>
              <w:right w:val="nil"/>
            </w:tcBorders>
            <w:shd w:val="clear" w:color="auto" w:fill="auto"/>
            <w:noWrap/>
            <w:vAlign w:val="bottom"/>
          </w:tcPr>
          <w:p w14:paraId="70876B38" w14:textId="7DF0A555" w:rsidR="00584325" w:rsidRPr="001D41EA" w:rsidRDefault="00584325" w:rsidP="001D41EA">
            <w:pPr>
              <w:spacing w:before="40" w:after="20"/>
              <w:jc w:val="right"/>
              <w:rPr>
                <w:rFonts w:cs="Arial"/>
                <w:sz w:val="18"/>
                <w:szCs w:val="18"/>
              </w:rPr>
            </w:pPr>
            <w:r w:rsidRPr="001D41EA">
              <w:rPr>
                <w:rFonts w:cs="Arial"/>
                <w:sz w:val="18"/>
                <w:szCs w:val="18"/>
              </w:rPr>
              <w:t>611,883</w:t>
            </w:r>
          </w:p>
        </w:tc>
        <w:tc>
          <w:tcPr>
            <w:tcW w:w="1361" w:type="dxa"/>
            <w:tcBorders>
              <w:top w:val="nil"/>
              <w:left w:val="nil"/>
              <w:bottom w:val="nil"/>
              <w:right w:val="nil"/>
            </w:tcBorders>
            <w:vAlign w:val="bottom"/>
          </w:tcPr>
          <w:p w14:paraId="16293384" w14:textId="1403B727" w:rsidR="00584325" w:rsidRPr="001D41EA" w:rsidRDefault="00584325" w:rsidP="001D41EA">
            <w:pPr>
              <w:spacing w:before="40" w:after="20"/>
              <w:jc w:val="right"/>
              <w:rPr>
                <w:rFonts w:cs="Arial"/>
                <w:sz w:val="18"/>
                <w:szCs w:val="18"/>
              </w:rPr>
            </w:pPr>
            <w:r w:rsidRPr="001D41EA">
              <w:rPr>
                <w:rFonts w:cs="Arial"/>
                <w:sz w:val="18"/>
                <w:szCs w:val="18"/>
              </w:rPr>
              <w:t>2,115,497</w:t>
            </w:r>
          </w:p>
        </w:tc>
        <w:tc>
          <w:tcPr>
            <w:tcW w:w="1361" w:type="dxa"/>
            <w:tcBorders>
              <w:top w:val="nil"/>
              <w:left w:val="nil"/>
              <w:bottom w:val="nil"/>
              <w:right w:val="nil"/>
            </w:tcBorders>
            <w:shd w:val="clear" w:color="auto" w:fill="auto"/>
            <w:noWrap/>
            <w:vAlign w:val="bottom"/>
          </w:tcPr>
          <w:p w14:paraId="45A9FF48" w14:textId="6D95FDA6" w:rsidR="00584325" w:rsidRPr="001D41EA" w:rsidRDefault="00584325" w:rsidP="001D41EA">
            <w:pPr>
              <w:spacing w:before="40" w:after="20"/>
              <w:jc w:val="right"/>
              <w:rPr>
                <w:rFonts w:cs="Arial"/>
                <w:sz w:val="18"/>
                <w:szCs w:val="18"/>
              </w:rPr>
            </w:pPr>
            <w:r w:rsidRPr="001D41EA">
              <w:rPr>
                <w:rFonts w:cs="Arial"/>
                <w:sz w:val="18"/>
                <w:szCs w:val="18"/>
              </w:rPr>
              <w:t>1,595,156</w:t>
            </w:r>
          </w:p>
        </w:tc>
      </w:tr>
      <w:tr w:rsidR="00584325" w:rsidRPr="001D41EA" w14:paraId="5B03681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AA04BD5" w14:textId="77777777" w:rsidR="00584325" w:rsidRPr="001D41EA" w:rsidRDefault="00584325" w:rsidP="001D41EA">
            <w:pPr>
              <w:spacing w:before="40" w:after="20"/>
              <w:rPr>
                <w:rFonts w:cs="Arial"/>
                <w:sz w:val="18"/>
                <w:szCs w:val="18"/>
              </w:rPr>
            </w:pPr>
            <w:r w:rsidRPr="001D41EA">
              <w:rPr>
                <w:rFonts w:cs="Arial"/>
                <w:sz w:val="18"/>
                <w:szCs w:val="18"/>
              </w:rPr>
              <w:t>Wangaratta RC</w:t>
            </w:r>
          </w:p>
        </w:tc>
        <w:tc>
          <w:tcPr>
            <w:tcW w:w="1361" w:type="dxa"/>
            <w:tcBorders>
              <w:top w:val="nil"/>
              <w:left w:val="single" w:sz="18" w:space="0" w:color="5F497A" w:themeColor="accent4" w:themeShade="BF"/>
              <w:bottom w:val="nil"/>
              <w:right w:val="nil"/>
            </w:tcBorders>
            <w:shd w:val="clear" w:color="auto" w:fill="auto"/>
            <w:noWrap/>
            <w:vAlign w:val="bottom"/>
          </w:tcPr>
          <w:p w14:paraId="228A0F3C" w14:textId="2E30C922" w:rsidR="00584325" w:rsidRPr="001D41EA" w:rsidRDefault="00584325" w:rsidP="001D41EA">
            <w:pPr>
              <w:spacing w:before="40" w:after="20"/>
              <w:jc w:val="right"/>
              <w:rPr>
                <w:rFonts w:cs="Arial"/>
                <w:sz w:val="18"/>
                <w:szCs w:val="18"/>
              </w:rPr>
            </w:pPr>
            <w:r w:rsidRPr="001D41EA">
              <w:rPr>
                <w:rFonts w:cs="Arial"/>
                <w:sz w:val="18"/>
                <w:szCs w:val="18"/>
              </w:rPr>
              <w:t>1,874,086</w:t>
            </w:r>
          </w:p>
        </w:tc>
        <w:tc>
          <w:tcPr>
            <w:tcW w:w="1361" w:type="dxa"/>
            <w:tcBorders>
              <w:top w:val="nil"/>
              <w:left w:val="nil"/>
              <w:bottom w:val="nil"/>
              <w:right w:val="nil"/>
            </w:tcBorders>
            <w:shd w:val="clear" w:color="auto" w:fill="auto"/>
            <w:noWrap/>
            <w:vAlign w:val="bottom"/>
          </w:tcPr>
          <w:p w14:paraId="25773702" w14:textId="20A0F2B2" w:rsidR="00584325" w:rsidRPr="001D41EA" w:rsidRDefault="00584325" w:rsidP="001D41EA">
            <w:pPr>
              <w:spacing w:before="40" w:after="20"/>
              <w:jc w:val="right"/>
              <w:rPr>
                <w:rFonts w:cs="Arial"/>
                <w:sz w:val="18"/>
                <w:szCs w:val="18"/>
              </w:rPr>
            </w:pPr>
            <w:r w:rsidRPr="001D41EA">
              <w:rPr>
                <w:rFonts w:cs="Arial"/>
                <w:sz w:val="18"/>
                <w:szCs w:val="18"/>
              </w:rPr>
              <w:t>2,847,865</w:t>
            </w:r>
          </w:p>
        </w:tc>
        <w:tc>
          <w:tcPr>
            <w:tcW w:w="1361" w:type="dxa"/>
            <w:tcBorders>
              <w:top w:val="nil"/>
              <w:left w:val="nil"/>
              <w:bottom w:val="nil"/>
              <w:right w:val="nil"/>
            </w:tcBorders>
            <w:shd w:val="clear" w:color="auto" w:fill="auto"/>
            <w:noWrap/>
            <w:vAlign w:val="bottom"/>
          </w:tcPr>
          <w:p w14:paraId="698602C5" w14:textId="598B6C3B" w:rsidR="00584325" w:rsidRPr="001D41EA" w:rsidRDefault="00584325" w:rsidP="001D41EA">
            <w:pPr>
              <w:spacing w:before="40" w:after="20"/>
              <w:jc w:val="right"/>
              <w:rPr>
                <w:rFonts w:cs="Arial"/>
                <w:sz w:val="18"/>
                <w:szCs w:val="18"/>
              </w:rPr>
            </w:pPr>
            <w:r w:rsidRPr="001D41EA">
              <w:rPr>
                <w:rFonts w:cs="Arial"/>
                <w:sz w:val="18"/>
                <w:szCs w:val="18"/>
              </w:rPr>
              <w:t>1,920,026</w:t>
            </w:r>
          </w:p>
        </w:tc>
        <w:tc>
          <w:tcPr>
            <w:tcW w:w="1361" w:type="dxa"/>
            <w:tcBorders>
              <w:top w:val="nil"/>
              <w:left w:val="nil"/>
              <w:bottom w:val="nil"/>
              <w:right w:val="nil"/>
            </w:tcBorders>
            <w:vAlign w:val="bottom"/>
          </w:tcPr>
          <w:p w14:paraId="55251E80" w14:textId="54C3FDE8" w:rsidR="00584325" w:rsidRPr="001D41EA" w:rsidRDefault="00584325" w:rsidP="001D41EA">
            <w:pPr>
              <w:spacing w:before="40" w:after="20"/>
              <w:jc w:val="right"/>
              <w:rPr>
                <w:rFonts w:cs="Arial"/>
                <w:sz w:val="18"/>
                <w:szCs w:val="18"/>
              </w:rPr>
            </w:pPr>
            <w:r w:rsidRPr="001D41EA">
              <w:rPr>
                <w:rFonts w:cs="Arial"/>
                <w:sz w:val="18"/>
                <w:szCs w:val="18"/>
              </w:rPr>
              <w:t>9,033,413</w:t>
            </w:r>
          </w:p>
        </w:tc>
        <w:tc>
          <w:tcPr>
            <w:tcW w:w="1361" w:type="dxa"/>
            <w:tcBorders>
              <w:top w:val="nil"/>
              <w:left w:val="nil"/>
              <w:bottom w:val="nil"/>
              <w:right w:val="nil"/>
            </w:tcBorders>
            <w:shd w:val="clear" w:color="auto" w:fill="auto"/>
            <w:noWrap/>
            <w:vAlign w:val="bottom"/>
          </w:tcPr>
          <w:p w14:paraId="0C0FF3AA" w14:textId="7DF08B63" w:rsidR="00584325" w:rsidRPr="001D41EA" w:rsidRDefault="00584325" w:rsidP="001D41EA">
            <w:pPr>
              <w:spacing w:before="40" w:after="20"/>
              <w:jc w:val="right"/>
              <w:rPr>
                <w:rFonts w:cs="Arial"/>
                <w:sz w:val="18"/>
                <w:szCs w:val="18"/>
              </w:rPr>
            </w:pPr>
            <w:r w:rsidRPr="001D41EA">
              <w:rPr>
                <w:rFonts w:cs="Arial"/>
                <w:sz w:val="18"/>
                <w:szCs w:val="18"/>
              </w:rPr>
              <w:t>5,167,071</w:t>
            </w:r>
          </w:p>
        </w:tc>
      </w:tr>
      <w:tr w:rsidR="00584325" w:rsidRPr="001D41EA" w14:paraId="22C46D3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CBD486C" w14:textId="77777777" w:rsidR="00584325" w:rsidRPr="001D41EA" w:rsidRDefault="00584325" w:rsidP="001D41EA">
            <w:pPr>
              <w:spacing w:before="40" w:after="20"/>
              <w:rPr>
                <w:rFonts w:cs="Arial"/>
                <w:sz w:val="18"/>
                <w:szCs w:val="18"/>
              </w:rPr>
            </w:pPr>
            <w:r w:rsidRPr="001D41EA">
              <w:rPr>
                <w:rFonts w:cs="Arial"/>
                <w:sz w:val="18"/>
                <w:szCs w:val="18"/>
              </w:rPr>
              <w:t>Warrnambool C</w:t>
            </w:r>
          </w:p>
        </w:tc>
        <w:tc>
          <w:tcPr>
            <w:tcW w:w="1361" w:type="dxa"/>
            <w:tcBorders>
              <w:top w:val="nil"/>
              <w:left w:val="single" w:sz="18" w:space="0" w:color="5F497A" w:themeColor="accent4" w:themeShade="BF"/>
              <w:bottom w:val="nil"/>
              <w:right w:val="nil"/>
            </w:tcBorders>
            <w:shd w:val="clear" w:color="auto" w:fill="auto"/>
            <w:noWrap/>
            <w:vAlign w:val="bottom"/>
          </w:tcPr>
          <w:p w14:paraId="749019B1" w14:textId="10205A91" w:rsidR="00584325" w:rsidRPr="001D41EA" w:rsidRDefault="00584325" w:rsidP="001D41EA">
            <w:pPr>
              <w:spacing w:before="40" w:after="20"/>
              <w:jc w:val="right"/>
              <w:rPr>
                <w:rFonts w:cs="Arial"/>
                <w:sz w:val="18"/>
                <w:szCs w:val="18"/>
              </w:rPr>
            </w:pPr>
            <w:r w:rsidRPr="001D41EA">
              <w:rPr>
                <w:rFonts w:cs="Arial"/>
                <w:sz w:val="18"/>
                <w:szCs w:val="18"/>
              </w:rPr>
              <w:t>2,142,555</w:t>
            </w:r>
          </w:p>
        </w:tc>
        <w:tc>
          <w:tcPr>
            <w:tcW w:w="1361" w:type="dxa"/>
            <w:tcBorders>
              <w:top w:val="nil"/>
              <w:left w:val="nil"/>
              <w:bottom w:val="nil"/>
              <w:right w:val="nil"/>
            </w:tcBorders>
            <w:shd w:val="clear" w:color="auto" w:fill="auto"/>
            <w:noWrap/>
            <w:vAlign w:val="bottom"/>
          </w:tcPr>
          <w:p w14:paraId="57369FEC" w14:textId="443F1B0E" w:rsidR="00584325" w:rsidRPr="001D41EA" w:rsidRDefault="00584325" w:rsidP="001D41EA">
            <w:pPr>
              <w:spacing w:before="40" w:after="20"/>
              <w:jc w:val="right"/>
              <w:rPr>
                <w:rFonts w:cs="Arial"/>
                <w:sz w:val="18"/>
                <w:szCs w:val="18"/>
              </w:rPr>
            </w:pPr>
            <w:r w:rsidRPr="001D41EA">
              <w:rPr>
                <w:rFonts w:cs="Arial"/>
                <w:sz w:val="18"/>
                <w:szCs w:val="18"/>
              </w:rPr>
              <w:t>3,346,956</w:t>
            </w:r>
          </w:p>
        </w:tc>
        <w:tc>
          <w:tcPr>
            <w:tcW w:w="1361" w:type="dxa"/>
            <w:tcBorders>
              <w:top w:val="nil"/>
              <w:left w:val="nil"/>
              <w:bottom w:val="nil"/>
              <w:right w:val="nil"/>
            </w:tcBorders>
            <w:shd w:val="clear" w:color="auto" w:fill="auto"/>
            <w:noWrap/>
            <w:vAlign w:val="bottom"/>
          </w:tcPr>
          <w:p w14:paraId="65A20E0E" w14:textId="43FDD2A2" w:rsidR="00584325" w:rsidRPr="001D41EA" w:rsidRDefault="00584325" w:rsidP="001D41EA">
            <w:pPr>
              <w:spacing w:before="40" w:after="20"/>
              <w:jc w:val="right"/>
              <w:rPr>
                <w:rFonts w:cs="Arial"/>
                <w:sz w:val="18"/>
                <w:szCs w:val="18"/>
              </w:rPr>
            </w:pPr>
            <w:r w:rsidRPr="001D41EA">
              <w:rPr>
                <w:rFonts w:cs="Arial"/>
                <w:sz w:val="18"/>
                <w:szCs w:val="18"/>
              </w:rPr>
              <w:t>1,847,929</w:t>
            </w:r>
          </w:p>
        </w:tc>
        <w:tc>
          <w:tcPr>
            <w:tcW w:w="1361" w:type="dxa"/>
            <w:tcBorders>
              <w:top w:val="nil"/>
              <w:left w:val="nil"/>
              <w:bottom w:val="nil"/>
              <w:right w:val="nil"/>
            </w:tcBorders>
            <w:vAlign w:val="bottom"/>
          </w:tcPr>
          <w:p w14:paraId="15020974" w14:textId="7B8675ED" w:rsidR="00584325" w:rsidRPr="001D41EA" w:rsidRDefault="00584325" w:rsidP="001D41EA">
            <w:pPr>
              <w:spacing w:before="40" w:after="20"/>
              <w:jc w:val="right"/>
              <w:rPr>
                <w:rFonts w:cs="Arial"/>
                <w:sz w:val="18"/>
                <w:szCs w:val="18"/>
              </w:rPr>
            </w:pPr>
            <w:r w:rsidRPr="001D41EA">
              <w:rPr>
                <w:rFonts w:cs="Arial"/>
                <w:sz w:val="18"/>
                <w:szCs w:val="18"/>
              </w:rPr>
              <w:t>11,768,156</w:t>
            </w:r>
          </w:p>
        </w:tc>
        <w:tc>
          <w:tcPr>
            <w:tcW w:w="1361" w:type="dxa"/>
            <w:tcBorders>
              <w:top w:val="nil"/>
              <w:left w:val="nil"/>
              <w:bottom w:val="nil"/>
              <w:right w:val="nil"/>
            </w:tcBorders>
            <w:shd w:val="clear" w:color="auto" w:fill="auto"/>
            <w:noWrap/>
            <w:vAlign w:val="bottom"/>
          </w:tcPr>
          <w:p w14:paraId="0A315CDE" w14:textId="70670692" w:rsidR="00584325" w:rsidRPr="001D41EA" w:rsidRDefault="00584325" w:rsidP="001D41EA">
            <w:pPr>
              <w:spacing w:before="40" w:after="20"/>
              <w:jc w:val="right"/>
              <w:rPr>
                <w:rFonts w:cs="Arial"/>
                <w:sz w:val="18"/>
                <w:szCs w:val="18"/>
              </w:rPr>
            </w:pPr>
            <w:r w:rsidRPr="001D41EA">
              <w:rPr>
                <w:rFonts w:cs="Arial"/>
                <w:sz w:val="18"/>
                <w:szCs w:val="18"/>
              </w:rPr>
              <w:t>5,792,816</w:t>
            </w:r>
          </w:p>
        </w:tc>
      </w:tr>
      <w:tr w:rsidR="00584325" w:rsidRPr="001D41EA" w14:paraId="795AFFB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49DC1A6" w14:textId="77777777" w:rsidR="00584325" w:rsidRPr="001D41EA" w:rsidRDefault="00584325" w:rsidP="001D41EA">
            <w:pPr>
              <w:spacing w:before="40" w:after="20"/>
              <w:rPr>
                <w:rFonts w:cs="Arial"/>
                <w:sz w:val="18"/>
                <w:szCs w:val="18"/>
              </w:rPr>
            </w:pPr>
            <w:r w:rsidRPr="001D41EA">
              <w:rPr>
                <w:rFonts w:cs="Arial"/>
                <w:sz w:val="18"/>
                <w:szCs w:val="18"/>
              </w:rPr>
              <w:t>Wellington S</w:t>
            </w:r>
          </w:p>
        </w:tc>
        <w:tc>
          <w:tcPr>
            <w:tcW w:w="1361" w:type="dxa"/>
            <w:tcBorders>
              <w:top w:val="nil"/>
              <w:left w:val="single" w:sz="18" w:space="0" w:color="5F497A" w:themeColor="accent4" w:themeShade="BF"/>
              <w:bottom w:val="nil"/>
              <w:right w:val="nil"/>
            </w:tcBorders>
            <w:shd w:val="clear" w:color="auto" w:fill="auto"/>
            <w:noWrap/>
            <w:vAlign w:val="bottom"/>
          </w:tcPr>
          <w:p w14:paraId="131AD6C6" w14:textId="3B740A72" w:rsidR="00584325" w:rsidRPr="001D41EA" w:rsidRDefault="00584325" w:rsidP="001D41EA">
            <w:pPr>
              <w:spacing w:before="40" w:after="20"/>
              <w:jc w:val="right"/>
              <w:rPr>
                <w:rFonts w:cs="Arial"/>
                <w:sz w:val="18"/>
                <w:szCs w:val="18"/>
              </w:rPr>
            </w:pPr>
            <w:r w:rsidRPr="001D41EA">
              <w:rPr>
                <w:rFonts w:cs="Arial"/>
                <w:sz w:val="18"/>
                <w:szCs w:val="18"/>
              </w:rPr>
              <w:t>3,385,585</w:t>
            </w:r>
          </w:p>
        </w:tc>
        <w:tc>
          <w:tcPr>
            <w:tcW w:w="1361" w:type="dxa"/>
            <w:tcBorders>
              <w:top w:val="nil"/>
              <w:left w:val="nil"/>
              <w:bottom w:val="nil"/>
              <w:right w:val="nil"/>
            </w:tcBorders>
            <w:shd w:val="clear" w:color="auto" w:fill="auto"/>
            <w:noWrap/>
            <w:vAlign w:val="bottom"/>
          </w:tcPr>
          <w:p w14:paraId="07AE18C3" w14:textId="6DC1978B" w:rsidR="00584325" w:rsidRPr="001D41EA" w:rsidRDefault="00584325" w:rsidP="001D41EA">
            <w:pPr>
              <w:spacing w:before="40" w:after="20"/>
              <w:jc w:val="right"/>
              <w:rPr>
                <w:rFonts w:cs="Arial"/>
                <w:sz w:val="18"/>
                <w:szCs w:val="18"/>
              </w:rPr>
            </w:pPr>
            <w:r w:rsidRPr="001D41EA">
              <w:rPr>
                <w:rFonts w:cs="Arial"/>
                <w:sz w:val="18"/>
                <w:szCs w:val="18"/>
              </w:rPr>
              <w:t>4,862,466</w:t>
            </w:r>
          </w:p>
        </w:tc>
        <w:tc>
          <w:tcPr>
            <w:tcW w:w="1361" w:type="dxa"/>
            <w:tcBorders>
              <w:top w:val="nil"/>
              <w:left w:val="nil"/>
              <w:bottom w:val="nil"/>
              <w:right w:val="nil"/>
            </w:tcBorders>
            <w:shd w:val="clear" w:color="auto" w:fill="auto"/>
            <w:noWrap/>
            <w:vAlign w:val="bottom"/>
          </w:tcPr>
          <w:p w14:paraId="3CF8B879" w14:textId="36DFB16C" w:rsidR="00584325" w:rsidRPr="001D41EA" w:rsidRDefault="00584325" w:rsidP="001D41EA">
            <w:pPr>
              <w:spacing w:before="40" w:after="20"/>
              <w:jc w:val="right"/>
              <w:rPr>
                <w:rFonts w:cs="Arial"/>
                <w:sz w:val="18"/>
                <w:szCs w:val="18"/>
              </w:rPr>
            </w:pPr>
            <w:r w:rsidRPr="001D41EA">
              <w:rPr>
                <w:rFonts w:cs="Arial"/>
                <w:sz w:val="18"/>
                <w:szCs w:val="18"/>
              </w:rPr>
              <w:t>3,396,963</w:t>
            </w:r>
          </w:p>
        </w:tc>
        <w:tc>
          <w:tcPr>
            <w:tcW w:w="1361" w:type="dxa"/>
            <w:tcBorders>
              <w:top w:val="nil"/>
              <w:left w:val="nil"/>
              <w:bottom w:val="nil"/>
              <w:right w:val="nil"/>
            </w:tcBorders>
            <w:vAlign w:val="bottom"/>
          </w:tcPr>
          <w:p w14:paraId="2CC9C64F" w14:textId="3EA654E0" w:rsidR="00584325" w:rsidRPr="001D41EA" w:rsidRDefault="00584325" w:rsidP="001D41EA">
            <w:pPr>
              <w:spacing w:before="40" w:after="20"/>
              <w:jc w:val="right"/>
              <w:rPr>
                <w:rFonts w:cs="Arial"/>
                <w:sz w:val="18"/>
                <w:szCs w:val="18"/>
              </w:rPr>
            </w:pPr>
            <w:r w:rsidRPr="001D41EA">
              <w:rPr>
                <w:rFonts w:cs="Arial"/>
                <w:sz w:val="18"/>
                <w:szCs w:val="18"/>
              </w:rPr>
              <w:t>15,179,624</w:t>
            </w:r>
          </w:p>
        </w:tc>
        <w:tc>
          <w:tcPr>
            <w:tcW w:w="1361" w:type="dxa"/>
            <w:tcBorders>
              <w:top w:val="nil"/>
              <w:left w:val="nil"/>
              <w:bottom w:val="nil"/>
              <w:right w:val="nil"/>
            </w:tcBorders>
            <w:shd w:val="clear" w:color="auto" w:fill="auto"/>
            <w:noWrap/>
            <w:vAlign w:val="bottom"/>
          </w:tcPr>
          <w:p w14:paraId="53C9A20F" w14:textId="0E12EAA6" w:rsidR="00584325" w:rsidRPr="001D41EA" w:rsidRDefault="00584325" w:rsidP="001D41EA">
            <w:pPr>
              <w:spacing w:before="40" w:after="20"/>
              <w:jc w:val="right"/>
              <w:rPr>
                <w:rFonts w:cs="Arial"/>
                <w:sz w:val="18"/>
                <w:szCs w:val="18"/>
              </w:rPr>
            </w:pPr>
            <w:r w:rsidRPr="001D41EA">
              <w:rPr>
                <w:rFonts w:cs="Arial"/>
                <w:sz w:val="18"/>
                <w:szCs w:val="18"/>
              </w:rPr>
              <w:t>10,094,145</w:t>
            </w:r>
          </w:p>
        </w:tc>
      </w:tr>
      <w:tr w:rsidR="00584325" w:rsidRPr="001D41EA" w14:paraId="0AA419B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3115A16" w14:textId="77777777" w:rsidR="00584325" w:rsidRPr="001D41EA" w:rsidRDefault="00584325" w:rsidP="001D41EA">
            <w:pPr>
              <w:spacing w:before="40" w:after="20"/>
              <w:rPr>
                <w:rFonts w:cs="Arial"/>
                <w:sz w:val="18"/>
                <w:szCs w:val="18"/>
              </w:rPr>
            </w:pPr>
            <w:r w:rsidRPr="001D41EA">
              <w:rPr>
                <w:rFonts w:cs="Arial"/>
                <w:sz w:val="18"/>
                <w:szCs w:val="18"/>
              </w:rPr>
              <w:t>West Wimmera S</w:t>
            </w:r>
          </w:p>
        </w:tc>
        <w:tc>
          <w:tcPr>
            <w:tcW w:w="1361" w:type="dxa"/>
            <w:tcBorders>
              <w:top w:val="nil"/>
              <w:left w:val="single" w:sz="18" w:space="0" w:color="5F497A" w:themeColor="accent4" w:themeShade="BF"/>
              <w:bottom w:val="nil"/>
              <w:right w:val="nil"/>
            </w:tcBorders>
            <w:shd w:val="clear" w:color="auto" w:fill="auto"/>
            <w:noWrap/>
            <w:vAlign w:val="bottom"/>
          </w:tcPr>
          <w:p w14:paraId="3BB9DDD3" w14:textId="06C08A8C" w:rsidR="00584325" w:rsidRPr="001D41EA" w:rsidRDefault="00584325" w:rsidP="001D41EA">
            <w:pPr>
              <w:spacing w:before="40" w:after="20"/>
              <w:jc w:val="right"/>
              <w:rPr>
                <w:rFonts w:cs="Arial"/>
                <w:sz w:val="18"/>
                <w:szCs w:val="18"/>
              </w:rPr>
            </w:pPr>
            <w:r w:rsidRPr="001D41EA">
              <w:rPr>
                <w:rFonts w:cs="Arial"/>
                <w:sz w:val="18"/>
                <w:szCs w:val="18"/>
              </w:rPr>
              <w:t>1,619,248</w:t>
            </w:r>
          </w:p>
        </w:tc>
        <w:tc>
          <w:tcPr>
            <w:tcW w:w="1361" w:type="dxa"/>
            <w:tcBorders>
              <w:top w:val="nil"/>
              <w:left w:val="nil"/>
              <w:bottom w:val="nil"/>
              <w:right w:val="nil"/>
            </w:tcBorders>
            <w:shd w:val="clear" w:color="auto" w:fill="auto"/>
            <w:noWrap/>
            <w:vAlign w:val="bottom"/>
          </w:tcPr>
          <w:p w14:paraId="647FCDB4" w14:textId="238FBEBB" w:rsidR="00584325" w:rsidRPr="001D41EA" w:rsidRDefault="00584325" w:rsidP="001D41EA">
            <w:pPr>
              <w:spacing w:before="40" w:after="20"/>
              <w:jc w:val="right"/>
              <w:rPr>
                <w:rFonts w:cs="Arial"/>
                <w:sz w:val="18"/>
                <w:szCs w:val="18"/>
              </w:rPr>
            </w:pPr>
            <w:r w:rsidRPr="001D41EA">
              <w:rPr>
                <w:rFonts w:cs="Arial"/>
                <w:sz w:val="18"/>
                <w:szCs w:val="18"/>
              </w:rPr>
              <w:t>433,775</w:t>
            </w:r>
          </w:p>
        </w:tc>
        <w:tc>
          <w:tcPr>
            <w:tcW w:w="1361" w:type="dxa"/>
            <w:tcBorders>
              <w:top w:val="nil"/>
              <w:left w:val="nil"/>
              <w:bottom w:val="nil"/>
              <w:right w:val="nil"/>
            </w:tcBorders>
            <w:shd w:val="clear" w:color="auto" w:fill="auto"/>
            <w:noWrap/>
            <w:vAlign w:val="bottom"/>
          </w:tcPr>
          <w:p w14:paraId="16035B5E" w14:textId="5C94C34E" w:rsidR="00584325" w:rsidRPr="001D41EA" w:rsidRDefault="00584325" w:rsidP="001D41EA">
            <w:pPr>
              <w:spacing w:before="40" w:after="20"/>
              <w:jc w:val="right"/>
              <w:rPr>
                <w:rFonts w:cs="Arial"/>
                <w:sz w:val="18"/>
                <w:szCs w:val="18"/>
              </w:rPr>
            </w:pPr>
            <w:r w:rsidRPr="001D41EA">
              <w:rPr>
                <w:rFonts w:cs="Arial"/>
                <w:sz w:val="18"/>
                <w:szCs w:val="18"/>
              </w:rPr>
              <w:t>368,502</w:t>
            </w:r>
          </w:p>
        </w:tc>
        <w:tc>
          <w:tcPr>
            <w:tcW w:w="1361" w:type="dxa"/>
            <w:tcBorders>
              <w:top w:val="nil"/>
              <w:left w:val="nil"/>
              <w:bottom w:val="nil"/>
              <w:right w:val="nil"/>
            </w:tcBorders>
            <w:vAlign w:val="bottom"/>
          </w:tcPr>
          <w:p w14:paraId="19D4EAFC" w14:textId="52156A17" w:rsidR="00584325" w:rsidRPr="001D41EA" w:rsidRDefault="00584325" w:rsidP="001D41EA">
            <w:pPr>
              <w:spacing w:before="40" w:after="20"/>
              <w:jc w:val="right"/>
              <w:rPr>
                <w:rFonts w:cs="Arial"/>
                <w:sz w:val="18"/>
                <w:szCs w:val="18"/>
              </w:rPr>
            </w:pPr>
            <w:r w:rsidRPr="001D41EA">
              <w:rPr>
                <w:rFonts w:cs="Arial"/>
                <w:sz w:val="18"/>
                <w:szCs w:val="18"/>
              </w:rPr>
              <w:t>1,376,140</w:t>
            </w:r>
          </w:p>
        </w:tc>
        <w:tc>
          <w:tcPr>
            <w:tcW w:w="1361" w:type="dxa"/>
            <w:tcBorders>
              <w:top w:val="nil"/>
              <w:left w:val="nil"/>
              <w:bottom w:val="nil"/>
              <w:right w:val="nil"/>
            </w:tcBorders>
            <w:shd w:val="clear" w:color="auto" w:fill="auto"/>
            <w:noWrap/>
            <w:vAlign w:val="bottom"/>
          </w:tcPr>
          <w:p w14:paraId="1847841D" w14:textId="1A93DDA2" w:rsidR="00584325" w:rsidRPr="001D41EA" w:rsidRDefault="00584325" w:rsidP="001D41EA">
            <w:pPr>
              <w:spacing w:before="40" w:after="20"/>
              <w:jc w:val="right"/>
              <w:rPr>
                <w:rFonts w:cs="Arial"/>
                <w:sz w:val="18"/>
                <w:szCs w:val="18"/>
              </w:rPr>
            </w:pPr>
            <w:r w:rsidRPr="001D41EA">
              <w:rPr>
                <w:rFonts w:cs="Arial"/>
                <w:sz w:val="18"/>
                <w:szCs w:val="18"/>
              </w:rPr>
              <w:t>1,103,383</w:t>
            </w:r>
          </w:p>
        </w:tc>
      </w:tr>
      <w:tr w:rsidR="00584325" w:rsidRPr="001D41EA" w14:paraId="63E8AB3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47B3867" w14:textId="77777777" w:rsidR="00584325" w:rsidRPr="001D41EA" w:rsidRDefault="00584325" w:rsidP="001D41EA">
            <w:pPr>
              <w:spacing w:before="40" w:after="20"/>
              <w:rPr>
                <w:rFonts w:cs="Arial"/>
                <w:sz w:val="18"/>
                <w:szCs w:val="18"/>
              </w:rPr>
            </w:pPr>
            <w:r w:rsidRPr="001D41EA">
              <w:rPr>
                <w:rFonts w:cs="Arial"/>
                <w:sz w:val="18"/>
                <w:szCs w:val="18"/>
              </w:rPr>
              <w:t>Whitehorse C</w:t>
            </w:r>
          </w:p>
        </w:tc>
        <w:tc>
          <w:tcPr>
            <w:tcW w:w="1361" w:type="dxa"/>
            <w:tcBorders>
              <w:top w:val="nil"/>
              <w:left w:val="single" w:sz="18" w:space="0" w:color="5F497A" w:themeColor="accent4" w:themeShade="BF"/>
              <w:bottom w:val="nil"/>
              <w:right w:val="nil"/>
            </w:tcBorders>
            <w:shd w:val="clear" w:color="auto" w:fill="auto"/>
            <w:noWrap/>
            <w:vAlign w:val="bottom"/>
          </w:tcPr>
          <w:p w14:paraId="162FA6BB" w14:textId="35AA4B32" w:rsidR="00584325" w:rsidRPr="001D41EA" w:rsidRDefault="00584325" w:rsidP="001D41EA">
            <w:pPr>
              <w:spacing w:before="40" w:after="20"/>
              <w:jc w:val="right"/>
              <w:rPr>
                <w:rFonts w:cs="Arial"/>
                <w:sz w:val="18"/>
                <w:szCs w:val="18"/>
              </w:rPr>
            </w:pPr>
            <w:r w:rsidRPr="001D41EA">
              <w:rPr>
                <w:rFonts w:cs="Arial"/>
                <w:sz w:val="18"/>
                <w:szCs w:val="18"/>
              </w:rPr>
              <w:t>10,184,859</w:t>
            </w:r>
          </w:p>
        </w:tc>
        <w:tc>
          <w:tcPr>
            <w:tcW w:w="1361" w:type="dxa"/>
            <w:tcBorders>
              <w:top w:val="nil"/>
              <w:left w:val="nil"/>
              <w:bottom w:val="nil"/>
              <w:right w:val="nil"/>
            </w:tcBorders>
            <w:shd w:val="clear" w:color="auto" w:fill="auto"/>
            <w:noWrap/>
            <w:vAlign w:val="bottom"/>
          </w:tcPr>
          <w:p w14:paraId="3D1C0935" w14:textId="6113919B" w:rsidR="00584325" w:rsidRPr="001D41EA" w:rsidRDefault="00584325" w:rsidP="001D41EA">
            <w:pPr>
              <w:spacing w:before="40" w:after="20"/>
              <w:jc w:val="right"/>
              <w:rPr>
                <w:rFonts w:cs="Arial"/>
                <w:sz w:val="18"/>
                <w:szCs w:val="18"/>
              </w:rPr>
            </w:pPr>
            <w:r w:rsidRPr="001D41EA">
              <w:rPr>
                <w:rFonts w:cs="Arial"/>
                <w:sz w:val="18"/>
                <w:szCs w:val="18"/>
              </w:rPr>
              <w:t>15,624,280</w:t>
            </w:r>
          </w:p>
        </w:tc>
        <w:tc>
          <w:tcPr>
            <w:tcW w:w="1361" w:type="dxa"/>
            <w:tcBorders>
              <w:top w:val="nil"/>
              <w:left w:val="nil"/>
              <w:bottom w:val="nil"/>
              <w:right w:val="nil"/>
            </w:tcBorders>
            <w:shd w:val="clear" w:color="auto" w:fill="auto"/>
            <w:noWrap/>
            <w:vAlign w:val="bottom"/>
          </w:tcPr>
          <w:p w14:paraId="779A15B6" w14:textId="46C5DC59" w:rsidR="00584325" w:rsidRPr="001D41EA" w:rsidRDefault="00584325" w:rsidP="001D41EA">
            <w:pPr>
              <w:spacing w:before="40" w:after="20"/>
              <w:jc w:val="right"/>
              <w:rPr>
                <w:rFonts w:cs="Arial"/>
                <w:sz w:val="18"/>
                <w:szCs w:val="18"/>
              </w:rPr>
            </w:pPr>
            <w:r w:rsidRPr="001D41EA">
              <w:rPr>
                <w:rFonts w:cs="Arial"/>
                <w:sz w:val="18"/>
                <w:szCs w:val="18"/>
              </w:rPr>
              <w:t>7,125,311</w:t>
            </w:r>
          </w:p>
        </w:tc>
        <w:tc>
          <w:tcPr>
            <w:tcW w:w="1361" w:type="dxa"/>
            <w:tcBorders>
              <w:top w:val="nil"/>
              <w:left w:val="nil"/>
              <w:bottom w:val="nil"/>
              <w:right w:val="nil"/>
            </w:tcBorders>
            <w:vAlign w:val="bottom"/>
          </w:tcPr>
          <w:p w14:paraId="6D3FD0B0" w14:textId="2FA31188" w:rsidR="00584325" w:rsidRPr="001D41EA" w:rsidRDefault="00584325" w:rsidP="001D41EA">
            <w:pPr>
              <w:spacing w:before="40" w:after="20"/>
              <w:jc w:val="right"/>
              <w:rPr>
                <w:rFonts w:cs="Arial"/>
                <w:sz w:val="18"/>
                <w:szCs w:val="18"/>
              </w:rPr>
            </w:pPr>
            <w:r w:rsidRPr="001D41EA">
              <w:rPr>
                <w:rFonts w:cs="Arial"/>
                <w:sz w:val="18"/>
                <w:szCs w:val="18"/>
              </w:rPr>
              <w:t>54,913,601</w:t>
            </w:r>
          </w:p>
        </w:tc>
        <w:tc>
          <w:tcPr>
            <w:tcW w:w="1361" w:type="dxa"/>
            <w:tcBorders>
              <w:top w:val="nil"/>
              <w:left w:val="nil"/>
              <w:bottom w:val="nil"/>
              <w:right w:val="nil"/>
            </w:tcBorders>
            <w:shd w:val="clear" w:color="auto" w:fill="auto"/>
            <w:noWrap/>
            <w:vAlign w:val="bottom"/>
          </w:tcPr>
          <w:p w14:paraId="4435ED98" w14:textId="1DE46806" w:rsidR="00584325" w:rsidRPr="001D41EA" w:rsidRDefault="00584325" w:rsidP="001D41EA">
            <w:pPr>
              <w:spacing w:before="40" w:after="20"/>
              <w:jc w:val="right"/>
              <w:rPr>
                <w:rFonts w:cs="Arial"/>
                <w:sz w:val="18"/>
                <w:szCs w:val="18"/>
              </w:rPr>
            </w:pPr>
            <w:r w:rsidRPr="001D41EA">
              <w:rPr>
                <w:rFonts w:cs="Arial"/>
                <w:sz w:val="18"/>
                <w:szCs w:val="18"/>
              </w:rPr>
              <w:t>22,642,192</w:t>
            </w:r>
          </w:p>
        </w:tc>
      </w:tr>
      <w:tr w:rsidR="00584325" w:rsidRPr="001D41EA" w14:paraId="44732A3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FFD7CBA" w14:textId="77777777" w:rsidR="00584325" w:rsidRPr="001D41EA" w:rsidRDefault="00584325" w:rsidP="001D41EA">
            <w:pPr>
              <w:spacing w:before="40" w:after="20"/>
              <w:rPr>
                <w:rFonts w:cs="Arial"/>
                <w:sz w:val="18"/>
                <w:szCs w:val="18"/>
              </w:rPr>
            </w:pPr>
            <w:r w:rsidRPr="001D41EA">
              <w:rPr>
                <w:rFonts w:cs="Arial"/>
                <w:sz w:val="18"/>
                <w:szCs w:val="18"/>
              </w:rPr>
              <w:t>Whittlesea C</w:t>
            </w:r>
          </w:p>
        </w:tc>
        <w:tc>
          <w:tcPr>
            <w:tcW w:w="1361" w:type="dxa"/>
            <w:tcBorders>
              <w:top w:val="nil"/>
              <w:left w:val="single" w:sz="18" w:space="0" w:color="5F497A" w:themeColor="accent4" w:themeShade="BF"/>
              <w:bottom w:val="nil"/>
              <w:right w:val="nil"/>
            </w:tcBorders>
            <w:shd w:val="clear" w:color="auto" w:fill="auto"/>
            <w:noWrap/>
            <w:vAlign w:val="bottom"/>
          </w:tcPr>
          <w:p w14:paraId="6AA6CF4C" w14:textId="5E776AF2" w:rsidR="00584325" w:rsidRPr="001D41EA" w:rsidRDefault="00584325" w:rsidP="001D41EA">
            <w:pPr>
              <w:spacing w:before="40" w:after="20"/>
              <w:jc w:val="right"/>
              <w:rPr>
                <w:rFonts w:cs="Arial"/>
                <w:sz w:val="18"/>
                <w:szCs w:val="18"/>
              </w:rPr>
            </w:pPr>
            <w:r w:rsidRPr="001D41EA">
              <w:rPr>
                <w:rFonts w:cs="Arial"/>
                <w:sz w:val="18"/>
                <w:szCs w:val="18"/>
              </w:rPr>
              <w:t>12,868,533</w:t>
            </w:r>
          </w:p>
        </w:tc>
        <w:tc>
          <w:tcPr>
            <w:tcW w:w="1361" w:type="dxa"/>
            <w:tcBorders>
              <w:top w:val="nil"/>
              <w:left w:val="nil"/>
              <w:bottom w:val="nil"/>
              <w:right w:val="nil"/>
            </w:tcBorders>
            <w:shd w:val="clear" w:color="auto" w:fill="auto"/>
            <w:noWrap/>
            <w:vAlign w:val="bottom"/>
          </w:tcPr>
          <w:p w14:paraId="1C6B8DD3" w14:textId="264EABAB" w:rsidR="00584325" w:rsidRPr="001D41EA" w:rsidRDefault="00584325" w:rsidP="001D41EA">
            <w:pPr>
              <w:spacing w:before="40" w:after="20"/>
              <w:jc w:val="right"/>
              <w:rPr>
                <w:rFonts w:cs="Arial"/>
                <w:sz w:val="18"/>
                <w:szCs w:val="18"/>
              </w:rPr>
            </w:pPr>
            <w:r w:rsidRPr="001D41EA">
              <w:rPr>
                <w:rFonts w:cs="Arial"/>
                <w:sz w:val="18"/>
                <w:szCs w:val="18"/>
              </w:rPr>
              <w:t>25,316,792</w:t>
            </w:r>
          </w:p>
        </w:tc>
        <w:tc>
          <w:tcPr>
            <w:tcW w:w="1361" w:type="dxa"/>
            <w:tcBorders>
              <w:top w:val="nil"/>
              <w:left w:val="nil"/>
              <w:bottom w:val="nil"/>
              <w:right w:val="nil"/>
            </w:tcBorders>
            <w:shd w:val="clear" w:color="auto" w:fill="auto"/>
            <w:noWrap/>
            <w:vAlign w:val="bottom"/>
          </w:tcPr>
          <w:p w14:paraId="652C8AC0" w14:textId="331C8C39" w:rsidR="00584325" w:rsidRPr="001D41EA" w:rsidRDefault="00584325" w:rsidP="001D41EA">
            <w:pPr>
              <w:spacing w:before="40" w:after="20"/>
              <w:jc w:val="right"/>
              <w:rPr>
                <w:rFonts w:cs="Arial"/>
                <w:sz w:val="18"/>
                <w:szCs w:val="18"/>
              </w:rPr>
            </w:pPr>
            <w:r w:rsidRPr="001D41EA">
              <w:rPr>
                <w:rFonts w:cs="Arial"/>
                <w:sz w:val="18"/>
                <w:szCs w:val="18"/>
              </w:rPr>
              <w:t>9,151,495</w:t>
            </w:r>
          </w:p>
        </w:tc>
        <w:tc>
          <w:tcPr>
            <w:tcW w:w="1361" w:type="dxa"/>
            <w:tcBorders>
              <w:top w:val="nil"/>
              <w:left w:val="nil"/>
              <w:bottom w:val="nil"/>
              <w:right w:val="nil"/>
            </w:tcBorders>
            <w:vAlign w:val="bottom"/>
          </w:tcPr>
          <w:p w14:paraId="78D3E34E" w14:textId="693C3D06" w:rsidR="00584325" w:rsidRPr="001D41EA" w:rsidRDefault="00584325" w:rsidP="001D41EA">
            <w:pPr>
              <w:spacing w:before="40" w:after="20"/>
              <w:jc w:val="right"/>
              <w:rPr>
                <w:rFonts w:cs="Arial"/>
                <w:sz w:val="18"/>
                <w:szCs w:val="18"/>
              </w:rPr>
            </w:pPr>
            <w:r w:rsidRPr="001D41EA">
              <w:rPr>
                <w:rFonts w:cs="Arial"/>
                <w:sz w:val="18"/>
                <w:szCs w:val="18"/>
              </w:rPr>
              <w:t>57,149,305</w:t>
            </w:r>
          </w:p>
        </w:tc>
        <w:tc>
          <w:tcPr>
            <w:tcW w:w="1361" w:type="dxa"/>
            <w:tcBorders>
              <w:top w:val="nil"/>
              <w:left w:val="nil"/>
              <w:bottom w:val="nil"/>
              <w:right w:val="nil"/>
            </w:tcBorders>
            <w:shd w:val="clear" w:color="auto" w:fill="auto"/>
            <w:noWrap/>
            <w:vAlign w:val="bottom"/>
          </w:tcPr>
          <w:p w14:paraId="73C41554" w14:textId="46FDF29C" w:rsidR="00584325" w:rsidRPr="001D41EA" w:rsidRDefault="00584325" w:rsidP="001D41EA">
            <w:pPr>
              <w:spacing w:before="40" w:after="20"/>
              <w:jc w:val="right"/>
              <w:rPr>
                <w:rFonts w:cs="Arial"/>
                <w:sz w:val="18"/>
                <w:szCs w:val="18"/>
              </w:rPr>
            </w:pPr>
            <w:r w:rsidRPr="001D41EA">
              <w:rPr>
                <w:rFonts w:cs="Arial"/>
                <w:sz w:val="18"/>
                <w:szCs w:val="18"/>
              </w:rPr>
              <w:t>23,420,863</w:t>
            </w:r>
          </w:p>
        </w:tc>
      </w:tr>
      <w:tr w:rsidR="00584325" w:rsidRPr="001D41EA" w14:paraId="0DA4B18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127F6DF" w14:textId="77777777" w:rsidR="00584325" w:rsidRPr="001D41EA" w:rsidRDefault="00584325" w:rsidP="001D41EA">
            <w:pPr>
              <w:spacing w:before="40" w:after="20"/>
              <w:rPr>
                <w:rFonts w:cs="Arial"/>
                <w:sz w:val="18"/>
                <w:szCs w:val="18"/>
              </w:rPr>
            </w:pPr>
            <w:r w:rsidRPr="001D41EA">
              <w:rPr>
                <w:rFonts w:cs="Arial"/>
                <w:sz w:val="18"/>
                <w:szCs w:val="18"/>
              </w:rPr>
              <w:t>Wodonga C</w:t>
            </w:r>
          </w:p>
        </w:tc>
        <w:tc>
          <w:tcPr>
            <w:tcW w:w="1361" w:type="dxa"/>
            <w:tcBorders>
              <w:top w:val="nil"/>
              <w:left w:val="single" w:sz="18" w:space="0" w:color="5F497A" w:themeColor="accent4" w:themeShade="BF"/>
              <w:bottom w:val="nil"/>
              <w:right w:val="nil"/>
            </w:tcBorders>
            <w:shd w:val="clear" w:color="auto" w:fill="auto"/>
            <w:noWrap/>
            <w:vAlign w:val="bottom"/>
          </w:tcPr>
          <w:p w14:paraId="45368FE5" w14:textId="175125F0" w:rsidR="00584325" w:rsidRPr="001D41EA" w:rsidRDefault="00584325" w:rsidP="001D41EA">
            <w:pPr>
              <w:spacing w:before="40" w:after="20"/>
              <w:jc w:val="right"/>
              <w:rPr>
                <w:rFonts w:cs="Arial"/>
                <w:sz w:val="18"/>
                <w:szCs w:val="18"/>
              </w:rPr>
            </w:pPr>
            <w:r w:rsidRPr="001D41EA">
              <w:rPr>
                <w:rFonts w:cs="Arial"/>
                <w:sz w:val="18"/>
                <w:szCs w:val="18"/>
              </w:rPr>
              <w:t>2,527,911</w:t>
            </w:r>
          </w:p>
        </w:tc>
        <w:tc>
          <w:tcPr>
            <w:tcW w:w="1361" w:type="dxa"/>
            <w:tcBorders>
              <w:top w:val="nil"/>
              <w:left w:val="nil"/>
              <w:bottom w:val="nil"/>
              <w:right w:val="nil"/>
            </w:tcBorders>
            <w:shd w:val="clear" w:color="auto" w:fill="auto"/>
            <w:noWrap/>
            <w:vAlign w:val="bottom"/>
          </w:tcPr>
          <w:p w14:paraId="593B1796" w14:textId="1F2924CF" w:rsidR="00584325" w:rsidRPr="001D41EA" w:rsidRDefault="00584325" w:rsidP="001D41EA">
            <w:pPr>
              <w:spacing w:before="40" w:after="20"/>
              <w:jc w:val="right"/>
              <w:rPr>
                <w:rFonts w:cs="Arial"/>
                <w:sz w:val="18"/>
                <w:szCs w:val="18"/>
              </w:rPr>
            </w:pPr>
            <w:r w:rsidRPr="001D41EA">
              <w:rPr>
                <w:rFonts w:cs="Arial"/>
                <w:sz w:val="18"/>
                <w:szCs w:val="18"/>
              </w:rPr>
              <w:t>4,483,469</w:t>
            </w:r>
          </w:p>
        </w:tc>
        <w:tc>
          <w:tcPr>
            <w:tcW w:w="1361" w:type="dxa"/>
            <w:tcBorders>
              <w:top w:val="nil"/>
              <w:left w:val="nil"/>
              <w:bottom w:val="nil"/>
              <w:right w:val="nil"/>
            </w:tcBorders>
            <w:shd w:val="clear" w:color="auto" w:fill="auto"/>
            <w:noWrap/>
            <w:vAlign w:val="bottom"/>
          </w:tcPr>
          <w:p w14:paraId="4B04B5B3" w14:textId="0875CAA8" w:rsidR="00584325" w:rsidRPr="001D41EA" w:rsidRDefault="00584325" w:rsidP="001D41EA">
            <w:pPr>
              <w:spacing w:before="40" w:after="20"/>
              <w:jc w:val="right"/>
              <w:rPr>
                <w:rFonts w:cs="Arial"/>
                <w:sz w:val="18"/>
                <w:szCs w:val="18"/>
              </w:rPr>
            </w:pPr>
            <w:r w:rsidRPr="001D41EA">
              <w:rPr>
                <w:rFonts w:cs="Arial"/>
                <w:sz w:val="18"/>
                <w:szCs w:val="18"/>
              </w:rPr>
              <w:t>1,922,133</w:t>
            </w:r>
          </w:p>
        </w:tc>
        <w:tc>
          <w:tcPr>
            <w:tcW w:w="1361" w:type="dxa"/>
            <w:tcBorders>
              <w:top w:val="nil"/>
              <w:left w:val="nil"/>
              <w:bottom w:val="nil"/>
              <w:right w:val="nil"/>
            </w:tcBorders>
            <w:vAlign w:val="bottom"/>
          </w:tcPr>
          <w:p w14:paraId="0EBB7690" w14:textId="29EC3E03" w:rsidR="00584325" w:rsidRPr="001D41EA" w:rsidRDefault="00584325" w:rsidP="001D41EA">
            <w:pPr>
              <w:spacing w:before="40" w:after="20"/>
              <w:jc w:val="right"/>
              <w:rPr>
                <w:rFonts w:cs="Arial"/>
                <w:sz w:val="18"/>
                <w:szCs w:val="18"/>
              </w:rPr>
            </w:pPr>
            <w:r w:rsidRPr="001D41EA">
              <w:rPr>
                <w:rFonts w:cs="Arial"/>
                <w:sz w:val="18"/>
                <w:szCs w:val="18"/>
              </w:rPr>
              <w:t>13,044,779</w:t>
            </w:r>
          </w:p>
        </w:tc>
        <w:tc>
          <w:tcPr>
            <w:tcW w:w="1361" w:type="dxa"/>
            <w:tcBorders>
              <w:top w:val="nil"/>
              <w:left w:val="nil"/>
              <w:bottom w:val="nil"/>
              <w:right w:val="nil"/>
            </w:tcBorders>
            <w:shd w:val="clear" w:color="auto" w:fill="auto"/>
            <w:noWrap/>
            <w:vAlign w:val="bottom"/>
          </w:tcPr>
          <w:p w14:paraId="48C02051" w14:textId="6713CEA8" w:rsidR="00584325" w:rsidRPr="001D41EA" w:rsidRDefault="00584325" w:rsidP="001D41EA">
            <w:pPr>
              <w:spacing w:before="40" w:after="20"/>
              <w:jc w:val="right"/>
              <w:rPr>
                <w:rFonts w:cs="Arial"/>
                <w:sz w:val="18"/>
                <w:szCs w:val="18"/>
              </w:rPr>
            </w:pPr>
            <w:r w:rsidRPr="001D41EA">
              <w:rPr>
                <w:rFonts w:cs="Arial"/>
                <w:sz w:val="18"/>
                <w:szCs w:val="18"/>
              </w:rPr>
              <w:t>6,273,952</w:t>
            </w:r>
          </w:p>
        </w:tc>
      </w:tr>
      <w:tr w:rsidR="00584325" w:rsidRPr="001D41EA" w14:paraId="4CCE818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23A2876" w14:textId="77777777" w:rsidR="00584325" w:rsidRPr="001D41EA" w:rsidRDefault="00584325" w:rsidP="001D41EA">
            <w:pPr>
              <w:spacing w:before="40" w:after="20"/>
              <w:rPr>
                <w:rFonts w:cs="Arial"/>
                <w:sz w:val="18"/>
                <w:szCs w:val="18"/>
              </w:rPr>
            </w:pPr>
            <w:r w:rsidRPr="001D41EA">
              <w:rPr>
                <w:rFonts w:cs="Arial"/>
                <w:sz w:val="18"/>
                <w:szCs w:val="18"/>
              </w:rPr>
              <w:t>Wyndham C</w:t>
            </w:r>
          </w:p>
        </w:tc>
        <w:tc>
          <w:tcPr>
            <w:tcW w:w="1361" w:type="dxa"/>
            <w:tcBorders>
              <w:top w:val="nil"/>
              <w:left w:val="single" w:sz="18" w:space="0" w:color="5F497A" w:themeColor="accent4" w:themeShade="BF"/>
              <w:bottom w:val="nil"/>
              <w:right w:val="nil"/>
            </w:tcBorders>
            <w:shd w:val="clear" w:color="auto" w:fill="auto"/>
            <w:noWrap/>
            <w:vAlign w:val="bottom"/>
          </w:tcPr>
          <w:p w14:paraId="0C2EE9BF" w14:textId="7DEBED80" w:rsidR="00584325" w:rsidRPr="001D41EA" w:rsidRDefault="00584325" w:rsidP="001D41EA">
            <w:pPr>
              <w:spacing w:before="40" w:after="20"/>
              <w:jc w:val="right"/>
              <w:rPr>
                <w:rFonts w:cs="Arial"/>
                <w:sz w:val="18"/>
                <w:szCs w:val="18"/>
              </w:rPr>
            </w:pPr>
            <w:r w:rsidRPr="001D41EA">
              <w:rPr>
                <w:rFonts w:cs="Arial"/>
                <w:sz w:val="18"/>
                <w:szCs w:val="18"/>
              </w:rPr>
              <w:t>14,183,805</w:t>
            </w:r>
          </w:p>
        </w:tc>
        <w:tc>
          <w:tcPr>
            <w:tcW w:w="1361" w:type="dxa"/>
            <w:tcBorders>
              <w:top w:val="nil"/>
              <w:left w:val="nil"/>
              <w:bottom w:val="nil"/>
              <w:right w:val="nil"/>
            </w:tcBorders>
            <w:shd w:val="clear" w:color="auto" w:fill="auto"/>
            <w:noWrap/>
            <w:vAlign w:val="bottom"/>
          </w:tcPr>
          <w:p w14:paraId="7ECA04AD" w14:textId="5F034BF9" w:rsidR="00584325" w:rsidRPr="001D41EA" w:rsidRDefault="00584325" w:rsidP="001D41EA">
            <w:pPr>
              <w:spacing w:before="40" w:after="20"/>
              <w:jc w:val="right"/>
              <w:rPr>
                <w:rFonts w:cs="Arial"/>
                <w:sz w:val="18"/>
                <w:szCs w:val="18"/>
              </w:rPr>
            </w:pPr>
            <w:r w:rsidRPr="001D41EA">
              <w:rPr>
                <w:rFonts w:cs="Arial"/>
                <w:sz w:val="18"/>
                <w:szCs w:val="18"/>
              </w:rPr>
              <w:t>30,984,046</w:t>
            </w:r>
          </w:p>
        </w:tc>
        <w:tc>
          <w:tcPr>
            <w:tcW w:w="1361" w:type="dxa"/>
            <w:tcBorders>
              <w:top w:val="nil"/>
              <w:left w:val="nil"/>
              <w:bottom w:val="nil"/>
              <w:right w:val="nil"/>
            </w:tcBorders>
            <w:shd w:val="clear" w:color="auto" w:fill="auto"/>
            <w:noWrap/>
            <w:vAlign w:val="bottom"/>
          </w:tcPr>
          <w:p w14:paraId="27224BD6" w14:textId="1C866EB2" w:rsidR="00584325" w:rsidRPr="001D41EA" w:rsidRDefault="00584325" w:rsidP="001D41EA">
            <w:pPr>
              <w:spacing w:before="40" w:after="20"/>
              <w:jc w:val="right"/>
              <w:rPr>
                <w:rFonts w:cs="Arial"/>
                <w:sz w:val="18"/>
                <w:szCs w:val="18"/>
              </w:rPr>
            </w:pPr>
            <w:r w:rsidRPr="001D41EA">
              <w:rPr>
                <w:rFonts w:cs="Arial"/>
                <w:sz w:val="18"/>
                <w:szCs w:val="18"/>
              </w:rPr>
              <w:t>6,190,868</w:t>
            </w:r>
          </w:p>
        </w:tc>
        <w:tc>
          <w:tcPr>
            <w:tcW w:w="1361" w:type="dxa"/>
            <w:tcBorders>
              <w:top w:val="nil"/>
              <w:left w:val="nil"/>
              <w:bottom w:val="nil"/>
              <w:right w:val="nil"/>
            </w:tcBorders>
            <w:vAlign w:val="bottom"/>
          </w:tcPr>
          <w:p w14:paraId="69C42A21" w14:textId="6C5150F8" w:rsidR="00584325" w:rsidRPr="001D41EA" w:rsidRDefault="00584325" w:rsidP="001D41EA">
            <w:pPr>
              <w:spacing w:before="40" w:after="20"/>
              <w:jc w:val="right"/>
              <w:rPr>
                <w:rFonts w:cs="Arial"/>
                <w:sz w:val="18"/>
                <w:szCs w:val="18"/>
              </w:rPr>
            </w:pPr>
            <w:r w:rsidRPr="001D41EA">
              <w:rPr>
                <w:rFonts w:cs="Arial"/>
                <w:sz w:val="18"/>
                <w:szCs w:val="18"/>
              </w:rPr>
              <w:t>65,507,877</w:t>
            </w:r>
          </w:p>
        </w:tc>
        <w:tc>
          <w:tcPr>
            <w:tcW w:w="1361" w:type="dxa"/>
            <w:tcBorders>
              <w:top w:val="nil"/>
              <w:left w:val="nil"/>
              <w:bottom w:val="nil"/>
              <w:right w:val="nil"/>
            </w:tcBorders>
            <w:shd w:val="clear" w:color="auto" w:fill="auto"/>
            <w:noWrap/>
            <w:vAlign w:val="bottom"/>
          </w:tcPr>
          <w:p w14:paraId="25912894" w14:textId="069C1DAD" w:rsidR="00584325" w:rsidRPr="001D41EA" w:rsidRDefault="00584325" w:rsidP="001D41EA">
            <w:pPr>
              <w:spacing w:before="40" w:after="20"/>
              <w:jc w:val="right"/>
              <w:rPr>
                <w:rFonts w:cs="Arial"/>
                <w:sz w:val="18"/>
                <w:szCs w:val="18"/>
              </w:rPr>
            </w:pPr>
            <w:r w:rsidRPr="001D41EA">
              <w:rPr>
                <w:rFonts w:cs="Arial"/>
                <w:sz w:val="18"/>
                <w:szCs w:val="18"/>
              </w:rPr>
              <w:t>25,338,125</w:t>
            </w:r>
          </w:p>
        </w:tc>
      </w:tr>
      <w:tr w:rsidR="00584325" w:rsidRPr="001D41EA" w14:paraId="5476369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94B974C" w14:textId="77777777" w:rsidR="00584325" w:rsidRPr="001D41EA" w:rsidRDefault="00584325" w:rsidP="001D41EA">
            <w:pPr>
              <w:spacing w:before="40" w:after="20"/>
              <w:rPr>
                <w:rFonts w:cs="Arial"/>
                <w:sz w:val="18"/>
                <w:szCs w:val="18"/>
              </w:rPr>
            </w:pPr>
            <w:r w:rsidRPr="001D41EA">
              <w:rPr>
                <w:rFonts w:cs="Arial"/>
                <w:sz w:val="18"/>
                <w:szCs w:val="18"/>
              </w:rPr>
              <w:t>Yarra C</w:t>
            </w:r>
          </w:p>
        </w:tc>
        <w:tc>
          <w:tcPr>
            <w:tcW w:w="1361" w:type="dxa"/>
            <w:tcBorders>
              <w:top w:val="nil"/>
              <w:left w:val="single" w:sz="18" w:space="0" w:color="5F497A" w:themeColor="accent4" w:themeShade="BF"/>
              <w:bottom w:val="nil"/>
              <w:right w:val="nil"/>
            </w:tcBorders>
            <w:shd w:val="clear" w:color="auto" w:fill="auto"/>
            <w:noWrap/>
            <w:vAlign w:val="bottom"/>
          </w:tcPr>
          <w:p w14:paraId="53F7F921" w14:textId="2E2B38C3" w:rsidR="00584325" w:rsidRPr="001D41EA" w:rsidRDefault="00584325" w:rsidP="001D41EA">
            <w:pPr>
              <w:spacing w:before="40" w:after="20"/>
              <w:jc w:val="right"/>
              <w:rPr>
                <w:rFonts w:cs="Arial"/>
                <w:sz w:val="18"/>
                <w:szCs w:val="18"/>
              </w:rPr>
            </w:pPr>
            <w:r w:rsidRPr="001D41EA">
              <w:rPr>
                <w:rFonts w:cs="Arial"/>
                <w:sz w:val="18"/>
                <w:szCs w:val="18"/>
              </w:rPr>
              <w:t>5,680,246</w:t>
            </w:r>
          </w:p>
        </w:tc>
        <w:tc>
          <w:tcPr>
            <w:tcW w:w="1361" w:type="dxa"/>
            <w:tcBorders>
              <w:top w:val="nil"/>
              <w:left w:val="nil"/>
              <w:bottom w:val="nil"/>
              <w:right w:val="nil"/>
            </w:tcBorders>
            <w:shd w:val="clear" w:color="auto" w:fill="auto"/>
            <w:noWrap/>
            <w:vAlign w:val="bottom"/>
          </w:tcPr>
          <w:p w14:paraId="6B1D3B81" w14:textId="4B2D4C2F" w:rsidR="00584325" w:rsidRPr="001D41EA" w:rsidRDefault="00584325" w:rsidP="001D41EA">
            <w:pPr>
              <w:spacing w:before="40" w:after="20"/>
              <w:jc w:val="right"/>
              <w:rPr>
                <w:rFonts w:cs="Arial"/>
                <w:sz w:val="18"/>
                <w:szCs w:val="18"/>
              </w:rPr>
            </w:pPr>
            <w:r w:rsidRPr="001D41EA">
              <w:rPr>
                <w:rFonts w:cs="Arial"/>
                <w:sz w:val="18"/>
                <w:szCs w:val="18"/>
              </w:rPr>
              <w:t>8,377,806</w:t>
            </w:r>
          </w:p>
        </w:tc>
        <w:tc>
          <w:tcPr>
            <w:tcW w:w="1361" w:type="dxa"/>
            <w:tcBorders>
              <w:top w:val="nil"/>
              <w:left w:val="nil"/>
              <w:bottom w:val="nil"/>
              <w:right w:val="nil"/>
            </w:tcBorders>
            <w:shd w:val="clear" w:color="auto" w:fill="auto"/>
            <w:noWrap/>
            <w:vAlign w:val="bottom"/>
          </w:tcPr>
          <w:p w14:paraId="5B80BFDE" w14:textId="23D07B85" w:rsidR="00584325" w:rsidRPr="001D41EA" w:rsidRDefault="00584325" w:rsidP="001D41EA">
            <w:pPr>
              <w:spacing w:before="40" w:after="20"/>
              <w:jc w:val="right"/>
              <w:rPr>
                <w:rFonts w:cs="Arial"/>
                <w:sz w:val="18"/>
                <w:szCs w:val="18"/>
              </w:rPr>
            </w:pPr>
            <w:r w:rsidRPr="001D41EA">
              <w:rPr>
                <w:rFonts w:cs="Arial"/>
                <w:sz w:val="18"/>
                <w:szCs w:val="18"/>
              </w:rPr>
              <w:t>2,547,169</w:t>
            </w:r>
          </w:p>
        </w:tc>
        <w:tc>
          <w:tcPr>
            <w:tcW w:w="1361" w:type="dxa"/>
            <w:tcBorders>
              <w:top w:val="nil"/>
              <w:left w:val="nil"/>
              <w:bottom w:val="nil"/>
              <w:right w:val="nil"/>
            </w:tcBorders>
            <w:vAlign w:val="bottom"/>
          </w:tcPr>
          <w:p w14:paraId="754D9929" w14:textId="101F6BFF" w:rsidR="00584325" w:rsidRPr="001D41EA" w:rsidRDefault="00584325" w:rsidP="001D41EA">
            <w:pPr>
              <w:spacing w:before="40" w:after="20"/>
              <w:jc w:val="right"/>
              <w:rPr>
                <w:rFonts w:cs="Arial"/>
                <w:sz w:val="18"/>
                <w:szCs w:val="18"/>
              </w:rPr>
            </w:pPr>
            <w:r w:rsidRPr="001D41EA">
              <w:rPr>
                <w:rFonts w:cs="Arial"/>
                <w:sz w:val="18"/>
                <w:szCs w:val="18"/>
              </w:rPr>
              <w:t>30,626,466</w:t>
            </w:r>
          </w:p>
        </w:tc>
        <w:tc>
          <w:tcPr>
            <w:tcW w:w="1361" w:type="dxa"/>
            <w:tcBorders>
              <w:top w:val="nil"/>
              <w:left w:val="nil"/>
              <w:bottom w:val="nil"/>
              <w:right w:val="nil"/>
            </w:tcBorders>
            <w:shd w:val="clear" w:color="auto" w:fill="auto"/>
            <w:noWrap/>
            <w:vAlign w:val="bottom"/>
          </w:tcPr>
          <w:p w14:paraId="3CF9C137" w14:textId="207EBE7A" w:rsidR="00584325" w:rsidRPr="001D41EA" w:rsidRDefault="00584325" w:rsidP="001D41EA">
            <w:pPr>
              <w:spacing w:before="40" w:after="20"/>
              <w:jc w:val="right"/>
              <w:rPr>
                <w:rFonts w:cs="Arial"/>
                <w:sz w:val="18"/>
                <w:szCs w:val="18"/>
              </w:rPr>
            </w:pPr>
            <w:r w:rsidRPr="001D41EA">
              <w:rPr>
                <w:rFonts w:cs="Arial"/>
                <w:sz w:val="18"/>
                <w:szCs w:val="18"/>
              </w:rPr>
              <w:t>16,171,271</w:t>
            </w:r>
          </w:p>
        </w:tc>
      </w:tr>
      <w:tr w:rsidR="00584325" w:rsidRPr="001D41EA" w14:paraId="566D468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61A2ADB" w14:textId="77777777" w:rsidR="00584325" w:rsidRPr="001D41EA" w:rsidRDefault="00584325" w:rsidP="001D41EA">
            <w:pPr>
              <w:spacing w:before="40" w:after="20"/>
              <w:rPr>
                <w:rFonts w:cs="Arial"/>
                <w:sz w:val="18"/>
                <w:szCs w:val="18"/>
              </w:rPr>
            </w:pPr>
            <w:r w:rsidRPr="001D41EA">
              <w:rPr>
                <w:rFonts w:cs="Arial"/>
                <w:sz w:val="18"/>
                <w:szCs w:val="18"/>
              </w:rPr>
              <w:t>Yarra Ranges S</w:t>
            </w:r>
          </w:p>
        </w:tc>
        <w:tc>
          <w:tcPr>
            <w:tcW w:w="1361" w:type="dxa"/>
            <w:tcBorders>
              <w:top w:val="nil"/>
              <w:left w:val="single" w:sz="18" w:space="0" w:color="5F497A" w:themeColor="accent4" w:themeShade="BF"/>
              <w:bottom w:val="nil"/>
              <w:right w:val="nil"/>
            </w:tcBorders>
            <w:shd w:val="clear" w:color="auto" w:fill="auto"/>
            <w:noWrap/>
            <w:vAlign w:val="bottom"/>
          </w:tcPr>
          <w:p w14:paraId="44EAFD22" w14:textId="395E0192" w:rsidR="00584325" w:rsidRPr="001D41EA" w:rsidRDefault="00584325" w:rsidP="001D41EA">
            <w:pPr>
              <w:spacing w:before="40" w:after="20"/>
              <w:jc w:val="right"/>
              <w:rPr>
                <w:rFonts w:cs="Arial"/>
                <w:sz w:val="18"/>
                <w:szCs w:val="18"/>
              </w:rPr>
            </w:pPr>
            <w:r w:rsidRPr="001D41EA">
              <w:rPr>
                <w:rFonts w:cs="Arial"/>
                <w:sz w:val="18"/>
                <w:szCs w:val="18"/>
              </w:rPr>
              <w:t>9,511,470</w:t>
            </w:r>
          </w:p>
        </w:tc>
        <w:tc>
          <w:tcPr>
            <w:tcW w:w="1361" w:type="dxa"/>
            <w:tcBorders>
              <w:top w:val="nil"/>
              <w:left w:val="nil"/>
              <w:bottom w:val="nil"/>
              <w:right w:val="nil"/>
            </w:tcBorders>
            <w:shd w:val="clear" w:color="auto" w:fill="auto"/>
            <w:noWrap/>
            <w:vAlign w:val="bottom"/>
          </w:tcPr>
          <w:p w14:paraId="05FDD892" w14:textId="666F212B" w:rsidR="00584325" w:rsidRPr="001D41EA" w:rsidRDefault="00584325" w:rsidP="001D41EA">
            <w:pPr>
              <w:spacing w:before="40" w:after="20"/>
              <w:jc w:val="right"/>
              <w:rPr>
                <w:rFonts w:cs="Arial"/>
                <w:sz w:val="18"/>
                <w:szCs w:val="18"/>
              </w:rPr>
            </w:pPr>
            <w:r w:rsidRPr="001D41EA">
              <w:rPr>
                <w:rFonts w:cs="Arial"/>
                <w:sz w:val="18"/>
                <w:szCs w:val="18"/>
              </w:rPr>
              <w:t>15,412,846</w:t>
            </w:r>
          </w:p>
        </w:tc>
        <w:tc>
          <w:tcPr>
            <w:tcW w:w="1361" w:type="dxa"/>
            <w:tcBorders>
              <w:top w:val="nil"/>
              <w:left w:val="nil"/>
              <w:bottom w:val="nil"/>
              <w:right w:val="nil"/>
            </w:tcBorders>
            <w:shd w:val="clear" w:color="auto" w:fill="auto"/>
            <w:noWrap/>
            <w:vAlign w:val="bottom"/>
          </w:tcPr>
          <w:p w14:paraId="766A1CFF" w14:textId="5058545F" w:rsidR="00584325" w:rsidRPr="001D41EA" w:rsidRDefault="00584325" w:rsidP="001D41EA">
            <w:pPr>
              <w:spacing w:before="40" w:after="20"/>
              <w:jc w:val="right"/>
              <w:rPr>
                <w:rFonts w:cs="Arial"/>
                <w:sz w:val="18"/>
                <w:szCs w:val="18"/>
              </w:rPr>
            </w:pPr>
            <w:r w:rsidRPr="001D41EA">
              <w:rPr>
                <w:rFonts w:cs="Arial"/>
                <w:sz w:val="18"/>
                <w:szCs w:val="18"/>
              </w:rPr>
              <w:t>7,076,393</w:t>
            </w:r>
          </w:p>
        </w:tc>
        <w:tc>
          <w:tcPr>
            <w:tcW w:w="1361" w:type="dxa"/>
            <w:tcBorders>
              <w:top w:val="nil"/>
              <w:left w:val="nil"/>
              <w:bottom w:val="nil"/>
              <w:right w:val="nil"/>
            </w:tcBorders>
            <w:vAlign w:val="bottom"/>
          </w:tcPr>
          <w:p w14:paraId="5FE7592C" w14:textId="67A9B3F9" w:rsidR="00584325" w:rsidRPr="001D41EA" w:rsidRDefault="00584325" w:rsidP="001D41EA">
            <w:pPr>
              <w:spacing w:before="40" w:after="20"/>
              <w:jc w:val="right"/>
              <w:rPr>
                <w:rFonts w:cs="Arial"/>
                <w:sz w:val="18"/>
                <w:szCs w:val="18"/>
              </w:rPr>
            </w:pPr>
            <w:r w:rsidRPr="001D41EA">
              <w:rPr>
                <w:rFonts w:cs="Arial"/>
                <w:sz w:val="18"/>
                <w:szCs w:val="18"/>
              </w:rPr>
              <w:t>43,871,830</w:t>
            </w:r>
          </w:p>
        </w:tc>
        <w:tc>
          <w:tcPr>
            <w:tcW w:w="1361" w:type="dxa"/>
            <w:tcBorders>
              <w:top w:val="nil"/>
              <w:left w:val="nil"/>
              <w:bottom w:val="nil"/>
              <w:right w:val="nil"/>
            </w:tcBorders>
            <w:shd w:val="clear" w:color="auto" w:fill="auto"/>
            <w:noWrap/>
            <w:vAlign w:val="bottom"/>
          </w:tcPr>
          <w:p w14:paraId="4954D49C" w14:textId="746A5423" w:rsidR="00584325" w:rsidRPr="001D41EA" w:rsidRDefault="00584325" w:rsidP="001D41EA">
            <w:pPr>
              <w:spacing w:before="40" w:after="20"/>
              <w:jc w:val="right"/>
              <w:rPr>
                <w:rFonts w:cs="Arial"/>
                <w:sz w:val="18"/>
                <w:szCs w:val="18"/>
              </w:rPr>
            </w:pPr>
            <w:r w:rsidRPr="001D41EA">
              <w:rPr>
                <w:rFonts w:cs="Arial"/>
                <w:sz w:val="18"/>
                <w:szCs w:val="18"/>
              </w:rPr>
              <w:t>22,054,447</w:t>
            </w:r>
          </w:p>
        </w:tc>
      </w:tr>
      <w:tr w:rsidR="00584325" w:rsidRPr="001D41EA" w14:paraId="433E01E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9378B6D" w14:textId="77777777" w:rsidR="00584325" w:rsidRPr="001D41EA" w:rsidRDefault="00584325" w:rsidP="001D41EA">
            <w:pPr>
              <w:spacing w:before="40" w:after="20"/>
              <w:rPr>
                <w:rFonts w:cs="Arial"/>
                <w:sz w:val="18"/>
                <w:szCs w:val="18"/>
              </w:rPr>
            </w:pPr>
            <w:r w:rsidRPr="001D41EA">
              <w:rPr>
                <w:rFonts w:cs="Arial"/>
                <w:sz w:val="18"/>
                <w:szCs w:val="18"/>
              </w:rPr>
              <w:t>Yarriambiack S</w:t>
            </w:r>
          </w:p>
        </w:tc>
        <w:tc>
          <w:tcPr>
            <w:tcW w:w="1361" w:type="dxa"/>
            <w:tcBorders>
              <w:top w:val="nil"/>
              <w:left w:val="single" w:sz="18" w:space="0" w:color="5F497A" w:themeColor="accent4" w:themeShade="BF"/>
              <w:right w:val="nil"/>
            </w:tcBorders>
            <w:shd w:val="clear" w:color="auto" w:fill="auto"/>
            <w:noWrap/>
            <w:vAlign w:val="bottom"/>
          </w:tcPr>
          <w:p w14:paraId="22EC9B08" w14:textId="2E2AA625" w:rsidR="00584325" w:rsidRPr="001D41EA" w:rsidRDefault="00584325" w:rsidP="001D41EA">
            <w:pPr>
              <w:spacing w:before="40" w:after="20"/>
              <w:jc w:val="right"/>
              <w:rPr>
                <w:rFonts w:cs="Arial"/>
                <w:sz w:val="18"/>
                <w:szCs w:val="18"/>
              </w:rPr>
            </w:pPr>
            <w:r w:rsidRPr="001D41EA">
              <w:rPr>
                <w:rFonts w:cs="Arial"/>
                <w:sz w:val="18"/>
                <w:szCs w:val="18"/>
              </w:rPr>
              <w:t>1,549,293</w:t>
            </w:r>
          </w:p>
        </w:tc>
        <w:tc>
          <w:tcPr>
            <w:tcW w:w="1361" w:type="dxa"/>
            <w:tcBorders>
              <w:top w:val="nil"/>
              <w:left w:val="nil"/>
              <w:right w:val="nil"/>
            </w:tcBorders>
            <w:shd w:val="clear" w:color="auto" w:fill="auto"/>
            <w:noWrap/>
            <w:vAlign w:val="bottom"/>
          </w:tcPr>
          <w:p w14:paraId="6A0451DA" w14:textId="3534B4C8" w:rsidR="00584325" w:rsidRPr="001D41EA" w:rsidRDefault="00584325" w:rsidP="001D41EA">
            <w:pPr>
              <w:spacing w:before="40" w:after="20"/>
              <w:jc w:val="right"/>
              <w:rPr>
                <w:rFonts w:cs="Arial"/>
                <w:sz w:val="18"/>
                <w:szCs w:val="18"/>
              </w:rPr>
            </w:pPr>
            <w:r w:rsidRPr="001D41EA">
              <w:rPr>
                <w:rFonts w:cs="Arial"/>
                <w:sz w:val="18"/>
                <w:szCs w:val="18"/>
              </w:rPr>
              <w:t>703,430</w:t>
            </w:r>
          </w:p>
        </w:tc>
        <w:tc>
          <w:tcPr>
            <w:tcW w:w="1361" w:type="dxa"/>
            <w:tcBorders>
              <w:top w:val="nil"/>
              <w:left w:val="nil"/>
              <w:right w:val="nil"/>
            </w:tcBorders>
            <w:shd w:val="clear" w:color="auto" w:fill="auto"/>
            <w:noWrap/>
            <w:vAlign w:val="bottom"/>
          </w:tcPr>
          <w:p w14:paraId="42C51121" w14:textId="4208203E" w:rsidR="00584325" w:rsidRPr="001D41EA" w:rsidRDefault="00584325" w:rsidP="001D41EA">
            <w:pPr>
              <w:spacing w:before="40" w:after="20"/>
              <w:jc w:val="right"/>
              <w:rPr>
                <w:rFonts w:cs="Arial"/>
                <w:sz w:val="18"/>
                <w:szCs w:val="18"/>
              </w:rPr>
            </w:pPr>
            <w:r w:rsidRPr="001D41EA">
              <w:rPr>
                <w:rFonts w:cs="Arial"/>
                <w:sz w:val="18"/>
                <w:szCs w:val="18"/>
              </w:rPr>
              <w:t>745,239</w:t>
            </w:r>
          </w:p>
        </w:tc>
        <w:tc>
          <w:tcPr>
            <w:tcW w:w="1361" w:type="dxa"/>
            <w:tcBorders>
              <w:top w:val="nil"/>
              <w:left w:val="nil"/>
              <w:right w:val="nil"/>
            </w:tcBorders>
            <w:vAlign w:val="bottom"/>
          </w:tcPr>
          <w:p w14:paraId="1D2EFF46" w14:textId="4CC9BE38" w:rsidR="00584325" w:rsidRPr="001D41EA" w:rsidRDefault="00584325" w:rsidP="001D41EA">
            <w:pPr>
              <w:spacing w:before="40" w:after="20"/>
              <w:jc w:val="right"/>
              <w:rPr>
                <w:rFonts w:cs="Arial"/>
                <w:sz w:val="18"/>
                <w:szCs w:val="18"/>
              </w:rPr>
            </w:pPr>
            <w:r w:rsidRPr="001D41EA">
              <w:rPr>
                <w:rFonts w:cs="Arial"/>
                <w:sz w:val="18"/>
                <w:szCs w:val="18"/>
              </w:rPr>
              <w:t>2,221,185</w:t>
            </w:r>
          </w:p>
        </w:tc>
        <w:tc>
          <w:tcPr>
            <w:tcW w:w="1361" w:type="dxa"/>
            <w:tcBorders>
              <w:top w:val="nil"/>
              <w:left w:val="nil"/>
              <w:right w:val="nil"/>
            </w:tcBorders>
            <w:shd w:val="clear" w:color="auto" w:fill="auto"/>
            <w:noWrap/>
            <w:vAlign w:val="bottom"/>
          </w:tcPr>
          <w:p w14:paraId="2F03E391" w14:textId="7293400F" w:rsidR="00584325" w:rsidRPr="001D41EA" w:rsidRDefault="00584325" w:rsidP="001D41EA">
            <w:pPr>
              <w:spacing w:before="40" w:after="20"/>
              <w:jc w:val="right"/>
              <w:rPr>
                <w:rFonts w:cs="Arial"/>
                <w:sz w:val="18"/>
                <w:szCs w:val="18"/>
              </w:rPr>
            </w:pPr>
            <w:r w:rsidRPr="001D41EA">
              <w:rPr>
                <w:rFonts w:cs="Arial"/>
                <w:sz w:val="18"/>
                <w:szCs w:val="18"/>
              </w:rPr>
              <w:t>1,637,367</w:t>
            </w:r>
          </w:p>
        </w:tc>
      </w:tr>
      <w:tr w:rsidR="00584325" w:rsidRPr="001D41EA" w14:paraId="61BE6513" w14:textId="77777777" w:rsidTr="00B44BBE">
        <w:tc>
          <w:tcPr>
            <w:tcW w:w="2268" w:type="dxa"/>
            <w:tcBorders>
              <w:top w:val="nil"/>
              <w:left w:val="nil"/>
              <w:right w:val="single" w:sz="18" w:space="0" w:color="5F497A" w:themeColor="accent4" w:themeShade="BF"/>
            </w:tcBorders>
            <w:shd w:val="clear" w:color="auto" w:fill="auto"/>
            <w:noWrap/>
            <w:vAlign w:val="center"/>
          </w:tcPr>
          <w:p w14:paraId="3CDCA92E" w14:textId="77777777" w:rsidR="00584325" w:rsidRPr="001D41EA" w:rsidRDefault="00584325" w:rsidP="001D41EA">
            <w:pPr>
              <w:spacing w:before="40" w:after="20"/>
              <w:rPr>
                <w:rFonts w:cs="Arial"/>
                <w:sz w:val="18"/>
                <w:szCs w:val="18"/>
              </w:rPr>
            </w:pPr>
          </w:p>
        </w:tc>
        <w:tc>
          <w:tcPr>
            <w:tcW w:w="1361" w:type="dxa"/>
            <w:tcBorders>
              <w:top w:val="nil"/>
              <w:left w:val="single" w:sz="18" w:space="0" w:color="5F497A" w:themeColor="accent4" w:themeShade="BF"/>
              <w:bottom w:val="single" w:sz="8" w:space="0" w:color="5F497A" w:themeColor="accent4" w:themeShade="BF"/>
              <w:right w:val="nil"/>
            </w:tcBorders>
            <w:shd w:val="clear" w:color="auto" w:fill="auto"/>
            <w:noWrap/>
            <w:vAlign w:val="bottom"/>
          </w:tcPr>
          <w:p w14:paraId="78531982" w14:textId="160D77DD" w:rsidR="00584325" w:rsidRPr="001D41EA" w:rsidRDefault="00584325" w:rsidP="001D41EA">
            <w:pPr>
              <w:spacing w:before="40" w:after="20"/>
              <w:jc w:val="right"/>
              <w:rPr>
                <w:rFonts w:cs="Arial"/>
                <w:sz w:val="18"/>
                <w:szCs w:val="18"/>
              </w:rPr>
            </w:pPr>
            <w:r w:rsidRPr="001D41EA">
              <w:rPr>
                <w:rFonts w:cs="Arial"/>
                <w:sz w:val="18"/>
                <w:szCs w:val="18"/>
              </w:rPr>
              <w:t> </w:t>
            </w:r>
          </w:p>
        </w:tc>
        <w:tc>
          <w:tcPr>
            <w:tcW w:w="1361" w:type="dxa"/>
            <w:tcBorders>
              <w:top w:val="nil"/>
              <w:left w:val="nil"/>
              <w:bottom w:val="single" w:sz="8" w:space="0" w:color="5F497A" w:themeColor="accent4" w:themeShade="BF"/>
              <w:right w:val="nil"/>
            </w:tcBorders>
            <w:shd w:val="clear" w:color="auto" w:fill="auto"/>
            <w:noWrap/>
            <w:vAlign w:val="bottom"/>
          </w:tcPr>
          <w:p w14:paraId="27067B3A" w14:textId="77777777" w:rsidR="00584325" w:rsidRPr="001D41EA" w:rsidRDefault="00584325" w:rsidP="001D41EA">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shd w:val="clear" w:color="auto" w:fill="auto"/>
            <w:noWrap/>
            <w:vAlign w:val="bottom"/>
          </w:tcPr>
          <w:p w14:paraId="3EB2223B" w14:textId="77777777" w:rsidR="00584325" w:rsidRPr="001D41EA" w:rsidRDefault="00584325" w:rsidP="001D41EA">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vAlign w:val="bottom"/>
          </w:tcPr>
          <w:p w14:paraId="52D81A2F" w14:textId="77777777" w:rsidR="00584325" w:rsidRPr="001D41EA" w:rsidRDefault="00584325" w:rsidP="001D41EA">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shd w:val="clear" w:color="auto" w:fill="auto"/>
            <w:noWrap/>
            <w:vAlign w:val="bottom"/>
          </w:tcPr>
          <w:p w14:paraId="4771545E" w14:textId="77777777" w:rsidR="00584325" w:rsidRPr="001D41EA" w:rsidRDefault="00584325" w:rsidP="001D41EA">
            <w:pPr>
              <w:spacing w:before="40" w:after="20"/>
              <w:jc w:val="right"/>
              <w:rPr>
                <w:rFonts w:cs="Arial"/>
                <w:sz w:val="18"/>
                <w:szCs w:val="18"/>
              </w:rPr>
            </w:pPr>
          </w:p>
        </w:tc>
      </w:tr>
      <w:tr w:rsidR="00584325" w:rsidRPr="001D41EA" w14:paraId="403E128E" w14:textId="77777777" w:rsidTr="00B44BBE">
        <w:tc>
          <w:tcPr>
            <w:tcW w:w="2268" w:type="dxa"/>
            <w:tcBorders>
              <w:top w:val="nil"/>
              <w:left w:val="nil"/>
              <w:right w:val="single" w:sz="18" w:space="0" w:color="5F497A" w:themeColor="accent4" w:themeShade="BF"/>
            </w:tcBorders>
            <w:shd w:val="clear" w:color="auto" w:fill="auto"/>
            <w:noWrap/>
            <w:vAlign w:val="center"/>
          </w:tcPr>
          <w:p w14:paraId="60387C51" w14:textId="77777777" w:rsidR="00584325" w:rsidRPr="001D41EA" w:rsidRDefault="00584325" w:rsidP="001D41EA">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right w:val="nil"/>
            </w:tcBorders>
            <w:shd w:val="clear" w:color="auto" w:fill="auto"/>
            <w:noWrap/>
            <w:vAlign w:val="bottom"/>
          </w:tcPr>
          <w:p w14:paraId="72061746" w14:textId="1DBC08DE" w:rsidR="00584325" w:rsidRPr="001D41EA" w:rsidRDefault="00584325" w:rsidP="001D41EA">
            <w:pPr>
              <w:spacing w:before="40" w:after="20"/>
              <w:jc w:val="right"/>
              <w:rPr>
                <w:rFonts w:cs="Arial"/>
                <w:b/>
                <w:sz w:val="18"/>
                <w:szCs w:val="18"/>
              </w:rPr>
            </w:pPr>
            <w:r w:rsidRPr="001D41EA">
              <w:rPr>
                <w:rFonts w:cs="Arial"/>
                <w:b/>
                <w:sz w:val="18"/>
                <w:szCs w:val="18"/>
              </w:rPr>
              <w:t>401,250,960</w:t>
            </w:r>
          </w:p>
        </w:tc>
        <w:tc>
          <w:tcPr>
            <w:tcW w:w="1361" w:type="dxa"/>
            <w:tcBorders>
              <w:top w:val="single" w:sz="8" w:space="0" w:color="5F497A" w:themeColor="accent4" w:themeShade="BF"/>
              <w:left w:val="nil"/>
              <w:right w:val="nil"/>
            </w:tcBorders>
            <w:shd w:val="clear" w:color="auto" w:fill="auto"/>
            <w:noWrap/>
            <w:vAlign w:val="bottom"/>
          </w:tcPr>
          <w:p w14:paraId="6EB7CF30" w14:textId="51ACED3C" w:rsidR="00584325" w:rsidRPr="001D41EA" w:rsidRDefault="00584325" w:rsidP="001D41EA">
            <w:pPr>
              <w:spacing w:before="40" w:after="20"/>
              <w:jc w:val="right"/>
              <w:rPr>
                <w:rFonts w:cs="Arial"/>
                <w:b/>
                <w:sz w:val="18"/>
                <w:szCs w:val="18"/>
              </w:rPr>
            </w:pPr>
            <w:r w:rsidRPr="001D41EA">
              <w:rPr>
                <w:rFonts w:cs="Arial"/>
                <w:b/>
                <w:sz w:val="18"/>
                <w:szCs w:val="18"/>
              </w:rPr>
              <w:t>647,538,702</w:t>
            </w:r>
          </w:p>
        </w:tc>
        <w:tc>
          <w:tcPr>
            <w:tcW w:w="1361" w:type="dxa"/>
            <w:tcBorders>
              <w:top w:val="single" w:sz="8" w:space="0" w:color="5F497A" w:themeColor="accent4" w:themeShade="BF"/>
              <w:left w:val="nil"/>
              <w:right w:val="nil"/>
            </w:tcBorders>
            <w:shd w:val="clear" w:color="auto" w:fill="auto"/>
            <w:noWrap/>
            <w:vAlign w:val="bottom"/>
          </w:tcPr>
          <w:p w14:paraId="1C9460E5" w14:textId="721606A9" w:rsidR="00584325" w:rsidRPr="001D41EA" w:rsidRDefault="00584325" w:rsidP="001D41EA">
            <w:pPr>
              <w:spacing w:before="40" w:after="20"/>
              <w:jc w:val="right"/>
              <w:rPr>
                <w:rFonts w:cs="Arial"/>
                <w:b/>
                <w:sz w:val="18"/>
                <w:szCs w:val="18"/>
              </w:rPr>
            </w:pPr>
            <w:r w:rsidRPr="001D41EA">
              <w:rPr>
                <w:rFonts w:cs="Arial"/>
                <w:b/>
                <w:sz w:val="18"/>
                <w:szCs w:val="18"/>
              </w:rPr>
              <w:t>293,003,126</w:t>
            </w:r>
          </w:p>
        </w:tc>
        <w:tc>
          <w:tcPr>
            <w:tcW w:w="1361" w:type="dxa"/>
            <w:tcBorders>
              <w:top w:val="single" w:sz="8" w:space="0" w:color="5F497A" w:themeColor="accent4" w:themeShade="BF"/>
              <w:left w:val="nil"/>
              <w:right w:val="nil"/>
            </w:tcBorders>
            <w:vAlign w:val="bottom"/>
          </w:tcPr>
          <w:p w14:paraId="0355FFCC" w14:textId="520A88DD" w:rsidR="00584325" w:rsidRPr="001D41EA" w:rsidRDefault="00584325" w:rsidP="001D41EA">
            <w:pPr>
              <w:spacing w:before="40" w:after="20"/>
              <w:jc w:val="right"/>
              <w:rPr>
                <w:rFonts w:cs="Arial"/>
                <w:b/>
                <w:sz w:val="18"/>
                <w:szCs w:val="18"/>
              </w:rPr>
            </w:pPr>
            <w:r w:rsidRPr="001D41EA">
              <w:rPr>
                <w:rFonts w:cs="Arial"/>
                <w:b/>
                <w:sz w:val="18"/>
                <w:szCs w:val="18"/>
              </w:rPr>
              <w:t>1,912,192,234</w:t>
            </w:r>
          </w:p>
        </w:tc>
        <w:tc>
          <w:tcPr>
            <w:tcW w:w="1361" w:type="dxa"/>
            <w:tcBorders>
              <w:top w:val="single" w:sz="8" w:space="0" w:color="5F497A" w:themeColor="accent4" w:themeShade="BF"/>
              <w:left w:val="nil"/>
              <w:right w:val="nil"/>
            </w:tcBorders>
            <w:shd w:val="clear" w:color="auto" w:fill="auto"/>
            <w:noWrap/>
            <w:vAlign w:val="bottom"/>
          </w:tcPr>
          <w:p w14:paraId="1542D6FB" w14:textId="79316FB5" w:rsidR="00584325" w:rsidRPr="001D41EA" w:rsidRDefault="00584325" w:rsidP="001D41EA">
            <w:pPr>
              <w:spacing w:before="40" w:after="20"/>
              <w:jc w:val="right"/>
              <w:rPr>
                <w:rFonts w:cs="Arial"/>
                <w:b/>
                <w:sz w:val="18"/>
                <w:szCs w:val="18"/>
              </w:rPr>
            </w:pPr>
            <w:r w:rsidRPr="001D41EA">
              <w:rPr>
                <w:rFonts w:cs="Arial"/>
                <w:b/>
                <w:sz w:val="18"/>
                <w:szCs w:val="18"/>
              </w:rPr>
              <w:t>930,687,984</w:t>
            </w:r>
          </w:p>
        </w:tc>
      </w:tr>
    </w:tbl>
    <w:p w14:paraId="285AB458" w14:textId="77777777" w:rsidR="00F57D43" w:rsidRPr="00A44829" w:rsidRDefault="00C94778" w:rsidP="00FF36E8">
      <w:pPr>
        <w:spacing w:before="40" w:after="20"/>
        <w:rPr>
          <w:rFonts w:cs="Arial"/>
          <w:sz w:val="18"/>
          <w:szCs w:val="18"/>
        </w:rPr>
      </w:pPr>
      <w:r w:rsidRPr="00A44829">
        <w:rPr>
          <w:rFonts w:cs="Arial"/>
          <w:sz w:val="18"/>
          <w:szCs w:val="18"/>
        </w:rPr>
        <w:br w:type="page"/>
      </w:r>
    </w:p>
    <w:p w14:paraId="3AC556E1" w14:textId="1C4AA1E8" w:rsidR="00F57D43" w:rsidRPr="00A44829" w:rsidRDefault="00EE4593" w:rsidP="00C33713">
      <w:pPr>
        <w:pStyle w:val="VGC-Head10"/>
      </w:pPr>
      <w:r w:rsidRPr="00A44829">
        <w:lastRenderedPageBreak/>
        <w:t>2019-20</w:t>
      </w:r>
      <w:r w:rsidR="00A97ABE" w:rsidRPr="00A44829">
        <w:t xml:space="preserve"> </w:t>
      </w:r>
      <w:r w:rsidR="00F57D43" w:rsidRPr="00A44829">
        <w:t>General Purpose Grants</w:t>
      </w:r>
      <w:r w:rsidR="00CE4507" w:rsidRPr="00A44829">
        <w:tab/>
        <w:t>Appendix 4</w:t>
      </w:r>
    </w:p>
    <w:p w14:paraId="3FA2D772" w14:textId="77777777" w:rsidR="00F57D43" w:rsidRPr="00A44829" w:rsidRDefault="004F1184" w:rsidP="008C1A28">
      <w:pPr>
        <w:pStyle w:val="VGC-Head2"/>
      </w:pPr>
      <w:r w:rsidRPr="00A44829">
        <w:tab/>
      </w:r>
      <w:r w:rsidR="00F57D43" w:rsidRPr="00A44829">
        <w:t>F.  Standardised Expenditure</w:t>
      </w:r>
    </w:p>
    <w:p w14:paraId="653004DB" w14:textId="77777777" w:rsidR="00D17F37" w:rsidRPr="00A44829" w:rsidRDefault="00D17F37"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D17F37" w:rsidRPr="00A44829" w14:paraId="6A3CA858" w14:textId="77777777" w:rsidTr="00B44BBE">
        <w:trPr>
          <w:tblHeader/>
        </w:trPr>
        <w:tc>
          <w:tcPr>
            <w:tcW w:w="2268" w:type="dxa"/>
            <w:tcBorders>
              <w:top w:val="nil"/>
              <w:left w:val="nil"/>
              <w:right w:val="single" w:sz="18" w:space="0" w:color="5F497A" w:themeColor="accent4" w:themeShade="BF"/>
            </w:tcBorders>
            <w:shd w:val="clear" w:color="auto" w:fill="auto"/>
            <w:vAlign w:val="bottom"/>
          </w:tcPr>
          <w:p w14:paraId="7E373A98" w14:textId="77777777" w:rsidR="00D17F37" w:rsidRPr="00A44829" w:rsidRDefault="00D17F37" w:rsidP="008001AD">
            <w:pPr>
              <w:spacing w:before="40" w:after="20"/>
              <w:jc w:val="center"/>
              <w:rPr>
                <w:rFonts w:cs="Arial"/>
                <w:sz w:val="18"/>
                <w:szCs w:val="18"/>
              </w:rPr>
            </w:pPr>
          </w:p>
        </w:tc>
        <w:tc>
          <w:tcPr>
            <w:tcW w:w="6805" w:type="dxa"/>
            <w:gridSpan w:val="5"/>
            <w:tcBorders>
              <w:left w:val="single" w:sz="18" w:space="0" w:color="5F497A" w:themeColor="accent4" w:themeShade="BF"/>
              <w:bottom w:val="single" w:sz="8" w:space="0" w:color="5F497A" w:themeColor="accent4" w:themeShade="BF"/>
              <w:right w:val="nil"/>
            </w:tcBorders>
            <w:shd w:val="clear" w:color="auto" w:fill="auto"/>
            <w:vAlign w:val="bottom"/>
          </w:tcPr>
          <w:p w14:paraId="27CFCEC8" w14:textId="77777777" w:rsidR="00D17F37" w:rsidRPr="00A44829" w:rsidRDefault="00D17F37" w:rsidP="008001AD">
            <w:pPr>
              <w:spacing w:before="40" w:after="20"/>
              <w:jc w:val="center"/>
              <w:rPr>
                <w:rFonts w:cs="Arial"/>
                <w:b/>
                <w:sz w:val="18"/>
                <w:szCs w:val="18"/>
              </w:rPr>
            </w:pPr>
            <w:r w:rsidRPr="00A44829">
              <w:rPr>
                <w:rFonts w:cs="Arial"/>
                <w:b/>
                <w:sz w:val="18"/>
                <w:szCs w:val="18"/>
              </w:rPr>
              <w:t>Net Standardised Expenditure</w:t>
            </w:r>
          </w:p>
        </w:tc>
      </w:tr>
      <w:tr w:rsidR="00D65191" w:rsidRPr="00A44829" w14:paraId="4949D70D" w14:textId="77777777" w:rsidTr="00B44BBE">
        <w:trPr>
          <w:tblHeader/>
        </w:trPr>
        <w:tc>
          <w:tcPr>
            <w:tcW w:w="2268" w:type="dxa"/>
            <w:tcBorders>
              <w:top w:val="nil"/>
              <w:left w:val="nil"/>
              <w:right w:val="single" w:sz="18" w:space="0" w:color="5F497A" w:themeColor="accent4" w:themeShade="BF"/>
            </w:tcBorders>
            <w:shd w:val="clear" w:color="auto" w:fill="auto"/>
            <w:vAlign w:val="bottom"/>
          </w:tcPr>
          <w:p w14:paraId="34132211" w14:textId="77777777" w:rsidR="00D65191" w:rsidRPr="00A44829" w:rsidRDefault="00D65191" w:rsidP="008001AD">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5D0EC7CE" w14:textId="77777777" w:rsidR="00D65191" w:rsidRPr="00A44829" w:rsidRDefault="00D65191" w:rsidP="008001AD">
            <w:pPr>
              <w:spacing w:before="40" w:after="20"/>
              <w:jc w:val="center"/>
              <w:rPr>
                <w:rFonts w:cs="Arial"/>
                <w:sz w:val="16"/>
                <w:szCs w:val="16"/>
              </w:rPr>
            </w:pPr>
            <w:r w:rsidRPr="00A44829">
              <w:rPr>
                <w:rFonts w:cs="Arial"/>
                <w:sz w:val="16"/>
                <w:szCs w:val="16"/>
              </w:rPr>
              <w:t xml:space="preserve">Traffic </w:t>
            </w:r>
            <w:r w:rsidRPr="00A44829">
              <w:rPr>
                <w:rFonts w:cs="Arial"/>
                <w:sz w:val="16"/>
                <w:szCs w:val="16"/>
              </w:rPr>
              <w:br/>
              <w:t xml:space="preserve">&amp; Street Management </w:t>
            </w:r>
            <w:r w:rsidRPr="00A44829">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1B141DAD" w14:textId="77777777" w:rsidR="00D65191" w:rsidRPr="00A44829" w:rsidRDefault="00D65191" w:rsidP="008001AD">
            <w:pPr>
              <w:spacing w:before="40" w:after="20"/>
              <w:jc w:val="center"/>
              <w:rPr>
                <w:rFonts w:cs="Arial"/>
                <w:sz w:val="16"/>
                <w:szCs w:val="16"/>
              </w:rPr>
            </w:pPr>
            <w:r w:rsidRPr="00A44829">
              <w:rPr>
                <w:rFonts w:cs="Arial"/>
                <w:sz w:val="16"/>
                <w:szCs w:val="16"/>
              </w:rPr>
              <w:t xml:space="preserve">Environment </w:t>
            </w:r>
            <w:r w:rsidRPr="00A44829">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6DC348A4" w14:textId="77777777" w:rsidR="00D65191" w:rsidRPr="00A44829" w:rsidRDefault="00D65191" w:rsidP="008001AD">
            <w:pPr>
              <w:spacing w:before="40" w:after="20"/>
              <w:jc w:val="center"/>
              <w:rPr>
                <w:rFonts w:cs="Arial"/>
                <w:sz w:val="16"/>
                <w:szCs w:val="16"/>
              </w:rPr>
            </w:pPr>
            <w:r w:rsidRPr="00A44829">
              <w:rPr>
                <w:rFonts w:cs="Arial"/>
                <w:sz w:val="16"/>
                <w:szCs w:val="16"/>
              </w:rPr>
              <w:t xml:space="preserve">Business </w:t>
            </w:r>
            <w:r w:rsidRPr="00A44829">
              <w:rPr>
                <w:rFonts w:cs="Arial"/>
                <w:sz w:val="16"/>
                <w:szCs w:val="16"/>
              </w:rPr>
              <w:br/>
              <w:t>&amp; Economic Services</w:t>
            </w:r>
            <w:r w:rsidRPr="00A44829">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vAlign w:val="bottom"/>
          </w:tcPr>
          <w:p w14:paraId="77C6B0C3" w14:textId="77777777" w:rsidR="00D65191" w:rsidRPr="00A44829" w:rsidRDefault="00D65191" w:rsidP="008001AD">
            <w:pPr>
              <w:spacing w:before="40" w:after="20"/>
              <w:jc w:val="center"/>
              <w:rPr>
                <w:rFonts w:cs="Arial"/>
                <w:sz w:val="16"/>
                <w:szCs w:val="16"/>
              </w:rPr>
            </w:pPr>
            <w:r w:rsidRPr="00A44829">
              <w:rPr>
                <w:rFonts w:cs="Arial"/>
                <w:sz w:val="16"/>
                <w:szCs w:val="16"/>
              </w:rPr>
              <w:t xml:space="preserve">Local Roads </w:t>
            </w:r>
            <w:r w:rsidRPr="00A44829">
              <w:rPr>
                <w:rFonts w:cs="Arial"/>
                <w:sz w:val="16"/>
                <w:szCs w:val="16"/>
              </w:rPr>
              <w:br/>
              <w:t xml:space="preserve">&amp; Bridges </w:t>
            </w:r>
            <w:r w:rsidRPr="00A44829">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1C782C57" w14:textId="77777777" w:rsidR="00D65191" w:rsidRPr="00A44829" w:rsidRDefault="00D65191" w:rsidP="008001AD">
            <w:pPr>
              <w:spacing w:before="40" w:after="20"/>
              <w:jc w:val="center"/>
              <w:rPr>
                <w:rFonts w:cs="Arial"/>
                <w:sz w:val="16"/>
                <w:szCs w:val="16"/>
              </w:rPr>
            </w:pPr>
            <w:r w:rsidRPr="00A44829">
              <w:rPr>
                <w:rFonts w:cs="Arial"/>
                <w:sz w:val="16"/>
                <w:szCs w:val="16"/>
              </w:rPr>
              <w:t xml:space="preserve">Total </w:t>
            </w:r>
            <w:r w:rsidRPr="00A44829">
              <w:rPr>
                <w:rFonts w:cs="Arial"/>
                <w:sz w:val="16"/>
                <w:szCs w:val="16"/>
              </w:rPr>
              <w:br/>
              <w:t>($)</w:t>
            </w:r>
          </w:p>
        </w:tc>
      </w:tr>
      <w:tr w:rsidR="00584325" w:rsidRPr="001D41EA" w14:paraId="4D18085F" w14:textId="77777777" w:rsidTr="00B44BBE">
        <w:trPr>
          <w:tblHeader/>
        </w:trPr>
        <w:tc>
          <w:tcPr>
            <w:tcW w:w="2268" w:type="dxa"/>
            <w:tcBorders>
              <w:left w:val="nil"/>
              <w:bottom w:val="nil"/>
              <w:right w:val="single" w:sz="18" w:space="0" w:color="5F497A" w:themeColor="accent4" w:themeShade="BF"/>
            </w:tcBorders>
            <w:shd w:val="clear" w:color="auto" w:fill="auto"/>
            <w:noWrap/>
            <w:vAlign w:val="center"/>
          </w:tcPr>
          <w:p w14:paraId="30CBF892" w14:textId="77777777" w:rsidR="00584325" w:rsidRPr="001D41EA" w:rsidRDefault="00584325" w:rsidP="001D41EA">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1C0BD3A1" w14:textId="77777777" w:rsidR="00584325" w:rsidRPr="001D41EA" w:rsidRDefault="00584325" w:rsidP="001D41EA">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0CC2921F" w14:textId="77777777" w:rsidR="00584325" w:rsidRPr="001D41EA" w:rsidRDefault="00584325" w:rsidP="001D41EA">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1F6C5F71" w14:textId="77777777" w:rsidR="00584325" w:rsidRPr="001D41EA" w:rsidRDefault="00584325" w:rsidP="001D41EA">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vAlign w:val="bottom"/>
          </w:tcPr>
          <w:p w14:paraId="1B964406" w14:textId="77777777" w:rsidR="00584325" w:rsidRPr="001D41EA" w:rsidRDefault="00584325" w:rsidP="001D41EA">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6EBC6914" w14:textId="53DAE9AF" w:rsidR="00584325" w:rsidRPr="001D41EA" w:rsidRDefault="00584325" w:rsidP="001D41EA">
            <w:pPr>
              <w:spacing w:before="40" w:after="20"/>
              <w:jc w:val="right"/>
              <w:rPr>
                <w:rFonts w:cs="Arial"/>
                <w:b/>
                <w:sz w:val="18"/>
                <w:szCs w:val="18"/>
              </w:rPr>
            </w:pPr>
            <w:r w:rsidRPr="001D41EA">
              <w:rPr>
                <w:rFonts w:cs="Arial"/>
                <w:b/>
                <w:sz w:val="18"/>
                <w:szCs w:val="18"/>
              </w:rPr>
              <w:t> </w:t>
            </w:r>
          </w:p>
        </w:tc>
      </w:tr>
      <w:tr w:rsidR="00584325" w:rsidRPr="001D41EA" w14:paraId="2035E51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E05F1C4" w14:textId="77777777" w:rsidR="00584325" w:rsidRPr="001D41EA" w:rsidRDefault="00584325" w:rsidP="001D41EA">
            <w:pPr>
              <w:spacing w:before="40" w:after="20"/>
              <w:rPr>
                <w:rFonts w:cs="Arial"/>
                <w:sz w:val="18"/>
                <w:szCs w:val="18"/>
              </w:rPr>
            </w:pPr>
            <w:r w:rsidRPr="001D41EA">
              <w:rPr>
                <w:rFonts w:cs="Arial"/>
                <w:sz w:val="18"/>
                <w:szCs w:val="18"/>
              </w:rPr>
              <w:t>Macedon Ranges S</w:t>
            </w:r>
          </w:p>
        </w:tc>
        <w:tc>
          <w:tcPr>
            <w:tcW w:w="1361" w:type="dxa"/>
            <w:tcBorders>
              <w:top w:val="nil"/>
              <w:left w:val="single" w:sz="18" w:space="0" w:color="5F497A" w:themeColor="accent4" w:themeShade="BF"/>
              <w:bottom w:val="nil"/>
              <w:right w:val="nil"/>
            </w:tcBorders>
            <w:shd w:val="clear" w:color="auto" w:fill="auto"/>
            <w:noWrap/>
            <w:vAlign w:val="bottom"/>
          </w:tcPr>
          <w:p w14:paraId="3518AA18" w14:textId="1043C71A" w:rsidR="00584325" w:rsidRPr="001D41EA" w:rsidRDefault="00584325" w:rsidP="001D41EA">
            <w:pPr>
              <w:spacing w:before="40" w:after="20"/>
              <w:jc w:val="right"/>
              <w:rPr>
                <w:rFonts w:cs="Arial"/>
                <w:sz w:val="18"/>
                <w:szCs w:val="18"/>
              </w:rPr>
            </w:pPr>
            <w:r w:rsidRPr="001D41EA">
              <w:rPr>
                <w:rFonts w:cs="Arial"/>
                <w:sz w:val="18"/>
                <w:szCs w:val="18"/>
              </w:rPr>
              <w:t>6,765,713</w:t>
            </w:r>
          </w:p>
        </w:tc>
        <w:tc>
          <w:tcPr>
            <w:tcW w:w="1361" w:type="dxa"/>
            <w:tcBorders>
              <w:top w:val="nil"/>
              <w:left w:val="nil"/>
              <w:bottom w:val="nil"/>
              <w:right w:val="nil"/>
            </w:tcBorders>
            <w:shd w:val="clear" w:color="auto" w:fill="auto"/>
            <w:noWrap/>
            <w:vAlign w:val="bottom"/>
          </w:tcPr>
          <w:p w14:paraId="0E4235E9" w14:textId="1339F2D6" w:rsidR="00584325" w:rsidRPr="001D41EA" w:rsidRDefault="00584325" w:rsidP="001D41EA">
            <w:pPr>
              <w:spacing w:before="40" w:after="20"/>
              <w:jc w:val="right"/>
              <w:rPr>
                <w:rFonts w:cs="Arial"/>
                <w:sz w:val="18"/>
                <w:szCs w:val="18"/>
              </w:rPr>
            </w:pPr>
            <w:r w:rsidRPr="001D41EA">
              <w:rPr>
                <w:rFonts w:cs="Arial"/>
                <w:sz w:val="18"/>
                <w:szCs w:val="18"/>
              </w:rPr>
              <w:t>4,009,412</w:t>
            </w:r>
          </w:p>
        </w:tc>
        <w:tc>
          <w:tcPr>
            <w:tcW w:w="1361" w:type="dxa"/>
            <w:tcBorders>
              <w:top w:val="nil"/>
              <w:left w:val="nil"/>
              <w:bottom w:val="nil"/>
              <w:right w:val="nil"/>
            </w:tcBorders>
            <w:shd w:val="clear" w:color="auto" w:fill="auto"/>
            <w:noWrap/>
            <w:vAlign w:val="bottom"/>
          </w:tcPr>
          <w:p w14:paraId="1D1AE14C" w14:textId="3125ACAC" w:rsidR="00584325" w:rsidRPr="001D41EA" w:rsidRDefault="00584325" w:rsidP="001D41EA">
            <w:pPr>
              <w:spacing w:before="40" w:after="20"/>
              <w:jc w:val="right"/>
              <w:rPr>
                <w:rFonts w:cs="Arial"/>
                <w:sz w:val="18"/>
                <w:szCs w:val="18"/>
              </w:rPr>
            </w:pPr>
            <w:r w:rsidRPr="001D41EA">
              <w:rPr>
                <w:rFonts w:cs="Arial"/>
                <w:sz w:val="18"/>
                <w:szCs w:val="18"/>
              </w:rPr>
              <w:t>8,769,419</w:t>
            </w:r>
          </w:p>
        </w:tc>
        <w:tc>
          <w:tcPr>
            <w:tcW w:w="1361" w:type="dxa"/>
            <w:tcBorders>
              <w:top w:val="nil"/>
              <w:left w:val="nil"/>
              <w:bottom w:val="nil"/>
              <w:right w:val="nil"/>
            </w:tcBorders>
            <w:vAlign w:val="bottom"/>
          </w:tcPr>
          <w:p w14:paraId="2B41D62F" w14:textId="0D5E0D6B" w:rsidR="00584325" w:rsidRPr="001D41EA" w:rsidRDefault="00584325" w:rsidP="001D41EA">
            <w:pPr>
              <w:spacing w:before="40" w:after="20"/>
              <w:jc w:val="right"/>
              <w:rPr>
                <w:rFonts w:cs="Arial"/>
                <w:sz w:val="18"/>
                <w:szCs w:val="18"/>
              </w:rPr>
            </w:pPr>
            <w:r w:rsidRPr="001D41EA">
              <w:rPr>
                <w:rFonts w:cs="Arial"/>
                <w:sz w:val="18"/>
                <w:szCs w:val="18"/>
              </w:rPr>
              <w:t>16,899,607</w:t>
            </w:r>
          </w:p>
        </w:tc>
        <w:tc>
          <w:tcPr>
            <w:tcW w:w="1361" w:type="dxa"/>
            <w:tcBorders>
              <w:top w:val="nil"/>
              <w:left w:val="nil"/>
              <w:bottom w:val="nil"/>
              <w:right w:val="nil"/>
            </w:tcBorders>
            <w:shd w:val="clear" w:color="auto" w:fill="auto"/>
            <w:noWrap/>
            <w:vAlign w:val="bottom"/>
          </w:tcPr>
          <w:p w14:paraId="17C29E0C" w14:textId="6C35678F" w:rsidR="00584325" w:rsidRPr="001D41EA" w:rsidRDefault="00584325" w:rsidP="001D41EA">
            <w:pPr>
              <w:spacing w:before="40" w:after="20"/>
              <w:jc w:val="right"/>
              <w:rPr>
                <w:rFonts w:cs="Arial"/>
                <w:b/>
                <w:sz w:val="18"/>
                <w:szCs w:val="18"/>
              </w:rPr>
            </w:pPr>
            <w:r w:rsidRPr="001D41EA">
              <w:rPr>
                <w:rFonts w:cs="Arial"/>
                <w:b/>
                <w:sz w:val="18"/>
                <w:szCs w:val="18"/>
              </w:rPr>
              <w:t>71,149,217</w:t>
            </w:r>
          </w:p>
        </w:tc>
      </w:tr>
      <w:tr w:rsidR="00584325" w:rsidRPr="001D41EA" w14:paraId="62AC50C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EA255B5" w14:textId="77777777" w:rsidR="00584325" w:rsidRPr="001D41EA" w:rsidRDefault="00584325" w:rsidP="001D41EA">
            <w:pPr>
              <w:spacing w:before="40" w:after="20"/>
              <w:rPr>
                <w:rFonts w:cs="Arial"/>
                <w:sz w:val="18"/>
                <w:szCs w:val="18"/>
              </w:rPr>
            </w:pPr>
            <w:r w:rsidRPr="001D41EA">
              <w:rPr>
                <w:rFonts w:cs="Arial"/>
                <w:sz w:val="18"/>
                <w:szCs w:val="18"/>
              </w:rPr>
              <w:t>Manningham C</w:t>
            </w:r>
          </w:p>
        </w:tc>
        <w:tc>
          <w:tcPr>
            <w:tcW w:w="1361" w:type="dxa"/>
            <w:tcBorders>
              <w:top w:val="nil"/>
              <w:left w:val="single" w:sz="18" w:space="0" w:color="5F497A" w:themeColor="accent4" w:themeShade="BF"/>
              <w:bottom w:val="nil"/>
              <w:right w:val="nil"/>
            </w:tcBorders>
            <w:shd w:val="clear" w:color="auto" w:fill="auto"/>
            <w:noWrap/>
            <w:vAlign w:val="bottom"/>
          </w:tcPr>
          <w:p w14:paraId="44BEDCFE" w14:textId="57D2C0CC" w:rsidR="00584325" w:rsidRPr="001D41EA" w:rsidRDefault="00584325" w:rsidP="001D41EA">
            <w:pPr>
              <w:spacing w:before="40" w:after="20"/>
              <w:jc w:val="right"/>
              <w:rPr>
                <w:rFonts w:cs="Arial"/>
                <w:sz w:val="18"/>
                <w:szCs w:val="18"/>
              </w:rPr>
            </w:pPr>
            <w:r w:rsidRPr="001D41EA">
              <w:rPr>
                <w:rFonts w:cs="Arial"/>
                <w:sz w:val="18"/>
                <w:szCs w:val="18"/>
              </w:rPr>
              <w:t>14,907,201</w:t>
            </w:r>
          </w:p>
        </w:tc>
        <w:tc>
          <w:tcPr>
            <w:tcW w:w="1361" w:type="dxa"/>
            <w:tcBorders>
              <w:top w:val="nil"/>
              <w:left w:val="nil"/>
              <w:bottom w:val="nil"/>
              <w:right w:val="nil"/>
            </w:tcBorders>
            <w:shd w:val="clear" w:color="auto" w:fill="auto"/>
            <w:noWrap/>
            <w:vAlign w:val="bottom"/>
          </w:tcPr>
          <w:p w14:paraId="6930C6C0" w14:textId="4B3B4905" w:rsidR="00584325" w:rsidRPr="001D41EA" w:rsidRDefault="00584325" w:rsidP="001D41EA">
            <w:pPr>
              <w:spacing w:before="40" w:after="20"/>
              <w:jc w:val="right"/>
              <w:rPr>
                <w:rFonts w:cs="Arial"/>
                <w:sz w:val="18"/>
                <w:szCs w:val="18"/>
              </w:rPr>
            </w:pPr>
            <w:r w:rsidRPr="001D41EA">
              <w:rPr>
                <w:rFonts w:cs="Arial"/>
                <w:sz w:val="18"/>
                <w:szCs w:val="18"/>
              </w:rPr>
              <w:t>8,017,971</w:t>
            </w:r>
          </w:p>
        </w:tc>
        <w:tc>
          <w:tcPr>
            <w:tcW w:w="1361" w:type="dxa"/>
            <w:tcBorders>
              <w:top w:val="nil"/>
              <w:left w:val="nil"/>
              <w:bottom w:val="nil"/>
              <w:right w:val="nil"/>
            </w:tcBorders>
            <w:shd w:val="clear" w:color="auto" w:fill="auto"/>
            <w:noWrap/>
            <w:vAlign w:val="bottom"/>
          </w:tcPr>
          <w:p w14:paraId="0F45A2B9" w14:textId="3C6D28C5" w:rsidR="00584325" w:rsidRPr="001D41EA" w:rsidRDefault="00584325" w:rsidP="001D41EA">
            <w:pPr>
              <w:spacing w:before="40" w:after="20"/>
              <w:jc w:val="right"/>
              <w:rPr>
                <w:rFonts w:cs="Arial"/>
                <w:sz w:val="18"/>
                <w:szCs w:val="18"/>
              </w:rPr>
            </w:pPr>
            <w:r w:rsidRPr="001D41EA">
              <w:rPr>
                <w:rFonts w:cs="Arial"/>
                <w:sz w:val="18"/>
                <w:szCs w:val="18"/>
              </w:rPr>
              <w:t>19,522,878</w:t>
            </w:r>
          </w:p>
        </w:tc>
        <w:tc>
          <w:tcPr>
            <w:tcW w:w="1361" w:type="dxa"/>
            <w:tcBorders>
              <w:top w:val="nil"/>
              <w:left w:val="nil"/>
              <w:bottom w:val="nil"/>
              <w:right w:val="nil"/>
            </w:tcBorders>
            <w:vAlign w:val="bottom"/>
          </w:tcPr>
          <w:p w14:paraId="7D80470E" w14:textId="42C1F33F" w:rsidR="00584325" w:rsidRPr="001D41EA" w:rsidRDefault="00584325" w:rsidP="001D41EA">
            <w:pPr>
              <w:spacing w:before="40" w:after="20"/>
              <w:jc w:val="right"/>
              <w:rPr>
                <w:rFonts w:cs="Arial"/>
                <w:sz w:val="18"/>
                <w:szCs w:val="18"/>
              </w:rPr>
            </w:pPr>
            <w:r w:rsidRPr="001D41EA">
              <w:rPr>
                <w:rFonts w:cs="Arial"/>
                <w:sz w:val="18"/>
                <w:szCs w:val="18"/>
              </w:rPr>
              <w:t>6,053,874</w:t>
            </w:r>
          </w:p>
        </w:tc>
        <w:tc>
          <w:tcPr>
            <w:tcW w:w="1361" w:type="dxa"/>
            <w:tcBorders>
              <w:top w:val="nil"/>
              <w:left w:val="nil"/>
              <w:bottom w:val="nil"/>
              <w:right w:val="nil"/>
            </w:tcBorders>
            <w:shd w:val="clear" w:color="auto" w:fill="auto"/>
            <w:noWrap/>
            <w:vAlign w:val="bottom"/>
          </w:tcPr>
          <w:p w14:paraId="3D32D89A" w14:textId="259D7E06" w:rsidR="00584325" w:rsidRPr="001D41EA" w:rsidRDefault="00584325" w:rsidP="001D41EA">
            <w:pPr>
              <w:spacing w:before="40" w:after="20"/>
              <w:jc w:val="right"/>
              <w:rPr>
                <w:rFonts w:cs="Arial"/>
                <w:b/>
                <w:sz w:val="18"/>
                <w:szCs w:val="18"/>
              </w:rPr>
            </w:pPr>
            <w:r w:rsidRPr="001D41EA">
              <w:rPr>
                <w:rFonts w:cs="Arial"/>
                <w:b/>
                <w:sz w:val="18"/>
                <w:szCs w:val="18"/>
              </w:rPr>
              <w:t>120,996,434</w:t>
            </w:r>
          </w:p>
        </w:tc>
      </w:tr>
      <w:tr w:rsidR="00584325" w:rsidRPr="001D41EA" w14:paraId="21D86B6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7A4C5E8" w14:textId="77777777" w:rsidR="00584325" w:rsidRPr="001D41EA" w:rsidRDefault="00584325" w:rsidP="001D41EA">
            <w:pPr>
              <w:spacing w:before="40" w:after="20"/>
              <w:rPr>
                <w:rFonts w:cs="Arial"/>
                <w:sz w:val="18"/>
                <w:szCs w:val="18"/>
              </w:rPr>
            </w:pPr>
            <w:r w:rsidRPr="001D41EA">
              <w:rPr>
                <w:rFonts w:cs="Arial"/>
                <w:sz w:val="18"/>
                <w:szCs w:val="18"/>
              </w:rPr>
              <w:t>Mansfield S</w:t>
            </w:r>
          </w:p>
        </w:tc>
        <w:tc>
          <w:tcPr>
            <w:tcW w:w="1361" w:type="dxa"/>
            <w:tcBorders>
              <w:top w:val="nil"/>
              <w:left w:val="single" w:sz="18" w:space="0" w:color="5F497A" w:themeColor="accent4" w:themeShade="BF"/>
              <w:bottom w:val="nil"/>
              <w:right w:val="nil"/>
            </w:tcBorders>
            <w:shd w:val="clear" w:color="auto" w:fill="auto"/>
            <w:noWrap/>
            <w:vAlign w:val="bottom"/>
          </w:tcPr>
          <w:p w14:paraId="57490B4E" w14:textId="25F86042" w:rsidR="00584325" w:rsidRPr="001D41EA" w:rsidRDefault="00584325" w:rsidP="001D41EA">
            <w:pPr>
              <w:spacing w:before="40" w:after="20"/>
              <w:jc w:val="right"/>
              <w:rPr>
                <w:rFonts w:cs="Arial"/>
                <w:sz w:val="18"/>
                <w:szCs w:val="18"/>
              </w:rPr>
            </w:pPr>
            <w:r w:rsidRPr="001D41EA">
              <w:rPr>
                <w:rFonts w:cs="Arial"/>
                <w:sz w:val="18"/>
                <w:szCs w:val="18"/>
              </w:rPr>
              <w:t>1,839,596</w:t>
            </w:r>
          </w:p>
        </w:tc>
        <w:tc>
          <w:tcPr>
            <w:tcW w:w="1361" w:type="dxa"/>
            <w:tcBorders>
              <w:top w:val="nil"/>
              <w:left w:val="nil"/>
              <w:bottom w:val="nil"/>
              <w:right w:val="nil"/>
            </w:tcBorders>
            <w:shd w:val="clear" w:color="auto" w:fill="auto"/>
            <w:noWrap/>
            <w:vAlign w:val="bottom"/>
          </w:tcPr>
          <w:p w14:paraId="284387C1" w14:textId="449180AB" w:rsidR="00584325" w:rsidRPr="001D41EA" w:rsidRDefault="00584325" w:rsidP="001D41EA">
            <w:pPr>
              <w:spacing w:before="40" w:after="20"/>
              <w:jc w:val="right"/>
              <w:rPr>
                <w:rFonts w:cs="Arial"/>
                <w:sz w:val="18"/>
                <w:szCs w:val="18"/>
              </w:rPr>
            </w:pPr>
            <w:r w:rsidRPr="001D41EA">
              <w:rPr>
                <w:rFonts w:cs="Arial"/>
                <w:sz w:val="18"/>
                <w:szCs w:val="18"/>
              </w:rPr>
              <w:t>1,368,626</w:t>
            </w:r>
          </w:p>
        </w:tc>
        <w:tc>
          <w:tcPr>
            <w:tcW w:w="1361" w:type="dxa"/>
            <w:tcBorders>
              <w:top w:val="nil"/>
              <w:left w:val="nil"/>
              <w:bottom w:val="nil"/>
              <w:right w:val="nil"/>
            </w:tcBorders>
            <w:shd w:val="clear" w:color="auto" w:fill="auto"/>
            <w:noWrap/>
            <w:vAlign w:val="bottom"/>
          </w:tcPr>
          <w:p w14:paraId="41BBB77A" w14:textId="1D01FEE8" w:rsidR="00584325" w:rsidRPr="001D41EA" w:rsidRDefault="00584325" w:rsidP="001D41EA">
            <w:pPr>
              <w:spacing w:before="40" w:after="20"/>
              <w:jc w:val="right"/>
              <w:rPr>
                <w:rFonts w:cs="Arial"/>
                <w:sz w:val="18"/>
                <w:szCs w:val="18"/>
              </w:rPr>
            </w:pPr>
            <w:r w:rsidRPr="001D41EA">
              <w:rPr>
                <w:rFonts w:cs="Arial"/>
                <w:sz w:val="18"/>
                <w:szCs w:val="18"/>
              </w:rPr>
              <w:t>3,185,234</w:t>
            </w:r>
          </w:p>
        </w:tc>
        <w:tc>
          <w:tcPr>
            <w:tcW w:w="1361" w:type="dxa"/>
            <w:tcBorders>
              <w:top w:val="nil"/>
              <w:left w:val="nil"/>
              <w:bottom w:val="nil"/>
              <w:right w:val="nil"/>
            </w:tcBorders>
            <w:vAlign w:val="bottom"/>
          </w:tcPr>
          <w:p w14:paraId="597A9E48" w14:textId="709CDB80" w:rsidR="00584325" w:rsidRPr="001D41EA" w:rsidRDefault="00584325" w:rsidP="001D41EA">
            <w:pPr>
              <w:spacing w:before="40" w:after="20"/>
              <w:jc w:val="right"/>
              <w:rPr>
                <w:rFonts w:cs="Arial"/>
                <w:sz w:val="18"/>
                <w:szCs w:val="18"/>
              </w:rPr>
            </w:pPr>
            <w:r w:rsidRPr="001D41EA">
              <w:rPr>
                <w:rFonts w:cs="Arial"/>
                <w:sz w:val="18"/>
                <w:szCs w:val="18"/>
              </w:rPr>
              <w:t>6,640,302</w:t>
            </w:r>
          </w:p>
        </w:tc>
        <w:tc>
          <w:tcPr>
            <w:tcW w:w="1361" w:type="dxa"/>
            <w:tcBorders>
              <w:top w:val="nil"/>
              <w:left w:val="nil"/>
              <w:bottom w:val="nil"/>
              <w:right w:val="nil"/>
            </w:tcBorders>
            <w:shd w:val="clear" w:color="auto" w:fill="auto"/>
            <w:noWrap/>
            <w:vAlign w:val="bottom"/>
          </w:tcPr>
          <w:p w14:paraId="50171DA0" w14:textId="4C9DB9CE" w:rsidR="00584325" w:rsidRPr="001D41EA" w:rsidRDefault="00584325" w:rsidP="001D41EA">
            <w:pPr>
              <w:spacing w:before="40" w:after="20"/>
              <w:jc w:val="right"/>
              <w:rPr>
                <w:rFonts w:cs="Arial"/>
                <w:b/>
                <w:sz w:val="18"/>
                <w:szCs w:val="18"/>
              </w:rPr>
            </w:pPr>
            <w:r w:rsidRPr="001D41EA">
              <w:rPr>
                <w:rFonts w:cs="Arial"/>
                <w:b/>
                <w:sz w:val="18"/>
                <w:szCs w:val="18"/>
              </w:rPr>
              <w:t>23,153,212</w:t>
            </w:r>
          </w:p>
        </w:tc>
      </w:tr>
      <w:tr w:rsidR="00584325" w:rsidRPr="001D41EA" w14:paraId="09FDB50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69E0872" w14:textId="77777777" w:rsidR="00584325" w:rsidRPr="001D41EA" w:rsidRDefault="00584325" w:rsidP="001D41EA">
            <w:pPr>
              <w:spacing w:before="40" w:after="20"/>
              <w:rPr>
                <w:rFonts w:cs="Arial"/>
                <w:sz w:val="18"/>
                <w:szCs w:val="18"/>
              </w:rPr>
            </w:pPr>
            <w:r w:rsidRPr="001D41EA">
              <w:rPr>
                <w:rFonts w:cs="Arial"/>
                <w:sz w:val="18"/>
                <w:szCs w:val="18"/>
              </w:rPr>
              <w:t>Maribyrnong C</w:t>
            </w:r>
          </w:p>
        </w:tc>
        <w:tc>
          <w:tcPr>
            <w:tcW w:w="1361" w:type="dxa"/>
            <w:tcBorders>
              <w:top w:val="nil"/>
              <w:left w:val="single" w:sz="18" w:space="0" w:color="5F497A" w:themeColor="accent4" w:themeShade="BF"/>
              <w:bottom w:val="nil"/>
              <w:right w:val="nil"/>
            </w:tcBorders>
            <w:shd w:val="clear" w:color="auto" w:fill="auto"/>
            <w:noWrap/>
            <w:vAlign w:val="bottom"/>
          </w:tcPr>
          <w:p w14:paraId="77B6BAB4" w14:textId="59EDFADC" w:rsidR="00584325" w:rsidRPr="001D41EA" w:rsidRDefault="00584325" w:rsidP="001D41EA">
            <w:pPr>
              <w:spacing w:before="40" w:after="20"/>
              <w:jc w:val="right"/>
              <w:rPr>
                <w:rFonts w:cs="Arial"/>
                <w:sz w:val="18"/>
                <w:szCs w:val="18"/>
              </w:rPr>
            </w:pPr>
            <w:r w:rsidRPr="001D41EA">
              <w:rPr>
                <w:rFonts w:cs="Arial"/>
                <w:sz w:val="18"/>
                <w:szCs w:val="18"/>
              </w:rPr>
              <w:t>12,600,022</w:t>
            </w:r>
          </w:p>
        </w:tc>
        <w:tc>
          <w:tcPr>
            <w:tcW w:w="1361" w:type="dxa"/>
            <w:tcBorders>
              <w:top w:val="nil"/>
              <w:left w:val="nil"/>
              <w:bottom w:val="nil"/>
              <w:right w:val="nil"/>
            </w:tcBorders>
            <w:shd w:val="clear" w:color="auto" w:fill="auto"/>
            <w:noWrap/>
            <w:vAlign w:val="bottom"/>
          </w:tcPr>
          <w:p w14:paraId="38257B8F" w14:textId="19BDC0C3" w:rsidR="00584325" w:rsidRPr="001D41EA" w:rsidRDefault="00584325" w:rsidP="001D41EA">
            <w:pPr>
              <w:spacing w:before="40" w:after="20"/>
              <w:jc w:val="right"/>
              <w:rPr>
                <w:rFonts w:cs="Arial"/>
                <w:sz w:val="18"/>
                <w:szCs w:val="18"/>
              </w:rPr>
            </w:pPr>
            <w:r w:rsidRPr="001D41EA">
              <w:rPr>
                <w:rFonts w:cs="Arial"/>
                <w:sz w:val="18"/>
                <w:szCs w:val="18"/>
              </w:rPr>
              <w:t>5,685,010</w:t>
            </w:r>
          </w:p>
        </w:tc>
        <w:tc>
          <w:tcPr>
            <w:tcW w:w="1361" w:type="dxa"/>
            <w:tcBorders>
              <w:top w:val="nil"/>
              <w:left w:val="nil"/>
              <w:bottom w:val="nil"/>
              <w:right w:val="nil"/>
            </w:tcBorders>
            <w:shd w:val="clear" w:color="auto" w:fill="auto"/>
            <w:noWrap/>
            <w:vAlign w:val="bottom"/>
          </w:tcPr>
          <w:p w14:paraId="1101F3A5" w14:textId="1F98AF77" w:rsidR="00584325" w:rsidRPr="001D41EA" w:rsidRDefault="00584325" w:rsidP="001D41EA">
            <w:pPr>
              <w:spacing w:before="40" w:after="20"/>
              <w:jc w:val="right"/>
              <w:rPr>
                <w:rFonts w:cs="Arial"/>
                <w:sz w:val="18"/>
                <w:szCs w:val="18"/>
              </w:rPr>
            </w:pPr>
            <w:r w:rsidRPr="001D41EA">
              <w:rPr>
                <w:rFonts w:cs="Arial"/>
                <w:sz w:val="18"/>
                <w:szCs w:val="18"/>
              </w:rPr>
              <w:t>15,829,654</w:t>
            </w:r>
          </w:p>
        </w:tc>
        <w:tc>
          <w:tcPr>
            <w:tcW w:w="1361" w:type="dxa"/>
            <w:tcBorders>
              <w:top w:val="nil"/>
              <w:left w:val="nil"/>
              <w:bottom w:val="nil"/>
              <w:right w:val="nil"/>
            </w:tcBorders>
            <w:vAlign w:val="bottom"/>
          </w:tcPr>
          <w:p w14:paraId="12ECBA7D" w14:textId="3F902BAB" w:rsidR="00584325" w:rsidRPr="001D41EA" w:rsidRDefault="00584325" w:rsidP="001D41EA">
            <w:pPr>
              <w:spacing w:before="40" w:after="20"/>
              <w:jc w:val="right"/>
              <w:rPr>
                <w:rFonts w:cs="Arial"/>
                <w:sz w:val="18"/>
                <w:szCs w:val="18"/>
              </w:rPr>
            </w:pPr>
            <w:r w:rsidRPr="001D41EA">
              <w:rPr>
                <w:rFonts w:cs="Arial"/>
                <w:sz w:val="18"/>
                <w:szCs w:val="18"/>
              </w:rPr>
              <w:t>4,283,411</w:t>
            </w:r>
          </w:p>
        </w:tc>
        <w:tc>
          <w:tcPr>
            <w:tcW w:w="1361" w:type="dxa"/>
            <w:tcBorders>
              <w:top w:val="nil"/>
              <w:left w:val="nil"/>
              <w:bottom w:val="nil"/>
              <w:right w:val="nil"/>
            </w:tcBorders>
            <w:shd w:val="clear" w:color="auto" w:fill="auto"/>
            <w:noWrap/>
            <w:vAlign w:val="bottom"/>
          </w:tcPr>
          <w:p w14:paraId="1EBB1412" w14:textId="18E804E2" w:rsidR="00584325" w:rsidRPr="001D41EA" w:rsidRDefault="00584325" w:rsidP="001D41EA">
            <w:pPr>
              <w:spacing w:before="40" w:after="20"/>
              <w:jc w:val="right"/>
              <w:rPr>
                <w:rFonts w:cs="Arial"/>
                <w:b/>
                <w:sz w:val="18"/>
                <w:szCs w:val="18"/>
              </w:rPr>
            </w:pPr>
            <w:r w:rsidRPr="001D41EA">
              <w:rPr>
                <w:rFonts w:cs="Arial"/>
                <w:b/>
                <w:sz w:val="18"/>
                <w:szCs w:val="18"/>
              </w:rPr>
              <w:t>97,347,165</w:t>
            </w:r>
          </w:p>
        </w:tc>
      </w:tr>
      <w:tr w:rsidR="00584325" w:rsidRPr="001D41EA" w14:paraId="0FC37B3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516BA1D" w14:textId="77777777" w:rsidR="00584325" w:rsidRPr="001D41EA" w:rsidRDefault="00584325" w:rsidP="001D41EA">
            <w:pPr>
              <w:spacing w:before="40" w:after="20"/>
              <w:rPr>
                <w:rFonts w:cs="Arial"/>
                <w:sz w:val="18"/>
                <w:szCs w:val="18"/>
              </w:rPr>
            </w:pPr>
            <w:r w:rsidRPr="001D41EA">
              <w:rPr>
                <w:rFonts w:cs="Arial"/>
                <w:sz w:val="18"/>
                <w:szCs w:val="18"/>
              </w:rPr>
              <w:t>Maroondah C</w:t>
            </w:r>
          </w:p>
        </w:tc>
        <w:tc>
          <w:tcPr>
            <w:tcW w:w="1361" w:type="dxa"/>
            <w:tcBorders>
              <w:top w:val="nil"/>
              <w:left w:val="single" w:sz="18" w:space="0" w:color="5F497A" w:themeColor="accent4" w:themeShade="BF"/>
              <w:bottom w:val="nil"/>
              <w:right w:val="nil"/>
            </w:tcBorders>
            <w:shd w:val="clear" w:color="auto" w:fill="auto"/>
            <w:noWrap/>
            <w:vAlign w:val="bottom"/>
          </w:tcPr>
          <w:p w14:paraId="33EECBF1" w14:textId="181009B3" w:rsidR="00584325" w:rsidRPr="001D41EA" w:rsidRDefault="00584325" w:rsidP="001D41EA">
            <w:pPr>
              <w:spacing w:before="40" w:after="20"/>
              <w:jc w:val="right"/>
              <w:rPr>
                <w:rFonts w:cs="Arial"/>
                <w:sz w:val="18"/>
                <w:szCs w:val="18"/>
              </w:rPr>
            </w:pPr>
            <w:r w:rsidRPr="001D41EA">
              <w:rPr>
                <w:rFonts w:cs="Arial"/>
                <w:sz w:val="18"/>
                <w:szCs w:val="18"/>
              </w:rPr>
              <w:t>14,589,201</w:t>
            </w:r>
          </w:p>
        </w:tc>
        <w:tc>
          <w:tcPr>
            <w:tcW w:w="1361" w:type="dxa"/>
            <w:tcBorders>
              <w:top w:val="nil"/>
              <w:left w:val="nil"/>
              <w:bottom w:val="nil"/>
              <w:right w:val="nil"/>
            </w:tcBorders>
            <w:shd w:val="clear" w:color="auto" w:fill="auto"/>
            <w:noWrap/>
            <w:vAlign w:val="bottom"/>
          </w:tcPr>
          <w:p w14:paraId="6B12BB7C" w14:textId="3A50E953" w:rsidR="00584325" w:rsidRPr="001D41EA" w:rsidRDefault="00584325" w:rsidP="001D41EA">
            <w:pPr>
              <w:spacing w:before="40" w:after="20"/>
              <w:jc w:val="right"/>
              <w:rPr>
                <w:rFonts w:cs="Arial"/>
                <w:sz w:val="18"/>
                <w:szCs w:val="18"/>
              </w:rPr>
            </w:pPr>
            <w:r w:rsidRPr="001D41EA">
              <w:rPr>
                <w:rFonts w:cs="Arial"/>
                <w:sz w:val="18"/>
                <w:szCs w:val="18"/>
              </w:rPr>
              <w:t>7,237,041</w:t>
            </w:r>
          </w:p>
        </w:tc>
        <w:tc>
          <w:tcPr>
            <w:tcW w:w="1361" w:type="dxa"/>
            <w:tcBorders>
              <w:top w:val="nil"/>
              <w:left w:val="nil"/>
              <w:bottom w:val="nil"/>
              <w:right w:val="nil"/>
            </w:tcBorders>
            <w:shd w:val="clear" w:color="auto" w:fill="auto"/>
            <w:noWrap/>
            <w:vAlign w:val="bottom"/>
          </w:tcPr>
          <w:p w14:paraId="48AF6335" w14:textId="4D13F210" w:rsidR="00584325" w:rsidRPr="001D41EA" w:rsidRDefault="00584325" w:rsidP="001D41EA">
            <w:pPr>
              <w:spacing w:before="40" w:after="20"/>
              <w:jc w:val="right"/>
              <w:rPr>
                <w:rFonts w:cs="Arial"/>
                <w:sz w:val="18"/>
                <w:szCs w:val="18"/>
              </w:rPr>
            </w:pPr>
            <w:r w:rsidRPr="001D41EA">
              <w:rPr>
                <w:rFonts w:cs="Arial"/>
                <w:sz w:val="18"/>
                <w:szCs w:val="18"/>
              </w:rPr>
              <w:t>19,028,948</w:t>
            </w:r>
          </w:p>
        </w:tc>
        <w:tc>
          <w:tcPr>
            <w:tcW w:w="1361" w:type="dxa"/>
            <w:tcBorders>
              <w:top w:val="nil"/>
              <w:left w:val="nil"/>
              <w:bottom w:val="nil"/>
              <w:right w:val="nil"/>
            </w:tcBorders>
            <w:vAlign w:val="bottom"/>
          </w:tcPr>
          <w:p w14:paraId="0B7DB61C" w14:textId="113A32A5" w:rsidR="00584325" w:rsidRPr="001D41EA" w:rsidRDefault="00584325" w:rsidP="001D41EA">
            <w:pPr>
              <w:spacing w:before="40" w:after="20"/>
              <w:jc w:val="right"/>
              <w:rPr>
                <w:rFonts w:cs="Arial"/>
                <w:sz w:val="18"/>
                <w:szCs w:val="18"/>
              </w:rPr>
            </w:pPr>
            <w:r w:rsidRPr="001D41EA">
              <w:rPr>
                <w:rFonts w:cs="Arial"/>
                <w:sz w:val="18"/>
                <w:szCs w:val="18"/>
              </w:rPr>
              <w:t>5,684,690</w:t>
            </w:r>
          </w:p>
        </w:tc>
        <w:tc>
          <w:tcPr>
            <w:tcW w:w="1361" w:type="dxa"/>
            <w:tcBorders>
              <w:top w:val="nil"/>
              <w:left w:val="nil"/>
              <w:bottom w:val="nil"/>
              <w:right w:val="nil"/>
            </w:tcBorders>
            <w:shd w:val="clear" w:color="auto" w:fill="auto"/>
            <w:noWrap/>
            <w:vAlign w:val="bottom"/>
          </w:tcPr>
          <w:p w14:paraId="70BFF915" w14:textId="00B5ADD3" w:rsidR="00584325" w:rsidRPr="001D41EA" w:rsidRDefault="00584325" w:rsidP="001D41EA">
            <w:pPr>
              <w:spacing w:before="40" w:after="20"/>
              <w:jc w:val="right"/>
              <w:rPr>
                <w:rFonts w:cs="Arial"/>
                <w:b/>
                <w:sz w:val="18"/>
                <w:szCs w:val="18"/>
              </w:rPr>
            </w:pPr>
            <w:r w:rsidRPr="001D41EA">
              <w:rPr>
                <w:rFonts w:cs="Arial"/>
                <w:b/>
                <w:sz w:val="18"/>
                <w:szCs w:val="18"/>
              </w:rPr>
              <w:t>116,220,373</w:t>
            </w:r>
          </w:p>
        </w:tc>
      </w:tr>
      <w:tr w:rsidR="00584325" w:rsidRPr="001D41EA" w14:paraId="48814E7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95AA5B3" w14:textId="77777777" w:rsidR="00584325" w:rsidRPr="001D41EA" w:rsidRDefault="00584325" w:rsidP="001D41EA">
            <w:pPr>
              <w:spacing w:before="40" w:after="20"/>
              <w:rPr>
                <w:rFonts w:cs="Arial"/>
                <w:sz w:val="18"/>
                <w:szCs w:val="18"/>
              </w:rPr>
            </w:pPr>
            <w:r w:rsidRPr="001D41EA">
              <w:rPr>
                <w:rFonts w:cs="Arial"/>
                <w:sz w:val="18"/>
                <w:szCs w:val="18"/>
              </w:rPr>
              <w:t>Melbourne C</w:t>
            </w:r>
          </w:p>
        </w:tc>
        <w:tc>
          <w:tcPr>
            <w:tcW w:w="1361" w:type="dxa"/>
            <w:tcBorders>
              <w:top w:val="nil"/>
              <w:left w:val="single" w:sz="18" w:space="0" w:color="5F497A" w:themeColor="accent4" w:themeShade="BF"/>
              <w:bottom w:val="nil"/>
              <w:right w:val="nil"/>
            </w:tcBorders>
            <w:shd w:val="clear" w:color="auto" w:fill="auto"/>
            <w:noWrap/>
            <w:vAlign w:val="bottom"/>
          </w:tcPr>
          <w:p w14:paraId="0593B120" w14:textId="54DA2EE0" w:rsidR="00584325" w:rsidRPr="001D41EA" w:rsidRDefault="00584325" w:rsidP="001D41EA">
            <w:pPr>
              <w:spacing w:before="40" w:after="20"/>
              <w:jc w:val="right"/>
              <w:rPr>
                <w:rFonts w:cs="Arial"/>
                <w:sz w:val="18"/>
                <w:szCs w:val="18"/>
              </w:rPr>
            </w:pPr>
            <w:r w:rsidRPr="001D41EA">
              <w:rPr>
                <w:rFonts w:cs="Arial"/>
                <w:sz w:val="18"/>
                <w:szCs w:val="18"/>
              </w:rPr>
              <w:t>28,495,774</w:t>
            </w:r>
          </w:p>
        </w:tc>
        <w:tc>
          <w:tcPr>
            <w:tcW w:w="1361" w:type="dxa"/>
            <w:tcBorders>
              <w:top w:val="nil"/>
              <w:left w:val="nil"/>
              <w:bottom w:val="nil"/>
              <w:right w:val="nil"/>
            </w:tcBorders>
            <w:shd w:val="clear" w:color="auto" w:fill="auto"/>
            <w:noWrap/>
            <w:vAlign w:val="bottom"/>
          </w:tcPr>
          <w:p w14:paraId="0DFEDE16" w14:textId="51451C32" w:rsidR="00584325" w:rsidRPr="001D41EA" w:rsidRDefault="00584325" w:rsidP="001D41EA">
            <w:pPr>
              <w:spacing w:before="40" w:after="20"/>
              <w:jc w:val="right"/>
              <w:rPr>
                <w:rFonts w:cs="Arial"/>
                <w:sz w:val="18"/>
                <w:szCs w:val="18"/>
              </w:rPr>
            </w:pPr>
            <w:r w:rsidRPr="001D41EA">
              <w:rPr>
                <w:rFonts w:cs="Arial"/>
                <w:sz w:val="18"/>
                <w:szCs w:val="18"/>
              </w:rPr>
              <w:t>10,859,168</w:t>
            </w:r>
          </w:p>
        </w:tc>
        <w:tc>
          <w:tcPr>
            <w:tcW w:w="1361" w:type="dxa"/>
            <w:tcBorders>
              <w:top w:val="nil"/>
              <w:left w:val="nil"/>
              <w:bottom w:val="nil"/>
              <w:right w:val="nil"/>
            </w:tcBorders>
            <w:shd w:val="clear" w:color="auto" w:fill="auto"/>
            <w:noWrap/>
            <w:vAlign w:val="bottom"/>
          </w:tcPr>
          <w:p w14:paraId="059AB415" w14:textId="635780C8" w:rsidR="00584325" w:rsidRPr="001D41EA" w:rsidRDefault="00584325" w:rsidP="001D41EA">
            <w:pPr>
              <w:spacing w:before="40" w:after="20"/>
              <w:jc w:val="right"/>
              <w:rPr>
                <w:rFonts w:cs="Arial"/>
                <w:sz w:val="18"/>
                <w:szCs w:val="18"/>
              </w:rPr>
            </w:pPr>
            <w:r w:rsidRPr="001D41EA">
              <w:rPr>
                <w:rFonts w:cs="Arial"/>
                <w:sz w:val="18"/>
                <w:szCs w:val="18"/>
              </w:rPr>
              <w:t>31,139,782</w:t>
            </w:r>
          </w:p>
        </w:tc>
        <w:tc>
          <w:tcPr>
            <w:tcW w:w="1361" w:type="dxa"/>
            <w:tcBorders>
              <w:top w:val="nil"/>
              <w:left w:val="nil"/>
              <w:bottom w:val="nil"/>
              <w:right w:val="nil"/>
            </w:tcBorders>
            <w:vAlign w:val="bottom"/>
          </w:tcPr>
          <w:p w14:paraId="1AFB450D" w14:textId="2EF45199" w:rsidR="00584325" w:rsidRPr="001D41EA" w:rsidRDefault="00584325" w:rsidP="001D41EA">
            <w:pPr>
              <w:spacing w:before="40" w:after="20"/>
              <w:jc w:val="right"/>
              <w:rPr>
                <w:rFonts w:cs="Arial"/>
                <w:sz w:val="18"/>
                <w:szCs w:val="18"/>
              </w:rPr>
            </w:pPr>
            <w:r w:rsidRPr="001D41EA">
              <w:rPr>
                <w:rFonts w:cs="Arial"/>
                <w:sz w:val="18"/>
                <w:szCs w:val="18"/>
              </w:rPr>
              <w:t>5,242,770</w:t>
            </w:r>
          </w:p>
        </w:tc>
        <w:tc>
          <w:tcPr>
            <w:tcW w:w="1361" w:type="dxa"/>
            <w:tcBorders>
              <w:top w:val="nil"/>
              <w:left w:val="nil"/>
              <w:bottom w:val="nil"/>
              <w:right w:val="nil"/>
            </w:tcBorders>
            <w:shd w:val="clear" w:color="auto" w:fill="auto"/>
            <w:noWrap/>
            <w:vAlign w:val="bottom"/>
          </w:tcPr>
          <w:p w14:paraId="3494B8C6" w14:textId="6DEB255C" w:rsidR="00584325" w:rsidRPr="001D41EA" w:rsidRDefault="00584325" w:rsidP="001D41EA">
            <w:pPr>
              <w:spacing w:before="40" w:after="20"/>
              <w:jc w:val="right"/>
              <w:rPr>
                <w:rFonts w:cs="Arial"/>
                <w:b/>
                <w:sz w:val="18"/>
                <w:szCs w:val="18"/>
              </w:rPr>
            </w:pPr>
            <w:r w:rsidRPr="001D41EA">
              <w:rPr>
                <w:rFonts w:cs="Arial"/>
                <w:b/>
                <w:sz w:val="18"/>
                <w:szCs w:val="18"/>
              </w:rPr>
              <w:t>198,769,850</w:t>
            </w:r>
          </w:p>
        </w:tc>
      </w:tr>
      <w:tr w:rsidR="00584325" w:rsidRPr="001D41EA" w14:paraId="577EDD4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3ACBA9F" w14:textId="77777777" w:rsidR="00584325" w:rsidRPr="001D41EA" w:rsidRDefault="00584325" w:rsidP="001D41EA">
            <w:pPr>
              <w:spacing w:before="40" w:after="20"/>
              <w:rPr>
                <w:rFonts w:cs="Arial"/>
                <w:sz w:val="18"/>
                <w:szCs w:val="18"/>
              </w:rPr>
            </w:pPr>
            <w:r w:rsidRPr="001D41EA">
              <w:rPr>
                <w:rFonts w:cs="Arial"/>
                <w:sz w:val="18"/>
                <w:szCs w:val="18"/>
              </w:rPr>
              <w:t>Melton C</w:t>
            </w:r>
          </w:p>
        </w:tc>
        <w:tc>
          <w:tcPr>
            <w:tcW w:w="1361" w:type="dxa"/>
            <w:tcBorders>
              <w:top w:val="nil"/>
              <w:left w:val="single" w:sz="18" w:space="0" w:color="5F497A" w:themeColor="accent4" w:themeShade="BF"/>
              <w:bottom w:val="nil"/>
              <w:right w:val="nil"/>
            </w:tcBorders>
            <w:shd w:val="clear" w:color="auto" w:fill="auto"/>
            <w:noWrap/>
            <w:vAlign w:val="bottom"/>
          </w:tcPr>
          <w:p w14:paraId="34803BDB" w14:textId="71051EE6" w:rsidR="00584325" w:rsidRPr="001D41EA" w:rsidRDefault="00584325" w:rsidP="001D41EA">
            <w:pPr>
              <w:spacing w:before="40" w:after="20"/>
              <w:jc w:val="right"/>
              <w:rPr>
                <w:rFonts w:cs="Arial"/>
                <w:sz w:val="18"/>
                <w:szCs w:val="18"/>
              </w:rPr>
            </w:pPr>
            <w:r w:rsidRPr="001D41EA">
              <w:rPr>
                <w:rFonts w:cs="Arial"/>
                <w:sz w:val="18"/>
                <w:szCs w:val="18"/>
              </w:rPr>
              <w:t>20,037,089</w:t>
            </w:r>
          </w:p>
        </w:tc>
        <w:tc>
          <w:tcPr>
            <w:tcW w:w="1361" w:type="dxa"/>
            <w:tcBorders>
              <w:top w:val="nil"/>
              <w:left w:val="nil"/>
              <w:bottom w:val="nil"/>
              <w:right w:val="nil"/>
            </w:tcBorders>
            <w:shd w:val="clear" w:color="auto" w:fill="auto"/>
            <w:noWrap/>
            <w:vAlign w:val="bottom"/>
          </w:tcPr>
          <w:p w14:paraId="36850F16" w14:textId="6C7F4DB8" w:rsidR="00584325" w:rsidRPr="001D41EA" w:rsidRDefault="00584325" w:rsidP="001D41EA">
            <w:pPr>
              <w:spacing w:before="40" w:after="20"/>
              <w:jc w:val="right"/>
              <w:rPr>
                <w:rFonts w:cs="Arial"/>
                <w:sz w:val="18"/>
                <w:szCs w:val="18"/>
              </w:rPr>
            </w:pPr>
            <w:r w:rsidRPr="001D41EA">
              <w:rPr>
                <w:rFonts w:cs="Arial"/>
                <w:sz w:val="18"/>
                <w:szCs w:val="18"/>
              </w:rPr>
              <w:t>10,722,126</w:t>
            </w:r>
          </w:p>
        </w:tc>
        <w:tc>
          <w:tcPr>
            <w:tcW w:w="1361" w:type="dxa"/>
            <w:tcBorders>
              <w:top w:val="nil"/>
              <w:left w:val="nil"/>
              <w:bottom w:val="nil"/>
              <w:right w:val="nil"/>
            </w:tcBorders>
            <w:shd w:val="clear" w:color="auto" w:fill="auto"/>
            <w:noWrap/>
            <w:vAlign w:val="bottom"/>
          </w:tcPr>
          <w:p w14:paraId="29A08042" w14:textId="6AD588E6" w:rsidR="00584325" w:rsidRPr="001D41EA" w:rsidRDefault="00584325" w:rsidP="001D41EA">
            <w:pPr>
              <w:spacing w:before="40" w:after="20"/>
              <w:jc w:val="right"/>
              <w:rPr>
                <w:rFonts w:cs="Arial"/>
                <w:sz w:val="18"/>
                <w:szCs w:val="18"/>
              </w:rPr>
            </w:pPr>
            <w:r w:rsidRPr="001D41EA">
              <w:rPr>
                <w:rFonts w:cs="Arial"/>
                <w:sz w:val="18"/>
                <w:szCs w:val="18"/>
              </w:rPr>
              <w:t>23,388,868</w:t>
            </w:r>
          </w:p>
        </w:tc>
        <w:tc>
          <w:tcPr>
            <w:tcW w:w="1361" w:type="dxa"/>
            <w:tcBorders>
              <w:top w:val="nil"/>
              <w:left w:val="nil"/>
              <w:bottom w:val="nil"/>
              <w:right w:val="nil"/>
            </w:tcBorders>
            <w:vAlign w:val="bottom"/>
          </w:tcPr>
          <w:p w14:paraId="0D651F79" w14:textId="1CF1BF8A" w:rsidR="00584325" w:rsidRPr="001D41EA" w:rsidRDefault="00584325" w:rsidP="001D41EA">
            <w:pPr>
              <w:spacing w:before="40" w:after="20"/>
              <w:jc w:val="right"/>
              <w:rPr>
                <w:rFonts w:cs="Arial"/>
                <w:sz w:val="18"/>
                <w:szCs w:val="18"/>
              </w:rPr>
            </w:pPr>
            <w:r w:rsidRPr="001D41EA">
              <w:rPr>
                <w:rFonts w:cs="Arial"/>
                <w:sz w:val="18"/>
                <w:szCs w:val="18"/>
              </w:rPr>
              <w:t>15,169,581</w:t>
            </w:r>
          </w:p>
        </w:tc>
        <w:tc>
          <w:tcPr>
            <w:tcW w:w="1361" w:type="dxa"/>
            <w:tcBorders>
              <w:top w:val="nil"/>
              <w:left w:val="nil"/>
              <w:bottom w:val="nil"/>
              <w:right w:val="nil"/>
            </w:tcBorders>
            <w:shd w:val="clear" w:color="auto" w:fill="auto"/>
            <w:noWrap/>
            <w:vAlign w:val="bottom"/>
          </w:tcPr>
          <w:p w14:paraId="7B7520F9" w14:textId="014DDED6" w:rsidR="00584325" w:rsidRPr="001D41EA" w:rsidRDefault="00584325" w:rsidP="001D41EA">
            <w:pPr>
              <w:spacing w:before="40" w:after="20"/>
              <w:jc w:val="right"/>
              <w:rPr>
                <w:rFonts w:cs="Arial"/>
                <w:b/>
                <w:sz w:val="18"/>
                <w:szCs w:val="18"/>
              </w:rPr>
            </w:pPr>
            <w:r w:rsidRPr="001D41EA">
              <w:rPr>
                <w:rFonts w:cs="Arial"/>
                <w:b/>
                <w:sz w:val="18"/>
                <w:szCs w:val="18"/>
              </w:rPr>
              <w:t>163,393,356</w:t>
            </w:r>
          </w:p>
        </w:tc>
      </w:tr>
      <w:tr w:rsidR="00584325" w:rsidRPr="001D41EA" w14:paraId="28421F3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8FAD690" w14:textId="77777777" w:rsidR="00584325" w:rsidRPr="001D41EA" w:rsidRDefault="00584325" w:rsidP="001D41EA">
            <w:pPr>
              <w:spacing w:before="40" w:after="20"/>
              <w:rPr>
                <w:rFonts w:cs="Arial"/>
                <w:sz w:val="18"/>
                <w:szCs w:val="18"/>
              </w:rPr>
            </w:pPr>
            <w:r w:rsidRPr="001D41EA">
              <w:rPr>
                <w:rFonts w:cs="Arial"/>
                <w:sz w:val="18"/>
                <w:szCs w:val="18"/>
              </w:rPr>
              <w:t>Mildura RC</w:t>
            </w:r>
          </w:p>
        </w:tc>
        <w:tc>
          <w:tcPr>
            <w:tcW w:w="1361" w:type="dxa"/>
            <w:tcBorders>
              <w:top w:val="nil"/>
              <w:left w:val="single" w:sz="18" w:space="0" w:color="5F497A" w:themeColor="accent4" w:themeShade="BF"/>
              <w:bottom w:val="nil"/>
              <w:right w:val="nil"/>
            </w:tcBorders>
            <w:shd w:val="clear" w:color="auto" w:fill="auto"/>
            <w:noWrap/>
            <w:vAlign w:val="bottom"/>
          </w:tcPr>
          <w:p w14:paraId="0A0624E3" w14:textId="236A7915" w:rsidR="00584325" w:rsidRPr="001D41EA" w:rsidRDefault="00584325" w:rsidP="001D41EA">
            <w:pPr>
              <w:spacing w:before="40" w:after="20"/>
              <w:jc w:val="right"/>
              <w:rPr>
                <w:rFonts w:cs="Arial"/>
                <w:sz w:val="18"/>
                <w:szCs w:val="18"/>
              </w:rPr>
            </w:pPr>
            <w:r w:rsidRPr="001D41EA">
              <w:rPr>
                <w:rFonts w:cs="Arial"/>
                <w:sz w:val="18"/>
                <w:szCs w:val="18"/>
              </w:rPr>
              <w:t>8,455,730</w:t>
            </w:r>
          </w:p>
        </w:tc>
        <w:tc>
          <w:tcPr>
            <w:tcW w:w="1361" w:type="dxa"/>
            <w:tcBorders>
              <w:top w:val="nil"/>
              <w:left w:val="nil"/>
              <w:bottom w:val="nil"/>
              <w:right w:val="nil"/>
            </w:tcBorders>
            <w:shd w:val="clear" w:color="auto" w:fill="auto"/>
            <w:noWrap/>
            <w:vAlign w:val="bottom"/>
          </w:tcPr>
          <w:p w14:paraId="28C1D263" w14:textId="46B3DD17" w:rsidR="00584325" w:rsidRPr="001D41EA" w:rsidRDefault="00584325" w:rsidP="001D41EA">
            <w:pPr>
              <w:spacing w:before="40" w:after="20"/>
              <w:jc w:val="right"/>
              <w:rPr>
                <w:rFonts w:cs="Arial"/>
                <w:sz w:val="18"/>
                <w:szCs w:val="18"/>
              </w:rPr>
            </w:pPr>
            <w:r w:rsidRPr="001D41EA">
              <w:rPr>
                <w:rFonts w:cs="Arial"/>
                <w:sz w:val="18"/>
                <w:szCs w:val="18"/>
              </w:rPr>
              <w:t>4,625,430</w:t>
            </w:r>
          </w:p>
        </w:tc>
        <w:tc>
          <w:tcPr>
            <w:tcW w:w="1361" w:type="dxa"/>
            <w:tcBorders>
              <w:top w:val="nil"/>
              <w:left w:val="nil"/>
              <w:bottom w:val="nil"/>
              <w:right w:val="nil"/>
            </w:tcBorders>
            <w:shd w:val="clear" w:color="auto" w:fill="auto"/>
            <w:noWrap/>
            <w:vAlign w:val="bottom"/>
          </w:tcPr>
          <w:p w14:paraId="2EB0E31A" w14:textId="7D35A51D" w:rsidR="00584325" w:rsidRPr="001D41EA" w:rsidRDefault="00584325" w:rsidP="001D41EA">
            <w:pPr>
              <w:spacing w:before="40" w:after="20"/>
              <w:jc w:val="right"/>
              <w:rPr>
                <w:rFonts w:cs="Arial"/>
                <w:sz w:val="18"/>
                <w:szCs w:val="18"/>
              </w:rPr>
            </w:pPr>
            <w:r w:rsidRPr="001D41EA">
              <w:rPr>
                <w:rFonts w:cs="Arial"/>
                <w:sz w:val="18"/>
                <w:szCs w:val="18"/>
              </w:rPr>
              <w:t>12,349,119</w:t>
            </w:r>
          </w:p>
        </w:tc>
        <w:tc>
          <w:tcPr>
            <w:tcW w:w="1361" w:type="dxa"/>
            <w:tcBorders>
              <w:top w:val="nil"/>
              <w:left w:val="nil"/>
              <w:bottom w:val="nil"/>
              <w:right w:val="nil"/>
            </w:tcBorders>
            <w:vAlign w:val="bottom"/>
          </w:tcPr>
          <w:p w14:paraId="53052CB1" w14:textId="0E0C4552" w:rsidR="00584325" w:rsidRPr="001D41EA" w:rsidRDefault="00584325" w:rsidP="001D41EA">
            <w:pPr>
              <w:spacing w:before="40" w:after="20"/>
              <w:jc w:val="right"/>
              <w:rPr>
                <w:rFonts w:cs="Arial"/>
                <w:sz w:val="18"/>
                <w:szCs w:val="18"/>
              </w:rPr>
            </w:pPr>
            <w:r w:rsidRPr="001D41EA">
              <w:rPr>
                <w:rFonts w:cs="Arial"/>
                <w:sz w:val="18"/>
                <w:szCs w:val="18"/>
              </w:rPr>
              <w:t>30,286,877</w:t>
            </w:r>
          </w:p>
        </w:tc>
        <w:tc>
          <w:tcPr>
            <w:tcW w:w="1361" w:type="dxa"/>
            <w:tcBorders>
              <w:top w:val="nil"/>
              <w:left w:val="nil"/>
              <w:bottom w:val="nil"/>
              <w:right w:val="nil"/>
            </w:tcBorders>
            <w:shd w:val="clear" w:color="auto" w:fill="auto"/>
            <w:noWrap/>
            <w:vAlign w:val="bottom"/>
          </w:tcPr>
          <w:p w14:paraId="089070C0" w14:textId="07CC10F7" w:rsidR="00584325" w:rsidRPr="001D41EA" w:rsidRDefault="00584325" w:rsidP="001D41EA">
            <w:pPr>
              <w:spacing w:before="40" w:after="20"/>
              <w:jc w:val="right"/>
              <w:rPr>
                <w:rFonts w:cs="Arial"/>
                <w:b/>
                <w:sz w:val="18"/>
                <w:szCs w:val="18"/>
              </w:rPr>
            </w:pPr>
            <w:r w:rsidRPr="001D41EA">
              <w:rPr>
                <w:rFonts w:cs="Arial"/>
                <w:b/>
                <w:sz w:val="18"/>
                <w:szCs w:val="18"/>
              </w:rPr>
              <w:t>101,420,922</w:t>
            </w:r>
          </w:p>
        </w:tc>
      </w:tr>
      <w:tr w:rsidR="00584325" w:rsidRPr="001D41EA" w14:paraId="357A91E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BB33913" w14:textId="77777777" w:rsidR="00584325" w:rsidRPr="001D41EA" w:rsidRDefault="00584325" w:rsidP="001D41EA">
            <w:pPr>
              <w:spacing w:before="40" w:after="20"/>
              <w:rPr>
                <w:rFonts w:cs="Arial"/>
                <w:sz w:val="18"/>
                <w:szCs w:val="18"/>
              </w:rPr>
            </w:pPr>
            <w:r w:rsidRPr="001D41EA">
              <w:rPr>
                <w:rFonts w:cs="Arial"/>
                <w:sz w:val="18"/>
                <w:szCs w:val="18"/>
              </w:rPr>
              <w:t>Mitchell S</w:t>
            </w:r>
          </w:p>
        </w:tc>
        <w:tc>
          <w:tcPr>
            <w:tcW w:w="1361" w:type="dxa"/>
            <w:tcBorders>
              <w:top w:val="nil"/>
              <w:left w:val="single" w:sz="18" w:space="0" w:color="5F497A" w:themeColor="accent4" w:themeShade="BF"/>
              <w:bottom w:val="nil"/>
              <w:right w:val="nil"/>
            </w:tcBorders>
            <w:shd w:val="clear" w:color="auto" w:fill="auto"/>
            <w:noWrap/>
            <w:vAlign w:val="bottom"/>
          </w:tcPr>
          <w:p w14:paraId="75A15010" w14:textId="3AB393B8" w:rsidR="00584325" w:rsidRPr="001D41EA" w:rsidRDefault="00584325" w:rsidP="001D41EA">
            <w:pPr>
              <w:spacing w:before="40" w:after="20"/>
              <w:jc w:val="right"/>
              <w:rPr>
                <w:rFonts w:cs="Arial"/>
                <w:sz w:val="18"/>
                <w:szCs w:val="18"/>
              </w:rPr>
            </w:pPr>
            <w:r w:rsidRPr="001D41EA">
              <w:rPr>
                <w:rFonts w:cs="Arial"/>
                <w:sz w:val="18"/>
                <w:szCs w:val="18"/>
              </w:rPr>
              <w:t>6,135,407</w:t>
            </w:r>
          </w:p>
        </w:tc>
        <w:tc>
          <w:tcPr>
            <w:tcW w:w="1361" w:type="dxa"/>
            <w:tcBorders>
              <w:top w:val="nil"/>
              <w:left w:val="nil"/>
              <w:bottom w:val="nil"/>
              <w:right w:val="nil"/>
            </w:tcBorders>
            <w:shd w:val="clear" w:color="auto" w:fill="auto"/>
            <w:noWrap/>
            <w:vAlign w:val="bottom"/>
          </w:tcPr>
          <w:p w14:paraId="48895E90" w14:textId="1636D855" w:rsidR="00584325" w:rsidRPr="001D41EA" w:rsidRDefault="00584325" w:rsidP="001D41EA">
            <w:pPr>
              <w:spacing w:before="40" w:after="20"/>
              <w:jc w:val="right"/>
              <w:rPr>
                <w:rFonts w:cs="Arial"/>
                <w:sz w:val="18"/>
                <w:szCs w:val="18"/>
              </w:rPr>
            </w:pPr>
            <w:r w:rsidRPr="001D41EA">
              <w:rPr>
                <w:rFonts w:cs="Arial"/>
                <w:sz w:val="18"/>
                <w:szCs w:val="18"/>
              </w:rPr>
              <w:t>3,550,096</w:t>
            </w:r>
          </w:p>
        </w:tc>
        <w:tc>
          <w:tcPr>
            <w:tcW w:w="1361" w:type="dxa"/>
            <w:tcBorders>
              <w:top w:val="nil"/>
              <w:left w:val="nil"/>
              <w:bottom w:val="nil"/>
              <w:right w:val="nil"/>
            </w:tcBorders>
            <w:shd w:val="clear" w:color="auto" w:fill="auto"/>
            <w:noWrap/>
            <w:vAlign w:val="bottom"/>
          </w:tcPr>
          <w:p w14:paraId="58FD91C1" w14:textId="5115EA3A" w:rsidR="00584325" w:rsidRPr="001D41EA" w:rsidRDefault="00584325" w:rsidP="001D41EA">
            <w:pPr>
              <w:spacing w:before="40" w:after="20"/>
              <w:jc w:val="right"/>
              <w:rPr>
                <w:rFonts w:cs="Arial"/>
                <w:sz w:val="18"/>
                <w:szCs w:val="18"/>
              </w:rPr>
            </w:pPr>
            <w:r w:rsidRPr="001D41EA">
              <w:rPr>
                <w:rFonts w:cs="Arial"/>
                <w:sz w:val="18"/>
                <w:szCs w:val="18"/>
              </w:rPr>
              <w:t>7,860,565</w:t>
            </w:r>
          </w:p>
        </w:tc>
        <w:tc>
          <w:tcPr>
            <w:tcW w:w="1361" w:type="dxa"/>
            <w:tcBorders>
              <w:top w:val="nil"/>
              <w:left w:val="nil"/>
              <w:bottom w:val="nil"/>
              <w:right w:val="nil"/>
            </w:tcBorders>
            <w:vAlign w:val="bottom"/>
          </w:tcPr>
          <w:p w14:paraId="12CD71FB" w14:textId="50C7997F" w:rsidR="00584325" w:rsidRPr="001D41EA" w:rsidRDefault="00584325" w:rsidP="001D41EA">
            <w:pPr>
              <w:spacing w:before="40" w:after="20"/>
              <w:jc w:val="right"/>
              <w:rPr>
                <w:rFonts w:cs="Arial"/>
                <w:sz w:val="18"/>
                <w:szCs w:val="18"/>
              </w:rPr>
            </w:pPr>
            <w:r w:rsidRPr="001D41EA">
              <w:rPr>
                <w:rFonts w:cs="Arial"/>
                <w:sz w:val="18"/>
                <w:szCs w:val="18"/>
              </w:rPr>
              <w:t>13,895,769</w:t>
            </w:r>
          </w:p>
        </w:tc>
        <w:tc>
          <w:tcPr>
            <w:tcW w:w="1361" w:type="dxa"/>
            <w:tcBorders>
              <w:top w:val="nil"/>
              <w:left w:val="nil"/>
              <w:bottom w:val="nil"/>
              <w:right w:val="nil"/>
            </w:tcBorders>
            <w:shd w:val="clear" w:color="auto" w:fill="auto"/>
            <w:noWrap/>
            <w:vAlign w:val="bottom"/>
          </w:tcPr>
          <w:p w14:paraId="6E9A6DFE" w14:textId="14588298" w:rsidR="00584325" w:rsidRPr="001D41EA" w:rsidRDefault="00584325" w:rsidP="001D41EA">
            <w:pPr>
              <w:spacing w:before="40" w:after="20"/>
              <w:jc w:val="right"/>
              <w:rPr>
                <w:rFonts w:cs="Arial"/>
                <w:b/>
                <w:sz w:val="18"/>
                <w:szCs w:val="18"/>
              </w:rPr>
            </w:pPr>
            <w:r w:rsidRPr="001D41EA">
              <w:rPr>
                <w:rFonts w:cs="Arial"/>
                <w:b/>
                <w:sz w:val="18"/>
                <w:szCs w:val="18"/>
              </w:rPr>
              <w:t>62,998,098</w:t>
            </w:r>
          </w:p>
        </w:tc>
      </w:tr>
      <w:tr w:rsidR="00584325" w:rsidRPr="001D41EA" w14:paraId="0202F3A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A3B07BB" w14:textId="77777777" w:rsidR="00584325" w:rsidRPr="001D41EA" w:rsidRDefault="00584325" w:rsidP="001D41EA">
            <w:pPr>
              <w:spacing w:before="40" w:after="20"/>
              <w:rPr>
                <w:rFonts w:cs="Arial"/>
                <w:sz w:val="18"/>
                <w:szCs w:val="18"/>
              </w:rPr>
            </w:pPr>
            <w:r w:rsidRPr="001D41EA">
              <w:rPr>
                <w:rFonts w:cs="Arial"/>
                <w:sz w:val="18"/>
                <w:szCs w:val="18"/>
              </w:rPr>
              <w:t>Moira S</w:t>
            </w:r>
          </w:p>
        </w:tc>
        <w:tc>
          <w:tcPr>
            <w:tcW w:w="1361" w:type="dxa"/>
            <w:tcBorders>
              <w:top w:val="nil"/>
              <w:left w:val="single" w:sz="18" w:space="0" w:color="5F497A" w:themeColor="accent4" w:themeShade="BF"/>
              <w:bottom w:val="nil"/>
              <w:right w:val="nil"/>
            </w:tcBorders>
            <w:shd w:val="clear" w:color="auto" w:fill="auto"/>
            <w:noWrap/>
            <w:vAlign w:val="bottom"/>
          </w:tcPr>
          <w:p w14:paraId="05A4641C" w14:textId="2296B273" w:rsidR="00584325" w:rsidRPr="001D41EA" w:rsidRDefault="00584325" w:rsidP="001D41EA">
            <w:pPr>
              <w:spacing w:before="40" w:after="20"/>
              <w:jc w:val="right"/>
              <w:rPr>
                <w:rFonts w:cs="Arial"/>
                <w:sz w:val="18"/>
                <w:szCs w:val="18"/>
              </w:rPr>
            </w:pPr>
            <w:r w:rsidRPr="001D41EA">
              <w:rPr>
                <w:rFonts w:cs="Arial"/>
                <w:sz w:val="18"/>
                <w:szCs w:val="18"/>
              </w:rPr>
              <w:t>4,136,627</w:t>
            </w:r>
          </w:p>
        </w:tc>
        <w:tc>
          <w:tcPr>
            <w:tcW w:w="1361" w:type="dxa"/>
            <w:tcBorders>
              <w:top w:val="nil"/>
              <w:left w:val="nil"/>
              <w:bottom w:val="nil"/>
              <w:right w:val="nil"/>
            </w:tcBorders>
            <w:shd w:val="clear" w:color="auto" w:fill="auto"/>
            <w:noWrap/>
            <w:vAlign w:val="bottom"/>
          </w:tcPr>
          <w:p w14:paraId="0EA12B1D" w14:textId="0A48A638" w:rsidR="00584325" w:rsidRPr="001D41EA" w:rsidRDefault="00584325" w:rsidP="001D41EA">
            <w:pPr>
              <w:spacing w:before="40" w:after="20"/>
              <w:jc w:val="right"/>
              <w:rPr>
                <w:rFonts w:cs="Arial"/>
                <w:sz w:val="18"/>
                <w:szCs w:val="18"/>
              </w:rPr>
            </w:pPr>
            <w:r w:rsidRPr="001D41EA">
              <w:rPr>
                <w:rFonts w:cs="Arial"/>
                <w:sz w:val="18"/>
                <w:szCs w:val="18"/>
              </w:rPr>
              <w:t>2,592,520</w:t>
            </w:r>
          </w:p>
        </w:tc>
        <w:tc>
          <w:tcPr>
            <w:tcW w:w="1361" w:type="dxa"/>
            <w:tcBorders>
              <w:top w:val="nil"/>
              <w:left w:val="nil"/>
              <w:bottom w:val="nil"/>
              <w:right w:val="nil"/>
            </w:tcBorders>
            <w:shd w:val="clear" w:color="auto" w:fill="auto"/>
            <w:noWrap/>
            <w:vAlign w:val="bottom"/>
          </w:tcPr>
          <w:p w14:paraId="57FFC011" w14:textId="201D6DEA" w:rsidR="00584325" w:rsidRPr="001D41EA" w:rsidRDefault="00584325" w:rsidP="001D41EA">
            <w:pPr>
              <w:spacing w:before="40" w:after="20"/>
              <w:jc w:val="right"/>
              <w:rPr>
                <w:rFonts w:cs="Arial"/>
                <w:sz w:val="18"/>
                <w:szCs w:val="18"/>
              </w:rPr>
            </w:pPr>
            <w:r w:rsidRPr="001D41EA">
              <w:rPr>
                <w:rFonts w:cs="Arial"/>
                <w:sz w:val="18"/>
                <w:szCs w:val="18"/>
              </w:rPr>
              <w:t>5,729,938</w:t>
            </w:r>
          </w:p>
        </w:tc>
        <w:tc>
          <w:tcPr>
            <w:tcW w:w="1361" w:type="dxa"/>
            <w:tcBorders>
              <w:top w:val="nil"/>
              <w:left w:val="nil"/>
              <w:bottom w:val="nil"/>
              <w:right w:val="nil"/>
            </w:tcBorders>
            <w:vAlign w:val="bottom"/>
          </w:tcPr>
          <w:p w14:paraId="09781F6D" w14:textId="240E6CFF" w:rsidR="00584325" w:rsidRPr="001D41EA" w:rsidRDefault="00584325" w:rsidP="001D41EA">
            <w:pPr>
              <w:spacing w:before="40" w:after="20"/>
              <w:jc w:val="right"/>
              <w:rPr>
                <w:rFonts w:cs="Arial"/>
                <w:sz w:val="18"/>
                <w:szCs w:val="18"/>
              </w:rPr>
            </w:pPr>
            <w:r w:rsidRPr="001D41EA">
              <w:rPr>
                <w:rFonts w:cs="Arial"/>
                <w:sz w:val="18"/>
                <w:szCs w:val="18"/>
              </w:rPr>
              <w:t>28,427,669</w:t>
            </w:r>
          </w:p>
        </w:tc>
        <w:tc>
          <w:tcPr>
            <w:tcW w:w="1361" w:type="dxa"/>
            <w:tcBorders>
              <w:top w:val="nil"/>
              <w:left w:val="nil"/>
              <w:bottom w:val="nil"/>
              <w:right w:val="nil"/>
            </w:tcBorders>
            <w:shd w:val="clear" w:color="auto" w:fill="auto"/>
            <w:noWrap/>
            <w:vAlign w:val="bottom"/>
          </w:tcPr>
          <w:p w14:paraId="605A4481" w14:textId="587834F2" w:rsidR="00584325" w:rsidRPr="001D41EA" w:rsidRDefault="00584325" w:rsidP="001D41EA">
            <w:pPr>
              <w:spacing w:before="40" w:after="20"/>
              <w:jc w:val="right"/>
              <w:rPr>
                <w:rFonts w:cs="Arial"/>
                <w:b/>
                <w:sz w:val="18"/>
                <w:szCs w:val="18"/>
              </w:rPr>
            </w:pPr>
            <w:r w:rsidRPr="001D41EA">
              <w:rPr>
                <w:rFonts w:cs="Arial"/>
                <w:b/>
                <w:sz w:val="18"/>
                <w:szCs w:val="18"/>
              </w:rPr>
              <w:t>65,782,527</w:t>
            </w:r>
          </w:p>
        </w:tc>
      </w:tr>
      <w:tr w:rsidR="00584325" w:rsidRPr="001D41EA" w14:paraId="4CDB411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64987D6" w14:textId="77777777" w:rsidR="00584325" w:rsidRPr="001D41EA" w:rsidRDefault="00584325" w:rsidP="001D41EA">
            <w:pPr>
              <w:spacing w:before="40" w:after="20"/>
              <w:rPr>
                <w:rFonts w:cs="Arial"/>
                <w:sz w:val="18"/>
                <w:szCs w:val="18"/>
              </w:rPr>
            </w:pPr>
            <w:r w:rsidRPr="001D41EA">
              <w:rPr>
                <w:rFonts w:cs="Arial"/>
                <w:sz w:val="18"/>
                <w:szCs w:val="18"/>
              </w:rPr>
              <w:t>Monash C</w:t>
            </w:r>
          </w:p>
        </w:tc>
        <w:tc>
          <w:tcPr>
            <w:tcW w:w="1361" w:type="dxa"/>
            <w:tcBorders>
              <w:top w:val="nil"/>
              <w:left w:val="single" w:sz="18" w:space="0" w:color="5F497A" w:themeColor="accent4" w:themeShade="BF"/>
              <w:bottom w:val="nil"/>
              <w:right w:val="nil"/>
            </w:tcBorders>
            <w:shd w:val="clear" w:color="auto" w:fill="auto"/>
            <w:noWrap/>
            <w:vAlign w:val="bottom"/>
          </w:tcPr>
          <w:p w14:paraId="0DECEB7F" w14:textId="16941E9A" w:rsidR="00584325" w:rsidRPr="001D41EA" w:rsidRDefault="00584325" w:rsidP="001D41EA">
            <w:pPr>
              <w:spacing w:before="40" w:after="20"/>
              <w:jc w:val="right"/>
              <w:rPr>
                <w:rFonts w:cs="Arial"/>
                <w:sz w:val="18"/>
                <w:szCs w:val="18"/>
              </w:rPr>
            </w:pPr>
            <w:r w:rsidRPr="001D41EA">
              <w:rPr>
                <w:rFonts w:cs="Arial"/>
                <w:sz w:val="18"/>
                <w:szCs w:val="18"/>
              </w:rPr>
              <w:t>27,975,350</w:t>
            </w:r>
          </w:p>
        </w:tc>
        <w:tc>
          <w:tcPr>
            <w:tcW w:w="1361" w:type="dxa"/>
            <w:tcBorders>
              <w:top w:val="nil"/>
              <w:left w:val="nil"/>
              <w:bottom w:val="nil"/>
              <w:right w:val="nil"/>
            </w:tcBorders>
            <w:shd w:val="clear" w:color="auto" w:fill="auto"/>
            <w:noWrap/>
            <w:vAlign w:val="bottom"/>
          </w:tcPr>
          <w:p w14:paraId="55132DF1" w14:textId="4B66C8FF" w:rsidR="00584325" w:rsidRPr="001D41EA" w:rsidRDefault="00584325" w:rsidP="001D41EA">
            <w:pPr>
              <w:spacing w:before="40" w:after="20"/>
              <w:jc w:val="right"/>
              <w:rPr>
                <w:rFonts w:cs="Arial"/>
                <w:sz w:val="18"/>
                <w:szCs w:val="18"/>
              </w:rPr>
            </w:pPr>
            <w:r w:rsidRPr="001D41EA">
              <w:rPr>
                <w:rFonts w:cs="Arial"/>
                <w:sz w:val="18"/>
                <w:szCs w:val="18"/>
              </w:rPr>
              <w:t>11,960,685</w:t>
            </w:r>
          </w:p>
        </w:tc>
        <w:tc>
          <w:tcPr>
            <w:tcW w:w="1361" w:type="dxa"/>
            <w:tcBorders>
              <w:top w:val="nil"/>
              <w:left w:val="nil"/>
              <w:bottom w:val="nil"/>
              <w:right w:val="nil"/>
            </w:tcBorders>
            <w:shd w:val="clear" w:color="auto" w:fill="auto"/>
            <w:noWrap/>
            <w:vAlign w:val="bottom"/>
          </w:tcPr>
          <w:p w14:paraId="5BD66957" w14:textId="4139AA51" w:rsidR="00584325" w:rsidRPr="001D41EA" w:rsidRDefault="00584325" w:rsidP="001D41EA">
            <w:pPr>
              <w:spacing w:before="40" w:after="20"/>
              <w:jc w:val="right"/>
              <w:rPr>
                <w:rFonts w:cs="Arial"/>
                <w:sz w:val="18"/>
                <w:szCs w:val="18"/>
              </w:rPr>
            </w:pPr>
            <w:r w:rsidRPr="001D41EA">
              <w:rPr>
                <w:rFonts w:cs="Arial"/>
                <w:sz w:val="18"/>
                <w:szCs w:val="18"/>
              </w:rPr>
              <w:t>34,104,762</w:t>
            </w:r>
          </w:p>
        </w:tc>
        <w:tc>
          <w:tcPr>
            <w:tcW w:w="1361" w:type="dxa"/>
            <w:tcBorders>
              <w:top w:val="nil"/>
              <w:left w:val="nil"/>
              <w:bottom w:val="nil"/>
              <w:right w:val="nil"/>
            </w:tcBorders>
            <w:vAlign w:val="bottom"/>
          </w:tcPr>
          <w:p w14:paraId="4B9412EF" w14:textId="5C47AA6F" w:rsidR="00584325" w:rsidRPr="001D41EA" w:rsidRDefault="00584325" w:rsidP="001D41EA">
            <w:pPr>
              <w:spacing w:before="40" w:after="20"/>
              <w:jc w:val="right"/>
              <w:rPr>
                <w:rFonts w:cs="Arial"/>
                <w:sz w:val="18"/>
                <w:szCs w:val="18"/>
              </w:rPr>
            </w:pPr>
            <w:r w:rsidRPr="001D41EA">
              <w:rPr>
                <w:rFonts w:cs="Arial"/>
                <w:sz w:val="18"/>
                <w:szCs w:val="18"/>
              </w:rPr>
              <w:t>9,021,528</w:t>
            </w:r>
          </w:p>
        </w:tc>
        <w:tc>
          <w:tcPr>
            <w:tcW w:w="1361" w:type="dxa"/>
            <w:tcBorders>
              <w:top w:val="nil"/>
              <w:left w:val="nil"/>
              <w:bottom w:val="nil"/>
              <w:right w:val="nil"/>
            </w:tcBorders>
            <w:shd w:val="clear" w:color="auto" w:fill="auto"/>
            <w:noWrap/>
            <w:vAlign w:val="bottom"/>
          </w:tcPr>
          <w:p w14:paraId="0AA73CFC" w14:textId="44624954" w:rsidR="00584325" w:rsidRPr="001D41EA" w:rsidRDefault="00584325" w:rsidP="001D41EA">
            <w:pPr>
              <w:spacing w:before="40" w:after="20"/>
              <w:jc w:val="right"/>
              <w:rPr>
                <w:rFonts w:cs="Arial"/>
                <w:b/>
                <w:sz w:val="18"/>
                <w:szCs w:val="18"/>
              </w:rPr>
            </w:pPr>
            <w:r w:rsidRPr="001D41EA">
              <w:rPr>
                <w:rFonts w:cs="Arial"/>
                <w:b/>
                <w:sz w:val="18"/>
                <w:szCs w:val="18"/>
              </w:rPr>
              <w:t>209,920,707</w:t>
            </w:r>
          </w:p>
        </w:tc>
      </w:tr>
      <w:tr w:rsidR="00584325" w:rsidRPr="001D41EA" w14:paraId="319C974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25C5238" w14:textId="77777777" w:rsidR="00584325" w:rsidRPr="001D41EA" w:rsidRDefault="00584325" w:rsidP="001D41EA">
            <w:pPr>
              <w:spacing w:before="40" w:after="20"/>
              <w:rPr>
                <w:rFonts w:cs="Arial"/>
                <w:sz w:val="18"/>
                <w:szCs w:val="18"/>
              </w:rPr>
            </w:pPr>
            <w:r w:rsidRPr="001D41EA">
              <w:rPr>
                <w:rFonts w:cs="Arial"/>
                <w:sz w:val="18"/>
                <w:szCs w:val="18"/>
              </w:rPr>
              <w:t>Moonee Valley C</w:t>
            </w:r>
          </w:p>
        </w:tc>
        <w:tc>
          <w:tcPr>
            <w:tcW w:w="1361" w:type="dxa"/>
            <w:tcBorders>
              <w:top w:val="nil"/>
              <w:left w:val="single" w:sz="18" w:space="0" w:color="5F497A" w:themeColor="accent4" w:themeShade="BF"/>
              <w:bottom w:val="nil"/>
              <w:right w:val="nil"/>
            </w:tcBorders>
            <w:shd w:val="clear" w:color="auto" w:fill="auto"/>
            <w:noWrap/>
            <w:vAlign w:val="bottom"/>
          </w:tcPr>
          <w:p w14:paraId="7ACAD96D" w14:textId="09A3EFAA" w:rsidR="00584325" w:rsidRPr="001D41EA" w:rsidRDefault="00584325" w:rsidP="001D41EA">
            <w:pPr>
              <w:spacing w:before="40" w:after="20"/>
              <w:jc w:val="right"/>
              <w:rPr>
                <w:rFonts w:cs="Arial"/>
                <w:sz w:val="18"/>
                <w:szCs w:val="18"/>
              </w:rPr>
            </w:pPr>
            <w:r w:rsidRPr="001D41EA">
              <w:rPr>
                <w:rFonts w:cs="Arial"/>
                <w:sz w:val="18"/>
                <w:szCs w:val="18"/>
              </w:rPr>
              <w:t>16,033,596</w:t>
            </w:r>
          </w:p>
        </w:tc>
        <w:tc>
          <w:tcPr>
            <w:tcW w:w="1361" w:type="dxa"/>
            <w:tcBorders>
              <w:top w:val="nil"/>
              <w:left w:val="nil"/>
              <w:bottom w:val="nil"/>
              <w:right w:val="nil"/>
            </w:tcBorders>
            <w:shd w:val="clear" w:color="auto" w:fill="auto"/>
            <w:noWrap/>
            <w:vAlign w:val="bottom"/>
          </w:tcPr>
          <w:p w14:paraId="53041572" w14:textId="712DFF8E" w:rsidR="00584325" w:rsidRPr="001D41EA" w:rsidRDefault="00584325" w:rsidP="001D41EA">
            <w:pPr>
              <w:spacing w:before="40" w:after="20"/>
              <w:jc w:val="right"/>
              <w:rPr>
                <w:rFonts w:cs="Arial"/>
                <w:sz w:val="18"/>
                <w:szCs w:val="18"/>
              </w:rPr>
            </w:pPr>
            <w:r w:rsidRPr="001D41EA">
              <w:rPr>
                <w:rFonts w:cs="Arial"/>
                <w:sz w:val="18"/>
                <w:szCs w:val="18"/>
              </w:rPr>
              <w:t>7,800,262</w:t>
            </w:r>
          </w:p>
        </w:tc>
        <w:tc>
          <w:tcPr>
            <w:tcW w:w="1361" w:type="dxa"/>
            <w:tcBorders>
              <w:top w:val="nil"/>
              <w:left w:val="nil"/>
              <w:bottom w:val="nil"/>
              <w:right w:val="nil"/>
            </w:tcBorders>
            <w:shd w:val="clear" w:color="auto" w:fill="auto"/>
            <w:noWrap/>
            <w:vAlign w:val="bottom"/>
          </w:tcPr>
          <w:p w14:paraId="5EB79127" w14:textId="0CB1F0A3" w:rsidR="00584325" w:rsidRPr="001D41EA" w:rsidRDefault="00584325" w:rsidP="001D41EA">
            <w:pPr>
              <w:spacing w:before="40" w:after="20"/>
              <w:jc w:val="right"/>
              <w:rPr>
                <w:rFonts w:cs="Arial"/>
                <w:sz w:val="18"/>
                <w:szCs w:val="18"/>
              </w:rPr>
            </w:pPr>
            <w:r w:rsidRPr="001D41EA">
              <w:rPr>
                <w:rFonts w:cs="Arial"/>
                <w:sz w:val="18"/>
                <w:szCs w:val="18"/>
              </w:rPr>
              <w:t>20,432,300</w:t>
            </w:r>
          </w:p>
        </w:tc>
        <w:tc>
          <w:tcPr>
            <w:tcW w:w="1361" w:type="dxa"/>
            <w:tcBorders>
              <w:top w:val="nil"/>
              <w:left w:val="nil"/>
              <w:bottom w:val="nil"/>
              <w:right w:val="nil"/>
            </w:tcBorders>
            <w:vAlign w:val="bottom"/>
          </w:tcPr>
          <w:p w14:paraId="43485DBC" w14:textId="21694F0B" w:rsidR="00584325" w:rsidRPr="001D41EA" w:rsidRDefault="00584325" w:rsidP="001D41EA">
            <w:pPr>
              <w:spacing w:before="40" w:after="20"/>
              <w:jc w:val="right"/>
              <w:rPr>
                <w:rFonts w:cs="Arial"/>
                <w:sz w:val="18"/>
                <w:szCs w:val="18"/>
              </w:rPr>
            </w:pPr>
            <w:r w:rsidRPr="001D41EA">
              <w:rPr>
                <w:rFonts w:cs="Arial"/>
                <w:sz w:val="18"/>
                <w:szCs w:val="18"/>
              </w:rPr>
              <w:t>5,157,587</w:t>
            </w:r>
          </w:p>
        </w:tc>
        <w:tc>
          <w:tcPr>
            <w:tcW w:w="1361" w:type="dxa"/>
            <w:tcBorders>
              <w:top w:val="nil"/>
              <w:left w:val="nil"/>
              <w:bottom w:val="nil"/>
              <w:right w:val="nil"/>
            </w:tcBorders>
            <w:shd w:val="clear" w:color="auto" w:fill="auto"/>
            <w:noWrap/>
            <w:vAlign w:val="bottom"/>
          </w:tcPr>
          <w:p w14:paraId="4A40C399" w14:textId="600A2AD1" w:rsidR="00584325" w:rsidRPr="001D41EA" w:rsidRDefault="00584325" w:rsidP="001D41EA">
            <w:pPr>
              <w:spacing w:before="40" w:after="20"/>
              <w:jc w:val="right"/>
              <w:rPr>
                <w:rFonts w:cs="Arial"/>
                <w:b/>
                <w:sz w:val="18"/>
                <w:szCs w:val="18"/>
              </w:rPr>
            </w:pPr>
            <w:r w:rsidRPr="001D41EA">
              <w:rPr>
                <w:rFonts w:cs="Arial"/>
                <w:b/>
                <w:sz w:val="18"/>
                <w:szCs w:val="18"/>
              </w:rPr>
              <w:t>125,645,841</w:t>
            </w:r>
          </w:p>
        </w:tc>
      </w:tr>
      <w:tr w:rsidR="00584325" w:rsidRPr="001D41EA" w14:paraId="67DB5491" w14:textId="77777777" w:rsidTr="00CA09E3">
        <w:trPr>
          <w:trHeight w:val="80"/>
        </w:trPr>
        <w:tc>
          <w:tcPr>
            <w:tcW w:w="2268" w:type="dxa"/>
            <w:tcBorders>
              <w:top w:val="nil"/>
              <w:left w:val="nil"/>
              <w:bottom w:val="nil"/>
              <w:right w:val="single" w:sz="18" w:space="0" w:color="5F497A" w:themeColor="accent4" w:themeShade="BF"/>
            </w:tcBorders>
            <w:shd w:val="clear" w:color="auto" w:fill="auto"/>
            <w:noWrap/>
            <w:vAlign w:val="center"/>
          </w:tcPr>
          <w:p w14:paraId="5F655331" w14:textId="77777777" w:rsidR="00584325" w:rsidRPr="001D41EA" w:rsidRDefault="00584325" w:rsidP="001D41EA">
            <w:pPr>
              <w:spacing w:before="40" w:after="20"/>
              <w:rPr>
                <w:rFonts w:cs="Arial"/>
                <w:sz w:val="18"/>
                <w:szCs w:val="18"/>
              </w:rPr>
            </w:pPr>
            <w:r w:rsidRPr="001D41EA">
              <w:rPr>
                <w:rFonts w:cs="Arial"/>
                <w:sz w:val="18"/>
                <w:szCs w:val="18"/>
              </w:rPr>
              <w:t>Moorabool S</w:t>
            </w:r>
          </w:p>
        </w:tc>
        <w:tc>
          <w:tcPr>
            <w:tcW w:w="1361" w:type="dxa"/>
            <w:tcBorders>
              <w:top w:val="nil"/>
              <w:left w:val="single" w:sz="18" w:space="0" w:color="5F497A" w:themeColor="accent4" w:themeShade="BF"/>
              <w:bottom w:val="nil"/>
              <w:right w:val="nil"/>
            </w:tcBorders>
            <w:shd w:val="clear" w:color="auto" w:fill="auto"/>
            <w:noWrap/>
            <w:vAlign w:val="bottom"/>
          </w:tcPr>
          <w:p w14:paraId="4D35600F" w14:textId="01197B42" w:rsidR="00584325" w:rsidRPr="001D41EA" w:rsidRDefault="00584325" w:rsidP="001D41EA">
            <w:pPr>
              <w:spacing w:before="40" w:after="20"/>
              <w:jc w:val="right"/>
              <w:rPr>
                <w:rFonts w:cs="Arial"/>
                <w:sz w:val="18"/>
                <w:szCs w:val="18"/>
              </w:rPr>
            </w:pPr>
            <w:r w:rsidRPr="001D41EA">
              <w:rPr>
                <w:rFonts w:cs="Arial"/>
                <w:sz w:val="18"/>
                <w:szCs w:val="18"/>
              </w:rPr>
              <w:t>4,421,154</w:t>
            </w:r>
          </w:p>
        </w:tc>
        <w:tc>
          <w:tcPr>
            <w:tcW w:w="1361" w:type="dxa"/>
            <w:tcBorders>
              <w:top w:val="nil"/>
              <w:left w:val="nil"/>
              <w:bottom w:val="nil"/>
              <w:right w:val="nil"/>
            </w:tcBorders>
            <w:shd w:val="clear" w:color="auto" w:fill="auto"/>
            <w:noWrap/>
            <w:vAlign w:val="bottom"/>
          </w:tcPr>
          <w:p w14:paraId="13B2F073" w14:textId="499A3299" w:rsidR="00584325" w:rsidRPr="001D41EA" w:rsidRDefault="00584325" w:rsidP="001D41EA">
            <w:pPr>
              <w:spacing w:before="40" w:after="20"/>
              <w:jc w:val="right"/>
              <w:rPr>
                <w:rFonts w:cs="Arial"/>
                <w:sz w:val="18"/>
                <w:szCs w:val="18"/>
              </w:rPr>
            </w:pPr>
            <w:r w:rsidRPr="001D41EA">
              <w:rPr>
                <w:rFonts w:cs="Arial"/>
                <w:sz w:val="18"/>
                <w:szCs w:val="18"/>
              </w:rPr>
              <w:t>2,733,754</w:t>
            </w:r>
          </w:p>
        </w:tc>
        <w:tc>
          <w:tcPr>
            <w:tcW w:w="1361" w:type="dxa"/>
            <w:tcBorders>
              <w:top w:val="nil"/>
              <w:left w:val="nil"/>
              <w:bottom w:val="nil"/>
              <w:right w:val="nil"/>
            </w:tcBorders>
            <w:shd w:val="clear" w:color="auto" w:fill="auto"/>
            <w:noWrap/>
            <w:vAlign w:val="bottom"/>
          </w:tcPr>
          <w:p w14:paraId="52BF2CD0" w14:textId="3B93E416" w:rsidR="00584325" w:rsidRPr="001D41EA" w:rsidRDefault="00584325" w:rsidP="001D41EA">
            <w:pPr>
              <w:spacing w:before="40" w:after="20"/>
              <w:jc w:val="right"/>
              <w:rPr>
                <w:rFonts w:cs="Arial"/>
                <w:sz w:val="18"/>
                <w:szCs w:val="18"/>
              </w:rPr>
            </w:pPr>
            <w:r w:rsidRPr="001D41EA">
              <w:rPr>
                <w:rFonts w:cs="Arial"/>
                <w:sz w:val="18"/>
                <w:szCs w:val="18"/>
              </w:rPr>
              <w:t>5,845,990</w:t>
            </w:r>
          </w:p>
        </w:tc>
        <w:tc>
          <w:tcPr>
            <w:tcW w:w="1361" w:type="dxa"/>
            <w:tcBorders>
              <w:top w:val="nil"/>
              <w:left w:val="nil"/>
              <w:bottom w:val="nil"/>
              <w:right w:val="nil"/>
            </w:tcBorders>
            <w:vAlign w:val="bottom"/>
          </w:tcPr>
          <w:p w14:paraId="0B271AE1" w14:textId="33A1F064" w:rsidR="00584325" w:rsidRPr="001D41EA" w:rsidRDefault="00584325" w:rsidP="001D41EA">
            <w:pPr>
              <w:spacing w:before="40" w:after="20"/>
              <w:jc w:val="right"/>
              <w:rPr>
                <w:rFonts w:cs="Arial"/>
                <w:sz w:val="18"/>
                <w:szCs w:val="18"/>
              </w:rPr>
            </w:pPr>
            <w:r w:rsidRPr="001D41EA">
              <w:rPr>
                <w:rFonts w:cs="Arial"/>
                <w:sz w:val="18"/>
                <w:szCs w:val="18"/>
              </w:rPr>
              <w:t>14,291,358</w:t>
            </w:r>
          </w:p>
        </w:tc>
        <w:tc>
          <w:tcPr>
            <w:tcW w:w="1361" w:type="dxa"/>
            <w:tcBorders>
              <w:top w:val="nil"/>
              <w:left w:val="nil"/>
              <w:bottom w:val="nil"/>
              <w:right w:val="nil"/>
            </w:tcBorders>
            <w:shd w:val="clear" w:color="auto" w:fill="auto"/>
            <w:noWrap/>
            <w:vAlign w:val="bottom"/>
          </w:tcPr>
          <w:p w14:paraId="763EF21E" w14:textId="66900258" w:rsidR="00584325" w:rsidRPr="001D41EA" w:rsidRDefault="00584325" w:rsidP="001D41EA">
            <w:pPr>
              <w:spacing w:before="40" w:after="20"/>
              <w:jc w:val="right"/>
              <w:rPr>
                <w:rFonts w:cs="Arial"/>
                <w:b/>
                <w:sz w:val="18"/>
                <w:szCs w:val="18"/>
              </w:rPr>
            </w:pPr>
            <w:r w:rsidRPr="001D41EA">
              <w:rPr>
                <w:rFonts w:cs="Arial"/>
                <w:b/>
                <w:sz w:val="18"/>
                <w:szCs w:val="18"/>
              </w:rPr>
              <w:t>50,694,292</w:t>
            </w:r>
          </w:p>
        </w:tc>
      </w:tr>
      <w:tr w:rsidR="00584325" w:rsidRPr="001D41EA" w14:paraId="6FAC7DC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4483FA0" w14:textId="77777777" w:rsidR="00584325" w:rsidRPr="001D41EA" w:rsidRDefault="00584325" w:rsidP="001D41EA">
            <w:pPr>
              <w:spacing w:before="40" w:after="20"/>
              <w:rPr>
                <w:rFonts w:cs="Arial"/>
                <w:sz w:val="18"/>
                <w:szCs w:val="18"/>
              </w:rPr>
            </w:pPr>
            <w:r w:rsidRPr="001D41EA">
              <w:rPr>
                <w:rFonts w:cs="Arial"/>
                <w:sz w:val="18"/>
                <w:szCs w:val="18"/>
              </w:rPr>
              <w:t>Moreland C</w:t>
            </w:r>
          </w:p>
        </w:tc>
        <w:tc>
          <w:tcPr>
            <w:tcW w:w="1361" w:type="dxa"/>
            <w:tcBorders>
              <w:top w:val="nil"/>
              <w:left w:val="single" w:sz="18" w:space="0" w:color="5F497A" w:themeColor="accent4" w:themeShade="BF"/>
              <w:bottom w:val="nil"/>
              <w:right w:val="nil"/>
            </w:tcBorders>
            <w:shd w:val="clear" w:color="auto" w:fill="auto"/>
            <w:noWrap/>
            <w:vAlign w:val="bottom"/>
          </w:tcPr>
          <w:p w14:paraId="42BDCE1E" w14:textId="3DB6D7E4" w:rsidR="00584325" w:rsidRPr="001D41EA" w:rsidRDefault="00584325" w:rsidP="001D41EA">
            <w:pPr>
              <w:spacing w:before="40" w:after="20"/>
              <w:jc w:val="right"/>
              <w:rPr>
                <w:rFonts w:cs="Arial"/>
                <w:sz w:val="18"/>
                <w:szCs w:val="18"/>
              </w:rPr>
            </w:pPr>
            <w:r w:rsidRPr="001D41EA">
              <w:rPr>
                <w:rFonts w:cs="Arial"/>
                <w:sz w:val="18"/>
                <w:szCs w:val="18"/>
              </w:rPr>
              <w:t>21,604,604</w:t>
            </w:r>
          </w:p>
        </w:tc>
        <w:tc>
          <w:tcPr>
            <w:tcW w:w="1361" w:type="dxa"/>
            <w:tcBorders>
              <w:top w:val="nil"/>
              <w:left w:val="nil"/>
              <w:bottom w:val="nil"/>
              <w:right w:val="nil"/>
            </w:tcBorders>
            <w:shd w:val="clear" w:color="auto" w:fill="auto"/>
            <w:noWrap/>
            <w:vAlign w:val="bottom"/>
          </w:tcPr>
          <w:p w14:paraId="06992B72" w14:textId="2A850B37" w:rsidR="00584325" w:rsidRPr="001D41EA" w:rsidRDefault="00584325" w:rsidP="001D41EA">
            <w:pPr>
              <w:spacing w:before="40" w:after="20"/>
              <w:jc w:val="right"/>
              <w:rPr>
                <w:rFonts w:cs="Arial"/>
                <w:sz w:val="18"/>
                <w:szCs w:val="18"/>
              </w:rPr>
            </w:pPr>
            <w:r w:rsidRPr="001D41EA">
              <w:rPr>
                <w:rFonts w:cs="Arial"/>
                <w:sz w:val="18"/>
                <w:szCs w:val="18"/>
              </w:rPr>
              <w:t>11,000,267</w:t>
            </w:r>
          </w:p>
        </w:tc>
        <w:tc>
          <w:tcPr>
            <w:tcW w:w="1361" w:type="dxa"/>
            <w:tcBorders>
              <w:top w:val="nil"/>
              <w:left w:val="nil"/>
              <w:bottom w:val="nil"/>
              <w:right w:val="nil"/>
            </w:tcBorders>
            <w:shd w:val="clear" w:color="auto" w:fill="auto"/>
            <w:noWrap/>
            <w:vAlign w:val="bottom"/>
          </w:tcPr>
          <w:p w14:paraId="3D246006" w14:textId="4D0BF819" w:rsidR="00584325" w:rsidRPr="001D41EA" w:rsidRDefault="00584325" w:rsidP="001D41EA">
            <w:pPr>
              <w:spacing w:before="40" w:after="20"/>
              <w:jc w:val="right"/>
              <w:rPr>
                <w:rFonts w:cs="Arial"/>
                <w:sz w:val="18"/>
                <w:szCs w:val="18"/>
              </w:rPr>
            </w:pPr>
            <w:r w:rsidRPr="001D41EA">
              <w:rPr>
                <w:rFonts w:cs="Arial"/>
                <w:sz w:val="18"/>
                <w:szCs w:val="18"/>
              </w:rPr>
              <w:t>26,790,258</w:t>
            </w:r>
          </w:p>
        </w:tc>
        <w:tc>
          <w:tcPr>
            <w:tcW w:w="1361" w:type="dxa"/>
            <w:tcBorders>
              <w:top w:val="nil"/>
              <w:left w:val="nil"/>
              <w:bottom w:val="nil"/>
              <w:right w:val="nil"/>
            </w:tcBorders>
            <w:vAlign w:val="bottom"/>
          </w:tcPr>
          <w:p w14:paraId="37849514" w14:textId="5F39BCFC" w:rsidR="00584325" w:rsidRPr="001D41EA" w:rsidRDefault="00584325" w:rsidP="001D41EA">
            <w:pPr>
              <w:spacing w:before="40" w:after="20"/>
              <w:jc w:val="right"/>
              <w:rPr>
                <w:rFonts w:cs="Arial"/>
                <w:sz w:val="18"/>
                <w:szCs w:val="18"/>
              </w:rPr>
            </w:pPr>
            <w:r w:rsidRPr="001D41EA">
              <w:rPr>
                <w:rFonts w:cs="Arial"/>
                <w:sz w:val="18"/>
                <w:szCs w:val="18"/>
              </w:rPr>
              <w:t>6,809,415</w:t>
            </w:r>
          </w:p>
        </w:tc>
        <w:tc>
          <w:tcPr>
            <w:tcW w:w="1361" w:type="dxa"/>
            <w:tcBorders>
              <w:top w:val="nil"/>
              <w:left w:val="nil"/>
              <w:bottom w:val="nil"/>
              <w:right w:val="nil"/>
            </w:tcBorders>
            <w:shd w:val="clear" w:color="auto" w:fill="auto"/>
            <w:noWrap/>
            <w:vAlign w:val="bottom"/>
          </w:tcPr>
          <w:p w14:paraId="7458045E" w14:textId="4513EA96" w:rsidR="00584325" w:rsidRPr="001D41EA" w:rsidRDefault="00584325" w:rsidP="001D41EA">
            <w:pPr>
              <w:spacing w:before="40" w:after="20"/>
              <w:jc w:val="right"/>
              <w:rPr>
                <w:rFonts w:cs="Arial"/>
                <w:b/>
                <w:sz w:val="18"/>
                <w:szCs w:val="18"/>
              </w:rPr>
            </w:pPr>
            <w:r w:rsidRPr="001D41EA">
              <w:rPr>
                <w:rFonts w:cs="Arial"/>
                <w:b/>
                <w:sz w:val="18"/>
                <w:szCs w:val="18"/>
              </w:rPr>
              <w:t>172,091,271</w:t>
            </w:r>
          </w:p>
        </w:tc>
      </w:tr>
      <w:tr w:rsidR="00584325" w:rsidRPr="001D41EA" w14:paraId="59FAD4C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761862B" w14:textId="77777777" w:rsidR="00584325" w:rsidRPr="001D41EA" w:rsidRDefault="00584325" w:rsidP="001D41EA">
            <w:pPr>
              <w:spacing w:before="40" w:after="20"/>
              <w:rPr>
                <w:rFonts w:cs="Arial"/>
                <w:sz w:val="18"/>
                <w:szCs w:val="18"/>
              </w:rPr>
            </w:pPr>
            <w:r w:rsidRPr="001D41EA">
              <w:rPr>
                <w:rFonts w:cs="Arial"/>
                <w:sz w:val="18"/>
                <w:szCs w:val="18"/>
              </w:rPr>
              <w:t>Mornington Peninsula S</w:t>
            </w:r>
          </w:p>
        </w:tc>
        <w:tc>
          <w:tcPr>
            <w:tcW w:w="1361" w:type="dxa"/>
            <w:tcBorders>
              <w:top w:val="nil"/>
              <w:left w:val="single" w:sz="18" w:space="0" w:color="5F497A" w:themeColor="accent4" w:themeShade="BF"/>
              <w:bottom w:val="nil"/>
              <w:right w:val="nil"/>
            </w:tcBorders>
            <w:shd w:val="clear" w:color="auto" w:fill="auto"/>
            <w:noWrap/>
            <w:vAlign w:val="bottom"/>
          </w:tcPr>
          <w:p w14:paraId="036501DB" w14:textId="281B4A92" w:rsidR="00584325" w:rsidRPr="001D41EA" w:rsidRDefault="00584325" w:rsidP="001D41EA">
            <w:pPr>
              <w:spacing w:before="40" w:after="20"/>
              <w:jc w:val="right"/>
              <w:rPr>
                <w:rFonts w:cs="Arial"/>
                <w:sz w:val="18"/>
                <w:szCs w:val="18"/>
              </w:rPr>
            </w:pPr>
            <w:r w:rsidRPr="001D41EA">
              <w:rPr>
                <w:rFonts w:cs="Arial"/>
                <w:sz w:val="18"/>
                <w:szCs w:val="18"/>
              </w:rPr>
              <w:t>25,170,826</w:t>
            </w:r>
          </w:p>
        </w:tc>
        <w:tc>
          <w:tcPr>
            <w:tcW w:w="1361" w:type="dxa"/>
            <w:tcBorders>
              <w:top w:val="nil"/>
              <w:left w:val="nil"/>
              <w:bottom w:val="nil"/>
              <w:right w:val="nil"/>
            </w:tcBorders>
            <w:shd w:val="clear" w:color="auto" w:fill="auto"/>
            <w:noWrap/>
            <w:vAlign w:val="bottom"/>
          </w:tcPr>
          <w:p w14:paraId="5504E70E" w14:textId="3A0880DB" w:rsidR="00584325" w:rsidRPr="001D41EA" w:rsidRDefault="00584325" w:rsidP="001D41EA">
            <w:pPr>
              <w:spacing w:before="40" w:after="20"/>
              <w:jc w:val="right"/>
              <w:rPr>
                <w:rFonts w:cs="Arial"/>
                <w:sz w:val="18"/>
                <w:szCs w:val="18"/>
              </w:rPr>
            </w:pPr>
            <w:r w:rsidRPr="001D41EA">
              <w:rPr>
                <w:rFonts w:cs="Arial"/>
                <w:sz w:val="18"/>
                <w:szCs w:val="18"/>
              </w:rPr>
              <w:t>13,035,320</w:t>
            </w:r>
          </w:p>
        </w:tc>
        <w:tc>
          <w:tcPr>
            <w:tcW w:w="1361" w:type="dxa"/>
            <w:tcBorders>
              <w:top w:val="nil"/>
              <w:left w:val="nil"/>
              <w:bottom w:val="nil"/>
              <w:right w:val="nil"/>
            </w:tcBorders>
            <w:shd w:val="clear" w:color="auto" w:fill="auto"/>
            <w:noWrap/>
            <w:vAlign w:val="bottom"/>
          </w:tcPr>
          <w:p w14:paraId="3820DC47" w14:textId="734425C6" w:rsidR="00584325" w:rsidRPr="001D41EA" w:rsidRDefault="00584325" w:rsidP="001D41EA">
            <w:pPr>
              <w:spacing w:before="40" w:after="20"/>
              <w:jc w:val="right"/>
              <w:rPr>
                <w:rFonts w:cs="Arial"/>
                <w:sz w:val="18"/>
                <w:szCs w:val="18"/>
              </w:rPr>
            </w:pPr>
            <w:r w:rsidRPr="001D41EA">
              <w:rPr>
                <w:rFonts w:cs="Arial"/>
                <w:sz w:val="18"/>
                <w:szCs w:val="18"/>
              </w:rPr>
              <w:t>31,184,303</w:t>
            </w:r>
          </w:p>
        </w:tc>
        <w:tc>
          <w:tcPr>
            <w:tcW w:w="1361" w:type="dxa"/>
            <w:tcBorders>
              <w:top w:val="nil"/>
              <w:left w:val="nil"/>
              <w:bottom w:val="nil"/>
              <w:right w:val="nil"/>
            </w:tcBorders>
            <w:vAlign w:val="bottom"/>
          </w:tcPr>
          <w:p w14:paraId="5FAF619D" w14:textId="186A236E" w:rsidR="00584325" w:rsidRPr="001D41EA" w:rsidRDefault="00584325" w:rsidP="001D41EA">
            <w:pPr>
              <w:spacing w:before="40" w:after="20"/>
              <w:jc w:val="right"/>
              <w:rPr>
                <w:rFonts w:cs="Arial"/>
                <w:sz w:val="18"/>
                <w:szCs w:val="18"/>
              </w:rPr>
            </w:pPr>
            <w:r w:rsidRPr="001D41EA">
              <w:rPr>
                <w:rFonts w:cs="Arial"/>
                <w:sz w:val="18"/>
                <w:szCs w:val="18"/>
              </w:rPr>
              <w:t>18,046,797</w:t>
            </w:r>
          </w:p>
        </w:tc>
        <w:tc>
          <w:tcPr>
            <w:tcW w:w="1361" w:type="dxa"/>
            <w:tcBorders>
              <w:top w:val="nil"/>
              <w:left w:val="nil"/>
              <w:bottom w:val="nil"/>
              <w:right w:val="nil"/>
            </w:tcBorders>
            <w:shd w:val="clear" w:color="auto" w:fill="auto"/>
            <w:noWrap/>
            <w:vAlign w:val="bottom"/>
          </w:tcPr>
          <w:p w14:paraId="6640AB5C" w14:textId="3ADDE83C" w:rsidR="00584325" w:rsidRPr="001D41EA" w:rsidRDefault="00584325" w:rsidP="001D41EA">
            <w:pPr>
              <w:spacing w:before="40" w:after="20"/>
              <w:jc w:val="right"/>
              <w:rPr>
                <w:rFonts w:cs="Arial"/>
                <w:b/>
                <w:sz w:val="18"/>
                <w:szCs w:val="18"/>
              </w:rPr>
            </w:pPr>
            <w:r w:rsidRPr="001D41EA">
              <w:rPr>
                <w:rFonts w:cs="Arial"/>
                <w:b/>
                <w:sz w:val="18"/>
                <w:szCs w:val="18"/>
              </w:rPr>
              <w:t>215,141,042</w:t>
            </w:r>
          </w:p>
        </w:tc>
      </w:tr>
      <w:tr w:rsidR="00584325" w:rsidRPr="001D41EA" w14:paraId="42A175B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6C15612" w14:textId="77777777" w:rsidR="00584325" w:rsidRPr="001D41EA" w:rsidRDefault="00584325" w:rsidP="001D41EA">
            <w:pPr>
              <w:spacing w:before="40" w:after="20"/>
              <w:rPr>
                <w:rFonts w:cs="Arial"/>
                <w:sz w:val="18"/>
                <w:szCs w:val="18"/>
              </w:rPr>
            </w:pPr>
            <w:r w:rsidRPr="001D41EA">
              <w:rPr>
                <w:rFonts w:cs="Arial"/>
                <w:sz w:val="18"/>
                <w:szCs w:val="18"/>
              </w:rPr>
              <w:t>Mount Alexander S</w:t>
            </w:r>
          </w:p>
        </w:tc>
        <w:tc>
          <w:tcPr>
            <w:tcW w:w="1361" w:type="dxa"/>
            <w:tcBorders>
              <w:top w:val="nil"/>
              <w:left w:val="single" w:sz="18" w:space="0" w:color="5F497A" w:themeColor="accent4" w:themeShade="BF"/>
              <w:bottom w:val="nil"/>
              <w:right w:val="nil"/>
            </w:tcBorders>
            <w:shd w:val="clear" w:color="auto" w:fill="auto"/>
            <w:noWrap/>
            <w:vAlign w:val="bottom"/>
          </w:tcPr>
          <w:p w14:paraId="420FB579" w14:textId="6E232541" w:rsidR="00584325" w:rsidRPr="001D41EA" w:rsidRDefault="00584325" w:rsidP="001D41EA">
            <w:pPr>
              <w:spacing w:before="40" w:after="20"/>
              <w:jc w:val="right"/>
              <w:rPr>
                <w:rFonts w:cs="Arial"/>
                <w:sz w:val="18"/>
                <w:szCs w:val="18"/>
              </w:rPr>
            </w:pPr>
            <w:r w:rsidRPr="001D41EA">
              <w:rPr>
                <w:rFonts w:cs="Arial"/>
                <w:sz w:val="18"/>
                <w:szCs w:val="18"/>
              </w:rPr>
              <w:t>2,639,768</w:t>
            </w:r>
          </w:p>
        </w:tc>
        <w:tc>
          <w:tcPr>
            <w:tcW w:w="1361" w:type="dxa"/>
            <w:tcBorders>
              <w:top w:val="nil"/>
              <w:left w:val="nil"/>
              <w:bottom w:val="nil"/>
              <w:right w:val="nil"/>
            </w:tcBorders>
            <w:shd w:val="clear" w:color="auto" w:fill="auto"/>
            <w:noWrap/>
            <w:vAlign w:val="bottom"/>
          </w:tcPr>
          <w:p w14:paraId="6FB1C0FD" w14:textId="55591830" w:rsidR="00584325" w:rsidRPr="001D41EA" w:rsidRDefault="00584325" w:rsidP="001D41EA">
            <w:pPr>
              <w:spacing w:before="40" w:after="20"/>
              <w:jc w:val="right"/>
              <w:rPr>
                <w:rFonts w:cs="Arial"/>
                <w:sz w:val="18"/>
                <w:szCs w:val="18"/>
              </w:rPr>
            </w:pPr>
            <w:r w:rsidRPr="001D41EA">
              <w:rPr>
                <w:rFonts w:cs="Arial"/>
                <w:sz w:val="18"/>
                <w:szCs w:val="18"/>
              </w:rPr>
              <w:t>1,444,723</w:t>
            </w:r>
          </w:p>
        </w:tc>
        <w:tc>
          <w:tcPr>
            <w:tcW w:w="1361" w:type="dxa"/>
            <w:tcBorders>
              <w:top w:val="nil"/>
              <w:left w:val="nil"/>
              <w:bottom w:val="nil"/>
              <w:right w:val="nil"/>
            </w:tcBorders>
            <w:shd w:val="clear" w:color="auto" w:fill="auto"/>
            <w:noWrap/>
            <w:vAlign w:val="bottom"/>
          </w:tcPr>
          <w:p w14:paraId="1145A88B" w14:textId="5601C0BA" w:rsidR="00584325" w:rsidRPr="001D41EA" w:rsidRDefault="00584325" w:rsidP="001D41EA">
            <w:pPr>
              <w:spacing w:before="40" w:after="20"/>
              <w:jc w:val="right"/>
              <w:rPr>
                <w:rFonts w:cs="Arial"/>
                <w:sz w:val="18"/>
                <w:szCs w:val="18"/>
              </w:rPr>
            </w:pPr>
            <w:r w:rsidRPr="001D41EA">
              <w:rPr>
                <w:rFonts w:cs="Arial"/>
                <w:sz w:val="18"/>
                <w:szCs w:val="18"/>
              </w:rPr>
              <w:t>3,568,551</w:t>
            </w:r>
          </w:p>
        </w:tc>
        <w:tc>
          <w:tcPr>
            <w:tcW w:w="1361" w:type="dxa"/>
            <w:tcBorders>
              <w:top w:val="nil"/>
              <w:left w:val="nil"/>
              <w:bottom w:val="nil"/>
              <w:right w:val="nil"/>
            </w:tcBorders>
            <w:vAlign w:val="bottom"/>
          </w:tcPr>
          <w:p w14:paraId="385F8F13" w14:textId="1C4B90DD" w:rsidR="00584325" w:rsidRPr="001D41EA" w:rsidRDefault="00584325" w:rsidP="001D41EA">
            <w:pPr>
              <w:spacing w:before="40" w:after="20"/>
              <w:jc w:val="right"/>
              <w:rPr>
                <w:rFonts w:cs="Arial"/>
                <w:sz w:val="18"/>
                <w:szCs w:val="18"/>
              </w:rPr>
            </w:pPr>
            <w:r w:rsidRPr="001D41EA">
              <w:rPr>
                <w:rFonts w:cs="Arial"/>
                <w:sz w:val="18"/>
                <w:szCs w:val="18"/>
              </w:rPr>
              <w:t>12,493,110</w:t>
            </w:r>
          </w:p>
        </w:tc>
        <w:tc>
          <w:tcPr>
            <w:tcW w:w="1361" w:type="dxa"/>
            <w:tcBorders>
              <w:top w:val="nil"/>
              <w:left w:val="nil"/>
              <w:bottom w:val="nil"/>
              <w:right w:val="nil"/>
            </w:tcBorders>
            <w:shd w:val="clear" w:color="auto" w:fill="auto"/>
            <w:noWrap/>
            <w:vAlign w:val="bottom"/>
          </w:tcPr>
          <w:p w14:paraId="450096AE" w14:textId="1A013A57" w:rsidR="00584325" w:rsidRPr="001D41EA" w:rsidRDefault="00584325" w:rsidP="001D41EA">
            <w:pPr>
              <w:spacing w:before="40" w:after="20"/>
              <w:jc w:val="right"/>
              <w:rPr>
                <w:rFonts w:cs="Arial"/>
                <w:b/>
                <w:sz w:val="18"/>
                <w:szCs w:val="18"/>
              </w:rPr>
            </w:pPr>
            <w:r w:rsidRPr="001D41EA">
              <w:rPr>
                <w:rFonts w:cs="Arial"/>
                <w:b/>
                <w:sz w:val="18"/>
                <w:szCs w:val="18"/>
              </w:rPr>
              <w:t>34,032,359</w:t>
            </w:r>
          </w:p>
        </w:tc>
      </w:tr>
      <w:tr w:rsidR="00584325" w:rsidRPr="001D41EA" w14:paraId="4DAF4D7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72CD108" w14:textId="77777777" w:rsidR="00584325" w:rsidRPr="001D41EA" w:rsidRDefault="00584325" w:rsidP="001D41EA">
            <w:pPr>
              <w:spacing w:before="40" w:after="20"/>
              <w:rPr>
                <w:rFonts w:cs="Arial"/>
                <w:sz w:val="18"/>
                <w:szCs w:val="18"/>
              </w:rPr>
            </w:pPr>
            <w:r w:rsidRPr="001D41EA">
              <w:rPr>
                <w:rFonts w:cs="Arial"/>
                <w:sz w:val="18"/>
                <w:szCs w:val="18"/>
              </w:rPr>
              <w:t>Moyne S</w:t>
            </w:r>
          </w:p>
        </w:tc>
        <w:tc>
          <w:tcPr>
            <w:tcW w:w="1361" w:type="dxa"/>
            <w:tcBorders>
              <w:top w:val="nil"/>
              <w:left w:val="single" w:sz="18" w:space="0" w:color="5F497A" w:themeColor="accent4" w:themeShade="BF"/>
              <w:bottom w:val="nil"/>
              <w:right w:val="nil"/>
            </w:tcBorders>
            <w:shd w:val="clear" w:color="auto" w:fill="auto"/>
            <w:noWrap/>
            <w:vAlign w:val="bottom"/>
          </w:tcPr>
          <w:p w14:paraId="1D5BEF8F" w14:textId="3C27DD18" w:rsidR="00584325" w:rsidRPr="001D41EA" w:rsidRDefault="00584325" w:rsidP="001D41EA">
            <w:pPr>
              <w:spacing w:before="40" w:after="20"/>
              <w:jc w:val="right"/>
              <w:rPr>
                <w:rFonts w:cs="Arial"/>
                <w:sz w:val="18"/>
                <w:szCs w:val="18"/>
              </w:rPr>
            </w:pPr>
            <w:r w:rsidRPr="001D41EA">
              <w:rPr>
                <w:rFonts w:cs="Arial"/>
                <w:sz w:val="18"/>
                <w:szCs w:val="18"/>
              </w:rPr>
              <w:t>2,293,414</w:t>
            </w:r>
          </w:p>
        </w:tc>
        <w:tc>
          <w:tcPr>
            <w:tcW w:w="1361" w:type="dxa"/>
            <w:tcBorders>
              <w:top w:val="nil"/>
              <w:left w:val="nil"/>
              <w:bottom w:val="nil"/>
              <w:right w:val="nil"/>
            </w:tcBorders>
            <w:shd w:val="clear" w:color="auto" w:fill="auto"/>
            <w:noWrap/>
            <w:vAlign w:val="bottom"/>
          </w:tcPr>
          <w:p w14:paraId="6B01F7A5" w14:textId="6059B21D" w:rsidR="00584325" w:rsidRPr="001D41EA" w:rsidRDefault="00584325" w:rsidP="001D41EA">
            <w:pPr>
              <w:spacing w:before="40" w:after="20"/>
              <w:jc w:val="right"/>
              <w:rPr>
                <w:rFonts w:cs="Arial"/>
                <w:sz w:val="18"/>
                <w:szCs w:val="18"/>
              </w:rPr>
            </w:pPr>
            <w:r w:rsidRPr="001D41EA">
              <w:rPr>
                <w:rFonts w:cs="Arial"/>
                <w:sz w:val="18"/>
                <w:szCs w:val="18"/>
              </w:rPr>
              <w:t>1,462,661</w:t>
            </w:r>
          </w:p>
        </w:tc>
        <w:tc>
          <w:tcPr>
            <w:tcW w:w="1361" w:type="dxa"/>
            <w:tcBorders>
              <w:top w:val="nil"/>
              <w:left w:val="nil"/>
              <w:bottom w:val="nil"/>
              <w:right w:val="nil"/>
            </w:tcBorders>
            <w:shd w:val="clear" w:color="auto" w:fill="auto"/>
            <w:noWrap/>
            <w:vAlign w:val="bottom"/>
          </w:tcPr>
          <w:p w14:paraId="458665B5" w14:textId="6C12FEEA" w:rsidR="00584325" w:rsidRPr="001D41EA" w:rsidRDefault="00584325" w:rsidP="001D41EA">
            <w:pPr>
              <w:spacing w:before="40" w:after="20"/>
              <w:jc w:val="right"/>
              <w:rPr>
                <w:rFonts w:cs="Arial"/>
                <w:sz w:val="18"/>
                <w:szCs w:val="18"/>
              </w:rPr>
            </w:pPr>
            <w:r w:rsidRPr="001D41EA">
              <w:rPr>
                <w:rFonts w:cs="Arial"/>
                <w:sz w:val="18"/>
                <w:szCs w:val="18"/>
              </w:rPr>
              <w:t>3,297,215</w:t>
            </w:r>
          </w:p>
        </w:tc>
        <w:tc>
          <w:tcPr>
            <w:tcW w:w="1361" w:type="dxa"/>
            <w:tcBorders>
              <w:top w:val="nil"/>
              <w:left w:val="nil"/>
              <w:bottom w:val="nil"/>
              <w:right w:val="nil"/>
            </w:tcBorders>
            <w:vAlign w:val="bottom"/>
          </w:tcPr>
          <w:p w14:paraId="4FF8B8D4" w14:textId="2FCA44EE" w:rsidR="00584325" w:rsidRPr="001D41EA" w:rsidRDefault="00584325" w:rsidP="001D41EA">
            <w:pPr>
              <w:spacing w:before="40" w:after="20"/>
              <w:jc w:val="right"/>
              <w:rPr>
                <w:rFonts w:cs="Arial"/>
                <w:sz w:val="18"/>
                <w:szCs w:val="18"/>
              </w:rPr>
            </w:pPr>
            <w:r w:rsidRPr="001D41EA">
              <w:rPr>
                <w:rFonts w:cs="Arial"/>
                <w:sz w:val="18"/>
                <w:szCs w:val="18"/>
              </w:rPr>
              <w:t>30,053,610</w:t>
            </w:r>
          </w:p>
        </w:tc>
        <w:tc>
          <w:tcPr>
            <w:tcW w:w="1361" w:type="dxa"/>
            <w:tcBorders>
              <w:top w:val="nil"/>
              <w:left w:val="nil"/>
              <w:bottom w:val="nil"/>
              <w:right w:val="nil"/>
            </w:tcBorders>
            <w:shd w:val="clear" w:color="auto" w:fill="auto"/>
            <w:noWrap/>
            <w:vAlign w:val="bottom"/>
          </w:tcPr>
          <w:p w14:paraId="13D78252" w14:textId="7DC323EB" w:rsidR="00584325" w:rsidRPr="001D41EA" w:rsidRDefault="00584325" w:rsidP="001D41EA">
            <w:pPr>
              <w:spacing w:before="40" w:after="20"/>
              <w:jc w:val="right"/>
              <w:rPr>
                <w:rFonts w:cs="Arial"/>
                <w:b/>
                <w:sz w:val="18"/>
                <w:szCs w:val="18"/>
              </w:rPr>
            </w:pPr>
            <w:r w:rsidRPr="001D41EA">
              <w:rPr>
                <w:rFonts w:cs="Arial"/>
                <w:b/>
                <w:sz w:val="18"/>
                <w:szCs w:val="18"/>
              </w:rPr>
              <w:t>50,326,287</w:t>
            </w:r>
          </w:p>
        </w:tc>
      </w:tr>
      <w:tr w:rsidR="00584325" w:rsidRPr="001D41EA" w14:paraId="1B7DA34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93AD718" w14:textId="77777777" w:rsidR="00584325" w:rsidRPr="001D41EA" w:rsidRDefault="00584325" w:rsidP="001D41EA">
            <w:pPr>
              <w:spacing w:before="40" w:after="20"/>
              <w:rPr>
                <w:rFonts w:cs="Arial"/>
                <w:sz w:val="18"/>
                <w:szCs w:val="18"/>
              </w:rPr>
            </w:pPr>
            <w:r w:rsidRPr="001D41EA">
              <w:rPr>
                <w:rFonts w:cs="Arial"/>
                <w:sz w:val="18"/>
                <w:szCs w:val="18"/>
              </w:rPr>
              <w:t>Murrindindi S</w:t>
            </w:r>
          </w:p>
        </w:tc>
        <w:tc>
          <w:tcPr>
            <w:tcW w:w="1361" w:type="dxa"/>
            <w:tcBorders>
              <w:top w:val="nil"/>
              <w:left w:val="single" w:sz="18" w:space="0" w:color="5F497A" w:themeColor="accent4" w:themeShade="BF"/>
              <w:bottom w:val="nil"/>
              <w:right w:val="nil"/>
            </w:tcBorders>
            <w:shd w:val="clear" w:color="auto" w:fill="auto"/>
            <w:noWrap/>
            <w:vAlign w:val="bottom"/>
          </w:tcPr>
          <w:p w14:paraId="415A94E7" w14:textId="4245D6D2" w:rsidR="00584325" w:rsidRPr="001D41EA" w:rsidRDefault="00584325" w:rsidP="001D41EA">
            <w:pPr>
              <w:spacing w:before="40" w:after="20"/>
              <w:jc w:val="right"/>
              <w:rPr>
                <w:rFonts w:cs="Arial"/>
                <w:sz w:val="18"/>
                <w:szCs w:val="18"/>
              </w:rPr>
            </w:pPr>
            <w:r w:rsidRPr="001D41EA">
              <w:rPr>
                <w:rFonts w:cs="Arial"/>
                <w:sz w:val="18"/>
                <w:szCs w:val="18"/>
              </w:rPr>
              <w:t>2,275,744</w:t>
            </w:r>
          </w:p>
        </w:tc>
        <w:tc>
          <w:tcPr>
            <w:tcW w:w="1361" w:type="dxa"/>
            <w:tcBorders>
              <w:top w:val="nil"/>
              <w:left w:val="nil"/>
              <w:bottom w:val="nil"/>
              <w:right w:val="nil"/>
            </w:tcBorders>
            <w:shd w:val="clear" w:color="auto" w:fill="auto"/>
            <w:noWrap/>
            <w:vAlign w:val="bottom"/>
          </w:tcPr>
          <w:p w14:paraId="4B0F2BF2" w14:textId="0C4F1839" w:rsidR="00584325" w:rsidRPr="001D41EA" w:rsidRDefault="00584325" w:rsidP="001D41EA">
            <w:pPr>
              <w:spacing w:before="40" w:after="20"/>
              <w:jc w:val="right"/>
              <w:rPr>
                <w:rFonts w:cs="Arial"/>
                <w:sz w:val="18"/>
                <w:szCs w:val="18"/>
              </w:rPr>
            </w:pPr>
            <w:r w:rsidRPr="001D41EA">
              <w:rPr>
                <w:rFonts w:cs="Arial"/>
                <w:sz w:val="18"/>
                <w:szCs w:val="18"/>
              </w:rPr>
              <w:t>1,383,790</w:t>
            </w:r>
          </w:p>
        </w:tc>
        <w:tc>
          <w:tcPr>
            <w:tcW w:w="1361" w:type="dxa"/>
            <w:tcBorders>
              <w:top w:val="nil"/>
              <w:left w:val="nil"/>
              <w:bottom w:val="nil"/>
              <w:right w:val="nil"/>
            </w:tcBorders>
            <w:shd w:val="clear" w:color="auto" w:fill="auto"/>
            <w:noWrap/>
            <w:vAlign w:val="bottom"/>
          </w:tcPr>
          <w:p w14:paraId="2015CE70" w14:textId="516105B1" w:rsidR="00584325" w:rsidRPr="001D41EA" w:rsidRDefault="00584325" w:rsidP="001D41EA">
            <w:pPr>
              <w:spacing w:before="40" w:after="20"/>
              <w:jc w:val="right"/>
              <w:rPr>
                <w:rFonts w:cs="Arial"/>
                <w:sz w:val="18"/>
                <w:szCs w:val="18"/>
              </w:rPr>
            </w:pPr>
            <w:r w:rsidRPr="001D41EA">
              <w:rPr>
                <w:rFonts w:cs="Arial"/>
                <w:sz w:val="18"/>
                <w:szCs w:val="18"/>
              </w:rPr>
              <w:t>3,043,591</w:t>
            </w:r>
          </w:p>
        </w:tc>
        <w:tc>
          <w:tcPr>
            <w:tcW w:w="1361" w:type="dxa"/>
            <w:tcBorders>
              <w:top w:val="nil"/>
              <w:left w:val="nil"/>
              <w:bottom w:val="nil"/>
              <w:right w:val="nil"/>
            </w:tcBorders>
            <w:vAlign w:val="bottom"/>
          </w:tcPr>
          <w:p w14:paraId="7F9D6B43" w14:textId="12243FFB" w:rsidR="00584325" w:rsidRPr="001D41EA" w:rsidRDefault="00584325" w:rsidP="001D41EA">
            <w:pPr>
              <w:spacing w:before="40" w:after="20"/>
              <w:jc w:val="right"/>
              <w:rPr>
                <w:rFonts w:cs="Arial"/>
                <w:sz w:val="18"/>
                <w:szCs w:val="18"/>
              </w:rPr>
            </w:pPr>
            <w:r w:rsidRPr="001D41EA">
              <w:rPr>
                <w:rFonts w:cs="Arial"/>
                <w:sz w:val="18"/>
                <w:szCs w:val="18"/>
              </w:rPr>
              <w:t>12,201,720</w:t>
            </w:r>
          </w:p>
        </w:tc>
        <w:tc>
          <w:tcPr>
            <w:tcW w:w="1361" w:type="dxa"/>
            <w:tcBorders>
              <w:top w:val="nil"/>
              <w:left w:val="nil"/>
              <w:bottom w:val="nil"/>
              <w:right w:val="nil"/>
            </w:tcBorders>
            <w:shd w:val="clear" w:color="auto" w:fill="auto"/>
            <w:noWrap/>
            <w:vAlign w:val="bottom"/>
          </w:tcPr>
          <w:p w14:paraId="5528DB9B" w14:textId="13B72A25" w:rsidR="00584325" w:rsidRPr="001D41EA" w:rsidRDefault="00584325" w:rsidP="001D41EA">
            <w:pPr>
              <w:spacing w:before="40" w:after="20"/>
              <w:jc w:val="right"/>
              <w:rPr>
                <w:rFonts w:cs="Arial"/>
                <w:b/>
                <w:sz w:val="18"/>
                <w:szCs w:val="18"/>
              </w:rPr>
            </w:pPr>
            <w:r w:rsidRPr="001D41EA">
              <w:rPr>
                <w:rFonts w:cs="Arial"/>
                <w:b/>
                <w:sz w:val="18"/>
                <w:szCs w:val="18"/>
              </w:rPr>
              <w:t>32,377,666</w:t>
            </w:r>
          </w:p>
        </w:tc>
      </w:tr>
      <w:tr w:rsidR="00584325" w:rsidRPr="001D41EA" w14:paraId="07CBECA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DEE7A38" w14:textId="77777777" w:rsidR="00584325" w:rsidRPr="001D41EA" w:rsidRDefault="00584325" w:rsidP="001D41EA">
            <w:pPr>
              <w:spacing w:before="40" w:after="20"/>
              <w:rPr>
                <w:rFonts w:cs="Arial"/>
                <w:sz w:val="18"/>
                <w:szCs w:val="18"/>
              </w:rPr>
            </w:pPr>
            <w:r w:rsidRPr="001D41EA">
              <w:rPr>
                <w:rFonts w:cs="Arial"/>
                <w:sz w:val="18"/>
                <w:szCs w:val="18"/>
              </w:rPr>
              <w:t>Nillumbik S</w:t>
            </w:r>
          </w:p>
        </w:tc>
        <w:tc>
          <w:tcPr>
            <w:tcW w:w="1361" w:type="dxa"/>
            <w:tcBorders>
              <w:top w:val="nil"/>
              <w:left w:val="single" w:sz="18" w:space="0" w:color="5F497A" w:themeColor="accent4" w:themeShade="BF"/>
              <w:bottom w:val="nil"/>
              <w:right w:val="nil"/>
            </w:tcBorders>
            <w:shd w:val="clear" w:color="auto" w:fill="auto"/>
            <w:noWrap/>
            <w:vAlign w:val="bottom"/>
          </w:tcPr>
          <w:p w14:paraId="00D3877F" w14:textId="74D89C7D" w:rsidR="00584325" w:rsidRPr="001D41EA" w:rsidRDefault="00584325" w:rsidP="001D41EA">
            <w:pPr>
              <w:spacing w:before="40" w:after="20"/>
              <w:jc w:val="right"/>
              <w:rPr>
                <w:rFonts w:cs="Arial"/>
                <w:sz w:val="18"/>
                <w:szCs w:val="18"/>
              </w:rPr>
            </w:pPr>
            <w:r w:rsidRPr="001D41EA">
              <w:rPr>
                <w:rFonts w:cs="Arial"/>
                <w:sz w:val="18"/>
                <w:szCs w:val="18"/>
              </w:rPr>
              <w:t>7,436,812</w:t>
            </w:r>
          </w:p>
        </w:tc>
        <w:tc>
          <w:tcPr>
            <w:tcW w:w="1361" w:type="dxa"/>
            <w:tcBorders>
              <w:top w:val="nil"/>
              <w:left w:val="nil"/>
              <w:bottom w:val="nil"/>
              <w:right w:val="nil"/>
            </w:tcBorders>
            <w:shd w:val="clear" w:color="auto" w:fill="auto"/>
            <w:noWrap/>
            <w:vAlign w:val="bottom"/>
          </w:tcPr>
          <w:p w14:paraId="4E01BBBF" w14:textId="34F85974" w:rsidR="00584325" w:rsidRPr="001D41EA" w:rsidRDefault="00584325" w:rsidP="001D41EA">
            <w:pPr>
              <w:spacing w:before="40" w:after="20"/>
              <w:jc w:val="right"/>
              <w:rPr>
                <w:rFonts w:cs="Arial"/>
                <w:sz w:val="18"/>
                <w:szCs w:val="18"/>
              </w:rPr>
            </w:pPr>
            <w:r w:rsidRPr="001D41EA">
              <w:rPr>
                <w:rFonts w:cs="Arial"/>
                <w:sz w:val="18"/>
                <w:szCs w:val="18"/>
              </w:rPr>
              <w:t>4,521,979</w:t>
            </w:r>
          </w:p>
        </w:tc>
        <w:tc>
          <w:tcPr>
            <w:tcW w:w="1361" w:type="dxa"/>
            <w:tcBorders>
              <w:top w:val="nil"/>
              <w:left w:val="nil"/>
              <w:bottom w:val="nil"/>
              <w:right w:val="nil"/>
            </w:tcBorders>
            <w:shd w:val="clear" w:color="auto" w:fill="auto"/>
            <w:noWrap/>
            <w:vAlign w:val="bottom"/>
          </w:tcPr>
          <w:p w14:paraId="338C7976" w14:textId="368C7C4D" w:rsidR="00584325" w:rsidRPr="001D41EA" w:rsidRDefault="00584325" w:rsidP="001D41EA">
            <w:pPr>
              <w:spacing w:before="40" w:after="20"/>
              <w:jc w:val="right"/>
              <w:rPr>
                <w:rFonts w:cs="Arial"/>
                <w:sz w:val="18"/>
                <w:szCs w:val="18"/>
              </w:rPr>
            </w:pPr>
            <w:r w:rsidRPr="001D41EA">
              <w:rPr>
                <w:rFonts w:cs="Arial"/>
                <w:sz w:val="18"/>
                <w:szCs w:val="18"/>
              </w:rPr>
              <w:t>10,279,907</w:t>
            </w:r>
          </w:p>
        </w:tc>
        <w:tc>
          <w:tcPr>
            <w:tcW w:w="1361" w:type="dxa"/>
            <w:tcBorders>
              <w:top w:val="nil"/>
              <w:left w:val="nil"/>
              <w:bottom w:val="nil"/>
              <w:right w:val="nil"/>
            </w:tcBorders>
            <w:vAlign w:val="bottom"/>
          </w:tcPr>
          <w:p w14:paraId="2F1C7876" w14:textId="4689628D" w:rsidR="00584325" w:rsidRPr="001D41EA" w:rsidRDefault="00584325" w:rsidP="001D41EA">
            <w:pPr>
              <w:spacing w:before="40" w:after="20"/>
              <w:jc w:val="right"/>
              <w:rPr>
                <w:rFonts w:cs="Arial"/>
                <w:sz w:val="18"/>
                <w:szCs w:val="18"/>
              </w:rPr>
            </w:pPr>
            <w:r w:rsidRPr="001D41EA">
              <w:rPr>
                <w:rFonts w:cs="Arial"/>
                <w:sz w:val="18"/>
                <w:szCs w:val="18"/>
              </w:rPr>
              <w:t>8,313,180</w:t>
            </w:r>
          </w:p>
        </w:tc>
        <w:tc>
          <w:tcPr>
            <w:tcW w:w="1361" w:type="dxa"/>
            <w:tcBorders>
              <w:top w:val="nil"/>
              <w:left w:val="nil"/>
              <w:bottom w:val="nil"/>
              <w:right w:val="nil"/>
            </w:tcBorders>
            <w:shd w:val="clear" w:color="auto" w:fill="auto"/>
            <w:noWrap/>
            <w:vAlign w:val="bottom"/>
          </w:tcPr>
          <w:p w14:paraId="7246237A" w14:textId="1F968721" w:rsidR="00584325" w:rsidRPr="001D41EA" w:rsidRDefault="00584325" w:rsidP="001D41EA">
            <w:pPr>
              <w:spacing w:before="40" w:after="20"/>
              <w:jc w:val="right"/>
              <w:rPr>
                <w:rFonts w:cs="Arial"/>
                <w:b/>
                <w:sz w:val="18"/>
                <w:szCs w:val="18"/>
              </w:rPr>
            </w:pPr>
            <w:r w:rsidRPr="001D41EA">
              <w:rPr>
                <w:rFonts w:cs="Arial"/>
                <w:b/>
                <w:sz w:val="18"/>
                <w:szCs w:val="18"/>
              </w:rPr>
              <w:t>64,641,727</w:t>
            </w:r>
          </w:p>
        </w:tc>
      </w:tr>
      <w:tr w:rsidR="00584325" w:rsidRPr="001D41EA" w14:paraId="422D04E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5422A04" w14:textId="77777777" w:rsidR="00584325" w:rsidRPr="001D41EA" w:rsidRDefault="00584325" w:rsidP="001D41EA">
            <w:pPr>
              <w:spacing w:before="40" w:after="20"/>
              <w:rPr>
                <w:rFonts w:cs="Arial"/>
                <w:sz w:val="18"/>
                <w:szCs w:val="18"/>
              </w:rPr>
            </w:pPr>
            <w:r w:rsidRPr="001D41EA">
              <w:rPr>
                <w:rFonts w:cs="Arial"/>
                <w:sz w:val="18"/>
                <w:szCs w:val="18"/>
              </w:rPr>
              <w:t>Northern Grampians S</w:t>
            </w:r>
          </w:p>
        </w:tc>
        <w:tc>
          <w:tcPr>
            <w:tcW w:w="1361" w:type="dxa"/>
            <w:tcBorders>
              <w:top w:val="nil"/>
              <w:left w:val="single" w:sz="18" w:space="0" w:color="5F497A" w:themeColor="accent4" w:themeShade="BF"/>
              <w:bottom w:val="nil"/>
              <w:right w:val="nil"/>
            </w:tcBorders>
            <w:shd w:val="clear" w:color="auto" w:fill="auto"/>
            <w:noWrap/>
            <w:vAlign w:val="bottom"/>
          </w:tcPr>
          <w:p w14:paraId="4652BE82" w14:textId="6CCAB089" w:rsidR="00584325" w:rsidRPr="001D41EA" w:rsidRDefault="00584325" w:rsidP="001D41EA">
            <w:pPr>
              <w:spacing w:before="40" w:after="20"/>
              <w:jc w:val="right"/>
              <w:rPr>
                <w:rFonts w:cs="Arial"/>
                <w:sz w:val="18"/>
                <w:szCs w:val="18"/>
              </w:rPr>
            </w:pPr>
            <w:r w:rsidRPr="001D41EA">
              <w:rPr>
                <w:rFonts w:cs="Arial"/>
                <w:sz w:val="18"/>
                <w:szCs w:val="18"/>
              </w:rPr>
              <w:t>1,673,839</w:t>
            </w:r>
          </w:p>
        </w:tc>
        <w:tc>
          <w:tcPr>
            <w:tcW w:w="1361" w:type="dxa"/>
            <w:tcBorders>
              <w:top w:val="nil"/>
              <w:left w:val="nil"/>
              <w:bottom w:val="nil"/>
              <w:right w:val="nil"/>
            </w:tcBorders>
            <w:shd w:val="clear" w:color="auto" w:fill="auto"/>
            <w:noWrap/>
            <w:vAlign w:val="bottom"/>
          </w:tcPr>
          <w:p w14:paraId="6F636002" w14:textId="36E376C6" w:rsidR="00584325" w:rsidRPr="001D41EA" w:rsidRDefault="00584325" w:rsidP="001D41EA">
            <w:pPr>
              <w:spacing w:before="40" w:after="20"/>
              <w:jc w:val="right"/>
              <w:rPr>
                <w:rFonts w:cs="Arial"/>
                <w:sz w:val="18"/>
                <w:szCs w:val="18"/>
              </w:rPr>
            </w:pPr>
            <w:r w:rsidRPr="001D41EA">
              <w:rPr>
                <w:rFonts w:cs="Arial"/>
                <w:sz w:val="18"/>
                <w:szCs w:val="18"/>
              </w:rPr>
              <w:t>1,392,702</w:t>
            </w:r>
          </w:p>
        </w:tc>
        <w:tc>
          <w:tcPr>
            <w:tcW w:w="1361" w:type="dxa"/>
            <w:tcBorders>
              <w:top w:val="nil"/>
              <w:left w:val="nil"/>
              <w:bottom w:val="nil"/>
              <w:right w:val="nil"/>
            </w:tcBorders>
            <w:shd w:val="clear" w:color="auto" w:fill="auto"/>
            <w:noWrap/>
            <w:vAlign w:val="bottom"/>
          </w:tcPr>
          <w:p w14:paraId="52672450" w14:textId="4F505F46" w:rsidR="00584325" w:rsidRPr="001D41EA" w:rsidRDefault="00584325" w:rsidP="001D41EA">
            <w:pPr>
              <w:spacing w:before="40" w:after="20"/>
              <w:jc w:val="right"/>
              <w:rPr>
                <w:rFonts w:cs="Arial"/>
                <w:sz w:val="18"/>
                <w:szCs w:val="18"/>
              </w:rPr>
            </w:pPr>
            <w:r w:rsidRPr="001D41EA">
              <w:rPr>
                <w:rFonts w:cs="Arial"/>
                <w:sz w:val="18"/>
                <w:szCs w:val="18"/>
              </w:rPr>
              <w:t>3,074,798</w:t>
            </w:r>
          </w:p>
        </w:tc>
        <w:tc>
          <w:tcPr>
            <w:tcW w:w="1361" w:type="dxa"/>
            <w:tcBorders>
              <w:top w:val="nil"/>
              <w:left w:val="nil"/>
              <w:bottom w:val="nil"/>
              <w:right w:val="nil"/>
            </w:tcBorders>
            <w:vAlign w:val="bottom"/>
          </w:tcPr>
          <w:p w14:paraId="59E8E701" w14:textId="5963D5FF" w:rsidR="00584325" w:rsidRPr="001D41EA" w:rsidRDefault="00584325" w:rsidP="001D41EA">
            <w:pPr>
              <w:spacing w:before="40" w:after="20"/>
              <w:jc w:val="right"/>
              <w:rPr>
                <w:rFonts w:cs="Arial"/>
                <w:sz w:val="18"/>
                <w:szCs w:val="18"/>
              </w:rPr>
            </w:pPr>
            <w:r w:rsidRPr="001D41EA">
              <w:rPr>
                <w:rFonts w:cs="Arial"/>
                <w:sz w:val="18"/>
                <w:szCs w:val="18"/>
              </w:rPr>
              <w:t>20,958,555</w:t>
            </w:r>
          </w:p>
        </w:tc>
        <w:tc>
          <w:tcPr>
            <w:tcW w:w="1361" w:type="dxa"/>
            <w:tcBorders>
              <w:top w:val="nil"/>
              <w:left w:val="nil"/>
              <w:bottom w:val="nil"/>
              <w:right w:val="nil"/>
            </w:tcBorders>
            <w:shd w:val="clear" w:color="auto" w:fill="auto"/>
            <w:noWrap/>
            <w:vAlign w:val="bottom"/>
          </w:tcPr>
          <w:p w14:paraId="56F2F850" w14:textId="6615821C" w:rsidR="00584325" w:rsidRPr="001D41EA" w:rsidRDefault="00584325" w:rsidP="001D41EA">
            <w:pPr>
              <w:spacing w:before="40" w:after="20"/>
              <w:jc w:val="right"/>
              <w:rPr>
                <w:rFonts w:cs="Arial"/>
                <w:b/>
                <w:sz w:val="18"/>
                <w:szCs w:val="18"/>
              </w:rPr>
            </w:pPr>
            <w:r w:rsidRPr="001D41EA">
              <w:rPr>
                <w:rFonts w:cs="Arial"/>
                <w:b/>
                <w:sz w:val="18"/>
                <w:szCs w:val="18"/>
              </w:rPr>
              <w:t>37,885,821</w:t>
            </w:r>
          </w:p>
        </w:tc>
      </w:tr>
      <w:tr w:rsidR="00584325" w:rsidRPr="001D41EA" w14:paraId="4BD9A6B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422FF91" w14:textId="77777777" w:rsidR="00584325" w:rsidRPr="001D41EA" w:rsidRDefault="00584325" w:rsidP="001D41EA">
            <w:pPr>
              <w:spacing w:before="40" w:after="20"/>
              <w:rPr>
                <w:rFonts w:cs="Arial"/>
                <w:sz w:val="18"/>
                <w:szCs w:val="18"/>
              </w:rPr>
            </w:pPr>
            <w:r w:rsidRPr="001D41EA">
              <w:rPr>
                <w:rFonts w:cs="Arial"/>
                <w:sz w:val="18"/>
                <w:szCs w:val="18"/>
              </w:rPr>
              <w:t>Port Phillip C</w:t>
            </w:r>
          </w:p>
        </w:tc>
        <w:tc>
          <w:tcPr>
            <w:tcW w:w="1361" w:type="dxa"/>
            <w:tcBorders>
              <w:top w:val="nil"/>
              <w:left w:val="single" w:sz="18" w:space="0" w:color="5F497A" w:themeColor="accent4" w:themeShade="BF"/>
              <w:bottom w:val="nil"/>
              <w:right w:val="nil"/>
            </w:tcBorders>
            <w:shd w:val="clear" w:color="auto" w:fill="auto"/>
            <w:noWrap/>
            <w:vAlign w:val="bottom"/>
          </w:tcPr>
          <w:p w14:paraId="5DB34719" w14:textId="622D4A48" w:rsidR="00584325" w:rsidRPr="001D41EA" w:rsidRDefault="00584325" w:rsidP="001D41EA">
            <w:pPr>
              <w:spacing w:before="40" w:after="20"/>
              <w:jc w:val="right"/>
              <w:rPr>
                <w:rFonts w:cs="Arial"/>
                <w:sz w:val="18"/>
                <w:szCs w:val="18"/>
              </w:rPr>
            </w:pPr>
            <w:r w:rsidRPr="001D41EA">
              <w:rPr>
                <w:rFonts w:cs="Arial"/>
                <w:sz w:val="18"/>
                <w:szCs w:val="18"/>
              </w:rPr>
              <w:t>15,884,968</w:t>
            </w:r>
          </w:p>
        </w:tc>
        <w:tc>
          <w:tcPr>
            <w:tcW w:w="1361" w:type="dxa"/>
            <w:tcBorders>
              <w:top w:val="nil"/>
              <w:left w:val="nil"/>
              <w:bottom w:val="nil"/>
              <w:right w:val="nil"/>
            </w:tcBorders>
            <w:shd w:val="clear" w:color="auto" w:fill="auto"/>
            <w:noWrap/>
            <w:vAlign w:val="bottom"/>
          </w:tcPr>
          <w:p w14:paraId="41BB79BA" w14:textId="7E878B63" w:rsidR="00584325" w:rsidRPr="001D41EA" w:rsidRDefault="00584325" w:rsidP="001D41EA">
            <w:pPr>
              <w:spacing w:before="40" w:after="20"/>
              <w:jc w:val="right"/>
              <w:rPr>
                <w:rFonts w:cs="Arial"/>
                <w:sz w:val="18"/>
                <w:szCs w:val="18"/>
              </w:rPr>
            </w:pPr>
            <w:r w:rsidRPr="001D41EA">
              <w:rPr>
                <w:rFonts w:cs="Arial"/>
                <w:sz w:val="18"/>
                <w:szCs w:val="18"/>
              </w:rPr>
              <w:t>6,933,950</w:t>
            </w:r>
          </w:p>
        </w:tc>
        <w:tc>
          <w:tcPr>
            <w:tcW w:w="1361" w:type="dxa"/>
            <w:tcBorders>
              <w:top w:val="nil"/>
              <w:left w:val="nil"/>
              <w:bottom w:val="nil"/>
              <w:right w:val="nil"/>
            </w:tcBorders>
            <w:shd w:val="clear" w:color="auto" w:fill="auto"/>
            <w:noWrap/>
            <w:vAlign w:val="bottom"/>
          </w:tcPr>
          <w:p w14:paraId="5039A0C6" w14:textId="30FB5000" w:rsidR="00584325" w:rsidRPr="001D41EA" w:rsidRDefault="00584325" w:rsidP="001D41EA">
            <w:pPr>
              <w:spacing w:before="40" w:after="20"/>
              <w:jc w:val="right"/>
              <w:rPr>
                <w:rFonts w:cs="Arial"/>
                <w:sz w:val="18"/>
                <w:szCs w:val="18"/>
              </w:rPr>
            </w:pPr>
            <w:r w:rsidRPr="001D41EA">
              <w:rPr>
                <w:rFonts w:cs="Arial"/>
                <w:sz w:val="18"/>
                <w:szCs w:val="18"/>
              </w:rPr>
              <w:t>20,034,649</w:t>
            </w:r>
          </w:p>
        </w:tc>
        <w:tc>
          <w:tcPr>
            <w:tcW w:w="1361" w:type="dxa"/>
            <w:tcBorders>
              <w:top w:val="nil"/>
              <w:left w:val="nil"/>
              <w:bottom w:val="nil"/>
              <w:right w:val="nil"/>
            </w:tcBorders>
            <w:vAlign w:val="bottom"/>
          </w:tcPr>
          <w:p w14:paraId="4DD99B5A" w14:textId="3438CD5E" w:rsidR="00584325" w:rsidRPr="001D41EA" w:rsidRDefault="00584325" w:rsidP="001D41EA">
            <w:pPr>
              <w:spacing w:before="40" w:after="20"/>
              <w:jc w:val="right"/>
              <w:rPr>
                <w:rFonts w:cs="Arial"/>
                <w:sz w:val="18"/>
                <w:szCs w:val="18"/>
              </w:rPr>
            </w:pPr>
            <w:r w:rsidRPr="001D41EA">
              <w:rPr>
                <w:rFonts w:cs="Arial"/>
                <w:sz w:val="18"/>
                <w:szCs w:val="18"/>
              </w:rPr>
              <w:t>3,114,246</w:t>
            </w:r>
          </w:p>
        </w:tc>
        <w:tc>
          <w:tcPr>
            <w:tcW w:w="1361" w:type="dxa"/>
            <w:tcBorders>
              <w:top w:val="nil"/>
              <w:left w:val="nil"/>
              <w:bottom w:val="nil"/>
              <w:right w:val="nil"/>
            </w:tcBorders>
            <w:shd w:val="clear" w:color="auto" w:fill="auto"/>
            <w:noWrap/>
            <w:vAlign w:val="bottom"/>
          </w:tcPr>
          <w:p w14:paraId="3029BA37" w14:textId="022B5FED" w:rsidR="00584325" w:rsidRPr="001D41EA" w:rsidRDefault="00584325" w:rsidP="001D41EA">
            <w:pPr>
              <w:spacing w:before="40" w:after="20"/>
              <w:jc w:val="right"/>
              <w:rPr>
                <w:rFonts w:cs="Arial"/>
                <w:b/>
                <w:sz w:val="18"/>
                <w:szCs w:val="18"/>
              </w:rPr>
            </w:pPr>
            <w:r w:rsidRPr="001D41EA">
              <w:rPr>
                <w:rFonts w:cs="Arial"/>
                <w:b/>
                <w:sz w:val="18"/>
                <w:szCs w:val="18"/>
              </w:rPr>
              <w:t>120,498,455</w:t>
            </w:r>
          </w:p>
        </w:tc>
      </w:tr>
      <w:tr w:rsidR="00584325" w:rsidRPr="001D41EA" w14:paraId="43B037C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7DED443" w14:textId="77777777" w:rsidR="00584325" w:rsidRPr="001D41EA" w:rsidRDefault="00584325" w:rsidP="001D41EA">
            <w:pPr>
              <w:spacing w:before="40" w:after="20"/>
              <w:rPr>
                <w:rFonts w:cs="Arial"/>
                <w:sz w:val="18"/>
                <w:szCs w:val="18"/>
              </w:rPr>
            </w:pPr>
            <w:r w:rsidRPr="001D41EA">
              <w:rPr>
                <w:rFonts w:cs="Arial"/>
                <w:sz w:val="18"/>
                <w:szCs w:val="18"/>
              </w:rPr>
              <w:t>Pyrenees S</w:t>
            </w:r>
          </w:p>
        </w:tc>
        <w:tc>
          <w:tcPr>
            <w:tcW w:w="1361" w:type="dxa"/>
            <w:tcBorders>
              <w:top w:val="nil"/>
              <w:left w:val="single" w:sz="18" w:space="0" w:color="5F497A" w:themeColor="accent4" w:themeShade="BF"/>
              <w:bottom w:val="nil"/>
              <w:right w:val="nil"/>
            </w:tcBorders>
            <w:shd w:val="clear" w:color="auto" w:fill="auto"/>
            <w:noWrap/>
            <w:vAlign w:val="bottom"/>
          </w:tcPr>
          <w:p w14:paraId="3A81F73D" w14:textId="550BB33B" w:rsidR="00584325" w:rsidRPr="001D41EA" w:rsidRDefault="00584325" w:rsidP="001D41EA">
            <w:pPr>
              <w:spacing w:before="40" w:after="20"/>
              <w:jc w:val="right"/>
              <w:rPr>
                <w:rFonts w:cs="Arial"/>
                <w:sz w:val="18"/>
                <w:szCs w:val="18"/>
              </w:rPr>
            </w:pPr>
            <w:r w:rsidRPr="001D41EA">
              <w:rPr>
                <w:rFonts w:cs="Arial"/>
                <w:sz w:val="18"/>
                <w:szCs w:val="18"/>
              </w:rPr>
              <w:t>991,220</w:t>
            </w:r>
          </w:p>
        </w:tc>
        <w:tc>
          <w:tcPr>
            <w:tcW w:w="1361" w:type="dxa"/>
            <w:tcBorders>
              <w:top w:val="nil"/>
              <w:left w:val="nil"/>
              <w:bottom w:val="nil"/>
              <w:right w:val="nil"/>
            </w:tcBorders>
            <w:shd w:val="clear" w:color="auto" w:fill="auto"/>
            <w:noWrap/>
            <w:vAlign w:val="bottom"/>
          </w:tcPr>
          <w:p w14:paraId="26F6C464" w14:textId="3CE7B7C0" w:rsidR="00584325" w:rsidRPr="001D41EA" w:rsidRDefault="00584325" w:rsidP="001D41EA">
            <w:pPr>
              <w:spacing w:before="40" w:after="20"/>
              <w:jc w:val="right"/>
              <w:rPr>
                <w:rFonts w:cs="Arial"/>
                <w:sz w:val="18"/>
                <w:szCs w:val="18"/>
              </w:rPr>
            </w:pPr>
            <w:r w:rsidRPr="001D41EA">
              <w:rPr>
                <w:rFonts w:cs="Arial"/>
                <w:sz w:val="18"/>
                <w:szCs w:val="18"/>
              </w:rPr>
              <w:t>1,381,106</w:t>
            </w:r>
          </w:p>
        </w:tc>
        <w:tc>
          <w:tcPr>
            <w:tcW w:w="1361" w:type="dxa"/>
            <w:tcBorders>
              <w:top w:val="nil"/>
              <w:left w:val="nil"/>
              <w:bottom w:val="nil"/>
              <w:right w:val="nil"/>
            </w:tcBorders>
            <w:shd w:val="clear" w:color="auto" w:fill="auto"/>
            <w:noWrap/>
            <w:vAlign w:val="bottom"/>
          </w:tcPr>
          <w:p w14:paraId="63D8F303" w14:textId="20811F03" w:rsidR="00584325" w:rsidRPr="001D41EA" w:rsidRDefault="00584325" w:rsidP="001D41EA">
            <w:pPr>
              <w:spacing w:before="40" w:after="20"/>
              <w:jc w:val="right"/>
              <w:rPr>
                <w:rFonts w:cs="Arial"/>
                <w:sz w:val="18"/>
                <w:szCs w:val="18"/>
              </w:rPr>
            </w:pPr>
            <w:r w:rsidRPr="001D41EA">
              <w:rPr>
                <w:rFonts w:cs="Arial"/>
                <w:sz w:val="18"/>
                <w:szCs w:val="18"/>
              </w:rPr>
              <w:t>2,699,297</w:t>
            </w:r>
          </w:p>
        </w:tc>
        <w:tc>
          <w:tcPr>
            <w:tcW w:w="1361" w:type="dxa"/>
            <w:tcBorders>
              <w:top w:val="nil"/>
              <w:left w:val="nil"/>
              <w:bottom w:val="nil"/>
              <w:right w:val="nil"/>
            </w:tcBorders>
            <w:vAlign w:val="bottom"/>
          </w:tcPr>
          <w:p w14:paraId="14EFAD42" w14:textId="148F7CE6" w:rsidR="00584325" w:rsidRPr="001D41EA" w:rsidRDefault="00584325" w:rsidP="001D41EA">
            <w:pPr>
              <w:spacing w:before="40" w:after="20"/>
              <w:jc w:val="right"/>
              <w:rPr>
                <w:rFonts w:cs="Arial"/>
                <w:sz w:val="18"/>
                <w:szCs w:val="18"/>
              </w:rPr>
            </w:pPr>
            <w:r w:rsidRPr="001D41EA">
              <w:rPr>
                <w:rFonts w:cs="Arial"/>
                <w:sz w:val="18"/>
                <w:szCs w:val="18"/>
              </w:rPr>
              <w:t>15,603,330</w:t>
            </w:r>
          </w:p>
        </w:tc>
        <w:tc>
          <w:tcPr>
            <w:tcW w:w="1361" w:type="dxa"/>
            <w:tcBorders>
              <w:top w:val="nil"/>
              <w:left w:val="nil"/>
              <w:bottom w:val="nil"/>
              <w:right w:val="nil"/>
            </w:tcBorders>
            <w:shd w:val="clear" w:color="auto" w:fill="auto"/>
            <w:noWrap/>
            <w:vAlign w:val="bottom"/>
          </w:tcPr>
          <w:p w14:paraId="49D6776C" w14:textId="5FB74FFB" w:rsidR="00584325" w:rsidRPr="001D41EA" w:rsidRDefault="00584325" w:rsidP="001D41EA">
            <w:pPr>
              <w:spacing w:before="40" w:after="20"/>
              <w:jc w:val="right"/>
              <w:rPr>
                <w:rFonts w:cs="Arial"/>
                <w:b/>
                <w:sz w:val="18"/>
                <w:szCs w:val="18"/>
              </w:rPr>
            </w:pPr>
            <w:r w:rsidRPr="001D41EA">
              <w:rPr>
                <w:rFonts w:cs="Arial"/>
                <w:b/>
                <w:sz w:val="18"/>
                <w:szCs w:val="18"/>
              </w:rPr>
              <w:t>27,365,647</w:t>
            </w:r>
          </w:p>
        </w:tc>
      </w:tr>
      <w:tr w:rsidR="00584325" w:rsidRPr="001D41EA" w14:paraId="4ADCD89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A58F3C8" w14:textId="77777777" w:rsidR="00584325" w:rsidRPr="001D41EA" w:rsidRDefault="00584325" w:rsidP="001D41EA">
            <w:pPr>
              <w:spacing w:before="40" w:after="20"/>
              <w:rPr>
                <w:rFonts w:cs="Arial"/>
                <w:sz w:val="18"/>
                <w:szCs w:val="18"/>
              </w:rPr>
            </w:pPr>
            <w:r w:rsidRPr="001D41EA">
              <w:rPr>
                <w:rFonts w:cs="Arial"/>
                <w:sz w:val="18"/>
                <w:szCs w:val="18"/>
              </w:rPr>
              <w:t>Queenscliffe B</w:t>
            </w:r>
          </w:p>
        </w:tc>
        <w:tc>
          <w:tcPr>
            <w:tcW w:w="1361" w:type="dxa"/>
            <w:tcBorders>
              <w:top w:val="nil"/>
              <w:left w:val="single" w:sz="18" w:space="0" w:color="5F497A" w:themeColor="accent4" w:themeShade="BF"/>
              <w:bottom w:val="nil"/>
              <w:right w:val="nil"/>
            </w:tcBorders>
            <w:shd w:val="clear" w:color="auto" w:fill="auto"/>
            <w:noWrap/>
            <w:vAlign w:val="bottom"/>
          </w:tcPr>
          <w:p w14:paraId="218D30BA" w14:textId="16843484" w:rsidR="00584325" w:rsidRPr="001D41EA" w:rsidRDefault="00584325" w:rsidP="001D41EA">
            <w:pPr>
              <w:spacing w:before="40" w:after="20"/>
              <w:jc w:val="right"/>
              <w:rPr>
                <w:rFonts w:cs="Arial"/>
                <w:sz w:val="18"/>
                <w:szCs w:val="18"/>
              </w:rPr>
            </w:pPr>
            <w:r w:rsidRPr="001D41EA">
              <w:rPr>
                <w:rFonts w:cs="Arial"/>
                <w:sz w:val="18"/>
                <w:szCs w:val="18"/>
              </w:rPr>
              <w:t>647,462</w:t>
            </w:r>
          </w:p>
        </w:tc>
        <w:tc>
          <w:tcPr>
            <w:tcW w:w="1361" w:type="dxa"/>
            <w:tcBorders>
              <w:top w:val="nil"/>
              <w:left w:val="nil"/>
              <w:bottom w:val="nil"/>
              <w:right w:val="nil"/>
            </w:tcBorders>
            <w:shd w:val="clear" w:color="auto" w:fill="auto"/>
            <w:noWrap/>
            <w:vAlign w:val="bottom"/>
          </w:tcPr>
          <w:p w14:paraId="409306B8" w14:textId="68DF67BE" w:rsidR="00584325" w:rsidRPr="001D41EA" w:rsidRDefault="00584325" w:rsidP="001D41EA">
            <w:pPr>
              <w:spacing w:before="40" w:after="20"/>
              <w:jc w:val="right"/>
              <w:rPr>
                <w:rFonts w:cs="Arial"/>
                <w:sz w:val="18"/>
                <w:szCs w:val="18"/>
              </w:rPr>
            </w:pPr>
            <w:r w:rsidRPr="001D41EA">
              <w:rPr>
                <w:rFonts w:cs="Arial"/>
                <w:sz w:val="18"/>
                <w:szCs w:val="18"/>
              </w:rPr>
              <w:t>1,151,433</w:t>
            </w:r>
          </w:p>
        </w:tc>
        <w:tc>
          <w:tcPr>
            <w:tcW w:w="1361" w:type="dxa"/>
            <w:tcBorders>
              <w:top w:val="nil"/>
              <w:left w:val="nil"/>
              <w:bottom w:val="nil"/>
              <w:right w:val="nil"/>
            </w:tcBorders>
            <w:shd w:val="clear" w:color="auto" w:fill="auto"/>
            <w:noWrap/>
            <w:vAlign w:val="bottom"/>
          </w:tcPr>
          <w:p w14:paraId="63758EB1" w14:textId="5D9BE247" w:rsidR="00584325" w:rsidRPr="001D41EA" w:rsidRDefault="00584325" w:rsidP="001D41EA">
            <w:pPr>
              <w:spacing w:before="40" w:after="20"/>
              <w:jc w:val="right"/>
              <w:rPr>
                <w:rFonts w:cs="Arial"/>
                <w:sz w:val="18"/>
                <w:szCs w:val="18"/>
              </w:rPr>
            </w:pPr>
            <w:r w:rsidRPr="001D41EA">
              <w:rPr>
                <w:rFonts w:cs="Arial"/>
                <w:sz w:val="18"/>
                <w:szCs w:val="18"/>
              </w:rPr>
              <w:t>3,005,122</w:t>
            </w:r>
          </w:p>
        </w:tc>
        <w:tc>
          <w:tcPr>
            <w:tcW w:w="1361" w:type="dxa"/>
            <w:tcBorders>
              <w:top w:val="nil"/>
              <w:left w:val="nil"/>
              <w:bottom w:val="nil"/>
              <w:right w:val="nil"/>
            </w:tcBorders>
            <w:vAlign w:val="bottom"/>
          </w:tcPr>
          <w:p w14:paraId="2FF011F1" w14:textId="40449A1B" w:rsidR="00584325" w:rsidRPr="001D41EA" w:rsidRDefault="00584325" w:rsidP="001D41EA">
            <w:pPr>
              <w:spacing w:before="40" w:after="20"/>
              <w:jc w:val="right"/>
              <w:rPr>
                <w:rFonts w:cs="Arial"/>
                <w:sz w:val="18"/>
                <w:szCs w:val="18"/>
              </w:rPr>
            </w:pPr>
            <w:r w:rsidRPr="001D41EA">
              <w:rPr>
                <w:rFonts w:cs="Arial"/>
                <w:sz w:val="18"/>
                <w:szCs w:val="18"/>
              </w:rPr>
              <w:t>427,057</w:t>
            </w:r>
          </w:p>
        </w:tc>
        <w:tc>
          <w:tcPr>
            <w:tcW w:w="1361" w:type="dxa"/>
            <w:tcBorders>
              <w:top w:val="nil"/>
              <w:left w:val="nil"/>
              <w:bottom w:val="nil"/>
              <w:right w:val="nil"/>
            </w:tcBorders>
            <w:shd w:val="clear" w:color="auto" w:fill="auto"/>
            <w:noWrap/>
            <w:vAlign w:val="bottom"/>
          </w:tcPr>
          <w:p w14:paraId="27ED04C6" w14:textId="22D8CF42" w:rsidR="00584325" w:rsidRPr="001D41EA" w:rsidRDefault="00584325" w:rsidP="001D41EA">
            <w:pPr>
              <w:spacing w:before="40" w:after="20"/>
              <w:jc w:val="right"/>
              <w:rPr>
                <w:rFonts w:cs="Arial"/>
                <w:b/>
                <w:sz w:val="18"/>
                <w:szCs w:val="18"/>
              </w:rPr>
            </w:pPr>
            <w:r w:rsidRPr="001D41EA">
              <w:rPr>
                <w:rFonts w:cs="Arial"/>
                <w:b/>
                <w:sz w:val="18"/>
                <w:szCs w:val="18"/>
              </w:rPr>
              <w:t>9,490,208</w:t>
            </w:r>
          </w:p>
        </w:tc>
      </w:tr>
      <w:tr w:rsidR="00584325" w:rsidRPr="001D41EA" w14:paraId="3A8438C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56D6588" w14:textId="77777777" w:rsidR="00584325" w:rsidRPr="001D41EA" w:rsidRDefault="00584325" w:rsidP="001D41EA">
            <w:pPr>
              <w:spacing w:before="40" w:after="20"/>
              <w:rPr>
                <w:rFonts w:cs="Arial"/>
                <w:sz w:val="18"/>
                <w:szCs w:val="18"/>
              </w:rPr>
            </w:pPr>
            <w:r w:rsidRPr="001D41EA">
              <w:rPr>
                <w:rFonts w:cs="Arial"/>
                <w:sz w:val="18"/>
                <w:szCs w:val="18"/>
              </w:rPr>
              <w:t>South Gippsland S</w:t>
            </w:r>
          </w:p>
        </w:tc>
        <w:tc>
          <w:tcPr>
            <w:tcW w:w="1361" w:type="dxa"/>
            <w:tcBorders>
              <w:top w:val="nil"/>
              <w:left w:val="single" w:sz="18" w:space="0" w:color="5F497A" w:themeColor="accent4" w:themeShade="BF"/>
              <w:bottom w:val="nil"/>
              <w:right w:val="nil"/>
            </w:tcBorders>
            <w:shd w:val="clear" w:color="auto" w:fill="auto"/>
            <w:noWrap/>
            <w:vAlign w:val="bottom"/>
          </w:tcPr>
          <w:p w14:paraId="20DCDBFD" w14:textId="7293DB75" w:rsidR="00584325" w:rsidRPr="001D41EA" w:rsidRDefault="00584325" w:rsidP="001D41EA">
            <w:pPr>
              <w:spacing w:before="40" w:after="20"/>
              <w:jc w:val="right"/>
              <w:rPr>
                <w:rFonts w:cs="Arial"/>
                <w:sz w:val="18"/>
                <w:szCs w:val="18"/>
              </w:rPr>
            </w:pPr>
            <w:r w:rsidRPr="001D41EA">
              <w:rPr>
                <w:rFonts w:cs="Arial"/>
                <w:sz w:val="18"/>
                <w:szCs w:val="18"/>
              </w:rPr>
              <w:t>4,454,299</w:t>
            </w:r>
          </w:p>
        </w:tc>
        <w:tc>
          <w:tcPr>
            <w:tcW w:w="1361" w:type="dxa"/>
            <w:tcBorders>
              <w:top w:val="nil"/>
              <w:left w:val="nil"/>
              <w:bottom w:val="nil"/>
              <w:right w:val="nil"/>
            </w:tcBorders>
            <w:shd w:val="clear" w:color="auto" w:fill="auto"/>
            <w:noWrap/>
            <w:vAlign w:val="bottom"/>
          </w:tcPr>
          <w:p w14:paraId="53F03A9F" w14:textId="2D571875" w:rsidR="00584325" w:rsidRPr="001D41EA" w:rsidRDefault="00584325" w:rsidP="001D41EA">
            <w:pPr>
              <w:spacing w:before="40" w:after="20"/>
              <w:jc w:val="right"/>
              <w:rPr>
                <w:rFonts w:cs="Arial"/>
                <w:sz w:val="18"/>
                <w:szCs w:val="18"/>
              </w:rPr>
            </w:pPr>
            <w:r w:rsidRPr="001D41EA">
              <w:rPr>
                <w:rFonts w:cs="Arial"/>
                <w:sz w:val="18"/>
                <w:szCs w:val="18"/>
              </w:rPr>
              <w:t>2,571,971</w:t>
            </w:r>
          </w:p>
        </w:tc>
        <w:tc>
          <w:tcPr>
            <w:tcW w:w="1361" w:type="dxa"/>
            <w:tcBorders>
              <w:top w:val="nil"/>
              <w:left w:val="nil"/>
              <w:bottom w:val="nil"/>
              <w:right w:val="nil"/>
            </w:tcBorders>
            <w:shd w:val="clear" w:color="auto" w:fill="auto"/>
            <w:noWrap/>
            <w:vAlign w:val="bottom"/>
          </w:tcPr>
          <w:p w14:paraId="4205CB11" w14:textId="01520B36" w:rsidR="00584325" w:rsidRPr="001D41EA" w:rsidRDefault="00584325" w:rsidP="001D41EA">
            <w:pPr>
              <w:spacing w:before="40" w:after="20"/>
              <w:jc w:val="right"/>
              <w:rPr>
                <w:rFonts w:cs="Arial"/>
                <w:sz w:val="18"/>
                <w:szCs w:val="18"/>
              </w:rPr>
            </w:pPr>
            <w:r w:rsidRPr="001D41EA">
              <w:rPr>
                <w:rFonts w:cs="Arial"/>
                <w:sz w:val="18"/>
                <w:szCs w:val="18"/>
              </w:rPr>
              <w:t>6,153,535</w:t>
            </w:r>
          </w:p>
        </w:tc>
        <w:tc>
          <w:tcPr>
            <w:tcW w:w="1361" w:type="dxa"/>
            <w:tcBorders>
              <w:top w:val="nil"/>
              <w:left w:val="nil"/>
              <w:bottom w:val="nil"/>
              <w:right w:val="nil"/>
            </w:tcBorders>
            <w:vAlign w:val="bottom"/>
          </w:tcPr>
          <w:p w14:paraId="734C14D4" w14:textId="4384CDC4" w:rsidR="00584325" w:rsidRPr="001D41EA" w:rsidRDefault="00584325" w:rsidP="001D41EA">
            <w:pPr>
              <w:spacing w:before="40" w:after="20"/>
              <w:jc w:val="right"/>
              <w:rPr>
                <w:rFonts w:cs="Arial"/>
                <w:sz w:val="18"/>
                <w:szCs w:val="18"/>
              </w:rPr>
            </w:pPr>
            <w:r w:rsidRPr="001D41EA">
              <w:rPr>
                <w:rFonts w:cs="Arial"/>
                <w:sz w:val="18"/>
                <w:szCs w:val="18"/>
              </w:rPr>
              <w:t>27,380,517</w:t>
            </w:r>
          </w:p>
        </w:tc>
        <w:tc>
          <w:tcPr>
            <w:tcW w:w="1361" w:type="dxa"/>
            <w:tcBorders>
              <w:top w:val="nil"/>
              <w:left w:val="nil"/>
              <w:bottom w:val="nil"/>
              <w:right w:val="nil"/>
            </w:tcBorders>
            <w:shd w:val="clear" w:color="auto" w:fill="auto"/>
            <w:noWrap/>
            <w:vAlign w:val="bottom"/>
          </w:tcPr>
          <w:p w14:paraId="48C7F80F" w14:textId="58D6A60E" w:rsidR="00584325" w:rsidRPr="001D41EA" w:rsidRDefault="00584325" w:rsidP="001D41EA">
            <w:pPr>
              <w:spacing w:before="40" w:after="20"/>
              <w:jc w:val="right"/>
              <w:rPr>
                <w:rFonts w:cs="Arial"/>
                <w:b/>
                <w:sz w:val="18"/>
                <w:szCs w:val="18"/>
              </w:rPr>
            </w:pPr>
            <w:r w:rsidRPr="001D41EA">
              <w:rPr>
                <w:rFonts w:cs="Arial"/>
                <w:b/>
                <w:sz w:val="18"/>
                <w:szCs w:val="18"/>
              </w:rPr>
              <w:t>65,471,476</w:t>
            </w:r>
          </w:p>
        </w:tc>
      </w:tr>
      <w:tr w:rsidR="00584325" w:rsidRPr="001D41EA" w14:paraId="49C1520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D83289E" w14:textId="77777777" w:rsidR="00584325" w:rsidRPr="001D41EA" w:rsidRDefault="00584325" w:rsidP="001D41EA">
            <w:pPr>
              <w:spacing w:before="40" w:after="20"/>
              <w:rPr>
                <w:rFonts w:cs="Arial"/>
                <w:sz w:val="18"/>
                <w:szCs w:val="18"/>
              </w:rPr>
            </w:pPr>
            <w:r w:rsidRPr="001D41EA">
              <w:rPr>
                <w:rFonts w:cs="Arial"/>
                <w:sz w:val="18"/>
                <w:szCs w:val="18"/>
              </w:rPr>
              <w:t>Southern Grampians S</w:t>
            </w:r>
          </w:p>
        </w:tc>
        <w:tc>
          <w:tcPr>
            <w:tcW w:w="1361" w:type="dxa"/>
            <w:tcBorders>
              <w:top w:val="nil"/>
              <w:left w:val="single" w:sz="18" w:space="0" w:color="5F497A" w:themeColor="accent4" w:themeShade="BF"/>
              <w:bottom w:val="nil"/>
              <w:right w:val="nil"/>
            </w:tcBorders>
            <w:shd w:val="clear" w:color="auto" w:fill="auto"/>
            <w:noWrap/>
            <w:vAlign w:val="bottom"/>
          </w:tcPr>
          <w:p w14:paraId="2BBA3F0B" w14:textId="3DAD41D3" w:rsidR="00584325" w:rsidRPr="001D41EA" w:rsidRDefault="00584325" w:rsidP="001D41EA">
            <w:pPr>
              <w:spacing w:before="40" w:after="20"/>
              <w:jc w:val="right"/>
              <w:rPr>
                <w:rFonts w:cs="Arial"/>
                <w:sz w:val="18"/>
                <w:szCs w:val="18"/>
              </w:rPr>
            </w:pPr>
            <w:r w:rsidRPr="001D41EA">
              <w:rPr>
                <w:rFonts w:cs="Arial"/>
                <w:sz w:val="18"/>
                <w:szCs w:val="18"/>
              </w:rPr>
              <w:t>2,255,088</w:t>
            </w:r>
          </w:p>
        </w:tc>
        <w:tc>
          <w:tcPr>
            <w:tcW w:w="1361" w:type="dxa"/>
            <w:tcBorders>
              <w:top w:val="nil"/>
              <w:left w:val="nil"/>
              <w:bottom w:val="nil"/>
              <w:right w:val="nil"/>
            </w:tcBorders>
            <w:shd w:val="clear" w:color="auto" w:fill="auto"/>
            <w:noWrap/>
            <w:vAlign w:val="bottom"/>
          </w:tcPr>
          <w:p w14:paraId="23115666" w14:textId="3AC31438" w:rsidR="00584325" w:rsidRPr="001D41EA" w:rsidRDefault="00584325" w:rsidP="001D41EA">
            <w:pPr>
              <w:spacing w:before="40" w:after="20"/>
              <w:jc w:val="right"/>
              <w:rPr>
                <w:rFonts w:cs="Arial"/>
                <w:sz w:val="18"/>
                <w:szCs w:val="18"/>
              </w:rPr>
            </w:pPr>
            <w:r w:rsidRPr="001D41EA">
              <w:rPr>
                <w:rFonts w:cs="Arial"/>
                <w:sz w:val="18"/>
                <w:szCs w:val="18"/>
              </w:rPr>
              <w:t>1,327,040</w:t>
            </w:r>
          </w:p>
        </w:tc>
        <w:tc>
          <w:tcPr>
            <w:tcW w:w="1361" w:type="dxa"/>
            <w:tcBorders>
              <w:top w:val="nil"/>
              <w:left w:val="nil"/>
              <w:bottom w:val="nil"/>
              <w:right w:val="nil"/>
            </w:tcBorders>
            <w:shd w:val="clear" w:color="auto" w:fill="auto"/>
            <w:noWrap/>
            <w:vAlign w:val="bottom"/>
          </w:tcPr>
          <w:p w14:paraId="6B2C52E1" w14:textId="68EB76A4" w:rsidR="00584325" w:rsidRPr="001D41EA" w:rsidRDefault="00584325" w:rsidP="001D41EA">
            <w:pPr>
              <w:spacing w:before="40" w:after="20"/>
              <w:jc w:val="right"/>
              <w:rPr>
                <w:rFonts w:cs="Arial"/>
                <w:sz w:val="18"/>
                <w:szCs w:val="18"/>
              </w:rPr>
            </w:pPr>
            <w:r w:rsidRPr="001D41EA">
              <w:rPr>
                <w:rFonts w:cs="Arial"/>
                <w:sz w:val="18"/>
                <w:szCs w:val="18"/>
              </w:rPr>
              <w:t>3,334,103</w:t>
            </w:r>
          </w:p>
        </w:tc>
        <w:tc>
          <w:tcPr>
            <w:tcW w:w="1361" w:type="dxa"/>
            <w:tcBorders>
              <w:top w:val="nil"/>
              <w:left w:val="nil"/>
              <w:bottom w:val="nil"/>
              <w:right w:val="nil"/>
            </w:tcBorders>
            <w:vAlign w:val="bottom"/>
          </w:tcPr>
          <w:p w14:paraId="1E747B0D" w14:textId="2C336AAA" w:rsidR="00584325" w:rsidRPr="001D41EA" w:rsidRDefault="00584325" w:rsidP="001D41EA">
            <w:pPr>
              <w:spacing w:before="40" w:after="20"/>
              <w:jc w:val="right"/>
              <w:rPr>
                <w:rFonts w:cs="Arial"/>
                <w:sz w:val="18"/>
                <w:szCs w:val="18"/>
              </w:rPr>
            </w:pPr>
            <w:r w:rsidRPr="001D41EA">
              <w:rPr>
                <w:rFonts w:cs="Arial"/>
                <w:sz w:val="18"/>
                <w:szCs w:val="18"/>
              </w:rPr>
              <w:t>22,206,694</w:t>
            </w:r>
          </w:p>
        </w:tc>
        <w:tc>
          <w:tcPr>
            <w:tcW w:w="1361" w:type="dxa"/>
            <w:tcBorders>
              <w:top w:val="nil"/>
              <w:left w:val="nil"/>
              <w:bottom w:val="nil"/>
              <w:right w:val="nil"/>
            </w:tcBorders>
            <w:shd w:val="clear" w:color="auto" w:fill="auto"/>
            <w:noWrap/>
            <w:vAlign w:val="bottom"/>
          </w:tcPr>
          <w:p w14:paraId="75A15831" w14:textId="4B8FC39D" w:rsidR="00584325" w:rsidRPr="001D41EA" w:rsidRDefault="00584325" w:rsidP="001D41EA">
            <w:pPr>
              <w:spacing w:before="40" w:after="20"/>
              <w:jc w:val="right"/>
              <w:rPr>
                <w:rFonts w:cs="Arial"/>
                <w:b/>
                <w:sz w:val="18"/>
                <w:szCs w:val="18"/>
              </w:rPr>
            </w:pPr>
            <w:r w:rsidRPr="001D41EA">
              <w:rPr>
                <w:rFonts w:cs="Arial"/>
                <w:b/>
                <w:sz w:val="18"/>
                <w:szCs w:val="18"/>
              </w:rPr>
              <w:t>41,748,589</w:t>
            </w:r>
          </w:p>
        </w:tc>
      </w:tr>
      <w:tr w:rsidR="00584325" w:rsidRPr="001D41EA" w14:paraId="18CFA9A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874A4B2" w14:textId="77777777" w:rsidR="00584325" w:rsidRPr="001D41EA" w:rsidRDefault="00584325" w:rsidP="001D41EA">
            <w:pPr>
              <w:spacing w:before="40" w:after="20"/>
              <w:rPr>
                <w:rFonts w:cs="Arial"/>
                <w:sz w:val="18"/>
                <w:szCs w:val="18"/>
              </w:rPr>
            </w:pPr>
            <w:r w:rsidRPr="001D41EA">
              <w:rPr>
                <w:rFonts w:cs="Arial"/>
                <w:sz w:val="18"/>
                <w:szCs w:val="18"/>
              </w:rPr>
              <w:t>Stonnington C</w:t>
            </w:r>
          </w:p>
        </w:tc>
        <w:tc>
          <w:tcPr>
            <w:tcW w:w="1361" w:type="dxa"/>
            <w:tcBorders>
              <w:top w:val="nil"/>
              <w:left w:val="single" w:sz="18" w:space="0" w:color="5F497A" w:themeColor="accent4" w:themeShade="BF"/>
              <w:bottom w:val="nil"/>
              <w:right w:val="nil"/>
            </w:tcBorders>
            <w:shd w:val="clear" w:color="auto" w:fill="auto"/>
            <w:noWrap/>
            <w:vAlign w:val="bottom"/>
          </w:tcPr>
          <w:p w14:paraId="4DDF0573" w14:textId="65503F4A" w:rsidR="00584325" w:rsidRPr="001D41EA" w:rsidRDefault="00584325" w:rsidP="001D41EA">
            <w:pPr>
              <w:spacing w:before="40" w:after="20"/>
              <w:jc w:val="right"/>
              <w:rPr>
                <w:rFonts w:cs="Arial"/>
                <w:sz w:val="18"/>
                <w:szCs w:val="18"/>
              </w:rPr>
            </w:pPr>
            <w:r w:rsidRPr="001D41EA">
              <w:rPr>
                <w:rFonts w:cs="Arial"/>
                <w:sz w:val="18"/>
                <w:szCs w:val="18"/>
              </w:rPr>
              <w:t>16,396,904</w:t>
            </w:r>
          </w:p>
        </w:tc>
        <w:tc>
          <w:tcPr>
            <w:tcW w:w="1361" w:type="dxa"/>
            <w:tcBorders>
              <w:top w:val="nil"/>
              <w:left w:val="nil"/>
              <w:bottom w:val="nil"/>
              <w:right w:val="nil"/>
            </w:tcBorders>
            <w:shd w:val="clear" w:color="auto" w:fill="auto"/>
            <w:noWrap/>
            <w:vAlign w:val="bottom"/>
          </w:tcPr>
          <w:p w14:paraId="7FE0DCDF" w14:textId="5298F13E" w:rsidR="00584325" w:rsidRPr="001D41EA" w:rsidRDefault="00584325" w:rsidP="001D41EA">
            <w:pPr>
              <w:spacing w:before="40" w:after="20"/>
              <w:jc w:val="right"/>
              <w:rPr>
                <w:rFonts w:cs="Arial"/>
                <w:sz w:val="18"/>
                <w:szCs w:val="18"/>
              </w:rPr>
            </w:pPr>
            <w:r w:rsidRPr="001D41EA">
              <w:rPr>
                <w:rFonts w:cs="Arial"/>
                <w:sz w:val="18"/>
                <w:szCs w:val="18"/>
              </w:rPr>
              <w:t>7,265,605</w:t>
            </w:r>
          </w:p>
        </w:tc>
        <w:tc>
          <w:tcPr>
            <w:tcW w:w="1361" w:type="dxa"/>
            <w:tcBorders>
              <w:top w:val="nil"/>
              <w:left w:val="nil"/>
              <w:bottom w:val="nil"/>
              <w:right w:val="nil"/>
            </w:tcBorders>
            <w:shd w:val="clear" w:color="auto" w:fill="auto"/>
            <w:noWrap/>
            <w:vAlign w:val="bottom"/>
          </w:tcPr>
          <w:p w14:paraId="70865DE1" w14:textId="506BBEEC" w:rsidR="00584325" w:rsidRPr="001D41EA" w:rsidRDefault="00584325" w:rsidP="001D41EA">
            <w:pPr>
              <w:spacing w:before="40" w:after="20"/>
              <w:jc w:val="right"/>
              <w:rPr>
                <w:rFonts w:cs="Arial"/>
                <w:sz w:val="18"/>
                <w:szCs w:val="18"/>
              </w:rPr>
            </w:pPr>
            <w:r w:rsidRPr="001D41EA">
              <w:rPr>
                <w:rFonts w:cs="Arial"/>
                <w:sz w:val="18"/>
                <w:szCs w:val="18"/>
              </w:rPr>
              <w:t>20,495,261</w:t>
            </w:r>
          </w:p>
        </w:tc>
        <w:tc>
          <w:tcPr>
            <w:tcW w:w="1361" w:type="dxa"/>
            <w:tcBorders>
              <w:top w:val="nil"/>
              <w:left w:val="nil"/>
              <w:bottom w:val="nil"/>
              <w:right w:val="nil"/>
            </w:tcBorders>
            <w:vAlign w:val="bottom"/>
          </w:tcPr>
          <w:p w14:paraId="6DCC7F24" w14:textId="5088570C" w:rsidR="00584325" w:rsidRPr="001D41EA" w:rsidRDefault="00584325" w:rsidP="001D41EA">
            <w:pPr>
              <w:spacing w:before="40" w:after="20"/>
              <w:jc w:val="right"/>
              <w:rPr>
                <w:rFonts w:cs="Arial"/>
                <w:sz w:val="18"/>
                <w:szCs w:val="18"/>
              </w:rPr>
            </w:pPr>
            <w:r w:rsidRPr="001D41EA">
              <w:rPr>
                <w:rFonts w:cs="Arial"/>
                <w:sz w:val="18"/>
                <w:szCs w:val="18"/>
              </w:rPr>
              <w:t>3,327,899</w:t>
            </w:r>
          </w:p>
        </w:tc>
        <w:tc>
          <w:tcPr>
            <w:tcW w:w="1361" w:type="dxa"/>
            <w:tcBorders>
              <w:top w:val="nil"/>
              <w:left w:val="nil"/>
              <w:bottom w:val="nil"/>
              <w:right w:val="nil"/>
            </w:tcBorders>
            <w:shd w:val="clear" w:color="auto" w:fill="auto"/>
            <w:noWrap/>
            <w:vAlign w:val="bottom"/>
          </w:tcPr>
          <w:p w14:paraId="59367266" w14:textId="1980561B" w:rsidR="00584325" w:rsidRPr="001D41EA" w:rsidRDefault="00584325" w:rsidP="001D41EA">
            <w:pPr>
              <w:spacing w:before="40" w:after="20"/>
              <w:jc w:val="right"/>
              <w:rPr>
                <w:rFonts w:cs="Arial"/>
                <w:b/>
                <w:sz w:val="18"/>
                <w:szCs w:val="18"/>
              </w:rPr>
            </w:pPr>
            <w:r w:rsidRPr="001D41EA">
              <w:rPr>
                <w:rFonts w:cs="Arial"/>
                <w:b/>
                <w:sz w:val="18"/>
                <w:szCs w:val="18"/>
              </w:rPr>
              <w:t>121,591,237</w:t>
            </w:r>
          </w:p>
        </w:tc>
      </w:tr>
      <w:tr w:rsidR="00584325" w:rsidRPr="001D41EA" w14:paraId="2D15A10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1ACCD33" w14:textId="77777777" w:rsidR="00584325" w:rsidRPr="001D41EA" w:rsidRDefault="00584325" w:rsidP="001D41EA">
            <w:pPr>
              <w:spacing w:before="40" w:after="20"/>
              <w:rPr>
                <w:rFonts w:cs="Arial"/>
                <w:sz w:val="18"/>
                <w:szCs w:val="18"/>
              </w:rPr>
            </w:pPr>
            <w:r w:rsidRPr="001D41EA">
              <w:rPr>
                <w:rFonts w:cs="Arial"/>
                <w:sz w:val="18"/>
                <w:szCs w:val="18"/>
              </w:rPr>
              <w:t>Strathbogie S</w:t>
            </w:r>
          </w:p>
        </w:tc>
        <w:tc>
          <w:tcPr>
            <w:tcW w:w="1361" w:type="dxa"/>
            <w:tcBorders>
              <w:top w:val="nil"/>
              <w:left w:val="single" w:sz="18" w:space="0" w:color="5F497A" w:themeColor="accent4" w:themeShade="BF"/>
              <w:bottom w:val="nil"/>
              <w:right w:val="nil"/>
            </w:tcBorders>
            <w:shd w:val="clear" w:color="auto" w:fill="auto"/>
            <w:noWrap/>
            <w:vAlign w:val="bottom"/>
          </w:tcPr>
          <w:p w14:paraId="0D4913B1" w14:textId="6B740F1D" w:rsidR="00584325" w:rsidRPr="001D41EA" w:rsidRDefault="00584325" w:rsidP="001D41EA">
            <w:pPr>
              <w:spacing w:before="40" w:after="20"/>
              <w:jc w:val="right"/>
              <w:rPr>
                <w:rFonts w:cs="Arial"/>
                <w:sz w:val="18"/>
                <w:szCs w:val="18"/>
              </w:rPr>
            </w:pPr>
            <w:r w:rsidRPr="001D41EA">
              <w:rPr>
                <w:rFonts w:cs="Arial"/>
                <w:sz w:val="18"/>
                <w:szCs w:val="18"/>
              </w:rPr>
              <w:t>1,518,030</w:t>
            </w:r>
          </w:p>
        </w:tc>
        <w:tc>
          <w:tcPr>
            <w:tcW w:w="1361" w:type="dxa"/>
            <w:tcBorders>
              <w:top w:val="nil"/>
              <w:left w:val="nil"/>
              <w:bottom w:val="nil"/>
              <w:right w:val="nil"/>
            </w:tcBorders>
            <w:shd w:val="clear" w:color="auto" w:fill="auto"/>
            <w:noWrap/>
            <w:vAlign w:val="bottom"/>
          </w:tcPr>
          <w:p w14:paraId="47853203" w14:textId="5E74CC69" w:rsidR="00584325" w:rsidRPr="001D41EA" w:rsidRDefault="00584325" w:rsidP="001D41EA">
            <w:pPr>
              <w:spacing w:before="40" w:after="20"/>
              <w:jc w:val="right"/>
              <w:rPr>
                <w:rFonts w:cs="Arial"/>
                <w:sz w:val="18"/>
                <w:szCs w:val="18"/>
              </w:rPr>
            </w:pPr>
            <w:r w:rsidRPr="001D41EA">
              <w:rPr>
                <w:rFonts w:cs="Arial"/>
                <w:sz w:val="18"/>
                <w:szCs w:val="18"/>
              </w:rPr>
              <w:t>1,392,375</w:t>
            </w:r>
          </w:p>
        </w:tc>
        <w:tc>
          <w:tcPr>
            <w:tcW w:w="1361" w:type="dxa"/>
            <w:tcBorders>
              <w:top w:val="nil"/>
              <w:left w:val="nil"/>
              <w:bottom w:val="nil"/>
              <w:right w:val="nil"/>
            </w:tcBorders>
            <w:shd w:val="clear" w:color="auto" w:fill="auto"/>
            <w:noWrap/>
            <w:vAlign w:val="bottom"/>
          </w:tcPr>
          <w:p w14:paraId="5BDC6638" w14:textId="41D2C22B" w:rsidR="00584325" w:rsidRPr="001D41EA" w:rsidRDefault="00584325" w:rsidP="001D41EA">
            <w:pPr>
              <w:spacing w:before="40" w:after="20"/>
              <w:jc w:val="right"/>
              <w:rPr>
                <w:rFonts w:cs="Arial"/>
                <w:sz w:val="18"/>
                <w:szCs w:val="18"/>
              </w:rPr>
            </w:pPr>
            <w:r w:rsidRPr="001D41EA">
              <w:rPr>
                <w:rFonts w:cs="Arial"/>
                <w:sz w:val="18"/>
                <w:szCs w:val="18"/>
              </w:rPr>
              <w:t>2,771,734</w:t>
            </w:r>
          </w:p>
        </w:tc>
        <w:tc>
          <w:tcPr>
            <w:tcW w:w="1361" w:type="dxa"/>
            <w:tcBorders>
              <w:top w:val="nil"/>
              <w:left w:val="nil"/>
              <w:bottom w:val="nil"/>
              <w:right w:val="nil"/>
            </w:tcBorders>
            <w:vAlign w:val="bottom"/>
          </w:tcPr>
          <w:p w14:paraId="314A56F9" w14:textId="4D6FC649" w:rsidR="00584325" w:rsidRPr="001D41EA" w:rsidRDefault="00584325" w:rsidP="001D41EA">
            <w:pPr>
              <w:spacing w:before="40" w:after="20"/>
              <w:jc w:val="right"/>
              <w:rPr>
                <w:rFonts w:cs="Arial"/>
                <w:sz w:val="18"/>
                <w:szCs w:val="18"/>
              </w:rPr>
            </w:pPr>
            <w:r w:rsidRPr="001D41EA">
              <w:rPr>
                <w:rFonts w:cs="Arial"/>
                <w:sz w:val="18"/>
                <w:szCs w:val="18"/>
              </w:rPr>
              <w:t>15,997,184</w:t>
            </w:r>
          </w:p>
        </w:tc>
        <w:tc>
          <w:tcPr>
            <w:tcW w:w="1361" w:type="dxa"/>
            <w:tcBorders>
              <w:top w:val="nil"/>
              <w:left w:val="nil"/>
              <w:bottom w:val="nil"/>
              <w:right w:val="nil"/>
            </w:tcBorders>
            <w:shd w:val="clear" w:color="auto" w:fill="auto"/>
            <w:noWrap/>
            <w:vAlign w:val="bottom"/>
          </w:tcPr>
          <w:p w14:paraId="0BF76620" w14:textId="5416B01E" w:rsidR="00584325" w:rsidRPr="001D41EA" w:rsidRDefault="00584325" w:rsidP="001D41EA">
            <w:pPr>
              <w:spacing w:before="40" w:after="20"/>
              <w:jc w:val="right"/>
              <w:rPr>
                <w:rFonts w:cs="Arial"/>
                <w:b/>
                <w:sz w:val="18"/>
                <w:szCs w:val="18"/>
              </w:rPr>
            </w:pPr>
            <w:r w:rsidRPr="001D41EA">
              <w:rPr>
                <w:rFonts w:cs="Arial"/>
                <w:b/>
                <w:sz w:val="18"/>
                <w:szCs w:val="18"/>
              </w:rPr>
              <w:t>31,198,787</w:t>
            </w:r>
          </w:p>
        </w:tc>
      </w:tr>
      <w:tr w:rsidR="00584325" w:rsidRPr="001D41EA" w14:paraId="26FA708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1CF8DB8" w14:textId="77777777" w:rsidR="00584325" w:rsidRPr="001D41EA" w:rsidRDefault="00584325" w:rsidP="001D41EA">
            <w:pPr>
              <w:spacing w:before="40" w:after="20"/>
              <w:rPr>
                <w:rFonts w:cs="Arial"/>
                <w:sz w:val="18"/>
                <w:szCs w:val="18"/>
              </w:rPr>
            </w:pPr>
            <w:r w:rsidRPr="001D41EA">
              <w:rPr>
                <w:rFonts w:cs="Arial"/>
                <w:sz w:val="18"/>
                <w:szCs w:val="18"/>
              </w:rPr>
              <w:t>Surf Coast S</w:t>
            </w:r>
          </w:p>
        </w:tc>
        <w:tc>
          <w:tcPr>
            <w:tcW w:w="1361" w:type="dxa"/>
            <w:tcBorders>
              <w:top w:val="nil"/>
              <w:left w:val="single" w:sz="18" w:space="0" w:color="5F497A" w:themeColor="accent4" w:themeShade="BF"/>
              <w:bottom w:val="nil"/>
              <w:right w:val="nil"/>
            </w:tcBorders>
            <w:shd w:val="clear" w:color="auto" w:fill="auto"/>
            <w:noWrap/>
            <w:vAlign w:val="bottom"/>
          </w:tcPr>
          <w:p w14:paraId="027C8F35" w14:textId="056F4153" w:rsidR="00584325" w:rsidRPr="001D41EA" w:rsidRDefault="00584325" w:rsidP="001D41EA">
            <w:pPr>
              <w:spacing w:before="40" w:after="20"/>
              <w:jc w:val="right"/>
              <w:rPr>
                <w:rFonts w:cs="Arial"/>
                <w:sz w:val="18"/>
                <w:szCs w:val="18"/>
              </w:rPr>
            </w:pPr>
            <w:r w:rsidRPr="001D41EA">
              <w:rPr>
                <w:rFonts w:cs="Arial"/>
                <w:sz w:val="18"/>
                <w:szCs w:val="18"/>
              </w:rPr>
              <w:t>5,962,585</w:t>
            </w:r>
          </w:p>
        </w:tc>
        <w:tc>
          <w:tcPr>
            <w:tcW w:w="1361" w:type="dxa"/>
            <w:tcBorders>
              <w:top w:val="nil"/>
              <w:left w:val="nil"/>
              <w:bottom w:val="nil"/>
              <w:right w:val="nil"/>
            </w:tcBorders>
            <w:shd w:val="clear" w:color="auto" w:fill="auto"/>
            <w:noWrap/>
            <w:vAlign w:val="bottom"/>
          </w:tcPr>
          <w:p w14:paraId="7F8EA30A" w14:textId="1829B923" w:rsidR="00584325" w:rsidRPr="001D41EA" w:rsidRDefault="00584325" w:rsidP="001D41EA">
            <w:pPr>
              <w:spacing w:before="40" w:after="20"/>
              <w:jc w:val="right"/>
              <w:rPr>
                <w:rFonts w:cs="Arial"/>
                <w:sz w:val="18"/>
                <w:szCs w:val="18"/>
              </w:rPr>
            </w:pPr>
            <w:r w:rsidRPr="001D41EA">
              <w:rPr>
                <w:rFonts w:cs="Arial"/>
                <w:sz w:val="18"/>
                <w:szCs w:val="18"/>
              </w:rPr>
              <w:t>3,290,051</w:t>
            </w:r>
          </w:p>
        </w:tc>
        <w:tc>
          <w:tcPr>
            <w:tcW w:w="1361" w:type="dxa"/>
            <w:tcBorders>
              <w:top w:val="nil"/>
              <w:left w:val="nil"/>
              <w:bottom w:val="nil"/>
              <w:right w:val="nil"/>
            </w:tcBorders>
            <w:shd w:val="clear" w:color="auto" w:fill="auto"/>
            <w:noWrap/>
            <w:vAlign w:val="bottom"/>
          </w:tcPr>
          <w:p w14:paraId="1E11BF15" w14:textId="13B03F19" w:rsidR="00584325" w:rsidRPr="001D41EA" w:rsidRDefault="00584325" w:rsidP="001D41EA">
            <w:pPr>
              <w:spacing w:before="40" w:after="20"/>
              <w:jc w:val="right"/>
              <w:rPr>
                <w:rFonts w:cs="Arial"/>
                <w:sz w:val="18"/>
                <w:szCs w:val="18"/>
              </w:rPr>
            </w:pPr>
            <w:r w:rsidRPr="001D41EA">
              <w:rPr>
                <w:rFonts w:cs="Arial"/>
                <w:sz w:val="18"/>
                <w:szCs w:val="18"/>
              </w:rPr>
              <w:t>7,531,465</w:t>
            </w:r>
          </w:p>
        </w:tc>
        <w:tc>
          <w:tcPr>
            <w:tcW w:w="1361" w:type="dxa"/>
            <w:tcBorders>
              <w:top w:val="nil"/>
              <w:left w:val="nil"/>
              <w:bottom w:val="nil"/>
              <w:right w:val="nil"/>
            </w:tcBorders>
            <w:vAlign w:val="bottom"/>
          </w:tcPr>
          <w:p w14:paraId="29DC4A31" w14:textId="6B714B37" w:rsidR="00584325" w:rsidRPr="001D41EA" w:rsidRDefault="00584325" w:rsidP="001D41EA">
            <w:pPr>
              <w:spacing w:before="40" w:after="20"/>
              <w:jc w:val="right"/>
              <w:rPr>
                <w:rFonts w:cs="Arial"/>
                <w:sz w:val="18"/>
                <w:szCs w:val="18"/>
              </w:rPr>
            </w:pPr>
            <w:r w:rsidRPr="001D41EA">
              <w:rPr>
                <w:rFonts w:cs="Arial"/>
                <w:sz w:val="18"/>
                <w:szCs w:val="18"/>
              </w:rPr>
              <w:t>11,811,159</w:t>
            </w:r>
          </w:p>
        </w:tc>
        <w:tc>
          <w:tcPr>
            <w:tcW w:w="1361" w:type="dxa"/>
            <w:tcBorders>
              <w:top w:val="nil"/>
              <w:left w:val="nil"/>
              <w:bottom w:val="nil"/>
              <w:right w:val="nil"/>
            </w:tcBorders>
            <w:shd w:val="clear" w:color="auto" w:fill="auto"/>
            <w:noWrap/>
            <w:vAlign w:val="bottom"/>
          </w:tcPr>
          <w:p w14:paraId="0317112C" w14:textId="745F7277" w:rsidR="00584325" w:rsidRPr="001D41EA" w:rsidRDefault="00584325" w:rsidP="001D41EA">
            <w:pPr>
              <w:spacing w:before="40" w:after="20"/>
              <w:jc w:val="right"/>
              <w:rPr>
                <w:rFonts w:cs="Arial"/>
                <w:b/>
                <w:sz w:val="18"/>
                <w:szCs w:val="18"/>
              </w:rPr>
            </w:pPr>
            <w:r w:rsidRPr="001D41EA">
              <w:rPr>
                <w:rFonts w:cs="Arial"/>
                <w:b/>
                <w:sz w:val="18"/>
                <w:szCs w:val="18"/>
              </w:rPr>
              <w:t>57,117,910</w:t>
            </w:r>
          </w:p>
        </w:tc>
      </w:tr>
      <w:tr w:rsidR="00584325" w:rsidRPr="001D41EA" w14:paraId="440ECA4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0BB663F" w14:textId="77777777" w:rsidR="00584325" w:rsidRPr="001D41EA" w:rsidRDefault="00584325" w:rsidP="001D41EA">
            <w:pPr>
              <w:spacing w:before="40" w:after="20"/>
              <w:rPr>
                <w:rFonts w:cs="Arial"/>
                <w:sz w:val="18"/>
                <w:szCs w:val="18"/>
              </w:rPr>
            </w:pPr>
            <w:r w:rsidRPr="001D41EA">
              <w:rPr>
                <w:rFonts w:cs="Arial"/>
                <w:sz w:val="18"/>
                <w:szCs w:val="18"/>
              </w:rPr>
              <w:t>Swan Hill RC</w:t>
            </w:r>
          </w:p>
        </w:tc>
        <w:tc>
          <w:tcPr>
            <w:tcW w:w="1361" w:type="dxa"/>
            <w:tcBorders>
              <w:top w:val="nil"/>
              <w:left w:val="single" w:sz="18" w:space="0" w:color="5F497A" w:themeColor="accent4" w:themeShade="BF"/>
              <w:bottom w:val="nil"/>
              <w:right w:val="nil"/>
            </w:tcBorders>
            <w:shd w:val="clear" w:color="auto" w:fill="auto"/>
            <w:noWrap/>
            <w:vAlign w:val="bottom"/>
          </w:tcPr>
          <w:p w14:paraId="604E7E1D" w14:textId="0CB7383E" w:rsidR="00584325" w:rsidRPr="001D41EA" w:rsidRDefault="00584325" w:rsidP="001D41EA">
            <w:pPr>
              <w:spacing w:before="40" w:after="20"/>
              <w:jc w:val="right"/>
              <w:rPr>
                <w:rFonts w:cs="Arial"/>
                <w:sz w:val="18"/>
                <w:szCs w:val="18"/>
              </w:rPr>
            </w:pPr>
            <w:r w:rsidRPr="001D41EA">
              <w:rPr>
                <w:rFonts w:cs="Arial"/>
                <w:sz w:val="18"/>
                <w:szCs w:val="18"/>
              </w:rPr>
              <w:t>2,903,941</w:t>
            </w:r>
          </w:p>
        </w:tc>
        <w:tc>
          <w:tcPr>
            <w:tcW w:w="1361" w:type="dxa"/>
            <w:tcBorders>
              <w:top w:val="nil"/>
              <w:left w:val="nil"/>
              <w:bottom w:val="nil"/>
              <w:right w:val="nil"/>
            </w:tcBorders>
            <w:shd w:val="clear" w:color="auto" w:fill="auto"/>
            <w:noWrap/>
            <w:vAlign w:val="bottom"/>
          </w:tcPr>
          <w:p w14:paraId="3E4908DC" w14:textId="6BF5637C" w:rsidR="00584325" w:rsidRPr="001D41EA" w:rsidRDefault="00584325" w:rsidP="001D41EA">
            <w:pPr>
              <w:spacing w:before="40" w:after="20"/>
              <w:jc w:val="right"/>
              <w:rPr>
                <w:rFonts w:cs="Arial"/>
                <w:sz w:val="18"/>
                <w:szCs w:val="18"/>
              </w:rPr>
            </w:pPr>
            <w:r w:rsidRPr="001D41EA">
              <w:rPr>
                <w:rFonts w:cs="Arial"/>
                <w:sz w:val="18"/>
                <w:szCs w:val="18"/>
              </w:rPr>
              <w:t>1,742,008</w:t>
            </w:r>
          </w:p>
        </w:tc>
        <w:tc>
          <w:tcPr>
            <w:tcW w:w="1361" w:type="dxa"/>
            <w:tcBorders>
              <w:top w:val="nil"/>
              <w:left w:val="nil"/>
              <w:bottom w:val="nil"/>
              <w:right w:val="nil"/>
            </w:tcBorders>
            <w:shd w:val="clear" w:color="auto" w:fill="auto"/>
            <w:noWrap/>
            <w:vAlign w:val="bottom"/>
          </w:tcPr>
          <w:p w14:paraId="12E5B019" w14:textId="3FF67865" w:rsidR="00584325" w:rsidRPr="001D41EA" w:rsidRDefault="00584325" w:rsidP="001D41EA">
            <w:pPr>
              <w:spacing w:before="40" w:after="20"/>
              <w:jc w:val="right"/>
              <w:rPr>
                <w:rFonts w:cs="Arial"/>
                <w:sz w:val="18"/>
                <w:szCs w:val="18"/>
              </w:rPr>
            </w:pPr>
            <w:r w:rsidRPr="001D41EA">
              <w:rPr>
                <w:rFonts w:cs="Arial"/>
                <w:sz w:val="18"/>
                <w:szCs w:val="18"/>
              </w:rPr>
              <w:t>4,338,638</w:t>
            </w:r>
          </w:p>
        </w:tc>
        <w:tc>
          <w:tcPr>
            <w:tcW w:w="1361" w:type="dxa"/>
            <w:tcBorders>
              <w:top w:val="nil"/>
              <w:left w:val="nil"/>
              <w:bottom w:val="nil"/>
              <w:right w:val="nil"/>
            </w:tcBorders>
            <w:vAlign w:val="bottom"/>
          </w:tcPr>
          <w:p w14:paraId="10A17033" w14:textId="6D758757" w:rsidR="00584325" w:rsidRPr="001D41EA" w:rsidRDefault="00584325" w:rsidP="001D41EA">
            <w:pPr>
              <w:spacing w:before="40" w:after="20"/>
              <w:jc w:val="right"/>
              <w:rPr>
                <w:rFonts w:cs="Arial"/>
                <w:sz w:val="18"/>
                <w:szCs w:val="18"/>
              </w:rPr>
            </w:pPr>
            <w:r w:rsidRPr="001D41EA">
              <w:rPr>
                <w:rFonts w:cs="Arial"/>
                <w:sz w:val="18"/>
                <w:szCs w:val="18"/>
              </w:rPr>
              <w:t>16,055,150</w:t>
            </w:r>
          </w:p>
        </w:tc>
        <w:tc>
          <w:tcPr>
            <w:tcW w:w="1361" w:type="dxa"/>
            <w:tcBorders>
              <w:top w:val="nil"/>
              <w:left w:val="nil"/>
              <w:bottom w:val="nil"/>
              <w:right w:val="nil"/>
            </w:tcBorders>
            <w:shd w:val="clear" w:color="auto" w:fill="auto"/>
            <w:noWrap/>
            <w:vAlign w:val="bottom"/>
          </w:tcPr>
          <w:p w14:paraId="1C5A0216" w14:textId="50D60DD7" w:rsidR="00584325" w:rsidRPr="001D41EA" w:rsidRDefault="00584325" w:rsidP="001D41EA">
            <w:pPr>
              <w:spacing w:before="40" w:after="20"/>
              <w:jc w:val="right"/>
              <w:rPr>
                <w:rFonts w:cs="Arial"/>
                <w:b/>
                <w:sz w:val="18"/>
                <w:szCs w:val="18"/>
              </w:rPr>
            </w:pPr>
            <w:r w:rsidRPr="001D41EA">
              <w:rPr>
                <w:rFonts w:cs="Arial"/>
                <w:b/>
                <w:sz w:val="18"/>
                <w:szCs w:val="18"/>
              </w:rPr>
              <w:t>42,306,676</w:t>
            </w:r>
          </w:p>
        </w:tc>
      </w:tr>
      <w:tr w:rsidR="00584325" w:rsidRPr="001D41EA" w14:paraId="1C18BB0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671E54D" w14:textId="77777777" w:rsidR="00584325" w:rsidRPr="001D41EA" w:rsidRDefault="00584325" w:rsidP="001D41EA">
            <w:pPr>
              <w:spacing w:before="40" w:after="20"/>
              <w:rPr>
                <w:rFonts w:cs="Arial"/>
                <w:sz w:val="18"/>
                <w:szCs w:val="18"/>
              </w:rPr>
            </w:pPr>
            <w:r w:rsidRPr="001D41EA">
              <w:rPr>
                <w:rFonts w:cs="Arial"/>
                <w:sz w:val="18"/>
                <w:szCs w:val="18"/>
              </w:rPr>
              <w:t>Towong S</w:t>
            </w:r>
          </w:p>
        </w:tc>
        <w:tc>
          <w:tcPr>
            <w:tcW w:w="1361" w:type="dxa"/>
            <w:tcBorders>
              <w:top w:val="nil"/>
              <w:left w:val="single" w:sz="18" w:space="0" w:color="5F497A" w:themeColor="accent4" w:themeShade="BF"/>
              <w:bottom w:val="nil"/>
              <w:right w:val="nil"/>
            </w:tcBorders>
            <w:shd w:val="clear" w:color="auto" w:fill="auto"/>
            <w:noWrap/>
            <w:vAlign w:val="bottom"/>
          </w:tcPr>
          <w:p w14:paraId="5A766B9A" w14:textId="3EDDC70C" w:rsidR="00584325" w:rsidRPr="001D41EA" w:rsidRDefault="00584325" w:rsidP="001D41EA">
            <w:pPr>
              <w:spacing w:before="40" w:after="20"/>
              <w:jc w:val="right"/>
              <w:rPr>
                <w:rFonts w:cs="Arial"/>
                <w:sz w:val="18"/>
                <w:szCs w:val="18"/>
              </w:rPr>
            </w:pPr>
            <w:r w:rsidRPr="001D41EA">
              <w:rPr>
                <w:rFonts w:cs="Arial"/>
                <w:sz w:val="18"/>
                <w:szCs w:val="18"/>
              </w:rPr>
              <w:t>888,914</w:t>
            </w:r>
          </w:p>
        </w:tc>
        <w:tc>
          <w:tcPr>
            <w:tcW w:w="1361" w:type="dxa"/>
            <w:tcBorders>
              <w:top w:val="nil"/>
              <w:left w:val="nil"/>
              <w:bottom w:val="nil"/>
              <w:right w:val="nil"/>
            </w:tcBorders>
            <w:shd w:val="clear" w:color="auto" w:fill="auto"/>
            <w:noWrap/>
            <w:vAlign w:val="bottom"/>
          </w:tcPr>
          <w:p w14:paraId="0C0AC85E" w14:textId="5D29FE4F" w:rsidR="00584325" w:rsidRPr="001D41EA" w:rsidRDefault="00584325" w:rsidP="001D41EA">
            <w:pPr>
              <w:spacing w:before="40" w:after="20"/>
              <w:jc w:val="right"/>
              <w:rPr>
                <w:rFonts w:cs="Arial"/>
                <w:sz w:val="18"/>
                <w:szCs w:val="18"/>
              </w:rPr>
            </w:pPr>
            <w:r w:rsidRPr="001D41EA">
              <w:rPr>
                <w:rFonts w:cs="Arial"/>
                <w:sz w:val="18"/>
                <w:szCs w:val="18"/>
              </w:rPr>
              <w:t>1,375,864</w:t>
            </w:r>
          </w:p>
        </w:tc>
        <w:tc>
          <w:tcPr>
            <w:tcW w:w="1361" w:type="dxa"/>
            <w:tcBorders>
              <w:top w:val="nil"/>
              <w:left w:val="nil"/>
              <w:bottom w:val="nil"/>
              <w:right w:val="nil"/>
            </w:tcBorders>
            <w:shd w:val="clear" w:color="auto" w:fill="auto"/>
            <w:noWrap/>
            <w:vAlign w:val="bottom"/>
          </w:tcPr>
          <w:p w14:paraId="14B57453" w14:textId="2F0E0C92" w:rsidR="00584325" w:rsidRPr="001D41EA" w:rsidRDefault="00584325" w:rsidP="001D41EA">
            <w:pPr>
              <w:spacing w:before="40" w:after="20"/>
              <w:jc w:val="right"/>
              <w:rPr>
                <w:rFonts w:cs="Arial"/>
                <w:sz w:val="18"/>
                <w:szCs w:val="18"/>
              </w:rPr>
            </w:pPr>
            <w:r w:rsidRPr="001D41EA">
              <w:rPr>
                <w:rFonts w:cs="Arial"/>
                <w:sz w:val="18"/>
                <w:szCs w:val="18"/>
              </w:rPr>
              <w:t>2,998,028</w:t>
            </w:r>
          </w:p>
        </w:tc>
        <w:tc>
          <w:tcPr>
            <w:tcW w:w="1361" w:type="dxa"/>
            <w:tcBorders>
              <w:top w:val="nil"/>
              <w:left w:val="nil"/>
              <w:bottom w:val="nil"/>
              <w:right w:val="nil"/>
            </w:tcBorders>
            <w:vAlign w:val="bottom"/>
          </w:tcPr>
          <w:p w14:paraId="103C5425" w14:textId="4904F7C8" w:rsidR="00584325" w:rsidRPr="001D41EA" w:rsidRDefault="00584325" w:rsidP="001D41EA">
            <w:pPr>
              <w:spacing w:before="40" w:after="20"/>
              <w:jc w:val="right"/>
              <w:rPr>
                <w:rFonts w:cs="Arial"/>
                <w:sz w:val="18"/>
                <w:szCs w:val="18"/>
              </w:rPr>
            </w:pPr>
            <w:r w:rsidRPr="001D41EA">
              <w:rPr>
                <w:rFonts w:cs="Arial"/>
                <w:sz w:val="18"/>
                <w:szCs w:val="18"/>
              </w:rPr>
              <w:t>13,045,238</w:t>
            </w:r>
          </w:p>
        </w:tc>
        <w:tc>
          <w:tcPr>
            <w:tcW w:w="1361" w:type="dxa"/>
            <w:tcBorders>
              <w:top w:val="nil"/>
              <w:left w:val="nil"/>
              <w:bottom w:val="nil"/>
              <w:right w:val="nil"/>
            </w:tcBorders>
            <w:shd w:val="clear" w:color="auto" w:fill="auto"/>
            <w:noWrap/>
            <w:vAlign w:val="bottom"/>
          </w:tcPr>
          <w:p w14:paraId="7574C78F" w14:textId="5EA29D14" w:rsidR="00584325" w:rsidRPr="001D41EA" w:rsidRDefault="00584325" w:rsidP="001D41EA">
            <w:pPr>
              <w:spacing w:before="40" w:after="20"/>
              <w:jc w:val="right"/>
              <w:rPr>
                <w:rFonts w:cs="Arial"/>
                <w:b/>
                <w:sz w:val="18"/>
                <w:szCs w:val="18"/>
              </w:rPr>
            </w:pPr>
            <w:r w:rsidRPr="001D41EA">
              <w:rPr>
                <w:rFonts w:cs="Arial"/>
                <w:b/>
                <w:sz w:val="18"/>
                <w:szCs w:val="18"/>
              </w:rPr>
              <w:t>24,884,470</w:t>
            </w:r>
          </w:p>
        </w:tc>
      </w:tr>
      <w:tr w:rsidR="00584325" w:rsidRPr="001D41EA" w14:paraId="59F0CC3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BCBBB9A" w14:textId="77777777" w:rsidR="00584325" w:rsidRPr="001D41EA" w:rsidRDefault="00584325" w:rsidP="001D41EA">
            <w:pPr>
              <w:spacing w:before="40" w:after="20"/>
              <w:rPr>
                <w:rFonts w:cs="Arial"/>
                <w:sz w:val="18"/>
                <w:szCs w:val="18"/>
              </w:rPr>
            </w:pPr>
            <w:r w:rsidRPr="001D41EA">
              <w:rPr>
                <w:rFonts w:cs="Arial"/>
                <w:sz w:val="18"/>
                <w:szCs w:val="18"/>
              </w:rPr>
              <w:t>Wangaratta RC</w:t>
            </w:r>
          </w:p>
        </w:tc>
        <w:tc>
          <w:tcPr>
            <w:tcW w:w="1361" w:type="dxa"/>
            <w:tcBorders>
              <w:top w:val="nil"/>
              <w:left w:val="single" w:sz="18" w:space="0" w:color="5F497A" w:themeColor="accent4" w:themeShade="BF"/>
              <w:bottom w:val="nil"/>
              <w:right w:val="nil"/>
            </w:tcBorders>
            <w:shd w:val="clear" w:color="auto" w:fill="auto"/>
            <w:noWrap/>
            <w:vAlign w:val="bottom"/>
          </w:tcPr>
          <w:p w14:paraId="51E90EC3" w14:textId="1F70F7E9" w:rsidR="00584325" w:rsidRPr="001D41EA" w:rsidRDefault="00584325" w:rsidP="001D41EA">
            <w:pPr>
              <w:spacing w:before="40" w:after="20"/>
              <w:jc w:val="right"/>
              <w:rPr>
                <w:rFonts w:cs="Arial"/>
                <w:sz w:val="18"/>
                <w:szCs w:val="18"/>
              </w:rPr>
            </w:pPr>
            <w:r w:rsidRPr="001D41EA">
              <w:rPr>
                <w:rFonts w:cs="Arial"/>
                <w:sz w:val="18"/>
                <w:szCs w:val="18"/>
              </w:rPr>
              <w:t>4,054,509</w:t>
            </w:r>
          </w:p>
        </w:tc>
        <w:tc>
          <w:tcPr>
            <w:tcW w:w="1361" w:type="dxa"/>
            <w:tcBorders>
              <w:top w:val="nil"/>
              <w:left w:val="nil"/>
              <w:bottom w:val="nil"/>
              <w:right w:val="nil"/>
            </w:tcBorders>
            <w:shd w:val="clear" w:color="auto" w:fill="auto"/>
            <w:noWrap/>
            <w:vAlign w:val="bottom"/>
          </w:tcPr>
          <w:p w14:paraId="74E82694" w14:textId="4BE371D9" w:rsidR="00584325" w:rsidRPr="001D41EA" w:rsidRDefault="00584325" w:rsidP="001D41EA">
            <w:pPr>
              <w:spacing w:before="40" w:after="20"/>
              <w:jc w:val="right"/>
              <w:rPr>
                <w:rFonts w:cs="Arial"/>
                <w:sz w:val="18"/>
                <w:szCs w:val="18"/>
              </w:rPr>
            </w:pPr>
            <w:r w:rsidRPr="001D41EA">
              <w:rPr>
                <w:rFonts w:cs="Arial"/>
                <w:sz w:val="18"/>
                <w:szCs w:val="18"/>
              </w:rPr>
              <w:t>2,202,982</w:t>
            </w:r>
          </w:p>
        </w:tc>
        <w:tc>
          <w:tcPr>
            <w:tcW w:w="1361" w:type="dxa"/>
            <w:tcBorders>
              <w:top w:val="nil"/>
              <w:left w:val="nil"/>
              <w:bottom w:val="nil"/>
              <w:right w:val="nil"/>
            </w:tcBorders>
            <w:shd w:val="clear" w:color="auto" w:fill="auto"/>
            <w:noWrap/>
            <w:vAlign w:val="bottom"/>
          </w:tcPr>
          <w:p w14:paraId="091CF082" w14:textId="6F936141" w:rsidR="00584325" w:rsidRPr="001D41EA" w:rsidRDefault="00584325" w:rsidP="001D41EA">
            <w:pPr>
              <w:spacing w:before="40" w:after="20"/>
              <w:jc w:val="right"/>
              <w:rPr>
                <w:rFonts w:cs="Arial"/>
                <w:sz w:val="18"/>
                <w:szCs w:val="18"/>
              </w:rPr>
            </w:pPr>
            <w:r w:rsidRPr="001D41EA">
              <w:rPr>
                <w:rFonts w:cs="Arial"/>
                <w:sz w:val="18"/>
                <w:szCs w:val="18"/>
              </w:rPr>
              <w:t>5,620,890</w:t>
            </w:r>
          </w:p>
        </w:tc>
        <w:tc>
          <w:tcPr>
            <w:tcW w:w="1361" w:type="dxa"/>
            <w:tcBorders>
              <w:top w:val="nil"/>
              <w:left w:val="nil"/>
              <w:bottom w:val="nil"/>
              <w:right w:val="nil"/>
            </w:tcBorders>
            <w:vAlign w:val="bottom"/>
          </w:tcPr>
          <w:p w14:paraId="36435EB4" w14:textId="0406E923" w:rsidR="00584325" w:rsidRPr="001D41EA" w:rsidRDefault="00584325" w:rsidP="001D41EA">
            <w:pPr>
              <w:spacing w:before="40" w:after="20"/>
              <w:jc w:val="right"/>
              <w:rPr>
                <w:rFonts w:cs="Arial"/>
                <w:sz w:val="18"/>
                <w:szCs w:val="18"/>
              </w:rPr>
            </w:pPr>
            <w:r w:rsidRPr="001D41EA">
              <w:rPr>
                <w:rFonts w:cs="Arial"/>
                <w:sz w:val="18"/>
                <w:szCs w:val="18"/>
              </w:rPr>
              <w:t>17,460,882</w:t>
            </w:r>
          </w:p>
        </w:tc>
        <w:tc>
          <w:tcPr>
            <w:tcW w:w="1361" w:type="dxa"/>
            <w:tcBorders>
              <w:top w:val="nil"/>
              <w:left w:val="nil"/>
              <w:bottom w:val="nil"/>
              <w:right w:val="nil"/>
            </w:tcBorders>
            <w:shd w:val="clear" w:color="auto" w:fill="auto"/>
            <w:noWrap/>
            <w:vAlign w:val="bottom"/>
          </w:tcPr>
          <w:p w14:paraId="5194F110" w14:textId="182A9432" w:rsidR="00584325" w:rsidRPr="001D41EA" w:rsidRDefault="00584325" w:rsidP="001D41EA">
            <w:pPr>
              <w:spacing w:before="40" w:after="20"/>
              <w:jc w:val="right"/>
              <w:rPr>
                <w:rFonts w:cs="Arial"/>
                <w:b/>
                <w:sz w:val="18"/>
                <w:szCs w:val="18"/>
              </w:rPr>
            </w:pPr>
            <w:r w:rsidRPr="001D41EA">
              <w:rPr>
                <w:rFonts w:cs="Arial"/>
                <w:b/>
                <w:sz w:val="18"/>
                <w:szCs w:val="18"/>
              </w:rPr>
              <w:t>50,181,724</w:t>
            </w:r>
          </w:p>
        </w:tc>
      </w:tr>
      <w:tr w:rsidR="00584325" w:rsidRPr="001D41EA" w14:paraId="59FA729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5D6B51F" w14:textId="77777777" w:rsidR="00584325" w:rsidRPr="001D41EA" w:rsidRDefault="00584325" w:rsidP="001D41EA">
            <w:pPr>
              <w:spacing w:before="40" w:after="20"/>
              <w:rPr>
                <w:rFonts w:cs="Arial"/>
                <w:sz w:val="18"/>
                <w:szCs w:val="18"/>
              </w:rPr>
            </w:pPr>
            <w:r w:rsidRPr="001D41EA">
              <w:rPr>
                <w:rFonts w:cs="Arial"/>
                <w:sz w:val="18"/>
                <w:szCs w:val="18"/>
              </w:rPr>
              <w:t>Warrnambool C</w:t>
            </w:r>
          </w:p>
        </w:tc>
        <w:tc>
          <w:tcPr>
            <w:tcW w:w="1361" w:type="dxa"/>
            <w:tcBorders>
              <w:top w:val="nil"/>
              <w:left w:val="single" w:sz="18" w:space="0" w:color="5F497A" w:themeColor="accent4" w:themeShade="BF"/>
              <w:bottom w:val="nil"/>
              <w:right w:val="nil"/>
            </w:tcBorders>
            <w:shd w:val="clear" w:color="auto" w:fill="auto"/>
            <w:noWrap/>
            <w:vAlign w:val="bottom"/>
          </w:tcPr>
          <w:p w14:paraId="18EF0BA7" w14:textId="348409A6" w:rsidR="00584325" w:rsidRPr="001D41EA" w:rsidRDefault="00584325" w:rsidP="001D41EA">
            <w:pPr>
              <w:spacing w:before="40" w:after="20"/>
              <w:jc w:val="right"/>
              <w:rPr>
                <w:rFonts w:cs="Arial"/>
                <w:sz w:val="18"/>
                <w:szCs w:val="18"/>
              </w:rPr>
            </w:pPr>
            <w:r w:rsidRPr="001D41EA">
              <w:rPr>
                <w:rFonts w:cs="Arial"/>
                <w:sz w:val="18"/>
                <w:szCs w:val="18"/>
              </w:rPr>
              <w:t>5,137,178</w:t>
            </w:r>
          </w:p>
        </w:tc>
        <w:tc>
          <w:tcPr>
            <w:tcW w:w="1361" w:type="dxa"/>
            <w:tcBorders>
              <w:top w:val="nil"/>
              <w:left w:val="nil"/>
              <w:bottom w:val="nil"/>
              <w:right w:val="nil"/>
            </w:tcBorders>
            <w:shd w:val="clear" w:color="auto" w:fill="auto"/>
            <w:noWrap/>
            <w:vAlign w:val="bottom"/>
          </w:tcPr>
          <w:p w14:paraId="259ED1A6" w14:textId="4872E3B8" w:rsidR="00584325" w:rsidRPr="001D41EA" w:rsidRDefault="00584325" w:rsidP="001D41EA">
            <w:pPr>
              <w:spacing w:before="40" w:after="20"/>
              <w:jc w:val="right"/>
              <w:rPr>
                <w:rFonts w:cs="Arial"/>
                <w:sz w:val="18"/>
                <w:szCs w:val="18"/>
              </w:rPr>
            </w:pPr>
            <w:r w:rsidRPr="001D41EA">
              <w:rPr>
                <w:rFonts w:cs="Arial"/>
                <w:sz w:val="18"/>
                <w:szCs w:val="18"/>
              </w:rPr>
              <w:t>2,350,617</w:t>
            </w:r>
          </w:p>
        </w:tc>
        <w:tc>
          <w:tcPr>
            <w:tcW w:w="1361" w:type="dxa"/>
            <w:tcBorders>
              <w:top w:val="nil"/>
              <w:left w:val="nil"/>
              <w:bottom w:val="nil"/>
              <w:right w:val="nil"/>
            </w:tcBorders>
            <w:shd w:val="clear" w:color="auto" w:fill="auto"/>
            <w:noWrap/>
            <w:vAlign w:val="bottom"/>
          </w:tcPr>
          <w:p w14:paraId="58DD87D3" w14:textId="7A96EF71" w:rsidR="00584325" w:rsidRPr="001D41EA" w:rsidRDefault="00584325" w:rsidP="001D41EA">
            <w:pPr>
              <w:spacing w:before="40" w:after="20"/>
              <w:jc w:val="right"/>
              <w:rPr>
                <w:rFonts w:cs="Arial"/>
                <w:sz w:val="18"/>
                <w:szCs w:val="18"/>
              </w:rPr>
            </w:pPr>
            <w:r w:rsidRPr="001D41EA">
              <w:rPr>
                <w:rFonts w:cs="Arial"/>
                <w:sz w:val="18"/>
                <w:szCs w:val="18"/>
              </w:rPr>
              <w:t>6,953,468</w:t>
            </w:r>
          </w:p>
        </w:tc>
        <w:tc>
          <w:tcPr>
            <w:tcW w:w="1361" w:type="dxa"/>
            <w:tcBorders>
              <w:top w:val="nil"/>
              <w:left w:val="nil"/>
              <w:bottom w:val="nil"/>
              <w:right w:val="nil"/>
            </w:tcBorders>
            <w:vAlign w:val="bottom"/>
          </w:tcPr>
          <w:p w14:paraId="45B07E2C" w14:textId="0B6CCDF2" w:rsidR="00584325" w:rsidRPr="001D41EA" w:rsidRDefault="00584325" w:rsidP="001D41EA">
            <w:pPr>
              <w:spacing w:before="40" w:after="20"/>
              <w:jc w:val="right"/>
              <w:rPr>
                <w:rFonts w:cs="Arial"/>
                <w:sz w:val="18"/>
                <w:szCs w:val="18"/>
              </w:rPr>
            </w:pPr>
            <w:r w:rsidRPr="001D41EA">
              <w:rPr>
                <w:rFonts w:cs="Arial"/>
                <w:sz w:val="18"/>
                <w:szCs w:val="18"/>
              </w:rPr>
              <w:t>4,741,254</w:t>
            </w:r>
          </w:p>
        </w:tc>
        <w:tc>
          <w:tcPr>
            <w:tcW w:w="1361" w:type="dxa"/>
            <w:tcBorders>
              <w:top w:val="nil"/>
              <w:left w:val="nil"/>
              <w:bottom w:val="nil"/>
              <w:right w:val="nil"/>
            </w:tcBorders>
            <w:shd w:val="clear" w:color="auto" w:fill="auto"/>
            <w:noWrap/>
            <w:vAlign w:val="bottom"/>
          </w:tcPr>
          <w:p w14:paraId="1EE533A1" w14:textId="6825752F" w:rsidR="00584325" w:rsidRPr="001D41EA" w:rsidRDefault="00584325" w:rsidP="001D41EA">
            <w:pPr>
              <w:spacing w:before="40" w:after="20"/>
              <w:jc w:val="right"/>
              <w:rPr>
                <w:rFonts w:cs="Arial"/>
                <w:b/>
                <w:sz w:val="18"/>
                <w:szCs w:val="18"/>
              </w:rPr>
            </w:pPr>
            <w:r w:rsidRPr="001D41EA">
              <w:rPr>
                <w:rFonts w:cs="Arial"/>
                <w:b/>
                <w:sz w:val="18"/>
                <w:szCs w:val="18"/>
              </w:rPr>
              <w:t>44,080,929</w:t>
            </w:r>
          </w:p>
        </w:tc>
      </w:tr>
      <w:tr w:rsidR="00584325" w:rsidRPr="001D41EA" w14:paraId="6458835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809FEA9" w14:textId="77777777" w:rsidR="00584325" w:rsidRPr="001D41EA" w:rsidRDefault="00584325" w:rsidP="001D41EA">
            <w:pPr>
              <w:spacing w:before="40" w:after="20"/>
              <w:rPr>
                <w:rFonts w:cs="Arial"/>
                <w:sz w:val="18"/>
                <w:szCs w:val="18"/>
              </w:rPr>
            </w:pPr>
            <w:r w:rsidRPr="001D41EA">
              <w:rPr>
                <w:rFonts w:cs="Arial"/>
                <w:sz w:val="18"/>
                <w:szCs w:val="18"/>
              </w:rPr>
              <w:t>Wellington S</w:t>
            </w:r>
          </w:p>
        </w:tc>
        <w:tc>
          <w:tcPr>
            <w:tcW w:w="1361" w:type="dxa"/>
            <w:tcBorders>
              <w:top w:val="nil"/>
              <w:left w:val="single" w:sz="18" w:space="0" w:color="5F497A" w:themeColor="accent4" w:themeShade="BF"/>
              <w:bottom w:val="nil"/>
              <w:right w:val="nil"/>
            </w:tcBorders>
            <w:shd w:val="clear" w:color="auto" w:fill="auto"/>
            <w:noWrap/>
            <w:vAlign w:val="bottom"/>
          </w:tcPr>
          <w:p w14:paraId="327B9F5E" w14:textId="000D75BA" w:rsidR="00584325" w:rsidRPr="001D41EA" w:rsidRDefault="00584325" w:rsidP="001D41EA">
            <w:pPr>
              <w:spacing w:before="40" w:after="20"/>
              <w:jc w:val="right"/>
              <w:rPr>
                <w:rFonts w:cs="Arial"/>
                <w:sz w:val="18"/>
                <w:szCs w:val="18"/>
              </w:rPr>
            </w:pPr>
            <w:r w:rsidRPr="001D41EA">
              <w:rPr>
                <w:rFonts w:cs="Arial"/>
                <w:sz w:val="18"/>
                <w:szCs w:val="18"/>
              </w:rPr>
              <w:t>6,502,839</w:t>
            </w:r>
          </w:p>
        </w:tc>
        <w:tc>
          <w:tcPr>
            <w:tcW w:w="1361" w:type="dxa"/>
            <w:tcBorders>
              <w:top w:val="nil"/>
              <w:left w:val="nil"/>
              <w:bottom w:val="nil"/>
              <w:right w:val="nil"/>
            </w:tcBorders>
            <w:shd w:val="clear" w:color="auto" w:fill="auto"/>
            <w:noWrap/>
            <w:vAlign w:val="bottom"/>
          </w:tcPr>
          <w:p w14:paraId="4B9DAA4C" w14:textId="1F6A1865" w:rsidR="00584325" w:rsidRPr="001D41EA" w:rsidRDefault="00584325" w:rsidP="001D41EA">
            <w:pPr>
              <w:spacing w:before="40" w:after="20"/>
              <w:jc w:val="right"/>
              <w:rPr>
                <w:rFonts w:cs="Arial"/>
                <w:sz w:val="18"/>
                <w:szCs w:val="18"/>
              </w:rPr>
            </w:pPr>
            <w:r w:rsidRPr="001D41EA">
              <w:rPr>
                <w:rFonts w:cs="Arial"/>
                <w:sz w:val="18"/>
                <w:szCs w:val="18"/>
              </w:rPr>
              <w:t>4,230,410</w:t>
            </w:r>
          </w:p>
        </w:tc>
        <w:tc>
          <w:tcPr>
            <w:tcW w:w="1361" w:type="dxa"/>
            <w:tcBorders>
              <w:top w:val="nil"/>
              <w:left w:val="nil"/>
              <w:bottom w:val="nil"/>
              <w:right w:val="nil"/>
            </w:tcBorders>
            <w:shd w:val="clear" w:color="auto" w:fill="auto"/>
            <w:noWrap/>
            <w:vAlign w:val="bottom"/>
          </w:tcPr>
          <w:p w14:paraId="7A9AF495" w14:textId="44369A88" w:rsidR="00584325" w:rsidRPr="001D41EA" w:rsidRDefault="00584325" w:rsidP="001D41EA">
            <w:pPr>
              <w:spacing w:before="40" w:after="20"/>
              <w:jc w:val="right"/>
              <w:rPr>
                <w:rFonts w:cs="Arial"/>
                <w:sz w:val="18"/>
                <w:szCs w:val="18"/>
              </w:rPr>
            </w:pPr>
            <w:r w:rsidRPr="001D41EA">
              <w:rPr>
                <w:rFonts w:cs="Arial"/>
                <w:sz w:val="18"/>
                <w:szCs w:val="18"/>
              </w:rPr>
              <w:t>9,197,297</w:t>
            </w:r>
          </w:p>
        </w:tc>
        <w:tc>
          <w:tcPr>
            <w:tcW w:w="1361" w:type="dxa"/>
            <w:tcBorders>
              <w:top w:val="nil"/>
              <w:left w:val="nil"/>
              <w:bottom w:val="nil"/>
              <w:right w:val="nil"/>
            </w:tcBorders>
            <w:vAlign w:val="bottom"/>
          </w:tcPr>
          <w:p w14:paraId="25A5E334" w14:textId="7DD33196" w:rsidR="00584325" w:rsidRPr="001D41EA" w:rsidRDefault="00584325" w:rsidP="001D41EA">
            <w:pPr>
              <w:spacing w:before="40" w:after="20"/>
              <w:jc w:val="right"/>
              <w:rPr>
                <w:rFonts w:cs="Arial"/>
                <w:sz w:val="18"/>
                <w:szCs w:val="18"/>
              </w:rPr>
            </w:pPr>
            <w:r w:rsidRPr="001D41EA">
              <w:rPr>
                <w:rFonts w:cs="Arial"/>
                <w:sz w:val="18"/>
                <w:szCs w:val="18"/>
              </w:rPr>
              <w:t>35,340,379</w:t>
            </w:r>
          </w:p>
        </w:tc>
        <w:tc>
          <w:tcPr>
            <w:tcW w:w="1361" w:type="dxa"/>
            <w:tcBorders>
              <w:top w:val="nil"/>
              <w:left w:val="nil"/>
              <w:bottom w:val="nil"/>
              <w:right w:val="nil"/>
            </w:tcBorders>
            <w:shd w:val="clear" w:color="auto" w:fill="auto"/>
            <w:noWrap/>
            <w:vAlign w:val="bottom"/>
          </w:tcPr>
          <w:p w14:paraId="680A0B18" w14:textId="2A22540F" w:rsidR="00584325" w:rsidRPr="001D41EA" w:rsidRDefault="00584325" w:rsidP="001D41EA">
            <w:pPr>
              <w:spacing w:before="40" w:after="20"/>
              <w:jc w:val="right"/>
              <w:rPr>
                <w:rFonts w:cs="Arial"/>
                <w:b/>
                <w:sz w:val="18"/>
                <w:szCs w:val="18"/>
              </w:rPr>
            </w:pPr>
            <w:r w:rsidRPr="001D41EA">
              <w:rPr>
                <w:rFonts w:cs="Arial"/>
                <w:b/>
                <w:sz w:val="18"/>
                <w:szCs w:val="18"/>
              </w:rPr>
              <w:t>92,189,708</w:t>
            </w:r>
          </w:p>
        </w:tc>
      </w:tr>
      <w:tr w:rsidR="00584325" w:rsidRPr="001D41EA" w14:paraId="0C3FB5E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2B28DF9" w14:textId="77777777" w:rsidR="00584325" w:rsidRPr="001D41EA" w:rsidRDefault="00584325" w:rsidP="001D41EA">
            <w:pPr>
              <w:spacing w:before="40" w:after="20"/>
              <w:rPr>
                <w:rFonts w:cs="Arial"/>
                <w:sz w:val="18"/>
                <w:szCs w:val="18"/>
              </w:rPr>
            </w:pPr>
            <w:r w:rsidRPr="001D41EA">
              <w:rPr>
                <w:rFonts w:cs="Arial"/>
                <w:sz w:val="18"/>
                <w:szCs w:val="18"/>
              </w:rPr>
              <w:t>West Wimmera S</w:t>
            </w:r>
          </w:p>
        </w:tc>
        <w:tc>
          <w:tcPr>
            <w:tcW w:w="1361" w:type="dxa"/>
            <w:tcBorders>
              <w:top w:val="nil"/>
              <w:left w:val="single" w:sz="18" w:space="0" w:color="5F497A" w:themeColor="accent4" w:themeShade="BF"/>
              <w:bottom w:val="nil"/>
              <w:right w:val="nil"/>
            </w:tcBorders>
            <w:shd w:val="clear" w:color="auto" w:fill="auto"/>
            <w:noWrap/>
            <w:vAlign w:val="bottom"/>
          </w:tcPr>
          <w:p w14:paraId="06FD513E" w14:textId="01FF9400" w:rsidR="00584325" w:rsidRPr="001D41EA" w:rsidRDefault="00584325" w:rsidP="001D41EA">
            <w:pPr>
              <w:spacing w:before="40" w:after="20"/>
              <w:jc w:val="right"/>
              <w:rPr>
                <w:rFonts w:cs="Arial"/>
                <w:sz w:val="18"/>
                <w:szCs w:val="18"/>
              </w:rPr>
            </w:pPr>
            <w:r w:rsidRPr="001D41EA">
              <w:rPr>
                <w:rFonts w:cs="Arial"/>
                <w:sz w:val="18"/>
                <w:szCs w:val="18"/>
              </w:rPr>
              <w:t>560,872</w:t>
            </w:r>
          </w:p>
        </w:tc>
        <w:tc>
          <w:tcPr>
            <w:tcW w:w="1361" w:type="dxa"/>
            <w:tcBorders>
              <w:top w:val="nil"/>
              <w:left w:val="nil"/>
              <w:bottom w:val="nil"/>
              <w:right w:val="nil"/>
            </w:tcBorders>
            <w:shd w:val="clear" w:color="auto" w:fill="auto"/>
            <w:noWrap/>
            <w:vAlign w:val="bottom"/>
          </w:tcPr>
          <w:p w14:paraId="3F226B73" w14:textId="44DD8197" w:rsidR="00584325" w:rsidRPr="001D41EA" w:rsidRDefault="00584325" w:rsidP="001D41EA">
            <w:pPr>
              <w:spacing w:before="40" w:after="20"/>
              <w:jc w:val="right"/>
              <w:rPr>
                <w:rFonts w:cs="Arial"/>
                <w:sz w:val="18"/>
                <w:szCs w:val="18"/>
              </w:rPr>
            </w:pPr>
            <w:r w:rsidRPr="001D41EA">
              <w:rPr>
                <w:rFonts w:cs="Arial"/>
                <w:sz w:val="18"/>
                <w:szCs w:val="18"/>
              </w:rPr>
              <w:t>1,586,500</w:t>
            </w:r>
          </w:p>
        </w:tc>
        <w:tc>
          <w:tcPr>
            <w:tcW w:w="1361" w:type="dxa"/>
            <w:tcBorders>
              <w:top w:val="nil"/>
              <w:left w:val="nil"/>
              <w:bottom w:val="nil"/>
              <w:right w:val="nil"/>
            </w:tcBorders>
            <w:shd w:val="clear" w:color="auto" w:fill="auto"/>
            <w:noWrap/>
            <w:vAlign w:val="bottom"/>
          </w:tcPr>
          <w:p w14:paraId="2680EFE6" w14:textId="00C1638A" w:rsidR="00584325" w:rsidRPr="001D41EA" w:rsidRDefault="00584325" w:rsidP="001D41EA">
            <w:pPr>
              <w:spacing w:before="40" w:after="20"/>
              <w:jc w:val="right"/>
              <w:rPr>
                <w:rFonts w:cs="Arial"/>
                <w:sz w:val="18"/>
                <w:szCs w:val="18"/>
              </w:rPr>
            </w:pPr>
            <w:r w:rsidRPr="001D41EA">
              <w:rPr>
                <w:rFonts w:cs="Arial"/>
                <w:sz w:val="18"/>
                <w:szCs w:val="18"/>
              </w:rPr>
              <w:t>3,132,102</w:t>
            </w:r>
          </w:p>
        </w:tc>
        <w:tc>
          <w:tcPr>
            <w:tcW w:w="1361" w:type="dxa"/>
            <w:tcBorders>
              <w:top w:val="nil"/>
              <w:left w:val="nil"/>
              <w:bottom w:val="nil"/>
              <w:right w:val="nil"/>
            </w:tcBorders>
            <w:vAlign w:val="bottom"/>
          </w:tcPr>
          <w:p w14:paraId="3B800B38" w14:textId="16145BE9" w:rsidR="00584325" w:rsidRPr="001D41EA" w:rsidRDefault="00584325" w:rsidP="001D41EA">
            <w:pPr>
              <w:spacing w:before="40" w:after="20"/>
              <w:jc w:val="right"/>
              <w:rPr>
                <w:rFonts w:cs="Arial"/>
                <w:sz w:val="18"/>
                <w:szCs w:val="18"/>
              </w:rPr>
            </w:pPr>
            <w:r w:rsidRPr="001D41EA">
              <w:rPr>
                <w:rFonts w:cs="Arial"/>
                <w:sz w:val="18"/>
                <w:szCs w:val="18"/>
              </w:rPr>
              <w:t>17,092,047</w:t>
            </w:r>
          </w:p>
        </w:tc>
        <w:tc>
          <w:tcPr>
            <w:tcW w:w="1361" w:type="dxa"/>
            <w:tcBorders>
              <w:top w:val="nil"/>
              <w:left w:val="nil"/>
              <w:bottom w:val="nil"/>
              <w:right w:val="nil"/>
            </w:tcBorders>
            <w:shd w:val="clear" w:color="auto" w:fill="auto"/>
            <w:noWrap/>
            <w:vAlign w:val="bottom"/>
          </w:tcPr>
          <w:p w14:paraId="3A3B33D1" w14:textId="2616A4A8" w:rsidR="00584325" w:rsidRPr="001D41EA" w:rsidRDefault="00584325" w:rsidP="001D41EA">
            <w:pPr>
              <w:spacing w:before="40" w:after="20"/>
              <w:jc w:val="right"/>
              <w:rPr>
                <w:rFonts w:cs="Arial"/>
                <w:b/>
                <w:sz w:val="18"/>
                <w:szCs w:val="18"/>
              </w:rPr>
            </w:pPr>
            <w:r w:rsidRPr="001D41EA">
              <w:rPr>
                <w:rFonts w:cs="Arial"/>
                <w:b/>
                <w:sz w:val="18"/>
                <w:szCs w:val="18"/>
              </w:rPr>
              <w:t>27,272,569</w:t>
            </w:r>
          </w:p>
        </w:tc>
      </w:tr>
      <w:tr w:rsidR="00584325" w:rsidRPr="001D41EA" w14:paraId="0E6DC06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3329573" w14:textId="77777777" w:rsidR="00584325" w:rsidRPr="001D41EA" w:rsidRDefault="00584325" w:rsidP="001D41EA">
            <w:pPr>
              <w:spacing w:before="40" w:after="20"/>
              <w:rPr>
                <w:rFonts w:cs="Arial"/>
                <w:sz w:val="18"/>
                <w:szCs w:val="18"/>
              </w:rPr>
            </w:pPr>
            <w:r w:rsidRPr="001D41EA">
              <w:rPr>
                <w:rFonts w:cs="Arial"/>
                <w:sz w:val="18"/>
                <w:szCs w:val="18"/>
              </w:rPr>
              <w:t>Whitehorse C</w:t>
            </w:r>
          </w:p>
        </w:tc>
        <w:tc>
          <w:tcPr>
            <w:tcW w:w="1361" w:type="dxa"/>
            <w:tcBorders>
              <w:top w:val="nil"/>
              <w:left w:val="single" w:sz="18" w:space="0" w:color="5F497A" w:themeColor="accent4" w:themeShade="BF"/>
              <w:bottom w:val="nil"/>
              <w:right w:val="nil"/>
            </w:tcBorders>
            <w:shd w:val="clear" w:color="auto" w:fill="auto"/>
            <w:noWrap/>
            <w:vAlign w:val="bottom"/>
          </w:tcPr>
          <w:p w14:paraId="469BFC2C" w14:textId="4DB78A0C" w:rsidR="00584325" w:rsidRPr="001D41EA" w:rsidRDefault="00584325" w:rsidP="001D41EA">
            <w:pPr>
              <w:spacing w:before="40" w:after="20"/>
              <w:jc w:val="right"/>
              <w:rPr>
                <w:rFonts w:cs="Arial"/>
                <w:sz w:val="18"/>
                <w:szCs w:val="18"/>
              </w:rPr>
            </w:pPr>
            <w:r w:rsidRPr="001D41EA">
              <w:rPr>
                <w:rFonts w:cs="Arial"/>
                <w:sz w:val="18"/>
                <w:szCs w:val="18"/>
              </w:rPr>
              <w:t>23,765,246</w:t>
            </w:r>
          </w:p>
        </w:tc>
        <w:tc>
          <w:tcPr>
            <w:tcW w:w="1361" w:type="dxa"/>
            <w:tcBorders>
              <w:top w:val="nil"/>
              <w:left w:val="nil"/>
              <w:bottom w:val="nil"/>
              <w:right w:val="nil"/>
            </w:tcBorders>
            <w:shd w:val="clear" w:color="auto" w:fill="auto"/>
            <w:noWrap/>
            <w:vAlign w:val="bottom"/>
          </w:tcPr>
          <w:p w14:paraId="692601F2" w14:textId="1537DBB8" w:rsidR="00584325" w:rsidRPr="001D41EA" w:rsidRDefault="00584325" w:rsidP="001D41EA">
            <w:pPr>
              <w:spacing w:before="40" w:after="20"/>
              <w:jc w:val="right"/>
              <w:rPr>
                <w:rFonts w:cs="Arial"/>
                <w:sz w:val="18"/>
                <w:szCs w:val="18"/>
              </w:rPr>
            </w:pPr>
            <w:r w:rsidRPr="001D41EA">
              <w:rPr>
                <w:rFonts w:cs="Arial"/>
                <w:sz w:val="18"/>
                <w:szCs w:val="18"/>
              </w:rPr>
              <w:t>10,588,144</w:t>
            </w:r>
          </w:p>
        </w:tc>
        <w:tc>
          <w:tcPr>
            <w:tcW w:w="1361" w:type="dxa"/>
            <w:tcBorders>
              <w:top w:val="nil"/>
              <w:left w:val="nil"/>
              <w:bottom w:val="nil"/>
              <w:right w:val="nil"/>
            </w:tcBorders>
            <w:shd w:val="clear" w:color="auto" w:fill="auto"/>
            <w:noWrap/>
            <w:vAlign w:val="bottom"/>
          </w:tcPr>
          <w:p w14:paraId="72258936" w14:textId="1AF4EC7A" w:rsidR="00584325" w:rsidRPr="001D41EA" w:rsidRDefault="00584325" w:rsidP="001D41EA">
            <w:pPr>
              <w:spacing w:before="40" w:after="20"/>
              <w:jc w:val="right"/>
              <w:rPr>
                <w:rFonts w:cs="Arial"/>
                <w:sz w:val="18"/>
                <w:szCs w:val="18"/>
              </w:rPr>
            </w:pPr>
            <w:r w:rsidRPr="001D41EA">
              <w:rPr>
                <w:rFonts w:cs="Arial"/>
                <w:sz w:val="18"/>
                <w:szCs w:val="18"/>
              </w:rPr>
              <w:t>29,472,804</w:t>
            </w:r>
          </w:p>
        </w:tc>
        <w:tc>
          <w:tcPr>
            <w:tcW w:w="1361" w:type="dxa"/>
            <w:tcBorders>
              <w:top w:val="nil"/>
              <w:left w:val="nil"/>
              <w:bottom w:val="nil"/>
              <w:right w:val="nil"/>
            </w:tcBorders>
            <w:vAlign w:val="bottom"/>
          </w:tcPr>
          <w:p w14:paraId="250DD6D4" w14:textId="4120B480" w:rsidR="00584325" w:rsidRPr="001D41EA" w:rsidRDefault="00584325" w:rsidP="001D41EA">
            <w:pPr>
              <w:spacing w:before="40" w:after="20"/>
              <w:jc w:val="right"/>
              <w:rPr>
                <w:rFonts w:cs="Arial"/>
                <w:sz w:val="18"/>
                <w:szCs w:val="18"/>
              </w:rPr>
            </w:pPr>
            <w:r w:rsidRPr="001D41EA">
              <w:rPr>
                <w:rFonts w:cs="Arial"/>
                <w:sz w:val="18"/>
                <w:szCs w:val="18"/>
              </w:rPr>
              <w:t>7,516,690</w:t>
            </w:r>
          </w:p>
        </w:tc>
        <w:tc>
          <w:tcPr>
            <w:tcW w:w="1361" w:type="dxa"/>
            <w:tcBorders>
              <w:top w:val="nil"/>
              <w:left w:val="nil"/>
              <w:bottom w:val="nil"/>
              <w:right w:val="nil"/>
            </w:tcBorders>
            <w:shd w:val="clear" w:color="auto" w:fill="auto"/>
            <w:noWrap/>
            <w:vAlign w:val="bottom"/>
          </w:tcPr>
          <w:p w14:paraId="1EF74062" w14:textId="1EB96479" w:rsidR="00584325" w:rsidRPr="001D41EA" w:rsidRDefault="00584325" w:rsidP="001D41EA">
            <w:pPr>
              <w:spacing w:before="40" w:after="20"/>
              <w:jc w:val="right"/>
              <w:rPr>
                <w:rFonts w:cs="Arial"/>
                <w:b/>
                <w:sz w:val="18"/>
                <w:szCs w:val="18"/>
              </w:rPr>
            </w:pPr>
            <w:r w:rsidRPr="001D41EA">
              <w:rPr>
                <w:rFonts w:cs="Arial"/>
                <w:b/>
                <w:sz w:val="18"/>
                <w:szCs w:val="18"/>
              </w:rPr>
              <w:t>181,833,125</w:t>
            </w:r>
          </w:p>
        </w:tc>
      </w:tr>
      <w:tr w:rsidR="00584325" w:rsidRPr="001D41EA" w14:paraId="4135B6D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379F560" w14:textId="77777777" w:rsidR="00584325" w:rsidRPr="001D41EA" w:rsidRDefault="00584325" w:rsidP="001D41EA">
            <w:pPr>
              <w:spacing w:before="40" w:after="20"/>
              <w:rPr>
                <w:rFonts w:cs="Arial"/>
                <w:sz w:val="18"/>
                <w:szCs w:val="18"/>
              </w:rPr>
            </w:pPr>
            <w:r w:rsidRPr="001D41EA">
              <w:rPr>
                <w:rFonts w:cs="Arial"/>
                <w:sz w:val="18"/>
                <w:szCs w:val="18"/>
              </w:rPr>
              <w:t>Whittlesea C</w:t>
            </w:r>
          </w:p>
        </w:tc>
        <w:tc>
          <w:tcPr>
            <w:tcW w:w="1361" w:type="dxa"/>
            <w:tcBorders>
              <w:top w:val="nil"/>
              <w:left w:val="single" w:sz="18" w:space="0" w:color="5F497A" w:themeColor="accent4" w:themeShade="BF"/>
              <w:bottom w:val="nil"/>
              <w:right w:val="nil"/>
            </w:tcBorders>
            <w:shd w:val="clear" w:color="auto" w:fill="auto"/>
            <w:noWrap/>
            <w:vAlign w:val="bottom"/>
          </w:tcPr>
          <w:p w14:paraId="18C716D4" w14:textId="495044DB" w:rsidR="00584325" w:rsidRPr="001D41EA" w:rsidRDefault="00584325" w:rsidP="001D41EA">
            <w:pPr>
              <w:spacing w:before="40" w:after="20"/>
              <w:jc w:val="right"/>
              <w:rPr>
                <w:rFonts w:cs="Arial"/>
                <w:sz w:val="18"/>
                <w:szCs w:val="18"/>
              </w:rPr>
            </w:pPr>
            <w:r w:rsidRPr="001D41EA">
              <w:rPr>
                <w:rFonts w:cs="Arial"/>
                <w:sz w:val="18"/>
                <w:szCs w:val="18"/>
              </w:rPr>
              <w:t>27,269,968</w:t>
            </w:r>
          </w:p>
        </w:tc>
        <w:tc>
          <w:tcPr>
            <w:tcW w:w="1361" w:type="dxa"/>
            <w:tcBorders>
              <w:top w:val="nil"/>
              <w:left w:val="nil"/>
              <w:bottom w:val="nil"/>
              <w:right w:val="nil"/>
            </w:tcBorders>
            <w:shd w:val="clear" w:color="auto" w:fill="auto"/>
            <w:noWrap/>
            <w:vAlign w:val="bottom"/>
          </w:tcPr>
          <w:p w14:paraId="28C38A46" w14:textId="276E69AA" w:rsidR="00584325" w:rsidRPr="001D41EA" w:rsidRDefault="00584325" w:rsidP="001D41EA">
            <w:pPr>
              <w:spacing w:before="40" w:after="20"/>
              <w:jc w:val="right"/>
              <w:rPr>
                <w:rFonts w:cs="Arial"/>
                <w:sz w:val="18"/>
                <w:szCs w:val="18"/>
              </w:rPr>
            </w:pPr>
            <w:r w:rsidRPr="001D41EA">
              <w:rPr>
                <w:rFonts w:cs="Arial"/>
                <w:sz w:val="18"/>
                <w:szCs w:val="18"/>
              </w:rPr>
              <w:t>13,942,821</w:t>
            </w:r>
          </w:p>
        </w:tc>
        <w:tc>
          <w:tcPr>
            <w:tcW w:w="1361" w:type="dxa"/>
            <w:tcBorders>
              <w:top w:val="nil"/>
              <w:left w:val="nil"/>
              <w:bottom w:val="nil"/>
              <w:right w:val="nil"/>
            </w:tcBorders>
            <w:shd w:val="clear" w:color="auto" w:fill="auto"/>
            <w:noWrap/>
            <w:vAlign w:val="bottom"/>
          </w:tcPr>
          <w:p w14:paraId="709C6F4D" w14:textId="51D86C02" w:rsidR="00584325" w:rsidRPr="001D41EA" w:rsidRDefault="00584325" w:rsidP="001D41EA">
            <w:pPr>
              <w:spacing w:before="40" w:after="20"/>
              <w:jc w:val="right"/>
              <w:rPr>
                <w:rFonts w:cs="Arial"/>
                <w:sz w:val="18"/>
                <w:szCs w:val="18"/>
              </w:rPr>
            </w:pPr>
            <w:r w:rsidRPr="001D41EA">
              <w:rPr>
                <w:rFonts w:cs="Arial"/>
                <w:sz w:val="18"/>
                <w:szCs w:val="18"/>
              </w:rPr>
              <w:t>31,918,016</w:t>
            </w:r>
          </w:p>
        </w:tc>
        <w:tc>
          <w:tcPr>
            <w:tcW w:w="1361" w:type="dxa"/>
            <w:tcBorders>
              <w:top w:val="nil"/>
              <w:left w:val="nil"/>
              <w:bottom w:val="nil"/>
              <w:right w:val="nil"/>
            </w:tcBorders>
            <w:vAlign w:val="bottom"/>
          </w:tcPr>
          <w:p w14:paraId="3C66CEF0" w14:textId="76B46CFA" w:rsidR="00584325" w:rsidRPr="001D41EA" w:rsidRDefault="00584325" w:rsidP="001D41EA">
            <w:pPr>
              <w:spacing w:before="40" w:after="20"/>
              <w:jc w:val="right"/>
              <w:rPr>
                <w:rFonts w:cs="Arial"/>
                <w:sz w:val="18"/>
                <w:szCs w:val="18"/>
              </w:rPr>
            </w:pPr>
            <w:r w:rsidRPr="001D41EA">
              <w:rPr>
                <w:rFonts w:cs="Arial"/>
                <w:sz w:val="18"/>
                <w:szCs w:val="18"/>
              </w:rPr>
              <w:t>15,786,944</w:t>
            </w:r>
          </w:p>
        </w:tc>
        <w:tc>
          <w:tcPr>
            <w:tcW w:w="1361" w:type="dxa"/>
            <w:tcBorders>
              <w:top w:val="nil"/>
              <w:left w:val="nil"/>
              <w:bottom w:val="nil"/>
              <w:right w:val="nil"/>
            </w:tcBorders>
            <w:shd w:val="clear" w:color="auto" w:fill="auto"/>
            <w:noWrap/>
            <w:vAlign w:val="bottom"/>
          </w:tcPr>
          <w:p w14:paraId="4F1DB1AA" w14:textId="02C5B460" w:rsidR="00584325" w:rsidRPr="001D41EA" w:rsidRDefault="00584325" w:rsidP="001D41EA">
            <w:pPr>
              <w:spacing w:before="40" w:after="20"/>
              <w:jc w:val="right"/>
              <w:rPr>
                <w:rFonts w:cs="Arial"/>
                <w:b/>
                <w:sz w:val="18"/>
                <w:szCs w:val="18"/>
              </w:rPr>
            </w:pPr>
            <w:r w:rsidRPr="001D41EA">
              <w:rPr>
                <w:rFonts w:cs="Arial"/>
                <w:b/>
                <w:sz w:val="18"/>
                <w:szCs w:val="18"/>
              </w:rPr>
              <w:t>216,824,736</w:t>
            </w:r>
          </w:p>
        </w:tc>
      </w:tr>
      <w:tr w:rsidR="00584325" w:rsidRPr="001D41EA" w14:paraId="22952F1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4B498D8" w14:textId="77777777" w:rsidR="00584325" w:rsidRPr="001D41EA" w:rsidRDefault="00584325" w:rsidP="001D41EA">
            <w:pPr>
              <w:spacing w:before="40" w:after="20"/>
              <w:rPr>
                <w:rFonts w:cs="Arial"/>
                <w:sz w:val="18"/>
                <w:szCs w:val="18"/>
              </w:rPr>
            </w:pPr>
            <w:r w:rsidRPr="001D41EA">
              <w:rPr>
                <w:rFonts w:cs="Arial"/>
                <w:sz w:val="18"/>
                <w:szCs w:val="18"/>
              </w:rPr>
              <w:t>Wodonga C</w:t>
            </w:r>
          </w:p>
        </w:tc>
        <w:tc>
          <w:tcPr>
            <w:tcW w:w="1361" w:type="dxa"/>
            <w:tcBorders>
              <w:top w:val="nil"/>
              <w:left w:val="single" w:sz="18" w:space="0" w:color="5F497A" w:themeColor="accent4" w:themeShade="BF"/>
              <w:bottom w:val="nil"/>
              <w:right w:val="nil"/>
            </w:tcBorders>
            <w:shd w:val="clear" w:color="auto" w:fill="auto"/>
            <w:noWrap/>
            <w:vAlign w:val="bottom"/>
          </w:tcPr>
          <w:p w14:paraId="5F587387" w14:textId="75A57C98" w:rsidR="00584325" w:rsidRPr="001D41EA" w:rsidRDefault="00584325" w:rsidP="001D41EA">
            <w:pPr>
              <w:spacing w:before="40" w:after="20"/>
              <w:jc w:val="right"/>
              <w:rPr>
                <w:rFonts w:cs="Arial"/>
                <w:sz w:val="18"/>
                <w:szCs w:val="18"/>
              </w:rPr>
            </w:pPr>
            <w:r w:rsidRPr="001D41EA">
              <w:rPr>
                <w:rFonts w:cs="Arial"/>
                <w:sz w:val="18"/>
                <w:szCs w:val="18"/>
              </w:rPr>
              <w:t>6,001,868</w:t>
            </w:r>
          </w:p>
        </w:tc>
        <w:tc>
          <w:tcPr>
            <w:tcW w:w="1361" w:type="dxa"/>
            <w:tcBorders>
              <w:top w:val="nil"/>
              <w:left w:val="nil"/>
              <w:bottom w:val="nil"/>
              <w:right w:val="nil"/>
            </w:tcBorders>
            <w:shd w:val="clear" w:color="auto" w:fill="auto"/>
            <w:noWrap/>
            <w:vAlign w:val="bottom"/>
          </w:tcPr>
          <w:p w14:paraId="5F54F2CF" w14:textId="68A9DC7D" w:rsidR="00584325" w:rsidRPr="001D41EA" w:rsidRDefault="00584325" w:rsidP="001D41EA">
            <w:pPr>
              <w:spacing w:before="40" w:after="20"/>
              <w:jc w:val="right"/>
              <w:rPr>
                <w:rFonts w:cs="Arial"/>
                <w:sz w:val="18"/>
                <w:szCs w:val="18"/>
              </w:rPr>
            </w:pPr>
            <w:r w:rsidRPr="001D41EA">
              <w:rPr>
                <w:rFonts w:cs="Arial"/>
                <w:sz w:val="18"/>
                <w:szCs w:val="18"/>
              </w:rPr>
              <w:t>2,765,528</w:t>
            </w:r>
          </w:p>
        </w:tc>
        <w:tc>
          <w:tcPr>
            <w:tcW w:w="1361" w:type="dxa"/>
            <w:tcBorders>
              <w:top w:val="nil"/>
              <w:left w:val="nil"/>
              <w:bottom w:val="nil"/>
              <w:right w:val="nil"/>
            </w:tcBorders>
            <w:shd w:val="clear" w:color="auto" w:fill="auto"/>
            <w:noWrap/>
            <w:vAlign w:val="bottom"/>
          </w:tcPr>
          <w:p w14:paraId="58F3D733" w14:textId="577C8F56" w:rsidR="00584325" w:rsidRPr="001D41EA" w:rsidRDefault="00584325" w:rsidP="001D41EA">
            <w:pPr>
              <w:spacing w:before="40" w:after="20"/>
              <w:jc w:val="right"/>
              <w:rPr>
                <w:rFonts w:cs="Arial"/>
                <w:sz w:val="18"/>
                <w:szCs w:val="18"/>
              </w:rPr>
            </w:pPr>
            <w:r w:rsidRPr="001D41EA">
              <w:rPr>
                <w:rFonts w:cs="Arial"/>
                <w:sz w:val="18"/>
                <w:szCs w:val="18"/>
              </w:rPr>
              <w:t>7,915,110</w:t>
            </w:r>
          </w:p>
        </w:tc>
        <w:tc>
          <w:tcPr>
            <w:tcW w:w="1361" w:type="dxa"/>
            <w:tcBorders>
              <w:top w:val="nil"/>
              <w:left w:val="nil"/>
              <w:bottom w:val="nil"/>
              <w:right w:val="nil"/>
            </w:tcBorders>
            <w:vAlign w:val="bottom"/>
          </w:tcPr>
          <w:p w14:paraId="1D939DDD" w14:textId="6093AD9B" w:rsidR="00584325" w:rsidRPr="001D41EA" w:rsidRDefault="00584325" w:rsidP="001D41EA">
            <w:pPr>
              <w:spacing w:before="40" w:after="20"/>
              <w:jc w:val="right"/>
              <w:rPr>
                <w:rFonts w:cs="Arial"/>
                <w:sz w:val="18"/>
                <w:szCs w:val="18"/>
              </w:rPr>
            </w:pPr>
            <w:r w:rsidRPr="001D41EA">
              <w:rPr>
                <w:rFonts w:cs="Arial"/>
                <w:sz w:val="18"/>
                <w:szCs w:val="18"/>
              </w:rPr>
              <w:t>5,519,431</w:t>
            </w:r>
          </w:p>
        </w:tc>
        <w:tc>
          <w:tcPr>
            <w:tcW w:w="1361" w:type="dxa"/>
            <w:tcBorders>
              <w:top w:val="nil"/>
              <w:left w:val="nil"/>
              <w:bottom w:val="nil"/>
              <w:right w:val="nil"/>
            </w:tcBorders>
            <w:shd w:val="clear" w:color="auto" w:fill="auto"/>
            <w:noWrap/>
            <w:vAlign w:val="bottom"/>
          </w:tcPr>
          <w:p w14:paraId="431BF510" w14:textId="1C780B92" w:rsidR="00584325" w:rsidRPr="001D41EA" w:rsidRDefault="00584325" w:rsidP="001D41EA">
            <w:pPr>
              <w:spacing w:before="40" w:after="20"/>
              <w:jc w:val="right"/>
              <w:rPr>
                <w:rFonts w:cs="Arial"/>
                <w:b/>
                <w:sz w:val="18"/>
                <w:szCs w:val="18"/>
              </w:rPr>
            </w:pPr>
            <w:r w:rsidRPr="001D41EA">
              <w:rPr>
                <w:rFonts w:cs="Arial"/>
                <w:b/>
                <w:sz w:val="18"/>
                <w:szCs w:val="18"/>
              </w:rPr>
              <w:t>50,454,181</w:t>
            </w:r>
          </w:p>
        </w:tc>
      </w:tr>
      <w:tr w:rsidR="00584325" w:rsidRPr="001D41EA" w14:paraId="354DF41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03D769A" w14:textId="77777777" w:rsidR="00584325" w:rsidRPr="001D41EA" w:rsidRDefault="00584325" w:rsidP="001D41EA">
            <w:pPr>
              <w:spacing w:before="40" w:after="20"/>
              <w:rPr>
                <w:rFonts w:cs="Arial"/>
                <w:sz w:val="18"/>
                <w:szCs w:val="18"/>
              </w:rPr>
            </w:pPr>
            <w:r w:rsidRPr="001D41EA">
              <w:rPr>
                <w:rFonts w:cs="Arial"/>
                <w:sz w:val="18"/>
                <w:szCs w:val="18"/>
              </w:rPr>
              <w:t>Wyndham C</w:t>
            </w:r>
          </w:p>
        </w:tc>
        <w:tc>
          <w:tcPr>
            <w:tcW w:w="1361" w:type="dxa"/>
            <w:tcBorders>
              <w:top w:val="nil"/>
              <w:left w:val="single" w:sz="18" w:space="0" w:color="5F497A" w:themeColor="accent4" w:themeShade="BF"/>
              <w:bottom w:val="nil"/>
              <w:right w:val="nil"/>
            </w:tcBorders>
            <w:shd w:val="clear" w:color="auto" w:fill="auto"/>
            <w:noWrap/>
            <w:vAlign w:val="bottom"/>
          </w:tcPr>
          <w:p w14:paraId="60FBD094" w14:textId="4460A7F8" w:rsidR="00584325" w:rsidRPr="001D41EA" w:rsidRDefault="00584325" w:rsidP="001D41EA">
            <w:pPr>
              <w:spacing w:before="40" w:after="20"/>
              <w:jc w:val="right"/>
              <w:rPr>
                <w:rFonts w:cs="Arial"/>
                <w:sz w:val="18"/>
                <w:szCs w:val="18"/>
              </w:rPr>
            </w:pPr>
            <w:r w:rsidRPr="001D41EA">
              <w:rPr>
                <w:rFonts w:cs="Arial"/>
                <w:sz w:val="18"/>
                <w:szCs w:val="18"/>
              </w:rPr>
              <w:t>32,726,246</w:t>
            </w:r>
          </w:p>
        </w:tc>
        <w:tc>
          <w:tcPr>
            <w:tcW w:w="1361" w:type="dxa"/>
            <w:tcBorders>
              <w:top w:val="nil"/>
              <w:left w:val="nil"/>
              <w:bottom w:val="nil"/>
              <w:right w:val="nil"/>
            </w:tcBorders>
            <w:shd w:val="clear" w:color="auto" w:fill="auto"/>
            <w:noWrap/>
            <w:vAlign w:val="bottom"/>
          </w:tcPr>
          <w:p w14:paraId="377DA76A" w14:textId="4B18BD52" w:rsidR="00584325" w:rsidRPr="001D41EA" w:rsidRDefault="00584325" w:rsidP="001D41EA">
            <w:pPr>
              <w:spacing w:before="40" w:after="20"/>
              <w:jc w:val="right"/>
              <w:rPr>
                <w:rFonts w:cs="Arial"/>
                <w:sz w:val="18"/>
                <w:szCs w:val="18"/>
              </w:rPr>
            </w:pPr>
            <w:r w:rsidRPr="001D41EA">
              <w:rPr>
                <w:rFonts w:cs="Arial"/>
                <w:sz w:val="18"/>
                <w:szCs w:val="18"/>
              </w:rPr>
              <w:t>16,175,765</w:t>
            </w:r>
          </w:p>
        </w:tc>
        <w:tc>
          <w:tcPr>
            <w:tcW w:w="1361" w:type="dxa"/>
            <w:tcBorders>
              <w:top w:val="nil"/>
              <w:left w:val="nil"/>
              <w:bottom w:val="nil"/>
              <w:right w:val="nil"/>
            </w:tcBorders>
            <w:shd w:val="clear" w:color="auto" w:fill="auto"/>
            <w:noWrap/>
            <w:vAlign w:val="bottom"/>
          </w:tcPr>
          <w:p w14:paraId="6A8C6BB1" w14:textId="0F23BFAB" w:rsidR="00584325" w:rsidRPr="001D41EA" w:rsidRDefault="00584325" w:rsidP="001D41EA">
            <w:pPr>
              <w:spacing w:before="40" w:after="20"/>
              <w:jc w:val="right"/>
              <w:rPr>
                <w:rFonts w:cs="Arial"/>
                <w:sz w:val="18"/>
                <w:szCs w:val="18"/>
              </w:rPr>
            </w:pPr>
            <w:r w:rsidRPr="001D41EA">
              <w:rPr>
                <w:rFonts w:cs="Arial"/>
                <w:sz w:val="18"/>
                <w:szCs w:val="18"/>
              </w:rPr>
              <w:t>35,849,810</w:t>
            </w:r>
          </w:p>
        </w:tc>
        <w:tc>
          <w:tcPr>
            <w:tcW w:w="1361" w:type="dxa"/>
            <w:tcBorders>
              <w:top w:val="nil"/>
              <w:left w:val="nil"/>
              <w:bottom w:val="nil"/>
              <w:right w:val="nil"/>
            </w:tcBorders>
            <w:vAlign w:val="bottom"/>
          </w:tcPr>
          <w:p w14:paraId="280C4B81" w14:textId="697CC488" w:rsidR="00584325" w:rsidRPr="001D41EA" w:rsidRDefault="00584325" w:rsidP="001D41EA">
            <w:pPr>
              <w:spacing w:before="40" w:after="20"/>
              <w:jc w:val="right"/>
              <w:rPr>
                <w:rFonts w:cs="Arial"/>
                <w:sz w:val="18"/>
                <w:szCs w:val="18"/>
              </w:rPr>
            </w:pPr>
            <w:r w:rsidRPr="001D41EA">
              <w:rPr>
                <w:rFonts w:cs="Arial"/>
                <w:sz w:val="18"/>
                <w:szCs w:val="18"/>
              </w:rPr>
              <w:t>17,604,941</w:t>
            </w:r>
          </w:p>
        </w:tc>
        <w:tc>
          <w:tcPr>
            <w:tcW w:w="1361" w:type="dxa"/>
            <w:tcBorders>
              <w:top w:val="nil"/>
              <w:left w:val="nil"/>
              <w:bottom w:val="nil"/>
              <w:right w:val="nil"/>
            </w:tcBorders>
            <w:shd w:val="clear" w:color="auto" w:fill="auto"/>
            <w:noWrap/>
            <w:vAlign w:val="bottom"/>
          </w:tcPr>
          <w:p w14:paraId="7AB96468" w14:textId="728C8532" w:rsidR="00584325" w:rsidRPr="001D41EA" w:rsidRDefault="00584325" w:rsidP="001D41EA">
            <w:pPr>
              <w:spacing w:before="40" w:after="20"/>
              <w:jc w:val="right"/>
              <w:rPr>
                <w:rFonts w:cs="Arial"/>
                <w:b/>
                <w:sz w:val="18"/>
                <w:szCs w:val="18"/>
              </w:rPr>
            </w:pPr>
            <w:r w:rsidRPr="001D41EA">
              <w:rPr>
                <w:rFonts w:cs="Arial"/>
                <w:b/>
                <w:sz w:val="18"/>
                <w:szCs w:val="18"/>
              </w:rPr>
              <w:t>244,561,483</w:t>
            </w:r>
          </w:p>
        </w:tc>
      </w:tr>
      <w:tr w:rsidR="00584325" w:rsidRPr="001D41EA" w14:paraId="29F6D40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A9A48EA" w14:textId="77777777" w:rsidR="00584325" w:rsidRPr="001D41EA" w:rsidRDefault="00584325" w:rsidP="001D41EA">
            <w:pPr>
              <w:spacing w:before="40" w:after="20"/>
              <w:rPr>
                <w:rFonts w:cs="Arial"/>
                <w:sz w:val="18"/>
                <w:szCs w:val="18"/>
              </w:rPr>
            </w:pPr>
            <w:r w:rsidRPr="001D41EA">
              <w:rPr>
                <w:rFonts w:cs="Arial"/>
                <w:sz w:val="18"/>
                <w:szCs w:val="18"/>
              </w:rPr>
              <w:t>Yarra C</w:t>
            </w:r>
          </w:p>
        </w:tc>
        <w:tc>
          <w:tcPr>
            <w:tcW w:w="1361" w:type="dxa"/>
            <w:tcBorders>
              <w:top w:val="nil"/>
              <w:left w:val="single" w:sz="18" w:space="0" w:color="5F497A" w:themeColor="accent4" w:themeShade="BF"/>
              <w:bottom w:val="nil"/>
              <w:right w:val="nil"/>
            </w:tcBorders>
            <w:shd w:val="clear" w:color="auto" w:fill="auto"/>
            <w:noWrap/>
            <w:vAlign w:val="bottom"/>
          </w:tcPr>
          <w:p w14:paraId="5BEBE6B6" w14:textId="13DECFAB" w:rsidR="00584325" w:rsidRPr="001D41EA" w:rsidRDefault="00584325" w:rsidP="001D41EA">
            <w:pPr>
              <w:spacing w:before="40" w:after="20"/>
              <w:jc w:val="right"/>
              <w:rPr>
                <w:rFonts w:cs="Arial"/>
                <w:sz w:val="18"/>
                <w:szCs w:val="18"/>
              </w:rPr>
            </w:pPr>
            <w:r w:rsidRPr="001D41EA">
              <w:rPr>
                <w:rFonts w:cs="Arial"/>
                <w:sz w:val="18"/>
                <w:szCs w:val="18"/>
              </w:rPr>
              <w:t>14,088,256</w:t>
            </w:r>
          </w:p>
        </w:tc>
        <w:tc>
          <w:tcPr>
            <w:tcW w:w="1361" w:type="dxa"/>
            <w:tcBorders>
              <w:top w:val="nil"/>
              <w:left w:val="nil"/>
              <w:bottom w:val="nil"/>
              <w:right w:val="nil"/>
            </w:tcBorders>
            <w:shd w:val="clear" w:color="auto" w:fill="auto"/>
            <w:noWrap/>
            <w:vAlign w:val="bottom"/>
          </w:tcPr>
          <w:p w14:paraId="03FECCAE" w14:textId="65D19A60" w:rsidR="00584325" w:rsidRPr="001D41EA" w:rsidRDefault="00584325" w:rsidP="001D41EA">
            <w:pPr>
              <w:spacing w:before="40" w:after="20"/>
              <w:jc w:val="right"/>
              <w:rPr>
                <w:rFonts w:cs="Arial"/>
                <w:sz w:val="18"/>
                <w:szCs w:val="18"/>
              </w:rPr>
            </w:pPr>
            <w:r w:rsidRPr="001D41EA">
              <w:rPr>
                <w:rFonts w:cs="Arial"/>
                <w:sz w:val="18"/>
                <w:szCs w:val="18"/>
              </w:rPr>
              <w:t>6,247,298</w:t>
            </w:r>
          </w:p>
        </w:tc>
        <w:tc>
          <w:tcPr>
            <w:tcW w:w="1361" w:type="dxa"/>
            <w:tcBorders>
              <w:top w:val="nil"/>
              <w:left w:val="nil"/>
              <w:bottom w:val="nil"/>
              <w:right w:val="nil"/>
            </w:tcBorders>
            <w:shd w:val="clear" w:color="auto" w:fill="auto"/>
            <w:noWrap/>
            <w:vAlign w:val="bottom"/>
          </w:tcPr>
          <w:p w14:paraId="60FEECA7" w14:textId="351C4B1D" w:rsidR="00584325" w:rsidRPr="001D41EA" w:rsidRDefault="00584325" w:rsidP="001D41EA">
            <w:pPr>
              <w:spacing w:before="40" w:after="20"/>
              <w:jc w:val="right"/>
              <w:rPr>
                <w:rFonts w:cs="Arial"/>
                <w:sz w:val="18"/>
                <w:szCs w:val="18"/>
              </w:rPr>
            </w:pPr>
            <w:r w:rsidRPr="001D41EA">
              <w:rPr>
                <w:rFonts w:cs="Arial"/>
                <w:sz w:val="18"/>
                <w:szCs w:val="18"/>
              </w:rPr>
              <w:t>17,350,240</w:t>
            </w:r>
          </w:p>
        </w:tc>
        <w:tc>
          <w:tcPr>
            <w:tcW w:w="1361" w:type="dxa"/>
            <w:tcBorders>
              <w:top w:val="nil"/>
              <w:left w:val="nil"/>
              <w:bottom w:val="nil"/>
              <w:right w:val="nil"/>
            </w:tcBorders>
            <w:vAlign w:val="bottom"/>
          </w:tcPr>
          <w:p w14:paraId="2EC99A69" w14:textId="197A6324" w:rsidR="00584325" w:rsidRPr="001D41EA" w:rsidRDefault="00584325" w:rsidP="001D41EA">
            <w:pPr>
              <w:spacing w:before="40" w:after="20"/>
              <w:jc w:val="right"/>
              <w:rPr>
                <w:rFonts w:cs="Arial"/>
                <w:sz w:val="18"/>
                <w:szCs w:val="18"/>
              </w:rPr>
            </w:pPr>
            <w:r w:rsidRPr="001D41EA">
              <w:rPr>
                <w:rFonts w:cs="Arial"/>
                <w:sz w:val="18"/>
                <w:szCs w:val="18"/>
              </w:rPr>
              <w:t>2,901,204</w:t>
            </w:r>
          </w:p>
        </w:tc>
        <w:tc>
          <w:tcPr>
            <w:tcW w:w="1361" w:type="dxa"/>
            <w:tcBorders>
              <w:top w:val="nil"/>
              <w:left w:val="nil"/>
              <w:bottom w:val="nil"/>
              <w:right w:val="nil"/>
            </w:tcBorders>
            <w:shd w:val="clear" w:color="auto" w:fill="auto"/>
            <w:noWrap/>
            <w:vAlign w:val="bottom"/>
          </w:tcPr>
          <w:p w14:paraId="07357C86" w14:textId="073A1A1F" w:rsidR="00584325" w:rsidRPr="001D41EA" w:rsidRDefault="00584325" w:rsidP="001D41EA">
            <w:pPr>
              <w:spacing w:before="40" w:after="20"/>
              <w:jc w:val="right"/>
              <w:rPr>
                <w:rFonts w:cs="Arial"/>
                <w:b/>
                <w:sz w:val="18"/>
                <w:szCs w:val="18"/>
              </w:rPr>
            </w:pPr>
            <w:r w:rsidRPr="001D41EA">
              <w:rPr>
                <w:rFonts w:cs="Arial"/>
                <w:b/>
                <w:sz w:val="18"/>
                <w:szCs w:val="18"/>
              </w:rPr>
              <w:t>103,989,957</w:t>
            </w:r>
          </w:p>
        </w:tc>
      </w:tr>
      <w:tr w:rsidR="00584325" w:rsidRPr="001D41EA" w14:paraId="632C4A1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D301475" w14:textId="77777777" w:rsidR="00584325" w:rsidRPr="001D41EA" w:rsidRDefault="00584325" w:rsidP="001D41EA">
            <w:pPr>
              <w:spacing w:before="40" w:after="20"/>
              <w:rPr>
                <w:rFonts w:cs="Arial"/>
                <w:sz w:val="18"/>
                <w:szCs w:val="18"/>
              </w:rPr>
            </w:pPr>
            <w:r w:rsidRPr="001D41EA">
              <w:rPr>
                <w:rFonts w:cs="Arial"/>
                <w:sz w:val="18"/>
                <w:szCs w:val="18"/>
              </w:rPr>
              <w:t>Yarra Ranges S</w:t>
            </w:r>
          </w:p>
        </w:tc>
        <w:tc>
          <w:tcPr>
            <w:tcW w:w="1361" w:type="dxa"/>
            <w:tcBorders>
              <w:top w:val="nil"/>
              <w:left w:val="single" w:sz="18" w:space="0" w:color="5F497A" w:themeColor="accent4" w:themeShade="BF"/>
              <w:bottom w:val="nil"/>
              <w:right w:val="nil"/>
            </w:tcBorders>
            <w:shd w:val="clear" w:color="auto" w:fill="auto"/>
            <w:noWrap/>
            <w:vAlign w:val="bottom"/>
          </w:tcPr>
          <w:p w14:paraId="388DD480" w14:textId="5B08DA06" w:rsidR="00584325" w:rsidRPr="001D41EA" w:rsidRDefault="00584325" w:rsidP="001D41EA">
            <w:pPr>
              <w:spacing w:before="40" w:after="20"/>
              <w:jc w:val="right"/>
              <w:rPr>
                <w:rFonts w:cs="Arial"/>
                <w:sz w:val="18"/>
                <w:szCs w:val="18"/>
              </w:rPr>
            </w:pPr>
            <w:r w:rsidRPr="001D41EA">
              <w:rPr>
                <w:rFonts w:cs="Arial"/>
                <w:sz w:val="18"/>
                <w:szCs w:val="18"/>
              </w:rPr>
              <w:t>19,254,154</w:t>
            </w:r>
          </w:p>
        </w:tc>
        <w:tc>
          <w:tcPr>
            <w:tcW w:w="1361" w:type="dxa"/>
            <w:tcBorders>
              <w:top w:val="nil"/>
              <w:left w:val="nil"/>
              <w:bottom w:val="nil"/>
              <w:right w:val="nil"/>
            </w:tcBorders>
            <w:shd w:val="clear" w:color="auto" w:fill="auto"/>
            <w:noWrap/>
            <w:vAlign w:val="bottom"/>
          </w:tcPr>
          <w:p w14:paraId="341E000D" w14:textId="7DA0EBF2" w:rsidR="00584325" w:rsidRPr="001D41EA" w:rsidRDefault="00584325" w:rsidP="001D41EA">
            <w:pPr>
              <w:spacing w:before="40" w:after="20"/>
              <w:jc w:val="right"/>
              <w:rPr>
                <w:rFonts w:cs="Arial"/>
                <w:sz w:val="18"/>
                <w:szCs w:val="18"/>
              </w:rPr>
            </w:pPr>
            <w:r w:rsidRPr="001D41EA">
              <w:rPr>
                <w:rFonts w:cs="Arial"/>
                <w:sz w:val="18"/>
                <w:szCs w:val="18"/>
              </w:rPr>
              <w:t>12,326,937</w:t>
            </w:r>
          </w:p>
        </w:tc>
        <w:tc>
          <w:tcPr>
            <w:tcW w:w="1361" w:type="dxa"/>
            <w:tcBorders>
              <w:top w:val="nil"/>
              <w:left w:val="nil"/>
              <w:bottom w:val="nil"/>
              <w:right w:val="nil"/>
            </w:tcBorders>
            <w:shd w:val="clear" w:color="auto" w:fill="auto"/>
            <w:noWrap/>
            <w:vAlign w:val="bottom"/>
          </w:tcPr>
          <w:p w14:paraId="7DF4CC7C" w14:textId="2188A5F7" w:rsidR="00584325" w:rsidRPr="001D41EA" w:rsidRDefault="00584325" w:rsidP="001D41EA">
            <w:pPr>
              <w:spacing w:before="40" w:after="20"/>
              <w:jc w:val="right"/>
              <w:rPr>
                <w:rFonts w:cs="Arial"/>
                <w:sz w:val="18"/>
                <w:szCs w:val="18"/>
              </w:rPr>
            </w:pPr>
            <w:r w:rsidRPr="001D41EA">
              <w:rPr>
                <w:rFonts w:cs="Arial"/>
                <w:sz w:val="18"/>
                <w:szCs w:val="18"/>
              </w:rPr>
              <w:t>25,432,939</w:t>
            </w:r>
          </w:p>
        </w:tc>
        <w:tc>
          <w:tcPr>
            <w:tcW w:w="1361" w:type="dxa"/>
            <w:tcBorders>
              <w:top w:val="nil"/>
              <w:left w:val="nil"/>
              <w:bottom w:val="nil"/>
              <w:right w:val="nil"/>
            </w:tcBorders>
            <w:vAlign w:val="bottom"/>
          </w:tcPr>
          <w:p w14:paraId="3355A21D" w14:textId="1253C2BC" w:rsidR="00584325" w:rsidRPr="001D41EA" w:rsidRDefault="00584325" w:rsidP="001D41EA">
            <w:pPr>
              <w:spacing w:before="40" w:after="20"/>
              <w:jc w:val="right"/>
              <w:rPr>
                <w:rFonts w:cs="Arial"/>
                <w:sz w:val="18"/>
                <w:szCs w:val="18"/>
              </w:rPr>
            </w:pPr>
            <w:r w:rsidRPr="001D41EA">
              <w:rPr>
                <w:rFonts w:cs="Arial"/>
                <w:sz w:val="18"/>
                <w:szCs w:val="18"/>
              </w:rPr>
              <w:t>23,919,070</w:t>
            </w:r>
          </w:p>
        </w:tc>
        <w:tc>
          <w:tcPr>
            <w:tcW w:w="1361" w:type="dxa"/>
            <w:tcBorders>
              <w:top w:val="nil"/>
              <w:left w:val="nil"/>
              <w:bottom w:val="nil"/>
              <w:right w:val="nil"/>
            </w:tcBorders>
            <w:shd w:val="clear" w:color="auto" w:fill="auto"/>
            <w:noWrap/>
            <w:vAlign w:val="bottom"/>
          </w:tcPr>
          <w:p w14:paraId="7739101E" w14:textId="32625D25" w:rsidR="00584325" w:rsidRPr="001D41EA" w:rsidRDefault="00584325" w:rsidP="001D41EA">
            <w:pPr>
              <w:spacing w:before="40" w:after="20"/>
              <w:jc w:val="right"/>
              <w:rPr>
                <w:rFonts w:cs="Arial"/>
                <w:b/>
                <w:sz w:val="18"/>
                <w:szCs w:val="18"/>
              </w:rPr>
            </w:pPr>
            <w:r w:rsidRPr="001D41EA">
              <w:rPr>
                <w:rFonts w:cs="Arial"/>
                <w:b/>
                <w:sz w:val="18"/>
                <w:szCs w:val="18"/>
              </w:rPr>
              <w:t>178,860,085</w:t>
            </w:r>
          </w:p>
        </w:tc>
      </w:tr>
      <w:tr w:rsidR="00584325" w:rsidRPr="001D41EA" w14:paraId="3AE16EB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522D2C8" w14:textId="77777777" w:rsidR="00584325" w:rsidRPr="001D41EA" w:rsidRDefault="00584325" w:rsidP="001D41EA">
            <w:pPr>
              <w:spacing w:before="40" w:after="20"/>
              <w:rPr>
                <w:rFonts w:cs="Arial"/>
                <w:sz w:val="18"/>
                <w:szCs w:val="18"/>
              </w:rPr>
            </w:pPr>
            <w:r w:rsidRPr="001D41EA">
              <w:rPr>
                <w:rFonts w:cs="Arial"/>
                <w:sz w:val="18"/>
                <w:szCs w:val="18"/>
              </w:rPr>
              <w:t>Yarriambiack S</w:t>
            </w:r>
          </w:p>
        </w:tc>
        <w:tc>
          <w:tcPr>
            <w:tcW w:w="1361" w:type="dxa"/>
            <w:tcBorders>
              <w:top w:val="nil"/>
              <w:left w:val="single" w:sz="18" w:space="0" w:color="5F497A" w:themeColor="accent4" w:themeShade="BF"/>
              <w:right w:val="nil"/>
            </w:tcBorders>
            <w:shd w:val="clear" w:color="auto" w:fill="auto"/>
            <w:noWrap/>
            <w:vAlign w:val="bottom"/>
          </w:tcPr>
          <w:p w14:paraId="13FD239E" w14:textId="029C2CC9" w:rsidR="00584325" w:rsidRPr="001D41EA" w:rsidRDefault="00584325" w:rsidP="001D41EA">
            <w:pPr>
              <w:spacing w:before="40" w:after="20"/>
              <w:jc w:val="right"/>
              <w:rPr>
                <w:rFonts w:cs="Arial"/>
                <w:sz w:val="18"/>
                <w:szCs w:val="18"/>
              </w:rPr>
            </w:pPr>
            <w:r w:rsidRPr="001D41EA">
              <w:rPr>
                <w:rFonts w:cs="Arial"/>
                <w:sz w:val="18"/>
                <w:szCs w:val="18"/>
              </w:rPr>
              <w:t>917,851</w:t>
            </w:r>
          </w:p>
        </w:tc>
        <w:tc>
          <w:tcPr>
            <w:tcW w:w="1361" w:type="dxa"/>
            <w:tcBorders>
              <w:top w:val="nil"/>
              <w:left w:val="nil"/>
              <w:right w:val="nil"/>
            </w:tcBorders>
            <w:shd w:val="clear" w:color="auto" w:fill="auto"/>
            <w:noWrap/>
            <w:vAlign w:val="bottom"/>
          </w:tcPr>
          <w:p w14:paraId="714C1985" w14:textId="3C6ED46A" w:rsidR="00584325" w:rsidRPr="001D41EA" w:rsidRDefault="00584325" w:rsidP="001D41EA">
            <w:pPr>
              <w:spacing w:before="40" w:after="20"/>
              <w:jc w:val="right"/>
              <w:rPr>
                <w:rFonts w:cs="Arial"/>
                <w:sz w:val="18"/>
                <w:szCs w:val="18"/>
              </w:rPr>
            </w:pPr>
            <w:r w:rsidRPr="001D41EA">
              <w:rPr>
                <w:rFonts w:cs="Arial"/>
                <w:sz w:val="18"/>
                <w:szCs w:val="18"/>
              </w:rPr>
              <w:t>1,296,140</w:t>
            </w:r>
          </w:p>
        </w:tc>
        <w:tc>
          <w:tcPr>
            <w:tcW w:w="1361" w:type="dxa"/>
            <w:tcBorders>
              <w:top w:val="nil"/>
              <w:left w:val="nil"/>
              <w:right w:val="nil"/>
            </w:tcBorders>
            <w:shd w:val="clear" w:color="auto" w:fill="auto"/>
            <w:noWrap/>
            <w:vAlign w:val="bottom"/>
          </w:tcPr>
          <w:p w14:paraId="0F7BFB34" w14:textId="02D7C599" w:rsidR="00584325" w:rsidRPr="001D41EA" w:rsidRDefault="00584325" w:rsidP="001D41EA">
            <w:pPr>
              <w:spacing w:before="40" w:after="20"/>
              <w:jc w:val="right"/>
              <w:rPr>
                <w:rFonts w:cs="Arial"/>
                <w:sz w:val="18"/>
                <w:szCs w:val="18"/>
              </w:rPr>
            </w:pPr>
            <w:r w:rsidRPr="001D41EA">
              <w:rPr>
                <w:rFonts w:cs="Arial"/>
                <w:sz w:val="18"/>
                <w:szCs w:val="18"/>
              </w:rPr>
              <w:t>3,102,745</w:t>
            </w:r>
          </w:p>
        </w:tc>
        <w:tc>
          <w:tcPr>
            <w:tcW w:w="1361" w:type="dxa"/>
            <w:tcBorders>
              <w:top w:val="nil"/>
              <w:left w:val="nil"/>
              <w:right w:val="nil"/>
            </w:tcBorders>
            <w:vAlign w:val="bottom"/>
          </w:tcPr>
          <w:p w14:paraId="2260C558" w14:textId="2AC435F5" w:rsidR="00584325" w:rsidRPr="001D41EA" w:rsidRDefault="00584325" w:rsidP="001D41EA">
            <w:pPr>
              <w:spacing w:before="40" w:after="20"/>
              <w:jc w:val="right"/>
              <w:rPr>
                <w:rFonts w:cs="Arial"/>
                <w:sz w:val="18"/>
                <w:szCs w:val="18"/>
              </w:rPr>
            </w:pPr>
            <w:r w:rsidRPr="001D41EA">
              <w:rPr>
                <w:rFonts w:cs="Arial"/>
                <w:sz w:val="18"/>
                <w:szCs w:val="18"/>
              </w:rPr>
              <w:t>14,798,527</w:t>
            </w:r>
          </w:p>
        </w:tc>
        <w:tc>
          <w:tcPr>
            <w:tcW w:w="1361" w:type="dxa"/>
            <w:tcBorders>
              <w:top w:val="nil"/>
              <w:left w:val="nil"/>
              <w:right w:val="nil"/>
            </w:tcBorders>
            <w:shd w:val="clear" w:color="auto" w:fill="auto"/>
            <w:noWrap/>
            <w:vAlign w:val="bottom"/>
          </w:tcPr>
          <w:p w14:paraId="757F976F" w14:textId="4456B466" w:rsidR="00584325" w:rsidRPr="001D41EA" w:rsidRDefault="00584325" w:rsidP="001D41EA">
            <w:pPr>
              <w:spacing w:before="40" w:after="20"/>
              <w:jc w:val="right"/>
              <w:rPr>
                <w:rFonts w:cs="Arial"/>
                <w:b/>
                <w:sz w:val="18"/>
                <w:szCs w:val="18"/>
              </w:rPr>
            </w:pPr>
            <w:r w:rsidRPr="001D41EA">
              <w:rPr>
                <w:rFonts w:cs="Arial"/>
                <w:b/>
                <w:sz w:val="18"/>
                <w:szCs w:val="18"/>
              </w:rPr>
              <w:t>26,971,777</w:t>
            </w:r>
          </w:p>
        </w:tc>
      </w:tr>
      <w:tr w:rsidR="00584325" w:rsidRPr="001D41EA" w14:paraId="13A403BC" w14:textId="77777777" w:rsidTr="00B44BBE">
        <w:tc>
          <w:tcPr>
            <w:tcW w:w="2268" w:type="dxa"/>
            <w:tcBorders>
              <w:top w:val="nil"/>
              <w:left w:val="nil"/>
              <w:bottom w:val="nil"/>
              <w:right w:val="single" w:sz="18" w:space="0" w:color="5F497A" w:themeColor="accent4" w:themeShade="BF"/>
            </w:tcBorders>
            <w:shd w:val="clear" w:color="auto" w:fill="auto"/>
            <w:noWrap/>
            <w:vAlign w:val="center"/>
          </w:tcPr>
          <w:p w14:paraId="75604F65" w14:textId="77777777" w:rsidR="00584325" w:rsidRPr="001D41EA" w:rsidRDefault="00584325" w:rsidP="001D41EA">
            <w:pPr>
              <w:spacing w:before="40" w:after="20"/>
              <w:rPr>
                <w:rFonts w:cs="Arial"/>
                <w:sz w:val="18"/>
                <w:szCs w:val="18"/>
              </w:rPr>
            </w:pPr>
          </w:p>
        </w:tc>
        <w:tc>
          <w:tcPr>
            <w:tcW w:w="1361" w:type="dxa"/>
            <w:tcBorders>
              <w:top w:val="nil"/>
              <w:left w:val="single" w:sz="18" w:space="0" w:color="5F497A" w:themeColor="accent4" w:themeShade="BF"/>
              <w:bottom w:val="single" w:sz="8" w:space="0" w:color="5F497A" w:themeColor="accent4" w:themeShade="BF"/>
              <w:right w:val="nil"/>
            </w:tcBorders>
            <w:shd w:val="clear" w:color="auto" w:fill="auto"/>
            <w:noWrap/>
            <w:vAlign w:val="bottom"/>
          </w:tcPr>
          <w:p w14:paraId="0AD2C065" w14:textId="77777777" w:rsidR="00584325" w:rsidRPr="001D41EA" w:rsidRDefault="00584325" w:rsidP="001D41EA">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shd w:val="clear" w:color="auto" w:fill="auto"/>
            <w:noWrap/>
            <w:vAlign w:val="bottom"/>
          </w:tcPr>
          <w:p w14:paraId="522B88FB" w14:textId="77777777" w:rsidR="00584325" w:rsidRPr="001D41EA" w:rsidRDefault="00584325" w:rsidP="001D41EA">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shd w:val="clear" w:color="auto" w:fill="auto"/>
            <w:noWrap/>
            <w:vAlign w:val="bottom"/>
          </w:tcPr>
          <w:p w14:paraId="6B32D80D" w14:textId="77777777" w:rsidR="00584325" w:rsidRPr="001D41EA" w:rsidRDefault="00584325" w:rsidP="001D41EA">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vAlign w:val="bottom"/>
          </w:tcPr>
          <w:p w14:paraId="189766E2" w14:textId="77777777" w:rsidR="00584325" w:rsidRPr="001D41EA" w:rsidRDefault="00584325" w:rsidP="001D41EA">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shd w:val="clear" w:color="auto" w:fill="auto"/>
            <w:noWrap/>
            <w:vAlign w:val="bottom"/>
          </w:tcPr>
          <w:p w14:paraId="03529ED5" w14:textId="4D5386F8" w:rsidR="00584325" w:rsidRPr="001D41EA" w:rsidRDefault="00584325" w:rsidP="001D41EA">
            <w:pPr>
              <w:spacing w:before="40" w:after="20"/>
              <w:jc w:val="right"/>
              <w:rPr>
                <w:rFonts w:cs="Arial"/>
                <w:b/>
                <w:sz w:val="18"/>
                <w:szCs w:val="18"/>
              </w:rPr>
            </w:pPr>
            <w:r w:rsidRPr="001D41EA">
              <w:rPr>
                <w:rFonts w:cs="Arial"/>
                <w:b/>
                <w:sz w:val="18"/>
                <w:szCs w:val="18"/>
              </w:rPr>
              <w:t> </w:t>
            </w:r>
          </w:p>
        </w:tc>
      </w:tr>
      <w:tr w:rsidR="00584325" w:rsidRPr="001D41EA" w14:paraId="6F61ACB1" w14:textId="77777777" w:rsidTr="00B44BBE">
        <w:tc>
          <w:tcPr>
            <w:tcW w:w="2268" w:type="dxa"/>
            <w:tcBorders>
              <w:top w:val="nil"/>
              <w:left w:val="nil"/>
              <w:bottom w:val="nil"/>
              <w:right w:val="single" w:sz="18" w:space="0" w:color="5F497A" w:themeColor="accent4" w:themeShade="BF"/>
            </w:tcBorders>
            <w:shd w:val="clear" w:color="auto" w:fill="auto"/>
            <w:noWrap/>
            <w:vAlign w:val="center"/>
          </w:tcPr>
          <w:p w14:paraId="162FF92D" w14:textId="77777777" w:rsidR="00584325" w:rsidRPr="001D41EA" w:rsidRDefault="00584325" w:rsidP="001D41EA">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right w:val="nil"/>
            </w:tcBorders>
            <w:shd w:val="clear" w:color="auto" w:fill="auto"/>
            <w:noWrap/>
            <w:vAlign w:val="bottom"/>
          </w:tcPr>
          <w:p w14:paraId="4976EE77" w14:textId="186DB0BD" w:rsidR="00584325" w:rsidRPr="001D41EA" w:rsidRDefault="00584325" w:rsidP="001D41EA">
            <w:pPr>
              <w:spacing w:before="40" w:after="20"/>
              <w:jc w:val="right"/>
              <w:rPr>
                <w:rFonts w:cs="Arial"/>
                <w:b/>
                <w:sz w:val="18"/>
                <w:szCs w:val="18"/>
              </w:rPr>
            </w:pPr>
            <w:r w:rsidRPr="001D41EA">
              <w:rPr>
                <w:rFonts w:cs="Arial"/>
                <w:b/>
                <w:sz w:val="18"/>
                <w:szCs w:val="18"/>
              </w:rPr>
              <w:t>857,856,870</w:t>
            </w:r>
          </w:p>
        </w:tc>
        <w:tc>
          <w:tcPr>
            <w:tcW w:w="1361" w:type="dxa"/>
            <w:tcBorders>
              <w:top w:val="single" w:sz="8" w:space="0" w:color="5F497A" w:themeColor="accent4" w:themeShade="BF"/>
              <w:left w:val="nil"/>
              <w:right w:val="nil"/>
            </w:tcBorders>
            <w:shd w:val="clear" w:color="auto" w:fill="auto"/>
            <w:noWrap/>
            <w:vAlign w:val="bottom"/>
          </w:tcPr>
          <w:p w14:paraId="72A73121" w14:textId="4321F191" w:rsidR="00584325" w:rsidRPr="001D41EA" w:rsidRDefault="00584325" w:rsidP="001D41EA">
            <w:pPr>
              <w:spacing w:before="40" w:after="20"/>
              <w:jc w:val="right"/>
              <w:rPr>
                <w:rFonts w:cs="Arial"/>
                <w:b/>
                <w:sz w:val="18"/>
                <w:szCs w:val="18"/>
              </w:rPr>
            </w:pPr>
            <w:r w:rsidRPr="001D41EA">
              <w:rPr>
                <w:rFonts w:cs="Arial"/>
                <w:b/>
                <w:sz w:val="18"/>
                <w:szCs w:val="18"/>
              </w:rPr>
              <w:t>442,669,152</w:t>
            </w:r>
          </w:p>
        </w:tc>
        <w:tc>
          <w:tcPr>
            <w:tcW w:w="1361" w:type="dxa"/>
            <w:tcBorders>
              <w:top w:val="single" w:sz="8" w:space="0" w:color="5F497A" w:themeColor="accent4" w:themeShade="BF"/>
              <w:left w:val="nil"/>
              <w:right w:val="nil"/>
            </w:tcBorders>
            <w:shd w:val="clear" w:color="auto" w:fill="auto"/>
            <w:noWrap/>
            <w:vAlign w:val="bottom"/>
          </w:tcPr>
          <w:p w14:paraId="1314C064" w14:textId="083D1647" w:rsidR="00584325" w:rsidRPr="001D41EA" w:rsidRDefault="00584325" w:rsidP="001D41EA">
            <w:pPr>
              <w:spacing w:before="40" w:after="20"/>
              <w:jc w:val="right"/>
              <w:rPr>
                <w:rFonts w:cs="Arial"/>
                <w:b/>
                <w:sz w:val="18"/>
                <w:szCs w:val="18"/>
              </w:rPr>
            </w:pPr>
            <w:r w:rsidRPr="001D41EA">
              <w:rPr>
                <w:rFonts w:cs="Arial"/>
                <w:b/>
                <w:sz w:val="18"/>
                <w:szCs w:val="18"/>
              </w:rPr>
              <w:t>1,094,080,363</w:t>
            </w:r>
          </w:p>
        </w:tc>
        <w:tc>
          <w:tcPr>
            <w:tcW w:w="1361" w:type="dxa"/>
            <w:tcBorders>
              <w:top w:val="single" w:sz="8" w:space="0" w:color="5F497A" w:themeColor="accent4" w:themeShade="BF"/>
              <w:left w:val="nil"/>
              <w:right w:val="nil"/>
            </w:tcBorders>
            <w:vAlign w:val="bottom"/>
          </w:tcPr>
          <w:p w14:paraId="1E258A7B" w14:textId="2A8C6A07" w:rsidR="00584325" w:rsidRPr="001D41EA" w:rsidRDefault="00584325" w:rsidP="001D41EA">
            <w:pPr>
              <w:spacing w:before="40" w:after="20"/>
              <w:jc w:val="right"/>
              <w:rPr>
                <w:rFonts w:cs="Arial"/>
                <w:b/>
                <w:sz w:val="18"/>
                <w:szCs w:val="18"/>
              </w:rPr>
            </w:pPr>
            <w:r w:rsidRPr="001D41EA">
              <w:rPr>
                <w:rFonts w:cs="Arial"/>
                <w:b/>
                <w:sz w:val="18"/>
                <w:szCs w:val="18"/>
              </w:rPr>
              <w:t>1,143,088,375</w:t>
            </w:r>
          </w:p>
        </w:tc>
        <w:tc>
          <w:tcPr>
            <w:tcW w:w="1361" w:type="dxa"/>
            <w:tcBorders>
              <w:top w:val="single" w:sz="8" w:space="0" w:color="5F497A" w:themeColor="accent4" w:themeShade="BF"/>
              <w:left w:val="nil"/>
              <w:right w:val="nil"/>
            </w:tcBorders>
            <w:shd w:val="clear" w:color="auto" w:fill="auto"/>
            <w:noWrap/>
            <w:vAlign w:val="bottom"/>
          </w:tcPr>
          <w:p w14:paraId="213E5578" w14:textId="67CC45EA" w:rsidR="00584325" w:rsidRPr="001D41EA" w:rsidRDefault="00584325" w:rsidP="001D41EA">
            <w:pPr>
              <w:spacing w:before="40" w:after="20"/>
              <w:jc w:val="right"/>
              <w:rPr>
                <w:rFonts w:cs="Arial"/>
                <w:b/>
                <w:sz w:val="18"/>
                <w:szCs w:val="18"/>
              </w:rPr>
            </w:pPr>
            <w:r w:rsidRPr="001D41EA">
              <w:rPr>
                <w:rFonts w:cs="Arial"/>
                <w:b/>
                <w:sz w:val="18"/>
                <w:szCs w:val="18"/>
              </w:rPr>
              <w:t>7,722,367,764</w:t>
            </w:r>
          </w:p>
        </w:tc>
      </w:tr>
    </w:tbl>
    <w:p w14:paraId="112AE2D0" w14:textId="77777777" w:rsidR="00D67755" w:rsidRPr="00A44829" w:rsidRDefault="00D67755" w:rsidP="00FF36E8">
      <w:pPr>
        <w:spacing w:before="40" w:after="20"/>
        <w:rPr>
          <w:rFonts w:cs="Arial"/>
          <w:sz w:val="18"/>
          <w:szCs w:val="18"/>
        </w:rPr>
      </w:pPr>
      <w:r w:rsidRPr="00A44829">
        <w:rPr>
          <w:rFonts w:cs="Arial"/>
          <w:sz w:val="18"/>
          <w:szCs w:val="18"/>
        </w:rPr>
        <w:br w:type="page"/>
      </w:r>
    </w:p>
    <w:p w14:paraId="354BF73E" w14:textId="7631FE58" w:rsidR="00D67755" w:rsidRPr="00A44829" w:rsidRDefault="00CE4507" w:rsidP="00C33713">
      <w:pPr>
        <w:pStyle w:val="VGC-Head10"/>
      </w:pPr>
      <w:r w:rsidRPr="00A44829">
        <w:lastRenderedPageBreak/>
        <w:t>Appendix 4</w:t>
      </w:r>
      <w:r w:rsidR="00D67755" w:rsidRPr="00A44829">
        <w:tab/>
      </w:r>
      <w:r w:rsidR="00EE4593" w:rsidRPr="00A44829">
        <w:t>2019-20</w:t>
      </w:r>
      <w:r w:rsidR="00A97ABE" w:rsidRPr="00A44829">
        <w:t xml:space="preserve"> </w:t>
      </w:r>
      <w:r w:rsidR="00D67755" w:rsidRPr="00A44829">
        <w:t xml:space="preserve">General Purpose Grants </w:t>
      </w:r>
    </w:p>
    <w:p w14:paraId="3E58C969" w14:textId="77777777" w:rsidR="00D67755" w:rsidRPr="00A44829" w:rsidRDefault="00D67755" w:rsidP="008C1A28">
      <w:pPr>
        <w:pStyle w:val="VGC-Head2"/>
      </w:pPr>
      <w:r w:rsidRPr="00A44829">
        <w:t>G.  Revenue Adjustors – Raw Data</w:t>
      </w:r>
    </w:p>
    <w:p w14:paraId="6F338A59" w14:textId="77777777" w:rsidR="00270CE1" w:rsidRPr="00A44829" w:rsidRDefault="00270CE1"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68"/>
        <w:gridCol w:w="1255"/>
        <w:gridCol w:w="1418"/>
        <w:gridCol w:w="1134"/>
        <w:gridCol w:w="992"/>
        <w:gridCol w:w="985"/>
        <w:gridCol w:w="1247"/>
      </w:tblGrid>
      <w:tr w:rsidR="00FD2C82" w:rsidRPr="00A44829" w14:paraId="2867B327" w14:textId="77777777" w:rsidTr="00B44BBE">
        <w:trPr>
          <w:trHeight w:val="20"/>
          <w:tblHeader/>
        </w:trPr>
        <w:tc>
          <w:tcPr>
            <w:tcW w:w="2268" w:type="dxa"/>
            <w:tcBorders>
              <w:top w:val="nil"/>
              <w:left w:val="nil"/>
              <w:right w:val="single" w:sz="18" w:space="0" w:color="5F497A" w:themeColor="accent4" w:themeShade="BF"/>
            </w:tcBorders>
            <w:shd w:val="clear" w:color="auto" w:fill="auto"/>
            <w:tcMar>
              <w:left w:w="57" w:type="dxa"/>
              <w:right w:w="57" w:type="dxa"/>
            </w:tcMar>
            <w:vAlign w:val="bottom"/>
          </w:tcPr>
          <w:p w14:paraId="274F63EE" w14:textId="77777777" w:rsidR="00FD2C82" w:rsidRPr="00A44829" w:rsidRDefault="00FD2C82" w:rsidP="008001AD">
            <w:pPr>
              <w:spacing w:before="40" w:after="20"/>
              <w:jc w:val="center"/>
              <w:rPr>
                <w:rFonts w:cs="Arial"/>
                <w:sz w:val="18"/>
                <w:szCs w:val="18"/>
              </w:rPr>
            </w:pPr>
          </w:p>
        </w:tc>
        <w:tc>
          <w:tcPr>
            <w:tcW w:w="1255" w:type="dxa"/>
            <w:vMerge w:val="restart"/>
            <w:tcBorders>
              <w:left w:val="single" w:sz="18" w:space="0" w:color="5F497A" w:themeColor="accent4" w:themeShade="BF"/>
              <w:bottom w:val="single" w:sz="8" w:space="0" w:color="5F497A" w:themeColor="accent4" w:themeShade="BF"/>
              <w:right w:val="nil"/>
            </w:tcBorders>
            <w:shd w:val="clear" w:color="auto" w:fill="auto"/>
            <w:tcMar>
              <w:left w:w="57" w:type="dxa"/>
              <w:right w:w="57" w:type="dxa"/>
            </w:tcMar>
            <w:vAlign w:val="bottom"/>
          </w:tcPr>
          <w:p w14:paraId="2BB97502" w14:textId="2C1D9F3D" w:rsidR="00FD2C82" w:rsidRPr="00A44829" w:rsidRDefault="00FD2C82" w:rsidP="008001AD">
            <w:pPr>
              <w:spacing w:before="40" w:after="20"/>
              <w:jc w:val="center"/>
              <w:rPr>
                <w:rFonts w:cs="Arial"/>
                <w:sz w:val="18"/>
                <w:szCs w:val="18"/>
              </w:rPr>
            </w:pPr>
            <w:r w:rsidRPr="003723B7">
              <w:rPr>
                <w:rFonts w:cs="Arial"/>
                <w:b/>
                <w:sz w:val="16"/>
                <w:szCs w:val="16"/>
              </w:rPr>
              <w:t>Median</w:t>
            </w:r>
            <w:r w:rsidR="003723B7" w:rsidRPr="003723B7">
              <w:rPr>
                <w:rFonts w:cs="Arial"/>
                <w:b/>
                <w:sz w:val="16"/>
                <w:szCs w:val="16"/>
              </w:rPr>
              <w:t xml:space="preserve"> Weekly</w:t>
            </w:r>
            <w:r w:rsidRPr="003723B7">
              <w:rPr>
                <w:rFonts w:cs="Arial"/>
                <w:b/>
                <w:sz w:val="16"/>
                <w:szCs w:val="16"/>
              </w:rPr>
              <w:t xml:space="preserve"> Household Income </w:t>
            </w:r>
            <w:r w:rsidR="003723B7" w:rsidRPr="003723B7">
              <w:rPr>
                <w:rFonts w:cs="Arial"/>
                <w:b/>
                <w:sz w:val="16"/>
                <w:szCs w:val="16"/>
              </w:rPr>
              <w:t>&gt;60yr</w:t>
            </w:r>
            <w:r w:rsidR="00325929" w:rsidRPr="003723B7">
              <w:rPr>
                <w:rFonts w:cs="Arial"/>
                <w:b/>
                <w:sz w:val="16"/>
                <w:szCs w:val="16"/>
              </w:rPr>
              <w:br/>
            </w:r>
            <w:r w:rsidRPr="00A44829">
              <w:rPr>
                <w:rFonts w:cs="Arial"/>
                <w:sz w:val="16"/>
                <w:szCs w:val="16"/>
              </w:rPr>
              <w:t>(</w:t>
            </w:r>
            <w:r w:rsidR="006D4C53" w:rsidRPr="00A44829">
              <w:rPr>
                <w:rFonts w:cs="Arial"/>
                <w:sz w:val="16"/>
                <w:szCs w:val="16"/>
              </w:rPr>
              <w:t>Census 2016</w:t>
            </w:r>
            <w:r w:rsidRPr="00A44829">
              <w:rPr>
                <w:rFonts w:cs="Arial"/>
                <w:sz w:val="16"/>
                <w:szCs w:val="16"/>
              </w:rPr>
              <w:t>)</w:t>
            </w:r>
            <w:r w:rsidR="00C56708" w:rsidRPr="00A44829">
              <w:rPr>
                <w:rFonts w:cs="Arial"/>
                <w:sz w:val="16"/>
                <w:szCs w:val="16"/>
              </w:rPr>
              <w:t xml:space="preserve"> </w:t>
            </w:r>
            <w:r w:rsidR="00325929" w:rsidRPr="00A44829">
              <w:rPr>
                <w:rFonts w:cs="Arial"/>
                <w:sz w:val="16"/>
                <w:szCs w:val="16"/>
              </w:rPr>
              <w:br/>
            </w:r>
            <w:r w:rsidR="00C56708" w:rsidRPr="00A44829">
              <w:rPr>
                <w:rFonts w:cs="Arial"/>
                <w:sz w:val="16"/>
                <w:szCs w:val="16"/>
              </w:rPr>
              <w:t>($)</w:t>
            </w:r>
          </w:p>
        </w:tc>
        <w:tc>
          <w:tcPr>
            <w:tcW w:w="1418" w:type="dxa"/>
            <w:vMerge w:val="restart"/>
            <w:tcBorders>
              <w:left w:val="nil"/>
              <w:bottom w:val="single" w:sz="8" w:space="0" w:color="5F497A" w:themeColor="accent4" w:themeShade="BF"/>
              <w:right w:val="nil"/>
            </w:tcBorders>
            <w:shd w:val="clear" w:color="auto" w:fill="auto"/>
            <w:tcMar>
              <w:left w:w="57" w:type="dxa"/>
              <w:right w:w="57" w:type="dxa"/>
            </w:tcMar>
            <w:vAlign w:val="bottom"/>
          </w:tcPr>
          <w:p w14:paraId="04CA9583" w14:textId="710E47A0" w:rsidR="00FD2C82" w:rsidRPr="00A44829" w:rsidRDefault="00325929" w:rsidP="008001AD">
            <w:pPr>
              <w:spacing w:before="40" w:after="20"/>
              <w:jc w:val="center"/>
              <w:rPr>
                <w:rFonts w:cs="Arial"/>
                <w:sz w:val="16"/>
                <w:szCs w:val="16"/>
              </w:rPr>
            </w:pPr>
            <w:r w:rsidRPr="00A44829">
              <w:rPr>
                <w:rFonts w:cs="Arial"/>
                <w:b/>
                <w:sz w:val="18"/>
                <w:szCs w:val="18"/>
              </w:rPr>
              <w:t>Socio-</w:t>
            </w:r>
            <w:r w:rsidR="00FD2C82" w:rsidRPr="00A44829">
              <w:rPr>
                <w:rFonts w:cs="Arial"/>
                <w:b/>
                <w:sz w:val="18"/>
                <w:szCs w:val="18"/>
              </w:rPr>
              <w:t xml:space="preserve">Economic </w:t>
            </w:r>
            <w:r w:rsidRPr="00A44829">
              <w:rPr>
                <w:rFonts w:cs="Arial"/>
                <w:b/>
                <w:sz w:val="18"/>
                <w:szCs w:val="18"/>
              </w:rPr>
              <w:t>Disadvantage</w:t>
            </w:r>
            <w:r w:rsidR="00327AC7" w:rsidRPr="00A44829">
              <w:rPr>
                <w:rFonts w:cs="Arial"/>
                <w:b/>
                <w:sz w:val="18"/>
                <w:szCs w:val="18"/>
              </w:rPr>
              <w:t xml:space="preserve"> Index</w:t>
            </w:r>
            <w:r w:rsidR="000734E9">
              <w:rPr>
                <w:rFonts w:cs="Arial"/>
                <w:b/>
                <w:sz w:val="18"/>
                <w:szCs w:val="18"/>
              </w:rPr>
              <w:t xml:space="preserve"> SEIFA</w:t>
            </w:r>
            <w:r w:rsidRPr="00A44829">
              <w:rPr>
                <w:rFonts w:cs="Arial"/>
                <w:b/>
                <w:sz w:val="18"/>
                <w:szCs w:val="18"/>
              </w:rPr>
              <w:br/>
            </w:r>
            <w:r w:rsidR="003E7389" w:rsidRPr="00A44829">
              <w:rPr>
                <w:rFonts w:cs="Arial"/>
                <w:sz w:val="16"/>
                <w:szCs w:val="16"/>
              </w:rPr>
              <w:t>(</w:t>
            </w:r>
            <w:r w:rsidR="006D4C53" w:rsidRPr="00A44829">
              <w:rPr>
                <w:rFonts w:cs="Arial"/>
                <w:sz w:val="16"/>
                <w:szCs w:val="16"/>
              </w:rPr>
              <w:t>Census 2016</w:t>
            </w:r>
            <w:r w:rsidR="003E7389" w:rsidRPr="00A44829">
              <w:rPr>
                <w:rFonts w:cs="Arial"/>
                <w:sz w:val="16"/>
                <w:szCs w:val="16"/>
              </w:rPr>
              <w:t>)</w:t>
            </w:r>
          </w:p>
        </w:tc>
        <w:tc>
          <w:tcPr>
            <w:tcW w:w="1134" w:type="dxa"/>
            <w:vMerge w:val="restart"/>
            <w:tcBorders>
              <w:left w:val="nil"/>
              <w:bottom w:val="single" w:sz="8" w:space="0" w:color="5F497A" w:themeColor="accent4" w:themeShade="BF"/>
              <w:right w:val="nil"/>
            </w:tcBorders>
            <w:shd w:val="clear" w:color="auto" w:fill="auto"/>
            <w:tcMar>
              <w:left w:w="57" w:type="dxa"/>
              <w:right w:w="57" w:type="dxa"/>
            </w:tcMar>
            <w:vAlign w:val="bottom"/>
          </w:tcPr>
          <w:p w14:paraId="6AD67683" w14:textId="77777777" w:rsidR="00FD2C82" w:rsidRPr="00A44829" w:rsidRDefault="00FD2C82" w:rsidP="005911C9">
            <w:pPr>
              <w:spacing w:before="40" w:after="20"/>
              <w:jc w:val="center"/>
              <w:rPr>
                <w:rFonts w:cs="Arial"/>
                <w:sz w:val="18"/>
                <w:szCs w:val="18"/>
              </w:rPr>
            </w:pPr>
            <w:r w:rsidRPr="00A44829">
              <w:rPr>
                <w:rFonts w:cs="Arial"/>
                <w:b/>
                <w:sz w:val="18"/>
                <w:szCs w:val="18"/>
              </w:rPr>
              <w:t xml:space="preserve">Tourism </w:t>
            </w:r>
            <w:r w:rsidR="00325929" w:rsidRPr="00A44829">
              <w:rPr>
                <w:rFonts w:cs="Arial"/>
                <w:b/>
                <w:sz w:val="18"/>
                <w:szCs w:val="18"/>
              </w:rPr>
              <w:br/>
            </w:r>
            <w:r w:rsidRPr="00A44829">
              <w:rPr>
                <w:rFonts w:cs="Arial"/>
                <w:sz w:val="16"/>
                <w:szCs w:val="16"/>
              </w:rPr>
              <w:t>(</w:t>
            </w:r>
            <w:r w:rsidR="00327AC7" w:rsidRPr="00A44829">
              <w:rPr>
                <w:rFonts w:cs="Arial"/>
                <w:sz w:val="16"/>
                <w:szCs w:val="16"/>
              </w:rPr>
              <w:t>v</w:t>
            </w:r>
            <w:r w:rsidRPr="00A44829">
              <w:rPr>
                <w:rFonts w:cs="Arial"/>
                <w:sz w:val="16"/>
                <w:szCs w:val="16"/>
              </w:rPr>
              <w:t>isits per capita)</w:t>
            </w:r>
            <w:r w:rsidR="00270CE1" w:rsidRPr="00A44829">
              <w:rPr>
                <w:rFonts w:cs="Arial"/>
                <w:sz w:val="16"/>
                <w:szCs w:val="16"/>
              </w:rPr>
              <w:t xml:space="preserve"> </w:t>
            </w:r>
            <w:r w:rsidR="00270CE1" w:rsidRPr="00A44829">
              <w:rPr>
                <w:rFonts w:cs="Arial"/>
                <w:sz w:val="16"/>
                <w:szCs w:val="16"/>
              </w:rPr>
              <w:br/>
              <w:t>(</w:t>
            </w:r>
            <w:r w:rsidR="005911C9" w:rsidRPr="00A44829">
              <w:rPr>
                <w:rFonts w:cs="Arial"/>
                <w:sz w:val="16"/>
                <w:szCs w:val="16"/>
              </w:rPr>
              <w:t>4</w:t>
            </w:r>
            <w:r w:rsidR="00270CE1" w:rsidRPr="00A44829">
              <w:rPr>
                <w:rFonts w:cs="Arial"/>
                <w:sz w:val="16"/>
                <w:szCs w:val="16"/>
              </w:rPr>
              <w:t xml:space="preserve"> </w:t>
            </w:r>
            <w:r w:rsidR="00327AC7" w:rsidRPr="00A44829">
              <w:rPr>
                <w:rFonts w:cs="Arial"/>
                <w:sz w:val="16"/>
                <w:szCs w:val="16"/>
              </w:rPr>
              <w:t>y</w:t>
            </w:r>
            <w:r w:rsidR="00270CE1" w:rsidRPr="00A44829">
              <w:rPr>
                <w:rFonts w:cs="Arial"/>
                <w:sz w:val="16"/>
                <w:szCs w:val="16"/>
              </w:rPr>
              <w:t xml:space="preserve">ear </w:t>
            </w:r>
            <w:r w:rsidR="00327AC7" w:rsidRPr="00A44829">
              <w:rPr>
                <w:rFonts w:cs="Arial"/>
                <w:sz w:val="16"/>
                <w:szCs w:val="16"/>
              </w:rPr>
              <w:t>a</w:t>
            </w:r>
            <w:r w:rsidR="00270CE1" w:rsidRPr="00A44829">
              <w:rPr>
                <w:rFonts w:cs="Arial"/>
                <w:sz w:val="16"/>
                <w:szCs w:val="16"/>
              </w:rPr>
              <w:t>v</w:t>
            </w:r>
            <w:r w:rsidR="003E7389" w:rsidRPr="00A44829">
              <w:rPr>
                <w:rFonts w:cs="Arial"/>
                <w:sz w:val="16"/>
                <w:szCs w:val="16"/>
              </w:rPr>
              <w:t>erage</w:t>
            </w:r>
            <w:r w:rsidR="00270CE1" w:rsidRPr="00A44829">
              <w:rPr>
                <w:rFonts w:cs="Arial"/>
                <w:sz w:val="16"/>
                <w:szCs w:val="16"/>
              </w:rPr>
              <w:t>)</w:t>
            </w:r>
          </w:p>
        </w:tc>
        <w:tc>
          <w:tcPr>
            <w:tcW w:w="1977" w:type="dxa"/>
            <w:gridSpan w:val="2"/>
            <w:tcBorders>
              <w:left w:val="nil"/>
              <w:bottom w:val="single" w:sz="8" w:space="0" w:color="5F497A" w:themeColor="accent4" w:themeShade="BF"/>
              <w:right w:val="nil"/>
            </w:tcBorders>
            <w:shd w:val="clear" w:color="auto" w:fill="auto"/>
            <w:tcMar>
              <w:left w:w="57" w:type="dxa"/>
              <w:right w:w="57" w:type="dxa"/>
            </w:tcMar>
            <w:vAlign w:val="bottom"/>
          </w:tcPr>
          <w:p w14:paraId="408D7B12" w14:textId="11269FD6" w:rsidR="00FD2C82" w:rsidRPr="00A44829" w:rsidRDefault="00FD2C82" w:rsidP="008001AD">
            <w:pPr>
              <w:spacing w:before="40" w:after="20"/>
              <w:jc w:val="center"/>
              <w:rPr>
                <w:rFonts w:cs="Arial"/>
                <w:b/>
                <w:sz w:val="18"/>
                <w:szCs w:val="18"/>
              </w:rPr>
            </w:pPr>
            <w:r w:rsidRPr="00A44829">
              <w:rPr>
                <w:rFonts w:cs="Arial"/>
                <w:b/>
                <w:sz w:val="18"/>
                <w:szCs w:val="18"/>
              </w:rPr>
              <w:t>Building Approvals</w:t>
            </w:r>
            <w:r w:rsidR="005B58BE">
              <w:rPr>
                <w:rFonts w:cs="Arial"/>
                <w:b/>
                <w:sz w:val="18"/>
                <w:szCs w:val="18"/>
              </w:rPr>
              <w:t xml:space="preserve"> Value</w:t>
            </w:r>
          </w:p>
        </w:tc>
        <w:tc>
          <w:tcPr>
            <w:tcW w:w="1247" w:type="dxa"/>
            <w:vMerge w:val="restart"/>
            <w:tcBorders>
              <w:left w:val="nil"/>
              <w:bottom w:val="single" w:sz="8" w:space="0" w:color="5F497A" w:themeColor="accent4" w:themeShade="BF"/>
              <w:right w:val="nil"/>
            </w:tcBorders>
            <w:shd w:val="clear" w:color="auto" w:fill="auto"/>
            <w:tcMar>
              <w:left w:w="57" w:type="dxa"/>
              <w:right w:w="57" w:type="dxa"/>
            </w:tcMar>
            <w:vAlign w:val="bottom"/>
          </w:tcPr>
          <w:p w14:paraId="0EB74892" w14:textId="1A0BB569" w:rsidR="00FD2C82" w:rsidRPr="00A44829" w:rsidRDefault="00FD2C82" w:rsidP="008001AD">
            <w:pPr>
              <w:spacing w:before="40" w:after="20"/>
              <w:jc w:val="center"/>
              <w:rPr>
                <w:rFonts w:cs="Arial"/>
                <w:sz w:val="18"/>
                <w:szCs w:val="18"/>
              </w:rPr>
            </w:pPr>
            <w:r w:rsidRPr="00A44829">
              <w:rPr>
                <w:rFonts w:cs="Arial"/>
                <w:b/>
                <w:sz w:val="18"/>
                <w:szCs w:val="18"/>
              </w:rPr>
              <w:t>Proportion Commercial to Total CIV</w:t>
            </w:r>
            <w:r w:rsidR="003E7389" w:rsidRPr="00A44829">
              <w:rPr>
                <w:rFonts w:cs="Arial"/>
                <w:b/>
                <w:sz w:val="18"/>
                <w:szCs w:val="18"/>
              </w:rPr>
              <w:br/>
            </w:r>
            <w:r w:rsidRPr="00A44829">
              <w:rPr>
                <w:rFonts w:cs="Arial"/>
                <w:sz w:val="16"/>
                <w:szCs w:val="16"/>
              </w:rPr>
              <w:t>(</w:t>
            </w:r>
            <w:r w:rsidR="00EE4593" w:rsidRPr="00A44829">
              <w:rPr>
                <w:rFonts w:cs="Arial"/>
                <w:sz w:val="16"/>
                <w:szCs w:val="16"/>
              </w:rPr>
              <w:t>June 2018</w:t>
            </w:r>
            <w:r w:rsidRPr="00A44829">
              <w:rPr>
                <w:rFonts w:cs="Arial"/>
                <w:sz w:val="16"/>
                <w:szCs w:val="16"/>
              </w:rPr>
              <w:t>)</w:t>
            </w:r>
            <w:r w:rsidR="00C56708" w:rsidRPr="00A44829">
              <w:rPr>
                <w:rFonts w:cs="Arial"/>
                <w:sz w:val="16"/>
                <w:szCs w:val="16"/>
              </w:rPr>
              <w:t xml:space="preserve"> </w:t>
            </w:r>
            <w:r w:rsidR="00C1003B" w:rsidRPr="00A44829">
              <w:rPr>
                <w:rFonts w:cs="Arial"/>
                <w:sz w:val="16"/>
                <w:szCs w:val="16"/>
              </w:rPr>
              <w:br/>
            </w:r>
            <w:r w:rsidR="00C56708" w:rsidRPr="00A44829">
              <w:rPr>
                <w:rFonts w:cs="Arial"/>
                <w:sz w:val="16"/>
                <w:szCs w:val="16"/>
              </w:rPr>
              <w:t>(%)</w:t>
            </w:r>
          </w:p>
        </w:tc>
      </w:tr>
      <w:tr w:rsidR="00FD2C82" w:rsidRPr="00A44829" w14:paraId="7EDF7EC8" w14:textId="77777777" w:rsidTr="00B44BBE">
        <w:trPr>
          <w:trHeight w:val="20"/>
          <w:tblHeader/>
        </w:trPr>
        <w:tc>
          <w:tcPr>
            <w:tcW w:w="2268" w:type="dxa"/>
            <w:tcBorders>
              <w:top w:val="nil"/>
              <w:left w:val="nil"/>
              <w:right w:val="single" w:sz="18" w:space="0" w:color="5F497A" w:themeColor="accent4" w:themeShade="BF"/>
            </w:tcBorders>
            <w:shd w:val="clear" w:color="auto" w:fill="auto"/>
            <w:tcMar>
              <w:left w:w="57" w:type="dxa"/>
              <w:right w:w="57" w:type="dxa"/>
            </w:tcMar>
            <w:vAlign w:val="bottom"/>
          </w:tcPr>
          <w:p w14:paraId="2D5095CB" w14:textId="77777777" w:rsidR="00FD2C82" w:rsidRPr="00A44829" w:rsidRDefault="00FD2C82" w:rsidP="008001AD">
            <w:pPr>
              <w:spacing w:before="40" w:after="20"/>
              <w:jc w:val="center"/>
              <w:rPr>
                <w:rFonts w:cs="Arial"/>
                <w:sz w:val="18"/>
                <w:szCs w:val="18"/>
              </w:rPr>
            </w:pPr>
          </w:p>
        </w:tc>
        <w:tc>
          <w:tcPr>
            <w:tcW w:w="1255" w:type="dxa"/>
            <w:vMerge/>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57" w:type="dxa"/>
              <w:right w:w="57" w:type="dxa"/>
            </w:tcMar>
            <w:vAlign w:val="bottom"/>
          </w:tcPr>
          <w:p w14:paraId="078F502F" w14:textId="77777777" w:rsidR="00FD2C82" w:rsidRPr="00A44829" w:rsidRDefault="00FD2C82" w:rsidP="008001AD">
            <w:pPr>
              <w:spacing w:before="40" w:after="20"/>
              <w:jc w:val="center"/>
              <w:rPr>
                <w:rFonts w:cs="Arial"/>
                <w:b/>
                <w:sz w:val="18"/>
                <w:szCs w:val="18"/>
              </w:rPr>
            </w:pPr>
          </w:p>
        </w:tc>
        <w:tc>
          <w:tcPr>
            <w:tcW w:w="1418" w:type="dxa"/>
            <w:vMerge/>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2003E0D6" w14:textId="77777777" w:rsidR="00FD2C82" w:rsidRPr="00A44829" w:rsidRDefault="00FD2C82" w:rsidP="008001AD">
            <w:pPr>
              <w:spacing w:before="40" w:after="20"/>
              <w:jc w:val="center"/>
              <w:rPr>
                <w:rFonts w:cs="Arial"/>
                <w:b/>
                <w:sz w:val="18"/>
                <w:szCs w:val="18"/>
              </w:rPr>
            </w:pPr>
          </w:p>
        </w:tc>
        <w:tc>
          <w:tcPr>
            <w:tcW w:w="1134" w:type="dxa"/>
            <w:vMerge/>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4FD52957" w14:textId="77777777" w:rsidR="00FD2C82" w:rsidRPr="00A44829" w:rsidRDefault="00FD2C82" w:rsidP="008001AD">
            <w:pPr>
              <w:spacing w:before="40" w:after="20"/>
              <w:jc w:val="center"/>
              <w:rPr>
                <w:rFonts w:cs="Arial"/>
                <w:b/>
                <w:sz w:val="18"/>
                <w:szCs w:val="18"/>
              </w:rPr>
            </w:pPr>
          </w:p>
        </w:tc>
        <w:tc>
          <w:tcPr>
            <w:tcW w:w="992" w:type="dxa"/>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3F9FBFE7" w14:textId="77777777" w:rsidR="00FD2C82" w:rsidRPr="00A44829" w:rsidRDefault="00FD2C82" w:rsidP="008001AD">
            <w:pPr>
              <w:spacing w:before="40" w:after="20"/>
              <w:jc w:val="center"/>
              <w:rPr>
                <w:rFonts w:cs="Arial"/>
                <w:sz w:val="16"/>
                <w:szCs w:val="16"/>
              </w:rPr>
            </w:pPr>
            <w:r w:rsidRPr="00A44829">
              <w:rPr>
                <w:rFonts w:cs="Arial"/>
                <w:sz w:val="16"/>
                <w:szCs w:val="16"/>
              </w:rPr>
              <w:t>($000's)</w:t>
            </w:r>
          </w:p>
        </w:tc>
        <w:tc>
          <w:tcPr>
            <w:tcW w:w="985" w:type="dxa"/>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6E91DDD4" w14:textId="77777777" w:rsidR="00FD2C82" w:rsidRPr="00A44829" w:rsidRDefault="00FD2C82" w:rsidP="005D04BF">
            <w:pPr>
              <w:spacing w:before="40" w:after="20"/>
              <w:jc w:val="center"/>
              <w:rPr>
                <w:rFonts w:cs="Arial"/>
                <w:sz w:val="16"/>
                <w:szCs w:val="16"/>
              </w:rPr>
            </w:pPr>
            <w:r w:rsidRPr="00A44829">
              <w:rPr>
                <w:rFonts w:cs="Arial"/>
                <w:sz w:val="16"/>
                <w:szCs w:val="16"/>
              </w:rPr>
              <w:t xml:space="preserve">per 1000 </w:t>
            </w:r>
            <w:r w:rsidR="005D04BF" w:rsidRPr="00A44829">
              <w:rPr>
                <w:rFonts w:cs="Arial"/>
                <w:sz w:val="16"/>
                <w:szCs w:val="16"/>
              </w:rPr>
              <w:t>p</w:t>
            </w:r>
            <w:r w:rsidRPr="00A44829">
              <w:rPr>
                <w:rFonts w:cs="Arial"/>
                <w:sz w:val="16"/>
                <w:szCs w:val="16"/>
              </w:rPr>
              <w:t>opulation</w:t>
            </w:r>
          </w:p>
        </w:tc>
        <w:tc>
          <w:tcPr>
            <w:tcW w:w="1247" w:type="dxa"/>
            <w:vMerge/>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6CF7F0D8" w14:textId="77777777" w:rsidR="00FD2C82" w:rsidRPr="00A44829" w:rsidRDefault="00FD2C82" w:rsidP="008001AD">
            <w:pPr>
              <w:spacing w:before="40" w:after="20"/>
              <w:jc w:val="center"/>
              <w:rPr>
                <w:rFonts w:cs="Arial"/>
                <w:b/>
                <w:sz w:val="18"/>
                <w:szCs w:val="18"/>
              </w:rPr>
            </w:pPr>
          </w:p>
        </w:tc>
      </w:tr>
      <w:tr w:rsidR="002B721C" w:rsidRPr="001D41EA" w14:paraId="6D486D45" w14:textId="77777777" w:rsidTr="00B44BBE">
        <w:trPr>
          <w:trHeight w:val="20"/>
          <w:tblHeader/>
        </w:trPr>
        <w:tc>
          <w:tcPr>
            <w:tcW w:w="2268" w:type="dxa"/>
            <w:tcBorders>
              <w:left w:val="nil"/>
              <w:bottom w:val="nil"/>
              <w:right w:val="single" w:sz="18" w:space="0" w:color="5F497A" w:themeColor="accent4" w:themeShade="BF"/>
            </w:tcBorders>
            <w:shd w:val="clear" w:color="auto" w:fill="auto"/>
            <w:vAlign w:val="center"/>
          </w:tcPr>
          <w:p w14:paraId="5F0FC9A6" w14:textId="77777777" w:rsidR="002B721C" w:rsidRPr="001D41EA" w:rsidRDefault="002B721C" w:rsidP="001D41EA">
            <w:pPr>
              <w:spacing w:before="40" w:after="40"/>
              <w:rPr>
                <w:rFonts w:cs="Arial"/>
                <w:sz w:val="18"/>
                <w:szCs w:val="18"/>
              </w:rPr>
            </w:pPr>
          </w:p>
        </w:tc>
        <w:tc>
          <w:tcPr>
            <w:tcW w:w="1255"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7BB7BD0B" w14:textId="6C6C48EC" w:rsidR="002B721C" w:rsidRPr="001D41EA" w:rsidRDefault="002B721C" w:rsidP="001D41EA">
            <w:pPr>
              <w:spacing w:before="40" w:after="40"/>
              <w:jc w:val="right"/>
              <w:rPr>
                <w:rFonts w:cs="Arial"/>
                <w:sz w:val="18"/>
                <w:szCs w:val="18"/>
              </w:rPr>
            </w:pPr>
            <w:r w:rsidRPr="001D41EA">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52DC43BC" w14:textId="77777777" w:rsidR="002B721C" w:rsidRPr="001D41EA" w:rsidRDefault="002B721C" w:rsidP="001D41EA">
            <w:pPr>
              <w:spacing w:before="40" w:after="4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671F5D22" w14:textId="77777777" w:rsidR="002B721C" w:rsidRPr="001D41EA" w:rsidRDefault="002B721C" w:rsidP="001D41EA">
            <w:pPr>
              <w:spacing w:before="40" w:after="40"/>
              <w:jc w:val="right"/>
              <w:rPr>
                <w:rFonts w:cs="Arial"/>
                <w:sz w:val="18"/>
                <w:szCs w:val="18"/>
              </w:rPr>
            </w:pPr>
          </w:p>
        </w:tc>
        <w:tc>
          <w:tcPr>
            <w:tcW w:w="992" w:type="dxa"/>
            <w:tcBorders>
              <w:top w:val="single" w:sz="8" w:space="0" w:color="5F497A" w:themeColor="accent4" w:themeShade="BF"/>
              <w:left w:val="nil"/>
              <w:bottom w:val="nil"/>
              <w:right w:val="nil"/>
            </w:tcBorders>
            <w:shd w:val="clear" w:color="auto" w:fill="auto"/>
            <w:vAlign w:val="bottom"/>
          </w:tcPr>
          <w:p w14:paraId="3944D963" w14:textId="77777777" w:rsidR="002B721C" w:rsidRPr="001D41EA" w:rsidRDefault="002B721C" w:rsidP="001D41EA">
            <w:pPr>
              <w:spacing w:before="40" w:after="40"/>
              <w:jc w:val="right"/>
              <w:rPr>
                <w:rFonts w:cs="Arial"/>
                <w:sz w:val="18"/>
                <w:szCs w:val="18"/>
              </w:rPr>
            </w:pPr>
          </w:p>
        </w:tc>
        <w:tc>
          <w:tcPr>
            <w:tcW w:w="985" w:type="dxa"/>
            <w:tcBorders>
              <w:top w:val="single" w:sz="8" w:space="0" w:color="5F497A" w:themeColor="accent4" w:themeShade="BF"/>
              <w:left w:val="nil"/>
              <w:bottom w:val="nil"/>
              <w:right w:val="nil"/>
            </w:tcBorders>
            <w:shd w:val="clear" w:color="auto" w:fill="auto"/>
            <w:vAlign w:val="bottom"/>
          </w:tcPr>
          <w:p w14:paraId="2154845B" w14:textId="77777777" w:rsidR="002B721C" w:rsidRPr="001D41EA" w:rsidRDefault="002B721C" w:rsidP="001D41EA">
            <w:pPr>
              <w:spacing w:before="40" w:after="40"/>
              <w:jc w:val="right"/>
              <w:rPr>
                <w:rFonts w:cs="Arial"/>
                <w:sz w:val="18"/>
                <w:szCs w:val="18"/>
              </w:rPr>
            </w:pPr>
          </w:p>
        </w:tc>
        <w:tc>
          <w:tcPr>
            <w:tcW w:w="1247" w:type="dxa"/>
            <w:tcBorders>
              <w:top w:val="single" w:sz="8" w:space="0" w:color="5F497A" w:themeColor="accent4" w:themeShade="BF"/>
              <w:left w:val="nil"/>
              <w:bottom w:val="nil"/>
              <w:right w:val="nil"/>
            </w:tcBorders>
            <w:shd w:val="clear" w:color="auto" w:fill="auto"/>
            <w:vAlign w:val="bottom"/>
          </w:tcPr>
          <w:p w14:paraId="42666549" w14:textId="6FC667A9" w:rsidR="002B721C" w:rsidRPr="001D41EA" w:rsidRDefault="002B721C" w:rsidP="001D41EA">
            <w:pPr>
              <w:spacing w:before="40" w:after="40"/>
              <w:jc w:val="right"/>
              <w:rPr>
                <w:rFonts w:cs="Arial"/>
                <w:sz w:val="18"/>
                <w:szCs w:val="18"/>
              </w:rPr>
            </w:pPr>
            <w:r w:rsidRPr="001D41EA">
              <w:rPr>
                <w:rFonts w:cs="Arial"/>
                <w:sz w:val="18"/>
                <w:szCs w:val="18"/>
              </w:rPr>
              <w:t> </w:t>
            </w:r>
          </w:p>
        </w:tc>
      </w:tr>
      <w:tr w:rsidR="002B721C" w:rsidRPr="001D41EA" w14:paraId="6CC199C7"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0E94E269" w14:textId="77777777" w:rsidR="002B721C" w:rsidRPr="001D41EA" w:rsidRDefault="002B721C" w:rsidP="001D41EA">
            <w:pPr>
              <w:spacing w:before="40" w:after="40"/>
              <w:rPr>
                <w:rFonts w:cs="Arial"/>
                <w:sz w:val="18"/>
                <w:szCs w:val="18"/>
              </w:rPr>
            </w:pPr>
            <w:r w:rsidRPr="001D41EA">
              <w:rPr>
                <w:rFonts w:cs="Arial"/>
                <w:sz w:val="18"/>
                <w:szCs w:val="18"/>
              </w:rPr>
              <w:t xml:space="preserve">Alpine S </w:t>
            </w:r>
          </w:p>
        </w:tc>
        <w:tc>
          <w:tcPr>
            <w:tcW w:w="1255" w:type="dxa"/>
            <w:tcBorders>
              <w:top w:val="nil"/>
              <w:left w:val="single" w:sz="18" w:space="0" w:color="5F497A" w:themeColor="accent4" w:themeShade="BF"/>
              <w:bottom w:val="nil"/>
              <w:right w:val="nil"/>
            </w:tcBorders>
            <w:shd w:val="clear" w:color="auto" w:fill="auto"/>
            <w:vAlign w:val="bottom"/>
          </w:tcPr>
          <w:p w14:paraId="00BE90D1" w14:textId="2983A2A6" w:rsidR="002B721C" w:rsidRPr="001D41EA" w:rsidRDefault="002B721C" w:rsidP="001D41EA">
            <w:pPr>
              <w:spacing w:before="40" w:after="40"/>
              <w:jc w:val="right"/>
              <w:rPr>
                <w:rFonts w:cs="Arial"/>
                <w:sz w:val="18"/>
                <w:szCs w:val="18"/>
              </w:rPr>
            </w:pPr>
            <w:r w:rsidRPr="001D41EA">
              <w:rPr>
                <w:rFonts w:cs="Arial"/>
                <w:sz w:val="18"/>
                <w:szCs w:val="18"/>
              </w:rPr>
              <w:t>810</w:t>
            </w:r>
          </w:p>
        </w:tc>
        <w:tc>
          <w:tcPr>
            <w:tcW w:w="1418" w:type="dxa"/>
            <w:tcBorders>
              <w:top w:val="nil"/>
              <w:left w:val="nil"/>
              <w:bottom w:val="nil"/>
              <w:right w:val="nil"/>
            </w:tcBorders>
            <w:shd w:val="clear" w:color="auto" w:fill="auto"/>
            <w:vAlign w:val="bottom"/>
          </w:tcPr>
          <w:p w14:paraId="29C65E05" w14:textId="3A0395A5" w:rsidR="002B721C" w:rsidRPr="001D41EA" w:rsidRDefault="002B721C" w:rsidP="001D41EA">
            <w:pPr>
              <w:spacing w:before="40" w:after="40"/>
              <w:jc w:val="right"/>
              <w:rPr>
                <w:rFonts w:cs="Arial"/>
                <w:sz w:val="18"/>
                <w:szCs w:val="18"/>
              </w:rPr>
            </w:pPr>
            <w:r w:rsidRPr="001D41EA">
              <w:rPr>
                <w:rFonts w:cs="Arial"/>
                <w:sz w:val="18"/>
                <w:szCs w:val="18"/>
              </w:rPr>
              <w:t>994</w:t>
            </w:r>
          </w:p>
        </w:tc>
        <w:tc>
          <w:tcPr>
            <w:tcW w:w="1134" w:type="dxa"/>
            <w:tcBorders>
              <w:top w:val="nil"/>
              <w:left w:val="nil"/>
              <w:bottom w:val="nil"/>
              <w:right w:val="nil"/>
            </w:tcBorders>
            <w:shd w:val="clear" w:color="auto" w:fill="auto"/>
            <w:vAlign w:val="bottom"/>
          </w:tcPr>
          <w:p w14:paraId="3A11B338" w14:textId="36909E87" w:rsidR="002B721C" w:rsidRPr="001D41EA" w:rsidRDefault="002B721C" w:rsidP="001D41EA">
            <w:pPr>
              <w:spacing w:before="40" w:after="40"/>
              <w:jc w:val="right"/>
              <w:rPr>
                <w:rFonts w:cs="Arial"/>
                <w:sz w:val="18"/>
                <w:szCs w:val="18"/>
              </w:rPr>
            </w:pPr>
            <w:r w:rsidRPr="001D41EA">
              <w:rPr>
                <w:rFonts w:cs="Arial"/>
                <w:sz w:val="18"/>
                <w:szCs w:val="18"/>
              </w:rPr>
              <w:t>162.3</w:t>
            </w:r>
          </w:p>
        </w:tc>
        <w:tc>
          <w:tcPr>
            <w:tcW w:w="992" w:type="dxa"/>
            <w:tcBorders>
              <w:top w:val="nil"/>
              <w:left w:val="nil"/>
              <w:bottom w:val="nil"/>
              <w:right w:val="nil"/>
            </w:tcBorders>
            <w:shd w:val="clear" w:color="auto" w:fill="auto"/>
            <w:vAlign w:val="bottom"/>
          </w:tcPr>
          <w:p w14:paraId="541542AC" w14:textId="651E74BC" w:rsidR="002B721C" w:rsidRPr="001D41EA" w:rsidRDefault="002B721C" w:rsidP="001D41EA">
            <w:pPr>
              <w:spacing w:before="40" w:after="40"/>
              <w:jc w:val="right"/>
              <w:rPr>
                <w:rFonts w:cs="Arial"/>
                <w:sz w:val="18"/>
                <w:szCs w:val="18"/>
              </w:rPr>
            </w:pPr>
            <w:r w:rsidRPr="001D41EA">
              <w:rPr>
                <w:rFonts w:cs="Arial"/>
                <w:sz w:val="18"/>
                <w:szCs w:val="18"/>
              </w:rPr>
              <w:t>48,529</w:t>
            </w:r>
          </w:p>
        </w:tc>
        <w:tc>
          <w:tcPr>
            <w:tcW w:w="985" w:type="dxa"/>
            <w:tcBorders>
              <w:top w:val="nil"/>
              <w:left w:val="nil"/>
              <w:bottom w:val="nil"/>
              <w:right w:val="nil"/>
            </w:tcBorders>
            <w:shd w:val="clear" w:color="auto" w:fill="auto"/>
            <w:vAlign w:val="bottom"/>
          </w:tcPr>
          <w:p w14:paraId="4EABA20A" w14:textId="5C714C60" w:rsidR="002B721C" w:rsidRPr="001D41EA" w:rsidRDefault="002B721C" w:rsidP="001D41EA">
            <w:pPr>
              <w:spacing w:before="40" w:after="40"/>
              <w:jc w:val="right"/>
              <w:rPr>
                <w:rFonts w:cs="Arial"/>
                <w:sz w:val="18"/>
                <w:szCs w:val="18"/>
              </w:rPr>
            </w:pPr>
            <w:r w:rsidRPr="001D41EA">
              <w:rPr>
                <w:rFonts w:cs="Arial"/>
                <w:sz w:val="18"/>
                <w:szCs w:val="18"/>
              </w:rPr>
              <w:t>3,676</w:t>
            </w:r>
          </w:p>
        </w:tc>
        <w:tc>
          <w:tcPr>
            <w:tcW w:w="1247" w:type="dxa"/>
            <w:tcBorders>
              <w:top w:val="nil"/>
              <w:left w:val="nil"/>
              <w:bottom w:val="nil"/>
              <w:right w:val="nil"/>
            </w:tcBorders>
            <w:shd w:val="clear" w:color="auto" w:fill="auto"/>
            <w:vAlign w:val="bottom"/>
          </w:tcPr>
          <w:p w14:paraId="29744681" w14:textId="018BF74A" w:rsidR="002B721C" w:rsidRPr="001D41EA" w:rsidRDefault="002B721C" w:rsidP="001D41EA">
            <w:pPr>
              <w:spacing w:before="40" w:after="40"/>
              <w:jc w:val="right"/>
              <w:rPr>
                <w:rFonts w:cs="Arial"/>
                <w:sz w:val="18"/>
                <w:szCs w:val="18"/>
              </w:rPr>
            </w:pPr>
            <w:r w:rsidRPr="001D41EA">
              <w:rPr>
                <w:rFonts w:cs="Arial"/>
                <w:sz w:val="18"/>
                <w:szCs w:val="18"/>
              </w:rPr>
              <w:t>12.2%</w:t>
            </w:r>
          </w:p>
        </w:tc>
      </w:tr>
      <w:tr w:rsidR="002B721C" w:rsidRPr="001D41EA" w14:paraId="3B8ACF8A"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5A355C1B" w14:textId="77777777" w:rsidR="002B721C" w:rsidRPr="001D41EA" w:rsidRDefault="002B721C" w:rsidP="001D41EA">
            <w:pPr>
              <w:spacing w:before="40" w:after="40"/>
              <w:rPr>
                <w:rFonts w:cs="Arial"/>
                <w:sz w:val="18"/>
                <w:szCs w:val="18"/>
              </w:rPr>
            </w:pPr>
            <w:r w:rsidRPr="001D41EA">
              <w:rPr>
                <w:rFonts w:cs="Arial"/>
                <w:sz w:val="18"/>
                <w:szCs w:val="18"/>
              </w:rPr>
              <w:t xml:space="preserve">Ararat RC </w:t>
            </w:r>
          </w:p>
        </w:tc>
        <w:tc>
          <w:tcPr>
            <w:tcW w:w="1255" w:type="dxa"/>
            <w:tcBorders>
              <w:top w:val="nil"/>
              <w:left w:val="single" w:sz="18" w:space="0" w:color="5F497A" w:themeColor="accent4" w:themeShade="BF"/>
              <w:bottom w:val="nil"/>
              <w:right w:val="nil"/>
            </w:tcBorders>
            <w:shd w:val="clear" w:color="auto" w:fill="auto"/>
            <w:vAlign w:val="bottom"/>
          </w:tcPr>
          <w:p w14:paraId="4C1B588A" w14:textId="719A8162" w:rsidR="002B721C" w:rsidRPr="001D41EA" w:rsidRDefault="002B721C" w:rsidP="001D41EA">
            <w:pPr>
              <w:spacing w:before="40" w:after="40"/>
              <w:jc w:val="right"/>
              <w:rPr>
                <w:rFonts w:cs="Arial"/>
                <w:sz w:val="18"/>
                <w:szCs w:val="18"/>
              </w:rPr>
            </w:pPr>
            <w:r w:rsidRPr="001D41EA">
              <w:rPr>
                <w:rFonts w:cs="Arial"/>
                <w:sz w:val="18"/>
                <w:szCs w:val="18"/>
              </w:rPr>
              <w:t>811</w:t>
            </w:r>
          </w:p>
        </w:tc>
        <w:tc>
          <w:tcPr>
            <w:tcW w:w="1418" w:type="dxa"/>
            <w:tcBorders>
              <w:top w:val="nil"/>
              <w:left w:val="nil"/>
              <w:bottom w:val="nil"/>
              <w:right w:val="nil"/>
            </w:tcBorders>
            <w:shd w:val="clear" w:color="auto" w:fill="auto"/>
            <w:vAlign w:val="bottom"/>
          </w:tcPr>
          <w:p w14:paraId="50209314" w14:textId="4F6292F3" w:rsidR="002B721C" w:rsidRPr="001D41EA" w:rsidRDefault="002B721C" w:rsidP="001D41EA">
            <w:pPr>
              <w:spacing w:before="40" w:after="40"/>
              <w:jc w:val="right"/>
              <w:rPr>
                <w:rFonts w:cs="Arial"/>
                <w:sz w:val="18"/>
                <w:szCs w:val="18"/>
              </w:rPr>
            </w:pPr>
            <w:r w:rsidRPr="001D41EA">
              <w:rPr>
                <w:rFonts w:cs="Arial"/>
                <w:sz w:val="18"/>
                <w:szCs w:val="18"/>
              </w:rPr>
              <w:t>942</w:t>
            </w:r>
          </w:p>
        </w:tc>
        <w:tc>
          <w:tcPr>
            <w:tcW w:w="1134" w:type="dxa"/>
            <w:tcBorders>
              <w:top w:val="nil"/>
              <w:left w:val="nil"/>
              <w:bottom w:val="nil"/>
              <w:right w:val="nil"/>
            </w:tcBorders>
            <w:shd w:val="clear" w:color="auto" w:fill="auto"/>
            <w:vAlign w:val="bottom"/>
          </w:tcPr>
          <w:p w14:paraId="0CB74427" w14:textId="13AC4D85" w:rsidR="002B721C" w:rsidRPr="001D41EA" w:rsidRDefault="002B721C" w:rsidP="001D41EA">
            <w:pPr>
              <w:spacing w:before="40" w:after="40"/>
              <w:jc w:val="right"/>
              <w:rPr>
                <w:rFonts w:cs="Arial"/>
                <w:sz w:val="18"/>
                <w:szCs w:val="18"/>
              </w:rPr>
            </w:pPr>
            <w:r w:rsidRPr="001D41EA">
              <w:rPr>
                <w:rFonts w:cs="Arial"/>
                <w:sz w:val="18"/>
                <w:szCs w:val="18"/>
              </w:rPr>
              <w:t>39.3</w:t>
            </w:r>
          </w:p>
        </w:tc>
        <w:tc>
          <w:tcPr>
            <w:tcW w:w="992" w:type="dxa"/>
            <w:tcBorders>
              <w:top w:val="nil"/>
              <w:left w:val="nil"/>
              <w:bottom w:val="nil"/>
              <w:right w:val="nil"/>
            </w:tcBorders>
            <w:shd w:val="clear" w:color="auto" w:fill="auto"/>
            <w:vAlign w:val="bottom"/>
          </w:tcPr>
          <w:p w14:paraId="6DBE567F" w14:textId="5426A79B" w:rsidR="002B721C" w:rsidRPr="001D41EA" w:rsidRDefault="002B721C" w:rsidP="001D41EA">
            <w:pPr>
              <w:spacing w:before="40" w:after="40"/>
              <w:jc w:val="right"/>
              <w:rPr>
                <w:rFonts w:cs="Arial"/>
                <w:sz w:val="18"/>
                <w:szCs w:val="18"/>
              </w:rPr>
            </w:pPr>
            <w:r w:rsidRPr="001D41EA">
              <w:rPr>
                <w:rFonts w:cs="Arial"/>
                <w:sz w:val="18"/>
                <w:szCs w:val="18"/>
              </w:rPr>
              <w:t>37,975</w:t>
            </w:r>
          </w:p>
        </w:tc>
        <w:tc>
          <w:tcPr>
            <w:tcW w:w="985" w:type="dxa"/>
            <w:tcBorders>
              <w:top w:val="nil"/>
              <w:left w:val="nil"/>
              <w:bottom w:val="nil"/>
              <w:right w:val="nil"/>
            </w:tcBorders>
            <w:shd w:val="clear" w:color="auto" w:fill="auto"/>
            <w:vAlign w:val="bottom"/>
          </w:tcPr>
          <w:p w14:paraId="3A09272B" w14:textId="69F8B94D" w:rsidR="002B721C" w:rsidRPr="001D41EA" w:rsidRDefault="002B721C" w:rsidP="001D41EA">
            <w:pPr>
              <w:spacing w:before="40" w:after="40"/>
              <w:jc w:val="right"/>
              <w:rPr>
                <w:rFonts w:cs="Arial"/>
                <w:sz w:val="18"/>
                <w:szCs w:val="18"/>
              </w:rPr>
            </w:pPr>
            <w:r w:rsidRPr="001D41EA">
              <w:rPr>
                <w:rFonts w:cs="Arial"/>
                <w:sz w:val="18"/>
                <w:szCs w:val="18"/>
              </w:rPr>
              <w:t>3,220</w:t>
            </w:r>
          </w:p>
        </w:tc>
        <w:tc>
          <w:tcPr>
            <w:tcW w:w="1247" w:type="dxa"/>
            <w:tcBorders>
              <w:top w:val="nil"/>
              <w:left w:val="nil"/>
              <w:bottom w:val="nil"/>
              <w:right w:val="nil"/>
            </w:tcBorders>
            <w:shd w:val="clear" w:color="auto" w:fill="auto"/>
            <w:vAlign w:val="bottom"/>
          </w:tcPr>
          <w:p w14:paraId="0C307F28" w14:textId="05E9B091" w:rsidR="002B721C" w:rsidRPr="001D41EA" w:rsidRDefault="002B721C" w:rsidP="001D41EA">
            <w:pPr>
              <w:spacing w:before="40" w:after="40"/>
              <w:jc w:val="right"/>
              <w:rPr>
                <w:rFonts w:cs="Arial"/>
                <w:sz w:val="18"/>
                <w:szCs w:val="18"/>
              </w:rPr>
            </w:pPr>
            <w:r w:rsidRPr="001D41EA">
              <w:rPr>
                <w:rFonts w:cs="Arial"/>
                <w:sz w:val="18"/>
                <w:szCs w:val="18"/>
              </w:rPr>
              <w:t>4.4%</w:t>
            </w:r>
          </w:p>
        </w:tc>
      </w:tr>
      <w:tr w:rsidR="002B721C" w:rsidRPr="001D41EA" w14:paraId="5D48E384"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5748A8D7" w14:textId="77777777" w:rsidR="002B721C" w:rsidRPr="001D41EA" w:rsidRDefault="002B721C" w:rsidP="001D41EA">
            <w:pPr>
              <w:spacing w:before="40" w:after="40"/>
              <w:rPr>
                <w:rFonts w:cs="Arial"/>
                <w:sz w:val="18"/>
                <w:szCs w:val="18"/>
              </w:rPr>
            </w:pPr>
            <w:r w:rsidRPr="001D41EA">
              <w:rPr>
                <w:rFonts w:cs="Arial"/>
                <w:sz w:val="18"/>
                <w:szCs w:val="18"/>
              </w:rPr>
              <w:t xml:space="preserve">Ballarat C </w:t>
            </w:r>
          </w:p>
        </w:tc>
        <w:tc>
          <w:tcPr>
            <w:tcW w:w="1255" w:type="dxa"/>
            <w:tcBorders>
              <w:top w:val="nil"/>
              <w:left w:val="single" w:sz="18" w:space="0" w:color="5F497A" w:themeColor="accent4" w:themeShade="BF"/>
              <w:bottom w:val="nil"/>
              <w:right w:val="nil"/>
            </w:tcBorders>
            <w:shd w:val="clear" w:color="auto" w:fill="auto"/>
            <w:vAlign w:val="bottom"/>
          </w:tcPr>
          <w:p w14:paraId="1982136E" w14:textId="71276C3C" w:rsidR="002B721C" w:rsidRPr="001D41EA" w:rsidRDefault="002B721C" w:rsidP="001D41EA">
            <w:pPr>
              <w:spacing w:before="40" w:after="40"/>
              <w:jc w:val="right"/>
              <w:rPr>
                <w:rFonts w:cs="Arial"/>
                <w:sz w:val="18"/>
                <w:szCs w:val="18"/>
              </w:rPr>
            </w:pPr>
            <w:r w:rsidRPr="001D41EA">
              <w:rPr>
                <w:rFonts w:cs="Arial"/>
                <w:sz w:val="18"/>
                <w:szCs w:val="18"/>
              </w:rPr>
              <w:t>806</w:t>
            </w:r>
          </w:p>
        </w:tc>
        <w:tc>
          <w:tcPr>
            <w:tcW w:w="1418" w:type="dxa"/>
            <w:tcBorders>
              <w:top w:val="nil"/>
              <w:left w:val="nil"/>
              <w:bottom w:val="nil"/>
              <w:right w:val="nil"/>
            </w:tcBorders>
            <w:shd w:val="clear" w:color="auto" w:fill="auto"/>
            <w:vAlign w:val="bottom"/>
          </w:tcPr>
          <w:p w14:paraId="2E3015D7" w14:textId="10703788" w:rsidR="002B721C" w:rsidRPr="001D41EA" w:rsidRDefault="002B721C" w:rsidP="001D41EA">
            <w:pPr>
              <w:spacing w:before="40" w:after="40"/>
              <w:jc w:val="right"/>
              <w:rPr>
                <w:rFonts w:cs="Arial"/>
                <w:sz w:val="18"/>
                <w:szCs w:val="18"/>
              </w:rPr>
            </w:pPr>
            <w:r w:rsidRPr="001D41EA">
              <w:rPr>
                <w:rFonts w:cs="Arial"/>
                <w:sz w:val="18"/>
                <w:szCs w:val="18"/>
              </w:rPr>
              <w:t>980</w:t>
            </w:r>
          </w:p>
        </w:tc>
        <w:tc>
          <w:tcPr>
            <w:tcW w:w="1134" w:type="dxa"/>
            <w:tcBorders>
              <w:top w:val="nil"/>
              <w:left w:val="nil"/>
              <w:bottom w:val="nil"/>
              <w:right w:val="nil"/>
            </w:tcBorders>
            <w:shd w:val="clear" w:color="auto" w:fill="auto"/>
            <w:vAlign w:val="bottom"/>
          </w:tcPr>
          <w:p w14:paraId="05C29966" w14:textId="3C0F0817" w:rsidR="002B721C" w:rsidRPr="001D41EA" w:rsidRDefault="002B721C" w:rsidP="001D41EA">
            <w:pPr>
              <w:spacing w:before="40" w:after="40"/>
              <w:jc w:val="right"/>
              <w:rPr>
                <w:rFonts w:cs="Arial"/>
                <w:sz w:val="18"/>
                <w:szCs w:val="18"/>
              </w:rPr>
            </w:pPr>
            <w:r w:rsidRPr="001D41EA">
              <w:rPr>
                <w:rFonts w:cs="Arial"/>
                <w:sz w:val="18"/>
                <w:szCs w:val="18"/>
              </w:rPr>
              <w:t>32.2</w:t>
            </w:r>
          </w:p>
        </w:tc>
        <w:tc>
          <w:tcPr>
            <w:tcW w:w="992" w:type="dxa"/>
            <w:tcBorders>
              <w:top w:val="nil"/>
              <w:left w:val="nil"/>
              <w:bottom w:val="nil"/>
              <w:right w:val="nil"/>
            </w:tcBorders>
            <w:shd w:val="clear" w:color="auto" w:fill="auto"/>
            <w:vAlign w:val="bottom"/>
          </w:tcPr>
          <w:p w14:paraId="15838BB0" w14:textId="27B6303A" w:rsidR="002B721C" w:rsidRPr="001D41EA" w:rsidRDefault="002B721C" w:rsidP="001D41EA">
            <w:pPr>
              <w:spacing w:before="40" w:after="40"/>
              <w:jc w:val="right"/>
              <w:rPr>
                <w:rFonts w:cs="Arial"/>
                <w:sz w:val="18"/>
                <w:szCs w:val="18"/>
              </w:rPr>
            </w:pPr>
            <w:r w:rsidRPr="001D41EA">
              <w:rPr>
                <w:rFonts w:cs="Arial"/>
                <w:sz w:val="18"/>
                <w:szCs w:val="18"/>
              </w:rPr>
              <w:t>435,498</w:t>
            </w:r>
          </w:p>
        </w:tc>
        <w:tc>
          <w:tcPr>
            <w:tcW w:w="985" w:type="dxa"/>
            <w:tcBorders>
              <w:top w:val="nil"/>
              <w:left w:val="nil"/>
              <w:bottom w:val="nil"/>
              <w:right w:val="nil"/>
            </w:tcBorders>
            <w:shd w:val="clear" w:color="auto" w:fill="auto"/>
            <w:vAlign w:val="bottom"/>
          </w:tcPr>
          <w:p w14:paraId="7292AA2A" w14:textId="1364DAB1" w:rsidR="002B721C" w:rsidRPr="001D41EA" w:rsidRDefault="002B721C" w:rsidP="001D41EA">
            <w:pPr>
              <w:spacing w:before="40" w:after="40"/>
              <w:jc w:val="right"/>
              <w:rPr>
                <w:rFonts w:cs="Arial"/>
                <w:sz w:val="18"/>
                <w:szCs w:val="18"/>
              </w:rPr>
            </w:pPr>
            <w:r w:rsidRPr="001D41EA">
              <w:rPr>
                <w:rFonts w:cs="Arial"/>
                <w:sz w:val="18"/>
                <w:szCs w:val="18"/>
              </w:rPr>
              <w:t>4,058</w:t>
            </w:r>
          </w:p>
        </w:tc>
        <w:tc>
          <w:tcPr>
            <w:tcW w:w="1247" w:type="dxa"/>
            <w:tcBorders>
              <w:top w:val="nil"/>
              <w:left w:val="nil"/>
              <w:bottom w:val="nil"/>
              <w:right w:val="nil"/>
            </w:tcBorders>
            <w:shd w:val="clear" w:color="auto" w:fill="auto"/>
            <w:vAlign w:val="bottom"/>
          </w:tcPr>
          <w:p w14:paraId="7F96F52E" w14:textId="1F2685EE" w:rsidR="002B721C" w:rsidRPr="001D41EA" w:rsidRDefault="002B721C" w:rsidP="001D41EA">
            <w:pPr>
              <w:spacing w:before="40" w:after="40"/>
              <w:jc w:val="right"/>
              <w:rPr>
                <w:rFonts w:cs="Arial"/>
                <w:sz w:val="18"/>
                <w:szCs w:val="18"/>
              </w:rPr>
            </w:pPr>
            <w:r w:rsidRPr="001D41EA">
              <w:rPr>
                <w:rFonts w:cs="Arial"/>
                <w:sz w:val="18"/>
                <w:szCs w:val="18"/>
              </w:rPr>
              <w:t>9.7%</w:t>
            </w:r>
          </w:p>
        </w:tc>
      </w:tr>
      <w:tr w:rsidR="002B721C" w:rsidRPr="001D41EA" w14:paraId="0CF709BF"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504D17E4" w14:textId="77777777" w:rsidR="002B721C" w:rsidRPr="001D41EA" w:rsidRDefault="002B721C" w:rsidP="001D41EA">
            <w:pPr>
              <w:spacing w:before="40" w:after="40"/>
              <w:rPr>
                <w:rFonts w:cs="Arial"/>
                <w:sz w:val="18"/>
                <w:szCs w:val="18"/>
              </w:rPr>
            </w:pPr>
            <w:r w:rsidRPr="001D41EA">
              <w:rPr>
                <w:rFonts w:cs="Arial"/>
                <w:sz w:val="18"/>
                <w:szCs w:val="18"/>
              </w:rPr>
              <w:t xml:space="preserve">Banyule C </w:t>
            </w:r>
          </w:p>
        </w:tc>
        <w:tc>
          <w:tcPr>
            <w:tcW w:w="1255" w:type="dxa"/>
            <w:tcBorders>
              <w:top w:val="nil"/>
              <w:left w:val="single" w:sz="18" w:space="0" w:color="5F497A" w:themeColor="accent4" w:themeShade="BF"/>
              <w:bottom w:val="nil"/>
              <w:right w:val="nil"/>
            </w:tcBorders>
            <w:shd w:val="clear" w:color="auto" w:fill="auto"/>
            <w:vAlign w:val="bottom"/>
          </w:tcPr>
          <w:p w14:paraId="389A76F8" w14:textId="23ECB5D5" w:rsidR="002B721C" w:rsidRPr="001D41EA" w:rsidRDefault="002B721C" w:rsidP="001D41EA">
            <w:pPr>
              <w:spacing w:before="40" w:after="40"/>
              <w:jc w:val="right"/>
              <w:rPr>
                <w:rFonts w:cs="Arial"/>
                <w:sz w:val="18"/>
                <w:szCs w:val="18"/>
              </w:rPr>
            </w:pPr>
            <w:r w:rsidRPr="001D41EA">
              <w:rPr>
                <w:rFonts w:cs="Arial"/>
                <w:sz w:val="18"/>
                <w:szCs w:val="18"/>
              </w:rPr>
              <w:t>1,103</w:t>
            </w:r>
          </w:p>
        </w:tc>
        <w:tc>
          <w:tcPr>
            <w:tcW w:w="1418" w:type="dxa"/>
            <w:tcBorders>
              <w:top w:val="nil"/>
              <w:left w:val="nil"/>
              <w:bottom w:val="nil"/>
              <w:right w:val="nil"/>
            </w:tcBorders>
            <w:shd w:val="clear" w:color="auto" w:fill="auto"/>
            <w:vAlign w:val="bottom"/>
          </w:tcPr>
          <w:p w14:paraId="18D2EC93" w14:textId="4B0872F6" w:rsidR="002B721C" w:rsidRPr="001D41EA" w:rsidRDefault="002B721C" w:rsidP="001D41EA">
            <w:pPr>
              <w:spacing w:before="40" w:after="40"/>
              <w:jc w:val="right"/>
              <w:rPr>
                <w:rFonts w:cs="Arial"/>
                <w:sz w:val="18"/>
                <w:szCs w:val="18"/>
              </w:rPr>
            </w:pPr>
            <w:r w:rsidRPr="001D41EA">
              <w:rPr>
                <w:rFonts w:cs="Arial"/>
                <w:sz w:val="18"/>
                <w:szCs w:val="18"/>
              </w:rPr>
              <w:t>1,055</w:t>
            </w:r>
          </w:p>
        </w:tc>
        <w:tc>
          <w:tcPr>
            <w:tcW w:w="1134" w:type="dxa"/>
            <w:tcBorders>
              <w:top w:val="nil"/>
              <w:left w:val="nil"/>
              <w:bottom w:val="nil"/>
              <w:right w:val="nil"/>
            </w:tcBorders>
            <w:shd w:val="clear" w:color="auto" w:fill="auto"/>
            <w:vAlign w:val="bottom"/>
          </w:tcPr>
          <w:p w14:paraId="6ECA8D21" w14:textId="1E2F2541" w:rsidR="002B721C" w:rsidRPr="001D41EA" w:rsidRDefault="002B721C" w:rsidP="001D41EA">
            <w:pPr>
              <w:spacing w:before="40" w:after="40"/>
              <w:jc w:val="right"/>
              <w:rPr>
                <w:rFonts w:cs="Arial"/>
                <w:sz w:val="18"/>
                <w:szCs w:val="18"/>
              </w:rPr>
            </w:pPr>
            <w:r w:rsidRPr="001D41EA">
              <w:rPr>
                <w:rFonts w:cs="Arial"/>
                <w:sz w:val="18"/>
                <w:szCs w:val="18"/>
              </w:rPr>
              <w:t>16.7</w:t>
            </w:r>
          </w:p>
        </w:tc>
        <w:tc>
          <w:tcPr>
            <w:tcW w:w="992" w:type="dxa"/>
            <w:tcBorders>
              <w:top w:val="nil"/>
              <w:left w:val="nil"/>
              <w:bottom w:val="nil"/>
              <w:right w:val="nil"/>
            </w:tcBorders>
            <w:shd w:val="clear" w:color="auto" w:fill="auto"/>
            <w:vAlign w:val="bottom"/>
          </w:tcPr>
          <w:p w14:paraId="6B9520FF" w14:textId="11B4F8F2" w:rsidR="002B721C" w:rsidRPr="001D41EA" w:rsidRDefault="002B721C" w:rsidP="001D41EA">
            <w:pPr>
              <w:spacing w:before="40" w:after="40"/>
              <w:jc w:val="right"/>
              <w:rPr>
                <w:rFonts w:cs="Arial"/>
                <w:sz w:val="18"/>
                <w:szCs w:val="18"/>
              </w:rPr>
            </w:pPr>
            <w:r w:rsidRPr="001D41EA">
              <w:rPr>
                <w:rFonts w:cs="Arial"/>
                <w:sz w:val="18"/>
                <w:szCs w:val="18"/>
              </w:rPr>
              <w:t>567,905</w:t>
            </w:r>
          </w:p>
        </w:tc>
        <w:tc>
          <w:tcPr>
            <w:tcW w:w="985" w:type="dxa"/>
            <w:tcBorders>
              <w:top w:val="nil"/>
              <w:left w:val="nil"/>
              <w:bottom w:val="nil"/>
              <w:right w:val="nil"/>
            </w:tcBorders>
            <w:shd w:val="clear" w:color="auto" w:fill="auto"/>
            <w:vAlign w:val="bottom"/>
          </w:tcPr>
          <w:p w14:paraId="531FDA23" w14:textId="66BF1695" w:rsidR="002B721C" w:rsidRPr="001D41EA" w:rsidRDefault="002B721C" w:rsidP="001D41EA">
            <w:pPr>
              <w:spacing w:before="40" w:after="40"/>
              <w:jc w:val="right"/>
              <w:rPr>
                <w:rFonts w:cs="Arial"/>
                <w:sz w:val="18"/>
                <w:szCs w:val="18"/>
              </w:rPr>
            </w:pPr>
            <w:r w:rsidRPr="001D41EA">
              <w:rPr>
                <w:rFonts w:cs="Arial"/>
                <w:sz w:val="18"/>
                <w:szCs w:val="18"/>
              </w:rPr>
              <w:t>4,361</w:t>
            </w:r>
          </w:p>
        </w:tc>
        <w:tc>
          <w:tcPr>
            <w:tcW w:w="1247" w:type="dxa"/>
            <w:tcBorders>
              <w:top w:val="nil"/>
              <w:left w:val="nil"/>
              <w:bottom w:val="nil"/>
              <w:right w:val="nil"/>
            </w:tcBorders>
            <w:shd w:val="clear" w:color="auto" w:fill="auto"/>
            <w:vAlign w:val="bottom"/>
          </w:tcPr>
          <w:p w14:paraId="0800422A" w14:textId="4BD23496" w:rsidR="002B721C" w:rsidRPr="001D41EA" w:rsidRDefault="002B721C" w:rsidP="001D41EA">
            <w:pPr>
              <w:spacing w:before="40" w:after="40"/>
              <w:jc w:val="right"/>
              <w:rPr>
                <w:rFonts w:cs="Arial"/>
                <w:sz w:val="18"/>
                <w:szCs w:val="18"/>
              </w:rPr>
            </w:pPr>
            <w:r w:rsidRPr="001D41EA">
              <w:rPr>
                <w:rFonts w:cs="Arial"/>
                <w:sz w:val="18"/>
                <w:szCs w:val="18"/>
              </w:rPr>
              <w:t>5.3%</w:t>
            </w:r>
          </w:p>
        </w:tc>
      </w:tr>
      <w:tr w:rsidR="002B721C" w:rsidRPr="001D41EA" w14:paraId="4EF796C4"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7C3D989C" w14:textId="77777777" w:rsidR="002B721C" w:rsidRPr="001D41EA" w:rsidRDefault="002B721C" w:rsidP="001D41EA">
            <w:pPr>
              <w:spacing w:before="40" w:after="40"/>
              <w:rPr>
                <w:rFonts w:cs="Arial"/>
                <w:sz w:val="18"/>
                <w:szCs w:val="18"/>
              </w:rPr>
            </w:pPr>
            <w:r w:rsidRPr="001D41EA">
              <w:rPr>
                <w:rFonts w:cs="Arial"/>
                <w:sz w:val="18"/>
                <w:szCs w:val="18"/>
              </w:rPr>
              <w:t xml:space="preserve">Bass Coast S </w:t>
            </w:r>
          </w:p>
        </w:tc>
        <w:tc>
          <w:tcPr>
            <w:tcW w:w="1255" w:type="dxa"/>
            <w:tcBorders>
              <w:top w:val="nil"/>
              <w:left w:val="single" w:sz="18" w:space="0" w:color="5F497A" w:themeColor="accent4" w:themeShade="BF"/>
              <w:bottom w:val="nil"/>
              <w:right w:val="nil"/>
            </w:tcBorders>
            <w:shd w:val="clear" w:color="auto" w:fill="auto"/>
            <w:vAlign w:val="bottom"/>
          </w:tcPr>
          <w:p w14:paraId="621489A9" w14:textId="5A382BE4" w:rsidR="002B721C" w:rsidRPr="001D41EA" w:rsidRDefault="002B721C" w:rsidP="001D41EA">
            <w:pPr>
              <w:spacing w:before="40" w:after="40"/>
              <w:jc w:val="right"/>
              <w:rPr>
                <w:rFonts w:cs="Arial"/>
                <w:sz w:val="18"/>
                <w:szCs w:val="18"/>
              </w:rPr>
            </w:pPr>
            <w:r w:rsidRPr="001D41EA">
              <w:rPr>
                <w:rFonts w:cs="Arial"/>
                <w:sz w:val="18"/>
                <w:szCs w:val="18"/>
              </w:rPr>
              <w:t>779</w:t>
            </w:r>
          </w:p>
        </w:tc>
        <w:tc>
          <w:tcPr>
            <w:tcW w:w="1418" w:type="dxa"/>
            <w:tcBorders>
              <w:top w:val="nil"/>
              <w:left w:val="nil"/>
              <w:bottom w:val="nil"/>
              <w:right w:val="nil"/>
            </w:tcBorders>
            <w:shd w:val="clear" w:color="auto" w:fill="auto"/>
            <w:vAlign w:val="bottom"/>
          </w:tcPr>
          <w:p w14:paraId="48F2154D" w14:textId="37F8BC05" w:rsidR="002B721C" w:rsidRPr="001D41EA" w:rsidRDefault="002B721C" w:rsidP="001D41EA">
            <w:pPr>
              <w:spacing w:before="40" w:after="40"/>
              <w:jc w:val="right"/>
              <w:rPr>
                <w:rFonts w:cs="Arial"/>
                <w:sz w:val="18"/>
                <w:szCs w:val="18"/>
              </w:rPr>
            </w:pPr>
            <w:r w:rsidRPr="001D41EA">
              <w:rPr>
                <w:rFonts w:cs="Arial"/>
                <w:sz w:val="18"/>
                <w:szCs w:val="18"/>
              </w:rPr>
              <w:t>967</w:t>
            </w:r>
          </w:p>
        </w:tc>
        <w:tc>
          <w:tcPr>
            <w:tcW w:w="1134" w:type="dxa"/>
            <w:tcBorders>
              <w:top w:val="nil"/>
              <w:left w:val="nil"/>
              <w:bottom w:val="nil"/>
              <w:right w:val="nil"/>
            </w:tcBorders>
            <w:shd w:val="clear" w:color="auto" w:fill="auto"/>
            <w:vAlign w:val="bottom"/>
          </w:tcPr>
          <w:p w14:paraId="0A27FCF3" w14:textId="5C51DEC3" w:rsidR="002B721C" w:rsidRPr="001D41EA" w:rsidRDefault="002B721C" w:rsidP="001D41EA">
            <w:pPr>
              <w:spacing w:before="40" w:after="40"/>
              <w:jc w:val="right"/>
              <w:rPr>
                <w:rFonts w:cs="Arial"/>
                <w:sz w:val="18"/>
                <w:szCs w:val="18"/>
              </w:rPr>
            </w:pPr>
            <w:r w:rsidRPr="001D41EA">
              <w:rPr>
                <w:rFonts w:cs="Arial"/>
                <w:sz w:val="18"/>
                <w:szCs w:val="18"/>
              </w:rPr>
              <w:t>108.3</w:t>
            </w:r>
          </w:p>
        </w:tc>
        <w:tc>
          <w:tcPr>
            <w:tcW w:w="992" w:type="dxa"/>
            <w:tcBorders>
              <w:top w:val="nil"/>
              <w:left w:val="nil"/>
              <w:bottom w:val="nil"/>
              <w:right w:val="nil"/>
            </w:tcBorders>
            <w:shd w:val="clear" w:color="auto" w:fill="auto"/>
            <w:vAlign w:val="bottom"/>
          </w:tcPr>
          <w:p w14:paraId="3B1F9ED0" w14:textId="4BDBBB9A" w:rsidR="002B721C" w:rsidRPr="001D41EA" w:rsidRDefault="002B721C" w:rsidP="001D41EA">
            <w:pPr>
              <w:spacing w:before="40" w:after="40"/>
              <w:jc w:val="right"/>
              <w:rPr>
                <w:rFonts w:cs="Arial"/>
                <w:sz w:val="18"/>
                <w:szCs w:val="18"/>
              </w:rPr>
            </w:pPr>
            <w:r w:rsidRPr="001D41EA">
              <w:rPr>
                <w:rFonts w:cs="Arial"/>
                <w:sz w:val="18"/>
                <w:szCs w:val="18"/>
              </w:rPr>
              <w:t>229,873</w:t>
            </w:r>
          </w:p>
        </w:tc>
        <w:tc>
          <w:tcPr>
            <w:tcW w:w="985" w:type="dxa"/>
            <w:tcBorders>
              <w:top w:val="nil"/>
              <w:left w:val="nil"/>
              <w:bottom w:val="nil"/>
              <w:right w:val="nil"/>
            </w:tcBorders>
            <w:shd w:val="clear" w:color="auto" w:fill="auto"/>
            <w:vAlign w:val="bottom"/>
          </w:tcPr>
          <w:p w14:paraId="471C75AB" w14:textId="47B8D7D7" w:rsidR="002B721C" w:rsidRPr="001D41EA" w:rsidRDefault="002B721C" w:rsidP="001D41EA">
            <w:pPr>
              <w:spacing w:before="40" w:after="40"/>
              <w:jc w:val="right"/>
              <w:rPr>
                <w:rFonts w:cs="Arial"/>
                <w:sz w:val="18"/>
                <w:szCs w:val="18"/>
              </w:rPr>
            </w:pPr>
            <w:r w:rsidRPr="001D41EA">
              <w:rPr>
                <w:rFonts w:cs="Arial"/>
                <w:sz w:val="18"/>
                <w:szCs w:val="18"/>
              </w:rPr>
              <w:t>6,507</w:t>
            </w:r>
          </w:p>
        </w:tc>
        <w:tc>
          <w:tcPr>
            <w:tcW w:w="1247" w:type="dxa"/>
            <w:tcBorders>
              <w:top w:val="nil"/>
              <w:left w:val="nil"/>
              <w:bottom w:val="nil"/>
              <w:right w:val="nil"/>
            </w:tcBorders>
            <w:shd w:val="clear" w:color="auto" w:fill="auto"/>
            <w:vAlign w:val="bottom"/>
          </w:tcPr>
          <w:p w14:paraId="29DAEE60" w14:textId="193D253B" w:rsidR="002B721C" w:rsidRPr="001D41EA" w:rsidRDefault="002B721C" w:rsidP="001D41EA">
            <w:pPr>
              <w:spacing w:before="40" w:after="40"/>
              <w:jc w:val="right"/>
              <w:rPr>
                <w:rFonts w:cs="Arial"/>
                <w:sz w:val="18"/>
                <w:szCs w:val="18"/>
              </w:rPr>
            </w:pPr>
            <w:r w:rsidRPr="001D41EA">
              <w:rPr>
                <w:rFonts w:cs="Arial"/>
                <w:sz w:val="18"/>
                <w:szCs w:val="18"/>
              </w:rPr>
              <w:t>5.6%</w:t>
            </w:r>
          </w:p>
        </w:tc>
      </w:tr>
      <w:tr w:rsidR="002B721C" w:rsidRPr="001D41EA" w14:paraId="5A145063"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0B5FB865" w14:textId="77777777" w:rsidR="002B721C" w:rsidRPr="001D41EA" w:rsidRDefault="002B721C" w:rsidP="001D41EA">
            <w:pPr>
              <w:spacing w:before="40" w:after="40"/>
              <w:rPr>
                <w:rFonts w:cs="Arial"/>
                <w:sz w:val="18"/>
                <w:szCs w:val="18"/>
              </w:rPr>
            </w:pPr>
            <w:r w:rsidRPr="001D41EA">
              <w:rPr>
                <w:rFonts w:cs="Arial"/>
                <w:sz w:val="18"/>
                <w:szCs w:val="18"/>
              </w:rPr>
              <w:t xml:space="preserve">Baw Baw S </w:t>
            </w:r>
          </w:p>
        </w:tc>
        <w:tc>
          <w:tcPr>
            <w:tcW w:w="1255" w:type="dxa"/>
            <w:tcBorders>
              <w:top w:val="nil"/>
              <w:left w:val="single" w:sz="18" w:space="0" w:color="5F497A" w:themeColor="accent4" w:themeShade="BF"/>
              <w:bottom w:val="nil"/>
              <w:right w:val="nil"/>
            </w:tcBorders>
            <w:shd w:val="clear" w:color="auto" w:fill="auto"/>
            <w:vAlign w:val="bottom"/>
          </w:tcPr>
          <w:p w14:paraId="7231B056" w14:textId="59C9FEE8" w:rsidR="002B721C" w:rsidRPr="001D41EA" w:rsidRDefault="002B721C" w:rsidP="001D41EA">
            <w:pPr>
              <w:spacing w:before="40" w:after="40"/>
              <w:jc w:val="right"/>
              <w:rPr>
                <w:rFonts w:cs="Arial"/>
                <w:sz w:val="18"/>
                <w:szCs w:val="18"/>
              </w:rPr>
            </w:pPr>
            <w:r w:rsidRPr="001D41EA">
              <w:rPr>
                <w:rFonts w:cs="Arial"/>
                <w:sz w:val="18"/>
                <w:szCs w:val="18"/>
              </w:rPr>
              <w:t>854</w:t>
            </w:r>
          </w:p>
        </w:tc>
        <w:tc>
          <w:tcPr>
            <w:tcW w:w="1418" w:type="dxa"/>
            <w:tcBorders>
              <w:top w:val="nil"/>
              <w:left w:val="nil"/>
              <w:bottom w:val="nil"/>
              <w:right w:val="nil"/>
            </w:tcBorders>
            <w:shd w:val="clear" w:color="auto" w:fill="auto"/>
            <w:vAlign w:val="bottom"/>
          </w:tcPr>
          <w:p w14:paraId="7746D58A" w14:textId="3544E625" w:rsidR="002B721C" w:rsidRPr="001D41EA" w:rsidRDefault="002B721C" w:rsidP="001D41EA">
            <w:pPr>
              <w:spacing w:before="40" w:after="40"/>
              <w:jc w:val="right"/>
              <w:rPr>
                <w:rFonts w:cs="Arial"/>
                <w:sz w:val="18"/>
                <w:szCs w:val="18"/>
              </w:rPr>
            </w:pPr>
            <w:r w:rsidRPr="001D41EA">
              <w:rPr>
                <w:rFonts w:cs="Arial"/>
                <w:sz w:val="18"/>
                <w:szCs w:val="18"/>
              </w:rPr>
              <w:t>997</w:t>
            </w:r>
          </w:p>
        </w:tc>
        <w:tc>
          <w:tcPr>
            <w:tcW w:w="1134" w:type="dxa"/>
            <w:tcBorders>
              <w:top w:val="nil"/>
              <w:left w:val="nil"/>
              <w:bottom w:val="nil"/>
              <w:right w:val="nil"/>
            </w:tcBorders>
            <w:shd w:val="clear" w:color="auto" w:fill="auto"/>
            <w:vAlign w:val="bottom"/>
          </w:tcPr>
          <w:p w14:paraId="737B0A89" w14:textId="2F3DE771" w:rsidR="002B721C" w:rsidRPr="001D41EA" w:rsidRDefault="002B721C" w:rsidP="001D41EA">
            <w:pPr>
              <w:spacing w:before="40" w:after="40"/>
              <w:jc w:val="right"/>
              <w:rPr>
                <w:rFonts w:cs="Arial"/>
                <w:sz w:val="18"/>
                <w:szCs w:val="18"/>
              </w:rPr>
            </w:pPr>
            <w:r w:rsidRPr="001D41EA">
              <w:rPr>
                <w:rFonts w:cs="Arial"/>
                <w:sz w:val="18"/>
                <w:szCs w:val="18"/>
              </w:rPr>
              <w:t>24.2</w:t>
            </w:r>
          </w:p>
        </w:tc>
        <w:tc>
          <w:tcPr>
            <w:tcW w:w="992" w:type="dxa"/>
            <w:tcBorders>
              <w:top w:val="nil"/>
              <w:left w:val="nil"/>
              <w:bottom w:val="nil"/>
              <w:right w:val="nil"/>
            </w:tcBorders>
            <w:shd w:val="clear" w:color="auto" w:fill="auto"/>
            <w:vAlign w:val="bottom"/>
          </w:tcPr>
          <w:p w14:paraId="52503044" w14:textId="74E4B742" w:rsidR="002B721C" w:rsidRPr="001D41EA" w:rsidRDefault="002B721C" w:rsidP="001D41EA">
            <w:pPr>
              <w:spacing w:before="40" w:after="40"/>
              <w:jc w:val="right"/>
              <w:rPr>
                <w:rFonts w:cs="Arial"/>
                <w:sz w:val="18"/>
                <w:szCs w:val="18"/>
              </w:rPr>
            </w:pPr>
            <w:r w:rsidRPr="001D41EA">
              <w:rPr>
                <w:rFonts w:cs="Arial"/>
                <w:sz w:val="18"/>
                <w:szCs w:val="18"/>
              </w:rPr>
              <w:t>216,507</w:t>
            </w:r>
          </w:p>
        </w:tc>
        <w:tc>
          <w:tcPr>
            <w:tcW w:w="985" w:type="dxa"/>
            <w:tcBorders>
              <w:top w:val="nil"/>
              <w:left w:val="nil"/>
              <w:bottom w:val="nil"/>
              <w:right w:val="nil"/>
            </w:tcBorders>
            <w:shd w:val="clear" w:color="auto" w:fill="auto"/>
            <w:vAlign w:val="bottom"/>
          </w:tcPr>
          <w:p w14:paraId="69587C57" w14:textId="05575DAF" w:rsidR="002B721C" w:rsidRPr="001D41EA" w:rsidRDefault="002B721C" w:rsidP="001D41EA">
            <w:pPr>
              <w:spacing w:before="40" w:after="40"/>
              <w:jc w:val="right"/>
              <w:rPr>
                <w:rFonts w:cs="Arial"/>
                <w:sz w:val="18"/>
                <w:szCs w:val="18"/>
              </w:rPr>
            </w:pPr>
            <w:r w:rsidRPr="001D41EA">
              <w:rPr>
                <w:rFonts w:cs="Arial"/>
                <w:sz w:val="18"/>
                <w:szCs w:val="18"/>
              </w:rPr>
              <w:t>4,155</w:t>
            </w:r>
          </w:p>
        </w:tc>
        <w:tc>
          <w:tcPr>
            <w:tcW w:w="1247" w:type="dxa"/>
            <w:tcBorders>
              <w:top w:val="nil"/>
              <w:left w:val="nil"/>
              <w:bottom w:val="nil"/>
              <w:right w:val="nil"/>
            </w:tcBorders>
            <w:shd w:val="clear" w:color="auto" w:fill="auto"/>
            <w:vAlign w:val="bottom"/>
          </w:tcPr>
          <w:p w14:paraId="02A6F511" w14:textId="03B1BC0C" w:rsidR="002B721C" w:rsidRPr="001D41EA" w:rsidRDefault="002B721C" w:rsidP="001D41EA">
            <w:pPr>
              <w:spacing w:before="40" w:after="40"/>
              <w:jc w:val="right"/>
              <w:rPr>
                <w:rFonts w:cs="Arial"/>
                <w:sz w:val="18"/>
                <w:szCs w:val="18"/>
              </w:rPr>
            </w:pPr>
            <w:r w:rsidRPr="001D41EA">
              <w:rPr>
                <w:rFonts w:cs="Arial"/>
                <w:sz w:val="18"/>
                <w:szCs w:val="18"/>
              </w:rPr>
              <w:t>4.8%</w:t>
            </w:r>
          </w:p>
        </w:tc>
      </w:tr>
      <w:tr w:rsidR="002B721C" w:rsidRPr="001D41EA" w14:paraId="7B1B1DEE"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585CBD2F" w14:textId="77777777" w:rsidR="002B721C" w:rsidRPr="001D41EA" w:rsidRDefault="002B721C" w:rsidP="001D41EA">
            <w:pPr>
              <w:spacing w:before="40" w:after="40"/>
              <w:rPr>
                <w:rFonts w:cs="Arial"/>
                <w:sz w:val="18"/>
                <w:szCs w:val="18"/>
              </w:rPr>
            </w:pPr>
            <w:r w:rsidRPr="001D41EA">
              <w:rPr>
                <w:rFonts w:cs="Arial"/>
                <w:sz w:val="18"/>
                <w:szCs w:val="18"/>
              </w:rPr>
              <w:t xml:space="preserve">Bayside C </w:t>
            </w:r>
          </w:p>
        </w:tc>
        <w:tc>
          <w:tcPr>
            <w:tcW w:w="1255" w:type="dxa"/>
            <w:tcBorders>
              <w:top w:val="nil"/>
              <w:left w:val="single" w:sz="18" w:space="0" w:color="5F497A" w:themeColor="accent4" w:themeShade="BF"/>
              <w:bottom w:val="nil"/>
              <w:right w:val="nil"/>
            </w:tcBorders>
            <w:shd w:val="clear" w:color="auto" w:fill="auto"/>
            <w:vAlign w:val="bottom"/>
          </w:tcPr>
          <w:p w14:paraId="78D28F09" w14:textId="5487D80C" w:rsidR="002B721C" w:rsidRPr="001D41EA" w:rsidRDefault="002B721C" w:rsidP="001D41EA">
            <w:pPr>
              <w:spacing w:before="40" w:after="40"/>
              <w:jc w:val="right"/>
              <w:rPr>
                <w:rFonts w:cs="Arial"/>
                <w:sz w:val="18"/>
                <w:szCs w:val="18"/>
              </w:rPr>
            </w:pPr>
            <w:r w:rsidRPr="001D41EA">
              <w:rPr>
                <w:rFonts w:cs="Arial"/>
                <w:sz w:val="18"/>
                <w:szCs w:val="18"/>
              </w:rPr>
              <w:t>1,395</w:t>
            </w:r>
          </w:p>
        </w:tc>
        <w:tc>
          <w:tcPr>
            <w:tcW w:w="1418" w:type="dxa"/>
            <w:tcBorders>
              <w:top w:val="nil"/>
              <w:left w:val="nil"/>
              <w:bottom w:val="nil"/>
              <w:right w:val="nil"/>
            </w:tcBorders>
            <w:shd w:val="clear" w:color="auto" w:fill="auto"/>
            <w:vAlign w:val="bottom"/>
          </w:tcPr>
          <w:p w14:paraId="40C639BD" w14:textId="7A782D55" w:rsidR="002B721C" w:rsidRPr="001D41EA" w:rsidRDefault="002B721C" w:rsidP="001D41EA">
            <w:pPr>
              <w:spacing w:before="40" w:after="40"/>
              <w:jc w:val="right"/>
              <w:rPr>
                <w:rFonts w:cs="Arial"/>
                <w:sz w:val="18"/>
                <w:szCs w:val="18"/>
              </w:rPr>
            </w:pPr>
            <w:r w:rsidRPr="001D41EA">
              <w:rPr>
                <w:rFonts w:cs="Arial"/>
                <w:sz w:val="18"/>
                <w:szCs w:val="18"/>
              </w:rPr>
              <w:t>1,097</w:t>
            </w:r>
          </w:p>
        </w:tc>
        <w:tc>
          <w:tcPr>
            <w:tcW w:w="1134" w:type="dxa"/>
            <w:tcBorders>
              <w:top w:val="nil"/>
              <w:left w:val="nil"/>
              <w:bottom w:val="nil"/>
              <w:right w:val="nil"/>
            </w:tcBorders>
            <w:shd w:val="clear" w:color="auto" w:fill="auto"/>
            <w:vAlign w:val="bottom"/>
          </w:tcPr>
          <w:p w14:paraId="0FA1F00A" w14:textId="6F700213" w:rsidR="002B721C" w:rsidRPr="001D41EA" w:rsidRDefault="002B721C" w:rsidP="001D41EA">
            <w:pPr>
              <w:spacing w:before="40" w:after="40"/>
              <w:jc w:val="right"/>
              <w:rPr>
                <w:rFonts w:cs="Arial"/>
                <w:sz w:val="18"/>
                <w:szCs w:val="18"/>
              </w:rPr>
            </w:pPr>
            <w:r w:rsidRPr="001D41EA">
              <w:rPr>
                <w:rFonts w:cs="Arial"/>
                <w:sz w:val="18"/>
                <w:szCs w:val="18"/>
              </w:rPr>
              <w:t>11.0</w:t>
            </w:r>
          </w:p>
        </w:tc>
        <w:tc>
          <w:tcPr>
            <w:tcW w:w="992" w:type="dxa"/>
            <w:tcBorders>
              <w:top w:val="nil"/>
              <w:left w:val="nil"/>
              <w:bottom w:val="nil"/>
              <w:right w:val="nil"/>
            </w:tcBorders>
            <w:shd w:val="clear" w:color="auto" w:fill="auto"/>
            <w:vAlign w:val="bottom"/>
          </w:tcPr>
          <w:p w14:paraId="52826415" w14:textId="370C77D5" w:rsidR="002B721C" w:rsidRPr="001D41EA" w:rsidRDefault="002B721C" w:rsidP="001D41EA">
            <w:pPr>
              <w:spacing w:before="40" w:after="40"/>
              <w:jc w:val="right"/>
              <w:rPr>
                <w:rFonts w:cs="Arial"/>
                <w:sz w:val="18"/>
                <w:szCs w:val="18"/>
              </w:rPr>
            </w:pPr>
            <w:r w:rsidRPr="001D41EA">
              <w:rPr>
                <w:rFonts w:cs="Arial"/>
                <w:sz w:val="18"/>
                <w:szCs w:val="18"/>
              </w:rPr>
              <w:t>750,847</w:t>
            </w:r>
          </w:p>
        </w:tc>
        <w:tc>
          <w:tcPr>
            <w:tcW w:w="985" w:type="dxa"/>
            <w:tcBorders>
              <w:top w:val="nil"/>
              <w:left w:val="nil"/>
              <w:bottom w:val="nil"/>
              <w:right w:val="nil"/>
            </w:tcBorders>
            <w:shd w:val="clear" w:color="auto" w:fill="auto"/>
            <w:vAlign w:val="bottom"/>
          </w:tcPr>
          <w:p w14:paraId="6F465929" w14:textId="745DF3A1" w:rsidR="002B721C" w:rsidRPr="001D41EA" w:rsidRDefault="002B721C" w:rsidP="001D41EA">
            <w:pPr>
              <w:spacing w:before="40" w:after="40"/>
              <w:jc w:val="right"/>
              <w:rPr>
                <w:rFonts w:cs="Arial"/>
                <w:sz w:val="18"/>
                <w:szCs w:val="18"/>
              </w:rPr>
            </w:pPr>
            <w:r w:rsidRPr="001D41EA">
              <w:rPr>
                <w:rFonts w:cs="Arial"/>
                <w:sz w:val="18"/>
                <w:szCs w:val="18"/>
              </w:rPr>
              <w:t>7,102</w:t>
            </w:r>
          </w:p>
        </w:tc>
        <w:tc>
          <w:tcPr>
            <w:tcW w:w="1247" w:type="dxa"/>
            <w:tcBorders>
              <w:top w:val="nil"/>
              <w:left w:val="nil"/>
              <w:bottom w:val="nil"/>
              <w:right w:val="nil"/>
            </w:tcBorders>
            <w:shd w:val="clear" w:color="auto" w:fill="auto"/>
            <w:vAlign w:val="bottom"/>
          </w:tcPr>
          <w:p w14:paraId="78D76A6F" w14:textId="53584BBE" w:rsidR="002B721C" w:rsidRPr="001D41EA" w:rsidRDefault="002B721C" w:rsidP="001D41EA">
            <w:pPr>
              <w:spacing w:before="40" w:after="40"/>
              <w:jc w:val="right"/>
              <w:rPr>
                <w:rFonts w:cs="Arial"/>
                <w:sz w:val="18"/>
                <w:szCs w:val="18"/>
              </w:rPr>
            </w:pPr>
            <w:r w:rsidRPr="001D41EA">
              <w:rPr>
                <w:rFonts w:cs="Arial"/>
                <w:sz w:val="18"/>
                <w:szCs w:val="18"/>
              </w:rPr>
              <w:t>4.6%</w:t>
            </w:r>
          </w:p>
        </w:tc>
      </w:tr>
      <w:tr w:rsidR="002B721C" w:rsidRPr="001D41EA" w14:paraId="33131432"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5A582C2B" w14:textId="77777777" w:rsidR="002B721C" w:rsidRPr="001D41EA" w:rsidRDefault="002B721C" w:rsidP="001D41EA">
            <w:pPr>
              <w:spacing w:before="40" w:after="40"/>
              <w:rPr>
                <w:rFonts w:cs="Arial"/>
                <w:sz w:val="18"/>
                <w:szCs w:val="18"/>
              </w:rPr>
            </w:pPr>
            <w:r w:rsidRPr="001D41EA">
              <w:rPr>
                <w:rFonts w:cs="Arial"/>
                <w:sz w:val="18"/>
                <w:szCs w:val="18"/>
              </w:rPr>
              <w:t xml:space="preserve">Benalla RC </w:t>
            </w:r>
          </w:p>
        </w:tc>
        <w:tc>
          <w:tcPr>
            <w:tcW w:w="1255" w:type="dxa"/>
            <w:tcBorders>
              <w:top w:val="nil"/>
              <w:left w:val="single" w:sz="18" w:space="0" w:color="5F497A" w:themeColor="accent4" w:themeShade="BF"/>
              <w:bottom w:val="nil"/>
              <w:right w:val="nil"/>
            </w:tcBorders>
            <w:shd w:val="clear" w:color="auto" w:fill="auto"/>
            <w:vAlign w:val="bottom"/>
          </w:tcPr>
          <w:p w14:paraId="03A35F71" w14:textId="7D5E935C" w:rsidR="002B721C" w:rsidRPr="001D41EA" w:rsidRDefault="002B721C" w:rsidP="001D41EA">
            <w:pPr>
              <w:spacing w:before="40" w:after="40"/>
              <w:jc w:val="right"/>
              <w:rPr>
                <w:rFonts w:cs="Arial"/>
                <w:sz w:val="18"/>
                <w:szCs w:val="18"/>
              </w:rPr>
            </w:pPr>
            <w:r w:rsidRPr="001D41EA">
              <w:rPr>
                <w:rFonts w:cs="Arial"/>
                <w:sz w:val="18"/>
                <w:szCs w:val="18"/>
              </w:rPr>
              <w:t>793</w:t>
            </w:r>
          </w:p>
        </w:tc>
        <w:tc>
          <w:tcPr>
            <w:tcW w:w="1418" w:type="dxa"/>
            <w:tcBorders>
              <w:top w:val="nil"/>
              <w:left w:val="nil"/>
              <w:bottom w:val="nil"/>
              <w:right w:val="nil"/>
            </w:tcBorders>
            <w:shd w:val="clear" w:color="auto" w:fill="auto"/>
            <w:vAlign w:val="bottom"/>
          </w:tcPr>
          <w:p w14:paraId="2D912228" w14:textId="30481A5F" w:rsidR="002B721C" w:rsidRPr="001D41EA" w:rsidRDefault="002B721C" w:rsidP="001D41EA">
            <w:pPr>
              <w:spacing w:before="40" w:after="40"/>
              <w:jc w:val="right"/>
              <w:rPr>
                <w:rFonts w:cs="Arial"/>
                <w:sz w:val="18"/>
                <w:szCs w:val="18"/>
              </w:rPr>
            </w:pPr>
            <w:r w:rsidRPr="001D41EA">
              <w:rPr>
                <w:rFonts w:cs="Arial"/>
                <w:sz w:val="18"/>
                <w:szCs w:val="18"/>
              </w:rPr>
              <w:t>951</w:t>
            </w:r>
          </w:p>
        </w:tc>
        <w:tc>
          <w:tcPr>
            <w:tcW w:w="1134" w:type="dxa"/>
            <w:tcBorders>
              <w:top w:val="nil"/>
              <w:left w:val="nil"/>
              <w:bottom w:val="nil"/>
              <w:right w:val="nil"/>
            </w:tcBorders>
            <w:shd w:val="clear" w:color="auto" w:fill="auto"/>
            <w:vAlign w:val="bottom"/>
          </w:tcPr>
          <w:p w14:paraId="33D82389" w14:textId="5928825B" w:rsidR="002B721C" w:rsidRPr="001D41EA" w:rsidRDefault="002B721C" w:rsidP="001D41EA">
            <w:pPr>
              <w:spacing w:before="40" w:after="40"/>
              <w:jc w:val="right"/>
              <w:rPr>
                <w:rFonts w:cs="Arial"/>
                <w:sz w:val="18"/>
                <w:szCs w:val="18"/>
              </w:rPr>
            </w:pPr>
            <w:r w:rsidRPr="001D41EA">
              <w:rPr>
                <w:rFonts w:cs="Arial"/>
                <w:sz w:val="18"/>
                <w:szCs w:val="18"/>
              </w:rPr>
              <w:t>32.9</w:t>
            </w:r>
          </w:p>
        </w:tc>
        <w:tc>
          <w:tcPr>
            <w:tcW w:w="992" w:type="dxa"/>
            <w:tcBorders>
              <w:top w:val="nil"/>
              <w:left w:val="nil"/>
              <w:bottom w:val="nil"/>
              <w:right w:val="nil"/>
            </w:tcBorders>
            <w:shd w:val="clear" w:color="auto" w:fill="auto"/>
            <w:vAlign w:val="bottom"/>
          </w:tcPr>
          <w:p w14:paraId="05D811CB" w14:textId="021DC0B8" w:rsidR="002B721C" w:rsidRPr="001D41EA" w:rsidRDefault="002B721C" w:rsidP="001D41EA">
            <w:pPr>
              <w:spacing w:before="40" w:after="40"/>
              <w:jc w:val="right"/>
              <w:rPr>
                <w:rFonts w:cs="Arial"/>
                <w:sz w:val="18"/>
                <w:szCs w:val="18"/>
              </w:rPr>
            </w:pPr>
            <w:r w:rsidRPr="001D41EA">
              <w:rPr>
                <w:rFonts w:cs="Arial"/>
                <w:sz w:val="18"/>
                <w:szCs w:val="18"/>
              </w:rPr>
              <w:t>30,863</w:t>
            </w:r>
          </w:p>
        </w:tc>
        <w:tc>
          <w:tcPr>
            <w:tcW w:w="985" w:type="dxa"/>
            <w:tcBorders>
              <w:top w:val="nil"/>
              <w:left w:val="nil"/>
              <w:bottom w:val="nil"/>
              <w:right w:val="nil"/>
            </w:tcBorders>
            <w:shd w:val="clear" w:color="auto" w:fill="auto"/>
            <w:vAlign w:val="bottom"/>
          </w:tcPr>
          <w:p w14:paraId="4D2F561D" w14:textId="4A76F649" w:rsidR="002B721C" w:rsidRPr="001D41EA" w:rsidRDefault="002B721C" w:rsidP="001D41EA">
            <w:pPr>
              <w:spacing w:before="40" w:after="40"/>
              <w:jc w:val="right"/>
              <w:rPr>
                <w:rFonts w:cs="Arial"/>
                <w:sz w:val="18"/>
                <w:szCs w:val="18"/>
              </w:rPr>
            </w:pPr>
            <w:r w:rsidRPr="001D41EA">
              <w:rPr>
                <w:rFonts w:cs="Arial"/>
                <w:sz w:val="18"/>
                <w:szCs w:val="18"/>
              </w:rPr>
              <w:t>2,201</w:t>
            </w:r>
          </w:p>
        </w:tc>
        <w:tc>
          <w:tcPr>
            <w:tcW w:w="1247" w:type="dxa"/>
            <w:tcBorders>
              <w:top w:val="nil"/>
              <w:left w:val="nil"/>
              <w:bottom w:val="nil"/>
              <w:right w:val="nil"/>
            </w:tcBorders>
            <w:shd w:val="clear" w:color="auto" w:fill="auto"/>
            <w:vAlign w:val="bottom"/>
          </w:tcPr>
          <w:p w14:paraId="2C07674F" w14:textId="50D32523" w:rsidR="002B721C" w:rsidRPr="001D41EA" w:rsidRDefault="002B721C" w:rsidP="001D41EA">
            <w:pPr>
              <w:spacing w:before="40" w:after="40"/>
              <w:jc w:val="right"/>
              <w:rPr>
                <w:rFonts w:cs="Arial"/>
                <w:sz w:val="18"/>
                <w:szCs w:val="18"/>
              </w:rPr>
            </w:pPr>
            <w:r w:rsidRPr="001D41EA">
              <w:rPr>
                <w:rFonts w:cs="Arial"/>
                <w:sz w:val="18"/>
                <w:szCs w:val="18"/>
              </w:rPr>
              <w:t>8.8%</w:t>
            </w:r>
          </w:p>
        </w:tc>
      </w:tr>
      <w:tr w:rsidR="002B721C" w:rsidRPr="001D41EA" w14:paraId="6A1BD0EE"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7DFA9B7A" w14:textId="77777777" w:rsidR="002B721C" w:rsidRPr="001D41EA" w:rsidRDefault="002B721C" w:rsidP="001D41EA">
            <w:pPr>
              <w:spacing w:before="40" w:after="40"/>
              <w:rPr>
                <w:rFonts w:cs="Arial"/>
                <w:sz w:val="18"/>
                <w:szCs w:val="18"/>
              </w:rPr>
            </w:pPr>
            <w:r w:rsidRPr="001D41EA">
              <w:rPr>
                <w:rFonts w:cs="Arial"/>
                <w:sz w:val="18"/>
                <w:szCs w:val="18"/>
              </w:rPr>
              <w:t xml:space="preserve">Boroondara C </w:t>
            </w:r>
          </w:p>
        </w:tc>
        <w:tc>
          <w:tcPr>
            <w:tcW w:w="1255" w:type="dxa"/>
            <w:tcBorders>
              <w:top w:val="nil"/>
              <w:left w:val="single" w:sz="18" w:space="0" w:color="5F497A" w:themeColor="accent4" w:themeShade="BF"/>
              <w:bottom w:val="nil"/>
              <w:right w:val="nil"/>
            </w:tcBorders>
            <w:shd w:val="clear" w:color="auto" w:fill="auto"/>
            <w:vAlign w:val="bottom"/>
          </w:tcPr>
          <w:p w14:paraId="122B84F2" w14:textId="4F449FA8" w:rsidR="002B721C" w:rsidRPr="001D41EA" w:rsidRDefault="002B721C" w:rsidP="001D41EA">
            <w:pPr>
              <w:spacing w:before="40" w:after="40"/>
              <w:jc w:val="right"/>
              <w:rPr>
                <w:rFonts w:cs="Arial"/>
                <w:sz w:val="18"/>
                <w:szCs w:val="18"/>
              </w:rPr>
            </w:pPr>
            <w:r w:rsidRPr="001D41EA">
              <w:rPr>
                <w:rFonts w:cs="Arial"/>
                <w:sz w:val="18"/>
                <w:szCs w:val="18"/>
              </w:rPr>
              <w:t>1,613</w:t>
            </w:r>
          </w:p>
        </w:tc>
        <w:tc>
          <w:tcPr>
            <w:tcW w:w="1418" w:type="dxa"/>
            <w:tcBorders>
              <w:top w:val="nil"/>
              <w:left w:val="nil"/>
              <w:bottom w:val="nil"/>
              <w:right w:val="nil"/>
            </w:tcBorders>
            <w:shd w:val="clear" w:color="auto" w:fill="auto"/>
            <w:vAlign w:val="bottom"/>
          </w:tcPr>
          <w:p w14:paraId="2A97E180" w14:textId="16ADD81C" w:rsidR="002B721C" w:rsidRPr="001D41EA" w:rsidRDefault="002B721C" w:rsidP="001D41EA">
            <w:pPr>
              <w:spacing w:before="40" w:after="40"/>
              <w:jc w:val="right"/>
              <w:rPr>
                <w:rFonts w:cs="Arial"/>
                <w:sz w:val="18"/>
                <w:szCs w:val="18"/>
              </w:rPr>
            </w:pPr>
            <w:r w:rsidRPr="001D41EA">
              <w:rPr>
                <w:rFonts w:cs="Arial"/>
                <w:sz w:val="18"/>
                <w:szCs w:val="18"/>
              </w:rPr>
              <w:t>1,097</w:t>
            </w:r>
          </w:p>
        </w:tc>
        <w:tc>
          <w:tcPr>
            <w:tcW w:w="1134" w:type="dxa"/>
            <w:tcBorders>
              <w:top w:val="nil"/>
              <w:left w:val="nil"/>
              <w:bottom w:val="nil"/>
              <w:right w:val="nil"/>
            </w:tcBorders>
            <w:shd w:val="clear" w:color="auto" w:fill="auto"/>
            <w:vAlign w:val="bottom"/>
          </w:tcPr>
          <w:p w14:paraId="1FB2BE13" w14:textId="2648691D" w:rsidR="002B721C" w:rsidRPr="001D41EA" w:rsidRDefault="002B721C" w:rsidP="001D41EA">
            <w:pPr>
              <w:spacing w:before="40" w:after="40"/>
              <w:jc w:val="right"/>
              <w:rPr>
                <w:rFonts w:cs="Arial"/>
                <w:sz w:val="18"/>
                <w:szCs w:val="18"/>
              </w:rPr>
            </w:pPr>
            <w:r w:rsidRPr="001D41EA">
              <w:rPr>
                <w:rFonts w:cs="Arial"/>
                <w:sz w:val="18"/>
                <w:szCs w:val="18"/>
              </w:rPr>
              <w:t>16.0</w:t>
            </w:r>
          </w:p>
        </w:tc>
        <w:tc>
          <w:tcPr>
            <w:tcW w:w="992" w:type="dxa"/>
            <w:tcBorders>
              <w:top w:val="nil"/>
              <w:left w:val="nil"/>
              <w:bottom w:val="nil"/>
              <w:right w:val="nil"/>
            </w:tcBorders>
            <w:shd w:val="clear" w:color="auto" w:fill="auto"/>
            <w:vAlign w:val="bottom"/>
          </w:tcPr>
          <w:p w14:paraId="273298D3" w14:textId="42F54731" w:rsidR="002B721C" w:rsidRPr="001D41EA" w:rsidRDefault="002B721C" w:rsidP="001D41EA">
            <w:pPr>
              <w:spacing w:before="40" w:after="40"/>
              <w:jc w:val="right"/>
              <w:rPr>
                <w:rFonts w:cs="Arial"/>
                <w:sz w:val="18"/>
                <w:szCs w:val="18"/>
              </w:rPr>
            </w:pPr>
            <w:r w:rsidRPr="001D41EA">
              <w:rPr>
                <w:rFonts w:cs="Arial"/>
                <w:sz w:val="18"/>
                <w:szCs w:val="18"/>
              </w:rPr>
              <w:t>1,174,553</w:t>
            </w:r>
          </w:p>
        </w:tc>
        <w:tc>
          <w:tcPr>
            <w:tcW w:w="985" w:type="dxa"/>
            <w:tcBorders>
              <w:top w:val="nil"/>
              <w:left w:val="nil"/>
              <w:bottom w:val="nil"/>
              <w:right w:val="nil"/>
            </w:tcBorders>
            <w:shd w:val="clear" w:color="auto" w:fill="auto"/>
            <w:vAlign w:val="bottom"/>
          </w:tcPr>
          <w:p w14:paraId="5B1D99C9" w14:textId="56B8EB7B" w:rsidR="002B721C" w:rsidRPr="001D41EA" w:rsidRDefault="002B721C" w:rsidP="001D41EA">
            <w:pPr>
              <w:spacing w:before="40" w:after="40"/>
              <w:jc w:val="right"/>
              <w:rPr>
                <w:rFonts w:cs="Arial"/>
                <w:sz w:val="18"/>
                <w:szCs w:val="18"/>
              </w:rPr>
            </w:pPr>
            <w:r w:rsidRPr="001D41EA">
              <w:rPr>
                <w:rFonts w:cs="Arial"/>
                <w:sz w:val="18"/>
                <w:szCs w:val="18"/>
              </w:rPr>
              <w:t>6,479</w:t>
            </w:r>
          </w:p>
        </w:tc>
        <w:tc>
          <w:tcPr>
            <w:tcW w:w="1247" w:type="dxa"/>
            <w:tcBorders>
              <w:top w:val="nil"/>
              <w:left w:val="nil"/>
              <w:bottom w:val="nil"/>
              <w:right w:val="nil"/>
            </w:tcBorders>
            <w:shd w:val="clear" w:color="auto" w:fill="auto"/>
            <w:vAlign w:val="bottom"/>
          </w:tcPr>
          <w:p w14:paraId="19A1AAA2" w14:textId="0F2EAEDE" w:rsidR="002B721C" w:rsidRPr="001D41EA" w:rsidRDefault="002B721C" w:rsidP="001D41EA">
            <w:pPr>
              <w:spacing w:before="40" w:after="40"/>
              <w:jc w:val="right"/>
              <w:rPr>
                <w:rFonts w:cs="Arial"/>
                <w:sz w:val="18"/>
                <w:szCs w:val="18"/>
              </w:rPr>
            </w:pPr>
            <w:r w:rsidRPr="001D41EA">
              <w:rPr>
                <w:rFonts w:cs="Arial"/>
                <w:sz w:val="18"/>
                <w:szCs w:val="18"/>
              </w:rPr>
              <w:t>5.7%</w:t>
            </w:r>
          </w:p>
        </w:tc>
      </w:tr>
      <w:tr w:rsidR="002B721C" w:rsidRPr="001D41EA" w14:paraId="6161EFA7"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482B309F" w14:textId="77777777" w:rsidR="002B721C" w:rsidRPr="001D41EA" w:rsidRDefault="002B721C" w:rsidP="001D41EA">
            <w:pPr>
              <w:spacing w:before="40" w:after="40"/>
              <w:rPr>
                <w:rFonts w:cs="Arial"/>
                <w:sz w:val="18"/>
                <w:szCs w:val="18"/>
              </w:rPr>
            </w:pPr>
            <w:r w:rsidRPr="001D41EA">
              <w:rPr>
                <w:rFonts w:cs="Arial"/>
                <w:sz w:val="18"/>
                <w:szCs w:val="18"/>
              </w:rPr>
              <w:t xml:space="preserve">Brimbank C </w:t>
            </w:r>
          </w:p>
        </w:tc>
        <w:tc>
          <w:tcPr>
            <w:tcW w:w="1255" w:type="dxa"/>
            <w:tcBorders>
              <w:top w:val="nil"/>
              <w:left w:val="single" w:sz="18" w:space="0" w:color="5F497A" w:themeColor="accent4" w:themeShade="BF"/>
              <w:bottom w:val="nil"/>
              <w:right w:val="nil"/>
            </w:tcBorders>
            <w:shd w:val="clear" w:color="auto" w:fill="auto"/>
            <w:vAlign w:val="bottom"/>
          </w:tcPr>
          <w:p w14:paraId="3BF52EC3" w14:textId="0CF744AE" w:rsidR="002B721C" w:rsidRPr="001D41EA" w:rsidRDefault="002B721C" w:rsidP="001D41EA">
            <w:pPr>
              <w:spacing w:before="40" w:after="40"/>
              <w:jc w:val="right"/>
              <w:rPr>
                <w:rFonts w:cs="Arial"/>
                <w:sz w:val="18"/>
                <w:szCs w:val="18"/>
              </w:rPr>
            </w:pPr>
            <w:r w:rsidRPr="001D41EA">
              <w:rPr>
                <w:rFonts w:cs="Arial"/>
                <w:sz w:val="18"/>
                <w:szCs w:val="18"/>
              </w:rPr>
              <w:t>911</w:t>
            </w:r>
          </w:p>
        </w:tc>
        <w:tc>
          <w:tcPr>
            <w:tcW w:w="1418" w:type="dxa"/>
            <w:tcBorders>
              <w:top w:val="nil"/>
              <w:left w:val="nil"/>
              <w:bottom w:val="nil"/>
              <w:right w:val="nil"/>
            </w:tcBorders>
            <w:shd w:val="clear" w:color="auto" w:fill="auto"/>
            <w:vAlign w:val="bottom"/>
          </w:tcPr>
          <w:p w14:paraId="480FB100" w14:textId="05128C60" w:rsidR="002B721C" w:rsidRPr="001D41EA" w:rsidRDefault="002B721C" w:rsidP="001D41EA">
            <w:pPr>
              <w:spacing w:before="40" w:after="40"/>
              <w:jc w:val="right"/>
              <w:rPr>
                <w:rFonts w:cs="Arial"/>
                <w:sz w:val="18"/>
                <w:szCs w:val="18"/>
              </w:rPr>
            </w:pPr>
            <w:r w:rsidRPr="001D41EA">
              <w:rPr>
                <w:rFonts w:cs="Arial"/>
                <w:sz w:val="18"/>
                <w:szCs w:val="18"/>
              </w:rPr>
              <w:t>921</w:t>
            </w:r>
          </w:p>
        </w:tc>
        <w:tc>
          <w:tcPr>
            <w:tcW w:w="1134" w:type="dxa"/>
            <w:tcBorders>
              <w:top w:val="nil"/>
              <w:left w:val="nil"/>
              <w:bottom w:val="nil"/>
              <w:right w:val="nil"/>
            </w:tcBorders>
            <w:shd w:val="clear" w:color="auto" w:fill="auto"/>
            <w:vAlign w:val="bottom"/>
          </w:tcPr>
          <w:p w14:paraId="1D0635C1" w14:textId="339FE517" w:rsidR="002B721C" w:rsidRPr="001D41EA" w:rsidRDefault="002B721C" w:rsidP="001D41EA">
            <w:pPr>
              <w:spacing w:before="40" w:after="40"/>
              <w:jc w:val="right"/>
              <w:rPr>
                <w:rFonts w:cs="Arial"/>
                <w:sz w:val="18"/>
                <w:szCs w:val="18"/>
              </w:rPr>
            </w:pPr>
            <w:r w:rsidRPr="001D41EA">
              <w:rPr>
                <w:rFonts w:cs="Arial"/>
                <w:sz w:val="18"/>
                <w:szCs w:val="18"/>
              </w:rPr>
              <w:t>7.2</w:t>
            </w:r>
          </w:p>
        </w:tc>
        <w:tc>
          <w:tcPr>
            <w:tcW w:w="992" w:type="dxa"/>
            <w:tcBorders>
              <w:top w:val="nil"/>
              <w:left w:val="nil"/>
              <w:bottom w:val="nil"/>
              <w:right w:val="nil"/>
            </w:tcBorders>
            <w:shd w:val="clear" w:color="auto" w:fill="auto"/>
            <w:vAlign w:val="bottom"/>
          </w:tcPr>
          <w:p w14:paraId="1248DE0B" w14:textId="18246F43" w:rsidR="002B721C" w:rsidRPr="001D41EA" w:rsidRDefault="002B721C" w:rsidP="001D41EA">
            <w:pPr>
              <w:spacing w:before="40" w:after="40"/>
              <w:jc w:val="right"/>
              <w:rPr>
                <w:rFonts w:cs="Arial"/>
                <w:sz w:val="18"/>
                <w:szCs w:val="18"/>
              </w:rPr>
            </w:pPr>
            <w:r w:rsidRPr="001D41EA">
              <w:rPr>
                <w:rFonts w:cs="Arial"/>
                <w:sz w:val="18"/>
                <w:szCs w:val="18"/>
              </w:rPr>
              <w:t>503,300</w:t>
            </w:r>
          </w:p>
        </w:tc>
        <w:tc>
          <w:tcPr>
            <w:tcW w:w="985" w:type="dxa"/>
            <w:tcBorders>
              <w:top w:val="nil"/>
              <w:left w:val="nil"/>
              <w:bottom w:val="nil"/>
              <w:right w:val="nil"/>
            </w:tcBorders>
            <w:shd w:val="clear" w:color="auto" w:fill="auto"/>
            <w:vAlign w:val="bottom"/>
          </w:tcPr>
          <w:p w14:paraId="107B16ED" w14:textId="48CD10E4" w:rsidR="002B721C" w:rsidRPr="001D41EA" w:rsidRDefault="002B721C" w:rsidP="001D41EA">
            <w:pPr>
              <w:spacing w:before="40" w:after="40"/>
              <w:jc w:val="right"/>
              <w:rPr>
                <w:rFonts w:cs="Arial"/>
                <w:sz w:val="18"/>
                <w:szCs w:val="18"/>
              </w:rPr>
            </w:pPr>
            <w:r w:rsidRPr="001D41EA">
              <w:rPr>
                <w:rFonts w:cs="Arial"/>
                <w:sz w:val="18"/>
                <w:szCs w:val="18"/>
              </w:rPr>
              <w:t>2,411</w:t>
            </w:r>
          </w:p>
        </w:tc>
        <w:tc>
          <w:tcPr>
            <w:tcW w:w="1247" w:type="dxa"/>
            <w:tcBorders>
              <w:top w:val="nil"/>
              <w:left w:val="nil"/>
              <w:bottom w:val="nil"/>
              <w:right w:val="nil"/>
            </w:tcBorders>
            <w:shd w:val="clear" w:color="auto" w:fill="auto"/>
            <w:vAlign w:val="bottom"/>
          </w:tcPr>
          <w:p w14:paraId="5D2B4E26" w14:textId="7E0DD377" w:rsidR="002B721C" w:rsidRPr="001D41EA" w:rsidRDefault="002B721C" w:rsidP="001D41EA">
            <w:pPr>
              <w:spacing w:before="40" w:after="40"/>
              <w:jc w:val="right"/>
              <w:rPr>
                <w:rFonts w:cs="Arial"/>
                <w:sz w:val="18"/>
                <w:szCs w:val="18"/>
              </w:rPr>
            </w:pPr>
            <w:r w:rsidRPr="001D41EA">
              <w:rPr>
                <w:rFonts w:cs="Arial"/>
                <w:sz w:val="18"/>
                <w:szCs w:val="18"/>
              </w:rPr>
              <w:t>17.9%</w:t>
            </w:r>
          </w:p>
        </w:tc>
      </w:tr>
      <w:tr w:rsidR="002B721C" w:rsidRPr="001D41EA" w14:paraId="7C35C162"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0533D06F" w14:textId="77777777" w:rsidR="002B721C" w:rsidRPr="001D41EA" w:rsidRDefault="002B721C" w:rsidP="001D41EA">
            <w:pPr>
              <w:spacing w:before="40" w:after="40"/>
              <w:rPr>
                <w:rFonts w:cs="Arial"/>
                <w:sz w:val="18"/>
                <w:szCs w:val="18"/>
              </w:rPr>
            </w:pPr>
            <w:r w:rsidRPr="001D41EA">
              <w:rPr>
                <w:rFonts w:cs="Arial"/>
                <w:sz w:val="18"/>
                <w:szCs w:val="18"/>
              </w:rPr>
              <w:t xml:space="preserve">Buloke S </w:t>
            </w:r>
          </w:p>
        </w:tc>
        <w:tc>
          <w:tcPr>
            <w:tcW w:w="1255" w:type="dxa"/>
            <w:tcBorders>
              <w:top w:val="nil"/>
              <w:left w:val="single" w:sz="18" w:space="0" w:color="5F497A" w:themeColor="accent4" w:themeShade="BF"/>
              <w:bottom w:val="nil"/>
              <w:right w:val="nil"/>
            </w:tcBorders>
            <w:shd w:val="clear" w:color="auto" w:fill="auto"/>
            <w:vAlign w:val="bottom"/>
          </w:tcPr>
          <w:p w14:paraId="2FCFE1FB" w14:textId="737677DC" w:rsidR="002B721C" w:rsidRPr="001D41EA" w:rsidRDefault="002B721C" w:rsidP="001D41EA">
            <w:pPr>
              <w:spacing w:before="40" w:after="40"/>
              <w:jc w:val="right"/>
              <w:rPr>
                <w:rFonts w:cs="Arial"/>
                <w:sz w:val="18"/>
                <w:szCs w:val="18"/>
              </w:rPr>
            </w:pPr>
            <w:r w:rsidRPr="001D41EA">
              <w:rPr>
                <w:rFonts w:cs="Arial"/>
                <w:sz w:val="18"/>
                <w:szCs w:val="18"/>
              </w:rPr>
              <w:t>734</w:t>
            </w:r>
          </w:p>
        </w:tc>
        <w:tc>
          <w:tcPr>
            <w:tcW w:w="1418" w:type="dxa"/>
            <w:tcBorders>
              <w:top w:val="nil"/>
              <w:left w:val="nil"/>
              <w:bottom w:val="nil"/>
              <w:right w:val="nil"/>
            </w:tcBorders>
            <w:shd w:val="clear" w:color="auto" w:fill="auto"/>
            <w:vAlign w:val="bottom"/>
          </w:tcPr>
          <w:p w14:paraId="551D21BD" w14:textId="22E12809" w:rsidR="002B721C" w:rsidRPr="001D41EA" w:rsidRDefault="002B721C" w:rsidP="001D41EA">
            <w:pPr>
              <w:spacing w:before="40" w:after="40"/>
              <w:jc w:val="right"/>
              <w:rPr>
                <w:rFonts w:cs="Arial"/>
                <w:sz w:val="18"/>
                <w:szCs w:val="18"/>
              </w:rPr>
            </w:pPr>
            <w:r w:rsidRPr="001D41EA">
              <w:rPr>
                <w:rFonts w:cs="Arial"/>
                <w:sz w:val="18"/>
                <w:szCs w:val="18"/>
              </w:rPr>
              <w:t>967</w:t>
            </w:r>
          </w:p>
        </w:tc>
        <w:tc>
          <w:tcPr>
            <w:tcW w:w="1134" w:type="dxa"/>
            <w:tcBorders>
              <w:top w:val="nil"/>
              <w:left w:val="nil"/>
              <w:bottom w:val="nil"/>
              <w:right w:val="nil"/>
            </w:tcBorders>
            <w:shd w:val="clear" w:color="auto" w:fill="auto"/>
            <w:vAlign w:val="bottom"/>
          </w:tcPr>
          <w:p w14:paraId="59A43B68" w14:textId="32C9B783" w:rsidR="002B721C" w:rsidRPr="001D41EA" w:rsidRDefault="002B721C" w:rsidP="001D41EA">
            <w:pPr>
              <w:spacing w:before="40" w:after="40"/>
              <w:jc w:val="right"/>
              <w:rPr>
                <w:rFonts w:cs="Arial"/>
                <w:sz w:val="18"/>
                <w:szCs w:val="18"/>
              </w:rPr>
            </w:pPr>
            <w:r w:rsidRPr="001D41EA">
              <w:rPr>
                <w:rFonts w:cs="Arial"/>
                <w:sz w:val="18"/>
                <w:szCs w:val="18"/>
              </w:rPr>
              <w:t>22.4</w:t>
            </w:r>
          </w:p>
        </w:tc>
        <w:tc>
          <w:tcPr>
            <w:tcW w:w="992" w:type="dxa"/>
            <w:tcBorders>
              <w:top w:val="nil"/>
              <w:left w:val="nil"/>
              <w:bottom w:val="nil"/>
              <w:right w:val="nil"/>
            </w:tcBorders>
            <w:shd w:val="clear" w:color="auto" w:fill="auto"/>
            <w:vAlign w:val="bottom"/>
          </w:tcPr>
          <w:p w14:paraId="0C87E644" w14:textId="7F91F90C" w:rsidR="002B721C" w:rsidRPr="001D41EA" w:rsidRDefault="002B721C" w:rsidP="001D41EA">
            <w:pPr>
              <w:spacing w:before="40" w:after="40"/>
              <w:jc w:val="right"/>
              <w:rPr>
                <w:rFonts w:cs="Arial"/>
                <w:sz w:val="18"/>
                <w:szCs w:val="18"/>
              </w:rPr>
            </w:pPr>
            <w:r w:rsidRPr="001D41EA">
              <w:rPr>
                <w:rFonts w:cs="Arial"/>
                <w:sz w:val="18"/>
                <w:szCs w:val="18"/>
              </w:rPr>
              <w:t>8,227</w:t>
            </w:r>
          </w:p>
        </w:tc>
        <w:tc>
          <w:tcPr>
            <w:tcW w:w="985" w:type="dxa"/>
            <w:tcBorders>
              <w:top w:val="nil"/>
              <w:left w:val="nil"/>
              <w:bottom w:val="nil"/>
              <w:right w:val="nil"/>
            </w:tcBorders>
            <w:shd w:val="clear" w:color="auto" w:fill="auto"/>
            <w:vAlign w:val="bottom"/>
          </w:tcPr>
          <w:p w14:paraId="54997E3E" w14:textId="1E0C471C" w:rsidR="002B721C" w:rsidRPr="001D41EA" w:rsidRDefault="002B721C" w:rsidP="001D41EA">
            <w:pPr>
              <w:spacing w:before="40" w:after="40"/>
              <w:jc w:val="right"/>
              <w:rPr>
                <w:rFonts w:cs="Arial"/>
                <w:sz w:val="18"/>
                <w:szCs w:val="18"/>
              </w:rPr>
            </w:pPr>
            <w:r w:rsidRPr="001D41EA">
              <w:rPr>
                <w:rFonts w:cs="Arial"/>
                <w:sz w:val="18"/>
                <w:szCs w:val="18"/>
              </w:rPr>
              <w:t>1,330</w:t>
            </w:r>
          </w:p>
        </w:tc>
        <w:tc>
          <w:tcPr>
            <w:tcW w:w="1247" w:type="dxa"/>
            <w:tcBorders>
              <w:top w:val="nil"/>
              <w:left w:val="nil"/>
              <w:bottom w:val="nil"/>
              <w:right w:val="nil"/>
            </w:tcBorders>
            <w:shd w:val="clear" w:color="auto" w:fill="auto"/>
            <w:vAlign w:val="bottom"/>
          </w:tcPr>
          <w:p w14:paraId="1F8CEB90" w14:textId="5810B97D" w:rsidR="002B721C" w:rsidRPr="001D41EA" w:rsidRDefault="002B721C" w:rsidP="001D41EA">
            <w:pPr>
              <w:spacing w:before="40" w:after="40"/>
              <w:jc w:val="right"/>
              <w:rPr>
                <w:rFonts w:cs="Arial"/>
                <w:sz w:val="18"/>
                <w:szCs w:val="18"/>
              </w:rPr>
            </w:pPr>
            <w:r w:rsidRPr="001D41EA">
              <w:rPr>
                <w:rFonts w:cs="Arial"/>
                <w:sz w:val="18"/>
                <w:szCs w:val="18"/>
              </w:rPr>
              <w:t>5.8%</w:t>
            </w:r>
          </w:p>
        </w:tc>
      </w:tr>
      <w:tr w:rsidR="002B721C" w:rsidRPr="001D41EA" w14:paraId="633157A0"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3548D725" w14:textId="77777777" w:rsidR="002B721C" w:rsidRPr="001D41EA" w:rsidRDefault="002B721C" w:rsidP="001D41EA">
            <w:pPr>
              <w:spacing w:before="40" w:after="40"/>
              <w:rPr>
                <w:rFonts w:cs="Arial"/>
                <w:sz w:val="18"/>
                <w:szCs w:val="18"/>
              </w:rPr>
            </w:pPr>
            <w:r w:rsidRPr="001D41EA">
              <w:rPr>
                <w:rFonts w:cs="Arial"/>
                <w:sz w:val="18"/>
                <w:szCs w:val="18"/>
              </w:rPr>
              <w:t xml:space="preserve">Campaspe S </w:t>
            </w:r>
          </w:p>
        </w:tc>
        <w:tc>
          <w:tcPr>
            <w:tcW w:w="1255" w:type="dxa"/>
            <w:tcBorders>
              <w:top w:val="nil"/>
              <w:left w:val="single" w:sz="18" w:space="0" w:color="5F497A" w:themeColor="accent4" w:themeShade="BF"/>
              <w:bottom w:val="nil"/>
              <w:right w:val="nil"/>
            </w:tcBorders>
            <w:shd w:val="clear" w:color="auto" w:fill="auto"/>
            <w:vAlign w:val="bottom"/>
          </w:tcPr>
          <w:p w14:paraId="46727ABC" w14:textId="14A8D2B8" w:rsidR="002B721C" w:rsidRPr="001D41EA" w:rsidRDefault="002B721C" w:rsidP="001D41EA">
            <w:pPr>
              <w:spacing w:before="40" w:after="40"/>
              <w:jc w:val="right"/>
              <w:rPr>
                <w:rFonts w:cs="Arial"/>
                <w:sz w:val="18"/>
                <w:szCs w:val="18"/>
              </w:rPr>
            </w:pPr>
            <w:r w:rsidRPr="001D41EA">
              <w:rPr>
                <w:rFonts w:cs="Arial"/>
                <w:sz w:val="18"/>
                <w:szCs w:val="18"/>
              </w:rPr>
              <w:t>798</w:t>
            </w:r>
          </w:p>
        </w:tc>
        <w:tc>
          <w:tcPr>
            <w:tcW w:w="1418" w:type="dxa"/>
            <w:tcBorders>
              <w:top w:val="nil"/>
              <w:left w:val="nil"/>
              <w:bottom w:val="nil"/>
              <w:right w:val="nil"/>
            </w:tcBorders>
            <w:shd w:val="clear" w:color="auto" w:fill="auto"/>
            <w:vAlign w:val="bottom"/>
          </w:tcPr>
          <w:p w14:paraId="30DB6566" w14:textId="2BA89C4F" w:rsidR="002B721C" w:rsidRPr="001D41EA" w:rsidRDefault="002B721C" w:rsidP="001D41EA">
            <w:pPr>
              <w:spacing w:before="40" w:after="40"/>
              <w:jc w:val="right"/>
              <w:rPr>
                <w:rFonts w:cs="Arial"/>
                <w:sz w:val="18"/>
                <w:szCs w:val="18"/>
              </w:rPr>
            </w:pPr>
            <w:r w:rsidRPr="001D41EA">
              <w:rPr>
                <w:rFonts w:cs="Arial"/>
                <w:sz w:val="18"/>
                <w:szCs w:val="18"/>
              </w:rPr>
              <w:t>967</w:t>
            </w:r>
          </w:p>
        </w:tc>
        <w:tc>
          <w:tcPr>
            <w:tcW w:w="1134" w:type="dxa"/>
            <w:tcBorders>
              <w:top w:val="nil"/>
              <w:left w:val="nil"/>
              <w:bottom w:val="nil"/>
              <w:right w:val="nil"/>
            </w:tcBorders>
            <w:shd w:val="clear" w:color="auto" w:fill="auto"/>
            <w:vAlign w:val="bottom"/>
          </w:tcPr>
          <w:p w14:paraId="6BCDD17E" w14:textId="7E8156C4" w:rsidR="002B721C" w:rsidRPr="001D41EA" w:rsidRDefault="002B721C" w:rsidP="001D41EA">
            <w:pPr>
              <w:spacing w:before="40" w:after="40"/>
              <w:jc w:val="right"/>
              <w:rPr>
                <w:rFonts w:cs="Arial"/>
                <w:sz w:val="18"/>
                <w:szCs w:val="18"/>
              </w:rPr>
            </w:pPr>
            <w:r w:rsidRPr="001D41EA">
              <w:rPr>
                <w:rFonts w:cs="Arial"/>
                <w:sz w:val="18"/>
                <w:szCs w:val="18"/>
              </w:rPr>
              <w:t>50.2</w:t>
            </w:r>
          </w:p>
        </w:tc>
        <w:tc>
          <w:tcPr>
            <w:tcW w:w="992" w:type="dxa"/>
            <w:tcBorders>
              <w:top w:val="nil"/>
              <w:left w:val="nil"/>
              <w:bottom w:val="nil"/>
              <w:right w:val="nil"/>
            </w:tcBorders>
            <w:shd w:val="clear" w:color="auto" w:fill="auto"/>
            <w:vAlign w:val="bottom"/>
          </w:tcPr>
          <w:p w14:paraId="51EACE00" w14:textId="42EA95C3" w:rsidR="002B721C" w:rsidRPr="001D41EA" w:rsidRDefault="002B721C" w:rsidP="001D41EA">
            <w:pPr>
              <w:spacing w:before="40" w:after="40"/>
              <w:jc w:val="right"/>
              <w:rPr>
                <w:rFonts w:cs="Arial"/>
                <w:sz w:val="18"/>
                <w:szCs w:val="18"/>
              </w:rPr>
            </w:pPr>
            <w:r w:rsidRPr="001D41EA">
              <w:rPr>
                <w:rFonts w:cs="Arial"/>
                <w:sz w:val="18"/>
                <w:szCs w:val="18"/>
              </w:rPr>
              <w:t>101,816</w:t>
            </w:r>
          </w:p>
        </w:tc>
        <w:tc>
          <w:tcPr>
            <w:tcW w:w="985" w:type="dxa"/>
            <w:tcBorders>
              <w:top w:val="nil"/>
              <w:left w:val="nil"/>
              <w:bottom w:val="nil"/>
              <w:right w:val="nil"/>
            </w:tcBorders>
            <w:shd w:val="clear" w:color="auto" w:fill="auto"/>
            <w:vAlign w:val="bottom"/>
          </w:tcPr>
          <w:p w14:paraId="37EDC053" w14:textId="3C803DB8" w:rsidR="002B721C" w:rsidRPr="001D41EA" w:rsidRDefault="002B721C" w:rsidP="001D41EA">
            <w:pPr>
              <w:spacing w:before="40" w:after="40"/>
              <w:jc w:val="right"/>
              <w:rPr>
                <w:rFonts w:cs="Arial"/>
                <w:sz w:val="18"/>
                <w:szCs w:val="18"/>
              </w:rPr>
            </w:pPr>
            <w:r w:rsidRPr="001D41EA">
              <w:rPr>
                <w:rFonts w:cs="Arial"/>
                <w:sz w:val="18"/>
                <w:szCs w:val="18"/>
              </w:rPr>
              <w:t>2,708</w:t>
            </w:r>
          </w:p>
        </w:tc>
        <w:tc>
          <w:tcPr>
            <w:tcW w:w="1247" w:type="dxa"/>
            <w:tcBorders>
              <w:top w:val="nil"/>
              <w:left w:val="nil"/>
              <w:bottom w:val="nil"/>
              <w:right w:val="nil"/>
            </w:tcBorders>
            <w:shd w:val="clear" w:color="auto" w:fill="auto"/>
            <w:vAlign w:val="bottom"/>
          </w:tcPr>
          <w:p w14:paraId="36F80054" w14:textId="1ECC9A8E" w:rsidR="002B721C" w:rsidRPr="001D41EA" w:rsidRDefault="002B721C" w:rsidP="001D41EA">
            <w:pPr>
              <w:spacing w:before="40" w:after="40"/>
              <w:jc w:val="right"/>
              <w:rPr>
                <w:rFonts w:cs="Arial"/>
                <w:sz w:val="18"/>
                <w:szCs w:val="18"/>
              </w:rPr>
            </w:pPr>
            <w:r w:rsidRPr="001D41EA">
              <w:rPr>
                <w:rFonts w:cs="Arial"/>
                <w:sz w:val="18"/>
                <w:szCs w:val="18"/>
              </w:rPr>
              <w:t>9.2%</w:t>
            </w:r>
          </w:p>
        </w:tc>
      </w:tr>
      <w:tr w:rsidR="002B721C" w:rsidRPr="001D41EA" w14:paraId="7C383F46"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76FB8F68" w14:textId="77777777" w:rsidR="002B721C" w:rsidRPr="001D41EA" w:rsidRDefault="002B721C" w:rsidP="001D41EA">
            <w:pPr>
              <w:spacing w:before="40" w:after="40"/>
              <w:rPr>
                <w:rFonts w:cs="Arial"/>
                <w:sz w:val="18"/>
                <w:szCs w:val="18"/>
              </w:rPr>
            </w:pPr>
            <w:r w:rsidRPr="001D41EA">
              <w:rPr>
                <w:rFonts w:cs="Arial"/>
                <w:sz w:val="18"/>
                <w:szCs w:val="18"/>
              </w:rPr>
              <w:t xml:space="preserve">Cardinia S </w:t>
            </w:r>
          </w:p>
        </w:tc>
        <w:tc>
          <w:tcPr>
            <w:tcW w:w="1255" w:type="dxa"/>
            <w:tcBorders>
              <w:top w:val="nil"/>
              <w:left w:val="single" w:sz="18" w:space="0" w:color="5F497A" w:themeColor="accent4" w:themeShade="BF"/>
              <w:bottom w:val="nil"/>
              <w:right w:val="nil"/>
            </w:tcBorders>
            <w:shd w:val="clear" w:color="auto" w:fill="auto"/>
            <w:vAlign w:val="bottom"/>
          </w:tcPr>
          <w:p w14:paraId="2BB97368" w14:textId="2A5203D7" w:rsidR="002B721C" w:rsidRPr="001D41EA" w:rsidRDefault="002B721C" w:rsidP="001D41EA">
            <w:pPr>
              <w:spacing w:before="40" w:after="40"/>
              <w:jc w:val="right"/>
              <w:rPr>
                <w:rFonts w:cs="Arial"/>
                <w:sz w:val="18"/>
                <w:szCs w:val="18"/>
              </w:rPr>
            </w:pPr>
            <w:r w:rsidRPr="001D41EA">
              <w:rPr>
                <w:rFonts w:cs="Arial"/>
                <w:sz w:val="18"/>
                <w:szCs w:val="18"/>
              </w:rPr>
              <w:t>956</w:t>
            </w:r>
          </w:p>
        </w:tc>
        <w:tc>
          <w:tcPr>
            <w:tcW w:w="1418" w:type="dxa"/>
            <w:tcBorders>
              <w:top w:val="nil"/>
              <w:left w:val="nil"/>
              <w:bottom w:val="nil"/>
              <w:right w:val="nil"/>
            </w:tcBorders>
            <w:shd w:val="clear" w:color="auto" w:fill="auto"/>
            <w:vAlign w:val="bottom"/>
          </w:tcPr>
          <w:p w14:paraId="048D228B" w14:textId="276A292C" w:rsidR="002B721C" w:rsidRPr="001D41EA" w:rsidRDefault="002B721C" w:rsidP="001D41EA">
            <w:pPr>
              <w:spacing w:before="40" w:after="40"/>
              <w:jc w:val="right"/>
              <w:rPr>
                <w:rFonts w:cs="Arial"/>
                <w:sz w:val="18"/>
                <w:szCs w:val="18"/>
              </w:rPr>
            </w:pPr>
            <w:r w:rsidRPr="001D41EA">
              <w:rPr>
                <w:rFonts w:cs="Arial"/>
                <w:sz w:val="18"/>
                <w:szCs w:val="18"/>
              </w:rPr>
              <w:t>1,021</w:t>
            </w:r>
          </w:p>
        </w:tc>
        <w:tc>
          <w:tcPr>
            <w:tcW w:w="1134" w:type="dxa"/>
            <w:tcBorders>
              <w:top w:val="nil"/>
              <w:left w:val="nil"/>
              <w:bottom w:val="nil"/>
              <w:right w:val="nil"/>
            </w:tcBorders>
            <w:shd w:val="clear" w:color="auto" w:fill="auto"/>
            <w:vAlign w:val="bottom"/>
          </w:tcPr>
          <w:p w14:paraId="3572E618" w14:textId="2EBA3D33" w:rsidR="002B721C" w:rsidRPr="001D41EA" w:rsidRDefault="002B721C" w:rsidP="001D41EA">
            <w:pPr>
              <w:spacing w:before="40" w:after="40"/>
              <w:jc w:val="right"/>
              <w:rPr>
                <w:rFonts w:cs="Arial"/>
                <w:sz w:val="18"/>
                <w:szCs w:val="18"/>
              </w:rPr>
            </w:pPr>
            <w:r w:rsidRPr="001D41EA">
              <w:rPr>
                <w:rFonts w:cs="Arial"/>
                <w:sz w:val="18"/>
                <w:szCs w:val="18"/>
              </w:rPr>
              <w:t>11.4</w:t>
            </w:r>
          </w:p>
        </w:tc>
        <w:tc>
          <w:tcPr>
            <w:tcW w:w="992" w:type="dxa"/>
            <w:tcBorders>
              <w:top w:val="nil"/>
              <w:left w:val="nil"/>
              <w:bottom w:val="nil"/>
              <w:right w:val="nil"/>
            </w:tcBorders>
            <w:shd w:val="clear" w:color="auto" w:fill="auto"/>
            <w:vAlign w:val="bottom"/>
          </w:tcPr>
          <w:p w14:paraId="13F1F805" w14:textId="39CA9A8E" w:rsidR="002B721C" w:rsidRPr="001D41EA" w:rsidRDefault="002B721C" w:rsidP="001D41EA">
            <w:pPr>
              <w:spacing w:before="40" w:after="40"/>
              <w:jc w:val="right"/>
              <w:rPr>
                <w:rFonts w:cs="Arial"/>
                <w:sz w:val="18"/>
                <w:szCs w:val="18"/>
              </w:rPr>
            </w:pPr>
            <w:r w:rsidRPr="001D41EA">
              <w:rPr>
                <w:rFonts w:cs="Arial"/>
                <w:sz w:val="18"/>
                <w:szCs w:val="18"/>
              </w:rPr>
              <w:t>639,449</w:t>
            </w:r>
          </w:p>
        </w:tc>
        <w:tc>
          <w:tcPr>
            <w:tcW w:w="985" w:type="dxa"/>
            <w:tcBorders>
              <w:top w:val="nil"/>
              <w:left w:val="nil"/>
              <w:bottom w:val="nil"/>
              <w:right w:val="nil"/>
            </w:tcBorders>
            <w:shd w:val="clear" w:color="auto" w:fill="auto"/>
            <w:vAlign w:val="bottom"/>
          </w:tcPr>
          <w:p w14:paraId="44C48E5D" w14:textId="2C9808F0" w:rsidR="002B721C" w:rsidRPr="001D41EA" w:rsidRDefault="002B721C" w:rsidP="001D41EA">
            <w:pPr>
              <w:spacing w:before="40" w:after="40"/>
              <w:jc w:val="right"/>
              <w:rPr>
                <w:rFonts w:cs="Arial"/>
                <w:sz w:val="18"/>
                <w:szCs w:val="18"/>
              </w:rPr>
            </w:pPr>
            <w:r w:rsidRPr="001D41EA">
              <w:rPr>
                <w:rFonts w:cs="Arial"/>
                <w:sz w:val="18"/>
                <w:szCs w:val="18"/>
              </w:rPr>
              <w:t>5,969</w:t>
            </w:r>
          </w:p>
        </w:tc>
        <w:tc>
          <w:tcPr>
            <w:tcW w:w="1247" w:type="dxa"/>
            <w:tcBorders>
              <w:top w:val="nil"/>
              <w:left w:val="nil"/>
              <w:bottom w:val="nil"/>
              <w:right w:val="nil"/>
            </w:tcBorders>
            <w:shd w:val="clear" w:color="auto" w:fill="auto"/>
            <w:vAlign w:val="bottom"/>
          </w:tcPr>
          <w:p w14:paraId="4396689E" w14:textId="5F9BA060" w:rsidR="002B721C" w:rsidRPr="001D41EA" w:rsidRDefault="002B721C" w:rsidP="001D41EA">
            <w:pPr>
              <w:spacing w:before="40" w:after="40"/>
              <w:jc w:val="right"/>
              <w:rPr>
                <w:rFonts w:cs="Arial"/>
                <w:sz w:val="18"/>
                <w:szCs w:val="18"/>
              </w:rPr>
            </w:pPr>
            <w:r w:rsidRPr="001D41EA">
              <w:rPr>
                <w:rFonts w:cs="Arial"/>
                <w:sz w:val="18"/>
                <w:szCs w:val="18"/>
              </w:rPr>
              <w:t>4.5%</w:t>
            </w:r>
          </w:p>
        </w:tc>
      </w:tr>
      <w:tr w:rsidR="002B721C" w:rsidRPr="001D41EA" w14:paraId="354E9F01"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14E06462" w14:textId="77777777" w:rsidR="002B721C" w:rsidRPr="001D41EA" w:rsidRDefault="002B721C" w:rsidP="001D41EA">
            <w:pPr>
              <w:spacing w:before="40" w:after="40"/>
              <w:rPr>
                <w:rFonts w:cs="Arial"/>
                <w:sz w:val="18"/>
                <w:szCs w:val="18"/>
              </w:rPr>
            </w:pPr>
            <w:r w:rsidRPr="001D41EA">
              <w:rPr>
                <w:rFonts w:cs="Arial"/>
                <w:sz w:val="18"/>
                <w:szCs w:val="18"/>
              </w:rPr>
              <w:t xml:space="preserve">Casey C </w:t>
            </w:r>
          </w:p>
        </w:tc>
        <w:tc>
          <w:tcPr>
            <w:tcW w:w="1255" w:type="dxa"/>
            <w:tcBorders>
              <w:top w:val="nil"/>
              <w:left w:val="single" w:sz="18" w:space="0" w:color="5F497A" w:themeColor="accent4" w:themeShade="BF"/>
              <w:bottom w:val="nil"/>
              <w:right w:val="nil"/>
            </w:tcBorders>
            <w:shd w:val="clear" w:color="auto" w:fill="auto"/>
            <w:vAlign w:val="bottom"/>
          </w:tcPr>
          <w:p w14:paraId="7F77B221" w14:textId="70645DC3" w:rsidR="002B721C" w:rsidRPr="001D41EA" w:rsidRDefault="002B721C" w:rsidP="001D41EA">
            <w:pPr>
              <w:spacing w:before="40" w:after="40"/>
              <w:jc w:val="right"/>
              <w:rPr>
                <w:rFonts w:cs="Arial"/>
                <w:sz w:val="18"/>
                <w:szCs w:val="18"/>
              </w:rPr>
            </w:pPr>
            <w:r w:rsidRPr="001D41EA">
              <w:rPr>
                <w:rFonts w:cs="Arial"/>
                <w:sz w:val="18"/>
                <w:szCs w:val="18"/>
              </w:rPr>
              <w:t>1,060</w:t>
            </w:r>
          </w:p>
        </w:tc>
        <w:tc>
          <w:tcPr>
            <w:tcW w:w="1418" w:type="dxa"/>
            <w:tcBorders>
              <w:top w:val="nil"/>
              <w:left w:val="nil"/>
              <w:bottom w:val="nil"/>
              <w:right w:val="nil"/>
            </w:tcBorders>
            <w:shd w:val="clear" w:color="auto" w:fill="auto"/>
            <w:vAlign w:val="bottom"/>
          </w:tcPr>
          <w:p w14:paraId="2DF99479" w14:textId="556DE857" w:rsidR="002B721C" w:rsidRPr="001D41EA" w:rsidRDefault="002B721C" w:rsidP="001D41EA">
            <w:pPr>
              <w:spacing w:before="40" w:after="40"/>
              <w:jc w:val="right"/>
              <w:rPr>
                <w:rFonts w:cs="Arial"/>
                <w:sz w:val="18"/>
                <w:szCs w:val="18"/>
              </w:rPr>
            </w:pPr>
            <w:r w:rsidRPr="001D41EA">
              <w:rPr>
                <w:rFonts w:cs="Arial"/>
                <w:sz w:val="18"/>
                <w:szCs w:val="18"/>
              </w:rPr>
              <w:t>1,004</w:t>
            </w:r>
          </w:p>
        </w:tc>
        <w:tc>
          <w:tcPr>
            <w:tcW w:w="1134" w:type="dxa"/>
            <w:tcBorders>
              <w:top w:val="nil"/>
              <w:left w:val="nil"/>
              <w:bottom w:val="nil"/>
              <w:right w:val="nil"/>
            </w:tcBorders>
            <w:shd w:val="clear" w:color="auto" w:fill="auto"/>
            <w:vAlign w:val="bottom"/>
          </w:tcPr>
          <w:p w14:paraId="5AC1C2CB" w14:textId="74773E06" w:rsidR="002B721C" w:rsidRPr="001D41EA" w:rsidRDefault="002B721C" w:rsidP="001D41EA">
            <w:pPr>
              <w:spacing w:before="40" w:after="40"/>
              <w:jc w:val="right"/>
              <w:rPr>
                <w:rFonts w:cs="Arial"/>
                <w:sz w:val="18"/>
                <w:szCs w:val="18"/>
              </w:rPr>
            </w:pPr>
            <w:r w:rsidRPr="001D41EA">
              <w:rPr>
                <w:rFonts w:cs="Arial"/>
                <w:sz w:val="18"/>
                <w:szCs w:val="18"/>
              </w:rPr>
              <w:t>7.5</w:t>
            </w:r>
          </w:p>
        </w:tc>
        <w:tc>
          <w:tcPr>
            <w:tcW w:w="992" w:type="dxa"/>
            <w:tcBorders>
              <w:top w:val="nil"/>
              <w:left w:val="nil"/>
              <w:bottom w:val="nil"/>
              <w:right w:val="nil"/>
            </w:tcBorders>
            <w:shd w:val="clear" w:color="auto" w:fill="auto"/>
            <w:vAlign w:val="bottom"/>
          </w:tcPr>
          <w:p w14:paraId="565AC19B" w14:textId="1D936604" w:rsidR="002B721C" w:rsidRPr="001D41EA" w:rsidRDefault="002B721C" w:rsidP="001D41EA">
            <w:pPr>
              <w:spacing w:before="40" w:after="40"/>
              <w:jc w:val="right"/>
              <w:rPr>
                <w:rFonts w:cs="Arial"/>
                <w:sz w:val="18"/>
                <w:szCs w:val="18"/>
              </w:rPr>
            </w:pPr>
            <w:r w:rsidRPr="001D41EA">
              <w:rPr>
                <w:rFonts w:cs="Arial"/>
                <w:sz w:val="18"/>
                <w:szCs w:val="18"/>
              </w:rPr>
              <w:t>1,634,233</w:t>
            </w:r>
          </w:p>
        </w:tc>
        <w:tc>
          <w:tcPr>
            <w:tcW w:w="985" w:type="dxa"/>
            <w:tcBorders>
              <w:top w:val="nil"/>
              <w:left w:val="nil"/>
              <w:bottom w:val="nil"/>
              <w:right w:val="nil"/>
            </w:tcBorders>
            <w:shd w:val="clear" w:color="auto" w:fill="auto"/>
            <w:vAlign w:val="bottom"/>
          </w:tcPr>
          <w:p w14:paraId="72C24BAB" w14:textId="3ABD686B" w:rsidR="002B721C" w:rsidRPr="001D41EA" w:rsidRDefault="002B721C" w:rsidP="001D41EA">
            <w:pPr>
              <w:spacing w:before="40" w:after="40"/>
              <w:jc w:val="right"/>
              <w:rPr>
                <w:rFonts w:cs="Arial"/>
                <w:sz w:val="18"/>
                <w:szCs w:val="18"/>
              </w:rPr>
            </w:pPr>
            <w:r w:rsidRPr="001D41EA">
              <w:rPr>
                <w:rFonts w:cs="Arial"/>
                <w:sz w:val="18"/>
                <w:szCs w:val="18"/>
              </w:rPr>
              <w:t>4,801</w:t>
            </w:r>
          </w:p>
        </w:tc>
        <w:tc>
          <w:tcPr>
            <w:tcW w:w="1247" w:type="dxa"/>
            <w:tcBorders>
              <w:top w:val="nil"/>
              <w:left w:val="nil"/>
              <w:bottom w:val="nil"/>
              <w:right w:val="nil"/>
            </w:tcBorders>
            <w:shd w:val="clear" w:color="auto" w:fill="auto"/>
            <w:vAlign w:val="bottom"/>
          </w:tcPr>
          <w:p w14:paraId="22DDE2B3" w14:textId="0F5B96DB" w:rsidR="002B721C" w:rsidRPr="001D41EA" w:rsidRDefault="002B721C" w:rsidP="001D41EA">
            <w:pPr>
              <w:spacing w:before="40" w:after="40"/>
              <w:jc w:val="right"/>
              <w:rPr>
                <w:rFonts w:cs="Arial"/>
                <w:sz w:val="18"/>
                <w:szCs w:val="18"/>
              </w:rPr>
            </w:pPr>
            <w:r w:rsidRPr="001D41EA">
              <w:rPr>
                <w:rFonts w:cs="Arial"/>
                <w:sz w:val="18"/>
                <w:szCs w:val="18"/>
              </w:rPr>
              <w:t>7.1%</w:t>
            </w:r>
          </w:p>
        </w:tc>
      </w:tr>
      <w:tr w:rsidR="002B721C" w:rsidRPr="001D41EA" w14:paraId="50819999"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2436C920" w14:textId="77777777" w:rsidR="002B721C" w:rsidRPr="001D41EA" w:rsidRDefault="002B721C" w:rsidP="001D41EA">
            <w:pPr>
              <w:spacing w:before="40" w:after="40"/>
              <w:rPr>
                <w:rFonts w:cs="Arial"/>
                <w:sz w:val="18"/>
                <w:szCs w:val="18"/>
              </w:rPr>
            </w:pPr>
            <w:r w:rsidRPr="001D41EA">
              <w:rPr>
                <w:rFonts w:cs="Arial"/>
                <w:sz w:val="18"/>
                <w:szCs w:val="18"/>
              </w:rPr>
              <w:t xml:space="preserve">Central Goldfields S </w:t>
            </w:r>
          </w:p>
        </w:tc>
        <w:tc>
          <w:tcPr>
            <w:tcW w:w="1255" w:type="dxa"/>
            <w:tcBorders>
              <w:top w:val="nil"/>
              <w:left w:val="single" w:sz="18" w:space="0" w:color="5F497A" w:themeColor="accent4" w:themeShade="BF"/>
              <w:bottom w:val="nil"/>
              <w:right w:val="nil"/>
            </w:tcBorders>
            <w:shd w:val="clear" w:color="auto" w:fill="auto"/>
            <w:vAlign w:val="bottom"/>
          </w:tcPr>
          <w:p w14:paraId="64CE8958" w14:textId="47B71C0F" w:rsidR="002B721C" w:rsidRPr="001D41EA" w:rsidRDefault="002B721C" w:rsidP="001D41EA">
            <w:pPr>
              <w:spacing w:before="40" w:after="40"/>
              <w:jc w:val="right"/>
              <w:rPr>
                <w:rFonts w:cs="Arial"/>
                <w:sz w:val="18"/>
                <w:szCs w:val="18"/>
              </w:rPr>
            </w:pPr>
            <w:r w:rsidRPr="001D41EA">
              <w:rPr>
                <w:rFonts w:cs="Arial"/>
                <w:sz w:val="18"/>
                <w:szCs w:val="18"/>
              </w:rPr>
              <w:t>727</w:t>
            </w:r>
          </w:p>
        </w:tc>
        <w:tc>
          <w:tcPr>
            <w:tcW w:w="1418" w:type="dxa"/>
            <w:tcBorders>
              <w:top w:val="nil"/>
              <w:left w:val="nil"/>
              <w:bottom w:val="nil"/>
              <w:right w:val="nil"/>
            </w:tcBorders>
            <w:shd w:val="clear" w:color="auto" w:fill="auto"/>
            <w:vAlign w:val="bottom"/>
          </w:tcPr>
          <w:p w14:paraId="6277E210" w14:textId="56BC56BF" w:rsidR="002B721C" w:rsidRPr="001D41EA" w:rsidRDefault="002B721C" w:rsidP="001D41EA">
            <w:pPr>
              <w:spacing w:before="40" w:after="40"/>
              <w:jc w:val="right"/>
              <w:rPr>
                <w:rFonts w:cs="Arial"/>
                <w:sz w:val="18"/>
                <w:szCs w:val="18"/>
              </w:rPr>
            </w:pPr>
            <w:r w:rsidRPr="001D41EA">
              <w:rPr>
                <w:rFonts w:cs="Arial"/>
                <w:sz w:val="18"/>
                <w:szCs w:val="18"/>
              </w:rPr>
              <w:t>889</w:t>
            </w:r>
          </w:p>
        </w:tc>
        <w:tc>
          <w:tcPr>
            <w:tcW w:w="1134" w:type="dxa"/>
            <w:tcBorders>
              <w:top w:val="nil"/>
              <w:left w:val="nil"/>
              <w:bottom w:val="nil"/>
              <w:right w:val="nil"/>
            </w:tcBorders>
            <w:shd w:val="clear" w:color="auto" w:fill="auto"/>
            <w:vAlign w:val="bottom"/>
          </w:tcPr>
          <w:p w14:paraId="2C286BA3" w14:textId="1258BB6D" w:rsidR="002B721C" w:rsidRPr="001D41EA" w:rsidRDefault="002B721C" w:rsidP="001D41EA">
            <w:pPr>
              <w:spacing w:before="40" w:after="40"/>
              <w:jc w:val="right"/>
              <w:rPr>
                <w:rFonts w:cs="Arial"/>
                <w:sz w:val="18"/>
                <w:szCs w:val="18"/>
              </w:rPr>
            </w:pPr>
            <w:r w:rsidRPr="001D41EA">
              <w:rPr>
                <w:rFonts w:cs="Arial"/>
                <w:sz w:val="18"/>
                <w:szCs w:val="18"/>
              </w:rPr>
              <w:t>27.3</w:t>
            </w:r>
          </w:p>
        </w:tc>
        <w:tc>
          <w:tcPr>
            <w:tcW w:w="992" w:type="dxa"/>
            <w:tcBorders>
              <w:top w:val="nil"/>
              <w:left w:val="nil"/>
              <w:bottom w:val="nil"/>
              <w:right w:val="nil"/>
            </w:tcBorders>
            <w:shd w:val="clear" w:color="auto" w:fill="auto"/>
            <w:vAlign w:val="bottom"/>
          </w:tcPr>
          <w:p w14:paraId="25B60E4E" w14:textId="711AF67F" w:rsidR="002B721C" w:rsidRPr="001D41EA" w:rsidRDefault="002B721C" w:rsidP="001D41EA">
            <w:pPr>
              <w:spacing w:before="40" w:after="40"/>
              <w:jc w:val="right"/>
              <w:rPr>
                <w:rFonts w:cs="Arial"/>
                <w:sz w:val="18"/>
                <w:szCs w:val="18"/>
              </w:rPr>
            </w:pPr>
            <w:r w:rsidRPr="001D41EA">
              <w:rPr>
                <w:rFonts w:cs="Arial"/>
                <w:sz w:val="18"/>
                <w:szCs w:val="18"/>
              </w:rPr>
              <w:t>19,343</w:t>
            </w:r>
          </w:p>
        </w:tc>
        <w:tc>
          <w:tcPr>
            <w:tcW w:w="985" w:type="dxa"/>
            <w:tcBorders>
              <w:top w:val="nil"/>
              <w:left w:val="nil"/>
              <w:bottom w:val="nil"/>
              <w:right w:val="nil"/>
            </w:tcBorders>
            <w:shd w:val="clear" w:color="auto" w:fill="auto"/>
            <w:vAlign w:val="bottom"/>
          </w:tcPr>
          <w:p w14:paraId="544F81C1" w14:textId="326F654B" w:rsidR="002B721C" w:rsidRPr="001D41EA" w:rsidRDefault="002B721C" w:rsidP="001D41EA">
            <w:pPr>
              <w:spacing w:before="40" w:after="40"/>
              <w:jc w:val="right"/>
              <w:rPr>
                <w:rFonts w:cs="Arial"/>
                <w:sz w:val="18"/>
                <w:szCs w:val="18"/>
              </w:rPr>
            </w:pPr>
            <w:r w:rsidRPr="001D41EA">
              <w:rPr>
                <w:rFonts w:cs="Arial"/>
                <w:sz w:val="18"/>
                <w:szCs w:val="18"/>
              </w:rPr>
              <w:t>1,464</w:t>
            </w:r>
          </w:p>
        </w:tc>
        <w:tc>
          <w:tcPr>
            <w:tcW w:w="1247" w:type="dxa"/>
            <w:tcBorders>
              <w:top w:val="nil"/>
              <w:left w:val="nil"/>
              <w:bottom w:val="nil"/>
              <w:right w:val="nil"/>
            </w:tcBorders>
            <w:shd w:val="clear" w:color="auto" w:fill="auto"/>
            <w:vAlign w:val="bottom"/>
          </w:tcPr>
          <w:p w14:paraId="0931A488" w14:textId="768DAB29" w:rsidR="002B721C" w:rsidRPr="001D41EA" w:rsidRDefault="002B721C" w:rsidP="001D41EA">
            <w:pPr>
              <w:spacing w:before="40" w:after="40"/>
              <w:jc w:val="right"/>
              <w:rPr>
                <w:rFonts w:cs="Arial"/>
                <w:sz w:val="18"/>
                <w:szCs w:val="18"/>
              </w:rPr>
            </w:pPr>
            <w:r w:rsidRPr="001D41EA">
              <w:rPr>
                <w:rFonts w:cs="Arial"/>
                <w:sz w:val="18"/>
                <w:szCs w:val="18"/>
              </w:rPr>
              <w:t>7.0%</w:t>
            </w:r>
          </w:p>
        </w:tc>
      </w:tr>
      <w:tr w:rsidR="002B721C" w:rsidRPr="001D41EA" w14:paraId="7D2C5F94"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16EE5229" w14:textId="77777777" w:rsidR="002B721C" w:rsidRPr="001D41EA" w:rsidRDefault="002B721C" w:rsidP="001D41EA">
            <w:pPr>
              <w:spacing w:before="40" w:after="40"/>
              <w:rPr>
                <w:rFonts w:cs="Arial"/>
                <w:sz w:val="18"/>
                <w:szCs w:val="18"/>
              </w:rPr>
            </w:pPr>
            <w:r w:rsidRPr="001D41EA">
              <w:rPr>
                <w:rFonts w:cs="Arial"/>
                <w:sz w:val="18"/>
                <w:szCs w:val="18"/>
              </w:rPr>
              <w:t xml:space="preserve">Colac Otway S </w:t>
            </w:r>
          </w:p>
        </w:tc>
        <w:tc>
          <w:tcPr>
            <w:tcW w:w="1255" w:type="dxa"/>
            <w:tcBorders>
              <w:top w:val="nil"/>
              <w:left w:val="single" w:sz="18" w:space="0" w:color="5F497A" w:themeColor="accent4" w:themeShade="BF"/>
              <w:bottom w:val="nil"/>
              <w:right w:val="nil"/>
            </w:tcBorders>
            <w:shd w:val="clear" w:color="auto" w:fill="auto"/>
            <w:vAlign w:val="bottom"/>
          </w:tcPr>
          <w:p w14:paraId="4FD29EA0" w14:textId="33EC3796" w:rsidR="002B721C" w:rsidRPr="001D41EA" w:rsidRDefault="002B721C" w:rsidP="001D41EA">
            <w:pPr>
              <w:spacing w:before="40" w:after="40"/>
              <w:jc w:val="right"/>
              <w:rPr>
                <w:rFonts w:cs="Arial"/>
                <w:sz w:val="18"/>
                <w:szCs w:val="18"/>
              </w:rPr>
            </w:pPr>
            <w:r w:rsidRPr="001D41EA">
              <w:rPr>
                <w:rFonts w:cs="Arial"/>
                <w:sz w:val="18"/>
                <w:szCs w:val="18"/>
              </w:rPr>
              <w:t>839</w:t>
            </w:r>
          </w:p>
        </w:tc>
        <w:tc>
          <w:tcPr>
            <w:tcW w:w="1418" w:type="dxa"/>
            <w:tcBorders>
              <w:top w:val="nil"/>
              <w:left w:val="nil"/>
              <w:bottom w:val="nil"/>
              <w:right w:val="nil"/>
            </w:tcBorders>
            <w:shd w:val="clear" w:color="auto" w:fill="auto"/>
            <w:vAlign w:val="bottom"/>
          </w:tcPr>
          <w:p w14:paraId="5E1C2EA6" w14:textId="081D3A5B" w:rsidR="002B721C" w:rsidRPr="001D41EA" w:rsidRDefault="002B721C" w:rsidP="001D41EA">
            <w:pPr>
              <w:spacing w:before="40" w:after="40"/>
              <w:jc w:val="right"/>
              <w:rPr>
                <w:rFonts w:cs="Arial"/>
                <w:sz w:val="18"/>
                <w:szCs w:val="18"/>
              </w:rPr>
            </w:pPr>
            <w:r w:rsidRPr="001D41EA">
              <w:rPr>
                <w:rFonts w:cs="Arial"/>
                <w:sz w:val="18"/>
                <w:szCs w:val="18"/>
              </w:rPr>
              <w:t>961</w:t>
            </w:r>
          </w:p>
        </w:tc>
        <w:tc>
          <w:tcPr>
            <w:tcW w:w="1134" w:type="dxa"/>
            <w:tcBorders>
              <w:top w:val="nil"/>
              <w:left w:val="nil"/>
              <w:bottom w:val="nil"/>
              <w:right w:val="nil"/>
            </w:tcBorders>
            <w:shd w:val="clear" w:color="auto" w:fill="auto"/>
            <w:vAlign w:val="bottom"/>
          </w:tcPr>
          <w:p w14:paraId="7A367DED" w14:textId="645465C3" w:rsidR="002B721C" w:rsidRPr="001D41EA" w:rsidRDefault="002B721C" w:rsidP="001D41EA">
            <w:pPr>
              <w:spacing w:before="40" w:after="40"/>
              <w:jc w:val="right"/>
              <w:rPr>
                <w:rFonts w:cs="Arial"/>
                <w:sz w:val="18"/>
                <w:szCs w:val="18"/>
              </w:rPr>
            </w:pPr>
            <w:r w:rsidRPr="001D41EA">
              <w:rPr>
                <w:rFonts w:cs="Arial"/>
                <w:sz w:val="18"/>
                <w:szCs w:val="18"/>
              </w:rPr>
              <w:t>75.3</w:t>
            </w:r>
          </w:p>
        </w:tc>
        <w:tc>
          <w:tcPr>
            <w:tcW w:w="992" w:type="dxa"/>
            <w:tcBorders>
              <w:top w:val="nil"/>
              <w:left w:val="nil"/>
              <w:bottom w:val="nil"/>
              <w:right w:val="nil"/>
            </w:tcBorders>
            <w:shd w:val="clear" w:color="auto" w:fill="auto"/>
            <w:vAlign w:val="bottom"/>
          </w:tcPr>
          <w:p w14:paraId="1789F552" w14:textId="14D0C63B" w:rsidR="002B721C" w:rsidRPr="001D41EA" w:rsidRDefault="002B721C" w:rsidP="001D41EA">
            <w:pPr>
              <w:spacing w:before="40" w:after="40"/>
              <w:jc w:val="right"/>
              <w:rPr>
                <w:rFonts w:cs="Arial"/>
                <w:sz w:val="18"/>
                <w:szCs w:val="18"/>
              </w:rPr>
            </w:pPr>
            <w:r w:rsidRPr="001D41EA">
              <w:rPr>
                <w:rFonts w:cs="Arial"/>
                <w:sz w:val="18"/>
                <w:szCs w:val="18"/>
              </w:rPr>
              <w:t>84,904</w:t>
            </w:r>
          </w:p>
        </w:tc>
        <w:tc>
          <w:tcPr>
            <w:tcW w:w="985" w:type="dxa"/>
            <w:tcBorders>
              <w:top w:val="nil"/>
              <w:left w:val="nil"/>
              <w:bottom w:val="nil"/>
              <w:right w:val="nil"/>
            </w:tcBorders>
            <w:shd w:val="clear" w:color="auto" w:fill="auto"/>
            <w:vAlign w:val="bottom"/>
          </w:tcPr>
          <w:p w14:paraId="229506F5" w14:textId="2851777D" w:rsidR="002B721C" w:rsidRPr="001D41EA" w:rsidRDefault="002B721C" w:rsidP="001D41EA">
            <w:pPr>
              <w:spacing w:before="40" w:after="40"/>
              <w:jc w:val="right"/>
              <w:rPr>
                <w:rFonts w:cs="Arial"/>
                <w:sz w:val="18"/>
                <w:szCs w:val="18"/>
              </w:rPr>
            </w:pPr>
            <w:r w:rsidRPr="001D41EA">
              <w:rPr>
                <w:rFonts w:cs="Arial"/>
                <w:sz w:val="18"/>
                <w:szCs w:val="18"/>
              </w:rPr>
              <w:t>3,948</w:t>
            </w:r>
          </w:p>
        </w:tc>
        <w:tc>
          <w:tcPr>
            <w:tcW w:w="1247" w:type="dxa"/>
            <w:tcBorders>
              <w:top w:val="nil"/>
              <w:left w:val="nil"/>
              <w:bottom w:val="nil"/>
              <w:right w:val="nil"/>
            </w:tcBorders>
            <w:shd w:val="clear" w:color="auto" w:fill="auto"/>
            <w:vAlign w:val="bottom"/>
          </w:tcPr>
          <w:p w14:paraId="4A38B95F" w14:textId="5861B6C6" w:rsidR="002B721C" w:rsidRPr="001D41EA" w:rsidRDefault="002B721C" w:rsidP="001D41EA">
            <w:pPr>
              <w:spacing w:before="40" w:after="40"/>
              <w:jc w:val="right"/>
              <w:rPr>
                <w:rFonts w:cs="Arial"/>
                <w:sz w:val="18"/>
                <w:szCs w:val="18"/>
              </w:rPr>
            </w:pPr>
            <w:r w:rsidRPr="001D41EA">
              <w:rPr>
                <w:rFonts w:cs="Arial"/>
                <w:sz w:val="18"/>
                <w:szCs w:val="18"/>
              </w:rPr>
              <w:t>5.8%</w:t>
            </w:r>
          </w:p>
        </w:tc>
      </w:tr>
      <w:tr w:rsidR="002B721C" w:rsidRPr="001D41EA" w14:paraId="50BE7570"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2A5BAA73" w14:textId="77777777" w:rsidR="002B721C" w:rsidRPr="001D41EA" w:rsidRDefault="002B721C" w:rsidP="001D41EA">
            <w:pPr>
              <w:spacing w:before="40" w:after="40"/>
              <w:rPr>
                <w:rFonts w:cs="Arial"/>
                <w:sz w:val="18"/>
                <w:szCs w:val="18"/>
              </w:rPr>
            </w:pPr>
            <w:r w:rsidRPr="001D41EA">
              <w:rPr>
                <w:rFonts w:cs="Arial"/>
                <w:sz w:val="18"/>
                <w:szCs w:val="18"/>
              </w:rPr>
              <w:t xml:space="preserve">Corangamite S </w:t>
            </w:r>
          </w:p>
        </w:tc>
        <w:tc>
          <w:tcPr>
            <w:tcW w:w="1255" w:type="dxa"/>
            <w:tcBorders>
              <w:top w:val="nil"/>
              <w:left w:val="single" w:sz="18" w:space="0" w:color="5F497A" w:themeColor="accent4" w:themeShade="BF"/>
              <w:bottom w:val="nil"/>
              <w:right w:val="nil"/>
            </w:tcBorders>
            <w:shd w:val="clear" w:color="auto" w:fill="auto"/>
            <w:vAlign w:val="bottom"/>
          </w:tcPr>
          <w:p w14:paraId="19A6D705" w14:textId="37ADA4E5" w:rsidR="002B721C" w:rsidRPr="001D41EA" w:rsidRDefault="002B721C" w:rsidP="001D41EA">
            <w:pPr>
              <w:spacing w:before="40" w:after="40"/>
              <w:jc w:val="right"/>
              <w:rPr>
                <w:rFonts w:cs="Arial"/>
                <w:sz w:val="18"/>
                <w:szCs w:val="18"/>
              </w:rPr>
            </w:pPr>
            <w:r w:rsidRPr="001D41EA">
              <w:rPr>
                <w:rFonts w:cs="Arial"/>
                <w:sz w:val="18"/>
                <w:szCs w:val="18"/>
              </w:rPr>
              <w:t>802</w:t>
            </w:r>
          </w:p>
        </w:tc>
        <w:tc>
          <w:tcPr>
            <w:tcW w:w="1418" w:type="dxa"/>
            <w:tcBorders>
              <w:top w:val="nil"/>
              <w:left w:val="nil"/>
              <w:bottom w:val="nil"/>
              <w:right w:val="nil"/>
            </w:tcBorders>
            <w:shd w:val="clear" w:color="auto" w:fill="auto"/>
            <w:vAlign w:val="bottom"/>
          </w:tcPr>
          <w:p w14:paraId="30939B1B" w14:textId="1B9BAC4D" w:rsidR="002B721C" w:rsidRPr="001D41EA" w:rsidRDefault="002B721C" w:rsidP="001D41EA">
            <w:pPr>
              <w:spacing w:before="40" w:after="40"/>
              <w:jc w:val="right"/>
              <w:rPr>
                <w:rFonts w:cs="Arial"/>
                <w:sz w:val="18"/>
                <w:szCs w:val="18"/>
              </w:rPr>
            </w:pPr>
            <w:r w:rsidRPr="001D41EA">
              <w:rPr>
                <w:rFonts w:cs="Arial"/>
                <w:sz w:val="18"/>
                <w:szCs w:val="18"/>
              </w:rPr>
              <w:t>977</w:t>
            </w:r>
          </w:p>
        </w:tc>
        <w:tc>
          <w:tcPr>
            <w:tcW w:w="1134" w:type="dxa"/>
            <w:tcBorders>
              <w:top w:val="nil"/>
              <w:left w:val="nil"/>
              <w:bottom w:val="nil"/>
              <w:right w:val="nil"/>
            </w:tcBorders>
            <w:shd w:val="clear" w:color="auto" w:fill="auto"/>
            <w:vAlign w:val="bottom"/>
          </w:tcPr>
          <w:p w14:paraId="29B22ECE" w14:textId="3E2DC7E9" w:rsidR="002B721C" w:rsidRPr="001D41EA" w:rsidRDefault="002B721C" w:rsidP="001D41EA">
            <w:pPr>
              <w:spacing w:before="40" w:after="40"/>
              <w:jc w:val="right"/>
              <w:rPr>
                <w:rFonts w:cs="Arial"/>
                <w:sz w:val="18"/>
                <w:szCs w:val="18"/>
              </w:rPr>
            </w:pPr>
            <w:r w:rsidRPr="001D41EA">
              <w:rPr>
                <w:rFonts w:cs="Arial"/>
                <w:sz w:val="18"/>
                <w:szCs w:val="18"/>
              </w:rPr>
              <w:t>40.3</w:t>
            </w:r>
          </w:p>
        </w:tc>
        <w:tc>
          <w:tcPr>
            <w:tcW w:w="992" w:type="dxa"/>
            <w:tcBorders>
              <w:top w:val="nil"/>
              <w:left w:val="nil"/>
              <w:bottom w:val="nil"/>
              <w:right w:val="nil"/>
            </w:tcBorders>
            <w:shd w:val="clear" w:color="auto" w:fill="auto"/>
            <w:vAlign w:val="bottom"/>
          </w:tcPr>
          <w:p w14:paraId="33BA6011" w14:textId="7D5B097C" w:rsidR="002B721C" w:rsidRPr="001D41EA" w:rsidRDefault="002B721C" w:rsidP="001D41EA">
            <w:pPr>
              <w:spacing w:before="40" w:after="40"/>
              <w:jc w:val="right"/>
              <w:rPr>
                <w:rFonts w:cs="Arial"/>
                <w:sz w:val="18"/>
                <w:szCs w:val="18"/>
              </w:rPr>
            </w:pPr>
            <w:r w:rsidRPr="001D41EA">
              <w:rPr>
                <w:rFonts w:cs="Arial"/>
                <w:sz w:val="18"/>
                <w:szCs w:val="18"/>
              </w:rPr>
              <w:t>27,789</w:t>
            </w:r>
          </w:p>
        </w:tc>
        <w:tc>
          <w:tcPr>
            <w:tcW w:w="985" w:type="dxa"/>
            <w:tcBorders>
              <w:top w:val="nil"/>
              <w:left w:val="nil"/>
              <w:bottom w:val="nil"/>
              <w:right w:val="nil"/>
            </w:tcBorders>
            <w:shd w:val="clear" w:color="auto" w:fill="auto"/>
            <w:vAlign w:val="bottom"/>
          </w:tcPr>
          <w:p w14:paraId="10042DBE" w14:textId="2887E411" w:rsidR="002B721C" w:rsidRPr="001D41EA" w:rsidRDefault="002B721C" w:rsidP="001D41EA">
            <w:pPr>
              <w:spacing w:before="40" w:after="40"/>
              <w:jc w:val="right"/>
              <w:rPr>
                <w:rFonts w:cs="Arial"/>
                <w:sz w:val="18"/>
                <w:szCs w:val="18"/>
              </w:rPr>
            </w:pPr>
            <w:r w:rsidRPr="001D41EA">
              <w:rPr>
                <w:rFonts w:cs="Arial"/>
                <w:sz w:val="18"/>
                <w:szCs w:val="18"/>
              </w:rPr>
              <w:t>1,722</w:t>
            </w:r>
          </w:p>
        </w:tc>
        <w:tc>
          <w:tcPr>
            <w:tcW w:w="1247" w:type="dxa"/>
            <w:tcBorders>
              <w:top w:val="nil"/>
              <w:left w:val="nil"/>
              <w:bottom w:val="nil"/>
              <w:right w:val="nil"/>
            </w:tcBorders>
            <w:shd w:val="clear" w:color="auto" w:fill="auto"/>
            <w:vAlign w:val="bottom"/>
          </w:tcPr>
          <w:p w14:paraId="0B5B8308" w14:textId="00452A22" w:rsidR="002B721C" w:rsidRPr="001D41EA" w:rsidRDefault="002B721C" w:rsidP="001D41EA">
            <w:pPr>
              <w:spacing w:before="40" w:after="40"/>
              <w:jc w:val="right"/>
              <w:rPr>
                <w:rFonts w:cs="Arial"/>
                <w:sz w:val="18"/>
                <w:szCs w:val="18"/>
              </w:rPr>
            </w:pPr>
            <w:r w:rsidRPr="001D41EA">
              <w:rPr>
                <w:rFonts w:cs="Arial"/>
                <w:sz w:val="18"/>
                <w:szCs w:val="18"/>
              </w:rPr>
              <w:t>4.4%</w:t>
            </w:r>
          </w:p>
        </w:tc>
      </w:tr>
      <w:tr w:rsidR="002B721C" w:rsidRPr="001D41EA" w14:paraId="4E3D287D"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35AC37FC" w14:textId="77777777" w:rsidR="002B721C" w:rsidRPr="001D41EA" w:rsidRDefault="002B721C" w:rsidP="001D41EA">
            <w:pPr>
              <w:spacing w:before="40" w:after="40"/>
              <w:rPr>
                <w:rFonts w:cs="Arial"/>
                <w:sz w:val="18"/>
                <w:szCs w:val="18"/>
              </w:rPr>
            </w:pPr>
            <w:r w:rsidRPr="001D41EA">
              <w:rPr>
                <w:rFonts w:cs="Arial"/>
                <w:sz w:val="18"/>
                <w:szCs w:val="18"/>
              </w:rPr>
              <w:t xml:space="preserve">Darebin C </w:t>
            </w:r>
          </w:p>
        </w:tc>
        <w:tc>
          <w:tcPr>
            <w:tcW w:w="1255" w:type="dxa"/>
            <w:tcBorders>
              <w:top w:val="nil"/>
              <w:left w:val="single" w:sz="18" w:space="0" w:color="5F497A" w:themeColor="accent4" w:themeShade="BF"/>
              <w:bottom w:val="nil"/>
              <w:right w:val="nil"/>
            </w:tcBorders>
            <w:shd w:val="clear" w:color="auto" w:fill="auto"/>
            <w:vAlign w:val="bottom"/>
          </w:tcPr>
          <w:p w14:paraId="2AEC8069" w14:textId="786E188A" w:rsidR="002B721C" w:rsidRPr="001D41EA" w:rsidRDefault="002B721C" w:rsidP="001D41EA">
            <w:pPr>
              <w:spacing w:before="40" w:after="40"/>
              <w:jc w:val="right"/>
              <w:rPr>
                <w:rFonts w:cs="Arial"/>
                <w:sz w:val="18"/>
                <w:szCs w:val="18"/>
              </w:rPr>
            </w:pPr>
            <w:r w:rsidRPr="001D41EA">
              <w:rPr>
                <w:rFonts w:cs="Arial"/>
                <w:sz w:val="18"/>
                <w:szCs w:val="18"/>
              </w:rPr>
              <w:t>799</w:t>
            </w:r>
          </w:p>
        </w:tc>
        <w:tc>
          <w:tcPr>
            <w:tcW w:w="1418" w:type="dxa"/>
            <w:tcBorders>
              <w:top w:val="nil"/>
              <w:left w:val="nil"/>
              <w:bottom w:val="nil"/>
              <w:right w:val="nil"/>
            </w:tcBorders>
            <w:shd w:val="clear" w:color="auto" w:fill="auto"/>
            <w:vAlign w:val="bottom"/>
          </w:tcPr>
          <w:p w14:paraId="4E070905" w14:textId="32B05D32" w:rsidR="002B721C" w:rsidRPr="001D41EA" w:rsidRDefault="002B721C" w:rsidP="001D41EA">
            <w:pPr>
              <w:spacing w:before="40" w:after="40"/>
              <w:jc w:val="right"/>
              <w:rPr>
                <w:rFonts w:cs="Arial"/>
                <w:sz w:val="18"/>
                <w:szCs w:val="18"/>
              </w:rPr>
            </w:pPr>
            <w:r w:rsidRPr="001D41EA">
              <w:rPr>
                <w:rFonts w:cs="Arial"/>
                <w:sz w:val="18"/>
                <w:szCs w:val="18"/>
              </w:rPr>
              <w:t>1,004</w:t>
            </w:r>
          </w:p>
        </w:tc>
        <w:tc>
          <w:tcPr>
            <w:tcW w:w="1134" w:type="dxa"/>
            <w:tcBorders>
              <w:top w:val="nil"/>
              <w:left w:val="nil"/>
              <w:bottom w:val="nil"/>
              <w:right w:val="nil"/>
            </w:tcBorders>
            <w:shd w:val="clear" w:color="auto" w:fill="auto"/>
            <w:vAlign w:val="bottom"/>
          </w:tcPr>
          <w:p w14:paraId="7EF1EC97" w14:textId="32F42127" w:rsidR="002B721C" w:rsidRPr="001D41EA" w:rsidRDefault="002B721C" w:rsidP="001D41EA">
            <w:pPr>
              <w:spacing w:before="40" w:after="40"/>
              <w:jc w:val="right"/>
              <w:rPr>
                <w:rFonts w:cs="Arial"/>
                <w:sz w:val="18"/>
                <w:szCs w:val="18"/>
              </w:rPr>
            </w:pPr>
            <w:r w:rsidRPr="001D41EA">
              <w:rPr>
                <w:rFonts w:cs="Arial"/>
                <w:sz w:val="18"/>
                <w:szCs w:val="18"/>
              </w:rPr>
              <w:t>12.2</w:t>
            </w:r>
          </w:p>
        </w:tc>
        <w:tc>
          <w:tcPr>
            <w:tcW w:w="992" w:type="dxa"/>
            <w:tcBorders>
              <w:top w:val="nil"/>
              <w:left w:val="nil"/>
              <w:bottom w:val="nil"/>
              <w:right w:val="nil"/>
            </w:tcBorders>
            <w:shd w:val="clear" w:color="auto" w:fill="auto"/>
            <w:vAlign w:val="bottom"/>
          </w:tcPr>
          <w:p w14:paraId="220E4CA7" w14:textId="5AA8B4C6" w:rsidR="002B721C" w:rsidRPr="001D41EA" w:rsidRDefault="002B721C" w:rsidP="001D41EA">
            <w:pPr>
              <w:spacing w:before="40" w:after="40"/>
              <w:jc w:val="right"/>
              <w:rPr>
                <w:rFonts w:cs="Arial"/>
                <w:sz w:val="18"/>
                <w:szCs w:val="18"/>
              </w:rPr>
            </w:pPr>
            <w:r w:rsidRPr="001D41EA">
              <w:rPr>
                <w:rFonts w:cs="Arial"/>
                <w:sz w:val="18"/>
                <w:szCs w:val="18"/>
              </w:rPr>
              <w:t>554,984</w:t>
            </w:r>
          </w:p>
        </w:tc>
        <w:tc>
          <w:tcPr>
            <w:tcW w:w="985" w:type="dxa"/>
            <w:tcBorders>
              <w:top w:val="nil"/>
              <w:left w:val="nil"/>
              <w:bottom w:val="nil"/>
              <w:right w:val="nil"/>
            </w:tcBorders>
            <w:shd w:val="clear" w:color="auto" w:fill="auto"/>
            <w:vAlign w:val="bottom"/>
          </w:tcPr>
          <w:p w14:paraId="199F5672" w14:textId="152C0771" w:rsidR="002B721C" w:rsidRPr="001D41EA" w:rsidRDefault="002B721C" w:rsidP="001D41EA">
            <w:pPr>
              <w:spacing w:before="40" w:after="40"/>
              <w:jc w:val="right"/>
              <w:rPr>
                <w:rFonts w:cs="Arial"/>
                <w:sz w:val="18"/>
                <w:szCs w:val="18"/>
              </w:rPr>
            </w:pPr>
            <w:r w:rsidRPr="001D41EA">
              <w:rPr>
                <w:rFonts w:cs="Arial"/>
                <w:sz w:val="18"/>
                <w:szCs w:val="18"/>
              </w:rPr>
              <w:t>3,434</w:t>
            </w:r>
          </w:p>
        </w:tc>
        <w:tc>
          <w:tcPr>
            <w:tcW w:w="1247" w:type="dxa"/>
            <w:tcBorders>
              <w:top w:val="nil"/>
              <w:left w:val="nil"/>
              <w:bottom w:val="nil"/>
              <w:right w:val="nil"/>
            </w:tcBorders>
            <w:shd w:val="clear" w:color="auto" w:fill="auto"/>
            <w:vAlign w:val="bottom"/>
          </w:tcPr>
          <w:p w14:paraId="10C41A99" w14:textId="55264906" w:rsidR="002B721C" w:rsidRPr="001D41EA" w:rsidRDefault="002B721C" w:rsidP="001D41EA">
            <w:pPr>
              <w:spacing w:before="40" w:after="40"/>
              <w:jc w:val="right"/>
              <w:rPr>
                <w:rFonts w:cs="Arial"/>
                <w:sz w:val="18"/>
                <w:szCs w:val="18"/>
              </w:rPr>
            </w:pPr>
            <w:r w:rsidRPr="001D41EA">
              <w:rPr>
                <w:rFonts w:cs="Arial"/>
                <w:sz w:val="18"/>
                <w:szCs w:val="18"/>
              </w:rPr>
              <w:t>8.2%</w:t>
            </w:r>
          </w:p>
        </w:tc>
      </w:tr>
      <w:tr w:rsidR="002B721C" w:rsidRPr="001D41EA" w14:paraId="53882309"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1B471323" w14:textId="77777777" w:rsidR="002B721C" w:rsidRPr="001D41EA" w:rsidRDefault="002B721C" w:rsidP="001D41EA">
            <w:pPr>
              <w:spacing w:before="40" w:after="40"/>
              <w:rPr>
                <w:rFonts w:cs="Arial"/>
                <w:sz w:val="18"/>
                <w:szCs w:val="18"/>
              </w:rPr>
            </w:pPr>
            <w:r w:rsidRPr="001D41EA">
              <w:rPr>
                <w:rFonts w:cs="Arial"/>
                <w:sz w:val="18"/>
                <w:szCs w:val="18"/>
              </w:rPr>
              <w:t xml:space="preserve">East Gippsland S </w:t>
            </w:r>
          </w:p>
        </w:tc>
        <w:tc>
          <w:tcPr>
            <w:tcW w:w="1255" w:type="dxa"/>
            <w:tcBorders>
              <w:top w:val="nil"/>
              <w:left w:val="single" w:sz="18" w:space="0" w:color="5F497A" w:themeColor="accent4" w:themeShade="BF"/>
              <w:bottom w:val="nil"/>
              <w:right w:val="nil"/>
            </w:tcBorders>
            <w:shd w:val="clear" w:color="auto" w:fill="auto"/>
            <w:vAlign w:val="bottom"/>
          </w:tcPr>
          <w:p w14:paraId="10B5E362" w14:textId="38CC5641" w:rsidR="002B721C" w:rsidRPr="001D41EA" w:rsidRDefault="002B721C" w:rsidP="001D41EA">
            <w:pPr>
              <w:spacing w:before="40" w:after="40"/>
              <w:jc w:val="right"/>
              <w:rPr>
                <w:rFonts w:cs="Arial"/>
                <w:sz w:val="18"/>
                <w:szCs w:val="18"/>
              </w:rPr>
            </w:pPr>
            <w:r w:rsidRPr="001D41EA">
              <w:rPr>
                <w:rFonts w:cs="Arial"/>
                <w:sz w:val="18"/>
                <w:szCs w:val="18"/>
              </w:rPr>
              <w:t>785</w:t>
            </w:r>
          </w:p>
        </w:tc>
        <w:tc>
          <w:tcPr>
            <w:tcW w:w="1418" w:type="dxa"/>
            <w:tcBorders>
              <w:top w:val="nil"/>
              <w:left w:val="nil"/>
              <w:bottom w:val="nil"/>
              <w:right w:val="nil"/>
            </w:tcBorders>
            <w:shd w:val="clear" w:color="auto" w:fill="auto"/>
            <w:vAlign w:val="bottom"/>
          </w:tcPr>
          <w:p w14:paraId="2CE0ECE3" w14:textId="1215C4BF" w:rsidR="002B721C" w:rsidRPr="001D41EA" w:rsidRDefault="002B721C" w:rsidP="001D41EA">
            <w:pPr>
              <w:spacing w:before="40" w:after="40"/>
              <w:jc w:val="right"/>
              <w:rPr>
                <w:rFonts w:cs="Arial"/>
                <w:sz w:val="18"/>
                <w:szCs w:val="18"/>
              </w:rPr>
            </w:pPr>
            <w:r w:rsidRPr="001D41EA">
              <w:rPr>
                <w:rFonts w:cs="Arial"/>
                <w:sz w:val="18"/>
                <w:szCs w:val="18"/>
              </w:rPr>
              <w:t>958</w:t>
            </w:r>
          </w:p>
        </w:tc>
        <w:tc>
          <w:tcPr>
            <w:tcW w:w="1134" w:type="dxa"/>
            <w:tcBorders>
              <w:top w:val="nil"/>
              <w:left w:val="nil"/>
              <w:bottom w:val="nil"/>
              <w:right w:val="nil"/>
            </w:tcBorders>
            <w:shd w:val="clear" w:color="auto" w:fill="auto"/>
            <w:vAlign w:val="bottom"/>
          </w:tcPr>
          <w:p w14:paraId="4BEC827A" w14:textId="682991A6" w:rsidR="002B721C" w:rsidRPr="001D41EA" w:rsidRDefault="002B721C" w:rsidP="001D41EA">
            <w:pPr>
              <w:spacing w:before="40" w:after="40"/>
              <w:jc w:val="right"/>
              <w:rPr>
                <w:rFonts w:cs="Arial"/>
                <w:sz w:val="18"/>
                <w:szCs w:val="18"/>
              </w:rPr>
            </w:pPr>
            <w:r w:rsidRPr="001D41EA">
              <w:rPr>
                <w:rFonts w:cs="Arial"/>
                <w:sz w:val="18"/>
                <w:szCs w:val="18"/>
              </w:rPr>
              <w:t>58.5</w:t>
            </w:r>
          </w:p>
        </w:tc>
        <w:tc>
          <w:tcPr>
            <w:tcW w:w="992" w:type="dxa"/>
            <w:tcBorders>
              <w:top w:val="nil"/>
              <w:left w:val="nil"/>
              <w:bottom w:val="nil"/>
              <w:right w:val="nil"/>
            </w:tcBorders>
            <w:shd w:val="clear" w:color="auto" w:fill="auto"/>
            <w:vAlign w:val="bottom"/>
          </w:tcPr>
          <w:p w14:paraId="4B565D22" w14:textId="1DC58B56" w:rsidR="002B721C" w:rsidRPr="001D41EA" w:rsidRDefault="002B721C" w:rsidP="001D41EA">
            <w:pPr>
              <w:spacing w:before="40" w:after="40"/>
              <w:jc w:val="right"/>
              <w:rPr>
                <w:rFonts w:cs="Arial"/>
                <w:sz w:val="18"/>
                <w:szCs w:val="18"/>
              </w:rPr>
            </w:pPr>
            <w:r w:rsidRPr="001D41EA">
              <w:rPr>
                <w:rFonts w:cs="Arial"/>
                <w:sz w:val="18"/>
                <w:szCs w:val="18"/>
              </w:rPr>
              <w:t>138,015</w:t>
            </w:r>
          </w:p>
        </w:tc>
        <w:tc>
          <w:tcPr>
            <w:tcW w:w="985" w:type="dxa"/>
            <w:tcBorders>
              <w:top w:val="nil"/>
              <w:left w:val="nil"/>
              <w:bottom w:val="nil"/>
              <w:right w:val="nil"/>
            </w:tcBorders>
            <w:shd w:val="clear" w:color="auto" w:fill="auto"/>
            <w:vAlign w:val="bottom"/>
          </w:tcPr>
          <w:p w14:paraId="4B3FC0E3" w14:textId="3E7F29A6" w:rsidR="002B721C" w:rsidRPr="001D41EA" w:rsidRDefault="002B721C" w:rsidP="001D41EA">
            <w:pPr>
              <w:spacing w:before="40" w:after="40"/>
              <w:jc w:val="right"/>
              <w:rPr>
                <w:rFonts w:cs="Arial"/>
                <w:sz w:val="18"/>
                <w:szCs w:val="18"/>
              </w:rPr>
            </w:pPr>
            <w:r w:rsidRPr="001D41EA">
              <w:rPr>
                <w:rFonts w:cs="Arial"/>
                <w:sz w:val="18"/>
                <w:szCs w:val="18"/>
              </w:rPr>
              <w:t>2,948</w:t>
            </w:r>
          </w:p>
        </w:tc>
        <w:tc>
          <w:tcPr>
            <w:tcW w:w="1247" w:type="dxa"/>
            <w:tcBorders>
              <w:top w:val="nil"/>
              <w:left w:val="nil"/>
              <w:bottom w:val="nil"/>
              <w:right w:val="nil"/>
            </w:tcBorders>
            <w:shd w:val="clear" w:color="auto" w:fill="auto"/>
            <w:vAlign w:val="bottom"/>
          </w:tcPr>
          <w:p w14:paraId="67D78EA4" w14:textId="2F6DA31E" w:rsidR="002B721C" w:rsidRPr="001D41EA" w:rsidRDefault="002B721C" w:rsidP="001D41EA">
            <w:pPr>
              <w:spacing w:before="40" w:after="40"/>
              <w:jc w:val="right"/>
              <w:rPr>
                <w:rFonts w:cs="Arial"/>
                <w:sz w:val="18"/>
                <w:szCs w:val="18"/>
              </w:rPr>
            </w:pPr>
            <w:r w:rsidRPr="001D41EA">
              <w:rPr>
                <w:rFonts w:cs="Arial"/>
                <w:sz w:val="18"/>
                <w:szCs w:val="18"/>
              </w:rPr>
              <w:t>9.7%</w:t>
            </w:r>
          </w:p>
        </w:tc>
      </w:tr>
      <w:tr w:rsidR="002B721C" w:rsidRPr="001D41EA" w14:paraId="0B19519B"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28B4FAF8" w14:textId="77777777" w:rsidR="002B721C" w:rsidRPr="001D41EA" w:rsidRDefault="002B721C" w:rsidP="001D41EA">
            <w:pPr>
              <w:spacing w:before="40" w:after="40"/>
              <w:rPr>
                <w:rFonts w:cs="Arial"/>
                <w:sz w:val="18"/>
                <w:szCs w:val="18"/>
              </w:rPr>
            </w:pPr>
            <w:r w:rsidRPr="001D41EA">
              <w:rPr>
                <w:rFonts w:cs="Arial"/>
                <w:sz w:val="18"/>
                <w:szCs w:val="18"/>
              </w:rPr>
              <w:t xml:space="preserve">Frankston C </w:t>
            </w:r>
          </w:p>
        </w:tc>
        <w:tc>
          <w:tcPr>
            <w:tcW w:w="1255" w:type="dxa"/>
            <w:tcBorders>
              <w:top w:val="nil"/>
              <w:left w:val="single" w:sz="18" w:space="0" w:color="5F497A" w:themeColor="accent4" w:themeShade="BF"/>
              <w:bottom w:val="nil"/>
              <w:right w:val="nil"/>
            </w:tcBorders>
            <w:shd w:val="clear" w:color="auto" w:fill="auto"/>
            <w:vAlign w:val="bottom"/>
          </w:tcPr>
          <w:p w14:paraId="420CC8BF" w14:textId="1C177943" w:rsidR="002B721C" w:rsidRPr="001D41EA" w:rsidRDefault="002B721C" w:rsidP="001D41EA">
            <w:pPr>
              <w:spacing w:before="40" w:after="40"/>
              <w:jc w:val="right"/>
              <w:rPr>
                <w:rFonts w:cs="Arial"/>
                <w:sz w:val="18"/>
                <w:szCs w:val="18"/>
              </w:rPr>
            </w:pPr>
            <w:r w:rsidRPr="001D41EA">
              <w:rPr>
                <w:rFonts w:cs="Arial"/>
                <w:sz w:val="18"/>
                <w:szCs w:val="18"/>
              </w:rPr>
              <w:t>903</w:t>
            </w:r>
          </w:p>
        </w:tc>
        <w:tc>
          <w:tcPr>
            <w:tcW w:w="1418" w:type="dxa"/>
            <w:tcBorders>
              <w:top w:val="nil"/>
              <w:left w:val="nil"/>
              <w:bottom w:val="nil"/>
              <w:right w:val="nil"/>
            </w:tcBorders>
            <w:shd w:val="clear" w:color="auto" w:fill="auto"/>
            <w:vAlign w:val="bottom"/>
          </w:tcPr>
          <w:p w14:paraId="7F7E1A41" w14:textId="4B93BE21" w:rsidR="002B721C" w:rsidRPr="001D41EA" w:rsidRDefault="002B721C" w:rsidP="001D41EA">
            <w:pPr>
              <w:spacing w:before="40" w:after="40"/>
              <w:jc w:val="right"/>
              <w:rPr>
                <w:rFonts w:cs="Arial"/>
                <w:sz w:val="18"/>
                <w:szCs w:val="18"/>
              </w:rPr>
            </w:pPr>
            <w:r w:rsidRPr="001D41EA">
              <w:rPr>
                <w:rFonts w:cs="Arial"/>
                <w:sz w:val="18"/>
                <w:szCs w:val="18"/>
              </w:rPr>
              <w:t>1,001</w:t>
            </w:r>
          </w:p>
        </w:tc>
        <w:tc>
          <w:tcPr>
            <w:tcW w:w="1134" w:type="dxa"/>
            <w:tcBorders>
              <w:top w:val="nil"/>
              <w:left w:val="nil"/>
              <w:bottom w:val="nil"/>
              <w:right w:val="nil"/>
            </w:tcBorders>
            <w:shd w:val="clear" w:color="auto" w:fill="auto"/>
            <w:vAlign w:val="bottom"/>
          </w:tcPr>
          <w:p w14:paraId="23C22BC6" w14:textId="7DF1DA11" w:rsidR="002B721C" w:rsidRPr="001D41EA" w:rsidRDefault="002B721C" w:rsidP="001D41EA">
            <w:pPr>
              <w:spacing w:before="40" w:after="40"/>
              <w:jc w:val="right"/>
              <w:rPr>
                <w:rFonts w:cs="Arial"/>
                <w:sz w:val="18"/>
                <w:szCs w:val="18"/>
              </w:rPr>
            </w:pPr>
            <w:r w:rsidRPr="001D41EA">
              <w:rPr>
                <w:rFonts w:cs="Arial"/>
                <w:sz w:val="18"/>
                <w:szCs w:val="18"/>
              </w:rPr>
              <w:t>11.4</w:t>
            </w:r>
          </w:p>
        </w:tc>
        <w:tc>
          <w:tcPr>
            <w:tcW w:w="992" w:type="dxa"/>
            <w:tcBorders>
              <w:top w:val="nil"/>
              <w:left w:val="nil"/>
              <w:bottom w:val="nil"/>
              <w:right w:val="nil"/>
            </w:tcBorders>
            <w:shd w:val="clear" w:color="auto" w:fill="auto"/>
            <w:vAlign w:val="bottom"/>
          </w:tcPr>
          <w:p w14:paraId="6B15FDA7" w14:textId="4247B576" w:rsidR="002B721C" w:rsidRPr="001D41EA" w:rsidRDefault="002B721C" w:rsidP="001D41EA">
            <w:pPr>
              <w:spacing w:before="40" w:after="40"/>
              <w:jc w:val="right"/>
              <w:rPr>
                <w:rFonts w:cs="Arial"/>
                <w:sz w:val="18"/>
                <w:szCs w:val="18"/>
              </w:rPr>
            </w:pPr>
            <w:r w:rsidRPr="001D41EA">
              <w:rPr>
                <w:rFonts w:cs="Arial"/>
                <w:sz w:val="18"/>
                <w:szCs w:val="18"/>
              </w:rPr>
              <w:t>355,866</w:t>
            </w:r>
          </w:p>
        </w:tc>
        <w:tc>
          <w:tcPr>
            <w:tcW w:w="985" w:type="dxa"/>
            <w:tcBorders>
              <w:top w:val="nil"/>
              <w:left w:val="nil"/>
              <w:bottom w:val="nil"/>
              <w:right w:val="nil"/>
            </w:tcBorders>
            <w:shd w:val="clear" w:color="auto" w:fill="auto"/>
            <w:vAlign w:val="bottom"/>
          </w:tcPr>
          <w:p w14:paraId="45B0EEBF" w14:textId="5409504D" w:rsidR="002B721C" w:rsidRPr="001D41EA" w:rsidRDefault="002B721C" w:rsidP="001D41EA">
            <w:pPr>
              <w:spacing w:before="40" w:after="40"/>
              <w:jc w:val="right"/>
              <w:rPr>
                <w:rFonts w:cs="Arial"/>
                <w:sz w:val="18"/>
                <w:szCs w:val="18"/>
              </w:rPr>
            </w:pPr>
            <w:r w:rsidRPr="001D41EA">
              <w:rPr>
                <w:rFonts w:cs="Arial"/>
                <w:sz w:val="18"/>
                <w:szCs w:val="18"/>
              </w:rPr>
              <w:t>2,509</w:t>
            </w:r>
          </w:p>
        </w:tc>
        <w:tc>
          <w:tcPr>
            <w:tcW w:w="1247" w:type="dxa"/>
            <w:tcBorders>
              <w:top w:val="nil"/>
              <w:left w:val="nil"/>
              <w:bottom w:val="nil"/>
              <w:right w:val="nil"/>
            </w:tcBorders>
            <w:shd w:val="clear" w:color="auto" w:fill="auto"/>
            <w:vAlign w:val="bottom"/>
          </w:tcPr>
          <w:p w14:paraId="2FC3F1A0" w14:textId="045A6B0D" w:rsidR="002B721C" w:rsidRPr="001D41EA" w:rsidRDefault="002B721C" w:rsidP="001D41EA">
            <w:pPr>
              <w:spacing w:before="40" w:after="40"/>
              <w:jc w:val="right"/>
              <w:rPr>
                <w:rFonts w:cs="Arial"/>
                <w:sz w:val="18"/>
                <w:szCs w:val="18"/>
              </w:rPr>
            </w:pPr>
            <w:r w:rsidRPr="001D41EA">
              <w:rPr>
                <w:rFonts w:cs="Arial"/>
                <w:sz w:val="18"/>
                <w:szCs w:val="18"/>
              </w:rPr>
              <w:t>7.9%</w:t>
            </w:r>
          </w:p>
        </w:tc>
      </w:tr>
      <w:tr w:rsidR="002B721C" w:rsidRPr="001D41EA" w14:paraId="6F4C2335"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655C6FEA" w14:textId="77777777" w:rsidR="002B721C" w:rsidRPr="001D41EA" w:rsidRDefault="002B721C" w:rsidP="001D41EA">
            <w:pPr>
              <w:spacing w:before="40" w:after="40"/>
              <w:rPr>
                <w:rFonts w:cs="Arial"/>
                <w:sz w:val="18"/>
                <w:szCs w:val="18"/>
              </w:rPr>
            </w:pPr>
            <w:r w:rsidRPr="001D41EA">
              <w:rPr>
                <w:rFonts w:cs="Arial"/>
                <w:sz w:val="18"/>
                <w:szCs w:val="18"/>
              </w:rPr>
              <w:t xml:space="preserve">Gannawarra S </w:t>
            </w:r>
          </w:p>
        </w:tc>
        <w:tc>
          <w:tcPr>
            <w:tcW w:w="1255" w:type="dxa"/>
            <w:tcBorders>
              <w:top w:val="nil"/>
              <w:left w:val="single" w:sz="18" w:space="0" w:color="5F497A" w:themeColor="accent4" w:themeShade="BF"/>
              <w:bottom w:val="nil"/>
              <w:right w:val="nil"/>
            </w:tcBorders>
            <w:shd w:val="clear" w:color="auto" w:fill="auto"/>
            <w:vAlign w:val="bottom"/>
          </w:tcPr>
          <w:p w14:paraId="263E3E39" w14:textId="1BC9735E" w:rsidR="002B721C" w:rsidRPr="001D41EA" w:rsidRDefault="002B721C" w:rsidP="001D41EA">
            <w:pPr>
              <w:spacing w:before="40" w:after="40"/>
              <w:jc w:val="right"/>
              <w:rPr>
                <w:rFonts w:cs="Arial"/>
                <w:sz w:val="18"/>
                <w:szCs w:val="18"/>
              </w:rPr>
            </w:pPr>
            <w:r w:rsidRPr="001D41EA">
              <w:rPr>
                <w:rFonts w:cs="Arial"/>
                <w:sz w:val="18"/>
                <w:szCs w:val="18"/>
              </w:rPr>
              <w:t>772</w:t>
            </w:r>
          </w:p>
        </w:tc>
        <w:tc>
          <w:tcPr>
            <w:tcW w:w="1418" w:type="dxa"/>
            <w:tcBorders>
              <w:top w:val="nil"/>
              <w:left w:val="nil"/>
              <w:bottom w:val="nil"/>
              <w:right w:val="nil"/>
            </w:tcBorders>
            <w:shd w:val="clear" w:color="auto" w:fill="auto"/>
            <w:vAlign w:val="bottom"/>
          </w:tcPr>
          <w:p w14:paraId="3CE5DEDC" w14:textId="1A5BA5FB" w:rsidR="002B721C" w:rsidRPr="001D41EA" w:rsidRDefault="002B721C" w:rsidP="001D41EA">
            <w:pPr>
              <w:spacing w:before="40" w:after="40"/>
              <w:jc w:val="right"/>
              <w:rPr>
                <w:rFonts w:cs="Arial"/>
                <w:sz w:val="18"/>
                <w:szCs w:val="18"/>
              </w:rPr>
            </w:pPr>
            <w:r w:rsidRPr="001D41EA">
              <w:rPr>
                <w:rFonts w:cs="Arial"/>
                <w:sz w:val="18"/>
                <w:szCs w:val="18"/>
              </w:rPr>
              <w:t>957</w:t>
            </w:r>
          </w:p>
        </w:tc>
        <w:tc>
          <w:tcPr>
            <w:tcW w:w="1134" w:type="dxa"/>
            <w:tcBorders>
              <w:top w:val="nil"/>
              <w:left w:val="nil"/>
              <w:bottom w:val="nil"/>
              <w:right w:val="nil"/>
            </w:tcBorders>
            <w:shd w:val="clear" w:color="auto" w:fill="auto"/>
            <w:vAlign w:val="bottom"/>
          </w:tcPr>
          <w:p w14:paraId="59A362B4" w14:textId="48FB56F0" w:rsidR="002B721C" w:rsidRPr="001D41EA" w:rsidRDefault="002B721C" w:rsidP="001D41EA">
            <w:pPr>
              <w:spacing w:before="40" w:after="40"/>
              <w:jc w:val="right"/>
              <w:rPr>
                <w:rFonts w:cs="Arial"/>
                <w:sz w:val="18"/>
                <w:szCs w:val="18"/>
              </w:rPr>
            </w:pPr>
            <w:r w:rsidRPr="001D41EA">
              <w:rPr>
                <w:rFonts w:cs="Arial"/>
                <w:sz w:val="18"/>
                <w:szCs w:val="18"/>
              </w:rPr>
              <w:t>14.0</w:t>
            </w:r>
          </w:p>
        </w:tc>
        <w:tc>
          <w:tcPr>
            <w:tcW w:w="992" w:type="dxa"/>
            <w:tcBorders>
              <w:top w:val="nil"/>
              <w:left w:val="nil"/>
              <w:bottom w:val="nil"/>
              <w:right w:val="nil"/>
            </w:tcBorders>
            <w:shd w:val="clear" w:color="auto" w:fill="auto"/>
            <w:vAlign w:val="bottom"/>
          </w:tcPr>
          <w:p w14:paraId="6C0E89DA" w14:textId="6D431D56" w:rsidR="002B721C" w:rsidRPr="001D41EA" w:rsidRDefault="002B721C" w:rsidP="001D41EA">
            <w:pPr>
              <w:spacing w:before="40" w:after="40"/>
              <w:jc w:val="right"/>
              <w:rPr>
                <w:rFonts w:cs="Arial"/>
                <w:sz w:val="18"/>
                <w:szCs w:val="18"/>
              </w:rPr>
            </w:pPr>
            <w:r w:rsidRPr="001D41EA">
              <w:rPr>
                <w:rFonts w:cs="Arial"/>
                <w:sz w:val="18"/>
                <w:szCs w:val="18"/>
              </w:rPr>
              <w:t>15,248</w:t>
            </w:r>
          </w:p>
        </w:tc>
        <w:tc>
          <w:tcPr>
            <w:tcW w:w="985" w:type="dxa"/>
            <w:tcBorders>
              <w:top w:val="nil"/>
              <w:left w:val="nil"/>
              <w:bottom w:val="nil"/>
              <w:right w:val="nil"/>
            </w:tcBorders>
            <w:shd w:val="clear" w:color="auto" w:fill="auto"/>
            <w:vAlign w:val="bottom"/>
          </w:tcPr>
          <w:p w14:paraId="04CB50B5" w14:textId="42C95884" w:rsidR="002B721C" w:rsidRPr="001D41EA" w:rsidRDefault="002B721C" w:rsidP="001D41EA">
            <w:pPr>
              <w:spacing w:before="40" w:after="40"/>
              <w:jc w:val="right"/>
              <w:rPr>
                <w:rFonts w:cs="Arial"/>
                <w:sz w:val="18"/>
                <w:szCs w:val="18"/>
              </w:rPr>
            </w:pPr>
            <w:r w:rsidRPr="001D41EA">
              <w:rPr>
                <w:rFonts w:cs="Arial"/>
                <w:sz w:val="18"/>
                <w:szCs w:val="18"/>
              </w:rPr>
              <w:t>1,446</w:t>
            </w:r>
          </w:p>
        </w:tc>
        <w:tc>
          <w:tcPr>
            <w:tcW w:w="1247" w:type="dxa"/>
            <w:tcBorders>
              <w:top w:val="nil"/>
              <w:left w:val="nil"/>
              <w:bottom w:val="nil"/>
              <w:right w:val="nil"/>
            </w:tcBorders>
            <w:shd w:val="clear" w:color="auto" w:fill="auto"/>
            <w:vAlign w:val="bottom"/>
          </w:tcPr>
          <w:p w14:paraId="06E3E16F" w14:textId="41558590" w:rsidR="002B721C" w:rsidRPr="001D41EA" w:rsidRDefault="002B721C" w:rsidP="001D41EA">
            <w:pPr>
              <w:spacing w:before="40" w:after="40"/>
              <w:jc w:val="right"/>
              <w:rPr>
                <w:rFonts w:cs="Arial"/>
                <w:sz w:val="18"/>
                <w:szCs w:val="18"/>
              </w:rPr>
            </w:pPr>
            <w:r w:rsidRPr="001D41EA">
              <w:rPr>
                <w:rFonts w:cs="Arial"/>
                <w:sz w:val="18"/>
                <w:szCs w:val="18"/>
              </w:rPr>
              <w:t>7.9%</w:t>
            </w:r>
          </w:p>
        </w:tc>
      </w:tr>
      <w:tr w:rsidR="002B721C" w:rsidRPr="001D41EA" w14:paraId="4B91E53B"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56EF97D2" w14:textId="77777777" w:rsidR="002B721C" w:rsidRPr="001D41EA" w:rsidRDefault="002B721C" w:rsidP="001D41EA">
            <w:pPr>
              <w:spacing w:before="40" w:after="40"/>
              <w:rPr>
                <w:rFonts w:cs="Arial"/>
                <w:sz w:val="18"/>
                <w:szCs w:val="18"/>
              </w:rPr>
            </w:pPr>
            <w:r w:rsidRPr="001D41EA">
              <w:rPr>
                <w:rFonts w:cs="Arial"/>
                <w:sz w:val="18"/>
                <w:szCs w:val="18"/>
              </w:rPr>
              <w:t xml:space="preserve">Glen Eira C </w:t>
            </w:r>
          </w:p>
        </w:tc>
        <w:tc>
          <w:tcPr>
            <w:tcW w:w="1255" w:type="dxa"/>
            <w:tcBorders>
              <w:top w:val="nil"/>
              <w:left w:val="single" w:sz="18" w:space="0" w:color="5F497A" w:themeColor="accent4" w:themeShade="BF"/>
              <w:bottom w:val="nil"/>
              <w:right w:val="nil"/>
            </w:tcBorders>
            <w:shd w:val="clear" w:color="auto" w:fill="auto"/>
            <w:vAlign w:val="bottom"/>
          </w:tcPr>
          <w:p w14:paraId="40A03EF6" w14:textId="08F1B557" w:rsidR="002B721C" w:rsidRPr="001D41EA" w:rsidRDefault="002B721C" w:rsidP="001D41EA">
            <w:pPr>
              <w:spacing w:before="40" w:after="40"/>
              <w:jc w:val="right"/>
              <w:rPr>
                <w:rFonts w:cs="Arial"/>
                <w:sz w:val="18"/>
                <w:szCs w:val="18"/>
              </w:rPr>
            </w:pPr>
            <w:r w:rsidRPr="001D41EA">
              <w:rPr>
                <w:rFonts w:cs="Arial"/>
                <w:sz w:val="18"/>
                <w:szCs w:val="18"/>
              </w:rPr>
              <w:t>1,128</w:t>
            </w:r>
          </w:p>
        </w:tc>
        <w:tc>
          <w:tcPr>
            <w:tcW w:w="1418" w:type="dxa"/>
            <w:tcBorders>
              <w:top w:val="nil"/>
              <w:left w:val="nil"/>
              <w:bottom w:val="nil"/>
              <w:right w:val="nil"/>
            </w:tcBorders>
            <w:shd w:val="clear" w:color="auto" w:fill="auto"/>
            <w:vAlign w:val="bottom"/>
          </w:tcPr>
          <w:p w14:paraId="5E9C3DE1" w14:textId="3BC67DC8" w:rsidR="002B721C" w:rsidRPr="001D41EA" w:rsidRDefault="002B721C" w:rsidP="001D41EA">
            <w:pPr>
              <w:spacing w:before="40" w:after="40"/>
              <w:jc w:val="right"/>
              <w:rPr>
                <w:rFonts w:cs="Arial"/>
                <w:sz w:val="18"/>
                <w:szCs w:val="18"/>
              </w:rPr>
            </w:pPr>
            <w:r w:rsidRPr="001D41EA">
              <w:rPr>
                <w:rFonts w:cs="Arial"/>
                <w:sz w:val="18"/>
                <w:szCs w:val="18"/>
              </w:rPr>
              <w:t>1,074</w:t>
            </w:r>
          </w:p>
        </w:tc>
        <w:tc>
          <w:tcPr>
            <w:tcW w:w="1134" w:type="dxa"/>
            <w:tcBorders>
              <w:top w:val="nil"/>
              <w:left w:val="nil"/>
              <w:bottom w:val="nil"/>
              <w:right w:val="nil"/>
            </w:tcBorders>
            <w:shd w:val="clear" w:color="auto" w:fill="auto"/>
            <w:vAlign w:val="bottom"/>
          </w:tcPr>
          <w:p w14:paraId="2AFECAC3" w14:textId="48D43DD1" w:rsidR="002B721C" w:rsidRPr="001D41EA" w:rsidRDefault="002B721C" w:rsidP="001D41EA">
            <w:pPr>
              <w:spacing w:before="40" w:after="40"/>
              <w:jc w:val="right"/>
              <w:rPr>
                <w:rFonts w:cs="Arial"/>
                <w:sz w:val="18"/>
                <w:szCs w:val="18"/>
              </w:rPr>
            </w:pPr>
            <w:r w:rsidRPr="001D41EA">
              <w:rPr>
                <w:rFonts w:cs="Arial"/>
                <w:sz w:val="18"/>
                <w:szCs w:val="18"/>
              </w:rPr>
              <w:t>14.3</w:t>
            </w:r>
          </w:p>
        </w:tc>
        <w:tc>
          <w:tcPr>
            <w:tcW w:w="992" w:type="dxa"/>
            <w:tcBorders>
              <w:top w:val="nil"/>
              <w:left w:val="nil"/>
              <w:bottom w:val="nil"/>
              <w:right w:val="nil"/>
            </w:tcBorders>
            <w:shd w:val="clear" w:color="auto" w:fill="auto"/>
            <w:vAlign w:val="bottom"/>
          </w:tcPr>
          <w:p w14:paraId="0BB57582" w14:textId="115464CD" w:rsidR="002B721C" w:rsidRPr="001D41EA" w:rsidRDefault="002B721C" w:rsidP="001D41EA">
            <w:pPr>
              <w:spacing w:before="40" w:after="40"/>
              <w:jc w:val="right"/>
              <w:rPr>
                <w:rFonts w:cs="Arial"/>
                <w:sz w:val="18"/>
                <w:szCs w:val="18"/>
              </w:rPr>
            </w:pPr>
            <w:r w:rsidRPr="001D41EA">
              <w:rPr>
                <w:rFonts w:cs="Arial"/>
                <w:sz w:val="18"/>
                <w:szCs w:val="18"/>
              </w:rPr>
              <w:t>973,461</w:t>
            </w:r>
          </w:p>
        </w:tc>
        <w:tc>
          <w:tcPr>
            <w:tcW w:w="985" w:type="dxa"/>
            <w:tcBorders>
              <w:top w:val="nil"/>
              <w:left w:val="nil"/>
              <w:bottom w:val="nil"/>
              <w:right w:val="nil"/>
            </w:tcBorders>
            <w:shd w:val="clear" w:color="auto" w:fill="auto"/>
            <w:vAlign w:val="bottom"/>
          </w:tcPr>
          <w:p w14:paraId="4B69A776" w14:textId="6DABD932" w:rsidR="002B721C" w:rsidRPr="001D41EA" w:rsidRDefault="002B721C" w:rsidP="001D41EA">
            <w:pPr>
              <w:spacing w:before="40" w:after="40"/>
              <w:jc w:val="right"/>
              <w:rPr>
                <w:rFonts w:cs="Arial"/>
                <w:sz w:val="18"/>
                <w:szCs w:val="18"/>
              </w:rPr>
            </w:pPr>
            <w:r w:rsidRPr="001D41EA">
              <w:rPr>
                <w:rFonts w:cs="Arial"/>
                <w:sz w:val="18"/>
                <w:szCs w:val="18"/>
              </w:rPr>
              <w:t>6,327</w:t>
            </w:r>
          </w:p>
        </w:tc>
        <w:tc>
          <w:tcPr>
            <w:tcW w:w="1247" w:type="dxa"/>
            <w:tcBorders>
              <w:top w:val="nil"/>
              <w:left w:val="nil"/>
              <w:bottom w:val="nil"/>
              <w:right w:val="nil"/>
            </w:tcBorders>
            <w:shd w:val="clear" w:color="auto" w:fill="auto"/>
            <w:vAlign w:val="bottom"/>
          </w:tcPr>
          <w:p w14:paraId="2F4A2C4A" w14:textId="74B8535D" w:rsidR="002B721C" w:rsidRPr="001D41EA" w:rsidRDefault="002B721C" w:rsidP="001D41EA">
            <w:pPr>
              <w:spacing w:before="40" w:after="40"/>
              <w:jc w:val="right"/>
              <w:rPr>
                <w:rFonts w:cs="Arial"/>
                <w:sz w:val="18"/>
                <w:szCs w:val="18"/>
              </w:rPr>
            </w:pPr>
            <w:r w:rsidRPr="001D41EA">
              <w:rPr>
                <w:rFonts w:cs="Arial"/>
                <w:sz w:val="18"/>
                <w:szCs w:val="18"/>
              </w:rPr>
              <w:t>4.7%</w:t>
            </w:r>
          </w:p>
        </w:tc>
      </w:tr>
      <w:tr w:rsidR="002B721C" w:rsidRPr="001D41EA" w14:paraId="4393F8FD"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3713D3D0" w14:textId="77777777" w:rsidR="002B721C" w:rsidRPr="001D41EA" w:rsidRDefault="002B721C" w:rsidP="001D41EA">
            <w:pPr>
              <w:spacing w:before="40" w:after="40"/>
              <w:rPr>
                <w:rFonts w:cs="Arial"/>
                <w:sz w:val="18"/>
                <w:szCs w:val="18"/>
              </w:rPr>
            </w:pPr>
            <w:r w:rsidRPr="001D41EA">
              <w:rPr>
                <w:rFonts w:cs="Arial"/>
                <w:sz w:val="18"/>
                <w:szCs w:val="18"/>
              </w:rPr>
              <w:t xml:space="preserve">Glenelg S </w:t>
            </w:r>
          </w:p>
        </w:tc>
        <w:tc>
          <w:tcPr>
            <w:tcW w:w="1255" w:type="dxa"/>
            <w:tcBorders>
              <w:top w:val="nil"/>
              <w:left w:val="single" w:sz="18" w:space="0" w:color="5F497A" w:themeColor="accent4" w:themeShade="BF"/>
              <w:bottom w:val="nil"/>
              <w:right w:val="nil"/>
            </w:tcBorders>
            <w:shd w:val="clear" w:color="auto" w:fill="auto"/>
            <w:vAlign w:val="bottom"/>
          </w:tcPr>
          <w:p w14:paraId="0EB1A211" w14:textId="5E630EE5" w:rsidR="002B721C" w:rsidRPr="001D41EA" w:rsidRDefault="002B721C" w:rsidP="001D41EA">
            <w:pPr>
              <w:spacing w:before="40" w:after="40"/>
              <w:jc w:val="right"/>
              <w:rPr>
                <w:rFonts w:cs="Arial"/>
                <w:sz w:val="18"/>
                <w:szCs w:val="18"/>
              </w:rPr>
            </w:pPr>
            <w:r w:rsidRPr="001D41EA">
              <w:rPr>
                <w:rFonts w:cs="Arial"/>
                <w:sz w:val="18"/>
                <w:szCs w:val="18"/>
              </w:rPr>
              <w:t>788</w:t>
            </w:r>
          </w:p>
        </w:tc>
        <w:tc>
          <w:tcPr>
            <w:tcW w:w="1418" w:type="dxa"/>
            <w:tcBorders>
              <w:top w:val="nil"/>
              <w:left w:val="nil"/>
              <w:bottom w:val="nil"/>
              <w:right w:val="nil"/>
            </w:tcBorders>
            <w:shd w:val="clear" w:color="auto" w:fill="auto"/>
            <w:vAlign w:val="bottom"/>
          </w:tcPr>
          <w:p w14:paraId="4FA30EF0" w14:textId="193F47A0" w:rsidR="002B721C" w:rsidRPr="001D41EA" w:rsidRDefault="002B721C" w:rsidP="001D41EA">
            <w:pPr>
              <w:spacing w:before="40" w:after="40"/>
              <w:jc w:val="right"/>
              <w:rPr>
                <w:rFonts w:cs="Arial"/>
                <w:sz w:val="18"/>
                <w:szCs w:val="18"/>
              </w:rPr>
            </w:pPr>
            <w:r w:rsidRPr="001D41EA">
              <w:rPr>
                <w:rFonts w:cs="Arial"/>
                <w:sz w:val="18"/>
                <w:szCs w:val="18"/>
              </w:rPr>
              <w:t>947</w:t>
            </w:r>
          </w:p>
        </w:tc>
        <w:tc>
          <w:tcPr>
            <w:tcW w:w="1134" w:type="dxa"/>
            <w:tcBorders>
              <w:top w:val="nil"/>
              <w:left w:val="nil"/>
              <w:bottom w:val="nil"/>
              <w:right w:val="nil"/>
            </w:tcBorders>
            <w:shd w:val="clear" w:color="auto" w:fill="auto"/>
            <w:vAlign w:val="bottom"/>
          </w:tcPr>
          <w:p w14:paraId="3D80DFD5" w14:textId="2BAB9633" w:rsidR="002B721C" w:rsidRPr="001D41EA" w:rsidRDefault="002B721C" w:rsidP="001D41EA">
            <w:pPr>
              <w:spacing w:before="40" w:after="40"/>
              <w:jc w:val="right"/>
              <w:rPr>
                <w:rFonts w:cs="Arial"/>
                <w:sz w:val="18"/>
                <w:szCs w:val="18"/>
              </w:rPr>
            </w:pPr>
            <w:r w:rsidRPr="001D41EA">
              <w:rPr>
                <w:rFonts w:cs="Arial"/>
                <w:sz w:val="18"/>
                <w:szCs w:val="18"/>
              </w:rPr>
              <w:t>31.9</w:t>
            </w:r>
          </w:p>
        </w:tc>
        <w:tc>
          <w:tcPr>
            <w:tcW w:w="992" w:type="dxa"/>
            <w:tcBorders>
              <w:top w:val="nil"/>
              <w:left w:val="nil"/>
              <w:bottom w:val="nil"/>
              <w:right w:val="nil"/>
            </w:tcBorders>
            <w:shd w:val="clear" w:color="auto" w:fill="auto"/>
            <w:vAlign w:val="bottom"/>
          </w:tcPr>
          <w:p w14:paraId="1417D5A2" w14:textId="70ADEA88" w:rsidR="002B721C" w:rsidRPr="001D41EA" w:rsidRDefault="002B721C" w:rsidP="001D41EA">
            <w:pPr>
              <w:spacing w:before="40" w:after="40"/>
              <w:jc w:val="right"/>
              <w:rPr>
                <w:rFonts w:cs="Arial"/>
                <w:sz w:val="18"/>
                <w:szCs w:val="18"/>
              </w:rPr>
            </w:pPr>
            <w:r w:rsidRPr="001D41EA">
              <w:rPr>
                <w:rFonts w:cs="Arial"/>
                <w:sz w:val="18"/>
                <w:szCs w:val="18"/>
              </w:rPr>
              <w:t>25,403</w:t>
            </w:r>
          </w:p>
        </w:tc>
        <w:tc>
          <w:tcPr>
            <w:tcW w:w="985" w:type="dxa"/>
            <w:tcBorders>
              <w:top w:val="nil"/>
              <w:left w:val="nil"/>
              <w:bottom w:val="nil"/>
              <w:right w:val="nil"/>
            </w:tcBorders>
            <w:shd w:val="clear" w:color="auto" w:fill="auto"/>
            <w:vAlign w:val="bottom"/>
          </w:tcPr>
          <w:p w14:paraId="716B66DD" w14:textId="5B0B5299" w:rsidR="002B721C" w:rsidRPr="001D41EA" w:rsidRDefault="002B721C" w:rsidP="001D41EA">
            <w:pPr>
              <w:spacing w:before="40" w:after="40"/>
              <w:jc w:val="right"/>
              <w:rPr>
                <w:rFonts w:cs="Arial"/>
                <w:sz w:val="18"/>
                <w:szCs w:val="18"/>
              </w:rPr>
            </w:pPr>
            <w:r w:rsidRPr="001D41EA">
              <w:rPr>
                <w:rFonts w:cs="Arial"/>
                <w:sz w:val="18"/>
                <w:szCs w:val="18"/>
              </w:rPr>
              <w:t>1,292</w:t>
            </w:r>
          </w:p>
        </w:tc>
        <w:tc>
          <w:tcPr>
            <w:tcW w:w="1247" w:type="dxa"/>
            <w:tcBorders>
              <w:top w:val="nil"/>
              <w:left w:val="nil"/>
              <w:bottom w:val="nil"/>
              <w:right w:val="nil"/>
            </w:tcBorders>
            <w:shd w:val="clear" w:color="auto" w:fill="auto"/>
            <w:vAlign w:val="bottom"/>
          </w:tcPr>
          <w:p w14:paraId="40562346" w14:textId="5C6CA6B3" w:rsidR="002B721C" w:rsidRPr="001D41EA" w:rsidRDefault="002B721C" w:rsidP="001D41EA">
            <w:pPr>
              <w:spacing w:before="40" w:after="40"/>
              <w:jc w:val="right"/>
              <w:rPr>
                <w:rFonts w:cs="Arial"/>
                <w:sz w:val="18"/>
                <w:szCs w:val="18"/>
              </w:rPr>
            </w:pPr>
            <w:r w:rsidRPr="001D41EA">
              <w:rPr>
                <w:rFonts w:cs="Arial"/>
                <w:sz w:val="18"/>
                <w:szCs w:val="18"/>
              </w:rPr>
              <w:t>8.0%</w:t>
            </w:r>
          </w:p>
        </w:tc>
      </w:tr>
      <w:tr w:rsidR="002B721C" w:rsidRPr="001D41EA" w14:paraId="2420073D"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1EC3E378" w14:textId="77777777" w:rsidR="002B721C" w:rsidRPr="001D41EA" w:rsidRDefault="002B721C" w:rsidP="001D41EA">
            <w:pPr>
              <w:spacing w:before="40" w:after="40"/>
              <w:rPr>
                <w:rFonts w:cs="Arial"/>
                <w:sz w:val="18"/>
                <w:szCs w:val="18"/>
              </w:rPr>
            </w:pPr>
            <w:r w:rsidRPr="001D41EA">
              <w:rPr>
                <w:rFonts w:cs="Arial"/>
                <w:sz w:val="18"/>
                <w:szCs w:val="18"/>
              </w:rPr>
              <w:t xml:space="preserve">Golden Plains S </w:t>
            </w:r>
          </w:p>
        </w:tc>
        <w:tc>
          <w:tcPr>
            <w:tcW w:w="1255" w:type="dxa"/>
            <w:tcBorders>
              <w:top w:val="nil"/>
              <w:left w:val="single" w:sz="18" w:space="0" w:color="5F497A" w:themeColor="accent4" w:themeShade="BF"/>
              <w:bottom w:val="nil"/>
              <w:right w:val="nil"/>
            </w:tcBorders>
            <w:shd w:val="clear" w:color="auto" w:fill="auto"/>
            <w:vAlign w:val="bottom"/>
          </w:tcPr>
          <w:p w14:paraId="5BFA391A" w14:textId="4F44092D" w:rsidR="002B721C" w:rsidRPr="001D41EA" w:rsidRDefault="002B721C" w:rsidP="001D41EA">
            <w:pPr>
              <w:spacing w:before="40" w:after="40"/>
              <w:jc w:val="right"/>
              <w:rPr>
                <w:rFonts w:cs="Arial"/>
                <w:sz w:val="18"/>
                <w:szCs w:val="18"/>
              </w:rPr>
            </w:pPr>
            <w:r w:rsidRPr="001D41EA">
              <w:rPr>
                <w:rFonts w:cs="Arial"/>
                <w:sz w:val="18"/>
                <w:szCs w:val="18"/>
              </w:rPr>
              <w:t>936</w:t>
            </w:r>
          </w:p>
        </w:tc>
        <w:tc>
          <w:tcPr>
            <w:tcW w:w="1418" w:type="dxa"/>
            <w:tcBorders>
              <w:top w:val="nil"/>
              <w:left w:val="nil"/>
              <w:bottom w:val="nil"/>
              <w:right w:val="nil"/>
            </w:tcBorders>
            <w:shd w:val="clear" w:color="auto" w:fill="auto"/>
            <w:vAlign w:val="bottom"/>
          </w:tcPr>
          <w:p w14:paraId="296D715D" w14:textId="0020EFA0" w:rsidR="002B721C" w:rsidRPr="001D41EA" w:rsidRDefault="002B721C" w:rsidP="001D41EA">
            <w:pPr>
              <w:spacing w:before="40" w:after="40"/>
              <w:jc w:val="right"/>
              <w:rPr>
                <w:rFonts w:cs="Arial"/>
                <w:sz w:val="18"/>
                <w:szCs w:val="18"/>
              </w:rPr>
            </w:pPr>
            <w:r w:rsidRPr="001D41EA">
              <w:rPr>
                <w:rFonts w:cs="Arial"/>
                <w:sz w:val="18"/>
                <w:szCs w:val="18"/>
              </w:rPr>
              <w:t>1,035</w:t>
            </w:r>
          </w:p>
        </w:tc>
        <w:tc>
          <w:tcPr>
            <w:tcW w:w="1134" w:type="dxa"/>
            <w:tcBorders>
              <w:top w:val="nil"/>
              <w:left w:val="nil"/>
              <w:bottom w:val="nil"/>
              <w:right w:val="nil"/>
            </w:tcBorders>
            <w:shd w:val="clear" w:color="auto" w:fill="auto"/>
            <w:vAlign w:val="bottom"/>
          </w:tcPr>
          <w:p w14:paraId="66A2CB3C" w14:textId="0A956C4C" w:rsidR="002B721C" w:rsidRPr="001D41EA" w:rsidRDefault="002B721C" w:rsidP="001D41EA">
            <w:pPr>
              <w:spacing w:before="40" w:after="40"/>
              <w:jc w:val="right"/>
              <w:rPr>
                <w:rFonts w:cs="Arial"/>
                <w:sz w:val="18"/>
                <w:szCs w:val="18"/>
              </w:rPr>
            </w:pPr>
            <w:r w:rsidRPr="001D41EA">
              <w:rPr>
                <w:rFonts w:cs="Arial"/>
                <w:sz w:val="18"/>
                <w:szCs w:val="18"/>
              </w:rPr>
              <w:t>11.5</w:t>
            </w:r>
          </w:p>
        </w:tc>
        <w:tc>
          <w:tcPr>
            <w:tcW w:w="992" w:type="dxa"/>
            <w:tcBorders>
              <w:top w:val="nil"/>
              <w:left w:val="nil"/>
              <w:bottom w:val="nil"/>
              <w:right w:val="nil"/>
            </w:tcBorders>
            <w:shd w:val="clear" w:color="auto" w:fill="auto"/>
            <w:vAlign w:val="bottom"/>
          </w:tcPr>
          <w:p w14:paraId="0E5B9D75" w14:textId="216868AB" w:rsidR="002B721C" w:rsidRPr="001D41EA" w:rsidRDefault="002B721C" w:rsidP="001D41EA">
            <w:pPr>
              <w:spacing w:before="40" w:after="40"/>
              <w:jc w:val="right"/>
              <w:rPr>
                <w:rFonts w:cs="Arial"/>
                <w:sz w:val="18"/>
                <w:szCs w:val="18"/>
              </w:rPr>
            </w:pPr>
            <w:r w:rsidRPr="001D41EA">
              <w:rPr>
                <w:rFonts w:cs="Arial"/>
                <w:sz w:val="18"/>
                <w:szCs w:val="18"/>
              </w:rPr>
              <w:t>92,038</w:t>
            </w:r>
          </w:p>
        </w:tc>
        <w:tc>
          <w:tcPr>
            <w:tcW w:w="985" w:type="dxa"/>
            <w:tcBorders>
              <w:top w:val="nil"/>
              <w:left w:val="nil"/>
              <w:bottom w:val="nil"/>
              <w:right w:val="nil"/>
            </w:tcBorders>
            <w:shd w:val="clear" w:color="auto" w:fill="auto"/>
            <w:vAlign w:val="bottom"/>
          </w:tcPr>
          <w:p w14:paraId="6BB4511E" w14:textId="3D842DCC" w:rsidR="002B721C" w:rsidRPr="001D41EA" w:rsidRDefault="002B721C" w:rsidP="001D41EA">
            <w:pPr>
              <w:spacing w:before="40" w:after="40"/>
              <w:jc w:val="right"/>
              <w:rPr>
                <w:rFonts w:cs="Arial"/>
                <w:sz w:val="18"/>
                <w:szCs w:val="18"/>
              </w:rPr>
            </w:pPr>
            <w:r w:rsidRPr="001D41EA">
              <w:rPr>
                <w:rFonts w:cs="Arial"/>
                <w:sz w:val="18"/>
                <w:szCs w:val="18"/>
              </w:rPr>
              <w:t>3,981</w:t>
            </w:r>
          </w:p>
        </w:tc>
        <w:tc>
          <w:tcPr>
            <w:tcW w:w="1247" w:type="dxa"/>
            <w:tcBorders>
              <w:top w:val="nil"/>
              <w:left w:val="nil"/>
              <w:bottom w:val="nil"/>
              <w:right w:val="nil"/>
            </w:tcBorders>
            <w:shd w:val="clear" w:color="auto" w:fill="auto"/>
            <w:vAlign w:val="bottom"/>
          </w:tcPr>
          <w:p w14:paraId="7F98CDE7" w14:textId="12DDB2DB" w:rsidR="002B721C" w:rsidRPr="001D41EA" w:rsidRDefault="002B721C" w:rsidP="001D41EA">
            <w:pPr>
              <w:spacing w:before="40" w:after="40"/>
              <w:jc w:val="right"/>
              <w:rPr>
                <w:rFonts w:cs="Arial"/>
                <w:sz w:val="18"/>
                <w:szCs w:val="18"/>
              </w:rPr>
            </w:pPr>
            <w:r w:rsidRPr="001D41EA">
              <w:rPr>
                <w:rFonts w:cs="Arial"/>
                <w:sz w:val="18"/>
                <w:szCs w:val="18"/>
              </w:rPr>
              <w:t>1.4%</w:t>
            </w:r>
          </w:p>
        </w:tc>
      </w:tr>
      <w:tr w:rsidR="002B721C" w:rsidRPr="001D41EA" w14:paraId="3A1133E3"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7BC26D6C" w14:textId="77777777" w:rsidR="002B721C" w:rsidRPr="001D41EA" w:rsidRDefault="002B721C" w:rsidP="001D41EA">
            <w:pPr>
              <w:spacing w:before="40" w:after="40"/>
              <w:rPr>
                <w:rFonts w:cs="Arial"/>
                <w:sz w:val="18"/>
                <w:szCs w:val="18"/>
              </w:rPr>
            </w:pPr>
            <w:r w:rsidRPr="001D41EA">
              <w:rPr>
                <w:rFonts w:cs="Arial"/>
                <w:sz w:val="18"/>
                <w:szCs w:val="18"/>
              </w:rPr>
              <w:t xml:space="preserve">Greater Bendigo C </w:t>
            </w:r>
          </w:p>
        </w:tc>
        <w:tc>
          <w:tcPr>
            <w:tcW w:w="1255" w:type="dxa"/>
            <w:tcBorders>
              <w:top w:val="nil"/>
              <w:left w:val="single" w:sz="18" w:space="0" w:color="5F497A" w:themeColor="accent4" w:themeShade="BF"/>
              <w:bottom w:val="nil"/>
              <w:right w:val="nil"/>
            </w:tcBorders>
            <w:shd w:val="clear" w:color="auto" w:fill="auto"/>
            <w:vAlign w:val="bottom"/>
          </w:tcPr>
          <w:p w14:paraId="6CECC643" w14:textId="5E233F24" w:rsidR="002B721C" w:rsidRPr="001D41EA" w:rsidRDefault="002B721C" w:rsidP="001D41EA">
            <w:pPr>
              <w:spacing w:before="40" w:after="40"/>
              <w:jc w:val="right"/>
              <w:rPr>
                <w:rFonts w:cs="Arial"/>
                <w:sz w:val="18"/>
                <w:szCs w:val="18"/>
              </w:rPr>
            </w:pPr>
            <w:r w:rsidRPr="001D41EA">
              <w:rPr>
                <w:rFonts w:cs="Arial"/>
                <w:sz w:val="18"/>
                <w:szCs w:val="18"/>
              </w:rPr>
              <w:t>867</w:t>
            </w:r>
          </w:p>
        </w:tc>
        <w:tc>
          <w:tcPr>
            <w:tcW w:w="1418" w:type="dxa"/>
            <w:tcBorders>
              <w:top w:val="nil"/>
              <w:left w:val="nil"/>
              <w:bottom w:val="nil"/>
              <w:right w:val="nil"/>
            </w:tcBorders>
            <w:shd w:val="clear" w:color="auto" w:fill="auto"/>
            <w:vAlign w:val="bottom"/>
          </w:tcPr>
          <w:p w14:paraId="527EE642" w14:textId="093A4224" w:rsidR="002B721C" w:rsidRPr="001D41EA" w:rsidRDefault="002B721C" w:rsidP="001D41EA">
            <w:pPr>
              <w:spacing w:before="40" w:after="40"/>
              <w:jc w:val="right"/>
              <w:rPr>
                <w:rFonts w:cs="Arial"/>
                <w:sz w:val="18"/>
                <w:szCs w:val="18"/>
              </w:rPr>
            </w:pPr>
            <w:r w:rsidRPr="001D41EA">
              <w:rPr>
                <w:rFonts w:cs="Arial"/>
                <w:sz w:val="18"/>
                <w:szCs w:val="18"/>
              </w:rPr>
              <w:t>981</w:t>
            </w:r>
          </w:p>
        </w:tc>
        <w:tc>
          <w:tcPr>
            <w:tcW w:w="1134" w:type="dxa"/>
            <w:tcBorders>
              <w:top w:val="nil"/>
              <w:left w:val="nil"/>
              <w:bottom w:val="nil"/>
              <w:right w:val="nil"/>
            </w:tcBorders>
            <w:shd w:val="clear" w:color="auto" w:fill="auto"/>
            <w:vAlign w:val="bottom"/>
          </w:tcPr>
          <w:p w14:paraId="69545DCC" w14:textId="1B080E6F" w:rsidR="002B721C" w:rsidRPr="001D41EA" w:rsidRDefault="002B721C" w:rsidP="001D41EA">
            <w:pPr>
              <w:spacing w:before="40" w:after="40"/>
              <w:jc w:val="right"/>
              <w:rPr>
                <w:rFonts w:cs="Arial"/>
                <w:sz w:val="18"/>
                <w:szCs w:val="18"/>
              </w:rPr>
            </w:pPr>
            <w:r w:rsidRPr="001D41EA">
              <w:rPr>
                <w:rFonts w:cs="Arial"/>
                <w:sz w:val="18"/>
                <w:szCs w:val="18"/>
              </w:rPr>
              <w:t>30.9</w:t>
            </w:r>
          </w:p>
        </w:tc>
        <w:tc>
          <w:tcPr>
            <w:tcW w:w="992" w:type="dxa"/>
            <w:tcBorders>
              <w:top w:val="nil"/>
              <w:left w:val="nil"/>
              <w:bottom w:val="nil"/>
              <w:right w:val="nil"/>
            </w:tcBorders>
            <w:shd w:val="clear" w:color="auto" w:fill="auto"/>
            <w:vAlign w:val="bottom"/>
          </w:tcPr>
          <w:p w14:paraId="649F438F" w14:textId="1F1E8A5F" w:rsidR="002B721C" w:rsidRPr="001D41EA" w:rsidRDefault="002B721C" w:rsidP="001D41EA">
            <w:pPr>
              <w:spacing w:before="40" w:after="40"/>
              <w:jc w:val="right"/>
              <w:rPr>
                <w:rFonts w:cs="Arial"/>
                <w:sz w:val="18"/>
                <w:szCs w:val="18"/>
              </w:rPr>
            </w:pPr>
            <w:r w:rsidRPr="001D41EA">
              <w:rPr>
                <w:rFonts w:cs="Arial"/>
                <w:sz w:val="18"/>
                <w:szCs w:val="18"/>
              </w:rPr>
              <w:t>398,263</w:t>
            </w:r>
          </w:p>
        </w:tc>
        <w:tc>
          <w:tcPr>
            <w:tcW w:w="985" w:type="dxa"/>
            <w:tcBorders>
              <w:top w:val="nil"/>
              <w:left w:val="nil"/>
              <w:bottom w:val="nil"/>
              <w:right w:val="nil"/>
            </w:tcBorders>
            <w:shd w:val="clear" w:color="auto" w:fill="auto"/>
            <w:vAlign w:val="bottom"/>
          </w:tcPr>
          <w:p w14:paraId="4CEFA6BB" w14:textId="71AF3460" w:rsidR="002B721C" w:rsidRPr="001D41EA" w:rsidRDefault="002B721C" w:rsidP="001D41EA">
            <w:pPr>
              <w:spacing w:before="40" w:after="40"/>
              <w:jc w:val="right"/>
              <w:rPr>
                <w:rFonts w:cs="Arial"/>
                <w:sz w:val="18"/>
                <w:szCs w:val="18"/>
              </w:rPr>
            </w:pPr>
            <w:r w:rsidRPr="001D41EA">
              <w:rPr>
                <w:rFonts w:cs="Arial"/>
                <w:sz w:val="18"/>
                <w:szCs w:val="18"/>
              </w:rPr>
              <w:t>3,432</w:t>
            </w:r>
          </w:p>
        </w:tc>
        <w:tc>
          <w:tcPr>
            <w:tcW w:w="1247" w:type="dxa"/>
            <w:tcBorders>
              <w:top w:val="nil"/>
              <w:left w:val="nil"/>
              <w:bottom w:val="nil"/>
              <w:right w:val="nil"/>
            </w:tcBorders>
            <w:shd w:val="clear" w:color="auto" w:fill="auto"/>
            <w:vAlign w:val="bottom"/>
          </w:tcPr>
          <w:p w14:paraId="20DC2F59" w14:textId="69794D38" w:rsidR="002B721C" w:rsidRPr="001D41EA" w:rsidRDefault="002B721C" w:rsidP="001D41EA">
            <w:pPr>
              <w:spacing w:before="40" w:after="40"/>
              <w:jc w:val="right"/>
              <w:rPr>
                <w:rFonts w:cs="Arial"/>
                <w:sz w:val="18"/>
                <w:szCs w:val="18"/>
              </w:rPr>
            </w:pPr>
            <w:r w:rsidRPr="001D41EA">
              <w:rPr>
                <w:rFonts w:cs="Arial"/>
                <w:sz w:val="18"/>
                <w:szCs w:val="18"/>
              </w:rPr>
              <w:t>9.4%</w:t>
            </w:r>
          </w:p>
        </w:tc>
      </w:tr>
      <w:tr w:rsidR="002B721C" w:rsidRPr="001D41EA" w14:paraId="47DAE436"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41005B0A" w14:textId="77777777" w:rsidR="002B721C" w:rsidRPr="001D41EA" w:rsidRDefault="002B721C" w:rsidP="001D41EA">
            <w:pPr>
              <w:spacing w:before="40" w:after="40"/>
              <w:rPr>
                <w:rFonts w:cs="Arial"/>
                <w:sz w:val="18"/>
                <w:szCs w:val="18"/>
              </w:rPr>
            </w:pPr>
            <w:r w:rsidRPr="001D41EA">
              <w:rPr>
                <w:rFonts w:cs="Arial"/>
                <w:sz w:val="18"/>
                <w:szCs w:val="18"/>
              </w:rPr>
              <w:t xml:space="preserve">Greater Dandenong C </w:t>
            </w:r>
          </w:p>
        </w:tc>
        <w:tc>
          <w:tcPr>
            <w:tcW w:w="1255" w:type="dxa"/>
            <w:tcBorders>
              <w:top w:val="nil"/>
              <w:left w:val="single" w:sz="18" w:space="0" w:color="5F497A" w:themeColor="accent4" w:themeShade="BF"/>
              <w:bottom w:val="nil"/>
              <w:right w:val="nil"/>
            </w:tcBorders>
            <w:shd w:val="clear" w:color="auto" w:fill="auto"/>
            <w:vAlign w:val="bottom"/>
          </w:tcPr>
          <w:p w14:paraId="45B164BA" w14:textId="6D945168" w:rsidR="002B721C" w:rsidRPr="001D41EA" w:rsidRDefault="002B721C" w:rsidP="001D41EA">
            <w:pPr>
              <w:spacing w:before="40" w:after="40"/>
              <w:jc w:val="right"/>
              <w:rPr>
                <w:rFonts w:cs="Arial"/>
                <w:sz w:val="18"/>
                <w:szCs w:val="18"/>
              </w:rPr>
            </w:pPr>
            <w:r w:rsidRPr="001D41EA">
              <w:rPr>
                <w:rFonts w:cs="Arial"/>
                <w:sz w:val="18"/>
                <w:szCs w:val="18"/>
              </w:rPr>
              <w:t>886</w:t>
            </w:r>
          </w:p>
        </w:tc>
        <w:tc>
          <w:tcPr>
            <w:tcW w:w="1418" w:type="dxa"/>
            <w:tcBorders>
              <w:top w:val="nil"/>
              <w:left w:val="nil"/>
              <w:bottom w:val="nil"/>
              <w:right w:val="nil"/>
            </w:tcBorders>
            <w:shd w:val="clear" w:color="auto" w:fill="auto"/>
            <w:vAlign w:val="bottom"/>
          </w:tcPr>
          <w:p w14:paraId="41720218" w14:textId="6E03EA7B" w:rsidR="002B721C" w:rsidRPr="001D41EA" w:rsidRDefault="002B721C" w:rsidP="001D41EA">
            <w:pPr>
              <w:spacing w:before="40" w:after="40"/>
              <w:jc w:val="right"/>
              <w:rPr>
                <w:rFonts w:cs="Arial"/>
                <w:sz w:val="18"/>
                <w:szCs w:val="18"/>
              </w:rPr>
            </w:pPr>
            <w:r w:rsidRPr="001D41EA">
              <w:rPr>
                <w:rFonts w:cs="Arial"/>
                <w:sz w:val="18"/>
                <w:szCs w:val="18"/>
              </w:rPr>
              <w:t>896</w:t>
            </w:r>
          </w:p>
        </w:tc>
        <w:tc>
          <w:tcPr>
            <w:tcW w:w="1134" w:type="dxa"/>
            <w:tcBorders>
              <w:top w:val="nil"/>
              <w:left w:val="nil"/>
              <w:bottom w:val="nil"/>
              <w:right w:val="nil"/>
            </w:tcBorders>
            <w:shd w:val="clear" w:color="auto" w:fill="auto"/>
            <w:vAlign w:val="bottom"/>
          </w:tcPr>
          <w:p w14:paraId="4DC73A58" w14:textId="27475983" w:rsidR="002B721C" w:rsidRPr="001D41EA" w:rsidRDefault="002B721C" w:rsidP="001D41EA">
            <w:pPr>
              <w:spacing w:before="40" w:after="40"/>
              <w:jc w:val="right"/>
              <w:rPr>
                <w:rFonts w:cs="Arial"/>
                <w:sz w:val="18"/>
                <w:szCs w:val="18"/>
              </w:rPr>
            </w:pPr>
            <w:r w:rsidRPr="001D41EA">
              <w:rPr>
                <w:rFonts w:cs="Arial"/>
                <w:sz w:val="18"/>
                <w:szCs w:val="18"/>
              </w:rPr>
              <w:t>12.7</w:t>
            </w:r>
          </w:p>
        </w:tc>
        <w:tc>
          <w:tcPr>
            <w:tcW w:w="992" w:type="dxa"/>
            <w:tcBorders>
              <w:top w:val="nil"/>
              <w:left w:val="nil"/>
              <w:bottom w:val="nil"/>
              <w:right w:val="nil"/>
            </w:tcBorders>
            <w:shd w:val="clear" w:color="auto" w:fill="auto"/>
            <w:vAlign w:val="bottom"/>
          </w:tcPr>
          <w:p w14:paraId="6F1623D3" w14:textId="7741AE8F" w:rsidR="002B721C" w:rsidRPr="001D41EA" w:rsidRDefault="002B721C" w:rsidP="001D41EA">
            <w:pPr>
              <w:spacing w:before="40" w:after="40"/>
              <w:jc w:val="right"/>
              <w:rPr>
                <w:rFonts w:cs="Arial"/>
                <w:sz w:val="18"/>
                <w:szCs w:val="18"/>
              </w:rPr>
            </w:pPr>
            <w:r w:rsidRPr="001D41EA">
              <w:rPr>
                <w:rFonts w:cs="Arial"/>
                <w:sz w:val="18"/>
                <w:szCs w:val="18"/>
              </w:rPr>
              <w:t>693,069</w:t>
            </w:r>
          </w:p>
        </w:tc>
        <w:tc>
          <w:tcPr>
            <w:tcW w:w="985" w:type="dxa"/>
            <w:tcBorders>
              <w:top w:val="nil"/>
              <w:left w:val="nil"/>
              <w:bottom w:val="nil"/>
              <w:right w:val="nil"/>
            </w:tcBorders>
            <w:shd w:val="clear" w:color="auto" w:fill="auto"/>
            <w:vAlign w:val="bottom"/>
          </w:tcPr>
          <w:p w14:paraId="3F693809" w14:textId="2DD29817" w:rsidR="002B721C" w:rsidRPr="001D41EA" w:rsidRDefault="002B721C" w:rsidP="001D41EA">
            <w:pPr>
              <w:spacing w:before="40" w:after="40"/>
              <w:jc w:val="right"/>
              <w:rPr>
                <w:rFonts w:cs="Arial"/>
                <w:sz w:val="18"/>
                <w:szCs w:val="18"/>
              </w:rPr>
            </w:pPr>
            <w:r w:rsidRPr="001D41EA">
              <w:rPr>
                <w:rFonts w:cs="Arial"/>
                <w:sz w:val="18"/>
                <w:szCs w:val="18"/>
              </w:rPr>
              <w:t>4,173</w:t>
            </w:r>
          </w:p>
        </w:tc>
        <w:tc>
          <w:tcPr>
            <w:tcW w:w="1247" w:type="dxa"/>
            <w:tcBorders>
              <w:top w:val="nil"/>
              <w:left w:val="nil"/>
              <w:bottom w:val="nil"/>
              <w:right w:val="nil"/>
            </w:tcBorders>
            <w:shd w:val="clear" w:color="auto" w:fill="auto"/>
            <w:vAlign w:val="bottom"/>
          </w:tcPr>
          <w:p w14:paraId="429777C7" w14:textId="032172D1" w:rsidR="002B721C" w:rsidRPr="001D41EA" w:rsidRDefault="002B721C" w:rsidP="001D41EA">
            <w:pPr>
              <w:spacing w:before="40" w:after="40"/>
              <w:jc w:val="right"/>
              <w:rPr>
                <w:rFonts w:cs="Arial"/>
                <w:sz w:val="18"/>
                <w:szCs w:val="18"/>
              </w:rPr>
            </w:pPr>
            <w:r w:rsidRPr="001D41EA">
              <w:rPr>
                <w:rFonts w:cs="Arial"/>
                <w:sz w:val="18"/>
                <w:szCs w:val="18"/>
              </w:rPr>
              <w:t>8.2%</w:t>
            </w:r>
          </w:p>
        </w:tc>
      </w:tr>
      <w:tr w:rsidR="002B721C" w:rsidRPr="001D41EA" w14:paraId="02AC38BD"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3371BA11" w14:textId="77777777" w:rsidR="002B721C" w:rsidRPr="001D41EA" w:rsidRDefault="002B721C" w:rsidP="001D41EA">
            <w:pPr>
              <w:spacing w:before="40" w:after="40"/>
              <w:rPr>
                <w:rFonts w:cs="Arial"/>
                <w:sz w:val="18"/>
                <w:szCs w:val="18"/>
              </w:rPr>
            </w:pPr>
            <w:r w:rsidRPr="001D41EA">
              <w:rPr>
                <w:rFonts w:cs="Arial"/>
                <w:sz w:val="18"/>
                <w:szCs w:val="18"/>
              </w:rPr>
              <w:t xml:space="preserve">Greater Geelong C </w:t>
            </w:r>
          </w:p>
        </w:tc>
        <w:tc>
          <w:tcPr>
            <w:tcW w:w="1255" w:type="dxa"/>
            <w:tcBorders>
              <w:top w:val="nil"/>
              <w:left w:val="single" w:sz="18" w:space="0" w:color="5F497A" w:themeColor="accent4" w:themeShade="BF"/>
              <w:bottom w:val="nil"/>
              <w:right w:val="nil"/>
            </w:tcBorders>
            <w:shd w:val="clear" w:color="auto" w:fill="auto"/>
            <w:vAlign w:val="bottom"/>
          </w:tcPr>
          <w:p w14:paraId="2CFBFED6" w14:textId="353E61D7" w:rsidR="002B721C" w:rsidRPr="001D41EA" w:rsidRDefault="002B721C" w:rsidP="001D41EA">
            <w:pPr>
              <w:spacing w:before="40" w:after="40"/>
              <w:jc w:val="right"/>
              <w:rPr>
                <w:rFonts w:cs="Arial"/>
                <w:sz w:val="18"/>
                <w:szCs w:val="18"/>
              </w:rPr>
            </w:pPr>
            <w:r w:rsidRPr="001D41EA">
              <w:rPr>
                <w:rFonts w:cs="Arial"/>
                <w:sz w:val="18"/>
                <w:szCs w:val="18"/>
              </w:rPr>
              <w:t>860</w:t>
            </w:r>
          </w:p>
        </w:tc>
        <w:tc>
          <w:tcPr>
            <w:tcW w:w="1418" w:type="dxa"/>
            <w:tcBorders>
              <w:top w:val="nil"/>
              <w:left w:val="nil"/>
              <w:bottom w:val="nil"/>
              <w:right w:val="nil"/>
            </w:tcBorders>
            <w:shd w:val="clear" w:color="auto" w:fill="auto"/>
            <w:vAlign w:val="bottom"/>
          </w:tcPr>
          <w:p w14:paraId="5A6C175B" w14:textId="353C4B80" w:rsidR="002B721C" w:rsidRPr="001D41EA" w:rsidRDefault="002B721C" w:rsidP="001D41EA">
            <w:pPr>
              <w:spacing w:before="40" w:after="40"/>
              <w:jc w:val="right"/>
              <w:rPr>
                <w:rFonts w:cs="Arial"/>
                <w:sz w:val="18"/>
                <w:szCs w:val="18"/>
              </w:rPr>
            </w:pPr>
            <w:r w:rsidRPr="001D41EA">
              <w:rPr>
                <w:rFonts w:cs="Arial"/>
                <w:sz w:val="18"/>
                <w:szCs w:val="18"/>
              </w:rPr>
              <w:t>994</w:t>
            </w:r>
          </w:p>
        </w:tc>
        <w:tc>
          <w:tcPr>
            <w:tcW w:w="1134" w:type="dxa"/>
            <w:tcBorders>
              <w:top w:val="nil"/>
              <w:left w:val="nil"/>
              <w:bottom w:val="nil"/>
              <w:right w:val="nil"/>
            </w:tcBorders>
            <w:shd w:val="clear" w:color="auto" w:fill="auto"/>
            <w:vAlign w:val="bottom"/>
          </w:tcPr>
          <w:p w14:paraId="7FC8E010" w14:textId="65294889" w:rsidR="002B721C" w:rsidRPr="001D41EA" w:rsidRDefault="002B721C" w:rsidP="001D41EA">
            <w:pPr>
              <w:spacing w:before="40" w:after="40"/>
              <w:jc w:val="right"/>
              <w:rPr>
                <w:rFonts w:cs="Arial"/>
                <w:sz w:val="18"/>
                <w:szCs w:val="18"/>
              </w:rPr>
            </w:pPr>
            <w:r w:rsidRPr="001D41EA">
              <w:rPr>
                <w:rFonts w:cs="Arial"/>
                <w:sz w:val="18"/>
                <w:szCs w:val="18"/>
              </w:rPr>
              <w:t>26.6</w:t>
            </w:r>
          </w:p>
        </w:tc>
        <w:tc>
          <w:tcPr>
            <w:tcW w:w="992" w:type="dxa"/>
            <w:tcBorders>
              <w:top w:val="nil"/>
              <w:left w:val="nil"/>
              <w:bottom w:val="nil"/>
              <w:right w:val="nil"/>
            </w:tcBorders>
            <w:shd w:val="clear" w:color="auto" w:fill="auto"/>
            <w:vAlign w:val="bottom"/>
          </w:tcPr>
          <w:p w14:paraId="5848B621" w14:textId="7BD0A434" w:rsidR="002B721C" w:rsidRPr="001D41EA" w:rsidRDefault="002B721C" w:rsidP="001D41EA">
            <w:pPr>
              <w:spacing w:before="40" w:after="40"/>
              <w:jc w:val="right"/>
              <w:rPr>
                <w:rFonts w:cs="Arial"/>
                <w:sz w:val="18"/>
                <w:szCs w:val="18"/>
              </w:rPr>
            </w:pPr>
            <w:r w:rsidRPr="001D41EA">
              <w:rPr>
                <w:rFonts w:cs="Arial"/>
                <w:sz w:val="18"/>
                <w:szCs w:val="18"/>
              </w:rPr>
              <w:t>1,452,814</w:t>
            </w:r>
          </w:p>
        </w:tc>
        <w:tc>
          <w:tcPr>
            <w:tcW w:w="985" w:type="dxa"/>
            <w:tcBorders>
              <w:top w:val="nil"/>
              <w:left w:val="nil"/>
              <w:bottom w:val="nil"/>
              <w:right w:val="nil"/>
            </w:tcBorders>
            <w:shd w:val="clear" w:color="auto" w:fill="auto"/>
            <w:vAlign w:val="bottom"/>
          </w:tcPr>
          <w:p w14:paraId="787FF49D" w14:textId="0E386970" w:rsidR="002B721C" w:rsidRPr="001D41EA" w:rsidRDefault="002B721C" w:rsidP="001D41EA">
            <w:pPr>
              <w:spacing w:before="40" w:after="40"/>
              <w:jc w:val="right"/>
              <w:rPr>
                <w:rFonts w:cs="Arial"/>
                <w:sz w:val="18"/>
                <w:szCs w:val="18"/>
              </w:rPr>
            </w:pPr>
            <w:r w:rsidRPr="001D41EA">
              <w:rPr>
                <w:rFonts w:cs="Arial"/>
                <w:sz w:val="18"/>
                <w:szCs w:val="18"/>
              </w:rPr>
              <w:t>5,760</w:t>
            </w:r>
          </w:p>
        </w:tc>
        <w:tc>
          <w:tcPr>
            <w:tcW w:w="1247" w:type="dxa"/>
            <w:tcBorders>
              <w:top w:val="nil"/>
              <w:left w:val="nil"/>
              <w:bottom w:val="nil"/>
              <w:right w:val="nil"/>
            </w:tcBorders>
            <w:shd w:val="clear" w:color="auto" w:fill="auto"/>
            <w:vAlign w:val="bottom"/>
          </w:tcPr>
          <w:p w14:paraId="5FD82910" w14:textId="25319B9F" w:rsidR="002B721C" w:rsidRPr="001D41EA" w:rsidRDefault="002B721C" w:rsidP="001D41EA">
            <w:pPr>
              <w:spacing w:before="40" w:after="40"/>
              <w:jc w:val="right"/>
              <w:rPr>
                <w:rFonts w:cs="Arial"/>
                <w:sz w:val="18"/>
                <w:szCs w:val="18"/>
              </w:rPr>
            </w:pPr>
            <w:r w:rsidRPr="001D41EA">
              <w:rPr>
                <w:rFonts w:cs="Arial"/>
                <w:sz w:val="18"/>
                <w:szCs w:val="18"/>
              </w:rPr>
              <w:t>9.5%</w:t>
            </w:r>
          </w:p>
        </w:tc>
      </w:tr>
      <w:tr w:rsidR="002B721C" w:rsidRPr="001D41EA" w14:paraId="262C878D"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240949AF" w14:textId="77777777" w:rsidR="002B721C" w:rsidRPr="001D41EA" w:rsidRDefault="002B721C" w:rsidP="001D41EA">
            <w:pPr>
              <w:spacing w:before="40" w:after="40"/>
              <w:rPr>
                <w:rFonts w:cs="Arial"/>
                <w:sz w:val="18"/>
                <w:szCs w:val="18"/>
              </w:rPr>
            </w:pPr>
            <w:r w:rsidRPr="001D41EA">
              <w:rPr>
                <w:rFonts w:cs="Arial"/>
                <w:sz w:val="18"/>
                <w:szCs w:val="18"/>
              </w:rPr>
              <w:t xml:space="preserve">Greater Shepparton C </w:t>
            </w:r>
          </w:p>
        </w:tc>
        <w:tc>
          <w:tcPr>
            <w:tcW w:w="1255" w:type="dxa"/>
            <w:tcBorders>
              <w:top w:val="nil"/>
              <w:left w:val="single" w:sz="18" w:space="0" w:color="5F497A" w:themeColor="accent4" w:themeShade="BF"/>
              <w:bottom w:val="nil"/>
              <w:right w:val="nil"/>
            </w:tcBorders>
            <w:shd w:val="clear" w:color="auto" w:fill="auto"/>
            <w:vAlign w:val="bottom"/>
          </w:tcPr>
          <w:p w14:paraId="135C79B3" w14:textId="7B2BE37F" w:rsidR="002B721C" w:rsidRPr="001D41EA" w:rsidRDefault="002B721C" w:rsidP="001D41EA">
            <w:pPr>
              <w:spacing w:before="40" w:after="40"/>
              <w:jc w:val="right"/>
              <w:rPr>
                <w:rFonts w:cs="Arial"/>
                <w:sz w:val="18"/>
                <w:szCs w:val="18"/>
              </w:rPr>
            </w:pPr>
            <w:r w:rsidRPr="001D41EA">
              <w:rPr>
                <w:rFonts w:cs="Arial"/>
                <w:sz w:val="18"/>
                <w:szCs w:val="18"/>
              </w:rPr>
              <w:t>845</w:t>
            </w:r>
          </w:p>
        </w:tc>
        <w:tc>
          <w:tcPr>
            <w:tcW w:w="1418" w:type="dxa"/>
            <w:tcBorders>
              <w:top w:val="nil"/>
              <w:left w:val="nil"/>
              <w:bottom w:val="nil"/>
              <w:right w:val="nil"/>
            </w:tcBorders>
            <w:shd w:val="clear" w:color="auto" w:fill="auto"/>
            <w:vAlign w:val="bottom"/>
          </w:tcPr>
          <w:p w14:paraId="5DB57834" w14:textId="5DC37CF1" w:rsidR="002B721C" w:rsidRPr="001D41EA" w:rsidRDefault="002B721C" w:rsidP="001D41EA">
            <w:pPr>
              <w:spacing w:before="40" w:after="40"/>
              <w:jc w:val="right"/>
              <w:rPr>
                <w:rFonts w:cs="Arial"/>
                <w:sz w:val="18"/>
                <w:szCs w:val="18"/>
              </w:rPr>
            </w:pPr>
            <w:r w:rsidRPr="001D41EA">
              <w:rPr>
                <w:rFonts w:cs="Arial"/>
                <w:sz w:val="18"/>
                <w:szCs w:val="18"/>
              </w:rPr>
              <w:t>948</w:t>
            </w:r>
          </w:p>
        </w:tc>
        <w:tc>
          <w:tcPr>
            <w:tcW w:w="1134" w:type="dxa"/>
            <w:tcBorders>
              <w:top w:val="nil"/>
              <w:left w:val="nil"/>
              <w:bottom w:val="nil"/>
              <w:right w:val="nil"/>
            </w:tcBorders>
            <w:shd w:val="clear" w:color="auto" w:fill="auto"/>
            <w:vAlign w:val="bottom"/>
          </w:tcPr>
          <w:p w14:paraId="15D15B3A" w14:textId="2F9D027E" w:rsidR="002B721C" w:rsidRPr="001D41EA" w:rsidRDefault="002B721C" w:rsidP="001D41EA">
            <w:pPr>
              <w:spacing w:before="40" w:after="40"/>
              <w:jc w:val="right"/>
              <w:rPr>
                <w:rFonts w:cs="Arial"/>
                <w:sz w:val="18"/>
                <w:szCs w:val="18"/>
              </w:rPr>
            </w:pPr>
            <w:r w:rsidRPr="001D41EA">
              <w:rPr>
                <w:rFonts w:cs="Arial"/>
                <w:sz w:val="18"/>
                <w:szCs w:val="18"/>
              </w:rPr>
              <w:t>27.3</w:t>
            </w:r>
          </w:p>
        </w:tc>
        <w:tc>
          <w:tcPr>
            <w:tcW w:w="992" w:type="dxa"/>
            <w:tcBorders>
              <w:top w:val="nil"/>
              <w:left w:val="nil"/>
              <w:bottom w:val="nil"/>
              <w:right w:val="nil"/>
            </w:tcBorders>
            <w:shd w:val="clear" w:color="auto" w:fill="auto"/>
            <w:vAlign w:val="bottom"/>
          </w:tcPr>
          <w:p w14:paraId="1BA58EF9" w14:textId="3575668E" w:rsidR="002B721C" w:rsidRPr="001D41EA" w:rsidRDefault="002B721C" w:rsidP="001D41EA">
            <w:pPr>
              <w:spacing w:before="40" w:after="40"/>
              <w:jc w:val="right"/>
              <w:rPr>
                <w:rFonts w:cs="Arial"/>
                <w:sz w:val="18"/>
                <w:szCs w:val="18"/>
              </w:rPr>
            </w:pPr>
            <w:r w:rsidRPr="001D41EA">
              <w:rPr>
                <w:rFonts w:cs="Arial"/>
                <w:sz w:val="18"/>
                <w:szCs w:val="18"/>
              </w:rPr>
              <w:t>242,979</w:t>
            </w:r>
          </w:p>
        </w:tc>
        <w:tc>
          <w:tcPr>
            <w:tcW w:w="985" w:type="dxa"/>
            <w:tcBorders>
              <w:top w:val="nil"/>
              <w:left w:val="nil"/>
              <w:bottom w:val="nil"/>
              <w:right w:val="nil"/>
            </w:tcBorders>
            <w:shd w:val="clear" w:color="auto" w:fill="auto"/>
            <w:vAlign w:val="bottom"/>
          </w:tcPr>
          <w:p w14:paraId="396AA433" w14:textId="73EC13B3" w:rsidR="002B721C" w:rsidRPr="001D41EA" w:rsidRDefault="002B721C" w:rsidP="001D41EA">
            <w:pPr>
              <w:spacing w:before="40" w:after="40"/>
              <w:jc w:val="right"/>
              <w:rPr>
                <w:rFonts w:cs="Arial"/>
                <w:sz w:val="18"/>
                <w:szCs w:val="18"/>
              </w:rPr>
            </w:pPr>
            <w:r w:rsidRPr="001D41EA">
              <w:rPr>
                <w:rFonts w:cs="Arial"/>
                <w:sz w:val="18"/>
                <w:szCs w:val="18"/>
              </w:rPr>
              <w:t>3,681</w:t>
            </w:r>
          </w:p>
        </w:tc>
        <w:tc>
          <w:tcPr>
            <w:tcW w:w="1247" w:type="dxa"/>
            <w:tcBorders>
              <w:top w:val="nil"/>
              <w:left w:val="nil"/>
              <w:bottom w:val="nil"/>
              <w:right w:val="nil"/>
            </w:tcBorders>
            <w:shd w:val="clear" w:color="auto" w:fill="auto"/>
            <w:vAlign w:val="bottom"/>
          </w:tcPr>
          <w:p w14:paraId="4B2A05C7" w14:textId="42BCAA1F" w:rsidR="002B721C" w:rsidRPr="001D41EA" w:rsidRDefault="002B721C" w:rsidP="001D41EA">
            <w:pPr>
              <w:spacing w:before="40" w:after="40"/>
              <w:jc w:val="right"/>
              <w:rPr>
                <w:rFonts w:cs="Arial"/>
                <w:sz w:val="18"/>
                <w:szCs w:val="18"/>
              </w:rPr>
            </w:pPr>
            <w:r w:rsidRPr="001D41EA">
              <w:rPr>
                <w:rFonts w:cs="Arial"/>
                <w:sz w:val="18"/>
                <w:szCs w:val="18"/>
              </w:rPr>
              <w:t>10.6%</w:t>
            </w:r>
          </w:p>
        </w:tc>
      </w:tr>
      <w:tr w:rsidR="002B721C" w:rsidRPr="001D41EA" w14:paraId="52DCECC8"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1558E10D" w14:textId="77777777" w:rsidR="002B721C" w:rsidRPr="001D41EA" w:rsidRDefault="002B721C" w:rsidP="001D41EA">
            <w:pPr>
              <w:spacing w:before="40" w:after="40"/>
              <w:rPr>
                <w:rFonts w:cs="Arial"/>
                <w:sz w:val="18"/>
                <w:szCs w:val="18"/>
              </w:rPr>
            </w:pPr>
            <w:r w:rsidRPr="001D41EA">
              <w:rPr>
                <w:rFonts w:cs="Arial"/>
                <w:sz w:val="18"/>
                <w:szCs w:val="18"/>
              </w:rPr>
              <w:t xml:space="preserve">Hepburn S </w:t>
            </w:r>
          </w:p>
        </w:tc>
        <w:tc>
          <w:tcPr>
            <w:tcW w:w="1255" w:type="dxa"/>
            <w:tcBorders>
              <w:top w:val="nil"/>
              <w:left w:val="single" w:sz="18" w:space="0" w:color="5F497A" w:themeColor="accent4" w:themeShade="BF"/>
              <w:bottom w:val="nil"/>
              <w:right w:val="nil"/>
            </w:tcBorders>
            <w:shd w:val="clear" w:color="auto" w:fill="auto"/>
            <w:vAlign w:val="bottom"/>
          </w:tcPr>
          <w:p w14:paraId="0DBE6560" w14:textId="5AD736E9" w:rsidR="002B721C" w:rsidRPr="001D41EA" w:rsidRDefault="002B721C" w:rsidP="001D41EA">
            <w:pPr>
              <w:spacing w:before="40" w:after="40"/>
              <w:jc w:val="right"/>
              <w:rPr>
                <w:rFonts w:cs="Arial"/>
                <w:sz w:val="18"/>
                <w:szCs w:val="18"/>
              </w:rPr>
            </w:pPr>
            <w:r w:rsidRPr="001D41EA">
              <w:rPr>
                <w:rFonts w:cs="Arial"/>
                <w:sz w:val="18"/>
                <w:szCs w:val="18"/>
              </w:rPr>
              <w:t>836</w:t>
            </w:r>
          </w:p>
        </w:tc>
        <w:tc>
          <w:tcPr>
            <w:tcW w:w="1418" w:type="dxa"/>
            <w:tcBorders>
              <w:top w:val="nil"/>
              <w:left w:val="nil"/>
              <w:bottom w:val="nil"/>
              <w:right w:val="nil"/>
            </w:tcBorders>
            <w:shd w:val="clear" w:color="auto" w:fill="auto"/>
            <w:vAlign w:val="bottom"/>
          </w:tcPr>
          <w:p w14:paraId="5C43C973" w14:textId="0D6265B5" w:rsidR="002B721C" w:rsidRPr="001D41EA" w:rsidRDefault="002B721C" w:rsidP="001D41EA">
            <w:pPr>
              <w:spacing w:before="40" w:after="40"/>
              <w:jc w:val="right"/>
              <w:rPr>
                <w:rFonts w:cs="Arial"/>
                <w:sz w:val="18"/>
                <w:szCs w:val="18"/>
              </w:rPr>
            </w:pPr>
            <w:r w:rsidRPr="001D41EA">
              <w:rPr>
                <w:rFonts w:cs="Arial"/>
                <w:sz w:val="18"/>
                <w:szCs w:val="18"/>
              </w:rPr>
              <w:t>995</w:t>
            </w:r>
          </w:p>
        </w:tc>
        <w:tc>
          <w:tcPr>
            <w:tcW w:w="1134" w:type="dxa"/>
            <w:tcBorders>
              <w:top w:val="nil"/>
              <w:left w:val="nil"/>
              <w:bottom w:val="nil"/>
              <w:right w:val="nil"/>
            </w:tcBorders>
            <w:shd w:val="clear" w:color="auto" w:fill="auto"/>
            <w:vAlign w:val="bottom"/>
          </w:tcPr>
          <w:p w14:paraId="2F9415BF" w14:textId="12E49B29" w:rsidR="002B721C" w:rsidRPr="001D41EA" w:rsidRDefault="002B721C" w:rsidP="001D41EA">
            <w:pPr>
              <w:spacing w:before="40" w:after="40"/>
              <w:jc w:val="right"/>
              <w:rPr>
                <w:rFonts w:cs="Arial"/>
                <w:sz w:val="18"/>
                <w:szCs w:val="18"/>
              </w:rPr>
            </w:pPr>
            <w:r w:rsidRPr="001D41EA">
              <w:rPr>
                <w:rFonts w:cs="Arial"/>
                <w:sz w:val="18"/>
                <w:szCs w:val="18"/>
              </w:rPr>
              <w:t>95.2</w:t>
            </w:r>
          </w:p>
        </w:tc>
        <w:tc>
          <w:tcPr>
            <w:tcW w:w="992" w:type="dxa"/>
            <w:tcBorders>
              <w:top w:val="nil"/>
              <w:left w:val="nil"/>
              <w:bottom w:val="nil"/>
              <w:right w:val="nil"/>
            </w:tcBorders>
            <w:shd w:val="clear" w:color="auto" w:fill="auto"/>
            <w:vAlign w:val="bottom"/>
          </w:tcPr>
          <w:p w14:paraId="5F13197A" w14:textId="67213588" w:rsidR="002B721C" w:rsidRPr="001D41EA" w:rsidRDefault="002B721C" w:rsidP="001D41EA">
            <w:pPr>
              <w:spacing w:before="40" w:after="40"/>
              <w:jc w:val="right"/>
              <w:rPr>
                <w:rFonts w:cs="Arial"/>
                <w:sz w:val="18"/>
                <w:szCs w:val="18"/>
              </w:rPr>
            </w:pPr>
            <w:r w:rsidRPr="001D41EA">
              <w:rPr>
                <w:rFonts w:cs="Arial"/>
                <w:sz w:val="18"/>
                <w:szCs w:val="18"/>
              </w:rPr>
              <w:t>59,125</w:t>
            </w:r>
          </w:p>
        </w:tc>
        <w:tc>
          <w:tcPr>
            <w:tcW w:w="985" w:type="dxa"/>
            <w:tcBorders>
              <w:top w:val="nil"/>
              <w:left w:val="nil"/>
              <w:bottom w:val="nil"/>
              <w:right w:val="nil"/>
            </w:tcBorders>
            <w:shd w:val="clear" w:color="auto" w:fill="auto"/>
            <w:vAlign w:val="bottom"/>
          </w:tcPr>
          <w:p w14:paraId="7AC53608" w14:textId="000F80BF" w:rsidR="002B721C" w:rsidRPr="001D41EA" w:rsidRDefault="002B721C" w:rsidP="001D41EA">
            <w:pPr>
              <w:spacing w:before="40" w:after="40"/>
              <w:jc w:val="right"/>
              <w:rPr>
                <w:rFonts w:cs="Arial"/>
                <w:sz w:val="18"/>
                <w:szCs w:val="18"/>
              </w:rPr>
            </w:pPr>
            <w:r w:rsidRPr="001D41EA">
              <w:rPr>
                <w:rFonts w:cs="Arial"/>
                <w:sz w:val="18"/>
                <w:szCs w:val="18"/>
              </w:rPr>
              <w:t>3,739</w:t>
            </w:r>
          </w:p>
        </w:tc>
        <w:tc>
          <w:tcPr>
            <w:tcW w:w="1247" w:type="dxa"/>
            <w:tcBorders>
              <w:top w:val="nil"/>
              <w:left w:val="nil"/>
              <w:bottom w:val="nil"/>
              <w:right w:val="nil"/>
            </w:tcBorders>
            <w:shd w:val="clear" w:color="auto" w:fill="auto"/>
            <w:vAlign w:val="bottom"/>
          </w:tcPr>
          <w:p w14:paraId="7AB6D381" w14:textId="6DCAC6CC" w:rsidR="002B721C" w:rsidRPr="001D41EA" w:rsidRDefault="002B721C" w:rsidP="001D41EA">
            <w:pPr>
              <w:spacing w:before="40" w:after="40"/>
              <w:jc w:val="right"/>
              <w:rPr>
                <w:rFonts w:cs="Arial"/>
                <w:sz w:val="18"/>
                <w:szCs w:val="18"/>
              </w:rPr>
            </w:pPr>
            <w:r w:rsidRPr="001D41EA">
              <w:rPr>
                <w:rFonts w:cs="Arial"/>
                <w:sz w:val="18"/>
                <w:szCs w:val="18"/>
              </w:rPr>
              <w:t>12.8%</w:t>
            </w:r>
          </w:p>
        </w:tc>
      </w:tr>
      <w:tr w:rsidR="002B721C" w:rsidRPr="001D41EA" w14:paraId="4CBC7C86"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0074844F" w14:textId="77777777" w:rsidR="002B721C" w:rsidRPr="001D41EA" w:rsidRDefault="002B721C" w:rsidP="001D41EA">
            <w:pPr>
              <w:spacing w:before="40" w:after="40"/>
              <w:rPr>
                <w:rFonts w:cs="Arial"/>
                <w:sz w:val="18"/>
                <w:szCs w:val="18"/>
              </w:rPr>
            </w:pPr>
            <w:r w:rsidRPr="001D41EA">
              <w:rPr>
                <w:rFonts w:cs="Arial"/>
                <w:sz w:val="18"/>
                <w:szCs w:val="18"/>
              </w:rPr>
              <w:t xml:space="preserve">Hindmarsh S </w:t>
            </w:r>
          </w:p>
        </w:tc>
        <w:tc>
          <w:tcPr>
            <w:tcW w:w="1255" w:type="dxa"/>
            <w:tcBorders>
              <w:top w:val="nil"/>
              <w:left w:val="single" w:sz="18" w:space="0" w:color="5F497A" w:themeColor="accent4" w:themeShade="BF"/>
              <w:bottom w:val="nil"/>
              <w:right w:val="nil"/>
            </w:tcBorders>
            <w:shd w:val="clear" w:color="auto" w:fill="auto"/>
            <w:vAlign w:val="bottom"/>
          </w:tcPr>
          <w:p w14:paraId="11048166" w14:textId="17396EC8" w:rsidR="002B721C" w:rsidRPr="001D41EA" w:rsidRDefault="002B721C" w:rsidP="001D41EA">
            <w:pPr>
              <w:spacing w:before="40" w:after="40"/>
              <w:jc w:val="right"/>
              <w:rPr>
                <w:rFonts w:cs="Arial"/>
                <w:sz w:val="18"/>
                <w:szCs w:val="18"/>
              </w:rPr>
            </w:pPr>
            <w:r w:rsidRPr="001D41EA">
              <w:rPr>
                <w:rFonts w:cs="Arial"/>
                <w:sz w:val="18"/>
                <w:szCs w:val="18"/>
              </w:rPr>
              <w:t>757</w:t>
            </w:r>
          </w:p>
        </w:tc>
        <w:tc>
          <w:tcPr>
            <w:tcW w:w="1418" w:type="dxa"/>
            <w:tcBorders>
              <w:top w:val="nil"/>
              <w:left w:val="nil"/>
              <w:bottom w:val="nil"/>
              <w:right w:val="nil"/>
            </w:tcBorders>
            <w:shd w:val="clear" w:color="auto" w:fill="auto"/>
            <w:vAlign w:val="bottom"/>
          </w:tcPr>
          <w:p w14:paraId="74E4F075" w14:textId="115BBAB6" w:rsidR="002B721C" w:rsidRPr="001D41EA" w:rsidRDefault="002B721C" w:rsidP="001D41EA">
            <w:pPr>
              <w:spacing w:before="40" w:after="40"/>
              <w:jc w:val="right"/>
              <w:rPr>
                <w:rFonts w:cs="Arial"/>
                <w:sz w:val="18"/>
                <w:szCs w:val="18"/>
              </w:rPr>
            </w:pPr>
            <w:r w:rsidRPr="001D41EA">
              <w:rPr>
                <w:rFonts w:cs="Arial"/>
                <w:sz w:val="18"/>
                <w:szCs w:val="18"/>
              </w:rPr>
              <w:t>945</w:t>
            </w:r>
          </w:p>
        </w:tc>
        <w:tc>
          <w:tcPr>
            <w:tcW w:w="1134" w:type="dxa"/>
            <w:tcBorders>
              <w:top w:val="nil"/>
              <w:left w:val="nil"/>
              <w:bottom w:val="nil"/>
              <w:right w:val="nil"/>
            </w:tcBorders>
            <w:shd w:val="clear" w:color="auto" w:fill="auto"/>
            <w:vAlign w:val="bottom"/>
          </w:tcPr>
          <w:p w14:paraId="0DE9AC02" w14:textId="0716999C" w:rsidR="002B721C" w:rsidRPr="001D41EA" w:rsidRDefault="002B721C" w:rsidP="001D41EA">
            <w:pPr>
              <w:spacing w:before="40" w:after="40"/>
              <w:jc w:val="right"/>
              <w:rPr>
                <w:rFonts w:cs="Arial"/>
                <w:sz w:val="18"/>
                <w:szCs w:val="18"/>
              </w:rPr>
            </w:pPr>
            <w:r w:rsidRPr="001D41EA">
              <w:rPr>
                <w:rFonts w:cs="Arial"/>
                <w:sz w:val="18"/>
                <w:szCs w:val="18"/>
              </w:rPr>
              <w:t>19.8</w:t>
            </w:r>
          </w:p>
        </w:tc>
        <w:tc>
          <w:tcPr>
            <w:tcW w:w="992" w:type="dxa"/>
            <w:tcBorders>
              <w:top w:val="nil"/>
              <w:left w:val="nil"/>
              <w:bottom w:val="nil"/>
              <w:right w:val="nil"/>
            </w:tcBorders>
            <w:shd w:val="clear" w:color="auto" w:fill="auto"/>
            <w:vAlign w:val="bottom"/>
          </w:tcPr>
          <w:p w14:paraId="58788F62" w14:textId="090F9FB6" w:rsidR="002B721C" w:rsidRPr="001D41EA" w:rsidRDefault="002B721C" w:rsidP="001D41EA">
            <w:pPr>
              <w:spacing w:before="40" w:after="40"/>
              <w:jc w:val="right"/>
              <w:rPr>
                <w:rFonts w:cs="Arial"/>
                <w:sz w:val="18"/>
                <w:szCs w:val="18"/>
              </w:rPr>
            </w:pPr>
            <w:r w:rsidRPr="001D41EA">
              <w:rPr>
                <w:rFonts w:cs="Arial"/>
                <w:sz w:val="18"/>
                <w:szCs w:val="18"/>
              </w:rPr>
              <w:t>5,769</w:t>
            </w:r>
          </w:p>
        </w:tc>
        <w:tc>
          <w:tcPr>
            <w:tcW w:w="985" w:type="dxa"/>
            <w:tcBorders>
              <w:top w:val="nil"/>
              <w:left w:val="nil"/>
              <w:bottom w:val="nil"/>
              <w:right w:val="nil"/>
            </w:tcBorders>
            <w:shd w:val="clear" w:color="auto" w:fill="auto"/>
            <w:vAlign w:val="bottom"/>
          </w:tcPr>
          <w:p w14:paraId="24218775" w14:textId="376EB8C6" w:rsidR="002B721C" w:rsidRPr="001D41EA" w:rsidRDefault="002B721C" w:rsidP="001D41EA">
            <w:pPr>
              <w:spacing w:before="40" w:after="40"/>
              <w:jc w:val="right"/>
              <w:rPr>
                <w:rFonts w:cs="Arial"/>
                <w:sz w:val="18"/>
                <w:szCs w:val="18"/>
              </w:rPr>
            </w:pPr>
            <w:r w:rsidRPr="001D41EA">
              <w:rPr>
                <w:rFonts w:cs="Arial"/>
                <w:sz w:val="18"/>
                <w:szCs w:val="18"/>
              </w:rPr>
              <w:t>1,022</w:t>
            </w:r>
          </w:p>
        </w:tc>
        <w:tc>
          <w:tcPr>
            <w:tcW w:w="1247" w:type="dxa"/>
            <w:tcBorders>
              <w:top w:val="nil"/>
              <w:left w:val="nil"/>
              <w:bottom w:val="nil"/>
              <w:right w:val="nil"/>
            </w:tcBorders>
            <w:shd w:val="clear" w:color="auto" w:fill="auto"/>
            <w:vAlign w:val="bottom"/>
          </w:tcPr>
          <w:p w14:paraId="355659B6" w14:textId="2DB34B7D" w:rsidR="002B721C" w:rsidRPr="001D41EA" w:rsidRDefault="002B721C" w:rsidP="001D41EA">
            <w:pPr>
              <w:spacing w:before="40" w:after="40"/>
              <w:jc w:val="right"/>
              <w:rPr>
                <w:rFonts w:cs="Arial"/>
                <w:sz w:val="18"/>
                <w:szCs w:val="18"/>
              </w:rPr>
            </w:pPr>
            <w:r w:rsidRPr="001D41EA">
              <w:rPr>
                <w:rFonts w:cs="Arial"/>
                <w:sz w:val="18"/>
                <w:szCs w:val="18"/>
              </w:rPr>
              <w:t>2.5%</w:t>
            </w:r>
          </w:p>
        </w:tc>
      </w:tr>
      <w:tr w:rsidR="002B721C" w:rsidRPr="001D41EA" w14:paraId="34DF39E7"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7601FF9C" w14:textId="77777777" w:rsidR="002B721C" w:rsidRPr="001D41EA" w:rsidRDefault="002B721C" w:rsidP="001D41EA">
            <w:pPr>
              <w:spacing w:before="40" w:after="40"/>
              <w:rPr>
                <w:rFonts w:cs="Arial"/>
                <w:sz w:val="18"/>
                <w:szCs w:val="18"/>
              </w:rPr>
            </w:pPr>
            <w:r w:rsidRPr="001D41EA">
              <w:rPr>
                <w:rFonts w:cs="Arial"/>
                <w:sz w:val="18"/>
                <w:szCs w:val="18"/>
              </w:rPr>
              <w:t xml:space="preserve">Hobsons Bay C </w:t>
            </w:r>
          </w:p>
        </w:tc>
        <w:tc>
          <w:tcPr>
            <w:tcW w:w="1255" w:type="dxa"/>
            <w:tcBorders>
              <w:top w:val="nil"/>
              <w:left w:val="single" w:sz="18" w:space="0" w:color="5F497A" w:themeColor="accent4" w:themeShade="BF"/>
              <w:bottom w:val="nil"/>
              <w:right w:val="nil"/>
            </w:tcBorders>
            <w:shd w:val="clear" w:color="auto" w:fill="auto"/>
            <w:vAlign w:val="bottom"/>
          </w:tcPr>
          <w:p w14:paraId="45B80932" w14:textId="5263BFCB" w:rsidR="002B721C" w:rsidRPr="001D41EA" w:rsidRDefault="002B721C" w:rsidP="001D41EA">
            <w:pPr>
              <w:spacing w:before="40" w:after="40"/>
              <w:jc w:val="right"/>
              <w:rPr>
                <w:rFonts w:cs="Arial"/>
                <w:sz w:val="18"/>
                <w:szCs w:val="18"/>
              </w:rPr>
            </w:pPr>
            <w:r w:rsidRPr="001D41EA">
              <w:rPr>
                <w:rFonts w:cs="Arial"/>
                <w:sz w:val="18"/>
                <w:szCs w:val="18"/>
              </w:rPr>
              <w:t>922</w:t>
            </w:r>
          </w:p>
        </w:tc>
        <w:tc>
          <w:tcPr>
            <w:tcW w:w="1418" w:type="dxa"/>
            <w:tcBorders>
              <w:top w:val="nil"/>
              <w:left w:val="nil"/>
              <w:bottom w:val="nil"/>
              <w:right w:val="nil"/>
            </w:tcBorders>
            <w:shd w:val="clear" w:color="auto" w:fill="auto"/>
            <w:vAlign w:val="bottom"/>
          </w:tcPr>
          <w:p w14:paraId="40459104" w14:textId="57C1B03A" w:rsidR="002B721C" w:rsidRPr="001D41EA" w:rsidRDefault="002B721C" w:rsidP="001D41EA">
            <w:pPr>
              <w:spacing w:before="40" w:after="40"/>
              <w:jc w:val="right"/>
              <w:rPr>
                <w:rFonts w:cs="Arial"/>
                <w:sz w:val="18"/>
                <w:szCs w:val="18"/>
              </w:rPr>
            </w:pPr>
            <w:r w:rsidRPr="001D41EA">
              <w:rPr>
                <w:rFonts w:cs="Arial"/>
                <w:sz w:val="18"/>
                <w:szCs w:val="18"/>
              </w:rPr>
              <w:t>1,015</w:t>
            </w:r>
          </w:p>
        </w:tc>
        <w:tc>
          <w:tcPr>
            <w:tcW w:w="1134" w:type="dxa"/>
            <w:tcBorders>
              <w:top w:val="nil"/>
              <w:left w:val="nil"/>
              <w:bottom w:val="nil"/>
              <w:right w:val="nil"/>
            </w:tcBorders>
            <w:shd w:val="clear" w:color="auto" w:fill="auto"/>
            <w:vAlign w:val="bottom"/>
          </w:tcPr>
          <w:p w14:paraId="47D915BA" w14:textId="3C9286F9" w:rsidR="002B721C" w:rsidRPr="001D41EA" w:rsidRDefault="002B721C" w:rsidP="001D41EA">
            <w:pPr>
              <w:spacing w:before="40" w:after="40"/>
              <w:jc w:val="right"/>
              <w:rPr>
                <w:rFonts w:cs="Arial"/>
                <w:sz w:val="18"/>
                <w:szCs w:val="18"/>
              </w:rPr>
            </w:pPr>
            <w:r w:rsidRPr="001D41EA">
              <w:rPr>
                <w:rFonts w:cs="Arial"/>
                <w:sz w:val="18"/>
                <w:szCs w:val="18"/>
              </w:rPr>
              <w:t>11.8</w:t>
            </w:r>
          </w:p>
        </w:tc>
        <w:tc>
          <w:tcPr>
            <w:tcW w:w="992" w:type="dxa"/>
            <w:tcBorders>
              <w:top w:val="nil"/>
              <w:left w:val="nil"/>
              <w:bottom w:val="nil"/>
              <w:right w:val="nil"/>
            </w:tcBorders>
            <w:shd w:val="clear" w:color="auto" w:fill="auto"/>
            <w:vAlign w:val="bottom"/>
          </w:tcPr>
          <w:p w14:paraId="6E236126" w14:textId="5C50D97E" w:rsidR="002B721C" w:rsidRPr="001D41EA" w:rsidRDefault="002B721C" w:rsidP="001D41EA">
            <w:pPr>
              <w:spacing w:before="40" w:after="40"/>
              <w:jc w:val="right"/>
              <w:rPr>
                <w:rFonts w:cs="Arial"/>
                <w:sz w:val="18"/>
                <w:szCs w:val="18"/>
              </w:rPr>
            </w:pPr>
            <w:r w:rsidRPr="001D41EA">
              <w:rPr>
                <w:rFonts w:cs="Arial"/>
                <w:sz w:val="18"/>
                <w:szCs w:val="18"/>
              </w:rPr>
              <w:t>367,156</w:t>
            </w:r>
          </w:p>
        </w:tc>
        <w:tc>
          <w:tcPr>
            <w:tcW w:w="985" w:type="dxa"/>
            <w:tcBorders>
              <w:top w:val="nil"/>
              <w:left w:val="nil"/>
              <w:bottom w:val="nil"/>
              <w:right w:val="nil"/>
            </w:tcBorders>
            <w:shd w:val="clear" w:color="auto" w:fill="auto"/>
            <w:vAlign w:val="bottom"/>
          </w:tcPr>
          <w:p w14:paraId="5E52F42D" w14:textId="24B4AB37" w:rsidR="002B721C" w:rsidRPr="001D41EA" w:rsidRDefault="002B721C" w:rsidP="001D41EA">
            <w:pPr>
              <w:spacing w:before="40" w:after="40"/>
              <w:jc w:val="right"/>
              <w:rPr>
                <w:rFonts w:cs="Arial"/>
                <w:sz w:val="18"/>
                <w:szCs w:val="18"/>
              </w:rPr>
            </w:pPr>
            <w:r w:rsidRPr="001D41EA">
              <w:rPr>
                <w:rFonts w:cs="Arial"/>
                <w:sz w:val="18"/>
                <w:szCs w:val="18"/>
              </w:rPr>
              <w:t>3,806</w:t>
            </w:r>
          </w:p>
        </w:tc>
        <w:tc>
          <w:tcPr>
            <w:tcW w:w="1247" w:type="dxa"/>
            <w:tcBorders>
              <w:top w:val="nil"/>
              <w:left w:val="nil"/>
              <w:bottom w:val="nil"/>
              <w:right w:val="nil"/>
            </w:tcBorders>
            <w:shd w:val="clear" w:color="auto" w:fill="auto"/>
            <w:vAlign w:val="bottom"/>
          </w:tcPr>
          <w:p w14:paraId="2F6E487A" w14:textId="42191ACC" w:rsidR="002B721C" w:rsidRPr="001D41EA" w:rsidRDefault="002B721C" w:rsidP="001D41EA">
            <w:pPr>
              <w:spacing w:before="40" w:after="40"/>
              <w:jc w:val="right"/>
              <w:rPr>
                <w:rFonts w:cs="Arial"/>
                <w:sz w:val="18"/>
                <w:szCs w:val="18"/>
              </w:rPr>
            </w:pPr>
            <w:r w:rsidRPr="001D41EA">
              <w:rPr>
                <w:rFonts w:cs="Arial"/>
                <w:sz w:val="18"/>
                <w:szCs w:val="18"/>
              </w:rPr>
              <w:t>4.3%</w:t>
            </w:r>
          </w:p>
        </w:tc>
      </w:tr>
      <w:tr w:rsidR="002B721C" w:rsidRPr="001D41EA" w14:paraId="2D8D3615"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72BD14A1" w14:textId="77777777" w:rsidR="002B721C" w:rsidRPr="001D41EA" w:rsidRDefault="002B721C" w:rsidP="001D41EA">
            <w:pPr>
              <w:spacing w:before="40" w:after="40"/>
              <w:rPr>
                <w:rFonts w:cs="Arial"/>
                <w:sz w:val="18"/>
                <w:szCs w:val="18"/>
              </w:rPr>
            </w:pPr>
            <w:r w:rsidRPr="001D41EA">
              <w:rPr>
                <w:rFonts w:cs="Arial"/>
                <w:sz w:val="18"/>
                <w:szCs w:val="18"/>
              </w:rPr>
              <w:t xml:space="preserve">Horsham RC </w:t>
            </w:r>
          </w:p>
        </w:tc>
        <w:tc>
          <w:tcPr>
            <w:tcW w:w="1255" w:type="dxa"/>
            <w:tcBorders>
              <w:top w:val="nil"/>
              <w:left w:val="single" w:sz="18" w:space="0" w:color="5F497A" w:themeColor="accent4" w:themeShade="BF"/>
              <w:bottom w:val="nil"/>
              <w:right w:val="nil"/>
            </w:tcBorders>
            <w:shd w:val="clear" w:color="auto" w:fill="auto"/>
            <w:vAlign w:val="bottom"/>
          </w:tcPr>
          <w:p w14:paraId="5ACD49CA" w14:textId="5825D854" w:rsidR="002B721C" w:rsidRPr="001D41EA" w:rsidRDefault="002B721C" w:rsidP="001D41EA">
            <w:pPr>
              <w:spacing w:before="40" w:after="40"/>
              <w:jc w:val="right"/>
              <w:rPr>
                <w:rFonts w:cs="Arial"/>
                <w:sz w:val="18"/>
                <w:szCs w:val="18"/>
              </w:rPr>
            </w:pPr>
            <w:r w:rsidRPr="001D41EA">
              <w:rPr>
                <w:rFonts w:cs="Arial"/>
                <w:sz w:val="18"/>
                <w:szCs w:val="18"/>
              </w:rPr>
              <w:t>846</w:t>
            </w:r>
          </w:p>
        </w:tc>
        <w:tc>
          <w:tcPr>
            <w:tcW w:w="1418" w:type="dxa"/>
            <w:tcBorders>
              <w:top w:val="nil"/>
              <w:left w:val="nil"/>
              <w:bottom w:val="nil"/>
              <w:right w:val="nil"/>
            </w:tcBorders>
            <w:shd w:val="clear" w:color="auto" w:fill="auto"/>
            <w:vAlign w:val="bottom"/>
          </w:tcPr>
          <w:p w14:paraId="1094BA67" w14:textId="3EE8EEA6" w:rsidR="002B721C" w:rsidRPr="001D41EA" w:rsidRDefault="002B721C" w:rsidP="001D41EA">
            <w:pPr>
              <w:spacing w:before="40" w:after="40"/>
              <w:jc w:val="right"/>
              <w:rPr>
                <w:rFonts w:cs="Arial"/>
                <w:sz w:val="18"/>
                <w:szCs w:val="18"/>
              </w:rPr>
            </w:pPr>
            <w:r w:rsidRPr="001D41EA">
              <w:rPr>
                <w:rFonts w:cs="Arial"/>
                <w:sz w:val="18"/>
                <w:szCs w:val="18"/>
              </w:rPr>
              <w:t>980</w:t>
            </w:r>
          </w:p>
        </w:tc>
        <w:tc>
          <w:tcPr>
            <w:tcW w:w="1134" w:type="dxa"/>
            <w:tcBorders>
              <w:top w:val="nil"/>
              <w:left w:val="nil"/>
              <w:bottom w:val="nil"/>
              <w:right w:val="nil"/>
            </w:tcBorders>
            <w:shd w:val="clear" w:color="auto" w:fill="auto"/>
            <w:vAlign w:val="bottom"/>
          </w:tcPr>
          <w:p w14:paraId="34BFCA19" w14:textId="091831DF" w:rsidR="002B721C" w:rsidRPr="001D41EA" w:rsidRDefault="002B721C" w:rsidP="001D41EA">
            <w:pPr>
              <w:spacing w:before="40" w:after="40"/>
              <w:jc w:val="right"/>
              <w:rPr>
                <w:rFonts w:cs="Arial"/>
                <w:sz w:val="18"/>
                <w:szCs w:val="18"/>
              </w:rPr>
            </w:pPr>
            <w:r w:rsidRPr="001D41EA">
              <w:rPr>
                <w:rFonts w:cs="Arial"/>
                <w:sz w:val="18"/>
                <w:szCs w:val="18"/>
              </w:rPr>
              <w:t>38.7</w:t>
            </w:r>
          </w:p>
        </w:tc>
        <w:tc>
          <w:tcPr>
            <w:tcW w:w="992" w:type="dxa"/>
            <w:tcBorders>
              <w:top w:val="nil"/>
              <w:left w:val="nil"/>
              <w:bottom w:val="nil"/>
              <w:right w:val="nil"/>
            </w:tcBorders>
            <w:shd w:val="clear" w:color="auto" w:fill="auto"/>
            <w:vAlign w:val="bottom"/>
          </w:tcPr>
          <w:p w14:paraId="3CB90244" w14:textId="003DEA25" w:rsidR="002B721C" w:rsidRPr="001D41EA" w:rsidRDefault="002B721C" w:rsidP="001D41EA">
            <w:pPr>
              <w:spacing w:before="40" w:after="40"/>
              <w:jc w:val="right"/>
              <w:rPr>
                <w:rFonts w:cs="Arial"/>
                <w:sz w:val="18"/>
                <w:szCs w:val="18"/>
              </w:rPr>
            </w:pPr>
            <w:r w:rsidRPr="001D41EA">
              <w:rPr>
                <w:rFonts w:cs="Arial"/>
                <w:sz w:val="18"/>
                <w:szCs w:val="18"/>
              </w:rPr>
              <w:t>59,323</w:t>
            </w:r>
          </w:p>
        </w:tc>
        <w:tc>
          <w:tcPr>
            <w:tcW w:w="985" w:type="dxa"/>
            <w:tcBorders>
              <w:top w:val="nil"/>
              <w:left w:val="nil"/>
              <w:bottom w:val="nil"/>
              <w:right w:val="nil"/>
            </w:tcBorders>
            <w:shd w:val="clear" w:color="auto" w:fill="auto"/>
            <w:vAlign w:val="bottom"/>
          </w:tcPr>
          <w:p w14:paraId="2098B4BC" w14:textId="624C2E68" w:rsidR="002B721C" w:rsidRPr="001D41EA" w:rsidRDefault="002B721C" w:rsidP="001D41EA">
            <w:pPr>
              <w:spacing w:before="40" w:after="40"/>
              <w:jc w:val="right"/>
              <w:rPr>
                <w:rFonts w:cs="Arial"/>
                <w:sz w:val="18"/>
                <w:szCs w:val="18"/>
              </w:rPr>
            </w:pPr>
            <w:r w:rsidRPr="001D41EA">
              <w:rPr>
                <w:rFonts w:cs="Arial"/>
                <w:sz w:val="18"/>
                <w:szCs w:val="18"/>
              </w:rPr>
              <w:t>2,985</w:t>
            </w:r>
          </w:p>
        </w:tc>
        <w:tc>
          <w:tcPr>
            <w:tcW w:w="1247" w:type="dxa"/>
            <w:tcBorders>
              <w:top w:val="nil"/>
              <w:left w:val="nil"/>
              <w:bottom w:val="nil"/>
              <w:right w:val="nil"/>
            </w:tcBorders>
            <w:shd w:val="clear" w:color="auto" w:fill="auto"/>
            <w:vAlign w:val="bottom"/>
          </w:tcPr>
          <w:p w14:paraId="1D5A5575" w14:textId="1F9D48FD" w:rsidR="002B721C" w:rsidRPr="001D41EA" w:rsidRDefault="002B721C" w:rsidP="001D41EA">
            <w:pPr>
              <w:spacing w:before="40" w:after="40"/>
              <w:jc w:val="right"/>
              <w:rPr>
                <w:rFonts w:cs="Arial"/>
                <w:sz w:val="18"/>
                <w:szCs w:val="18"/>
              </w:rPr>
            </w:pPr>
            <w:r w:rsidRPr="001D41EA">
              <w:rPr>
                <w:rFonts w:cs="Arial"/>
                <w:sz w:val="18"/>
                <w:szCs w:val="18"/>
              </w:rPr>
              <w:t>7.2%</w:t>
            </w:r>
          </w:p>
        </w:tc>
      </w:tr>
      <w:tr w:rsidR="002B721C" w:rsidRPr="001D41EA" w14:paraId="04AA1CF6"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1D608F89" w14:textId="77777777" w:rsidR="002B721C" w:rsidRPr="001D41EA" w:rsidRDefault="002B721C" w:rsidP="001D41EA">
            <w:pPr>
              <w:spacing w:before="40" w:after="40"/>
              <w:rPr>
                <w:rFonts w:cs="Arial"/>
                <w:sz w:val="18"/>
                <w:szCs w:val="18"/>
              </w:rPr>
            </w:pPr>
            <w:r w:rsidRPr="001D41EA">
              <w:rPr>
                <w:rFonts w:cs="Arial"/>
                <w:sz w:val="18"/>
                <w:szCs w:val="18"/>
              </w:rPr>
              <w:t xml:space="preserve">Hume C </w:t>
            </w:r>
          </w:p>
        </w:tc>
        <w:tc>
          <w:tcPr>
            <w:tcW w:w="1255" w:type="dxa"/>
            <w:tcBorders>
              <w:top w:val="nil"/>
              <w:left w:val="single" w:sz="18" w:space="0" w:color="5F497A" w:themeColor="accent4" w:themeShade="BF"/>
              <w:bottom w:val="nil"/>
              <w:right w:val="nil"/>
            </w:tcBorders>
            <w:shd w:val="clear" w:color="auto" w:fill="auto"/>
            <w:vAlign w:val="bottom"/>
          </w:tcPr>
          <w:p w14:paraId="1C6F2E53" w14:textId="7005E7C6" w:rsidR="002B721C" w:rsidRPr="001D41EA" w:rsidRDefault="002B721C" w:rsidP="001D41EA">
            <w:pPr>
              <w:spacing w:before="40" w:after="40"/>
              <w:jc w:val="right"/>
              <w:rPr>
                <w:rFonts w:cs="Arial"/>
                <w:sz w:val="18"/>
                <w:szCs w:val="18"/>
              </w:rPr>
            </w:pPr>
            <w:r w:rsidRPr="001D41EA">
              <w:rPr>
                <w:rFonts w:cs="Arial"/>
                <w:sz w:val="18"/>
                <w:szCs w:val="18"/>
              </w:rPr>
              <w:t>1,021</w:t>
            </w:r>
          </w:p>
        </w:tc>
        <w:tc>
          <w:tcPr>
            <w:tcW w:w="1418" w:type="dxa"/>
            <w:tcBorders>
              <w:top w:val="nil"/>
              <w:left w:val="nil"/>
              <w:bottom w:val="nil"/>
              <w:right w:val="nil"/>
            </w:tcBorders>
            <w:shd w:val="clear" w:color="auto" w:fill="auto"/>
            <w:vAlign w:val="bottom"/>
          </w:tcPr>
          <w:p w14:paraId="7050D86D" w14:textId="2D999D47" w:rsidR="002B721C" w:rsidRPr="001D41EA" w:rsidRDefault="002B721C" w:rsidP="001D41EA">
            <w:pPr>
              <w:spacing w:before="40" w:after="40"/>
              <w:jc w:val="right"/>
              <w:rPr>
                <w:rFonts w:cs="Arial"/>
                <w:sz w:val="18"/>
                <w:szCs w:val="18"/>
              </w:rPr>
            </w:pPr>
            <w:r w:rsidRPr="001D41EA">
              <w:rPr>
                <w:rFonts w:cs="Arial"/>
                <w:sz w:val="18"/>
                <w:szCs w:val="18"/>
              </w:rPr>
              <w:t>947</w:t>
            </w:r>
          </w:p>
        </w:tc>
        <w:tc>
          <w:tcPr>
            <w:tcW w:w="1134" w:type="dxa"/>
            <w:tcBorders>
              <w:top w:val="nil"/>
              <w:left w:val="nil"/>
              <w:bottom w:val="nil"/>
              <w:right w:val="nil"/>
            </w:tcBorders>
            <w:shd w:val="clear" w:color="auto" w:fill="auto"/>
            <w:vAlign w:val="bottom"/>
          </w:tcPr>
          <w:p w14:paraId="688BC93A" w14:textId="79337A7E" w:rsidR="002B721C" w:rsidRPr="001D41EA" w:rsidRDefault="002B721C" w:rsidP="001D41EA">
            <w:pPr>
              <w:spacing w:before="40" w:after="40"/>
              <w:jc w:val="right"/>
              <w:rPr>
                <w:rFonts w:cs="Arial"/>
                <w:sz w:val="18"/>
                <w:szCs w:val="18"/>
              </w:rPr>
            </w:pPr>
            <w:r w:rsidRPr="001D41EA">
              <w:rPr>
                <w:rFonts w:cs="Arial"/>
                <w:sz w:val="18"/>
                <w:szCs w:val="18"/>
              </w:rPr>
              <w:t>9.4</w:t>
            </w:r>
          </w:p>
        </w:tc>
        <w:tc>
          <w:tcPr>
            <w:tcW w:w="992" w:type="dxa"/>
            <w:tcBorders>
              <w:top w:val="nil"/>
              <w:left w:val="nil"/>
              <w:bottom w:val="nil"/>
              <w:right w:val="nil"/>
            </w:tcBorders>
            <w:shd w:val="clear" w:color="auto" w:fill="auto"/>
            <w:vAlign w:val="bottom"/>
          </w:tcPr>
          <w:p w14:paraId="55B3AB2F" w14:textId="46EF1B79" w:rsidR="002B721C" w:rsidRPr="001D41EA" w:rsidRDefault="002B721C" w:rsidP="001D41EA">
            <w:pPr>
              <w:spacing w:before="40" w:after="40"/>
              <w:jc w:val="right"/>
              <w:rPr>
                <w:rFonts w:cs="Arial"/>
                <w:sz w:val="18"/>
                <w:szCs w:val="18"/>
              </w:rPr>
            </w:pPr>
            <w:r w:rsidRPr="001D41EA">
              <w:rPr>
                <w:rFonts w:cs="Arial"/>
                <w:sz w:val="18"/>
                <w:szCs w:val="18"/>
              </w:rPr>
              <w:t>1,243,299</w:t>
            </w:r>
          </w:p>
        </w:tc>
        <w:tc>
          <w:tcPr>
            <w:tcW w:w="985" w:type="dxa"/>
            <w:tcBorders>
              <w:top w:val="nil"/>
              <w:left w:val="nil"/>
              <w:bottom w:val="nil"/>
              <w:right w:val="nil"/>
            </w:tcBorders>
            <w:shd w:val="clear" w:color="auto" w:fill="auto"/>
            <w:vAlign w:val="bottom"/>
          </w:tcPr>
          <w:p w14:paraId="68BB003D" w14:textId="5DFDD9C8" w:rsidR="002B721C" w:rsidRPr="001D41EA" w:rsidRDefault="002B721C" w:rsidP="001D41EA">
            <w:pPr>
              <w:spacing w:before="40" w:after="40"/>
              <w:jc w:val="right"/>
              <w:rPr>
                <w:rFonts w:cs="Arial"/>
                <w:sz w:val="18"/>
                <w:szCs w:val="18"/>
              </w:rPr>
            </w:pPr>
            <w:r w:rsidRPr="001D41EA">
              <w:rPr>
                <w:rFonts w:cs="Arial"/>
                <w:sz w:val="18"/>
                <w:szCs w:val="18"/>
              </w:rPr>
              <w:t>5,541</w:t>
            </w:r>
          </w:p>
        </w:tc>
        <w:tc>
          <w:tcPr>
            <w:tcW w:w="1247" w:type="dxa"/>
            <w:tcBorders>
              <w:top w:val="nil"/>
              <w:left w:val="nil"/>
              <w:bottom w:val="nil"/>
              <w:right w:val="nil"/>
            </w:tcBorders>
            <w:shd w:val="clear" w:color="auto" w:fill="auto"/>
            <w:vAlign w:val="bottom"/>
          </w:tcPr>
          <w:p w14:paraId="69052004" w14:textId="6E98ABEA" w:rsidR="002B721C" w:rsidRPr="001D41EA" w:rsidRDefault="002B721C" w:rsidP="001D41EA">
            <w:pPr>
              <w:spacing w:before="40" w:after="40"/>
              <w:jc w:val="right"/>
              <w:rPr>
                <w:rFonts w:cs="Arial"/>
                <w:sz w:val="18"/>
                <w:szCs w:val="18"/>
              </w:rPr>
            </w:pPr>
            <w:r w:rsidRPr="001D41EA">
              <w:rPr>
                <w:rFonts w:cs="Arial"/>
                <w:sz w:val="18"/>
                <w:szCs w:val="18"/>
              </w:rPr>
              <w:t>5.4%</w:t>
            </w:r>
          </w:p>
        </w:tc>
      </w:tr>
      <w:tr w:rsidR="002B721C" w:rsidRPr="001D41EA" w14:paraId="74CBD1E1"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0D25C53D" w14:textId="77777777" w:rsidR="002B721C" w:rsidRPr="001D41EA" w:rsidRDefault="002B721C" w:rsidP="001D41EA">
            <w:pPr>
              <w:spacing w:before="40" w:after="40"/>
              <w:rPr>
                <w:rFonts w:cs="Arial"/>
                <w:sz w:val="18"/>
                <w:szCs w:val="18"/>
              </w:rPr>
            </w:pPr>
            <w:r w:rsidRPr="001D41EA">
              <w:rPr>
                <w:rFonts w:cs="Arial"/>
                <w:sz w:val="18"/>
                <w:szCs w:val="18"/>
              </w:rPr>
              <w:t xml:space="preserve">Indigo S </w:t>
            </w:r>
          </w:p>
        </w:tc>
        <w:tc>
          <w:tcPr>
            <w:tcW w:w="1255" w:type="dxa"/>
            <w:tcBorders>
              <w:top w:val="nil"/>
              <w:left w:val="single" w:sz="18" w:space="0" w:color="5F497A" w:themeColor="accent4" w:themeShade="BF"/>
              <w:bottom w:val="nil"/>
              <w:right w:val="nil"/>
            </w:tcBorders>
            <w:shd w:val="clear" w:color="auto" w:fill="auto"/>
            <w:vAlign w:val="bottom"/>
          </w:tcPr>
          <w:p w14:paraId="7D0C6DA7" w14:textId="72081D2D" w:rsidR="002B721C" w:rsidRPr="001D41EA" w:rsidRDefault="002B721C" w:rsidP="001D41EA">
            <w:pPr>
              <w:spacing w:before="40" w:after="40"/>
              <w:jc w:val="right"/>
              <w:rPr>
                <w:rFonts w:cs="Arial"/>
                <w:sz w:val="18"/>
                <w:szCs w:val="18"/>
              </w:rPr>
            </w:pPr>
            <w:r w:rsidRPr="001D41EA">
              <w:rPr>
                <w:rFonts w:cs="Arial"/>
                <w:sz w:val="18"/>
                <w:szCs w:val="18"/>
              </w:rPr>
              <w:t>939</w:t>
            </w:r>
          </w:p>
        </w:tc>
        <w:tc>
          <w:tcPr>
            <w:tcW w:w="1418" w:type="dxa"/>
            <w:tcBorders>
              <w:top w:val="nil"/>
              <w:left w:val="nil"/>
              <w:bottom w:val="nil"/>
              <w:right w:val="nil"/>
            </w:tcBorders>
            <w:shd w:val="clear" w:color="auto" w:fill="auto"/>
            <w:vAlign w:val="bottom"/>
          </w:tcPr>
          <w:p w14:paraId="60D79E38" w14:textId="3C543A37" w:rsidR="002B721C" w:rsidRPr="001D41EA" w:rsidRDefault="002B721C" w:rsidP="001D41EA">
            <w:pPr>
              <w:spacing w:before="40" w:after="40"/>
              <w:jc w:val="right"/>
              <w:rPr>
                <w:rFonts w:cs="Arial"/>
                <w:sz w:val="18"/>
                <w:szCs w:val="18"/>
              </w:rPr>
            </w:pPr>
            <w:r w:rsidRPr="001D41EA">
              <w:rPr>
                <w:rFonts w:cs="Arial"/>
                <w:sz w:val="18"/>
                <w:szCs w:val="18"/>
              </w:rPr>
              <w:t>1,016</w:t>
            </w:r>
          </w:p>
        </w:tc>
        <w:tc>
          <w:tcPr>
            <w:tcW w:w="1134" w:type="dxa"/>
            <w:tcBorders>
              <w:top w:val="nil"/>
              <w:left w:val="nil"/>
              <w:bottom w:val="nil"/>
              <w:right w:val="nil"/>
            </w:tcBorders>
            <w:shd w:val="clear" w:color="auto" w:fill="auto"/>
            <w:vAlign w:val="bottom"/>
          </w:tcPr>
          <w:p w14:paraId="4ADDC29A" w14:textId="064A14FE" w:rsidR="002B721C" w:rsidRPr="001D41EA" w:rsidRDefault="002B721C" w:rsidP="001D41EA">
            <w:pPr>
              <w:spacing w:before="40" w:after="40"/>
              <w:jc w:val="right"/>
              <w:rPr>
                <w:rFonts w:cs="Arial"/>
                <w:sz w:val="18"/>
                <w:szCs w:val="18"/>
              </w:rPr>
            </w:pPr>
            <w:r w:rsidRPr="001D41EA">
              <w:rPr>
                <w:rFonts w:cs="Arial"/>
                <w:sz w:val="18"/>
                <w:szCs w:val="18"/>
              </w:rPr>
              <w:t>50.4</w:t>
            </w:r>
          </w:p>
        </w:tc>
        <w:tc>
          <w:tcPr>
            <w:tcW w:w="992" w:type="dxa"/>
            <w:tcBorders>
              <w:top w:val="nil"/>
              <w:left w:val="nil"/>
              <w:bottom w:val="nil"/>
              <w:right w:val="nil"/>
            </w:tcBorders>
            <w:shd w:val="clear" w:color="auto" w:fill="auto"/>
            <w:vAlign w:val="bottom"/>
          </w:tcPr>
          <w:p w14:paraId="387F7C3E" w14:textId="631412E9" w:rsidR="002B721C" w:rsidRPr="001D41EA" w:rsidRDefault="002B721C" w:rsidP="001D41EA">
            <w:pPr>
              <w:spacing w:before="40" w:after="40"/>
              <w:jc w:val="right"/>
              <w:rPr>
                <w:rFonts w:cs="Arial"/>
                <w:sz w:val="18"/>
                <w:szCs w:val="18"/>
              </w:rPr>
            </w:pPr>
            <w:r w:rsidRPr="001D41EA">
              <w:rPr>
                <w:rFonts w:cs="Arial"/>
                <w:sz w:val="18"/>
                <w:szCs w:val="18"/>
              </w:rPr>
              <w:t>50,861</w:t>
            </w:r>
          </w:p>
        </w:tc>
        <w:tc>
          <w:tcPr>
            <w:tcW w:w="985" w:type="dxa"/>
            <w:tcBorders>
              <w:top w:val="nil"/>
              <w:left w:val="nil"/>
              <w:bottom w:val="nil"/>
              <w:right w:val="nil"/>
            </w:tcBorders>
            <w:shd w:val="clear" w:color="auto" w:fill="auto"/>
            <w:vAlign w:val="bottom"/>
          </w:tcPr>
          <w:p w14:paraId="0DCE1864" w14:textId="14266F28" w:rsidR="002B721C" w:rsidRPr="001D41EA" w:rsidRDefault="002B721C" w:rsidP="001D41EA">
            <w:pPr>
              <w:spacing w:before="40" w:after="40"/>
              <w:jc w:val="right"/>
              <w:rPr>
                <w:rFonts w:cs="Arial"/>
                <w:sz w:val="18"/>
                <w:szCs w:val="18"/>
              </w:rPr>
            </w:pPr>
            <w:r w:rsidRPr="001D41EA">
              <w:rPr>
                <w:rFonts w:cs="Arial"/>
                <w:sz w:val="18"/>
                <w:szCs w:val="18"/>
              </w:rPr>
              <w:t>3,084</w:t>
            </w:r>
          </w:p>
        </w:tc>
        <w:tc>
          <w:tcPr>
            <w:tcW w:w="1247" w:type="dxa"/>
            <w:tcBorders>
              <w:top w:val="nil"/>
              <w:left w:val="nil"/>
              <w:bottom w:val="nil"/>
              <w:right w:val="nil"/>
            </w:tcBorders>
            <w:shd w:val="clear" w:color="auto" w:fill="auto"/>
            <w:vAlign w:val="bottom"/>
          </w:tcPr>
          <w:p w14:paraId="368A5AD8" w14:textId="21830456" w:rsidR="002B721C" w:rsidRPr="001D41EA" w:rsidRDefault="002B721C" w:rsidP="001D41EA">
            <w:pPr>
              <w:spacing w:before="40" w:after="40"/>
              <w:jc w:val="right"/>
              <w:rPr>
                <w:rFonts w:cs="Arial"/>
                <w:sz w:val="18"/>
                <w:szCs w:val="18"/>
              </w:rPr>
            </w:pPr>
            <w:r w:rsidRPr="001D41EA">
              <w:rPr>
                <w:rFonts w:cs="Arial"/>
                <w:sz w:val="18"/>
                <w:szCs w:val="18"/>
              </w:rPr>
              <w:t>5.4%</w:t>
            </w:r>
          </w:p>
        </w:tc>
      </w:tr>
      <w:tr w:rsidR="002B721C" w:rsidRPr="001D41EA" w14:paraId="70262603"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4A3F9488" w14:textId="77777777" w:rsidR="002B721C" w:rsidRPr="001D41EA" w:rsidRDefault="002B721C" w:rsidP="001D41EA">
            <w:pPr>
              <w:spacing w:before="40" w:after="40"/>
              <w:rPr>
                <w:rFonts w:cs="Arial"/>
                <w:sz w:val="18"/>
                <w:szCs w:val="18"/>
              </w:rPr>
            </w:pPr>
            <w:r w:rsidRPr="001D41EA">
              <w:rPr>
                <w:rFonts w:cs="Arial"/>
                <w:sz w:val="18"/>
                <w:szCs w:val="18"/>
              </w:rPr>
              <w:t xml:space="preserve">Kingston C </w:t>
            </w:r>
          </w:p>
        </w:tc>
        <w:tc>
          <w:tcPr>
            <w:tcW w:w="1255" w:type="dxa"/>
            <w:tcBorders>
              <w:top w:val="nil"/>
              <w:left w:val="single" w:sz="18" w:space="0" w:color="5F497A" w:themeColor="accent4" w:themeShade="BF"/>
              <w:bottom w:val="nil"/>
              <w:right w:val="nil"/>
            </w:tcBorders>
            <w:shd w:val="clear" w:color="auto" w:fill="auto"/>
            <w:vAlign w:val="bottom"/>
          </w:tcPr>
          <w:p w14:paraId="0431FF8D" w14:textId="3A4A1090" w:rsidR="002B721C" w:rsidRPr="001D41EA" w:rsidRDefault="002B721C" w:rsidP="001D41EA">
            <w:pPr>
              <w:spacing w:before="40" w:after="40"/>
              <w:jc w:val="right"/>
              <w:rPr>
                <w:rFonts w:cs="Arial"/>
                <w:sz w:val="18"/>
                <w:szCs w:val="18"/>
              </w:rPr>
            </w:pPr>
            <w:r w:rsidRPr="001D41EA">
              <w:rPr>
                <w:rFonts w:cs="Arial"/>
                <w:sz w:val="18"/>
                <w:szCs w:val="18"/>
              </w:rPr>
              <w:t>962</w:t>
            </w:r>
          </w:p>
        </w:tc>
        <w:tc>
          <w:tcPr>
            <w:tcW w:w="1418" w:type="dxa"/>
            <w:tcBorders>
              <w:top w:val="nil"/>
              <w:left w:val="nil"/>
              <w:bottom w:val="nil"/>
              <w:right w:val="nil"/>
            </w:tcBorders>
            <w:shd w:val="clear" w:color="auto" w:fill="auto"/>
            <w:vAlign w:val="bottom"/>
          </w:tcPr>
          <w:p w14:paraId="0D25650B" w14:textId="466A3C6E" w:rsidR="002B721C" w:rsidRPr="001D41EA" w:rsidRDefault="002B721C" w:rsidP="001D41EA">
            <w:pPr>
              <w:spacing w:before="40" w:after="40"/>
              <w:jc w:val="right"/>
              <w:rPr>
                <w:rFonts w:cs="Arial"/>
                <w:sz w:val="18"/>
                <w:szCs w:val="18"/>
              </w:rPr>
            </w:pPr>
            <w:r w:rsidRPr="001D41EA">
              <w:rPr>
                <w:rFonts w:cs="Arial"/>
                <w:sz w:val="18"/>
                <w:szCs w:val="18"/>
              </w:rPr>
              <w:t>1,044</w:t>
            </w:r>
          </w:p>
        </w:tc>
        <w:tc>
          <w:tcPr>
            <w:tcW w:w="1134" w:type="dxa"/>
            <w:tcBorders>
              <w:top w:val="nil"/>
              <w:left w:val="nil"/>
              <w:bottom w:val="nil"/>
              <w:right w:val="nil"/>
            </w:tcBorders>
            <w:shd w:val="clear" w:color="auto" w:fill="auto"/>
            <w:vAlign w:val="bottom"/>
          </w:tcPr>
          <w:p w14:paraId="6EA21FE6" w14:textId="749D12D0" w:rsidR="002B721C" w:rsidRPr="001D41EA" w:rsidRDefault="002B721C" w:rsidP="001D41EA">
            <w:pPr>
              <w:spacing w:before="40" w:after="40"/>
              <w:jc w:val="right"/>
              <w:rPr>
                <w:rFonts w:cs="Arial"/>
                <w:sz w:val="18"/>
                <w:szCs w:val="18"/>
              </w:rPr>
            </w:pPr>
            <w:r w:rsidRPr="001D41EA">
              <w:rPr>
                <w:rFonts w:cs="Arial"/>
                <w:sz w:val="18"/>
                <w:szCs w:val="18"/>
              </w:rPr>
              <w:t>9.0</w:t>
            </w:r>
          </w:p>
        </w:tc>
        <w:tc>
          <w:tcPr>
            <w:tcW w:w="992" w:type="dxa"/>
            <w:tcBorders>
              <w:top w:val="nil"/>
              <w:left w:val="nil"/>
              <w:bottom w:val="nil"/>
              <w:right w:val="nil"/>
            </w:tcBorders>
            <w:shd w:val="clear" w:color="auto" w:fill="auto"/>
            <w:vAlign w:val="bottom"/>
          </w:tcPr>
          <w:p w14:paraId="5CAEB0A4" w14:textId="48E7A102" w:rsidR="002B721C" w:rsidRPr="001D41EA" w:rsidRDefault="002B721C" w:rsidP="001D41EA">
            <w:pPr>
              <w:spacing w:before="40" w:after="40"/>
              <w:jc w:val="right"/>
              <w:rPr>
                <w:rFonts w:cs="Arial"/>
                <w:sz w:val="18"/>
                <w:szCs w:val="18"/>
              </w:rPr>
            </w:pPr>
            <w:r w:rsidRPr="001D41EA">
              <w:rPr>
                <w:rFonts w:cs="Arial"/>
                <w:sz w:val="18"/>
                <w:szCs w:val="18"/>
              </w:rPr>
              <w:t>703,137</w:t>
            </w:r>
          </w:p>
        </w:tc>
        <w:tc>
          <w:tcPr>
            <w:tcW w:w="985" w:type="dxa"/>
            <w:tcBorders>
              <w:top w:val="nil"/>
              <w:left w:val="nil"/>
              <w:bottom w:val="nil"/>
              <w:right w:val="nil"/>
            </w:tcBorders>
            <w:shd w:val="clear" w:color="auto" w:fill="auto"/>
            <w:vAlign w:val="bottom"/>
          </w:tcPr>
          <w:p w14:paraId="34BB679C" w14:textId="7918B5D8" w:rsidR="002B721C" w:rsidRPr="001D41EA" w:rsidRDefault="002B721C" w:rsidP="001D41EA">
            <w:pPr>
              <w:spacing w:before="40" w:after="40"/>
              <w:jc w:val="right"/>
              <w:rPr>
                <w:rFonts w:cs="Arial"/>
                <w:sz w:val="18"/>
                <w:szCs w:val="18"/>
              </w:rPr>
            </w:pPr>
            <w:r w:rsidRPr="001D41EA">
              <w:rPr>
                <w:rFonts w:cs="Arial"/>
                <w:sz w:val="18"/>
                <w:szCs w:val="18"/>
              </w:rPr>
              <w:t>4,302</w:t>
            </w:r>
          </w:p>
        </w:tc>
        <w:tc>
          <w:tcPr>
            <w:tcW w:w="1247" w:type="dxa"/>
            <w:tcBorders>
              <w:top w:val="nil"/>
              <w:left w:val="nil"/>
              <w:bottom w:val="nil"/>
              <w:right w:val="nil"/>
            </w:tcBorders>
            <w:shd w:val="clear" w:color="auto" w:fill="auto"/>
            <w:vAlign w:val="bottom"/>
          </w:tcPr>
          <w:p w14:paraId="148291F5" w14:textId="440523CB" w:rsidR="002B721C" w:rsidRPr="001D41EA" w:rsidRDefault="002B721C" w:rsidP="001D41EA">
            <w:pPr>
              <w:spacing w:before="40" w:after="40"/>
              <w:jc w:val="right"/>
              <w:rPr>
                <w:rFonts w:cs="Arial"/>
                <w:sz w:val="18"/>
                <w:szCs w:val="18"/>
              </w:rPr>
            </w:pPr>
            <w:r w:rsidRPr="001D41EA">
              <w:rPr>
                <w:rFonts w:cs="Arial"/>
                <w:sz w:val="18"/>
                <w:szCs w:val="18"/>
              </w:rPr>
              <w:t>7.2%</w:t>
            </w:r>
          </w:p>
        </w:tc>
      </w:tr>
      <w:tr w:rsidR="002B721C" w:rsidRPr="001D41EA" w14:paraId="2D8A5806"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028D4245" w14:textId="77777777" w:rsidR="002B721C" w:rsidRPr="001D41EA" w:rsidRDefault="002B721C" w:rsidP="001D41EA">
            <w:pPr>
              <w:spacing w:before="40" w:after="40"/>
              <w:rPr>
                <w:rFonts w:cs="Arial"/>
                <w:sz w:val="18"/>
                <w:szCs w:val="18"/>
              </w:rPr>
            </w:pPr>
            <w:r w:rsidRPr="001D41EA">
              <w:rPr>
                <w:rFonts w:cs="Arial"/>
                <w:sz w:val="18"/>
                <w:szCs w:val="18"/>
              </w:rPr>
              <w:t xml:space="preserve">Knox C </w:t>
            </w:r>
          </w:p>
        </w:tc>
        <w:tc>
          <w:tcPr>
            <w:tcW w:w="1255" w:type="dxa"/>
            <w:tcBorders>
              <w:top w:val="nil"/>
              <w:left w:val="single" w:sz="18" w:space="0" w:color="5F497A" w:themeColor="accent4" w:themeShade="BF"/>
              <w:bottom w:val="nil"/>
              <w:right w:val="nil"/>
            </w:tcBorders>
            <w:shd w:val="clear" w:color="auto" w:fill="auto"/>
            <w:vAlign w:val="bottom"/>
          </w:tcPr>
          <w:p w14:paraId="00340A3E" w14:textId="143AF432" w:rsidR="002B721C" w:rsidRPr="001D41EA" w:rsidRDefault="002B721C" w:rsidP="001D41EA">
            <w:pPr>
              <w:spacing w:before="40" w:after="40"/>
              <w:jc w:val="right"/>
              <w:rPr>
                <w:rFonts w:cs="Arial"/>
                <w:sz w:val="18"/>
                <w:szCs w:val="18"/>
              </w:rPr>
            </w:pPr>
            <w:r w:rsidRPr="001D41EA">
              <w:rPr>
                <w:rFonts w:cs="Arial"/>
                <w:sz w:val="18"/>
                <w:szCs w:val="18"/>
              </w:rPr>
              <w:t>1,051</w:t>
            </w:r>
          </w:p>
        </w:tc>
        <w:tc>
          <w:tcPr>
            <w:tcW w:w="1418" w:type="dxa"/>
            <w:tcBorders>
              <w:top w:val="nil"/>
              <w:left w:val="nil"/>
              <w:bottom w:val="nil"/>
              <w:right w:val="nil"/>
            </w:tcBorders>
            <w:shd w:val="clear" w:color="auto" w:fill="auto"/>
            <w:vAlign w:val="bottom"/>
          </w:tcPr>
          <w:p w14:paraId="67799057" w14:textId="34B6E6A6" w:rsidR="002B721C" w:rsidRPr="001D41EA" w:rsidRDefault="002B721C" w:rsidP="001D41EA">
            <w:pPr>
              <w:spacing w:before="40" w:after="40"/>
              <w:jc w:val="right"/>
              <w:rPr>
                <w:rFonts w:cs="Arial"/>
                <w:sz w:val="18"/>
                <w:szCs w:val="18"/>
              </w:rPr>
            </w:pPr>
            <w:r w:rsidRPr="001D41EA">
              <w:rPr>
                <w:rFonts w:cs="Arial"/>
                <w:sz w:val="18"/>
                <w:szCs w:val="18"/>
              </w:rPr>
              <w:t>1,048</w:t>
            </w:r>
          </w:p>
        </w:tc>
        <w:tc>
          <w:tcPr>
            <w:tcW w:w="1134" w:type="dxa"/>
            <w:tcBorders>
              <w:top w:val="nil"/>
              <w:left w:val="nil"/>
              <w:bottom w:val="nil"/>
              <w:right w:val="nil"/>
            </w:tcBorders>
            <w:shd w:val="clear" w:color="auto" w:fill="auto"/>
            <w:vAlign w:val="bottom"/>
          </w:tcPr>
          <w:p w14:paraId="3DA343B3" w14:textId="67BB48E4" w:rsidR="002B721C" w:rsidRPr="001D41EA" w:rsidRDefault="002B721C" w:rsidP="001D41EA">
            <w:pPr>
              <w:spacing w:before="40" w:after="40"/>
              <w:jc w:val="right"/>
              <w:rPr>
                <w:rFonts w:cs="Arial"/>
                <w:sz w:val="18"/>
                <w:szCs w:val="18"/>
              </w:rPr>
            </w:pPr>
            <w:r w:rsidRPr="001D41EA">
              <w:rPr>
                <w:rFonts w:cs="Arial"/>
                <w:sz w:val="18"/>
                <w:szCs w:val="18"/>
              </w:rPr>
              <w:t>9.5</w:t>
            </w:r>
          </w:p>
        </w:tc>
        <w:tc>
          <w:tcPr>
            <w:tcW w:w="992" w:type="dxa"/>
            <w:tcBorders>
              <w:top w:val="nil"/>
              <w:left w:val="nil"/>
              <w:bottom w:val="nil"/>
              <w:right w:val="nil"/>
            </w:tcBorders>
            <w:shd w:val="clear" w:color="auto" w:fill="auto"/>
            <w:vAlign w:val="bottom"/>
          </w:tcPr>
          <w:p w14:paraId="3B68FB66" w14:textId="16E843D3" w:rsidR="002B721C" w:rsidRPr="001D41EA" w:rsidRDefault="002B721C" w:rsidP="001D41EA">
            <w:pPr>
              <w:spacing w:before="40" w:after="40"/>
              <w:jc w:val="right"/>
              <w:rPr>
                <w:rFonts w:cs="Arial"/>
                <w:sz w:val="18"/>
                <w:szCs w:val="18"/>
              </w:rPr>
            </w:pPr>
            <w:r w:rsidRPr="001D41EA">
              <w:rPr>
                <w:rFonts w:cs="Arial"/>
                <w:sz w:val="18"/>
                <w:szCs w:val="18"/>
              </w:rPr>
              <w:t>468,583</w:t>
            </w:r>
          </w:p>
        </w:tc>
        <w:tc>
          <w:tcPr>
            <w:tcW w:w="985" w:type="dxa"/>
            <w:tcBorders>
              <w:top w:val="nil"/>
              <w:left w:val="nil"/>
              <w:bottom w:val="nil"/>
              <w:right w:val="nil"/>
            </w:tcBorders>
            <w:shd w:val="clear" w:color="auto" w:fill="auto"/>
            <w:vAlign w:val="bottom"/>
          </w:tcPr>
          <w:p w14:paraId="45815BEF" w14:textId="677EA5D4" w:rsidR="002B721C" w:rsidRPr="001D41EA" w:rsidRDefault="002B721C" w:rsidP="001D41EA">
            <w:pPr>
              <w:spacing w:before="40" w:after="40"/>
              <w:jc w:val="right"/>
              <w:rPr>
                <w:rFonts w:cs="Arial"/>
                <w:sz w:val="18"/>
                <w:szCs w:val="18"/>
              </w:rPr>
            </w:pPr>
            <w:r w:rsidRPr="001D41EA">
              <w:rPr>
                <w:rFonts w:cs="Arial"/>
                <w:sz w:val="18"/>
                <w:szCs w:val="18"/>
              </w:rPr>
              <w:t>2,871</w:t>
            </w:r>
          </w:p>
        </w:tc>
        <w:tc>
          <w:tcPr>
            <w:tcW w:w="1247" w:type="dxa"/>
            <w:tcBorders>
              <w:top w:val="nil"/>
              <w:left w:val="nil"/>
              <w:bottom w:val="nil"/>
              <w:right w:val="nil"/>
            </w:tcBorders>
            <w:shd w:val="clear" w:color="auto" w:fill="auto"/>
            <w:vAlign w:val="bottom"/>
          </w:tcPr>
          <w:p w14:paraId="0EB0BE89" w14:textId="00ACAE5B" w:rsidR="002B721C" w:rsidRPr="001D41EA" w:rsidRDefault="002B721C" w:rsidP="001D41EA">
            <w:pPr>
              <w:spacing w:before="40" w:after="40"/>
              <w:jc w:val="right"/>
              <w:rPr>
                <w:rFonts w:cs="Arial"/>
                <w:sz w:val="18"/>
                <w:szCs w:val="18"/>
              </w:rPr>
            </w:pPr>
            <w:r w:rsidRPr="001D41EA">
              <w:rPr>
                <w:rFonts w:cs="Arial"/>
                <w:sz w:val="18"/>
                <w:szCs w:val="18"/>
              </w:rPr>
              <w:t>7.0%</w:t>
            </w:r>
          </w:p>
        </w:tc>
      </w:tr>
      <w:tr w:rsidR="002B721C" w:rsidRPr="001D41EA" w14:paraId="53CFAB5E"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2F5FB83F" w14:textId="77777777" w:rsidR="002B721C" w:rsidRPr="001D41EA" w:rsidRDefault="002B721C" w:rsidP="001D41EA">
            <w:pPr>
              <w:spacing w:before="40" w:after="40"/>
              <w:rPr>
                <w:rFonts w:cs="Arial"/>
                <w:sz w:val="18"/>
                <w:szCs w:val="18"/>
              </w:rPr>
            </w:pPr>
            <w:r w:rsidRPr="001D41EA">
              <w:rPr>
                <w:rFonts w:cs="Arial"/>
                <w:sz w:val="18"/>
                <w:szCs w:val="18"/>
              </w:rPr>
              <w:t xml:space="preserve">Latrobe C </w:t>
            </w:r>
          </w:p>
        </w:tc>
        <w:tc>
          <w:tcPr>
            <w:tcW w:w="1255" w:type="dxa"/>
            <w:tcBorders>
              <w:top w:val="nil"/>
              <w:left w:val="single" w:sz="18" w:space="0" w:color="5F497A" w:themeColor="accent4" w:themeShade="BF"/>
              <w:bottom w:val="nil"/>
              <w:right w:val="nil"/>
            </w:tcBorders>
            <w:shd w:val="clear" w:color="auto" w:fill="auto"/>
            <w:vAlign w:val="bottom"/>
          </w:tcPr>
          <w:p w14:paraId="062C091B" w14:textId="7BA98197" w:rsidR="002B721C" w:rsidRPr="001D41EA" w:rsidRDefault="002B721C" w:rsidP="001D41EA">
            <w:pPr>
              <w:spacing w:before="40" w:after="40"/>
              <w:jc w:val="right"/>
              <w:rPr>
                <w:rFonts w:cs="Arial"/>
                <w:sz w:val="18"/>
                <w:szCs w:val="18"/>
              </w:rPr>
            </w:pPr>
            <w:r w:rsidRPr="001D41EA">
              <w:rPr>
                <w:rFonts w:cs="Arial"/>
                <w:sz w:val="18"/>
                <w:szCs w:val="18"/>
              </w:rPr>
              <w:t>780</w:t>
            </w:r>
          </w:p>
        </w:tc>
        <w:tc>
          <w:tcPr>
            <w:tcW w:w="1418" w:type="dxa"/>
            <w:tcBorders>
              <w:top w:val="nil"/>
              <w:left w:val="nil"/>
              <w:bottom w:val="nil"/>
              <w:right w:val="nil"/>
            </w:tcBorders>
            <w:shd w:val="clear" w:color="auto" w:fill="auto"/>
            <w:vAlign w:val="bottom"/>
          </w:tcPr>
          <w:p w14:paraId="6265F778" w14:textId="30DD8853" w:rsidR="002B721C" w:rsidRPr="001D41EA" w:rsidRDefault="002B721C" w:rsidP="001D41EA">
            <w:pPr>
              <w:spacing w:before="40" w:after="40"/>
              <w:jc w:val="right"/>
              <w:rPr>
                <w:rFonts w:cs="Arial"/>
                <w:sz w:val="18"/>
                <w:szCs w:val="18"/>
              </w:rPr>
            </w:pPr>
            <w:r w:rsidRPr="001D41EA">
              <w:rPr>
                <w:rFonts w:cs="Arial"/>
                <w:sz w:val="18"/>
                <w:szCs w:val="18"/>
              </w:rPr>
              <w:t>931</w:t>
            </w:r>
          </w:p>
        </w:tc>
        <w:tc>
          <w:tcPr>
            <w:tcW w:w="1134" w:type="dxa"/>
            <w:tcBorders>
              <w:top w:val="nil"/>
              <w:left w:val="nil"/>
              <w:bottom w:val="nil"/>
              <w:right w:val="nil"/>
            </w:tcBorders>
            <w:shd w:val="clear" w:color="auto" w:fill="auto"/>
            <w:vAlign w:val="bottom"/>
          </w:tcPr>
          <w:p w14:paraId="7CD3AC4D" w14:textId="3DC3B0F1" w:rsidR="002B721C" w:rsidRPr="001D41EA" w:rsidRDefault="002B721C" w:rsidP="001D41EA">
            <w:pPr>
              <w:spacing w:before="40" w:after="40"/>
              <w:jc w:val="right"/>
              <w:rPr>
                <w:rFonts w:cs="Arial"/>
                <w:sz w:val="18"/>
                <w:szCs w:val="18"/>
              </w:rPr>
            </w:pPr>
            <w:r w:rsidRPr="001D41EA">
              <w:rPr>
                <w:rFonts w:cs="Arial"/>
                <w:sz w:val="18"/>
                <w:szCs w:val="18"/>
              </w:rPr>
              <w:t>19.6</w:t>
            </w:r>
          </w:p>
        </w:tc>
        <w:tc>
          <w:tcPr>
            <w:tcW w:w="992" w:type="dxa"/>
            <w:tcBorders>
              <w:top w:val="nil"/>
              <w:left w:val="nil"/>
              <w:bottom w:val="nil"/>
              <w:right w:val="nil"/>
            </w:tcBorders>
            <w:shd w:val="clear" w:color="auto" w:fill="auto"/>
            <w:vAlign w:val="bottom"/>
          </w:tcPr>
          <w:p w14:paraId="5F8613E3" w14:textId="1767F0C2" w:rsidR="002B721C" w:rsidRPr="001D41EA" w:rsidRDefault="002B721C" w:rsidP="001D41EA">
            <w:pPr>
              <w:spacing w:before="40" w:after="40"/>
              <w:jc w:val="right"/>
              <w:rPr>
                <w:rFonts w:cs="Arial"/>
                <w:sz w:val="18"/>
                <w:szCs w:val="18"/>
              </w:rPr>
            </w:pPr>
            <w:r w:rsidRPr="001D41EA">
              <w:rPr>
                <w:rFonts w:cs="Arial"/>
                <w:sz w:val="18"/>
                <w:szCs w:val="18"/>
              </w:rPr>
              <w:t>184,345</w:t>
            </w:r>
          </w:p>
        </w:tc>
        <w:tc>
          <w:tcPr>
            <w:tcW w:w="985" w:type="dxa"/>
            <w:tcBorders>
              <w:top w:val="nil"/>
              <w:left w:val="nil"/>
              <w:bottom w:val="nil"/>
              <w:right w:val="nil"/>
            </w:tcBorders>
            <w:shd w:val="clear" w:color="auto" w:fill="auto"/>
            <w:vAlign w:val="bottom"/>
          </w:tcPr>
          <w:p w14:paraId="35B5C681" w14:textId="098C08D6" w:rsidR="002B721C" w:rsidRPr="001D41EA" w:rsidRDefault="002B721C" w:rsidP="001D41EA">
            <w:pPr>
              <w:spacing w:before="40" w:after="40"/>
              <w:jc w:val="right"/>
              <w:rPr>
                <w:rFonts w:cs="Arial"/>
                <w:sz w:val="18"/>
                <w:szCs w:val="18"/>
              </w:rPr>
            </w:pPr>
            <w:r w:rsidRPr="001D41EA">
              <w:rPr>
                <w:rFonts w:cs="Arial"/>
                <w:sz w:val="18"/>
                <w:szCs w:val="18"/>
              </w:rPr>
              <w:t>2,451</w:t>
            </w:r>
          </w:p>
        </w:tc>
        <w:tc>
          <w:tcPr>
            <w:tcW w:w="1247" w:type="dxa"/>
            <w:tcBorders>
              <w:top w:val="nil"/>
              <w:left w:val="nil"/>
              <w:bottom w:val="nil"/>
              <w:right w:val="nil"/>
            </w:tcBorders>
            <w:shd w:val="clear" w:color="auto" w:fill="auto"/>
            <w:vAlign w:val="bottom"/>
          </w:tcPr>
          <w:p w14:paraId="198D10F1" w14:textId="5C3BC2B9" w:rsidR="002B721C" w:rsidRPr="001D41EA" w:rsidRDefault="002B721C" w:rsidP="001D41EA">
            <w:pPr>
              <w:spacing w:before="40" w:after="40"/>
              <w:jc w:val="right"/>
              <w:rPr>
                <w:rFonts w:cs="Arial"/>
                <w:sz w:val="18"/>
                <w:szCs w:val="18"/>
              </w:rPr>
            </w:pPr>
            <w:r w:rsidRPr="001D41EA">
              <w:rPr>
                <w:rFonts w:cs="Arial"/>
                <w:sz w:val="18"/>
                <w:szCs w:val="18"/>
              </w:rPr>
              <w:t>11.3%</w:t>
            </w:r>
          </w:p>
        </w:tc>
      </w:tr>
      <w:tr w:rsidR="002B721C" w:rsidRPr="001D41EA" w14:paraId="76B73840" w14:textId="77777777" w:rsidTr="002B721C">
        <w:trPr>
          <w:trHeight w:val="20"/>
        </w:trPr>
        <w:tc>
          <w:tcPr>
            <w:tcW w:w="2268" w:type="dxa"/>
            <w:tcBorders>
              <w:top w:val="nil"/>
              <w:left w:val="nil"/>
              <w:bottom w:val="nil"/>
              <w:right w:val="single" w:sz="18" w:space="0" w:color="5F497A" w:themeColor="accent4" w:themeShade="BF"/>
            </w:tcBorders>
            <w:shd w:val="clear" w:color="auto" w:fill="auto"/>
            <w:vAlign w:val="center"/>
          </w:tcPr>
          <w:p w14:paraId="60EE095E" w14:textId="77777777" w:rsidR="002B721C" w:rsidRPr="001D41EA" w:rsidRDefault="002B721C" w:rsidP="001D41EA">
            <w:pPr>
              <w:spacing w:before="40" w:after="40"/>
              <w:rPr>
                <w:rFonts w:cs="Arial"/>
                <w:sz w:val="18"/>
                <w:szCs w:val="18"/>
              </w:rPr>
            </w:pPr>
            <w:r w:rsidRPr="001D41EA">
              <w:rPr>
                <w:rFonts w:cs="Arial"/>
                <w:sz w:val="18"/>
                <w:szCs w:val="18"/>
              </w:rPr>
              <w:t xml:space="preserve">Loddon S </w:t>
            </w:r>
          </w:p>
        </w:tc>
        <w:tc>
          <w:tcPr>
            <w:tcW w:w="1255" w:type="dxa"/>
            <w:tcBorders>
              <w:top w:val="nil"/>
              <w:left w:val="single" w:sz="18" w:space="0" w:color="5F497A" w:themeColor="accent4" w:themeShade="BF"/>
              <w:bottom w:val="nil"/>
              <w:right w:val="nil"/>
            </w:tcBorders>
            <w:shd w:val="clear" w:color="auto" w:fill="auto"/>
            <w:vAlign w:val="bottom"/>
          </w:tcPr>
          <w:p w14:paraId="26EA3B49" w14:textId="7BAA09E5" w:rsidR="002B721C" w:rsidRPr="001D41EA" w:rsidRDefault="002B721C" w:rsidP="001D41EA">
            <w:pPr>
              <w:spacing w:before="40" w:after="40"/>
              <w:jc w:val="right"/>
              <w:rPr>
                <w:rFonts w:cs="Arial"/>
                <w:sz w:val="18"/>
                <w:szCs w:val="18"/>
              </w:rPr>
            </w:pPr>
            <w:r w:rsidRPr="001D41EA">
              <w:rPr>
                <w:rFonts w:cs="Arial"/>
                <w:sz w:val="18"/>
                <w:szCs w:val="18"/>
              </w:rPr>
              <w:t>750</w:t>
            </w:r>
          </w:p>
        </w:tc>
        <w:tc>
          <w:tcPr>
            <w:tcW w:w="1418" w:type="dxa"/>
            <w:tcBorders>
              <w:top w:val="nil"/>
              <w:left w:val="nil"/>
              <w:bottom w:val="nil"/>
              <w:right w:val="nil"/>
            </w:tcBorders>
            <w:shd w:val="clear" w:color="auto" w:fill="auto"/>
            <w:vAlign w:val="bottom"/>
          </w:tcPr>
          <w:p w14:paraId="02F114B9" w14:textId="454A9C77" w:rsidR="002B721C" w:rsidRPr="001D41EA" w:rsidRDefault="002B721C" w:rsidP="001D41EA">
            <w:pPr>
              <w:spacing w:before="40" w:after="40"/>
              <w:jc w:val="right"/>
              <w:rPr>
                <w:rFonts w:cs="Arial"/>
                <w:sz w:val="18"/>
                <w:szCs w:val="18"/>
              </w:rPr>
            </w:pPr>
            <w:r w:rsidRPr="001D41EA">
              <w:rPr>
                <w:rFonts w:cs="Arial"/>
                <w:sz w:val="18"/>
                <w:szCs w:val="18"/>
              </w:rPr>
              <w:t>942</w:t>
            </w:r>
          </w:p>
        </w:tc>
        <w:tc>
          <w:tcPr>
            <w:tcW w:w="1134" w:type="dxa"/>
            <w:tcBorders>
              <w:top w:val="nil"/>
              <w:left w:val="nil"/>
              <w:bottom w:val="nil"/>
              <w:right w:val="nil"/>
            </w:tcBorders>
            <w:shd w:val="clear" w:color="auto" w:fill="auto"/>
            <w:vAlign w:val="bottom"/>
          </w:tcPr>
          <w:p w14:paraId="75B4AF55" w14:textId="5A6147E3" w:rsidR="002B721C" w:rsidRPr="001D41EA" w:rsidRDefault="002B721C" w:rsidP="001D41EA">
            <w:pPr>
              <w:spacing w:before="40" w:after="40"/>
              <w:jc w:val="right"/>
              <w:rPr>
                <w:rFonts w:cs="Arial"/>
                <w:sz w:val="18"/>
                <w:szCs w:val="18"/>
              </w:rPr>
            </w:pPr>
            <w:r w:rsidRPr="001D41EA">
              <w:rPr>
                <w:rFonts w:cs="Arial"/>
                <w:sz w:val="18"/>
                <w:szCs w:val="18"/>
              </w:rPr>
              <w:t>38.3</w:t>
            </w:r>
          </w:p>
        </w:tc>
        <w:tc>
          <w:tcPr>
            <w:tcW w:w="992" w:type="dxa"/>
            <w:tcBorders>
              <w:top w:val="nil"/>
              <w:left w:val="nil"/>
              <w:bottom w:val="nil"/>
              <w:right w:val="nil"/>
            </w:tcBorders>
            <w:shd w:val="clear" w:color="auto" w:fill="auto"/>
            <w:vAlign w:val="bottom"/>
          </w:tcPr>
          <w:p w14:paraId="2FB73D94" w14:textId="610FB451" w:rsidR="002B721C" w:rsidRPr="001D41EA" w:rsidRDefault="002B721C" w:rsidP="001D41EA">
            <w:pPr>
              <w:spacing w:before="40" w:after="40"/>
              <w:jc w:val="right"/>
              <w:rPr>
                <w:rFonts w:cs="Arial"/>
                <w:sz w:val="18"/>
                <w:szCs w:val="18"/>
              </w:rPr>
            </w:pPr>
            <w:r w:rsidRPr="001D41EA">
              <w:rPr>
                <w:rFonts w:cs="Arial"/>
                <w:sz w:val="18"/>
                <w:szCs w:val="18"/>
              </w:rPr>
              <w:t>15,563</w:t>
            </w:r>
          </w:p>
        </w:tc>
        <w:tc>
          <w:tcPr>
            <w:tcW w:w="985" w:type="dxa"/>
            <w:tcBorders>
              <w:top w:val="nil"/>
              <w:left w:val="nil"/>
              <w:bottom w:val="nil"/>
              <w:right w:val="nil"/>
            </w:tcBorders>
            <w:shd w:val="clear" w:color="auto" w:fill="auto"/>
            <w:vAlign w:val="bottom"/>
          </w:tcPr>
          <w:p w14:paraId="23C21E53" w14:textId="328573FF" w:rsidR="002B721C" w:rsidRPr="001D41EA" w:rsidRDefault="002B721C" w:rsidP="001D41EA">
            <w:pPr>
              <w:spacing w:before="40" w:after="40"/>
              <w:jc w:val="right"/>
              <w:rPr>
                <w:rFonts w:cs="Arial"/>
                <w:sz w:val="18"/>
                <w:szCs w:val="18"/>
              </w:rPr>
            </w:pPr>
            <w:r w:rsidRPr="001D41EA">
              <w:rPr>
                <w:rFonts w:cs="Arial"/>
                <w:sz w:val="18"/>
                <w:szCs w:val="18"/>
              </w:rPr>
              <w:t>2,071</w:t>
            </w:r>
          </w:p>
        </w:tc>
        <w:tc>
          <w:tcPr>
            <w:tcW w:w="1247" w:type="dxa"/>
            <w:tcBorders>
              <w:top w:val="nil"/>
              <w:left w:val="nil"/>
              <w:bottom w:val="nil"/>
              <w:right w:val="nil"/>
            </w:tcBorders>
            <w:shd w:val="clear" w:color="auto" w:fill="auto"/>
            <w:vAlign w:val="bottom"/>
          </w:tcPr>
          <w:p w14:paraId="69121B89" w14:textId="44BFDF0B" w:rsidR="002B721C" w:rsidRPr="001D41EA" w:rsidRDefault="002B721C" w:rsidP="001D41EA">
            <w:pPr>
              <w:spacing w:before="40" w:after="40"/>
              <w:jc w:val="right"/>
              <w:rPr>
                <w:rFonts w:cs="Arial"/>
                <w:sz w:val="18"/>
                <w:szCs w:val="18"/>
              </w:rPr>
            </w:pPr>
            <w:r w:rsidRPr="001D41EA">
              <w:rPr>
                <w:rFonts w:cs="Arial"/>
                <w:sz w:val="18"/>
                <w:szCs w:val="18"/>
              </w:rPr>
              <w:t>2.0%</w:t>
            </w:r>
          </w:p>
        </w:tc>
      </w:tr>
    </w:tbl>
    <w:p w14:paraId="6DF5D526" w14:textId="77777777" w:rsidR="00FD2C82" w:rsidRPr="00A44829" w:rsidRDefault="00FD2C82" w:rsidP="00FF36E8">
      <w:pPr>
        <w:spacing w:before="40" w:after="20"/>
        <w:rPr>
          <w:rFonts w:cs="Arial"/>
          <w:sz w:val="18"/>
          <w:szCs w:val="18"/>
        </w:rPr>
      </w:pPr>
    </w:p>
    <w:p w14:paraId="0AFF1436" w14:textId="77777777" w:rsidR="00D67755" w:rsidRPr="00A44829" w:rsidRDefault="00D67755" w:rsidP="00FF36E8">
      <w:pPr>
        <w:spacing w:before="40" w:after="20"/>
        <w:rPr>
          <w:rFonts w:cs="Arial"/>
          <w:sz w:val="18"/>
          <w:szCs w:val="18"/>
        </w:rPr>
      </w:pPr>
      <w:r w:rsidRPr="00A44829">
        <w:rPr>
          <w:rFonts w:cs="Arial"/>
          <w:sz w:val="18"/>
          <w:szCs w:val="18"/>
        </w:rPr>
        <w:br w:type="page"/>
      </w:r>
    </w:p>
    <w:p w14:paraId="76B70367" w14:textId="76F77797" w:rsidR="00D67755" w:rsidRPr="00A44829" w:rsidRDefault="00EE4593" w:rsidP="00C33713">
      <w:pPr>
        <w:pStyle w:val="VGC-Head10"/>
      </w:pPr>
      <w:r w:rsidRPr="00A44829">
        <w:lastRenderedPageBreak/>
        <w:t>2019-20</w:t>
      </w:r>
      <w:r w:rsidR="00A97ABE" w:rsidRPr="00A44829">
        <w:t xml:space="preserve"> </w:t>
      </w:r>
      <w:r w:rsidR="00D67755" w:rsidRPr="00A44829">
        <w:t>General Purpose Grants</w:t>
      </w:r>
      <w:r w:rsidR="00CE4507" w:rsidRPr="00A44829">
        <w:tab/>
        <w:t>Appendix 4</w:t>
      </w:r>
    </w:p>
    <w:p w14:paraId="660A7190" w14:textId="77777777" w:rsidR="00D67755" w:rsidRPr="00A44829" w:rsidRDefault="004F1184" w:rsidP="008C1A28">
      <w:pPr>
        <w:pStyle w:val="VGC-Head2"/>
      </w:pPr>
      <w:r w:rsidRPr="00A44829">
        <w:tab/>
      </w:r>
      <w:r w:rsidR="00D67755" w:rsidRPr="00A44829">
        <w:t>G.  Revenue Adjustors – Raw Data</w:t>
      </w:r>
    </w:p>
    <w:p w14:paraId="39B397ED" w14:textId="77777777" w:rsidR="00F27956" w:rsidRPr="00A44829" w:rsidRDefault="00F27956"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33"/>
        <w:gridCol w:w="1236"/>
        <w:gridCol w:w="1397"/>
        <w:gridCol w:w="1117"/>
        <w:gridCol w:w="1117"/>
        <w:gridCol w:w="971"/>
        <w:gridCol w:w="1228"/>
      </w:tblGrid>
      <w:tr w:rsidR="00327AC7" w:rsidRPr="00A44829" w14:paraId="50F41CF7" w14:textId="77777777" w:rsidTr="00B44BBE">
        <w:trPr>
          <w:trHeight w:val="20"/>
          <w:tblHeader/>
        </w:trPr>
        <w:tc>
          <w:tcPr>
            <w:tcW w:w="2233" w:type="dxa"/>
            <w:tcBorders>
              <w:top w:val="nil"/>
              <w:left w:val="nil"/>
              <w:right w:val="single" w:sz="18" w:space="0" w:color="5F497A" w:themeColor="accent4" w:themeShade="BF"/>
            </w:tcBorders>
            <w:shd w:val="clear" w:color="auto" w:fill="auto"/>
            <w:vAlign w:val="bottom"/>
          </w:tcPr>
          <w:p w14:paraId="39D8272E" w14:textId="77777777" w:rsidR="00327AC7" w:rsidRPr="00A44829" w:rsidRDefault="00327AC7" w:rsidP="008001AD">
            <w:pPr>
              <w:spacing w:before="40" w:after="20"/>
              <w:jc w:val="center"/>
              <w:rPr>
                <w:rFonts w:cs="Arial"/>
                <w:sz w:val="18"/>
                <w:szCs w:val="18"/>
              </w:rPr>
            </w:pPr>
          </w:p>
        </w:tc>
        <w:tc>
          <w:tcPr>
            <w:tcW w:w="1236" w:type="dxa"/>
            <w:vMerge w:val="restart"/>
            <w:tcBorders>
              <w:left w:val="single" w:sz="18" w:space="0" w:color="5F497A" w:themeColor="accent4" w:themeShade="BF"/>
              <w:bottom w:val="single" w:sz="8" w:space="0" w:color="5F497A" w:themeColor="accent4" w:themeShade="BF"/>
              <w:right w:val="nil"/>
            </w:tcBorders>
            <w:shd w:val="clear" w:color="auto" w:fill="auto"/>
            <w:tcMar>
              <w:left w:w="57" w:type="dxa"/>
              <w:right w:w="57" w:type="dxa"/>
            </w:tcMar>
            <w:vAlign w:val="bottom"/>
          </w:tcPr>
          <w:p w14:paraId="3463DF83" w14:textId="79C4EBE2" w:rsidR="00327AC7" w:rsidRPr="00A44829" w:rsidRDefault="003723B7" w:rsidP="008001AD">
            <w:pPr>
              <w:spacing w:before="40" w:after="20"/>
              <w:jc w:val="center"/>
              <w:rPr>
                <w:rFonts w:cs="Arial"/>
                <w:sz w:val="18"/>
                <w:szCs w:val="18"/>
              </w:rPr>
            </w:pPr>
            <w:r w:rsidRPr="003723B7">
              <w:rPr>
                <w:rFonts w:cs="Arial"/>
                <w:b/>
                <w:sz w:val="16"/>
                <w:szCs w:val="16"/>
              </w:rPr>
              <w:t>Median Weekly Household Income &gt;60yr</w:t>
            </w:r>
            <w:r w:rsidRPr="003723B7">
              <w:rPr>
                <w:rFonts w:cs="Arial"/>
                <w:b/>
                <w:sz w:val="16"/>
                <w:szCs w:val="16"/>
              </w:rPr>
              <w:br/>
            </w:r>
            <w:r w:rsidR="00327AC7" w:rsidRPr="00A44829">
              <w:rPr>
                <w:rFonts w:cs="Arial"/>
                <w:sz w:val="16"/>
                <w:szCs w:val="16"/>
              </w:rPr>
              <w:t>(</w:t>
            </w:r>
            <w:r w:rsidR="006D4C53" w:rsidRPr="00A44829">
              <w:rPr>
                <w:rFonts w:cs="Arial"/>
                <w:sz w:val="16"/>
                <w:szCs w:val="16"/>
              </w:rPr>
              <w:t>Census 2016</w:t>
            </w:r>
            <w:r w:rsidR="00327AC7" w:rsidRPr="00A44829">
              <w:rPr>
                <w:rFonts w:cs="Arial"/>
                <w:sz w:val="16"/>
                <w:szCs w:val="16"/>
              </w:rPr>
              <w:t xml:space="preserve">) </w:t>
            </w:r>
            <w:r w:rsidR="00327AC7" w:rsidRPr="00A44829">
              <w:rPr>
                <w:rFonts w:cs="Arial"/>
                <w:sz w:val="16"/>
                <w:szCs w:val="16"/>
              </w:rPr>
              <w:br/>
              <w:t>($)</w:t>
            </w:r>
          </w:p>
        </w:tc>
        <w:tc>
          <w:tcPr>
            <w:tcW w:w="1397" w:type="dxa"/>
            <w:vMerge w:val="restart"/>
            <w:tcBorders>
              <w:left w:val="nil"/>
              <w:bottom w:val="single" w:sz="8" w:space="0" w:color="5F497A" w:themeColor="accent4" w:themeShade="BF"/>
              <w:right w:val="nil"/>
            </w:tcBorders>
            <w:shd w:val="clear" w:color="auto" w:fill="auto"/>
            <w:tcMar>
              <w:left w:w="57" w:type="dxa"/>
              <w:right w:w="57" w:type="dxa"/>
            </w:tcMar>
            <w:vAlign w:val="bottom"/>
          </w:tcPr>
          <w:p w14:paraId="76826939" w14:textId="6B51F4F9" w:rsidR="00327AC7" w:rsidRPr="00A44829" w:rsidRDefault="00327AC7" w:rsidP="008001AD">
            <w:pPr>
              <w:spacing w:before="40" w:after="20"/>
              <w:jc w:val="center"/>
              <w:rPr>
                <w:rFonts w:cs="Arial"/>
                <w:sz w:val="18"/>
                <w:szCs w:val="18"/>
              </w:rPr>
            </w:pPr>
            <w:r w:rsidRPr="00A44829">
              <w:rPr>
                <w:rFonts w:cs="Arial"/>
                <w:b/>
                <w:sz w:val="18"/>
                <w:szCs w:val="18"/>
              </w:rPr>
              <w:t>Socio-Economic Disadvantage Index</w:t>
            </w:r>
            <w:r w:rsidR="005B58BE">
              <w:rPr>
                <w:rFonts w:cs="Arial"/>
                <w:b/>
                <w:sz w:val="18"/>
                <w:szCs w:val="18"/>
              </w:rPr>
              <w:t xml:space="preserve"> SEIFA</w:t>
            </w:r>
            <w:r w:rsidRPr="00A44829">
              <w:rPr>
                <w:rFonts w:cs="Arial"/>
                <w:b/>
                <w:sz w:val="18"/>
                <w:szCs w:val="18"/>
              </w:rPr>
              <w:br/>
            </w:r>
            <w:r w:rsidRPr="00A44829">
              <w:rPr>
                <w:rFonts w:cs="Arial"/>
                <w:sz w:val="16"/>
                <w:szCs w:val="16"/>
              </w:rPr>
              <w:t>(</w:t>
            </w:r>
            <w:r w:rsidR="006D4C53" w:rsidRPr="00A44829">
              <w:rPr>
                <w:rFonts w:cs="Arial"/>
                <w:sz w:val="16"/>
                <w:szCs w:val="16"/>
              </w:rPr>
              <w:t>Census 2016</w:t>
            </w:r>
            <w:r w:rsidRPr="00A44829">
              <w:rPr>
                <w:rFonts w:cs="Arial"/>
                <w:sz w:val="16"/>
                <w:szCs w:val="16"/>
              </w:rPr>
              <w:t>)</w:t>
            </w:r>
          </w:p>
        </w:tc>
        <w:tc>
          <w:tcPr>
            <w:tcW w:w="1117" w:type="dxa"/>
            <w:vMerge w:val="restart"/>
            <w:tcBorders>
              <w:left w:val="nil"/>
              <w:bottom w:val="single" w:sz="8" w:space="0" w:color="5F497A" w:themeColor="accent4" w:themeShade="BF"/>
              <w:right w:val="nil"/>
            </w:tcBorders>
            <w:shd w:val="clear" w:color="auto" w:fill="auto"/>
            <w:tcMar>
              <w:left w:w="57" w:type="dxa"/>
              <w:right w:w="57" w:type="dxa"/>
            </w:tcMar>
            <w:vAlign w:val="bottom"/>
          </w:tcPr>
          <w:p w14:paraId="040B983C" w14:textId="77777777" w:rsidR="00327AC7" w:rsidRPr="00A44829" w:rsidRDefault="00327AC7" w:rsidP="005911C9">
            <w:pPr>
              <w:spacing w:before="40" w:after="20"/>
              <w:jc w:val="center"/>
              <w:rPr>
                <w:rFonts w:cs="Arial"/>
                <w:sz w:val="16"/>
                <w:szCs w:val="16"/>
              </w:rPr>
            </w:pPr>
            <w:r w:rsidRPr="00A44829">
              <w:rPr>
                <w:rFonts w:cs="Arial"/>
                <w:b/>
                <w:sz w:val="18"/>
                <w:szCs w:val="18"/>
              </w:rPr>
              <w:t xml:space="preserve">Tourism </w:t>
            </w:r>
            <w:r w:rsidRPr="00A44829">
              <w:rPr>
                <w:rFonts w:cs="Arial"/>
                <w:b/>
                <w:sz w:val="18"/>
                <w:szCs w:val="18"/>
              </w:rPr>
              <w:br/>
            </w:r>
            <w:r w:rsidRPr="00A44829">
              <w:rPr>
                <w:rFonts w:cs="Arial"/>
                <w:sz w:val="16"/>
                <w:szCs w:val="16"/>
              </w:rPr>
              <w:t xml:space="preserve">(visits per capita) </w:t>
            </w:r>
            <w:r w:rsidRPr="00A44829">
              <w:rPr>
                <w:rFonts w:cs="Arial"/>
                <w:sz w:val="16"/>
                <w:szCs w:val="16"/>
              </w:rPr>
              <w:br/>
              <w:t>(</w:t>
            </w:r>
            <w:r w:rsidR="005911C9" w:rsidRPr="00A44829">
              <w:rPr>
                <w:rFonts w:cs="Arial"/>
                <w:sz w:val="16"/>
                <w:szCs w:val="16"/>
              </w:rPr>
              <w:t>4</w:t>
            </w:r>
            <w:r w:rsidRPr="00A44829">
              <w:rPr>
                <w:rFonts w:cs="Arial"/>
                <w:sz w:val="16"/>
                <w:szCs w:val="16"/>
              </w:rPr>
              <w:t xml:space="preserve"> year average)</w:t>
            </w:r>
          </w:p>
        </w:tc>
        <w:tc>
          <w:tcPr>
            <w:tcW w:w="2088" w:type="dxa"/>
            <w:gridSpan w:val="2"/>
            <w:tcBorders>
              <w:left w:val="nil"/>
              <w:bottom w:val="single" w:sz="8" w:space="0" w:color="5F497A" w:themeColor="accent4" w:themeShade="BF"/>
              <w:right w:val="nil"/>
            </w:tcBorders>
            <w:shd w:val="clear" w:color="auto" w:fill="auto"/>
            <w:tcMar>
              <w:left w:w="57" w:type="dxa"/>
              <w:right w:w="57" w:type="dxa"/>
            </w:tcMar>
            <w:vAlign w:val="bottom"/>
          </w:tcPr>
          <w:p w14:paraId="4BDBF842" w14:textId="63AF398B" w:rsidR="00327AC7" w:rsidRPr="00A44829" w:rsidRDefault="00327AC7" w:rsidP="008001AD">
            <w:pPr>
              <w:spacing w:before="40" w:after="20"/>
              <w:jc w:val="center"/>
              <w:rPr>
                <w:rFonts w:cs="Arial"/>
                <w:b/>
                <w:sz w:val="18"/>
                <w:szCs w:val="18"/>
              </w:rPr>
            </w:pPr>
            <w:r w:rsidRPr="00A44829">
              <w:rPr>
                <w:rFonts w:cs="Arial"/>
                <w:b/>
                <w:sz w:val="18"/>
                <w:szCs w:val="18"/>
              </w:rPr>
              <w:t>Building Approvals</w:t>
            </w:r>
            <w:r w:rsidR="005B58BE">
              <w:rPr>
                <w:rFonts w:cs="Arial"/>
                <w:b/>
                <w:sz w:val="18"/>
                <w:szCs w:val="18"/>
              </w:rPr>
              <w:t xml:space="preserve"> Value</w:t>
            </w:r>
          </w:p>
        </w:tc>
        <w:tc>
          <w:tcPr>
            <w:tcW w:w="1228" w:type="dxa"/>
            <w:vMerge w:val="restart"/>
            <w:tcBorders>
              <w:left w:val="nil"/>
              <w:bottom w:val="single" w:sz="8" w:space="0" w:color="5F497A" w:themeColor="accent4" w:themeShade="BF"/>
              <w:right w:val="nil"/>
            </w:tcBorders>
            <w:shd w:val="clear" w:color="auto" w:fill="auto"/>
            <w:tcMar>
              <w:left w:w="57" w:type="dxa"/>
              <w:right w:w="57" w:type="dxa"/>
            </w:tcMar>
            <w:vAlign w:val="bottom"/>
          </w:tcPr>
          <w:p w14:paraId="50CFDA3C" w14:textId="53AD686D" w:rsidR="00327AC7" w:rsidRPr="00A44829" w:rsidRDefault="00327AC7" w:rsidP="008001AD">
            <w:pPr>
              <w:spacing w:before="40" w:after="20"/>
              <w:jc w:val="center"/>
              <w:rPr>
                <w:rFonts w:cs="Arial"/>
                <w:b/>
                <w:sz w:val="18"/>
                <w:szCs w:val="18"/>
              </w:rPr>
            </w:pPr>
            <w:r w:rsidRPr="00A44829">
              <w:rPr>
                <w:rFonts w:cs="Arial"/>
                <w:b/>
                <w:sz w:val="18"/>
                <w:szCs w:val="18"/>
              </w:rPr>
              <w:t>Proportion Commercial to Total CIV</w:t>
            </w:r>
            <w:r w:rsidRPr="00A44829">
              <w:rPr>
                <w:rFonts w:cs="Arial"/>
                <w:b/>
                <w:sz w:val="18"/>
                <w:szCs w:val="18"/>
              </w:rPr>
              <w:br/>
            </w:r>
            <w:r w:rsidRPr="00A44829">
              <w:rPr>
                <w:rFonts w:cs="Arial"/>
                <w:sz w:val="16"/>
                <w:szCs w:val="16"/>
              </w:rPr>
              <w:t>(</w:t>
            </w:r>
            <w:r w:rsidR="00EE4593" w:rsidRPr="00A44829">
              <w:rPr>
                <w:rFonts w:cs="Arial"/>
                <w:sz w:val="16"/>
                <w:szCs w:val="16"/>
              </w:rPr>
              <w:t>June 2018</w:t>
            </w:r>
            <w:r w:rsidRPr="00A44829">
              <w:rPr>
                <w:rFonts w:cs="Arial"/>
                <w:sz w:val="16"/>
                <w:szCs w:val="16"/>
              </w:rPr>
              <w:t>)</w:t>
            </w:r>
            <w:r w:rsidRPr="00A44829">
              <w:rPr>
                <w:rFonts w:cs="Arial"/>
                <w:sz w:val="18"/>
                <w:szCs w:val="18"/>
              </w:rPr>
              <w:t xml:space="preserve"> </w:t>
            </w:r>
            <w:r w:rsidRPr="00A44829">
              <w:rPr>
                <w:rFonts w:cs="Arial"/>
                <w:sz w:val="18"/>
                <w:szCs w:val="18"/>
              </w:rPr>
              <w:br/>
              <w:t>(%)</w:t>
            </w:r>
          </w:p>
        </w:tc>
      </w:tr>
      <w:tr w:rsidR="00327AC7" w:rsidRPr="00A44829" w14:paraId="673D43FA" w14:textId="77777777" w:rsidTr="00B44BBE">
        <w:trPr>
          <w:trHeight w:val="20"/>
          <w:tblHeader/>
        </w:trPr>
        <w:tc>
          <w:tcPr>
            <w:tcW w:w="2233" w:type="dxa"/>
            <w:tcBorders>
              <w:top w:val="nil"/>
              <w:left w:val="nil"/>
              <w:right w:val="single" w:sz="18" w:space="0" w:color="5F497A" w:themeColor="accent4" w:themeShade="BF"/>
            </w:tcBorders>
            <w:shd w:val="clear" w:color="auto" w:fill="auto"/>
            <w:vAlign w:val="bottom"/>
          </w:tcPr>
          <w:p w14:paraId="40082285" w14:textId="77777777" w:rsidR="00327AC7" w:rsidRPr="00A44829" w:rsidRDefault="00327AC7" w:rsidP="008001AD">
            <w:pPr>
              <w:spacing w:before="40" w:after="20"/>
              <w:jc w:val="center"/>
              <w:rPr>
                <w:rFonts w:cs="Arial"/>
                <w:sz w:val="18"/>
                <w:szCs w:val="18"/>
              </w:rPr>
            </w:pPr>
          </w:p>
        </w:tc>
        <w:tc>
          <w:tcPr>
            <w:tcW w:w="1236" w:type="dxa"/>
            <w:vMerge/>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57" w:type="dxa"/>
              <w:right w:w="57" w:type="dxa"/>
            </w:tcMar>
            <w:vAlign w:val="bottom"/>
          </w:tcPr>
          <w:p w14:paraId="13212CA6" w14:textId="77777777" w:rsidR="00327AC7" w:rsidRPr="00A44829" w:rsidRDefault="00327AC7" w:rsidP="008001AD">
            <w:pPr>
              <w:spacing w:before="40" w:after="20"/>
              <w:jc w:val="center"/>
              <w:rPr>
                <w:rFonts w:cs="Arial"/>
                <w:b/>
                <w:sz w:val="18"/>
                <w:szCs w:val="18"/>
              </w:rPr>
            </w:pPr>
          </w:p>
        </w:tc>
        <w:tc>
          <w:tcPr>
            <w:tcW w:w="1397" w:type="dxa"/>
            <w:vMerge/>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7ABA9818" w14:textId="77777777" w:rsidR="00327AC7" w:rsidRPr="00A44829" w:rsidRDefault="00327AC7" w:rsidP="008001AD">
            <w:pPr>
              <w:spacing w:before="40" w:after="20"/>
              <w:jc w:val="center"/>
              <w:rPr>
                <w:rFonts w:cs="Arial"/>
                <w:b/>
                <w:sz w:val="18"/>
                <w:szCs w:val="18"/>
              </w:rPr>
            </w:pPr>
          </w:p>
        </w:tc>
        <w:tc>
          <w:tcPr>
            <w:tcW w:w="1117" w:type="dxa"/>
            <w:vMerge/>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6369CEF9" w14:textId="77777777" w:rsidR="00327AC7" w:rsidRPr="00A44829" w:rsidRDefault="00327AC7" w:rsidP="008001AD">
            <w:pPr>
              <w:spacing w:before="40" w:after="20"/>
              <w:jc w:val="center"/>
              <w:rPr>
                <w:rFonts w:cs="Arial"/>
                <w:b/>
                <w:sz w:val="18"/>
                <w:szCs w:val="18"/>
              </w:rPr>
            </w:pPr>
          </w:p>
        </w:tc>
        <w:tc>
          <w:tcPr>
            <w:tcW w:w="1117" w:type="dxa"/>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6D3602D7" w14:textId="77777777" w:rsidR="00327AC7" w:rsidRPr="00A44829" w:rsidRDefault="00327AC7" w:rsidP="008001AD">
            <w:pPr>
              <w:spacing w:before="40" w:after="20"/>
              <w:jc w:val="center"/>
              <w:rPr>
                <w:rFonts w:cs="Arial"/>
                <w:sz w:val="16"/>
                <w:szCs w:val="16"/>
              </w:rPr>
            </w:pPr>
            <w:r w:rsidRPr="00A44829">
              <w:rPr>
                <w:rFonts w:cs="Arial"/>
                <w:sz w:val="16"/>
                <w:szCs w:val="16"/>
              </w:rPr>
              <w:t>($000's)</w:t>
            </w:r>
          </w:p>
        </w:tc>
        <w:tc>
          <w:tcPr>
            <w:tcW w:w="971" w:type="dxa"/>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4C17F0E2" w14:textId="77777777" w:rsidR="00327AC7" w:rsidRPr="00A44829" w:rsidRDefault="00327AC7" w:rsidP="005D04BF">
            <w:pPr>
              <w:spacing w:before="40" w:after="20"/>
              <w:jc w:val="center"/>
              <w:rPr>
                <w:rFonts w:cs="Arial"/>
                <w:sz w:val="16"/>
                <w:szCs w:val="16"/>
              </w:rPr>
            </w:pPr>
            <w:r w:rsidRPr="00A44829">
              <w:rPr>
                <w:rFonts w:cs="Arial"/>
                <w:sz w:val="16"/>
                <w:szCs w:val="16"/>
              </w:rPr>
              <w:t xml:space="preserve">per 1000 </w:t>
            </w:r>
            <w:r w:rsidR="005D04BF" w:rsidRPr="00A44829">
              <w:rPr>
                <w:rFonts w:cs="Arial"/>
                <w:sz w:val="16"/>
                <w:szCs w:val="16"/>
              </w:rPr>
              <w:t>p</w:t>
            </w:r>
            <w:r w:rsidRPr="00A44829">
              <w:rPr>
                <w:rFonts w:cs="Arial"/>
                <w:sz w:val="16"/>
                <w:szCs w:val="16"/>
              </w:rPr>
              <w:t>opulation</w:t>
            </w:r>
          </w:p>
        </w:tc>
        <w:tc>
          <w:tcPr>
            <w:tcW w:w="1228" w:type="dxa"/>
            <w:vMerge/>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4D80F4D4" w14:textId="77777777" w:rsidR="00327AC7" w:rsidRPr="00A44829" w:rsidRDefault="00327AC7" w:rsidP="008001AD">
            <w:pPr>
              <w:spacing w:before="40" w:after="20"/>
              <w:jc w:val="center"/>
              <w:rPr>
                <w:rFonts w:cs="Arial"/>
                <w:b/>
                <w:sz w:val="18"/>
                <w:szCs w:val="18"/>
              </w:rPr>
            </w:pPr>
          </w:p>
        </w:tc>
      </w:tr>
      <w:tr w:rsidR="002B721C" w:rsidRPr="001D41EA" w14:paraId="3C8F0F33" w14:textId="77777777" w:rsidTr="00B44BBE">
        <w:trPr>
          <w:trHeight w:val="20"/>
          <w:tblHeader/>
        </w:trPr>
        <w:tc>
          <w:tcPr>
            <w:tcW w:w="2233" w:type="dxa"/>
            <w:tcBorders>
              <w:left w:val="nil"/>
              <w:bottom w:val="nil"/>
              <w:right w:val="single" w:sz="18" w:space="0" w:color="5F497A" w:themeColor="accent4" w:themeShade="BF"/>
            </w:tcBorders>
            <w:shd w:val="clear" w:color="auto" w:fill="auto"/>
            <w:vAlign w:val="center"/>
          </w:tcPr>
          <w:p w14:paraId="3465BB4B" w14:textId="77777777" w:rsidR="002B721C" w:rsidRPr="001D41EA" w:rsidRDefault="002B721C" w:rsidP="001D41EA">
            <w:pPr>
              <w:spacing w:before="40" w:after="20"/>
              <w:rPr>
                <w:rFonts w:cs="Arial"/>
                <w:sz w:val="18"/>
                <w:szCs w:val="18"/>
              </w:rPr>
            </w:pPr>
          </w:p>
        </w:tc>
        <w:tc>
          <w:tcPr>
            <w:tcW w:w="1236"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3DCEEE2F" w14:textId="39D3B7BF" w:rsidR="002B721C" w:rsidRPr="001D41EA" w:rsidRDefault="002B721C" w:rsidP="001D41EA">
            <w:pPr>
              <w:spacing w:before="40" w:after="20"/>
              <w:jc w:val="right"/>
              <w:rPr>
                <w:rFonts w:cs="Arial"/>
                <w:sz w:val="18"/>
                <w:szCs w:val="18"/>
              </w:rPr>
            </w:pPr>
            <w:r w:rsidRPr="001D41EA">
              <w:rPr>
                <w:rFonts w:cs="Arial"/>
                <w:sz w:val="18"/>
                <w:szCs w:val="18"/>
              </w:rPr>
              <w:t> </w:t>
            </w:r>
          </w:p>
        </w:tc>
        <w:tc>
          <w:tcPr>
            <w:tcW w:w="1397" w:type="dxa"/>
            <w:tcBorders>
              <w:top w:val="single" w:sz="8" w:space="0" w:color="5F497A" w:themeColor="accent4" w:themeShade="BF"/>
              <w:left w:val="nil"/>
              <w:bottom w:val="nil"/>
              <w:right w:val="nil"/>
            </w:tcBorders>
            <w:shd w:val="clear" w:color="auto" w:fill="auto"/>
            <w:vAlign w:val="bottom"/>
          </w:tcPr>
          <w:p w14:paraId="469454EB" w14:textId="77777777" w:rsidR="002B721C" w:rsidRPr="001D41EA" w:rsidRDefault="002B721C" w:rsidP="001D41EA">
            <w:pPr>
              <w:spacing w:before="40" w:after="20"/>
              <w:jc w:val="right"/>
              <w:rPr>
                <w:rFonts w:cs="Arial"/>
                <w:sz w:val="18"/>
                <w:szCs w:val="18"/>
              </w:rPr>
            </w:pPr>
          </w:p>
        </w:tc>
        <w:tc>
          <w:tcPr>
            <w:tcW w:w="1117" w:type="dxa"/>
            <w:tcBorders>
              <w:top w:val="single" w:sz="8" w:space="0" w:color="5F497A" w:themeColor="accent4" w:themeShade="BF"/>
              <w:left w:val="nil"/>
              <w:bottom w:val="nil"/>
              <w:right w:val="nil"/>
            </w:tcBorders>
            <w:shd w:val="clear" w:color="auto" w:fill="auto"/>
            <w:vAlign w:val="bottom"/>
          </w:tcPr>
          <w:p w14:paraId="438A9F07" w14:textId="77777777" w:rsidR="002B721C" w:rsidRPr="001D41EA" w:rsidRDefault="002B721C" w:rsidP="001D41EA">
            <w:pPr>
              <w:spacing w:before="40" w:after="20"/>
              <w:jc w:val="right"/>
              <w:rPr>
                <w:rFonts w:cs="Arial"/>
                <w:sz w:val="18"/>
                <w:szCs w:val="18"/>
              </w:rPr>
            </w:pPr>
          </w:p>
        </w:tc>
        <w:tc>
          <w:tcPr>
            <w:tcW w:w="1117" w:type="dxa"/>
            <w:tcBorders>
              <w:top w:val="single" w:sz="8" w:space="0" w:color="5F497A" w:themeColor="accent4" w:themeShade="BF"/>
              <w:left w:val="nil"/>
              <w:bottom w:val="nil"/>
              <w:right w:val="nil"/>
            </w:tcBorders>
            <w:shd w:val="clear" w:color="auto" w:fill="auto"/>
            <w:vAlign w:val="bottom"/>
          </w:tcPr>
          <w:p w14:paraId="38039959" w14:textId="77777777" w:rsidR="002B721C" w:rsidRPr="001D41EA" w:rsidRDefault="002B721C" w:rsidP="001D41EA">
            <w:pPr>
              <w:spacing w:before="40" w:after="20"/>
              <w:jc w:val="right"/>
              <w:rPr>
                <w:rFonts w:cs="Arial"/>
                <w:sz w:val="18"/>
                <w:szCs w:val="18"/>
              </w:rPr>
            </w:pPr>
          </w:p>
        </w:tc>
        <w:tc>
          <w:tcPr>
            <w:tcW w:w="971" w:type="dxa"/>
            <w:tcBorders>
              <w:top w:val="single" w:sz="8" w:space="0" w:color="5F497A" w:themeColor="accent4" w:themeShade="BF"/>
              <w:left w:val="nil"/>
              <w:bottom w:val="nil"/>
              <w:right w:val="nil"/>
            </w:tcBorders>
            <w:shd w:val="clear" w:color="auto" w:fill="auto"/>
            <w:vAlign w:val="bottom"/>
          </w:tcPr>
          <w:p w14:paraId="7D1EC1F2" w14:textId="77777777" w:rsidR="002B721C" w:rsidRPr="001D41EA" w:rsidRDefault="002B721C" w:rsidP="001D41EA">
            <w:pPr>
              <w:spacing w:before="40" w:after="20"/>
              <w:jc w:val="right"/>
              <w:rPr>
                <w:rFonts w:cs="Arial"/>
                <w:sz w:val="18"/>
                <w:szCs w:val="18"/>
              </w:rPr>
            </w:pPr>
          </w:p>
        </w:tc>
        <w:tc>
          <w:tcPr>
            <w:tcW w:w="1228" w:type="dxa"/>
            <w:tcBorders>
              <w:top w:val="single" w:sz="8" w:space="0" w:color="5F497A" w:themeColor="accent4" w:themeShade="BF"/>
              <w:left w:val="nil"/>
              <w:bottom w:val="nil"/>
              <w:right w:val="nil"/>
            </w:tcBorders>
            <w:shd w:val="clear" w:color="auto" w:fill="auto"/>
            <w:vAlign w:val="bottom"/>
          </w:tcPr>
          <w:p w14:paraId="20036038" w14:textId="5DC8B9E2" w:rsidR="002B721C" w:rsidRPr="001D41EA" w:rsidRDefault="002B721C" w:rsidP="001D41EA">
            <w:pPr>
              <w:spacing w:before="40" w:after="20"/>
              <w:jc w:val="right"/>
              <w:rPr>
                <w:rFonts w:cs="Arial"/>
                <w:sz w:val="18"/>
                <w:szCs w:val="18"/>
              </w:rPr>
            </w:pPr>
            <w:r w:rsidRPr="001D41EA">
              <w:rPr>
                <w:rFonts w:cs="Arial"/>
                <w:sz w:val="18"/>
                <w:szCs w:val="18"/>
              </w:rPr>
              <w:t> </w:t>
            </w:r>
          </w:p>
        </w:tc>
      </w:tr>
      <w:tr w:rsidR="002B721C" w:rsidRPr="001D41EA" w14:paraId="6C4AC049"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5746DC9C" w14:textId="77777777" w:rsidR="002B721C" w:rsidRPr="001D41EA" w:rsidRDefault="002B721C" w:rsidP="001D41EA">
            <w:pPr>
              <w:spacing w:before="40" w:after="20"/>
              <w:rPr>
                <w:rFonts w:cs="Arial"/>
                <w:sz w:val="18"/>
                <w:szCs w:val="18"/>
              </w:rPr>
            </w:pPr>
            <w:r w:rsidRPr="001D41EA">
              <w:rPr>
                <w:rFonts w:cs="Arial"/>
                <w:sz w:val="18"/>
                <w:szCs w:val="18"/>
              </w:rPr>
              <w:t xml:space="preserve">Macedon Ranges S </w:t>
            </w:r>
          </w:p>
        </w:tc>
        <w:tc>
          <w:tcPr>
            <w:tcW w:w="1236" w:type="dxa"/>
            <w:tcBorders>
              <w:top w:val="nil"/>
              <w:left w:val="single" w:sz="18" w:space="0" w:color="5F497A" w:themeColor="accent4" w:themeShade="BF"/>
              <w:bottom w:val="nil"/>
              <w:right w:val="nil"/>
            </w:tcBorders>
            <w:shd w:val="clear" w:color="auto" w:fill="auto"/>
            <w:vAlign w:val="bottom"/>
          </w:tcPr>
          <w:p w14:paraId="548A38A5" w14:textId="788FE897" w:rsidR="002B721C" w:rsidRPr="001D41EA" w:rsidRDefault="002B721C" w:rsidP="001D41EA">
            <w:pPr>
              <w:spacing w:before="40" w:after="20"/>
              <w:jc w:val="right"/>
              <w:rPr>
                <w:rFonts w:cs="Arial"/>
                <w:sz w:val="18"/>
                <w:szCs w:val="18"/>
              </w:rPr>
            </w:pPr>
            <w:r w:rsidRPr="001D41EA">
              <w:rPr>
                <w:rFonts w:cs="Arial"/>
                <w:sz w:val="18"/>
                <w:szCs w:val="18"/>
              </w:rPr>
              <w:t>1,082</w:t>
            </w:r>
          </w:p>
        </w:tc>
        <w:tc>
          <w:tcPr>
            <w:tcW w:w="1397" w:type="dxa"/>
            <w:tcBorders>
              <w:top w:val="nil"/>
              <w:left w:val="nil"/>
              <w:bottom w:val="nil"/>
              <w:right w:val="nil"/>
            </w:tcBorders>
            <w:shd w:val="clear" w:color="auto" w:fill="auto"/>
            <w:vAlign w:val="bottom"/>
          </w:tcPr>
          <w:p w14:paraId="55ABE1F7" w14:textId="43DAF2B9" w:rsidR="002B721C" w:rsidRPr="001D41EA" w:rsidRDefault="002B721C" w:rsidP="001D41EA">
            <w:pPr>
              <w:spacing w:before="40" w:after="20"/>
              <w:jc w:val="right"/>
              <w:rPr>
                <w:rFonts w:cs="Arial"/>
                <w:sz w:val="18"/>
                <w:szCs w:val="18"/>
              </w:rPr>
            </w:pPr>
            <w:r w:rsidRPr="001D41EA">
              <w:rPr>
                <w:rFonts w:cs="Arial"/>
                <w:sz w:val="18"/>
                <w:szCs w:val="18"/>
              </w:rPr>
              <w:t>1,060</w:t>
            </w:r>
          </w:p>
        </w:tc>
        <w:tc>
          <w:tcPr>
            <w:tcW w:w="1117" w:type="dxa"/>
            <w:tcBorders>
              <w:top w:val="nil"/>
              <w:left w:val="nil"/>
              <w:bottom w:val="nil"/>
              <w:right w:val="nil"/>
            </w:tcBorders>
            <w:shd w:val="clear" w:color="auto" w:fill="auto"/>
            <w:vAlign w:val="bottom"/>
          </w:tcPr>
          <w:p w14:paraId="3E089A45" w14:textId="419E8570" w:rsidR="002B721C" w:rsidRPr="001D41EA" w:rsidRDefault="002B721C" w:rsidP="001D41EA">
            <w:pPr>
              <w:spacing w:before="40" w:after="20"/>
              <w:jc w:val="right"/>
              <w:rPr>
                <w:rFonts w:cs="Arial"/>
                <w:sz w:val="18"/>
                <w:szCs w:val="18"/>
              </w:rPr>
            </w:pPr>
            <w:r w:rsidRPr="001D41EA">
              <w:rPr>
                <w:rFonts w:cs="Arial"/>
                <w:sz w:val="18"/>
                <w:szCs w:val="18"/>
              </w:rPr>
              <w:t>30.8</w:t>
            </w:r>
          </w:p>
        </w:tc>
        <w:tc>
          <w:tcPr>
            <w:tcW w:w="1117" w:type="dxa"/>
            <w:tcBorders>
              <w:top w:val="nil"/>
              <w:left w:val="nil"/>
              <w:bottom w:val="nil"/>
              <w:right w:val="nil"/>
            </w:tcBorders>
            <w:shd w:val="clear" w:color="auto" w:fill="auto"/>
            <w:vAlign w:val="bottom"/>
          </w:tcPr>
          <w:p w14:paraId="6B13253A" w14:textId="7971F88B" w:rsidR="002B721C" w:rsidRPr="001D41EA" w:rsidRDefault="002B721C" w:rsidP="001D41EA">
            <w:pPr>
              <w:spacing w:before="40" w:after="20"/>
              <w:jc w:val="right"/>
              <w:rPr>
                <w:rFonts w:cs="Arial"/>
                <w:sz w:val="18"/>
                <w:szCs w:val="18"/>
              </w:rPr>
            </w:pPr>
            <w:r w:rsidRPr="001D41EA">
              <w:rPr>
                <w:rFonts w:cs="Arial"/>
                <w:sz w:val="18"/>
                <w:szCs w:val="18"/>
              </w:rPr>
              <w:t>203,945</w:t>
            </w:r>
          </w:p>
        </w:tc>
        <w:tc>
          <w:tcPr>
            <w:tcW w:w="971" w:type="dxa"/>
            <w:tcBorders>
              <w:top w:val="nil"/>
              <w:left w:val="nil"/>
              <w:bottom w:val="nil"/>
              <w:right w:val="nil"/>
            </w:tcBorders>
            <w:shd w:val="clear" w:color="auto" w:fill="auto"/>
            <w:vAlign w:val="bottom"/>
          </w:tcPr>
          <w:p w14:paraId="58880BF1" w14:textId="2458EB0D" w:rsidR="002B721C" w:rsidRPr="001D41EA" w:rsidRDefault="002B721C" w:rsidP="001D41EA">
            <w:pPr>
              <w:spacing w:before="40" w:after="20"/>
              <w:jc w:val="right"/>
              <w:rPr>
                <w:rFonts w:cs="Arial"/>
                <w:sz w:val="18"/>
                <w:szCs w:val="18"/>
              </w:rPr>
            </w:pPr>
            <w:r w:rsidRPr="001D41EA">
              <w:rPr>
                <w:rFonts w:cs="Arial"/>
                <w:sz w:val="18"/>
                <w:szCs w:val="18"/>
              </w:rPr>
              <w:t>4,129</w:t>
            </w:r>
          </w:p>
        </w:tc>
        <w:tc>
          <w:tcPr>
            <w:tcW w:w="1228" w:type="dxa"/>
            <w:tcBorders>
              <w:top w:val="nil"/>
              <w:left w:val="nil"/>
              <w:bottom w:val="nil"/>
              <w:right w:val="nil"/>
            </w:tcBorders>
            <w:shd w:val="clear" w:color="auto" w:fill="auto"/>
            <w:vAlign w:val="bottom"/>
          </w:tcPr>
          <w:p w14:paraId="763F0FB6" w14:textId="023E23A0" w:rsidR="002B721C" w:rsidRPr="001D41EA" w:rsidRDefault="002B721C" w:rsidP="001D41EA">
            <w:pPr>
              <w:spacing w:before="40" w:after="20"/>
              <w:jc w:val="right"/>
              <w:rPr>
                <w:rFonts w:cs="Arial"/>
                <w:sz w:val="18"/>
                <w:szCs w:val="18"/>
              </w:rPr>
            </w:pPr>
            <w:r w:rsidRPr="001D41EA">
              <w:rPr>
                <w:rFonts w:cs="Arial"/>
                <w:sz w:val="18"/>
                <w:szCs w:val="18"/>
              </w:rPr>
              <w:t>5.0%</w:t>
            </w:r>
          </w:p>
        </w:tc>
      </w:tr>
      <w:tr w:rsidR="002B721C" w:rsidRPr="001D41EA" w14:paraId="2F8B3EDE"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0ABFA470" w14:textId="77777777" w:rsidR="002B721C" w:rsidRPr="001D41EA" w:rsidRDefault="002B721C" w:rsidP="001D41EA">
            <w:pPr>
              <w:spacing w:before="40" w:after="20"/>
              <w:rPr>
                <w:rFonts w:cs="Arial"/>
                <w:sz w:val="18"/>
                <w:szCs w:val="18"/>
              </w:rPr>
            </w:pPr>
            <w:r w:rsidRPr="001D41EA">
              <w:rPr>
                <w:rFonts w:cs="Arial"/>
                <w:sz w:val="18"/>
                <w:szCs w:val="18"/>
              </w:rPr>
              <w:t xml:space="preserve">Manningham C </w:t>
            </w:r>
          </w:p>
        </w:tc>
        <w:tc>
          <w:tcPr>
            <w:tcW w:w="1236" w:type="dxa"/>
            <w:tcBorders>
              <w:top w:val="nil"/>
              <w:left w:val="single" w:sz="18" w:space="0" w:color="5F497A" w:themeColor="accent4" w:themeShade="BF"/>
              <w:bottom w:val="nil"/>
              <w:right w:val="nil"/>
            </w:tcBorders>
            <w:shd w:val="clear" w:color="auto" w:fill="auto"/>
            <w:vAlign w:val="bottom"/>
          </w:tcPr>
          <w:p w14:paraId="75141029" w14:textId="24E952B2" w:rsidR="002B721C" w:rsidRPr="001D41EA" w:rsidRDefault="002B721C" w:rsidP="001D41EA">
            <w:pPr>
              <w:spacing w:before="40" w:after="20"/>
              <w:jc w:val="right"/>
              <w:rPr>
                <w:rFonts w:cs="Arial"/>
                <w:sz w:val="18"/>
                <w:szCs w:val="18"/>
              </w:rPr>
            </w:pPr>
            <w:r w:rsidRPr="001D41EA">
              <w:rPr>
                <w:rFonts w:cs="Arial"/>
                <w:sz w:val="18"/>
                <w:szCs w:val="18"/>
              </w:rPr>
              <w:t>1,196</w:t>
            </w:r>
          </w:p>
        </w:tc>
        <w:tc>
          <w:tcPr>
            <w:tcW w:w="1397" w:type="dxa"/>
            <w:tcBorders>
              <w:top w:val="nil"/>
              <w:left w:val="nil"/>
              <w:bottom w:val="nil"/>
              <w:right w:val="nil"/>
            </w:tcBorders>
            <w:shd w:val="clear" w:color="auto" w:fill="auto"/>
            <w:vAlign w:val="bottom"/>
          </w:tcPr>
          <w:p w14:paraId="1DBCECEF" w14:textId="26163888" w:rsidR="002B721C" w:rsidRPr="001D41EA" w:rsidRDefault="002B721C" w:rsidP="001D41EA">
            <w:pPr>
              <w:spacing w:before="40" w:after="20"/>
              <w:jc w:val="right"/>
              <w:rPr>
                <w:rFonts w:cs="Arial"/>
                <w:sz w:val="18"/>
                <w:szCs w:val="18"/>
              </w:rPr>
            </w:pPr>
            <w:r w:rsidRPr="001D41EA">
              <w:rPr>
                <w:rFonts w:cs="Arial"/>
                <w:sz w:val="18"/>
                <w:szCs w:val="18"/>
              </w:rPr>
              <w:t>1,066</w:t>
            </w:r>
          </w:p>
        </w:tc>
        <w:tc>
          <w:tcPr>
            <w:tcW w:w="1117" w:type="dxa"/>
            <w:tcBorders>
              <w:top w:val="nil"/>
              <w:left w:val="nil"/>
              <w:bottom w:val="nil"/>
              <w:right w:val="nil"/>
            </w:tcBorders>
            <w:shd w:val="clear" w:color="auto" w:fill="auto"/>
            <w:vAlign w:val="bottom"/>
          </w:tcPr>
          <w:p w14:paraId="73DA3FFF" w14:textId="3D8376EC" w:rsidR="002B721C" w:rsidRPr="001D41EA" w:rsidRDefault="002B721C" w:rsidP="001D41EA">
            <w:pPr>
              <w:spacing w:before="40" w:after="20"/>
              <w:jc w:val="right"/>
              <w:rPr>
                <w:rFonts w:cs="Arial"/>
                <w:sz w:val="18"/>
                <w:szCs w:val="18"/>
              </w:rPr>
            </w:pPr>
            <w:r w:rsidRPr="001D41EA">
              <w:rPr>
                <w:rFonts w:cs="Arial"/>
                <w:sz w:val="18"/>
                <w:szCs w:val="18"/>
              </w:rPr>
              <w:t>11.1</w:t>
            </w:r>
          </w:p>
        </w:tc>
        <w:tc>
          <w:tcPr>
            <w:tcW w:w="1117" w:type="dxa"/>
            <w:tcBorders>
              <w:top w:val="nil"/>
              <w:left w:val="nil"/>
              <w:bottom w:val="nil"/>
              <w:right w:val="nil"/>
            </w:tcBorders>
            <w:shd w:val="clear" w:color="auto" w:fill="auto"/>
            <w:vAlign w:val="bottom"/>
          </w:tcPr>
          <w:p w14:paraId="16D61C2A" w14:textId="77761A71" w:rsidR="002B721C" w:rsidRPr="001D41EA" w:rsidRDefault="002B721C" w:rsidP="001D41EA">
            <w:pPr>
              <w:spacing w:before="40" w:after="20"/>
              <w:jc w:val="right"/>
              <w:rPr>
                <w:rFonts w:cs="Arial"/>
                <w:sz w:val="18"/>
                <w:szCs w:val="18"/>
              </w:rPr>
            </w:pPr>
            <w:r w:rsidRPr="001D41EA">
              <w:rPr>
                <w:rFonts w:cs="Arial"/>
                <w:sz w:val="18"/>
                <w:szCs w:val="18"/>
              </w:rPr>
              <w:t>646,986</w:t>
            </w:r>
          </w:p>
        </w:tc>
        <w:tc>
          <w:tcPr>
            <w:tcW w:w="971" w:type="dxa"/>
            <w:tcBorders>
              <w:top w:val="nil"/>
              <w:left w:val="nil"/>
              <w:bottom w:val="nil"/>
              <w:right w:val="nil"/>
            </w:tcBorders>
            <w:shd w:val="clear" w:color="auto" w:fill="auto"/>
            <w:vAlign w:val="bottom"/>
          </w:tcPr>
          <w:p w14:paraId="2F033AEB" w14:textId="08E151AC" w:rsidR="002B721C" w:rsidRPr="001D41EA" w:rsidRDefault="002B721C" w:rsidP="001D41EA">
            <w:pPr>
              <w:spacing w:before="40" w:after="20"/>
              <w:jc w:val="right"/>
              <w:rPr>
                <w:rFonts w:cs="Arial"/>
                <w:sz w:val="18"/>
                <w:szCs w:val="18"/>
              </w:rPr>
            </w:pPr>
            <w:r w:rsidRPr="001D41EA">
              <w:rPr>
                <w:rFonts w:cs="Arial"/>
                <w:sz w:val="18"/>
                <w:szCs w:val="18"/>
              </w:rPr>
              <w:t>5,155</w:t>
            </w:r>
          </w:p>
        </w:tc>
        <w:tc>
          <w:tcPr>
            <w:tcW w:w="1228" w:type="dxa"/>
            <w:tcBorders>
              <w:top w:val="nil"/>
              <w:left w:val="nil"/>
              <w:bottom w:val="nil"/>
              <w:right w:val="nil"/>
            </w:tcBorders>
            <w:shd w:val="clear" w:color="auto" w:fill="auto"/>
            <w:vAlign w:val="bottom"/>
          </w:tcPr>
          <w:p w14:paraId="29F82409" w14:textId="4706E742" w:rsidR="002B721C" w:rsidRPr="001D41EA" w:rsidRDefault="002B721C" w:rsidP="001D41EA">
            <w:pPr>
              <w:spacing w:before="40" w:after="20"/>
              <w:jc w:val="right"/>
              <w:rPr>
                <w:rFonts w:cs="Arial"/>
                <w:sz w:val="18"/>
                <w:szCs w:val="18"/>
              </w:rPr>
            </w:pPr>
            <w:r w:rsidRPr="001D41EA">
              <w:rPr>
                <w:rFonts w:cs="Arial"/>
                <w:sz w:val="18"/>
                <w:szCs w:val="18"/>
              </w:rPr>
              <w:t>6.4%</w:t>
            </w:r>
          </w:p>
        </w:tc>
      </w:tr>
      <w:tr w:rsidR="002B721C" w:rsidRPr="001D41EA" w14:paraId="7D763F24"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0BF79D13" w14:textId="77777777" w:rsidR="002B721C" w:rsidRPr="001D41EA" w:rsidRDefault="002B721C" w:rsidP="001D41EA">
            <w:pPr>
              <w:spacing w:before="40" w:after="20"/>
              <w:rPr>
                <w:rFonts w:cs="Arial"/>
                <w:sz w:val="18"/>
                <w:szCs w:val="18"/>
              </w:rPr>
            </w:pPr>
            <w:r w:rsidRPr="001D41EA">
              <w:rPr>
                <w:rFonts w:cs="Arial"/>
                <w:sz w:val="18"/>
                <w:szCs w:val="18"/>
              </w:rPr>
              <w:t xml:space="preserve">Mansfield S </w:t>
            </w:r>
          </w:p>
        </w:tc>
        <w:tc>
          <w:tcPr>
            <w:tcW w:w="1236" w:type="dxa"/>
            <w:tcBorders>
              <w:top w:val="nil"/>
              <w:left w:val="single" w:sz="18" w:space="0" w:color="5F497A" w:themeColor="accent4" w:themeShade="BF"/>
              <w:bottom w:val="nil"/>
              <w:right w:val="nil"/>
            </w:tcBorders>
            <w:shd w:val="clear" w:color="auto" w:fill="auto"/>
            <w:vAlign w:val="bottom"/>
          </w:tcPr>
          <w:p w14:paraId="35518DE3" w14:textId="6EE2BC85" w:rsidR="002B721C" w:rsidRPr="001D41EA" w:rsidRDefault="002B721C" w:rsidP="001D41EA">
            <w:pPr>
              <w:spacing w:before="40" w:after="20"/>
              <w:jc w:val="right"/>
              <w:rPr>
                <w:rFonts w:cs="Arial"/>
                <w:sz w:val="18"/>
                <w:szCs w:val="18"/>
              </w:rPr>
            </w:pPr>
            <w:r w:rsidRPr="001D41EA">
              <w:rPr>
                <w:rFonts w:cs="Arial"/>
                <w:sz w:val="18"/>
                <w:szCs w:val="18"/>
              </w:rPr>
              <w:t>794</w:t>
            </w:r>
          </w:p>
        </w:tc>
        <w:tc>
          <w:tcPr>
            <w:tcW w:w="1397" w:type="dxa"/>
            <w:tcBorders>
              <w:top w:val="nil"/>
              <w:left w:val="nil"/>
              <w:bottom w:val="nil"/>
              <w:right w:val="nil"/>
            </w:tcBorders>
            <w:shd w:val="clear" w:color="auto" w:fill="auto"/>
            <w:vAlign w:val="bottom"/>
          </w:tcPr>
          <w:p w14:paraId="14BD08D8" w14:textId="0B672997" w:rsidR="002B721C" w:rsidRPr="001D41EA" w:rsidRDefault="002B721C" w:rsidP="001D41EA">
            <w:pPr>
              <w:spacing w:before="40" w:after="20"/>
              <w:jc w:val="right"/>
              <w:rPr>
                <w:rFonts w:cs="Arial"/>
                <w:sz w:val="18"/>
                <w:szCs w:val="18"/>
              </w:rPr>
            </w:pPr>
            <w:r w:rsidRPr="001D41EA">
              <w:rPr>
                <w:rFonts w:cs="Arial"/>
                <w:sz w:val="18"/>
                <w:szCs w:val="18"/>
              </w:rPr>
              <w:t>1,015</w:t>
            </w:r>
          </w:p>
        </w:tc>
        <w:tc>
          <w:tcPr>
            <w:tcW w:w="1117" w:type="dxa"/>
            <w:tcBorders>
              <w:top w:val="nil"/>
              <w:left w:val="nil"/>
              <w:bottom w:val="nil"/>
              <w:right w:val="nil"/>
            </w:tcBorders>
            <w:shd w:val="clear" w:color="auto" w:fill="auto"/>
            <w:vAlign w:val="bottom"/>
          </w:tcPr>
          <w:p w14:paraId="330915F8" w14:textId="0FB32F4B" w:rsidR="002B721C" w:rsidRPr="001D41EA" w:rsidRDefault="002B721C" w:rsidP="001D41EA">
            <w:pPr>
              <w:spacing w:before="40" w:after="20"/>
              <w:jc w:val="right"/>
              <w:rPr>
                <w:rFonts w:cs="Arial"/>
                <w:sz w:val="18"/>
                <w:szCs w:val="18"/>
              </w:rPr>
            </w:pPr>
            <w:r w:rsidRPr="001D41EA">
              <w:rPr>
                <w:rFonts w:cs="Arial"/>
                <w:sz w:val="18"/>
                <w:szCs w:val="18"/>
              </w:rPr>
              <w:t>165.5</w:t>
            </w:r>
          </w:p>
        </w:tc>
        <w:tc>
          <w:tcPr>
            <w:tcW w:w="1117" w:type="dxa"/>
            <w:tcBorders>
              <w:top w:val="nil"/>
              <w:left w:val="nil"/>
              <w:bottom w:val="nil"/>
              <w:right w:val="nil"/>
            </w:tcBorders>
            <w:shd w:val="clear" w:color="auto" w:fill="auto"/>
            <w:vAlign w:val="bottom"/>
          </w:tcPr>
          <w:p w14:paraId="7E9C9A37" w14:textId="682A14E1" w:rsidR="002B721C" w:rsidRPr="001D41EA" w:rsidRDefault="002B721C" w:rsidP="001D41EA">
            <w:pPr>
              <w:spacing w:before="40" w:after="20"/>
              <w:jc w:val="right"/>
              <w:rPr>
                <w:rFonts w:cs="Arial"/>
                <w:sz w:val="18"/>
                <w:szCs w:val="18"/>
              </w:rPr>
            </w:pPr>
            <w:r w:rsidRPr="001D41EA">
              <w:rPr>
                <w:rFonts w:cs="Arial"/>
                <w:sz w:val="18"/>
                <w:szCs w:val="18"/>
              </w:rPr>
              <w:t>47,236</w:t>
            </w:r>
          </w:p>
        </w:tc>
        <w:tc>
          <w:tcPr>
            <w:tcW w:w="971" w:type="dxa"/>
            <w:tcBorders>
              <w:top w:val="nil"/>
              <w:left w:val="nil"/>
              <w:bottom w:val="nil"/>
              <w:right w:val="nil"/>
            </w:tcBorders>
            <w:shd w:val="clear" w:color="auto" w:fill="auto"/>
            <w:vAlign w:val="bottom"/>
          </w:tcPr>
          <w:p w14:paraId="58D528FD" w14:textId="316FE444" w:rsidR="002B721C" w:rsidRPr="001D41EA" w:rsidRDefault="002B721C" w:rsidP="001D41EA">
            <w:pPr>
              <w:spacing w:before="40" w:after="20"/>
              <w:jc w:val="right"/>
              <w:rPr>
                <w:rFonts w:cs="Arial"/>
                <w:sz w:val="18"/>
                <w:szCs w:val="18"/>
              </w:rPr>
            </w:pPr>
            <w:r w:rsidRPr="001D41EA">
              <w:rPr>
                <w:rFonts w:cs="Arial"/>
                <w:sz w:val="18"/>
                <w:szCs w:val="18"/>
              </w:rPr>
              <w:t>5,105</w:t>
            </w:r>
          </w:p>
        </w:tc>
        <w:tc>
          <w:tcPr>
            <w:tcW w:w="1228" w:type="dxa"/>
            <w:tcBorders>
              <w:top w:val="nil"/>
              <w:left w:val="nil"/>
              <w:bottom w:val="nil"/>
              <w:right w:val="nil"/>
            </w:tcBorders>
            <w:shd w:val="clear" w:color="auto" w:fill="auto"/>
            <w:vAlign w:val="bottom"/>
          </w:tcPr>
          <w:p w14:paraId="0492593D" w14:textId="2C94C717" w:rsidR="002B721C" w:rsidRPr="001D41EA" w:rsidRDefault="002B721C" w:rsidP="001D41EA">
            <w:pPr>
              <w:spacing w:before="40" w:after="20"/>
              <w:jc w:val="right"/>
              <w:rPr>
                <w:rFonts w:cs="Arial"/>
                <w:sz w:val="18"/>
                <w:szCs w:val="18"/>
              </w:rPr>
            </w:pPr>
            <w:r w:rsidRPr="001D41EA">
              <w:rPr>
                <w:rFonts w:cs="Arial"/>
                <w:sz w:val="18"/>
                <w:szCs w:val="18"/>
              </w:rPr>
              <w:t>5.4%</w:t>
            </w:r>
          </w:p>
        </w:tc>
      </w:tr>
      <w:tr w:rsidR="002B721C" w:rsidRPr="001D41EA" w14:paraId="4967D727"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3C613AF2" w14:textId="77777777" w:rsidR="002B721C" w:rsidRPr="001D41EA" w:rsidRDefault="002B721C" w:rsidP="001D41EA">
            <w:pPr>
              <w:spacing w:before="40" w:after="20"/>
              <w:rPr>
                <w:rFonts w:cs="Arial"/>
                <w:sz w:val="18"/>
                <w:szCs w:val="18"/>
              </w:rPr>
            </w:pPr>
            <w:r w:rsidRPr="001D41EA">
              <w:rPr>
                <w:rFonts w:cs="Arial"/>
                <w:sz w:val="18"/>
                <w:szCs w:val="18"/>
              </w:rPr>
              <w:t xml:space="preserve">Maribyrnong C </w:t>
            </w:r>
          </w:p>
        </w:tc>
        <w:tc>
          <w:tcPr>
            <w:tcW w:w="1236" w:type="dxa"/>
            <w:tcBorders>
              <w:top w:val="nil"/>
              <w:left w:val="single" w:sz="18" w:space="0" w:color="5F497A" w:themeColor="accent4" w:themeShade="BF"/>
              <w:bottom w:val="nil"/>
              <w:right w:val="nil"/>
            </w:tcBorders>
            <w:shd w:val="clear" w:color="auto" w:fill="auto"/>
            <w:vAlign w:val="bottom"/>
          </w:tcPr>
          <w:p w14:paraId="791F1AEB" w14:textId="62A694A5" w:rsidR="002B721C" w:rsidRPr="001D41EA" w:rsidRDefault="002B721C" w:rsidP="001D41EA">
            <w:pPr>
              <w:spacing w:before="40" w:after="20"/>
              <w:jc w:val="right"/>
              <w:rPr>
                <w:rFonts w:cs="Arial"/>
                <w:sz w:val="18"/>
                <w:szCs w:val="18"/>
              </w:rPr>
            </w:pPr>
            <w:r w:rsidRPr="001D41EA">
              <w:rPr>
                <w:rFonts w:cs="Arial"/>
                <w:sz w:val="18"/>
                <w:szCs w:val="18"/>
              </w:rPr>
              <w:t>859</w:t>
            </w:r>
          </w:p>
        </w:tc>
        <w:tc>
          <w:tcPr>
            <w:tcW w:w="1397" w:type="dxa"/>
            <w:tcBorders>
              <w:top w:val="nil"/>
              <w:left w:val="nil"/>
              <w:bottom w:val="nil"/>
              <w:right w:val="nil"/>
            </w:tcBorders>
            <w:shd w:val="clear" w:color="auto" w:fill="auto"/>
            <w:vAlign w:val="bottom"/>
          </w:tcPr>
          <w:p w14:paraId="3958B4BD" w14:textId="2BA16F3C" w:rsidR="002B721C" w:rsidRPr="001D41EA" w:rsidRDefault="002B721C" w:rsidP="001D41EA">
            <w:pPr>
              <w:spacing w:before="40" w:after="20"/>
              <w:jc w:val="right"/>
              <w:rPr>
                <w:rFonts w:cs="Arial"/>
                <w:sz w:val="18"/>
                <w:szCs w:val="18"/>
              </w:rPr>
            </w:pPr>
            <w:r w:rsidRPr="001D41EA">
              <w:rPr>
                <w:rFonts w:cs="Arial"/>
                <w:sz w:val="18"/>
                <w:szCs w:val="18"/>
              </w:rPr>
              <w:t>995</w:t>
            </w:r>
          </w:p>
        </w:tc>
        <w:tc>
          <w:tcPr>
            <w:tcW w:w="1117" w:type="dxa"/>
            <w:tcBorders>
              <w:top w:val="nil"/>
              <w:left w:val="nil"/>
              <w:bottom w:val="nil"/>
              <w:right w:val="nil"/>
            </w:tcBorders>
            <w:shd w:val="clear" w:color="auto" w:fill="auto"/>
            <w:vAlign w:val="bottom"/>
          </w:tcPr>
          <w:p w14:paraId="1B1A8ACF" w14:textId="6B351CD9" w:rsidR="002B721C" w:rsidRPr="001D41EA" w:rsidRDefault="002B721C" w:rsidP="001D41EA">
            <w:pPr>
              <w:spacing w:before="40" w:after="20"/>
              <w:jc w:val="right"/>
              <w:rPr>
                <w:rFonts w:cs="Arial"/>
                <w:sz w:val="18"/>
                <w:szCs w:val="18"/>
              </w:rPr>
            </w:pPr>
            <w:r w:rsidRPr="001D41EA">
              <w:rPr>
                <w:rFonts w:cs="Arial"/>
                <w:sz w:val="18"/>
                <w:szCs w:val="18"/>
              </w:rPr>
              <w:t>18.2</w:t>
            </w:r>
          </w:p>
        </w:tc>
        <w:tc>
          <w:tcPr>
            <w:tcW w:w="1117" w:type="dxa"/>
            <w:tcBorders>
              <w:top w:val="nil"/>
              <w:left w:val="nil"/>
              <w:bottom w:val="nil"/>
              <w:right w:val="nil"/>
            </w:tcBorders>
            <w:shd w:val="clear" w:color="auto" w:fill="auto"/>
            <w:vAlign w:val="bottom"/>
          </w:tcPr>
          <w:p w14:paraId="644BDA00" w14:textId="6FA098AE" w:rsidR="002B721C" w:rsidRPr="001D41EA" w:rsidRDefault="002B721C" w:rsidP="001D41EA">
            <w:pPr>
              <w:spacing w:before="40" w:after="20"/>
              <w:jc w:val="right"/>
              <w:rPr>
                <w:rFonts w:cs="Arial"/>
                <w:sz w:val="18"/>
                <w:szCs w:val="18"/>
              </w:rPr>
            </w:pPr>
            <w:r w:rsidRPr="001D41EA">
              <w:rPr>
                <w:rFonts w:cs="Arial"/>
                <w:sz w:val="18"/>
                <w:szCs w:val="18"/>
              </w:rPr>
              <w:t>556,839</w:t>
            </w:r>
          </w:p>
        </w:tc>
        <w:tc>
          <w:tcPr>
            <w:tcW w:w="971" w:type="dxa"/>
            <w:tcBorders>
              <w:top w:val="nil"/>
              <w:left w:val="nil"/>
              <w:bottom w:val="nil"/>
              <w:right w:val="nil"/>
            </w:tcBorders>
            <w:shd w:val="clear" w:color="auto" w:fill="auto"/>
            <w:vAlign w:val="bottom"/>
          </w:tcPr>
          <w:p w14:paraId="4CF711AF" w14:textId="7F0E421E" w:rsidR="002B721C" w:rsidRPr="001D41EA" w:rsidRDefault="002B721C" w:rsidP="001D41EA">
            <w:pPr>
              <w:spacing w:before="40" w:after="20"/>
              <w:jc w:val="right"/>
              <w:rPr>
                <w:rFonts w:cs="Arial"/>
                <w:sz w:val="18"/>
                <w:szCs w:val="18"/>
              </w:rPr>
            </w:pPr>
            <w:r w:rsidRPr="001D41EA">
              <w:rPr>
                <w:rFonts w:cs="Arial"/>
                <w:sz w:val="18"/>
                <w:szCs w:val="18"/>
              </w:rPr>
              <w:t>6,093</w:t>
            </w:r>
          </w:p>
        </w:tc>
        <w:tc>
          <w:tcPr>
            <w:tcW w:w="1228" w:type="dxa"/>
            <w:tcBorders>
              <w:top w:val="nil"/>
              <w:left w:val="nil"/>
              <w:bottom w:val="nil"/>
              <w:right w:val="nil"/>
            </w:tcBorders>
            <w:shd w:val="clear" w:color="auto" w:fill="auto"/>
            <w:vAlign w:val="bottom"/>
          </w:tcPr>
          <w:p w14:paraId="3D6E3EB1" w14:textId="610B834A" w:rsidR="002B721C" w:rsidRPr="001D41EA" w:rsidRDefault="002B721C" w:rsidP="001D41EA">
            <w:pPr>
              <w:spacing w:before="40" w:after="20"/>
              <w:jc w:val="right"/>
              <w:rPr>
                <w:rFonts w:cs="Arial"/>
                <w:sz w:val="18"/>
                <w:szCs w:val="18"/>
              </w:rPr>
            </w:pPr>
            <w:r w:rsidRPr="001D41EA">
              <w:rPr>
                <w:rFonts w:cs="Arial"/>
                <w:sz w:val="18"/>
                <w:szCs w:val="18"/>
              </w:rPr>
              <w:t>13.4%</w:t>
            </w:r>
          </w:p>
        </w:tc>
      </w:tr>
      <w:tr w:rsidR="002B721C" w:rsidRPr="001D41EA" w14:paraId="18815980"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2FB5DE9E" w14:textId="77777777" w:rsidR="002B721C" w:rsidRPr="001D41EA" w:rsidRDefault="002B721C" w:rsidP="001D41EA">
            <w:pPr>
              <w:spacing w:before="40" w:after="20"/>
              <w:rPr>
                <w:rFonts w:cs="Arial"/>
                <w:sz w:val="18"/>
                <w:szCs w:val="18"/>
              </w:rPr>
            </w:pPr>
            <w:r w:rsidRPr="001D41EA">
              <w:rPr>
                <w:rFonts w:cs="Arial"/>
                <w:sz w:val="18"/>
                <w:szCs w:val="18"/>
              </w:rPr>
              <w:t xml:space="preserve">Maroondah C </w:t>
            </w:r>
          </w:p>
        </w:tc>
        <w:tc>
          <w:tcPr>
            <w:tcW w:w="1236" w:type="dxa"/>
            <w:tcBorders>
              <w:top w:val="nil"/>
              <w:left w:val="single" w:sz="18" w:space="0" w:color="5F497A" w:themeColor="accent4" w:themeShade="BF"/>
              <w:bottom w:val="nil"/>
              <w:right w:val="nil"/>
            </w:tcBorders>
            <w:shd w:val="clear" w:color="auto" w:fill="auto"/>
            <w:vAlign w:val="bottom"/>
          </w:tcPr>
          <w:p w14:paraId="6F2A1901" w14:textId="11B89A9B" w:rsidR="002B721C" w:rsidRPr="001D41EA" w:rsidRDefault="002B721C" w:rsidP="001D41EA">
            <w:pPr>
              <w:spacing w:before="40" w:after="20"/>
              <w:jc w:val="right"/>
              <w:rPr>
                <w:rFonts w:cs="Arial"/>
                <w:sz w:val="18"/>
                <w:szCs w:val="18"/>
              </w:rPr>
            </w:pPr>
            <w:r w:rsidRPr="001D41EA">
              <w:rPr>
                <w:rFonts w:cs="Arial"/>
                <w:sz w:val="18"/>
                <w:szCs w:val="18"/>
              </w:rPr>
              <w:t>1,006</w:t>
            </w:r>
          </w:p>
        </w:tc>
        <w:tc>
          <w:tcPr>
            <w:tcW w:w="1397" w:type="dxa"/>
            <w:tcBorders>
              <w:top w:val="nil"/>
              <w:left w:val="nil"/>
              <w:bottom w:val="nil"/>
              <w:right w:val="nil"/>
            </w:tcBorders>
            <w:shd w:val="clear" w:color="auto" w:fill="auto"/>
            <w:vAlign w:val="bottom"/>
          </w:tcPr>
          <w:p w14:paraId="3D0E31C0" w14:textId="720FF549" w:rsidR="002B721C" w:rsidRPr="001D41EA" w:rsidRDefault="002B721C" w:rsidP="001D41EA">
            <w:pPr>
              <w:spacing w:before="40" w:after="20"/>
              <w:jc w:val="right"/>
              <w:rPr>
                <w:rFonts w:cs="Arial"/>
                <w:sz w:val="18"/>
                <w:szCs w:val="18"/>
              </w:rPr>
            </w:pPr>
            <w:r w:rsidRPr="001D41EA">
              <w:rPr>
                <w:rFonts w:cs="Arial"/>
                <w:sz w:val="18"/>
                <w:szCs w:val="18"/>
              </w:rPr>
              <w:t>1,045</w:t>
            </w:r>
          </w:p>
        </w:tc>
        <w:tc>
          <w:tcPr>
            <w:tcW w:w="1117" w:type="dxa"/>
            <w:tcBorders>
              <w:top w:val="nil"/>
              <w:left w:val="nil"/>
              <w:bottom w:val="nil"/>
              <w:right w:val="nil"/>
            </w:tcBorders>
            <w:shd w:val="clear" w:color="auto" w:fill="auto"/>
            <w:vAlign w:val="bottom"/>
          </w:tcPr>
          <w:p w14:paraId="64976C4A" w14:textId="6941EE93" w:rsidR="002B721C" w:rsidRPr="001D41EA" w:rsidRDefault="002B721C" w:rsidP="001D41EA">
            <w:pPr>
              <w:spacing w:before="40" w:after="20"/>
              <w:jc w:val="right"/>
              <w:rPr>
                <w:rFonts w:cs="Arial"/>
                <w:sz w:val="18"/>
                <w:szCs w:val="18"/>
              </w:rPr>
            </w:pPr>
            <w:r w:rsidRPr="001D41EA">
              <w:rPr>
                <w:rFonts w:cs="Arial"/>
                <w:sz w:val="18"/>
                <w:szCs w:val="18"/>
              </w:rPr>
              <w:t>9.3</w:t>
            </w:r>
          </w:p>
        </w:tc>
        <w:tc>
          <w:tcPr>
            <w:tcW w:w="1117" w:type="dxa"/>
            <w:tcBorders>
              <w:top w:val="nil"/>
              <w:left w:val="nil"/>
              <w:bottom w:val="nil"/>
              <w:right w:val="nil"/>
            </w:tcBorders>
            <w:shd w:val="clear" w:color="auto" w:fill="auto"/>
            <w:vAlign w:val="bottom"/>
          </w:tcPr>
          <w:p w14:paraId="20222F0C" w14:textId="216A5D63" w:rsidR="002B721C" w:rsidRPr="001D41EA" w:rsidRDefault="002B721C" w:rsidP="001D41EA">
            <w:pPr>
              <w:spacing w:before="40" w:after="20"/>
              <w:jc w:val="right"/>
              <w:rPr>
                <w:rFonts w:cs="Arial"/>
                <w:sz w:val="18"/>
                <w:szCs w:val="18"/>
              </w:rPr>
            </w:pPr>
            <w:r w:rsidRPr="001D41EA">
              <w:rPr>
                <w:rFonts w:cs="Arial"/>
                <w:sz w:val="18"/>
                <w:szCs w:val="18"/>
              </w:rPr>
              <w:t>392,432</w:t>
            </w:r>
          </w:p>
        </w:tc>
        <w:tc>
          <w:tcPr>
            <w:tcW w:w="971" w:type="dxa"/>
            <w:tcBorders>
              <w:top w:val="nil"/>
              <w:left w:val="nil"/>
              <w:bottom w:val="nil"/>
              <w:right w:val="nil"/>
            </w:tcBorders>
            <w:shd w:val="clear" w:color="auto" w:fill="auto"/>
            <w:vAlign w:val="bottom"/>
          </w:tcPr>
          <w:p w14:paraId="5A73A2DE" w14:textId="088D6C98" w:rsidR="002B721C" w:rsidRPr="001D41EA" w:rsidRDefault="002B721C" w:rsidP="001D41EA">
            <w:pPr>
              <w:spacing w:before="40" w:after="20"/>
              <w:jc w:val="right"/>
              <w:rPr>
                <w:rFonts w:cs="Arial"/>
                <w:sz w:val="18"/>
                <w:szCs w:val="18"/>
              </w:rPr>
            </w:pPr>
            <w:r w:rsidRPr="001D41EA">
              <w:rPr>
                <w:rFonts w:cs="Arial"/>
                <w:sz w:val="18"/>
                <w:szCs w:val="18"/>
              </w:rPr>
              <w:t>3,340</w:t>
            </w:r>
          </w:p>
        </w:tc>
        <w:tc>
          <w:tcPr>
            <w:tcW w:w="1228" w:type="dxa"/>
            <w:tcBorders>
              <w:top w:val="nil"/>
              <w:left w:val="nil"/>
              <w:bottom w:val="nil"/>
              <w:right w:val="nil"/>
            </w:tcBorders>
            <w:shd w:val="clear" w:color="auto" w:fill="auto"/>
            <w:vAlign w:val="bottom"/>
          </w:tcPr>
          <w:p w14:paraId="213C11BE" w14:textId="348BBD97" w:rsidR="002B721C" w:rsidRPr="001D41EA" w:rsidRDefault="002B721C" w:rsidP="001D41EA">
            <w:pPr>
              <w:spacing w:before="40" w:after="20"/>
              <w:jc w:val="right"/>
              <w:rPr>
                <w:rFonts w:cs="Arial"/>
                <w:sz w:val="18"/>
                <w:szCs w:val="18"/>
              </w:rPr>
            </w:pPr>
            <w:r w:rsidRPr="001D41EA">
              <w:rPr>
                <w:rFonts w:cs="Arial"/>
                <w:sz w:val="18"/>
                <w:szCs w:val="18"/>
              </w:rPr>
              <w:t>8.7%</w:t>
            </w:r>
          </w:p>
        </w:tc>
      </w:tr>
      <w:tr w:rsidR="002B721C" w:rsidRPr="001D41EA" w14:paraId="18680DED"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3553552C" w14:textId="77777777" w:rsidR="002B721C" w:rsidRPr="001D41EA" w:rsidRDefault="002B721C" w:rsidP="001D41EA">
            <w:pPr>
              <w:spacing w:before="40" w:after="20"/>
              <w:rPr>
                <w:rFonts w:cs="Arial"/>
                <w:sz w:val="18"/>
                <w:szCs w:val="18"/>
              </w:rPr>
            </w:pPr>
            <w:r w:rsidRPr="001D41EA">
              <w:rPr>
                <w:rFonts w:cs="Arial"/>
                <w:sz w:val="18"/>
                <w:szCs w:val="18"/>
              </w:rPr>
              <w:t xml:space="preserve">Melbourne C </w:t>
            </w:r>
          </w:p>
        </w:tc>
        <w:tc>
          <w:tcPr>
            <w:tcW w:w="1236" w:type="dxa"/>
            <w:tcBorders>
              <w:top w:val="nil"/>
              <w:left w:val="single" w:sz="18" w:space="0" w:color="5F497A" w:themeColor="accent4" w:themeShade="BF"/>
              <w:bottom w:val="nil"/>
              <w:right w:val="nil"/>
            </w:tcBorders>
            <w:shd w:val="clear" w:color="auto" w:fill="auto"/>
            <w:vAlign w:val="bottom"/>
          </w:tcPr>
          <w:p w14:paraId="58F7525F" w14:textId="6FF5106F" w:rsidR="002B721C" w:rsidRPr="001D41EA" w:rsidRDefault="002B721C" w:rsidP="001D41EA">
            <w:pPr>
              <w:spacing w:before="40" w:after="20"/>
              <w:jc w:val="right"/>
              <w:rPr>
                <w:rFonts w:cs="Arial"/>
                <w:sz w:val="18"/>
                <w:szCs w:val="18"/>
              </w:rPr>
            </w:pPr>
            <w:r w:rsidRPr="001D41EA">
              <w:rPr>
                <w:rFonts w:cs="Arial"/>
                <w:sz w:val="18"/>
                <w:szCs w:val="18"/>
              </w:rPr>
              <w:t>1,479</w:t>
            </w:r>
          </w:p>
        </w:tc>
        <w:tc>
          <w:tcPr>
            <w:tcW w:w="1397" w:type="dxa"/>
            <w:tcBorders>
              <w:top w:val="nil"/>
              <w:left w:val="nil"/>
              <w:bottom w:val="nil"/>
              <w:right w:val="nil"/>
            </w:tcBorders>
            <w:shd w:val="clear" w:color="auto" w:fill="auto"/>
            <w:vAlign w:val="bottom"/>
          </w:tcPr>
          <w:p w14:paraId="231FFB1A" w14:textId="27847693" w:rsidR="002B721C" w:rsidRPr="001D41EA" w:rsidRDefault="002B721C" w:rsidP="001D41EA">
            <w:pPr>
              <w:spacing w:before="40" w:after="20"/>
              <w:jc w:val="right"/>
              <w:rPr>
                <w:rFonts w:cs="Arial"/>
                <w:sz w:val="18"/>
                <w:szCs w:val="18"/>
              </w:rPr>
            </w:pPr>
            <w:r w:rsidRPr="001D41EA">
              <w:rPr>
                <w:rFonts w:cs="Arial"/>
                <w:sz w:val="18"/>
                <w:szCs w:val="18"/>
              </w:rPr>
              <w:t>1,010</w:t>
            </w:r>
          </w:p>
        </w:tc>
        <w:tc>
          <w:tcPr>
            <w:tcW w:w="1117" w:type="dxa"/>
            <w:tcBorders>
              <w:top w:val="nil"/>
              <w:left w:val="nil"/>
              <w:bottom w:val="nil"/>
              <w:right w:val="nil"/>
            </w:tcBorders>
            <w:shd w:val="clear" w:color="auto" w:fill="auto"/>
            <w:vAlign w:val="bottom"/>
          </w:tcPr>
          <w:p w14:paraId="1CF0E033" w14:textId="1FC5AFCF" w:rsidR="002B721C" w:rsidRPr="001D41EA" w:rsidRDefault="002B721C" w:rsidP="001D41EA">
            <w:pPr>
              <w:spacing w:before="40" w:after="20"/>
              <w:jc w:val="right"/>
              <w:rPr>
                <w:rFonts w:cs="Arial"/>
                <w:sz w:val="18"/>
                <w:szCs w:val="18"/>
              </w:rPr>
            </w:pPr>
            <w:r w:rsidRPr="001D41EA">
              <w:rPr>
                <w:rFonts w:cs="Arial"/>
                <w:sz w:val="18"/>
                <w:szCs w:val="18"/>
              </w:rPr>
              <w:t>241.1</w:t>
            </w:r>
          </w:p>
        </w:tc>
        <w:tc>
          <w:tcPr>
            <w:tcW w:w="1117" w:type="dxa"/>
            <w:tcBorders>
              <w:top w:val="nil"/>
              <w:left w:val="nil"/>
              <w:bottom w:val="nil"/>
              <w:right w:val="nil"/>
            </w:tcBorders>
            <w:shd w:val="clear" w:color="auto" w:fill="auto"/>
            <w:vAlign w:val="bottom"/>
          </w:tcPr>
          <w:p w14:paraId="5FD5D081" w14:textId="7DF659D5" w:rsidR="002B721C" w:rsidRPr="001D41EA" w:rsidRDefault="002B721C" w:rsidP="001D41EA">
            <w:pPr>
              <w:spacing w:before="40" w:after="20"/>
              <w:jc w:val="right"/>
              <w:rPr>
                <w:rFonts w:cs="Arial"/>
                <w:sz w:val="18"/>
                <w:szCs w:val="18"/>
              </w:rPr>
            </w:pPr>
            <w:r w:rsidRPr="001D41EA">
              <w:rPr>
                <w:rFonts w:cs="Arial"/>
                <w:sz w:val="18"/>
                <w:szCs w:val="18"/>
              </w:rPr>
              <w:t>5,908,095</w:t>
            </w:r>
          </w:p>
        </w:tc>
        <w:tc>
          <w:tcPr>
            <w:tcW w:w="971" w:type="dxa"/>
            <w:tcBorders>
              <w:top w:val="nil"/>
              <w:left w:val="nil"/>
              <w:bottom w:val="nil"/>
              <w:right w:val="nil"/>
            </w:tcBorders>
            <w:shd w:val="clear" w:color="auto" w:fill="auto"/>
            <w:vAlign w:val="bottom"/>
          </w:tcPr>
          <w:p w14:paraId="28ACC5BF" w14:textId="6EE14513" w:rsidR="002B721C" w:rsidRPr="001D41EA" w:rsidRDefault="002B721C" w:rsidP="001D41EA">
            <w:pPr>
              <w:spacing w:before="40" w:after="20"/>
              <w:jc w:val="right"/>
              <w:rPr>
                <w:rFonts w:cs="Arial"/>
                <w:sz w:val="18"/>
                <w:szCs w:val="18"/>
              </w:rPr>
            </w:pPr>
            <w:r w:rsidRPr="001D41EA">
              <w:rPr>
                <w:rFonts w:cs="Arial"/>
                <w:sz w:val="18"/>
                <w:szCs w:val="18"/>
              </w:rPr>
              <w:t>34,761</w:t>
            </w:r>
          </w:p>
        </w:tc>
        <w:tc>
          <w:tcPr>
            <w:tcW w:w="1228" w:type="dxa"/>
            <w:tcBorders>
              <w:top w:val="nil"/>
              <w:left w:val="nil"/>
              <w:bottom w:val="nil"/>
              <w:right w:val="nil"/>
            </w:tcBorders>
            <w:shd w:val="clear" w:color="auto" w:fill="auto"/>
            <w:vAlign w:val="bottom"/>
          </w:tcPr>
          <w:p w14:paraId="072B04E9" w14:textId="5323DE1E" w:rsidR="002B721C" w:rsidRPr="001D41EA" w:rsidRDefault="002B721C" w:rsidP="001D41EA">
            <w:pPr>
              <w:spacing w:before="40" w:after="20"/>
              <w:jc w:val="right"/>
              <w:rPr>
                <w:rFonts w:cs="Arial"/>
                <w:sz w:val="18"/>
                <w:szCs w:val="18"/>
              </w:rPr>
            </w:pPr>
            <w:r w:rsidRPr="001D41EA">
              <w:rPr>
                <w:rFonts w:cs="Arial"/>
                <w:sz w:val="18"/>
                <w:szCs w:val="18"/>
              </w:rPr>
              <w:t>51.4%</w:t>
            </w:r>
          </w:p>
        </w:tc>
      </w:tr>
      <w:tr w:rsidR="002B721C" w:rsidRPr="001D41EA" w14:paraId="18A35027"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6AEB082C" w14:textId="77777777" w:rsidR="002B721C" w:rsidRPr="001D41EA" w:rsidRDefault="002B721C" w:rsidP="001D41EA">
            <w:pPr>
              <w:spacing w:before="40" w:after="20"/>
              <w:rPr>
                <w:rFonts w:cs="Arial"/>
                <w:sz w:val="18"/>
                <w:szCs w:val="18"/>
              </w:rPr>
            </w:pPr>
            <w:r w:rsidRPr="001D41EA">
              <w:rPr>
                <w:rFonts w:cs="Arial"/>
                <w:sz w:val="18"/>
                <w:szCs w:val="18"/>
              </w:rPr>
              <w:t xml:space="preserve">Melton C </w:t>
            </w:r>
          </w:p>
        </w:tc>
        <w:tc>
          <w:tcPr>
            <w:tcW w:w="1236" w:type="dxa"/>
            <w:tcBorders>
              <w:top w:val="nil"/>
              <w:left w:val="single" w:sz="18" w:space="0" w:color="5F497A" w:themeColor="accent4" w:themeShade="BF"/>
              <w:bottom w:val="nil"/>
              <w:right w:val="nil"/>
            </w:tcBorders>
            <w:shd w:val="clear" w:color="auto" w:fill="auto"/>
            <w:vAlign w:val="bottom"/>
          </w:tcPr>
          <w:p w14:paraId="55A58056" w14:textId="220CF440" w:rsidR="002B721C" w:rsidRPr="001D41EA" w:rsidRDefault="002B721C" w:rsidP="001D41EA">
            <w:pPr>
              <w:spacing w:before="40" w:after="20"/>
              <w:jc w:val="right"/>
              <w:rPr>
                <w:rFonts w:cs="Arial"/>
                <w:sz w:val="18"/>
                <w:szCs w:val="18"/>
              </w:rPr>
            </w:pPr>
            <w:r w:rsidRPr="001D41EA">
              <w:rPr>
                <w:rFonts w:cs="Arial"/>
                <w:sz w:val="18"/>
                <w:szCs w:val="18"/>
              </w:rPr>
              <w:t>1,013</w:t>
            </w:r>
          </w:p>
        </w:tc>
        <w:tc>
          <w:tcPr>
            <w:tcW w:w="1397" w:type="dxa"/>
            <w:tcBorders>
              <w:top w:val="nil"/>
              <w:left w:val="nil"/>
              <w:bottom w:val="nil"/>
              <w:right w:val="nil"/>
            </w:tcBorders>
            <w:shd w:val="clear" w:color="auto" w:fill="auto"/>
            <w:vAlign w:val="bottom"/>
          </w:tcPr>
          <w:p w14:paraId="493942ED" w14:textId="6602FC70" w:rsidR="002B721C" w:rsidRPr="001D41EA" w:rsidRDefault="002B721C" w:rsidP="001D41EA">
            <w:pPr>
              <w:spacing w:before="40" w:after="20"/>
              <w:jc w:val="right"/>
              <w:rPr>
                <w:rFonts w:cs="Arial"/>
                <w:sz w:val="18"/>
                <w:szCs w:val="18"/>
              </w:rPr>
            </w:pPr>
            <w:r w:rsidRPr="001D41EA">
              <w:rPr>
                <w:rFonts w:cs="Arial"/>
                <w:sz w:val="18"/>
                <w:szCs w:val="18"/>
              </w:rPr>
              <w:t>994</w:t>
            </w:r>
          </w:p>
        </w:tc>
        <w:tc>
          <w:tcPr>
            <w:tcW w:w="1117" w:type="dxa"/>
            <w:tcBorders>
              <w:top w:val="nil"/>
              <w:left w:val="nil"/>
              <w:bottom w:val="nil"/>
              <w:right w:val="nil"/>
            </w:tcBorders>
            <w:shd w:val="clear" w:color="auto" w:fill="auto"/>
            <w:vAlign w:val="bottom"/>
          </w:tcPr>
          <w:p w14:paraId="34C95637" w14:textId="1B9B2F94" w:rsidR="002B721C" w:rsidRPr="001D41EA" w:rsidRDefault="002B721C" w:rsidP="001D41EA">
            <w:pPr>
              <w:spacing w:before="40" w:after="20"/>
              <w:jc w:val="right"/>
              <w:rPr>
                <w:rFonts w:cs="Arial"/>
                <w:sz w:val="18"/>
                <w:szCs w:val="18"/>
              </w:rPr>
            </w:pPr>
            <w:r w:rsidRPr="001D41EA">
              <w:rPr>
                <w:rFonts w:cs="Arial"/>
                <w:sz w:val="18"/>
                <w:szCs w:val="18"/>
              </w:rPr>
              <w:t>6.7</w:t>
            </w:r>
          </w:p>
        </w:tc>
        <w:tc>
          <w:tcPr>
            <w:tcW w:w="1117" w:type="dxa"/>
            <w:tcBorders>
              <w:top w:val="nil"/>
              <w:left w:val="nil"/>
              <w:bottom w:val="nil"/>
              <w:right w:val="nil"/>
            </w:tcBorders>
            <w:shd w:val="clear" w:color="auto" w:fill="auto"/>
            <w:vAlign w:val="bottom"/>
          </w:tcPr>
          <w:p w14:paraId="2AFD46D6" w14:textId="2B7D00E8" w:rsidR="002B721C" w:rsidRPr="001D41EA" w:rsidRDefault="002B721C" w:rsidP="001D41EA">
            <w:pPr>
              <w:spacing w:before="40" w:after="20"/>
              <w:jc w:val="right"/>
              <w:rPr>
                <w:rFonts w:cs="Arial"/>
                <w:sz w:val="18"/>
                <w:szCs w:val="18"/>
              </w:rPr>
            </w:pPr>
            <w:r w:rsidRPr="001D41EA">
              <w:rPr>
                <w:rFonts w:cs="Arial"/>
                <w:sz w:val="18"/>
                <w:szCs w:val="18"/>
              </w:rPr>
              <w:t>862,041</w:t>
            </w:r>
          </w:p>
        </w:tc>
        <w:tc>
          <w:tcPr>
            <w:tcW w:w="971" w:type="dxa"/>
            <w:tcBorders>
              <w:top w:val="nil"/>
              <w:left w:val="nil"/>
              <w:bottom w:val="nil"/>
              <w:right w:val="nil"/>
            </w:tcBorders>
            <w:shd w:val="clear" w:color="auto" w:fill="auto"/>
            <w:vAlign w:val="bottom"/>
          </w:tcPr>
          <w:p w14:paraId="519344D3" w14:textId="75988A56" w:rsidR="002B721C" w:rsidRPr="001D41EA" w:rsidRDefault="002B721C" w:rsidP="001D41EA">
            <w:pPr>
              <w:spacing w:before="40" w:after="20"/>
              <w:jc w:val="right"/>
              <w:rPr>
                <w:rFonts w:cs="Arial"/>
                <w:sz w:val="18"/>
                <w:szCs w:val="18"/>
              </w:rPr>
            </w:pPr>
            <w:r w:rsidRPr="001D41EA">
              <w:rPr>
                <w:rFonts w:cs="Arial"/>
                <w:sz w:val="18"/>
                <w:szCs w:val="18"/>
              </w:rPr>
              <w:t>5,501</w:t>
            </w:r>
          </w:p>
        </w:tc>
        <w:tc>
          <w:tcPr>
            <w:tcW w:w="1228" w:type="dxa"/>
            <w:tcBorders>
              <w:top w:val="nil"/>
              <w:left w:val="nil"/>
              <w:bottom w:val="nil"/>
              <w:right w:val="nil"/>
            </w:tcBorders>
            <w:shd w:val="clear" w:color="auto" w:fill="auto"/>
            <w:vAlign w:val="bottom"/>
          </w:tcPr>
          <w:p w14:paraId="19C43EA0" w14:textId="77FFFF13" w:rsidR="002B721C" w:rsidRPr="001D41EA" w:rsidRDefault="002B721C" w:rsidP="001D41EA">
            <w:pPr>
              <w:spacing w:before="40" w:after="20"/>
              <w:jc w:val="right"/>
              <w:rPr>
                <w:rFonts w:cs="Arial"/>
                <w:sz w:val="18"/>
                <w:szCs w:val="18"/>
              </w:rPr>
            </w:pPr>
            <w:r w:rsidRPr="001D41EA">
              <w:rPr>
                <w:rFonts w:cs="Arial"/>
                <w:sz w:val="18"/>
                <w:szCs w:val="18"/>
              </w:rPr>
              <w:t>4.9%</w:t>
            </w:r>
          </w:p>
        </w:tc>
      </w:tr>
      <w:tr w:rsidR="002B721C" w:rsidRPr="001D41EA" w14:paraId="674D7302"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4C469B58" w14:textId="77777777" w:rsidR="002B721C" w:rsidRPr="001D41EA" w:rsidRDefault="002B721C" w:rsidP="001D41EA">
            <w:pPr>
              <w:spacing w:before="40" w:after="20"/>
              <w:rPr>
                <w:rFonts w:cs="Arial"/>
                <w:sz w:val="18"/>
                <w:szCs w:val="18"/>
              </w:rPr>
            </w:pPr>
            <w:r w:rsidRPr="001D41EA">
              <w:rPr>
                <w:rFonts w:cs="Arial"/>
                <w:sz w:val="18"/>
                <w:szCs w:val="18"/>
              </w:rPr>
              <w:t xml:space="preserve">Mildura RC </w:t>
            </w:r>
          </w:p>
        </w:tc>
        <w:tc>
          <w:tcPr>
            <w:tcW w:w="1236" w:type="dxa"/>
            <w:tcBorders>
              <w:top w:val="nil"/>
              <w:left w:val="single" w:sz="18" w:space="0" w:color="5F497A" w:themeColor="accent4" w:themeShade="BF"/>
              <w:bottom w:val="nil"/>
              <w:right w:val="nil"/>
            </w:tcBorders>
            <w:shd w:val="clear" w:color="auto" w:fill="auto"/>
            <w:vAlign w:val="bottom"/>
          </w:tcPr>
          <w:p w14:paraId="4BC25B21" w14:textId="32E9633B" w:rsidR="002B721C" w:rsidRPr="001D41EA" w:rsidRDefault="002B721C" w:rsidP="001D41EA">
            <w:pPr>
              <w:spacing w:before="40" w:after="20"/>
              <w:jc w:val="right"/>
              <w:rPr>
                <w:rFonts w:cs="Arial"/>
                <w:sz w:val="18"/>
                <w:szCs w:val="18"/>
              </w:rPr>
            </w:pPr>
            <w:r w:rsidRPr="001D41EA">
              <w:rPr>
                <w:rFonts w:cs="Arial"/>
                <w:sz w:val="18"/>
                <w:szCs w:val="18"/>
              </w:rPr>
              <w:t>792</w:t>
            </w:r>
          </w:p>
        </w:tc>
        <w:tc>
          <w:tcPr>
            <w:tcW w:w="1397" w:type="dxa"/>
            <w:tcBorders>
              <w:top w:val="nil"/>
              <w:left w:val="nil"/>
              <w:bottom w:val="nil"/>
              <w:right w:val="nil"/>
            </w:tcBorders>
            <w:shd w:val="clear" w:color="auto" w:fill="auto"/>
            <w:vAlign w:val="bottom"/>
          </w:tcPr>
          <w:p w14:paraId="7A2EEADC" w14:textId="3E90947E" w:rsidR="002B721C" w:rsidRPr="001D41EA" w:rsidRDefault="002B721C" w:rsidP="001D41EA">
            <w:pPr>
              <w:spacing w:before="40" w:after="20"/>
              <w:jc w:val="right"/>
              <w:rPr>
                <w:rFonts w:cs="Arial"/>
                <w:sz w:val="18"/>
                <w:szCs w:val="18"/>
              </w:rPr>
            </w:pPr>
            <w:r w:rsidRPr="001D41EA">
              <w:rPr>
                <w:rFonts w:cs="Arial"/>
                <w:sz w:val="18"/>
                <w:szCs w:val="18"/>
              </w:rPr>
              <w:t>935</w:t>
            </w:r>
          </w:p>
        </w:tc>
        <w:tc>
          <w:tcPr>
            <w:tcW w:w="1117" w:type="dxa"/>
            <w:tcBorders>
              <w:top w:val="nil"/>
              <w:left w:val="nil"/>
              <w:bottom w:val="nil"/>
              <w:right w:val="nil"/>
            </w:tcBorders>
            <w:shd w:val="clear" w:color="auto" w:fill="auto"/>
            <w:vAlign w:val="bottom"/>
          </w:tcPr>
          <w:p w14:paraId="74F4ED02" w14:textId="4B9D793E" w:rsidR="002B721C" w:rsidRPr="001D41EA" w:rsidRDefault="002B721C" w:rsidP="001D41EA">
            <w:pPr>
              <w:spacing w:before="40" w:after="20"/>
              <w:jc w:val="right"/>
              <w:rPr>
                <w:rFonts w:cs="Arial"/>
                <w:sz w:val="18"/>
                <w:szCs w:val="18"/>
              </w:rPr>
            </w:pPr>
            <w:r w:rsidRPr="001D41EA">
              <w:rPr>
                <w:rFonts w:cs="Arial"/>
                <w:sz w:val="18"/>
                <w:szCs w:val="18"/>
              </w:rPr>
              <w:t>36.7</w:t>
            </w:r>
          </w:p>
        </w:tc>
        <w:tc>
          <w:tcPr>
            <w:tcW w:w="1117" w:type="dxa"/>
            <w:tcBorders>
              <w:top w:val="nil"/>
              <w:left w:val="nil"/>
              <w:bottom w:val="nil"/>
              <w:right w:val="nil"/>
            </w:tcBorders>
            <w:shd w:val="clear" w:color="auto" w:fill="auto"/>
            <w:vAlign w:val="bottom"/>
          </w:tcPr>
          <w:p w14:paraId="733565ED" w14:textId="734126B2" w:rsidR="002B721C" w:rsidRPr="001D41EA" w:rsidRDefault="002B721C" w:rsidP="001D41EA">
            <w:pPr>
              <w:spacing w:before="40" w:after="20"/>
              <w:jc w:val="right"/>
              <w:rPr>
                <w:rFonts w:cs="Arial"/>
                <w:sz w:val="18"/>
                <w:szCs w:val="18"/>
              </w:rPr>
            </w:pPr>
            <w:r w:rsidRPr="001D41EA">
              <w:rPr>
                <w:rFonts w:cs="Arial"/>
                <w:sz w:val="18"/>
                <w:szCs w:val="18"/>
              </w:rPr>
              <w:t>143,109</w:t>
            </w:r>
          </w:p>
        </w:tc>
        <w:tc>
          <w:tcPr>
            <w:tcW w:w="971" w:type="dxa"/>
            <w:tcBorders>
              <w:top w:val="nil"/>
              <w:left w:val="nil"/>
              <w:bottom w:val="nil"/>
              <w:right w:val="nil"/>
            </w:tcBorders>
            <w:shd w:val="clear" w:color="auto" w:fill="auto"/>
            <w:vAlign w:val="bottom"/>
          </w:tcPr>
          <w:p w14:paraId="62942D35" w14:textId="25767F70" w:rsidR="002B721C" w:rsidRPr="001D41EA" w:rsidRDefault="002B721C" w:rsidP="001D41EA">
            <w:pPr>
              <w:spacing w:before="40" w:after="20"/>
              <w:jc w:val="right"/>
              <w:rPr>
                <w:rFonts w:cs="Arial"/>
                <w:sz w:val="18"/>
                <w:szCs w:val="18"/>
              </w:rPr>
            </w:pPr>
            <w:r w:rsidRPr="001D41EA">
              <w:rPr>
                <w:rFonts w:cs="Arial"/>
                <w:sz w:val="18"/>
                <w:szCs w:val="18"/>
              </w:rPr>
              <w:t>2,578</w:t>
            </w:r>
          </w:p>
        </w:tc>
        <w:tc>
          <w:tcPr>
            <w:tcW w:w="1228" w:type="dxa"/>
            <w:tcBorders>
              <w:top w:val="nil"/>
              <w:left w:val="nil"/>
              <w:bottom w:val="nil"/>
              <w:right w:val="nil"/>
            </w:tcBorders>
            <w:shd w:val="clear" w:color="auto" w:fill="auto"/>
            <w:vAlign w:val="bottom"/>
          </w:tcPr>
          <w:p w14:paraId="69972AAF" w14:textId="4E03C06E" w:rsidR="002B721C" w:rsidRPr="001D41EA" w:rsidRDefault="002B721C" w:rsidP="001D41EA">
            <w:pPr>
              <w:spacing w:before="40" w:after="20"/>
              <w:jc w:val="right"/>
              <w:rPr>
                <w:rFonts w:cs="Arial"/>
                <w:sz w:val="18"/>
                <w:szCs w:val="18"/>
              </w:rPr>
            </w:pPr>
            <w:r w:rsidRPr="001D41EA">
              <w:rPr>
                <w:rFonts w:cs="Arial"/>
                <w:sz w:val="18"/>
                <w:szCs w:val="18"/>
              </w:rPr>
              <w:t>12.0%</w:t>
            </w:r>
          </w:p>
        </w:tc>
      </w:tr>
      <w:tr w:rsidR="002B721C" w:rsidRPr="001D41EA" w14:paraId="4B933578"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21420219" w14:textId="77777777" w:rsidR="002B721C" w:rsidRPr="001D41EA" w:rsidRDefault="002B721C" w:rsidP="001D41EA">
            <w:pPr>
              <w:spacing w:before="40" w:after="20"/>
              <w:rPr>
                <w:rFonts w:cs="Arial"/>
                <w:sz w:val="18"/>
                <w:szCs w:val="18"/>
              </w:rPr>
            </w:pPr>
            <w:r w:rsidRPr="001D41EA">
              <w:rPr>
                <w:rFonts w:cs="Arial"/>
                <w:sz w:val="18"/>
                <w:szCs w:val="18"/>
              </w:rPr>
              <w:t xml:space="preserve">Mitchell S </w:t>
            </w:r>
          </w:p>
        </w:tc>
        <w:tc>
          <w:tcPr>
            <w:tcW w:w="1236" w:type="dxa"/>
            <w:tcBorders>
              <w:top w:val="nil"/>
              <w:left w:val="single" w:sz="18" w:space="0" w:color="5F497A" w:themeColor="accent4" w:themeShade="BF"/>
              <w:bottom w:val="nil"/>
              <w:right w:val="nil"/>
            </w:tcBorders>
            <w:shd w:val="clear" w:color="auto" w:fill="auto"/>
            <w:vAlign w:val="bottom"/>
          </w:tcPr>
          <w:p w14:paraId="7C5741E9" w14:textId="00FA2683" w:rsidR="002B721C" w:rsidRPr="001D41EA" w:rsidRDefault="002B721C" w:rsidP="001D41EA">
            <w:pPr>
              <w:spacing w:before="40" w:after="20"/>
              <w:jc w:val="right"/>
              <w:rPr>
                <w:rFonts w:cs="Arial"/>
                <w:sz w:val="18"/>
                <w:szCs w:val="18"/>
              </w:rPr>
            </w:pPr>
            <w:r w:rsidRPr="001D41EA">
              <w:rPr>
                <w:rFonts w:cs="Arial"/>
                <w:sz w:val="18"/>
                <w:szCs w:val="18"/>
              </w:rPr>
              <w:t>949</w:t>
            </w:r>
          </w:p>
        </w:tc>
        <w:tc>
          <w:tcPr>
            <w:tcW w:w="1397" w:type="dxa"/>
            <w:tcBorders>
              <w:top w:val="nil"/>
              <w:left w:val="nil"/>
              <w:bottom w:val="nil"/>
              <w:right w:val="nil"/>
            </w:tcBorders>
            <w:shd w:val="clear" w:color="auto" w:fill="auto"/>
            <w:vAlign w:val="bottom"/>
          </w:tcPr>
          <w:p w14:paraId="3A8876C4" w14:textId="17A42E4F" w:rsidR="002B721C" w:rsidRPr="001D41EA" w:rsidRDefault="002B721C" w:rsidP="001D41EA">
            <w:pPr>
              <w:spacing w:before="40" w:after="20"/>
              <w:jc w:val="right"/>
              <w:rPr>
                <w:rFonts w:cs="Arial"/>
                <w:sz w:val="18"/>
                <w:szCs w:val="18"/>
              </w:rPr>
            </w:pPr>
            <w:r w:rsidRPr="001D41EA">
              <w:rPr>
                <w:rFonts w:cs="Arial"/>
                <w:sz w:val="18"/>
                <w:szCs w:val="18"/>
              </w:rPr>
              <w:t>997</w:t>
            </w:r>
          </w:p>
        </w:tc>
        <w:tc>
          <w:tcPr>
            <w:tcW w:w="1117" w:type="dxa"/>
            <w:tcBorders>
              <w:top w:val="nil"/>
              <w:left w:val="nil"/>
              <w:bottom w:val="nil"/>
              <w:right w:val="nil"/>
            </w:tcBorders>
            <w:shd w:val="clear" w:color="auto" w:fill="auto"/>
            <w:vAlign w:val="bottom"/>
          </w:tcPr>
          <w:p w14:paraId="2040FF11" w14:textId="10914174" w:rsidR="002B721C" w:rsidRPr="001D41EA" w:rsidRDefault="002B721C" w:rsidP="001D41EA">
            <w:pPr>
              <w:spacing w:before="40" w:after="20"/>
              <w:jc w:val="right"/>
              <w:rPr>
                <w:rFonts w:cs="Arial"/>
                <w:sz w:val="18"/>
                <w:szCs w:val="18"/>
              </w:rPr>
            </w:pPr>
            <w:r w:rsidRPr="001D41EA">
              <w:rPr>
                <w:rFonts w:cs="Arial"/>
                <w:sz w:val="18"/>
                <w:szCs w:val="18"/>
              </w:rPr>
              <w:t>20.8</w:t>
            </w:r>
          </w:p>
        </w:tc>
        <w:tc>
          <w:tcPr>
            <w:tcW w:w="1117" w:type="dxa"/>
            <w:tcBorders>
              <w:top w:val="nil"/>
              <w:left w:val="nil"/>
              <w:bottom w:val="nil"/>
              <w:right w:val="nil"/>
            </w:tcBorders>
            <w:shd w:val="clear" w:color="auto" w:fill="auto"/>
            <w:vAlign w:val="bottom"/>
          </w:tcPr>
          <w:p w14:paraId="7885FC0D" w14:textId="2F88B953" w:rsidR="002B721C" w:rsidRPr="001D41EA" w:rsidRDefault="002B721C" w:rsidP="001D41EA">
            <w:pPr>
              <w:spacing w:before="40" w:after="20"/>
              <w:jc w:val="right"/>
              <w:rPr>
                <w:rFonts w:cs="Arial"/>
                <w:sz w:val="18"/>
                <w:szCs w:val="18"/>
              </w:rPr>
            </w:pPr>
            <w:r w:rsidRPr="001D41EA">
              <w:rPr>
                <w:rFonts w:cs="Arial"/>
                <w:sz w:val="18"/>
                <w:szCs w:val="18"/>
              </w:rPr>
              <w:t>193,621</w:t>
            </w:r>
          </w:p>
        </w:tc>
        <w:tc>
          <w:tcPr>
            <w:tcW w:w="971" w:type="dxa"/>
            <w:tcBorders>
              <w:top w:val="nil"/>
              <w:left w:val="nil"/>
              <w:bottom w:val="nil"/>
              <w:right w:val="nil"/>
            </w:tcBorders>
            <w:shd w:val="clear" w:color="auto" w:fill="auto"/>
            <w:vAlign w:val="bottom"/>
          </w:tcPr>
          <w:p w14:paraId="47236680" w14:textId="2B3A6D7F" w:rsidR="002B721C" w:rsidRPr="001D41EA" w:rsidRDefault="002B721C" w:rsidP="001D41EA">
            <w:pPr>
              <w:spacing w:before="40" w:after="20"/>
              <w:jc w:val="right"/>
              <w:rPr>
                <w:rFonts w:cs="Arial"/>
                <w:sz w:val="18"/>
                <w:szCs w:val="18"/>
              </w:rPr>
            </w:pPr>
            <w:r w:rsidRPr="001D41EA">
              <w:rPr>
                <w:rFonts w:cs="Arial"/>
                <w:sz w:val="18"/>
                <w:szCs w:val="18"/>
              </w:rPr>
              <w:t>4,371</w:t>
            </w:r>
          </w:p>
        </w:tc>
        <w:tc>
          <w:tcPr>
            <w:tcW w:w="1228" w:type="dxa"/>
            <w:tcBorders>
              <w:top w:val="nil"/>
              <w:left w:val="nil"/>
              <w:bottom w:val="nil"/>
              <w:right w:val="nil"/>
            </w:tcBorders>
            <w:shd w:val="clear" w:color="auto" w:fill="auto"/>
            <w:vAlign w:val="bottom"/>
          </w:tcPr>
          <w:p w14:paraId="34200601" w14:textId="7B877624" w:rsidR="002B721C" w:rsidRPr="001D41EA" w:rsidRDefault="002B721C" w:rsidP="001D41EA">
            <w:pPr>
              <w:spacing w:before="40" w:after="20"/>
              <w:jc w:val="right"/>
              <w:rPr>
                <w:rFonts w:cs="Arial"/>
                <w:sz w:val="18"/>
                <w:szCs w:val="18"/>
              </w:rPr>
            </w:pPr>
            <w:r w:rsidRPr="001D41EA">
              <w:rPr>
                <w:rFonts w:cs="Arial"/>
                <w:sz w:val="18"/>
                <w:szCs w:val="18"/>
              </w:rPr>
              <w:t>4.3%</w:t>
            </w:r>
          </w:p>
        </w:tc>
      </w:tr>
      <w:tr w:rsidR="002B721C" w:rsidRPr="001D41EA" w14:paraId="3BE38542"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69772604" w14:textId="77777777" w:rsidR="002B721C" w:rsidRPr="001D41EA" w:rsidRDefault="002B721C" w:rsidP="001D41EA">
            <w:pPr>
              <w:spacing w:before="40" w:after="20"/>
              <w:rPr>
                <w:rFonts w:cs="Arial"/>
                <w:sz w:val="18"/>
                <w:szCs w:val="18"/>
              </w:rPr>
            </w:pPr>
            <w:r w:rsidRPr="001D41EA">
              <w:rPr>
                <w:rFonts w:cs="Arial"/>
                <w:sz w:val="18"/>
                <w:szCs w:val="18"/>
              </w:rPr>
              <w:t xml:space="preserve">Moira S </w:t>
            </w:r>
          </w:p>
        </w:tc>
        <w:tc>
          <w:tcPr>
            <w:tcW w:w="1236" w:type="dxa"/>
            <w:tcBorders>
              <w:top w:val="nil"/>
              <w:left w:val="single" w:sz="18" w:space="0" w:color="5F497A" w:themeColor="accent4" w:themeShade="BF"/>
              <w:bottom w:val="nil"/>
              <w:right w:val="nil"/>
            </w:tcBorders>
            <w:shd w:val="clear" w:color="auto" w:fill="auto"/>
            <w:vAlign w:val="bottom"/>
          </w:tcPr>
          <w:p w14:paraId="1AFA5719" w14:textId="16CC32D6" w:rsidR="002B721C" w:rsidRPr="001D41EA" w:rsidRDefault="002B721C" w:rsidP="001D41EA">
            <w:pPr>
              <w:spacing w:before="40" w:after="20"/>
              <w:jc w:val="right"/>
              <w:rPr>
                <w:rFonts w:cs="Arial"/>
                <w:sz w:val="18"/>
                <w:szCs w:val="18"/>
              </w:rPr>
            </w:pPr>
            <w:r w:rsidRPr="001D41EA">
              <w:rPr>
                <w:rFonts w:cs="Arial"/>
                <w:sz w:val="18"/>
                <w:szCs w:val="18"/>
              </w:rPr>
              <w:t>787</w:t>
            </w:r>
          </w:p>
        </w:tc>
        <w:tc>
          <w:tcPr>
            <w:tcW w:w="1397" w:type="dxa"/>
            <w:tcBorders>
              <w:top w:val="nil"/>
              <w:left w:val="nil"/>
              <w:bottom w:val="nil"/>
              <w:right w:val="nil"/>
            </w:tcBorders>
            <w:shd w:val="clear" w:color="auto" w:fill="auto"/>
            <w:vAlign w:val="bottom"/>
          </w:tcPr>
          <w:p w14:paraId="10EC264A" w14:textId="32C6FF41" w:rsidR="002B721C" w:rsidRPr="001D41EA" w:rsidRDefault="002B721C" w:rsidP="001D41EA">
            <w:pPr>
              <w:spacing w:before="40" w:after="20"/>
              <w:jc w:val="right"/>
              <w:rPr>
                <w:rFonts w:cs="Arial"/>
                <w:sz w:val="18"/>
                <w:szCs w:val="18"/>
              </w:rPr>
            </w:pPr>
            <w:r w:rsidRPr="001D41EA">
              <w:rPr>
                <w:rFonts w:cs="Arial"/>
                <w:sz w:val="18"/>
                <w:szCs w:val="18"/>
              </w:rPr>
              <w:t>951</w:t>
            </w:r>
          </w:p>
        </w:tc>
        <w:tc>
          <w:tcPr>
            <w:tcW w:w="1117" w:type="dxa"/>
            <w:tcBorders>
              <w:top w:val="nil"/>
              <w:left w:val="nil"/>
              <w:bottom w:val="nil"/>
              <w:right w:val="nil"/>
            </w:tcBorders>
            <w:shd w:val="clear" w:color="auto" w:fill="auto"/>
            <w:vAlign w:val="bottom"/>
          </w:tcPr>
          <w:p w14:paraId="4E858DF1" w14:textId="173B2D58" w:rsidR="002B721C" w:rsidRPr="001D41EA" w:rsidRDefault="002B721C" w:rsidP="001D41EA">
            <w:pPr>
              <w:spacing w:before="40" w:after="20"/>
              <w:jc w:val="right"/>
              <w:rPr>
                <w:rFonts w:cs="Arial"/>
                <w:sz w:val="18"/>
                <w:szCs w:val="18"/>
              </w:rPr>
            </w:pPr>
            <w:r w:rsidRPr="001D41EA">
              <w:rPr>
                <w:rFonts w:cs="Arial"/>
                <w:sz w:val="18"/>
                <w:szCs w:val="18"/>
              </w:rPr>
              <w:t>48.8</w:t>
            </w:r>
          </w:p>
        </w:tc>
        <w:tc>
          <w:tcPr>
            <w:tcW w:w="1117" w:type="dxa"/>
            <w:tcBorders>
              <w:top w:val="nil"/>
              <w:left w:val="nil"/>
              <w:bottom w:val="nil"/>
              <w:right w:val="nil"/>
            </w:tcBorders>
            <w:shd w:val="clear" w:color="auto" w:fill="auto"/>
            <w:vAlign w:val="bottom"/>
          </w:tcPr>
          <w:p w14:paraId="74A34511" w14:textId="54473C72" w:rsidR="002B721C" w:rsidRPr="001D41EA" w:rsidRDefault="002B721C" w:rsidP="001D41EA">
            <w:pPr>
              <w:spacing w:before="40" w:after="20"/>
              <w:jc w:val="right"/>
              <w:rPr>
                <w:rFonts w:cs="Arial"/>
                <w:sz w:val="18"/>
                <w:szCs w:val="18"/>
              </w:rPr>
            </w:pPr>
            <w:r w:rsidRPr="001D41EA">
              <w:rPr>
                <w:rFonts w:cs="Arial"/>
                <w:sz w:val="18"/>
                <w:szCs w:val="18"/>
              </w:rPr>
              <w:t>89,080</w:t>
            </w:r>
          </w:p>
        </w:tc>
        <w:tc>
          <w:tcPr>
            <w:tcW w:w="971" w:type="dxa"/>
            <w:tcBorders>
              <w:top w:val="nil"/>
              <w:left w:val="nil"/>
              <w:bottom w:val="nil"/>
              <w:right w:val="nil"/>
            </w:tcBorders>
            <w:shd w:val="clear" w:color="auto" w:fill="auto"/>
            <w:vAlign w:val="bottom"/>
          </w:tcPr>
          <w:p w14:paraId="369D9A4F" w14:textId="4BE6B316" w:rsidR="002B721C" w:rsidRPr="001D41EA" w:rsidRDefault="002B721C" w:rsidP="001D41EA">
            <w:pPr>
              <w:spacing w:before="40" w:after="20"/>
              <w:jc w:val="right"/>
              <w:rPr>
                <w:rFonts w:cs="Arial"/>
                <w:sz w:val="18"/>
                <w:szCs w:val="18"/>
              </w:rPr>
            </w:pPr>
            <w:r w:rsidRPr="001D41EA">
              <w:rPr>
                <w:rFonts w:cs="Arial"/>
                <w:sz w:val="18"/>
                <w:szCs w:val="18"/>
              </w:rPr>
              <w:t>2,989</w:t>
            </w:r>
          </w:p>
        </w:tc>
        <w:tc>
          <w:tcPr>
            <w:tcW w:w="1228" w:type="dxa"/>
            <w:tcBorders>
              <w:top w:val="nil"/>
              <w:left w:val="nil"/>
              <w:bottom w:val="nil"/>
              <w:right w:val="nil"/>
            </w:tcBorders>
            <w:shd w:val="clear" w:color="auto" w:fill="auto"/>
            <w:vAlign w:val="bottom"/>
          </w:tcPr>
          <w:p w14:paraId="5735895C" w14:textId="6C712C61" w:rsidR="002B721C" w:rsidRPr="001D41EA" w:rsidRDefault="002B721C" w:rsidP="001D41EA">
            <w:pPr>
              <w:spacing w:before="40" w:after="20"/>
              <w:jc w:val="right"/>
              <w:rPr>
                <w:rFonts w:cs="Arial"/>
                <w:sz w:val="18"/>
                <w:szCs w:val="18"/>
              </w:rPr>
            </w:pPr>
            <w:r w:rsidRPr="001D41EA">
              <w:rPr>
                <w:rFonts w:cs="Arial"/>
                <w:sz w:val="18"/>
                <w:szCs w:val="18"/>
              </w:rPr>
              <w:t>6.9%</w:t>
            </w:r>
          </w:p>
        </w:tc>
      </w:tr>
      <w:tr w:rsidR="002B721C" w:rsidRPr="001D41EA" w14:paraId="1708AC37"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227C11F7" w14:textId="77777777" w:rsidR="002B721C" w:rsidRPr="001D41EA" w:rsidRDefault="002B721C" w:rsidP="001D41EA">
            <w:pPr>
              <w:spacing w:before="40" w:after="20"/>
              <w:rPr>
                <w:rFonts w:cs="Arial"/>
                <w:sz w:val="18"/>
                <w:szCs w:val="18"/>
              </w:rPr>
            </w:pPr>
            <w:r w:rsidRPr="001D41EA">
              <w:rPr>
                <w:rFonts w:cs="Arial"/>
                <w:sz w:val="18"/>
                <w:szCs w:val="18"/>
              </w:rPr>
              <w:t xml:space="preserve">Monash C </w:t>
            </w:r>
          </w:p>
        </w:tc>
        <w:tc>
          <w:tcPr>
            <w:tcW w:w="1236" w:type="dxa"/>
            <w:tcBorders>
              <w:top w:val="nil"/>
              <w:left w:val="single" w:sz="18" w:space="0" w:color="5F497A" w:themeColor="accent4" w:themeShade="BF"/>
              <w:bottom w:val="nil"/>
              <w:right w:val="nil"/>
            </w:tcBorders>
            <w:shd w:val="clear" w:color="auto" w:fill="auto"/>
            <w:vAlign w:val="bottom"/>
          </w:tcPr>
          <w:p w14:paraId="0CC9F42B" w14:textId="4CC079D4" w:rsidR="002B721C" w:rsidRPr="001D41EA" w:rsidRDefault="002B721C" w:rsidP="001D41EA">
            <w:pPr>
              <w:spacing w:before="40" w:after="20"/>
              <w:jc w:val="right"/>
              <w:rPr>
                <w:rFonts w:cs="Arial"/>
                <w:sz w:val="18"/>
                <w:szCs w:val="18"/>
              </w:rPr>
            </w:pPr>
            <w:r w:rsidRPr="001D41EA">
              <w:rPr>
                <w:rFonts w:cs="Arial"/>
                <w:sz w:val="18"/>
                <w:szCs w:val="18"/>
              </w:rPr>
              <w:t>1,077</w:t>
            </w:r>
          </w:p>
        </w:tc>
        <w:tc>
          <w:tcPr>
            <w:tcW w:w="1397" w:type="dxa"/>
            <w:tcBorders>
              <w:top w:val="nil"/>
              <w:left w:val="nil"/>
              <w:bottom w:val="nil"/>
              <w:right w:val="nil"/>
            </w:tcBorders>
            <w:shd w:val="clear" w:color="auto" w:fill="auto"/>
            <w:vAlign w:val="bottom"/>
          </w:tcPr>
          <w:p w14:paraId="3AA8DB61" w14:textId="0F0E85C5" w:rsidR="002B721C" w:rsidRPr="001D41EA" w:rsidRDefault="002B721C" w:rsidP="001D41EA">
            <w:pPr>
              <w:spacing w:before="40" w:after="20"/>
              <w:jc w:val="right"/>
              <w:rPr>
                <w:rFonts w:cs="Arial"/>
                <w:sz w:val="18"/>
                <w:szCs w:val="18"/>
              </w:rPr>
            </w:pPr>
            <w:r w:rsidRPr="001D41EA">
              <w:rPr>
                <w:rFonts w:cs="Arial"/>
                <w:sz w:val="18"/>
                <w:szCs w:val="18"/>
              </w:rPr>
              <w:t>1,045</w:t>
            </w:r>
          </w:p>
        </w:tc>
        <w:tc>
          <w:tcPr>
            <w:tcW w:w="1117" w:type="dxa"/>
            <w:tcBorders>
              <w:top w:val="nil"/>
              <w:left w:val="nil"/>
              <w:bottom w:val="nil"/>
              <w:right w:val="nil"/>
            </w:tcBorders>
            <w:shd w:val="clear" w:color="auto" w:fill="auto"/>
            <w:vAlign w:val="bottom"/>
          </w:tcPr>
          <w:p w14:paraId="7AF4F632" w14:textId="3B2EA28B" w:rsidR="002B721C" w:rsidRPr="001D41EA" w:rsidRDefault="002B721C" w:rsidP="001D41EA">
            <w:pPr>
              <w:spacing w:before="40" w:after="20"/>
              <w:jc w:val="right"/>
              <w:rPr>
                <w:rFonts w:cs="Arial"/>
                <w:sz w:val="18"/>
                <w:szCs w:val="18"/>
              </w:rPr>
            </w:pPr>
            <w:r w:rsidRPr="001D41EA">
              <w:rPr>
                <w:rFonts w:cs="Arial"/>
                <w:sz w:val="18"/>
                <w:szCs w:val="18"/>
              </w:rPr>
              <w:t>25.4</w:t>
            </w:r>
          </w:p>
        </w:tc>
        <w:tc>
          <w:tcPr>
            <w:tcW w:w="1117" w:type="dxa"/>
            <w:tcBorders>
              <w:top w:val="nil"/>
              <w:left w:val="nil"/>
              <w:bottom w:val="nil"/>
              <w:right w:val="nil"/>
            </w:tcBorders>
            <w:shd w:val="clear" w:color="auto" w:fill="auto"/>
            <w:vAlign w:val="bottom"/>
          </w:tcPr>
          <w:p w14:paraId="2295D3D4" w14:textId="071E8F62" w:rsidR="002B721C" w:rsidRPr="001D41EA" w:rsidRDefault="002B721C" w:rsidP="001D41EA">
            <w:pPr>
              <w:spacing w:before="40" w:after="20"/>
              <w:jc w:val="right"/>
              <w:rPr>
                <w:rFonts w:cs="Arial"/>
                <w:sz w:val="18"/>
                <w:szCs w:val="18"/>
              </w:rPr>
            </w:pPr>
            <w:r w:rsidRPr="001D41EA">
              <w:rPr>
                <w:rFonts w:cs="Arial"/>
                <w:sz w:val="18"/>
                <w:szCs w:val="18"/>
              </w:rPr>
              <w:t>1,381,077</w:t>
            </w:r>
          </w:p>
        </w:tc>
        <w:tc>
          <w:tcPr>
            <w:tcW w:w="971" w:type="dxa"/>
            <w:tcBorders>
              <w:top w:val="nil"/>
              <w:left w:val="nil"/>
              <w:bottom w:val="nil"/>
              <w:right w:val="nil"/>
            </w:tcBorders>
            <w:shd w:val="clear" w:color="auto" w:fill="auto"/>
            <w:vAlign w:val="bottom"/>
          </w:tcPr>
          <w:p w14:paraId="68EC22A3" w14:textId="3A6F50C2" w:rsidR="002B721C" w:rsidRPr="001D41EA" w:rsidRDefault="002B721C" w:rsidP="001D41EA">
            <w:pPr>
              <w:spacing w:before="40" w:after="20"/>
              <w:jc w:val="right"/>
              <w:rPr>
                <w:rFonts w:cs="Arial"/>
                <w:sz w:val="18"/>
                <w:szCs w:val="18"/>
              </w:rPr>
            </w:pPr>
            <w:r w:rsidRPr="001D41EA">
              <w:rPr>
                <w:rFonts w:cs="Arial"/>
                <w:sz w:val="18"/>
                <w:szCs w:val="18"/>
              </w:rPr>
              <w:t>6,903</w:t>
            </w:r>
          </w:p>
        </w:tc>
        <w:tc>
          <w:tcPr>
            <w:tcW w:w="1228" w:type="dxa"/>
            <w:tcBorders>
              <w:top w:val="nil"/>
              <w:left w:val="nil"/>
              <w:bottom w:val="nil"/>
              <w:right w:val="nil"/>
            </w:tcBorders>
            <w:shd w:val="clear" w:color="auto" w:fill="auto"/>
            <w:vAlign w:val="bottom"/>
          </w:tcPr>
          <w:p w14:paraId="45F9B103" w14:textId="5B79F81E" w:rsidR="002B721C" w:rsidRPr="001D41EA" w:rsidRDefault="002B721C" w:rsidP="001D41EA">
            <w:pPr>
              <w:spacing w:before="40" w:after="20"/>
              <w:jc w:val="right"/>
              <w:rPr>
                <w:rFonts w:cs="Arial"/>
                <w:sz w:val="18"/>
                <w:szCs w:val="18"/>
              </w:rPr>
            </w:pPr>
            <w:r w:rsidRPr="001D41EA">
              <w:rPr>
                <w:rFonts w:cs="Arial"/>
                <w:sz w:val="18"/>
                <w:szCs w:val="18"/>
              </w:rPr>
              <w:t>6.4%</w:t>
            </w:r>
          </w:p>
        </w:tc>
      </w:tr>
      <w:tr w:rsidR="002B721C" w:rsidRPr="001D41EA" w14:paraId="3A9D69C6"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42C37194" w14:textId="77777777" w:rsidR="002B721C" w:rsidRPr="001D41EA" w:rsidRDefault="002B721C" w:rsidP="001D41EA">
            <w:pPr>
              <w:spacing w:before="40" w:after="20"/>
              <w:rPr>
                <w:rFonts w:cs="Arial"/>
                <w:sz w:val="18"/>
                <w:szCs w:val="18"/>
              </w:rPr>
            </w:pPr>
            <w:r w:rsidRPr="001D41EA">
              <w:rPr>
                <w:rFonts w:cs="Arial"/>
                <w:sz w:val="18"/>
                <w:szCs w:val="18"/>
              </w:rPr>
              <w:t xml:space="preserve">Moonee Valley C </w:t>
            </w:r>
          </w:p>
        </w:tc>
        <w:tc>
          <w:tcPr>
            <w:tcW w:w="1236" w:type="dxa"/>
            <w:tcBorders>
              <w:top w:val="nil"/>
              <w:left w:val="single" w:sz="18" w:space="0" w:color="5F497A" w:themeColor="accent4" w:themeShade="BF"/>
              <w:bottom w:val="nil"/>
              <w:right w:val="nil"/>
            </w:tcBorders>
            <w:shd w:val="clear" w:color="auto" w:fill="auto"/>
            <w:vAlign w:val="bottom"/>
          </w:tcPr>
          <w:p w14:paraId="5EE90C10" w14:textId="71308856" w:rsidR="002B721C" w:rsidRPr="001D41EA" w:rsidRDefault="002B721C" w:rsidP="001D41EA">
            <w:pPr>
              <w:spacing w:before="40" w:after="20"/>
              <w:jc w:val="right"/>
              <w:rPr>
                <w:rFonts w:cs="Arial"/>
                <w:sz w:val="18"/>
                <w:szCs w:val="18"/>
              </w:rPr>
            </w:pPr>
            <w:r w:rsidRPr="001D41EA">
              <w:rPr>
                <w:rFonts w:cs="Arial"/>
                <w:sz w:val="18"/>
                <w:szCs w:val="18"/>
              </w:rPr>
              <w:t>977</w:t>
            </w:r>
          </w:p>
        </w:tc>
        <w:tc>
          <w:tcPr>
            <w:tcW w:w="1397" w:type="dxa"/>
            <w:tcBorders>
              <w:top w:val="nil"/>
              <w:left w:val="nil"/>
              <w:bottom w:val="nil"/>
              <w:right w:val="nil"/>
            </w:tcBorders>
            <w:shd w:val="clear" w:color="auto" w:fill="auto"/>
            <w:vAlign w:val="bottom"/>
          </w:tcPr>
          <w:p w14:paraId="2D809EBA" w14:textId="6DEB4B98" w:rsidR="002B721C" w:rsidRPr="001D41EA" w:rsidRDefault="002B721C" w:rsidP="001D41EA">
            <w:pPr>
              <w:spacing w:before="40" w:after="20"/>
              <w:jc w:val="right"/>
              <w:rPr>
                <w:rFonts w:cs="Arial"/>
                <w:sz w:val="18"/>
                <w:szCs w:val="18"/>
              </w:rPr>
            </w:pPr>
            <w:r w:rsidRPr="001D41EA">
              <w:rPr>
                <w:rFonts w:cs="Arial"/>
                <w:sz w:val="18"/>
                <w:szCs w:val="18"/>
              </w:rPr>
              <w:t>1,035</w:t>
            </w:r>
          </w:p>
        </w:tc>
        <w:tc>
          <w:tcPr>
            <w:tcW w:w="1117" w:type="dxa"/>
            <w:tcBorders>
              <w:top w:val="nil"/>
              <w:left w:val="nil"/>
              <w:bottom w:val="nil"/>
              <w:right w:val="nil"/>
            </w:tcBorders>
            <w:shd w:val="clear" w:color="auto" w:fill="auto"/>
            <w:vAlign w:val="bottom"/>
          </w:tcPr>
          <w:p w14:paraId="3A56020A" w14:textId="76BFE5E6" w:rsidR="002B721C" w:rsidRPr="001D41EA" w:rsidRDefault="002B721C" w:rsidP="001D41EA">
            <w:pPr>
              <w:spacing w:before="40" w:after="20"/>
              <w:jc w:val="right"/>
              <w:rPr>
                <w:rFonts w:cs="Arial"/>
                <w:sz w:val="18"/>
                <w:szCs w:val="18"/>
              </w:rPr>
            </w:pPr>
            <w:r w:rsidRPr="001D41EA">
              <w:rPr>
                <w:rFonts w:cs="Arial"/>
                <w:sz w:val="18"/>
                <w:szCs w:val="18"/>
              </w:rPr>
              <w:t>13.0</w:t>
            </w:r>
          </w:p>
        </w:tc>
        <w:tc>
          <w:tcPr>
            <w:tcW w:w="1117" w:type="dxa"/>
            <w:tcBorders>
              <w:top w:val="nil"/>
              <w:left w:val="nil"/>
              <w:bottom w:val="nil"/>
              <w:right w:val="nil"/>
            </w:tcBorders>
            <w:shd w:val="clear" w:color="auto" w:fill="auto"/>
            <w:vAlign w:val="bottom"/>
          </w:tcPr>
          <w:p w14:paraId="10990384" w14:textId="3AE3A71C" w:rsidR="002B721C" w:rsidRPr="001D41EA" w:rsidRDefault="002B721C" w:rsidP="001D41EA">
            <w:pPr>
              <w:spacing w:before="40" w:after="20"/>
              <w:jc w:val="right"/>
              <w:rPr>
                <w:rFonts w:cs="Arial"/>
                <w:sz w:val="18"/>
                <w:szCs w:val="18"/>
              </w:rPr>
            </w:pPr>
            <w:r w:rsidRPr="001D41EA">
              <w:rPr>
                <w:rFonts w:cs="Arial"/>
                <w:sz w:val="18"/>
                <w:szCs w:val="18"/>
              </w:rPr>
              <w:t>680,859</w:t>
            </w:r>
          </w:p>
        </w:tc>
        <w:tc>
          <w:tcPr>
            <w:tcW w:w="971" w:type="dxa"/>
            <w:tcBorders>
              <w:top w:val="nil"/>
              <w:left w:val="nil"/>
              <w:bottom w:val="nil"/>
              <w:right w:val="nil"/>
            </w:tcBorders>
            <w:shd w:val="clear" w:color="auto" w:fill="auto"/>
            <w:vAlign w:val="bottom"/>
          </w:tcPr>
          <w:p w14:paraId="5928962D" w14:textId="4A8EAF11" w:rsidR="002B721C" w:rsidRPr="001D41EA" w:rsidRDefault="002B721C" w:rsidP="001D41EA">
            <w:pPr>
              <w:spacing w:before="40" w:after="20"/>
              <w:jc w:val="right"/>
              <w:rPr>
                <w:rFonts w:cs="Arial"/>
                <w:sz w:val="18"/>
                <w:szCs w:val="18"/>
              </w:rPr>
            </w:pPr>
            <w:r w:rsidRPr="001D41EA">
              <w:rPr>
                <w:rFonts w:cs="Arial"/>
                <w:sz w:val="18"/>
                <w:szCs w:val="18"/>
              </w:rPr>
              <w:t>5,324</w:t>
            </w:r>
          </w:p>
        </w:tc>
        <w:tc>
          <w:tcPr>
            <w:tcW w:w="1228" w:type="dxa"/>
            <w:tcBorders>
              <w:top w:val="nil"/>
              <w:left w:val="nil"/>
              <w:bottom w:val="nil"/>
              <w:right w:val="nil"/>
            </w:tcBorders>
            <w:shd w:val="clear" w:color="auto" w:fill="auto"/>
            <w:vAlign w:val="bottom"/>
          </w:tcPr>
          <w:p w14:paraId="0516112C" w14:textId="5EDF0D78" w:rsidR="002B721C" w:rsidRPr="001D41EA" w:rsidRDefault="002B721C" w:rsidP="001D41EA">
            <w:pPr>
              <w:spacing w:before="40" w:after="20"/>
              <w:jc w:val="right"/>
              <w:rPr>
                <w:rFonts w:cs="Arial"/>
                <w:sz w:val="18"/>
                <w:szCs w:val="18"/>
              </w:rPr>
            </w:pPr>
            <w:r w:rsidRPr="001D41EA">
              <w:rPr>
                <w:rFonts w:cs="Arial"/>
                <w:sz w:val="18"/>
                <w:szCs w:val="18"/>
              </w:rPr>
              <w:t>8.8%</w:t>
            </w:r>
          </w:p>
        </w:tc>
      </w:tr>
      <w:tr w:rsidR="002B721C" w:rsidRPr="001D41EA" w14:paraId="2C9D2643"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43EFB1E3" w14:textId="77777777" w:rsidR="002B721C" w:rsidRPr="001D41EA" w:rsidRDefault="002B721C" w:rsidP="001D41EA">
            <w:pPr>
              <w:spacing w:before="40" w:after="20"/>
              <w:rPr>
                <w:rFonts w:cs="Arial"/>
                <w:sz w:val="18"/>
                <w:szCs w:val="18"/>
              </w:rPr>
            </w:pPr>
            <w:r w:rsidRPr="001D41EA">
              <w:rPr>
                <w:rFonts w:cs="Arial"/>
                <w:sz w:val="18"/>
                <w:szCs w:val="18"/>
              </w:rPr>
              <w:t xml:space="preserve">Moorabool S </w:t>
            </w:r>
          </w:p>
        </w:tc>
        <w:tc>
          <w:tcPr>
            <w:tcW w:w="1236" w:type="dxa"/>
            <w:tcBorders>
              <w:top w:val="nil"/>
              <w:left w:val="single" w:sz="18" w:space="0" w:color="5F497A" w:themeColor="accent4" w:themeShade="BF"/>
              <w:bottom w:val="nil"/>
              <w:right w:val="nil"/>
            </w:tcBorders>
            <w:shd w:val="clear" w:color="auto" w:fill="auto"/>
            <w:vAlign w:val="bottom"/>
          </w:tcPr>
          <w:p w14:paraId="5D882CF3" w14:textId="2E149CD2" w:rsidR="002B721C" w:rsidRPr="001D41EA" w:rsidRDefault="002B721C" w:rsidP="001D41EA">
            <w:pPr>
              <w:spacing w:before="40" w:after="20"/>
              <w:jc w:val="right"/>
              <w:rPr>
                <w:rFonts w:cs="Arial"/>
                <w:sz w:val="18"/>
                <w:szCs w:val="18"/>
              </w:rPr>
            </w:pPr>
            <w:r w:rsidRPr="001D41EA">
              <w:rPr>
                <w:rFonts w:cs="Arial"/>
                <w:sz w:val="18"/>
                <w:szCs w:val="18"/>
              </w:rPr>
              <w:t>908</w:t>
            </w:r>
          </w:p>
        </w:tc>
        <w:tc>
          <w:tcPr>
            <w:tcW w:w="1397" w:type="dxa"/>
            <w:tcBorders>
              <w:top w:val="nil"/>
              <w:left w:val="nil"/>
              <w:bottom w:val="nil"/>
              <w:right w:val="nil"/>
            </w:tcBorders>
            <w:shd w:val="clear" w:color="auto" w:fill="auto"/>
            <w:vAlign w:val="bottom"/>
          </w:tcPr>
          <w:p w14:paraId="4C315E2A" w14:textId="67D0F12A" w:rsidR="002B721C" w:rsidRPr="001D41EA" w:rsidRDefault="002B721C" w:rsidP="001D41EA">
            <w:pPr>
              <w:spacing w:before="40" w:after="20"/>
              <w:jc w:val="right"/>
              <w:rPr>
                <w:rFonts w:cs="Arial"/>
                <w:sz w:val="18"/>
                <w:szCs w:val="18"/>
              </w:rPr>
            </w:pPr>
            <w:r w:rsidRPr="001D41EA">
              <w:rPr>
                <w:rFonts w:cs="Arial"/>
                <w:sz w:val="18"/>
                <w:szCs w:val="18"/>
              </w:rPr>
              <w:t>1,010</w:t>
            </w:r>
          </w:p>
        </w:tc>
        <w:tc>
          <w:tcPr>
            <w:tcW w:w="1117" w:type="dxa"/>
            <w:tcBorders>
              <w:top w:val="nil"/>
              <w:left w:val="nil"/>
              <w:bottom w:val="nil"/>
              <w:right w:val="nil"/>
            </w:tcBorders>
            <w:shd w:val="clear" w:color="auto" w:fill="auto"/>
            <w:vAlign w:val="bottom"/>
          </w:tcPr>
          <w:p w14:paraId="1CF63CB7" w14:textId="55C0C008" w:rsidR="002B721C" w:rsidRPr="001D41EA" w:rsidRDefault="002B721C" w:rsidP="001D41EA">
            <w:pPr>
              <w:spacing w:before="40" w:after="20"/>
              <w:jc w:val="right"/>
              <w:rPr>
                <w:rFonts w:cs="Arial"/>
                <w:sz w:val="18"/>
                <w:szCs w:val="18"/>
              </w:rPr>
            </w:pPr>
            <w:r w:rsidRPr="001D41EA">
              <w:rPr>
                <w:rFonts w:cs="Arial"/>
                <w:sz w:val="18"/>
                <w:szCs w:val="18"/>
              </w:rPr>
              <w:t>16.9</w:t>
            </w:r>
          </w:p>
        </w:tc>
        <w:tc>
          <w:tcPr>
            <w:tcW w:w="1117" w:type="dxa"/>
            <w:tcBorders>
              <w:top w:val="nil"/>
              <w:left w:val="nil"/>
              <w:bottom w:val="nil"/>
              <w:right w:val="nil"/>
            </w:tcBorders>
            <w:shd w:val="clear" w:color="auto" w:fill="auto"/>
            <w:vAlign w:val="bottom"/>
          </w:tcPr>
          <w:p w14:paraId="2D83E896" w14:textId="5E93E2B3" w:rsidR="002B721C" w:rsidRPr="001D41EA" w:rsidRDefault="002B721C" w:rsidP="001D41EA">
            <w:pPr>
              <w:spacing w:before="40" w:after="20"/>
              <w:jc w:val="right"/>
              <w:rPr>
                <w:rFonts w:cs="Arial"/>
                <w:sz w:val="18"/>
                <w:szCs w:val="18"/>
              </w:rPr>
            </w:pPr>
            <w:r w:rsidRPr="001D41EA">
              <w:rPr>
                <w:rFonts w:cs="Arial"/>
                <w:sz w:val="18"/>
                <w:szCs w:val="18"/>
              </w:rPr>
              <w:t>141,679</w:t>
            </w:r>
          </w:p>
        </w:tc>
        <w:tc>
          <w:tcPr>
            <w:tcW w:w="971" w:type="dxa"/>
            <w:tcBorders>
              <w:top w:val="nil"/>
              <w:left w:val="nil"/>
              <w:bottom w:val="nil"/>
              <w:right w:val="nil"/>
            </w:tcBorders>
            <w:shd w:val="clear" w:color="auto" w:fill="auto"/>
            <w:vAlign w:val="bottom"/>
          </w:tcPr>
          <w:p w14:paraId="387E8D7F" w14:textId="6A6CC72A" w:rsidR="002B721C" w:rsidRPr="001D41EA" w:rsidRDefault="002B721C" w:rsidP="001D41EA">
            <w:pPr>
              <w:spacing w:before="40" w:after="20"/>
              <w:jc w:val="right"/>
              <w:rPr>
                <w:rFonts w:cs="Arial"/>
                <w:sz w:val="18"/>
                <w:szCs w:val="18"/>
              </w:rPr>
            </w:pPr>
            <w:r w:rsidRPr="001D41EA">
              <w:rPr>
                <w:rFonts w:cs="Arial"/>
                <w:sz w:val="18"/>
                <w:szCs w:val="18"/>
              </w:rPr>
              <w:t>4,148</w:t>
            </w:r>
          </w:p>
        </w:tc>
        <w:tc>
          <w:tcPr>
            <w:tcW w:w="1228" w:type="dxa"/>
            <w:tcBorders>
              <w:top w:val="nil"/>
              <w:left w:val="nil"/>
              <w:bottom w:val="nil"/>
              <w:right w:val="nil"/>
            </w:tcBorders>
            <w:shd w:val="clear" w:color="auto" w:fill="auto"/>
            <w:vAlign w:val="bottom"/>
          </w:tcPr>
          <w:p w14:paraId="6A071428" w14:textId="6A2183CD" w:rsidR="002B721C" w:rsidRPr="001D41EA" w:rsidRDefault="002B721C" w:rsidP="001D41EA">
            <w:pPr>
              <w:spacing w:before="40" w:after="20"/>
              <w:jc w:val="right"/>
              <w:rPr>
                <w:rFonts w:cs="Arial"/>
                <w:sz w:val="18"/>
                <w:szCs w:val="18"/>
              </w:rPr>
            </w:pPr>
            <w:r w:rsidRPr="001D41EA">
              <w:rPr>
                <w:rFonts w:cs="Arial"/>
                <w:sz w:val="18"/>
                <w:szCs w:val="18"/>
              </w:rPr>
              <w:t>4.9%</w:t>
            </w:r>
          </w:p>
        </w:tc>
      </w:tr>
      <w:tr w:rsidR="002B721C" w:rsidRPr="001D41EA" w14:paraId="7E0391AF"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23D1A91D" w14:textId="77777777" w:rsidR="002B721C" w:rsidRPr="001D41EA" w:rsidRDefault="002B721C" w:rsidP="001D41EA">
            <w:pPr>
              <w:spacing w:before="40" w:after="20"/>
              <w:rPr>
                <w:rFonts w:cs="Arial"/>
                <w:sz w:val="18"/>
                <w:szCs w:val="18"/>
              </w:rPr>
            </w:pPr>
            <w:r w:rsidRPr="001D41EA">
              <w:rPr>
                <w:rFonts w:cs="Arial"/>
                <w:sz w:val="18"/>
                <w:szCs w:val="18"/>
              </w:rPr>
              <w:t xml:space="preserve">Moreland C </w:t>
            </w:r>
          </w:p>
        </w:tc>
        <w:tc>
          <w:tcPr>
            <w:tcW w:w="1236" w:type="dxa"/>
            <w:tcBorders>
              <w:top w:val="nil"/>
              <w:left w:val="single" w:sz="18" w:space="0" w:color="5F497A" w:themeColor="accent4" w:themeShade="BF"/>
              <w:bottom w:val="nil"/>
              <w:right w:val="nil"/>
            </w:tcBorders>
            <w:shd w:val="clear" w:color="auto" w:fill="auto"/>
            <w:vAlign w:val="bottom"/>
          </w:tcPr>
          <w:p w14:paraId="3D519008" w14:textId="22CA3EBE" w:rsidR="002B721C" w:rsidRPr="001D41EA" w:rsidRDefault="002B721C" w:rsidP="001D41EA">
            <w:pPr>
              <w:spacing w:before="40" w:after="20"/>
              <w:jc w:val="right"/>
              <w:rPr>
                <w:rFonts w:cs="Arial"/>
                <w:sz w:val="18"/>
                <w:szCs w:val="18"/>
              </w:rPr>
            </w:pPr>
            <w:r w:rsidRPr="001D41EA">
              <w:rPr>
                <w:rFonts w:cs="Arial"/>
                <w:sz w:val="18"/>
                <w:szCs w:val="18"/>
              </w:rPr>
              <w:t>797</w:t>
            </w:r>
          </w:p>
        </w:tc>
        <w:tc>
          <w:tcPr>
            <w:tcW w:w="1397" w:type="dxa"/>
            <w:tcBorders>
              <w:top w:val="nil"/>
              <w:left w:val="nil"/>
              <w:bottom w:val="nil"/>
              <w:right w:val="nil"/>
            </w:tcBorders>
            <w:shd w:val="clear" w:color="auto" w:fill="auto"/>
            <w:vAlign w:val="bottom"/>
          </w:tcPr>
          <w:p w14:paraId="7D0F5C38" w14:textId="43D5CEBF" w:rsidR="002B721C" w:rsidRPr="001D41EA" w:rsidRDefault="002B721C" w:rsidP="001D41EA">
            <w:pPr>
              <w:spacing w:before="40" w:after="20"/>
              <w:jc w:val="right"/>
              <w:rPr>
                <w:rFonts w:cs="Arial"/>
                <w:sz w:val="18"/>
                <w:szCs w:val="18"/>
              </w:rPr>
            </w:pPr>
            <w:r w:rsidRPr="001D41EA">
              <w:rPr>
                <w:rFonts w:cs="Arial"/>
                <w:sz w:val="18"/>
                <w:szCs w:val="18"/>
              </w:rPr>
              <w:t>1,014</w:t>
            </w:r>
          </w:p>
        </w:tc>
        <w:tc>
          <w:tcPr>
            <w:tcW w:w="1117" w:type="dxa"/>
            <w:tcBorders>
              <w:top w:val="nil"/>
              <w:left w:val="nil"/>
              <w:bottom w:val="nil"/>
              <w:right w:val="nil"/>
            </w:tcBorders>
            <w:shd w:val="clear" w:color="auto" w:fill="auto"/>
            <w:vAlign w:val="bottom"/>
          </w:tcPr>
          <w:p w14:paraId="5151BDF7" w14:textId="7C69596A" w:rsidR="002B721C" w:rsidRPr="001D41EA" w:rsidRDefault="002B721C" w:rsidP="001D41EA">
            <w:pPr>
              <w:spacing w:before="40" w:after="20"/>
              <w:jc w:val="right"/>
              <w:rPr>
                <w:rFonts w:cs="Arial"/>
                <w:sz w:val="18"/>
                <w:szCs w:val="18"/>
              </w:rPr>
            </w:pPr>
            <w:r w:rsidRPr="001D41EA">
              <w:rPr>
                <w:rFonts w:cs="Arial"/>
                <w:sz w:val="18"/>
                <w:szCs w:val="18"/>
              </w:rPr>
              <w:t>15.2</w:t>
            </w:r>
          </w:p>
        </w:tc>
        <w:tc>
          <w:tcPr>
            <w:tcW w:w="1117" w:type="dxa"/>
            <w:tcBorders>
              <w:top w:val="nil"/>
              <w:left w:val="nil"/>
              <w:bottom w:val="nil"/>
              <w:right w:val="nil"/>
            </w:tcBorders>
            <w:shd w:val="clear" w:color="auto" w:fill="auto"/>
            <w:vAlign w:val="bottom"/>
          </w:tcPr>
          <w:p w14:paraId="47F17CAE" w14:textId="70982427" w:rsidR="002B721C" w:rsidRPr="001D41EA" w:rsidRDefault="002B721C" w:rsidP="001D41EA">
            <w:pPr>
              <w:spacing w:before="40" w:after="20"/>
              <w:jc w:val="right"/>
              <w:rPr>
                <w:rFonts w:cs="Arial"/>
                <w:sz w:val="18"/>
                <w:szCs w:val="18"/>
              </w:rPr>
            </w:pPr>
            <w:r w:rsidRPr="001D41EA">
              <w:rPr>
                <w:rFonts w:cs="Arial"/>
                <w:sz w:val="18"/>
                <w:szCs w:val="18"/>
              </w:rPr>
              <w:t>776,005</w:t>
            </w:r>
          </w:p>
        </w:tc>
        <w:tc>
          <w:tcPr>
            <w:tcW w:w="971" w:type="dxa"/>
            <w:tcBorders>
              <w:top w:val="nil"/>
              <w:left w:val="nil"/>
              <w:bottom w:val="nil"/>
              <w:right w:val="nil"/>
            </w:tcBorders>
            <w:shd w:val="clear" w:color="auto" w:fill="auto"/>
            <w:vAlign w:val="bottom"/>
          </w:tcPr>
          <w:p w14:paraId="1648F1C9" w14:textId="17AFD4B2" w:rsidR="002B721C" w:rsidRPr="001D41EA" w:rsidRDefault="002B721C" w:rsidP="001D41EA">
            <w:pPr>
              <w:spacing w:before="40" w:after="20"/>
              <w:jc w:val="right"/>
              <w:rPr>
                <w:rFonts w:cs="Arial"/>
                <w:sz w:val="18"/>
                <w:szCs w:val="18"/>
              </w:rPr>
            </w:pPr>
            <w:r w:rsidRPr="001D41EA">
              <w:rPr>
                <w:rFonts w:cs="Arial"/>
                <w:sz w:val="18"/>
                <w:szCs w:val="18"/>
              </w:rPr>
              <w:t>4,270</w:t>
            </w:r>
          </w:p>
        </w:tc>
        <w:tc>
          <w:tcPr>
            <w:tcW w:w="1228" w:type="dxa"/>
            <w:tcBorders>
              <w:top w:val="nil"/>
              <w:left w:val="nil"/>
              <w:bottom w:val="nil"/>
              <w:right w:val="nil"/>
            </w:tcBorders>
            <w:shd w:val="clear" w:color="auto" w:fill="auto"/>
            <w:vAlign w:val="bottom"/>
          </w:tcPr>
          <w:p w14:paraId="077065F1" w14:textId="4F7F7320" w:rsidR="002B721C" w:rsidRPr="001D41EA" w:rsidRDefault="002B721C" w:rsidP="001D41EA">
            <w:pPr>
              <w:spacing w:before="40" w:after="20"/>
              <w:jc w:val="right"/>
              <w:rPr>
                <w:rFonts w:cs="Arial"/>
                <w:sz w:val="18"/>
                <w:szCs w:val="18"/>
              </w:rPr>
            </w:pPr>
            <w:r w:rsidRPr="001D41EA">
              <w:rPr>
                <w:rFonts w:cs="Arial"/>
                <w:sz w:val="18"/>
                <w:szCs w:val="18"/>
              </w:rPr>
              <w:t>5.9%</w:t>
            </w:r>
          </w:p>
        </w:tc>
      </w:tr>
      <w:tr w:rsidR="002B721C" w:rsidRPr="001D41EA" w14:paraId="1050CEE1"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69F8DD2F" w14:textId="77777777" w:rsidR="002B721C" w:rsidRPr="001D41EA" w:rsidRDefault="002B721C" w:rsidP="001D41EA">
            <w:pPr>
              <w:spacing w:before="40" w:after="20"/>
              <w:rPr>
                <w:rFonts w:cs="Arial"/>
                <w:sz w:val="18"/>
                <w:szCs w:val="18"/>
              </w:rPr>
            </w:pPr>
            <w:r w:rsidRPr="001D41EA">
              <w:rPr>
                <w:rFonts w:cs="Arial"/>
                <w:sz w:val="18"/>
                <w:szCs w:val="18"/>
              </w:rPr>
              <w:t xml:space="preserve">Mornington Peninsula S </w:t>
            </w:r>
          </w:p>
        </w:tc>
        <w:tc>
          <w:tcPr>
            <w:tcW w:w="1236" w:type="dxa"/>
            <w:tcBorders>
              <w:top w:val="nil"/>
              <w:left w:val="single" w:sz="18" w:space="0" w:color="5F497A" w:themeColor="accent4" w:themeShade="BF"/>
              <w:bottom w:val="nil"/>
              <w:right w:val="nil"/>
            </w:tcBorders>
            <w:shd w:val="clear" w:color="auto" w:fill="auto"/>
            <w:vAlign w:val="bottom"/>
          </w:tcPr>
          <w:p w14:paraId="0B4A4299" w14:textId="677070E2" w:rsidR="002B721C" w:rsidRPr="001D41EA" w:rsidRDefault="002B721C" w:rsidP="001D41EA">
            <w:pPr>
              <w:spacing w:before="40" w:after="20"/>
              <w:jc w:val="right"/>
              <w:rPr>
                <w:rFonts w:cs="Arial"/>
                <w:sz w:val="18"/>
                <w:szCs w:val="18"/>
              </w:rPr>
            </w:pPr>
            <w:r w:rsidRPr="001D41EA">
              <w:rPr>
                <w:rFonts w:cs="Arial"/>
                <w:sz w:val="18"/>
                <w:szCs w:val="18"/>
              </w:rPr>
              <w:t>960</w:t>
            </w:r>
          </w:p>
        </w:tc>
        <w:tc>
          <w:tcPr>
            <w:tcW w:w="1397" w:type="dxa"/>
            <w:tcBorders>
              <w:top w:val="nil"/>
              <w:left w:val="nil"/>
              <w:bottom w:val="nil"/>
              <w:right w:val="nil"/>
            </w:tcBorders>
            <w:shd w:val="clear" w:color="auto" w:fill="auto"/>
            <w:vAlign w:val="bottom"/>
          </w:tcPr>
          <w:p w14:paraId="3AE997FD" w14:textId="5FA77B45" w:rsidR="002B721C" w:rsidRPr="001D41EA" w:rsidRDefault="002B721C" w:rsidP="001D41EA">
            <w:pPr>
              <w:spacing w:before="40" w:after="20"/>
              <w:jc w:val="right"/>
              <w:rPr>
                <w:rFonts w:cs="Arial"/>
                <w:sz w:val="18"/>
                <w:szCs w:val="18"/>
              </w:rPr>
            </w:pPr>
            <w:r w:rsidRPr="001D41EA">
              <w:rPr>
                <w:rFonts w:cs="Arial"/>
                <w:sz w:val="18"/>
                <w:szCs w:val="18"/>
              </w:rPr>
              <w:t>1,030</w:t>
            </w:r>
          </w:p>
        </w:tc>
        <w:tc>
          <w:tcPr>
            <w:tcW w:w="1117" w:type="dxa"/>
            <w:tcBorders>
              <w:top w:val="nil"/>
              <w:left w:val="nil"/>
              <w:bottom w:val="nil"/>
              <w:right w:val="nil"/>
            </w:tcBorders>
            <w:shd w:val="clear" w:color="auto" w:fill="auto"/>
            <w:vAlign w:val="bottom"/>
          </w:tcPr>
          <w:p w14:paraId="2E78856D" w14:textId="3730F8DB" w:rsidR="002B721C" w:rsidRPr="001D41EA" w:rsidRDefault="002B721C" w:rsidP="001D41EA">
            <w:pPr>
              <w:spacing w:before="40" w:after="20"/>
              <w:jc w:val="right"/>
              <w:rPr>
                <w:rFonts w:cs="Arial"/>
                <w:sz w:val="18"/>
                <w:szCs w:val="18"/>
              </w:rPr>
            </w:pPr>
            <w:r w:rsidRPr="001D41EA">
              <w:rPr>
                <w:rFonts w:cs="Arial"/>
                <w:sz w:val="18"/>
                <w:szCs w:val="18"/>
              </w:rPr>
              <w:t>48.9</w:t>
            </w:r>
          </w:p>
        </w:tc>
        <w:tc>
          <w:tcPr>
            <w:tcW w:w="1117" w:type="dxa"/>
            <w:tcBorders>
              <w:top w:val="nil"/>
              <w:left w:val="nil"/>
              <w:bottom w:val="nil"/>
              <w:right w:val="nil"/>
            </w:tcBorders>
            <w:shd w:val="clear" w:color="auto" w:fill="auto"/>
            <w:vAlign w:val="bottom"/>
          </w:tcPr>
          <w:p w14:paraId="60A36922" w14:textId="6CC7CDE3" w:rsidR="002B721C" w:rsidRPr="001D41EA" w:rsidRDefault="002B721C" w:rsidP="001D41EA">
            <w:pPr>
              <w:spacing w:before="40" w:after="20"/>
              <w:jc w:val="right"/>
              <w:rPr>
                <w:rFonts w:cs="Arial"/>
                <w:sz w:val="18"/>
                <w:szCs w:val="18"/>
              </w:rPr>
            </w:pPr>
            <w:r w:rsidRPr="001D41EA">
              <w:rPr>
                <w:rFonts w:cs="Arial"/>
                <w:sz w:val="18"/>
                <w:szCs w:val="18"/>
              </w:rPr>
              <w:t>1,100,175</w:t>
            </w:r>
          </w:p>
        </w:tc>
        <w:tc>
          <w:tcPr>
            <w:tcW w:w="971" w:type="dxa"/>
            <w:tcBorders>
              <w:top w:val="nil"/>
              <w:left w:val="nil"/>
              <w:bottom w:val="nil"/>
              <w:right w:val="nil"/>
            </w:tcBorders>
            <w:shd w:val="clear" w:color="auto" w:fill="auto"/>
            <w:vAlign w:val="bottom"/>
          </w:tcPr>
          <w:p w14:paraId="78052294" w14:textId="48325F9F" w:rsidR="002B721C" w:rsidRPr="001D41EA" w:rsidRDefault="002B721C" w:rsidP="001D41EA">
            <w:pPr>
              <w:spacing w:before="40" w:after="20"/>
              <w:jc w:val="right"/>
              <w:rPr>
                <w:rFonts w:cs="Arial"/>
                <w:sz w:val="18"/>
                <w:szCs w:val="18"/>
              </w:rPr>
            </w:pPr>
            <w:r w:rsidRPr="001D41EA">
              <w:rPr>
                <w:rFonts w:cs="Arial"/>
                <w:sz w:val="18"/>
                <w:szCs w:val="18"/>
              </w:rPr>
              <w:t>6,635</w:t>
            </w:r>
          </w:p>
        </w:tc>
        <w:tc>
          <w:tcPr>
            <w:tcW w:w="1228" w:type="dxa"/>
            <w:tcBorders>
              <w:top w:val="nil"/>
              <w:left w:val="nil"/>
              <w:bottom w:val="nil"/>
              <w:right w:val="nil"/>
            </w:tcBorders>
            <w:shd w:val="clear" w:color="auto" w:fill="auto"/>
            <w:vAlign w:val="bottom"/>
          </w:tcPr>
          <w:p w14:paraId="780C70D0" w14:textId="4F8B2ECD" w:rsidR="002B721C" w:rsidRPr="001D41EA" w:rsidRDefault="002B721C" w:rsidP="001D41EA">
            <w:pPr>
              <w:spacing w:before="40" w:after="20"/>
              <w:jc w:val="right"/>
              <w:rPr>
                <w:rFonts w:cs="Arial"/>
                <w:sz w:val="18"/>
                <w:szCs w:val="18"/>
              </w:rPr>
            </w:pPr>
            <w:r w:rsidRPr="001D41EA">
              <w:rPr>
                <w:rFonts w:cs="Arial"/>
                <w:sz w:val="18"/>
                <w:szCs w:val="18"/>
              </w:rPr>
              <w:t>4.6%</w:t>
            </w:r>
          </w:p>
        </w:tc>
      </w:tr>
      <w:tr w:rsidR="002B721C" w:rsidRPr="001D41EA" w14:paraId="7A1BA262"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071D5633" w14:textId="77777777" w:rsidR="002B721C" w:rsidRPr="001D41EA" w:rsidRDefault="002B721C" w:rsidP="001D41EA">
            <w:pPr>
              <w:spacing w:before="40" w:after="20"/>
              <w:rPr>
                <w:rFonts w:cs="Arial"/>
                <w:sz w:val="18"/>
                <w:szCs w:val="18"/>
              </w:rPr>
            </w:pPr>
            <w:r w:rsidRPr="001D41EA">
              <w:rPr>
                <w:rFonts w:cs="Arial"/>
                <w:sz w:val="18"/>
                <w:szCs w:val="18"/>
              </w:rPr>
              <w:t xml:space="preserve">Mount Alexander S </w:t>
            </w:r>
          </w:p>
        </w:tc>
        <w:tc>
          <w:tcPr>
            <w:tcW w:w="1236" w:type="dxa"/>
            <w:tcBorders>
              <w:top w:val="nil"/>
              <w:left w:val="single" w:sz="18" w:space="0" w:color="5F497A" w:themeColor="accent4" w:themeShade="BF"/>
              <w:bottom w:val="nil"/>
              <w:right w:val="nil"/>
            </w:tcBorders>
            <w:shd w:val="clear" w:color="auto" w:fill="auto"/>
            <w:vAlign w:val="bottom"/>
          </w:tcPr>
          <w:p w14:paraId="0B808872" w14:textId="298F58B9" w:rsidR="002B721C" w:rsidRPr="001D41EA" w:rsidRDefault="002B721C" w:rsidP="001D41EA">
            <w:pPr>
              <w:spacing w:before="40" w:after="20"/>
              <w:jc w:val="right"/>
              <w:rPr>
                <w:rFonts w:cs="Arial"/>
                <w:sz w:val="18"/>
                <w:szCs w:val="18"/>
              </w:rPr>
            </w:pPr>
            <w:r w:rsidRPr="001D41EA">
              <w:rPr>
                <w:rFonts w:cs="Arial"/>
                <w:sz w:val="18"/>
                <w:szCs w:val="18"/>
              </w:rPr>
              <w:t>833</w:t>
            </w:r>
          </w:p>
        </w:tc>
        <w:tc>
          <w:tcPr>
            <w:tcW w:w="1397" w:type="dxa"/>
            <w:tcBorders>
              <w:top w:val="nil"/>
              <w:left w:val="nil"/>
              <w:bottom w:val="nil"/>
              <w:right w:val="nil"/>
            </w:tcBorders>
            <w:shd w:val="clear" w:color="auto" w:fill="auto"/>
            <w:vAlign w:val="bottom"/>
          </w:tcPr>
          <w:p w14:paraId="5CFF2D71" w14:textId="7B4B7A69" w:rsidR="002B721C" w:rsidRPr="001D41EA" w:rsidRDefault="002B721C" w:rsidP="001D41EA">
            <w:pPr>
              <w:spacing w:before="40" w:after="20"/>
              <w:jc w:val="right"/>
              <w:rPr>
                <w:rFonts w:cs="Arial"/>
                <w:sz w:val="18"/>
                <w:szCs w:val="18"/>
              </w:rPr>
            </w:pPr>
            <w:r w:rsidRPr="001D41EA">
              <w:rPr>
                <w:rFonts w:cs="Arial"/>
                <w:sz w:val="18"/>
                <w:szCs w:val="18"/>
              </w:rPr>
              <w:t>995</w:t>
            </w:r>
          </w:p>
        </w:tc>
        <w:tc>
          <w:tcPr>
            <w:tcW w:w="1117" w:type="dxa"/>
            <w:tcBorders>
              <w:top w:val="nil"/>
              <w:left w:val="nil"/>
              <w:bottom w:val="nil"/>
              <w:right w:val="nil"/>
            </w:tcBorders>
            <w:shd w:val="clear" w:color="auto" w:fill="auto"/>
            <w:vAlign w:val="bottom"/>
          </w:tcPr>
          <w:p w14:paraId="447F3273" w14:textId="19A3F9BF" w:rsidR="002B721C" w:rsidRPr="001D41EA" w:rsidRDefault="002B721C" w:rsidP="001D41EA">
            <w:pPr>
              <w:spacing w:before="40" w:after="20"/>
              <w:jc w:val="right"/>
              <w:rPr>
                <w:rFonts w:cs="Arial"/>
                <w:sz w:val="18"/>
                <w:szCs w:val="18"/>
              </w:rPr>
            </w:pPr>
            <w:r w:rsidRPr="001D41EA">
              <w:rPr>
                <w:rFonts w:cs="Arial"/>
                <w:sz w:val="18"/>
                <w:szCs w:val="18"/>
              </w:rPr>
              <w:t>42.1</w:t>
            </w:r>
          </w:p>
        </w:tc>
        <w:tc>
          <w:tcPr>
            <w:tcW w:w="1117" w:type="dxa"/>
            <w:tcBorders>
              <w:top w:val="nil"/>
              <w:left w:val="nil"/>
              <w:bottom w:val="nil"/>
              <w:right w:val="nil"/>
            </w:tcBorders>
            <w:shd w:val="clear" w:color="auto" w:fill="auto"/>
            <w:vAlign w:val="bottom"/>
          </w:tcPr>
          <w:p w14:paraId="5EBF3CEB" w14:textId="42B0C192" w:rsidR="002B721C" w:rsidRPr="001D41EA" w:rsidRDefault="002B721C" w:rsidP="001D41EA">
            <w:pPr>
              <w:spacing w:before="40" w:after="20"/>
              <w:jc w:val="right"/>
              <w:rPr>
                <w:rFonts w:cs="Arial"/>
                <w:sz w:val="18"/>
                <w:szCs w:val="18"/>
              </w:rPr>
            </w:pPr>
            <w:r w:rsidRPr="001D41EA">
              <w:rPr>
                <w:rFonts w:cs="Arial"/>
                <w:sz w:val="18"/>
                <w:szCs w:val="18"/>
              </w:rPr>
              <w:t>55,949</w:t>
            </w:r>
          </w:p>
        </w:tc>
        <w:tc>
          <w:tcPr>
            <w:tcW w:w="971" w:type="dxa"/>
            <w:tcBorders>
              <w:top w:val="nil"/>
              <w:left w:val="nil"/>
              <w:bottom w:val="nil"/>
              <w:right w:val="nil"/>
            </w:tcBorders>
            <w:shd w:val="clear" w:color="auto" w:fill="auto"/>
            <w:vAlign w:val="bottom"/>
          </w:tcPr>
          <w:p w14:paraId="6990E6B9" w14:textId="11FEC5D3" w:rsidR="002B721C" w:rsidRPr="001D41EA" w:rsidRDefault="002B721C" w:rsidP="001D41EA">
            <w:pPr>
              <w:spacing w:before="40" w:after="20"/>
              <w:jc w:val="right"/>
              <w:rPr>
                <w:rFonts w:cs="Arial"/>
                <w:sz w:val="18"/>
                <w:szCs w:val="18"/>
              </w:rPr>
            </w:pPr>
            <w:r w:rsidRPr="001D41EA">
              <w:rPr>
                <w:rFonts w:cs="Arial"/>
                <w:sz w:val="18"/>
                <w:szCs w:val="18"/>
              </w:rPr>
              <w:t>2,867</w:t>
            </w:r>
          </w:p>
        </w:tc>
        <w:tc>
          <w:tcPr>
            <w:tcW w:w="1228" w:type="dxa"/>
            <w:tcBorders>
              <w:top w:val="nil"/>
              <w:left w:val="nil"/>
              <w:bottom w:val="nil"/>
              <w:right w:val="nil"/>
            </w:tcBorders>
            <w:shd w:val="clear" w:color="auto" w:fill="auto"/>
            <w:vAlign w:val="bottom"/>
          </w:tcPr>
          <w:p w14:paraId="76F041DD" w14:textId="75F7E393" w:rsidR="002B721C" w:rsidRPr="001D41EA" w:rsidRDefault="002B721C" w:rsidP="001D41EA">
            <w:pPr>
              <w:spacing w:before="40" w:after="20"/>
              <w:jc w:val="right"/>
              <w:rPr>
                <w:rFonts w:cs="Arial"/>
                <w:sz w:val="18"/>
                <w:szCs w:val="18"/>
              </w:rPr>
            </w:pPr>
            <w:r w:rsidRPr="001D41EA">
              <w:rPr>
                <w:rFonts w:cs="Arial"/>
                <w:sz w:val="18"/>
                <w:szCs w:val="18"/>
              </w:rPr>
              <w:t>6.7%</w:t>
            </w:r>
          </w:p>
        </w:tc>
      </w:tr>
      <w:tr w:rsidR="002B721C" w:rsidRPr="001D41EA" w14:paraId="0DF28020"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11318769" w14:textId="77777777" w:rsidR="002B721C" w:rsidRPr="001D41EA" w:rsidRDefault="002B721C" w:rsidP="001D41EA">
            <w:pPr>
              <w:spacing w:before="40" w:after="20"/>
              <w:rPr>
                <w:rFonts w:cs="Arial"/>
                <w:sz w:val="18"/>
                <w:szCs w:val="18"/>
              </w:rPr>
            </w:pPr>
            <w:r w:rsidRPr="001D41EA">
              <w:rPr>
                <w:rFonts w:cs="Arial"/>
                <w:sz w:val="18"/>
                <w:szCs w:val="18"/>
              </w:rPr>
              <w:t xml:space="preserve">Moyne S </w:t>
            </w:r>
          </w:p>
        </w:tc>
        <w:tc>
          <w:tcPr>
            <w:tcW w:w="1236" w:type="dxa"/>
            <w:tcBorders>
              <w:top w:val="nil"/>
              <w:left w:val="single" w:sz="18" w:space="0" w:color="5F497A" w:themeColor="accent4" w:themeShade="BF"/>
              <w:bottom w:val="nil"/>
              <w:right w:val="nil"/>
            </w:tcBorders>
            <w:shd w:val="clear" w:color="auto" w:fill="auto"/>
            <w:vAlign w:val="bottom"/>
          </w:tcPr>
          <w:p w14:paraId="342479B9" w14:textId="41E279E2" w:rsidR="002B721C" w:rsidRPr="001D41EA" w:rsidRDefault="002B721C" w:rsidP="001D41EA">
            <w:pPr>
              <w:spacing w:before="40" w:after="20"/>
              <w:jc w:val="right"/>
              <w:rPr>
                <w:rFonts w:cs="Arial"/>
                <w:sz w:val="18"/>
                <w:szCs w:val="18"/>
              </w:rPr>
            </w:pPr>
            <w:r w:rsidRPr="001D41EA">
              <w:rPr>
                <w:rFonts w:cs="Arial"/>
                <w:sz w:val="18"/>
                <w:szCs w:val="18"/>
              </w:rPr>
              <w:t>897</w:t>
            </w:r>
          </w:p>
        </w:tc>
        <w:tc>
          <w:tcPr>
            <w:tcW w:w="1397" w:type="dxa"/>
            <w:tcBorders>
              <w:top w:val="nil"/>
              <w:left w:val="nil"/>
              <w:bottom w:val="nil"/>
              <w:right w:val="nil"/>
            </w:tcBorders>
            <w:shd w:val="clear" w:color="auto" w:fill="auto"/>
            <w:vAlign w:val="bottom"/>
          </w:tcPr>
          <w:p w14:paraId="765E78FC" w14:textId="286ABA21" w:rsidR="002B721C" w:rsidRPr="001D41EA" w:rsidRDefault="002B721C" w:rsidP="001D41EA">
            <w:pPr>
              <w:spacing w:before="40" w:after="20"/>
              <w:jc w:val="right"/>
              <w:rPr>
                <w:rFonts w:cs="Arial"/>
                <w:sz w:val="18"/>
                <w:szCs w:val="18"/>
              </w:rPr>
            </w:pPr>
            <w:r w:rsidRPr="001D41EA">
              <w:rPr>
                <w:rFonts w:cs="Arial"/>
                <w:sz w:val="18"/>
                <w:szCs w:val="18"/>
              </w:rPr>
              <w:t>1,016</w:t>
            </w:r>
          </w:p>
        </w:tc>
        <w:tc>
          <w:tcPr>
            <w:tcW w:w="1117" w:type="dxa"/>
            <w:tcBorders>
              <w:top w:val="nil"/>
              <w:left w:val="nil"/>
              <w:bottom w:val="nil"/>
              <w:right w:val="nil"/>
            </w:tcBorders>
            <w:shd w:val="clear" w:color="auto" w:fill="auto"/>
            <w:vAlign w:val="bottom"/>
          </w:tcPr>
          <w:p w14:paraId="21544007" w14:textId="21735477" w:rsidR="002B721C" w:rsidRPr="001D41EA" w:rsidRDefault="002B721C" w:rsidP="001D41EA">
            <w:pPr>
              <w:spacing w:before="40" w:after="20"/>
              <w:jc w:val="right"/>
              <w:rPr>
                <w:rFonts w:cs="Arial"/>
                <w:sz w:val="18"/>
                <w:szCs w:val="18"/>
              </w:rPr>
            </w:pPr>
            <w:r w:rsidRPr="001D41EA">
              <w:rPr>
                <w:rFonts w:cs="Arial"/>
                <w:sz w:val="18"/>
                <w:szCs w:val="18"/>
              </w:rPr>
              <w:t>44.6</w:t>
            </w:r>
          </w:p>
        </w:tc>
        <w:tc>
          <w:tcPr>
            <w:tcW w:w="1117" w:type="dxa"/>
            <w:tcBorders>
              <w:top w:val="nil"/>
              <w:left w:val="nil"/>
              <w:bottom w:val="nil"/>
              <w:right w:val="nil"/>
            </w:tcBorders>
            <w:shd w:val="clear" w:color="auto" w:fill="auto"/>
            <w:vAlign w:val="bottom"/>
          </w:tcPr>
          <w:p w14:paraId="38291659" w14:textId="607C0FDA" w:rsidR="002B721C" w:rsidRPr="001D41EA" w:rsidRDefault="002B721C" w:rsidP="001D41EA">
            <w:pPr>
              <w:spacing w:before="40" w:after="20"/>
              <w:jc w:val="right"/>
              <w:rPr>
                <w:rFonts w:cs="Arial"/>
                <w:sz w:val="18"/>
                <w:szCs w:val="18"/>
              </w:rPr>
            </w:pPr>
            <w:r w:rsidRPr="001D41EA">
              <w:rPr>
                <w:rFonts w:cs="Arial"/>
                <w:sz w:val="18"/>
                <w:szCs w:val="18"/>
              </w:rPr>
              <w:t>52,758</w:t>
            </w:r>
          </w:p>
        </w:tc>
        <w:tc>
          <w:tcPr>
            <w:tcW w:w="971" w:type="dxa"/>
            <w:tcBorders>
              <w:top w:val="nil"/>
              <w:left w:val="nil"/>
              <w:bottom w:val="nil"/>
              <w:right w:val="nil"/>
            </w:tcBorders>
            <w:shd w:val="clear" w:color="auto" w:fill="auto"/>
            <w:vAlign w:val="bottom"/>
          </w:tcPr>
          <w:p w14:paraId="1B4B2AF4" w14:textId="127907FF" w:rsidR="002B721C" w:rsidRPr="001D41EA" w:rsidRDefault="002B721C" w:rsidP="001D41EA">
            <w:pPr>
              <w:spacing w:before="40" w:after="20"/>
              <w:jc w:val="right"/>
              <w:rPr>
                <w:rFonts w:cs="Arial"/>
                <w:sz w:val="18"/>
                <w:szCs w:val="18"/>
              </w:rPr>
            </w:pPr>
            <w:r w:rsidRPr="001D41EA">
              <w:rPr>
                <w:rFonts w:cs="Arial"/>
                <w:sz w:val="18"/>
                <w:szCs w:val="18"/>
              </w:rPr>
              <w:t>3,124</w:t>
            </w:r>
          </w:p>
        </w:tc>
        <w:tc>
          <w:tcPr>
            <w:tcW w:w="1228" w:type="dxa"/>
            <w:tcBorders>
              <w:top w:val="nil"/>
              <w:left w:val="nil"/>
              <w:bottom w:val="nil"/>
              <w:right w:val="nil"/>
            </w:tcBorders>
            <w:shd w:val="clear" w:color="auto" w:fill="auto"/>
            <w:vAlign w:val="bottom"/>
          </w:tcPr>
          <w:p w14:paraId="2DBB8538" w14:textId="48348765" w:rsidR="002B721C" w:rsidRPr="001D41EA" w:rsidRDefault="002B721C" w:rsidP="001D41EA">
            <w:pPr>
              <w:spacing w:before="40" w:after="20"/>
              <w:jc w:val="right"/>
              <w:rPr>
                <w:rFonts w:cs="Arial"/>
                <w:sz w:val="18"/>
                <w:szCs w:val="18"/>
              </w:rPr>
            </w:pPr>
            <w:r w:rsidRPr="001D41EA">
              <w:rPr>
                <w:rFonts w:cs="Arial"/>
                <w:sz w:val="18"/>
                <w:szCs w:val="18"/>
              </w:rPr>
              <w:t>1.3%</w:t>
            </w:r>
          </w:p>
        </w:tc>
      </w:tr>
      <w:tr w:rsidR="002B721C" w:rsidRPr="001D41EA" w14:paraId="33CD0B9F"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2B2A09BE" w14:textId="77777777" w:rsidR="002B721C" w:rsidRPr="001D41EA" w:rsidRDefault="002B721C" w:rsidP="001D41EA">
            <w:pPr>
              <w:spacing w:before="40" w:after="20"/>
              <w:rPr>
                <w:rFonts w:cs="Arial"/>
                <w:sz w:val="18"/>
                <w:szCs w:val="18"/>
              </w:rPr>
            </w:pPr>
            <w:r w:rsidRPr="001D41EA">
              <w:rPr>
                <w:rFonts w:cs="Arial"/>
                <w:sz w:val="18"/>
                <w:szCs w:val="18"/>
              </w:rPr>
              <w:t xml:space="preserve">Murrindindi S </w:t>
            </w:r>
          </w:p>
        </w:tc>
        <w:tc>
          <w:tcPr>
            <w:tcW w:w="1236" w:type="dxa"/>
            <w:tcBorders>
              <w:top w:val="nil"/>
              <w:left w:val="single" w:sz="18" w:space="0" w:color="5F497A" w:themeColor="accent4" w:themeShade="BF"/>
              <w:bottom w:val="nil"/>
              <w:right w:val="nil"/>
            </w:tcBorders>
            <w:shd w:val="clear" w:color="auto" w:fill="auto"/>
            <w:vAlign w:val="bottom"/>
          </w:tcPr>
          <w:p w14:paraId="06C487C2" w14:textId="223B0BA7" w:rsidR="002B721C" w:rsidRPr="001D41EA" w:rsidRDefault="002B721C" w:rsidP="001D41EA">
            <w:pPr>
              <w:spacing w:before="40" w:after="20"/>
              <w:jc w:val="right"/>
              <w:rPr>
                <w:rFonts w:cs="Arial"/>
                <w:sz w:val="18"/>
                <w:szCs w:val="18"/>
              </w:rPr>
            </w:pPr>
            <w:r w:rsidRPr="001D41EA">
              <w:rPr>
                <w:rFonts w:cs="Arial"/>
                <w:sz w:val="18"/>
                <w:szCs w:val="18"/>
              </w:rPr>
              <w:t>820</w:t>
            </w:r>
          </w:p>
        </w:tc>
        <w:tc>
          <w:tcPr>
            <w:tcW w:w="1397" w:type="dxa"/>
            <w:tcBorders>
              <w:top w:val="nil"/>
              <w:left w:val="nil"/>
              <w:bottom w:val="nil"/>
              <w:right w:val="nil"/>
            </w:tcBorders>
            <w:shd w:val="clear" w:color="auto" w:fill="auto"/>
            <w:vAlign w:val="bottom"/>
          </w:tcPr>
          <w:p w14:paraId="3C98C6C3" w14:textId="4E3AD6F7" w:rsidR="002B721C" w:rsidRPr="001D41EA" w:rsidRDefault="002B721C" w:rsidP="001D41EA">
            <w:pPr>
              <w:spacing w:before="40" w:after="20"/>
              <w:jc w:val="right"/>
              <w:rPr>
                <w:rFonts w:cs="Arial"/>
                <w:sz w:val="18"/>
                <w:szCs w:val="18"/>
              </w:rPr>
            </w:pPr>
            <w:r w:rsidRPr="001D41EA">
              <w:rPr>
                <w:rFonts w:cs="Arial"/>
                <w:sz w:val="18"/>
                <w:szCs w:val="18"/>
              </w:rPr>
              <w:t>996</w:t>
            </w:r>
          </w:p>
        </w:tc>
        <w:tc>
          <w:tcPr>
            <w:tcW w:w="1117" w:type="dxa"/>
            <w:tcBorders>
              <w:top w:val="nil"/>
              <w:left w:val="nil"/>
              <w:bottom w:val="nil"/>
              <w:right w:val="nil"/>
            </w:tcBorders>
            <w:shd w:val="clear" w:color="auto" w:fill="auto"/>
            <w:vAlign w:val="bottom"/>
          </w:tcPr>
          <w:p w14:paraId="4C0E03E6" w14:textId="42559EA4" w:rsidR="002B721C" w:rsidRPr="001D41EA" w:rsidRDefault="002B721C" w:rsidP="001D41EA">
            <w:pPr>
              <w:spacing w:before="40" w:after="20"/>
              <w:jc w:val="right"/>
              <w:rPr>
                <w:rFonts w:cs="Arial"/>
                <w:sz w:val="18"/>
                <w:szCs w:val="18"/>
              </w:rPr>
            </w:pPr>
            <w:r w:rsidRPr="001D41EA">
              <w:rPr>
                <w:rFonts w:cs="Arial"/>
                <w:sz w:val="18"/>
                <w:szCs w:val="18"/>
              </w:rPr>
              <w:t>84.7</w:t>
            </w:r>
          </w:p>
        </w:tc>
        <w:tc>
          <w:tcPr>
            <w:tcW w:w="1117" w:type="dxa"/>
            <w:tcBorders>
              <w:top w:val="nil"/>
              <w:left w:val="nil"/>
              <w:bottom w:val="nil"/>
              <w:right w:val="nil"/>
            </w:tcBorders>
            <w:shd w:val="clear" w:color="auto" w:fill="auto"/>
            <w:vAlign w:val="bottom"/>
          </w:tcPr>
          <w:p w14:paraId="50B87F52" w14:textId="69B3DC68" w:rsidR="002B721C" w:rsidRPr="001D41EA" w:rsidRDefault="002B721C" w:rsidP="001D41EA">
            <w:pPr>
              <w:spacing w:before="40" w:after="20"/>
              <w:jc w:val="right"/>
              <w:rPr>
                <w:rFonts w:cs="Arial"/>
                <w:sz w:val="18"/>
                <w:szCs w:val="18"/>
              </w:rPr>
            </w:pPr>
            <w:r w:rsidRPr="001D41EA">
              <w:rPr>
                <w:rFonts w:cs="Arial"/>
                <w:sz w:val="18"/>
                <w:szCs w:val="18"/>
              </w:rPr>
              <w:t>44,575</w:t>
            </w:r>
          </w:p>
        </w:tc>
        <w:tc>
          <w:tcPr>
            <w:tcW w:w="971" w:type="dxa"/>
            <w:tcBorders>
              <w:top w:val="nil"/>
              <w:left w:val="nil"/>
              <w:bottom w:val="nil"/>
              <w:right w:val="nil"/>
            </w:tcBorders>
            <w:shd w:val="clear" w:color="auto" w:fill="auto"/>
            <w:vAlign w:val="bottom"/>
          </w:tcPr>
          <w:p w14:paraId="50F954CA" w14:textId="341B7206" w:rsidR="002B721C" w:rsidRPr="001D41EA" w:rsidRDefault="002B721C" w:rsidP="001D41EA">
            <w:pPr>
              <w:spacing w:before="40" w:after="20"/>
              <w:jc w:val="right"/>
              <w:rPr>
                <w:rFonts w:cs="Arial"/>
                <w:sz w:val="18"/>
                <w:szCs w:val="18"/>
              </w:rPr>
            </w:pPr>
            <w:r w:rsidRPr="001D41EA">
              <w:rPr>
                <w:rFonts w:cs="Arial"/>
                <w:sz w:val="18"/>
                <w:szCs w:val="18"/>
              </w:rPr>
              <w:t>3,079</w:t>
            </w:r>
          </w:p>
        </w:tc>
        <w:tc>
          <w:tcPr>
            <w:tcW w:w="1228" w:type="dxa"/>
            <w:tcBorders>
              <w:top w:val="nil"/>
              <w:left w:val="nil"/>
              <w:bottom w:val="nil"/>
              <w:right w:val="nil"/>
            </w:tcBorders>
            <w:shd w:val="clear" w:color="auto" w:fill="auto"/>
            <w:vAlign w:val="bottom"/>
          </w:tcPr>
          <w:p w14:paraId="0836A7B9" w14:textId="1BF22DC5" w:rsidR="002B721C" w:rsidRPr="001D41EA" w:rsidRDefault="002B721C" w:rsidP="001D41EA">
            <w:pPr>
              <w:spacing w:before="40" w:after="20"/>
              <w:jc w:val="right"/>
              <w:rPr>
                <w:rFonts w:cs="Arial"/>
                <w:sz w:val="18"/>
                <w:szCs w:val="18"/>
              </w:rPr>
            </w:pPr>
            <w:r w:rsidRPr="001D41EA">
              <w:rPr>
                <w:rFonts w:cs="Arial"/>
                <w:sz w:val="18"/>
                <w:szCs w:val="18"/>
              </w:rPr>
              <w:t>4.8%</w:t>
            </w:r>
          </w:p>
        </w:tc>
      </w:tr>
      <w:tr w:rsidR="002B721C" w:rsidRPr="001D41EA" w14:paraId="16B615CC"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5C439B11" w14:textId="77777777" w:rsidR="002B721C" w:rsidRPr="001D41EA" w:rsidRDefault="002B721C" w:rsidP="001D41EA">
            <w:pPr>
              <w:spacing w:before="40" w:after="20"/>
              <w:rPr>
                <w:rFonts w:cs="Arial"/>
                <w:sz w:val="18"/>
                <w:szCs w:val="18"/>
              </w:rPr>
            </w:pPr>
            <w:r w:rsidRPr="001D41EA">
              <w:rPr>
                <w:rFonts w:cs="Arial"/>
                <w:sz w:val="18"/>
                <w:szCs w:val="18"/>
              </w:rPr>
              <w:t xml:space="preserve">Nillumbik S </w:t>
            </w:r>
          </w:p>
        </w:tc>
        <w:tc>
          <w:tcPr>
            <w:tcW w:w="1236" w:type="dxa"/>
            <w:tcBorders>
              <w:top w:val="nil"/>
              <w:left w:val="single" w:sz="18" w:space="0" w:color="5F497A" w:themeColor="accent4" w:themeShade="BF"/>
              <w:bottom w:val="nil"/>
              <w:right w:val="nil"/>
            </w:tcBorders>
            <w:shd w:val="clear" w:color="auto" w:fill="auto"/>
            <w:vAlign w:val="bottom"/>
          </w:tcPr>
          <w:p w14:paraId="28A0BFE2" w14:textId="34D28D06" w:rsidR="002B721C" w:rsidRPr="001D41EA" w:rsidRDefault="002B721C" w:rsidP="001D41EA">
            <w:pPr>
              <w:spacing w:before="40" w:after="20"/>
              <w:jc w:val="right"/>
              <w:rPr>
                <w:rFonts w:cs="Arial"/>
                <w:sz w:val="18"/>
                <w:szCs w:val="18"/>
              </w:rPr>
            </w:pPr>
            <w:r w:rsidRPr="001D41EA">
              <w:rPr>
                <w:rFonts w:cs="Arial"/>
                <w:sz w:val="18"/>
                <w:szCs w:val="18"/>
              </w:rPr>
              <w:t>1,394</w:t>
            </w:r>
          </w:p>
        </w:tc>
        <w:tc>
          <w:tcPr>
            <w:tcW w:w="1397" w:type="dxa"/>
            <w:tcBorders>
              <w:top w:val="nil"/>
              <w:left w:val="nil"/>
              <w:bottom w:val="nil"/>
              <w:right w:val="nil"/>
            </w:tcBorders>
            <w:shd w:val="clear" w:color="auto" w:fill="auto"/>
            <w:vAlign w:val="bottom"/>
          </w:tcPr>
          <w:p w14:paraId="39EDF960" w14:textId="0C78EA56" w:rsidR="002B721C" w:rsidRPr="001D41EA" w:rsidRDefault="002B721C" w:rsidP="001D41EA">
            <w:pPr>
              <w:spacing w:before="40" w:after="20"/>
              <w:jc w:val="right"/>
              <w:rPr>
                <w:rFonts w:cs="Arial"/>
                <w:sz w:val="18"/>
                <w:szCs w:val="18"/>
              </w:rPr>
            </w:pPr>
            <w:r w:rsidRPr="001D41EA">
              <w:rPr>
                <w:rFonts w:cs="Arial"/>
                <w:sz w:val="18"/>
                <w:szCs w:val="18"/>
              </w:rPr>
              <w:t>1,099</w:t>
            </w:r>
          </w:p>
        </w:tc>
        <w:tc>
          <w:tcPr>
            <w:tcW w:w="1117" w:type="dxa"/>
            <w:tcBorders>
              <w:top w:val="nil"/>
              <w:left w:val="nil"/>
              <w:bottom w:val="nil"/>
              <w:right w:val="nil"/>
            </w:tcBorders>
            <w:shd w:val="clear" w:color="auto" w:fill="auto"/>
            <w:vAlign w:val="bottom"/>
          </w:tcPr>
          <w:p w14:paraId="79849B28" w14:textId="15C29FD7" w:rsidR="002B721C" w:rsidRPr="001D41EA" w:rsidRDefault="002B721C" w:rsidP="001D41EA">
            <w:pPr>
              <w:spacing w:before="40" w:after="20"/>
              <w:jc w:val="right"/>
              <w:rPr>
                <w:rFonts w:cs="Arial"/>
                <w:sz w:val="18"/>
                <w:szCs w:val="18"/>
              </w:rPr>
            </w:pPr>
            <w:r w:rsidRPr="001D41EA">
              <w:rPr>
                <w:rFonts w:cs="Arial"/>
                <w:sz w:val="18"/>
                <w:szCs w:val="18"/>
              </w:rPr>
              <w:t>9.4</w:t>
            </w:r>
          </w:p>
        </w:tc>
        <w:tc>
          <w:tcPr>
            <w:tcW w:w="1117" w:type="dxa"/>
            <w:tcBorders>
              <w:top w:val="nil"/>
              <w:left w:val="nil"/>
              <w:bottom w:val="nil"/>
              <w:right w:val="nil"/>
            </w:tcBorders>
            <w:shd w:val="clear" w:color="auto" w:fill="auto"/>
            <w:vAlign w:val="bottom"/>
          </w:tcPr>
          <w:p w14:paraId="6F415214" w14:textId="667AB03A" w:rsidR="002B721C" w:rsidRPr="001D41EA" w:rsidRDefault="002B721C" w:rsidP="001D41EA">
            <w:pPr>
              <w:spacing w:before="40" w:after="20"/>
              <w:jc w:val="right"/>
              <w:rPr>
                <w:rFonts w:cs="Arial"/>
                <w:sz w:val="18"/>
                <w:szCs w:val="18"/>
              </w:rPr>
            </w:pPr>
            <w:r w:rsidRPr="001D41EA">
              <w:rPr>
                <w:rFonts w:cs="Arial"/>
                <w:sz w:val="18"/>
                <w:szCs w:val="18"/>
              </w:rPr>
              <w:t>136,389</w:t>
            </w:r>
          </w:p>
        </w:tc>
        <w:tc>
          <w:tcPr>
            <w:tcW w:w="971" w:type="dxa"/>
            <w:tcBorders>
              <w:top w:val="nil"/>
              <w:left w:val="nil"/>
              <w:bottom w:val="nil"/>
              <w:right w:val="nil"/>
            </w:tcBorders>
            <w:shd w:val="clear" w:color="auto" w:fill="auto"/>
            <w:vAlign w:val="bottom"/>
          </w:tcPr>
          <w:p w14:paraId="37F6AF8B" w14:textId="0BC798F6" w:rsidR="002B721C" w:rsidRPr="001D41EA" w:rsidRDefault="002B721C" w:rsidP="001D41EA">
            <w:pPr>
              <w:spacing w:before="40" w:after="20"/>
              <w:jc w:val="right"/>
              <w:rPr>
                <w:rFonts w:cs="Arial"/>
                <w:sz w:val="18"/>
                <w:szCs w:val="18"/>
              </w:rPr>
            </w:pPr>
            <w:r w:rsidRPr="001D41EA">
              <w:rPr>
                <w:rFonts w:cs="Arial"/>
                <w:sz w:val="18"/>
                <w:szCs w:val="18"/>
              </w:rPr>
              <w:t>2,100</w:t>
            </w:r>
          </w:p>
        </w:tc>
        <w:tc>
          <w:tcPr>
            <w:tcW w:w="1228" w:type="dxa"/>
            <w:tcBorders>
              <w:top w:val="nil"/>
              <w:left w:val="nil"/>
              <w:bottom w:val="nil"/>
              <w:right w:val="nil"/>
            </w:tcBorders>
            <w:shd w:val="clear" w:color="auto" w:fill="auto"/>
            <w:vAlign w:val="bottom"/>
          </w:tcPr>
          <w:p w14:paraId="0DB93F17" w14:textId="0343BA76" w:rsidR="002B721C" w:rsidRPr="001D41EA" w:rsidRDefault="002B721C" w:rsidP="001D41EA">
            <w:pPr>
              <w:spacing w:before="40" w:after="20"/>
              <w:jc w:val="right"/>
              <w:rPr>
                <w:rFonts w:cs="Arial"/>
                <w:sz w:val="18"/>
                <w:szCs w:val="18"/>
              </w:rPr>
            </w:pPr>
            <w:r w:rsidRPr="001D41EA">
              <w:rPr>
                <w:rFonts w:cs="Arial"/>
                <w:sz w:val="18"/>
                <w:szCs w:val="18"/>
              </w:rPr>
              <w:t>2.5%</w:t>
            </w:r>
          </w:p>
        </w:tc>
      </w:tr>
      <w:tr w:rsidR="002B721C" w:rsidRPr="001D41EA" w14:paraId="21CE5568"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626EEEAD" w14:textId="77777777" w:rsidR="002B721C" w:rsidRPr="001D41EA" w:rsidRDefault="002B721C" w:rsidP="001D41EA">
            <w:pPr>
              <w:spacing w:before="40" w:after="20"/>
              <w:rPr>
                <w:rFonts w:cs="Arial"/>
                <w:sz w:val="18"/>
                <w:szCs w:val="18"/>
              </w:rPr>
            </w:pPr>
            <w:r w:rsidRPr="001D41EA">
              <w:rPr>
                <w:rFonts w:cs="Arial"/>
                <w:sz w:val="18"/>
                <w:szCs w:val="18"/>
              </w:rPr>
              <w:t xml:space="preserve">Northern Grampians S </w:t>
            </w:r>
          </w:p>
        </w:tc>
        <w:tc>
          <w:tcPr>
            <w:tcW w:w="1236" w:type="dxa"/>
            <w:tcBorders>
              <w:top w:val="nil"/>
              <w:left w:val="single" w:sz="18" w:space="0" w:color="5F497A" w:themeColor="accent4" w:themeShade="BF"/>
              <w:bottom w:val="nil"/>
              <w:right w:val="nil"/>
            </w:tcBorders>
            <w:shd w:val="clear" w:color="auto" w:fill="auto"/>
            <w:vAlign w:val="bottom"/>
          </w:tcPr>
          <w:p w14:paraId="54C74C32" w14:textId="5854F0F8" w:rsidR="002B721C" w:rsidRPr="001D41EA" w:rsidRDefault="002B721C" w:rsidP="001D41EA">
            <w:pPr>
              <w:spacing w:before="40" w:after="20"/>
              <w:jc w:val="right"/>
              <w:rPr>
                <w:rFonts w:cs="Arial"/>
                <w:sz w:val="18"/>
                <w:szCs w:val="18"/>
              </w:rPr>
            </w:pPr>
            <w:r w:rsidRPr="001D41EA">
              <w:rPr>
                <w:rFonts w:cs="Arial"/>
                <w:sz w:val="18"/>
                <w:szCs w:val="18"/>
              </w:rPr>
              <w:t>774</w:t>
            </w:r>
          </w:p>
        </w:tc>
        <w:tc>
          <w:tcPr>
            <w:tcW w:w="1397" w:type="dxa"/>
            <w:tcBorders>
              <w:top w:val="nil"/>
              <w:left w:val="nil"/>
              <w:bottom w:val="nil"/>
              <w:right w:val="nil"/>
            </w:tcBorders>
            <w:shd w:val="clear" w:color="auto" w:fill="auto"/>
            <w:vAlign w:val="bottom"/>
          </w:tcPr>
          <w:p w14:paraId="7CC302D6" w14:textId="4DAD4B76" w:rsidR="002B721C" w:rsidRPr="001D41EA" w:rsidRDefault="002B721C" w:rsidP="001D41EA">
            <w:pPr>
              <w:spacing w:before="40" w:after="20"/>
              <w:jc w:val="right"/>
              <w:rPr>
                <w:rFonts w:cs="Arial"/>
                <w:sz w:val="18"/>
                <w:szCs w:val="18"/>
              </w:rPr>
            </w:pPr>
            <w:r w:rsidRPr="001D41EA">
              <w:rPr>
                <w:rFonts w:cs="Arial"/>
                <w:sz w:val="18"/>
                <w:szCs w:val="18"/>
              </w:rPr>
              <w:t>937</w:t>
            </w:r>
          </w:p>
        </w:tc>
        <w:tc>
          <w:tcPr>
            <w:tcW w:w="1117" w:type="dxa"/>
            <w:tcBorders>
              <w:top w:val="nil"/>
              <w:left w:val="nil"/>
              <w:bottom w:val="nil"/>
              <w:right w:val="nil"/>
            </w:tcBorders>
            <w:shd w:val="clear" w:color="auto" w:fill="auto"/>
            <w:vAlign w:val="bottom"/>
          </w:tcPr>
          <w:p w14:paraId="6050C26D" w14:textId="0C34D7E5" w:rsidR="002B721C" w:rsidRPr="001D41EA" w:rsidRDefault="002B721C" w:rsidP="001D41EA">
            <w:pPr>
              <w:spacing w:before="40" w:after="20"/>
              <w:jc w:val="right"/>
              <w:rPr>
                <w:rFonts w:cs="Arial"/>
                <w:sz w:val="18"/>
                <w:szCs w:val="18"/>
              </w:rPr>
            </w:pPr>
            <w:r w:rsidRPr="001D41EA">
              <w:rPr>
                <w:rFonts w:cs="Arial"/>
                <w:sz w:val="18"/>
                <w:szCs w:val="18"/>
              </w:rPr>
              <w:t>83.1</w:t>
            </w:r>
          </w:p>
        </w:tc>
        <w:tc>
          <w:tcPr>
            <w:tcW w:w="1117" w:type="dxa"/>
            <w:tcBorders>
              <w:top w:val="nil"/>
              <w:left w:val="nil"/>
              <w:bottom w:val="nil"/>
              <w:right w:val="nil"/>
            </w:tcBorders>
            <w:shd w:val="clear" w:color="auto" w:fill="auto"/>
            <w:vAlign w:val="bottom"/>
          </w:tcPr>
          <w:p w14:paraId="153FC503" w14:textId="624B207D" w:rsidR="002B721C" w:rsidRPr="001D41EA" w:rsidRDefault="002B721C" w:rsidP="001D41EA">
            <w:pPr>
              <w:spacing w:before="40" w:after="20"/>
              <w:jc w:val="right"/>
              <w:rPr>
                <w:rFonts w:cs="Arial"/>
                <w:sz w:val="18"/>
                <w:szCs w:val="18"/>
              </w:rPr>
            </w:pPr>
            <w:r w:rsidRPr="001D41EA">
              <w:rPr>
                <w:rFonts w:cs="Arial"/>
                <w:sz w:val="18"/>
                <w:szCs w:val="18"/>
              </w:rPr>
              <w:t>38,201</w:t>
            </w:r>
          </w:p>
        </w:tc>
        <w:tc>
          <w:tcPr>
            <w:tcW w:w="971" w:type="dxa"/>
            <w:tcBorders>
              <w:top w:val="nil"/>
              <w:left w:val="nil"/>
              <w:bottom w:val="nil"/>
              <w:right w:val="nil"/>
            </w:tcBorders>
            <w:shd w:val="clear" w:color="auto" w:fill="auto"/>
            <w:vAlign w:val="bottom"/>
          </w:tcPr>
          <w:p w14:paraId="4A75CFC4" w14:textId="772A535E" w:rsidR="002B721C" w:rsidRPr="001D41EA" w:rsidRDefault="002B721C" w:rsidP="001D41EA">
            <w:pPr>
              <w:spacing w:before="40" w:after="20"/>
              <w:jc w:val="right"/>
              <w:rPr>
                <w:rFonts w:cs="Arial"/>
                <w:sz w:val="18"/>
                <w:szCs w:val="18"/>
              </w:rPr>
            </w:pPr>
            <w:r w:rsidRPr="001D41EA">
              <w:rPr>
                <w:rFonts w:cs="Arial"/>
                <w:sz w:val="18"/>
                <w:szCs w:val="18"/>
              </w:rPr>
              <w:t>3,342</w:t>
            </w:r>
          </w:p>
        </w:tc>
        <w:tc>
          <w:tcPr>
            <w:tcW w:w="1228" w:type="dxa"/>
            <w:tcBorders>
              <w:top w:val="nil"/>
              <w:left w:val="nil"/>
              <w:bottom w:val="nil"/>
              <w:right w:val="nil"/>
            </w:tcBorders>
            <w:shd w:val="clear" w:color="auto" w:fill="auto"/>
            <w:vAlign w:val="bottom"/>
          </w:tcPr>
          <w:p w14:paraId="24B07D94" w14:textId="2DCD35EF" w:rsidR="002B721C" w:rsidRPr="001D41EA" w:rsidRDefault="002B721C" w:rsidP="001D41EA">
            <w:pPr>
              <w:spacing w:before="40" w:after="20"/>
              <w:jc w:val="right"/>
              <w:rPr>
                <w:rFonts w:cs="Arial"/>
                <w:sz w:val="18"/>
                <w:szCs w:val="18"/>
              </w:rPr>
            </w:pPr>
            <w:r w:rsidRPr="001D41EA">
              <w:rPr>
                <w:rFonts w:cs="Arial"/>
                <w:sz w:val="18"/>
                <w:szCs w:val="18"/>
              </w:rPr>
              <w:t>6.2%</w:t>
            </w:r>
          </w:p>
        </w:tc>
      </w:tr>
      <w:tr w:rsidR="002B721C" w:rsidRPr="001D41EA" w14:paraId="45AF3C88"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03AF4AEE" w14:textId="77777777" w:rsidR="002B721C" w:rsidRPr="001D41EA" w:rsidRDefault="002B721C" w:rsidP="001D41EA">
            <w:pPr>
              <w:spacing w:before="40" w:after="20"/>
              <w:rPr>
                <w:rFonts w:cs="Arial"/>
                <w:sz w:val="18"/>
                <w:szCs w:val="18"/>
              </w:rPr>
            </w:pPr>
            <w:r w:rsidRPr="001D41EA">
              <w:rPr>
                <w:rFonts w:cs="Arial"/>
                <w:sz w:val="18"/>
                <w:szCs w:val="18"/>
              </w:rPr>
              <w:t xml:space="preserve">Port Phillip C </w:t>
            </w:r>
          </w:p>
        </w:tc>
        <w:tc>
          <w:tcPr>
            <w:tcW w:w="1236" w:type="dxa"/>
            <w:tcBorders>
              <w:top w:val="nil"/>
              <w:left w:val="single" w:sz="18" w:space="0" w:color="5F497A" w:themeColor="accent4" w:themeShade="BF"/>
              <w:bottom w:val="nil"/>
              <w:right w:val="nil"/>
            </w:tcBorders>
            <w:shd w:val="clear" w:color="auto" w:fill="auto"/>
            <w:vAlign w:val="bottom"/>
          </w:tcPr>
          <w:p w14:paraId="76DA3F42" w14:textId="349AE42C" w:rsidR="002B721C" w:rsidRPr="001D41EA" w:rsidRDefault="002B721C" w:rsidP="001D41EA">
            <w:pPr>
              <w:spacing w:before="40" w:after="20"/>
              <w:jc w:val="right"/>
              <w:rPr>
                <w:rFonts w:cs="Arial"/>
                <w:sz w:val="18"/>
                <w:szCs w:val="18"/>
              </w:rPr>
            </w:pPr>
            <w:r w:rsidRPr="001D41EA">
              <w:rPr>
                <w:rFonts w:cs="Arial"/>
                <w:sz w:val="18"/>
                <w:szCs w:val="18"/>
              </w:rPr>
              <w:t>1,188</w:t>
            </w:r>
          </w:p>
        </w:tc>
        <w:tc>
          <w:tcPr>
            <w:tcW w:w="1397" w:type="dxa"/>
            <w:tcBorders>
              <w:top w:val="nil"/>
              <w:left w:val="nil"/>
              <w:bottom w:val="nil"/>
              <w:right w:val="nil"/>
            </w:tcBorders>
            <w:shd w:val="clear" w:color="auto" w:fill="auto"/>
            <w:vAlign w:val="bottom"/>
          </w:tcPr>
          <w:p w14:paraId="2DB9CD06" w14:textId="3530375D" w:rsidR="002B721C" w:rsidRPr="001D41EA" w:rsidRDefault="002B721C" w:rsidP="001D41EA">
            <w:pPr>
              <w:spacing w:before="40" w:after="20"/>
              <w:jc w:val="right"/>
              <w:rPr>
                <w:rFonts w:cs="Arial"/>
                <w:sz w:val="18"/>
                <w:szCs w:val="18"/>
              </w:rPr>
            </w:pPr>
            <w:r w:rsidRPr="001D41EA">
              <w:rPr>
                <w:rFonts w:cs="Arial"/>
                <w:sz w:val="18"/>
                <w:szCs w:val="18"/>
              </w:rPr>
              <w:t>1,069</w:t>
            </w:r>
          </w:p>
        </w:tc>
        <w:tc>
          <w:tcPr>
            <w:tcW w:w="1117" w:type="dxa"/>
            <w:tcBorders>
              <w:top w:val="nil"/>
              <w:left w:val="nil"/>
              <w:bottom w:val="nil"/>
              <w:right w:val="nil"/>
            </w:tcBorders>
            <w:shd w:val="clear" w:color="auto" w:fill="auto"/>
            <w:vAlign w:val="bottom"/>
          </w:tcPr>
          <w:p w14:paraId="4BFB375F" w14:textId="15C8BA49" w:rsidR="002B721C" w:rsidRPr="001D41EA" w:rsidRDefault="002B721C" w:rsidP="001D41EA">
            <w:pPr>
              <w:spacing w:before="40" w:after="20"/>
              <w:jc w:val="right"/>
              <w:rPr>
                <w:rFonts w:cs="Arial"/>
                <w:sz w:val="18"/>
                <w:szCs w:val="18"/>
              </w:rPr>
            </w:pPr>
            <w:r w:rsidRPr="001D41EA">
              <w:rPr>
                <w:rFonts w:cs="Arial"/>
                <w:sz w:val="18"/>
                <w:szCs w:val="18"/>
              </w:rPr>
              <w:t>30.4</w:t>
            </w:r>
          </w:p>
        </w:tc>
        <w:tc>
          <w:tcPr>
            <w:tcW w:w="1117" w:type="dxa"/>
            <w:tcBorders>
              <w:top w:val="nil"/>
              <w:left w:val="nil"/>
              <w:bottom w:val="nil"/>
              <w:right w:val="nil"/>
            </w:tcBorders>
            <w:shd w:val="clear" w:color="auto" w:fill="auto"/>
            <w:vAlign w:val="bottom"/>
          </w:tcPr>
          <w:p w14:paraId="7F880954" w14:textId="509F51A5" w:rsidR="002B721C" w:rsidRPr="001D41EA" w:rsidRDefault="002B721C" w:rsidP="001D41EA">
            <w:pPr>
              <w:spacing w:before="40" w:after="20"/>
              <w:jc w:val="right"/>
              <w:rPr>
                <w:rFonts w:cs="Arial"/>
                <w:sz w:val="18"/>
                <w:szCs w:val="18"/>
              </w:rPr>
            </w:pPr>
            <w:r w:rsidRPr="001D41EA">
              <w:rPr>
                <w:rFonts w:cs="Arial"/>
                <w:sz w:val="18"/>
                <w:szCs w:val="18"/>
              </w:rPr>
              <w:t>879,885</w:t>
            </w:r>
          </w:p>
        </w:tc>
        <w:tc>
          <w:tcPr>
            <w:tcW w:w="971" w:type="dxa"/>
            <w:tcBorders>
              <w:top w:val="nil"/>
              <w:left w:val="nil"/>
              <w:bottom w:val="nil"/>
              <w:right w:val="nil"/>
            </w:tcBorders>
            <w:shd w:val="clear" w:color="auto" w:fill="auto"/>
            <w:vAlign w:val="bottom"/>
          </w:tcPr>
          <w:p w14:paraId="20DAE935" w14:textId="0B0BF997" w:rsidR="002B721C" w:rsidRPr="001D41EA" w:rsidRDefault="002B721C" w:rsidP="001D41EA">
            <w:pPr>
              <w:spacing w:before="40" w:after="20"/>
              <w:jc w:val="right"/>
              <w:rPr>
                <w:rFonts w:cs="Arial"/>
                <w:sz w:val="18"/>
                <w:szCs w:val="18"/>
              </w:rPr>
            </w:pPr>
            <w:r w:rsidRPr="001D41EA">
              <w:rPr>
                <w:rFonts w:cs="Arial"/>
                <w:sz w:val="18"/>
                <w:szCs w:val="18"/>
              </w:rPr>
              <w:t>7,773</w:t>
            </w:r>
          </w:p>
        </w:tc>
        <w:tc>
          <w:tcPr>
            <w:tcW w:w="1228" w:type="dxa"/>
            <w:tcBorders>
              <w:top w:val="nil"/>
              <w:left w:val="nil"/>
              <w:bottom w:val="nil"/>
              <w:right w:val="nil"/>
            </w:tcBorders>
            <w:shd w:val="clear" w:color="auto" w:fill="auto"/>
            <w:vAlign w:val="bottom"/>
          </w:tcPr>
          <w:p w14:paraId="09315C51" w14:textId="6572D6BE" w:rsidR="002B721C" w:rsidRPr="001D41EA" w:rsidRDefault="002B721C" w:rsidP="001D41EA">
            <w:pPr>
              <w:spacing w:before="40" w:after="20"/>
              <w:jc w:val="right"/>
              <w:rPr>
                <w:rFonts w:cs="Arial"/>
                <w:sz w:val="18"/>
                <w:szCs w:val="18"/>
              </w:rPr>
            </w:pPr>
            <w:r w:rsidRPr="001D41EA">
              <w:rPr>
                <w:rFonts w:cs="Arial"/>
                <w:sz w:val="18"/>
                <w:szCs w:val="18"/>
              </w:rPr>
              <w:t>13.6%</w:t>
            </w:r>
          </w:p>
        </w:tc>
      </w:tr>
      <w:tr w:rsidR="002B721C" w:rsidRPr="001D41EA" w14:paraId="4CC6134B"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6EB21494" w14:textId="77777777" w:rsidR="002B721C" w:rsidRPr="001D41EA" w:rsidRDefault="002B721C" w:rsidP="001D41EA">
            <w:pPr>
              <w:spacing w:before="40" w:after="20"/>
              <w:rPr>
                <w:rFonts w:cs="Arial"/>
                <w:sz w:val="18"/>
                <w:szCs w:val="18"/>
              </w:rPr>
            </w:pPr>
            <w:r w:rsidRPr="001D41EA">
              <w:rPr>
                <w:rFonts w:cs="Arial"/>
                <w:sz w:val="18"/>
                <w:szCs w:val="18"/>
              </w:rPr>
              <w:t xml:space="preserve">Pyrenees S </w:t>
            </w:r>
          </w:p>
        </w:tc>
        <w:tc>
          <w:tcPr>
            <w:tcW w:w="1236" w:type="dxa"/>
            <w:tcBorders>
              <w:top w:val="nil"/>
              <w:left w:val="single" w:sz="18" w:space="0" w:color="5F497A" w:themeColor="accent4" w:themeShade="BF"/>
              <w:bottom w:val="nil"/>
              <w:right w:val="nil"/>
            </w:tcBorders>
            <w:shd w:val="clear" w:color="auto" w:fill="auto"/>
            <w:vAlign w:val="bottom"/>
          </w:tcPr>
          <w:p w14:paraId="40CC768A" w14:textId="01A51C68" w:rsidR="002B721C" w:rsidRPr="001D41EA" w:rsidRDefault="002B721C" w:rsidP="001D41EA">
            <w:pPr>
              <w:spacing w:before="40" w:after="20"/>
              <w:jc w:val="right"/>
              <w:rPr>
                <w:rFonts w:cs="Arial"/>
                <w:sz w:val="18"/>
                <w:szCs w:val="18"/>
              </w:rPr>
            </w:pPr>
            <w:r w:rsidRPr="001D41EA">
              <w:rPr>
                <w:rFonts w:cs="Arial"/>
                <w:sz w:val="18"/>
                <w:szCs w:val="18"/>
              </w:rPr>
              <w:t>756</w:t>
            </w:r>
          </w:p>
        </w:tc>
        <w:tc>
          <w:tcPr>
            <w:tcW w:w="1397" w:type="dxa"/>
            <w:tcBorders>
              <w:top w:val="nil"/>
              <w:left w:val="nil"/>
              <w:bottom w:val="nil"/>
              <w:right w:val="nil"/>
            </w:tcBorders>
            <w:shd w:val="clear" w:color="auto" w:fill="auto"/>
            <w:vAlign w:val="bottom"/>
          </w:tcPr>
          <w:p w14:paraId="7EEC60E0" w14:textId="363F6C0B" w:rsidR="002B721C" w:rsidRPr="001D41EA" w:rsidRDefault="002B721C" w:rsidP="001D41EA">
            <w:pPr>
              <w:spacing w:before="40" w:after="20"/>
              <w:jc w:val="right"/>
              <w:rPr>
                <w:rFonts w:cs="Arial"/>
                <w:sz w:val="18"/>
                <w:szCs w:val="18"/>
              </w:rPr>
            </w:pPr>
            <w:r w:rsidRPr="001D41EA">
              <w:rPr>
                <w:rFonts w:cs="Arial"/>
                <w:sz w:val="18"/>
                <w:szCs w:val="18"/>
              </w:rPr>
              <w:t>952</w:t>
            </w:r>
          </w:p>
        </w:tc>
        <w:tc>
          <w:tcPr>
            <w:tcW w:w="1117" w:type="dxa"/>
            <w:tcBorders>
              <w:top w:val="nil"/>
              <w:left w:val="nil"/>
              <w:bottom w:val="nil"/>
              <w:right w:val="nil"/>
            </w:tcBorders>
            <w:shd w:val="clear" w:color="auto" w:fill="auto"/>
            <w:vAlign w:val="bottom"/>
          </w:tcPr>
          <w:p w14:paraId="4D4D5BEC" w14:textId="3A20A68F" w:rsidR="002B721C" w:rsidRPr="001D41EA" w:rsidRDefault="002B721C" w:rsidP="001D41EA">
            <w:pPr>
              <w:spacing w:before="40" w:after="20"/>
              <w:jc w:val="right"/>
              <w:rPr>
                <w:rFonts w:cs="Arial"/>
                <w:sz w:val="18"/>
                <w:szCs w:val="18"/>
              </w:rPr>
            </w:pPr>
            <w:r w:rsidRPr="001D41EA">
              <w:rPr>
                <w:rFonts w:cs="Arial"/>
                <w:sz w:val="18"/>
                <w:szCs w:val="18"/>
              </w:rPr>
              <w:t>31.4</w:t>
            </w:r>
          </w:p>
        </w:tc>
        <w:tc>
          <w:tcPr>
            <w:tcW w:w="1117" w:type="dxa"/>
            <w:tcBorders>
              <w:top w:val="nil"/>
              <w:left w:val="nil"/>
              <w:bottom w:val="nil"/>
              <w:right w:val="nil"/>
            </w:tcBorders>
            <w:shd w:val="clear" w:color="auto" w:fill="auto"/>
            <w:vAlign w:val="bottom"/>
          </w:tcPr>
          <w:p w14:paraId="2BCC51F7" w14:textId="11A2829C" w:rsidR="002B721C" w:rsidRPr="001D41EA" w:rsidRDefault="002B721C" w:rsidP="001D41EA">
            <w:pPr>
              <w:spacing w:before="40" w:after="20"/>
              <w:jc w:val="right"/>
              <w:rPr>
                <w:rFonts w:cs="Arial"/>
                <w:sz w:val="18"/>
                <w:szCs w:val="18"/>
              </w:rPr>
            </w:pPr>
            <w:r w:rsidRPr="001D41EA">
              <w:rPr>
                <w:rFonts w:cs="Arial"/>
                <w:sz w:val="18"/>
                <w:szCs w:val="18"/>
              </w:rPr>
              <w:t>18,849</w:t>
            </w:r>
          </w:p>
        </w:tc>
        <w:tc>
          <w:tcPr>
            <w:tcW w:w="971" w:type="dxa"/>
            <w:tcBorders>
              <w:top w:val="nil"/>
              <w:left w:val="nil"/>
              <w:bottom w:val="nil"/>
              <w:right w:val="nil"/>
            </w:tcBorders>
            <w:shd w:val="clear" w:color="auto" w:fill="auto"/>
            <w:vAlign w:val="bottom"/>
          </w:tcPr>
          <w:p w14:paraId="5871336A" w14:textId="2279592A" w:rsidR="002B721C" w:rsidRPr="001D41EA" w:rsidRDefault="002B721C" w:rsidP="001D41EA">
            <w:pPr>
              <w:spacing w:before="40" w:after="20"/>
              <w:jc w:val="right"/>
              <w:rPr>
                <w:rFonts w:cs="Arial"/>
                <w:sz w:val="18"/>
                <w:szCs w:val="18"/>
              </w:rPr>
            </w:pPr>
            <w:r w:rsidRPr="001D41EA">
              <w:rPr>
                <w:rFonts w:cs="Arial"/>
                <w:sz w:val="18"/>
                <w:szCs w:val="18"/>
              </w:rPr>
              <w:t>2,563</w:t>
            </w:r>
          </w:p>
        </w:tc>
        <w:tc>
          <w:tcPr>
            <w:tcW w:w="1228" w:type="dxa"/>
            <w:tcBorders>
              <w:top w:val="nil"/>
              <w:left w:val="nil"/>
              <w:bottom w:val="nil"/>
              <w:right w:val="nil"/>
            </w:tcBorders>
            <w:shd w:val="clear" w:color="auto" w:fill="auto"/>
            <w:vAlign w:val="bottom"/>
          </w:tcPr>
          <w:p w14:paraId="09CE5CAD" w14:textId="245E6678" w:rsidR="002B721C" w:rsidRPr="001D41EA" w:rsidRDefault="002B721C" w:rsidP="001D41EA">
            <w:pPr>
              <w:spacing w:before="40" w:after="20"/>
              <w:jc w:val="right"/>
              <w:rPr>
                <w:rFonts w:cs="Arial"/>
                <w:sz w:val="18"/>
                <w:szCs w:val="18"/>
              </w:rPr>
            </w:pPr>
            <w:r w:rsidRPr="001D41EA">
              <w:rPr>
                <w:rFonts w:cs="Arial"/>
                <w:sz w:val="18"/>
                <w:szCs w:val="18"/>
              </w:rPr>
              <w:t>1.5%</w:t>
            </w:r>
          </w:p>
        </w:tc>
      </w:tr>
      <w:tr w:rsidR="002B721C" w:rsidRPr="001D41EA" w14:paraId="009907D3"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65DEF1CB" w14:textId="77777777" w:rsidR="002B721C" w:rsidRPr="001D41EA" w:rsidRDefault="002B721C" w:rsidP="001D41EA">
            <w:pPr>
              <w:spacing w:before="40" w:after="20"/>
              <w:rPr>
                <w:rFonts w:cs="Arial"/>
                <w:sz w:val="18"/>
                <w:szCs w:val="18"/>
              </w:rPr>
            </w:pPr>
            <w:r w:rsidRPr="001D41EA">
              <w:rPr>
                <w:rFonts w:cs="Arial"/>
                <w:sz w:val="18"/>
                <w:szCs w:val="18"/>
              </w:rPr>
              <w:t xml:space="preserve">Queenscliffe B </w:t>
            </w:r>
          </w:p>
        </w:tc>
        <w:tc>
          <w:tcPr>
            <w:tcW w:w="1236" w:type="dxa"/>
            <w:tcBorders>
              <w:top w:val="nil"/>
              <w:left w:val="single" w:sz="18" w:space="0" w:color="5F497A" w:themeColor="accent4" w:themeShade="BF"/>
              <w:bottom w:val="nil"/>
              <w:right w:val="nil"/>
            </w:tcBorders>
            <w:shd w:val="clear" w:color="auto" w:fill="auto"/>
            <w:vAlign w:val="bottom"/>
          </w:tcPr>
          <w:p w14:paraId="34EEF8E0" w14:textId="548DC4A3" w:rsidR="002B721C" w:rsidRPr="001D41EA" w:rsidRDefault="002B721C" w:rsidP="001D41EA">
            <w:pPr>
              <w:spacing w:before="40" w:after="20"/>
              <w:jc w:val="right"/>
              <w:rPr>
                <w:rFonts w:cs="Arial"/>
                <w:sz w:val="18"/>
                <w:szCs w:val="18"/>
              </w:rPr>
            </w:pPr>
            <w:r w:rsidRPr="001D41EA">
              <w:rPr>
                <w:rFonts w:cs="Arial"/>
                <w:sz w:val="18"/>
                <w:szCs w:val="18"/>
              </w:rPr>
              <w:t>1,096</w:t>
            </w:r>
          </w:p>
        </w:tc>
        <w:tc>
          <w:tcPr>
            <w:tcW w:w="1397" w:type="dxa"/>
            <w:tcBorders>
              <w:top w:val="nil"/>
              <w:left w:val="nil"/>
              <w:bottom w:val="nil"/>
              <w:right w:val="nil"/>
            </w:tcBorders>
            <w:shd w:val="clear" w:color="auto" w:fill="auto"/>
            <w:vAlign w:val="bottom"/>
          </w:tcPr>
          <w:p w14:paraId="4ECE7414" w14:textId="5DBD8026" w:rsidR="002B721C" w:rsidRPr="001D41EA" w:rsidRDefault="002B721C" w:rsidP="001D41EA">
            <w:pPr>
              <w:spacing w:before="40" w:after="20"/>
              <w:jc w:val="right"/>
              <w:rPr>
                <w:rFonts w:cs="Arial"/>
                <w:sz w:val="18"/>
                <w:szCs w:val="18"/>
              </w:rPr>
            </w:pPr>
            <w:r w:rsidRPr="001D41EA">
              <w:rPr>
                <w:rFonts w:cs="Arial"/>
                <w:sz w:val="18"/>
                <w:szCs w:val="18"/>
              </w:rPr>
              <w:t>1,075</w:t>
            </w:r>
          </w:p>
        </w:tc>
        <w:tc>
          <w:tcPr>
            <w:tcW w:w="1117" w:type="dxa"/>
            <w:tcBorders>
              <w:top w:val="nil"/>
              <w:left w:val="nil"/>
              <w:bottom w:val="nil"/>
              <w:right w:val="nil"/>
            </w:tcBorders>
            <w:shd w:val="clear" w:color="auto" w:fill="auto"/>
            <w:vAlign w:val="bottom"/>
          </w:tcPr>
          <w:p w14:paraId="614800C6" w14:textId="49EA10F7" w:rsidR="002B721C" w:rsidRPr="001D41EA" w:rsidRDefault="002B721C" w:rsidP="001D41EA">
            <w:pPr>
              <w:spacing w:before="40" w:after="20"/>
              <w:jc w:val="right"/>
              <w:rPr>
                <w:rFonts w:cs="Arial"/>
                <w:sz w:val="18"/>
                <w:szCs w:val="18"/>
              </w:rPr>
            </w:pPr>
            <w:r w:rsidRPr="001D41EA">
              <w:rPr>
                <w:rFonts w:cs="Arial"/>
                <w:sz w:val="18"/>
                <w:szCs w:val="18"/>
              </w:rPr>
              <w:t>222.9</w:t>
            </w:r>
          </w:p>
        </w:tc>
        <w:tc>
          <w:tcPr>
            <w:tcW w:w="1117" w:type="dxa"/>
            <w:tcBorders>
              <w:top w:val="nil"/>
              <w:left w:val="nil"/>
              <w:bottom w:val="nil"/>
              <w:right w:val="nil"/>
            </w:tcBorders>
            <w:shd w:val="clear" w:color="auto" w:fill="auto"/>
            <w:vAlign w:val="bottom"/>
          </w:tcPr>
          <w:p w14:paraId="2252A025" w14:textId="3399A16F" w:rsidR="002B721C" w:rsidRPr="001D41EA" w:rsidRDefault="002B721C" w:rsidP="001D41EA">
            <w:pPr>
              <w:spacing w:before="40" w:after="20"/>
              <w:jc w:val="right"/>
              <w:rPr>
                <w:rFonts w:cs="Arial"/>
                <w:sz w:val="18"/>
                <w:szCs w:val="18"/>
              </w:rPr>
            </w:pPr>
            <w:r w:rsidRPr="001D41EA">
              <w:rPr>
                <w:rFonts w:cs="Arial"/>
                <w:sz w:val="18"/>
                <w:szCs w:val="18"/>
              </w:rPr>
              <w:t>24,593</w:t>
            </w:r>
          </w:p>
        </w:tc>
        <w:tc>
          <w:tcPr>
            <w:tcW w:w="971" w:type="dxa"/>
            <w:tcBorders>
              <w:top w:val="nil"/>
              <w:left w:val="nil"/>
              <w:bottom w:val="nil"/>
              <w:right w:val="nil"/>
            </w:tcBorders>
            <w:shd w:val="clear" w:color="auto" w:fill="auto"/>
            <w:vAlign w:val="bottom"/>
          </w:tcPr>
          <w:p w14:paraId="56D67AB7" w14:textId="27D2E0AA" w:rsidR="002B721C" w:rsidRPr="001D41EA" w:rsidRDefault="002B721C" w:rsidP="001D41EA">
            <w:pPr>
              <w:spacing w:before="40" w:after="20"/>
              <w:jc w:val="right"/>
              <w:rPr>
                <w:rFonts w:cs="Arial"/>
                <w:sz w:val="18"/>
                <w:szCs w:val="18"/>
              </w:rPr>
            </w:pPr>
            <w:r w:rsidRPr="001D41EA">
              <w:rPr>
                <w:rFonts w:cs="Arial"/>
                <w:sz w:val="18"/>
                <w:szCs w:val="18"/>
              </w:rPr>
              <w:t>8,247</w:t>
            </w:r>
          </w:p>
        </w:tc>
        <w:tc>
          <w:tcPr>
            <w:tcW w:w="1228" w:type="dxa"/>
            <w:tcBorders>
              <w:top w:val="nil"/>
              <w:left w:val="nil"/>
              <w:bottom w:val="nil"/>
              <w:right w:val="nil"/>
            </w:tcBorders>
            <w:shd w:val="clear" w:color="auto" w:fill="auto"/>
            <w:vAlign w:val="bottom"/>
          </w:tcPr>
          <w:p w14:paraId="7D2E9F0F" w14:textId="60019C38" w:rsidR="002B721C" w:rsidRPr="001D41EA" w:rsidRDefault="002B721C" w:rsidP="001D41EA">
            <w:pPr>
              <w:spacing w:before="40" w:after="20"/>
              <w:jc w:val="right"/>
              <w:rPr>
                <w:rFonts w:cs="Arial"/>
                <w:sz w:val="18"/>
                <w:szCs w:val="18"/>
              </w:rPr>
            </w:pPr>
            <w:r w:rsidRPr="001D41EA">
              <w:rPr>
                <w:rFonts w:cs="Arial"/>
                <w:sz w:val="18"/>
                <w:szCs w:val="18"/>
              </w:rPr>
              <w:t>4.5%</w:t>
            </w:r>
          </w:p>
        </w:tc>
      </w:tr>
      <w:tr w:rsidR="002B721C" w:rsidRPr="001D41EA" w14:paraId="0B3CD154"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09CDE96C" w14:textId="77777777" w:rsidR="002B721C" w:rsidRPr="001D41EA" w:rsidRDefault="002B721C" w:rsidP="001D41EA">
            <w:pPr>
              <w:spacing w:before="40" w:after="20"/>
              <w:rPr>
                <w:rFonts w:cs="Arial"/>
                <w:sz w:val="18"/>
                <w:szCs w:val="18"/>
              </w:rPr>
            </w:pPr>
            <w:r w:rsidRPr="001D41EA">
              <w:rPr>
                <w:rFonts w:cs="Arial"/>
                <w:sz w:val="18"/>
                <w:szCs w:val="18"/>
              </w:rPr>
              <w:t xml:space="preserve">South Gippsland S </w:t>
            </w:r>
          </w:p>
        </w:tc>
        <w:tc>
          <w:tcPr>
            <w:tcW w:w="1236" w:type="dxa"/>
            <w:tcBorders>
              <w:top w:val="nil"/>
              <w:left w:val="single" w:sz="18" w:space="0" w:color="5F497A" w:themeColor="accent4" w:themeShade="BF"/>
              <w:bottom w:val="nil"/>
              <w:right w:val="nil"/>
            </w:tcBorders>
            <w:shd w:val="clear" w:color="auto" w:fill="auto"/>
            <w:vAlign w:val="bottom"/>
          </w:tcPr>
          <w:p w14:paraId="3B807774" w14:textId="38D2EE9B" w:rsidR="002B721C" w:rsidRPr="001D41EA" w:rsidRDefault="002B721C" w:rsidP="001D41EA">
            <w:pPr>
              <w:spacing w:before="40" w:after="20"/>
              <w:jc w:val="right"/>
              <w:rPr>
                <w:rFonts w:cs="Arial"/>
                <w:sz w:val="18"/>
                <w:szCs w:val="18"/>
              </w:rPr>
            </w:pPr>
            <w:r w:rsidRPr="001D41EA">
              <w:rPr>
                <w:rFonts w:cs="Arial"/>
                <w:sz w:val="18"/>
                <w:szCs w:val="18"/>
              </w:rPr>
              <w:t>805</w:t>
            </w:r>
          </w:p>
        </w:tc>
        <w:tc>
          <w:tcPr>
            <w:tcW w:w="1397" w:type="dxa"/>
            <w:tcBorders>
              <w:top w:val="nil"/>
              <w:left w:val="nil"/>
              <w:bottom w:val="nil"/>
              <w:right w:val="nil"/>
            </w:tcBorders>
            <w:shd w:val="clear" w:color="auto" w:fill="auto"/>
            <w:vAlign w:val="bottom"/>
          </w:tcPr>
          <w:p w14:paraId="4A736A5B" w14:textId="0F18771F" w:rsidR="002B721C" w:rsidRPr="001D41EA" w:rsidRDefault="002B721C" w:rsidP="001D41EA">
            <w:pPr>
              <w:spacing w:before="40" w:after="20"/>
              <w:jc w:val="right"/>
              <w:rPr>
                <w:rFonts w:cs="Arial"/>
                <w:sz w:val="18"/>
                <w:szCs w:val="18"/>
              </w:rPr>
            </w:pPr>
            <w:r w:rsidRPr="001D41EA">
              <w:rPr>
                <w:rFonts w:cs="Arial"/>
                <w:sz w:val="18"/>
                <w:szCs w:val="18"/>
              </w:rPr>
              <w:t>990</w:t>
            </w:r>
          </w:p>
        </w:tc>
        <w:tc>
          <w:tcPr>
            <w:tcW w:w="1117" w:type="dxa"/>
            <w:tcBorders>
              <w:top w:val="nil"/>
              <w:left w:val="nil"/>
              <w:bottom w:val="nil"/>
              <w:right w:val="nil"/>
            </w:tcBorders>
            <w:shd w:val="clear" w:color="auto" w:fill="auto"/>
            <w:vAlign w:val="bottom"/>
          </w:tcPr>
          <w:p w14:paraId="48C3F2AF" w14:textId="389E8653" w:rsidR="002B721C" w:rsidRPr="001D41EA" w:rsidRDefault="002B721C" w:rsidP="001D41EA">
            <w:pPr>
              <w:spacing w:before="40" w:after="20"/>
              <w:jc w:val="right"/>
              <w:rPr>
                <w:rFonts w:cs="Arial"/>
                <w:sz w:val="18"/>
                <w:szCs w:val="18"/>
              </w:rPr>
            </w:pPr>
            <w:r w:rsidRPr="001D41EA">
              <w:rPr>
                <w:rFonts w:cs="Arial"/>
                <w:sz w:val="18"/>
                <w:szCs w:val="18"/>
              </w:rPr>
              <w:t>56.8</w:t>
            </w:r>
          </w:p>
        </w:tc>
        <w:tc>
          <w:tcPr>
            <w:tcW w:w="1117" w:type="dxa"/>
            <w:tcBorders>
              <w:top w:val="nil"/>
              <w:left w:val="nil"/>
              <w:bottom w:val="nil"/>
              <w:right w:val="nil"/>
            </w:tcBorders>
            <w:shd w:val="clear" w:color="auto" w:fill="auto"/>
            <w:vAlign w:val="bottom"/>
          </w:tcPr>
          <w:p w14:paraId="2042044F" w14:textId="3494027B" w:rsidR="002B721C" w:rsidRPr="001D41EA" w:rsidRDefault="002B721C" w:rsidP="001D41EA">
            <w:pPr>
              <w:spacing w:before="40" w:after="20"/>
              <w:jc w:val="right"/>
              <w:rPr>
                <w:rFonts w:cs="Arial"/>
                <w:sz w:val="18"/>
                <w:szCs w:val="18"/>
              </w:rPr>
            </w:pPr>
            <w:r w:rsidRPr="001D41EA">
              <w:rPr>
                <w:rFonts w:cs="Arial"/>
                <w:sz w:val="18"/>
                <w:szCs w:val="18"/>
              </w:rPr>
              <w:t>70,900</w:t>
            </w:r>
          </w:p>
        </w:tc>
        <w:tc>
          <w:tcPr>
            <w:tcW w:w="971" w:type="dxa"/>
            <w:tcBorders>
              <w:top w:val="nil"/>
              <w:left w:val="nil"/>
              <w:bottom w:val="nil"/>
              <w:right w:val="nil"/>
            </w:tcBorders>
            <w:shd w:val="clear" w:color="auto" w:fill="auto"/>
            <w:vAlign w:val="bottom"/>
          </w:tcPr>
          <w:p w14:paraId="1FAC1149" w14:textId="2D300AD7" w:rsidR="002B721C" w:rsidRPr="001D41EA" w:rsidRDefault="002B721C" w:rsidP="001D41EA">
            <w:pPr>
              <w:spacing w:before="40" w:after="20"/>
              <w:jc w:val="right"/>
              <w:rPr>
                <w:rFonts w:cs="Arial"/>
                <w:sz w:val="18"/>
                <w:szCs w:val="18"/>
              </w:rPr>
            </w:pPr>
            <w:r w:rsidRPr="001D41EA">
              <w:rPr>
                <w:rFonts w:cs="Arial"/>
                <w:sz w:val="18"/>
                <w:szCs w:val="18"/>
              </w:rPr>
              <w:t>2,397</w:t>
            </w:r>
          </w:p>
        </w:tc>
        <w:tc>
          <w:tcPr>
            <w:tcW w:w="1228" w:type="dxa"/>
            <w:tcBorders>
              <w:top w:val="nil"/>
              <w:left w:val="nil"/>
              <w:bottom w:val="nil"/>
              <w:right w:val="nil"/>
            </w:tcBorders>
            <w:shd w:val="clear" w:color="auto" w:fill="auto"/>
            <w:vAlign w:val="bottom"/>
          </w:tcPr>
          <w:p w14:paraId="271FD50B" w14:textId="271CB200" w:rsidR="002B721C" w:rsidRPr="001D41EA" w:rsidRDefault="002B721C" w:rsidP="001D41EA">
            <w:pPr>
              <w:spacing w:before="40" w:after="20"/>
              <w:jc w:val="right"/>
              <w:rPr>
                <w:rFonts w:cs="Arial"/>
                <w:sz w:val="18"/>
                <w:szCs w:val="18"/>
              </w:rPr>
            </w:pPr>
            <w:r w:rsidRPr="001D41EA">
              <w:rPr>
                <w:rFonts w:cs="Arial"/>
                <w:sz w:val="18"/>
                <w:szCs w:val="18"/>
              </w:rPr>
              <w:t>3.5%</w:t>
            </w:r>
          </w:p>
        </w:tc>
      </w:tr>
      <w:tr w:rsidR="002B721C" w:rsidRPr="001D41EA" w14:paraId="3E50EADC"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37373E2F" w14:textId="77777777" w:rsidR="002B721C" w:rsidRPr="001D41EA" w:rsidRDefault="002B721C" w:rsidP="001D41EA">
            <w:pPr>
              <w:spacing w:before="40" w:after="20"/>
              <w:rPr>
                <w:rFonts w:cs="Arial"/>
                <w:sz w:val="18"/>
                <w:szCs w:val="18"/>
              </w:rPr>
            </w:pPr>
            <w:r w:rsidRPr="001D41EA">
              <w:rPr>
                <w:rFonts w:cs="Arial"/>
                <w:sz w:val="18"/>
                <w:szCs w:val="18"/>
              </w:rPr>
              <w:t xml:space="preserve">Southern Grampians S </w:t>
            </w:r>
          </w:p>
        </w:tc>
        <w:tc>
          <w:tcPr>
            <w:tcW w:w="1236" w:type="dxa"/>
            <w:tcBorders>
              <w:top w:val="nil"/>
              <w:left w:val="single" w:sz="18" w:space="0" w:color="5F497A" w:themeColor="accent4" w:themeShade="BF"/>
              <w:bottom w:val="nil"/>
              <w:right w:val="nil"/>
            </w:tcBorders>
            <w:shd w:val="clear" w:color="auto" w:fill="auto"/>
            <w:vAlign w:val="bottom"/>
          </w:tcPr>
          <w:p w14:paraId="5D597387" w14:textId="12E55FF4" w:rsidR="002B721C" w:rsidRPr="001D41EA" w:rsidRDefault="002B721C" w:rsidP="001D41EA">
            <w:pPr>
              <w:spacing w:before="40" w:after="20"/>
              <w:jc w:val="right"/>
              <w:rPr>
                <w:rFonts w:cs="Arial"/>
                <w:sz w:val="18"/>
                <w:szCs w:val="18"/>
              </w:rPr>
            </w:pPr>
            <w:r w:rsidRPr="001D41EA">
              <w:rPr>
                <w:rFonts w:cs="Arial"/>
                <w:sz w:val="18"/>
                <w:szCs w:val="18"/>
              </w:rPr>
              <w:t>797</w:t>
            </w:r>
          </w:p>
        </w:tc>
        <w:tc>
          <w:tcPr>
            <w:tcW w:w="1397" w:type="dxa"/>
            <w:tcBorders>
              <w:top w:val="nil"/>
              <w:left w:val="nil"/>
              <w:bottom w:val="nil"/>
              <w:right w:val="nil"/>
            </w:tcBorders>
            <w:shd w:val="clear" w:color="auto" w:fill="auto"/>
            <w:vAlign w:val="bottom"/>
          </w:tcPr>
          <w:p w14:paraId="4BB1F5CF" w14:textId="049EBEBA" w:rsidR="002B721C" w:rsidRPr="001D41EA" w:rsidRDefault="002B721C" w:rsidP="001D41EA">
            <w:pPr>
              <w:spacing w:before="40" w:after="20"/>
              <w:jc w:val="right"/>
              <w:rPr>
                <w:rFonts w:cs="Arial"/>
                <w:sz w:val="18"/>
                <w:szCs w:val="18"/>
              </w:rPr>
            </w:pPr>
            <w:r w:rsidRPr="001D41EA">
              <w:rPr>
                <w:rFonts w:cs="Arial"/>
                <w:sz w:val="18"/>
                <w:szCs w:val="18"/>
              </w:rPr>
              <w:t>992</w:t>
            </w:r>
          </w:p>
        </w:tc>
        <w:tc>
          <w:tcPr>
            <w:tcW w:w="1117" w:type="dxa"/>
            <w:tcBorders>
              <w:top w:val="nil"/>
              <w:left w:val="nil"/>
              <w:bottom w:val="nil"/>
              <w:right w:val="nil"/>
            </w:tcBorders>
            <w:shd w:val="clear" w:color="auto" w:fill="auto"/>
            <w:vAlign w:val="bottom"/>
          </w:tcPr>
          <w:p w14:paraId="052FD208" w14:textId="5907AA0E" w:rsidR="002B721C" w:rsidRPr="001D41EA" w:rsidRDefault="002B721C" w:rsidP="001D41EA">
            <w:pPr>
              <w:spacing w:before="40" w:after="20"/>
              <w:jc w:val="right"/>
              <w:rPr>
                <w:rFonts w:cs="Arial"/>
                <w:sz w:val="18"/>
                <w:szCs w:val="18"/>
              </w:rPr>
            </w:pPr>
            <w:r w:rsidRPr="001D41EA">
              <w:rPr>
                <w:rFonts w:cs="Arial"/>
                <w:sz w:val="18"/>
                <w:szCs w:val="18"/>
              </w:rPr>
              <w:t>34.0</w:t>
            </w:r>
          </w:p>
        </w:tc>
        <w:tc>
          <w:tcPr>
            <w:tcW w:w="1117" w:type="dxa"/>
            <w:tcBorders>
              <w:top w:val="nil"/>
              <w:left w:val="nil"/>
              <w:bottom w:val="nil"/>
              <w:right w:val="nil"/>
            </w:tcBorders>
            <w:shd w:val="clear" w:color="auto" w:fill="auto"/>
            <w:vAlign w:val="bottom"/>
          </w:tcPr>
          <w:p w14:paraId="1699297E" w14:textId="1613B5AD" w:rsidR="002B721C" w:rsidRPr="001D41EA" w:rsidRDefault="002B721C" w:rsidP="001D41EA">
            <w:pPr>
              <w:spacing w:before="40" w:after="20"/>
              <w:jc w:val="right"/>
              <w:rPr>
                <w:rFonts w:cs="Arial"/>
                <w:sz w:val="18"/>
                <w:szCs w:val="18"/>
              </w:rPr>
            </w:pPr>
            <w:r w:rsidRPr="001D41EA">
              <w:rPr>
                <w:rFonts w:cs="Arial"/>
                <w:sz w:val="18"/>
                <w:szCs w:val="18"/>
              </w:rPr>
              <w:t>28,248</w:t>
            </w:r>
          </w:p>
        </w:tc>
        <w:tc>
          <w:tcPr>
            <w:tcW w:w="971" w:type="dxa"/>
            <w:tcBorders>
              <w:top w:val="nil"/>
              <w:left w:val="nil"/>
              <w:bottom w:val="nil"/>
              <w:right w:val="nil"/>
            </w:tcBorders>
            <w:shd w:val="clear" w:color="auto" w:fill="auto"/>
            <w:vAlign w:val="bottom"/>
          </w:tcPr>
          <w:p w14:paraId="0CD97D2D" w14:textId="0D2D787B" w:rsidR="002B721C" w:rsidRPr="001D41EA" w:rsidRDefault="002B721C" w:rsidP="001D41EA">
            <w:pPr>
              <w:spacing w:before="40" w:after="20"/>
              <w:jc w:val="right"/>
              <w:rPr>
                <w:rFonts w:cs="Arial"/>
                <w:sz w:val="18"/>
                <w:szCs w:val="18"/>
              </w:rPr>
            </w:pPr>
            <w:r w:rsidRPr="001D41EA">
              <w:rPr>
                <w:rFonts w:cs="Arial"/>
                <w:sz w:val="18"/>
                <w:szCs w:val="18"/>
              </w:rPr>
              <w:t>1,751</w:t>
            </w:r>
          </w:p>
        </w:tc>
        <w:tc>
          <w:tcPr>
            <w:tcW w:w="1228" w:type="dxa"/>
            <w:tcBorders>
              <w:top w:val="nil"/>
              <w:left w:val="nil"/>
              <w:bottom w:val="nil"/>
              <w:right w:val="nil"/>
            </w:tcBorders>
            <w:shd w:val="clear" w:color="auto" w:fill="auto"/>
            <w:vAlign w:val="bottom"/>
          </w:tcPr>
          <w:p w14:paraId="0EA3D5E2" w14:textId="2473B6DD" w:rsidR="002B721C" w:rsidRPr="001D41EA" w:rsidRDefault="002B721C" w:rsidP="001D41EA">
            <w:pPr>
              <w:spacing w:before="40" w:after="20"/>
              <w:jc w:val="right"/>
              <w:rPr>
                <w:rFonts w:cs="Arial"/>
                <w:sz w:val="18"/>
                <w:szCs w:val="18"/>
              </w:rPr>
            </w:pPr>
            <w:r w:rsidRPr="001D41EA">
              <w:rPr>
                <w:rFonts w:cs="Arial"/>
                <w:sz w:val="18"/>
                <w:szCs w:val="18"/>
              </w:rPr>
              <w:t>5.2%</w:t>
            </w:r>
          </w:p>
        </w:tc>
      </w:tr>
      <w:tr w:rsidR="002B721C" w:rsidRPr="001D41EA" w14:paraId="5FB3BE66"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414ED6C2" w14:textId="77777777" w:rsidR="002B721C" w:rsidRPr="001D41EA" w:rsidRDefault="002B721C" w:rsidP="001D41EA">
            <w:pPr>
              <w:spacing w:before="40" w:after="20"/>
              <w:rPr>
                <w:rFonts w:cs="Arial"/>
                <w:sz w:val="18"/>
                <w:szCs w:val="18"/>
              </w:rPr>
            </w:pPr>
            <w:r w:rsidRPr="001D41EA">
              <w:rPr>
                <w:rFonts w:cs="Arial"/>
                <w:sz w:val="18"/>
                <w:szCs w:val="18"/>
              </w:rPr>
              <w:t xml:space="preserve">Stonnington C </w:t>
            </w:r>
          </w:p>
        </w:tc>
        <w:tc>
          <w:tcPr>
            <w:tcW w:w="1236" w:type="dxa"/>
            <w:tcBorders>
              <w:top w:val="nil"/>
              <w:left w:val="single" w:sz="18" w:space="0" w:color="5F497A" w:themeColor="accent4" w:themeShade="BF"/>
              <w:bottom w:val="nil"/>
              <w:right w:val="nil"/>
            </w:tcBorders>
            <w:shd w:val="clear" w:color="auto" w:fill="auto"/>
            <w:vAlign w:val="bottom"/>
          </w:tcPr>
          <w:p w14:paraId="0891AC58" w14:textId="063B0E43" w:rsidR="002B721C" w:rsidRPr="001D41EA" w:rsidRDefault="002B721C" w:rsidP="001D41EA">
            <w:pPr>
              <w:spacing w:before="40" w:after="20"/>
              <w:jc w:val="right"/>
              <w:rPr>
                <w:rFonts w:cs="Arial"/>
                <w:sz w:val="18"/>
                <w:szCs w:val="18"/>
              </w:rPr>
            </w:pPr>
            <w:r w:rsidRPr="001D41EA">
              <w:rPr>
                <w:rFonts w:cs="Arial"/>
                <w:sz w:val="18"/>
                <w:szCs w:val="18"/>
              </w:rPr>
              <w:t>1,567</w:t>
            </w:r>
          </w:p>
        </w:tc>
        <w:tc>
          <w:tcPr>
            <w:tcW w:w="1397" w:type="dxa"/>
            <w:tcBorders>
              <w:top w:val="nil"/>
              <w:left w:val="nil"/>
              <w:bottom w:val="nil"/>
              <w:right w:val="nil"/>
            </w:tcBorders>
            <w:shd w:val="clear" w:color="auto" w:fill="auto"/>
            <w:vAlign w:val="bottom"/>
          </w:tcPr>
          <w:p w14:paraId="578D539B" w14:textId="229EC8E1" w:rsidR="002B721C" w:rsidRPr="001D41EA" w:rsidRDefault="002B721C" w:rsidP="001D41EA">
            <w:pPr>
              <w:spacing w:before="40" w:after="20"/>
              <w:jc w:val="right"/>
              <w:rPr>
                <w:rFonts w:cs="Arial"/>
                <w:sz w:val="18"/>
                <w:szCs w:val="18"/>
              </w:rPr>
            </w:pPr>
            <w:r w:rsidRPr="001D41EA">
              <w:rPr>
                <w:rFonts w:cs="Arial"/>
                <w:sz w:val="18"/>
                <w:szCs w:val="18"/>
              </w:rPr>
              <w:t>1,087</w:t>
            </w:r>
          </w:p>
        </w:tc>
        <w:tc>
          <w:tcPr>
            <w:tcW w:w="1117" w:type="dxa"/>
            <w:tcBorders>
              <w:top w:val="nil"/>
              <w:left w:val="nil"/>
              <w:bottom w:val="nil"/>
              <w:right w:val="nil"/>
            </w:tcBorders>
            <w:shd w:val="clear" w:color="auto" w:fill="auto"/>
            <w:vAlign w:val="bottom"/>
          </w:tcPr>
          <w:p w14:paraId="63CD3E84" w14:textId="408D1D7B" w:rsidR="002B721C" w:rsidRPr="001D41EA" w:rsidRDefault="002B721C" w:rsidP="001D41EA">
            <w:pPr>
              <w:spacing w:before="40" w:after="20"/>
              <w:jc w:val="right"/>
              <w:rPr>
                <w:rFonts w:cs="Arial"/>
                <w:sz w:val="18"/>
                <w:szCs w:val="18"/>
              </w:rPr>
            </w:pPr>
            <w:r w:rsidRPr="001D41EA">
              <w:rPr>
                <w:rFonts w:cs="Arial"/>
                <w:sz w:val="18"/>
                <w:szCs w:val="18"/>
              </w:rPr>
              <w:t>27.8</w:t>
            </w:r>
          </w:p>
        </w:tc>
        <w:tc>
          <w:tcPr>
            <w:tcW w:w="1117" w:type="dxa"/>
            <w:tcBorders>
              <w:top w:val="nil"/>
              <w:left w:val="nil"/>
              <w:bottom w:val="nil"/>
              <w:right w:val="nil"/>
            </w:tcBorders>
            <w:shd w:val="clear" w:color="auto" w:fill="auto"/>
            <w:vAlign w:val="bottom"/>
          </w:tcPr>
          <w:p w14:paraId="53E44CA8" w14:textId="00B0C4F0" w:rsidR="002B721C" w:rsidRPr="001D41EA" w:rsidRDefault="002B721C" w:rsidP="001D41EA">
            <w:pPr>
              <w:spacing w:before="40" w:after="20"/>
              <w:jc w:val="right"/>
              <w:rPr>
                <w:rFonts w:cs="Arial"/>
                <w:sz w:val="18"/>
                <w:szCs w:val="18"/>
              </w:rPr>
            </w:pPr>
            <w:r w:rsidRPr="001D41EA">
              <w:rPr>
                <w:rFonts w:cs="Arial"/>
                <w:sz w:val="18"/>
                <w:szCs w:val="18"/>
              </w:rPr>
              <w:t>1,207,903</w:t>
            </w:r>
          </w:p>
        </w:tc>
        <w:tc>
          <w:tcPr>
            <w:tcW w:w="971" w:type="dxa"/>
            <w:tcBorders>
              <w:top w:val="nil"/>
              <w:left w:val="nil"/>
              <w:bottom w:val="nil"/>
              <w:right w:val="nil"/>
            </w:tcBorders>
            <w:shd w:val="clear" w:color="auto" w:fill="auto"/>
            <w:vAlign w:val="bottom"/>
          </w:tcPr>
          <w:p w14:paraId="785DA8C9" w14:textId="187FE915" w:rsidR="002B721C" w:rsidRPr="001D41EA" w:rsidRDefault="002B721C" w:rsidP="001D41EA">
            <w:pPr>
              <w:spacing w:before="40" w:after="20"/>
              <w:jc w:val="right"/>
              <w:rPr>
                <w:rFonts w:cs="Arial"/>
                <w:sz w:val="18"/>
                <w:szCs w:val="18"/>
              </w:rPr>
            </w:pPr>
            <w:r w:rsidRPr="001D41EA">
              <w:rPr>
                <w:rFonts w:cs="Arial"/>
                <w:sz w:val="18"/>
                <w:szCs w:val="18"/>
              </w:rPr>
              <w:t>10,394</w:t>
            </w:r>
          </w:p>
        </w:tc>
        <w:tc>
          <w:tcPr>
            <w:tcW w:w="1228" w:type="dxa"/>
            <w:tcBorders>
              <w:top w:val="nil"/>
              <w:left w:val="nil"/>
              <w:bottom w:val="nil"/>
              <w:right w:val="nil"/>
            </w:tcBorders>
            <w:shd w:val="clear" w:color="auto" w:fill="auto"/>
            <w:vAlign w:val="bottom"/>
          </w:tcPr>
          <w:p w14:paraId="3C212C78" w14:textId="7E1D7F73" w:rsidR="002B721C" w:rsidRPr="001D41EA" w:rsidRDefault="002B721C" w:rsidP="001D41EA">
            <w:pPr>
              <w:spacing w:before="40" w:after="20"/>
              <w:jc w:val="right"/>
              <w:rPr>
                <w:rFonts w:cs="Arial"/>
                <w:sz w:val="18"/>
                <w:szCs w:val="18"/>
              </w:rPr>
            </w:pPr>
            <w:r w:rsidRPr="001D41EA">
              <w:rPr>
                <w:rFonts w:cs="Arial"/>
                <w:sz w:val="18"/>
                <w:szCs w:val="18"/>
              </w:rPr>
              <w:t>14.1%</w:t>
            </w:r>
          </w:p>
        </w:tc>
      </w:tr>
      <w:tr w:rsidR="002B721C" w:rsidRPr="001D41EA" w14:paraId="6B422295"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0D9C41D9" w14:textId="77777777" w:rsidR="002B721C" w:rsidRPr="001D41EA" w:rsidRDefault="002B721C" w:rsidP="001D41EA">
            <w:pPr>
              <w:spacing w:before="40" w:after="20"/>
              <w:rPr>
                <w:rFonts w:cs="Arial"/>
                <w:sz w:val="18"/>
                <w:szCs w:val="18"/>
              </w:rPr>
            </w:pPr>
            <w:r w:rsidRPr="001D41EA">
              <w:rPr>
                <w:rFonts w:cs="Arial"/>
                <w:sz w:val="18"/>
                <w:szCs w:val="18"/>
              </w:rPr>
              <w:t xml:space="preserve">Strathbogie S </w:t>
            </w:r>
          </w:p>
        </w:tc>
        <w:tc>
          <w:tcPr>
            <w:tcW w:w="1236" w:type="dxa"/>
            <w:tcBorders>
              <w:top w:val="nil"/>
              <w:left w:val="single" w:sz="18" w:space="0" w:color="5F497A" w:themeColor="accent4" w:themeShade="BF"/>
              <w:bottom w:val="nil"/>
              <w:right w:val="nil"/>
            </w:tcBorders>
            <w:shd w:val="clear" w:color="auto" w:fill="auto"/>
            <w:vAlign w:val="bottom"/>
          </w:tcPr>
          <w:p w14:paraId="3E96DFCC" w14:textId="4CAF6CA7" w:rsidR="002B721C" w:rsidRPr="001D41EA" w:rsidRDefault="002B721C" w:rsidP="001D41EA">
            <w:pPr>
              <w:spacing w:before="40" w:after="20"/>
              <w:jc w:val="right"/>
              <w:rPr>
                <w:rFonts w:cs="Arial"/>
                <w:sz w:val="18"/>
                <w:szCs w:val="18"/>
              </w:rPr>
            </w:pPr>
            <w:r w:rsidRPr="001D41EA">
              <w:rPr>
                <w:rFonts w:cs="Arial"/>
                <w:sz w:val="18"/>
                <w:szCs w:val="18"/>
              </w:rPr>
              <w:t>788</w:t>
            </w:r>
          </w:p>
        </w:tc>
        <w:tc>
          <w:tcPr>
            <w:tcW w:w="1397" w:type="dxa"/>
            <w:tcBorders>
              <w:top w:val="nil"/>
              <w:left w:val="nil"/>
              <w:bottom w:val="nil"/>
              <w:right w:val="nil"/>
            </w:tcBorders>
            <w:shd w:val="clear" w:color="auto" w:fill="auto"/>
            <w:vAlign w:val="bottom"/>
          </w:tcPr>
          <w:p w14:paraId="3D147744" w14:textId="00E82D4C" w:rsidR="002B721C" w:rsidRPr="001D41EA" w:rsidRDefault="002B721C" w:rsidP="001D41EA">
            <w:pPr>
              <w:spacing w:before="40" w:after="20"/>
              <w:jc w:val="right"/>
              <w:rPr>
                <w:rFonts w:cs="Arial"/>
                <w:sz w:val="18"/>
                <w:szCs w:val="18"/>
              </w:rPr>
            </w:pPr>
            <w:r w:rsidRPr="001D41EA">
              <w:rPr>
                <w:rFonts w:cs="Arial"/>
                <w:sz w:val="18"/>
                <w:szCs w:val="18"/>
              </w:rPr>
              <w:t>974</w:t>
            </w:r>
          </w:p>
        </w:tc>
        <w:tc>
          <w:tcPr>
            <w:tcW w:w="1117" w:type="dxa"/>
            <w:tcBorders>
              <w:top w:val="nil"/>
              <w:left w:val="nil"/>
              <w:bottom w:val="nil"/>
              <w:right w:val="nil"/>
            </w:tcBorders>
            <w:shd w:val="clear" w:color="auto" w:fill="auto"/>
            <w:vAlign w:val="bottom"/>
          </w:tcPr>
          <w:p w14:paraId="55304398" w14:textId="661E5BED" w:rsidR="002B721C" w:rsidRPr="001D41EA" w:rsidRDefault="002B721C" w:rsidP="001D41EA">
            <w:pPr>
              <w:spacing w:before="40" w:after="20"/>
              <w:jc w:val="right"/>
              <w:rPr>
                <w:rFonts w:cs="Arial"/>
                <w:sz w:val="18"/>
                <w:szCs w:val="18"/>
              </w:rPr>
            </w:pPr>
            <w:r w:rsidRPr="001D41EA">
              <w:rPr>
                <w:rFonts w:cs="Arial"/>
                <w:sz w:val="18"/>
                <w:szCs w:val="18"/>
              </w:rPr>
              <w:t>40.5</w:t>
            </w:r>
          </w:p>
        </w:tc>
        <w:tc>
          <w:tcPr>
            <w:tcW w:w="1117" w:type="dxa"/>
            <w:tcBorders>
              <w:top w:val="nil"/>
              <w:left w:val="nil"/>
              <w:bottom w:val="nil"/>
              <w:right w:val="nil"/>
            </w:tcBorders>
            <w:shd w:val="clear" w:color="auto" w:fill="auto"/>
            <w:vAlign w:val="bottom"/>
          </w:tcPr>
          <w:p w14:paraId="379DFA88" w14:textId="35B99074" w:rsidR="002B721C" w:rsidRPr="001D41EA" w:rsidRDefault="002B721C" w:rsidP="001D41EA">
            <w:pPr>
              <w:spacing w:before="40" w:after="20"/>
              <w:jc w:val="right"/>
              <w:rPr>
                <w:rFonts w:cs="Arial"/>
                <w:sz w:val="18"/>
                <w:szCs w:val="18"/>
              </w:rPr>
            </w:pPr>
            <w:r w:rsidRPr="001D41EA">
              <w:rPr>
                <w:rFonts w:cs="Arial"/>
                <w:sz w:val="18"/>
                <w:szCs w:val="18"/>
              </w:rPr>
              <w:t>45,882</w:t>
            </w:r>
          </w:p>
        </w:tc>
        <w:tc>
          <w:tcPr>
            <w:tcW w:w="971" w:type="dxa"/>
            <w:tcBorders>
              <w:top w:val="nil"/>
              <w:left w:val="nil"/>
              <w:bottom w:val="nil"/>
              <w:right w:val="nil"/>
            </w:tcBorders>
            <w:shd w:val="clear" w:color="auto" w:fill="auto"/>
            <w:vAlign w:val="bottom"/>
          </w:tcPr>
          <w:p w14:paraId="42A104DA" w14:textId="2AE79306" w:rsidR="002B721C" w:rsidRPr="001D41EA" w:rsidRDefault="002B721C" w:rsidP="001D41EA">
            <w:pPr>
              <w:spacing w:before="40" w:after="20"/>
              <w:jc w:val="right"/>
              <w:rPr>
                <w:rFonts w:cs="Arial"/>
                <w:sz w:val="18"/>
                <w:szCs w:val="18"/>
              </w:rPr>
            </w:pPr>
            <w:r w:rsidRPr="001D41EA">
              <w:rPr>
                <w:rFonts w:cs="Arial"/>
                <w:sz w:val="18"/>
                <w:szCs w:val="18"/>
              </w:rPr>
              <w:t>4,310</w:t>
            </w:r>
          </w:p>
        </w:tc>
        <w:tc>
          <w:tcPr>
            <w:tcW w:w="1228" w:type="dxa"/>
            <w:tcBorders>
              <w:top w:val="nil"/>
              <w:left w:val="nil"/>
              <w:bottom w:val="nil"/>
              <w:right w:val="nil"/>
            </w:tcBorders>
            <w:shd w:val="clear" w:color="auto" w:fill="auto"/>
            <w:vAlign w:val="bottom"/>
          </w:tcPr>
          <w:p w14:paraId="36440A0B" w14:textId="110021B4" w:rsidR="002B721C" w:rsidRPr="001D41EA" w:rsidRDefault="002B721C" w:rsidP="001D41EA">
            <w:pPr>
              <w:spacing w:before="40" w:after="20"/>
              <w:jc w:val="right"/>
              <w:rPr>
                <w:rFonts w:cs="Arial"/>
                <w:sz w:val="18"/>
                <w:szCs w:val="18"/>
              </w:rPr>
            </w:pPr>
            <w:r w:rsidRPr="001D41EA">
              <w:rPr>
                <w:rFonts w:cs="Arial"/>
                <w:sz w:val="18"/>
                <w:szCs w:val="18"/>
              </w:rPr>
              <w:t>3.7%</w:t>
            </w:r>
          </w:p>
        </w:tc>
      </w:tr>
      <w:tr w:rsidR="002B721C" w:rsidRPr="001D41EA" w14:paraId="503595FD"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63359F1E" w14:textId="77777777" w:rsidR="002B721C" w:rsidRPr="001D41EA" w:rsidRDefault="002B721C" w:rsidP="001D41EA">
            <w:pPr>
              <w:spacing w:before="40" w:after="20"/>
              <w:rPr>
                <w:rFonts w:cs="Arial"/>
                <w:sz w:val="18"/>
                <w:szCs w:val="18"/>
              </w:rPr>
            </w:pPr>
            <w:r w:rsidRPr="001D41EA">
              <w:rPr>
                <w:rFonts w:cs="Arial"/>
                <w:sz w:val="18"/>
                <w:szCs w:val="18"/>
              </w:rPr>
              <w:t xml:space="preserve">Surf Coast S </w:t>
            </w:r>
          </w:p>
        </w:tc>
        <w:tc>
          <w:tcPr>
            <w:tcW w:w="1236" w:type="dxa"/>
            <w:tcBorders>
              <w:top w:val="nil"/>
              <w:left w:val="single" w:sz="18" w:space="0" w:color="5F497A" w:themeColor="accent4" w:themeShade="BF"/>
              <w:bottom w:val="nil"/>
              <w:right w:val="nil"/>
            </w:tcBorders>
            <w:shd w:val="clear" w:color="auto" w:fill="auto"/>
            <w:vAlign w:val="bottom"/>
          </w:tcPr>
          <w:p w14:paraId="1B263ECE" w14:textId="4D19A5AB" w:rsidR="002B721C" w:rsidRPr="001D41EA" w:rsidRDefault="002B721C" w:rsidP="001D41EA">
            <w:pPr>
              <w:spacing w:before="40" w:after="20"/>
              <w:jc w:val="right"/>
              <w:rPr>
                <w:rFonts w:cs="Arial"/>
                <w:sz w:val="18"/>
                <w:szCs w:val="18"/>
              </w:rPr>
            </w:pPr>
            <w:r w:rsidRPr="001D41EA">
              <w:rPr>
                <w:rFonts w:cs="Arial"/>
                <w:sz w:val="18"/>
                <w:szCs w:val="18"/>
              </w:rPr>
              <w:t>1,072</w:t>
            </w:r>
          </w:p>
        </w:tc>
        <w:tc>
          <w:tcPr>
            <w:tcW w:w="1397" w:type="dxa"/>
            <w:tcBorders>
              <w:top w:val="nil"/>
              <w:left w:val="nil"/>
              <w:bottom w:val="nil"/>
              <w:right w:val="nil"/>
            </w:tcBorders>
            <w:shd w:val="clear" w:color="auto" w:fill="auto"/>
            <w:vAlign w:val="bottom"/>
          </w:tcPr>
          <w:p w14:paraId="254436CF" w14:textId="6BF5828F" w:rsidR="002B721C" w:rsidRPr="001D41EA" w:rsidRDefault="002B721C" w:rsidP="001D41EA">
            <w:pPr>
              <w:spacing w:before="40" w:after="20"/>
              <w:jc w:val="right"/>
              <w:rPr>
                <w:rFonts w:cs="Arial"/>
                <w:sz w:val="18"/>
                <w:szCs w:val="18"/>
              </w:rPr>
            </w:pPr>
            <w:r w:rsidRPr="001D41EA">
              <w:rPr>
                <w:rFonts w:cs="Arial"/>
                <w:sz w:val="18"/>
                <w:szCs w:val="18"/>
              </w:rPr>
              <w:t>1,077</w:t>
            </w:r>
          </w:p>
        </w:tc>
        <w:tc>
          <w:tcPr>
            <w:tcW w:w="1117" w:type="dxa"/>
            <w:tcBorders>
              <w:top w:val="nil"/>
              <w:left w:val="nil"/>
              <w:bottom w:val="nil"/>
              <w:right w:val="nil"/>
            </w:tcBorders>
            <w:shd w:val="clear" w:color="auto" w:fill="auto"/>
            <w:vAlign w:val="bottom"/>
          </w:tcPr>
          <w:p w14:paraId="44F77219" w14:textId="449EA84D" w:rsidR="002B721C" w:rsidRPr="001D41EA" w:rsidRDefault="002B721C" w:rsidP="001D41EA">
            <w:pPr>
              <w:spacing w:before="40" w:after="20"/>
              <w:jc w:val="right"/>
              <w:rPr>
                <w:rFonts w:cs="Arial"/>
                <w:sz w:val="18"/>
                <w:szCs w:val="18"/>
              </w:rPr>
            </w:pPr>
            <w:r w:rsidRPr="001D41EA">
              <w:rPr>
                <w:rFonts w:cs="Arial"/>
                <w:sz w:val="18"/>
                <w:szCs w:val="18"/>
              </w:rPr>
              <w:t>114.4</w:t>
            </w:r>
          </w:p>
        </w:tc>
        <w:tc>
          <w:tcPr>
            <w:tcW w:w="1117" w:type="dxa"/>
            <w:tcBorders>
              <w:top w:val="nil"/>
              <w:left w:val="nil"/>
              <w:bottom w:val="nil"/>
              <w:right w:val="nil"/>
            </w:tcBorders>
            <w:shd w:val="clear" w:color="auto" w:fill="auto"/>
            <w:vAlign w:val="bottom"/>
          </w:tcPr>
          <w:p w14:paraId="63E10D2F" w14:textId="15AB71A9" w:rsidR="002B721C" w:rsidRPr="001D41EA" w:rsidRDefault="002B721C" w:rsidP="001D41EA">
            <w:pPr>
              <w:spacing w:before="40" w:after="20"/>
              <w:jc w:val="right"/>
              <w:rPr>
                <w:rFonts w:cs="Arial"/>
                <w:sz w:val="18"/>
                <w:szCs w:val="18"/>
              </w:rPr>
            </w:pPr>
            <w:r w:rsidRPr="001D41EA">
              <w:rPr>
                <w:rFonts w:cs="Arial"/>
                <w:sz w:val="18"/>
                <w:szCs w:val="18"/>
              </w:rPr>
              <w:t>285,427</w:t>
            </w:r>
          </w:p>
        </w:tc>
        <w:tc>
          <w:tcPr>
            <w:tcW w:w="971" w:type="dxa"/>
            <w:tcBorders>
              <w:top w:val="nil"/>
              <w:left w:val="nil"/>
              <w:bottom w:val="nil"/>
              <w:right w:val="nil"/>
            </w:tcBorders>
            <w:shd w:val="clear" w:color="auto" w:fill="auto"/>
            <w:vAlign w:val="bottom"/>
          </w:tcPr>
          <w:p w14:paraId="4BC3B7B0" w14:textId="6D341225" w:rsidR="002B721C" w:rsidRPr="001D41EA" w:rsidRDefault="002B721C" w:rsidP="001D41EA">
            <w:pPr>
              <w:spacing w:before="40" w:after="20"/>
              <w:jc w:val="right"/>
              <w:rPr>
                <w:rFonts w:cs="Arial"/>
                <w:sz w:val="18"/>
                <w:szCs w:val="18"/>
              </w:rPr>
            </w:pPr>
            <w:r w:rsidRPr="001D41EA">
              <w:rPr>
                <w:rFonts w:cs="Arial"/>
                <w:sz w:val="18"/>
                <w:szCs w:val="18"/>
              </w:rPr>
              <w:t>8,850</w:t>
            </w:r>
          </w:p>
        </w:tc>
        <w:tc>
          <w:tcPr>
            <w:tcW w:w="1228" w:type="dxa"/>
            <w:tcBorders>
              <w:top w:val="nil"/>
              <w:left w:val="nil"/>
              <w:bottom w:val="nil"/>
              <w:right w:val="nil"/>
            </w:tcBorders>
            <w:shd w:val="clear" w:color="auto" w:fill="auto"/>
            <w:vAlign w:val="bottom"/>
          </w:tcPr>
          <w:p w14:paraId="2E6ABF31" w14:textId="01A906AA" w:rsidR="002B721C" w:rsidRPr="001D41EA" w:rsidRDefault="002B721C" w:rsidP="001D41EA">
            <w:pPr>
              <w:spacing w:before="40" w:after="20"/>
              <w:jc w:val="right"/>
              <w:rPr>
                <w:rFonts w:cs="Arial"/>
                <w:sz w:val="18"/>
                <w:szCs w:val="18"/>
              </w:rPr>
            </w:pPr>
            <w:r w:rsidRPr="001D41EA">
              <w:rPr>
                <w:rFonts w:cs="Arial"/>
                <w:sz w:val="18"/>
                <w:szCs w:val="18"/>
              </w:rPr>
              <w:t>5.1%</w:t>
            </w:r>
          </w:p>
        </w:tc>
      </w:tr>
      <w:tr w:rsidR="002B721C" w:rsidRPr="001D41EA" w14:paraId="54B3C7ED"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32C7E6EC" w14:textId="77777777" w:rsidR="002B721C" w:rsidRPr="001D41EA" w:rsidRDefault="002B721C" w:rsidP="001D41EA">
            <w:pPr>
              <w:spacing w:before="40" w:after="20"/>
              <w:rPr>
                <w:rFonts w:cs="Arial"/>
                <w:sz w:val="18"/>
                <w:szCs w:val="18"/>
              </w:rPr>
            </w:pPr>
            <w:r w:rsidRPr="001D41EA">
              <w:rPr>
                <w:rFonts w:cs="Arial"/>
                <w:sz w:val="18"/>
                <w:szCs w:val="18"/>
              </w:rPr>
              <w:t xml:space="preserve">Swan Hill RC </w:t>
            </w:r>
          </w:p>
        </w:tc>
        <w:tc>
          <w:tcPr>
            <w:tcW w:w="1236" w:type="dxa"/>
            <w:tcBorders>
              <w:top w:val="nil"/>
              <w:left w:val="single" w:sz="18" w:space="0" w:color="5F497A" w:themeColor="accent4" w:themeShade="BF"/>
              <w:bottom w:val="nil"/>
              <w:right w:val="nil"/>
            </w:tcBorders>
            <w:shd w:val="clear" w:color="auto" w:fill="auto"/>
            <w:vAlign w:val="bottom"/>
          </w:tcPr>
          <w:p w14:paraId="39F2C7AC" w14:textId="4C71468E" w:rsidR="002B721C" w:rsidRPr="001D41EA" w:rsidRDefault="002B721C" w:rsidP="001D41EA">
            <w:pPr>
              <w:spacing w:before="40" w:after="20"/>
              <w:jc w:val="right"/>
              <w:rPr>
                <w:rFonts w:cs="Arial"/>
                <w:sz w:val="18"/>
                <w:szCs w:val="18"/>
              </w:rPr>
            </w:pPr>
            <w:r w:rsidRPr="001D41EA">
              <w:rPr>
                <w:rFonts w:cs="Arial"/>
                <w:sz w:val="18"/>
                <w:szCs w:val="18"/>
              </w:rPr>
              <w:t>793</w:t>
            </w:r>
          </w:p>
        </w:tc>
        <w:tc>
          <w:tcPr>
            <w:tcW w:w="1397" w:type="dxa"/>
            <w:tcBorders>
              <w:top w:val="nil"/>
              <w:left w:val="nil"/>
              <w:bottom w:val="nil"/>
              <w:right w:val="nil"/>
            </w:tcBorders>
            <w:shd w:val="clear" w:color="auto" w:fill="auto"/>
            <w:vAlign w:val="bottom"/>
          </w:tcPr>
          <w:p w14:paraId="31E2E674" w14:textId="30AC822A" w:rsidR="002B721C" w:rsidRPr="001D41EA" w:rsidRDefault="002B721C" w:rsidP="001D41EA">
            <w:pPr>
              <w:spacing w:before="40" w:after="20"/>
              <w:jc w:val="right"/>
              <w:rPr>
                <w:rFonts w:cs="Arial"/>
                <w:sz w:val="18"/>
                <w:szCs w:val="18"/>
              </w:rPr>
            </w:pPr>
            <w:r w:rsidRPr="001D41EA">
              <w:rPr>
                <w:rFonts w:cs="Arial"/>
                <w:sz w:val="18"/>
                <w:szCs w:val="18"/>
              </w:rPr>
              <w:t>947</w:t>
            </w:r>
          </w:p>
        </w:tc>
        <w:tc>
          <w:tcPr>
            <w:tcW w:w="1117" w:type="dxa"/>
            <w:tcBorders>
              <w:top w:val="nil"/>
              <w:left w:val="nil"/>
              <w:bottom w:val="nil"/>
              <w:right w:val="nil"/>
            </w:tcBorders>
            <w:shd w:val="clear" w:color="auto" w:fill="auto"/>
            <w:vAlign w:val="bottom"/>
          </w:tcPr>
          <w:p w14:paraId="68AFC93A" w14:textId="650A5C9F" w:rsidR="002B721C" w:rsidRPr="001D41EA" w:rsidRDefault="002B721C" w:rsidP="001D41EA">
            <w:pPr>
              <w:spacing w:before="40" w:after="20"/>
              <w:jc w:val="right"/>
              <w:rPr>
                <w:rFonts w:cs="Arial"/>
                <w:sz w:val="18"/>
                <w:szCs w:val="18"/>
              </w:rPr>
            </w:pPr>
            <w:r w:rsidRPr="001D41EA">
              <w:rPr>
                <w:rFonts w:cs="Arial"/>
                <w:sz w:val="18"/>
                <w:szCs w:val="18"/>
              </w:rPr>
              <w:t>48.8</w:t>
            </w:r>
          </w:p>
        </w:tc>
        <w:tc>
          <w:tcPr>
            <w:tcW w:w="1117" w:type="dxa"/>
            <w:tcBorders>
              <w:top w:val="nil"/>
              <w:left w:val="nil"/>
              <w:bottom w:val="nil"/>
              <w:right w:val="nil"/>
            </w:tcBorders>
            <w:shd w:val="clear" w:color="auto" w:fill="auto"/>
            <w:vAlign w:val="bottom"/>
          </w:tcPr>
          <w:p w14:paraId="3AC7B526" w14:textId="59903805" w:rsidR="002B721C" w:rsidRPr="001D41EA" w:rsidRDefault="002B721C" w:rsidP="001D41EA">
            <w:pPr>
              <w:spacing w:before="40" w:after="20"/>
              <w:jc w:val="right"/>
              <w:rPr>
                <w:rFonts w:cs="Arial"/>
                <w:sz w:val="18"/>
                <w:szCs w:val="18"/>
              </w:rPr>
            </w:pPr>
            <w:r w:rsidRPr="001D41EA">
              <w:rPr>
                <w:rFonts w:cs="Arial"/>
                <w:sz w:val="18"/>
                <w:szCs w:val="18"/>
              </w:rPr>
              <w:t>42,173</w:t>
            </w:r>
          </w:p>
        </w:tc>
        <w:tc>
          <w:tcPr>
            <w:tcW w:w="971" w:type="dxa"/>
            <w:tcBorders>
              <w:top w:val="nil"/>
              <w:left w:val="nil"/>
              <w:bottom w:val="nil"/>
              <w:right w:val="nil"/>
            </w:tcBorders>
            <w:shd w:val="clear" w:color="auto" w:fill="auto"/>
            <w:vAlign w:val="bottom"/>
          </w:tcPr>
          <w:p w14:paraId="1A7D4F0B" w14:textId="0CC2061D" w:rsidR="002B721C" w:rsidRPr="001D41EA" w:rsidRDefault="002B721C" w:rsidP="001D41EA">
            <w:pPr>
              <w:spacing w:before="40" w:after="20"/>
              <w:jc w:val="right"/>
              <w:rPr>
                <w:rFonts w:cs="Arial"/>
                <w:sz w:val="18"/>
                <w:szCs w:val="18"/>
              </w:rPr>
            </w:pPr>
            <w:r w:rsidRPr="001D41EA">
              <w:rPr>
                <w:rFonts w:cs="Arial"/>
                <w:sz w:val="18"/>
                <w:szCs w:val="18"/>
              </w:rPr>
              <w:t>2,032</w:t>
            </w:r>
          </w:p>
        </w:tc>
        <w:tc>
          <w:tcPr>
            <w:tcW w:w="1228" w:type="dxa"/>
            <w:tcBorders>
              <w:top w:val="nil"/>
              <w:left w:val="nil"/>
              <w:bottom w:val="nil"/>
              <w:right w:val="nil"/>
            </w:tcBorders>
            <w:shd w:val="clear" w:color="auto" w:fill="auto"/>
            <w:vAlign w:val="bottom"/>
          </w:tcPr>
          <w:p w14:paraId="544E2379" w14:textId="0A714867" w:rsidR="002B721C" w:rsidRPr="001D41EA" w:rsidRDefault="002B721C" w:rsidP="001D41EA">
            <w:pPr>
              <w:spacing w:before="40" w:after="20"/>
              <w:jc w:val="right"/>
              <w:rPr>
                <w:rFonts w:cs="Arial"/>
                <w:sz w:val="18"/>
                <w:szCs w:val="18"/>
              </w:rPr>
            </w:pPr>
            <w:r w:rsidRPr="001D41EA">
              <w:rPr>
                <w:rFonts w:cs="Arial"/>
                <w:sz w:val="18"/>
                <w:szCs w:val="18"/>
              </w:rPr>
              <w:t>5.9%</w:t>
            </w:r>
          </w:p>
        </w:tc>
      </w:tr>
      <w:tr w:rsidR="002B721C" w:rsidRPr="001D41EA" w14:paraId="0877C9FE"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1009A951" w14:textId="77777777" w:rsidR="002B721C" w:rsidRPr="001D41EA" w:rsidRDefault="002B721C" w:rsidP="001D41EA">
            <w:pPr>
              <w:spacing w:before="40" w:after="20"/>
              <w:rPr>
                <w:rFonts w:cs="Arial"/>
                <w:sz w:val="18"/>
                <w:szCs w:val="18"/>
              </w:rPr>
            </w:pPr>
            <w:r w:rsidRPr="001D41EA">
              <w:rPr>
                <w:rFonts w:cs="Arial"/>
                <w:sz w:val="18"/>
                <w:szCs w:val="18"/>
              </w:rPr>
              <w:t xml:space="preserve">Towong S </w:t>
            </w:r>
          </w:p>
        </w:tc>
        <w:tc>
          <w:tcPr>
            <w:tcW w:w="1236" w:type="dxa"/>
            <w:tcBorders>
              <w:top w:val="nil"/>
              <w:left w:val="single" w:sz="18" w:space="0" w:color="5F497A" w:themeColor="accent4" w:themeShade="BF"/>
              <w:bottom w:val="nil"/>
              <w:right w:val="nil"/>
            </w:tcBorders>
            <w:shd w:val="clear" w:color="auto" w:fill="auto"/>
            <w:vAlign w:val="bottom"/>
          </w:tcPr>
          <w:p w14:paraId="5DB13036" w14:textId="36F33DEF" w:rsidR="002B721C" w:rsidRPr="001D41EA" w:rsidRDefault="002B721C" w:rsidP="001D41EA">
            <w:pPr>
              <w:spacing w:before="40" w:after="20"/>
              <w:jc w:val="right"/>
              <w:rPr>
                <w:rFonts w:cs="Arial"/>
                <w:sz w:val="18"/>
                <w:szCs w:val="18"/>
              </w:rPr>
            </w:pPr>
            <w:r w:rsidRPr="001D41EA">
              <w:rPr>
                <w:rFonts w:cs="Arial"/>
                <w:sz w:val="18"/>
                <w:szCs w:val="18"/>
              </w:rPr>
              <w:t>840</w:t>
            </w:r>
          </w:p>
        </w:tc>
        <w:tc>
          <w:tcPr>
            <w:tcW w:w="1397" w:type="dxa"/>
            <w:tcBorders>
              <w:top w:val="nil"/>
              <w:left w:val="nil"/>
              <w:bottom w:val="nil"/>
              <w:right w:val="nil"/>
            </w:tcBorders>
            <w:shd w:val="clear" w:color="auto" w:fill="auto"/>
            <w:vAlign w:val="bottom"/>
          </w:tcPr>
          <w:p w14:paraId="719372C3" w14:textId="2C9BBB3D" w:rsidR="002B721C" w:rsidRPr="001D41EA" w:rsidRDefault="002B721C" w:rsidP="001D41EA">
            <w:pPr>
              <w:spacing w:before="40" w:after="20"/>
              <w:jc w:val="right"/>
              <w:rPr>
                <w:rFonts w:cs="Arial"/>
                <w:sz w:val="18"/>
                <w:szCs w:val="18"/>
              </w:rPr>
            </w:pPr>
            <w:r w:rsidRPr="001D41EA">
              <w:rPr>
                <w:rFonts w:cs="Arial"/>
                <w:sz w:val="18"/>
                <w:szCs w:val="18"/>
              </w:rPr>
              <w:t>992</w:t>
            </w:r>
          </w:p>
        </w:tc>
        <w:tc>
          <w:tcPr>
            <w:tcW w:w="1117" w:type="dxa"/>
            <w:tcBorders>
              <w:top w:val="nil"/>
              <w:left w:val="nil"/>
              <w:bottom w:val="nil"/>
              <w:right w:val="nil"/>
            </w:tcBorders>
            <w:shd w:val="clear" w:color="auto" w:fill="auto"/>
            <w:vAlign w:val="bottom"/>
          </w:tcPr>
          <w:p w14:paraId="40A6994D" w14:textId="6D6ADC96" w:rsidR="002B721C" w:rsidRPr="001D41EA" w:rsidRDefault="002B721C" w:rsidP="001D41EA">
            <w:pPr>
              <w:spacing w:before="40" w:after="20"/>
              <w:jc w:val="right"/>
              <w:rPr>
                <w:rFonts w:cs="Arial"/>
                <w:sz w:val="18"/>
                <w:szCs w:val="18"/>
              </w:rPr>
            </w:pPr>
            <w:r w:rsidRPr="001D41EA">
              <w:rPr>
                <w:rFonts w:cs="Arial"/>
                <w:sz w:val="18"/>
                <w:szCs w:val="18"/>
              </w:rPr>
              <w:t>48.0</w:t>
            </w:r>
          </w:p>
        </w:tc>
        <w:tc>
          <w:tcPr>
            <w:tcW w:w="1117" w:type="dxa"/>
            <w:tcBorders>
              <w:top w:val="nil"/>
              <w:left w:val="nil"/>
              <w:bottom w:val="nil"/>
              <w:right w:val="nil"/>
            </w:tcBorders>
            <w:shd w:val="clear" w:color="auto" w:fill="auto"/>
            <w:vAlign w:val="bottom"/>
          </w:tcPr>
          <w:p w14:paraId="5253FF8E" w14:textId="379D66FF" w:rsidR="002B721C" w:rsidRPr="001D41EA" w:rsidRDefault="002B721C" w:rsidP="001D41EA">
            <w:pPr>
              <w:spacing w:before="40" w:after="20"/>
              <w:jc w:val="right"/>
              <w:rPr>
                <w:rFonts w:cs="Arial"/>
                <w:sz w:val="18"/>
                <w:szCs w:val="18"/>
              </w:rPr>
            </w:pPr>
            <w:r w:rsidRPr="001D41EA">
              <w:rPr>
                <w:rFonts w:cs="Arial"/>
                <w:sz w:val="18"/>
                <w:szCs w:val="18"/>
              </w:rPr>
              <w:t>6,202</w:t>
            </w:r>
          </w:p>
        </w:tc>
        <w:tc>
          <w:tcPr>
            <w:tcW w:w="971" w:type="dxa"/>
            <w:tcBorders>
              <w:top w:val="nil"/>
              <w:left w:val="nil"/>
              <w:bottom w:val="nil"/>
              <w:right w:val="nil"/>
            </w:tcBorders>
            <w:shd w:val="clear" w:color="auto" w:fill="auto"/>
            <w:vAlign w:val="bottom"/>
          </w:tcPr>
          <w:p w14:paraId="7B7FC997" w14:textId="2C850BE5" w:rsidR="002B721C" w:rsidRPr="001D41EA" w:rsidRDefault="002B721C" w:rsidP="001D41EA">
            <w:pPr>
              <w:spacing w:before="40" w:after="20"/>
              <w:jc w:val="right"/>
              <w:rPr>
                <w:rFonts w:cs="Arial"/>
                <w:sz w:val="18"/>
                <w:szCs w:val="18"/>
              </w:rPr>
            </w:pPr>
            <w:r w:rsidRPr="001D41EA">
              <w:rPr>
                <w:rFonts w:cs="Arial"/>
                <w:sz w:val="18"/>
                <w:szCs w:val="18"/>
              </w:rPr>
              <w:t>1,024</w:t>
            </w:r>
          </w:p>
        </w:tc>
        <w:tc>
          <w:tcPr>
            <w:tcW w:w="1228" w:type="dxa"/>
            <w:tcBorders>
              <w:top w:val="nil"/>
              <w:left w:val="nil"/>
              <w:bottom w:val="nil"/>
              <w:right w:val="nil"/>
            </w:tcBorders>
            <w:shd w:val="clear" w:color="auto" w:fill="auto"/>
            <w:vAlign w:val="bottom"/>
          </w:tcPr>
          <w:p w14:paraId="7065B258" w14:textId="07262012" w:rsidR="002B721C" w:rsidRPr="001D41EA" w:rsidRDefault="002B721C" w:rsidP="001D41EA">
            <w:pPr>
              <w:spacing w:before="40" w:after="20"/>
              <w:jc w:val="right"/>
              <w:rPr>
                <w:rFonts w:cs="Arial"/>
                <w:sz w:val="18"/>
                <w:szCs w:val="18"/>
              </w:rPr>
            </w:pPr>
            <w:r w:rsidRPr="001D41EA">
              <w:rPr>
                <w:rFonts w:cs="Arial"/>
                <w:sz w:val="18"/>
                <w:szCs w:val="18"/>
              </w:rPr>
              <w:t>2.8%</w:t>
            </w:r>
          </w:p>
        </w:tc>
      </w:tr>
      <w:tr w:rsidR="002B721C" w:rsidRPr="001D41EA" w14:paraId="5C466880"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768CB7AA" w14:textId="77777777" w:rsidR="002B721C" w:rsidRPr="001D41EA" w:rsidRDefault="002B721C" w:rsidP="001D41EA">
            <w:pPr>
              <w:spacing w:before="40" w:after="20"/>
              <w:rPr>
                <w:rFonts w:cs="Arial"/>
                <w:sz w:val="18"/>
                <w:szCs w:val="18"/>
              </w:rPr>
            </w:pPr>
            <w:r w:rsidRPr="001D41EA">
              <w:rPr>
                <w:rFonts w:cs="Arial"/>
                <w:sz w:val="18"/>
                <w:szCs w:val="18"/>
              </w:rPr>
              <w:t xml:space="preserve">Wangaratta RC </w:t>
            </w:r>
          </w:p>
        </w:tc>
        <w:tc>
          <w:tcPr>
            <w:tcW w:w="1236" w:type="dxa"/>
            <w:tcBorders>
              <w:top w:val="nil"/>
              <w:left w:val="single" w:sz="18" w:space="0" w:color="5F497A" w:themeColor="accent4" w:themeShade="BF"/>
              <w:bottom w:val="nil"/>
              <w:right w:val="nil"/>
            </w:tcBorders>
            <w:shd w:val="clear" w:color="auto" w:fill="auto"/>
            <w:vAlign w:val="bottom"/>
          </w:tcPr>
          <w:p w14:paraId="0F6EDCE9" w14:textId="5CA8F7C7" w:rsidR="002B721C" w:rsidRPr="001D41EA" w:rsidRDefault="002B721C" w:rsidP="001D41EA">
            <w:pPr>
              <w:spacing w:before="40" w:after="20"/>
              <w:jc w:val="right"/>
              <w:rPr>
                <w:rFonts w:cs="Arial"/>
                <w:sz w:val="18"/>
                <w:szCs w:val="18"/>
              </w:rPr>
            </w:pPr>
            <w:r w:rsidRPr="001D41EA">
              <w:rPr>
                <w:rFonts w:cs="Arial"/>
                <w:sz w:val="18"/>
                <w:szCs w:val="18"/>
              </w:rPr>
              <w:t>835</w:t>
            </w:r>
          </w:p>
        </w:tc>
        <w:tc>
          <w:tcPr>
            <w:tcW w:w="1397" w:type="dxa"/>
            <w:tcBorders>
              <w:top w:val="nil"/>
              <w:left w:val="nil"/>
              <w:bottom w:val="nil"/>
              <w:right w:val="nil"/>
            </w:tcBorders>
            <w:shd w:val="clear" w:color="auto" w:fill="auto"/>
            <w:vAlign w:val="bottom"/>
          </w:tcPr>
          <w:p w14:paraId="2B1D9CB4" w14:textId="593671B2" w:rsidR="002B721C" w:rsidRPr="001D41EA" w:rsidRDefault="002B721C" w:rsidP="001D41EA">
            <w:pPr>
              <w:spacing w:before="40" w:after="20"/>
              <w:jc w:val="right"/>
              <w:rPr>
                <w:rFonts w:cs="Arial"/>
                <w:sz w:val="18"/>
                <w:szCs w:val="18"/>
              </w:rPr>
            </w:pPr>
            <w:r w:rsidRPr="001D41EA">
              <w:rPr>
                <w:rFonts w:cs="Arial"/>
                <w:sz w:val="18"/>
                <w:szCs w:val="18"/>
              </w:rPr>
              <w:t>983</w:t>
            </w:r>
          </w:p>
        </w:tc>
        <w:tc>
          <w:tcPr>
            <w:tcW w:w="1117" w:type="dxa"/>
            <w:tcBorders>
              <w:top w:val="nil"/>
              <w:left w:val="nil"/>
              <w:bottom w:val="nil"/>
              <w:right w:val="nil"/>
            </w:tcBorders>
            <w:shd w:val="clear" w:color="auto" w:fill="auto"/>
            <w:vAlign w:val="bottom"/>
          </w:tcPr>
          <w:p w14:paraId="2A1178DD" w14:textId="18B4A2CB" w:rsidR="002B721C" w:rsidRPr="001D41EA" w:rsidRDefault="002B721C" w:rsidP="001D41EA">
            <w:pPr>
              <w:spacing w:before="40" w:after="20"/>
              <w:jc w:val="right"/>
              <w:rPr>
                <w:rFonts w:cs="Arial"/>
                <w:sz w:val="18"/>
                <w:szCs w:val="18"/>
              </w:rPr>
            </w:pPr>
            <w:r w:rsidRPr="001D41EA">
              <w:rPr>
                <w:rFonts w:cs="Arial"/>
                <w:sz w:val="18"/>
                <w:szCs w:val="18"/>
              </w:rPr>
              <w:t>41.1</w:t>
            </w:r>
          </w:p>
        </w:tc>
        <w:tc>
          <w:tcPr>
            <w:tcW w:w="1117" w:type="dxa"/>
            <w:tcBorders>
              <w:top w:val="nil"/>
              <w:left w:val="nil"/>
              <w:bottom w:val="nil"/>
              <w:right w:val="nil"/>
            </w:tcBorders>
            <w:shd w:val="clear" w:color="auto" w:fill="auto"/>
            <w:vAlign w:val="bottom"/>
          </w:tcPr>
          <w:p w14:paraId="7B567718" w14:textId="64D5F327" w:rsidR="002B721C" w:rsidRPr="001D41EA" w:rsidRDefault="002B721C" w:rsidP="001D41EA">
            <w:pPr>
              <w:spacing w:before="40" w:after="20"/>
              <w:jc w:val="right"/>
              <w:rPr>
                <w:rFonts w:cs="Arial"/>
                <w:sz w:val="18"/>
                <w:szCs w:val="18"/>
              </w:rPr>
            </w:pPr>
            <w:r w:rsidRPr="001D41EA">
              <w:rPr>
                <w:rFonts w:cs="Arial"/>
                <w:sz w:val="18"/>
                <w:szCs w:val="18"/>
              </w:rPr>
              <w:t>84,501</w:t>
            </w:r>
          </w:p>
        </w:tc>
        <w:tc>
          <w:tcPr>
            <w:tcW w:w="971" w:type="dxa"/>
            <w:tcBorders>
              <w:top w:val="nil"/>
              <w:left w:val="nil"/>
              <w:bottom w:val="nil"/>
              <w:right w:val="nil"/>
            </w:tcBorders>
            <w:shd w:val="clear" w:color="auto" w:fill="auto"/>
            <w:vAlign w:val="bottom"/>
          </w:tcPr>
          <w:p w14:paraId="3F23D87E" w14:textId="7EDDFBDA" w:rsidR="002B721C" w:rsidRPr="001D41EA" w:rsidRDefault="002B721C" w:rsidP="001D41EA">
            <w:pPr>
              <w:spacing w:before="40" w:after="20"/>
              <w:jc w:val="right"/>
              <w:rPr>
                <w:rFonts w:cs="Arial"/>
                <w:sz w:val="18"/>
                <w:szCs w:val="18"/>
              </w:rPr>
            </w:pPr>
            <w:r w:rsidRPr="001D41EA">
              <w:rPr>
                <w:rFonts w:cs="Arial"/>
                <w:sz w:val="18"/>
                <w:szCs w:val="18"/>
              </w:rPr>
              <w:t>2,905</w:t>
            </w:r>
          </w:p>
        </w:tc>
        <w:tc>
          <w:tcPr>
            <w:tcW w:w="1228" w:type="dxa"/>
            <w:tcBorders>
              <w:top w:val="nil"/>
              <w:left w:val="nil"/>
              <w:bottom w:val="nil"/>
              <w:right w:val="nil"/>
            </w:tcBorders>
            <w:shd w:val="clear" w:color="auto" w:fill="auto"/>
            <w:vAlign w:val="bottom"/>
          </w:tcPr>
          <w:p w14:paraId="5D352E84" w14:textId="2513CE7C" w:rsidR="002B721C" w:rsidRPr="001D41EA" w:rsidRDefault="002B721C" w:rsidP="001D41EA">
            <w:pPr>
              <w:spacing w:before="40" w:after="20"/>
              <w:jc w:val="right"/>
              <w:rPr>
                <w:rFonts w:cs="Arial"/>
                <w:sz w:val="18"/>
                <w:szCs w:val="18"/>
              </w:rPr>
            </w:pPr>
            <w:r w:rsidRPr="001D41EA">
              <w:rPr>
                <w:rFonts w:cs="Arial"/>
                <w:sz w:val="18"/>
                <w:szCs w:val="18"/>
              </w:rPr>
              <w:t>7.1%</w:t>
            </w:r>
          </w:p>
        </w:tc>
      </w:tr>
      <w:tr w:rsidR="002B721C" w:rsidRPr="001D41EA" w14:paraId="1220D9E7"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1423DB95" w14:textId="77777777" w:rsidR="002B721C" w:rsidRPr="001D41EA" w:rsidRDefault="002B721C" w:rsidP="001D41EA">
            <w:pPr>
              <w:spacing w:before="40" w:after="20"/>
              <w:rPr>
                <w:rFonts w:cs="Arial"/>
                <w:sz w:val="18"/>
                <w:szCs w:val="18"/>
              </w:rPr>
            </w:pPr>
            <w:r w:rsidRPr="001D41EA">
              <w:rPr>
                <w:rFonts w:cs="Arial"/>
                <w:sz w:val="18"/>
                <w:szCs w:val="18"/>
              </w:rPr>
              <w:t xml:space="preserve">Warrnambool C </w:t>
            </w:r>
          </w:p>
        </w:tc>
        <w:tc>
          <w:tcPr>
            <w:tcW w:w="1236" w:type="dxa"/>
            <w:tcBorders>
              <w:top w:val="nil"/>
              <w:left w:val="single" w:sz="18" w:space="0" w:color="5F497A" w:themeColor="accent4" w:themeShade="BF"/>
              <w:bottom w:val="nil"/>
              <w:right w:val="nil"/>
            </w:tcBorders>
            <w:shd w:val="clear" w:color="auto" w:fill="auto"/>
            <w:vAlign w:val="bottom"/>
          </w:tcPr>
          <w:p w14:paraId="3EAB97E1" w14:textId="03E5414B" w:rsidR="002B721C" w:rsidRPr="001D41EA" w:rsidRDefault="002B721C" w:rsidP="001D41EA">
            <w:pPr>
              <w:spacing w:before="40" w:after="20"/>
              <w:jc w:val="right"/>
              <w:rPr>
                <w:rFonts w:cs="Arial"/>
                <w:sz w:val="18"/>
                <w:szCs w:val="18"/>
              </w:rPr>
            </w:pPr>
            <w:r w:rsidRPr="001D41EA">
              <w:rPr>
                <w:rFonts w:cs="Arial"/>
                <w:sz w:val="18"/>
                <w:szCs w:val="18"/>
              </w:rPr>
              <w:t>828</w:t>
            </w:r>
          </w:p>
        </w:tc>
        <w:tc>
          <w:tcPr>
            <w:tcW w:w="1397" w:type="dxa"/>
            <w:tcBorders>
              <w:top w:val="nil"/>
              <w:left w:val="nil"/>
              <w:bottom w:val="nil"/>
              <w:right w:val="nil"/>
            </w:tcBorders>
            <w:shd w:val="clear" w:color="auto" w:fill="auto"/>
            <w:vAlign w:val="bottom"/>
          </w:tcPr>
          <w:p w14:paraId="57EE67C8" w14:textId="0D069059" w:rsidR="002B721C" w:rsidRPr="001D41EA" w:rsidRDefault="002B721C" w:rsidP="001D41EA">
            <w:pPr>
              <w:spacing w:before="40" w:after="20"/>
              <w:jc w:val="right"/>
              <w:rPr>
                <w:rFonts w:cs="Arial"/>
                <w:sz w:val="18"/>
                <w:szCs w:val="18"/>
              </w:rPr>
            </w:pPr>
            <w:r w:rsidRPr="001D41EA">
              <w:rPr>
                <w:rFonts w:cs="Arial"/>
                <w:sz w:val="18"/>
                <w:szCs w:val="18"/>
              </w:rPr>
              <w:t>986</w:t>
            </w:r>
          </w:p>
        </w:tc>
        <w:tc>
          <w:tcPr>
            <w:tcW w:w="1117" w:type="dxa"/>
            <w:tcBorders>
              <w:top w:val="nil"/>
              <w:left w:val="nil"/>
              <w:bottom w:val="nil"/>
              <w:right w:val="nil"/>
            </w:tcBorders>
            <w:shd w:val="clear" w:color="auto" w:fill="auto"/>
            <w:vAlign w:val="bottom"/>
          </w:tcPr>
          <w:p w14:paraId="701043B6" w14:textId="4FDC5F5A" w:rsidR="002B721C" w:rsidRPr="001D41EA" w:rsidRDefault="002B721C" w:rsidP="001D41EA">
            <w:pPr>
              <w:spacing w:before="40" w:after="20"/>
              <w:jc w:val="right"/>
              <w:rPr>
                <w:rFonts w:cs="Arial"/>
                <w:sz w:val="18"/>
                <w:szCs w:val="18"/>
              </w:rPr>
            </w:pPr>
            <w:r w:rsidRPr="001D41EA">
              <w:rPr>
                <w:rFonts w:cs="Arial"/>
                <w:sz w:val="18"/>
                <w:szCs w:val="18"/>
              </w:rPr>
              <w:t>52.6</w:t>
            </w:r>
          </w:p>
        </w:tc>
        <w:tc>
          <w:tcPr>
            <w:tcW w:w="1117" w:type="dxa"/>
            <w:tcBorders>
              <w:top w:val="nil"/>
              <w:left w:val="nil"/>
              <w:bottom w:val="nil"/>
              <w:right w:val="nil"/>
            </w:tcBorders>
            <w:shd w:val="clear" w:color="auto" w:fill="auto"/>
            <w:vAlign w:val="bottom"/>
          </w:tcPr>
          <w:p w14:paraId="3B029813" w14:textId="5442E24D" w:rsidR="002B721C" w:rsidRPr="001D41EA" w:rsidRDefault="002B721C" w:rsidP="001D41EA">
            <w:pPr>
              <w:spacing w:before="40" w:after="20"/>
              <w:jc w:val="right"/>
              <w:rPr>
                <w:rFonts w:cs="Arial"/>
                <w:sz w:val="18"/>
                <w:szCs w:val="18"/>
              </w:rPr>
            </w:pPr>
            <w:r w:rsidRPr="001D41EA">
              <w:rPr>
                <w:rFonts w:cs="Arial"/>
                <w:sz w:val="18"/>
                <w:szCs w:val="18"/>
              </w:rPr>
              <w:t>106,216</w:t>
            </w:r>
          </w:p>
        </w:tc>
        <w:tc>
          <w:tcPr>
            <w:tcW w:w="971" w:type="dxa"/>
            <w:tcBorders>
              <w:top w:val="nil"/>
              <w:left w:val="nil"/>
              <w:bottom w:val="nil"/>
              <w:right w:val="nil"/>
            </w:tcBorders>
            <w:shd w:val="clear" w:color="auto" w:fill="auto"/>
            <w:vAlign w:val="bottom"/>
          </w:tcPr>
          <w:p w14:paraId="6D90ED96" w14:textId="24F07F50" w:rsidR="002B721C" w:rsidRPr="001D41EA" w:rsidRDefault="002B721C" w:rsidP="001D41EA">
            <w:pPr>
              <w:spacing w:before="40" w:after="20"/>
              <w:jc w:val="right"/>
              <w:rPr>
                <w:rFonts w:cs="Arial"/>
                <w:sz w:val="18"/>
                <w:szCs w:val="18"/>
              </w:rPr>
            </w:pPr>
            <w:r w:rsidRPr="001D41EA">
              <w:rPr>
                <w:rFonts w:cs="Arial"/>
                <w:sz w:val="18"/>
                <w:szCs w:val="18"/>
              </w:rPr>
              <w:t>3,047</w:t>
            </w:r>
          </w:p>
        </w:tc>
        <w:tc>
          <w:tcPr>
            <w:tcW w:w="1228" w:type="dxa"/>
            <w:tcBorders>
              <w:top w:val="nil"/>
              <w:left w:val="nil"/>
              <w:bottom w:val="nil"/>
              <w:right w:val="nil"/>
            </w:tcBorders>
            <w:shd w:val="clear" w:color="auto" w:fill="auto"/>
            <w:vAlign w:val="bottom"/>
          </w:tcPr>
          <w:p w14:paraId="6BF787C7" w14:textId="3950E3A6" w:rsidR="002B721C" w:rsidRPr="001D41EA" w:rsidRDefault="002B721C" w:rsidP="001D41EA">
            <w:pPr>
              <w:spacing w:before="40" w:after="20"/>
              <w:jc w:val="right"/>
              <w:rPr>
                <w:rFonts w:cs="Arial"/>
                <w:sz w:val="18"/>
                <w:szCs w:val="18"/>
              </w:rPr>
            </w:pPr>
            <w:r w:rsidRPr="001D41EA">
              <w:rPr>
                <w:rFonts w:cs="Arial"/>
                <w:sz w:val="18"/>
                <w:szCs w:val="18"/>
              </w:rPr>
              <w:t>11.3%</w:t>
            </w:r>
          </w:p>
        </w:tc>
      </w:tr>
      <w:tr w:rsidR="002B721C" w:rsidRPr="001D41EA" w14:paraId="2B64CFED"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11542918" w14:textId="77777777" w:rsidR="002B721C" w:rsidRPr="001D41EA" w:rsidRDefault="002B721C" w:rsidP="001D41EA">
            <w:pPr>
              <w:spacing w:before="40" w:after="20"/>
              <w:rPr>
                <w:rFonts w:cs="Arial"/>
                <w:sz w:val="18"/>
                <w:szCs w:val="18"/>
              </w:rPr>
            </w:pPr>
            <w:r w:rsidRPr="001D41EA">
              <w:rPr>
                <w:rFonts w:cs="Arial"/>
                <w:sz w:val="18"/>
                <w:szCs w:val="18"/>
              </w:rPr>
              <w:t xml:space="preserve">Wellington S </w:t>
            </w:r>
          </w:p>
        </w:tc>
        <w:tc>
          <w:tcPr>
            <w:tcW w:w="1236" w:type="dxa"/>
            <w:tcBorders>
              <w:top w:val="nil"/>
              <w:left w:val="single" w:sz="18" w:space="0" w:color="5F497A" w:themeColor="accent4" w:themeShade="BF"/>
              <w:bottom w:val="nil"/>
              <w:right w:val="nil"/>
            </w:tcBorders>
            <w:shd w:val="clear" w:color="auto" w:fill="auto"/>
            <w:vAlign w:val="bottom"/>
          </w:tcPr>
          <w:p w14:paraId="64B93DB5" w14:textId="6F3A2AFF" w:rsidR="002B721C" w:rsidRPr="001D41EA" w:rsidRDefault="002B721C" w:rsidP="001D41EA">
            <w:pPr>
              <w:spacing w:before="40" w:after="20"/>
              <w:jc w:val="right"/>
              <w:rPr>
                <w:rFonts w:cs="Arial"/>
                <w:sz w:val="18"/>
                <w:szCs w:val="18"/>
              </w:rPr>
            </w:pPr>
            <w:r w:rsidRPr="001D41EA">
              <w:rPr>
                <w:rFonts w:cs="Arial"/>
                <w:sz w:val="18"/>
                <w:szCs w:val="18"/>
              </w:rPr>
              <w:t>828</w:t>
            </w:r>
          </w:p>
        </w:tc>
        <w:tc>
          <w:tcPr>
            <w:tcW w:w="1397" w:type="dxa"/>
            <w:tcBorders>
              <w:top w:val="nil"/>
              <w:left w:val="nil"/>
              <w:bottom w:val="nil"/>
              <w:right w:val="nil"/>
            </w:tcBorders>
            <w:shd w:val="clear" w:color="auto" w:fill="auto"/>
            <w:vAlign w:val="bottom"/>
          </w:tcPr>
          <w:p w14:paraId="3181273D" w14:textId="259074B8" w:rsidR="002B721C" w:rsidRPr="001D41EA" w:rsidRDefault="002B721C" w:rsidP="001D41EA">
            <w:pPr>
              <w:spacing w:before="40" w:after="20"/>
              <w:jc w:val="right"/>
              <w:rPr>
                <w:rFonts w:cs="Arial"/>
                <w:sz w:val="18"/>
                <w:szCs w:val="18"/>
              </w:rPr>
            </w:pPr>
            <w:r w:rsidRPr="001D41EA">
              <w:rPr>
                <w:rFonts w:cs="Arial"/>
                <w:sz w:val="18"/>
                <w:szCs w:val="18"/>
              </w:rPr>
              <w:t>974</w:t>
            </w:r>
          </w:p>
        </w:tc>
        <w:tc>
          <w:tcPr>
            <w:tcW w:w="1117" w:type="dxa"/>
            <w:tcBorders>
              <w:top w:val="nil"/>
              <w:left w:val="nil"/>
              <w:bottom w:val="nil"/>
              <w:right w:val="nil"/>
            </w:tcBorders>
            <w:shd w:val="clear" w:color="auto" w:fill="auto"/>
            <w:vAlign w:val="bottom"/>
          </w:tcPr>
          <w:p w14:paraId="42CB2ADF" w14:textId="31DA88E4" w:rsidR="002B721C" w:rsidRPr="001D41EA" w:rsidRDefault="002B721C" w:rsidP="001D41EA">
            <w:pPr>
              <w:spacing w:before="40" w:after="20"/>
              <w:jc w:val="right"/>
              <w:rPr>
                <w:rFonts w:cs="Arial"/>
                <w:sz w:val="18"/>
                <w:szCs w:val="18"/>
              </w:rPr>
            </w:pPr>
            <w:r w:rsidRPr="001D41EA">
              <w:rPr>
                <w:rFonts w:cs="Arial"/>
                <w:sz w:val="18"/>
                <w:szCs w:val="18"/>
              </w:rPr>
              <w:t>38.7</w:t>
            </w:r>
          </w:p>
        </w:tc>
        <w:tc>
          <w:tcPr>
            <w:tcW w:w="1117" w:type="dxa"/>
            <w:tcBorders>
              <w:top w:val="nil"/>
              <w:left w:val="nil"/>
              <w:bottom w:val="nil"/>
              <w:right w:val="nil"/>
            </w:tcBorders>
            <w:shd w:val="clear" w:color="auto" w:fill="auto"/>
            <w:vAlign w:val="bottom"/>
          </w:tcPr>
          <w:p w14:paraId="07389371" w14:textId="27C268B3" w:rsidR="002B721C" w:rsidRPr="001D41EA" w:rsidRDefault="002B721C" w:rsidP="001D41EA">
            <w:pPr>
              <w:spacing w:before="40" w:after="20"/>
              <w:jc w:val="right"/>
              <w:rPr>
                <w:rFonts w:cs="Arial"/>
                <w:sz w:val="18"/>
                <w:szCs w:val="18"/>
              </w:rPr>
            </w:pPr>
            <w:r w:rsidRPr="001D41EA">
              <w:rPr>
                <w:rFonts w:cs="Arial"/>
                <w:sz w:val="18"/>
                <w:szCs w:val="18"/>
              </w:rPr>
              <w:t>121,413</w:t>
            </w:r>
          </w:p>
        </w:tc>
        <w:tc>
          <w:tcPr>
            <w:tcW w:w="971" w:type="dxa"/>
            <w:tcBorders>
              <w:top w:val="nil"/>
              <w:left w:val="nil"/>
              <w:bottom w:val="nil"/>
              <w:right w:val="nil"/>
            </w:tcBorders>
            <w:shd w:val="clear" w:color="auto" w:fill="auto"/>
            <w:vAlign w:val="bottom"/>
          </w:tcPr>
          <w:p w14:paraId="207D1525" w14:textId="683754A5" w:rsidR="002B721C" w:rsidRPr="001D41EA" w:rsidRDefault="002B721C" w:rsidP="001D41EA">
            <w:pPr>
              <w:spacing w:before="40" w:after="20"/>
              <w:jc w:val="right"/>
              <w:rPr>
                <w:rFonts w:cs="Arial"/>
                <w:sz w:val="18"/>
                <w:szCs w:val="18"/>
              </w:rPr>
            </w:pPr>
            <w:r w:rsidRPr="001D41EA">
              <w:rPr>
                <w:rFonts w:cs="Arial"/>
                <w:sz w:val="18"/>
                <w:szCs w:val="18"/>
              </w:rPr>
              <w:t>2,758</w:t>
            </w:r>
          </w:p>
        </w:tc>
        <w:tc>
          <w:tcPr>
            <w:tcW w:w="1228" w:type="dxa"/>
            <w:tcBorders>
              <w:top w:val="nil"/>
              <w:left w:val="nil"/>
              <w:bottom w:val="nil"/>
              <w:right w:val="nil"/>
            </w:tcBorders>
            <w:shd w:val="clear" w:color="auto" w:fill="auto"/>
            <w:vAlign w:val="bottom"/>
          </w:tcPr>
          <w:p w14:paraId="79A0DDAB" w14:textId="2DB731EF" w:rsidR="002B721C" w:rsidRPr="001D41EA" w:rsidRDefault="002B721C" w:rsidP="001D41EA">
            <w:pPr>
              <w:spacing w:before="40" w:after="20"/>
              <w:jc w:val="right"/>
              <w:rPr>
                <w:rFonts w:cs="Arial"/>
                <w:sz w:val="18"/>
                <w:szCs w:val="18"/>
              </w:rPr>
            </w:pPr>
            <w:r w:rsidRPr="001D41EA">
              <w:rPr>
                <w:rFonts w:cs="Arial"/>
                <w:sz w:val="18"/>
                <w:szCs w:val="18"/>
              </w:rPr>
              <w:t>24.7%</w:t>
            </w:r>
          </w:p>
        </w:tc>
      </w:tr>
      <w:tr w:rsidR="002B721C" w:rsidRPr="001D41EA" w14:paraId="337F85EC"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558972AA" w14:textId="77777777" w:rsidR="002B721C" w:rsidRPr="001D41EA" w:rsidRDefault="002B721C" w:rsidP="001D41EA">
            <w:pPr>
              <w:spacing w:before="40" w:after="20"/>
              <w:rPr>
                <w:rFonts w:cs="Arial"/>
                <w:sz w:val="18"/>
                <w:szCs w:val="18"/>
              </w:rPr>
            </w:pPr>
            <w:r w:rsidRPr="001D41EA">
              <w:rPr>
                <w:rFonts w:cs="Arial"/>
                <w:sz w:val="18"/>
                <w:szCs w:val="18"/>
              </w:rPr>
              <w:t xml:space="preserve">West Wimmera S </w:t>
            </w:r>
          </w:p>
        </w:tc>
        <w:tc>
          <w:tcPr>
            <w:tcW w:w="1236" w:type="dxa"/>
            <w:tcBorders>
              <w:top w:val="nil"/>
              <w:left w:val="single" w:sz="18" w:space="0" w:color="5F497A" w:themeColor="accent4" w:themeShade="BF"/>
              <w:bottom w:val="nil"/>
              <w:right w:val="nil"/>
            </w:tcBorders>
            <w:shd w:val="clear" w:color="auto" w:fill="auto"/>
            <w:vAlign w:val="bottom"/>
          </w:tcPr>
          <w:p w14:paraId="1500CD1C" w14:textId="68035831" w:rsidR="002B721C" w:rsidRPr="001D41EA" w:rsidRDefault="002B721C" w:rsidP="001D41EA">
            <w:pPr>
              <w:spacing w:before="40" w:after="20"/>
              <w:jc w:val="right"/>
              <w:rPr>
                <w:rFonts w:cs="Arial"/>
                <w:sz w:val="18"/>
                <w:szCs w:val="18"/>
              </w:rPr>
            </w:pPr>
            <w:r w:rsidRPr="001D41EA">
              <w:rPr>
                <w:rFonts w:cs="Arial"/>
                <w:sz w:val="18"/>
                <w:szCs w:val="18"/>
              </w:rPr>
              <w:t>801</w:t>
            </w:r>
          </w:p>
        </w:tc>
        <w:tc>
          <w:tcPr>
            <w:tcW w:w="1397" w:type="dxa"/>
            <w:tcBorders>
              <w:top w:val="nil"/>
              <w:left w:val="nil"/>
              <w:bottom w:val="nil"/>
              <w:right w:val="nil"/>
            </w:tcBorders>
            <w:shd w:val="clear" w:color="auto" w:fill="auto"/>
            <w:vAlign w:val="bottom"/>
          </w:tcPr>
          <w:p w14:paraId="5AC96D7B" w14:textId="635B3CBF" w:rsidR="002B721C" w:rsidRPr="001D41EA" w:rsidRDefault="002B721C" w:rsidP="001D41EA">
            <w:pPr>
              <w:spacing w:before="40" w:after="20"/>
              <w:jc w:val="right"/>
              <w:rPr>
                <w:rFonts w:cs="Arial"/>
                <w:sz w:val="18"/>
                <w:szCs w:val="18"/>
              </w:rPr>
            </w:pPr>
            <w:r w:rsidRPr="001D41EA">
              <w:rPr>
                <w:rFonts w:cs="Arial"/>
                <w:sz w:val="18"/>
                <w:szCs w:val="18"/>
              </w:rPr>
              <w:t>985</w:t>
            </w:r>
          </w:p>
        </w:tc>
        <w:tc>
          <w:tcPr>
            <w:tcW w:w="1117" w:type="dxa"/>
            <w:tcBorders>
              <w:top w:val="nil"/>
              <w:left w:val="nil"/>
              <w:bottom w:val="nil"/>
              <w:right w:val="nil"/>
            </w:tcBorders>
            <w:shd w:val="clear" w:color="auto" w:fill="auto"/>
            <w:vAlign w:val="bottom"/>
          </w:tcPr>
          <w:p w14:paraId="7C79FE5E" w14:textId="3E364946" w:rsidR="002B721C" w:rsidRPr="001D41EA" w:rsidRDefault="002B721C" w:rsidP="001D41EA">
            <w:pPr>
              <w:spacing w:before="40" w:after="20"/>
              <w:jc w:val="right"/>
              <w:rPr>
                <w:rFonts w:cs="Arial"/>
                <w:sz w:val="18"/>
                <w:szCs w:val="18"/>
              </w:rPr>
            </w:pPr>
            <w:r w:rsidRPr="001D41EA">
              <w:rPr>
                <w:rFonts w:cs="Arial"/>
                <w:sz w:val="18"/>
                <w:szCs w:val="18"/>
              </w:rPr>
              <w:t>36.3</w:t>
            </w:r>
          </w:p>
        </w:tc>
        <w:tc>
          <w:tcPr>
            <w:tcW w:w="1117" w:type="dxa"/>
            <w:tcBorders>
              <w:top w:val="nil"/>
              <w:left w:val="nil"/>
              <w:bottom w:val="nil"/>
              <w:right w:val="nil"/>
            </w:tcBorders>
            <w:shd w:val="clear" w:color="auto" w:fill="auto"/>
            <w:vAlign w:val="bottom"/>
          </w:tcPr>
          <w:p w14:paraId="6F20518F" w14:textId="43A5CCC2" w:rsidR="002B721C" w:rsidRPr="001D41EA" w:rsidRDefault="002B721C" w:rsidP="001D41EA">
            <w:pPr>
              <w:spacing w:before="40" w:after="20"/>
              <w:jc w:val="right"/>
              <w:rPr>
                <w:rFonts w:cs="Arial"/>
                <w:sz w:val="18"/>
                <w:szCs w:val="18"/>
              </w:rPr>
            </w:pPr>
            <w:r w:rsidRPr="001D41EA">
              <w:rPr>
                <w:rFonts w:cs="Arial"/>
                <w:sz w:val="18"/>
                <w:szCs w:val="18"/>
              </w:rPr>
              <w:t>4,434</w:t>
            </w:r>
          </w:p>
        </w:tc>
        <w:tc>
          <w:tcPr>
            <w:tcW w:w="971" w:type="dxa"/>
            <w:tcBorders>
              <w:top w:val="nil"/>
              <w:left w:val="nil"/>
              <w:bottom w:val="nil"/>
              <w:right w:val="nil"/>
            </w:tcBorders>
            <w:shd w:val="clear" w:color="auto" w:fill="auto"/>
            <w:vAlign w:val="bottom"/>
          </w:tcPr>
          <w:p w14:paraId="45E5CD11" w14:textId="4AAD0F82" w:rsidR="002B721C" w:rsidRPr="001D41EA" w:rsidRDefault="002B721C" w:rsidP="001D41EA">
            <w:pPr>
              <w:spacing w:before="40" w:after="20"/>
              <w:jc w:val="right"/>
              <w:rPr>
                <w:rFonts w:cs="Arial"/>
                <w:sz w:val="18"/>
                <w:szCs w:val="18"/>
              </w:rPr>
            </w:pPr>
            <w:r w:rsidRPr="001D41EA">
              <w:rPr>
                <w:rFonts w:cs="Arial"/>
                <w:sz w:val="18"/>
                <w:szCs w:val="18"/>
              </w:rPr>
              <w:t>1,148</w:t>
            </w:r>
          </w:p>
        </w:tc>
        <w:tc>
          <w:tcPr>
            <w:tcW w:w="1228" w:type="dxa"/>
            <w:tcBorders>
              <w:top w:val="nil"/>
              <w:left w:val="nil"/>
              <w:bottom w:val="nil"/>
              <w:right w:val="nil"/>
            </w:tcBorders>
            <w:shd w:val="clear" w:color="auto" w:fill="auto"/>
            <w:vAlign w:val="bottom"/>
          </w:tcPr>
          <w:p w14:paraId="1BF8D13B" w14:textId="6C38D0AE" w:rsidR="002B721C" w:rsidRPr="001D41EA" w:rsidRDefault="002B721C" w:rsidP="001D41EA">
            <w:pPr>
              <w:spacing w:before="40" w:after="20"/>
              <w:jc w:val="right"/>
              <w:rPr>
                <w:rFonts w:cs="Arial"/>
                <w:sz w:val="18"/>
                <w:szCs w:val="18"/>
              </w:rPr>
            </w:pPr>
            <w:r w:rsidRPr="001D41EA">
              <w:rPr>
                <w:rFonts w:cs="Arial"/>
                <w:sz w:val="18"/>
                <w:szCs w:val="18"/>
              </w:rPr>
              <w:t>0.5%</w:t>
            </w:r>
          </w:p>
        </w:tc>
      </w:tr>
      <w:tr w:rsidR="002B721C" w:rsidRPr="001D41EA" w14:paraId="17DF7986"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3E417F22" w14:textId="77777777" w:rsidR="002B721C" w:rsidRPr="001D41EA" w:rsidRDefault="002B721C" w:rsidP="001D41EA">
            <w:pPr>
              <w:spacing w:before="40" w:after="20"/>
              <w:rPr>
                <w:rFonts w:cs="Arial"/>
                <w:sz w:val="18"/>
                <w:szCs w:val="18"/>
              </w:rPr>
            </w:pPr>
            <w:r w:rsidRPr="001D41EA">
              <w:rPr>
                <w:rFonts w:cs="Arial"/>
                <w:sz w:val="18"/>
                <w:szCs w:val="18"/>
              </w:rPr>
              <w:t xml:space="preserve">Whitehorse C </w:t>
            </w:r>
          </w:p>
        </w:tc>
        <w:tc>
          <w:tcPr>
            <w:tcW w:w="1236" w:type="dxa"/>
            <w:tcBorders>
              <w:top w:val="nil"/>
              <w:left w:val="single" w:sz="18" w:space="0" w:color="5F497A" w:themeColor="accent4" w:themeShade="BF"/>
              <w:bottom w:val="nil"/>
              <w:right w:val="nil"/>
            </w:tcBorders>
            <w:shd w:val="clear" w:color="auto" w:fill="auto"/>
            <w:vAlign w:val="bottom"/>
          </w:tcPr>
          <w:p w14:paraId="71B7115E" w14:textId="5AAA96F9" w:rsidR="002B721C" w:rsidRPr="001D41EA" w:rsidRDefault="002B721C" w:rsidP="001D41EA">
            <w:pPr>
              <w:spacing w:before="40" w:after="20"/>
              <w:jc w:val="right"/>
              <w:rPr>
                <w:rFonts w:cs="Arial"/>
                <w:sz w:val="18"/>
                <w:szCs w:val="18"/>
              </w:rPr>
            </w:pPr>
            <w:r w:rsidRPr="001D41EA">
              <w:rPr>
                <w:rFonts w:cs="Arial"/>
                <w:sz w:val="18"/>
                <w:szCs w:val="18"/>
              </w:rPr>
              <w:t>1,057</w:t>
            </w:r>
          </w:p>
        </w:tc>
        <w:tc>
          <w:tcPr>
            <w:tcW w:w="1397" w:type="dxa"/>
            <w:tcBorders>
              <w:top w:val="nil"/>
              <w:left w:val="nil"/>
              <w:bottom w:val="nil"/>
              <w:right w:val="nil"/>
            </w:tcBorders>
            <w:shd w:val="clear" w:color="auto" w:fill="auto"/>
            <w:vAlign w:val="bottom"/>
          </w:tcPr>
          <w:p w14:paraId="17223112" w14:textId="5D6EC0B9" w:rsidR="002B721C" w:rsidRPr="001D41EA" w:rsidRDefault="002B721C" w:rsidP="001D41EA">
            <w:pPr>
              <w:spacing w:before="40" w:after="20"/>
              <w:jc w:val="right"/>
              <w:rPr>
                <w:rFonts w:cs="Arial"/>
                <w:sz w:val="18"/>
                <w:szCs w:val="18"/>
              </w:rPr>
            </w:pPr>
            <w:r w:rsidRPr="001D41EA">
              <w:rPr>
                <w:rFonts w:cs="Arial"/>
                <w:sz w:val="18"/>
                <w:szCs w:val="18"/>
              </w:rPr>
              <w:t>1,049</w:t>
            </w:r>
          </w:p>
        </w:tc>
        <w:tc>
          <w:tcPr>
            <w:tcW w:w="1117" w:type="dxa"/>
            <w:tcBorders>
              <w:top w:val="nil"/>
              <w:left w:val="nil"/>
              <w:bottom w:val="nil"/>
              <w:right w:val="nil"/>
            </w:tcBorders>
            <w:shd w:val="clear" w:color="auto" w:fill="auto"/>
            <w:vAlign w:val="bottom"/>
          </w:tcPr>
          <w:p w14:paraId="15C14500" w14:textId="7CE4531E" w:rsidR="002B721C" w:rsidRPr="001D41EA" w:rsidRDefault="002B721C" w:rsidP="001D41EA">
            <w:pPr>
              <w:spacing w:before="40" w:after="20"/>
              <w:jc w:val="right"/>
              <w:rPr>
                <w:rFonts w:cs="Arial"/>
                <w:sz w:val="18"/>
                <w:szCs w:val="18"/>
              </w:rPr>
            </w:pPr>
            <w:r w:rsidRPr="001D41EA">
              <w:rPr>
                <w:rFonts w:cs="Arial"/>
                <w:sz w:val="18"/>
                <w:szCs w:val="18"/>
              </w:rPr>
              <w:t>23.6</w:t>
            </w:r>
          </w:p>
        </w:tc>
        <w:tc>
          <w:tcPr>
            <w:tcW w:w="1117" w:type="dxa"/>
            <w:tcBorders>
              <w:top w:val="nil"/>
              <w:left w:val="nil"/>
              <w:bottom w:val="nil"/>
              <w:right w:val="nil"/>
            </w:tcBorders>
            <w:shd w:val="clear" w:color="auto" w:fill="auto"/>
            <w:vAlign w:val="bottom"/>
          </w:tcPr>
          <w:p w14:paraId="3280D317" w14:textId="5E55A4E6" w:rsidR="002B721C" w:rsidRPr="001D41EA" w:rsidRDefault="002B721C" w:rsidP="001D41EA">
            <w:pPr>
              <w:spacing w:before="40" w:after="20"/>
              <w:jc w:val="right"/>
              <w:rPr>
                <w:rFonts w:cs="Arial"/>
                <w:sz w:val="18"/>
                <w:szCs w:val="18"/>
              </w:rPr>
            </w:pPr>
            <w:r w:rsidRPr="001D41EA">
              <w:rPr>
                <w:rFonts w:cs="Arial"/>
                <w:sz w:val="18"/>
                <w:szCs w:val="18"/>
              </w:rPr>
              <w:t>952,196</w:t>
            </w:r>
          </w:p>
        </w:tc>
        <w:tc>
          <w:tcPr>
            <w:tcW w:w="971" w:type="dxa"/>
            <w:tcBorders>
              <w:top w:val="nil"/>
              <w:left w:val="nil"/>
              <w:bottom w:val="nil"/>
              <w:right w:val="nil"/>
            </w:tcBorders>
            <w:shd w:val="clear" w:color="auto" w:fill="auto"/>
            <w:vAlign w:val="bottom"/>
          </w:tcPr>
          <w:p w14:paraId="132ED4C7" w14:textId="16A40744" w:rsidR="002B721C" w:rsidRPr="001D41EA" w:rsidRDefault="002B721C" w:rsidP="001D41EA">
            <w:pPr>
              <w:spacing w:before="40" w:after="20"/>
              <w:jc w:val="right"/>
              <w:rPr>
                <w:rFonts w:cs="Arial"/>
                <w:sz w:val="18"/>
                <w:szCs w:val="18"/>
              </w:rPr>
            </w:pPr>
            <w:r w:rsidRPr="001D41EA">
              <w:rPr>
                <w:rFonts w:cs="Arial"/>
                <w:sz w:val="18"/>
                <w:szCs w:val="18"/>
              </w:rPr>
              <w:t>5,404</w:t>
            </w:r>
          </w:p>
        </w:tc>
        <w:tc>
          <w:tcPr>
            <w:tcW w:w="1228" w:type="dxa"/>
            <w:tcBorders>
              <w:top w:val="nil"/>
              <w:left w:val="nil"/>
              <w:bottom w:val="nil"/>
              <w:right w:val="nil"/>
            </w:tcBorders>
            <w:shd w:val="clear" w:color="auto" w:fill="auto"/>
            <w:vAlign w:val="bottom"/>
          </w:tcPr>
          <w:p w14:paraId="06A58B59" w14:textId="2DB76AE9" w:rsidR="002B721C" w:rsidRPr="001D41EA" w:rsidRDefault="002B721C" w:rsidP="001D41EA">
            <w:pPr>
              <w:spacing w:before="40" w:after="20"/>
              <w:jc w:val="right"/>
              <w:rPr>
                <w:rFonts w:cs="Arial"/>
                <w:sz w:val="18"/>
                <w:szCs w:val="18"/>
              </w:rPr>
            </w:pPr>
            <w:r w:rsidRPr="001D41EA">
              <w:rPr>
                <w:rFonts w:cs="Arial"/>
                <w:sz w:val="18"/>
                <w:szCs w:val="18"/>
              </w:rPr>
              <w:t>7.1%</w:t>
            </w:r>
          </w:p>
        </w:tc>
      </w:tr>
      <w:tr w:rsidR="002B721C" w:rsidRPr="001D41EA" w14:paraId="0C649AC3"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7345D940" w14:textId="77777777" w:rsidR="002B721C" w:rsidRPr="001D41EA" w:rsidRDefault="002B721C" w:rsidP="001D41EA">
            <w:pPr>
              <w:spacing w:before="40" w:after="20"/>
              <w:rPr>
                <w:rFonts w:cs="Arial"/>
                <w:sz w:val="18"/>
                <w:szCs w:val="18"/>
              </w:rPr>
            </w:pPr>
            <w:r w:rsidRPr="001D41EA">
              <w:rPr>
                <w:rFonts w:cs="Arial"/>
                <w:sz w:val="18"/>
                <w:szCs w:val="18"/>
              </w:rPr>
              <w:t xml:space="preserve">Whittlesea C </w:t>
            </w:r>
          </w:p>
        </w:tc>
        <w:tc>
          <w:tcPr>
            <w:tcW w:w="1236" w:type="dxa"/>
            <w:tcBorders>
              <w:top w:val="nil"/>
              <w:left w:val="single" w:sz="18" w:space="0" w:color="5F497A" w:themeColor="accent4" w:themeShade="BF"/>
              <w:bottom w:val="nil"/>
              <w:right w:val="nil"/>
            </w:tcBorders>
            <w:shd w:val="clear" w:color="auto" w:fill="auto"/>
            <w:vAlign w:val="bottom"/>
          </w:tcPr>
          <w:p w14:paraId="59AC68B4" w14:textId="708D30C0" w:rsidR="002B721C" w:rsidRPr="001D41EA" w:rsidRDefault="002B721C" w:rsidP="001D41EA">
            <w:pPr>
              <w:spacing w:before="40" w:after="20"/>
              <w:jc w:val="right"/>
              <w:rPr>
                <w:rFonts w:cs="Arial"/>
                <w:sz w:val="18"/>
                <w:szCs w:val="18"/>
              </w:rPr>
            </w:pPr>
            <w:r w:rsidRPr="001D41EA">
              <w:rPr>
                <w:rFonts w:cs="Arial"/>
                <w:sz w:val="18"/>
                <w:szCs w:val="18"/>
              </w:rPr>
              <w:t>939</w:t>
            </w:r>
          </w:p>
        </w:tc>
        <w:tc>
          <w:tcPr>
            <w:tcW w:w="1397" w:type="dxa"/>
            <w:tcBorders>
              <w:top w:val="nil"/>
              <w:left w:val="nil"/>
              <w:bottom w:val="nil"/>
              <w:right w:val="nil"/>
            </w:tcBorders>
            <w:shd w:val="clear" w:color="auto" w:fill="auto"/>
            <w:vAlign w:val="bottom"/>
          </w:tcPr>
          <w:p w14:paraId="4639B65B" w14:textId="73943A38" w:rsidR="002B721C" w:rsidRPr="001D41EA" w:rsidRDefault="002B721C" w:rsidP="001D41EA">
            <w:pPr>
              <w:spacing w:before="40" w:after="20"/>
              <w:jc w:val="right"/>
              <w:rPr>
                <w:rFonts w:cs="Arial"/>
                <w:sz w:val="18"/>
                <w:szCs w:val="18"/>
              </w:rPr>
            </w:pPr>
            <w:r w:rsidRPr="001D41EA">
              <w:rPr>
                <w:rFonts w:cs="Arial"/>
                <w:sz w:val="18"/>
                <w:szCs w:val="18"/>
              </w:rPr>
              <w:t>991</w:t>
            </w:r>
          </w:p>
        </w:tc>
        <w:tc>
          <w:tcPr>
            <w:tcW w:w="1117" w:type="dxa"/>
            <w:tcBorders>
              <w:top w:val="nil"/>
              <w:left w:val="nil"/>
              <w:bottom w:val="nil"/>
              <w:right w:val="nil"/>
            </w:tcBorders>
            <w:shd w:val="clear" w:color="auto" w:fill="auto"/>
            <w:vAlign w:val="bottom"/>
          </w:tcPr>
          <w:p w14:paraId="2F15894A" w14:textId="188A7BF2" w:rsidR="002B721C" w:rsidRPr="001D41EA" w:rsidRDefault="002B721C" w:rsidP="001D41EA">
            <w:pPr>
              <w:spacing w:before="40" w:after="20"/>
              <w:jc w:val="right"/>
              <w:rPr>
                <w:rFonts w:cs="Arial"/>
                <w:sz w:val="18"/>
                <w:szCs w:val="18"/>
              </w:rPr>
            </w:pPr>
            <w:r w:rsidRPr="001D41EA">
              <w:rPr>
                <w:rFonts w:cs="Arial"/>
                <w:sz w:val="18"/>
                <w:szCs w:val="18"/>
              </w:rPr>
              <w:t>6.1</w:t>
            </w:r>
          </w:p>
        </w:tc>
        <w:tc>
          <w:tcPr>
            <w:tcW w:w="1117" w:type="dxa"/>
            <w:tcBorders>
              <w:top w:val="nil"/>
              <w:left w:val="nil"/>
              <w:bottom w:val="nil"/>
              <w:right w:val="nil"/>
            </w:tcBorders>
            <w:shd w:val="clear" w:color="auto" w:fill="auto"/>
            <w:vAlign w:val="bottom"/>
          </w:tcPr>
          <w:p w14:paraId="6840B99E" w14:textId="13C1A14C" w:rsidR="002B721C" w:rsidRPr="001D41EA" w:rsidRDefault="002B721C" w:rsidP="001D41EA">
            <w:pPr>
              <w:spacing w:before="40" w:after="20"/>
              <w:jc w:val="right"/>
              <w:rPr>
                <w:rFonts w:cs="Arial"/>
                <w:sz w:val="18"/>
                <w:szCs w:val="18"/>
              </w:rPr>
            </w:pPr>
            <w:r w:rsidRPr="001D41EA">
              <w:rPr>
                <w:rFonts w:cs="Arial"/>
                <w:sz w:val="18"/>
                <w:szCs w:val="18"/>
              </w:rPr>
              <w:t>970,978</w:t>
            </w:r>
          </w:p>
        </w:tc>
        <w:tc>
          <w:tcPr>
            <w:tcW w:w="971" w:type="dxa"/>
            <w:tcBorders>
              <w:top w:val="nil"/>
              <w:left w:val="nil"/>
              <w:bottom w:val="nil"/>
              <w:right w:val="nil"/>
            </w:tcBorders>
            <w:shd w:val="clear" w:color="auto" w:fill="auto"/>
            <w:vAlign w:val="bottom"/>
          </w:tcPr>
          <w:p w14:paraId="161DC528" w14:textId="0655A4CC" w:rsidR="002B721C" w:rsidRPr="001D41EA" w:rsidRDefault="002B721C" w:rsidP="001D41EA">
            <w:pPr>
              <w:spacing w:before="40" w:after="20"/>
              <w:jc w:val="right"/>
              <w:rPr>
                <w:rFonts w:cs="Arial"/>
                <w:sz w:val="18"/>
                <w:szCs w:val="18"/>
              </w:rPr>
            </w:pPr>
            <w:r w:rsidRPr="001D41EA">
              <w:rPr>
                <w:rFonts w:cs="Arial"/>
                <w:sz w:val="18"/>
                <w:szCs w:val="18"/>
              </w:rPr>
              <w:t>4,348</w:t>
            </w:r>
          </w:p>
        </w:tc>
        <w:tc>
          <w:tcPr>
            <w:tcW w:w="1228" w:type="dxa"/>
            <w:tcBorders>
              <w:top w:val="nil"/>
              <w:left w:val="nil"/>
              <w:bottom w:val="nil"/>
              <w:right w:val="nil"/>
            </w:tcBorders>
            <w:shd w:val="clear" w:color="auto" w:fill="auto"/>
            <w:vAlign w:val="bottom"/>
          </w:tcPr>
          <w:p w14:paraId="0F215272" w14:textId="1E9FE4D4" w:rsidR="002B721C" w:rsidRPr="001D41EA" w:rsidRDefault="002B721C" w:rsidP="001D41EA">
            <w:pPr>
              <w:spacing w:before="40" w:after="20"/>
              <w:jc w:val="right"/>
              <w:rPr>
                <w:rFonts w:cs="Arial"/>
                <w:sz w:val="18"/>
                <w:szCs w:val="18"/>
              </w:rPr>
            </w:pPr>
            <w:r w:rsidRPr="001D41EA">
              <w:rPr>
                <w:rFonts w:cs="Arial"/>
                <w:sz w:val="18"/>
                <w:szCs w:val="18"/>
              </w:rPr>
              <w:t>8.0%</w:t>
            </w:r>
          </w:p>
        </w:tc>
      </w:tr>
      <w:tr w:rsidR="002B721C" w:rsidRPr="001D41EA" w14:paraId="4099C696"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0A91D8ED" w14:textId="77777777" w:rsidR="002B721C" w:rsidRPr="001D41EA" w:rsidRDefault="002B721C" w:rsidP="001D41EA">
            <w:pPr>
              <w:spacing w:before="40" w:after="20"/>
              <w:rPr>
                <w:rFonts w:cs="Arial"/>
                <w:sz w:val="18"/>
                <w:szCs w:val="18"/>
              </w:rPr>
            </w:pPr>
            <w:r w:rsidRPr="001D41EA">
              <w:rPr>
                <w:rFonts w:cs="Arial"/>
                <w:sz w:val="18"/>
                <w:szCs w:val="18"/>
              </w:rPr>
              <w:t xml:space="preserve">Wodonga C </w:t>
            </w:r>
          </w:p>
        </w:tc>
        <w:tc>
          <w:tcPr>
            <w:tcW w:w="1236" w:type="dxa"/>
            <w:tcBorders>
              <w:top w:val="nil"/>
              <w:left w:val="single" w:sz="18" w:space="0" w:color="5F497A" w:themeColor="accent4" w:themeShade="BF"/>
              <w:bottom w:val="nil"/>
              <w:right w:val="nil"/>
            </w:tcBorders>
            <w:shd w:val="clear" w:color="auto" w:fill="auto"/>
            <w:vAlign w:val="bottom"/>
          </w:tcPr>
          <w:p w14:paraId="183BA469" w14:textId="771A4DC3" w:rsidR="002B721C" w:rsidRPr="001D41EA" w:rsidRDefault="002B721C" w:rsidP="001D41EA">
            <w:pPr>
              <w:spacing w:before="40" w:after="20"/>
              <w:jc w:val="right"/>
              <w:rPr>
                <w:rFonts w:cs="Arial"/>
                <w:sz w:val="18"/>
                <w:szCs w:val="18"/>
              </w:rPr>
            </w:pPr>
            <w:r w:rsidRPr="001D41EA">
              <w:rPr>
                <w:rFonts w:cs="Arial"/>
                <w:sz w:val="18"/>
                <w:szCs w:val="18"/>
              </w:rPr>
              <w:t>885</w:t>
            </w:r>
          </w:p>
        </w:tc>
        <w:tc>
          <w:tcPr>
            <w:tcW w:w="1397" w:type="dxa"/>
            <w:tcBorders>
              <w:top w:val="nil"/>
              <w:left w:val="nil"/>
              <w:bottom w:val="nil"/>
              <w:right w:val="nil"/>
            </w:tcBorders>
            <w:shd w:val="clear" w:color="auto" w:fill="auto"/>
            <w:vAlign w:val="bottom"/>
          </w:tcPr>
          <w:p w14:paraId="431F1F58" w14:textId="47262D3F" w:rsidR="002B721C" w:rsidRPr="001D41EA" w:rsidRDefault="002B721C" w:rsidP="001D41EA">
            <w:pPr>
              <w:spacing w:before="40" w:after="20"/>
              <w:jc w:val="right"/>
              <w:rPr>
                <w:rFonts w:cs="Arial"/>
                <w:sz w:val="18"/>
                <w:szCs w:val="18"/>
              </w:rPr>
            </w:pPr>
            <w:r w:rsidRPr="001D41EA">
              <w:rPr>
                <w:rFonts w:cs="Arial"/>
                <w:sz w:val="18"/>
                <w:szCs w:val="18"/>
              </w:rPr>
              <w:t>977</w:t>
            </w:r>
          </w:p>
        </w:tc>
        <w:tc>
          <w:tcPr>
            <w:tcW w:w="1117" w:type="dxa"/>
            <w:tcBorders>
              <w:top w:val="nil"/>
              <w:left w:val="nil"/>
              <w:bottom w:val="nil"/>
              <w:right w:val="nil"/>
            </w:tcBorders>
            <w:shd w:val="clear" w:color="auto" w:fill="auto"/>
            <w:vAlign w:val="bottom"/>
          </w:tcPr>
          <w:p w14:paraId="1C024C96" w14:textId="1EA2AA06" w:rsidR="002B721C" w:rsidRPr="001D41EA" w:rsidRDefault="002B721C" w:rsidP="001D41EA">
            <w:pPr>
              <w:spacing w:before="40" w:after="20"/>
              <w:jc w:val="right"/>
              <w:rPr>
                <w:rFonts w:cs="Arial"/>
                <w:sz w:val="18"/>
                <w:szCs w:val="18"/>
              </w:rPr>
            </w:pPr>
            <w:r w:rsidRPr="001D41EA">
              <w:rPr>
                <w:rFonts w:cs="Arial"/>
                <w:sz w:val="18"/>
                <w:szCs w:val="18"/>
              </w:rPr>
              <w:t>14.7</w:t>
            </w:r>
          </w:p>
        </w:tc>
        <w:tc>
          <w:tcPr>
            <w:tcW w:w="1117" w:type="dxa"/>
            <w:tcBorders>
              <w:top w:val="nil"/>
              <w:left w:val="nil"/>
              <w:bottom w:val="nil"/>
              <w:right w:val="nil"/>
            </w:tcBorders>
            <w:shd w:val="clear" w:color="auto" w:fill="auto"/>
            <w:vAlign w:val="bottom"/>
          </w:tcPr>
          <w:p w14:paraId="1F40D343" w14:textId="61615D61" w:rsidR="002B721C" w:rsidRPr="001D41EA" w:rsidRDefault="002B721C" w:rsidP="001D41EA">
            <w:pPr>
              <w:spacing w:before="40" w:after="20"/>
              <w:jc w:val="right"/>
              <w:rPr>
                <w:rFonts w:cs="Arial"/>
                <w:sz w:val="18"/>
                <w:szCs w:val="18"/>
              </w:rPr>
            </w:pPr>
            <w:r w:rsidRPr="001D41EA">
              <w:rPr>
                <w:rFonts w:cs="Arial"/>
                <w:sz w:val="18"/>
                <w:szCs w:val="18"/>
              </w:rPr>
              <w:t>148,267</w:t>
            </w:r>
          </w:p>
        </w:tc>
        <w:tc>
          <w:tcPr>
            <w:tcW w:w="971" w:type="dxa"/>
            <w:tcBorders>
              <w:top w:val="nil"/>
              <w:left w:val="nil"/>
              <w:bottom w:val="nil"/>
              <w:right w:val="nil"/>
            </w:tcBorders>
            <w:shd w:val="clear" w:color="auto" w:fill="auto"/>
            <w:vAlign w:val="bottom"/>
          </w:tcPr>
          <w:p w14:paraId="14F570BB" w14:textId="6F482ABA" w:rsidR="002B721C" w:rsidRPr="001D41EA" w:rsidRDefault="002B721C" w:rsidP="001D41EA">
            <w:pPr>
              <w:spacing w:before="40" w:after="20"/>
              <w:jc w:val="right"/>
              <w:rPr>
                <w:rFonts w:cs="Arial"/>
                <w:sz w:val="18"/>
                <w:szCs w:val="18"/>
              </w:rPr>
            </w:pPr>
            <w:r w:rsidRPr="001D41EA">
              <w:rPr>
                <w:rFonts w:cs="Arial"/>
                <w:sz w:val="18"/>
                <w:szCs w:val="18"/>
              </w:rPr>
              <w:t>3,579</w:t>
            </w:r>
          </w:p>
        </w:tc>
        <w:tc>
          <w:tcPr>
            <w:tcW w:w="1228" w:type="dxa"/>
            <w:tcBorders>
              <w:top w:val="nil"/>
              <w:left w:val="nil"/>
              <w:bottom w:val="nil"/>
              <w:right w:val="nil"/>
            </w:tcBorders>
            <w:shd w:val="clear" w:color="auto" w:fill="auto"/>
            <w:vAlign w:val="bottom"/>
          </w:tcPr>
          <w:p w14:paraId="26F28309" w14:textId="3E9C0F44" w:rsidR="002B721C" w:rsidRPr="001D41EA" w:rsidRDefault="002B721C" w:rsidP="001D41EA">
            <w:pPr>
              <w:spacing w:before="40" w:after="20"/>
              <w:jc w:val="right"/>
              <w:rPr>
                <w:rFonts w:cs="Arial"/>
                <w:sz w:val="18"/>
                <w:szCs w:val="18"/>
              </w:rPr>
            </w:pPr>
            <w:r w:rsidRPr="001D41EA">
              <w:rPr>
                <w:rFonts w:cs="Arial"/>
                <w:sz w:val="18"/>
                <w:szCs w:val="18"/>
              </w:rPr>
              <w:t>7.9%</w:t>
            </w:r>
          </w:p>
        </w:tc>
      </w:tr>
      <w:tr w:rsidR="002B721C" w:rsidRPr="001D41EA" w14:paraId="6E3EB96D"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66644BEC" w14:textId="77777777" w:rsidR="002B721C" w:rsidRPr="001D41EA" w:rsidRDefault="002B721C" w:rsidP="001D41EA">
            <w:pPr>
              <w:spacing w:before="40" w:after="20"/>
              <w:rPr>
                <w:rFonts w:cs="Arial"/>
                <w:sz w:val="18"/>
                <w:szCs w:val="18"/>
              </w:rPr>
            </w:pPr>
            <w:r w:rsidRPr="001D41EA">
              <w:rPr>
                <w:rFonts w:cs="Arial"/>
                <w:sz w:val="18"/>
                <w:szCs w:val="18"/>
              </w:rPr>
              <w:t xml:space="preserve">Wyndham C </w:t>
            </w:r>
          </w:p>
        </w:tc>
        <w:tc>
          <w:tcPr>
            <w:tcW w:w="1236" w:type="dxa"/>
            <w:tcBorders>
              <w:top w:val="nil"/>
              <w:left w:val="single" w:sz="18" w:space="0" w:color="5F497A" w:themeColor="accent4" w:themeShade="BF"/>
              <w:bottom w:val="nil"/>
              <w:right w:val="nil"/>
            </w:tcBorders>
            <w:shd w:val="clear" w:color="auto" w:fill="auto"/>
            <w:vAlign w:val="bottom"/>
          </w:tcPr>
          <w:p w14:paraId="30C17800" w14:textId="04027A8D" w:rsidR="002B721C" w:rsidRPr="001D41EA" w:rsidRDefault="002B721C" w:rsidP="001D41EA">
            <w:pPr>
              <w:spacing w:before="40" w:after="20"/>
              <w:jc w:val="right"/>
              <w:rPr>
                <w:rFonts w:cs="Arial"/>
                <w:sz w:val="18"/>
                <w:szCs w:val="18"/>
              </w:rPr>
            </w:pPr>
            <w:r w:rsidRPr="001D41EA">
              <w:rPr>
                <w:rFonts w:cs="Arial"/>
                <w:sz w:val="18"/>
                <w:szCs w:val="18"/>
              </w:rPr>
              <w:t>1,072</w:t>
            </w:r>
          </w:p>
        </w:tc>
        <w:tc>
          <w:tcPr>
            <w:tcW w:w="1397" w:type="dxa"/>
            <w:tcBorders>
              <w:top w:val="nil"/>
              <w:left w:val="nil"/>
              <w:bottom w:val="nil"/>
              <w:right w:val="nil"/>
            </w:tcBorders>
            <w:shd w:val="clear" w:color="auto" w:fill="auto"/>
            <w:vAlign w:val="bottom"/>
          </w:tcPr>
          <w:p w14:paraId="0925549F" w14:textId="6E241457" w:rsidR="002B721C" w:rsidRPr="001D41EA" w:rsidRDefault="002B721C" w:rsidP="001D41EA">
            <w:pPr>
              <w:spacing w:before="40" w:after="20"/>
              <w:jc w:val="right"/>
              <w:rPr>
                <w:rFonts w:cs="Arial"/>
                <w:sz w:val="18"/>
                <w:szCs w:val="18"/>
              </w:rPr>
            </w:pPr>
            <w:r w:rsidRPr="001D41EA">
              <w:rPr>
                <w:rFonts w:cs="Arial"/>
                <w:sz w:val="18"/>
                <w:szCs w:val="18"/>
              </w:rPr>
              <w:t>1,009</w:t>
            </w:r>
          </w:p>
        </w:tc>
        <w:tc>
          <w:tcPr>
            <w:tcW w:w="1117" w:type="dxa"/>
            <w:tcBorders>
              <w:top w:val="nil"/>
              <w:left w:val="nil"/>
              <w:bottom w:val="nil"/>
              <w:right w:val="nil"/>
            </w:tcBorders>
            <w:shd w:val="clear" w:color="auto" w:fill="auto"/>
            <w:vAlign w:val="bottom"/>
          </w:tcPr>
          <w:p w14:paraId="782C0936" w14:textId="792D3262" w:rsidR="002B721C" w:rsidRPr="001D41EA" w:rsidRDefault="002B721C" w:rsidP="001D41EA">
            <w:pPr>
              <w:spacing w:before="40" w:after="20"/>
              <w:jc w:val="right"/>
              <w:rPr>
                <w:rFonts w:cs="Arial"/>
                <w:sz w:val="18"/>
                <w:szCs w:val="18"/>
              </w:rPr>
            </w:pPr>
            <w:r w:rsidRPr="001D41EA">
              <w:rPr>
                <w:rFonts w:cs="Arial"/>
                <w:sz w:val="18"/>
                <w:szCs w:val="18"/>
              </w:rPr>
              <w:t>12.1</w:t>
            </w:r>
          </w:p>
        </w:tc>
        <w:tc>
          <w:tcPr>
            <w:tcW w:w="1117" w:type="dxa"/>
            <w:tcBorders>
              <w:top w:val="nil"/>
              <w:left w:val="nil"/>
              <w:bottom w:val="nil"/>
              <w:right w:val="nil"/>
            </w:tcBorders>
            <w:shd w:val="clear" w:color="auto" w:fill="auto"/>
            <w:vAlign w:val="bottom"/>
          </w:tcPr>
          <w:p w14:paraId="4C6A5853" w14:textId="55F2BF47" w:rsidR="002B721C" w:rsidRPr="001D41EA" w:rsidRDefault="002B721C" w:rsidP="001D41EA">
            <w:pPr>
              <w:spacing w:before="40" w:after="20"/>
              <w:jc w:val="right"/>
              <w:rPr>
                <w:rFonts w:cs="Arial"/>
                <w:sz w:val="18"/>
                <w:szCs w:val="18"/>
              </w:rPr>
            </w:pPr>
            <w:r w:rsidRPr="001D41EA">
              <w:rPr>
                <w:rFonts w:cs="Arial"/>
                <w:sz w:val="18"/>
                <w:szCs w:val="18"/>
              </w:rPr>
              <w:t>1,829,966</w:t>
            </w:r>
          </w:p>
        </w:tc>
        <w:tc>
          <w:tcPr>
            <w:tcW w:w="971" w:type="dxa"/>
            <w:tcBorders>
              <w:top w:val="nil"/>
              <w:left w:val="nil"/>
              <w:bottom w:val="nil"/>
              <w:right w:val="nil"/>
            </w:tcBorders>
            <w:shd w:val="clear" w:color="auto" w:fill="auto"/>
            <w:vAlign w:val="bottom"/>
          </w:tcPr>
          <w:p w14:paraId="26CB3DCC" w14:textId="5CA0F35D" w:rsidR="002B721C" w:rsidRPr="001D41EA" w:rsidRDefault="002B721C" w:rsidP="001D41EA">
            <w:pPr>
              <w:spacing w:before="40" w:after="20"/>
              <w:jc w:val="right"/>
              <w:rPr>
                <w:rFonts w:cs="Arial"/>
                <w:sz w:val="18"/>
                <w:szCs w:val="18"/>
              </w:rPr>
            </w:pPr>
            <w:r w:rsidRPr="001D41EA">
              <w:rPr>
                <w:rFonts w:cs="Arial"/>
                <w:sz w:val="18"/>
                <w:szCs w:val="18"/>
              </w:rPr>
              <w:t>7,167</w:t>
            </w:r>
          </w:p>
        </w:tc>
        <w:tc>
          <w:tcPr>
            <w:tcW w:w="1228" w:type="dxa"/>
            <w:tcBorders>
              <w:top w:val="nil"/>
              <w:left w:val="nil"/>
              <w:bottom w:val="nil"/>
              <w:right w:val="nil"/>
            </w:tcBorders>
            <w:shd w:val="clear" w:color="auto" w:fill="auto"/>
            <w:vAlign w:val="bottom"/>
          </w:tcPr>
          <w:p w14:paraId="5E0E8630" w14:textId="25A51832" w:rsidR="002B721C" w:rsidRPr="001D41EA" w:rsidRDefault="002B721C" w:rsidP="001D41EA">
            <w:pPr>
              <w:spacing w:before="40" w:after="20"/>
              <w:jc w:val="right"/>
              <w:rPr>
                <w:rFonts w:cs="Arial"/>
                <w:sz w:val="18"/>
                <w:szCs w:val="18"/>
              </w:rPr>
            </w:pPr>
            <w:r w:rsidRPr="001D41EA">
              <w:rPr>
                <w:rFonts w:cs="Arial"/>
                <w:sz w:val="18"/>
                <w:szCs w:val="18"/>
              </w:rPr>
              <w:t>5.8%</w:t>
            </w:r>
          </w:p>
        </w:tc>
      </w:tr>
      <w:tr w:rsidR="002B721C" w:rsidRPr="001D41EA" w14:paraId="2BA04095"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775C6A34" w14:textId="77777777" w:rsidR="002B721C" w:rsidRPr="001D41EA" w:rsidRDefault="002B721C" w:rsidP="001D41EA">
            <w:pPr>
              <w:spacing w:before="40" w:after="20"/>
              <w:rPr>
                <w:rFonts w:cs="Arial"/>
                <w:sz w:val="18"/>
                <w:szCs w:val="18"/>
              </w:rPr>
            </w:pPr>
            <w:r w:rsidRPr="001D41EA">
              <w:rPr>
                <w:rFonts w:cs="Arial"/>
                <w:sz w:val="18"/>
                <w:szCs w:val="18"/>
              </w:rPr>
              <w:t xml:space="preserve">Yarra C </w:t>
            </w:r>
          </w:p>
        </w:tc>
        <w:tc>
          <w:tcPr>
            <w:tcW w:w="1236" w:type="dxa"/>
            <w:tcBorders>
              <w:top w:val="nil"/>
              <w:left w:val="single" w:sz="18" w:space="0" w:color="5F497A" w:themeColor="accent4" w:themeShade="BF"/>
              <w:bottom w:val="nil"/>
              <w:right w:val="nil"/>
            </w:tcBorders>
            <w:shd w:val="clear" w:color="auto" w:fill="auto"/>
            <w:vAlign w:val="bottom"/>
          </w:tcPr>
          <w:p w14:paraId="2F634467" w14:textId="499DEEBC" w:rsidR="002B721C" w:rsidRPr="001D41EA" w:rsidRDefault="002B721C" w:rsidP="001D41EA">
            <w:pPr>
              <w:spacing w:before="40" w:after="20"/>
              <w:jc w:val="right"/>
              <w:rPr>
                <w:rFonts w:cs="Arial"/>
                <w:sz w:val="18"/>
                <w:szCs w:val="18"/>
              </w:rPr>
            </w:pPr>
            <w:r w:rsidRPr="001D41EA">
              <w:rPr>
                <w:rFonts w:cs="Arial"/>
                <w:sz w:val="18"/>
                <w:szCs w:val="18"/>
              </w:rPr>
              <w:t>1,153</w:t>
            </w:r>
          </w:p>
        </w:tc>
        <w:tc>
          <w:tcPr>
            <w:tcW w:w="1397" w:type="dxa"/>
            <w:tcBorders>
              <w:top w:val="nil"/>
              <w:left w:val="nil"/>
              <w:bottom w:val="nil"/>
              <w:right w:val="nil"/>
            </w:tcBorders>
            <w:shd w:val="clear" w:color="auto" w:fill="auto"/>
            <w:vAlign w:val="bottom"/>
          </w:tcPr>
          <w:p w14:paraId="0E43F278" w14:textId="4ADC8175" w:rsidR="002B721C" w:rsidRPr="001D41EA" w:rsidRDefault="002B721C" w:rsidP="001D41EA">
            <w:pPr>
              <w:spacing w:before="40" w:after="20"/>
              <w:jc w:val="right"/>
              <w:rPr>
                <w:rFonts w:cs="Arial"/>
                <w:sz w:val="18"/>
                <w:szCs w:val="18"/>
              </w:rPr>
            </w:pPr>
            <w:r w:rsidRPr="001D41EA">
              <w:rPr>
                <w:rFonts w:cs="Arial"/>
                <w:sz w:val="18"/>
                <w:szCs w:val="18"/>
              </w:rPr>
              <w:t>1,035</w:t>
            </w:r>
          </w:p>
        </w:tc>
        <w:tc>
          <w:tcPr>
            <w:tcW w:w="1117" w:type="dxa"/>
            <w:tcBorders>
              <w:top w:val="nil"/>
              <w:left w:val="nil"/>
              <w:bottom w:val="nil"/>
              <w:right w:val="nil"/>
            </w:tcBorders>
            <w:shd w:val="clear" w:color="auto" w:fill="auto"/>
            <w:vAlign w:val="bottom"/>
          </w:tcPr>
          <w:p w14:paraId="5FB9B145" w14:textId="085F3335" w:rsidR="002B721C" w:rsidRPr="001D41EA" w:rsidRDefault="002B721C" w:rsidP="001D41EA">
            <w:pPr>
              <w:spacing w:before="40" w:after="20"/>
              <w:jc w:val="right"/>
              <w:rPr>
                <w:rFonts w:cs="Arial"/>
                <w:sz w:val="18"/>
                <w:szCs w:val="18"/>
              </w:rPr>
            </w:pPr>
            <w:r w:rsidRPr="001D41EA">
              <w:rPr>
                <w:rFonts w:cs="Arial"/>
                <w:sz w:val="18"/>
                <w:szCs w:val="18"/>
              </w:rPr>
              <w:t>23.3</w:t>
            </w:r>
          </w:p>
        </w:tc>
        <w:tc>
          <w:tcPr>
            <w:tcW w:w="1117" w:type="dxa"/>
            <w:tcBorders>
              <w:top w:val="nil"/>
              <w:left w:val="nil"/>
              <w:bottom w:val="nil"/>
              <w:right w:val="nil"/>
            </w:tcBorders>
            <w:shd w:val="clear" w:color="auto" w:fill="auto"/>
            <w:vAlign w:val="bottom"/>
          </w:tcPr>
          <w:p w14:paraId="71D28F70" w14:textId="473C3997" w:rsidR="002B721C" w:rsidRPr="001D41EA" w:rsidRDefault="002B721C" w:rsidP="001D41EA">
            <w:pPr>
              <w:spacing w:before="40" w:after="20"/>
              <w:jc w:val="right"/>
              <w:rPr>
                <w:rFonts w:cs="Arial"/>
                <w:sz w:val="18"/>
                <w:szCs w:val="18"/>
              </w:rPr>
            </w:pPr>
            <w:r w:rsidRPr="001D41EA">
              <w:rPr>
                <w:rFonts w:cs="Arial"/>
                <w:sz w:val="18"/>
                <w:szCs w:val="18"/>
              </w:rPr>
              <w:t>886,773</w:t>
            </w:r>
          </w:p>
        </w:tc>
        <w:tc>
          <w:tcPr>
            <w:tcW w:w="971" w:type="dxa"/>
            <w:tcBorders>
              <w:top w:val="nil"/>
              <w:left w:val="nil"/>
              <w:bottom w:val="nil"/>
              <w:right w:val="nil"/>
            </w:tcBorders>
            <w:shd w:val="clear" w:color="auto" w:fill="auto"/>
            <w:vAlign w:val="bottom"/>
          </w:tcPr>
          <w:p w14:paraId="35D5A0B1" w14:textId="6C7A3EAE" w:rsidR="002B721C" w:rsidRPr="001D41EA" w:rsidRDefault="002B721C" w:rsidP="001D41EA">
            <w:pPr>
              <w:spacing w:before="40" w:after="20"/>
              <w:jc w:val="right"/>
              <w:rPr>
                <w:rFonts w:cs="Arial"/>
                <w:sz w:val="18"/>
                <w:szCs w:val="18"/>
              </w:rPr>
            </w:pPr>
            <w:r w:rsidRPr="001D41EA">
              <w:rPr>
                <w:rFonts w:cs="Arial"/>
                <w:sz w:val="18"/>
                <w:szCs w:val="18"/>
              </w:rPr>
              <w:t>9,001</w:t>
            </w:r>
          </w:p>
        </w:tc>
        <w:tc>
          <w:tcPr>
            <w:tcW w:w="1228" w:type="dxa"/>
            <w:tcBorders>
              <w:top w:val="nil"/>
              <w:left w:val="nil"/>
              <w:bottom w:val="nil"/>
              <w:right w:val="nil"/>
            </w:tcBorders>
            <w:shd w:val="clear" w:color="auto" w:fill="auto"/>
            <w:vAlign w:val="bottom"/>
          </w:tcPr>
          <w:p w14:paraId="5F827A72" w14:textId="28C37779" w:rsidR="002B721C" w:rsidRPr="001D41EA" w:rsidRDefault="002B721C" w:rsidP="001D41EA">
            <w:pPr>
              <w:spacing w:before="40" w:after="20"/>
              <w:jc w:val="right"/>
              <w:rPr>
                <w:rFonts w:cs="Arial"/>
                <w:sz w:val="18"/>
                <w:szCs w:val="18"/>
              </w:rPr>
            </w:pPr>
            <w:r w:rsidRPr="001D41EA">
              <w:rPr>
                <w:rFonts w:cs="Arial"/>
                <w:sz w:val="18"/>
                <w:szCs w:val="18"/>
              </w:rPr>
              <w:t>17.8%</w:t>
            </w:r>
          </w:p>
        </w:tc>
      </w:tr>
      <w:tr w:rsidR="002B721C" w:rsidRPr="001D41EA" w14:paraId="4ED8697E"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3DDA4D73" w14:textId="77777777" w:rsidR="002B721C" w:rsidRPr="001D41EA" w:rsidRDefault="002B721C" w:rsidP="001D41EA">
            <w:pPr>
              <w:spacing w:before="40" w:after="20"/>
              <w:rPr>
                <w:rFonts w:cs="Arial"/>
                <w:sz w:val="18"/>
                <w:szCs w:val="18"/>
              </w:rPr>
            </w:pPr>
            <w:r w:rsidRPr="001D41EA">
              <w:rPr>
                <w:rFonts w:cs="Arial"/>
                <w:sz w:val="18"/>
                <w:szCs w:val="18"/>
              </w:rPr>
              <w:t xml:space="preserve">Yarra Ranges S </w:t>
            </w:r>
          </w:p>
        </w:tc>
        <w:tc>
          <w:tcPr>
            <w:tcW w:w="1236" w:type="dxa"/>
            <w:tcBorders>
              <w:top w:val="nil"/>
              <w:left w:val="single" w:sz="18" w:space="0" w:color="5F497A" w:themeColor="accent4" w:themeShade="BF"/>
              <w:bottom w:val="nil"/>
              <w:right w:val="nil"/>
            </w:tcBorders>
            <w:shd w:val="clear" w:color="auto" w:fill="auto"/>
            <w:vAlign w:val="bottom"/>
          </w:tcPr>
          <w:p w14:paraId="7ADA0CE4" w14:textId="6DCB23E9" w:rsidR="002B721C" w:rsidRPr="001D41EA" w:rsidRDefault="002B721C" w:rsidP="001D41EA">
            <w:pPr>
              <w:spacing w:before="40" w:after="20"/>
              <w:jc w:val="right"/>
              <w:rPr>
                <w:rFonts w:cs="Arial"/>
                <w:sz w:val="18"/>
                <w:szCs w:val="18"/>
              </w:rPr>
            </w:pPr>
            <w:r w:rsidRPr="001D41EA">
              <w:rPr>
                <w:rFonts w:cs="Arial"/>
                <w:sz w:val="18"/>
                <w:szCs w:val="18"/>
              </w:rPr>
              <w:t>1,021</w:t>
            </w:r>
          </w:p>
        </w:tc>
        <w:tc>
          <w:tcPr>
            <w:tcW w:w="1397" w:type="dxa"/>
            <w:tcBorders>
              <w:top w:val="nil"/>
              <w:left w:val="nil"/>
              <w:bottom w:val="nil"/>
              <w:right w:val="nil"/>
            </w:tcBorders>
            <w:shd w:val="clear" w:color="auto" w:fill="auto"/>
            <w:vAlign w:val="bottom"/>
          </w:tcPr>
          <w:p w14:paraId="1A2D780C" w14:textId="252DA260" w:rsidR="002B721C" w:rsidRPr="001D41EA" w:rsidRDefault="002B721C" w:rsidP="001D41EA">
            <w:pPr>
              <w:spacing w:before="40" w:after="20"/>
              <w:jc w:val="right"/>
              <w:rPr>
                <w:rFonts w:cs="Arial"/>
                <w:sz w:val="18"/>
                <w:szCs w:val="18"/>
              </w:rPr>
            </w:pPr>
            <w:r w:rsidRPr="001D41EA">
              <w:rPr>
                <w:rFonts w:cs="Arial"/>
                <w:sz w:val="18"/>
                <w:szCs w:val="18"/>
              </w:rPr>
              <w:t>1,040</w:t>
            </w:r>
          </w:p>
        </w:tc>
        <w:tc>
          <w:tcPr>
            <w:tcW w:w="1117" w:type="dxa"/>
            <w:tcBorders>
              <w:top w:val="nil"/>
              <w:left w:val="nil"/>
              <w:bottom w:val="nil"/>
              <w:right w:val="nil"/>
            </w:tcBorders>
            <w:shd w:val="clear" w:color="auto" w:fill="auto"/>
            <w:vAlign w:val="bottom"/>
          </w:tcPr>
          <w:p w14:paraId="5D632984" w14:textId="62BAF2BF" w:rsidR="002B721C" w:rsidRPr="001D41EA" w:rsidRDefault="002B721C" w:rsidP="001D41EA">
            <w:pPr>
              <w:spacing w:before="40" w:after="20"/>
              <w:jc w:val="right"/>
              <w:rPr>
                <w:rFonts w:cs="Arial"/>
                <w:sz w:val="18"/>
                <w:szCs w:val="18"/>
              </w:rPr>
            </w:pPr>
            <w:r w:rsidRPr="001D41EA">
              <w:rPr>
                <w:rFonts w:cs="Arial"/>
                <w:sz w:val="18"/>
                <w:szCs w:val="18"/>
              </w:rPr>
              <w:t>24.1</w:t>
            </w:r>
          </w:p>
        </w:tc>
        <w:tc>
          <w:tcPr>
            <w:tcW w:w="1117" w:type="dxa"/>
            <w:tcBorders>
              <w:top w:val="nil"/>
              <w:left w:val="nil"/>
              <w:bottom w:val="nil"/>
              <w:right w:val="nil"/>
            </w:tcBorders>
            <w:shd w:val="clear" w:color="auto" w:fill="auto"/>
            <w:vAlign w:val="bottom"/>
          </w:tcPr>
          <w:p w14:paraId="403C9FE5" w14:textId="38FF7A3B" w:rsidR="002B721C" w:rsidRPr="001D41EA" w:rsidRDefault="002B721C" w:rsidP="001D41EA">
            <w:pPr>
              <w:spacing w:before="40" w:after="20"/>
              <w:jc w:val="right"/>
              <w:rPr>
                <w:rFonts w:cs="Arial"/>
                <w:sz w:val="18"/>
                <w:szCs w:val="18"/>
              </w:rPr>
            </w:pPr>
            <w:r w:rsidRPr="001D41EA">
              <w:rPr>
                <w:rFonts w:cs="Arial"/>
                <w:sz w:val="18"/>
                <w:szCs w:val="18"/>
              </w:rPr>
              <w:t>328,819</w:t>
            </w:r>
          </w:p>
        </w:tc>
        <w:tc>
          <w:tcPr>
            <w:tcW w:w="971" w:type="dxa"/>
            <w:tcBorders>
              <w:top w:val="nil"/>
              <w:left w:val="nil"/>
              <w:bottom w:val="nil"/>
              <w:right w:val="nil"/>
            </w:tcBorders>
            <w:shd w:val="clear" w:color="auto" w:fill="auto"/>
            <w:vAlign w:val="bottom"/>
          </w:tcPr>
          <w:p w14:paraId="70CEE017" w14:textId="3C00F20A" w:rsidR="002B721C" w:rsidRPr="001D41EA" w:rsidRDefault="002B721C" w:rsidP="001D41EA">
            <w:pPr>
              <w:spacing w:before="40" w:after="20"/>
              <w:jc w:val="right"/>
              <w:rPr>
                <w:rFonts w:cs="Arial"/>
                <w:sz w:val="18"/>
                <w:szCs w:val="18"/>
              </w:rPr>
            </w:pPr>
            <w:r w:rsidRPr="001D41EA">
              <w:rPr>
                <w:rFonts w:cs="Arial"/>
                <w:sz w:val="18"/>
                <w:szCs w:val="18"/>
              </w:rPr>
              <w:t>2,079</w:t>
            </w:r>
          </w:p>
        </w:tc>
        <w:tc>
          <w:tcPr>
            <w:tcW w:w="1228" w:type="dxa"/>
            <w:tcBorders>
              <w:top w:val="nil"/>
              <w:left w:val="nil"/>
              <w:bottom w:val="nil"/>
              <w:right w:val="nil"/>
            </w:tcBorders>
            <w:shd w:val="clear" w:color="auto" w:fill="auto"/>
            <w:vAlign w:val="bottom"/>
          </w:tcPr>
          <w:p w14:paraId="4B77D2A2" w14:textId="0B5243DA" w:rsidR="002B721C" w:rsidRPr="001D41EA" w:rsidRDefault="002B721C" w:rsidP="001D41EA">
            <w:pPr>
              <w:spacing w:before="40" w:after="20"/>
              <w:jc w:val="right"/>
              <w:rPr>
                <w:rFonts w:cs="Arial"/>
                <w:sz w:val="18"/>
                <w:szCs w:val="18"/>
              </w:rPr>
            </w:pPr>
            <w:r w:rsidRPr="001D41EA">
              <w:rPr>
                <w:rFonts w:cs="Arial"/>
                <w:sz w:val="18"/>
                <w:szCs w:val="18"/>
              </w:rPr>
              <w:t>5.0%</w:t>
            </w:r>
          </w:p>
        </w:tc>
      </w:tr>
      <w:tr w:rsidR="002B721C" w:rsidRPr="001D41EA" w14:paraId="10789339" w14:textId="77777777" w:rsidTr="002B721C">
        <w:trPr>
          <w:trHeight w:val="20"/>
        </w:trPr>
        <w:tc>
          <w:tcPr>
            <w:tcW w:w="2233" w:type="dxa"/>
            <w:tcBorders>
              <w:top w:val="nil"/>
              <w:left w:val="nil"/>
              <w:bottom w:val="nil"/>
              <w:right w:val="single" w:sz="18" w:space="0" w:color="5F497A" w:themeColor="accent4" w:themeShade="BF"/>
            </w:tcBorders>
            <w:shd w:val="clear" w:color="auto" w:fill="auto"/>
            <w:vAlign w:val="center"/>
          </w:tcPr>
          <w:p w14:paraId="5F53DC0A" w14:textId="77777777" w:rsidR="002B721C" w:rsidRPr="001D41EA" w:rsidRDefault="002B721C" w:rsidP="001D41EA">
            <w:pPr>
              <w:spacing w:before="40" w:after="20"/>
              <w:rPr>
                <w:rFonts w:cs="Arial"/>
                <w:sz w:val="18"/>
                <w:szCs w:val="18"/>
              </w:rPr>
            </w:pPr>
            <w:r w:rsidRPr="001D41EA">
              <w:rPr>
                <w:rFonts w:cs="Arial"/>
                <w:sz w:val="18"/>
                <w:szCs w:val="18"/>
              </w:rPr>
              <w:t xml:space="preserve">Yarriambiack S </w:t>
            </w:r>
          </w:p>
        </w:tc>
        <w:tc>
          <w:tcPr>
            <w:tcW w:w="1236" w:type="dxa"/>
            <w:tcBorders>
              <w:top w:val="nil"/>
              <w:left w:val="single" w:sz="18" w:space="0" w:color="5F497A" w:themeColor="accent4" w:themeShade="BF"/>
              <w:right w:val="nil"/>
            </w:tcBorders>
            <w:shd w:val="clear" w:color="auto" w:fill="auto"/>
            <w:vAlign w:val="bottom"/>
          </w:tcPr>
          <w:p w14:paraId="2F2D6099" w14:textId="6E01A9FB" w:rsidR="002B721C" w:rsidRPr="001D41EA" w:rsidRDefault="002B721C" w:rsidP="001D41EA">
            <w:pPr>
              <w:spacing w:before="40" w:after="20"/>
              <w:jc w:val="right"/>
              <w:rPr>
                <w:rFonts w:cs="Arial"/>
                <w:sz w:val="18"/>
                <w:szCs w:val="18"/>
              </w:rPr>
            </w:pPr>
            <w:r w:rsidRPr="001D41EA">
              <w:rPr>
                <w:rFonts w:cs="Arial"/>
                <w:sz w:val="18"/>
                <w:szCs w:val="18"/>
              </w:rPr>
              <w:t>762</w:t>
            </w:r>
          </w:p>
        </w:tc>
        <w:tc>
          <w:tcPr>
            <w:tcW w:w="1397" w:type="dxa"/>
            <w:tcBorders>
              <w:top w:val="nil"/>
              <w:left w:val="nil"/>
              <w:right w:val="nil"/>
            </w:tcBorders>
            <w:shd w:val="clear" w:color="auto" w:fill="auto"/>
            <w:vAlign w:val="bottom"/>
          </w:tcPr>
          <w:p w14:paraId="7ADF95CF" w14:textId="50E2ED55" w:rsidR="002B721C" w:rsidRPr="001D41EA" w:rsidRDefault="002B721C" w:rsidP="001D41EA">
            <w:pPr>
              <w:spacing w:before="40" w:after="20"/>
              <w:jc w:val="right"/>
              <w:rPr>
                <w:rFonts w:cs="Arial"/>
                <w:sz w:val="18"/>
                <w:szCs w:val="18"/>
              </w:rPr>
            </w:pPr>
            <w:r w:rsidRPr="001D41EA">
              <w:rPr>
                <w:rFonts w:cs="Arial"/>
                <w:sz w:val="18"/>
                <w:szCs w:val="18"/>
              </w:rPr>
              <w:t>941</w:t>
            </w:r>
          </w:p>
        </w:tc>
        <w:tc>
          <w:tcPr>
            <w:tcW w:w="1117" w:type="dxa"/>
            <w:tcBorders>
              <w:top w:val="nil"/>
              <w:left w:val="nil"/>
              <w:right w:val="nil"/>
            </w:tcBorders>
            <w:shd w:val="clear" w:color="auto" w:fill="auto"/>
            <w:vAlign w:val="bottom"/>
          </w:tcPr>
          <w:p w14:paraId="6E832A4C" w14:textId="2CB7A621" w:rsidR="002B721C" w:rsidRPr="001D41EA" w:rsidRDefault="002B721C" w:rsidP="001D41EA">
            <w:pPr>
              <w:spacing w:before="40" w:after="20"/>
              <w:jc w:val="right"/>
              <w:rPr>
                <w:rFonts w:cs="Arial"/>
                <w:sz w:val="18"/>
                <w:szCs w:val="18"/>
              </w:rPr>
            </w:pPr>
            <w:r w:rsidRPr="001D41EA">
              <w:rPr>
                <w:rFonts w:cs="Arial"/>
                <w:sz w:val="18"/>
                <w:szCs w:val="18"/>
              </w:rPr>
              <w:t>34.1</w:t>
            </w:r>
          </w:p>
        </w:tc>
        <w:tc>
          <w:tcPr>
            <w:tcW w:w="1117" w:type="dxa"/>
            <w:tcBorders>
              <w:top w:val="nil"/>
              <w:left w:val="nil"/>
              <w:right w:val="nil"/>
            </w:tcBorders>
            <w:shd w:val="clear" w:color="auto" w:fill="auto"/>
            <w:vAlign w:val="bottom"/>
          </w:tcPr>
          <w:p w14:paraId="38FA8871" w14:textId="1C6D0812" w:rsidR="002B721C" w:rsidRPr="001D41EA" w:rsidRDefault="002B721C" w:rsidP="001D41EA">
            <w:pPr>
              <w:spacing w:before="40" w:after="20"/>
              <w:jc w:val="right"/>
              <w:rPr>
                <w:rFonts w:cs="Arial"/>
                <w:sz w:val="18"/>
                <w:szCs w:val="18"/>
              </w:rPr>
            </w:pPr>
            <w:r w:rsidRPr="001D41EA">
              <w:rPr>
                <w:rFonts w:cs="Arial"/>
                <w:sz w:val="18"/>
                <w:szCs w:val="18"/>
              </w:rPr>
              <w:t>9,925</w:t>
            </w:r>
          </w:p>
        </w:tc>
        <w:tc>
          <w:tcPr>
            <w:tcW w:w="971" w:type="dxa"/>
            <w:tcBorders>
              <w:top w:val="nil"/>
              <w:left w:val="nil"/>
              <w:right w:val="nil"/>
            </w:tcBorders>
            <w:shd w:val="clear" w:color="auto" w:fill="auto"/>
            <w:vAlign w:val="bottom"/>
          </w:tcPr>
          <w:p w14:paraId="7E512100" w14:textId="1DDB6A57" w:rsidR="002B721C" w:rsidRPr="001D41EA" w:rsidRDefault="002B721C" w:rsidP="001D41EA">
            <w:pPr>
              <w:spacing w:before="40" w:after="20"/>
              <w:jc w:val="right"/>
              <w:rPr>
                <w:rFonts w:cs="Arial"/>
                <w:sz w:val="18"/>
                <w:szCs w:val="18"/>
              </w:rPr>
            </w:pPr>
            <w:r w:rsidRPr="001D41EA">
              <w:rPr>
                <w:rFonts w:cs="Arial"/>
                <w:sz w:val="18"/>
                <w:szCs w:val="18"/>
              </w:rPr>
              <w:t>1,491</w:t>
            </w:r>
          </w:p>
        </w:tc>
        <w:tc>
          <w:tcPr>
            <w:tcW w:w="1228" w:type="dxa"/>
            <w:tcBorders>
              <w:top w:val="nil"/>
              <w:left w:val="nil"/>
              <w:right w:val="nil"/>
            </w:tcBorders>
            <w:shd w:val="clear" w:color="auto" w:fill="auto"/>
            <w:vAlign w:val="bottom"/>
          </w:tcPr>
          <w:p w14:paraId="096C07EC" w14:textId="058B503E" w:rsidR="002B721C" w:rsidRPr="001D41EA" w:rsidRDefault="002B721C" w:rsidP="001D41EA">
            <w:pPr>
              <w:spacing w:before="40" w:after="20"/>
              <w:jc w:val="right"/>
              <w:rPr>
                <w:rFonts w:cs="Arial"/>
                <w:sz w:val="18"/>
                <w:szCs w:val="18"/>
              </w:rPr>
            </w:pPr>
            <w:r w:rsidRPr="001D41EA">
              <w:rPr>
                <w:rFonts w:cs="Arial"/>
                <w:sz w:val="18"/>
                <w:szCs w:val="18"/>
              </w:rPr>
              <w:t>2.8%</w:t>
            </w:r>
          </w:p>
        </w:tc>
      </w:tr>
      <w:tr w:rsidR="003C2E13" w:rsidRPr="001D41EA" w14:paraId="43531D8D" w14:textId="77777777" w:rsidTr="00B44BBE">
        <w:trPr>
          <w:trHeight w:val="20"/>
        </w:trPr>
        <w:tc>
          <w:tcPr>
            <w:tcW w:w="2233" w:type="dxa"/>
            <w:tcBorders>
              <w:top w:val="nil"/>
              <w:left w:val="nil"/>
              <w:right w:val="single" w:sz="18" w:space="0" w:color="5F497A" w:themeColor="accent4" w:themeShade="BF"/>
            </w:tcBorders>
            <w:shd w:val="clear" w:color="auto" w:fill="auto"/>
            <w:vAlign w:val="center"/>
          </w:tcPr>
          <w:p w14:paraId="7CB4A4CE" w14:textId="77777777" w:rsidR="003C2E13" w:rsidRPr="001D41EA" w:rsidRDefault="003C2E13" w:rsidP="001D41EA">
            <w:pPr>
              <w:spacing w:before="40" w:after="20"/>
              <w:rPr>
                <w:rFonts w:cs="Arial"/>
                <w:sz w:val="18"/>
                <w:szCs w:val="18"/>
              </w:rPr>
            </w:pPr>
          </w:p>
        </w:tc>
        <w:tc>
          <w:tcPr>
            <w:tcW w:w="1236"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39236E65" w14:textId="21AAE513" w:rsidR="003C2E13" w:rsidRPr="001D41EA" w:rsidRDefault="003C2E13" w:rsidP="001D41EA">
            <w:pPr>
              <w:spacing w:before="40" w:after="20"/>
              <w:jc w:val="right"/>
              <w:rPr>
                <w:rFonts w:cs="Arial"/>
                <w:sz w:val="18"/>
                <w:szCs w:val="18"/>
              </w:rPr>
            </w:pPr>
          </w:p>
        </w:tc>
        <w:tc>
          <w:tcPr>
            <w:tcW w:w="1397" w:type="dxa"/>
            <w:tcBorders>
              <w:top w:val="nil"/>
              <w:left w:val="nil"/>
              <w:bottom w:val="single" w:sz="8" w:space="0" w:color="5F497A" w:themeColor="accent4" w:themeShade="BF"/>
              <w:right w:val="nil"/>
            </w:tcBorders>
            <w:shd w:val="clear" w:color="auto" w:fill="auto"/>
            <w:vAlign w:val="bottom"/>
          </w:tcPr>
          <w:p w14:paraId="1F4EE066" w14:textId="77777777" w:rsidR="003C2E13" w:rsidRPr="001D41EA" w:rsidRDefault="003C2E13" w:rsidP="001D41EA">
            <w:pPr>
              <w:spacing w:before="40" w:after="20"/>
              <w:jc w:val="right"/>
              <w:rPr>
                <w:rFonts w:cs="Arial"/>
                <w:sz w:val="18"/>
                <w:szCs w:val="18"/>
              </w:rPr>
            </w:pPr>
          </w:p>
        </w:tc>
        <w:tc>
          <w:tcPr>
            <w:tcW w:w="1117" w:type="dxa"/>
            <w:tcBorders>
              <w:top w:val="nil"/>
              <w:left w:val="nil"/>
              <w:bottom w:val="single" w:sz="8" w:space="0" w:color="5F497A" w:themeColor="accent4" w:themeShade="BF"/>
              <w:right w:val="nil"/>
            </w:tcBorders>
            <w:shd w:val="clear" w:color="auto" w:fill="auto"/>
            <w:vAlign w:val="bottom"/>
          </w:tcPr>
          <w:p w14:paraId="30037C60" w14:textId="77777777" w:rsidR="003C2E13" w:rsidRPr="001D41EA" w:rsidRDefault="003C2E13" w:rsidP="001D41EA">
            <w:pPr>
              <w:spacing w:before="40" w:after="20"/>
              <w:jc w:val="right"/>
              <w:rPr>
                <w:rFonts w:cs="Arial"/>
                <w:sz w:val="18"/>
                <w:szCs w:val="18"/>
              </w:rPr>
            </w:pPr>
          </w:p>
        </w:tc>
        <w:tc>
          <w:tcPr>
            <w:tcW w:w="1117" w:type="dxa"/>
            <w:tcBorders>
              <w:top w:val="nil"/>
              <w:left w:val="nil"/>
              <w:bottom w:val="single" w:sz="8" w:space="0" w:color="5F497A" w:themeColor="accent4" w:themeShade="BF"/>
              <w:right w:val="nil"/>
            </w:tcBorders>
            <w:shd w:val="clear" w:color="auto" w:fill="auto"/>
            <w:vAlign w:val="bottom"/>
          </w:tcPr>
          <w:p w14:paraId="10C7481E" w14:textId="77777777" w:rsidR="003C2E13" w:rsidRPr="001D41EA" w:rsidRDefault="003C2E13" w:rsidP="001D41EA">
            <w:pPr>
              <w:spacing w:before="40" w:after="20"/>
              <w:jc w:val="right"/>
              <w:rPr>
                <w:rFonts w:cs="Arial"/>
                <w:sz w:val="18"/>
                <w:szCs w:val="18"/>
              </w:rPr>
            </w:pPr>
          </w:p>
        </w:tc>
        <w:tc>
          <w:tcPr>
            <w:tcW w:w="971" w:type="dxa"/>
            <w:tcBorders>
              <w:top w:val="nil"/>
              <w:left w:val="nil"/>
              <w:bottom w:val="single" w:sz="8" w:space="0" w:color="5F497A" w:themeColor="accent4" w:themeShade="BF"/>
              <w:right w:val="nil"/>
            </w:tcBorders>
            <w:shd w:val="clear" w:color="auto" w:fill="auto"/>
            <w:vAlign w:val="bottom"/>
          </w:tcPr>
          <w:p w14:paraId="48266730" w14:textId="77777777" w:rsidR="003C2E13" w:rsidRPr="001D41EA" w:rsidRDefault="003C2E13" w:rsidP="001D41EA">
            <w:pPr>
              <w:spacing w:before="40" w:after="20"/>
              <w:jc w:val="right"/>
              <w:rPr>
                <w:rFonts w:cs="Arial"/>
                <w:sz w:val="18"/>
                <w:szCs w:val="18"/>
              </w:rPr>
            </w:pPr>
          </w:p>
        </w:tc>
        <w:tc>
          <w:tcPr>
            <w:tcW w:w="1228" w:type="dxa"/>
            <w:tcBorders>
              <w:top w:val="nil"/>
              <w:left w:val="nil"/>
              <w:bottom w:val="single" w:sz="8" w:space="0" w:color="5F497A" w:themeColor="accent4" w:themeShade="BF"/>
              <w:right w:val="nil"/>
            </w:tcBorders>
            <w:shd w:val="clear" w:color="auto" w:fill="auto"/>
            <w:vAlign w:val="bottom"/>
          </w:tcPr>
          <w:p w14:paraId="04517070" w14:textId="79F40684" w:rsidR="003C2E13" w:rsidRPr="001D41EA" w:rsidRDefault="003C2E13" w:rsidP="001D41EA">
            <w:pPr>
              <w:spacing w:before="40" w:after="20"/>
              <w:jc w:val="right"/>
              <w:rPr>
                <w:rFonts w:cs="Arial"/>
                <w:sz w:val="18"/>
                <w:szCs w:val="18"/>
              </w:rPr>
            </w:pPr>
          </w:p>
        </w:tc>
      </w:tr>
      <w:tr w:rsidR="003C2E13" w:rsidRPr="00A637B1" w14:paraId="5473F056" w14:textId="77777777" w:rsidTr="00B44BBE">
        <w:trPr>
          <w:trHeight w:val="20"/>
        </w:trPr>
        <w:tc>
          <w:tcPr>
            <w:tcW w:w="2233" w:type="dxa"/>
            <w:tcBorders>
              <w:top w:val="nil"/>
              <w:left w:val="nil"/>
              <w:right w:val="single" w:sz="18" w:space="0" w:color="5F497A" w:themeColor="accent4" w:themeShade="BF"/>
            </w:tcBorders>
            <w:shd w:val="clear" w:color="auto" w:fill="auto"/>
            <w:vAlign w:val="center"/>
          </w:tcPr>
          <w:p w14:paraId="66A19225" w14:textId="77777777" w:rsidR="003C2E13" w:rsidRPr="001D41EA" w:rsidRDefault="003C2E13" w:rsidP="001D41EA">
            <w:pPr>
              <w:spacing w:before="40" w:after="20"/>
              <w:rPr>
                <w:rFonts w:cs="Arial"/>
                <w:sz w:val="18"/>
                <w:szCs w:val="18"/>
              </w:rPr>
            </w:pPr>
          </w:p>
        </w:tc>
        <w:tc>
          <w:tcPr>
            <w:tcW w:w="1236" w:type="dxa"/>
            <w:tcBorders>
              <w:top w:val="single" w:sz="8" w:space="0" w:color="5F497A" w:themeColor="accent4" w:themeShade="BF"/>
              <w:left w:val="single" w:sz="18" w:space="0" w:color="5F497A" w:themeColor="accent4" w:themeShade="BF"/>
              <w:right w:val="nil"/>
            </w:tcBorders>
            <w:shd w:val="clear" w:color="auto" w:fill="auto"/>
            <w:vAlign w:val="bottom"/>
          </w:tcPr>
          <w:p w14:paraId="5F70932B" w14:textId="571CBFC5" w:rsidR="003C2E13" w:rsidRPr="001D41EA" w:rsidRDefault="003C2E13" w:rsidP="001D41EA">
            <w:pPr>
              <w:spacing w:before="40" w:after="20"/>
              <w:jc w:val="right"/>
              <w:rPr>
                <w:rFonts w:cs="Arial"/>
                <w:b/>
                <w:sz w:val="18"/>
                <w:szCs w:val="18"/>
              </w:rPr>
            </w:pPr>
          </w:p>
        </w:tc>
        <w:tc>
          <w:tcPr>
            <w:tcW w:w="1397" w:type="dxa"/>
            <w:tcBorders>
              <w:top w:val="single" w:sz="8" w:space="0" w:color="5F497A" w:themeColor="accent4" w:themeShade="BF"/>
              <w:left w:val="nil"/>
              <w:right w:val="nil"/>
            </w:tcBorders>
            <w:shd w:val="clear" w:color="auto" w:fill="auto"/>
            <w:vAlign w:val="bottom"/>
          </w:tcPr>
          <w:p w14:paraId="7CCAD0E1" w14:textId="466CCDB7" w:rsidR="003C2E13" w:rsidRPr="001D41EA" w:rsidRDefault="003C2E13" w:rsidP="001D41EA">
            <w:pPr>
              <w:spacing w:before="40" w:after="20"/>
              <w:jc w:val="right"/>
              <w:rPr>
                <w:rFonts w:cs="Arial"/>
                <w:b/>
                <w:sz w:val="18"/>
                <w:szCs w:val="18"/>
              </w:rPr>
            </w:pPr>
          </w:p>
        </w:tc>
        <w:tc>
          <w:tcPr>
            <w:tcW w:w="1117" w:type="dxa"/>
            <w:tcBorders>
              <w:top w:val="single" w:sz="8" w:space="0" w:color="5F497A" w:themeColor="accent4" w:themeShade="BF"/>
              <w:left w:val="nil"/>
              <w:right w:val="nil"/>
            </w:tcBorders>
            <w:shd w:val="clear" w:color="auto" w:fill="auto"/>
            <w:vAlign w:val="bottom"/>
          </w:tcPr>
          <w:p w14:paraId="0BBC3609" w14:textId="1AFDDD6E" w:rsidR="003C2E13" w:rsidRPr="001D41EA" w:rsidRDefault="003C2E13" w:rsidP="001D41EA">
            <w:pPr>
              <w:spacing w:before="40" w:after="20"/>
              <w:jc w:val="right"/>
              <w:rPr>
                <w:rFonts w:cs="Arial"/>
                <w:b/>
                <w:sz w:val="18"/>
                <w:szCs w:val="18"/>
              </w:rPr>
            </w:pPr>
          </w:p>
        </w:tc>
        <w:tc>
          <w:tcPr>
            <w:tcW w:w="1117" w:type="dxa"/>
            <w:tcBorders>
              <w:top w:val="single" w:sz="8" w:space="0" w:color="5F497A" w:themeColor="accent4" w:themeShade="BF"/>
              <w:left w:val="nil"/>
              <w:right w:val="nil"/>
            </w:tcBorders>
            <w:shd w:val="clear" w:color="auto" w:fill="auto"/>
            <w:vAlign w:val="bottom"/>
          </w:tcPr>
          <w:p w14:paraId="4E71B922" w14:textId="501A460A" w:rsidR="003C2E13" w:rsidRPr="001D41EA" w:rsidRDefault="003C2E13" w:rsidP="001D41EA">
            <w:pPr>
              <w:spacing w:before="40" w:after="20"/>
              <w:jc w:val="right"/>
              <w:rPr>
                <w:rFonts w:cs="Arial"/>
                <w:b/>
                <w:sz w:val="18"/>
                <w:szCs w:val="18"/>
              </w:rPr>
            </w:pPr>
          </w:p>
        </w:tc>
        <w:tc>
          <w:tcPr>
            <w:tcW w:w="971" w:type="dxa"/>
            <w:tcBorders>
              <w:top w:val="single" w:sz="8" w:space="0" w:color="5F497A" w:themeColor="accent4" w:themeShade="BF"/>
              <w:left w:val="nil"/>
              <w:right w:val="nil"/>
            </w:tcBorders>
            <w:shd w:val="clear" w:color="auto" w:fill="auto"/>
            <w:vAlign w:val="bottom"/>
          </w:tcPr>
          <w:p w14:paraId="7BD81A3A" w14:textId="35EFEB15" w:rsidR="003C2E13" w:rsidRPr="001D41EA" w:rsidRDefault="003C2E13" w:rsidP="001D41EA">
            <w:pPr>
              <w:spacing w:before="40" w:after="20"/>
              <w:jc w:val="right"/>
              <w:rPr>
                <w:rFonts w:cs="Arial"/>
                <w:b/>
                <w:sz w:val="18"/>
                <w:szCs w:val="18"/>
              </w:rPr>
            </w:pPr>
          </w:p>
        </w:tc>
        <w:tc>
          <w:tcPr>
            <w:tcW w:w="1228" w:type="dxa"/>
            <w:tcBorders>
              <w:top w:val="single" w:sz="8" w:space="0" w:color="5F497A" w:themeColor="accent4" w:themeShade="BF"/>
              <w:left w:val="nil"/>
              <w:right w:val="nil"/>
            </w:tcBorders>
            <w:shd w:val="clear" w:color="auto" w:fill="auto"/>
            <w:vAlign w:val="bottom"/>
          </w:tcPr>
          <w:p w14:paraId="2C730AD9" w14:textId="3422CBC4" w:rsidR="003C2E13" w:rsidRPr="001D41EA" w:rsidRDefault="003C2E13" w:rsidP="001D41EA">
            <w:pPr>
              <w:spacing w:before="40" w:after="20"/>
              <w:jc w:val="right"/>
              <w:rPr>
                <w:rFonts w:cs="Arial"/>
                <w:b/>
                <w:sz w:val="18"/>
                <w:szCs w:val="18"/>
              </w:rPr>
            </w:pPr>
          </w:p>
        </w:tc>
      </w:tr>
    </w:tbl>
    <w:p w14:paraId="7ED7F459" w14:textId="77777777" w:rsidR="00D67755" w:rsidRPr="00A44829" w:rsidRDefault="00D67755" w:rsidP="00FF36E8">
      <w:pPr>
        <w:spacing w:before="40" w:after="20"/>
        <w:rPr>
          <w:rFonts w:cs="Arial"/>
          <w:sz w:val="18"/>
          <w:szCs w:val="18"/>
        </w:rPr>
      </w:pPr>
      <w:r w:rsidRPr="00A44829">
        <w:rPr>
          <w:rFonts w:cs="Arial"/>
          <w:sz w:val="18"/>
          <w:szCs w:val="18"/>
        </w:rPr>
        <w:br w:type="page"/>
      </w:r>
    </w:p>
    <w:p w14:paraId="3DC5E3C2" w14:textId="0EB3E55A" w:rsidR="00D67755" w:rsidRPr="00A44829" w:rsidRDefault="00CE4507" w:rsidP="00C33713">
      <w:pPr>
        <w:pStyle w:val="VGC-Head10"/>
      </w:pPr>
      <w:r w:rsidRPr="00A44829">
        <w:lastRenderedPageBreak/>
        <w:t>Appendix 4</w:t>
      </w:r>
      <w:r w:rsidR="00D67755" w:rsidRPr="00A44829">
        <w:tab/>
      </w:r>
      <w:r w:rsidR="00EE4593" w:rsidRPr="00A44829">
        <w:t>2019-20</w:t>
      </w:r>
      <w:r w:rsidR="00A97ABE" w:rsidRPr="00A44829">
        <w:t xml:space="preserve"> </w:t>
      </w:r>
      <w:r w:rsidR="00D67755" w:rsidRPr="00A44829">
        <w:t xml:space="preserve">General Purpose Grants </w:t>
      </w:r>
    </w:p>
    <w:p w14:paraId="6BBF52D4" w14:textId="1B0B5010" w:rsidR="00D67755" w:rsidRPr="00A44829" w:rsidRDefault="00D67755" w:rsidP="008C1A28">
      <w:pPr>
        <w:pStyle w:val="VGC-Head2"/>
      </w:pPr>
      <w:r w:rsidRPr="00A44829">
        <w:t xml:space="preserve">H.  Revenue Adjustors – </w:t>
      </w:r>
      <w:r w:rsidR="002A2397">
        <w:t>Index</w:t>
      </w:r>
    </w:p>
    <w:p w14:paraId="25D9888D" w14:textId="77777777" w:rsidR="00D67755" w:rsidRPr="00A44829" w:rsidRDefault="00D6775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14AE6" w:rsidRPr="00A44829" w14:paraId="09B19728"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255854AD" w14:textId="77777777" w:rsidR="00314AE6" w:rsidRPr="00A44829" w:rsidRDefault="00314AE6" w:rsidP="008001AD">
            <w:pPr>
              <w:spacing w:before="40" w:after="20"/>
              <w:jc w:val="center"/>
              <w:rPr>
                <w:rFonts w:cs="Arial"/>
                <w:sz w:val="18"/>
                <w:szCs w:val="18"/>
              </w:rPr>
            </w:pPr>
          </w:p>
        </w:tc>
        <w:tc>
          <w:tcPr>
            <w:tcW w:w="1361" w:type="dxa"/>
            <w:tcBorders>
              <w:left w:val="single" w:sz="18" w:space="0" w:color="5F497A" w:themeColor="accent4" w:themeShade="BF"/>
              <w:bottom w:val="single" w:sz="8" w:space="0" w:color="5F497A" w:themeColor="accent4" w:themeShade="BF"/>
            </w:tcBorders>
            <w:shd w:val="clear" w:color="auto" w:fill="auto"/>
            <w:vAlign w:val="bottom"/>
          </w:tcPr>
          <w:p w14:paraId="48B54751" w14:textId="1090D256" w:rsidR="00314AE6" w:rsidRPr="00A44829" w:rsidRDefault="00314AE6" w:rsidP="008001AD">
            <w:pPr>
              <w:spacing w:before="40" w:after="20"/>
              <w:jc w:val="center"/>
              <w:rPr>
                <w:rFonts w:cs="Arial"/>
                <w:sz w:val="18"/>
                <w:szCs w:val="18"/>
              </w:rPr>
            </w:pPr>
            <w:r w:rsidRPr="00A44829">
              <w:rPr>
                <w:rFonts w:cs="Arial"/>
                <w:b/>
                <w:sz w:val="18"/>
                <w:szCs w:val="18"/>
              </w:rPr>
              <w:t xml:space="preserve">Median Household Income </w:t>
            </w:r>
            <w:r w:rsidR="00270CE1" w:rsidRPr="00A44829">
              <w:rPr>
                <w:rFonts w:cs="Arial"/>
                <w:b/>
                <w:sz w:val="18"/>
                <w:szCs w:val="18"/>
              </w:rPr>
              <w:br/>
            </w:r>
            <w:r w:rsidRPr="00A44829">
              <w:rPr>
                <w:rFonts w:cs="Arial"/>
                <w:b/>
                <w:sz w:val="18"/>
                <w:szCs w:val="18"/>
              </w:rPr>
              <w:t xml:space="preserve">(60+) </w:t>
            </w:r>
          </w:p>
        </w:tc>
        <w:tc>
          <w:tcPr>
            <w:tcW w:w="1361" w:type="dxa"/>
            <w:tcBorders>
              <w:bottom w:val="single" w:sz="8" w:space="0" w:color="5F497A" w:themeColor="accent4" w:themeShade="BF"/>
            </w:tcBorders>
            <w:shd w:val="clear" w:color="auto" w:fill="auto"/>
            <w:vAlign w:val="bottom"/>
          </w:tcPr>
          <w:p w14:paraId="6D7DB96D" w14:textId="36FEA5BD" w:rsidR="00314AE6" w:rsidRPr="00A44829" w:rsidRDefault="00270CE1" w:rsidP="008001AD">
            <w:pPr>
              <w:spacing w:before="40" w:after="20"/>
              <w:jc w:val="center"/>
              <w:rPr>
                <w:rFonts w:cs="Arial"/>
                <w:sz w:val="18"/>
                <w:szCs w:val="18"/>
              </w:rPr>
            </w:pPr>
            <w:r w:rsidRPr="00A44829">
              <w:rPr>
                <w:rFonts w:cs="Arial"/>
                <w:b/>
                <w:sz w:val="18"/>
                <w:szCs w:val="18"/>
              </w:rPr>
              <w:t>Socio-</w:t>
            </w:r>
            <w:r w:rsidR="00314AE6" w:rsidRPr="00A44829">
              <w:rPr>
                <w:rFonts w:cs="Arial"/>
                <w:b/>
                <w:sz w:val="18"/>
                <w:szCs w:val="18"/>
              </w:rPr>
              <w:t xml:space="preserve">Economic </w:t>
            </w:r>
            <w:r w:rsidRPr="00A44829">
              <w:rPr>
                <w:rFonts w:cs="Arial"/>
                <w:b/>
                <w:spacing w:val="-4"/>
                <w:sz w:val="18"/>
                <w:szCs w:val="18"/>
              </w:rPr>
              <w:t>Disadvantage</w:t>
            </w:r>
          </w:p>
        </w:tc>
        <w:tc>
          <w:tcPr>
            <w:tcW w:w="1361" w:type="dxa"/>
            <w:tcBorders>
              <w:bottom w:val="single" w:sz="8" w:space="0" w:color="5F497A" w:themeColor="accent4" w:themeShade="BF"/>
            </w:tcBorders>
            <w:vAlign w:val="bottom"/>
          </w:tcPr>
          <w:p w14:paraId="0B3F83FC" w14:textId="5E074D0D" w:rsidR="00314AE6" w:rsidRPr="00A44829" w:rsidRDefault="00314AE6" w:rsidP="00AE1098">
            <w:pPr>
              <w:spacing w:before="40" w:after="20"/>
              <w:jc w:val="center"/>
              <w:rPr>
                <w:rFonts w:cs="Arial"/>
                <w:b/>
                <w:sz w:val="18"/>
                <w:szCs w:val="18"/>
              </w:rPr>
            </w:pPr>
            <w:r w:rsidRPr="00A44829">
              <w:rPr>
                <w:rFonts w:cs="Arial"/>
                <w:b/>
                <w:sz w:val="18"/>
                <w:szCs w:val="18"/>
              </w:rPr>
              <w:t xml:space="preserve">Tourism </w:t>
            </w:r>
          </w:p>
        </w:tc>
        <w:tc>
          <w:tcPr>
            <w:tcW w:w="1361" w:type="dxa"/>
            <w:tcBorders>
              <w:bottom w:val="single" w:sz="8" w:space="0" w:color="5F497A" w:themeColor="accent4" w:themeShade="BF"/>
            </w:tcBorders>
            <w:vAlign w:val="bottom"/>
          </w:tcPr>
          <w:p w14:paraId="1EB717EA" w14:textId="4D956904" w:rsidR="00314AE6" w:rsidRPr="00A44829" w:rsidRDefault="00314AE6" w:rsidP="008001AD">
            <w:pPr>
              <w:spacing w:before="40" w:after="20"/>
              <w:jc w:val="center"/>
              <w:rPr>
                <w:rFonts w:cs="Arial"/>
                <w:b/>
                <w:sz w:val="18"/>
                <w:szCs w:val="18"/>
              </w:rPr>
            </w:pPr>
            <w:r w:rsidRPr="00A44829">
              <w:rPr>
                <w:rFonts w:cs="Arial"/>
                <w:b/>
                <w:sz w:val="18"/>
                <w:szCs w:val="18"/>
              </w:rPr>
              <w:t xml:space="preserve">Value of Building Approvals </w:t>
            </w:r>
          </w:p>
        </w:tc>
        <w:tc>
          <w:tcPr>
            <w:tcW w:w="1361" w:type="dxa"/>
            <w:tcBorders>
              <w:bottom w:val="single" w:sz="8" w:space="0" w:color="5F497A" w:themeColor="accent4" w:themeShade="BF"/>
            </w:tcBorders>
            <w:shd w:val="clear" w:color="auto" w:fill="auto"/>
            <w:vAlign w:val="bottom"/>
          </w:tcPr>
          <w:p w14:paraId="711D3CC7" w14:textId="001A6D51" w:rsidR="00314AE6" w:rsidRPr="00A44829" w:rsidRDefault="005B58BE" w:rsidP="008001AD">
            <w:pPr>
              <w:spacing w:before="40" w:after="20"/>
              <w:jc w:val="center"/>
              <w:rPr>
                <w:rFonts w:cs="Arial"/>
                <w:sz w:val="18"/>
                <w:szCs w:val="18"/>
              </w:rPr>
            </w:pPr>
            <w:r w:rsidRPr="00A44829">
              <w:rPr>
                <w:rFonts w:cs="Arial"/>
                <w:b/>
                <w:sz w:val="18"/>
                <w:szCs w:val="18"/>
              </w:rPr>
              <w:t xml:space="preserve">Valuations </w:t>
            </w:r>
            <w:r>
              <w:rPr>
                <w:rFonts w:cs="Arial"/>
                <w:b/>
                <w:sz w:val="18"/>
                <w:szCs w:val="18"/>
              </w:rPr>
              <w:t>(</w:t>
            </w:r>
            <w:r w:rsidR="00314AE6" w:rsidRPr="00A44829">
              <w:rPr>
                <w:rFonts w:cs="Arial"/>
                <w:b/>
                <w:sz w:val="18"/>
                <w:szCs w:val="18"/>
              </w:rPr>
              <w:t>Commercial</w:t>
            </w:r>
            <w:r>
              <w:rPr>
                <w:rFonts w:cs="Arial"/>
                <w:b/>
                <w:sz w:val="18"/>
                <w:szCs w:val="18"/>
              </w:rPr>
              <w:t>)</w:t>
            </w:r>
            <w:r w:rsidR="00314AE6" w:rsidRPr="00A44829">
              <w:rPr>
                <w:rFonts w:cs="Arial"/>
                <w:b/>
                <w:sz w:val="18"/>
                <w:szCs w:val="18"/>
              </w:rPr>
              <w:t xml:space="preserve"> </w:t>
            </w:r>
          </w:p>
        </w:tc>
      </w:tr>
      <w:tr w:rsidR="002B721C" w:rsidRPr="001D41EA" w14:paraId="4B02CC62" w14:textId="77777777" w:rsidTr="00B44BBE">
        <w:trPr>
          <w:trHeight w:val="240"/>
          <w:tblHeader/>
        </w:trPr>
        <w:tc>
          <w:tcPr>
            <w:tcW w:w="2268" w:type="dxa"/>
            <w:tcBorders>
              <w:left w:val="nil"/>
              <w:bottom w:val="nil"/>
              <w:right w:val="single" w:sz="18" w:space="0" w:color="5F497A" w:themeColor="accent4" w:themeShade="BF"/>
            </w:tcBorders>
            <w:shd w:val="clear" w:color="auto" w:fill="auto"/>
            <w:vAlign w:val="center"/>
          </w:tcPr>
          <w:p w14:paraId="7D008C8E" w14:textId="77777777" w:rsidR="002B721C" w:rsidRPr="001D41EA" w:rsidRDefault="002B721C" w:rsidP="001D41EA">
            <w:pPr>
              <w:spacing w:before="40" w:after="4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91D182D" w14:textId="423A4253" w:rsidR="002B721C" w:rsidRPr="001D41EA" w:rsidRDefault="002B721C" w:rsidP="001D41EA">
            <w:pPr>
              <w:spacing w:before="40" w:after="40"/>
              <w:jc w:val="center"/>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0C35421B" w14:textId="77777777" w:rsidR="002B721C" w:rsidRPr="001D41EA" w:rsidRDefault="002B721C" w:rsidP="001D41EA">
            <w:pPr>
              <w:spacing w:before="40" w:after="40"/>
              <w:jc w:val="center"/>
              <w:rPr>
                <w:rFonts w:cs="Arial"/>
                <w:sz w:val="18"/>
                <w:szCs w:val="18"/>
              </w:rPr>
            </w:pPr>
          </w:p>
        </w:tc>
        <w:tc>
          <w:tcPr>
            <w:tcW w:w="1361" w:type="dxa"/>
            <w:tcBorders>
              <w:top w:val="single" w:sz="8" w:space="0" w:color="5F497A" w:themeColor="accent4" w:themeShade="BF"/>
              <w:left w:val="nil"/>
              <w:bottom w:val="nil"/>
              <w:right w:val="nil"/>
            </w:tcBorders>
            <w:vAlign w:val="bottom"/>
          </w:tcPr>
          <w:p w14:paraId="7235AB6B" w14:textId="77777777" w:rsidR="002B721C" w:rsidRPr="001D41EA" w:rsidRDefault="002B721C" w:rsidP="001D41EA">
            <w:pPr>
              <w:spacing w:before="40" w:after="40"/>
              <w:jc w:val="center"/>
              <w:rPr>
                <w:rFonts w:cs="Arial"/>
                <w:sz w:val="18"/>
                <w:szCs w:val="18"/>
              </w:rPr>
            </w:pPr>
          </w:p>
        </w:tc>
        <w:tc>
          <w:tcPr>
            <w:tcW w:w="1361" w:type="dxa"/>
            <w:tcBorders>
              <w:top w:val="single" w:sz="8" w:space="0" w:color="5F497A" w:themeColor="accent4" w:themeShade="BF"/>
              <w:left w:val="nil"/>
              <w:bottom w:val="nil"/>
              <w:right w:val="nil"/>
            </w:tcBorders>
            <w:vAlign w:val="bottom"/>
          </w:tcPr>
          <w:p w14:paraId="0FFE2F1F" w14:textId="77777777" w:rsidR="002B721C" w:rsidRPr="001D41EA" w:rsidRDefault="002B721C" w:rsidP="001D41EA">
            <w:pPr>
              <w:spacing w:before="40" w:after="40"/>
              <w:jc w:val="center"/>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2562667F" w14:textId="500F3BE6" w:rsidR="002B721C" w:rsidRPr="001D41EA" w:rsidRDefault="002B721C" w:rsidP="001D41EA">
            <w:pPr>
              <w:spacing w:before="40" w:after="40"/>
              <w:jc w:val="center"/>
              <w:rPr>
                <w:rFonts w:cs="Arial"/>
                <w:sz w:val="18"/>
                <w:szCs w:val="18"/>
              </w:rPr>
            </w:pPr>
          </w:p>
        </w:tc>
      </w:tr>
      <w:tr w:rsidR="002B721C" w:rsidRPr="001D41EA" w14:paraId="2A26287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567B8EC" w14:textId="77777777" w:rsidR="002B721C" w:rsidRPr="001D41EA" w:rsidRDefault="002B721C" w:rsidP="001D41EA">
            <w:pPr>
              <w:spacing w:before="40" w:after="40"/>
              <w:rPr>
                <w:rFonts w:cs="Arial"/>
                <w:sz w:val="18"/>
                <w:szCs w:val="18"/>
              </w:rPr>
            </w:pPr>
            <w:r w:rsidRPr="001D41EA">
              <w:rPr>
                <w:rFonts w:cs="Arial"/>
                <w:sz w:val="18"/>
                <w:szCs w:val="18"/>
              </w:rPr>
              <w:t>Alpine S</w:t>
            </w:r>
          </w:p>
        </w:tc>
        <w:tc>
          <w:tcPr>
            <w:tcW w:w="1361" w:type="dxa"/>
            <w:tcBorders>
              <w:top w:val="nil"/>
              <w:left w:val="single" w:sz="18" w:space="0" w:color="5F497A" w:themeColor="accent4" w:themeShade="BF"/>
              <w:bottom w:val="nil"/>
              <w:right w:val="nil"/>
            </w:tcBorders>
            <w:shd w:val="clear" w:color="auto" w:fill="auto"/>
            <w:vAlign w:val="bottom"/>
          </w:tcPr>
          <w:p w14:paraId="372E1019" w14:textId="675C47D7" w:rsidR="002B721C" w:rsidRPr="001D41EA" w:rsidRDefault="002B721C" w:rsidP="001D41EA">
            <w:pPr>
              <w:spacing w:before="40" w:after="40"/>
              <w:jc w:val="center"/>
              <w:rPr>
                <w:rFonts w:cs="Arial"/>
                <w:sz w:val="18"/>
                <w:szCs w:val="18"/>
              </w:rPr>
            </w:pPr>
            <w:r w:rsidRPr="001D41EA">
              <w:rPr>
                <w:rFonts w:cs="Arial"/>
                <w:sz w:val="18"/>
                <w:szCs w:val="18"/>
              </w:rPr>
              <w:t>0.845</w:t>
            </w:r>
          </w:p>
        </w:tc>
        <w:tc>
          <w:tcPr>
            <w:tcW w:w="1361" w:type="dxa"/>
            <w:tcBorders>
              <w:top w:val="nil"/>
              <w:left w:val="nil"/>
              <w:bottom w:val="nil"/>
              <w:right w:val="nil"/>
            </w:tcBorders>
            <w:shd w:val="clear" w:color="auto" w:fill="auto"/>
            <w:vAlign w:val="bottom"/>
          </w:tcPr>
          <w:p w14:paraId="7D2C6B2A" w14:textId="5A3CEB2E" w:rsidR="002B721C" w:rsidRPr="001D41EA" w:rsidRDefault="002B721C" w:rsidP="001D41EA">
            <w:pPr>
              <w:spacing w:before="40" w:after="40"/>
              <w:jc w:val="center"/>
              <w:rPr>
                <w:rFonts w:cs="Arial"/>
                <w:sz w:val="18"/>
                <w:szCs w:val="18"/>
              </w:rPr>
            </w:pPr>
            <w:r w:rsidRPr="001D41EA">
              <w:rPr>
                <w:rFonts w:cs="Arial"/>
                <w:sz w:val="18"/>
                <w:szCs w:val="18"/>
              </w:rPr>
              <w:t>0.950</w:t>
            </w:r>
          </w:p>
        </w:tc>
        <w:tc>
          <w:tcPr>
            <w:tcW w:w="1361" w:type="dxa"/>
            <w:tcBorders>
              <w:top w:val="nil"/>
              <w:left w:val="nil"/>
              <w:bottom w:val="nil"/>
              <w:right w:val="nil"/>
            </w:tcBorders>
            <w:vAlign w:val="bottom"/>
          </w:tcPr>
          <w:p w14:paraId="2C183387" w14:textId="6E172903" w:rsidR="002B721C" w:rsidRPr="001D41EA" w:rsidRDefault="002B721C" w:rsidP="001D41EA">
            <w:pPr>
              <w:spacing w:before="40" w:after="40"/>
              <w:jc w:val="center"/>
              <w:rPr>
                <w:rFonts w:cs="Arial"/>
                <w:sz w:val="18"/>
                <w:szCs w:val="18"/>
              </w:rPr>
            </w:pPr>
            <w:r w:rsidRPr="001D41EA">
              <w:rPr>
                <w:rFonts w:cs="Arial"/>
                <w:sz w:val="18"/>
                <w:szCs w:val="18"/>
              </w:rPr>
              <w:t>1.770</w:t>
            </w:r>
          </w:p>
        </w:tc>
        <w:tc>
          <w:tcPr>
            <w:tcW w:w="1361" w:type="dxa"/>
            <w:tcBorders>
              <w:top w:val="nil"/>
              <w:left w:val="nil"/>
              <w:bottom w:val="nil"/>
              <w:right w:val="nil"/>
            </w:tcBorders>
            <w:vAlign w:val="bottom"/>
          </w:tcPr>
          <w:p w14:paraId="377D92E4" w14:textId="098D481C" w:rsidR="002B721C" w:rsidRPr="001D41EA" w:rsidRDefault="002B721C" w:rsidP="001D41EA">
            <w:pPr>
              <w:spacing w:before="40" w:after="40"/>
              <w:jc w:val="center"/>
              <w:rPr>
                <w:rFonts w:cs="Arial"/>
                <w:sz w:val="18"/>
                <w:szCs w:val="18"/>
              </w:rPr>
            </w:pPr>
            <w:r w:rsidRPr="001D41EA">
              <w:rPr>
                <w:rFonts w:cs="Arial"/>
                <w:sz w:val="18"/>
                <w:szCs w:val="18"/>
              </w:rPr>
              <w:t>0.904</w:t>
            </w:r>
          </w:p>
        </w:tc>
        <w:tc>
          <w:tcPr>
            <w:tcW w:w="1361" w:type="dxa"/>
            <w:tcBorders>
              <w:top w:val="nil"/>
              <w:left w:val="nil"/>
              <w:bottom w:val="nil"/>
              <w:right w:val="nil"/>
            </w:tcBorders>
            <w:shd w:val="clear" w:color="auto" w:fill="auto"/>
            <w:vAlign w:val="bottom"/>
          </w:tcPr>
          <w:p w14:paraId="67790E4A" w14:textId="0C1422EE" w:rsidR="002B721C" w:rsidRPr="001D41EA" w:rsidRDefault="002B721C" w:rsidP="001D41EA">
            <w:pPr>
              <w:spacing w:before="40" w:after="40"/>
              <w:jc w:val="center"/>
              <w:rPr>
                <w:rFonts w:cs="Arial"/>
                <w:sz w:val="18"/>
                <w:szCs w:val="18"/>
              </w:rPr>
            </w:pPr>
            <w:r w:rsidRPr="001D41EA">
              <w:rPr>
                <w:rFonts w:cs="Arial"/>
                <w:sz w:val="18"/>
                <w:szCs w:val="18"/>
              </w:rPr>
              <w:t>1.168</w:t>
            </w:r>
          </w:p>
        </w:tc>
      </w:tr>
      <w:tr w:rsidR="002B721C" w:rsidRPr="001D41EA" w14:paraId="00C86963"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4EA3EAF" w14:textId="77777777" w:rsidR="002B721C" w:rsidRPr="001D41EA" w:rsidRDefault="002B721C" w:rsidP="001D41EA">
            <w:pPr>
              <w:spacing w:before="40" w:after="40"/>
              <w:rPr>
                <w:rFonts w:cs="Arial"/>
                <w:sz w:val="18"/>
                <w:szCs w:val="18"/>
              </w:rPr>
            </w:pPr>
            <w:r w:rsidRPr="001D41EA">
              <w:rPr>
                <w:rFonts w:cs="Arial"/>
                <w:sz w:val="18"/>
                <w:szCs w:val="18"/>
              </w:rPr>
              <w:t>Ararat RC</w:t>
            </w:r>
          </w:p>
        </w:tc>
        <w:tc>
          <w:tcPr>
            <w:tcW w:w="1361" w:type="dxa"/>
            <w:tcBorders>
              <w:top w:val="nil"/>
              <w:left w:val="single" w:sz="18" w:space="0" w:color="5F497A" w:themeColor="accent4" w:themeShade="BF"/>
              <w:bottom w:val="nil"/>
              <w:right w:val="nil"/>
            </w:tcBorders>
            <w:shd w:val="clear" w:color="auto" w:fill="auto"/>
            <w:vAlign w:val="bottom"/>
          </w:tcPr>
          <w:p w14:paraId="79738BEC" w14:textId="7B8CC63F" w:rsidR="002B721C" w:rsidRPr="001D41EA" w:rsidRDefault="002B721C" w:rsidP="001D41EA">
            <w:pPr>
              <w:spacing w:before="40" w:after="40"/>
              <w:jc w:val="center"/>
              <w:rPr>
                <w:rFonts w:cs="Arial"/>
                <w:sz w:val="18"/>
                <w:szCs w:val="18"/>
              </w:rPr>
            </w:pPr>
            <w:r w:rsidRPr="001D41EA">
              <w:rPr>
                <w:rFonts w:cs="Arial"/>
                <w:sz w:val="18"/>
                <w:szCs w:val="18"/>
              </w:rPr>
              <w:t>0.846</w:t>
            </w:r>
          </w:p>
        </w:tc>
        <w:tc>
          <w:tcPr>
            <w:tcW w:w="1361" w:type="dxa"/>
            <w:tcBorders>
              <w:top w:val="nil"/>
              <w:left w:val="nil"/>
              <w:bottom w:val="nil"/>
              <w:right w:val="nil"/>
            </w:tcBorders>
            <w:shd w:val="clear" w:color="auto" w:fill="auto"/>
            <w:vAlign w:val="bottom"/>
          </w:tcPr>
          <w:p w14:paraId="60CBE075" w14:textId="629E4B28" w:rsidR="002B721C" w:rsidRPr="001D41EA" w:rsidRDefault="002B721C" w:rsidP="001D41EA">
            <w:pPr>
              <w:spacing w:before="40" w:after="40"/>
              <w:jc w:val="center"/>
              <w:rPr>
                <w:rFonts w:cs="Arial"/>
                <w:sz w:val="18"/>
                <w:szCs w:val="18"/>
              </w:rPr>
            </w:pPr>
            <w:r w:rsidRPr="001D41EA">
              <w:rPr>
                <w:rFonts w:cs="Arial"/>
                <w:sz w:val="18"/>
                <w:szCs w:val="18"/>
              </w:rPr>
              <w:t>0.793</w:t>
            </w:r>
          </w:p>
        </w:tc>
        <w:tc>
          <w:tcPr>
            <w:tcW w:w="1361" w:type="dxa"/>
            <w:tcBorders>
              <w:top w:val="nil"/>
              <w:left w:val="nil"/>
              <w:bottom w:val="nil"/>
              <w:right w:val="nil"/>
            </w:tcBorders>
            <w:vAlign w:val="bottom"/>
          </w:tcPr>
          <w:p w14:paraId="086ECEEF" w14:textId="6DB62980" w:rsidR="002B721C" w:rsidRPr="001D41EA" w:rsidRDefault="002B721C" w:rsidP="001D41EA">
            <w:pPr>
              <w:spacing w:before="40" w:after="40"/>
              <w:jc w:val="center"/>
              <w:rPr>
                <w:rFonts w:cs="Arial"/>
                <w:sz w:val="18"/>
                <w:szCs w:val="18"/>
              </w:rPr>
            </w:pPr>
            <w:r w:rsidRPr="001D41EA">
              <w:rPr>
                <w:rFonts w:cs="Arial"/>
                <w:sz w:val="18"/>
                <w:szCs w:val="18"/>
              </w:rPr>
              <w:t>1.080</w:t>
            </w:r>
          </w:p>
        </w:tc>
        <w:tc>
          <w:tcPr>
            <w:tcW w:w="1361" w:type="dxa"/>
            <w:tcBorders>
              <w:top w:val="nil"/>
              <w:left w:val="nil"/>
              <w:bottom w:val="nil"/>
              <w:right w:val="nil"/>
            </w:tcBorders>
            <w:vAlign w:val="bottom"/>
          </w:tcPr>
          <w:p w14:paraId="1E0565EB" w14:textId="006309E4" w:rsidR="002B721C" w:rsidRPr="001D41EA" w:rsidRDefault="002B721C" w:rsidP="001D41EA">
            <w:pPr>
              <w:spacing w:before="40" w:after="40"/>
              <w:jc w:val="center"/>
              <w:rPr>
                <w:rFonts w:cs="Arial"/>
                <w:sz w:val="18"/>
                <w:szCs w:val="18"/>
              </w:rPr>
            </w:pPr>
            <w:r w:rsidRPr="001D41EA">
              <w:rPr>
                <w:rFonts w:cs="Arial"/>
                <w:sz w:val="18"/>
                <w:szCs w:val="18"/>
              </w:rPr>
              <w:t>0.870</w:t>
            </w:r>
          </w:p>
        </w:tc>
        <w:tc>
          <w:tcPr>
            <w:tcW w:w="1361" w:type="dxa"/>
            <w:tcBorders>
              <w:top w:val="nil"/>
              <w:left w:val="nil"/>
              <w:bottom w:val="nil"/>
              <w:right w:val="nil"/>
            </w:tcBorders>
            <w:shd w:val="clear" w:color="auto" w:fill="auto"/>
            <w:vAlign w:val="bottom"/>
          </w:tcPr>
          <w:p w14:paraId="50239999" w14:textId="727F2300" w:rsidR="002B721C" w:rsidRPr="001D41EA" w:rsidRDefault="002B721C" w:rsidP="001D41EA">
            <w:pPr>
              <w:spacing w:before="40" w:after="40"/>
              <w:jc w:val="center"/>
              <w:rPr>
                <w:rFonts w:cs="Arial"/>
                <w:sz w:val="18"/>
                <w:szCs w:val="18"/>
              </w:rPr>
            </w:pPr>
            <w:r w:rsidRPr="001D41EA">
              <w:rPr>
                <w:rFonts w:cs="Arial"/>
                <w:sz w:val="18"/>
                <w:szCs w:val="18"/>
              </w:rPr>
              <w:t>0.857</w:t>
            </w:r>
          </w:p>
        </w:tc>
      </w:tr>
      <w:tr w:rsidR="002B721C" w:rsidRPr="001D41EA" w14:paraId="38E08D68"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37FB689" w14:textId="77777777" w:rsidR="002B721C" w:rsidRPr="001D41EA" w:rsidRDefault="002B721C" w:rsidP="001D41EA">
            <w:pPr>
              <w:spacing w:before="40" w:after="40"/>
              <w:rPr>
                <w:rFonts w:cs="Arial"/>
                <w:sz w:val="18"/>
                <w:szCs w:val="18"/>
              </w:rPr>
            </w:pPr>
            <w:r w:rsidRPr="001D41EA">
              <w:rPr>
                <w:rFonts w:cs="Arial"/>
                <w:sz w:val="18"/>
                <w:szCs w:val="18"/>
              </w:rPr>
              <w:t>Ballarat C</w:t>
            </w:r>
          </w:p>
        </w:tc>
        <w:tc>
          <w:tcPr>
            <w:tcW w:w="1361" w:type="dxa"/>
            <w:tcBorders>
              <w:top w:val="nil"/>
              <w:left w:val="single" w:sz="18" w:space="0" w:color="5F497A" w:themeColor="accent4" w:themeShade="BF"/>
              <w:bottom w:val="nil"/>
              <w:right w:val="nil"/>
            </w:tcBorders>
            <w:shd w:val="clear" w:color="auto" w:fill="auto"/>
            <w:vAlign w:val="bottom"/>
          </w:tcPr>
          <w:p w14:paraId="758A68C1" w14:textId="126EB988" w:rsidR="002B721C" w:rsidRPr="001D41EA" w:rsidRDefault="002B721C" w:rsidP="001D41EA">
            <w:pPr>
              <w:spacing w:before="40" w:after="40"/>
              <w:jc w:val="center"/>
              <w:rPr>
                <w:rFonts w:cs="Arial"/>
                <w:sz w:val="18"/>
                <w:szCs w:val="18"/>
              </w:rPr>
            </w:pPr>
            <w:r w:rsidRPr="001D41EA">
              <w:rPr>
                <w:rFonts w:cs="Arial"/>
                <w:sz w:val="18"/>
                <w:szCs w:val="18"/>
              </w:rPr>
              <w:t>0.842</w:t>
            </w:r>
          </w:p>
        </w:tc>
        <w:tc>
          <w:tcPr>
            <w:tcW w:w="1361" w:type="dxa"/>
            <w:tcBorders>
              <w:top w:val="nil"/>
              <w:left w:val="nil"/>
              <w:bottom w:val="nil"/>
              <w:right w:val="nil"/>
            </w:tcBorders>
            <w:shd w:val="clear" w:color="auto" w:fill="auto"/>
            <w:vAlign w:val="bottom"/>
          </w:tcPr>
          <w:p w14:paraId="59E1A84A" w14:textId="3CD041F1" w:rsidR="002B721C" w:rsidRPr="001D41EA" w:rsidRDefault="002B721C" w:rsidP="001D41EA">
            <w:pPr>
              <w:spacing w:before="40" w:after="40"/>
              <w:jc w:val="center"/>
              <w:rPr>
                <w:rFonts w:cs="Arial"/>
                <w:sz w:val="18"/>
                <w:szCs w:val="18"/>
              </w:rPr>
            </w:pPr>
            <w:r w:rsidRPr="001D41EA">
              <w:rPr>
                <w:rFonts w:cs="Arial"/>
                <w:sz w:val="18"/>
                <w:szCs w:val="18"/>
              </w:rPr>
              <w:t>0.907</w:t>
            </w:r>
          </w:p>
        </w:tc>
        <w:tc>
          <w:tcPr>
            <w:tcW w:w="1361" w:type="dxa"/>
            <w:tcBorders>
              <w:top w:val="nil"/>
              <w:left w:val="nil"/>
              <w:bottom w:val="nil"/>
              <w:right w:val="nil"/>
            </w:tcBorders>
            <w:vAlign w:val="bottom"/>
          </w:tcPr>
          <w:p w14:paraId="4101FDF8" w14:textId="1C7E827C" w:rsidR="002B721C" w:rsidRPr="001D41EA" w:rsidRDefault="002B721C" w:rsidP="001D41EA">
            <w:pPr>
              <w:spacing w:before="40" w:after="40"/>
              <w:jc w:val="center"/>
              <w:rPr>
                <w:rFonts w:cs="Arial"/>
                <w:sz w:val="18"/>
                <w:szCs w:val="18"/>
              </w:rPr>
            </w:pPr>
            <w:r w:rsidRPr="001D41EA">
              <w:rPr>
                <w:rFonts w:cs="Arial"/>
                <w:sz w:val="18"/>
                <w:szCs w:val="18"/>
              </w:rPr>
              <w:t>1.040</w:t>
            </w:r>
          </w:p>
        </w:tc>
        <w:tc>
          <w:tcPr>
            <w:tcW w:w="1361" w:type="dxa"/>
            <w:tcBorders>
              <w:top w:val="nil"/>
              <w:left w:val="nil"/>
              <w:bottom w:val="nil"/>
              <w:right w:val="nil"/>
            </w:tcBorders>
            <w:vAlign w:val="bottom"/>
          </w:tcPr>
          <w:p w14:paraId="0478D9D4" w14:textId="3C6090E9" w:rsidR="002B721C" w:rsidRPr="001D41EA" w:rsidRDefault="002B721C" w:rsidP="001D41EA">
            <w:pPr>
              <w:spacing w:before="40" w:after="40"/>
              <w:jc w:val="center"/>
              <w:rPr>
                <w:rFonts w:cs="Arial"/>
                <w:sz w:val="18"/>
                <w:szCs w:val="18"/>
              </w:rPr>
            </w:pPr>
            <w:r w:rsidRPr="001D41EA">
              <w:rPr>
                <w:rFonts w:cs="Arial"/>
                <w:sz w:val="18"/>
                <w:szCs w:val="18"/>
              </w:rPr>
              <w:t>0.933</w:t>
            </w:r>
          </w:p>
        </w:tc>
        <w:tc>
          <w:tcPr>
            <w:tcW w:w="1361" w:type="dxa"/>
            <w:tcBorders>
              <w:top w:val="nil"/>
              <w:left w:val="nil"/>
              <w:bottom w:val="nil"/>
              <w:right w:val="nil"/>
            </w:tcBorders>
            <w:shd w:val="clear" w:color="auto" w:fill="auto"/>
            <w:vAlign w:val="bottom"/>
          </w:tcPr>
          <w:p w14:paraId="2B495F7A" w14:textId="5FA40785" w:rsidR="002B721C" w:rsidRPr="001D41EA" w:rsidRDefault="002B721C" w:rsidP="001D41EA">
            <w:pPr>
              <w:spacing w:before="40" w:after="40"/>
              <w:jc w:val="center"/>
              <w:rPr>
                <w:rFonts w:cs="Arial"/>
                <w:sz w:val="18"/>
                <w:szCs w:val="18"/>
              </w:rPr>
            </w:pPr>
            <w:r w:rsidRPr="001D41EA">
              <w:rPr>
                <w:rFonts w:cs="Arial"/>
                <w:sz w:val="18"/>
                <w:szCs w:val="18"/>
              </w:rPr>
              <w:t>1.067</w:t>
            </w:r>
          </w:p>
        </w:tc>
      </w:tr>
      <w:tr w:rsidR="002B721C" w:rsidRPr="001D41EA" w14:paraId="66F913E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99DB091" w14:textId="77777777" w:rsidR="002B721C" w:rsidRPr="001D41EA" w:rsidRDefault="002B721C" w:rsidP="001D41EA">
            <w:pPr>
              <w:spacing w:before="40" w:after="40"/>
              <w:rPr>
                <w:rFonts w:cs="Arial"/>
                <w:sz w:val="18"/>
                <w:szCs w:val="18"/>
              </w:rPr>
            </w:pPr>
            <w:r w:rsidRPr="001D41EA">
              <w:rPr>
                <w:rFonts w:cs="Arial"/>
                <w:sz w:val="18"/>
                <w:szCs w:val="18"/>
              </w:rPr>
              <w:t>Banyule C</w:t>
            </w:r>
          </w:p>
        </w:tc>
        <w:tc>
          <w:tcPr>
            <w:tcW w:w="1361" w:type="dxa"/>
            <w:tcBorders>
              <w:top w:val="nil"/>
              <w:left w:val="single" w:sz="18" w:space="0" w:color="5F497A" w:themeColor="accent4" w:themeShade="BF"/>
              <w:bottom w:val="nil"/>
              <w:right w:val="nil"/>
            </w:tcBorders>
            <w:shd w:val="clear" w:color="auto" w:fill="auto"/>
            <w:vAlign w:val="bottom"/>
          </w:tcPr>
          <w:p w14:paraId="518B5FB9" w14:textId="32C16118" w:rsidR="002B721C" w:rsidRPr="001D41EA" w:rsidRDefault="002B721C" w:rsidP="001D41EA">
            <w:pPr>
              <w:spacing w:before="40" w:after="40"/>
              <w:jc w:val="center"/>
              <w:rPr>
                <w:rFonts w:cs="Arial"/>
                <w:sz w:val="18"/>
                <w:szCs w:val="18"/>
              </w:rPr>
            </w:pPr>
            <w:r w:rsidRPr="001D41EA">
              <w:rPr>
                <w:rFonts w:cs="Arial"/>
                <w:sz w:val="18"/>
                <w:szCs w:val="18"/>
              </w:rPr>
              <w:t>1.101</w:t>
            </w:r>
          </w:p>
        </w:tc>
        <w:tc>
          <w:tcPr>
            <w:tcW w:w="1361" w:type="dxa"/>
            <w:tcBorders>
              <w:top w:val="nil"/>
              <w:left w:val="nil"/>
              <w:bottom w:val="nil"/>
              <w:right w:val="nil"/>
            </w:tcBorders>
            <w:shd w:val="clear" w:color="auto" w:fill="auto"/>
            <w:vAlign w:val="bottom"/>
          </w:tcPr>
          <w:p w14:paraId="6AE42D1F" w14:textId="3FB69F26" w:rsidR="002B721C" w:rsidRPr="001D41EA" w:rsidRDefault="002B721C" w:rsidP="001D41EA">
            <w:pPr>
              <w:spacing w:before="40" w:after="40"/>
              <w:jc w:val="center"/>
              <w:rPr>
                <w:rFonts w:cs="Arial"/>
                <w:sz w:val="18"/>
                <w:szCs w:val="18"/>
              </w:rPr>
            </w:pPr>
            <w:r w:rsidRPr="001D41EA">
              <w:rPr>
                <w:rFonts w:cs="Arial"/>
                <w:sz w:val="18"/>
                <w:szCs w:val="18"/>
              </w:rPr>
              <w:t>1.134</w:t>
            </w:r>
          </w:p>
        </w:tc>
        <w:tc>
          <w:tcPr>
            <w:tcW w:w="1361" w:type="dxa"/>
            <w:tcBorders>
              <w:top w:val="nil"/>
              <w:left w:val="nil"/>
              <w:bottom w:val="nil"/>
              <w:right w:val="nil"/>
            </w:tcBorders>
            <w:vAlign w:val="bottom"/>
          </w:tcPr>
          <w:p w14:paraId="4EA3F433" w14:textId="5C044EF1" w:rsidR="002B721C" w:rsidRPr="001D41EA" w:rsidRDefault="002B721C" w:rsidP="001D41EA">
            <w:pPr>
              <w:spacing w:before="40" w:after="40"/>
              <w:jc w:val="center"/>
              <w:rPr>
                <w:rFonts w:cs="Arial"/>
                <w:sz w:val="18"/>
                <w:szCs w:val="18"/>
              </w:rPr>
            </w:pPr>
            <w:r w:rsidRPr="001D41EA">
              <w:rPr>
                <w:rFonts w:cs="Arial"/>
                <w:sz w:val="18"/>
                <w:szCs w:val="18"/>
              </w:rPr>
              <w:t>0.953</w:t>
            </w:r>
          </w:p>
        </w:tc>
        <w:tc>
          <w:tcPr>
            <w:tcW w:w="1361" w:type="dxa"/>
            <w:tcBorders>
              <w:top w:val="nil"/>
              <w:left w:val="nil"/>
              <w:bottom w:val="nil"/>
              <w:right w:val="nil"/>
            </w:tcBorders>
            <w:vAlign w:val="bottom"/>
          </w:tcPr>
          <w:p w14:paraId="02DC1EC6" w14:textId="2C556119" w:rsidR="002B721C" w:rsidRPr="001D41EA" w:rsidRDefault="002B721C" w:rsidP="001D41EA">
            <w:pPr>
              <w:spacing w:before="40" w:after="40"/>
              <w:jc w:val="center"/>
              <w:rPr>
                <w:rFonts w:cs="Arial"/>
                <w:sz w:val="18"/>
                <w:szCs w:val="18"/>
              </w:rPr>
            </w:pPr>
            <w:r w:rsidRPr="001D41EA">
              <w:rPr>
                <w:rFonts w:cs="Arial"/>
                <w:sz w:val="18"/>
                <w:szCs w:val="18"/>
              </w:rPr>
              <w:t>0.956</w:t>
            </w:r>
          </w:p>
        </w:tc>
        <w:tc>
          <w:tcPr>
            <w:tcW w:w="1361" w:type="dxa"/>
            <w:tcBorders>
              <w:top w:val="nil"/>
              <w:left w:val="nil"/>
              <w:bottom w:val="nil"/>
              <w:right w:val="nil"/>
            </w:tcBorders>
            <w:shd w:val="clear" w:color="auto" w:fill="auto"/>
            <w:vAlign w:val="bottom"/>
          </w:tcPr>
          <w:p w14:paraId="51954807" w14:textId="627AC4FC" w:rsidR="002B721C" w:rsidRPr="001D41EA" w:rsidRDefault="002B721C" w:rsidP="001D41EA">
            <w:pPr>
              <w:spacing w:before="40" w:after="40"/>
              <w:jc w:val="center"/>
              <w:rPr>
                <w:rFonts w:cs="Arial"/>
                <w:sz w:val="18"/>
                <w:szCs w:val="18"/>
              </w:rPr>
            </w:pPr>
            <w:r w:rsidRPr="001D41EA">
              <w:rPr>
                <w:rFonts w:cs="Arial"/>
                <w:sz w:val="18"/>
                <w:szCs w:val="18"/>
              </w:rPr>
              <w:t>0.892</w:t>
            </w:r>
          </w:p>
        </w:tc>
      </w:tr>
      <w:tr w:rsidR="002B721C" w:rsidRPr="001D41EA" w14:paraId="647D93DB"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C7E64B4" w14:textId="77777777" w:rsidR="002B721C" w:rsidRPr="001D41EA" w:rsidRDefault="002B721C" w:rsidP="001D41EA">
            <w:pPr>
              <w:spacing w:before="40" w:after="40"/>
              <w:rPr>
                <w:rFonts w:cs="Arial"/>
                <w:sz w:val="18"/>
                <w:szCs w:val="18"/>
              </w:rPr>
            </w:pPr>
            <w:r w:rsidRPr="001D41EA">
              <w:rPr>
                <w:rFonts w:cs="Arial"/>
                <w:sz w:val="18"/>
                <w:szCs w:val="18"/>
              </w:rPr>
              <w:t>Bass Coast S</w:t>
            </w:r>
          </w:p>
        </w:tc>
        <w:tc>
          <w:tcPr>
            <w:tcW w:w="1361" w:type="dxa"/>
            <w:tcBorders>
              <w:top w:val="nil"/>
              <w:left w:val="single" w:sz="18" w:space="0" w:color="5F497A" w:themeColor="accent4" w:themeShade="BF"/>
              <w:bottom w:val="nil"/>
              <w:right w:val="nil"/>
            </w:tcBorders>
            <w:shd w:val="clear" w:color="auto" w:fill="auto"/>
            <w:vAlign w:val="bottom"/>
          </w:tcPr>
          <w:p w14:paraId="17EA4607" w14:textId="1AE3EDA3" w:rsidR="002B721C" w:rsidRPr="001D41EA" w:rsidRDefault="002B721C" w:rsidP="001D41EA">
            <w:pPr>
              <w:spacing w:before="40" w:after="40"/>
              <w:jc w:val="center"/>
              <w:rPr>
                <w:rFonts w:cs="Arial"/>
                <w:sz w:val="18"/>
                <w:szCs w:val="18"/>
              </w:rPr>
            </w:pPr>
            <w:r w:rsidRPr="001D41EA">
              <w:rPr>
                <w:rFonts w:cs="Arial"/>
                <w:sz w:val="18"/>
                <w:szCs w:val="18"/>
              </w:rPr>
              <w:t>0.818</w:t>
            </w:r>
          </w:p>
        </w:tc>
        <w:tc>
          <w:tcPr>
            <w:tcW w:w="1361" w:type="dxa"/>
            <w:tcBorders>
              <w:top w:val="nil"/>
              <w:left w:val="nil"/>
              <w:bottom w:val="nil"/>
              <w:right w:val="nil"/>
            </w:tcBorders>
            <w:shd w:val="clear" w:color="auto" w:fill="auto"/>
            <w:vAlign w:val="bottom"/>
          </w:tcPr>
          <w:p w14:paraId="118D3F1B" w14:textId="352043E2" w:rsidR="002B721C" w:rsidRPr="001D41EA" w:rsidRDefault="002B721C" w:rsidP="001D41EA">
            <w:pPr>
              <w:spacing w:before="40" w:after="40"/>
              <w:jc w:val="center"/>
              <w:rPr>
                <w:rFonts w:cs="Arial"/>
                <w:sz w:val="18"/>
                <w:szCs w:val="18"/>
              </w:rPr>
            </w:pPr>
            <w:r w:rsidRPr="001D41EA">
              <w:rPr>
                <w:rFonts w:cs="Arial"/>
                <w:sz w:val="18"/>
                <w:szCs w:val="18"/>
              </w:rPr>
              <w:t>0.868</w:t>
            </w:r>
          </w:p>
        </w:tc>
        <w:tc>
          <w:tcPr>
            <w:tcW w:w="1361" w:type="dxa"/>
            <w:tcBorders>
              <w:top w:val="nil"/>
              <w:left w:val="nil"/>
              <w:bottom w:val="nil"/>
              <w:right w:val="nil"/>
            </w:tcBorders>
            <w:vAlign w:val="bottom"/>
          </w:tcPr>
          <w:p w14:paraId="72BAAA00" w14:textId="31D8FB63" w:rsidR="002B721C" w:rsidRPr="001D41EA" w:rsidRDefault="002B721C" w:rsidP="001D41EA">
            <w:pPr>
              <w:spacing w:before="40" w:after="40"/>
              <w:jc w:val="center"/>
              <w:rPr>
                <w:rFonts w:cs="Arial"/>
                <w:sz w:val="18"/>
                <w:szCs w:val="18"/>
              </w:rPr>
            </w:pPr>
            <w:r w:rsidRPr="001D41EA">
              <w:rPr>
                <w:rFonts w:cs="Arial"/>
                <w:sz w:val="18"/>
                <w:szCs w:val="18"/>
              </w:rPr>
              <w:t>1.467</w:t>
            </w:r>
          </w:p>
        </w:tc>
        <w:tc>
          <w:tcPr>
            <w:tcW w:w="1361" w:type="dxa"/>
            <w:tcBorders>
              <w:top w:val="nil"/>
              <w:left w:val="nil"/>
              <w:bottom w:val="nil"/>
              <w:right w:val="nil"/>
            </w:tcBorders>
            <w:vAlign w:val="bottom"/>
          </w:tcPr>
          <w:p w14:paraId="7E18AEDE" w14:textId="6C30C6F9" w:rsidR="002B721C" w:rsidRPr="001D41EA" w:rsidRDefault="002B721C" w:rsidP="001D41EA">
            <w:pPr>
              <w:spacing w:before="40" w:after="40"/>
              <w:jc w:val="center"/>
              <w:rPr>
                <w:rFonts w:cs="Arial"/>
                <w:sz w:val="18"/>
                <w:szCs w:val="18"/>
              </w:rPr>
            </w:pPr>
            <w:r w:rsidRPr="001D41EA">
              <w:rPr>
                <w:rFonts w:cs="Arial"/>
                <w:sz w:val="18"/>
                <w:szCs w:val="18"/>
              </w:rPr>
              <w:t>1.117</w:t>
            </w:r>
          </w:p>
        </w:tc>
        <w:tc>
          <w:tcPr>
            <w:tcW w:w="1361" w:type="dxa"/>
            <w:tcBorders>
              <w:top w:val="nil"/>
              <w:left w:val="nil"/>
              <w:bottom w:val="nil"/>
              <w:right w:val="nil"/>
            </w:tcBorders>
            <w:shd w:val="clear" w:color="auto" w:fill="auto"/>
            <w:vAlign w:val="bottom"/>
          </w:tcPr>
          <w:p w14:paraId="13F97802" w14:textId="264E3FA3" w:rsidR="002B721C" w:rsidRPr="001D41EA" w:rsidRDefault="002B721C" w:rsidP="001D41EA">
            <w:pPr>
              <w:spacing w:before="40" w:after="40"/>
              <w:jc w:val="center"/>
              <w:rPr>
                <w:rFonts w:cs="Arial"/>
                <w:sz w:val="18"/>
                <w:szCs w:val="18"/>
              </w:rPr>
            </w:pPr>
            <w:r w:rsidRPr="001D41EA">
              <w:rPr>
                <w:rFonts w:cs="Arial"/>
                <w:sz w:val="18"/>
                <w:szCs w:val="18"/>
              </w:rPr>
              <w:t>0.904</w:t>
            </w:r>
          </w:p>
        </w:tc>
      </w:tr>
      <w:tr w:rsidR="002B721C" w:rsidRPr="001D41EA" w14:paraId="46A88822"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09E1C10" w14:textId="77777777" w:rsidR="002B721C" w:rsidRPr="001D41EA" w:rsidRDefault="002B721C" w:rsidP="001D41EA">
            <w:pPr>
              <w:spacing w:before="40" w:after="40"/>
              <w:rPr>
                <w:rFonts w:cs="Arial"/>
                <w:sz w:val="18"/>
                <w:szCs w:val="18"/>
              </w:rPr>
            </w:pPr>
            <w:r w:rsidRPr="001D41EA">
              <w:rPr>
                <w:rFonts w:cs="Arial"/>
                <w:sz w:val="18"/>
                <w:szCs w:val="18"/>
              </w:rPr>
              <w:t>Baw Baw S</w:t>
            </w:r>
          </w:p>
        </w:tc>
        <w:tc>
          <w:tcPr>
            <w:tcW w:w="1361" w:type="dxa"/>
            <w:tcBorders>
              <w:top w:val="nil"/>
              <w:left w:val="single" w:sz="18" w:space="0" w:color="5F497A" w:themeColor="accent4" w:themeShade="BF"/>
              <w:bottom w:val="nil"/>
              <w:right w:val="nil"/>
            </w:tcBorders>
            <w:shd w:val="clear" w:color="auto" w:fill="auto"/>
            <w:vAlign w:val="bottom"/>
          </w:tcPr>
          <w:p w14:paraId="0CA7740C" w14:textId="22EC0963" w:rsidR="002B721C" w:rsidRPr="001D41EA" w:rsidRDefault="002B721C" w:rsidP="001D41EA">
            <w:pPr>
              <w:spacing w:before="40" w:after="40"/>
              <w:jc w:val="center"/>
              <w:rPr>
                <w:rFonts w:cs="Arial"/>
                <w:sz w:val="18"/>
                <w:szCs w:val="18"/>
              </w:rPr>
            </w:pPr>
            <w:r w:rsidRPr="001D41EA">
              <w:rPr>
                <w:rFonts w:cs="Arial"/>
                <w:sz w:val="18"/>
                <w:szCs w:val="18"/>
              </w:rPr>
              <w:t>0.884</w:t>
            </w:r>
          </w:p>
        </w:tc>
        <w:tc>
          <w:tcPr>
            <w:tcW w:w="1361" w:type="dxa"/>
            <w:tcBorders>
              <w:top w:val="nil"/>
              <w:left w:val="nil"/>
              <w:bottom w:val="nil"/>
              <w:right w:val="nil"/>
            </w:tcBorders>
            <w:shd w:val="clear" w:color="auto" w:fill="auto"/>
            <w:vAlign w:val="bottom"/>
          </w:tcPr>
          <w:p w14:paraId="0F1BA8DC" w14:textId="5430E525" w:rsidR="002B721C" w:rsidRPr="001D41EA" w:rsidRDefault="002B721C" w:rsidP="001D41EA">
            <w:pPr>
              <w:spacing w:before="40" w:after="40"/>
              <w:jc w:val="center"/>
              <w:rPr>
                <w:rFonts w:cs="Arial"/>
                <w:sz w:val="18"/>
                <w:szCs w:val="18"/>
              </w:rPr>
            </w:pPr>
            <w:r w:rsidRPr="001D41EA">
              <w:rPr>
                <w:rFonts w:cs="Arial"/>
                <w:sz w:val="18"/>
                <w:szCs w:val="18"/>
              </w:rPr>
              <w:t>0.959</w:t>
            </w:r>
          </w:p>
        </w:tc>
        <w:tc>
          <w:tcPr>
            <w:tcW w:w="1361" w:type="dxa"/>
            <w:tcBorders>
              <w:top w:val="nil"/>
              <w:left w:val="nil"/>
              <w:bottom w:val="nil"/>
              <w:right w:val="nil"/>
            </w:tcBorders>
            <w:vAlign w:val="bottom"/>
          </w:tcPr>
          <w:p w14:paraId="3329B1C0" w14:textId="72D38F89" w:rsidR="002B721C" w:rsidRPr="001D41EA" w:rsidRDefault="002B721C" w:rsidP="001D41EA">
            <w:pPr>
              <w:spacing w:before="40" w:after="40"/>
              <w:jc w:val="center"/>
              <w:rPr>
                <w:rFonts w:cs="Arial"/>
                <w:sz w:val="18"/>
                <w:szCs w:val="18"/>
              </w:rPr>
            </w:pPr>
            <w:r w:rsidRPr="001D41EA">
              <w:rPr>
                <w:rFonts w:cs="Arial"/>
                <w:sz w:val="18"/>
                <w:szCs w:val="18"/>
              </w:rPr>
              <w:t>0.995</w:t>
            </w:r>
          </w:p>
        </w:tc>
        <w:tc>
          <w:tcPr>
            <w:tcW w:w="1361" w:type="dxa"/>
            <w:tcBorders>
              <w:top w:val="nil"/>
              <w:left w:val="nil"/>
              <w:bottom w:val="nil"/>
              <w:right w:val="nil"/>
            </w:tcBorders>
            <w:vAlign w:val="bottom"/>
          </w:tcPr>
          <w:p w14:paraId="6194E492" w14:textId="39366578" w:rsidR="002B721C" w:rsidRPr="001D41EA" w:rsidRDefault="002B721C" w:rsidP="001D41EA">
            <w:pPr>
              <w:spacing w:before="40" w:after="40"/>
              <w:jc w:val="center"/>
              <w:rPr>
                <w:rFonts w:cs="Arial"/>
                <w:sz w:val="18"/>
                <w:szCs w:val="18"/>
              </w:rPr>
            </w:pPr>
            <w:r w:rsidRPr="001D41EA">
              <w:rPr>
                <w:rFonts w:cs="Arial"/>
                <w:sz w:val="18"/>
                <w:szCs w:val="18"/>
              </w:rPr>
              <w:t>0.940</w:t>
            </w:r>
          </w:p>
        </w:tc>
        <w:tc>
          <w:tcPr>
            <w:tcW w:w="1361" w:type="dxa"/>
            <w:tcBorders>
              <w:top w:val="nil"/>
              <w:left w:val="nil"/>
              <w:bottom w:val="nil"/>
              <w:right w:val="nil"/>
            </w:tcBorders>
            <w:shd w:val="clear" w:color="auto" w:fill="auto"/>
            <w:vAlign w:val="bottom"/>
          </w:tcPr>
          <w:p w14:paraId="28119C5E" w14:textId="76DF793E" w:rsidR="002B721C" w:rsidRPr="001D41EA" w:rsidRDefault="002B721C" w:rsidP="001D41EA">
            <w:pPr>
              <w:spacing w:before="40" w:after="40"/>
              <w:jc w:val="center"/>
              <w:rPr>
                <w:rFonts w:cs="Arial"/>
                <w:sz w:val="18"/>
                <w:szCs w:val="18"/>
              </w:rPr>
            </w:pPr>
            <w:r w:rsidRPr="001D41EA">
              <w:rPr>
                <w:rFonts w:cs="Arial"/>
                <w:sz w:val="18"/>
                <w:szCs w:val="18"/>
              </w:rPr>
              <w:t>0.873</w:t>
            </w:r>
          </w:p>
        </w:tc>
      </w:tr>
      <w:tr w:rsidR="002B721C" w:rsidRPr="001D41EA" w14:paraId="6FC0D404"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A7B4CDA" w14:textId="77777777" w:rsidR="002B721C" w:rsidRPr="001D41EA" w:rsidRDefault="002B721C" w:rsidP="001D41EA">
            <w:pPr>
              <w:spacing w:before="40" w:after="40"/>
              <w:rPr>
                <w:rFonts w:cs="Arial"/>
                <w:sz w:val="18"/>
                <w:szCs w:val="18"/>
              </w:rPr>
            </w:pPr>
            <w:r w:rsidRPr="001D41EA">
              <w:rPr>
                <w:rFonts w:cs="Arial"/>
                <w:sz w:val="18"/>
                <w:szCs w:val="18"/>
              </w:rPr>
              <w:t>Bayside C</w:t>
            </w:r>
          </w:p>
        </w:tc>
        <w:tc>
          <w:tcPr>
            <w:tcW w:w="1361" w:type="dxa"/>
            <w:tcBorders>
              <w:top w:val="nil"/>
              <w:left w:val="single" w:sz="18" w:space="0" w:color="5F497A" w:themeColor="accent4" w:themeShade="BF"/>
              <w:bottom w:val="nil"/>
              <w:right w:val="nil"/>
            </w:tcBorders>
            <w:shd w:val="clear" w:color="auto" w:fill="auto"/>
            <w:vAlign w:val="bottom"/>
          </w:tcPr>
          <w:p w14:paraId="7740327D" w14:textId="763B38C1" w:rsidR="002B721C" w:rsidRPr="001D41EA" w:rsidRDefault="002B721C" w:rsidP="001D41EA">
            <w:pPr>
              <w:spacing w:before="40" w:after="40"/>
              <w:jc w:val="center"/>
              <w:rPr>
                <w:rFonts w:cs="Arial"/>
                <w:sz w:val="18"/>
                <w:szCs w:val="18"/>
              </w:rPr>
            </w:pPr>
            <w:r w:rsidRPr="001D41EA">
              <w:rPr>
                <w:rFonts w:cs="Arial"/>
                <w:sz w:val="18"/>
                <w:szCs w:val="18"/>
              </w:rPr>
              <w:t>1.356</w:t>
            </w:r>
          </w:p>
        </w:tc>
        <w:tc>
          <w:tcPr>
            <w:tcW w:w="1361" w:type="dxa"/>
            <w:tcBorders>
              <w:top w:val="nil"/>
              <w:left w:val="nil"/>
              <w:bottom w:val="nil"/>
              <w:right w:val="nil"/>
            </w:tcBorders>
            <w:shd w:val="clear" w:color="auto" w:fill="auto"/>
            <w:vAlign w:val="bottom"/>
          </w:tcPr>
          <w:p w14:paraId="74DDE9CE" w14:textId="58FD406B" w:rsidR="002B721C" w:rsidRPr="001D41EA" w:rsidRDefault="002B721C" w:rsidP="001D41EA">
            <w:pPr>
              <w:spacing w:before="40" w:after="40"/>
              <w:jc w:val="center"/>
              <w:rPr>
                <w:rFonts w:cs="Arial"/>
                <w:sz w:val="18"/>
                <w:szCs w:val="18"/>
              </w:rPr>
            </w:pPr>
            <w:r w:rsidRPr="001D41EA">
              <w:rPr>
                <w:rFonts w:cs="Arial"/>
                <w:sz w:val="18"/>
                <w:szCs w:val="18"/>
              </w:rPr>
              <w:t>1.260</w:t>
            </w:r>
          </w:p>
        </w:tc>
        <w:tc>
          <w:tcPr>
            <w:tcW w:w="1361" w:type="dxa"/>
            <w:tcBorders>
              <w:top w:val="nil"/>
              <w:left w:val="nil"/>
              <w:bottom w:val="nil"/>
              <w:right w:val="nil"/>
            </w:tcBorders>
            <w:vAlign w:val="bottom"/>
          </w:tcPr>
          <w:p w14:paraId="005F828B" w14:textId="069D2FE7" w:rsidR="002B721C" w:rsidRPr="001D41EA" w:rsidRDefault="002B721C" w:rsidP="001D41EA">
            <w:pPr>
              <w:spacing w:before="40" w:after="40"/>
              <w:jc w:val="center"/>
              <w:rPr>
                <w:rFonts w:cs="Arial"/>
                <w:sz w:val="18"/>
                <w:szCs w:val="18"/>
              </w:rPr>
            </w:pPr>
            <w:r w:rsidRPr="001D41EA">
              <w:rPr>
                <w:rFonts w:cs="Arial"/>
                <w:sz w:val="18"/>
                <w:szCs w:val="18"/>
              </w:rPr>
              <w:t>0.921</w:t>
            </w:r>
          </w:p>
        </w:tc>
        <w:tc>
          <w:tcPr>
            <w:tcW w:w="1361" w:type="dxa"/>
            <w:tcBorders>
              <w:top w:val="nil"/>
              <w:left w:val="nil"/>
              <w:bottom w:val="nil"/>
              <w:right w:val="nil"/>
            </w:tcBorders>
            <w:vAlign w:val="bottom"/>
          </w:tcPr>
          <w:p w14:paraId="6B1FC7F7" w14:textId="57435B07" w:rsidR="002B721C" w:rsidRPr="001D41EA" w:rsidRDefault="002B721C" w:rsidP="001D41EA">
            <w:pPr>
              <w:spacing w:before="40" w:after="40"/>
              <w:jc w:val="center"/>
              <w:rPr>
                <w:rFonts w:cs="Arial"/>
                <w:sz w:val="18"/>
                <w:szCs w:val="18"/>
              </w:rPr>
            </w:pPr>
            <w:r w:rsidRPr="001D41EA">
              <w:rPr>
                <w:rFonts w:cs="Arial"/>
                <w:sz w:val="18"/>
                <w:szCs w:val="18"/>
              </w:rPr>
              <w:t>1.162</w:t>
            </w:r>
          </w:p>
        </w:tc>
        <w:tc>
          <w:tcPr>
            <w:tcW w:w="1361" w:type="dxa"/>
            <w:tcBorders>
              <w:top w:val="nil"/>
              <w:left w:val="nil"/>
              <w:bottom w:val="nil"/>
              <w:right w:val="nil"/>
            </w:tcBorders>
            <w:shd w:val="clear" w:color="auto" w:fill="auto"/>
            <w:vAlign w:val="bottom"/>
          </w:tcPr>
          <w:p w14:paraId="3D4734C9" w14:textId="4E07F887" w:rsidR="002B721C" w:rsidRPr="001D41EA" w:rsidRDefault="002B721C" w:rsidP="001D41EA">
            <w:pPr>
              <w:spacing w:before="40" w:after="40"/>
              <w:jc w:val="center"/>
              <w:rPr>
                <w:rFonts w:cs="Arial"/>
                <w:sz w:val="18"/>
                <w:szCs w:val="18"/>
              </w:rPr>
            </w:pPr>
            <w:r w:rsidRPr="001D41EA">
              <w:rPr>
                <w:rFonts w:cs="Arial"/>
                <w:sz w:val="18"/>
                <w:szCs w:val="18"/>
              </w:rPr>
              <w:t>0.863</w:t>
            </w:r>
          </w:p>
        </w:tc>
      </w:tr>
      <w:tr w:rsidR="002B721C" w:rsidRPr="001D41EA" w14:paraId="19B07A87"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39284DA" w14:textId="77777777" w:rsidR="002B721C" w:rsidRPr="001D41EA" w:rsidRDefault="002B721C" w:rsidP="001D41EA">
            <w:pPr>
              <w:spacing w:before="40" w:after="40"/>
              <w:rPr>
                <w:rFonts w:cs="Arial"/>
                <w:sz w:val="18"/>
                <w:szCs w:val="18"/>
              </w:rPr>
            </w:pPr>
            <w:r w:rsidRPr="001D41EA">
              <w:rPr>
                <w:rFonts w:cs="Arial"/>
                <w:sz w:val="18"/>
                <w:szCs w:val="18"/>
              </w:rPr>
              <w:t>Benalla RC</w:t>
            </w:r>
          </w:p>
        </w:tc>
        <w:tc>
          <w:tcPr>
            <w:tcW w:w="1361" w:type="dxa"/>
            <w:tcBorders>
              <w:top w:val="nil"/>
              <w:left w:val="single" w:sz="18" w:space="0" w:color="5F497A" w:themeColor="accent4" w:themeShade="BF"/>
              <w:bottom w:val="nil"/>
              <w:right w:val="nil"/>
            </w:tcBorders>
            <w:shd w:val="clear" w:color="auto" w:fill="auto"/>
            <w:vAlign w:val="bottom"/>
          </w:tcPr>
          <w:p w14:paraId="36FF9283" w14:textId="22D63CD8" w:rsidR="002B721C" w:rsidRPr="001D41EA" w:rsidRDefault="002B721C" w:rsidP="001D41EA">
            <w:pPr>
              <w:spacing w:before="40" w:after="40"/>
              <w:jc w:val="center"/>
              <w:rPr>
                <w:rFonts w:cs="Arial"/>
                <w:sz w:val="18"/>
                <w:szCs w:val="18"/>
              </w:rPr>
            </w:pPr>
            <w:r w:rsidRPr="001D41EA">
              <w:rPr>
                <w:rFonts w:cs="Arial"/>
                <w:sz w:val="18"/>
                <w:szCs w:val="18"/>
              </w:rPr>
              <w:t>0.831</w:t>
            </w:r>
          </w:p>
        </w:tc>
        <w:tc>
          <w:tcPr>
            <w:tcW w:w="1361" w:type="dxa"/>
            <w:tcBorders>
              <w:top w:val="nil"/>
              <w:left w:val="nil"/>
              <w:bottom w:val="nil"/>
              <w:right w:val="nil"/>
            </w:tcBorders>
            <w:shd w:val="clear" w:color="auto" w:fill="auto"/>
            <w:vAlign w:val="bottom"/>
          </w:tcPr>
          <w:p w14:paraId="05A473F9" w14:textId="0FE8F03B" w:rsidR="002B721C" w:rsidRPr="001D41EA" w:rsidRDefault="002B721C" w:rsidP="001D41EA">
            <w:pPr>
              <w:spacing w:before="40" w:after="40"/>
              <w:jc w:val="center"/>
              <w:rPr>
                <w:rFonts w:cs="Arial"/>
                <w:sz w:val="18"/>
                <w:szCs w:val="18"/>
              </w:rPr>
            </w:pPr>
            <w:r w:rsidRPr="001D41EA">
              <w:rPr>
                <w:rFonts w:cs="Arial"/>
                <w:sz w:val="18"/>
                <w:szCs w:val="18"/>
              </w:rPr>
              <w:t>0.820</w:t>
            </w:r>
          </w:p>
        </w:tc>
        <w:tc>
          <w:tcPr>
            <w:tcW w:w="1361" w:type="dxa"/>
            <w:tcBorders>
              <w:top w:val="nil"/>
              <w:left w:val="nil"/>
              <w:bottom w:val="nil"/>
              <w:right w:val="nil"/>
            </w:tcBorders>
            <w:vAlign w:val="bottom"/>
          </w:tcPr>
          <w:p w14:paraId="1101DCC5" w14:textId="7654BF07" w:rsidR="002B721C" w:rsidRPr="001D41EA" w:rsidRDefault="002B721C" w:rsidP="001D41EA">
            <w:pPr>
              <w:spacing w:before="40" w:after="40"/>
              <w:jc w:val="center"/>
              <w:rPr>
                <w:rFonts w:cs="Arial"/>
                <w:sz w:val="18"/>
                <w:szCs w:val="18"/>
              </w:rPr>
            </w:pPr>
            <w:r w:rsidRPr="001D41EA">
              <w:rPr>
                <w:rFonts w:cs="Arial"/>
                <w:sz w:val="18"/>
                <w:szCs w:val="18"/>
              </w:rPr>
              <w:t>1.044</w:t>
            </w:r>
          </w:p>
        </w:tc>
        <w:tc>
          <w:tcPr>
            <w:tcW w:w="1361" w:type="dxa"/>
            <w:tcBorders>
              <w:top w:val="nil"/>
              <w:left w:val="nil"/>
              <w:bottom w:val="nil"/>
              <w:right w:val="nil"/>
            </w:tcBorders>
            <w:vAlign w:val="bottom"/>
          </w:tcPr>
          <w:p w14:paraId="0F7F25B8" w14:textId="2C316734" w:rsidR="002B721C" w:rsidRPr="001D41EA" w:rsidRDefault="002B721C" w:rsidP="001D41EA">
            <w:pPr>
              <w:spacing w:before="40" w:after="40"/>
              <w:jc w:val="center"/>
              <w:rPr>
                <w:rFonts w:cs="Arial"/>
                <w:sz w:val="18"/>
                <w:szCs w:val="18"/>
              </w:rPr>
            </w:pPr>
            <w:r w:rsidRPr="001D41EA">
              <w:rPr>
                <w:rFonts w:cs="Arial"/>
                <w:sz w:val="18"/>
                <w:szCs w:val="18"/>
              </w:rPr>
              <w:t>0.793</w:t>
            </w:r>
          </w:p>
        </w:tc>
        <w:tc>
          <w:tcPr>
            <w:tcW w:w="1361" w:type="dxa"/>
            <w:tcBorders>
              <w:top w:val="nil"/>
              <w:left w:val="nil"/>
              <w:bottom w:val="nil"/>
              <w:right w:val="nil"/>
            </w:tcBorders>
            <w:shd w:val="clear" w:color="auto" w:fill="auto"/>
            <w:vAlign w:val="bottom"/>
          </w:tcPr>
          <w:p w14:paraId="1BD6C782" w14:textId="7E5112E0" w:rsidR="002B721C" w:rsidRPr="001D41EA" w:rsidRDefault="002B721C" w:rsidP="001D41EA">
            <w:pPr>
              <w:spacing w:before="40" w:after="40"/>
              <w:jc w:val="center"/>
              <w:rPr>
                <w:rFonts w:cs="Arial"/>
                <w:sz w:val="18"/>
                <w:szCs w:val="18"/>
              </w:rPr>
            </w:pPr>
            <w:r w:rsidRPr="001D41EA">
              <w:rPr>
                <w:rFonts w:cs="Arial"/>
                <w:sz w:val="18"/>
                <w:szCs w:val="18"/>
              </w:rPr>
              <w:t>1.030</w:t>
            </w:r>
          </w:p>
        </w:tc>
      </w:tr>
      <w:tr w:rsidR="002B721C" w:rsidRPr="001D41EA" w14:paraId="52A52353"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2595EA4" w14:textId="77777777" w:rsidR="002B721C" w:rsidRPr="001D41EA" w:rsidRDefault="002B721C" w:rsidP="001D41EA">
            <w:pPr>
              <w:spacing w:before="40" w:after="40"/>
              <w:rPr>
                <w:rFonts w:cs="Arial"/>
                <w:sz w:val="18"/>
                <w:szCs w:val="18"/>
              </w:rPr>
            </w:pPr>
            <w:r w:rsidRPr="001D41EA">
              <w:rPr>
                <w:rFonts w:cs="Arial"/>
                <w:sz w:val="18"/>
                <w:szCs w:val="18"/>
              </w:rPr>
              <w:t>Boroondara C</w:t>
            </w:r>
          </w:p>
        </w:tc>
        <w:tc>
          <w:tcPr>
            <w:tcW w:w="1361" w:type="dxa"/>
            <w:tcBorders>
              <w:top w:val="nil"/>
              <w:left w:val="single" w:sz="18" w:space="0" w:color="5F497A" w:themeColor="accent4" w:themeShade="BF"/>
              <w:bottom w:val="nil"/>
              <w:right w:val="nil"/>
            </w:tcBorders>
            <w:shd w:val="clear" w:color="auto" w:fill="auto"/>
            <w:vAlign w:val="bottom"/>
          </w:tcPr>
          <w:p w14:paraId="59908BFF" w14:textId="074E052D" w:rsidR="002B721C" w:rsidRPr="001D41EA" w:rsidRDefault="002B721C" w:rsidP="001D41EA">
            <w:pPr>
              <w:spacing w:before="40" w:after="40"/>
              <w:jc w:val="center"/>
              <w:rPr>
                <w:rFonts w:cs="Arial"/>
                <w:sz w:val="18"/>
                <w:szCs w:val="18"/>
              </w:rPr>
            </w:pPr>
            <w:r w:rsidRPr="001D41EA">
              <w:rPr>
                <w:rFonts w:cs="Arial"/>
                <w:sz w:val="18"/>
                <w:szCs w:val="18"/>
              </w:rPr>
              <w:t>1.546</w:t>
            </w:r>
          </w:p>
        </w:tc>
        <w:tc>
          <w:tcPr>
            <w:tcW w:w="1361" w:type="dxa"/>
            <w:tcBorders>
              <w:top w:val="nil"/>
              <w:left w:val="nil"/>
              <w:bottom w:val="nil"/>
              <w:right w:val="nil"/>
            </w:tcBorders>
            <w:shd w:val="clear" w:color="auto" w:fill="auto"/>
            <w:vAlign w:val="bottom"/>
          </w:tcPr>
          <w:p w14:paraId="1957AE59" w14:textId="5729551B" w:rsidR="002B721C" w:rsidRPr="001D41EA" w:rsidRDefault="002B721C" w:rsidP="001D41EA">
            <w:pPr>
              <w:spacing w:before="40" w:after="40"/>
              <w:jc w:val="center"/>
              <w:rPr>
                <w:rFonts w:cs="Arial"/>
                <w:sz w:val="18"/>
                <w:szCs w:val="18"/>
              </w:rPr>
            </w:pPr>
            <w:r w:rsidRPr="001D41EA">
              <w:rPr>
                <w:rFonts w:cs="Arial"/>
                <w:sz w:val="18"/>
                <w:szCs w:val="18"/>
              </w:rPr>
              <w:t>1.260</w:t>
            </w:r>
          </w:p>
        </w:tc>
        <w:tc>
          <w:tcPr>
            <w:tcW w:w="1361" w:type="dxa"/>
            <w:tcBorders>
              <w:top w:val="nil"/>
              <w:left w:val="nil"/>
              <w:bottom w:val="nil"/>
              <w:right w:val="nil"/>
            </w:tcBorders>
            <w:vAlign w:val="bottom"/>
          </w:tcPr>
          <w:p w14:paraId="53C857B6" w14:textId="67B2CAC4" w:rsidR="002B721C" w:rsidRPr="001D41EA" w:rsidRDefault="002B721C" w:rsidP="001D41EA">
            <w:pPr>
              <w:spacing w:before="40" w:after="40"/>
              <w:jc w:val="center"/>
              <w:rPr>
                <w:rFonts w:cs="Arial"/>
                <w:sz w:val="18"/>
                <w:szCs w:val="18"/>
              </w:rPr>
            </w:pPr>
            <w:r w:rsidRPr="001D41EA">
              <w:rPr>
                <w:rFonts w:cs="Arial"/>
                <w:sz w:val="18"/>
                <w:szCs w:val="18"/>
              </w:rPr>
              <w:t>0.949</w:t>
            </w:r>
          </w:p>
        </w:tc>
        <w:tc>
          <w:tcPr>
            <w:tcW w:w="1361" w:type="dxa"/>
            <w:tcBorders>
              <w:top w:val="nil"/>
              <w:left w:val="nil"/>
              <w:bottom w:val="nil"/>
              <w:right w:val="nil"/>
            </w:tcBorders>
            <w:vAlign w:val="bottom"/>
          </w:tcPr>
          <w:p w14:paraId="47D9B09E" w14:textId="5119B8DD" w:rsidR="002B721C" w:rsidRPr="001D41EA" w:rsidRDefault="002B721C" w:rsidP="001D41EA">
            <w:pPr>
              <w:spacing w:before="40" w:after="40"/>
              <w:jc w:val="center"/>
              <w:rPr>
                <w:rFonts w:cs="Arial"/>
                <w:sz w:val="18"/>
                <w:szCs w:val="18"/>
              </w:rPr>
            </w:pPr>
            <w:r w:rsidRPr="001D41EA">
              <w:rPr>
                <w:rFonts w:cs="Arial"/>
                <w:sz w:val="18"/>
                <w:szCs w:val="18"/>
              </w:rPr>
              <w:t>1.115</w:t>
            </w:r>
          </w:p>
        </w:tc>
        <w:tc>
          <w:tcPr>
            <w:tcW w:w="1361" w:type="dxa"/>
            <w:tcBorders>
              <w:top w:val="nil"/>
              <w:left w:val="nil"/>
              <w:bottom w:val="nil"/>
              <w:right w:val="nil"/>
            </w:tcBorders>
            <w:shd w:val="clear" w:color="auto" w:fill="auto"/>
            <w:vAlign w:val="bottom"/>
          </w:tcPr>
          <w:p w14:paraId="05596C87" w14:textId="62D5D332" w:rsidR="002B721C" w:rsidRPr="001D41EA" w:rsidRDefault="002B721C" w:rsidP="001D41EA">
            <w:pPr>
              <w:spacing w:before="40" w:after="40"/>
              <w:jc w:val="center"/>
              <w:rPr>
                <w:rFonts w:cs="Arial"/>
                <w:sz w:val="18"/>
                <w:szCs w:val="18"/>
              </w:rPr>
            </w:pPr>
            <w:r w:rsidRPr="001D41EA">
              <w:rPr>
                <w:rFonts w:cs="Arial"/>
                <w:sz w:val="18"/>
                <w:szCs w:val="18"/>
              </w:rPr>
              <w:t>0.907</w:t>
            </w:r>
          </w:p>
        </w:tc>
      </w:tr>
      <w:tr w:rsidR="002B721C" w:rsidRPr="001D41EA" w14:paraId="033ADCB4"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4490E68" w14:textId="77777777" w:rsidR="002B721C" w:rsidRPr="001D41EA" w:rsidRDefault="002B721C" w:rsidP="001D41EA">
            <w:pPr>
              <w:spacing w:before="40" w:after="40"/>
              <w:rPr>
                <w:rFonts w:cs="Arial"/>
                <w:sz w:val="18"/>
                <w:szCs w:val="18"/>
              </w:rPr>
            </w:pPr>
            <w:r w:rsidRPr="001D41EA">
              <w:rPr>
                <w:rFonts w:cs="Arial"/>
                <w:sz w:val="18"/>
                <w:szCs w:val="18"/>
              </w:rPr>
              <w:t>Brimbank C</w:t>
            </w:r>
          </w:p>
        </w:tc>
        <w:tc>
          <w:tcPr>
            <w:tcW w:w="1361" w:type="dxa"/>
            <w:tcBorders>
              <w:top w:val="nil"/>
              <w:left w:val="single" w:sz="18" w:space="0" w:color="5F497A" w:themeColor="accent4" w:themeShade="BF"/>
              <w:bottom w:val="nil"/>
              <w:right w:val="nil"/>
            </w:tcBorders>
            <w:shd w:val="clear" w:color="auto" w:fill="auto"/>
            <w:vAlign w:val="bottom"/>
          </w:tcPr>
          <w:p w14:paraId="21BA6ACC" w14:textId="401407FF" w:rsidR="002B721C" w:rsidRPr="001D41EA" w:rsidRDefault="002B721C" w:rsidP="001D41EA">
            <w:pPr>
              <w:spacing w:before="40" w:after="40"/>
              <w:jc w:val="center"/>
              <w:rPr>
                <w:rFonts w:cs="Arial"/>
                <w:sz w:val="18"/>
                <w:szCs w:val="18"/>
              </w:rPr>
            </w:pPr>
            <w:r w:rsidRPr="001D41EA">
              <w:rPr>
                <w:rFonts w:cs="Arial"/>
                <w:sz w:val="18"/>
                <w:szCs w:val="18"/>
              </w:rPr>
              <w:t>0.934</w:t>
            </w:r>
          </w:p>
        </w:tc>
        <w:tc>
          <w:tcPr>
            <w:tcW w:w="1361" w:type="dxa"/>
            <w:tcBorders>
              <w:top w:val="nil"/>
              <w:left w:val="nil"/>
              <w:bottom w:val="nil"/>
              <w:right w:val="nil"/>
            </w:tcBorders>
            <w:shd w:val="clear" w:color="auto" w:fill="auto"/>
            <w:vAlign w:val="bottom"/>
          </w:tcPr>
          <w:p w14:paraId="079FE4BC" w14:textId="5B838B84" w:rsidR="002B721C" w:rsidRPr="001D41EA" w:rsidRDefault="002B721C" w:rsidP="001D41EA">
            <w:pPr>
              <w:spacing w:before="40" w:after="40"/>
              <w:jc w:val="center"/>
              <w:rPr>
                <w:rFonts w:cs="Arial"/>
                <w:sz w:val="18"/>
                <w:szCs w:val="18"/>
              </w:rPr>
            </w:pPr>
            <w:r w:rsidRPr="001D41EA">
              <w:rPr>
                <w:rFonts w:cs="Arial"/>
                <w:sz w:val="18"/>
                <w:szCs w:val="18"/>
              </w:rPr>
              <w:t>0.730</w:t>
            </w:r>
          </w:p>
        </w:tc>
        <w:tc>
          <w:tcPr>
            <w:tcW w:w="1361" w:type="dxa"/>
            <w:tcBorders>
              <w:top w:val="nil"/>
              <w:left w:val="nil"/>
              <w:bottom w:val="nil"/>
              <w:right w:val="nil"/>
            </w:tcBorders>
            <w:vAlign w:val="bottom"/>
          </w:tcPr>
          <w:p w14:paraId="1C16C4DC" w14:textId="608C2489" w:rsidR="002B721C" w:rsidRPr="001D41EA" w:rsidRDefault="002B721C" w:rsidP="001D41EA">
            <w:pPr>
              <w:spacing w:before="40" w:after="40"/>
              <w:jc w:val="center"/>
              <w:rPr>
                <w:rFonts w:cs="Arial"/>
                <w:sz w:val="18"/>
                <w:szCs w:val="18"/>
              </w:rPr>
            </w:pPr>
            <w:r w:rsidRPr="001D41EA">
              <w:rPr>
                <w:rFonts w:cs="Arial"/>
                <w:sz w:val="18"/>
                <w:szCs w:val="18"/>
              </w:rPr>
              <w:t>0.900</w:t>
            </w:r>
          </w:p>
        </w:tc>
        <w:tc>
          <w:tcPr>
            <w:tcW w:w="1361" w:type="dxa"/>
            <w:tcBorders>
              <w:top w:val="nil"/>
              <w:left w:val="nil"/>
              <w:bottom w:val="nil"/>
              <w:right w:val="nil"/>
            </w:tcBorders>
            <w:vAlign w:val="bottom"/>
          </w:tcPr>
          <w:p w14:paraId="308AE71E" w14:textId="7B6296F3" w:rsidR="002B721C" w:rsidRPr="001D41EA" w:rsidRDefault="002B721C" w:rsidP="001D41EA">
            <w:pPr>
              <w:spacing w:before="40" w:after="40"/>
              <w:jc w:val="center"/>
              <w:rPr>
                <w:rFonts w:cs="Arial"/>
                <w:sz w:val="18"/>
                <w:szCs w:val="18"/>
              </w:rPr>
            </w:pPr>
            <w:r w:rsidRPr="001D41EA">
              <w:rPr>
                <w:rFonts w:cs="Arial"/>
                <w:sz w:val="18"/>
                <w:szCs w:val="18"/>
              </w:rPr>
              <w:t>0.809</w:t>
            </w:r>
          </w:p>
        </w:tc>
        <w:tc>
          <w:tcPr>
            <w:tcW w:w="1361" w:type="dxa"/>
            <w:tcBorders>
              <w:top w:val="nil"/>
              <w:left w:val="nil"/>
              <w:bottom w:val="nil"/>
              <w:right w:val="nil"/>
            </w:tcBorders>
            <w:shd w:val="clear" w:color="auto" w:fill="auto"/>
            <w:vAlign w:val="bottom"/>
          </w:tcPr>
          <w:p w14:paraId="5BD13068" w14:textId="1045D9CC" w:rsidR="002B721C" w:rsidRPr="001D41EA" w:rsidRDefault="002B721C" w:rsidP="001D41EA">
            <w:pPr>
              <w:spacing w:before="40" w:after="40"/>
              <w:jc w:val="center"/>
              <w:rPr>
                <w:rFonts w:cs="Arial"/>
                <w:sz w:val="18"/>
                <w:szCs w:val="18"/>
              </w:rPr>
            </w:pPr>
            <w:r w:rsidRPr="001D41EA">
              <w:rPr>
                <w:rFonts w:cs="Arial"/>
                <w:sz w:val="18"/>
                <w:szCs w:val="18"/>
              </w:rPr>
              <w:t>1.398</w:t>
            </w:r>
          </w:p>
        </w:tc>
      </w:tr>
      <w:tr w:rsidR="002B721C" w:rsidRPr="001D41EA" w14:paraId="474D6C23"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4318D7B" w14:textId="77777777" w:rsidR="002B721C" w:rsidRPr="001D41EA" w:rsidRDefault="002B721C" w:rsidP="001D41EA">
            <w:pPr>
              <w:spacing w:before="40" w:after="40"/>
              <w:rPr>
                <w:rFonts w:cs="Arial"/>
                <w:sz w:val="18"/>
                <w:szCs w:val="18"/>
              </w:rPr>
            </w:pPr>
            <w:r w:rsidRPr="001D41EA">
              <w:rPr>
                <w:rFonts w:cs="Arial"/>
                <w:sz w:val="18"/>
                <w:szCs w:val="18"/>
              </w:rPr>
              <w:t>Buloke S</w:t>
            </w:r>
          </w:p>
        </w:tc>
        <w:tc>
          <w:tcPr>
            <w:tcW w:w="1361" w:type="dxa"/>
            <w:tcBorders>
              <w:top w:val="nil"/>
              <w:left w:val="single" w:sz="18" w:space="0" w:color="5F497A" w:themeColor="accent4" w:themeShade="BF"/>
              <w:bottom w:val="nil"/>
              <w:right w:val="nil"/>
            </w:tcBorders>
            <w:shd w:val="clear" w:color="auto" w:fill="auto"/>
            <w:vAlign w:val="bottom"/>
          </w:tcPr>
          <w:p w14:paraId="7C0D61FA" w14:textId="62C121C7" w:rsidR="002B721C" w:rsidRPr="001D41EA" w:rsidRDefault="002B721C" w:rsidP="001D41EA">
            <w:pPr>
              <w:spacing w:before="40" w:after="40"/>
              <w:jc w:val="center"/>
              <w:rPr>
                <w:rFonts w:cs="Arial"/>
                <w:sz w:val="18"/>
                <w:szCs w:val="18"/>
              </w:rPr>
            </w:pPr>
            <w:r w:rsidRPr="001D41EA">
              <w:rPr>
                <w:rFonts w:cs="Arial"/>
                <w:sz w:val="18"/>
                <w:szCs w:val="18"/>
              </w:rPr>
              <w:t>0.779</w:t>
            </w:r>
          </w:p>
        </w:tc>
        <w:tc>
          <w:tcPr>
            <w:tcW w:w="1361" w:type="dxa"/>
            <w:tcBorders>
              <w:top w:val="nil"/>
              <w:left w:val="nil"/>
              <w:bottom w:val="nil"/>
              <w:right w:val="nil"/>
            </w:tcBorders>
            <w:shd w:val="clear" w:color="auto" w:fill="auto"/>
            <w:vAlign w:val="bottom"/>
          </w:tcPr>
          <w:p w14:paraId="2874B0CB" w14:textId="2639B1C0" w:rsidR="002B721C" w:rsidRPr="001D41EA" w:rsidRDefault="002B721C" w:rsidP="001D41EA">
            <w:pPr>
              <w:spacing w:before="40" w:after="40"/>
              <w:jc w:val="center"/>
              <w:rPr>
                <w:rFonts w:cs="Arial"/>
                <w:sz w:val="18"/>
                <w:szCs w:val="18"/>
              </w:rPr>
            </w:pPr>
            <w:r w:rsidRPr="001D41EA">
              <w:rPr>
                <w:rFonts w:cs="Arial"/>
                <w:sz w:val="18"/>
                <w:szCs w:val="18"/>
              </w:rPr>
              <w:t>0.868</w:t>
            </w:r>
          </w:p>
        </w:tc>
        <w:tc>
          <w:tcPr>
            <w:tcW w:w="1361" w:type="dxa"/>
            <w:tcBorders>
              <w:top w:val="nil"/>
              <w:left w:val="nil"/>
              <w:bottom w:val="nil"/>
              <w:right w:val="nil"/>
            </w:tcBorders>
            <w:vAlign w:val="bottom"/>
          </w:tcPr>
          <w:p w14:paraId="1FAF258E" w14:textId="0E64E027" w:rsidR="002B721C" w:rsidRPr="001D41EA" w:rsidRDefault="002B721C" w:rsidP="001D41EA">
            <w:pPr>
              <w:spacing w:before="40" w:after="40"/>
              <w:jc w:val="center"/>
              <w:rPr>
                <w:rFonts w:cs="Arial"/>
                <w:sz w:val="18"/>
                <w:szCs w:val="18"/>
              </w:rPr>
            </w:pPr>
            <w:r w:rsidRPr="001D41EA">
              <w:rPr>
                <w:rFonts w:cs="Arial"/>
                <w:sz w:val="18"/>
                <w:szCs w:val="18"/>
              </w:rPr>
              <w:t>0.986</w:t>
            </w:r>
          </w:p>
        </w:tc>
        <w:tc>
          <w:tcPr>
            <w:tcW w:w="1361" w:type="dxa"/>
            <w:tcBorders>
              <w:top w:val="nil"/>
              <w:left w:val="nil"/>
              <w:bottom w:val="nil"/>
              <w:right w:val="nil"/>
            </w:tcBorders>
            <w:vAlign w:val="bottom"/>
          </w:tcPr>
          <w:p w14:paraId="1D4068D8" w14:textId="4EF803FF" w:rsidR="002B721C" w:rsidRPr="001D41EA" w:rsidRDefault="002B721C" w:rsidP="001D41EA">
            <w:pPr>
              <w:spacing w:before="40" w:after="40"/>
              <w:jc w:val="center"/>
              <w:rPr>
                <w:rFonts w:cs="Arial"/>
                <w:sz w:val="18"/>
                <w:szCs w:val="18"/>
              </w:rPr>
            </w:pPr>
            <w:r w:rsidRPr="001D41EA">
              <w:rPr>
                <w:rFonts w:cs="Arial"/>
                <w:sz w:val="18"/>
                <w:szCs w:val="18"/>
              </w:rPr>
              <w:t>0.728</w:t>
            </w:r>
          </w:p>
        </w:tc>
        <w:tc>
          <w:tcPr>
            <w:tcW w:w="1361" w:type="dxa"/>
            <w:tcBorders>
              <w:top w:val="nil"/>
              <w:left w:val="nil"/>
              <w:bottom w:val="nil"/>
              <w:right w:val="nil"/>
            </w:tcBorders>
            <w:shd w:val="clear" w:color="auto" w:fill="auto"/>
            <w:vAlign w:val="bottom"/>
          </w:tcPr>
          <w:p w14:paraId="4B02D90C" w14:textId="1BBE2096" w:rsidR="002B721C" w:rsidRPr="001D41EA" w:rsidRDefault="002B721C" w:rsidP="001D41EA">
            <w:pPr>
              <w:spacing w:before="40" w:after="40"/>
              <w:jc w:val="center"/>
              <w:rPr>
                <w:rFonts w:cs="Arial"/>
                <w:sz w:val="18"/>
                <w:szCs w:val="18"/>
              </w:rPr>
            </w:pPr>
            <w:r w:rsidRPr="001D41EA">
              <w:rPr>
                <w:rFonts w:cs="Arial"/>
                <w:sz w:val="18"/>
                <w:szCs w:val="18"/>
              </w:rPr>
              <w:t>0.910</w:t>
            </w:r>
          </w:p>
        </w:tc>
      </w:tr>
      <w:tr w:rsidR="002B721C" w:rsidRPr="001D41EA" w14:paraId="6ABD66F9"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03A5F33" w14:textId="77777777" w:rsidR="002B721C" w:rsidRPr="001D41EA" w:rsidRDefault="002B721C" w:rsidP="001D41EA">
            <w:pPr>
              <w:spacing w:before="40" w:after="40"/>
              <w:rPr>
                <w:rFonts w:cs="Arial"/>
                <w:sz w:val="18"/>
                <w:szCs w:val="18"/>
              </w:rPr>
            </w:pPr>
            <w:r w:rsidRPr="001D41EA">
              <w:rPr>
                <w:rFonts w:cs="Arial"/>
                <w:sz w:val="18"/>
                <w:szCs w:val="18"/>
              </w:rPr>
              <w:t>Campaspe S</w:t>
            </w:r>
          </w:p>
        </w:tc>
        <w:tc>
          <w:tcPr>
            <w:tcW w:w="1361" w:type="dxa"/>
            <w:tcBorders>
              <w:top w:val="nil"/>
              <w:left w:val="single" w:sz="18" w:space="0" w:color="5F497A" w:themeColor="accent4" w:themeShade="BF"/>
              <w:bottom w:val="nil"/>
              <w:right w:val="nil"/>
            </w:tcBorders>
            <w:shd w:val="clear" w:color="auto" w:fill="auto"/>
            <w:vAlign w:val="bottom"/>
          </w:tcPr>
          <w:p w14:paraId="5A62CAE4" w14:textId="67F4D0E3" w:rsidR="002B721C" w:rsidRPr="001D41EA" w:rsidRDefault="002B721C" w:rsidP="001D41EA">
            <w:pPr>
              <w:spacing w:before="40" w:after="40"/>
              <w:jc w:val="center"/>
              <w:rPr>
                <w:rFonts w:cs="Arial"/>
                <w:sz w:val="18"/>
                <w:szCs w:val="18"/>
              </w:rPr>
            </w:pPr>
            <w:r w:rsidRPr="001D41EA">
              <w:rPr>
                <w:rFonts w:cs="Arial"/>
                <w:sz w:val="18"/>
                <w:szCs w:val="18"/>
              </w:rPr>
              <w:t>0.835</w:t>
            </w:r>
          </w:p>
        </w:tc>
        <w:tc>
          <w:tcPr>
            <w:tcW w:w="1361" w:type="dxa"/>
            <w:tcBorders>
              <w:top w:val="nil"/>
              <w:left w:val="nil"/>
              <w:bottom w:val="nil"/>
              <w:right w:val="nil"/>
            </w:tcBorders>
            <w:shd w:val="clear" w:color="auto" w:fill="auto"/>
            <w:vAlign w:val="bottom"/>
          </w:tcPr>
          <w:p w14:paraId="1B0E82D8" w14:textId="35FE8FB9" w:rsidR="002B721C" w:rsidRPr="001D41EA" w:rsidRDefault="002B721C" w:rsidP="001D41EA">
            <w:pPr>
              <w:spacing w:before="40" w:after="40"/>
              <w:jc w:val="center"/>
              <w:rPr>
                <w:rFonts w:cs="Arial"/>
                <w:sz w:val="18"/>
                <w:szCs w:val="18"/>
              </w:rPr>
            </w:pPr>
            <w:r w:rsidRPr="001D41EA">
              <w:rPr>
                <w:rFonts w:cs="Arial"/>
                <w:sz w:val="18"/>
                <w:szCs w:val="18"/>
              </w:rPr>
              <w:t>0.868</w:t>
            </w:r>
          </w:p>
        </w:tc>
        <w:tc>
          <w:tcPr>
            <w:tcW w:w="1361" w:type="dxa"/>
            <w:tcBorders>
              <w:top w:val="nil"/>
              <w:left w:val="nil"/>
              <w:bottom w:val="nil"/>
              <w:right w:val="nil"/>
            </w:tcBorders>
            <w:vAlign w:val="bottom"/>
          </w:tcPr>
          <w:p w14:paraId="16BE5D8E" w14:textId="01DC7E55" w:rsidR="002B721C" w:rsidRPr="001D41EA" w:rsidRDefault="002B721C" w:rsidP="001D41EA">
            <w:pPr>
              <w:spacing w:before="40" w:after="40"/>
              <w:jc w:val="center"/>
              <w:rPr>
                <w:rFonts w:cs="Arial"/>
                <w:sz w:val="18"/>
                <w:szCs w:val="18"/>
              </w:rPr>
            </w:pPr>
            <w:r w:rsidRPr="001D41EA">
              <w:rPr>
                <w:rFonts w:cs="Arial"/>
                <w:sz w:val="18"/>
                <w:szCs w:val="18"/>
              </w:rPr>
              <w:t>1.141</w:t>
            </w:r>
          </w:p>
        </w:tc>
        <w:tc>
          <w:tcPr>
            <w:tcW w:w="1361" w:type="dxa"/>
            <w:tcBorders>
              <w:top w:val="nil"/>
              <w:left w:val="nil"/>
              <w:bottom w:val="nil"/>
              <w:right w:val="nil"/>
            </w:tcBorders>
            <w:vAlign w:val="bottom"/>
          </w:tcPr>
          <w:p w14:paraId="2017D632" w14:textId="02E7395B" w:rsidR="002B721C" w:rsidRPr="001D41EA" w:rsidRDefault="002B721C" w:rsidP="001D41EA">
            <w:pPr>
              <w:spacing w:before="40" w:after="40"/>
              <w:jc w:val="center"/>
              <w:rPr>
                <w:rFonts w:cs="Arial"/>
                <w:sz w:val="18"/>
                <w:szCs w:val="18"/>
              </w:rPr>
            </w:pPr>
            <w:r w:rsidRPr="001D41EA">
              <w:rPr>
                <w:rFonts w:cs="Arial"/>
                <w:sz w:val="18"/>
                <w:szCs w:val="18"/>
              </w:rPr>
              <w:t>0.832</w:t>
            </w:r>
          </w:p>
        </w:tc>
        <w:tc>
          <w:tcPr>
            <w:tcW w:w="1361" w:type="dxa"/>
            <w:tcBorders>
              <w:top w:val="nil"/>
              <w:left w:val="nil"/>
              <w:bottom w:val="nil"/>
              <w:right w:val="nil"/>
            </w:tcBorders>
            <w:shd w:val="clear" w:color="auto" w:fill="auto"/>
            <w:vAlign w:val="bottom"/>
          </w:tcPr>
          <w:p w14:paraId="4D810C30" w14:textId="7B900D8E" w:rsidR="002B721C" w:rsidRPr="001D41EA" w:rsidRDefault="002B721C" w:rsidP="001D41EA">
            <w:pPr>
              <w:spacing w:before="40" w:after="40"/>
              <w:jc w:val="center"/>
              <w:rPr>
                <w:rFonts w:cs="Arial"/>
                <w:sz w:val="18"/>
                <w:szCs w:val="18"/>
              </w:rPr>
            </w:pPr>
            <w:r w:rsidRPr="001D41EA">
              <w:rPr>
                <w:rFonts w:cs="Arial"/>
                <w:sz w:val="18"/>
                <w:szCs w:val="18"/>
              </w:rPr>
              <w:t>1.049</w:t>
            </w:r>
          </w:p>
        </w:tc>
      </w:tr>
      <w:tr w:rsidR="002B721C" w:rsidRPr="001D41EA" w14:paraId="6B3AB2E8"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F2460FB" w14:textId="77777777" w:rsidR="002B721C" w:rsidRPr="001D41EA" w:rsidRDefault="002B721C" w:rsidP="001D41EA">
            <w:pPr>
              <w:spacing w:before="40" w:after="40"/>
              <w:rPr>
                <w:rFonts w:cs="Arial"/>
                <w:sz w:val="18"/>
                <w:szCs w:val="18"/>
              </w:rPr>
            </w:pPr>
            <w:r w:rsidRPr="001D41EA">
              <w:rPr>
                <w:rFonts w:cs="Arial"/>
                <w:sz w:val="18"/>
                <w:szCs w:val="18"/>
              </w:rPr>
              <w:t>Cardinia S</w:t>
            </w:r>
          </w:p>
        </w:tc>
        <w:tc>
          <w:tcPr>
            <w:tcW w:w="1361" w:type="dxa"/>
            <w:tcBorders>
              <w:top w:val="nil"/>
              <w:left w:val="single" w:sz="18" w:space="0" w:color="5F497A" w:themeColor="accent4" w:themeShade="BF"/>
              <w:bottom w:val="nil"/>
              <w:right w:val="nil"/>
            </w:tcBorders>
            <w:shd w:val="clear" w:color="auto" w:fill="auto"/>
            <w:vAlign w:val="bottom"/>
          </w:tcPr>
          <w:p w14:paraId="31A9670F" w14:textId="60650BF2" w:rsidR="002B721C" w:rsidRPr="001D41EA" w:rsidRDefault="002B721C" w:rsidP="001D41EA">
            <w:pPr>
              <w:spacing w:before="40" w:after="40"/>
              <w:jc w:val="center"/>
              <w:rPr>
                <w:rFonts w:cs="Arial"/>
                <w:sz w:val="18"/>
                <w:szCs w:val="18"/>
              </w:rPr>
            </w:pPr>
            <w:r w:rsidRPr="001D41EA">
              <w:rPr>
                <w:rFonts w:cs="Arial"/>
                <w:sz w:val="18"/>
                <w:szCs w:val="18"/>
              </w:rPr>
              <w:t>0.973</w:t>
            </w:r>
          </w:p>
        </w:tc>
        <w:tc>
          <w:tcPr>
            <w:tcW w:w="1361" w:type="dxa"/>
            <w:tcBorders>
              <w:top w:val="nil"/>
              <w:left w:val="nil"/>
              <w:bottom w:val="nil"/>
              <w:right w:val="nil"/>
            </w:tcBorders>
            <w:shd w:val="clear" w:color="auto" w:fill="auto"/>
            <w:vAlign w:val="bottom"/>
          </w:tcPr>
          <w:p w14:paraId="4AE37740" w14:textId="1F8835EE" w:rsidR="002B721C" w:rsidRPr="001D41EA" w:rsidRDefault="002B721C" w:rsidP="001D41EA">
            <w:pPr>
              <w:spacing w:before="40" w:after="40"/>
              <w:jc w:val="center"/>
              <w:rPr>
                <w:rFonts w:cs="Arial"/>
                <w:sz w:val="18"/>
                <w:szCs w:val="18"/>
              </w:rPr>
            </w:pPr>
            <w:r w:rsidRPr="001D41EA">
              <w:rPr>
                <w:rFonts w:cs="Arial"/>
                <w:sz w:val="18"/>
                <w:szCs w:val="18"/>
              </w:rPr>
              <w:t>1.031</w:t>
            </w:r>
          </w:p>
        </w:tc>
        <w:tc>
          <w:tcPr>
            <w:tcW w:w="1361" w:type="dxa"/>
            <w:tcBorders>
              <w:top w:val="nil"/>
              <w:left w:val="nil"/>
              <w:bottom w:val="nil"/>
              <w:right w:val="nil"/>
            </w:tcBorders>
            <w:vAlign w:val="bottom"/>
          </w:tcPr>
          <w:p w14:paraId="1362B30F" w14:textId="4789BE55" w:rsidR="002B721C" w:rsidRPr="001D41EA" w:rsidRDefault="002B721C" w:rsidP="001D41EA">
            <w:pPr>
              <w:spacing w:before="40" w:after="40"/>
              <w:jc w:val="center"/>
              <w:rPr>
                <w:rFonts w:cs="Arial"/>
                <w:sz w:val="18"/>
                <w:szCs w:val="18"/>
              </w:rPr>
            </w:pPr>
            <w:r w:rsidRPr="001D41EA">
              <w:rPr>
                <w:rFonts w:cs="Arial"/>
                <w:sz w:val="18"/>
                <w:szCs w:val="18"/>
              </w:rPr>
              <w:t>0.924</w:t>
            </w:r>
          </w:p>
        </w:tc>
        <w:tc>
          <w:tcPr>
            <w:tcW w:w="1361" w:type="dxa"/>
            <w:tcBorders>
              <w:top w:val="nil"/>
              <w:left w:val="nil"/>
              <w:bottom w:val="nil"/>
              <w:right w:val="nil"/>
            </w:tcBorders>
            <w:vAlign w:val="bottom"/>
          </w:tcPr>
          <w:p w14:paraId="4C7C1400" w14:textId="0A5798AD" w:rsidR="002B721C" w:rsidRPr="001D41EA" w:rsidRDefault="002B721C" w:rsidP="001D41EA">
            <w:pPr>
              <w:spacing w:before="40" w:after="40"/>
              <w:jc w:val="center"/>
              <w:rPr>
                <w:rFonts w:cs="Arial"/>
                <w:sz w:val="18"/>
                <w:szCs w:val="18"/>
              </w:rPr>
            </w:pPr>
            <w:r w:rsidRPr="001D41EA">
              <w:rPr>
                <w:rFonts w:cs="Arial"/>
                <w:sz w:val="18"/>
                <w:szCs w:val="18"/>
              </w:rPr>
              <w:t>1.077</w:t>
            </w:r>
          </w:p>
        </w:tc>
        <w:tc>
          <w:tcPr>
            <w:tcW w:w="1361" w:type="dxa"/>
            <w:tcBorders>
              <w:top w:val="nil"/>
              <w:left w:val="nil"/>
              <w:bottom w:val="nil"/>
              <w:right w:val="nil"/>
            </w:tcBorders>
            <w:shd w:val="clear" w:color="auto" w:fill="auto"/>
            <w:vAlign w:val="bottom"/>
          </w:tcPr>
          <w:p w14:paraId="4F181DC3" w14:textId="5D88D77F" w:rsidR="002B721C" w:rsidRPr="001D41EA" w:rsidRDefault="002B721C" w:rsidP="001D41EA">
            <w:pPr>
              <w:spacing w:before="40" w:after="40"/>
              <w:jc w:val="center"/>
              <w:rPr>
                <w:rFonts w:cs="Arial"/>
                <w:sz w:val="18"/>
                <w:szCs w:val="18"/>
              </w:rPr>
            </w:pPr>
            <w:r w:rsidRPr="001D41EA">
              <w:rPr>
                <w:rFonts w:cs="Arial"/>
                <w:sz w:val="18"/>
                <w:szCs w:val="18"/>
              </w:rPr>
              <w:t>0.861</w:t>
            </w:r>
          </w:p>
        </w:tc>
      </w:tr>
      <w:tr w:rsidR="002B721C" w:rsidRPr="001D41EA" w14:paraId="55C50AD7"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5EE4BCB" w14:textId="77777777" w:rsidR="002B721C" w:rsidRPr="001D41EA" w:rsidRDefault="002B721C" w:rsidP="001D41EA">
            <w:pPr>
              <w:spacing w:before="40" w:after="40"/>
              <w:rPr>
                <w:rFonts w:cs="Arial"/>
                <w:sz w:val="18"/>
                <w:szCs w:val="18"/>
              </w:rPr>
            </w:pPr>
            <w:r w:rsidRPr="001D41EA">
              <w:rPr>
                <w:rFonts w:cs="Arial"/>
                <w:sz w:val="18"/>
                <w:szCs w:val="18"/>
              </w:rPr>
              <w:t>Casey C</w:t>
            </w:r>
          </w:p>
        </w:tc>
        <w:tc>
          <w:tcPr>
            <w:tcW w:w="1361" w:type="dxa"/>
            <w:tcBorders>
              <w:top w:val="nil"/>
              <w:left w:val="single" w:sz="18" w:space="0" w:color="5F497A" w:themeColor="accent4" w:themeShade="BF"/>
              <w:bottom w:val="nil"/>
              <w:right w:val="nil"/>
            </w:tcBorders>
            <w:shd w:val="clear" w:color="auto" w:fill="auto"/>
            <w:vAlign w:val="bottom"/>
          </w:tcPr>
          <w:p w14:paraId="61DE7898" w14:textId="65C01B3F" w:rsidR="002B721C" w:rsidRPr="001D41EA" w:rsidRDefault="002B721C" w:rsidP="001D41EA">
            <w:pPr>
              <w:spacing w:before="40" w:after="40"/>
              <w:jc w:val="center"/>
              <w:rPr>
                <w:rFonts w:cs="Arial"/>
                <w:sz w:val="18"/>
                <w:szCs w:val="18"/>
              </w:rPr>
            </w:pPr>
            <w:r w:rsidRPr="001D41EA">
              <w:rPr>
                <w:rFonts w:cs="Arial"/>
                <w:sz w:val="18"/>
                <w:szCs w:val="18"/>
              </w:rPr>
              <w:t>1.064</w:t>
            </w:r>
          </w:p>
        </w:tc>
        <w:tc>
          <w:tcPr>
            <w:tcW w:w="1361" w:type="dxa"/>
            <w:tcBorders>
              <w:top w:val="nil"/>
              <w:left w:val="nil"/>
              <w:bottom w:val="nil"/>
              <w:right w:val="nil"/>
            </w:tcBorders>
            <w:shd w:val="clear" w:color="auto" w:fill="auto"/>
            <w:vAlign w:val="bottom"/>
          </w:tcPr>
          <w:p w14:paraId="2EC554DC" w14:textId="15E2203F" w:rsidR="002B721C" w:rsidRPr="001D41EA" w:rsidRDefault="002B721C" w:rsidP="001D41EA">
            <w:pPr>
              <w:spacing w:before="40" w:after="40"/>
              <w:jc w:val="center"/>
              <w:rPr>
                <w:rFonts w:cs="Arial"/>
                <w:sz w:val="18"/>
                <w:szCs w:val="18"/>
              </w:rPr>
            </w:pPr>
            <w:r w:rsidRPr="001D41EA">
              <w:rPr>
                <w:rFonts w:cs="Arial"/>
                <w:sz w:val="18"/>
                <w:szCs w:val="18"/>
              </w:rPr>
              <w:t>0.980</w:t>
            </w:r>
          </w:p>
        </w:tc>
        <w:tc>
          <w:tcPr>
            <w:tcW w:w="1361" w:type="dxa"/>
            <w:tcBorders>
              <w:top w:val="nil"/>
              <w:left w:val="nil"/>
              <w:bottom w:val="nil"/>
              <w:right w:val="nil"/>
            </w:tcBorders>
            <w:vAlign w:val="bottom"/>
          </w:tcPr>
          <w:p w14:paraId="63553624" w14:textId="1EFBDAFE" w:rsidR="002B721C" w:rsidRPr="001D41EA" w:rsidRDefault="002B721C" w:rsidP="001D41EA">
            <w:pPr>
              <w:spacing w:before="40" w:after="40"/>
              <w:jc w:val="center"/>
              <w:rPr>
                <w:rFonts w:cs="Arial"/>
                <w:sz w:val="18"/>
                <w:szCs w:val="18"/>
              </w:rPr>
            </w:pPr>
            <w:r w:rsidRPr="001D41EA">
              <w:rPr>
                <w:rFonts w:cs="Arial"/>
                <w:sz w:val="18"/>
                <w:szCs w:val="18"/>
              </w:rPr>
              <w:t>0.902</w:t>
            </w:r>
          </w:p>
        </w:tc>
        <w:tc>
          <w:tcPr>
            <w:tcW w:w="1361" w:type="dxa"/>
            <w:tcBorders>
              <w:top w:val="nil"/>
              <w:left w:val="nil"/>
              <w:bottom w:val="nil"/>
              <w:right w:val="nil"/>
            </w:tcBorders>
            <w:vAlign w:val="bottom"/>
          </w:tcPr>
          <w:p w14:paraId="570AE216" w14:textId="3F0D0E67" w:rsidR="002B721C" w:rsidRPr="001D41EA" w:rsidRDefault="002B721C" w:rsidP="001D41EA">
            <w:pPr>
              <w:spacing w:before="40" w:after="40"/>
              <w:jc w:val="center"/>
              <w:rPr>
                <w:rFonts w:cs="Arial"/>
                <w:sz w:val="18"/>
                <w:szCs w:val="18"/>
              </w:rPr>
            </w:pPr>
            <w:r w:rsidRPr="001D41EA">
              <w:rPr>
                <w:rFonts w:cs="Arial"/>
                <w:sz w:val="18"/>
                <w:szCs w:val="18"/>
              </w:rPr>
              <w:t>0.989</w:t>
            </w:r>
          </w:p>
        </w:tc>
        <w:tc>
          <w:tcPr>
            <w:tcW w:w="1361" w:type="dxa"/>
            <w:tcBorders>
              <w:top w:val="nil"/>
              <w:left w:val="nil"/>
              <w:bottom w:val="nil"/>
              <w:right w:val="nil"/>
            </w:tcBorders>
            <w:shd w:val="clear" w:color="auto" w:fill="auto"/>
            <w:vAlign w:val="bottom"/>
          </w:tcPr>
          <w:p w14:paraId="57904C1E" w14:textId="72EE4DDF" w:rsidR="002B721C" w:rsidRPr="001D41EA" w:rsidRDefault="002B721C" w:rsidP="001D41EA">
            <w:pPr>
              <w:spacing w:before="40" w:after="40"/>
              <w:jc w:val="center"/>
              <w:rPr>
                <w:rFonts w:cs="Arial"/>
                <w:sz w:val="18"/>
                <w:szCs w:val="18"/>
              </w:rPr>
            </w:pPr>
            <w:r w:rsidRPr="001D41EA">
              <w:rPr>
                <w:rFonts w:cs="Arial"/>
                <w:sz w:val="18"/>
                <w:szCs w:val="18"/>
              </w:rPr>
              <w:t>0.964</w:t>
            </w:r>
          </w:p>
        </w:tc>
      </w:tr>
      <w:tr w:rsidR="002B721C" w:rsidRPr="001D41EA" w14:paraId="41B3067A"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3DC22F" w14:textId="77777777" w:rsidR="002B721C" w:rsidRPr="001D41EA" w:rsidRDefault="002B721C" w:rsidP="001D41EA">
            <w:pPr>
              <w:spacing w:before="40" w:after="40"/>
              <w:rPr>
                <w:rFonts w:cs="Arial"/>
                <w:sz w:val="18"/>
                <w:szCs w:val="18"/>
              </w:rPr>
            </w:pPr>
            <w:r w:rsidRPr="001D41EA">
              <w:rPr>
                <w:rFonts w:cs="Arial"/>
                <w:sz w:val="18"/>
                <w:szCs w:val="18"/>
              </w:rPr>
              <w:t>Central Goldfields S</w:t>
            </w:r>
          </w:p>
        </w:tc>
        <w:tc>
          <w:tcPr>
            <w:tcW w:w="1361" w:type="dxa"/>
            <w:tcBorders>
              <w:top w:val="nil"/>
              <w:left w:val="single" w:sz="18" w:space="0" w:color="5F497A" w:themeColor="accent4" w:themeShade="BF"/>
              <w:bottom w:val="nil"/>
              <w:right w:val="nil"/>
            </w:tcBorders>
            <w:shd w:val="clear" w:color="auto" w:fill="auto"/>
            <w:vAlign w:val="bottom"/>
          </w:tcPr>
          <w:p w14:paraId="734F4403" w14:textId="3B2E56A7" w:rsidR="002B721C" w:rsidRPr="001D41EA" w:rsidRDefault="002B721C" w:rsidP="001D41EA">
            <w:pPr>
              <w:spacing w:before="40" w:after="40"/>
              <w:jc w:val="center"/>
              <w:rPr>
                <w:rFonts w:cs="Arial"/>
                <w:sz w:val="18"/>
                <w:szCs w:val="18"/>
              </w:rPr>
            </w:pPr>
            <w:r w:rsidRPr="001D41EA">
              <w:rPr>
                <w:rFonts w:cs="Arial"/>
                <w:sz w:val="18"/>
                <w:szCs w:val="18"/>
              </w:rPr>
              <w:t>0.773</w:t>
            </w:r>
          </w:p>
        </w:tc>
        <w:tc>
          <w:tcPr>
            <w:tcW w:w="1361" w:type="dxa"/>
            <w:tcBorders>
              <w:top w:val="nil"/>
              <w:left w:val="nil"/>
              <w:bottom w:val="nil"/>
              <w:right w:val="nil"/>
            </w:tcBorders>
            <w:shd w:val="clear" w:color="auto" w:fill="auto"/>
            <w:vAlign w:val="bottom"/>
          </w:tcPr>
          <w:p w14:paraId="42F1171C" w14:textId="7BBF1B35" w:rsidR="002B721C" w:rsidRPr="001D41EA" w:rsidRDefault="002B721C" w:rsidP="001D41EA">
            <w:pPr>
              <w:spacing w:before="40" w:after="40"/>
              <w:jc w:val="center"/>
              <w:rPr>
                <w:rFonts w:cs="Arial"/>
                <w:sz w:val="18"/>
                <w:szCs w:val="18"/>
              </w:rPr>
            </w:pPr>
            <w:r w:rsidRPr="001D41EA">
              <w:rPr>
                <w:rFonts w:cs="Arial"/>
                <w:sz w:val="18"/>
                <w:szCs w:val="18"/>
              </w:rPr>
              <w:t>0.633</w:t>
            </w:r>
          </w:p>
        </w:tc>
        <w:tc>
          <w:tcPr>
            <w:tcW w:w="1361" w:type="dxa"/>
            <w:tcBorders>
              <w:top w:val="nil"/>
              <w:left w:val="nil"/>
              <w:bottom w:val="nil"/>
              <w:right w:val="nil"/>
            </w:tcBorders>
            <w:vAlign w:val="bottom"/>
          </w:tcPr>
          <w:p w14:paraId="36106CDB" w14:textId="6D83B896" w:rsidR="002B721C" w:rsidRPr="001D41EA" w:rsidRDefault="002B721C" w:rsidP="001D41EA">
            <w:pPr>
              <w:spacing w:before="40" w:after="40"/>
              <w:jc w:val="center"/>
              <w:rPr>
                <w:rFonts w:cs="Arial"/>
                <w:sz w:val="18"/>
                <w:szCs w:val="18"/>
              </w:rPr>
            </w:pPr>
            <w:r w:rsidRPr="001D41EA">
              <w:rPr>
                <w:rFonts w:cs="Arial"/>
                <w:sz w:val="18"/>
                <w:szCs w:val="18"/>
              </w:rPr>
              <w:t>1.013</w:t>
            </w:r>
          </w:p>
        </w:tc>
        <w:tc>
          <w:tcPr>
            <w:tcW w:w="1361" w:type="dxa"/>
            <w:tcBorders>
              <w:top w:val="nil"/>
              <w:left w:val="nil"/>
              <w:bottom w:val="nil"/>
              <w:right w:val="nil"/>
            </w:tcBorders>
            <w:vAlign w:val="bottom"/>
          </w:tcPr>
          <w:p w14:paraId="2F2CE5AD" w14:textId="714D47E7" w:rsidR="002B721C" w:rsidRPr="001D41EA" w:rsidRDefault="002B721C" w:rsidP="001D41EA">
            <w:pPr>
              <w:spacing w:before="40" w:after="40"/>
              <w:jc w:val="center"/>
              <w:rPr>
                <w:rFonts w:cs="Arial"/>
                <w:sz w:val="18"/>
                <w:szCs w:val="18"/>
              </w:rPr>
            </w:pPr>
            <w:r w:rsidRPr="001D41EA">
              <w:rPr>
                <w:rFonts w:cs="Arial"/>
                <w:sz w:val="18"/>
                <w:szCs w:val="18"/>
              </w:rPr>
              <w:t>0.738</w:t>
            </w:r>
          </w:p>
        </w:tc>
        <w:tc>
          <w:tcPr>
            <w:tcW w:w="1361" w:type="dxa"/>
            <w:tcBorders>
              <w:top w:val="nil"/>
              <w:left w:val="nil"/>
              <w:bottom w:val="nil"/>
              <w:right w:val="nil"/>
            </w:tcBorders>
            <w:shd w:val="clear" w:color="auto" w:fill="auto"/>
            <w:vAlign w:val="bottom"/>
          </w:tcPr>
          <w:p w14:paraId="6873E8B3" w14:textId="3CCC5B09" w:rsidR="002B721C" w:rsidRPr="001D41EA" w:rsidRDefault="002B721C" w:rsidP="001D41EA">
            <w:pPr>
              <w:spacing w:before="40" w:after="40"/>
              <w:jc w:val="center"/>
              <w:rPr>
                <w:rFonts w:cs="Arial"/>
                <w:sz w:val="18"/>
                <w:szCs w:val="18"/>
              </w:rPr>
            </w:pPr>
            <w:r w:rsidRPr="001D41EA">
              <w:rPr>
                <w:rFonts w:cs="Arial"/>
                <w:sz w:val="18"/>
                <w:szCs w:val="18"/>
              </w:rPr>
              <w:t>0.960</w:t>
            </w:r>
          </w:p>
        </w:tc>
      </w:tr>
      <w:tr w:rsidR="002B721C" w:rsidRPr="001D41EA" w14:paraId="5B92828B"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C0C3BEF" w14:textId="77777777" w:rsidR="002B721C" w:rsidRPr="001D41EA" w:rsidRDefault="002B721C" w:rsidP="001D41EA">
            <w:pPr>
              <w:spacing w:before="40" w:after="40"/>
              <w:rPr>
                <w:rFonts w:cs="Arial"/>
                <w:sz w:val="18"/>
                <w:szCs w:val="18"/>
              </w:rPr>
            </w:pPr>
            <w:r w:rsidRPr="001D41EA">
              <w:rPr>
                <w:rFonts w:cs="Arial"/>
                <w:sz w:val="18"/>
                <w:szCs w:val="18"/>
              </w:rPr>
              <w:t>Colac Otway S</w:t>
            </w:r>
          </w:p>
        </w:tc>
        <w:tc>
          <w:tcPr>
            <w:tcW w:w="1361" w:type="dxa"/>
            <w:tcBorders>
              <w:top w:val="nil"/>
              <w:left w:val="single" w:sz="18" w:space="0" w:color="5F497A" w:themeColor="accent4" w:themeShade="BF"/>
              <w:bottom w:val="nil"/>
              <w:right w:val="nil"/>
            </w:tcBorders>
            <w:shd w:val="clear" w:color="auto" w:fill="auto"/>
            <w:vAlign w:val="bottom"/>
          </w:tcPr>
          <w:p w14:paraId="4C63E97C" w14:textId="06CD3453" w:rsidR="002B721C" w:rsidRPr="001D41EA" w:rsidRDefault="002B721C" w:rsidP="001D41EA">
            <w:pPr>
              <w:spacing w:before="40" w:after="40"/>
              <w:jc w:val="center"/>
              <w:rPr>
                <w:rFonts w:cs="Arial"/>
                <w:sz w:val="18"/>
                <w:szCs w:val="18"/>
              </w:rPr>
            </w:pPr>
            <w:r w:rsidRPr="001D41EA">
              <w:rPr>
                <w:rFonts w:cs="Arial"/>
                <w:sz w:val="18"/>
                <w:szCs w:val="18"/>
              </w:rPr>
              <w:t>0.871</w:t>
            </w:r>
          </w:p>
        </w:tc>
        <w:tc>
          <w:tcPr>
            <w:tcW w:w="1361" w:type="dxa"/>
            <w:tcBorders>
              <w:top w:val="nil"/>
              <w:left w:val="nil"/>
              <w:bottom w:val="nil"/>
              <w:right w:val="nil"/>
            </w:tcBorders>
            <w:shd w:val="clear" w:color="auto" w:fill="auto"/>
            <w:vAlign w:val="bottom"/>
          </w:tcPr>
          <w:p w14:paraId="30011396" w14:textId="095D15A5" w:rsidR="002B721C" w:rsidRPr="001D41EA" w:rsidRDefault="002B721C" w:rsidP="001D41EA">
            <w:pPr>
              <w:spacing w:before="40" w:after="40"/>
              <w:jc w:val="center"/>
              <w:rPr>
                <w:rFonts w:cs="Arial"/>
                <w:sz w:val="18"/>
                <w:szCs w:val="18"/>
              </w:rPr>
            </w:pPr>
            <w:r w:rsidRPr="001D41EA">
              <w:rPr>
                <w:rFonts w:cs="Arial"/>
                <w:sz w:val="18"/>
                <w:szCs w:val="18"/>
              </w:rPr>
              <w:t>0.850</w:t>
            </w:r>
          </w:p>
        </w:tc>
        <w:tc>
          <w:tcPr>
            <w:tcW w:w="1361" w:type="dxa"/>
            <w:tcBorders>
              <w:top w:val="nil"/>
              <w:left w:val="nil"/>
              <w:bottom w:val="nil"/>
              <w:right w:val="nil"/>
            </w:tcBorders>
            <w:vAlign w:val="bottom"/>
          </w:tcPr>
          <w:p w14:paraId="34593DA8" w14:textId="531404FA" w:rsidR="002B721C" w:rsidRPr="001D41EA" w:rsidRDefault="002B721C" w:rsidP="001D41EA">
            <w:pPr>
              <w:spacing w:before="40" w:after="40"/>
              <w:jc w:val="center"/>
              <w:rPr>
                <w:rFonts w:cs="Arial"/>
                <w:sz w:val="18"/>
                <w:szCs w:val="18"/>
              </w:rPr>
            </w:pPr>
            <w:r w:rsidRPr="001D41EA">
              <w:rPr>
                <w:rFonts w:cs="Arial"/>
                <w:sz w:val="18"/>
                <w:szCs w:val="18"/>
              </w:rPr>
              <w:t>1.282</w:t>
            </w:r>
          </w:p>
        </w:tc>
        <w:tc>
          <w:tcPr>
            <w:tcW w:w="1361" w:type="dxa"/>
            <w:tcBorders>
              <w:top w:val="nil"/>
              <w:left w:val="nil"/>
              <w:bottom w:val="nil"/>
              <w:right w:val="nil"/>
            </w:tcBorders>
            <w:vAlign w:val="bottom"/>
          </w:tcPr>
          <w:p w14:paraId="5E9F198A" w14:textId="420FC0D7" w:rsidR="002B721C" w:rsidRPr="001D41EA" w:rsidRDefault="002B721C" w:rsidP="001D41EA">
            <w:pPr>
              <w:spacing w:before="40" w:after="40"/>
              <w:jc w:val="center"/>
              <w:rPr>
                <w:rFonts w:cs="Arial"/>
                <w:sz w:val="18"/>
                <w:szCs w:val="18"/>
              </w:rPr>
            </w:pPr>
            <w:r w:rsidRPr="001D41EA">
              <w:rPr>
                <w:rFonts w:cs="Arial"/>
                <w:sz w:val="18"/>
                <w:szCs w:val="18"/>
              </w:rPr>
              <w:t>0.925</w:t>
            </w:r>
          </w:p>
        </w:tc>
        <w:tc>
          <w:tcPr>
            <w:tcW w:w="1361" w:type="dxa"/>
            <w:tcBorders>
              <w:top w:val="nil"/>
              <w:left w:val="nil"/>
              <w:bottom w:val="nil"/>
              <w:right w:val="nil"/>
            </w:tcBorders>
            <w:shd w:val="clear" w:color="auto" w:fill="auto"/>
            <w:vAlign w:val="bottom"/>
          </w:tcPr>
          <w:p w14:paraId="18A3B63A" w14:textId="7165BFA9" w:rsidR="002B721C" w:rsidRPr="001D41EA" w:rsidRDefault="002B721C" w:rsidP="001D41EA">
            <w:pPr>
              <w:spacing w:before="40" w:after="40"/>
              <w:jc w:val="center"/>
              <w:rPr>
                <w:rFonts w:cs="Arial"/>
                <w:sz w:val="18"/>
                <w:szCs w:val="18"/>
              </w:rPr>
            </w:pPr>
            <w:r w:rsidRPr="001D41EA">
              <w:rPr>
                <w:rFonts w:cs="Arial"/>
                <w:sz w:val="18"/>
                <w:szCs w:val="18"/>
              </w:rPr>
              <w:t>0.912</w:t>
            </w:r>
          </w:p>
        </w:tc>
      </w:tr>
      <w:tr w:rsidR="002B721C" w:rsidRPr="001D41EA" w14:paraId="453E16E4"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EA70689" w14:textId="77777777" w:rsidR="002B721C" w:rsidRPr="001D41EA" w:rsidRDefault="002B721C" w:rsidP="001D41EA">
            <w:pPr>
              <w:spacing w:before="40" w:after="40"/>
              <w:rPr>
                <w:rFonts w:cs="Arial"/>
                <w:sz w:val="18"/>
                <w:szCs w:val="18"/>
              </w:rPr>
            </w:pPr>
            <w:r w:rsidRPr="001D41EA">
              <w:rPr>
                <w:rFonts w:cs="Arial"/>
                <w:sz w:val="18"/>
                <w:szCs w:val="18"/>
              </w:rPr>
              <w:t>Corangamite S</w:t>
            </w:r>
          </w:p>
        </w:tc>
        <w:tc>
          <w:tcPr>
            <w:tcW w:w="1361" w:type="dxa"/>
            <w:tcBorders>
              <w:top w:val="nil"/>
              <w:left w:val="single" w:sz="18" w:space="0" w:color="5F497A" w:themeColor="accent4" w:themeShade="BF"/>
              <w:bottom w:val="nil"/>
              <w:right w:val="nil"/>
            </w:tcBorders>
            <w:shd w:val="clear" w:color="auto" w:fill="auto"/>
            <w:vAlign w:val="bottom"/>
          </w:tcPr>
          <w:p w14:paraId="08B268CD" w14:textId="6776A224" w:rsidR="002B721C" w:rsidRPr="001D41EA" w:rsidRDefault="002B721C" w:rsidP="001D41EA">
            <w:pPr>
              <w:spacing w:before="40" w:after="40"/>
              <w:jc w:val="center"/>
              <w:rPr>
                <w:rFonts w:cs="Arial"/>
                <w:sz w:val="18"/>
                <w:szCs w:val="18"/>
              </w:rPr>
            </w:pPr>
            <w:r w:rsidRPr="001D41EA">
              <w:rPr>
                <w:rFonts w:cs="Arial"/>
                <w:sz w:val="18"/>
                <w:szCs w:val="18"/>
              </w:rPr>
              <w:t>0.838</w:t>
            </w:r>
          </w:p>
        </w:tc>
        <w:tc>
          <w:tcPr>
            <w:tcW w:w="1361" w:type="dxa"/>
            <w:tcBorders>
              <w:top w:val="nil"/>
              <w:left w:val="nil"/>
              <w:bottom w:val="nil"/>
              <w:right w:val="nil"/>
            </w:tcBorders>
            <w:shd w:val="clear" w:color="auto" w:fill="auto"/>
            <w:vAlign w:val="bottom"/>
          </w:tcPr>
          <w:p w14:paraId="3F6B2856" w14:textId="4D3720B6" w:rsidR="002B721C" w:rsidRPr="001D41EA" w:rsidRDefault="002B721C" w:rsidP="001D41EA">
            <w:pPr>
              <w:spacing w:before="40" w:after="40"/>
              <w:jc w:val="center"/>
              <w:rPr>
                <w:rFonts w:cs="Arial"/>
                <w:sz w:val="18"/>
                <w:szCs w:val="18"/>
              </w:rPr>
            </w:pPr>
            <w:r w:rsidRPr="001D41EA">
              <w:rPr>
                <w:rFonts w:cs="Arial"/>
                <w:sz w:val="18"/>
                <w:szCs w:val="18"/>
              </w:rPr>
              <w:t>0.898</w:t>
            </w:r>
          </w:p>
        </w:tc>
        <w:tc>
          <w:tcPr>
            <w:tcW w:w="1361" w:type="dxa"/>
            <w:tcBorders>
              <w:top w:val="nil"/>
              <w:left w:val="nil"/>
              <w:bottom w:val="nil"/>
              <w:right w:val="nil"/>
            </w:tcBorders>
            <w:vAlign w:val="bottom"/>
          </w:tcPr>
          <w:p w14:paraId="0CF73700" w14:textId="56EEB398" w:rsidR="002B721C" w:rsidRPr="001D41EA" w:rsidRDefault="002B721C" w:rsidP="001D41EA">
            <w:pPr>
              <w:spacing w:before="40" w:after="40"/>
              <w:jc w:val="center"/>
              <w:rPr>
                <w:rFonts w:cs="Arial"/>
                <w:sz w:val="18"/>
                <w:szCs w:val="18"/>
              </w:rPr>
            </w:pPr>
            <w:r w:rsidRPr="001D41EA">
              <w:rPr>
                <w:rFonts w:cs="Arial"/>
                <w:sz w:val="18"/>
                <w:szCs w:val="18"/>
              </w:rPr>
              <w:t>1.086</w:t>
            </w:r>
          </w:p>
        </w:tc>
        <w:tc>
          <w:tcPr>
            <w:tcW w:w="1361" w:type="dxa"/>
            <w:tcBorders>
              <w:top w:val="nil"/>
              <w:left w:val="nil"/>
              <w:bottom w:val="nil"/>
              <w:right w:val="nil"/>
            </w:tcBorders>
            <w:vAlign w:val="bottom"/>
          </w:tcPr>
          <w:p w14:paraId="0305A09E" w14:textId="1E6CA104" w:rsidR="002B721C" w:rsidRPr="001D41EA" w:rsidRDefault="002B721C" w:rsidP="001D41EA">
            <w:pPr>
              <w:spacing w:before="40" w:after="40"/>
              <w:jc w:val="center"/>
              <w:rPr>
                <w:rFonts w:cs="Arial"/>
                <w:sz w:val="18"/>
                <w:szCs w:val="18"/>
              </w:rPr>
            </w:pPr>
            <w:r w:rsidRPr="001D41EA">
              <w:rPr>
                <w:rFonts w:cs="Arial"/>
                <w:sz w:val="18"/>
                <w:szCs w:val="18"/>
              </w:rPr>
              <w:t>0.757</w:t>
            </w:r>
          </w:p>
        </w:tc>
        <w:tc>
          <w:tcPr>
            <w:tcW w:w="1361" w:type="dxa"/>
            <w:tcBorders>
              <w:top w:val="nil"/>
              <w:left w:val="nil"/>
              <w:bottom w:val="nil"/>
              <w:right w:val="nil"/>
            </w:tcBorders>
            <w:shd w:val="clear" w:color="auto" w:fill="auto"/>
            <w:vAlign w:val="bottom"/>
          </w:tcPr>
          <w:p w14:paraId="09EF87EC" w14:textId="4869E547" w:rsidR="002B721C" w:rsidRPr="001D41EA" w:rsidRDefault="002B721C" w:rsidP="001D41EA">
            <w:pPr>
              <w:spacing w:before="40" w:after="40"/>
              <w:jc w:val="center"/>
              <w:rPr>
                <w:rFonts w:cs="Arial"/>
                <w:sz w:val="18"/>
                <w:szCs w:val="18"/>
              </w:rPr>
            </w:pPr>
            <w:r w:rsidRPr="001D41EA">
              <w:rPr>
                <w:rFonts w:cs="Arial"/>
                <w:sz w:val="18"/>
                <w:szCs w:val="18"/>
              </w:rPr>
              <w:t>0.855</w:t>
            </w:r>
          </w:p>
        </w:tc>
      </w:tr>
      <w:tr w:rsidR="002B721C" w:rsidRPr="001D41EA" w14:paraId="786167EA"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A011576" w14:textId="77777777" w:rsidR="002B721C" w:rsidRPr="001D41EA" w:rsidRDefault="002B721C" w:rsidP="001D41EA">
            <w:pPr>
              <w:spacing w:before="40" w:after="40"/>
              <w:rPr>
                <w:rFonts w:cs="Arial"/>
                <w:sz w:val="18"/>
                <w:szCs w:val="18"/>
              </w:rPr>
            </w:pPr>
            <w:r w:rsidRPr="001D41EA">
              <w:rPr>
                <w:rFonts w:cs="Arial"/>
                <w:sz w:val="18"/>
                <w:szCs w:val="18"/>
              </w:rPr>
              <w:t>Darebin C</w:t>
            </w:r>
          </w:p>
        </w:tc>
        <w:tc>
          <w:tcPr>
            <w:tcW w:w="1361" w:type="dxa"/>
            <w:tcBorders>
              <w:top w:val="nil"/>
              <w:left w:val="single" w:sz="18" w:space="0" w:color="5F497A" w:themeColor="accent4" w:themeShade="BF"/>
              <w:bottom w:val="nil"/>
              <w:right w:val="nil"/>
            </w:tcBorders>
            <w:shd w:val="clear" w:color="auto" w:fill="auto"/>
            <w:vAlign w:val="bottom"/>
          </w:tcPr>
          <w:p w14:paraId="16A14F53" w14:textId="218DB1EE" w:rsidR="002B721C" w:rsidRPr="001D41EA" w:rsidRDefault="002B721C" w:rsidP="001D41EA">
            <w:pPr>
              <w:spacing w:before="40" w:after="40"/>
              <w:jc w:val="center"/>
              <w:rPr>
                <w:rFonts w:cs="Arial"/>
                <w:sz w:val="18"/>
                <w:szCs w:val="18"/>
              </w:rPr>
            </w:pPr>
            <w:r w:rsidRPr="001D41EA">
              <w:rPr>
                <w:rFonts w:cs="Arial"/>
                <w:sz w:val="18"/>
                <w:szCs w:val="18"/>
              </w:rPr>
              <w:t>0.836</w:t>
            </w:r>
          </w:p>
        </w:tc>
        <w:tc>
          <w:tcPr>
            <w:tcW w:w="1361" w:type="dxa"/>
            <w:tcBorders>
              <w:top w:val="nil"/>
              <w:left w:val="nil"/>
              <w:bottom w:val="nil"/>
              <w:right w:val="nil"/>
            </w:tcBorders>
            <w:shd w:val="clear" w:color="auto" w:fill="auto"/>
            <w:vAlign w:val="bottom"/>
          </w:tcPr>
          <w:p w14:paraId="456CD594" w14:textId="53EFC8D5" w:rsidR="002B721C" w:rsidRPr="001D41EA" w:rsidRDefault="002B721C" w:rsidP="001D41EA">
            <w:pPr>
              <w:spacing w:before="40" w:after="40"/>
              <w:jc w:val="center"/>
              <w:rPr>
                <w:rFonts w:cs="Arial"/>
                <w:sz w:val="18"/>
                <w:szCs w:val="18"/>
              </w:rPr>
            </w:pPr>
            <w:r w:rsidRPr="001D41EA">
              <w:rPr>
                <w:rFonts w:cs="Arial"/>
                <w:sz w:val="18"/>
                <w:szCs w:val="18"/>
              </w:rPr>
              <w:t>0.980</w:t>
            </w:r>
          </w:p>
        </w:tc>
        <w:tc>
          <w:tcPr>
            <w:tcW w:w="1361" w:type="dxa"/>
            <w:tcBorders>
              <w:top w:val="nil"/>
              <w:left w:val="nil"/>
              <w:bottom w:val="nil"/>
              <w:right w:val="nil"/>
            </w:tcBorders>
            <w:vAlign w:val="bottom"/>
          </w:tcPr>
          <w:p w14:paraId="7B4A71F8" w14:textId="30F87742" w:rsidR="002B721C" w:rsidRPr="001D41EA" w:rsidRDefault="002B721C" w:rsidP="001D41EA">
            <w:pPr>
              <w:spacing w:before="40" w:after="40"/>
              <w:jc w:val="center"/>
              <w:rPr>
                <w:rFonts w:cs="Arial"/>
                <w:sz w:val="18"/>
                <w:szCs w:val="18"/>
              </w:rPr>
            </w:pPr>
            <w:r w:rsidRPr="001D41EA">
              <w:rPr>
                <w:rFonts w:cs="Arial"/>
                <w:sz w:val="18"/>
                <w:szCs w:val="18"/>
              </w:rPr>
              <w:t>0.928</w:t>
            </w:r>
          </w:p>
        </w:tc>
        <w:tc>
          <w:tcPr>
            <w:tcW w:w="1361" w:type="dxa"/>
            <w:tcBorders>
              <w:top w:val="nil"/>
              <w:left w:val="nil"/>
              <w:bottom w:val="nil"/>
              <w:right w:val="nil"/>
            </w:tcBorders>
            <w:vAlign w:val="bottom"/>
          </w:tcPr>
          <w:p w14:paraId="720323D0" w14:textId="4703FDB0" w:rsidR="002B721C" w:rsidRPr="001D41EA" w:rsidRDefault="002B721C" w:rsidP="001D41EA">
            <w:pPr>
              <w:spacing w:before="40" w:after="40"/>
              <w:jc w:val="center"/>
              <w:rPr>
                <w:rFonts w:cs="Arial"/>
                <w:sz w:val="18"/>
                <w:szCs w:val="18"/>
              </w:rPr>
            </w:pPr>
            <w:r w:rsidRPr="001D41EA">
              <w:rPr>
                <w:rFonts w:cs="Arial"/>
                <w:sz w:val="18"/>
                <w:szCs w:val="18"/>
              </w:rPr>
              <w:t>0.886</w:t>
            </w:r>
          </w:p>
        </w:tc>
        <w:tc>
          <w:tcPr>
            <w:tcW w:w="1361" w:type="dxa"/>
            <w:tcBorders>
              <w:top w:val="nil"/>
              <w:left w:val="nil"/>
              <w:bottom w:val="nil"/>
              <w:right w:val="nil"/>
            </w:tcBorders>
            <w:shd w:val="clear" w:color="auto" w:fill="auto"/>
            <w:vAlign w:val="bottom"/>
          </w:tcPr>
          <w:p w14:paraId="7D81D1FA" w14:textId="7F281330" w:rsidR="002B721C" w:rsidRPr="001D41EA" w:rsidRDefault="002B721C" w:rsidP="001D41EA">
            <w:pPr>
              <w:spacing w:before="40" w:after="40"/>
              <w:jc w:val="center"/>
              <w:rPr>
                <w:rFonts w:cs="Arial"/>
                <w:sz w:val="18"/>
                <w:szCs w:val="18"/>
              </w:rPr>
            </w:pPr>
            <w:r w:rsidRPr="001D41EA">
              <w:rPr>
                <w:rFonts w:cs="Arial"/>
                <w:sz w:val="18"/>
                <w:szCs w:val="18"/>
              </w:rPr>
              <w:t>1.008</w:t>
            </w:r>
          </w:p>
        </w:tc>
      </w:tr>
      <w:tr w:rsidR="002B721C" w:rsidRPr="001D41EA" w14:paraId="43755EF6"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BDC8533" w14:textId="77777777" w:rsidR="002B721C" w:rsidRPr="001D41EA" w:rsidRDefault="002B721C" w:rsidP="001D41EA">
            <w:pPr>
              <w:spacing w:before="40" w:after="40"/>
              <w:rPr>
                <w:rFonts w:cs="Arial"/>
                <w:sz w:val="18"/>
                <w:szCs w:val="18"/>
              </w:rPr>
            </w:pPr>
            <w:r w:rsidRPr="001D41EA">
              <w:rPr>
                <w:rFonts w:cs="Arial"/>
                <w:sz w:val="18"/>
                <w:szCs w:val="18"/>
              </w:rPr>
              <w:t>East Gippsland S</w:t>
            </w:r>
          </w:p>
        </w:tc>
        <w:tc>
          <w:tcPr>
            <w:tcW w:w="1361" w:type="dxa"/>
            <w:tcBorders>
              <w:top w:val="nil"/>
              <w:left w:val="single" w:sz="18" w:space="0" w:color="5F497A" w:themeColor="accent4" w:themeShade="BF"/>
              <w:bottom w:val="nil"/>
              <w:right w:val="nil"/>
            </w:tcBorders>
            <w:shd w:val="clear" w:color="auto" w:fill="auto"/>
            <w:vAlign w:val="bottom"/>
          </w:tcPr>
          <w:p w14:paraId="65EEE5D8" w14:textId="3F7518DD" w:rsidR="002B721C" w:rsidRPr="001D41EA" w:rsidRDefault="002B721C" w:rsidP="001D41EA">
            <w:pPr>
              <w:spacing w:before="40" w:after="40"/>
              <w:jc w:val="center"/>
              <w:rPr>
                <w:rFonts w:cs="Arial"/>
                <w:sz w:val="18"/>
                <w:szCs w:val="18"/>
              </w:rPr>
            </w:pPr>
            <w:r w:rsidRPr="001D41EA">
              <w:rPr>
                <w:rFonts w:cs="Arial"/>
                <w:sz w:val="18"/>
                <w:szCs w:val="18"/>
              </w:rPr>
              <w:t>0.824</w:t>
            </w:r>
          </w:p>
        </w:tc>
        <w:tc>
          <w:tcPr>
            <w:tcW w:w="1361" w:type="dxa"/>
            <w:tcBorders>
              <w:top w:val="nil"/>
              <w:left w:val="nil"/>
              <w:bottom w:val="nil"/>
              <w:right w:val="nil"/>
            </w:tcBorders>
            <w:shd w:val="clear" w:color="auto" w:fill="auto"/>
            <w:vAlign w:val="bottom"/>
          </w:tcPr>
          <w:p w14:paraId="18F47406" w14:textId="0A47BD04" w:rsidR="002B721C" w:rsidRPr="001D41EA" w:rsidRDefault="002B721C" w:rsidP="001D41EA">
            <w:pPr>
              <w:spacing w:before="40" w:after="40"/>
              <w:jc w:val="center"/>
              <w:rPr>
                <w:rFonts w:cs="Arial"/>
                <w:sz w:val="18"/>
                <w:szCs w:val="18"/>
              </w:rPr>
            </w:pPr>
            <w:r w:rsidRPr="001D41EA">
              <w:rPr>
                <w:rFonts w:cs="Arial"/>
                <w:sz w:val="18"/>
                <w:szCs w:val="18"/>
              </w:rPr>
              <w:t>0.841</w:t>
            </w:r>
          </w:p>
        </w:tc>
        <w:tc>
          <w:tcPr>
            <w:tcW w:w="1361" w:type="dxa"/>
            <w:tcBorders>
              <w:top w:val="nil"/>
              <w:left w:val="nil"/>
              <w:bottom w:val="nil"/>
              <w:right w:val="nil"/>
            </w:tcBorders>
            <w:vAlign w:val="bottom"/>
          </w:tcPr>
          <w:p w14:paraId="7513DAE0" w14:textId="7D2AF70D" w:rsidR="002B721C" w:rsidRPr="001D41EA" w:rsidRDefault="002B721C" w:rsidP="001D41EA">
            <w:pPr>
              <w:spacing w:before="40" w:after="40"/>
              <w:jc w:val="center"/>
              <w:rPr>
                <w:rFonts w:cs="Arial"/>
                <w:sz w:val="18"/>
                <w:szCs w:val="18"/>
              </w:rPr>
            </w:pPr>
            <w:r w:rsidRPr="001D41EA">
              <w:rPr>
                <w:rFonts w:cs="Arial"/>
                <w:sz w:val="18"/>
                <w:szCs w:val="18"/>
              </w:rPr>
              <w:t>1.188</w:t>
            </w:r>
          </w:p>
        </w:tc>
        <w:tc>
          <w:tcPr>
            <w:tcW w:w="1361" w:type="dxa"/>
            <w:tcBorders>
              <w:top w:val="nil"/>
              <w:left w:val="nil"/>
              <w:bottom w:val="nil"/>
              <w:right w:val="nil"/>
            </w:tcBorders>
            <w:vAlign w:val="bottom"/>
          </w:tcPr>
          <w:p w14:paraId="15C0B545" w14:textId="74549B31" w:rsidR="002B721C" w:rsidRPr="001D41EA" w:rsidRDefault="002B721C" w:rsidP="001D41EA">
            <w:pPr>
              <w:spacing w:before="40" w:after="40"/>
              <w:jc w:val="center"/>
              <w:rPr>
                <w:rFonts w:cs="Arial"/>
                <w:sz w:val="18"/>
                <w:szCs w:val="18"/>
              </w:rPr>
            </w:pPr>
            <w:r w:rsidRPr="001D41EA">
              <w:rPr>
                <w:rFonts w:cs="Arial"/>
                <w:sz w:val="18"/>
                <w:szCs w:val="18"/>
              </w:rPr>
              <w:t>0.850</w:t>
            </w:r>
          </w:p>
        </w:tc>
        <w:tc>
          <w:tcPr>
            <w:tcW w:w="1361" w:type="dxa"/>
            <w:tcBorders>
              <w:top w:val="nil"/>
              <w:left w:val="nil"/>
              <w:bottom w:val="nil"/>
              <w:right w:val="nil"/>
            </w:tcBorders>
            <w:shd w:val="clear" w:color="auto" w:fill="auto"/>
            <w:vAlign w:val="bottom"/>
          </w:tcPr>
          <w:p w14:paraId="1CF6CF24" w14:textId="6CD28F2C" w:rsidR="002B721C" w:rsidRPr="001D41EA" w:rsidRDefault="002B721C" w:rsidP="001D41EA">
            <w:pPr>
              <w:spacing w:before="40" w:after="40"/>
              <w:jc w:val="center"/>
              <w:rPr>
                <w:rFonts w:cs="Arial"/>
                <w:sz w:val="18"/>
                <w:szCs w:val="18"/>
              </w:rPr>
            </w:pPr>
            <w:r w:rsidRPr="001D41EA">
              <w:rPr>
                <w:rFonts w:cs="Arial"/>
                <w:sz w:val="18"/>
                <w:szCs w:val="18"/>
              </w:rPr>
              <w:t>1.069</w:t>
            </w:r>
          </w:p>
        </w:tc>
      </w:tr>
      <w:tr w:rsidR="002B721C" w:rsidRPr="001D41EA" w14:paraId="0ABC2524"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8C8D6C4" w14:textId="77777777" w:rsidR="002B721C" w:rsidRPr="001D41EA" w:rsidRDefault="002B721C" w:rsidP="001D41EA">
            <w:pPr>
              <w:spacing w:before="40" w:after="40"/>
              <w:rPr>
                <w:rFonts w:cs="Arial"/>
                <w:sz w:val="18"/>
                <w:szCs w:val="18"/>
              </w:rPr>
            </w:pPr>
            <w:r w:rsidRPr="001D41EA">
              <w:rPr>
                <w:rFonts w:cs="Arial"/>
                <w:sz w:val="18"/>
                <w:szCs w:val="18"/>
              </w:rPr>
              <w:t>Frankston C</w:t>
            </w:r>
          </w:p>
        </w:tc>
        <w:tc>
          <w:tcPr>
            <w:tcW w:w="1361" w:type="dxa"/>
            <w:tcBorders>
              <w:top w:val="nil"/>
              <w:left w:val="single" w:sz="18" w:space="0" w:color="5F497A" w:themeColor="accent4" w:themeShade="BF"/>
              <w:bottom w:val="nil"/>
              <w:right w:val="nil"/>
            </w:tcBorders>
            <w:shd w:val="clear" w:color="auto" w:fill="auto"/>
            <w:vAlign w:val="bottom"/>
          </w:tcPr>
          <w:p w14:paraId="1BE3D70D" w14:textId="64CB8C3C" w:rsidR="002B721C" w:rsidRPr="001D41EA" w:rsidRDefault="002B721C" w:rsidP="001D41EA">
            <w:pPr>
              <w:spacing w:before="40" w:after="40"/>
              <w:jc w:val="center"/>
              <w:rPr>
                <w:rFonts w:cs="Arial"/>
                <w:sz w:val="18"/>
                <w:szCs w:val="18"/>
              </w:rPr>
            </w:pPr>
            <w:r w:rsidRPr="001D41EA">
              <w:rPr>
                <w:rFonts w:cs="Arial"/>
                <w:sz w:val="18"/>
                <w:szCs w:val="18"/>
              </w:rPr>
              <w:t>0.927</w:t>
            </w:r>
          </w:p>
        </w:tc>
        <w:tc>
          <w:tcPr>
            <w:tcW w:w="1361" w:type="dxa"/>
            <w:tcBorders>
              <w:top w:val="nil"/>
              <w:left w:val="nil"/>
              <w:bottom w:val="nil"/>
              <w:right w:val="nil"/>
            </w:tcBorders>
            <w:shd w:val="clear" w:color="auto" w:fill="auto"/>
            <w:vAlign w:val="bottom"/>
          </w:tcPr>
          <w:p w14:paraId="0EBDC9E5" w14:textId="6FCFC05F" w:rsidR="002B721C" w:rsidRPr="001D41EA" w:rsidRDefault="002B721C" w:rsidP="001D41EA">
            <w:pPr>
              <w:spacing w:before="40" w:after="40"/>
              <w:jc w:val="center"/>
              <w:rPr>
                <w:rFonts w:cs="Arial"/>
                <w:sz w:val="18"/>
                <w:szCs w:val="18"/>
              </w:rPr>
            </w:pPr>
            <w:r w:rsidRPr="001D41EA">
              <w:rPr>
                <w:rFonts w:cs="Arial"/>
                <w:sz w:val="18"/>
                <w:szCs w:val="18"/>
              </w:rPr>
              <w:t>0.971</w:t>
            </w:r>
          </w:p>
        </w:tc>
        <w:tc>
          <w:tcPr>
            <w:tcW w:w="1361" w:type="dxa"/>
            <w:tcBorders>
              <w:top w:val="nil"/>
              <w:left w:val="nil"/>
              <w:bottom w:val="nil"/>
              <w:right w:val="nil"/>
            </w:tcBorders>
            <w:vAlign w:val="bottom"/>
          </w:tcPr>
          <w:p w14:paraId="21F70433" w14:textId="1013EFE8" w:rsidR="002B721C" w:rsidRPr="001D41EA" w:rsidRDefault="002B721C" w:rsidP="001D41EA">
            <w:pPr>
              <w:spacing w:before="40" w:after="40"/>
              <w:jc w:val="center"/>
              <w:rPr>
                <w:rFonts w:cs="Arial"/>
                <w:sz w:val="18"/>
                <w:szCs w:val="18"/>
              </w:rPr>
            </w:pPr>
            <w:r w:rsidRPr="001D41EA">
              <w:rPr>
                <w:rFonts w:cs="Arial"/>
                <w:sz w:val="18"/>
                <w:szCs w:val="18"/>
              </w:rPr>
              <w:t>0.924</w:t>
            </w:r>
          </w:p>
        </w:tc>
        <w:tc>
          <w:tcPr>
            <w:tcW w:w="1361" w:type="dxa"/>
            <w:tcBorders>
              <w:top w:val="nil"/>
              <w:left w:val="nil"/>
              <w:bottom w:val="nil"/>
              <w:right w:val="nil"/>
            </w:tcBorders>
            <w:vAlign w:val="bottom"/>
          </w:tcPr>
          <w:p w14:paraId="1C68E03C" w14:textId="67E74044" w:rsidR="002B721C" w:rsidRPr="001D41EA" w:rsidRDefault="002B721C" w:rsidP="001D41EA">
            <w:pPr>
              <w:spacing w:before="40" w:after="40"/>
              <w:jc w:val="center"/>
              <w:rPr>
                <w:rFonts w:cs="Arial"/>
                <w:sz w:val="18"/>
                <w:szCs w:val="18"/>
              </w:rPr>
            </w:pPr>
            <w:r w:rsidRPr="001D41EA">
              <w:rPr>
                <w:rFonts w:cs="Arial"/>
                <w:sz w:val="18"/>
                <w:szCs w:val="18"/>
              </w:rPr>
              <w:t>0.817</w:t>
            </w:r>
          </w:p>
        </w:tc>
        <w:tc>
          <w:tcPr>
            <w:tcW w:w="1361" w:type="dxa"/>
            <w:tcBorders>
              <w:top w:val="nil"/>
              <w:left w:val="nil"/>
              <w:bottom w:val="nil"/>
              <w:right w:val="nil"/>
            </w:tcBorders>
            <w:shd w:val="clear" w:color="auto" w:fill="auto"/>
            <w:vAlign w:val="bottom"/>
          </w:tcPr>
          <w:p w14:paraId="7E6F311D" w14:textId="2D995841" w:rsidR="002B721C" w:rsidRPr="001D41EA" w:rsidRDefault="002B721C" w:rsidP="001D41EA">
            <w:pPr>
              <w:spacing w:before="40" w:after="40"/>
              <w:jc w:val="center"/>
              <w:rPr>
                <w:rFonts w:cs="Arial"/>
                <w:sz w:val="18"/>
                <w:szCs w:val="18"/>
              </w:rPr>
            </w:pPr>
            <w:r w:rsidRPr="001D41EA">
              <w:rPr>
                <w:rFonts w:cs="Arial"/>
                <w:sz w:val="18"/>
                <w:szCs w:val="18"/>
              </w:rPr>
              <w:t>0.994</w:t>
            </w:r>
          </w:p>
        </w:tc>
      </w:tr>
      <w:tr w:rsidR="002B721C" w:rsidRPr="001D41EA" w14:paraId="1E5DA06B"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EE99670" w14:textId="77777777" w:rsidR="002B721C" w:rsidRPr="001D41EA" w:rsidRDefault="002B721C" w:rsidP="001D41EA">
            <w:pPr>
              <w:spacing w:before="40" w:after="40"/>
              <w:rPr>
                <w:rFonts w:cs="Arial"/>
                <w:sz w:val="18"/>
                <w:szCs w:val="18"/>
              </w:rPr>
            </w:pPr>
            <w:r w:rsidRPr="001D41EA">
              <w:rPr>
                <w:rFonts w:cs="Arial"/>
                <w:sz w:val="18"/>
                <w:szCs w:val="18"/>
              </w:rPr>
              <w:t>Gannawarra S</w:t>
            </w:r>
          </w:p>
        </w:tc>
        <w:tc>
          <w:tcPr>
            <w:tcW w:w="1361" w:type="dxa"/>
            <w:tcBorders>
              <w:top w:val="nil"/>
              <w:left w:val="single" w:sz="18" w:space="0" w:color="5F497A" w:themeColor="accent4" w:themeShade="BF"/>
              <w:bottom w:val="nil"/>
              <w:right w:val="nil"/>
            </w:tcBorders>
            <w:shd w:val="clear" w:color="auto" w:fill="auto"/>
            <w:vAlign w:val="bottom"/>
          </w:tcPr>
          <w:p w14:paraId="123D4804" w14:textId="6EDB9080" w:rsidR="002B721C" w:rsidRPr="001D41EA" w:rsidRDefault="002B721C" w:rsidP="001D41EA">
            <w:pPr>
              <w:spacing w:before="40" w:after="40"/>
              <w:jc w:val="center"/>
              <w:rPr>
                <w:rFonts w:cs="Arial"/>
                <w:sz w:val="18"/>
                <w:szCs w:val="18"/>
              </w:rPr>
            </w:pPr>
            <w:r w:rsidRPr="001D41EA">
              <w:rPr>
                <w:rFonts w:cs="Arial"/>
                <w:sz w:val="18"/>
                <w:szCs w:val="18"/>
              </w:rPr>
              <w:t>0.812</w:t>
            </w:r>
          </w:p>
        </w:tc>
        <w:tc>
          <w:tcPr>
            <w:tcW w:w="1361" w:type="dxa"/>
            <w:tcBorders>
              <w:top w:val="nil"/>
              <w:left w:val="nil"/>
              <w:bottom w:val="nil"/>
              <w:right w:val="nil"/>
            </w:tcBorders>
            <w:shd w:val="clear" w:color="auto" w:fill="auto"/>
            <w:vAlign w:val="bottom"/>
          </w:tcPr>
          <w:p w14:paraId="540088B6" w14:textId="78436500" w:rsidR="002B721C" w:rsidRPr="001D41EA" w:rsidRDefault="002B721C" w:rsidP="001D41EA">
            <w:pPr>
              <w:spacing w:before="40" w:after="40"/>
              <w:jc w:val="center"/>
              <w:rPr>
                <w:rFonts w:cs="Arial"/>
                <w:sz w:val="18"/>
                <w:szCs w:val="18"/>
              </w:rPr>
            </w:pPr>
            <w:r w:rsidRPr="001D41EA">
              <w:rPr>
                <w:rFonts w:cs="Arial"/>
                <w:sz w:val="18"/>
                <w:szCs w:val="18"/>
              </w:rPr>
              <w:t>0.838</w:t>
            </w:r>
          </w:p>
        </w:tc>
        <w:tc>
          <w:tcPr>
            <w:tcW w:w="1361" w:type="dxa"/>
            <w:tcBorders>
              <w:top w:val="nil"/>
              <w:left w:val="nil"/>
              <w:bottom w:val="nil"/>
              <w:right w:val="nil"/>
            </w:tcBorders>
            <w:vAlign w:val="bottom"/>
          </w:tcPr>
          <w:p w14:paraId="33897DFE" w14:textId="4C869D6C" w:rsidR="002B721C" w:rsidRPr="001D41EA" w:rsidRDefault="002B721C" w:rsidP="001D41EA">
            <w:pPr>
              <w:spacing w:before="40" w:after="40"/>
              <w:jc w:val="center"/>
              <w:rPr>
                <w:rFonts w:cs="Arial"/>
                <w:sz w:val="18"/>
                <w:szCs w:val="18"/>
              </w:rPr>
            </w:pPr>
            <w:r w:rsidRPr="001D41EA">
              <w:rPr>
                <w:rFonts w:cs="Arial"/>
                <w:sz w:val="18"/>
                <w:szCs w:val="18"/>
              </w:rPr>
              <w:t>0.938</w:t>
            </w:r>
          </w:p>
        </w:tc>
        <w:tc>
          <w:tcPr>
            <w:tcW w:w="1361" w:type="dxa"/>
            <w:tcBorders>
              <w:top w:val="nil"/>
              <w:left w:val="nil"/>
              <w:bottom w:val="nil"/>
              <w:right w:val="nil"/>
            </w:tcBorders>
            <w:vAlign w:val="bottom"/>
          </w:tcPr>
          <w:p w14:paraId="3CB344E0" w14:textId="63520BC7" w:rsidR="002B721C" w:rsidRPr="001D41EA" w:rsidRDefault="002B721C" w:rsidP="001D41EA">
            <w:pPr>
              <w:spacing w:before="40" w:after="40"/>
              <w:jc w:val="center"/>
              <w:rPr>
                <w:rFonts w:cs="Arial"/>
                <w:sz w:val="18"/>
                <w:szCs w:val="18"/>
              </w:rPr>
            </w:pPr>
            <w:r w:rsidRPr="001D41EA">
              <w:rPr>
                <w:rFonts w:cs="Arial"/>
                <w:sz w:val="18"/>
                <w:szCs w:val="18"/>
              </w:rPr>
              <w:t>0.737</w:t>
            </w:r>
          </w:p>
        </w:tc>
        <w:tc>
          <w:tcPr>
            <w:tcW w:w="1361" w:type="dxa"/>
            <w:tcBorders>
              <w:top w:val="nil"/>
              <w:left w:val="nil"/>
              <w:bottom w:val="nil"/>
              <w:right w:val="nil"/>
            </w:tcBorders>
            <w:shd w:val="clear" w:color="auto" w:fill="auto"/>
            <w:vAlign w:val="bottom"/>
          </w:tcPr>
          <w:p w14:paraId="446629C7" w14:textId="5D9ABF70" w:rsidR="002B721C" w:rsidRPr="001D41EA" w:rsidRDefault="002B721C" w:rsidP="001D41EA">
            <w:pPr>
              <w:spacing w:before="40" w:after="40"/>
              <w:jc w:val="center"/>
              <w:rPr>
                <w:rFonts w:cs="Arial"/>
                <w:sz w:val="18"/>
                <w:szCs w:val="18"/>
              </w:rPr>
            </w:pPr>
            <w:r w:rsidRPr="001D41EA">
              <w:rPr>
                <w:rFonts w:cs="Arial"/>
                <w:sz w:val="18"/>
                <w:szCs w:val="18"/>
              </w:rPr>
              <w:t>0.997</w:t>
            </w:r>
          </w:p>
        </w:tc>
      </w:tr>
      <w:tr w:rsidR="002B721C" w:rsidRPr="001D41EA" w14:paraId="0AE45F83"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8DFFCA5" w14:textId="77777777" w:rsidR="002B721C" w:rsidRPr="001D41EA" w:rsidRDefault="002B721C" w:rsidP="001D41EA">
            <w:pPr>
              <w:spacing w:before="40" w:after="40"/>
              <w:rPr>
                <w:rFonts w:cs="Arial"/>
                <w:sz w:val="18"/>
                <w:szCs w:val="18"/>
              </w:rPr>
            </w:pPr>
            <w:r w:rsidRPr="001D41EA">
              <w:rPr>
                <w:rFonts w:cs="Arial"/>
                <w:sz w:val="18"/>
                <w:szCs w:val="18"/>
              </w:rPr>
              <w:t>Glen Eira C</w:t>
            </w:r>
          </w:p>
        </w:tc>
        <w:tc>
          <w:tcPr>
            <w:tcW w:w="1361" w:type="dxa"/>
            <w:tcBorders>
              <w:top w:val="nil"/>
              <w:left w:val="single" w:sz="18" w:space="0" w:color="5F497A" w:themeColor="accent4" w:themeShade="BF"/>
              <w:bottom w:val="nil"/>
              <w:right w:val="nil"/>
            </w:tcBorders>
            <w:shd w:val="clear" w:color="auto" w:fill="auto"/>
            <w:vAlign w:val="bottom"/>
          </w:tcPr>
          <w:p w14:paraId="13EBFC44" w14:textId="14AF05FB" w:rsidR="002B721C" w:rsidRPr="001D41EA" w:rsidRDefault="002B721C" w:rsidP="001D41EA">
            <w:pPr>
              <w:spacing w:before="40" w:after="40"/>
              <w:jc w:val="center"/>
              <w:rPr>
                <w:rFonts w:cs="Arial"/>
                <w:sz w:val="18"/>
                <w:szCs w:val="18"/>
              </w:rPr>
            </w:pPr>
            <w:r w:rsidRPr="001D41EA">
              <w:rPr>
                <w:rFonts w:cs="Arial"/>
                <w:sz w:val="18"/>
                <w:szCs w:val="18"/>
              </w:rPr>
              <w:t>1.123</w:t>
            </w:r>
          </w:p>
        </w:tc>
        <w:tc>
          <w:tcPr>
            <w:tcW w:w="1361" w:type="dxa"/>
            <w:tcBorders>
              <w:top w:val="nil"/>
              <w:left w:val="nil"/>
              <w:bottom w:val="nil"/>
              <w:right w:val="nil"/>
            </w:tcBorders>
            <w:shd w:val="clear" w:color="auto" w:fill="auto"/>
            <w:vAlign w:val="bottom"/>
          </w:tcPr>
          <w:p w14:paraId="5F398AA1" w14:textId="19851CF1" w:rsidR="002B721C" w:rsidRPr="001D41EA" w:rsidRDefault="002B721C" w:rsidP="001D41EA">
            <w:pPr>
              <w:spacing w:before="40" w:after="40"/>
              <w:jc w:val="center"/>
              <w:rPr>
                <w:rFonts w:cs="Arial"/>
                <w:sz w:val="18"/>
                <w:szCs w:val="18"/>
              </w:rPr>
            </w:pPr>
            <w:r w:rsidRPr="001D41EA">
              <w:rPr>
                <w:rFonts w:cs="Arial"/>
                <w:sz w:val="18"/>
                <w:szCs w:val="18"/>
              </w:rPr>
              <w:t>1.191</w:t>
            </w:r>
          </w:p>
        </w:tc>
        <w:tc>
          <w:tcPr>
            <w:tcW w:w="1361" w:type="dxa"/>
            <w:tcBorders>
              <w:top w:val="nil"/>
              <w:left w:val="nil"/>
              <w:bottom w:val="nil"/>
              <w:right w:val="nil"/>
            </w:tcBorders>
            <w:vAlign w:val="bottom"/>
          </w:tcPr>
          <w:p w14:paraId="3D8818BB" w14:textId="22B40A37" w:rsidR="002B721C" w:rsidRPr="001D41EA" w:rsidRDefault="002B721C" w:rsidP="001D41EA">
            <w:pPr>
              <w:spacing w:before="40" w:after="40"/>
              <w:jc w:val="center"/>
              <w:rPr>
                <w:rFonts w:cs="Arial"/>
                <w:sz w:val="18"/>
                <w:szCs w:val="18"/>
              </w:rPr>
            </w:pPr>
            <w:r w:rsidRPr="001D41EA">
              <w:rPr>
                <w:rFonts w:cs="Arial"/>
                <w:sz w:val="18"/>
                <w:szCs w:val="18"/>
              </w:rPr>
              <w:t>0.940</w:t>
            </w:r>
          </w:p>
        </w:tc>
        <w:tc>
          <w:tcPr>
            <w:tcW w:w="1361" w:type="dxa"/>
            <w:tcBorders>
              <w:top w:val="nil"/>
              <w:left w:val="nil"/>
              <w:bottom w:val="nil"/>
              <w:right w:val="nil"/>
            </w:tcBorders>
            <w:vAlign w:val="bottom"/>
          </w:tcPr>
          <w:p w14:paraId="29299A66" w14:textId="6FF8B073" w:rsidR="002B721C" w:rsidRPr="001D41EA" w:rsidRDefault="002B721C" w:rsidP="001D41EA">
            <w:pPr>
              <w:spacing w:before="40" w:after="40"/>
              <w:jc w:val="center"/>
              <w:rPr>
                <w:rFonts w:cs="Arial"/>
                <w:sz w:val="18"/>
                <w:szCs w:val="18"/>
              </w:rPr>
            </w:pPr>
            <w:r w:rsidRPr="001D41EA">
              <w:rPr>
                <w:rFonts w:cs="Arial"/>
                <w:sz w:val="18"/>
                <w:szCs w:val="18"/>
              </w:rPr>
              <w:t>1.104</w:t>
            </w:r>
          </w:p>
        </w:tc>
        <w:tc>
          <w:tcPr>
            <w:tcW w:w="1361" w:type="dxa"/>
            <w:tcBorders>
              <w:top w:val="nil"/>
              <w:left w:val="nil"/>
              <w:bottom w:val="nil"/>
              <w:right w:val="nil"/>
            </w:tcBorders>
            <w:shd w:val="clear" w:color="auto" w:fill="auto"/>
            <w:vAlign w:val="bottom"/>
          </w:tcPr>
          <w:p w14:paraId="3C14F413" w14:textId="32962F21" w:rsidR="002B721C" w:rsidRPr="001D41EA" w:rsidRDefault="002B721C" w:rsidP="001D41EA">
            <w:pPr>
              <w:spacing w:before="40" w:after="40"/>
              <w:jc w:val="center"/>
              <w:rPr>
                <w:rFonts w:cs="Arial"/>
                <w:sz w:val="18"/>
                <w:szCs w:val="18"/>
              </w:rPr>
            </w:pPr>
            <w:r w:rsidRPr="001D41EA">
              <w:rPr>
                <w:rFonts w:cs="Arial"/>
                <w:sz w:val="18"/>
                <w:szCs w:val="18"/>
              </w:rPr>
              <w:t>0.866</w:t>
            </w:r>
          </w:p>
        </w:tc>
      </w:tr>
      <w:tr w:rsidR="002B721C" w:rsidRPr="001D41EA" w14:paraId="5DDE839A"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630D990" w14:textId="77777777" w:rsidR="002B721C" w:rsidRPr="001D41EA" w:rsidRDefault="002B721C" w:rsidP="001D41EA">
            <w:pPr>
              <w:spacing w:before="40" w:after="40"/>
              <w:rPr>
                <w:rFonts w:cs="Arial"/>
                <w:sz w:val="18"/>
                <w:szCs w:val="18"/>
              </w:rPr>
            </w:pPr>
            <w:r w:rsidRPr="001D41EA">
              <w:rPr>
                <w:rFonts w:cs="Arial"/>
                <w:sz w:val="18"/>
                <w:szCs w:val="18"/>
              </w:rPr>
              <w:t>Glenelg S</w:t>
            </w:r>
          </w:p>
        </w:tc>
        <w:tc>
          <w:tcPr>
            <w:tcW w:w="1361" w:type="dxa"/>
            <w:tcBorders>
              <w:top w:val="nil"/>
              <w:left w:val="single" w:sz="18" w:space="0" w:color="5F497A" w:themeColor="accent4" w:themeShade="BF"/>
              <w:bottom w:val="nil"/>
              <w:right w:val="nil"/>
            </w:tcBorders>
            <w:shd w:val="clear" w:color="auto" w:fill="auto"/>
            <w:vAlign w:val="bottom"/>
          </w:tcPr>
          <w:p w14:paraId="4B175343" w14:textId="469AC880" w:rsidR="002B721C" w:rsidRPr="001D41EA" w:rsidRDefault="002B721C" w:rsidP="001D41EA">
            <w:pPr>
              <w:spacing w:before="40" w:after="40"/>
              <w:jc w:val="center"/>
              <w:rPr>
                <w:rFonts w:cs="Arial"/>
                <w:sz w:val="18"/>
                <w:szCs w:val="18"/>
              </w:rPr>
            </w:pPr>
            <w:r w:rsidRPr="001D41EA">
              <w:rPr>
                <w:rFonts w:cs="Arial"/>
                <w:sz w:val="18"/>
                <w:szCs w:val="18"/>
              </w:rPr>
              <w:t>0.826</w:t>
            </w:r>
          </w:p>
        </w:tc>
        <w:tc>
          <w:tcPr>
            <w:tcW w:w="1361" w:type="dxa"/>
            <w:tcBorders>
              <w:top w:val="nil"/>
              <w:left w:val="nil"/>
              <w:bottom w:val="nil"/>
              <w:right w:val="nil"/>
            </w:tcBorders>
            <w:shd w:val="clear" w:color="auto" w:fill="auto"/>
            <w:vAlign w:val="bottom"/>
          </w:tcPr>
          <w:p w14:paraId="58E2052F" w14:textId="3B0AA33A" w:rsidR="002B721C" w:rsidRPr="001D41EA" w:rsidRDefault="002B721C" w:rsidP="001D41EA">
            <w:pPr>
              <w:spacing w:before="40" w:after="40"/>
              <w:jc w:val="center"/>
              <w:rPr>
                <w:rFonts w:cs="Arial"/>
                <w:sz w:val="18"/>
                <w:szCs w:val="18"/>
              </w:rPr>
            </w:pPr>
            <w:r w:rsidRPr="001D41EA">
              <w:rPr>
                <w:rFonts w:cs="Arial"/>
                <w:sz w:val="18"/>
                <w:szCs w:val="18"/>
              </w:rPr>
              <w:t>0.808</w:t>
            </w:r>
          </w:p>
        </w:tc>
        <w:tc>
          <w:tcPr>
            <w:tcW w:w="1361" w:type="dxa"/>
            <w:tcBorders>
              <w:top w:val="nil"/>
              <w:left w:val="nil"/>
              <w:bottom w:val="nil"/>
              <w:right w:val="nil"/>
            </w:tcBorders>
            <w:vAlign w:val="bottom"/>
          </w:tcPr>
          <w:p w14:paraId="71EDBFBA" w14:textId="2224C1E9" w:rsidR="002B721C" w:rsidRPr="001D41EA" w:rsidRDefault="002B721C" w:rsidP="001D41EA">
            <w:pPr>
              <w:spacing w:before="40" w:after="40"/>
              <w:jc w:val="center"/>
              <w:rPr>
                <w:rFonts w:cs="Arial"/>
                <w:sz w:val="18"/>
                <w:szCs w:val="18"/>
              </w:rPr>
            </w:pPr>
            <w:r w:rsidRPr="001D41EA">
              <w:rPr>
                <w:rFonts w:cs="Arial"/>
                <w:sz w:val="18"/>
                <w:szCs w:val="18"/>
              </w:rPr>
              <w:t>1.038</w:t>
            </w:r>
          </w:p>
        </w:tc>
        <w:tc>
          <w:tcPr>
            <w:tcW w:w="1361" w:type="dxa"/>
            <w:tcBorders>
              <w:top w:val="nil"/>
              <w:left w:val="nil"/>
              <w:bottom w:val="nil"/>
              <w:right w:val="nil"/>
            </w:tcBorders>
            <w:vAlign w:val="bottom"/>
          </w:tcPr>
          <w:p w14:paraId="48E132BD" w14:textId="772FD950" w:rsidR="002B721C" w:rsidRPr="001D41EA" w:rsidRDefault="002B721C" w:rsidP="001D41EA">
            <w:pPr>
              <w:spacing w:before="40" w:after="40"/>
              <w:jc w:val="center"/>
              <w:rPr>
                <w:rFonts w:cs="Arial"/>
                <w:sz w:val="18"/>
                <w:szCs w:val="18"/>
              </w:rPr>
            </w:pPr>
            <w:r w:rsidRPr="001D41EA">
              <w:rPr>
                <w:rFonts w:cs="Arial"/>
                <w:sz w:val="18"/>
                <w:szCs w:val="18"/>
              </w:rPr>
              <w:t>0.725</w:t>
            </w:r>
          </w:p>
        </w:tc>
        <w:tc>
          <w:tcPr>
            <w:tcW w:w="1361" w:type="dxa"/>
            <w:tcBorders>
              <w:top w:val="nil"/>
              <w:left w:val="nil"/>
              <w:bottom w:val="nil"/>
              <w:right w:val="nil"/>
            </w:tcBorders>
            <w:shd w:val="clear" w:color="auto" w:fill="auto"/>
            <w:vAlign w:val="bottom"/>
          </w:tcPr>
          <w:p w14:paraId="0264535B" w14:textId="01B0D1D2" w:rsidR="002B721C" w:rsidRPr="001D41EA" w:rsidRDefault="002B721C" w:rsidP="001D41EA">
            <w:pPr>
              <w:spacing w:before="40" w:after="40"/>
              <w:jc w:val="center"/>
              <w:rPr>
                <w:rFonts w:cs="Arial"/>
                <w:sz w:val="18"/>
                <w:szCs w:val="18"/>
              </w:rPr>
            </w:pPr>
            <w:r w:rsidRPr="001D41EA">
              <w:rPr>
                <w:rFonts w:cs="Arial"/>
                <w:sz w:val="18"/>
                <w:szCs w:val="18"/>
              </w:rPr>
              <w:t>1.001</w:t>
            </w:r>
          </w:p>
        </w:tc>
      </w:tr>
      <w:tr w:rsidR="002B721C" w:rsidRPr="001D41EA" w14:paraId="6C4EFD74"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C6B97F8" w14:textId="77777777" w:rsidR="002B721C" w:rsidRPr="001D41EA" w:rsidRDefault="002B721C" w:rsidP="001D41EA">
            <w:pPr>
              <w:spacing w:before="40" w:after="40"/>
              <w:rPr>
                <w:rFonts w:cs="Arial"/>
                <w:sz w:val="18"/>
                <w:szCs w:val="18"/>
              </w:rPr>
            </w:pPr>
            <w:r w:rsidRPr="001D41EA">
              <w:rPr>
                <w:rFonts w:cs="Arial"/>
                <w:sz w:val="18"/>
                <w:szCs w:val="18"/>
              </w:rPr>
              <w:t>Golden Plains S</w:t>
            </w:r>
          </w:p>
        </w:tc>
        <w:tc>
          <w:tcPr>
            <w:tcW w:w="1361" w:type="dxa"/>
            <w:tcBorders>
              <w:top w:val="nil"/>
              <w:left w:val="single" w:sz="18" w:space="0" w:color="5F497A" w:themeColor="accent4" w:themeShade="BF"/>
              <w:bottom w:val="nil"/>
              <w:right w:val="nil"/>
            </w:tcBorders>
            <w:shd w:val="clear" w:color="auto" w:fill="auto"/>
            <w:vAlign w:val="bottom"/>
          </w:tcPr>
          <w:p w14:paraId="06B1DA97" w14:textId="776E0D39" w:rsidR="002B721C" w:rsidRPr="001D41EA" w:rsidRDefault="002B721C" w:rsidP="001D41EA">
            <w:pPr>
              <w:spacing w:before="40" w:after="40"/>
              <w:jc w:val="center"/>
              <w:rPr>
                <w:rFonts w:cs="Arial"/>
                <w:sz w:val="18"/>
                <w:szCs w:val="18"/>
              </w:rPr>
            </w:pPr>
            <w:r w:rsidRPr="001D41EA">
              <w:rPr>
                <w:rFonts w:cs="Arial"/>
                <w:sz w:val="18"/>
                <w:szCs w:val="18"/>
              </w:rPr>
              <w:t>0.955</w:t>
            </w:r>
          </w:p>
        </w:tc>
        <w:tc>
          <w:tcPr>
            <w:tcW w:w="1361" w:type="dxa"/>
            <w:tcBorders>
              <w:top w:val="nil"/>
              <w:left w:val="nil"/>
              <w:bottom w:val="nil"/>
              <w:right w:val="nil"/>
            </w:tcBorders>
            <w:shd w:val="clear" w:color="auto" w:fill="auto"/>
            <w:vAlign w:val="bottom"/>
          </w:tcPr>
          <w:p w14:paraId="701B8FFF" w14:textId="53FE3CCB" w:rsidR="002B721C" w:rsidRPr="001D41EA" w:rsidRDefault="002B721C" w:rsidP="001D41EA">
            <w:pPr>
              <w:spacing w:before="40" w:after="40"/>
              <w:jc w:val="center"/>
              <w:rPr>
                <w:rFonts w:cs="Arial"/>
                <w:sz w:val="18"/>
                <w:szCs w:val="18"/>
              </w:rPr>
            </w:pPr>
            <w:r w:rsidRPr="001D41EA">
              <w:rPr>
                <w:rFonts w:cs="Arial"/>
                <w:sz w:val="18"/>
                <w:szCs w:val="18"/>
              </w:rPr>
              <w:t>1.073</w:t>
            </w:r>
          </w:p>
        </w:tc>
        <w:tc>
          <w:tcPr>
            <w:tcW w:w="1361" w:type="dxa"/>
            <w:tcBorders>
              <w:top w:val="nil"/>
              <w:left w:val="nil"/>
              <w:bottom w:val="nil"/>
              <w:right w:val="nil"/>
            </w:tcBorders>
            <w:vAlign w:val="bottom"/>
          </w:tcPr>
          <w:p w14:paraId="6C700BDE" w14:textId="5B6F16AE" w:rsidR="002B721C" w:rsidRPr="001D41EA" w:rsidRDefault="002B721C" w:rsidP="001D41EA">
            <w:pPr>
              <w:spacing w:before="40" w:after="40"/>
              <w:jc w:val="center"/>
              <w:rPr>
                <w:rFonts w:cs="Arial"/>
                <w:sz w:val="18"/>
                <w:szCs w:val="18"/>
              </w:rPr>
            </w:pPr>
            <w:r w:rsidRPr="001D41EA">
              <w:rPr>
                <w:rFonts w:cs="Arial"/>
                <w:sz w:val="18"/>
                <w:szCs w:val="18"/>
              </w:rPr>
              <w:t>0.924</w:t>
            </w:r>
          </w:p>
        </w:tc>
        <w:tc>
          <w:tcPr>
            <w:tcW w:w="1361" w:type="dxa"/>
            <w:tcBorders>
              <w:top w:val="nil"/>
              <w:left w:val="nil"/>
              <w:bottom w:val="nil"/>
              <w:right w:val="nil"/>
            </w:tcBorders>
            <w:vAlign w:val="bottom"/>
          </w:tcPr>
          <w:p w14:paraId="21842296" w14:textId="4FC5F05F" w:rsidR="002B721C" w:rsidRPr="001D41EA" w:rsidRDefault="002B721C" w:rsidP="001D41EA">
            <w:pPr>
              <w:spacing w:before="40" w:after="40"/>
              <w:jc w:val="center"/>
              <w:rPr>
                <w:rFonts w:cs="Arial"/>
                <w:sz w:val="18"/>
                <w:szCs w:val="18"/>
              </w:rPr>
            </w:pPr>
            <w:r w:rsidRPr="001D41EA">
              <w:rPr>
                <w:rFonts w:cs="Arial"/>
                <w:sz w:val="18"/>
                <w:szCs w:val="18"/>
              </w:rPr>
              <w:t>0.927</w:t>
            </w:r>
          </w:p>
        </w:tc>
        <w:tc>
          <w:tcPr>
            <w:tcW w:w="1361" w:type="dxa"/>
            <w:tcBorders>
              <w:top w:val="nil"/>
              <w:left w:val="nil"/>
              <w:bottom w:val="nil"/>
              <w:right w:val="nil"/>
            </w:tcBorders>
            <w:shd w:val="clear" w:color="auto" w:fill="auto"/>
            <w:vAlign w:val="bottom"/>
          </w:tcPr>
          <w:p w14:paraId="652F8D5C" w14:textId="77A33A36" w:rsidR="002B721C" w:rsidRPr="001D41EA" w:rsidRDefault="002B721C" w:rsidP="001D41EA">
            <w:pPr>
              <w:spacing w:before="40" w:after="40"/>
              <w:jc w:val="center"/>
              <w:rPr>
                <w:rFonts w:cs="Arial"/>
                <w:sz w:val="18"/>
                <w:szCs w:val="18"/>
              </w:rPr>
            </w:pPr>
            <w:r w:rsidRPr="001D41EA">
              <w:rPr>
                <w:rFonts w:cs="Arial"/>
                <w:sz w:val="18"/>
                <w:szCs w:val="18"/>
              </w:rPr>
              <w:t>0.737</w:t>
            </w:r>
          </w:p>
        </w:tc>
      </w:tr>
      <w:tr w:rsidR="002B721C" w:rsidRPr="001D41EA" w14:paraId="09ADD5A3"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5E2EB9" w14:textId="77777777" w:rsidR="002B721C" w:rsidRPr="001D41EA" w:rsidRDefault="002B721C" w:rsidP="001D41EA">
            <w:pPr>
              <w:spacing w:before="40" w:after="40"/>
              <w:rPr>
                <w:rFonts w:cs="Arial"/>
                <w:sz w:val="18"/>
                <w:szCs w:val="18"/>
              </w:rPr>
            </w:pPr>
            <w:r w:rsidRPr="001D41EA">
              <w:rPr>
                <w:rFonts w:cs="Arial"/>
                <w:sz w:val="18"/>
                <w:szCs w:val="18"/>
              </w:rPr>
              <w:t>Greater Bendigo C</w:t>
            </w:r>
          </w:p>
        </w:tc>
        <w:tc>
          <w:tcPr>
            <w:tcW w:w="1361" w:type="dxa"/>
            <w:tcBorders>
              <w:top w:val="nil"/>
              <w:left w:val="single" w:sz="18" w:space="0" w:color="5F497A" w:themeColor="accent4" w:themeShade="BF"/>
              <w:bottom w:val="nil"/>
              <w:right w:val="nil"/>
            </w:tcBorders>
            <w:shd w:val="clear" w:color="auto" w:fill="auto"/>
            <w:vAlign w:val="bottom"/>
          </w:tcPr>
          <w:p w14:paraId="1133321F" w14:textId="4BFD1151" w:rsidR="002B721C" w:rsidRPr="001D41EA" w:rsidRDefault="002B721C" w:rsidP="001D41EA">
            <w:pPr>
              <w:spacing w:before="40" w:after="40"/>
              <w:jc w:val="center"/>
              <w:rPr>
                <w:rFonts w:cs="Arial"/>
                <w:sz w:val="18"/>
                <w:szCs w:val="18"/>
              </w:rPr>
            </w:pPr>
            <w:r w:rsidRPr="001D41EA">
              <w:rPr>
                <w:rFonts w:cs="Arial"/>
                <w:sz w:val="18"/>
                <w:szCs w:val="18"/>
              </w:rPr>
              <w:t>0.895</w:t>
            </w:r>
          </w:p>
        </w:tc>
        <w:tc>
          <w:tcPr>
            <w:tcW w:w="1361" w:type="dxa"/>
            <w:tcBorders>
              <w:top w:val="nil"/>
              <w:left w:val="nil"/>
              <w:bottom w:val="nil"/>
              <w:right w:val="nil"/>
            </w:tcBorders>
            <w:shd w:val="clear" w:color="auto" w:fill="auto"/>
            <w:vAlign w:val="bottom"/>
          </w:tcPr>
          <w:p w14:paraId="74168A9A" w14:textId="468E3940" w:rsidR="002B721C" w:rsidRPr="001D41EA" w:rsidRDefault="002B721C" w:rsidP="001D41EA">
            <w:pPr>
              <w:spacing w:before="40" w:after="40"/>
              <w:jc w:val="center"/>
              <w:rPr>
                <w:rFonts w:cs="Arial"/>
                <w:sz w:val="18"/>
                <w:szCs w:val="18"/>
              </w:rPr>
            </w:pPr>
            <w:r w:rsidRPr="001D41EA">
              <w:rPr>
                <w:rFonts w:cs="Arial"/>
                <w:sz w:val="18"/>
                <w:szCs w:val="18"/>
              </w:rPr>
              <w:t>0.910</w:t>
            </w:r>
          </w:p>
        </w:tc>
        <w:tc>
          <w:tcPr>
            <w:tcW w:w="1361" w:type="dxa"/>
            <w:tcBorders>
              <w:top w:val="nil"/>
              <w:left w:val="nil"/>
              <w:bottom w:val="nil"/>
              <w:right w:val="nil"/>
            </w:tcBorders>
            <w:vAlign w:val="bottom"/>
          </w:tcPr>
          <w:p w14:paraId="1FD030C1" w14:textId="59372A82" w:rsidR="002B721C" w:rsidRPr="001D41EA" w:rsidRDefault="002B721C" w:rsidP="001D41EA">
            <w:pPr>
              <w:spacing w:before="40" w:after="40"/>
              <w:jc w:val="center"/>
              <w:rPr>
                <w:rFonts w:cs="Arial"/>
                <w:sz w:val="18"/>
                <w:szCs w:val="18"/>
              </w:rPr>
            </w:pPr>
            <w:r w:rsidRPr="001D41EA">
              <w:rPr>
                <w:rFonts w:cs="Arial"/>
                <w:sz w:val="18"/>
                <w:szCs w:val="18"/>
              </w:rPr>
              <w:t>1.033</w:t>
            </w:r>
          </w:p>
        </w:tc>
        <w:tc>
          <w:tcPr>
            <w:tcW w:w="1361" w:type="dxa"/>
            <w:tcBorders>
              <w:top w:val="nil"/>
              <w:left w:val="nil"/>
              <w:bottom w:val="nil"/>
              <w:right w:val="nil"/>
            </w:tcBorders>
            <w:vAlign w:val="bottom"/>
          </w:tcPr>
          <w:p w14:paraId="10EB2ADE" w14:textId="3466AA66" w:rsidR="002B721C" w:rsidRPr="001D41EA" w:rsidRDefault="002B721C" w:rsidP="001D41EA">
            <w:pPr>
              <w:spacing w:before="40" w:after="40"/>
              <w:jc w:val="center"/>
              <w:rPr>
                <w:rFonts w:cs="Arial"/>
                <w:sz w:val="18"/>
                <w:szCs w:val="18"/>
              </w:rPr>
            </w:pPr>
            <w:r w:rsidRPr="001D41EA">
              <w:rPr>
                <w:rFonts w:cs="Arial"/>
                <w:sz w:val="18"/>
                <w:szCs w:val="18"/>
              </w:rPr>
              <w:t>0.886</w:t>
            </w:r>
          </w:p>
        </w:tc>
        <w:tc>
          <w:tcPr>
            <w:tcW w:w="1361" w:type="dxa"/>
            <w:tcBorders>
              <w:top w:val="nil"/>
              <w:left w:val="nil"/>
              <w:bottom w:val="nil"/>
              <w:right w:val="nil"/>
            </w:tcBorders>
            <w:shd w:val="clear" w:color="auto" w:fill="auto"/>
            <w:vAlign w:val="bottom"/>
          </w:tcPr>
          <w:p w14:paraId="28D83674" w14:textId="61A3D77B" w:rsidR="002B721C" w:rsidRPr="001D41EA" w:rsidRDefault="002B721C" w:rsidP="001D41EA">
            <w:pPr>
              <w:spacing w:before="40" w:after="40"/>
              <w:jc w:val="center"/>
              <w:rPr>
                <w:rFonts w:cs="Arial"/>
                <w:sz w:val="18"/>
                <w:szCs w:val="18"/>
              </w:rPr>
            </w:pPr>
            <w:r w:rsidRPr="001D41EA">
              <w:rPr>
                <w:rFonts w:cs="Arial"/>
                <w:sz w:val="18"/>
                <w:szCs w:val="18"/>
              </w:rPr>
              <w:t>1.057</w:t>
            </w:r>
          </w:p>
        </w:tc>
      </w:tr>
      <w:tr w:rsidR="002B721C" w:rsidRPr="001D41EA" w14:paraId="010B2DD4"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E98B5B" w14:textId="77777777" w:rsidR="002B721C" w:rsidRPr="001D41EA" w:rsidRDefault="002B721C" w:rsidP="001D41EA">
            <w:pPr>
              <w:spacing w:before="40" w:after="40"/>
              <w:rPr>
                <w:rFonts w:cs="Arial"/>
                <w:sz w:val="18"/>
                <w:szCs w:val="18"/>
              </w:rPr>
            </w:pPr>
            <w:r w:rsidRPr="001D41EA">
              <w:rPr>
                <w:rFonts w:cs="Arial"/>
                <w:sz w:val="18"/>
                <w:szCs w:val="18"/>
              </w:rPr>
              <w:t>Greater Dandenong C</w:t>
            </w:r>
          </w:p>
        </w:tc>
        <w:tc>
          <w:tcPr>
            <w:tcW w:w="1361" w:type="dxa"/>
            <w:tcBorders>
              <w:top w:val="nil"/>
              <w:left w:val="single" w:sz="18" w:space="0" w:color="5F497A" w:themeColor="accent4" w:themeShade="BF"/>
              <w:bottom w:val="nil"/>
              <w:right w:val="nil"/>
            </w:tcBorders>
            <w:shd w:val="clear" w:color="auto" w:fill="auto"/>
            <w:vAlign w:val="bottom"/>
          </w:tcPr>
          <w:p w14:paraId="5694044A" w14:textId="658E6E03" w:rsidR="002B721C" w:rsidRPr="001D41EA" w:rsidRDefault="002B721C" w:rsidP="001D41EA">
            <w:pPr>
              <w:spacing w:before="40" w:after="40"/>
              <w:jc w:val="center"/>
              <w:rPr>
                <w:rFonts w:cs="Arial"/>
                <w:sz w:val="18"/>
                <w:szCs w:val="18"/>
              </w:rPr>
            </w:pPr>
            <w:r w:rsidRPr="001D41EA">
              <w:rPr>
                <w:rFonts w:cs="Arial"/>
                <w:sz w:val="18"/>
                <w:szCs w:val="18"/>
              </w:rPr>
              <w:t>0.912</w:t>
            </w:r>
          </w:p>
        </w:tc>
        <w:tc>
          <w:tcPr>
            <w:tcW w:w="1361" w:type="dxa"/>
            <w:tcBorders>
              <w:top w:val="nil"/>
              <w:left w:val="nil"/>
              <w:bottom w:val="nil"/>
              <w:right w:val="nil"/>
            </w:tcBorders>
            <w:shd w:val="clear" w:color="auto" w:fill="auto"/>
            <w:vAlign w:val="bottom"/>
          </w:tcPr>
          <w:p w14:paraId="077569D2" w14:textId="241F4B3F" w:rsidR="002B721C" w:rsidRPr="001D41EA" w:rsidRDefault="002B721C" w:rsidP="001D41EA">
            <w:pPr>
              <w:spacing w:before="40" w:after="40"/>
              <w:jc w:val="center"/>
              <w:rPr>
                <w:rFonts w:cs="Arial"/>
                <w:sz w:val="18"/>
                <w:szCs w:val="18"/>
              </w:rPr>
            </w:pPr>
            <w:r w:rsidRPr="001D41EA">
              <w:rPr>
                <w:rFonts w:cs="Arial"/>
                <w:sz w:val="18"/>
                <w:szCs w:val="18"/>
              </w:rPr>
              <w:t>0.654</w:t>
            </w:r>
          </w:p>
        </w:tc>
        <w:tc>
          <w:tcPr>
            <w:tcW w:w="1361" w:type="dxa"/>
            <w:tcBorders>
              <w:top w:val="nil"/>
              <w:left w:val="nil"/>
              <w:bottom w:val="nil"/>
              <w:right w:val="nil"/>
            </w:tcBorders>
            <w:vAlign w:val="bottom"/>
          </w:tcPr>
          <w:p w14:paraId="3E695616" w14:textId="5F9687C7" w:rsidR="002B721C" w:rsidRPr="001D41EA" w:rsidRDefault="002B721C" w:rsidP="001D41EA">
            <w:pPr>
              <w:spacing w:before="40" w:after="40"/>
              <w:jc w:val="center"/>
              <w:rPr>
                <w:rFonts w:cs="Arial"/>
                <w:sz w:val="18"/>
                <w:szCs w:val="18"/>
              </w:rPr>
            </w:pPr>
            <w:r w:rsidRPr="001D41EA">
              <w:rPr>
                <w:rFonts w:cs="Arial"/>
                <w:sz w:val="18"/>
                <w:szCs w:val="18"/>
              </w:rPr>
              <w:t>0.931</w:t>
            </w:r>
          </w:p>
        </w:tc>
        <w:tc>
          <w:tcPr>
            <w:tcW w:w="1361" w:type="dxa"/>
            <w:tcBorders>
              <w:top w:val="nil"/>
              <w:left w:val="nil"/>
              <w:bottom w:val="nil"/>
              <w:right w:val="nil"/>
            </w:tcBorders>
            <w:vAlign w:val="bottom"/>
          </w:tcPr>
          <w:p w14:paraId="6A1857B1" w14:textId="2CE3B99B" w:rsidR="002B721C" w:rsidRPr="001D41EA" w:rsidRDefault="002B721C" w:rsidP="001D41EA">
            <w:pPr>
              <w:spacing w:before="40" w:after="40"/>
              <w:jc w:val="center"/>
              <w:rPr>
                <w:rFonts w:cs="Arial"/>
                <w:sz w:val="18"/>
                <w:szCs w:val="18"/>
              </w:rPr>
            </w:pPr>
            <w:r w:rsidRPr="001D41EA">
              <w:rPr>
                <w:rFonts w:cs="Arial"/>
                <w:sz w:val="18"/>
                <w:szCs w:val="18"/>
              </w:rPr>
              <w:t>0.942</w:t>
            </w:r>
          </w:p>
        </w:tc>
        <w:tc>
          <w:tcPr>
            <w:tcW w:w="1361" w:type="dxa"/>
            <w:tcBorders>
              <w:top w:val="nil"/>
              <w:left w:val="nil"/>
              <w:bottom w:val="nil"/>
              <w:right w:val="nil"/>
            </w:tcBorders>
            <w:shd w:val="clear" w:color="auto" w:fill="auto"/>
            <w:vAlign w:val="bottom"/>
          </w:tcPr>
          <w:p w14:paraId="42E90900" w14:textId="375440C2" w:rsidR="002B721C" w:rsidRPr="001D41EA" w:rsidRDefault="002B721C" w:rsidP="001D41EA">
            <w:pPr>
              <w:spacing w:before="40" w:after="40"/>
              <w:jc w:val="center"/>
              <w:rPr>
                <w:rFonts w:cs="Arial"/>
                <w:sz w:val="18"/>
                <w:szCs w:val="18"/>
              </w:rPr>
            </w:pPr>
            <w:r w:rsidRPr="001D41EA">
              <w:rPr>
                <w:rFonts w:cs="Arial"/>
                <w:sz w:val="18"/>
                <w:szCs w:val="18"/>
              </w:rPr>
              <w:t>1.008</w:t>
            </w:r>
          </w:p>
        </w:tc>
      </w:tr>
      <w:tr w:rsidR="002B721C" w:rsidRPr="001D41EA" w14:paraId="14E821B5"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4E9D5EA" w14:textId="77777777" w:rsidR="002B721C" w:rsidRPr="001D41EA" w:rsidRDefault="002B721C" w:rsidP="001D41EA">
            <w:pPr>
              <w:spacing w:before="40" w:after="40"/>
              <w:rPr>
                <w:rFonts w:cs="Arial"/>
                <w:sz w:val="18"/>
                <w:szCs w:val="18"/>
              </w:rPr>
            </w:pPr>
            <w:r w:rsidRPr="001D41EA">
              <w:rPr>
                <w:rFonts w:cs="Arial"/>
                <w:sz w:val="18"/>
                <w:szCs w:val="18"/>
              </w:rPr>
              <w:t>Greater Geelong C</w:t>
            </w:r>
          </w:p>
        </w:tc>
        <w:tc>
          <w:tcPr>
            <w:tcW w:w="1361" w:type="dxa"/>
            <w:tcBorders>
              <w:top w:val="nil"/>
              <w:left w:val="single" w:sz="18" w:space="0" w:color="5F497A" w:themeColor="accent4" w:themeShade="BF"/>
              <w:bottom w:val="nil"/>
              <w:right w:val="nil"/>
            </w:tcBorders>
            <w:shd w:val="clear" w:color="auto" w:fill="auto"/>
            <w:vAlign w:val="bottom"/>
          </w:tcPr>
          <w:p w14:paraId="39C038D1" w14:textId="364516F6" w:rsidR="002B721C" w:rsidRPr="001D41EA" w:rsidRDefault="002B721C" w:rsidP="001D41EA">
            <w:pPr>
              <w:spacing w:before="40" w:after="40"/>
              <w:jc w:val="center"/>
              <w:rPr>
                <w:rFonts w:cs="Arial"/>
                <w:sz w:val="18"/>
                <w:szCs w:val="18"/>
              </w:rPr>
            </w:pPr>
            <w:r w:rsidRPr="001D41EA">
              <w:rPr>
                <w:rFonts w:cs="Arial"/>
                <w:sz w:val="18"/>
                <w:szCs w:val="18"/>
              </w:rPr>
              <w:t>0.889</w:t>
            </w:r>
          </w:p>
        </w:tc>
        <w:tc>
          <w:tcPr>
            <w:tcW w:w="1361" w:type="dxa"/>
            <w:tcBorders>
              <w:top w:val="nil"/>
              <w:left w:val="nil"/>
              <w:bottom w:val="nil"/>
              <w:right w:val="nil"/>
            </w:tcBorders>
            <w:shd w:val="clear" w:color="auto" w:fill="auto"/>
            <w:vAlign w:val="bottom"/>
          </w:tcPr>
          <w:p w14:paraId="1E5081DB" w14:textId="138EB5F5" w:rsidR="002B721C" w:rsidRPr="001D41EA" w:rsidRDefault="002B721C" w:rsidP="001D41EA">
            <w:pPr>
              <w:spacing w:before="40" w:after="40"/>
              <w:jc w:val="center"/>
              <w:rPr>
                <w:rFonts w:cs="Arial"/>
                <w:sz w:val="18"/>
                <w:szCs w:val="18"/>
              </w:rPr>
            </w:pPr>
            <w:r w:rsidRPr="001D41EA">
              <w:rPr>
                <w:rFonts w:cs="Arial"/>
                <w:sz w:val="18"/>
                <w:szCs w:val="18"/>
              </w:rPr>
              <w:t>0.950</w:t>
            </w:r>
          </w:p>
        </w:tc>
        <w:tc>
          <w:tcPr>
            <w:tcW w:w="1361" w:type="dxa"/>
            <w:tcBorders>
              <w:top w:val="nil"/>
              <w:left w:val="nil"/>
              <w:bottom w:val="nil"/>
              <w:right w:val="nil"/>
            </w:tcBorders>
            <w:vAlign w:val="bottom"/>
          </w:tcPr>
          <w:p w14:paraId="11927B23" w14:textId="64E742A1" w:rsidR="002B721C" w:rsidRPr="001D41EA" w:rsidRDefault="002B721C" w:rsidP="001D41EA">
            <w:pPr>
              <w:spacing w:before="40" w:after="40"/>
              <w:jc w:val="center"/>
              <w:rPr>
                <w:rFonts w:cs="Arial"/>
                <w:sz w:val="18"/>
                <w:szCs w:val="18"/>
              </w:rPr>
            </w:pPr>
            <w:r w:rsidRPr="001D41EA">
              <w:rPr>
                <w:rFonts w:cs="Arial"/>
                <w:sz w:val="18"/>
                <w:szCs w:val="18"/>
              </w:rPr>
              <w:t>1.009</w:t>
            </w:r>
          </w:p>
        </w:tc>
        <w:tc>
          <w:tcPr>
            <w:tcW w:w="1361" w:type="dxa"/>
            <w:tcBorders>
              <w:top w:val="nil"/>
              <w:left w:val="nil"/>
              <w:bottom w:val="nil"/>
              <w:right w:val="nil"/>
            </w:tcBorders>
            <w:vAlign w:val="bottom"/>
          </w:tcPr>
          <w:p w14:paraId="3B8AB99E" w14:textId="16F41766" w:rsidR="002B721C" w:rsidRPr="001D41EA" w:rsidRDefault="002B721C" w:rsidP="001D41EA">
            <w:pPr>
              <w:spacing w:before="40" w:after="40"/>
              <w:jc w:val="center"/>
              <w:rPr>
                <w:rFonts w:cs="Arial"/>
                <w:sz w:val="18"/>
                <w:szCs w:val="18"/>
              </w:rPr>
            </w:pPr>
            <w:r w:rsidRPr="001D41EA">
              <w:rPr>
                <w:rFonts w:cs="Arial"/>
                <w:sz w:val="18"/>
                <w:szCs w:val="18"/>
              </w:rPr>
              <w:t>1.061</w:t>
            </w:r>
          </w:p>
        </w:tc>
        <w:tc>
          <w:tcPr>
            <w:tcW w:w="1361" w:type="dxa"/>
            <w:tcBorders>
              <w:top w:val="nil"/>
              <w:left w:val="nil"/>
              <w:bottom w:val="nil"/>
              <w:right w:val="nil"/>
            </w:tcBorders>
            <w:shd w:val="clear" w:color="auto" w:fill="auto"/>
            <w:vAlign w:val="bottom"/>
          </w:tcPr>
          <w:p w14:paraId="53FFBC50" w14:textId="2D324FAA" w:rsidR="002B721C" w:rsidRPr="001D41EA" w:rsidRDefault="002B721C" w:rsidP="001D41EA">
            <w:pPr>
              <w:spacing w:before="40" w:after="40"/>
              <w:jc w:val="center"/>
              <w:rPr>
                <w:rFonts w:cs="Arial"/>
                <w:sz w:val="18"/>
                <w:szCs w:val="18"/>
              </w:rPr>
            </w:pPr>
            <w:r w:rsidRPr="001D41EA">
              <w:rPr>
                <w:rFonts w:cs="Arial"/>
                <w:sz w:val="18"/>
                <w:szCs w:val="18"/>
              </w:rPr>
              <w:t>1.061</w:t>
            </w:r>
          </w:p>
        </w:tc>
      </w:tr>
      <w:tr w:rsidR="002B721C" w:rsidRPr="001D41EA" w14:paraId="638BEE79"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861CBA9" w14:textId="77777777" w:rsidR="002B721C" w:rsidRPr="001D41EA" w:rsidRDefault="002B721C" w:rsidP="001D41EA">
            <w:pPr>
              <w:spacing w:before="40" w:after="40"/>
              <w:rPr>
                <w:rFonts w:cs="Arial"/>
                <w:sz w:val="18"/>
                <w:szCs w:val="18"/>
              </w:rPr>
            </w:pPr>
            <w:r w:rsidRPr="001D41EA">
              <w:rPr>
                <w:rFonts w:cs="Arial"/>
                <w:sz w:val="18"/>
                <w:szCs w:val="18"/>
              </w:rPr>
              <w:t>Greater Shepparton C</w:t>
            </w:r>
          </w:p>
        </w:tc>
        <w:tc>
          <w:tcPr>
            <w:tcW w:w="1361" w:type="dxa"/>
            <w:tcBorders>
              <w:top w:val="nil"/>
              <w:left w:val="single" w:sz="18" w:space="0" w:color="5F497A" w:themeColor="accent4" w:themeShade="BF"/>
              <w:bottom w:val="nil"/>
              <w:right w:val="nil"/>
            </w:tcBorders>
            <w:shd w:val="clear" w:color="auto" w:fill="auto"/>
            <w:vAlign w:val="bottom"/>
          </w:tcPr>
          <w:p w14:paraId="4ACEE0FE" w14:textId="7E26FBA7" w:rsidR="002B721C" w:rsidRPr="001D41EA" w:rsidRDefault="002B721C" w:rsidP="001D41EA">
            <w:pPr>
              <w:spacing w:before="40" w:after="40"/>
              <w:jc w:val="center"/>
              <w:rPr>
                <w:rFonts w:cs="Arial"/>
                <w:sz w:val="18"/>
                <w:szCs w:val="18"/>
              </w:rPr>
            </w:pPr>
            <w:r w:rsidRPr="001D41EA">
              <w:rPr>
                <w:rFonts w:cs="Arial"/>
                <w:sz w:val="18"/>
                <w:szCs w:val="18"/>
              </w:rPr>
              <w:t>0.876</w:t>
            </w:r>
          </w:p>
        </w:tc>
        <w:tc>
          <w:tcPr>
            <w:tcW w:w="1361" w:type="dxa"/>
            <w:tcBorders>
              <w:top w:val="nil"/>
              <w:left w:val="nil"/>
              <w:bottom w:val="nil"/>
              <w:right w:val="nil"/>
            </w:tcBorders>
            <w:shd w:val="clear" w:color="auto" w:fill="auto"/>
            <w:vAlign w:val="bottom"/>
          </w:tcPr>
          <w:p w14:paraId="7D9A5EDD" w14:textId="38914023" w:rsidR="002B721C" w:rsidRPr="001D41EA" w:rsidRDefault="002B721C" w:rsidP="001D41EA">
            <w:pPr>
              <w:spacing w:before="40" w:after="40"/>
              <w:jc w:val="center"/>
              <w:rPr>
                <w:rFonts w:cs="Arial"/>
                <w:sz w:val="18"/>
                <w:szCs w:val="18"/>
              </w:rPr>
            </w:pPr>
            <w:r w:rsidRPr="001D41EA">
              <w:rPr>
                <w:rFonts w:cs="Arial"/>
                <w:sz w:val="18"/>
                <w:szCs w:val="18"/>
              </w:rPr>
              <w:t>0.811</w:t>
            </w:r>
          </w:p>
        </w:tc>
        <w:tc>
          <w:tcPr>
            <w:tcW w:w="1361" w:type="dxa"/>
            <w:tcBorders>
              <w:top w:val="nil"/>
              <w:left w:val="nil"/>
              <w:bottom w:val="nil"/>
              <w:right w:val="nil"/>
            </w:tcBorders>
            <w:vAlign w:val="bottom"/>
          </w:tcPr>
          <w:p w14:paraId="26364863" w14:textId="37564BF7" w:rsidR="002B721C" w:rsidRPr="001D41EA" w:rsidRDefault="002B721C" w:rsidP="001D41EA">
            <w:pPr>
              <w:spacing w:before="40" w:after="40"/>
              <w:jc w:val="center"/>
              <w:rPr>
                <w:rFonts w:cs="Arial"/>
                <w:sz w:val="18"/>
                <w:szCs w:val="18"/>
              </w:rPr>
            </w:pPr>
            <w:r w:rsidRPr="001D41EA">
              <w:rPr>
                <w:rFonts w:cs="Arial"/>
                <w:sz w:val="18"/>
                <w:szCs w:val="18"/>
              </w:rPr>
              <w:t>1.013</w:t>
            </w:r>
          </w:p>
        </w:tc>
        <w:tc>
          <w:tcPr>
            <w:tcW w:w="1361" w:type="dxa"/>
            <w:tcBorders>
              <w:top w:val="nil"/>
              <w:left w:val="nil"/>
              <w:bottom w:val="nil"/>
              <w:right w:val="nil"/>
            </w:tcBorders>
            <w:vAlign w:val="bottom"/>
          </w:tcPr>
          <w:p w14:paraId="0B83BA6F" w14:textId="04AD26FD" w:rsidR="002B721C" w:rsidRPr="001D41EA" w:rsidRDefault="002B721C" w:rsidP="001D41EA">
            <w:pPr>
              <w:spacing w:before="40" w:after="40"/>
              <w:jc w:val="center"/>
              <w:rPr>
                <w:rFonts w:cs="Arial"/>
                <w:sz w:val="18"/>
                <w:szCs w:val="18"/>
              </w:rPr>
            </w:pPr>
            <w:r w:rsidRPr="001D41EA">
              <w:rPr>
                <w:rFonts w:cs="Arial"/>
                <w:sz w:val="18"/>
                <w:szCs w:val="18"/>
              </w:rPr>
              <w:t>0.905</w:t>
            </w:r>
          </w:p>
        </w:tc>
        <w:tc>
          <w:tcPr>
            <w:tcW w:w="1361" w:type="dxa"/>
            <w:tcBorders>
              <w:top w:val="nil"/>
              <w:left w:val="nil"/>
              <w:bottom w:val="nil"/>
              <w:right w:val="nil"/>
            </w:tcBorders>
            <w:shd w:val="clear" w:color="auto" w:fill="auto"/>
            <w:vAlign w:val="bottom"/>
          </w:tcPr>
          <w:p w14:paraId="5793FE34" w14:textId="01BD6CBD" w:rsidR="002B721C" w:rsidRPr="001D41EA" w:rsidRDefault="002B721C" w:rsidP="001D41EA">
            <w:pPr>
              <w:spacing w:before="40" w:after="40"/>
              <w:jc w:val="center"/>
              <w:rPr>
                <w:rFonts w:cs="Arial"/>
                <w:sz w:val="18"/>
                <w:szCs w:val="18"/>
              </w:rPr>
            </w:pPr>
            <w:r w:rsidRPr="001D41EA">
              <w:rPr>
                <w:rFonts w:cs="Arial"/>
                <w:sz w:val="18"/>
                <w:szCs w:val="18"/>
              </w:rPr>
              <w:t>1.103</w:t>
            </w:r>
          </w:p>
        </w:tc>
      </w:tr>
      <w:tr w:rsidR="002B721C" w:rsidRPr="001D41EA" w14:paraId="19B053CB"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A489325" w14:textId="77777777" w:rsidR="002B721C" w:rsidRPr="001D41EA" w:rsidRDefault="002B721C" w:rsidP="001D41EA">
            <w:pPr>
              <w:spacing w:before="40" w:after="40"/>
              <w:rPr>
                <w:rFonts w:cs="Arial"/>
                <w:sz w:val="18"/>
                <w:szCs w:val="18"/>
              </w:rPr>
            </w:pPr>
            <w:r w:rsidRPr="001D41EA">
              <w:rPr>
                <w:rFonts w:cs="Arial"/>
                <w:sz w:val="18"/>
                <w:szCs w:val="18"/>
              </w:rPr>
              <w:t>Hepburn S</w:t>
            </w:r>
          </w:p>
        </w:tc>
        <w:tc>
          <w:tcPr>
            <w:tcW w:w="1361" w:type="dxa"/>
            <w:tcBorders>
              <w:top w:val="nil"/>
              <w:left w:val="single" w:sz="18" w:space="0" w:color="5F497A" w:themeColor="accent4" w:themeShade="BF"/>
              <w:bottom w:val="nil"/>
              <w:right w:val="nil"/>
            </w:tcBorders>
            <w:shd w:val="clear" w:color="auto" w:fill="auto"/>
            <w:vAlign w:val="bottom"/>
          </w:tcPr>
          <w:p w14:paraId="1D41973C" w14:textId="5B01444F" w:rsidR="002B721C" w:rsidRPr="001D41EA" w:rsidRDefault="002B721C" w:rsidP="001D41EA">
            <w:pPr>
              <w:spacing w:before="40" w:after="40"/>
              <w:jc w:val="center"/>
              <w:rPr>
                <w:rFonts w:cs="Arial"/>
                <w:sz w:val="18"/>
                <w:szCs w:val="18"/>
              </w:rPr>
            </w:pPr>
            <w:r w:rsidRPr="001D41EA">
              <w:rPr>
                <w:rFonts w:cs="Arial"/>
                <w:sz w:val="18"/>
                <w:szCs w:val="18"/>
              </w:rPr>
              <w:t>0.868</w:t>
            </w:r>
          </w:p>
        </w:tc>
        <w:tc>
          <w:tcPr>
            <w:tcW w:w="1361" w:type="dxa"/>
            <w:tcBorders>
              <w:top w:val="nil"/>
              <w:left w:val="nil"/>
              <w:bottom w:val="nil"/>
              <w:right w:val="nil"/>
            </w:tcBorders>
            <w:shd w:val="clear" w:color="auto" w:fill="auto"/>
            <w:vAlign w:val="bottom"/>
          </w:tcPr>
          <w:p w14:paraId="78539363" w14:textId="5AA666A3" w:rsidR="002B721C" w:rsidRPr="001D41EA" w:rsidRDefault="002B721C" w:rsidP="001D41EA">
            <w:pPr>
              <w:spacing w:before="40" w:after="40"/>
              <w:jc w:val="center"/>
              <w:rPr>
                <w:rFonts w:cs="Arial"/>
                <w:sz w:val="18"/>
                <w:szCs w:val="18"/>
              </w:rPr>
            </w:pPr>
            <w:r w:rsidRPr="001D41EA">
              <w:rPr>
                <w:rFonts w:cs="Arial"/>
                <w:sz w:val="18"/>
                <w:szCs w:val="18"/>
              </w:rPr>
              <w:t>0.953</w:t>
            </w:r>
          </w:p>
        </w:tc>
        <w:tc>
          <w:tcPr>
            <w:tcW w:w="1361" w:type="dxa"/>
            <w:tcBorders>
              <w:top w:val="nil"/>
              <w:left w:val="nil"/>
              <w:bottom w:val="nil"/>
              <w:right w:val="nil"/>
            </w:tcBorders>
            <w:vAlign w:val="bottom"/>
          </w:tcPr>
          <w:p w14:paraId="394A3ED1" w14:textId="3CBC6730" w:rsidR="002B721C" w:rsidRPr="001D41EA" w:rsidRDefault="002B721C" w:rsidP="001D41EA">
            <w:pPr>
              <w:spacing w:before="40" w:after="40"/>
              <w:jc w:val="center"/>
              <w:rPr>
                <w:rFonts w:cs="Arial"/>
                <w:sz w:val="18"/>
                <w:szCs w:val="18"/>
              </w:rPr>
            </w:pPr>
            <w:r w:rsidRPr="001D41EA">
              <w:rPr>
                <w:rFonts w:cs="Arial"/>
                <w:sz w:val="18"/>
                <w:szCs w:val="18"/>
              </w:rPr>
              <w:t>1.394</w:t>
            </w:r>
          </w:p>
        </w:tc>
        <w:tc>
          <w:tcPr>
            <w:tcW w:w="1361" w:type="dxa"/>
            <w:tcBorders>
              <w:top w:val="nil"/>
              <w:left w:val="nil"/>
              <w:bottom w:val="nil"/>
              <w:right w:val="nil"/>
            </w:tcBorders>
            <w:vAlign w:val="bottom"/>
          </w:tcPr>
          <w:p w14:paraId="7058A985" w14:textId="22CF6C77" w:rsidR="002B721C" w:rsidRPr="001D41EA" w:rsidRDefault="002B721C" w:rsidP="001D41EA">
            <w:pPr>
              <w:spacing w:before="40" w:after="40"/>
              <w:jc w:val="center"/>
              <w:rPr>
                <w:rFonts w:cs="Arial"/>
                <w:sz w:val="18"/>
                <w:szCs w:val="18"/>
              </w:rPr>
            </w:pPr>
            <w:r w:rsidRPr="001D41EA">
              <w:rPr>
                <w:rFonts w:cs="Arial"/>
                <w:sz w:val="18"/>
                <w:szCs w:val="18"/>
              </w:rPr>
              <w:t>0.909</w:t>
            </w:r>
          </w:p>
        </w:tc>
        <w:tc>
          <w:tcPr>
            <w:tcW w:w="1361" w:type="dxa"/>
            <w:tcBorders>
              <w:top w:val="nil"/>
              <w:left w:val="nil"/>
              <w:bottom w:val="nil"/>
              <w:right w:val="nil"/>
            </w:tcBorders>
            <w:shd w:val="clear" w:color="auto" w:fill="auto"/>
            <w:vAlign w:val="bottom"/>
          </w:tcPr>
          <w:p w14:paraId="146C4C1B" w14:textId="0A80C469" w:rsidR="002B721C" w:rsidRPr="001D41EA" w:rsidRDefault="002B721C" w:rsidP="001D41EA">
            <w:pPr>
              <w:spacing w:before="40" w:after="40"/>
              <w:jc w:val="center"/>
              <w:rPr>
                <w:rFonts w:cs="Arial"/>
                <w:sz w:val="18"/>
                <w:szCs w:val="18"/>
              </w:rPr>
            </w:pPr>
            <w:r w:rsidRPr="001D41EA">
              <w:rPr>
                <w:rFonts w:cs="Arial"/>
                <w:sz w:val="18"/>
                <w:szCs w:val="18"/>
              </w:rPr>
              <w:t>1.193</w:t>
            </w:r>
          </w:p>
        </w:tc>
      </w:tr>
      <w:tr w:rsidR="002B721C" w:rsidRPr="001D41EA" w14:paraId="533A0F20"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C8B5E20" w14:textId="77777777" w:rsidR="002B721C" w:rsidRPr="001D41EA" w:rsidRDefault="002B721C" w:rsidP="001D41EA">
            <w:pPr>
              <w:spacing w:before="40" w:after="40"/>
              <w:rPr>
                <w:rFonts w:cs="Arial"/>
                <w:sz w:val="18"/>
                <w:szCs w:val="18"/>
              </w:rPr>
            </w:pPr>
            <w:r w:rsidRPr="001D41EA">
              <w:rPr>
                <w:rFonts w:cs="Arial"/>
                <w:sz w:val="18"/>
                <w:szCs w:val="18"/>
              </w:rPr>
              <w:t>Hindmarsh S</w:t>
            </w:r>
          </w:p>
        </w:tc>
        <w:tc>
          <w:tcPr>
            <w:tcW w:w="1361" w:type="dxa"/>
            <w:tcBorders>
              <w:top w:val="nil"/>
              <w:left w:val="single" w:sz="18" w:space="0" w:color="5F497A" w:themeColor="accent4" w:themeShade="BF"/>
              <w:bottom w:val="nil"/>
              <w:right w:val="nil"/>
            </w:tcBorders>
            <w:shd w:val="clear" w:color="auto" w:fill="auto"/>
            <w:vAlign w:val="bottom"/>
          </w:tcPr>
          <w:p w14:paraId="29A6C120" w14:textId="08FBA5F2" w:rsidR="002B721C" w:rsidRPr="001D41EA" w:rsidRDefault="002B721C" w:rsidP="001D41EA">
            <w:pPr>
              <w:spacing w:before="40" w:after="40"/>
              <w:jc w:val="center"/>
              <w:rPr>
                <w:rFonts w:cs="Arial"/>
                <w:sz w:val="18"/>
                <w:szCs w:val="18"/>
              </w:rPr>
            </w:pPr>
            <w:r w:rsidRPr="001D41EA">
              <w:rPr>
                <w:rFonts w:cs="Arial"/>
                <w:sz w:val="18"/>
                <w:szCs w:val="18"/>
              </w:rPr>
              <w:t>0.799</w:t>
            </w:r>
          </w:p>
        </w:tc>
        <w:tc>
          <w:tcPr>
            <w:tcW w:w="1361" w:type="dxa"/>
            <w:tcBorders>
              <w:top w:val="nil"/>
              <w:left w:val="nil"/>
              <w:bottom w:val="nil"/>
              <w:right w:val="nil"/>
            </w:tcBorders>
            <w:shd w:val="clear" w:color="auto" w:fill="auto"/>
            <w:vAlign w:val="bottom"/>
          </w:tcPr>
          <w:p w14:paraId="7D4BB7BF" w14:textId="3919F86D" w:rsidR="002B721C" w:rsidRPr="001D41EA" w:rsidRDefault="002B721C" w:rsidP="001D41EA">
            <w:pPr>
              <w:spacing w:before="40" w:after="40"/>
              <w:jc w:val="center"/>
              <w:rPr>
                <w:rFonts w:cs="Arial"/>
                <w:sz w:val="18"/>
                <w:szCs w:val="18"/>
              </w:rPr>
            </w:pPr>
            <w:r w:rsidRPr="001D41EA">
              <w:rPr>
                <w:rFonts w:cs="Arial"/>
                <w:sz w:val="18"/>
                <w:szCs w:val="18"/>
              </w:rPr>
              <w:t>0.802</w:t>
            </w:r>
          </w:p>
        </w:tc>
        <w:tc>
          <w:tcPr>
            <w:tcW w:w="1361" w:type="dxa"/>
            <w:tcBorders>
              <w:top w:val="nil"/>
              <w:left w:val="nil"/>
              <w:bottom w:val="nil"/>
              <w:right w:val="nil"/>
            </w:tcBorders>
            <w:vAlign w:val="bottom"/>
          </w:tcPr>
          <w:p w14:paraId="5CD51365" w14:textId="345C3A53" w:rsidR="002B721C" w:rsidRPr="001D41EA" w:rsidRDefault="002B721C" w:rsidP="001D41EA">
            <w:pPr>
              <w:spacing w:before="40" w:after="40"/>
              <w:jc w:val="center"/>
              <w:rPr>
                <w:rFonts w:cs="Arial"/>
                <w:sz w:val="18"/>
                <w:szCs w:val="18"/>
              </w:rPr>
            </w:pPr>
            <w:r w:rsidRPr="001D41EA">
              <w:rPr>
                <w:rFonts w:cs="Arial"/>
                <w:sz w:val="18"/>
                <w:szCs w:val="18"/>
              </w:rPr>
              <w:t>0.971</w:t>
            </w:r>
          </w:p>
        </w:tc>
        <w:tc>
          <w:tcPr>
            <w:tcW w:w="1361" w:type="dxa"/>
            <w:tcBorders>
              <w:top w:val="nil"/>
              <w:left w:val="nil"/>
              <w:bottom w:val="nil"/>
              <w:right w:val="nil"/>
            </w:tcBorders>
            <w:vAlign w:val="bottom"/>
          </w:tcPr>
          <w:p w14:paraId="7555F104" w14:textId="51365BFE" w:rsidR="002B721C" w:rsidRPr="001D41EA" w:rsidRDefault="002B721C" w:rsidP="001D41EA">
            <w:pPr>
              <w:spacing w:before="40" w:after="40"/>
              <w:jc w:val="center"/>
              <w:rPr>
                <w:rFonts w:cs="Arial"/>
                <w:sz w:val="18"/>
                <w:szCs w:val="18"/>
              </w:rPr>
            </w:pPr>
            <w:r w:rsidRPr="001D41EA">
              <w:rPr>
                <w:rFonts w:cs="Arial"/>
                <w:sz w:val="18"/>
                <w:szCs w:val="18"/>
              </w:rPr>
              <w:t>0.705</w:t>
            </w:r>
          </w:p>
        </w:tc>
        <w:tc>
          <w:tcPr>
            <w:tcW w:w="1361" w:type="dxa"/>
            <w:tcBorders>
              <w:top w:val="nil"/>
              <w:left w:val="nil"/>
              <w:bottom w:val="nil"/>
              <w:right w:val="nil"/>
            </w:tcBorders>
            <w:shd w:val="clear" w:color="auto" w:fill="auto"/>
            <w:vAlign w:val="bottom"/>
          </w:tcPr>
          <w:p w14:paraId="7D0C12CC" w14:textId="2D73F0F2" w:rsidR="002B721C" w:rsidRPr="001D41EA" w:rsidRDefault="002B721C" w:rsidP="001D41EA">
            <w:pPr>
              <w:spacing w:before="40" w:after="40"/>
              <w:jc w:val="center"/>
              <w:rPr>
                <w:rFonts w:cs="Arial"/>
                <w:sz w:val="18"/>
                <w:szCs w:val="18"/>
              </w:rPr>
            </w:pPr>
            <w:r w:rsidRPr="001D41EA">
              <w:rPr>
                <w:rFonts w:cs="Arial"/>
                <w:sz w:val="18"/>
                <w:szCs w:val="18"/>
              </w:rPr>
              <w:t>0.779</w:t>
            </w:r>
          </w:p>
        </w:tc>
      </w:tr>
      <w:tr w:rsidR="002B721C" w:rsidRPr="001D41EA" w14:paraId="054D0C9A"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5631191" w14:textId="77777777" w:rsidR="002B721C" w:rsidRPr="001D41EA" w:rsidRDefault="002B721C" w:rsidP="001D41EA">
            <w:pPr>
              <w:spacing w:before="40" w:after="40"/>
              <w:rPr>
                <w:rFonts w:cs="Arial"/>
                <w:sz w:val="18"/>
                <w:szCs w:val="18"/>
              </w:rPr>
            </w:pPr>
            <w:r w:rsidRPr="001D41EA">
              <w:rPr>
                <w:rFonts w:cs="Arial"/>
                <w:sz w:val="18"/>
                <w:szCs w:val="18"/>
              </w:rPr>
              <w:t>Hobsons Bay C</w:t>
            </w:r>
          </w:p>
        </w:tc>
        <w:tc>
          <w:tcPr>
            <w:tcW w:w="1361" w:type="dxa"/>
            <w:tcBorders>
              <w:top w:val="nil"/>
              <w:left w:val="single" w:sz="18" w:space="0" w:color="5F497A" w:themeColor="accent4" w:themeShade="BF"/>
              <w:bottom w:val="nil"/>
              <w:right w:val="nil"/>
            </w:tcBorders>
            <w:shd w:val="clear" w:color="auto" w:fill="auto"/>
            <w:vAlign w:val="bottom"/>
          </w:tcPr>
          <w:p w14:paraId="74A5EACC" w14:textId="53EF4D4D" w:rsidR="002B721C" w:rsidRPr="001D41EA" w:rsidRDefault="002B721C" w:rsidP="001D41EA">
            <w:pPr>
              <w:spacing w:before="40" w:after="40"/>
              <w:jc w:val="center"/>
              <w:rPr>
                <w:rFonts w:cs="Arial"/>
                <w:sz w:val="18"/>
                <w:szCs w:val="18"/>
              </w:rPr>
            </w:pPr>
            <w:r w:rsidRPr="001D41EA">
              <w:rPr>
                <w:rFonts w:cs="Arial"/>
                <w:sz w:val="18"/>
                <w:szCs w:val="18"/>
              </w:rPr>
              <w:t>0.943</w:t>
            </w:r>
          </w:p>
        </w:tc>
        <w:tc>
          <w:tcPr>
            <w:tcW w:w="1361" w:type="dxa"/>
            <w:tcBorders>
              <w:top w:val="nil"/>
              <w:left w:val="nil"/>
              <w:bottom w:val="nil"/>
              <w:right w:val="nil"/>
            </w:tcBorders>
            <w:shd w:val="clear" w:color="auto" w:fill="auto"/>
            <w:vAlign w:val="bottom"/>
          </w:tcPr>
          <w:p w14:paraId="1C2D8F85" w14:textId="1E757790" w:rsidR="002B721C" w:rsidRPr="001D41EA" w:rsidRDefault="002B721C" w:rsidP="001D41EA">
            <w:pPr>
              <w:spacing w:before="40" w:after="40"/>
              <w:jc w:val="center"/>
              <w:rPr>
                <w:rFonts w:cs="Arial"/>
                <w:sz w:val="18"/>
                <w:szCs w:val="18"/>
              </w:rPr>
            </w:pPr>
            <w:r w:rsidRPr="001D41EA">
              <w:rPr>
                <w:rFonts w:cs="Arial"/>
                <w:sz w:val="18"/>
                <w:szCs w:val="18"/>
              </w:rPr>
              <w:t>1.013</w:t>
            </w:r>
          </w:p>
        </w:tc>
        <w:tc>
          <w:tcPr>
            <w:tcW w:w="1361" w:type="dxa"/>
            <w:tcBorders>
              <w:top w:val="nil"/>
              <w:left w:val="nil"/>
              <w:bottom w:val="nil"/>
              <w:right w:val="nil"/>
            </w:tcBorders>
            <w:vAlign w:val="bottom"/>
          </w:tcPr>
          <w:p w14:paraId="1AE79B17" w14:textId="1B789B11" w:rsidR="002B721C" w:rsidRPr="001D41EA" w:rsidRDefault="002B721C" w:rsidP="001D41EA">
            <w:pPr>
              <w:spacing w:before="40" w:after="40"/>
              <w:jc w:val="center"/>
              <w:rPr>
                <w:rFonts w:cs="Arial"/>
                <w:sz w:val="18"/>
                <w:szCs w:val="18"/>
              </w:rPr>
            </w:pPr>
            <w:r w:rsidRPr="001D41EA">
              <w:rPr>
                <w:rFonts w:cs="Arial"/>
                <w:sz w:val="18"/>
                <w:szCs w:val="18"/>
              </w:rPr>
              <w:t>0.926</w:t>
            </w:r>
          </w:p>
        </w:tc>
        <w:tc>
          <w:tcPr>
            <w:tcW w:w="1361" w:type="dxa"/>
            <w:tcBorders>
              <w:top w:val="nil"/>
              <w:left w:val="nil"/>
              <w:bottom w:val="nil"/>
              <w:right w:val="nil"/>
            </w:tcBorders>
            <w:vAlign w:val="bottom"/>
          </w:tcPr>
          <w:p w14:paraId="4235768E" w14:textId="7CE1A726" w:rsidR="002B721C" w:rsidRPr="001D41EA" w:rsidRDefault="002B721C" w:rsidP="001D41EA">
            <w:pPr>
              <w:spacing w:before="40" w:after="40"/>
              <w:jc w:val="center"/>
              <w:rPr>
                <w:rFonts w:cs="Arial"/>
                <w:sz w:val="18"/>
                <w:szCs w:val="18"/>
              </w:rPr>
            </w:pPr>
            <w:r w:rsidRPr="001D41EA">
              <w:rPr>
                <w:rFonts w:cs="Arial"/>
                <w:sz w:val="18"/>
                <w:szCs w:val="18"/>
              </w:rPr>
              <w:t>0.914</w:t>
            </w:r>
          </w:p>
        </w:tc>
        <w:tc>
          <w:tcPr>
            <w:tcW w:w="1361" w:type="dxa"/>
            <w:tcBorders>
              <w:top w:val="nil"/>
              <w:left w:val="nil"/>
              <w:bottom w:val="nil"/>
              <w:right w:val="nil"/>
            </w:tcBorders>
            <w:shd w:val="clear" w:color="auto" w:fill="auto"/>
            <w:vAlign w:val="bottom"/>
          </w:tcPr>
          <w:p w14:paraId="1811FE14" w14:textId="77D6640C" w:rsidR="002B721C" w:rsidRPr="001D41EA" w:rsidRDefault="002B721C" w:rsidP="001D41EA">
            <w:pPr>
              <w:spacing w:before="40" w:after="40"/>
              <w:jc w:val="center"/>
              <w:rPr>
                <w:rFonts w:cs="Arial"/>
                <w:sz w:val="18"/>
                <w:szCs w:val="18"/>
              </w:rPr>
            </w:pPr>
            <w:r w:rsidRPr="001D41EA">
              <w:rPr>
                <w:rFonts w:cs="Arial"/>
                <w:sz w:val="18"/>
                <w:szCs w:val="18"/>
              </w:rPr>
              <w:t>0.854</w:t>
            </w:r>
          </w:p>
        </w:tc>
      </w:tr>
      <w:tr w:rsidR="002B721C" w:rsidRPr="001D41EA" w14:paraId="177EE65B"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7E9206C" w14:textId="77777777" w:rsidR="002B721C" w:rsidRPr="001D41EA" w:rsidRDefault="002B721C" w:rsidP="001D41EA">
            <w:pPr>
              <w:spacing w:before="40" w:after="40"/>
              <w:rPr>
                <w:rFonts w:cs="Arial"/>
                <w:sz w:val="18"/>
                <w:szCs w:val="18"/>
              </w:rPr>
            </w:pPr>
            <w:r w:rsidRPr="001D41EA">
              <w:rPr>
                <w:rFonts w:cs="Arial"/>
                <w:sz w:val="18"/>
                <w:szCs w:val="18"/>
              </w:rPr>
              <w:t>Horsham RC</w:t>
            </w:r>
          </w:p>
        </w:tc>
        <w:tc>
          <w:tcPr>
            <w:tcW w:w="1361" w:type="dxa"/>
            <w:tcBorders>
              <w:top w:val="nil"/>
              <w:left w:val="single" w:sz="18" w:space="0" w:color="5F497A" w:themeColor="accent4" w:themeShade="BF"/>
              <w:bottom w:val="nil"/>
              <w:right w:val="nil"/>
            </w:tcBorders>
            <w:shd w:val="clear" w:color="auto" w:fill="auto"/>
            <w:vAlign w:val="bottom"/>
          </w:tcPr>
          <w:p w14:paraId="458DBD14" w14:textId="76C91B50" w:rsidR="002B721C" w:rsidRPr="001D41EA" w:rsidRDefault="002B721C" w:rsidP="001D41EA">
            <w:pPr>
              <w:spacing w:before="40" w:after="40"/>
              <w:jc w:val="center"/>
              <w:rPr>
                <w:rFonts w:cs="Arial"/>
                <w:sz w:val="18"/>
                <w:szCs w:val="18"/>
              </w:rPr>
            </w:pPr>
            <w:r w:rsidRPr="001D41EA">
              <w:rPr>
                <w:rFonts w:cs="Arial"/>
                <w:sz w:val="18"/>
                <w:szCs w:val="18"/>
              </w:rPr>
              <w:t>0.877</w:t>
            </w:r>
          </w:p>
        </w:tc>
        <w:tc>
          <w:tcPr>
            <w:tcW w:w="1361" w:type="dxa"/>
            <w:tcBorders>
              <w:top w:val="nil"/>
              <w:left w:val="nil"/>
              <w:bottom w:val="nil"/>
              <w:right w:val="nil"/>
            </w:tcBorders>
            <w:shd w:val="clear" w:color="auto" w:fill="auto"/>
            <w:vAlign w:val="bottom"/>
          </w:tcPr>
          <w:p w14:paraId="699B8D31" w14:textId="1C29CF1D" w:rsidR="002B721C" w:rsidRPr="001D41EA" w:rsidRDefault="002B721C" w:rsidP="001D41EA">
            <w:pPr>
              <w:spacing w:before="40" w:after="40"/>
              <w:jc w:val="center"/>
              <w:rPr>
                <w:rFonts w:cs="Arial"/>
                <w:sz w:val="18"/>
                <w:szCs w:val="18"/>
              </w:rPr>
            </w:pPr>
            <w:r w:rsidRPr="001D41EA">
              <w:rPr>
                <w:rFonts w:cs="Arial"/>
                <w:sz w:val="18"/>
                <w:szCs w:val="18"/>
              </w:rPr>
              <w:t>0.907</w:t>
            </w:r>
          </w:p>
        </w:tc>
        <w:tc>
          <w:tcPr>
            <w:tcW w:w="1361" w:type="dxa"/>
            <w:tcBorders>
              <w:top w:val="nil"/>
              <w:left w:val="nil"/>
              <w:bottom w:val="nil"/>
              <w:right w:val="nil"/>
            </w:tcBorders>
            <w:vAlign w:val="bottom"/>
          </w:tcPr>
          <w:p w14:paraId="0F848458" w14:textId="0AFB598A" w:rsidR="002B721C" w:rsidRPr="001D41EA" w:rsidRDefault="002B721C" w:rsidP="001D41EA">
            <w:pPr>
              <w:spacing w:before="40" w:after="40"/>
              <w:jc w:val="center"/>
              <w:rPr>
                <w:rFonts w:cs="Arial"/>
                <w:sz w:val="18"/>
                <w:szCs w:val="18"/>
              </w:rPr>
            </w:pPr>
            <w:r w:rsidRPr="001D41EA">
              <w:rPr>
                <w:rFonts w:cs="Arial"/>
                <w:sz w:val="18"/>
                <w:szCs w:val="18"/>
              </w:rPr>
              <w:t>1.077</w:t>
            </w:r>
          </w:p>
        </w:tc>
        <w:tc>
          <w:tcPr>
            <w:tcW w:w="1361" w:type="dxa"/>
            <w:tcBorders>
              <w:top w:val="nil"/>
              <w:left w:val="nil"/>
              <w:bottom w:val="nil"/>
              <w:right w:val="nil"/>
            </w:tcBorders>
            <w:vAlign w:val="bottom"/>
          </w:tcPr>
          <w:p w14:paraId="69D5DAE4" w14:textId="67A6B9FA" w:rsidR="002B721C" w:rsidRPr="001D41EA" w:rsidRDefault="002B721C" w:rsidP="001D41EA">
            <w:pPr>
              <w:spacing w:before="40" w:after="40"/>
              <w:jc w:val="center"/>
              <w:rPr>
                <w:rFonts w:cs="Arial"/>
                <w:sz w:val="18"/>
                <w:szCs w:val="18"/>
              </w:rPr>
            </w:pPr>
            <w:r w:rsidRPr="001D41EA">
              <w:rPr>
                <w:rFonts w:cs="Arial"/>
                <w:sz w:val="18"/>
                <w:szCs w:val="18"/>
              </w:rPr>
              <w:t>0.852</w:t>
            </w:r>
          </w:p>
        </w:tc>
        <w:tc>
          <w:tcPr>
            <w:tcW w:w="1361" w:type="dxa"/>
            <w:tcBorders>
              <w:top w:val="nil"/>
              <w:left w:val="nil"/>
              <w:bottom w:val="nil"/>
              <w:right w:val="nil"/>
            </w:tcBorders>
            <w:shd w:val="clear" w:color="auto" w:fill="auto"/>
            <w:vAlign w:val="bottom"/>
          </w:tcPr>
          <w:p w14:paraId="4C3B3C23" w14:textId="0239AA87" w:rsidR="002B721C" w:rsidRPr="001D41EA" w:rsidRDefault="002B721C" w:rsidP="001D41EA">
            <w:pPr>
              <w:spacing w:before="40" w:after="40"/>
              <w:jc w:val="center"/>
              <w:rPr>
                <w:rFonts w:cs="Arial"/>
                <w:sz w:val="18"/>
                <w:szCs w:val="18"/>
              </w:rPr>
            </w:pPr>
            <w:r w:rsidRPr="001D41EA">
              <w:rPr>
                <w:rFonts w:cs="Arial"/>
                <w:sz w:val="18"/>
                <w:szCs w:val="18"/>
              </w:rPr>
              <w:t>0.967</w:t>
            </w:r>
          </w:p>
        </w:tc>
      </w:tr>
      <w:tr w:rsidR="002B721C" w:rsidRPr="001D41EA" w14:paraId="04F9CCBB"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A57EA27" w14:textId="77777777" w:rsidR="002B721C" w:rsidRPr="001D41EA" w:rsidRDefault="002B721C" w:rsidP="001D41EA">
            <w:pPr>
              <w:spacing w:before="40" w:after="40"/>
              <w:rPr>
                <w:rFonts w:cs="Arial"/>
                <w:sz w:val="18"/>
                <w:szCs w:val="18"/>
              </w:rPr>
            </w:pPr>
            <w:r w:rsidRPr="001D41EA">
              <w:rPr>
                <w:rFonts w:cs="Arial"/>
                <w:sz w:val="18"/>
                <w:szCs w:val="18"/>
              </w:rPr>
              <w:t>Hume C</w:t>
            </w:r>
          </w:p>
        </w:tc>
        <w:tc>
          <w:tcPr>
            <w:tcW w:w="1361" w:type="dxa"/>
            <w:tcBorders>
              <w:top w:val="nil"/>
              <w:left w:val="single" w:sz="18" w:space="0" w:color="5F497A" w:themeColor="accent4" w:themeShade="BF"/>
              <w:bottom w:val="nil"/>
              <w:right w:val="nil"/>
            </w:tcBorders>
            <w:shd w:val="clear" w:color="auto" w:fill="auto"/>
            <w:vAlign w:val="bottom"/>
          </w:tcPr>
          <w:p w14:paraId="19BEC3BF" w14:textId="794FB66F" w:rsidR="002B721C" w:rsidRPr="001D41EA" w:rsidRDefault="002B721C" w:rsidP="001D41EA">
            <w:pPr>
              <w:spacing w:before="40" w:after="40"/>
              <w:jc w:val="center"/>
              <w:rPr>
                <w:rFonts w:cs="Arial"/>
                <w:sz w:val="18"/>
                <w:szCs w:val="18"/>
              </w:rPr>
            </w:pPr>
            <w:r w:rsidRPr="001D41EA">
              <w:rPr>
                <w:rFonts w:cs="Arial"/>
                <w:sz w:val="18"/>
                <w:szCs w:val="18"/>
              </w:rPr>
              <w:t>1.030</w:t>
            </w:r>
          </w:p>
        </w:tc>
        <w:tc>
          <w:tcPr>
            <w:tcW w:w="1361" w:type="dxa"/>
            <w:tcBorders>
              <w:top w:val="nil"/>
              <w:left w:val="nil"/>
              <w:bottom w:val="nil"/>
              <w:right w:val="nil"/>
            </w:tcBorders>
            <w:shd w:val="clear" w:color="auto" w:fill="auto"/>
            <w:vAlign w:val="bottom"/>
          </w:tcPr>
          <w:p w14:paraId="46682751" w14:textId="0216C5C7" w:rsidR="002B721C" w:rsidRPr="001D41EA" w:rsidRDefault="002B721C" w:rsidP="001D41EA">
            <w:pPr>
              <w:spacing w:before="40" w:after="40"/>
              <w:jc w:val="center"/>
              <w:rPr>
                <w:rFonts w:cs="Arial"/>
                <w:sz w:val="18"/>
                <w:szCs w:val="18"/>
              </w:rPr>
            </w:pPr>
            <w:r w:rsidRPr="001D41EA">
              <w:rPr>
                <w:rFonts w:cs="Arial"/>
                <w:sz w:val="18"/>
                <w:szCs w:val="18"/>
              </w:rPr>
              <w:t>0.808</w:t>
            </w:r>
          </w:p>
        </w:tc>
        <w:tc>
          <w:tcPr>
            <w:tcW w:w="1361" w:type="dxa"/>
            <w:tcBorders>
              <w:top w:val="nil"/>
              <w:left w:val="nil"/>
              <w:bottom w:val="nil"/>
              <w:right w:val="nil"/>
            </w:tcBorders>
            <w:vAlign w:val="bottom"/>
          </w:tcPr>
          <w:p w14:paraId="24B9195B" w14:textId="3EAE1AAA" w:rsidR="002B721C" w:rsidRPr="001D41EA" w:rsidRDefault="002B721C" w:rsidP="001D41EA">
            <w:pPr>
              <w:spacing w:before="40" w:after="40"/>
              <w:jc w:val="center"/>
              <w:rPr>
                <w:rFonts w:cs="Arial"/>
                <w:sz w:val="18"/>
                <w:szCs w:val="18"/>
              </w:rPr>
            </w:pPr>
            <w:r w:rsidRPr="001D41EA">
              <w:rPr>
                <w:rFonts w:cs="Arial"/>
                <w:sz w:val="18"/>
                <w:szCs w:val="18"/>
              </w:rPr>
              <w:t>0.913</w:t>
            </w:r>
          </w:p>
        </w:tc>
        <w:tc>
          <w:tcPr>
            <w:tcW w:w="1361" w:type="dxa"/>
            <w:tcBorders>
              <w:top w:val="nil"/>
              <w:left w:val="nil"/>
              <w:bottom w:val="nil"/>
              <w:right w:val="nil"/>
            </w:tcBorders>
            <w:vAlign w:val="bottom"/>
          </w:tcPr>
          <w:p w14:paraId="6C0E841C" w14:textId="3841CE84" w:rsidR="002B721C" w:rsidRPr="001D41EA" w:rsidRDefault="002B721C" w:rsidP="001D41EA">
            <w:pPr>
              <w:spacing w:before="40" w:after="40"/>
              <w:jc w:val="center"/>
              <w:rPr>
                <w:rFonts w:cs="Arial"/>
                <w:sz w:val="18"/>
                <w:szCs w:val="18"/>
              </w:rPr>
            </w:pPr>
            <w:r w:rsidRPr="001D41EA">
              <w:rPr>
                <w:rFonts w:cs="Arial"/>
                <w:sz w:val="18"/>
                <w:szCs w:val="18"/>
              </w:rPr>
              <w:t>1.044</w:t>
            </w:r>
          </w:p>
        </w:tc>
        <w:tc>
          <w:tcPr>
            <w:tcW w:w="1361" w:type="dxa"/>
            <w:tcBorders>
              <w:top w:val="nil"/>
              <w:left w:val="nil"/>
              <w:bottom w:val="nil"/>
              <w:right w:val="nil"/>
            </w:tcBorders>
            <w:shd w:val="clear" w:color="auto" w:fill="auto"/>
            <w:vAlign w:val="bottom"/>
          </w:tcPr>
          <w:p w14:paraId="03EF0E07" w14:textId="4F9C77DE" w:rsidR="002B721C" w:rsidRPr="001D41EA" w:rsidRDefault="002B721C" w:rsidP="001D41EA">
            <w:pPr>
              <w:spacing w:before="40" w:after="40"/>
              <w:jc w:val="center"/>
              <w:rPr>
                <w:rFonts w:cs="Arial"/>
                <w:sz w:val="18"/>
                <w:szCs w:val="18"/>
              </w:rPr>
            </w:pPr>
            <w:r w:rsidRPr="001D41EA">
              <w:rPr>
                <w:rFonts w:cs="Arial"/>
                <w:sz w:val="18"/>
                <w:szCs w:val="18"/>
              </w:rPr>
              <w:t>0.896</w:t>
            </w:r>
          </w:p>
        </w:tc>
      </w:tr>
      <w:tr w:rsidR="002B721C" w:rsidRPr="001D41EA" w14:paraId="56035BB8"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E2FDF85" w14:textId="77777777" w:rsidR="002B721C" w:rsidRPr="001D41EA" w:rsidRDefault="002B721C" w:rsidP="001D41EA">
            <w:pPr>
              <w:spacing w:before="40" w:after="40"/>
              <w:rPr>
                <w:rFonts w:cs="Arial"/>
                <w:sz w:val="18"/>
                <w:szCs w:val="18"/>
              </w:rPr>
            </w:pPr>
            <w:r w:rsidRPr="001D41EA">
              <w:rPr>
                <w:rFonts w:cs="Arial"/>
                <w:sz w:val="18"/>
                <w:szCs w:val="18"/>
              </w:rPr>
              <w:t>Indigo S</w:t>
            </w:r>
          </w:p>
        </w:tc>
        <w:tc>
          <w:tcPr>
            <w:tcW w:w="1361" w:type="dxa"/>
            <w:tcBorders>
              <w:top w:val="nil"/>
              <w:left w:val="single" w:sz="18" w:space="0" w:color="5F497A" w:themeColor="accent4" w:themeShade="BF"/>
              <w:bottom w:val="nil"/>
              <w:right w:val="nil"/>
            </w:tcBorders>
            <w:shd w:val="clear" w:color="auto" w:fill="auto"/>
            <w:vAlign w:val="bottom"/>
          </w:tcPr>
          <w:p w14:paraId="0D9EFD5C" w14:textId="40AF584A" w:rsidR="002B721C" w:rsidRPr="001D41EA" w:rsidRDefault="002B721C" w:rsidP="001D41EA">
            <w:pPr>
              <w:spacing w:before="40" w:after="40"/>
              <w:jc w:val="center"/>
              <w:rPr>
                <w:rFonts w:cs="Arial"/>
                <w:sz w:val="18"/>
                <w:szCs w:val="18"/>
              </w:rPr>
            </w:pPr>
            <w:r w:rsidRPr="001D41EA">
              <w:rPr>
                <w:rFonts w:cs="Arial"/>
                <w:sz w:val="18"/>
                <w:szCs w:val="18"/>
              </w:rPr>
              <w:t>0.958</w:t>
            </w:r>
          </w:p>
        </w:tc>
        <w:tc>
          <w:tcPr>
            <w:tcW w:w="1361" w:type="dxa"/>
            <w:tcBorders>
              <w:top w:val="nil"/>
              <w:left w:val="nil"/>
              <w:bottom w:val="nil"/>
              <w:right w:val="nil"/>
            </w:tcBorders>
            <w:shd w:val="clear" w:color="auto" w:fill="auto"/>
            <w:vAlign w:val="bottom"/>
          </w:tcPr>
          <w:p w14:paraId="276A78A2" w14:textId="21DAE427" w:rsidR="002B721C" w:rsidRPr="001D41EA" w:rsidRDefault="002B721C" w:rsidP="001D41EA">
            <w:pPr>
              <w:spacing w:before="40" w:after="40"/>
              <w:jc w:val="center"/>
              <w:rPr>
                <w:rFonts w:cs="Arial"/>
                <w:sz w:val="18"/>
                <w:szCs w:val="18"/>
              </w:rPr>
            </w:pPr>
            <w:r w:rsidRPr="001D41EA">
              <w:rPr>
                <w:rFonts w:cs="Arial"/>
                <w:sz w:val="18"/>
                <w:szCs w:val="18"/>
              </w:rPr>
              <w:t>1.016</w:t>
            </w:r>
          </w:p>
        </w:tc>
        <w:tc>
          <w:tcPr>
            <w:tcW w:w="1361" w:type="dxa"/>
            <w:tcBorders>
              <w:top w:val="nil"/>
              <w:left w:val="nil"/>
              <w:bottom w:val="nil"/>
              <w:right w:val="nil"/>
            </w:tcBorders>
            <w:vAlign w:val="bottom"/>
          </w:tcPr>
          <w:p w14:paraId="3AA299E5" w14:textId="656F7AC4" w:rsidR="002B721C" w:rsidRPr="001D41EA" w:rsidRDefault="002B721C" w:rsidP="001D41EA">
            <w:pPr>
              <w:spacing w:before="40" w:after="40"/>
              <w:jc w:val="center"/>
              <w:rPr>
                <w:rFonts w:cs="Arial"/>
                <w:sz w:val="18"/>
                <w:szCs w:val="18"/>
              </w:rPr>
            </w:pPr>
            <w:r w:rsidRPr="001D41EA">
              <w:rPr>
                <w:rFonts w:cs="Arial"/>
                <w:sz w:val="18"/>
                <w:szCs w:val="18"/>
              </w:rPr>
              <w:t>1.143</w:t>
            </w:r>
          </w:p>
        </w:tc>
        <w:tc>
          <w:tcPr>
            <w:tcW w:w="1361" w:type="dxa"/>
            <w:tcBorders>
              <w:top w:val="nil"/>
              <w:left w:val="nil"/>
              <w:bottom w:val="nil"/>
              <w:right w:val="nil"/>
            </w:tcBorders>
            <w:vAlign w:val="bottom"/>
          </w:tcPr>
          <w:p w14:paraId="0AF6C521" w14:textId="00C59FCD" w:rsidR="002B721C" w:rsidRPr="001D41EA" w:rsidRDefault="002B721C" w:rsidP="001D41EA">
            <w:pPr>
              <w:spacing w:before="40" w:after="40"/>
              <w:jc w:val="center"/>
              <w:rPr>
                <w:rFonts w:cs="Arial"/>
                <w:sz w:val="18"/>
                <w:szCs w:val="18"/>
              </w:rPr>
            </w:pPr>
            <w:r w:rsidRPr="001D41EA">
              <w:rPr>
                <w:rFonts w:cs="Arial"/>
                <w:sz w:val="18"/>
                <w:szCs w:val="18"/>
              </w:rPr>
              <w:t>0.860</w:t>
            </w:r>
          </w:p>
        </w:tc>
        <w:tc>
          <w:tcPr>
            <w:tcW w:w="1361" w:type="dxa"/>
            <w:tcBorders>
              <w:top w:val="nil"/>
              <w:left w:val="nil"/>
              <w:bottom w:val="nil"/>
              <w:right w:val="nil"/>
            </w:tcBorders>
            <w:shd w:val="clear" w:color="auto" w:fill="auto"/>
            <w:vAlign w:val="bottom"/>
          </w:tcPr>
          <w:p w14:paraId="37F53BC9" w14:textId="389032D8" w:rsidR="002B721C" w:rsidRPr="001D41EA" w:rsidRDefault="002B721C" w:rsidP="001D41EA">
            <w:pPr>
              <w:spacing w:before="40" w:after="40"/>
              <w:jc w:val="center"/>
              <w:rPr>
                <w:rFonts w:cs="Arial"/>
                <w:sz w:val="18"/>
                <w:szCs w:val="18"/>
              </w:rPr>
            </w:pPr>
            <w:r w:rsidRPr="001D41EA">
              <w:rPr>
                <w:rFonts w:cs="Arial"/>
                <w:sz w:val="18"/>
                <w:szCs w:val="18"/>
              </w:rPr>
              <w:t>0.897</w:t>
            </w:r>
          </w:p>
        </w:tc>
      </w:tr>
      <w:tr w:rsidR="002B721C" w:rsidRPr="001D41EA" w14:paraId="21126510"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9E2898B" w14:textId="77777777" w:rsidR="002B721C" w:rsidRPr="001D41EA" w:rsidRDefault="002B721C" w:rsidP="001D41EA">
            <w:pPr>
              <w:spacing w:before="40" w:after="40"/>
              <w:rPr>
                <w:rFonts w:cs="Arial"/>
                <w:sz w:val="18"/>
                <w:szCs w:val="18"/>
              </w:rPr>
            </w:pPr>
            <w:r w:rsidRPr="001D41EA">
              <w:rPr>
                <w:rFonts w:cs="Arial"/>
                <w:sz w:val="18"/>
                <w:szCs w:val="18"/>
              </w:rPr>
              <w:t>Kingston C</w:t>
            </w:r>
          </w:p>
        </w:tc>
        <w:tc>
          <w:tcPr>
            <w:tcW w:w="1361" w:type="dxa"/>
            <w:tcBorders>
              <w:top w:val="nil"/>
              <w:left w:val="single" w:sz="18" w:space="0" w:color="5F497A" w:themeColor="accent4" w:themeShade="BF"/>
              <w:bottom w:val="nil"/>
              <w:right w:val="nil"/>
            </w:tcBorders>
            <w:shd w:val="clear" w:color="auto" w:fill="auto"/>
            <w:vAlign w:val="bottom"/>
          </w:tcPr>
          <w:p w14:paraId="62C38252" w14:textId="0EFB6B3B" w:rsidR="002B721C" w:rsidRPr="001D41EA" w:rsidRDefault="002B721C" w:rsidP="001D41EA">
            <w:pPr>
              <w:spacing w:before="40" w:after="40"/>
              <w:jc w:val="center"/>
              <w:rPr>
                <w:rFonts w:cs="Arial"/>
                <w:sz w:val="18"/>
                <w:szCs w:val="18"/>
              </w:rPr>
            </w:pPr>
            <w:r w:rsidRPr="001D41EA">
              <w:rPr>
                <w:rFonts w:cs="Arial"/>
                <w:sz w:val="18"/>
                <w:szCs w:val="18"/>
              </w:rPr>
              <w:t>0.978</w:t>
            </w:r>
          </w:p>
        </w:tc>
        <w:tc>
          <w:tcPr>
            <w:tcW w:w="1361" w:type="dxa"/>
            <w:tcBorders>
              <w:top w:val="nil"/>
              <w:left w:val="nil"/>
              <w:bottom w:val="nil"/>
              <w:right w:val="nil"/>
            </w:tcBorders>
            <w:shd w:val="clear" w:color="auto" w:fill="auto"/>
            <w:vAlign w:val="bottom"/>
          </w:tcPr>
          <w:p w14:paraId="016B620E" w14:textId="5E4D5E72" w:rsidR="002B721C" w:rsidRPr="001D41EA" w:rsidRDefault="002B721C" w:rsidP="001D41EA">
            <w:pPr>
              <w:spacing w:before="40" w:after="40"/>
              <w:jc w:val="center"/>
              <w:rPr>
                <w:rFonts w:cs="Arial"/>
                <w:sz w:val="18"/>
                <w:szCs w:val="18"/>
              </w:rPr>
            </w:pPr>
            <w:r w:rsidRPr="001D41EA">
              <w:rPr>
                <w:rFonts w:cs="Arial"/>
                <w:sz w:val="18"/>
                <w:szCs w:val="18"/>
              </w:rPr>
              <w:t>1.100</w:t>
            </w:r>
          </w:p>
        </w:tc>
        <w:tc>
          <w:tcPr>
            <w:tcW w:w="1361" w:type="dxa"/>
            <w:tcBorders>
              <w:top w:val="nil"/>
              <w:left w:val="nil"/>
              <w:bottom w:val="nil"/>
              <w:right w:val="nil"/>
            </w:tcBorders>
            <w:vAlign w:val="bottom"/>
          </w:tcPr>
          <w:p w14:paraId="0F9D5388" w14:textId="592D151A" w:rsidR="002B721C" w:rsidRPr="001D41EA" w:rsidRDefault="002B721C" w:rsidP="001D41EA">
            <w:pPr>
              <w:spacing w:before="40" w:after="40"/>
              <w:jc w:val="center"/>
              <w:rPr>
                <w:rFonts w:cs="Arial"/>
                <w:sz w:val="18"/>
                <w:szCs w:val="18"/>
              </w:rPr>
            </w:pPr>
            <w:r w:rsidRPr="001D41EA">
              <w:rPr>
                <w:rFonts w:cs="Arial"/>
                <w:sz w:val="18"/>
                <w:szCs w:val="18"/>
              </w:rPr>
              <w:t>0.910</w:t>
            </w:r>
          </w:p>
        </w:tc>
        <w:tc>
          <w:tcPr>
            <w:tcW w:w="1361" w:type="dxa"/>
            <w:tcBorders>
              <w:top w:val="nil"/>
              <w:left w:val="nil"/>
              <w:bottom w:val="nil"/>
              <w:right w:val="nil"/>
            </w:tcBorders>
            <w:vAlign w:val="bottom"/>
          </w:tcPr>
          <w:p w14:paraId="219A54D6" w14:textId="318F708C" w:rsidR="002B721C" w:rsidRPr="001D41EA" w:rsidRDefault="002B721C" w:rsidP="001D41EA">
            <w:pPr>
              <w:spacing w:before="40" w:after="40"/>
              <w:jc w:val="center"/>
              <w:rPr>
                <w:rFonts w:cs="Arial"/>
                <w:sz w:val="18"/>
                <w:szCs w:val="18"/>
              </w:rPr>
            </w:pPr>
            <w:r w:rsidRPr="001D41EA">
              <w:rPr>
                <w:rFonts w:cs="Arial"/>
                <w:sz w:val="18"/>
                <w:szCs w:val="18"/>
              </w:rPr>
              <w:t>0.951</w:t>
            </w:r>
          </w:p>
        </w:tc>
        <w:tc>
          <w:tcPr>
            <w:tcW w:w="1361" w:type="dxa"/>
            <w:tcBorders>
              <w:top w:val="nil"/>
              <w:left w:val="nil"/>
              <w:bottom w:val="nil"/>
              <w:right w:val="nil"/>
            </w:tcBorders>
            <w:shd w:val="clear" w:color="auto" w:fill="auto"/>
            <w:vAlign w:val="bottom"/>
          </w:tcPr>
          <w:p w14:paraId="38B55F36" w14:textId="66DD6620" w:rsidR="002B721C" w:rsidRPr="001D41EA" w:rsidRDefault="002B721C" w:rsidP="001D41EA">
            <w:pPr>
              <w:spacing w:before="40" w:after="40"/>
              <w:jc w:val="center"/>
              <w:rPr>
                <w:rFonts w:cs="Arial"/>
                <w:sz w:val="18"/>
                <w:szCs w:val="18"/>
              </w:rPr>
            </w:pPr>
            <w:r w:rsidRPr="001D41EA">
              <w:rPr>
                <w:rFonts w:cs="Arial"/>
                <w:sz w:val="18"/>
                <w:szCs w:val="18"/>
              </w:rPr>
              <w:t>0.968</w:t>
            </w:r>
          </w:p>
        </w:tc>
      </w:tr>
      <w:tr w:rsidR="002B721C" w:rsidRPr="001D41EA" w14:paraId="7B44263A"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9BBC8B7" w14:textId="77777777" w:rsidR="002B721C" w:rsidRPr="001D41EA" w:rsidRDefault="002B721C" w:rsidP="001D41EA">
            <w:pPr>
              <w:spacing w:before="40" w:after="40"/>
              <w:rPr>
                <w:rFonts w:cs="Arial"/>
                <w:sz w:val="18"/>
                <w:szCs w:val="18"/>
              </w:rPr>
            </w:pPr>
            <w:r w:rsidRPr="001D41EA">
              <w:rPr>
                <w:rFonts w:cs="Arial"/>
                <w:sz w:val="18"/>
                <w:szCs w:val="18"/>
              </w:rPr>
              <w:t>Knox C</w:t>
            </w:r>
          </w:p>
        </w:tc>
        <w:tc>
          <w:tcPr>
            <w:tcW w:w="1361" w:type="dxa"/>
            <w:tcBorders>
              <w:top w:val="nil"/>
              <w:left w:val="single" w:sz="18" w:space="0" w:color="5F497A" w:themeColor="accent4" w:themeShade="BF"/>
              <w:bottom w:val="nil"/>
              <w:right w:val="nil"/>
            </w:tcBorders>
            <w:shd w:val="clear" w:color="auto" w:fill="auto"/>
            <w:vAlign w:val="bottom"/>
          </w:tcPr>
          <w:p w14:paraId="140FED46" w14:textId="56A3CD77" w:rsidR="002B721C" w:rsidRPr="001D41EA" w:rsidRDefault="002B721C" w:rsidP="001D41EA">
            <w:pPr>
              <w:spacing w:before="40" w:after="40"/>
              <w:jc w:val="center"/>
              <w:rPr>
                <w:rFonts w:cs="Arial"/>
                <w:sz w:val="18"/>
                <w:szCs w:val="18"/>
              </w:rPr>
            </w:pPr>
            <w:r w:rsidRPr="001D41EA">
              <w:rPr>
                <w:rFonts w:cs="Arial"/>
                <w:sz w:val="18"/>
                <w:szCs w:val="18"/>
              </w:rPr>
              <w:t>1.056</w:t>
            </w:r>
          </w:p>
        </w:tc>
        <w:tc>
          <w:tcPr>
            <w:tcW w:w="1361" w:type="dxa"/>
            <w:tcBorders>
              <w:top w:val="nil"/>
              <w:left w:val="nil"/>
              <w:bottom w:val="nil"/>
              <w:right w:val="nil"/>
            </w:tcBorders>
            <w:shd w:val="clear" w:color="auto" w:fill="auto"/>
            <w:vAlign w:val="bottom"/>
          </w:tcPr>
          <w:p w14:paraId="420E5346" w14:textId="650E2106" w:rsidR="002B721C" w:rsidRPr="001D41EA" w:rsidRDefault="002B721C" w:rsidP="001D41EA">
            <w:pPr>
              <w:spacing w:before="40" w:after="40"/>
              <w:jc w:val="center"/>
              <w:rPr>
                <w:rFonts w:cs="Arial"/>
                <w:sz w:val="18"/>
                <w:szCs w:val="18"/>
              </w:rPr>
            </w:pPr>
            <w:r w:rsidRPr="001D41EA">
              <w:rPr>
                <w:rFonts w:cs="Arial"/>
                <w:sz w:val="18"/>
                <w:szCs w:val="18"/>
              </w:rPr>
              <w:t>1.112</w:t>
            </w:r>
          </w:p>
        </w:tc>
        <w:tc>
          <w:tcPr>
            <w:tcW w:w="1361" w:type="dxa"/>
            <w:tcBorders>
              <w:top w:val="nil"/>
              <w:left w:val="nil"/>
              <w:bottom w:val="nil"/>
              <w:right w:val="nil"/>
            </w:tcBorders>
            <w:vAlign w:val="bottom"/>
          </w:tcPr>
          <w:p w14:paraId="3A9D6ACA" w14:textId="6A15D85E" w:rsidR="002B721C" w:rsidRPr="001D41EA" w:rsidRDefault="002B721C" w:rsidP="001D41EA">
            <w:pPr>
              <w:spacing w:before="40" w:after="40"/>
              <w:jc w:val="center"/>
              <w:rPr>
                <w:rFonts w:cs="Arial"/>
                <w:sz w:val="18"/>
                <w:szCs w:val="18"/>
              </w:rPr>
            </w:pPr>
            <w:r w:rsidRPr="001D41EA">
              <w:rPr>
                <w:rFonts w:cs="Arial"/>
                <w:sz w:val="18"/>
                <w:szCs w:val="18"/>
              </w:rPr>
              <w:t>0.913</w:t>
            </w:r>
          </w:p>
        </w:tc>
        <w:tc>
          <w:tcPr>
            <w:tcW w:w="1361" w:type="dxa"/>
            <w:tcBorders>
              <w:top w:val="nil"/>
              <w:left w:val="nil"/>
              <w:bottom w:val="nil"/>
              <w:right w:val="nil"/>
            </w:tcBorders>
            <w:vAlign w:val="bottom"/>
          </w:tcPr>
          <w:p w14:paraId="4416905D" w14:textId="631A6B48" w:rsidR="002B721C" w:rsidRPr="001D41EA" w:rsidRDefault="002B721C" w:rsidP="001D41EA">
            <w:pPr>
              <w:spacing w:before="40" w:after="40"/>
              <w:jc w:val="center"/>
              <w:rPr>
                <w:rFonts w:cs="Arial"/>
                <w:sz w:val="18"/>
                <w:szCs w:val="18"/>
              </w:rPr>
            </w:pPr>
            <w:r w:rsidRPr="001D41EA">
              <w:rPr>
                <w:rFonts w:cs="Arial"/>
                <w:sz w:val="18"/>
                <w:szCs w:val="18"/>
              </w:rPr>
              <w:t>0.844</w:t>
            </w:r>
          </w:p>
        </w:tc>
        <w:tc>
          <w:tcPr>
            <w:tcW w:w="1361" w:type="dxa"/>
            <w:tcBorders>
              <w:top w:val="nil"/>
              <w:left w:val="nil"/>
              <w:bottom w:val="nil"/>
              <w:right w:val="nil"/>
            </w:tcBorders>
            <w:shd w:val="clear" w:color="auto" w:fill="auto"/>
            <w:vAlign w:val="bottom"/>
          </w:tcPr>
          <w:p w14:paraId="30AD167A" w14:textId="0792A0E5" w:rsidR="002B721C" w:rsidRPr="001D41EA" w:rsidRDefault="002B721C" w:rsidP="001D41EA">
            <w:pPr>
              <w:spacing w:before="40" w:after="40"/>
              <w:jc w:val="center"/>
              <w:rPr>
                <w:rFonts w:cs="Arial"/>
                <w:sz w:val="18"/>
                <w:szCs w:val="18"/>
              </w:rPr>
            </w:pPr>
            <w:r w:rsidRPr="001D41EA">
              <w:rPr>
                <w:rFonts w:cs="Arial"/>
                <w:sz w:val="18"/>
                <w:szCs w:val="18"/>
              </w:rPr>
              <w:t>0.958</w:t>
            </w:r>
          </w:p>
        </w:tc>
      </w:tr>
      <w:tr w:rsidR="002B721C" w:rsidRPr="001D41EA" w14:paraId="09FB2769"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07B6C18" w14:textId="77777777" w:rsidR="002B721C" w:rsidRPr="001D41EA" w:rsidRDefault="002B721C" w:rsidP="001D41EA">
            <w:pPr>
              <w:spacing w:before="40" w:after="40"/>
              <w:rPr>
                <w:rFonts w:cs="Arial"/>
                <w:sz w:val="18"/>
                <w:szCs w:val="18"/>
              </w:rPr>
            </w:pPr>
            <w:r w:rsidRPr="001D41EA">
              <w:rPr>
                <w:rFonts w:cs="Arial"/>
                <w:sz w:val="18"/>
                <w:szCs w:val="18"/>
              </w:rPr>
              <w:t>Latrobe C</w:t>
            </w:r>
          </w:p>
        </w:tc>
        <w:tc>
          <w:tcPr>
            <w:tcW w:w="1361" w:type="dxa"/>
            <w:tcBorders>
              <w:top w:val="nil"/>
              <w:left w:val="single" w:sz="18" w:space="0" w:color="5F497A" w:themeColor="accent4" w:themeShade="BF"/>
              <w:bottom w:val="nil"/>
              <w:right w:val="nil"/>
            </w:tcBorders>
            <w:shd w:val="clear" w:color="auto" w:fill="auto"/>
            <w:vAlign w:val="bottom"/>
          </w:tcPr>
          <w:p w14:paraId="19EE9349" w14:textId="1F332EB6" w:rsidR="002B721C" w:rsidRPr="001D41EA" w:rsidRDefault="002B721C" w:rsidP="001D41EA">
            <w:pPr>
              <w:spacing w:before="40" w:after="40"/>
              <w:jc w:val="center"/>
              <w:rPr>
                <w:rFonts w:cs="Arial"/>
                <w:sz w:val="18"/>
                <w:szCs w:val="18"/>
              </w:rPr>
            </w:pPr>
            <w:r w:rsidRPr="001D41EA">
              <w:rPr>
                <w:rFonts w:cs="Arial"/>
                <w:sz w:val="18"/>
                <w:szCs w:val="18"/>
              </w:rPr>
              <w:t>0.819</w:t>
            </w:r>
          </w:p>
        </w:tc>
        <w:tc>
          <w:tcPr>
            <w:tcW w:w="1361" w:type="dxa"/>
            <w:tcBorders>
              <w:top w:val="nil"/>
              <w:left w:val="nil"/>
              <w:bottom w:val="nil"/>
              <w:right w:val="nil"/>
            </w:tcBorders>
            <w:shd w:val="clear" w:color="auto" w:fill="auto"/>
            <w:vAlign w:val="bottom"/>
          </w:tcPr>
          <w:p w14:paraId="709524B2" w14:textId="0993B478" w:rsidR="002B721C" w:rsidRPr="001D41EA" w:rsidRDefault="002B721C" w:rsidP="001D41EA">
            <w:pPr>
              <w:spacing w:before="40" w:after="40"/>
              <w:jc w:val="center"/>
              <w:rPr>
                <w:rFonts w:cs="Arial"/>
                <w:sz w:val="18"/>
                <w:szCs w:val="18"/>
              </w:rPr>
            </w:pPr>
            <w:r w:rsidRPr="001D41EA">
              <w:rPr>
                <w:rFonts w:cs="Arial"/>
                <w:sz w:val="18"/>
                <w:szCs w:val="18"/>
              </w:rPr>
              <w:t>0.760</w:t>
            </w:r>
          </w:p>
        </w:tc>
        <w:tc>
          <w:tcPr>
            <w:tcW w:w="1361" w:type="dxa"/>
            <w:tcBorders>
              <w:top w:val="nil"/>
              <w:left w:val="nil"/>
              <w:bottom w:val="nil"/>
              <w:right w:val="nil"/>
            </w:tcBorders>
            <w:vAlign w:val="bottom"/>
          </w:tcPr>
          <w:p w14:paraId="24ADA974" w14:textId="027F037D" w:rsidR="002B721C" w:rsidRPr="001D41EA" w:rsidRDefault="002B721C" w:rsidP="001D41EA">
            <w:pPr>
              <w:spacing w:before="40" w:after="40"/>
              <w:jc w:val="center"/>
              <w:rPr>
                <w:rFonts w:cs="Arial"/>
                <w:sz w:val="18"/>
                <w:szCs w:val="18"/>
              </w:rPr>
            </w:pPr>
            <w:r w:rsidRPr="001D41EA">
              <w:rPr>
                <w:rFonts w:cs="Arial"/>
                <w:sz w:val="18"/>
                <w:szCs w:val="18"/>
              </w:rPr>
              <w:t>0.969</w:t>
            </w:r>
          </w:p>
        </w:tc>
        <w:tc>
          <w:tcPr>
            <w:tcW w:w="1361" w:type="dxa"/>
            <w:tcBorders>
              <w:top w:val="nil"/>
              <w:left w:val="nil"/>
              <w:bottom w:val="nil"/>
              <w:right w:val="nil"/>
            </w:tcBorders>
            <w:vAlign w:val="bottom"/>
          </w:tcPr>
          <w:p w14:paraId="354A8ED9" w14:textId="5DB5861C" w:rsidR="002B721C" w:rsidRPr="001D41EA" w:rsidRDefault="002B721C" w:rsidP="001D41EA">
            <w:pPr>
              <w:spacing w:before="40" w:after="40"/>
              <w:jc w:val="center"/>
              <w:rPr>
                <w:rFonts w:cs="Arial"/>
                <w:sz w:val="18"/>
                <w:szCs w:val="18"/>
              </w:rPr>
            </w:pPr>
            <w:r w:rsidRPr="001D41EA">
              <w:rPr>
                <w:rFonts w:cs="Arial"/>
                <w:sz w:val="18"/>
                <w:szCs w:val="18"/>
              </w:rPr>
              <w:t>0.812</w:t>
            </w:r>
          </w:p>
        </w:tc>
        <w:tc>
          <w:tcPr>
            <w:tcW w:w="1361" w:type="dxa"/>
            <w:tcBorders>
              <w:top w:val="nil"/>
              <w:left w:val="nil"/>
              <w:bottom w:val="nil"/>
              <w:right w:val="nil"/>
            </w:tcBorders>
            <w:shd w:val="clear" w:color="auto" w:fill="auto"/>
            <w:vAlign w:val="bottom"/>
          </w:tcPr>
          <w:p w14:paraId="0856EE28" w14:textId="17E6C6C1" w:rsidR="002B721C" w:rsidRPr="001D41EA" w:rsidRDefault="002B721C" w:rsidP="001D41EA">
            <w:pPr>
              <w:spacing w:before="40" w:after="40"/>
              <w:jc w:val="center"/>
              <w:rPr>
                <w:rFonts w:cs="Arial"/>
                <w:sz w:val="18"/>
                <w:szCs w:val="18"/>
              </w:rPr>
            </w:pPr>
            <w:r w:rsidRPr="001D41EA">
              <w:rPr>
                <w:rFonts w:cs="Arial"/>
                <w:sz w:val="18"/>
                <w:szCs w:val="18"/>
              </w:rPr>
              <w:t>1.130</w:t>
            </w:r>
          </w:p>
        </w:tc>
      </w:tr>
      <w:tr w:rsidR="002B721C" w:rsidRPr="001D41EA" w14:paraId="2225E8B4"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23A770" w14:textId="77777777" w:rsidR="002B721C" w:rsidRPr="001D41EA" w:rsidRDefault="002B721C" w:rsidP="001D41EA">
            <w:pPr>
              <w:spacing w:before="40" w:after="40"/>
              <w:rPr>
                <w:rFonts w:cs="Arial"/>
                <w:sz w:val="18"/>
                <w:szCs w:val="18"/>
              </w:rPr>
            </w:pPr>
            <w:r w:rsidRPr="001D41EA">
              <w:rPr>
                <w:rFonts w:cs="Arial"/>
                <w:sz w:val="18"/>
                <w:szCs w:val="18"/>
              </w:rPr>
              <w:t>Loddon S</w:t>
            </w:r>
          </w:p>
        </w:tc>
        <w:tc>
          <w:tcPr>
            <w:tcW w:w="1361" w:type="dxa"/>
            <w:tcBorders>
              <w:top w:val="nil"/>
              <w:left w:val="single" w:sz="18" w:space="0" w:color="5F497A" w:themeColor="accent4" w:themeShade="BF"/>
              <w:bottom w:val="nil"/>
              <w:right w:val="nil"/>
            </w:tcBorders>
            <w:shd w:val="clear" w:color="auto" w:fill="auto"/>
            <w:vAlign w:val="bottom"/>
          </w:tcPr>
          <w:p w14:paraId="09DB2153" w14:textId="0B6397C8" w:rsidR="002B721C" w:rsidRPr="001D41EA" w:rsidRDefault="002B721C" w:rsidP="001D41EA">
            <w:pPr>
              <w:spacing w:before="40" w:after="40"/>
              <w:jc w:val="center"/>
              <w:rPr>
                <w:rFonts w:cs="Arial"/>
                <w:sz w:val="18"/>
                <w:szCs w:val="18"/>
              </w:rPr>
            </w:pPr>
            <w:r w:rsidRPr="001D41EA">
              <w:rPr>
                <w:rFonts w:cs="Arial"/>
                <w:sz w:val="18"/>
                <w:szCs w:val="18"/>
              </w:rPr>
              <w:t>0.793</w:t>
            </w:r>
          </w:p>
        </w:tc>
        <w:tc>
          <w:tcPr>
            <w:tcW w:w="1361" w:type="dxa"/>
            <w:tcBorders>
              <w:top w:val="nil"/>
              <w:left w:val="nil"/>
              <w:bottom w:val="nil"/>
              <w:right w:val="nil"/>
            </w:tcBorders>
            <w:shd w:val="clear" w:color="auto" w:fill="auto"/>
            <w:vAlign w:val="bottom"/>
          </w:tcPr>
          <w:p w14:paraId="369A1205" w14:textId="06C299F1" w:rsidR="002B721C" w:rsidRPr="001D41EA" w:rsidRDefault="002B721C" w:rsidP="001D41EA">
            <w:pPr>
              <w:spacing w:before="40" w:after="40"/>
              <w:jc w:val="center"/>
              <w:rPr>
                <w:rFonts w:cs="Arial"/>
                <w:sz w:val="18"/>
                <w:szCs w:val="18"/>
              </w:rPr>
            </w:pPr>
            <w:r w:rsidRPr="001D41EA">
              <w:rPr>
                <w:rFonts w:cs="Arial"/>
                <w:sz w:val="18"/>
                <w:szCs w:val="18"/>
              </w:rPr>
              <w:t>0.793</w:t>
            </w:r>
          </w:p>
        </w:tc>
        <w:tc>
          <w:tcPr>
            <w:tcW w:w="1361" w:type="dxa"/>
            <w:tcBorders>
              <w:top w:val="nil"/>
              <w:left w:val="nil"/>
              <w:bottom w:val="nil"/>
              <w:right w:val="nil"/>
            </w:tcBorders>
            <w:vAlign w:val="bottom"/>
          </w:tcPr>
          <w:p w14:paraId="4FB2225F" w14:textId="7298748F" w:rsidR="002B721C" w:rsidRPr="001D41EA" w:rsidRDefault="002B721C" w:rsidP="001D41EA">
            <w:pPr>
              <w:spacing w:before="40" w:after="40"/>
              <w:jc w:val="center"/>
              <w:rPr>
                <w:rFonts w:cs="Arial"/>
                <w:sz w:val="18"/>
                <w:szCs w:val="18"/>
              </w:rPr>
            </w:pPr>
            <w:r w:rsidRPr="001D41EA">
              <w:rPr>
                <w:rFonts w:cs="Arial"/>
                <w:sz w:val="18"/>
                <w:szCs w:val="18"/>
              </w:rPr>
              <w:t>1.075</w:t>
            </w:r>
          </w:p>
        </w:tc>
        <w:tc>
          <w:tcPr>
            <w:tcW w:w="1361" w:type="dxa"/>
            <w:tcBorders>
              <w:top w:val="nil"/>
              <w:left w:val="nil"/>
              <w:bottom w:val="nil"/>
              <w:right w:val="nil"/>
            </w:tcBorders>
            <w:vAlign w:val="bottom"/>
          </w:tcPr>
          <w:p w14:paraId="7FDD7BE3" w14:textId="5DBC9320" w:rsidR="002B721C" w:rsidRPr="001D41EA" w:rsidRDefault="002B721C" w:rsidP="001D41EA">
            <w:pPr>
              <w:spacing w:before="40" w:after="40"/>
              <w:jc w:val="center"/>
              <w:rPr>
                <w:rFonts w:cs="Arial"/>
                <w:sz w:val="18"/>
                <w:szCs w:val="18"/>
              </w:rPr>
            </w:pPr>
            <w:r w:rsidRPr="001D41EA">
              <w:rPr>
                <w:rFonts w:cs="Arial"/>
                <w:sz w:val="18"/>
                <w:szCs w:val="18"/>
              </w:rPr>
              <w:t>0.784</w:t>
            </w:r>
          </w:p>
        </w:tc>
        <w:tc>
          <w:tcPr>
            <w:tcW w:w="1361" w:type="dxa"/>
            <w:tcBorders>
              <w:top w:val="nil"/>
              <w:left w:val="nil"/>
              <w:bottom w:val="nil"/>
              <w:right w:val="nil"/>
            </w:tcBorders>
            <w:shd w:val="clear" w:color="auto" w:fill="auto"/>
            <w:vAlign w:val="bottom"/>
          </w:tcPr>
          <w:p w14:paraId="6EE6AA73" w14:textId="26651229" w:rsidR="002B721C" w:rsidRPr="001D41EA" w:rsidRDefault="002B721C" w:rsidP="001D41EA">
            <w:pPr>
              <w:spacing w:before="40" w:after="40"/>
              <w:jc w:val="center"/>
              <w:rPr>
                <w:rFonts w:cs="Arial"/>
                <w:sz w:val="18"/>
                <w:szCs w:val="18"/>
              </w:rPr>
            </w:pPr>
            <w:r w:rsidRPr="001D41EA">
              <w:rPr>
                <w:rFonts w:cs="Arial"/>
                <w:sz w:val="18"/>
                <w:szCs w:val="18"/>
              </w:rPr>
              <w:t>0.759</w:t>
            </w:r>
          </w:p>
        </w:tc>
      </w:tr>
    </w:tbl>
    <w:p w14:paraId="235CFCA9" w14:textId="77777777" w:rsidR="00D67755" w:rsidRPr="00A44829" w:rsidRDefault="00D67755" w:rsidP="00FF36E8">
      <w:pPr>
        <w:spacing w:before="40" w:after="20"/>
        <w:rPr>
          <w:rFonts w:cs="Arial"/>
          <w:sz w:val="18"/>
          <w:szCs w:val="18"/>
        </w:rPr>
      </w:pPr>
    </w:p>
    <w:p w14:paraId="4155ACDF" w14:textId="77777777" w:rsidR="00D67755" w:rsidRPr="00A44829" w:rsidRDefault="00D67755" w:rsidP="00FF36E8">
      <w:pPr>
        <w:spacing w:before="40" w:after="20"/>
        <w:rPr>
          <w:rFonts w:cs="Arial"/>
          <w:sz w:val="18"/>
          <w:szCs w:val="18"/>
        </w:rPr>
      </w:pPr>
      <w:r w:rsidRPr="00A44829">
        <w:rPr>
          <w:rFonts w:cs="Arial"/>
          <w:sz w:val="18"/>
          <w:szCs w:val="18"/>
        </w:rPr>
        <w:br w:type="page"/>
      </w:r>
    </w:p>
    <w:p w14:paraId="0ED5B9D0" w14:textId="26726D29" w:rsidR="00FE4C8F" w:rsidRPr="00A44829" w:rsidRDefault="00EE4593" w:rsidP="00C33713">
      <w:pPr>
        <w:pStyle w:val="VGC-Head10"/>
      </w:pPr>
      <w:r w:rsidRPr="00A44829">
        <w:lastRenderedPageBreak/>
        <w:t>2019-20</w:t>
      </w:r>
      <w:r w:rsidR="00A97ABE" w:rsidRPr="00A44829">
        <w:t xml:space="preserve"> </w:t>
      </w:r>
      <w:r w:rsidR="00FE4C8F" w:rsidRPr="00A44829">
        <w:t>General Purpose Grants</w:t>
      </w:r>
      <w:r w:rsidR="00CE4507" w:rsidRPr="00A44829">
        <w:tab/>
        <w:t>Appendix 4</w:t>
      </w:r>
    </w:p>
    <w:p w14:paraId="38460906" w14:textId="673E6A0A" w:rsidR="00FE4C8F" w:rsidRPr="00A44829" w:rsidRDefault="004F1184" w:rsidP="008C1A28">
      <w:pPr>
        <w:pStyle w:val="VGC-Head2"/>
      </w:pPr>
      <w:r w:rsidRPr="00A44829">
        <w:tab/>
      </w:r>
      <w:r w:rsidR="00FE4C8F" w:rsidRPr="00A44829">
        <w:t xml:space="preserve">H.  Revenue Adjustors – </w:t>
      </w:r>
      <w:r w:rsidR="002A2397">
        <w:t>Index</w:t>
      </w:r>
    </w:p>
    <w:p w14:paraId="71D50850" w14:textId="77777777" w:rsidR="00FE4C8F" w:rsidRPr="00A44829" w:rsidRDefault="00FE4C8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5B58BE" w:rsidRPr="00A44829" w14:paraId="223ACA23"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14ACDCCD" w14:textId="77777777" w:rsidR="005B58BE" w:rsidRPr="00A44829" w:rsidRDefault="005B58BE" w:rsidP="005B58BE">
            <w:pPr>
              <w:spacing w:before="40" w:after="20"/>
              <w:jc w:val="center"/>
              <w:rPr>
                <w:rFonts w:cs="Arial"/>
                <w:sz w:val="18"/>
                <w:szCs w:val="18"/>
              </w:rPr>
            </w:pPr>
          </w:p>
        </w:tc>
        <w:tc>
          <w:tcPr>
            <w:tcW w:w="1361" w:type="dxa"/>
            <w:tcBorders>
              <w:left w:val="single" w:sz="18" w:space="0" w:color="5F497A" w:themeColor="accent4" w:themeShade="BF"/>
              <w:bottom w:val="single" w:sz="8" w:space="0" w:color="5F497A" w:themeColor="accent4" w:themeShade="BF"/>
            </w:tcBorders>
            <w:shd w:val="clear" w:color="auto" w:fill="auto"/>
            <w:vAlign w:val="bottom"/>
          </w:tcPr>
          <w:p w14:paraId="469F6223" w14:textId="67FB0304" w:rsidR="005B58BE" w:rsidRPr="00A44829" w:rsidRDefault="005B58BE" w:rsidP="005B58BE">
            <w:pPr>
              <w:spacing w:before="40" w:after="20"/>
              <w:jc w:val="center"/>
              <w:rPr>
                <w:rFonts w:cs="Arial"/>
                <w:sz w:val="18"/>
                <w:szCs w:val="18"/>
              </w:rPr>
            </w:pPr>
            <w:r w:rsidRPr="00A44829">
              <w:rPr>
                <w:rFonts w:cs="Arial"/>
                <w:b/>
                <w:sz w:val="18"/>
                <w:szCs w:val="18"/>
              </w:rPr>
              <w:t xml:space="preserve">Median Household Income </w:t>
            </w:r>
            <w:r w:rsidRPr="00A44829">
              <w:rPr>
                <w:rFonts w:cs="Arial"/>
                <w:b/>
                <w:sz w:val="18"/>
                <w:szCs w:val="18"/>
              </w:rPr>
              <w:br/>
              <w:t xml:space="preserve">(60+) </w:t>
            </w:r>
          </w:p>
        </w:tc>
        <w:tc>
          <w:tcPr>
            <w:tcW w:w="1361" w:type="dxa"/>
            <w:tcBorders>
              <w:bottom w:val="single" w:sz="8" w:space="0" w:color="5F497A" w:themeColor="accent4" w:themeShade="BF"/>
            </w:tcBorders>
            <w:shd w:val="clear" w:color="auto" w:fill="auto"/>
            <w:vAlign w:val="bottom"/>
          </w:tcPr>
          <w:p w14:paraId="6B84C55C" w14:textId="262A2DEE" w:rsidR="005B58BE" w:rsidRPr="00A44829" w:rsidRDefault="005B58BE" w:rsidP="005B58BE">
            <w:pPr>
              <w:spacing w:before="40" w:after="20"/>
              <w:jc w:val="center"/>
              <w:rPr>
                <w:rFonts w:cs="Arial"/>
                <w:sz w:val="18"/>
                <w:szCs w:val="18"/>
              </w:rPr>
            </w:pPr>
            <w:r w:rsidRPr="00A44829">
              <w:rPr>
                <w:rFonts w:cs="Arial"/>
                <w:b/>
                <w:sz w:val="18"/>
                <w:szCs w:val="18"/>
              </w:rPr>
              <w:t xml:space="preserve">Socio-Economic </w:t>
            </w:r>
            <w:r w:rsidRPr="00A44829">
              <w:rPr>
                <w:rFonts w:cs="Arial"/>
                <w:b/>
                <w:spacing w:val="-4"/>
                <w:sz w:val="18"/>
                <w:szCs w:val="18"/>
              </w:rPr>
              <w:t>Disadvantage</w:t>
            </w:r>
          </w:p>
        </w:tc>
        <w:tc>
          <w:tcPr>
            <w:tcW w:w="1361" w:type="dxa"/>
            <w:tcBorders>
              <w:bottom w:val="single" w:sz="8" w:space="0" w:color="5F497A" w:themeColor="accent4" w:themeShade="BF"/>
            </w:tcBorders>
            <w:vAlign w:val="bottom"/>
          </w:tcPr>
          <w:p w14:paraId="5F9442CC" w14:textId="58E0D019" w:rsidR="005B58BE" w:rsidRPr="00A44829" w:rsidRDefault="005B58BE" w:rsidP="005B58BE">
            <w:pPr>
              <w:spacing w:before="40" w:after="20"/>
              <w:jc w:val="center"/>
              <w:rPr>
                <w:rFonts w:cs="Arial"/>
                <w:sz w:val="18"/>
                <w:szCs w:val="18"/>
              </w:rPr>
            </w:pPr>
            <w:r w:rsidRPr="00A44829">
              <w:rPr>
                <w:rFonts w:cs="Arial"/>
                <w:b/>
                <w:sz w:val="18"/>
                <w:szCs w:val="18"/>
              </w:rPr>
              <w:t xml:space="preserve">Tourism </w:t>
            </w:r>
          </w:p>
        </w:tc>
        <w:tc>
          <w:tcPr>
            <w:tcW w:w="1361" w:type="dxa"/>
            <w:tcBorders>
              <w:bottom w:val="single" w:sz="8" w:space="0" w:color="5F497A" w:themeColor="accent4" w:themeShade="BF"/>
            </w:tcBorders>
            <w:vAlign w:val="bottom"/>
          </w:tcPr>
          <w:p w14:paraId="55D366FF" w14:textId="595371F9" w:rsidR="005B58BE" w:rsidRPr="00A44829" w:rsidRDefault="005B58BE" w:rsidP="005B58BE">
            <w:pPr>
              <w:spacing w:before="40" w:after="20"/>
              <w:jc w:val="center"/>
              <w:rPr>
                <w:rFonts w:cs="Arial"/>
                <w:sz w:val="18"/>
                <w:szCs w:val="18"/>
              </w:rPr>
            </w:pPr>
            <w:r w:rsidRPr="00A44829">
              <w:rPr>
                <w:rFonts w:cs="Arial"/>
                <w:b/>
                <w:sz w:val="18"/>
                <w:szCs w:val="18"/>
              </w:rPr>
              <w:t xml:space="preserve">Value of Building Approvals </w:t>
            </w:r>
          </w:p>
        </w:tc>
        <w:tc>
          <w:tcPr>
            <w:tcW w:w="1361" w:type="dxa"/>
            <w:tcBorders>
              <w:bottom w:val="single" w:sz="8" w:space="0" w:color="5F497A" w:themeColor="accent4" w:themeShade="BF"/>
            </w:tcBorders>
            <w:shd w:val="clear" w:color="auto" w:fill="auto"/>
            <w:vAlign w:val="bottom"/>
          </w:tcPr>
          <w:p w14:paraId="2A232B24" w14:textId="7D3B90B9" w:rsidR="005B58BE" w:rsidRPr="00A44829" w:rsidRDefault="005B58BE" w:rsidP="005B58BE">
            <w:pPr>
              <w:spacing w:before="40" w:after="20"/>
              <w:jc w:val="center"/>
              <w:rPr>
                <w:rFonts w:cs="Arial"/>
                <w:b/>
                <w:sz w:val="18"/>
                <w:szCs w:val="18"/>
              </w:rPr>
            </w:pPr>
            <w:r w:rsidRPr="00A44829">
              <w:rPr>
                <w:rFonts w:cs="Arial"/>
                <w:b/>
                <w:sz w:val="18"/>
                <w:szCs w:val="18"/>
              </w:rPr>
              <w:t xml:space="preserve">Valuations </w:t>
            </w:r>
            <w:r>
              <w:rPr>
                <w:rFonts w:cs="Arial"/>
                <w:b/>
                <w:sz w:val="18"/>
                <w:szCs w:val="18"/>
              </w:rPr>
              <w:t>(</w:t>
            </w:r>
            <w:r w:rsidRPr="00A44829">
              <w:rPr>
                <w:rFonts w:cs="Arial"/>
                <w:b/>
                <w:sz w:val="18"/>
                <w:szCs w:val="18"/>
              </w:rPr>
              <w:t>Commercial</w:t>
            </w:r>
            <w:r>
              <w:rPr>
                <w:rFonts w:cs="Arial"/>
                <w:b/>
                <w:sz w:val="18"/>
                <w:szCs w:val="18"/>
              </w:rPr>
              <w:t>)</w:t>
            </w:r>
            <w:r w:rsidRPr="00A44829">
              <w:rPr>
                <w:rFonts w:cs="Arial"/>
                <w:b/>
                <w:sz w:val="18"/>
                <w:szCs w:val="18"/>
              </w:rPr>
              <w:t xml:space="preserve"> </w:t>
            </w:r>
          </w:p>
        </w:tc>
      </w:tr>
      <w:tr w:rsidR="009F0AF7" w:rsidRPr="001D41EA" w14:paraId="039592FD" w14:textId="77777777" w:rsidTr="00B44BBE">
        <w:trPr>
          <w:trHeight w:val="240"/>
          <w:tblHeader/>
        </w:trPr>
        <w:tc>
          <w:tcPr>
            <w:tcW w:w="2268" w:type="dxa"/>
            <w:tcBorders>
              <w:left w:val="nil"/>
              <w:bottom w:val="nil"/>
              <w:right w:val="single" w:sz="18" w:space="0" w:color="5F497A" w:themeColor="accent4" w:themeShade="BF"/>
            </w:tcBorders>
            <w:shd w:val="clear" w:color="auto" w:fill="auto"/>
            <w:vAlign w:val="center"/>
          </w:tcPr>
          <w:p w14:paraId="4469742F" w14:textId="77777777" w:rsidR="009F0AF7" w:rsidRPr="001D41EA" w:rsidRDefault="009F0AF7" w:rsidP="001D41EA">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C9B1641" w14:textId="2E62BF88" w:rsidR="009F0AF7" w:rsidRPr="001D41EA" w:rsidRDefault="009F0AF7" w:rsidP="001D41EA">
            <w:pPr>
              <w:spacing w:before="40" w:after="20"/>
              <w:jc w:val="center"/>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04B173AA" w14:textId="77777777" w:rsidR="009F0AF7" w:rsidRPr="001D41EA" w:rsidRDefault="009F0AF7" w:rsidP="001D41EA">
            <w:pPr>
              <w:spacing w:before="40" w:after="20"/>
              <w:jc w:val="center"/>
              <w:rPr>
                <w:rFonts w:cs="Arial"/>
                <w:sz w:val="18"/>
                <w:szCs w:val="18"/>
              </w:rPr>
            </w:pPr>
          </w:p>
        </w:tc>
        <w:tc>
          <w:tcPr>
            <w:tcW w:w="1361" w:type="dxa"/>
            <w:tcBorders>
              <w:top w:val="single" w:sz="8" w:space="0" w:color="5F497A" w:themeColor="accent4" w:themeShade="BF"/>
              <w:left w:val="nil"/>
              <w:bottom w:val="nil"/>
              <w:right w:val="nil"/>
            </w:tcBorders>
            <w:vAlign w:val="bottom"/>
          </w:tcPr>
          <w:p w14:paraId="26AEEF24" w14:textId="77777777" w:rsidR="009F0AF7" w:rsidRPr="001D41EA" w:rsidRDefault="009F0AF7" w:rsidP="001D41EA">
            <w:pPr>
              <w:spacing w:before="40" w:after="20"/>
              <w:jc w:val="center"/>
              <w:rPr>
                <w:rFonts w:cs="Arial"/>
                <w:sz w:val="18"/>
                <w:szCs w:val="18"/>
              </w:rPr>
            </w:pPr>
          </w:p>
        </w:tc>
        <w:tc>
          <w:tcPr>
            <w:tcW w:w="1361" w:type="dxa"/>
            <w:tcBorders>
              <w:top w:val="single" w:sz="8" w:space="0" w:color="5F497A" w:themeColor="accent4" w:themeShade="BF"/>
              <w:left w:val="nil"/>
              <w:bottom w:val="nil"/>
              <w:right w:val="nil"/>
            </w:tcBorders>
            <w:vAlign w:val="bottom"/>
          </w:tcPr>
          <w:p w14:paraId="2018FC44" w14:textId="77777777" w:rsidR="009F0AF7" w:rsidRPr="001D41EA" w:rsidRDefault="009F0AF7" w:rsidP="001D41EA">
            <w:pPr>
              <w:spacing w:before="40" w:after="20"/>
              <w:jc w:val="center"/>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79927B6A" w14:textId="1D5A8C1D" w:rsidR="009F0AF7" w:rsidRPr="001D41EA" w:rsidRDefault="009F0AF7" w:rsidP="001D41EA">
            <w:pPr>
              <w:spacing w:before="40" w:after="20"/>
              <w:jc w:val="center"/>
              <w:rPr>
                <w:rFonts w:cs="Arial"/>
                <w:sz w:val="18"/>
                <w:szCs w:val="18"/>
              </w:rPr>
            </w:pPr>
          </w:p>
        </w:tc>
      </w:tr>
      <w:tr w:rsidR="009F0AF7" w:rsidRPr="001D41EA" w14:paraId="4A36C707"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C34A298" w14:textId="77777777" w:rsidR="009F0AF7" w:rsidRPr="001D41EA" w:rsidRDefault="009F0AF7" w:rsidP="001D41EA">
            <w:pPr>
              <w:spacing w:before="40" w:after="20"/>
              <w:rPr>
                <w:rFonts w:cs="Arial"/>
                <w:sz w:val="18"/>
                <w:szCs w:val="18"/>
              </w:rPr>
            </w:pPr>
            <w:r w:rsidRPr="001D41EA">
              <w:rPr>
                <w:rFonts w:cs="Arial"/>
                <w:sz w:val="18"/>
                <w:szCs w:val="18"/>
              </w:rPr>
              <w:t>Macedon Ranges S</w:t>
            </w:r>
          </w:p>
        </w:tc>
        <w:tc>
          <w:tcPr>
            <w:tcW w:w="1361" w:type="dxa"/>
            <w:tcBorders>
              <w:top w:val="nil"/>
              <w:left w:val="single" w:sz="18" w:space="0" w:color="5F497A" w:themeColor="accent4" w:themeShade="BF"/>
              <w:bottom w:val="nil"/>
              <w:right w:val="nil"/>
            </w:tcBorders>
            <w:shd w:val="clear" w:color="auto" w:fill="auto"/>
            <w:vAlign w:val="bottom"/>
          </w:tcPr>
          <w:p w14:paraId="2A4E5AEA" w14:textId="5297BFBF" w:rsidR="009F0AF7" w:rsidRPr="001D41EA" w:rsidRDefault="009F0AF7" w:rsidP="001D41EA">
            <w:pPr>
              <w:spacing w:before="40" w:after="20"/>
              <w:jc w:val="center"/>
              <w:rPr>
                <w:rFonts w:cs="Arial"/>
                <w:sz w:val="18"/>
                <w:szCs w:val="18"/>
              </w:rPr>
            </w:pPr>
            <w:r w:rsidRPr="001D41EA">
              <w:rPr>
                <w:rFonts w:cs="Arial"/>
                <w:sz w:val="18"/>
                <w:szCs w:val="18"/>
              </w:rPr>
              <w:t>1.083</w:t>
            </w:r>
          </w:p>
        </w:tc>
        <w:tc>
          <w:tcPr>
            <w:tcW w:w="1361" w:type="dxa"/>
            <w:tcBorders>
              <w:top w:val="nil"/>
              <w:left w:val="nil"/>
              <w:bottom w:val="nil"/>
              <w:right w:val="nil"/>
            </w:tcBorders>
            <w:shd w:val="clear" w:color="auto" w:fill="auto"/>
            <w:vAlign w:val="bottom"/>
          </w:tcPr>
          <w:p w14:paraId="1B02979B" w14:textId="22A3EE10" w:rsidR="009F0AF7" w:rsidRPr="001D41EA" w:rsidRDefault="009F0AF7" w:rsidP="001D41EA">
            <w:pPr>
              <w:spacing w:before="40" w:after="20"/>
              <w:jc w:val="center"/>
              <w:rPr>
                <w:rFonts w:cs="Arial"/>
                <w:sz w:val="18"/>
                <w:szCs w:val="18"/>
              </w:rPr>
            </w:pPr>
            <w:r w:rsidRPr="001D41EA">
              <w:rPr>
                <w:rFonts w:cs="Arial"/>
                <w:sz w:val="18"/>
                <w:szCs w:val="18"/>
              </w:rPr>
              <w:t>1.149</w:t>
            </w:r>
          </w:p>
        </w:tc>
        <w:tc>
          <w:tcPr>
            <w:tcW w:w="1361" w:type="dxa"/>
            <w:tcBorders>
              <w:top w:val="nil"/>
              <w:left w:val="nil"/>
              <w:bottom w:val="nil"/>
              <w:right w:val="nil"/>
            </w:tcBorders>
            <w:vAlign w:val="bottom"/>
          </w:tcPr>
          <w:p w14:paraId="4D7ECB8E" w14:textId="05F0A6F8" w:rsidR="009F0AF7" w:rsidRPr="001D41EA" w:rsidRDefault="009F0AF7" w:rsidP="001D41EA">
            <w:pPr>
              <w:spacing w:before="40" w:after="20"/>
              <w:jc w:val="center"/>
              <w:rPr>
                <w:rFonts w:cs="Arial"/>
                <w:sz w:val="18"/>
                <w:szCs w:val="18"/>
              </w:rPr>
            </w:pPr>
            <w:r w:rsidRPr="001D41EA">
              <w:rPr>
                <w:rFonts w:cs="Arial"/>
                <w:sz w:val="18"/>
                <w:szCs w:val="18"/>
              </w:rPr>
              <w:t>1.032</w:t>
            </w:r>
          </w:p>
        </w:tc>
        <w:tc>
          <w:tcPr>
            <w:tcW w:w="1361" w:type="dxa"/>
            <w:tcBorders>
              <w:top w:val="nil"/>
              <w:left w:val="nil"/>
              <w:bottom w:val="nil"/>
              <w:right w:val="nil"/>
            </w:tcBorders>
            <w:vAlign w:val="bottom"/>
          </w:tcPr>
          <w:p w14:paraId="1453F3E9" w14:textId="7C4232AF" w:rsidR="009F0AF7" w:rsidRPr="001D41EA" w:rsidRDefault="009F0AF7" w:rsidP="001D41EA">
            <w:pPr>
              <w:spacing w:before="40" w:after="20"/>
              <w:jc w:val="center"/>
              <w:rPr>
                <w:rFonts w:cs="Arial"/>
                <w:sz w:val="18"/>
                <w:szCs w:val="18"/>
              </w:rPr>
            </w:pPr>
            <w:r w:rsidRPr="001D41EA">
              <w:rPr>
                <w:rFonts w:cs="Arial"/>
                <w:sz w:val="18"/>
                <w:szCs w:val="18"/>
              </w:rPr>
              <w:t>0.938</w:t>
            </w:r>
          </w:p>
        </w:tc>
        <w:tc>
          <w:tcPr>
            <w:tcW w:w="1361" w:type="dxa"/>
            <w:tcBorders>
              <w:top w:val="nil"/>
              <w:left w:val="nil"/>
              <w:bottom w:val="nil"/>
              <w:right w:val="nil"/>
            </w:tcBorders>
            <w:shd w:val="clear" w:color="auto" w:fill="auto"/>
            <w:vAlign w:val="bottom"/>
          </w:tcPr>
          <w:p w14:paraId="73C0E5A4" w14:textId="129F656E" w:rsidR="009F0AF7" w:rsidRPr="001D41EA" w:rsidRDefault="009F0AF7" w:rsidP="001D41EA">
            <w:pPr>
              <w:spacing w:before="40" w:after="20"/>
              <w:jc w:val="center"/>
              <w:rPr>
                <w:rFonts w:cs="Arial"/>
                <w:sz w:val="18"/>
                <w:szCs w:val="18"/>
              </w:rPr>
            </w:pPr>
            <w:r w:rsidRPr="001D41EA">
              <w:rPr>
                <w:rFonts w:cs="Arial"/>
                <w:sz w:val="18"/>
                <w:szCs w:val="18"/>
              </w:rPr>
              <w:t>0.881</w:t>
            </w:r>
          </w:p>
        </w:tc>
      </w:tr>
      <w:tr w:rsidR="009F0AF7" w:rsidRPr="001D41EA" w14:paraId="669FE170"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27E3A86" w14:textId="77777777" w:rsidR="009F0AF7" w:rsidRPr="001D41EA" w:rsidRDefault="009F0AF7" w:rsidP="001D41EA">
            <w:pPr>
              <w:spacing w:before="40" w:after="20"/>
              <w:rPr>
                <w:rFonts w:cs="Arial"/>
                <w:sz w:val="18"/>
                <w:szCs w:val="18"/>
              </w:rPr>
            </w:pPr>
            <w:r w:rsidRPr="001D41EA">
              <w:rPr>
                <w:rFonts w:cs="Arial"/>
                <w:sz w:val="18"/>
                <w:szCs w:val="18"/>
              </w:rPr>
              <w:t>Manningham C</w:t>
            </w:r>
          </w:p>
        </w:tc>
        <w:tc>
          <w:tcPr>
            <w:tcW w:w="1361" w:type="dxa"/>
            <w:tcBorders>
              <w:top w:val="nil"/>
              <w:left w:val="single" w:sz="18" w:space="0" w:color="5F497A" w:themeColor="accent4" w:themeShade="BF"/>
              <w:bottom w:val="nil"/>
              <w:right w:val="nil"/>
            </w:tcBorders>
            <w:shd w:val="clear" w:color="auto" w:fill="auto"/>
            <w:vAlign w:val="bottom"/>
          </w:tcPr>
          <w:p w14:paraId="2F97FE7F" w14:textId="0802D833" w:rsidR="009F0AF7" w:rsidRPr="001D41EA" w:rsidRDefault="009F0AF7" w:rsidP="001D41EA">
            <w:pPr>
              <w:spacing w:before="40" w:after="20"/>
              <w:jc w:val="center"/>
              <w:rPr>
                <w:rFonts w:cs="Arial"/>
                <w:sz w:val="18"/>
                <w:szCs w:val="18"/>
              </w:rPr>
            </w:pPr>
            <w:r w:rsidRPr="001D41EA">
              <w:rPr>
                <w:rFonts w:cs="Arial"/>
                <w:sz w:val="18"/>
                <w:szCs w:val="18"/>
              </w:rPr>
              <w:t>1.182</w:t>
            </w:r>
          </w:p>
        </w:tc>
        <w:tc>
          <w:tcPr>
            <w:tcW w:w="1361" w:type="dxa"/>
            <w:tcBorders>
              <w:top w:val="nil"/>
              <w:left w:val="nil"/>
              <w:bottom w:val="nil"/>
              <w:right w:val="nil"/>
            </w:tcBorders>
            <w:shd w:val="clear" w:color="auto" w:fill="auto"/>
            <w:vAlign w:val="bottom"/>
          </w:tcPr>
          <w:p w14:paraId="750B237A" w14:textId="702CC895" w:rsidR="009F0AF7" w:rsidRPr="001D41EA" w:rsidRDefault="009F0AF7" w:rsidP="001D41EA">
            <w:pPr>
              <w:spacing w:before="40" w:after="20"/>
              <w:jc w:val="center"/>
              <w:rPr>
                <w:rFonts w:cs="Arial"/>
                <w:sz w:val="18"/>
                <w:szCs w:val="18"/>
              </w:rPr>
            </w:pPr>
            <w:r w:rsidRPr="001D41EA">
              <w:rPr>
                <w:rFonts w:cs="Arial"/>
                <w:sz w:val="18"/>
                <w:szCs w:val="18"/>
              </w:rPr>
              <w:t>1.167</w:t>
            </w:r>
          </w:p>
        </w:tc>
        <w:tc>
          <w:tcPr>
            <w:tcW w:w="1361" w:type="dxa"/>
            <w:tcBorders>
              <w:top w:val="nil"/>
              <w:left w:val="nil"/>
              <w:bottom w:val="nil"/>
              <w:right w:val="nil"/>
            </w:tcBorders>
            <w:vAlign w:val="bottom"/>
          </w:tcPr>
          <w:p w14:paraId="475CFB40" w14:textId="0117F4D8" w:rsidR="009F0AF7" w:rsidRPr="001D41EA" w:rsidRDefault="009F0AF7" w:rsidP="001D41EA">
            <w:pPr>
              <w:spacing w:before="40" w:after="20"/>
              <w:jc w:val="center"/>
              <w:rPr>
                <w:rFonts w:cs="Arial"/>
                <w:sz w:val="18"/>
                <w:szCs w:val="18"/>
              </w:rPr>
            </w:pPr>
            <w:r w:rsidRPr="001D41EA">
              <w:rPr>
                <w:rFonts w:cs="Arial"/>
                <w:sz w:val="18"/>
                <w:szCs w:val="18"/>
              </w:rPr>
              <w:t>0.922</w:t>
            </w:r>
          </w:p>
        </w:tc>
        <w:tc>
          <w:tcPr>
            <w:tcW w:w="1361" w:type="dxa"/>
            <w:tcBorders>
              <w:top w:val="nil"/>
              <w:left w:val="nil"/>
              <w:bottom w:val="nil"/>
              <w:right w:val="nil"/>
            </w:tcBorders>
            <w:vAlign w:val="bottom"/>
          </w:tcPr>
          <w:p w14:paraId="551FB0DF" w14:textId="0F18A790" w:rsidR="009F0AF7" w:rsidRPr="001D41EA" w:rsidRDefault="009F0AF7" w:rsidP="001D41EA">
            <w:pPr>
              <w:spacing w:before="40" w:after="20"/>
              <w:jc w:val="center"/>
              <w:rPr>
                <w:rFonts w:cs="Arial"/>
                <w:sz w:val="18"/>
                <w:szCs w:val="18"/>
              </w:rPr>
            </w:pPr>
            <w:r w:rsidRPr="001D41EA">
              <w:rPr>
                <w:rFonts w:cs="Arial"/>
                <w:sz w:val="18"/>
                <w:szCs w:val="18"/>
              </w:rPr>
              <w:t>1.015</w:t>
            </w:r>
          </w:p>
        </w:tc>
        <w:tc>
          <w:tcPr>
            <w:tcW w:w="1361" w:type="dxa"/>
            <w:tcBorders>
              <w:top w:val="nil"/>
              <w:left w:val="nil"/>
              <w:bottom w:val="nil"/>
              <w:right w:val="nil"/>
            </w:tcBorders>
            <w:shd w:val="clear" w:color="auto" w:fill="auto"/>
            <w:vAlign w:val="bottom"/>
          </w:tcPr>
          <w:p w14:paraId="3BD1470F" w14:textId="3FE0EF6B" w:rsidR="009F0AF7" w:rsidRPr="001D41EA" w:rsidRDefault="009F0AF7" w:rsidP="001D41EA">
            <w:pPr>
              <w:spacing w:before="40" w:after="20"/>
              <w:jc w:val="center"/>
              <w:rPr>
                <w:rFonts w:cs="Arial"/>
                <w:sz w:val="18"/>
                <w:szCs w:val="18"/>
              </w:rPr>
            </w:pPr>
            <w:r w:rsidRPr="001D41EA">
              <w:rPr>
                <w:rFonts w:cs="Arial"/>
                <w:sz w:val="18"/>
                <w:szCs w:val="18"/>
              </w:rPr>
              <w:t>0.935</w:t>
            </w:r>
          </w:p>
        </w:tc>
      </w:tr>
      <w:tr w:rsidR="009F0AF7" w:rsidRPr="001D41EA" w14:paraId="772D1266"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E988179" w14:textId="77777777" w:rsidR="009F0AF7" w:rsidRPr="001D41EA" w:rsidRDefault="009F0AF7" w:rsidP="001D41EA">
            <w:pPr>
              <w:spacing w:before="40" w:after="20"/>
              <w:rPr>
                <w:rFonts w:cs="Arial"/>
                <w:sz w:val="18"/>
                <w:szCs w:val="18"/>
              </w:rPr>
            </w:pPr>
            <w:r w:rsidRPr="001D41EA">
              <w:rPr>
                <w:rFonts w:cs="Arial"/>
                <w:sz w:val="18"/>
                <w:szCs w:val="18"/>
              </w:rPr>
              <w:t>Mansfield S</w:t>
            </w:r>
          </w:p>
        </w:tc>
        <w:tc>
          <w:tcPr>
            <w:tcW w:w="1361" w:type="dxa"/>
            <w:tcBorders>
              <w:top w:val="nil"/>
              <w:left w:val="single" w:sz="18" w:space="0" w:color="5F497A" w:themeColor="accent4" w:themeShade="BF"/>
              <w:bottom w:val="nil"/>
              <w:right w:val="nil"/>
            </w:tcBorders>
            <w:shd w:val="clear" w:color="auto" w:fill="auto"/>
            <w:vAlign w:val="bottom"/>
          </w:tcPr>
          <w:p w14:paraId="5BABB521" w14:textId="334DB260" w:rsidR="009F0AF7" w:rsidRPr="001D41EA" w:rsidRDefault="009F0AF7" w:rsidP="001D41EA">
            <w:pPr>
              <w:spacing w:before="40" w:after="20"/>
              <w:jc w:val="center"/>
              <w:rPr>
                <w:rFonts w:cs="Arial"/>
                <w:sz w:val="18"/>
                <w:szCs w:val="18"/>
              </w:rPr>
            </w:pPr>
            <w:r w:rsidRPr="001D41EA">
              <w:rPr>
                <w:rFonts w:cs="Arial"/>
                <w:sz w:val="18"/>
                <w:szCs w:val="18"/>
              </w:rPr>
              <w:t>0.831</w:t>
            </w:r>
          </w:p>
        </w:tc>
        <w:tc>
          <w:tcPr>
            <w:tcW w:w="1361" w:type="dxa"/>
            <w:tcBorders>
              <w:top w:val="nil"/>
              <w:left w:val="nil"/>
              <w:bottom w:val="nil"/>
              <w:right w:val="nil"/>
            </w:tcBorders>
            <w:shd w:val="clear" w:color="auto" w:fill="auto"/>
            <w:vAlign w:val="bottom"/>
          </w:tcPr>
          <w:p w14:paraId="65509957" w14:textId="46C0EE95" w:rsidR="009F0AF7" w:rsidRPr="001D41EA" w:rsidRDefault="009F0AF7" w:rsidP="001D41EA">
            <w:pPr>
              <w:spacing w:before="40" w:after="20"/>
              <w:jc w:val="center"/>
              <w:rPr>
                <w:rFonts w:cs="Arial"/>
                <w:sz w:val="18"/>
                <w:szCs w:val="18"/>
              </w:rPr>
            </w:pPr>
            <w:r w:rsidRPr="001D41EA">
              <w:rPr>
                <w:rFonts w:cs="Arial"/>
                <w:sz w:val="18"/>
                <w:szCs w:val="18"/>
              </w:rPr>
              <w:t>1.013</w:t>
            </w:r>
          </w:p>
        </w:tc>
        <w:tc>
          <w:tcPr>
            <w:tcW w:w="1361" w:type="dxa"/>
            <w:tcBorders>
              <w:top w:val="nil"/>
              <w:left w:val="nil"/>
              <w:bottom w:val="nil"/>
              <w:right w:val="nil"/>
            </w:tcBorders>
            <w:vAlign w:val="bottom"/>
          </w:tcPr>
          <w:p w14:paraId="60177D17" w14:textId="728D9E92" w:rsidR="009F0AF7" w:rsidRPr="001D41EA" w:rsidRDefault="009F0AF7" w:rsidP="001D41EA">
            <w:pPr>
              <w:spacing w:before="40" w:after="20"/>
              <w:jc w:val="center"/>
              <w:rPr>
                <w:rFonts w:cs="Arial"/>
                <w:sz w:val="18"/>
                <w:szCs w:val="18"/>
              </w:rPr>
            </w:pPr>
            <w:r w:rsidRPr="001D41EA">
              <w:rPr>
                <w:rFonts w:cs="Arial"/>
                <w:sz w:val="18"/>
                <w:szCs w:val="18"/>
              </w:rPr>
              <w:t>1.788</w:t>
            </w:r>
          </w:p>
        </w:tc>
        <w:tc>
          <w:tcPr>
            <w:tcW w:w="1361" w:type="dxa"/>
            <w:tcBorders>
              <w:top w:val="nil"/>
              <w:left w:val="nil"/>
              <w:bottom w:val="nil"/>
              <w:right w:val="nil"/>
            </w:tcBorders>
            <w:vAlign w:val="bottom"/>
          </w:tcPr>
          <w:p w14:paraId="0026B712" w14:textId="3E093C14" w:rsidR="009F0AF7" w:rsidRPr="001D41EA" w:rsidRDefault="009F0AF7" w:rsidP="001D41EA">
            <w:pPr>
              <w:spacing w:before="40" w:after="20"/>
              <w:jc w:val="center"/>
              <w:rPr>
                <w:rFonts w:cs="Arial"/>
                <w:sz w:val="18"/>
                <w:szCs w:val="18"/>
              </w:rPr>
            </w:pPr>
            <w:r w:rsidRPr="001D41EA">
              <w:rPr>
                <w:rFonts w:cs="Arial"/>
                <w:sz w:val="18"/>
                <w:szCs w:val="18"/>
              </w:rPr>
              <w:t>1.012</w:t>
            </w:r>
          </w:p>
        </w:tc>
        <w:tc>
          <w:tcPr>
            <w:tcW w:w="1361" w:type="dxa"/>
            <w:tcBorders>
              <w:top w:val="nil"/>
              <w:left w:val="nil"/>
              <w:bottom w:val="nil"/>
              <w:right w:val="nil"/>
            </w:tcBorders>
            <w:shd w:val="clear" w:color="auto" w:fill="auto"/>
            <w:vAlign w:val="bottom"/>
          </w:tcPr>
          <w:p w14:paraId="6849ED9A" w14:textId="03529A9E" w:rsidR="009F0AF7" w:rsidRPr="001D41EA" w:rsidRDefault="009F0AF7" w:rsidP="001D41EA">
            <w:pPr>
              <w:spacing w:before="40" w:after="20"/>
              <w:jc w:val="center"/>
              <w:rPr>
                <w:rFonts w:cs="Arial"/>
                <w:sz w:val="18"/>
                <w:szCs w:val="18"/>
              </w:rPr>
            </w:pPr>
            <w:r w:rsidRPr="001D41EA">
              <w:rPr>
                <w:rFonts w:cs="Arial"/>
                <w:sz w:val="18"/>
                <w:szCs w:val="18"/>
              </w:rPr>
              <w:t>0.898</w:t>
            </w:r>
          </w:p>
        </w:tc>
      </w:tr>
      <w:tr w:rsidR="009F0AF7" w:rsidRPr="001D41EA" w14:paraId="25ADD68A"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727B909" w14:textId="77777777" w:rsidR="009F0AF7" w:rsidRPr="001D41EA" w:rsidRDefault="009F0AF7" w:rsidP="001D41EA">
            <w:pPr>
              <w:spacing w:before="40" w:after="20"/>
              <w:rPr>
                <w:rFonts w:cs="Arial"/>
                <w:sz w:val="18"/>
                <w:szCs w:val="18"/>
              </w:rPr>
            </w:pPr>
            <w:r w:rsidRPr="001D41EA">
              <w:rPr>
                <w:rFonts w:cs="Arial"/>
                <w:sz w:val="18"/>
                <w:szCs w:val="18"/>
              </w:rPr>
              <w:t>Maribyrnong C</w:t>
            </w:r>
          </w:p>
        </w:tc>
        <w:tc>
          <w:tcPr>
            <w:tcW w:w="1361" w:type="dxa"/>
            <w:tcBorders>
              <w:top w:val="nil"/>
              <w:left w:val="single" w:sz="18" w:space="0" w:color="5F497A" w:themeColor="accent4" w:themeShade="BF"/>
              <w:bottom w:val="nil"/>
              <w:right w:val="nil"/>
            </w:tcBorders>
            <w:shd w:val="clear" w:color="auto" w:fill="auto"/>
            <w:vAlign w:val="bottom"/>
          </w:tcPr>
          <w:p w14:paraId="69F249FC" w14:textId="13026097" w:rsidR="009F0AF7" w:rsidRPr="001D41EA" w:rsidRDefault="009F0AF7" w:rsidP="001D41EA">
            <w:pPr>
              <w:spacing w:before="40" w:after="20"/>
              <w:jc w:val="center"/>
              <w:rPr>
                <w:rFonts w:cs="Arial"/>
                <w:sz w:val="18"/>
                <w:szCs w:val="18"/>
              </w:rPr>
            </w:pPr>
            <w:r w:rsidRPr="001D41EA">
              <w:rPr>
                <w:rFonts w:cs="Arial"/>
                <w:sz w:val="18"/>
                <w:szCs w:val="18"/>
              </w:rPr>
              <w:t>0.888</w:t>
            </w:r>
          </w:p>
        </w:tc>
        <w:tc>
          <w:tcPr>
            <w:tcW w:w="1361" w:type="dxa"/>
            <w:tcBorders>
              <w:top w:val="nil"/>
              <w:left w:val="nil"/>
              <w:bottom w:val="nil"/>
              <w:right w:val="nil"/>
            </w:tcBorders>
            <w:shd w:val="clear" w:color="auto" w:fill="auto"/>
            <w:vAlign w:val="bottom"/>
          </w:tcPr>
          <w:p w14:paraId="0F0D3FD6" w14:textId="5D403562" w:rsidR="009F0AF7" w:rsidRPr="001D41EA" w:rsidRDefault="009F0AF7" w:rsidP="001D41EA">
            <w:pPr>
              <w:spacing w:before="40" w:after="20"/>
              <w:jc w:val="center"/>
              <w:rPr>
                <w:rFonts w:cs="Arial"/>
                <w:sz w:val="18"/>
                <w:szCs w:val="18"/>
              </w:rPr>
            </w:pPr>
            <w:r w:rsidRPr="001D41EA">
              <w:rPr>
                <w:rFonts w:cs="Arial"/>
                <w:sz w:val="18"/>
                <w:szCs w:val="18"/>
              </w:rPr>
              <w:t>0.953</w:t>
            </w:r>
          </w:p>
        </w:tc>
        <w:tc>
          <w:tcPr>
            <w:tcW w:w="1361" w:type="dxa"/>
            <w:tcBorders>
              <w:top w:val="nil"/>
              <w:left w:val="nil"/>
              <w:bottom w:val="nil"/>
              <w:right w:val="nil"/>
            </w:tcBorders>
            <w:vAlign w:val="bottom"/>
          </w:tcPr>
          <w:p w14:paraId="0A56AED1" w14:textId="034CC7BF" w:rsidR="009F0AF7" w:rsidRPr="001D41EA" w:rsidRDefault="009F0AF7" w:rsidP="001D41EA">
            <w:pPr>
              <w:spacing w:before="40" w:after="20"/>
              <w:jc w:val="center"/>
              <w:rPr>
                <w:rFonts w:cs="Arial"/>
                <w:sz w:val="18"/>
                <w:szCs w:val="18"/>
              </w:rPr>
            </w:pPr>
            <w:r w:rsidRPr="001D41EA">
              <w:rPr>
                <w:rFonts w:cs="Arial"/>
                <w:sz w:val="18"/>
                <w:szCs w:val="18"/>
              </w:rPr>
              <w:t>0.962</w:t>
            </w:r>
          </w:p>
        </w:tc>
        <w:tc>
          <w:tcPr>
            <w:tcW w:w="1361" w:type="dxa"/>
            <w:tcBorders>
              <w:top w:val="nil"/>
              <w:left w:val="nil"/>
              <w:bottom w:val="nil"/>
              <w:right w:val="nil"/>
            </w:tcBorders>
            <w:vAlign w:val="bottom"/>
          </w:tcPr>
          <w:p w14:paraId="3A7D32A3" w14:textId="3397A761" w:rsidR="009F0AF7" w:rsidRPr="001D41EA" w:rsidRDefault="009F0AF7" w:rsidP="001D41EA">
            <w:pPr>
              <w:spacing w:before="40" w:after="20"/>
              <w:jc w:val="center"/>
              <w:rPr>
                <w:rFonts w:cs="Arial"/>
                <w:sz w:val="18"/>
                <w:szCs w:val="18"/>
              </w:rPr>
            </w:pPr>
            <w:r w:rsidRPr="001D41EA">
              <w:rPr>
                <w:rFonts w:cs="Arial"/>
                <w:sz w:val="18"/>
                <w:szCs w:val="18"/>
              </w:rPr>
              <w:t>1.086</w:t>
            </w:r>
          </w:p>
        </w:tc>
        <w:tc>
          <w:tcPr>
            <w:tcW w:w="1361" w:type="dxa"/>
            <w:tcBorders>
              <w:top w:val="nil"/>
              <w:left w:val="nil"/>
              <w:bottom w:val="nil"/>
              <w:right w:val="nil"/>
            </w:tcBorders>
            <w:shd w:val="clear" w:color="auto" w:fill="auto"/>
            <w:vAlign w:val="bottom"/>
          </w:tcPr>
          <w:p w14:paraId="700C5F38" w14:textId="5BFD0889" w:rsidR="009F0AF7" w:rsidRPr="001D41EA" w:rsidRDefault="009F0AF7" w:rsidP="001D41EA">
            <w:pPr>
              <w:spacing w:before="40" w:after="20"/>
              <w:jc w:val="center"/>
              <w:rPr>
                <w:rFonts w:cs="Arial"/>
                <w:sz w:val="18"/>
                <w:szCs w:val="18"/>
              </w:rPr>
            </w:pPr>
            <w:r w:rsidRPr="001D41EA">
              <w:rPr>
                <w:rFonts w:cs="Arial"/>
                <w:sz w:val="18"/>
                <w:szCs w:val="18"/>
              </w:rPr>
              <w:t>1.217</w:t>
            </w:r>
          </w:p>
        </w:tc>
      </w:tr>
      <w:tr w:rsidR="009F0AF7" w:rsidRPr="001D41EA" w14:paraId="3EC20A59"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90C34E4" w14:textId="77777777" w:rsidR="009F0AF7" w:rsidRPr="001D41EA" w:rsidRDefault="009F0AF7" w:rsidP="001D41EA">
            <w:pPr>
              <w:spacing w:before="40" w:after="20"/>
              <w:rPr>
                <w:rFonts w:cs="Arial"/>
                <w:sz w:val="18"/>
                <w:szCs w:val="18"/>
              </w:rPr>
            </w:pPr>
            <w:r w:rsidRPr="001D41EA">
              <w:rPr>
                <w:rFonts w:cs="Arial"/>
                <w:sz w:val="18"/>
                <w:szCs w:val="18"/>
              </w:rPr>
              <w:t>Maroondah C</w:t>
            </w:r>
          </w:p>
        </w:tc>
        <w:tc>
          <w:tcPr>
            <w:tcW w:w="1361" w:type="dxa"/>
            <w:tcBorders>
              <w:top w:val="nil"/>
              <w:left w:val="single" w:sz="18" w:space="0" w:color="5F497A" w:themeColor="accent4" w:themeShade="BF"/>
              <w:bottom w:val="nil"/>
              <w:right w:val="nil"/>
            </w:tcBorders>
            <w:shd w:val="clear" w:color="auto" w:fill="auto"/>
            <w:vAlign w:val="bottom"/>
          </w:tcPr>
          <w:p w14:paraId="0455D09E" w14:textId="153D4783" w:rsidR="009F0AF7" w:rsidRPr="001D41EA" w:rsidRDefault="009F0AF7" w:rsidP="001D41EA">
            <w:pPr>
              <w:spacing w:before="40" w:after="20"/>
              <w:jc w:val="center"/>
              <w:rPr>
                <w:rFonts w:cs="Arial"/>
                <w:sz w:val="18"/>
                <w:szCs w:val="18"/>
              </w:rPr>
            </w:pPr>
            <w:r w:rsidRPr="001D41EA">
              <w:rPr>
                <w:rFonts w:cs="Arial"/>
                <w:sz w:val="18"/>
                <w:szCs w:val="18"/>
              </w:rPr>
              <w:t>1.016</w:t>
            </w:r>
          </w:p>
        </w:tc>
        <w:tc>
          <w:tcPr>
            <w:tcW w:w="1361" w:type="dxa"/>
            <w:tcBorders>
              <w:top w:val="nil"/>
              <w:left w:val="nil"/>
              <w:bottom w:val="nil"/>
              <w:right w:val="nil"/>
            </w:tcBorders>
            <w:shd w:val="clear" w:color="auto" w:fill="auto"/>
            <w:vAlign w:val="bottom"/>
          </w:tcPr>
          <w:p w14:paraId="6B31034E" w14:textId="6AED3AF6" w:rsidR="009F0AF7" w:rsidRPr="001D41EA" w:rsidRDefault="009F0AF7" w:rsidP="001D41EA">
            <w:pPr>
              <w:spacing w:before="40" w:after="20"/>
              <w:jc w:val="center"/>
              <w:rPr>
                <w:rFonts w:cs="Arial"/>
                <w:sz w:val="18"/>
                <w:szCs w:val="18"/>
              </w:rPr>
            </w:pPr>
            <w:r w:rsidRPr="001D41EA">
              <w:rPr>
                <w:rFonts w:cs="Arial"/>
                <w:sz w:val="18"/>
                <w:szCs w:val="18"/>
              </w:rPr>
              <w:t>1.103</w:t>
            </w:r>
          </w:p>
        </w:tc>
        <w:tc>
          <w:tcPr>
            <w:tcW w:w="1361" w:type="dxa"/>
            <w:tcBorders>
              <w:top w:val="nil"/>
              <w:left w:val="nil"/>
              <w:bottom w:val="nil"/>
              <w:right w:val="nil"/>
            </w:tcBorders>
            <w:vAlign w:val="bottom"/>
          </w:tcPr>
          <w:p w14:paraId="5258B33B" w14:textId="29FBEF6C" w:rsidR="009F0AF7" w:rsidRPr="001D41EA" w:rsidRDefault="009F0AF7" w:rsidP="001D41EA">
            <w:pPr>
              <w:spacing w:before="40" w:after="20"/>
              <w:jc w:val="center"/>
              <w:rPr>
                <w:rFonts w:cs="Arial"/>
                <w:sz w:val="18"/>
                <w:szCs w:val="18"/>
              </w:rPr>
            </w:pPr>
            <w:r w:rsidRPr="001D41EA">
              <w:rPr>
                <w:rFonts w:cs="Arial"/>
                <w:sz w:val="18"/>
                <w:szCs w:val="18"/>
              </w:rPr>
              <w:t>0.912</w:t>
            </w:r>
          </w:p>
        </w:tc>
        <w:tc>
          <w:tcPr>
            <w:tcW w:w="1361" w:type="dxa"/>
            <w:tcBorders>
              <w:top w:val="nil"/>
              <w:left w:val="nil"/>
              <w:bottom w:val="nil"/>
              <w:right w:val="nil"/>
            </w:tcBorders>
            <w:vAlign w:val="bottom"/>
          </w:tcPr>
          <w:p w14:paraId="2FE0CDDA" w14:textId="411CC60B" w:rsidR="009F0AF7" w:rsidRPr="001D41EA" w:rsidRDefault="009F0AF7" w:rsidP="001D41EA">
            <w:pPr>
              <w:spacing w:before="40" w:after="20"/>
              <w:jc w:val="center"/>
              <w:rPr>
                <w:rFonts w:cs="Arial"/>
                <w:sz w:val="18"/>
                <w:szCs w:val="18"/>
              </w:rPr>
            </w:pPr>
            <w:r w:rsidRPr="001D41EA">
              <w:rPr>
                <w:rFonts w:cs="Arial"/>
                <w:sz w:val="18"/>
                <w:szCs w:val="18"/>
              </w:rPr>
              <w:t>0.879</w:t>
            </w:r>
          </w:p>
        </w:tc>
        <w:tc>
          <w:tcPr>
            <w:tcW w:w="1361" w:type="dxa"/>
            <w:tcBorders>
              <w:top w:val="nil"/>
              <w:left w:val="nil"/>
              <w:bottom w:val="nil"/>
              <w:right w:val="nil"/>
            </w:tcBorders>
            <w:shd w:val="clear" w:color="auto" w:fill="auto"/>
            <w:vAlign w:val="bottom"/>
          </w:tcPr>
          <w:p w14:paraId="5E4601DB" w14:textId="07E67C9A" w:rsidR="009F0AF7" w:rsidRPr="001D41EA" w:rsidRDefault="009F0AF7" w:rsidP="001D41EA">
            <w:pPr>
              <w:spacing w:before="40" w:after="20"/>
              <w:jc w:val="center"/>
              <w:rPr>
                <w:rFonts w:cs="Arial"/>
                <w:sz w:val="18"/>
                <w:szCs w:val="18"/>
              </w:rPr>
            </w:pPr>
            <w:r w:rsidRPr="001D41EA">
              <w:rPr>
                <w:rFonts w:cs="Arial"/>
                <w:sz w:val="18"/>
                <w:szCs w:val="18"/>
              </w:rPr>
              <w:t>1.028</w:t>
            </w:r>
          </w:p>
        </w:tc>
      </w:tr>
      <w:tr w:rsidR="009F0AF7" w:rsidRPr="001D41EA" w14:paraId="0909E7DA"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513BF5D" w14:textId="77777777" w:rsidR="009F0AF7" w:rsidRPr="001D41EA" w:rsidRDefault="009F0AF7" w:rsidP="001D41EA">
            <w:pPr>
              <w:spacing w:before="40" w:after="20"/>
              <w:rPr>
                <w:rFonts w:cs="Arial"/>
                <w:sz w:val="18"/>
                <w:szCs w:val="18"/>
              </w:rPr>
            </w:pPr>
            <w:r w:rsidRPr="001D41EA">
              <w:rPr>
                <w:rFonts w:cs="Arial"/>
                <w:sz w:val="18"/>
                <w:szCs w:val="18"/>
              </w:rPr>
              <w:t>Melbourne C</w:t>
            </w:r>
          </w:p>
        </w:tc>
        <w:tc>
          <w:tcPr>
            <w:tcW w:w="1361" w:type="dxa"/>
            <w:tcBorders>
              <w:top w:val="nil"/>
              <w:left w:val="single" w:sz="18" w:space="0" w:color="5F497A" w:themeColor="accent4" w:themeShade="BF"/>
              <w:bottom w:val="nil"/>
              <w:right w:val="nil"/>
            </w:tcBorders>
            <w:shd w:val="clear" w:color="auto" w:fill="auto"/>
            <w:vAlign w:val="bottom"/>
          </w:tcPr>
          <w:p w14:paraId="51A1341E" w14:textId="3046C2F0" w:rsidR="009F0AF7" w:rsidRPr="001D41EA" w:rsidRDefault="009F0AF7" w:rsidP="001D41EA">
            <w:pPr>
              <w:spacing w:before="40" w:after="20"/>
              <w:jc w:val="center"/>
              <w:rPr>
                <w:rFonts w:cs="Arial"/>
                <w:sz w:val="18"/>
                <w:szCs w:val="18"/>
              </w:rPr>
            </w:pPr>
            <w:r w:rsidRPr="001D41EA">
              <w:rPr>
                <w:rFonts w:cs="Arial"/>
                <w:sz w:val="18"/>
                <w:szCs w:val="18"/>
              </w:rPr>
              <w:t>1.429</w:t>
            </w:r>
          </w:p>
        </w:tc>
        <w:tc>
          <w:tcPr>
            <w:tcW w:w="1361" w:type="dxa"/>
            <w:tcBorders>
              <w:top w:val="nil"/>
              <w:left w:val="nil"/>
              <w:bottom w:val="nil"/>
              <w:right w:val="nil"/>
            </w:tcBorders>
            <w:shd w:val="clear" w:color="auto" w:fill="auto"/>
            <w:vAlign w:val="bottom"/>
          </w:tcPr>
          <w:p w14:paraId="30593ADE" w14:textId="25B1445C" w:rsidR="009F0AF7" w:rsidRPr="001D41EA" w:rsidRDefault="009F0AF7" w:rsidP="001D41EA">
            <w:pPr>
              <w:spacing w:before="40" w:after="20"/>
              <w:jc w:val="center"/>
              <w:rPr>
                <w:rFonts w:cs="Arial"/>
                <w:sz w:val="18"/>
                <w:szCs w:val="18"/>
              </w:rPr>
            </w:pPr>
            <w:r w:rsidRPr="001D41EA">
              <w:rPr>
                <w:rFonts w:cs="Arial"/>
                <w:sz w:val="18"/>
                <w:szCs w:val="18"/>
              </w:rPr>
              <w:t>0.998</w:t>
            </w:r>
          </w:p>
        </w:tc>
        <w:tc>
          <w:tcPr>
            <w:tcW w:w="1361" w:type="dxa"/>
            <w:tcBorders>
              <w:top w:val="nil"/>
              <w:left w:val="nil"/>
              <w:bottom w:val="nil"/>
              <w:right w:val="nil"/>
            </w:tcBorders>
            <w:vAlign w:val="bottom"/>
          </w:tcPr>
          <w:p w14:paraId="6A341390" w14:textId="1C9848BA" w:rsidR="009F0AF7" w:rsidRPr="001D41EA" w:rsidRDefault="009F0AF7" w:rsidP="001D41EA">
            <w:pPr>
              <w:spacing w:before="40" w:after="20"/>
              <w:jc w:val="center"/>
              <w:rPr>
                <w:rFonts w:cs="Arial"/>
                <w:sz w:val="18"/>
                <w:szCs w:val="18"/>
              </w:rPr>
            </w:pPr>
            <w:r w:rsidRPr="001D41EA">
              <w:rPr>
                <w:rFonts w:cs="Arial"/>
                <w:sz w:val="18"/>
                <w:szCs w:val="18"/>
              </w:rPr>
              <w:t>1.788</w:t>
            </w:r>
          </w:p>
        </w:tc>
        <w:tc>
          <w:tcPr>
            <w:tcW w:w="1361" w:type="dxa"/>
            <w:tcBorders>
              <w:top w:val="nil"/>
              <w:left w:val="nil"/>
              <w:bottom w:val="nil"/>
              <w:right w:val="nil"/>
            </w:tcBorders>
            <w:vAlign w:val="bottom"/>
          </w:tcPr>
          <w:p w14:paraId="6ADF6F00" w14:textId="192AD01B" w:rsidR="009F0AF7" w:rsidRPr="001D41EA" w:rsidRDefault="009F0AF7" w:rsidP="001D41EA">
            <w:pPr>
              <w:spacing w:before="40" w:after="20"/>
              <w:jc w:val="center"/>
              <w:rPr>
                <w:rFonts w:cs="Arial"/>
                <w:sz w:val="18"/>
                <w:szCs w:val="18"/>
              </w:rPr>
            </w:pPr>
            <w:r w:rsidRPr="001D41EA">
              <w:rPr>
                <w:rFonts w:cs="Arial"/>
                <w:sz w:val="18"/>
                <w:szCs w:val="18"/>
              </w:rPr>
              <w:t>1.409</w:t>
            </w:r>
          </w:p>
        </w:tc>
        <w:tc>
          <w:tcPr>
            <w:tcW w:w="1361" w:type="dxa"/>
            <w:tcBorders>
              <w:top w:val="nil"/>
              <w:left w:val="nil"/>
              <w:bottom w:val="nil"/>
              <w:right w:val="nil"/>
            </w:tcBorders>
            <w:shd w:val="clear" w:color="auto" w:fill="auto"/>
            <w:vAlign w:val="bottom"/>
          </w:tcPr>
          <w:p w14:paraId="18B23E3A" w14:textId="1A7E48B1" w:rsidR="009F0AF7" w:rsidRPr="001D41EA" w:rsidRDefault="009F0AF7" w:rsidP="001D41EA">
            <w:pPr>
              <w:spacing w:before="40" w:after="20"/>
              <w:jc w:val="center"/>
              <w:rPr>
                <w:rFonts w:cs="Arial"/>
                <w:sz w:val="18"/>
                <w:szCs w:val="18"/>
              </w:rPr>
            </w:pPr>
            <w:r w:rsidRPr="001D41EA">
              <w:rPr>
                <w:rFonts w:cs="Arial"/>
                <w:sz w:val="18"/>
                <w:szCs w:val="18"/>
              </w:rPr>
              <w:t>1.398</w:t>
            </w:r>
          </w:p>
        </w:tc>
      </w:tr>
      <w:tr w:rsidR="009F0AF7" w:rsidRPr="001D41EA" w14:paraId="4AED4DA8"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C105330" w14:textId="77777777" w:rsidR="009F0AF7" w:rsidRPr="001D41EA" w:rsidRDefault="009F0AF7" w:rsidP="001D41EA">
            <w:pPr>
              <w:spacing w:before="40" w:after="20"/>
              <w:rPr>
                <w:rFonts w:cs="Arial"/>
                <w:sz w:val="18"/>
                <w:szCs w:val="18"/>
              </w:rPr>
            </w:pPr>
            <w:r w:rsidRPr="001D41EA">
              <w:rPr>
                <w:rFonts w:cs="Arial"/>
                <w:sz w:val="18"/>
                <w:szCs w:val="18"/>
              </w:rPr>
              <w:t>Melton C</w:t>
            </w:r>
          </w:p>
        </w:tc>
        <w:tc>
          <w:tcPr>
            <w:tcW w:w="1361" w:type="dxa"/>
            <w:tcBorders>
              <w:top w:val="nil"/>
              <w:left w:val="single" w:sz="18" w:space="0" w:color="5F497A" w:themeColor="accent4" w:themeShade="BF"/>
              <w:bottom w:val="nil"/>
              <w:right w:val="nil"/>
            </w:tcBorders>
            <w:shd w:val="clear" w:color="auto" w:fill="auto"/>
            <w:vAlign w:val="bottom"/>
          </w:tcPr>
          <w:p w14:paraId="79542CBB" w14:textId="79B78092" w:rsidR="009F0AF7" w:rsidRPr="001D41EA" w:rsidRDefault="009F0AF7" w:rsidP="001D41EA">
            <w:pPr>
              <w:spacing w:before="40" w:after="20"/>
              <w:jc w:val="center"/>
              <w:rPr>
                <w:rFonts w:cs="Arial"/>
                <w:sz w:val="18"/>
                <w:szCs w:val="18"/>
              </w:rPr>
            </w:pPr>
            <w:r w:rsidRPr="001D41EA">
              <w:rPr>
                <w:rFonts w:cs="Arial"/>
                <w:sz w:val="18"/>
                <w:szCs w:val="18"/>
              </w:rPr>
              <w:t>1.023</w:t>
            </w:r>
          </w:p>
        </w:tc>
        <w:tc>
          <w:tcPr>
            <w:tcW w:w="1361" w:type="dxa"/>
            <w:tcBorders>
              <w:top w:val="nil"/>
              <w:left w:val="nil"/>
              <w:bottom w:val="nil"/>
              <w:right w:val="nil"/>
            </w:tcBorders>
            <w:shd w:val="clear" w:color="auto" w:fill="auto"/>
            <w:vAlign w:val="bottom"/>
          </w:tcPr>
          <w:p w14:paraId="2D44E909" w14:textId="0FCC4BD1" w:rsidR="009F0AF7" w:rsidRPr="001D41EA" w:rsidRDefault="009F0AF7" w:rsidP="001D41EA">
            <w:pPr>
              <w:spacing w:before="40" w:after="20"/>
              <w:jc w:val="center"/>
              <w:rPr>
                <w:rFonts w:cs="Arial"/>
                <w:sz w:val="18"/>
                <w:szCs w:val="18"/>
              </w:rPr>
            </w:pPr>
            <w:r w:rsidRPr="001D41EA">
              <w:rPr>
                <w:rFonts w:cs="Arial"/>
                <w:sz w:val="18"/>
                <w:szCs w:val="18"/>
              </w:rPr>
              <w:t>0.950</w:t>
            </w:r>
          </w:p>
        </w:tc>
        <w:tc>
          <w:tcPr>
            <w:tcW w:w="1361" w:type="dxa"/>
            <w:tcBorders>
              <w:top w:val="nil"/>
              <w:left w:val="nil"/>
              <w:bottom w:val="nil"/>
              <w:right w:val="nil"/>
            </w:tcBorders>
            <w:vAlign w:val="bottom"/>
          </w:tcPr>
          <w:p w14:paraId="47ACD5B6" w14:textId="2B853E42" w:rsidR="009F0AF7" w:rsidRPr="001D41EA" w:rsidRDefault="009F0AF7" w:rsidP="001D41EA">
            <w:pPr>
              <w:spacing w:before="40" w:after="20"/>
              <w:jc w:val="center"/>
              <w:rPr>
                <w:rFonts w:cs="Arial"/>
                <w:sz w:val="18"/>
                <w:szCs w:val="18"/>
              </w:rPr>
            </w:pPr>
            <w:r w:rsidRPr="001D41EA">
              <w:rPr>
                <w:rFonts w:cs="Arial"/>
                <w:sz w:val="18"/>
                <w:szCs w:val="18"/>
              </w:rPr>
              <w:t>0.897</w:t>
            </w:r>
          </w:p>
        </w:tc>
        <w:tc>
          <w:tcPr>
            <w:tcW w:w="1361" w:type="dxa"/>
            <w:tcBorders>
              <w:top w:val="nil"/>
              <w:left w:val="nil"/>
              <w:bottom w:val="nil"/>
              <w:right w:val="nil"/>
            </w:tcBorders>
            <w:vAlign w:val="bottom"/>
          </w:tcPr>
          <w:p w14:paraId="4C8F7FFB" w14:textId="31B23FB2" w:rsidR="009F0AF7" w:rsidRPr="001D41EA" w:rsidRDefault="009F0AF7" w:rsidP="001D41EA">
            <w:pPr>
              <w:spacing w:before="40" w:after="20"/>
              <w:jc w:val="center"/>
              <w:rPr>
                <w:rFonts w:cs="Arial"/>
                <w:sz w:val="18"/>
                <w:szCs w:val="18"/>
              </w:rPr>
            </w:pPr>
            <w:r w:rsidRPr="001D41EA">
              <w:rPr>
                <w:rFonts w:cs="Arial"/>
                <w:sz w:val="18"/>
                <w:szCs w:val="18"/>
              </w:rPr>
              <w:t>1.041</w:t>
            </w:r>
          </w:p>
        </w:tc>
        <w:tc>
          <w:tcPr>
            <w:tcW w:w="1361" w:type="dxa"/>
            <w:tcBorders>
              <w:top w:val="nil"/>
              <w:left w:val="nil"/>
              <w:bottom w:val="nil"/>
              <w:right w:val="nil"/>
            </w:tcBorders>
            <w:shd w:val="clear" w:color="auto" w:fill="auto"/>
            <w:vAlign w:val="bottom"/>
          </w:tcPr>
          <w:p w14:paraId="382DAA5C" w14:textId="1E4261B7" w:rsidR="009F0AF7" w:rsidRPr="001D41EA" w:rsidRDefault="009F0AF7" w:rsidP="001D41EA">
            <w:pPr>
              <w:spacing w:before="40" w:after="20"/>
              <w:jc w:val="center"/>
              <w:rPr>
                <w:rFonts w:cs="Arial"/>
                <w:sz w:val="18"/>
                <w:szCs w:val="18"/>
              </w:rPr>
            </w:pPr>
            <w:r w:rsidRPr="001D41EA">
              <w:rPr>
                <w:rFonts w:cs="Arial"/>
                <w:sz w:val="18"/>
                <w:szCs w:val="18"/>
              </w:rPr>
              <w:t>0.875</w:t>
            </w:r>
          </w:p>
        </w:tc>
      </w:tr>
      <w:tr w:rsidR="009F0AF7" w:rsidRPr="001D41EA" w14:paraId="41DF6220"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CC915C1" w14:textId="77777777" w:rsidR="009F0AF7" w:rsidRPr="001D41EA" w:rsidRDefault="009F0AF7" w:rsidP="001D41EA">
            <w:pPr>
              <w:spacing w:before="40" w:after="20"/>
              <w:rPr>
                <w:rFonts w:cs="Arial"/>
                <w:sz w:val="18"/>
                <w:szCs w:val="18"/>
              </w:rPr>
            </w:pPr>
            <w:r w:rsidRPr="001D41EA">
              <w:rPr>
                <w:rFonts w:cs="Arial"/>
                <w:sz w:val="18"/>
                <w:szCs w:val="18"/>
              </w:rPr>
              <w:t>Mildura RC</w:t>
            </w:r>
          </w:p>
        </w:tc>
        <w:tc>
          <w:tcPr>
            <w:tcW w:w="1361" w:type="dxa"/>
            <w:tcBorders>
              <w:top w:val="nil"/>
              <w:left w:val="single" w:sz="18" w:space="0" w:color="5F497A" w:themeColor="accent4" w:themeShade="BF"/>
              <w:bottom w:val="nil"/>
              <w:right w:val="nil"/>
            </w:tcBorders>
            <w:shd w:val="clear" w:color="auto" w:fill="auto"/>
            <w:vAlign w:val="bottom"/>
          </w:tcPr>
          <w:p w14:paraId="195439EC" w14:textId="73AB58FB" w:rsidR="009F0AF7" w:rsidRPr="001D41EA" w:rsidRDefault="009F0AF7" w:rsidP="001D41EA">
            <w:pPr>
              <w:spacing w:before="40" w:after="20"/>
              <w:jc w:val="center"/>
              <w:rPr>
                <w:rFonts w:cs="Arial"/>
                <w:sz w:val="18"/>
                <w:szCs w:val="18"/>
              </w:rPr>
            </w:pPr>
            <w:r w:rsidRPr="001D41EA">
              <w:rPr>
                <w:rFonts w:cs="Arial"/>
                <w:sz w:val="18"/>
                <w:szCs w:val="18"/>
              </w:rPr>
              <w:t>0.830</w:t>
            </w:r>
          </w:p>
        </w:tc>
        <w:tc>
          <w:tcPr>
            <w:tcW w:w="1361" w:type="dxa"/>
            <w:tcBorders>
              <w:top w:val="nil"/>
              <w:left w:val="nil"/>
              <w:bottom w:val="nil"/>
              <w:right w:val="nil"/>
            </w:tcBorders>
            <w:shd w:val="clear" w:color="auto" w:fill="auto"/>
            <w:vAlign w:val="bottom"/>
          </w:tcPr>
          <w:p w14:paraId="4F3EDE09" w14:textId="0F819B89" w:rsidR="009F0AF7" w:rsidRPr="001D41EA" w:rsidRDefault="009F0AF7" w:rsidP="001D41EA">
            <w:pPr>
              <w:spacing w:before="40" w:after="20"/>
              <w:jc w:val="center"/>
              <w:rPr>
                <w:rFonts w:cs="Arial"/>
                <w:sz w:val="18"/>
                <w:szCs w:val="18"/>
              </w:rPr>
            </w:pPr>
            <w:r w:rsidRPr="001D41EA">
              <w:rPr>
                <w:rFonts w:cs="Arial"/>
                <w:sz w:val="18"/>
                <w:szCs w:val="18"/>
              </w:rPr>
              <w:t>0.772</w:t>
            </w:r>
          </w:p>
        </w:tc>
        <w:tc>
          <w:tcPr>
            <w:tcW w:w="1361" w:type="dxa"/>
            <w:tcBorders>
              <w:top w:val="nil"/>
              <w:left w:val="nil"/>
              <w:bottom w:val="nil"/>
              <w:right w:val="nil"/>
            </w:tcBorders>
            <w:vAlign w:val="bottom"/>
          </w:tcPr>
          <w:p w14:paraId="39D8EE2A" w14:textId="7A387E1B" w:rsidR="009F0AF7" w:rsidRPr="001D41EA" w:rsidRDefault="009F0AF7" w:rsidP="001D41EA">
            <w:pPr>
              <w:spacing w:before="40" w:after="20"/>
              <w:jc w:val="center"/>
              <w:rPr>
                <w:rFonts w:cs="Arial"/>
                <w:sz w:val="18"/>
                <w:szCs w:val="18"/>
              </w:rPr>
            </w:pPr>
            <w:r w:rsidRPr="001D41EA">
              <w:rPr>
                <w:rFonts w:cs="Arial"/>
                <w:sz w:val="18"/>
                <w:szCs w:val="18"/>
              </w:rPr>
              <w:t>1.065</w:t>
            </w:r>
          </w:p>
        </w:tc>
        <w:tc>
          <w:tcPr>
            <w:tcW w:w="1361" w:type="dxa"/>
            <w:tcBorders>
              <w:top w:val="nil"/>
              <w:left w:val="nil"/>
              <w:bottom w:val="nil"/>
              <w:right w:val="nil"/>
            </w:tcBorders>
            <w:vAlign w:val="bottom"/>
          </w:tcPr>
          <w:p w14:paraId="52359481" w14:textId="644AB982" w:rsidR="009F0AF7" w:rsidRPr="001D41EA" w:rsidRDefault="009F0AF7" w:rsidP="001D41EA">
            <w:pPr>
              <w:spacing w:before="40" w:after="20"/>
              <w:jc w:val="center"/>
              <w:rPr>
                <w:rFonts w:cs="Arial"/>
                <w:sz w:val="18"/>
                <w:szCs w:val="18"/>
              </w:rPr>
            </w:pPr>
            <w:r w:rsidRPr="001D41EA">
              <w:rPr>
                <w:rFonts w:cs="Arial"/>
                <w:sz w:val="18"/>
                <w:szCs w:val="18"/>
              </w:rPr>
              <w:t>0.822</w:t>
            </w:r>
          </w:p>
        </w:tc>
        <w:tc>
          <w:tcPr>
            <w:tcW w:w="1361" w:type="dxa"/>
            <w:tcBorders>
              <w:top w:val="nil"/>
              <w:left w:val="nil"/>
              <w:bottom w:val="nil"/>
              <w:right w:val="nil"/>
            </w:tcBorders>
            <w:shd w:val="clear" w:color="auto" w:fill="auto"/>
            <w:vAlign w:val="bottom"/>
          </w:tcPr>
          <w:p w14:paraId="6C8EEB22" w14:textId="21BB990E" w:rsidR="009F0AF7" w:rsidRPr="001D41EA" w:rsidRDefault="009F0AF7" w:rsidP="001D41EA">
            <w:pPr>
              <w:spacing w:before="40" w:after="20"/>
              <w:jc w:val="center"/>
              <w:rPr>
                <w:rFonts w:cs="Arial"/>
                <w:sz w:val="18"/>
                <w:szCs w:val="18"/>
              </w:rPr>
            </w:pPr>
            <w:r w:rsidRPr="001D41EA">
              <w:rPr>
                <w:rFonts w:cs="Arial"/>
                <w:sz w:val="18"/>
                <w:szCs w:val="18"/>
              </w:rPr>
              <w:t>1.160</w:t>
            </w:r>
          </w:p>
        </w:tc>
      </w:tr>
      <w:tr w:rsidR="009F0AF7" w:rsidRPr="001D41EA" w14:paraId="5BBE3E12"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1C43952" w14:textId="77777777" w:rsidR="009F0AF7" w:rsidRPr="001D41EA" w:rsidRDefault="009F0AF7" w:rsidP="001D41EA">
            <w:pPr>
              <w:spacing w:before="40" w:after="20"/>
              <w:rPr>
                <w:rFonts w:cs="Arial"/>
                <w:sz w:val="18"/>
                <w:szCs w:val="18"/>
              </w:rPr>
            </w:pPr>
            <w:r w:rsidRPr="001D41EA">
              <w:rPr>
                <w:rFonts w:cs="Arial"/>
                <w:sz w:val="18"/>
                <w:szCs w:val="18"/>
              </w:rPr>
              <w:t>Mitchell S</w:t>
            </w:r>
          </w:p>
        </w:tc>
        <w:tc>
          <w:tcPr>
            <w:tcW w:w="1361" w:type="dxa"/>
            <w:tcBorders>
              <w:top w:val="nil"/>
              <w:left w:val="single" w:sz="18" w:space="0" w:color="5F497A" w:themeColor="accent4" w:themeShade="BF"/>
              <w:bottom w:val="nil"/>
              <w:right w:val="nil"/>
            </w:tcBorders>
            <w:shd w:val="clear" w:color="auto" w:fill="auto"/>
            <w:vAlign w:val="bottom"/>
          </w:tcPr>
          <w:p w14:paraId="4FD7D482" w14:textId="34EB65FC" w:rsidR="009F0AF7" w:rsidRPr="001D41EA" w:rsidRDefault="009F0AF7" w:rsidP="001D41EA">
            <w:pPr>
              <w:spacing w:before="40" w:after="20"/>
              <w:jc w:val="center"/>
              <w:rPr>
                <w:rFonts w:cs="Arial"/>
                <w:sz w:val="18"/>
                <w:szCs w:val="18"/>
              </w:rPr>
            </w:pPr>
            <w:r w:rsidRPr="001D41EA">
              <w:rPr>
                <w:rFonts w:cs="Arial"/>
                <w:sz w:val="18"/>
                <w:szCs w:val="18"/>
              </w:rPr>
              <w:t>0.967</w:t>
            </w:r>
          </w:p>
        </w:tc>
        <w:tc>
          <w:tcPr>
            <w:tcW w:w="1361" w:type="dxa"/>
            <w:tcBorders>
              <w:top w:val="nil"/>
              <w:left w:val="nil"/>
              <w:bottom w:val="nil"/>
              <w:right w:val="nil"/>
            </w:tcBorders>
            <w:shd w:val="clear" w:color="auto" w:fill="auto"/>
            <w:vAlign w:val="bottom"/>
          </w:tcPr>
          <w:p w14:paraId="26005146" w14:textId="45B43B5B" w:rsidR="009F0AF7" w:rsidRPr="001D41EA" w:rsidRDefault="009F0AF7" w:rsidP="001D41EA">
            <w:pPr>
              <w:spacing w:before="40" w:after="20"/>
              <w:jc w:val="center"/>
              <w:rPr>
                <w:rFonts w:cs="Arial"/>
                <w:sz w:val="18"/>
                <w:szCs w:val="18"/>
              </w:rPr>
            </w:pPr>
            <w:r w:rsidRPr="001D41EA">
              <w:rPr>
                <w:rFonts w:cs="Arial"/>
                <w:sz w:val="18"/>
                <w:szCs w:val="18"/>
              </w:rPr>
              <w:t>0.959</w:t>
            </w:r>
          </w:p>
        </w:tc>
        <w:tc>
          <w:tcPr>
            <w:tcW w:w="1361" w:type="dxa"/>
            <w:tcBorders>
              <w:top w:val="nil"/>
              <w:left w:val="nil"/>
              <w:bottom w:val="nil"/>
              <w:right w:val="nil"/>
            </w:tcBorders>
            <w:vAlign w:val="bottom"/>
          </w:tcPr>
          <w:p w14:paraId="753AC04B" w14:textId="2E55DE7D" w:rsidR="009F0AF7" w:rsidRPr="001D41EA" w:rsidRDefault="009F0AF7" w:rsidP="001D41EA">
            <w:pPr>
              <w:spacing w:before="40" w:after="20"/>
              <w:jc w:val="center"/>
              <w:rPr>
                <w:rFonts w:cs="Arial"/>
                <w:sz w:val="18"/>
                <w:szCs w:val="18"/>
              </w:rPr>
            </w:pPr>
            <w:r w:rsidRPr="001D41EA">
              <w:rPr>
                <w:rFonts w:cs="Arial"/>
                <w:sz w:val="18"/>
                <w:szCs w:val="18"/>
              </w:rPr>
              <w:t>0.976</w:t>
            </w:r>
          </w:p>
        </w:tc>
        <w:tc>
          <w:tcPr>
            <w:tcW w:w="1361" w:type="dxa"/>
            <w:tcBorders>
              <w:top w:val="nil"/>
              <w:left w:val="nil"/>
              <w:bottom w:val="nil"/>
              <w:right w:val="nil"/>
            </w:tcBorders>
            <w:vAlign w:val="bottom"/>
          </w:tcPr>
          <w:p w14:paraId="69F00397" w14:textId="2F451F61" w:rsidR="009F0AF7" w:rsidRPr="001D41EA" w:rsidRDefault="009F0AF7" w:rsidP="001D41EA">
            <w:pPr>
              <w:spacing w:before="40" w:after="20"/>
              <w:jc w:val="center"/>
              <w:rPr>
                <w:rFonts w:cs="Arial"/>
                <w:sz w:val="18"/>
                <w:szCs w:val="18"/>
              </w:rPr>
            </w:pPr>
            <w:r w:rsidRPr="001D41EA">
              <w:rPr>
                <w:rFonts w:cs="Arial"/>
                <w:sz w:val="18"/>
                <w:szCs w:val="18"/>
              </w:rPr>
              <w:t>0.957</w:t>
            </w:r>
          </w:p>
        </w:tc>
        <w:tc>
          <w:tcPr>
            <w:tcW w:w="1361" w:type="dxa"/>
            <w:tcBorders>
              <w:top w:val="nil"/>
              <w:left w:val="nil"/>
              <w:bottom w:val="nil"/>
              <w:right w:val="nil"/>
            </w:tcBorders>
            <w:shd w:val="clear" w:color="auto" w:fill="auto"/>
            <w:vAlign w:val="bottom"/>
          </w:tcPr>
          <w:p w14:paraId="37C6ABEC" w14:textId="09D18809" w:rsidR="009F0AF7" w:rsidRPr="001D41EA" w:rsidRDefault="009F0AF7" w:rsidP="001D41EA">
            <w:pPr>
              <w:spacing w:before="40" w:after="20"/>
              <w:jc w:val="center"/>
              <w:rPr>
                <w:rFonts w:cs="Arial"/>
                <w:sz w:val="18"/>
                <w:szCs w:val="18"/>
              </w:rPr>
            </w:pPr>
            <w:r w:rsidRPr="001D41EA">
              <w:rPr>
                <w:rFonts w:cs="Arial"/>
                <w:sz w:val="18"/>
                <w:szCs w:val="18"/>
              </w:rPr>
              <w:t>0.854</w:t>
            </w:r>
          </w:p>
        </w:tc>
      </w:tr>
      <w:tr w:rsidR="009F0AF7" w:rsidRPr="001D41EA" w14:paraId="140B12D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C60215E" w14:textId="77777777" w:rsidR="009F0AF7" w:rsidRPr="001D41EA" w:rsidRDefault="009F0AF7" w:rsidP="001D41EA">
            <w:pPr>
              <w:spacing w:before="40" w:after="20"/>
              <w:rPr>
                <w:rFonts w:cs="Arial"/>
                <w:sz w:val="18"/>
                <w:szCs w:val="18"/>
              </w:rPr>
            </w:pPr>
            <w:r w:rsidRPr="001D41EA">
              <w:rPr>
                <w:rFonts w:cs="Arial"/>
                <w:sz w:val="18"/>
                <w:szCs w:val="18"/>
              </w:rPr>
              <w:t>Moira S</w:t>
            </w:r>
          </w:p>
        </w:tc>
        <w:tc>
          <w:tcPr>
            <w:tcW w:w="1361" w:type="dxa"/>
            <w:tcBorders>
              <w:top w:val="nil"/>
              <w:left w:val="single" w:sz="18" w:space="0" w:color="5F497A" w:themeColor="accent4" w:themeShade="BF"/>
              <w:bottom w:val="nil"/>
              <w:right w:val="nil"/>
            </w:tcBorders>
            <w:shd w:val="clear" w:color="auto" w:fill="auto"/>
            <w:vAlign w:val="bottom"/>
          </w:tcPr>
          <w:p w14:paraId="7EECCB0B" w14:textId="465C72CC" w:rsidR="009F0AF7" w:rsidRPr="001D41EA" w:rsidRDefault="009F0AF7" w:rsidP="001D41EA">
            <w:pPr>
              <w:spacing w:before="40" w:after="20"/>
              <w:jc w:val="center"/>
              <w:rPr>
                <w:rFonts w:cs="Arial"/>
                <w:sz w:val="18"/>
                <w:szCs w:val="18"/>
              </w:rPr>
            </w:pPr>
            <w:r w:rsidRPr="001D41EA">
              <w:rPr>
                <w:rFonts w:cs="Arial"/>
                <w:sz w:val="18"/>
                <w:szCs w:val="18"/>
              </w:rPr>
              <w:t>0.825</w:t>
            </w:r>
          </w:p>
        </w:tc>
        <w:tc>
          <w:tcPr>
            <w:tcW w:w="1361" w:type="dxa"/>
            <w:tcBorders>
              <w:top w:val="nil"/>
              <w:left w:val="nil"/>
              <w:bottom w:val="nil"/>
              <w:right w:val="nil"/>
            </w:tcBorders>
            <w:shd w:val="clear" w:color="auto" w:fill="auto"/>
            <w:vAlign w:val="bottom"/>
          </w:tcPr>
          <w:p w14:paraId="5D36522A" w14:textId="63ACD86B" w:rsidR="009F0AF7" w:rsidRPr="001D41EA" w:rsidRDefault="009F0AF7" w:rsidP="001D41EA">
            <w:pPr>
              <w:spacing w:before="40" w:after="20"/>
              <w:jc w:val="center"/>
              <w:rPr>
                <w:rFonts w:cs="Arial"/>
                <w:sz w:val="18"/>
                <w:szCs w:val="18"/>
              </w:rPr>
            </w:pPr>
            <w:r w:rsidRPr="001D41EA">
              <w:rPr>
                <w:rFonts w:cs="Arial"/>
                <w:sz w:val="18"/>
                <w:szCs w:val="18"/>
              </w:rPr>
              <w:t>0.820</w:t>
            </w:r>
          </w:p>
        </w:tc>
        <w:tc>
          <w:tcPr>
            <w:tcW w:w="1361" w:type="dxa"/>
            <w:tcBorders>
              <w:top w:val="nil"/>
              <w:left w:val="nil"/>
              <w:bottom w:val="nil"/>
              <w:right w:val="nil"/>
            </w:tcBorders>
            <w:vAlign w:val="bottom"/>
          </w:tcPr>
          <w:p w14:paraId="07FB0820" w14:textId="78F778AE" w:rsidR="009F0AF7" w:rsidRPr="001D41EA" w:rsidRDefault="009F0AF7" w:rsidP="001D41EA">
            <w:pPr>
              <w:spacing w:before="40" w:after="20"/>
              <w:jc w:val="center"/>
              <w:rPr>
                <w:rFonts w:cs="Arial"/>
                <w:sz w:val="18"/>
                <w:szCs w:val="18"/>
              </w:rPr>
            </w:pPr>
            <w:r w:rsidRPr="001D41EA">
              <w:rPr>
                <w:rFonts w:cs="Arial"/>
                <w:sz w:val="18"/>
                <w:szCs w:val="18"/>
              </w:rPr>
              <w:t>1.134</w:t>
            </w:r>
          </w:p>
        </w:tc>
        <w:tc>
          <w:tcPr>
            <w:tcW w:w="1361" w:type="dxa"/>
            <w:tcBorders>
              <w:top w:val="nil"/>
              <w:left w:val="nil"/>
              <w:bottom w:val="nil"/>
              <w:right w:val="nil"/>
            </w:tcBorders>
            <w:vAlign w:val="bottom"/>
          </w:tcPr>
          <w:p w14:paraId="4473788F" w14:textId="48DD960F" w:rsidR="009F0AF7" w:rsidRPr="001D41EA" w:rsidRDefault="009F0AF7" w:rsidP="001D41EA">
            <w:pPr>
              <w:spacing w:before="40" w:after="20"/>
              <w:jc w:val="center"/>
              <w:rPr>
                <w:rFonts w:cs="Arial"/>
                <w:sz w:val="18"/>
                <w:szCs w:val="18"/>
              </w:rPr>
            </w:pPr>
            <w:r w:rsidRPr="001D41EA">
              <w:rPr>
                <w:rFonts w:cs="Arial"/>
                <w:sz w:val="18"/>
                <w:szCs w:val="18"/>
              </w:rPr>
              <w:t>0.853</w:t>
            </w:r>
          </w:p>
        </w:tc>
        <w:tc>
          <w:tcPr>
            <w:tcW w:w="1361" w:type="dxa"/>
            <w:tcBorders>
              <w:top w:val="nil"/>
              <w:left w:val="nil"/>
              <w:bottom w:val="nil"/>
              <w:right w:val="nil"/>
            </w:tcBorders>
            <w:shd w:val="clear" w:color="auto" w:fill="auto"/>
            <w:vAlign w:val="bottom"/>
          </w:tcPr>
          <w:p w14:paraId="1CE4E3FD" w14:textId="77D2982F" w:rsidR="009F0AF7" w:rsidRPr="001D41EA" w:rsidRDefault="009F0AF7" w:rsidP="001D41EA">
            <w:pPr>
              <w:spacing w:before="40" w:after="20"/>
              <w:jc w:val="center"/>
              <w:rPr>
                <w:rFonts w:cs="Arial"/>
                <w:sz w:val="18"/>
                <w:szCs w:val="18"/>
              </w:rPr>
            </w:pPr>
            <w:r w:rsidRPr="001D41EA">
              <w:rPr>
                <w:rFonts w:cs="Arial"/>
                <w:sz w:val="18"/>
                <w:szCs w:val="18"/>
              </w:rPr>
              <w:t>0.958</w:t>
            </w:r>
          </w:p>
        </w:tc>
      </w:tr>
      <w:tr w:rsidR="009F0AF7" w:rsidRPr="001D41EA" w14:paraId="4E5D1703"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7DD8E5B" w14:textId="77777777" w:rsidR="009F0AF7" w:rsidRPr="001D41EA" w:rsidRDefault="009F0AF7" w:rsidP="001D41EA">
            <w:pPr>
              <w:spacing w:before="40" w:after="20"/>
              <w:rPr>
                <w:rFonts w:cs="Arial"/>
                <w:sz w:val="18"/>
                <w:szCs w:val="18"/>
              </w:rPr>
            </w:pPr>
            <w:r w:rsidRPr="001D41EA">
              <w:rPr>
                <w:rFonts w:cs="Arial"/>
                <w:sz w:val="18"/>
                <w:szCs w:val="18"/>
              </w:rPr>
              <w:t>Monash C</w:t>
            </w:r>
          </w:p>
        </w:tc>
        <w:tc>
          <w:tcPr>
            <w:tcW w:w="1361" w:type="dxa"/>
            <w:tcBorders>
              <w:top w:val="nil"/>
              <w:left w:val="single" w:sz="18" w:space="0" w:color="5F497A" w:themeColor="accent4" w:themeShade="BF"/>
              <w:bottom w:val="nil"/>
              <w:right w:val="nil"/>
            </w:tcBorders>
            <w:shd w:val="clear" w:color="auto" w:fill="auto"/>
            <w:vAlign w:val="bottom"/>
          </w:tcPr>
          <w:p w14:paraId="59AAF5E6" w14:textId="65254200" w:rsidR="009F0AF7" w:rsidRPr="001D41EA" w:rsidRDefault="009F0AF7" w:rsidP="001D41EA">
            <w:pPr>
              <w:spacing w:before="40" w:after="20"/>
              <w:jc w:val="center"/>
              <w:rPr>
                <w:rFonts w:cs="Arial"/>
                <w:sz w:val="18"/>
                <w:szCs w:val="18"/>
              </w:rPr>
            </w:pPr>
            <w:r w:rsidRPr="001D41EA">
              <w:rPr>
                <w:rFonts w:cs="Arial"/>
                <w:sz w:val="18"/>
                <w:szCs w:val="18"/>
              </w:rPr>
              <w:t>1.078</w:t>
            </w:r>
          </w:p>
        </w:tc>
        <w:tc>
          <w:tcPr>
            <w:tcW w:w="1361" w:type="dxa"/>
            <w:tcBorders>
              <w:top w:val="nil"/>
              <w:left w:val="nil"/>
              <w:bottom w:val="nil"/>
              <w:right w:val="nil"/>
            </w:tcBorders>
            <w:shd w:val="clear" w:color="auto" w:fill="auto"/>
            <w:vAlign w:val="bottom"/>
          </w:tcPr>
          <w:p w14:paraId="0EA86547" w14:textId="6161EED0" w:rsidR="009F0AF7" w:rsidRPr="001D41EA" w:rsidRDefault="009F0AF7" w:rsidP="001D41EA">
            <w:pPr>
              <w:spacing w:before="40" w:after="20"/>
              <w:jc w:val="center"/>
              <w:rPr>
                <w:rFonts w:cs="Arial"/>
                <w:sz w:val="18"/>
                <w:szCs w:val="18"/>
              </w:rPr>
            </w:pPr>
            <w:r w:rsidRPr="001D41EA">
              <w:rPr>
                <w:rFonts w:cs="Arial"/>
                <w:sz w:val="18"/>
                <w:szCs w:val="18"/>
              </w:rPr>
              <w:t>1.103</w:t>
            </w:r>
          </w:p>
        </w:tc>
        <w:tc>
          <w:tcPr>
            <w:tcW w:w="1361" w:type="dxa"/>
            <w:tcBorders>
              <w:top w:val="nil"/>
              <w:left w:val="nil"/>
              <w:bottom w:val="nil"/>
              <w:right w:val="nil"/>
            </w:tcBorders>
            <w:vAlign w:val="bottom"/>
          </w:tcPr>
          <w:p w14:paraId="6D421DC5" w14:textId="05138239" w:rsidR="009F0AF7" w:rsidRPr="001D41EA" w:rsidRDefault="009F0AF7" w:rsidP="001D41EA">
            <w:pPr>
              <w:spacing w:before="40" w:after="20"/>
              <w:jc w:val="center"/>
              <w:rPr>
                <w:rFonts w:cs="Arial"/>
                <w:sz w:val="18"/>
                <w:szCs w:val="18"/>
              </w:rPr>
            </w:pPr>
            <w:r w:rsidRPr="001D41EA">
              <w:rPr>
                <w:rFonts w:cs="Arial"/>
                <w:sz w:val="18"/>
                <w:szCs w:val="18"/>
              </w:rPr>
              <w:t>1.002</w:t>
            </w:r>
          </w:p>
        </w:tc>
        <w:tc>
          <w:tcPr>
            <w:tcW w:w="1361" w:type="dxa"/>
            <w:tcBorders>
              <w:top w:val="nil"/>
              <w:left w:val="nil"/>
              <w:bottom w:val="nil"/>
              <w:right w:val="nil"/>
            </w:tcBorders>
            <w:vAlign w:val="bottom"/>
          </w:tcPr>
          <w:p w14:paraId="1C7D0BA0" w14:textId="58778452" w:rsidR="009F0AF7" w:rsidRPr="001D41EA" w:rsidRDefault="009F0AF7" w:rsidP="001D41EA">
            <w:pPr>
              <w:spacing w:before="40" w:after="20"/>
              <w:jc w:val="center"/>
              <w:rPr>
                <w:rFonts w:cs="Arial"/>
                <w:sz w:val="18"/>
                <w:szCs w:val="18"/>
              </w:rPr>
            </w:pPr>
            <w:r w:rsidRPr="001D41EA">
              <w:rPr>
                <w:rFonts w:cs="Arial"/>
                <w:sz w:val="18"/>
                <w:szCs w:val="18"/>
              </w:rPr>
              <w:t>1.147</w:t>
            </w:r>
          </w:p>
        </w:tc>
        <w:tc>
          <w:tcPr>
            <w:tcW w:w="1361" w:type="dxa"/>
            <w:tcBorders>
              <w:top w:val="nil"/>
              <w:left w:val="nil"/>
              <w:bottom w:val="nil"/>
              <w:right w:val="nil"/>
            </w:tcBorders>
            <w:shd w:val="clear" w:color="auto" w:fill="auto"/>
            <w:vAlign w:val="bottom"/>
          </w:tcPr>
          <w:p w14:paraId="0433B2C0" w14:textId="7C1C1FCB" w:rsidR="009F0AF7" w:rsidRPr="001D41EA" w:rsidRDefault="009F0AF7" w:rsidP="001D41EA">
            <w:pPr>
              <w:spacing w:before="40" w:after="20"/>
              <w:jc w:val="center"/>
              <w:rPr>
                <w:rFonts w:cs="Arial"/>
                <w:sz w:val="18"/>
                <w:szCs w:val="18"/>
              </w:rPr>
            </w:pPr>
            <w:r w:rsidRPr="001D41EA">
              <w:rPr>
                <w:rFonts w:cs="Arial"/>
                <w:sz w:val="18"/>
                <w:szCs w:val="18"/>
              </w:rPr>
              <w:t>0.936</w:t>
            </w:r>
          </w:p>
        </w:tc>
      </w:tr>
      <w:tr w:rsidR="009F0AF7" w:rsidRPr="001D41EA" w14:paraId="2177DCB3"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448AED2" w14:textId="77777777" w:rsidR="009F0AF7" w:rsidRPr="001D41EA" w:rsidRDefault="009F0AF7" w:rsidP="001D41EA">
            <w:pPr>
              <w:spacing w:before="40" w:after="20"/>
              <w:rPr>
                <w:rFonts w:cs="Arial"/>
                <w:sz w:val="18"/>
                <w:szCs w:val="18"/>
              </w:rPr>
            </w:pPr>
            <w:r w:rsidRPr="001D41EA">
              <w:rPr>
                <w:rFonts w:cs="Arial"/>
                <w:sz w:val="18"/>
                <w:szCs w:val="18"/>
              </w:rPr>
              <w:t>Moonee Valley C</w:t>
            </w:r>
          </w:p>
        </w:tc>
        <w:tc>
          <w:tcPr>
            <w:tcW w:w="1361" w:type="dxa"/>
            <w:tcBorders>
              <w:top w:val="nil"/>
              <w:left w:val="single" w:sz="18" w:space="0" w:color="5F497A" w:themeColor="accent4" w:themeShade="BF"/>
              <w:bottom w:val="nil"/>
              <w:right w:val="nil"/>
            </w:tcBorders>
            <w:shd w:val="clear" w:color="auto" w:fill="auto"/>
            <w:vAlign w:val="bottom"/>
          </w:tcPr>
          <w:p w14:paraId="53679B3C" w14:textId="5DFC9F10" w:rsidR="009F0AF7" w:rsidRPr="001D41EA" w:rsidRDefault="009F0AF7" w:rsidP="001D41EA">
            <w:pPr>
              <w:spacing w:before="40" w:after="20"/>
              <w:jc w:val="center"/>
              <w:rPr>
                <w:rFonts w:cs="Arial"/>
                <w:sz w:val="18"/>
                <w:szCs w:val="18"/>
              </w:rPr>
            </w:pPr>
            <w:r w:rsidRPr="001D41EA">
              <w:rPr>
                <w:rFonts w:cs="Arial"/>
                <w:sz w:val="18"/>
                <w:szCs w:val="18"/>
              </w:rPr>
              <w:t>0.991</w:t>
            </w:r>
          </w:p>
        </w:tc>
        <w:tc>
          <w:tcPr>
            <w:tcW w:w="1361" w:type="dxa"/>
            <w:tcBorders>
              <w:top w:val="nil"/>
              <w:left w:val="nil"/>
              <w:bottom w:val="nil"/>
              <w:right w:val="nil"/>
            </w:tcBorders>
            <w:shd w:val="clear" w:color="auto" w:fill="auto"/>
            <w:vAlign w:val="bottom"/>
          </w:tcPr>
          <w:p w14:paraId="48BB2AAF" w14:textId="3F6F0D71" w:rsidR="009F0AF7" w:rsidRPr="001D41EA" w:rsidRDefault="009F0AF7" w:rsidP="001D41EA">
            <w:pPr>
              <w:spacing w:before="40" w:after="20"/>
              <w:jc w:val="center"/>
              <w:rPr>
                <w:rFonts w:cs="Arial"/>
                <w:sz w:val="18"/>
                <w:szCs w:val="18"/>
              </w:rPr>
            </w:pPr>
            <w:r w:rsidRPr="001D41EA">
              <w:rPr>
                <w:rFonts w:cs="Arial"/>
                <w:sz w:val="18"/>
                <w:szCs w:val="18"/>
              </w:rPr>
              <w:t>1.073</w:t>
            </w:r>
          </w:p>
        </w:tc>
        <w:tc>
          <w:tcPr>
            <w:tcW w:w="1361" w:type="dxa"/>
            <w:tcBorders>
              <w:top w:val="nil"/>
              <w:left w:val="nil"/>
              <w:bottom w:val="nil"/>
              <w:right w:val="nil"/>
            </w:tcBorders>
            <w:vAlign w:val="bottom"/>
          </w:tcPr>
          <w:p w14:paraId="4F6145E7" w14:textId="22637FB8" w:rsidR="009F0AF7" w:rsidRPr="001D41EA" w:rsidRDefault="009F0AF7" w:rsidP="001D41EA">
            <w:pPr>
              <w:spacing w:before="40" w:after="20"/>
              <w:jc w:val="center"/>
              <w:rPr>
                <w:rFonts w:cs="Arial"/>
                <w:sz w:val="18"/>
                <w:szCs w:val="18"/>
              </w:rPr>
            </w:pPr>
            <w:r w:rsidRPr="001D41EA">
              <w:rPr>
                <w:rFonts w:cs="Arial"/>
                <w:sz w:val="18"/>
                <w:szCs w:val="18"/>
              </w:rPr>
              <w:t>0.932</w:t>
            </w:r>
          </w:p>
        </w:tc>
        <w:tc>
          <w:tcPr>
            <w:tcW w:w="1361" w:type="dxa"/>
            <w:tcBorders>
              <w:top w:val="nil"/>
              <w:left w:val="nil"/>
              <w:bottom w:val="nil"/>
              <w:right w:val="nil"/>
            </w:tcBorders>
            <w:vAlign w:val="bottom"/>
          </w:tcPr>
          <w:p w14:paraId="61C38FF3" w14:textId="5E277D40" w:rsidR="009F0AF7" w:rsidRPr="001D41EA" w:rsidRDefault="009F0AF7" w:rsidP="001D41EA">
            <w:pPr>
              <w:spacing w:before="40" w:after="20"/>
              <w:jc w:val="center"/>
              <w:rPr>
                <w:rFonts w:cs="Arial"/>
                <w:sz w:val="18"/>
                <w:szCs w:val="18"/>
              </w:rPr>
            </w:pPr>
            <w:r w:rsidRPr="001D41EA">
              <w:rPr>
                <w:rFonts w:cs="Arial"/>
                <w:sz w:val="18"/>
                <w:szCs w:val="18"/>
              </w:rPr>
              <w:t>1.028</w:t>
            </w:r>
          </w:p>
        </w:tc>
        <w:tc>
          <w:tcPr>
            <w:tcW w:w="1361" w:type="dxa"/>
            <w:tcBorders>
              <w:top w:val="nil"/>
              <w:left w:val="nil"/>
              <w:bottom w:val="nil"/>
              <w:right w:val="nil"/>
            </w:tcBorders>
            <w:shd w:val="clear" w:color="auto" w:fill="auto"/>
            <w:vAlign w:val="bottom"/>
          </w:tcPr>
          <w:p w14:paraId="26763FBC" w14:textId="2BFCDE10" w:rsidR="009F0AF7" w:rsidRPr="001D41EA" w:rsidRDefault="009F0AF7" w:rsidP="001D41EA">
            <w:pPr>
              <w:spacing w:before="40" w:after="20"/>
              <w:jc w:val="center"/>
              <w:rPr>
                <w:rFonts w:cs="Arial"/>
                <w:sz w:val="18"/>
                <w:szCs w:val="18"/>
              </w:rPr>
            </w:pPr>
            <w:r w:rsidRPr="001D41EA">
              <w:rPr>
                <w:rFonts w:cs="Arial"/>
                <w:sz w:val="18"/>
                <w:szCs w:val="18"/>
              </w:rPr>
              <w:t>1.034</w:t>
            </w:r>
          </w:p>
        </w:tc>
      </w:tr>
      <w:tr w:rsidR="009F0AF7" w:rsidRPr="001D41EA" w14:paraId="1A0DF90B"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E5A8ADC" w14:textId="77777777" w:rsidR="009F0AF7" w:rsidRPr="001D41EA" w:rsidRDefault="009F0AF7" w:rsidP="001D41EA">
            <w:pPr>
              <w:spacing w:before="40" w:after="20"/>
              <w:rPr>
                <w:rFonts w:cs="Arial"/>
                <w:sz w:val="18"/>
                <w:szCs w:val="18"/>
              </w:rPr>
            </w:pPr>
            <w:r w:rsidRPr="001D41EA">
              <w:rPr>
                <w:rFonts w:cs="Arial"/>
                <w:sz w:val="18"/>
                <w:szCs w:val="18"/>
              </w:rPr>
              <w:t>Moorabool S</w:t>
            </w:r>
          </w:p>
        </w:tc>
        <w:tc>
          <w:tcPr>
            <w:tcW w:w="1361" w:type="dxa"/>
            <w:tcBorders>
              <w:top w:val="nil"/>
              <w:left w:val="single" w:sz="18" w:space="0" w:color="5F497A" w:themeColor="accent4" w:themeShade="BF"/>
              <w:bottom w:val="nil"/>
              <w:right w:val="nil"/>
            </w:tcBorders>
            <w:shd w:val="clear" w:color="auto" w:fill="auto"/>
            <w:vAlign w:val="bottom"/>
          </w:tcPr>
          <w:p w14:paraId="428DC681" w14:textId="1EDFCF2D" w:rsidR="009F0AF7" w:rsidRPr="001D41EA" w:rsidRDefault="009F0AF7" w:rsidP="001D41EA">
            <w:pPr>
              <w:spacing w:before="40" w:after="20"/>
              <w:jc w:val="center"/>
              <w:rPr>
                <w:rFonts w:cs="Arial"/>
                <w:sz w:val="18"/>
                <w:szCs w:val="18"/>
              </w:rPr>
            </w:pPr>
            <w:r w:rsidRPr="001D41EA">
              <w:rPr>
                <w:rFonts w:cs="Arial"/>
                <w:sz w:val="18"/>
                <w:szCs w:val="18"/>
              </w:rPr>
              <w:t>0.931</w:t>
            </w:r>
          </w:p>
        </w:tc>
        <w:tc>
          <w:tcPr>
            <w:tcW w:w="1361" w:type="dxa"/>
            <w:tcBorders>
              <w:top w:val="nil"/>
              <w:left w:val="nil"/>
              <w:bottom w:val="nil"/>
              <w:right w:val="nil"/>
            </w:tcBorders>
            <w:shd w:val="clear" w:color="auto" w:fill="auto"/>
            <w:vAlign w:val="bottom"/>
          </w:tcPr>
          <w:p w14:paraId="54051FA0" w14:textId="0B1BB024" w:rsidR="009F0AF7" w:rsidRPr="001D41EA" w:rsidRDefault="009F0AF7" w:rsidP="001D41EA">
            <w:pPr>
              <w:spacing w:before="40" w:after="20"/>
              <w:jc w:val="center"/>
              <w:rPr>
                <w:rFonts w:cs="Arial"/>
                <w:sz w:val="18"/>
                <w:szCs w:val="18"/>
              </w:rPr>
            </w:pPr>
            <w:r w:rsidRPr="001D41EA">
              <w:rPr>
                <w:rFonts w:cs="Arial"/>
                <w:sz w:val="18"/>
                <w:szCs w:val="18"/>
              </w:rPr>
              <w:t>0.998</w:t>
            </w:r>
          </w:p>
        </w:tc>
        <w:tc>
          <w:tcPr>
            <w:tcW w:w="1361" w:type="dxa"/>
            <w:tcBorders>
              <w:top w:val="nil"/>
              <w:left w:val="nil"/>
              <w:bottom w:val="nil"/>
              <w:right w:val="nil"/>
            </w:tcBorders>
            <w:vAlign w:val="bottom"/>
          </w:tcPr>
          <w:p w14:paraId="639B1204" w14:textId="404110CC" w:rsidR="009F0AF7" w:rsidRPr="001D41EA" w:rsidRDefault="009F0AF7" w:rsidP="001D41EA">
            <w:pPr>
              <w:spacing w:before="40" w:after="20"/>
              <w:jc w:val="center"/>
              <w:rPr>
                <w:rFonts w:cs="Arial"/>
                <w:sz w:val="18"/>
                <w:szCs w:val="18"/>
              </w:rPr>
            </w:pPr>
            <w:r w:rsidRPr="001D41EA">
              <w:rPr>
                <w:rFonts w:cs="Arial"/>
                <w:sz w:val="18"/>
                <w:szCs w:val="18"/>
              </w:rPr>
              <w:t>0.955</w:t>
            </w:r>
          </w:p>
        </w:tc>
        <w:tc>
          <w:tcPr>
            <w:tcW w:w="1361" w:type="dxa"/>
            <w:tcBorders>
              <w:top w:val="nil"/>
              <w:left w:val="nil"/>
              <w:bottom w:val="nil"/>
              <w:right w:val="nil"/>
            </w:tcBorders>
            <w:vAlign w:val="bottom"/>
          </w:tcPr>
          <w:p w14:paraId="4F0F1BF0" w14:textId="1B2E3309" w:rsidR="009F0AF7" w:rsidRPr="001D41EA" w:rsidRDefault="009F0AF7" w:rsidP="001D41EA">
            <w:pPr>
              <w:spacing w:before="40" w:after="20"/>
              <w:jc w:val="center"/>
              <w:rPr>
                <w:rFonts w:cs="Arial"/>
                <w:sz w:val="18"/>
                <w:szCs w:val="18"/>
              </w:rPr>
            </w:pPr>
            <w:r w:rsidRPr="001D41EA">
              <w:rPr>
                <w:rFonts w:cs="Arial"/>
                <w:sz w:val="18"/>
                <w:szCs w:val="18"/>
              </w:rPr>
              <w:t>0.940</w:t>
            </w:r>
          </w:p>
        </w:tc>
        <w:tc>
          <w:tcPr>
            <w:tcW w:w="1361" w:type="dxa"/>
            <w:tcBorders>
              <w:top w:val="nil"/>
              <w:left w:val="nil"/>
              <w:bottom w:val="nil"/>
              <w:right w:val="nil"/>
            </w:tcBorders>
            <w:shd w:val="clear" w:color="auto" w:fill="auto"/>
            <w:vAlign w:val="bottom"/>
          </w:tcPr>
          <w:p w14:paraId="11AFA307" w14:textId="56689A57" w:rsidR="009F0AF7" w:rsidRPr="001D41EA" w:rsidRDefault="009F0AF7" w:rsidP="001D41EA">
            <w:pPr>
              <w:spacing w:before="40" w:after="20"/>
              <w:jc w:val="center"/>
              <w:rPr>
                <w:rFonts w:cs="Arial"/>
                <w:sz w:val="18"/>
                <w:szCs w:val="18"/>
              </w:rPr>
            </w:pPr>
            <w:r w:rsidRPr="001D41EA">
              <w:rPr>
                <w:rFonts w:cs="Arial"/>
                <w:sz w:val="18"/>
                <w:szCs w:val="18"/>
              </w:rPr>
              <w:t>0.877</w:t>
            </w:r>
          </w:p>
        </w:tc>
      </w:tr>
      <w:tr w:rsidR="009F0AF7" w:rsidRPr="001D41EA" w14:paraId="63040C85"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517E900" w14:textId="77777777" w:rsidR="009F0AF7" w:rsidRPr="001D41EA" w:rsidRDefault="009F0AF7" w:rsidP="001D41EA">
            <w:pPr>
              <w:spacing w:before="40" w:after="20"/>
              <w:rPr>
                <w:rFonts w:cs="Arial"/>
                <w:sz w:val="18"/>
                <w:szCs w:val="18"/>
              </w:rPr>
            </w:pPr>
            <w:r w:rsidRPr="001D41EA">
              <w:rPr>
                <w:rFonts w:cs="Arial"/>
                <w:sz w:val="18"/>
                <w:szCs w:val="18"/>
              </w:rPr>
              <w:t>Moreland C</w:t>
            </w:r>
          </w:p>
        </w:tc>
        <w:tc>
          <w:tcPr>
            <w:tcW w:w="1361" w:type="dxa"/>
            <w:tcBorders>
              <w:top w:val="nil"/>
              <w:left w:val="single" w:sz="18" w:space="0" w:color="5F497A" w:themeColor="accent4" w:themeShade="BF"/>
              <w:bottom w:val="nil"/>
              <w:right w:val="nil"/>
            </w:tcBorders>
            <w:shd w:val="clear" w:color="auto" w:fill="auto"/>
            <w:vAlign w:val="bottom"/>
          </w:tcPr>
          <w:p w14:paraId="21525BDA" w14:textId="05F5CCAF" w:rsidR="009F0AF7" w:rsidRPr="001D41EA" w:rsidRDefault="009F0AF7" w:rsidP="001D41EA">
            <w:pPr>
              <w:spacing w:before="40" w:after="20"/>
              <w:jc w:val="center"/>
              <w:rPr>
                <w:rFonts w:cs="Arial"/>
                <w:sz w:val="18"/>
                <w:szCs w:val="18"/>
              </w:rPr>
            </w:pPr>
            <w:r w:rsidRPr="001D41EA">
              <w:rPr>
                <w:rFonts w:cs="Arial"/>
                <w:sz w:val="18"/>
                <w:szCs w:val="18"/>
              </w:rPr>
              <w:t>0.834</w:t>
            </w:r>
          </w:p>
        </w:tc>
        <w:tc>
          <w:tcPr>
            <w:tcW w:w="1361" w:type="dxa"/>
            <w:tcBorders>
              <w:top w:val="nil"/>
              <w:left w:val="nil"/>
              <w:bottom w:val="nil"/>
              <w:right w:val="nil"/>
            </w:tcBorders>
            <w:shd w:val="clear" w:color="auto" w:fill="auto"/>
            <w:vAlign w:val="bottom"/>
          </w:tcPr>
          <w:p w14:paraId="6F9A6C2B" w14:textId="41B9F738" w:rsidR="009F0AF7" w:rsidRPr="001D41EA" w:rsidRDefault="009F0AF7" w:rsidP="001D41EA">
            <w:pPr>
              <w:spacing w:before="40" w:after="20"/>
              <w:jc w:val="center"/>
              <w:rPr>
                <w:rFonts w:cs="Arial"/>
                <w:sz w:val="18"/>
                <w:szCs w:val="18"/>
              </w:rPr>
            </w:pPr>
            <w:r w:rsidRPr="001D41EA">
              <w:rPr>
                <w:rFonts w:cs="Arial"/>
                <w:sz w:val="18"/>
                <w:szCs w:val="18"/>
              </w:rPr>
              <w:t>1.010</w:t>
            </w:r>
          </w:p>
        </w:tc>
        <w:tc>
          <w:tcPr>
            <w:tcW w:w="1361" w:type="dxa"/>
            <w:tcBorders>
              <w:top w:val="nil"/>
              <w:left w:val="nil"/>
              <w:bottom w:val="nil"/>
              <w:right w:val="nil"/>
            </w:tcBorders>
            <w:vAlign w:val="bottom"/>
          </w:tcPr>
          <w:p w14:paraId="1234B3BF" w14:textId="164DE82D" w:rsidR="009F0AF7" w:rsidRPr="001D41EA" w:rsidRDefault="009F0AF7" w:rsidP="001D41EA">
            <w:pPr>
              <w:spacing w:before="40" w:after="20"/>
              <w:jc w:val="center"/>
              <w:rPr>
                <w:rFonts w:cs="Arial"/>
                <w:sz w:val="18"/>
                <w:szCs w:val="18"/>
              </w:rPr>
            </w:pPr>
            <w:r w:rsidRPr="001D41EA">
              <w:rPr>
                <w:rFonts w:cs="Arial"/>
                <w:sz w:val="18"/>
                <w:szCs w:val="18"/>
              </w:rPr>
              <w:t>0.945</w:t>
            </w:r>
          </w:p>
        </w:tc>
        <w:tc>
          <w:tcPr>
            <w:tcW w:w="1361" w:type="dxa"/>
            <w:tcBorders>
              <w:top w:val="nil"/>
              <w:left w:val="nil"/>
              <w:bottom w:val="nil"/>
              <w:right w:val="nil"/>
            </w:tcBorders>
            <w:vAlign w:val="bottom"/>
          </w:tcPr>
          <w:p w14:paraId="0AE05F43" w14:textId="45D0CF1A" w:rsidR="009F0AF7" w:rsidRPr="001D41EA" w:rsidRDefault="009F0AF7" w:rsidP="001D41EA">
            <w:pPr>
              <w:spacing w:before="40" w:after="20"/>
              <w:jc w:val="center"/>
              <w:rPr>
                <w:rFonts w:cs="Arial"/>
                <w:sz w:val="18"/>
                <w:szCs w:val="18"/>
              </w:rPr>
            </w:pPr>
            <w:r w:rsidRPr="001D41EA">
              <w:rPr>
                <w:rFonts w:cs="Arial"/>
                <w:sz w:val="18"/>
                <w:szCs w:val="18"/>
              </w:rPr>
              <w:t>0.949</w:t>
            </w:r>
          </w:p>
        </w:tc>
        <w:tc>
          <w:tcPr>
            <w:tcW w:w="1361" w:type="dxa"/>
            <w:tcBorders>
              <w:top w:val="nil"/>
              <w:left w:val="nil"/>
              <w:bottom w:val="nil"/>
              <w:right w:val="nil"/>
            </w:tcBorders>
            <w:shd w:val="clear" w:color="auto" w:fill="auto"/>
            <w:vAlign w:val="bottom"/>
          </w:tcPr>
          <w:p w14:paraId="5CB33BA5" w14:textId="76A60098" w:rsidR="009F0AF7" w:rsidRPr="001D41EA" w:rsidRDefault="009F0AF7" w:rsidP="001D41EA">
            <w:pPr>
              <w:spacing w:before="40" w:after="20"/>
              <w:jc w:val="center"/>
              <w:rPr>
                <w:rFonts w:cs="Arial"/>
                <w:sz w:val="18"/>
                <w:szCs w:val="18"/>
              </w:rPr>
            </w:pPr>
            <w:r w:rsidRPr="001D41EA">
              <w:rPr>
                <w:rFonts w:cs="Arial"/>
                <w:sz w:val="18"/>
                <w:szCs w:val="18"/>
              </w:rPr>
              <w:t>0.916</w:t>
            </w:r>
          </w:p>
        </w:tc>
      </w:tr>
      <w:tr w:rsidR="009F0AF7" w:rsidRPr="001D41EA" w14:paraId="4015EFD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613384" w14:textId="77777777" w:rsidR="009F0AF7" w:rsidRPr="001D41EA" w:rsidRDefault="009F0AF7" w:rsidP="001D41EA">
            <w:pPr>
              <w:spacing w:before="40" w:after="20"/>
              <w:rPr>
                <w:rFonts w:cs="Arial"/>
                <w:sz w:val="18"/>
                <w:szCs w:val="18"/>
              </w:rPr>
            </w:pPr>
            <w:r w:rsidRPr="001D41EA">
              <w:rPr>
                <w:rFonts w:cs="Arial"/>
                <w:sz w:val="18"/>
                <w:szCs w:val="18"/>
              </w:rPr>
              <w:t>Mornington Peninsula S</w:t>
            </w:r>
          </w:p>
        </w:tc>
        <w:tc>
          <w:tcPr>
            <w:tcW w:w="1361" w:type="dxa"/>
            <w:tcBorders>
              <w:top w:val="nil"/>
              <w:left w:val="single" w:sz="18" w:space="0" w:color="5F497A" w:themeColor="accent4" w:themeShade="BF"/>
              <w:bottom w:val="nil"/>
              <w:right w:val="nil"/>
            </w:tcBorders>
            <w:shd w:val="clear" w:color="auto" w:fill="auto"/>
            <w:vAlign w:val="bottom"/>
          </w:tcPr>
          <w:p w14:paraId="050229B2" w14:textId="5971B37D" w:rsidR="009F0AF7" w:rsidRPr="001D41EA" w:rsidRDefault="009F0AF7" w:rsidP="001D41EA">
            <w:pPr>
              <w:spacing w:before="40" w:after="20"/>
              <w:jc w:val="center"/>
              <w:rPr>
                <w:rFonts w:cs="Arial"/>
                <w:sz w:val="18"/>
                <w:szCs w:val="18"/>
              </w:rPr>
            </w:pPr>
            <w:r w:rsidRPr="001D41EA">
              <w:rPr>
                <w:rFonts w:cs="Arial"/>
                <w:sz w:val="18"/>
                <w:szCs w:val="18"/>
              </w:rPr>
              <w:t>0.976</w:t>
            </w:r>
          </w:p>
        </w:tc>
        <w:tc>
          <w:tcPr>
            <w:tcW w:w="1361" w:type="dxa"/>
            <w:tcBorders>
              <w:top w:val="nil"/>
              <w:left w:val="nil"/>
              <w:bottom w:val="nil"/>
              <w:right w:val="nil"/>
            </w:tcBorders>
            <w:shd w:val="clear" w:color="auto" w:fill="auto"/>
            <w:vAlign w:val="bottom"/>
          </w:tcPr>
          <w:p w14:paraId="3F0643DE" w14:textId="79FFAE61" w:rsidR="009F0AF7" w:rsidRPr="001D41EA" w:rsidRDefault="009F0AF7" w:rsidP="001D41EA">
            <w:pPr>
              <w:spacing w:before="40" w:after="20"/>
              <w:jc w:val="center"/>
              <w:rPr>
                <w:rFonts w:cs="Arial"/>
                <w:sz w:val="18"/>
                <w:szCs w:val="18"/>
              </w:rPr>
            </w:pPr>
            <w:r w:rsidRPr="001D41EA">
              <w:rPr>
                <w:rFonts w:cs="Arial"/>
                <w:sz w:val="18"/>
                <w:szCs w:val="18"/>
              </w:rPr>
              <w:t>1.058</w:t>
            </w:r>
          </w:p>
        </w:tc>
        <w:tc>
          <w:tcPr>
            <w:tcW w:w="1361" w:type="dxa"/>
            <w:tcBorders>
              <w:top w:val="nil"/>
              <w:left w:val="nil"/>
              <w:bottom w:val="nil"/>
              <w:right w:val="nil"/>
            </w:tcBorders>
            <w:vAlign w:val="bottom"/>
          </w:tcPr>
          <w:p w14:paraId="6E6669F2" w14:textId="60D1B5A0" w:rsidR="009F0AF7" w:rsidRPr="001D41EA" w:rsidRDefault="009F0AF7" w:rsidP="001D41EA">
            <w:pPr>
              <w:spacing w:before="40" w:after="20"/>
              <w:jc w:val="center"/>
              <w:rPr>
                <w:rFonts w:cs="Arial"/>
                <w:sz w:val="18"/>
                <w:szCs w:val="18"/>
              </w:rPr>
            </w:pPr>
            <w:r w:rsidRPr="001D41EA">
              <w:rPr>
                <w:rFonts w:cs="Arial"/>
                <w:sz w:val="18"/>
                <w:szCs w:val="18"/>
              </w:rPr>
              <w:t>1.134</w:t>
            </w:r>
          </w:p>
        </w:tc>
        <w:tc>
          <w:tcPr>
            <w:tcW w:w="1361" w:type="dxa"/>
            <w:tcBorders>
              <w:top w:val="nil"/>
              <w:left w:val="nil"/>
              <w:bottom w:val="nil"/>
              <w:right w:val="nil"/>
            </w:tcBorders>
            <w:vAlign w:val="bottom"/>
          </w:tcPr>
          <w:p w14:paraId="69FB61FF" w14:textId="683194AA" w:rsidR="009F0AF7" w:rsidRPr="001D41EA" w:rsidRDefault="009F0AF7" w:rsidP="001D41EA">
            <w:pPr>
              <w:spacing w:before="40" w:after="20"/>
              <w:jc w:val="center"/>
              <w:rPr>
                <w:rFonts w:cs="Arial"/>
                <w:sz w:val="18"/>
                <w:szCs w:val="18"/>
              </w:rPr>
            </w:pPr>
            <w:r w:rsidRPr="001D41EA">
              <w:rPr>
                <w:rFonts w:cs="Arial"/>
                <w:sz w:val="18"/>
                <w:szCs w:val="18"/>
              </w:rPr>
              <w:t>1.127</w:t>
            </w:r>
          </w:p>
        </w:tc>
        <w:tc>
          <w:tcPr>
            <w:tcW w:w="1361" w:type="dxa"/>
            <w:tcBorders>
              <w:top w:val="nil"/>
              <w:left w:val="nil"/>
              <w:bottom w:val="nil"/>
              <w:right w:val="nil"/>
            </w:tcBorders>
            <w:shd w:val="clear" w:color="auto" w:fill="auto"/>
            <w:vAlign w:val="bottom"/>
          </w:tcPr>
          <w:p w14:paraId="6BEB61DB" w14:textId="512119EB" w:rsidR="009F0AF7" w:rsidRPr="001D41EA" w:rsidRDefault="009F0AF7" w:rsidP="001D41EA">
            <w:pPr>
              <w:spacing w:before="40" w:after="20"/>
              <w:jc w:val="center"/>
              <w:rPr>
                <w:rFonts w:cs="Arial"/>
                <w:sz w:val="18"/>
                <w:szCs w:val="18"/>
              </w:rPr>
            </w:pPr>
            <w:r w:rsidRPr="001D41EA">
              <w:rPr>
                <w:rFonts w:cs="Arial"/>
                <w:sz w:val="18"/>
                <w:szCs w:val="18"/>
              </w:rPr>
              <w:t>0.864</w:t>
            </w:r>
          </w:p>
        </w:tc>
      </w:tr>
      <w:tr w:rsidR="009F0AF7" w:rsidRPr="001D41EA" w14:paraId="64AD1778"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49DF613" w14:textId="77777777" w:rsidR="009F0AF7" w:rsidRPr="001D41EA" w:rsidRDefault="009F0AF7" w:rsidP="001D41EA">
            <w:pPr>
              <w:spacing w:before="40" w:after="20"/>
              <w:rPr>
                <w:rFonts w:cs="Arial"/>
                <w:sz w:val="18"/>
                <w:szCs w:val="18"/>
              </w:rPr>
            </w:pPr>
            <w:r w:rsidRPr="001D41EA">
              <w:rPr>
                <w:rFonts w:cs="Arial"/>
                <w:sz w:val="18"/>
                <w:szCs w:val="18"/>
              </w:rPr>
              <w:t>Mount Alexander S</w:t>
            </w:r>
          </w:p>
        </w:tc>
        <w:tc>
          <w:tcPr>
            <w:tcW w:w="1361" w:type="dxa"/>
            <w:tcBorders>
              <w:top w:val="nil"/>
              <w:left w:val="single" w:sz="18" w:space="0" w:color="5F497A" w:themeColor="accent4" w:themeShade="BF"/>
              <w:bottom w:val="nil"/>
              <w:right w:val="nil"/>
            </w:tcBorders>
            <w:shd w:val="clear" w:color="auto" w:fill="auto"/>
            <w:vAlign w:val="bottom"/>
          </w:tcPr>
          <w:p w14:paraId="5AF605E0" w14:textId="7DEC363E" w:rsidR="009F0AF7" w:rsidRPr="001D41EA" w:rsidRDefault="009F0AF7" w:rsidP="001D41EA">
            <w:pPr>
              <w:spacing w:before="40" w:after="20"/>
              <w:jc w:val="center"/>
              <w:rPr>
                <w:rFonts w:cs="Arial"/>
                <w:sz w:val="18"/>
                <w:szCs w:val="18"/>
              </w:rPr>
            </w:pPr>
            <w:r w:rsidRPr="001D41EA">
              <w:rPr>
                <w:rFonts w:cs="Arial"/>
                <w:sz w:val="18"/>
                <w:szCs w:val="18"/>
              </w:rPr>
              <w:t>0.866</w:t>
            </w:r>
          </w:p>
        </w:tc>
        <w:tc>
          <w:tcPr>
            <w:tcW w:w="1361" w:type="dxa"/>
            <w:tcBorders>
              <w:top w:val="nil"/>
              <w:left w:val="nil"/>
              <w:bottom w:val="nil"/>
              <w:right w:val="nil"/>
            </w:tcBorders>
            <w:shd w:val="clear" w:color="auto" w:fill="auto"/>
            <w:vAlign w:val="bottom"/>
          </w:tcPr>
          <w:p w14:paraId="2B4C4D73" w14:textId="69E9DB9C" w:rsidR="009F0AF7" w:rsidRPr="001D41EA" w:rsidRDefault="009F0AF7" w:rsidP="001D41EA">
            <w:pPr>
              <w:spacing w:before="40" w:after="20"/>
              <w:jc w:val="center"/>
              <w:rPr>
                <w:rFonts w:cs="Arial"/>
                <w:sz w:val="18"/>
                <w:szCs w:val="18"/>
              </w:rPr>
            </w:pPr>
            <w:r w:rsidRPr="001D41EA">
              <w:rPr>
                <w:rFonts w:cs="Arial"/>
                <w:sz w:val="18"/>
                <w:szCs w:val="18"/>
              </w:rPr>
              <w:t>0.953</w:t>
            </w:r>
          </w:p>
        </w:tc>
        <w:tc>
          <w:tcPr>
            <w:tcW w:w="1361" w:type="dxa"/>
            <w:tcBorders>
              <w:top w:val="nil"/>
              <w:left w:val="nil"/>
              <w:bottom w:val="nil"/>
              <w:right w:val="nil"/>
            </w:tcBorders>
            <w:vAlign w:val="bottom"/>
          </w:tcPr>
          <w:p w14:paraId="2943FDE9" w14:textId="4B9AEFE0" w:rsidR="009F0AF7" w:rsidRPr="001D41EA" w:rsidRDefault="009F0AF7" w:rsidP="001D41EA">
            <w:pPr>
              <w:spacing w:before="40" w:after="20"/>
              <w:jc w:val="center"/>
              <w:rPr>
                <w:rFonts w:cs="Arial"/>
                <w:sz w:val="18"/>
                <w:szCs w:val="18"/>
              </w:rPr>
            </w:pPr>
            <w:r w:rsidRPr="001D41EA">
              <w:rPr>
                <w:rFonts w:cs="Arial"/>
                <w:sz w:val="18"/>
                <w:szCs w:val="18"/>
              </w:rPr>
              <w:t>1.096</w:t>
            </w:r>
          </w:p>
        </w:tc>
        <w:tc>
          <w:tcPr>
            <w:tcW w:w="1361" w:type="dxa"/>
            <w:tcBorders>
              <w:top w:val="nil"/>
              <w:left w:val="nil"/>
              <w:bottom w:val="nil"/>
              <w:right w:val="nil"/>
            </w:tcBorders>
            <w:vAlign w:val="bottom"/>
          </w:tcPr>
          <w:p w14:paraId="307091E9" w14:textId="11F1360D" w:rsidR="009F0AF7" w:rsidRPr="001D41EA" w:rsidRDefault="009F0AF7" w:rsidP="001D41EA">
            <w:pPr>
              <w:spacing w:before="40" w:after="20"/>
              <w:jc w:val="center"/>
              <w:rPr>
                <w:rFonts w:cs="Arial"/>
                <w:sz w:val="18"/>
                <w:szCs w:val="18"/>
              </w:rPr>
            </w:pPr>
            <w:r w:rsidRPr="001D41EA">
              <w:rPr>
                <w:rFonts w:cs="Arial"/>
                <w:sz w:val="18"/>
                <w:szCs w:val="18"/>
              </w:rPr>
              <w:t>0.843</w:t>
            </w:r>
          </w:p>
        </w:tc>
        <w:tc>
          <w:tcPr>
            <w:tcW w:w="1361" w:type="dxa"/>
            <w:tcBorders>
              <w:top w:val="nil"/>
              <w:left w:val="nil"/>
              <w:bottom w:val="nil"/>
              <w:right w:val="nil"/>
            </w:tcBorders>
            <w:shd w:val="clear" w:color="auto" w:fill="auto"/>
            <w:vAlign w:val="bottom"/>
          </w:tcPr>
          <w:p w14:paraId="699A6F4F" w14:textId="6DB343BF" w:rsidR="009F0AF7" w:rsidRPr="001D41EA" w:rsidRDefault="009F0AF7" w:rsidP="001D41EA">
            <w:pPr>
              <w:spacing w:before="40" w:after="20"/>
              <w:jc w:val="center"/>
              <w:rPr>
                <w:rFonts w:cs="Arial"/>
                <w:sz w:val="18"/>
                <w:szCs w:val="18"/>
              </w:rPr>
            </w:pPr>
            <w:r w:rsidRPr="001D41EA">
              <w:rPr>
                <w:rFonts w:cs="Arial"/>
                <w:sz w:val="18"/>
                <w:szCs w:val="18"/>
              </w:rPr>
              <w:t>0.948</w:t>
            </w:r>
          </w:p>
        </w:tc>
      </w:tr>
      <w:tr w:rsidR="009F0AF7" w:rsidRPr="001D41EA" w14:paraId="5D82BB45"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F6A3467" w14:textId="77777777" w:rsidR="009F0AF7" w:rsidRPr="001D41EA" w:rsidRDefault="009F0AF7" w:rsidP="001D41EA">
            <w:pPr>
              <w:spacing w:before="40" w:after="20"/>
              <w:rPr>
                <w:rFonts w:cs="Arial"/>
                <w:sz w:val="18"/>
                <w:szCs w:val="18"/>
              </w:rPr>
            </w:pPr>
            <w:r w:rsidRPr="001D41EA">
              <w:rPr>
                <w:rFonts w:cs="Arial"/>
                <w:sz w:val="18"/>
                <w:szCs w:val="18"/>
              </w:rPr>
              <w:t>Moyne S</w:t>
            </w:r>
          </w:p>
        </w:tc>
        <w:tc>
          <w:tcPr>
            <w:tcW w:w="1361" w:type="dxa"/>
            <w:tcBorders>
              <w:top w:val="nil"/>
              <w:left w:val="single" w:sz="18" w:space="0" w:color="5F497A" w:themeColor="accent4" w:themeShade="BF"/>
              <w:bottom w:val="nil"/>
              <w:right w:val="nil"/>
            </w:tcBorders>
            <w:shd w:val="clear" w:color="auto" w:fill="auto"/>
            <w:vAlign w:val="bottom"/>
          </w:tcPr>
          <w:p w14:paraId="08693D25" w14:textId="113AEAFA" w:rsidR="009F0AF7" w:rsidRPr="001D41EA" w:rsidRDefault="009F0AF7" w:rsidP="001D41EA">
            <w:pPr>
              <w:spacing w:before="40" w:after="20"/>
              <w:jc w:val="center"/>
              <w:rPr>
                <w:rFonts w:cs="Arial"/>
                <w:sz w:val="18"/>
                <w:szCs w:val="18"/>
              </w:rPr>
            </w:pPr>
            <w:r w:rsidRPr="001D41EA">
              <w:rPr>
                <w:rFonts w:cs="Arial"/>
                <w:sz w:val="18"/>
                <w:szCs w:val="18"/>
              </w:rPr>
              <w:t>0.921</w:t>
            </w:r>
          </w:p>
        </w:tc>
        <w:tc>
          <w:tcPr>
            <w:tcW w:w="1361" w:type="dxa"/>
            <w:tcBorders>
              <w:top w:val="nil"/>
              <w:left w:val="nil"/>
              <w:bottom w:val="nil"/>
              <w:right w:val="nil"/>
            </w:tcBorders>
            <w:shd w:val="clear" w:color="auto" w:fill="auto"/>
            <w:vAlign w:val="bottom"/>
          </w:tcPr>
          <w:p w14:paraId="485B733B" w14:textId="1C554493" w:rsidR="009F0AF7" w:rsidRPr="001D41EA" w:rsidRDefault="009F0AF7" w:rsidP="001D41EA">
            <w:pPr>
              <w:spacing w:before="40" w:after="20"/>
              <w:jc w:val="center"/>
              <w:rPr>
                <w:rFonts w:cs="Arial"/>
                <w:sz w:val="18"/>
                <w:szCs w:val="18"/>
              </w:rPr>
            </w:pPr>
            <w:r w:rsidRPr="001D41EA">
              <w:rPr>
                <w:rFonts w:cs="Arial"/>
                <w:sz w:val="18"/>
                <w:szCs w:val="18"/>
              </w:rPr>
              <w:t>1.016</w:t>
            </w:r>
          </w:p>
        </w:tc>
        <w:tc>
          <w:tcPr>
            <w:tcW w:w="1361" w:type="dxa"/>
            <w:tcBorders>
              <w:top w:val="nil"/>
              <w:left w:val="nil"/>
              <w:bottom w:val="nil"/>
              <w:right w:val="nil"/>
            </w:tcBorders>
            <w:vAlign w:val="bottom"/>
          </w:tcPr>
          <w:p w14:paraId="77608083" w14:textId="0E348762" w:rsidR="009F0AF7" w:rsidRPr="001D41EA" w:rsidRDefault="009F0AF7" w:rsidP="001D41EA">
            <w:pPr>
              <w:spacing w:before="40" w:after="20"/>
              <w:jc w:val="center"/>
              <w:rPr>
                <w:rFonts w:cs="Arial"/>
                <w:sz w:val="18"/>
                <w:szCs w:val="18"/>
              </w:rPr>
            </w:pPr>
            <w:r w:rsidRPr="001D41EA">
              <w:rPr>
                <w:rFonts w:cs="Arial"/>
                <w:sz w:val="18"/>
                <w:szCs w:val="18"/>
              </w:rPr>
              <w:t>1.110</w:t>
            </w:r>
          </w:p>
        </w:tc>
        <w:tc>
          <w:tcPr>
            <w:tcW w:w="1361" w:type="dxa"/>
            <w:tcBorders>
              <w:top w:val="nil"/>
              <w:left w:val="nil"/>
              <w:bottom w:val="nil"/>
              <w:right w:val="nil"/>
            </w:tcBorders>
            <w:vAlign w:val="bottom"/>
          </w:tcPr>
          <w:p w14:paraId="4C2F18E0" w14:textId="103A7520" w:rsidR="009F0AF7" w:rsidRPr="001D41EA" w:rsidRDefault="009F0AF7" w:rsidP="001D41EA">
            <w:pPr>
              <w:spacing w:before="40" w:after="20"/>
              <w:jc w:val="center"/>
              <w:rPr>
                <w:rFonts w:cs="Arial"/>
                <w:sz w:val="18"/>
                <w:szCs w:val="18"/>
              </w:rPr>
            </w:pPr>
            <w:r w:rsidRPr="001D41EA">
              <w:rPr>
                <w:rFonts w:cs="Arial"/>
                <w:sz w:val="18"/>
                <w:szCs w:val="18"/>
              </w:rPr>
              <w:t>0.863</w:t>
            </w:r>
          </w:p>
        </w:tc>
        <w:tc>
          <w:tcPr>
            <w:tcW w:w="1361" w:type="dxa"/>
            <w:tcBorders>
              <w:top w:val="nil"/>
              <w:left w:val="nil"/>
              <w:bottom w:val="nil"/>
              <w:right w:val="nil"/>
            </w:tcBorders>
            <w:shd w:val="clear" w:color="auto" w:fill="auto"/>
            <w:vAlign w:val="bottom"/>
          </w:tcPr>
          <w:p w14:paraId="45DA29CF" w14:textId="2DABFAC8" w:rsidR="009F0AF7" w:rsidRPr="001D41EA" w:rsidRDefault="009F0AF7" w:rsidP="001D41EA">
            <w:pPr>
              <w:spacing w:before="40" w:after="20"/>
              <w:jc w:val="center"/>
              <w:rPr>
                <w:rFonts w:cs="Arial"/>
                <w:sz w:val="18"/>
                <w:szCs w:val="18"/>
              </w:rPr>
            </w:pPr>
            <w:r w:rsidRPr="001D41EA">
              <w:rPr>
                <w:rFonts w:cs="Arial"/>
                <w:sz w:val="18"/>
                <w:szCs w:val="18"/>
              </w:rPr>
              <w:t>0.734</w:t>
            </w:r>
          </w:p>
        </w:tc>
      </w:tr>
      <w:tr w:rsidR="009F0AF7" w:rsidRPr="001D41EA" w14:paraId="30FF5039"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B57346F" w14:textId="77777777" w:rsidR="009F0AF7" w:rsidRPr="001D41EA" w:rsidRDefault="009F0AF7" w:rsidP="001D41EA">
            <w:pPr>
              <w:spacing w:before="40" w:after="20"/>
              <w:rPr>
                <w:rFonts w:cs="Arial"/>
                <w:sz w:val="18"/>
                <w:szCs w:val="18"/>
              </w:rPr>
            </w:pPr>
            <w:r w:rsidRPr="001D41EA">
              <w:rPr>
                <w:rFonts w:cs="Arial"/>
                <w:sz w:val="18"/>
                <w:szCs w:val="18"/>
              </w:rPr>
              <w:t>Murrindindi S</w:t>
            </w:r>
          </w:p>
        </w:tc>
        <w:tc>
          <w:tcPr>
            <w:tcW w:w="1361" w:type="dxa"/>
            <w:tcBorders>
              <w:top w:val="nil"/>
              <w:left w:val="single" w:sz="18" w:space="0" w:color="5F497A" w:themeColor="accent4" w:themeShade="BF"/>
              <w:bottom w:val="nil"/>
              <w:right w:val="nil"/>
            </w:tcBorders>
            <w:shd w:val="clear" w:color="auto" w:fill="auto"/>
            <w:vAlign w:val="bottom"/>
          </w:tcPr>
          <w:p w14:paraId="5B837584" w14:textId="39C0A04D" w:rsidR="009F0AF7" w:rsidRPr="001D41EA" w:rsidRDefault="009F0AF7" w:rsidP="001D41EA">
            <w:pPr>
              <w:spacing w:before="40" w:after="20"/>
              <w:jc w:val="center"/>
              <w:rPr>
                <w:rFonts w:cs="Arial"/>
                <w:sz w:val="18"/>
                <w:szCs w:val="18"/>
              </w:rPr>
            </w:pPr>
            <w:r w:rsidRPr="001D41EA">
              <w:rPr>
                <w:rFonts w:cs="Arial"/>
                <w:sz w:val="18"/>
                <w:szCs w:val="18"/>
              </w:rPr>
              <w:t>0.854</w:t>
            </w:r>
          </w:p>
        </w:tc>
        <w:tc>
          <w:tcPr>
            <w:tcW w:w="1361" w:type="dxa"/>
            <w:tcBorders>
              <w:top w:val="nil"/>
              <w:left w:val="nil"/>
              <w:bottom w:val="nil"/>
              <w:right w:val="nil"/>
            </w:tcBorders>
            <w:shd w:val="clear" w:color="auto" w:fill="auto"/>
            <w:vAlign w:val="bottom"/>
          </w:tcPr>
          <w:p w14:paraId="5D403812" w14:textId="2DD2750D" w:rsidR="009F0AF7" w:rsidRPr="001D41EA" w:rsidRDefault="009F0AF7" w:rsidP="001D41EA">
            <w:pPr>
              <w:spacing w:before="40" w:after="20"/>
              <w:jc w:val="center"/>
              <w:rPr>
                <w:rFonts w:cs="Arial"/>
                <w:sz w:val="18"/>
                <w:szCs w:val="18"/>
              </w:rPr>
            </w:pPr>
            <w:r w:rsidRPr="001D41EA">
              <w:rPr>
                <w:rFonts w:cs="Arial"/>
                <w:sz w:val="18"/>
                <w:szCs w:val="18"/>
              </w:rPr>
              <w:t>0.956</w:t>
            </w:r>
          </w:p>
        </w:tc>
        <w:tc>
          <w:tcPr>
            <w:tcW w:w="1361" w:type="dxa"/>
            <w:tcBorders>
              <w:top w:val="nil"/>
              <w:left w:val="nil"/>
              <w:bottom w:val="nil"/>
              <w:right w:val="nil"/>
            </w:tcBorders>
            <w:vAlign w:val="bottom"/>
          </w:tcPr>
          <w:p w14:paraId="03B3F2B2" w14:textId="7DE14DB5" w:rsidR="009F0AF7" w:rsidRPr="001D41EA" w:rsidRDefault="009F0AF7" w:rsidP="001D41EA">
            <w:pPr>
              <w:spacing w:before="40" w:after="20"/>
              <w:jc w:val="center"/>
              <w:rPr>
                <w:rFonts w:cs="Arial"/>
                <w:sz w:val="18"/>
                <w:szCs w:val="18"/>
              </w:rPr>
            </w:pPr>
            <w:r w:rsidRPr="001D41EA">
              <w:rPr>
                <w:rFonts w:cs="Arial"/>
                <w:sz w:val="18"/>
                <w:szCs w:val="18"/>
              </w:rPr>
              <w:t>1.335</w:t>
            </w:r>
          </w:p>
        </w:tc>
        <w:tc>
          <w:tcPr>
            <w:tcW w:w="1361" w:type="dxa"/>
            <w:tcBorders>
              <w:top w:val="nil"/>
              <w:left w:val="nil"/>
              <w:bottom w:val="nil"/>
              <w:right w:val="nil"/>
            </w:tcBorders>
            <w:vAlign w:val="bottom"/>
          </w:tcPr>
          <w:p w14:paraId="29723636" w14:textId="476F1EBA" w:rsidR="009F0AF7" w:rsidRPr="001D41EA" w:rsidRDefault="009F0AF7" w:rsidP="001D41EA">
            <w:pPr>
              <w:spacing w:before="40" w:after="20"/>
              <w:jc w:val="center"/>
              <w:rPr>
                <w:rFonts w:cs="Arial"/>
                <w:sz w:val="18"/>
                <w:szCs w:val="18"/>
              </w:rPr>
            </w:pPr>
            <w:r w:rsidRPr="001D41EA">
              <w:rPr>
                <w:rFonts w:cs="Arial"/>
                <w:sz w:val="18"/>
                <w:szCs w:val="18"/>
              </w:rPr>
              <w:t>0.859</w:t>
            </w:r>
          </w:p>
        </w:tc>
        <w:tc>
          <w:tcPr>
            <w:tcW w:w="1361" w:type="dxa"/>
            <w:tcBorders>
              <w:top w:val="nil"/>
              <w:left w:val="nil"/>
              <w:bottom w:val="nil"/>
              <w:right w:val="nil"/>
            </w:tcBorders>
            <w:shd w:val="clear" w:color="auto" w:fill="auto"/>
            <w:vAlign w:val="bottom"/>
          </w:tcPr>
          <w:p w14:paraId="1D967B27" w14:textId="0CFA96B9" w:rsidR="009F0AF7" w:rsidRPr="001D41EA" w:rsidRDefault="009F0AF7" w:rsidP="001D41EA">
            <w:pPr>
              <w:spacing w:before="40" w:after="20"/>
              <w:jc w:val="center"/>
              <w:rPr>
                <w:rFonts w:cs="Arial"/>
                <w:sz w:val="18"/>
                <w:szCs w:val="18"/>
              </w:rPr>
            </w:pPr>
            <w:r w:rsidRPr="001D41EA">
              <w:rPr>
                <w:rFonts w:cs="Arial"/>
                <w:sz w:val="18"/>
                <w:szCs w:val="18"/>
              </w:rPr>
              <w:t>0.870</w:t>
            </w:r>
          </w:p>
        </w:tc>
      </w:tr>
      <w:tr w:rsidR="009F0AF7" w:rsidRPr="001D41EA" w14:paraId="4161DBB0"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DB5785E" w14:textId="77777777" w:rsidR="009F0AF7" w:rsidRPr="001D41EA" w:rsidRDefault="009F0AF7" w:rsidP="001D41EA">
            <w:pPr>
              <w:spacing w:before="40" w:after="20"/>
              <w:rPr>
                <w:rFonts w:cs="Arial"/>
                <w:sz w:val="18"/>
                <w:szCs w:val="18"/>
              </w:rPr>
            </w:pPr>
            <w:r w:rsidRPr="001D41EA">
              <w:rPr>
                <w:rFonts w:cs="Arial"/>
                <w:sz w:val="18"/>
                <w:szCs w:val="18"/>
              </w:rPr>
              <w:t>Nillumbik S</w:t>
            </w:r>
          </w:p>
        </w:tc>
        <w:tc>
          <w:tcPr>
            <w:tcW w:w="1361" w:type="dxa"/>
            <w:tcBorders>
              <w:top w:val="nil"/>
              <w:left w:val="single" w:sz="18" w:space="0" w:color="5F497A" w:themeColor="accent4" w:themeShade="BF"/>
              <w:bottom w:val="nil"/>
              <w:right w:val="nil"/>
            </w:tcBorders>
            <w:shd w:val="clear" w:color="auto" w:fill="auto"/>
            <w:vAlign w:val="bottom"/>
          </w:tcPr>
          <w:p w14:paraId="45D789F0" w14:textId="0474DFD2" w:rsidR="009F0AF7" w:rsidRPr="001D41EA" w:rsidRDefault="009F0AF7" w:rsidP="001D41EA">
            <w:pPr>
              <w:spacing w:before="40" w:after="20"/>
              <w:jc w:val="center"/>
              <w:rPr>
                <w:rFonts w:cs="Arial"/>
                <w:sz w:val="18"/>
                <w:szCs w:val="18"/>
              </w:rPr>
            </w:pPr>
            <w:r w:rsidRPr="001D41EA">
              <w:rPr>
                <w:rFonts w:cs="Arial"/>
                <w:sz w:val="18"/>
                <w:szCs w:val="18"/>
              </w:rPr>
              <w:t>1.355</w:t>
            </w:r>
          </w:p>
        </w:tc>
        <w:tc>
          <w:tcPr>
            <w:tcW w:w="1361" w:type="dxa"/>
            <w:tcBorders>
              <w:top w:val="nil"/>
              <w:left w:val="nil"/>
              <w:bottom w:val="nil"/>
              <w:right w:val="nil"/>
            </w:tcBorders>
            <w:shd w:val="clear" w:color="auto" w:fill="auto"/>
            <w:vAlign w:val="bottom"/>
          </w:tcPr>
          <w:p w14:paraId="78D38337" w14:textId="12BB4000" w:rsidR="009F0AF7" w:rsidRPr="001D41EA" w:rsidRDefault="009F0AF7" w:rsidP="001D41EA">
            <w:pPr>
              <w:spacing w:before="40" w:after="20"/>
              <w:jc w:val="center"/>
              <w:rPr>
                <w:rFonts w:cs="Arial"/>
                <w:sz w:val="18"/>
                <w:szCs w:val="18"/>
              </w:rPr>
            </w:pPr>
            <w:r w:rsidRPr="001D41EA">
              <w:rPr>
                <w:rFonts w:cs="Arial"/>
                <w:sz w:val="18"/>
                <w:szCs w:val="18"/>
              </w:rPr>
              <w:t>1.266</w:t>
            </w:r>
          </w:p>
        </w:tc>
        <w:tc>
          <w:tcPr>
            <w:tcW w:w="1361" w:type="dxa"/>
            <w:tcBorders>
              <w:top w:val="nil"/>
              <w:left w:val="nil"/>
              <w:bottom w:val="nil"/>
              <w:right w:val="nil"/>
            </w:tcBorders>
            <w:vAlign w:val="bottom"/>
          </w:tcPr>
          <w:p w14:paraId="655DDCAC" w14:textId="34930922" w:rsidR="009F0AF7" w:rsidRPr="001D41EA" w:rsidRDefault="009F0AF7" w:rsidP="001D41EA">
            <w:pPr>
              <w:spacing w:before="40" w:after="20"/>
              <w:jc w:val="center"/>
              <w:rPr>
                <w:rFonts w:cs="Arial"/>
                <w:sz w:val="18"/>
                <w:szCs w:val="18"/>
              </w:rPr>
            </w:pPr>
            <w:r w:rsidRPr="001D41EA">
              <w:rPr>
                <w:rFonts w:cs="Arial"/>
                <w:sz w:val="18"/>
                <w:szCs w:val="18"/>
              </w:rPr>
              <w:t>0.912</w:t>
            </w:r>
          </w:p>
        </w:tc>
        <w:tc>
          <w:tcPr>
            <w:tcW w:w="1361" w:type="dxa"/>
            <w:tcBorders>
              <w:top w:val="nil"/>
              <w:left w:val="nil"/>
              <w:bottom w:val="nil"/>
              <w:right w:val="nil"/>
            </w:tcBorders>
            <w:vAlign w:val="bottom"/>
          </w:tcPr>
          <w:p w14:paraId="5CE7B0E3" w14:textId="07D21B9F" w:rsidR="009F0AF7" w:rsidRPr="001D41EA" w:rsidRDefault="009F0AF7" w:rsidP="001D41EA">
            <w:pPr>
              <w:spacing w:before="40" w:after="20"/>
              <w:jc w:val="center"/>
              <w:rPr>
                <w:rFonts w:cs="Arial"/>
                <w:sz w:val="18"/>
                <w:szCs w:val="18"/>
              </w:rPr>
            </w:pPr>
            <w:r w:rsidRPr="001D41EA">
              <w:rPr>
                <w:rFonts w:cs="Arial"/>
                <w:sz w:val="18"/>
                <w:szCs w:val="18"/>
              </w:rPr>
              <w:t>0.786</w:t>
            </w:r>
          </w:p>
        </w:tc>
        <w:tc>
          <w:tcPr>
            <w:tcW w:w="1361" w:type="dxa"/>
            <w:tcBorders>
              <w:top w:val="nil"/>
              <w:left w:val="nil"/>
              <w:bottom w:val="nil"/>
              <w:right w:val="nil"/>
            </w:tcBorders>
            <w:shd w:val="clear" w:color="auto" w:fill="auto"/>
            <w:vAlign w:val="bottom"/>
          </w:tcPr>
          <w:p w14:paraId="3F79DEB7" w14:textId="227A5411" w:rsidR="009F0AF7" w:rsidRPr="001D41EA" w:rsidRDefault="009F0AF7" w:rsidP="001D41EA">
            <w:pPr>
              <w:spacing w:before="40" w:after="20"/>
              <w:jc w:val="center"/>
              <w:rPr>
                <w:rFonts w:cs="Arial"/>
                <w:sz w:val="18"/>
                <w:szCs w:val="18"/>
              </w:rPr>
            </w:pPr>
            <w:r w:rsidRPr="001D41EA">
              <w:rPr>
                <w:rFonts w:cs="Arial"/>
                <w:sz w:val="18"/>
                <w:szCs w:val="18"/>
              </w:rPr>
              <w:t>0.779</w:t>
            </w:r>
          </w:p>
        </w:tc>
      </w:tr>
      <w:tr w:rsidR="009F0AF7" w:rsidRPr="001D41EA" w14:paraId="224DE948"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235B42B" w14:textId="77777777" w:rsidR="009F0AF7" w:rsidRPr="001D41EA" w:rsidRDefault="009F0AF7" w:rsidP="001D41EA">
            <w:pPr>
              <w:spacing w:before="40" w:after="20"/>
              <w:rPr>
                <w:rFonts w:cs="Arial"/>
                <w:sz w:val="18"/>
                <w:szCs w:val="18"/>
              </w:rPr>
            </w:pPr>
            <w:r w:rsidRPr="001D41EA">
              <w:rPr>
                <w:rFonts w:cs="Arial"/>
                <w:sz w:val="18"/>
                <w:szCs w:val="18"/>
              </w:rPr>
              <w:t>Northern Grampians S</w:t>
            </w:r>
          </w:p>
        </w:tc>
        <w:tc>
          <w:tcPr>
            <w:tcW w:w="1361" w:type="dxa"/>
            <w:tcBorders>
              <w:top w:val="nil"/>
              <w:left w:val="single" w:sz="18" w:space="0" w:color="5F497A" w:themeColor="accent4" w:themeShade="BF"/>
              <w:bottom w:val="nil"/>
              <w:right w:val="nil"/>
            </w:tcBorders>
            <w:shd w:val="clear" w:color="auto" w:fill="auto"/>
            <w:vAlign w:val="bottom"/>
          </w:tcPr>
          <w:p w14:paraId="414DCF88" w14:textId="49F7D795" w:rsidR="009F0AF7" w:rsidRPr="001D41EA" w:rsidRDefault="009F0AF7" w:rsidP="001D41EA">
            <w:pPr>
              <w:spacing w:before="40" w:after="20"/>
              <w:jc w:val="center"/>
              <w:rPr>
                <w:rFonts w:cs="Arial"/>
                <w:sz w:val="18"/>
                <w:szCs w:val="18"/>
              </w:rPr>
            </w:pPr>
            <w:r w:rsidRPr="001D41EA">
              <w:rPr>
                <w:rFonts w:cs="Arial"/>
                <w:sz w:val="18"/>
                <w:szCs w:val="18"/>
              </w:rPr>
              <w:t>0.814</w:t>
            </w:r>
          </w:p>
        </w:tc>
        <w:tc>
          <w:tcPr>
            <w:tcW w:w="1361" w:type="dxa"/>
            <w:tcBorders>
              <w:top w:val="nil"/>
              <w:left w:val="nil"/>
              <w:bottom w:val="nil"/>
              <w:right w:val="nil"/>
            </w:tcBorders>
            <w:shd w:val="clear" w:color="auto" w:fill="auto"/>
            <w:vAlign w:val="bottom"/>
          </w:tcPr>
          <w:p w14:paraId="611F5C30" w14:textId="44164CF0" w:rsidR="009F0AF7" w:rsidRPr="001D41EA" w:rsidRDefault="009F0AF7" w:rsidP="001D41EA">
            <w:pPr>
              <w:spacing w:before="40" w:after="20"/>
              <w:jc w:val="center"/>
              <w:rPr>
                <w:rFonts w:cs="Arial"/>
                <w:sz w:val="18"/>
                <w:szCs w:val="18"/>
              </w:rPr>
            </w:pPr>
            <w:r w:rsidRPr="001D41EA">
              <w:rPr>
                <w:rFonts w:cs="Arial"/>
                <w:sz w:val="18"/>
                <w:szCs w:val="18"/>
              </w:rPr>
              <w:t>0.778</w:t>
            </w:r>
          </w:p>
        </w:tc>
        <w:tc>
          <w:tcPr>
            <w:tcW w:w="1361" w:type="dxa"/>
            <w:tcBorders>
              <w:top w:val="nil"/>
              <w:left w:val="nil"/>
              <w:bottom w:val="nil"/>
              <w:right w:val="nil"/>
            </w:tcBorders>
            <w:vAlign w:val="bottom"/>
          </w:tcPr>
          <w:p w14:paraId="0B2077BB" w14:textId="26927CEA" w:rsidR="009F0AF7" w:rsidRPr="001D41EA" w:rsidRDefault="009F0AF7" w:rsidP="001D41EA">
            <w:pPr>
              <w:spacing w:before="40" w:after="20"/>
              <w:jc w:val="center"/>
              <w:rPr>
                <w:rFonts w:cs="Arial"/>
                <w:sz w:val="18"/>
                <w:szCs w:val="18"/>
              </w:rPr>
            </w:pPr>
            <w:r w:rsidRPr="001D41EA">
              <w:rPr>
                <w:rFonts w:cs="Arial"/>
                <w:sz w:val="18"/>
                <w:szCs w:val="18"/>
              </w:rPr>
              <w:t>1.326</w:t>
            </w:r>
          </w:p>
        </w:tc>
        <w:tc>
          <w:tcPr>
            <w:tcW w:w="1361" w:type="dxa"/>
            <w:tcBorders>
              <w:top w:val="nil"/>
              <w:left w:val="nil"/>
              <w:bottom w:val="nil"/>
              <w:right w:val="nil"/>
            </w:tcBorders>
            <w:vAlign w:val="bottom"/>
          </w:tcPr>
          <w:p w14:paraId="779DEFB0" w14:textId="5CCEDBCC" w:rsidR="009F0AF7" w:rsidRPr="001D41EA" w:rsidRDefault="009F0AF7" w:rsidP="001D41EA">
            <w:pPr>
              <w:spacing w:before="40" w:after="20"/>
              <w:jc w:val="center"/>
              <w:rPr>
                <w:rFonts w:cs="Arial"/>
                <w:sz w:val="18"/>
                <w:szCs w:val="18"/>
              </w:rPr>
            </w:pPr>
            <w:r w:rsidRPr="001D41EA">
              <w:rPr>
                <w:rFonts w:cs="Arial"/>
                <w:sz w:val="18"/>
                <w:szCs w:val="18"/>
              </w:rPr>
              <w:t>0.879</w:t>
            </w:r>
          </w:p>
        </w:tc>
        <w:tc>
          <w:tcPr>
            <w:tcW w:w="1361" w:type="dxa"/>
            <w:tcBorders>
              <w:top w:val="nil"/>
              <w:left w:val="nil"/>
              <w:bottom w:val="nil"/>
              <w:right w:val="nil"/>
            </w:tcBorders>
            <w:shd w:val="clear" w:color="auto" w:fill="auto"/>
            <w:vAlign w:val="bottom"/>
          </w:tcPr>
          <w:p w14:paraId="010119F8" w14:textId="06D30332" w:rsidR="009F0AF7" w:rsidRPr="001D41EA" w:rsidRDefault="009F0AF7" w:rsidP="001D41EA">
            <w:pPr>
              <w:spacing w:before="40" w:after="20"/>
              <w:jc w:val="center"/>
              <w:rPr>
                <w:rFonts w:cs="Arial"/>
                <w:sz w:val="18"/>
                <w:szCs w:val="18"/>
              </w:rPr>
            </w:pPr>
            <w:r w:rsidRPr="001D41EA">
              <w:rPr>
                <w:rFonts w:cs="Arial"/>
                <w:sz w:val="18"/>
                <w:szCs w:val="18"/>
              </w:rPr>
              <w:t>0.927</w:t>
            </w:r>
          </w:p>
        </w:tc>
      </w:tr>
      <w:tr w:rsidR="009F0AF7" w:rsidRPr="001D41EA" w14:paraId="2F43551B"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1FB2CC0" w14:textId="77777777" w:rsidR="009F0AF7" w:rsidRPr="001D41EA" w:rsidRDefault="009F0AF7" w:rsidP="001D41EA">
            <w:pPr>
              <w:spacing w:before="40" w:after="20"/>
              <w:rPr>
                <w:rFonts w:cs="Arial"/>
                <w:sz w:val="18"/>
                <w:szCs w:val="18"/>
              </w:rPr>
            </w:pPr>
            <w:r w:rsidRPr="001D41EA">
              <w:rPr>
                <w:rFonts w:cs="Arial"/>
                <w:sz w:val="18"/>
                <w:szCs w:val="18"/>
              </w:rPr>
              <w:t>Port Phillip C</w:t>
            </w:r>
          </w:p>
        </w:tc>
        <w:tc>
          <w:tcPr>
            <w:tcW w:w="1361" w:type="dxa"/>
            <w:tcBorders>
              <w:top w:val="nil"/>
              <w:left w:val="single" w:sz="18" w:space="0" w:color="5F497A" w:themeColor="accent4" w:themeShade="BF"/>
              <w:bottom w:val="nil"/>
              <w:right w:val="nil"/>
            </w:tcBorders>
            <w:shd w:val="clear" w:color="auto" w:fill="auto"/>
            <w:vAlign w:val="bottom"/>
          </w:tcPr>
          <w:p w14:paraId="3BF08C91" w14:textId="682E3FB9" w:rsidR="009F0AF7" w:rsidRPr="001D41EA" w:rsidRDefault="009F0AF7" w:rsidP="001D41EA">
            <w:pPr>
              <w:spacing w:before="40" w:after="20"/>
              <w:jc w:val="center"/>
              <w:rPr>
                <w:rFonts w:cs="Arial"/>
                <w:sz w:val="18"/>
                <w:szCs w:val="18"/>
              </w:rPr>
            </w:pPr>
            <w:r w:rsidRPr="001D41EA">
              <w:rPr>
                <w:rFonts w:cs="Arial"/>
                <w:sz w:val="18"/>
                <w:szCs w:val="18"/>
              </w:rPr>
              <w:t>1.175</w:t>
            </w:r>
          </w:p>
        </w:tc>
        <w:tc>
          <w:tcPr>
            <w:tcW w:w="1361" w:type="dxa"/>
            <w:tcBorders>
              <w:top w:val="nil"/>
              <w:left w:val="nil"/>
              <w:bottom w:val="nil"/>
              <w:right w:val="nil"/>
            </w:tcBorders>
            <w:shd w:val="clear" w:color="auto" w:fill="auto"/>
            <w:vAlign w:val="bottom"/>
          </w:tcPr>
          <w:p w14:paraId="164D6B76" w14:textId="514F7CA4" w:rsidR="009F0AF7" w:rsidRPr="001D41EA" w:rsidRDefault="009F0AF7" w:rsidP="001D41EA">
            <w:pPr>
              <w:spacing w:before="40" w:after="20"/>
              <w:jc w:val="center"/>
              <w:rPr>
                <w:rFonts w:cs="Arial"/>
                <w:sz w:val="18"/>
                <w:szCs w:val="18"/>
              </w:rPr>
            </w:pPr>
            <w:r w:rsidRPr="001D41EA">
              <w:rPr>
                <w:rFonts w:cs="Arial"/>
                <w:sz w:val="18"/>
                <w:szCs w:val="18"/>
              </w:rPr>
              <w:t>1.176</w:t>
            </w:r>
          </w:p>
        </w:tc>
        <w:tc>
          <w:tcPr>
            <w:tcW w:w="1361" w:type="dxa"/>
            <w:tcBorders>
              <w:top w:val="nil"/>
              <w:left w:val="nil"/>
              <w:bottom w:val="nil"/>
              <w:right w:val="nil"/>
            </w:tcBorders>
            <w:vAlign w:val="bottom"/>
          </w:tcPr>
          <w:p w14:paraId="33204251" w14:textId="716D70A6" w:rsidR="009F0AF7" w:rsidRPr="001D41EA" w:rsidRDefault="009F0AF7" w:rsidP="001D41EA">
            <w:pPr>
              <w:spacing w:before="40" w:after="20"/>
              <w:jc w:val="center"/>
              <w:rPr>
                <w:rFonts w:cs="Arial"/>
                <w:sz w:val="18"/>
                <w:szCs w:val="18"/>
              </w:rPr>
            </w:pPr>
            <w:r w:rsidRPr="001D41EA">
              <w:rPr>
                <w:rFonts w:cs="Arial"/>
                <w:sz w:val="18"/>
                <w:szCs w:val="18"/>
              </w:rPr>
              <w:t>1.030</w:t>
            </w:r>
          </w:p>
        </w:tc>
        <w:tc>
          <w:tcPr>
            <w:tcW w:w="1361" w:type="dxa"/>
            <w:tcBorders>
              <w:top w:val="nil"/>
              <w:left w:val="nil"/>
              <w:bottom w:val="nil"/>
              <w:right w:val="nil"/>
            </w:tcBorders>
            <w:vAlign w:val="bottom"/>
          </w:tcPr>
          <w:p w14:paraId="779CFCF5" w14:textId="0E877EAD" w:rsidR="009F0AF7" w:rsidRPr="001D41EA" w:rsidRDefault="009F0AF7" w:rsidP="001D41EA">
            <w:pPr>
              <w:spacing w:before="40" w:after="20"/>
              <w:jc w:val="center"/>
              <w:rPr>
                <w:rFonts w:cs="Arial"/>
                <w:sz w:val="18"/>
                <w:szCs w:val="18"/>
              </w:rPr>
            </w:pPr>
            <w:r w:rsidRPr="001D41EA">
              <w:rPr>
                <w:rFonts w:cs="Arial"/>
                <w:sz w:val="18"/>
                <w:szCs w:val="18"/>
              </w:rPr>
              <w:t>1.212</w:t>
            </w:r>
          </w:p>
        </w:tc>
        <w:tc>
          <w:tcPr>
            <w:tcW w:w="1361" w:type="dxa"/>
            <w:tcBorders>
              <w:top w:val="nil"/>
              <w:left w:val="nil"/>
              <w:bottom w:val="nil"/>
              <w:right w:val="nil"/>
            </w:tcBorders>
            <w:shd w:val="clear" w:color="auto" w:fill="auto"/>
            <w:vAlign w:val="bottom"/>
          </w:tcPr>
          <w:p w14:paraId="5CA1338B" w14:textId="7F137BC0" w:rsidR="009F0AF7" w:rsidRPr="001D41EA" w:rsidRDefault="009F0AF7" w:rsidP="001D41EA">
            <w:pPr>
              <w:spacing w:before="40" w:after="20"/>
              <w:jc w:val="center"/>
              <w:rPr>
                <w:rFonts w:cs="Arial"/>
                <w:sz w:val="18"/>
                <w:szCs w:val="18"/>
              </w:rPr>
            </w:pPr>
            <w:r w:rsidRPr="001D41EA">
              <w:rPr>
                <w:rFonts w:cs="Arial"/>
                <w:sz w:val="18"/>
                <w:szCs w:val="18"/>
              </w:rPr>
              <w:t>1.224</w:t>
            </w:r>
          </w:p>
        </w:tc>
      </w:tr>
      <w:tr w:rsidR="009F0AF7" w:rsidRPr="001D41EA" w14:paraId="3ADF7EEF"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524BF14" w14:textId="77777777" w:rsidR="009F0AF7" w:rsidRPr="001D41EA" w:rsidRDefault="009F0AF7" w:rsidP="001D41EA">
            <w:pPr>
              <w:spacing w:before="40" w:after="20"/>
              <w:rPr>
                <w:rFonts w:cs="Arial"/>
                <w:sz w:val="18"/>
                <w:szCs w:val="18"/>
              </w:rPr>
            </w:pPr>
            <w:r w:rsidRPr="001D41EA">
              <w:rPr>
                <w:rFonts w:cs="Arial"/>
                <w:sz w:val="18"/>
                <w:szCs w:val="18"/>
              </w:rPr>
              <w:t>Pyrenees S</w:t>
            </w:r>
          </w:p>
        </w:tc>
        <w:tc>
          <w:tcPr>
            <w:tcW w:w="1361" w:type="dxa"/>
            <w:tcBorders>
              <w:top w:val="nil"/>
              <w:left w:val="single" w:sz="18" w:space="0" w:color="5F497A" w:themeColor="accent4" w:themeShade="BF"/>
              <w:bottom w:val="nil"/>
              <w:right w:val="nil"/>
            </w:tcBorders>
            <w:shd w:val="clear" w:color="auto" w:fill="auto"/>
            <w:vAlign w:val="bottom"/>
          </w:tcPr>
          <w:p w14:paraId="2DC34D0A" w14:textId="297F6AD7" w:rsidR="009F0AF7" w:rsidRPr="001D41EA" w:rsidRDefault="009F0AF7" w:rsidP="001D41EA">
            <w:pPr>
              <w:spacing w:before="40" w:after="20"/>
              <w:jc w:val="center"/>
              <w:rPr>
                <w:rFonts w:cs="Arial"/>
                <w:sz w:val="18"/>
                <w:szCs w:val="18"/>
              </w:rPr>
            </w:pPr>
            <w:r w:rsidRPr="001D41EA">
              <w:rPr>
                <w:rFonts w:cs="Arial"/>
                <w:sz w:val="18"/>
                <w:szCs w:val="18"/>
              </w:rPr>
              <w:t>0.798</w:t>
            </w:r>
          </w:p>
        </w:tc>
        <w:tc>
          <w:tcPr>
            <w:tcW w:w="1361" w:type="dxa"/>
            <w:tcBorders>
              <w:top w:val="nil"/>
              <w:left w:val="nil"/>
              <w:bottom w:val="nil"/>
              <w:right w:val="nil"/>
            </w:tcBorders>
            <w:shd w:val="clear" w:color="auto" w:fill="auto"/>
            <w:vAlign w:val="bottom"/>
          </w:tcPr>
          <w:p w14:paraId="386F4C41" w14:textId="183277C6" w:rsidR="009F0AF7" w:rsidRPr="001D41EA" w:rsidRDefault="009F0AF7" w:rsidP="001D41EA">
            <w:pPr>
              <w:spacing w:before="40" w:after="20"/>
              <w:jc w:val="center"/>
              <w:rPr>
                <w:rFonts w:cs="Arial"/>
                <w:sz w:val="18"/>
                <w:szCs w:val="18"/>
              </w:rPr>
            </w:pPr>
            <w:r w:rsidRPr="001D41EA">
              <w:rPr>
                <w:rFonts w:cs="Arial"/>
                <w:sz w:val="18"/>
                <w:szCs w:val="18"/>
              </w:rPr>
              <w:t>0.823</w:t>
            </w:r>
          </w:p>
        </w:tc>
        <w:tc>
          <w:tcPr>
            <w:tcW w:w="1361" w:type="dxa"/>
            <w:tcBorders>
              <w:top w:val="nil"/>
              <w:left w:val="nil"/>
              <w:bottom w:val="nil"/>
              <w:right w:val="nil"/>
            </w:tcBorders>
            <w:vAlign w:val="bottom"/>
          </w:tcPr>
          <w:p w14:paraId="20CD285D" w14:textId="6329AD36" w:rsidR="009F0AF7" w:rsidRPr="001D41EA" w:rsidRDefault="009F0AF7" w:rsidP="001D41EA">
            <w:pPr>
              <w:spacing w:before="40" w:after="20"/>
              <w:jc w:val="center"/>
              <w:rPr>
                <w:rFonts w:cs="Arial"/>
                <w:sz w:val="18"/>
                <w:szCs w:val="18"/>
              </w:rPr>
            </w:pPr>
            <w:r w:rsidRPr="001D41EA">
              <w:rPr>
                <w:rFonts w:cs="Arial"/>
                <w:sz w:val="18"/>
                <w:szCs w:val="18"/>
              </w:rPr>
              <w:t>1.036</w:t>
            </w:r>
          </w:p>
        </w:tc>
        <w:tc>
          <w:tcPr>
            <w:tcW w:w="1361" w:type="dxa"/>
            <w:tcBorders>
              <w:top w:val="nil"/>
              <w:left w:val="nil"/>
              <w:bottom w:val="nil"/>
              <w:right w:val="nil"/>
            </w:tcBorders>
            <w:vAlign w:val="bottom"/>
          </w:tcPr>
          <w:p w14:paraId="79924DF3" w14:textId="50E6D8FE" w:rsidR="009F0AF7" w:rsidRPr="001D41EA" w:rsidRDefault="009F0AF7" w:rsidP="001D41EA">
            <w:pPr>
              <w:spacing w:before="40" w:after="20"/>
              <w:jc w:val="center"/>
              <w:rPr>
                <w:rFonts w:cs="Arial"/>
                <w:sz w:val="18"/>
                <w:szCs w:val="18"/>
              </w:rPr>
            </w:pPr>
            <w:r w:rsidRPr="001D41EA">
              <w:rPr>
                <w:rFonts w:cs="Arial"/>
                <w:sz w:val="18"/>
                <w:szCs w:val="18"/>
              </w:rPr>
              <w:t>0.821</w:t>
            </w:r>
          </w:p>
        </w:tc>
        <w:tc>
          <w:tcPr>
            <w:tcW w:w="1361" w:type="dxa"/>
            <w:tcBorders>
              <w:top w:val="nil"/>
              <w:left w:val="nil"/>
              <w:bottom w:val="nil"/>
              <w:right w:val="nil"/>
            </w:tcBorders>
            <w:shd w:val="clear" w:color="auto" w:fill="auto"/>
            <w:vAlign w:val="bottom"/>
          </w:tcPr>
          <w:p w14:paraId="7CC55F21" w14:textId="431F6316" w:rsidR="009F0AF7" w:rsidRPr="001D41EA" w:rsidRDefault="009F0AF7" w:rsidP="001D41EA">
            <w:pPr>
              <w:spacing w:before="40" w:after="20"/>
              <w:jc w:val="center"/>
              <w:rPr>
                <w:rFonts w:cs="Arial"/>
                <w:sz w:val="18"/>
                <w:szCs w:val="18"/>
              </w:rPr>
            </w:pPr>
            <w:r w:rsidRPr="001D41EA">
              <w:rPr>
                <w:rFonts w:cs="Arial"/>
                <w:sz w:val="18"/>
                <w:szCs w:val="18"/>
              </w:rPr>
              <w:t>0.741</w:t>
            </w:r>
          </w:p>
        </w:tc>
      </w:tr>
      <w:tr w:rsidR="009F0AF7" w:rsidRPr="001D41EA" w14:paraId="3145C9CA"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B1559BD" w14:textId="77777777" w:rsidR="009F0AF7" w:rsidRPr="001D41EA" w:rsidRDefault="009F0AF7" w:rsidP="001D41EA">
            <w:pPr>
              <w:spacing w:before="40" w:after="20"/>
              <w:rPr>
                <w:rFonts w:cs="Arial"/>
                <w:sz w:val="18"/>
                <w:szCs w:val="18"/>
              </w:rPr>
            </w:pPr>
            <w:r w:rsidRPr="001D41EA">
              <w:rPr>
                <w:rFonts w:cs="Arial"/>
                <w:sz w:val="18"/>
                <w:szCs w:val="18"/>
              </w:rPr>
              <w:t>Queenscliffe B</w:t>
            </w:r>
          </w:p>
        </w:tc>
        <w:tc>
          <w:tcPr>
            <w:tcW w:w="1361" w:type="dxa"/>
            <w:tcBorders>
              <w:top w:val="nil"/>
              <w:left w:val="single" w:sz="18" w:space="0" w:color="5F497A" w:themeColor="accent4" w:themeShade="BF"/>
              <w:bottom w:val="nil"/>
              <w:right w:val="nil"/>
            </w:tcBorders>
            <w:shd w:val="clear" w:color="auto" w:fill="auto"/>
            <w:vAlign w:val="bottom"/>
          </w:tcPr>
          <w:p w14:paraId="6D206300" w14:textId="26292287" w:rsidR="009F0AF7" w:rsidRPr="001D41EA" w:rsidRDefault="009F0AF7" w:rsidP="001D41EA">
            <w:pPr>
              <w:spacing w:before="40" w:after="20"/>
              <w:jc w:val="center"/>
              <w:rPr>
                <w:rFonts w:cs="Arial"/>
                <w:sz w:val="18"/>
                <w:szCs w:val="18"/>
              </w:rPr>
            </w:pPr>
            <w:r w:rsidRPr="001D41EA">
              <w:rPr>
                <w:rFonts w:cs="Arial"/>
                <w:sz w:val="18"/>
                <w:szCs w:val="18"/>
              </w:rPr>
              <w:t>1.095</w:t>
            </w:r>
          </w:p>
        </w:tc>
        <w:tc>
          <w:tcPr>
            <w:tcW w:w="1361" w:type="dxa"/>
            <w:tcBorders>
              <w:top w:val="nil"/>
              <w:left w:val="nil"/>
              <w:bottom w:val="nil"/>
              <w:right w:val="nil"/>
            </w:tcBorders>
            <w:shd w:val="clear" w:color="auto" w:fill="auto"/>
            <w:vAlign w:val="bottom"/>
          </w:tcPr>
          <w:p w14:paraId="0E82F1D0" w14:textId="131E5F3A" w:rsidR="009F0AF7" w:rsidRPr="001D41EA" w:rsidRDefault="009F0AF7" w:rsidP="001D41EA">
            <w:pPr>
              <w:spacing w:before="40" w:after="20"/>
              <w:jc w:val="center"/>
              <w:rPr>
                <w:rFonts w:cs="Arial"/>
                <w:sz w:val="18"/>
                <w:szCs w:val="18"/>
              </w:rPr>
            </w:pPr>
            <w:r w:rsidRPr="001D41EA">
              <w:rPr>
                <w:rFonts w:cs="Arial"/>
                <w:sz w:val="18"/>
                <w:szCs w:val="18"/>
              </w:rPr>
              <w:t>1.194</w:t>
            </w:r>
          </w:p>
        </w:tc>
        <w:tc>
          <w:tcPr>
            <w:tcW w:w="1361" w:type="dxa"/>
            <w:tcBorders>
              <w:top w:val="nil"/>
              <w:left w:val="nil"/>
              <w:bottom w:val="nil"/>
              <w:right w:val="nil"/>
            </w:tcBorders>
            <w:vAlign w:val="bottom"/>
          </w:tcPr>
          <w:p w14:paraId="508360F3" w14:textId="0F37E0CE" w:rsidR="009F0AF7" w:rsidRPr="001D41EA" w:rsidRDefault="009F0AF7" w:rsidP="001D41EA">
            <w:pPr>
              <w:spacing w:before="40" w:after="20"/>
              <w:jc w:val="center"/>
              <w:rPr>
                <w:rFonts w:cs="Arial"/>
                <w:sz w:val="18"/>
                <w:szCs w:val="18"/>
              </w:rPr>
            </w:pPr>
            <w:r w:rsidRPr="001D41EA">
              <w:rPr>
                <w:rFonts w:cs="Arial"/>
                <w:sz w:val="18"/>
                <w:szCs w:val="18"/>
              </w:rPr>
              <w:t>1.788</w:t>
            </w:r>
          </w:p>
        </w:tc>
        <w:tc>
          <w:tcPr>
            <w:tcW w:w="1361" w:type="dxa"/>
            <w:tcBorders>
              <w:top w:val="nil"/>
              <w:left w:val="nil"/>
              <w:bottom w:val="nil"/>
              <w:right w:val="nil"/>
            </w:tcBorders>
            <w:vAlign w:val="bottom"/>
          </w:tcPr>
          <w:p w14:paraId="5B2B2072" w14:textId="6DB8032B" w:rsidR="009F0AF7" w:rsidRPr="001D41EA" w:rsidRDefault="009F0AF7" w:rsidP="001D41EA">
            <w:pPr>
              <w:spacing w:before="40" w:after="20"/>
              <w:jc w:val="center"/>
              <w:rPr>
                <w:rFonts w:cs="Arial"/>
                <w:sz w:val="18"/>
                <w:szCs w:val="18"/>
              </w:rPr>
            </w:pPr>
            <w:r w:rsidRPr="001D41EA">
              <w:rPr>
                <w:rFonts w:cs="Arial"/>
                <w:sz w:val="18"/>
                <w:szCs w:val="18"/>
              </w:rPr>
              <w:t>1.248</w:t>
            </w:r>
          </w:p>
        </w:tc>
        <w:tc>
          <w:tcPr>
            <w:tcW w:w="1361" w:type="dxa"/>
            <w:tcBorders>
              <w:top w:val="nil"/>
              <w:left w:val="nil"/>
              <w:bottom w:val="nil"/>
              <w:right w:val="nil"/>
            </w:tcBorders>
            <w:shd w:val="clear" w:color="auto" w:fill="auto"/>
            <w:vAlign w:val="bottom"/>
          </w:tcPr>
          <w:p w14:paraId="20888AE9" w14:textId="475E7BA3" w:rsidR="009F0AF7" w:rsidRPr="001D41EA" w:rsidRDefault="009F0AF7" w:rsidP="001D41EA">
            <w:pPr>
              <w:spacing w:before="40" w:after="20"/>
              <w:jc w:val="center"/>
              <w:rPr>
                <w:rFonts w:cs="Arial"/>
                <w:sz w:val="18"/>
                <w:szCs w:val="18"/>
              </w:rPr>
            </w:pPr>
            <w:r w:rsidRPr="001D41EA">
              <w:rPr>
                <w:rFonts w:cs="Arial"/>
                <w:sz w:val="18"/>
                <w:szCs w:val="18"/>
              </w:rPr>
              <w:t>0.860</w:t>
            </w:r>
          </w:p>
        </w:tc>
      </w:tr>
      <w:tr w:rsidR="009F0AF7" w:rsidRPr="001D41EA" w14:paraId="4458A407"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D5B0640" w14:textId="77777777" w:rsidR="009F0AF7" w:rsidRPr="001D41EA" w:rsidRDefault="009F0AF7" w:rsidP="001D41EA">
            <w:pPr>
              <w:spacing w:before="40" w:after="20"/>
              <w:rPr>
                <w:rFonts w:cs="Arial"/>
                <w:sz w:val="18"/>
                <w:szCs w:val="18"/>
              </w:rPr>
            </w:pPr>
            <w:r w:rsidRPr="001D41EA">
              <w:rPr>
                <w:rFonts w:cs="Arial"/>
                <w:sz w:val="18"/>
                <w:szCs w:val="18"/>
              </w:rPr>
              <w:t>South Gippsland S</w:t>
            </w:r>
          </w:p>
        </w:tc>
        <w:tc>
          <w:tcPr>
            <w:tcW w:w="1361" w:type="dxa"/>
            <w:tcBorders>
              <w:top w:val="nil"/>
              <w:left w:val="single" w:sz="18" w:space="0" w:color="5F497A" w:themeColor="accent4" w:themeShade="BF"/>
              <w:bottom w:val="nil"/>
              <w:right w:val="nil"/>
            </w:tcBorders>
            <w:shd w:val="clear" w:color="auto" w:fill="auto"/>
            <w:vAlign w:val="bottom"/>
          </w:tcPr>
          <w:p w14:paraId="080BA41D" w14:textId="0EB9EF2A" w:rsidR="009F0AF7" w:rsidRPr="001D41EA" w:rsidRDefault="009F0AF7" w:rsidP="001D41EA">
            <w:pPr>
              <w:spacing w:before="40" w:after="20"/>
              <w:jc w:val="center"/>
              <w:rPr>
                <w:rFonts w:cs="Arial"/>
                <w:sz w:val="18"/>
                <w:szCs w:val="18"/>
              </w:rPr>
            </w:pPr>
            <w:r w:rsidRPr="001D41EA">
              <w:rPr>
                <w:rFonts w:cs="Arial"/>
                <w:sz w:val="18"/>
                <w:szCs w:val="18"/>
              </w:rPr>
              <w:t>0.841</w:t>
            </w:r>
          </w:p>
        </w:tc>
        <w:tc>
          <w:tcPr>
            <w:tcW w:w="1361" w:type="dxa"/>
            <w:tcBorders>
              <w:top w:val="nil"/>
              <w:left w:val="nil"/>
              <w:bottom w:val="nil"/>
              <w:right w:val="nil"/>
            </w:tcBorders>
            <w:shd w:val="clear" w:color="auto" w:fill="auto"/>
            <w:vAlign w:val="bottom"/>
          </w:tcPr>
          <w:p w14:paraId="41A39E5D" w14:textId="0E18D4A9" w:rsidR="009F0AF7" w:rsidRPr="001D41EA" w:rsidRDefault="009F0AF7" w:rsidP="001D41EA">
            <w:pPr>
              <w:spacing w:before="40" w:after="20"/>
              <w:jc w:val="center"/>
              <w:rPr>
                <w:rFonts w:cs="Arial"/>
                <w:sz w:val="18"/>
                <w:szCs w:val="18"/>
              </w:rPr>
            </w:pPr>
            <w:r w:rsidRPr="001D41EA">
              <w:rPr>
                <w:rFonts w:cs="Arial"/>
                <w:sz w:val="18"/>
                <w:szCs w:val="18"/>
              </w:rPr>
              <w:t>0.938</w:t>
            </w:r>
          </w:p>
        </w:tc>
        <w:tc>
          <w:tcPr>
            <w:tcW w:w="1361" w:type="dxa"/>
            <w:tcBorders>
              <w:top w:val="nil"/>
              <w:left w:val="nil"/>
              <w:bottom w:val="nil"/>
              <w:right w:val="nil"/>
            </w:tcBorders>
            <w:vAlign w:val="bottom"/>
          </w:tcPr>
          <w:p w14:paraId="3CFF279B" w14:textId="69A305EC" w:rsidR="009F0AF7" w:rsidRPr="001D41EA" w:rsidRDefault="009F0AF7" w:rsidP="001D41EA">
            <w:pPr>
              <w:spacing w:before="40" w:after="20"/>
              <w:jc w:val="center"/>
              <w:rPr>
                <w:rFonts w:cs="Arial"/>
                <w:sz w:val="18"/>
                <w:szCs w:val="18"/>
              </w:rPr>
            </w:pPr>
            <w:r w:rsidRPr="001D41EA">
              <w:rPr>
                <w:rFonts w:cs="Arial"/>
                <w:sz w:val="18"/>
                <w:szCs w:val="18"/>
              </w:rPr>
              <w:t>1.178</w:t>
            </w:r>
          </w:p>
        </w:tc>
        <w:tc>
          <w:tcPr>
            <w:tcW w:w="1361" w:type="dxa"/>
            <w:tcBorders>
              <w:top w:val="nil"/>
              <w:left w:val="nil"/>
              <w:bottom w:val="nil"/>
              <w:right w:val="nil"/>
            </w:tcBorders>
            <w:vAlign w:val="bottom"/>
          </w:tcPr>
          <w:p w14:paraId="239F4CA3" w14:textId="2E272738" w:rsidR="009F0AF7" w:rsidRPr="001D41EA" w:rsidRDefault="009F0AF7" w:rsidP="001D41EA">
            <w:pPr>
              <w:spacing w:before="40" w:after="20"/>
              <w:jc w:val="center"/>
              <w:rPr>
                <w:rFonts w:cs="Arial"/>
                <w:sz w:val="18"/>
                <w:szCs w:val="18"/>
              </w:rPr>
            </w:pPr>
            <w:r w:rsidRPr="001D41EA">
              <w:rPr>
                <w:rFonts w:cs="Arial"/>
                <w:sz w:val="18"/>
                <w:szCs w:val="18"/>
              </w:rPr>
              <w:t>0.808</w:t>
            </w:r>
          </w:p>
        </w:tc>
        <w:tc>
          <w:tcPr>
            <w:tcW w:w="1361" w:type="dxa"/>
            <w:tcBorders>
              <w:top w:val="nil"/>
              <w:left w:val="nil"/>
              <w:bottom w:val="nil"/>
              <w:right w:val="nil"/>
            </w:tcBorders>
            <w:shd w:val="clear" w:color="auto" w:fill="auto"/>
            <w:vAlign w:val="bottom"/>
          </w:tcPr>
          <w:p w14:paraId="314BCF33" w14:textId="2F186C2E" w:rsidR="009F0AF7" w:rsidRPr="001D41EA" w:rsidRDefault="009F0AF7" w:rsidP="001D41EA">
            <w:pPr>
              <w:spacing w:before="40" w:after="20"/>
              <w:jc w:val="center"/>
              <w:rPr>
                <w:rFonts w:cs="Arial"/>
                <w:sz w:val="18"/>
                <w:szCs w:val="18"/>
              </w:rPr>
            </w:pPr>
            <w:r w:rsidRPr="001D41EA">
              <w:rPr>
                <w:rFonts w:cs="Arial"/>
                <w:sz w:val="18"/>
                <w:szCs w:val="18"/>
              </w:rPr>
              <w:t>0.820</w:t>
            </w:r>
          </w:p>
        </w:tc>
      </w:tr>
      <w:tr w:rsidR="009F0AF7" w:rsidRPr="001D41EA" w14:paraId="66A52035"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7998BD8" w14:textId="77777777" w:rsidR="009F0AF7" w:rsidRPr="001D41EA" w:rsidRDefault="009F0AF7" w:rsidP="001D41EA">
            <w:pPr>
              <w:spacing w:before="40" w:after="20"/>
              <w:rPr>
                <w:rFonts w:cs="Arial"/>
                <w:sz w:val="18"/>
                <w:szCs w:val="18"/>
              </w:rPr>
            </w:pPr>
            <w:r w:rsidRPr="001D41EA">
              <w:rPr>
                <w:rFonts w:cs="Arial"/>
                <w:sz w:val="18"/>
                <w:szCs w:val="18"/>
              </w:rPr>
              <w:t>Southern Grampians S</w:t>
            </w:r>
          </w:p>
        </w:tc>
        <w:tc>
          <w:tcPr>
            <w:tcW w:w="1361" w:type="dxa"/>
            <w:tcBorders>
              <w:top w:val="nil"/>
              <w:left w:val="single" w:sz="18" w:space="0" w:color="5F497A" w:themeColor="accent4" w:themeShade="BF"/>
              <w:bottom w:val="nil"/>
              <w:right w:val="nil"/>
            </w:tcBorders>
            <w:shd w:val="clear" w:color="auto" w:fill="auto"/>
            <w:vAlign w:val="bottom"/>
          </w:tcPr>
          <w:p w14:paraId="78969523" w14:textId="56FAFC92" w:rsidR="009F0AF7" w:rsidRPr="001D41EA" w:rsidRDefault="009F0AF7" w:rsidP="001D41EA">
            <w:pPr>
              <w:spacing w:before="40" w:after="20"/>
              <w:jc w:val="center"/>
              <w:rPr>
                <w:rFonts w:cs="Arial"/>
                <w:sz w:val="18"/>
                <w:szCs w:val="18"/>
              </w:rPr>
            </w:pPr>
            <w:r w:rsidRPr="001D41EA">
              <w:rPr>
                <w:rFonts w:cs="Arial"/>
                <w:sz w:val="18"/>
                <w:szCs w:val="18"/>
              </w:rPr>
              <w:t>0.834</w:t>
            </w:r>
          </w:p>
        </w:tc>
        <w:tc>
          <w:tcPr>
            <w:tcW w:w="1361" w:type="dxa"/>
            <w:tcBorders>
              <w:top w:val="nil"/>
              <w:left w:val="nil"/>
              <w:bottom w:val="nil"/>
              <w:right w:val="nil"/>
            </w:tcBorders>
            <w:shd w:val="clear" w:color="auto" w:fill="auto"/>
            <w:vAlign w:val="bottom"/>
          </w:tcPr>
          <w:p w14:paraId="43E45E58" w14:textId="75B86166" w:rsidR="009F0AF7" w:rsidRPr="001D41EA" w:rsidRDefault="009F0AF7" w:rsidP="001D41EA">
            <w:pPr>
              <w:spacing w:before="40" w:after="20"/>
              <w:jc w:val="center"/>
              <w:rPr>
                <w:rFonts w:cs="Arial"/>
                <w:sz w:val="18"/>
                <w:szCs w:val="18"/>
              </w:rPr>
            </w:pPr>
            <w:r w:rsidRPr="001D41EA">
              <w:rPr>
                <w:rFonts w:cs="Arial"/>
                <w:sz w:val="18"/>
                <w:szCs w:val="18"/>
              </w:rPr>
              <w:t>0.944</w:t>
            </w:r>
          </w:p>
        </w:tc>
        <w:tc>
          <w:tcPr>
            <w:tcW w:w="1361" w:type="dxa"/>
            <w:tcBorders>
              <w:top w:val="nil"/>
              <w:left w:val="nil"/>
              <w:bottom w:val="nil"/>
              <w:right w:val="nil"/>
            </w:tcBorders>
            <w:vAlign w:val="bottom"/>
          </w:tcPr>
          <w:p w14:paraId="2B042EE9" w14:textId="3D7D89A1" w:rsidR="009F0AF7" w:rsidRPr="001D41EA" w:rsidRDefault="009F0AF7" w:rsidP="001D41EA">
            <w:pPr>
              <w:spacing w:before="40" w:after="20"/>
              <w:jc w:val="center"/>
              <w:rPr>
                <w:rFonts w:cs="Arial"/>
                <w:sz w:val="18"/>
                <w:szCs w:val="18"/>
              </w:rPr>
            </w:pPr>
            <w:r w:rsidRPr="001D41EA">
              <w:rPr>
                <w:rFonts w:cs="Arial"/>
                <w:sz w:val="18"/>
                <w:szCs w:val="18"/>
              </w:rPr>
              <w:t>1.050</w:t>
            </w:r>
          </w:p>
        </w:tc>
        <w:tc>
          <w:tcPr>
            <w:tcW w:w="1361" w:type="dxa"/>
            <w:tcBorders>
              <w:top w:val="nil"/>
              <w:left w:val="nil"/>
              <w:bottom w:val="nil"/>
              <w:right w:val="nil"/>
            </w:tcBorders>
            <w:vAlign w:val="bottom"/>
          </w:tcPr>
          <w:p w14:paraId="5A886B6C" w14:textId="1415BDD5" w:rsidR="009F0AF7" w:rsidRPr="001D41EA" w:rsidRDefault="009F0AF7" w:rsidP="001D41EA">
            <w:pPr>
              <w:spacing w:before="40" w:after="20"/>
              <w:jc w:val="center"/>
              <w:rPr>
                <w:rFonts w:cs="Arial"/>
                <w:sz w:val="18"/>
                <w:szCs w:val="18"/>
              </w:rPr>
            </w:pPr>
            <w:r w:rsidRPr="001D41EA">
              <w:rPr>
                <w:rFonts w:cs="Arial"/>
                <w:sz w:val="18"/>
                <w:szCs w:val="18"/>
              </w:rPr>
              <w:t>0.760</w:t>
            </w:r>
          </w:p>
        </w:tc>
        <w:tc>
          <w:tcPr>
            <w:tcW w:w="1361" w:type="dxa"/>
            <w:tcBorders>
              <w:top w:val="nil"/>
              <w:left w:val="nil"/>
              <w:bottom w:val="nil"/>
              <w:right w:val="nil"/>
            </w:tcBorders>
            <w:shd w:val="clear" w:color="auto" w:fill="auto"/>
            <w:vAlign w:val="bottom"/>
          </w:tcPr>
          <w:p w14:paraId="3E8DF2B7" w14:textId="21204DC7" w:rsidR="009F0AF7" w:rsidRPr="001D41EA" w:rsidRDefault="009F0AF7" w:rsidP="001D41EA">
            <w:pPr>
              <w:spacing w:before="40" w:after="20"/>
              <w:jc w:val="center"/>
              <w:rPr>
                <w:rFonts w:cs="Arial"/>
                <w:sz w:val="18"/>
                <w:szCs w:val="18"/>
              </w:rPr>
            </w:pPr>
            <w:r w:rsidRPr="001D41EA">
              <w:rPr>
                <w:rFonts w:cs="Arial"/>
                <w:sz w:val="18"/>
                <w:szCs w:val="18"/>
              </w:rPr>
              <w:t>0.887</w:t>
            </w:r>
          </w:p>
        </w:tc>
      </w:tr>
      <w:tr w:rsidR="009F0AF7" w:rsidRPr="001D41EA" w14:paraId="038887DF"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7D18744" w14:textId="77777777" w:rsidR="009F0AF7" w:rsidRPr="001D41EA" w:rsidRDefault="009F0AF7" w:rsidP="001D41EA">
            <w:pPr>
              <w:spacing w:before="40" w:after="20"/>
              <w:rPr>
                <w:rFonts w:cs="Arial"/>
                <w:sz w:val="18"/>
                <w:szCs w:val="18"/>
              </w:rPr>
            </w:pPr>
            <w:r w:rsidRPr="001D41EA">
              <w:rPr>
                <w:rFonts w:cs="Arial"/>
                <w:sz w:val="18"/>
                <w:szCs w:val="18"/>
              </w:rPr>
              <w:t>Stonnington C</w:t>
            </w:r>
          </w:p>
        </w:tc>
        <w:tc>
          <w:tcPr>
            <w:tcW w:w="1361" w:type="dxa"/>
            <w:tcBorders>
              <w:top w:val="nil"/>
              <w:left w:val="single" w:sz="18" w:space="0" w:color="5F497A" w:themeColor="accent4" w:themeShade="BF"/>
              <w:bottom w:val="nil"/>
              <w:right w:val="nil"/>
            </w:tcBorders>
            <w:shd w:val="clear" w:color="auto" w:fill="auto"/>
            <w:vAlign w:val="bottom"/>
          </w:tcPr>
          <w:p w14:paraId="6C3F18C3" w14:textId="6F548403" w:rsidR="009F0AF7" w:rsidRPr="001D41EA" w:rsidRDefault="009F0AF7" w:rsidP="001D41EA">
            <w:pPr>
              <w:spacing w:before="40" w:after="20"/>
              <w:jc w:val="center"/>
              <w:rPr>
                <w:rFonts w:cs="Arial"/>
                <w:sz w:val="18"/>
                <w:szCs w:val="18"/>
              </w:rPr>
            </w:pPr>
            <w:r w:rsidRPr="001D41EA">
              <w:rPr>
                <w:rFonts w:cs="Arial"/>
                <w:sz w:val="18"/>
                <w:szCs w:val="18"/>
              </w:rPr>
              <w:t>1.506</w:t>
            </w:r>
          </w:p>
        </w:tc>
        <w:tc>
          <w:tcPr>
            <w:tcW w:w="1361" w:type="dxa"/>
            <w:tcBorders>
              <w:top w:val="nil"/>
              <w:left w:val="nil"/>
              <w:bottom w:val="nil"/>
              <w:right w:val="nil"/>
            </w:tcBorders>
            <w:shd w:val="clear" w:color="auto" w:fill="auto"/>
            <w:vAlign w:val="bottom"/>
          </w:tcPr>
          <w:p w14:paraId="4BA5E19B" w14:textId="18595430" w:rsidR="009F0AF7" w:rsidRPr="001D41EA" w:rsidRDefault="009F0AF7" w:rsidP="001D41EA">
            <w:pPr>
              <w:spacing w:before="40" w:after="20"/>
              <w:jc w:val="center"/>
              <w:rPr>
                <w:rFonts w:cs="Arial"/>
                <w:sz w:val="18"/>
                <w:szCs w:val="18"/>
              </w:rPr>
            </w:pPr>
            <w:r w:rsidRPr="001D41EA">
              <w:rPr>
                <w:rFonts w:cs="Arial"/>
                <w:sz w:val="18"/>
                <w:szCs w:val="18"/>
              </w:rPr>
              <w:t>1.230</w:t>
            </w:r>
          </w:p>
        </w:tc>
        <w:tc>
          <w:tcPr>
            <w:tcW w:w="1361" w:type="dxa"/>
            <w:tcBorders>
              <w:top w:val="nil"/>
              <w:left w:val="nil"/>
              <w:bottom w:val="nil"/>
              <w:right w:val="nil"/>
            </w:tcBorders>
            <w:vAlign w:val="bottom"/>
          </w:tcPr>
          <w:p w14:paraId="35CCDF63" w14:textId="35FF7AE6" w:rsidR="009F0AF7" w:rsidRPr="001D41EA" w:rsidRDefault="009F0AF7" w:rsidP="001D41EA">
            <w:pPr>
              <w:spacing w:before="40" w:after="20"/>
              <w:jc w:val="center"/>
              <w:rPr>
                <w:rFonts w:cs="Arial"/>
                <w:sz w:val="18"/>
                <w:szCs w:val="18"/>
              </w:rPr>
            </w:pPr>
            <w:r w:rsidRPr="001D41EA">
              <w:rPr>
                <w:rFonts w:cs="Arial"/>
                <w:sz w:val="18"/>
                <w:szCs w:val="18"/>
              </w:rPr>
              <w:t>1.016</w:t>
            </w:r>
          </w:p>
        </w:tc>
        <w:tc>
          <w:tcPr>
            <w:tcW w:w="1361" w:type="dxa"/>
            <w:tcBorders>
              <w:top w:val="nil"/>
              <w:left w:val="nil"/>
              <w:bottom w:val="nil"/>
              <w:right w:val="nil"/>
            </w:tcBorders>
            <w:vAlign w:val="bottom"/>
          </w:tcPr>
          <w:p w14:paraId="0FA297E8" w14:textId="251A8BA5" w:rsidR="009F0AF7" w:rsidRPr="001D41EA" w:rsidRDefault="009F0AF7" w:rsidP="001D41EA">
            <w:pPr>
              <w:spacing w:before="40" w:after="20"/>
              <w:jc w:val="center"/>
              <w:rPr>
                <w:rFonts w:cs="Arial"/>
                <w:sz w:val="18"/>
                <w:szCs w:val="18"/>
              </w:rPr>
            </w:pPr>
            <w:r w:rsidRPr="001D41EA">
              <w:rPr>
                <w:rFonts w:cs="Arial"/>
                <w:sz w:val="18"/>
                <w:szCs w:val="18"/>
              </w:rPr>
              <w:t>1.409</w:t>
            </w:r>
          </w:p>
        </w:tc>
        <w:tc>
          <w:tcPr>
            <w:tcW w:w="1361" w:type="dxa"/>
            <w:tcBorders>
              <w:top w:val="nil"/>
              <w:left w:val="nil"/>
              <w:bottom w:val="nil"/>
              <w:right w:val="nil"/>
            </w:tcBorders>
            <w:shd w:val="clear" w:color="auto" w:fill="auto"/>
            <w:vAlign w:val="bottom"/>
          </w:tcPr>
          <w:p w14:paraId="6BAA68EF" w14:textId="066BF45D" w:rsidR="009F0AF7" w:rsidRPr="001D41EA" w:rsidRDefault="009F0AF7" w:rsidP="001D41EA">
            <w:pPr>
              <w:spacing w:before="40" w:after="20"/>
              <w:jc w:val="center"/>
              <w:rPr>
                <w:rFonts w:cs="Arial"/>
                <w:sz w:val="18"/>
                <w:szCs w:val="18"/>
              </w:rPr>
            </w:pPr>
            <w:r w:rsidRPr="001D41EA">
              <w:rPr>
                <w:rFonts w:cs="Arial"/>
                <w:sz w:val="18"/>
                <w:szCs w:val="18"/>
              </w:rPr>
              <w:t>1.246</w:t>
            </w:r>
          </w:p>
        </w:tc>
      </w:tr>
      <w:tr w:rsidR="009F0AF7" w:rsidRPr="001D41EA" w14:paraId="3F01B4E6"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7D130FB" w14:textId="77777777" w:rsidR="009F0AF7" w:rsidRPr="001D41EA" w:rsidRDefault="009F0AF7" w:rsidP="001D41EA">
            <w:pPr>
              <w:spacing w:before="40" w:after="20"/>
              <w:rPr>
                <w:rFonts w:cs="Arial"/>
                <w:sz w:val="18"/>
                <w:szCs w:val="18"/>
              </w:rPr>
            </w:pPr>
            <w:r w:rsidRPr="001D41EA">
              <w:rPr>
                <w:rFonts w:cs="Arial"/>
                <w:sz w:val="18"/>
                <w:szCs w:val="18"/>
              </w:rPr>
              <w:t>Strathbogie S</w:t>
            </w:r>
          </w:p>
        </w:tc>
        <w:tc>
          <w:tcPr>
            <w:tcW w:w="1361" w:type="dxa"/>
            <w:tcBorders>
              <w:top w:val="nil"/>
              <w:left w:val="single" w:sz="18" w:space="0" w:color="5F497A" w:themeColor="accent4" w:themeShade="BF"/>
              <w:bottom w:val="nil"/>
              <w:right w:val="nil"/>
            </w:tcBorders>
            <w:shd w:val="clear" w:color="auto" w:fill="auto"/>
            <w:vAlign w:val="bottom"/>
          </w:tcPr>
          <w:p w14:paraId="1F50E527" w14:textId="768A48D5" w:rsidR="009F0AF7" w:rsidRPr="001D41EA" w:rsidRDefault="009F0AF7" w:rsidP="001D41EA">
            <w:pPr>
              <w:spacing w:before="40" w:after="20"/>
              <w:jc w:val="center"/>
              <w:rPr>
                <w:rFonts w:cs="Arial"/>
                <w:sz w:val="18"/>
                <w:szCs w:val="18"/>
              </w:rPr>
            </w:pPr>
            <w:r w:rsidRPr="001D41EA">
              <w:rPr>
                <w:rFonts w:cs="Arial"/>
                <w:sz w:val="18"/>
                <w:szCs w:val="18"/>
              </w:rPr>
              <w:t>0.826</w:t>
            </w:r>
          </w:p>
        </w:tc>
        <w:tc>
          <w:tcPr>
            <w:tcW w:w="1361" w:type="dxa"/>
            <w:tcBorders>
              <w:top w:val="nil"/>
              <w:left w:val="nil"/>
              <w:bottom w:val="nil"/>
              <w:right w:val="nil"/>
            </w:tcBorders>
            <w:shd w:val="clear" w:color="auto" w:fill="auto"/>
            <w:vAlign w:val="bottom"/>
          </w:tcPr>
          <w:p w14:paraId="7D73C615" w14:textId="3219044C" w:rsidR="009F0AF7" w:rsidRPr="001D41EA" w:rsidRDefault="009F0AF7" w:rsidP="001D41EA">
            <w:pPr>
              <w:spacing w:before="40" w:after="20"/>
              <w:jc w:val="center"/>
              <w:rPr>
                <w:rFonts w:cs="Arial"/>
                <w:sz w:val="18"/>
                <w:szCs w:val="18"/>
              </w:rPr>
            </w:pPr>
            <w:r w:rsidRPr="001D41EA">
              <w:rPr>
                <w:rFonts w:cs="Arial"/>
                <w:sz w:val="18"/>
                <w:szCs w:val="18"/>
              </w:rPr>
              <w:t>0.889</w:t>
            </w:r>
          </w:p>
        </w:tc>
        <w:tc>
          <w:tcPr>
            <w:tcW w:w="1361" w:type="dxa"/>
            <w:tcBorders>
              <w:top w:val="nil"/>
              <w:left w:val="nil"/>
              <w:bottom w:val="nil"/>
              <w:right w:val="nil"/>
            </w:tcBorders>
            <w:vAlign w:val="bottom"/>
          </w:tcPr>
          <w:p w14:paraId="5D830751" w14:textId="04C6A743" w:rsidR="009F0AF7" w:rsidRPr="001D41EA" w:rsidRDefault="009F0AF7" w:rsidP="001D41EA">
            <w:pPr>
              <w:spacing w:before="40" w:after="20"/>
              <w:jc w:val="center"/>
              <w:rPr>
                <w:rFonts w:cs="Arial"/>
                <w:sz w:val="18"/>
                <w:szCs w:val="18"/>
              </w:rPr>
            </w:pPr>
            <w:r w:rsidRPr="001D41EA">
              <w:rPr>
                <w:rFonts w:cs="Arial"/>
                <w:sz w:val="18"/>
                <w:szCs w:val="18"/>
              </w:rPr>
              <w:t>1.087</w:t>
            </w:r>
          </w:p>
        </w:tc>
        <w:tc>
          <w:tcPr>
            <w:tcW w:w="1361" w:type="dxa"/>
            <w:tcBorders>
              <w:top w:val="nil"/>
              <w:left w:val="nil"/>
              <w:bottom w:val="nil"/>
              <w:right w:val="nil"/>
            </w:tcBorders>
            <w:vAlign w:val="bottom"/>
          </w:tcPr>
          <w:p w14:paraId="06BC99A7" w14:textId="540B6C09" w:rsidR="009F0AF7" w:rsidRPr="001D41EA" w:rsidRDefault="009F0AF7" w:rsidP="001D41EA">
            <w:pPr>
              <w:spacing w:before="40" w:after="20"/>
              <w:jc w:val="center"/>
              <w:rPr>
                <w:rFonts w:cs="Arial"/>
                <w:sz w:val="18"/>
                <w:szCs w:val="18"/>
              </w:rPr>
            </w:pPr>
            <w:r w:rsidRPr="001D41EA">
              <w:rPr>
                <w:rFonts w:cs="Arial"/>
                <w:sz w:val="18"/>
                <w:szCs w:val="18"/>
              </w:rPr>
              <w:t>0.952</w:t>
            </w:r>
          </w:p>
        </w:tc>
        <w:tc>
          <w:tcPr>
            <w:tcW w:w="1361" w:type="dxa"/>
            <w:tcBorders>
              <w:top w:val="nil"/>
              <w:left w:val="nil"/>
              <w:bottom w:val="nil"/>
              <w:right w:val="nil"/>
            </w:tcBorders>
            <w:shd w:val="clear" w:color="auto" w:fill="auto"/>
            <w:vAlign w:val="bottom"/>
          </w:tcPr>
          <w:p w14:paraId="0C5F4C60" w14:textId="553C8609" w:rsidR="009F0AF7" w:rsidRPr="001D41EA" w:rsidRDefault="009F0AF7" w:rsidP="001D41EA">
            <w:pPr>
              <w:spacing w:before="40" w:after="20"/>
              <w:jc w:val="center"/>
              <w:rPr>
                <w:rFonts w:cs="Arial"/>
                <w:sz w:val="18"/>
                <w:szCs w:val="18"/>
              </w:rPr>
            </w:pPr>
            <w:r w:rsidRPr="001D41EA">
              <w:rPr>
                <w:rFonts w:cs="Arial"/>
                <w:sz w:val="18"/>
                <w:szCs w:val="18"/>
              </w:rPr>
              <w:t>0.828</w:t>
            </w:r>
          </w:p>
        </w:tc>
      </w:tr>
      <w:tr w:rsidR="009F0AF7" w:rsidRPr="001D41EA" w14:paraId="1A328C2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F85B3F8" w14:textId="77777777" w:rsidR="009F0AF7" w:rsidRPr="001D41EA" w:rsidRDefault="009F0AF7" w:rsidP="001D41EA">
            <w:pPr>
              <w:spacing w:before="40" w:after="20"/>
              <w:rPr>
                <w:rFonts w:cs="Arial"/>
                <w:sz w:val="18"/>
                <w:szCs w:val="18"/>
              </w:rPr>
            </w:pPr>
            <w:r w:rsidRPr="001D41EA">
              <w:rPr>
                <w:rFonts w:cs="Arial"/>
                <w:sz w:val="18"/>
                <w:szCs w:val="18"/>
              </w:rPr>
              <w:t>Surf Coast S</w:t>
            </w:r>
          </w:p>
        </w:tc>
        <w:tc>
          <w:tcPr>
            <w:tcW w:w="1361" w:type="dxa"/>
            <w:tcBorders>
              <w:top w:val="nil"/>
              <w:left w:val="single" w:sz="18" w:space="0" w:color="5F497A" w:themeColor="accent4" w:themeShade="BF"/>
              <w:bottom w:val="nil"/>
              <w:right w:val="nil"/>
            </w:tcBorders>
            <w:shd w:val="clear" w:color="auto" w:fill="auto"/>
            <w:vAlign w:val="bottom"/>
          </w:tcPr>
          <w:p w14:paraId="075617D3" w14:textId="0DEEEF46" w:rsidR="009F0AF7" w:rsidRPr="001D41EA" w:rsidRDefault="009F0AF7" w:rsidP="001D41EA">
            <w:pPr>
              <w:spacing w:before="40" w:after="20"/>
              <w:jc w:val="center"/>
              <w:rPr>
                <w:rFonts w:cs="Arial"/>
                <w:sz w:val="18"/>
                <w:szCs w:val="18"/>
              </w:rPr>
            </w:pPr>
            <w:r w:rsidRPr="001D41EA">
              <w:rPr>
                <w:rFonts w:cs="Arial"/>
                <w:sz w:val="18"/>
                <w:szCs w:val="18"/>
              </w:rPr>
              <w:t>1.074</w:t>
            </w:r>
          </w:p>
        </w:tc>
        <w:tc>
          <w:tcPr>
            <w:tcW w:w="1361" w:type="dxa"/>
            <w:tcBorders>
              <w:top w:val="nil"/>
              <w:left w:val="nil"/>
              <w:bottom w:val="nil"/>
              <w:right w:val="nil"/>
            </w:tcBorders>
            <w:shd w:val="clear" w:color="auto" w:fill="auto"/>
            <w:vAlign w:val="bottom"/>
          </w:tcPr>
          <w:p w14:paraId="0CDCAE41" w14:textId="225E0867" w:rsidR="009F0AF7" w:rsidRPr="001D41EA" w:rsidRDefault="009F0AF7" w:rsidP="001D41EA">
            <w:pPr>
              <w:spacing w:before="40" w:after="20"/>
              <w:jc w:val="center"/>
              <w:rPr>
                <w:rFonts w:cs="Arial"/>
                <w:sz w:val="18"/>
                <w:szCs w:val="18"/>
              </w:rPr>
            </w:pPr>
            <w:r w:rsidRPr="001D41EA">
              <w:rPr>
                <w:rFonts w:cs="Arial"/>
                <w:sz w:val="18"/>
                <w:szCs w:val="18"/>
              </w:rPr>
              <w:t>1.200</w:t>
            </w:r>
          </w:p>
        </w:tc>
        <w:tc>
          <w:tcPr>
            <w:tcW w:w="1361" w:type="dxa"/>
            <w:tcBorders>
              <w:top w:val="nil"/>
              <w:left w:val="nil"/>
              <w:bottom w:val="nil"/>
              <w:right w:val="nil"/>
            </w:tcBorders>
            <w:vAlign w:val="bottom"/>
          </w:tcPr>
          <w:p w14:paraId="0915BAB9" w14:textId="0C752532" w:rsidR="009F0AF7" w:rsidRPr="001D41EA" w:rsidRDefault="009F0AF7" w:rsidP="001D41EA">
            <w:pPr>
              <w:spacing w:before="40" w:after="20"/>
              <w:jc w:val="center"/>
              <w:rPr>
                <w:rFonts w:cs="Arial"/>
                <w:sz w:val="18"/>
                <w:szCs w:val="18"/>
              </w:rPr>
            </w:pPr>
            <w:r w:rsidRPr="001D41EA">
              <w:rPr>
                <w:rFonts w:cs="Arial"/>
                <w:sz w:val="18"/>
                <w:szCs w:val="18"/>
              </w:rPr>
              <w:t>1.502</w:t>
            </w:r>
          </w:p>
        </w:tc>
        <w:tc>
          <w:tcPr>
            <w:tcW w:w="1361" w:type="dxa"/>
            <w:tcBorders>
              <w:top w:val="nil"/>
              <w:left w:val="nil"/>
              <w:bottom w:val="nil"/>
              <w:right w:val="nil"/>
            </w:tcBorders>
            <w:vAlign w:val="bottom"/>
          </w:tcPr>
          <w:p w14:paraId="21A90D25" w14:textId="0520B779" w:rsidR="009F0AF7" w:rsidRPr="001D41EA" w:rsidRDefault="009F0AF7" w:rsidP="001D41EA">
            <w:pPr>
              <w:spacing w:before="40" w:after="20"/>
              <w:jc w:val="center"/>
              <w:rPr>
                <w:rFonts w:cs="Arial"/>
                <w:sz w:val="18"/>
                <w:szCs w:val="18"/>
              </w:rPr>
            </w:pPr>
            <w:r w:rsidRPr="001D41EA">
              <w:rPr>
                <w:rFonts w:cs="Arial"/>
                <w:sz w:val="18"/>
                <w:szCs w:val="18"/>
              </w:rPr>
              <w:t>1.293</w:t>
            </w:r>
          </w:p>
        </w:tc>
        <w:tc>
          <w:tcPr>
            <w:tcW w:w="1361" w:type="dxa"/>
            <w:tcBorders>
              <w:top w:val="nil"/>
              <w:left w:val="nil"/>
              <w:bottom w:val="nil"/>
              <w:right w:val="nil"/>
            </w:tcBorders>
            <w:shd w:val="clear" w:color="auto" w:fill="auto"/>
            <w:vAlign w:val="bottom"/>
          </w:tcPr>
          <w:p w14:paraId="6D6A1849" w14:textId="532B5B4C" w:rsidR="009F0AF7" w:rsidRPr="001D41EA" w:rsidRDefault="009F0AF7" w:rsidP="001D41EA">
            <w:pPr>
              <w:spacing w:before="40" w:after="20"/>
              <w:jc w:val="center"/>
              <w:rPr>
                <w:rFonts w:cs="Arial"/>
                <w:sz w:val="18"/>
                <w:szCs w:val="18"/>
              </w:rPr>
            </w:pPr>
            <w:r w:rsidRPr="001D41EA">
              <w:rPr>
                <w:rFonts w:cs="Arial"/>
                <w:sz w:val="18"/>
                <w:szCs w:val="18"/>
              </w:rPr>
              <w:t>0.883</w:t>
            </w:r>
          </w:p>
        </w:tc>
      </w:tr>
      <w:tr w:rsidR="009F0AF7" w:rsidRPr="001D41EA" w14:paraId="5F7E4030"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038644E" w14:textId="77777777" w:rsidR="009F0AF7" w:rsidRPr="001D41EA" w:rsidRDefault="009F0AF7" w:rsidP="001D41EA">
            <w:pPr>
              <w:spacing w:before="40" w:after="20"/>
              <w:rPr>
                <w:rFonts w:cs="Arial"/>
                <w:sz w:val="18"/>
                <w:szCs w:val="18"/>
              </w:rPr>
            </w:pPr>
            <w:r w:rsidRPr="001D41EA">
              <w:rPr>
                <w:rFonts w:cs="Arial"/>
                <w:sz w:val="18"/>
                <w:szCs w:val="18"/>
              </w:rPr>
              <w:t>Swan Hill RC</w:t>
            </w:r>
          </w:p>
        </w:tc>
        <w:tc>
          <w:tcPr>
            <w:tcW w:w="1361" w:type="dxa"/>
            <w:tcBorders>
              <w:top w:val="nil"/>
              <w:left w:val="single" w:sz="18" w:space="0" w:color="5F497A" w:themeColor="accent4" w:themeShade="BF"/>
              <w:bottom w:val="nil"/>
              <w:right w:val="nil"/>
            </w:tcBorders>
            <w:shd w:val="clear" w:color="auto" w:fill="auto"/>
            <w:vAlign w:val="bottom"/>
          </w:tcPr>
          <w:p w14:paraId="2E6CC287" w14:textId="415A513E" w:rsidR="009F0AF7" w:rsidRPr="001D41EA" w:rsidRDefault="009F0AF7" w:rsidP="001D41EA">
            <w:pPr>
              <w:spacing w:before="40" w:after="20"/>
              <w:jc w:val="center"/>
              <w:rPr>
                <w:rFonts w:cs="Arial"/>
                <w:sz w:val="18"/>
                <w:szCs w:val="18"/>
              </w:rPr>
            </w:pPr>
            <w:r w:rsidRPr="001D41EA">
              <w:rPr>
                <w:rFonts w:cs="Arial"/>
                <w:sz w:val="18"/>
                <w:szCs w:val="18"/>
              </w:rPr>
              <w:t>0.831</w:t>
            </w:r>
          </w:p>
        </w:tc>
        <w:tc>
          <w:tcPr>
            <w:tcW w:w="1361" w:type="dxa"/>
            <w:tcBorders>
              <w:top w:val="nil"/>
              <w:left w:val="nil"/>
              <w:bottom w:val="nil"/>
              <w:right w:val="nil"/>
            </w:tcBorders>
            <w:shd w:val="clear" w:color="auto" w:fill="auto"/>
            <w:vAlign w:val="bottom"/>
          </w:tcPr>
          <w:p w14:paraId="1D6F85BE" w14:textId="40EBA12C" w:rsidR="009F0AF7" w:rsidRPr="001D41EA" w:rsidRDefault="009F0AF7" w:rsidP="001D41EA">
            <w:pPr>
              <w:spacing w:before="40" w:after="20"/>
              <w:jc w:val="center"/>
              <w:rPr>
                <w:rFonts w:cs="Arial"/>
                <w:sz w:val="18"/>
                <w:szCs w:val="18"/>
              </w:rPr>
            </w:pPr>
            <w:r w:rsidRPr="001D41EA">
              <w:rPr>
                <w:rFonts w:cs="Arial"/>
                <w:sz w:val="18"/>
                <w:szCs w:val="18"/>
              </w:rPr>
              <w:t>0.808</w:t>
            </w:r>
          </w:p>
        </w:tc>
        <w:tc>
          <w:tcPr>
            <w:tcW w:w="1361" w:type="dxa"/>
            <w:tcBorders>
              <w:top w:val="nil"/>
              <w:left w:val="nil"/>
              <w:bottom w:val="nil"/>
              <w:right w:val="nil"/>
            </w:tcBorders>
            <w:vAlign w:val="bottom"/>
          </w:tcPr>
          <w:p w14:paraId="5A6A958D" w14:textId="2A92F32C" w:rsidR="009F0AF7" w:rsidRPr="001D41EA" w:rsidRDefault="009F0AF7" w:rsidP="001D41EA">
            <w:pPr>
              <w:spacing w:before="40" w:after="20"/>
              <w:jc w:val="center"/>
              <w:rPr>
                <w:rFonts w:cs="Arial"/>
                <w:sz w:val="18"/>
                <w:szCs w:val="18"/>
              </w:rPr>
            </w:pPr>
            <w:r w:rsidRPr="001D41EA">
              <w:rPr>
                <w:rFonts w:cs="Arial"/>
                <w:sz w:val="18"/>
                <w:szCs w:val="18"/>
              </w:rPr>
              <w:t>1.133</w:t>
            </w:r>
          </w:p>
        </w:tc>
        <w:tc>
          <w:tcPr>
            <w:tcW w:w="1361" w:type="dxa"/>
            <w:tcBorders>
              <w:top w:val="nil"/>
              <w:left w:val="nil"/>
              <w:bottom w:val="nil"/>
              <w:right w:val="nil"/>
            </w:tcBorders>
            <w:vAlign w:val="bottom"/>
          </w:tcPr>
          <w:p w14:paraId="45F81FA8" w14:textId="62879ED2" w:rsidR="009F0AF7" w:rsidRPr="001D41EA" w:rsidRDefault="009F0AF7" w:rsidP="001D41EA">
            <w:pPr>
              <w:spacing w:before="40" w:after="20"/>
              <w:jc w:val="center"/>
              <w:rPr>
                <w:rFonts w:cs="Arial"/>
                <w:sz w:val="18"/>
                <w:szCs w:val="18"/>
              </w:rPr>
            </w:pPr>
            <w:r w:rsidRPr="001D41EA">
              <w:rPr>
                <w:rFonts w:cs="Arial"/>
                <w:sz w:val="18"/>
                <w:szCs w:val="18"/>
              </w:rPr>
              <w:t>0.781</w:t>
            </w:r>
          </w:p>
        </w:tc>
        <w:tc>
          <w:tcPr>
            <w:tcW w:w="1361" w:type="dxa"/>
            <w:tcBorders>
              <w:top w:val="nil"/>
              <w:left w:val="nil"/>
              <w:bottom w:val="nil"/>
              <w:right w:val="nil"/>
            </w:tcBorders>
            <w:shd w:val="clear" w:color="auto" w:fill="auto"/>
            <w:vAlign w:val="bottom"/>
          </w:tcPr>
          <w:p w14:paraId="5AE35D46" w14:textId="07E4D534" w:rsidR="009F0AF7" w:rsidRPr="001D41EA" w:rsidRDefault="009F0AF7" w:rsidP="001D41EA">
            <w:pPr>
              <w:spacing w:before="40" w:after="20"/>
              <w:jc w:val="center"/>
              <w:rPr>
                <w:rFonts w:cs="Arial"/>
                <w:sz w:val="18"/>
                <w:szCs w:val="18"/>
              </w:rPr>
            </w:pPr>
            <w:r w:rsidRPr="001D41EA">
              <w:rPr>
                <w:rFonts w:cs="Arial"/>
                <w:sz w:val="18"/>
                <w:szCs w:val="18"/>
              </w:rPr>
              <w:t>0.916</w:t>
            </w:r>
          </w:p>
        </w:tc>
      </w:tr>
      <w:tr w:rsidR="009F0AF7" w:rsidRPr="001D41EA" w14:paraId="32D3ECF2"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97151A6" w14:textId="77777777" w:rsidR="009F0AF7" w:rsidRPr="001D41EA" w:rsidRDefault="009F0AF7" w:rsidP="001D41EA">
            <w:pPr>
              <w:spacing w:before="40" w:after="20"/>
              <w:rPr>
                <w:rFonts w:cs="Arial"/>
                <w:sz w:val="18"/>
                <w:szCs w:val="18"/>
              </w:rPr>
            </w:pPr>
            <w:r w:rsidRPr="001D41EA">
              <w:rPr>
                <w:rFonts w:cs="Arial"/>
                <w:sz w:val="18"/>
                <w:szCs w:val="18"/>
              </w:rPr>
              <w:t>Towong S</w:t>
            </w:r>
          </w:p>
        </w:tc>
        <w:tc>
          <w:tcPr>
            <w:tcW w:w="1361" w:type="dxa"/>
            <w:tcBorders>
              <w:top w:val="nil"/>
              <w:left w:val="single" w:sz="18" w:space="0" w:color="5F497A" w:themeColor="accent4" w:themeShade="BF"/>
              <w:bottom w:val="nil"/>
              <w:right w:val="nil"/>
            </w:tcBorders>
            <w:shd w:val="clear" w:color="auto" w:fill="auto"/>
            <w:vAlign w:val="bottom"/>
          </w:tcPr>
          <w:p w14:paraId="5B560979" w14:textId="70D3E97B" w:rsidR="009F0AF7" w:rsidRPr="001D41EA" w:rsidRDefault="009F0AF7" w:rsidP="001D41EA">
            <w:pPr>
              <w:spacing w:before="40" w:after="20"/>
              <w:jc w:val="center"/>
              <w:rPr>
                <w:rFonts w:cs="Arial"/>
                <w:sz w:val="18"/>
                <w:szCs w:val="18"/>
              </w:rPr>
            </w:pPr>
            <w:r w:rsidRPr="001D41EA">
              <w:rPr>
                <w:rFonts w:cs="Arial"/>
                <w:sz w:val="18"/>
                <w:szCs w:val="18"/>
              </w:rPr>
              <w:t>0.872</w:t>
            </w:r>
          </w:p>
        </w:tc>
        <w:tc>
          <w:tcPr>
            <w:tcW w:w="1361" w:type="dxa"/>
            <w:tcBorders>
              <w:top w:val="nil"/>
              <w:left w:val="nil"/>
              <w:bottom w:val="nil"/>
              <w:right w:val="nil"/>
            </w:tcBorders>
            <w:shd w:val="clear" w:color="auto" w:fill="auto"/>
            <w:vAlign w:val="bottom"/>
          </w:tcPr>
          <w:p w14:paraId="0EB63B54" w14:textId="0CB0F95D" w:rsidR="009F0AF7" w:rsidRPr="001D41EA" w:rsidRDefault="009F0AF7" w:rsidP="001D41EA">
            <w:pPr>
              <w:spacing w:before="40" w:after="20"/>
              <w:jc w:val="center"/>
              <w:rPr>
                <w:rFonts w:cs="Arial"/>
                <w:sz w:val="18"/>
                <w:szCs w:val="18"/>
              </w:rPr>
            </w:pPr>
            <w:r w:rsidRPr="001D41EA">
              <w:rPr>
                <w:rFonts w:cs="Arial"/>
                <w:sz w:val="18"/>
                <w:szCs w:val="18"/>
              </w:rPr>
              <w:t>0.944</w:t>
            </w:r>
          </w:p>
        </w:tc>
        <w:tc>
          <w:tcPr>
            <w:tcW w:w="1361" w:type="dxa"/>
            <w:tcBorders>
              <w:top w:val="nil"/>
              <w:left w:val="nil"/>
              <w:bottom w:val="nil"/>
              <w:right w:val="nil"/>
            </w:tcBorders>
            <w:vAlign w:val="bottom"/>
          </w:tcPr>
          <w:p w14:paraId="000ECD3A" w14:textId="7C5B2AFD" w:rsidR="009F0AF7" w:rsidRPr="001D41EA" w:rsidRDefault="009F0AF7" w:rsidP="001D41EA">
            <w:pPr>
              <w:spacing w:before="40" w:after="20"/>
              <w:jc w:val="center"/>
              <w:rPr>
                <w:rFonts w:cs="Arial"/>
                <w:sz w:val="18"/>
                <w:szCs w:val="18"/>
              </w:rPr>
            </w:pPr>
            <w:r w:rsidRPr="001D41EA">
              <w:rPr>
                <w:rFonts w:cs="Arial"/>
                <w:sz w:val="18"/>
                <w:szCs w:val="18"/>
              </w:rPr>
              <w:t>1.129</w:t>
            </w:r>
          </w:p>
        </w:tc>
        <w:tc>
          <w:tcPr>
            <w:tcW w:w="1361" w:type="dxa"/>
            <w:tcBorders>
              <w:top w:val="nil"/>
              <w:left w:val="nil"/>
              <w:bottom w:val="nil"/>
              <w:right w:val="nil"/>
            </w:tcBorders>
            <w:vAlign w:val="bottom"/>
          </w:tcPr>
          <w:p w14:paraId="52E3D707" w14:textId="508D33AE" w:rsidR="009F0AF7" w:rsidRPr="001D41EA" w:rsidRDefault="009F0AF7" w:rsidP="001D41EA">
            <w:pPr>
              <w:spacing w:before="40" w:after="20"/>
              <w:jc w:val="center"/>
              <w:rPr>
                <w:rFonts w:cs="Arial"/>
                <w:sz w:val="18"/>
                <w:szCs w:val="18"/>
              </w:rPr>
            </w:pPr>
            <w:r w:rsidRPr="001D41EA">
              <w:rPr>
                <w:rFonts w:cs="Arial"/>
                <w:sz w:val="18"/>
                <w:szCs w:val="18"/>
              </w:rPr>
              <w:t>0.705</w:t>
            </w:r>
          </w:p>
        </w:tc>
        <w:tc>
          <w:tcPr>
            <w:tcW w:w="1361" w:type="dxa"/>
            <w:tcBorders>
              <w:top w:val="nil"/>
              <w:left w:val="nil"/>
              <w:bottom w:val="nil"/>
              <w:right w:val="nil"/>
            </w:tcBorders>
            <w:shd w:val="clear" w:color="auto" w:fill="auto"/>
            <w:vAlign w:val="bottom"/>
          </w:tcPr>
          <w:p w14:paraId="09BD00CA" w14:textId="54047925" w:rsidR="009F0AF7" w:rsidRPr="001D41EA" w:rsidRDefault="009F0AF7" w:rsidP="001D41EA">
            <w:pPr>
              <w:spacing w:before="40" w:after="20"/>
              <w:jc w:val="center"/>
              <w:rPr>
                <w:rFonts w:cs="Arial"/>
                <w:sz w:val="18"/>
                <w:szCs w:val="18"/>
              </w:rPr>
            </w:pPr>
            <w:r w:rsidRPr="001D41EA">
              <w:rPr>
                <w:rFonts w:cs="Arial"/>
                <w:sz w:val="18"/>
                <w:szCs w:val="18"/>
              </w:rPr>
              <w:t>0.791</w:t>
            </w:r>
          </w:p>
        </w:tc>
      </w:tr>
      <w:tr w:rsidR="009F0AF7" w:rsidRPr="001D41EA" w14:paraId="7A65F48C"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735D629" w14:textId="77777777" w:rsidR="009F0AF7" w:rsidRPr="001D41EA" w:rsidRDefault="009F0AF7" w:rsidP="001D41EA">
            <w:pPr>
              <w:spacing w:before="40" w:after="20"/>
              <w:rPr>
                <w:rFonts w:cs="Arial"/>
                <w:sz w:val="18"/>
                <w:szCs w:val="18"/>
              </w:rPr>
            </w:pPr>
            <w:r w:rsidRPr="001D41EA">
              <w:rPr>
                <w:rFonts w:cs="Arial"/>
                <w:sz w:val="18"/>
                <w:szCs w:val="18"/>
              </w:rPr>
              <w:t>Wangaratta RC</w:t>
            </w:r>
          </w:p>
        </w:tc>
        <w:tc>
          <w:tcPr>
            <w:tcW w:w="1361" w:type="dxa"/>
            <w:tcBorders>
              <w:top w:val="nil"/>
              <w:left w:val="single" w:sz="18" w:space="0" w:color="5F497A" w:themeColor="accent4" w:themeShade="BF"/>
              <w:bottom w:val="nil"/>
              <w:right w:val="nil"/>
            </w:tcBorders>
            <w:shd w:val="clear" w:color="auto" w:fill="auto"/>
            <w:vAlign w:val="bottom"/>
          </w:tcPr>
          <w:p w14:paraId="376598FE" w14:textId="4AA85F9A" w:rsidR="009F0AF7" w:rsidRPr="001D41EA" w:rsidRDefault="009F0AF7" w:rsidP="001D41EA">
            <w:pPr>
              <w:spacing w:before="40" w:after="20"/>
              <w:jc w:val="center"/>
              <w:rPr>
                <w:rFonts w:cs="Arial"/>
                <w:sz w:val="18"/>
                <w:szCs w:val="18"/>
              </w:rPr>
            </w:pPr>
            <w:r w:rsidRPr="001D41EA">
              <w:rPr>
                <w:rFonts w:cs="Arial"/>
                <w:sz w:val="18"/>
                <w:szCs w:val="18"/>
              </w:rPr>
              <w:t>0.867</w:t>
            </w:r>
          </w:p>
        </w:tc>
        <w:tc>
          <w:tcPr>
            <w:tcW w:w="1361" w:type="dxa"/>
            <w:tcBorders>
              <w:top w:val="nil"/>
              <w:left w:val="nil"/>
              <w:bottom w:val="nil"/>
              <w:right w:val="nil"/>
            </w:tcBorders>
            <w:shd w:val="clear" w:color="auto" w:fill="auto"/>
            <w:vAlign w:val="bottom"/>
          </w:tcPr>
          <w:p w14:paraId="4FAB27A8" w14:textId="386864A6" w:rsidR="009F0AF7" w:rsidRPr="001D41EA" w:rsidRDefault="009F0AF7" w:rsidP="001D41EA">
            <w:pPr>
              <w:spacing w:before="40" w:after="20"/>
              <w:jc w:val="center"/>
              <w:rPr>
                <w:rFonts w:cs="Arial"/>
                <w:sz w:val="18"/>
                <w:szCs w:val="18"/>
              </w:rPr>
            </w:pPr>
            <w:r w:rsidRPr="001D41EA">
              <w:rPr>
                <w:rFonts w:cs="Arial"/>
                <w:sz w:val="18"/>
                <w:szCs w:val="18"/>
              </w:rPr>
              <w:t>0.916</w:t>
            </w:r>
          </w:p>
        </w:tc>
        <w:tc>
          <w:tcPr>
            <w:tcW w:w="1361" w:type="dxa"/>
            <w:tcBorders>
              <w:top w:val="nil"/>
              <w:left w:val="nil"/>
              <w:bottom w:val="nil"/>
              <w:right w:val="nil"/>
            </w:tcBorders>
            <w:vAlign w:val="bottom"/>
          </w:tcPr>
          <w:p w14:paraId="741D3AA2" w14:textId="17E9F5A5" w:rsidR="009F0AF7" w:rsidRPr="001D41EA" w:rsidRDefault="009F0AF7" w:rsidP="001D41EA">
            <w:pPr>
              <w:spacing w:before="40" w:after="20"/>
              <w:jc w:val="center"/>
              <w:rPr>
                <w:rFonts w:cs="Arial"/>
                <w:sz w:val="18"/>
                <w:szCs w:val="18"/>
              </w:rPr>
            </w:pPr>
            <w:r w:rsidRPr="001D41EA">
              <w:rPr>
                <w:rFonts w:cs="Arial"/>
                <w:sz w:val="18"/>
                <w:szCs w:val="18"/>
              </w:rPr>
              <w:t>1.090</w:t>
            </w:r>
          </w:p>
        </w:tc>
        <w:tc>
          <w:tcPr>
            <w:tcW w:w="1361" w:type="dxa"/>
            <w:tcBorders>
              <w:top w:val="nil"/>
              <w:left w:val="nil"/>
              <w:bottom w:val="nil"/>
              <w:right w:val="nil"/>
            </w:tcBorders>
            <w:vAlign w:val="bottom"/>
          </w:tcPr>
          <w:p w14:paraId="205F5A8E" w14:textId="05817D68" w:rsidR="009F0AF7" w:rsidRPr="001D41EA" w:rsidRDefault="009F0AF7" w:rsidP="001D41EA">
            <w:pPr>
              <w:spacing w:before="40" w:after="20"/>
              <w:jc w:val="center"/>
              <w:rPr>
                <w:rFonts w:cs="Arial"/>
                <w:sz w:val="18"/>
                <w:szCs w:val="18"/>
              </w:rPr>
            </w:pPr>
            <w:r w:rsidRPr="001D41EA">
              <w:rPr>
                <w:rFonts w:cs="Arial"/>
                <w:sz w:val="18"/>
                <w:szCs w:val="18"/>
              </w:rPr>
              <w:t>0.846</w:t>
            </w:r>
          </w:p>
        </w:tc>
        <w:tc>
          <w:tcPr>
            <w:tcW w:w="1361" w:type="dxa"/>
            <w:tcBorders>
              <w:top w:val="nil"/>
              <w:left w:val="nil"/>
              <w:bottom w:val="nil"/>
              <w:right w:val="nil"/>
            </w:tcBorders>
            <w:shd w:val="clear" w:color="auto" w:fill="auto"/>
            <w:vAlign w:val="bottom"/>
          </w:tcPr>
          <w:p w14:paraId="0521BD40" w14:textId="53B4B6AD" w:rsidR="009F0AF7" w:rsidRPr="001D41EA" w:rsidRDefault="009F0AF7" w:rsidP="001D41EA">
            <w:pPr>
              <w:spacing w:before="40" w:after="20"/>
              <w:jc w:val="center"/>
              <w:rPr>
                <w:rFonts w:cs="Arial"/>
                <w:sz w:val="18"/>
                <w:szCs w:val="18"/>
              </w:rPr>
            </w:pPr>
            <w:r w:rsidRPr="001D41EA">
              <w:rPr>
                <w:rFonts w:cs="Arial"/>
                <w:sz w:val="18"/>
                <w:szCs w:val="18"/>
              </w:rPr>
              <w:t>0.964</w:t>
            </w:r>
          </w:p>
        </w:tc>
      </w:tr>
      <w:tr w:rsidR="009F0AF7" w:rsidRPr="001D41EA" w14:paraId="039642BA"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46396D2" w14:textId="77777777" w:rsidR="009F0AF7" w:rsidRPr="001D41EA" w:rsidRDefault="009F0AF7" w:rsidP="001D41EA">
            <w:pPr>
              <w:spacing w:before="40" w:after="20"/>
              <w:rPr>
                <w:rFonts w:cs="Arial"/>
                <w:sz w:val="18"/>
                <w:szCs w:val="18"/>
              </w:rPr>
            </w:pPr>
            <w:r w:rsidRPr="001D41EA">
              <w:rPr>
                <w:rFonts w:cs="Arial"/>
                <w:sz w:val="18"/>
                <w:szCs w:val="18"/>
              </w:rPr>
              <w:t>Warrnambool C</w:t>
            </w:r>
          </w:p>
        </w:tc>
        <w:tc>
          <w:tcPr>
            <w:tcW w:w="1361" w:type="dxa"/>
            <w:tcBorders>
              <w:top w:val="nil"/>
              <w:left w:val="single" w:sz="18" w:space="0" w:color="5F497A" w:themeColor="accent4" w:themeShade="BF"/>
              <w:bottom w:val="nil"/>
              <w:right w:val="nil"/>
            </w:tcBorders>
            <w:shd w:val="clear" w:color="auto" w:fill="auto"/>
            <w:vAlign w:val="bottom"/>
          </w:tcPr>
          <w:p w14:paraId="6B9DC8C8" w14:textId="56D0F804" w:rsidR="009F0AF7" w:rsidRPr="001D41EA" w:rsidRDefault="009F0AF7" w:rsidP="001D41EA">
            <w:pPr>
              <w:spacing w:before="40" w:after="20"/>
              <w:jc w:val="center"/>
              <w:rPr>
                <w:rFonts w:cs="Arial"/>
                <w:sz w:val="18"/>
                <w:szCs w:val="18"/>
              </w:rPr>
            </w:pPr>
            <w:r w:rsidRPr="001D41EA">
              <w:rPr>
                <w:rFonts w:cs="Arial"/>
                <w:sz w:val="18"/>
                <w:szCs w:val="18"/>
              </w:rPr>
              <w:t>0.861</w:t>
            </w:r>
          </w:p>
        </w:tc>
        <w:tc>
          <w:tcPr>
            <w:tcW w:w="1361" w:type="dxa"/>
            <w:tcBorders>
              <w:top w:val="nil"/>
              <w:left w:val="nil"/>
              <w:bottom w:val="nil"/>
              <w:right w:val="nil"/>
            </w:tcBorders>
            <w:shd w:val="clear" w:color="auto" w:fill="auto"/>
            <w:vAlign w:val="bottom"/>
          </w:tcPr>
          <w:p w14:paraId="1F2CA056" w14:textId="29C7A43F" w:rsidR="009F0AF7" w:rsidRPr="001D41EA" w:rsidRDefault="009F0AF7" w:rsidP="001D41EA">
            <w:pPr>
              <w:spacing w:before="40" w:after="20"/>
              <w:jc w:val="center"/>
              <w:rPr>
                <w:rFonts w:cs="Arial"/>
                <w:sz w:val="18"/>
                <w:szCs w:val="18"/>
              </w:rPr>
            </w:pPr>
            <w:r w:rsidRPr="001D41EA">
              <w:rPr>
                <w:rFonts w:cs="Arial"/>
                <w:sz w:val="18"/>
                <w:szCs w:val="18"/>
              </w:rPr>
              <w:t>0.926</w:t>
            </w:r>
          </w:p>
        </w:tc>
        <w:tc>
          <w:tcPr>
            <w:tcW w:w="1361" w:type="dxa"/>
            <w:tcBorders>
              <w:top w:val="nil"/>
              <w:left w:val="nil"/>
              <w:bottom w:val="nil"/>
              <w:right w:val="nil"/>
            </w:tcBorders>
            <w:vAlign w:val="bottom"/>
          </w:tcPr>
          <w:p w14:paraId="0E0FCA81" w14:textId="6AF4C2DA" w:rsidR="009F0AF7" w:rsidRPr="001D41EA" w:rsidRDefault="009F0AF7" w:rsidP="001D41EA">
            <w:pPr>
              <w:spacing w:before="40" w:after="20"/>
              <w:jc w:val="center"/>
              <w:rPr>
                <w:rFonts w:cs="Arial"/>
                <w:sz w:val="18"/>
                <w:szCs w:val="18"/>
              </w:rPr>
            </w:pPr>
            <w:r w:rsidRPr="001D41EA">
              <w:rPr>
                <w:rFonts w:cs="Arial"/>
                <w:sz w:val="18"/>
                <w:szCs w:val="18"/>
              </w:rPr>
              <w:t>1.155</w:t>
            </w:r>
          </w:p>
        </w:tc>
        <w:tc>
          <w:tcPr>
            <w:tcW w:w="1361" w:type="dxa"/>
            <w:tcBorders>
              <w:top w:val="nil"/>
              <w:left w:val="nil"/>
              <w:bottom w:val="nil"/>
              <w:right w:val="nil"/>
            </w:tcBorders>
            <w:vAlign w:val="bottom"/>
          </w:tcPr>
          <w:p w14:paraId="0ED86060" w14:textId="4AE4075A" w:rsidR="009F0AF7" w:rsidRPr="001D41EA" w:rsidRDefault="009F0AF7" w:rsidP="001D41EA">
            <w:pPr>
              <w:spacing w:before="40" w:after="20"/>
              <w:jc w:val="center"/>
              <w:rPr>
                <w:rFonts w:cs="Arial"/>
                <w:sz w:val="18"/>
                <w:szCs w:val="18"/>
              </w:rPr>
            </w:pPr>
            <w:r w:rsidRPr="001D41EA">
              <w:rPr>
                <w:rFonts w:cs="Arial"/>
                <w:sz w:val="18"/>
                <w:szCs w:val="18"/>
              </w:rPr>
              <w:t>0.857</w:t>
            </w:r>
          </w:p>
        </w:tc>
        <w:tc>
          <w:tcPr>
            <w:tcW w:w="1361" w:type="dxa"/>
            <w:tcBorders>
              <w:top w:val="nil"/>
              <w:left w:val="nil"/>
              <w:bottom w:val="nil"/>
              <w:right w:val="nil"/>
            </w:tcBorders>
            <w:shd w:val="clear" w:color="auto" w:fill="auto"/>
            <w:vAlign w:val="bottom"/>
          </w:tcPr>
          <w:p w14:paraId="1DF60E7B" w14:textId="28FADFBD" w:rsidR="009F0AF7" w:rsidRPr="001D41EA" w:rsidRDefault="009F0AF7" w:rsidP="001D41EA">
            <w:pPr>
              <w:spacing w:before="40" w:after="20"/>
              <w:jc w:val="center"/>
              <w:rPr>
                <w:rFonts w:cs="Arial"/>
                <w:sz w:val="18"/>
                <w:szCs w:val="18"/>
              </w:rPr>
            </w:pPr>
            <w:r w:rsidRPr="001D41EA">
              <w:rPr>
                <w:rFonts w:cs="Arial"/>
                <w:sz w:val="18"/>
                <w:szCs w:val="18"/>
              </w:rPr>
              <w:t>1.130</w:t>
            </w:r>
          </w:p>
        </w:tc>
      </w:tr>
      <w:tr w:rsidR="009F0AF7" w:rsidRPr="001D41EA" w14:paraId="0105FE35"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68A9C55" w14:textId="77777777" w:rsidR="009F0AF7" w:rsidRPr="001D41EA" w:rsidRDefault="009F0AF7" w:rsidP="001D41EA">
            <w:pPr>
              <w:spacing w:before="40" w:after="20"/>
              <w:rPr>
                <w:rFonts w:cs="Arial"/>
                <w:sz w:val="18"/>
                <w:szCs w:val="18"/>
              </w:rPr>
            </w:pPr>
            <w:r w:rsidRPr="001D41EA">
              <w:rPr>
                <w:rFonts w:cs="Arial"/>
                <w:sz w:val="18"/>
                <w:szCs w:val="18"/>
              </w:rPr>
              <w:t>Wellington S</w:t>
            </w:r>
          </w:p>
        </w:tc>
        <w:tc>
          <w:tcPr>
            <w:tcW w:w="1361" w:type="dxa"/>
            <w:tcBorders>
              <w:top w:val="nil"/>
              <w:left w:val="single" w:sz="18" w:space="0" w:color="5F497A" w:themeColor="accent4" w:themeShade="BF"/>
              <w:bottom w:val="nil"/>
              <w:right w:val="nil"/>
            </w:tcBorders>
            <w:shd w:val="clear" w:color="auto" w:fill="auto"/>
            <w:vAlign w:val="bottom"/>
          </w:tcPr>
          <w:p w14:paraId="7E9C3CA5" w14:textId="3B66198C" w:rsidR="009F0AF7" w:rsidRPr="001D41EA" w:rsidRDefault="009F0AF7" w:rsidP="001D41EA">
            <w:pPr>
              <w:spacing w:before="40" w:after="20"/>
              <w:jc w:val="center"/>
              <w:rPr>
                <w:rFonts w:cs="Arial"/>
                <w:sz w:val="18"/>
                <w:szCs w:val="18"/>
              </w:rPr>
            </w:pPr>
            <w:r w:rsidRPr="001D41EA">
              <w:rPr>
                <w:rFonts w:cs="Arial"/>
                <w:sz w:val="18"/>
                <w:szCs w:val="18"/>
              </w:rPr>
              <w:t>0.861</w:t>
            </w:r>
          </w:p>
        </w:tc>
        <w:tc>
          <w:tcPr>
            <w:tcW w:w="1361" w:type="dxa"/>
            <w:tcBorders>
              <w:top w:val="nil"/>
              <w:left w:val="nil"/>
              <w:bottom w:val="nil"/>
              <w:right w:val="nil"/>
            </w:tcBorders>
            <w:shd w:val="clear" w:color="auto" w:fill="auto"/>
            <w:vAlign w:val="bottom"/>
          </w:tcPr>
          <w:p w14:paraId="4ACF88FE" w14:textId="56EED910" w:rsidR="009F0AF7" w:rsidRPr="001D41EA" w:rsidRDefault="009F0AF7" w:rsidP="001D41EA">
            <w:pPr>
              <w:spacing w:before="40" w:after="20"/>
              <w:jc w:val="center"/>
              <w:rPr>
                <w:rFonts w:cs="Arial"/>
                <w:sz w:val="18"/>
                <w:szCs w:val="18"/>
              </w:rPr>
            </w:pPr>
            <w:r w:rsidRPr="001D41EA">
              <w:rPr>
                <w:rFonts w:cs="Arial"/>
                <w:sz w:val="18"/>
                <w:szCs w:val="18"/>
              </w:rPr>
              <w:t>0.889</w:t>
            </w:r>
          </w:p>
        </w:tc>
        <w:tc>
          <w:tcPr>
            <w:tcW w:w="1361" w:type="dxa"/>
            <w:tcBorders>
              <w:top w:val="nil"/>
              <w:left w:val="nil"/>
              <w:bottom w:val="nil"/>
              <w:right w:val="nil"/>
            </w:tcBorders>
            <w:vAlign w:val="bottom"/>
          </w:tcPr>
          <w:p w14:paraId="16C74647" w14:textId="240A2669" w:rsidR="009F0AF7" w:rsidRPr="001D41EA" w:rsidRDefault="009F0AF7" w:rsidP="001D41EA">
            <w:pPr>
              <w:spacing w:before="40" w:after="20"/>
              <w:jc w:val="center"/>
              <w:rPr>
                <w:rFonts w:cs="Arial"/>
                <w:sz w:val="18"/>
                <w:szCs w:val="18"/>
              </w:rPr>
            </w:pPr>
            <w:r w:rsidRPr="001D41EA">
              <w:rPr>
                <w:rFonts w:cs="Arial"/>
                <w:sz w:val="18"/>
                <w:szCs w:val="18"/>
              </w:rPr>
              <w:t>1.077</w:t>
            </w:r>
          </w:p>
        </w:tc>
        <w:tc>
          <w:tcPr>
            <w:tcW w:w="1361" w:type="dxa"/>
            <w:tcBorders>
              <w:top w:val="nil"/>
              <w:left w:val="nil"/>
              <w:bottom w:val="nil"/>
              <w:right w:val="nil"/>
            </w:tcBorders>
            <w:vAlign w:val="bottom"/>
          </w:tcPr>
          <w:p w14:paraId="75DFC8A3" w14:textId="34705DB1" w:rsidR="009F0AF7" w:rsidRPr="001D41EA" w:rsidRDefault="009F0AF7" w:rsidP="001D41EA">
            <w:pPr>
              <w:spacing w:before="40" w:after="20"/>
              <w:jc w:val="center"/>
              <w:rPr>
                <w:rFonts w:cs="Arial"/>
                <w:sz w:val="18"/>
                <w:szCs w:val="18"/>
              </w:rPr>
            </w:pPr>
            <w:r w:rsidRPr="001D41EA">
              <w:rPr>
                <w:rFonts w:cs="Arial"/>
                <w:sz w:val="18"/>
                <w:szCs w:val="18"/>
              </w:rPr>
              <w:t>0.835</w:t>
            </w:r>
          </w:p>
        </w:tc>
        <w:tc>
          <w:tcPr>
            <w:tcW w:w="1361" w:type="dxa"/>
            <w:tcBorders>
              <w:top w:val="nil"/>
              <w:left w:val="nil"/>
              <w:bottom w:val="nil"/>
              <w:right w:val="nil"/>
            </w:tcBorders>
            <w:shd w:val="clear" w:color="auto" w:fill="auto"/>
            <w:vAlign w:val="bottom"/>
          </w:tcPr>
          <w:p w14:paraId="252113EC" w14:textId="55C71715" w:rsidR="009F0AF7" w:rsidRPr="001D41EA" w:rsidRDefault="009F0AF7" w:rsidP="001D41EA">
            <w:pPr>
              <w:spacing w:before="40" w:after="20"/>
              <w:jc w:val="center"/>
              <w:rPr>
                <w:rFonts w:cs="Arial"/>
                <w:sz w:val="18"/>
                <w:szCs w:val="18"/>
              </w:rPr>
            </w:pPr>
            <w:r w:rsidRPr="001D41EA">
              <w:rPr>
                <w:rFonts w:cs="Arial"/>
                <w:sz w:val="18"/>
                <w:szCs w:val="18"/>
              </w:rPr>
              <w:t>1.398</w:t>
            </w:r>
          </w:p>
        </w:tc>
      </w:tr>
      <w:tr w:rsidR="009F0AF7" w:rsidRPr="001D41EA" w14:paraId="730CF523"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DF5F6F1" w14:textId="77777777" w:rsidR="009F0AF7" w:rsidRPr="001D41EA" w:rsidRDefault="009F0AF7" w:rsidP="001D41EA">
            <w:pPr>
              <w:spacing w:before="40" w:after="20"/>
              <w:rPr>
                <w:rFonts w:cs="Arial"/>
                <w:sz w:val="18"/>
                <w:szCs w:val="18"/>
              </w:rPr>
            </w:pPr>
            <w:r w:rsidRPr="001D41EA">
              <w:rPr>
                <w:rFonts w:cs="Arial"/>
                <w:sz w:val="18"/>
                <w:szCs w:val="18"/>
              </w:rPr>
              <w:t>West Wimmera S</w:t>
            </w:r>
          </w:p>
        </w:tc>
        <w:tc>
          <w:tcPr>
            <w:tcW w:w="1361" w:type="dxa"/>
            <w:tcBorders>
              <w:top w:val="nil"/>
              <w:left w:val="single" w:sz="18" w:space="0" w:color="5F497A" w:themeColor="accent4" w:themeShade="BF"/>
              <w:bottom w:val="nil"/>
              <w:right w:val="nil"/>
            </w:tcBorders>
            <w:shd w:val="clear" w:color="auto" w:fill="auto"/>
            <w:vAlign w:val="bottom"/>
          </w:tcPr>
          <w:p w14:paraId="400F6487" w14:textId="51CD5AEB" w:rsidR="009F0AF7" w:rsidRPr="001D41EA" w:rsidRDefault="009F0AF7" w:rsidP="001D41EA">
            <w:pPr>
              <w:spacing w:before="40" w:after="20"/>
              <w:jc w:val="center"/>
              <w:rPr>
                <w:rFonts w:cs="Arial"/>
                <w:sz w:val="18"/>
                <w:szCs w:val="18"/>
              </w:rPr>
            </w:pPr>
            <w:r w:rsidRPr="001D41EA">
              <w:rPr>
                <w:rFonts w:cs="Arial"/>
                <w:sz w:val="18"/>
                <w:szCs w:val="18"/>
              </w:rPr>
              <w:t>0.838</w:t>
            </w:r>
          </w:p>
        </w:tc>
        <w:tc>
          <w:tcPr>
            <w:tcW w:w="1361" w:type="dxa"/>
            <w:tcBorders>
              <w:top w:val="nil"/>
              <w:left w:val="nil"/>
              <w:bottom w:val="nil"/>
              <w:right w:val="nil"/>
            </w:tcBorders>
            <w:shd w:val="clear" w:color="auto" w:fill="auto"/>
            <w:vAlign w:val="bottom"/>
          </w:tcPr>
          <w:p w14:paraId="29906058" w14:textId="4E25BE7D" w:rsidR="009F0AF7" w:rsidRPr="001D41EA" w:rsidRDefault="009F0AF7" w:rsidP="001D41EA">
            <w:pPr>
              <w:spacing w:before="40" w:after="20"/>
              <w:jc w:val="center"/>
              <w:rPr>
                <w:rFonts w:cs="Arial"/>
                <w:sz w:val="18"/>
                <w:szCs w:val="18"/>
              </w:rPr>
            </w:pPr>
            <w:r w:rsidRPr="001D41EA">
              <w:rPr>
                <w:rFonts w:cs="Arial"/>
                <w:sz w:val="18"/>
                <w:szCs w:val="18"/>
              </w:rPr>
              <w:t>0.923</w:t>
            </w:r>
          </w:p>
        </w:tc>
        <w:tc>
          <w:tcPr>
            <w:tcW w:w="1361" w:type="dxa"/>
            <w:tcBorders>
              <w:top w:val="nil"/>
              <w:left w:val="nil"/>
              <w:bottom w:val="nil"/>
              <w:right w:val="nil"/>
            </w:tcBorders>
            <w:vAlign w:val="bottom"/>
          </w:tcPr>
          <w:p w14:paraId="22CCC685" w14:textId="1909A870" w:rsidR="009F0AF7" w:rsidRPr="001D41EA" w:rsidRDefault="009F0AF7" w:rsidP="001D41EA">
            <w:pPr>
              <w:spacing w:before="40" w:after="20"/>
              <w:jc w:val="center"/>
              <w:rPr>
                <w:rFonts w:cs="Arial"/>
                <w:sz w:val="18"/>
                <w:szCs w:val="18"/>
              </w:rPr>
            </w:pPr>
            <w:r w:rsidRPr="001D41EA">
              <w:rPr>
                <w:rFonts w:cs="Arial"/>
                <w:sz w:val="18"/>
                <w:szCs w:val="18"/>
              </w:rPr>
              <w:t>1.063</w:t>
            </w:r>
          </w:p>
        </w:tc>
        <w:tc>
          <w:tcPr>
            <w:tcW w:w="1361" w:type="dxa"/>
            <w:tcBorders>
              <w:top w:val="nil"/>
              <w:left w:val="nil"/>
              <w:bottom w:val="nil"/>
              <w:right w:val="nil"/>
            </w:tcBorders>
            <w:vAlign w:val="bottom"/>
          </w:tcPr>
          <w:p w14:paraId="24E898C9" w14:textId="228FA12A" w:rsidR="009F0AF7" w:rsidRPr="001D41EA" w:rsidRDefault="009F0AF7" w:rsidP="001D41EA">
            <w:pPr>
              <w:spacing w:before="40" w:after="20"/>
              <w:jc w:val="center"/>
              <w:rPr>
                <w:rFonts w:cs="Arial"/>
                <w:sz w:val="18"/>
                <w:szCs w:val="18"/>
              </w:rPr>
            </w:pPr>
            <w:r w:rsidRPr="001D41EA">
              <w:rPr>
                <w:rFonts w:cs="Arial"/>
                <w:sz w:val="18"/>
                <w:szCs w:val="18"/>
              </w:rPr>
              <w:t>0.714</w:t>
            </w:r>
          </w:p>
        </w:tc>
        <w:tc>
          <w:tcPr>
            <w:tcW w:w="1361" w:type="dxa"/>
            <w:tcBorders>
              <w:top w:val="nil"/>
              <w:left w:val="nil"/>
              <w:bottom w:val="nil"/>
              <w:right w:val="nil"/>
            </w:tcBorders>
            <w:shd w:val="clear" w:color="auto" w:fill="auto"/>
            <w:vAlign w:val="bottom"/>
          </w:tcPr>
          <w:p w14:paraId="0A3A20E7" w14:textId="7B267EE1" w:rsidR="009F0AF7" w:rsidRPr="001D41EA" w:rsidRDefault="009F0AF7" w:rsidP="001D41EA">
            <w:pPr>
              <w:spacing w:before="40" w:after="20"/>
              <w:jc w:val="center"/>
              <w:rPr>
                <w:rFonts w:cs="Arial"/>
                <w:sz w:val="18"/>
                <w:szCs w:val="18"/>
              </w:rPr>
            </w:pPr>
            <w:r w:rsidRPr="001D41EA">
              <w:rPr>
                <w:rFonts w:cs="Arial"/>
                <w:sz w:val="18"/>
                <w:szCs w:val="18"/>
              </w:rPr>
              <w:t>0.699</w:t>
            </w:r>
          </w:p>
        </w:tc>
      </w:tr>
      <w:tr w:rsidR="009F0AF7" w:rsidRPr="001D41EA" w14:paraId="510DEBD8"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3253AE5" w14:textId="77777777" w:rsidR="009F0AF7" w:rsidRPr="001D41EA" w:rsidRDefault="009F0AF7" w:rsidP="001D41EA">
            <w:pPr>
              <w:spacing w:before="40" w:after="20"/>
              <w:rPr>
                <w:rFonts w:cs="Arial"/>
                <w:sz w:val="18"/>
                <w:szCs w:val="18"/>
              </w:rPr>
            </w:pPr>
            <w:r w:rsidRPr="001D41EA">
              <w:rPr>
                <w:rFonts w:cs="Arial"/>
                <w:sz w:val="18"/>
                <w:szCs w:val="18"/>
              </w:rPr>
              <w:t>Whitehorse C</w:t>
            </w:r>
          </w:p>
        </w:tc>
        <w:tc>
          <w:tcPr>
            <w:tcW w:w="1361" w:type="dxa"/>
            <w:tcBorders>
              <w:top w:val="nil"/>
              <w:left w:val="single" w:sz="18" w:space="0" w:color="5F497A" w:themeColor="accent4" w:themeShade="BF"/>
              <w:bottom w:val="nil"/>
              <w:right w:val="nil"/>
            </w:tcBorders>
            <w:shd w:val="clear" w:color="auto" w:fill="auto"/>
            <w:vAlign w:val="bottom"/>
          </w:tcPr>
          <w:p w14:paraId="565154B5" w14:textId="0EDE678A" w:rsidR="009F0AF7" w:rsidRPr="001D41EA" w:rsidRDefault="009F0AF7" w:rsidP="001D41EA">
            <w:pPr>
              <w:spacing w:before="40" w:after="20"/>
              <w:jc w:val="center"/>
              <w:rPr>
                <w:rFonts w:cs="Arial"/>
                <w:sz w:val="18"/>
                <w:szCs w:val="18"/>
              </w:rPr>
            </w:pPr>
            <w:r w:rsidRPr="001D41EA">
              <w:rPr>
                <w:rFonts w:cs="Arial"/>
                <w:sz w:val="18"/>
                <w:szCs w:val="18"/>
              </w:rPr>
              <w:t>1.061</w:t>
            </w:r>
          </w:p>
        </w:tc>
        <w:tc>
          <w:tcPr>
            <w:tcW w:w="1361" w:type="dxa"/>
            <w:tcBorders>
              <w:top w:val="nil"/>
              <w:left w:val="nil"/>
              <w:bottom w:val="nil"/>
              <w:right w:val="nil"/>
            </w:tcBorders>
            <w:shd w:val="clear" w:color="auto" w:fill="auto"/>
            <w:vAlign w:val="bottom"/>
          </w:tcPr>
          <w:p w14:paraId="092B84B7" w14:textId="0536DEE5" w:rsidR="009F0AF7" w:rsidRPr="001D41EA" w:rsidRDefault="009F0AF7" w:rsidP="001D41EA">
            <w:pPr>
              <w:spacing w:before="40" w:after="20"/>
              <w:jc w:val="center"/>
              <w:rPr>
                <w:rFonts w:cs="Arial"/>
                <w:sz w:val="18"/>
                <w:szCs w:val="18"/>
              </w:rPr>
            </w:pPr>
            <w:r w:rsidRPr="001D41EA">
              <w:rPr>
                <w:rFonts w:cs="Arial"/>
                <w:sz w:val="18"/>
                <w:szCs w:val="18"/>
              </w:rPr>
              <w:t>1.115</w:t>
            </w:r>
          </w:p>
        </w:tc>
        <w:tc>
          <w:tcPr>
            <w:tcW w:w="1361" w:type="dxa"/>
            <w:tcBorders>
              <w:top w:val="nil"/>
              <w:left w:val="nil"/>
              <w:bottom w:val="nil"/>
              <w:right w:val="nil"/>
            </w:tcBorders>
            <w:vAlign w:val="bottom"/>
          </w:tcPr>
          <w:p w14:paraId="658F159A" w14:textId="2511AECA" w:rsidR="009F0AF7" w:rsidRPr="001D41EA" w:rsidRDefault="009F0AF7" w:rsidP="001D41EA">
            <w:pPr>
              <w:spacing w:before="40" w:after="20"/>
              <w:jc w:val="center"/>
              <w:rPr>
                <w:rFonts w:cs="Arial"/>
                <w:sz w:val="18"/>
                <w:szCs w:val="18"/>
              </w:rPr>
            </w:pPr>
            <w:r w:rsidRPr="001D41EA">
              <w:rPr>
                <w:rFonts w:cs="Arial"/>
                <w:sz w:val="18"/>
                <w:szCs w:val="18"/>
              </w:rPr>
              <w:t>0.992</w:t>
            </w:r>
          </w:p>
        </w:tc>
        <w:tc>
          <w:tcPr>
            <w:tcW w:w="1361" w:type="dxa"/>
            <w:tcBorders>
              <w:top w:val="nil"/>
              <w:left w:val="nil"/>
              <w:bottom w:val="nil"/>
              <w:right w:val="nil"/>
            </w:tcBorders>
            <w:vAlign w:val="bottom"/>
          </w:tcPr>
          <w:p w14:paraId="3D3CACD5" w14:textId="326B4CAE" w:rsidR="009F0AF7" w:rsidRPr="001D41EA" w:rsidRDefault="009F0AF7" w:rsidP="001D41EA">
            <w:pPr>
              <w:spacing w:before="40" w:after="20"/>
              <w:jc w:val="center"/>
              <w:rPr>
                <w:rFonts w:cs="Arial"/>
                <w:sz w:val="18"/>
                <w:szCs w:val="18"/>
              </w:rPr>
            </w:pPr>
            <w:r w:rsidRPr="001D41EA">
              <w:rPr>
                <w:rFonts w:cs="Arial"/>
                <w:sz w:val="18"/>
                <w:szCs w:val="18"/>
              </w:rPr>
              <w:t>1.034</w:t>
            </w:r>
          </w:p>
        </w:tc>
        <w:tc>
          <w:tcPr>
            <w:tcW w:w="1361" w:type="dxa"/>
            <w:tcBorders>
              <w:top w:val="nil"/>
              <w:left w:val="nil"/>
              <w:bottom w:val="nil"/>
              <w:right w:val="nil"/>
            </w:tcBorders>
            <w:shd w:val="clear" w:color="auto" w:fill="auto"/>
            <w:vAlign w:val="bottom"/>
          </w:tcPr>
          <w:p w14:paraId="5BBF32D5" w14:textId="59698C1F" w:rsidR="009F0AF7" w:rsidRPr="001D41EA" w:rsidRDefault="009F0AF7" w:rsidP="001D41EA">
            <w:pPr>
              <w:spacing w:before="40" w:after="20"/>
              <w:jc w:val="center"/>
              <w:rPr>
                <w:rFonts w:cs="Arial"/>
                <w:sz w:val="18"/>
                <w:szCs w:val="18"/>
              </w:rPr>
            </w:pPr>
            <w:r w:rsidRPr="001D41EA">
              <w:rPr>
                <w:rFonts w:cs="Arial"/>
                <w:sz w:val="18"/>
                <w:szCs w:val="18"/>
              </w:rPr>
              <w:t>0.964</w:t>
            </w:r>
          </w:p>
        </w:tc>
      </w:tr>
      <w:tr w:rsidR="009F0AF7" w:rsidRPr="001D41EA" w14:paraId="32720B2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E1DAED6" w14:textId="77777777" w:rsidR="009F0AF7" w:rsidRPr="001D41EA" w:rsidRDefault="009F0AF7" w:rsidP="001D41EA">
            <w:pPr>
              <w:spacing w:before="40" w:after="20"/>
              <w:rPr>
                <w:rFonts w:cs="Arial"/>
                <w:sz w:val="18"/>
                <w:szCs w:val="18"/>
              </w:rPr>
            </w:pPr>
            <w:r w:rsidRPr="001D41EA">
              <w:rPr>
                <w:rFonts w:cs="Arial"/>
                <w:sz w:val="18"/>
                <w:szCs w:val="18"/>
              </w:rPr>
              <w:t>Whittlesea C</w:t>
            </w:r>
          </w:p>
        </w:tc>
        <w:tc>
          <w:tcPr>
            <w:tcW w:w="1361" w:type="dxa"/>
            <w:tcBorders>
              <w:top w:val="nil"/>
              <w:left w:val="single" w:sz="18" w:space="0" w:color="5F497A" w:themeColor="accent4" w:themeShade="BF"/>
              <w:bottom w:val="nil"/>
              <w:right w:val="nil"/>
            </w:tcBorders>
            <w:shd w:val="clear" w:color="auto" w:fill="auto"/>
            <w:vAlign w:val="bottom"/>
          </w:tcPr>
          <w:p w14:paraId="73C91AC3" w14:textId="41316418" w:rsidR="009F0AF7" w:rsidRPr="001D41EA" w:rsidRDefault="009F0AF7" w:rsidP="001D41EA">
            <w:pPr>
              <w:spacing w:before="40" w:after="20"/>
              <w:jc w:val="center"/>
              <w:rPr>
                <w:rFonts w:cs="Arial"/>
                <w:sz w:val="18"/>
                <w:szCs w:val="18"/>
              </w:rPr>
            </w:pPr>
            <w:r w:rsidRPr="001D41EA">
              <w:rPr>
                <w:rFonts w:cs="Arial"/>
                <w:sz w:val="18"/>
                <w:szCs w:val="18"/>
              </w:rPr>
              <w:t>0.958</w:t>
            </w:r>
          </w:p>
        </w:tc>
        <w:tc>
          <w:tcPr>
            <w:tcW w:w="1361" w:type="dxa"/>
            <w:tcBorders>
              <w:top w:val="nil"/>
              <w:left w:val="nil"/>
              <w:bottom w:val="nil"/>
              <w:right w:val="nil"/>
            </w:tcBorders>
            <w:shd w:val="clear" w:color="auto" w:fill="auto"/>
            <w:vAlign w:val="bottom"/>
          </w:tcPr>
          <w:p w14:paraId="05148E93" w14:textId="1ED9B69A" w:rsidR="009F0AF7" w:rsidRPr="001D41EA" w:rsidRDefault="009F0AF7" w:rsidP="001D41EA">
            <w:pPr>
              <w:spacing w:before="40" w:after="20"/>
              <w:jc w:val="center"/>
              <w:rPr>
                <w:rFonts w:cs="Arial"/>
                <w:sz w:val="18"/>
                <w:szCs w:val="18"/>
              </w:rPr>
            </w:pPr>
            <w:r w:rsidRPr="001D41EA">
              <w:rPr>
                <w:rFonts w:cs="Arial"/>
                <w:sz w:val="18"/>
                <w:szCs w:val="18"/>
              </w:rPr>
              <w:t>0.941</w:t>
            </w:r>
          </w:p>
        </w:tc>
        <w:tc>
          <w:tcPr>
            <w:tcW w:w="1361" w:type="dxa"/>
            <w:tcBorders>
              <w:top w:val="nil"/>
              <w:left w:val="nil"/>
              <w:bottom w:val="nil"/>
              <w:right w:val="nil"/>
            </w:tcBorders>
            <w:vAlign w:val="bottom"/>
          </w:tcPr>
          <w:p w14:paraId="00AE47E4" w14:textId="213EE92B" w:rsidR="009F0AF7" w:rsidRPr="001D41EA" w:rsidRDefault="009F0AF7" w:rsidP="001D41EA">
            <w:pPr>
              <w:spacing w:before="40" w:after="20"/>
              <w:jc w:val="center"/>
              <w:rPr>
                <w:rFonts w:cs="Arial"/>
                <w:sz w:val="18"/>
                <w:szCs w:val="18"/>
              </w:rPr>
            </w:pPr>
            <w:r w:rsidRPr="001D41EA">
              <w:rPr>
                <w:rFonts w:cs="Arial"/>
                <w:sz w:val="18"/>
                <w:szCs w:val="18"/>
              </w:rPr>
              <w:t>0.894</w:t>
            </w:r>
          </w:p>
        </w:tc>
        <w:tc>
          <w:tcPr>
            <w:tcW w:w="1361" w:type="dxa"/>
            <w:tcBorders>
              <w:top w:val="nil"/>
              <w:left w:val="nil"/>
              <w:bottom w:val="nil"/>
              <w:right w:val="nil"/>
            </w:tcBorders>
            <w:vAlign w:val="bottom"/>
          </w:tcPr>
          <w:p w14:paraId="3908A8EE" w14:textId="0583EB72" w:rsidR="009F0AF7" w:rsidRPr="001D41EA" w:rsidRDefault="009F0AF7" w:rsidP="001D41EA">
            <w:pPr>
              <w:spacing w:before="40" w:after="20"/>
              <w:jc w:val="center"/>
              <w:rPr>
                <w:rFonts w:cs="Arial"/>
                <w:sz w:val="18"/>
                <w:szCs w:val="18"/>
              </w:rPr>
            </w:pPr>
            <w:r w:rsidRPr="001D41EA">
              <w:rPr>
                <w:rFonts w:cs="Arial"/>
                <w:sz w:val="18"/>
                <w:szCs w:val="18"/>
              </w:rPr>
              <w:t>0.955</w:t>
            </w:r>
          </w:p>
        </w:tc>
        <w:tc>
          <w:tcPr>
            <w:tcW w:w="1361" w:type="dxa"/>
            <w:tcBorders>
              <w:top w:val="nil"/>
              <w:left w:val="nil"/>
              <w:bottom w:val="nil"/>
              <w:right w:val="nil"/>
            </w:tcBorders>
            <w:shd w:val="clear" w:color="auto" w:fill="auto"/>
            <w:vAlign w:val="bottom"/>
          </w:tcPr>
          <w:p w14:paraId="1C4587A8" w14:textId="30EC1935" w:rsidR="009F0AF7" w:rsidRPr="001D41EA" w:rsidRDefault="009F0AF7" w:rsidP="001D41EA">
            <w:pPr>
              <w:spacing w:before="40" w:after="20"/>
              <w:jc w:val="center"/>
              <w:rPr>
                <w:rFonts w:cs="Arial"/>
                <w:sz w:val="18"/>
                <w:szCs w:val="18"/>
              </w:rPr>
            </w:pPr>
            <w:r w:rsidRPr="001D41EA">
              <w:rPr>
                <w:rFonts w:cs="Arial"/>
                <w:sz w:val="18"/>
                <w:szCs w:val="18"/>
              </w:rPr>
              <w:t>1.002</w:t>
            </w:r>
          </w:p>
        </w:tc>
      </w:tr>
      <w:tr w:rsidR="009F0AF7" w:rsidRPr="001D41EA" w14:paraId="6215F46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C21B552" w14:textId="77777777" w:rsidR="009F0AF7" w:rsidRPr="001D41EA" w:rsidRDefault="009F0AF7" w:rsidP="001D41EA">
            <w:pPr>
              <w:spacing w:before="40" w:after="20"/>
              <w:rPr>
                <w:rFonts w:cs="Arial"/>
                <w:sz w:val="18"/>
                <w:szCs w:val="18"/>
              </w:rPr>
            </w:pPr>
            <w:r w:rsidRPr="001D41EA">
              <w:rPr>
                <w:rFonts w:cs="Arial"/>
                <w:sz w:val="18"/>
                <w:szCs w:val="18"/>
              </w:rPr>
              <w:t>Wodonga C</w:t>
            </w:r>
          </w:p>
        </w:tc>
        <w:tc>
          <w:tcPr>
            <w:tcW w:w="1361" w:type="dxa"/>
            <w:tcBorders>
              <w:top w:val="nil"/>
              <w:left w:val="single" w:sz="18" w:space="0" w:color="5F497A" w:themeColor="accent4" w:themeShade="BF"/>
              <w:bottom w:val="nil"/>
              <w:right w:val="nil"/>
            </w:tcBorders>
            <w:shd w:val="clear" w:color="auto" w:fill="auto"/>
            <w:vAlign w:val="bottom"/>
          </w:tcPr>
          <w:p w14:paraId="1435FDCF" w14:textId="6C8FC0D8" w:rsidR="009F0AF7" w:rsidRPr="001D41EA" w:rsidRDefault="009F0AF7" w:rsidP="001D41EA">
            <w:pPr>
              <w:spacing w:before="40" w:after="20"/>
              <w:jc w:val="center"/>
              <w:rPr>
                <w:rFonts w:cs="Arial"/>
                <w:sz w:val="18"/>
                <w:szCs w:val="18"/>
              </w:rPr>
            </w:pPr>
            <w:r w:rsidRPr="001D41EA">
              <w:rPr>
                <w:rFonts w:cs="Arial"/>
                <w:sz w:val="18"/>
                <w:szCs w:val="18"/>
              </w:rPr>
              <w:t>0.911</w:t>
            </w:r>
          </w:p>
        </w:tc>
        <w:tc>
          <w:tcPr>
            <w:tcW w:w="1361" w:type="dxa"/>
            <w:tcBorders>
              <w:top w:val="nil"/>
              <w:left w:val="nil"/>
              <w:bottom w:val="nil"/>
              <w:right w:val="nil"/>
            </w:tcBorders>
            <w:shd w:val="clear" w:color="auto" w:fill="auto"/>
            <w:vAlign w:val="bottom"/>
          </w:tcPr>
          <w:p w14:paraId="76569AB4" w14:textId="61E62051" w:rsidR="009F0AF7" w:rsidRPr="001D41EA" w:rsidRDefault="009F0AF7" w:rsidP="001D41EA">
            <w:pPr>
              <w:spacing w:before="40" w:after="20"/>
              <w:jc w:val="center"/>
              <w:rPr>
                <w:rFonts w:cs="Arial"/>
                <w:sz w:val="18"/>
                <w:szCs w:val="18"/>
              </w:rPr>
            </w:pPr>
            <w:r w:rsidRPr="001D41EA">
              <w:rPr>
                <w:rFonts w:cs="Arial"/>
                <w:sz w:val="18"/>
                <w:szCs w:val="18"/>
              </w:rPr>
              <w:t>0.898</w:t>
            </w:r>
          </w:p>
        </w:tc>
        <w:tc>
          <w:tcPr>
            <w:tcW w:w="1361" w:type="dxa"/>
            <w:tcBorders>
              <w:top w:val="nil"/>
              <w:left w:val="nil"/>
              <w:bottom w:val="nil"/>
              <w:right w:val="nil"/>
            </w:tcBorders>
            <w:vAlign w:val="bottom"/>
          </w:tcPr>
          <w:p w14:paraId="7379E78B" w14:textId="5472BB63" w:rsidR="009F0AF7" w:rsidRPr="001D41EA" w:rsidRDefault="009F0AF7" w:rsidP="001D41EA">
            <w:pPr>
              <w:spacing w:before="40" w:after="20"/>
              <w:jc w:val="center"/>
              <w:rPr>
                <w:rFonts w:cs="Arial"/>
                <w:sz w:val="18"/>
                <w:szCs w:val="18"/>
              </w:rPr>
            </w:pPr>
            <w:r w:rsidRPr="001D41EA">
              <w:rPr>
                <w:rFonts w:cs="Arial"/>
                <w:sz w:val="18"/>
                <w:szCs w:val="18"/>
              </w:rPr>
              <w:t>0.942</w:t>
            </w:r>
          </w:p>
        </w:tc>
        <w:tc>
          <w:tcPr>
            <w:tcW w:w="1361" w:type="dxa"/>
            <w:tcBorders>
              <w:top w:val="nil"/>
              <w:left w:val="nil"/>
              <w:bottom w:val="nil"/>
              <w:right w:val="nil"/>
            </w:tcBorders>
            <w:vAlign w:val="bottom"/>
          </w:tcPr>
          <w:p w14:paraId="26B4BEF3" w14:textId="508B9763" w:rsidR="009F0AF7" w:rsidRPr="001D41EA" w:rsidRDefault="009F0AF7" w:rsidP="001D41EA">
            <w:pPr>
              <w:spacing w:before="40" w:after="20"/>
              <w:jc w:val="center"/>
              <w:rPr>
                <w:rFonts w:cs="Arial"/>
                <w:sz w:val="18"/>
                <w:szCs w:val="18"/>
              </w:rPr>
            </w:pPr>
            <w:r w:rsidRPr="001D41EA">
              <w:rPr>
                <w:rFonts w:cs="Arial"/>
                <w:sz w:val="18"/>
                <w:szCs w:val="18"/>
              </w:rPr>
              <w:t>0.897</w:t>
            </w:r>
          </w:p>
        </w:tc>
        <w:tc>
          <w:tcPr>
            <w:tcW w:w="1361" w:type="dxa"/>
            <w:tcBorders>
              <w:top w:val="nil"/>
              <w:left w:val="nil"/>
              <w:bottom w:val="nil"/>
              <w:right w:val="nil"/>
            </w:tcBorders>
            <w:shd w:val="clear" w:color="auto" w:fill="auto"/>
            <w:vAlign w:val="bottom"/>
          </w:tcPr>
          <w:p w14:paraId="7F0E4910" w14:textId="163B8350" w:rsidR="009F0AF7" w:rsidRPr="001D41EA" w:rsidRDefault="009F0AF7" w:rsidP="001D41EA">
            <w:pPr>
              <w:spacing w:before="40" w:after="20"/>
              <w:jc w:val="center"/>
              <w:rPr>
                <w:rFonts w:cs="Arial"/>
                <w:sz w:val="18"/>
                <w:szCs w:val="18"/>
              </w:rPr>
            </w:pPr>
            <w:r w:rsidRPr="001D41EA">
              <w:rPr>
                <w:rFonts w:cs="Arial"/>
                <w:sz w:val="18"/>
                <w:szCs w:val="18"/>
              </w:rPr>
              <w:t>0.994</w:t>
            </w:r>
          </w:p>
        </w:tc>
      </w:tr>
      <w:tr w:rsidR="009F0AF7" w:rsidRPr="001D41EA" w14:paraId="032BCED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F4D19F5" w14:textId="77777777" w:rsidR="009F0AF7" w:rsidRPr="001D41EA" w:rsidRDefault="009F0AF7" w:rsidP="001D41EA">
            <w:pPr>
              <w:spacing w:before="40" w:after="20"/>
              <w:rPr>
                <w:rFonts w:cs="Arial"/>
                <w:sz w:val="18"/>
                <w:szCs w:val="18"/>
              </w:rPr>
            </w:pPr>
            <w:r w:rsidRPr="001D41EA">
              <w:rPr>
                <w:rFonts w:cs="Arial"/>
                <w:sz w:val="18"/>
                <w:szCs w:val="18"/>
              </w:rPr>
              <w:t>Wyndham C</w:t>
            </w:r>
          </w:p>
        </w:tc>
        <w:tc>
          <w:tcPr>
            <w:tcW w:w="1361" w:type="dxa"/>
            <w:tcBorders>
              <w:top w:val="nil"/>
              <w:left w:val="single" w:sz="18" w:space="0" w:color="5F497A" w:themeColor="accent4" w:themeShade="BF"/>
              <w:bottom w:val="nil"/>
              <w:right w:val="nil"/>
            </w:tcBorders>
            <w:shd w:val="clear" w:color="auto" w:fill="auto"/>
            <w:vAlign w:val="bottom"/>
          </w:tcPr>
          <w:p w14:paraId="4BE9BB59" w14:textId="04295F72" w:rsidR="009F0AF7" w:rsidRPr="001D41EA" w:rsidRDefault="009F0AF7" w:rsidP="001D41EA">
            <w:pPr>
              <w:spacing w:before="40" w:after="20"/>
              <w:jc w:val="center"/>
              <w:rPr>
                <w:rFonts w:cs="Arial"/>
                <w:sz w:val="18"/>
                <w:szCs w:val="18"/>
              </w:rPr>
            </w:pPr>
            <w:r w:rsidRPr="001D41EA">
              <w:rPr>
                <w:rFonts w:cs="Arial"/>
                <w:sz w:val="18"/>
                <w:szCs w:val="18"/>
              </w:rPr>
              <w:t>1.074</w:t>
            </w:r>
          </w:p>
        </w:tc>
        <w:tc>
          <w:tcPr>
            <w:tcW w:w="1361" w:type="dxa"/>
            <w:tcBorders>
              <w:top w:val="nil"/>
              <w:left w:val="nil"/>
              <w:bottom w:val="nil"/>
              <w:right w:val="nil"/>
            </w:tcBorders>
            <w:shd w:val="clear" w:color="auto" w:fill="auto"/>
            <w:vAlign w:val="bottom"/>
          </w:tcPr>
          <w:p w14:paraId="60C51C2C" w14:textId="423F418D" w:rsidR="009F0AF7" w:rsidRPr="001D41EA" w:rsidRDefault="009F0AF7" w:rsidP="001D41EA">
            <w:pPr>
              <w:spacing w:before="40" w:after="20"/>
              <w:jc w:val="center"/>
              <w:rPr>
                <w:rFonts w:cs="Arial"/>
                <w:sz w:val="18"/>
                <w:szCs w:val="18"/>
              </w:rPr>
            </w:pPr>
            <w:r w:rsidRPr="001D41EA">
              <w:rPr>
                <w:rFonts w:cs="Arial"/>
                <w:sz w:val="18"/>
                <w:szCs w:val="18"/>
              </w:rPr>
              <w:t>0.995</w:t>
            </w:r>
          </w:p>
        </w:tc>
        <w:tc>
          <w:tcPr>
            <w:tcW w:w="1361" w:type="dxa"/>
            <w:tcBorders>
              <w:top w:val="nil"/>
              <w:left w:val="nil"/>
              <w:bottom w:val="nil"/>
              <w:right w:val="nil"/>
            </w:tcBorders>
            <w:vAlign w:val="bottom"/>
          </w:tcPr>
          <w:p w14:paraId="04D6B1D5" w14:textId="0FC28D5A" w:rsidR="009F0AF7" w:rsidRPr="001D41EA" w:rsidRDefault="009F0AF7" w:rsidP="001D41EA">
            <w:pPr>
              <w:spacing w:before="40" w:after="20"/>
              <w:jc w:val="center"/>
              <w:rPr>
                <w:rFonts w:cs="Arial"/>
                <w:sz w:val="18"/>
                <w:szCs w:val="18"/>
              </w:rPr>
            </w:pPr>
            <w:r w:rsidRPr="001D41EA">
              <w:rPr>
                <w:rFonts w:cs="Arial"/>
                <w:sz w:val="18"/>
                <w:szCs w:val="18"/>
              </w:rPr>
              <w:t>0.928</w:t>
            </w:r>
          </w:p>
        </w:tc>
        <w:tc>
          <w:tcPr>
            <w:tcW w:w="1361" w:type="dxa"/>
            <w:tcBorders>
              <w:top w:val="nil"/>
              <w:left w:val="nil"/>
              <w:bottom w:val="nil"/>
              <w:right w:val="nil"/>
            </w:tcBorders>
            <w:vAlign w:val="bottom"/>
          </w:tcPr>
          <w:p w14:paraId="3B70F6CB" w14:textId="35B561FB" w:rsidR="009F0AF7" w:rsidRPr="001D41EA" w:rsidRDefault="009F0AF7" w:rsidP="001D41EA">
            <w:pPr>
              <w:spacing w:before="40" w:after="20"/>
              <w:jc w:val="center"/>
              <w:rPr>
                <w:rFonts w:cs="Arial"/>
                <w:sz w:val="18"/>
                <w:szCs w:val="18"/>
              </w:rPr>
            </w:pPr>
            <w:r w:rsidRPr="001D41EA">
              <w:rPr>
                <w:rFonts w:cs="Arial"/>
                <w:sz w:val="18"/>
                <w:szCs w:val="18"/>
              </w:rPr>
              <w:t>1.167</w:t>
            </w:r>
          </w:p>
        </w:tc>
        <w:tc>
          <w:tcPr>
            <w:tcW w:w="1361" w:type="dxa"/>
            <w:tcBorders>
              <w:top w:val="nil"/>
              <w:left w:val="nil"/>
              <w:bottom w:val="nil"/>
              <w:right w:val="nil"/>
            </w:tcBorders>
            <w:shd w:val="clear" w:color="auto" w:fill="auto"/>
            <w:vAlign w:val="bottom"/>
          </w:tcPr>
          <w:p w14:paraId="77B8AF59" w14:textId="0A7C9B13" w:rsidR="009F0AF7" w:rsidRPr="001D41EA" w:rsidRDefault="009F0AF7" w:rsidP="001D41EA">
            <w:pPr>
              <w:spacing w:before="40" w:after="20"/>
              <w:jc w:val="center"/>
              <w:rPr>
                <w:rFonts w:cs="Arial"/>
                <w:sz w:val="18"/>
                <w:szCs w:val="18"/>
              </w:rPr>
            </w:pPr>
            <w:r w:rsidRPr="001D41EA">
              <w:rPr>
                <w:rFonts w:cs="Arial"/>
                <w:sz w:val="18"/>
                <w:szCs w:val="18"/>
              </w:rPr>
              <w:t>0.914</w:t>
            </w:r>
          </w:p>
        </w:tc>
      </w:tr>
      <w:tr w:rsidR="009F0AF7" w:rsidRPr="001D41EA" w14:paraId="598F7437"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2ABAC8E" w14:textId="77777777" w:rsidR="009F0AF7" w:rsidRPr="001D41EA" w:rsidRDefault="009F0AF7" w:rsidP="001D41EA">
            <w:pPr>
              <w:spacing w:before="40" w:after="20"/>
              <w:rPr>
                <w:rFonts w:cs="Arial"/>
                <w:sz w:val="18"/>
                <w:szCs w:val="18"/>
              </w:rPr>
            </w:pPr>
            <w:r w:rsidRPr="001D41EA">
              <w:rPr>
                <w:rFonts w:cs="Arial"/>
                <w:sz w:val="18"/>
                <w:szCs w:val="18"/>
              </w:rPr>
              <w:t>Yarra C</w:t>
            </w:r>
          </w:p>
        </w:tc>
        <w:tc>
          <w:tcPr>
            <w:tcW w:w="1361" w:type="dxa"/>
            <w:tcBorders>
              <w:top w:val="nil"/>
              <w:left w:val="single" w:sz="18" w:space="0" w:color="5F497A" w:themeColor="accent4" w:themeShade="BF"/>
              <w:bottom w:val="nil"/>
              <w:right w:val="nil"/>
            </w:tcBorders>
            <w:shd w:val="clear" w:color="auto" w:fill="auto"/>
            <w:vAlign w:val="bottom"/>
          </w:tcPr>
          <w:p w14:paraId="4F07AD3D" w14:textId="6955E6EA" w:rsidR="009F0AF7" w:rsidRPr="001D41EA" w:rsidRDefault="009F0AF7" w:rsidP="001D41EA">
            <w:pPr>
              <w:spacing w:before="40" w:after="20"/>
              <w:jc w:val="center"/>
              <w:rPr>
                <w:rFonts w:cs="Arial"/>
                <w:sz w:val="18"/>
                <w:szCs w:val="18"/>
              </w:rPr>
            </w:pPr>
            <w:r w:rsidRPr="001D41EA">
              <w:rPr>
                <w:rFonts w:cs="Arial"/>
                <w:sz w:val="18"/>
                <w:szCs w:val="18"/>
              </w:rPr>
              <w:t>1.145</w:t>
            </w:r>
          </w:p>
        </w:tc>
        <w:tc>
          <w:tcPr>
            <w:tcW w:w="1361" w:type="dxa"/>
            <w:tcBorders>
              <w:top w:val="nil"/>
              <w:left w:val="nil"/>
              <w:bottom w:val="nil"/>
              <w:right w:val="nil"/>
            </w:tcBorders>
            <w:shd w:val="clear" w:color="auto" w:fill="auto"/>
            <w:vAlign w:val="bottom"/>
          </w:tcPr>
          <w:p w14:paraId="748DCBFB" w14:textId="1F8895FF" w:rsidR="009F0AF7" w:rsidRPr="001D41EA" w:rsidRDefault="009F0AF7" w:rsidP="001D41EA">
            <w:pPr>
              <w:spacing w:before="40" w:after="20"/>
              <w:jc w:val="center"/>
              <w:rPr>
                <w:rFonts w:cs="Arial"/>
                <w:sz w:val="18"/>
                <w:szCs w:val="18"/>
              </w:rPr>
            </w:pPr>
            <w:r w:rsidRPr="001D41EA">
              <w:rPr>
                <w:rFonts w:cs="Arial"/>
                <w:sz w:val="18"/>
                <w:szCs w:val="18"/>
              </w:rPr>
              <w:t>1.073</w:t>
            </w:r>
          </w:p>
        </w:tc>
        <w:tc>
          <w:tcPr>
            <w:tcW w:w="1361" w:type="dxa"/>
            <w:tcBorders>
              <w:top w:val="nil"/>
              <w:left w:val="nil"/>
              <w:bottom w:val="nil"/>
              <w:right w:val="nil"/>
            </w:tcBorders>
            <w:vAlign w:val="bottom"/>
          </w:tcPr>
          <w:p w14:paraId="7ED75FAE" w14:textId="55EF1C32" w:rsidR="009F0AF7" w:rsidRPr="001D41EA" w:rsidRDefault="009F0AF7" w:rsidP="001D41EA">
            <w:pPr>
              <w:spacing w:before="40" w:after="20"/>
              <w:jc w:val="center"/>
              <w:rPr>
                <w:rFonts w:cs="Arial"/>
                <w:sz w:val="18"/>
                <w:szCs w:val="18"/>
              </w:rPr>
            </w:pPr>
            <w:r w:rsidRPr="001D41EA">
              <w:rPr>
                <w:rFonts w:cs="Arial"/>
                <w:sz w:val="18"/>
                <w:szCs w:val="18"/>
              </w:rPr>
              <w:t>0.991</w:t>
            </w:r>
          </w:p>
        </w:tc>
        <w:tc>
          <w:tcPr>
            <w:tcW w:w="1361" w:type="dxa"/>
            <w:tcBorders>
              <w:top w:val="nil"/>
              <w:left w:val="nil"/>
              <w:bottom w:val="nil"/>
              <w:right w:val="nil"/>
            </w:tcBorders>
            <w:vAlign w:val="bottom"/>
          </w:tcPr>
          <w:p w14:paraId="277E8E06" w14:textId="51198BB8" w:rsidR="009F0AF7" w:rsidRPr="001D41EA" w:rsidRDefault="009F0AF7" w:rsidP="001D41EA">
            <w:pPr>
              <w:spacing w:before="40" w:after="20"/>
              <w:jc w:val="center"/>
              <w:rPr>
                <w:rFonts w:cs="Arial"/>
                <w:sz w:val="18"/>
                <w:szCs w:val="18"/>
              </w:rPr>
            </w:pPr>
            <w:r w:rsidRPr="001D41EA">
              <w:rPr>
                <w:rFonts w:cs="Arial"/>
                <w:sz w:val="18"/>
                <w:szCs w:val="18"/>
              </w:rPr>
              <w:t>1.305</w:t>
            </w:r>
          </w:p>
        </w:tc>
        <w:tc>
          <w:tcPr>
            <w:tcW w:w="1361" w:type="dxa"/>
            <w:tcBorders>
              <w:top w:val="nil"/>
              <w:left w:val="nil"/>
              <w:bottom w:val="nil"/>
              <w:right w:val="nil"/>
            </w:tcBorders>
            <w:shd w:val="clear" w:color="auto" w:fill="auto"/>
            <w:vAlign w:val="bottom"/>
          </w:tcPr>
          <w:p w14:paraId="3D1B40BD" w14:textId="5C11FEB7" w:rsidR="009F0AF7" w:rsidRPr="001D41EA" w:rsidRDefault="009F0AF7" w:rsidP="001D41EA">
            <w:pPr>
              <w:spacing w:before="40" w:after="20"/>
              <w:jc w:val="center"/>
              <w:rPr>
                <w:rFonts w:cs="Arial"/>
                <w:sz w:val="18"/>
                <w:szCs w:val="18"/>
              </w:rPr>
            </w:pPr>
            <w:r w:rsidRPr="001D41EA">
              <w:rPr>
                <w:rFonts w:cs="Arial"/>
                <w:sz w:val="18"/>
                <w:szCs w:val="18"/>
              </w:rPr>
              <w:t>1.394</w:t>
            </w:r>
          </w:p>
        </w:tc>
      </w:tr>
      <w:tr w:rsidR="009F0AF7" w:rsidRPr="001D41EA" w14:paraId="688106EE"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F6A4ED9" w14:textId="77777777" w:rsidR="009F0AF7" w:rsidRPr="001D41EA" w:rsidRDefault="009F0AF7" w:rsidP="001D41EA">
            <w:pPr>
              <w:spacing w:before="40" w:after="20"/>
              <w:rPr>
                <w:rFonts w:cs="Arial"/>
                <w:sz w:val="18"/>
                <w:szCs w:val="18"/>
              </w:rPr>
            </w:pPr>
            <w:r w:rsidRPr="001D41EA">
              <w:rPr>
                <w:rFonts w:cs="Arial"/>
                <w:sz w:val="18"/>
                <w:szCs w:val="18"/>
              </w:rPr>
              <w:t>Yarra Ranges S</w:t>
            </w:r>
          </w:p>
        </w:tc>
        <w:tc>
          <w:tcPr>
            <w:tcW w:w="1361" w:type="dxa"/>
            <w:tcBorders>
              <w:top w:val="nil"/>
              <w:left w:val="single" w:sz="18" w:space="0" w:color="5F497A" w:themeColor="accent4" w:themeShade="BF"/>
              <w:bottom w:val="nil"/>
              <w:right w:val="nil"/>
            </w:tcBorders>
            <w:shd w:val="clear" w:color="auto" w:fill="auto"/>
            <w:vAlign w:val="bottom"/>
          </w:tcPr>
          <w:p w14:paraId="5C5FD81C" w14:textId="39658966" w:rsidR="009F0AF7" w:rsidRPr="001D41EA" w:rsidRDefault="009F0AF7" w:rsidP="001D41EA">
            <w:pPr>
              <w:spacing w:before="40" w:after="20"/>
              <w:jc w:val="center"/>
              <w:rPr>
                <w:rFonts w:cs="Arial"/>
                <w:sz w:val="18"/>
                <w:szCs w:val="18"/>
              </w:rPr>
            </w:pPr>
            <w:r w:rsidRPr="001D41EA">
              <w:rPr>
                <w:rFonts w:cs="Arial"/>
                <w:sz w:val="18"/>
                <w:szCs w:val="18"/>
              </w:rPr>
              <w:t>1.030</w:t>
            </w:r>
          </w:p>
        </w:tc>
        <w:tc>
          <w:tcPr>
            <w:tcW w:w="1361" w:type="dxa"/>
            <w:tcBorders>
              <w:top w:val="nil"/>
              <w:left w:val="nil"/>
              <w:bottom w:val="nil"/>
              <w:right w:val="nil"/>
            </w:tcBorders>
            <w:shd w:val="clear" w:color="auto" w:fill="auto"/>
            <w:vAlign w:val="bottom"/>
          </w:tcPr>
          <w:p w14:paraId="63F29EFC" w14:textId="0754DC82" w:rsidR="009F0AF7" w:rsidRPr="001D41EA" w:rsidRDefault="009F0AF7" w:rsidP="001D41EA">
            <w:pPr>
              <w:spacing w:before="40" w:after="20"/>
              <w:jc w:val="center"/>
              <w:rPr>
                <w:rFonts w:cs="Arial"/>
                <w:sz w:val="18"/>
                <w:szCs w:val="18"/>
              </w:rPr>
            </w:pPr>
            <w:r w:rsidRPr="001D41EA">
              <w:rPr>
                <w:rFonts w:cs="Arial"/>
                <w:sz w:val="18"/>
                <w:szCs w:val="18"/>
              </w:rPr>
              <w:t>1.088</w:t>
            </w:r>
          </w:p>
        </w:tc>
        <w:tc>
          <w:tcPr>
            <w:tcW w:w="1361" w:type="dxa"/>
            <w:tcBorders>
              <w:top w:val="nil"/>
              <w:left w:val="nil"/>
              <w:bottom w:val="nil"/>
              <w:right w:val="nil"/>
            </w:tcBorders>
            <w:vAlign w:val="bottom"/>
          </w:tcPr>
          <w:p w14:paraId="6DCA0A34" w14:textId="5D9C2185" w:rsidR="009F0AF7" w:rsidRPr="001D41EA" w:rsidRDefault="009F0AF7" w:rsidP="001D41EA">
            <w:pPr>
              <w:spacing w:before="40" w:after="20"/>
              <w:jc w:val="center"/>
              <w:rPr>
                <w:rFonts w:cs="Arial"/>
                <w:sz w:val="18"/>
                <w:szCs w:val="18"/>
              </w:rPr>
            </w:pPr>
            <w:r w:rsidRPr="001D41EA">
              <w:rPr>
                <w:rFonts w:cs="Arial"/>
                <w:sz w:val="18"/>
                <w:szCs w:val="18"/>
              </w:rPr>
              <w:t>0.995</w:t>
            </w:r>
          </w:p>
        </w:tc>
        <w:tc>
          <w:tcPr>
            <w:tcW w:w="1361" w:type="dxa"/>
            <w:tcBorders>
              <w:top w:val="nil"/>
              <w:left w:val="nil"/>
              <w:bottom w:val="nil"/>
              <w:right w:val="nil"/>
            </w:tcBorders>
            <w:vAlign w:val="bottom"/>
          </w:tcPr>
          <w:p w14:paraId="7AF652DD" w14:textId="49BED14B" w:rsidR="009F0AF7" w:rsidRPr="001D41EA" w:rsidRDefault="009F0AF7" w:rsidP="001D41EA">
            <w:pPr>
              <w:spacing w:before="40" w:after="20"/>
              <w:jc w:val="center"/>
              <w:rPr>
                <w:rFonts w:cs="Arial"/>
                <w:sz w:val="18"/>
                <w:szCs w:val="18"/>
              </w:rPr>
            </w:pPr>
            <w:r w:rsidRPr="001D41EA">
              <w:rPr>
                <w:rFonts w:cs="Arial"/>
                <w:sz w:val="18"/>
                <w:szCs w:val="18"/>
              </w:rPr>
              <w:t>0.784</w:t>
            </w:r>
          </w:p>
        </w:tc>
        <w:tc>
          <w:tcPr>
            <w:tcW w:w="1361" w:type="dxa"/>
            <w:tcBorders>
              <w:top w:val="nil"/>
              <w:left w:val="nil"/>
              <w:bottom w:val="nil"/>
              <w:right w:val="nil"/>
            </w:tcBorders>
            <w:shd w:val="clear" w:color="auto" w:fill="auto"/>
            <w:vAlign w:val="bottom"/>
          </w:tcPr>
          <w:p w14:paraId="56D5F0BA" w14:textId="38700C41" w:rsidR="009F0AF7" w:rsidRPr="001D41EA" w:rsidRDefault="009F0AF7" w:rsidP="001D41EA">
            <w:pPr>
              <w:spacing w:before="40" w:after="20"/>
              <w:jc w:val="center"/>
              <w:rPr>
                <w:rFonts w:cs="Arial"/>
                <w:sz w:val="18"/>
                <w:szCs w:val="18"/>
              </w:rPr>
            </w:pPr>
            <w:r w:rsidRPr="001D41EA">
              <w:rPr>
                <w:rFonts w:cs="Arial"/>
                <w:sz w:val="18"/>
                <w:szCs w:val="18"/>
              </w:rPr>
              <w:t>0.880</w:t>
            </w:r>
          </w:p>
        </w:tc>
      </w:tr>
      <w:tr w:rsidR="009F0AF7" w:rsidRPr="001D41EA" w14:paraId="3509E805" w14:textId="77777777" w:rsidTr="00CA09E3">
        <w:trPr>
          <w:trHeight w:val="240"/>
        </w:trPr>
        <w:tc>
          <w:tcPr>
            <w:tcW w:w="2268" w:type="dxa"/>
            <w:tcBorders>
              <w:top w:val="nil"/>
              <w:left w:val="nil"/>
              <w:right w:val="single" w:sz="18" w:space="0" w:color="5F497A" w:themeColor="accent4" w:themeShade="BF"/>
            </w:tcBorders>
            <w:shd w:val="clear" w:color="auto" w:fill="auto"/>
            <w:vAlign w:val="center"/>
          </w:tcPr>
          <w:p w14:paraId="38F3BFDD" w14:textId="77777777" w:rsidR="009F0AF7" w:rsidRPr="001D41EA" w:rsidRDefault="009F0AF7" w:rsidP="001D41EA">
            <w:pPr>
              <w:spacing w:before="40" w:after="20"/>
              <w:rPr>
                <w:rFonts w:cs="Arial"/>
                <w:sz w:val="18"/>
                <w:szCs w:val="18"/>
              </w:rPr>
            </w:pPr>
            <w:r w:rsidRPr="001D41EA">
              <w:rPr>
                <w:rFonts w:cs="Arial"/>
                <w:sz w:val="18"/>
                <w:szCs w:val="18"/>
              </w:rPr>
              <w:t>Yarriambiack S</w:t>
            </w:r>
          </w:p>
        </w:tc>
        <w:tc>
          <w:tcPr>
            <w:tcW w:w="1361" w:type="dxa"/>
            <w:tcBorders>
              <w:top w:val="nil"/>
              <w:left w:val="single" w:sz="18" w:space="0" w:color="5F497A" w:themeColor="accent4" w:themeShade="BF"/>
              <w:right w:val="nil"/>
            </w:tcBorders>
            <w:shd w:val="clear" w:color="auto" w:fill="auto"/>
            <w:vAlign w:val="bottom"/>
          </w:tcPr>
          <w:p w14:paraId="7A144E3C" w14:textId="3D92E391" w:rsidR="009F0AF7" w:rsidRPr="001D41EA" w:rsidRDefault="009F0AF7" w:rsidP="001D41EA">
            <w:pPr>
              <w:spacing w:before="40" w:after="20"/>
              <w:jc w:val="center"/>
              <w:rPr>
                <w:rFonts w:cs="Arial"/>
                <w:sz w:val="18"/>
                <w:szCs w:val="18"/>
              </w:rPr>
            </w:pPr>
            <w:r w:rsidRPr="001D41EA">
              <w:rPr>
                <w:rFonts w:cs="Arial"/>
                <w:sz w:val="18"/>
                <w:szCs w:val="18"/>
              </w:rPr>
              <w:t>0.804</w:t>
            </w:r>
          </w:p>
        </w:tc>
        <w:tc>
          <w:tcPr>
            <w:tcW w:w="1361" w:type="dxa"/>
            <w:tcBorders>
              <w:top w:val="nil"/>
              <w:left w:val="nil"/>
              <w:right w:val="nil"/>
            </w:tcBorders>
            <w:shd w:val="clear" w:color="auto" w:fill="auto"/>
            <w:vAlign w:val="bottom"/>
          </w:tcPr>
          <w:p w14:paraId="780A428A" w14:textId="4731163B" w:rsidR="009F0AF7" w:rsidRPr="001D41EA" w:rsidRDefault="009F0AF7" w:rsidP="001D41EA">
            <w:pPr>
              <w:spacing w:before="40" w:after="20"/>
              <w:jc w:val="center"/>
              <w:rPr>
                <w:rFonts w:cs="Arial"/>
                <w:sz w:val="18"/>
                <w:szCs w:val="18"/>
              </w:rPr>
            </w:pPr>
            <w:r w:rsidRPr="001D41EA">
              <w:rPr>
                <w:rFonts w:cs="Arial"/>
                <w:sz w:val="18"/>
                <w:szCs w:val="18"/>
              </w:rPr>
              <w:t>0.790</w:t>
            </w:r>
          </w:p>
        </w:tc>
        <w:tc>
          <w:tcPr>
            <w:tcW w:w="1361" w:type="dxa"/>
            <w:tcBorders>
              <w:top w:val="nil"/>
              <w:left w:val="nil"/>
              <w:right w:val="nil"/>
            </w:tcBorders>
            <w:vAlign w:val="bottom"/>
          </w:tcPr>
          <w:p w14:paraId="3CA793F5" w14:textId="412EA622" w:rsidR="009F0AF7" w:rsidRPr="001D41EA" w:rsidRDefault="009F0AF7" w:rsidP="001D41EA">
            <w:pPr>
              <w:spacing w:before="40" w:after="20"/>
              <w:jc w:val="center"/>
              <w:rPr>
                <w:rFonts w:cs="Arial"/>
                <w:sz w:val="18"/>
                <w:szCs w:val="18"/>
              </w:rPr>
            </w:pPr>
            <w:r w:rsidRPr="001D41EA">
              <w:rPr>
                <w:rFonts w:cs="Arial"/>
                <w:sz w:val="18"/>
                <w:szCs w:val="18"/>
              </w:rPr>
              <w:t>1.051</w:t>
            </w:r>
          </w:p>
        </w:tc>
        <w:tc>
          <w:tcPr>
            <w:tcW w:w="1361" w:type="dxa"/>
            <w:tcBorders>
              <w:top w:val="nil"/>
              <w:left w:val="nil"/>
              <w:right w:val="nil"/>
            </w:tcBorders>
            <w:vAlign w:val="bottom"/>
          </w:tcPr>
          <w:p w14:paraId="03E3E02B" w14:textId="35A831E1" w:rsidR="009F0AF7" w:rsidRPr="001D41EA" w:rsidRDefault="009F0AF7" w:rsidP="001D41EA">
            <w:pPr>
              <w:spacing w:before="40" w:after="20"/>
              <w:jc w:val="center"/>
              <w:rPr>
                <w:rFonts w:cs="Arial"/>
                <w:sz w:val="18"/>
                <w:szCs w:val="18"/>
              </w:rPr>
            </w:pPr>
            <w:r w:rsidRPr="001D41EA">
              <w:rPr>
                <w:rFonts w:cs="Arial"/>
                <w:sz w:val="18"/>
                <w:szCs w:val="18"/>
              </w:rPr>
              <w:t>0.740</w:t>
            </w:r>
          </w:p>
        </w:tc>
        <w:tc>
          <w:tcPr>
            <w:tcW w:w="1361" w:type="dxa"/>
            <w:tcBorders>
              <w:top w:val="nil"/>
              <w:left w:val="nil"/>
              <w:right w:val="nil"/>
            </w:tcBorders>
            <w:shd w:val="clear" w:color="auto" w:fill="auto"/>
            <w:vAlign w:val="bottom"/>
          </w:tcPr>
          <w:p w14:paraId="581B9402" w14:textId="108E622D" w:rsidR="009F0AF7" w:rsidRPr="001D41EA" w:rsidRDefault="009F0AF7" w:rsidP="001D41EA">
            <w:pPr>
              <w:spacing w:before="40" w:after="20"/>
              <w:jc w:val="center"/>
              <w:rPr>
                <w:rFonts w:cs="Arial"/>
                <w:sz w:val="18"/>
                <w:szCs w:val="18"/>
              </w:rPr>
            </w:pPr>
            <w:r w:rsidRPr="001D41EA">
              <w:rPr>
                <w:rFonts w:cs="Arial"/>
                <w:sz w:val="18"/>
                <w:szCs w:val="18"/>
              </w:rPr>
              <w:t>0.792</w:t>
            </w:r>
          </w:p>
        </w:tc>
      </w:tr>
      <w:tr w:rsidR="00615E03" w:rsidRPr="001D41EA" w14:paraId="5326D352" w14:textId="77777777" w:rsidTr="00B44BBE">
        <w:trPr>
          <w:trHeight w:val="240"/>
        </w:trPr>
        <w:tc>
          <w:tcPr>
            <w:tcW w:w="2268" w:type="dxa"/>
            <w:tcBorders>
              <w:left w:val="nil"/>
              <w:right w:val="single" w:sz="18" w:space="0" w:color="5F497A" w:themeColor="accent4" w:themeShade="BF"/>
            </w:tcBorders>
            <w:shd w:val="clear" w:color="auto" w:fill="auto"/>
            <w:vAlign w:val="center"/>
          </w:tcPr>
          <w:p w14:paraId="5816D2BE" w14:textId="77777777" w:rsidR="00615E03" w:rsidRPr="001D41EA" w:rsidRDefault="00615E03" w:rsidP="001D41EA">
            <w:pPr>
              <w:spacing w:before="40" w:after="20"/>
              <w:rPr>
                <w:rFonts w:cs="Arial"/>
                <w:sz w:val="18"/>
                <w:szCs w:val="18"/>
              </w:rPr>
            </w:pPr>
          </w:p>
        </w:tc>
        <w:tc>
          <w:tcPr>
            <w:tcW w:w="1361" w:type="dxa"/>
            <w:tcBorders>
              <w:left w:val="single" w:sz="18" w:space="0" w:color="5F497A" w:themeColor="accent4" w:themeShade="BF"/>
              <w:bottom w:val="single" w:sz="8" w:space="0" w:color="5F497A" w:themeColor="accent4" w:themeShade="BF"/>
            </w:tcBorders>
            <w:shd w:val="clear" w:color="auto" w:fill="auto"/>
            <w:vAlign w:val="center"/>
          </w:tcPr>
          <w:p w14:paraId="7E9FB56F" w14:textId="77777777" w:rsidR="00615E03" w:rsidRPr="001D41EA" w:rsidRDefault="00615E03" w:rsidP="001D41EA">
            <w:pPr>
              <w:spacing w:before="40" w:after="20"/>
              <w:jc w:val="center"/>
              <w:rPr>
                <w:rFonts w:cs="Arial"/>
                <w:sz w:val="18"/>
                <w:szCs w:val="18"/>
              </w:rPr>
            </w:pPr>
          </w:p>
        </w:tc>
        <w:tc>
          <w:tcPr>
            <w:tcW w:w="1361" w:type="dxa"/>
            <w:tcBorders>
              <w:bottom w:val="single" w:sz="8" w:space="0" w:color="5F497A" w:themeColor="accent4" w:themeShade="BF"/>
            </w:tcBorders>
            <w:shd w:val="clear" w:color="auto" w:fill="auto"/>
            <w:vAlign w:val="center"/>
          </w:tcPr>
          <w:p w14:paraId="5000718A" w14:textId="77777777" w:rsidR="00615E03" w:rsidRPr="001D41EA" w:rsidRDefault="00615E03" w:rsidP="001D41EA">
            <w:pPr>
              <w:spacing w:before="40" w:after="20"/>
              <w:jc w:val="center"/>
              <w:rPr>
                <w:rFonts w:cs="Arial"/>
                <w:sz w:val="18"/>
                <w:szCs w:val="18"/>
              </w:rPr>
            </w:pPr>
          </w:p>
        </w:tc>
        <w:tc>
          <w:tcPr>
            <w:tcW w:w="1361" w:type="dxa"/>
            <w:tcBorders>
              <w:bottom w:val="single" w:sz="8" w:space="0" w:color="5F497A" w:themeColor="accent4" w:themeShade="BF"/>
            </w:tcBorders>
            <w:vAlign w:val="center"/>
          </w:tcPr>
          <w:p w14:paraId="3C108BAE" w14:textId="77777777" w:rsidR="00615E03" w:rsidRPr="001D41EA" w:rsidRDefault="00615E03" w:rsidP="001D41EA">
            <w:pPr>
              <w:spacing w:before="40" w:after="20"/>
              <w:jc w:val="center"/>
              <w:rPr>
                <w:rFonts w:cs="Arial"/>
                <w:sz w:val="18"/>
                <w:szCs w:val="18"/>
              </w:rPr>
            </w:pPr>
          </w:p>
        </w:tc>
        <w:tc>
          <w:tcPr>
            <w:tcW w:w="1361" w:type="dxa"/>
            <w:tcBorders>
              <w:bottom w:val="single" w:sz="8" w:space="0" w:color="5F497A" w:themeColor="accent4" w:themeShade="BF"/>
            </w:tcBorders>
            <w:vAlign w:val="center"/>
          </w:tcPr>
          <w:p w14:paraId="61CB762A" w14:textId="77777777" w:rsidR="00615E03" w:rsidRPr="001D41EA" w:rsidRDefault="00615E03" w:rsidP="001D41EA">
            <w:pPr>
              <w:spacing w:before="40" w:after="20"/>
              <w:jc w:val="center"/>
              <w:rPr>
                <w:rFonts w:cs="Arial"/>
                <w:sz w:val="18"/>
                <w:szCs w:val="18"/>
              </w:rPr>
            </w:pPr>
          </w:p>
        </w:tc>
        <w:tc>
          <w:tcPr>
            <w:tcW w:w="1361" w:type="dxa"/>
            <w:tcBorders>
              <w:bottom w:val="single" w:sz="8" w:space="0" w:color="5F497A" w:themeColor="accent4" w:themeShade="BF"/>
            </w:tcBorders>
            <w:shd w:val="clear" w:color="auto" w:fill="auto"/>
            <w:vAlign w:val="center"/>
          </w:tcPr>
          <w:p w14:paraId="55810EEF" w14:textId="77777777" w:rsidR="00615E03" w:rsidRPr="001D41EA" w:rsidRDefault="00615E03" w:rsidP="001D41EA">
            <w:pPr>
              <w:spacing w:before="40" w:after="20"/>
              <w:jc w:val="center"/>
              <w:rPr>
                <w:rFonts w:cs="Arial"/>
                <w:sz w:val="18"/>
                <w:szCs w:val="18"/>
              </w:rPr>
            </w:pPr>
          </w:p>
        </w:tc>
      </w:tr>
      <w:tr w:rsidR="00AB6EE4" w:rsidRPr="001D41EA" w14:paraId="32D1A334" w14:textId="77777777" w:rsidTr="00B44BBE">
        <w:trPr>
          <w:trHeight w:val="240"/>
        </w:trPr>
        <w:tc>
          <w:tcPr>
            <w:tcW w:w="2268" w:type="dxa"/>
            <w:tcBorders>
              <w:left w:val="nil"/>
              <w:right w:val="single" w:sz="18" w:space="0" w:color="5F497A" w:themeColor="accent4" w:themeShade="BF"/>
            </w:tcBorders>
            <w:shd w:val="clear" w:color="auto" w:fill="auto"/>
            <w:vAlign w:val="center"/>
          </w:tcPr>
          <w:p w14:paraId="1385CB3B" w14:textId="77777777" w:rsidR="00AB6EE4" w:rsidRPr="001D41EA" w:rsidRDefault="00AB6EE4" w:rsidP="001D41EA">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tcBorders>
            <w:shd w:val="clear" w:color="auto" w:fill="auto"/>
            <w:vAlign w:val="center"/>
          </w:tcPr>
          <w:p w14:paraId="0ED25321" w14:textId="77777777" w:rsidR="00AB6EE4" w:rsidRPr="001D41EA" w:rsidRDefault="00AB6EE4" w:rsidP="001D41EA">
            <w:pPr>
              <w:spacing w:before="40" w:after="20"/>
              <w:jc w:val="center"/>
              <w:rPr>
                <w:rFonts w:cs="Arial"/>
                <w:b/>
                <w:sz w:val="18"/>
                <w:szCs w:val="18"/>
              </w:rPr>
            </w:pPr>
          </w:p>
        </w:tc>
        <w:tc>
          <w:tcPr>
            <w:tcW w:w="1361" w:type="dxa"/>
            <w:tcBorders>
              <w:top w:val="single" w:sz="8" w:space="0" w:color="5F497A" w:themeColor="accent4" w:themeShade="BF"/>
            </w:tcBorders>
            <w:shd w:val="clear" w:color="auto" w:fill="auto"/>
            <w:vAlign w:val="center"/>
          </w:tcPr>
          <w:p w14:paraId="35CBD169" w14:textId="77777777" w:rsidR="00AB6EE4" w:rsidRPr="001D41EA" w:rsidRDefault="00AB6EE4" w:rsidP="001D41EA">
            <w:pPr>
              <w:spacing w:before="40" w:after="20"/>
              <w:jc w:val="center"/>
              <w:rPr>
                <w:rFonts w:cs="Arial"/>
                <w:b/>
                <w:sz w:val="18"/>
                <w:szCs w:val="18"/>
              </w:rPr>
            </w:pPr>
          </w:p>
        </w:tc>
        <w:tc>
          <w:tcPr>
            <w:tcW w:w="1361" w:type="dxa"/>
            <w:tcBorders>
              <w:top w:val="single" w:sz="8" w:space="0" w:color="5F497A" w:themeColor="accent4" w:themeShade="BF"/>
            </w:tcBorders>
            <w:vAlign w:val="center"/>
          </w:tcPr>
          <w:p w14:paraId="672D7A5D" w14:textId="77777777" w:rsidR="00AB6EE4" w:rsidRPr="001D41EA" w:rsidRDefault="00AB6EE4" w:rsidP="001D41EA">
            <w:pPr>
              <w:spacing w:before="40" w:after="20"/>
              <w:jc w:val="center"/>
              <w:rPr>
                <w:rFonts w:cs="Arial"/>
                <w:b/>
                <w:sz w:val="18"/>
                <w:szCs w:val="18"/>
              </w:rPr>
            </w:pPr>
          </w:p>
        </w:tc>
        <w:tc>
          <w:tcPr>
            <w:tcW w:w="1361" w:type="dxa"/>
            <w:tcBorders>
              <w:top w:val="single" w:sz="8" w:space="0" w:color="5F497A" w:themeColor="accent4" w:themeShade="BF"/>
            </w:tcBorders>
            <w:vAlign w:val="center"/>
          </w:tcPr>
          <w:p w14:paraId="56BC3E17" w14:textId="77777777" w:rsidR="00AB6EE4" w:rsidRPr="001D41EA" w:rsidRDefault="00AB6EE4" w:rsidP="001D41EA">
            <w:pPr>
              <w:spacing w:before="40" w:after="20"/>
              <w:jc w:val="center"/>
              <w:rPr>
                <w:rFonts w:cs="Arial"/>
                <w:b/>
                <w:sz w:val="18"/>
                <w:szCs w:val="18"/>
              </w:rPr>
            </w:pPr>
          </w:p>
        </w:tc>
        <w:tc>
          <w:tcPr>
            <w:tcW w:w="1361" w:type="dxa"/>
            <w:tcBorders>
              <w:top w:val="single" w:sz="8" w:space="0" w:color="5F497A" w:themeColor="accent4" w:themeShade="BF"/>
            </w:tcBorders>
            <w:shd w:val="clear" w:color="auto" w:fill="auto"/>
            <w:vAlign w:val="center"/>
          </w:tcPr>
          <w:p w14:paraId="0EA6DF4F" w14:textId="77777777" w:rsidR="00AB6EE4" w:rsidRPr="001D41EA" w:rsidRDefault="00AB6EE4" w:rsidP="001D41EA">
            <w:pPr>
              <w:spacing w:before="40" w:after="20"/>
              <w:jc w:val="center"/>
              <w:rPr>
                <w:rFonts w:cs="Arial"/>
                <w:b/>
                <w:sz w:val="18"/>
                <w:szCs w:val="18"/>
              </w:rPr>
            </w:pPr>
          </w:p>
        </w:tc>
      </w:tr>
    </w:tbl>
    <w:p w14:paraId="2F6EE300" w14:textId="77777777" w:rsidR="00D67755" w:rsidRPr="00A44829" w:rsidRDefault="00D67755" w:rsidP="00FF36E8">
      <w:pPr>
        <w:spacing w:before="40" w:after="20"/>
        <w:rPr>
          <w:rFonts w:cs="Arial"/>
          <w:sz w:val="18"/>
          <w:szCs w:val="18"/>
        </w:rPr>
      </w:pPr>
      <w:r w:rsidRPr="00A44829">
        <w:rPr>
          <w:rFonts w:cs="Arial"/>
          <w:sz w:val="18"/>
          <w:szCs w:val="18"/>
        </w:rPr>
        <w:br w:type="page"/>
      </w:r>
    </w:p>
    <w:p w14:paraId="4C073A0F" w14:textId="0ED291F8" w:rsidR="00FE4C8F" w:rsidRPr="00A44829" w:rsidRDefault="00CE4507" w:rsidP="00C33713">
      <w:pPr>
        <w:pStyle w:val="VGC-Head10"/>
      </w:pPr>
      <w:r w:rsidRPr="00A44829">
        <w:lastRenderedPageBreak/>
        <w:t>Appendix 4</w:t>
      </w:r>
      <w:r w:rsidR="00FE4C8F" w:rsidRPr="00A44829">
        <w:tab/>
      </w:r>
      <w:r w:rsidR="00EE4593" w:rsidRPr="00A44829">
        <w:t>2019-20</w:t>
      </w:r>
      <w:r w:rsidR="00A97ABE" w:rsidRPr="00A44829">
        <w:t xml:space="preserve"> </w:t>
      </w:r>
      <w:r w:rsidR="00FE4C8F" w:rsidRPr="00A44829">
        <w:t xml:space="preserve">General Purpose Grants </w:t>
      </w:r>
    </w:p>
    <w:p w14:paraId="4C4B4118" w14:textId="77777777" w:rsidR="00FE4C8F" w:rsidRPr="00A44829" w:rsidRDefault="00FE4C8F" w:rsidP="008C1A28">
      <w:pPr>
        <w:pStyle w:val="VGC-Head2"/>
      </w:pPr>
      <w:r w:rsidRPr="00A44829">
        <w:t>I.  Standardised Fees and Charges</w:t>
      </w:r>
    </w:p>
    <w:p w14:paraId="7E0D01EB" w14:textId="77777777" w:rsidR="00893320" w:rsidRPr="00A44829"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A44829" w14:paraId="2F323C7E"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540F8A28" w14:textId="77777777" w:rsidR="00893320" w:rsidRPr="00A44829" w:rsidRDefault="00893320" w:rsidP="008001AD">
            <w:pPr>
              <w:spacing w:before="40" w:after="20"/>
              <w:jc w:val="center"/>
              <w:rPr>
                <w:rFonts w:cs="Arial"/>
                <w:sz w:val="18"/>
                <w:szCs w:val="18"/>
              </w:rPr>
            </w:pPr>
          </w:p>
        </w:tc>
        <w:tc>
          <w:tcPr>
            <w:tcW w:w="6805" w:type="dxa"/>
            <w:gridSpan w:val="5"/>
            <w:tcBorders>
              <w:left w:val="single" w:sz="18" w:space="0" w:color="5F497A" w:themeColor="accent4" w:themeShade="BF"/>
              <w:bottom w:val="single" w:sz="8" w:space="0" w:color="5F497A" w:themeColor="accent4" w:themeShade="BF"/>
            </w:tcBorders>
            <w:shd w:val="clear" w:color="auto" w:fill="auto"/>
            <w:vAlign w:val="bottom"/>
          </w:tcPr>
          <w:p w14:paraId="73340F0C" w14:textId="77777777" w:rsidR="00893320" w:rsidRPr="00A44829" w:rsidRDefault="00893320" w:rsidP="008001AD">
            <w:pPr>
              <w:spacing w:before="40" w:after="20"/>
              <w:jc w:val="center"/>
              <w:rPr>
                <w:rFonts w:cs="Arial"/>
                <w:b/>
                <w:sz w:val="18"/>
                <w:szCs w:val="18"/>
              </w:rPr>
            </w:pPr>
            <w:r w:rsidRPr="00A44829">
              <w:rPr>
                <w:rFonts w:cs="Arial"/>
                <w:b/>
                <w:sz w:val="18"/>
                <w:szCs w:val="18"/>
              </w:rPr>
              <w:t>Standardised Fees and Charges</w:t>
            </w:r>
          </w:p>
        </w:tc>
      </w:tr>
      <w:tr w:rsidR="00893320" w:rsidRPr="00A44829" w14:paraId="0353A2AF"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35476E70" w14:textId="77777777" w:rsidR="00893320" w:rsidRPr="00A44829" w:rsidRDefault="00893320" w:rsidP="008001AD">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10648F2A" w14:textId="77777777" w:rsidR="00893320" w:rsidRPr="00A44829" w:rsidRDefault="00893320" w:rsidP="008001AD">
            <w:pPr>
              <w:spacing w:before="40" w:after="20"/>
              <w:jc w:val="center"/>
              <w:rPr>
                <w:rFonts w:cs="Arial"/>
                <w:sz w:val="16"/>
                <w:szCs w:val="16"/>
              </w:rPr>
            </w:pPr>
            <w:r w:rsidRPr="00A44829">
              <w:rPr>
                <w:rFonts w:cs="Arial"/>
                <w:sz w:val="16"/>
                <w:szCs w:val="16"/>
              </w:rPr>
              <w:t>Governance</w:t>
            </w:r>
            <w:r w:rsidRPr="00A44829">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7CD4F4E1" w14:textId="77777777" w:rsidR="00893320" w:rsidRPr="00A44829" w:rsidRDefault="00893320" w:rsidP="008001AD">
            <w:pPr>
              <w:spacing w:before="40" w:after="20"/>
              <w:jc w:val="center"/>
              <w:rPr>
                <w:rFonts w:cs="Arial"/>
                <w:sz w:val="16"/>
                <w:szCs w:val="16"/>
              </w:rPr>
            </w:pPr>
            <w:r w:rsidRPr="00A44829">
              <w:rPr>
                <w:rFonts w:cs="Arial"/>
                <w:sz w:val="16"/>
                <w:szCs w:val="16"/>
              </w:rPr>
              <w:t xml:space="preserve">Family &amp; Community Services </w:t>
            </w:r>
            <w:r w:rsidRPr="00A44829">
              <w:rPr>
                <w:rFonts w:cs="Arial"/>
                <w:sz w:val="16"/>
                <w:szCs w:val="16"/>
              </w:rPr>
              <w:br/>
              <w:t>($)</w:t>
            </w:r>
          </w:p>
        </w:tc>
        <w:tc>
          <w:tcPr>
            <w:tcW w:w="1361" w:type="dxa"/>
            <w:tcBorders>
              <w:top w:val="single" w:sz="8" w:space="0" w:color="5F497A" w:themeColor="accent4" w:themeShade="BF"/>
              <w:bottom w:val="single" w:sz="8" w:space="0" w:color="5F497A" w:themeColor="accent4" w:themeShade="BF"/>
            </w:tcBorders>
            <w:vAlign w:val="bottom"/>
          </w:tcPr>
          <w:p w14:paraId="10C3458A" w14:textId="77777777" w:rsidR="00893320" w:rsidRPr="00A44829" w:rsidRDefault="00893320" w:rsidP="008001AD">
            <w:pPr>
              <w:spacing w:before="40" w:after="20"/>
              <w:jc w:val="center"/>
              <w:rPr>
                <w:rFonts w:cs="Arial"/>
                <w:sz w:val="16"/>
                <w:szCs w:val="16"/>
              </w:rPr>
            </w:pPr>
            <w:r w:rsidRPr="00A44829">
              <w:rPr>
                <w:rFonts w:cs="Arial"/>
                <w:sz w:val="16"/>
                <w:szCs w:val="16"/>
              </w:rPr>
              <w:t xml:space="preserve">Aged </w:t>
            </w:r>
            <w:r w:rsidR="00632855" w:rsidRPr="00A44829">
              <w:rPr>
                <w:rFonts w:cs="Arial"/>
                <w:sz w:val="16"/>
                <w:szCs w:val="16"/>
              </w:rPr>
              <w:t xml:space="preserve">&amp; </w:t>
            </w:r>
            <w:r w:rsidR="001342F4" w:rsidRPr="00A44829">
              <w:rPr>
                <w:rFonts w:cs="Arial"/>
                <w:sz w:val="16"/>
                <w:szCs w:val="16"/>
              </w:rPr>
              <w:br/>
            </w:r>
            <w:r w:rsidR="00632855" w:rsidRPr="00A44829">
              <w:rPr>
                <w:rFonts w:cs="Arial"/>
                <w:sz w:val="16"/>
                <w:szCs w:val="16"/>
              </w:rPr>
              <w:t xml:space="preserve">Disabled </w:t>
            </w:r>
            <w:r w:rsidRPr="00A44829">
              <w:rPr>
                <w:rFonts w:cs="Arial"/>
                <w:sz w:val="16"/>
                <w:szCs w:val="16"/>
              </w:rPr>
              <w:t>Services</w:t>
            </w:r>
            <w:r w:rsidRPr="00A44829">
              <w:rPr>
                <w:rFonts w:cs="Arial"/>
                <w:sz w:val="16"/>
                <w:szCs w:val="16"/>
              </w:rPr>
              <w:br/>
              <w:t>($)</w:t>
            </w:r>
          </w:p>
        </w:tc>
        <w:tc>
          <w:tcPr>
            <w:tcW w:w="1361" w:type="dxa"/>
            <w:tcBorders>
              <w:top w:val="single" w:sz="8" w:space="0" w:color="5F497A" w:themeColor="accent4" w:themeShade="BF"/>
              <w:bottom w:val="single" w:sz="8" w:space="0" w:color="5F497A" w:themeColor="accent4" w:themeShade="BF"/>
            </w:tcBorders>
            <w:vAlign w:val="bottom"/>
          </w:tcPr>
          <w:p w14:paraId="2E4F84E4" w14:textId="77777777" w:rsidR="00893320" w:rsidRPr="00A44829" w:rsidRDefault="00893320" w:rsidP="008001AD">
            <w:pPr>
              <w:spacing w:before="40" w:after="20"/>
              <w:jc w:val="center"/>
              <w:rPr>
                <w:rFonts w:cs="Arial"/>
                <w:sz w:val="16"/>
                <w:szCs w:val="16"/>
              </w:rPr>
            </w:pPr>
            <w:r w:rsidRPr="00A44829">
              <w:rPr>
                <w:rFonts w:cs="Arial"/>
                <w:sz w:val="16"/>
                <w:szCs w:val="16"/>
              </w:rPr>
              <w:t xml:space="preserve">Recreation </w:t>
            </w:r>
            <w:r w:rsidRPr="00A44829">
              <w:rPr>
                <w:rFonts w:cs="Arial"/>
                <w:sz w:val="16"/>
                <w:szCs w:val="16"/>
              </w:rPr>
              <w:br/>
              <w:t>&amp; Culture</w:t>
            </w:r>
            <w:r w:rsidRPr="00A44829">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3BA9FCCA" w14:textId="77777777" w:rsidR="00893320" w:rsidRPr="00A44829" w:rsidRDefault="00893320" w:rsidP="008001AD">
            <w:pPr>
              <w:spacing w:before="40" w:after="20"/>
              <w:jc w:val="center"/>
              <w:rPr>
                <w:rFonts w:cs="Arial"/>
                <w:sz w:val="16"/>
                <w:szCs w:val="16"/>
              </w:rPr>
            </w:pPr>
            <w:r w:rsidRPr="00A44829">
              <w:rPr>
                <w:rFonts w:cs="Arial"/>
                <w:sz w:val="16"/>
                <w:szCs w:val="16"/>
              </w:rPr>
              <w:t>Waste Management</w:t>
            </w:r>
            <w:r w:rsidRPr="00A44829">
              <w:rPr>
                <w:rFonts w:cs="Arial"/>
                <w:sz w:val="16"/>
                <w:szCs w:val="16"/>
              </w:rPr>
              <w:br/>
              <w:t>($)</w:t>
            </w:r>
          </w:p>
        </w:tc>
      </w:tr>
      <w:tr w:rsidR="009F0AF7" w:rsidRPr="001D41EA" w14:paraId="38576555" w14:textId="77777777" w:rsidTr="00B44BBE">
        <w:trPr>
          <w:trHeight w:val="240"/>
          <w:tblHeader/>
        </w:trPr>
        <w:tc>
          <w:tcPr>
            <w:tcW w:w="2268" w:type="dxa"/>
            <w:tcBorders>
              <w:left w:val="nil"/>
              <w:bottom w:val="nil"/>
              <w:right w:val="single" w:sz="18" w:space="0" w:color="5F497A" w:themeColor="accent4" w:themeShade="BF"/>
            </w:tcBorders>
            <w:shd w:val="clear" w:color="auto" w:fill="auto"/>
            <w:vAlign w:val="center"/>
          </w:tcPr>
          <w:p w14:paraId="3A94CA1F" w14:textId="77777777" w:rsidR="009F0AF7" w:rsidRPr="001D41EA" w:rsidRDefault="009F0AF7" w:rsidP="001D41EA">
            <w:pPr>
              <w:spacing w:before="40" w:after="4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791AEA17" w14:textId="21DA61DA" w:rsidR="009F0AF7" w:rsidRPr="001D41EA" w:rsidRDefault="009F0AF7" w:rsidP="001D41EA">
            <w:pPr>
              <w:spacing w:before="40" w:after="4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18937B9B" w14:textId="685A7119" w:rsidR="009F0AF7" w:rsidRPr="001D41EA" w:rsidRDefault="009F0AF7" w:rsidP="001D41EA">
            <w:pPr>
              <w:spacing w:before="40" w:after="4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vAlign w:val="bottom"/>
          </w:tcPr>
          <w:p w14:paraId="6CF99789" w14:textId="6AB59AB7" w:rsidR="009F0AF7" w:rsidRPr="001D41EA" w:rsidRDefault="009F0AF7" w:rsidP="001D41EA">
            <w:pPr>
              <w:spacing w:before="40" w:after="4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vAlign w:val="bottom"/>
          </w:tcPr>
          <w:p w14:paraId="3E3765BF" w14:textId="35ED61E0" w:rsidR="009F0AF7" w:rsidRPr="001D41EA" w:rsidRDefault="009F0AF7" w:rsidP="001D41EA">
            <w:pPr>
              <w:spacing w:before="40" w:after="4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6E471757" w14:textId="524000C7" w:rsidR="009F0AF7" w:rsidRPr="001D41EA" w:rsidRDefault="009F0AF7" w:rsidP="001D41EA">
            <w:pPr>
              <w:spacing w:before="40" w:after="40"/>
              <w:jc w:val="right"/>
              <w:rPr>
                <w:rFonts w:cs="Arial"/>
                <w:sz w:val="18"/>
                <w:szCs w:val="18"/>
              </w:rPr>
            </w:pPr>
            <w:r w:rsidRPr="001D41EA">
              <w:rPr>
                <w:rFonts w:cs="Arial"/>
                <w:sz w:val="18"/>
                <w:szCs w:val="18"/>
              </w:rPr>
              <w:t> </w:t>
            </w:r>
          </w:p>
        </w:tc>
      </w:tr>
      <w:tr w:rsidR="009F0AF7" w:rsidRPr="001D41EA" w14:paraId="034E8E29"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BD74A1F" w14:textId="77777777" w:rsidR="009F0AF7" w:rsidRPr="001D41EA" w:rsidRDefault="009F0AF7" w:rsidP="001D41EA">
            <w:pPr>
              <w:spacing w:before="40" w:after="40"/>
              <w:rPr>
                <w:rFonts w:cs="Arial"/>
                <w:sz w:val="18"/>
                <w:szCs w:val="18"/>
              </w:rPr>
            </w:pPr>
            <w:r w:rsidRPr="001D41EA">
              <w:rPr>
                <w:rFonts w:cs="Arial"/>
                <w:sz w:val="18"/>
                <w:szCs w:val="18"/>
              </w:rPr>
              <w:t>Alpine S</w:t>
            </w:r>
          </w:p>
        </w:tc>
        <w:tc>
          <w:tcPr>
            <w:tcW w:w="1361" w:type="dxa"/>
            <w:tcBorders>
              <w:top w:val="nil"/>
              <w:left w:val="single" w:sz="18" w:space="0" w:color="5F497A" w:themeColor="accent4" w:themeShade="BF"/>
              <w:bottom w:val="nil"/>
              <w:right w:val="nil"/>
            </w:tcBorders>
            <w:shd w:val="clear" w:color="auto" w:fill="auto"/>
            <w:vAlign w:val="bottom"/>
          </w:tcPr>
          <w:p w14:paraId="5D432B60" w14:textId="7C6AB1D3" w:rsidR="009F0AF7" w:rsidRPr="001D41EA" w:rsidRDefault="009F0AF7" w:rsidP="001D41EA">
            <w:pPr>
              <w:spacing w:before="40" w:after="40"/>
              <w:jc w:val="right"/>
              <w:rPr>
                <w:rFonts w:cs="Arial"/>
                <w:sz w:val="18"/>
                <w:szCs w:val="18"/>
              </w:rPr>
            </w:pPr>
            <w:r w:rsidRPr="001D41EA">
              <w:rPr>
                <w:rFonts w:cs="Arial"/>
                <w:sz w:val="18"/>
                <w:szCs w:val="18"/>
              </w:rPr>
              <w:t>221,820</w:t>
            </w:r>
          </w:p>
        </w:tc>
        <w:tc>
          <w:tcPr>
            <w:tcW w:w="1361" w:type="dxa"/>
            <w:tcBorders>
              <w:top w:val="nil"/>
              <w:left w:val="nil"/>
              <w:bottom w:val="nil"/>
              <w:right w:val="nil"/>
            </w:tcBorders>
            <w:shd w:val="clear" w:color="auto" w:fill="auto"/>
            <w:vAlign w:val="bottom"/>
          </w:tcPr>
          <w:p w14:paraId="74E3F0D7" w14:textId="2434DC32" w:rsidR="009F0AF7" w:rsidRPr="001D41EA" w:rsidRDefault="009F0AF7" w:rsidP="001D41EA">
            <w:pPr>
              <w:spacing w:before="40" w:after="40"/>
              <w:jc w:val="right"/>
              <w:rPr>
                <w:rFonts w:cs="Arial"/>
                <w:sz w:val="18"/>
                <w:szCs w:val="18"/>
              </w:rPr>
            </w:pPr>
            <w:r w:rsidRPr="001D41EA">
              <w:rPr>
                <w:rFonts w:cs="Arial"/>
                <w:sz w:val="18"/>
                <w:szCs w:val="18"/>
              </w:rPr>
              <w:t>138,096</w:t>
            </w:r>
          </w:p>
        </w:tc>
        <w:tc>
          <w:tcPr>
            <w:tcW w:w="1361" w:type="dxa"/>
            <w:tcBorders>
              <w:top w:val="nil"/>
              <w:left w:val="nil"/>
              <w:bottom w:val="nil"/>
              <w:right w:val="nil"/>
            </w:tcBorders>
            <w:vAlign w:val="bottom"/>
          </w:tcPr>
          <w:p w14:paraId="679B68AE" w14:textId="1AF03D69" w:rsidR="009F0AF7" w:rsidRPr="001D41EA" w:rsidRDefault="009F0AF7" w:rsidP="001D41EA">
            <w:pPr>
              <w:spacing w:before="40" w:after="40"/>
              <w:jc w:val="right"/>
              <w:rPr>
                <w:rFonts w:cs="Arial"/>
                <w:sz w:val="18"/>
                <w:szCs w:val="18"/>
              </w:rPr>
            </w:pPr>
            <w:r w:rsidRPr="001D41EA">
              <w:rPr>
                <w:rFonts w:cs="Arial"/>
                <w:sz w:val="18"/>
                <w:szCs w:val="18"/>
              </w:rPr>
              <w:t>155,683</w:t>
            </w:r>
          </w:p>
        </w:tc>
        <w:tc>
          <w:tcPr>
            <w:tcW w:w="1361" w:type="dxa"/>
            <w:tcBorders>
              <w:top w:val="nil"/>
              <w:left w:val="nil"/>
              <w:bottom w:val="nil"/>
              <w:right w:val="nil"/>
            </w:tcBorders>
            <w:vAlign w:val="bottom"/>
          </w:tcPr>
          <w:p w14:paraId="500BCFB9" w14:textId="0D70B76B" w:rsidR="009F0AF7" w:rsidRPr="001D41EA" w:rsidRDefault="009F0AF7" w:rsidP="001D41EA">
            <w:pPr>
              <w:spacing w:before="40" w:after="40"/>
              <w:jc w:val="right"/>
              <w:rPr>
                <w:rFonts w:cs="Arial"/>
                <w:sz w:val="18"/>
                <w:szCs w:val="18"/>
              </w:rPr>
            </w:pPr>
            <w:r w:rsidRPr="001D41EA">
              <w:rPr>
                <w:rFonts w:cs="Arial"/>
                <w:sz w:val="18"/>
                <w:szCs w:val="18"/>
              </w:rPr>
              <w:t>300,281</w:t>
            </w:r>
          </w:p>
        </w:tc>
        <w:tc>
          <w:tcPr>
            <w:tcW w:w="1361" w:type="dxa"/>
            <w:tcBorders>
              <w:top w:val="nil"/>
              <w:left w:val="nil"/>
              <w:bottom w:val="nil"/>
              <w:right w:val="nil"/>
            </w:tcBorders>
            <w:shd w:val="clear" w:color="auto" w:fill="auto"/>
            <w:vAlign w:val="bottom"/>
          </w:tcPr>
          <w:p w14:paraId="702CD75A" w14:textId="38394848" w:rsidR="009F0AF7" w:rsidRPr="001D41EA" w:rsidRDefault="009F0AF7" w:rsidP="001D41EA">
            <w:pPr>
              <w:spacing w:before="40" w:after="40"/>
              <w:jc w:val="right"/>
              <w:rPr>
                <w:rFonts w:cs="Arial"/>
                <w:sz w:val="18"/>
                <w:szCs w:val="18"/>
              </w:rPr>
            </w:pPr>
            <w:r w:rsidRPr="001D41EA">
              <w:rPr>
                <w:rFonts w:cs="Arial"/>
                <w:sz w:val="18"/>
                <w:szCs w:val="18"/>
              </w:rPr>
              <w:t>240,552</w:t>
            </w:r>
          </w:p>
        </w:tc>
      </w:tr>
      <w:tr w:rsidR="009F0AF7" w:rsidRPr="001D41EA" w14:paraId="7FE4AB12"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7B0751C" w14:textId="77777777" w:rsidR="009F0AF7" w:rsidRPr="001D41EA" w:rsidRDefault="009F0AF7" w:rsidP="001D41EA">
            <w:pPr>
              <w:spacing w:before="40" w:after="40"/>
              <w:rPr>
                <w:rFonts w:cs="Arial"/>
                <w:sz w:val="18"/>
                <w:szCs w:val="18"/>
              </w:rPr>
            </w:pPr>
            <w:r w:rsidRPr="001D41EA">
              <w:rPr>
                <w:rFonts w:cs="Arial"/>
                <w:sz w:val="18"/>
                <w:szCs w:val="18"/>
              </w:rPr>
              <w:t>Ararat RC</w:t>
            </w:r>
          </w:p>
        </w:tc>
        <w:tc>
          <w:tcPr>
            <w:tcW w:w="1361" w:type="dxa"/>
            <w:tcBorders>
              <w:top w:val="nil"/>
              <w:left w:val="single" w:sz="18" w:space="0" w:color="5F497A" w:themeColor="accent4" w:themeShade="BF"/>
              <w:bottom w:val="nil"/>
              <w:right w:val="nil"/>
            </w:tcBorders>
            <w:shd w:val="clear" w:color="auto" w:fill="auto"/>
            <w:vAlign w:val="bottom"/>
          </w:tcPr>
          <w:p w14:paraId="4789B88C" w14:textId="0896C5C8" w:rsidR="009F0AF7" w:rsidRPr="001D41EA" w:rsidRDefault="009F0AF7" w:rsidP="001D41EA">
            <w:pPr>
              <w:spacing w:before="40" w:after="40"/>
              <w:jc w:val="right"/>
              <w:rPr>
                <w:rFonts w:cs="Arial"/>
                <w:sz w:val="18"/>
                <w:szCs w:val="18"/>
              </w:rPr>
            </w:pPr>
            <w:r w:rsidRPr="001D41EA">
              <w:rPr>
                <w:rFonts w:cs="Arial"/>
                <w:sz w:val="18"/>
                <w:szCs w:val="18"/>
              </w:rPr>
              <w:t>198,179</w:t>
            </w:r>
          </w:p>
        </w:tc>
        <w:tc>
          <w:tcPr>
            <w:tcW w:w="1361" w:type="dxa"/>
            <w:tcBorders>
              <w:top w:val="nil"/>
              <w:left w:val="nil"/>
              <w:bottom w:val="nil"/>
              <w:right w:val="nil"/>
            </w:tcBorders>
            <w:shd w:val="clear" w:color="auto" w:fill="auto"/>
            <w:vAlign w:val="bottom"/>
          </w:tcPr>
          <w:p w14:paraId="0979A9B4" w14:textId="1B2E320C" w:rsidR="009F0AF7" w:rsidRPr="001D41EA" w:rsidRDefault="009F0AF7" w:rsidP="001D41EA">
            <w:pPr>
              <w:spacing w:before="40" w:after="40"/>
              <w:jc w:val="right"/>
              <w:rPr>
                <w:rFonts w:cs="Arial"/>
                <w:sz w:val="18"/>
                <w:szCs w:val="18"/>
              </w:rPr>
            </w:pPr>
            <w:r w:rsidRPr="001D41EA">
              <w:rPr>
                <w:rFonts w:cs="Arial"/>
                <w:sz w:val="18"/>
                <w:szCs w:val="18"/>
              </w:rPr>
              <w:t>103,011</w:t>
            </w:r>
          </w:p>
        </w:tc>
        <w:tc>
          <w:tcPr>
            <w:tcW w:w="1361" w:type="dxa"/>
            <w:tcBorders>
              <w:top w:val="nil"/>
              <w:left w:val="nil"/>
              <w:bottom w:val="nil"/>
              <w:right w:val="nil"/>
            </w:tcBorders>
            <w:vAlign w:val="bottom"/>
          </w:tcPr>
          <w:p w14:paraId="1B7025E0" w14:textId="5642A62A" w:rsidR="009F0AF7" w:rsidRPr="001D41EA" w:rsidRDefault="009F0AF7" w:rsidP="001D41EA">
            <w:pPr>
              <w:spacing w:before="40" w:after="40"/>
              <w:jc w:val="right"/>
              <w:rPr>
                <w:rFonts w:cs="Arial"/>
                <w:sz w:val="18"/>
                <w:szCs w:val="18"/>
              </w:rPr>
            </w:pPr>
            <w:r w:rsidRPr="001D41EA">
              <w:rPr>
                <w:rFonts w:cs="Arial"/>
                <w:sz w:val="18"/>
                <w:szCs w:val="18"/>
              </w:rPr>
              <w:t>145,602</w:t>
            </w:r>
          </w:p>
        </w:tc>
        <w:tc>
          <w:tcPr>
            <w:tcW w:w="1361" w:type="dxa"/>
            <w:tcBorders>
              <w:top w:val="nil"/>
              <w:left w:val="nil"/>
              <w:bottom w:val="nil"/>
              <w:right w:val="nil"/>
            </w:tcBorders>
            <w:vAlign w:val="bottom"/>
          </w:tcPr>
          <w:p w14:paraId="3869C0CB" w14:textId="55ED6EC0" w:rsidR="009F0AF7" w:rsidRPr="001D41EA" w:rsidRDefault="009F0AF7" w:rsidP="001D41EA">
            <w:pPr>
              <w:spacing w:before="40" w:after="40"/>
              <w:jc w:val="right"/>
              <w:rPr>
                <w:rFonts w:cs="Arial"/>
                <w:sz w:val="18"/>
                <w:szCs w:val="18"/>
              </w:rPr>
            </w:pPr>
            <w:r w:rsidRPr="001D41EA">
              <w:rPr>
                <w:rFonts w:cs="Arial"/>
                <w:sz w:val="18"/>
                <w:szCs w:val="18"/>
              </w:rPr>
              <w:t>268,279</w:t>
            </w:r>
          </w:p>
        </w:tc>
        <w:tc>
          <w:tcPr>
            <w:tcW w:w="1361" w:type="dxa"/>
            <w:tcBorders>
              <w:top w:val="nil"/>
              <w:left w:val="nil"/>
              <w:bottom w:val="nil"/>
              <w:right w:val="nil"/>
            </w:tcBorders>
            <w:shd w:val="clear" w:color="auto" w:fill="auto"/>
            <w:vAlign w:val="bottom"/>
          </w:tcPr>
          <w:p w14:paraId="4C15EAFC" w14:textId="10BE9F42" w:rsidR="009F0AF7" w:rsidRPr="001D41EA" w:rsidRDefault="009F0AF7" w:rsidP="001D41EA">
            <w:pPr>
              <w:spacing w:before="40" w:after="40"/>
              <w:jc w:val="right"/>
              <w:rPr>
                <w:rFonts w:cs="Arial"/>
                <w:sz w:val="18"/>
                <w:szCs w:val="18"/>
              </w:rPr>
            </w:pPr>
            <w:r w:rsidRPr="001D41EA">
              <w:rPr>
                <w:rFonts w:cs="Arial"/>
                <w:sz w:val="18"/>
                <w:szCs w:val="18"/>
              </w:rPr>
              <w:t>161,708</w:t>
            </w:r>
          </w:p>
        </w:tc>
      </w:tr>
      <w:tr w:rsidR="009F0AF7" w:rsidRPr="001D41EA" w14:paraId="343EE198"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283D677" w14:textId="77777777" w:rsidR="009F0AF7" w:rsidRPr="001D41EA" w:rsidRDefault="009F0AF7" w:rsidP="001D41EA">
            <w:pPr>
              <w:spacing w:before="40" w:after="40"/>
              <w:rPr>
                <w:rFonts w:cs="Arial"/>
                <w:sz w:val="18"/>
                <w:szCs w:val="18"/>
              </w:rPr>
            </w:pPr>
            <w:r w:rsidRPr="001D41EA">
              <w:rPr>
                <w:rFonts w:cs="Arial"/>
                <w:sz w:val="18"/>
                <w:szCs w:val="18"/>
              </w:rPr>
              <w:t>Ballarat C</w:t>
            </w:r>
          </w:p>
        </w:tc>
        <w:tc>
          <w:tcPr>
            <w:tcW w:w="1361" w:type="dxa"/>
            <w:tcBorders>
              <w:top w:val="nil"/>
              <w:left w:val="single" w:sz="18" w:space="0" w:color="5F497A" w:themeColor="accent4" w:themeShade="BF"/>
              <w:bottom w:val="nil"/>
              <w:right w:val="nil"/>
            </w:tcBorders>
            <w:shd w:val="clear" w:color="auto" w:fill="auto"/>
            <w:vAlign w:val="bottom"/>
          </w:tcPr>
          <w:p w14:paraId="16C74FB3" w14:textId="7BF062D7" w:rsidR="009F0AF7" w:rsidRPr="001D41EA" w:rsidRDefault="009F0AF7" w:rsidP="001D41EA">
            <w:pPr>
              <w:spacing w:before="40" w:after="40"/>
              <w:jc w:val="right"/>
              <w:rPr>
                <w:rFonts w:cs="Arial"/>
                <w:sz w:val="18"/>
                <w:szCs w:val="18"/>
              </w:rPr>
            </w:pPr>
            <w:r w:rsidRPr="001D41EA">
              <w:rPr>
                <w:rFonts w:cs="Arial"/>
                <w:sz w:val="18"/>
                <w:szCs w:val="18"/>
              </w:rPr>
              <w:t>1,803,274</w:t>
            </w:r>
          </w:p>
        </w:tc>
        <w:tc>
          <w:tcPr>
            <w:tcW w:w="1361" w:type="dxa"/>
            <w:tcBorders>
              <w:top w:val="nil"/>
              <w:left w:val="nil"/>
              <w:bottom w:val="nil"/>
              <w:right w:val="nil"/>
            </w:tcBorders>
            <w:shd w:val="clear" w:color="auto" w:fill="auto"/>
            <w:vAlign w:val="bottom"/>
          </w:tcPr>
          <w:p w14:paraId="77494FE8" w14:textId="500CD754" w:rsidR="009F0AF7" w:rsidRPr="001D41EA" w:rsidRDefault="009F0AF7" w:rsidP="001D41EA">
            <w:pPr>
              <w:spacing w:before="40" w:after="40"/>
              <w:jc w:val="right"/>
              <w:rPr>
                <w:rFonts w:cs="Arial"/>
                <w:sz w:val="18"/>
                <w:szCs w:val="18"/>
              </w:rPr>
            </w:pPr>
            <w:r w:rsidRPr="001D41EA">
              <w:rPr>
                <w:rFonts w:cs="Arial"/>
                <w:sz w:val="18"/>
                <w:szCs w:val="18"/>
              </w:rPr>
              <w:t>1,072,750</w:t>
            </w:r>
          </w:p>
        </w:tc>
        <w:tc>
          <w:tcPr>
            <w:tcW w:w="1361" w:type="dxa"/>
            <w:tcBorders>
              <w:top w:val="nil"/>
              <w:left w:val="nil"/>
              <w:bottom w:val="nil"/>
              <w:right w:val="nil"/>
            </w:tcBorders>
            <w:vAlign w:val="bottom"/>
          </w:tcPr>
          <w:p w14:paraId="528B6BDE" w14:textId="17AD89DC" w:rsidR="009F0AF7" w:rsidRPr="001D41EA" w:rsidRDefault="009F0AF7" w:rsidP="001D41EA">
            <w:pPr>
              <w:spacing w:before="40" w:after="40"/>
              <w:jc w:val="right"/>
              <w:rPr>
                <w:rFonts w:cs="Arial"/>
                <w:sz w:val="18"/>
                <w:szCs w:val="18"/>
              </w:rPr>
            </w:pPr>
            <w:r w:rsidRPr="001D41EA">
              <w:rPr>
                <w:rFonts w:cs="Arial"/>
                <w:sz w:val="18"/>
                <w:szCs w:val="18"/>
              </w:rPr>
              <w:t>1,036,944</w:t>
            </w:r>
          </w:p>
        </w:tc>
        <w:tc>
          <w:tcPr>
            <w:tcW w:w="1361" w:type="dxa"/>
            <w:tcBorders>
              <w:top w:val="nil"/>
              <w:left w:val="nil"/>
              <w:bottom w:val="nil"/>
              <w:right w:val="nil"/>
            </w:tcBorders>
            <w:vAlign w:val="bottom"/>
          </w:tcPr>
          <w:p w14:paraId="49B615C4" w14:textId="778E7650" w:rsidR="009F0AF7" w:rsidRPr="001D41EA" w:rsidRDefault="009F0AF7" w:rsidP="001D41EA">
            <w:pPr>
              <w:spacing w:before="40" w:after="40"/>
              <w:jc w:val="right"/>
              <w:rPr>
                <w:rFonts w:cs="Arial"/>
                <w:sz w:val="18"/>
                <w:szCs w:val="18"/>
              </w:rPr>
            </w:pPr>
            <w:r w:rsidRPr="001D41EA">
              <w:rPr>
                <w:rFonts w:cs="Arial"/>
                <w:sz w:val="18"/>
                <w:szCs w:val="18"/>
              </w:rPr>
              <w:t>2,441,123</w:t>
            </w:r>
          </w:p>
        </w:tc>
        <w:tc>
          <w:tcPr>
            <w:tcW w:w="1361" w:type="dxa"/>
            <w:tcBorders>
              <w:top w:val="nil"/>
              <w:left w:val="nil"/>
              <w:bottom w:val="nil"/>
              <w:right w:val="nil"/>
            </w:tcBorders>
            <w:shd w:val="clear" w:color="auto" w:fill="auto"/>
            <w:vAlign w:val="bottom"/>
          </w:tcPr>
          <w:p w14:paraId="696DCC2E" w14:textId="2F5DE083" w:rsidR="009F0AF7" w:rsidRPr="001D41EA" w:rsidRDefault="009F0AF7" w:rsidP="001D41EA">
            <w:pPr>
              <w:spacing w:before="40" w:after="40"/>
              <w:jc w:val="right"/>
              <w:rPr>
                <w:rFonts w:cs="Arial"/>
                <w:sz w:val="18"/>
                <w:szCs w:val="18"/>
              </w:rPr>
            </w:pPr>
            <w:r w:rsidRPr="001D41EA">
              <w:rPr>
                <w:rFonts w:cs="Arial"/>
                <w:sz w:val="18"/>
                <w:szCs w:val="18"/>
              </w:rPr>
              <w:t>1,396,518</w:t>
            </w:r>
          </w:p>
        </w:tc>
      </w:tr>
      <w:tr w:rsidR="009F0AF7" w:rsidRPr="001D41EA" w14:paraId="7A6BF41C"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B6158BC" w14:textId="77777777" w:rsidR="009F0AF7" w:rsidRPr="001D41EA" w:rsidRDefault="009F0AF7" w:rsidP="001D41EA">
            <w:pPr>
              <w:spacing w:before="40" w:after="40"/>
              <w:rPr>
                <w:rFonts w:cs="Arial"/>
                <w:sz w:val="18"/>
                <w:szCs w:val="18"/>
              </w:rPr>
            </w:pPr>
            <w:r w:rsidRPr="001D41EA">
              <w:rPr>
                <w:rFonts w:cs="Arial"/>
                <w:sz w:val="18"/>
                <w:szCs w:val="18"/>
              </w:rPr>
              <w:t>Banyule C</w:t>
            </w:r>
          </w:p>
        </w:tc>
        <w:tc>
          <w:tcPr>
            <w:tcW w:w="1361" w:type="dxa"/>
            <w:tcBorders>
              <w:top w:val="nil"/>
              <w:left w:val="single" w:sz="18" w:space="0" w:color="5F497A" w:themeColor="accent4" w:themeShade="BF"/>
              <w:bottom w:val="nil"/>
              <w:right w:val="nil"/>
            </w:tcBorders>
            <w:shd w:val="clear" w:color="auto" w:fill="auto"/>
            <w:vAlign w:val="bottom"/>
          </w:tcPr>
          <w:p w14:paraId="1096204E" w14:textId="3F7AC866" w:rsidR="009F0AF7" w:rsidRPr="001D41EA" w:rsidRDefault="009F0AF7" w:rsidP="001D41EA">
            <w:pPr>
              <w:spacing w:before="40" w:after="40"/>
              <w:jc w:val="right"/>
              <w:rPr>
                <w:rFonts w:cs="Arial"/>
                <w:sz w:val="18"/>
                <w:szCs w:val="18"/>
              </w:rPr>
            </w:pPr>
            <w:r w:rsidRPr="001D41EA">
              <w:rPr>
                <w:rFonts w:cs="Arial"/>
                <w:sz w:val="18"/>
                <w:szCs w:val="18"/>
              </w:rPr>
              <w:t>2,188,241</w:t>
            </w:r>
          </w:p>
        </w:tc>
        <w:tc>
          <w:tcPr>
            <w:tcW w:w="1361" w:type="dxa"/>
            <w:tcBorders>
              <w:top w:val="nil"/>
              <w:left w:val="nil"/>
              <w:bottom w:val="nil"/>
              <w:right w:val="nil"/>
            </w:tcBorders>
            <w:shd w:val="clear" w:color="auto" w:fill="auto"/>
            <w:vAlign w:val="bottom"/>
          </w:tcPr>
          <w:p w14:paraId="6A621B7D" w14:textId="6466BD7B" w:rsidR="009F0AF7" w:rsidRPr="001D41EA" w:rsidRDefault="009F0AF7" w:rsidP="001D41EA">
            <w:pPr>
              <w:spacing w:before="40" w:after="40"/>
              <w:jc w:val="right"/>
              <w:rPr>
                <w:rFonts w:cs="Arial"/>
                <w:sz w:val="18"/>
                <w:szCs w:val="18"/>
              </w:rPr>
            </w:pPr>
            <w:r w:rsidRPr="001D41EA">
              <w:rPr>
                <w:rFonts w:cs="Arial"/>
                <w:sz w:val="18"/>
                <w:szCs w:val="18"/>
              </w:rPr>
              <w:t>1,626,124</w:t>
            </w:r>
          </w:p>
        </w:tc>
        <w:tc>
          <w:tcPr>
            <w:tcW w:w="1361" w:type="dxa"/>
            <w:tcBorders>
              <w:top w:val="nil"/>
              <w:left w:val="nil"/>
              <w:bottom w:val="nil"/>
              <w:right w:val="nil"/>
            </w:tcBorders>
            <w:vAlign w:val="bottom"/>
          </w:tcPr>
          <w:p w14:paraId="50C56B5E" w14:textId="547FFC03" w:rsidR="009F0AF7" w:rsidRPr="001D41EA" w:rsidRDefault="009F0AF7" w:rsidP="001D41EA">
            <w:pPr>
              <w:spacing w:before="40" w:after="40"/>
              <w:jc w:val="right"/>
              <w:rPr>
                <w:rFonts w:cs="Arial"/>
                <w:sz w:val="18"/>
                <w:szCs w:val="18"/>
              </w:rPr>
            </w:pPr>
            <w:r w:rsidRPr="001D41EA">
              <w:rPr>
                <w:rFonts w:cs="Arial"/>
                <w:sz w:val="18"/>
                <w:szCs w:val="18"/>
              </w:rPr>
              <w:t>1,473,274</w:t>
            </w:r>
          </w:p>
        </w:tc>
        <w:tc>
          <w:tcPr>
            <w:tcW w:w="1361" w:type="dxa"/>
            <w:tcBorders>
              <w:top w:val="nil"/>
              <w:left w:val="nil"/>
              <w:bottom w:val="nil"/>
              <w:right w:val="nil"/>
            </w:tcBorders>
            <w:vAlign w:val="bottom"/>
          </w:tcPr>
          <w:p w14:paraId="40B4D0A3" w14:textId="4CF3E13F" w:rsidR="009F0AF7" w:rsidRPr="001D41EA" w:rsidRDefault="009F0AF7" w:rsidP="001D41EA">
            <w:pPr>
              <w:spacing w:before="40" w:after="40"/>
              <w:jc w:val="right"/>
              <w:rPr>
                <w:rFonts w:cs="Arial"/>
                <w:sz w:val="18"/>
                <w:szCs w:val="18"/>
              </w:rPr>
            </w:pPr>
            <w:r w:rsidRPr="001D41EA">
              <w:rPr>
                <w:rFonts w:cs="Arial"/>
                <w:sz w:val="18"/>
                <w:szCs w:val="18"/>
              </w:rPr>
              <w:t>2,962,260</w:t>
            </w:r>
          </w:p>
        </w:tc>
        <w:tc>
          <w:tcPr>
            <w:tcW w:w="1361" w:type="dxa"/>
            <w:tcBorders>
              <w:top w:val="nil"/>
              <w:left w:val="nil"/>
              <w:bottom w:val="nil"/>
              <w:right w:val="nil"/>
            </w:tcBorders>
            <w:shd w:val="clear" w:color="auto" w:fill="auto"/>
            <w:vAlign w:val="bottom"/>
          </w:tcPr>
          <w:p w14:paraId="73B4CEBC" w14:textId="431505C7" w:rsidR="009F0AF7" w:rsidRPr="001D41EA" w:rsidRDefault="009F0AF7" w:rsidP="001D41EA">
            <w:pPr>
              <w:spacing w:before="40" w:after="40"/>
              <w:jc w:val="right"/>
              <w:rPr>
                <w:rFonts w:cs="Arial"/>
                <w:sz w:val="18"/>
                <w:szCs w:val="18"/>
              </w:rPr>
            </w:pPr>
            <w:r w:rsidRPr="001D41EA">
              <w:rPr>
                <w:rFonts w:cs="Arial"/>
                <w:sz w:val="18"/>
                <w:szCs w:val="18"/>
              </w:rPr>
              <w:t>1,525,275</w:t>
            </w:r>
          </w:p>
        </w:tc>
      </w:tr>
      <w:tr w:rsidR="009F0AF7" w:rsidRPr="001D41EA" w14:paraId="714B33CE"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A80D314" w14:textId="77777777" w:rsidR="009F0AF7" w:rsidRPr="001D41EA" w:rsidRDefault="009F0AF7" w:rsidP="001D41EA">
            <w:pPr>
              <w:spacing w:before="40" w:after="40"/>
              <w:rPr>
                <w:rFonts w:cs="Arial"/>
                <w:sz w:val="18"/>
                <w:szCs w:val="18"/>
              </w:rPr>
            </w:pPr>
            <w:r w:rsidRPr="001D41EA">
              <w:rPr>
                <w:rFonts w:cs="Arial"/>
                <w:sz w:val="18"/>
                <w:szCs w:val="18"/>
              </w:rPr>
              <w:t>Bass Coast S</w:t>
            </w:r>
          </w:p>
        </w:tc>
        <w:tc>
          <w:tcPr>
            <w:tcW w:w="1361" w:type="dxa"/>
            <w:tcBorders>
              <w:top w:val="nil"/>
              <w:left w:val="single" w:sz="18" w:space="0" w:color="5F497A" w:themeColor="accent4" w:themeShade="BF"/>
              <w:bottom w:val="nil"/>
              <w:right w:val="nil"/>
            </w:tcBorders>
            <w:shd w:val="clear" w:color="auto" w:fill="auto"/>
            <w:vAlign w:val="bottom"/>
          </w:tcPr>
          <w:p w14:paraId="5B2E7850" w14:textId="188B7F9B" w:rsidR="009F0AF7" w:rsidRPr="001D41EA" w:rsidRDefault="009F0AF7" w:rsidP="001D41EA">
            <w:pPr>
              <w:spacing w:before="40" w:after="40"/>
              <w:jc w:val="right"/>
              <w:rPr>
                <w:rFonts w:cs="Arial"/>
                <w:sz w:val="18"/>
                <w:szCs w:val="18"/>
              </w:rPr>
            </w:pPr>
            <w:r w:rsidRPr="001D41EA">
              <w:rPr>
                <w:rFonts w:cs="Arial"/>
                <w:sz w:val="18"/>
                <w:szCs w:val="18"/>
              </w:rPr>
              <w:t>593,564</w:t>
            </w:r>
          </w:p>
        </w:tc>
        <w:tc>
          <w:tcPr>
            <w:tcW w:w="1361" w:type="dxa"/>
            <w:tcBorders>
              <w:top w:val="nil"/>
              <w:left w:val="nil"/>
              <w:bottom w:val="nil"/>
              <w:right w:val="nil"/>
            </w:tcBorders>
            <w:shd w:val="clear" w:color="auto" w:fill="auto"/>
            <w:vAlign w:val="bottom"/>
          </w:tcPr>
          <w:p w14:paraId="20CA6AEF" w14:textId="3AAB2EC2" w:rsidR="009F0AF7" w:rsidRPr="001D41EA" w:rsidRDefault="009F0AF7" w:rsidP="001D41EA">
            <w:pPr>
              <w:spacing w:before="40" w:after="40"/>
              <w:jc w:val="right"/>
              <w:rPr>
                <w:rFonts w:cs="Arial"/>
                <w:sz w:val="18"/>
                <w:szCs w:val="18"/>
              </w:rPr>
            </w:pPr>
            <w:r w:rsidRPr="001D41EA">
              <w:rPr>
                <w:rFonts w:cs="Arial"/>
                <w:sz w:val="18"/>
                <w:szCs w:val="18"/>
              </w:rPr>
              <w:t>337,855</w:t>
            </w:r>
          </w:p>
        </w:tc>
        <w:tc>
          <w:tcPr>
            <w:tcW w:w="1361" w:type="dxa"/>
            <w:tcBorders>
              <w:top w:val="nil"/>
              <w:left w:val="nil"/>
              <w:bottom w:val="nil"/>
              <w:right w:val="nil"/>
            </w:tcBorders>
            <w:vAlign w:val="bottom"/>
          </w:tcPr>
          <w:p w14:paraId="10750C73" w14:textId="542D8CF6" w:rsidR="009F0AF7" w:rsidRPr="001D41EA" w:rsidRDefault="009F0AF7" w:rsidP="001D41EA">
            <w:pPr>
              <w:spacing w:before="40" w:after="40"/>
              <w:jc w:val="right"/>
              <w:rPr>
                <w:rFonts w:cs="Arial"/>
                <w:sz w:val="18"/>
                <w:szCs w:val="18"/>
              </w:rPr>
            </w:pPr>
            <w:r w:rsidRPr="001D41EA">
              <w:rPr>
                <w:rFonts w:cs="Arial"/>
                <w:sz w:val="18"/>
                <w:szCs w:val="18"/>
              </w:rPr>
              <w:t>466,351</w:t>
            </w:r>
          </w:p>
        </w:tc>
        <w:tc>
          <w:tcPr>
            <w:tcW w:w="1361" w:type="dxa"/>
            <w:tcBorders>
              <w:top w:val="nil"/>
              <w:left w:val="nil"/>
              <w:bottom w:val="nil"/>
              <w:right w:val="nil"/>
            </w:tcBorders>
            <w:vAlign w:val="bottom"/>
          </w:tcPr>
          <w:p w14:paraId="756B3F09" w14:textId="728593F4" w:rsidR="009F0AF7" w:rsidRPr="001D41EA" w:rsidRDefault="009F0AF7" w:rsidP="001D41EA">
            <w:pPr>
              <w:spacing w:before="40" w:after="40"/>
              <w:jc w:val="right"/>
              <w:rPr>
                <w:rFonts w:cs="Arial"/>
                <w:sz w:val="18"/>
                <w:szCs w:val="18"/>
              </w:rPr>
            </w:pPr>
            <w:r w:rsidRPr="001D41EA">
              <w:rPr>
                <w:rFonts w:cs="Arial"/>
                <w:sz w:val="18"/>
                <w:szCs w:val="18"/>
              </w:rPr>
              <w:t>803,518</w:t>
            </w:r>
          </w:p>
        </w:tc>
        <w:tc>
          <w:tcPr>
            <w:tcW w:w="1361" w:type="dxa"/>
            <w:tcBorders>
              <w:top w:val="nil"/>
              <w:left w:val="nil"/>
              <w:bottom w:val="nil"/>
              <w:right w:val="nil"/>
            </w:tcBorders>
            <w:shd w:val="clear" w:color="auto" w:fill="auto"/>
            <w:vAlign w:val="bottom"/>
          </w:tcPr>
          <w:p w14:paraId="2E5E435E" w14:textId="0989E8A3" w:rsidR="009F0AF7" w:rsidRPr="001D41EA" w:rsidRDefault="009F0AF7" w:rsidP="001D41EA">
            <w:pPr>
              <w:spacing w:before="40" w:after="40"/>
              <w:jc w:val="right"/>
              <w:rPr>
                <w:rFonts w:cs="Arial"/>
                <w:sz w:val="18"/>
                <w:szCs w:val="18"/>
              </w:rPr>
            </w:pPr>
            <w:r w:rsidRPr="001D41EA">
              <w:rPr>
                <w:rFonts w:cs="Arial"/>
                <w:sz w:val="18"/>
                <w:szCs w:val="18"/>
              </w:rPr>
              <w:t>815,129</w:t>
            </w:r>
          </w:p>
        </w:tc>
      </w:tr>
      <w:tr w:rsidR="009F0AF7" w:rsidRPr="001D41EA" w14:paraId="5CD83E1F"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D0F4AB0" w14:textId="77777777" w:rsidR="009F0AF7" w:rsidRPr="001D41EA" w:rsidRDefault="009F0AF7" w:rsidP="001D41EA">
            <w:pPr>
              <w:spacing w:before="40" w:after="40"/>
              <w:rPr>
                <w:rFonts w:cs="Arial"/>
                <w:sz w:val="18"/>
                <w:szCs w:val="18"/>
              </w:rPr>
            </w:pPr>
            <w:r w:rsidRPr="001D41EA">
              <w:rPr>
                <w:rFonts w:cs="Arial"/>
                <w:sz w:val="18"/>
                <w:szCs w:val="18"/>
              </w:rPr>
              <w:t>Baw Baw S</w:t>
            </w:r>
          </w:p>
        </w:tc>
        <w:tc>
          <w:tcPr>
            <w:tcW w:w="1361" w:type="dxa"/>
            <w:tcBorders>
              <w:top w:val="nil"/>
              <w:left w:val="single" w:sz="18" w:space="0" w:color="5F497A" w:themeColor="accent4" w:themeShade="BF"/>
              <w:bottom w:val="nil"/>
              <w:right w:val="nil"/>
            </w:tcBorders>
            <w:shd w:val="clear" w:color="auto" w:fill="auto"/>
            <w:vAlign w:val="bottom"/>
          </w:tcPr>
          <w:p w14:paraId="7EB12EA8" w14:textId="0AAE6566" w:rsidR="009F0AF7" w:rsidRPr="001D41EA" w:rsidRDefault="009F0AF7" w:rsidP="001D41EA">
            <w:pPr>
              <w:spacing w:before="40" w:after="40"/>
              <w:jc w:val="right"/>
              <w:rPr>
                <w:rFonts w:cs="Arial"/>
                <w:sz w:val="18"/>
                <w:szCs w:val="18"/>
              </w:rPr>
            </w:pPr>
            <w:r w:rsidRPr="001D41EA">
              <w:rPr>
                <w:rFonts w:cs="Arial"/>
                <w:sz w:val="18"/>
                <w:szCs w:val="18"/>
              </w:rPr>
              <w:t>875,569</w:t>
            </w:r>
          </w:p>
        </w:tc>
        <w:tc>
          <w:tcPr>
            <w:tcW w:w="1361" w:type="dxa"/>
            <w:tcBorders>
              <w:top w:val="nil"/>
              <w:left w:val="nil"/>
              <w:bottom w:val="nil"/>
              <w:right w:val="nil"/>
            </w:tcBorders>
            <w:shd w:val="clear" w:color="auto" w:fill="auto"/>
            <w:vAlign w:val="bottom"/>
          </w:tcPr>
          <w:p w14:paraId="6E57D272" w14:textId="5F74A5A9" w:rsidR="009F0AF7" w:rsidRPr="001D41EA" w:rsidRDefault="009F0AF7" w:rsidP="001D41EA">
            <w:pPr>
              <w:spacing w:before="40" w:after="40"/>
              <w:jc w:val="right"/>
              <w:rPr>
                <w:rFonts w:cs="Arial"/>
                <w:sz w:val="18"/>
                <w:szCs w:val="18"/>
              </w:rPr>
            </w:pPr>
            <w:r w:rsidRPr="001D41EA">
              <w:rPr>
                <w:rFonts w:cs="Arial"/>
                <w:sz w:val="18"/>
                <w:szCs w:val="18"/>
              </w:rPr>
              <w:t>550,285</w:t>
            </w:r>
          </w:p>
        </w:tc>
        <w:tc>
          <w:tcPr>
            <w:tcW w:w="1361" w:type="dxa"/>
            <w:tcBorders>
              <w:top w:val="nil"/>
              <w:left w:val="nil"/>
              <w:bottom w:val="nil"/>
              <w:right w:val="nil"/>
            </w:tcBorders>
            <w:vAlign w:val="bottom"/>
          </w:tcPr>
          <w:p w14:paraId="3A316383" w14:textId="190439A9" w:rsidR="009F0AF7" w:rsidRPr="001D41EA" w:rsidRDefault="009F0AF7" w:rsidP="001D41EA">
            <w:pPr>
              <w:spacing w:before="40" w:after="40"/>
              <w:jc w:val="right"/>
              <w:rPr>
                <w:rFonts w:cs="Arial"/>
                <w:sz w:val="18"/>
                <w:szCs w:val="18"/>
              </w:rPr>
            </w:pPr>
            <w:r w:rsidRPr="001D41EA">
              <w:rPr>
                <w:rFonts w:cs="Arial"/>
                <w:sz w:val="18"/>
                <w:szCs w:val="18"/>
              </w:rPr>
              <w:t>559,250</w:t>
            </w:r>
          </w:p>
        </w:tc>
        <w:tc>
          <w:tcPr>
            <w:tcW w:w="1361" w:type="dxa"/>
            <w:tcBorders>
              <w:top w:val="nil"/>
              <w:left w:val="nil"/>
              <w:bottom w:val="nil"/>
              <w:right w:val="nil"/>
            </w:tcBorders>
            <w:vAlign w:val="bottom"/>
          </w:tcPr>
          <w:p w14:paraId="13C37B6C" w14:textId="5224C622" w:rsidR="009F0AF7" w:rsidRPr="001D41EA" w:rsidRDefault="009F0AF7" w:rsidP="001D41EA">
            <w:pPr>
              <w:spacing w:before="40" w:after="40"/>
              <w:jc w:val="right"/>
              <w:rPr>
                <w:rFonts w:cs="Arial"/>
                <w:sz w:val="18"/>
                <w:szCs w:val="18"/>
              </w:rPr>
            </w:pPr>
            <w:r w:rsidRPr="001D41EA">
              <w:rPr>
                <w:rFonts w:cs="Arial"/>
                <w:sz w:val="18"/>
                <w:szCs w:val="18"/>
              </w:rPr>
              <w:t>1,185,273</w:t>
            </w:r>
          </w:p>
        </w:tc>
        <w:tc>
          <w:tcPr>
            <w:tcW w:w="1361" w:type="dxa"/>
            <w:tcBorders>
              <w:top w:val="nil"/>
              <w:left w:val="nil"/>
              <w:bottom w:val="nil"/>
              <w:right w:val="nil"/>
            </w:tcBorders>
            <w:shd w:val="clear" w:color="auto" w:fill="auto"/>
            <w:vAlign w:val="bottom"/>
          </w:tcPr>
          <w:p w14:paraId="4D62A81D" w14:textId="67D1F9F7" w:rsidR="009F0AF7" w:rsidRPr="001D41EA" w:rsidRDefault="009F0AF7" w:rsidP="001D41EA">
            <w:pPr>
              <w:spacing w:before="40" w:after="40"/>
              <w:jc w:val="right"/>
              <w:rPr>
                <w:rFonts w:cs="Arial"/>
                <w:sz w:val="18"/>
                <w:szCs w:val="18"/>
              </w:rPr>
            </w:pPr>
            <w:r w:rsidRPr="001D41EA">
              <w:rPr>
                <w:rFonts w:cs="Arial"/>
                <w:sz w:val="18"/>
                <w:szCs w:val="18"/>
              </w:rPr>
              <w:t>661,558</w:t>
            </w:r>
          </w:p>
        </w:tc>
      </w:tr>
      <w:tr w:rsidR="009F0AF7" w:rsidRPr="001D41EA" w14:paraId="716134C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ED40014" w14:textId="77777777" w:rsidR="009F0AF7" w:rsidRPr="001D41EA" w:rsidRDefault="009F0AF7" w:rsidP="001D41EA">
            <w:pPr>
              <w:spacing w:before="40" w:after="40"/>
              <w:rPr>
                <w:rFonts w:cs="Arial"/>
                <w:sz w:val="18"/>
                <w:szCs w:val="18"/>
              </w:rPr>
            </w:pPr>
            <w:r w:rsidRPr="001D41EA">
              <w:rPr>
                <w:rFonts w:cs="Arial"/>
                <w:sz w:val="18"/>
                <w:szCs w:val="18"/>
              </w:rPr>
              <w:t>Bayside C</w:t>
            </w:r>
          </w:p>
        </w:tc>
        <w:tc>
          <w:tcPr>
            <w:tcW w:w="1361" w:type="dxa"/>
            <w:tcBorders>
              <w:top w:val="nil"/>
              <w:left w:val="single" w:sz="18" w:space="0" w:color="5F497A" w:themeColor="accent4" w:themeShade="BF"/>
              <w:bottom w:val="nil"/>
              <w:right w:val="nil"/>
            </w:tcBorders>
            <w:shd w:val="clear" w:color="auto" w:fill="auto"/>
            <w:vAlign w:val="bottom"/>
          </w:tcPr>
          <w:p w14:paraId="5613F0C8" w14:textId="7D6F5CFB" w:rsidR="009F0AF7" w:rsidRPr="001D41EA" w:rsidRDefault="009F0AF7" w:rsidP="001D41EA">
            <w:pPr>
              <w:spacing w:before="40" w:after="40"/>
              <w:jc w:val="right"/>
              <w:rPr>
                <w:rFonts w:cs="Arial"/>
                <w:sz w:val="18"/>
                <w:szCs w:val="18"/>
              </w:rPr>
            </w:pPr>
            <w:r w:rsidRPr="001D41EA">
              <w:rPr>
                <w:rFonts w:cs="Arial"/>
                <w:sz w:val="18"/>
                <w:szCs w:val="18"/>
              </w:rPr>
              <w:t>1,776,273</w:t>
            </w:r>
          </w:p>
        </w:tc>
        <w:tc>
          <w:tcPr>
            <w:tcW w:w="1361" w:type="dxa"/>
            <w:tcBorders>
              <w:top w:val="nil"/>
              <w:left w:val="nil"/>
              <w:bottom w:val="nil"/>
              <w:right w:val="nil"/>
            </w:tcBorders>
            <w:shd w:val="clear" w:color="auto" w:fill="auto"/>
            <w:vAlign w:val="bottom"/>
          </w:tcPr>
          <w:p w14:paraId="560909B0" w14:textId="344F0ABC" w:rsidR="009F0AF7" w:rsidRPr="001D41EA" w:rsidRDefault="009F0AF7" w:rsidP="001D41EA">
            <w:pPr>
              <w:spacing w:before="40" w:after="40"/>
              <w:jc w:val="right"/>
              <w:rPr>
                <w:rFonts w:cs="Arial"/>
                <w:sz w:val="18"/>
                <w:szCs w:val="18"/>
              </w:rPr>
            </w:pPr>
            <w:r w:rsidRPr="001D41EA">
              <w:rPr>
                <w:rFonts w:cs="Arial"/>
                <w:sz w:val="18"/>
                <w:szCs w:val="18"/>
              </w:rPr>
              <w:t>1,467,427</w:t>
            </w:r>
          </w:p>
        </w:tc>
        <w:tc>
          <w:tcPr>
            <w:tcW w:w="1361" w:type="dxa"/>
            <w:tcBorders>
              <w:top w:val="nil"/>
              <w:left w:val="nil"/>
              <w:bottom w:val="nil"/>
              <w:right w:val="nil"/>
            </w:tcBorders>
            <w:vAlign w:val="bottom"/>
          </w:tcPr>
          <w:p w14:paraId="33C58765" w14:textId="575BAA62" w:rsidR="009F0AF7" w:rsidRPr="001D41EA" w:rsidRDefault="009F0AF7" w:rsidP="001D41EA">
            <w:pPr>
              <w:spacing w:before="40" w:after="40"/>
              <w:jc w:val="right"/>
              <w:rPr>
                <w:rFonts w:cs="Arial"/>
                <w:sz w:val="18"/>
                <w:szCs w:val="18"/>
              </w:rPr>
            </w:pPr>
            <w:r w:rsidRPr="001D41EA">
              <w:rPr>
                <w:rFonts w:cs="Arial"/>
                <w:sz w:val="18"/>
                <w:szCs w:val="18"/>
              </w:rPr>
              <w:t>1,483,944</w:t>
            </w:r>
          </w:p>
        </w:tc>
        <w:tc>
          <w:tcPr>
            <w:tcW w:w="1361" w:type="dxa"/>
            <w:tcBorders>
              <w:top w:val="nil"/>
              <w:left w:val="nil"/>
              <w:bottom w:val="nil"/>
              <w:right w:val="nil"/>
            </w:tcBorders>
            <w:vAlign w:val="bottom"/>
          </w:tcPr>
          <w:p w14:paraId="3BE7FB18" w14:textId="72A45481" w:rsidR="009F0AF7" w:rsidRPr="001D41EA" w:rsidRDefault="009F0AF7" w:rsidP="001D41EA">
            <w:pPr>
              <w:spacing w:before="40" w:after="40"/>
              <w:jc w:val="right"/>
              <w:rPr>
                <w:rFonts w:cs="Arial"/>
                <w:sz w:val="18"/>
                <w:szCs w:val="18"/>
              </w:rPr>
            </w:pPr>
            <w:r w:rsidRPr="001D41EA">
              <w:rPr>
                <w:rFonts w:cs="Arial"/>
                <w:sz w:val="18"/>
                <w:szCs w:val="18"/>
              </w:rPr>
              <w:t>2,404,572</w:t>
            </w:r>
          </w:p>
        </w:tc>
        <w:tc>
          <w:tcPr>
            <w:tcW w:w="1361" w:type="dxa"/>
            <w:tcBorders>
              <w:top w:val="nil"/>
              <w:left w:val="nil"/>
              <w:bottom w:val="nil"/>
              <w:right w:val="nil"/>
            </w:tcBorders>
            <w:shd w:val="clear" w:color="auto" w:fill="auto"/>
            <w:vAlign w:val="bottom"/>
          </w:tcPr>
          <w:p w14:paraId="4D98938C" w14:textId="254AD013" w:rsidR="009F0AF7" w:rsidRPr="001D41EA" w:rsidRDefault="009F0AF7" w:rsidP="001D41EA">
            <w:pPr>
              <w:spacing w:before="40" w:after="40"/>
              <w:jc w:val="right"/>
              <w:rPr>
                <w:rFonts w:cs="Arial"/>
                <w:sz w:val="18"/>
                <w:szCs w:val="18"/>
              </w:rPr>
            </w:pPr>
            <w:r w:rsidRPr="001D41EA">
              <w:rPr>
                <w:rFonts w:cs="Arial"/>
                <w:sz w:val="18"/>
                <w:szCs w:val="18"/>
              </w:rPr>
              <w:t>1,259,129</w:t>
            </w:r>
          </w:p>
        </w:tc>
      </w:tr>
      <w:tr w:rsidR="009F0AF7" w:rsidRPr="001D41EA" w14:paraId="32471ADE"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9339F99" w14:textId="77777777" w:rsidR="009F0AF7" w:rsidRPr="001D41EA" w:rsidRDefault="009F0AF7" w:rsidP="001D41EA">
            <w:pPr>
              <w:spacing w:before="40" w:after="40"/>
              <w:rPr>
                <w:rFonts w:cs="Arial"/>
                <w:sz w:val="18"/>
                <w:szCs w:val="18"/>
              </w:rPr>
            </w:pPr>
            <w:r w:rsidRPr="001D41EA">
              <w:rPr>
                <w:rFonts w:cs="Arial"/>
                <w:sz w:val="18"/>
                <w:szCs w:val="18"/>
              </w:rPr>
              <w:t>Benalla RC</w:t>
            </w:r>
          </w:p>
        </w:tc>
        <w:tc>
          <w:tcPr>
            <w:tcW w:w="1361" w:type="dxa"/>
            <w:tcBorders>
              <w:top w:val="nil"/>
              <w:left w:val="single" w:sz="18" w:space="0" w:color="5F497A" w:themeColor="accent4" w:themeShade="BF"/>
              <w:bottom w:val="nil"/>
              <w:right w:val="nil"/>
            </w:tcBorders>
            <w:shd w:val="clear" w:color="auto" w:fill="auto"/>
            <w:vAlign w:val="bottom"/>
          </w:tcPr>
          <w:p w14:paraId="0C7E85A1" w14:textId="421D4271" w:rsidR="009F0AF7" w:rsidRPr="001D41EA" w:rsidRDefault="009F0AF7" w:rsidP="001D41EA">
            <w:pPr>
              <w:spacing w:before="40" w:after="40"/>
              <w:jc w:val="right"/>
              <w:rPr>
                <w:rFonts w:cs="Arial"/>
                <w:sz w:val="18"/>
                <w:szCs w:val="18"/>
              </w:rPr>
            </w:pPr>
            <w:r w:rsidRPr="001D41EA">
              <w:rPr>
                <w:rFonts w:cs="Arial"/>
                <w:sz w:val="18"/>
                <w:szCs w:val="18"/>
              </w:rPr>
              <w:t>235,631</w:t>
            </w:r>
          </w:p>
        </w:tc>
        <w:tc>
          <w:tcPr>
            <w:tcW w:w="1361" w:type="dxa"/>
            <w:tcBorders>
              <w:top w:val="nil"/>
              <w:left w:val="nil"/>
              <w:bottom w:val="nil"/>
              <w:right w:val="nil"/>
            </w:tcBorders>
            <w:shd w:val="clear" w:color="auto" w:fill="auto"/>
            <w:vAlign w:val="bottom"/>
          </w:tcPr>
          <w:p w14:paraId="6CD92B2E" w14:textId="778AC536" w:rsidR="009F0AF7" w:rsidRPr="001D41EA" w:rsidRDefault="009F0AF7" w:rsidP="001D41EA">
            <w:pPr>
              <w:spacing w:before="40" w:after="40"/>
              <w:jc w:val="right"/>
              <w:rPr>
                <w:rFonts w:cs="Arial"/>
                <w:sz w:val="18"/>
                <w:szCs w:val="18"/>
              </w:rPr>
            </w:pPr>
            <w:r w:rsidRPr="001D41EA">
              <w:rPr>
                <w:rFonts w:cs="Arial"/>
                <w:sz w:val="18"/>
                <w:szCs w:val="18"/>
              </w:rPr>
              <w:t>126,670</w:t>
            </w:r>
          </w:p>
        </w:tc>
        <w:tc>
          <w:tcPr>
            <w:tcW w:w="1361" w:type="dxa"/>
            <w:tcBorders>
              <w:top w:val="nil"/>
              <w:left w:val="nil"/>
              <w:bottom w:val="nil"/>
              <w:right w:val="nil"/>
            </w:tcBorders>
            <w:vAlign w:val="bottom"/>
          </w:tcPr>
          <w:p w14:paraId="625A7EAB" w14:textId="21BC927E" w:rsidR="009F0AF7" w:rsidRPr="001D41EA" w:rsidRDefault="009F0AF7" w:rsidP="001D41EA">
            <w:pPr>
              <w:spacing w:before="40" w:after="40"/>
              <w:jc w:val="right"/>
              <w:rPr>
                <w:rFonts w:cs="Arial"/>
                <w:sz w:val="18"/>
                <w:szCs w:val="18"/>
              </w:rPr>
            </w:pPr>
            <w:r w:rsidRPr="001D41EA">
              <w:rPr>
                <w:rFonts w:cs="Arial"/>
                <w:sz w:val="18"/>
                <w:szCs w:val="18"/>
              </w:rPr>
              <w:t>185,226</w:t>
            </w:r>
          </w:p>
        </w:tc>
        <w:tc>
          <w:tcPr>
            <w:tcW w:w="1361" w:type="dxa"/>
            <w:tcBorders>
              <w:top w:val="nil"/>
              <w:left w:val="nil"/>
              <w:bottom w:val="nil"/>
              <w:right w:val="nil"/>
            </w:tcBorders>
            <w:vAlign w:val="bottom"/>
          </w:tcPr>
          <w:p w14:paraId="44BA42CF" w14:textId="5A4CB893" w:rsidR="009F0AF7" w:rsidRPr="001D41EA" w:rsidRDefault="009F0AF7" w:rsidP="001D41EA">
            <w:pPr>
              <w:spacing w:before="40" w:after="40"/>
              <w:jc w:val="right"/>
              <w:rPr>
                <w:rFonts w:cs="Arial"/>
                <w:sz w:val="18"/>
                <w:szCs w:val="18"/>
              </w:rPr>
            </w:pPr>
            <w:r w:rsidRPr="001D41EA">
              <w:rPr>
                <w:rFonts w:cs="Arial"/>
                <w:sz w:val="18"/>
                <w:szCs w:val="18"/>
              </w:rPr>
              <w:t>318,978</w:t>
            </w:r>
          </w:p>
        </w:tc>
        <w:tc>
          <w:tcPr>
            <w:tcW w:w="1361" w:type="dxa"/>
            <w:tcBorders>
              <w:top w:val="nil"/>
              <w:left w:val="nil"/>
              <w:bottom w:val="nil"/>
              <w:right w:val="nil"/>
            </w:tcBorders>
            <w:shd w:val="clear" w:color="auto" w:fill="auto"/>
            <w:vAlign w:val="bottom"/>
          </w:tcPr>
          <w:p w14:paraId="38A1CD20" w14:textId="4C51C036" w:rsidR="009F0AF7" w:rsidRPr="001D41EA" w:rsidRDefault="009F0AF7" w:rsidP="001D41EA">
            <w:pPr>
              <w:spacing w:before="40" w:after="40"/>
              <w:jc w:val="right"/>
              <w:rPr>
                <w:rFonts w:cs="Arial"/>
                <w:sz w:val="18"/>
                <w:szCs w:val="18"/>
              </w:rPr>
            </w:pPr>
            <w:r w:rsidRPr="001D41EA">
              <w:rPr>
                <w:rFonts w:cs="Arial"/>
                <w:sz w:val="18"/>
                <w:szCs w:val="18"/>
              </w:rPr>
              <w:t>203,390</w:t>
            </w:r>
          </w:p>
        </w:tc>
      </w:tr>
      <w:tr w:rsidR="009F0AF7" w:rsidRPr="001D41EA" w14:paraId="2A5CD13B"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DE931C" w14:textId="77777777" w:rsidR="009F0AF7" w:rsidRPr="001D41EA" w:rsidRDefault="009F0AF7" w:rsidP="001D41EA">
            <w:pPr>
              <w:spacing w:before="40" w:after="40"/>
              <w:rPr>
                <w:rFonts w:cs="Arial"/>
                <w:sz w:val="18"/>
                <w:szCs w:val="18"/>
              </w:rPr>
            </w:pPr>
            <w:r w:rsidRPr="001D41EA">
              <w:rPr>
                <w:rFonts w:cs="Arial"/>
                <w:sz w:val="18"/>
                <w:szCs w:val="18"/>
              </w:rPr>
              <w:t>Boroondara C</w:t>
            </w:r>
          </w:p>
        </w:tc>
        <w:tc>
          <w:tcPr>
            <w:tcW w:w="1361" w:type="dxa"/>
            <w:tcBorders>
              <w:top w:val="nil"/>
              <w:left w:val="single" w:sz="18" w:space="0" w:color="5F497A" w:themeColor="accent4" w:themeShade="BF"/>
              <w:bottom w:val="nil"/>
              <w:right w:val="nil"/>
            </w:tcBorders>
            <w:shd w:val="clear" w:color="auto" w:fill="auto"/>
            <w:vAlign w:val="bottom"/>
          </w:tcPr>
          <w:p w14:paraId="31BE788F" w14:textId="7747A52A" w:rsidR="009F0AF7" w:rsidRPr="001D41EA" w:rsidRDefault="009F0AF7" w:rsidP="001D41EA">
            <w:pPr>
              <w:spacing w:before="40" w:after="40"/>
              <w:jc w:val="right"/>
              <w:rPr>
                <w:rFonts w:cs="Arial"/>
                <w:sz w:val="18"/>
                <w:szCs w:val="18"/>
              </w:rPr>
            </w:pPr>
            <w:r w:rsidRPr="001D41EA">
              <w:rPr>
                <w:rFonts w:cs="Arial"/>
                <w:sz w:val="18"/>
                <w:szCs w:val="18"/>
              </w:rPr>
              <w:t>3,046,016</w:t>
            </w:r>
          </w:p>
        </w:tc>
        <w:tc>
          <w:tcPr>
            <w:tcW w:w="1361" w:type="dxa"/>
            <w:tcBorders>
              <w:top w:val="nil"/>
              <w:left w:val="nil"/>
              <w:bottom w:val="nil"/>
              <w:right w:val="nil"/>
            </w:tcBorders>
            <w:shd w:val="clear" w:color="auto" w:fill="auto"/>
            <w:vAlign w:val="bottom"/>
          </w:tcPr>
          <w:p w14:paraId="7323C244" w14:textId="12983C63" w:rsidR="009F0AF7" w:rsidRPr="001D41EA" w:rsidRDefault="009F0AF7" w:rsidP="001D41EA">
            <w:pPr>
              <w:spacing w:before="40" w:after="40"/>
              <w:jc w:val="right"/>
              <w:rPr>
                <w:rFonts w:cs="Arial"/>
                <w:sz w:val="18"/>
                <w:szCs w:val="18"/>
              </w:rPr>
            </w:pPr>
            <w:r w:rsidRPr="001D41EA">
              <w:rPr>
                <w:rFonts w:cs="Arial"/>
                <w:sz w:val="18"/>
                <w:szCs w:val="18"/>
              </w:rPr>
              <w:t>2,516,396</w:t>
            </w:r>
          </w:p>
        </w:tc>
        <w:tc>
          <w:tcPr>
            <w:tcW w:w="1361" w:type="dxa"/>
            <w:tcBorders>
              <w:top w:val="nil"/>
              <w:left w:val="nil"/>
              <w:bottom w:val="nil"/>
              <w:right w:val="nil"/>
            </w:tcBorders>
            <w:vAlign w:val="bottom"/>
          </w:tcPr>
          <w:p w14:paraId="3DE08D02" w14:textId="75516CD1" w:rsidR="009F0AF7" w:rsidRPr="001D41EA" w:rsidRDefault="009F0AF7" w:rsidP="001D41EA">
            <w:pPr>
              <w:spacing w:before="40" w:after="40"/>
              <w:jc w:val="right"/>
              <w:rPr>
                <w:rFonts w:cs="Arial"/>
                <w:sz w:val="18"/>
                <w:szCs w:val="18"/>
              </w:rPr>
            </w:pPr>
            <w:r w:rsidRPr="001D41EA">
              <w:rPr>
                <w:rFonts w:cs="Arial"/>
                <w:sz w:val="18"/>
                <w:szCs w:val="18"/>
              </w:rPr>
              <w:t>2,436,820</w:t>
            </w:r>
          </w:p>
        </w:tc>
        <w:tc>
          <w:tcPr>
            <w:tcW w:w="1361" w:type="dxa"/>
            <w:tcBorders>
              <w:top w:val="nil"/>
              <w:left w:val="nil"/>
              <w:bottom w:val="nil"/>
              <w:right w:val="nil"/>
            </w:tcBorders>
            <w:vAlign w:val="bottom"/>
          </w:tcPr>
          <w:p w14:paraId="6A8E6B8D" w14:textId="4FC8795F" w:rsidR="009F0AF7" w:rsidRPr="001D41EA" w:rsidRDefault="009F0AF7" w:rsidP="001D41EA">
            <w:pPr>
              <w:spacing w:before="40" w:after="40"/>
              <w:jc w:val="right"/>
              <w:rPr>
                <w:rFonts w:cs="Arial"/>
                <w:sz w:val="18"/>
                <w:szCs w:val="18"/>
              </w:rPr>
            </w:pPr>
            <w:r w:rsidRPr="001D41EA">
              <w:rPr>
                <w:rFonts w:cs="Arial"/>
                <w:sz w:val="18"/>
                <w:szCs w:val="18"/>
              </w:rPr>
              <w:t>4,123,446</w:t>
            </w:r>
          </w:p>
        </w:tc>
        <w:tc>
          <w:tcPr>
            <w:tcW w:w="1361" w:type="dxa"/>
            <w:tcBorders>
              <w:top w:val="nil"/>
              <w:left w:val="nil"/>
              <w:bottom w:val="nil"/>
              <w:right w:val="nil"/>
            </w:tcBorders>
            <w:shd w:val="clear" w:color="auto" w:fill="auto"/>
            <w:vAlign w:val="bottom"/>
          </w:tcPr>
          <w:p w14:paraId="74C0FAA7" w14:textId="58E51DA2" w:rsidR="009F0AF7" w:rsidRPr="001D41EA" w:rsidRDefault="009F0AF7" w:rsidP="001D41EA">
            <w:pPr>
              <w:spacing w:before="40" w:after="40"/>
              <w:jc w:val="right"/>
              <w:rPr>
                <w:rFonts w:cs="Arial"/>
                <w:sz w:val="18"/>
                <w:szCs w:val="18"/>
              </w:rPr>
            </w:pPr>
            <w:r w:rsidRPr="001D41EA">
              <w:rPr>
                <w:rFonts w:cs="Arial"/>
                <w:sz w:val="18"/>
                <w:szCs w:val="18"/>
              </w:rPr>
              <w:t>2,112,065</w:t>
            </w:r>
          </w:p>
        </w:tc>
      </w:tr>
      <w:tr w:rsidR="009F0AF7" w:rsidRPr="001D41EA" w14:paraId="33D0A2B3"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5D381F3" w14:textId="77777777" w:rsidR="009F0AF7" w:rsidRPr="001D41EA" w:rsidRDefault="009F0AF7" w:rsidP="001D41EA">
            <w:pPr>
              <w:spacing w:before="40" w:after="40"/>
              <w:rPr>
                <w:rFonts w:cs="Arial"/>
                <w:sz w:val="18"/>
                <w:szCs w:val="18"/>
              </w:rPr>
            </w:pPr>
            <w:r w:rsidRPr="001D41EA">
              <w:rPr>
                <w:rFonts w:cs="Arial"/>
                <w:sz w:val="18"/>
                <w:szCs w:val="18"/>
              </w:rPr>
              <w:t>Brimbank C</w:t>
            </w:r>
          </w:p>
        </w:tc>
        <w:tc>
          <w:tcPr>
            <w:tcW w:w="1361" w:type="dxa"/>
            <w:tcBorders>
              <w:top w:val="nil"/>
              <w:left w:val="single" w:sz="18" w:space="0" w:color="5F497A" w:themeColor="accent4" w:themeShade="BF"/>
              <w:bottom w:val="nil"/>
              <w:right w:val="nil"/>
            </w:tcBorders>
            <w:shd w:val="clear" w:color="auto" w:fill="auto"/>
            <w:vAlign w:val="bottom"/>
          </w:tcPr>
          <w:p w14:paraId="5E2D25FC" w14:textId="68AEADCF" w:rsidR="009F0AF7" w:rsidRPr="001D41EA" w:rsidRDefault="009F0AF7" w:rsidP="001D41EA">
            <w:pPr>
              <w:spacing w:before="40" w:after="40"/>
              <w:jc w:val="right"/>
              <w:rPr>
                <w:rFonts w:cs="Arial"/>
                <w:sz w:val="18"/>
                <w:szCs w:val="18"/>
              </w:rPr>
            </w:pPr>
            <w:r w:rsidRPr="001D41EA">
              <w:rPr>
                <w:rFonts w:cs="Arial"/>
                <w:sz w:val="18"/>
                <w:szCs w:val="18"/>
              </w:rPr>
              <w:t>3,506,811</w:t>
            </w:r>
          </w:p>
        </w:tc>
        <w:tc>
          <w:tcPr>
            <w:tcW w:w="1361" w:type="dxa"/>
            <w:tcBorders>
              <w:top w:val="nil"/>
              <w:left w:val="nil"/>
              <w:bottom w:val="nil"/>
              <w:right w:val="nil"/>
            </w:tcBorders>
            <w:shd w:val="clear" w:color="auto" w:fill="auto"/>
            <w:vAlign w:val="bottom"/>
          </w:tcPr>
          <w:p w14:paraId="0517252B" w14:textId="104ED5DD" w:rsidR="009F0AF7" w:rsidRPr="001D41EA" w:rsidRDefault="009F0AF7" w:rsidP="001D41EA">
            <w:pPr>
              <w:spacing w:before="40" w:after="40"/>
              <w:jc w:val="right"/>
              <w:rPr>
                <w:rFonts w:cs="Arial"/>
                <w:sz w:val="18"/>
                <w:szCs w:val="18"/>
              </w:rPr>
            </w:pPr>
            <w:r w:rsidRPr="001D41EA">
              <w:rPr>
                <w:rFonts w:cs="Arial"/>
                <w:sz w:val="18"/>
                <w:szCs w:val="18"/>
              </w:rPr>
              <w:t>1,677,252</w:t>
            </w:r>
          </w:p>
        </w:tc>
        <w:tc>
          <w:tcPr>
            <w:tcW w:w="1361" w:type="dxa"/>
            <w:tcBorders>
              <w:top w:val="nil"/>
              <w:left w:val="nil"/>
              <w:bottom w:val="nil"/>
              <w:right w:val="nil"/>
            </w:tcBorders>
            <w:vAlign w:val="bottom"/>
          </w:tcPr>
          <w:p w14:paraId="63F99652" w14:textId="3B6F35D5" w:rsidR="009F0AF7" w:rsidRPr="001D41EA" w:rsidRDefault="009F0AF7" w:rsidP="001D41EA">
            <w:pPr>
              <w:spacing w:before="40" w:after="40"/>
              <w:jc w:val="right"/>
              <w:rPr>
                <w:rFonts w:cs="Arial"/>
                <w:sz w:val="18"/>
                <w:szCs w:val="18"/>
              </w:rPr>
            </w:pPr>
            <w:r w:rsidRPr="001D41EA">
              <w:rPr>
                <w:rFonts w:cs="Arial"/>
                <w:sz w:val="18"/>
                <w:szCs w:val="18"/>
              </w:rPr>
              <w:t>1,884,283</w:t>
            </w:r>
          </w:p>
        </w:tc>
        <w:tc>
          <w:tcPr>
            <w:tcW w:w="1361" w:type="dxa"/>
            <w:tcBorders>
              <w:top w:val="nil"/>
              <w:left w:val="nil"/>
              <w:bottom w:val="nil"/>
              <w:right w:val="nil"/>
            </w:tcBorders>
            <w:vAlign w:val="bottom"/>
          </w:tcPr>
          <w:p w14:paraId="7908AE5D" w14:textId="34710F36" w:rsidR="009F0AF7" w:rsidRPr="001D41EA" w:rsidRDefault="009F0AF7" w:rsidP="001D41EA">
            <w:pPr>
              <w:spacing w:before="40" w:after="40"/>
              <w:jc w:val="right"/>
              <w:rPr>
                <w:rFonts w:cs="Arial"/>
                <w:sz w:val="18"/>
                <w:szCs w:val="18"/>
              </w:rPr>
            </w:pPr>
            <w:r w:rsidRPr="001D41EA">
              <w:rPr>
                <w:rFonts w:cs="Arial"/>
                <w:sz w:val="18"/>
                <w:szCs w:val="18"/>
              </w:rPr>
              <w:t>4,747,231</w:t>
            </w:r>
          </w:p>
        </w:tc>
        <w:tc>
          <w:tcPr>
            <w:tcW w:w="1361" w:type="dxa"/>
            <w:tcBorders>
              <w:top w:val="nil"/>
              <w:left w:val="nil"/>
              <w:bottom w:val="nil"/>
              <w:right w:val="nil"/>
            </w:tcBorders>
            <w:shd w:val="clear" w:color="auto" w:fill="auto"/>
            <w:vAlign w:val="bottom"/>
          </w:tcPr>
          <w:p w14:paraId="5D16192C" w14:textId="7061547E" w:rsidR="009F0AF7" w:rsidRPr="001D41EA" w:rsidRDefault="009F0AF7" w:rsidP="001D41EA">
            <w:pPr>
              <w:spacing w:before="40" w:after="40"/>
              <w:jc w:val="right"/>
              <w:rPr>
                <w:rFonts w:cs="Arial"/>
                <w:sz w:val="18"/>
                <w:szCs w:val="18"/>
              </w:rPr>
            </w:pPr>
            <w:r w:rsidRPr="001D41EA">
              <w:rPr>
                <w:rFonts w:cs="Arial"/>
                <w:sz w:val="18"/>
                <w:szCs w:val="18"/>
              </w:rPr>
              <w:t>2,094,347</w:t>
            </w:r>
          </w:p>
        </w:tc>
      </w:tr>
      <w:tr w:rsidR="009F0AF7" w:rsidRPr="001D41EA" w14:paraId="3AEDAC93"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5FE6E37" w14:textId="77777777" w:rsidR="009F0AF7" w:rsidRPr="001D41EA" w:rsidRDefault="009F0AF7" w:rsidP="001D41EA">
            <w:pPr>
              <w:spacing w:before="40" w:after="40"/>
              <w:rPr>
                <w:rFonts w:cs="Arial"/>
                <w:sz w:val="18"/>
                <w:szCs w:val="18"/>
              </w:rPr>
            </w:pPr>
            <w:r w:rsidRPr="001D41EA">
              <w:rPr>
                <w:rFonts w:cs="Arial"/>
                <w:sz w:val="18"/>
                <w:szCs w:val="18"/>
              </w:rPr>
              <w:t>Buloke S</w:t>
            </w:r>
          </w:p>
        </w:tc>
        <w:tc>
          <w:tcPr>
            <w:tcW w:w="1361" w:type="dxa"/>
            <w:tcBorders>
              <w:top w:val="nil"/>
              <w:left w:val="single" w:sz="18" w:space="0" w:color="5F497A" w:themeColor="accent4" w:themeShade="BF"/>
              <w:bottom w:val="nil"/>
              <w:right w:val="nil"/>
            </w:tcBorders>
            <w:shd w:val="clear" w:color="auto" w:fill="auto"/>
            <w:vAlign w:val="bottom"/>
          </w:tcPr>
          <w:p w14:paraId="6CD70EDE" w14:textId="60F369B8" w:rsidR="009F0AF7" w:rsidRPr="001D41EA" w:rsidRDefault="009F0AF7" w:rsidP="001D41EA">
            <w:pPr>
              <w:spacing w:before="40" w:after="40"/>
              <w:jc w:val="right"/>
              <w:rPr>
                <w:rFonts w:cs="Arial"/>
                <w:sz w:val="18"/>
                <w:szCs w:val="18"/>
              </w:rPr>
            </w:pPr>
            <w:r w:rsidRPr="001D41EA">
              <w:rPr>
                <w:rFonts w:cs="Arial"/>
                <w:sz w:val="18"/>
                <w:szCs w:val="18"/>
              </w:rPr>
              <w:t>103,904</w:t>
            </w:r>
          </w:p>
        </w:tc>
        <w:tc>
          <w:tcPr>
            <w:tcW w:w="1361" w:type="dxa"/>
            <w:tcBorders>
              <w:top w:val="nil"/>
              <w:left w:val="nil"/>
              <w:bottom w:val="nil"/>
              <w:right w:val="nil"/>
            </w:tcBorders>
            <w:shd w:val="clear" w:color="auto" w:fill="auto"/>
            <w:vAlign w:val="bottom"/>
          </w:tcPr>
          <w:p w14:paraId="11624127" w14:textId="752BB319" w:rsidR="009F0AF7" w:rsidRPr="001D41EA" w:rsidRDefault="009F0AF7" w:rsidP="001D41EA">
            <w:pPr>
              <w:spacing w:before="40" w:after="40"/>
              <w:jc w:val="right"/>
              <w:rPr>
                <w:rFonts w:cs="Arial"/>
                <w:sz w:val="18"/>
                <w:szCs w:val="18"/>
              </w:rPr>
            </w:pPr>
            <w:r w:rsidRPr="001D41EA">
              <w:rPr>
                <w:rFonts w:cs="Arial"/>
                <w:sz w:val="18"/>
                <w:szCs w:val="18"/>
              </w:rPr>
              <w:t>59,142</w:t>
            </w:r>
          </w:p>
        </w:tc>
        <w:tc>
          <w:tcPr>
            <w:tcW w:w="1361" w:type="dxa"/>
            <w:tcBorders>
              <w:top w:val="nil"/>
              <w:left w:val="nil"/>
              <w:bottom w:val="nil"/>
              <w:right w:val="nil"/>
            </w:tcBorders>
            <w:vAlign w:val="bottom"/>
          </w:tcPr>
          <w:p w14:paraId="016A3B3B" w14:textId="2882BE92" w:rsidR="009F0AF7" w:rsidRPr="001D41EA" w:rsidRDefault="009F0AF7" w:rsidP="001D41EA">
            <w:pPr>
              <w:spacing w:before="40" w:after="40"/>
              <w:jc w:val="right"/>
              <w:rPr>
                <w:rFonts w:cs="Arial"/>
                <w:sz w:val="18"/>
                <w:szCs w:val="18"/>
              </w:rPr>
            </w:pPr>
            <w:r w:rsidRPr="001D41EA">
              <w:rPr>
                <w:rFonts w:cs="Arial"/>
                <w:sz w:val="18"/>
                <w:szCs w:val="18"/>
              </w:rPr>
              <w:t>81,289</w:t>
            </w:r>
          </w:p>
        </w:tc>
        <w:tc>
          <w:tcPr>
            <w:tcW w:w="1361" w:type="dxa"/>
            <w:tcBorders>
              <w:top w:val="nil"/>
              <w:left w:val="nil"/>
              <w:bottom w:val="nil"/>
              <w:right w:val="nil"/>
            </w:tcBorders>
            <w:vAlign w:val="bottom"/>
          </w:tcPr>
          <w:p w14:paraId="636EF38A" w14:textId="3AD59D83" w:rsidR="009F0AF7" w:rsidRPr="001D41EA" w:rsidRDefault="009F0AF7" w:rsidP="001D41EA">
            <w:pPr>
              <w:spacing w:before="40" w:after="40"/>
              <w:jc w:val="right"/>
              <w:rPr>
                <w:rFonts w:cs="Arial"/>
                <w:sz w:val="18"/>
                <w:szCs w:val="18"/>
              </w:rPr>
            </w:pPr>
            <w:r w:rsidRPr="001D41EA">
              <w:rPr>
                <w:rFonts w:cs="Arial"/>
                <w:sz w:val="18"/>
                <w:szCs w:val="18"/>
              </w:rPr>
              <w:t>140,656</w:t>
            </w:r>
          </w:p>
        </w:tc>
        <w:tc>
          <w:tcPr>
            <w:tcW w:w="1361" w:type="dxa"/>
            <w:tcBorders>
              <w:top w:val="nil"/>
              <w:left w:val="nil"/>
              <w:bottom w:val="nil"/>
              <w:right w:val="nil"/>
            </w:tcBorders>
            <w:shd w:val="clear" w:color="auto" w:fill="auto"/>
            <w:vAlign w:val="bottom"/>
          </w:tcPr>
          <w:p w14:paraId="3281DC50" w14:textId="30088674" w:rsidR="009F0AF7" w:rsidRPr="001D41EA" w:rsidRDefault="009F0AF7" w:rsidP="001D41EA">
            <w:pPr>
              <w:spacing w:before="40" w:after="40"/>
              <w:jc w:val="right"/>
              <w:rPr>
                <w:rFonts w:cs="Arial"/>
                <w:sz w:val="18"/>
                <w:szCs w:val="18"/>
              </w:rPr>
            </w:pPr>
            <w:r w:rsidRPr="001D41EA">
              <w:rPr>
                <w:rFonts w:cs="Arial"/>
                <w:sz w:val="18"/>
                <w:szCs w:val="18"/>
              </w:rPr>
              <w:t>94,518</w:t>
            </w:r>
          </w:p>
        </w:tc>
      </w:tr>
      <w:tr w:rsidR="009F0AF7" w:rsidRPr="001D41EA" w14:paraId="20D72846"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B025021" w14:textId="77777777" w:rsidR="009F0AF7" w:rsidRPr="001D41EA" w:rsidRDefault="009F0AF7" w:rsidP="001D41EA">
            <w:pPr>
              <w:spacing w:before="40" w:after="40"/>
              <w:rPr>
                <w:rFonts w:cs="Arial"/>
                <w:sz w:val="18"/>
                <w:szCs w:val="18"/>
              </w:rPr>
            </w:pPr>
            <w:r w:rsidRPr="001D41EA">
              <w:rPr>
                <w:rFonts w:cs="Arial"/>
                <w:sz w:val="18"/>
                <w:szCs w:val="18"/>
              </w:rPr>
              <w:t>Campaspe S</w:t>
            </w:r>
          </w:p>
        </w:tc>
        <w:tc>
          <w:tcPr>
            <w:tcW w:w="1361" w:type="dxa"/>
            <w:tcBorders>
              <w:top w:val="nil"/>
              <w:left w:val="single" w:sz="18" w:space="0" w:color="5F497A" w:themeColor="accent4" w:themeShade="BF"/>
              <w:bottom w:val="nil"/>
              <w:right w:val="nil"/>
            </w:tcBorders>
            <w:shd w:val="clear" w:color="auto" w:fill="auto"/>
            <w:vAlign w:val="bottom"/>
          </w:tcPr>
          <w:p w14:paraId="32C8DBD4" w14:textId="521ADE24" w:rsidR="009F0AF7" w:rsidRPr="001D41EA" w:rsidRDefault="009F0AF7" w:rsidP="001D41EA">
            <w:pPr>
              <w:spacing w:before="40" w:after="40"/>
              <w:jc w:val="right"/>
              <w:rPr>
                <w:rFonts w:cs="Arial"/>
                <w:sz w:val="18"/>
                <w:szCs w:val="18"/>
              </w:rPr>
            </w:pPr>
            <w:r w:rsidRPr="001D41EA">
              <w:rPr>
                <w:rFonts w:cs="Arial"/>
                <w:sz w:val="18"/>
                <w:szCs w:val="18"/>
              </w:rPr>
              <w:t>631,620</w:t>
            </w:r>
          </w:p>
        </w:tc>
        <w:tc>
          <w:tcPr>
            <w:tcW w:w="1361" w:type="dxa"/>
            <w:tcBorders>
              <w:top w:val="nil"/>
              <w:left w:val="nil"/>
              <w:bottom w:val="nil"/>
              <w:right w:val="nil"/>
            </w:tcBorders>
            <w:shd w:val="clear" w:color="auto" w:fill="auto"/>
            <w:vAlign w:val="bottom"/>
          </w:tcPr>
          <w:p w14:paraId="5EA625B0" w14:textId="6BC8E849" w:rsidR="009F0AF7" w:rsidRPr="001D41EA" w:rsidRDefault="009F0AF7" w:rsidP="001D41EA">
            <w:pPr>
              <w:spacing w:before="40" w:after="40"/>
              <w:jc w:val="right"/>
              <w:rPr>
                <w:rFonts w:cs="Arial"/>
                <w:sz w:val="18"/>
                <w:szCs w:val="18"/>
              </w:rPr>
            </w:pPr>
            <w:r w:rsidRPr="001D41EA">
              <w:rPr>
                <w:rFonts w:cs="Arial"/>
                <w:sz w:val="18"/>
                <w:szCs w:val="18"/>
              </w:rPr>
              <w:t>359,517</w:t>
            </w:r>
          </w:p>
        </w:tc>
        <w:tc>
          <w:tcPr>
            <w:tcW w:w="1361" w:type="dxa"/>
            <w:tcBorders>
              <w:top w:val="nil"/>
              <w:left w:val="nil"/>
              <w:bottom w:val="nil"/>
              <w:right w:val="nil"/>
            </w:tcBorders>
            <w:vAlign w:val="bottom"/>
          </w:tcPr>
          <w:p w14:paraId="2700AA54" w14:textId="1584373A" w:rsidR="009F0AF7" w:rsidRPr="001D41EA" w:rsidRDefault="009F0AF7" w:rsidP="001D41EA">
            <w:pPr>
              <w:spacing w:before="40" w:after="40"/>
              <w:jc w:val="right"/>
              <w:rPr>
                <w:rFonts w:cs="Arial"/>
                <w:sz w:val="18"/>
                <w:szCs w:val="18"/>
              </w:rPr>
            </w:pPr>
            <w:r w:rsidRPr="001D41EA">
              <w:rPr>
                <w:rFonts w:cs="Arial"/>
                <w:sz w:val="18"/>
                <w:szCs w:val="18"/>
              </w:rPr>
              <w:t>437,115</w:t>
            </w:r>
          </w:p>
        </w:tc>
        <w:tc>
          <w:tcPr>
            <w:tcW w:w="1361" w:type="dxa"/>
            <w:tcBorders>
              <w:top w:val="nil"/>
              <w:left w:val="nil"/>
              <w:bottom w:val="nil"/>
              <w:right w:val="nil"/>
            </w:tcBorders>
            <w:vAlign w:val="bottom"/>
          </w:tcPr>
          <w:p w14:paraId="5F9326BD" w14:textId="0C47658B" w:rsidR="009F0AF7" w:rsidRPr="001D41EA" w:rsidRDefault="009F0AF7" w:rsidP="001D41EA">
            <w:pPr>
              <w:spacing w:before="40" w:after="40"/>
              <w:jc w:val="right"/>
              <w:rPr>
                <w:rFonts w:cs="Arial"/>
                <w:sz w:val="18"/>
                <w:szCs w:val="18"/>
              </w:rPr>
            </w:pPr>
            <w:r w:rsidRPr="001D41EA">
              <w:rPr>
                <w:rFonts w:cs="Arial"/>
                <w:sz w:val="18"/>
                <w:szCs w:val="18"/>
              </w:rPr>
              <w:t>855,036</w:t>
            </w:r>
          </w:p>
        </w:tc>
        <w:tc>
          <w:tcPr>
            <w:tcW w:w="1361" w:type="dxa"/>
            <w:tcBorders>
              <w:top w:val="nil"/>
              <w:left w:val="nil"/>
              <w:bottom w:val="nil"/>
              <w:right w:val="nil"/>
            </w:tcBorders>
            <w:shd w:val="clear" w:color="auto" w:fill="auto"/>
            <w:vAlign w:val="bottom"/>
          </w:tcPr>
          <w:p w14:paraId="2B4212C7" w14:textId="2A0F4530" w:rsidR="009F0AF7" w:rsidRPr="001D41EA" w:rsidRDefault="009F0AF7" w:rsidP="001D41EA">
            <w:pPr>
              <w:spacing w:before="40" w:after="40"/>
              <w:jc w:val="right"/>
              <w:rPr>
                <w:rFonts w:cs="Arial"/>
                <w:sz w:val="18"/>
                <w:szCs w:val="18"/>
              </w:rPr>
            </w:pPr>
            <w:r w:rsidRPr="001D41EA">
              <w:rPr>
                <w:rFonts w:cs="Arial"/>
                <w:sz w:val="18"/>
                <w:szCs w:val="18"/>
              </w:rPr>
              <w:t>503,131</w:t>
            </w:r>
          </w:p>
        </w:tc>
      </w:tr>
      <w:tr w:rsidR="009F0AF7" w:rsidRPr="001D41EA" w14:paraId="1684F95B"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930BFF2" w14:textId="77777777" w:rsidR="009F0AF7" w:rsidRPr="001D41EA" w:rsidRDefault="009F0AF7" w:rsidP="001D41EA">
            <w:pPr>
              <w:spacing w:before="40" w:after="40"/>
              <w:rPr>
                <w:rFonts w:cs="Arial"/>
                <w:sz w:val="18"/>
                <w:szCs w:val="18"/>
              </w:rPr>
            </w:pPr>
            <w:r w:rsidRPr="001D41EA">
              <w:rPr>
                <w:rFonts w:cs="Arial"/>
                <w:sz w:val="18"/>
                <w:szCs w:val="18"/>
              </w:rPr>
              <w:t>Cardinia S</w:t>
            </w:r>
          </w:p>
        </w:tc>
        <w:tc>
          <w:tcPr>
            <w:tcW w:w="1361" w:type="dxa"/>
            <w:tcBorders>
              <w:top w:val="nil"/>
              <w:left w:val="single" w:sz="18" w:space="0" w:color="5F497A" w:themeColor="accent4" w:themeShade="BF"/>
              <w:bottom w:val="nil"/>
              <w:right w:val="nil"/>
            </w:tcBorders>
            <w:shd w:val="clear" w:color="auto" w:fill="auto"/>
            <w:vAlign w:val="bottom"/>
          </w:tcPr>
          <w:p w14:paraId="5E40A1CC" w14:textId="26DE050D" w:rsidR="009F0AF7" w:rsidRPr="001D41EA" w:rsidRDefault="009F0AF7" w:rsidP="001D41EA">
            <w:pPr>
              <w:spacing w:before="40" w:after="40"/>
              <w:jc w:val="right"/>
              <w:rPr>
                <w:rFonts w:cs="Arial"/>
                <w:sz w:val="18"/>
                <w:szCs w:val="18"/>
              </w:rPr>
            </w:pPr>
            <w:r w:rsidRPr="001D41EA">
              <w:rPr>
                <w:rFonts w:cs="Arial"/>
                <w:sz w:val="18"/>
                <w:szCs w:val="18"/>
              </w:rPr>
              <w:t>1,799,829</w:t>
            </w:r>
          </w:p>
        </w:tc>
        <w:tc>
          <w:tcPr>
            <w:tcW w:w="1361" w:type="dxa"/>
            <w:tcBorders>
              <w:top w:val="nil"/>
              <w:left w:val="nil"/>
              <w:bottom w:val="nil"/>
              <w:right w:val="nil"/>
            </w:tcBorders>
            <w:shd w:val="clear" w:color="auto" w:fill="auto"/>
            <w:vAlign w:val="bottom"/>
          </w:tcPr>
          <w:p w14:paraId="708BE4C0" w14:textId="2E74898F" w:rsidR="009F0AF7" w:rsidRPr="001D41EA" w:rsidRDefault="009F0AF7" w:rsidP="001D41EA">
            <w:pPr>
              <w:spacing w:before="40" w:after="40"/>
              <w:jc w:val="right"/>
              <w:rPr>
                <w:rFonts w:cs="Arial"/>
                <w:sz w:val="18"/>
                <w:szCs w:val="18"/>
              </w:rPr>
            </w:pPr>
            <w:r w:rsidRPr="001D41EA">
              <w:rPr>
                <w:rFonts w:cs="Arial"/>
                <w:sz w:val="18"/>
                <w:szCs w:val="18"/>
              </w:rPr>
              <w:t>1,216,544</w:t>
            </w:r>
          </w:p>
        </w:tc>
        <w:tc>
          <w:tcPr>
            <w:tcW w:w="1361" w:type="dxa"/>
            <w:tcBorders>
              <w:top w:val="nil"/>
              <w:left w:val="nil"/>
              <w:bottom w:val="nil"/>
              <w:right w:val="nil"/>
            </w:tcBorders>
            <w:vAlign w:val="bottom"/>
          </w:tcPr>
          <w:p w14:paraId="41D38B31" w14:textId="47CDF184" w:rsidR="009F0AF7" w:rsidRPr="001D41EA" w:rsidRDefault="009F0AF7" w:rsidP="001D41EA">
            <w:pPr>
              <w:spacing w:before="40" w:after="40"/>
              <w:jc w:val="right"/>
              <w:rPr>
                <w:rFonts w:cs="Arial"/>
                <w:sz w:val="18"/>
                <w:szCs w:val="18"/>
              </w:rPr>
            </w:pPr>
            <w:r w:rsidRPr="001D41EA">
              <w:rPr>
                <w:rFonts w:cs="Arial"/>
                <w:sz w:val="18"/>
                <w:szCs w:val="18"/>
              </w:rPr>
              <w:t>810,890</w:t>
            </w:r>
          </w:p>
        </w:tc>
        <w:tc>
          <w:tcPr>
            <w:tcW w:w="1361" w:type="dxa"/>
            <w:tcBorders>
              <w:top w:val="nil"/>
              <w:left w:val="nil"/>
              <w:bottom w:val="nil"/>
              <w:right w:val="nil"/>
            </w:tcBorders>
            <w:vAlign w:val="bottom"/>
          </w:tcPr>
          <w:p w14:paraId="6B8FB0F0" w14:textId="42B72221" w:rsidR="009F0AF7" w:rsidRPr="001D41EA" w:rsidRDefault="009F0AF7" w:rsidP="001D41EA">
            <w:pPr>
              <w:spacing w:before="40" w:after="40"/>
              <w:jc w:val="right"/>
              <w:rPr>
                <w:rFonts w:cs="Arial"/>
                <w:sz w:val="18"/>
                <w:szCs w:val="18"/>
              </w:rPr>
            </w:pPr>
            <w:r w:rsidRPr="001D41EA">
              <w:rPr>
                <w:rFonts w:cs="Arial"/>
                <w:sz w:val="18"/>
                <w:szCs w:val="18"/>
              </w:rPr>
              <w:t>2,436,461</w:t>
            </w:r>
          </w:p>
        </w:tc>
        <w:tc>
          <w:tcPr>
            <w:tcW w:w="1361" w:type="dxa"/>
            <w:tcBorders>
              <w:top w:val="nil"/>
              <w:left w:val="nil"/>
              <w:bottom w:val="nil"/>
              <w:right w:val="nil"/>
            </w:tcBorders>
            <w:shd w:val="clear" w:color="auto" w:fill="auto"/>
            <w:vAlign w:val="bottom"/>
          </w:tcPr>
          <w:p w14:paraId="0283D4BD" w14:textId="06A52947" w:rsidR="009F0AF7" w:rsidRPr="001D41EA" w:rsidRDefault="009F0AF7" w:rsidP="001D41EA">
            <w:pPr>
              <w:spacing w:before="40" w:after="40"/>
              <w:jc w:val="right"/>
              <w:rPr>
                <w:rFonts w:cs="Arial"/>
                <w:sz w:val="18"/>
                <w:szCs w:val="18"/>
              </w:rPr>
            </w:pPr>
            <w:r w:rsidRPr="001D41EA">
              <w:rPr>
                <w:rFonts w:cs="Arial"/>
                <w:sz w:val="18"/>
                <w:szCs w:val="18"/>
              </w:rPr>
              <w:t>1,147,837</w:t>
            </w:r>
          </w:p>
        </w:tc>
      </w:tr>
      <w:tr w:rsidR="009F0AF7" w:rsidRPr="001D41EA" w14:paraId="15B20CFC"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65ECF5D" w14:textId="77777777" w:rsidR="009F0AF7" w:rsidRPr="001D41EA" w:rsidRDefault="009F0AF7" w:rsidP="001D41EA">
            <w:pPr>
              <w:spacing w:before="40" w:after="40"/>
              <w:rPr>
                <w:rFonts w:cs="Arial"/>
                <w:sz w:val="18"/>
                <w:szCs w:val="18"/>
              </w:rPr>
            </w:pPr>
            <w:r w:rsidRPr="001D41EA">
              <w:rPr>
                <w:rFonts w:cs="Arial"/>
                <w:sz w:val="18"/>
                <w:szCs w:val="18"/>
              </w:rPr>
              <w:t>Casey C</w:t>
            </w:r>
          </w:p>
        </w:tc>
        <w:tc>
          <w:tcPr>
            <w:tcW w:w="1361" w:type="dxa"/>
            <w:tcBorders>
              <w:top w:val="nil"/>
              <w:left w:val="single" w:sz="18" w:space="0" w:color="5F497A" w:themeColor="accent4" w:themeShade="BF"/>
              <w:bottom w:val="nil"/>
              <w:right w:val="nil"/>
            </w:tcBorders>
            <w:shd w:val="clear" w:color="auto" w:fill="auto"/>
            <w:vAlign w:val="bottom"/>
          </w:tcPr>
          <w:p w14:paraId="7E45C8D8" w14:textId="092D41BE" w:rsidR="009F0AF7" w:rsidRPr="001D41EA" w:rsidRDefault="009F0AF7" w:rsidP="001D41EA">
            <w:pPr>
              <w:spacing w:before="40" w:after="40"/>
              <w:jc w:val="right"/>
              <w:rPr>
                <w:rFonts w:cs="Arial"/>
                <w:sz w:val="18"/>
                <w:szCs w:val="18"/>
              </w:rPr>
            </w:pPr>
            <w:r w:rsidRPr="001D41EA">
              <w:rPr>
                <w:rFonts w:cs="Arial"/>
                <w:sz w:val="18"/>
                <w:szCs w:val="18"/>
              </w:rPr>
              <w:t>5,719,717</w:t>
            </w:r>
          </w:p>
        </w:tc>
        <w:tc>
          <w:tcPr>
            <w:tcW w:w="1361" w:type="dxa"/>
            <w:tcBorders>
              <w:top w:val="nil"/>
              <w:left w:val="nil"/>
              <w:bottom w:val="nil"/>
              <w:right w:val="nil"/>
            </w:tcBorders>
            <w:shd w:val="clear" w:color="auto" w:fill="auto"/>
            <w:vAlign w:val="bottom"/>
          </w:tcPr>
          <w:p w14:paraId="56371129" w14:textId="283FCB4D" w:rsidR="009F0AF7" w:rsidRPr="001D41EA" w:rsidRDefault="009F0AF7" w:rsidP="001D41EA">
            <w:pPr>
              <w:spacing w:before="40" w:after="40"/>
              <w:jc w:val="right"/>
              <w:rPr>
                <w:rFonts w:cs="Arial"/>
                <w:sz w:val="18"/>
                <w:szCs w:val="18"/>
              </w:rPr>
            </w:pPr>
            <w:r w:rsidRPr="001D41EA">
              <w:rPr>
                <w:rFonts w:cs="Arial"/>
                <w:sz w:val="18"/>
                <w:szCs w:val="18"/>
              </w:rPr>
              <w:t>3,673,910</w:t>
            </w:r>
          </w:p>
        </w:tc>
        <w:tc>
          <w:tcPr>
            <w:tcW w:w="1361" w:type="dxa"/>
            <w:tcBorders>
              <w:top w:val="nil"/>
              <w:left w:val="nil"/>
              <w:bottom w:val="nil"/>
              <w:right w:val="nil"/>
            </w:tcBorders>
            <w:vAlign w:val="bottom"/>
          </w:tcPr>
          <w:p w14:paraId="199A3421" w14:textId="32670212" w:rsidR="009F0AF7" w:rsidRPr="001D41EA" w:rsidRDefault="009F0AF7" w:rsidP="001D41EA">
            <w:pPr>
              <w:spacing w:before="40" w:after="40"/>
              <w:jc w:val="right"/>
              <w:rPr>
                <w:rFonts w:cs="Arial"/>
                <w:sz w:val="18"/>
                <w:szCs w:val="18"/>
              </w:rPr>
            </w:pPr>
            <w:r w:rsidRPr="001D41EA">
              <w:rPr>
                <w:rFonts w:cs="Arial"/>
                <w:sz w:val="18"/>
                <w:szCs w:val="18"/>
              </w:rPr>
              <w:t>2,663,200</w:t>
            </w:r>
          </w:p>
        </w:tc>
        <w:tc>
          <w:tcPr>
            <w:tcW w:w="1361" w:type="dxa"/>
            <w:tcBorders>
              <w:top w:val="nil"/>
              <w:left w:val="nil"/>
              <w:bottom w:val="nil"/>
              <w:right w:val="nil"/>
            </w:tcBorders>
            <w:vAlign w:val="bottom"/>
          </w:tcPr>
          <w:p w14:paraId="4BCE8E7C" w14:textId="34C72FC0" w:rsidR="009F0AF7" w:rsidRPr="001D41EA" w:rsidRDefault="009F0AF7" w:rsidP="001D41EA">
            <w:pPr>
              <w:spacing w:before="40" w:after="40"/>
              <w:jc w:val="right"/>
              <w:rPr>
                <w:rFonts w:cs="Arial"/>
                <w:sz w:val="18"/>
                <w:szCs w:val="18"/>
              </w:rPr>
            </w:pPr>
            <w:r w:rsidRPr="001D41EA">
              <w:rPr>
                <w:rFonts w:cs="Arial"/>
                <w:sz w:val="18"/>
                <w:szCs w:val="18"/>
              </w:rPr>
              <w:t>7,742,882</w:t>
            </w:r>
          </w:p>
        </w:tc>
        <w:tc>
          <w:tcPr>
            <w:tcW w:w="1361" w:type="dxa"/>
            <w:tcBorders>
              <w:top w:val="nil"/>
              <w:left w:val="nil"/>
              <w:bottom w:val="nil"/>
              <w:right w:val="nil"/>
            </w:tcBorders>
            <w:shd w:val="clear" w:color="auto" w:fill="auto"/>
            <w:vAlign w:val="bottom"/>
          </w:tcPr>
          <w:p w14:paraId="4E3D033D" w14:textId="587FAFF7" w:rsidR="009F0AF7" w:rsidRPr="001D41EA" w:rsidRDefault="009F0AF7" w:rsidP="001D41EA">
            <w:pPr>
              <w:spacing w:before="40" w:after="40"/>
              <w:jc w:val="right"/>
              <w:rPr>
                <w:rFonts w:cs="Arial"/>
                <w:sz w:val="18"/>
                <w:szCs w:val="18"/>
              </w:rPr>
            </w:pPr>
            <w:r w:rsidRPr="001D41EA">
              <w:rPr>
                <w:rFonts w:cs="Arial"/>
                <w:sz w:val="18"/>
                <w:szCs w:val="18"/>
              </w:rPr>
              <w:t>3,302,938</w:t>
            </w:r>
          </w:p>
        </w:tc>
      </w:tr>
      <w:tr w:rsidR="009F0AF7" w:rsidRPr="001D41EA" w14:paraId="39C5EFD6"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AA8E082" w14:textId="77777777" w:rsidR="009F0AF7" w:rsidRPr="001D41EA" w:rsidRDefault="009F0AF7" w:rsidP="001D41EA">
            <w:pPr>
              <w:spacing w:before="40" w:after="40"/>
              <w:rPr>
                <w:rFonts w:cs="Arial"/>
                <w:sz w:val="18"/>
                <w:szCs w:val="18"/>
              </w:rPr>
            </w:pPr>
            <w:r w:rsidRPr="001D41EA">
              <w:rPr>
                <w:rFonts w:cs="Arial"/>
                <w:sz w:val="18"/>
                <w:szCs w:val="18"/>
              </w:rPr>
              <w:t>Central Goldfields S</w:t>
            </w:r>
          </w:p>
        </w:tc>
        <w:tc>
          <w:tcPr>
            <w:tcW w:w="1361" w:type="dxa"/>
            <w:tcBorders>
              <w:top w:val="nil"/>
              <w:left w:val="single" w:sz="18" w:space="0" w:color="5F497A" w:themeColor="accent4" w:themeShade="BF"/>
              <w:bottom w:val="nil"/>
              <w:right w:val="nil"/>
            </w:tcBorders>
            <w:shd w:val="clear" w:color="auto" w:fill="auto"/>
            <w:vAlign w:val="bottom"/>
          </w:tcPr>
          <w:p w14:paraId="6BB9C792" w14:textId="358E810E" w:rsidR="009F0AF7" w:rsidRPr="001D41EA" w:rsidRDefault="009F0AF7" w:rsidP="001D41EA">
            <w:pPr>
              <w:spacing w:before="40" w:after="40"/>
              <w:jc w:val="right"/>
              <w:rPr>
                <w:rFonts w:cs="Arial"/>
                <w:sz w:val="18"/>
                <w:szCs w:val="18"/>
              </w:rPr>
            </w:pPr>
            <w:r w:rsidRPr="001D41EA">
              <w:rPr>
                <w:rFonts w:cs="Arial"/>
                <w:sz w:val="18"/>
                <w:szCs w:val="18"/>
              </w:rPr>
              <w:t>221,938</w:t>
            </w:r>
          </w:p>
        </w:tc>
        <w:tc>
          <w:tcPr>
            <w:tcW w:w="1361" w:type="dxa"/>
            <w:tcBorders>
              <w:top w:val="nil"/>
              <w:left w:val="nil"/>
              <w:bottom w:val="nil"/>
              <w:right w:val="nil"/>
            </w:tcBorders>
            <w:shd w:val="clear" w:color="auto" w:fill="auto"/>
            <w:vAlign w:val="bottom"/>
          </w:tcPr>
          <w:p w14:paraId="512A1EE7" w14:textId="36F9C643" w:rsidR="009F0AF7" w:rsidRPr="001D41EA" w:rsidRDefault="009F0AF7" w:rsidP="001D41EA">
            <w:pPr>
              <w:spacing w:before="40" w:after="40"/>
              <w:jc w:val="right"/>
              <w:rPr>
                <w:rFonts w:cs="Arial"/>
                <w:sz w:val="18"/>
                <w:szCs w:val="18"/>
              </w:rPr>
            </w:pPr>
            <w:r w:rsidRPr="001D41EA">
              <w:rPr>
                <w:rFonts w:cs="Arial"/>
                <w:sz w:val="18"/>
                <w:szCs w:val="18"/>
              </w:rPr>
              <w:t>92,113</w:t>
            </w:r>
          </w:p>
        </w:tc>
        <w:tc>
          <w:tcPr>
            <w:tcW w:w="1361" w:type="dxa"/>
            <w:tcBorders>
              <w:top w:val="nil"/>
              <w:left w:val="nil"/>
              <w:bottom w:val="nil"/>
              <w:right w:val="nil"/>
            </w:tcBorders>
            <w:vAlign w:val="bottom"/>
          </w:tcPr>
          <w:p w14:paraId="57F06F4A" w14:textId="2737B974" w:rsidR="009F0AF7" w:rsidRPr="001D41EA" w:rsidRDefault="009F0AF7" w:rsidP="001D41EA">
            <w:pPr>
              <w:spacing w:before="40" w:after="40"/>
              <w:jc w:val="right"/>
              <w:rPr>
                <w:rFonts w:cs="Arial"/>
                <w:sz w:val="18"/>
                <w:szCs w:val="18"/>
              </w:rPr>
            </w:pPr>
            <w:r w:rsidRPr="001D41EA">
              <w:rPr>
                <w:rFonts w:cs="Arial"/>
                <w:sz w:val="18"/>
                <w:szCs w:val="18"/>
              </w:rPr>
              <w:t>188,988</w:t>
            </w:r>
          </w:p>
        </w:tc>
        <w:tc>
          <w:tcPr>
            <w:tcW w:w="1361" w:type="dxa"/>
            <w:tcBorders>
              <w:top w:val="nil"/>
              <w:left w:val="nil"/>
              <w:bottom w:val="nil"/>
              <w:right w:val="nil"/>
            </w:tcBorders>
            <w:vAlign w:val="bottom"/>
          </w:tcPr>
          <w:p w14:paraId="3DEA4EE3" w14:textId="1FD26B10" w:rsidR="009F0AF7" w:rsidRPr="001D41EA" w:rsidRDefault="009F0AF7" w:rsidP="001D41EA">
            <w:pPr>
              <w:spacing w:before="40" w:after="40"/>
              <w:jc w:val="right"/>
              <w:rPr>
                <w:rFonts w:cs="Arial"/>
                <w:sz w:val="18"/>
                <w:szCs w:val="18"/>
              </w:rPr>
            </w:pPr>
            <w:r w:rsidRPr="001D41EA">
              <w:rPr>
                <w:rFonts w:cs="Arial"/>
                <w:sz w:val="18"/>
                <w:szCs w:val="18"/>
              </w:rPr>
              <w:t>300,441</w:t>
            </w:r>
          </w:p>
        </w:tc>
        <w:tc>
          <w:tcPr>
            <w:tcW w:w="1361" w:type="dxa"/>
            <w:tcBorders>
              <w:top w:val="nil"/>
              <w:left w:val="nil"/>
              <w:bottom w:val="nil"/>
              <w:right w:val="nil"/>
            </w:tcBorders>
            <w:shd w:val="clear" w:color="auto" w:fill="auto"/>
            <w:vAlign w:val="bottom"/>
          </w:tcPr>
          <w:p w14:paraId="60E12E9C" w14:textId="66620912" w:rsidR="009F0AF7" w:rsidRPr="001D41EA" w:rsidRDefault="009F0AF7" w:rsidP="001D41EA">
            <w:pPr>
              <w:spacing w:before="40" w:after="40"/>
              <w:jc w:val="right"/>
              <w:rPr>
                <w:rFonts w:cs="Arial"/>
                <w:sz w:val="18"/>
                <w:szCs w:val="18"/>
              </w:rPr>
            </w:pPr>
            <w:r w:rsidRPr="001D41EA">
              <w:rPr>
                <w:rFonts w:cs="Arial"/>
                <w:sz w:val="18"/>
                <w:szCs w:val="18"/>
              </w:rPr>
              <w:t>200,441</w:t>
            </w:r>
          </w:p>
        </w:tc>
      </w:tr>
      <w:tr w:rsidR="009F0AF7" w:rsidRPr="001D41EA" w14:paraId="48A4910C"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98EC46C" w14:textId="77777777" w:rsidR="009F0AF7" w:rsidRPr="001D41EA" w:rsidRDefault="009F0AF7" w:rsidP="001D41EA">
            <w:pPr>
              <w:spacing w:before="40" w:after="40"/>
              <w:rPr>
                <w:rFonts w:cs="Arial"/>
                <w:sz w:val="18"/>
                <w:szCs w:val="18"/>
              </w:rPr>
            </w:pPr>
            <w:r w:rsidRPr="001D41EA">
              <w:rPr>
                <w:rFonts w:cs="Arial"/>
                <w:sz w:val="18"/>
                <w:szCs w:val="18"/>
              </w:rPr>
              <w:t>Colac Otway S</w:t>
            </w:r>
          </w:p>
        </w:tc>
        <w:tc>
          <w:tcPr>
            <w:tcW w:w="1361" w:type="dxa"/>
            <w:tcBorders>
              <w:top w:val="nil"/>
              <w:left w:val="single" w:sz="18" w:space="0" w:color="5F497A" w:themeColor="accent4" w:themeShade="BF"/>
              <w:bottom w:val="nil"/>
              <w:right w:val="nil"/>
            </w:tcBorders>
            <w:shd w:val="clear" w:color="auto" w:fill="auto"/>
            <w:vAlign w:val="bottom"/>
          </w:tcPr>
          <w:p w14:paraId="751261B6" w14:textId="5A02E396" w:rsidR="009F0AF7" w:rsidRPr="001D41EA" w:rsidRDefault="009F0AF7" w:rsidP="001D41EA">
            <w:pPr>
              <w:spacing w:before="40" w:after="40"/>
              <w:jc w:val="right"/>
              <w:rPr>
                <w:rFonts w:cs="Arial"/>
                <w:sz w:val="18"/>
                <w:szCs w:val="18"/>
              </w:rPr>
            </w:pPr>
            <w:r w:rsidRPr="001D41EA">
              <w:rPr>
                <w:rFonts w:cs="Arial"/>
                <w:sz w:val="18"/>
                <w:szCs w:val="18"/>
              </w:rPr>
              <w:t>361,293</w:t>
            </w:r>
          </w:p>
        </w:tc>
        <w:tc>
          <w:tcPr>
            <w:tcW w:w="1361" w:type="dxa"/>
            <w:tcBorders>
              <w:top w:val="nil"/>
              <w:left w:val="nil"/>
              <w:bottom w:val="nil"/>
              <w:right w:val="nil"/>
            </w:tcBorders>
            <w:shd w:val="clear" w:color="auto" w:fill="auto"/>
            <w:vAlign w:val="bottom"/>
          </w:tcPr>
          <w:p w14:paraId="5D3B7455" w14:textId="3BE1C87C" w:rsidR="009F0AF7" w:rsidRPr="001D41EA" w:rsidRDefault="009F0AF7" w:rsidP="001D41EA">
            <w:pPr>
              <w:spacing w:before="40" w:after="40"/>
              <w:jc w:val="right"/>
              <w:rPr>
                <w:rFonts w:cs="Arial"/>
                <w:sz w:val="18"/>
                <w:szCs w:val="18"/>
              </w:rPr>
            </w:pPr>
            <w:r w:rsidRPr="001D41EA">
              <w:rPr>
                <w:rFonts w:cs="Arial"/>
                <w:sz w:val="18"/>
                <w:szCs w:val="18"/>
              </w:rPr>
              <w:t>201,363</w:t>
            </w:r>
          </w:p>
        </w:tc>
        <w:tc>
          <w:tcPr>
            <w:tcW w:w="1361" w:type="dxa"/>
            <w:tcBorders>
              <w:top w:val="nil"/>
              <w:left w:val="nil"/>
              <w:bottom w:val="nil"/>
              <w:right w:val="nil"/>
            </w:tcBorders>
            <w:vAlign w:val="bottom"/>
          </w:tcPr>
          <w:p w14:paraId="4CEACC67" w14:textId="5FD51277" w:rsidR="009F0AF7" w:rsidRPr="001D41EA" w:rsidRDefault="009F0AF7" w:rsidP="001D41EA">
            <w:pPr>
              <w:spacing w:before="40" w:after="40"/>
              <w:jc w:val="right"/>
              <w:rPr>
                <w:rFonts w:cs="Arial"/>
                <w:sz w:val="18"/>
                <w:szCs w:val="18"/>
              </w:rPr>
            </w:pPr>
            <w:r w:rsidRPr="001D41EA">
              <w:rPr>
                <w:rFonts w:cs="Arial"/>
                <w:sz w:val="18"/>
                <w:szCs w:val="18"/>
              </w:rPr>
              <w:t>254,312</w:t>
            </w:r>
          </w:p>
        </w:tc>
        <w:tc>
          <w:tcPr>
            <w:tcW w:w="1361" w:type="dxa"/>
            <w:tcBorders>
              <w:top w:val="nil"/>
              <w:left w:val="nil"/>
              <w:bottom w:val="nil"/>
              <w:right w:val="nil"/>
            </w:tcBorders>
            <w:vAlign w:val="bottom"/>
          </w:tcPr>
          <w:p w14:paraId="66B057FE" w14:textId="0C323BC5" w:rsidR="009F0AF7" w:rsidRPr="001D41EA" w:rsidRDefault="009F0AF7" w:rsidP="001D41EA">
            <w:pPr>
              <w:spacing w:before="40" w:after="40"/>
              <w:jc w:val="right"/>
              <w:rPr>
                <w:rFonts w:cs="Arial"/>
                <w:sz w:val="18"/>
                <w:szCs w:val="18"/>
              </w:rPr>
            </w:pPr>
            <w:r w:rsidRPr="001D41EA">
              <w:rPr>
                <w:rFonts w:cs="Arial"/>
                <w:sz w:val="18"/>
                <w:szCs w:val="18"/>
              </w:rPr>
              <w:t>489,089</w:t>
            </w:r>
          </w:p>
        </w:tc>
        <w:tc>
          <w:tcPr>
            <w:tcW w:w="1361" w:type="dxa"/>
            <w:tcBorders>
              <w:top w:val="nil"/>
              <w:left w:val="nil"/>
              <w:bottom w:val="nil"/>
              <w:right w:val="nil"/>
            </w:tcBorders>
            <w:shd w:val="clear" w:color="auto" w:fill="auto"/>
            <w:vAlign w:val="bottom"/>
          </w:tcPr>
          <w:p w14:paraId="162C9D8B" w14:textId="7E2BB48D" w:rsidR="009F0AF7" w:rsidRPr="001D41EA" w:rsidRDefault="009F0AF7" w:rsidP="001D41EA">
            <w:pPr>
              <w:spacing w:before="40" w:after="40"/>
              <w:jc w:val="right"/>
              <w:rPr>
                <w:rFonts w:cs="Arial"/>
                <w:sz w:val="18"/>
                <w:szCs w:val="18"/>
              </w:rPr>
            </w:pPr>
            <w:r w:rsidRPr="001D41EA">
              <w:rPr>
                <w:rFonts w:cs="Arial"/>
                <w:sz w:val="18"/>
                <w:szCs w:val="18"/>
              </w:rPr>
              <w:t>350,489</w:t>
            </w:r>
          </w:p>
        </w:tc>
      </w:tr>
      <w:tr w:rsidR="009F0AF7" w:rsidRPr="001D41EA" w14:paraId="2A8B1847"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5D51FF" w14:textId="77777777" w:rsidR="009F0AF7" w:rsidRPr="001D41EA" w:rsidRDefault="009F0AF7" w:rsidP="001D41EA">
            <w:pPr>
              <w:spacing w:before="40" w:after="40"/>
              <w:rPr>
                <w:rFonts w:cs="Arial"/>
                <w:sz w:val="18"/>
                <w:szCs w:val="18"/>
              </w:rPr>
            </w:pPr>
            <w:r w:rsidRPr="001D41EA">
              <w:rPr>
                <w:rFonts w:cs="Arial"/>
                <w:sz w:val="18"/>
                <w:szCs w:val="18"/>
              </w:rPr>
              <w:t>Corangamite S</w:t>
            </w:r>
          </w:p>
        </w:tc>
        <w:tc>
          <w:tcPr>
            <w:tcW w:w="1361" w:type="dxa"/>
            <w:tcBorders>
              <w:top w:val="nil"/>
              <w:left w:val="single" w:sz="18" w:space="0" w:color="5F497A" w:themeColor="accent4" w:themeShade="BF"/>
              <w:bottom w:val="nil"/>
              <w:right w:val="nil"/>
            </w:tcBorders>
            <w:shd w:val="clear" w:color="auto" w:fill="auto"/>
            <w:vAlign w:val="bottom"/>
          </w:tcPr>
          <w:p w14:paraId="531F9F44" w14:textId="6DBA8A11" w:rsidR="009F0AF7" w:rsidRPr="001D41EA" w:rsidRDefault="009F0AF7" w:rsidP="001D41EA">
            <w:pPr>
              <w:spacing w:before="40" w:after="40"/>
              <w:jc w:val="right"/>
              <w:rPr>
                <w:rFonts w:cs="Arial"/>
                <w:sz w:val="18"/>
                <w:szCs w:val="18"/>
              </w:rPr>
            </w:pPr>
            <w:r w:rsidRPr="001D41EA">
              <w:rPr>
                <w:rFonts w:cs="Arial"/>
                <w:sz w:val="18"/>
                <w:szCs w:val="18"/>
              </w:rPr>
              <w:t>271,184</w:t>
            </w:r>
          </w:p>
        </w:tc>
        <w:tc>
          <w:tcPr>
            <w:tcW w:w="1361" w:type="dxa"/>
            <w:tcBorders>
              <w:top w:val="nil"/>
              <w:left w:val="nil"/>
              <w:bottom w:val="nil"/>
              <w:right w:val="nil"/>
            </w:tcBorders>
            <w:shd w:val="clear" w:color="auto" w:fill="auto"/>
            <w:vAlign w:val="bottom"/>
          </w:tcPr>
          <w:p w14:paraId="7F2DE8D0" w14:textId="284FB054" w:rsidR="009F0AF7" w:rsidRPr="001D41EA" w:rsidRDefault="009F0AF7" w:rsidP="001D41EA">
            <w:pPr>
              <w:spacing w:before="40" w:after="40"/>
              <w:jc w:val="right"/>
              <w:rPr>
                <w:rFonts w:cs="Arial"/>
                <w:sz w:val="18"/>
                <w:szCs w:val="18"/>
              </w:rPr>
            </w:pPr>
            <w:r w:rsidRPr="001D41EA">
              <w:rPr>
                <w:rFonts w:cs="Arial"/>
                <w:sz w:val="18"/>
                <w:szCs w:val="18"/>
              </w:rPr>
              <w:t>159,717</w:t>
            </w:r>
          </w:p>
        </w:tc>
        <w:tc>
          <w:tcPr>
            <w:tcW w:w="1361" w:type="dxa"/>
            <w:tcBorders>
              <w:top w:val="nil"/>
              <w:left w:val="nil"/>
              <w:bottom w:val="nil"/>
              <w:right w:val="nil"/>
            </w:tcBorders>
            <w:vAlign w:val="bottom"/>
          </w:tcPr>
          <w:p w14:paraId="1F497018" w14:textId="142C4DA0" w:rsidR="009F0AF7" w:rsidRPr="001D41EA" w:rsidRDefault="009F0AF7" w:rsidP="001D41EA">
            <w:pPr>
              <w:spacing w:before="40" w:after="40"/>
              <w:jc w:val="right"/>
              <w:rPr>
                <w:rFonts w:cs="Arial"/>
                <w:sz w:val="18"/>
                <w:szCs w:val="18"/>
              </w:rPr>
            </w:pPr>
            <w:r w:rsidRPr="001D41EA">
              <w:rPr>
                <w:rFonts w:cs="Arial"/>
                <w:sz w:val="18"/>
                <w:szCs w:val="18"/>
              </w:rPr>
              <w:t>184,823</w:t>
            </w:r>
          </w:p>
        </w:tc>
        <w:tc>
          <w:tcPr>
            <w:tcW w:w="1361" w:type="dxa"/>
            <w:tcBorders>
              <w:top w:val="nil"/>
              <w:left w:val="nil"/>
              <w:bottom w:val="nil"/>
              <w:right w:val="nil"/>
            </w:tcBorders>
            <w:vAlign w:val="bottom"/>
          </w:tcPr>
          <w:p w14:paraId="5F5E1E5C" w14:textId="02AAB511" w:rsidR="009F0AF7" w:rsidRPr="001D41EA" w:rsidRDefault="009F0AF7" w:rsidP="001D41EA">
            <w:pPr>
              <w:spacing w:before="40" w:after="40"/>
              <w:jc w:val="right"/>
              <w:rPr>
                <w:rFonts w:cs="Arial"/>
                <w:sz w:val="18"/>
                <w:szCs w:val="18"/>
              </w:rPr>
            </w:pPr>
            <w:r w:rsidRPr="001D41EA">
              <w:rPr>
                <w:rFonts w:cs="Arial"/>
                <w:sz w:val="18"/>
                <w:szCs w:val="18"/>
              </w:rPr>
              <w:t>367,107</w:t>
            </w:r>
          </w:p>
        </w:tc>
        <w:tc>
          <w:tcPr>
            <w:tcW w:w="1361" w:type="dxa"/>
            <w:tcBorders>
              <w:top w:val="nil"/>
              <w:left w:val="nil"/>
              <w:bottom w:val="nil"/>
              <w:right w:val="nil"/>
            </w:tcBorders>
            <w:shd w:val="clear" w:color="auto" w:fill="auto"/>
            <w:vAlign w:val="bottom"/>
          </w:tcPr>
          <w:p w14:paraId="38BFA0DD" w14:textId="69F0FAA8" w:rsidR="009F0AF7" w:rsidRPr="001D41EA" w:rsidRDefault="009F0AF7" w:rsidP="001D41EA">
            <w:pPr>
              <w:spacing w:before="40" w:after="40"/>
              <w:jc w:val="right"/>
              <w:rPr>
                <w:rFonts w:cs="Arial"/>
                <w:sz w:val="18"/>
                <w:szCs w:val="18"/>
              </w:rPr>
            </w:pPr>
            <w:r w:rsidRPr="001D41EA">
              <w:rPr>
                <w:rFonts w:cs="Arial"/>
                <w:sz w:val="18"/>
                <w:szCs w:val="18"/>
              </w:rPr>
              <w:t>229,639</w:t>
            </w:r>
          </w:p>
        </w:tc>
      </w:tr>
      <w:tr w:rsidR="009F0AF7" w:rsidRPr="001D41EA" w14:paraId="09EA61F5"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52F150A" w14:textId="77777777" w:rsidR="009F0AF7" w:rsidRPr="001D41EA" w:rsidRDefault="009F0AF7" w:rsidP="001D41EA">
            <w:pPr>
              <w:spacing w:before="40" w:after="40"/>
              <w:rPr>
                <w:rFonts w:cs="Arial"/>
                <w:sz w:val="18"/>
                <w:szCs w:val="18"/>
              </w:rPr>
            </w:pPr>
            <w:r w:rsidRPr="001D41EA">
              <w:rPr>
                <w:rFonts w:cs="Arial"/>
                <w:sz w:val="18"/>
                <w:szCs w:val="18"/>
              </w:rPr>
              <w:t>Darebin C</w:t>
            </w:r>
          </w:p>
        </w:tc>
        <w:tc>
          <w:tcPr>
            <w:tcW w:w="1361" w:type="dxa"/>
            <w:tcBorders>
              <w:top w:val="nil"/>
              <w:left w:val="single" w:sz="18" w:space="0" w:color="5F497A" w:themeColor="accent4" w:themeShade="BF"/>
              <w:bottom w:val="nil"/>
              <w:right w:val="nil"/>
            </w:tcBorders>
            <w:shd w:val="clear" w:color="auto" w:fill="auto"/>
            <w:vAlign w:val="bottom"/>
          </w:tcPr>
          <w:p w14:paraId="6A46F1C7" w14:textId="5CCCE2B0" w:rsidR="009F0AF7" w:rsidRPr="001D41EA" w:rsidRDefault="009F0AF7" w:rsidP="001D41EA">
            <w:pPr>
              <w:spacing w:before="40" w:after="40"/>
              <w:jc w:val="right"/>
              <w:rPr>
                <w:rFonts w:cs="Arial"/>
                <w:sz w:val="18"/>
                <w:szCs w:val="18"/>
              </w:rPr>
            </w:pPr>
            <w:r w:rsidRPr="001D41EA">
              <w:rPr>
                <w:rFonts w:cs="Arial"/>
                <w:sz w:val="18"/>
                <w:szCs w:val="18"/>
              </w:rPr>
              <w:t>2,715,353</w:t>
            </w:r>
          </w:p>
        </w:tc>
        <w:tc>
          <w:tcPr>
            <w:tcW w:w="1361" w:type="dxa"/>
            <w:tcBorders>
              <w:top w:val="nil"/>
              <w:left w:val="nil"/>
              <w:bottom w:val="nil"/>
              <w:right w:val="nil"/>
            </w:tcBorders>
            <w:shd w:val="clear" w:color="auto" w:fill="auto"/>
            <w:vAlign w:val="bottom"/>
          </w:tcPr>
          <w:p w14:paraId="3EB654A2" w14:textId="3B215ABF" w:rsidR="009F0AF7" w:rsidRPr="001D41EA" w:rsidRDefault="009F0AF7" w:rsidP="001D41EA">
            <w:pPr>
              <w:spacing w:before="40" w:after="40"/>
              <w:jc w:val="right"/>
              <w:rPr>
                <w:rFonts w:cs="Arial"/>
                <w:sz w:val="18"/>
                <w:szCs w:val="18"/>
              </w:rPr>
            </w:pPr>
            <w:r w:rsidRPr="001D41EA">
              <w:rPr>
                <w:rFonts w:cs="Arial"/>
                <w:sz w:val="18"/>
                <w:szCs w:val="18"/>
              </w:rPr>
              <w:t>1,744,135</w:t>
            </w:r>
          </w:p>
        </w:tc>
        <w:tc>
          <w:tcPr>
            <w:tcW w:w="1361" w:type="dxa"/>
            <w:tcBorders>
              <w:top w:val="nil"/>
              <w:left w:val="nil"/>
              <w:bottom w:val="nil"/>
              <w:right w:val="nil"/>
            </w:tcBorders>
            <w:vAlign w:val="bottom"/>
          </w:tcPr>
          <w:p w14:paraId="73D98F8F" w14:textId="09A31EF1" w:rsidR="009F0AF7" w:rsidRPr="001D41EA" w:rsidRDefault="009F0AF7" w:rsidP="001D41EA">
            <w:pPr>
              <w:spacing w:before="40" w:after="40"/>
              <w:jc w:val="right"/>
              <w:rPr>
                <w:rFonts w:cs="Arial"/>
                <w:sz w:val="18"/>
                <w:szCs w:val="18"/>
              </w:rPr>
            </w:pPr>
            <w:r w:rsidRPr="001D41EA">
              <w:rPr>
                <w:rFonts w:cs="Arial"/>
                <w:sz w:val="18"/>
                <w:szCs w:val="18"/>
              </w:rPr>
              <w:t>1,212,010</w:t>
            </w:r>
          </w:p>
        </w:tc>
        <w:tc>
          <w:tcPr>
            <w:tcW w:w="1361" w:type="dxa"/>
            <w:tcBorders>
              <w:top w:val="nil"/>
              <w:left w:val="nil"/>
              <w:bottom w:val="nil"/>
              <w:right w:val="nil"/>
            </w:tcBorders>
            <w:vAlign w:val="bottom"/>
          </w:tcPr>
          <w:p w14:paraId="7C655070" w14:textId="51E6B6F3" w:rsidR="009F0AF7" w:rsidRPr="001D41EA" w:rsidRDefault="009F0AF7" w:rsidP="001D41EA">
            <w:pPr>
              <w:spacing w:before="40" w:after="40"/>
              <w:jc w:val="right"/>
              <w:rPr>
                <w:rFonts w:cs="Arial"/>
                <w:sz w:val="18"/>
                <w:szCs w:val="18"/>
              </w:rPr>
            </w:pPr>
            <w:r w:rsidRPr="001D41EA">
              <w:rPr>
                <w:rFonts w:cs="Arial"/>
                <w:sz w:val="18"/>
                <w:szCs w:val="18"/>
              </w:rPr>
              <w:t>3,675,821</w:t>
            </w:r>
          </w:p>
        </w:tc>
        <w:tc>
          <w:tcPr>
            <w:tcW w:w="1361" w:type="dxa"/>
            <w:tcBorders>
              <w:top w:val="nil"/>
              <w:left w:val="nil"/>
              <w:bottom w:val="nil"/>
              <w:right w:val="nil"/>
            </w:tcBorders>
            <w:shd w:val="clear" w:color="auto" w:fill="auto"/>
            <w:vAlign w:val="bottom"/>
          </w:tcPr>
          <w:p w14:paraId="55CBE3AE" w14:textId="1B057959" w:rsidR="009F0AF7" w:rsidRPr="001D41EA" w:rsidRDefault="009F0AF7" w:rsidP="001D41EA">
            <w:pPr>
              <w:spacing w:before="40" w:after="40"/>
              <w:jc w:val="right"/>
              <w:rPr>
                <w:rFonts w:cs="Arial"/>
                <w:sz w:val="18"/>
                <w:szCs w:val="18"/>
              </w:rPr>
            </w:pPr>
            <w:r w:rsidRPr="001D41EA">
              <w:rPr>
                <w:rFonts w:cs="Arial"/>
                <w:sz w:val="18"/>
                <w:szCs w:val="18"/>
              </w:rPr>
              <w:t>1,973,941</w:t>
            </w:r>
          </w:p>
        </w:tc>
      </w:tr>
      <w:tr w:rsidR="009F0AF7" w:rsidRPr="001D41EA" w14:paraId="29E54F8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FBC9C03" w14:textId="77777777" w:rsidR="009F0AF7" w:rsidRPr="001D41EA" w:rsidRDefault="009F0AF7" w:rsidP="001D41EA">
            <w:pPr>
              <w:spacing w:before="40" w:after="40"/>
              <w:rPr>
                <w:rFonts w:cs="Arial"/>
                <w:sz w:val="18"/>
                <w:szCs w:val="18"/>
              </w:rPr>
            </w:pPr>
            <w:r w:rsidRPr="001D41EA">
              <w:rPr>
                <w:rFonts w:cs="Arial"/>
                <w:sz w:val="18"/>
                <w:szCs w:val="18"/>
              </w:rPr>
              <w:t>East Gippsland S</w:t>
            </w:r>
          </w:p>
        </w:tc>
        <w:tc>
          <w:tcPr>
            <w:tcW w:w="1361" w:type="dxa"/>
            <w:tcBorders>
              <w:top w:val="nil"/>
              <w:left w:val="single" w:sz="18" w:space="0" w:color="5F497A" w:themeColor="accent4" w:themeShade="BF"/>
              <w:bottom w:val="nil"/>
              <w:right w:val="nil"/>
            </w:tcBorders>
            <w:shd w:val="clear" w:color="auto" w:fill="auto"/>
            <w:vAlign w:val="bottom"/>
          </w:tcPr>
          <w:p w14:paraId="01BA1F25" w14:textId="3C0D027B" w:rsidR="009F0AF7" w:rsidRPr="001D41EA" w:rsidRDefault="009F0AF7" w:rsidP="001D41EA">
            <w:pPr>
              <w:spacing w:before="40" w:after="40"/>
              <w:jc w:val="right"/>
              <w:rPr>
                <w:rFonts w:cs="Arial"/>
                <w:sz w:val="18"/>
                <w:szCs w:val="18"/>
              </w:rPr>
            </w:pPr>
            <w:r w:rsidRPr="001D41EA">
              <w:rPr>
                <w:rFonts w:cs="Arial"/>
                <w:sz w:val="18"/>
                <w:szCs w:val="18"/>
              </w:rPr>
              <w:t>786,636</w:t>
            </w:r>
          </w:p>
        </w:tc>
        <w:tc>
          <w:tcPr>
            <w:tcW w:w="1361" w:type="dxa"/>
            <w:tcBorders>
              <w:top w:val="nil"/>
              <w:left w:val="nil"/>
              <w:bottom w:val="nil"/>
              <w:right w:val="nil"/>
            </w:tcBorders>
            <w:shd w:val="clear" w:color="auto" w:fill="auto"/>
            <w:vAlign w:val="bottom"/>
          </w:tcPr>
          <w:p w14:paraId="5C499240" w14:textId="5A24F688" w:rsidR="009F0AF7" w:rsidRPr="001D41EA" w:rsidRDefault="009F0AF7" w:rsidP="001D41EA">
            <w:pPr>
              <w:spacing w:before="40" w:after="40"/>
              <w:jc w:val="right"/>
              <w:rPr>
                <w:rFonts w:cs="Arial"/>
                <w:sz w:val="18"/>
                <w:szCs w:val="18"/>
              </w:rPr>
            </w:pPr>
            <w:r w:rsidRPr="001D41EA">
              <w:rPr>
                <w:rFonts w:cs="Arial"/>
                <w:sz w:val="18"/>
                <w:szCs w:val="18"/>
              </w:rPr>
              <w:t>433,759</w:t>
            </w:r>
          </w:p>
        </w:tc>
        <w:tc>
          <w:tcPr>
            <w:tcW w:w="1361" w:type="dxa"/>
            <w:tcBorders>
              <w:top w:val="nil"/>
              <w:left w:val="nil"/>
              <w:bottom w:val="nil"/>
              <w:right w:val="nil"/>
            </w:tcBorders>
            <w:vAlign w:val="bottom"/>
          </w:tcPr>
          <w:p w14:paraId="0D7C89DB" w14:textId="5712B50B" w:rsidR="009F0AF7" w:rsidRPr="001D41EA" w:rsidRDefault="009F0AF7" w:rsidP="001D41EA">
            <w:pPr>
              <w:spacing w:before="40" w:after="40"/>
              <w:jc w:val="right"/>
              <w:rPr>
                <w:rFonts w:cs="Arial"/>
                <w:sz w:val="18"/>
                <w:szCs w:val="18"/>
              </w:rPr>
            </w:pPr>
            <w:r w:rsidRPr="001D41EA">
              <w:rPr>
                <w:rFonts w:cs="Arial"/>
                <w:sz w:val="18"/>
                <w:szCs w:val="18"/>
              </w:rPr>
              <w:t>653,087</w:t>
            </w:r>
          </w:p>
        </w:tc>
        <w:tc>
          <w:tcPr>
            <w:tcW w:w="1361" w:type="dxa"/>
            <w:tcBorders>
              <w:top w:val="nil"/>
              <w:left w:val="nil"/>
              <w:bottom w:val="nil"/>
              <w:right w:val="nil"/>
            </w:tcBorders>
            <w:vAlign w:val="bottom"/>
          </w:tcPr>
          <w:p w14:paraId="7DC1508D" w14:textId="03B84795" w:rsidR="009F0AF7" w:rsidRPr="001D41EA" w:rsidRDefault="009F0AF7" w:rsidP="001D41EA">
            <w:pPr>
              <w:spacing w:before="40" w:after="40"/>
              <w:jc w:val="right"/>
              <w:rPr>
                <w:rFonts w:cs="Arial"/>
                <w:sz w:val="18"/>
                <w:szCs w:val="18"/>
              </w:rPr>
            </w:pPr>
            <w:r w:rsidRPr="001D41EA">
              <w:rPr>
                <w:rFonts w:cs="Arial"/>
                <w:sz w:val="18"/>
                <w:szCs w:val="18"/>
              </w:rPr>
              <w:t>1,064,882</w:t>
            </w:r>
          </w:p>
        </w:tc>
        <w:tc>
          <w:tcPr>
            <w:tcW w:w="1361" w:type="dxa"/>
            <w:tcBorders>
              <w:top w:val="nil"/>
              <w:left w:val="nil"/>
              <w:bottom w:val="nil"/>
              <w:right w:val="nil"/>
            </w:tcBorders>
            <w:shd w:val="clear" w:color="auto" w:fill="auto"/>
            <w:vAlign w:val="bottom"/>
          </w:tcPr>
          <w:p w14:paraId="7C3C21B0" w14:textId="4F9ED7C6" w:rsidR="009F0AF7" w:rsidRPr="001D41EA" w:rsidRDefault="009F0AF7" w:rsidP="001D41EA">
            <w:pPr>
              <w:spacing w:before="40" w:after="40"/>
              <w:jc w:val="right"/>
              <w:rPr>
                <w:rFonts w:cs="Arial"/>
                <w:sz w:val="18"/>
                <w:szCs w:val="18"/>
              </w:rPr>
            </w:pPr>
            <w:r w:rsidRPr="001D41EA">
              <w:rPr>
                <w:rFonts w:cs="Arial"/>
                <w:sz w:val="18"/>
                <w:szCs w:val="18"/>
              </w:rPr>
              <w:t>740,210</w:t>
            </w:r>
          </w:p>
        </w:tc>
      </w:tr>
      <w:tr w:rsidR="009F0AF7" w:rsidRPr="001D41EA" w14:paraId="056EC904"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D27D75C" w14:textId="77777777" w:rsidR="009F0AF7" w:rsidRPr="001D41EA" w:rsidRDefault="009F0AF7" w:rsidP="001D41EA">
            <w:pPr>
              <w:spacing w:before="40" w:after="40"/>
              <w:rPr>
                <w:rFonts w:cs="Arial"/>
                <w:sz w:val="18"/>
                <w:szCs w:val="18"/>
              </w:rPr>
            </w:pPr>
            <w:r w:rsidRPr="001D41EA">
              <w:rPr>
                <w:rFonts w:cs="Arial"/>
                <w:sz w:val="18"/>
                <w:szCs w:val="18"/>
              </w:rPr>
              <w:t>Frankston C</w:t>
            </w:r>
          </w:p>
        </w:tc>
        <w:tc>
          <w:tcPr>
            <w:tcW w:w="1361" w:type="dxa"/>
            <w:tcBorders>
              <w:top w:val="nil"/>
              <w:left w:val="single" w:sz="18" w:space="0" w:color="5F497A" w:themeColor="accent4" w:themeShade="BF"/>
              <w:bottom w:val="nil"/>
              <w:right w:val="nil"/>
            </w:tcBorders>
            <w:shd w:val="clear" w:color="auto" w:fill="auto"/>
            <w:vAlign w:val="bottom"/>
          </w:tcPr>
          <w:p w14:paraId="5C7DD9E8" w14:textId="1BC8AD0F" w:rsidR="009F0AF7" w:rsidRPr="001D41EA" w:rsidRDefault="009F0AF7" w:rsidP="001D41EA">
            <w:pPr>
              <w:spacing w:before="40" w:after="40"/>
              <w:jc w:val="right"/>
              <w:rPr>
                <w:rFonts w:cs="Arial"/>
                <w:sz w:val="18"/>
                <w:szCs w:val="18"/>
              </w:rPr>
            </w:pPr>
            <w:r w:rsidRPr="001D41EA">
              <w:rPr>
                <w:rFonts w:cs="Arial"/>
                <w:sz w:val="18"/>
                <w:szCs w:val="18"/>
              </w:rPr>
              <w:t>2,383,279</w:t>
            </w:r>
          </w:p>
        </w:tc>
        <w:tc>
          <w:tcPr>
            <w:tcW w:w="1361" w:type="dxa"/>
            <w:tcBorders>
              <w:top w:val="nil"/>
              <w:left w:val="nil"/>
              <w:bottom w:val="nil"/>
              <w:right w:val="nil"/>
            </w:tcBorders>
            <w:shd w:val="clear" w:color="auto" w:fill="auto"/>
            <w:vAlign w:val="bottom"/>
          </w:tcPr>
          <w:p w14:paraId="631D924A" w14:textId="7CA3E207" w:rsidR="009F0AF7" w:rsidRPr="001D41EA" w:rsidRDefault="009F0AF7" w:rsidP="001D41EA">
            <w:pPr>
              <w:spacing w:before="40" w:after="40"/>
              <w:jc w:val="right"/>
              <w:rPr>
                <w:rFonts w:cs="Arial"/>
                <w:sz w:val="18"/>
                <w:szCs w:val="18"/>
              </w:rPr>
            </w:pPr>
            <w:r w:rsidRPr="001D41EA">
              <w:rPr>
                <w:rFonts w:cs="Arial"/>
                <w:sz w:val="18"/>
                <w:szCs w:val="18"/>
              </w:rPr>
              <w:t>1,516,705</w:t>
            </w:r>
          </w:p>
        </w:tc>
        <w:tc>
          <w:tcPr>
            <w:tcW w:w="1361" w:type="dxa"/>
            <w:tcBorders>
              <w:top w:val="nil"/>
              <w:left w:val="nil"/>
              <w:bottom w:val="nil"/>
              <w:right w:val="nil"/>
            </w:tcBorders>
            <w:vAlign w:val="bottom"/>
          </w:tcPr>
          <w:p w14:paraId="00820823" w14:textId="36230E9F" w:rsidR="009F0AF7" w:rsidRPr="001D41EA" w:rsidRDefault="009F0AF7" w:rsidP="001D41EA">
            <w:pPr>
              <w:spacing w:before="40" w:after="40"/>
              <w:jc w:val="right"/>
              <w:rPr>
                <w:rFonts w:cs="Arial"/>
                <w:sz w:val="18"/>
                <w:szCs w:val="18"/>
              </w:rPr>
            </w:pPr>
            <w:r w:rsidRPr="001D41EA">
              <w:rPr>
                <w:rFonts w:cs="Arial"/>
                <w:sz w:val="18"/>
                <w:szCs w:val="18"/>
              </w:rPr>
              <w:t>1,335,650</w:t>
            </w:r>
          </w:p>
        </w:tc>
        <w:tc>
          <w:tcPr>
            <w:tcW w:w="1361" w:type="dxa"/>
            <w:tcBorders>
              <w:top w:val="nil"/>
              <w:left w:val="nil"/>
              <w:bottom w:val="nil"/>
              <w:right w:val="nil"/>
            </w:tcBorders>
            <w:vAlign w:val="bottom"/>
          </w:tcPr>
          <w:p w14:paraId="177EE5BB" w14:textId="79F4A8C6" w:rsidR="009F0AF7" w:rsidRPr="001D41EA" w:rsidRDefault="009F0AF7" w:rsidP="001D41EA">
            <w:pPr>
              <w:spacing w:before="40" w:after="40"/>
              <w:jc w:val="right"/>
              <w:rPr>
                <w:rFonts w:cs="Arial"/>
                <w:sz w:val="18"/>
                <w:szCs w:val="18"/>
              </w:rPr>
            </w:pPr>
            <w:r w:rsidRPr="001D41EA">
              <w:rPr>
                <w:rFonts w:cs="Arial"/>
                <w:sz w:val="18"/>
                <w:szCs w:val="18"/>
              </w:rPr>
              <w:t>3,226,286</w:t>
            </w:r>
          </w:p>
        </w:tc>
        <w:tc>
          <w:tcPr>
            <w:tcW w:w="1361" w:type="dxa"/>
            <w:tcBorders>
              <w:top w:val="nil"/>
              <w:left w:val="nil"/>
              <w:bottom w:val="nil"/>
              <w:right w:val="nil"/>
            </w:tcBorders>
            <w:shd w:val="clear" w:color="auto" w:fill="auto"/>
            <w:vAlign w:val="bottom"/>
          </w:tcPr>
          <w:p w14:paraId="7A40078E" w14:textId="39FBAAEB" w:rsidR="009F0AF7" w:rsidRPr="001D41EA" w:rsidRDefault="009F0AF7" w:rsidP="001D41EA">
            <w:pPr>
              <w:spacing w:before="40" w:after="40"/>
              <w:jc w:val="right"/>
              <w:rPr>
                <w:rFonts w:cs="Arial"/>
                <w:sz w:val="18"/>
                <w:szCs w:val="18"/>
              </w:rPr>
            </w:pPr>
            <w:r w:rsidRPr="001D41EA">
              <w:rPr>
                <w:rFonts w:cs="Arial"/>
                <w:sz w:val="18"/>
                <w:szCs w:val="18"/>
              </w:rPr>
              <w:t>1,724,348</w:t>
            </w:r>
          </w:p>
        </w:tc>
      </w:tr>
      <w:tr w:rsidR="009F0AF7" w:rsidRPr="001D41EA" w14:paraId="64C801D6"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622420C" w14:textId="77777777" w:rsidR="009F0AF7" w:rsidRPr="001D41EA" w:rsidRDefault="009F0AF7" w:rsidP="001D41EA">
            <w:pPr>
              <w:spacing w:before="40" w:after="40"/>
              <w:rPr>
                <w:rFonts w:cs="Arial"/>
                <w:sz w:val="18"/>
                <w:szCs w:val="18"/>
              </w:rPr>
            </w:pPr>
            <w:r w:rsidRPr="001D41EA">
              <w:rPr>
                <w:rFonts w:cs="Arial"/>
                <w:sz w:val="18"/>
                <w:szCs w:val="18"/>
              </w:rPr>
              <w:t>Gannawarra S</w:t>
            </w:r>
          </w:p>
        </w:tc>
        <w:tc>
          <w:tcPr>
            <w:tcW w:w="1361" w:type="dxa"/>
            <w:tcBorders>
              <w:top w:val="nil"/>
              <w:left w:val="single" w:sz="18" w:space="0" w:color="5F497A" w:themeColor="accent4" w:themeShade="BF"/>
              <w:bottom w:val="nil"/>
              <w:right w:val="nil"/>
            </w:tcBorders>
            <w:shd w:val="clear" w:color="auto" w:fill="auto"/>
            <w:vAlign w:val="bottom"/>
          </w:tcPr>
          <w:p w14:paraId="6B4C848C" w14:textId="06D8BDEF" w:rsidR="009F0AF7" w:rsidRPr="001D41EA" w:rsidRDefault="009F0AF7" w:rsidP="001D41EA">
            <w:pPr>
              <w:spacing w:before="40" w:after="40"/>
              <w:jc w:val="right"/>
              <w:rPr>
                <w:rFonts w:cs="Arial"/>
                <w:sz w:val="18"/>
                <w:szCs w:val="18"/>
              </w:rPr>
            </w:pPr>
            <w:r w:rsidRPr="001D41EA">
              <w:rPr>
                <w:rFonts w:cs="Arial"/>
                <w:sz w:val="18"/>
                <w:szCs w:val="18"/>
              </w:rPr>
              <w:t>177,211</w:t>
            </w:r>
          </w:p>
        </w:tc>
        <w:tc>
          <w:tcPr>
            <w:tcW w:w="1361" w:type="dxa"/>
            <w:tcBorders>
              <w:top w:val="nil"/>
              <w:left w:val="nil"/>
              <w:bottom w:val="nil"/>
              <w:right w:val="nil"/>
            </w:tcBorders>
            <w:shd w:val="clear" w:color="auto" w:fill="auto"/>
            <w:vAlign w:val="bottom"/>
          </w:tcPr>
          <w:p w14:paraId="7185E5EB" w14:textId="43FB3505" w:rsidR="009F0AF7" w:rsidRPr="001D41EA" w:rsidRDefault="009F0AF7" w:rsidP="001D41EA">
            <w:pPr>
              <w:spacing w:before="40" w:after="40"/>
              <w:jc w:val="right"/>
              <w:rPr>
                <w:rFonts w:cs="Arial"/>
                <w:sz w:val="18"/>
                <w:szCs w:val="18"/>
              </w:rPr>
            </w:pPr>
            <w:r w:rsidRPr="001D41EA">
              <w:rPr>
                <w:rFonts w:cs="Arial"/>
                <w:sz w:val="18"/>
                <w:szCs w:val="18"/>
              </w:rPr>
              <w:t>97,365</w:t>
            </w:r>
          </w:p>
        </w:tc>
        <w:tc>
          <w:tcPr>
            <w:tcW w:w="1361" w:type="dxa"/>
            <w:tcBorders>
              <w:top w:val="nil"/>
              <w:left w:val="nil"/>
              <w:bottom w:val="nil"/>
              <w:right w:val="nil"/>
            </w:tcBorders>
            <w:vAlign w:val="bottom"/>
          </w:tcPr>
          <w:p w14:paraId="38D25A56" w14:textId="172DC754" w:rsidR="009F0AF7" w:rsidRPr="001D41EA" w:rsidRDefault="009F0AF7" w:rsidP="001D41EA">
            <w:pPr>
              <w:spacing w:before="40" w:after="40"/>
              <w:jc w:val="right"/>
              <w:rPr>
                <w:rFonts w:cs="Arial"/>
                <w:sz w:val="18"/>
                <w:szCs w:val="18"/>
              </w:rPr>
            </w:pPr>
            <w:r w:rsidRPr="001D41EA">
              <w:rPr>
                <w:rFonts w:cs="Arial"/>
                <w:sz w:val="18"/>
                <w:szCs w:val="18"/>
              </w:rPr>
              <w:t>138,097</w:t>
            </w:r>
          </w:p>
        </w:tc>
        <w:tc>
          <w:tcPr>
            <w:tcW w:w="1361" w:type="dxa"/>
            <w:tcBorders>
              <w:top w:val="nil"/>
              <w:left w:val="nil"/>
              <w:bottom w:val="nil"/>
              <w:right w:val="nil"/>
            </w:tcBorders>
            <w:vAlign w:val="bottom"/>
          </w:tcPr>
          <w:p w14:paraId="78E079B8" w14:textId="52449212" w:rsidR="009F0AF7" w:rsidRPr="001D41EA" w:rsidRDefault="009F0AF7" w:rsidP="001D41EA">
            <w:pPr>
              <w:spacing w:before="40" w:after="40"/>
              <w:jc w:val="right"/>
              <w:rPr>
                <w:rFonts w:cs="Arial"/>
                <w:sz w:val="18"/>
                <w:szCs w:val="18"/>
              </w:rPr>
            </w:pPr>
            <w:r w:rsidRPr="001D41EA">
              <w:rPr>
                <w:rFonts w:cs="Arial"/>
                <w:sz w:val="18"/>
                <w:szCs w:val="18"/>
              </w:rPr>
              <w:t>239,893</w:t>
            </w:r>
          </w:p>
        </w:tc>
        <w:tc>
          <w:tcPr>
            <w:tcW w:w="1361" w:type="dxa"/>
            <w:tcBorders>
              <w:top w:val="nil"/>
              <w:left w:val="nil"/>
              <w:bottom w:val="nil"/>
              <w:right w:val="nil"/>
            </w:tcBorders>
            <w:shd w:val="clear" w:color="auto" w:fill="auto"/>
            <w:vAlign w:val="bottom"/>
          </w:tcPr>
          <w:p w14:paraId="56AA77EF" w14:textId="2BA48AFE" w:rsidR="009F0AF7" w:rsidRPr="001D41EA" w:rsidRDefault="009F0AF7" w:rsidP="001D41EA">
            <w:pPr>
              <w:spacing w:before="40" w:after="40"/>
              <w:jc w:val="right"/>
              <w:rPr>
                <w:rFonts w:cs="Arial"/>
                <w:sz w:val="18"/>
                <w:szCs w:val="18"/>
              </w:rPr>
            </w:pPr>
            <w:r w:rsidRPr="001D41EA">
              <w:rPr>
                <w:rFonts w:cs="Arial"/>
                <w:sz w:val="18"/>
                <w:szCs w:val="18"/>
              </w:rPr>
              <w:t>157,192</w:t>
            </w:r>
          </w:p>
        </w:tc>
      </w:tr>
      <w:tr w:rsidR="009F0AF7" w:rsidRPr="001D41EA" w14:paraId="1C3B757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7FB4BCD" w14:textId="77777777" w:rsidR="009F0AF7" w:rsidRPr="001D41EA" w:rsidRDefault="009F0AF7" w:rsidP="001D41EA">
            <w:pPr>
              <w:spacing w:before="40" w:after="40"/>
              <w:rPr>
                <w:rFonts w:cs="Arial"/>
                <w:sz w:val="18"/>
                <w:szCs w:val="18"/>
              </w:rPr>
            </w:pPr>
            <w:r w:rsidRPr="001D41EA">
              <w:rPr>
                <w:rFonts w:cs="Arial"/>
                <w:sz w:val="18"/>
                <w:szCs w:val="18"/>
              </w:rPr>
              <w:t>Glen Eira C</w:t>
            </w:r>
          </w:p>
        </w:tc>
        <w:tc>
          <w:tcPr>
            <w:tcW w:w="1361" w:type="dxa"/>
            <w:tcBorders>
              <w:top w:val="nil"/>
              <w:left w:val="single" w:sz="18" w:space="0" w:color="5F497A" w:themeColor="accent4" w:themeShade="BF"/>
              <w:bottom w:val="nil"/>
              <w:right w:val="nil"/>
            </w:tcBorders>
            <w:shd w:val="clear" w:color="auto" w:fill="auto"/>
            <w:vAlign w:val="bottom"/>
          </w:tcPr>
          <w:p w14:paraId="2E97E83E" w14:textId="6274EC91" w:rsidR="009F0AF7" w:rsidRPr="001D41EA" w:rsidRDefault="009F0AF7" w:rsidP="001D41EA">
            <w:pPr>
              <w:spacing w:before="40" w:after="40"/>
              <w:jc w:val="right"/>
              <w:rPr>
                <w:rFonts w:cs="Arial"/>
                <w:sz w:val="18"/>
                <w:szCs w:val="18"/>
              </w:rPr>
            </w:pPr>
            <w:r w:rsidRPr="001D41EA">
              <w:rPr>
                <w:rFonts w:cs="Arial"/>
                <w:sz w:val="18"/>
                <w:szCs w:val="18"/>
              </w:rPr>
              <w:t>2,585,121</w:t>
            </w:r>
          </w:p>
        </w:tc>
        <w:tc>
          <w:tcPr>
            <w:tcW w:w="1361" w:type="dxa"/>
            <w:tcBorders>
              <w:top w:val="nil"/>
              <w:left w:val="nil"/>
              <w:bottom w:val="nil"/>
              <w:right w:val="nil"/>
            </w:tcBorders>
            <w:shd w:val="clear" w:color="auto" w:fill="auto"/>
            <w:vAlign w:val="bottom"/>
          </w:tcPr>
          <w:p w14:paraId="14B5542A" w14:textId="3AA45CA7" w:rsidR="009F0AF7" w:rsidRPr="001D41EA" w:rsidRDefault="009F0AF7" w:rsidP="001D41EA">
            <w:pPr>
              <w:spacing w:before="40" w:after="40"/>
              <w:jc w:val="right"/>
              <w:rPr>
                <w:rFonts w:cs="Arial"/>
                <w:sz w:val="18"/>
                <w:szCs w:val="18"/>
              </w:rPr>
            </w:pPr>
            <w:r w:rsidRPr="001D41EA">
              <w:rPr>
                <w:rFonts w:cs="Arial"/>
                <w:sz w:val="18"/>
                <w:szCs w:val="18"/>
              </w:rPr>
              <w:t>2,018,127</w:t>
            </w:r>
          </w:p>
        </w:tc>
        <w:tc>
          <w:tcPr>
            <w:tcW w:w="1361" w:type="dxa"/>
            <w:tcBorders>
              <w:top w:val="nil"/>
              <w:left w:val="nil"/>
              <w:bottom w:val="nil"/>
              <w:right w:val="nil"/>
            </w:tcBorders>
            <w:vAlign w:val="bottom"/>
          </w:tcPr>
          <w:p w14:paraId="0B6A873C" w14:textId="4E8354AC" w:rsidR="009F0AF7" w:rsidRPr="001D41EA" w:rsidRDefault="009F0AF7" w:rsidP="001D41EA">
            <w:pPr>
              <w:spacing w:before="40" w:after="40"/>
              <w:jc w:val="right"/>
              <w:rPr>
                <w:rFonts w:cs="Arial"/>
                <w:sz w:val="18"/>
                <w:szCs w:val="18"/>
              </w:rPr>
            </w:pPr>
            <w:r w:rsidRPr="001D41EA">
              <w:rPr>
                <w:rFonts w:cs="Arial"/>
                <w:sz w:val="18"/>
                <w:szCs w:val="18"/>
              </w:rPr>
              <w:t>1,483,733</w:t>
            </w:r>
          </w:p>
        </w:tc>
        <w:tc>
          <w:tcPr>
            <w:tcW w:w="1361" w:type="dxa"/>
            <w:tcBorders>
              <w:top w:val="nil"/>
              <w:left w:val="nil"/>
              <w:bottom w:val="nil"/>
              <w:right w:val="nil"/>
            </w:tcBorders>
            <w:vAlign w:val="bottom"/>
          </w:tcPr>
          <w:p w14:paraId="10D2B036" w14:textId="1F543ACE" w:rsidR="009F0AF7" w:rsidRPr="001D41EA" w:rsidRDefault="009F0AF7" w:rsidP="001D41EA">
            <w:pPr>
              <w:spacing w:before="40" w:after="40"/>
              <w:jc w:val="right"/>
              <w:rPr>
                <w:rFonts w:cs="Arial"/>
                <w:sz w:val="18"/>
                <w:szCs w:val="18"/>
              </w:rPr>
            </w:pPr>
            <w:r w:rsidRPr="001D41EA">
              <w:rPr>
                <w:rFonts w:cs="Arial"/>
                <w:sz w:val="18"/>
                <w:szCs w:val="18"/>
              </w:rPr>
              <w:t>3,499,523</w:t>
            </w:r>
          </w:p>
        </w:tc>
        <w:tc>
          <w:tcPr>
            <w:tcW w:w="1361" w:type="dxa"/>
            <w:tcBorders>
              <w:top w:val="nil"/>
              <w:left w:val="nil"/>
              <w:bottom w:val="nil"/>
              <w:right w:val="nil"/>
            </w:tcBorders>
            <w:shd w:val="clear" w:color="auto" w:fill="auto"/>
            <w:vAlign w:val="bottom"/>
          </w:tcPr>
          <w:p w14:paraId="7DBECFEB" w14:textId="7D60AF06" w:rsidR="009F0AF7" w:rsidRPr="001D41EA" w:rsidRDefault="009F0AF7" w:rsidP="001D41EA">
            <w:pPr>
              <w:spacing w:before="40" w:after="40"/>
              <w:jc w:val="right"/>
              <w:rPr>
                <w:rFonts w:cs="Arial"/>
                <w:sz w:val="18"/>
                <w:szCs w:val="18"/>
              </w:rPr>
            </w:pPr>
            <w:r w:rsidRPr="001D41EA">
              <w:rPr>
                <w:rFonts w:cs="Arial"/>
                <w:sz w:val="18"/>
                <w:szCs w:val="18"/>
              </w:rPr>
              <w:t>1,839,748</w:t>
            </w:r>
          </w:p>
        </w:tc>
      </w:tr>
      <w:tr w:rsidR="009F0AF7" w:rsidRPr="001D41EA" w14:paraId="59143A50"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0152853" w14:textId="77777777" w:rsidR="009F0AF7" w:rsidRPr="001D41EA" w:rsidRDefault="009F0AF7" w:rsidP="001D41EA">
            <w:pPr>
              <w:spacing w:before="40" w:after="40"/>
              <w:rPr>
                <w:rFonts w:cs="Arial"/>
                <w:sz w:val="18"/>
                <w:szCs w:val="18"/>
              </w:rPr>
            </w:pPr>
            <w:r w:rsidRPr="001D41EA">
              <w:rPr>
                <w:rFonts w:cs="Arial"/>
                <w:sz w:val="18"/>
                <w:szCs w:val="18"/>
              </w:rPr>
              <w:t>Glenelg S</w:t>
            </w:r>
          </w:p>
        </w:tc>
        <w:tc>
          <w:tcPr>
            <w:tcW w:w="1361" w:type="dxa"/>
            <w:tcBorders>
              <w:top w:val="nil"/>
              <w:left w:val="single" w:sz="18" w:space="0" w:color="5F497A" w:themeColor="accent4" w:themeShade="BF"/>
              <w:bottom w:val="nil"/>
              <w:right w:val="nil"/>
            </w:tcBorders>
            <w:shd w:val="clear" w:color="auto" w:fill="auto"/>
            <w:vAlign w:val="bottom"/>
          </w:tcPr>
          <w:p w14:paraId="36B8BB70" w14:textId="0127703F" w:rsidR="009F0AF7" w:rsidRPr="001D41EA" w:rsidRDefault="009F0AF7" w:rsidP="001D41EA">
            <w:pPr>
              <w:spacing w:before="40" w:after="40"/>
              <w:jc w:val="right"/>
              <w:rPr>
                <w:rFonts w:cs="Arial"/>
                <w:sz w:val="18"/>
                <w:szCs w:val="18"/>
              </w:rPr>
            </w:pPr>
            <w:r w:rsidRPr="001D41EA">
              <w:rPr>
                <w:rFonts w:cs="Arial"/>
                <w:sz w:val="18"/>
                <w:szCs w:val="18"/>
              </w:rPr>
              <w:t>330,411</w:t>
            </w:r>
          </w:p>
        </w:tc>
        <w:tc>
          <w:tcPr>
            <w:tcW w:w="1361" w:type="dxa"/>
            <w:tcBorders>
              <w:top w:val="nil"/>
              <w:left w:val="nil"/>
              <w:bottom w:val="nil"/>
              <w:right w:val="nil"/>
            </w:tcBorders>
            <w:shd w:val="clear" w:color="auto" w:fill="auto"/>
            <w:vAlign w:val="bottom"/>
          </w:tcPr>
          <w:p w14:paraId="67FB95DF" w14:textId="6109C620" w:rsidR="009F0AF7" w:rsidRPr="001D41EA" w:rsidRDefault="009F0AF7" w:rsidP="001D41EA">
            <w:pPr>
              <w:spacing w:before="40" w:after="40"/>
              <w:jc w:val="right"/>
              <w:rPr>
                <w:rFonts w:cs="Arial"/>
                <w:sz w:val="18"/>
                <w:szCs w:val="18"/>
              </w:rPr>
            </w:pPr>
            <w:r w:rsidRPr="001D41EA">
              <w:rPr>
                <w:rFonts w:cs="Arial"/>
                <w:sz w:val="18"/>
                <w:szCs w:val="18"/>
              </w:rPr>
              <w:t>175,009</w:t>
            </w:r>
          </w:p>
        </w:tc>
        <w:tc>
          <w:tcPr>
            <w:tcW w:w="1361" w:type="dxa"/>
            <w:tcBorders>
              <w:top w:val="nil"/>
              <w:left w:val="nil"/>
              <w:bottom w:val="nil"/>
              <w:right w:val="nil"/>
            </w:tcBorders>
            <w:vAlign w:val="bottom"/>
          </w:tcPr>
          <w:p w14:paraId="39B17237" w14:textId="4F029E08" w:rsidR="009F0AF7" w:rsidRPr="001D41EA" w:rsidRDefault="009F0AF7" w:rsidP="001D41EA">
            <w:pPr>
              <w:spacing w:before="40" w:after="40"/>
              <w:jc w:val="right"/>
              <w:rPr>
                <w:rFonts w:cs="Arial"/>
                <w:sz w:val="18"/>
                <w:szCs w:val="18"/>
              </w:rPr>
            </w:pPr>
            <w:r w:rsidRPr="001D41EA">
              <w:rPr>
                <w:rFonts w:cs="Arial"/>
                <w:sz w:val="18"/>
                <w:szCs w:val="18"/>
              </w:rPr>
              <w:t>240,081</w:t>
            </w:r>
          </w:p>
        </w:tc>
        <w:tc>
          <w:tcPr>
            <w:tcW w:w="1361" w:type="dxa"/>
            <w:tcBorders>
              <w:top w:val="nil"/>
              <w:left w:val="nil"/>
              <w:bottom w:val="nil"/>
              <w:right w:val="nil"/>
            </w:tcBorders>
            <w:vAlign w:val="bottom"/>
          </w:tcPr>
          <w:p w14:paraId="67777887" w14:textId="32756722" w:rsidR="009F0AF7" w:rsidRPr="001D41EA" w:rsidRDefault="009F0AF7" w:rsidP="001D41EA">
            <w:pPr>
              <w:spacing w:before="40" w:after="40"/>
              <w:jc w:val="right"/>
              <w:rPr>
                <w:rFonts w:cs="Arial"/>
                <w:sz w:val="18"/>
                <w:szCs w:val="18"/>
              </w:rPr>
            </w:pPr>
            <w:r w:rsidRPr="001D41EA">
              <w:rPr>
                <w:rFonts w:cs="Arial"/>
                <w:sz w:val="18"/>
                <w:szCs w:val="18"/>
              </w:rPr>
              <w:t>447,283</w:t>
            </w:r>
          </w:p>
        </w:tc>
        <w:tc>
          <w:tcPr>
            <w:tcW w:w="1361" w:type="dxa"/>
            <w:tcBorders>
              <w:top w:val="nil"/>
              <w:left w:val="nil"/>
              <w:bottom w:val="nil"/>
              <w:right w:val="nil"/>
            </w:tcBorders>
            <w:shd w:val="clear" w:color="auto" w:fill="auto"/>
            <w:vAlign w:val="bottom"/>
          </w:tcPr>
          <w:p w14:paraId="6D57B6FF" w14:textId="5D024F1A" w:rsidR="009F0AF7" w:rsidRPr="001D41EA" w:rsidRDefault="009F0AF7" w:rsidP="001D41EA">
            <w:pPr>
              <w:spacing w:before="40" w:after="40"/>
              <w:jc w:val="right"/>
              <w:rPr>
                <w:rFonts w:cs="Arial"/>
                <w:sz w:val="18"/>
                <w:szCs w:val="18"/>
              </w:rPr>
            </w:pPr>
            <w:r w:rsidRPr="001D41EA">
              <w:rPr>
                <w:rFonts w:cs="Arial"/>
                <w:sz w:val="18"/>
                <w:szCs w:val="18"/>
              </w:rPr>
              <w:t>294,800</w:t>
            </w:r>
          </w:p>
        </w:tc>
      </w:tr>
      <w:tr w:rsidR="009F0AF7" w:rsidRPr="001D41EA" w14:paraId="78B11D6A"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80DFBA1" w14:textId="77777777" w:rsidR="009F0AF7" w:rsidRPr="001D41EA" w:rsidRDefault="009F0AF7" w:rsidP="001D41EA">
            <w:pPr>
              <w:spacing w:before="40" w:after="40"/>
              <w:rPr>
                <w:rFonts w:cs="Arial"/>
                <w:sz w:val="18"/>
                <w:szCs w:val="18"/>
              </w:rPr>
            </w:pPr>
            <w:r w:rsidRPr="001D41EA">
              <w:rPr>
                <w:rFonts w:cs="Arial"/>
                <w:sz w:val="18"/>
                <w:szCs w:val="18"/>
              </w:rPr>
              <w:t>Golden Plains S</w:t>
            </w:r>
          </w:p>
        </w:tc>
        <w:tc>
          <w:tcPr>
            <w:tcW w:w="1361" w:type="dxa"/>
            <w:tcBorders>
              <w:top w:val="nil"/>
              <w:left w:val="single" w:sz="18" w:space="0" w:color="5F497A" w:themeColor="accent4" w:themeShade="BF"/>
              <w:bottom w:val="nil"/>
              <w:right w:val="nil"/>
            </w:tcBorders>
            <w:shd w:val="clear" w:color="auto" w:fill="auto"/>
            <w:vAlign w:val="bottom"/>
          </w:tcPr>
          <w:p w14:paraId="4B7B5742" w14:textId="3CA18AC9" w:rsidR="009F0AF7" w:rsidRPr="001D41EA" w:rsidRDefault="009F0AF7" w:rsidP="001D41EA">
            <w:pPr>
              <w:spacing w:before="40" w:after="40"/>
              <w:jc w:val="right"/>
              <w:rPr>
                <w:rFonts w:cs="Arial"/>
                <w:sz w:val="18"/>
                <w:szCs w:val="18"/>
              </w:rPr>
            </w:pPr>
            <w:r w:rsidRPr="001D41EA">
              <w:rPr>
                <w:rFonts w:cs="Arial"/>
                <w:sz w:val="18"/>
                <w:szCs w:val="18"/>
              </w:rPr>
              <w:t>388,462</w:t>
            </w:r>
          </w:p>
        </w:tc>
        <w:tc>
          <w:tcPr>
            <w:tcW w:w="1361" w:type="dxa"/>
            <w:tcBorders>
              <w:top w:val="nil"/>
              <w:left w:val="nil"/>
              <w:bottom w:val="nil"/>
              <w:right w:val="nil"/>
            </w:tcBorders>
            <w:shd w:val="clear" w:color="auto" w:fill="auto"/>
            <w:vAlign w:val="bottom"/>
          </w:tcPr>
          <w:p w14:paraId="55CF5DE9" w14:textId="1C5621E8" w:rsidR="009F0AF7" w:rsidRPr="001D41EA" w:rsidRDefault="009F0AF7" w:rsidP="001D41EA">
            <w:pPr>
              <w:spacing w:before="40" w:after="40"/>
              <w:jc w:val="right"/>
              <w:rPr>
                <w:rFonts w:cs="Arial"/>
                <w:sz w:val="18"/>
                <w:szCs w:val="18"/>
              </w:rPr>
            </w:pPr>
            <w:r w:rsidRPr="001D41EA">
              <w:rPr>
                <w:rFonts w:cs="Arial"/>
                <w:sz w:val="18"/>
                <w:szCs w:val="18"/>
              </w:rPr>
              <w:t>273,319</w:t>
            </w:r>
          </w:p>
        </w:tc>
        <w:tc>
          <w:tcPr>
            <w:tcW w:w="1361" w:type="dxa"/>
            <w:tcBorders>
              <w:top w:val="nil"/>
              <w:left w:val="nil"/>
              <w:bottom w:val="nil"/>
              <w:right w:val="nil"/>
            </w:tcBorders>
            <w:vAlign w:val="bottom"/>
          </w:tcPr>
          <w:p w14:paraId="0F5292CF" w14:textId="2F5F6F70" w:rsidR="009F0AF7" w:rsidRPr="001D41EA" w:rsidRDefault="009F0AF7" w:rsidP="001D41EA">
            <w:pPr>
              <w:spacing w:before="40" w:after="40"/>
              <w:jc w:val="right"/>
              <w:rPr>
                <w:rFonts w:cs="Arial"/>
                <w:sz w:val="18"/>
                <w:szCs w:val="18"/>
              </w:rPr>
            </w:pPr>
            <w:r w:rsidRPr="001D41EA">
              <w:rPr>
                <w:rFonts w:cs="Arial"/>
                <w:sz w:val="18"/>
                <w:szCs w:val="18"/>
              </w:rPr>
              <w:t>210,341</w:t>
            </w:r>
          </w:p>
        </w:tc>
        <w:tc>
          <w:tcPr>
            <w:tcW w:w="1361" w:type="dxa"/>
            <w:tcBorders>
              <w:top w:val="nil"/>
              <w:left w:val="nil"/>
              <w:bottom w:val="nil"/>
              <w:right w:val="nil"/>
            </w:tcBorders>
            <w:vAlign w:val="bottom"/>
          </w:tcPr>
          <w:p w14:paraId="6DD6B689" w14:textId="7B42F154" w:rsidR="009F0AF7" w:rsidRPr="001D41EA" w:rsidRDefault="009F0AF7" w:rsidP="001D41EA">
            <w:pPr>
              <w:spacing w:before="40" w:after="40"/>
              <w:jc w:val="right"/>
              <w:rPr>
                <w:rFonts w:cs="Arial"/>
                <w:sz w:val="18"/>
                <w:szCs w:val="18"/>
              </w:rPr>
            </w:pPr>
            <w:r w:rsidRPr="001D41EA">
              <w:rPr>
                <w:rFonts w:cs="Arial"/>
                <w:sz w:val="18"/>
                <w:szCs w:val="18"/>
              </w:rPr>
              <w:t>525,868</w:t>
            </w:r>
          </w:p>
        </w:tc>
        <w:tc>
          <w:tcPr>
            <w:tcW w:w="1361" w:type="dxa"/>
            <w:tcBorders>
              <w:top w:val="nil"/>
              <w:left w:val="nil"/>
              <w:bottom w:val="nil"/>
              <w:right w:val="nil"/>
            </w:tcBorders>
            <w:shd w:val="clear" w:color="auto" w:fill="auto"/>
            <w:vAlign w:val="bottom"/>
          </w:tcPr>
          <w:p w14:paraId="61258D78" w14:textId="523114F5" w:rsidR="009F0AF7" w:rsidRPr="001D41EA" w:rsidRDefault="009F0AF7" w:rsidP="001D41EA">
            <w:pPr>
              <w:spacing w:before="40" w:after="40"/>
              <w:jc w:val="right"/>
              <w:rPr>
                <w:rFonts w:cs="Arial"/>
                <w:sz w:val="18"/>
                <w:szCs w:val="18"/>
              </w:rPr>
            </w:pPr>
            <w:r w:rsidRPr="001D41EA">
              <w:rPr>
                <w:rFonts w:cs="Arial"/>
                <w:sz w:val="18"/>
                <w:szCs w:val="18"/>
              </w:rPr>
              <w:t>262,223</w:t>
            </w:r>
          </w:p>
        </w:tc>
      </w:tr>
      <w:tr w:rsidR="009F0AF7" w:rsidRPr="001D41EA" w14:paraId="17763BF3"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DC27022" w14:textId="77777777" w:rsidR="009F0AF7" w:rsidRPr="001D41EA" w:rsidRDefault="009F0AF7" w:rsidP="001D41EA">
            <w:pPr>
              <w:spacing w:before="40" w:after="40"/>
              <w:rPr>
                <w:rFonts w:cs="Arial"/>
                <w:sz w:val="18"/>
                <w:szCs w:val="18"/>
              </w:rPr>
            </w:pPr>
            <w:r w:rsidRPr="001D41EA">
              <w:rPr>
                <w:rFonts w:cs="Arial"/>
                <w:sz w:val="18"/>
                <w:szCs w:val="18"/>
              </w:rPr>
              <w:t>Greater Bendigo C</w:t>
            </w:r>
          </w:p>
        </w:tc>
        <w:tc>
          <w:tcPr>
            <w:tcW w:w="1361" w:type="dxa"/>
            <w:tcBorders>
              <w:top w:val="nil"/>
              <w:left w:val="single" w:sz="18" w:space="0" w:color="5F497A" w:themeColor="accent4" w:themeShade="BF"/>
              <w:bottom w:val="nil"/>
              <w:right w:val="nil"/>
            </w:tcBorders>
            <w:shd w:val="clear" w:color="auto" w:fill="auto"/>
            <w:vAlign w:val="bottom"/>
          </w:tcPr>
          <w:p w14:paraId="67548F4E" w14:textId="3FFDD525" w:rsidR="009F0AF7" w:rsidRPr="001D41EA" w:rsidRDefault="009F0AF7" w:rsidP="001D41EA">
            <w:pPr>
              <w:spacing w:before="40" w:after="40"/>
              <w:jc w:val="right"/>
              <w:rPr>
                <w:rFonts w:cs="Arial"/>
                <w:sz w:val="18"/>
                <w:szCs w:val="18"/>
              </w:rPr>
            </w:pPr>
            <w:r w:rsidRPr="001D41EA">
              <w:rPr>
                <w:rFonts w:cs="Arial"/>
                <w:sz w:val="18"/>
                <w:szCs w:val="18"/>
              </w:rPr>
              <w:t>1,949,787</w:t>
            </w:r>
          </w:p>
        </w:tc>
        <w:tc>
          <w:tcPr>
            <w:tcW w:w="1361" w:type="dxa"/>
            <w:tcBorders>
              <w:top w:val="nil"/>
              <w:left w:val="nil"/>
              <w:bottom w:val="nil"/>
              <w:right w:val="nil"/>
            </w:tcBorders>
            <w:shd w:val="clear" w:color="auto" w:fill="auto"/>
            <w:vAlign w:val="bottom"/>
          </w:tcPr>
          <w:p w14:paraId="320AA410" w14:textId="07E6B3A1" w:rsidR="009F0AF7" w:rsidRPr="001D41EA" w:rsidRDefault="009F0AF7" w:rsidP="001D41EA">
            <w:pPr>
              <w:spacing w:before="40" w:after="40"/>
              <w:jc w:val="right"/>
              <w:rPr>
                <w:rFonts w:cs="Arial"/>
                <w:sz w:val="18"/>
                <w:szCs w:val="18"/>
              </w:rPr>
            </w:pPr>
            <w:r w:rsidRPr="001D41EA">
              <w:rPr>
                <w:rFonts w:cs="Arial"/>
                <w:sz w:val="18"/>
                <w:szCs w:val="18"/>
              </w:rPr>
              <w:t>1,163,763</w:t>
            </w:r>
          </w:p>
        </w:tc>
        <w:tc>
          <w:tcPr>
            <w:tcW w:w="1361" w:type="dxa"/>
            <w:tcBorders>
              <w:top w:val="nil"/>
              <w:left w:val="nil"/>
              <w:bottom w:val="nil"/>
              <w:right w:val="nil"/>
            </w:tcBorders>
            <w:vAlign w:val="bottom"/>
          </w:tcPr>
          <w:p w14:paraId="5D44D5E6" w14:textId="3885CA08" w:rsidR="009F0AF7" w:rsidRPr="001D41EA" w:rsidRDefault="009F0AF7" w:rsidP="001D41EA">
            <w:pPr>
              <w:spacing w:before="40" w:after="40"/>
              <w:jc w:val="right"/>
              <w:rPr>
                <w:rFonts w:cs="Arial"/>
                <w:sz w:val="18"/>
                <w:szCs w:val="18"/>
              </w:rPr>
            </w:pPr>
            <w:r w:rsidRPr="001D41EA">
              <w:rPr>
                <w:rFonts w:cs="Arial"/>
                <w:sz w:val="18"/>
                <w:szCs w:val="18"/>
              </w:rPr>
              <w:t>1,215,808</w:t>
            </w:r>
          </w:p>
        </w:tc>
        <w:tc>
          <w:tcPr>
            <w:tcW w:w="1361" w:type="dxa"/>
            <w:tcBorders>
              <w:top w:val="nil"/>
              <w:left w:val="nil"/>
              <w:bottom w:val="nil"/>
              <w:right w:val="nil"/>
            </w:tcBorders>
            <w:vAlign w:val="bottom"/>
          </w:tcPr>
          <w:p w14:paraId="34CEBB76" w14:textId="7FA464A0" w:rsidR="009F0AF7" w:rsidRPr="001D41EA" w:rsidRDefault="009F0AF7" w:rsidP="001D41EA">
            <w:pPr>
              <w:spacing w:before="40" w:after="40"/>
              <w:jc w:val="right"/>
              <w:rPr>
                <w:rFonts w:cs="Arial"/>
                <w:sz w:val="18"/>
                <w:szCs w:val="18"/>
              </w:rPr>
            </w:pPr>
            <w:r w:rsidRPr="001D41EA">
              <w:rPr>
                <w:rFonts w:cs="Arial"/>
                <w:sz w:val="18"/>
                <w:szCs w:val="18"/>
              </w:rPr>
              <w:t>2,639,461</w:t>
            </w:r>
          </w:p>
        </w:tc>
        <w:tc>
          <w:tcPr>
            <w:tcW w:w="1361" w:type="dxa"/>
            <w:tcBorders>
              <w:top w:val="nil"/>
              <w:left w:val="nil"/>
              <w:bottom w:val="nil"/>
              <w:right w:val="nil"/>
            </w:tcBorders>
            <w:shd w:val="clear" w:color="auto" w:fill="auto"/>
            <w:vAlign w:val="bottom"/>
          </w:tcPr>
          <w:p w14:paraId="79FA6EB6" w14:textId="60B55884" w:rsidR="009F0AF7" w:rsidRPr="001D41EA" w:rsidRDefault="009F0AF7" w:rsidP="001D41EA">
            <w:pPr>
              <w:spacing w:before="40" w:after="40"/>
              <w:jc w:val="right"/>
              <w:rPr>
                <w:rFonts w:cs="Arial"/>
                <w:sz w:val="18"/>
                <w:szCs w:val="18"/>
              </w:rPr>
            </w:pPr>
            <w:r w:rsidRPr="001D41EA">
              <w:rPr>
                <w:rFonts w:cs="Arial"/>
                <w:sz w:val="18"/>
                <w:szCs w:val="18"/>
              </w:rPr>
              <w:t>1,516,557</w:t>
            </w:r>
          </w:p>
        </w:tc>
      </w:tr>
      <w:tr w:rsidR="009F0AF7" w:rsidRPr="001D41EA" w14:paraId="0EBBB86F"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E68842" w14:textId="77777777" w:rsidR="009F0AF7" w:rsidRPr="001D41EA" w:rsidRDefault="009F0AF7" w:rsidP="001D41EA">
            <w:pPr>
              <w:spacing w:before="40" w:after="40"/>
              <w:rPr>
                <w:rFonts w:cs="Arial"/>
                <w:sz w:val="18"/>
                <w:szCs w:val="18"/>
              </w:rPr>
            </w:pPr>
            <w:r w:rsidRPr="001D41EA">
              <w:rPr>
                <w:rFonts w:cs="Arial"/>
                <w:sz w:val="18"/>
                <w:szCs w:val="18"/>
              </w:rPr>
              <w:t>Greater Dandenong C</w:t>
            </w:r>
          </w:p>
        </w:tc>
        <w:tc>
          <w:tcPr>
            <w:tcW w:w="1361" w:type="dxa"/>
            <w:tcBorders>
              <w:top w:val="nil"/>
              <w:left w:val="single" w:sz="18" w:space="0" w:color="5F497A" w:themeColor="accent4" w:themeShade="BF"/>
              <w:bottom w:val="nil"/>
              <w:right w:val="nil"/>
            </w:tcBorders>
            <w:shd w:val="clear" w:color="auto" w:fill="auto"/>
            <w:vAlign w:val="bottom"/>
          </w:tcPr>
          <w:p w14:paraId="0006218D" w14:textId="2811ACAD" w:rsidR="009F0AF7" w:rsidRPr="001D41EA" w:rsidRDefault="009F0AF7" w:rsidP="001D41EA">
            <w:pPr>
              <w:spacing w:before="40" w:after="40"/>
              <w:jc w:val="right"/>
              <w:rPr>
                <w:rFonts w:cs="Arial"/>
                <w:sz w:val="18"/>
                <w:szCs w:val="18"/>
              </w:rPr>
            </w:pPr>
            <w:r w:rsidRPr="001D41EA">
              <w:rPr>
                <w:rFonts w:cs="Arial"/>
                <w:sz w:val="18"/>
                <w:szCs w:val="18"/>
              </w:rPr>
              <w:t>2,790,710</w:t>
            </w:r>
          </w:p>
        </w:tc>
        <w:tc>
          <w:tcPr>
            <w:tcW w:w="1361" w:type="dxa"/>
            <w:tcBorders>
              <w:top w:val="nil"/>
              <w:left w:val="nil"/>
              <w:bottom w:val="nil"/>
              <w:right w:val="nil"/>
            </w:tcBorders>
            <w:shd w:val="clear" w:color="auto" w:fill="auto"/>
            <w:vAlign w:val="bottom"/>
          </w:tcPr>
          <w:p w14:paraId="0641BBF9" w14:textId="491A31D4" w:rsidR="009F0AF7" w:rsidRPr="001D41EA" w:rsidRDefault="009F0AF7" w:rsidP="001D41EA">
            <w:pPr>
              <w:spacing w:before="40" w:after="40"/>
              <w:jc w:val="right"/>
              <w:rPr>
                <w:rFonts w:cs="Arial"/>
                <w:sz w:val="18"/>
                <w:szCs w:val="18"/>
              </w:rPr>
            </w:pPr>
            <w:r w:rsidRPr="001D41EA">
              <w:rPr>
                <w:rFonts w:cs="Arial"/>
                <w:sz w:val="18"/>
                <w:szCs w:val="18"/>
              </w:rPr>
              <w:t>1,196,865</w:t>
            </w:r>
          </w:p>
        </w:tc>
        <w:tc>
          <w:tcPr>
            <w:tcW w:w="1361" w:type="dxa"/>
            <w:tcBorders>
              <w:top w:val="nil"/>
              <w:left w:val="nil"/>
              <w:bottom w:val="nil"/>
              <w:right w:val="nil"/>
            </w:tcBorders>
            <w:vAlign w:val="bottom"/>
          </w:tcPr>
          <w:p w14:paraId="22D4F735" w14:textId="0CF668B6" w:rsidR="009F0AF7" w:rsidRPr="001D41EA" w:rsidRDefault="009F0AF7" w:rsidP="001D41EA">
            <w:pPr>
              <w:spacing w:before="40" w:after="40"/>
              <w:jc w:val="right"/>
              <w:rPr>
                <w:rFonts w:cs="Arial"/>
                <w:sz w:val="18"/>
                <w:szCs w:val="18"/>
              </w:rPr>
            </w:pPr>
            <w:r w:rsidRPr="001D41EA">
              <w:rPr>
                <w:rFonts w:cs="Arial"/>
                <w:sz w:val="18"/>
                <w:szCs w:val="18"/>
              </w:rPr>
              <w:t>1,474,790</w:t>
            </w:r>
          </w:p>
        </w:tc>
        <w:tc>
          <w:tcPr>
            <w:tcW w:w="1361" w:type="dxa"/>
            <w:tcBorders>
              <w:top w:val="nil"/>
              <w:left w:val="nil"/>
              <w:bottom w:val="nil"/>
              <w:right w:val="nil"/>
            </w:tcBorders>
            <w:vAlign w:val="bottom"/>
          </w:tcPr>
          <w:p w14:paraId="5F1C72C7" w14:textId="641BC7A9" w:rsidR="009F0AF7" w:rsidRPr="001D41EA" w:rsidRDefault="009F0AF7" w:rsidP="001D41EA">
            <w:pPr>
              <w:spacing w:before="40" w:after="40"/>
              <w:jc w:val="right"/>
              <w:rPr>
                <w:rFonts w:cs="Arial"/>
                <w:sz w:val="18"/>
                <w:szCs w:val="18"/>
              </w:rPr>
            </w:pPr>
            <w:r w:rsidRPr="001D41EA">
              <w:rPr>
                <w:rFonts w:cs="Arial"/>
                <w:sz w:val="18"/>
                <w:szCs w:val="18"/>
              </w:rPr>
              <w:t>3,777,833</w:t>
            </w:r>
          </w:p>
        </w:tc>
        <w:tc>
          <w:tcPr>
            <w:tcW w:w="1361" w:type="dxa"/>
            <w:tcBorders>
              <w:top w:val="nil"/>
              <w:left w:val="nil"/>
              <w:bottom w:val="nil"/>
              <w:right w:val="nil"/>
            </w:tcBorders>
            <w:shd w:val="clear" w:color="auto" w:fill="auto"/>
            <w:vAlign w:val="bottom"/>
          </w:tcPr>
          <w:p w14:paraId="616C31B4" w14:textId="18C78B6B" w:rsidR="009F0AF7" w:rsidRPr="001D41EA" w:rsidRDefault="009F0AF7" w:rsidP="001D41EA">
            <w:pPr>
              <w:spacing w:before="40" w:after="40"/>
              <w:jc w:val="right"/>
              <w:rPr>
                <w:rFonts w:cs="Arial"/>
                <w:sz w:val="18"/>
                <w:szCs w:val="18"/>
              </w:rPr>
            </w:pPr>
            <w:r w:rsidRPr="001D41EA">
              <w:rPr>
                <w:rFonts w:cs="Arial"/>
                <w:sz w:val="18"/>
                <w:szCs w:val="18"/>
              </w:rPr>
              <w:t>1,683,037</w:t>
            </w:r>
          </w:p>
        </w:tc>
      </w:tr>
      <w:tr w:rsidR="009F0AF7" w:rsidRPr="001D41EA" w14:paraId="3B0DB569"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29F3F55" w14:textId="77777777" w:rsidR="009F0AF7" w:rsidRPr="001D41EA" w:rsidRDefault="009F0AF7" w:rsidP="001D41EA">
            <w:pPr>
              <w:spacing w:before="40" w:after="40"/>
              <w:rPr>
                <w:rFonts w:cs="Arial"/>
                <w:sz w:val="18"/>
                <w:szCs w:val="18"/>
              </w:rPr>
            </w:pPr>
            <w:r w:rsidRPr="001D41EA">
              <w:rPr>
                <w:rFonts w:cs="Arial"/>
                <w:sz w:val="18"/>
                <w:szCs w:val="18"/>
              </w:rPr>
              <w:t>Greater Geelong C</w:t>
            </w:r>
          </w:p>
        </w:tc>
        <w:tc>
          <w:tcPr>
            <w:tcW w:w="1361" w:type="dxa"/>
            <w:tcBorders>
              <w:top w:val="nil"/>
              <w:left w:val="single" w:sz="18" w:space="0" w:color="5F497A" w:themeColor="accent4" w:themeShade="BF"/>
              <w:bottom w:val="nil"/>
              <w:right w:val="nil"/>
            </w:tcBorders>
            <w:shd w:val="clear" w:color="auto" w:fill="auto"/>
            <w:vAlign w:val="bottom"/>
          </w:tcPr>
          <w:p w14:paraId="424D84E2" w14:textId="3A3C465D" w:rsidR="009F0AF7" w:rsidRPr="001D41EA" w:rsidRDefault="009F0AF7" w:rsidP="001D41EA">
            <w:pPr>
              <w:spacing w:before="40" w:after="40"/>
              <w:jc w:val="right"/>
              <w:rPr>
                <w:rFonts w:cs="Arial"/>
                <w:sz w:val="18"/>
                <w:szCs w:val="18"/>
              </w:rPr>
            </w:pPr>
            <w:r w:rsidRPr="001D41EA">
              <w:rPr>
                <w:rFonts w:cs="Arial"/>
                <w:sz w:val="18"/>
                <w:szCs w:val="18"/>
              </w:rPr>
              <w:t>4,237,748</w:t>
            </w:r>
          </w:p>
        </w:tc>
        <w:tc>
          <w:tcPr>
            <w:tcW w:w="1361" w:type="dxa"/>
            <w:tcBorders>
              <w:top w:val="nil"/>
              <w:left w:val="nil"/>
              <w:bottom w:val="nil"/>
              <w:right w:val="nil"/>
            </w:tcBorders>
            <w:shd w:val="clear" w:color="auto" w:fill="auto"/>
            <w:vAlign w:val="bottom"/>
          </w:tcPr>
          <w:p w14:paraId="32EFA63F" w14:textId="356423FE" w:rsidR="009F0AF7" w:rsidRPr="001D41EA" w:rsidRDefault="009F0AF7" w:rsidP="001D41EA">
            <w:pPr>
              <w:spacing w:before="40" w:after="40"/>
              <w:jc w:val="right"/>
              <w:rPr>
                <w:rFonts w:cs="Arial"/>
                <w:sz w:val="18"/>
                <w:szCs w:val="18"/>
              </w:rPr>
            </w:pPr>
            <w:r w:rsidRPr="001D41EA">
              <w:rPr>
                <w:rFonts w:cs="Arial"/>
                <w:sz w:val="18"/>
                <w:szCs w:val="18"/>
              </w:rPr>
              <w:t>2,638,252</w:t>
            </w:r>
          </w:p>
        </w:tc>
        <w:tc>
          <w:tcPr>
            <w:tcW w:w="1361" w:type="dxa"/>
            <w:tcBorders>
              <w:top w:val="nil"/>
              <w:left w:val="nil"/>
              <w:bottom w:val="nil"/>
              <w:right w:val="nil"/>
            </w:tcBorders>
            <w:vAlign w:val="bottom"/>
          </w:tcPr>
          <w:p w14:paraId="2EC9980E" w14:textId="5DC5A8AE" w:rsidR="009F0AF7" w:rsidRPr="001D41EA" w:rsidRDefault="009F0AF7" w:rsidP="001D41EA">
            <w:pPr>
              <w:spacing w:before="40" w:after="40"/>
              <w:jc w:val="right"/>
              <w:rPr>
                <w:rFonts w:cs="Arial"/>
                <w:sz w:val="18"/>
                <w:szCs w:val="18"/>
              </w:rPr>
            </w:pPr>
            <w:r w:rsidRPr="001D41EA">
              <w:rPr>
                <w:rFonts w:cs="Arial"/>
                <w:sz w:val="18"/>
                <w:szCs w:val="18"/>
              </w:rPr>
              <w:t>2,585,188</w:t>
            </w:r>
          </w:p>
        </w:tc>
        <w:tc>
          <w:tcPr>
            <w:tcW w:w="1361" w:type="dxa"/>
            <w:tcBorders>
              <w:top w:val="nil"/>
              <w:left w:val="nil"/>
              <w:bottom w:val="nil"/>
              <w:right w:val="nil"/>
            </w:tcBorders>
            <w:vAlign w:val="bottom"/>
          </w:tcPr>
          <w:p w14:paraId="06DB0A69" w14:textId="02E4FA26" w:rsidR="009F0AF7" w:rsidRPr="001D41EA" w:rsidRDefault="009F0AF7" w:rsidP="001D41EA">
            <w:pPr>
              <w:spacing w:before="40" w:after="40"/>
              <w:jc w:val="right"/>
              <w:rPr>
                <w:rFonts w:cs="Arial"/>
                <w:sz w:val="18"/>
                <w:szCs w:val="18"/>
              </w:rPr>
            </w:pPr>
            <w:r w:rsidRPr="001D41EA">
              <w:rPr>
                <w:rFonts w:cs="Arial"/>
                <w:sz w:val="18"/>
                <w:szCs w:val="18"/>
              </w:rPr>
              <w:t>5,736,714</w:t>
            </w:r>
          </w:p>
        </w:tc>
        <w:tc>
          <w:tcPr>
            <w:tcW w:w="1361" w:type="dxa"/>
            <w:tcBorders>
              <w:top w:val="nil"/>
              <w:left w:val="nil"/>
              <w:bottom w:val="nil"/>
              <w:right w:val="nil"/>
            </w:tcBorders>
            <w:shd w:val="clear" w:color="auto" w:fill="auto"/>
            <w:vAlign w:val="bottom"/>
          </w:tcPr>
          <w:p w14:paraId="1C2B0FE6" w14:textId="255D3C9A" w:rsidR="009F0AF7" w:rsidRPr="001D41EA" w:rsidRDefault="009F0AF7" w:rsidP="001D41EA">
            <w:pPr>
              <w:spacing w:before="40" w:after="40"/>
              <w:jc w:val="right"/>
              <w:rPr>
                <w:rFonts w:cs="Arial"/>
                <w:sz w:val="18"/>
                <w:szCs w:val="18"/>
              </w:rPr>
            </w:pPr>
            <w:r w:rsidRPr="001D41EA">
              <w:rPr>
                <w:rFonts w:cs="Arial"/>
                <w:sz w:val="18"/>
                <w:szCs w:val="18"/>
              </w:rPr>
              <w:t>3,342,059</w:t>
            </w:r>
          </w:p>
        </w:tc>
      </w:tr>
      <w:tr w:rsidR="009F0AF7" w:rsidRPr="001D41EA" w14:paraId="2CED5C12"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7F5423B" w14:textId="77777777" w:rsidR="009F0AF7" w:rsidRPr="001D41EA" w:rsidRDefault="009F0AF7" w:rsidP="001D41EA">
            <w:pPr>
              <w:spacing w:before="40" w:after="40"/>
              <w:rPr>
                <w:rFonts w:cs="Arial"/>
                <w:sz w:val="18"/>
                <w:szCs w:val="18"/>
              </w:rPr>
            </w:pPr>
            <w:r w:rsidRPr="001D41EA">
              <w:rPr>
                <w:rFonts w:cs="Arial"/>
                <w:sz w:val="18"/>
                <w:szCs w:val="18"/>
              </w:rPr>
              <w:t>Greater Shepparton C</w:t>
            </w:r>
          </w:p>
        </w:tc>
        <w:tc>
          <w:tcPr>
            <w:tcW w:w="1361" w:type="dxa"/>
            <w:tcBorders>
              <w:top w:val="nil"/>
              <w:left w:val="single" w:sz="18" w:space="0" w:color="5F497A" w:themeColor="accent4" w:themeShade="BF"/>
              <w:bottom w:val="nil"/>
              <w:right w:val="nil"/>
            </w:tcBorders>
            <w:shd w:val="clear" w:color="auto" w:fill="auto"/>
            <w:vAlign w:val="bottom"/>
          </w:tcPr>
          <w:p w14:paraId="36FA970B" w14:textId="04EAADA7" w:rsidR="009F0AF7" w:rsidRPr="001D41EA" w:rsidRDefault="009F0AF7" w:rsidP="001D41EA">
            <w:pPr>
              <w:spacing w:before="40" w:after="40"/>
              <w:jc w:val="right"/>
              <w:rPr>
                <w:rFonts w:cs="Arial"/>
                <w:sz w:val="18"/>
                <w:szCs w:val="18"/>
              </w:rPr>
            </w:pPr>
            <w:r w:rsidRPr="001D41EA">
              <w:rPr>
                <w:rFonts w:cs="Arial"/>
                <w:sz w:val="18"/>
                <w:szCs w:val="18"/>
              </w:rPr>
              <w:t>1,109,049</w:t>
            </w:r>
          </w:p>
        </w:tc>
        <w:tc>
          <w:tcPr>
            <w:tcW w:w="1361" w:type="dxa"/>
            <w:tcBorders>
              <w:top w:val="nil"/>
              <w:left w:val="nil"/>
              <w:bottom w:val="nil"/>
              <w:right w:val="nil"/>
            </w:tcBorders>
            <w:shd w:val="clear" w:color="auto" w:fill="auto"/>
            <w:vAlign w:val="bottom"/>
          </w:tcPr>
          <w:p w14:paraId="46815105" w14:textId="3A1491A5" w:rsidR="009F0AF7" w:rsidRPr="001D41EA" w:rsidRDefault="009F0AF7" w:rsidP="001D41EA">
            <w:pPr>
              <w:spacing w:before="40" w:after="40"/>
              <w:jc w:val="right"/>
              <w:rPr>
                <w:rFonts w:cs="Arial"/>
                <w:sz w:val="18"/>
                <w:szCs w:val="18"/>
              </w:rPr>
            </w:pPr>
            <w:r w:rsidRPr="001D41EA">
              <w:rPr>
                <w:rFonts w:cs="Arial"/>
                <w:sz w:val="18"/>
                <w:szCs w:val="18"/>
              </w:rPr>
              <w:t>589,622</w:t>
            </w:r>
          </w:p>
        </w:tc>
        <w:tc>
          <w:tcPr>
            <w:tcW w:w="1361" w:type="dxa"/>
            <w:tcBorders>
              <w:top w:val="nil"/>
              <w:left w:val="nil"/>
              <w:bottom w:val="nil"/>
              <w:right w:val="nil"/>
            </w:tcBorders>
            <w:vAlign w:val="bottom"/>
          </w:tcPr>
          <w:p w14:paraId="6A0E065A" w14:textId="422446B3" w:rsidR="009F0AF7" w:rsidRPr="001D41EA" w:rsidRDefault="009F0AF7" w:rsidP="001D41EA">
            <w:pPr>
              <w:spacing w:before="40" w:after="40"/>
              <w:jc w:val="right"/>
              <w:rPr>
                <w:rFonts w:cs="Arial"/>
                <w:sz w:val="18"/>
                <w:szCs w:val="18"/>
              </w:rPr>
            </w:pPr>
            <w:r w:rsidRPr="001D41EA">
              <w:rPr>
                <w:rFonts w:cs="Arial"/>
                <w:sz w:val="18"/>
                <w:szCs w:val="18"/>
              </w:rPr>
              <w:t>687,189</w:t>
            </w:r>
          </w:p>
        </w:tc>
        <w:tc>
          <w:tcPr>
            <w:tcW w:w="1361" w:type="dxa"/>
            <w:tcBorders>
              <w:top w:val="nil"/>
              <w:left w:val="nil"/>
              <w:bottom w:val="nil"/>
              <w:right w:val="nil"/>
            </w:tcBorders>
            <w:vAlign w:val="bottom"/>
          </w:tcPr>
          <w:p w14:paraId="3716AD39" w14:textId="04B9201E" w:rsidR="009F0AF7" w:rsidRPr="001D41EA" w:rsidRDefault="009F0AF7" w:rsidP="001D41EA">
            <w:pPr>
              <w:spacing w:before="40" w:after="40"/>
              <w:jc w:val="right"/>
              <w:rPr>
                <w:rFonts w:cs="Arial"/>
                <w:sz w:val="18"/>
                <w:szCs w:val="18"/>
              </w:rPr>
            </w:pPr>
            <w:r w:rsidRPr="001D41EA">
              <w:rPr>
                <w:rFonts w:cs="Arial"/>
                <w:sz w:val="18"/>
                <w:szCs w:val="18"/>
              </w:rPr>
              <w:t>1,501,339</w:t>
            </w:r>
          </w:p>
        </w:tc>
        <w:tc>
          <w:tcPr>
            <w:tcW w:w="1361" w:type="dxa"/>
            <w:tcBorders>
              <w:top w:val="nil"/>
              <w:left w:val="nil"/>
              <w:bottom w:val="nil"/>
              <w:right w:val="nil"/>
            </w:tcBorders>
            <w:shd w:val="clear" w:color="auto" w:fill="auto"/>
            <w:vAlign w:val="bottom"/>
          </w:tcPr>
          <w:p w14:paraId="7C002737" w14:textId="4D11BF44" w:rsidR="009F0AF7" w:rsidRPr="001D41EA" w:rsidRDefault="009F0AF7" w:rsidP="001D41EA">
            <w:pPr>
              <w:spacing w:before="40" w:after="40"/>
              <w:jc w:val="right"/>
              <w:rPr>
                <w:rFonts w:cs="Arial"/>
                <w:sz w:val="18"/>
                <w:szCs w:val="18"/>
              </w:rPr>
            </w:pPr>
            <w:r w:rsidRPr="001D41EA">
              <w:rPr>
                <w:rFonts w:cs="Arial"/>
                <w:sz w:val="18"/>
                <w:szCs w:val="18"/>
              </w:rPr>
              <w:t>813,082</w:t>
            </w:r>
          </w:p>
        </w:tc>
      </w:tr>
      <w:tr w:rsidR="009F0AF7" w:rsidRPr="001D41EA" w14:paraId="1BAAF997"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8F1F861" w14:textId="77777777" w:rsidR="009F0AF7" w:rsidRPr="001D41EA" w:rsidRDefault="009F0AF7" w:rsidP="001D41EA">
            <w:pPr>
              <w:spacing w:before="40" w:after="40"/>
              <w:rPr>
                <w:rFonts w:cs="Arial"/>
                <w:sz w:val="18"/>
                <w:szCs w:val="18"/>
              </w:rPr>
            </w:pPr>
            <w:r w:rsidRPr="001D41EA">
              <w:rPr>
                <w:rFonts w:cs="Arial"/>
                <w:sz w:val="18"/>
                <w:szCs w:val="18"/>
              </w:rPr>
              <w:t>Hepburn S</w:t>
            </w:r>
          </w:p>
        </w:tc>
        <w:tc>
          <w:tcPr>
            <w:tcW w:w="1361" w:type="dxa"/>
            <w:tcBorders>
              <w:top w:val="nil"/>
              <w:left w:val="single" w:sz="18" w:space="0" w:color="5F497A" w:themeColor="accent4" w:themeShade="BF"/>
              <w:bottom w:val="nil"/>
              <w:right w:val="nil"/>
            </w:tcBorders>
            <w:shd w:val="clear" w:color="auto" w:fill="auto"/>
            <w:vAlign w:val="bottom"/>
          </w:tcPr>
          <w:p w14:paraId="65D272E8" w14:textId="3CE37F87" w:rsidR="009F0AF7" w:rsidRPr="001D41EA" w:rsidRDefault="009F0AF7" w:rsidP="001D41EA">
            <w:pPr>
              <w:spacing w:before="40" w:after="40"/>
              <w:jc w:val="right"/>
              <w:rPr>
                <w:rFonts w:cs="Arial"/>
                <w:sz w:val="18"/>
                <w:szCs w:val="18"/>
              </w:rPr>
            </w:pPr>
            <w:r w:rsidRPr="001D41EA">
              <w:rPr>
                <w:rFonts w:cs="Arial"/>
                <w:sz w:val="18"/>
                <w:szCs w:val="18"/>
              </w:rPr>
              <w:t>265,673</w:t>
            </w:r>
          </w:p>
        </w:tc>
        <w:tc>
          <w:tcPr>
            <w:tcW w:w="1361" w:type="dxa"/>
            <w:tcBorders>
              <w:top w:val="nil"/>
              <w:left w:val="nil"/>
              <w:bottom w:val="nil"/>
              <w:right w:val="nil"/>
            </w:tcBorders>
            <w:shd w:val="clear" w:color="auto" w:fill="auto"/>
            <w:vAlign w:val="bottom"/>
          </w:tcPr>
          <w:p w14:paraId="558F2E08" w14:textId="7EA02020" w:rsidR="009F0AF7" w:rsidRPr="001D41EA" w:rsidRDefault="009F0AF7" w:rsidP="001D41EA">
            <w:pPr>
              <w:spacing w:before="40" w:after="40"/>
              <w:jc w:val="right"/>
              <w:rPr>
                <w:rFonts w:cs="Arial"/>
                <w:sz w:val="18"/>
                <w:szCs w:val="18"/>
              </w:rPr>
            </w:pPr>
            <w:r w:rsidRPr="001D41EA">
              <w:rPr>
                <w:rFonts w:cs="Arial"/>
                <w:sz w:val="18"/>
                <w:szCs w:val="18"/>
              </w:rPr>
              <w:t>165,922</w:t>
            </w:r>
          </w:p>
        </w:tc>
        <w:tc>
          <w:tcPr>
            <w:tcW w:w="1361" w:type="dxa"/>
            <w:tcBorders>
              <w:top w:val="nil"/>
              <w:left w:val="nil"/>
              <w:bottom w:val="nil"/>
              <w:right w:val="nil"/>
            </w:tcBorders>
            <w:vAlign w:val="bottom"/>
          </w:tcPr>
          <w:p w14:paraId="70E5DD7E" w14:textId="5FFD73C5" w:rsidR="009F0AF7" w:rsidRPr="001D41EA" w:rsidRDefault="009F0AF7" w:rsidP="001D41EA">
            <w:pPr>
              <w:spacing w:before="40" w:after="40"/>
              <w:jc w:val="right"/>
              <w:rPr>
                <w:rFonts w:cs="Arial"/>
                <w:sz w:val="18"/>
                <w:szCs w:val="18"/>
              </w:rPr>
            </w:pPr>
            <w:r w:rsidRPr="001D41EA">
              <w:rPr>
                <w:rFonts w:cs="Arial"/>
                <w:sz w:val="18"/>
                <w:szCs w:val="18"/>
              </w:rPr>
              <w:t>208,640</w:t>
            </w:r>
          </w:p>
        </w:tc>
        <w:tc>
          <w:tcPr>
            <w:tcW w:w="1361" w:type="dxa"/>
            <w:tcBorders>
              <w:top w:val="nil"/>
              <w:left w:val="nil"/>
              <w:bottom w:val="nil"/>
              <w:right w:val="nil"/>
            </w:tcBorders>
            <w:vAlign w:val="bottom"/>
          </w:tcPr>
          <w:p w14:paraId="3D6F1CE4" w14:textId="194F280E" w:rsidR="009F0AF7" w:rsidRPr="001D41EA" w:rsidRDefault="009F0AF7" w:rsidP="001D41EA">
            <w:pPr>
              <w:spacing w:before="40" w:after="40"/>
              <w:jc w:val="right"/>
              <w:rPr>
                <w:rFonts w:cs="Arial"/>
                <w:sz w:val="18"/>
                <w:szCs w:val="18"/>
              </w:rPr>
            </w:pPr>
            <w:r w:rsidRPr="001D41EA">
              <w:rPr>
                <w:rFonts w:cs="Arial"/>
                <w:sz w:val="18"/>
                <w:szCs w:val="18"/>
              </w:rPr>
              <w:t>359,646</w:t>
            </w:r>
          </w:p>
        </w:tc>
        <w:tc>
          <w:tcPr>
            <w:tcW w:w="1361" w:type="dxa"/>
            <w:tcBorders>
              <w:top w:val="nil"/>
              <w:left w:val="nil"/>
              <w:bottom w:val="nil"/>
              <w:right w:val="nil"/>
            </w:tcBorders>
            <w:shd w:val="clear" w:color="auto" w:fill="auto"/>
            <w:vAlign w:val="bottom"/>
          </w:tcPr>
          <w:p w14:paraId="6AB422E1" w14:textId="0CC0729D" w:rsidR="009F0AF7" w:rsidRPr="001D41EA" w:rsidRDefault="009F0AF7" w:rsidP="001D41EA">
            <w:pPr>
              <w:spacing w:before="40" w:after="40"/>
              <w:jc w:val="right"/>
              <w:rPr>
                <w:rFonts w:cs="Arial"/>
                <w:sz w:val="18"/>
                <w:szCs w:val="18"/>
              </w:rPr>
            </w:pPr>
            <w:r w:rsidRPr="001D41EA">
              <w:rPr>
                <w:rFonts w:cs="Arial"/>
                <w:sz w:val="18"/>
                <w:szCs w:val="18"/>
              </w:rPr>
              <w:t>262,835</w:t>
            </w:r>
          </w:p>
        </w:tc>
      </w:tr>
      <w:tr w:rsidR="009F0AF7" w:rsidRPr="001D41EA" w14:paraId="21B11722"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935E642" w14:textId="77777777" w:rsidR="009F0AF7" w:rsidRPr="001D41EA" w:rsidRDefault="009F0AF7" w:rsidP="001D41EA">
            <w:pPr>
              <w:spacing w:before="40" w:after="40"/>
              <w:rPr>
                <w:rFonts w:cs="Arial"/>
                <w:sz w:val="18"/>
                <w:szCs w:val="18"/>
              </w:rPr>
            </w:pPr>
            <w:r w:rsidRPr="001D41EA">
              <w:rPr>
                <w:rFonts w:cs="Arial"/>
                <w:sz w:val="18"/>
                <w:szCs w:val="18"/>
              </w:rPr>
              <w:t>Hindmarsh S</w:t>
            </w:r>
          </w:p>
        </w:tc>
        <w:tc>
          <w:tcPr>
            <w:tcW w:w="1361" w:type="dxa"/>
            <w:tcBorders>
              <w:top w:val="nil"/>
              <w:left w:val="single" w:sz="18" w:space="0" w:color="5F497A" w:themeColor="accent4" w:themeShade="BF"/>
              <w:bottom w:val="nil"/>
              <w:right w:val="nil"/>
            </w:tcBorders>
            <w:shd w:val="clear" w:color="auto" w:fill="auto"/>
            <w:vAlign w:val="bottom"/>
          </w:tcPr>
          <w:p w14:paraId="73CF21A1" w14:textId="4DF99620" w:rsidR="009F0AF7" w:rsidRPr="001D41EA" w:rsidRDefault="009F0AF7" w:rsidP="001D41EA">
            <w:pPr>
              <w:spacing w:before="40" w:after="40"/>
              <w:jc w:val="right"/>
              <w:rPr>
                <w:rFonts w:cs="Arial"/>
                <w:sz w:val="18"/>
                <w:szCs w:val="18"/>
              </w:rPr>
            </w:pPr>
            <w:r w:rsidRPr="001D41EA">
              <w:rPr>
                <w:rFonts w:cs="Arial"/>
                <w:sz w:val="18"/>
                <w:szCs w:val="18"/>
              </w:rPr>
              <w:t>94,847</w:t>
            </w:r>
          </w:p>
        </w:tc>
        <w:tc>
          <w:tcPr>
            <w:tcW w:w="1361" w:type="dxa"/>
            <w:tcBorders>
              <w:top w:val="nil"/>
              <w:left w:val="nil"/>
              <w:bottom w:val="nil"/>
              <w:right w:val="nil"/>
            </w:tcBorders>
            <w:shd w:val="clear" w:color="auto" w:fill="auto"/>
            <w:vAlign w:val="bottom"/>
          </w:tcPr>
          <w:p w14:paraId="6C4A0B68" w14:textId="7B012017" w:rsidR="009F0AF7" w:rsidRPr="001D41EA" w:rsidRDefault="009F0AF7" w:rsidP="001D41EA">
            <w:pPr>
              <w:spacing w:before="40" w:after="40"/>
              <w:jc w:val="right"/>
              <w:rPr>
                <w:rFonts w:cs="Arial"/>
                <w:sz w:val="18"/>
                <w:szCs w:val="18"/>
              </w:rPr>
            </w:pPr>
            <w:r w:rsidRPr="001D41EA">
              <w:rPr>
                <w:rFonts w:cs="Arial"/>
                <w:sz w:val="18"/>
                <w:szCs w:val="18"/>
              </w:rPr>
              <w:t>49,863</w:t>
            </w:r>
          </w:p>
        </w:tc>
        <w:tc>
          <w:tcPr>
            <w:tcW w:w="1361" w:type="dxa"/>
            <w:tcBorders>
              <w:top w:val="nil"/>
              <w:left w:val="nil"/>
              <w:bottom w:val="nil"/>
              <w:right w:val="nil"/>
            </w:tcBorders>
            <w:vAlign w:val="bottom"/>
          </w:tcPr>
          <w:p w14:paraId="6FA4809A" w14:textId="753903B8" w:rsidR="009F0AF7" w:rsidRPr="001D41EA" w:rsidRDefault="009F0AF7" w:rsidP="001D41EA">
            <w:pPr>
              <w:spacing w:before="40" w:after="40"/>
              <w:jc w:val="right"/>
              <w:rPr>
                <w:rFonts w:cs="Arial"/>
                <w:sz w:val="18"/>
                <w:szCs w:val="18"/>
              </w:rPr>
            </w:pPr>
            <w:r w:rsidRPr="001D41EA">
              <w:rPr>
                <w:rFonts w:cs="Arial"/>
                <w:sz w:val="18"/>
                <w:szCs w:val="18"/>
              </w:rPr>
              <w:t>73,167</w:t>
            </w:r>
          </w:p>
        </w:tc>
        <w:tc>
          <w:tcPr>
            <w:tcW w:w="1361" w:type="dxa"/>
            <w:tcBorders>
              <w:top w:val="nil"/>
              <w:left w:val="nil"/>
              <w:bottom w:val="nil"/>
              <w:right w:val="nil"/>
            </w:tcBorders>
            <w:vAlign w:val="bottom"/>
          </w:tcPr>
          <w:p w14:paraId="14E67C79" w14:textId="2750A34E" w:rsidR="009F0AF7" w:rsidRPr="001D41EA" w:rsidRDefault="009F0AF7" w:rsidP="001D41EA">
            <w:pPr>
              <w:spacing w:before="40" w:after="40"/>
              <w:jc w:val="right"/>
              <w:rPr>
                <w:rFonts w:cs="Arial"/>
                <w:sz w:val="18"/>
                <w:szCs w:val="18"/>
              </w:rPr>
            </w:pPr>
            <w:r w:rsidRPr="001D41EA">
              <w:rPr>
                <w:rFonts w:cs="Arial"/>
                <w:sz w:val="18"/>
                <w:szCs w:val="18"/>
              </w:rPr>
              <w:t>128,396</w:t>
            </w:r>
          </w:p>
        </w:tc>
        <w:tc>
          <w:tcPr>
            <w:tcW w:w="1361" w:type="dxa"/>
            <w:tcBorders>
              <w:top w:val="nil"/>
              <w:left w:val="nil"/>
              <w:bottom w:val="nil"/>
              <w:right w:val="nil"/>
            </w:tcBorders>
            <w:shd w:val="clear" w:color="auto" w:fill="auto"/>
            <w:vAlign w:val="bottom"/>
          </w:tcPr>
          <w:p w14:paraId="6941F06B" w14:textId="5B95ABBE" w:rsidR="009F0AF7" w:rsidRPr="001D41EA" w:rsidRDefault="009F0AF7" w:rsidP="001D41EA">
            <w:pPr>
              <w:spacing w:before="40" w:after="40"/>
              <w:jc w:val="right"/>
              <w:rPr>
                <w:rFonts w:cs="Arial"/>
                <w:sz w:val="18"/>
                <w:szCs w:val="18"/>
              </w:rPr>
            </w:pPr>
            <w:r w:rsidRPr="001D41EA">
              <w:rPr>
                <w:rFonts w:cs="Arial"/>
                <w:sz w:val="18"/>
                <w:szCs w:val="18"/>
              </w:rPr>
              <w:t>88,586</w:t>
            </w:r>
          </w:p>
        </w:tc>
      </w:tr>
      <w:tr w:rsidR="009F0AF7" w:rsidRPr="001D41EA" w14:paraId="13260B0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1D13A29" w14:textId="77777777" w:rsidR="009F0AF7" w:rsidRPr="001D41EA" w:rsidRDefault="009F0AF7" w:rsidP="001D41EA">
            <w:pPr>
              <w:spacing w:before="40" w:after="40"/>
              <w:rPr>
                <w:rFonts w:cs="Arial"/>
                <w:sz w:val="18"/>
                <w:szCs w:val="18"/>
              </w:rPr>
            </w:pPr>
            <w:r w:rsidRPr="001D41EA">
              <w:rPr>
                <w:rFonts w:cs="Arial"/>
                <w:sz w:val="18"/>
                <w:szCs w:val="18"/>
              </w:rPr>
              <w:t>Hobsons Bay C</w:t>
            </w:r>
          </w:p>
        </w:tc>
        <w:tc>
          <w:tcPr>
            <w:tcW w:w="1361" w:type="dxa"/>
            <w:tcBorders>
              <w:top w:val="nil"/>
              <w:left w:val="single" w:sz="18" w:space="0" w:color="5F497A" w:themeColor="accent4" w:themeShade="BF"/>
              <w:bottom w:val="nil"/>
              <w:right w:val="nil"/>
            </w:tcBorders>
            <w:shd w:val="clear" w:color="auto" w:fill="auto"/>
            <w:vAlign w:val="bottom"/>
          </w:tcPr>
          <w:p w14:paraId="72B10352" w14:textId="17EA9202" w:rsidR="009F0AF7" w:rsidRPr="001D41EA" w:rsidRDefault="009F0AF7" w:rsidP="001D41EA">
            <w:pPr>
              <w:spacing w:before="40" w:after="40"/>
              <w:jc w:val="right"/>
              <w:rPr>
                <w:rFonts w:cs="Arial"/>
                <w:sz w:val="18"/>
                <w:szCs w:val="18"/>
              </w:rPr>
            </w:pPr>
            <w:r w:rsidRPr="001D41EA">
              <w:rPr>
                <w:rFonts w:cs="Arial"/>
                <w:sz w:val="18"/>
                <w:szCs w:val="18"/>
              </w:rPr>
              <w:t>1,620,888</w:t>
            </w:r>
          </w:p>
        </w:tc>
        <w:tc>
          <w:tcPr>
            <w:tcW w:w="1361" w:type="dxa"/>
            <w:tcBorders>
              <w:top w:val="nil"/>
              <w:left w:val="nil"/>
              <w:bottom w:val="nil"/>
              <w:right w:val="nil"/>
            </w:tcBorders>
            <w:shd w:val="clear" w:color="auto" w:fill="auto"/>
            <w:vAlign w:val="bottom"/>
          </w:tcPr>
          <w:p w14:paraId="0BD9451F" w14:textId="1CF0257B" w:rsidR="009F0AF7" w:rsidRPr="001D41EA" w:rsidRDefault="009F0AF7" w:rsidP="001D41EA">
            <w:pPr>
              <w:spacing w:before="40" w:after="40"/>
              <w:jc w:val="right"/>
              <w:rPr>
                <w:rFonts w:cs="Arial"/>
                <w:sz w:val="18"/>
                <w:szCs w:val="18"/>
              </w:rPr>
            </w:pPr>
            <w:r w:rsidRPr="001D41EA">
              <w:rPr>
                <w:rFonts w:cs="Arial"/>
                <w:sz w:val="18"/>
                <w:szCs w:val="18"/>
              </w:rPr>
              <w:t>1,076,373</w:t>
            </w:r>
          </w:p>
        </w:tc>
        <w:tc>
          <w:tcPr>
            <w:tcW w:w="1361" w:type="dxa"/>
            <w:tcBorders>
              <w:top w:val="nil"/>
              <w:left w:val="nil"/>
              <w:bottom w:val="nil"/>
              <w:right w:val="nil"/>
            </w:tcBorders>
            <w:vAlign w:val="bottom"/>
          </w:tcPr>
          <w:p w14:paraId="293D7222" w14:textId="43DA8F7D" w:rsidR="009F0AF7" w:rsidRPr="001D41EA" w:rsidRDefault="009F0AF7" w:rsidP="001D41EA">
            <w:pPr>
              <w:spacing w:before="40" w:after="40"/>
              <w:jc w:val="right"/>
              <w:rPr>
                <w:rFonts w:cs="Arial"/>
                <w:sz w:val="18"/>
                <w:szCs w:val="18"/>
              </w:rPr>
            </w:pPr>
            <w:r w:rsidRPr="001D41EA">
              <w:rPr>
                <w:rFonts w:cs="Arial"/>
                <w:sz w:val="18"/>
                <w:szCs w:val="18"/>
              </w:rPr>
              <w:t>856,538</w:t>
            </w:r>
          </w:p>
        </w:tc>
        <w:tc>
          <w:tcPr>
            <w:tcW w:w="1361" w:type="dxa"/>
            <w:tcBorders>
              <w:top w:val="nil"/>
              <w:left w:val="nil"/>
              <w:bottom w:val="nil"/>
              <w:right w:val="nil"/>
            </w:tcBorders>
            <w:vAlign w:val="bottom"/>
          </w:tcPr>
          <w:p w14:paraId="35503AD9" w14:textId="32BF83E8" w:rsidR="009F0AF7" w:rsidRPr="001D41EA" w:rsidRDefault="009F0AF7" w:rsidP="001D41EA">
            <w:pPr>
              <w:spacing w:before="40" w:after="40"/>
              <w:jc w:val="right"/>
              <w:rPr>
                <w:rFonts w:cs="Arial"/>
                <w:sz w:val="18"/>
                <w:szCs w:val="18"/>
              </w:rPr>
            </w:pPr>
            <w:r w:rsidRPr="001D41EA">
              <w:rPr>
                <w:rFonts w:cs="Arial"/>
                <w:sz w:val="18"/>
                <w:szCs w:val="18"/>
              </w:rPr>
              <w:t>2,194,225</w:t>
            </w:r>
          </w:p>
        </w:tc>
        <w:tc>
          <w:tcPr>
            <w:tcW w:w="1361" w:type="dxa"/>
            <w:tcBorders>
              <w:top w:val="nil"/>
              <w:left w:val="nil"/>
              <w:bottom w:val="nil"/>
              <w:right w:val="nil"/>
            </w:tcBorders>
            <w:shd w:val="clear" w:color="auto" w:fill="auto"/>
            <w:vAlign w:val="bottom"/>
          </w:tcPr>
          <w:p w14:paraId="61EE6F05" w14:textId="7834186B" w:rsidR="009F0AF7" w:rsidRPr="001D41EA" w:rsidRDefault="009F0AF7" w:rsidP="001D41EA">
            <w:pPr>
              <w:spacing w:before="40" w:after="40"/>
              <w:jc w:val="right"/>
              <w:rPr>
                <w:rFonts w:cs="Arial"/>
                <w:sz w:val="18"/>
                <w:szCs w:val="18"/>
              </w:rPr>
            </w:pPr>
            <w:r w:rsidRPr="001D41EA">
              <w:rPr>
                <w:rFonts w:cs="Arial"/>
                <w:sz w:val="18"/>
                <w:szCs w:val="18"/>
              </w:rPr>
              <w:t>1,144,306</w:t>
            </w:r>
          </w:p>
        </w:tc>
      </w:tr>
      <w:tr w:rsidR="009F0AF7" w:rsidRPr="001D41EA" w14:paraId="1BE10132"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580E654" w14:textId="77777777" w:rsidR="009F0AF7" w:rsidRPr="001D41EA" w:rsidRDefault="009F0AF7" w:rsidP="001D41EA">
            <w:pPr>
              <w:spacing w:before="40" w:after="40"/>
              <w:rPr>
                <w:rFonts w:cs="Arial"/>
                <w:sz w:val="18"/>
                <w:szCs w:val="18"/>
              </w:rPr>
            </w:pPr>
            <w:r w:rsidRPr="001D41EA">
              <w:rPr>
                <w:rFonts w:cs="Arial"/>
                <w:sz w:val="18"/>
                <w:szCs w:val="18"/>
              </w:rPr>
              <w:t>Horsham RC</w:t>
            </w:r>
          </w:p>
        </w:tc>
        <w:tc>
          <w:tcPr>
            <w:tcW w:w="1361" w:type="dxa"/>
            <w:tcBorders>
              <w:top w:val="nil"/>
              <w:left w:val="single" w:sz="18" w:space="0" w:color="5F497A" w:themeColor="accent4" w:themeShade="BF"/>
              <w:bottom w:val="nil"/>
              <w:right w:val="nil"/>
            </w:tcBorders>
            <w:shd w:val="clear" w:color="auto" w:fill="auto"/>
            <w:vAlign w:val="bottom"/>
          </w:tcPr>
          <w:p w14:paraId="2D10EA80" w14:textId="0199C978" w:rsidR="009F0AF7" w:rsidRPr="001D41EA" w:rsidRDefault="009F0AF7" w:rsidP="001D41EA">
            <w:pPr>
              <w:spacing w:before="40" w:after="40"/>
              <w:jc w:val="right"/>
              <w:rPr>
                <w:rFonts w:cs="Arial"/>
                <w:sz w:val="18"/>
                <w:szCs w:val="18"/>
              </w:rPr>
            </w:pPr>
            <w:r w:rsidRPr="001D41EA">
              <w:rPr>
                <w:rFonts w:cs="Arial"/>
                <w:sz w:val="18"/>
                <w:szCs w:val="18"/>
              </w:rPr>
              <w:t>333,940</w:t>
            </w:r>
          </w:p>
        </w:tc>
        <w:tc>
          <w:tcPr>
            <w:tcW w:w="1361" w:type="dxa"/>
            <w:tcBorders>
              <w:top w:val="nil"/>
              <w:left w:val="nil"/>
              <w:bottom w:val="nil"/>
              <w:right w:val="nil"/>
            </w:tcBorders>
            <w:shd w:val="clear" w:color="auto" w:fill="auto"/>
            <w:vAlign w:val="bottom"/>
          </w:tcPr>
          <w:p w14:paraId="7D00FD00" w14:textId="03D2B92B" w:rsidR="009F0AF7" w:rsidRPr="001D41EA" w:rsidRDefault="009F0AF7" w:rsidP="001D41EA">
            <w:pPr>
              <w:spacing w:before="40" w:after="40"/>
              <w:jc w:val="right"/>
              <w:rPr>
                <w:rFonts w:cs="Arial"/>
                <w:sz w:val="18"/>
                <w:szCs w:val="18"/>
              </w:rPr>
            </w:pPr>
            <w:r w:rsidRPr="001D41EA">
              <w:rPr>
                <w:rFonts w:cs="Arial"/>
                <w:sz w:val="18"/>
                <w:szCs w:val="18"/>
              </w:rPr>
              <w:t>198,657</w:t>
            </w:r>
          </w:p>
        </w:tc>
        <w:tc>
          <w:tcPr>
            <w:tcW w:w="1361" w:type="dxa"/>
            <w:tcBorders>
              <w:top w:val="nil"/>
              <w:left w:val="nil"/>
              <w:bottom w:val="nil"/>
              <w:right w:val="nil"/>
            </w:tcBorders>
            <w:vAlign w:val="bottom"/>
          </w:tcPr>
          <w:p w14:paraId="29F6D44D" w14:textId="46165F6B" w:rsidR="009F0AF7" w:rsidRPr="001D41EA" w:rsidRDefault="009F0AF7" w:rsidP="001D41EA">
            <w:pPr>
              <w:spacing w:before="40" w:after="40"/>
              <w:jc w:val="right"/>
              <w:rPr>
                <w:rFonts w:cs="Arial"/>
                <w:sz w:val="18"/>
                <w:szCs w:val="18"/>
              </w:rPr>
            </w:pPr>
            <w:r w:rsidRPr="001D41EA">
              <w:rPr>
                <w:rFonts w:cs="Arial"/>
                <w:sz w:val="18"/>
                <w:szCs w:val="18"/>
              </w:rPr>
              <w:t>219,084</w:t>
            </w:r>
          </w:p>
        </w:tc>
        <w:tc>
          <w:tcPr>
            <w:tcW w:w="1361" w:type="dxa"/>
            <w:tcBorders>
              <w:top w:val="nil"/>
              <w:left w:val="nil"/>
              <w:bottom w:val="nil"/>
              <w:right w:val="nil"/>
            </w:tcBorders>
            <w:vAlign w:val="bottom"/>
          </w:tcPr>
          <w:p w14:paraId="7D3B45A4" w14:textId="63576511" w:rsidR="009F0AF7" w:rsidRPr="001D41EA" w:rsidRDefault="009F0AF7" w:rsidP="001D41EA">
            <w:pPr>
              <w:spacing w:before="40" w:after="40"/>
              <w:jc w:val="right"/>
              <w:rPr>
                <w:rFonts w:cs="Arial"/>
                <w:sz w:val="18"/>
                <w:szCs w:val="18"/>
              </w:rPr>
            </w:pPr>
            <w:r w:rsidRPr="001D41EA">
              <w:rPr>
                <w:rFonts w:cs="Arial"/>
                <w:sz w:val="18"/>
                <w:szCs w:val="18"/>
              </w:rPr>
              <w:t>452,060</w:t>
            </w:r>
          </w:p>
        </w:tc>
        <w:tc>
          <w:tcPr>
            <w:tcW w:w="1361" w:type="dxa"/>
            <w:tcBorders>
              <w:top w:val="nil"/>
              <w:left w:val="nil"/>
              <w:bottom w:val="nil"/>
              <w:right w:val="nil"/>
            </w:tcBorders>
            <w:shd w:val="clear" w:color="auto" w:fill="auto"/>
            <w:vAlign w:val="bottom"/>
          </w:tcPr>
          <w:p w14:paraId="65EBA334" w14:textId="2ACD2BEC" w:rsidR="009F0AF7" w:rsidRPr="001D41EA" w:rsidRDefault="009F0AF7" w:rsidP="001D41EA">
            <w:pPr>
              <w:spacing w:before="40" w:after="40"/>
              <w:jc w:val="right"/>
              <w:rPr>
                <w:rFonts w:cs="Arial"/>
                <w:sz w:val="18"/>
                <w:szCs w:val="18"/>
              </w:rPr>
            </w:pPr>
            <w:r w:rsidRPr="001D41EA">
              <w:rPr>
                <w:rFonts w:cs="Arial"/>
                <w:sz w:val="18"/>
                <w:szCs w:val="18"/>
              </w:rPr>
              <w:t>274,656</w:t>
            </w:r>
          </w:p>
        </w:tc>
      </w:tr>
      <w:tr w:rsidR="009F0AF7" w:rsidRPr="001D41EA" w14:paraId="724EA64B"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1F7A5F2" w14:textId="77777777" w:rsidR="009F0AF7" w:rsidRPr="001D41EA" w:rsidRDefault="009F0AF7" w:rsidP="001D41EA">
            <w:pPr>
              <w:spacing w:before="40" w:after="40"/>
              <w:rPr>
                <w:rFonts w:cs="Arial"/>
                <w:sz w:val="18"/>
                <w:szCs w:val="18"/>
              </w:rPr>
            </w:pPr>
            <w:r w:rsidRPr="001D41EA">
              <w:rPr>
                <w:rFonts w:cs="Arial"/>
                <w:sz w:val="18"/>
                <w:szCs w:val="18"/>
              </w:rPr>
              <w:t>Hume C</w:t>
            </w:r>
          </w:p>
        </w:tc>
        <w:tc>
          <w:tcPr>
            <w:tcW w:w="1361" w:type="dxa"/>
            <w:tcBorders>
              <w:top w:val="nil"/>
              <w:left w:val="single" w:sz="18" w:space="0" w:color="5F497A" w:themeColor="accent4" w:themeShade="BF"/>
              <w:bottom w:val="nil"/>
              <w:right w:val="nil"/>
            </w:tcBorders>
            <w:shd w:val="clear" w:color="auto" w:fill="auto"/>
            <w:vAlign w:val="bottom"/>
          </w:tcPr>
          <w:p w14:paraId="34A5F308" w14:textId="1C1AC20C" w:rsidR="009F0AF7" w:rsidRPr="001D41EA" w:rsidRDefault="009F0AF7" w:rsidP="001D41EA">
            <w:pPr>
              <w:spacing w:before="40" w:after="40"/>
              <w:jc w:val="right"/>
              <w:rPr>
                <w:rFonts w:cs="Arial"/>
                <w:sz w:val="18"/>
                <w:szCs w:val="18"/>
              </w:rPr>
            </w:pPr>
            <w:r w:rsidRPr="001D41EA">
              <w:rPr>
                <w:rFonts w:cs="Arial"/>
                <w:sz w:val="18"/>
                <w:szCs w:val="18"/>
              </w:rPr>
              <w:t>3,770,266</w:t>
            </w:r>
          </w:p>
        </w:tc>
        <w:tc>
          <w:tcPr>
            <w:tcW w:w="1361" w:type="dxa"/>
            <w:tcBorders>
              <w:top w:val="nil"/>
              <w:left w:val="nil"/>
              <w:bottom w:val="nil"/>
              <w:right w:val="nil"/>
            </w:tcBorders>
            <w:shd w:val="clear" w:color="auto" w:fill="auto"/>
            <w:vAlign w:val="bottom"/>
          </w:tcPr>
          <w:p w14:paraId="5D6943A2" w14:textId="4992FA82" w:rsidR="009F0AF7" w:rsidRPr="001D41EA" w:rsidRDefault="009F0AF7" w:rsidP="001D41EA">
            <w:pPr>
              <w:spacing w:before="40" w:after="40"/>
              <w:jc w:val="right"/>
              <w:rPr>
                <w:rFonts w:cs="Arial"/>
                <w:sz w:val="18"/>
                <w:szCs w:val="18"/>
              </w:rPr>
            </w:pPr>
            <w:r w:rsidRPr="001D41EA">
              <w:rPr>
                <w:rFonts w:cs="Arial"/>
                <w:sz w:val="18"/>
                <w:szCs w:val="18"/>
              </w:rPr>
              <w:t>1,996,997</w:t>
            </w:r>
          </w:p>
        </w:tc>
        <w:tc>
          <w:tcPr>
            <w:tcW w:w="1361" w:type="dxa"/>
            <w:tcBorders>
              <w:top w:val="nil"/>
              <w:left w:val="nil"/>
              <w:bottom w:val="nil"/>
              <w:right w:val="nil"/>
            </w:tcBorders>
            <w:vAlign w:val="bottom"/>
          </w:tcPr>
          <w:p w14:paraId="2A5493DE" w14:textId="26A13741" w:rsidR="009F0AF7" w:rsidRPr="001D41EA" w:rsidRDefault="009F0AF7" w:rsidP="001D41EA">
            <w:pPr>
              <w:spacing w:before="40" w:after="40"/>
              <w:jc w:val="right"/>
              <w:rPr>
                <w:rFonts w:cs="Arial"/>
                <w:sz w:val="18"/>
                <w:szCs w:val="18"/>
              </w:rPr>
            </w:pPr>
            <w:r w:rsidRPr="001D41EA">
              <w:rPr>
                <w:rFonts w:cs="Arial"/>
                <w:sz w:val="18"/>
                <w:szCs w:val="18"/>
              </w:rPr>
              <w:t>1,988,673</w:t>
            </w:r>
          </w:p>
        </w:tc>
        <w:tc>
          <w:tcPr>
            <w:tcW w:w="1361" w:type="dxa"/>
            <w:tcBorders>
              <w:top w:val="nil"/>
              <w:left w:val="nil"/>
              <w:bottom w:val="nil"/>
              <w:right w:val="nil"/>
            </w:tcBorders>
            <w:vAlign w:val="bottom"/>
          </w:tcPr>
          <w:p w14:paraId="09B9625A" w14:textId="11D16CEB" w:rsidR="009F0AF7" w:rsidRPr="001D41EA" w:rsidRDefault="009F0AF7" w:rsidP="001D41EA">
            <w:pPr>
              <w:spacing w:before="40" w:after="40"/>
              <w:jc w:val="right"/>
              <w:rPr>
                <w:rFonts w:cs="Arial"/>
                <w:sz w:val="18"/>
                <w:szCs w:val="18"/>
              </w:rPr>
            </w:pPr>
            <w:r w:rsidRPr="001D41EA">
              <w:rPr>
                <w:rFonts w:cs="Arial"/>
                <w:sz w:val="18"/>
                <w:szCs w:val="18"/>
              </w:rPr>
              <w:t>5,103,875</w:t>
            </w:r>
          </w:p>
        </w:tc>
        <w:tc>
          <w:tcPr>
            <w:tcW w:w="1361" w:type="dxa"/>
            <w:tcBorders>
              <w:top w:val="nil"/>
              <w:left w:val="nil"/>
              <w:bottom w:val="nil"/>
              <w:right w:val="nil"/>
            </w:tcBorders>
            <w:shd w:val="clear" w:color="auto" w:fill="auto"/>
            <w:vAlign w:val="bottom"/>
          </w:tcPr>
          <w:p w14:paraId="27FEBABD" w14:textId="2A4C1E9B" w:rsidR="009F0AF7" w:rsidRPr="001D41EA" w:rsidRDefault="009F0AF7" w:rsidP="001D41EA">
            <w:pPr>
              <w:spacing w:before="40" w:after="40"/>
              <w:jc w:val="right"/>
              <w:rPr>
                <w:rFonts w:cs="Arial"/>
                <w:sz w:val="18"/>
                <w:szCs w:val="18"/>
              </w:rPr>
            </w:pPr>
            <w:r w:rsidRPr="001D41EA">
              <w:rPr>
                <w:rFonts w:cs="Arial"/>
                <w:sz w:val="18"/>
                <w:szCs w:val="18"/>
              </w:rPr>
              <w:t>2,168,779</w:t>
            </w:r>
          </w:p>
        </w:tc>
      </w:tr>
      <w:tr w:rsidR="009F0AF7" w:rsidRPr="001D41EA" w14:paraId="4914CC8A"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E4E8FF2" w14:textId="77777777" w:rsidR="009F0AF7" w:rsidRPr="001D41EA" w:rsidRDefault="009F0AF7" w:rsidP="001D41EA">
            <w:pPr>
              <w:spacing w:before="40" w:after="40"/>
              <w:rPr>
                <w:rFonts w:cs="Arial"/>
                <w:sz w:val="18"/>
                <w:szCs w:val="18"/>
              </w:rPr>
            </w:pPr>
            <w:r w:rsidRPr="001D41EA">
              <w:rPr>
                <w:rFonts w:cs="Arial"/>
                <w:sz w:val="18"/>
                <w:szCs w:val="18"/>
              </w:rPr>
              <w:t>Indigo S</w:t>
            </w:r>
          </w:p>
        </w:tc>
        <w:tc>
          <w:tcPr>
            <w:tcW w:w="1361" w:type="dxa"/>
            <w:tcBorders>
              <w:top w:val="nil"/>
              <w:left w:val="single" w:sz="18" w:space="0" w:color="5F497A" w:themeColor="accent4" w:themeShade="BF"/>
              <w:bottom w:val="nil"/>
              <w:right w:val="nil"/>
            </w:tcBorders>
            <w:shd w:val="clear" w:color="auto" w:fill="auto"/>
            <w:vAlign w:val="bottom"/>
          </w:tcPr>
          <w:p w14:paraId="36F504C4" w14:textId="453EF2BB" w:rsidR="009F0AF7" w:rsidRPr="001D41EA" w:rsidRDefault="009F0AF7" w:rsidP="001D41EA">
            <w:pPr>
              <w:spacing w:before="40" w:after="40"/>
              <w:jc w:val="right"/>
              <w:rPr>
                <w:rFonts w:cs="Arial"/>
                <w:sz w:val="18"/>
                <w:szCs w:val="18"/>
              </w:rPr>
            </w:pPr>
            <w:r w:rsidRPr="001D41EA">
              <w:rPr>
                <w:rFonts w:cs="Arial"/>
                <w:sz w:val="18"/>
                <w:szCs w:val="18"/>
              </w:rPr>
              <w:t>277,065</w:t>
            </w:r>
          </w:p>
        </w:tc>
        <w:tc>
          <w:tcPr>
            <w:tcW w:w="1361" w:type="dxa"/>
            <w:tcBorders>
              <w:top w:val="nil"/>
              <w:left w:val="nil"/>
              <w:bottom w:val="nil"/>
              <w:right w:val="nil"/>
            </w:tcBorders>
            <w:shd w:val="clear" w:color="auto" w:fill="auto"/>
            <w:vAlign w:val="bottom"/>
          </w:tcPr>
          <w:p w14:paraId="70C4A279" w14:textId="1AF2C248" w:rsidR="009F0AF7" w:rsidRPr="001D41EA" w:rsidRDefault="009F0AF7" w:rsidP="001D41EA">
            <w:pPr>
              <w:spacing w:before="40" w:after="40"/>
              <w:jc w:val="right"/>
              <w:rPr>
                <w:rFonts w:cs="Arial"/>
                <w:sz w:val="18"/>
                <w:szCs w:val="18"/>
              </w:rPr>
            </w:pPr>
            <w:r w:rsidRPr="001D41EA">
              <w:rPr>
                <w:rFonts w:cs="Arial"/>
                <w:sz w:val="18"/>
                <w:szCs w:val="18"/>
              </w:rPr>
              <w:t>184,536</w:t>
            </w:r>
          </w:p>
        </w:tc>
        <w:tc>
          <w:tcPr>
            <w:tcW w:w="1361" w:type="dxa"/>
            <w:tcBorders>
              <w:top w:val="nil"/>
              <w:left w:val="nil"/>
              <w:bottom w:val="nil"/>
              <w:right w:val="nil"/>
            </w:tcBorders>
            <w:vAlign w:val="bottom"/>
          </w:tcPr>
          <w:p w14:paraId="429A02E7" w14:textId="6E140F88" w:rsidR="009F0AF7" w:rsidRPr="001D41EA" w:rsidRDefault="009F0AF7" w:rsidP="001D41EA">
            <w:pPr>
              <w:spacing w:before="40" w:after="40"/>
              <w:jc w:val="right"/>
              <w:rPr>
                <w:rFonts w:cs="Arial"/>
                <w:sz w:val="18"/>
                <w:szCs w:val="18"/>
              </w:rPr>
            </w:pPr>
            <w:r w:rsidRPr="001D41EA">
              <w:rPr>
                <w:rFonts w:cs="Arial"/>
                <w:sz w:val="18"/>
                <w:szCs w:val="18"/>
              </w:rPr>
              <w:t>199,964</w:t>
            </w:r>
          </w:p>
        </w:tc>
        <w:tc>
          <w:tcPr>
            <w:tcW w:w="1361" w:type="dxa"/>
            <w:tcBorders>
              <w:top w:val="nil"/>
              <w:left w:val="nil"/>
              <w:bottom w:val="nil"/>
              <w:right w:val="nil"/>
            </w:tcBorders>
            <w:vAlign w:val="bottom"/>
          </w:tcPr>
          <w:p w14:paraId="296E3701" w14:textId="12A4CA46" w:rsidR="009F0AF7" w:rsidRPr="001D41EA" w:rsidRDefault="009F0AF7" w:rsidP="001D41EA">
            <w:pPr>
              <w:spacing w:before="40" w:after="40"/>
              <w:jc w:val="right"/>
              <w:rPr>
                <w:rFonts w:cs="Arial"/>
                <w:sz w:val="18"/>
                <w:szCs w:val="18"/>
              </w:rPr>
            </w:pPr>
            <w:r w:rsidRPr="001D41EA">
              <w:rPr>
                <w:rFonts w:cs="Arial"/>
                <w:sz w:val="18"/>
                <w:szCs w:val="18"/>
              </w:rPr>
              <w:t>375,068</w:t>
            </w:r>
          </w:p>
        </w:tc>
        <w:tc>
          <w:tcPr>
            <w:tcW w:w="1361" w:type="dxa"/>
            <w:tcBorders>
              <w:top w:val="nil"/>
              <w:left w:val="nil"/>
              <w:bottom w:val="nil"/>
              <w:right w:val="nil"/>
            </w:tcBorders>
            <w:shd w:val="clear" w:color="auto" w:fill="auto"/>
            <w:vAlign w:val="bottom"/>
          </w:tcPr>
          <w:p w14:paraId="0440E819" w14:textId="56F08844" w:rsidR="009F0AF7" w:rsidRPr="001D41EA" w:rsidRDefault="009F0AF7" w:rsidP="001D41EA">
            <w:pPr>
              <w:spacing w:before="40" w:after="40"/>
              <w:jc w:val="right"/>
              <w:rPr>
                <w:rFonts w:cs="Arial"/>
                <w:sz w:val="18"/>
                <w:szCs w:val="18"/>
              </w:rPr>
            </w:pPr>
            <w:r w:rsidRPr="001D41EA">
              <w:rPr>
                <w:rFonts w:cs="Arial"/>
                <w:sz w:val="18"/>
                <w:szCs w:val="18"/>
              </w:rPr>
              <w:t>214,493</w:t>
            </w:r>
          </w:p>
        </w:tc>
      </w:tr>
      <w:tr w:rsidR="009F0AF7" w:rsidRPr="001D41EA" w14:paraId="4B67B9AE"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DF7B295" w14:textId="77777777" w:rsidR="009F0AF7" w:rsidRPr="001D41EA" w:rsidRDefault="009F0AF7" w:rsidP="001D41EA">
            <w:pPr>
              <w:spacing w:before="40" w:after="40"/>
              <w:rPr>
                <w:rFonts w:cs="Arial"/>
                <w:sz w:val="18"/>
                <w:szCs w:val="18"/>
              </w:rPr>
            </w:pPr>
            <w:r w:rsidRPr="001D41EA">
              <w:rPr>
                <w:rFonts w:cs="Arial"/>
                <w:sz w:val="18"/>
                <w:szCs w:val="18"/>
              </w:rPr>
              <w:t>Kingston C</w:t>
            </w:r>
          </w:p>
        </w:tc>
        <w:tc>
          <w:tcPr>
            <w:tcW w:w="1361" w:type="dxa"/>
            <w:tcBorders>
              <w:top w:val="nil"/>
              <w:left w:val="single" w:sz="18" w:space="0" w:color="5F497A" w:themeColor="accent4" w:themeShade="BF"/>
              <w:bottom w:val="nil"/>
              <w:right w:val="nil"/>
            </w:tcBorders>
            <w:shd w:val="clear" w:color="auto" w:fill="auto"/>
            <w:vAlign w:val="bottom"/>
          </w:tcPr>
          <w:p w14:paraId="628ADFE9" w14:textId="64A87251" w:rsidR="009F0AF7" w:rsidRPr="001D41EA" w:rsidRDefault="009F0AF7" w:rsidP="001D41EA">
            <w:pPr>
              <w:spacing w:before="40" w:after="40"/>
              <w:jc w:val="right"/>
              <w:rPr>
                <w:rFonts w:cs="Arial"/>
                <w:sz w:val="18"/>
                <w:szCs w:val="18"/>
              </w:rPr>
            </w:pPr>
            <w:r w:rsidRPr="001D41EA">
              <w:rPr>
                <w:rFonts w:cs="Arial"/>
                <w:sz w:val="18"/>
                <w:szCs w:val="18"/>
              </w:rPr>
              <w:t>2,745,966</w:t>
            </w:r>
          </w:p>
        </w:tc>
        <w:tc>
          <w:tcPr>
            <w:tcW w:w="1361" w:type="dxa"/>
            <w:tcBorders>
              <w:top w:val="nil"/>
              <w:left w:val="nil"/>
              <w:bottom w:val="nil"/>
              <w:right w:val="nil"/>
            </w:tcBorders>
            <w:shd w:val="clear" w:color="auto" w:fill="auto"/>
            <w:vAlign w:val="bottom"/>
          </w:tcPr>
          <w:p w14:paraId="04BCC910" w14:textId="2D36708F" w:rsidR="009F0AF7" w:rsidRPr="001D41EA" w:rsidRDefault="009F0AF7" w:rsidP="001D41EA">
            <w:pPr>
              <w:spacing w:before="40" w:after="40"/>
              <w:jc w:val="right"/>
              <w:rPr>
                <w:rFonts w:cs="Arial"/>
                <w:sz w:val="18"/>
                <w:szCs w:val="18"/>
              </w:rPr>
            </w:pPr>
            <w:r w:rsidRPr="001D41EA">
              <w:rPr>
                <w:rFonts w:cs="Arial"/>
                <w:sz w:val="18"/>
                <w:szCs w:val="18"/>
              </w:rPr>
              <w:t>1,980,882</w:t>
            </w:r>
          </w:p>
        </w:tc>
        <w:tc>
          <w:tcPr>
            <w:tcW w:w="1361" w:type="dxa"/>
            <w:tcBorders>
              <w:top w:val="nil"/>
              <w:left w:val="nil"/>
              <w:bottom w:val="nil"/>
              <w:right w:val="nil"/>
            </w:tcBorders>
            <w:vAlign w:val="bottom"/>
          </w:tcPr>
          <w:p w14:paraId="597A0F00" w14:textId="1C88DD57" w:rsidR="009F0AF7" w:rsidRPr="001D41EA" w:rsidRDefault="009F0AF7" w:rsidP="001D41EA">
            <w:pPr>
              <w:spacing w:before="40" w:after="40"/>
              <w:jc w:val="right"/>
              <w:rPr>
                <w:rFonts w:cs="Arial"/>
                <w:sz w:val="18"/>
                <w:szCs w:val="18"/>
              </w:rPr>
            </w:pPr>
            <w:r w:rsidRPr="001D41EA">
              <w:rPr>
                <w:rFonts w:cs="Arial"/>
                <w:sz w:val="18"/>
                <w:szCs w:val="18"/>
              </w:rPr>
              <w:t>1,606,063</w:t>
            </w:r>
          </w:p>
        </w:tc>
        <w:tc>
          <w:tcPr>
            <w:tcW w:w="1361" w:type="dxa"/>
            <w:tcBorders>
              <w:top w:val="nil"/>
              <w:left w:val="nil"/>
              <w:bottom w:val="nil"/>
              <w:right w:val="nil"/>
            </w:tcBorders>
            <w:vAlign w:val="bottom"/>
          </w:tcPr>
          <w:p w14:paraId="3A9E68F0" w14:textId="49A01FB5" w:rsidR="009F0AF7" w:rsidRPr="001D41EA" w:rsidRDefault="009F0AF7" w:rsidP="001D41EA">
            <w:pPr>
              <w:spacing w:before="40" w:after="40"/>
              <w:jc w:val="right"/>
              <w:rPr>
                <w:rFonts w:cs="Arial"/>
                <w:sz w:val="18"/>
                <w:szCs w:val="18"/>
              </w:rPr>
            </w:pPr>
            <w:r w:rsidRPr="001D41EA">
              <w:rPr>
                <w:rFonts w:cs="Arial"/>
                <w:sz w:val="18"/>
                <w:szCs w:val="18"/>
              </w:rPr>
              <w:t>3,717,263</w:t>
            </w:r>
          </w:p>
        </w:tc>
        <w:tc>
          <w:tcPr>
            <w:tcW w:w="1361" w:type="dxa"/>
            <w:tcBorders>
              <w:top w:val="nil"/>
              <w:left w:val="nil"/>
              <w:bottom w:val="nil"/>
              <w:right w:val="nil"/>
            </w:tcBorders>
            <w:shd w:val="clear" w:color="auto" w:fill="auto"/>
            <w:vAlign w:val="bottom"/>
          </w:tcPr>
          <w:p w14:paraId="6A2C9547" w14:textId="1EED3913" w:rsidR="009F0AF7" w:rsidRPr="001D41EA" w:rsidRDefault="009F0AF7" w:rsidP="001D41EA">
            <w:pPr>
              <w:spacing w:before="40" w:after="40"/>
              <w:jc w:val="right"/>
              <w:rPr>
                <w:rFonts w:cs="Arial"/>
                <w:sz w:val="18"/>
                <w:szCs w:val="18"/>
              </w:rPr>
            </w:pPr>
            <w:r w:rsidRPr="001D41EA">
              <w:rPr>
                <w:rFonts w:cs="Arial"/>
                <w:sz w:val="18"/>
                <w:szCs w:val="18"/>
              </w:rPr>
              <w:t>1,955,288</w:t>
            </w:r>
          </w:p>
        </w:tc>
      </w:tr>
      <w:tr w:rsidR="009F0AF7" w:rsidRPr="001D41EA" w14:paraId="1F7F07F0"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54B2FD6" w14:textId="77777777" w:rsidR="009F0AF7" w:rsidRPr="001D41EA" w:rsidRDefault="009F0AF7" w:rsidP="001D41EA">
            <w:pPr>
              <w:spacing w:before="40" w:after="40"/>
              <w:rPr>
                <w:rFonts w:cs="Arial"/>
                <w:sz w:val="18"/>
                <w:szCs w:val="18"/>
              </w:rPr>
            </w:pPr>
            <w:r w:rsidRPr="001D41EA">
              <w:rPr>
                <w:rFonts w:cs="Arial"/>
                <w:sz w:val="18"/>
                <w:szCs w:val="18"/>
              </w:rPr>
              <w:t>Knox C</w:t>
            </w:r>
          </w:p>
        </w:tc>
        <w:tc>
          <w:tcPr>
            <w:tcW w:w="1361" w:type="dxa"/>
            <w:tcBorders>
              <w:top w:val="nil"/>
              <w:left w:val="single" w:sz="18" w:space="0" w:color="5F497A" w:themeColor="accent4" w:themeShade="BF"/>
              <w:bottom w:val="nil"/>
              <w:right w:val="nil"/>
            </w:tcBorders>
            <w:shd w:val="clear" w:color="auto" w:fill="auto"/>
            <w:vAlign w:val="bottom"/>
          </w:tcPr>
          <w:p w14:paraId="1077069A" w14:textId="0DB34AF9" w:rsidR="009F0AF7" w:rsidRPr="001D41EA" w:rsidRDefault="009F0AF7" w:rsidP="001D41EA">
            <w:pPr>
              <w:spacing w:before="40" w:after="40"/>
              <w:jc w:val="right"/>
              <w:rPr>
                <w:rFonts w:cs="Arial"/>
                <w:sz w:val="18"/>
                <w:szCs w:val="18"/>
              </w:rPr>
            </w:pPr>
            <w:r w:rsidRPr="001D41EA">
              <w:rPr>
                <w:rFonts w:cs="Arial"/>
                <w:sz w:val="18"/>
                <w:szCs w:val="18"/>
              </w:rPr>
              <w:t>2,742,136</w:t>
            </w:r>
          </w:p>
        </w:tc>
        <w:tc>
          <w:tcPr>
            <w:tcW w:w="1361" w:type="dxa"/>
            <w:tcBorders>
              <w:top w:val="nil"/>
              <w:left w:val="nil"/>
              <w:bottom w:val="nil"/>
              <w:right w:val="nil"/>
            </w:tcBorders>
            <w:shd w:val="clear" w:color="auto" w:fill="auto"/>
            <w:vAlign w:val="bottom"/>
          </w:tcPr>
          <w:p w14:paraId="4144FDF7" w14:textId="324FE75C" w:rsidR="009F0AF7" w:rsidRPr="001D41EA" w:rsidRDefault="009F0AF7" w:rsidP="001D41EA">
            <w:pPr>
              <w:spacing w:before="40" w:after="40"/>
              <w:jc w:val="right"/>
              <w:rPr>
                <w:rFonts w:cs="Arial"/>
                <w:sz w:val="18"/>
                <w:szCs w:val="18"/>
              </w:rPr>
            </w:pPr>
            <w:r w:rsidRPr="001D41EA">
              <w:rPr>
                <w:rFonts w:cs="Arial"/>
                <w:sz w:val="18"/>
                <w:szCs w:val="18"/>
              </w:rPr>
              <w:t>1,999,797</w:t>
            </w:r>
          </w:p>
        </w:tc>
        <w:tc>
          <w:tcPr>
            <w:tcW w:w="1361" w:type="dxa"/>
            <w:tcBorders>
              <w:top w:val="nil"/>
              <w:left w:val="nil"/>
              <w:bottom w:val="nil"/>
              <w:right w:val="nil"/>
            </w:tcBorders>
            <w:vAlign w:val="bottom"/>
          </w:tcPr>
          <w:p w14:paraId="0ECFB32B" w14:textId="3E6B710A" w:rsidR="009F0AF7" w:rsidRPr="001D41EA" w:rsidRDefault="009F0AF7" w:rsidP="001D41EA">
            <w:pPr>
              <w:spacing w:before="40" w:after="40"/>
              <w:jc w:val="right"/>
              <w:rPr>
                <w:rFonts w:cs="Arial"/>
                <w:sz w:val="18"/>
                <w:szCs w:val="18"/>
              </w:rPr>
            </w:pPr>
            <w:r w:rsidRPr="001D41EA">
              <w:rPr>
                <w:rFonts w:cs="Arial"/>
                <w:sz w:val="18"/>
                <w:szCs w:val="18"/>
              </w:rPr>
              <w:t>1,671,167</w:t>
            </w:r>
          </w:p>
        </w:tc>
        <w:tc>
          <w:tcPr>
            <w:tcW w:w="1361" w:type="dxa"/>
            <w:tcBorders>
              <w:top w:val="nil"/>
              <w:left w:val="nil"/>
              <w:bottom w:val="nil"/>
              <w:right w:val="nil"/>
            </w:tcBorders>
            <w:vAlign w:val="bottom"/>
          </w:tcPr>
          <w:p w14:paraId="51192235" w14:textId="3ADC6473" w:rsidR="009F0AF7" w:rsidRPr="001D41EA" w:rsidRDefault="009F0AF7" w:rsidP="001D41EA">
            <w:pPr>
              <w:spacing w:before="40" w:after="40"/>
              <w:jc w:val="right"/>
              <w:rPr>
                <w:rFonts w:cs="Arial"/>
                <w:sz w:val="18"/>
                <w:szCs w:val="18"/>
              </w:rPr>
            </w:pPr>
            <w:r w:rsidRPr="001D41EA">
              <w:rPr>
                <w:rFonts w:cs="Arial"/>
                <w:sz w:val="18"/>
                <w:szCs w:val="18"/>
              </w:rPr>
              <w:t>3,712,077</w:t>
            </w:r>
          </w:p>
        </w:tc>
        <w:tc>
          <w:tcPr>
            <w:tcW w:w="1361" w:type="dxa"/>
            <w:tcBorders>
              <w:top w:val="nil"/>
              <w:left w:val="nil"/>
              <w:bottom w:val="nil"/>
              <w:right w:val="nil"/>
            </w:tcBorders>
            <w:shd w:val="clear" w:color="auto" w:fill="auto"/>
            <w:vAlign w:val="bottom"/>
          </w:tcPr>
          <w:p w14:paraId="4C421DD3" w14:textId="3406651F" w:rsidR="009F0AF7" w:rsidRPr="001D41EA" w:rsidRDefault="009F0AF7" w:rsidP="001D41EA">
            <w:pPr>
              <w:spacing w:before="40" w:after="40"/>
              <w:jc w:val="right"/>
              <w:rPr>
                <w:rFonts w:cs="Arial"/>
                <w:sz w:val="18"/>
                <w:szCs w:val="18"/>
              </w:rPr>
            </w:pPr>
            <w:r w:rsidRPr="001D41EA">
              <w:rPr>
                <w:rFonts w:cs="Arial"/>
                <w:sz w:val="18"/>
                <w:szCs w:val="18"/>
              </w:rPr>
              <w:t>1,789,834</w:t>
            </w:r>
          </w:p>
        </w:tc>
      </w:tr>
      <w:tr w:rsidR="009F0AF7" w:rsidRPr="001D41EA" w14:paraId="39F4506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7604552" w14:textId="77777777" w:rsidR="009F0AF7" w:rsidRPr="001D41EA" w:rsidRDefault="009F0AF7" w:rsidP="001D41EA">
            <w:pPr>
              <w:spacing w:before="40" w:after="40"/>
              <w:rPr>
                <w:rFonts w:cs="Arial"/>
                <w:sz w:val="18"/>
                <w:szCs w:val="18"/>
              </w:rPr>
            </w:pPr>
            <w:r w:rsidRPr="001D41EA">
              <w:rPr>
                <w:rFonts w:cs="Arial"/>
                <w:sz w:val="18"/>
                <w:szCs w:val="18"/>
              </w:rPr>
              <w:t>Latrobe C</w:t>
            </w:r>
          </w:p>
        </w:tc>
        <w:tc>
          <w:tcPr>
            <w:tcW w:w="1361" w:type="dxa"/>
            <w:tcBorders>
              <w:top w:val="nil"/>
              <w:left w:val="single" w:sz="18" w:space="0" w:color="5F497A" w:themeColor="accent4" w:themeShade="BF"/>
              <w:bottom w:val="nil"/>
              <w:right w:val="nil"/>
            </w:tcBorders>
            <w:shd w:val="clear" w:color="auto" w:fill="auto"/>
            <w:vAlign w:val="bottom"/>
          </w:tcPr>
          <w:p w14:paraId="73505166" w14:textId="74622BD4" w:rsidR="009F0AF7" w:rsidRPr="001D41EA" w:rsidRDefault="009F0AF7" w:rsidP="001D41EA">
            <w:pPr>
              <w:spacing w:before="40" w:after="40"/>
              <w:jc w:val="right"/>
              <w:rPr>
                <w:rFonts w:cs="Arial"/>
                <w:sz w:val="18"/>
                <w:szCs w:val="18"/>
              </w:rPr>
            </w:pPr>
            <w:r w:rsidRPr="001D41EA">
              <w:rPr>
                <w:rFonts w:cs="Arial"/>
                <w:sz w:val="18"/>
                <w:szCs w:val="18"/>
              </w:rPr>
              <w:t>1,263,695</w:t>
            </w:r>
          </w:p>
        </w:tc>
        <w:tc>
          <w:tcPr>
            <w:tcW w:w="1361" w:type="dxa"/>
            <w:tcBorders>
              <w:top w:val="nil"/>
              <w:left w:val="nil"/>
              <w:bottom w:val="nil"/>
              <w:right w:val="nil"/>
            </w:tcBorders>
            <w:shd w:val="clear" w:color="auto" w:fill="auto"/>
            <w:vAlign w:val="bottom"/>
          </w:tcPr>
          <w:p w14:paraId="6B4FA47F" w14:textId="75384E7C" w:rsidR="009F0AF7" w:rsidRPr="001D41EA" w:rsidRDefault="009F0AF7" w:rsidP="001D41EA">
            <w:pPr>
              <w:spacing w:before="40" w:after="40"/>
              <w:jc w:val="right"/>
              <w:rPr>
                <w:rFonts w:cs="Arial"/>
                <w:sz w:val="18"/>
                <w:szCs w:val="18"/>
              </w:rPr>
            </w:pPr>
            <w:r w:rsidRPr="001D41EA">
              <w:rPr>
                <w:rFonts w:cs="Arial"/>
                <w:sz w:val="18"/>
                <w:szCs w:val="18"/>
              </w:rPr>
              <w:t>629,380</w:t>
            </w:r>
          </w:p>
        </w:tc>
        <w:tc>
          <w:tcPr>
            <w:tcW w:w="1361" w:type="dxa"/>
            <w:tcBorders>
              <w:top w:val="nil"/>
              <w:left w:val="nil"/>
              <w:bottom w:val="nil"/>
              <w:right w:val="nil"/>
            </w:tcBorders>
            <w:vAlign w:val="bottom"/>
          </w:tcPr>
          <w:p w14:paraId="69669272" w14:textId="0C27EF99" w:rsidR="009F0AF7" w:rsidRPr="001D41EA" w:rsidRDefault="009F0AF7" w:rsidP="001D41EA">
            <w:pPr>
              <w:spacing w:before="40" w:after="40"/>
              <w:jc w:val="right"/>
              <w:rPr>
                <w:rFonts w:cs="Arial"/>
                <w:sz w:val="18"/>
                <w:szCs w:val="18"/>
              </w:rPr>
            </w:pPr>
            <w:r w:rsidRPr="001D41EA">
              <w:rPr>
                <w:rFonts w:cs="Arial"/>
                <w:sz w:val="18"/>
                <w:szCs w:val="18"/>
              </w:rPr>
              <w:t>807,463</w:t>
            </w:r>
          </w:p>
        </w:tc>
        <w:tc>
          <w:tcPr>
            <w:tcW w:w="1361" w:type="dxa"/>
            <w:tcBorders>
              <w:top w:val="nil"/>
              <w:left w:val="nil"/>
              <w:bottom w:val="nil"/>
              <w:right w:val="nil"/>
            </w:tcBorders>
            <w:vAlign w:val="bottom"/>
          </w:tcPr>
          <w:p w14:paraId="1F0D186D" w14:textId="731F807E" w:rsidR="009F0AF7" w:rsidRPr="001D41EA" w:rsidRDefault="009F0AF7" w:rsidP="001D41EA">
            <w:pPr>
              <w:spacing w:before="40" w:after="40"/>
              <w:jc w:val="right"/>
              <w:rPr>
                <w:rFonts w:cs="Arial"/>
                <w:sz w:val="18"/>
                <w:szCs w:val="18"/>
              </w:rPr>
            </w:pPr>
            <w:r w:rsidRPr="001D41EA">
              <w:rPr>
                <w:rFonts w:cs="Arial"/>
                <w:sz w:val="18"/>
                <w:szCs w:val="18"/>
              </w:rPr>
              <w:t>1,710,686</w:t>
            </w:r>
          </w:p>
        </w:tc>
        <w:tc>
          <w:tcPr>
            <w:tcW w:w="1361" w:type="dxa"/>
            <w:tcBorders>
              <w:top w:val="nil"/>
              <w:left w:val="nil"/>
              <w:bottom w:val="nil"/>
              <w:right w:val="nil"/>
            </w:tcBorders>
            <w:shd w:val="clear" w:color="auto" w:fill="auto"/>
            <w:vAlign w:val="bottom"/>
          </w:tcPr>
          <w:p w14:paraId="546ECE7C" w14:textId="1A915FA8" w:rsidR="009F0AF7" w:rsidRPr="001D41EA" w:rsidRDefault="009F0AF7" w:rsidP="001D41EA">
            <w:pPr>
              <w:spacing w:before="40" w:after="40"/>
              <w:jc w:val="right"/>
              <w:rPr>
                <w:rFonts w:cs="Arial"/>
                <w:sz w:val="18"/>
                <w:szCs w:val="18"/>
              </w:rPr>
            </w:pPr>
            <w:r w:rsidRPr="001D41EA">
              <w:rPr>
                <w:rFonts w:cs="Arial"/>
                <w:sz w:val="18"/>
                <w:szCs w:val="18"/>
              </w:rPr>
              <w:t>1,029,177</w:t>
            </w:r>
          </w:p>
        </w:tc>
      </w:tr>
      <w:tr w:rsidR="009F0AF7" w:rsidRPr="001D41EA" w14:paraId="76CABE8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BE3638" w14:textId="77777777" w:rsidR="009F0AF7" w:rsidRPr="001D41EA" w:rsidRDefault="009F0AF7" w:rsidP="001D41EA">
            <w:pPr>
              <w:spacing w:before="40" w:after="40"/>
              <w:rPr>
                <w:rFonts w:cs="Arial"/>
                <w:sz w:val="18"/>
                <w:szCs w:val="18"/>
              </w:rPr>
            </w:pPr>
            <w:r w:rsidRPr="001D41EA">
              <w:rPr>
                <w:rFonts w:cs="Arial"/>
                <w:sz w:val="18"/>
                <w:szCs w:val="18"/>
              </w:rPr>
              <w:t>Loddon S</w:t>
            </w:r>
          </w:p>
        </w:tc>
        <w:tc>
          <w:tcPr>
            <w:tcW w:w="1361" w:type="dxa"/>
            <w:tcBorders>
              <w:top w:val="nil"/>
              <w:left w:val="single" w:sz="18" w:space="0" w:color="5F497A" w:themeColor="accent4" w:themeShade="BF"/>
              <w:bottom w:val="nil"/>
              <w:right w:val="nil"/>
            </w:tcBorders>
            <w:shd w:val="clear" w:color="auto" w:fill="auto"/>
            <w:vAlign w:val="bottom"/>
          </w:tcPr>
          <w:p w14:paraId="5832ED44" w14:textId="560F6980" w:rsidR="009F0AF7" w:rsidRPr="001D41EA" w:rsidRDefault="009F0AF7" w:rsidP="001D41EA">
            <w:pPr>
              <w:spacing w:before="40" w:after="40"/>
              <w:jc w:val="right"/>
              <w:rPr>
                <w:rFonts w:cs="Arial"/>
                <w:sz w:val="18"/>
                <w:szCs w:val="18"/>
              </w:rPr>
            </w:pPr>
            <w:r w:rsidRPr="001D41EA">
              <w:rPr>
                <w:rFonts w:cs="Arial"/>
                <w:sz w:val="18"/>
                <w:szCs w:val="18"/>
              </w:rPr>
              <w:t>126,233</w:t>
            </w:r>
          </w:p>
        </w:tc>
        <w:tc>
          <w:tcPr>
            <w:tcW w:w="1361" w:type="dxa"/>
            <w:tcBorders>
              <w:top w:val="nil"/>
              <w:left w:val="nil"/>
              <w:bottom w:val="nil"/>
              <w:right w:val="nil"/>
            </w:tcBorders>
            <w:shd w:val="clear" w:color="auto" w:fill="auto"/>
            <w:vAlign w:val="bottom"/>
          </w:tcPr>
          <w:p w14:paraId="34C52B56" w14:textId="284F398E" w:rsidR="009F0AF7" w:rsidRPr="001D41EA" w:rsidRDefault="009F0AF7" w:rsidP="001D41EA">
            <w:pPr>
              <w:spacing w:before="40" w:after="40"/>
              <w:jc w:val="right"/>
              <w:rPr>
                <w:rFonts w:cs="Arial"/>
                <w:sz w:val="18"/>
                <w:szCs w:val="18"/>
              </w:rPr>
            </w:pPr>
            <w:r w:rsidRPr="001D41EA">
              <w:rPr>
                <w:rFonts w:cs="Arial"/>
                <w:sz w:val="18"/>
                <w:szCs w:val="18"/>
              </w:rPr>
              <w:t>65,615</w:t>
            </w:r>
          </w:p>
        </w:tc>
        <w:tc>
          <w:tcPr>
            <w:tcW w:w="1361" w:type="dxa"/>
            <w:tcBorders>
              <w:top w:val="nil"/>
              <w:left w:val="nil"/>
              <w:bottom w:val="nil"/>
              <w:right w:val="nil"/>
            </w:tcBorders>
            <w:vAlign w:val="bottom"/>
          </w:tcPr>
          <w:p w14:paraId="0B1C4FB9" w14:textId="025FBF34" w:rsidR="009F0AF7" w:rsidRPr="001D41EA" w:rsidRDefault="009F0AF7" w:rsidP="001D41EA">
            <w:pPr>
              <w:spacing w:before="40" w:after="40"/>
              <w:jc w:val="right"/>
              <w:rPr>
                <w:rFonts w:cs="Arial"/>
                <w:sz w:val="18"/>
                <w:szCs w:val="18"/>
              </w:rPr>
            </w:pPr>
            <w:r w:rsidRPr="001D41EA">
              <w:rPr>
                <w:rFonts w:cs="Arial"/>
                <w:sz w:val="18"/>
                <w:szCs w:val="18"/>
              </w:rPr>
              <w:t>103,488</w:t>
            </w:r>
          </w:p>
        </w:tc>
        <w:tc>
          <w:tcPr>
            <w:tcW w:w="1361" w:type="dxa"/>
            <w:tcBorders>
              <w:top w:val="nil"/>
              <w:left w:val="nil"/>
              <w:bottom w:val="nil"/>
              <w:right w:val="nil"/>
            </w:tcBorders>
            <w:vAlign w:val="bottom"/>
          </w:tcPr>
          <w:p w14:paraId="582B18A3" w14:textId="2E36CD5D" w:rsidR="009F0AF7" w:rsidRPr="001D41EA" w:rsidRDefault="009F0AF7" w:rsidP="001D41EA">
            <w:pPr>
              <w:spacing w:before="40" w:after="40"/>
              <w:jc w:val="right"/>
              <w:rPr>
                <w:rFonts w:cs="Arial"/>
                <w:sz w:val="18"/>
                <w:szCs w:val="18"/>
              </w:rPr>
            </w:pPr>
            <w:r w:rsidRPr="001D41EA">
              <w:rPr>
                <w:rFonts w:cs="Arial"/>
                <w:sz w:val="18"/>
                <w:szCs w:val="18"/>
              </w:rPr>
              <w:t>170,884</w:t>
            </w:r>
          </w:p>
        </w:tc>
        <w:tc>
          <w:tcPr>
            <w:tcW w:w="1361" w:type="dxa"/>
            <w:tcBorders>
              <w:top w:val="nil"/>
              <w:left w:val="nil"/>
              <w:bottom w:val="nil"/>
              <w:right w:val="nil"/>
            </w:tcBorders>
            <w:shd w:val="clear" w:color="auto" w:fill="auto"/>
            <w:vAlign w:val="bottom"/>
          </w:tcPr>
          <w:p w14:paraId="085D1A68" w14:textId="0771275B" w:rsidR="009F0AF7" w:rsidRPr="001D41EA" w:rsidRDefault="009F0AF7" w:rsidP="001D41EA">
            <w:pPr>
              <w:spacing w:before="40" w:after="40"/>
              <w:jc w:val="right"/>
              <w:rPr>
                <w:rFonts w:cs="Arial"/>
                <w:sz w:val="18"/>
                <w:szCs w:val="18"/>
              </w:rPr>
            </w:pPr>
            <w:r w:rsidRPr="001D41EA">
              <w:rPr>
                <w:rFonts w:cs="Arial"/>
                <w:sz w:val="18"/>
                <w:szCs w:val="18"/>
              </w:rPr>
              <w:t>123,310</w:t>
            </w:r>
          </w:p>
        </w:tc>
      </w:tr>
    </w:tbl>
    <w:p w14:paraId="5AFD1EF5" w14:textId="77777777" w:rsidR="00D67755" w:rsidRPr="00A44829" w:rsidRDefault="00D67755" w:rsidP="00FF36E8">
      <w:pPr>
        <w:spacing w:before="40" w:after="20"/>
        <w:rPr>
          <w:rFonts w:cs="Arial"/>
          <w:sz w:val="18"/>
          <w:szCs w:val="18"/>
        </w:rPr>
      </w:pPr>
    </w:p>
    <w:p w14:paraId="3B998109" w14:textId="77777777" w:rsidR="00D67755" w:rsidRPr="00A44829" w:rsidRDefault="00D67755" w:rsidP="00FF36E8">
      <w:pPr>
        <w:spacing w:before="40" w:after="20"/>
        <w:rPr>
          <w:rFonts w:cs="Arial"/>
          <w:sz w:val="18"/>
          <w:szCs w:val="18"/>
        </w:rPr>
      </w:pPr>
      <w:r w:rsidRPr="00A44829">
        <w:rPr>
          <w:rFonts w:cs="Arial"/>
          <w:sz w:val="18"/>
          <w:szCs w:val="18"/>
        </w:rPr>
        <w:br w:type="page"/>
      </w:r>
    </w:p>
    <w:p w14:paraId="0AF7FC8E" w14:textId="3F3682ED" w:rsidR="00FE4C8F" w:rsidRPr="00A44829" w:rsidRDefault="00EE4593" w:rsidP="00C33713">
      <w:pPr>
        <w:pStyle w:val="VGC-Head10"/>
      </w:pPr>
      <w:r w:rsidRPr="00A44829">
        <w:lastRenderedPageBreak/>
        <w:t>2019-20</w:t>
      </w:r>
      <w:r w:rsidR="00A97ABE" w:rsidRPr="00A44829">
        <w:t xml:space="preserve"> </w:t>
      </w:r>
      <w:r w:rsidR="00FE4C8F" w:rsidRPr="00A44829">
        <w:t>General Purpose Grants</w:t>
      </w:r>
      <w:r w:rsidR="00CE4507" w:rsidRPr="00A44829">
        <w:tab/>
        <w:t>Appendix 4</w:t>
      </w:r>
    </w:p>
    <w:p w14:paraId="66A09599" w14:textId="77777777" w:rsidR="00FE4C8F" w:rsidRPr="00A44829" w:rsidRDefault="004F1184" w:rsidP="008C1A28">
      <w:pPr>
        <w:pStyle w:val="VGC-Head2"/>
      </w:pPr>
      <w:r w:rsidRPr="00A44829">
        <w:tab/>
      </w:r>
      <w:r w:rsidR="00FE4C8F" w:rsidRPr="00A44829">
        <w:t>I.  Standardised Fees and Charges</w:t>
      </w:r>
    </w:p>
    <w:p w14:paraId="3997E965" w14:textId="77777777" w:rsidR="00893320" w:rsidRPr="00A44829"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A44829" w14:paraId="6F9D3858"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13E1A73A" w14:textId="77777777" w:rsidR="00893320" w:rsidRPr="00A44829" w:rsidRDefault="00893320" w:rsidP="008001AD">
            <w:pPr>
              <w:spacing w:before="40" w:after="20"/>
              <w:jc w:val="center"/>
              <w:rPr>
                <w:rFonts w:cs="Arial"/>
                <w:sz w:val="18"/>
                <w:szCs w:val="18"/>
              </w:rPr>
            </w:pPr>
          </w:p>
        </w:tc>
        <w:tc>
          <w:tcPr>
            <w:tcW w:w="6805" w:type="dxa"/>
            <w:gridSpan w:val="5"/>
            <w:tcBorders>
              <w:left w:val="single" w:sz="18" w:space="0" w:color="5F497A" w:themeColor="accent4" w:themeShade="BF"/>
              <w:bottom w:val="single" w:sz="8" w:space="0" w:color="5F497A" w:themeColor="accent4" w:themeShade="BF"/>
            </w:tcBorders>
            <w:shd w:val="clear" w:color="auto" w:fill="auto"/>
            <w:vAlign w:val="bottom"/>
          </w:tcPr>
          <w:p w14:paraId="52D92640" w14:textId="77777777" w:rsidR="00893320" w:rsidRPr="00A44829" w:rsidRDefault="00893320" w:rsidP="008001AD">
            <w:pPr>
              <w:spacing w:before="40" w:after="20"/>
              <w:jc w:val="center"/>
              <w:rPr>
                <w:rFonts w:cs="Arial"/>
                <w:b/>
                <w:sz w:val="18"/>
                <w:szCs w:val="18"/>
              </w:rPr>
            </w:pPr>
            <w:r w:rsidRPr="00A44829">
              <w:rPr>
                <w:rFonts w:cs="Arial"/>
                <w:b/>
                <w:sz w:val="18"/>
                <w:szCs w:val="18"/>
              </w:rPr>
              <w:t>Standardised Fees and Charges</w:t>
            </w:r>
          </w:p>
        </w:tc>
      </w:tr>
      <w:tr w:rsidR="00514109" w:rsidRPr="00A44829" w14:paraId="65EC7F95"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7D8772AA" w14:textId="77777777" w:rsidR="00514109" w:rsidRPr="00A44829" w:rsidRDefault="00514109" w:rsidP="008001AD">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5046D6C6" w14:textId="77777777" w:rsidR="00514109" w:rsidRPr="00A44829" w:rsidRDefault="00514109" w:rsidP="008001AD">
            <w:pPr>
              <w:spacing w:before="40" w:after="20"/>
              <w:jc w:val="center"/>
              <w:rPr>
                <w:rFonts w:cs="Arial"/>
                <w:sz w:val="16"/>
                <w:szCs w:val="16"/>
              </w:rPr>
            </w:pPr>
            <w:r w:rsidRPr="00A44829">
              <w:rPr>
                <w:rFonts w:cs="Arial"/>
                <w:sz w:val="16"/>
                <w:szCs w:val="16"/>
              </w:rPr>
              <w:t xml:space="preserve">Traffic </w:t>
            </w:r>
            <w:r w:rsidRPr="00A44829">
              <w:rPr>
                <w:rFonts w:cs="Arial"/>
                <w:sz w:val="16"/>
                <w:szCs w:val="16"/>
              </w:rPr>
              <w:br/>
              <w:t>&amp; Street Management</w:t>
            </w:r>
            <w:r w:rsidRPr="00A44829">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48AA3CE0" w14:textId="77777777" w:rsidR="00514109" w:rsidRPr="00A44829" w:rsidRDefault="00514109" w:rsidP="008001AD">
            <w:pPr>
              <w:spacing w:before="40" w:after="20"/>
              <w:jc w:val="center"/>
              <w:rPr>
                <w:rFonts w:cs="Arial"/>
                <w:sz w:val="16"/>
                <w:szCs w:val="16"/>
              </w:rPr>
            </w:pPr>
            <w:r w:rsidRPr="00A44829">
              <w:rPr>
                <w:rFonts w:cs="Arial"/>
                <w:sz w:val="16"/>
                <w:szCs w:val="16"/>
              </w:rPr>
              <w:t xml:space="preserve">Environment </w:t>
            </w:r>
            <w:r w:rsidRPr="00A44829">
              <w:rPr>
                <w:rFonts w:cs="Arial"/>
                <w:sz w:val="16"/>
                <w:szCs w:val="16"/>
              </w:rPr>
              <w:br/>
              <w:t>($)</w:t>
            </w:r>
          </w:p>
        </w:tc>
        <w:tc>
          <w:tcPr>
            <w:tcW w:w="1361" w:type="dxa"/>
            <w:tcBorders>
              <w:top w:val="single" w:sz="8" w:space="0" w:color="5F497A" w:themeColor="accent4" w:themeShade="BF"/>
              <w:bottom w:val="single" w:sz="8" w:space="0" w:color="5F497A" w:themeColor="accent4" w:themeShade="BF"/>
            </w:tcBorders>
            <w:vAlign w:val="bottom"/>
          </w:tcPr>
          <w:p w14:paraId="45EE3A23" w14:textId="77777777" w:rsidR="00514109" w:rsidRPr="00A44829" w:rsidRDefault="00514109" w:rsidP="008001AD">
            <w:pPr>
              <w:spacing w:before="40" w:after="20"/>
              <w:jc w:val="center"/>
              <w:rPr>
                <w:rFonts w:cs="Arial"/>
                <w:sz w:val="16"/>
                <w:szCs w:val="16"/>
              </w:rPr>
            </w:pPr>
            <w:r w:rsidRPr="00A44829">
              <w:rPr>
                <w:rFonts w:cs="Arial"/>
                <w:sz w:val="16"/>
                <w:szCs w:val="16"/>
              </w:rPr>
              <w:t xml:space="preserve">Business </w:t>
            </w:r>
            <w:r w:rsidRPr="00A44829">
              <w:rPr>
                <w:rFonts w:cs="Arial"/>
                <w:sz w:val="16"/>
                <w:szCs w:val="16"/>
              </w:rPr>
              <w:br/>
              <w:t>&amp; Economic Services</w:t>
            </w:r>
            <w:r w:rsidRPr="00A44829">
              <w:rPr>
                <w:rFonts w:cs="Arial"/>
                <w:sz w:val="16"/>
                <w:szCs w:val="16"/>
              </w:rPr>
              <w:br/>
              <w:t>($)</w:t>
            </w:r>
          </w:p>
        </w:tc>
        <w:tc>
          <w:tcPr>
            <w:tcW w:w="1361" w:type="dxa"/>
            <w:tcBorders>
              <w:top w:val="single" w:sz="8" w:space="0" w:color="5F497A" w:themeColor="accent4" w:themeShade="BF"/>
              <w:bottom w:val="single" w:sz="8" w:space="0" w:color="5F497A" w:themeColor="accent4" w:themeShade="BF"/>
            </w:tcBorders>
            <w:vAlign w:val="bottom"/>
          </w:tcPr>
          <w:p w14:paraId="5F39259B" w14:textId="77777777" w:rsidR="00514109" w:rsidRPr="00A44829" w:rsidRDefault="00514109" w:rsidP="008001AD">
            <w:pPr>
              <w:spacing w:before="40" w:after="20"/>
              <w:jc w:val="center"/>
              <w:rPr>
                <w:rFonts w:cs="Arial"/>
                <w:sz w:val="16"/>
                <w:szCs w:val="16"/>
              </w:rPr>
            </w:pPr>
            <w:r w:rsidRPr="00A44829">
              <w:rPr>
                <w:rFonts w:cs="Arial"/>
                <w:sz w:val="16"/>
                <w:szCs w:val="16"/>
              </w:rPr>
              <w:t xml:space="preserve">Local Roads </w:t>
            </w:r>
            <w:r w:rsidRPr="00A44829">
              <w:rPr>
                <w:rFonts w:cs="Arial"/>
                <w:sz w:val="16"/>
                <w:szCs w:val="16"/>
              </w:rPr>
              <w:br/>
              <w:t xml:space="preserve">&amp; Bridges </w:t>
            </w:r>
            <w:r w:rsidRPr="00A44829">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2E64A3CB" w14:textId="77777777" w:rsidR="00514109" w:rsidRPr="00A44829" w:rsidRDefault="00583FEF" w:rsidP="008001AD">
            <w:pPr>
              <w:spacing w:before="40" w:after="20"/>
              <w:jc w:val="center"/>
              <w:rPr>
                <w:rFonts w:cs="Arial"/>
                <w:b/>
                <w:sz w:val="16"/>
                <w:szCs w:val="16"/>
              </w:rPr>
            </w:pPr>
            <w:r w:rsidRPr="00A44829">
              <w:rPr>
                <w:rFonts w:cs="Arial"/>
                <w:b/>
                <w:sz w:val="16"/>
                <w:szCs w:val="16"/>
              </w:rPr>
              <w:t>Total</w:t>
            </w:r>
            <w:r w:rsidR="00514109" w:rsidRPr="00A44829">
              <w:rPr>
                <w:rFonts w:cs="Arial"/>
                <w:b/>
                <w:sz w:val="16"/>
                <w:szCs w:val="16"/>
              </w:rPr>
              <w:br/>
              <w:t>($)</w:t>
            </w:r>
          </w:p>
        </w:tc>
      </w:tr>
      <w:tr w:rsidR="009F0AF7" w:rsidRPr="001D41EA" w14:paraId="3C417474" w14:textId="77777777" w:rsidTr="00B44BBE">
        <w:trPr>
          <w:trHeight w:val="240"/>
          <w:tblHeader/>
        </w:trPr>
        <w:tc>
          <w:tcPr>
            <w:tcW w:w="2268" w:type="dxa"/>
            <w:tcBorders>
              <w:left w:val="nil"/>
              <w:bottom w:val="nil"/>
              <w:right w:val="single" w:sz="18" w:space="0" w:color="5F497A" w:themeColor="accent4" w:themeShade="BF"/>
            </w:tcBorders>
            <w:shd w:val="clear" w:color="auto" w:fill="auto"/>
            <w:vAlign w:val="center"/>
          </w:tcPr>
          <w:p w14:paraId="3CE752FE" w14:textId="77777777" w:rsidR="009F0AF7" w:rsidRPr="001D41EA" w:rsidRDefault="009F0AF7" w:rsidP="001D41EA">
            <w:pPr>
              <w:spacing w:before="40" w:after="4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167A847" w14:textId="5A824313" w:rsidR="009F0AF7" w:rsidRPr="001D41EA" w:rsidRDefault="009F0AF7" w:rsidP="001D41EA">
            <w:pPr>
              <w:spacing w:before="40" w:after="4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50AF62A4" w14:textId="01C0B941" w:rsidR="009F0AF7" w:rsidRPr="001D41EA" w:rsidRDefault="009F0AF7" w:rsidP="001D41EA">
            <w:pPr>
              <w:spacing w:before="40" w:after="4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vAlign w:val="bottom"/>
          </w:tcPr>
          <w:p w14:paraId="736805EA" w14:textId="7587C1AD" w:rsidR="009F0AF7" w:rsidRPr="001D41EA" w:rsidRDefault="009F0AF7" w:rsidP="001D41EA">
            <w:pPr>
              <w:spacing w:before="40" w:after="4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vAlign w:val="bottom"/>
          </w:tcPr>
          <w:p w14:paraId="78B7E820" w14:textId="3D1301E3" w:rsidR="009F0AF7" w:rsidRPr="001D41EA" w:rsidRDefault="009F0AF7" w:rsidP="001D41EA">
            <w:pPr>
              <w:spacing w:before="40" w:after="4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42511939" w14:textId="2A6B74A1" w:rsidR="009F0AF7" w:rsidRPr="001D41EA" w:rsidRDefault="009F0AF7" w:rsidP="001D41EA">
            <w:pPr>
              <w:spacing w:before="40" w:after="40"/>
              <w:jc w:val="right"/>
              <w:rPr>
                <w:rFonts w:cs="Arial"/>
                <w:b/>
                <w:sz w:val="18"/>
                <w:szCs w:val="18"/>
              </w:rPr>
            </w:pPr>
            <w:r w:rsidRPr="001D41EA">
              <w:rPr>
                <w:rFonts w:cs="Arial"/>
                <w:b/>
                <w:sz w:val="18"/>
                <w:szCs w:val="18"/>
              </w:rPr>
              <w:t> </w:t>
            </w:r>
          </w:p>
        </w:tc>
      </w:tr>
      <w:tr w:rsidR="009F0AF7" w:rsidRPr="001D41EA" w14:paraId="41AD2ADC"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61D4A54" w14:textId="77777777" w:rsidR="009F0AF7" w:rsidRPr="001D41EA" w:rsidRDefault="009F0AF7" w:rsidP="001D41EA">
            <w:pPr>
              <w:spacing w:before="40" w:after="40"/>
              <w:rPr>
                <w:rFonts w:cs="Arial"/>
                <w:sz w:val="18"/>
                <w:szCs w:val="18"/>
              </w:rPr>
            </w:pPr>
            <w:r w:rsidRPr="001D41EA">
              <w:rPr>
                <w:rFonts w:cs="Arial"/>
                <w:sz w:val="18"/>
                <w:szCs w:val="18"/>
              </w:rPr>
              <w:t>Alpine S</w:t>
            </w:r>
          </w:p>
        </w:tc>
        <w:tc>
          <w:tcPr>
            <w:tcW w:w="1361" w:type="dxa"/>
            <w:tcBorders>
              <w:top w:val="nil"/>
              <w:left w:val="single" w:sz="18" w:space="0" w:color="5F497A" w:themeColor="accent4" w:themeShade="BF"/>
              <w:bottom w:val="nil"/>
              <w:right w:val="nil"/>
            </w:tcBorders>
            <w:shd w:val="clear" w:color="auto" w:fill="auto"/>
            <w:vAlign w:val="bottom"/>
          </w:tcPr>
          <w:p w14:paraId="1CB9373C" w14:textId="77661E2D" w:rsidR="009F0AF7" w:rsidRPr="001D41EA" w:rsidRDefault="009F0AF7" w:rsidP="001D41EA">
            <w:pPr>
              <w:spacing w:before="40" w:after="40"/>
              <w:jc w:val="right"/>
              <w:rPr>
                <w:rFonts w:cs="Arial"/>
                <w:sz w:val="18"/>
                <w:szCs w:val="18"/>
              </w:rPr>
            </w:pPr>
            <w:r w:rsidRPr="001D41EA">
              <w:rPr>
                <w:rFonts w:cs="Arial"/>
                <w:sz w:val="18"/>
                <w:szCs w:val="18"/>
              </w:rPr>
              <w:t>150,211</w:t>
            </w:r>
          </w:p>
        </w:tc>
        <w:tc>
          <w:tcPr>
            <w:tcW w:w="1361" w:type="dxa"/>
            <w:tcBorders>
              <w:top w:val="nil"/>
              <w:left w:val="nil"/>
              <w:bottom w:val="nil"/>
              <w:right w:val="nil"/>
            </w:tcBorders>
            <w:shd w:val="clear" w:color="auto" w:fill="auto"/>
            <w:vAlign w:val="bottom"/>
          </w:tcPr>
          <w:p w14:paraId="0888AD8D" w14:textId="23A08E73" w:rsidR="009F0AF7" w:rsidRPr="001D41EA" w:rsidRDefault="009F0AF7" w:rsidP="001D41EA">
            <w:pPr>
              <w:spacing w:before="40" w:after="40"/>
              <w:jc w:val="right"/>
              <w:rPr>
                <w:rFonts w:cs="Arial"/>
                <w:sz w:val="18"/>
                <w:szCs w:val="18"/>
              </w:rPr>
            </w:pPr>
            <w:r w:rsidRPr="001D41EA">
              <w:rPr>
                <w:rFonts w:cs="Arial"/>
                <w:sz w:val="18"/>
                <w:szCs w:val="18"/>
              </w:rPr>
              <w:t>14,675</w:t>
            </w:r>
          </w:p>
        </w:tc>
        <w:tc>
          <w:tcPr>
            <w:tcW w:w="1361" w:type="dxa"/>
            <w:tcBorders>
              <w:top w:val="nil"/>
              <w:left w:val="nil"/>
              <w:bottom w:val="nil"/>
              <w:right w:val="nil"/>
            </w:tcBorders>
            <w:vAlign w:val="bottom"/>
          </w:tcPr>
          <w:p w14:paraId="7E76A8E6" w14:textId="61858D0B" w:rsidR="009F0AF7" w:rsidRPr="001D41EA" w:rsidRDefault="009F0AF7" w:rsidP="001D41EA">
            <w:pPr>
              <w:spacing w:before="40" w:after="40"/>
              <w:jc w:val="right"/>
              <w:rPr>
                <w:rFonts w:cs="Arial"/>
                <w:sz w:val="18"/>
                <w:szCs w:val="18"/>
              </w:rPr>
            </w:pPr>
            <w:r w:rsidRPr="001D41EA">
              <w:rPr>
                <w:rFonts w:cs="Arial"/>
                <w:sz w:val="18"/>
                <w:szCs w:val="18"/>
              </w:rPr>
              <w:t>680,538</w:t>
            </w:r>
          </w:p>
        </w:tc>
        <w:tc>
          <w:tcPr>
            <w:tcW w:w="1361" w:type="dxa"/>
            <w:tcBorders>
              <w:top w:val="nil"/>
              <w:left w:val="nil"/>
              <w:bottom w:val="nil"/>
              <w:right w:val="nil"/>
            </w:tcBorders>
            <w:vAlign w:val="bottom"/>
          </w:tcPr>
          <w:p w14:paraId="293A85FA" w14:textId="5B80D2D5" w:rsidR="009F0AF7" w:rsidRPr="001D41EA" w:rsidRDefault="009F0AF7" w:rsidP="001D41EA">
            <w:pPr>
              <w:spacing w:before="40" w:after="40"/>
              <w:jc w:val="right"/>
              <w:rPr>
                <w:rFonts w:cs="Arial"/>
                <w:sz w:val="18"/>
                <w:szCs w:val="18"/>
              </w:rPr>
            </w:pPr>
            <w:r w:rsidRPr="001D41EA">
              <w:rPr>
                <w:rFonts w:cs="Arial"/>
                <w:sz w:val="18"/>
                <w:szCs w:val="18"/>
              </w:rPr>
              <w:t>26,770</w:t>
            </w:r>
          </w:p>
        </w:tc>
        <w:tc>
          <w:tcPr>
            <w:tcW w:w="1361" w:type="dxa"/>
            <w:tcBorders>
              <w:top w:val="nil"/>
              <w:left w:val="nil"/>
              <w:bottom w:val="nil"/>
              <w:right w:val="nil"/>
            </w:tcBorders>
            <w:shd w:val="clear" w:color="auto" w:fill="auto"/>
            <w:vAlign w:val="bottom"/>
          </w:tcPr>
          <w:p w14:paraId="45329C90" w14:textId="78252E89" w:rsidR="009F0AF7" w:rsidRPr="001D41EA" w:rsidRDefault="009F0AF7" w:rsidP="001D41EA">
            <w:pPr>
              <w:spacing w:before="40" w:after="40"/>
              <w:jc w:val="right"/>
              <w:rPr>
                <w:rFonts w:cs="Arial"/>
                <w:b/>
                <w:sz w:val="18"/>
                <w:szCs w:val="18"/>
              </w:rPr>
            </w:pPr>
            <w:r w:rsidRPr="001D41EA">
              <w:rPr>
                <w:rFonts w:cs="Arial"/>
                <w:b/>
                <w:sz w:val="18"/>
                <w:szCs w:val="18"/>
              </w:rPr>
              <w:t>1,928,627</w:t>
            </w:r>
          </w:p>
        </w:tc>
      </w:tr>
      <w:tr w:rsidR="009F0AF7" w:rsidRPr="001D41EA" w14:paraId="5D5CFD75"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B521F00" w14:textId="77777777" w:rsidR="009F0AF7" w:rsidRPr="001D41EA" w:rsidRDefault="009F0AF7" w:rsidP="001D41EA">
            <w:pPr>
              <w:spacing w:before="40" w:after="40"/>
              <w:rPr>
                <w:rFonts w:cs="Arial"/>
                <w:sz w:val="18"/>
                <w:szCs w:val="18"/>
              </w:rPr>
            </w:pPr>
            <w:r w:rsidRPr="001D41EA">
              <w:rPr>
                <w:rFonts w:cs="Arial"/>
                <w:sz w:val="18"/>
                <w:szCs w:val="18"/>
              </w:rPr>
              <w:t>Ararat RC</w:t>
            </w:r>
          </w:p>
        </w:tc>
        <w:tc>
          <w:tcPr>
            <w:tcW w:w="1361" w:type="dxa"/>
            <w:tcBorders>
              <w:top w:val="nil"/>
              <w:left w:val="single" w:sz="18" w:space="0" w:color="5F497A" w:themeColor="accent4" w:themeShade="BF"/>
              <w:bottom w:val="nil"/>
              <w:right w:val="nil"/>
            </w:tcBorders>
            <w:shd w:val="clear" w:color="auto" w:fill="auto"/>
            <w:vAlign w:val="bottom"/>
          </w:tcPr>
          <w:p w14:paraId="087C1E1E" w14:textId="457732F5" w:rsidR="009F0AF7" w:rsidRPr="001D41EA" w:rsidRDefault="009F0AF7" w:rsidP="001D41EA">
            <w:pPr>
              <w:spacing w:before="40" w:after="40"/>
              <w:jc w:val="right"/>
              <w:rPr>
                <w:rFonts w:cs="Arial"/>
                <w:sz w:val="18"/>
                <w:szCs w:val="18"/>
              </w:rPr>
            </w:pPr>
            <w:r w:rsidRPr="001D41EA">
              <w:rPr>
                <w:rFonts w:cs="Arial"/>
                <w:sz w:val="18"/>
                <w:szCs w:val="18"/>
              </w:rPr>
              <w:t>98,444</w:t>
            </w:r>
          </w:p>
        </w:tc>
        <w:tc>
          <w:tcPr>
            <w:tcW w:w="1361" w:type="dxa"/>
            <w:tcBorders>
              <w:top w:val="nil"/>
              <w:left w:val="nil"/>
              <w:bottom w:val="nil"/>
              <w:right w:val="nil"/>
            </w:tcBorders>
            <w:shd w:val="clear" w:color="auto" w:fill="auto"/>
            <w:vAlign w:val="bottom"/>
          </w:tcPr>
          <w:p w14:paraId="1C9C1395" w14:textId="08EABE25" w:rsidR="009F0AF7" w:rsidRPr="001D41EA" w:rsidRDefault="009F0AF7" w:rsidP="001D41EA">
            <w:pPr>
              <w:spacing w:before="40" w:after="40"/>
              <w:jc w:val="right"/>
              <w:rPr>
                <w:rFonts w:cs="Arial"/>
                <w:sz w:val="18"/>
                <w:szCs w:val="18"/>
              </w:rPr>
            </w:pPr>
            <w:r w:rsidRPr="001D41EA">
              <w:rPr>
                <w:rFonts w:cs="Arial"/>
                <w:sz w:val="18"/>
                <w:szCs w:val="18"/>
              </w:rPr>
              <w:t>13,111</w:t>
            </w:r>
          </w:p>
        </w:tc>
        <w:tc>
          <w:tcPr>
            <w:tcW w:w="1361" w:type="dxa"/>
            <w:tcBorders>
              <w:top w:val="nil"/>
              <w:left w:val="nil"/>
              <w:bottom w:val="nil"/>
              <w:right w:val="nil"/>
            </w:tcBorders>
            <w:vAlign w:val="bottom"/>
          </w:tcPr>
          <w:p w14:paraId="2AA7F4D3" w14:textId="308D3C74" w:rsidR="009F0AF7" w:rsidRPr="001D41EA" w:rsidRDefault="009F0AF7" w:rsidP="001D41EA">
            <w:pPr>
              <w:spacing w:before="40" w:after="40"/>
              <w:jc w:val="right"/>
              <w:rPr>
                <w:rFonts w:cs="Arial"/>
                <w:sz w:val="18"/>
                <w:szCs w:val="18"/>
              </w:rPr>
            </w:pPr>
            <w:r w:rsidRPr="001D41EA">
              <w:rPr>
                <w:rFonts w:cs="Arial"/>
                <w:sz w:val="18"/>
                <w:szCs w:val="18"/>
              </w:rPr>
              <w:t>443,315</w:t>
            </w:r>
          </w:p>
        </w:tc>
        <w:tc>
          <w:tcPr>
            <w:tcW w:w="1361" w:type="dxa"/>
            <w:tcBorders>
              <w:top w:val="nil"/>
              <w:left w:val="nil"/>
              <w:bottom w:val="nil"/>
              <w:right w:val="nil"/>
            </w:tcBorders>
            <w:vAlign w:val="bottom"/>
          </w:tcPr>
          <w:p w14:paraId="08681740" w14:textId="3554EBA8" w:rsidR="009F0AF7" w:rsidRPr="001D41EA" w:rsidRDefault="009F0AF7" w:rsidP="001D41EA">
            <w:pPr>
              <w:spacing w:before="40" w:after="40"/>
              <w:jc w:val="right"/>
              <w:rPr>
                <w:rFonts w:cs="Arial"/>
                <w:sz w:val="18"/>
                <w:szCs w:val="18"/>
              </w:rPr>
            </w:pPr>
            <w:r w:rsidRPr="001D41EA">
              <w:rPr>
                <w:rFonts w:cs="Arial"/>
                <w:sz w:val="18"/>
                <w:szCs w:val="18"/>
              </w:rPr>
              <w:t>23,917</w:t>
            </w:r>
          </w:p>
        </w:tc>
        <w:tc>
          <w:tcPr>
            <w:tcW w:w="1361" w:type="dxa"/>
            <w:tcBorders>
              <w:top w:val="nil"/>
              <w:left w:val="nil"/>
              <w:bottom w:val="nil"/>
              <w:right w:val="nil"/>
            </w:tcBorders>
            <w:shd w:val="clear" w:color="auto" w:fill="auto"/>
            <w:vAlign w:val="bottom"/>
          </w:tcPr>
          <w:p w14:paraId="1C50A880" w14:textId="15E16ABE" w:rsidR="009F0AF7" w:rsidRPr="001D41EA" w:rsidRDefault="009F0AF7" w:rsidP="001D41EA">
            <w:pPr>
              <w:spacing w:before="40" w:after="40"/>
              <w:jc w:val="right"/>
              <w:rPr>
                <w:rFonts w:cs="Arial"/>
                <w:b/>
                <w:sz w:val="18"/>
                <w:szCs w:val="18"/>
              </w:rPr>
            </w:pPr>
            <w:r w:rsidRPr="001D41EA">
              <w:rPr>
                <w:rFonts w:cs="Arial"/>
                <w:b/>
                <w:sz w:val="18"/>
                <w:szCs w:val="18"/>
              </w:rPr>
              <w:t>1,455,568</w:t>
            </w:r>
          </w:p>
        </w:tc>
      </w:tr>
      <w:tr w:rsidR="009F0AF7" w:rsidRPr="001D41EA" w14:paraId="71AF24EB"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3744BDE" w14:textId="77777777" w:rsidR="009F0AF7" w:rsidRPr="001D41EA" w:rsidRDefault="009F0AF7" w:rsidP="001D41EA">
            <w:pPr>
              <w:spacing w:before="40" w:after="40"/>
              <w:rPr>
                <w:rFonts w:cs="Arial"/>
                <w:sz w:val="18"/>
                <w:szCs w:val="18"/>
              </w:rPr>
            </w:pPr>
            <w:r w:rsidRPr="001D41EA">
              <w:rPr>
                <w:rFonts w:cs="Arial"/>
                <w:sz w:val="18"/>
                <w:szCs w:val="18"/>
              </w:rPr>
              <w:t>Ballarat C</w:t>
            </w:r>
          </w:p>
        </w:tc>
        <w:tc>
          <w:tcPr>
            <w:tcW w:w="1361" w:type="dxa"/>
            <w:tcBorders>
              <w:top w:val="nil"/>
              <w:left w:val="single" w:sz="18" w:space="0" w:color="5F497A" w:themeColor="accent4" w:themeShade="BF"/>
              <w:bottom w:val="nil"/>
              <w:right w:val="nil"/>
            </w:tcBorders>
            <w:shd w:val="clear" w:color="auto" w:fill="auto"/>
            <w:vAlign w:val="bottom"/>
          </w:tcPr>
          <w:p w14:paraId="2F8F5FBD" w14:textId="03C8C548" w:rsidR="009F0AF7" w:rsidRPr="001D41EA" w:rsidRDefault="009F0AF7" w:rsidP="001D41EA">
            <w:pPr>
              <w:spacing w:before="40" w:after="40"/>
              <w:jc w:val="right"/>
              <w:rPr>
                <w:rFonts w:cs="Arial"/>
                <w:sz w:val="18"/>
                <w:szCs w:val="18"/>
              </w:rPr>
            </w:pPr>
            <w:r w:rsidRPr="001D41EA">
              <w:rPr>
                <w:rFonts w:cs="Arial"/>
                <w:sz w:val="18"/>
                <w:szCs w:val="18"/>
              </w:rPr>
              <w:t>1,115,111</w:t>
            </w:r>
          </w:p>
        </w:tc>
        <w:tc>
          <w:tcPr>
            <w:tcW w:w="1361" w:type="dxa"/>
            <w:tcBorders>
              <w:top w:val="nil"/>
              <w:left w:val="nil"/>
              <w:bottom w:val="nil"/>
              <w:right w:val="nil"/>
            </w:tcBorders>
            <w:shd w:val="clear" w:color="auto" w:fill="auto"/>
            <w:vAlign w:val="bottom"/>
          </w:tcPr>
          <w:p w14:paraId="2A589234" w14:textId="48450EDB" w:rsidR="009F0AF7" w:rsidRPr="001D41EA" w:rsidRDefault="009F0AF7" w:rsidP="001D41EA">
            <w:pPr>
              <w:spacing w:before="40" w:after="40"/>
              <w:jc w:val="right"/>
              <w:rPr>
                <w:rFonts w:cs="Arial"/>
                <w:sz w:val="18"/>
                <w:szCs w:val="18"/>
              </w:rPr>
            </w:pPr>
            <w:r w:rsidRPr="001D41EA">
              <w:rPr>
                <w:rFonts w:cs="Arial"/>
                <w:sz w:val="18"/>
                <w:szCs w:val="18"/>
              </w:rPr>
              <w:t>119,301</w:t>
            </w:r>
          </w:p>
        </w:tc>
        <w:tc>
          <w:tcPr>
            <w:tcW w:w="1361" w:type="dxa"/>
            <w:tcBorders>
              <w:top w:val="nil"/>
              <w:left w:val="nil"/>
              <w:bottom w:val="nil"/>
              <w:right w:val="nil"/>
            </w:tcBorders>
            <w:vAlign w:val="bottom"/>
          </w:tcPr>
          <w:p w14:paraId="22EDA5BE" w14:textId="1C57CE23" w:rsidR="009F0AF7" w:rsidRPr="001D41EA" w:rsidRDefault="009F0AF7" w:rsidP="001D41EA">
            <w:pPr>
              <w:spacing w:before="40" w:after="40"/>
              <w:jc w:val="right"/>
              <w:rPr>
                <w:rFonts w:cs="Arial"/>
                <w:sz w:val="18"/>
                <w:szCs w:val="18"/>
              </w:rPr>
            </w:pPr>
            <w:r w:rsidRPr="001D41EA">
              <w:rPr>
                <w:rFonts w:cs="Arial"/>
                <w:sz w:val="18"/>
                <w:szCs w:val="18"/>
              </w:rPr>
              <w:t>4,082,133</w:t>
            </w:r>
          </w:p>
        </w:tc>
        <w:tc>
          <w:tcPr>
            <w:tcW w:w="1361" w:type="dxa"/>
            <w:tcBorders>
              <w:top w:val="nil"/>
              <w:left w:val="nil"/>
              <w:bottom w:val="nil"/>
              <w:right w:val="nil"/>
            </w:tcBorders>
            <w:vAlign w:val="bottom"/>
          </w:tcPr>
          <w:p w14:paraId="11FC1D21" w14:textId="6F8BE1BD" w:rsidR="009F0AF7" w:rsidRPr="001D41EA" w:rsidRDefault="009F0AF7" w:rsidP="001D41EA">
            <w:pPr>
              <w:spacing w:before="40" w:after="40"/>
              <w:jc w:val="right"/>
              <w:rPr>
                <w:rFonts w:cs="Arial"/>
                <w:sz w:val="18"/>
                <w:szCs w:val="18"/>
              </w:rPr>
            </w:pPr>
            <w:r w:rsidRPr="001D41EA">
              <w:rPr>
                <w:rFonts w:cs="Arial"/>
                <w:sz w:val="18"/>
                <w:szCs w:val="18"/>
              </w:rPr>
              <w:t>217,628</w:t>
            </w:r>
          </w:p>
        </w:tc>
        <w:tc>
          <w:tcPr>
            <w:tcW w:w="1361" w:type="dxa"/>
            <w:tcBorders>
              <w:top w:val="nil"/>
              <w:left w:val="nil"/>
              <w:bottom w:val="nil"/>
              <w:right w:val="nil"/>
            </w:tcBorders>
            <w:shd w:val="clear" w:color="auto" w:fill="auto"/>
            <w:vAlign w:val="bottom"/>
          </w:tcPr>
          <w:p w14:paraId="0FF629D2" w14:textId="6460055F" w:rsidR="009F0AF7" w:rsidRPr="001D41EA" w:rsidRDefault="009F0AF7" w:rsidP="001D41EA">
            <w:pPr>
              <w:spacing w:before="40" w:after="40"/>
              <w:jc w:val="right"/>
              <w:rPr>
                <w:rFonts w:cs="Arial"/>
                <w:b/>
                <w:sz w:val="18"/>
                <w:szCs w:val="18"/>
              </w:rPr>
            </w:pPr>
            <w:r w:rsidRPr="001D41EA">
              <w:rPr>
                <w:rFonts w:cs="Arial"/>
                <w:b/>
                <w:sz w:val="18"/>
                <w:szCs w:val="18"/>
              </w:rPr>
              <w:t>13,284,784</w:t>
            </w:r>
          </w:p>
        </w:tc>
      </w:tr>
      <w:tr w:rsidR="009F0AF7" w:rsidRPr="001D41EA" w14:paraId="215800C8"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7283E16" w14:textId="77777777" w:rsidR="009F0AF7" w:rsidRPr="001D41EA" w:rsidRDefault="009F0AF7" w:rsidP="001D41EA">
            <w:pPr>
              <w:spacing w:before="40" w:after="40"/>
              <w:rPr>
                <w:rFonts w:cs="Arial"/>
                <w:sz w:val="18"/>
                <w:szCs w:val="18"/>
              </w:rPr>
            </w:pPr>
            <w:r w:rsidRPr="001D41EA">
              <w:rPr>
                <w:rFonts w:cs="Arial"/>
                <w:sz w:val="18"/>
                <w:szCs w:val="18"/>
              </w:rPr>
              <w:t>Banyule C</w:t>
            </w:r>
          </w:p>
        </w:tc>
        <w:tc>
          <w:tcPr>
            <w:tcW w:w="1361" w:type="dxa"/>
            <w:tcBorders>
              <w:top w:val="nil"/>
              <w:left w:val="single" w:sz="18" w:space="0" w:color="5F497A" w:themeColor="accent4" w:themeShade="BF"/>
              <w:bottom w:val="nil"/>
              <w:right w:val="nil"/>
            </w:tcBorders>
            <w:shd w:val="clear" w:color="auto" w:fill="auto"/>
            <w:vAlign w:val="bottom"/>
          </w:tcPr>
          <w:p w14:paraId="0DE2AF6E" w14:textId="52BAF523" w:rsidR="009F0AF7" w:rsidRPr="001D41EA" w:rsidRDefault="009F0AF7" w:rsidP="001D41EA">
            <w:pPr>
              <w:spacing w:before="40" w:after="40"/>
              <w:jc w:val="right"/>
              <w:rPr>
                <w:rFonts w:cs="Arial"/>
                <w:sz w:val="18"/>
                <w:szCs w:val="18"/>
              </w:rPr>
            </w:pPr>
            <w:r w:rsidRPr="001D41EA">
              <w:rPr>
                <w:rFonts w:cs="Arial"/>
                <w:sz w:val="18"/>
                <w:szCs w:val="18"/>
              </w:rPr>
              <w:t>1,130,852</w:t>
            </w:r>
          </w:p>
        </w:tc>
        <w:tc>
          <w:tcPr>
            <w:tcW w:w="1361" w:type="dxa"/>
            <w:tcBorders>
              <w:top w:val="nil"/>
              <w:left w:val="nil"/>
              <w:bottom w:val="nil"/>
              <w:right w:val="nil"/>
            </w:tcBorders>
            <w:shd w:val="clear" w:color="auto" w:fill="auto"/>
            <w:vAlign w:val="bottom"/>
          </w:tcPr>
          <w:p w14:paraId="4C70D5D8" w14:textId="695B2192" w:rsidR="009F0AF7" w:rsidRPr="001D41EA" w:rsidRDefault="009F0AF7" w:rsidP="001D41EA">
            <w:pPr>
              <w:spacing w:before="40" w:after="40"/>
              <w:jc w:val="right"/>
              <w:rPr>
                <w:rFonts w:cs="Arial"/>
                <w:sz w:val="18"/>
                <w:szCs w:val="18"/>
              </w:rPr>
            </w:pPr>
            <w:r w:rsidRPr="001D41EA">
              <w:rPr>
                <w:rFonts w:cs="Arial"/>
                <w:sz w:val="18"/>
                <w:szCs w:val="18"/>
              </w:rPr>
              <w:t>144,770</w:t>
            </w:r>
          </w:p>
        </w:tc>
        <w:tc>
          <w:tcPr>
            <w:tcW w:w="1361" w:type="dxa"/>
            <w:tcBorders>
              <w:top w:val="nil"/>
              <w:left w:val="nil"/>
              <w:bottom w:val="nil"/>
              <w:right w:val="nil"/>
            </w:tcBorders>
            <w:vAlign w:val="bottom"/>
          </w:tcPr>
          <w:p w14:paraId="1FC892DE" w14:textId="6823C06B" w:rsidR="009F0AF7" w:rsidRPr="001D41EA" w:rsidRDefault="009F0AF7" w:rsidP="001D41EA">
            <w:pPr>
              <w:spacing w:before="40" w:after="40"/>
              <w:jc w:val="right"/>
              <w:rPr>
                <w:rFonts w:cs="Arial"/>
                <w:sz w:val="18"/>
                <w:szCs w:val="18"/>
              </w:rPr>
            </w:pPr>
            <w:r w:rsidRPr="001D41EA">
              <w:rPr>
                <w:rFonts w:cs="Arial"/>
                <w:sz w:val="18"/>
                <w:szCs w:val="18"/>
              </w:rPr>
              <w:t>4,792,478</w:t>
            </w:r>
          </w:p>
        </w:tc>
        <w:tc>
          <w:tcPr>
            <w:tcW w:w="1361" w:type="dxa"/>
            <w:tcBorders>
              <w:top w:val="nil"/>
              <w:left w:val="nil"/>
              <w:bottom w:val="nil"/>
              <w:right w:val="nil"/>
            </w:tcBorders>
            <w:vAlign w:val="bottom"/>
          </w:tcPr>
          <w:p w14:paraId="6CB7087E" w14:textId="3E99B5AB" w:rsidR="009F0AF7" w:rsidRPr="001D41EA" w:rsidRDefault="009F0AF7" w:rsidP="001D41EA">
            <w:pPr>
              <w:spacing w:before="40" w:after="40"/>
              <w:jc w:val="right"/>
              <w:rPr>
                <w:rFonts w:cs="Arial"/>
                <w:sz w:val="18"/>
                <w:szCs w:val="18"/>
              </w:rPr>
            </w:pPr>
            <w:r w:rsidRPr="001D41EA">
              <w:rPr>
                <w:rFonts w:cs="Arial"/>
                <w:sz w:val="18"/>
                <w:szCs w:val="18"/>
              </w:rPr>
              <w:t>264,088</w:t>
            </w:r>
          </w:p>
        </w:tc>
        <w:tc>
          <w:tcPr>
            <w:tcW w:w="1361" w:type="dxa"/>
            <w:tcBorders>
              <w:top w:val="nil"/>
              <w:left w:val="nil"/>
              <w:bottom w:val="nil"/>
              <w:right w:val="nil"/>
            </w:tcBorders>
            <w:shd w:val="clear" w:color="auto" w:fill="auto"/>
            <w:vAlign w:val="bottom"/>
          </w:tcPr>
          <w:p w14:paraId="44CDAC4E" w14:textId="29DB3112" w:rsidR="009F0AF7" w:rsidRPr="001D41EA" w:rsidRDefault="009F0AF7" w:rsidP="001D41EA">
            <w:pPr>
              <w:spacing w:before="40" w:after="40"/>
              <w:jc w:val="right"/>
              <w:rPr>
                <w:rFonts w:cs="Arial"/>
                <w:b/>
                <w:sz w:val="18"/>
                <w:szCs w:val="18"/>
              </w:rPr>
            </w:pPr>
            <w:r w:rsidRPr="001D41EA">
              <w:rPr>
                <w:rFonts w:cs="Arial"/>
                <w:b/>
                <w:sz w:val="18"/>
                <w:szCs w:val="18"/>
              </w:rPr>
              <w:t>16,107,363</w:t>
            </w:r>
          </w:p>
        </w:tc>
      </w:tr>
      <w:tr w:rsidR="009F0AF7" w:rsidRPr="001D41EA" w14:paraId="6F2DAF5F"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822C755" w14:textId="77777777" w:rsidR="009F0AF7" w:rsidRPr="001D41EA" w:rsidRDefault="009F0AF7" w:rsidP="001D41EA">
            <w:pPr>
              <w:spacing w:before="40" w:after="40"/>
              <w:rPr>
                <w:rFonts w:cs="Arial"/>
                <w:sz w:val="18"/>
                <w:szCs w:val="18"/>
              </w:rPr>
            </w:pPr>
            <w:r w:rsidRPr="001D41EA">
              <w:rPr>
                <w:rFonts w:cs="Arial"/>
                <w:sz w:val="18"/>
                <w:szCs w:val="18"/>
              </w:rPr>
              <w:t>Bass Coast S</w:t>
            </w:r>
          </w:p>
        </w:tc>
        <w:tc>
          <w:tcPr>
            <w:tcW w:w="1361" w:type="dxa"/>
            <w:tcBorders>
              <w:top w:val="nil"/>
              <w:left w:val="single" w:sz="18" w:space="0" w:color="5F497A" w:themeColor="accent4" w:themeShade="BF"/>
              <w:bottom w:val="nil"/>
              <w:right w:val="nil"/>
            </w:tcBorders>
            <w:shd w:val="clear" w:color="auto" w:fill="auto"/>
            <w:vAlign w:val="bottom"/>
          </w:tcPr>
          <w:p w14:paraId="7945D713" w14:textId="58F6521C" w:rsidR="009F0AF7" w:rsidRPr="001D41EA" w:rsidRDefault="009F0AF7" w:rsidP="001D41EA">
            <w:pPr>
              <w:spacing w:before="40" w:after="40"/>
              <w:jc w:val="right"/>
              <w:rPr>
                <w:rFonts w:cs="Arial"/>
                <w:sz w:val="18"/>
                <w:szCs w:val="18"/>
              </w:rPr>
            </w:pPr>
            <w:r w:rsidRPr="001D41EA">
              <w:rPr>
                <w:rFonts w:cs="Arial"/>
                <w:sz w:val="18"/>
                <w:szCs w:val="18"/>
              </w:rPr>
              <w:t>310,885</w:t>
            </w:r>
          </w:p>
        </w:tc>
        <w:tc>
          <w:tcPr>
            <w:tcW w:w="1361" w:type="dxa"/>
            <w:tcBorders>
              <w:top w:val="nil"/>
              <w:left w:val="nil"/>
              <w:bottom w:val="nil"/>
              <w:right w:val="nil"/>
            </w:tcBorders>
            <w:shd w:val="clear" w:color="auto" w:fill="auto"/>
            <w:vAlign w:val="bottom"/>
          </w:tcPr>
          <w:p w14:paraId="0758F3E2" w14:textId="7CB8DC74" w:rsidR="009F0AF7" w:rsidRPr="001D41EA" w:rsidRDefault="009F0AF7" w:rsidP="001D41EA">
            <w:pPr>
              <w:spacing w:before="40" w:after="40"/>
              <w:jc w:val="right"/>
              <w:rPr>
                <w:rFonts w:cs="Arial"/>
                <w:sz w:val="18"/>
                <w:szCs w:val="18"/>
              </w:rPr>
            </w:pPr>
            <w:r w:rsidRPr="001D41EA">
              <w:rPr>
                <w:rFonts w:cs="Arial"/>
                <w:sz w:val="18"/>
                <w:szCs w:val="18"/>
              </w:rPr>
              <w:t>39,269</w:t>
            </w:r>
          </w:p>
        </w:tc>
        <w:tc>
          <w:tcPr>
            <w:tcW w:w="1361" w:type="dxa"/>
            <w:tcBorders>
              <w:top w:val="nil"/>
              <w:left w:val="nil"/>
              <w:bottom w:val="nil"/>
              <w:right w:val="nil"/>
            </w:tcBorders>
            <w:vAlign w:val="bottom"/>
          </w:tcPr>
          <w:p w14:paraId="7A90E1DD" w14:textId="5AEE37A3" w:rsidR="009F0AF7" w:rsidRPr="001D41EA" w:rsidRDefault="009F0AF7" w:rsidP="001D41EA">
            <w:pPr>
              <w:spacing w:before="40" w:after="40"/>
              <w:jc w:val="right"/>
              <w:rPr>
                <w:rFonts w:cs="Arial"/>
                <w:sz w:val="18"/>
                <w:szCs w:val="18"/>
              </w:rPr>
            </w:pPr>
            <w:r w:rsidRPr="001D41EA">
              <w:rPr>
                <w:rFonts w:cs="Arial"/>
                <w:sz w:val="18"/>
                <w:szCs w:val="18"/>
              </w:rPr>
              <w:t>1,759,572</w:t>
            </w:r>
          </w:p>
        </w:tc>
        <w:tc>
          <w:tcPr>
            <w:tcW w:w="1361" w:type="dxa"/>
            <w:tcBorders>
              <w:top w:val="nil"/>
              <w:left w:val="nil"/>
              <w:bottom w:val="nil"/>
              <w:right w:val="nil"/>
            </w:tcBorders>
            <w:vAlign w:val="bottom"/>
          </w:tcPr>
          <w:p w14:paraId="2335E767" w14:textId="7FD95ED3" w:rsidR="009F0AF7" w:rsidRPr="001D41EA" w:rsidRDefault="009F0AF7" w:rsidP="001D41EA">
            <w:pPr>
              <w:spacing w:before="40" w:after="40"/>
              <w:jc w:val="right"/>
              <w:rPr>
                <w:rFonts w:cs="Arial"/>
                <w:sz w:val="18"/>
                <w:szCs w:val="18"/>
              </w:rPr>
            </w:pPr>
            <w:r w:rsidRPr="001D41EA">
              <w:rPr>
                <w:rFonts w:cs="Arial"/>
                <w:sz w:val="18"/>
                <w:szCs w:val="18"/>
              </w:rPr>
              <w:t>71,634</w:t>
            </w:r>
          </w:p>
        </w:tc>
        <w:tc>
          <w:tcPr>
            <w:tcW w:w="1361" w:type="dxa"/>
            <w:tcBorders>
              <w:top w:val="nil"/>
              <w:left w:val="nil"/>
              <w:bottom w:val="nil"/>
              <w:right w:val="nil"/>
            </w:tcBorders>
            <w:shd w:val="clear" w:color="auto" w:fill="auto"/>
            <w:vAlign w:val="bottom"/>
          </w:tcPr>
          <w:p w14:paraId="65FB27AB" w14:textId="5117B319" w:rsidR="009F0AF7" w:rsidRPr="001D41EA" w:rsidRDefault="009F0AF7" w:rsidP="001D41EA">
            <w:pPr>
              <w:spacing w:before="40" w:after="40"/>
              <w:jc w:val="right"/>
              <w:rPr>
                <w:rFonts w:cs="Arial"/>
                <w:b/>
                <w:sz w:val="18"/>
                <w:szCs w:val="18"/>
              </w:rPr>
            </w:pPr>
            <w:r w:rsidRPr="001D41EA">
              <w:rPr>
                <w:rFonts w:cs="Arial"/>
                <w:b/>
                <w:sz w:val="18"/>
                <w:szCs w:val="18"/>
              </w:rPr>
              <w:t>5,197,777</w:t>
            </w:r>
          </w:p>
        </w:tc>
      </w:tr>
      <w:tr w:rsidR="009F0AF7" w:rsidRPr="001D41EA" w14:paraId="67C91090"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6ADD110" w14:textId="77777777" w:rsidR="009F0AF7" w:rsidRPr="001D41EA" w:rsidRDefault="009F0AF7" w:rsidP="001D41EA">
            <w:pPr>
              <w:spacing w:before="40" w:after="40"/>
              <w:rPr>
                <w:rFonts w:cs="Arial"/>
                <w:sz w:val="18"/>
                <w:szCs w:val="18"/>
              </w:rPr>
            </w:pPr>
            <w:r w:rsidRPr="001D41EA">
              <w:rPr>
                <w:rFonts w:cs="Arial"/>
                <w:sz w:val="18"/>
                <w:szCs w:val="18"/>
              </w:rPr>
              <w:t>Baw Baw S</w:t>
            </w:r>
          </w:p>
        </w:tc>
        <w:tc>
          <w:tcPr>
            <w:tcW w:w="1361" w:type="dxa"/>
            <w:tcBorders>
              <w:top w:val="nil"/>
              <w:left w:val="single" w:sz="18" w:space="0" w:color="5F497A" w:themeColor="accent4" w:themeShade="BF"/>
              <w:bottom w:val="nil"/>
              <w:right w:val="nil"/>
            </w:tcBorders>
            <w:shd w:val="clear" w:color="auto" w:fill="auto"/>
            <w:vAlign w:val="bottom"/>
          </w:tcPr>
          <w:p w14:paraId="153A2EE7" w14:textId="153E9609" w:rsidR="009F0AF7" w:rsidRPr="001D41EA" w:rsidRDefault="009F0AF7" w:rsidP="001D41EA">
            <w:pPr>
              <w:spacing w:before="40" w:after="40"/>
              <w:jc w:val="right"/>
              <w:rPr>
                <w:rFonts w:cs="Arial"/>
                <w:sz w:val="18"/>
                <w:szCs w:val="18"/>
              </w:rPr>
            </w:pPr>
            <w:r w:rsidRPr="001D41EA">
              <w:rPr>
                <w:rFonts w:cs="Arial"/>
                <w:sz w:val="18"/>
                <w:szCs w:val="18"/>
              </w:rPr>
              <w:t>443,165</w:t>
            </w:r>
          </w:p>
        </w:tc>
        <w:tc>
          <w:tcPr>
            <w:tcW w:w="1361" w:type="dxa"/>
            <w:tcBorders>
              <w:top w:val="nil"/>
              <w:left w:val="nil"/>
              <w:bottom w:val="nil"/>
              <w:right w:val="nil"/>
            </w:tcBorders>
            <w:shd w:val="clear" w:color="auto" w:fill="auto"/>
            <w:vAlign w:val="bottom"/>
          </w:tcPr>
          <w:p w14:paraId="74261075" w14:textId="1D0E837B" w:rsidR="009F0AF7" w:rsidRPr="001D41EA" w:rsidRDefault="009F0AF7" w:rsidP="001D41EA">
            <w:pPr>
              <w:spacing w:before="40" w:after="40"/>
              <w:jc w:val="right"/>
              <w:rPr>
                <w:rFonts w:cs="Arial"/>
                <w:sz w:val="18"/>
                <w:szCs w:val="18"/>
              </w:rPr>
            </w:pPr>
            <w:r w:rsidRPr="001D41EA">
              <w:rPr>
                <w:rFonts w:cs="Arial"/>
                <w:sz w:val="18"/>
                <w:szCs w:val="18"/>
              </w:rPr>
              <w:t>57,926</w:t>
            </w:r>
          </w:p>
        </w:tc>
        <w:tc>
          <w:tcPr>
            <w:tcW w:w="1361" w:type="dxa"/>
            <w:tcBorders>
              <w:top w:val="nil"/>
              <w:left w:val="nil"/>
              <w:bottom w:val="nil"/>
              <w:right w:val="nil"/>
            </w:tcBorders>
            <w:vAlign w:val="bottom"/>
          </w:tcPr>
          <w:p w14:paraId="73524FB6" w14:textId="50D6BF9A" w:rsidR="009F0AF7" w:rsidRPr="001D41EA" w:rsidRDefault="009F0AF7" w:rsidP="001D41EA">
            <w:pPr>
              <w:spacing w:before="40" w:after="40"/>
              <w:jc w:val="right"/>
              <w:rPr>
                <w:rFonts w:cs="Arial"/>
                <w:sz w:val="18"/>
                <w:szCs w:val="18"/>
              </w:rPr>
            </w:pPr>
            <w:r w:rsidRPr="001D41EA">
              <w:rPr>
                <w:rFonts w:cs="Arial"/>
                <w:sz w:val="18"/>
                <w:szCs w:val="18"/>
              </w:rPr>
              <w:t>1,944,122</w:t>
            </w:r>
          </w:p>
        </w:tc>
        <w:tc>
          <w:tcPr>
            <w:tcW w:w="1361" w:type="dxa"/>
            <w:tcBorders>
              <w:top w:val="nil"/>
              <w:left w:val="nil"/>
              <w:bottom w:val="nil"/>
              <w:right w:val="nil"/>
            </w:tcBorders>
            <w:vAlign w:val="bottom"/>
          </w:tcPr>
          <w:p w14:paraId="37C8F905" w14:textId="59816071" w:rsidR="009F0AF7" w:rsidRPr="001D41EA" w:rsidRDefault="009F0AF7" w:rsidP="001D41EA">
            <w:pPr>
              <w:spacing w:before="40" w:after="40"/>
              <w:jc w:val="right"/>
              <w:rPr>
                <w:rFonts w:cs="Arial"/>
                <w:sz w:val="18"/>
                <w:szCs w:val="18"/>
              </w:rPr>
            </w:pPr>
            <w:r w:rsidRPr="001D41EA">
              <w:rPr>
                <w:rFonts w:cs="Arial"/>
                <w:sz w:val="18"/>
                <w:szCs w:val="18"/>
              </w:rPr>
              <w:t>105,668</w:t>
            </w:r>
          </w:p>
        </w:tc>
        <w:tc>
          <w:tcPr>
            <w:tcW w:w="1361" w:type="dxa"/>
            <w:tcBorders>
              <w:top w:val="nil"/>
              <w:left w:val="nil"/>
              <w:bottom w:val="nil"/>
              <w:right w:val="nil"/>
            </w:tcBorders>
            <w:shd w:val="clear" w:color="auto" w:fill="auto"/>
            <w:vAlign w:val="bottom"/>
          </w:tcPr>
          <w:p w14:paraId="3406110E" w14:textId="535DC5A9" w:rsidR="009F0AF7" w:rsidRPr="001D41EA" w:rsidRDefault="009F0AF7" w:rsidP="001D41EA">
            <w:pPr>
              <w:spacing w:before="40" w:after="40"/>
              <w:jc w:val="right"/>
              <w:rPr>
                <w:rFonts w:cs="Arial"/>
                <w:b/>
                <w:sz w:val="18"/>
                <w:szCs w:val="18"/>
              </w:rPr>
            </w:pPr>
            <w:r w:rsidRPr="001D41EA">
              <w:rPr>
                <w:rFonts w:cs="Arial"/>
                <w:b/>
                <w:sz w:val="18"/>
                <w:szCs w:val="18"/>
              </w:rPr>
              <w:t>6,382,816</w:t>
            </w:r>
          </w:p>
        </w:tc>
      </w:tr>
      <w:tr w:rsidR="009F0AF7" w:rsidRPr="001D41EA" w14:paraId="4188C5D0"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78D5348" w14:textId="77777777" w:rsidR="009F0AF7" w:rsidRPr="001D41EA" w:rsidRDefault="009F0AF7" w:rsidP="001D41EA">
            <w:pPr>
              <w:spacing w:before="40" w:after="40"/>
              <w:rPr>
                <w:rFonts w:cs="Arial"/>
                <w:sz w:val="18"/>
                <w:szCs w:val="18"/>
              </w:rPr>
            </w:pPr>
            <w:r w:rsidRPr="001D41EA">
              <w:rPr>
                <w:rFonts w:cs="Arial"/>
                <w:sz w:val="18"/>
                <w:szCs w:val="18"/>
              </w:rPr>
              <w:t>Bayside C</w:t>
            </w:r>
          </w:p>
        </w:tc>
        <w:tc>
          <w:tcPr>
            <w:tcW w:w="1361" w:type="dxa"/>
            <w:tcBorders>
              <w:top w:val="nil"/>
              <w:left w:val="single" w:sz="18" w:space="0" w:color="5F497A" w:themeColor="accent4" w:themeShade="BF"/>
              <w:bottom w:val="nil"/>
              <w:right w:val="nil"/>
            </w:tcBorders>
            <w:shd w:val="clear" w:color="auto" w:fill="auto"/>
            <w:vAlign w:val="bottom"/>
          </w:tcPr>
          <w:p w14:paraId="73C0CB5E" w14:textId="4F74D2D7" w:rsidR="009F0AF7" w:rsidRPr="001D41EA" w:rsidRDefault="009F0AF7" w:rsidP="001D41EA">
            <w:pPr>
              <w:spacing w:before="40" w:after="40"/>
              <w:jc w:val="right"/>
              <w:rPr>
                <w:rFonts w:cs="Arial"/>
                <w:sz w:val="18"/>
                <w:szCs w:val="18"/>
              </w:rPr>
            </w:pPr>
            <w:r w:rsidRPr="001D41EA">
              <w:rPr>
                <w:rFonts w:cs="Arial"/>
                <w:sz w:val="18"/>
                <w:szCs w:val="18"/>
              </w:rPr>
              <w:t>888,555</w:t>
            </w:r>
          </w:p>
        </w:tc>
        <w:tc>
          <w:tcPr>
            <w:tcW w:w="1361" w:type="dxa"/>
            <w:tcBorders>
              <w:top w:val="nil"/>
              <w:left w:val="nil"/>
              <w:bottom w:val="nil"/>
              <w:right w:val="nil"/>
            </w:tcBorders>
            <w:shd w:val="clear" w:color="auto" w:fill="auto"/>
            <w:vAlign w:val="bottom"/>
          </w:tcPr>
          <w:p w14:paraId="4646C9A9" w14:textId="4FC951E7" w:rsidR="009F0AF7" w:rsidRPr="001D41EA" w:rsidRDefault="009F0AF7" w:rsidP="001D41EA">
            <w:pPr>
              <w:spacing w:before="40" w:after="40"/>
              <w:jc w:val="right"/>
              <w:rPr>
                <w:rFonts w:cs="Arial"/>
                <w:sz w:val="18"/>
                <w:szCs w:val="18"/>
              </w:rPr>
            </w:pPr>
            <w:r w:rsidRPr="001D41EA">
              <w:rPr>
                <w:rFonts w:cs="Arial"/>
                <w:sz w:val="18"/>
                <w:szCs w:val="18"/>
              </w:rPr>
              <w:t>117,515</w:t>
            </w:r>
          </w:p>
        </w:tc>
        <w:tc>
          <w:tcPr>
            <w:tcW w:w="1361" w:type="dxa"/>
            <w:tcBorders>
              <w:top w:val="nil"/>
              <w:left w:val="nil"/>
              <w:bottom w:val="nil"/>
              <w:right w:val="nil"/>
            </w:tcBorders>
            <w:vAlign w:val="bottom"/>
          </w:tcPr>
          <w:p w14:paraId="24B3439E" w14:textId="7957F5EA" w:rsidR="009F0AF7" w:rsidRPr="001D41EA" w:rsidRDefault="009F0AF7" w:rsidP="001D41EA">
            <w:pPr>
              <w:spacing w:before="40" w:after="40"/>
              <w:jc w:val="right"/>
              <w:rPr>
                <w:rFonts w:cs="Arial"/>
                <w:sz w:val="18"/>
                <w:szCs w:val="18"/>
              </w:rPr>
            </w:pPr>
            <w:r w:rsidRPr="001D41EA">
              <w:rPr>
                <w:rFonts w:cs="Arial"/>
                <w:sz w:val="18"/>
                <w:szCs w:val="18"/>
              </w:rPr>
              <w:t>4,245,051</w:t>
            </w:r>
          </w:p>
        </w:tc>
        <w:tc>
          <w:tcPr>
            <w:tcW w:w="1361" w:type="dxa"/>
            <w:tcBorders>
              <w:top w:val="nil"/>
              <w:left w:val="nil"/>
              <w:bottom w:val="nil"/>
              <w:right w:val="nil"/>
            </w:tcBorders>
            <w:vAlign w:val="bottom"/>
          </w:tcPr>
          <w:p w14:paraId="0C35DB78" w14:textId="3E81FA88" w:rsidR="009F0AF7" w:rsidRPr="001D41EA" w:rsidRDefault="009F0AF7" w:rsidP="001D41EA">
            <w:pPr>
              <w:spacing w:before="40" w:after="40"/>
              <w:jc w:val="right"/>
              <w:rPr>
                <w:rFonts w:cs="Arial"/>
                <w:sz w:val="18"/>
                <w:szCs w:val="18"/>
              </w:rPr>
            </w:pPr>
            <w:r w:rsidRPr="001D41EA">
              <w:rPr>
                <w:rFonts w:cs="Arial"/>
                <w:sz w:val="18"/>
                <w:szCs w:val="18"/>
              </w:rPr>
              <w:t>214,370</w:t>
            </w:r>
          </w:p>
        </w:tc>
        <w:tc>
          <w:tcPr>
            <w:tcW w:w="1361" w:type="dxa"/>
            <w:tcBorders>
              <w:top w:val="nil"/>
              <w:left w:val="nil"/>
              <w:bottom w:val="nil"/>
              <w:right w:val="nil"/>
            </w:tcBorders>
            <w:shd w:val="clear" w:color="auto" w:fill="auto"/>
            <w:vAlign w:val="bottom"/>
          </w:tcPr>
          <w:p w14:paraId="0931409F" w14:textId="1B751C3C" w:rsidR="009F0AF7" w:rsidRPr="001D41EA" w:rsidRDefault="009F0AF7" w:rsidP="001D41EA">
            <w:pPr>
              <w:spacing w:before="40" w:after="40"/>
              <w:jc w:val="right"/>
              <w:rPr>
                <w:rFonts w:cs="Arial"/>
                <w:b/>
                <w:sz w:val="18"/>
                <w:szCs w:val="18"/>
              </w:rPr>
            </w:pPr>
            <w:r w:rsidRPr="001D41EA">
              <w:rPr>
                <w:rFonts w:cs="Arial"/>
                <w:b/>
                <w:sz w:val="18"/>
                <w:szCs w:val="18"/>
              </w:rPr>
              <w:t>13,856,836</w:t>
            </w:r>
          </w:p>
        </w:tc>
      </w:tr>
      <w:tr w:rsidR="009F0AF7" w:rsidRPr="001D41EA" w14:paraId="4446D313"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719A34A" w14:textId="77777777" w:rsidR="009F0AF7" w:rsidRPr="001D41EA" w:rsidRDefault="009F0AF7" w:rsidP="001D41EA">
            <w:pPr>
              <w:spacing w:before="40" w:after="40"/>
              <w:rPr>
                <w:rFonts w:cs="Arial"/>
                <w:sz w:val="18"/>
                <w:szCs w:val="18"/>
              </w:rPr>
            </w:pPr>
            <w:r w:rsidRPr="001D41EA">
              <w:rPr>
                <w:rFonts w:cs="Arial"/>
                <w:sz w:val="18"/>
                <w:szCs w:val="18"/>
              </w:rPr>
              <w:t>Benalla RC</w:t>
            </w:r>
          </w:p>
        </w:tc>
        <w:tc>
          <w:tcPr>
            <w:tcW w:w="1361" w:type="dxa"/>
            <w:tcBorders>
              <w:top w:val="nil"/>
              <w:left w:val="single" w:sz="18" w:space="0" w:color="5F497A" w:themeColor="accent4" w:themeShade="BF"/>
              <w:bottom w:val="nil"/>
              <w:right w:val="nil"/>
            </w:tcBorders>
            <w:shd w:val="clear" w:color="auto" w:fill="auto"/>
            <w:vAlign w:val="bottom"/>
          </w:tcPr>
          <w:p w14:paraId="6D9A28D8" w14:textId="76C8E1B1" w:rsidR="009F0AF7" w:rsidRPr="001D41EA" w:rsidRDefault="009F0AF7" w:rsidP="001D41EA">
            <w:pPr>
              <w:spacing w:before="40" w:after="40"/>
              <w:jc w:val="right"/>
              <w:rPr>
                <w:rFonts w:cs="Arial"/>
                <w:sz w:val="18"/>
                <w:szCs w:val="18"/>
              </w:rPr>
            </w:pPr>
            <w:r w:rsidRPr="001D41EA">
              <w:rPr>
                <w:rFonts w:cs="Arial"/>
                <w:sz w:val="18"/>
                <w:szCs w:val="18"/>
              </w:rPr>
              <w:t>140,709</w:t>
            </w:r>
          </w:p>
        </w:tc>
        <w:tc>
          <w:tcPr>
            <w:tcW w:w="1361" w:type="dxa"/>
            <w:tcBorders>
              <w:top w:val="nil"/>
              <w:left w:val="nil"/>
              <w:bottom w:val="nil"/>
              <w:right w:val="nil"/>
            </w:tcBorders>
            <w:shd w:val="clear" w:color="auto" w:fill="auto"/>
            <w:vAlign w:val="bottom"/>
          </w:tcPr>
          <w:p w14:paraId="4E1DD3F0" w14:textId="13873079" w:rsidR="009F0AF7" w:rsidRPr="001D41EA" w:rsidRDefault="009F0AF7" w:rsidP="001D41EA">
            <w:pPr>
              <w:spacing w:before="40" w:after="40"/>
              <w:jc w:val="right"/>
              <w:rPr>
                <w:rFonts w:cs="Arial"/>
                <w:sz w:val="18"/>
                <w:szCs w:val="18"/>
              </w:rPr>
            </w:pPr>
            <w:r w:rsidRPr="001D41EA">
              <w:rPr>
                <w:rFonts w:cs="Arial"/>
                <w:sz w:val="18"/>
                <w:szCs w:val="18"/>
              </w:rPr>
              <w:t>15,589</w:t>
            </w:r>
          </w:p>
        </w:tc>
        <w:tc>
          <w:tcPr>
            <w:tcW w:w="1361" w:type="dxa"/>
            <w:tcBorders>
              <w:top w:val="nil"/>
              <w:left w:val="nil"/>
              <w:bottom w:val="nil"/>
              <w:right w:val="nil"/>
            </w:tcBorders>
            <w:vAlign w:val="bottom"/>
          </w:tcPr>
          <w:p w14:paraId="6958868F" w14:textId="445B5E75" w:rsidR="009F0AF7" w:rsidRPr="001D41EA" w:rsidRDefault="009F0AF7" w:rsidP="001D41EA">
            <w:pPr>
              <w:spacing w:before="40" w:after="40"/>
              <w:jc w:val="right"/>
              <w:rPr>
                <w:rFonts w:cs="Arial"/>
                <w:sz w:val="18"/>
                <w:szCs w:val="18"/>
              </w:rPr>
            </w:pPr>
            <w:r w:rsidRPr="001D41EA">
              <w:rPr>
                <w:rFonts w:cs="Arial"/>
                <w:sz w:val="18"/>
                <w:szCs w:val="18"/>
              </w:rPr>
              <w:t>496,786</w:t>
            </w:r>
          </w:p>
        </w:tc>
        <w:tc>
          <w:tcPr>
            <w:tcW w:w="1361" w:type="dxa"/>
            <w:tcBorders>
              <w:top w:val="nil"/>
              <w:left w:val="nil"/>
              <w:bottom w:val="nil"/>
              <w:right w:val="nil"/>
            </w:tcBorders>
            <w:vAlign w:val="bottom"/>
          </w:tcPr>
          <w:p w14:paraId="042F1D21" w14:textId="004399CE" w:rsidR="009F0AF7" w:rsidRPr="001D41EA" w:rsidRDefault="009F0AF7" w:rsidP="001D41EA">
            <w:pPr>
              <w:spacing w:before="40" w:after="40"/>
              <w:jc w:val="right"/>
              <w:rPr>
                <w:rFonts w:cs="Arial"/>
                <w:sz w:val="18"/>
                <w:szCs w:val="18"/>
              </w:rPr>
            </w:pPr>
            <w:r w:rsidRPr="001D41EA">
              <w:rPr>
                <w:rFonts w:cs="Arial"/>
                <w:sz w:val="18"/>
                <w:szCs w:val="18"/>
              </w:rPr>
              <w:t>28,437</w:t>
            </w:r>
          </w:p>
        </w:tc>
        <w:tc>
          <w:tcPr>
            <w:tcW w:w="1361" w:type="dxa"/>
            <w:tcBorders>
              <w:top w:val="nil"/>
              <w:left w:val="nil"/>
              <w:bottom w:val="nil"/>
              <w:right w:val="nil"/>
            </w:tcBorders>
            <w:shd w:val="clear" w:color="auto" w:fill="auto"/>
            <w:vAlign w:val="bottom"/>
          </w:tcPr>
          <w:p w14:paraId="1E7D3429" w14:textId="3C702B82" w:rsidR="009F0AF7" w:rsidRPr="001D41EA" w:rsidRDefault="009F0AF7" w:rsidP="001D41EA">
            <w:pPr>
              <w:spacing w:before="40" w:after="40"/>
              <w:jc w:val="right"/>
              <w:rPr>
                <w:rFonts w:cs="Arial"/>
                <w:b/>
                <w:sz w:val="18"/>
                <w:szCs w:val="18"/>
              </w:rPr>
            </w:pPr>
            <w:r w:rsidRPr="001D41EA">
              <w:rPr>
                <w:rFonts w:cs="Arial"/>
                <w:b/>
                <w:sz w:val="18"/>
                <w:szCs w:val="18"/>
              </w:rPr>
              <w:t>1,751,416</w:t>
            </w:r>
          </w:p>
        </w:tc>
      </w:tr>
      <w:tr w:rsidR="009F0AF7" w:rsidRPr="001D41EA" w14:paraId="05EC9DE7"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1C52FF" w14:textId="77777777" w:rsidR="009F0AF7" w:rsidRPr="001D41EA" w:rsidRDefault="009F0AF7" w:rsidP="001D41EA">
            <w:pPr>
              <w:spacing w:before="40" w:after="40"/>
              <w:rPr>
                <w:rFonts w:cs="Arial"/>
                <w:sz w:val="18"/>
                <w:szCs w:val="18"/>
              </w:rPr>
            </w:pPr>
            <w:r w:rsidRPr="001D41EA">
              <w:rPr>
                <w:rFonts w:cs="Arial"/>
                <w:sz w:val="18"/>
                <w:szCs w:val="18"/>
              </w:rPr>
              <w:t>Boroondara C</w:t>
            </w:r>
          </w:p>
        </w:tc>
        <w:tc>
          <w:tcPr>
            <w:tcW w:w="1361" w:type="dxa"/>
            <w:tcBorders>
              <w:top w:val="nil"/>
              <w:left w:val="single" w:sz="18" w:space="0" w:color="5F497A" w:themeColor="accent4" w:themeShade="BF"/>
              <w:bottom w:val="nil"/>
              <w:right w:val="nil"/>
            </w:tcBorders>
            <w:shd w:val="clear" w:color="auto" w:fill="auto"/>
            <w:vAlign w:val="bottom"/>
          </w:tcPr>
          <w:p w14:paraId="15A8EB56" w14:textId="3641F27F" w:rsidR="009F0AF7" w:rsidRPr="001D41EA" w:rsidRDefault="009F0AF7" w:rsidP="001D41EA">
            <w:pPr>
              <w:spacing w:before="40" w:after="40"/>
              <w:jc w:val="right"/>
              <w:rPr>
                <w:rFonts w:cs="Arial"/>
                <w:sz w:val="18"/>
                <w:szCs w:val="18"/>
              </w:rPr>
            </w:pPr>
            <w:r w:rsidRPr="001D41EA">
              <w:rPr>
                <w:rFonts w:cs="Arial"/>
                <w:sz w:val="18"/>
                <w:szCs w:val="18"/>
              </w:rPr>
              <w:t>1,602,009</w:t>
            </w:r>
          </w:p>
        </w:tc>
        <w:tc>
          <w:tcPr>
            <w:tcW w:w="1361" w:type="dxa"/>
            <w:tcBorders>
              <w:top w:val="nil"/>
              <w:left w:val="nil"/>
              <w:bottom w:val="nil"/>
              <w:right w:val="nil"/>
            </w:tcBorders>
            <w:shd w:val="clear" w:color="auto" w:fill="auto"/>
            <w:vAlign w:val="bottom"/>
          </w:tcPr>
          <w:p w14:paraId="0C590EE6" w14:textId="1B00B2F4" w:rsidR="009F0AF7" w:rsidRPr="001D41EA" w:rsidRDefault="009F0AF7" w:rsidP="001D41EA">
            <w:pPr>
              <w:spacing w:before="40" w:after="40"/>
              <w:jc w:val="right"/>
              <w:rPr>
                <w:rFonts w:cs="Arial"/>
                <w:sz w:val="18"/>
                <w:szCs w:val="18"/>
              </w:rPr>
            </w:pPr>
            <w:r w:rsidRPr="001D41EA">
              <w:rPr>
                <w:rFonts w:cs="Arial"/>
                <w:sz w:val="18"/>
                <w:szCs w:val="18"/>
              </w:rPr>
              <w:t>201,519</w:t>
            </w:r>
          </w:p>
        </w:tc>
        <w:tc>
          <w:tcPr>
            <w:tcW w:w="1361" w:type="dxa"/>
            <w:tcBorders>
              <w:top w:val="nil"/>
              <w:left w:val="nil"/>
              <w:bottom w:val="nil"/>
              <w:right w:val="nil"/>
            </w:tcBorders>
            <w:vAlign w:val="bottom"/>
          </w:tcPr>
          <w:p w14:paraId="4F9D3A10" w14:textId="04DDF2B1" w:rsidR="009F0AF7" w:rsidRPr="001D41EA" w:rsidRDefault="009F0AF7" w:rsidP="001D41EA">
            <w:pPr>
              <w:spacing w:before="40" w:after="40"/>
              <w:jc w:val="right"/>
              <w:rPr>
                <w:rFonts w:cs="Arial"/>
                <w:sz w:val="18"/>
                <w:szCs w:val="18"/>
              </w:rPr>
            </w:pPr>
            <w:r w:rsidRPr="001D41EA">
              <w:rPr>
                <w:rFonts w:cs="Arial"/>
                <w:sz w:val="18"/>
                <w:szCs w:val="18"/>
              </w:rPr>
              <w:t>7,213,859</w:t>
            </w:r>
          </w:p>
        </w:tc>
        <w:tc>
          <w:tcPr>
            <w:tcW w:w="1361" w:type="dxa"/>
            <w:tcBorders>
              <w:top w:val="nil"/>
              <w:left w:val="nil"/>
              <w:bottom w:val="nil"/>
              <w:right w:val="nil"/>
            </w:tcBorders>
            <w:vAlign w:val="bottom"/>
          </w:tcPr>
          <w:p w14:paraId="5DC94D9B" w14:textId="51B41EAE" w:rsidR="009F0AF7" w:rsidRPr="001D41EA" w:rsidRDefault="009F0AF7" w:rsidP="001D41EA">
            <w:pPr>
              <w:spacing w:before="40" w:after="40"/>
              <w:jc w:val="right"/>
              <w:rPr>
                <w:rFonts w:cs="Arial"/>
                <w:sz w:val="18"/>
                <w:szCs w:val="18"/>
              </w:rPr>
            </w:pPr>
            <w:r w:rsidRPr="001D41EA">
              <w:rPr>
                <w:rFonts w:cs="Arial"/>
                <w:sz w:val="18"/>
                <w:szCs w:val="18"/>
              </w:rPr>
              <w:t>367,609</w:t>
            </w:r>
          </w:p>
        </w:tc>
        <w:tc>
          <w:tcPr>
            <w:tcW w:w="1361" w:type="dxa"/>
            <w:tcBorders>
              <w:top w:val="nil"/>
              <w:left w:val="nil"/>
              <w:bottom w:val="nil"/>
              <w:right w:val="nil"/>
            </w:tcBorders>
            <w:shd w:val="clear" w:color="auto" w:fill="auto"/>
            <w:vAlign w:val="bottom"/>
          </w:tcPr>
          <w:p w14:paraId="0EB30C54" w14:textId="0609E3C3" w:rsidR="009F0AF7" w:rsidRPr="001D41EA" w:rsidRDefault="009F0AF7" w:rsidP="001D41EA">
            <w:pPr>
              <w:spacing w:before="40" w:after="40"/>
              <w:jc w:val="right"/>
              <w:rPr>
                <w:rFonts w:cs="Arial"/>
                <w:b/>
                <w:sz w:val="18"/>
                <w:szCs w:val="18"/>
              </w:rPr>
            </w:pPr>
            <w:r w:rsidRPr="001D41EA">
              <w:rPr>
                <w:rFonts w:cs="Arial"/>
                <w:b/>
                <w:sz w:val="18"/>
                <w:szCs w:val="18"/>
              </w:rPr>
              <w:t>23,619,739</w:t>
            </w:r>
          </w:p>
        </w:tc>
      </w:tr>
      <w:tr w:rsidR="009F0AF7" w:rsidRPr="001D41EA" w14:paraId="5FFBF949"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17260E9" w14:textId="77777777" w:rsidR="009F0AF7" w:rsidRPr="001D41EA" w:rsidRDefault="009F0AF7" w:rsidP="001D41EA">
            <w:pPr>
              <w:spacing w:before="40" w:after="40"/>
              <w:rPr>
                <w:rFonts w:cs="Arial"/>
                <w:sz w:val="18"/>
                <w:szCs w:val="18"/>
              </w:rPr>
            </w:pPr>
            <w:r w:rsidRPr="001D41EA">
              <w:rPr>
                <w:rFonts w:cs="Arial"/>
                <w:sz w:val="18"/>
                <w:szCs w:val="18"/>
              </w:rPr>
              <w:t>Brimbank C</w:t>
            </w:r>
          </w:p>
        </w:tc>
        <w:tc>
          <w:tcPr>
            <w:tcW w:w="1361" w:type="dxa"/>
            <w:tcBorders>
              <w:top w:val="nil"/>
              <w:left w:val="single" w:sz="18" w:space="0" w:color="5F497A" w:themeColor="accent4" w:themeShade="BF"/>
              <w:bottom w:val="nil"/>
              <w:right w:val="nil"/>
            </w:tcBorders>
            <w:shd w:val="clear" w:color="auto" w:fill="auto"/>
            <w:vAlign w:val="bottom"/>
          </w:tcPr>
          <w:p w14:paraId="7BFCBB1C" w14:textId="44736E8E" w:rsidR="009F0AF7" w:rsidRPr="001D41EA" w:rsidRDefault="009F0AF7" w:rsidP="001D41EA">
            <w:pPr>
              <w:spacing w:before="40" w:after="40"/>
              <w:jc w:val="right"/>
              <w:rPr>
                <w:rFonts w:cs="Arial"/>
                <w:sz w:val="18"/>
                <w:szCs w:val="18"/>
              </w:rPr>
            </w:pPr>
            <w:r w:rsidRPr="001D41EA">
              <w:rPr>
                <w:rFonts w:cs="Arial"/>
                <w:sz w:val="18"/>
                <w:szCs w:val="18"/>
              </w:rPr>
              <w:t>2,840,874</w:t>
            </w:r>
          </w:p>
        </w:tc>
        <w:tc>
          <w:tcPr>
            <w:tcW w:w="1361" w:type="dxa"/>
            <w:tcBorders>
              <w:top w:val="nil"/>
              <w:left w:val="nil"/>
              <w:bottom w:val="nil"/>
              <w:right w:val="nil"/>
            </w:tcBorders>
            <w:shd w:val="clear" w:color="auto" w:fill="auto"/>
            <w:vAlign w:val="bottom"/>
          </w:tcPr>
          <w:p w14:paraId="29A313AA" w14:textId="1B6518B4" w:rsidR="009F0AF7" w:rsidRPr="001D41EA" w:rsidRDefault="009F0AF7" w:rsidP="001D41EA">
            <w:pPr>
              <w:spacing w:before="40" w:after="40"/>
              <w:jc w:val="right"/>
              <w:rPr>
                <w:rFonts w:cs="Arial"/>
                <w:sz w:val="18"/>
                <w:szCs w:val="18"/>
              </w:rPr>
            </w:pPr>
            <w:r w:rsidRPr="001D41EA">
              <w:rPr>
                <w:rFonts w:cs="Arial"/>
                <w:sz w:val="18"/>
                <w:szCs w:val="18"/>
              </w:rPr>
              <w:t>232,004</w:t>
            </w:r>
          </w:p>
        </w:tc>
        <w:tc>
          <w:tcPr>
            <w:tcW w:w="1361" w:type="dxa"/>
            <w:tcBorders>
              <w:top w:val="nil"/>
              <w:left w:val="nil"/>
              <w:bottom w:val="nil"/>
              <w:right w:val="nil"/>
            </w:tcBorders>
            <w:vAlign w:val="bottom"/>
          </w:tcPr>
          <w:p w14:paraId="70362936" w14:textId="10716013" w:rsidR="009F0AF7" w:rsidRPr="001D41EA" w:rsidRDefault="009F0AF7" w:rsidP="001D41EA">
            <w:pPr>
              <w:spacing w:before="40" w:after="40"/>
              <w:jc w:val="right"/>
              <w:rPr>
                <w:rFonts w:cs="Arial"/>
                <w:sz w:val="18"/>
                <w:szCs w:val="18"/>
              </w:rPr>
            </w:pPr>
            <w:r w:rsidRPr="001D41EA">
              <w:rPr>
                <w:rFonts w:cs="Arial"/>
                <w:sz w:val="18"/>
                <w:szCs w:val="18"/>
              </w:rPr>
              <w:t>6,877,610</w:t>
            </w:r>
          </w:p>
        </w:tc>
        <w:tc>
          <w:tcPr>
            <w:tcW w:w="1361" w:type="dxa"/>
            <w:tcBorders>
              <w:top w:val="nil"/>
              <w:left w:val="nil"/>
              <w:bottom w:val="nil"/>
              <w:right w:val="nil"/>
            </w:tcBorders>
            <w:vAlign w:val="bottom"/>
          </w:tcPr>
          <w:p w14:paraId="68D7EF41" w14:textId="687F7298" w:rsidR="009F0AF7" w:rsidRPr="001D41EA" w:rsidRDefault="009F0AF7" w:rsidP="001D41EA">
            <w:pPr>
              <w:spacing w:before="40" w:after="40"/>
              <w:jc w:val="right"/>
              <w:rPr>
                <w:rFonts w:cs="Arial"/>
                <w:sz w:val="18"/>
                <w:szCs w:val="18"/>
              </w:rPr>
            </w:pPr>
            <w:r w:rsidRPr="001D41EA">
              <w:rPr>
                <w:rFonts w:cs="Arial"/>
                <w:sz w:val="18"/>
                <w:szCs w:val="18"/>
              </w:rPr>
              <w:t>423,220</w:t>
            </w:r>
          </w:p>
        </w:tc>
        <w:tc>
          <w:tcPr>
            <w:tcW w:w="1361" w:type="dxa"/>
            <w:tcBorders>
              <w:top w:val="nil"/>
              <w:left w:val="nil"/>
              <w:bottom w:val="nil"/>
              <w:right w:val="nil"/>
            </w:tcBorders>
            <w:shd w:val="clear" w:color="auto" w:fill="auto"/>
            <w:vAlign w:val="bottom"/>
          </w:tcPr>
          <w:p w14:paraId="3F028D85" w14:textId="7C5C2C2C" w:rsidR="009F0AF7" w:rsidRPr="001D41EA" w:rsidRDefault="009F0AF7" w:rsidP="001D41EA">
            <w:pPr>
              <w:spacing w:before="40" w:after="40"/>
              <w:jc w:val="right"/>
              <w:rPr>
                <w:rFonts w:cs="Arial"/>
                <w:b/>
                <w:sz w:val="18"/>
                <w:szCs w:val="18"/>
              </w:rPr>
            </w:pPr>
            <w:r w:rsidRPr="001D41EA">
              <w:rPr>
                <w:rFonts w:cs="Arial"/>
                <w:b/>
                <w:sz w:val="18"/>
                <w:szCs w:val="18"/>
              </w:rPr>
              <w:t>24,283,632</w:t>
            </w:r>
          </w:p>
        </w:tc>
      </w:tr>
      <w:tr w:rsidR="009F0AF7" w:rsidRPr="001D41EA" w14:paraId="3089B0C3"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0975AC8" w14:textId="77777777" w:rsidR="009F0AF7" w:rsidRPr="001D41EA" w:rsidRDefault="009F0AF7" w:rsidP="001D41EA">
            <w:pPr>
              <w:spacing w:before="40" w:after="40"/>
              <w:rPr>
                <w:rFonts w:cs="Arial"/>
                <w:sz w:val="18"/>
                <w:szCs w:val="18"/>
              </w:rPr>
            </w:pPr>
            <w:r w:rsidRPr="001D41EA">
              <w:rPr>
                <w:rFonts w:cs="Arial"/>
                <w:sz w:val="18"/>
                <w:szCs w:val="18"/>
              </w:rPr>
              <w:t>Buloke S</w:t>
            </w:r>
          </w:p>
        </w:tc>
        <w:tc>
          <w:tcPr>
            <w:tcW w:w="1361" w:type="dxa"/>
            <w:tcBorders>
              <w:top w:val="nil"/>
              <w:left w:val="single" w:sz="18" w:space="0" w:color="5F497A" w:themeColor="accent4" w:themeShade="BF"/>
              <w:bottom w:val="nil"/>
              <w:right w:val="nil"/>
            </w:tcBorders>
            <w:shd w:val="clear" w:color="auto" w:fill="auto"/>
            <w:vAlign w:val="bottom"/>
          </w:tcPr>
          <w:p w14:paraId="29828EC3" w14:textId="771796F5" w:rsidR="009F0AF7" w:rsidRPr="001D41EA" w:rsidRDefault="009F0AF7" w:rsidP="001D41EA">
            <w:pPr>
              <w:spacing w:before="40" w:after="40"/>
              <w:jc w:val="right"/>
              <w:rPr>
                <w:rFonts w:cs="Arial"/>
                <w:sz w:val="18"/>
                <w:szCs w:val="18"/>
              </w:rPr>
            </w:pPr>
            <w:r w:rsidRPr="001D41EA">
              <w:rPr>
                <w:rFonts w:cs="Arial"/>
                <w:sz w:val="18"/>
                <w:szCs w:val="18"/>
              </w:rPr>
              <w:t>54,822</w:t>
            </w:r>
          </w:p>
        </w:tc>
        <w:tc>
          <w:tcPr>
            <w:tcW w:w="1361" w:type="dxa"/>
            <w:tcBorders>
              <w:top w:val="nil"/>
              <w:left w:val="nil"/>
              <w:bottom w:val="nil"/>
              <w:right w:val="nil"/>
            </w:tcBorders>
            <w:shd w:val="clear" w:color="auto" w:fill="auto"/>
            <w:vAlign w:val="bottom"/>
          </w:tcPr>
          <w:p w14:paraId="10AB9C18" w14:textId="5F072253" w:rsidR="009F0AF7" w:rsidRPr="001D41EA" w:rsidRDefault="009F0AF7" w:rsidP="001D41EA">
            <w:pPr>
              <w:spacing w:before="40" w:after="40"/>
              <w:jc w:val="right"/>
              <w:rPr>
                <w:rFonts w:cs="Arial"/>
                <w:sz w:val="18"/>
                <w:szCs w:val="18"/>
              </w:rPr>
            </w:pPr>
            <w:r w:rsidRPr="001D41EA">
              <w:rPr>
                <w:rFonts w:cs="Arial"/>
                <w:sz w:val="18"/>
                <w:szCs w:val="18"/>
              </w:rPr>
              <w:t>6,874</w:t>
            </w:r>
          </w:p>
        </w:tc>
        <w:tc>
          <w:tcPr>
            <w:tcW w:w="1361" w:type="dxa"/>
            <w:tcBorders>
              <w:top w:val="nil"/>
              <w:left w:val="nil"/>
              <w:bottom w:val="nil"/>
              <w:right w:val="nil"/>
            </w:tcBorders>
            <w:vAlign w:val="bottom"/>
          </w:tcPr>
          <w:p w14:paraId="2290029D" w14:textId="2FBCA498" w:rsidR="009F0AF7" w:rsidRPr="001D41EA" w:rsidRDefault="009F0AF7" w:rsidP="001D41EA">
            <w:pPr>
              <w:spacing w:before="40" w:after="40"/>
              <w:jc w:val="right"/>
              <w:rPr>
                <w:rFonts w:cs="Arial"/>
                <w:sz w:val="18"/>
                <w:szCs w:val="18"/>
              </w:rPr>
            </w:pPr>
            <w:r w:rsidRPr="001D41EA">
              <w:rPr>
                <w:rFonts w:cs="Arial"/>
                <w:sz w:val="18"/>
                <w:szCs w:val="18"/>
              </w:rPr>
              <w:t>204,244</w:t>
            </w:r>
          </w:p>
        </w:tc>
        <w:tc>
          <w:tcPr>
            <w:tcW w:w="1361" w:type="dxa"/>
            <w:tcBorders>
              <w:top w:val="nil"/>
              <w:left w:val="nil"/>
              <w:bottom w:val="nil"/>
              <w:right w:val="nil"/>
            </w:tcBorders>
            <w:vAlign w:val="bottom"/>
          </w:tcPr>
          <w:p w14:paraId="09C0F5DD" w14:textId="730317E8" w:rsidR="009F0AF7" w:rsidRPr="001D41EA" w:rsidRDefault="009F0AF7" w:rsidP="001D41EA">
            <w:pPr>
              <w:spacing w:before="40" w:after="40"/>
              <w:jc w:val="right"/>
              <w:rPr>
                <w:rFonts w:cs="Arial"/>
                <w:sz w:val="18"/>
                <w:szCs w:val="18"/>
              </w:rPr>
            </w:pPr>
            <w:r w:rsidRPr="001D41EA">
              <w:rPr>
                <w:rFonts w:cs="Arial"/>
                <w:sz w:val="18"/>
                <w:szCs w:val="18"/>
              </w:rPr>
              <w:t>12,540</w:t>
            </w:r>
          </w:p>
        </w:tc>
        <w:tc>
          <w:tcPr>
            <w:tcW w:w="1361" w:type="dxa"/>
            <w:tcBorders>
              <w:top w:val="nil"/>
              <w:left w:val="nil"/>
              <w:bottom w:val="nil"/>
              <w:right w:val="nil"/>
            </w:tcBorders>
            <w:shd w:val="clear" w:color="auto" w:fill="auto"/>
            <w:vAlign w:val="bottom"/>
          </w:tcPr>
          <w:p w14:paraId="4AA4D4EF" w14:textId="58B9246D" w:rsidR="009F0AF7" w:rsidRPr="001D41EA" w:rsidRDefault="009F0AF7" w:rsidP="001D41EA">
            <w:pPr>
              <w:spacing w:before="40" w:after="40"/>
              <w:jc w:val="right"/>
              <w:rPr>
                <w:rFonts w:cs="Arial"/>
                <w:b/>
                <w:sz w:val="18"/>
                <w:szCs w:val="18"/>
              </w:rPr>
            </w:pPr>
            <w:r w:rsidRPr="001D41EA">
              <w:rPr>
                <w:rFonts w:cs="Arial"/>
                <w:b/>
                <w:sz w:val="18"/>
                <w:szCs w:val="18"/>
              </w:rPr>
              <w:t>757,988</w:t>
            </w:r>
          </w:p>
        </w:tc>
      </w:tr>
      <w:tr w:rsidR="009F0AF7" w:rsidRPr="001D41EA" w14:paraId="16DEA0F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4EFDCF" w14:textId="77777777" w:rsidR="009F0AF7" w:rsidRPr="001D41EA" w:rsidRDefault="009F0AF7" w:rsidP="001D41EA">
            <w:pPr>
              <w:spacing w:before="40" w:after="40"/>
              <w:rPr>
                <w:rFonts w:cs="Arial"/>
                <w:sz w:val="18"/>
                <w:szCs w:val="18"/>
              </w:rPr>
            </w:pPr>
            <w:r w:rsidRPr="001D41EA">
              <w:rPr>
                <w:rFonts w:cs="Arial"/>
                <w:sz w:val="18"/>
                <w:szCs w:val="18"/>
              </w:rPr>
              <w:t>Campaspe S</w:t>
            </w:r>
          </w:p>
        </w:tc>
        <w:tc>
          <w:tcPr>
            <w:tcW w:w="1361" w:type="dxa"/>
            <w:tcBorders>
              <w:top w:val="nil"/>
              <w:left w:val="single" w:sz="18" w:space="0" w:color="5F497A" w:themeColor="accent4" w:themeShade="BF"/>
              <w:bottom w:val="nil"/>
              <w:right w:val="nil"/>
            </w:tcBorders>
            <w:shd w:val="clear" w:color="auto" w:fill="auto"/>
            <w:vAlign w:val="bottom"/>
          </w:tcPr>
          <w:p w14:paraId="4A6BC74A" w14:textId="51B76142" w:rsidR="009F0AF7" w:rsidRPr="001D41EA" w:rsidRDefault="009F0AF7" w:rsidP="001D41EA">
            <w:pPr>
              <w:spacing w:before="40" w:after="40"/>
              <w:jc w:val="right"/>
              <w:rPr>
                <w:rFonts w:cs="Arial"/>
                <w:sz w:val="18"/>
                <w:szCs w:val="18"/>
              </w:rPr>
            </w:pPr>
            <w:r w:rsidRPr="001D41EA">
              <w:rPr>
                <w:rFonts w:cs="Arial"/>
                <w:sz w:val="18"/>
                <w:szCs w:val="18"/>
              </w:rPr>
              <w:t>383,990</w:t>
            </w:r>
          </w:p>
        </w:tc>
        <w:tc>
          <w:tcPr>
            <w:tcW w:w="1361" w:type="dxa"/>
            <w:tcBorders>
              <w:top w:val="nil"/>
              <w:left w:val="nil"/>
              <w:bottom w:val="nil"/>
              <w:right w:val="nil"/>
            </w:tcBorders>
            <w:shd w:val="clear" w:color="auto" w:fill="auto"/>
            <w:vAlign w:val="bottom"/>
          </w:tcPr>
          <w:p w14:paraId="23C93A9A" w14:textId="031AFDE4" w:rsidR="009F0AF7" w:rsidRPr="001D41EA" w:rsidRDefault="009F0AF7" w:rsidP="001D41EA">
            <w:pPr>
              <w:spacing w:before="40" w:after="40"/>
              <w:jc w:val="right"/>
              <w:rPr>
                <w:rFonts w:cs="Arial"/>
                <w:sz w:val="18"/>
                <w:szCs w:val="18"/>
              </w:rPr>
            </w:pPr>
            <w:r w:rsidRPr="001D41EA">
              <w:rPr>
                <w:rFonts w:cs="Arial"/>
                <w:sz w:val="18"/>
                <w:szCs w:val="18"/>
              </w:rPr>
              <w:t>41,787</w:t>
            </w:r>
          </w:p>
        </w:tc>
        <w:tc>
          <w:tcPr>
            <w:tcW w:w="1361" w:type="dxa"/>
            <w:tcBorders>
              <w:top w:val="nil"/>
              <w:left w:val="nil"/>
              <w:bottom w:val="nil"/>
              <w:right w:val="nil"/>
            </w:tcBorders>
            <w:vAlign w:val="bottom"/>
          </w:tcPr>
          <w:p w14:paraId="79D9DBD1" w14:textId="3D8AD04C" w:rsidR="009F0AF7" w:rsidRPr="001D41EA" w:rsidRDefault="009F0AF7" w:rsidP="001D41EA">
            <w:pPr>
              <w:spacing w:before="40" w:after="40"/>
              <w:jc w:val="right"/>
              <w:rPr>
                <w:rFonts w:cs="Arial"/>
                <w:sz w:val="18"/>
                <w:szCs w:val="18"/>
              </w:rPr>
            </w:pPr>
            <w:r w:rsidRPr="001D41EA">
              <w:rPr>
                <w:rFonts w:cs="Arial"/>
                <w:sz w:val="18"/>
                <w:szCs w:val="18"/>
              </w:rPr>
              <w:t>1,429,544</w:t>
            </w:r>
          </w:p>
        </w:tc>
        <w:tc>
          <w:tcPr>
            <w:tcW w:w="1361" w:type="dxa"/>
            <w:tcBorders>
              <w:top w:val="nil"/>
              <w:left w:val="nil"/>
              <w:bottom w:val="nil"/>
              <w:right w:val="nil"/>
            </w:tcBorders>
            <w:vAlign w:val="bottom"/>
          </w:tcPr>
          <w:p w14:paraId="35D2D1C5" w14:textId="1165BD7F" w:rsidR="009F0AF7" w:rsidRPr="001D41EA" w:rsidRDefault="009F0AF7" w:rsidP="001D41EA">
            <w:pPr>
              <w:spacing w:before="40" w:after="40"/>
              <w:jc w:val="right"/>
              <w:rPr>
                <w:rFonts w:cs="Arial"/>
                <w:sz w:val="18"/>
                <w:szCs w:val="18"/>
              </w:rPr>
            </w:pPr>
            <w:r w:rsidRPr="001D41EA">
              <w:rPr>
                <w:rFonts w:cs="Arial"/>
                <w:sz w:val="18"/>
                <w:szCs w:val="18"/>
              </w:rPr>
              <w:t>76,227</w:t>
            </w:r>
          </w:p>
        </w:tc>
        <w:tc>
          <w:tcPr>
            <w:tcW w:w="1361" w:type="dxa"/>
            <w:tcBorders>
              <w:top w:val="nil"/>
              <w:left w:val="nil"/>
              <w:bottom w:val="nil"/>
              <w:right w:val="nil"/>
            </w:tcBorders>
            <w:shd w:val="clear" w:color="auto" w:fill="auto"/>
            <w:vAlign w:val="bottom"/>
          </w:tcPr>
          <w:p w14:paraId="73C63B52" w14:textId="07235901" w:rsidR="009F0AF7" w:rsidRPr="001D41EA" w:rsidRDefault="009F0AF7" w:rsidP="001D41EA">
            <w:pPr>
              <w:spacing w:before="40" w:after="40"/>
              <w:jc w:val="right"/>
              <w:rPr>
                <w:rFonts w:cs="Arial"/>
                <w:b/>
                <w:sz w:val="18"/>
                <w:szCs w:val="18"/>
              </w:rPr>
            </w:pPr>
            <w:r w:rsidRPr="001D41EA">
              <w:rPr>
                <w:rFonts w:cs="Arial"/>
                <w:b/>
                <w:sz w:val="18"/>
                <w:szCs w:val="18"/>
              </w:rPr>
              <w:t>4,717,967</w:t>
            </w:r>
          </w:p>
        </w:tc>
      </w:tr>
      <w:tr w:rsidR="009F0AF7" w:rsidRPr="001D41EA" w14:paraId="0A5B674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5D1039B" w14:textId="77777777" w:rsidR="009F0AF7" w:rsidRPr="001D41EA" w:rsidRDefault="009F0AF7" w:rsidP="001D41EA">
            <w:pPr>
              <w:spacing w:before="40" w:after="40"/>
              <w:rPr>
                <w:rFonts w:cs="Arial"/>
                <w:sz w:val="18"/>
                <w:szCs w:val="18"/>
              </w:rPr>
            </w:pPr>
            <w:r w:rsidRPr="001D41EA">
              <w:rPr>
                <w:rFonts w:cs="Arial"/>
                <w:sz w:val="18"/>
                <w:szCs w:val="18"/>
              </w:rPr>
              <w:t>Cardinia S</w:t>
            </w:r>
          </w:p>
        </w:tc>
        <w:tc>
          <w:tcPr>
            <w:tcW w:w="1361" w:type="dxa"/>
            <w:tcBorders>
              <w:top w:val="nil"/>
              <w:left w:val="single" w:sz="18" w:space="0" w:color="5F497A" w:themeColor="accent4" w:themeShade="BF"/>
              <w:bottom w:val="nil"/>
              <w:right w:val="nil"/>
            </w:tcBorders>
            <w:shd w:val="clear" w:color="auto" w:fill="auto"/>
            <w:vAlign w:val="bottom"/>
          </w:tcPr>
          <w:p w14:paraId="6E844B24" w14:textId="721A20C0" w:rsidR="009F0AF7" w:rsidRPr="001D41EA" w:rsidRDefault="009F0AF7" w:rsidP="001D41EA">
            <w:pPr>
              <w:spacing w:before="40" w:after="40"/>
              <w:jc w:val="right"/>
              <w:rPr>
                <w:rFonts w:cs="Arial"/>
                <w:sz w:val="18"/>
                <w:szCs w:val="18"/>
              </w:rPr>
            </w:pPr>
            <w:r w:rsidRPr="001D41EA">
              <w:rPr>
                <w:rFonts w:cs="Arial"/>
                <w:sz w:val="18"/>
                <w:szCs w:val="18"/>
              </w:rPr>
              <w:t>898,524</w:t>
            </w:r>
          </w:p>
        </w:tc>
        <w:tc>
          <w:tcPr>
            <w:tcW w:w="1361" w:type="dxa"/>
            <w:tcBorders>
              <w:top w:val="nil"/>
              <w:left w:val="nil"/>
              <w:bottom w:val="nil"/>
              <w:right w:val="nil"/>
            </w:tcBorders>
            <w:shd w:val="clear" w:color="auto" w:fill="auto"/>
            <w:vAlign w:val="bottom"/>
          </w:tcPr>
          <w:p w14:paraId="64438B67" w14:textId="6F675817" w:rsidR="009F0AF7" w:rsidRPr="001D41EA" w:rsidRDefault="009F0AF7" w:rsidP="001D41EA">
            <w:pPr>
              <w:spacing w:before="40" w:after="40"/>
              <w:jc w:val="right"/>
              <w:rPr>
                <w:rFonts w:cs="Arial"/>
                <w:sz w:val="18"/>
                <w:szCs w:val="18"/>
              </w:rPr>
            </w:pPr>
            <w:r w:rsidRPr="001D41EA">
              <w:rPr>
                <w:rFonts w:cs="Arial"/>
                <w:sz w:val="18"/>
                <w:szCs w:val="18"/>
              </w:rPr>
              <w:t>119,073</w:t>
            </w:r>
          </w:p>
        </w:tc>
        <w:tc>
          <w:tcPr>
            <w:tcW w:w="1361" w:type="dxa"/>
            <w:tcBorders>
              <w:top w:val="nil"/>
              <w:left w:val="nil"/>
              <w:bottom w:val="nil"/>
              <w:right w:val="nil"/>
            </w:tcBorders>
            <w:vAlign w:val="bottom"/>
          </w:tcPr>
          <w:p w14:paraId="0E47DAD8" w14:textId="6AAB4B63" w:rsidR="009F0AF7" w:rsidRPr="001D41EA" w:rsidRDefault="009F0AF7" w:rsidP="001D41EA">
            <w:pPr>
              <w:spacing w:before="40" w:after="40"/>
              <w:jc w:val="right"/>
              <w:rPr>
                <w:rFonts w:cs="Arial"/>
                <w:sz w:val="18"/>
                <w:szCs w:val="18"/>
              </w:rPr>
            </w:pPr>
            <w:r w:rsidRPr="001D41EA">
              <w:rPr>
                <w:rFonts w:cs="Arial"/>
                <w:sz w:val="18"/>
                <w:szCs w:val="18"/>
              </w:rPr>
              <w:t>4,130,723</w:t>
            </w:r>
          </w:p>
        </w:tc>
        <w:tc>
          <w:tcPr>
            <w:tcW w:w="1361" w:type="dxa"/>
            <w:tcBorders>
              <w:top w:val="nil"/>
              <w:left w:val="nil"/>
              <w:bottom w:val="nil"/>
              <w:right w:val="nil"/>
            </w:tcBorders>
            <w:vAlign w:val="bottom"/>
          </w:tcPr>
          <w:p w14:paraId="75A33D93" w14:textId="4877F77F" w:rsidR="009F0AF7" w:rsidRPr="001D41EA" w:rsidRDefault="009F0AF7" w:rsidP="001D41EA">
            <w:pPr>
              <w:spacing w:before="40" w:after="40"/>
              <w:jc w:val="right"/>
              <w:rPr>
                <w:rFonts w:cs="Arial"/>
                <w:sz w:val="18"/>
                <w:szCs w:val="18"/>
              </w:rPr>
            </w:pPr>
            <w:r w:rsidRPr="001D41EA">
              <w:rPr>
                <w:rFonts w:cs="Arial"/>
                <w:sz w:val="18"/>
                <w:szCs w:val="18"/>
              </w:rPr>
              <w:t>217,213</w:t>
            </w:r>
          </w:p>
        </w:tc>
        <w:tc>
          <w:tcPr>
            <w:tcW w:w="1361" w:type="dxa"/>
            <w:tcBorders>
              <w:top w:val="nil"/>
              <w:left w:val="nil"/>
              <w:bottom w:val="nil"/>
              <w:right w:val="nil"/>
            </w:tcBorders>
            <w:shd w:val="clear" w:color="auto" w:fill="auto"/>
            <w:vAlign w:val="bottom"/>
          </w:tcPr>
          <w:p w14:paraId="127E1795" w14:textId="3D5E9782" w:rsidR="009F0AF7" w:rsidRPr="001D41EA" w:rsidRDefault="009F0AF7" w:rsidP="001D41EA">
            <w:pPr>
              <w:spacing w:before="40" w:after="40"/>
              <w:jc w:val="right"/>
              <w:rPr>
                <w:rFonts w:cs="Arial"/>
                <w:b/>
                <w:sz w:val="18"/>
                <w:szCs w:val="18"/>
              </w:rPr>
            </w:pPr>
            <w:r w:rsidRPr="001D41EA">
              <w:rPr>
                <w:rFonts w:cs="Arial"/>
                <w:b/>
                <w:sz w:val="18"/>
                <w:szCs w:val="18"/>
              </w:rPr>
              <w:t>12,777,096</w:t>
            </w:r>
          </w:p>
        </w:tc>
      </w:tr>
      <w:tr w:rsidR="009F0AF7" w:rsidRPr="001D41EA" w14:paraId="3BC9D1B9"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F94DDF6" w14:textId="77777777" w:rsidR="009F0AF7" w:rsidRPr="001D41EA" w:rsidRDefault="009F0AF7" w:rsidP="001D41EA">
            <w:pPr>
              <w:spacing w:before="40" w:after="40"/>
              <w:rPr>
                <w:rFonts w:cs="Arial"/>
                <w:sz w:val="18"/>
                <w:szCs w:val="18"/>
              </w:rPr>
            </w:pPr>
            <w:r w:rsidRPr="001D41EA">
              <w:rPr>
                <w:rFonts w:cs="Arial"/>
                <w:sz w:val="18"/>
                <w:szCs w:val="18"/>
              </w:rPr>
              <w:t>Casey C</w:t>
            </w:r>
          </w:p>
        </w:tc>
        <w:tc>
          <w:tcPr>
            <w:tcW w:w="1361" w:type="dxa"/>
            <w:tcBorders>
              <w:top w:val="nil"/>
              <w:left w:val="single" w:sz="18" w:space="0" w:color="5F497A" w:themeColor="accent4" w:themeShade="BF"/>
              <w:bottom w:val="nil"/>
              <w:right w:val="nil"/>
            </w:tcBorders>
            <w:shd w:val="clear" w:color="auto" w:fill="auto"/>
            <w:vAlign w:val="bottom"/>
          </w:tcPr>
          <w:p w14:paraId="3D140CCB" w14:textId="70E71DEE" w:rsidR="009F0AF7" w:rsidRPr="001D41EA" w:rsidRDefault="009F0AF7" w:rsidP="001D41EA">
            <w:pPr>
              <w:spacing w:before="40" w:after="40"/>
              <w:jc w:val="right"/>
              <w:rPr>
                <w:rFonts w:cs="Arial"/>
                <w:sz w:val="18"/>
                <w:szCs w:val="18"/>
              </w:rPr>
            </w:pPr>
            <w:r w:rsidRPr="001D41EA">
              <w:rPr>
                <w:rFonts w:cs="Arial"/>
                <w:sz w:val="18"/>
                <w:szCs w:val="18"/>
              </w:rPr>
              <w:t>3,194,586</w:t>
            </w:r>
          </w:p>
        </w:tc>
        <w:tc>
          <w:tcPr>
            <w:tcW w:w="1361" w:type="dxa"/>
            <w:tcBorders>
              <w:top w:val="nil"/>
              <w:left w:val="nil"/>
              <w:bottom w:val="nil"/>
              <w:right w:val="nil"/>
            </w:tcBorders>
            <w:shd w:val="clear" w:color="auto" w:fill="auto"/>
            <w:vAlign w:val="bottom"/>
          </w:tcPr>
          <w:p w14:paraId="453BAD46" w14:textId="6D742D24" w:rsidR="009F0AF7" w:rsidRPr="001D41EA" w:rsidRDefault="009F0AF7" w:rsidP="001D41EA">
            <w:pPr>
              <w:spacing w:before="40" w:after="40"/>
              <w:jc w:val="right"/>
              <w:rPr>
                <w:rFonts w:cs="Arial"/>
                <w:sz w:val="18"/>
                <w:szCs w:val="18"/>
              </w:rPr>
            </w:pPr>
            <w:r w:rsidRPr="001D41EA">
              <w:rPr>
                <w:rFonts w:cs="Arial"/>
                <w:sz w:val="18"/>
                <w:szCs w:val="18"/>
              </w:rPr>
              <w:t>378,406</w:t>
            </w:r>
          </w:p>
        </w:tc>
        <w:tc>
          <w:tcPr>
            <w:tcW w:w="1361" w:type="dxa"/>
            <w:tcBorders>
              <w:top w:val="nil"/>
              <w:left w:val="nil"/>
              <w:bottom w:val="nil"/>
              <w:right w:val="nil"/>
            </w:tcBorders>
            <w:vAlign w:val="bottom"/>
          </w:tcPr>
          <w:p w14:paraId="1D7334FE" w14:textId="1CF4BDAF" w:rsidR="009F0AF7" w:rsidRPr="001D41EA" w:rsidRDefault="009F0AF7" w:rsidP="001D41EA">
            <w:pPr>
              <w:spacing w:before="40" w:after="40"/>
              <w:jc w:val="right"/>
              <w:rPr>
                <w:rFonts w:cs="Arial"/>
                <w:sz w:val="18"/>
                <w:szCs w:val="18"/>
              </w:rPr>
            </w:pPr>
            <w:r w:rsidRPr="001D41EA">
              <w:rPr>
                <w:rFonts w:cs="Arial"/>
                <w:sz w:val="18"/>
                <w:szCs w:val="18"/>
              </w:rPr>
              <w:t>12,404,663</w:t>
            </w:r>
          </w:p>
        </w:tc>
        <w:tc>
          <w:tcPr>
            <w:tcW w:w="1361" w:type="dxa"/>
            <w:tcBorders>
              <w:top w:val="nil"/>
              <w:left w:val="nil"/>
              <w:bottom w:val="nil"/>
              <w:right w:val="nil"/>
            </w:tcBorders>
            <w:vAlign w:val="bottom"/>
          </w:tcPr>
          <w:p w14:paraId="67C4B097" w14:textId="741DA2EF" w:rsidR="009F0AF7" w:rsidRPr="001D41EA" w:rsidRDefault="009F0AF7" w:rsidP="001D41EA">
            <w:pPr>
              <w:spacing w:before="40" w:after="40"/>
              <w:jc w:val="right"/>
              <w:rPr>
                <w:rFonts w:cs="Arial"/>
                <w:sz w:val="18"/>
                <w:szCs w:val="18"/>
              </w:rPr>
            </w:pPr>
            <w:r w:rsidRPr="001D41EA">
              <w:rPr>
                <w:rFonts w:cs="Arial"/>
                <w:sz w:val="18"/>
                <w:szCs w:val="18"/>
              </w:rPr>
              <w:t>690,285</w:t>
            </w:r>
          </w:p>
        </w:tc>
        <w:tc>
          <w:tcPr>
            <w:tcW w:w="1361" w:type="dxa"/>
            <w:tcBorders>
              <w:top w:val="nil"/>
              <w:left w:val="nil"/>
              <w:bottom w:val="nil"/>
              <w:right w:val="nil"/>
            </w:tcBorders>
            <w:shd w:val="clear" w:color="auto" w:fill="auto"/>
            <w:vAlign w:val="bottom"/>
          </w:tcPr>
          <w:p w14:paraId="7FB77328" w14:textId="3000AC27" w:rsidR="009F0AF7" w:rsidRPr="001D41EA" w:rsidRDefault="009F0AF7" w:rsidP="001D41EA">
            <w:pPr>
              <w:spacing w:before="40" w:after="40"/>
              <w:jc w:val="right"/>
              <w:rPr>
                <w:rFonts w:cs="Arial"/>
                <w:b/>
                <w:sz w:val="18"/>
                <w:szCs w:val="18"/>
              </w:rPr>
            </w:pPr>
            <w:r w:rsidRPr="001D41EA">
              <w:rPr>
                <w:rFonts w:cs="Arial"/>
                <w:b/>
                <w:sz w:val="18"/>
                <w:szCs w:val="18"/>
              </w:rPr>
              <w:t>39,770,586</w:t>
            </w:r>
          </w:p>
        </w:tc>
      </w:tr>
      <w:tr w:rsidR="009F0AF7" w:rsidRPr="001D41EA" w14:paraId="64661D8C"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87F7A5A" w14:textId="77777777" w:rsidR="009F0AF7" w:rsidRPr="001D41EA" w:rsidRDefault="009F0AF7" w:rsidP="001D41EA">
            <w:pPr>
              <w:spacing w:before="40" w:after="40"/>
              <w:rPr>
                <w:rFonts w:cs="Arial"/>
                <w:sz w:val="18"/>
                <w:szCs w:val="18"/>
              </w:rPr>
            </w:pPr>
            <w:r w:rsidRPr="001D41EA">
              <w:rPr>
                <w:rFonts w:cs="Arial"/>
                <w:sz w:val="18"/>
                <w:szCs w:val="18"/>
              </w:rPr>
              <w:t>Central Goldfields S</w:t>
            </w:r>
          </w:p>
        </w:tc>
        <w:tc>
          <w:tcPr>
            <w:tcW w:w="1361" w:type="dxa"/>
            <w:tcBorders>
              <w:top w:val="nil"/>
              <w:left w:val="single" w:sz="18" w:space="0" w:color="5F497A" w:themeColor="accent4" w:themeShade="BF"/>
              <w:bottom w:val="nil"/>
              <w:right w:val="nil"/>
            </w:tcBorders>
            <w:shd w:val="clear" w:color="auto" w:fill="auto"/>
            <w:vAlign w:val="bottom"/>
          </w:tcPr>
          <w:p w14:paraId="5D85A7DC" w14:textId="24D91B6D" w:rsidR="009F0AF7" w:rsidRPr="001D41EA" w:rsidRDefault="009F0AF7" w:rsidP="001D41EA">
            <w:pPr>
              <w:spacing w:before="40" w:after="40"/>
              <w:jc w:val="right"/>
              <w:rPr>
                <w:rFonts w:cs="Arial"/>
                <w:sz w:val="18"/>
                <w:szCs w:val="18"/>
              </w:rPr>
            </w:pPr>
            <w:r w:rsidRPr="001D41EA">
              <w:rPr>
                <w:rFonts w:cs="Arial"/>
                <w:sz w:val="18"/>
                <w:szCs w:val="18"/>
              </w:rPr>
              <w:t>123,564</w:t>
            </w:r>
          </w:p>
        </w:tc>
        <w:tc>
          <w:tcPr>
            <w:tcW w:w="1361" w:type="dxa"/>
            <w:tcBorders>
              <w:top w:val="nil"/>
              <w:left w:val="nil"/>
              <w:bottom w:val="nil"/>
              <w:right w:val="nil"/>
            </w:tcBorders>
            <w:shd w:val="clear" w:color="auto" w:fill="auto"/>
            <w:vAlign w:val="bottom"/>
          </w:tcPr>
          <w:p w14:paraId="6B85829A" w14:textId="37FDF479" w:rsidR="009F0AF7" w:rsidRPr="001D41EA" w:rsidRDefault="009F0AF7" w:rsidP="001D41EA">
            <w:pPr>
              <w:spacing w:before="40" w:after="40"/>
              <w:jc w:val="right"/>
              <w:rPr>
                <w:rFonts w:cs="Arial"/>
                <w:sz w:val="18"/>
                <w:szCs w:val="18"/>
              </w:rPr>
            </w:pPr>
            <w:r w:rsidRPr="001D41EA">
              <w:rPr>
                <w:rFonts w:cs="Arial"/>
                <w:sz w:val="18"/>
                <w:szCs w:val="18"/>
              </w:rPr>
              <w:t>14,683</w:t>
            </w:r>
          </w:p>
        </w:tc>
        <w:tc>
          <w:tcPr>
            <w:tcW w:w="1361" w:type="dxa"/>
            <w:tcBorders>
              <w:top w:val="nil"/>
              <w:left w:val="nil"/>
              <w:bottom w:val="nil"/>
              <w:right w:val="nil"/>
            </w:tcBorders>
            <w:vAlign w:val="bottom"/>
          </w:tcPr>
          <w:p w14:paraId="7BF04C6C" w14:textId="24989190" w:rsidR="009F0AF7" w:rsidRPr="001D41EA" w:rsidRDefault="009F0AF7" w:rsidP="001D41EA">
            <w:pPr>
              <w:spacing w:before="40" w:after="40"/>
              <w:jc w:val="right"/>
              <w:rPr>
                <w:rFonts w:cs="Arial"/>
                <w:sz w:val="18"/>
                <w:szCs w:val="18"/>
              </w:rPr>
            </w:pPr>
            <w:r w:rsidRPr="001D41EA">
              <w:rPr>
                <w:rFonts w:cs="Arial"/>
                <w:sz w:val="18"/>
                <w:szCs w:val="18"/>
              </w:rPr>
              <w:t>445,753</w:t>
            </w:r>
          </w:p>
        </w:tc>
        <w:tc>
          <w:tcPr>
            <w:tcW w:w="1361" w:type="dxa"/>
            <w:tcBorders>
              <w:top w:val="nil"/>
              <w:left w:val="nil"/>
              <w:bottom w:val="nil"/>
              <w:right w:val="nil"/>
            </w:tcBorders>
            <w:vAlign w:val="bottom"/>
          </w:tcPr>
          <w:p w14:paraId="4CB0BC73" w14:textId="0C14FF5B" w:rsidR="009F0AF7" w:rsidRPr="001D41EA" w:rsidRDefault="009F0AF7" w:rsidP="001D41EA">
            <w:pPr>
              <w:spacing w:before="40" w:after="40"/>
              <w:jc w:val="right"/>
              <w:rPr>
                <w:rFonts w:cs="Arial"/>
                <w:sz w:val="18"/>
                <w:szCs w:val="18"/>
              </w:rPr>
            </w:pPr>
            <w:r w:rsidRPr="001D41EA">
              <w:rPr>
                <w:rFonts w:cs="Arial"/>
                <w:sz w:val="18"/>
                <w:szCs w:val="18"/>
              </w:rPr>
              <w:t>26,785</w:t>
            </w:r>
          </w:p>
        </w:tc>
        <w:tc>
          <w:tcPr>
            <w:tcW w:w="1361" w:type="dxa"/>
            <w:tcBorders>
              <w:top w:val="nil"/>
              <w:left w:val="nil"/>
              <w:bottom w:val="nil"/>
              <w:right w:val="nil"/>
            </w:tcBorders>
            <w:shd w:val="clear" w:color="auto" w:fill="auto"/>
            <w:vAlign w:val="bottom"/>
          </w:tcPr>
          <w:p w14:paraId="333A734D" w14:textId="1C9508D2" w:rsidR="009F0AF7" w:rsidRPr="001D41EA" w:rsidRDefault="009F0AF7" w:rsidP="001D41EA">
            <w:pPr>
              <w:spacing w:before="40" w:after="40"/>
              <w:jc w:val="right"/>
              <w:rPr>
                <w:rFonts w:cs="Arial"/>
                <w:b/>
                <w:sz w:val="18"/>
                <w:szCs w:val="18"/>
              </w:rPr>
            </w:pPr>
            <w:r w:rsidRPr="001D41EA">
              <w:rPr>
                <w:rFonts w:cs="Arial"/>
                <w:b/>
                <w:sz w:val="18"/>
                <w:szCs w:val="18"/>
              </w:rPr>
              <w:t>1,614,705</w:t>
            </w:r>
          </w:p>
        </w:tc>
      </w:tr>
      <w:tr w:rsidR="009F0AF7" w:rsidRPr="001D41EA" w14:paraId="6FB15114"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C887620" w14:textId="77777777" w:rsidR="009F0AF7" w:rsidRPr="001D41EA" w:rsidRDefault="009F0AF7" w:rsidP="001D41EA">
            <w:pPr>
              <w:spacing w:before="40" w:after="40"/>
              <w:rPr>
                <w:rFonts w:cs="Arial"/>
                <w:sz w:val="18"/>
                <w:szCs w:val="18"/>
              </w:rPr>
            </w:pPr>
            <w:r w:rsidRPr="001D41EA">
              <w:rPr>
                <w:rFonts w:cs="Arial"/>
                <w:sz w:val="18"/>
                <w:szCs w:val="18"/>
              </w:rPr>
              <w:t>Colac Otway S</w:t>
            </w:r>
          </w:p>
        </w:tc>
        <w:tc>
          <w:tcPr>
            <w:tcW w:w="1361" w:type="dxa"/>
            <w:tcBorders>
              <w:top w:val="nil"/>
              <w:left w:val="single" w:sz="18" w:space="0" w:color="5F497A" w:themeColor="accent4" w:themeShade="BF"/>
              <w:bottom w:val="nil"/>
              <w:right w:val="nil"/>
            </w:tcBorders>
            <w:shd w:val="clear" w:color="auto" w:fill="auto"/>
            <w:vAlign w:val="bottom"/>
          </w:tcPr>
          <w:p w14:paraId="5A28838A" w14:textId="1C803410" w:rsidR="009F0AF7" w:rsidRPr="001D41EA" w:rsidRDefault="009F0AF7" w:rsidP="001D41EA">
            <w:pPr>
              <w:spacing w:before="40" w:after="40"/>
              <w:jc w:val="right"/>
              <w:rPr>
                <w:rFonts w:cs="Arial"/>
                <w:sz w:val="18"/>
                <w:szCs w:val="18"/>
              </w:rPr>
            </w:pPr>
            <w:r w:rsidRPr="001D41EA">
              <w:rPr>
                <w:rFonts w:cs="Arial"/>
                <w:sz w:val="18"/>
                <w:szCs w:val="18"/>
              </w:rPr>
              <w:t>191,009</w:t>
            </w:r>
          </w:p>
        </w:tc>
        <w:tc>
          <w:tcPr>
            <w:tcW w:w="1361" w:type="dxa"/>
            <w:tcBorders>
              <w:top w:val="nil"/>
              <w:left w:val="nil"/>
              <w:bottom w:val="nil"/>
              <w:right w:val="nil"/>
            </w:tcBorders>
            <w:shd w:val="clear" w:color="auto" w:fill="auto"/>
            <w:vAlign w:val="bottom"/>
          </w:tcPr>
          <w:p w14:paraId="5F4B1DC5" w14:textId="7D5A0022" w:rsidR="009F0AF7" w:rsidRPr="001D41EA" w:rsidRDefault="009F0AF7" w:rsidP="001D41EA">
            <w:pPr>
              <w:spacing w:before="40" w:after="40"/>
              <w:jc w:val="right"/>
              <w:rPr>
                <w:rFonts w:cs="Arial"/>
                <w:sz w:val="18"/>
                <w:szCs w:val="18"/>
              </w:rPr>
            </w:pPr>
            <w:r w:rsidRPr="001D41EA">
              <w:rPr>
                <w:rFonts w:cs="Arial"/>
                <w:sz w:val="18"/>
                <w:szCs w:val="18"/>
              </w:rPr>
              <w:t>23,902</w:t>
            </w:r>
          </w:p>
        </w:tc>
        <w:tc>
          <w:tcPr>
            <w:tcW w:w="1361" w:type="dxa"/>
            <w:tcBorders>
              <w:top w:val="nil"/>
              <w:left w:val="nil"/>
              <w:bottom w:val="nil"/>
              <w:right w:val="nil"/>
            </w:tcBorders>
            <w:vAlign w:val="bottom"/>
          </w:tcPr>
          <w:p w14:paraId="5FC20A32" w14:textId="00C40CA5" w:rsidR="009F0AF7" w:rsidRPr="001D41EA" w:rsidRDefault="009F0AF7" w:rsidP="001D41EA">
            <w:pPr>
              <w:spacing w:before="40" w:after="40"/>
              <w:jc w:val="right"/>
              <w:rPr>
                <w:rFonts w:cs="Arial"/>
                <w:sz w:val="18"/>
                <w:szCs w:val="18"/>
              </w:rPr>
            </w:pPr>
            <w:r w:rsidRPr="001D41EA">
              <w:rPr>
                <w:rFonts w:cs="Arial"/>
                <w:sz w:val="18"/>
                <w:szCs w:val="18"/>
              </w:rPr>
              <w:t>914,748</w:t>
            </w:r>
          </w:p>
        </w:tc>
        <w:tc>
          <w:tcPr>
            <w:tcW w:w="1361" w:type="dxa"/>
            <w:tcBorders>
              <w:top w:val="nil"/>
              <w:left w:val="nil"/>
              <w:bottom w:val="nil"/>
              <w:right w:val="nil"/>
            </w:tcBorders>
            <w:vAlign w:val="bottom"/>
          </w:tcPr>
          <w:p w14:paraId="320E1521" w14:textId="7C25C5D1" w:rsidR="009F0AF7" w:rsidRPr="001D41EA" w:rsidRDefault="009F0AF7" w:rsidP="001D41EA">
            <w:pPr>
              <w:spacing w:before="40" w:after="40"/>
              <w:jc w:val="right"/>
              <w:rPr>
                <w:rFonts w:cs="Arial"/>
                <w:sz w:val="18"/>
                <w:szCs w:val="18"/>
              </w:rPr>
            </w:pPr>
            <w:r w:rsidRPr="001D41EA">
              <w:rPr>
                <w:rFonts w:cs="Arial"/>
                <w:sz w:val="18"/>
                <w:szCs w:val="18"/>
              </w:rPr>
              <w:t>43,603</w:t>
            </w:r>
          </w:p>
        </w:tc>
        <w:tc>
          <w:tcPr>
            <w:tcW w:w="1361" w:type="dxa"/>
            <w:tcBorders>
              <w:top w:val="nil"/>
              <w:left w:val="nil"/>
              <w:bottom w:val="nil"/>
              <w:right w:val="nil"/>
            </w:tcBorders>
            <w:shd w:val="clear" w:color="auto" w:fill="auto"/>
            <w:vAlign w:val="bottom"/>
          </w:tcPr>
          <w:p w14:paraId="614D5B38" w14:textId="5022E5C0" w:rsidR="009F0AF7" w:rsidRPr="001D41EA" w:rsidRDefault="009F0AF7" w:rsidP="001D41EA">
            <w:pPr>
              <w:spacing w:before="40" w:after="40"/>
              <w:jc w:val="right"/>
              <w:rPr>
                <w:rFonts w:cs="Arial"/>
                <w:b/>
                <w:sz w:val="18"/>
                <w:szCs w:val="18"/>
              </w:rPr>
            </w:pPr>
            <w:r w:rsidRPr="001D41EA">
              <w:rPr>
                <w:rFonts w:cs="Arial"/>
                <w:b/>
                <w:sz w:val="18"/>
                <w:szCs w:val="18"/>
              </w:rPr>
              <w:t>2,829,807</w:t>
            </w:r>
          </w:p>
        </w:tc>
      </w:tr>
      <w:tr w:rsidR="009F0AF7" w:rsidRPr="001D41EA" w14:paraId="2164A39A"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0804F06" w14:textId="77777777" w:rsidR="009F0AF7" w:rsidRPr="001D41EA" w:rsidRDefault="009F0AF7" w:rsidP="001D41EA">
            <w:pPr>
              <w:spacing w:before="40" w:after="40"/>
              <w:rPr>
                <w:rFonts w:cs="Arial"/>
                <w:sz w:val="18"/>
                <w:szCs w:val="18"/>
              </w:rPr>
            </w:pPr>
            <w:r w:rsidRPr="001D41EA">
              <w:rPr>
                <w:rFonts w:cs="Arial"/>
                <w:sz w:val="18"/>
                <w:szCs w:val="18"/>
              </w:rPr>
              <w:t>Corangamite S</w:t>
            </w:r>
          </w:p>
        </w:tc>
        <w:tc>
          <w:tcPr>
            <w:tcW w:w="1361" w:type="dxa"/>
            <w:tcBorders>
              <w:top w:val="nil"/>
              <w:left w:val="single" w:sz="18" w:space="0" w:color="5F497A" w:themeColor="accent4" w:themeShade="BF"/>
              <w:bottom w:val="nil"/>
              <w:right w:val="nil"/>
            </w:tcBorders>
            <w:shd w:val="clear" w:color="auto" w:fill="auto"/>
            <w:vAlign w:val="bottom"/>
          </w:tcPr>
          <w:p w14:paraId="55645C3D" w14:textId="65D4E1AC" w:rsidR="009F0AF7" w:rsidRPr="001D41EA" w:rsidRDefault="009F0AF7" w:rsidP="001D41EA">
            <w:pPr>
              <w:spacing w:before="40" w:after="40"/>
              <w:jc w:val="right"/>
              <w:rPr>
                <w:rFonts w:cs="Arial"/>
                <w:sz w:val="18"/>
                <w:szCs w:val="18"/>
              </w:rPr>
            </w:pPr>
            <w:r w:rsidRPr="001D41EA">
              <w:rPr>
                <w:rFonts w:cs="Arial"/>
                <w:sz w:val="18"/>
                <w:szCs w:val="18"/>
              </w:rPr>
              <w:t>134,388</w:t>
            </w:r>
          </w:p>
        </w:tc>
        <w:tc>
          <w:tcPr>
            <w:tcW w:w="1361" w:type="dxa"/>
            <w:tcBorders>
              <w:top w:val="nil"/>
              <w:left w:val="nil"/>
              <w:bottom w:val="nil"/>
              <w:right w:val="nil"/>
            </w:tcBorders>
            <w:shd w:val="clear" w:color="auto" w:fill="auto"/>
            <w:vAlign w:val="bottom"/>
          </w:tcPr>
          <w:p w14:paraId="06337FCF" w14:textId="32E2650B" w:rsidR="009F0AF7" w:rsidRPr="001D41EA" w:rsidRDefault="009F0AF7" w:rsidP="001D41EA">
            <w:pPr>
              <w:spacing w:before="40" w:after="40"/>
              <w:jc w:val="right"/>
              <w:rPr>
                <w:rFonts w:cs="Arial"/>
                <w:sz w:val="18"/>
                <w:szCs w:val="18"/>
              </w:rPr>
            </w:pPr>
            <w:r w:rsidRPr="001D41EA">
              <w:rPr>
                <w:rFonts w:cs="Arial"/>
                <w:sz w:val="18"/>
                <w:szCs w:val="18"/>
              </w:rPr>
              <w:t>17,941</w:t>
            </w:r>
          </w:p>
        </w:tc>
        <w:tc>
          <w:tcPr>
            <w:tcW w:w="1361" w:type="dxa"/>
            <w:tcBorders>
              <w:top w:val="nil"/>
              <w:left w:val="nil"/>
              <w:bottom w:val="nil"/>
              <w:right w:val="nil"/>
            </w:tcBorders>
            <w:vAlign w:val="bottom"/>
          </w:tcPr>
          <w:p w14:paraId="00BAD982" w14:textId="324B1D81" w:rsidR="009F0AF7" w:rsidRPr="001D41EA" w:rsidRDefault="009F0AF7" w:rsidP="001D41EA">
            <w:pPr>
              <w:spacing w:before="40" w:after="40"/>
              <w:jc w:val="right"/>
              <w:rPr>
                <w:rFonts w:cs="Arial"/>
                <w:sz w:val="18"/>
                <w:szCs w:val="18"/>
              </w:rPr>
            </w:pPr>
            <w:r w:rsidRPr="001D41EA">
              <w:rPr>
                <w:rFonts w:cs="Arial"/>
                <w:sz w:val="18"/>
                <w:szCs w:val="18"/>
              </w:rPr>
              <w:t>573,381</w:t>
            </w:r>
          </w:p>
        </w:tc>
        <w:tc>
          <w:tcPr>
            <w:tcW w:w="1361" w:type="dxa"/>
            <w:tcBorders>
              <w:top w:val="nil"/>
              <w:left w:val="nil"/>
              <w:bottom w:val="nil"/>
              <w:right w:val="nil"/>
            </w:tcBorders>
            <w:vAlign w:val="bottom"/>
          </w:tcPr>
          <w:p w14:paraId="1B36F146" w14:textId="06B7B4C9" w:rsidR="009F0AF7" w:rsidRPr="001D41EA" w:rsidRDefault="009F0AF7" w:rsidP="001D41EA">
            <w:pPr>
              <w:spacing w:before="40" w:after="40"/>
              <w:jc w:val="right"/>
              <w:rPr>
                <w:rFonts w:cs="Arial"/>
                <w:sz w:val="18"/>
                <w:szCs w:val="18"/>
              </w:rPr>
            </w:pPr>
            <w:r w:rsidRPr="001D41EA">
              <w:rPr>
                <w:rFonts w:cs="Arial"/>
                <w:sz w:val="18"/>
                <w:szCs w:val="18"/>
              </w:rPr>
              <w:t>32,728</w:t>
            </w:r>
          </w:p>
        </w:tc>
        <w:tc>
          <w:tcPr>
            <w:tcW w:w="1361" w:type="dxa"/>
            <w:tcBorders>
              <w:top w:val="nil"/>
              <w:left w:val="nil"/>
              <w:bottom w:val="nil"/>
              <w:right w:val="nil"/>
            </w:tcBorders>
            <w:shd w:val="clear" w:color="auto" w:fill="auto"/>
            <w:vAlign w:val="bottom"/>
          </w:tcPr>
          <w:p w14:paraId="25D2C1E1" w14:textId="509F2B1B" w:rsidR="009F0AF7" w:rsidRPr="001D41EA" w:rsidRDefault="009F0AF7" w:rsidP="001D41EA">
            <w:pPr>
              <w:spacing w:before="40" w:after="40"/>
              <w:jc w:val="right"/>
              <w:rPr>
                <w:rFonts w:cs="Arial"/>
                <w:b/>
                <w:sz w:val="18"/>
                <w:szCs w:val="18"/>
              </w:rPr>
            </w:pPr>
            <w:r w:rsidRPr="001D41EA">
              <w:rPr>
                <w:rFonts w:cs="Arial"/>
                <w:b/>
                <w:sz w:val="18"/>
                <w:szCs w:val="18"/>
              </w:rPr>
              <w:t>1,970,907</w:t>
            </w:r>
          </w:p>
        </w:tc>
      </w:tr>
      <w:tr w:rsidR="009F0AF7" w:rsidRPr="001D41EA" w14:paraId="343FDE6A"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CE51863" w14:textId="77777777" w:rsidR="009F0AF7" w:rsidRPr="001D41EA" w:rsidRDefault="009F0AF7" w:rsidP="001D41EA">
            <w:pPr>
              <w:spacing w:before="40" w:after="40"/>
              <w:rPr>
                <w:rFonts w:cs="Arial"/>
                <w:sz w:val="18"/>
                <w:szCs w:val="18"/>
              </w:rPr>
            </w:pPr>
            <w:r w:rsidRPr="001D41EA">
              <w:rPr>
                <w:rFonts w:cs="Arial"/>
                <w:sz w:val="18"/>
                <w:szCs w:val="18"/>
              </w:rPr>
              <w:t>Darebin C</w:t>
            </w:r>
          </w:p>
        </w:tc>
        <w:tc>
          <w:tcPr>
            <w:tcW w:w="1361" w:type="dxa"/>
            <w:tcBorders>
              <w:top w:val="nil"/>
              <w:left w:val="single" w:sz="18" w:space="0" w:color="5F497A" w:themeColor="accent4" w:themeShade="BF"/>
              <w:bottom w:val="nil"/>
              <w:right w:val="nil"/>
            </w:tcBorders>
            <w:shd w:val="clear" w:color="auto" w:fill="auto"/>
            <w:vAlign w:val="bottom"/>
          </w:tcPr>
          <w:p w14:paraId="6BE54A18" w14:textId="05458B78" w:rsidR="009F0AF7" w:rsidRPr="001D41EA" w:rsidRDefault="009F0AF7" w:rsidP="001D41EA">
            <w:pPr>
              <w:spacing w:before="40" w:after="40"/>
              <w:jc w:val="right"/>
              <w:rPr>
                <w:rFonts w:cs="Arial"/>
                <w:sz w:val="18"/>
                <w:szCs w:val="18"/>
              </w:rPr>
            </w:pPr>
            <w:r w:rsidRPr="001D41EA">
              <w:rPr>
                <w:rFonts w:cs="Arial"/>
                <w:sz w:val="18"/>
                <w:szCs w:val="18"/>
              </w:rPr>
              <w:t>1,587,219</w:t>
            </w:r>
          </w:p>
        </w:tc>
        <w:tc>
          <w:tcPr>
            <w:tcW w:w="1361" w:type="dxa"/>
            <w:tcBorders>
              <w:top w:val="nil"/>
              <w:left w:val="nil"/>
              <w:bottom w:val="nil"/>
              <w:right w:val="nil"/>
            </w:tcBorders>
            <w:shd w:val="clear" w:color="auto" w:fill="auto"/>
            <w:vAlign w:val="bottom"/>
          </w:tcPr>
          <w:p w14:paraId="56585EC9" w14:textId="58043A35" w:rsidR="009F0AF7" w:rsidRPr="001D41EA" w:rsidRDefault="009F0AF7" w:rsidP="001D41EA">
            <w:pPr>
              <w:spacing w:before="40" w:after="40"/>
              <w:jc w:val="right"/>
              <w:rPr>
                <w:rFonts w:cs="Arial"/>
                <w:sz w:val="18"/>
                <w:szCs w:val="18"/>
              </w:rPr>
            </w:pPr>
            <w:r w:rsidRPr="001D41EA">
              <w:rPr>
                <w:rFonts w:cs="Arial"/>
                <w:sz w:val="18"/>
                <w:szCs w:val="18"/>
              </w:rPr>
              <w:t>179,643</w:t>
            </w:r>
          </w:p>
        </w:tc>
        <w:tc>
          <w:tcPr>
            <w:tcW w:w="1361" w:type="dxa"/>
            <w:tcBorders>
              <w:top w:val="nil"/>
              <w:left w:val="nil"/>
              <w:bottom w:val="nil"/>
              <w:right w:val="nil"/>
            </w:tcBorders>
            <w:vAlign w:val="bottom"/>
          </w:tcPr>
          <w:p w14:paraId="17392202" w14:textId="3539E543" w:rsidR="009F0AF7" w:rsidRPr="001D41EA" w:rsidRDefault="009F0AF7" w:rsidP="001D41EA">
            <w:pPr>
              <w:spacing w:before="40" w:after="40"/>
              <w:jc w:val="right"/>
              <w:rPr>
                <w:rFonts w:cs="Arial"/>
                <w:sz w:val="18"/>
                <w:szCs w:val="18"/>
              </w:rPr>
            </w:pPr>
            <w:r w:rsidRPr="001D41EA">
              <w:rPr>
                <w:rFonts w:cs="Arial"/>
                <w:sz w:val="18"/>
                <w:szCs w:val="18"/>
              </w:rPr>
              <w:t>5,650,815</w:t>
            </w:r>
          </w:p>
        </w:tc>
        <w:tc>
          <w:tcPr>
            <w:tcW w:w="1361" w:type="dxa"/>
            <w:tcBorders>
              <w:top w:val="nil"/>
              <w:left w:val="nil"/>
              <w:bottom w:val="nil"/>
              <w:right w:val="nil"/>
            </w:tcBorders>
            <w:vAlign w:val="bottom"/>
          </w:tcPr>
          <w:p w14:paraId="05DA6A2A" w14:textId="091D054C" w:rsidR="009F0AF7" w:rsidRPr="001D41EA" w:rsidRDefault="009F0AF7" w:rsidP="001D41EA">
            <w:pPr>
              <w:spacing w:before="40" w:after="40"/>
              <w:jc w:val="right"/>
              <w:rPr>
                <w:rFonts w:cs="Arial"/>
                <w:sz w:val="18"/>
                <w:szCs w:val="18"/>
              </w:rPr>
            </w:pPr>
            <w:r w:rsidRPr="001D41EA">
              <w:rPr>
                <w:rFonts w:cs="Arial"/>
                <w:sz w:val="18"/>
                <w:szCs w:val="18"/>
              </w:rPr>
              <w:t>327,703</w:t>
            </w:r>
          </w:p>
        </w:tc>
        <w:tc>
          <w:tcPr>
            <w:tcW w:w="1361" w:type="dxa"/>
            <w:tcBorders>
              <w:top w:val="nil"/>
              <w:left w:val="nil"/>
              <w:bottom w:val="nil"/>
              <w:right w:val="nil"/>
            </w:tcBorders>
            <w:shd w:val="clear" w:color="auto" w:fill="auto"/>
            <w:vAlign w:val="bottom"/>
          </w:tcPr>
          <w:p w14:paraId="27279305" w14:textId="3960F2CD" w:rsidR="009F0AF7" w:rsidRPr="001D41EA" w:rsidRDefault="009F0AF7" w:rsidP="001D41EA">
            <w:pPr>
              <w:spacing w:before="40" w:after="40"/>
              <w:jc w:val="right"/>
              <w:rPr>
                <w:rFonts w:cs="Arial"/>
                <w:b/>
                <w:sz w:val="18"/>
                <w:szCs w:val="18"/>
              </w:rPr>
            </w:pPr>
            <w:r w:rsidRPr="001D41EA">
              <w:rPr>
                <w:rFonts w:cs="Arial"/>
                <w:b/>
                <w:sz w:val="18"/>
                <w:szCs w:val="18"/>
              </w:rPr>
              <w:t>19,066,640</w:t>
            </w:r>
          </w:p>
        </w:tc>
      </w:tr>
      <w:tr w:rsidR="009F0AF7" w:rsidRPr="001D41EA" w14:paraId="20686155"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14459CF" w14:textId="77777777" w:rsidR="009F0AF7" w:rsidRPr="001D41EA" w:rsidRDefault="009F0AF7" w:rsidP="001D41EA">
            <w:pPr>
              <w:spacing w:before="40" w:after="40"/>
              <w:rPr>
                <w:rFonts w:cs="Arial"/>
                <w:sz w:val="18"/>
                <w:szCs w:val="18"/>
              </w:rPr>
            </w:pPr>
            <w:r w:rsidRPr="001D41EA">
              <w:rPr>
                <w:rFonts w:cs="Arial"/>
                <w:sz w:val="18"/>
                <w:szCs w:val="18"/>
              </w:rPr>
              <w:t>East Gippsland S</w:t>
            </w:r>
          </w:p>
        </w:tc>
        <w:tc>
          <w:tcPr>
            <w:tcW w:w="1361" w:type="dxa"/>
            <w:tcBorders>
              <w:top w:val="nil"/>
              <w:left w:val="single" w:sz="18" w:space="0" w:color="5F497A" w:themeColor="accent4" w:themeShade="BF"/>
              <w:bottom w:val="nil"/>
              <w:right w:val="nil"/>
            </w:tcBorders>
            <w:shd w:val="clear" w:color="auto" w:fill="auto"/>
            <w:vAlign w:val="bottom"/>
          </w:tcPr>
          <w:p w14:paraId="063610C0" w14:textId="574F732B" w:rsidR="009F0AF7" w:rsidRPr="001D41EA" w:rsidRDefault="009F0AF7" w:rsidP="001D41EA">
            <w:pPr>
              <w:spacing w:before="40" w:after="40"/>
              <w:jc w:val="right"/>
              <w:rPr>
                <w:rFonts w:cs="Arial"/>
                <w:sz w:val="18"/>
                <w:szCs w:val="18"/>
              </w:rPr>
            </w:pPr>
            <w:r w:rsidRPr="001D41EA">
              <w:rPr>
                <w:rFonts w:cs="Arial"/>
                <w:sz w:val="18"/>
                <w:szCs w:val="18"/>
              </w:rPr>
              <w:t>487,236</w:t>
            </w:r>
          </w:p>
        </w:tc>
        <w:tc>
          <w:tcPr>
            <w:tcW w:w="1361" w:type="dxa"/>
            <w:tcBorders>
              <w:top w:val="nil"/>
              <w:left w:val="nil"/>
              <w:bottom w:val="nil"/>
              <w:right w:val="nil"/>
            </w:tcBorders>
            <w:shd w:val="clear" w:color="auto" w:fill="auto"/>
            <w:vAlign w:val="bottom"/>
          </w:tcPr>
          <w:p w14:paraId="632D5237" w14:textId="1E022A84" w:rsidR="009F0AF7" w:rsidRPr="001D41EA" w:rsidRDefault="009F0AF7" w:rsidP="001D41EA">
            <w:pPr>
              <w:spacing w:before="40" w:after="40"/>
              <w:jc w:val="right"/>
              <w:rPr>
                <w:rFonts w:cs="Arial"/>
                <w:sz w:val="18"/>
                <w:szCs w:val="18"/>
              </w:rPr>
            </w:pPr>
            <w:r w:rsidRPr="001D41EA">
              <w:rPr>
                <w:rFonts w:cs="Arial"/>
                <w:sz w:val="18"/>
                <w:szCs w:val="18"/>
              </w:rPr>
              <w:t>52,042</w:t>
            </w:r>
          </w:p>
        </w:tc>
        <w:tc>
          <w:tcPr>
            <w:tcW w:w="1361" w:type="dxa"/>
            <w:tcBorders>
              <w:top w:val="nil"/>
              <w:left w:val="nil"/>
              <w:bottom w:val="nil"/>
              <w:right w:val="nil"/>
            </w:tcBorders>
            <w:vAlign w:val="bottom"/>
          </w:tcPr>
          <w:p w14:paraId="5CB7F839" w14:textId="5425C106" w:rsidR="009F0AF7" w:rsidRPr="001D41EA" w:rsidRDefault="009F0AF7" w:rsidP="001D41EA">
            <w:pPr>
              <w:spacing w:before="40" w:after="40"/>
              <w:jc w:val="right"/>
              <w:rPr>
                <w:rFonts w:cs="Arial"/>
                <w:sz w:val="18"/>
                <w:szCs w:val="18"/>
              </w:rPr>
            </w:pPr>
            <w:r w:rsidRPr="001D41EA">
              <w:rPr>
                <w:rFonts w:cs="Arial"/>
                <w:sz w:val="18"/>
                <w:szCs w:val="18"/>
              </w:rPr>
              <w:t>1,838,710</w:t>
            </w:r>
          </w:p>
        </w:tc>
        <w:tc>
          <w:tcPr>
            <w:tcW w:w="1361" w:type="dxa"/>
            <w:tcBorders>
              <w:top w:val="nil"/>
              <w:left w:val="nil"/>
              <w:bottom w:val="nil"/>
              <w:right w:val="nil"/>
            </w:tcBorders>
            <w:vAlign w:val="bottom"/>
          </w:tcPr>
          <w:p w14:paraId="18BA804C" w14:textId="476AF06D" w:rsidR="009F0AF7" w:rsidRPr="001D41EA" w:rsidRDefault="009F0AF7" w:rsidP="001D41EA">
            <w:pPr>
              <w:spacing w:before="40" w:after="40"/>
              <w:jc w:val="right"/>
              <w:rPr>
                <w:rFonts w:cs="Arial"/>
                <w:sz w:val="18"/>
                <w:szCs w:val="18"/>
              </w:rPr>
            </w:pPr>
            <w:r w:rsidRPr="001D41EA">
              <w:rPr>
                <w:rFonts w:cs="Arial"/>
                <w:sz w:val="18"/>
                <w:szCs w:val="18"/>
              </w:rPr>
              <w:t>94,935</w:t>
            </w:r>
          </w:p>
        </w:tc>
        <w:tc>
          <w:tcPr>
            <w:tcW w:w="1361" w:type="dxa"/>
            <w:tcBorders>
              <w:top w:val="nil"/>
              <w:left w:val="nil"/>
              <w:bottom w:val="nil"/>
              <w:right w:val="nil"/>
            </w:tcBorders>
            <w:shd w:val="clear" w:color="auto" w:fill="auto"/>
            <w:vAlign w:val="bottom"/>
          </w:tcPr>
          <w:p w14:paraId="45D89211" w14:textId="6C9658FE" w:rsidR="009F0AF7" w:rsidRPr="001D41EA" w:rsidRDefault="009F0AF7" w:rsidP="001D41EA">
            <w:pPr>
              <w:spacing w:before="40" w:after="40"/>
              <w:jc w:val="right"/>
              <w:rPr>
                <w:rFonts w:cs="Arial"/>
                <w:b/>
                <w:sz w:val="18"/>
                <w:szCs w:val="18"/>
              </w:rPr>
            </w:pPr>
            <w:r w:rsidRPr="001D41EA">
              <w:rPr>
                <w:rFonts w:cs="Arial"/>
                <w:b/>
                <w:sz w:val="18"/>
                <w:szCs w:val="18"/>
              </w:rPr>
              <w:t>6,151,497</w:t>
            </w:r>
          </w:p>
        </w:tc>
      </w:tr>
      <w:tr w:rsidR="009F0AF7" w:rsidRPr="001D41EA" w14:paraId="6B1234CE"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F6AB479" w14:textId="77777777" w:rsidR="009F0AF7" w:rsidRPr="001D41EA" w:rsidRDefault="009F0AF7" w:rsidP="001D41EA">
            <w:pPr>
              <w:spacing w:before="40" w:after="40"/>
              <w:rPr>
                <w:rFonts w:cs="Arial"/>
                <w:sz w:val="18"/>
                <w:szCs w:val="18"/>
              </w:rPr>
            </w:pPr>
            <w:r w:rsidRPr="001D41EA">
              <w:rPr>
                <w:rFonts w:cs="Arial"/>
                <w:sz w:val="18"/>
                <w:szCs w:val="18"/>
              </w:rPr>
              <w:t>Frankston C</w:t>
            </w:r>
          </w:p>
        </w:tc>
        <w:tc>
          <w:tcPr>
            <w:tcW w:w="1361" w:type="dxa"/>
            <w:tcBorders>
              <w:top w:val="nil"/>
              <w:left w:val="single" w:sz="18" w:space="0" w:color="5F497A" w:themeColor="accent4" w:themeShade="BF"/>
              <w:bottom w:val="nil"/>
              <w:right w:val="nil"/>
            </w:tcBorders>
            <w:shd w:val="clear" w:color="auto" w:fill="auto"/>
            <w:vAlign w:val="bottom"/>
          </w:tcPr>
          <w:p w14:paraId="1B9A6172" w14:textId="5EE0E87B" w:rsidR="009F0AF7" w:rsidRPr="001D41EA" w:rsidRDefault="009F0AF7" w:rsidP="001D41EA">
            <w:pPr>
              <w:spacing w:before="40" w:after="40"/>
              <w:jc w:val="right"/>
              <w:rPr>
                <w:rFonts w:cs="Arial"/>
                <w:sz w:val="18"/>
                <w:szCs w:val="18"/>
              </w:rPr>
            </w:pPr>
            <w:r w:rsidRPr="001D41EA">
              <w:rPr>
                <w:rFonts w:cs="Arial"/>
                <w:sz w:val="18"/>
                <w:szCs w:val="18"/>
              </w:rPr>
              <w:t>1,373,370</w:t>
            </w:r>
          </w:p>
        </w:tc>
        <w:tc>
          <w:tcPr>
            <w:tcW w:w="1361" w:type="dxa"/>
            <w:tcBorders>
              <w:top w:val="nil"/>
              <w:left w:val="nil"/>
              <w:bottom w:val="nil"/>
              <w:right w:val="nil"/>
            </w:tcBorders>
            <w:shd w:val="clear" w:color="auto" w:fill="auto"/>
            <w:vAlign w:val="bottom"/>
          </w:tcPr>
          <w:p w14:paraId="0C9923F1" w14:textId="75439936" w:rsidR="009F0AF7" w:rsidRPr="001D41EA" w:rsidRDefault="009F0AF7" w:rsidP="001D41EA">
            <w:pPr>
              <w:spacing w:before="40" w:after="40"/>
              <w:jc w:val="right"/>
              <w:rPr>
                <w:rFonts w:cs="Arial"/>
                <w:sz w:val="18"/>
                <w:szCs w:val="18"/>
              </w:rPr>
            </w:pPr>
            <w:r w:rsidRPr="001D41EA">
              <w:rPr>
                <w:rFonts w:cs="Arial"/>
                <w:sz w:val="18"/>
                <w:szCs w:val="18"/>
              </w:rPr>
              <w:t>157,673</w:t>
            </w:r>
          </w:p>
        </w:tc>
        <w:tc>
          <w:tcPr>
            <w:tcW w:w="1361" w:type="dxa"/>
            <w:tcBorders>
              <w:top w:val="nil"/>
              <w:left w:val="nil"/>
              <w:bottom w:val="nil"/>
              <w:right w:val="nil"/>
            </w:tcBorders>
            <w:vAlign w:val="bottom"/>
          </w:tcPr>
          <w:p w14:paraId="6A0479A3" w14:textId="3D59A75A" w:rsidR="009F0AF7" w:rsidRPr="001D41EA" w:rsidRDefault="009F0AF7" w:rsidP="001D41EA">
            <w:pPr>
              <w:spacing w:before="40" w:after="40"/>
              <w:jc w:val="right"/>
              <w:rPr>
                <w:rFonts w:cs="Arial"/>
                <w:sz w:val="18"/>
                <w:szCs w:val="18"/>
              </w:rPr>
            </w:pPr>
            <w:r w:rsidRPr="001D41EA">
              <w:rPr>
                <w:rFonts w:cs="Arial"/>
                <w:sz w:val="18"/>
                <w:szCs w:val="18"/>
              </w:rPr>
              <w:t>4,758,303</w:t>
            </w:r>
          </w:p>
        </w:tc>
        <w:tc>
          <w:tcPr>
            <w:tcW w:w="1361" w:type="dxa"/>
            <w:tcBorders>
              <w:top w:val="nil"/>
              <w:left w:val="nil"/>
              <w:bottom w:val="nil"/>
              <w:right w:val="nil"/>
            </w:tcBorders>
            <w:vAlign w:val="bottom"/>
          </w:tcPr>
          <w:p w14:paraId="48BB5F0C" w14:textId="3375EF8D" w:rsidR="009F0AF7" w:rsidRPr="001D41EA" w:rsidRDefault="009F0AF7" w:rsidP="001D41EA">
            <w:pPr>
              <w:spacing w:before="40" w:after="40"/>
              <w:jc w:val="right"/>
              <w:rPr>
                <w:rFonts w:cs="Arial"/>
                <w:sz w:val="18"/>
                <w:szCs w:val="18"/>
              </w:rPr>
            </w:pPr>
            <w:r w:rsidRPr="001D41EA">
              <w:rPr>
                <w:rFonts w:cs="Arial"/>
                <w:sz w:val="18"/>
                <w:szCs w:val="18"/>
              </w:rPr>
              <w:t>287,626</w:t>
            </w:r>
          </w:p>
        </w:tc>
        <w:tc>
          <w:tcPr>
            <w:tcW w:w="1361" w:type="dxa"/>
            <w:tcBorders>
              <w:top w:val="nil"/>
              <w:left w:val="nil"/>
              <w:bottom w:val="nil"/>
              <w:right w:val="nil"/>
            </w:tcBorders>
            <w:shd w:val="clear" w:color="auto" w:fill="auto"/>
            <w:vAlign w:val="bottom"/>
          </w:tcPr>
          <w:p w14:paraId="573A1A5D" w14:textId="4E73D57B" w:rsidR="009F0AF7" w:rsidRPr="001D41EA" w:rsidRDefault="009F0AF7" w:rsidP="001D41EA">
            <w:pPr>
              <w:spacing w:before="40" w:after="40"/>
              <w:jc w:val="right"/>
              <w:rPr>
                <w:rFonts w:cs="Arial"/>
                <w:b/>
                <w:sz w:val="18"/>
                <w:szCs w:val="18"/>
              </w:rPr>
            </w:pPr>
            <w:r w:rsidRPr="001D41EA">
              <w:rPr>
                <w:rFonts w:cs="Arial"/>
                <w:b/>
                <w:sz w:val="18"/>
                <w:szCs w:val="18"/>
              </w:rPr>
              <w:t>16,763,240</w:t>
            </w:r>
          </w:p>
        </w:tc>
      </w:tr>
      <w:tr w:rsidR="009F0AF7" w:rsidRPr="001D41EA" w14:paraId="4CA93C6F"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480A691" w14:textId="77777777" w:rsidR="009F0AF7" w:rsidRPr="001D41EA" w:rsidRDefault="009F0AF7" w:rsidP="001D41EA">
            <w:pPr>
              <w:spacing w:before="40" w:after="40"/>
              <w:rPr>
                <w:rFonts w:cs="Arial"/>
                <w:sz w:val="18"/>
                <w:szCs w:val="18"/>
              </w:rPr>
            </w:pPr>
            <w:r w:rsidRPr="001D41EA">
              <w:rPr>
                <w:rFonts w:cs="Arial"/>
                <w:sz w:val="18"/>
                <w:szCs w:val="18"/>
              </w:rPr>
              <w:t>Gannawarra S</w:t>
            </w:r>
          </w:p>
        </w:tc>
        <w:tc>
          <w:tcPr>
            <w:tcW w:w="1361" w:type="dxa"/>
            <w:tcBorders>
              <w:top w:val="nil"/>
              <w:left w:val="single" w:sz="18" w:space="0" w:color="5F497A" w:themeColor="accent4" w:themeShade="BF"/>
              <w:bottom w:val="nil"/>
              <w:right w:val="nil"/>
            </w:tcBorders>
            <w:shd w:val="clear" w:color="auto" w:fill="auto"/>
            <w:vAlign w:val="bottom"/>
          </w:tcPr>
          <w:p w14:paraId="4682D986" w14:textId="4CD1A0AE" w:rsidR="009F0AF7" w:rsidRPr="001D41EA" w:rsidRDefault="009F0AF7" w:rsidP="001D41EA">
            <w:pPr>
              <w:spacing w:before="40" w:after="40"/>
              <w:jc w:val="right"/>
              <w:rPr>
                <w:rFonts w:cs="Arial"/>
                <w:sz w:val="18"/>
                <w:szCs w:val="18"/>
              </w:rPr>
            </w:pPr>
            <w:r w:rsidRPr="001D41EA">
              <w:rPr>
                <w:rFonts w:cs="Arial"/>
                <w:sz w:val="18"/>
                <w:szCs w:val="18"/>
              </w:rPr>
              <w:t>102,416</w:t>
            </w:r>
          </w:p>
        </w:tc>
        <w:tc>
          <w:tcPr>
            <w:tcW w:w="1361" w:type="dxa"/>
            <w:tcBorders>
              <w:top w:val="nil"/>
              <w:left w:val="nil"/>
              <w:bottom w:val="nil"/>
              <w:right w:val="nil"/>
            </w:tcBorders>
            <w:shd w:val="clear" w:color="auto" w:fill="auto"/>
            <w:vAlign w:val="bottom"/>
          </w:tcPr>
          <w:p w14:paraId="24DFC325" w14:textId="210E1A9D" w:rsidR="009F0AF7" w:rsidRPr="001D41EA" w:rsidRDefault="009F0AF7" w:rsidP="001D41EA">
            <w:pPr>
              <w:spacing w:before="40" w:after="40"/>
              <w:jc w:val="right"/>
              <w:rPr>
                <w:rFonts w:cs="Arial"/>
                <w:sz w:val="18"/>
                <w:szCs w:val="18"/>
              </w:rPr>
            </w:pPr>
            <w:r w:rsidRPr="001D41EA">
              <w:rPr>
                <w:rFonts w:cs="Arial"/>
                <w:sz w:val="18"/>
                <w:szCs w:val="18"/>
              </w:rPr>
              <w:t>11,724</w:t>
            </w:r>
          </w:p>
        </w:tc>
        <w:tc>
          <w:tcPr>
            <w:tcW w:w="1361" w:type="dxa"/>
            <w:tcBorders>
              <w:top w:val="nil"/>
              <w:left w:val="nil"/>
              <w:bottom w:val="nil"/>
              <w:right w:val="nil"/>
            </w:tcBorders>
            <w:vAlign w:val="bottom"/>
          </w:tcPr>
          <w:p w14:paraId="374E37A3" w14:textId="351FC5FD" w:rsidR="009F0AF7" w:rsidRPr="001D41EA" w:rsidRDefault="009F0AF7" w:rsidP="001D41EA">
            <w:pPr>
              <w:spacing w:before="40" w:after="40"/>
              <w:jc w:val="right"/>
              <w:rPr>
                <w:rFonts w:cs="Arial"/>
                <w:sz w:val="18"/>
                <w:szCs w:val="18"/>
              </w:rPr>
            </w:pPr>
            <w:r w:rsidRPr="001D41EA">
              <w:rPr>
                <w:rFonts w:cs="Arial"/>
                <w:sz w:val="18"/>
                <w:szCs w:val="18"/>
              </w:rPr>
              <w:t>340,445</w:t>
            </w:r>
          </w:p>
        </w:tc>
        <w:tc>
          <w:tcPr>
            <w:tcW w:w="1361" w:type="dxa"/>
            <w:tcBorders>
              <w:top w:val="nil"/>
              <w:left w:val="nil"/>
              <w:bottom w:val="nil"/>
              <w:right w:val="nil"/>
            </w:tcBorders>
            <w:vAlign w:val="bottom"/>
          </w:tcPr>
          <w:p w14:paraId="4EB92FD9" w14:textId="1EFB434B" w:rsidR="009F0AF7" w:rsidRPr="001D41EA" w:rsidRDefault="009F0AF7" w:rsidP="001D41EA">
            <w:pPr>
              <w:spacing w:before="40" w:after="40"/>
              <w:jc w:val="right"/>
              <w:rPr>
                <w:rFonts w:cs="Arial"/>
                <w:sz w:val="18"/>
                <w:szCs w:val="18"/>
              </w:rPr>
            </w:pPr>
            <w:r w:rsidRPr="001D41EA">
              <w:rPr>
                <w:rFonts w:cs="Arial"/>
                <w:sz w:val="18"/>
                <w:szCs w:val="18"/>
              </w:rPr>
              <w:t>21,387</w:t>
            </w:r>
          </w:p>
        </w:tc>
        <w:tc>
          <w:tcPr>
            <w:tcW w:w="1361" w:type="dxa"/>
            <w:tcBorders>
              <w:top w:val="nil"/>
              <w:left w:val="nil"/>
              <w:bottom w:val="nil"/>
              <w:right w:val="nil"/>
            </w:tcBorders>
            <w:shd w:val="clear" w:color="auto" w:fill="auto"/>
            <w:vAlign w:val="bottom"/>
          </w:tcPr>
          <w:p w14:paraId="316D642F" w14:textId="2851598E" w:rsidR="009F0AF7" w:rsidRPr="001D41EA" w:rsidRDefault="009F0AF7" w:rsidP="001D41EA">
            <w:pPr>
              <w:spacing w:before="40" w:after="40"/>
              <w:jc w:val="right"/>
              <w:rPr>
                <w:rFonts w:cs="Arial"/>
                <w:b/>
                <w:sz w:val="18"/>
                <w:szCs w:val="18"/>
              </w:rPr>
            </w:pPr>
            <w:r w:rsidRPr="001D41EA">
              <w:rPr>
                <w:rFonts w:cs="Arial"/>
                <w:b/>
                <w:sz w:val="18"/>
                <w:szCs w:val="18"/>
              </w:rPr>
              <w:t>1,285,728</w:t>
            </w:r>
          </w:p>
        </w:tc>
      </w:tr>
      <w:tr w:rsidR="009F0AF7" w:rsidRPr="001D41EA" w14:paraId="1342CDF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380549B" w14:textId="77777777" w:rsidR="009F0AF7" w:rsidRPr="001D41EA" w:rsidRDefault="009F0AF7" w:rsidP="001D41EA">
            <w:pPr>
              <w:spacing w:before="40" w:after="40"/>
              <w:rPr>
                <w:rFonts w:cs="Arial"/>
                <w:sz w:val="18"/>
                <w:szCs w:val="18"/>
              </w:rPr>
            </w:pPr>
            <w:r w:rsidRPr="001D41EA">
              <w:rPr>
                <w:rFonts w:cs="Arial"/>
                <w:sz w:val="18"/>
                <w:szCs w:val="18"/>
              </w:rPr>
              <w:t>Glen Eira C</w:t>
            </w:r>
          </w:p>
        </w:tc>
        <w:tc>
          <w:tcPr>
            <w:tcW w:w="1361" w:type="dxa"/>
            <w:tcBorders>
              <w:top w:val="nil"/>
              <w:left w:val="single" w:sz="18" w:space="0" w:color="5F497A" w:themeColor="accent4" w:themeShade="BF"/>
              <w:bottom w:val="nil"/>
              <w:right w:val="nil"/>
            </w:tcBorders>
            <w:shd w:val="clear" w:color="auto" w:fill="auto"/>
            <w:vAlign w:val="bottom"/>
          </w:tcPr>
          <w:p w14:paraId="3D3A6F76" w14:textId="53E57719" w:rsidR="009F0AF7" w:rsidRPr="001D41EA" w:rsidRDefault="009F0AF7" w:rsidP="001D41EA">
            <w:pPr>
              <w:spacing w:before="40" w:after="40"/>
              <w:jc w:val="right"/>
              <w:rPr>
                <w:rFonts w:cs="Arial"/>
                <w:sz w:val="18"/>
                <w:szCs w:val="18"/>
              </w:rPr>
            </w:pPr>
            <w:r w:rsidRPr="001D41EA">
              <w:rPr>
                <w:rFonts w:cs="Arial"/>
                <w:sz w:val="18"/>
                <w:szCs w:val="18"/>
              </w:rPr>
              <w:t>1,298,005</w:t>
            </w:r>
          </w:p>
        </w:tc>
        <w:tc>
          <w:tcPr>
            <w:tcW w:w="1361" w:type="dxa"/>
            <w:tcBorders>
              <w:top w:val="nil"/>
              <w:left w:val="nil"/>
              <w:bottom w:val="nil"/>
              <w:right w:val="nil"/>
            </w:tcBorders>
            <w:shd w:val="clear" w:color="auto" w:fill="auto"/>
            <w:vAlign w:val="bottom"/>
          </w:tcPr>
          <w:p w14:paraId="05D2E1B4" w14:textId="2516E41C" w:rsidR="009F0AF7" w:rsidRPr="001D41EA" w:rsidRDefault="009F0AF7" w:rsidP="001D41EA">
            <w:pPr>
              <w:spacing w:before="40" w:after="40"/>
              <w:jc w:val="right"/>
              <w:rPr>
                <w:rFonts w:cs="Arial"/>
                <w:sz w:val="18"/>
                <w:szCs w:val="18"/>
              </w:rPr>
            </w:pPr>
            <w:r w:rsidRPr="001D41EA">
              <w:rPr>
                <w:rFonts w:cs="Arial"/>
                <w:sz w:val="18"/>
                <w:szCs w:val="18"/>
              </w:rPr>
              <w:t>171,027</w:t>
            </w:r>
          </w:p>
        </w:tc>
        <w:tc>
          <w:tcPr>
            <w:tcW w:w="1361" w:type="dxa"/>
            <w:tcBorders>
              <w:top w:val="nil"/>
              <w:left w:val="nil"/>
              <w:bottom w:val="nil"/>
              <w:right w:val="nil"/>
            </w:tcBorders>
            <w:vAlign w:val="bottom"/>
          </w:tcPr>
          <w:p w14:paraId="06297615" w14:textId="7A39BA78" w:rsidR="009F0AF7" w:rsidRPr="001D41EA" w:rsidRDefault="009F0AF7" w:rsidP="001D41EA">
            <w:pPr>
              <w:spacing w:before="40" w:after="40"/>
              <w:jc w:val="right"/>
              <w:rPr>
                <w:rFonts w:cs="Arial"/>
                <w:sz w:val="18"/>
                <w:szCs w:val="18"/>
              </w:rPr>
            </w:pPr>
            <w:r w:rsidRPr="001D41EA">
              <w:rPr>
                <w:rFonts w:cs="Arial"/>
                <w:sz w:val="18"/>
                <w:szCs w:val="18"/>
              </w:rPr>
              <w:t>6,060,521</w:t>
            </w:r>
          </w:p>
        </w:tc>
        <w:tc>
          <w:tcPr>
            <w:tcW w:w="1361" w:type="dxa"/>
            <w:tcBorders>
              <w:top w:val="nil"/>
              <w:left w:val="nil"/>
              <w:bottom w:val="nil"/>
              <w:right w:val="nil"/>
            </w:tcBorders>
            <w:vAlign w:val="bottom"/>
          </w:tcPr>
          <w:p w14:paraId="7FA3C63D" w14:textId="13B3858F" w:rsidR="009F0AF7" w:rsidRPr="001D41EA" w:rsidRDefault="009F0AF7" w:rsidP="001D41EA">
            <w:pPr>
              <w:spacing w:before="40" w:after="40"/>
              <w:jc w:val="right"/>
              <w:rPr>
                <w:rFonts w:cs="Arial"/>
                <w:sz w:val="18"/>
                <w:szCs w:val="18"/>
              </w:rPr>
            </w:pPr>
            <w:r w:rsidRPr="001D41EA">
              <w:rPr>
                <w:rFonts w:cs="Arial"/>
                <w:sz w:val="18"/>
                <w:szCs w:val="18"/>
              </w:rPr>
              <w:t>311,986</w:t>
            </w:r>
          </w:p>
        </w:tc>
        <w:tc>
          <w:tcPr>
            <w:tcW w:w="1361" w:type="dxa"/>
            <w:tcBorders>
              <w:top w:val="nil"/>
              <w:left w:val="nil"/>
              <w:bottom w:val="nil"/>
              <w:right w:val="nil"/>
            </w:tcBorders>
            <w:shd w:val="clear" w:color="auto" w:fill="auto"/>
            <w:vAlign w:val="bottom"/>
          </w:tcPr>
          <w:p w14:paraId="48F8FE5B" w14:textId="69176B14" w:rsidR="009F0AF7" w:rsidRPr="001D41EA" w:rsidRDefault="009F0AF7" w:rsidP="001D41EA">
            <w:pPr>
              <w:spacing w:before="40" w:after="40"/>
              <w:jc w:val="right"/>
              <w:rPr>
                <w:rFonts w:cs="Arial"/>
                <w:b/>
                <w:sz w:val="18"/>
                <w:szCs w:val="18"/>
              </w:rPr>
            </w:pPr>
            <w:r w:rsidRPr="001D41EA">
              <w:rPr>
                <w:rFonts w:cs="Arial"/>
                <w:b/>
                <w:sz w:val="18"/>
                <w:szCs w:val="18"/>
              </w:rPr>
              <w:t>19,267,791</w:t>
            </w:r>
          </w:p>
        </w:tc>
      </w:tr>
      <w:tr w:rsidR="009F0AF7" w:rsidRPr="001D41EA" w14:paraId="36A4DCB6"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4E53017" w14:textId="77777777" w:rsidR="009F0AF7" w:rsidRPr="001D41EA" w:rsidRDefault="009F0AF7" w:rsidP="001D41EA">
            <w:pPr>
              <w:spacing w:before="40" w:after="40"/>
              <w:rPr>
                <w:rFonts w:cs="Arial"/>
                <w:sz w:val="18"/>
                <w:szCs w:val="18"/>
              </w:rPr>
            </w:pPr>
            <w:r w:rsidRPr="001D41EA">
              <w:rPr>
                <w:rFonts w:cs="Arial"/>
                <w:sz w:val="18"/>
                <w:szCs w:val="18"/>
              </w:rPr>
              <w:t>Glenelg S</w:t>
            </w:r>
          </w:p>
        </w:tc>
        <w:tc>
          <w:tcPr>
            <w:tcW w:w="1361" w:type="dxa"/>
            <w:tcBorders>
              <w:top w:val="nil"/>
              <w:left w:val="single" w:sz="18" w:space="0" w:color="5F497A" w:themeColor="accent4" w:themeShade="BF"/>
              <w:bottom w:val="nil"/>
              <w:right w:val="nil"/>
            </w:tcBorders>
            <w:shd w:val="clear" w:color="auto" w:fill="auto"/>
            <w:vAlign w:val="bottom"/>
          </w:tcPr>
          <w:p w14:paraId="67729947" w14:textId="4273DDF2" w:rsidR="009F0AF7" w:rsidRPr="001D41EA" w:rsidRDefault="009F0AF7" w:rsidP="001D41EA">
            <w:pPr>
              <w:spacing w:before="40" w:after="40"/>
              <w:jc w:val="right"/>
              <w:rPr>
                <w:rFonts w:cs="Arial"/>
                <w:sz w:val="18"/>
                <w:szCs w:val="18"/>
              </w:rPr>
            </w:pPr>
            <w:r w:rsidRPr="001D41EA">
              <w:rPr>
                <w:rFonts w:cs="Arial"/>
                <w:sz w:val="18"/>
                <w:szCs w:val="18"/>
              </w:rPr>
              <w:t>191,674</w:t>
            </w:r>
          </w:p>
        </w:tc>
        <w:tc>
          <w:tcPr>
            <w:tcW w:w="1361" w:type="dxa"/>
            <w:tcBorders>
              <w:top w:val="nil"/>
              <w:left w:val="nil"/>
              <w:bottom w:val="nil"/>
              <w:right w:val="nil"/>
            </w:tcBorders>
            <w:shd w:val="clear" w:color="auto" w:fill="auto"/>
            <w:vAlign w:val="bottom"/>
          </w:tcPr>
          <w:p w14:paraId="326F181A" w14:textId="7216542B" w:rsidR="009F0AF7" w:rsidRPr="001D41EA" w:rsidRDefault="009F0AF7" w:rsidP="001D41EA">
            <w:pPr>
              <w:spacing w:before="40" w:after="40"/>
              <w:jc w:val="right"/>
              <w:rPr>
                <w:rFonts w:cs="Arial"/>
                <w:sz w:val="18"/>
                <w:szCs w:val="18"/>
              </w:rPr>
            </w:pPr>
            <w:r w:rsidRPr="001D41EA">
              <w:rPr>
                <w:rFonts w:cs="Arial"/>
                <w:sz w:val="18"/>
                <w:szCs w:val="18"/>
              </w:rPr>
              <w:t>21,859</w:t>
            </w:r>
          </w:p>
        </w:tc>
        <w:tc>
          <w:tcPr>
            <w:tcW w:w="1361" w:type="dxa"/>
            <w:tcBorders>
              <w:top w:val="nil"/>
              <w:left w:val="nil"/>
              <w:bottom w:val="nil"/>
              <w:right w:val="nil"/>
            </w:tcBorders>
            <w:vAlign w:val="bottom"/>
          </w:tcPr>
          <w:p w14:paraId="6AFC7915" w14:textId="5DA7EBDB" w:rsidR="009F0AF7" w:rsidRPr="001D41EA" w:rsidRDefault="009F0AF7" w:rsidP="001D41EA">
            <w:pPr>
              <w:spacing w:before="40" w:after="40"/>
              <w:jc w:val="right"/>
              <w:rPr>
                <w:rFonts w:cs="Arial"/>
                <w:sz w:val="18"/>
                <w:szCs w:val="18"/>
              </w:rPr>
            </w:pPr>
            <w:r w:rsidRPr="001D41EA">
              <w:rPr>
                <w:rFonts w:cs="Arial"/>
                <w:sz w:val="18"/>
                <w:szCs w:val="18"/>
              </w:rPr>
              <w:t>668,439</w:t>
            </w:r>
          </w:p>
        </w:tc>
        <w:tc>
          <w:tcPr>
            <w:tcW w:w="1361" w:type="dxa"/>
            <w:tcBorders>
              <w:top w:val="nil"/>
              <w:left w:val="nil"/>
              <w:bottom w:val="nil"/>
              <w:right w:val="nil"/>
            </w:tcBorders>
            <w:vAlign w:val="bottom"/>
          </w:tcPr>
          <w:p w14:paraId="72BDFA16" w14:textId="0E1022AE" w:rsidR="009F0AF7" w:rsidRPr="001D41EA" w:rsidRDefault="009F0AF7" w:rsidP="001D41EA">
            <w:pPr>
              <w:spacing w:before="40" w:after="40"/>
              <w:jc w:val="right"/>
              <w:rPr>
                <w:rFonts w:cs="Arial"/>
                <w:sz w:val="18"/>
                <w:szCs w:val="18"/>
              </w:rPr>
            </w:pPr>
            <w:r w:rsidRPr="001D41EA">
              <w:rPr>
                <w:rFonts w:cs="Arial"/>
                <w:sz w:val="18"/>
                <w:szCs w:val="18"/>
              </w:rPr>
              <w:t>39,876</w:t>
            </w:r>
          </w:p>
        </w:tc>
        <w:tc>
          <w:tcPr>
            <w:tcW w:w="1361" w:type="dxa"/>
            <w:tcBorders>
              <w:top w:val="nil"/>
              <w:left w:val="nil"/>
              <w:bottom w:val="nil"/>
              <w:right w:val="nil"/>
            </w:tcBorders>
            <w:shd w:val="clear" w:color="auto" w:fill="auto"/>
            <w:vAlign w:val="bottom"/>
          </w:tcPr>
          <w:p w14:paraId="7D3007B6" w14:textId="1C0F12D4" w:rsidR="009F0AF7" w:rsidRPr="001D41EA" w:rsidRDefault="009F0AF7" w:rsidP="001D41EA">
            <w:pPr>
              <w:spacing w:before="40" w:after="40"/>
              <w:jc w:val="right"/>
              <w:rPr>
                <w:rFonts w:cs="Arial"/>
                <w:b/>
                <w:sz w:val="18"/>
                <w:szCs w:val="18"/>
              </w:rPr>
            </w:pPr>
            <w:r w:rsidRPr="001D41EA">
              <w:rPr>
                <w:rFonts w:cs="Arial"/>
                <w:b/>
                <w:sz w:val="18"/>
                <w:szCs w:val="18"/>
              </w:rPr>
              <w:t>2,409,433</w:t>
            </w:r>
          </w:p>
        </w:tc>
      </w:tr>
      <w:tr w:rsidR="009F0AF7" w:rsidRPr="001D41EA" w14:paraId="733FAD3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DB3F4E0" w14:textId="77777777" w:rsidR="009F0AF7" w:rsidRPr="001D41EA" w:rsidRDefault="009F0AF7" w:rsidP="001D41EA">
            <w:pPr>
              <w:spacing w:before="40" w:after="40"/>
              <w:rPr>
                <w:rFonts w:cs="Arial"/>
                <w:sz w:val="18"/>
                <w:szCs w:val="18"/>
              </w:rPr>
            </w:pPr>
            <w:r w:rsidRPr="001D41EA">
              <w:rPr>
                <w:rFonts w:cs="Arial"/>
                <w:sz w:val="18"/>
                <w:szCs w:val="18"/>
              </w:rPr>
              <w:t>Golden Plains S</w:t>
            </w:r>
          </w:p>
        </w:tc>
        <w:tc>
          <w:tcPr>
            <w:tcW w:w="1361" w:type="dxa"/>
            <w:tcBorders>
              <w:top w:val="nil"/>
              <w:left w:val="single" w:sz="18" w:space="0" w:color="5F497A" w:themeColor="accent4" w:themeShade="BF"/>
              <w:bottom w:val="nil"/>
              <w:right w:val="nil"/>
            </w:tcBorders>
            <w:shd w:val="clear" w:color="auto" w:fill="auto"/>
            <w:vAlign w:val="bottom"/>
          </w:tcPr>
          <w:p w14:paraId="2BC62F82" w14:textId="0952098A" w:rsidR="009F0AF7" w:rsidRPr="001D41EA" w:rsidRDefault="009F0AF7" w:rsidP="001D41EA">
            <w:pPr>
              <w:spacing w:before="40" w:after="40"/>
              <w:jc w:val="right"/>
              <w:rPr>
                <w:rFonts w:cs="Arial"/>
                <w:sz w:val="18"/>
                <w:szCs w:val="18"/>
              </w:rPr>
            </w:pPr>
            <w:r w:rsidRPr="001D41EA">
              <w:rPr>
                <w:rFonts w:cs="Arial"/>
                <w:sz w:val="18"/>
                <w:szCs w:val="18"/>
              </w:rPr>
              <w:t>165,948</w:t>
            </w:r>
          </w:p>
        </w:tc>
        <w:tc>
          <w:tcPr>
            <w:tcW w:w="1361" w:type="dxa"/>
            <w:tcBorders>
              <w:top w:val="nil"/>
              <w:left w:val="nil"/>
              <w:bottom w:val="nil"/>
              <w:right w:val="nil"/>
            </w:tcBorders>
            <w:shd w:val="clear" w:color="auto" w:fill="auto"/>
            <w:vAlign w:val="bottom"/>
          </w:tcPr>
          <w:p w14:paraId="6D196B0F" w14:textId="2B44A14A" w:rsidR="009F0AF7" w:rsidRPr="001D41EA" w:rsidRDefault="009F0AF7" w:rsidP="001D41EA">
            <w:pPr>
              <w:spacing w:before="40" w:after="40"/>
              <w:jc w:val="right"/>
              <w:rPr>
                <w:rFonts w:cs="Arial"/>
                <w:sz w:val="18"/>
                <w:szCs w:val="18"/>
              </w:rPr>
            </w:pPr>
            <w:r w:rsidRPr="001D41EA">
              <w:rPr>
                <w:rFonts w:cs="Arial"/>
                <w:sz w:val="18"/>
                <w:szCs w:val="18"/>
              </w:rPr>
              <w:t>25,700</w:t>
            </w:r>
          </w:p>
        </w:tc>
        <w:tc>
          <w:tcPr>
            <w:tcW w:w="1361" w:type="dxa"/>
            <w:tcBorders>
              <w:top w:val="nil"/>
              <w:left w:val="nil"/>
              <w:bottom w:val="nil"/>
              <w:right w:val="nil"/>
            </w:tcBorders>
            <w:vAlign w:val="bottom"/>
          </w:tcPr>
          <w:p w14:paraId="032D20AE" w14:textId="02EC6988" w:rsidR="009F0AF7" w:rsidRPr="001D41EA" w:rsidRDefault="009F0AF7" w:rsidP="001D41EA">
            <w:pPr>
              <w:spacing w:before="40" w:after="40"/>
              <w:jc w:val="right"/>
              <w:rPr>
                <w:rFonts w:cs="Arial"/>
                <w:sz w:val="18"/>
                <w:szCs w:val="18"/>
              </w:rPr>
            </w:pPr>
            <w:r w:rsidRPr="001D41EA">
              <w:rPr>
                <w:rFonts w:cs="Arial"/>
                <w:sz w:val="18"/>
                <w:szCs w:val="18"/>
              </w:rPr>
              <w:t>825,098</w:t>
            </w:r>
          </w:p>
        </w:tc>
        <w:tc>
          <w:tcPr>
            <w:tcW w:w="1361" w:type="dxa"/>
            <w:tcBorders>
              <w:top w:val="nil"/>
              <w:left w:val="nil"/>
              <w:bottom w:val="nil"/>
              <w:right w:val="nil"/>
            </w:tcBorders>
            <w:vAlign w:val="bottom"/>
          </w:tcPr>
          <w:p w14:paraId="754B5AFF" w14:textId="42992B1F" w:rsidR="009F0AF7" w:rsidRPr="001D41EA" w:rsidRDefault="009F0AF7" w:rsidP="001D41EA">
            <w:pPr>
              <w:spacing w:before="40" w:after="40"/>
              <w:jc w:val="right"/>
              <w:rPr>
                <w:rFonts w:cs="Arial"/>
                <w:sz w:val="18"/>
                <w:szCs w:val="18"/>
              </w:rPr>
            </w:pPr>
            <w:r w:rsidRPr="001D41EA">
              <w:rPr>
                <w:rFonts w:cs="Arial"/>
                <w:sz w:val="18"/>
                <w:szCs w:val="18"/>
              </w:rPr>
              <w:t>46,882</w:t>
            </w:r>
          </w:p>
        </w:tc>
        <w:tc>
          <w:tcPr>
            <w:tcW w:w="1361" w:type="dxa"/>
            <w:tcBorders>
              <w:top w:val="nil"/>
              <w:left w:val="nil"/>
              <w:bottom w:val="nil"/>
              <w:right w:val="nil"/>
            </w:tcBorders>
            <w:shd w:val="clear" w:color="auto" w:fill="auto"/>
            <w:vAlign w:val="bottom"/>
          </w:tcPr>
          <w:p w14:paraId="66EED3C9" w14:textId="09181E42" w:rsidR="009F0AF7" w:rsidRPr="001D41EA" w:rsidRDefault="009F0AF7" w:rsidP="001D41EA">
            <w:pPr>
              <w:spacing w:before="40" w:after="40"/>
              <w:jc w:val="right"/>
              <w:rPr>
                <w:rFonts w:cs="Arial"/>
                <w:b/>
                <w:sz w:val="18"/>
                <w:szCs w:val="18"/>
              </w:rPr>
            </w:pPr>
            <w:r w:rsidRPr="001D41EA">
              <w:rPr>
                <w:rFonts w:cs="Arial"/>
                <w:b/>
                <w:sz w:val="18"/>
                <w:szCs w:val="18"/>
              </w:rPr>
              <w:t>2,723,841</w:t>
            </w:r>
          </w:p>
        </w:tc>
      </w:tr>
      <w:tr w:rsidR="009F0AF7" w:rsidRPr="001D41EA" w14:paraId="5207220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E43592" w14:textId="77777777" w:rsidR="009F0AF7" w:rsidRPr="001D41EA" w:rsidRDefault="009F0AF7" w:rsidP="001D41EA">
            <w:pPr>
              <w:spacing w:before="40" w:after="40"/>
              <w:rPr>
                <w:rFonts w:cs="Arial"/>
                <w:sz w:val="18"/>
                <w:szCs w:val="18"/>
              </w:rPr>
            </w:pPr>
            <w:r w:rsidRPr="001D41EA">
              <w:rPr>
                <w:rFonts w:cs="Arial"/>
                <w:sz w:val="18"/>
                <w:szCs w:val="18"/>
              </w:rPr>
              <w:t>Greater Bendigo C</w:t>
            </w:r>
          </w:p>
        </w:tc>
        <w:tc>
          <w:tcPr>
            <w:tcW w:w="1361" w:type="dxa"/>
            <w:tcBorders>
              <w:top w:val="nil"/>
              <w:left w:val="single" w:sz="18" w:space="0" w:color="5F497A" w:themeColor="accent4" w:themeShade="BF"/>
              <w:bottom w:val="nil"/>
              <w:right w:val="nil"/>
            </w:tcBorders>
            <w:shd w:val="clear" w:color="auto" w:fill="auto"/>
            <w:vAlign w:val="bottom"/>
          </w:tcPr>
          <w:p w14:paraId="09E81D26" w14:textId="7D4D73DC" w:rsidR="009F0AF7" w:rsidRPr="001D41EA" w:rsidRDefault="009F0AF7" w:rsidP="001D41EA">
            <w:pPr>
              <w:spacing w:before="40" w:after="40"/>
              <w:jc w:val="right"/>
              <w:rPr>
                <w:rFonts w:cs="Arial"/>
                <w:sz w:val="18"/>
                <w:szCs w:val="18"/>
              </w:rPr>
            </w:pPr>
            <w:r w:rsidRPr="001D41EA">
              <w:rPr>
                <w:rFonts w:cs="Arial"/>
                <w:sz w:val="18"/>
                <w:szCs w:val="18"/>
              </w:rPr>
              <w:t>1,194,828</w:t>
            </w:r>
          </w:p>
        </w:tc>
        <w:tc>
          <w:tcPr>
            <w:tcW w:w="1361" w:type="dxa"/>
            <w:tcBorders>
              <w:top w:val="nil"/>
              <w:left w:val="nil"/>
              <w:bottom w:val="nil"/>
              <w:right w:val="nil"/>
            </w:tcBorders>
            <w:shd w:val="clear" w:color="auto" w:fill="auto"/>
            <w:vAlign w:val="bottom"/>
          </w:tcPr>
          <w:p w14:paraId="28B2FF11" w14:textId="1F62AD5E" w:rsidR="009F0AF7" w:rsidRPr="001D41EA" w:rsidRDefault="009F0AF7" w:rsidP="001D41EA">
            <w:pPr>
              <w:spacing w:before="40" w:after="40"/>
              <w:jc w:val="right"/>
              <w:rPr>
                <w:rFonts w:cs="Arial"/>
                <w:sz w:val="18"/>
                <w:szCs w:val="18"/>
              </w:rPr>
            </w:pPr>
            <w:r w:rsidRPr="001D41EA">
              <w:rPr>
                <w:rFonts w:cs="Arial"/>
                <w:sz w:val="18"/>
                <w:szCs w:val="18"/>
              </w:rPr>
              <w:t>128,994</w:t>
            </w:r>
          </w:p>
        </w:tc>
        <w:tc>
          <w:tcPr>
            <w:tcW w:w="1361" w:type="dxa"/>
            <w:tcBorders>
              <w:top w:val="nil"/>
              <w:left w:val="nil"/>
              <w:bottom w:val="nil"/>
              <w:right w:val="nil"/>
            </w:tcBorders>
            <w:vAlign w:val="bottom"/>
          </w:tcPr>
          <w:p w14:paraId="75EFF4DB" w14:textId="27A1BF19" w:rsidR="009F0AF7" w:rsidRPr="001D41EA" w:rsidRDefault="009F0AF7" w:rsidP="001D41EA">
            <w:pPr>
              <w:spacing w:before="40" w:after="40"/>
              <w:jc w:val="right"/>
              <w:rPr>
                <w:rFonts w:cs="Arial"/>
                <w:sz w:val="18"/>
                <w:szCs w:val="18"/>
              </w:rPr>
            </w:pPr>
            <w:r w:rsidRPr="001D41EA">
              <w:rPr>
                <w:rFonts w:cs="Arial"/>
                <w:sz w:val="18"/>
                <w:szCs w:val="18"/>
              </w:rPr>
              <w:t>4,291,727</w:t>
            </w:r>
          </w:p>
        </w:tc>
        <w:tc>
          <w:tcPr>
            <w:tcW w:w="1361" w:type="dxa"/>
            <w:tcBorders>
              <w:top w:val="nil"/>
              <w:left w:val="nil"/>
              <w:bottom w:val="nil"/>
              <w:right w:val="nil"/>
            </w:tcBorders>
            <w:vAlign w:val="bottom"/>
          </w:tcPr>
          <w:p w14:paraId="119172EB" w14:textId="032CF4A8" w:rsidR="009F0AF7" w:rsidRPr="001D41EA" w:rsidRDefault="009F0AF7" w:rsidP="001D41EA">
            <w:pPr>
              <w:spacing w:before="40" w:after="40"/>
              <w:jc w:val="right"/>
              <w:rPr>
                <w:rFonts w:cs="Arial"/>
                <w:sz w:val="18"/>
                <w:szCs w:val="18"/>
              </w:rPr>
            </w:pPr>
            <w:r w:rsidRPr="001D41EA">
              <w:rPr>
                <w:rFonts w:cs="Arial"/>
                <w:sz w:val="18"/>
                <w:szCs w:val="18"/>
              </w:rPr>
              <w:t>235,310</w:t>
            </w:r>
          </w:p>
        </w:tc>
        <w:tc>
          <w:tcPr>
            <w:tcW w:w="1361" w:type="dxa"/>
            <w:tcBorders>
              <w:top w:val="nil"/>
              <w:left w:val="nil"/>
              <w:bottom w:val="nil"/>
              <w:right w:val="nil"/>
            </w:tcBorders>
            <w:shd w:val="clear" w:color="auto" w:fill="auto"/>
            <w:vAlign w:val="bottom"/>
          </w:tcPr>
          <w:p w14:paraId="13F25081" w14:textId="6EB28AF3" w:rsidR="009F0AF7" w:rsidRPr="001D41EA" w:rsidRDefault="009F0AF7" w:rsidP="001D41EA">
            <w:pPr>
              <w:spacing w:before="40" w:after="40"/>
              <w:jc w:val="right"/>
              <w:rPr>
                <w:rFonts w:cs="Arial"/>
                <w:b/>
                <w:sz w:val="18"/>
                <w:szCs w:val="18"/>
              </w:rPr>
            </w:pPr>
            <w:r w:rsidRPr="001D41EA">
              <w:rPr>
                <w:rFonts w:cs="Arial"/>
                <w:b/>
                <w:sz w:val="18"/>
                <w:szCs w:val="18"/>
              </w:rPr>
              <w:t>14,336,236</w:t>
            </w:r>
          </w:p>
        </w:tc>
      </w:tr>
      <w:tr w:rsidR="009F0AF7" w:rsidRPr="001D41EA" w14:paraId="3FAFD75C"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6B06297" w14:textId="77777777" w:rsidR="009F0AF7" w:rsidRPr="001D41EA" w:rsidRDefault="009F0AF7" w:rsidP="001D41EA">
            <w:pPr>
              <w:spacing w:before="40" w:after="40"/>
              <w:rPr>
                <w:rFonts w:cs="Arial"/>
                <w:sz w:val="18"/>
                <w:szCs w:val="18"/>
              </w:rPr>
            </w:pPr>
            <w:r w:rsidRPr="001D41EA">
              <w:rPr>
                <w:rFonts w:cs="Arial"/>
                <w:sz w:val="18"/>
                <w:szCs w:val="18"/>
              </w:rPr>
              <w:t>Greater Dandenong C</w:t>
            </w:r>
          </w:p>
        </w:tc>
        <w:tc>
          <w:tcPr>
            <w:tcW w:w="1361" w:type="dxa"/>
            <w:tcBorders>
              <w:top w:val="nil"/>
              <w:left w:val="single" w:sz="18" w:space="0" w:color="5F497A" w:themeColor="accent4" w:themeShade="BF"/>
              <w:bottom w:val="nil"/>
              <w:right w:val="nil"/>
            </w:tcBorders>
            <w:shd w:val="clear" w:color="auto" w:fill="auto"/>
            <w:vAlign w:val="bottom"/>
          </w:tcPr>
          <w:p w14:paraId="67C34013" w14:textId="528975C7" w:rsidR="009F0AF7" w:rsidRPr="001D41EA" w:rsidRDefault="009F0AF7" w:rsidP="001D41EA">
            <w:pPr>
              <w:spacing w:before="40" w:after="40"/>
              <w:jc w:val="right"/>
              <w:rPr>
                <w:rFonts w:cs="Arial"/>
                <w:sz w:val="18"/>
                <w:szCs w:val="18"/>
              </w:rPr>
            </w:pPr>
            <w:r w:rsidRPr="001D41EA">
              <w:rPr>
                <w:rFonts w:cs="Arial"/>
                <w:sz w:val="18"/>
                <w:szCs w:val="18"/>
              </w:rPr>
              <w:t>1,629,881</w:t>
            </w:r>
          </w:p>
        </w:tc>
        <w:tc>
          <w:tcPr>
            <w:tcW w:w="1361" w:type="dxa"/>
            <w:tcBorders>
              <w:top w:val="nil"/>
              <w:left w:val="nil"/>
              <w:bottom w:val="nil"/>
              <w:right w:val="nil"/>
            </w:tcBorders>
            <w:shd w:val="clear" w:color="auto" w:fill="auto"/>
            <w:vAlign w:val="bottom"/>
          </w:tcPr>
          <w:p w14:paraId="487E179B" w14:textId="7E783A9E" w:rsidR="009F0AF7" w:rsidRPr="001D41EA" w:rsidRDefault="009F0AF7" w:rsidP="001D41EA">
            <w:pPr>
              <w:spacing w:before="40" w:after="40"/>
              <w:jc w:val="right"/>
              <w:rPr>
                <w:rFonts w:cs="Arial"/>
                <w:sz w:val="18"/>
                <w:szCs w:val="18"/>
              </w:rPr>
            </w:pPr>
            <w:r w:rsidRPr="001D41EA">
              <w:rPr>
                <w:rFonts w:cs="Arial"/>
                <w:sz w:val="18"/>
                <w:szCs w:val="18"/>
              </w:rPr>
              <w:t>184,628</w:t>
            </w:r>
          </w:p>
        </w:tc>
        <w:tc>
          <w:tcPr>
            <w:tcW w:w="1361" w:type="dxa"/>
            <w:tcBorders>
              <w:top w:val="nil"/>
              <w:left w:val="nil"/>
              <w:bottom w:val="nil"/>
              <w:right w:val="nil"/>
            </w:tcBorders>
            <w:vAlign w:val="bottom"/>
          </w:tcPr>
          <w:p w14:paraId="285C7512" w14:textId="656DABBE" w:rsidR="009F0AF7" w:rsidRPr="001D41EA" w:rsidRDefault="009F0AF7" w:rsidP="001D41EA">
            <w:pPr>
              <w:spacing w:before="40" w:after="40"/>
              <w:jc w:val="right"/>
              <w:rPr>
                <w:rFonts w:cs="Arial"/>
                <w:sz w:val="18"/>
                <w:szCs w:val="18"/>
              </w:rPr>
            </w:pPr>
            <w:r w:rsidRPr="001D41EA">
              <w:rPr>
                <w:rFonts w:cs="Arial"/>
                <w:sz w:val="18"/>
                <w:szCs w:val="18"/>
              </w:rPr>
              <w:t>5,994,975</w:t>
            </w:r>
          </w:p>
        </w:tc>
        <w:tc>
          <w:tcPr>
            <w:tcW w:w="1361" w:type="dxa"/>
            <w:tcBorders>
              <w:top w:val="nil"/>
              <w:left w:val="nil"/>
              <w:bottom w:val="nil"/>
              <w:right w:val="nil"/>
            </w:tcBorders>
            <w:vAlign w:val="bottom"/>
          </w:tcPr>
          <w:p w14:paraId="7E03EC42" w14:textId="3B628B0A" w:rsidR="009F0AF7" w:rsidRPr="001D41EA" w:rsidRDefault="009F0AF7" w:rsidP="001D41EA">
            <w:pPr>
              <w:spacing w:before="40" w:after="40"/>
              <w:jc w:val="right"/>
              <w:rPr>
                <w:rFonts w:cs="Arial"/>
                <w:sz w:val="18"/>
                <w:szCs w:val="18"/>
              </w:rPr>
            </w:pPr>
            <w:r w:rsidRPr="001D41EA">
              <w:rPr>
                <w:rFonts w:cs="Arial"/>
                <w:sz w:val="18"/>
                <w:szCs w:val="18"/>
              </w:rPr>
              <w:t>336,797</w:t>
            </w:r>
          </w:p>
        </w:tc>
        <w:tc>
          <w:tcPr>
            <w:tcW w:w="1361" w:type="dxa"/>
            <w:tcBorders>
              <w:top w:val="nil"/>
              <w:left w:val="nil"/>
              <w:bottom w:val="nil"/>
              <w:right w:val="nil"/>
            </w:tcBorders>
            <w:shd w:val="clear" w:color="auto" w:fill="auto"/>
            <w:vAlign w:val="bottom"/>
          </w:tcPr>
          <w:p w14:paraId="778B8D12" w14:textId="4E7CD181" w:rsidR="009F0AF7" w:rsidRPr="001D41EA" w:rsidRDefault="009F0AF7" w:rsidP="001D41EA">
            <w:pPr>
              <w:spacing w:before="40" w:after="40"/>
              <w:jc w:val="right"/>
              <w:rPr>
                <w:rFonts w:cs="Arial"/>
                <w:b/>
                <w:sz w:val="18"/>
                <w:szCs w:val="18"/>
              </w:rPr>
            </w:pPr>
            <w:r w:rsidRPr="001D41EA">
              <w:rPr>
                <w:rFonts w:cs="Arial"/>
                <w:b/>
                <w:sz w:val="18"/>
                <w:szCs w:val="18"/>
              </w:rPr>
              <w:t>19,069,515</w:t>
            </w:r>
          </w:p>
        </w:tc>
      </w:tr>
      <w:tr w:rsidR="009F0AF7" w:rsidRPr="001D41EA" w14:paraId="648B2B0F"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7E5CCF2" w14:textId="77777777" w:rsidR="009F0AF7" w:rsidRPr="001D41EA" w:rsidRDefault="009F0AF7" w:rsidP="001D41EA">
            <w:pPr>
              <w:spacing w:before="40" w:after="40"/>
              <w:rPr>
                <w:rFonts w:cs="Arial"/>
                <w:sz w:val="18"/>
                <w:szCs w:val="18"/>
              </w:rPr>
            </w:pPr>
            <w:r w:rsidRPr="001D41EA">
              <w:rPr>
                <w:rFonts w:cs="Arial"/>
                <w:sz w:val="18"/>
                <w:szCs w:val="18"/>
              </w:rPr>
              <w:t>Greater Geelong C</w:t>
            </w:r>
          </w:p>
        </w:tc>
        <w:tc>
          <w:tcPr>
            <w:tcW w:w="1361" w:type="dxa"/>
            <w:tcBorders>
              <w:top w:val="nil"/>
              <w:left w:val="single" w:sz="18" w:space="0" w:color="5F497A" w:themeColor="accent4" w:themeShade="BF"/>
              <w:bottom w:val="nil"/>
              <w:right w:val="nil"/>
            </w:tcBorders>
            <w:shd w:val="clear" w:color="auto" w:fill="auto"/>
            <w:vAlign w:val="bottom"/>
          </w:tcPr>
          <w:p w14:paraId="25F448AA" w14:textId="257E17A8" w:rsidR="009F0AF7" w:rsidRPr="001D41EA" w:rsidRDefault="009F0AF7" w:rsidP="001D41EA">
            <w:pPr>
              <w:spacing w:before="40" w:after="40"/>
              <w:jc w:val="right"/>
              <w:rPr>
                <w:rFonts w:cs="Arial"/>
                <w:sz w:val="18"/>
                <w:szCs w:val="18"/>
              </w:rPr>
            </w:pPr>
            <w:r w:rsidRPr="001D41EA">
              <w:rPr>
                <w:rFonts w:cs="Arial"/>
                <w:sz w:val="18"/>
                <w:szCs w:val="18"/>
              </w:rPr>
              <w:t>2,606,512</w:t>
            </w:r>
          </w:p>
        </w:tc>
        <w:tc>
          <w:tcPr>
            <w:tcW w:w="1361" w:type="dxa"/>
            <w:tcBorders>
              <w:top w:val="nil"/>
              <w:left w:val="nil"/>
              <w:bottom w:val="nil"/>
              <w:right w:val="nil"/>
            </w:tcBorders>
            <w:shd w:val="clear" w:color="auto" w:fill="auto"/>
            <w:vAlign w:val="bottom"/>
          </w:tcPr>
          <w:p w14:paraId="2794790D" w14:textId="715E610B" w:rsidR="009F0AF7" w:rsidRPr="001D41EA" w:rsidRDefault="009F0AF7" w:rsidP="001D41EA">
            <w:pPr>
              <w:spacing w:before="40" w:after="40"/>
              <w:jc w:val="right"/>
              <w:rPr>
                <w:rFonts w:cs="Arial"/>
                <w:sz w:val="18"/>
                <w:szCs w:val="18"/>
              </w:rPr>
            </w:pPr>
            <w:r w:rsidRPr="001D41EA">
              <w:rPr>
                <w:rFonts w:cs="Arial"/>
                <w:sz w:val="18"/>
                <w:szCs w:val="18"/>
              </w:rPr>
              <w:t>280,361</w:t>
            </w:r>
          </w:p>
        </w:tc>
        <w:tc>
          <w:tcPr>
            <w:tcW w:w="1361" w:type="dxa"/>
            <w:tcBorders>
              <w:top w:val="nil"/>
              <w:left w:val="nil"/>
              <w:bottom w:val="nil"/>
              <w:right w:val="nil"/>
            </w:tcBorders>
            <w:vAlign w:val="bottom"/>
          </w:tcPr>
          <w:p w14:paraId="05F4B2A8" w14:textId="4CBDDB1B" w:rsidR="009F0AF7" w:rsidRPr="001D41EA" w:rsidRDefault="009F0AF7" w:rsidP="001D41EA">
            <w:pPr>
              <w:spacing w:before="40" w:after="40"/>
              <w:jc w:val="right"/>
              <w:rPr>
                <w:rFonts w:cs="Arial"/>
                <w:sz w:val="18"/>
                <w:szCs w:val="18"/>
              </w:rPr>
            </w:pPr>
            <w:r w:rsidRPr="001D41EA">
              <w:rPr>
                <w:rFonts w:cs="Arial"/>
                <w:sz w:val="18"/>
                <w:szCs w:val="18"/>
              </w:rPr>
              <w:t>10,062,406</w:t>
            </w:r>
          </w:p>
        </w:tc>
        <w:tc>
          <w:tcPr>
            <w:tcW w:w="1361" w:type="dxa"/>
            <w:tcBorders>
              <w:top w:val="nil"/>
              <w:left w:val="nil"/>
              <w:bottom w:val="nil"/>
              <w:right w:val="nil"/>
            </w:tcBorders>
            <w:vAlign w:val="bottom"/>
          </w:tcPr>
          <w:p w14:paraId="17767CB9" w14:textId="2A8B7B3E" w:rsidR="009F0AF7" w:rsidRPr="001D41EA" w:rsidRDefault="009F0AF7" w:rsidP="001D41EA">
            <w:pPr>
              <w:spacing w:before="40" w:after="40"/>
              <w:jc w:val="right"/>
              <w:rPr>
                <w:rFonts w:cs="Arial"/>
                <w:sz w:val="18"/>
                <w:szCs w:val="18"/>
              </w:rPr>
            </w:pPr>
            <w:r w:rsidRPr="001D41EA">
              <w:rPr>
                <w:rFonts w:cs="Arial"/>
                <w:sz w:val="18"/>
                <w:szCs w:val="18"/>
              </w:rPr>
              <w:t>511,433</w:t>
            </w:r>
          </w:p>
        </w:tc>
        <w:tc>
          <w:tcPr>
            <w:tcW w:w="1361" w:type="dxa"/>
            <w:tcBorders>
              <w:top w:val="nil"/>
              <w:left w:val="nil"/>
              <w:bottom w:val="nil"/>
              <w:right w:val="nil"/>
            </w:tcBorders>
            <w:shd w:val="clear" w:color="auto" w:fill="auto"/>
            <w:vAlign w:val="bottom"/>
          </w:tcPr>
          <w:p w14:paraId="379B86B2" w14:textId="4403CA99" w:rsidR="009F0AF7" w:rsidRPr="001D41EA" w:rsidRDefault="009F0AF7" w:rsidP="001D41EA">
            <w:pPr>
              <w:spacing w:before="40" w:after="40"/>
              <w:jc w:val="right"/>
              <w:rPr>
                <w:rFonts w:cs="Arial"/>
                <w:b/>
                <w:sz w:val="18"/>
                <w:szCs w:val="18"/>
              </w:rPr>
            </w:pPr>
            <w:r w:rsidRPr="001D41EA">
              <w:rPr>
                <w:rFonts w:cs="Arial"/>
                <w:b/>
                <w:sz w:val="18"/>
                <w:szCs w:val="18"/>
              </w:rPr>
              <w:t>32,000,673</w:t>
            </w:r>
          </w:p>
        </w:tc>
      </w:tr>
      <w:tr w:rsidR="009F0AF7" w:rsidRPr="001D41EA" w14:paraId="0CF0CF29"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9FFDAD4" w14:textId="77777777" w:rsidR="009F0AF7" w:rsidRPr="001D41EA" w:rsidRDefault="009F0AF7" w:rsidP="001D41EA">
            <w:pPr>
              <w:spacing w:before="40" w:after="40"/>
              <w:rPr>
                <w:rFonts w:cs="Arial"/>
                <w:sz w:val="18"/>
                <w:szCs w:val="18"/>
              </w:rPr>
            </w:pPr>
            <w:r w:rsidRPr="001D41EA">
              <w:rPr>
                <w:rFonts w:cs="Arial"/>
                <w:sz w:val="18"/>
                <w:szCs w:val="18"/>
              </w:rPr>
              <w:t>Greater Shepparton C</w:t>
            </w:r>
          </w:p>
        </w:tc>
        <w:tc>
          <w:tcPr>
            <w:tcW w:w="1361" w:type="dxa"/>
            <w:tcBorders>
              <w:top w:val="nil"/>
              <w:left w:val="single" w:sz="18" w:space="0" w:color="5F497A" w:themeColor="accent4" w:themeShade="BF"/>
              <w:bottom w:val="nil"/>
              <w:right w:val="nil"/>
            </w:tcBorders>
            <w:shd w:val="clear" w:color="auto" w:fill="auto"/>
            <w:vAlign w:val="bottom"/>
          </w:tcPr>
          <w:p w14:paraId="777AE4EF" w14:textId="60801796" w:rsidR="009F0AF7" w:rsidRPr="001D41EA" w:rsidRDefault="009F0AF7" w:rsidP="001D41EA">
            <w:pPr>
              <w:spacing w:before="40" w:after="40"/>
              <w:jc w:val="right"/>
              <w:rPr>
                <w:rFonts w:cs="Arial"/>
                <w:sz w:val="18"/>
                <w:szCs w:val="18"/>
              </w:rPr>
            </w:pPr>
            <w:r w:rsidRPr="001D41EA">
              <w:rPr>
                <w:rFonts w:cs="Arial"/>
                <w:sz w:val="18"/>
                <w:szCs w:val="18"/>
              </w:rPr>
              <w:t>708,948</w:t>
            </w:r>
          </w:p>
        </w:tc>
        <w:tc>
          <w:tcPr>
            <w:tcW w:w="1361" w:type="dxa"/>
            <w:tcBorders>
              <w:top w:val="nil"/>
              <w:left w:val="nil"/>
              <w:bottom w:val="nil"/>
              <w:right w:val="nil"/>
            </w:tcBorders>
            <w:shd w:val="clear" w:color="auto" w:fill="auto"/>
            <w:vAlign w:val="bottom"/>
          </w:tcPr>
          <w:p w14:paraId="40AD9092" w14:textId="2D15C4B0" w:rsidR="009F0AF7" w:rsidRPr="001D41EA" w:rsidRDefault="009F0AF7" w:rsidP="001D41EA">
            <w:pPr>
              <w:spacing w:before="40" w:after="40"/>
              <w:jc w:val="right"/>
              <w:rPr>
                <w:rFonts w:cs="Arial"/>
                <w:sz w:val="18"/>
                <w:szCs w:val="18"/>
              </w:rPr>
            </w:pPr>
            <w:r w:rsidRPr="001D41EA">
              <w:rPr>
                <w:rFonts w:cs="Arial"/>
                <w:sz w:val="18"/>
                <w:szCs w:val="18"/>
              </w:rPr>
              <w:t>73,373</w:t>
            </w:r>
          </w:p>
        </w:tc>
        <w:tc>
          <w:tcPr>
            <w:tcW w:w="1361" w:type="dxa"/>
            <w:tcBorders>
              <w:top w:val="nil"/>
              <w:left w:val="nil"/>
              <w:bottom w:val="nil"/>
              <w:right w:val="nil"/>
            </w:tcBorders>
            <w:vAlign w:val="bottom"/>
          </w:tcPr>
          <w:p w14:paraId="5D9012AB" w14:textId="37275CB2" w:rsidR="009F0AF7" w:rsidRPr="001D41EA" w:rsidRDefault="009F0AF7" w:rsidP="001D41EA">
            <w:pPr>
              <w:spacing w:before="40" w:after="40"/>
              <w:jc w:val="right"/>
              <w:rPr>
                <w:rFonts w:cs="Arial"/>
                <w:sz w:val="18"/>
                <w:szCs w:val="18"/>
              </w:rPr>
            </w:pPr>
            <w:r w:rsidRPr="001D41EA">
              <w:rPr>
                <w:rFonts w:cs="Arial"/>
                <w:sz w:val="18"/>
                <w:szCs w:val="18"/>
              </w:rPr>
              <w:t>2,439,832</w:t>
            </w:r>
          </w:p>
        </w:tc>
        <w:tc>
          <w:tcPr>
            <w:tcW w:w="1361" w:type="dxa"/>
            <w:tcBorders>
              <w:top w:val="nil"/>
              <w:left w:val="nil"/>
              <w:bottom w:val="nil"/>
              <w:right w:val="nil"/>
            </w:tcBorders>
            <w:vAlign w:val="bottom"/>
          </w:tcPr>
          <w:p w14:paraId="7B291DF5" w14:textId="7C1BDA73" w:rsidR="009F0AF7" w:rsidRPr="001D41EA" w:rsidRDefault="009F0AF7" w:rsidP="001D41EA">
            <w:pPr>
              <w:spacing w:before="40" w:after="40"/>
              <w:jc w:val="right"/>
              <w:rPr>
                <w:rFonts w:cs="Arial"/>
                <w:sz w:val="18"/>
                <w:szCs w:val="18"/>
              </w:rPr>
            </w:pPr>
            <w:r w:rsidRPr="001D41EA">
              <w:rPr>
                <w:rFonts w:cs="Arial"/>
                <w:sz w:val="18"/>
                <w:szCs w:val="18"/>
              </w:rPr>
              <w:t>133,846</w:t>
            </w:r>
          </w:p>
        </w:tc>
        <w:tc>
          <w:tcPr>
            <w:tcW w:w="1361" w:type="dxa"/>
            <w:tcBorders>
              <w:top w:val="nil"/>
              <w:left w:val="nil"/>
              <w:bottom w:val="nil"/>
              <w:right w:val="nil"/>
            </w:tcBorders>
            <w:shd w:val="clear" w:color="auto" w:fill="auto"/>
            <w:vAlign w:val="bottom"/>
          </w:tcPr>
          <w:p w14:paraId="736F3929" w14:textId="53985A0C" w:rsidR="009F0AF7" w:rsidRPr="001D41EA" w:rsidRDefault="009F0AF7" w:rsidP="001D41EA">
            <w:pPr>
              <w:spacing w:before="40" w:after="40"/>
              <w:jc w:val="right"/>
              <w:rPr>
                <w:rFonts w:cs="Arial"/>
                <w:b/>
                <w:sz w:val="18"/>
                <w:szCs w:val="18"/>
              </w:rPr>
            </w:pPr>
            <w:r w:rsidRPr="001D41EA">
              <w:rPr>
                <w:rFonts w:cs="Arial"/>
                <w:b/>
                <w:sz w:val="18"/>
                <w:szCs w:val="18"/>
              </w:rPr>
              <w:t>8,056,280</w:t>
            </w:r>
          </w:p>
        </w:tc>
      </w:tr>
      <w:tr w:rsidR="009F0AF7" w:rsidRPr="001D41EA" w14:paraId="76A6C9B5"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D4815B7" w14:textId="77777777" w:rsidR="009F0AF7" w:rsidRPr="001D41EA" w:rsidRDefault="009F0AF7" w:rsidP="001D41EA">
            <w:pPr>
              <w:spacing w:before="40" w:after="40"/>
              <w:rPr>
                <w:rFonts w:cs="Arial"/>
                <w:sz w:val="18"/>
                <w:szCs w:val="18"/>
              </w:rPr>
            </w:pPr>
            <w:r w:rsidRPr="001D41EA">
              <w:rPr>
                <w:rFonts w:cs="Arial"/>
                <w:sz w:val="18"/>
                <w:szCs w:val="18"/>
              </w:rPr>
              <w:t>Hepburn S</w:t>
            </w:r>
          </w:p>
        </w:tc>
        <w:tc>
          <w:tcPr>
            <w:tcW w:w="1361" w:type="dxa"/>
            <w:tcBorders>
              <w:top w:val="nil"/>
              <w:left w:val="single" w:sz="18" w:space="0" w:color="5F497A" w:themeColor="accent4" w:themeShade="BF"/>
              <w:bottom w:val="nil"/>
              <w:right w:val="nil"/>
            </w:tcBorders>
            <w:shd w:val="clear" w:color="auto" w:fill="auto"/>
            <w:vAlign w:val="bottom"/>
          </w:tcPr>
          <w:p w14:paraId="2175BB57" w14:textId="16C36A55" w:rsidR="009F0AF7" w:rsidRPr="001D41EA" w:rsidRDefault="009F0AF7" w:rsidP="001D41EA">
            <w:pPr>
              <w:spacing w:before="40" w:after="40"/>
              <w:jc w:val="right"/>
              <w:rPr>
                <w:rFonts w:cs="Arial"/>
                <w:sz w:val="18"/>
                <w:szCs w:val="18"/>
              </w:rPr>
            </w:pPr>
            <w:r w:rsidRPr="001D41EA">
              <w:rPr>
                <w:rFonts w:cs="Arial"/>
                <w:sz w:val="18"/>
                <w:szCs w:val="18"/>
              </w:rPr>
              <w:t>183,752</w:t>
            </w:r>
          </w:p>
        </w:tc>
        <w:tc>
          <w:tcPr>
            <w:tcW w:w="1361" w:type="dxa"/>
            <w:tcBorders>
              <w:top w:val="nil"/>
              <w:left w:val="nil"/>
              <w:bottom w:val="nil"/>
              <w:right w:val="nil"/>
            </w:tcBorders>
            <w:shd w:val="clear" w:color="auto" w:fill="auto"/>
            <w:vAlign w:val="bottom"/>
          </w:tcPr>
          <w:p w14:paraId="3CA0B260" w14:textId="61D30EE7" w:rsidR="009F0AF7" w:rsidRPr="001D41EA" w:rsidRDefault="009F0AF7" w:rsidP="001D41EA">
            <w:pPr>
              <w:spacing w:before="40" w:after="40"/>
              <w:jc w:val="right"/>
              <w:rPr>
                <w:rFonts w:cs="Arial"/>
                <w:sz w:val="18"/>
                <w:szCs w:val="18"/>
              </w:rPr>
            </w:pPr>
            <w:r w:rsidRPr="001D41EA">
              <w:rPr>
                <w:rFonts w:cs="Arial"/>
                <w:sz w:val="18"/>
                <w:szCs w:val="18"/>
              </w:rPr>
              <w:t>17,576</w:t>
            </w:r>
          </w:p>
        </w:tc>
        <w:tc>
          <w:tcPr>
            <w:tcW w:w="1361" w:type="dxa"/>
            <w:tcBorders>
              <w:top w:val="nil"/>
              <w:left w:val="nil"/>
              <w:bottom w:val="nil"/>
              <w:right w:val="nil"/>
            </w:tcBorders>
            <w:vAlign w:val="bottom"/>
          </w:tcPr>
          <w:p w14:paraId="7BE7E86F" w14:textId="78EF8D74" w:rsidR="009F0AF7" w:rsidRPr="001D41EA" w:rsidRDefault="009F0AF7" w:rsidP="001D41EA">
            <w:pPr>
              <w:spacing w:before="40" w:after="40"/>
              <w:jc w:val="right"/>
              <w:rPr>
                <w:rFonts w:cs="Arial"/>
                <w:sz w:val="18"/>
                <w:szCs w:val="18"/>
              </w:rPr>
            </w:pPr>
            <w:r w:rsidRPr="001D41EA">
              <w:rPr>
                <w:rFonts w:cs="Arial"/>
                <w:sz w:val="18"/>
                <w:szCs w:val="18"/>
              </w:rPr>
              <w:t>701,812</w:t>
            </w:r>
          </w:p>
        </w:tc>
        <w:tc>
          <w:tcPr>
            <w:tcW w:w="1361" w:type="dxa"/>
            <w:tcBorders>
              <w:top w:val="nil"/>
              <w:left w:val="nil"/>
              <w:bottom w:val="nil"/>
              <w:right w:val="nil"/>
            </w:tcBorders>
            <w:vAlign w:val="bottom"/>
          </w:tcPr>
          <w:p w14:paraId="0ACCE92E" w14:textId="19129DAB" w:rsidR="009F0AF7" w:rsidRPr="001D41EA" w:rsidRDefault="009F0AF7" w:rsidP="001D41EA">
            <w:pPr>
              <w:spacing w:before="40" w:after="40"/>
              <w:jc w:val="right"/>
              <w:rPr>
                <w:rFonts w:cs="Arial"/>
                <w:sz w:val="18"/>
                <w:szCs w:val="18"/>
              </w:rPr>
            </w:pPr>
            <w:r w:rsidRPr="001D41EA">
              <w:rPr>
                <w:rFonts w:cs="Arial"/>
                <w:sz w:val="18"/>
                <w:szCs w:val="18"/>
              </w:rPr>
              <w:t>32,063</w:t>
            </w:r>
          </w:p>
        </w:tc>
        <w:tc>
          <w:tcPr>
            <w:tcW w:w="1361" w:type="dxa"/>
            <w:tcBorders>
              <w:top w:val="nil"/>
              <w:left w:val="nil"/>
              <w:bottom w:val="nil"/>
              <w:right w:val="nil"/>
            </w:tcBorders>
            <w:shd w:val="clear" w:color="auto" w:fill="auto"/>
            <w:vAlign w:val="bottom"/>
          </w:tcPr>
          <w:p w14:paraId="721A511D" w14:textId="7A376CC7" w:rsidR="009F0AF7" w:rsidRPr="001D41EA" w:rsidRDefault="009F0AF7" w:rsidP="001D41EA">
            <w:pPr>
              <w:spacing w:before="40" w:after="40"/>
              <w:jc w:val="right"/>
              <w:rPr>
                <w:rFonts w:cs="Arial"/>
                <w:b/>
                <w:sz w:val="18"/>
                <w:szCs w:val="18"/>
              </w:rPr>
            </w:pPr>
            <w:r w:rsidRPr="001D41EA">
              <w:rPr>
                <w:rFonts w:cs="Arial"/>
                <w:b/>
                <w:sz w:val="18"/>
                <w:szCs w:val="18"/>
              </w:rPr>
              <w:t>2,197,920</w:t>
            </w:r>
          </w:p>
        </w:tc>
      </w:tr>
      <w:tr w:rsidR="009F0AF7" w:rsidRPr="001D41EA" w14:paraId="65F673E4"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7950E7A" w14:textId="77777777" w:rsidR="009F0AF7" w:rsidRPr="001D41EA" w:rsidRDefault="009F0AF7" w:rsidP="001D41EA">
            <w:pPr>
              <w:spacing w:before="40" w:after="40"/>
              <w:rPr>
                <w:rFonts w:cs="Arial"/>
                <w:sz w:val="18"/>
                <w:szCs w:val="18"/>
              </w:rPr>
            </w:pPr>
            <w:r w:rsidRPr="001D41EA">
              <w:rPr>
                <w:rFonts w:cs="Arial"/>
                <w:sz w:val="18"/>
                <w:szCs w:val="18"/>
              </w:rPr>
              <w:t>Hindmarsh S</w:t>
            </w:r>
          </w:p>
        </w:tc>
        <w:tc>
          <w:tcPr>
            <w:tcW w:w="1361" w:type="dxa"/>
            <w:tcBorders>
              <w:top w:val="nil"/>
              <w:left w:val="single" w:sz="18" w:space="0" w:color="5F497A" w:themeColor="accent4" w:themeShade="BF"/>
              <w:bottom w:val="nil"/>
              <w:right w:val="nil"/>
            </w:tcBorders>
            <w:shd w:val="clear" w:color="auto" w:fill="auto"/>
            <w:vAlign w:val="bottom"/>
          </w:tcPr>
          <w:p w14:paraId="2C59438D" w14:textId="3B550F52" w:rsidR="009F0AF7" w:rsidRPr="001D41EA" w:rsidRDefault="009F0AF7" w:rsidP="001D41EA">
            <w:pPr>
              <w:spacing w:before="40" w:after="40"/>
              <w:jc w:val="right"/>
              <w:rPr>
                <w:rFonts w:cs="Arial"/>
                <w:sz w:val="18"/>
                <w:szCs w:val="18"/>
              </w:rPr>
            </w:pPr>
            <w:r w:rsidRPr="001D41EA">
              <w:rPr>
                <w:rFonts w:cs="Arial"/>
                <w:sz w:val="18"/>
                <w:szCs w:val="18"/>
              </w:rPr>
              <w:t>42,817</w:t>
            </w:r>
          </w:p>
        </w:tc>
        <w:tc>
          <w:tcPr>
            <w:tcW w:w="1361" w:type="dxa"/>
            <w:tcBorders>
              <w:top w:val="nil"/>
              <w:left w:val="nil"/>
              <w:bottom w:val="nil"/>
              <w:right w:val="nil"/>
            </w:tcBorders>
            <w:shd w:val="clear" w:color="auto" w:fill="auto"/>
            <w:vAlign w:val="bottom"/>
          </w:tcPr>
          <w:p w14:paraId="77813AFB" w14:textId="49398E89" w:rsidR="009F0AF7" w:rsidRPr="001D41EA" w:rsidRDefault="009F0AF7" w:rsidP="001D41EA">
            <w:pPr>
              <w:spacing w:before="40" w:after="40"/>
              <w:jc w:val="right"/>
              <w:rPr>
                <w:rFonts w:cs="Arial"/>
                <w:sz w:val="18"/>
                <w:szCs w:val="18"/>
              </w:rPr>
            </w:pPr>
            <w:r w:rsidRPr="001D41EA">
              <w:rPr>
                <w:rFonts w:cs="Arial"/>
                <w:sz w:val="18"/>
                <w:szCs w:val="18"/>
              </w:rPr>
              <w:t>6,275</w:t>
            </w:r>
          </w:p>
        </w:tc>
        <w:tc>
          <w:tcPr>
            <w:tcW w:w="1361" w:type="dxa"/>
            <w:tcBorders>
              <w:top w:val="nil"/>
              <w:left w:val="nil"/>
              <w:bottom w:val="nil"/>
              <w:right w:val="nil"/>
            </w:tcBorders>
            <w:vAlign w:val="bottom"/>
          </w:tcPr>
          <w:p w14:paraId="33C0A951" w14:textId="401DFE21" w:rsidR="009F0AF7" w:rsidRPr="001D41EA" w:rsidRDefault="009F0AF7" w:rsidP="001D41EA">
            <w:pPr>
              <w:spacing w:before="40" w:after="40"/>
              <w:jc w:val="right"/>
              <w:rPr>
                <w:rFonts w:cs="Arial"/>
                <w:sz w:val="18"/>
                <w:szCs w:val="18"/>
              </w:rPr>
            </w:pPr>
            <w:r w:rsidRPr="001D41EA">
              <w:rPr>
                <w:rFonts w:cs="Arial"/>
                <w:sz w:val="18"/>
                <w:szCs w:val="18"/>
              </w:rPr>
              <w:t>182,334</w:t>
            </w:r>
          </w:p>
        </w:tc>
        <w:tc>
          <w:tcPr>
            <w:tcW w:w="1361" w:type="dxa"/>
            <w:tcBorders>
              <w:top w:val="nil"/>
              <w:left w:val="nil"/>
              <w:bottom w:val="nil"/>
              <w:right w:val="nil"/>
            </w:tcBorders>
            <w:vAlign w:val="bottom"/>
          </w:tcPr>
          <w:p w14:paraId="012C6544" w14:textId="59AB0217" w:rsidR="009F0AF7" w:rsidRPr="001D41EA" w:rsidRDefault="009F0AF7" w:rsidP="001D41EA">
            <w:pPr>
              <w:spacing w:before="40" w:after="40"/>
              <w:jc w:val="right"/>
              <w:rPr>
                <w:rFonts w:cs="Arial"/>
                <w:sz w:val="18"/>
                <w:szCs w:val="18"/>
              </w:rPr>
            </w:pPr>
            <w:r w:rsidRPr="001D41EA">
              <w:rPr>
                <w:rFonts w:cs="Arial"/>
                <w:sz w:val="18"/>
                <w:szCs w:val="18"/>
              </w:rPr>
              <w:t>11,447</w:t>
            </w:r>
          </w:p>
        </w:tc>
        <w:tc>
          <w:tcPr>
            <w:tcW w:w="1361" w:type="dxa"/>
            <w:tcBorders>
              <w:top w:val="nil"/>
              <w:left w:val="nil"/>
              <w:bottom w:val="nil"/>
              <w:right w:val="nil"/>
            </w:tcBorders>
            <w:shd w:val="clear" w:color="auto" w:fill="auto"/>
            <w:vAlign w:val="bottom"/>
          </w:tcPr>
          <w:p w14:paraId="1F359734" w14:textId="107C1ED9" w:rsidR="009F0AF7" w:rsidRPr="001D41EA" w:rsidRDefault="009F0AF7" w:rsidP="001D41EA">
            <w:pPr>
              <w:spacing w:before="40" w:after="40"/>
              <w:jc w:val="right"/>
              <w:rPr>
                <w:rFonts w:cs="Arial"/>
                <w:b/>
                <w:sz w:val="18"/>
                <w:szCs w:val="18"/>
              </w:rPr>
            </w:pPr>
            <w:r w:rsidRPr="001D41EA">
              <w:rPr>
                <w:rFonts w:cs="Arial"/>
                <w:b/>
                <w:sz w:val="18"/>
                <w:szCs w:val="18"/>
              </w:rPr>
              <w:t>677,731</w:t>
            </w:r>
          </w:p>
        </w:tc>
      </w:tr>
      <w:tr w:rsidR="009F0AF7" w:rsidRPr="001D41EA" w14:paraId="6E24B926"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AC8DA8B" w14:textId="77777777" w:rsidR="009F0AF7" w:rsidRPr="001D41EA" w:rsidRDefault="009F0AF7" w:rsidP="001D41EA">
            <w:pPr>
              <w:spacing w:before="40" w:after="40"/>
              <w:rPr>
                <w:rFonts w:cs="Arial"/>
                <w:sz w:val="18"/>
                <w:szCs w:val="18"/>
              </w:rPr>
            </w:pPr>
            <w:r w:rsidRPr="001D41EA">
              <w:rPr>
                <w:rFonts w:cs="Arial"/>
                <w:sz w:val="18"/>
                <w:szCs w:val="18"/>
              </w:rPr>
              <w:t>Hobsons Bay C</w:t>
            </w:r>
          </w:p>
        </w:tc>
        <w:tc>
          <w:tcPr>
            <w:tcW w:w="1361" w:type="dxa"/>
            <w:tcBorders>
              <w:top w:val="nil"/>
              <w:left w:val="single" w:sz="18" w:space="0" w:color="5F497A" w:themeColor="accent4" w:themeShade="BF"/>
              <w:bottom w:val="nil"/>
              <w:right w:val="nil"/>
            </w:tcBorders>
            <w:shd w:val="clear" w:color="auto" w:fill="auto"/>
            <w:vAlign w:val="bottom"/>
          </w:tcPr>
          <w:p w14:paraId="4674C716" w14:textId="04B8334B" w:rsidR="009F0AF7" w:rsidRPr="001D41EA" w:rsidRDefault="009F0AF7" w:rsidP="001D41EA">
            <w:pPr>
              <w:spacing w:before="40" w:after="40"/>
              <w:jc w:val="right"/>
              <w:rPr>
                <w:rFonts w:cs="Arial"/>
                <w:sz w:val="18"/>
                <w:szCs w:val="18"/>
              </w:rPr>
            </w:pPr>
            <w:r w:rsidRPr="001D41EA">
              <w:rPr>
                <w:rFonts w:cs="Arial"/>
                <w:sz w:val="18"/>
                <w:szCs w:val="18"/>
              </w:rPr>
              <w:t>802,237</w:t>
            </w:r>
          </w:p>
        </w:tc>
        <w:tc>
          <w:tcPr>
            <w:tcW w:w="1361" w:type="dxa"/>
            <w:tcBorders>
              <w:top w:val="nil"/>
              <w:left w:val="nil"/>
              <w:bottom w:val="nil"/>
              <w:right w:val="nil"/>
            </w:tcBorders>
            <w:shd w:val="clear" w:color="auto" w:fill="auto"/>
            <w:vAlign w:val="bottom"/>
          </w:tcPr>
          <w:p w14:paraId="09066080" w14:textId="29946A29" w:rsidR="009F0AF7" w:rsidRPr="001D41EA" w:rsidRDefault="009F0AF7" w:rsidP="001D41EA">
            <w:pPr>
              <w:spacing w:before="40" w:after="40"/>
              <w:jc w:val="right"/>
              <w:rPr>
                <w:rFonts w:cs="Arial"/>
                <w:sz w:val="18"/>
                <w:szCs w:val="18"/>
              </w:rPr>
            </w:pPr>
            <w:r w:rsidRPr="001D41EA">
              <w:rPr>
                <w:rFonts w:cs="Arial"/>
                <w:sz w:val="18"/>
                <w:szCs w:val="18"/>
              </w:rPr>
              <w:t>107,235</w:t>
            </w:r>
          </w:p>
        </w:tc>
        <w:tc>
          <w:tcPr>
            <w:tcW w:w="1361" w:type="dxa"/>
            <w:tcBorders>
              <w:top w:val="nil"/>
              <w:left w:val="nil"/>
              <w:bottom w:val="nil"/>
              <w:right w:val="nil"/>
            </w:tcBorders>
            <w:vAlign w:val="bottom"/>
          </w:tcPr>
          <w:p w14:paraId="54B0C93E" w14:textId="3DB97D4A" w:rsidR="009F0AF7" w:rsidRPr="001D41EA" w:rsidRDefault="009F0AF7" w:rsidP="001D41EA">
            <w:pPr>
              <w:spacing w:before="40" w:after="40"/>
              <w:jc w:val="right"/>
              <w:rPr>
                <w:rFonts w:cs="Arial"/>
                <w:sz w:val="18"/>
                <w:szCs w:val="18"/>
              </w:rPr>
            </w:pPr>
            <w:r w:rsidRPr="001D41EA">
              <w:rPr>
                <w:rFonts w:cs="Arial"/>
                <w:sz w:val="18"/>
                <w:szCs w:val="18"/>
              </w:rPr>
              <w:t>3,421,833</w:t>
            </w:r>
          </w:p>
        </w:tc>
        <w:tc>
          <w:tcPr>
            <w:tcW w:w="1361" w:type="dxa"/>
            <w:tcBorders>
              <w:top w:val="nil"/>
              <w:left w:val="nil"/>
              <w:bottom w:val="nil"/>
              <w:right w:val="nil"/>
            </w:tcBorders>
            <w:vAlign w:val="bottom"/>
          </w:tcPr>
          <w:p w14:paraId="1D2538F3" w14:textId="100843EC" w:rsidR="009F0AF7" w:rsidRPr="001D41EA" w:rsidRDefault="009F0AF7" w:rsidP="001D41EA">
            <w:pPr>
              <w:spacing w:before="40" w:after="40"/>
              <w:jc w:val="right"/>
              <w:rPr>
                <w:rFonts w:cs="Arial"/>
                <w:sz w:val="18"/>
                <w:szCs w:val="18"/>
              </w:rPr>
            </w:pPr>
            <w:r w:rsidRPr="001D41EA">
              <w:rPr>
                <w:rFonts w:cs="Arial"/>
                <w:sz w:val="18"/>
                <w:szCs w:val="18"/>
              </w:rPr>
              <w:t>195,617</w:t>
            </w:r>
          </w:p>
        </w:tc>
        <w:tc>
          <w:tcPr>
            <w:tcW w:w="1361" w:type="dxa"/>
            <w:tcBorders>
              <w:top w:val="nil"/>
              <w:left w:val="nil"/>
              <w:bottom w:val="nil"/>
              <w:right w:val="nil"/>
            </w:tcBorders>
            <w:shd w:val="clear" w:color="auto" w:fill="auto"/>
            <w:vAlign w:val="bottom"/>
          </w:tcPr>
          <w:p w14:paraId="38068B8F" w14:textId="28226584" w:rsidR="009F0AF7" w:rsidRPr="001D41EA" w:rsidRDefault="009F0AF7" w:rsidP="001D41EA">
            <w:pPr>
              <w:spacing w:before="40" w:after="40"/>
              <w:jc w:val="right"/>
              <w:rPr>
                <w:rFonts w:cs="Arial"/>
                <w:b/>
                <w:sz w:val="18"/>
                <w:szCs w:val="18"/>
              </w:rPr>
            </w:pPr>
            <w:r w:rsidRPr="001D41EA">
              <w:rPr>
                <w:rFonts w:cs="Arial"/>
                <w:b/>
                <w:sz w:val="18"/>
                <w:szCs w:val="18"/>
              </w:rPr>
              <w:t>11,419,252</w:t>
            </w:r>
          </w:p>
        </w:tc>
      </w:tr>
      <w:tr w:rsidR="009F0AF7" w:rsidRPr="001D41EA" w14:paraId="1E27E1F9"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1DFDC98" w14:textId="77777777" w:rsidR="009F0AF7" w:rsidRPr="001D41EA" w:rsidRDefault="009F0AF7" w:rsidP="001D41EA">
            <w:pPr>
              <w:spacing w:before="40" w:after="40"/>
              <w:rPr>
                <w:rFonts w:cs="Arial"/>
                <w:sz w:val="18"/>
                <w:szCs w:val="18"/>
              </w:rPr>
            </w:pPr>
            <w:r w:rsidRPr="001D41EA">
              <w:rPr>
                <w:rFonts w:cs="Arial"/>
                <w:sz w:val="18"/>
                <w:szCs w:val="18"/>
              </w:rPr>
              <w:t>Horsham RC</w:t>
            </w:r>
          </w:p>
        </w:tc>
        <w:tc>
          <w:tcPr>
            <w:tcW w:w="1361" w:type="dxa"/>
            <w:tcBorders>
              <w:top w:val="nil"/>
              <w:left w:val="single" w:sz="18" w:space="0" w:color="5F497A" w:themeColor="accent4" w:themeShade="BF"/>
              <w:bottom w:val="nil"/>
              <w:right w:val="nil"/>
            </w:tcBorders>
            <w:shd w:val="clear" w:color="auto" w:fill="auto"/>
            <w:vAlign w:val="bottom"/>
          </w:tcPr>
          <w:p w14:paraId="541E7B60" w14:textId="4A9D35F2" w:rsidR="009F0AF7" w:rsidRPr="001D41EA" w:rsidRDefault="009F0AF7" w:rsidP="001D41EA">
            <w:pPr>
              <w:spacing w:before="40" w:after="40"/>
              <w:jc w:val="right"/>
              <w:rPr>
                <w:rFonts w:cs="Arial"/>
                <w:sz w:val="18"/>
                <w:szCs w:val="18"/>
              </w:rPr>
            </w:pPr>
            <w:r w:rsidRPr="001D41EA">
              <w:rPr>
                <w:rFonts w:cs="Arial"/>
                <w:sz w:val="18"/>
                <w:szCs w:val="18"/>
              </w:rPr>
              <w:t>187,243</w:t>
            </w:r>
          </w:p>
        </w:tc>
        <w:tc>
          <w:tcPr>
            <w:tcW w:w="1361" w:type="dxa"/>
            <w:tcBorders>
              <w:top w:val="nil"/>
              <w:left w:val="nil"/>
              <w:bottom w:val="nil"/>
              <w:right w:val="nil"/>
            </w:tcBorders>
            <w:shd w:val="clear" w:color="auto" w:fill="auto"/>
            <w:vAlign w:val="bottom"/>
          </w:tcPr>
          <w:p w14:paraId="306FE8A5" w14:textId="0C2B5936" w:rsidR="009F0AF7" w:rsidRPr="001D41EA" w:rsidRDefault="009F0AF7" w:rsidP="001D41EA">
            <w:pPr>
              <w:spacing w:before="40" w:after="40"/>
              <w:jc w:val="right"/>
              <w:rPr>
                <w:rFonts w:cs="Arial"/>
                <w:sz w:val="18"/>
                <w:szCs w:val="18"/>
              </w:rPr>
            </w:pPr>
            <w:r w:rsidRPr="001D41EA">
              <w:rPr>
                <w:rFonts w:cs="Arial"/>
                <w:sz w:val="18"/>
                <w:szCs w:val="18"/>
              </w:rPr>
              <w:t>22,093</w:t>
            </w:r>
          </w:p>
        </w:tc>
        <w:tc>
          <w:tcPr>
            <w:tcW w:w="1361" w:type="dxa"/>
            <w:tcBorders>
              <w:top w:val="nil"/>
              <w:left w:val="nil"/>
              <w:bottom w:val="nil"/>
              <w:right w:val="nil"/>
            </w:tcBorders>
            <w:vAlign w:val="bottom"/>
          </w:tcPr>
          <w:p w14:paraId="503CC274" w14:textId="760A2D5A" w:rsidR="009F0AF7" w:rsidRPr="001D41EA" w:rsidRDefault="009F0AF7" w:rsidP="001D41EA">
            <w:pPr>
              <w:spacing w:before="40" w:after="40"/>
              <w:jc w:val="right"/>
              <w:rPr>
                <w:rFonts w:cs="Arial"/>
                <w:sz w:val="18"/>
                <w:szCs w:val="18"/>
              </w:rPr>
            </w:pPr>
            <w:r w:rsidRPr="001D41EA">
              <w:rPr>
                <w:rFonts w:cs="Arial"/>
                <w:sz w:val="18"/>
                <w:szCs w:val="18"/>
              </w:rPr>
              <w:t>738,998</w:t>
            </w:r>
          </w:p>
        </w:tc>
        <w:tc>
          <w:tcPr>
            <w:tcW w:w="1361" w:type="dxa"/>
            <w:tcBorders>
              <w:top w:val="nil"/>
              <w:left w:val="nil"/>
              <w:bottom w:val="nil"/>
              <w:right w:val="nil"/>
            </w:tcBorders>
            <w:vAlign w:val="bottom"/>
          </w:tcPr>
          <w:p w14:paraId="45FCC50A" w14:textId="7F7AD37F" w:rsidR="009F0AF7" w:rsidRPr="001D41EA" w:rsidRDefault="009F0AF7" w:rsidP="001D41EA">
            <w:pPr>
              <w:spacing w:before="40" w:after="40"/>
              <w:jc w:val="right"/>
              <w:rPr>
                <w:rFonts w:cs="Arial"/>
                <w:sz w:val="18"/>
                <w:szCs w:val="18"/>
              </w:rPr>
            </w:pPr>
            <w:r w:rsidRPr="001D41EA">
              <w:rPr>
                <w:rFonts w:cs="Arial"/>
                <w:sz w:val="18"/>
                <w:szCs w:val="18"/>
              </w:rPr>
              <w:t>40,302</w:t>
            </w:r>
          </w:p>
        </w:tc>
        <w:tc>
          <w:tcPr>
            <w:tcW w:w="1361" w:type="dxa"/>
            <w:tcBorders>
              <w:top w:val="nil"/>
              <w:left w:val="nil"/>
              <w:bottom w:val="nil"/>
              <w:right w:val="nil"/>
            </w:tcBorders>
            <w:shd w:val="clear" w:color="auto" w:fill="auto"/>
            <w:vAlign w:val="bottom"/>
          </w:tcPr>
          <w:p w14:paraId="0D1FF5DD" w14:textId="2610AE71" w:rsidR="009F0AF7" w:rsidRPr="001D41EA" w:rsidRDefault="009F0AF7" w:rsidP="001D41EA">
            <w:pPr>
              <w:spacing w:before="40" w:after="40"/>
              <w:jc w:val="right"/>
              <w:rPr>
                <w:rFonts w:cs="Arial"/>
                <w:b/>
                <w:sz w:val="18"/>
                <w:szCs w:val="18"/>
              </w:rPr>
            </w:pPr>
            <w:r w:rsidRPr="001D41EA">
              <w:rPr>
                <w:rFonts w:cs="Arial"/>
                <w:b/>
                <w:sz w:val="18"/>
                <w:szCs w:val="18"/>
              </w:rPr>
              <w:t>2,467,033</w:t>
            </w:r>
          </w:p>
        </w:tc>
      </w:tr>
      <w:tr w:rsidR="009F0AF7" w:rsidRPr="001D41EA" w14:paraId="429EE01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B14DA41" w14:textId="77777777" w:rsidR="009F0AF7" w:rsidRPr="001D41EA" w:rsidRDefault="009F0AF7" w:rsidP="001D41EA">
            <w:pPr>
              <w:spacing w:before="40" w:after="40"/>
              <w:rPr>
                <w:rFonts w:cs="Arial"/>
                <w:sz w:val="18"/>
                <w:szCs w:val="18"/>
              </w:rPr>
            </w:pPr>
            <w:r w:rsidRPr="001D41EA">
              <w:rPr>
                <w:rFonts w:cs="Arial"/>
                <w:sz w:val="18"/>
                <w:szCs w:val="18"/>
              </w:rPr>
              <w:t>Hume C</w:t>
            </w:r>
          </w:p>
        </w:tc>
        <w:tc>
          <w:tcPr>
            <w:tcW w:w="1361" w:type="dxa"/>
            <w:tcBorders>
              <w:top w:val="nil"/>
              <w:left w:val="single" w:sz="18" w:space="0" w:color="5F497A" w:themeColor="accent4" w:themeShade="BF"/>
              <w:bottom w:val="nil"/>
              <w:right w:val="nil"/>
            </w:tcBorders>
            <w:shd w:val="clear" w:color="auto" w:fill="auto"/>
            <w:vAlign w:val="bottom"/>
          </w:tcPr>
          <w:p w14:paraId="6A05F6C8" w14:textId="6900EFE7" w:rsidR="009F0AF7" w:rsidRPr="001D41EA" w:rsidRDefault="009F0AF7" w:rsidP="001D41EA">
            <w:pPr>
              <w:spacing w:before="40" w:after="40"/>
              <w:jc w:val="right"/>
              <w:rPr>
                <w:rFonts w:cs="Arial"/>
                <w:sz w:val="18"/>
                <w:szCs w:val="18"/>
              </w:rPr>
            </w:pPr>
            <w:r w:rsidRPr="001D41EA">
              <w:rPr>
                <w:rFonts w:cs="Arial"/>
                <w:sz w:val="18"/>
                <w:szCs w:val="18"/>
              </w:rPr>
              <w:t>1,958,628</w:t>
            </w:r>
          </w:p>
        </w:tc>
        <w:tc>
          <w:tcPr>
            <w:tcW w:w="1361" w:type="dxa"/>
            <w:tcBorders>
              <w:top w:val="nil"/>
              <w:left w:val="nil"/>
              <w:bottom w:val="nil"/>
              <w:right w:val="nil"/>
            </w:tcBorders>
            <w:shd w:val="clear" w:color="auto" w:fill="auto"/>
            <w:vAlign w:val="bottom"/>
          </w:tcPr>
          <w:p w14:paraId="01D94A93" w14:textId="64005C5D" w:rsidR="009F0AF7" w:rsidRPr="001D41EA" w:rsidRDefault="009F0AF7" w:rsidP="001D41EA">
            <w:pPr>
              <w:spacing w:before="40" w:after="40"/>
              <w:jc w:val="right"/>
              <w:rPr>
                <w:rFonts w:cs="Arial"/>
                <w:sz w:val="18"/>
                <w:szCs w:val="18"/>
              </w:rPr>
            </w:pPr>
            <w:r w:rsidRPr="001D41EA">
              <w:rPr>
                <w:rFonts w:cs="Arial"/>
                <w:sz w:val="18"/>
                <w:szCs w:val="18"/>
              </w:rPr>
              <w:t>249,434</w:t>
            </w:r>
          </w:p>
        </w:tc>
        <w:tc>
          <w:tcPr>
            <w:tcW w:w="1361" w:type="dxa"/>
            <w:tcBorders>
              <w:top w:val="nil"/>
              <w:left w:val="nil"/>
              <w:bottom w:val="nil"/>
              <w:right w:val="nil"/>
            </w:tcBorders>
            <w:vAlign w:val="bottom"/>
          </w:tcPr>
          <w:p w14:paraId="080E9CCF" w14:textId="7CE447C1" w:rsidR="009F0AF7" w:rsidRPr="001D41EA" w:rsidRDefault="009F0AF7" w:rsidP="001D41EA">
            <w:pPr>
              <w:spacing w:before="40" w:after="40"/>
              <w:jc w:val="right"/>
              <w:rPr>
                <w:rFonts w:cs="Arial"/>
                <w:sz w:val="18"/>
                <w:szCs w:val="18"/>
              </w:rPr>
            </w:pPr>
            <w:r w:rsidRPr="001D41EA">
              <w:rPr>
                <w:rFonts w:cs="Arial"/>
                <w:sz w:val="18"/>
                <w:szCs w:val="18"/>
              </w:rPr>
              <w:t>8,465,394</w:t>
            </w:r>
          </w:p>
        </w:tc>
        <w:tc>
          <w:tcPr>
            <w:tcW w:w="1361" w:type="dxa"/>
            <w:tcBorders>
              <w:top w:val="nil"/>
              <w:left w:val="nil"/>
              <w:bottom w:val="nil"/>
              <w:right w:val="nil"/>
            </w:tcBorders>
            <w:vAlign w:val="bottom"/>
          </w:tcPr>
          <w:p w14:paraId="33A2558B" w14:textId="5CA1AD80" w:rsidR="009F0AF7" w:rsidRPr="001D41EA" w:rsidRDefault="009F0AF7" w:rsidP="001D41EA">
            <w:pPr>
              <w:spacing w:before="40" w:after="40"/>
              <w:jc w:val="right"/>
              <w:rPr>
                <w:rFonts w:cs="Arial"/>
                <w:sz w:val="18"/>
                <w:szCs w:val="18"/>
              </w:rPr>
            </w:pPr>
            <w:r w:rsidRPr="001D41EA">
              <w:rPr>
                <w:rFonts w:cs="Arial"/>
                <w:sz w:val="18"/>
                <w:szCs w:val="18"/>
              </w:rPr>
              <w:t>455,015</w:t>
            </w:r>
          </w:p>
        </w:tc>
        <w:tc>
          <w:tcPr>
            <w:tcW w:w="1361" w:type="dxa"/>
            <w:tcBorders>
              <w:top w:val="nil"/>
              <w:left w:val="nil"/>
              <w:bottom w:val="nil"/>
              <w:right w:val="nil"/>
            </w:tcBorders>
            <w:shd w:val="clear" w:color="auto" w:fill="auto"/>
            <w:vAlign w:val="bottom"/>
          </w:tcPr>
          <w:p w14:paraId="75B883A2" w14:textId="4189E10A" w:rsidR="009F0AF7" w:rsidRPr="001D41EA" w:rsidRDefault="009F0AF7" w:rsidP="001D41EA">
            <w:pPr>
              <w:spacing w:before="40" w:after="40"/>
              <w:jc w:val="right"/>
              <w:rPr>
                <w:rFonts w:cs="Arial"/>
                <w:b/>
                <w:sz w:val="18"/>
                <w:szCs w:val="18"/>
              </w:rPr>
            </w:pPr>
            <w:r w:rsidRPr="001D41EA">
              <w:rPr>
                <w:rFonts w:cs="Arial"/>
                <w:b/>
                <w:sz w:val="18"/>
                <w:szCs w:val="18"/>
              </w:rPr>
              <w:t>26,157,062</w:t>
            </w:r>
          </w:p>
        </w:tc>
      </w:tr>
      <w:tr w:rsidR="009F0AF7" w:rsidRPr="001D41EA" w14:paraId="254CEA2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4089D50" w14:textId="77777777" w:rsidR="009F0AF7" w:rsidRPr="001D41EA" w:rsidRDefault="009F0AF7" w:rsidP="001D41EA">
            <w:pPr>
              <w:spacing w:before="40" w:after="40"/>
              <w:rPr>
                <w:rFonts w:cs="Arial"/>
                <w:sz w:val="18"/>
                <w:szCs w:val="18"/>
              </w:rPr>
            </w:pPr>
            <w:r w:rsidRPr="001D41EA">
              <w:rPr>
                <w:rFonts w:cs="Arial"/>
                <w:sz w:val="18"/>
                <w:szCs w:val="18"/>
              </w:rPr>
              <w:t>Indigo S</w:t>
            </w:r>
          </w:p>
        </w:tc>
        <w:tc>
          <w:tcPr>
            <w:tcW w:w="1361" w:type="dxa"/>
            <w:tcBorders>
              <w:top w:val="nil"/>
              <w:left w:val="single" w:sz="18" w:space="0" w:color="5F497A" w:themeColor="accent4" w:themeShade="BF"/>
              <w:bottom w:val="nil"/>
              <w:right w:val="nil"/>
            </w:tcBorders>
            <w:shd w:val="clear" w:color="auto" w:fill="auto"/>
            <w:vAlign w:val="bottom"/>
          </w:tcPr>
          <w:p w14:paraId="3987EBAA" w14:textId="618B18CB" w:rsidR="009F0AF7" w:rsidRPr="001D41EA" w:rsidRDefault="009F0AF7" w:rsidP="001D41EA">
            <w:pPr>
              <w:spacing w:before="40" w:after="40"/>
              <w:jc w:val="right"/>
              <w:rPr>
                <w:rFonts w:cs="Arial"/>
                <w:sz w:val="18"/>
                <w:szCs w:val="18"/>
              </w:rPr>
            </w:pPr>
            <w:r w:rsidRPr="001D41EA">
              <w:rPr>
                <w:rFonts w:cs="Arial"/>
                <w:sz w:val="18"/>
                <w:szCs w:val="18"/>
              </w:rPr>
              <w:t>144,026</w:t>
            </w:r>
          </w:p>
        </w:tc>
        <w:tc>
          <w:tcPr>
            <w:tcW w:w="1361" w:type="dxa"/>
            <w:tcBorders>
              <w:top w:val="nil"/>
              <w:left w:val="nil"/>
              <w:bottom w:val="nil"/>
              <w:right w:val="nil"/>
            </w:tcBorders>
            <w:shd w:val="clear" w:color="auto" w:fill="auto"/>
            <w:vAlign w:val="bottom"/>
          </w:tcPr>
          <w:p w14:paraId="2E68BE49" w14:textId="30430D9F" w:rsidR="009F0AF7" w:rsidRPr="001D41EA" w:rsidRDefault="009F0AF7" w:rsidP="001D41EA">
            <w:pPr>
              <w:spacing w:before="40" w:after="40"/>
              <w:jc w:val="right"/>
              <w:rPr>
                <w:rFonts w:cs="Arial"/>
                <w:sz w:val="18"/>
                <w:szCs w:val="18"/>
              </w:rPr>
            </w:pPr>
            <w:r w:rsidRPr="001D41EA">
              <w:rPr>
                <w:rFonts w:cs="Arial"/>
                <w:sz w:val="18"/>
                <w:szCs w:val="18"/>
              </w:rPr>
              <w:t>18,330</w:t>
            </w:r>
          </w:p>
        </w:tc>
        <w:tc>
          <w:tcPr>
            <w:tcW w:w="1361" w:type="dxa"/>
            <w:tcBorders>
              <w:top w:val="nil"/>
              <w:left w:val="nil"/>
              <w:bottom w:val="nil"/>
              <w:right w:val="nil"/>
            </w:tcBorders>
            <w:vAlign w:val="bottom"/>
          </w:tcPr>
          <w:p w14:paraId="0358D515" w14:textId="176E597E" w:rsidR="009F0AF7" w:rsidRPr="001D41EA" w:rsidRDefault="009F0AF7" w:rsidP="001D41EA">
            <w:pPr>
              <w:spacing w:before="40" w:after="40"/>
              <w:jc w:val="right"/>
              <w:rPr>
                <w:rFonts w:cs="Arial"/>
                <w:sz w:val="18"/>
                <w:szCs w:val="18"/>
              </w:rPr>
            </w:pPr>
            <w:r w:rsidRPr="001D41EA">
              <w:rPr>
                <w:rFonts w:cs="Arial"/>
                <w:sz w:val="18"/>
                <w:szCs w:val="18"/>
              </w:rPr>
              <w:t>636,446</w:t>
            </w:r>
          </w:p>
        </w:tc>
        <w:tc>
          <w:tcPr>
            <w:tcW w:w="1361" w:type="dxa"/>
            <w:tcBorders>
              <w:top w:val="nil"/>
              <w:left w:val="nil"/>
              <w:bottom w:val="nil"/>
              <w:right w:val="nil"/>
            </w:tcBorders>
            <w:vAlign w:val="bottom"/>
          </w:tcPr>
          <w:p w14:paraId="01F342F3" w14:textId="7F6BEA3F" w:rsidR="009F0AF7" w:rsidRPr="001D41EA" w:rsidRDefault="009F0AF7" w:rsidP="001D41EA">
            <w:pPr>
              <w:spacing w:before="40" w:after="40"/>
              <w:jc w:val="right"/>
              <w:rPr>
                <w:rFonts w:cs="Arial"/>
                <w:sz w:val="18"/>
                <w:szCs w:val="18"/>
              </w:rPr>
            </w:pPr>
            <w:r w:rsidRPr="001D41EA">
              <w:rPr>
                <w:rFonts w:cs="Arial"/>
                <w:sz w:val="18"/>
                <w:szCs w:val="18"/>
              </w:rPr>
              <w:t>33,438</w:t>
            </w:r>
          </w:p>
        </w:tc>
        <w:tc>
          <w:tcPr>
            <w:tcW w:w="1361" w:type="dxa"/>
            <w:tcBorders>
              <w:top w:val="nil"/>
              <w:left w:val="nil"/>
              <w:bottom w:val="nil"/>
              <w:right w:val="nil"/>
            </w:tcBorders>
            <w:shd w:val="clear" w:color="auto" w:fill="auto"/>
            <w:vAlign w:val="bottom"/>
          </w:tcPr>
          <w:p w14:paraId="6C5C2038" w14:textId="6A066AEB" w:rsidR="009F0AF7" w:rsidRPr="001D41EA" w:rsidRDefault="009F0AF7" w:rsidP="001D41EA">
            <w:pPr>
              <w:spacing w:before="40" w:after="40"/>
              <w:jc w:val="right"/>
              <w:rPr>
                <w:rFonts w:cs="Arial"/>
                <w:b/>
                <w:sz w:val="18"/>
                <w:szCs w:val="18"/>
              </w:rPr>
            </w:pPr>
            <w:r w:rsidRPr="001D41EA">
              <w:rPr>
                <w:rFonts w:cs="Arial"/>
                <w:b/>
                <w:sz w:val="18"/>
                <w:szCs w:val="18"/>
              </w:rPr>
              <w:t>2,083,366</w:t>
            </w:r>
          </w:p>
        </w:tc>
      </w:tr>
      <w:tr w:rsidR="009F0AF7" w:rsidRPr="001D41EA" w14:paraId="4749BBA7"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2C0850F" w14:textId="77777777" w:rsidR="009F0AF7" w:rsidRPr="001D41EA" w:rsidRDefault="009F0AF7" w:rsidP="001D41EA">
            <w:pPr>
              <w:spacing w:before="40" w:after="40"/>
              <w:rPr>
                <w:rFonts w:cs="Arial"/>
                <w:sz w:val="18"/>
                <w:szCs w:val="18"/>
              </w:rPr>
            </w:pPr>
            <w:r w:rsidRPr="001D41EA">
              <w:rPr>
                <w:rFonts w:cs="Arial"/>
                <w:sz w:val="18"/>
                <w:szCs w:val="18"/>
              </w:rPr>
              <w:t>Kingston C</w:t>
            </w:r>
          </w:p>
        </w:tc>
        <w:tc>
          <w:tcPr>
            <w:tcW w:w="1361" w:type="dxa"/>
            <w:tcBorders>
              <w:top w:val="nil"/>
              <w:left w:val="single" w:sz="18" w:space="0" w:color="5F497A" w:themeColor="accent4" w:themeShade="BF"/>
              <w:bottom w:val="nil"/>
              <w:right w:val="nil"/>
            </w:tcBorders>
            <w:shd w:val="clear" w:color="auto" w:fill="auto"/>
            <w:vAlign w:val="bottom"/>
          </w:tcPr>
          <w:p w14:paraId="7EBD5993" w14:textId="1340B947" w:rsidR="009F0AF7" w:rsidRPr="001D41EA" w:rsidRDefault="009F0AF7" w:rsidP="001D41EA">
            <w:pPr>
              <w:spacing w:before="40" w:after="40"/>
              <w:jc w:val="right"/>
              <w:rPr>
                <w:rFonts w:cs="Arial"/>
                <w:sz w:val="18"/>
                <w:szCs w:val="18"/>
              </w:rPr>
            </w:pPr>
            <w:r w:rsidRPr="001D41EA">
              <w:rPr>
                <w:rFonts w:cs="Arial"/>
                <w:sz w:val="18"/>
                <w:szCs w:val="18"/>
              </w:rPr>
              <w:t>1,540,628</w:t>
            </w:r>
          </w:p>
        </w:tc>
        <w:tc>
          <w:tcPr>
            <w:tcW w:w="1361" w:type="dxa"/>
            <w:tcBorders>
              <w:top w:val="nil"/>
              <w:left w:val="nil"/>
              <w:bottom w:val="nil"/>
              <w:right w:val="nil"/>
            </w:tcBorders>
            <w:shd w:val="clear" w:color="auto" w:fill="auto"/>
            <w:vAlign w:val="bottom"/>
          </w:tcPr>
          <w:p w14:paraId="41226765" w14:textId="35108E98" w:rsidR="009F0AF7" w:rsidRPr="001D41EA" w:rsidRDefault="009F0AF7" w:rsidP="001D41EA">
            <w:pPr>
              <w:spacing w:before="40" w:after="40"/>
              <w:jc w:val="right"/>
              <w:rPr>
                <w:rFonts w:cs="Arial"/>
                <w:sz w:val="18"/>
                <w:szCs w:val="18"/>
              </w:rPr>
            </w:pPr>
            <w:r w:rsidRPr="001D41EA">
              <w:rPr>
                <w:rFonts w:cs="Arial"/>
                <w:sz w:val="18"/>
                <w:szCs w:val="18"/>
              </w:rPr>
              <w:t>181,668</w:t>
            </w:r>
          </w:p>
        </w:tc>
        <w:tc>
          <w:tcPr>
            <w:tcW w:w="1361" w:type="dxa"/>
            <w:tcBorders>
              <w:top w:val="nil"/>
              <w:left w:val="nil"/>
              <w:bottom w:val="nil"/>
              <w:right w:val="nil"/>
            </w:tcBorders>
            <w:vAlign w:val="bottom"/>
          </w:tcPr>
          <w:p w14:paraId="5FE5656E" w14:textId="573B20BA" w:rsidR="009F0AF7" w:rsidRPr="001D41EA" w:rsidRDefault="009F0AF7" w:rsidP="001D41EA">
            <w:pPr>
              <w:spacing w:before="40" w:after="40"/>
              <w:jc w:val="right"/>
              <w:rPr>
                <w:rFonts w:cs="Arial"/>
                <w:sz w:val="18"/>
                <w:szCs w:val="18"/>
              </w:rPr>
            </w:pPr>
            <w:r w:rsidRPr="001D41EA">
              <w:rPr>
                <w:rFonts w:cs="Arial"/>
                <w:sz w:val="18"/>
                <w:szCs w:val="18"/>
              </w:rPr>
              <w:t>5,864,611</w:t>
            </w:r>
          </w:p>
        </w:tc>
        <w:tc>
          <w:tcPr>
            <w:tcW w:w="1361" w:type="dxa"/>
            <w:tcBorders>
              <w:top w:val="nil"/>
              <w:left w:val="nil"/>
              <w:bottom w:val="nil"/>
              <w:right w:val="nil"/>
            </w:tcBorders>
            <w:vAlign w:val="bottom"/>
          </w:tcPr>
          <w:p w14:paraId="7E7121B2" w14:textId="126372AA" w:rsidR="009F0AF7" w:rsidRPr="001D41EA" w:rsidRDefault="009F0AF7" w:rsidP="001D41EA">
            <w:pPr>
              <w:spacing w:before="40" w:after="40"/>
              <w:jc w:val="right"/>
              <w:rPr>
                <w:rFonts w:cs="Arial"/>
                <w:sz w:val="18"/>
                <w:szCs w:val="18"/>
              </w:rPr>
            </w:pPr>
            <w:r w:rsidRPr="001D41EA">
              <w:rPr>
                <w:rFonts w:cs="Arial"/>
                <w:sz w:val="18"/>
                <w:szCs w:val="18"/>
              </w:rPr>
              <w:t>331,397</w:t>
            </w:r>
          </w:p>
        </w:tc>
        <w:tc>
          <w:tcPr>
            <w:tcW w:w="1361" w:type="dxa"/>
            <w:tcBorders>
              <w:top w:val="nil"/>
              <w:left w:val="nil"/>
              <w:bottom w:val="nil"/>
              <w:right w:val="nil"/>
            </w:tcBorders>
            <w:shd w:val="clear" w:color="auto" w:fill="auto"/>
            <w:vAlign w:val="bottom"/>
          </w:tcPr>
          <w:p w14:paraId="5526A9B7" w14:textId="0C32973D" w:rsidR="009F0AF7" w:rsidRPr="001D41EA" w:rsidRDefault="009F0AF7" w:rsidP="001D41EA">
            <w:pPr>
              <w:spacing w:before="40" w:after="40"/>
              <w:jc w:val="right"/>
              <w:rPr>
                <w:rFonts w:cs="Arial"/>
                <w:b/>
                <w:sz w:val="18"/>
                <w:szCs w:val="18"/>
              </w:rPr>
            </w:pPr>
            <w:r w:rsidRPr="001D41EA">
              <w:rPr>
                <w:rFonts w:cs="Arial"/>
                <w:b/>
                <w:sz w:val="18"/>
                <w:szCs w:val="18"/>
              </w:rPr>
              <w:t>19,923,767</w:t>
            </w:r>
          </w:p>
        </w:tc>
      </w:tr>
      <w:tr w:rsidR="009F0AF7" w:rsidRPr="001D41EA" w14:paraId="2BD3A1B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2B0DE44" w14:textId="77777777" w:rsidR="009F0AF7" w:rsidRPr="001D41EA" w:rsidRDefault="009F0AF7" w:rsidP="001D41EA">
            <w:pPr>
              <w:spacing w:before="40" w:after="40"/>
              <w:rPr>
                <w:rFonts w:cs="Arial"/>
                <w:sz w:val="18"/>
                <w:szCs w:val="18"/>
              </w:rPr>
            </w:pPr>
            <w:r w:rsidRPr="001D41EA">
              <w:rPr>
                <w:rFonts w:cs="Arial"/>
                <w:sz w:val="18"/>
                <w:szCs w:val="18"/>
              </w:rPr>
              <w:t>Knox C</w:t>
            </w:r>
          </w:p>
        </w:tc>
        <w:tc>
          <w:tcPr>
            <w:tcW w:w="1361" w:type="dxa"/>
            <w:tcBorders>
              <w:top w:val="nil"/>
              <w:left w:val="single" w:sz="18" w:space="0" w:color="5F497A" w:themeColor="accent4" w:themeShade="BF"/>
              <w:bottom w:val="nil"/>
              <w:right w:val="nil"/>
            </w:tcBorders>
            <w:shd w:val="clear" w:color="auto" w:fill="auto"/>
            <w:vAlign w:val="bottom"/>
          </w:tcPr>
          <w:p w14:paraId="064BC66D" w14:textId="0BE0AA79" w:rsidR="009F0AF7" w:rsidRPr="001D41EA" w:rsidRDefault="009F0AF7" w:rsidP="001D41EA">
            <w:pPr>
              <w:spacing w:before="40" w:after="40"/>
              <w:jc w:val="right"/>
              <w:rPr>
                <w:rFonts w:cs="Arial"/>
                <w:sz w:val="18"/>
                <w:szCs w:val="18"/>
              </w:rPr>
            </w:pPr>
            <w:r w:rsidRPr="001D41EA">
              <w:rPr>
                <w:rFonts w:cs="Arial"/>
                <w:sz w:val="18"/>
                <w:szCs w:val="18"/>
              </w:rPr>
              <w:t>1,522,759</w:t>
            </w:r>
          </w:p>
        </w:tc>
        <w:tc>
          <w:tcPr>
            <w:tcW w:w="1361" w:type="dxa"/>
            <w:tcBorders>
              <w:top w:val="nil"/>
              <w:left w:val="nil"/>
              <w:bottom w:val="nil"/>
              <w:right w:val="nil"/>
            </w:tcBorders>
            <w:shd w:val="clear" w:color="auto" w:fill="auto"/>
            <w:vAlign w:val="bottom"/>
          </w:tcPr>
          <w:p w14:paraId="2407F07B" w14:textId="44F896FC" w:rsidR="009F0AF7" w:rsidRPr="001D41EA" w:rsidRDefault="009F0AF7" w:rsidP="001D41EA">
            <w:pPr>
              <w:spacing w:before="40" w:after="40"/>
              <w:jc w:val="right"/>
              <w:rPr>
                <w:rFonts w:cs="Arial"/>
                <w:sz w:val="18"/>
                <w:szCs w:val="18"/>
              </w:rPr>
            </w:pPr>
            <w:r w:rsidRPr="001D41EA">
              <w:rPr>
                <w:rFonts w:cs="Arial"/>
                <w:sz w:val="18"/>
                <w:szCs w:val="18"/>
              </w:rPr>
              <w:t>181,415</w:t>
            </w:r>
          </w:p>
        </w:tc>
        <w:tc>
          <w:tcPr>
            <w:tcW w:w="1361" w:type="dxa"/>
            <w:tcBorders>
              <w:top w:val="nil"/>
              <w:left w:val="nil"/>
              <w:bottom w:val="nil"/>
              <w:right w:val="nil"/>
            </w:tcBorders>
            <w:vAlign w:val="bottom"/>
          </w:tcPr>
          <w:p w14:paraId="5FA170F4" w14:textId="0FC50FC6" w:rsidR="009F0AF7" w:rsidRPr="001D41EA" w:rsidRDefault="009F0AF7" w:rsidP="001D41EA">
            <w:pPr>
              <w:spacing w:before="40" w:after="40"/>
              <w:jc w:val="right"/>
              <w:rPr>
                <w:rFonts w:cs="Arial"/>
                <w:sz w:val="18"/>
                <w:szCs w:val="18"/>
              </w:rPr>
            </w:pPr>
            <w:r w:rsidRPr="001D41EA">
              <w:rPr>
                <w:rFonts w:cs="Arial"/>
                <w:sz w:val="18"/>
                <w:szCs w:val="18"/>
              </w:rPr>
              <w:t>5,526,481</w:t>
            </w:r>
          </w:p>
        </w:tc>
        <w:tc>
          <w:tcPr>
            <w:tcW w:w="1361" w:type="dxa"/>
            <w:tcBorders>
              <w:top w:val="nil"/>
              <w:left w:val="nil"/>
              <w:bottom w:val="nil"/>
              <w:right w:val="nil"/>
            </w:tcBorders>
            <w:vAlign w:val="bottom"/>
          </w:tcPr>
          <w:p w14:paraId="4F772B6A" w14:textId="15FAEAAF" w:rsidR="009F0AF7" w:rsidRPr="001D41EA" w:rsidRDefault="009F0AF7" w:rsidP="001D41EA">
            <w:pPr>
              <w:spacing w:before="40" w:after="40"/>
              <w:jc w:val="right"/>
              <w:rPr>
                <w:rFonts w:cs="Arial"/>
                <w:sz w:val="18"/>
                <w:szCs w:val="18"/>
              </w:rPr>
            </w:pPr>
            <w:r w:rsidRPr="001D41EA">
              <w:rPr>
                <w:rFonts w:cs="Arial"/>
                <w:sz w:val="18"/>
                <w:szCs w:val="18"/>
              </w:rPr>
              <w:t>330,935</w:t>
            </w:r>
          </w:p>
        </w:tc>
        <w:tc>
          <w:tcPr>
            <w:tcW w:w="1361" w:type="dxa"/>
            <w:tcBorders>
              <w:top w:val="nil"/>
              <w:left w:val="nil"/>
              <w:bottom w:val="nil"/>
              <w:right w:val="nil"/>
            </w:tcBorders>
            <w:shd w:val="clear" w:color="auto" w:fill="auto"/>
            <w:vAlign w:val="bottom"/>
          </w:tcPr>
          <w:p w14:paraId="29C95521" w14:textId="560A078D" w:rsidR="009F0AF7" w:rsidRPr="001D41EA" w:rsidRDefault="009F0AF7" w:rsidP="001D41EA">
            <w:pPr>
              <w:spacing w:before="40" w:after="40"/>
              <w:jc w:val="right"/>
              <w:rPr>
                <w:rFonts w:cs="Arial"/>
                <w:b/>
                <w:sz w:val="18"/>
                <w:szCs w:val="18"/>
              </w:rPr>
            </w:pPr>
            <w:r w:rsidRPr="001D41EA">
              <w:rPr>
                <w:rFonts w:cs="Arial"/>
                <w:b/>
                <w:sz w:val="18"/>
                <w:szCs w:val="18"/>
              </w:rPr>
              <w:t>19,476,599</w:t>
            </w:r>
          </w:p>
        </w:tc>
      </w:tr>
      <w:tr w:rsidR="009F0AF7" w:rsidRPr="001D41EA" w14:paraId="4433A58C"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0F0A5D3" w14:textId="77777777" w:rsidR="009F0AF7" w:rsidRPr="001D41EA" w:rsidRDefault="009F0AF7" w:rsidP="001D41EA">
            <w:pPr>
              <w:spacing w:before="40" w:after="40"/>
              <w:rPr>
                <w:rFonts w:cs="Arial"/>
                <w:sz w:val="18"/>
                <w:szCs w:val="18"/>
              </w:rPr>
            </w:pPr>
            <w:r w:rsidRPr="001D41EA">
              <w:rPr>
                <w:rFonts w:cs="Arial"/>
                <w:sz w:val="18"/>
                <w:szCs w:val="18"/>
              </w:rPr>
              <w:t>Latrobe C</w:t>
            </w:r>
          </w:p>
        </w:tc>
        <w:tc>
          <w:tcPr>
            <w:tcW w:w="1361" w:type="dxa"/>
            <w:tcBorders>
              <w:top w:val="nil"/>
              <w:left w:val="single" w:sz="18" w:space="0" w:color="5F497A" w:themeColor="accent4" w:themeShade="BF"/>
              <w:bottom w:val="nil"/>
              <w:right w:val="nil"/>
            </w:tcBorders>
            <w:shd w:val="clear" w:color="auto" w:fill="auto"/>
            <w:vAlign w:val="bottom"/>
          </w:tcPr>
          <w:p w14:paraId="5B168B82" w14:textId="59D08D1B" w:rsidR="009F0AF7" w:rsidRPr="001D41EA" w:rsidRDefault="009F0AF7" w:rsidP="001D41EA">
            <w:pPr>
              <w:spacing w:before="40" w:after="40"/>
              <w:jc w:val="right"/>
              <w:rPr>
                <w:rFonts w:cs="Arial"/>
                <w:sz w:val="18"/>
                <w:szCs w:val="18"/>
              </w:rPr>
            </w:pPr>
            <w:r w:rsidRPr="001D41EA">
              <w:rPr>
                <w:rFonts w:cs="Arial"/>
                <w:sz w:val="18"/>
                <w:szCs w:val="18"/>
              </w:rPr>
              <w:t>827,835</w:t>
            </w:r>
          </w:p>
        </w:tc>
        <w:tc>
          <w:tcPr>
            <w:tcW w:w="1361" w:type="dxa"/>
            <w:tcBorders>
              <w:top w:val="nil"/>
              <w:left w:val="nil"/>
              <w:bottom w:val="nil"/>
              <w:right w:val="nil"/>
            </w:tcBorders>
            <w:shd w:val="clear" w:color="auto" w:fill="auto"/>
            <w:vAlign w:val="bottom"/>
          </w:tcPr>
          <w:p w14:paraId="0AF2DDCF" w14:textId="30C21954" w:rsidR="009F0AF7" w:rsidRPr="001D41EA" w:rsidRDefault="009F0AF7" w:rsidP="001D41EA">
            <w:pPr>
              <w:spacing w:before="40" w:after="40"/>
              <w:jc w:val="right"/>
              <w:rPr>
                <w:rFonts w:cs="Arial"/>
                <w:sz w:val="18"/>
                <w:szCs w:val="18"/>
              </w:rPr>
            </w:pPr>
            <w:r w:rsidRPr="001D41EA">
              <w:rPr>
                <w:rFonts w:cs="Arial"/>
                <w:sz w:val="18"/>
                <w:szCs w:val="18"/>
              </w:rPr>
              <w:t>83,604</w:t>
            </w:r>
          </w:p>
        </w:tc>
        <w:tc>
          <w:tcPr>
            <w:tcW w:w="1361" w:type="dxa"/>
            <w:tcBorders>
              <w:top w:val="nil"/>
              <w:left w:val="nil"/>
              <w:bottom w:val="nil"/>
              <w:right w:val="nil"/>
            </w:tcBorders>
            <w:vAlign w:val="bottom"/>
          </w:tcPr>
          <w:p w14:paraId="2234110A" w14:textId="21528129" w:rsidR="009F0AF7" w:rsidRPr="001D41EA" w:rsidRDefault="009F0AF7" w:rsidP="001D41EA">
            <w:pPr>
              <w:spacing w:before="40" w:after="40"/>
              <w:jc w:val="right"/>
              <w:rPr>
                <w:rFonts w:cs="Arial"/>
                <w:sz w:val="18"/>
                <w:szCs w:val="18"/>
              </w:rPr>
            </w:pPr>
            <w:r w:rsidRPr="001D41EA">
              <w:rPr>
                <w:rFonts w:cs="Arial"/>
                <w:sz w:val="18"/>
                <w:szCs w:val="18"/>
              </w:rPr>
              <w:t>2,582,946</w:t>
            </w:r>
          </w:p>
        </w:tc>
        <w:tc>
          <w:tcPr>
            <w:tcW w:w="1361" w:type="dxa"/>
            <w:tcBorders>
              <w:top w:val="nil"/>
              <w:left w:val="nil"/>
              <w:bottom w:val="nil"/>
              <w:right w:val="nil"/>
            </w:tcBorders>
            <w:vAlign w:val="bottom"/>
          </w:tcPr>
          <w:p w14:paraId="427E6102" w14:textId="7531CCF8" w:rsidR="009F0AF7" w:rsidRPr="001D41EA" w:rsidRDefault="009F0AF7" w:rsidP="001D41EA">
            <w:pPr>
              <w:spacing w:before="40" w:after="40"/>
              <w:jc w:val="right"/>
              <w:rPr>
                <w:rFonts w:cs="Arial"/>
                <w:sz w:val="18"/>
                <w:szCs w:val="18"/>
              </w:rPr>
            </w:pPr>
            <w:r w:rsidRPr="001D41EA">
              <w:rPr>
                <w:rFonts w:cs="Arial"/>
                <w:sz w:val="18"/>
                <w:szCs w:val="18"/>
              </w:rPr>
              <w:t>152,509</w:t>
            </w:r>
          </w:p>
        </w:tc>
        <w:tc>
          <w:tcPr>
            <w:tcW w:w="1361" w:type="dxa"/>
            <w:tcBorders>
              <w:top w:val="nil"/>
              <w:left w:val="nil"/>
              <w:bottom w:val="nil"/>
              <w:right w:val="nil"/>
            </w:tcBorders>
            <w:shd w:val="clear" w:color="auto" w:fill="auto"/>
            <w:vAlign w:val="bottom"/>
          </w:tcPr>
          <w:p w14:paraId="055C624C" w14:textId="12914673" w:rsidR="009F0AF7" w:rsidRPr="001D41EA" w:rsidRDefault="009F0AF7" w:rsidP="001D41EA">
            <w:pPr>
              <w:spacing w:before="40" w:after="40"/>
              <w:jc w:val="right"/>
              <w:rPr>
                <w:rFonts w:cs="Arial"/>
                <w:b/>
                <w:sz w:val="18"/>
                <w:szCs w:val="18"/>
              </w:rPr>
            </w:pPr>
            <w:r w:rsidRPr="001D41EA">
              <w:rPr>
                <w:rFonts w:cs="Arial"/>
                <w:b/>
                <w:sz w:val="18"/>
                <w:szCs w:val="18"/>
              </w:rPr>
              <w:t>9,087,295</w:t>
            </w:r>
          </w:p>
        </w:tc>
      </w:tr>
      <w:tr w:rsidR="009F0AF7" w:rsidRPr="001D41EA" w14:paraId="4F65780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C62BE95" w14:textId="77777777" w:rsidR="009F0AF7" w:rsidRPr="001D41EA" w:rsidRDefault="009F0AF7" w:rsidP="001D41EA">
            <w:pPr>
              <w:spacing w:before="40" w:after="40"/>
              <w:rPr>
                <w:rFonts w:cs="Arial"/>
                <w:sz w:val="18"/>
                <w:szCs w:val="18"/>
              </w:rPr>
            </w:pPr>
            <w:r w:rsidRPr="001D41EA">
              <w:rPr>
                <w:rFonts w:cs="Arial"/>
                <w:sz w:val="18"/>
                <w:szCs w:val="18"/>
              </w:rPr>
              <w:t>Loddon S</w:t>
            </w:r>
          </w:p>
        </w:tc>
        <w:tc>
          <w:tcPr>
            <w:tcW w:w="1361" w:type="dxa"/>
            <w:tcBorders>
              <w:top w:val="nil"/>
              <w:left w:val="single" w:sz="18" w:space="0" w:color="5F497A" w:themeColor="accent4" w:themeShade="BF"/>
              <w:bottom w:val="nil"/>
              <w:right w:val="nil"/>
            </w:tcBorders>
            <w:shd w:val="clear" w:color="auto" w:fill="auto"/>
            <w:vAlign w:val="bottom"/>
          </w:tcPr>
          <w:p w14:paraId="433621FC" w14:textId="6A486318" w:rsidR="009F0AF7" w:rsidRPr="001D41EA" w:rsidRDefault="009F0AF7" w:rsidP="001D41EA">
            <w:pPr>
              <w:spacing w:before="40" w:after="40"/>
              <w:jc w:val="right"/>
              <w:rPr>
                <w:rFonts w:cs="Arial"/>
                <w:sz w:val="18"/>
                <w:szCs w:val="18"/>
              </w:rPr>
            </w:pPr>
            <w:r w:rsidRPr="001D41EA">
              <w:rPr>
                <w:rFonts w:cs="Arial"/>
                <w:sz w:val="18"/>
                <w:szCs w:val="18"/>
              </w:rPr>
              <w:t>55,543</w:t>
            </w:r>
          </w:p>
        </w:tc>
        <w:tc>
          <w:tcPr>
            <w:tcW w:w="1361" w:type="dxa"/>
            <w:tcBorders>
              <w:top w:val="nil"/>
              <w:left w:val="nil"/>
              <w:bottom w:val="nil"/>
              <w:right w:val="nil"/>
            </w:tcBorders>
            <w:shd w:val="clear" w:color="auto" w:fill="auto"/>
            <w:vAlign w:val="bottom"/>
          </w:tcPr>
          <w:p w14:paraId="0EC2A1CF" w14:textId="760E8E32" w:rsidR="009F0AF7" w:rsidRPr="001D41EA" w:rsidRDefault="009F0AF7" w:rsidP="001D41EA">
            <w:pPr>
              <w:spacing w:before="40" w:after="40"/>
              <w:jc w:val="right"/>
              <w:rPr>
                <w:rFonts w:cs="Arial"/>
                <w:sz w:val="18"/>
                <w:szCs w:val="18"/>
              </w:rPr>
            </w:pPr>
            <w:r w:rsidRPr="001D41EA">
              <w:rPr>
                <w:rFonts w:cs="Arial"/>
                <w:sz w:val="18"/>
                <w:szCs w:val="18"/>
              </w:rPr>
              <w:t>8,351</w:t>
            </w:r>
          </w:p>
        </w:tc>
        <w:tc>
          <w:tcPr>
            <w:tcW w:w="1361" w:type="dxa"/>
            <w:tcBorders>
              <w:top w:val="nil"/>
              <w:left w:val="nil"/>
              <w:bottom w:val="nil"/>
              <w:right w:val="nil"/>
            </w:tcBorders>
            <w:vAlign w:val="bottom"/>
          </w:tcPr>
          <w:p w14:paraId="5BC62CD5" w14:textId="27720562" w:rsidR="009F0AF7" w:rsidRPr="001D41EA" w:rsidRDefault="009F0AF7" w:rsidP="001D41EA">
            <w:pPr>
              <w:spacing w:before="40" w:after="40"/>
              <w:jc w:val="right"/>
              <w:rPr>
                <w:rFonts w:cs="Arial"/>
                <w:sz w:val="18"/>
                <w:szCs w:val="18"/>
              </w:rPr>
            </w:pPr>
            <w:r w:rsidRPr="001D41EA">
              <w:rPr>
                <w:rFonts w:cs="Arial"/>
                <w:sz w:val="18"/>
                <w:szCs w:val="18"/>
              </w:rPr>
              <w:t>269,118</w:t>
            </w:r>
          </w:p>
        </w:tc>
        <w:tc>
          <w:tcPr>
            <w:tcW w:w="1361" w:type="dxa"/>
            <w:tcBorders>
              <w:top w:val="nil"/>
              <w:left w:val="nil"/>
              <w:bottom w:val="nil"/>
              <w:right w:val="nil"/>
            </w:tcBorders>
            <w:vAlign w:val="bottom"/>
          </w:tcPr>
          <w:p w14:paraId="5CB2CEC7" w14:textId="5C4545C2" w:rsidR="009F0AF7" w:rsidRPr="001D41EA" w:rsidRDefault="009F0AF7" w:rsidP="001D41EA">
            <w:pPr>
              <w:spacing w:before="40" w:after="40"/>
              <w:jc w:val="right"/>
              <w:rPr>
                <w:rFonts w:cs="Arial"/>
                <w:sz w:val="18"/>
                <w:szCs w:val="18"/>
              </w:rPr>
            </w:pPr>
            <w:r w:rsidRPr="001D41EA">
              <w:rPr>
                <w:rFonts w:cs="Arial"/>
                <w:sz w:val="18"/>
                <w:szCs w:val="18"/>
              </w:rPr>
              <w:t>15,234</w:t>
            </w:r>
          </w:p>
        </w:tc>
        <w:tc>
          <w:tcPr>
            <w:tcW w:w="1361" w:type="dxa"/>
            <w:tcBorders>
              <w:top w:val="nil"/>
              <w:left w:val="nil"/>
              <w:bottom w:val="nil"/>
              <w:right w:val="nil"/>
            </w:tcBorders>
            <w:shd w:val="clear" w:color="auto" w:fill="auto"/>
            <w:vAlign w:val="bottom"/>
          </w:tcPr>
          <w:p w14:paraId="52B39B9B" w14:textId="6892166A" w:rsidR="009F0AF7" w:rsidRPr="001D41EA" w:rsidRDefault="009F0AF7" w:rsidP="001D41EA">
            <w:pPr>
              <w:spacing w:before="40" w:after="40"/>
              <w:jc w:val="right"/>
              <w:rPr>
                <w:rFonts w:cs="Arial"/>
                <w:b/>
                <w:sz w:val="18"/>
                <w:szCs w:val="18"/>
              </w:rPr>
            </w:pPr>
            <w:r w:rsidRPr="001D41EA">
              <w:rPr>
                <w:rFonts w:cs="Arial"/>
                <w:b/>
                <w:sz w:val="18"/>
                <w:szCs w:val="18"/>
              </w:rPr>
              <w:t>937,777</w:t>
            </w:r>
          </w:p>
        </w:tc>
      </w:tr>
    </w:tbl>
    <w:p w14:paraId="02BB7666" w14:textId="77777777" w:rsidR="00893320" w:rsidRPr="00A44829" w:rsidRDefault="00893320" w:rsidP="00FF36E8">
      <w:pPr>
        <w:spacing w:before="40" w:after="20"/>
        <w:rPr>
          <w:rFonts w:cs="Arial"/>
          <w:sz w:val="18"/>
          <w:szCs w:val="18"/>
        </w:rPr>
      </w:pPr>
    </w:p>
    <w:p w14:paraId="6CB9DB34" w14:textId="77777777" w:rsidR="00893320" w:rsidRPr="00A44829" w:rsidRDefault="00893320" w:rsidP="00FF36E8">
      <w:pPr>
        <w:spacing w:before="40" w:after="20"/>
        <w:rPr>
          <w:rFonts w:cs="Arial"/>
          <w:sz w:val="18"/>
          <w:szCs w:val="18"/>
        </w:rPr>
      </w:pPr>
      <w:r w:rsidRPr="00A44829">
        <w:rPr>
          <w:rFonts w:cs="Arial"/>
          <w:sz w:val="18"/>
          <w:szCs w:val="18"/>
        </w:rPr>
        <w:br w:type="page"/>
      </w:r>
    </w:p>
    <w:p w14:paraId="311B43EB" w14:textId="2949A1E7" w:rsidR="00893320" w:rsidRPr="00A44829" w:rsidRDefault="00CE4507" w:rsidP="00C33713">
      <w:pPr>
        <w:pStyle w:val="VGC-Head10"/>
      </w:pPr>
      <w:r w:rsidRPr="00A44829">
        <w:lastRenderedPageBreak/>
        <w:t>Appendix 4</w:t>
      </w:r>
      <w:r w:rsidR="00893320" w:rsidRPr="00A44829">
        <w:tab/>
      </w:r>
      <w:r w:rsidR="00EE4593" w:rsidRPr="00A44829">
        <w:t>2019-20</w:t>
      </w:r>
      <w:r w:rsidR="00A97ABE" w:rsidRPr="00A44829">
        <w:t xml:space="preserve"> </w:t>
      </w:r>
      <w:r w:rsidR="00893320" w:rsidRPr="00A44829">
        <w:t xml:space="preserve">General Purpose Grants </w:t>
      </w:r>
    </w:p>
    <w:p w14:paraId="7E0959AC" w14:textId="77777777" w:rsidR="00893320" w:rsidRPr="00A44829" w:rsidRDefault="00893320" w:rsidP="008C1A28">
      <w:pPr>
        <w:pStyle w:val="VGC-Head2"/>
      </w:pPr>
      <w:r w:rsidRPr="00A44829">
        <w:t>I.  Standardised Fees and Charges</w:t>
      </w:r>
    </w:p>
    <w:p w14:paraId="47C20A61" w14:textId="77777777" w:rsidR="00893320" w:rsidRPr="00A44829"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A44829" w14:paraId="7ACCE758"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7A14FE7B" w14:textId="77777777" w:rsidR="00893320" w:rsidRPr="00A44829" w:rsidRDefault="00893320" w:rsidP="008001AD">
            <w:pPr>
              <w:spacing w:before="40" w:after="20"/>
              <w:jc w:val="center"/>
              <w:rPr>
                <w:rFonts w:cs="Arial"/>
                <w:sz w:val="18"/>
                <w:szCs w:val="18"/>
              </w:rPr>
            </w:pPr>
          </w:p>
        </w:tc>
        <w:tc>
          <w:tcPr>
            <w:tcW w:w="6805" w:type="dxa"/>
            <w:gridSpan w:val="5"/>
            <w:tcBorders>
              <w:left w:val="single" w:sz="18" w:space="0" w:color="5F497A" w:themeColor="accent4" w:themeShade="BF"/>
              <w:bottom w:val="single" w:sz="8" w:space="0" w:color="5F497A" w:themeColor="accent4" w:themeShade="BF"/>
            </w:tcBorders>
            <w:shd w:val="clear" w:color="auto" w:fill="auto"/>
            <w:vAlign w:val="bottom"/>
          </w:tcPr>
          <w:p w14:paraId="1273AD52" w14:textId="77777777" w:rsidR="00893320" w:rsidRPr="00A44829" w:rsidRDefault="00893320" w:rsidP="008001AD">
            <w:pPr>
              <w:spacing w:before="40" w:after="20"/>
              <w:jc w:val="center"/>
              <w:rPr>
                <w:rFonts w:cs="Arial"/>
                <w:b/>
                <w:sz w:val="18"/>
                <w:szCs w:val="18"/>
              </w:rPr>
            </w:pPr>
            <w:r w:rsidRPr="00A44829">
              <w:rPr>
                <w:rFonts w:cs="Arial"/>
                <w:b/>
                <w:sz w:val="18"/>
                <w:szCs w:val="18"/>
              </w:rPr>
              <w:t>Standardised Fees and Charges</w:t>
            </w:r>
          </w:p>
        </w:tc>
      </w:tr>
      <w:tr w:rsidR="00893320" w:rsidRPr="00A44829" w14:paraId="01E5AF29"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21D422E4" w14:textId="77777777" w:rsidR="00893320" w:rsidRPr="00A44829" w:rsidRDefault="00893320" w:rsidP="008001AD">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624B4B7C" w14:textId="77777777" w:rsidR="00893320" w:rsidRPr="00A44829" w:rsidRDefault="00893320" w:rsidP="008001AD">
            <w:pPr>
              <w:spacing w:before="40" w:after="20"/>
              <w:jc w:val="center"/>
              <w:rPr>
                <w:rFonts w:cs="Arial"/>
                <w:sz w:val="16"/>
                <w:szCs w:val="16"/>
              </w:rPr>
            </w:pPr>
            <w:r w:rsidRPr="00A44829">
              <w:rPr>
                <w:rFonts w:cs="Arial"/>
                <w:sz w:val="16"/>
                <w:szCs w:val="16"/>
              </w:rPr>
              <w:t>Governance</w:t>
            </w:r>
            <w:r w:rsidRPr="00A44829">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7D9BB8E6" w14:textId="77777777" w:rsidR="00893320" w:rsidRPr="00A44829" w:rsidRDefault="00893320" w:rsidP="008001AD">
            <w:pPr>
              <w:spacing w:before="40" w:after="20"/>
              <w:jc w:val="center"/>
              <w:rPr>
                <w:rFonts w:cs="Arial"/>
                <w:sz w:val="16"/>
                <w:szCs w:val="16"/>
              </w:rPr>
            </w:pPr>
            <w:r w:rsidRPr="00A44829">
              <w:rPr>
                <w:rFonts w:cs="Arial"/>
                <w:sz w:val="16"/>
                <w:szCs w:val="16"/>
              </w:rPr>
              <w:t xml:space="preserve">Family &amp; Community Services </w:t>
            </w:r>
            <w:r w:rsidRPr="00A44829">
              <w:rPr>
                <w:rFonts w:cs="Arial"/>
                <w:sz w:val="16"/>
                <w:szCs w:val="16"/>
              </w:rPr>
              <w:br/>
              <w:t>($)</w:t>
            </w:r>
          </w:p>
        </w:tc>
        <w:tc>
          <w:tcPr>
            <w:tcW w:w="1361" w:type="dxa"/>
            <w:tcBorders>
              <w:top w:val="single" w:sz="8" w:space="0" w:color="5F497A" w:themeColor="accent4" w:themeShade="BF"/>
              <w:bottom w:val="single" w:sz="8" w:space="0" w:color="5F497A" w:themeColor="accent4" w:themeShade="BF"/>
            </w:tcBorders>
            <w:vAlign w:val="bottom"/>
          </w:tcPr>
          <w:p w14:paraId="5A113C20" w14:textId="77777777" w:rsidR="00893320" w:rsidRPr="00A44829" w:rsidRDefault="00893320" w:rsidP="008001AD">
            <w:pPr>
              <w:spacing w:before="40" w:after="20"/>
              <w:jc w:val="center"/>
              <w:rPr>
                <w:rFonts w:cs="Arial"/>
                <w:sz w:val="16"/>
                <w:szCs w:val="16"/>
              </w:rPr>
            </w:pPr>
            <w:r w:rsidRPr="00A44829">
              <w:rPr>
                <w:rFonts w:cs="Arial"/>
                <w:sz w:val="16"/>
                <w:szCs w:val="16"/>
              </w:rPr>
              <w:t xml:space="preserve">Aged </w:t>
            </w:r>
            <w:r w:rsidR="00632855" w:rsidRPr="00A44829">
              <w:rPr>
                <w:rFonts w:cs="Arial"/>
                <w:sz w:val="16"/>
                <w:szCs w:val="16"/>
              </w:rPr>
              <w:t xml:space="preserve">&amp; </w:t>
            </w:r>
            <w:r w:rsidR="001342F4" w:rsidRPr="00A44829">
              <w:rPr>
                <w:rFonts w:cs="Arial"/>
                <w:sz w:val="16"/>
                <w:szCs w:val="16"/>
              </w:rPr>
              <w:br/>
            </w:r>
            <w:r w:rsidR="00632855" w:rsidRPr="00A44829">
              <w:rPr>
                <w:rFonts w:cs="Arial"/>
                <w:sz w:val="16"/>
                <w:szCs w:val="16"/>
              </w:rPr>
              <w:t xml:space="preserve">Disabled </w:t>
            </w:r>
            <w:r w:rsidRPr="00A44829">
              <w:rPr>
                <w:rFonts w:cs="Arial"/>
                <w:sz w:val="16"/>
                <w:szCs w:val="16"/>
              </w:rPr>
              <w:t>Services</w:t>
            </w:r>
            <w:r w:rsidRPr="00A44829">
              <w:rPr>
                <w:rFonts w:cs="Arial"/>
                <w:sz w:val="16"/>
                <w:szCs w:val="16"/>
              </w:rPr>
              <w:br/>
              <w:t>($)</w:t>
            </w:r>
          </w:p>
        </w:tc>
        <w:tc>
          <w:tcPr>
            <w:tcW w:w="1361" w:type="dxa"/>
            <w:tcBorders>
              <w:top w:val="single" w:sz="8" w:space="0" w:color="5F497A" w:themeColor="accent4" w:themeShade="BF"/>
              <w:bottom w:val="single" w:sz="8" w:space="0" w:color="5F497A" w:themeColor="accent4" w:themeShade="BF"/>
            </w:tcBorders>
            <w:vAlign w:val="bottom"/>
          </w:tcPr>
          <w:p w14:paraId="623C791B" w14:textId="77777777" w:rsidR="00893320" w:rsidRPr="00A44829" w:rsidRDefault="00893320" w:rsidP="008001AD">
            <w:pPr>
              <w:spacing w:before="40" w:after="20"/>
              <w:jc w:val="center"/>
              <w:rPr>
                <w:rFonts w:cs="Arial"/>
                <w:sz w:val="16"/>
                <w:szCs w:val="16"/>
              </w:rPr>
            </w:pPr>
            <w:r w:rsidRPr="00A44829">
              <w:rPr>
                <w:rFonts w:cs="Arial"/>
                <w:sz w:val="16"/>
                <w:szCs w:val="16"/>
              </w:rPr>
              <w:t xml:space="preserve">Recreation </w:t>
            </w:r>
            <w:r w:rsidRPr="00A44829">
              <w:rPr>
                <w:rFonts w:cs="Arial"/>
                <w:sz w:val="16"/>
                <w:szCs w:val="16"/>
              </w:rPr>
              <w:br/>
              <w:t>&amp; Culture</w:t>
            </w:r>
            <w:r w:rsidRPr="00A44829">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44FEE6B6" w14:textId="77777777" w:rsidR="00893320" w:rsidRPr="00A44829" w:rsidRDefault="00893320" w:rsidP="008001AD">
            <w:pPr>
              <w:spacing w:before="40" w:after="20"/>
              <w:jc w:val="center"/>
              <w:rPr>
                <w:rFonts w:cs="Arial"/>
                <w:sz w:val="16"/>
                <w:szCs w:val="16"/>
              </w:rPr>
            </w:pPr>
            <w:r w:rsidRPr="00A44829">
              <w:rPr>
                <w:rFonts w:cs="Arial"/>
                <w:sz w:val="16"/>
                <w:szCs w:val="16"/>
              </w:rPr>
              <w:t>Waste Management</w:t>
            </w:r>
            <w:r w:rsidRPr="00A44829">
              <w:rPr>
                <w:rFonts w:cs="Arial"/>
                <w:sz w:val="16"/>
                <w:szCs w:val="16"/>
              </w:rPr>
              <w:br/>
              <w:t>($)</w:t>
            </w:r>
          </w:p>
        </w:tc>
      </w:tr>
      <w:tr w:rsidR="009F0AF7" w:rsidRPr="001D41EA" w14:paraId="3DD3228E" w14:textId="77777777" w:rsidTr="00B44BBE">
        <w:trPr>
          <w:trHeight w:val="240"/>
          <w:tblHeader/>
        </w:trPr>
        <w:tc>
          <w:tcPr>
            <w:tcW w:w="2268" w:type="dxa"/>
            <w:tcBorders>
              <w:left w:val="nil"/>
              <w:bottom w:val="nil"/>
              <w:right w:val="single" w:sz="18" w:space="0" w:color="5F497A" w:themeColor="accent4" w:themeShade="BF"/>
            </w:tcBorders>
            <w:shd w:val="clear" w:color="auto" w:fill="auto"/>
            <w:vAlign w:val="center"/>
          </w:tcPr>
          <w:p w14:paraId="637D5F9B" w14:textId="77777777" w:rsidR="009F0AF7" w:rsidRPr="001D41EA" w:rsidRDefault="009F0AF7" w:rsidP="001D41EA">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BC9A17D" w14:textId="4DD4115B" w:rsidR="009F0AF7" w:rsidRPr="001D41EA" w:rsidRDefault="009F0AF7" w:rsidP="001D41EA">
            <w:pPr>
              <w:spacing w:before="40" w:after="2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614523A1" w14:textId="3B872246" w:rsidR="009F0AF7" w:rsidRPr="001D41EA" w:rsidRDefault="009F0AF7" w:rsidP="001D41EA">
            <w:pPr>
              <w:spacing w:before="40" w:after="2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vAlign w:val="bottom"/>
          </w:tcPr>
          <w:p w14:paraId="3474D4EB" w14:textId="469BADAA" w:rsidR="009F0AF7" w:rsidRPr="001D41EA" w:rsidRDefault="009F0AF7" w:rsidP="001D41EA">
            <w:pPr>
              <w:spacing w:before="40" w:after="2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vAlign w:val="bottom"/>
          </w:tcPr>
          <w:p w14:paraId="011917C3" w14:textId="1989A470" w:rsidR="009F0AF7" w:rsidRPr="001D41EA" w:rsidRDefault="009F0AF7" w:rsidP="001D41EA">
            <w:pPr>
              <w:spacing w:before="40" w:after="2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3AB145E5" w14:textId="5FE06431" w:rsidR="009F0AF7" w:rsidRPr="001D41EA" w:rsidRDefault="009F0AF7" w:rsidP="001D41EA">
            <w:pPr>
              <w:spacing w:before="40" w:after="20"/>
              <w:jc w:val="right"/>
              <w:rPr>
                <w:rFonts w:cs="Arial"/>
                <w:sz w:val="18"/>
                <w:szCs w:val="18"/>
              </w:rPr>
            </w:pPr>
            <w:r w:rsidRPr="001D41EA">
              <w:rPr>
                <w:rFonts w:cs="Arial"/>
                <w:sz w:val="18"/>
                <w:szCs w:val="18"/>
              </w:rPr>
              <w:t> </w:t>
            </w:r>
          </w:p>
        </w:tc>
      </w:tr>
      <w:tr w:rsidR="009F0AF7" w:rsidRPr="001D41EA" w14:paraId="465FBFD7"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7E18803" w14:textId="77777777" w:rsidR="009F0AF7" w:rsidRPr="001D41EA" w:rsidRDefault="009F0AF7" w:rsidP="001D41EA">
            <w:pPr>
              <w:spacing w:before="40" w:after="20"/>
              <w:rPr>
                <w:rFonts w:cs="Arial"/>
                <w:sz w:val="18"/>
                <w:szCs w:val="18"/>
              </w:rPr>
            </w:pPr>
            <w:r w:rsidRPr="001D41EA">
              <w:rPr>
                <w:rFonts w:cs="Arial"/>
                <w:sz w:val="18"/>
                <w:szCs w:val="18"/>
              </w:rPr>
              <w:t>Macedon Ranges S</w:t>
            </w:r>
          </w:p>
        </w:tc>
        <w:tc>
          <w:tcPr>
            <w:tcW w:w="1361" w:type="dxa"/>
            <w:tcBorders>
              <w:top w:val="nil"/>
              <w:left w:val="single" w:sz="18" w:space="0" w:color="5F497A" w:themeColor="accent4" w:themeShade="BF"/>
              <w:bottom w:val="nil"/>
              <w:right w:val="nil"/>
            </w:tcBorders>
            <w:shd w:val="clear" w:color="auto" w:fill="auto"/>
            <w:vAlign w:val="bottom"/>
          </w:tcPr>
          <w:p w14:paraId="522BC08B" w14:textId="3E708B69" w:rsidR="009F0AF7" w:rsidRPr="001D41EA" w:rsidRDefault="009F0AF7" w:rsidP="001D41EA">
            <w:pPr>
              <w:spacing w:before="40" w:after="20"/>
              <w:jc w:val="right"/>
              <w:rPr>
                <w:rFonts w:cs="Arial"/>
                <w:sz w:val="18"/>
                <w:szCs w:val="18"/>
              </w:rPr>
            </w:pPr>
            <w:r w:rsidRPr="001D41EA">
              <w:rPr>
                <w:rFonts w:cs="Arial"/>
                <w:sz w:val="18"/>
                <w:szCs w:val="18"/>
              </w:rPr>
              <w:t>829,817</w:t>
            </w:r>
          </w:p>
        </w:tc>
        <w:tc>
          <w:tcPr>
            <w:tcW w:w="1361" w:type="dxa"/>
            <w:tcBorders>
              <w:top w:val="nil"/>
              <w:left w:val="nil"/>
              <w:bottom w:val="nil"/>
              <w:right w:val="nil"/>
            </w:tcBorders>
            <w:shd w:val="clear" w:color="auto" w:fill="auto"/>
            <w:vAlign w:val="bottom"/>
          </w:tcPr>
          <w:p w14:paraId="73866C16" w14:textId="7EA10C4A" w:rsidR="009F0AF7" w:rsidRPr="001D41EA" w:rsidRDefault="009F0AF7" w:rsidP="001D41EA">
            <w:pPr>
              <w:spacing w:before="40" w:after="20"/>
              <w:jc w:val="right"/>
              <w:rPr>
                <w:rFonts w:cs="Arial"/>
                <w:sz w:val="18"/>
                <w:szCs w:val="18"/>
              </w:rPr>
            </w:pPr>
            <w:r w:rsidRPr="001D41EA">
              <w:rPr>
                <w:rFonts w:cs="Arial"/>
                <w:sz w:val="18"/>
                <w:szCs w:val="18"/>
              </w:rPr>
              <w:t>624,853</w:t>
            </w:r>
          </w:p>
        </w:tc>
        <w:tc>
          <w:tcPr>
            <w:tcW w:w="1361" w:type="dxa"/>
            <w:tcBorders>
              <w:top w:val="nil"/>
              <w:left w:val="nil"/>
              <w:bottom w:val="nil"/>
              <w:right w:val="nil"/>
            </w:tcBorders>
            <w:vAlign w:val="bottom"/>
          </w:tcPr>
          <w:p w14:paraId="06ED6ECC" w14:textId="03616839" w:rsidR="009F0AF7" w:rsidRPr="001D41EA" w:rsidRDefault="009F0AF7" w:rsidP="001D41EA">
            <w:pPr>
              <w:spacing w:before="40" w:after="20"/>
              <w:jc w:val="right"/>
              <w:rPr>
                <w:rFonts w:cs="Arial"/>
                <w:sz w:val="18"/>
                <w:szCs w:val="18"/>
              </w:rPr>
            </w:pPr>
            <w:r w:rsidRPr="001D41EA">
              <w:rPr>
                <w:rFonts w:cs="Arial"/>
                <w:sz w:val="18"/>
                <w:szCs w:val="18"/>
              </w:rPr>
              <w:t>541,983</w:t>
            </w:r>
          </w:p>
        </w:tc>
        <w:tc>
          <w:tcPr>
            <w:tcW w:w="1361" w:type="dxa"/>
            <w:tcBorders>
              <w:top w:val="nil"/>
              <w:left w:val="nil"/>
              <w:bottom w:val="nil"/>
              <w:right w:val="nil"/>
            </w:tcBorders>
            <w:vAlign w:val="bottom"/>
          </w:tcPr>
          <w:p w14:paraId="5DC043AD" w14:textId="4AE81791" w:rsidR="009F0AF7" w:rsidRPr="001D41EA" w:rsidRDefault="009F0AF7" w:rsidP="001D41EA">
            <w:pPr>
              <w:spacing w:before="40" w:after="20"/>
              <w:jc w:val="right"/>
              <w:rPr>
                <w:rFonts w:cs="Arial"/>
                <w:sz w:val="18"/>
                <w:szCs w:val="18"/>
              </w:rPr>
            </w:pPr>
            <w:r w:rsidRPr="001D41EA">
              <w:rPr>
                <w:rFonts w:cs="Arial"/>
                <w:sz w:val="18"/>
                <w:szCs w:val="18"/>
              </w:rPr>
              <w:t>1,123,338</w:t>
            </w:r>
          </w:p>
        </w:tc>
        <w:tc>
          <w:tcPr>
            <w:tcW w:w="1361" w:type="dxa"/>
            <w:tcBorders>
              <w:top w:val="nil"/>
              <w:left w:val="nil"/>
              <w:bottom w:val="nil"/>
              <w:right w:val="nil"/>
            </w:tcBorders>
            <w:shd w:val="clear" w:color="auto" w:fill="auto"/>
            <w:vAlign w:val="bottom"/>
          </w:tcPr>
          <w:p w14:paraId="33F12D33" w14:textId="44DCECBE" w:rsidR="009F0AF7" w:rsidRPr="001D41EA" w:rsidRDefault="009F0AF7" w:rsidP="001D41EA">
            <w:pPr>
              <w:spacing w:before="40" w:after="20"/>
              <w:jc w:val="right"/>
              <w:rPr>
                <w:rFonts w:cs="Arial"/>
                <w:sz w:val="18"/>
                <w:szCs w:val="18"/>
              </w:rPr>
            </w:pPr>
            <w:r w:rsidRPr="001D41EA">
              <w:rPr>
                <w:rFonts w:cs="Arial"/>
                <w:sz w:val="18"/>
                <w:szCs w:val="18"/>
              </w:rPr>
              <w:t>577,334</w:t>
            </w:r>
          </w:p>
        </w:tc>
      </w:tr>
      <w:tr w:rsidR="009F0AF7" w:rsidRPr="001D41EA" w14:paraId="4D520A06"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24F6B6D" w14:textId="77777777" w:rsidR="009F0AF7" w:rsidRPr="001D41EA" w:rsidRDefault="009F0AF7" w:rsidP="001D41EA">
            <w:pPr>
              <w:spacing w:before="40" w:after="20"/>
              <w:rPr>
                <w:rFonts w:cs="Arial"/>
                <w:sz w:val="18"/>
                <w:szCs w:val="18"/>
              </w:rPr>
            </w:pPr>
            <w:r w:rsidRPr="001D41EA">
              <w:rPr>
                <w:rFonts w:cs="Arial"/>
                <w:sz w:val="18"/>
                <w:szCs w:val="18"/>
              </w:rPr>
              <w:t>Manningham C</w:t>
            </w:r>
          </w:p>
        </w:tc>
        <w:tc>
          <w:tcPr>
            <w:tcW w:w="1361" w:type="dxa"/>
            <w:tcBorders>
              <w:top w:val="nil"/>
              <w:left w:val="single" w:sz="18" w:space="0" w:color="5F497A" w:themeColor="accent4" w:themeShade="BF"/>
              <w:bottom w:val="nil"/>
              <w:right w:val="nil"/>
            </w:tcBorders>
            <w:shd w:val="clear" w:color="auto" w:fill="auto"/>
            <w:vAlign w:val="bottom"/>
          </w:tcPr>
          <w:p w14:paraId="1BD92A03" w14:textId="6A731168" w:rsidR="009F0AF7" w:rsidRPr="001D41EA" w:rsidRDefault="009F0AF7" w:rsidP="001D41EA">
            <w:pPr>
              <w:spacing w:before="40" w:after="20"/>
              <w:jc w:val="right"/>
              <w:rPr>
                <w:rFonts w:cs="Arial"/>
                <w:sz w:val="18"/>
                <w:szCs w:val="18"/>
              </w:rPr>
            </w:pPr>
            <w:r w:rsidRPr="001D41EA">
              <w:rPr>
                <w:rFonts w:cs="Arial"/>
                <w:sz w:val="18"/>
                <w:szCs w:val="18"/>
              </w:rPr>
              <w:t>2,108,784</w:t>
            </w:r>
          </w:p>
        </w:tc>
        <w:tc>
          <w:tcPr>
            <w:tcW w:w="1361" w:type="dxa"/>
            <w:tcBorders>
              <w:top w:val="nil"/>
              <w:left w:val="nil"/>
              <w:bottom w:val="nil"/>
              <w:right w:val="nil"/>
            </w:tcBorders>
            <w:shd w:val="clear" w:color="auto" w:fill="auto"/>
            <w:vAlign w:val="bottom"/>
          </w:tcPr>
          <w:p w14:paraId="752D80C4" w14:textId="5B6FC18F" w:rsidR="009F0AF7" w:rsidRPr="001D41EA" w:rsidRDefault="009F0AF7" w:rsidP="001D41EA">
            <w:pPr>
              <w:spacing w:before="40" w:after="20"/>
              <w:jc w:val="right"/>
              <w:rPr>
                <w:rFonts w:cs="Arial"/>
                <w:sz w:val="18"/>
                <w:szCs w:val="18"/>
              </w:rPr>
            </w:pPr>
            <w:r w:rsidRPr="001D41EA">
              <w:rPr>
                <w:rFonts w:cs="Arial"/>
                <w:sz w:val="18"/>
                <w:szCs w:val="18"/>
              </w:rPr>
              <w:t>1,612,923</w:t>
            </w:r>
          </w:p>
        </w:tc>
        <w:tc>
          <w:tcPr>
            <w:tcW w:w="1361" w:type="dxa"/>
            <w:tcBorders>
              <w:top w:val="nil"/>
              <w:left w:val="nil"/>
              <w:bottom w:val="nil"/>
              <w:right w:val="nil"/>
            </w:tcBorders>
            <w:vAlign w:val="bottom"/>
          </w:tcPr>
          <w:p w14:paraId="6DB1CA93" w14:textId="696171AC" w:rsidR="009F0AF7" w:rsidRPr="001D41EA" w:rsidRDefault="009F0AF7" w:rsidP="001D41EA">
            <w:pPr>
              <w:spacing w:before="40" w:after="20"/>
              <w:jc w:val="right"/>
              <w:rPr>
                <w:rFonts w:cs="Arial"/>
                <w:sz w:val="18"/>
                <w:szCs w:val="18"/>
              </w:rPr>
            </w:pPr>
            <w:r w:rsidRPr="001D41EA">
              <w:rPr>
                <w:rFonts w:cs="Arial"/>
                <w:sz w:val="18"/>
                <w:szCs w:val="18"/>
              </w:rPr>
              <w:t>1,650,287</w:t>
            </w:r>
          </w:p>
        </w:tc>
        <w:tc>
          <w:tcPr>
            <w:tcW w:w="1361" w:type="dxa"/>
            <w:tcBorders>
              <w:top w:val="nil"/>
              <w:left w:val="nil"/>
              <w:bottom w:val="nil"/>
              <w:right w:val="nil"/>
            </w:tcBorders>
            <w:vAlign w:val="bottom"/>
          </w:tcPr>
          <w:p w14:paraId="58B54E7B" w14:textId="5A52D4CF" w:rsidR="009F0AF7" w:rsidRPr="001D41EA" w:rsidRDefault="009F0AF7" w:rsidP="001D41EA">
            <w:pPr>
              <w:spacing w:before="40" w:after="20"/>
              <w:jc w:val="right"/>
              <w:rPr>
                <w:rFonts w:cs="Arial"/>
                <w:sz w:val="18"/>
                <w:szCs w:val="18"/>
              </w:rPr>
            </w:pPr>
            <w:r w:rsidRPr="001D41EA">
              <w:rPr>
                <w:rFonts w:cs="Arial"/>
                <w:sz w:val="18"/>
                <w:szCs w:val="18"/>
              </w:rPr>
              <w:t>2,854,698</w:t>
            </w:r>
          </w:p>
        </w:tc>
        <w:tc>
          <w:tcPr>
            <w:tcW w:w="1361" w:type="dxa"/>
            <w:tcBorders>
              <w:top w:val="nil"/>
              <w:left w:val="nil"/>
              <w:bottom w:val="nil"/>
              <w:right w:val="nil"/>
            </w:tcBorders>
            <w:shd w:val="clear" w:color="auto" w:fill="auto"/>
            <w:vAlign w:val="bottom"/>
          </w:tcPr>
          <w:p w14:paraId="3E909FDF" w14:textId="36BAF6AC" w:rsidR="009F0AF7" w:rsidRPr="001D41EA" w:rsidRDefault="009F0AF7" w:rsidP="001D41EA">
            <w:pPr>
              <w:spacing w:before="40" w:after="20"/>
              <w:jc w:val="right"/>
              <w:rPr>
                <w:rFonts w:cs="Arial"/>
                <w:sz w:val="18"/>
                <w:szCs w:val="18"/>
              </w:rPr>
            </w:pPr>
            <w:r w:rsidRPr="001D41EA">
              <w:rPr>
                <w:rFonts w:cs="Arial"/>
                <w:sz w:val="18"/>
                <w:szCs w:val="18"/>
              </w:rPr>
              <w:t>1,381,346</w:t>
            </w:r>
          </w:p>
        </w:tc>
      </w:tr>
      <w:tr w:rsidR="009F0AF7" w:rsidRPr="001D41EA" w14:paraId="59DDAF0F"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F57641D" w14:textId="77777777" w:rsidR="009F0AF7" w:rsidRPr="001D41EA" w:rsidRDefault="009F0AF7" w:rsidP="001D41EA">
            <w:pPr>
              <w:spacing w:before="40" w:after="20"/>
              <w:rPr>
                <w:rFonts w:cs="Arial"/>
                <w:sz w:val="18"/>
                <w:szCs w:val="18"/>
              </w:rPr>
            </w:pPr>
            <w:r w:rsidRPr="001D41EA">
              <w:rPr>
                <w:rFonts w:cs="Arial"/>
                <w:sz w:val="18"/>
                <w:szCs w:val="18"/>
              </w:rPr>
              <w:t>Mansfield S</w:t>
            </w:r>
          </w:p>
        </w:tc>
        <w:tc>
          <w:tcPr>
            <w:tcW w:w="1361" w:type="dxa"/>
            <w:tcBorders>
              <w:top w:val="nil"/>
              <w:left w:val="single" w:sz="18" w:space="0" w:color="5F497A" w:themeColor="accent4" w:themeShade="BF"/>
              <w:bottom w:val="nil"/>
              <w:right w:val="nil"/>
            </w:tcBorders>
            <w:shd w:val="clear" w:color="auto" w:fill="auto"/>
            <w:vAlign w:val="bottom"/>
          </w:tcPr>
          <w:p w14:paraId="36A8A7DE" w14:textId="3D95E66C" w:rsidR="009F0AF7" w:rsidRPr="001D41EA" w:rsidRDefault="009F0AF7" w:rsidP="001D41EA">
            <w:pPr>
              <w:spacing w:before="40" w:after="20"/>
              <w:jc w:val="right"/>
              <w:rPr>
                <w:rFonts w:cs="Arial"/>
                <w:sz w:val="18"/>
                <w:szCs w:val="18"/>
              </w:rPr>
            </w:pPr>
            <w:r w:rsidRPr="001D41EA">
              <w:rPr>
                <w:rFonts w:cs="Arial"/>
                <w:sz w:val="18"/>
                <w:szCs w:val="18"/>
              </w:rPr>
              <w:t>155,469</w:t>
            </w:r>
          </w:p>
        </w:tc>
        <w:tc>
          <w:tcPr>
            <w:tcW w:w="1361" w:type="dxa"/>
            <w:tcBorders>
              <w:top w:val="nil"/>
              <w:left w:val="nil"/>
              <w:bottom w:val="nil"/>
              <w:right w:val="nil"/>
            </w:tcBorders>
            <w:shd w:val="clear" w:color="auto" w:fill="auto"/>
            <w:vAlign w:val="bottom"/>
          </w:tcPr>
          <w:p w14:paraId="7F3CC8BC" w14:textId="3AB59114" w:rsidR="009F0AF7" w:rsidRPr="001D41EA" w:rsidRDefault="009F0AF7" w:rsidP="001D41EA">
            <w:pPr>
              <w:spacing w:before="40" w:after="20"/>
              <w:jc w:val="right"/>
              <w:rPr>
                <w:rFonts w:cs="Arial"/>
                <w:sz w:val="18"/>
                <w:szCs w:val="18"/>
              </w:rPr>
            </w:pPr>
            <w:r w:rsidRPr="001D41EA">
              <w:rPr>
                <w:rFonts w:cs="Arial"/>
                <w:sz w:val="18"/>
                <w:szCs w:val="18"/>
              </w:rPr>
              <w:t>103,241</w:t>
            </w:r>
          </w:p>
        </w:tc>
        <w:tc>
          <w:tcPr>
            <w:tcW w:w="1361" w:type="dxa"/>
            <w:tcBorders>
              <w:top w:val="nil"/>
              <w:left w:val="nil"/>
              <w:bottom w:val="nil"/>
              <w:right w:val="nil"/>
            </w:tcBorders>
            <w:vAlign w:val="bottom"/>
          </w:tcPr>
          <w:p w14:paraId="59EDD360" w14:textId="628B8FEB" w:rsidR="009F0AF7" w:rsidRPr="001D41EA" w:rsidRDefault="009F0AF7" w:rsidP="001D41EA">
            <w:pPr>
              <w:spacing w:before="40" w:after="20"/>
              <w:jc w:val="right"/>
              <w:rPr>
                <w:rFonts w:cs="Arial"/>
                <w:sz w:val="18"/>
                <w:szCs w:val="18"/>
              </w:rPr>
            </w:pPr>
            <w:r w:rsidRPr="001D41EA">
              <w:rPr>
                <w:rFonts w:cs="Arial"/>
                <w:sz w:val="18"/>
                <w:szCs w:val="18"/>
              </w:rPr>
              <w:t>104,406</w:t>
            </w:r>
          </w:p>
        </w:tc>
        <w:tc>
          <w:tcPr>
            <w:tcW w:w="1361" w:type="dxa"/>
            <w:tcBorders>
              <w:top w:val="nil"/>
              <w:left w:val="nil"/>
              <w:bottom w:val="nil"/>
              <w:right w:val="nil"/>
            </w:tcBorders>
            <w:vAlign w:val="bottom"/>
          </w:tcPr>
          <w:p w14:paraId="13D2E61D" w14:textId="1F1D1A8B" w:rsidR="009F0AF7" w:rsidRPr="001D41EA" w:rsidRDefault="009F0AF7" w:rsidP="001D41EA">
            <w:pPr>
              <w:spacing w:before="40" w:after="20"/>
              <w:jc w:val="right"/>
              <w:rPr>
                <w:rFonts w:cs="Arial"/>
                <w:sz w:val="18"/>
                <w:szCs w:val="18"/>
              </w:rPr>
            </w:pPr>
            <w:r w:rsidRPr="001D41EA">
              <w:rPr>
                <w:rFonts w:cs="Arial"/>
                <w:sz w:val="18"/>
                <w:szCs w:val="18"/>
              </w:rPr>
              <w:t>210,461</w:t>
            </w:r>
          </w:p>
        </w:tc>
        <w:tc>
          <w:tcPr>
            <w:tcW w:w="1361" w:type="dxa"/>
            <w:tcBorders>
              <w:top w:val="nil"/>
              <w:left w:val="nil"/>
              <w:bottom w:val="nil"/>
              <w:right w:val="nil"/>
            </w:tcBorders>
            <w:shd w:val="clear" w:color="auto" w:fill="auto"/>
            <w:vAlign w:val="bottom"/>
          </w:tcPr>
          <w:p w14:paraId="1CD2B104" w14:textId="3A8FF6C0" w:rsidR="009F0AF7" w:rsidRPr="001D41EA" w:rsidRDefault="009F0AF7" w:rsidP="001D41EA">
            <w:pPr>
              <w:spacing w:before="40" w:after="20"/>
              <w:jc w:val="right"/>
              <w:rPr>
                <w:rFonts w:cs="Arial"/>
                <w:sz w:val="18"/>
                <w:szCs w:val="18"/>
              </w:rPr>
            </w:pPr>
            <w:r w:rsidRPr="001D41EA">
              <w:rPr>
                <w:rFonts w:cs="Arial"/>
                <w:sz w:val="18"/>
                <w:szCs w:val="18"/>
              </w:rPr>
              <w:t>199,079</w:t>
            </w:r>
          </w:p>
        </w:tc>
      </w:tr>
      <w:tr w:rsidR="009F0AF7" w:rsidRPr="001D41EA" w14:paraId="66811C64"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891ACAA" w14:textId="77777777" w:rsidR="009F0AF7" w:rsidRPr="001D41EA" w:rsidRDefault="009F0AF7" w:rsidP="001D41EA">
            <w:pPr>
              <w:spacing w:before="40" w:after="20"/>
              <w:rPr>
                <w:rFonts w:cs="Arial"/>
                <w:sz w:val="18"/>
                <w:szCs w:val="18"/>
              </w:rPr>
            </w:pPr>
            <w:r w:rsidRPr="001D41EA">
              <w:rPr>
                <w:rFonts w:cs="Arial"/>
                <w:sz w:val="18"/>
                <w:szCs w:val="18"/>
              </w:rPr>
              <w:t>Maribyrnong C</w:t>
            </w:r>
          </w:p>
        </w:tc>
        <w:tc>
          <w:tcPr>
            <w:tcW w:w="1361" w:type="dxa"/>
            <w:tcBorders>
              <w:top w:val="nil"/>
              <w:left w:val="single" w:sz="18" w:space="0" w:color="5F497A" w:themeColor="accent4" w:themeShade="BF"/>
              <w:bottom w:val="nil"/>
              <w:right w:val="nil"/>
            </w:tcBorders>
            <w:shd w:val="clear" w:color="auto" w:fill="auto"/>
            <w:vAlign w:val="bottom"/>
          </w:tcPr>
          <w:p w14:paraId="7799C3E8" w14:textId="3FF9FCB1" w:rsidR="009F0AF7" w:rsidRPr="001D41EA" w:rsidRDefault="009F0AF7" w:rsidP="001D41EA">
            <w:pPr>
              <w:spacing w:before="40" w:after="20"/>
              <w:jc w:val="right"/>
              <w:rPr>
                <w:rFonts w:cs="Arial"/>
                <w:sz w:val="18"/>
                <w:szCs w:val="18"/>
              </w:rPr>
            </w:pPr>
            <w:r w:rsidRPr="001D41EA">
              <w:rPr>
                <w:rFonts w:cs="Arial"/>
                <w:sz w:val="18"/>
                <w:szCs w:val="18"/>
              </w:rPr>
              <w:t>1,535,484</w:t>
            </w:r>
          </w:p>
        </w:tc>
        <w:tc>
          <w:tcPr>
            <w:tcW w:w="1361" w:type="dxa"/>
            <w:tcBorders>
              <w:top w:val="nil"/>
              <w:left w:val="nil"/>
              <w:bottom w:val="nil"/>
              <w:right w:val="nil"/>
            </w:tcBorders>
            <w:shd w:val="clear" w:color="auto" w:fill="auto"/>
            <w:vAlign w:val="bottom"/>
          </w:tcPr>
          <w:p w14:paraId="60FD866D" w14:textId="745FDD14" w:rsidR="009F0AF7" w:rsidRPr="001D41EA" w:rsidRDefault="009F0AF7" w:rsidP="001D41EA">
            <w:pPr>
              <w:spacing w:before="40" w:after="20"/>
              <w:jc w:val="right"/>
              <w:rPr>
                <w:rFonts w:cs="Arial"/>
                <w:sz w:val="18"/>
                <w:szCs w:val="18"/>
              </w:rPr>
            </w:pPr>
            <w:r w:rsidRPr="001D41EA">
              <w:rPr>
                <w:rFonts w:cs="Arial"/>
                <w:sz w:val="18"/>
                <w:szCs w:val="18"/>
              </w:rPr>
              <w:t>958,965</w:t>
            </w:r>
          </w:p>
        </w:tc>
        <w:tc>
          <w:tcPr>
            <w:tcW w:w="1361" w:type="dxa"/>
            <w:tcBorders>
              <w:top w:val="nil"/>
              <w:left w:val="nil"/>
              <w:bottom w:val="nil"/>
              <w:right w:val="nil"/>
            </w:tcBorders>
            <w:vAlign w:val="bottom"/>
          </w:tcPr>
          <w:p w14:paraId="791AFA35" w14:textId="1CB12CBF" w:rsidR="009F0AF7" w:rsidRPr="001D41EA" w:rsidRDefault="009F0AF7" w:rsidP="001D41EA">
            <w:pPr>
              <w:spacing w:before="40" w:after="20"/>
              <w:jc w:val="right"/>
              <w:rPr>
                <w:rFonts w:cs="Arial"/>
                <w:sz w:val="18"/>
                <w:szCs w:val="18"/>
              </w:rPr>
            </w:pPr>
            <w:r w:rsidRPr="001D41EA">
              <w:rPr>
                <w:rFonts w:cs="Arial"/>
                <w:sz w:val="18"/>
                <w:szCs w:val="18"/>
              </w:rPr>
              <w:t>551,675</w:t>
            </w:r>
          </w:p>
        </w:tc>
        <w:tc>
          <w:tcPr>
            <w:tcW w:w="1361" w:type="dxa"/>
            <w:tcBorders>
              <w:top w:val="nil"/>
              <w:left w:val="nil"/>
              <w:bottom w:val="nil"/>
              <w:right w:val="nil"/>
            </w:tcBorders>
            <w:vAlign w:val="bottom"/>
          </w:tcPr>
          <w:p w14:paraId="1AFDB1B3" w14:textId="540E6531" w:rsidR="009F0AF7" w:rsidRPr="001D41EA" w:rsidRDefault="009F0AF7" w:rsidP="001D41EA">
            <w:pPr>
              <w:spacing w:before="40" w:after="20"/>
              <w:jc w:val="right"/>
              <w:rPr>
                <w:rFonts w:cs="Arial"/>
                <w:sz w:val="18"/>
                <w:szCs w:val="18"/>
              </w:rPr>
            </w:pPr>
            <w:r w:rsidRPr="001D41EA">
              <w:rPr>
                <w:rFonts w:cs="Arial"/>
                <w:sz w:val="18"/>
                <w:szCs w:val="18"/>
              </w:rPr>
              <w:t>2,078,611</w:t>
            </w:r>
          </w:p>
        </w:tc>
        <w:tc>
          <w:tcPr>
            <w:tcW w:w="1361" w:type="dxa"/>
            <w:tcBorders>
              <w:top w:val="nil"/>
              <w:left w:val="nil"/>
              <w:bottom w:val="nil"/>
              <w:right w:val="nil"/>
            </w:tcBorders>
            <w:shd w:val="clear" w:color="auto" w:fill="auto"/>
            <w:vAlign w:val="bottom"/>
          </w:tcPr>
          <w:p w14:paraId="1196EFFB" w14:textId="474CDF6B" w:rsidR="009F0AF7" w:rsidRPr="001D41EA" w:rsidRDefault="009F0AF7" w:rsidP="001D41EA">
            <w:pPr>
              <w:spacing w:before="40" w:after="20"/>
              <w:jc w:val="right"/>
              <w:rPr>
                <w:rFonts w:cs="Arial"/>
                <w:sz w:val="18"/>
                <w:szCs w:val="18"/>
              </w:rPr>
            </w:pPr>
            <w:r w:rsidRPr="001D41EA">
              <w:rPr>
                <w:rFonts w:cs="Arial"/>
                <w:sz w:val="18"/>
                <w:szCs w:val="18"/>
              </w:rPr>
              <w:t>1,113,690</w:t>
            </w:r>
          </w:p>
        </w:tc>
      </w:tr>
      <w:tr w:rsidR="009F0AF7" w:rsidRPr="001D41EA" w14:paraId="059CE9FB"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22B089D" w14:textId="77777777" w:rsidR="009F0AF7" w:rsidRPr="001D41EA" w:rsidRDefault="009F0AF7" w:rsidP="001D41EA">
            <w:pPr>
              <w:spacing w:before="40" w:after="20"/>
              <w:rPr>
                <w:rFonts w:cs="Arial"/>
                <w:sz w:val="18"/>
                <w:szCs w:val="18"/>
              </w:rPr>
            </w:pPr>
            <w:r w:rsidRPr="001D41EA">
              <w:rPr>
                <w:rFonts w:cs="Arial"/>
                <w:sz w:val="18"/>
                <w:szCs w:val="18"/>
              </w:rPr>
              <w:t>Maroondah C</w:t>
            </w:r>
          </w:p>
        </w:tc>
        <w:tc>
          <w:tcPr>
            <w:tcW w:w="1361" w:type="dxa"/>
            <w:tcBorders>
              <w:top w:val="nil"/>
              <w:left w:val="single" w:sz="18" w:space="0" w:color="5F497A" w:themeColor="accent4" w:themeShade="BF"/>
              <w:bottom w:val="nil"/>
              <w:right w:val="nil"/>
            </w:tcBorders>
            <w:shd w:val="clear" w:color="auto" w:fill="auto"/>
            <w:vAlign w:val="bottom"/>
          </w:tcPr>
          <w:p w14:paraId="47F6322C" w14:textId="6B23E4CF" w:rsidR="009F0AF7" w:rsidRPr="001D41EA" w:rsidRDefault="009F0AF7" w:rsidP="001D41EA">
            <w:pPr>
              <w:spacing w:before="40" w:after="20"/>
              <w:jc w:val="right"/>
              <w:rPr>
                <w:rFonts w:cs="Arial"/>
                <w:sz w:val="18"/>
                <w:szCs w:val="18"/>
              </w:rPr>
            </w:pPr>
            <w:r w:rsidRPr="001D41EA">
              <w:rPr>
                <w:rFonts w:cs="Arial"/>
                <w:sz w:val="18"/>
                <w:szCs w:val="18"/>
              </w:rPr>
              <w:t>1,974,200</w:t>
            </w:r>
          </w:p>
        </w:tc>
        <w:tc>
          <w:tcPr>
            <w:tcW w:w="1361" w:type="dxa"/>
            <w:tcBorders>
              <w:top w:val="nil"/>
              <w:left w:val="nil"/>
              <w:bottom w:val="nil"/>
              <w:right w:val="nil"/>
            </w:tcBorders>
            <w:shd w:val="clear" w:color="auto" w:fill="auto"/>
            <w:vAlign w:val="bottom"/>
          </w:tcPr>
          <w:p w14:paraId="4AEF923C" w14:textId="5B0DCA57" w:rsidR="009F0AF7" w:rsidRPr="001D41EA" w:rsidRDefault="009F0AF7" w:rsidP="001D41EA">
            <w:pPr>
              <w:spacing w:before="40" w:after="20"/>
              <w:jc w:val="right"/>
              <w:rPr>
                <w:rFonts w:cs="Arial"/>
                <w:sz w:val="18"/>
                <w:szCs w:val="18"/>
              </w:rPr>
            </w:pPr>
            <w:r w:rsidRPr="001D41EA">
              <w:rPr>
                <w:rFonts w:cs="Arial"/>
                <w:sz w:val="18"/>
                <w:szCs w:val="18"/>
              </w:rPr>
              <w:t>1,428,048</w:t>
            </w:r>
          </w:p>
        </w:tc>
        <w:tc>
          <w:tcPr>
            <w:tcW w:w="1361" w:type="dxa"/>
            <w:tcBorders>
              <w:top w:val="nil"/>
              <w:left w:val="nil"/>
              <w:bottom w:val="nil"/>
              <w:right w:val="nil"/>
            </w:tcBorders>
            <w:vAlign w:val="bottom"/>
          </w:tcPr>
          <w:p w14:paraId="63C9E6E1" w14:textId="3B18503C" w:rsidR="009F0AF7" w:rsidRPr="001D41EA" w:rsidRDefault="009F0AF7" w:rsidP="001D41EA">
            <w:pPr>
              <w:spacing w:before="40" w:after="20"/>
              <w:jc w:val="right"/>
              <w:rPr>
                <w:rFonts w:cs="Arial"/>
                <w:sz w:val="18"/>
                <w:szCs w:val="18"/>
              </w:rPr>
            </w:pPr>
            <w:r w:rsidRPr="001D41EA">
              <w:rPr>
                <w:rFonts w:cs="Arial"/>
                <w:sz w:val="18"/>
                <w:szCs w:val="18"/>
              </w:rPr>
              <w:t>1,154,103</w:t>
            </w:r>
          </w:p>
        </w:tc>
        <w:tc>
          <w:tcPr>
            <w:tcW w:w="1361" w:type="dxa"/>
            <w:tcBorders>
              <w:top w:val="nil"/>
              <w:left w:val="nil"/>
              <w:bottom w:val="nil"/>
              <w:right w:val="nil"/>
            </w:tcBorders>
            <w:vAlign w:val="bottom"/>
          </w:tcPr>
          <w:p w14:paraId="53AB32D5" w14:textId="2ECAE577" w:rsidR="009F0AF7" w:rsidRPr="001D41EA" w:rsidRDefault="009F0AF7" w:rsidP="001D41EA">
            <w:pPr>
              <w:spacing w:before="40" w:after="20"/>
              <w:jc w:val="right"/>
              <w:rPr>
                <w:rFonts w:cs="Arial"/>
                <w:sz w:val="18"/>
                <w:szCs w:val="18"/>
              </w:rPr>
            </w:pPr>
            <w:r w:rsidRPr="001D41EA">
              <w:rPr>
                <w:rFonts w:cs="Arial"/>
                <w:sz w:val="18"/>
                <w:szCs w:val="18"/>
              </w:rPr>
              <w:t>2,672,510</w:t>
            </w:r>
          </w:p>
        </w:tc>
        <w:tc>
          <w:tcPr>
            <w:tcW w:w="1361" w:type="dxa"/>
            <w:tcBorders>
              <w:top w:val="nil"/>
              <w:left w:val="nil"/>
              <w:bottom w:val="nil"/>
              <w:right w:val="nil"/>
            </w:tcBorders>
            <w:shd w:val="clear" w:color="auto" w:fill="auto"/>
            <w:vAlign w:val="bottom"/>
          </w:tcPr>
          <w:p w14:paraId="69CA0133" w14:textId="38D1CDA3" w:rsidR="009F0AF7" w:rsidRPr="001D41EA" w:rsidRDefault="009F0AF7" w:rsidP="001D41EA">
            <w:pPr>
              <w:spacing w:before="40" w:after="20"/>
              <w:jc w:val="right"/>
              <w:rPr>
                <w:rFonts w:cs="Arial"/>
                <w:sz w:val="18"/>
                <w:szCs w:val="18"/>
              </w:rPr>
            </w:pPr>
            <w:r w:rsidRPr="001D41EA">
              <w:rPr>
                <w:rFonts w:cs="Arial"/>
                <w:sz w:val="18"/>
                <w:szCs w:val="18"/>
              </w:rPr>
              <w:t>1,353,896</w:t>
            </w:r>
          </w:p>
        </w:tc>
      </w:tr>
      <w:tr w:rsidR="009F0AF7" w:rsidRPr="001D41EA" w14:paraId="2170E620"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FC8FD99" w14:textId="77777777" w:rsidR="009F0AF7" w:rsidRPr="001D41EA" w:rsidRDefault="009F0AF7" w:rsidP="001D41EA">
            <w:pPr>
              <w:spacing w:before="40" w:after="20"/>
              <w:rPr>
                <w:rFonts w:cs="Arial"/>
                <w:sz w:val="18"/>
                <w:szCs w:val="18"/>
              </w:rPr>
            </w:pPr>
            <w:r w:rsidRPr="001D41EA">
              <w:rPr>
                <w:rFonts w:cs="Arial"/>
                <w:sz w:val="18"/>
                <w:szCs w:val="18"/>
              </w:rPr>
              <w:t>Melbourne C</w:t>
            </w:r>
          </w:p>
        </w:tc>
        <w:tc>
          <w:tcPr>
            <w:tcW w:w="1361" w:type="dxa"/>
            <w:tcBorders>
              <w:top w:val="nil"/>
              <w:left w:val="single" w:sz="18" w:space="0" w:color="5F497A" w:themeColor="accent4" w:themeShade="BF"/>
              <w:bottom w:val="nil"/>
              <w:right w:val="nil"/>
            </w:tcBorders>
            <w:shd w:val="clear" w:color="auto" w:fill="auto"/>
            <w:vAlign w:val="bottom"/>
          </w:tcPr>
          <w:p w14:paraId="0CB5D85C" w14:textId="63CAC406" w:rsidR="009F0AF7" w:rsidRPr="001D41EA" w:rsidRDefault="009F0AF7" w:rsidP="001D41EA">
            <w:pPr>
              <w:spacing w:before="40" w:after="20"/>
              <w:jc w:val="right"/>
              <w:rPr>
                <w:rFonts w:cs="Arial"/>
                <w:sz w:val="18"/>
                <w:szCs w:val="18"/>
              </w:rPr>
            </w:pPr>
            <w:r w:rsidRPr="001D41EA">
              <w:rPr>
                <w:rFonts w:cs="Arial"/>
                <w:sz w:val="18"/>
                <w:szCs w:val="18"/>
              </w:rPr>
              <w:t>2,855,683</w:t>
            </w:r>
          </w:p>
        </w:tc>
        <w:tc>
          <w:tcPr>
            <w:tcW w:w="1361" w:type="dxa"/>
            <w:tcBorders>
              <w:top w:val="nil"/>
              <w:left w:val="nil"/>
              <w:bottom w:val="nil"/>
              <w:right w:val="nil"/>
            </w:tcBorders>
            <w:shd w:val="clear" w:color="auto" w:fill="auto"/>
            <w:vAlign w:val="bottom"/>
          </w:tcPr>
          <w:p w14:paraId="373A0BFA" w14:textId="74CF03E7" w:rsidR="009F0AF7" w:rsidRPr="001D41EA" w:rsidRDefault="009F0AF7" w:rsidP="001D41EA">
            <w:pPr>
              <w:spacing w:before="40" w:after="20"/>
              <w:jc w:val="right"/>
              <w:rPr>
                <w:rFonts w:cs="Arial"/>
                <w:sz w:val="18"/>
                <w:szCs w:val="18"/>
              </w:rPr>
            </w:pPr>
            <w:r w:rsidRPr="001D41EA">
              <w:rPr>
                <w:rFonts w:cs="Arial"/>
                <w:sz w:val="18"/>
                <w:szCs w:val="18"/>
              </w:rPr>
              <w:t>1,868,136</w:t>
            </w:r>
          </w:p>
        </w:tc>
        <w:tc>
          <w:tcPr>
            <w:tcW w:w="1361" w:type="dxa"/>
            <w:tcBorders>
              <w:top w:val="nil"/>
              <w:left w:val="nil"/>
              <w:bottom w:val="nil"/>
              <w:right w:val="nil"/>
            </w:tcBorders>
            <w:vAlign w:val="bottom"/>
          </w:tcPr>
          <w:p w14:paraId="48EA4565" w14:textId="44D59A12" w:rsidR="009F0AF7" w:rsidRPr="001D41EA" w:rsidRDefault="009F0AF7" w:rsidP="001D41EA">
            <w:pPr>
              <w:spacing w:before="40" w:after="20"/>
              <w:jc w:val="right"/>
              <w:rPr>
                <w:rFonts w:cs="Arial"/>
                <w:sz w:val="18"/>
                <w:szCs w:val="18"/>
              </w:rPr>
            </w:pPr>
            <w:r w:rsidRPr="001D41EA">
              <w:rPr>
                <w:rFonts w:cs="Arial"/>
                <w:sz w:val="18"/>
                <w:szCs w:val="18"/>
              </w:rPr>
              <w:t>983,577</w:t>
            </w:r>
          </w:p>
        </w:tc>
        <w:tc>
          <w:tcPr>
            <w:tcW w:w="1361" w:type="dxa"/>
            <w:tcBorders>
              <w:top w:val="nil"/>
              <w:left w:val="nil"/>
              <w:bottom w:val="nil"/>
              <w:right w:val="nil"/>
            </w:tcBorders>
            <w:vAlign w:val="bottom"/>
          </w:tcPr>
          <w:p w14:paraId="5E7509C8" w14:textId="518486C5" w:rsidR="009F0AF7" w:rsidRPr="001D41EA" w:rsidRDefault="009F0AF7" w:rsidP="001D41EA">
            <w:pPr>
              <w:spacing w:before="40" w:after="20"/>
              <w:jc w:val="right"/>
              <w:rPr>
                <w:rFonts w:cs="Arial"/>
                <w:sz w:val="18"/>
                <w:szCs w:val="18"/>
              </w:rPr>
            </w:pPr>
            <w:r w:rsidRPr="001D41EA">
              <w:rPr>
                <w:rFonts w:cs="Arial"/>
                <w:sz w:val="18"/>
                <w:szCs w:val="18"/>
              </w:rPr>
              <w:t>3,865,789</w:t>
            </w:r>
          </w:p>
        </w:tc>
        <w:tc>
          <w:tcPr>
            <w:tcW w:w="1361" w:type="dxa"/>
            <w:tcBorders>
              <w:top w:val="nil"/>
              <w:left w:val="nil"/>
              <w:bottom w:val="nil"/>
              <w:right w:val="nil"/>
            </w:tcBorders>
            <w:shd w:val="clear" w:color="auto" w:fill="auto"/>
            <w:vAlign w:val="bottom"/>
          </w:tcPr>
          <w:p w14:paraId="4B05328B" w14:textId="6433126C" w:rsidR="009F0AF7" w:rsidRPr="001D41EA" w:rsidRDefault="009F0AF7" w:rsidP="001D41EA">
            <w:pPr>
              <w:spacing w:before="40" w:after="20"/>
              <w:jc w:val="right"/>
              <w:rPr>
                <w:rFonts w:cs="Arial"/>
                <w:sz w:val="18"/>
                <w:szCs w:val="18"/>
              </w:rPr>
            </w:pPr>
            <w:r w:rsidRPr="001D41EA">
              <w:rPr>
                <w:rFonts w:cs="Arial"/>
                <w:sz w:val="18"/>
                <w:szCs w:val="18"/>
              </w:rPr>
              <w:t>2,585,247</w:t>
            </w:r>
          </w:p>
        </w:tc>
      </w:tr>
      <w:tr w:rsidR="009F0AF7" w:rsidRPr="001D41EA" w14:paraId="43BCEE90"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39151F" w14:textId="77777777" w:rsidR="009F0AF7" w:rsidRPr="001D41EA" w:rsidRDefault="009F0AF7" w:rsidP="001D41EA">
            <w:pPr>
              <w:spacing w:before="40" w:after="20"/>
              <w:rPr>
                <w:rFonts w:cs="Arial"/>
                <w:sz w:val="18"/>
                <w:szCs w:val="18"/>
              </w:rPr>
            </w:pPr>
            <w:r w:rsidRPr="001D41EA">
              <w:rPr>
                <w:rFonts w:cs="Arial"/>
                <w:sz w:val="18"/>
                <w:szCs w:val="18"/>
              </w:rPr>
              <w:t>Melton C</w:t>
            </w:r>
          </w:p>
        </w:tc>
        <w:tc>
          <w:tcPr>
            <w:tcW w:w="1361" w:type="dxa"/>
            <w:tcBorders>
              <w:top w:val="nil"/>
              <w:left w:val="single" w:sz="18" w:space="0" w:color="5F497A" w:themeColor="accent4" w:themeShade="BF"/>
              <w:bottom w:val="nil"/>
              <w:right w:val="nil"/>
            </w:tcBorders>
            <w:shd w:val="clear" w:color="auto" w:fill="auto"/>
            <w:vAlign w:val="bottom"/>
          </w:tcPr>
          <w:p w14:paraId="3FEC0248" w14:textId="1656B7CB" w:rsidR="009F0AF7" w:rsidRPr="001D41EA" w:rsidRDefault="009F0AF7" w:rsidP="001D41EA">
            <w:pPr>
              <w:spacing w:before="40" w:after="20"/>
              <w:jc w:val="right"/>
              <w:rPr>
                <w:rFonts w:cs="Arial"/>
                <w:sz w:val="18"/>
                <w:szCs w:val="18"/>
              </w:rPr>
            </w:pPr>
            <w:r w:rsidRPr="001D41EA">
              <w:rPr>
                <w:rFonts w:cs="Arial"/>
                <w:sz w:val="18"/>
                <w:szCs w:val="18"/>
              </w:rPr>
              <w:t>2,633,091</w:t>
            </w:r>
          </w:p>
        </w:tc>
        <w:tc>
          <w:tcPr>
            <w:tcW w:w="1361" w:type="dxa"/>
            <w:tcBorders>
              <w:top w:val="nil"/>
              <w:left w:val="nil"/>
              <w:bottom w:val="nil"/>
              <w:right w:val="nil"/>
            </w:tcBorders>
            <w:shd w:val="clear" w:color="auto" w:fill="auto"/>
            <w:vAlign w:val="bottom"/>
          </w:tcPr>
          <w:p w14:paraId="5C204A97" w14:textId="17D59235" w:rsidR="009F0AF7" w:rsidRPr="001D41EA" w:rsidRDefault="009F0AF7" w:rsidP="001D41EA">
            <w:pPr>
              <w:spacing w:before="40" w:after="20"/>
              <w:jc w:val="right"/>
              <w:rPr>
                <w:rFonts w:cs="Arial"/>
                <w:sz w:val="18"/>
                <w:szCs w:val="18"/>
              </w:rPr>
            </w:pPr>
            <w:r w:rsidRPr="001D41EA">
              <w:rPr>
                <w:rFonts w:cs="Arial"/>
                <w:sz w:val="18"/>
                <w:szCs w:val="18"/>
              </w:rPr>
              <w:t>1,639,256</w:t>
            </w:r>
          </w:p>
        </w:tc>
        <w:tc>
          <w:tcPr>
            <w:tcW w:w="1361" w:type="dxa"/>
            <w:tcBorders>
              <w:top w:val="nil"/>
              <w:left w:val="nil"/>
              <w:bottom w:val="nil"/>
              <w:right w:val="nil"/>
            </w:tcBorders>
            <w:vAlign w:val="bottom"/>
          </w:tcPr>
          <w:p w14:paraId="5DDA69CE" w14:textId="7756BC37" w:rsidR="009F0AF7" w:rsidRPr="001D41EA" w:rsidRDefault="009F0AF7" w:rsidP="001D41EA">
            <w:pPr>
              <w:spacing w:before="40" w:after="20"/>
              <w:jc w:val="right"/>
              <w:rPr>
                <w:rFonts w:cs="Arial"/>
                <w:sz w:val="18"/>
                <w:szCs w:val="18"/>
              </w:rPr>
            </w:pPr>
            <w:r w:rsidRPr="001D41EA">
              <w:rPr>
                <w:rFonts w:cs="Arial"/>
                <w:sz w:val="18"/>
                <w:szCs w:val="18"/>
              </w:rPr>
              <w:t>1,115,862</w:t>
            </w:r>
          </w:p>
        </w:tc>
        <w:tc>
          <w:tcPr>
            <w:tcW w:w="1361" w:type="dxa"/>
            <w:tcBorders>
              <w:top w:val="nil"/>
              <w:left w:val="nil"/>
              <w:bottom w:val="nil"/>
              <w:right w:val="nil"/>
            </w:tcBorders>
            <w:vAlign w:val="bottom"/>
          </w:tcPr>
          <w:p w14:paraId="1F19F3B5" w14:textId="557F7653" w:rsidR="009F0AF7" w:rsidRPr="001D41EA" w:rsidRDefault="009F0AF7" w:rsidP="001D41EA">
            <w:pPr>
              <w:spacing w:before="40" w:after="20"/>
              <w:jc w:val="right"/>
              <w:rPr>
                <w:rFonts w:cs="Arial"/>
                <w:sz w:val="18"/>
                <w:szCs w:val="18"/>
              </w:rPr>
            </w:pPr>
            <w:r w:rsidRPr="001D41EA">
              <w:rPr>
                <w:rFonts w:cs="Arial"/>
                <w:sz w:val="18"/>
                <w:szCs w:val="18"/>
              </w:rPr>
              <w:t>3,564,461</w:t>
            </w:r>
          </w:p>
        </w:tc>
        <w:tc>
          <w:tcPr>
            <w:tcW w:w="1361" w:type="dxa"/>
            <w:tcBorders>
              <w:top w:val="nil"/>
              <w:left w:val="nil"/>
              <w:bottom w:val="nil"/>
              <w:right w:val="nil"/>
            </w:tcBorders>
            <w:shd w:val="clear" w:color="auto" w:fill="auto"/>
            <w:vAlign w:val="bottom"/>
          </w:tcPr>
          <w:p w14:paraId="41A7217F" w14:textId="15EB412C" w:rsidR="009F0AF7" w:rsidRPr="001D41EA" w:rsidRDefault="009F0AF7" w:rsidP="001D41EA">
            <w:pPr>
              <w:spacing w:before="40" w:after="20"/>
              <w:jc w:val="right"/>
              <w:rPr>
                <w:rFonts w:cs="Arial"/>
                <w:sz w:val="18"/>
                <w:szCs w:val="18"/>
              </w:rPr>
            </w:pPr>
            <w:r w:rsidRPr="001D41EA">
              <w:rPr>
                <w:rFonts w:cs="Arial"/>
                <w:sz w:val="18"/>
                <w:szCs w:val="18"/>
              </w:rPr>
              <w:t>1,539,377</w:t>
            </w:r>
          </w:p>
        </w:tc>
      </w:tr>
      <w:tr w:rsidR="009F0AF7" w:rsidRPr="001D41EA" w14:paraId="34FA1DEC"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218D398" w14:textId="77777777" w:rsidR="009F0AF7" w:rsidRPr="001D41EA" w:rsidRDefault="009F0AF7" w:rsidP="001D41EA">
            <w:pPr>
              <w:spacing w:before="40" w:after="20"/>
              <w:rPr>
                <w:rFonts w:cs="Arial"/>
                <w:sz w:val="18"/>
                <w:szCs w:val="18"/>
              </w:rPr>
            </w:pPr>
            <w:r w:rsidRPr="001D41EA">
              <w:rPr>
                <w:rFonts w:cs="Arial"/>
                <w:sz w:val="18"/>
                <w:szCs w:val="18"/>
              </w:rPr>
              <w:t>Mildura RC</w:t>
            </w:r>
          </w:p>
        </w:tc>
        <w:tc>
          <w:tcPr>
            <w:tcW w:w="1361" w:type="dxa"/>
            <w:tcBorders>
              <w:top w:val="nil"/>
              <w:left w:val="single" w:sz="18" w:space="0" w:color="5F497A" w:themeColor="accent4" w:themeShade="BF"/>
              <w:bottom w:val="nil"/>
              <w:right w:val="nil"/>
            </w:tcBorders>
            <w:shd w:val="clear" w:color="auto" w:fill="auto"/>
            <w:vAlign w:val="bottom"/>
          </w:tcPr>
          <w:p w14:paraId="4D7A3A6C" w14:textId="7D2FE17D" w:rsidR="009F0AF7" w:rsidRPr="001D41EA" w:rsidRDefault="009F0AF7" w:rsidP="001D41EA">
            <w:pPr>
              <w:spacing w:before="40" w:after="20"/>
              <w:jc w:val="right"/>
              <w:rPr>
                <w:rFonts w:cs="Arial"/>
                <w:sz w:val="18"/>
                <w:szCs w:val="18"/>
              </w:rPr>
            </w:pPr>
            <w:r w:rsidRPr="001D41EA">
              <w:rPr>
                <w:rFonts w:cs="Arial"/>
                <w:sz w:val="18"/>
                <w:szCs w:val="18"/>
              </w:rPr>
              <w:t>932,763</w:t>
            </w:r>
          </w:p>
        </w:tc>
        <w:tc>
          <w:tcPr>
            <w:tcW w:w="1361" w:type="dxa"/>
            <w:tcBorders>
              <w:top w:val="nil"/>
              <w:left w:val="nil"/>
              <w:bottom w:val="nil"/>
              <w:right w:val="nil"/>
            </w:tcBorders>
            <w:shd w:val="clear" w:color="auto" w:fill="auto"/>
            <w:vAlign w:val="bottom"/>
          </w:tcPr>
          <w:p w14:paraId="652010A8" w14:textId="30EA7491" w:rsidR="009F0AF7" w:rsidRPr="001D41EA" w:rsidRDefault="009F0AF7" w:rsidP="001D41EA">
            <w:pPr>
              <w:spacing w:before="40" w:after="20"/>
              <w:jc w:val="right"/>
              <w:rPr>
                <w:rFonts w:cs="Arial"/>
                <w:sz w:val="18"/>
                <w:szCs w:val="18"/>
              </w:rPr>
            </w:pPr>
            <w:r w:rsidRPr="001D41EA">
              <w:rPr>
                <w:rFonts w:cs="Arial"/>
                <w:sz w:val="18"/>
                <w:szCs w:val="18"/>
              </w:rPr>
              <w:t>471,934</w:t>
            </w:r>
          </w:p>
        </w:tc>
        <w:tc>
          <w:tcPr>
            <w:tcW w:w="1361" w:type="dxa"/>
            <w:tcBorders>
              <w:top w:val="nil"/>
              <w:left w:val="nil"/>
              <w:bottom w:val="nil"/>
              <w:right w:val="nil"/>
            </w:tcBorders>
            <w:vAlign w:val="bottom"/>
          </w:tcPr>
          <w:p w14:paraId="1A2BEB8E" w14:textId="2D86B7C4" w:rsidR="009F0AF7" w:rsidRPr="001D41EA" w:rsidRDefault="009F0AF7" w:rsidP="001D41EA">
            <w:pPr>
              <w:spacing w:before="40" w:after="20"/>
              <w:jc w:val="right"/>
              <w:rPr>
                <w:rFonts w:cs="Arial"/>
                <w:sz w:val="18"/>
                <w:szCs w:val="18"/>
              </w:rPr>
            </w:pPr>
            <w:r w:rsidRPr="001D41EA">
              <w:rPr>
                <w:rFonts w:cs="Arial"/>
                <w:sz w:val="18"/>
                <w:szCs w:val="18"/>
              </w:rPr>
              <w:t>575,516</w:t>
            </w:r>
          </w:p>
        </w:tc>
        <w:tc>
          <w:tcPr>
            <w:tcW w:w="1361" w:type="dxa"/>
            <w:tcBorders>
              <w:top w:val="nil"/>
              <w:left w:val="nil"/>
              <w:bottom w:val="nil"/>
              <w:right w:val="nil"/>
            </w:tcBorders>
            <w:vAlign w:val="bottom"/>
          </w:tcPr>
          <w:p w14:paraId="21F856FE" w14:textId="2444B2EC" w:rsidR="009F0AF7" w:rsidRPr="001D41EA" w:rsidRDefault="009F0AF7" w:rsidP="001D41EA">
            <w:pPr>
              <w:spacing w:before="40" w:after="20"/>
              <w:jc w:val="right"/>
              <w:rPr>
                <w:rFonts w:cs="Arial"/>
                <w:sz w:val="18"/>
                <w:szCs w:val="18"/>
              </w:rPr>
            </w:pPr>
            <w:r w:rsidRPr="001D41EA">
              <w:rPr>
                <w:rFonts w:cs="Arial"/>
                <w:sz w:val="18"/>
                <w:szCs w:val="18"/>
              </w:rPr>
              <w:t>1,262,697</w:t>
            </w:r>
          </w:p>
        </w:tc>
        <w:tc>
          <w:tcPr>
            <w:tcW w:w="1361" w:type="dxa"/>
            <w:tcBorders>
              <w:top w:val="nil"/>
              <w:left w:val="nil"/>
              <w:bottom w:val="nil"/>
              <w:right w:val="nil"/>
            </w:tcBorders>
            <w:shd w:val="clear" w:color="auto" w:fill="auto"/>
            <w:vAlign w:val="bottom"/>
          </w:tcPr>
          <w:p w14:paraId="4F2E0EC9" w14:textId="7A90BD9B" w:rsidR="009F0AF7" w:rsidRPr="001D41EA" w:rsidRDefault="009F0AF7" w:rsidP="001D41EA">
            <w:pPr>
              <w:spacing w:before="40" w:after="20"/>
              <w:jc w:val="right"/>
              <w:rPr>
                <w:rFonts w:cs="Arial"/>
                <w:sz w:val="18"/>
                <w:szCs w:val="18"/>
              </w:rPr>
            </w:pPr>
            <w:r w:rsidRPr="001D41EA">
              <w:rPr>
                <w:rFonts w:cs="Arial"/>
                <w:sz w:val="18"/>
                <w:szCs w:val="18"/>
              </w:rPr>
              <w:t>728,899</w:t>
            </w:r>
          </w:p>
        </w:tc>
      </w:tr>
      <w:tr w:rsidR="009F0AF7" w:rsidRPr="001D41EA" w14:paraId="420ABA2B"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A5AA599" w14:textId="77777777" w:rsidR="009F0AF7" w:rsidRPr="001D41EA" w:rsidRDefault="009F0AF7" w:rsidP="001D41EA">
            <w:pPr>
              <w:spacing w:before="40" w:after="20"/>
              <w:rPr>
                <w:rFonts w:cs="Arial"/>
                <w:sz w:val="18"/>
                <w:szCs w:val="18"/>
              </w:rPr>
            </w:pPr>
            <w:r w:rsidRPr="001D41EA">
              <w:rPr>
                <w:rFonts w:cs="Arial"/>
                <w:sz w:val="18"/>
                <w:szCs w:val="18"/>
              </w:rPr>
              <w:t>Mitchell S</w:t>
            </w:r>
          </w:p>
        </w:tc>
        <w:tc>
          <w:tcPr>
            <w:tcW w:w="1361" w:type="dxa"/>
            <w:tcBorders>
              <w:top w:val="nil"/>
              <w:left w:val="single" w:sz="18" w:space="0" w:color="5F497A" w:themeColor="accent4" w:themeShade="BF"/>
              <w:bottom w:val="nil"/>
              <w:right w:val="nil"/>
            </w:tcBorders>
            <w:shd w:val="clear" w:color="auto" w:fill="auto"/>
            <w:vAlign w:val="bottom"/>
          </w:tcPr>
          <w:p w14:paraId="028FC7A3" w14:textId="1DC6D427" w:rsidR="009F0AF7" w:rsidRPr="001D41EA" w:rsidRDefault="009F0AF7" w:rsidP="001D41EA">
            <w:pPr>
              <w:spacing w:before="40" w:after="20"/>
              <w:jc w:val="right"/>
              <w:rPr>
                <w:rFonts w:cs="Arial"/>
                <w:sz w:val="18"/>
                <w:szCs w:val="18"/>
              </w:rPr>
            </w:pPr>
            <w:r w:rsidRPr="001D41EA">
              <w:rPr>
                <w:rFonts w:cs="Arial"/>
                <w:sz w:val="18"/>
                <w:szCs w:val="18"/>
              </w:rPr>
              <w:t>744,311</w:t>
            </w:r>
          </w:p>
        </w:tc>
        <w:tc>
          <w:tcPr>
            <w:tcW w:w="1361" w:type="dxa"/>
            <w:tcBorders>
              <w:top w:val="nil"/>
              <w:left w:val="nil"/>
              <w:bottom w:val="nil"/>
              <w:right w:val="nil"/>
            </w:tcBorders>
            <w:shd w:val="clear" w:color="auto" w:fill="auto"/>
            <w:vAlign w:val="bottom"/>
          </w:tcPr>
          <w:p w14:paraId="60EA5ECD" w14:textId="6FC5A4EC" w:rsidR="009F0AF7" w:rsidRPr="001D41EA" w:rsidRDefault="009F0AF7" w:rsidP="001D41EA">
            <w:pPr>
              <w:spacing w:before="40" w:after="20"/>
              <w:jc w:val="right"/>
              <w:rPr>
                <w:rFonts w:cs="Arial"/>
                <w:sz w:val="18"/>
                <w:szCs w:val="18"/>
              </w:rPr>
            </w:pPr>
            <w:r w:rsidRPr="001D41EA">
              <w:rPr>
                <w:rFonts w:cs="Arial"/>
                <w:sz w:val="18"/>
                <w:szCs w:val="18"/>
              </w:rPr>
              <w:t>467,792</w:t>
            </w:r>
          </w:p>
        </w:tc>
        <w:tc>
          <w:tcPr>
            <w:tcW w:w="1361" w:type="dxa"/>
            <w:tcBorders>
              <w:top w:val="nil"/>
              <w:left w:val="nil"/>
              <w:bottom w:val="nil"/>
              <w:right w:val="nil"/>
            </w:tcBorders>
            <w:vAlign w:val="bottom"/>
          </w:tcPr>
          <w:p w14:paraId="1A43CD39" w14:textId="0C54D9E3" w:rsidR="009F0AF7" w:rsidRPr="001D41EA" w:rsidRDefault="009F0AF7" w:rsidP="001D41EA">
            <w:pPr>
              <w:spacing w:before="40" w:after="20"/>
              <w:jc w:val="right"/>
              <w:rPr>
                <w:rFonts w:cs="Arial"/>
                <w:sz w:val="18"/>
                <w:szCs w:val="18"/>
              </w:rPr>
            </w:pPr>
            <w:r w:rsidRPr="001D41EA">
              <w:rPr>
                <w:rFonts w:cs="Arial"/>
                <w:sz w:val="18"/>
                <w:szCs w:val="18"/>
              </w:rPr>
              <w:t>420,518</w:t>
            </w:r>
          </w:p>
        </w:tc>
        <w:tc>
          <w:tcPr>
            <w:tcW w:w="1361" w:type="dxa"/>
            <w:tcBorders>
              <w:top w:val="nil"/>
              <w:left w:val="nil"/>
              <w:bottom w:val="nil"/>
              <w:right w:val="nil"/>
            </w:tcBorders>
            <w:vAlign w:val="bottom"/>
          </w:tcPr>
          <w:p w14:paraId="3624B9A8" w14:textId="2E379F86" w:rsidR="009F0AF7" w:rsidRPr="001D41EA" w:rsidRDefault="009F0AF7" w:rsidP="001D41EA">
            <w:pPr>
              <w:spacing w:before="40" w:after="20"/>
              <w:jc w:val="right"/>
              <w:rPr>
                <w:rFonts w:cs="Arial"/>
                <w:sz w:val="18"/>
                <w:szCs w:val="18"/>
              </w:rPr>
            </w:pPr>
            <w:r w:rsidRPr="001D41EA">
              <w:rPr>
                <w:rFonts w:cs="Arial"/>
                <w:sz w:val="18"/>
                <w:szCs w:val="18"/>
              </w:rPr>
              <w:t>1,007,587</w:t>
            </w:r>
          </w:p>
        </w:tc>
        <w:tc>
          <w:tcPr>
            <w:tcW w:w="1361" w:type="dxa"/>
            <w:tcBorders>
              <w:top w:val="nil"/>
              <w:left w:val="nil"/>
              <w:bottom w:val="nil"/>
              <w:right w:val="nil"/>
            </w:tcBorders>
            <w:shd w:val="clear" w:color="auto" w:fill="auto"/>
            <w:vAlign w:val="bottom"/>
          </w:tcPr>
          <w:p w14:paraId="39F3337B" w14:textId="26EFAB27" w:rsidR="009F0AF7" w:rsidRPr="001D41EA" w:rsidRDefault="009F0AF7" w:rsidP="001D41EA">
            <w:pPr>
              <w:spacing w:before="40" w:after="20"/>
              <w:jc w:val="right"/>
              <w:rPr>
                <w:rFonts w:cs="Arial"/>
                <w:sz w:val="18"/>
                <w:szCs w:val="18"/>
              </w:rPr>
            </w:pPr>
            <w:r w:rsidRPr="001D41EA">
              <w:rPr>
                <w:rFonts w:cs="Arial"/>
                <w:sz w:val="18"/>
                <w:szCs w:val="18"/>
              </w:rPr>
              <w:t>516,857</w:t>
            </w:r>
          </w:p>
        </w:tc>
      </w:tr>
      <w:tr w:rsidR="009F0AF7" w:rsidRPr="001D41EA" w14:paraId="436A0A50"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094DE36" w14:textId="77777777" w:rsidR="009F0AF7" w:rsidRPr="001D41EA" w:rsidRDefault="009F0AF7" w:rsidP="001D41EA">
            <w:pPr>
              <w:spacing w:before="40" w:after="20"/>
              <w:rPr>
                <w:rFonts w:cs="Arial"/>
                <w:sz w:val="18"/>
                <w:szCs w:val="18"/>
              </w:rPr>
            </w:pPr>
            <w:r w:rsidRPr="001D41EA">
              <w:rPr>
                <w:rFonts w:cs="Arial"/>
                <w:sz w:val="18"/>
                <w:szCs w:val="18"/>
              </w:rPr>
              <w:t>Moira S</w:t>
            </w:r>
          </w:p>
        </w:tc>
        <w:tc>
          <w:tcPr>
            <w:tcW w:w="1361" w:type="dxa"/>
            <w:tcBorders>
              <w:top w:val="nil"/>
              <w:left w:val="single" w:sz="18" w:space="0" w:color="5F497A" w:themeColor="accent4" w:themeShade="BF"/>
              <w:bottom w:val="nil"/>
              <w:right w:val="nil"/>
            </w:tcBorders>
            <w:shd w:val="clear" w:color="auto" w:fill="auto"/>
            <w:vAlign w:val="bottom"/>
          </w:tcPr>
          <w:p w14:paraId="5A1D883F" w14:textId="5385B7FB" w:rsidR="009F0AF7" w:rsidRPr="001D41EA" w:rsidRDefault="009F0AF7" w:rsidP="001D41EA">
            <w:pPr>
              <w:spacing w:before="40" w:after="20"/>
              <w:jc w:val="right"/>
              <w:rPr>
                <w:rFonts w:cs="Arial"/>
                <w:sz w:val="18"/>
                <w:szCs w:val="18"/>
              </w:rPr>
            </w:pPr>
            <w:r w:rsidRPr="001D41EA">
              <w:rPr>
                <w:rFonts w:cs="Arial"/>
                <w:sz w:val="18"/>
                <w:szCs w:val="18"/>
              </w:rPr>
              <w:t>500,683</w:t>
            </w:r>
          </w:p>
        </w:tc>
        <w:tc>
          <w:tcPr>
            <w:tcW w:w="1361" w:type="dxa"/>
            <w:tcBorders>
              <w:top w:val="nil"/>
              <w:left w:val="nil"/>
              <w:bottom w:val="nil"/>
              <w:right w:val="nil"/>
            </w:tcBorders>
            <w:shd w:val="clear" w:color="auto" w:fill="auto"/>
            <w:vAlign w:val="bottom"/>
          </w:tcPr>
          <w:p w14:paraId="3A00AF6E" w14:textId="4BEFF698" w:rsidR="009F0AF7" w:rsidRPr="001D41EA" w:rsidRDefault="009F0AF7" w:rsidP="001D41EA">
            <w:pPr>
              <w:spacing w:before="40" w:after="20"/>
              <w:jc w:val="right"/>
              <w:rPr>
                <w:rFonts w:cs="Arial"/>
                <w:sz w:val="18"/>
                <w:szCs w:val="18"/>
              </w:rPr>
            </w:pPr>
            <w:r w:rsidRPr="001D41EA">
              <w:rPr>
                <w:rFonts w:cs="Arial"/>
                <w:sz w:val="18"/>
                <w:szCs w:val="18"/>
              </w:rPr>
              <w:t>269,155</w:t>
            </w:r>
          </w:p>
        </w:tc>
        <w:tc>
          <w:tcPr>
            <w:tcW w:w="1361" w:type="dxa"/>
            <w:tcBorders>
              <w:top w:val="nil"/>
              <w:left w:val="nil"/>
              <w:bottom w:val="nil"/>
              <w:right w:val="nil"/>
            </w:tcBorders>
            <w:vAlign w:val="bottom"/>
          </w:tcPr>
          <w:p w14:paraId="4756E0EF" w14:textId="4FD3F9F6" w:rsidR="009F0AF7" w:rsidRPr="001D41EA" w:rsidRDefault="009F0AF7" w:rsidP="001D41EA">
            <w:pPr>
              <w:spacing w:before="40" w:after="20"/>
              <w:jc w:val="right"/>
              <w:rPr>
                <w:rFonts w:cs="Arial"/>
                <w:sz w:val="18"/>
                <w:szCs w:val="18"/>
              </w:rPr>
            </w:pPr>
            <w:r w:rsidRPr="001D41EA">
              <w:rPr>
                <w:rFonts w:cs="Arial"/>
                <w:sz w:val="18"/>
                <w:szCs w:val="18"/>
              </w:rPr>
              <w:t>369,673</w:t>
            </w:r>
          </w:p>
        </w:tc>
        <w:tc>
          <w:tcPr>
            <w:tcW w:w="1361" w:type="dxa"/>
            <w:tcBorders>
              <w:top w:val="nil"/>
              <w:left w:val="nil"/>
              <w:bottom w:val="nil"/>
              <w:right w:val="nil"/>
            </w:tcBorders>
            <w:vAlign w:val="bottom"/>
          </w:tcPr>
          <w:p w14:paraId="6AFFFFB9" w14:textId="12293CEB" w:rsidR="009F0AF7" w:rsidRPr="001D41EA" w:rsidRDefault="009F0AF7" w:rsidP="001D41EA">
            <w:pPr>
              <w:spacing w:before="40" w:after="20"/>
              <w:jc w:val="right"/>
              <w:rPr>
                <w:rFonts w:cs="Arial"/>
                <w:sz w:val="18"/>
                <w:szCs w:val="18"/>
              </w:rPr>
            </w:pPr>
            <w:r w:rsidRPr="001D41EA">
              <w:rPr>
                <w:rFonts w:cs="Arial"/>
                <w:sz w:val="18"/>
                <w:szCs w:val="18"/>
              </w:rPr>
              <w:t>677,783</w:t>
            </w:r>
          </w:p>
        </w:tc>
        <w:tc>
          <w:tcPr>
            <w:tcW w:w="1361" w:type="dxa"/>
            <w:tcBorders>
              <w:top w:val="nil"/>
              <w:left w:val="nil"/>
              <w:bottom w:val="nil"/>
              <w:right w:val="nil"/>
            </w:tcBorders>
            <w:shd w:val="clear" w:color="auto" w:fill="auto"/>
            <w:vAlign w:val="bottom"/>
          </w:tcPr>
          <w:p w14:paraId="7A02404F" w14:textId="5312C216" w:rsidR="009F0AF7" w:rsidRPr="001D41EA" w:rsidRDefault="009F0AF7" w:rsidP="001D41EA">
            <w:pPr>
              <w:spacing w:before="40" w:after="20"/>
              <w:jc w:val="right"/>
              <w:rPr>
                <w:rFonts w:cs="Arial"/>
                <w:sz w:val="18"/>
                <w:szCs w:val="18"/>
              </w:rPr>
            </w:pPr>
            <w:r w:rsidRPr="001D41EA">
              <w:rPr>
                <w:rFonts w:cs="Arial"/>
                <w:sz w:val="18"/>
                <w:szCs w:val="18"/>
              </w:rPr>
              <w:t>417,132</w:t>
            </w:r>
          </w:p>
        </w:tc>
      </w:tr>
      <w:tr w:rsidR="009F0AF7" w:rsidRPr="001D41EA" w14:paraId="4D7314C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61A8364" w14:textId="77777777" w:rsidR="009F0AF7" w:rsidRPr="001D41EA" w:rsidRDefault="009F0AF7" w:rsidP="001D41EA">
            <w:pPr>
              <w:spacing w:before="40" w:after="20"/>
              <w:rPr>
                <w:rFonts w:cs="Arial"/>
                <w:sz w:val="18"/>
                <w:szCs w:val="18"/>
              </w:rPr>
            </w:pPr>
            <w:r w:rsidRPr="001D41EA">
              <w:rPr>
                <w:rFonts w:cs="Arial"/>
                <w:sz w:val="18"/>
                <w:szCs w:val="18"/>
              </w:rPr>
              <w:t>Monash C</w:t>
            </w:r>
          </w:p>
        </w:tc>
        <w:tc>
          <w:tcPr>
            <w:tcW w:w="1361" w:type="dxa"/>
            <w:tcBorders>
              <w:top w:val="nil"/>
              <w:left w:val="single" w:sz="18" w:space="0" w:color="5F497A" w:themeColor="accent4" w:themeShade="BF"/>
              <w:bottom w:val="nil"/>
              <w:right w:val="nil"/>
            </w:tcBorders>
            <w:shd w:val="clear" w:color="auto" w:fill="auto"/>
            <w:vAlign w:val="bottom"/>
          </w:tcPr>
          <w:p w14:paraId="522F757C" w14:textId="11ACA11C" w:rsidR="009F0AF7" w:rsidRPr="001D41EA" w:rsidRDefault="009F0AF7" w:rsidP="001D41EA">
            <w:pPr>
              <w:spacing w:before="40" w:after="20"/>
              <w:jc w:val="right"/>
              <w:rPr>
                <w:rFonts w:cs="Arial"/>
                <w:sz w:val="18"/>
                <w:szCs w:val="18"/>
              </w:rPr>
            </w:pPr>
            <w:r w:rsidRPr="001D41EA">
              <w:rPr>
                <w:rFonts w:cs="Arial"/>
                <w:sz w:val="18"/>
                <w:szCs w:val="18"/>
              </w:rPr>
              <w:t>3,361,692</w:t>
            </w:r>
          </w:p>
        </w:tc>
        <w:tc>
          <w:tcPr>
            <w:tcW w:w="1361" w:type="dxa"/>
            <w:tcBorders>
              <w:top w:val="nil"/>
              <w:left w:val="nil"/>
              <w:bottom w:val="nil"/>
              <w:right w:val="nil"/>
            </w:tcBorders>
            <w:shd w:val="clear" w:color="auto" w:fill="auto"/>
            <w:vAlign w:val="bottom"/>
          </w:tcPr>
          <w:p w14:paraId="01BAEDF1" w14:textId="26AD5DDB" w:rsidR="009F0AF7" w:rsidRPr="001D41EA" w:rsidRDefault="009F0AF7" w:rsidP="001D41EA">
            <w:pPr>
              <w:spacing w:before="40" w:after="20"/>
              <w:jc w:val="right"/>
              <w:rPr>
                <w:rFonts w:cs="Arial"/>
                <w:sz w:val="18"/>
                <w:szCs w:val="18"/>
              </w:rPr>
            </w:pPr>
            <w:r w:rsidRPr="001D41EA">
              <w:rPr>
                <w:rFonts w:cs="Arial"/>
                <w:sz w:val="18"/>
                <w:szCs w:val="18"/>
              </w:rPr>
              <w:t>2,431,698</w:t>
            </w:r>
          </w:p>
        </w:tc>
        <w:tc>
          <w:tcPr>
            <w:tcW w:w="1361" w:type="dxa"/>
            <w:tcBorders>
              <w:top w:val="nil"/>
              <w:left w:val="nil"/>
              <w:bottom w:val="nil"/>
              <w:right w:val="nil"/>
            </w:tcBorders>
            <w:vAlign w:val="bottom"/>
          </w:tcPr>
          <w:p w14:paraId="7B46EC7F" w14:textId="63F65440" w:rsidR="009F0AF7" w:rsidRPr="001D41EA" w:rsidRDefault="009F0AF7" w:rsidP="001D41EA">
            <w:pPr>
              <w:spacing w:before="40" w:after="20"/>
              <w:jc w:val="right"/>
              <w:rPr>
                <w:rFonts w:cs="Arial"/>
                <w:sz w:val="18"/>
                <w:szCs w:val="18"/>
              </w:rPr>
            </w:pPr>
            <w:r w:rsidRPr="001D41EA">
              <w:rPr>
                <w:rFonts w:cs="Arial"/>
                <w:sz w:val="18"/>
                <w:szCs w:val="18"/>
              </w:rPr>
              <w:t>1,990,468</w:t>
            </w:r>
          </w:p>
        </w:tc>
        <w:tc>
          <w:tcPr>
            <w:tcW w:w="1361" w:type="dxa"/>
            <w:tcBorders>
              <w:top w:val="nil"/>
              <w:left w:val="nil"/>
              <w:bottom w:val="nil"/>
              <w:right w:val="nil"/>
            </w:tcBorders>
            <w:vAlign w:val="bottom"/>
          </w:tcPr>
          <w:p w14:paraId="6AEBBBF2" w14:textId="7C0B1634" w:rsidR="009F0AF7" w:rsidRPr="001D41EA" w:rsidRDefault="009F0AF7" w:rsidP="001D41EA">
            <w:pPr>
              <w:spacing w:before="40" w:after="20"/>
              <w:jc w:val="right"/>
              <w:rPr>
                <w:rFonts w:cs="Arial"/>
                <w:sz w:val="18"/>
                <w:szCs w:val="18"/>
              </w:rPr>
            </w:pPr>
            <w:r w:rsidRPr="001D41EA">
              <w:rPr>
                <w:rFonts w:cs="Arial"/>
                <w:sz w:val="18"/>
                <w:szCs w:val="18"/>
              </w:rPr>
              <w:t>4,550,782</w:t>
            </w:r>
          </w:p>
        </w:tc>
        <w:tc>
          <w:tcPr>
            <w:tcW w:w="1361" w:type="dxa"/>
            <w:tcBorders>
              <w:top w:val="nil"/>
              <w:left w:val="nil"/>
              <w:bottom w:val="nil"/>
              <w:right w:val="nil"/>
            </w:tcBorders>
            <w:shd w:val="clear" w:color="auto" w:fill="auto"/>
            <w:vAlign w:val="bottom"/>
          </w:tcPr>
          <w:p w14:paraId="709634C3" w14:textId="505FCBDD" w:rsidR="009F0AF7" w:rsidRPr="001D41EA" w:rsidRDefault="009F0AF7" w:rsidP="001D41EA">
            <w:pPr>
              <w:spacing w:before="40" w:after="20"/>
              <w:jc w:val="right"/>
              <w:rPr>
                <w:rFonts w:cs="Arial"/>
                <w:sz w:val="18"/>
                <w:szCs w:val="18"/>
              </w:rPr>
            </w:pPr>
            <w:r w:rsidRPr="001D41EA">
              <w:rPr>
                <w:rFonts w:cs="Arial"/>
                <w:sz w:val="18"/>
                <w:szCs w:val="18"/>
              </w:rPr>
              <w:t>2,181,576</w:t>
            </w:r>
          </w:p>
        </w:tc>
      </w:tr>
      <w:tr w:rsidR="009F0AF7" w:rsidRPr="001D41EA" w14:paraId="3D3066EC"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2F1CEF8" w14:textId="77777777" w:rsidR="009F0AF7" w:rsidRPr="001D41EA" w:rsidRDefault="009F0AF7" w:rsidP="001D41EA">
            <w:pPr>
              <w:spacing w:before="40" w:after="20"/>
              <w:rPr>
                <w:rFonts w:cs="Arial"/>
                <w:sz w:val="18"/>
                <w:szCs w:val="18"/>
              </w:rPr>
            </w:pPr>
            <w:r w:rsidRPr="001D41EA">
              <w:rPr>
                <w:rFonts w:cs="Arial"/>
                <w:sz w:val="18"/>
                <w:szCs w:val="18"/>
              </w:rPr>
              <w:t>Moonee Valley C</w:t>
            </w:r>
          </w:p>
        </w:tc>
        <w:tc>
          <w:tcPr>
            <w:tcW w:w="1361" w:type="dxa"/>
            <w:tcBorders>
              <w:top w:val="nil"/>
              <w:left w:val="single" w:sz="18" w:space="0" w:color="5F497A" w:themeColor="accent4" w:themeShade="BF"/>
              <w:bottom w:val="nil"/>
              <w:right w:val="nil"/>
            </w:tcBorders>
            <w:shd w:val="clear" w:color="auto" w:fill="auto"/>
            <w:vAlign w:val="bottom"/>
          </w:tcPr>
          <w:p w14:paraId="219DD969" w14:textId="061CCA9C" w:rsidR="009F0AF7" w:rsidRPr="001D41EA" w:rsidRDefault="009F0AF7" w:rsidP="001D41EA">
            <w:pPr>
              <w:spacing w:before="40" w:after="20"/>
              <w:jc w:val="right"/>
              <w:rPr>
                <w:rFonts w:cs="Arial"/>
                <w:sz w:val="18"/>
                <w:szCs w:val="18"/>
              </w:rPr>
            </w:pPr>
            <w:r w:rsidRPr="001D41EA">
              <w:rPr>
                <w:rFonts w:cs="Arial"/>
                <w:sz w:val="18"/>
                <w:szCs w:val="18"/>
              </w:rPr>
              <w:t>2,148,689</w:t>
            </w:r>
          </w:p>
        </w:tc>
        <w:tc>
          <w:tcPr>
            <w:tcW w:w="1361" w:type="dxa"/>
            <w:tcBorders>
              <w:top w:val="nil"/>
              <w:left w:val="nil"/>
              <w:bottom w:val="nil"/>
              <w:right w:val="nil"/>
            </w:tcBorders>
            <w:shd w:val="clear" w:color="auto" w:fill="auto"/>
            <w:vAlign w:val="bottom"/>
          </w:tcPr>
          <w:p w14:paraId="3FAA5867" w14:textId="199576AD" w:rsidR="009F0AF7" w:rsidRPr="001D41EA" w:rsidRDefault="009F0AF7" w:rsidP="001D41EA">
            <w:pPr>
              <w:spacing w:before="40" w:after="20"/>
              <w:jc w:val="right"/>
              <w:rPr>
                <w:rFonts w:cs="Arial"/>
                <w:sz w:val="18"/>
                <w:szCs w:val="18"/>
              </w:rPr>
            </w:pPr>
            <w:r w:rsidRPr="001D41EA">
              <w:rPr>
                <w:rFonts w:cs="Arial"/>
                <w:sz w:val="18"/>
                <w:szCs w:val="18"/>
              </w:rPr>
              <w:t>1,511,799</w:t>
            </w:r>
          </w:p>
        </w:tc>
        <w:tc>
          <w:tcPr>
            <w:tcW w:w="1361" w:type="dxa"/>
            <w:tcBorders>
              <w:top w:val="nil"/>
              <w:left w:val="nil"/>
              <w:bottom w:val="nil"/>
              <w:right w:val="nil"/>
            </w:tcBorders>
            <w:vAlign w:val="bottom"/>
          </w:tcPr>
          <w:p w14:paraId="050E374C" w14:textId="15F68093" w:rsidR="009F0AF7" w:rsidRPr="001D41EA" w:rsidRDefault="009F0AF7" w:rsidP="001D41EA">
            <w:pPr>
              <w:spacing w:before="40" w:after="20"/>
              <w:jc w:val="right"/>
              <w:rPr>
                <w:rFonts w:cs="Arial"/>
                <w:sz w:val="18"/>
                <w:szCs w:val="18"/>
              </w:rPr>
            </w:pPr>
            <w:r w:rsidRPr="001D41EA">
              <w:rPr>
                <w:rFonts w:cs="Arial"/>
                <w:sz w:val="18"/>
                <w:szCs w:val="18"/>
              </w:rPr>
              <w:t>1,199,462</w:t>
            </w:r>
          </w:p>
        </w:tc>
        <w:tc>
          <w:tcPr>
            <w:tcW w:w="1361" w:type="dxa"/>
            <w:tcBorders>
              <w:top w:val="nil"/>
              <w:left w:val="nil"/>
              <w:bottom w:val="nil"/>
              <w:right w:val="nil"/>
            </w:tcBorders>
            <w:vAlign w:val="bottom"/>
          </w:tcPr>
          <w:p w14:paraId="0D6C03DA" w14:textId="2CAF43F2" w:rsidR="009F0AF7" w:rsidRPr="001D41EA" w:rsidRDefault="009F0AF7" w:rsidP="001D41EA">
            <w:pPr>
              <w:spacing w:before="40" w:after="20"/>
              <w:jc w:val="right"/>
              <w:rPr>
                <w:rFonts w:cs="Arial"/>
                <w:sz w:val="18"/>
                <w:szCs w:val="18"/>
              </w:rPr>
            </w:pPr>
            <w:r w:rsidRPr="001D41EA">
              <w:rPr>
                <w:rFonts w:cs="Arial"/>
                <w:sz w:val="18"/>
                <w:szCs w:val="18"/>
              </w:rPr>
              <w:t>2,908,718</w:t>
            </w:r>
          </w:p>
        </w:tc>
        <w:tc>
          <w:tcPr>
            <w:tcW w:w="1361" w:type="dxa"/>
            <w:tcBorders>
              <w:top w:val="nil"/>
              <w:left w:val="nil"/>
              <w:bottom w:val="nil"/>
              <w:right w:val="nil"/>
            </w:tcBorders>
            <w:shd w:val="clear" w:color="auto" w:fill="auto"/>
            <w:vAlign w:val="bottom"/>
          </w:tcPr>
          <w:p w14:paraId="03DC803D" w14:textId="5ACE6BC3" w:rsidR="009F0AF7" w:rsidRPr="001D41EA" w:rsidRDefault="009F0AF7" w:rsidP="001D41EA">
            <w:pPr>
              <w:spacing w:before="40" w:after="20"/>
              <w:jc w:val="right"/>
              <w:rPr>
                <w:rFonts w:cs="Arial"/>
                <w:sz w:val="18"/>
                <w:szCs w:val="18"/>
              </w:rPr>
            </w:pPr>
            <w:r w:rsidRPr="001D41EA">
              <w:rPr>
                <w:rFonts w:cs="Arial"/>
                <w:sz w:val="18"/>
                <w:szCs w:val="18"/>
              </w:rPr>
              <w:t>1,554,480</w:t>
            </w:r>
          </w:p>
        </w:tc>
      </w:tr>
      <w:tr w:rsidR="009F0AF7" w:rsidRPr="001D41EA" w14:paraId="45617386"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4E93F82" w14:textId="77777777" w:rsidR="009F0AF7" w:rsidRPr="001D41EA" w:rsidRDefault="009F0AF7" w:rsidP="001D41EA">
            <w:pPr>
              <w:spacing w:before="40" w:after="20"/>
              <w:rPr>
                <w:rFonts w:cs="Arial"/>
                <w:sz w:val="18"/>
                <w:szCs w:val="18"/>
              </w:rPr>
            </w:pPr>
            <w:r w:rsidRPr="001D41EA">
              <w:rPr>
                <w:rFonts w:cs="Arial"/>
                <w:sz w:val="18"/>
                <w:szCs w:val="18"/>
              </w:rPr>
              <w:t>Moorabool S</w:t>
            </w:r>
          </w:p>
        </w:tc>
        <w:tc>
          <w:tcPr>
            <w:tcW w:w="1361" w:type="dxa"/>
            <w:tcBorders>
              <w:top w:val="nil"/>
              <w:left w:val="single" w:sz="18" w:space="0" w:color="5F497A" w:themeColor="accent4" w:themeShade="BF"/>
              <w:bottom w:val="nil"/>
              <w:right w:val="nil"/>
            </w:tcBorders>
            <w:shd w:val="clear" w:color="auto" w:fill="auto"/>
            <w:vAlign w:val="bottom"/>
          </w:tcPr>
          <w:p w14:paraId="0336148E" w14:textId="3C08F14E" w:rsidR="009F0AF7" w:rsidRPr="001D41EA" w:rsidRDefault="009F0AF7" w:rsidP="001D41EA">
            <w:pPr>
              <w:spacing w:before="40" w:after="20"/>
              <w:jc w:val="right"/>
              <w:rPr>
                <w:rFonts w:cs="Arial"/>
                <w:sz w:val="18"/>
                <w:szCs w:val="18"/>
              </w:rPr>
            </w:pPr>
            <w:r w:rsidRPr="001D41EA">
              <w:rPr>
                <w:rFonts w:cs="Arial"/>
                <w:sz w:val="18"/>
                <w:szCs w:val="18"/>
              </w:rPr>
              <w:t>573,922</w:t>
            </w:r>
          </w:p>
        </w:tc>
        <w:tc>
          <w:tcPr>
            <w:tcW w:w="1361" w:type="dxa"/>
            <w:tcBorders>
              <w:top w:val="nil"/>
              <w:left w:val="nil"/>
              <w:bottom w:val="nil"/>
              <w:right w:val="nil"/>
            </w:tcBorders>
            <w:shd w:val="clear" w:color="auto" w:fill="auto"/>
            <w:vAlign w:val="bottom"/>
          </w:tcPr>
          <w:p w14:paraId="4CBF3326" w14:textId="3E1E1288" w:rsidR="009F0AF7" w:rsidRPr="001D41EA" w:rsidRDefault="009F0AF7" w:rsidP="001D41EA">
            <w:pPr>
              <w:spacing w:before="40" w:after="20"/>
              <w:jc w:val="right"/>
              <w:rPr>
                <w:rFonts w:cs="Arial"/>
                <w:sz w:val="18"/>
                <w:szCs w:val="18"/>
              </w:rPr>
            </w:pPr>
            <w:r w:rsidRPr="001D41EA">
              <w:rPr>
                <w:rFonts w:cs="Arial"/>
                <w:sz w:val="18"/>
                <w:szCs w:val="18"/>
              </w:rPr>
              <w:t>375,450</w:t>
            </w:r>
          </w:p>
        </w:tc>
        <w:tc>
          <w:tcPr>
            <w:tcW w:w="1361" w:type="dxa"/>
            <w:tcBorders>
              <w:top w:val="nil"/>
              <w:left w:val="nil"/>
              <w:bottom w:val="nil"/>
              <w:right w:val="nil"/>
            </w:tcBorders>
            <w:vAlign w:val="bottom"/>
          </w:tcPr>
          <w:p w14:paraId="5E1A0F0C" w14:textId="22B9B30A" w:rsidR="009F0AF7" w:rsidRPr="001D41EA" w:rsidRDefault="009F0AF7" w:rsidP="001D41EA">
            <w:pPr>
              <w:spacing w:before="40" w:after="20"/>
              <w:jc w:val="right"/>
              <w:rPr>
                <w:rFonts w:cs="Arial"/>
                <w:sz w:val="18"/>
                <w:szCs w:val="18"/>
              </w:rPr>
            </w:pPr>
            <w:r w:rsidRPr="001D41EA">
              <w:rPr>
                <w:rFonts w:cs="Arial"/>
                <w:sz w:val="18"/>
                <w:szCs w:val="18"/>
              </w:rPr>
              <w:t>324,219</w:t>
            </w:r>
          </w:p>
        </w:tc>
        <w:tc>
          <w:tcPr>
            <w:tcW w:w="1361" w:type="dxa"/>
            <w:tcBorders>
              <w:top w:val="nil"/>
              <w:left w:val="nil"/>
              <w:bottom w:val="nil"/>
              <w:right w:val="nil"/>
            </w:tcBorders>
            <w:vAlign w:val="bottom"/>
          </w:tcPr>
          <w:p w14:paraId="28C032D3" w14:textId="491652FC" w:rsidR="009F0AF7" w:rsidRPr="001D41EA" w:rsidRDefault="009F0AF7" w:rsidP="001D41EA">
            <w:pPr>
              <w:spacing w:before="40" w:after="20"/>
              <w:jc w:val="right"/>
              <w:rPr>
                <w:rFonts w:cs="Arial"/>
                <w:sz w:val="18"/>
                <w:szCs w:val="18"/>
              </w:rPr>
            </w:pPr>
            <w:r w:rsidRPr="001D41EA">
              <w:rPr>
                <w:rFonts w:cs="Arial"/>
                <w:sz w:val="18"/>
                <w:szCs w:val="18"/>
              </w:rPr>
              <w:t>776,929</w:t>
            </w:r>
          </w:p>
        </w:tc>
        <w:tc>
          <w:tcPr>
            <w:tcW w:w="1361" w:type="dxa"/>
            <w:tcBorders>
              <w:top w:val="nil"/>
              <w:left w:val="nil"/>
              <w:bottom w:val="nil"/>
              <w:right w:val="nil"/>
            </w:tcBorders>
            <w:shd w:val="clear" w:color="auto" w:fill="auto"/>
            <w:vAlign w:val="bottom"/>
          </w:tcPr>
          <w:p w14:paraId="706A9EF8" w14:textId="787A6AE8" w:rsidR="009F0AF7" w:rsidRPr="001D41EA" w:rsidRDefault="009F0AF7" w:rsidP="001D41EA">
            <w:pPr>
              <w:spacing w:before="40" w:after="20"/>
              <w:jc w:val="right"/>
              <w:rPr>
                <w:rFonts w:cs="Arial"/>
                <w:sz w:val="18"/>
                <w:szCs w:val="18"/>
              </w:rPr>
            </w:pPr>
            <w:r w:rsidRPr="001D41EA">
              <w:rPr>
                <w:rFonts w:cs="Arial"/>
                <w:sz w:val="18"/>
                <w:szCs w:val="18"/>
              </w:rPr>
              <w:t>408,611</w:t>
            </w:r>
          </w:p>
        </w:tc>
      </w:tr>
      <w:tr w:rsidR="009F0AF7" w:rsidRPr="001D41EA" w14:paraId="5C09D552"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699B704" w14:textId="77777777" w:rsidR="009F0AF7" w:rsidRPr="001D41EA" w:rsidRDefault="009F0AF7" w:rsidP="001D41EA">
            <w:pPr>
              <w:spacing w:before="40" w:after="20"/>
              <w:rPr>
                <w:rFonts w:cs="Arial"/>
                <w:sz w:val="18"/>
                <w:szCs w:val="18"/>
              </w:rPr>
            </w:pPr>
            <w:r w:rsidRPr="001D41EA">
              <w:rPr>
                <w:rFonts w:cs="Arial"/>
                <w:sz w:val="18"/>
                <w:szCs w:val="18"/>
              </w:rPr>
              <w:t>Moreland C</w:t>
            </w:r>
          </w:p>
        </w:tc>
        <w:tc>
          <w:tcPr>
            <w:tcW w:w="1361" w:type="dxa"/>
            <w:tcBorders>
              <w:top w:val="nil"/>
              <w:left w:val="single" w:sz="18" w:space="0" w:color="5F497A" w:themeColor="accent4" w:themeShade="BF"/>
              <w:bottom w:val="nil"/>
              <w:right w:val="nil"/>
            </w:tcBorders>
            <w:shd w:val="clear" w:color="auto" w:fill="auto"/>
            <w:vAlign w:val="bottom"/>
          </w:tcPr>
          <w:p w14:paraId="120EFE68" w14:textId="0B642C90" w:rsidR="009F0AF7" w:rsidRPr="001D41EA" w:rsidRDefault="009F0AF7" w:rsidP="001D41EA">
            <w:pPr>
              <w:spacing w:before="40" w:after="20"/>
              <w:jc w:val="right"/>
              <w:rPr>
                <w:rFonts w:cs="Arial"/>
                <w:sz w:val="18"/>
                <w:szCs w:val="18"/>
              </w:rPr>
            </w:pPr>
            <w:r w:rsidRPr="001D41EA">
              <w:rPr>
                <w:rFonts w:cs="Arial"/>
                <w:sz w:val="18"/>
                <w:szCs w:val="18"/>
              </w:rPr>
              <w:t>3,053,342</w:t>
            </w:r>
          </w:p>
        </w:tc>
        <w:tc>
          <w:tcPr>
            <w:tcW w:w="1361" w:type="dxa"/>
            <w:tcBorders>
              <w:top w:val="nil"/>
              <w:left w:val="nil"/>
              <w:bottom w:val="nil"/>
              <w:right w:val="nil"/>
            </w:tcBorders>
            <w:shd w:val="clear" w:color="auto" w:fill="auto"/>
            <w:vAlign w:val="bottom"/>
          </w:tcPr>
          <w:p w14:paraId="6442891C" w14:textId="1D0E418B" w:rsidR="009F0AF7" w:rsidRPr="001D41EA" w:rsidRDefault="009F0AF7" w:rsidP="001D41EA">
            <w:pPr>
              <w:spacing w:before="40" w:after="20"/>
              <w:jc w:val="right"/>
              <w:rPr>
                <w:rFonts w:cs="Arial"/>
                <w:sz w:val="18"/>
                <w:szCs w:val="18"/>
              </w:rPr>
            </w:pPr>
            <w:r w:rsidRPr="001D41EA">
              <w:rPr>
                <w:rFonts w:cs="Arial"/>
                <w:sz w:val="18"/>
                <w:szCs w:val="18"/>
              </w:rPr>
              <w:t>2,021,579</w:t>
            </w:r>
          </w:p>
        </w:tc>
        <w:tc>
          <w:tcPr>
            <w:tcW w:w="1361" w:type="dxa"/>
            <w:tcBorders>
              <w:top w:val="nil"/>
              <w:left w:val="nil"/>
              <w:bottom w:val="nil"/>
              <w:right w:val="nil"/>
            </w:tcBorders>
            <w:vAlign w:val="bottom"/>
          </w:tcPr>
          <w:p w14:paraId="6792F340" w14:textId="46F531EF" w:rsidR="009F0AF7" w:rsidRPr="001D41EA" w:rsidRDefault="009F0AF7" w:rsidP="001D41EA">
            <w:pPr>
              <w:spacing w:before="40" w:after="20"/>
              <w:jc w:val="right"/>
              <w:rPr>
                <w:rFonts w:cs="Arial"/>
                <w:sz w:val="18"/>
                <w:szCs w:val="18"/>
              </w:rPr>
            </w:pPr>
            <w:r w:rsidRPr="001D41EA">
              <w:rPr>
                <w:rFonts w:cs="Arial"/>
                <w:sz w:val="18"/>
                <w:szCs w:val="18"/>
              </w:rPr>
              <w:t>1,283,267</w:t>
            </w:r>
          </w:p>
        </w:tc>
        <w:tc>
          <w:tcPr>
            <w:tcW w:w="1361" w:type="dxa"/>
            <w:tcBorders>
              <w:top w:val="nil"/>
              <w:left w:val="nil"/>
              <w:bottom w:val="nil"/>
              <w:right w:val="nil"/>
            </w:tcBorders>
            <w:vAlign w:val="bottom"/>
          </w:tcPr>
          <w:p w14:paraId="0B8AD6AA" w14:textId="47897FC1" w:rsidR="009F0AF7" w:rsidRPr="001D41EA" w:rsidRDefault="009F0AF7" w:rsidP="001D41EA">
            <w:pPr>
              <w:spacing w:before="40" w:after="20"/>
              <w:jc w:val="right"/>
              <w:rPr>
                <w:rFonts w:cs="Arial"/>
                <w:sz w:val="18"/>
                <w:szCs w:val="18"/>
              </w:rPr>
            </w:pPr>
            <w:r w:rsidRPr="001D41EA">
              <w:rPr>
                <w:rFonts w:cs="Arial"/>
                <w:sz w:val="18"/>
                <w:szCs w:val="18"/>
              </w:rPr>
              <w:t>4,133,363</w:t>
            </w:r>
          </w:p>
        </w:tc>
        <w:tc>
          <w:tcPr>
            <w:tcW w:w="1361" w:type="dxa"/>
            <w:tcBorders>
              <w:top w:val="nil"/>
              <w:left w:val="nil"/>
              <w:bottom w:val="nil"/>
              <w:right w:val="nil"/>
            </w:tcBorders>
            <w:shd w:val="clear" w:color="auto" w:fill="auto"/>
            <w:vAlign w:val="bottom"/>
          </w:tcPr>
          <w:p w14:paraId="6859E743" w14:textId="00F6F877" w:rsidR="009F0AF7" w:rsidRPr="001D41EA" w:rsidRDefault="009F0AF7" w:rsidP="001D41EA">
            <w:pPr>
              <w:spacing w:before="40" w:after="20"/>
              <w:jc w:val="right"/>
              <w:rPr>
                <w:rFonts w:cs="Arial"/>
                <w:sz w:val="18"/>
                <w:szCs w:val="18"/>
              </w:rPr>
            </w:pPr>
            <w:r w:rsidRPr="001D41EA">
              <w:rPr>
                <w:rFonts w:cs="Arial"/>
                <w:sz w:val="18"/>
                <w:szCs w:val="18"/>
              </w:rPr>
              <w:t>2,224,713</w:t>
            </w:r>
          </w:p>
        </w:tc>
      </w:tr>
      <w:tr w:rsidR="009F0AF7" w:rsidRPr="001D41EA" w14:paraId="66EEE8E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0499EC8" w14:textId="77777777" w:rsidR="009F0AF7" w:rsidRPr="001D41EA" w:rsidRDefault="009F0AF7" w:rsidP="001D41EA">
            <w:pPr>
              <w:spacing w:before="40" w:after="20"/>
              <w:rPr>
                <w:rFonts w:cs="Arial"/>
                <w:sz w:val="18"/>
                <w:szCs w:val="18"/>
              </w:rPr>
            </w:pPr>
            <w:r w:rsidRPr="001D41EA">
              <w:rPr>
                <w:rFonts w:cs="Arial"/>
                <w:sz w:val="18"/>
                <w:szCs w:val="18"/>
              </w:rPr>
              <w:t>Mornington Peninsula S</w:t>
            </w:r>
          </w:p>
        </w:tc>
        <w:tc>
          <w:tcPr>
            <w:tcW w:w="1361" w:type="dxa"/>
            <w:tcBorders>
              <w:top w:val="nil"/>
              <w:left w:val="single" w:sz="18" w:space="0" w:color="5F497A" w:themeColor="accent4" w:themeShade="BF"/>
              <w:bottom w:val="nil"/>
              <w:right w:val="nil"/>
            </w:tcBorders>
            <w:shd w:val="clear" w:color="auto" w:fill="auto"/>
            <w:vAlign w:val="bottom"/>
          </w:tcPr>
          <w:p w14:paraId="235D1907" w14:textId="1DA6AF8B" w:rsidR="009F0AF7" w:rsidRPr="001D41EA" w:rsidRDefault="009F0AF7" w:rsidP="001D41EA">
            <w:pPr>
              <w:spacing w:before="40" w:after="20"/>
              <w:jc w:val="right"/>
              <w:rPr>
                <w:rFonts w:cs="Arial"/>
                <w:sz w:val="18"/>
                <w:szCs w:val="18"/>
              </w:rPr>
            </w:pPr>
            <w:r w:rsidRPr="001D41EA">
              <w:rPr>
                <w:rFonts w:cs="Arial"/>
                <w:sz w:val="18"/>
                <w:szCs w:val="18"/>
              </w:rPr>
              <w:t>2,786,140</w:t>
            </w:r>
          </w:p>
        </w:tc>
        <w:tc>
          <w:tcPr>
            <w:tcW w:w="1361" w:type="dxa"/>
            <w:tcBorders>
              <w:top w:val="nil"/>
              <w:left w:val="nil"/>
              <w:bottom w:val="nil"/>
              <w:right w:val="nil"/>
            </w:tcBorders>
            <w:shd w:val="clear" w:color="auto" w:fill="auto"/>
            <w:vAlign w:val="bottom"/>
          </w:tcPr>
          <w:p w14:paraId="4595E820" w14:textId="1EA937D3" w:rsidR="009F0AF7" w:rsidRPr="001D41EA" w:rsidRDefault="009F0AF7" w:rsidP="001D41EA">
            <w:pPr>
              <w:spacing w:before="40" w:after="20"/>
              <w:jc w:val="right"/>
              <w:rPr>
                <w:rFonts w:cs="Arial"/>
                <w:sz w:val="18"/>
                <w:szCs w:val="18"/>
              </w:rPr>
            </w:pPr>
            <w:r w:rsidRPr="001D41EA">
              <w:rPr>
                <w:rFonts w:cs="Arial"/>
                <w:sz w:val="18"/>
                <w:szCs w:val="18"/>
              </w:rPr>
              <w:t>1,932,772</w:t>
            </w:r>
          </w:p>
        </w:tc>
        <w:tc>
          <w:tcPr>
            <w:tcW w:w="1361" w:type="dxa"/>
            <w:tcBorders>
              <w:top w:val="nil"/>
              <w:left w:val="nil"/>
              <w:bottom w:val="nil"/>
              <w:right w:val="nil"/>
            </w:tcBorders>
            <w:vAlign w:val="bottom"/>
          </w:tcPr>
          <w:p w14:paraId="22F6FFE6" w14:textId="5CCF4DD7" w:rsidR="009F0AF7" w:rsidRPr="001D41EA" w:rsidRDefault="009F0AF7" w:rsidP="001D41EA">
            <w:pPr>
              <w:spacing w:before="40" w:after="20"/>
              <w:jc w:val="right"/>
              <w:rPr>
                <w:rFonts w:cs="Arial"/>
                <w:sz w:val="18"/>
                <w:szCs w:val="18"/>
              </w:rPr>
            </w:pPr>
            <w:r w:rsidRPr="001D41EA">
              <w:rPr>
                <w:rFonts w:cs="Arial"/>
                <w:sz w:val="18"/>
                <w:szCs w:val="18"/>
              </w:rPr>
              <w:t>2,199,161</w:t>
            </w:r>
          </w:p>
        </w:tc>
        <w:tc>
          <w:tcPr>
            <w:tcW w:w="1361" w:type="dxa"/>
            <w:tcBorders>
              <w:top w:val="nil"/>
              <w:left w:val="nil"/>
              <w:bottom w:val="nil"/>
              <w:right w:val="nil"/>
            </w:tcBorders>
            <w:vAlign w:val="bottom"/>
          </w:tcPr>
          <w:p w14:paraId="78C3E016" w14:textId="17EA0B6F" w:rsidR="009F0AF7" w:rsidRPr="001D41EA" w:rsidRDefault="009F0AF7" w:rsidP="001D41EA">
            <w:pPr>
              <w:spacing w:before="40" w:after="20"/>
              <w:jc w:val="right"/>
              <w:rPr>
                <w:rFonts w:cs="Arial"/>
                <w:sz w:val="18"/>
                <w:szCs w:val="18"/>
              </w:rPr>
            </w:pPr>
            <w:r w:rsidRPr="001D41EA">
              <w:rPr>
                <w:rFonts w:cs="Arial"/>
                <w:sz w:val="18"/>
                <w:szCs w:val="18"/>
              </w:rPr>
              <w:t>3,771,646</w:t>
            </w:r>
          </w:p>
        </w:tc>
        <w:tc>
          <w:tcPr>
            <w:tcW w:w="1361" w:type="dxa"/>
            <w:tcBorders>
              <w:top w:val="nil"/>
              <w:left w:val="nil"/>
              <w:bottom w:val="nil"/>
              <w:right w:val="nil"/>
            </w:tcBorders>
            <w:shd w:val="clear" w:color="auto" w:fill="auto"/>
            <w:vAlign w:val="bottom"/>
          </w:tcPr>
          <w:p w14:paraId="0D789B6A" w14:textId="08C566B6" w:rsidR="009F0AF7" w:rsidRPr="001D41EA" w:rsidRDefault="009F0AF7" w:rsidP="001D41EA">
            <w:pPr>
              <w:spacing w:before="40" w:after="20"/>
              <w:jc w:val="right"/>
              <w:rPr>
                <w:rFonts w:cs="Arial"/>
                <w:sz w:val="18"/>
                <w:szCs w:val="18"/>
              </w:rPr>
            </w:pPr>
            <w:r w:rsidRPr="001D41EA">
              <w:rPr>
                <w:rFonts w:cs="Arial"/>
                <w:sz w:val="18"/>
                <w:szCs w:val="18"/>
              </w:rPr>
              <w:t>2,735,807</w:t>
            </w:r>
          </w:p>
        </w:tc>
      </w:tr>
      <w:tr w:rsidR="009F0AF7" w:rsidRPr="001D41EA" w14:paraId="2402B173"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668E27E" w14:textId="77777777" w:rsidR="009F0AF7" w:rsidRPr="001D41EA" w:rsidRDefault="009F0AF7" w:rsidP="001D41EA">
            <w:pPr>
              <w:spacing w:before="40" w:after="20"/>
              <w:rPr>
                <w:rFonts w:cs="Arial"/>
                <w:sz w:val="18"/>
                <w:szCs w:val="18"/>
              </w:rPr>
            </w:pPr>
            <w:r w:rsidRPr="001D41EA">
              <w:rPr>
                <w:rFonts w:cs="Arial"/>
                <w:sz w:val="18"/>
                <w:szCs w:val="18"/>
              </w:rPr>
              <w:t>Mount Alexander S</w:t>
            </w:r>
          </w:p>
        </w:tc>
        <w:tc>
          <w:tcPr>
            <w:tcW w:w="1361" w:type="dxa"/>
            <w:tcBorders>
              <w:top w:val="nil"/>
              <w:left w:val="single" w:sz="18" w:space="0" w:color="5F497A" w:themeColor="accent4" w:themeShade="BF"/>
              <w:bottom w:val="nil"/>
              <w:right w:val="nil"/>
            </w:tcBorders>
            <w:shd w:val="clear" w:color="auto" w:fill="auto"/>
            <w:vAlign w:val="bottom"/>
          </w:tcPr>
          <w:p w14:paraId="30C5E50D" w14:textId="18020F3D" w:rsidR="009F0AF7" w:rsidRPr="001D41EA" w:rsidRDefault="009F0AF7" w:rsidP="001D41EA">
            <w:pPr>
              <w:spacing w:before="40" w:after="20"/>
              <w:jc w:val="right"/>
              <w:rPr>
                <w:rFonts w:cs="Arial"/>
                <w:sz w:val="18"/>
                <w:szCs w:val="18"/>
              </w:rPr>
            </w:pPr>
            <w:r w:rsidRPr="001D41EA">
              <w:rPr>
                <w:rFonts w:cs="Arial"/>
                <w:sz w:val="18"/>
                <w:szCs w:val="18"/>
              </w:rPr>
              <w:t>327,874</w:t>
            </w:r>
          </w:p>
        </w:tc>
        <w:tc>
          <w:tcPr>
            <w:tcW w:w="1361" w:type="dxa"/>
            <w:tcBorders>
              <w:top w:val="nil"/>
              <w:left w:val="nil"/>
              <w:bottom w:val="nil"/>
              <w:right w:val="nil"/>
            </w:tcBorders>
            <w:shd w:val="clear" w:color="auto" w:fill="auto"/>
            <w:vAlign w:val="bottom"/>
          </w:tcPr>
          <w:p w14:paraId="32F0DF24" w14:textId="220F56B4" w:rsidR="009F0AF7" w:rsidRPr="001D41EA" w:rsidRDefault="009F0AF7" w:rsidP="001D41EA">
            <w:pPr>
              <w:spacing w:before="40" w:after="20"/>
              <w:jc w:val="right"/>
              <w:rPr>
                <w:rFonts w:cs="Arial"/>
                <w:sz w:val="18"/>
                <w:szCs w:val="18"/>
              </w:rPr>
            </w:pPr>
            <w:r w:rsidRPr="001D41EA">
              <w:rPr>
                <w:rFonts w:cs="Arial"/>
                <w:sz w:val="18"/>
                <w:szCs w:val="18"/>
              </w:rPr>
              <w:t>204,769</w:t>
            </w:r>
          </w:p>
        </w:tc>
        <w:tc>
          <w:tcPr>
            <w:tcW w:w="1361" w:type="dxa"/>
            <w:tcBorders>
              <w:top w:val="nil"/>
              <w:left w:val="nil"/>
              <w:bottom w:val="nil"/>
              <w:right w:val="nil"/>
            </w:tcBorders>
            <w:vAlign w:val="bottom"/>
          </w:tcPr>
          <w:p w14:paraId="5DAD437D" w14:textId="417DEC11" w:rsidR="009F0AF7" w:rsidRPr="001D41EA" w:rsidRDefault="009F0AF7" w:rsidP="001D41EA">
            <w:pPr>
              <w:spacing w:before="40" w:after="20"/>
              <w:jc w:val="right"/>
              <w:rPr>
                <w:rFonts w:cs="Arial"/>
                <w:sz w:val="18"/>
                <w:szCs w:val="18"/>
              </w:rPr>
            </w:pPr>
            <w:r w:rsidRPr="001D41EA">
              <w:rPr>
                <w:rFonts w:cs="Arial"/>
                <w:sz w:val="18"/>
                <w:szCs w:val="18"/>
              </w:rPr>
              <w:t>250,031</w:t>
            </w:r>
          </w:p>
        </w:tc>
        <w:tc>
          <w:tcPr>
            <w:tcW w:w="1361" w:type="dxa"/>
            <w:tcBorders>
              <w:top w:val="nil"/>
              <w:left w:val="nil"/>
              <w:bottom w:val="nil"/>
              <w:right w:val="nil"/>
            </w:tcBorders>
            <w:vAlign w:val="bottom"/>
          </w:tcPr>
          <w:p w14:paraId="5B030353" w14:textId="16D61641" w:rsidR="009F0AF7" w:rsidRPr="001D41EA" w:rsidRDefault="009F0AF7" w:rsidP="001D41EA">
            <w:pPr>
              <w:spacing w:before="40" w:after="20"/>
              <w:jc w:val="right"/>
              <w:rPr>
                <w:rFonts w:cs="Arial"/>
                <w:sz w:val="18"/>
                <w:szCs w:val="18"/>
              </w:rPr>
            </w:pPr>
            <w:r w:rsidRPr="001D41EA">
              <w:rPr>
                <w:rFonts w:cs="Arial"/>
                <w:sz w:val="18"/>
                <w:szCs w:val="18"/>
              </w:rPr>
              <w:t>443,849</w:t>
            </w:r>
          </w:p>
        </w:tc>
        <w:tc>
          <w:tcPr>
            <w:tcW w:w="1361" w:type="dxa"/>
            <w:tcBorders>
              <w:top w:val="nil"/>
              <w:left w:val="nil"/>
              <w:bottom w:val="nil"/>
              <w:right w:val="nil"/>
            </w:tcBorders>
            <w:shd w:val="clear" w:color="auto" w:fill="auto"/>
            <w:vAlign w:val="bottom"/>
          </w:tcPr>
          <w:p w14:paraId="1DA37D18" w14:textId="2E20796E" w:rsidR="009F0AF7" w:rsidRPr="001D41EA" w:rsidRDefault="009F0AF7" w:rsidP="001D41EA">
            <w:pPr>
              <w:spacing w:before="40" w:after="20"/>
              <w:jc w:val="right"/>
              <w:rPr>
                <w:rFonts w:cs="Arial"/>
                <w:sz w:val="18"/>
                <w:szCs w:val="18"/>
              </w:rPr>
            </w:pPr>
            <w:r w:rsidRPr="001D41EA">
              <w:rPr>
                <w:rFonts w:cs="Arial"/>
                <w:sz w:val="18"/>
                <w:szCs w:val="18"/>
              </w:rPr>
              <w:t>285,051</w:t>
            </w:r>
          </w:p>
        </w:tc>
      </w:tr>
      <w:tr w:rsidR="009F0AF7" w:rsidRPr="001D41EA" w14:paraId="1603B25B"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65E574E" w14:textId="77777777" w:rsidR="009F0AF7" w:rsidRPr="001D41EA" w:rsidRDefault="009F0AF7" w:rsidP="001D41EA">
            <w:pPr>
              <w:spacing w:before="40" w:after="20"/>
              <w:rPr>
                <w:rFonts w:cs="Arial"/>
                <w:sz w:val="18"/>
                <w:szCs w:val="18"/>
              </w:rPr>
            </w:pPr>
            <w:r w:rsidRPr="001D41EA">
              <w:rPr>
                <w:rFonts w:cs="Arial"/>
                <w:sz w:val="18"/>
                <w:szCs w:val="18"/>
              </w:rPr>
              <w:t>Moyne S</w:t>
            </w:r>
          </w:p>
        </w:tc>
        <w:tc>
          <w:tcPr>
            <w:tcW w:w="1361" w:type="dxa"/>
            <w:tcBorders>
              <w:top w:val="nil"/>
              <w:left w:val="single" w:sz="18" w:space="0" w:color="5F497A" w:themeColor="accent4" w:themeShade="BF"/>
              <w:bottom w:val="nil"/>
              <w:right w:val="nil"/>
            </w:tcBorders>
            <w:shd w:val="clear" w:color="auto" w:fill="auto"/>
            <w:vAlign w:val="bottom"/>
          </w:tcPr>
          <w:p w14:paraId="3C480C99" w14:textId="2EDF452F" w:rsidR="009F0AF7" w:rsidRPr="001D41EA" w:rsidRDefault="009F0AF7" w:rsidP="001D41EA">
            <w:pPr>
              <w:spacing w:before="40" w:after="20"/>
              <w:jc w:val="right"/>
              <w:rPr>
                <w:rFonts w:cs="Arial"/>
                <w:sz w:val="18"/>
                <w:szCs w:val="18"/>
              </w:rPr>
            </w:pPr>
            <w:r w:rsidRPr="001D41EA">
              <w:rPr>
                <w:rFonts w:cs="Arial"/>
                <w:sz w:val="18"/>
                <w:szCs w:val="18"/>
              </w:rPr>
              <w:t>283,735</w:t>
            </w:r>
          </w:p>
        </w:tc>
        <w:tc>
          <w:tcPr>
            <w:tcW w:w="1361" w:type="dxa"/>
            <w:tcBorders>
              <w:top w:val="nil"/>
              <w:left w:val="nil"/>
              <w:bottom w:val="nil"/>
              <w:right w:val="nil"/>
            </w:tcBorders>
            <w:shd w:val="clear" w:color="auto" w:fill="auto"/>
            <w:vAlign w:val="bottom"/>
          </w:tcPr>
          <w:p w14:paraId="33182B71" w14:textId="466DD5D8" w:rsidR="009F0AF7" w:rsidRPr="001D41EA" w:rsidRDefault="009F0AF7" w:rsidP="001D41EA">
            <w:pPr>
              <w:spacing w:before="40" w:after="20"/>
              <w:jc w:val="right"/>
              <w:rPr>
                <w:rFonts w:cs="Arial"/>
                <w:sz w:val="18"/>
                <w:szCs w:val="18"/>
              </w:rPr>
            </w:pPr>
            <w:r w:rsidRPr="001D41EA">
              <w:rPr>
                <w:rFonts w:cs="Arial"/>
                <w:sz w:val="18"/>
                <w:szCs w:val="18"/>
              </w:rPr>
              <w:t>188,979</w:t>
            </w:r>
          </w:p>
        </w:tc>
        <w:tc>
          <w:tcPr>
            <w:tcW w:w="1361" w:type="dxa"/>
            <w:tcBorders>
              <w:top w:val="nil"/>
              <w:left w:val="nil"/>
              <w:bottom w:val="nil"/>
              <w:right w:val="nil"/>
            </w:tcBorders>
            <w:vAlign w:val="bottom"/>
          </w:tcPr>
          <w:p w14:paraId="41474A12" w14:textId="7EB19B07" w:rsidR="009F0AF7" w:rsidRPr="001D41EA" w:rsidRDefault="009F0AF7" w:rsidP="001D41EA">
            <w:pPr>
              <w:spacing w:before="40" w:after="20"/>
              <w:jc w:val="right"/>
              <w:rPr>
                <w:rFonts w:cs="Arial"/>
                <w:sz w:val="18"/>
                <w:szCs w:val="18"/>
              </w:rPr>
            </w:pPr>
            <w:r w:rsidRPr="001D41EA">
              <w:rPr>
                <w:rFonts w:cs="Arial"/>
                <w:sz w:val="18"/>
                <w:szCs w:val="18"/>
              </w:rPr>
              <w:t>182,682</w:t>
            </w:r>
          </w:p>
        </w:tc>
        <w:tc>
          <w:tcPr>
            <w:tcW w:w="1361" w:type="dxa"/>
            <w:tcBorders>
              <w:top w:val="nil"/>
              <w:left w:val="nil"/>
              <w:bottom w:val="nil"/>
              <w:right w:val="nil"/>
            </w:tcBorders>
            <w:vAlign w:val="bottom"/>
          </w:tcPr>
          <w:p w14:paraId="66F15AF8" w14:textId="7E955A65" w:rsidR="009F0AF7" w:rsidRPr="001D41EA" w:rsidRDefault="009F0AF7" w:rsidP="001D41EA">
            <w:pPr>
              <w:spacing w:before="40" w:after="20"/>
              <w:jc w:val="right"/>
              <w:rPr>
                <w:rFonts w:cs="Arial"/>
                <w:sz w:val="18"/>
                <w:szCs w:val="18"/>
              </w:rPr>
            </w:pPr>
            <w:r w:rsidRPr="001D41EA">
              <w:rPr>
                <w:rFonts w:cs="Arial"/>
                <w:sz w:val="18"/>
                <w:szCs w:val="18"/>
              </w:rPr>
              <w:t>384,097</w:t>
            </w:r>
          </w:p>
        </w:tc>
        <w:tc>
          <w:tcPr>
            <w:tcW w:w="1361" w:type="dxa"/>
            <w:tcBorders>
              <w:top w:val="nil"/>
              <w:left w:val="nil"/>
              <w:bottom w:val="nil"/>
              <w:right w:val="nil"/>
            </w:tcBorders>
            <w:shd w:val="clear" w:color="auto" w:fill="auto"/>
            <w:vAlign w:val="bottom"/>
          </w:tcPr>
          <w:p w14:paraId="543BD268" w14:textId="42B9C276" w:rsidR="009F0AF7" w:rsidRPr="001D41EA" w:rsidRDefault="009F0AF7" w:rsidP="001D41EA">
            <w:pPr>
              <w:spacing w:before="40" w:after="20"/>
              <w:jc w:val="right"/>
              <w:rPr>
                <w:rFonts w:cs="Arial"/>
                <w:sz w:val="18"/>
                <w:szCs w:val="18"/>
              </w:rPr>
            </w:pPr>
            <w:r w:rsidRPr="001D41EA">
              <w:rPr>
                <w:rFonts w:cs="Arial"/>
                <w:sz w:val="18"/>
                <w:szCs w:val="18"/>
              </w:rPr>
              <w:t>242,947</w:t>
            </w:r>
          </w:p>
        </w:tc>
      </w:tr>
      <w:tr w:rsidR="009F0AF7" w:rsidRPr="001D41EA" w14:paraId="2415FE69"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6DE06FB" w14:textId="77777777" w:rsidR="009F0AF7" w:rsidRPr="001D41EA" w:rsidRDefault="009F0AF7" w:rsidP="001D41EA">
            <w:pPr>
              <w:spacing w:before="40" w:after="20"/>
              <w:rPr>
                <w:rFonts w:cs="Arial"/>
                <w:sz w:val="18"/>
                <w:szCs w:val="18"/>
              </w:rPr>
            </w:pPr>
            <w:r w:rsidRPr="001D41EA">
              <w:rPr>
                <w:rFonts w:cs="Arial"/>
                <w:sz w:val="18"/>
                <w:szCs w:val="18"/>
              </w:rPr>
              <w:t>Murrindindi S</w:t>
            </w:r>
          </w:p>
        </w:tc>
        <w:tc>
          <w:tcPr>
            <w:tcW w:w="1361" w:type="dxa"/>
            <w:tcBorders>
              <w:top w:val="nil"/>
              <w:left w:val="single" w:sz="18" w:space="0" w:color="5F497A" w:themeColor="accent4" w:themeShade="BF"/>
              <w:bottom w:val="nil"/>
              <w:right w:val="nil"/>
            </w:tcBorders>
            <w:shd w:val="clear" w:color="auto" w:fill="auto"/>
            <w:vAlign w:val="bottom"/>
          </w:tcPr>
          <w:p w14:paraId="2EBE8E52" w14:textId="6B6606C0" w:rsidR="009F0AF7" w:rsidRPr="001D41EA" w:rsidRDefault="009F0AF7" w:rsidP="001D41EA">
            <w:pPr>
              <w:spacing w:before="40" w:after="20"/>
              <w:jc w:val="right"/>
              <w:rPr>
                <w:rFonts w:cs="Arial"/>
                <w:sz w:val="18"/>
                <w:szCs w:val="18"/>
              </w:rPr>
            </w:pPr>
            <w:r w:rsidRPr="001D41EA">
              <w:rPr>
                <w:rFonts w:cs="Arial"/>
                <w:sz w:val="18"/>
                <w:szCs w:val="18"/>
              </w:rPr>
              <w:t>243,259</w:t>
            </w:r>
          </w:p>
        </w:tc>
        <w:tc>
          <w:tcPr>
            <w:tcW w:w="1361" w:type="dxa"/>
            <w:tcBorders>
              <w:top w:val="nil"/>
              <w:left w:val="nil"/>
              <w:bottom w:val="nil"/>
              <w:right w:val="nil"/>
            </w:tcBorders>
            <w:shd w:val="clear" w:color="auto" w:fill="auto"/>
            <w:vAlign w:val="bottom"/>
          </w:tcPr>
          <w:p w14:paraId="5F66B009" w14:textId="441DE471" w:rsidR="009F0AF7" w:rsidRPr="001D41EA" w:rsidRDefault="009F0AF7" w:rsidP="001D41EA">
            <w:pPr>
              <w:spacing w:before="40" w:after="20"/>
              <w:jc w:val="right"/>
              <w:rPr>
                <w:rFonts w:cs="Arial"/>
                <w:sz w:val="18"/>
                <w:szCs w:val="18"/>
              </w:rPr>
            </w:pPr>
            <w:r w:rsidRPr="001D41EA">
              <w:rPr>
                <w:rFonts w:cs="Arial"/>
                <w:sz w:val="18"/>
                <w:szCs w:val="18"/>
              </w:rPr>
              <w:t>152,405</w:t>
            </w:r>
          </w:p>
        </w:tc>
        <w:tc>
          <w:tcPr>
            <w:tcW w:w="1361" w:type="dxa"/>
            <w:tcBorders>
              <w:top w:val="nil"/>
              <w:left w:val="nil"/>
              <w:bottom w:val="nil"/>
              <w:right w:val="nil"/>
            </w:tcBorders>
            <w:vAlign w:val="bottom"/>
          </w:tcPr>
          <w:p w14:paraId="017C37B8" w14:textId="49D1A415" w:rsidR="009F0AF7" w:rsidRPr="001D41EA" w:rsidRDefault="009F0AF7" w:rsidP="001D41EA">
            <w:pPr>
              <w:spacing w:before="40" w:after="20"/>
              <w:jc w:val="right"/>
              <w:rPr>
                <w:rFonts w:cs="Arial"/>
                <w:sz w:val="18"/>
                <w:szCs w:val="18"/>
              </w:rPr>
            </w:pPr>
            <w:r w:rsidRPr="001D41EA">
              <w:rPr>
                <w:rFonts w:cs="Arial"/>
                <w:sz w:val="18"/>
                <w:szCs w:val="18"/>
              </w:rPr>
              <w:t>178,513</w:t>
            </w:r>
          </w:p>
        </w:tc>
        <w:tc>
          <w:tcPr>
            <w:tcW w:w="1361" w:type="dxa"/>
            <w:tcBorders>
              <w:top w:val="nil"/>
              <w:left w:val="nil"/>
              <w:bottom w:val="nil"/>
              <w:right w:val="nil"/>
            </w:tcBorders>
            <w:vAlign w:val="bottom"/>
          </w:tcPr>
          <w:p w14:paraId="15723748" w14:textId="0A909C17" w:rsidR="009F0AF7" w:rsidRPr="001D41EA" w:rsidRDefault="009F0AF7" w:rsidP="001D41EA">
            <w:pPr>
              <w:spacing w:before="40" w:after="20"/>
              <w:jc w:val="right"/>
              <w:rPr>
                <w:rFonts w:cs="Arial"/>
                <w:sz w:val="18"/>
                <w:szCs w:val="18"/>
              </w:rPr>
            </w:pPr>
            <w:r w:rsidRPr="001D41EA">
              <w:rPr>
                <w:rFonts w:cs="Arial"/>
                <w:sz w:val="18"/>
                <w:szCs w:val="18"/>
              </w:rPr>
              <w:t>329,304</w:t>
            </w:r>
          </w:p>
        </w:tc>
        <w:tc>
          <w:tcPr>
            <w:tcW w:w="1361" w:type="dxa"/>
            <w:tcBorders>
              <w:top w:val="nil"/>
              <w:left w:val="nil"/>
              <w:bottom w:val="nil"/>
              <w:right w:val="nil"/>
            </w:tcBorders>
            <w:shd w:val="clear" w:color="auto" w:fill="auto"/>
            <w:vAlign w:val="bottom"/>
          </w:tcPr>
          <w:p w14:paraId="59BF89CA" w14:textId="68C0C564" w:rsidR="009F0AF7" w:rsidRPr="001D41EA" w:rsidRDefault="009F0AF7" w:rsidP="001D41EA">
            <w:pPr>
              <w:spacing w:before="40" w:after="20"/>
              <w:jc w:val="right"/>
              <w:rPr>
                <w:rFonts w:cs="Arial"/>
                <w:sz w:val="18"/>
                <w:szCs w:val="18"/>
              </w:rPr>
            </w:pPr>
            <w:r w:rsidRPr="001D41EA">
              <w:rPr>
                <w:rFonts w:cs="Arial"/>
                <w:sz w:val="18"/>
                <w:szCs w:val="18"/>
              </w:rPr>
              <w:t>231,880</w:t>
            </w:r>
          </w:p>
        </w:tc>
      </w:tr>
      <w:tr w:rsidR="009F0AF7" w:rsidRPr="001D41EA" w14:paraId="4CBB4927"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ACDD337" w14:textId="77777777" w:rsidR="009F0AF7" w:rsidRPr="001D41EA" w:rsidRDefault="009F0AF7" w:rsidP="001D41EA">
            <w:pPr>
              <w:spacing w:before="40" w:after="20"/>
              <w:rPr>
                <w:rFonts w:cs="Arial"/>
                <w:sz w:val="18"/>
                <w:szCs w:val="18"/>
              </w:rPr>
            </w:pPr>
            <w:r w:rsidRPr="001D41EA">
              <w:rPr>
                <w:rFonts w:cs="Arial"/>
                <w:sz w:val="18"/>
                <w:szCs w:val="18"/>
              </w:rPr>
              <w:t>Nillumbik S</w:t>
            </w:r>
          </w:p>
        </w:tc>
        <w:tc>
          <w:tcPr>
            <w:tcW w:w="1361" w:type="dxa"/>
            <w:tcBorders>
              <w:top w:val="nil"/>
              <w:left w:val="single" w:sz="18" w:space="0" w:color="5F497A" w:themeColor="accent4" w:themeShade="BF"/>
              <w:bottom w:val="nil"/>
              <w:right w:val="nil"/>
            </w:tcBorders>
            <w:shd w:val="clear" w:color="auto" w:fill="auto"/>
            <w:vAlign w:val="bottom"/>
          </w:tcPr>
          <w:p w14:paraId="452CD35A" w14:textId="46617F85" w:rsidR="009F0AF7" w:rsidRPr="001D41EA" w:rsidRDefault="009F0AF7" w:rsidP="001D41EA">
            <w:pPr>
              <w:spacing w:before="40" w:after="20"/>
              <w:jc w:val="right"/>
              <w:rPr>
                <w:rFonts w:cs="Arial"/>
                <w:sz w:val="18"/>
                <w:szCs w:val="18"/>
              </w:rPr>
            </w:pPr>
            <w:r w:rsidRPr="001D41EA">
              <w:rPr>
                <w:rFonts w:cs="Arial"/>
                <w:sz w:val="18"/>
                <w:szCs w:val="18"/>
              </w:rPr>
              <w:t>1,091,138</w:t>
            </w:r>
          </w:p>
        </w:tc>
        <w:tc>
          <w:tcPr>
            <w:tcW w:w="1361" w:type="dxa"/>
            <w:tcBorders>
              <w:top w:val="nil"/>
              <w:left w:val="nil"/>
              <w:bottom w:val="nil"/>
              <w:right w:val="nil"/>
            </w:tcBorders>
            <w:shd w:val="clear" w:color="auto" w:fill="auto"/>
            <w:vAlign w:val="bottom"/>
          </w:tcPr>
          <w:p w14:paraId="63B4EC99" w14:textId="2565E444" w:rsidR="009F0AF7" w:rsidRPr="001D41EA" w:rsidRDefault="009F0AF7" w:rsidP="001D41EA">
            <w:pPr>
              <w:spacing w:before="40" w:after="20"/>
              <w:jc w:val="right"/>
              <w:rPr>
                <w:rFonts w:cs="Arial"/>
                <w:sz w:val="18"/>
                <w:szCs w:val="18"/>
              </w:rPr>
            </w:pPr>
            <w:r w:rsidRPr="001D41EA">
              <w:rPr>
                <w:rFonts w:cs="Arial"/>
                <w:sz w:val="18"/>
                <w:szCs w:val="18"/>
              </w:rPr>
              <w:t>905,732</w:t>
            </w:r>
          </w:p>
        </w:tc>
        <w:tc>
          <w:tcPr>
            <w:tcW w:w="1361" w:type="dxa"/>
            <w:tcBorders>
              <w:top w:val="nil"/>
              <w:left w:val="nil"/>
              <w:bottom w:val="nil"/>
              <w:right w:val="nil"/>
            </w:tcBorders>
            <w:vAlign w:val="bottom"/>
          </w:tcPr>
          <w:p w14:paraId="2EE59FAC" w14:textId="50F2BB1A" w:rsidR="009F0AF7" w:rsidRPr="001D41EA" w:rsidRDefault="009F0AF7" w:rsidP="001D41EA">
            <w:pPr>
              <w:spacing w:before="40" w:after="20"/>
              <w:jc w:val="right"/>
              <w:rPr>
                <w:rFonts w:cs="Arial"/>
                <w:sz w:val="18"/>
                <w:szCs w:val="18"/>
              </w:rPr>
            </w:pPr>
            <w:r w:rsidRPr="001D41EA">
              <w:rPr>
                <w:rFonts w:cs="Arial"/>
                <w:sz w:val="18"/>
                <w:szCs w:val="18"/>
              </w:rPr>
              <w:t>754,305</w:t>
            </w:r>
          </w:p>
        </w:tc>
        <w:tc>
          <w:tcPr>
            <w:tcW w:w="1361" w:type="dxa"/>
            <w:tcBorders>
              <w:top w:val="nil"/>
              <w:left w:val="nil"/>
              <w:bottom w:val="nil"/>
              <w:right w:val="nil"/>
            </w:tcBorders>
            <w:vAlign w:val="bottom"/>
          </w:tcPr>
          <w:p w14:paraId="3A2B4727" w14:textId="0B00A958" w:rsidR="009F0AF7" w:rsidRPr="001D41EA" w:rsidRDefault="009F0AF7" w:rsidP="001D41EA">
            <w:pPr>
              <w:spacing w:before="40" w:after="20"/>
              <w:jc w:val="right"/>
              <w:rPr>
                <w:rFonts w:cs="Arial"/>
                <w:sz w:val="18"/>
                <w:szCs w:val="18"/>
              </w:rPr>
            </w:pPr>
            <w:r w:rsidRPr="001D41EA">
              <w:rPr>
                <w:rFonts w:cs="Arial"/>
                <w:sz w:val="18"/>
                <w:szCs w:val="18"/>
              </w:rPr>
              <w:t>1,477,093</w:t>
            </w:r>
          </w:p>
        </w:tc>
        <w:tc>
          <w:tcPr>
            <w:tcW w:w="1361" w:type="dxa"/>
            <w:tcBorders>
              <w:top w:val="nil"/>
              <w:left w:val="nil"/>
              <w:bottom w:val="nil"/>
              <w:right w:val="nil"/>
            </w:tcBorders>
            <w:shd w:val="clear" w:color="auto" w:fill="auto"/>
            <w:vAlign w:val="bottom"/>
          </w:tcPr>
          <w:p w14:paraId="29556974" w14:textId="336D40BA" w:rsidR="009F0AF7" w:rsidRPr="001D41EA" w:rsidRDefault="009F0AF7" w:rsidP="001D41EA">
            <w:pPr>
              <w:spacing w:before="40" w:after="20"/>
              <w:jc w:val="right"/>
              <w:rPr>
                <w:rFonts w:cs="Arial"/>
                <w:sz w:val="18"/>
                <w:szCs w:val="18"/>
              </w:rPr>
            </w:pPr>
            <w:r w:rsidRPr="001D41EA">
              <w:rPr>
                <w:rFonts w:cs="Arial"/>
                <w:sz w:val="18"/>
                <w:szCs w:val="18"/>
              </w:rPr>
              <w:t>655,086</w:t>
            </w:r>
          </w:p>
        </w:tc>
      </w:tr>
      <w:tr w:rsidR="009F0AF7" w:rsidRPr="001D41EA" w14:paraId="6B43C972"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7F237FB" w14:textId="77777777" w:rsidR="009F0AF7" w:rsidRPr="001D41EA" w:rsidRDefault="009F0AF7" w:rsidP="001D41EA">
            <w:pPr>
              <w:spacing w:before="40" w:after="20"/>
              <w:rPr>
                <w:rFonts w:cs="Arial"/>
                <w:sz w:val="18"/>
                <w:szCs w:val="18"/>
              </w:rPr>
            </w:pPr>
            <w:r w:rsidRPr="001D41EA">
              <w:rPr>
                <w:rFonts w:cs="Arial"/>
                <w:sz w:val="18"/>
                <w:szCs w:val="18"/>
              </w:rPr>
              <w:t>Northern Grampians S</w:t>
            </w:r>
          </w:p>
        </w:tc>
        <w:tc>
          <w:tcPr>
            <w:tcW w:w="1361" w:type="dxa"/>
            <w:tcBorders>
              <w:top w:val="nil"/>
              <w:left w:val="single" w:sz="18" w:space="0" w:color="5F497A" w:themeColor="accent4" w:themeShade="BF"/>
              <w:bottom w:val="nil"/>
              <w:right w:val="nil"/>
            </w:tcBorders>
            <w:shd w:val="clear" w:color="auto" w:fill="auto"/>
            <w:vAlign w:val="bottom"/>
          </w:tcPr>
          <w:p w14:paraId="325A77B8" w14:textId="0158FC69" w:rsidR="009F0AF7" w:rsidRPr="001D41EA" w:rsidRDefault="009F0AF7" w:rsidP="001D41EA">
            <w:pPr>
              <w:spacing w:before="40" w:after="20"/>
              <w:jc w:val="right"/>
              <w:rPr>
                <w:rFonts w:cs="Arial"/>
                <w:sz w:val="18"/>
                <w:szCs w:val="18"/>
              </w:rPr>
            </w:pPr>
            <w:r w:rsidRPr="001D41EA">
              <w:rPr>
                <w:rFonts w:cs="Arial"/>
                <w:sz w:val="18"/>
                <w:szCs w:val="18"/>
              </w:rPr>
              <w:t>192,064</w:t>
            </w:r>
          </w:p>
        </w:tc>
        <w:tc>
          <w:tcPr>
            <w:tcW w:w="1361" w:type="dxa"/>
            <w:tcBorders>
              <w:top w:val="nil"/>
              <w:left w:val="nil"/>
              <w:bottom w:val="nil"/>
              <w:right w:val="nil"/>
            </w:tcBorders>
            <w:shd w:val="clear" w:color="auto" w:fill="auto"/>
            <w:vAlign w:val="bottom"/>
          </w:tcPr>
          <w:p w14:paraId="53AF9806" w14:textId="4DD7FDA5" w:rsidR="009F0AF7" w:rsidRPr="001D41EA" w:rsidRDefault="009F0AF7" w:rsidP="001D41EA">
            <w:pPr>
              <w:spacing w:before="40" w:after="20"/>
              <w:jc w:val="right"/>
              <w:rPr>
                <w:rFonts w:cs="Arial"/>
                <w:sz w:val="18"/>
                <w:szCs w:val="18"/>
              </w:rPr>
            </w:pPr>
            <w:r w:rsidRPr="001D41EA">
              <w:rPr>
                <w:rFonts w:cs="Arial"/>
                <w:sz w:val="18"/>
                <w:szCs w:val="18"/>
              </w:rPr>
              <w:t>97,934</w:t>
            </w:r>
          </w:p>
        </w:tc>
        <w:tc>
          <w:tcPr>
            <w:tcW w:w="1361" w:type="dxa"/>
            <w:tcBorders>
              <w:top w:val="nil"/>
              <w:left w:val="nil"/>
              <w:bottom w:val="nil"/>
              <w:right w:val="nil"/>
            </w:tcBorders>
            <w:vAlign w:val="bottom"/>
          </w:tcPr>
          <w:p w14:paraId="1267F147" w14:textId="722A70F1" w:rsidR="009F0AF7" w:rsidRPr="001D41EA" w:rsidRDefault="009F0AF7" w:rsidP="001D41EA">
            <w:pPr>
              <w:spacing w:before="40" w:after="20"/>
              <w:jc w:val="right"/>
              <w:rPr>
                <w:rFonts w:cs="Arial"/>
                <w:sz w:val="18"/>
                <w:szCs w:val="18"/>
              </w:rPr>
            </w:pPr>
            <w:r w:rsidRPr="001D41EA">
              <w:rPr>
                <w:rFonts w:cs="Arial"/>
                <w:sz w:val="18"/>
                <w:szCs w:val="18"/>
              </w:rPr>
              <w:t>149,649</w:t>
            </w:r>
          </w:p>
        </w:tc>
        <w:tc>
          <w:tcPr>
            <w:tcW w:w="1361" w:type="dxa"/>
            <w:tcBorders>
              <w:top w:val="nil"/>
              <w:left w:val="nil"/>
              <w:bottom w:val="nil"/>
              <w:right w:val="nil"/>
            </w:tcBorders>
            <w:vAlign w:val="bottom"/>
          </w:tcPr>
          <w:p w14:paraId="389FF521" w14:textId="613BB639" w:rsidR="009F0AF7" w:rsidRPr="001D41EA" w:rsidRDefault="009F0AF7" w:rsidP="001D41EA">
            <w:pPr>
              <w:spacing w:before="40" w:after="20"/>
              <w:jc w:val="right"/>
              <w:rPr>
                <w:rFonts w:cs="Arial"/>
                <w:sz w:val="18"/>
                <w:szCs w:val="18"/>
              </w:rPr>
            </w:pPr>
            <w:r w:rsidRPr="001D41EA">
              <w:rPr>
                <w:rFonts w:cs="Arial"/>
                <w:sz w:val="18"/>
                <w:szCs w:val="18"/>
              </w:rPr>
              <w:t>260,000</w:t>
            </w:r>
          </w:p>
        </w:tc>
        <w:tc>
          <w:tcPr>
            <w:tcW w:w="1361" w:type="dxa"/>
            <w:tcBorders>
              <w:top w:val="nil"/>
              <w:left w:val="nil"/>
              <w:bottom w:val="nil"/>
              <w:right w:val="nil"/>
            </w:tcBorders>
            <w:shd w:val="clear" w:color="auto" w:fill="auto"/>
            <w:vAlign w:val="bottom"/>
          </w:tcPr>
          <w:p w14:paraId="6B8BBFA3" w14:textId="4ACA9F78" w:rsidR="009F0AF7" w:rsidRPr="001D41EA" w:rsidRDefault="009F0AF7" w:rsidP="001D41EA">
            <w:pPr>
              <w:spacing w:before="40" w:after="20"/>
              <w:jc w:val="right"/>
              <w:rPr>
                <w:rFonts w:cs="Arial"/>
                <w:sz w:val="18"/>
                <w:szCs w:val="18"/>
              </w:rPr>
            </w:pPr>
            <w:r w:rsidRPr="001D41EA">
              <w:rPr>
                <w:rFonts w:cs="Arial"/>
                <w:sz w:val="18"/>
                <w:szCs w:val="18"/>
              </w:rPr>
              <w:t>178,648</w:t>
            </w:r>
          </w:p>
        </w:tc>
      </w:tr>
      <w:tr w:rsidR="009F0AF7" w:rsidRPr="001D41EA" w14:paraId="662F3C8C"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29416B9" w14:textId="77777777" w:rsidR="009F0AF7" w:rsidRPr="001D41EA" w:rsidRDefault="009F0AF7" w:rsidP="001D41EA">
            <w:pPr>
              <w:spacing w:before="40" w:after="20"/>
              <w:rPr>
                <w:rFonts w:cs="Arial"/>
                <w:sz w:val="18"/>
                <w:szCs w:val="18"/>
              </w:rPr>
            </w:pPr>
            <w:r w:rsidRPr="001D41EA">
              <w:rPr>
                <w:rFonts w:cs="Arial"/>
                <w:sz w:val="18"/>
                <w:szCs w:val="18"/>
              </w:rPr>
              <w:t>Port Phillip C</w:t>
            </w:r>
          </w:p>
        </w:tc>
        <w:tc>
          <w:tcPr>
            <w:tcW w:w="1361" w:type="dxa"/>
            <w:tcBorders>
              <w:top w:val="nil"/>
              <w:left w:val="single" w:sz="18" w:space="0" w:color="5F497A" w:themeColor="accent4" w:themeShade="BF"/>
              <w:bottom w:val="nil"/>
              <w:right w:val="nil"/>
            </w:tcBorders>
            <w:shd w:val="clear" w:color="auto" w:fill="auto"/>
            <w:vAlign w:val="bottom"/>
          </w:tcPr>
          <w:p w14:paraId="263877DF" w14:textId="5A54949C" w:rsidR="009F0AF7" w:rsidRPr="001D41EA" w:rsidRDefault="009F0AF7" w:rsidP="001D41EA">
            <w:pPr>
              <w:spacing w:before="40" w:after="20"/>
              <w:jc w:val="right"/>
              <w:rPr>
                <w:rFonts w:cs="Arial"/>
                <w:sz w:val="18"/>
                <w:szCs w:val="18"/>
              </w:rPr>
            </w:pPr>
            <w:r w:rsidRPr="001D41EA">
              <w:rPr>
                <w:rFonts w:cs="Arial"/>
                <w:sz w:val="18"/>
                <w:szCs w:val="18"/>
              </w:rPr>
              <w:t>1,901,986</w:t>
            </w:r>
          </w:p>
        </w:tc>
        <w:tc>
          <w:tcPr>
            <w:tcW w:w="1361" w:type="dxa"/>
            <w:tcBorders>
              <w:top w:val="nil"/>
              <w:left w:val="nil"/>
              <w:bottom w:val="nil"/>
              <w:right w:val="nil"/>
            </w:tcBorders>
            <w:shd w:val="clear" w:color="auto" w:fill="auto"/>
            <w:vAlign w:val="bottom"/>
          </w:tcPr>
          <w:p w14:paraId="5F5B767C" w14:textId="79D61297" w:rsidR="009F0AF7" w:rsidRPr="001D41EA" w:rsidRDefault="009F0AF7" w:rsidP="001D41EA">
            <w:pPr>
              <w:spacing w:before="40" w:after="20"/>
              <w:jc w:val="right"/>
              <w:rPr>
                <w:rFonts w:cs="Arial"/>
                <w:sz w:val="18"/>
                <w:szCs w:val="18"/>
              </w:rPr>
            </w:pPr>
            <w:r w:rsidRPr="001D41EA">
              <w:rPr>
                <w:rFonts w:cs="Arial"/>
                <w:sz w:val="18"/>
                <w:szCs w:val="18"/>
              </w:rPr>
              <w:t>1,466,028</w:t>
            </w:r>
          </w:p>
        </w:tc>
        <w:tc>
          <w:tcPr>
            <w:tcW w:w="1361" w:type="dxa"/>
            <w:tcBorders>
              <w:top w:val="nil"/>
              <w:left w:val="nil"/>
              <w:bottom w:val="nil"/>
              <w:right w:val="nil"/>
            </w:tcBorders>
            <w:vAlign w:val="bottom"/>
          </w:tcPr>
          <w:p w14:paraId="52DD5008" w14:textId="2494169B" w:rsidR="009F0AF7" w:rsidRPr="001D41EA" w:rsidRDefault="009F0AF7" w:rsidP="001D41EA">
            <w:pPr>
              <w:spacing w:before="40" w:after="20"/>
              <w:jc w:val="right"/>
              <w:rPr>
                <w:rFonts w:cs="Arial"/>
                <w:sz w:val="18"/>
                <w:szCs w:val="18"/>
              </w:rPr>
            </w:pPr>
            <w:r w:rsidRPr="001D41EA">
              <w:rPr>
                <w:rFonts w:cs="Arial"/>
                <w:sz w:val="18"/>
                <w:szCs w:val="18"/>
              </w:rPr>
              <w:t>1,007,710</w:t>
            </w:r>
          </w:p>
        </w:tc>
        <w:tc>
          <w:tcPr>
            <w:tcW w:w="1361" w:type="dxa"/>
            <w:tcBorders>
              <w:top w:val="nil"/>
              <w:left w:val="nil"/>
              <w:bottom w:val="nil"/>
              <w:right w:val="nil"/>
            </w:tcBorders>
            <w:vAlign w:val="bottom"/>
          </w:tcPr>
          <w:p w14:paraId="0F542CB5" w14:textId="6033F393" w:rsidR="009F0AF7" w:rsidRPr="001D41EA" w:rsidRDefault="009F0AF7" w:rsidP="001D41EA">
            <w:pPr>
              <w:spacing w:before="40" w:after="20"/>
              <w:jc w:val="right"/>
              <w:rPr>
                <w:rFonts w:cs="Arial"/>
                <w:sz w:val="18"/>
                <w:szCs w:val="18"/>
              </w:rPr>
            </w:pPr>
            <w:r w:rsidRPr="001D41EA">
              <w:rPr>
                <w:rFonts w:cs="Arial"/>
                <w:sz w:val="18"/>
                <w:szCs w:val="18"/>
              </w:rPr>
              <w:t>2,574,751</w:t>
            </w:r>
          </w:p>
        </w:tc>
        <w:tc>
          <w:tcPr>
            <w:tcW w:w="1361" w:type="dxa"/>
            <w:tcBorders>
              <w:top w:val="nil"/>
              <w:left w:val="nil"/>
              <w:bottom w:val="nil"/>
              <w:right w:val="nil"/>
            </w:tcBorders>
            <w:shd w:val="clear" w:color="auto" w:fill="auto"/>
            <w:vAlign w:val="bottom"/>
          </w:tcPr>
          <w:p w14:paraId="2B43E184" w14:textId="4414423E" w:rsidR="009F0AF7" w:rsidRPr="001D41EA" w:rsidRDefault="009F0AF7" w:rsidP="001D41EA">
            <w:pPr>
              <w:spacing w:before="40" w:after="20"/>
              <w:jc w:val="right"/>
              <w:rPr>
                <w:rFonts w:cs="Arial"/>
                <w:sz w:val="18"/>
                <w:szCs w:val="18"/>
              </w:rPr>
            </w:pPr>
            <w:r w:rsidRPr="001D41EA">
              <w:rPr>
                <w:rFonts w:cs="Arial"/>
                <w:sz w:val="18"/>
                <w:szCs w:val="18"/>
              </w:rPr>
              <w:t>1,795,581</w:t>
            </w:r>
          </w:p>
        </w:tc>
      </w:tr>
      <w:tr w:rsidR="009F0AF7" w:rsidRPr="001D41EA" w14:paraId="4397E733"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D32BE85" w14:textId="77777777" w:rsidR="009F0AF7" w:rsidRPr="001D41EA" w:rsidRDefault="009F0AF7" w:rsidP="001D41EA">
            <w:pPr>
              <w:spacing w:before="40" w:after="20"/>
              <w:rPr>
                <w:rFonts w:cs="Arial"/>
                <w:sz w:val="18"/>
                <w:szCs w:val="18"/>
              </w:rPr>
            </w:pPr>
            <w:r w:rsidRPr="001D41EA">
              <w:rPr>
                <w:rFonts w:cs="Arial"/>
                <w:sz w:val="18"/>
                <w:szCs w:val="18"/>
              </w:rPr>
              <w:t>Pyrenees S</w:t>
            </w:r>
          </w:p>
        </w:tc>
        <w:tc>
          <w:tcPr>
            <w:tcW w:w="1361" w:type="dxa"/>
            <w:tcBorders>
              <w:top w:val="nil"/>
              <w:left w:val="single" w:sz="18" w:space="0" w:color="5F497A" w:themeColor="accent4" w:themeShade="BF"/>
              <w:bottom w:val="nil"/>
              <w:right w:val="nil"/>
            </w:tcBorders>
            <w:shd w:val="clear" w:color="auto" w:fill="auto"/>
            <w:vAlign w:val="bottom"/>
          </w:tcPr>
          <w:p w14:paraId="5EC3D13A" w14:textId="583E1751" w:rsidR="009F0AF7" w:rsidRPr="001D41EA" w:rsidRDefault="009F0AF7" w:rsidP="001D41EA">
            <w:pPr>
              <w:spacing w:before="40" w:after="20"/>
              <w:jc w:val="right"/>
              <w:rPr>
                <w:rFonts w:cs="Arial"/>
                <w:sz w:val="18"/>
                <w:szCs w:val="18"/>
              </w:rPr>
            </w:pPr>
            <w:r w:rsidRPr="001D41EA">
              <w:rPr>
                <w:rFonts w:cs="Arial"/>
                <w:sz w:val="18"/>
                <w:szCs w:val="18"/>
              </w:rPr>
              <w:t>123,545</w:t>
            </w:r>
          </w:p>
        </w:tc>
        <w:tc>
          <w:tcPr>
            <w:tcW w:w="1361" w:type="dxa"/>
            <w:tcBorders>
              <w:top w:val="nil"/>
              <w:left w:val="nil"/>
              <w:bottom w:val="nil"/>
              <w:right w:val="nil"/>
            </w:tcBorders>
            <w:shd w:val="clear" w:color="auto" w:fill="auto"/>
            <w:vAlign w:val="bottom"/>
          </w:tcPr>
          <w:p w14:paraId="193E80E7" w14:textId="6111739D" w:rsidR="009F0AF7" w:rsidRPr="001D41EA" w:rsidRDefault="009F0AF7" w:rsidP="001D41EA">
            <w:pPr>
              <w:spacing w:before="40" w:after="20"/>
              <w:jc w:val="right"/>
              <w:rPr>
                <w:rFonts w:cs="Arial"/>
                <w:sz w:val="18"/>
                <w:szCs w:val="18"/>
              </w:rPr>
            </w:pPr>
            <w:r w:rsidRPr="001D41EA">
              <w:rPr>
                <w:rFonts w:cs="Arial"/>
                <w:sz w:val="18"/>
                <w:szCs w:val="18"/>
              </w:rPr>
              <w:t>66,659</w:t>
            </w:r>
          </w:p>
        </w:tc>
        <w:tc>
          <w:tcPr>
            <w:tcW w:w="1361" w:type="dxa"/>
            <w:tcBorders>
              <w:top w:val="nil"/>
              <w:left w:val="nil"/>
              <w:bottom w:val="nil"/>
              <w:right w:val="nil"/>
            </w:tcBorders>
            <w:vAlign w:val="bottom"/>
          </w:tcPr>
          <w:p w14:paraId="0DE3E7CD" w14:textId="758D2B2B" w:rsidR="009F0AF7" w:rsidRPr="001D41EA" w:rsidRDefault="009F0AF7" w:rsidP="001D41EA">
            <w:pPr>
              <w:spacing w:before="40" w:after="20"/>
              <w:jc w:val="right"/>
              <w:rPr>
                <w:rFonts w:cs="Arial"/>
                <w:sz w:val="18"/>
                <w:szCs w:val="18"/>
              </w:rPr>
            </w:pPr>
            <w:r w:rsidRPr="001D41EA">
              <w:rPr>
                <w:rFonts w:cs="Arial"/>
                <w:sz w:val="18"/>
                <w:szCs w:val="18"/>
              </w:rPr>
              <w:t>95,770</w:t>
            </w:r>
          </w:p>
        </w:tc>
        <w:tc>
          <w:tcPr>
            <w:tcW w:w="1361" w:type="dxa"/>
            <w:tcBorders>
              <w:top w:val="nil"/>
              <w:left w:val="nil"/>
              <w:bottom w:val="nil"/>
              <w:right w:val="nil"/>
            </w:tcBorders>
            <w:vAlign w:val="bottom"/>
          </w:tcPr>
          <w:p w14:paraId="7B405AB1" w14:textId="43BE085B" w:rsidR="009F0AF7" w:rsidRPr="001D41EA" w:rsidRDefault="009F0AF7" w:rsidP="001D41EA">
            <w:pPr>
              <w:spacing w:before="40" w:after="20"/>
              <w:jc w:val="right"/>
              <w:rPr>
                <w:rFonts w:cs="Arial"/>
                <w:sz w:val="18"/>
                <w:szCs w:val="18"/>
              </w:rPr>
            </w:pPr>
            <w:r w:rsidRPr="001D41EA">
              <w:rPr>
                <w:rFonts w:cs="Arial"/>
                <w:sz w:val="18"/>
                <w:szCs w:val="18"/>
              </w:rPr>
              <w:t>167,245</w:t>
            </w:r>
          </w:p>
        </w:tc>
        <w:tc>
          <w:tcPr>
            <w:tcW w:w="1361" w:type="dxa"/>
            <w:tcBorders>
              <w:top w:val="nil"/>
              <w:left w:val="nil"/>
              <w:bottom w:val="nil"/>
              <w:right w:val="nil"/>
            </w:tcBorders>
            <w:shd w:val="clear" w:color="auto" w:fill="auto"/>
            <w:vAlign w:val="bottom"/>
          </w:tcPr>
          <w:p w14:paraId="6EE4337B" w14:textId="6C536F16" w:rsidR="009F0AF7" w:rsidRPr="001D41EA" w:rsidRDefault="009F0AF7" w:rsidP="001D41EA">
            <w:pPr>
              <w:spacing w:before="40" w:after="20"/>
              <w:jc w:val="right"/>
              <w:rPr>
                <w:rFonts w:cs="Arial"/>
                <w:sz w:val="18"/>
                <w:szCs w:val="18"/>
              </w:rPr>
            </w:pPr>
            <w:r w:rsidRPr="001D41EA">
              <w:rPr>
                <w:rFonts w:cs="Arial"/>
                <w:sz w:val="18"/>
                <w:szCs w:val="18"/>
              </w:rPr>
              <w:t>107,102</w:t>
            </w:r>
          </w:p>
        </w:tc>
      </w:tr>
      <w:tr w:rsidR="009F0AF7" w:rsidRPr="001D41EA" w14:paraId="19DCC14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58D708F" w14:textId="77777777" w:rsidR="009F0AF7" w:rsidRPr="001D41EA" w:rsidRDefault="009F0AF7" w:rsidP="001D41EA">
            <w:pPr>
              <w:spacing w:before="40" w:after="20"/>
              <w:rPr>
                <w:rFonts w:cs="Arial"/>
                <w:sz w:val="18"/>
                <w:szCs w:val="18"/>
              </w:rPr>
            </w:pPr>
            <w:r w:rsidRPr="001D41EA">
              <w:rPr>
                <w:rFonts w:cs="Arial"/>
                <w:sz w:val="18"/>
                <w:szCs w:val="18"/>
              </w:rPr>
              <w:t>Queenscliffe B</w:t>
            </w:r>
          </w:p>
        </w:tc>
        <w:tc>
          <w:tcPr>
            <w:tcW w:w="1361" w:type="dxa"/>
            <w:tcBorders>
              <w:top w:val="nil"/>
              <w:left w:val="single" w:sz="18" w:space="0" w:color="5F497A" w:themeColor="accent4" w:themeShade="BF"/>
              <w:bottom w:val="nil"/>
              <w:right w:val="nil"/>
            </w:tcBorders>
            <w:shd w:val="clear" w:color="auto" w:fill="auto"/>
            <w:vAlign w:val="bottom"/>
          </w:tcPr>
          <w:p w14:paraId="0E240069" w14:textId="57D98BA3" w:rsidR="009F0AF7" w:rsidRPr="001D41EA" w:rsidRDefault="009F0AF7" w:rsidP="001D41EA">
            <w:pPr>
              <w:spacing w:before="40" w:after="20"/>
              <w:jc w:val="right"/>
              <w:rPr>
                <w:rFonts w:cs="Arial"/>
                <w:sz w:val="18"/>
                <w:szCs w:val="18"/>
              </w:rPr>
            </w:pPr>
            <w:r w:rsidRPr="001D41EA">
              <w:rPr>
                <w:rFonts w:cs="Arial"/>
                <w:sz w:val="18"/>
                <w:szCs w:val="18"/>
              </w:rPr>
              <w:t>50,104</w:t>
            </w:r>
          </w:p>
        </w:tc>
        <w:tc>
          <w:tcPr>
            <w:tcW w:w="1361" w:type="dxa"/>
            <w:tcBorders>
              <w:top w:val="nil"/>
              <w:left w:val="nil"/>
              <w:bottom w:val="nil"/>
              <w:right w:val="nil"/>
            </w:tcBorders>
            <w:shd w:val="clear" w:color="auto" w:fill="auto"/>
            <w:vAlign w:val="bottom"/>
          </w:tcPr>
          <w:p w14:paraId="1630632F" w14:textId="4FCED4BD" w:rsidR="009F0AF7" w:rsidRPr="001D41EA" w:rsidRDefault="009F0AF7" w:rsidP="001D41EA">
            <w:pPr>
              <w:spacing w:before="40" w:after="20"/>
              <w:jc w:val="right"/>
              <w:rPr>
                <w:rFonts w:cs="Arial"/>
                <w:sz w:val="18"/>
                <w:szCs w:val="18"/>
              </w:rPr>
            </w:pPr>
            <w:r w:rsidRPr="001D41EA">
              <w:rPr>
                <w:rFonts w:cs="Arial"/>
                <w:sz w:val="18"/>
                <w:szCs w:val="18"/>
              </w:rPr>
              <w:t>39,213</w:t>
            </w:r>
          </w:p>
        </w:tc>
        <w:tc>
          <w:tcPr>
            <w:tcW w:w="1361" w:type="dxa"/>
            <w:tcBorders>
              <w:top w:val="nil"/>
              <w:left w:val="nil"/>
              <w:bottom w:val="nil"/>
              <w:right w:val="nil"/>
            </w:tcBorders>
            <w:vAlign w:val="bottom"/>
          </w:tcPr>
          <w:p w14:paraId="5959CDE7" w14:textId="4CC43F69" w:rsidR="009F0AF7" w:rsidRPr="001D41EA" w:rsidRDefault="009F0AF7" w:rsidP="001D41EA">
            <w:pPr>
              <w:spacing w:before="40" w:after="20"/>
              <w:jc w:val="right"/>
              <w:rPr>
                <w:rFonts w:cs="Arial"/>
                <w:sz w:val="18"/>
                <w:szCs w:val="18"/>
              </w:rPr>
            </w:pPr>
            <w:r w:rsidRPr="001D41EA">
              <w:rPr>
                <w:rFonts w:cs="Arial"/>
                <w:sz w:val="18"/>
                <w:szCs w:val="18"/>
              </w:rPr>
              <w:t>66,156</w:t>
            </w:r>
          </w:p>
        </w:tc>
        <w:tc>
          <w:tcPr>
            <w:tcW w:w="1361" w:type="dxa"/>
            <w:tcBorders>
              <w:top w:val="nil"/>
              <w:left w:val="nil"/>
              <w:bottom w:val="nil"/>
              <w:right w:val="nil"/>
            </w:tcBorders>
            <w:vAlign w:val="bottom"/>
          </w:tcPr>
          <w:p w14:paraId="653CE9DD" w14:textId="1FC17670" w:rsidR="009F0AF7" w:rsidRPr="001D41EA" w:rsidRDefault="009F0AF7" w:rsidP="001D41EA">
            <w:pPr>
              <w:spacing w:before="40" w:after="20"/>
              <w:jc w:val="right"/>
              <w:rPr>
                <w:rFonts w:cs="Arial"/>
                <w:sz w:val="18"/>
                <w:szCs w:val="18"/>
              </w:rPr>
            </w:pPr>
            <w:r w:rsidRPr="001D41EA">
              <w:rPr>
                <w:rFonts w:cs="Arial"/>
                <w:sz w:val="18"/>
                <w:szCs w:val="18"/>
              </w:rPr>
              <w:t>67,826</w:t>
            </w:r>
          </w:p>
        </w:tc>
        <w:tc>
          <w:tcPr>
            <w:tcW w:w="1361" w:type="dxa"/>
            <w:tcBorders>
              <w:top w:val="nil"/>
              <w:left w:val="nil"/>
              <w:bottom w:val="nil"/>
              <w:right w:val="nil"/>
            </w:tcBorders>
            <w:shd w:val="clear" w:color="auto" w:fill="auto"/>
            <w:vAlign w:val="bottom"/>
          </w:tcPr>
          <w:p w14:paraId="6CE4A00B" w14:textId="5BE9719D" w:rsidR="009F0AF7" w:rsidRPr="001D41EA" w:rsidRDefault="009F0AF7" w:rsidP="001D41EA">
            <w:pPr>
              <w:spacing w:before="40" w:after="20"/>
              <w:jc w:val="right"/>
              <w:rPr>
                <w:rFonts w:cs="Arial"/>
                <w:sz w:val="18"/>
                <w:szCs w:val="18"/>
              </w:rPr>
            </w:pPr>
            <w:r w:rsidRPr="001D41EA">
              <w:rPr>
                <w:rFonts w:cs="Arial"/>
                <w:sz w:val="18"/>
                <w:szCs w:val="18"/>
              </w:rPr>
              <w:t>85,683</w:t>
            </w:r>
          </w:p>
        </w:tc>
      </w:tr>
      <w:tr w:rsidR="009F0AF7" w:rsidRPr="001D41EA" w14:paraId="7FC057D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4EEACCF" w14:textId="77777777" w:rsidR="009F0AF7" w:rsidRPr="001D41EA" w:rsidRDefault="009F0AF7" w:rsidP="001D41EA">
            <w:pPr>
              <w:spacing w:before="40" w:after="20"/>
              <w:rPr>
                <w:rFonts w:cs="Arial"/>
                <w:sz w:val="18"/>
                <w:szCs w:val="18"/>
              </w:rPr>
            </w:pPr>
            <w:r w:rsidRPr="001D41EA">
              <w:rPr>
                <w:rFonts w:cs="Arial"/>
                <w:sz w:val="18"/>
                <w:szCs w:val="18"/>
              </w:rPr>
              <w:t>South Gippsland S</w:t>
            </w:r>
          </w:p>
        </w:tc>
        <w:tc>
          <w:tcPr>
            <w:tcW w:w="1361" w:type="dxa"/>
            <w:tcBorders>
              <w:top w:val="nil"/>
              <w:left w:val="single" w:sz="18" w:space="0" w:color="5F497A" w:themeColor="accent4" w:themeShade="BF"/>
              <w:bottom w:val="nil"/>
              <w:right w:val="nil"/>
            </w:tcBorders>
            <w:shd w:val="clear" w:color="auto" w:fill="auto"/>
            <w:vAlign w:val="bottom"/>
          </w:tcPr>
          <w:p w14:paraId="13686502" w14:textId="25B88674" w:rsidR="009F0AF7" w:rsidRPr="001D41EA" w:rsidRDefault="009F0AF7" w:rsidP="001D41EA">
            <w:pPr>
              <w:spacing w:before="40" w:after="20"/>
              <w:jc w:val="right"/>
              <w:rPr>
                <w:rFonts w:cs="Arial"/>
                <w:sz w:val="18"/>
                <w:szCs w:val="18"/>
              </w:rPr>
            </w:pPr>
            <w:r w:rsidRPr="001D41EA">
              <w:rPr>
                <w:rFonts w:cs="Arial"/>
                <w:sz w:val="18"/>
                <w:szCs w:val="18"/>
              </w:rPr>
              <w:t>496,936</w:t>
            </w:r>
          </w:p>
        </w:tc>
        <w:tc>
          <w:tcPr>
            <w:tcW w:w="1361" w:type="dxa"/>
            <w:tcBorders>
              <w:top w:val="nil"/>
              <w:left w:val="nil"/>
              <w:bottom w:val="nil"/>
              <w:right w:val="nil"/>
            </w:tcBorders>
            <w:shd w:val="clear" w:color="auto" w:fill="auto"/>
            <w:vAlign w:val="bottom"/>
          </w:tcPr>
          <w:p w14:paraId="26F7AF1B" w14:textId="330AD1A1" w:rsidR="009F0AF7" w:rsidRPr="001D41EA" w:rsidRDefault="009F0AF7" w:rsidP="001D41EA">
            <w:pPr>
              <w:spacing w:before="40" w:after="20"/>
              <w:jc w:val="right"/>
              <w:rPr>
                <w:rFonts w:cs="Arial"/>
                <w:sz w:val="18"/>
                <w:szCs w:val="18"/>
              </w:rPr>
            </w:pPr>
            <w:r w:rsidRPr="001D41EA">
              <w:rPr>
                <w:rFonts w:cs="Arial"/>
                <w:sz w:val="18"/>
                <w:szCs w:val="18"/>
              </w:rPr>
              <w:t>305,444</w:t>
            </w:r>
          </w:p>
        </w:tc>
        <w:tc>
          <w:tcPr>
            <w:tcW w:w="1361" w:type="dxa"/>
            <w:tcBorders>
              <w:top w:val="nil"/>
              <w:left w:val="nil"/>
              <w:bottom w:val="nil"/>
              <w:right w:val="nil"/>
            </w:tcBorders>
            <w:vAlign w:val="bottom"/>
          </w:tcPr>
          <w:p w14:paraId="07056D30" w14:textId="4118DDE3" w:rsidR="009F0AF7" w:rsidRPr="001D41EA" w:rsidRDefault="009F0AF7" w:rsidP="001D41EA">
            <w:pPr>
              <w:spacing w:before="40" w:after="20"/>
              <w:jc w:val="right"/>
              <w:rPr>
                <w:rFonts w:cs="Arial"/>
                <w:sz w:val="18"/>
                <w:szCs w:val="18"/>
              </w:rPr>
            </w:pPr>
            <w:r w:rsidRPr="001D41EA">
              <w:rPr>
                <w:rFonts w:cs="Arial"/>
                <w:sz w:val="18"/>
                <w:szCs w:val="18"/>
              </w:rPr>
              <w:t>350,606</w:t>
            </w:r>
          </w:p>
        </w:tc>
        <w:tc>
          <w:tcPr>
            <w:tcW w:w="1361" w:type="dxa"/>
            <w:tcBorders>
              <w:top w:val="nil"/>
              <w:left w:val="nil"/>
              <w:bottom w:val="nil"/>
              <w:right w:val="nil"/>
            </w:tcBorders>
            <w:vAlign w:val="bottom"/>
          </w:tcPr>
          <w:p w14:paraId="763A7DC3" w14:textId="7205237B" w:rsidR="009F0AF7" w:rsidRPr="001D41EA" w:rsidRDefault="009F0AF7" w:rsidP="001D41EA">
            <w:pPr>
              <w:spacing w:before="40" w:after="20"/>
              <w:jc w:val="right"/>
              <w:rPr>
                <w:rFonts w:cs="Arial"/>
                <w:sz w:val="18"/>
                <w:szCs w:val="18"/>
              </w:rPr>
            </w:pPr>
            <w:r w:rsidRPr="001D41EA">
              <w:rPr>
                <w:rFonts w:cs="Arial"/>
                <w:sz w:val="18"/>
                <w:szCs w:val="18"/>
              </w:rPr>
              <w:t>672,711</w:t>
            </w:r>
          </w:p>
        </w:tc>
        <w:tc>
          <w:tcPr>
            <w:tcW w:w="1361" w:type="dxa"/>
            <w:tcBorders>
              <w:top w:val="nil"/>
              <w:left w:val="nil"/>
              <w:bottom w:val="nil"/>
              <w:right w:val="nil"/>
            </w:tcBorders>
            <w:shd w:val="clear" w:color="auto" w:fill="auto"/>
            <w:vAlign w:val="bottom"/>
          </w:tcPr>
          <w:p w14:paraId="3CF78BF0" w14:textId="4A2F139A" w:rsidR="009F0AF7" w:rsidRPr="001D41EA" w:rsidRDefault="009F0AF7" w:rsidP="001D41EA">
            <w:pPr>
              <w:spacing w:before="40" w:after="20"/>
              <w:jc w:val="right"/>
              <w:rPr>
                <w:rFonts w:cs="Arial"/>
                <w:sz w:val="18"/>
                <w:szCs w:val="18"/>
              </w:rPr>
            </w:pPr>
            <w:r w:rsidRPr="001D41EA">
              <w:rPr>
                <w:rFonts w:cs="Arial"/>
                <w:sz w:val="18"/>
                <w:szCs w:val="18"/>
              </w:rPr>
              <w:t>483,742</w:t>
            </w:r>
          </w:p>
        </w:tc>
      </w:tr>
      <w:tr w:rsidR="009F0AF7" w:rsidRPr="001D41EA" w14:paraId="5F13ACDE"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0F5E0C5" w14:textId="77777777" w:rsidR="009F0AF7" w:rsidRPr="001D41EA" w:rsidRDefault="009F0AF7" w:rsidP="001D41EA">
            <w:pPr>
              <w:spacing w:before="40" w:after="20"/>
              <w:rPr>
                <w:rFonts w:cs="Arial"/>
                <w:sz w:val="18"/>
                <w:szCs w:val="18"/>
              </w:rPr>
            </w:pPr>
            <w:r w:rsidRPr="001D41EA">
              <w:rPr>
                <w:rFonts w:cs="Arial"/>
                <w:sz w:val="18"/>
                <w:szCs w:val="18"/>
              </w:rPr>
              <w:t>Southern Grampians S</w:t>
            </w:r>
          </w:p>
        </w:tc>
        <w:tc>
          <w:tcPr>
            <w:tcW w:w="1361" w:type="dxa"/>
            <w:tcBorders>
              <w:top w:val="nil"/>
              <w:left w:val="single" w:sz="18" w:space="0" w:color="5F497A" w:themeColor="accent4" w:themeShade="BF"/>
              <w:bottom w:val="nil"/>
              <w:right w:val="nil"/>
            </w:tcBorders>
            <w:shd w:val="clear" w:color="auto" w:fill="auto"/>
            <w:vAlign w:val="bottom"/>
          </w:tcPr>
          <w:p w14:paraId="43BC9226" w14:textId="0B0FE6C5" w:rsidR="009F0AF7" w:rsidRPr="001D41EA" w:rsidRDefault="009F0AF7" w:rsidP="001D41EA">
            <w:pPr>
              <w:spacing w:before="40" w:after="20"/>
              <w:jc w:val="right"/>
              <w:rPr>
                <w:rFonts w:cs="Arial"/>
                <w:sz w:val="18"/>
                <w:szCs w:val="18"/>
              </w:rPr>
            </w:pPr>
            <w:r w:rsidRPr="001D41EA">
              <w:rPr>
                <w:rFonts w:cs="Arial"/>
                <w:sz w:val="18"/>
                <w:szCs w:val="18"/>
              </w:rPr>
              <w:t>271,100</w:t>
            </w:r>
          </w:p>
        </w:tc>
        <w:tc>
          <w:tcPr>
            <w:tcW w:w="1361" w:type="dxa"/>
            <w:tcBorders>
              <w:top w:val="nil"/>
              <w:left w:val="nil"/>
              <w:bottom w:val="nil"/>
              <w:right w:val="nil"/>
            </w:tcBorders>
            <w:shd w:val="clear" w:color="auto" w:fill="auto"/>
            <w:vAlign w:val="bottom"/>
          </w:tcPr>
          <w:p w14:paraId="343F9891" w14:textId="7C14D5A6" w:rsidR="009F0AF7" w:rsidRPr="001D41EA" w:rsidRDefault="009F0AF7" w:rsidP="001D41EA">
            <w:pPr>
              <w:spacing w:before="40" w:after="20"/>
              <w:jc w:val="right"/>
              <w:rPr>
                <w:rFonts w:cs="Arial"/>
                <w:sz w:val="18"/>
                <w:szCs w:val="18"/>
              </w:rPr>
            </w:pPr>
            <w:r w:rsidRPr="001D41EA">
              <w:rPr>
                <w:rFonts w:cs="Arial"/>
                <w:sz w:val="18"/>
                <w:szCs w:val="18"/>
              </w:rPr>
              <w:t>167,704</w:t>
            </w:r>
          </w:p>
        </w:tc>
        <w:tc>
          <w:tcPr>
            <w:tcW w:w="1361" w:type="dxa"/>
            <w:tcBorders>
              <w:top w:val="nil"/>
              <w:left w:val="nil"/>
              <w:bottom w:val="nil"/>
              <w:right w:val="nil"/>
            </w:tcBorders>
            <w:vAlign w:val="bottom"/>
          </w:tcPr>
          <w:p w14:paraId="06CCC793" w14:textId="46554973" w:rsidR="009F0AF7" w:rsidRPr="001D41EA" w:rsidRDefault="009F0AF7" w:rsidP="001D41EA">
            <w:pPr>
              <w:spacing w:before="40" w:after="20"/>
              <w:jc w:val="right"/>
              <w:rPr>
                <w:rFonts w:cs="Arial"/>
                <w:sz w:val="18"/>
                <w:szCs w:val="18"/>
              </w:rPr>
            </w:pPr>
            <w:r w:rsidRPr="001D41EA">
              <w:rPr>
                <w:rFonts w:cs="Arial"/>
                <w:sz w:val="18"/>
                <w:szCs w:val="18"/>
              </w:rPr>
              <w:t>188,728</w:t>
            </w:r>
          </w:p>
        </w:tc>
        <w:tc>
          <w:tcPr>
            <w:tcW w:w="1361" w:type="dxa"/>
            <w:tcBorders>
              <w:top w:val="nil"/>
              <w:left w:val="nil"/>
              <w:bottom w:val="nil"/>
              <w:right w:val="nil"/>
            </w:tcBorders>
            <w:vAlign w:val="bottom"/>
          </w:tcPr>
          <w:p w14:paraId="7910FE28" w14:textId="50EF9C44" w:rsidR="009F0AF7" w:rsidRPr="001D41EA" w:rsidRDefault="009F0AF7" w:rsidP="001D41EA">
            <w:pPr>
              <w:spacing w:before="40" w:after="20"/>
              <w:jc w:val="right"/>
              <w:rPr>
                <w:rFonts w:cs="Arial"/>
                <w:sz w:val="18"/>
                <w:szCs w:val="18"/>
              </w:rPr>
            </w:pPr>
            <w:r w:rsidRPr="001D41EA">
              <w:rPr>
                <w:rFonts w:cs="Arial"/>
                <w:sz w:val="18"/>
                <w:szCs w:val="18"/>
              </w:rPr>
              <w:t>366,993</w:t>
            </w:r>
          </w:p>
        </w:tc>
        <w:tc>
          <w:tcPr>
            <w:tcW w:w="1361" w:type="dxa"/>
            <w:tcBorders>
              <w:top w:val="nil"/>
              <w:left w:val="nil"/>
              <w:bottom w:val="nil"/>
              <w:right w:val="nil"/>
            </w:tcBorders>
            <w:shd w:val="clear" w:color="auto" w:fill="auto"/>
            <w:vAlign w:val="bottom"/>
          </w:tcPr>
          <w:p w14:paraId="1BF347BC" w14:textId="134AAE3A" w:rsidR="009F0AF7" w:rsidRPr="001D41EA" w:rsidRDefault="009F0AF7" w:rsidP="001D41EA">
            <w:pPr>
              <w:spacing w:before="40" w:after="20"/>
              <w:jc w:val="right"/>
              <w:rPr>
                <w:rFonts w:cs="Arial"/>
                <w:sz w:val="18"/>
                <w:szCs w:val="18"/>
              </w:rPr>
            </w:pPr>
            <w:r w:rsidRPr="001D41EA">
              <w:rPr>
                <w:rFonts w:cs="Arial"/>
                <w:sz w:val="18"/>
                <w:szCs w:val="18"/>
              </w:rPr>
              <w:t>238,402</w:t>
            </w:r>
          </w:p>
        </w:tc>
      </w:tr>
      <w:tr w:rsidR="009F0AF7" w:rsidRPr="001D41EA" w14:paraId="753D9D62"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0DBBBFC" w14:textId="77777777" w:rsidR="009F0AF7" w:rsidRPr="001D41EA" w:rsidRDefault="009F0AF7" w:rsidP="001D41EA">
            <w:pPr>
              <w:spacing w:before="40" w:after="20"/>
              <w:rPr>
                <w:rFonts w:cs="Arial"/>
                <w:sz w:val="18"/>
                <w:szCs w:val="18"/>
              </w:rPr>
            </w:pPr>
            <w:r w:rsidRPr="001D41EA">
              <w:rPr>
                <w:rFonts w:cs="Arial"/>
                <w:sz w:val="18"/>
                <w:szCs w:val="18"/>
              </w:rPr>
              <w:t>Stonnington C</w:t>
            </w:r>
          </w:p>
        </w:tc>
        <w:tc>
          <w:tcPr>
            <w:tcW w:w="1361" w:type="dxa"/>
            <w:tcBorders>
              <w:top w:val="nil"/>
              <w:left w:val="single" w:sz="18" w:space="0" w:color="5F497A" w:themeColor="accent4" w:themeShade="BF"/>
              <w:bottom w:val="nil"/>
              <w:right w:val="nil"/>
            </w:tcBorders>
            <w:shd w:val="clear" w:color="auto" w:fill="auto"/>
            <w:vAlign w:val="bottom"/>
          </w:tcPr>
          <w:p w14:paraId="58C76546" w14:textId="330AB286" w:rsidR="009F0AF7" w:rsidRPr="001D41EA" w:rsidRDefault="009F0AF7" w:rsidP="001D41EA">
            <w:pPr>
              <w:spacing w:before="40" w:after="20"/>
              <w:jc w:val="right"/>
              <w:rPr>
                <w:rFonts w:cs="Arial"/>
                <w:sz w:val="18"/>
                <w:szCs w:val="18"/>
              </w:rPr>
            </w:pPr>
            <w:r w:rsidRPr="001D41EA">
              <w:rPr>
                <w:rFonts w:cs="Arial"/>
                <w:sz w:val="18"/>
                <w:szCs w:val="18"/>
              </w:rPr>
              <w:t>1,952,509</w:t>
            </w:r>
          </w:p>
        </w:tc>
        <w:tc>
          <w:tcPr>
            <w:tcW w:w="1361" w:type="dxa"/>
            <w:tcBorders>
              <w:top w:val="nil"/>
              <w:left w:val="nil"/>
              <w:bottom w:val="nil"/>
              <w:right w:val="nil"/>
            </w:tcBorders>
            <w:shd w:val="clear" w:color="auto" w:fill="auto"/>
            <w:vAlign w:val="bottom"/>
          </w:tcPr>
          <w:p w14:paraId="74850724" w14:textId="3C6F9526" w:rsidR="009F0AF7" w:rsidRPr="001D41EA" w:rsidRDefault="009F0AF7" w:rsidP="001D41EA">
            <w:pPr>
              <w:spacing w:before="40" w:after="20"/>
              <w:jc w:val="right"/>
              <w:rPr>
                <w:rFonts w:cs="Arial"/>
                <w:sz w:val="18"/>
                <w:szCs w:val="18"/>
              </w:rPr>
            </w:pPr>
            <w:r w:rsidRPr="001D41EA">
              <w:rPr>
                <w:rFonts w:cs="Arial"/>
                <w:sz w:val="18"/>
                <w:szCs w:val="18"/>
              </w:rPr>
              <w:t>1,574,431</w:t>
            </w:r>
          </w:p>
        </w:tc>
        <w:tc>
          <w:tcPr>
            <w:tcW w:w="1361" w:type="dxa"/>
            <w:tcBorders>
              <w:top w:val="nil"/>
              <w:left w:val="nil"/>
              <w:bottom w:val="nil"/>
              <w:right w:val="nil"/>
            </w:tcBorders>
            <w:vAlign w:val="bottom"/>
          </w:tcPr>
          <w:p w14:paraId="2E6FF2AE" w14:textId="1FB99DCF" w:rsidR="009F0AF7" w:rsidRPr="001D41EA" w:rsidRDefault="009F0AF7" w:rsidP="001D41EA">
            <w:pPr>
              <w:spacing w:before="40" w:after="20"/>
              <w:jc w:val="right"/>
              <w:rPr>
                <w:rFonts w:cs="Arial"/>
                <w:sz w:val="18"/>
                <w:szCs w:val="18"/>
              </w:rPr>
            </w:pPr>
            <w:r w:rsidRPr="001D41EA">
              <w:rPr>
                <w:rFonts w:cs="Arial"/>
                <w:sz w:val="18"/>
                <w:szCs w:val="18"/>
              </w:rPr>
              <w:t>1,419,590</w:t>
            </w:r>
          </w:p>
        </w:tc>
        <w:tc>
          <w:tcPr>
            <w:tcW w:w="1361" w:type="dxa"/>
            <w:tcBorders>
              <w:top w:val="nil"/>
              <w:left w:val="nil"/>
              <w:bottom w:val="nil"/>
              <w:right w:val="nil"/>
            </w:tcBorders>
            <w:vAlign w:val="bottom"/>
          </w:tcPr>
          <w:p w14:paraId="17BDC7C4" w14:textId="2EE7E139" w:rsidR="009F0AF7" w:rsidRPr="001D41EA" w:rsidRDefault="009F0AF7" w:rsidP="001D41EA">
            <w:pPr>
              <w:spacing w:before="40" w:after="20"/>
              <w:jc w:val="right"/>
              <w:rPr>
                <w:rFonts w:cs="Arial"/>
                <w:sz w:val="18"/>
                <w:szCs w:val="18"/>
              </w:rPr>
            </w:pPr>
            <w:r w:rsidRPr="001D41EA">
              <w:rPr>
                <w:rFonts w:cs="Arial"/>
                <w:sz w:val="18"/>
                <w:szCs w:val="18"/>
              </w:rPr>
              <w:t>2,643,146</w:t>
            </w:r>
          </w:p>
        </w:tc>
        <w:tc>
          <w:tcPr>
            <w:tcW w:w="1361" w:type="dxa"/>
            <w:tcBorders>
              <w:top w:val="nil"/>
              <w:left w:val="nil"/>
              <w:bottom w:val="nil"/>
              <w:right w:val="nil"/>
            </w:tcBorders>
            <w:shd w:val="clear" w:color="auto" w:fill="auto"/>
            <w:vAlign w:val="bottom"/>
          </w:tcPr>
          <w:p w14:paraId="66A579C6" w14:textId="10B80514" w:rsidR="009F0AF7" w:rsidRPr="001D41EA" w:rsidRDefault="009F0AF7" w:rsidP="001D41EA">
            <w:pPr>
              <w:spacing w:before="40" w:after="20"/>
              <w:jc w:val="right"/>
              <w:rPr>
                <w:rFonts w:cs="Arial"/>
                <w:sz w:val="18"/>
                <w:szCs w:val="18"/>
              </w:rPr>
            </w:pPr>
            <w:r w:rsidRPr="001D41EA">
              <w:rPr>
                <w:rFonts w:cs="Arial"/>
                <w:sz w:val="18"/>
                <w:szCs w:val="18"/>
              </w:rPr>
              <w:t>1,680,065</w:t>
            </w:r>
          </w:p>
        </w:tc>
      </w:tr>
      <w:tr w:rsidR="009F0AF7" w:rsidRPr="001D41EA" w14:paraId="56A81D0A"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7CBAD7D" w14:textId="77777777" w:rsidR="009F0AF7" w:rsidRPr="001D41EA" w:rsidRDefault="009F0AF7" w:rsidP="001D41EA">
            <w:pPr>
              <w:spacing w:before="40" w:after="20"/>
              <w:rPr>
                <w:rFonts w:cs="Arial"/>
                <w:sz w:val="18"/>
                <w:szCs w:val="18"/>
              </w:rPr>
            </w:pPr>
            <w:r w:rsidRPr="001D41EA">
              <w:rPr>
                <w:rFonts w:cs="Arial"/>
                <w:sz w:val="18"/>
                <w:szCs w:val="18"/>
              </w:rPr>
              <w:t>Strathbogie S</w:t>
            </w:r>
          </w:p>
        </w:tc>
        <w:tc>
          <w:tcPr>
            <w:tcW w:w="1361" w:type="dxa"/>
            <w:tcBorders>
              <w:top w:val="nil"/>
              <w:left w:val="single" w:sz="18" w:space="0" w:color="5F497A" w:themeColor="accent4" w:themeShade="BF"/>
              <w:bottom w:val="nil"/>
              <w:right w:val="nil"/>
            </w:tcBorders>
            <w:shd w:val="clear" w:color="auto" w:fill="auto"/>
            <w:vAlign w:val="bottom"/>
          </w:tcPr>
          <w:p w14:paraId="3BCB7C09" w14:textId="7EA77AAC" w:rsidR="009F0AF7" w:rsidRPr="001D41EA" w:rsidRDefault="009F0AF7" w:rsidP="001D41EA">
            <w:pPr>
              <w:spacing w:before="40" w:after="20"/>
              <w:jc w:val="right"/>
              <w:rPr>
                <w:rFonts w:cs="Arial"/>
                <w:sz w:val="18"/>
                <w:szCs w:val="18"/>
              </w:rPr>
            </w:pPr>
            <w:r w:rsidRPr="001D41EA">
              <w:rPr>
                <w:rFonts w:cs="Arial"/>
                <w:sz w:val="18"/>
                <w:szCs w:val="18"/>
              </w:rPr>
              <w:t>178,857</w:t>
            </w:r>
          </w:p>
        </w:tc>
        <w:tc>
          <w:tcPr>
            <w:tcW w:w="1361" w:type="dxa"/>
            <w:tcBorders>
              <w:top w:val="nil"/>
              <w:left w:val="nil"/>
              <w:bottom w:val="nil"/>
              <w:right w:val="nil"/>
            </w:tcBorders>
            <w:shd w:val="clear" w:color="auto" w:fill="auto"/>
            <w:vAlign w:val="bottom"/>
          </w:tcPr>
          <w:p w14:paraId="08624721" w14:textId="7A1A1157" w:rsidR="009F0AF7" w:rsidRPr="001D41EA" w:rsidRDefault="009F0AF7" w:rsidP="001D41EA">
            <w:pPr>
              <w:spacing w:before="40" w:after="20"/>
              <w:jc w:val="right"/>
              <w:rPr>
                <w:rFonts w:cs="Arial"/>
                <w:sz w:val="18"/>
                <w:szCs w:val="18"/>
              </w:rPr>
            </w:pPr>
            <w:r w:rsidRPr="001D41EA">
              <w:rPr>
                <w:rFonts w:cs="Arial"/>
                <w:sz w:val="18"/>
                <w:szCs w:val="18"/>
              </w:rPr>
              <w:t>104,280</w:t>
            </w:r>
          </w:p>
        </w:tc>
        <w:tc>
          <w:tcPr>
            <w:tcW w:w="1361" w:type="dxa"/>
            <w:tcBorders>
              <w:top w:val="nil"/>
              <w:left w:val="nil"/>
              <w:bottom w:val="nil"/>
              <w:right w:val="nil"/>
            </w:tcBorders>
            <w:vAlign w:val="bottom"/>
          </w:tcPr>
          <w:p w14:paraId="3D4F7902" w14:textId="5518365B" w:rsidR="009F0AF7" w:rsidRPr="001D41EA" w:rsidRDefault="009F0AF7" w:rsidP="001D41EA">
            <w:pPr>
              <w:spacing w:before="40" w:after="20"/>
              <w:jc w:val="right"/>
              <w:rPr>
                <w:rFonts w:cs="Arial"/>
                <w:sz w:val="18"/>
                <w:szCs w:val="18"/>
              </w:rPr>
            </w:pPr>
            <w:r w:rsidRPr="001D41EA">
              <w:rPr>
                <w:rFonts w:cs="Arial"/>
                <w:sz w:val="18"/>
                <w:szCs w:val="18"/>
              </w:rPr>
              <w:t>146,415</w:t>
            </w:r>
          </w:p>
        </w:tc>
        <w:tc>
          <w:tcPr>
            <w:tcW w:w="1361" w:type="dxa"/>
            <w:tcBorders>
              <w:top w:val="nil"/>
              <w:left w:val="nil"/>
              <w:bottom w:val="nil"/>
              <w:right w:val="nil"/>
            </w:tcBorders>
            <w:vAlign w:val="bottom"/>
          </w:tcPr>
          <w:p w14:paraId="2CE20829" w14:textId="1CEA35B9" w:rsidR="009F0AF7" w:rsidRPr="001D41EA" w:rsidRDefault="009F0AF7" w:rsidP="001D41EA">
            <w:pPr>
              <w:spacing w:before="40" w:after="20"/>
              <w:jc w:val="right"/>
              <w:rPr>
                <w:rFonts w:cs="Arial"/>
                <w:sz w:val="18"/>
                <w:szCs w:val="18"/>
              </w:rPr>
            </w:pPr>
            <w:r w:rsidRPr="001D41EA">
              <w:rPr>
                <w:rFonts w:cs="Arial"/>
                <w:sz w:val="18"/>
                <w:szCs w:val="18"/>
              </w:rPr>
              <w:t>242,122</w:t>
            </w:r>
          </w:p>
        </w:tc>
        <w:tc>
          <w:tcPr>
            <w:tcW w:w="1361" w:type="dxa"/>
            <w:tcBorders>
              <w:top w:val="nil"/>
              <w:left w:val="nil"/>
              <w:bottom w:val="nil"/>
              <w:right w:val="nil"/>
            </w:tcBorders>
            <w:shd w:val="clear" w:color="auto" w:fill="auto"/>
            <w:vAlign w:val="bottom"/>
          </w:tcPr>
          <w:p w14:paraId="765FDCD7" w14:textId="601BCCED" w:rsidR="009F0AF7" w:rsidRPr="001D41EA" w:rsidRDefault="009F0AF7" w:rsidP="001D41EA">
            <w:pPr>
              <w:spacing w:before="40" w:after="20"/>
              <w:jc w:val="right"/>
              <w:rPr>
                <w:rFonts w:cs="Arial"/>
                <w:sz w:val="18"/>
                <w:szCs w:val="18"/>
              </w:rPr>
            </w:pPr>
            <w:r w:rsidRPr="001D41EA">
              <w:rPr>
                <w:rFonts w:cs="Arial"/>
                <w:sz w:val="18"/>
                <w:szCs w:val="18"/>
              </w:rPr>
              <w:t>174,141</w:t>
            </w:r>
          </w:p>
        </w:tc>
      </w:tr>
      <w:tr w:rsidR="009F0AF7" w:rsidRPr="001D41EA" w14:paraId="2CA883CE"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A6EE912" w14:textId="77777777" w:rsidR="009F0AF7" w:rsidRPr="001D41EA" w:rsidRDefault="009F0AF7" w:rsidP="001D41EA">
            <w:pPr>
              <w:spacing w:before="40" w:after="20"/>
              <w:rPr>
                <w:rFonts w:cs="Arial"/>
                <w:sz w:val="18"/>
                <w:szCs w:val="18"/>
              </w:rPr>
            </w:pPr>
            <w:r w:rsidRPr="001D41EA">
              <w:rPr>
                <w:rFonts w:cs="Arial"/>
                <w:sz w:val="18"/>
                <w:szCs w:val="18"/>
              </w:rPr>
              <w:t>Surf Coast S</w:t>
            </w:r>
          </w:p>
        </w:tc>
        <w:tc>
          <w:tcPr>
            <w:tcW w:w="1361" w:type="dxa"/>
            <w:tcBorders>
              <w:top w:val="nil"/>
              <w:left w:val="single" w:sz="18" w:space="0" w:color="5F497A" w:themeColor="accent4" w:themeShade="BF"/>
              <w:bottom w:val="nil"/>
              <w:right w:val="nil"/>
            </w:tcBorders>
            <w:shd w:val="clear" w:color="auto" w:fill="auto"/>
            <w:vAlign w:val="bottom"/>
          </w:tcPr>
          <w:p w14:paraId="5BF0023F" w14:textId="25918E52" w:rsidR="009F0AF7" w:rsidRPr="001D41EA" w:rsidRDefault="009F0AF7" w:rsidP="001D41EA">
            <w:pPr>
              <w:spacing w:before="40" w:after="20"/>
              <w:jc w:val="right"/>
              <w:rPr>
                <w:rFonts w:cs="Arial"/>
                <w:sz w:val="18"/>
                <w:szCs w:val="18"/>
              </w:rPr>
            </w:pPr>
            <w:r w:rsidRPr="001D41EA">
              <w:rPr>
                <w:rFonts w:cs="Arial"/>
                <w:sz w:val="18"/>
                <w:szCs w:val="18"/>
              </w:rPr>
              <w:t>541,881</w:t>
            </w:r>
          </w:p>
        </w:tc>
        <w:tc>
          <w:tcPr>
            <w:tcW w:w="1361" w:type="dxa"/>
            <w:tcBorders>
              <w:top w:val="nil"/>
              <w:left w:val="nil"/>
              <w:bottom w:val="nil"/>
              <w:right w:val="nil"/>
            </w:tcBorders>
            <w:shd w:val="clear" w:color="auto" w:fill="auto"/>
            <w:vAlign w:val="bottom"/>
          </w:tcPr>
          <w:p w14:paraId="21931942" w14:textId="5C0D9AAE" w:rsidR="009F0AF7" w:rsidRPr="001D41EA" w:rsidRDefault="009F0AF7" w:rsidP="001D41EA">
            <w:pPr>
              <w:spacing w:before="40" w:after="20"/>
              <w:jc w:val="right"/>
              <w:rPr>
                <w:rFonts w:cs="Arial"/>
                <w:sz w:val="18"/>
                <w:szCs w:val="18"/>
              </w:rPr>
            </w:pPr>
            <w:r w:rsidRPr="001D41EA">
              <w:rPr>
                <w:rFonts w:cs="Arial"/>
                <w:sz w:val="18"/>
                <w:szCs w:val="18"/>
              </w:rPr>
              <w:t>426,243</w:t>
            </w:r>
          </w:p>
        </w:tc>
        <w:tc>
          <w:tcPr>
            <w:tcW w:w="1361" w:type="dxa"/>
            <w:tcBorders>
              <w:top w:val="nil"/>
              <w:left w:val="nil"/>
              <w:bottom w:val="nil"/>
              <w:right w:val="nil"/>
            </w:tcBorders>
            <w:vAlign w:val="bottom"/>
          </w:tcPr>
          <w:p w14:paraId="233CC1CF" w14:textId="10F3FC93" w:rsidR="009F0AF7" w:rsidRPr="001D41EA" w:rsidRDefault="009F0AF7" w:rsidP="001D41EA">
            <w:pPr>
              <w:spacing w:before="40" w:after="20"/>
              <w:jc w:val="right"/>
              <w:rPr>
                <w:rFonts w:cs="Arial"/>
                <w:sz w:val="18"/>
                <w:szCs w:val="18"/>
              </w:rPr>
            </w:pPr>
            <w:r w:rsidRPr="001D41EA">
              <w:rPr>
                <w:rFonts w:cs="Arial"/>
                <w:sz w:val="18"/>
                <w:szCs w:val="18"/>
              </w:rPr>
              <w:t>353,649</w:t>
            </w:r>
          </w:p>
        </w:tc>
        <w:tc>
          <w:tcPr>
            <w:tcW w:w="1361" w:type="dxa"/>
            <w:tcBorders>
              <w:top w:val="nil"/>
              <w:left w:val="nil"/>
              <w:bottom w:val="nil"/>
              <w:right w:val="nil"/>
            </w:tcBorders>
            <w:vAlign w:val="bottom"/>
          </w:tcPr>
          <w:p w14:paraId="6CE3EAF4" w14:textId="7B2D5470" w:rsidR="009F0AF7" w:rsidRPr="001D41EA" w:rsidRDefault="009F0AF7" w:rsidP="001D41EA">
            <w:pPr>
              <w:spacing w:before="40" w:after="20"/>
              <w:jc w:val="right"/>
              <w:rPr>
                <w:rFonts w:cs="Arial"/>
                <w:sz w:val="18"/>
                <w:szCs w:val="18"/>
              </w:rPr>
            </w:pPr>
            <w:r w:rsidRPr="001D41EA">
              <w:rPr>
                <w:rFonts w:cs="Arial"/>
                <w:sz w:val="18"/>
                <w:szCs w:val="18"/>
              </w:rPr>
              <w:t>733,554</w:t>
            </w:r>
          </w:p>
        </w:tc>
        <w:tc>
          <w:tcPr>
            <w:tcW w:w="1361" w:type="dxa"/>
            <w:tcBorders>
              <w:top w:val="nil"/>
              <w:left w:val="nil"/>
              <w:bottom w:val="nil"/>
              <w:right w:val="nil"/>
            </w:tcBorders>
            <w:shd w:val="clear" w:color="auto" w:fill="auto"/>
            <w:vAlign w:val="bottom"/>
          </w:tcPr>
          <w:p w14:paraId="7EB97ACA" w14:textId="150D4001" w:rsidR="009F0AF7" w:rsidRPr="001D41EA" w:rsidRDefault="009F0AF7" w:rsidP="001D41EA">
            <w:pPr>
              <w:spacing w:before="40" w:after="20"/>
              <w:jc w:val="right"/>
              <w:rPr>
                <w:rFonts w:cs="Arial"/>
                <w:sz w:val="18"/>
                <w:szCs w:val="18"/>
              </w:rPr>
            </w:pPr>
            <w:r w:rsidRPr="001D41EA">
              <w:rPr>
                <w:rFonts w:cs="Arial"/>
                <w:sz w:val="18"/>
                <w:szCs w:val="18"/>
              </w:rPr>
              <w:t>575,240</w:t>
            </w:r>
          </w:p>
        </w:tc>
      </w:tr>
      <w:tr w:rsidR="009F0AF7" w:rsidRPr="001D41EA" w14:paraId="6E765350"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7D54961" w14:textId="77777777" w:rsidR="009F0AF7" w:rsidRPr="001D41EA" w:rsidRDefault="009F0AF7" w:rsidP="001D41EA">
            <w:pPr>
              <w:spacing w:before="40" w:after="20"/>
              <w:rPr>
                <w:rFonts w:cs="Arial"/>
                <w:sz w:val="18"/>
                <w:szCs w:val="18"/>
              </w:rPr>
            </w:pPr>
            <w:r w:rsidRPr="001D41EA">
              <w:rPr>
                <w:rFonts w:cs="Arial"/>
                <w:sz w:val="18"/>
                <w:szCs w:val="18"/>
              </w:rPr>
              <w:t>Swan Hill RC</w:t>
            </w:r>
          </w:p>
        </w:tc>
        <w:tc>
          <w:tcPr>
            <w:tcW w:w="1361" w:type="dxa"/>
            <w:tcBorders>
              <w:top w:val="nil"/>
              <w:left w:val="single" w:sz="18" w:space="0" w:color="5F497A" w:themeColor="accent4" w:themeShade="BF"/>
              <w:bottom w:val="nil"/>
              <w:right w:val="nil"/>
            </w:tcBorders>
            <w:shd w:val="clear" w:color="auto" w:fill="auto"/>
            <w:vAlign w:val="bottom"/>
          </w:tcPr>
          <w:p w14:paraId="2C6CFC62" w14:textId="385D2ED2" w:rsidR="009F0AF7" w:rsidRPr="001D41EA" w:rsidRDefault="009F0AF7" w:rsidP="001D41EA">
            <w:pPr>
              <w:spacing w:before="40" w:after="20"/>
              <w:jc w:val="right"/>
              <w:rPr>
                <w:rFonts w:cs="Arial"/>
                <w:sz w:val="18"/>
                <w:szCs w:val="18"/>
              </w:rPr>
            </w:pPr>
            <w:r w:rsidRPr="001D41EA">
              <w:rPr>
                <w:rFonts w:cs="Arial"/>
                <w:sz w:val="18"/>
                <w:szCs w:val="18"/>
              </w:rPr>
              <w:t>348,793</w:t>
            </w:r>
          </w:p>
        </w:tc>
        <w:tc>
          <w:tcPr>
            <w:tcW w:w="1361" w:type="dxa"/>
            <w:tcBorders>
              <w:top w:val="nil"/>
              <w:left w:val="nil"/>
              <w:bottom w:val="nil"/>
              <w:right w:val="nil"/>
            </w:tcBorders>
            <w:shd w:val="clear" w:color="auto" w:fill="auto"/>
            <w:vAlign w:val="bottom"/>
          </w:tcPr>
          <w:p w14:paraId="6C1B15E3" w14:textId="69D9FA90" w:rsidR="009F0AF7" w:rsidRPr="001D41EA" w:rsidRDefault="009F0AF7" w:rsidP="001D41EA">
            <w:pPr>
              <w:spacing w:before="40" w:after="20"/>
              <w:jc w:val="right"/>
              <w:rPr>
                <w:rFonts w:cs="Arial"/>
                <w:sz w:val="18"/>
                <w:szCs w:val="18"/>
              </w:rPr>
            </w:pPr>
            <w:r w:rsidRPr="001D41EA">
              <w:rPr>
                <w:rFonts w:cs="Arial"/>
                <w:sz w:val="18"/>
                <w:szCs w:val="18"/>
              </w:rPr>
              <w:t>184,745</w:t>
            </w:r>
          </w:p>
        </w:tc>
        <w:tc>
          <w:tcPr>
            <w:tcW w:w="1361" w:type="dxa"/>
            <w:tcBorders>
              <w:top w:val="nil"/>
              <w:left w:val="nil"/>
              <w:bottom w:val="nil"/>
              <w:right w:val="nil"/>
            </w:tcBorders>
            <w:vAlign w:val="bottom"/>
          </w:tcPr>
          <w:p w14:paraId="6623A0F2" w14:textId="6A6E6311" w:rsidR="009F0AF7" w:rsidRPr="001D41EA" w:rsidRDefault="009F0AF7" w:rsidP="001D41EA">
            <w:pPr>
              <w:spacing w:before="40" w:after="20"/>
              <w:jc w:val="right"/>
              <w:rPr>
                <w:rFonts w:cs="Arial"/>
                <w:sz w:val="18"/>
                <w:szCs w:val="18"/>
              </w:rPr>
            </w:pPr>
            <w:r w:rsidRPr="001D41EA">
              <w:rPr>
                <w:rFonts w:cs="Arial"/>
                <w:sz w:val="18"/>
                <w:szCs w:val="18"/>
              </w:rPr>
              <w:t>209,762</w:t>
            </w:r>
          </w:p>
        </w:tc>
        <w:tc>
          <w:tcPr>
            <w:tcW w:w="1361" w:type="dxa"/>
            <w:tcBorders>
              <w:top w:val="nil"/>
              <w:left w:val="nil"/>
              <w:bottom w:val="nil"/>
              <w:right w:val="nil"/>
            </w:tcBorders>
            <w:vAlign w:val="bottom"/>
          </w:tcPr>
          <w:p w14:paraId="7FE24AF0" w14:textId="27DB6D93" w:rsidR="009F0AF7" w:rsidRPr="001D41EA" w:rsidRDefault="009F0AF7" w:rsidP="001D41EA">
            <w:pPr>
              <w:spacing w:before="40" w:after="20"/>
              <w:jc w:val="right"/>
              <w:rPr>
                <w:rFonts w:cs="Arial"/>
                <w:sz w:val="18"/>
                <w:szCs w:val="18"/>
              </w:rPr>
            </w:pPr>
            <w:r w:rsidRPr="001D41EA">
              <w:rPr>
                <w:rFonts w:cs="Arial"/>
                <w:sz w:val="18"/>
                <w:szCs w:val="18"/>
              </w:rPr>
              <w:t>472,167</w:t>
            </w:r>
          </w:p>
        </w:tc>
        <w:tc>
          <w:tcPr>
            <w:tcW w:w="1361" w:type="dxa"/>
            <w:tcBorders>
              <w:top w:val="nil"/>
              <w:left w:val="nil"/>
              <w:bottom w:val="nil"/>
              <w:right w:val="nil"/>
            </w:tcBorders>
            <w:shd w:val="clear" w:color="auto" w:fill="auto"/>
            <w:vAlign w:val="bottom"/>
          </w:tcPr>
          <w:p w14:paraId="2761D007" w14:textId="2807778C" w:rsidR="009F0AF7" w:rsidRPr="001D41EA" w:rsidRDefault="009F0AF7" w:rsidP="001D41EA">
            <w:pPr>
              <w:spacing w:before="40" w:after="20"/>
              <w:jc w:val="right"/>
              <w:rPr>
                <w:rFonts w:cs="Arial"/>
                <w:sz w:val="18"/>
                <w:szCs w:val="18"/>
              </w:rPr>
            </w:pPr>
            <w:r w:rsidRPr="001D41EA">
              <w:rPr>
                <w:rFonts w:cs="Arial"/>
                <w:sz w:val="18"/>
                <w:szCs w:val="18"/>
              </w:rPr>
              <w:t>271,037</w:t>
            </w:r>
          </w:p>
        </w:tc>
      </w:tr>
      <w:tr w:rsidR="009F0AF7" w:rsidRPr="001D41EA" w14:paraId="3354873F"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C671BCC" w14:textId="77777777" w:rsidR="009F0AF7" w:rsidRPr="001D41EA" w:rsidRDefault="009F0AF7" w:rsidP="001D41EA">
            <w:pPr>
              <w:spacing w:before="40" w:after="20"/>
              <w:rPr>
                <w:rFonts w:cs="Arial"/>
                <w:sz w:val="18"/>
                <w:szCs w:val="18"/>
              </w:rPr>
            </w:pPr>
            <w:r w:rsidRPr="001D41EA">
              <w:rPr>
                <w:rFonts w:cs="Arial"/>
                <w:sz w:val="18"/>
                <w:szCs w:val="18"/>
              </w:rPr>
              <w:t>Towong S</w:t>
            </w:r>
          </w:p>
        </w:tc>
        <w:tc>
          <w:tcPr>
            <w:tcW w:w="1361" w:type="dxa"/>
            <w:tcBorders>
              <w:top w:val="nil"/>
              <w:left w:val="single" w:sz="18" w:space="0" w:color="5F497A" w:themeColor="accent4" w:themeShade="BF"/>
              <w:bottom w:val="nil"/>
              <w:right w:val="nil"/>
            </w:tcBorders>
            <w:shd w:val="clear" w:color="auto" w:fill="auto"/>
            <w:vAlign w:val="bottom"/>
          </w:tcPr>
          <w:p w14:paraId="2AA24524" w14:textId="4181F2DA" w:rsidR="009F0AF7" w:rsidRPr="001D41EA" w:rsidRDefault="009F0AF7" w:rsidP="001D41EA">
            <w:pPr>
              <w:spacing w:before="40" w:after="20"/>
              <w:jc w:val="right"/>
              <w:rPr>
                <w:rFonts w:cs="Arial"/>
                <w:sz w:val="18"/>
                <w:szCs w:val="18"/>
              </w:rPr>
            </w:pPr>
            <w:r w:rsidRPr="001D41EA">
              <w:rPr>
                <w:rFonts w:cs="Arial"/>
                <w:sz w:val="18"/>
                <w:szCs w:val="18"/>
              </w:rPr>
              <w:t>101,719</w:t>
            </w:r>
          </w:p>
        </w:tc>
        <w:tc>
          <w:tcPr>
            <w:tcW w:w="1361" w:type="dxa"/>
            <w:tcBorders>
              <w:top w:val="nil"/>
              <w:left w:val="nil"/>
              <w:bottom w:val="nil"/>
              <w:right w:val="nil"/>
            </w:tcBorders>
            <w:shd w:val="clear" w:color="auto" w:fill="auto"/>
            <w:vAlign w:val="bottom"/>
          </w:tcPr>
          <w:p w14:paraId="2E433C5D" w14:textId="314E697E" w:rsidR="009F0AF7" w:rsidRPr="001D41EA" w:rsidRDefault="009F0AF7" w:rsidP="001D41EA">
            <w:pPr>
              <w:spacing w:before="40" w:after="20"/>
              <w:jc w:val="right"/>
              <w:rPr>
                <w:rFonts w:cs="Arial"/>
                <w:sz w:val="18"/>
                <w:szCs w:val="18"/>
              </w:rPr>
            </w:pPr>
            <w:r w:rsidRPr="001D41EA">
              <w:rPr>
                <w:rFonts w:cs="Arial"/>
                <w:sz w:val="18"/>
                <w:szCs w:val="18"/>
              </w:rPr>
              <w:t>62,924</w:t>
            </w:r>
          </w:p>
        </w:tc>
        <w:tc>
          <w:tcPr>
            <w:tcW w:w="1361" w:type="dxa"/>
            <w:tcBorders>
              <w:top w:val="nil"/>
              <w:left w:val="nil"/>
              <w:bottom w:val="nil"/>
              <w:right w:val="nil"/>
            </w:tcBorders>
            <w:vAlign w:val="bottom"/>
          </w:tcPr>
          <w:p w14:paraId="646F7DCC" w14:textId="2831C783" w:rsidR="009F0AF7" w:rsidRPr="001D41EA" w:rsidRDefault="009F0AF7" w:rsidP="001D41EA">
            <w:pPr>
              <w:spacing w:before="40" w:after="20"/>
              <w:jc w:val="right"/>
              <w:rPr>
                <w:rFonts w:cs="Arial"/>
                <w:sz w:val="18"/>
                <w:szCs w:val="18"/>
              </w:rPr>
            </w:pPr>
            <w:r w:rsidRPr="001D41EA">
              <w:rPr>
                <w:rFonts w:cs="Arial"/>
                <w:sz w:val="18"/>
                <w:szCs w:val="18"/>
              </w:rPr>
              <w:t>81,810</w:t>
            </w:r>
          </w:p>
        </w:tc>
        <w:tc>
          <w:tcPr>
            <w:tcW w:w="1361" w:type="dxa"/>
            <w:tcBorders>
              <w:top w:val="nil"/>
              <w:left w:val="nil"/>
              <w:bottom w:val="nil"/>
              <w:right w:val="nil"/>
            </w:tcBorders>
            <w:vAlign w:val="bottom"/>
          </w:tcPr>
          <w:p w14:paraId="2439D5ED" w14:textId="18BFC409" w:rsidR="009F0AF7" w:rsidRPr="001D41EA" w:rsidRDefault="009F0AF7" w:rsidP="001D41EA">
            <w:pPr>
              <w:spacing w:before="40" w:after="20"/>
              <w:jc w:val="right"/>
              <w:rPr>
                <w:rFonts w:cs="Arial"/>
                <w:sz w:val="18"/>
                <w:szCs w:val="18"/>
              </w:rPr>
            </w:pPr>
            <w:r w:rsidRPr="001D41EA">
              <w:rPr>
                <w:rFonts w:cs="Arial"/>
                <w:sz w:val="18"/>
                <w:szCs w:val="18"/>
              </w:rPr>
              <w:t>137,699</w:t>
            </w:r>
          </w:p>
        </w:tc>
        <w:tc>
          <w:tcPr>
            <w:tcW w:w="1361" w:type="dxa"/>
            <w:tcBorders>
              <w:top w:val="nil"/>
              <w:left w:val="nil"/>
              <w:bottom w:val="nil"/>
              <w:right w:val="nil"/>
            </w:tcBorders>
            <w:shd w:val="clear" w:color="auto" w:fill="auto"/>
            <w:vAlign w:val="bottom"/>
          </w:tcPr>
          <w:p w14:paraId="59D09E44" w14:textId="0FD03FC6" w:rsidR="009F0AF7" w:rsidRPr="001D41EA" w:rsidRDefault="009F0AF7" w:rsidP="001D41EA">
            <w:pPr>
              <w:spacing w:before="40" w:after="20"/>
              <w:jc w:val="right"/>
              <w:rPr>
                <w:rFonts w:cs="Arial"/>
                <w:sz w:val="18"/>
                <w:szCs w:val="18"/>
              </w:rPr>
            </w:pPr>
            <w:r w:rsidRPr="001D41EA">
              <w:rPr>
                <w:rFonts w:cs="Arial"/>
                <w:sz w:val="18"/>
                <w:szCs w:val="18"/>
              </w:rPr>
              <w:t>93,430</w:t>
            </w:r>
          </w:p>
        </w:tc>
      </w:tr>
      <w:tr w:rsidR="009F0AF7" w:rsidRPr="001D41EA" w14:paraId="5B32CD4A"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CD54EFB" w14:textId="77777777" w:rsidR="009F0AF7" w:rsidRPr="001D41EA" w:rsidRDefault="009F0AF7" w:rsidP="001D41EA">
            <w:pPr>
              <w:spacing w:before="40" w:after="20"/>
              <w:rPr>
                <w:rFonts w:cs="Arial"/>
                <w:sz w:val="18"/>
                <w:szCs w:val="18"/>
              </w:rPr>
            </w:pPr>
            <w:r w:rsidRPr="001D41EA">
              <w:rPr>
                <w:rFonts w:cs="Arial"/>
                <w:sz w:val="18"/>
                <w:szCs w:val="18"/>
              </w:rPr>
              <w:t>Wangaratta RC</w:t>
            </w:r>
          </w:p>
        </w:tc>
        <w:tc>
          <w:tcPr>
            <w:tcW w:w="1361" w:type="dxa"/>
            <w:tcBorders>
              <w:top w:val="nil"/>
              <w:left w:val="single" w:sz="18" w:space="0" w:color="5F497A" w:themeColor="accent4" w:themeShade="BF"/>
              <w:bottom w:val="nil"/>
              <w:right w:val="nil"/>
            </w:tcBorders>
            <w:shd w:val="clear" w:color="auto" w:fill="auto"/>
            <w:vAlign w:val="bottom"/>
          </w:tcPr>
          <w:p w14:paraId="2E43DDE2" w14:textId="432B52BD" w:rsidR="009F0AF7" w:rsidRPr="001D41EA" w:rsidRDefault="009F0AF7" w:rsidP="001D41EA">
            <w:pPr>
              <w:spacing w:before="40" w:after="20"/>
              <w:jc w:val="right"/>
              <w:rPr>
                <w:rFonts w:cs="Arial"/>
                <w:sz w:val="18"/>
                <w:szCs w:val="18"/>
              </w:rPr>
            </w:pPr>
            <w:r w:rsidRPr="001D41EA">
              <w:rPr>
                <w:rFonts w:cs="Arial"/>
                <w:sz w:val="18"/>
                <w:szCs w:val="18"/>
              </w:rPr>
              <w:t>488,720</w:t>
            </w:r>
          </w:p>
        </w:tc>
        <w:tc>
          <w:tcPr>
            <w:tcW w:w="1361" w:type="dxa"/>
            <w:tcBorders>
              <w:top w:val="nil"/>
              <w:left w:val="nil"/>
              <w:bottom w:val="nil"/>
              <w:right w:val="nil"/>
            </w:tcBorders>
            <w:shd w:val="clear" w:color="auto" w:fill="auto"/>
            <w:vAlign w:val="bottom"/>
          </w:tcPr>
          <w:p w14:paraId="7CA3F3C0" w14:textId="70120542" w:rsidR="009F0AF7" w:rsidRPr="001D41EA" w:rsidRDefault="009F0AF7" w:rsidP="001D41EA">
            <w:pPr>
              <w:spacing w:before="40" w:after="20"/>
              <w:jc w:val="right"/>
              <w:rPr>
                <w:rFonts w:cs="Arial"/>
                <w:sz w:val="18"/>
                <w:szCs w:val="18"/>
              </w:rPr>
            </w:pPr>
            <w:r w:rsidRPr="001D41EA">
              <w:rPr>
                <w:rFonts w:cs="Arial"/>
                <w:sz w:val="18"/>
                <w:szCs w:val="18"/>
              </w:rPr>
              <w:t>293,632</w:t>
            </w:r>
          </w:p>
        </w:tc>
        <w:tc>
          <w:tcPr>
            <w:tcW w:w="1361" w:type="dxa"/>
            <w:tcBorders>
              <w:top w:val="nil"/>
              <w:left w:val="nil"/>
              <w:bottom w:val="nil"/>
              <w:right w:val="nil"/>
            </w:tcBorders>
            <w:vAlign w:val="bottom"/>
          </w:tcPr>
          <w:p w14:paraId="38CB05FC" w14:textId="7E60A4B1" w:rsidR="009F0AF7" w:rsidRPr="001D41EA" w:rsidRDefault="009F0AF7" w:rsidP="001D41EA">
            <w:pPr>
              <w:spacing w:before="40" w:after="20"/>
              <w:jc w:val="right"/>
              <w:rPr>
                <w:rFonts w:cs="Arial"/>
                <w:sz w:val="18"/>
                <w:szCs w:val="18"/>
              </w:rPr>
            </w:pPr>
            <w:r w:rsidRPr="001D41EA">
              <w:rPr>
                <w:rFonts w:cs="Arial"/>
                <w:sz w:val="18"/>
                <w:szCs w:val="18"/>
              </w:rPr>
              <w:t>343,351</w:t>
            </w:r>
          </w:p>
        </w:tc>
        <w:tc>
          <w:tcPr>
            <w:tcW w:w="1361" w:type="dxa"/>
            <w:tcBorders>
              <w:top w:val="nil"/>
              <w:left w:val="nil"/>
              <w:bottom w:val="nil"/>
              <w:right w:val="nil"/>
            </w:tcBorders>
            <w:vAlign w:val="bottom"/>
          </w:tcPr>
          <w:p w14:paraId="5FB16A7D" w14:textId="5C9B13E8" w:rsidR="009F0AF7" w:rsidRPr="001D41EA" w:rsidRDefault="009F0AF7" w:rsidP="001D41EA">
            <w:pPr>
              <w:spacing w:before="40" w:after="20"/>
              <w:jc w:val="right"/>
              <w:rPr>
                <w:rFonts w:cs="Arial"/>
                <w:sz w:val="18"/>
                <w:szCs w:val="18"/>
              </w:rPr>
            </w:pPr>
            <w:r w:rsidRPr="001D41EA">
              <w:rPr>
                <w:rFonts w:cs="Arial"/>
                <w:sz w:val="18"/>
                <w:szCs w:val="18"/>
              </w:rPr>
              <w:t>661,588</w:t>
            </w:r>
          </w:p>
        </w:tc>
        <w:tc>
          <w:tcPr>
            <w:tcW w:w="1361" w:type="dxa"/>
            <w:tcBorders>
              <w:top w:val="nil"/>
              <w:left w:val="nil"/>
              <w:bottom w:val="nil"/>
              <w:right w:val="nil"/>
            </w:tcBorders>
            <w:shd w:val="clear" w:color="auto" w:fill="auto"/>
            <w:vAlign w:val="bottom"/>
          </w:tcPr>
          <w:p w14:paraId="344F245D" w14:textId="4457A3FE" w:rsidR="009F0AF7" w:rsidRPr="001D41EA" w:rsidRDefault="009F0AF7" w:rsidP="001D41EA">
            <w:pPr>
              <w:spacing w:before="40" w:after="20"/>
              <w:jc w:val="right"/>
              <w:rPr>
                <w:rFonts w:cs="Arial"/>
                <w:sz w:val="18"/>
                <w:szCs w:val="18"/>
              </w:rPr>
            </w:pPr>
            <w:r w:rsidRPr="001D41EA">
              <w:rPr>
                <w:rFonts w:cs="Arial"/>
                <w:sz w:val="18"/>
                <w:szCs w:val="18"/>
              </w:rPr>
              <w:t>395,886</w:t>
            </w:r>
          </w:p>
        </w:tc>
      </w:tr>
      <w:tr w:rsidR="009F0AF7" w:rsidRPr="001D41EA" w14:paraId="0C277A4C"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6FA70FD" w14:textId="77777777" w:rsidR="009F0AF7" w:rsidRPr="001D41EA" w:rsidRDefault="009F0AF7" w:rsidP="001D41EA">
            <w:pPr>
              <w:spacing w:before="40" w:after="20"/>
              <w:rPr>
                <w:rFonts w:cs="Arial"/>
                <w:sz w:val="18"/>
                <w:szCs w:val="18"/>
              </w:rPr>
            </w:pPr>
            <w:r w:rsidRPr="001D41EA">
              <w:rPr>
                <w:rFonts w:cs="Arial"/>
                <w:sz w:val="18"/>
                <w:szCs w:val="18"/>
              </w:rPr>
              <w:t>Warrnambool C</w:t>
            </w:r>
          </w:p>
        </w:tc>
        <w:tc>
          <w:tcPr>
            <w:tcW w:w="1361" w:type="dxa"/>
            <w:tcBorders>
              <w:top w:val="nil"/>
              <w:left w:val="single" w:sz="18" w:space="0" w:color="5F497A" w:themeColor="accent4" w:themeShade="BF"/>
              <w:bottom w:val="nil"/>
              <w:right w:val="nil"/>
            </w:tcBorders>
            <w:shd w:val="clear" w:color="auto" w:fill="auto"/>
            <w:vAlign w:val="bottom"/>
          </w:tcPr>
          <w:p w14:paraId="10CD8356" w14:textId="713B12A6" w:rsidR="009F0AF7" w:rsidRPr="001D41EA" w:rsidRDefault="009F0AF7" w:rsidP="001D41EA">
            <w:pPr>
              <w:spacing w:before="40" w:after="20"/>
              <w:jc w:val="right"/>
              <w:rPr>
                <w:rFonts w:cs="Arial"/>
                <w:sz w:val="18"/>
                <w:szCs w:val="18"/>
              </w:rPr>
            </w:pPr>
            <w:r w:rsidRPr="001D41EA">
              <w:rPr>
                <w:rFonts w:cs="Arial"/>
                <w:sz w:val="18"/>
                <w:szCs w:val="18"/>
              </w:rPr>
              <w:t>585,751</w:t>
            </w:r>
          </w:p>
        </w:tc>
        <w:tc>
          <w:tcPr>
            <w:tcW w:w="1361" w:type="dxa"/>
            <w:tcBorders>
              <w:top w:val="nil"/>
              <w:left w:val="nil"/>
              <w:bottom w:val="nil"/>
              <w:right w:val="nil"/>
            </w:tcBorders>
            <w:shd w:val="clear" w:color="auto" w:fill="auto"/>
            <w:vAlign w:val="bottom"/>
          </w:tcPr>
          <w:p w14:paraId="37344386" w14:textId="0247602C" w:rsidR="009F0AF7" w:rsidRPr="001D41EA" w:rsidRDefault="009F0AF7" w:rsidP="001D41EA">
            <w:pPr>
              <w:spacing w:before="40" w:after="20"/>
              <w:jc w:val="right"/>
              <w:rPr>
                <w:rFonts w:cs="Arial"/>
                <w:sz w:val="18"/>
                <w:szCs w:val="18"/>
              </w:rPr>
            </w:pPr>
            <w:r w:rsidRPr="001D41EA">
              <w:rPr>
                <w:rFonts w:cs="Arial"/>
                <w:sz w:val="18"/>
                <w:szCs w:val="18"/>
              </w:rPr>
              <w:t>355,404</w:t>
            </w:r>
          </w:p>
        </w:tc>
        <w:tc>
          <w:tcPr>
            <w:tcW w:w="1361" w:type="dxa"/>
            <w:tcBorders>
              <w:top w:val="nil"/>
              <w:left w:val="nil"/>
              <w:bottom w:val="nil"/>
              <w:right w:val="nil"/>
            </w:tcBorders>
            <w:vAlign w:val="bottom"/>
          </w:tcPr>
          <w:p w14:paraId="6B0F37E1" w14:textId="074120D3" w:rsidR="009F0AF7" w:rsidRPr="001D41EA" w:rsidRDefault="009F0AF7" w:rsidP="001D41EA">
            <w:pPr>
              <w:spacing w:before="40" w:after="20"/>
              <w:jc w:val="right"/>
              <w:rPr>
                <w:rFonts w:cs="Arial"/>
                <w:sz w:val="18"/>
                <w:szCs w:val="18"/>
              </w:rPr>
            </w:pPr>
            <w:r w:rsidRPr="001D41EA">
              <w:rPr>
                <w:rFonts w:cs="Arial"/>
                <w:sz w:val="18"/>
                <w:szCs w:val="18"/>
              </w:rPr>
              <w:t>353,494</w:t>
            </w:r>
          </w:p>
        </w:tc>
        <w:tc>
          <w:tcPr>
            <w:tcW w:w="1361" w:type="dxa"/>
            <w:tcBorders>
              <w:top w:val="nil"/>
              <w:left w:val="nil"/>
              <w:bottom w:val="nil"/>
              <w:right w:val="nil"/>
            </w:tcBorders>
            <w:vAlign w:val="bottom"/>
          </w:tcPr>
          <w:p w14:paraId="41DFA887" w14:textId="6894F1E7" w:rsidR="009F0AF7" w:rsidRPr="001D41EA" w:rsidRDefault="009F0AF7" w:rsidP="001D41EA">
            <w:pPr>
              <w:spacing w:before="40" w:after="20"/>
              <w:jc w:val="right"/>
              <w:rPr>
                <w:rFonts w:cs="Arial"/>
                <w:sz w:val="18"/>
                <w:szCs w:val="18"/>
              </w:rPr>
            </w:pPr>
            <w:r w:rsidRPr="001D41EA">
              <w:rPr>
                <w:rFonts w:cs="Arial"/>
                <w:sz w:val="18"/>
                <w:szCs w:val="18"/>
              </w:rPr>
              <w:t>792,941</w:t>
            </w:r>
          </w:p>
        </w:tc>
        <w:tc>
          <w:tcPr>
            <w:tcW w:w="1361" w:type="dxa"/>
            <w:tcBorders>
              <w:top w:val="nil"/>
              <w:left w:val="nil"/>
              <w:bottom w:val="nil"/>
              <w:right w:val="nil"/>
            </w:tcBorders>
            <w:shd w:val="clear" w:color="auto" w:fill="auto"/>
            <w:vAlign w:val="bottom"/>
          </w:tcPr>
          <w:p w14:paraId="3C510B33" w14:textId="3511250B" w:rsidR="009F0AF7" w:rsidRPr="001D41EA" w:rsidRDefault="009F0AF7" w:rsidP="001D41EA">
            <w:pPr>
              <w:spacing w:before="40" w:after="20"/>
              <w:jc w:val="right"/>
              <w:rPr>
                <w:rFonts w:cs="Arial"/>
                <w:sz w:val="18"/>
                <w:szCs w:val="18"/>
              </w:rPr>
            </w:pPr>
            <w:r w:rsidRPr="001D41EA">
              <w:rPr>
                <w:rFonts w:cs="Arial"/>
                <w:sz w:val="18"/>
                <w:szCs w:val="18"/>
              </w:rPr>
              <w:t>459,518</w:t>
            </w:r>
          </w:p>
        </w:tc>
      </w:tr>
      <w:tr w:rsidR="009F0AF7" w:rsidRPr="001D41EA" w14:paraId="405AC645"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18B761F" w14:textId="77777777" w:rsidR="009F0AF7" w:rsidRPr="001D41EA" w:rsidRDefault="009F0AF7" w:rsidP="001D41EA">
            <w:pPr>
              <w:spacing w:before="40" w:after="20"/>
              <w:rPr>
                <w:rFonts w:cs="Arial"/>
                <w:sz w:val="18"/>
                <w:szCs w:val="18"/>
              </w:rPr>
            </w:pPr>
            <w:r w:rsidRPr="001D41EA">
              <w:rPr>
                <w:rFonts w:cs="Arial"/>
                <w:sz w:val="18"/>
                <w:szCs w:val="18"/>
              </w:rPr>
              <w:t>Wellington S</w:t>
            </w:r>
          </w:p>
        </w:tc>
        <w:tc>
          <w:tcPr>
            <w:tcW w:w="1361" w:type="dxa"/>
            <w:tcBorders>
              <w:top w:val="nil"/>
              <w:left w:val="single" w:sz="18" w:space="0" w:color="5F497A" w:themeColor="accent4" w:themeShade="BF"/>
              <w:bottom w:val="nil"/>
              <w:right w:val="nil"/>
            </w:tcBorders>
            <w:shd w:val="clear" w:color="auto" w:fill="auto"/>
            <w:vAlign w:val="bottom"/>
          </w:tcPr>
          <w:p w14:paraId="3E3F6C29" w14:textId="6DC6E465" w:rsidR="009F0AF7" w:rsidRPr="001D41EA" w:rsidRDefault="009F0AF7" w:rsidP="001D41EA">
            <w:pPr>
              <w:spacing w:before="40" w:after="20"/>
              <w:jc w:val="right"/>
              <w:rPr>
                <w:rFonts w:cs="Arial"/>
                <w:sz w:val="18"/>
                <w:szCs w:val="18"/>
              </w:rPr>
            </w:pPr>
            <w:r w:rsidRPr="001D41EA">
              <w:rPr>
                <w:rFonts w:cs="Arial"/>
                <w:sz w:val="18"/>
                <w:szCs w:val="18"/>
              </w:rPr>
              <w:t>739,607</w:t>
            </w:r>
          </w:p>
        </w:tc>
        <w:tc>
          <w:tcPr>
            <w:tcW w:w="1361" w:type="dxa"/>
            <w:tcBorders>
              <w:top w:val="nil"/>
              <w:left w:val="nil"/>
              <w:bottom w:val="nil"/>
              <w:right w:val="nil"/>
            </w:tcBorders>
            <w:shd w:val="clear" w:color="auto" w:fill="auto"/>
            <w:vAlign w:val="bottom"/>
          </w:tcPr>
          <w:p w14:paraId="22254620" w14:textId="0234E8E3" w:rsidR="009F0AF7" w:rsidRPr="001D41EA" w:rsidRDefault="009F0AF7" w:rsidP="001D41EA">
            <w:pPr>
              <w:spacing w:before="40" w:after="20"/>
              <w:jc w:val="right"/>
              <w:rPr>
                <w:rFonts w:cs="Arial"/>
                <w:sz w:val="18"/>
                <w:szCs w:val="18"/>
              </w:rPr>
            </w:pPr>
            <w:r w:rsidRPr="001D41EA">
              <w:rPr>
                <w:rFonts w:cs="Arial"/>
                <w:sz w:val="18"/>
                <w:szCs w:val="18"/>
              </w:rPr>
              <w:t>431,215</w:t>
            </w:r>
          </w:p>
        </w:tc>
        <w:tc>
          <w:tcPr>
            <w:tcW w:w="1361" w:type="dxa"/>
            <w:tcBorders>
              <w:top w:val="nil"/>
              <w:left w:val="nil"/>
              <w:bottom w:val="nil"/>
              <w:right w:val="nil"/>
            </w:tcBorders>
            <w:vAlign w:val="bottom"/>
          </w:tcPr>
          <w:p w14:paraId="0AFFFC51" w14:textId="42D6F90C" w:rsidR="009F0AF7" w:rsidRPr="001D41EA" w:rsidRDefault="009F0AF7" w:rsidP="001D41EA">
            <w:pPr>
              <w:spacing w:before="40" w:after="20"/>
              <w:jc w:val="right"/>
              <w:rPr>
                <w:rFonts w:cs="Arial"/>
                <w:sz w:val="18"/>
                <w:szCs w:val="18"/>
              </w:rPr>
            </w:pPr>
            <w:r w:rsidRPr="001D41EA">
              <w:rPr>
                <w:rFonts w:cs="Arial"/>
                <w:sz w:val="18"/>
                <w:szCs w:val="18"/>
              </w:rPr>
              <w:t>497,347</w:t>
            </w:r>
          </w:p>
        </w:tc>
        <w:tc>
          <w:tcPr>
            <w:tcW w:w="1361" w:type="dxa"/>
            <w:tcBorders>
              <w:top w:val="nil"/>
              <w:left w:val="nil"/>
              <w:bottom w:val="nil"/>
              <w:right w:val="nil"/>
            </w:tcBorders>
            <w:vAlign w:val="bottom"/>
          </w:tcPr>
          <w:p w14:paraId="197F55DE" w14:textId="4C1D1E1F" w:rsidR="009F0AF7" w:rsidRPr="001D41EA" w:rsidRDefault="009F0AF7" w:rsidP="001D41EA">
            <w:pPr>
              <w:spacing w:before="40" w:after="20"/>
              <w:jc w:val="right"/>
              <w:rPr>
                <w:rFonts w:cs="Arial"/>
                <w:sz w:val="18"/>
                <w:szCs w:val="18"/>
              </w:rPr>
            </w:pPr>
            <w:r w:rsidRPr="001D41EA">
              <w:rPr>
                <w:rFonts w:cs="Arial"/>
                <w:sz w:val="18"/>
                <w:szCs w:val="18"/>
              </w:rPr>
              <w:t>1,001,219</w:t>
            </w:r>
          </w:p>
        </w:tc>
        <w:tc>
          <w:tcPr>
            <w:tcW w:w="1361" w:type="dxa"/>
            <w:tcBorders>
              <w:top w:val="nil"/>
              <w:left w:val="nil"/>
              <w:bottom w:val="nil"/>
              <w:right w:val="nil"/>
            </w:tcBorders>
            <w:shd w:val="clear" w:color="auto" w:fill="auto"/>
            <w:vAlign w:val="bottom"/>
          </w:tcPr>
          <w:p w14:paraId="450DE018" w14:textId="14197729" w:rsidR="009F0AF7" w:rsidRPr="001D41EA" w:rsidRDefault="009F0AF7" w:rsidP="001D41EA">
            <w:pPr>
              <w:spacing w:before="40" w:after="20"/>
              <w:jc w:val="right"/>
              <w:rPr>
                <w:rFonts w:cs="Arial"/>
                <w:sz w:val="18"/>
                <w:szCs w:val="18"/>
              </w:rPr>
            </w:pPr>
            <w:r w:rsidRPr="001D41EA">
              <w:rPr>
                <w:rFonts w:cs="Arial"/>
                <w:sz w:val="18"/>
                <w:szCs w:val="18"/>
              </w:rPr>
              <w:t>670,002</w:t>
            </w:r>
          </w:p>
        </w:tc>
      </w:tr>
      <w:tr w:rsidR="009F0AF7" w:rsidRPr="001D41EA" w14:paraId="477683F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5751ED4" w14:textId="77777777" w:rsidR="009F0AF7" w:rsidRPr="001D41EA" w:rsidRDefault="009F0AF7" w:rsidP="001D41EA">
            <w:pPr>
              <w:spacing w:before="40" w:after="20"/>
              <w:rPr>
                <w:rFonts w:cs="Arial"/>
                <w:sz w:val="18"/>
                <w:szCs w:val="18"/>
              </w:rPr>
            </w:pPr>
            <w:r w:rsidRPr="001D41EA">
              <w:rPr>
                <w:rFonts w:cs="Arial"/>
                <w:sz w:val="18"/>
                <w:szCs w:val="18"/>
              </w:rPr>
              <w:t>West Wimmera S</w:t>
            </w:r>
          </w:p>
        </w:tc>
        <w:tc>
          <w:tcPr>
            <w:tcW w:w="1361" w:type="dxa"/>
            <w:tcBorders>
              <w:top w:val="nil"/>
              <w:left w:val="single" w:sz="18" w:space="0" w:color="5F497A" w:themeColor="accent4" w:themeShade="BF"/>
              <w:bottom w:val="nil"/>
              <w:right w:val="nil"/>
            </w:tcBorders>
            <w:shd w:val="clear" w:color="auto" w:fill="auto"/>
            <w:vAlign w:val="bottom"/>
          </w:tcPr>
          <w:p w14:paraId="292C9C16" w14:textId="2FFD28F3" w:rsidR="009F0AF7" w:rsidRPr="001D41EA" w:rsidRDefault="009F0AF7" w:rsidP="001D41EA">
            <w:pPr>
              <w:spacing w:before="40" w:after="20"/>
              <w:jc w:val="right"/>
              <w:rPr>
                <w:rFonts w:cs="Arial"/>
                <w:sz w:val="18"/>
                <w:szCs w:val="18"/>
              </w:rPr>
            </w:pPr>
            <w:r w:rsidRPr="001D41EA">
              <w:rPr>
                <w:rFonts w:cs="Arial"/>
                <w:sz w:val="18"/>
                <w:szCs w:val="18"/>
              </w:rPr>
              <w:t>64,889</w:t>
            </w:r>
          </w:p>
        </w:tc>
        <w:tc>
          <w:tcPr>
            <w:tcW w:w="1361" w:type="dxa"/>
            <w:tcBorders>
              <w:top w:val="nil"/>
              <w:left w:val="nil"/>
              <w:bottom w:val="nil"/>
              <w:right w:val="nil"/>
            </w:tcBorders>
            <w:shd w:val="clear" w:color="auto" w:fill="auto"/>
            <w:vAlign w:val="bottom"/>
          </w:tcPr>
          <w:p w14:paraId="2F6CAF37" w14:textId="1E18CFF1" w:rsidR="009F0AF7" w:rsidRPr="001D41EA" w:rsidRDefault="009F0AF7" w:rsidP="001D41EA">
            <w:pPr>
              <w:spacing w:before="40" w:after="20"/>
              <w:jc w:val="right"/>
              <w:rPr>
                <w:rFonts w:cs="Arial"/>
                <w:sz w:val="18"/>
                <w:szCs w:val="18"/>
              </w:rPr>
            </w:pPr>
            <w:r w:rsidRPr="001D41EA">
              <w:rPr>
                <w:rFonts w:cs="Arial"/>
                <w:sz w:val="18"/>
                <w:szCs w:val="18"/>
              </w:rPr>
              <w:t>39,243</w:t>
            </w:r>
          </w:p>
        </w:tc>
        <w:tc>
          <w:tcPr>
            <w:tcW w:w="1361" w:type="dxa"/>
            <w:tcBorders>
              <w:top w:val="nil"/>
              <w:left w:val="nil"/>
              <w:bottom w:val="nil"/>
              <w:right w:val="nil"/>
            </w:tcBorders>
            <w:vAlign w:val="bottom"/>
          </w:tcPr>
          <w:p w14:paraId="778AA5CC" w14:textId="38EE05FA" w:rsidR="009F0AF7" w:rsidRPr="001D41EA" w:rsidRDefault="009F0AF7" w:rsidP="001D41EA">
            <w:pPr>
              <w:spacing w:before="40" w:after="20"/>
              <w:jc w:val="right"/>
              <w:rPr>
                <w:rFonts w:cs="Arial"/>
                <w:sz w:val="18"/>
                <w:szCs w:val="18"/>
              </w:rPr>
            </w:pPr>
            <w:r w:rsidRPr="001D41EA">
              <w:rPr>
                <w:rFonts w:cs="Arial"/>
                <w:sz w:val="18"/>
                <w:szCs w:val="18"/>
              </w:rPr>
              <w:t>46,816</w:t>
            </w:r>
          </w:p>
        </w:tc>
        <w:tc>
          <w:tcPr>
            <w:tcW w:w="1361" w:type="dxa"/>
            <w:tcBorders>
              <w:top w:val="nil"/>
              <w:left w:val="nil"/>
              <w:bottom w:val="nil"/>
              <w:right w:val="nil"/>
            </w:tcBorders>
            <w:vAlign w:val="bottom"/>
          </w:tcPr>
          <w:p w14:paraId="1D0774A1" w14:textId="1E680EDB" w:rsidR="009F0AF7" w:rsidRPr="001D41EA" w:rsidRDefault="009F0AF7" w:rsidP="001D41EA">
            <w:pPr>
              <w:spacing w:before="40" w:after="20"/>
              <w:jc w:val="right"/>
              <w:rPr>
                <w:rFonts w:cs="Arial"/>
                <w:sz w:val="18"/>
                <w:szCs w:val="18"/>
              </w:rPr>
            </w:pPr>
            <w:r w:rsidRPr="001D41EA">
              <w:rPr>
                <w:rFonts w:cs="Arial"/>
                <w:sz w:val="18"/>
                <w:szCs w:val="18"/>
              </w:rPr>
              <w:t>87,842</w:t>
            </w:r>
          </w:p>
        </w:tc>
        <w:tc>
          <w:tcPr>
            <w:tcW w:w="1361" w:type="dxa"/>
            <w:tcBorders>
              <w:top w:val="nil"/>
              <w:left w:val="nil"/>
              <w:bottom w:val="nil"/>
              <w:right w:val="nil"/>
            </w:tcBorders>
            <w:shd w:val="clear" w:color="auto" w:fill="auto"/>
            <w:vAlign w:val="bottom"/>
          </w:tcPr>
          <w:p w14:paraId="4211FF28" w14:textId="190EA288" w:rsidR="009F0AF7" w:rsidRPr="001D41EA" w:rsidRDefault="009F0AF7" w:rsidP="001D41EA">
            <w:pPr>
              <w:spacing w:before="40" w:after="20"/>
              <w:jc w:val="right"/>
              <w:rPr>
                <w:rFonts w:cs="Arial"/>
                <w:sz w:val="18"/>
                <w:szCs w:val="18"/>
              </w:rPr>
            </w:pPr>
            <w:r w:rsidRPr="001D41EA">
              <w:rPr>
                <w:rFonts w:cs="Arial"/>
                <w:sz w:val="18"/>
                <w:szCs w:val="18"/>
              </w:rPr>
              <w:t>65,506</w:t>
            </w:r>
          </w:p>
        </w:tc>
      </w:tr>
      <w:tr w:rsidR="009F0AF7" w:rsidRPr="001D41EA" w14:paraId="65454B5B"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8B24E50" w14:textId="77777777" w:rsidR="009F0AF7" w:rsidRPr="001D41EA" w:rsidRDefault="009F0AF7" w:rsidP="001D41EA">
            <w:pPr>
              <w:spacing w:before="40" w:after="20"/>
              <w:rPr>
                <w:rFonts w:cs="Arial"/>
                <w:sz w:val="18"/>
                <w:szCs w:val="18"/>
              </w:rPr>
            </w:pPr>
            <w:r w:rsidRPr="001D41EA">
              <w:rPr>
                <w:rFonts w:cs="Arial"/>
                <w:sz w:val="18"/>
                <w:szCs w:val="18"/>
              </w:rPr>
              <w:t>Whitehorse C</w:t>
            </w:r>
          </w:p>
        </w:tc>
        <w:tc>
          <w:tcPr>
            <w:tcW w:w="1361" w:type="dxa"/>
            <w:tcBorders>
              <w:top w:val="nil"/>
              <w:left w:val="single" w:sz="18" w:space="0" w:color="5F497A" w:themeColor="accent4" w:themeShade="BF"/>
              <w:bottom w:val="nil"/>
              <w:right w:val="nil"/>
            </w:tcBorders>
            <w:shd w:val="clear" w:color="auto" w:fill="auto"/>
            <w:vAlign w:val="bottom"/>
          </w:tcPr>
          <w:p w14:paraId="5B731EE3" w14:textId="617DED02" w:rsidR="009F0AF7" w:rsidRPr="001D41EA" w:rsidRDefault="009F0AF7" w:rsidP="001D41EA">
            <w:pPr>
              <w:spacing w:before="40" w:after="20"/>
              <w:jc w:val="right"/>
              <w:rPr>
                <w:rFonts w:cs="Arial"/>
                <w:sz w:val="18"/>
                <w:szCs w:val="18"/>
              </w:rPr>
            </w:pPr>
            <w:r w:rsidRPr="001D41EA">
              <w:rPr>
                <w:rFonts w:cs="Arial"/>
                <w:sz w:val="18"/>
                <w:szCs w:val="18"/>
              </w:rPr>
              <w:t>2,960,444</w:t>
            </w:r>
          </w:p>
        </w:tc>
        <w:tc>
          <w:tcPr>
            <w:tcW w:w="1361" w:type="dxa"/>
            <w:tcBorders>
              <w:top w:val="nil"/>
              <w:left w:val="nil"/>
              <w:bottom w:val="nil"/>
              <w:right w:val="nil"/>
            </w:tcBorders>
            <w:shd w:val="clear" w:color="auto" w:fill="auto"/>
            <w:vAlign w:val="bottom"/>
          </w:tcPr>
          <w:p w14:paraId="6A74E3C5" w14:textId="36FA4902" w:rsidR="009F0AF7" w:rsidRPr="001D41EA" w:rsidRDefault="009F0AF7" w:rsidP="001D41EA">
            <w:pPr>
              <w:spacing w:before="40" w:after="20"/>
              <w:jc w:val="right"/>
              <w:rPr>
                <w:rFonts w:cs="Arial"/>
                <w:sz w:val="18"/>
                <w:szCs w:val="18"/>
              </w:rPr>
            </w:pPr>
            <w:r w:rsidRPr="001D41EA">
              <w:rPr>
                <w:rFonts w:cs="Arial"/>
                <w:sz w:val="18"/>
                <w:szCs w:val="18"/>
              </w:rPr>
              <w:t>2,164,856</w:t>
            </w:r>
          </w:p>
        </w:tc>
        <w:tc>
          <w:tcPr>
            <w:tcW w:w="1361" w:type="dxa"/>
            <w:tcBorders>
              <w:top w:val="nil"/>
              <w:left w:val="nil"/>
              <w:bottom w:val="nil"/>
              <w:right w:val="nil"/>
            </w:tcBorders>
            <w:vAlign w:val="bottom"/>
          </w:tcPr>
          <w:p w14:paraId="2152FFB1" w14:textId="3ACF9F0E" w:rsidR="009F0AF7" w:rsidRPr="001D41EA" w:rsidRDefault="009F0AF7" w:rsidP="001D41EA">
            <w:pPr>
              <w:spacing w:before="40" w:after="20"/>
              <w:jc w:val="right"/>
              <w:rPr>
                <w:rFonts w:cs="Arial"/>
                <w:sz w:val="18"/>
                <w:szCs w:val="18"/>
              </w:rPr>
            </w:pPr>
            <w:r w:rsidRPr="001D41EA">
              <w:rPr>
                <w:rFonts w:cs="Arial"/>
                <w:sz w:val="18"/>
                <w:szCs w:val="18"/>
              </w:rPr>
              <w:t>1,760,950</w:t>
            </w:r>
          </w:p>
        </w:tc>
        <w:tc>
          <w:tcPr>
            <w:tcW w:w="1361" w:type="dxa"/>
            <w:tcBorders>
              <w:top w:val="nil"/>
              <w:left w:val="nil"/>
              <w:bottom w:val="nil"/>
              <w:right w:val="nil"/>
            </w:tcBorders>
            <w:vAlign w:val="bottom"/>
          </w:tcPr>
          <w:p w14:paraId="0827FE33" w14:textId="4A15A0F2" w:rsidR="009F0AF7" w:rsidRPr="001D41EA" w:rsidRDefault="009F0AF7" w:rsidP="001D41EA">
            <w:pPr>
              <w:spacing w:before="40" w:after="20"/>
              <w:jc w:val="right"/>
              <w:rPr>
                <w:rFonts w:cs="Arial"/>
                <w:sz w:val="18"/>
                <w:szCs w:val="18"/>
              </w:rPr>
            </w:pPr>
            <w:r w:rsidRPr="001D41EA">
              <w:rPr>
                <w:rFonts w:cs="Arial"/>
                <w:sz w:val="18"/>
                <w:szCs w:val="18"/>
              </w:rPr>
              <w:t>4,007,605</w:t>
            </w:r>
          </w:p>
        </w:tc>
        <w:tc>
          <w:tcPr>
            <w:tcW w:w="1361" w:type="dxa"/>
            <w:tcBorders>
              <w:top w:val="nil"/>
              <w:left w:val="nil"/>
              <w:bottom w:val="nil"/>
              <w:right w:val="nil"/>
            </w:tcBorders>
            <w:shd w:val="clear" w:color="auto" w:fill="auto"/>
            <w:vAlign w:val="bottom"/>
          </w:tcPr>
          <w:p w14:paraId="014F964A" w14:textId="3ACC3AFB" w:rsidR="009F0AF7" w:rsidRPr="001D41EA" w:rsidRDefault="009F0AF7" w:rsidP="001D41EA">
            <w:pPr>
              <w:spacing w:before="40" w:after="20"/>
              <w:jc w:val="right"/>
              <w:rPr>
                <w:rFonts w:cs="Arial"/>
                <w:sz w:val="18"/>
                <w:szCs w:val="18"/>
              </w:rPr>
            </w:pPr>
            <w:r w:rsidRPr="001D41EA">
              <w:rPr>
                <w:rFonts w:cs="Arial"/>
                <w:sz w:val="18"/>
                <w:szCs w:val="18"/>
              </w:rPr>
              <w:t>2,031,858</w:t>
            </w:r>
          </w:p>
        </w:tc>
      </w:tr>
      <w:tr w:rsidR="009F0AF7" w:rsidRPr="001D41EA" w14:paraId="31FB3EB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E68BDEC" w14:textId="77777777" w:rsidR="009F0AF7" w:rsidRPr="001D41EA" w:rsidRDefault="009F0AF7" w:rsidP="001D41EA">
            <w:pPr>
              <w:spacing w:before="40" w:after="20"/>
              <w:rPr>
                <w:rFonts w:cs="Arial"/>
                <w:sz w:val="18"/>
                <w:szCs w:val="18"/>
              </w:rPr>
            </w:pPr>
            <w:r w:rsidRPr="001D41EA">
              <w:rPr>
                <w:rFonts w:cs="Arial"/>
                <w:sz w:val="18"/>
                <w:szCs w:val="18"/>
              </w:rPr>
              <w:t>Whittlesea C</w:t>
            </w:r>
          </w:p>
        </w:tc>
        <w:tc>
          <w:tcPr>
            <w:tcW w:w="1361" w:type="dxa"/>
            <w:tcBorders>
              <w:top w:val="nil"/>
              <w:left w:val="single" w:sz="18" w:space="0" w:color="5F497A" w:themeColor="accent4" w:themeShade="BF"/>
              <w:bottom w:val="nil"/>
              <w:right w:val="nil"/>
            </w:tcBorders>
            <w:shd w:val="clear" w:color="auto" w:fill="auto"/>
            <w:vAlign w:val="bottom"/>
          </w:tcPr>
          <w:p w14:paraId="034AE034" w14:textId="47FF8B92" w:rsidR="009F0AF7" w:rsidRPr="001D41EA" w:rsidRDefault="009F0AF7" w:rsidP="001D41EA">
            <w:pPr>
              <w:spacing w:before="40" w:after="20"/>
              <w:jc w:val="right"/>
              <w:rPr>
                <w:rFonts w:cs="Arial"/>
                <w:sz w:val="18"/>
                <w:szCs w:val="18"/>
              </w:rPr>
            </w:pPr>
            <w:r w:rsidRPr="001D41EA">
              <w:rPr>
                <w:rFonts w:cs="Arial"/>
                <w:sz w:val="18"/>
                <w:szCs w:val="18"/>
              </w:rPr>
              <w:t>3,752,254</w:t>
            </w:r>
          </w:p>
        </w:tc>
        <w:tc>
          <w:tcPr>
            <w:tcW w:w="1361" w:type="dxa"/>
            <w:tcBorders>
              <w:top w:val="nil"/>
              <w:left w:val="nil"/>
              <w:bottom w:val="nil"/>
              <w:right w:val="nil"/>
            </w:tcBorders>
            <w:shd w:val="clear" w:color="auto" w:fill="auto"/>
            <w:vAlign w:val="bottom"/>
          </w:tcPr>
          <w:p w14:paraId="6A87D9B8" w14:textId="319A3875" w:rsidR="009F0AF7" w:rsidRPr="001D41EA" w:rsidRDefault="009F0AF7" w:rsidP="001D41EA">
            <w:pPr>
              <w:spacing w:before="40" w:after="20"/>
              <w:jc w:val="right"/>
              <w:rPr>
                <w:rFonts w:cs="Arial"/>
                <w:sz w:val="18"/>
                <w:szCs w:val="18"/>
              </w:rPr>
            </w:pPr>
            <w:r w:rsidRPr="001D41EA">
              <w:rPr>
                <w:rFonts w:cs="Arial"/>
                <w:sz w:val="18"/>
                <w:szCs w:val="18"/>
              </w:rPr>
              <w:t>2,313,755</w:t>
            </w:r>
          </w:p>
        </w:tc>
        <w:tc>
          <w:tcPr>
            <w:tcW w:w="1361" w:type="dxa"/>
            <w:tcBorders>
              <w:top w:val="nil"/>
              <w:left w:val="nil"/>
              <w:bottom w:val="nil"/>
              <w:right w:val="nil"/>
            </w:tcBorders>
            <w:vAlign w:val="bottom"/>
          </w:tcPr>
          <w:p w14:paraId="78B855D6" w14:textId="0474A0DF" w:rsidR="009F0AF7" w:rsidRPr="001D41EA" w:rsidRDefault="009F0AF7" w:rsidP="001D41EA">
            <w:pPr>
              <w:spacing w:before="40" w:after="20"/>
              <w:jc w:val="right"/>
              <w:rPr>
                <w:rFonts w:cs="Arial"/>
                <w:sz w:val="18"/>
                <w:szCs w:val="18"/>
              </w:rPr>
            </w:pPr>
            <w:r w:rsidRPr="001D41EA">
              <w:rPr>
                <w:rFonts w:cs="Arial"/>
                <w:sz w:val="18"/>
                <w:szCs w:val="18"/>
              </w:rPr>
              <w:t>1,810,727</w:t>
            </w:r>
          </w:p>
        </w:tc>
        <w:tc>
          <w:tcPr>
            <w:tcW w:w="1361" w:type="dxa"/>
            <w:tcBorders>
              <w:top w:val="nil"/>
              <w:left w:val="nil"/>
              <w:bottom w:val="nil"/>
              <w:right w:val="nil"/>
            </w:tcBorders>
            <w:vAlign w:val="bottom"/>
          </w:tcPr>
          <w:p w14:paraId="52C1FC76" w14:textId="094C3F9D" w:rsidR="009F0AF7" w:rsidRPr="001D41EA" w:rsidRDefault="009F0AF7" w:rsidP="001D41EA">
            <w:pPr>
              <w:spacing w:before="40" w:after="20"/>
              <w:jc w:val="right"/>
              <w:rPr>
                <w:rFonts w:cs="Arial"/>
                <w:sz w:val="18"/>
                <w:szCs w:val="18"/>
              </w:rPr>
            </w:pPr>
            <w:r w:rsidRPr="001D41EA">
              <w:rPr>
                <w:rFonts w:cs="Arial"/>
                <w:sz w:val="18"/>
                <w:szCs w:val="18"/>
              </w:rPr>
              <w:t>5,079,493</w:t>
            </w:r>
          </w:p>
        </w:tc>
        <w:tc>
          <w:tcPr>
            <w:tcW w:w="1361" w:type="dxa"/>
            <w:tcBorders>
              <w:top w:val="nil"/>
              <w:left w:val="nil"/>
              <w:bottom w:val="nil"/>
              <w:right w:val="nil"/>
            </w:tcBorders>
            <w:shd w:val="clear" w:color="auto" w:fill="auto"/>
            <w:vAlign w:val="bottom"/>
          </w:tcPr>
          <w:p w14:paraId="76FF0F4F" w14:textId="4D313124" w:rsidR="009F0AF7" w:rsidRPr="001D41EA" w:rsidRDefault="009F0AF7" w:rsidP="001D41EA">
            <w:pPr>
              <w:spacing w:before="40" w:after="20"/>
              <w:jc w:val="right"/>
              <w:rPr>
                <w:rFonts w:cs="Arial"/>
                <w:sz w:val="18"/>
                <w:szCs w:val="18"/>
              </w:rPr>
            </w:pPr>
            <w:r w:rsidRPr="001D41EA">
              <w:rPr>
                <w:rFonts w:cs="Arial"/>
                <w:sz w:val="18"/>
                <w:szCs w:val="18"/>
              </w:rPr>
              <w:t>2,274,183</w:t>
            </w:r>
          </w:p>
        </w:tc>
      </w:tr>
      <w:tr w:rsidR="009F0AF7" w:rsidRPr="001D41EA" w14:paraId="37E56146"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EA2A803" w14:textId="77777777" w:rsidR="009F0AF7" w:rsidRPr="001D41EA" w:rsidRDefault="009F0AF7" w:rsidP="001D41EA">
            <w:pPr>
              <w:spacing w:before="40" w:after="20"/>
              <w:rPr>
                <w:rFonts w:cs="Arial"/>
                <w:sz w:val="18"/>
                <w:szCs w:val="18"/>
              </w:rPr>
            </w:pPr>
            <w:r w:rsidRPr="001D41EA">
              <w:rPr>
                <w:rFonts w:cs="Arial"/>
                <w:sz w:val="18"/>
                <w:szCs w:val="18"/>
              </w:rPr>
              <w:t>Wodonga C</w:t>
            </w:r>
          </w:p>
        </w:tc>
        <w:tc>
          <w:tcPr>
            <w:tcW w:w="1361" w:type="dxa"/>
            <w:tcBorders>
              <w:top w:val="nil"/>
              <w:left w:val="single" w:sz="18" w:space="0" w:color="5F497A" w:themeColor="accent4" w:themeShade="BF"/>
              <w:bottom w:val="nil"/>
              <w:right w:val="nil"/>
            </w:tcBorders>
            <w:shd w:val="clear" w:color="auto" w:fill="auto"/>
            <w:vAlign w:val="bottom"/>
          </w:tcPr>
          <w:p w14:paraId="11143C48" w14:textId="73371A60" w:rsidR="009F0AF7" w:rsidRPr="001D41EA" w:rsidRDefault="009F0AF7" w:rsidP="001D41EA">
            <w:pPr>
              <w:spacing w:before="40" w:after="20"/>
              <w:jc w:val="right"/>
              <w:rPr>
                <w:rFonts w:cs="Arial"/>
                <w:sz w:val="18"/>
                <w:szCs w:val="18"/>
              </w:rPr>
            </w:pPr>
            <w:r w:rsidRPr="001D41EA">
              <w:rPr>
                <w:rFonts w:cs="Arial"/>
                <w:sz w:val="18"/>
                <w:szCs w:val="18"/>
              </w:rPr>
              <w:t>696,090</w:t>
            </w:r>
          </w:p>
        </w:tc>
        <w:tc>
          <w:tcPr>
            <w:tcW w:w="1361" w:type="dxa"/>
            <w:tcBorders>
              <w:top w:val="nil"/>
              <w:left w:val="nil"/>
              <w:bottom w:val="nil"/>
              <w:right w:val="nil"/>
            </w:tcBorders>
            <w:shd w:val="clear" w:color="auto" w:fill="auto"/>
            <w:vAlign w:val="bottom"/>
          </w:tcPr>
          <w:p w14:paraId="50594AAE" w14:textId="23FBCF16" w:rsidR="009F0AF7" w:rsidRPr="001D41EA" w:rsidRDefault="009F0AF7" w:rsidP="001D41EA">
            <w:pPr>
              <w:spacing w:before="40" w:after="20"/>
              <w:jc w:val="right"/>
              <w:rPr>
                <w:rFonts w:cs="Arial"/>
                <w:sz w:val="18"/>
                <w:szCs w:val="18"/>
              </w:rPr>
            </w:pPr>
            <w:r w:rsidRPr="001D41EA">
              <w:rPr>
                <w:rFonts w:cs="Arial"/>
                <w:sz w:val="18"/>
                <w:szCs w:val="18"/>
              </w:rPr>
              <w:t>409,970</w:t>
            </w:r>
          </w:p>
        </w:tc>
        <w:tc>
          <w:tcPr>
            <w:tcW w:w="1361" w:type="dxa"/>
            <w:tcBorders>
              <w:top w:val="nil"/>
              <w:left w:val="nil"/>
              <w:bottom w:val="nil"/>
              <w:right w:val="nil"/>
            </w:tcBorders>
            <w:vAlign w:val="bottom"/>
          </w:tcPr>
          <w:p w14:paraId="0C92DBB7" w14:textId="0E443C5D" w:rsidR="009F0AF7" w:rsidRPr="001D41EA" w:rsidRDefault="009F0AF7" w:rsidP="001D41EA">
            <w:pPr>
              <w:spacing w:before="40" w:after="20"/>
              <w:jc w:val="right"/>
              <w:rPr>
                <w:rFonts w:cs="Arial"/>
                <w:sz w:val="18"/>
                <w:szCs w:val="18"/>
              </w:rPr>
            </w:pPr>
            <w:r w:rsidRPr="001D41EA">
              <w:rPr>
                <w:rFonts w:cs="Arial"/>
                <w:sz w:val="18"/>
                <w:szCs w:val="18"/>
              </w:rPr>
              <w:t>392,264</w:t>
            </w:r>
          </w:p>
        </w:tc>
        <w:tc>
          <w:tcPr>
            <w:tcW w:w="1361" w:type="dxa"/>
            <w:tcBorders>
              <w:top w:val="nil"/>
              <w:left w:val="nil"/>
              <w:bottom w:val="nil"/>
              <w:right w:val="nil"/>
            </w:tcBorders>
            <w:vAlign w:val="bottom"/>
          </w:tcPr>
          <w:p w14:paraId="7903C189" w14:textId="6ACC6631" w:rsidR="009F0AF7" w:rsidRPr="001D41EA" w:rsidRDefault="009F0AF7" w:rsidP="001D41EA">
            <w:pPr>
              <w:spacing w:before="40" w:after="20"/>
              <w:jc w:val="right"/>
              <w:rPr>
                <w:rFonts w:cs="Arial"/>
                <w:sz w:val="18"/>
                <w:szCs w:val="18"/>
              </w:rPr>
            </w:pPr>
            <w:r w:rsidRPr="001D41EA">
              <w:rPr>
                <w:rFonts w:cs="Arial"/>
                <w:sz w:val="18"/>
                <w:szCs w:val="18"/>
              </w:rPr>
              <w:t>942,309</w:t>
            </w:r>
          </w:p>
        </w:tc>
        <w:tc>
          <w:tcPr>
            <w:tcW w:w="1361" w:type="dxa"/>
            <w:tcBorders>
              <w:top w:val="nil"/>
              <w:left w:val="nil"/>
              <w:bottom w:val="nil"/>
              <w:right w:val="nil"/>
            </w:tcBorders>
            <w:shd w:val="clear" w:color="auto" w:fill="auto"/>
            <w:vAlign w:val="bottom"/>
          </w:tcPr>
          <w:p w14:paraId="20249E9B" w14:textId="3E795EA9" w:rsidR="009F0AF7" w:rsidRPr="001D41EA" w:rsidRDefault="009F0AF7" w:rsidP="001D41EA">
            <w:pPr>
              <w:spacing w:before="40" w:after="20"/>
              <w:jc w:val="right"/>
              <w:rPr>
                <w:rFonts w:cs="Arial"/>
                <w:sz w:val="18"/>
                <w:szCs w:val="18"/>
              </w:rPr>
            </w:pPr>
            <w:r w:rsidRPr="001D41EA">
              <w:rPr>
                <w:rFonts w:cs="Arial"/>
                <w:sz w:val="18"/>
                <w:szCs w:val="18"/>
              </w:rPr>
              <w:t>511,512</w:t>
            </w:r>
          </w:p>
        </w:tc>
      </w:tr>
      <w:tr w:rsidR="009F0AF7" w:rsidRPr="001D41EA" w14:paraId="7FD6CAB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5D18069" w14:textId="77777777" w:rsidR="009F0AF7" w:rsidRPr="001D41EA" w:rsidRDefault="009F0AF7" w:rsidP="001D41EA">
            <w:pPr>
              <w:spacing w:before="40" w:after="20"/>
              <w:rPr>
                <w:rFonts w:cs="Arial"/>
                <w:sz w:val="18"/>
                <w:szCs w:val="18"/>
              </w:rPr>
            </w:pPr>
            <w:r w:rsidRPr="001D41EA">
              <w:rPr>
                <w:rFonts w:cs="Arial"/>
                <w:sz w:val="18"/>
                <w:szCs w:val="18"/>
              </w:rPr>
              <w:t>Wyndham C</w:t>
            </w:r>
          </w:p>
        </w:tc>
        <w:tc>
          <w:tcPr>
            <w:tcW w:w="1361" w:type="dxa"/>
            <w:tcBorders>
              <w:top w:val="nil"/>
              <w:left w:val="single" w:sz="18" w:space="0" w:color="5F497A" w:themeColor="accent4" w:themeShade="BF"/>
              <w:bottom w:val="nil"/>
              <w:right w:val="nil"/>
            </w:tcBorders>
            <w:shd w:val="clear" w:color="auto" w:fill="auto"/>
            <w:vAlign w:val="bottom"/>
          </w:tcPr>
          <w:p w14:paraId="01382F04" w14:textId="513152C9" w:rsidR="009F0AF7" w:rsidRPr="001D41EA" w:rsidRDefault="009F0AF7" w:rsidP="001D41EA">
            <w:pPr>
              <w:spacing w:before="40" w:after="20"/>
              <w:jc w:val="right"/>
              <w:rPr>
                <w:rFonts w:cs="Arial"/>
                <w:sz w:val="18"/>
                <w:szCs w:val="18"/>
              </w:rPr>
            </w:pPr>
            <w:r w:rsidRPr="001D41EA">
              <w:rPr>
                <w:rFonts w:cs="Arial"/>
                <w:sz w:val="18"/>
                <w:szCs w:val="18"/>
              </w:rPr>
              <w:t>4,289,918</w:t>
            </w:r>
          </w:p>
        </w:tc>
        <w:tc>
          <w:tcPr>
            <w:tcW w:w="1361" w:type="dxa"/>
            <w:tcBorders>
              <w:top w:val="nil"/>
              <w:left w:val="nil"/>
              <w:bottom w:val="nil"/>
              <w:right w:val="nil"/>
            </w:tcBorders>
            <w:shd w:val="clear" w:color="auto" w:fill="auto"/>
            <w:vAlign w:val="bottom"/>
          </w:tcPr>
          <w:p w14:paraId="63704B19" w14:textId="6C41B73E" w:rsidR="009F0AF7" w:rsidRPr="001D41EA" w:rsidRDefault="009F0AF7" w:rsidP="001D41EA">
            <w:pPr>
              <w:spacing w:before="40" w:after="20"/>
              <w:jc w:val="right"/>
              <w:rPr>
                <w:rFonts w:cs="Arial"/>
                <w:sz w:val="18"/>
                <w:szCs w:val="18"/>
              </w:rPr>
            </w:pPr>
            <w:r w:rsidRPr="001D41EA">
              <w:rPr>
                <w:rFonts w:cs="Arial"/>
                <w:sz w:val="18"/>
                <w:szCs w:val="18"/>
              </w:rPr>
              <w:t>2,797,908</w:t>
            </w:r>
          </w:p>
        </w:tc>
        <w:tc>
          <w:tcPr>
            <w:tcW w:w="1361" w:type="dxa"/>
            <w:tcBorders>
              <w:top w:val="nil"/>
              <w:left w:val="nil"/>
              <w:bottom w:val="nil"/>
              <w:right w:val="nil"/>
            </w:tcBorders>
            <w:vAlign w:val="bottom"/>
          </w:tcPr>
          <w:p w14:paraId="65FDE316" w14:textId="301FB7A4" w:rsidR="009F0AF7" w:rsidRPr="001D41EA" w:rsidRDefault="009F0AF7" w:rsidP="001D41EA">
            <w:pPr>
              <w:spacing w:before="40" w:after="20"/>
              <w:jc w:val="right"/>
              <w:rPr>
                <w:rFonts w:cs="Arial"/>
                <w:sz w:val="18"/>
                <w:szCs w:val="18"/>
              </w:rPr>
            </w:pPr>
            <w:r w:rsidRPr="001D41EA">
              <w:rPr>
                <w:rFonts w:cs="Arial"/>
                <w:sz w:val="18"/>
                <w:szCs w:val="18"/>
              </w:rPr>
              <w:t>1,566,157</w:t>
            </w:r>
          </w:p>
        </w:tc>
        <w:tc>
          <w:tcPr>
            <w:tcW w:w="1361" w:type="dxa"/>
            <w:tcBorders>
              <w:top w:val="nil"/>
              <w:left w:val="nil"/>
              <w:bottom w:val="nil"/>
              <w:right w:val="nil"/>
            </w:tcBorders>
            <w:vAlign w:val="bottom"/>
          </w:tcPr>
          <w:p w14:paraId="57FDA299" w14:textId="4BD4DAA1" w:rsidR="009F0AF7" w:rsidRPr="001D41EA" w:rsidRDefault="009F0AF7" w:rsidP="001D41EA">
            <w:pPr>
              <w:spacing w:before="40" w:after="20"/>
              <w:jc w:val="right"/>
              <w:rPr>
                <w:rFonts w:cs="Arial"/>
                <w:sz w:val="18"/>
                <w:szCs w:val="18"/>
              </w:rPr>
            </w:pPr>
            <w:r w:rsidRPr="001D41EA">
              <w:rPr>
                <w:rFonts w:cs="Arial"/>
                <w:sz w:val="18"/>
                <w:szCs w:val="18"/>
              </w:rPr>
              <w:t>5,807,337</w:t>
            </w:r>
          </w:p>
        </w:tc>
        <w:tc>
          <w:tcPr>
            <w:tcW w:w="1361" w:type="dxa"/>
            <w:tcBorders>
              <w:top w:val="nil"/>
              <w:left w:val="nil"/>
              <w:bottom w:val="nil"/>
              <w:right w:val="nil"/>
            </w:tcBorders>
            <w:shd w:val="clear" w:color="auto" w:fill="auto"/>
            <w:vAlign w:val="bottom"/>
          </w:tcPr>
          <w:p w14:paraId="3853BF18" w14:textId="3FD43A57" w:rsidR="009F0AF7" w:rsidRPr="001D41EA" w:rsidRDefault="009F0AF7" w:rsidP="001D41EA">
            <w:pPr>
              <w:spacing w:before="40" w:after="20"/>
              <w:jc w:val="right"/>
              <w:rPr>
                <w:rFonts w:cs="Arial"/>
                <w:sz w:val="18"/>
                <w:szCs w:val="18"/>
              </w:rPr>
            </w:pPr>
            <w:r w:rsidRPr="001D41EA">
              <w:rPr>
                <w:rFonts w:cs="Arial"/>
                <w:sz w:val="18"/>
                <w:szCs w:val="18"/>
              </w:rPr>
              <w:t>2,513,252</w:t>
            </w:r>
          </w:p>
        </w:tc>
      </w:tr>
      <w:tr w:rsidR="009F0AF7" w:rsidRPr="001D41EA" w14:paraId="1F694BC4"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E2AD35F" w14:textId="77777777" w:rsidR="009F0AF7" w:rsidRPr="001D41EA" w:rsidRDefault="009F0AF7" w:rsidP="001D41EA">
            <w:pPr>
              <w:spacing w:before="40" w:after="20"/>
              <w:rPr>
                <w:rFonts w:cs="Arial"/>
                <w:sz w:val="18"/>
                <w:szCs w:val="18"/>
              </w:rPr>
            </w:pPr>
            <w:r w:rsidRPr="001D41EA">
              <w:rPr>
                <w:rFonts w:cs="Arial"/>
                <w:sz w:val="18"/>
                <w:szCs w:val="18"/>
              </w:rPr>
              <w:t>Yarra C</w:t>
            </w:r>
          </w:p>
        </w:tc>
        <w:tc>
          <w:tcPr>
            <w:tcW w:w="1361" w:type="dxa"/>
            <w:tcBorders>
              <w:top w:val="nil"/>
              <w:left w:val="single" w:sz="18" w:space="0" w:color="5F497A" w:themeColor="accent4" w:themeShade="BF"/>
              <w:bottom w:val="nil"/>
              <w:right w:val="nil"/>
            </w:tcBorders>
            <w:shd w:val="clear" w:color="auto" w:fill="auto"/>
            <w:vAlign w:val="bottom"/>
          </w:tcPr>
          <w:p w14:paraId="7BFBD314" w14:textId="4BCEEC01" w:rsidR="009F0AF7" w:rsidRPr="001D41EA" w:rsidRDefault="009F0AF7" w:rsidP="001D41EA">
            <w:pPr>
              <w:spacing w:before="40" w:after="20"/>
              <w:jc w:val="right"/>
              <w:rPr>
                <w:rFonts w:cs="Arial"/>
                <w:sz w:val="18"/>
                <w:szCs w:val="18"/>
              </w:rPr>
            </w:pPr>
            <w:r w:rsidRPr="001D41EA">
              <w:rPr>
                <w:rFonts w:cs="Arial"/>
                <w:sz w:val="18"/>
                <w:szCs w:val="18"/>
              </w:rPr>
              <w:t>1,655,349</w:t>
            </w:r>
          </w:p>
        </w:tc>
        <w:tc>
          <w:tcPr>
            <w:tcW w:w="1361" w:type="dxa"/>
            <w:tcBorders>
              <w:top w:val="nil"/>
              <w:left w:val="nil"/>
              <w:bottom w:val="nil"/>
              <w:right w:val="nil"/>
            </w:tcBorders>
            <w:shd w:val="clear" w:color="auto" w:fill="auto"/>
            <w:vAlign w:val="bottom"/>
          </w:tcPr>
          <w:p w14:paraId="06DD91F1" w14:textId="5C40B861" w:rsidR="009F0AF7" w:rsidRPr="001D41EA" w:rsidRDefault="009F0AF7" w:rsidP="001D41EA">
            <w:pPr>
              <w:spacing w:before="40" w:after="20"/>
              <w:jc w:val="right"/>
              <w:rPr>
                <w:rFonts w:cs="Arial"/>
                <w:sz w:val="18"/>
                <w:szCs w:val="18"/>
              </w:rPr>
            </w:pPr>
            <w:r w:rsidRPr="001D41EA">
              <w:rPr>
                <w:rFonts w:cs="Arial"/>
                <w:sz w:val="18"/>
                <w:szCs w:val="18"/>
              </w:rPr>
              <w:t>1,164,689</w:t>
            </w:r>
          </w:p>
        </w:tc>
        <w:tc>
          <w:tcPr>
            <w:tcW w:w="1361" w:type="dxa"/>
            <w:tcBorders>
              <w:top w:val="nil"/>
              <w:left w:val="nil"/>
              <w:bottom w:val="nil"/>
              <w:right w:val="nil"/>
            </w:tcBorders>
            <w:vAlign w:val="bottom"/>
          </w:tcPr>
          <w:p w14:paraId="7D347EC6" w14:textId="39EE4F29" w:rsidR="009F0AF7" w:rsidRPr="001D41EA" w:rsidRDefault="009F0AF7" w:rsidP="001D41EA">
            <w:pPr>
              <w:spacing w:before="40" w:after="20"/>
              <w:jc w:val="right"/>
              <w:rPr>
                <w:rFonts w:cs="Arial"/>
                <w:sz w:val="18"/>
                <w:szCs w:val="18"/>
              </w:rPr>
            </w:pPr>
            <w:r w:rsidRPr="001D41EA">
              <w:rPr>
                <w:rFonts w:cs="Arial"/>
                <w:sz w:val="18"/>
                <w:szCs w:val="18"/>
              </w:rPr>
              <w:t>778,724</w:t>
            </w:r>
          </w:p>
        </w:tc>
        <w:tc>
          <w:tcPr>
            <w:tcW w:w="1361" w:type="dxa"/>
            <w:tcBorders>
              <w:top w:val="nil"/>
              <w:left w:val="nil"/>
              <w:bottom w:val="nil"/>
              <w:right w:val="nil"/>
            </w:tcBorders>
            <w:vAlign w:val="bottom"/>
          </w:tcPr>
          <w:p w14:paraId="61F062EB" w14:textId="065F9D48" w:rsidR="009F0AF7" w:rsidRPr="001D41EA" w:rsidRDefault="009F0AF7" w:rsidP="001D41EA">
            <w:pPr>
              <w:spacing w:before="40" w:after="20"/>
              <w:jc w:val="right"/>
              <w:rPr>
                <w:rFonts w:cs="Arial"/>
                <w:sz w:val="18"/>
                <w:szCs w:val="18"/>
              </w:rPr>
            </w:pPr>
            <w:r w:rsidRPr="001D41EA">
              <w:rPr>
                <w:rFonts w:cs="Arial"/>
                <w:sz w:val="18"/>
                <w:szCs w:val="18"/>
              </w:rPr>
              <w:t>2,240,875</w:t>
            </w:r>
          </w:p>
        </w:tc>
        <w:tc>
          <w:tcPr>
            <w:tcW w:w="1361" w:type="dxa"/>
            <w:tcBorders>
              <w:top w:val="nil"/>
              <w:left w:val="nil"/>
              <w:bottom w:val="nil"/>
              <w:right w:val="nil"/>
            </w:tcBorders>
            <w:shd w:val="clear" w:color="auto" w:fill="auto"/>
            <w:vAlign w:val="bottom"/>
          </w:tcPr>
          <w:p w14:paraId="5E0FCE46" w14:textId="1D218E47" w:rsidR="009F0AF7" w:rsidRPr="001D41EA" w:rsidRDefault="009F0AF7" w:rsidP="001D41EA">
            <w:pPr>
              <w:spacing w:before="40" w:after="20"/>
              <w:jc w:val="right"/>
              <w:rPr>
                <w:rFonts w:cs="Arial"/>
                <w:sz w:val="18"/>
                <w:szCs w:val="18"/>
              </w:rPr>
            </w:pPr>
            <w:r w:rsidRPr="001D41EA">
              <w:rPr>
                <w:rFonts w:cs="Arial"/>
                <w:sz w:val="18"/>
                <w:szCs w:val="18"/>
              </w:rPr>
              <w:t>1,382,424</w:t>
            </w:r>
          </w:p>
        </w:tc>
      </w:tr>
      <w:tr w:rsidR="009F0AF7" w:rsidRPr="001D41EA" w14:paraId="67F51AC4"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58C6D1B" w14:textId="77777777" w:rsidR="009F0AF7" w:rsidRPr="001D41EA" w:rsidRDefault="009F0AF7" w:rsidP="001D41EA">
            <w:pPr>
              <w:spacing w:before="40" w:after="20"/>
              <w:rPr>
                <w:rFonts w:cs="Arial"/>
                <w:sz w:val="18"/>
                <w:szCs w:val="18"/>
              </w:rPr>
            </w:pPr>
            <w:r w:rsidRPr="001D41EA">
              <w:rPr>
                <w:rFonts w:cs="Arial"/>
                <w:sz w:val="18"/>
                <w:szCs w:val="18"/>
              </w:rPr>
              <w:t>Yarra Ranges S</w:t>
            </w:r>
          </w:p>
        </w:tc>
        <w:tc>
          <w:tcPr>
            <w:tcW w:w="1361" w:type="dxa"/>
            <w:tcBorders>
              <w:top w:val="nil"/>
              <w:left w:val="single" w:sz="18" w:space="0" w:color="5F497A" w:themeColor="accent4" w:themeShade="BF"/>
              <w:bottom w:val="nil"/>
              <w:right w:val="nil"/>
            </w:tcBorders>
            <w:shd w:val="clear" w:color="auto" w:fill="auto"/>
            <w:vAlign w:val="bottom"/>
          </w:tcPr>
          <w:p w14:paraId="1742628D" w14:textId="2B5BF955" w:rsidR="009F0AF7" w:rsidRPr="001D41EA" w:rsidRDefault="009F0AF7" w:rsidP="001D41EA">
            <w:pPr>
              <w:spacing w:before="40" w:after="20"/>
              <w:jc w:val="right"/>
              <w:rPr>
                <w:rFonts w:cs="Arial"/>
                <w:sz w:val="18"/>
                <w:szCs w:val="18"/>
              </w:rPr>
            </w:pPr>
            <w:r w:rsidRPr="001D41EA">
              <w:rPr>
                <w:rFonts w:cs="Arial"/>
                <w:sz w:val="18"/>
                <w:szCs w:val="18"/>
              </w:rPr>
              <w:t>2,657,622</w:t>
            </w:r>
          </w:p>
        </w:tc>
        <w:tc>
          <w:tcPr>
            <w:tcW w:w="1361" w:type="dxa"/>
            <w:tcBorders>
              <w:top w:val="nil"/>
              <w:left w:val="nil"/>
              <w:bottom w:val="nil"/>
              <w:right w:val="nil"/>
            </w:tcBorders>
            <w:shd w:val="clear" w:color="auto" w:fill="auto"/>
            <w:vAlign w:val="bottom"/>
          </w:tcPr>
          <w:p w14:paraId="68CB8879" w14:textId="02790CEC" w:rsidR="009F0AF7" w:rsidRPr="001D41EA" w:rsidRDefault="009F0AF7" w:rsidP="001D41EA">
            <w:pPr>
              <w:spacing w:before="40" w:after="20"/>
              <w:jc w:val="right"/>
              <w:rPr>
                <w:rFonts w:cs="Arial"/>
                <w:sz w:val="18"/>
                <w:szCs w:val="18"/>
              </w:rPr>
            </w:pPr>
            <w:r w:rsidRPr="001D41EA">
              <w:rPr>
                <w:rFonts w:cs="Arial"/>
                <w:sz w:val="18"/>
                <w:szCs w:val="18"/>
              </w:rPr>
              <w:t>1,896,142</w:t>
            </w:r>
          </w:p>
        </w:tc>
        <w:tc>
          <w:tcPr>
            <w:tcW w:w="1361" w:type="dxa"/>
            <w:tcBorders>
              <w:top w:val="nil"/>
              <w:left w:val="nil"/>
              <w:bottom w:val="nil"/>
              <w:right w:val="nil"/>
            </w:tcBorders>
            <w:vAlign w:val="bottom"/>
          </w:tcPr>
          <w:p w14:paraId="633F6E36" w14:textId="78F16171" w:rsidR="009F0AF7" w:rsidRPr="001D41EA" w:rsidRDefault="009F0AF7" w:rsidP="001D41EA">
            <w:pPr>
              <w:spacing w:before="40" w:after="20"/>
              <w:jc w:val="right"/>
              <w:rPr>
                <w:rFonts w:cs="Arial"/>
                <w:sz w:val="18"/>
                <w:szCs w:val="18"/>
              </w:rPr>
            </w:pPr>
            <w:r w:rsidRPr="001D41EA">
              <w:rPr>
                <w:rFonts w:cs="Arial"/>
                <w:sz w:val="18"/>
                <w:szCs w:val="18"/>
              </w:rPr>
              <w:t>1,620,394</w:t>
            </w:r>
          </w:p>
        </w:tc>
        <w:tc>
          <w:tcPr>
            <w:tcW w:w="1361" w:type="dxa"/>
            <w:tcBorders>
              <w:top w:val="nil"/>
              <w:left w:val="nil"/>
              <w:bottom w:val="nil"/>
              <w:right w:val="nil"/>
            </w:tcBorders>
            <w:vAlign w:val="bottom"/>
          </w:tcPr>
          <w:p w14:paraId="1373E8CF" w14:textId="5F343698" w:rsidR="009F0AF7" w:rsidRPr="001D41EA" w:rsidRDefault="009F0AF7" w:rsidP="001D41EA">
            <w:pPr>
              <w:spacing w:before="40" w:after="20"/>
              <w:jc w:val="right"/>
              <w:rPr>
                <w:rFonts w:cs="Arial"/>
                <w:sz w:val="18"/>
                <w:szCs w:val="18"/>
              </w:rPr>
            </w:pPr>
            <w:r w:rsidRPr="001D41EA">
              <w:rPr>
                <w:rFonts w:cs="Arial"/>
                <w:sz w:val="18"/>
                <w:szCs w:val="18"/>
              </w:rPr>
              <w:t>3,597,669</w:t>
            </w:r>
          </w:p>
        </w:tc>
        <w:tc>
          <w:tcPr>
            <w:tcW w:w="1361" w:type="dxa"/>
            <w:tcBorders>
              <w:top w:val="nil"/>
              <w:left w:val="nil"/>
              <w:bottom w:val="nil"/>
              <w:right w:val="nil"/>
            </w:tcBorders>
            <w:shd w:val="clear" w:color="auto" w:fill="auto"/>
            <w:vAlign w:val="bottom"/>
          </w:tcPr>
          <w:p w14:paraId="60B702D9" w14:textId="711F5070" w:rsidR="009F0AF7" w:rsidRPr="001D41EA" w:rsidRDefault="009F0AF7" w:rsidP="001D41EA">
            <w:pPr>
              <w:spacing w:before="40" w:after="20"/>
              <w:jc w:val="right"/>
              <w:rPr>
                <w:rFonts w:cs="Arial"/>
                <w:sz w:val="18"/>
                <w:szCs w:val="18"/>
              </w:rPr>
            </w:pPr>
            <w:r w:rsidRPr="001D41EA">
              <w:rPr>
                <w:rFonts w:cs="Arial"/>
                <w:sz w:val="18"/>
                <w:szCs w:val="18"/>
              </w:rPr>
              <w:t>1,787,017</w:t>
            </w:r>
          </w:p>
        </w:tc>
      </w:tr>
      <w:tr w:rsidR="009F0AF7" w:rsidRPr="001D41EA" w14:paraId="1B5F3171" w14:textId="77777777" w:rsidTr="00CA09E3">
        <w:trPr>
          <w:trHeight w:val="240"/>
        </w:trPr>
        <w:tc>
          <w:tcPr>
            <w:tcW w:w="2268" w:type="dxa"/>
            <w:tcBorders>
              <w:top w:val="nil"/>
              <w:left w:val="nil"/>
              <w:right w:val="single" w:sz="18" w:space="0" w:color="5F497A" w:themeColor="accent4" w:themeShade="BF"/>
            </w:tcBorders>
            <w:shd w:val="clear" w:color="auto" w:fill="auto"/>
            <w:vAlign w:val="center"/>
          </w:tcPr>
          <w:p w14:paraId="4110CC89" w14:textId="77777777" w:rsidR="009F0AF7" w:rsidRPr="001D41EA" w:rsidRDefault="009F0AF7" w:rsidP="001D41EA">
            <w:pPr>
              <w:spacing w:before="40" w:after="20"/>
              <w:rPr>
                <w:rFonts w:cs="Arial"/>
                <w:sz w:val="18"/>
                <w:szCs w:val="18"/>
              </w:rPr>
            </w:pPr>
            <w:r w:rsidRPr="001D41EA">
              <w:rPr>
                <w:rFonts w:cs="Arial"/>
                <w:sz w:val="18"/>
                <w:szCs w:val="18"/>
              </w:rPr>
              <w:t>Yarriambiack S</w:t>
            </w:r>
          </w:p>
        </w:tc>
        <w:tc>
          <w:tcPr>
            <w:tcW w:w="1361" w:type="dxa"/>
            <w:tcBorders>
              <w:top w:val="nil"/>
              <w:left w:val="single" w:sz="18" w:space="0" w:color="5F497A" w:themeColor="accent4" w:themeShade="BF"/>
              <w:right w:val="nil"/>
            </w:tcBorders>
            <w:shd w:val="clear" w:color="auto" w:fill="auto"/>
            <w:vAlign w:val="bottom"/>
          </w:tcPr>
          <w:p w14:paraId="3C837CDC" w14:textId="595DD61E" w:rsidR="009F0AF7" w:rsidRPr="001D41EA" w:rsidRDefault="009F0AF7" w:rsidP="001D41EA">
            <w:pPr>
              <w:spacing w:before="40" w:after="20"/>
              <w:jc w:val="right"/>
              <w:rPr>
                <w:rFonts w:cs="Arial"/>
                <w:sz w:val="18"/>
                <w:szCs w:val="18"/>
              </w:rPr>
            </w:pPr>
            <w:r w:rsidRPr="001D41EA">
              <w:rPr>
                <w:rFonts w:cs="Arial"/>
                <w:sz w:val="18"/>
                <w:szCs w:val="18"/>
              </w:rPr>
              <w:t>111,868</w:t>
            </w:r>
          </w:p>
        </w:tc>
        <w:tc>
          <w:tcPr>
            <w:tcW w:w="1361" w:type="dxa"/>
            <w:tcBorders>
              <w:top w:val="nil"/>
              <w:left w:val="nil"/>
              <w:right w:val="nil"/>
            </w:tcBorders>
            <w:shd w:val="clear" w:color="auto" w:fill="auto"/>
            <w:vAlign w:val="bottom"/>
          </w:tcPr>
          <w:p w14:paraId="1B59DCA4" w14:textId="7FEC196E" w:rsidR="009F0AF7" w:rsidRPr="001D41EA" w:rsidRDefault="009F0AF7" w:rsidP="001D41EA">
            <w:pPr>
              <w:spacing w:before="40" w:after="20"/>
              <w:jc w:val="right"/>
              <w:rPr>
                <w:rFonts w:cs="Arial"/>
                <w:sz w:val="18"/>
                <w:szCs w:val="18"/>
              </w:rPr>
            </w:pPr>
            <w:r w:rsidRPr="001D41EA">
              <w:rPr>
                <w:rFonts w:cs="Arial"/>
                <w:sz w:val="18"/>
                <w:szCs w:val="18"/>
              </w:rPr>
              <w:t>57,926</w:t>
            </w:r>
          </w:p>
        </w:tc>
        <w:tc>
          <w:tcPr>
            <w:tcW w:w="1361" w:type="dxa"/>
            <w:tcBorders>
              <w:top w:val="nil"/>
              <w:left w:val="nil"/>
              <w:right w:val="nil"/>
            </w:tcBorders>
            <w:vAlign w:val="bottom"/>
          </w:tcPr>
          <w:p w14:paraId="61723573" w14:textId="1F989DAE" w:rsidR="009F0AF7" w:rsidRPr="001D41EA" w:rsidRDefault="009F0AF7" w:rsidP="001D41EA">
            <w:pPr>
              <w:spacing w:before="40" w:after="20"/>
              <w:jc w:val="right"/>
              <w:rPr>
                <w:rFonts w:cs="Arial"/>
                <w:sz w:val="18"/>
                <w:szCs w:val="18"/>
              </w:rPr>
            </w:pPr>
            <w:r w:rsidRPr="001D41EA">
              <w:rPr>
                <w:rFonts w:cs="Arial"/>
                <w:sz w:val="18"/>
                <w:szCs w:val="18"/>
              </w:rPr>
              <w:t>94,583</w:t>
            </w:r>
          </w:p>
        </w:tc>
        <w:tc>
          <w:tcPr>
            <w:tcW w:w="1361" w:type="dxa"/>
            <w:tcBorders>
              <w:top w:val="nil"/>
              <w:left w:val="nil"/>
              <w:right w:val="nil"/>
            </w:tcBorders>
            <w:vAlign w:val="bottom"/>
          </w:tcPr>
          <w:p w14:paraId="75796D9E" w14:textId="3CE5D47C" w:rsidR="009F0AF7" w:rsidRPr="001D41EA" w:rsidRDefault="009F0AF7" w:rsidP="001D41EA">
            <w:pPr>
              <w:spacing w:before="40" w:after="20"/>
              <w:jc w:val="right"/>
              <w:rPr>
                <w:rFonts w:cs="Arial"/>
                <w:sz w:val="18"/>
                <w:szCs w:val="18"/>
              </w:rPr>
            </w:pPr>
            <w:r w:rsidRPr="001D41EA">
              <w:rPr>
                <w:rFonts w:cs="Arial"/>
                <w:sz w:val="18"/>
                <w:szCs w:val="18"/>
              </w:rPr>
              <w:t>151,437</w:t>
            </w:r>
          </w:p>
        </w:tc>
        <w:tc>
          <w:tcPr>
            <w:tcW w:w="1361" w:type="dxa"/>
            <w:tcBorders>
              <w:top w:val="nil"/>
              <w:left w:val="nil"/>
              <w:right w:val="nil"/>
            </w:tcBorders>
            <w:shd w:val="clear" w:color="auto" w:fill="auto"/>
            <w:vAlign w:val="bottom"/>
          </w:tcPr>
          <w:p w14:paraId="4E6F355E" w14:textId="58155C55" w:rsidR="009F0AF7" w:rsidRPr="001D41EA" w:rsidRDefault="009F0AF7" w:rsidP="001D41EA">
            <w:pPr>
              <w:spacing w:before="40" w:after="20"/>
              <w:jc w:val="right"/>
              <w:rPr>
                <w:rFonts w:cs="Arial"/>
                <w:sz w:val="18"/>
                <w:szCs w:val="18"/>
              </w:rPr>
            </w:pPr>
            <w:r w:rsidRPr="001D41EA">
              <w:rPr>
                <w:rFonts w:cs="Arial"/>
                <w:sz w:val="18"/>
                <w:szCs w:val="18"/>
              </w:rPr>
              <w:t>104,493</w:t>
            </w:r>
          </w:p>
        </w:tc>
      </w:tr>
      <w:tr w:rsidR="009F0AF7" w:rsidRPr="001D41EA" w14:paraId="3EBB52B3" w14:textId="77777777" w:rsidTr="00B44BBE">
        <w:trPr>
          <w:trHeight w:val="240"/>
        </w:trPr>
        <w:tc>
          <w:tcPr>
            <w:tcW w:w="2268" w:type="dxa"/>
            <w:tcBorders>
              <w:left w:val="nil"/>
              <w:right w:val="single" w:sz="18" w:space="0" w:color="5F497A" w:themeColor="accent4" w:themeShade="BF"/>
            </w:tcBorders>
            <w:shd w:val="clear" w:color="auto" w:fill="auto"/>
            <w:vAlign w:val="center"/>
          </w:tcPr>
          <w:p w14:paraId="2DF86ACF" w14:textId="77777777" w:rsidR="009F0AF7" w:rsidRPr="001D41EA" w:rsidRDefault="009F0AF7" w:rsidP="001D41EA">
            <w:pPr>
              <w:spacing w:before="40" w:after="20"/>
              <w:rPr>
                <w:rFonts w:cs="Arial"/>
                <w:sz w:val="18"/>
                <w:szCs w:val="18"/>
              </w:rPr>
            </w:pPr>
          </w:p>
        </w:tc>
        <w:tc>
          <w:tcPr>
            <w:tcW w:w="1361" w:type="dxa"/>
            <w:tcBorders>
              <w:left w:val="single" w:sz="18" w:space="0" w:color="5F497A" w:themeColor="accent4" w:themeShade="BF"/>
              <w:bottom w:val="single" w:sz="8" w:space="0" w:color="5F497A" w:themeColor="accent4" w:themeShade="BF"/>
            </w:tcBorders>
            <w:shd w:val="clear" w:color="auto" w:fill="auto"/>
            <w:vAlign w:val="bottom"/>
          </w:tcPr>
          <w:p w14:paraId="2E2647DD" w14:textId="46840710" w:rsidR="009F0AF7" w:rsidRPr="001D41EA" w:rsidRDefault="009F0AF7" w:rsidP="001D41EA">
            <w:pPr>
              <w:spacing w:before="40" w:after="20"/>
              <w:jc w:val="right"/>
              <w:rPr>
                <w:rFonts w:cs="Arial"/>
                <w:sz w:val="18"/>
                <w:szCs w:val="18"/>
              </w:rPr>
            </w:pPr>
            <w:r w:rsidRPr="001D41EA">
              <w:rPr>
                <w:rFonts w:cs="Arial"/>
                <w:sz w:val="18"/>
                <w:szCs w:val="18"/>
              </w:rPr>
              <w:t> </w:t>
            </w:r>
          </w:p>
        </w:tc>
        <w:tc>
          <w:tcPr>
            <w:tcW w:w="1361" w:type="dxa"/>
            <w:tcBorders>
              <w:bottom w:val="single" w:sz="8" w:space="0" w:color="5F497A" w:themeColor="accent4" w:themeShade="BF"/>
            </w:tcBorders>
            <w:shd w:val="clear" w:color="auto" w:fill="auto"/>
            <w:vAlign w:val="bottom"/>
          </w:tcPr>
          <w:p w14:paraId="0D9FB9C3" w14:textId="520FD704" w:rsidR="009F0AF7" w:rsidRPr="001D41EA" w:rsidRDefault="009F0AF7" w:rsidP="001D41EA">
            <w:pPr>
              <w:spacing w:before="40" w:after="20"/>
              <w:jc w:val="right"/>
              <w:rPr>
                <w:rFonts w:cs="Arial"/>
                <w:sz w:val="18"/>
                <w:szCs w:val="18"/>
              </w:rPr>
            </w:pPr>
            <w:r w:rsidRPr="001D41EA">
              <w:rPr>
                <w:rFonts w:cs="Arial"/>
                <w:sz w:val="18"/>
                <w:szCs w:val="18"/>
              </w:rPr>
              <w:t> </w:t>
            </w:r>
          </w:p>
        </w:tc>
        <w:tc>
          <w:tcPr>
            <w:tcW w:w="1361" w:type="dxa"/>
            <w:tcBorders>
              <w:bottom w:val="single" w:sz="8" w:space="0" w:color="5F497A" w:themeColor="accent4" w:themeShade="BF"/>
            </w:tcBorders>
            <w:vAlign w:val="bottom"/>
          </w:tcPr>
          <w:p w14:paraId="43A62476" w14:textId="44B88500" w:rsidR="009F0AF7" w:rsidRPr="001D41EA" w:rsidRDefault="009F0AF7" w:rsidP="001D41EA">
            <w:pPr>
              <w:spacing w:before="40" w:after="20"/>
              <w:jc w:val="right"/>
              <w:rPr>
                <w:rFonts w:cs="Arial"/>
                <w:sz w:val="18"/>
                <w:szCs w:val="18"/>
              </w:rPr>
            </w:pPr>
            <w:r w:rsidRPr="001D41EA">
              <w:rPr>
                <w:rFonts w:cs="Arial"/>
                <w:sz w:val="18"/>
                <w:szCs w:val="18"/>
              </w:rPr>
              <w:t> </w:t>
            </w:r>
          </w:p>
        </w:tc>
        <w:tc>
          <w:tcPr>
            <w:tcW w:w="1361" w:type="dxa"/>
            <w:tcBorders>
              <w:bottom w:val="single" w:sz="8" w:space="0" w:color="5F497A" w:themeColor="accent4" w:themeShade="BF"/>
            </w:tcBorders>
            <w:vAlign w:val="bottom"/>
          </w:tcPr>
          <w:p w14:paraId="57D1ACAA" w14:textId="75D334F4" w:rsidR="009F0AF7" w:rsidRPr="001D41EA" w:rsidRDefault="009F0AF7" w:rsidP="001D41EA">
            <w:pPr>
              <w:spacing w:before="40" w:after="20"/>
              <w:jc w:val="right"/>
              <w:rPr>
                <w:rFonts w:cs="Arial"/>
                <w:sz w:val="18"/>
                <w:szCs w:val="18"/>
              </w:rPr>
            </w:pPr>
            <w:r w:rsidRPr="001D41EA">
              <w:rPr>
                <w:rFonts w:cs="Arial"/>
                <w:sz w:val="18"/>
                <w:szCs w:val="18"/>
              </w:rPr>
              <w:t> </w:t>
            </w:r>
          </w:p>
        </w:tc>
        <w:tc>
          <w:tcPr>
            <w:tcW w:w="1361" w:type="dxa"/>
            <w:tcBorders>
              <w:bottom w:val="single" w:sz="8" w:space="0" w:color="5F497A" w:themeColor="accent4" w:themeShade="BF"/>
            </w:tcBorders>
            <w:shd w:val="clear" w:color="auto" w:fill="auto"/>
            <w:vAlign w:val="bottom"/>
          </w:tcPr>
          <w:p w14:paraId="21D9E1E2" w14:textId="42A35A52" w:rsidR="009F0AF7" w:rsidRPr="001D41EA" w:rsidRDefault="009F0AF7" w:rsidP="001D41EA">
            <w:pPr>
              <w:spacing w:before="40" w:after="20"/>
              <w:jc w:val="right"/>
              <w:rPr>
                <w:rFonts w:cs="Arial"/>
                <w:sz w:val="18"/>
                <w:szCs w:val="18"/>
              </w:rPr>
            </w:pPr>
            <w:r w:rsidRPr="001D41EA">
              <w:rPr>
                <w:rFonts w:cs="Arial"/>
                <w:sz w:val="18"/>
                <w:szCs w:val="18"/>
              </w:rPr>
              <w:t> </w:t>
            </w:r>
          </w:p>
        </w:tc>
      </w:tr>
      <w:tr w:rsidR="009F0AF7" w:rsidRPr="001D41EA" w14:paraId="6AEB7251" w14:textId="77777777" w:rsidTr="00B44BBE">
        <w:trPr>
          <w:trHeight w:val="240"/>
        </w:trPr>
        <w:tc>
          <w:tcPr>
            <w:tcW w:w="2268" w:type="dxa"/>
            <w:tcBorders>
              <w:left w:val="nil"/>
              <w:right w:val="single" w:sz="18" w:space="0" w:color="5F497A" w:themeColor="accent4" w:themeShade="BF"/>
            </w:tcBorders>
            <w:shd w:val="clear" w:color="auto" w:fill="auto"/>
            <w:vAlign w:val="center"/>
          </w:tcPr>
          <w:p w14:paraId="33606E53" w14:textId="77777777" w:rsidR="009F0AF7" w:rsidRPr="001D41EA" w:rsidRDefault="009F0AF7" w:rsidP="001D41EA">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tcBorders>
            <w:shd w:val="clear" w:color="auto" w:fill="auto"/>
            <w:vAlign w:val="bottom"/>
          </w:tcPr>
          <w:p w14:paraId="15754311" w14:textId="0FCCC200" w:rsidR="009F0AF7" w:rsidRPr="001D41EA" w:rsidRDefault="009F0AF7" w:rsidP="001D41EA">
            <w:pPr>
              <w:spacing w:before="40" w:after="20"/>
              <w:jc w:val="right"/>
              <w:rPr>
                <w:rFonts w:cs="Arial"/>
                <w:b/>
                <w:sz w:val="18"/>
                <w:szCs w:val="18"/>
              </w:rPr>
            </w:pPr>
            <w:r w:rsidRPr="001D41EA">
              <w:rPr>
                <w:rFonts w:cs="Arial"/>
                <w:b/>
                <w:sz w:val="18"/>
                <w:szCs w:val="18"/>
              </w:rPr>
              <w:t>108,551,421</w:t>
            </w:r>
          </w:p>
        </w:tc>
        <w:tc>
          <w:tcPr>
            <w:tcW w:w="1361" w:type="dxa"/>
            <w:tcBorders>
              <w:top w:val="single" w:sz="8" w:space="0" w:color="5F497A" w:themeColor="accent4" w:themeShade="BF"/>
            </w:tcBorders>
            <w:shd w:val="clear" w:color="auto" w:fill="auto"/>
            <w:vAlign w:val="bottom"/>
          </w:tcPr>
          <w:p w14:paraId="4E9A9FA4" w14:textId="3D3B350B" w:rsidR="009F0AF7" w:rsidRPr="001D41EA" w:rsidRDefault="009F0AF7" w:rsidP="001D41EA">
            <w:pPr>
              <w:spacing w:before="40" w:after="20"/>
              <w:jc w:val="right"/>
              <w:rPr>
                <w:rFonts w:cs="Arial"/>
                <w:b/>
                <w:sz w:val="18"/>
                <w:szCs w:val="18"/>
              </w:rPr>
            </w:pPr>
            <w:r w:rsidRPr="001D41EA">
              <w:rPr>
                <w:rFonts w:cs="Arial"/>
                <w:b/>
                <w:sz w:val="18"/>
                <w:szCs w:val="18"/>
              </w:rPr>
              <w:t>71,162,951</w:t>
            </w:r>
          </w:p>
        </w:tc>
        <w:tc>
          <w:tcPr>
            <w:tcW w:w="1361" w:type="dxa"/>
            <w:tcBorders>
              <w:top w:val="single" w:sz="8" w:space="0" w:color="5F497A" w:themeColor="accent4" w:themeShade="BF"/>
            </w:tcBorders>
            <w:vAlign w:val="bottom"/>
          </w:tcPr>
          <w:p w14:paraId="1CEB46D3" w14:textId="236EC5EF" w:rsidR="009F0AF7" w:rsidRPr="001D41EA" w:rsidRDefault="009F0AF7" w:rsidP="001D41EA">
            <w:pPr>
              <w:spacing w:before="40" w:after="20"/>
              <w:jc w:val="right"/>
              <w:rPr>
                <w:rFonts w:cs="Arial"/>
                <w:b/>
                <w:sz w:val="18"/>
                <w:szCs w:val="18"/>
              </w:rPr>
            </w:pPr>
            <w:r w:rsidRPr="001D41EA">
              <w:rPr>
                <w:rFonts w:cs="Arial"/>
                <w:b/>
                <w:sz w:val="18"/>
                <w:szCs w:val="18"/>
              </w:rPr>
              <w:t>62,582,574</w:t>
            </w:r>
          </w:p>
        </w:tc>
        <w:tc>
          <w:tcPr>
            <w:tcW w:w="1361" w:type="dxa"/>
            <w:tcBorders>
              <w:top w:val="single" w:sz="8" w:space="0" w:color="5F497A" w:themeColor="accent4" w:themeShade="BF"/>
            </w:tcBorders>
            <w:vAlign w:val="bottom"/>
          </w:tcPr>
          <w:p w14:paraId="0908C3E1" w14:textId="6BAC1A9E" w:rsidR="009F0AF7" w:rsidRPr="001D41EA" w:rsidRDefault="009F0AF7" w:rsidP="001D41EA">
            <w:pPr>
              <w:spacing w:before="40" w:after="20"/>
              <w:jc w:val="right"/>
              <w:rPr>
                <w:rFonts w:cs="Arial"/>
                <w:b/>
                <w:sz w:val="18"/>
                <w:szCs w:val="18"/>
              </w:rPr>
            </w:pPr>
            <w:r w:rsidRPr="001D41EA">
              <w:rPr>
                <w:rFonts w:cs="Arial"/>
                <w:b/>
                <w:sz w:val="18"/>
                <w:szCs w:val="18"/>
              </w:rPr>
              <w:t>146,947,960</w:t>
            </w:r>
          </w:p>
        </w:tc>
        <w:tc>
          <w:tcPr>
            <w:tcW w:w="1361" w:type="dxa"/>
            <w:tcBorders>
              <w:top w:val="single" w:sz="8" w:space="0" w:color="5F497A" w:themeColor="accent4" w:themeShade="BF"/>
            </w:tcBorders>
            <w:shd w:val="clear" w:color="auto" w:fill="auto"/>
            <w:vAlign w:val="bottom"/>
          </w:tcPr>
          <w:p w14:paraId="304F3D32" w14:textId="44861376" w:rsidR="009F0AF7" w:rsidRPr="001D41EA" w:rsidRDefault="009F0AF7" w:rsidP="001D41EA">
            <w:pPr>
              <w:spacing w:before="40" w:after="20"/>
              <w:jc w:val="right"/>
              <w:rPr>
                <w:rFonts w:cs="Arial"/>
                <w:b/>
                <w:sz w:val="18"/>
                <w:szCs w:val="18"/>
              </w:rPr>
            </w:pPr>
            <w:r w:rsidRPr="001D41EA">
              <w:rPr>
                <w:rFonts w:cs="Arial"/>
                <w:b/>
                <w:sz w:val="18"/>
                <w:szCs w:val="18"/>
              </w:rPr>
              <w:t>78,508,853</w:t>
            </w:r>
          </w:p>
        </w:tc>
      </w:tr>
    </w:tbl>
    <w:p w14:paraId="658D6E62" w14:textId="77777777" w:rsidR="00893320" w:rsidRPr="00A44829" w:rsidRDefault="00893320" w:rsidP="00FF36E8">
      <w:pPr>
        <w:spacing w:before="40" w:after="20"/>
        <w:rPr>
          <w:rFonts w:cs="Arial"/>
          <w:sz w:val="18"/>
          <w:szCs w:val="18"/>
        </w:rPr>
      </w:pPr>
      <w:r w:rsidRPr="00A44829">
        <w:rPr>
          <w:rFonts w:cs="Arial"/>
          <w:sz w:val="18"/>
          <w:szCs w:val="18"/>
        </w:rPr>
        <w:br w:type="page"/>
      </w:r>
    </w:p>
    <w:p w14:paraId="7DD0813C" w14:textId="08D4F2AA" w:rsidR="00893320" w:rsidRPr="00A44829" w:rsidRDefault="00EE4593" w:rsidP="00C33713">
      <w:pPr>
        <w:pStyle w:val="VGC-Head10"/>
      </w:pPr>
      <w:r w:rsidRPr="00A44829">
        <w:lastRenderedPageBreak/>
        <w:t>2019-20</w:t>
      </w:r>
      <w:r w:rsidR="00A97ABE" w:rsidRPr="00A44829">
        <w:t xml:space="preserve"> </w:t>
      </w:r>
      <w:r w:rsidR="00893320" w:rsidRPr="00A44829">
        <w:t>General Purpose Grants</w:t>
      </w:r>
      <w:r w:rsidR="00CE4507" w:rsidRPr="00A44829">
        <w:tab/>
        <w:t>Appendix 4</w:t>
      </w:r>
    </w:p>
    <w:p w14:paraId="42FAE09E" w14:textId="77777777" w:rsidR="00893320" w:rsidRPr="00A44829" w:rsidRDefault="004F1184" w:rsidP="008C1A28">
      <w:pPr>
        <w:pStyle w:val="VGC-Head2"/>
      </w:pPr>
      <w:r w:rsidRPr="00A44829">
        <w:tab/>
      </w:r>
      <w:r w:rsidR="00893320" w:rsidRPr="00A44829">
        <w:t>I.  Standardised Fees and Charges</w:t>
      </w:r>
    </w:p>
    <w:p w14:paraId="2D87F720" w14:textId="77777777" w:rsidR="00893320" w:rsidRPr="00A44829"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A44829" w14:paraId="14F5D2C8"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5420456A" w14:textId="77777777" w:rsidR="00893320" w:rsidRPr="00A44829" w:rsidRDefault="00893320" w:rsidP="008001AD">
            <w:pPr>
              <w:spacing w:before="40" w:after="20"/>
              <w:jc w:val="center"/>
              <w:rPr>
                <w:rFonts w:cs="Arial"/>
                <w:sz w:val="18"/>
                <w:szCs w:val="18"/>
              </w:rPr>
            </w:pPr>
          </w:p>
        </w:tc>
        <w:tc>
          <w:tcPr>
            <w:tcW w:w="6805" w:type="dxa"/>
            <w:gridSpan w:val="5"/>
            <w:tcBorders>
              <w:left w:val="single" w:sz="18" w:space="0" w:color="5F497A" w:themeColor="accent4" w:themeShade="BF"/>
              <w:bottom w:val="single" w:sz="8" w:space="0" w:color="5F497A" w:themeColor="accent4" w:themeShade="BF"/>
            </w:tcBorders>
            <w:shd w:val="clear" w:color="auto" w:fill="auto"/>
            <w:vAlign w:val="bottom"/>
          </w:tcPr>
          <w:p w14:paraId="7513D596" w14:textId="77777777" w:rsidR="00893320" w:rsidRPr="00A44829" w:rsidRDefault="00893320" w:rsidP="008001AD">
            <w:pPr>
              <w:spacing w:before="40" w:after="20"/>
              <w:jc w:val="center"/>
              <w:rPr>
                <w:rFonts w:cs="Arial"/>
                <w:b/>
                <w:sz w:val="18"/>
                <w:szCs w:val="18"/>
              </w:rPr>
            </w:pPr>
            <w:r w:rsidRPr="00A44829">
              <w:rPr>
                <w:rFonts w:cs="Arial"/>
                <w:b/>
                <w:sz w:val="18"/>
                <w:szCs w:val="18"/>
              </w:rPr>
              <w:t>Standardised Fees and Charges</w:t>
            </w:r>
          </w:p>
        </w:tc>
      </w:tr>
      <w:tr w:rsidR="00514109" w:rsidRPr="00A44829" w14:paraId="6AEA0F5C"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35A3FCBA" w14:textId="77777777" w:rsidR="00514109" w:rsidRPr="00A44829" w:rsidRDefault="00514109" w:rsidP="008001AD">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6F233CA4" w14:textId="77777777" w:rsidR="00514109" w:rsidRPr="00A44829" w:rsidRDefault="00514109" w:rsidP="008001AD">
            <w:pPr>
              <w:spacing w:before="40" w:after="20"/>
              <w:jc w:val="center"/>
              <w:rPr>
                <w:rFonts w:cs="Arial"/>
                <w:sz w:val="16"/>
                <w:szCs w:val="16"/>
              </w:rPr>
            </w:pPr>
            <w:r w:rsidRPr="00A44829">
              <w:rPr>
                <w:rFonts w:cs="Arial"/>
                <w:sz w:val="16"/>
                <w:szCs w:val="16"/>
              </w:rPr>
              <w:t xml:space="preserve">Traffic </w:t>
            </w:r>
            <w:r w:rsidRPr="00A44829">
              <w:rPr>
                <w:rFonts w:cs="Arial"/>
                <w:sz w:val="16"/>
                <w:szCs w:val="16"/>
              </w:rPr>
              <w:br/>
              <w:t>&amp; Street Management</w:t>
            </w:r>
            <w:r w:rsidRPr="00A44829">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35DA4DF3" w14:textId="77777777" w:rsidR="00514109" w:rsidRPr="00A44829" w:rsidRDefault="00514109" w:rsidP="008001AD">
            <w:pPr>
              <w:spacing w:before="40" w:after="20"/>
              <w:jc w:val="center"/>
              <w:rPr>
                <w:rFonts w:cs="Arial"/>
                <w:sz w:val="16"/>
                <w:szCs w:val="16"/>
              </w:rPr>
            </w:pPr>
            <w:r w:rsidRPr="00A44829">
              <w:rPr>
                <w:rFonts w:cs="Arial"/>
                <w:sz w:val="16"/>
                <w:szCs w:val="16"/>
              </w:rPr>
              <w:t>Environment</w:t>
            </w:r>
            <w:r w:rsidRPr="00A44829">
              <w:rPr>
                <w:rFonts w:cs="Arial"/>
                <w:sz w:val="16"/>
                <w:szCs w:val="16"/>
              </w:rPr>
              <w:br/>
              <w:t>($)</w:t>
            </w:r>
          </w:p>
        </w:tc>
        <w:tc>
          <w:tcPr>
            <w:tcW w:w="1361" w:type="dxa"/>
            <w:tcBorders>
              <w:top w:val="single" w:sz="8" w:space="0" w:color="5F497A" w:themeColor="accent4" w:themeShade="BF"/>
              <w:bottom w:val="single" w:sz="8" w:space="0" w:color="5F497A" w:themeColor="accent4" w:themeShade="BF"/>
            </w:tcBorders>
            <w:vAlign w:val="bottom"/>
          </w:tcPr>
          <w:p w14:paraId="12ED2C30" w14:textId="77777777" w:rsidR="00514109" w:rsidRPr="00A44829" w:rsidRDefault="00514109" w:rsidP="008001AD">
            <w:pPr>
              <w:spacing w:before="40" w:after="20"/>
              <w:jc w:val="center"/>
              <w:rPr>
                <w:rFonts w:cs="Arial"/>
                <w:sz w:val="16"/>
                <w:szCs w:val="16"/>
              </w:rPr>
            </w:pPr>
            <w:r w:rsidRPr="00A44829">
              <w:rPr>
                <w:rFonts w:cs="Arial"/>
                <w:sz w:val="16"/>
                <w:szCs w:val="16"/>
              </w:rPr>
              <w:t xml:space="preserve">Business </w:t>
            </w:r>
            <w:r w:rsidRPr="00A44829">
              <w:rPr>
                <w:rFonts w:cs="Arial"/>
                <w:sz w:val="16"/>
                <w:szCs w:val="16"/>
              </w:rPr>
              <w:br/>
              <w:t>&amp; Economic Services</w:t>
            </w:r>
            <w:r w:rsidRPr="00A44829">
              <w:rPr>
                <w:rFonts w:cs="Arial"/>
                <w:sz w:val="16"/>
                <w:szCs w:val="16"/>
              </w:rPr>
              <w:br/>
              <w:t>($)</w:t>
            </w:r>
          </w:p>
        </w:tc>
        <w:tc>
          <w:tcPr>
            <w:tcW w:w="1361" w:type="dxa"/>
            <w:tcBorders>
              <w:top w:val="single" w:sz="8" w:space="0" w:color="5F497A" w:themeColor="accent4" w:themeShade="BF"/>
              <w:bottom w:val="single" w:sz="8" w:space="0" w:color="5F497A" w:themeColor="accent4" w:themeShade="BF"/>
            </w:tcBorders>
            <w:vAlign w:val="bottom"/>
          </w:tcPr>
          <w:p w14:paraId="2FC4D6CD" w14:textId="77777777" w:rsidR="00514109" w:rsidRPr="00A44829" w:rsidRDefault="00514109" w:rsidP="008001AD">
            <w:pPr>
              <w:spacing w:before="40" w:after="20"/>
              <w:jc w:val="center"/>
              <w:rPr>
                <w:rFonts w:cs="Arial"/>
                <w:sz w:val="16"/>
                <w:szCs w:val="16"/>
              </w:rPr>
            </w:pPr>
            <w:r w:rsidRPr="00A44829">
              <w:rPr>
                <w:rFonts w:cs="Arial"/>
                <w:sz w:val="16"/>
                <w:szCs w:val="16"/>
              </w:rPr>
              <w:t xml:space="preserve">Local Roads </w:t>
            </w:r>
            <w:r w:rsidRPr="00A44829">
              <w:rPr>
                <w:rFonts w:cs="Arial"/>
                <w:sz w:val="16"/>
                <w:szCs w:val="16"/>
              </w:rPr>
              <w:br/>
              <w:t xml:space="preserve">&amp; Bridges </w:t>
            </w:r>
            <w:r w:rsidRPr="00A44829">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2D713424" w14:textId="77777777" w:rsidR="00514109" w:rsidRPr="00A44829" w:rsidRDefault="00583FEF" w:rsidP="008001AD">
            <w:pPr>
              <w:spacing w:before="40" w:after="20"/>
              <w:jc w:val="center"/>
              <w:rPr>
                <w:rFonts w:cs="Arial"/>
                <w:b/>
                <w:sz w:val="16"/>
                <w:szCs w:val="16"/>
              </w:rPr>
            </w:pPr>
            <w:r w:rsidRPr="00A44829">
              <w:rPr>
                <w:rFonts w:cs="Arial"/>
                <w:b/>
                <w:sz w:val="16"/>
                <w:szCs w:val="16"/>
              </w:rPr>
              <w:t>Total</w:t>
            </w:r>
            <w:r w:rsidR="00514109" w:rsidRPr="00A44829">
              <w:rPr>
                <w:rFonts w:cs="Arial"/>
                <w:b/>
                <w:sz w:val="16"/>
                <w:szCs w:val="16"/>
              </w:rPr>
              <w:br/>
              <w:t>($)</w:t>
            </w:r>
          </w:p>
        </w:tc>
      </w:tr>
      <w:tr w:rsidR="009F0AF7" w:rsidRPr="001D41EA" w14:paraId="39D685A9" w14:textId="77777777" w:rsidTr="00B44BBE">
        <w:trPr>
          <w:trHeight w:val="240"/>
          <w:tblHeader/>
        </w:trPr>
        <w:tc>
          <w:tcPr>
            <w:tcW w:w="2268" w:type="dxa"/>
            <w:tcBorders>
              <w:left w:val="nil"/>
              <w:bottom w:val="nil"/>
              <w:right w:val="single" w:sz="18" w:space="0" w:color="5F497A" w:themeColor="accent4" w:themeShade="BF"/>
            </w:tcBorders>
            <w:shd w:val="clear" w:color="auto" w:fill="auto"/>
            <w:vAlign w:val="center"/>
          </w:tcPr>
          <w:p w14:paraId="305C24CC" w14:textId="77777777" w:rsidR="009F0AF7" w:rsidRPr="001D41EA" w:rsidRDefault="009F0AF7" w:rsidP="001D41EA">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9FC80FF" w14:textId="20401E3E" w:rsidR="009F0AF7" w:rsidRPr="001D41EA" w:rsidRDefault="009F0AF7" w:rsidP="001D41EA">
            <w:pPr>
              <w:spacing w:before="40" w:after="2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46ED9D23" w14:textId="43D37C4A" w:rsidR="009F0AF7" w:rsidRPr="001D41EA" w:rsidRDefault="009F0AF7" w:rsidP="001D41EA">
            <w:pPr>
              <w:spacing w:before="40" w:after="2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vAlign w:val="bottom"/>
          </w:tcPr>
          <w:p w14:paraId="24B23423" w14:textId="65D9F07C" w:rsidR="009F0AF7" w:rsidRPr="001D41EA" w:rsidRDefault="009F0AF7" w:rsidP="001D41EA">
            <w:pPr>
              <w:spacing w:before="40" w:after="2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vAlign w:val="bottom"/>
          </w:tcPr>
          <w:p w14:paraId="6386F62F" w14:textId="0FB6AB12" w:rsidR="009F0AF7" w:rsidRPr="001D41EA" w:rsidRDefault="009F0AF7" w:rsidP="001D41EA">
            <w:pPr>
              <w:spacing w:before="40" w:after="2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4B9F5040" w14:textId="7F60C889" w:rsidR="009F0AF7" w:rsidRPr="001D41EA" w:rsidRDefault="009F0AF7" w:rsidP="001D41EA">
            <w:pPr>
              <w:spacing w:before="40" w:after="20"/>
              <w:jc w:val="right"/>
              <w:rPr>
                <w:rFonts w:cs="Arial"/>
                <w:b/>
                <w:sz w:val="18"/>
                <w:szCs w:val="18"/>
              </w:rPr>
            </w:pPr>
            <w:r w:rsidRPr="001D41EA">
              <w:rPr>
                <w:rFonts w:cs="Arial"/>
                <w:b/>
                <w:sz w:val="18"/>
                <w:szCs w:val="18"/>
              </w:rPr>
              <w:t> </w:t>
            </w:r>
          </w:p>
        </w:tc>
      </w:tr>
      <w:tr w:rsidR="009F0AF7" w:rsidRPr="001D41EA" w14:paraId="74DCC056"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5D27923" w14:textId="77777777" w:rsidR="009F0AF7" w:rsidRPr="001D41EA" w:rsidRDefault="009F0AF7" w:rsidP="001D41EA">
            <w:pPr>
              <w:spacing w:before="40" w:after="20"/>
              <w:rPr>
                <w:rFonts w:cs="Arial"/>
                <w:sz w:val="18"/>
                <w:szCs w:val="18"/>
              </w:rPr>
            </w:pPr>
            <w:r w:rsidRPr="001D41EA">
              <w:rPr>
                <w:rFonts w:cs="Arial"/>
                <w:sz w:val="18"/>
                <w:szCs w:val="18"/>
              </w:rPr>
              <w:t>Macedon Ranges S</w:t>
            </w:r>
          </w:p>
        </w:tc>
        <w:tc>
          <w:tcPr>
            <w:tcW w:w="1361" w:type="dxa"/>
            <w:tcBorders>
              <w:top w:val="nil"/>
              <w:left w:val="single" w:sz="18" w:space="0" w:color="5F497A" w:themeColor="accent4" w:themeShade="BF"/>
              <w:bottom w:val="nil"/>
              <w:right w:val="nil"/>
            </w:tcBorders>
            <w:shd w:val="clear" w:color="auto" w:fill="auto"/>
            <w:vAlign w:val="bottom"/>
          </w:tcPr>
          <w:p w14:paraId="267E1E44" w14:textId="3EFA3BA9" w:rsidR="009F0AF7" w:rsidRPr="001D41EA" w:rsidRDefault="009F0AF7" w:rsidP="001D41EA">
            <w:pPr>
              <w:spacing w:before="40" w:after="20"/>
              <w:jc w:val="right"/>
              <w:rPr>
                <w:rFonts w:cs="Arial"/>
                <w:sz w:val="18"/>
                <w:szCs w:val="18"/>
              </w:rPr>
            </w:pPr>
            <w:r w:rsidRPr="001D41EA">
              <w:rPr>
                <w:rFonts w:cs="Arial"/>
                <w:sz w:val="18"/>
                <w:szCs w:val="18"/>
              </w:rPr>
              <w:t>423,961</w:t>
            </w:r>
          </w:p>
        </w:tc>
        <w:tc>
          <w:tcPr>
            <w:tcW w:w="1361" w:type="dxa"/>
            <w:tcBorders>
              <w:top w:val="nil"/>
              <w:left w:val="nil"/>
              <w:bottom w:val="nil"/>
              <w:right w:val="nil"/>
            </w:tcBorders>
            <w:shd w:val="clear" w:color="auto" w:fill="auto"/>
            <w:vAlign w:val="bottom"/>
          </w:tcPr>
          <w:p w14:paraId="4F5BD591" w14:textId="20CFA108" w:rsidR="009F0AF7" w:rsidRPr="001D41EA" w:rsidRDefault="009F0AF7" w:rsidP="001D41EA">
            <w:pPr>
              <w:spacing w:before="40" w:after="20"/>
              <w:jc w:val="right"/>
              <w:rPr>
                <w:rFonts w:cs="Arial"/>
                <w:sz w:val="18"/>
                <w:szCs w:val="18"/>
              </w:rPr>
            </w:pPr>
            <w:r w:rsidRPr="001D41EA">
              <w:rPr>
                <w:rFonts w:cs="Arial"/>
                <w:sz w:val="18"/>
                <w:szCs w:val="18"/>
              </w:rPr>
              <w:t>54,899</w:t>
            </w:r>
          </w:p>
        </w:tc>
        <w:tc>
          <w:tcPr>
            <w:tcW w:w="1361" w:type="dxa"/>
            <w:tcBorders>
              <w:top w:val="nil"/>
              <w:left w:val="nil"/>
              <w:bottom w:val="nil"/>
              <w:right w:val="nil"/>
            </w:tcBorders>
            <w:vAlign w:val="bottom"/>
          </w:tcPr>
          <w:p w14:paraId="111D04BA" w14:textId="58617331" w:rsidR="009F0AF7" w:rsidRPr="001D41EA" w:rsidRDefault="009F0AF7" w:rsidP="001D41EA">
            <w:pPr>
              <w:spacing w:before="40" w:after="20"/>
              <w:jc w:val="right"/>
              <w:rPr>
                <w:rFonts w:cs="Arial"/>
                <w:sz w:val="18"/>
                <w:szCs w:val="18"/>
              </w:rPr>
            </w:pPr>
            <w:r w:rsidRPr="001D41EA">
              <w:rPr>
                <w:rFonts w:cs="Arial"/>
                <w:sz w:val="18"/>
                <w:szCs w:val="18"/>
              </w:rPr>
              <w:t>1,876,029</w:t>
            </w:r>
          </w:p>
        </w:tc>
        <w:tc>
          <w:tcPr>
            <w:tcW w:w="1361" w:type="dxa"/>
            <w:tcBorders>
              <w:top w:val="nil"/>
              <w:left w:val="nil"/>
              <w:bottom w:val="nil"/>
              <w:right w:val="nil"/>
            </w:tcBorders>
            <w:vAlign w:val="bottom"/>
          </w:tcPr>
          <w:p w14:paraId="214B2060" w14:textId="2D8CFCFD" w:rsidR="009F0AF7" w:rsidRPr="001D41EA" w:rsidRDefault="009F0AF7" w:rsidP="001D41EA">
            <w:pPr>
              <w:spacing w:before="40" w:after="20"/>
              <w:jc w:val="right"/>
              <w:rPr>
                <w:rFonts w:cs="Arial"/>
                <w:sz w:val="18"/>
                <w:szCs w:val="18"/>
              </w:rPr>
            </w:pPr>
            <w:r w:rsidRPr="001D41EA">
              <w:rPr>
                <w:rFonts w:cs="Arial"/>
                <w:sz w:val="18"/>
                <w:szCs w:val="18"/>
              </w:rPr>
              <w:t>100,147</w:t>
            </w:r>
          </w:p>
        </w:tc>
        <w:tc>
          <w:tcPr>
            <w:tcW w:w="1361" w:type="dxa"/>
            <w:tcBorders>
              <w:top w:val="nil"/>
              <w:left w:val="nil"/>
              <w:bottom w:val="nil"/>
              <w:right w:val="nil"/>
            </w:tcBorders>
            <w:shd w:val="clear" w:color="auto" w:fill="auto"/>
            <w:vAlign w:val="bottom"/>
          </w:tcPr>
          <w:p w14:paraId="5A25BD51" w14:textId="14D235C1" w:rsidR="009F0AF7" w:rsidRPr="001D41EA" w:rsidRDefault="009F0AF7" w:rsidP="001D41EA">
            <w:pPr>
              <w:spacing w:before="40" w:after="20"/>
              <w:jc w:val="right"/>
              <w:rPr>
                <w:rFonts w:cs="Arial"/>
                <w:b/>
                <w:sz w:val="18"/>
                <w:szCs w:val="18"/>
              </w:rPr>
            </w:pPr>
            <w:r w:rsidRPr="001D41EA">
              <w:rPr>
                <w:rFonts w:cs="Arial"/>
                <w:b/>
                <w:sz w:val="18"/>
                <w:szCs w:val="18"/>
              </w:rPr>
              <w:t>6,152,360</w:t>
            </w:r>
          </w:p>
        </w:tc>
      </w:tr>
      <w:tr w:rsidR="009F0AF7" w:rsidRPr="001D41EA" w14:paraId="2774640A"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3CBA35E" w14:textId="77777777" w:rsidR="009F0AF7" w:rsidRPr="001D41EA" w:rsidRDefault="009F0AF7" w:rsidP="001D41EA">
            <w:pPr>
              <w:spacing w:before="40" w:after="20"/>
              <w:rPr>
                <w:rFonts w:cs="Arial"/>
                <w:sz w:val="18"/>
                <w:szCs w:val="18"/>
              </w:rPr>
            </w:pPr>
            <w:r w:rsidRPr="001D41EA">
              <w:rPr>
                <w:rFonts w:cs="Arial"/>
                <w:sz w:val="18"/>
                <w:szCs w:val="18"/>
              </w:rPr>
              <w:t>Manningham C</w:t>
            </w:r>
          </w:p>
        </w:tc>
        <w:tc>
          <w:tcPr>
            <w:tcW w:w="1361" w:type="dxa"/>
            <w:tcBorders>
              <w:top w:val="nil"/>
              <w:left w:val="single" w:sz="18" w:space="0" w:color="5F497A" w:themeColor="accent4" w:themeShade="BF"/>
              <w:bottom w:val="nil"/>
              <w:right w:val="nil"/>
            </w:tcBorders>
            <w:shd w:val="clear" w:color="auto" w:fill="auto"/>
            <w:vAlign w:val="bottom"/>
          </w:tcPr>
          <w:p w14:paraId="46473E5D" w14:textId="5F64D74C" w:rsidR="009F0AF7" w:rsidRPr="001D41EA" w:rsidRDefault="009F0AF7" w:rsidP="001D41EA">
            <w:pPr>
              <w:spacing w:before="40" w:after="20"/>
              <w:jc w:val="right"/>
              <w:rPr>
                <w:rFonts w:cs="Arial"/>
                <w:sz w:val="18"/>
                <w:szCs w:val="18"/>
              </w:rPr>
            </w:pPr>
            <w:r w:rsidRPr="001D41EA">
              <w:rPr>
                <w:rFonts w:cs="Arial"/>
                <w:sz w:val="18"/>
                <w:szCs w:val="18"/>
              </w:rPr>
              <w:t>1,142,709</w:t>
            </w:r>
          </w:p>
        </w:tc>
        <w:tc>
          <w:tcPr>
            <w:tcW w:w="1361" w:type="dxa"/>
            <w:tcBorders>
              <w:top w:val="nil"/>
              <w:left w:val="nil"/>
              <w:bottom w:val="nil"/>
              <w:right w:val="nil"/>
            </w:tcBorders>
            <w:shd w:val="clear" w:color="auto" w:fill="auto"/>
            <w:vAlign w:val="bottom"/>
          </w:tcPr>
          <w:p w14:paraId="3630613C" w14:textId="3AA46290" w:rsidR="009F0AF7" w:rsidRPr="001D41EA" w:rsidRDefault="009F0AF7" w:rsidP="001D41EA">
            <w:pPr>
              <w:spacing w:before="40" w:after="20"/>
              <w:jc w:val="right"/>
              <w:rPr>
                <w:rFonts w:cs="Arial"/>
                <w:sz w:val="18"/>
                <w:szCs w:val="18"/>
              </w:rPr>
            </w:pPr>
            <w:r w:rsidRPr="001D41EA">
              <w:rPr>
                <w:rFonts w:cs="Arial"/>
                <w:sz w:val="18"/>
                <w:szCs w:val="18"/>
              </w:rPr>
              <w:t>139,513</w:t>
            </w:r>
          </w:p>
        </w:tc>
        <w:tc>
          <w:tcPr>
            <w:tcW w:w="1361" w:type="dxa"/>
            <w:tcBorders>
              <w:top w:val="nil"/>
              <w:left w:val="nil"/>
              <w:bottom w:val="nil"/>
              <w:right w:val="nil"/>
            </w:tcBorders>
            <w:vAlign w:val="bottom"/>
          </w:tcPr>
          <w:p w14:paraId="790F0067" w14:textId="4F6613FD" w:rsidR="009F0AF7" w:rsidRPr="001D41EA" w:rsidRDefault="009F0AF7" w:rsidP="001D41EA">
            <w:pPr>
              <w:spacing w:before="40" w:after="20"/>
              <w:jc w:val="right"/>
              <w:rPr>
                <w:rFonts w:cs="Arial"/>
                <w:sz w:val="18"/>
                <w:szCs w:val="18"/>
              </w:rPr>
            </w:pPr>
            <w:r w:rsidRPr="001D41EA">
              <w:rPr>
                <w:rFonts w:cs="Arial"/>
                <w:sz w:val="18"/>
                <w:szCs w:val="18"/>
              </w:rPr>
              <w:t>4,687,109</w:t>
            </w:r>
          </w:p>
        </w:tc>
        <w:tc>
          <w:tcPr>
            <w:tcW w:w="1361" w:type="dxa"/>
            <w:tcBorders>
              <w:top w:val="nil"/>
              <w:left w:val="nil"/>
              <w:bottom w:val="nil"/>
              <w:right w:val="nil"/>
            </w:tcBorders>
            <w:vAlign w:val="bottom"/>
          </w:tcPr>
          <w:p w14:paraId="4F8F65CE" w14:textId="1A19BD69" w:rsidR="009F0AF7" w:rsidRPr="001D41EA" w:rsidRDefault="009F0AF7" w:rsidP="001D41EA">
            <w:pPr>
              <w:spacing w:before="40" w:after="20"/>
              <w:jc w:val="right"/>
              <w:rPr>
                <w:rFonts w:cs="Arial"/>
                <w:sz w:val="18"/>
                <w:szCs w:val="18"/>
              </w:rPr>
            </w:pPr>
            <w:r w:rsidRPr="001D41EA">
              <w:rPr>
                <w:rFonts w:cs="Arial"/>
                <w:sz w:val="18"/>
                <w:szCs w:val="18"/>
              </w:rPr>
              <w:t>254,499</w:t>
            </w:r>
          </w:p>
        </w:tc>
        <w:tc>
          <w:tcPr>
            <w:tcW w:w="1361" w:type="dxa"/>
            <w:tcBorders>
              <w:top w:val="nil"/>
              <w:left w:val="nil"/>
              <w:bottom w:val="nil"/>
              <w:right w:val="nil"/>
            </w:tcBorders>
            <w:shd w:val="clear" w:color="auto" w:fill="auto"/>
            <w:vAlign w:val="bottom"/>
          </w:tcPr>
          <w:p w14:paraId="4B416960" w14:textId="68841938" w:rsidR="009F0AF7" w:rsidRPr="001D41EA" w:rsidRDefault="009F0AF7" w:rsidP="001D41EA">
            <w:pPr>
              <w:spacing w:before="40" w:after="20"/>
              <w:jc w:val="right"/>
              <w:rPr>
                <w:rFonts w:cs="Arial"/>
                <w:b/>
                <w:sz w:val="18"/>
                <w:szCs w:val="18"/>
              </w:rPr>
            </w:pPr>
            <w:r w:rsidRPr="001D41EA">
              <w:rPr>
                <w:rFonts w:cs="Arial"/>
                <w:b/>
                <w:sz w:val="18"/>
                <w:szCs w:val="18"/>
              </w:rPr>
              <w:t>15,831,870</w:t>
            </w:r>
          </w:p>
        </w:tc>
      </w:tr>
      <w:tr w:rsidR="009F0AF7" w:rsidRPr="001D41EA" w14:paraId="42099B09"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72E9725" w14:textId="77777777" w:rsidR="009F0AF7" w:rsidRPr="001D41EA" w:rsidRDefault="009F0AF7" w:rsidP="001D41EA">
            <w:pPr>
              <w:spacing w:before="40" w:after="20"/>
              <w:rPr>
                <w:rFonts w:cs="Arial"/>
                <w:sz w:val="18"/>
                <w:szCs w:val="18"/>
              </w:rPr>
            </w:pPr>
            <w:r w:rsidRPr="001D41EA">
              <w:rPr>
                <w:rFonts w:cs="Arial"/>
                <w:sz w:val="18"/>
                <w:szCs w:val="18"/>
              </w:rPr>
              <w:t>Mansfield S</w:t>
            </w:r>
          </w:p>
        </w:tc>
        <w:tc>
          <w:tcPr>
            <w:tcW w:w="1361" w:type="dxa"/>
            <w:tcBorders>
              <w:top w:val="nil"/>
              <w:left w:val="single" w:sz="18" w:space="0" w:color="5F497A" w:themeColor="accent4" w:themeShade="BF"/>
              <w:bottom w:val="nil"/>
              <w:right w:val="nil"/>
            </w:tcBorders>
            <w:shd w:val="clear" w:color="auto" w:fill="auto"/>
            <w:vAlign w:val="bottom"/>
          </w:tcPr>
          <w:p w14:paraId="1169332C" w14:textId="2EC85C66" w:rsidR="009F0AF7" w:rsidRPr="001D41EA" w:rsidRDefault="009F0AF7" w:rsidP="001D41EA">
            <w:pPr>
              <w:spacing w:before="40" w:after="20"/>
              <w:jc w:val="right"/>
              <w:rPr>
                <w:rFonts w:cs="Arial"/>
                <w:sz w:val="18"/>
                <w:szCs w:val="18"/>
              </w:rPr>
            </w:pPr>
            <w:r w:rsidRPr="001D41EA">
              <w:rPr>
                <w:rFonts w:cs="Arial"/>
                <w:sz w:val="18"/>
                <w:szCs w:val="18"/>
              </w:rPr>
              <w:t>80,909</w:t>
            </w:r>
          </w:p>
        </w:tc>
        <w:tc>
          <w:tcPr>
            <w:tcW w:w="1361" w:type="dxa"/>
            <w:tcBorders>
              <w:top w:val="nil"/>
              <w:left w:val="nil"/>
              <w:bottom w:val="nil"/>
              <w:right w:val="nil"/>
            </w:tcBorders>
            <w:shd w:val="clear" w:color="auto" w:fill="auto"/>
            <w:vAlign w:val="bottom"/>
          </w:tcPr>
          <w:p w14:paraId="0BDCD277" w14:textId="578D93D6" w:rsidR="009F0AF7" w:rsidRPr="001D41EA" w:rsidRDefault="009F0AF7" w:rsidP="001D41EA">
            <w:pPr>
              <w:spacing w:before="40" w:after="20"/>
              <w:jc w:val="right"/>
              <w:rPr>
                <w:rFonts w:cs="Arial"/>
                <w:sz w:val="18"/>
                <w:szCs w:val="18"/>
              </w:rPr>
            </w:pPr>
            <w:r w:rsidRPr="001D41EA">
              <w:rPr>
                <w:rFonts w:cs="Arial"/>
                <w:sz w:val="18"/>
                <w:szCs w:val="18"/>
              </w:rPr>
              <w:t>10,286</w:t>
            </w:r>
          </w:p>
        </w:tc>
        <w:tc>
          <w:tcPr>
            <w:tcW w:w="1361" w:type="dxa"/>
            <w:tcBorders>
              <w:top w:val="nil"/>
              <w:left w:val="nil"/>
              <w:bottom w:val="nil"/>
              <w:right w:val="nil"/>
            </w:tcBorders>
            <w:vAlign w:val="bottom"/>
          </w:tcPr>
          <w:p w14:paraId="3182CA8A" w14:textId="6D6D7053" w:rsidR="009F0AF7" w:rsidRPr="001D41EA" w:rsidRDefault="009F0AF7" w:rsidP="001D41EA">
            <w:pPr>
              <w:spacing w:before="40" w:after="20"/>
              <w:jc w:val="right"/>
              <w:rPr>
                <w:rFonts w:cs="Arial"/>
                <w:sz w:val="18"/>
                <w:szCs w:val="18"/>
              </w:rPr>
            </w:pPr>
            <w:r w:rsidRPr="001D41EA">
              <w:rPr>
                <w:rFonts w:cs="Arial"/>
                <w:sz w:val="18"/>
                <w:szCs w:val="18"/>
              </w:rPr>
              <w:t>499,299</w:t>
            </w:r>
          </w:p>
        </w:tc>
        <w:tc>
          <w:tcPr>
            <w:tcW w:w="1361" w:type="dxa"/>
            <w:tcBorders>
              <w:top w:val="nil"/>
              <w:left w:val="nil"/>
              <w:bottom w:val="nil"/>
              <w:right w:val="nil"/>
            </w:tcBorders>
            <w:vAlign w:val="bottom"/>
          </w:tcPr>
          <w:p w14:paraId="01A0E987" w14:textId="1A7B1C76" w:rsidR="009F0AF7" w:rsidRPr="001D41EA" w:rsidRDefault="009F0AF7" w:rsidP="001D41EA">
            <w:pPr>
              <w:spacing w:before="40" w:after="20"/>
              <w:jc w:val="right"/>
              <w:rPr>
                <w:rFonts w:cs="Arial"/>
                <w:sz w:val="18"/>
                <w:szCs w:val="18"/>
              </w:rPr>
            </w:pPr>
            <w:r w:rsidRPr="001D41EA">
              <w:rPr>
                <w:rFonts w:cs="Arial"/>
                <w:sz w:val="18"/>
                <w:szCs w:val="18"/>
              </w:rPr>
              <w:t>18,763</w:t>
            </w:r>
          </w:p>
        </w:tc>
        <w:tc>
          <w:tcPr>
            <w:tcW w:w="1361" w:type="dxa"/>
            <w:tcBorders>
              <w:top w:val="nil"/>
              <w:left w:val="nil"/>
              <w:bottom w:val="nil"/>
              <w:right w:val="nil"/>
            </w:tcBorders>
            <w:shd w:val="clear" w:color="auto" w:fill="auto"/>
            <w:vAlign w:val="bottom"/>
          </w:tcPr>
          <w:p w14:paraId="152B87E8" w14:textId="7FFF9B87" w:rsidR="009F0AF7" w:rsidRPr="001D41EA" w:rsidRDefault="009F0AF7" w:rsidP="001D41EA">
            <w:pPr>
              <w:spacing w:before="40" w:after="20"/>
              <w:jc w:val="right"/>
              <w:rPr>
                <w:rFonts w:cs="Arial"/>
                <w:b/>
                <w:sz w:val="18"/>
                <w:szCs w:val="18"/>
              </w:rPr>
            </w:pPr>
            <w:r w:rsidRPr="001D41EA">
              <w:rPr>
                <w:rFonts w:cs="Arial"/>
                <w:b/>
                <w:sz w:val="18"/>
                <w:szCs w:val="18"/>
              </w:rPr>
              <w:t>1,381,912</w:t>
            </w:r>
          </w:p>
        </w:tc>
      </w:tr>
      <w:tr w:rsidR="009F0AF7" w:rsidRPr="001D41EA" w14:paraId="4FA6B6A9"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58D7FC1" w14:textId="77777777" w:rsidR="009F0AF7" w:rsidRPr="001D41EA" w:rsidRDefault="009F0AF7" w:rsidP="001D41EA">
            <w:pPr>
              <w:spacing w:before="40" w:after="20"/>
              <w:rPr>
                <w:rFonts w:cs="Arial"/>
                <w:sz w:val="18"/>
                <w:szCs w:val="18"/>
              </w:rPr>
            </w:pPr>
            <w:r w:rsidRPr="001D41EA">
              <w:rPr>
                <w:rFonts w:cs="Arial"/>
                <w:sz w:val="18"/>
                <w:szCs w:val="18"/>
              </w:rPr>
              <w:t>Maribyrnong C</w:t>
            </w:r>
          </w:p>
        </w:tc>
        <w:tc>
          <w:tcPr>
            <w:tcW w:w="1361" w:type="dxa"/>
            <w:tcBorders>
              <w:top w:val="nil"/>
              <w:left w:val="single" w:sz="18" w:space="0" w:color="5F497A" w:themeColor="accent4" w:themeShade="BF"/>
              <w:bottom w:val="nil"/>
              <w:right w:val="nil"/>
            </w:tcBorders>
            <w:shd w:val="clear" w:color="auto" w:fill="auto"/>
            <w:vAlign w:val="bottom"/>
          </w:tcPr>
          <w:p w14:paraId="206AB1E2" w14:textId="0BFE80E2" w:rsidR="009F0AF7" w:rsidRPr="001D41EA" w:rsidRDefault="009F0AF7" w:rsidP="001D41EA">
            <w:pPr>
              <w:spacing w:before="40" w:after="20"/>
              <w:jc w:val="right"/>
              <w:rPr>
                <w:rFonts w:cs="Arial"/>
                <w:sz w:val="18"/>
                <w:szCs w:val="18"/>
              </w:rPr>
            </w:pPr>
            <w:r w:rsidRPr="001D41EA">
              <w:rPr>
                <w:rFonts w:cs="Arial"/>
                <w:sz w:val="18"/>
                <w:szCs w:val="18"/>
              </w:rPr>
              <w:t>1,083,122</w:t>
            </w:r>
          </w:p>
        </w:tc>
        <w:tc>
          <w:tcPr>
            <w:tcW w:w="1361" w:type="dxa"/>
            <w:tcBorders>
              <w:top w:val="nil"/>
              <w:left w:val="nil"/>
              <w:bottom w:val="nil"/>
              <w:right w:val="nil"/>
            </w:tcBorders>
            <w:shd w:val="clear" w:color="auto" w:fill="auto"/>
            <w:vAlign w:val="bottom"/>
          </w:tcPr>
          <w:p w14:paraId="3836E95E" w14:textId="3DA314E0" w:rsidR="009F0AF7" w:rsidRPr="001D41EA" w:rsidRDefault="009F0AF7" w:rsidP="001D41EA">
            <w:pPr>
              <w:spacing w:before="40" w:after="20"/>
              <w:jc w:val="right"/>
              <w:rPr>
                <w:rFonts w:cs="Arial"/>
                <w:sz w:val="18"/>
                <w:szCs w:val="18"/>
              </w:rPr>
            </w:pPr>
            <w:r w:rsidRPr="001D41EA">
              <w:rPr>
                <w:rFonts w:cs="Arial"/>
                <w:sz w:val="18"/>
                <w:szCs w:val="18"/>
              </w:rPr>
              <w:t>101,585</w:t>
            </w:r>
          </w:p>
        </w:tc>
        <w:tc>
          <w:tcPr>
            <w:tcW w:w="1361" w:type="dxa"/>
            <w:tcBorders>
              <w:top w:val="nil"/>
              <w:left w:val="nil"/>
              <w:bottom w:val="nil"/>
              <w:right w:val="nil"/>
            </w:tcBorders>
            <w:vAlign w:val="bottom"/>
          </w:tcPr>
          <w:p w14:paraId="2DA392D1" w14:textId="3464A6C0" w:rsidR="009F0AF7" w:rsidRPr="001D41EA" w:rsidRDefault="009F0AF7" w:rsidP="001D41EA">
            <w:pPr>
              <w:spacing w:before="40" w:after="20"/>
              <w:jc w:val="right"/>
              <w:rPr>
                <w:rFonts w:cs="Arial"/>
                <w:sz w:val="18"/>
                <w:szCs w:val="18"/>
              </w:rPr>
            </w:pPr>
            <w:r w:rsidRPr="001D41EA">
              <w:rPr>
                <w:rFonts w:cs="Arial"/>
                <w:sz w:val="18"/>
                <w:szCs w:val="18"/>
              </w:rPr>
              <w:t>3,606,920</w:t>
            </w:r>
          </w:p>
        </w:tc>
        <w:tc>
          <w:tcPr>
            <w:tcW w:w="1361" w:type="dxa"/>
            <w:tcBorders>
              <w:top w:val="nil"/>
              <w:left w:val="nil"/>
              <w:bottom w:val="nil"/>
              <w:right w:val="nil"/>
            </w:tcBorders>
            <w:vAlign w:val="bottom"/>
          </w:tcPr>
          <w:p w14:paraId="77442354" w14:textId="145DD145" w:rsidR="009F0AF7" w:rsidRPr="001D41EA" w:rsidRDefault="009F0AF7" w:rsidP="001D41EA">
            <w:pPr>
              <w:spacing w:before="40" w:after="20"/>
              <w:jc w:val="right"/>
              <w:rPr>
                <w:rFonts w:cs="Arial"/>
                <w:sz w:val="18"/>
                <w:szCs w:val="18"/>
              </w:rPr>
            </w:pPr>
            <w:r w:rsidRPr="001D41EA">
              <w:rPr>
                <w:rFonts w:cs="Arial"/>
                <w:sz w:val="18"/>
                <w:szCs w:val="18"/>
              </w:rPr>
              <w:t>185,310</w:t>
            </w:r>
          </w:p>
        </w:tc>
        <w:tc>
          <w:tcPr>
            <w:tcW w:w="1361" w:type="dxa"/>
            <w:tcBorders>
              <w:top w:val="nil"/>
              <w:left w:val="nil"/>
              <w:bottom w:val="nil"/>
              <w:right w:val="nil"/>
            </w:tcBorders>
            <w:shd w:val="clear" w:color="auto" w:fill="auto"/>
            <w:vAlign w:val="bottom"/>
          </w:tcPr>
          <w:p w14:paraId="0C0C51B1" w14:textId="6E31FC69" w:rsidR="009F0AF7" w:rsidRPr="001D41EA" w:rsidRDefault="009F0AF7" w:rsidP="001D41EA">
            <w:pPr>
              <w:spacing w:before="40" w:after="20"/>
              <w:jc w:val="right"/>
              <w:rPr>
                <w:rFonts w:cs="Arial"/>
                <w:b/>
                <w:sz w:val="18"/>
                <w:szCs w:val="18"/>
              </w:rPr>
            </w:pPr>
            <w:r w:rsidRPr="001D41EA">
              <w:rPr>
                <w:rFonts w:cs="Arial"/>
                <w:b/>
                <w:sz w:val="18"/>
                <w:szCs w:val="18"/>
              </w:rPr>
              <w:t>11,215,363</w:t>
            </w:r>
          </w:p>
        </w:tc>
      </w:tr>
      <w:tr w:rsidR="009F0AF7" w:rsidRPr="001D41EA" w14:paraId="3B8E786E"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9BA568C" w14:textId="77777777" w:rsidR="009F0AF7" w:rsidRPr="001D41EA" w:rsidRDefault="009F0AF7" w:rsidP="001D41EA">
            <w:pPr>
              <w:spacing w:before="40" w:after="20"/>
              <w:rPr>
                <w:rFonts w:cs="Arial"/>
                <w:sz w:val="18"/>
                <w:szCs w:val="18"/>
              </w:rPr>
            </w:pPr>
            <w:r w:rsidRPr="001D41EA">
              <w:rPr>
                <w:rFonts w:cs="Arial"/>
                <w:sz w:val="18"/>
                <w:szCs w:val="18"/>
              </w:rPr>
              <w:t>Maroondah C</w:t>
            </w:r>
          </w:p>
        </w:tc>
        <w:tc>
          <w:tcPr>
            <w:tcW w:w="1361" w:type="dxa"/>
            <w:tcBorders>
              <w:top w:val="nil"/>
              <w:left w:val="single" w:sz="18" w:space="0" w:color="5F497A" w:themeColor="accent4" w:themeShade="BF"/>
              <w:bottom w:val="nil"/>
              <w:right w:val="nil"/>
            </w:tcBorders>
            <w:shd w:val="clear" w:color="auto" w:fill="auto"/>
            <w:vAlign w:val="bottom"/>
          </w:tcPr>
          <w:p w14:paraId="0C971AF2" w14:textId="0EAD38C4" w:rsidR="009F0AF7" w:rsidRPr="001D41EA" w:rsidRDefault="009F0AF7" w:rsidP="001D41EA">
            <w:pPr>
              <w:spacing w:before="40" w:after="20"/>
              <w:jc w:val="right"/>
              <w:rPr>
                <w:rFonts w:cs="Arial"/>
                <w:sz w:val="18"/>
                <w:szCs w:val="18"/>
              </w:rPr>
            </w:pPr>
            <w:r w:rsidRPr="001D41EA">
              <w:rPr>
                <w:rFonts w:cs="Arial"/>
                <w:sz w:val="18"/>
                <w:szCs w:val="18"/>
              </w:rPr>
              <w:t>1,176,869</w:t>
            </w:r>
          </w:p>
        </w:tc>
        <w:tc>
          <w:tcPr>
            <w:tcW w:w="1361" w:type="dxa"/>
            <w:tcBorders>
              <w:top w:val="nil"/>
              <w:left w:val="nil"/>
              <w:bottom w:val="nil"/>
              <w:right w:val="nil"/>
            </w:tcBorders>
            <w:shd w:val="clear" w:color="auto" w:fill="auto"/>
            <w:vAlign w:val="bottom"/>
          </w:tcPr>
          <w:p w14:paraId="1BF1607A" w14:textId="26676AFB" w:rsidR="009F0AF7" w:rsidRPr="001D41EA" w:rsidRDefault="009F0AF7" w:rsidP="001D41EA">
            <w:pPr>
              <w:spacing w:before="40" w:after="20"/>
              <w:jc w:val="right"/>
              <w:rPr>
                <w:rFonts w:cs="Arial"/>
                <w:sz w:val="18"/>
                <w:szCs w:val="18"/>
              </w:rPr>
            </w:pPr>
            <w:r w:rsidRPr="001D41EA">
              <w:rPr>
                <w:rFonts w:cs="Arial"/>
                <w:sz w:val="18"/>
                <w:szCs w:val="18"/>
              </w:rPr>
              <w:t>130,609</w:t>
            </w:r>
          </w:p>
        </w:tc>
        <w:tc>
          <w:tcPr>
            <w:tcW w:w="1361" w:type="dxa"/>
            <w:tcBorders>
              <w:top w:val="nil"/>
              <w:left w:val="nil"/>
              <w:bottom w:val="nil"/>
              <w:right w:val="nil"/>
            </w:tcBorders>
            <w:vAlign w:val="bottom"/>
          </w:tcPr>
          <w:p w14:paraId="160EE265" w14:textId="687FE65D" w:rsidR="009F0AF7" w:rsidRPr="001D41EA" w:rsidRDefault="009F0AF7" w:rsidP="001D41EA">
            <w:pPr>
              <w:spacing w:before="40" w:after="20"/>
              <w:jc w:val="right"/>
              <w:rPr>
                <w:rFonts w:cs="Arial"/>
                <w:sz w:val="18"/>
                <w:szCs w:val="18"/>
              </w:rPr>
            </w:pPr>
            <w:r w:rsidRPr="001D41EA">
              <w:rPr>
                <w:rFonts w:cs="Arial"/>
                <w:sz w:val="18"/>
                <w:szCs w:val="18"/>
              </w:rPr>
              <w:t>4,056,463</w:t>
            </w:r>
          </w:p>
        </w:tc>
        <w:tc>
          <w:tcPr>
            <w:tcW w:w="1361" w:type="dxa"/>
            <w:tcBorders>
              <w:top w:val="nil"/>
              <w:left w:val="nil"/>
              <w:bottom w:val="nil"/>
              <w:right w:val="nil"/>
            </w:tcBorders>
            <w:vAlign w:val="bottom"/>
          </w:tcPr>
          <w:p w14:paraId="540FE766" w14:textId="0DB56D0F" w:rsidR="009F0AF7" w:rsidRPr="001D41EA" w:rsidRDefault="009F0AF7" w:rsidP="001D41EA">
            <w:pPr>
              <w:spacing w:before="40" w:after="20"/>
              <w:jc w:val="right"/>
              <w:rPr>
                <w:rFonts w:cs="Arial"/>
                <w:sz w:val="18"/>
                <w:szCs w:val="18"/>
              </w:rPr>
            </w:pPr>
            <w:r w:rsidRPr="001D41EA">
              <w:rPr>
                <w:rFonts w:cs="Arial"/>
                <w:sz w:val="18"/>
                <w:szCs w:val="18"/>
              </w:rPr>
              <w:t>238,257</w:t>
            </w:r>
          </w:p>
        </w:tc>
        <w:tc>
          <w:tcPr>
            <w:tcW w:w="1361" w:type="dxa"/>
            <w:tcBorders>
              <w:top w:val="nil"/>
              <w:left w:val="nil"/>
              <w:bottom w:val="nil"/>
              <w:right w:val="nil"/>
            </w:tcBorders>
            <w:shd w:val="clear" w:color="auto" w:fill="auto"/>
            <w:vAlign w:val="bottom"/>
          </w:tcPr>
          <w:p w14:paraId="012D226E" w14:textId="042581D0" w:rsidR="009F0AF7" w:rsidRPr="001D41EA" w:rsidRDefault="009F0AF7" w:rsidP="001D41EA">
            <w:pPr>
              <w:spacing w:before="40" w:after="20"/>
              <w:jc w:val="right"/>
              <w:rPr>
                <w:rFonts w:cs="Arial"/>
                <w:b/>
                <w:sz w:val="18"/>
                <w:szCs w:val="18"/>
              </w:rPr>
            </w:pPr>
            <w:r w:rsidRPr="001D41EA">
              <w:rPr>
                <w:rFonts w:cs="Arial"/>
                <w:b/>
                <w:sz w:val="18"/>
                <w:szCs w:val="18"/>
              </w:rPr>
              <w:t>14,184,955</w:t>
            </w:r>
          </w:p>
        </w:tc>
      </w:tr>
      <w:tr w:rsidR="009F0AF7" w:rsidRPr="001D41EA" w14:paraId="058914A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3AEDCB7" w14:textId="77777777" w:rsidR="009F0AF7" w:rsidRPr="001D41EA" w:rsidRDefault="009F0AF7" w:rsidP="001D41EA">
            <w:pPr>
              <w:spacing w:before="40" w:after="20"/>
              <w:rPr>
                <w:rFonts w:cs="Arial"/>
                <w:sz w:val="18"/>
                <w:szCs w:val="18"/>
              </w:rPr>
            </w:pPr>
            <w:r w:rsidRPr="001D41EA">
              <w:rPr>
                <w:rFonts w:cs="Arial"/>
                <w:sz w:val="18"/>
                <w:szCs w:val="18"/>
              </w:rPr>
              <w:t>Melbourne C</w:t>
            </w:r>
          </w:p>
        </w:tc>
        <w:tc>
          <w:tcPr>
            <w:tcW w:w="1361" w:type="dxa"/>
            <w:tcBorders>
              <w:top w:val="nil"/>
              <w:left w:val="single" w:sz="18" w:space="0" w:color="5F497A" w:themeColor="accent4" w:themeShade="BF"/>
              <w:bottom w:val="nil"/>
              <w:right w:val="nil"/>
            </w:tcBorders>
            <w:shd w:val="clear" w:color="auto" w:fill="auto"/>
            <w:vAlign w:val="bottom"/>
          </w:tcPr>
          <w:p w14:paraId="46564C18" w14:textId="2DF1C63B" w:rsidR="009F0AF7" w:rsidRPr="001D41EA" w:rsidRDefault="009F0AF7" w:rsidP="001D41EA">
            <w:pPr>
              <w:spacing w:before="40" w:after="20"/>
              <w:jc w:val="right"/>
              <w:rPr>
                <w:rFonts w:cs="Arial"/>
                <w:sz w:val="18"/>
                <w:szCs w:val="18"/>
              </w:rPr>
            </w:pPr>
            <w:r w:rsidRPr="001D41EA">
              <w:rPr>
                <w:rFonts w:cs="Arial"/>
                <w:sz w:val="18"/>
                <w:szCs w:val="18"/>
              </w:rPr>
              <w:t>2,313,394</w:t>
            </w:r>
          </w:p>
        </w:tc>
        <w:tc>
          <w:tcPr>
            <w:tcW w:w="1361" w:type="dxa"/>
            <w:tcBorders>
              <w:top w:val="nil"/>
              <w:left w:val="nil"/>
              <w:bottom w:val="nil"/>
              <w:right w:val="nil"/>
            </w:tcBorders>
            <w:shd w:val="clear" w:color="auto" w:fill="auto"/>
            <w:vAlign w:val="bottom"/>
          </w:tcPr>
          <w:p w14:paraId="77B218F8" w14:textId="2F4E8BB8" w:rsidR="009F0AF7" w:rsidRPr="001D41EA" w:rsidRDefault="009F0AF7" w:rsidP="001D41EA">
            <w:pPr>
              <w:spacing w:before="40" w:after="20"/>
              <w:jc w:val="right"/>
              <w:rPr>
                <w:rFonts w:cs="Arial"/>
                <w:sz w:val="18"/>
                <w:szCs w:val="18"/>
              </w:rPr>
            </w:pPr>
            <w:r w:rsidRPr="001D41EA">
              <w:rPr>
                <w:rFonts w:cs="Arial"/>
                <w:sz w:val="18"/>
                <w:szCs w:val="18"/>
              </w:rPr>
              <w:t>188,927</w:t>
            </w:r>
          </w:p>
        </w:tc>
        <w:tc>
          <w:tcPr>
            <w:tcW w:w="1361" w:type="dxa"/>
            <w:tcBorders>
              <w:top w:val="nil"/>
              <w:left w:val="nil"/>
              <w:bottom w:val="nil"/>
              <w:right w:val="nil"/>
            </w:tcBorders>
            <w:vAlign w:val="bottom"/>
          </w:tcPr>
          <w:p w14:paraId="0674E3A6" w14:textId="7352D3DA" w:rsidR="009F0AF7" w:rsidRPr="001D41EA" w:rsidRDefault="009F0AF7" w:rsidP="001D41EA">
            <w:pPr>
              <w:spacing w:before="40" w:after="20"/>
              <w:jc w:val="right"/>
              <w:rPr>
                <w:rFonts w:cs="Arial"/>
                <w:sz w:val="18"/>
                <w:szCs w:val="18"/>
              </w:rPr>
            </w:pPr>
            <w:r w:rsidRPr="001D41EA">
              <w:rPr>
                <w:rFonts w:cs="Arial"/>
                <w:sz w:val="18"/>
                <w:szCs w:val="18"/>
              </w:rPr>
              <w:t>10,474,170</w:t>
            </w:r>
          </w:p>
        </w:tc>
        <w:tc>
          <w:tcPr>
            <w:tcW w:w="1361" w:type="dxa"/>
            <w:tcBorders>
              <w:top w:val="nil"/>
              <w:left w:val="nil"/>
              <w:bottom w:val="nil"/>
              <w:right w:val="nil"/>
            </w:tcBorders>
            <w:vAlign w:val="bottom"/>
          </w:tcPr>
          <w:p w14:paraId="4D4E0D07" w14:textId="4B96535F" w:rsidR="009F0AF7" w:rsidRPr="001D41EA" w:rsidRDefault="009F0AF7" w:rsidP="001D41EA">
            <w:pPr>
              <w:spacing w:before="40" w:after="20"/>
              <w:jc w:val="right"/>
              <w:rPr>
                <w:rFonts w:cs="Arial"/>
                <w:sz w:val="18"/>
                <w:szCs w:val="18"/>
              </w:rPr>
            </w:pPr>
            <w:r w:rsidRPr="001D41EA">
              <w:rPr>
                <w:rFonts w:cs="Arial"/>
                <w:sz w:val="18"/>
                <w:szCs w:val="18"/>
              </w:rPr>
              <w:t>344,639</w:t>
            </w:r>
          </w:p>
        </w:tc>
        <w:tc>
          <w:tcPr>
            <w:tcW w:w="1361" w:type="dxa"/>
            <w:tcBorders>
              <w:top w:val="nil"/>
              <w:left w:val="nil"/>
              <w:bottom w:val="nil"/>
              <w:right w:val="nil"/>
            </w:tcBorders>
            <w:shd w:val="clear" w:color="auto" w:fill="auto"/>
            <w:vAlign w:val="bottom"/>
          </w:tcPr>
          <w:p w14:paraId="4656A873" w14:textId="6109430B" w:rsidR="009F0AF7" w:rsidRPr="001D41EA" w:rsidRDefault="009F0AF7" w:rsidP="001D41EA">
            <w:pPr>
              <w:spacing w:before="40" w:after="20"/>
              <w:jc w:val="right"/>
              <w:rPr>
                <w:rFonts w:cs="Arial"/>
                <w:b/>
                <w:sz w:val="18"/>
                <w:szCs w:val="18"/>
              </w:rPr>
            </w:pPr>
            <w:r w:rsidRPr="001D41EA">
              <w:rPr>
                <w:rFonts w:cs="Arial"/>
                <w:b/>
                <w:sz w:val="18"/>
                <w:szCs w:val="18"/>
              </w:rPr>
              <w:t>25,479,562</w:t>
            </w:r>
          </w:p>
        </w:tc>
      </w:tr>
      <w:tr w:rsidR="009F0AF7" w:rsidRPr="001D41EA" w14:paraId="129B261E"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6E91796" w14:textId="77777777" w:rsidR="009F0AF7" w:rsidRPr="001D41EA" w:rsidRDefault="009F0AF7" w:rsidP="001D41EA">
            <w:pPr>
              <w:spacing w:before="40" w:after="20"/>
              <w:rPr>
                <w:rFonts w:cs="Arial"/>
                <w:sz w:val="18"/>
                <w:szCs w:val="18"/>
              </w:rPr>
            </w:pPr>
            <w:r w:rsidRPr="001D41EA">
              <w:rPr>
                <w:rFonts w:cs="Arial"/>
                <w:sz w:val="18"/>
                <w:szCs w:val="18"/>
              </w:rPr>
              <w:t>Melton C</w:t>
            </w:r>
          </w:p>
        </w:tc>
        <w:tc>
          <w:tcPr>
            <w:tcW w:w="1361" w:type="dxa"/>
            <w:tcBorders>
              <w:top w:val="nil"/>
              <w:left w:val="single" w:sz="18" w:space="0" w:color="5F497A" w:themeColor="accent4" w:themeShade="BF"/>
              <w:bottom w:val="nil"/>
              <w:right w:val="nil"/>
            </w:tcBorders>
            <w:shd w:val="clear" w:color="auto" w:fill="auto"/>
            <w:vAlign w:val="bottom"/>
          </w:tcPr>
          <w:p w14:paraId="673AD10C" w14:textId="3B5DED8A" w:rsidR="009F0AF7" w:rsidRPr="001D41EA" w:rsidRDefault="009F0AF7" w:rsidP="001D41EA">
            <w:pPr>
              <w:spacing w:before="40" w:after="20"/>
              <w:jc w:val="right"/>
              <w:rPr>
                <w:rFonts w:cs="Arial"/>
                <w:sz w:val="18"/>
                <w:szCs w:val="18"/>
              </w:rPr>
            </w:pPr>
            <w:r w:rsidRPr="001D41EA">
              <w:rPr>
                <w:rFonts w:cs="Arial"/>
                <w:sz w:val="18"/>
                <w:szCs w:val="18"/>
              </w:rPr>
              <w:t>1,336,049</w:t>
            </w:r>
          </w:p>
        </w:tc>
        <w:tc>
          <w:tcPr>
            <w:tcW w:w="1361" w:type="dxa"/>
            <w:tcBorders>
              <w:top w:val="nil"/>
              <w:left w:val="nil"/>
              <w:bottom w:val="nil"/>
              <w:right w:val="nil"/>
            </w:tcBorders>
            <w:shd w:val="clear" w:color="auto" w:fill="auto"/>
            <w:vAlign w:val="bottom"/>
          </w:tcPr>
          <w:p w14:paraId="5672A76E" w14:textId="1D6E9A3B" w:rsidR="009F0AF7" w:rsidRPr="001D41EA" w:rsidRDefault="009F0AF7" w:rsidP="001D41EA">
            <w:pPr>
              <w:spacing w:before="40" w:after="20"/>
              <w:jc w:val="right"/>
              <w:rPr>
                <w:rFonts w:cs="Arial"/>
                <w:sz w:val="18"/>
                <w:szCs w:val="18"/>
              </w:rPr>
            </w:pPr>
            <w:r w:rsidRPr="001D41EA">
              <w:rPr>
                <w:rFonts w:cs="Arial"/>
                <w:sz w:val="18"/>
                <w:szCs w:val="18"/>
              </w:rPr>
              <w:t>174,200</w:t>
            </w:r>
          </w:p>
        </w:tc>
        <w:tc>
          <w:tcPr>
            <w:tcW w:w="1361" w:type="dxa"/>
            <w:tcBorders>
              <w:top w:val="nil"/>
              <w:left w:val="nil"/>
              <w:bottom w:val="nil"/>
              <w:right w:val="nil"/>
            </w:tcBorders>
            <w:vAlign w:val="bottom"/>
          </w:tcPr>
          <w:p w14:paraId="078DFA49" w14:textId="371F8DC5" w:rsidR="009F0AF7" w:rsidRPr="001D41EA" w:rsidRDefault="009F0AF7" w:rsidP="001D41EA">
            <w:pPr>
              <w:spacing w:before="40" w:after="20"/>
              <w:jc w:val="right"/>
              <w:rPr>
                <w:rFonts w:cs="Arial"/>
                <w:sz w:val="18"/>
                <w:szCs w:val="18"/>
              </w:rPr>
            </w:pPr>
            <w:r w:rsidRPr="001D41EA">
              <w:rPr>
                <w:rFonts w:cs="Arial"/>
                <w:sz w:val="18"/>
                <w:szCs w:val="18"/>
              </w:rPr>
              <w:t>5,856,102</w:t>
            </w:r>
          </w:p>
        </w:tc>
        <w:tc>
          <w:tcPr>
            <w:tcW w:w="1361" w:type="dxa"/>
            <w:tcBorders>
              <w:top w:val="nil"/>
              <w:left w:val="nil"/>
              <w:bottom w:val="nil"/>
              <w:right w:val="nil"/>
            </w:tcBorders>
            <w:vAlign w:val="bottom"/>
          </w:tcPr>
          <w:p w14:paraId="6CC77565" w14:textId="508E8B38" w:rsidR="009F0AF7" w:rsidRPr="001D41EA" w:rsidRDefault="009F0AF7" w:rsidP="001D41EA">
            <w:pPr>
              <w:spacing w:before="40" w:after="20"/>
              <w:jc w:val="right"/>
              <w:rPr>
                <w:rFonts w:cs="Arial"/>
                <w:sz w:val="18"/>
                <w:szCs w:val="18"/>
              </w:rPr>
            </w:pPr>
            <w:r w:rsidRPr="001D41EA">
              <w:rPr>
                <w:rFonts w:cs="Arial"/>
                <w:sz w:val="18"/>
                <w:szCs w:val="18"/>
              </w:rPr>
              <w:t>317,775</w:t>
            </w:r>
          </w:p>
        </w:tc>
        <w:tc>
          <w:tcPr>
            <w:tcW w:w="1361" w:type="dxa"/>
            <w:tcBorders>
              <w:top w:val="nil"/>
              <w:left w:val="nil"/>
              <w:bottom w:val="nil"/>
              <w:right w:val="nil"/>
            </w:tcBorders>
            <w:shd w:val="clear" w:color="auto" w:fill="auto"/>
            <w:vAlign w:val="bottom"/>
          </w:tcPr>
          <w:p w14:paraId="3AEF8A58" w14:textId="077FB638" w:rsidR="009F0AF7" w:rsidRPr="001D41EA" w:rsidRDefault="009F0AF7" w:rsidP="001D41EA">
            <w:pPr>
              <w:spacing w:before="40" w:after="20"/>
              <w:jc w:val="right"/>
              <w:rPr>
                <w:rFonts w:cs="Arial"/>
                <w:b/>
                <w:sz w:val="18"/>
                <w:szCs w:val="18"/>
              </w:rPr>
            </w:pPr>
            <w:r w:rsidRPr="001D41EA">
              <w:rPr>
                <w:rFonts w:cs="Arial"/>
                <w:b/>
                <w:sz w:val="18"/>
                <w:szCs w:val="18"/>
              </w:rPr>
              <w:t>18,176,173</w:t>
            </w:r>
          </w:p>
        </w:tc>
      </w:tr>
      <w:tr w:rsidR="009F0AF7" w:rsidRPr="001D41EA" w14:paraId="0908503C"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511FFB3" w14:textId="77777777" w:rsidR="009F0AF7" w:rsidRPr="001D41EA" w:rsidRDefault="009F0AF7" w:rsidP="001D41EA">
            <w:pPr>
              <w:spacing w:before="40" w:after="20"/>
              <w:rPr>
                <w:rFonts w:cs="Arial"/>
                <w:sz w:val="18"/>
                <w:szCs w:val="18"/>
              </w:rPr>
            </w:pPr>
            <w:r w:rsidRPr="001D41EA">
              <w:rPr>
                <w:rFonts w:cs="Arial"/>
                <w:sz w:val="18"/>
                <w:szCs w:val="18"/>
              </w:rPr>
              <w:t>Mildura RC</w:t>
            </w:r>
          </w:p>
        </w:tc>
        <w:tc>
          <w:tcPr>
            <w:tcW w:w="1361" w:type="dxa"/>
            <w:tcBorders>
              <w:top w:val="nil"/>
              <w:left w:val="single" w:sz="18" w:space="0" w:color="5F497A" w:themeColor="accent4" w:themeShade="BF"/>
              <w:bottom w:val="nil"/>
              <w:right w:val="nil"/>
            </w:tcBorders>
            <w:shd w:val="clear" w:color="auto" w:fill="auto"/>
            <w:vAlign w:val="bottom"/>
          </w:tcPr>
          <w:p w14:paraId="7E8B55B5" w14:textId="497E31C6" w:rsidR="009F0AF7" w:rsidRPr="001D41EA" w:rsidRDefault="009F0AF7" w:rsidP="001D41EA">
            <w:pPr>
              <w:spacing w:before="40" w:after="20"/>
              <w:jc w:val="right"/>
              <w:rPr>
                <w:rFonts w:cs="Arial"/>
                <w:sz w:val="18"/>
                <w:szCs w:val="18"/>
              </w:rPr>
            </w:pPr>
            <w:r w:rsidRPr="001D41EA">
              <w:rPr>
                <w:rFonts w:cs="Arial"/>
                <w:sz w:val="18"/>
                <w:szCs w:val="18"/>
              </w:rPr>
              <w:t>627,149</w:t>
            </w:r>
          </w:p>
        </w:tc>
        <w:tc>
          <w:tcPr>
            <w:tcW w:w="1361" w:type="dxa"/>
            <w:tcBorders>
              <w:top w:val="nil"/>
              <w:left w:val="nil"/>
              <w:bottom w:val="nil"/>
              <w:right w:val="nil"/>
            </w:tcBorders>
            <w:shd w:val="clear" w:color="auto" w:fill="auto"/>
            <w:vAlign w:val="bottom"/>
          </w:tcPr>
          <w:p w14:paraId="4263FF3C" w14:textId="094851F3" w:rsidR="009F0AF7" w:rsidRPr="001D41EA" w:rsidRDefault="009F0AF7" w:rsidP="001D41EA">
            <w:pPr>
              <w:spacing w:before="40" w:after="20"/>
              <w:jc w:val="right"/>
              <w:rPr>
                <w:rFonts w:cs="Arial"/>
                <w:sz w:val="18"/>
                <w:szCs w:val="18"/>
              </w:rPr>
            </w:pPr>
            <w:r w:rsidRPr="001D41EA">
              <w:rPr>
                <w:rFonts w:cs="Arial"/>
                <w:sz w:val="18"/>
                <w:szCs w:val="18"/>
              </w:rPr>
              <w:t>61,710</w:t>
            </w:r>
          </w:p>
        </w:tc>
        <w:tc>
          <w:tcPr>
            <w:tcW w:w="1361" w:type="dxa"/>
            <w:tcBorders>
              <w:top w:val="nil"/>
              <w:left w:val="nil"/>
              <w:bottom w:val="nil"/>
              <w:right w:val="nil"/>
            </w:tcBorders>
            <w:vAlign w:val="bottom"/>
          </w:tcPr>
          <w:p w14:paraId="11436BA7" w14:textId="367C82A9" w:rsidR="009F0AF7" w:rsidRPr="001D41EA" w:rsidRDefault="009F0AF7" w:rsidP="001D41EA">
            <w:pPr>
              <w:spacing w:before="40" w:after="20"/>
              <w:jc w:val="right"/>
              <w:rPr>
                <w:rFonts w:cs="Arial"/>
                <w:sz w:val="18"/>
                <w:szCs w:val="18"/>
              </w:rPr>
            </w:pPr>
            <w:r w:rsidRPr="001D41EA">
              <w:rPr>
                <w:rFonts w:cs="Arial"/>
                <w:sz w:val="18"/>
                <w:szCs w:val="18"/>
              </w:rPr>
              <w:t>2,019,367</w:t>
            </w:r>
          </w:p>
        </w:tc>
        <w:tc>
          <w:tcPr>
            <w:tcW w:w="1361" w:type="dxa"/>
            <w:tcBorders>
              <w:top w:val="nil"/>
              <w:left w:val="nil"/>
              <w:bottom w:val="nil"/>
              <w:right w:val="nil"/>
            </w:tcBorders>
            <w:vAlign w:val="bottom"/>
          </w:tcPr>
          <w:p w14:paraId="6285AAC0" w14:textId="61AD6DC0" w:rsidR="009F0AF7" w:rsidRPr="001D41EA" w:rsidRDefault="009F0AF7" w:rsidP="001D41EA">
            <w:pPr>
              <w:spacing w:before="40" w:after="20"/>
              <w:jc w:val="right"/>
              <w:rPr>
                <w:rFonts w:cs="Arial"/>
                <w:sz w:val="18"/>
                <w:szCs w:val="18"/>
              </w:rPr>
            </w:pPr>
            <w:r w:rsidRPr="001D41EA">
              <w:rPr>
                <w:rFonts w:cs="Arial"/>
                <w:sz w:val="18"/>
                <w:szCs w:val="18"/>
              </w:rPr>
              <w:t>112,571</w:t>
            </w:r>
          </w:p>
        </w:tc>
        <w:tc>
          <w:tcPr>
            <w:tcW w:w="1361" w:type="dxa"/>
            <w:tcBorders>
              <w:top w:val="nil"/>
              <w:left w:val="nil"/>
              <w:bottom w:val="nil"/>
              <w:right w:val="nil"/>
            </w:tcBorders>
            <w:shd w:val="clear" w:color="auto" w:fill="auto"/>
            <w:vAlign w:val="bottom"/>
          </w:tcPr>
          <w:p w14:paraId="3CF473B9" w14:textId="55584F37" w:rsidR="009F0AF7" w:rsidRPr="001D41EA" w:rsidRDefault="009F0AF7" w:rsidP="001D41EA">
            <w:pPr>
              <w:spacing w:before="40" w:after="20"/>
              <w:jc w:val="right"/>
              <w:rPr>
                <w:rFonts w:cs="Arial"/>
                <w:b/>
                <w:sz w:val="18"/>
                <w:szCs w:val="18"/>
              </w:rPr>
            </w:pPr>
            <w:r w:rsidRPr="001D41EA">
              <w:rPr>
                <w:rFonts w:cs="Arial"/>
                <w:b/>
                <w:sz w:val="18"/>
                <w:szCs w:val="18"/>
              </w:rPr>
              <w:t>6,792,606</w:t>
            </w:r>
          </w:p>
        </w:tc>
      </w:tr>
      <w:tr w:rsidR="009F0AF7" w:rsidRPr="001D41EA" w14:paraId="3463C777"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EFAC0FA" w14:textId="77777777" w:rsidR="009F0AF7" w:rsidRPr="001D41EA" w:rsidRDefault="009F0AF7" w:rsidP="001D41EA">
            <w:pPr>
              <w:spacing w:before="40" w:after="20"/>
              <w:rPr>
                <w:rFonts w:cs="Arial"/>
                <w:sz w:val="18"/>
                <w:szCs w:val="18"/>
              </w:rPr>
            </w:pPr>
            <w:r w:rsidRPr="001D41EA">
              <w:rPr>
                <w:rFonts w:cs="Arial"/>
                <w:sz w:val="18"/>
                <w:szCs w:val="18"/>
              </w:rPr>
              <w:t>Mitchell S</w:t>
            </w:r>
          </w:p>
        </w:tc>
        <w:tc>
          <w:tcPr>
            <w:tcW w:w="1361" w:type="dxa"/>
            <w:tcBorders>
              <w:top w:val="nil"/>
              <w:left w:val="single" w:sz="18" w:space="0" w:color="5F497A" w:themeColor="accent4" w:themeShade="BF"/>
              <w:bottom w:val="nil"/>
              <w:right w:val="nil"/>
            </w:tcBorders>
            <w:shd w:val="clear" w:color="auto" w:fill="auto"/>
            <w:vAlign w:val="bottom"/>
          </w:tcPr>
          <w:p w14:paraId="14C9EC9F" w14:textId="37E3E379" w:rsidR="009F0AF7" w:rsidRPr="001D41EA" w:rsidRDefault="009F0AF7" w:rsidP="001D41EA">
            <w:pPr>
              <w:spacing w:before="40" w:after="20"/>
              <w:jc w:val="right"/>
              <w:rPr>
                <w:rFonts w:cs="Arial"/>
                <w:sz w:val="18"/>
                <w:szCs w:val="18"/>
              </w:rPr>
            </w:pPr>
            <w:r w:rsidRPr="001D41EA">
              <w:rPr>
                <w:rFonts w:cs="Arial"/>
                <w:sz w:val="18"/>
                <w:szCs w:val="18"/>
              </w:rPr>
              <w:t>368,355</w:t>
            </w:r>
          </w:p>
        </w:tc>
        <w:tc>
          <w:tcPr>
            <w:tcW w:w="1361" w:type="dxa"/>
            <w:tcBorders>
              <w:top w:val="nil"/>
              <w:left w:val="nil"/>
              <w:bottom w:val="nil"/>
              <w:right w:val="nil"/>
            </w:tcBorders>
            <w:shd w:val="clear" w:color="auto" w:fill="auto"/>
            <w:vAlign w:val="bottom"/>
          </w:tcPr>
          <w:p w14:paraId="21875346" w14:textId="3C9A616A" w:rsidR="009F0AF7" w:rsidRPr="001D41EA" w:rsidRDefault="009F0AF7" w:rsidP="001D41EA">
            <w:pPr>
              <w:spacing w:before="40" w:after="20"/>
              <w:jc w:val="right"/>
              <w:rPr>
                <w:rFonts w:cs="Arial"/>
                <w:sz w:val="18"/>
                <w:szCs w:val="18"/>
              </w:rPr>
            </w:pPr>
            <w:r w:rsidRPr="001D41EA">
              <w:rPr>
                <w:rFonts w:cs="Arial"/>
                <w:sz w:val="18"/>
                <w:szCs w:val="18"/>
              </w:rPr>
              <w:t>49,242</w:t>
            </w:r>
          </w:p>
        </w:tc>
        <w:tc>
          <w:tcPr>
            <w:tcW w:w="1361" w:type="dxa"/>
            <w:tcBorders>
              <w:top w:val="nil"/>
              <w:left w:val="nil"/>
              <w:bottom w:val="nil"/>
              <w:right w:val="nil"/>
            </w:tcBorders>
            <w:vAlign w:val="bottom"/>
          </w:tcPr>
          <w:p w14:paraId="5F927128" w14:textId="0997EBCA" w:rsidR="009F0AF7" w:rsidRPr="001D41EA" w:rsidRDefault="009F0AF7" w:rsidP="001D41EA">
            <w:pPr>
              <w:spacing w:before="40" w:after="20"/>
              <w:jc w:val="right"/>
              <w:rPr>
                <w:rFonts w:cs="Arial"/>
                <w:sz w:val="18"/>
                <w:szCs w:val="18"/>
              </w:rPr>
            </w:pPr>
            <w:r w:rsidRPr="001D41EA">
              <w:rPr>
                <w:rFonts w:cs="Arial"/>
                <w:sz w:val="18"/>
                <w:szCs w:val="18"/>
              </w:rPr>
              <w:t>1,650,410</w:t>
            </w:r>
          </w:p>
        </w:tc>
        <w:tc>
          <w:tcPr>
            <w:tcW w:w="1361" w:type="dxa"/>
            <w:tcBorders>
              <w:top w:val="nil"/>
              <w:left w:val="nil"/>
              <w:bottom w:val="nil"/>
              <w:right w:val="nil"/>
            </w:tcBorders>
            <w:vAlign w:val="bottom"/>
          </w:tcPr>
          <w:p w14:paraId="100BE560" w14:textId="243D546A" w:rsidR="009F0AF7" w:rsidRPr="001D41EA" w:rsidRDefault="009F0AF7" w:rsidP="001D41EA">
            <w:pPr>
              <w:spacing w:before="40" w:after="20"/>
              <w:jc w:val="right"/>
              <w:rPr>
                <w:rFonts w:cs="Arial"/>
                <w:sz w:val="18"/>
                <w:szCs w:val="18"/>
              </w:rPr>
            </w:pPr>
            <w:r w:rsidRPr="001D41EA">
              <w:rPr>
                <w:rFonts w:cs="Arial"/>
                <w:sz w:val="18"/>
                <w:szCs w:val="18"/>
              </w:rPr>
              <w:t>89,827</w:t>
            </w:r>
          </w:p>
        </w:tc>
        <w:tc>
          <w:tcPr>
            <w:tcW w:w="1361" w:type="dxa"/>
            <w:tcBorders>
              <w:top w:val="nil"/>
              <w:left w:val="nil"/>
              <w:bottom w:val="nil"/>
              <w:right w:val="nil"/>
            </w:tcBorders>
            <w:shd w:val="clear" w:color="auto" w:fill="auto"/>
            <w:vAlign w:val="bottom"/>
          </w:tcPr>
          <w:p w14:paraId="336B3F2F" w14:textId="5FDC2A8B" w:rsidR="009F0AF7" w:rsidRPr="001D41EA" w:rsidRDefault="009F0AF7" w:rsidP="001D41EA">
            <w:pPr>
              <w:spacing w:before="40" w:after="20"/>
              <w:jc w:val="right"/>
              <w:rPr>
                <w:rFonts w:cs="Arial"/>
                <w:b/>
                <w:sz w:val="18"/>
                <w:szCs w:val="18"/>
              </w:rPr>
            </w:pPr>
            <w:r w:rsidRPr="001D41EA">
              <w:rPr>
                <w:rFonts w:cs="Arial"/>
                <w:b/>
                <w:sz w:val="18"/>
                <w:szCs w:val="18"/>
              </w:rPr>
              <w:t>5,314,900</w:t>
            </w:r>
          </w:p>
        </w:tc>
      </w:tr>
      <w:tr w:rsidR="009F0AF7" w:rsidRPr="001D41EA" w14:paraId="00A06738"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2E7EE74" w14:textId="77777777" w:rsidR="009F0AF7" w:rsidRPr="001D41EA" w:rsidRDefault="009F0AF7" w:rsidP="001D41EA">
            <w:pPr>
              <w:spacing w:before="40" w:after="20"/>
              <w:rPr>
                <w:rFonts w:cs="Arial"/>
                <w:sz w:val="18"/>
                <w:szCs w:val="18"/>
              </w:rPr>
            </w:pPr>
            <w:r w:rsidRPr="001D41EA">
              <w:rPr>
                <w:rFonts w:cs="Arial"/>
                <w:sz w:val="18"/>
                <w:szCs w:val="18"/>
              </w:rPr>
              <w:t>Moira S</w:t>
            </w:r>
          </w:p>
        </w:tc>
        <w:tc>
          <w:tcPr>
            <w:tcW w:w="1361" w:type="dxa"/>
            <w:tcBorders>
              <w:top w:val="nil"/>
              <w:left w:val="single" w:sz="18" w:space="0" w:color="5F497A" w:themeColor="accent4" w:themeShade="BF"/>
              <w:bottom w:val="nil"/>
              <w:right w:val="nil"/>
            </w:tcBorders>
            <w:shd w:val="clear" w:color="auto" w:fill="auto"/>
            <w:vAlign w:val="bottom"/>
          </w:tcPr>
          <w:p w14:paraId="46B3CA42" w14:textId="1C58EDA4" w:rsidR="009F0AF7" w:rsidRPr="001D41EA" w:rsidRDefault="009F0AF7" w:rsidP="001D41EA">
            <w:pPr>
              <w:spacing w:before="40" w:after="20"/>
              <w:jc w:val="right"/>
              <w:rPr>
                <w:rFonts w:cs="Arial"/>
                <w:sz w:val="18"/>
                <w:szCs w:val="18"/>
              </w:rPr>
            </w:pPr>
            <w:r w:rsidRPr="001D41EA">
              <w:rPr>
                <w:rFonts w:cs="Arial"/>
                <w:sz w:val="18"/>
                <w:szCs w:val="18"/>
              </w:rPr>
              <w:t>277,944</w:t>
            </w:r>
          </w:p>
        </w:tc>
        <w:tc>
          <w:tcPr>
            <w:tcW w:w="1361" w:type="dxa"/>
            <w:tcBorders>
              <w:top w:val="nil"/>
              <w:left w:val="nil"/>
              <w:bottom w:val="nil"/>
              <w:right w:val="nil"/>
            </w:tcBorders>
            <w:shd w:val="clear" w:color="auto" w:fill="auto"/>
            <w:vAlign w:val="bottom"/>
          </w:tcPr>
          <w:p w14:paraId="7A631207" w14:textId="1AA16993" w:rsidR="009F0AF7" w:rsidRPr="001D41EA" w:rsidRDefault="009F0AF7" w:rsidP="001D41EA">
            <w:pPr>
              <w:spacing w:before="40" w:after="20"/>
              <w:jc w:val="right"/>
              <w:rPr>
                <w:rFonts w:cs="Arial"/>
                <w:sz w:val="18"/>
                <w:szCs w:val="18"/>
              </w:rPr>
            </w:pPr>
            <w:r w:rsidRPr="001D41EA">
              <w:rPr>
                <w:rFonts w:cs="Arial"/>
                <w:sz w:val="18"/>
                <w:szCs w:val="18"/>
              </w:rPr>
              <w:t>33,124</w:t>
            </w:r>
          </w:p>
        </w:tc>
        <w:tc>
          <w:tcPr>
            <w:tcW w:w="1361" w:type="dxa"/>
            <w:tcBorders>
              <w:top w:val="nil"/>
              <w:left w:val="nil"/>
              <w:bottom w:val="nil"/>
              <w:right w:val="nil"/>
            </w:tcBorders>
            <w:vAlign w:val="bottom"/>
          </w:tcPr>
          <w:p w14:paraId="45B77E65" w14:textId="3D5BDA55" w:rsidR="009F0AF7" w:rsidRPr="001D41EA" w:rsidRDefault="009F0AF7" w:rsidP="001D41EA">
            <w:pPr>
              <w:spacing w:before="40" w:after="20"/>
              <w:jc w:val="right"/>
              <w:rPr>
                <w:rFonts w:cs="Arial"/>
                <w:sz w:val="18"/>
                <w:szCs w:val="18"/>
              </w:rPr>
            </w:pPr>
            <w:r w:rsidRPr="001D41EA">
              <w:rPr>
                <w:rFonts w:cs="Arial"/>
                <w:sz w:val="18"/>
                <w:szCs w:val="18"/>
              </w:rPr>
              <w:t>1,140,868</w:t>
            </w:r>
          </w:p>
        </w:tc>
        <w:tc>
          <w:tcPr>
            <w:tcW w:w="1361" w:type="dxa"/>
            <w:tcBorders>
              <w:top w:val="nil"/>
              <w:left w:val="nil"/>
              <w:bottom w:val="nil"/>
              <w:right w:val="nil"/>
            </w:tcBorders>
            <w:vAlign w:val="bottom"/>
          </w:tcPr>
          <w:p w14:paraId="2B78B93E" w14:textId="07D3D5FC" w:rsidR="009F0AF7" w:rsidRPr="001D41EA" w:rsidRDefault="009F0AF7" w:rsidP="001D41EA">
            <w:pPr>
              <w:spacing w:before="40" w:after="20"/>
              <w:jc w:val="right"/>
              <w:rPr>
                <w:rFonts w:cs="Arial"/>
                <w:sz w:val="18"/>
                <w:szCs w:val="18"/>
              </w:rPr>
            </w:pPr>
            <w:r w:rsidRPr="001D41EA">
              <w:rPr>
                <w:rFonts w:cs="Arial"/>
                <w:sz w:val="18"/>
                <w:szCs w:val="18"/>
              </w:rPr>
              <w:t>60,425</w:t>
            </w:r>
          </w:p>
        </w:tc>
        <w:tc>
          <w:tcPr>
            <w:tcW w:w="1361" w:type="dxa"/>
            <w:tcBorders>
              <w:top w:val="nil"/>
              <w:left w:val="nil"/>
              <w:bottom w:val="nil"/>
              <w:right w:val="nil"/>
            </w:tcBorders>
            <w:shd w:val="clear" w:color="auto" w:fill="auto"/>
            <w:vAlign w:val="bottom"/>
          </w:tcPr>
          <w:p w14:paraId="51673D1D" w14:textId="64C4D59F" w:rsidR="009F0AF7" w:rsidRPr="001D41EA" w:rsidRDefault="009F0AF7" w:rsidP="001D41EA">
            <w:pPr>
              <w:spacing w:before="40" w:after="20"/>
              <w:jc w:val="right"/>
              <w:rPr>
                <w:rFonts w:cs="Arial"/>
                <w:b/>
                <w:sz w:val="18"/>
                <w:szCs w:val="18"/>
              </w:rPr>
            </w:pPr>
            <w:r w:rsidRPr="001D41EA">
              <w:rPr>
                <w:rFonts w:cs="Arial"/>
                <w:b/>
                <w:sz w:val="18"/>
                <w:szCs w:val="18"/>
              </w:rPr>
              <w:t>3,746,786</w:t>
            </w:r>
          </w:p>
        </w:tc>
      </w:tr>
      <w:tr w:rsidR="009F0AF7" w:rsidRPr="001D41EA" w14:paraId="7EC2015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4A46F1E" w14:textId="77777777" w:rsidR="009F0AF7" w:rsidRPr="001D41EA" w:rsidRDefault="009F0AF7" w:rsidP="001D41EA">
            <w:pPr>
              <w:spacing w:before="40" w:after="20"/>
              <w:rPr>
                <w:rFonts w:cs="Arial"/>
                <w:sz w:val="18"/>
                <w:szCs w:val="18"/>
              </w:rPr>
            </w:pPr>
            <w:r w:rsidRPr="001D41EA">
              <w:rPr>
                <w:rFonts w:cs="Arial"/>
                <w:sz w:val="18"/>
                <w:szCs w:val="18"/>
              </w:rPr>
              <w:t>Monash C</w:t>
            </w:r>
          </w:p>
        </w:tc>
        <w:tc>
          <w:tcPr>
            <w:tcW w:w="1361" w:type="dxa"/>
            <w:tcBorders>
              <w:top w:val="nil"/>
              <w:left w:val="single" w:sz="18" w:space="0" w:color="5F497A" w:themeColor="accent4" w:themeShade="BF"/>
              <w:bottom w:val="nil"/>
              <w:right w:val="nil"/>
            </w:tcBorders>
            <w:shd w:val="clear" w:color="auto" w:fill="auto"/>
            <w:vAlign w:val="bottom"/>
          </w:tcPr>
          <w:p w14:paraId="534785F9" w14:textId="6E4433FD" w:rsidR="009F0AF7" w:rsidRPr="001D41EA" w:rsidRDefault="009F0AF7" w:rsidP="001D41EA">
            <w:pPr>
              <w:spacing w:before="40" w:after="20"/>
              <w:jc w:val="right"/>
              <w:rPr>
                <w:rFonts w:cs="Arial"/>
                <w:sz w:val="18"/>
                <w:szCs w:val="18"/>
              </w:rPr>
            </w:pPr>
            <w:r w:rsidRPr="001D41EA">
              <w:rPr>
                <w:rFonts w:cs="Arial"/>
                <w:sz w:val="18"/>
                <w:szCs w:val="18"/>
              </w:rPr>
              <w:t>1,823,199</w:t>
            </w:r>
          </w:p>
        </w:tc>
        <w:tc>
          <w:tcPr>
            <w:tcW w:w="1361" w:type="dxa"/>
            <w:tcBorders>
              <w:top w:val="nil"/>
              <w:left w:val="nil"/>
              <w:bottom w:val="nil"/>
              <w:right w:val="nil"/>
            </w:tcBorders>
            <w:shd w:val="clear" w:color="auto" w:fill="auto"/>
            <w:vAlign w:val="bottom"/>
          </w:tcPr>
          <w:p w14:paraId="79EB9003" w14:textId="498B5B15" w:rsidR="009F0AF7" w:rsidRPr="001D41EA" w:rsidRDefault="009F0AF7" w:rsidP="001D41EA">
            <w:pPr>
              <w:spacing w:before="40" w:after="20"/>
              <w:jc w:val="right"/>
              <w:rPr>
                <w:rFonts w:cs="Arial"/>
                <w:sz w:val="18"/>
                <w:szCs w:val="18"/>
              </w:rPr>
            </w:pPr>
            <w:r w:rsidRPr="001D41EA">
              <w:rPr>
                <w:rFonts w:cs="Arial"/>
                <w:sz w:val="18"/>
                <w:szCs w:val="18"/>
              </w:rPr>
              <w:t>222,403</w:t>
            </w:r>
          </w:p>
        </w:tc>
        <w:tc>
          <w:tcPr>
            <w:tcW w:w="1361" w:type="dxa"/>
            <w:tcBorders>
              <w:top w:val="nil"/>
              <w:left w:val="nil"/>
              <w:bottom w:val="nil"/>
              <w:right w:val="nil"/>
            </w:tcBorders>
            <w:vAlign w:val="bottom"/>
          </w:tcPr>
          <w:p w14:paraId="5D00B07C" w14:textId="02321D4F" w:rsidR="009F0AF7" w:rsidRPr="001D41EA" w:rsidRDefault="009F0AF7" w:rsidP="001D41EA">
            <w:pPr>
              <w:spacing w:before="40" w:after="20"/>
              <w:jc w:val="right"/>
              <w:rPr>
                <w:rFonts w:cs="Arial"/>
                <w:sz w:val="18"/>
                <w:szCs w:val="18"/>
              </w:rPr>
            </w:pPr>
            <w:r w:rsidRPr="001D41EA">
              <w:rPr>
                <w:rFonts w:cs="Arial"/>
                <w:sz w:val="18"/>
                <w:szCs w:val="18"/>
              </w:rPr>
              <w:t>8,288,391</w:t>
            </w:r>
          </w:p>
        </w:tc>
        <w:tc>
          <w:tcPr>
            <w:tcW w:w="1361" w:type="dxa"/>
            <w:tcBorders>
              <w:top w:val="nil"/>
              <w:left w:val="nil"/>
              <w:bottom w:val="nil"/>
              <w:right w:val="nil"/>
            </w:tcBorders>
            <w:vAlign w:val="bottom"/>
          </w:tcPr>
          <w:p w14:paraId="7E7F6660" w14:textId="579B09A8" w:rsidR="009F0AF7" w:rsidRPr="001D41EA" w:rsidRDefault="009F0AF7" w:rsidP="001D41EA">
            <w:pPr>
              <w:spacing w:before="40" w:after="20"/>
              <w:jc w:val="right"/>
              <w:rPr>
                <w:rFonts w:cs="Arial"/>
                <w:sz w:val="18"/>
                <w:szCs w:val="18"/>
              </w:rPr>
            </w:pPr>
            <w:r w:rsidRPr="001D41EA">
              <w:rPr>
                <w:rFonts w:cs="Arial"/>
                <w:sz w:val="18"/>
                <w:szCs w:val="18"/>
              </w:rPr>
              <w:t>405,706</w:t>
            </w:r>
          </w:p>
        </w:tc>
        <w:tc>
          <w:tcPr>
            <w:tcW w:w="1361" w:type="dxa"/>
            <w:tcBorders>
              <w:top w:val="nil"/>
              <w:left w:val="nil"/>
              <w:bottom w:val="nil"/>
              <w:right w:val="nil"/>
            </w:tcBorders>
            <w:shd w:val="clear" w:color="auto" w:fill="auto"/>
            <w:vAlign w:val="bottom"/>
          </w:tcPr>
          <w:p w14:paraId="78876F33" w14:textId="71CE6772" w:rsidR="009F0AF7" w:rsidRPr="001D41EA" w:rsidRDefault="009F0AF7" w:rsidP="001D41EA">
            <w:pPr>
              <w:spacing w:before="40" w:after="20"/>
              <w:jc w:val="right"/>
              <w:rPr>
                <w:rFonts w:cs="Arial"/>
                <w:b/>
                <w:sz w:val="18"/>
                <w:szCs w:val="18"/>
              </w:rPr>
            </w:pPr>
            <w:r w:rsidRPr="001D41EA">
              <w:rPr>
                <w:rFonts w:cs="Arial"/>
                <w:b/>
                <w:sz w:val="18"/>
                <w:szCs w:val="18"/>
              </w:rPr>
              <w:t>25,255,915</w:t>
            </w:r>
          </w:p>
        </w:tc>
      </w:tr>
      <w:tr w:rsidR="009F0AF7" w:rsidRPr="001D41EA" w14:paraId="3DBE8555"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3B98220" w14:textId="77777777" w:rsidR="009F0AF7" w:rsidRPr="001D41EA" w:rsidRDefault="009F0AF7" w:rsidP="001D41EA">
            <w:pPr>
              <w:spacing w:before="40" w:after="20"/>
              <w:rPr>
                <w:rFonts w:cs="Arial"/>
                <w:sz w:val="18"/>
                <w:szCs w:val="18"/>
              </w:rPr>
            </w:pPr>
            <w:r w:rsidRPr="001D41EA">
              <w:rPr>
                <w:rFonts w:cs="Arial"/>
                <w:sz w:val="18"/>
                <w:szCs w:val="18"/>
              </w:rPr>
              <w:t>Moonee Valley C</w:t>
            </w:r>
          </w:p>
        </w:tc>
        <w:tc>
          <w:tcPr>
            <w:tcW w:w="1361" w:type="dxa"/>
            <w:tcBorders>
              <w:top w:val="nil"/>
              <w:left w:val="single" w:sz="18" w:space="0" w:color="5F497A" w:themeColor="accent4" w:themeShade="BF"/>
              <w:bottom w:val="nil"/>
              <w:right w:val="nil"/>
            </w:tcBorders>
            <w:shd w:val="clear" w:color="auto" w:fill="auto"/>
            <w:vAlign w:val="bottom"/>
          </w:tcPr>
          <w:p w14:paraId="2EC1EFA6" w14:textId="16636319" w:rsidR="009F0AF7" w:rsidRPr="001D41EA" w:rsidRDefault="009F0AF7" w:rsidP="001D41EA">
            <w:pPr>
              <w:spacing w:before="40" w:after="20"/>
              <w:jc w:val="right"/>
              <w:rPr>
                <w:rFonts w:cs="Arial"/>
                <w:sz w:val="18"/>
                <w:szCs w:val="18"/>
              </w:rPr>
            </w:pPr>
            <w:r w:rsidRPr="001D41EA">
              <w:rPr>
                <w:rFonts w:cs="Arial"/>
                <w:sz w:val="18"/>
                <w:szCs w:val="18"/>
              </w:rPr>
              <w:t>1,287,729</w:t>
            </w:r>
          </w:p>
        </w:tc>
        <w:tc>
          <w:tcPr>
            <w:tcW w:w="1361" w:type="dxa"/>
            <w:tcBorders>
              <w:top w:val="nil"/>
              <w:left w:val="nil"/>
              <w:bottom w:val="nil"/>
              <w:right w:val="nil"/>
            </w:tcBorders>
            <w:shd w:val="clear" w:color="auto" w:fill="auto"/>
            <w:vAlign w:val="bottom"/>
          </w:tcPr>
          <w:p w14:paraId="61138E0B" w14:textId="7DDD7219" w:rsidR="009F0AF7" w:rsidRPr="001D41EA" w:rsidRDefault="009F0AF7" w:rsidP="001D41EA">
            <w:pPr>
              <w:spacing w:before="40" w:after="20"/>
              <w:jc w:val="right"/>
              <w:rPr>
                <w:rFonts w:cs="Arial"/>
                <w:sz w:val="18"/>
                <w:szCs w:val="18"/>
              </w:rPr>
            </w:pPr>
            <w:r w:rsidRPr="001D41EA">
              <w:rPr>
                <w:rFonts w:cs="Arial"/>
                <w:sz w:val="18"/>
                <w:szCs w:val="18"/>
              </w:rPr>
              <w:t>142,153</w:t>
            </w:r>
          </w:p>
        </w:tc>
        <w:tc>
          <w:tcPr>
            <w:tcW w:w="1361" w:type="dxa"/>
            <w:tcBorders>
              <w:top w:val="nil"/>
              <w:left w:val="nil"/>
              <w:bottom w:val="nil"/>
              <w:right w:val="nil"/>
            </w:tcBorders>
            <w:vAlign w:val="bottom"/>
          </w:tcPr>
          <w:p w14:paraId="463D1490" w14:textId="336F15E1" w:rsidR="009F0AF7" w:rsidRPr="001D41EA" w:rsidRDefault="009F0AF7" w:rsidP="001D41EA">
            <w:pPr>
              <w:spacing w:before="40" w:after="20"/>
              <w:jc w:val="right"/>
              <w:rPr>
                <w:rFonts w:cs="Arial"/>
                <w:sz w:val="18"/>
                <w:szCs w:val="18"/>
              </w:rPr>
            </w:pPr>
            <w:r w:rsidRPr="001D41EA">
              <w:rPr>
                <w:rFonts w:cs="Arial"/>
                <w:sz w:val="18"/>
                <w:szCs w:val="18"/>
              </w:rPr>
              <w:t>4,833,051</w:t>
            </w:r>
          </w:p>
        </w:tc>
        <w:tc>
          <w:tcPr>
            <w:tcW w:w="1361" w:type="dxa"/>
            <w:tcBorders>
              <w:top w:val="nil"/>
              <w:left w:val="nil"/>
              <w:bottom w:val="nil"/>
              <w:right w:val="nil"/>
            </w:tcBorders>
            <w:vAlign w:val="bottom"/>
          </w:tcPr>
          <w:p w14:paraId="304AA69D" w14:textId="47A728B0" w:rsidR="009F0AF7" w:rsidRPr="001D41EA" w:rsidRDefault="009F0AF7" w:rsidP="001D41EA">
            <w:pPr>
              <w:spacing w:before="40" w:after="20"/>
              <w:jc w:val="right"/>
              <w:rPr>
                <w:rFonts w:cs="Arial"/>
                <w:sz w:val="18"/>
                <w:szCs w:val="18"/>
              </w:rPr>
            </w:pPr>
            <w:r w:rsidRPr="001D41EA">
              <w:rPr>
                <w:rFonts w:cs="Arial"/>
                <w:sz w:val="18"/>
                <w:szCs w:val="18"/>
              </w:rPr>
              <w:t>259,315</w:t>
            </w:r>
          </w:p>
        </w:tc>
        <w:tc>
          <w:tcPr>
            <w:tcW w:w="1361" w:type="dxa"/>
            <w:tcBorders>
              <w:top w:val="nil"/>
              <w:left w:val="nil"/>
              <w:bottom w:val="nil"/>
              <w:right w:val="nil"/>
            </w:tcBorders>
            <w:shd w:val="clear" w:color="auto" w:fill="auto"/>
            <w:vAlign w:val="bottom"/>
          </w:tcPr>
          <w:p w14:paraId="3AE6A7C2" w14:textId="72D0BA81" w:rsidR="009F0AF7" w:rsidRPr="001D41EA" w:rsidRDefault="009F0AF7" w:rsidP="001D41EA">
            <w:pPr>
              <w:spacing w:before="40" w:after="20"/>
              <w:jc w:val="right"/>
              <w:rPr>
                <w:rFonts w:cs="Arial"/>
                <w:b/>
                <w:sz w:val="18"/>
                <w:szCs w:val="18"/>
              </w:rPr>
            </w:pPr>
            <w:r w:rsidRPr="001D41EA">
              <w:rPr>
                <w:rFonts w:cs="Arial"/>
                <w:b/>
                <w:sz w:val="18"/>
                <w:szCs w:val="18"/>
              </w:rPr>
              <w:t>15,845,396</w:t>
            </w:r>
          </w:p>
        </w:tc>
      </w:tr>
      <w:tr w:rsidR="009F0AF7" w:rsidRPr="001D41EA" w14:paraId="7E12788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10DEF23" w14:textId="77777777" w:rsidR="009F0AF7" w:rsidRPr="001D41EA" w:rsidRDefault="009F0AF7" w:rsidP="001D41EA">
            <w:pPr>
              <w:spacing w:before="40" w:after="20"/>
              <w:rPr>
                <w:rFonts w:cs="Arial"/>
                <w:sz w:val="18"/>
                <w:szCs w:val="18"/>
              </w:rPr>
            </w:pPr>
            <w:r w:rsidRPr="001D41EA">
              <w:rPr>
                <w:rFonts w:cs="Arial"/>
                <w:sz w:val="18"/>
                <w:szCs w:val="18"/>
              </w:rPr>
              <w:t>Moorabool S</w:t>
            </w:r>
          </w:p>
        </w:tc>
        <w:tc>
          <w:tcPr>
            <w:tcW w:w="1361" w:type="dxa"/>
            <w:tcBorders>
              <w:top w:val="nil"/>
              <w:left w:val="single" w:sz="18" w:space="0" w:color="5F497A" w:themeColor="accent4" w:themeShade="BF"/>
              <w:bottom w:val="nil"/>
              <w:right w:val="nil"/>
            </w:tcBorders>
            <w:shd w:val="clear" w:color="auto" w:fill="auto"/>
            <w:vAlign w:val="bottom"/>
          </w:tcPr>
          <w:p w14:paraId="1E9BE2B7" w14:textId="4C8FED82" w:rsidR="009F0AF7" w:rsidRPr="001D41EA" w:rsidRDefault="009F0AF7" w:rsidP="001D41EA">
            <w:pPr>
              <w:spacing w:before="40" w:after="20"/>
              <w:jc w:val="right"/>
              <w:rPr>
                <w:rFonts w:cs="Arial"/>
                <w:sz w:val="18"/>
                <w:szCs w:val="18"/>
              </w:rPr>
            </w:pPr>
            <w:r w:rsidRPr="001D41EA">
              <w:rPr>
                <w:rFonts w:cs="Arial"/>
                <w:sz w:val="18"/>
                <w:szCs w:val="18"/>
              </w:rPr>
              <w:t>291,613</w:t>
            </w:r>
          </w:p>
        </w:tc>
        <w:tc>
          <w:tcPr>
            <w:tcW w:w="1361" w:type="dxa"/>
            <w:tcBorders>
              <w:top w:val="nil"/>
              <w:left w:val="nil"/>
              <w:bottom w:val="nil"/>
              <w:right w:val="nil"/>
            </w:tcBorders>
            <w:shd w:val="clear" w:color="auto" w:fill="auto"/>
            <w:vAlign w:val="bottom"/>
          </w:tcPr>
          <w:p w14:paraId="5D554784" w14:textId="48977DCD" w:rsidR="009F0AF7" w:rsidRPr="001D41EA" w:rsidRDefault="009F0AF7" w:rsidP="001D41EA">
            <w:pPr>
              <w:spacing w:before="40" w:after="20"/>
              <w:jc w:val="right"/>
              <w:rPr>
                <w:rFonts w:cs="Arial"/>
                <w:sz w:val="18"/>
                <w:szCs w:val="18"/>
              </w:rPr>
            </w:pPr>
            <w:r w:rsidRPr="001D41EA">
              <w:rPr>
                <w:rFonts w:cs="Arial"/>
                <w:sz w:val="18"/>
                <w:szCs w:val="18"/>
              </w:rPr>
              <w:t>37,970</w:t>
            </w:r>
          </w:p>
        </w:tc>
        <w:tc>
          <w:tcPr>
            <w:tcW w:w="1361" w:type="dxa"/>
            <w:tcBorders>
              <w:top w:val="nil"/>
              <w:left w:val="nil"/>
              <w:bottom w:val="nil"/>
              <w:right w:val="nil"/>
            </w:tcBorders>
            <w:vAlign w:val="bottom"/>
          </w:tcPr>
          <w:p w14:paraId="2BA58645" w14:textId="76C1F8B0" w:rsidR="009F0AF7" w:rsidRPr="001D41EA" w:rsidRDefault="009F0AF7" w:rsidP="001D41EA">
            <w:pPr>
              <w:spacing w:before="40" w:after="20"/>
              <w:jc w:val="right"/>
              <w:rPr>
                <w:rFonts w:cs="Arial"/>
                <w:sz w:val="18"/>
                <w:szCs w:val="18"/>
              </w:rPr>
            </w:pPr>
            <w:r w:rsidRPr="001D41EA">
              <w:rPr>
                <w:rFonts w:cs="Arial"/>
                <w:sz w:val="18"/>
                <w:szCs w:val="18"/>
              </w:rPr>
              <w:t>1,247,264</w:t>
            </w:r>
          </w:p>
        </w:tc>
        <w:tc>
          <w:tcPr>
            <w:tcW w:w="1361" w:type="dxa"/>
            <w:tcBorders>
              <w:top w:val="nil"/>
              <w:left w:val="nil"/>
              <w:bottom w:val="nil"/>
              <w:right w:val="nil"/>
            </w:tcBorders>
            <w:vAlign w:val="bottom"/>
          </w:tcPr>
          <w:p w14:paraId="081CCD73" w14:textId="0A6E6244" w:rsidR="009F0AF7" w:rsidRPr="001D41EA" w:rsidRDefault="009F0AF7" w:rsidP="001D41EA">
            <w:pPr>
              <w:spacing w:before="40" w:after="20"/>
              <w:jc w:val="right"/>
              <w:rPr>
                <w:rFonts w:cs="Arial"/>
                <w:sz w:val="18"/>
                <w:szCs w:val="18"/>
              </w:rPr>
            </w:pPr>
            <w:r w:rsidRPr="001D41EA">
              <w:rPr>
                <w:rFonts w:cs="Arial"/>
                <w:sz w:val="18"/>
                <w:szCs w:val="18"/>
              </w:rPr>
              <w:t>69,264</w:t>
            </w:r>
          </w:p>
        </w:tc>
        <w:tc>
          <w:tcPr>
            <w:tcW w:w="1361" w:type="dxa"/>
            <w:tcBorders>
              <w:top w:val="nil"/>
              <w:left w:val="nil"/>
              <w:bottom w:val="nil"/>
              <w:right w:val="nil"/>
            </w:tcBorders>
            <w:shd w:val="clear" w:color="auto" w:fill="auto"/>
            <w:vAlign w:val="bottom"/>
          </w:tcPr>
          <w:p w14:paraId="54027A16" w14:textId="47BC7497" w:rsidR="009F0AF7" w:rsidRPr="001D41EA" w:rsidRDefault="009F0AF7" w:rsidP="001D41EA">
            <w:pPr>
              <w:spacing w:before="40" w:after="20"/>
              <w:jc w:val="right"/>
              <w:rPr>
                <w:rFonts w:cs="Arial"/>
                <w:b/>
                <w:sz w:val="18"/>
                <w:szCs w:val="18"/>
              </w:rPr>
            </w:pPr>
            <w:r w:rsidRPr="001D41EA">
              <w:rPr>
                <w:rFonts w:cs="Arial"/>
                <w:b/>
                <w:sz w:val="18"/>
                <w:szCs w:val="18"/>
              </w:rPr>
              <w:t>4,105,242</w:t>
            </w:r>
          </w:p>
        </w:tc>
      </w:tr>
      <w:tr w:rsidR="009F0AF7" w:rsidRPr="001D41EA" w14:paraId="57E22B18"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5A5D6E4" w14:textId="77777777" w:rsidR="009F0AF7" w:rsidRPr="001D41EA" w:rsidRDefault="009F0AF7" w:rsidP="001D41EA">
            <w:pPr>
              <w:spacing w:before="40" w:after="20"/>
              <w:rPr>
                <w:rFonts w:cs="Arial"/>
                <w:sz w:val="18"/>
                <w:szCs w:val="18"/>
              </w:rPr>
            </w:pPr>
            <w:r w:rsidRPr="001D41EA">
              <w:rPr>
                <w:rFonts w:cs="Arial"/>
                <w:sz w:val="18"/>
                <w:szCs w:val="18"/>
              </w:rPr>
              <w:t>Moreland C</w:t>
            </w:r>
          </w:p>
        </w:tc>
        <w:tc>
          <w:tcPr>
            <w:tcW w:w="1361" w:type="dxa"/>
            <w:tcBorders>
              <w:top w:val="nil"/>
              <w:left w:val="single" w:sz="18" w:space="0" w:color="5F497A" w:themeColor="accent4" w:themeShade="BF"/>
              <w:bottom w:val="nil"/>
              <w:right w:val="nil"/>
            </w:tcBorders>
            <w:shd w:val="clear" w:color="auto" w:fill="auto"/>
            <w:vAlign w:val="bottom"/>
          </w:tcPr>
          <w:p w14:paraId="66319D33" w14:textId="23D18CF0" w:rsidR="009F0AF7" w:rsidRPr="001D41EA" w:rsidRDefault="009F0AF7" w:rsidP="001D41EA">
            <w:pPr>
              <w:spacing w:before="40" w:after="20"/>
              <w:jc w:val="right"/>
              <w:rPr>
                <w:rFonts w:cs="Arial"/>
                <w:sz w:val="18"/>
                <w:szCs w:val="18"/>
              </w:rPr>
            </w:pPr>
            <w:r w:rsidRPr="001D41EA">
              <w:rPr>
                <w:rFonts w:cs="Arial"/>
                <w:sz w:val="18"/>
                <w:szCs w:val="18"/>
              </w:rPr>
              <w:t>1,620,572</w:t>
            </w:r>
          </w:p>
        </w:tc>
        <w:tc>
          <w:tcPr>
            <w:tcW w:w="1361" w:type="dxa"/>
            <w:tcBorders>
              <w:top w:val="nil"/>
              <w:left w:val="nil"/>
              <w:bottom w:val="nil"/>
              <w:right w:val="nil"/>
            </w:tcBorders>
            <w:shd w:val="clear" w:color="auto" w:fill="auto"/>
            <w:vAlign w:val="bottom"/>
          </w:tcPr>
          <w:p w14:paraId="1868AC75" w14:textId="3918A2FD" w:rsidR="009F0AF7" w:rsidRPr="001D41EA" w:rsidRDefault="009F0AF7" w:rsidP="001D41EA">
            <w:pPr>
              <w:spacing w:before="40" w:after="20"/>
              <w:jc w:val="right"/>
              <w:rPr>
                <w:rFonts w:cs="Arial"/>
                <w:sz w:val="18"/>
                <w:szCs w:val="18"/>
              </w:rPr>
            </w:pPr>
            <w:r w:rsidRPr="001D41EA">
              <w:rPr>
                <w:rFonts w:cs="Arial"/>
                <w:sz w:val="18"/>
                <w:szCs w:val="18"/>
              </w:rPr>
              <w:t>202,003</w:t>
            </w:r>
          </w:p>
        </w:tc>
        <w:tc>
          <w:tcPr>
            <w:tcW w:w="1361" w:type="dxa"/>
            <w:tcBorders>
              <w:top w:val="nil"/>
              <w:left w:val="nil"/>
              <w:bottom w:val="nil"/>
              <w:right w:val="nil"/>
            </w:tcBorders>
            <w:vAlign w:val="bottom"/>
          </w:tcPr>
          <w:p w14:paraId="02ACD2CF" w14:textId="0131888C" w:rsidR="009F0AF7" w:rsidRPr="001D41EA" w:rsidRDefault="009F0AF7" w:rsidP="001D41EA">
            <w:pPr>
              <w:spacing w:before="40" w:after="20"/>
              <w:jc w:val="right"/>
              <w:rPr>
                <w:rFonts w:cs="Arial"/>
                <w:sz w:val="18"/>
                <w:szCs w:val="18"/>
              </w:rPr>
            </w:pPr>
            <w:r w:rsidRPr="001D41EA">
              <w:rPr>
                <w:rFonts w:cs="Arial"/>
                <w:sz w:val="18"/>
                <w:szCs w:val="18"/>
              </w:rPr>
              <w:t>6,634,115</w:t>
            </w:r>
          </w:p>
        </w:tc>
        <w:tc>
          <w:tcPr>
            <w:tcW w:w="1361" w:type="dxa"/>
            <w:tcBorders>
              <w:top w:val="nil"/>
              <w:left w:val="nil"/>
              <w:bottom w:val="nil"/>
              <w:right w:val="nil"/>
            </w:tcBorders>
            <w:vAlign w:val="bottom"/>
          </w:tcPr>
          <w:p w14:paraId="3B1FFB8F" w14:textId="64502505" w:rsidR="009F0AF7" w:rsidRPr="001D41EA" w:rsidRDefault="009F0AF7" w:rsidP="001D41EA">
            <w:pPr>
              <w:spacing w:before="40" w:after="20"/>
              <w:jc w:val="right"/>
              <w:rPr>
                <w:rFonts w:cs="Arial"/>
                <w:sz w:val="18"/>
                <w:szCs w:val="18"/>
              </w:rPr>
            </w:pPr>
            <w:r w:rsidRPr="001D41EA">
              <w:rPr>
                <w:rFonts w:cs="Arial"/>
                <w:sz w:val="18"/>
                <w:szCs w:val="18"/>
              </w:rPr>
              <w:t>368,493</w:t>
            </w:r>
          </w:p>
        </w:tc>
        <w:tc>
          <w:tcPr>
            <w:tcW w:w="1361" w:type="dxa"/>
            <w:tcBorders>
              <w:top w:val="nil"/>
              <w:left w:val="nil"/>
              <w:bottom w:val="nil"/>
              <w:right w:val="nil"/>
            </w:tcBorders>
            <w:shd w:val="clear" w:color="auto" w:fill="auto"/>
            <w:vAlign w:val="bottom"/>
          </w:tcPr>
          <w:p w14:paraId="550264CF" w14:textId="71A91991" w:rsidR="009F0AF7" w:rsidRPr="001D41EA" w:rsidRDefault="009F0AF7" w:rsidP="001D41EA">
            <w:pPr>
              <w:spacing w:before="40" w:after="20"/>
              <w:jc w:val="right"/>
              <w:rPr>
                <w:rFonts w:cs="Arial"/>
                <w:b/>
                <w:sz w:val="18"/>
                <w:szCs w:val="18"/>
              </w:rPr>
            </w:pPr>
            <w:r w:rsidRPr="001D41EA">
              <w:rPr>
                <w:rFonts w:cs="Arial"/>
                <w:b/>
                <w:sz w:val="18"/>
                <w:szCs w:val="18"/>
              </w:rPr>
              <w:t>21,541,448</w:t>
            </w:r>
          </w:p>
        </w:tc>
      </w:tr>
      <w:tr w:rsidR="009F0AF7" w:rsidRPr="001D41EA" w14:paraId="5CA2C38B"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A9C2604" w14:textId="77777777" w:rsidR="009F0AF7" w:rsidRPr="001D41EA" w:rsidRDefault="009F0AF7" w:rsidP="001D41EA">
            <w:pPr>
              <w:spacing w:before="40" w:after="20"/>
              <w:rPr>
                <w:rFonts w:cs="Arial"/>
                <w:sz w:val="18"/>
                <w:szCs w:val="18"/>
              </w:rPr>
            </w:pPr>
            <w:r w:rsidRPr="001D41EA">
              <w:rPr>
                <w:rFonts w:cs="Arial"/>
                <w:sz w:val="18"/>
                <w:szCs w:val="18"/>
              </w:rPr>
              <w:t>Mornington Peninsula S</w:t>
            </w:r>
          </w:p>
        </w:tc>
        <w:tc>
          <w:tcPr>
            <w:tcW w:w="1361" w:type="dxa"/>
            <w:tcBorders>
              <w:top w:val="nil"/>
              <w:left w:val="single" w:sz="18" w:space="0" w:color="5F497A" w:themeColor="accent4" w:themeShade="BF"/>
              <w:bottom w:val="nil"/>
              <w:right w:val="nil"/>
            </w:tcBorders>
            <w:shd w:val="clear" w:color="auto" w:fill="auto"/>
            <w:vAlign w:val="bottom"/>
          </w:tcPr>
          <w:p w14:paraId="736B2950" w14:textId="7F46B26E" w:rsidR="009F0AF7" w:rsidRPr="001D41EA" w:rsidRDefault="009F0AF7" w:rsidP="001D41EA">
            <w:pPr>
              <w:spacing w:before="40" w:after="20"/>
              <w:jc w:val="right"/>
              <w:rPr>
                <w:rFonts w:cs="Arial"/>
                <w:sz w:val="18"/>
                <w:szCs w:val="18"/>
              </w:rPr>
            </w:pPr>
            <w:r w:rsidRPr="001D41EA">
              <w:rPr>
                <w:rFonts w:cs="Arial"/>
                <w:sz w:val="18"/>
                <w:szCs w:val="18"/>
              </w:rPr>
              <w:t>1,395,996</w:t>
            </w:r>
          </w:p>
        </w:tc>
        <w:tc>
          <w:tcPr>
            <w:tcW w:w="1361" w:type="dxa"/>
            <w:tcBorders>
              <w:top w:val="nil"/>
              <w:left w:val="nil"/>
              <w:bottom w:val="nil"/>
              <w:right w:val="nil"/>
            </w:tcBorders>
            <w:shd w:val="clear" w:color="auto" w:fill="auto"/>
            <w:vAlign w:val="bottom"/>
          </w:tcPr>
          <w:p w14:paraId="711CD54D" w14:textId="56380F62" w:rsidR="009F0AF7" w:rsidRPr="001D41EA" w:rsidRDefault="009F0AF7" w:rsidP="001D41EA">
            <w:pPr>
              <w:spacing w:before="40" w:after="20"/>
              <w:jc w:val="right"/>
              <w:rPr>
                <w:rFonts w:cs="Arial"/>
                <w:sz w:val="18"/>
                <w:szCs w:val="18"/>
              </w:rPr>
            </w:pPr>
            <w:r w:rsidRPr="001D41EA">
              <w:rPr>
                <w:rFonts w:cs="Arial"/>
                <w:sz w:val="18"/>
                <w:szCs w:val="18"/>
              </w:rPr>
              <w:t>184,326</w:t>
            </w:r>
          </w:p>
        </w:tc>
        <w:tc>
          <w:tcPr>
            <w:tcW w:w="1361" w:type="dxa"/>
            <w:tcBorders>
              <w:top w:val="nil"/>
              <w:left w:val="nil"/>
              <w:bottom w:val="nil"/>
              <w:right w:val="nil"/>
            </w:tcBorders>
            <w:vAlign w:val="bottom"/>
          </w:tcPr>
          <w:p w14:paraId="7A2FD2E5" w14:textId="3FB31252" w:rsidR="009F0AF7" w:rsidRPr="001D41EA" w:rsidRDefault="009F0AF7" w:rsidP="001D41EA">
            <w:pPr>
              <w:spacing w:before="40" w:after="20"/>
              <w:jc w:val="right"/>
              <w:rPr>
                <w:rFonts w:cs="Arial"/>
                <w:sz w:val="18"/>
                <w:szCs w:val="18"/>
              </w:rPr>
            </w:pPr>
            <w:r w:rsidRPr="001D41EA">
              <w:rPr>
                <w:rFonts w:cs="Arial"/>
                <w:sz w:val="18"/>
                <w:szCs w:val="18"/>
              </w:rPr>
              <w:t>7,225,371</w:t>
            </w:r>
          </w:p>
        </w:tc>
        <w:tc>
          <w:tcPr>
            <w:tcW w:w="1361" w:type="dxa"/>
            <w:tcBorders>
              <w:top w:val="nil"/>
              <w:left w:val="nil"/>
              <w:bottom w:val="nil"/>
              <w:right w:val="nil"/>
            </w:tcBorders>
            <w:vAlign w:val="bottom"/>
          </w:tcPr>
          <w:p w14:paraId="17BA9900" w14:textId="53D2A6F5" w:rsidR="009F0AF7" w:rsidRPr="001D41EA" w:rsidRDefault="009F0AF7" w:rsidP="001D41EA">
            <w:pPr>
              <w:spacing w:before="40" w:after="20"/>
              <w:jc w:val="right"/>
              <w:rPr>
                <w:rFonts w:cs="Arial"/>
                <w:sz w:val="18"/>
                <w:szCs w:val="18"/>
              </w:rPr>
            </w:pPr>
            <w:r w:rsidRPr="001D41EA">
              <w:rPr>
                <w:rFonts w:cs="Arial"/>
                <w:sz w:val="18"/>
                <w:szCs w:val="18"/>
              </w:rPr>
              <w:t>336,246</w:t>
            </w:r>
          </w:p>
        </w:tc>
        <w:tc>
          <w:tcPr>
            <w:tcW w:w="1361" w:type="dxa"/>
            <w:tcBorders>
              <w:top w:val="nil"/>
              <w:left w:val="nil"/>
              <w:bottom w:val="nil"/>
              <w:right w:val="nil"/>
            </w:tcBorders>
            <w:shd w:val="clear" w:color="auto" w:fill="auto"/>
            <w:vAlign w:val="bottom"/>
          </w:tcPr>
          <w:p w14:paraId="6C8C4793" w14:textId="535BF6AB" w:rsidR="009F0AF7" w:rsidRPr="001D41EA" w:rsidRDefault="009F0AF7" w:rsidP="001D41EA">
            <w:pPr>
              <w:spacing w:before="40" w:after="20"/>
              <w:jc w:val="right"/>
              <w:rPr>
                <w:rFonts w:cs="Arial"/>
                <w:b/>
                <w:sz w:val="18"/>
                <w:szCs w:val="18"/>
              </w:rPr>
            </w:pPr>
            <w:r w:rsidRPr="001D41EA">
              <w:rPr>
                <w:rFonts w:cs="Arial"/>
                <w:b/>
                <w:sz w:val="18"/>
                <w:szCs w:val="18"/>
              </w:rPr>
              <w:t>22,567,465</w:t>
            </w:r>
          </w:p>
        </w:tc>
      </w:tr>
      <w:tr w:rsidR="009F0AF7" w:rsidRPr="001D41EA" w14:paraId="43728668"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B34901F" w14:textId="77777777" w:rsidR="009F0AF7" w:rsidRPr="001D41EA" w:rsidRDefault="009F0AF7" w:rsidP="001D41EA">
            <w:pPr>
              <w:spacing w:before="40" w:after="20"/>
              <w:rPr>
                <w:rFonts w:cs="Arial"/>
                <w:sz w:val="18"/>
                <w:szCs w:val="18"/>
              </w:rPr>
            </w:pPr>
            <w:r w:rsidRPr="001D41EA">
              <w:rPr>
                <w:rFonts w:cs="Arial"/>
                <w:sz w:val="18"/>
                <w:szCs w:val="18"/>
              </w:rPr>
              <w:t>Mount Alexander S</w:t>
            </w:r>
          </w:p>
        </w:tc>
        <w:tc>
          <w:tcPr>
            <w:tcW w:w="1361" w:type="dxa"/>
            <w:tcBorders>
              <w:top w:val="nil"/>
              <w:left w:val="single" w:sz="18" w:space="0" w:color="5F497A" w:themeColor="accent4" w:themeShade="BF"/>
              <w:bottom w:val="nil"/>
              <w:right w:val="nil"/>
            </w:tcBorders>
            <w:shd w:val="clear" w:color="auto" w:fill="auto"/>
            <w:vAlign w:val="bottom"/>
          </w:tcPr>
          <w:p w14:paraId="5A89F34A" w14:textId="0A12ED05" w:rsidR="009F0AF7" w:rsidRPr="001D41EA" w:rsidRDefault="009F0AF7" w:rsidP="001D41EA">
            <w:pPr>
              <w:spacing w:before="40" w:after="20"/>
              <w:jc w:val="right"/>
              <w:rPr>
                <w:rFonts w:cs="Arial"/>
                <w:sz w:val="18"/>
                <w:szCs w:val="18"/>
              </w:rPr>
            </w:pPr>
            <w:r w:rsidRPr="001D41EA">
              <w:rPr>
                <w:rFonts w:cs="Arial"/>
                <w:sz w:val="18"/>
                <w:szCs w:val="18"/>
              </w:rPr>
              <w:t>180,082</w:t>
            </w:r>
          </w:p>
        </w:tc>
        <w:tc>
          <w:tcPr>
            <w:tcW w:w="1361" w:type="dxa"/>
            <w:tcBorders>
              <w:top w:val="nil"/>
              <w:left w:val="nil"/>
              <w:bottom w:val="nil"/>
              <w:right w:val="nil"/>
            </w:tcBorders>
            <w:shd w:val="clear" w:color="auto" w:fill="auto"/>
            <w:vAlign w:val="bottom"/>
          </w:tcPr>
          <w:p w14:paraId="79474BCD" w14:textId="131B85B4" w:rsidR="009F0AF7" w:rsidRPr="001D41EA" w:rsidRDefault="009F0AF7" w:rsidP="001D41EA">
            <w:pPr>
              <w:spacing w:before="40" w:after="20"/>
              <w:jc w:val="right"/>
              <w:rPr>
                <w:rFonts w:cs="Arial"/>
                <w:sz w:val="18"/>
                <w:szCs w:val="18"/>
              </w:rPr>
            </w:pPr>
            <w:r w:rsidRPr="001D41EA">
              <w:rPr>
                <w:rFonts w:cs="Arial"/>
                <w:sz w:val="18"/>
                <w:szCs w:val="18"/>
              </w:rPr>
              <w:t>21,692</w:t>
            </w:r>
          </w:p>
        </w:tc>
        <w:tc>
          <w:tcPr>
            <w:tcW w:w="1361" w:type="dxa"/>
            <w:tcBorders>
              <w:top w:val="nil"/>
              <w:left w:val="nil"/>
              <w:bottom w:val="nil"/>
              <w:right w:val="nil"/>
            </w:tcBorders>
            <w:vAlign w:val="bottom"/>
          </w:tcPr>
          <w:p w14:paraId="3F33E338" w14:textId="21E4F64D" w:rsidR="009F0AF7" w:rsidRPr="001D41EA" w:rsidRDefault="009F0AF7" w:rsidP="001D41EA">
            <w:pPr>
              <w:spacing w:before="40" w:after="20"/>
              <w:jc w:val="right"/>
              <w:rPr>
                <w:rFonts w:cs="Arial"/>
                <w:sz w:val="18"/>
                <w:szCs w:val="18"/>
              </w:rPr>
            </w:pPr>
            <w:r w:rsidRPr="001D41EA">
              <w:rPr>
                <w:rFonts w:cs="Arial"/>
                <w:sz w:val="18"/>
                <w:szCs w:val="18"/>
              </w:rPr>
              <w:t>729,425</w:t>
            </w:r>
          </w:p>
        </w:tc>
        <w:tc>
          <w:tcPr>
            <w:tcW w:w="1361" w:type="dxa"/>
            <w:tcBorders>
              <w:top w:val="nil"/>
              <w:left w:val="nil"/>
              <w:bottom w:val="nil"/>
              <w:right w:val="nil"/>
            </w:tcBorders>
            <w:vAlign w:val="bottom"/>
          </w:tcPr>
          <w:p w14:paraId="44A0BCFA" w14:textId="67C9AC61" w:rsidR="009F0AF7" w:rsidRPr="001D41EA" w:rsidRDefault="009F0AF7" w:rsidP="001D41EA">
            <w:pPr>
              <w:spacing w:before="40" w:after="20"/>
              <w:jc w:val="right"/>
              <w:rPr>
                <w:rFonts w:cs="Arial"/>
                <w:sz w:val="18"/>
                <w:szCs w:val="18"/>
              </w:rPr>
            </w:pPr>
            <w:r w:rsidRPr="001D41EA">
              <w:rPr>
                <w:rFonts w:cs="Arial"/>
                <w:sz w:val="18"/>
                <w:szCs w:val="18"/>
              </w:rPr>
              <w:t>39,570</w:t>
            </w:r>
          </w:p>
        </w:tc>
        <w:tc>
          <w:tcPr>
            <w:tcW w:w="1361" w:type="dxa"/>
            <w:tcBorders>
              <w:top w:val="nil"/>
              <w:left w:val="nil"/>
              <w:bottom w:val="nil"/>
              <w:right w:val="nil"/>
            </w:tcBorders>
            <w:shd w:val="clear" w:color="auto" w:fill="auto"/>
            <w:vAlign w:val="bottom"/>
          </w:tcPr>
          <w:p w14:paraId="657E904B" w14:textId="3EE6FF39" w:rsidR="009F0AF7" w:rsidRPr="001D41EA" w:rsidRDefault="009F0AF7" w:rsidP="001D41EA">
            <w:pPr>
              <w:spacing w:before="40" w:after="20"/>
              <w:jc w:val="right"/>
              <w:rPr>
                <w:rFonts w:cs="Arial"/>
                <w:b/>
                <w:sz w:val="18"/>
                <w:szCs w:val="18"/>
              </w:rPr>
            </w:pPr>
            <w:r w:rsidRPr="001D41EA">
              <w:rPr>
                <w:rFonts w:cs="Arial"/>
                <w:b/>
                <w:sz w:val="18"/>
                <w:szCs w:val="18"/>
              </w:rPr>
              <w:t>2,482,343</w:t>
            </w:r>
          </w:p>
        </w:tc>
      </w:tr>
      <w:tr w:rsidR="009F0AF7" w:rsidRPr="001D41EA" w14:paraId="50BAC61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B9B129C" w14:textId="77777777" w:rsidR="009F0AF7" w:rsidRPr="001D41EA" w:rsidRDefault="009F0AF7" w:rsidP="001D41EA">
            <w:pPr>
              <w:spacing w:before="40" w:after="20"/>
              <w:rPr>
                <w:rFonts w:cs="Arial"/>
                <w:sz w:val="18"/>
                <w:szCs w:val="18"/>
              </w:rPr>
            </w:pPr>
            <w:r w:rsidRPr="001D41EA">
              <w:rPr>
                <w:rFonts w:cs="Arial"/>
                <w:sz w:val="18"/>
                <w:szCs w:val="18"/>
              </w:rPr>
              <w:t>Moyne S</w:t>
            </w:r>
          </w:p>
        </w:tc>
        <w:tc>
          <w:tcPr>
            <w:tcW w:w="1361" w:type="dxa"/>
            <w:tcBorders>
              <w:top w:val="nil"/>
              <w:left w:val="single" w:sz="18" w:space="0" w:color="5F497A" w:themeColor="accent4" w:themeShade="BF"/>
              <w:bottom w:val="nil"/>
              <w:right w:val="nil"/>
            </w:tcBorders>
            <w:shd w:val="clear" w:color="auto" w:fill="auto"/>
            <w:vAlign w:val="bottom"/>
          </w:tcPr>
          <w:p w14:paraId="2725A172" w14:textId="3ED9FC75" w:rsidR="009F0AF7" w:rsidRPr="001D41EA" w:rsidRDefault="009F0AF7" w:rsidP="001D41EA">
            <w:pPr>
              <w:spacing w:before="40" w:after="20"/>
              <w:jc w:val="right"/>
              <w:rPr>
                <w:rFonts w:cs="Arial"/>
                <w:sz w:val="18"/>
                <w:szCs w:val="18"/>
              </w:rPr>
            </w:pPr>
            <w:r w:rsidRPr="001D41EA">
              <w:rPr>
                <w:rFonts w:cs="Arial"/>
                <w:sz w:val="18"/>
                <w:szCs w:val="18"/>
              </w:rPr>
              <w:t>120,645</w:t>
            </w:r>
          </w:p>
        </w:tc>
        <w:tc>
          <w:tcPr>
            <w:tcW w:w="1361" w:type="dxa"/>
            <w:tcBorders>
              <w:top w:val="nil"/>
              <w:left w:val="nil"/>
              <w:bottom w:val="nil"/>
              <w:right w:val="nil"/>
            </w:tcBorders>
            <w:shd w:val="clear" w:color="auto" w:fill="auto"/>
            <w:vAlign w:val="bottom"/>
          </w:tcPr>
          <w:p w14:paraId="69AF63C9" w14:textId="4BB6EAAC" w:rsidR="009F0AF7" w:rsidRPr="001D41EA" w:rsidRDefault="009F0AF7" w:rsidP="001D41EA">
            <w:pPr>
              <w:spacing w:before="40" w:after="20"/>
              <w:jc w:val="right"/>
              <w:rPr>
                <w:rFonts w:cs="Arial"/>
                <w:sz w:val="18"/>
                <w:szCs w:val="18"/>
              </w:rPr>
            </w:pPr>
            <w:r w:rsidRPr="001D41EA">
              <w:rPr>
                <w:rFonts w:cs="Arial"/>
                <w:sz w:val="18"/>
                <w:szCs w:val="18"/>
              </w:rPr>
              <w:t>18,771</w:t>
            </w:r>
          </w:p>
        </w:tc>
        <w:tc>
          <w:tcPr>
            <w:tcW w:w="1361" w:type="dxa"/>
            <w:tcBorders>
              <w:top w:val="nil"/>
              <w:left w:val="nil"/>
              <w:bottom w:val="nil"/>
              <w:right w:val="nil"/>
            </w:tcBorders>
            <w:vAlign w:val="bottom"/>
          </w:tcPr>
          <w:p w14:paraId="0893F9E7" w14:textId="43559DFA" w:rsidR="009F0AF7" w:rsidRPr="001D41EA" w:rsidRDefault="009F0AF7" w:rsidP="001D41EA">
            <w:pPr>
              <w:spacing w:before="40" w:after="20"/>
              <w:jc w:val="right"/>
              <w:rPr>
                <w:rFonts w:cs="Arial"/>
                <w:sz w:val="18"/>
                <w:szCs w:val="18"/>
              </w:rPr>
            </w:pPr>
            <w:r w:rsidRPr="001D41EA">
              <w:rPr>
                <w:rFonts w:cs="Arial"/>
                <w:sz w:val="18"/>
                <w:szCs w:val="18"/>
              </w:rPr>
              <w:t>642,127</w:t>
            </w:r>
          </w:p>
        </w:tc>
        <w:tc>
          <w:tcPr>
            <w:tcW w:w="1361" w:type="dxa"/>
            <w:tcBorders>
              <w:top w:val="nil"/>
              <w:left w:val="nil"/>
              <w:bottom w:val="nil"/>
              <w:right w:val="nil"/>
            </w:tcBorders>
            <w:vAlign w:val="bottom"/>
          </w:tcPr>
          <w:p w14:paraId="2FE6CB44" w14:textId="469A6353" w:rsidR="009F0AF7" w:rsidRPr="001D41EA" w:rsidRDefault="009F0AF7" w:rsidP="001D41EA">
            <w:pPr>
              <w:spacing w:before="40" w:after="20"/>
              <w:jc w:val="right"/>
              <w:rPr>
                <w:rFonts w:cs="Arial"/>
                <w:sz w:val="18"/>
                <w:szCs w:val="18"/>
              </w:rPr>
            </w:pPr>
            <w:r w:rsidRPr="001D41EA">
              <w:rPr>
                <w:rFonts w:cs="Arial"/>
                <w:sz w:val="18"/>
                <w:szCs w:val="18"/>
              </w:rPr>
              <w:t>34,243</w:t>
            </w:r>
          </w:p>
        </w:tc>
        <w:tc>
          <w:tcPr>
            <w:tcW w:w="1361" w:type="dxa"/>
            <w:tcBorders>
              <w:top w:val="nil"/>
              <w:left w:val="nil"/>
              <w:bottom w:val="nil"/>
              <w:right w:val="nil"/>
            </w:tcBorders>
            <w:shd w:val="clear" w:color="auto" w:fill="auto"/>
            <w:vAlign w:val="bottom"/>
          </w:tcPr>
          <w:p w14:paraId="4410B9F5" w14:textId="2BE14963" w:rsidR="009F0AF7" w:rsidRPr="001D41EA" w:rsidRDefault="009F0AF7" w:rsidP="001D41EA">
            <w:pPr>
              <w:spacing w:before="40" w:after="20"/>
              <w:jc w:val="right"/>
              <w:rPr>
                <w:rFonts w:cs="Arial"/>
                <w:b/>
                <w:sz w:val="18"/>
                <w:szCs w:val="18"/>
              </w:rPr>
            </w:pPr>
            <w:r w:rsidRPr="001D41EA">
              <w:rPr>
                <w:rFonts w:cs="Arial"/>
                <w:b/>
                <w:sz w:val="18"/>
                <w:szCs w:val="18"/>
              </w:rPr>
              <w:t>2,098,227</w:t>
            </w:r>
          </w:p>
        </w:tc>
      </w:tr>
      <w:tr w:rsidR="009F0AF7" w:rsidRPr="001D41EA" w14:paraId="017F16E6"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84D60C1" w14:textId="77777777" w:rsidR="009F0AF7" w:rsidRPr="001D41EA" w:rsidRDefault="009F0AF7" w:rsidP="001D41EA">
            <w:pPr>
              <w:spacing w:before="40" w:after="20"/>
              <w:rPr>
                <w:rFonts w:cs="Arial"/>
                <w:sz w:val="18"/>
                <w:szCs w:val="18"/>
              </w:rPr>
            </w:pPr>
            <w:r w:rsidRPr="001D41EA">
              <w:rPr>
                <w:rFonts w:cs="Arial"/>
                <w:sz w:val="18"/>
                <w:szCs w:val="18"/>
              </w:rPr>
              <w:t>Murrindindi S</w:t>
            </w:r>
          </w:p>
        </w:tc>
        <w:tc>
          <w:tcPr>
            <w:tcW w:w="1361" w:type="dxa"/>
            <w:tcBorders>
              <w:top w:val="nil"/>
              <w:left w:val="single" w:sz="18" w:space="0" w:color="5F497A" w:themeColor="accent4" w:themeShade="BF"/>
              <w:bottom w:val="nil"/>
              <w:right w:val="nil"/>
            </w:tcBorders>
            <w:shd w:val="clear" w:color="auto" w:fill="auto"/>
            <w:vAlign w:val="bottom"/>
          </w:tcPr>
          <w:p w14:paraId="3B859924" w14:textId="7CC91375" w:rsidR="009F0AF7" w:rsidRPr="001D41EA" w:rsidRDefault="009F0AF7" w:rsidP="001D41EA">
            <w:pPr>
              <w:spacing w:before="40" w:after="20"/>
              <w:jc w:val="right"/>
              <w:rPr>
                <w:rFonts w:cs="Arial"/>
                <w:sz w:val="18"/>
                <w:szCs w:val="18"/>
              </w:rPr>
            </w:pPr>
            <w:r w:rsidRPr="001D41EA">
              <w:rPr>
                <w:rFonts w:cs="Arial"/>
                <w:sz w:val="18"/>
                <w:szCs w:val="18"/>
              </w:rPr>
              <w:t>122,707</w:t>
            </w:r>
          </w:p>
        </w:tc>
        <w:tc>
          <w:tcPr>
            <w:tcW w:w="1361" w:type="dxa"/>
            <w:tcBorders>
              <w:top w:val="nil"/>
              <w:left w:val="nil"/>
              <w:bottom w:val="nil"/>
              <w:right w:val="nil"/>
            </w:tcBorders>
            <w:shd w:val="clear" w:color="auto" w:fill="auto"/>
            <w:vAlign w:val="bottom"/>
          </w:tcPr>
          <w:p w14:paraId="0F50C96E" w14:textId="48FC6E0F" w:rsidR="009F0AF7" w:rsidRPr="001D41EA" w:rsidRDefault="009F0AF7" w:rsidP="001D41EA">
            <w:pPr>
              <w:spacing w:before="40" w:after="20"/>
              <w:jc w:val="right"/>
              <w:rPr>
                <w:rFonts w:cs="Arial"/>
                <w:sz w:val="18"/>
                <w:szCs w:val="18"/>
              </w:rPr>
            </w:pPr>
            <w:r w:rsidRPr="001D41EA">
              <w:rPr>
                <w:rFonts w:cs="Arial"/>
                <w:sz w:val="18"/>
                <w:szCs w:val="18"/>
              </w:rPr>
              <w:t>16,094</w:t>
            </w:r>
          </w:p>
        </w:tc>
        <w:tc>
          <w:tcPr>
            <w:tcW w:w="1361" w:type="dxa"/>
            <w:tcBorders>
              <w:top w:val="nil"/>
              <w:left w:val="nil"/>
              <w:bottom w:val="nil"/>
              <w:right w:val="nil"/>
            </w:tcBorders>
            <w:vAlign w:val="bottom"/>
          </w:tcPr>
          <w:p w14:paraId="294C4226" w14:textId="17170759" w:rsidR="009F0AF7" w:rsidRPr="001D41EA" w:rsidRDefault="009F0AF7" w:rsidP="001D41EA">
            <w:pPr>
              <w:spacing w:before="40" w:after="20"/>
              <w:jc w:val="right"/>
              <w:rPr>
                <w:rFonts w:cs="Arial"/>
                <w:sz w:val="18"/>
                <w:szCs w:val="18"/>
              </w:rPr>
            </w:pPr>
            <w:r w:rsidRPr="001D41EA">
              <w:rPr>
                <w:rFonts w:cs="Arial"/>
                <w:sz w:val="18"/>
                <w:szCs w:val="18"/>
              </w:rPr>
              <w:t>612,262</w:t>
            </w:r>
          </w:p>
        </w:tc>
        <w:tc>
          <w:tcPr>
            <w:tcW w:w="1361" w:type="dxa"/>
            <w:tcBorders>
              <w:top w:val="nil"/>
              <w:left w:val="nil"/>
              <w:bottom w:val="nil"/>
              <w:right w:val="nil"/>
            </w:tcBorders>
            <w:vAlign w:val="bottom"/>
          </w:tcPr>
          <w:p w14:paraId="6D9286B1" w14:textId="6981A943" w:rsidR="009F0AF7" w:rsidRPr="001D41EA" w:rsidRDefault="009F0AF7" w:rsidP="001D41EA">
            <w:pPr>
              <w:spacing w:before="40" w:after="20"/>
              <w:jc w:val="right"/>
              <w:rPr>
                <w:rFonts w:cs="Arial"/>
                <w:sz w:val="18"/>
                <w:szCs w:val="18"/>
              </w:rPr>
            </w:pPr>
            <w:r w:rsidRPr="001D41EA">
              <w:rPr>
                <w:rFonts w:cs="Arial"/>
                <w:sz w:val="18"/>
                <w:szCs w:val="18"/>
              </w:rPr>
              <w:t>29,358</w:t>
            </w:r>
          </w:p>
        </w:tc>
        <w:tc>
          <w:tcPr>
            <w:tcW w:w="1361" w:type="dxa"/>
            <w:tcBorders>
              <w:top w:val="nil"/>
              <w:left w:val="nil"/>
              <w:bottom w:val="nil"/>
              <w:right w:val="nil"/>
            </w:tcBorders>
            <w:shd w:val="clear" w:color="auto" w:fill="auto"/>
            <w:vAlign w:val="bottom"/>
          </w:tcPr>
          <w:p w14:paraId="29461ACE" w14:textId="2E475791" w:rsidR="009F0AF7" w:rsidRPr="001D41EA" w:rsidRDefault="009F0AF7" w:rsidP="001D41EA">
            <w:pPr>
              <w:spacing w:before="40" w:after="20"/>
              <w:jc w:val="right"/>
              <w:rPr>
                <w:rFonts w:cs="Arial"/>
                <w:b/>
                <w:sz w:val="18"/>
                <w:szCs w:val="18"/>
              </w:rPr>
            </w:pPr>
            <w:r w:rsidRPr="001D41EA">
              <w:rPr>
                <w:rFonts w:cs="Arial"/>
                <w:b/>
                <w:sz w:val="18"/>
                <w:szCs w:val="18"/>
              </w:rPr>
              <w:t>1,915,782</w:t>
            </w:r>
          </w:p>
        </w:tc>
      </w:tr>
      <w:tr w:rsidR="009F0AF7" w:rsidRPr="001D41EA" w14:paraId="2CEEABA5"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9E22AA" w14:textId="77777777" w:rsidR="009F0AF7" w:rsidRPr="001D41EA" w:rsidRDefault="009F0AF7" w:rsidP="001D41EA">
            <w:pPr>
              <w:spacing w:before="40" w:after="20"/>
              <w:rPr>
                <w:rFonts w:cs="Arial"/>
                <w:sz w:val="18"/>
                <w:szCs w:val="18"/>
              </w:rPr>
            </w:pPr>
            <w:r w:rsidRPr="001D41EA">
              <w:rPr>
                <w:rFonts w:cs="Arial"/>
                <w:sz w:val="18"/>
                <w:szCs w:val="18"/>
              </w:rPr>
              <w:t>Nillumbik S</w:t>
            </w:r>
          </w:p>
        </w:tc>
        <w:tc>
          <w:tcPr>
            <w:tcW w:w="1361" w:type="dxa"/>
            <w:tcBorders>
              <w:top w:val="nil"/>
              <w:left w:val="single" w:sz="18" w:space="0" w:color="5F497A" w:themeColor="accent4" w:themeShade="BF"/>
              <w:bottom w:val="nil"/>
              <w:right w:val="nil"/>
            </w:tcBorders>
            <w:shd w:val="clear" w:color="auto" w:fill="auto"/>
            <w:vAlign w:val="bottom"/>
          </w:tcPr>
          <w:p w14:paraId="64A49492" w14:textId="01F7228E" w:rsidR="009F0AF7" w:rsidRPr="001D41EA" w:rsidRDefault="009F0AF7" w:rsidP="001D41EA">
            <w:pPr>
              <w:spacing w:before="40" w:after="20"/>
              <w:jc w:val="right"/>
              <w:rPr>
                <w:rFonts w:cs="Arial"/>
                <w:sz w:val="18"/>
                <w:szCs w:val="18"/>
              </w:rPr>
            </w:pPr>
            <w:r w:rsidRPr="001D41EA">
              <w:rPr>
                <w:rFonts w:cs="Arial"/>
                <w:sz w:val="18"/>
                <w:szCs w:val="18"/>
              </w:rPr>
              <w:t>492,502</w:t>
            </w:r>
          </w:p>
        </w:tc>
        <w:tc>
          <w:tcPr>
            <w:tcW w:w="1361" w:type="dxa"/>
            <w:tcBorders>
              <w:top w:val="nil"/>
              <w:left w:val="nil"/>
              <w:bottom w:val="nil"/>
              <w:right w:val="nil"/>
            </w:tcBorders>
            <w:shd w:val="clear" w:color="auto" w:fill="auto"/>
            <w:vAlign w:val="bottom"/>
          </w:tcPr>
          <w:p w14:paraId="18E48EF3" w14:textId="00F56301" w:rsidR="009F0AF7" w:rsidRPr="001D41EA" w:rsidRDefault="009F0AF7" w:rsidP="001D41EA">
            <w:pPr>
              <w:spacing w:before="40" w:after="20"/>
              <w:jc w:val="right"/>
              <w:rPr>
                <w:rFonts w:cs="Arial"/>
                <w:sz w:val="18"/>
                <w:szCs w:val="18"/>
              </w:rPr>
            </w:pPr>
            <w:r w:rsidRPr="001D41EA">
              <w:rPr>
                <w:rFonts w:cs="Arial"/>
                <w:sz w:val="18"/>
                <w:szCs w:val="18"/>
              </w:rPr>
              <w:t>72,188</w:t>
            </w:r>
          </w:p>
        </w:tc>
        <w:tc>
          <w:tcPr>
            <w:tcW w:w="1361" w:type="dxa"/>
            <w:tcBorders>
              <w:top w:val="nil"/>
              <w:left w:val="nil"/>
              <w:bottom w:val="nil"/>
              <w:right w:val="nil"/>
            </w:tcBorders>
            <w:vAlign w:val="bottom"/>
          </w:tcPr>
          <w:p w14:paraId="134CB5B4" w14:textId="60E3C06E" w:rsidR="009F0AF7" w:rsidRPr="001D41EA" w:rsidRDefault="009F0AF7" w:rsidP="001D41EA">
            <w:pPr>
              <w:spacing w:before="40" w:after="20"/>
              <w:jc w:val="right"/>
              <w:rPr>
                <w:rFonts w:cs="Arial"/>
                <w:sz w:val="18"/>
                <w:szCs w:val="18"/>
              </w:rPr>
            </w:pPr>
            <w:r w:rsidRPr="001D41EA">
              <w:rPr>
                <w:rFonts w:cs="Arial"/>
                <w:sz w:val="18"/>
                <w:szCs w:val="18"/>
              </w:rPr>
              <w:t>2,125,675</w:t>
            </w:r>
          </w:p>
        </w:tc>
        <w:tc>
          <w:tcPr>
            <w:tcW w:w="1361" w:type="dxa"/>
            <w:tcBorders>
              <w:top w:val="nil"/>
              <w:left w:val="nil"/>
              <w:bottom w:val="nil"/>
              <w:right w:val="nil"/>
            </w:tcBorders>
            <w:vAlign w:val="bottom"/>
          </w:tcPr>
          <w:p w14:paraId="00E3816D" w14:textId="1C5A2D19" w:rsidR="009F0AF7" w:rsidRPr="001D41EA" w:rsidRDefault="009F0AF7" w:rsidP="001D41EA">
            <w:pPr>
              <w:spacing w:before="40" w:after="20"/>
              <w:jc w:val="right"/>
              <w:rPr>
                <w:rFonts w:cs="Arial"/>
                <w:sz w:val="18"/>
                <w:szCs w:val="18"/>
              </w:rPr>
            </w:pPr>
            <w:r w:rsidRPr="001D41EA">
              <w:rPr>
                <w:rFonts w:cs="Arial"/>
                <w:sz w:val="18"/>
                <w:szCs w:val="18"/>
              </w:rPr>
              <w:t>131,684</w:t>
            </w:r>
          </w:p>
        </w:tc>
        <w:tc>
          <w:tcPr>
            <w:tcW w:w="1361" w:type="dxa"/>
            <w:tcBorders>
              <w:top w:val="nil"/>
              <w:left w:val="nil"/>
              <w:bottom w:val="nil"/>
              <w:right w:val="nil"/>
            </w:tcBorders>
            <w:shd w:val="clear" w:color="auto" w:fill="auto"/>
            <w:vAlign w:val="bottom"/>
          </w:tcPr>
          <w:p w14:paraId="32E8ED91" w14:textId="4A80E974" w:rsidR="009F0AF7" w:rsidRPr="001D41EA" w:rsidRDefault="009F0AF7" w:rsidP="001D41EA">
            <w:pPr>
              <w:spacing w:before="40" w:after="20"/>
              <w:jc w:val="right"/>
              <w:rPr>
                <w:rFonts w:cs="Arial"/>
                <w:b/>
                <w:sz w:val="18"/>
                <w:szCs w:val="18"/>
              </w:rPr>
            </w:pPr>
            <w:r w:rsidRPr="001D41EA">
              <w:rPr>
                <w:rFonts w:cs="Arial"/>
                <w:b/>
                <w:sz w:val="18"/>
                <w:szCs w:val="18"/>
              </w:rPr>
              <w:t>7,705,404</w:t>
            </w:r>
          </w:p>
        </w:tc>
      </w:tr>
      <w:tr w:rsidR="009F0AF7" w:rsidRPr="001D41EA" w14:paraId="0C290E2F"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B3BA15C" w14:textId="77777777" w:rsidR="009F0AF7" w:rsidRPr="001D41EA" w:rsidRDefault="009F0AF7" w:rsidP="001D41EA">
            <w:pPr>
              <w:spacing w:before="40" w:after="20"/>
              <w:rPr>
                <w:rFonts w:cs="Arial"/>
                <w:sz w:val="18"/>
                <w:szCs w:val="18"/>
              </w:rPr>
            </w:pPr>
            <w:r w:rsidRPr="001D41EA">
              <w:rPr>
                <w:rFonts w:cs="Arial"/>
                <w:sz w:val="18"/>
                <w:szCs w:val="18"/>
              </w:rPr>
              <w:t>Northern Grampians S</w:t>
            </w:r>
          </w:p>
        </w:tc>
        <w:tc>
          <w:tcPr>
            <w:tcW w:w="1361" w:type="dxa"/>
            <w:tcBorders>
              <w:top w:val="nil"/>
              <w:left w:val="single" w:sz="18" w:space="0" w:color="5F497A" w:themeColor="accent4" w:themeShade="BF"/>
              <w:bottom w:val="nil"/>
              <w:right w:val="nil"/>
            </w:tcBorders>
            <w:shd w:val="clear" w:color="auto" w:fill="auto"/>
            <w:vAlign w:val="bottom"/>
          </w:tcPr>
          <w:p w14:paraId="19AA2266" w14:textId="4E88EB05" w:rsidR="009F0AF7" w:rsidRPr="001D41EA" w:rsidRDefault="009F0AF7" w:rsidP="001D41EA">
            <w:pPr>
              <w:spacing w:before="40" w:after="20"/>
              <w:jc w:val="right"/>
              <w:rPr>
                <w:rFonts w:cs="Arial"/>
                <w:sz w:val="18"/>
                <w:szCs w:val="18"/>
              </w:rPr>
            </w:pPr>
            <w:r w:rsidRPr="001D41EA">
              <w:rPr>
                <w:rFonts w:cs="Arial"/>
                <w:sz w:val="18"/>
                <w:szCs w:val="18"/>
              </w:rPr>
              <w:t>103,151</w:t>
            </w:r>
          </w:p>
        </w:tc>
        <w:tc>
          <w:tcPr>
            <w:tcW w:w="1361" w:type="dxa"/>
            <w:tcBorders>
              <w:top w:val="nil"/>
              <w:left w:val="nil"/>
              <w:bottom w:val="nil"/>
              <w:right w:val="nil"/>
            </w:tcBorders>
            <w:shd w:val="clear" w:color="auto" w:fill="auto"/>
            <w:vAlign w:val="bottom"/>
          </w:tcPr>
          <w:p w14:paraId="2EF6684A" w14:textId="75ACFD86" w:rsidR="009F0AF7" w:rsidRPr="001D41EA" w:rsidRDefault="009F0AF7" w:rsidP="001D41EA">
            <w:pPr>
              <w:spacing w:before="40" w:after="20"/>
              <w:jc w:val="right"/>
              <w:rPr>
                <w:rFonts w:cs="Arial"/>
                <w:sz w:val="18"/>
                <w:szCs w:val="18"/>
              </w:rPr>
            </w:pPr>
            <w:r w:rsidRPr="001D41EA">
              <w:rPr>
                <w:rFonts w:cs="Arial"/>
                <w:sz w:val="18"/>
                <w:szCs w:val="18"/>
              </w:rPr>
              <w:t>12,707</w:t>
            </w:r>
          </w:p>
        </w:tc>
        <w:tc>
          <w:tcPr>
            <w:tcW w:w="1361" w:type="dxa"/>
            <w:tcBorders>
              <w:top w:val="nil"/>
              <w:left w:val="nil"/>
              <w:bottom w:val="nil"/>
              <w:right w:val="nil"/>
            </w:tcBorders>
            <w:vAlign w:val="bottom"/>
          </w:tcPr>
          <w:p w14:paraId="3E0BB26E" w14:textId="0886EE4D" w:rsidR="009F0AF7" w:rsidRPr="001D41EA" w:rsidRDefault="009F0AF7" w:rsidP="001D41EA">
            <w:pPr>
              <w:spacing w:before="40" w:after="20"/>
              <w:jc w:val="right"/>
              <w:rPr>
                <w:rFonts w:cs="Arial"/>
                <w:sz w:val="18"/>
                <w:szCs w:val="18"/>
              </w:rPr>
            </w:pPr>
            <w:r w:rsidRPr="001D41EA">
              <w:rPr>
                <w:rFonts w:cs="Arial"/>
                <w:sz w:val="18"/>
                <w:szCs w:val="18"/>
              </w:rPr>
              <w:t>485,870</w:t>
            </w:r>
          </w:p>
        </w:tc>
        <w:tc>
          <w:tcPr>
            <w:tcW w:w="1361" w:type="dxa"/>
            <w:tcBorders>
              <w:top w:val="nil"/>
              <w:left w:val="nil"/>
              <w:bottom w:val="nil"/>
              <w:right w:val="nil"/>
            </w:tcBorders>
            <w:vAlign w:val="bottom"/>
          </w:tcPr>
          <w:p w14:paraId="61C8EDBE" w14:textId="3B70B3C0" w:rsidR="009F0AF7" w:rsidRPr="001D41EA" w:rsidRDefault="009F0AF7" w:rsidP="001D41EA">
            <w:pPr>
              <w:spacing w:before="40" w:after="20"/>
              <w:jc w:val="right"/>
              <w:rPr>
                <w:rFonts w:cs="Arial"/>
                <w:sz w:val="18"/>
                <w:szCs w:val="18"/>
              </w:rPr>
            </w:pPr>
            <w:r w:rsidRPr="001D41EA">
              <w:rPr>
                <w:rFonts w:cs="Arial"/>
                <w:sz w:val="18"/>
                <w:szCs w:val="18"/>
              </w:rPr>
              <w:t>23,179</w:t>
            </w:r>
          </w:p>
        </w:tc>
        <w:tc>
          <w:tcPr>
            <w:tcW w:w="1361" w:type="dxa"/>
            <w:tcBorders>
              <w:top w:val="nil"/>
              <w:left w:val="nil"/>
              <w:bottom w:val="nil"/>
              <w:right w:val="nil"/>
            </w:tcBorders>
            <w:shd w:val="clear" w:color="auto" w:fill="auto"/>
            <w:vAlign w:val="bottom"/>
          </w:tcPr>
          <w:p w14:paraId="74556C4F" w14:textId="6DAC93EE" w:rsidR="009F0AF7" w:rsidRPr="001D41EA" w:rsidRDefault="009F0AF7" w:rsidP="001D41EA">
            <w:pPr>
              <w:spacing w:before="40" w:after="20"/>
              <w:jc w:val="right"/>
              <w:rPr>
                <w:rFonts w:cs="Arial"/>
                <w:b/>
                <w:sz w:val="18"/>
                <w:szCs w:val="18"/>
              </w:rPr>
            </w:pPr>
            <w:r w:rsidRPr="001D41EA">
              <w:rPr>
                <w:rFonts w:cs="Arial"/>
                <w:b/>
                <w:sz w:val="18"/>
                <w:szCs w:val="18"/>
              </w:rPr>
              <w:t>1,503,201</w:t>
            </w:r>
          </w:p>
        </w:tc>
      </w:tr>
      <w:tr w:rsidR="009F0AF7" w:rsidRPr="001D41EA" w14:paraId="7FCB5524"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E11E1BD" w14:textId="77777777" w:rsidR="009F0AF7" w:rsidRPr="001D41EA" w:rsidRDefault="009F0AF7" w:rsidP="001D41EA">
            <w:pPr>
              <w:spacing w:before="40" w:after="20"/>
              <w:rPr>
                <w:rFonts w:cs="Arial"/>
                <w:sz w:val="18"/>
                <w:szCs w:val="18"/>
              </w:rPr>
            </w:pPr>
            <w:r w:rsidRPr="001D41EA">
              <w:rPr>
                <w:rFonts w:cs="Arial"/>
                <w:sz w:val="18"/>
                <w:szCs w:val="18"/>
              </w:rPr>
              <w:t>Port Phillip C</w:t>
            </w:r>
          </w:p>
        </w:tc>
        <w:tc>
          <w:tcPr>
            <w:tcW w:w="1361" w:type="dxa"/>
            <w:tcBorders>
              <w:top w:val="nil"/>
              <w:left w:val="single" w:sz="18" w:space="0" w:color="5F497A" w:themeColor="accent4" w:themeShade="BF"/>
              <w:bottom w:val="nil"/>
              <w:right w:val="nil"/>
            </w:tcBorders>
            <w:shd w:val="clear" w:color="auto" w:fill="auto"/>
            <w:vAlign w:val="bottom"/>
          </w:tcPr>
          <w:p w14:paraId="2F0DE022" w14:textId="10B400BC" w:rsidR="009F0AF7" w:rsidRPr="001D41EA" w:rsidRDefault="009F0AF7" w:rsidP="001D41EA">
            <w:pPr>
              <w:spacing w:before="40" w:after="20"/>
              <w:jc w:val="right"/>
              <w:rPr>
                <w:rFonts w:cs="Arial"/>
                <w:sz w:val="18"/>
                <w:szCs w:val="18"/>
              </w:rPr>
            </w:pPr>
            <w:r w:rsidRPr="001D41EA">
              <w:rPr>
                <w:rFonts w:cs="Arial"/>
                <w:sz w:val="18"/>
                <w:szCs w:val="18"/>
              </w:rPr>
              <w:t>1,349,411</w:t>
            </w:r>
          </w:p>
        </w:tc>
        <w:tc>
          <w:tcPr>
            <w:tcW w:w="1361" w:type="dxa"/>
            <w:tcBorders>
              <w:top w:val="nil"/>
              <w:left w:val="nil"/>
              <w:bottom w:val="nil"/>
              <w:right w:val="nil"/>
            </w:tcBorders>
            <w:shd w:val="clear" w:color="auto" w:fill="auto"/>
            <w:vAlign w:val="bottom"/>
          </w:tcPr>
          <w:p w14:paraId="425C5556" w14:textId="648CD5BB" w:rsidR="009F0AF7" w:rsidRPr="001D41EA" w:rsidRDefault="009F0AF7" w:rsidP="001D41EA">
            <w:pPr>
              <w:spacing w:before="40" w:after="20"/>
              <w:jc w:val="right"/>
              <w:rPr>
                <w:rFonts w:cs="Arial"/>
                <w:sz w:val="18"/>
                <w:szCs w:val="18"/>
              </w:rPr>
            </w:pPr>
            <w:r w:rsidRPr="001D41EA">
              <w:rPr>
                <w:rFonts w:cs="Arial"/>
                <w:sz w:val="18"/>
                <w:szCs w:val="18"/>
              </w:rPr>
              <w:t>125,832</w:t>
            </w:r>
          </w:p>
        </w:tc>
        <w:tc>
          <w:tcPr>
            <w:tcW w:w="1361" w:type="dxa"/>
            <w:tcBorders>
              <w:top w:val="nil"/>
              <w:left w:val="nil"/>
              <w:bottom w:val="nil"/>
              <w:right w:val="nil"/>
            </w:tcBorders>
            <w:vAlign w:val="bottom"/>
          </w:tcPr>
          <w:p w14:paraId="6B42AE0A" w14:textId="09F051EF" w:rsidR="009F0AF7" w:rsidRPr="001D41EA" w:rsidRDefault="009F0AF7" w:rsidP="001D41EA">
            <w:pPr>
              <w:spacing w:before="40" w:after="20"/>
              <w:jc w:val="right"/>
              <w:rPr>
                <w:rFonts w:cs="Arial"/>
                <w:sz w:val="18"/>
                <w:szCs w:val="18"/>
              </w:rPr>
            </w:pPr>
            <w:r w:rsidRPr="001D41EA">
              <w:rPr>
                <w:rFonts w:cs="Arial"/>
                <w:sz w:val="18"/>
                <w:szCs w:val="18"/>
              </w:rPr>
              <w:t>4,892,698</w:t>
            </w:r>
          </w:p>
        </w:tc>
        <w:tc>
          <w:tcPr>
            <w:tcW w:w="1361" w:type="dxa"/>
            <w:tcBorders>
              <w:top w:val="nil"/>
              <w:left w:val="nil"/>
              <w:bottom w:val="nil"/>
              <w:right w:val="nil"/>
            </w:tcBorders>
            <w:vAlign w:val="bottom"/>
          </w:tcPr>
          <w:p w14:paraId="781BA1C0" w14:textId="6383FFFC" w:rsidR="009F0AF7" w:rsidRPr="001D41EA" w:rsidRDefault="009F0AF7" w:rsidP="001D41EA">
            <w:pPr>
              <w:spacing w:before="40" w:after="20"/>
              <w:jc w:val="right"/>
              <w:rPr>
                <w:rFonts w:cs="Arial"/>
                <w:sz w:val="18"/>
                <w:szCs w:val="18"/>
              </w:rPr>
            </w:pPr>
            <w:r w:rsidRPr="001D41EA">
              <w:rPr>
                <w:rFonts w:cs="Arial"/>
                <w:sz w:val="18"/>
                <w:szCs w:val="18"/>
              </w:rPr>
              <w:t>229,541</w:t>
            </w:r>
          </w:p>
        </w:tc>
        <w:tc>
          <w:tcPr>
            <w:tcW w:w="1361" w:type="dxa"/>
            <w:tcBorders>
              <w:top w:val="nil"/>
              <w:left w:val="nil"/>
              <w:bottom w:val="nil"/>
              <w:right w:val="nil"/>
            </w:tcBorders>
            <w:shd w:val="clear" w:color="auto" w:fill="auto"/>
            <w:vAlign w:val="bottom"/>
          </w:tcPr>
          <w:p w14:paraId="57194726" w14:textId="5A004F4C" w:rsidR="009F0AF7" w:rsidRPr="001D41EA" w:rsidRDefault="009F0AF7" w:rsidP="001D41EA">
            <w:pPr>
              <w:spacing w:before="40" w:after="20"/>
              <w:jc w:val="right"/>
              <w:rPr>
                <w:rFonts w:cs="Arial"/>
                <w:b/>
                <w:sz w:val="18"/>
                <w:szCs w:val="18"/>
              </w:rPr>
            </w:pPr>
            <w:r w:rsidRPr="001D41EA">
              <w:rPr>
                <w:rFonts w:cs="Arial"/>
                <w:b/>
                <w:sz w:val="18"/>
                <w:szCs w:val="18"/>
              </w:rPr>
              <w:t>15,343,538</w:t>
            </w:r>
          </w:p>
        </w:tc>
      </w:tr>
      <w:tr w:rsidR="009F0AF7" w:rsidRPr="001D41EA" w14:paraId="086E374C"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68E4C33" w14:textId="77777777" w:rsidR="009F0AF7" w:rsidRPr="001D41EA" w:rsidRDefault="009F0AF7" w:rsidP="001D41EA">
            <w:pPr>
              <w:spacing w:before="40" w:after="20"/>
              <w:rPr>
                <w:rFonts w:cs="Arial"/>
                <w:sz w:val="18"/>
                <w:szCs w:val="18"/>
              </w:rPr>
            </w:pPr>
            <w:r w:rsidRPr="001D41EA">
              <w:rPr>
                <w:rFonts w:cs="Arial"/>
                <w:sz w:val="18"/>
                <w:szCs w:val="18"/>
              </w:rPr>
              <w:t>Pyrenees S</w:t>
            </w:r>
          </w:p>
        </w:tc>
        <w:tc>
          <w:tcPr>
            <w:tcW w:w="1361" w:type="dxa"/>
            <w:tcBorders>
              <w:top w:val="nil"/>
              <w:left w:val="single" w:sz="18" w:space="0" w:color="5F497A" w:themeColor="accent4" w:themeShade="BF"/>
              <w:bottom w:val="nil"/>
              <w:right w:val="nil"/>
            </w:tcBorders>
            <w:shd w:val="clear" w:color="auto" w:fill="auto"/>
            <w:vAlign w:val="bottom"/>
          </w:tcPr>
          <w:p w14:paraId="0C0E1FC4" w14:textId="58EEEDE6" w:rsidR="009F0AF7" w:rsidRPr="001D41EA" w:rsidRDefault="009F0AF7" w:rsidP="001D41EA">
            <w:pPr>
              <w:spacing w:before="40" w:after="20"/>
              <w:jc w:val="right"/>
              <w:rPr>
                <w:rFonts w:cs="Arial"/>
                <w:sz w:val="18"/>
                <w:szCs w:val="18"/>
              </w:rPr>
            </w:pPr>
            <w:r w:rsidRPr="001D41EA">
              <w:rPr>
                <w:rFonts w:cs="Arial"/>
                <w:sz w:val="18"/>
                <w:szCs w:val="18"/>
              </w:rPr>
              <w:t>53,097</w:t>
            </w:r>
          </w:p>
        </w:tc>
        <w:tc>
          <w:tcPr>
            <w:tcW w:w="1361" w:type="dxa"/>
            <w:tcBorders>
              <w:top w:val="nil"/>
              <w:left w:val="nil"/>
              <w:bottom w:val="nil"/>
              <w:right w:val="nil"/>
            </w:tcBorders>
            <w:shd w:val="clear" w:color="auto" w:fill="auto"/>
            <w:vAlign w:val="bottom"/>
          </w:tcPr>
          <w:p w14:paraId="14E55083" w14:textId="612981D8" w:rsidR="009F0AF7" w:rsidRPr="001D41EA" w:rsidRDefault="009F0AF7" w:rsidP="001D41EA">
            <w:pPr>
              <w:spacing w:before="40" w:after="20"/>
              <w:jc w:val="right"/>
              <w:rPr>
                <w:rFonts w:cs="Arial"/>
                <w:sz w:val="18"/>
                <w:szCs w:val="18"/>
              </w:rPr>
            </w:pPr>
            <w:r w:rsidRPr="001D41EA">
              <w:rPr>
                <w:rFonts w:cs="Arial"/>
                <w:sz w:val="18"/>
                <w:szCs w:val="18"/>
              </w:rPr>
              <w:t>8,174</w:t>
            </w:r>
          </w:p>
        </w:tc>
        <w:tc>
          <w:tcPr>
            <w:tcW w:w="1361" w:type="dxa"/>
            <w:tcBorders>
              <w:top w:val="nil"/>
              <w:left w:val="nil"/>
              <w:bottom w:val="nil"/>
              <w:right w:val="nil"/>
            </w:tcBorders>
            <w:vAlign w:val="bottom"/>
          </w:tcPr>
          <w:p w14:paraId="3C4E6ECF" w14:textId="10672DE3" w:rsidR="009F0AF7" w:rsidRPr="001D41EA" w:rsidRDefault="009F0AF7" w:rsidP="001D41EA">
            <w:pPr>
              <w:spacing w:before="40" w:after="20"/>
              <w:jc w:val="right"/>
              <w:rPr>
                <w:rFonts w:cs="Arial"/>
                <w:sz w:val="18"/>
                <w:szCs w:val="18"/>
              </w:rPr>
            </w:pPr>
            <w:r w:rsidRPr="001D41EA">
              <w:rPr>
                <w:rFonts w:cs="Arial"/>
                <w:sz w:val="18"/>
                <w:szCs w:val="18"/>
              </w:rPr>
              <w:t>263,131</w:t>
            </w:r>
          </w:p>
        </w:tc>
        <w:tc>
          <w:tcPr>
            <w:tcW w:w="1361" w:type="dxa"/>
            <w:tcBorders>
              <w:top w:val="nil"/>
              <w:left w:val="nil"/>
              <w:bottom w:val="nil"/>
              <w:right w:val="nil"/>
            </w:tcBorders>
            <w:vAlign w:val="bottom"/>
          </w:tcPr>
          <w:p w14:paraId="27FDBE09" w14:textId="61581EF3" w:rsidR="009F0AF7" w:rsidRPr="001D41EA" w:rsidRDefault="009F0AF7" w:rsidP="001D41EA">
            <w:pPr>
              <w:spacing w:before="40" w:after="20"/>
              <w:jc w:val="right"/>
              <w:rPr>
                <w:rFonts w:cs="Arial"/>
                <w:sz w:val="18"/>
                <w:szCs w:val="18"/>
              </w:rPr>
            </w:pPr>
            <w:r w:rsidRPr="001D41EA">
              <w:rPr>
                <w:rFonts w:cs="Arial"/>
                <w:sz w:val="18"/>
                <w:szCs w:val="18"/>
              </w:rPr>
              <w:t>14,910</w:t>
            </w:r>
          </w:p>
        </w:tc>
        <w:tc>
          <w:tcPr>
            <w:tcW w:w="1361" w:type="dxa"/>
            <w:tcBorders>
              <w:top w:val="nil"/>
              <w:left w:val="nil"/>
              <w:bottom w:val="nil"/>
              <w:right w:val="nil"/>
            </w:tcBorders>
            <w:shd w:val="clear" w:color="auto" w:fill="auto"/>
            <w:vAlign w:val="bottom"/>
          </w:tcPr>
          <w:p w14:paraId="4C703A02" w14:textId="0CA8470B" w:rsidR="009F0AF7" w:rsidRPr="001D41EA" w:rsidRDefault="009F0AF7" w:rsidP="001D41EA">
            <w:pPr>
              <w:spacing w:before="40" w:after="20"/>
              <w:jc w:val="right"/>
              <w:rPr>
                <w:rFonts w:cs="Arial"/>
                <w:b/>
                <w:sz w:val="18"/>
                <w:szCs w:val="18"/>
              </w:rPr>
            </w:pPr>
            <w:r w:rsidRPr="001D41EA">
              <w:rPr>
                <w:rFonts w:cs="Arial"/>
                <w:b/>
                <w:sz w:val="18"/>
                <w:szCs w:val="18"/>
              </w:rPr>
              <w:t>899,632</w:t>
            </w:r>
          </w:p>
        </w:tc>
      </w:tr>
      <w:tr w:rsidR="009F0AF7" w:rsidRPr="001D41EA" w14:paraId="13E5149C"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74C068D" w14:textId="77777777" w:rsidR="009F0AF7" w:rsidRPr="001D41EA" w:rsidRDefault="009F0AF7" w:rsidP="001D41EA">
            <w:pPr>
              <w:spacing w:before="40" w:after="20"/>
              <w:rPr>
                <w:rFonts w:cs="Arial"/>
                <w:sz w:val="18"/>
                <w:szCs w:val="18"/>
              </w:rPr>
            </w:pPr>
            <w:r w:rsidRPr="001D41EA">
              <w:rPr>
                <w:rFonts w:cs="Arial"/>
                <w:sz w:val="18"/>
                <w:szCs w:val="18"/>
              </w:rPr>
              <w:t>Queenscliffe B</w:t>
            </w:r>
          </w:p>
        </w:tc>
        <w:tc>
          <w:tcPr>
            <w:tcW w:w="1361" w:type="dxa"/>
            <w:tcBorders>
              <w:top w:val="nil"/>
              <w:left w:val="single" w:sz="18" w:space="0" w:color="5F497A" w:themeColor="accent4" w:themeShade="BF"/>
              <w:bottom w:val="nil"/>
              <w:right w:val="nil"/>
            </w:tcBorders>
            <w:shd w:val="clear" w:color="auto" w:fill="auto"/>
            <w:vAlign w:val="bottom"/>
          </w:tcPr>
          <w:p w14:paraId="0AA3FB95" w14:textId="2EBA20A7" w:rsidR="009F0AF7" w:rsidRPr="001D41EA" w:rsidRDefault="009F0AF7" w:rsidP="001D41EA">
            <w:pPr>
              <w:spacing w:before="40" w:after="20"/>
              <w:jc w:val="right"/>
              <w:rPr>
                <w:rFonts w:cs="Arial"/>
                <w:sz w:val="18"/>
                <w:szCs w:val="18"/>
              </w:rPr>
            </w:pPr>
            <w:r w:rsidRPr="001D41EA">
              <w:rPr>
                <w:rFonts w:cs="Arial"/>
                <w:sz w:val="18"/>
                <w:szCs w:val="18"/>
              </w:rPr>
              <w:t>24,977</w:t>
            </w:r>
          </w:p>
        </w:tc>
        <w:tc>
          <w:tcPr>
            <w:tcW w:w="1361" w:type="dxa"/>
            <w:tcBorders>
              <w:top w:val="nil"/>
              <w:left w:val="nil"/>
              <w:bottom w:val="nil"/>
              <w:right w:val="nil"/>
            </w:tcBorders>
            <w:shd w:val="clear" w:color="auto" w:fill="auto"/>
            <w:vAlign w:val="bottom"/>
          </w:tcPr>
          <w:p w14:paraId="4FF74AFC" w14:textId="35836E3A" w:rsidR="009F0AF7" w:rsidRPr="001D41EA" w:rsidRDefault="009F0AF7" w:rsidP="001D41EA">
            <w:pPr>
              <w:spacing w:before="40" w:after="20"/>
              <w:jc w:val="right"/>
              <w:rPr>
                <w:rFonts w:cs="Arial"/>
                <w:sz w:val="18"/>
                <w:szCs w:val="18"/>
              </w:rPr>
            </w:pPr>
            <w:r w:rsidRPr="001D41EA">
              <w:rPr>
                <w:rFonts w:cs="Arial"/>
                <w:sz w:val="18"/>
                <w:szCs w:val="18"/>
              </w:rPr>
              <w:t>3,315</w:t>
            </w:r>
          </w:p>
        </w:tc>
        <w:tc>
          <w:tcPr>
            <w:tcW w:w="1361" w:type="dxa"/>
            <w:tcBorders>
              <w:top w:val="nil"/>
              <w:left w:val="nil"/>
              <w:bottom w:val="nil"/>
              <w:right w:val="nil"/>
            </w:tcBorders>
            <w:vAlign w:val="bottom"/>
          </w:tcPr>
          <w:p w14:paraId="5D0486CD" w14:textId="0E286C75" w:rsidR="009F0AF7" w:rsidRPr="001D41EA" w:rsidRDefault="009F0AF7" w:rsidP="001D41EA">
            <w:pPr>
              <w:spacing w:before="40" w:after="20"/>
              <w:jc w:val="right"/>
              <w:rPr>
                <w:rFonts w:cs="Arial"/>
                <w:sz w:val="18"/>
                <w:szCs w:val="18"/>
              </w:rPr>
            </w:pPr>
            <w:r w:rsidRPr="001D41EA">
              <w:rPr>
                <w:rFonts w:cs="Arial"/>
                <w:sz w:val="18"/>
                <w:szCs w:val="18"/>
              </w:rPr>
              <w:t>174,492</w:t>
            </w:r>
          </w:p>
        </w:tc>
        <w:tc>
          <w:tcPr>
            <w:tcW w:w="1361" w:type="dxa"/>
            <w:tcBorders>
              <w:top w:val="nil"/>
              <w:left w:val="nil"/>
              <w:bottom w:val="nil"/>
              <w:right w:val="nil"/>
            </w:tcBorders>
            <w:vAlign w:val="bottom"/>
          </w:tcPr>
          <w:p w14:paraId="11B45DD6" w14:textId="3FD57F9F" w:rsidR="009F0AF7" w:rsidRPr="001D41EA" w:rsidRDefault="009F0AF7" w:rsidP="001D41EA">
            <w:pPr>
              <w:spacing w:before="40" w:after="20"/>
              <w:jc w:val="right"/>
              <w:rPr>
                <w:rFonts w:cs="Arial"/>
                <w:sz w:val="18"/>
                <w:szCs w:val="18"/>
              </w:rPr>
            </w:pPr>
            <w:r w:rsidRPr="001D41EA">
              <w:rPr>
                <w:rFonts w:cs="Arial"/>
                <w:sz w:val="18"/>
                <w:szCs w:val="18"/>
              </w:rPr>
              <w:t>6,047</w:t>
            </w:r>
          </w:p>
        </w:tc>
        <w:tc>
          <w:tcPr>
            <w:tcW w:w="1361" w:type="dxa"/>
            <w:tcBorders>
              <w:top w:val="nil"/>
              <w:left w:val="nil"/>
              <w:bottom w:val="nil"/>
              <w:right w:val="nil"/>
            </w:tcBorders>
            <w:shd w:val="clear" w:color="auto" w:fill="auto"/>
            <w:vAlign w:val="bottom"/>
          </w:tcPr>
          <w:p w14:paraId="4F809BC8" w14:textId="7C8DDCA9" w:rsidR="009F0AF7" w:rsidRPr="001D41EA" w:rsidRDefault="009F0AF7" w:rsidP="001D41EA">
            <w:pPr>
              <w:spacing w:before="40" w:after="20"/>
              <w:jc w:val="right"/>
              <w:rPr>
                <w:rFonts w:cs="Arial"/>
                <w:b/>
                <w:sz w:val="18"/>
                <w:szCs w:val="18"/>
              </w:rPr>
            </w:pPr>
            <w:r w:rsidRPr="001D41EA">
              <w:rPr>
                <w:rFonts w:cs="Arial"/>
                <w:b/>
                <w:sz w:val="18"/>
                <w:szCs w:val="18"/>
              </w:rPr>
              <w:t>517,812</w:t>
            </w:r>
          </w:p>
        </w:tc>
      </w:tr>
      <w:tr w:rsidR="009F0AF7" w:rsidRPr="001D41EA" w14:paraId="590FAED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6546D0D" w14:textId="77777777" w:rsidR="009F0AF7" w:rsidRPr="001D41EA" w:rsidRDefault="009F0AF7" w:rsidP="001D41EA">
            <w:pPr>
              <w:spacing w:before="40" w:after="20"/>
              <w:rPr>
                <w:rFonts w:cs="Arial"/>
                <w:sz w:val="18"/>
                <w:szCs w:val="18"/>
              </w:rPr>
            </w:pPr>
            <w:r w:rsidRPr="001D41EA">
              <w:rPr>
                <w:rFonts w:cs="Arial"/>
                <w:sz w:val="18"/>
                <w:szCs w:val="18"/>
              </w:rPr>
              <w:t>South Gippsland S</w:t>
            </w:r>
          </w:p>
        </w:tc>
        <w:tc>
          <w:tcPr>
            <w:tcW w:w="1361" w:type="dxa"/>
            <w:tcBorders>
              <w:top w:val="nil"/>
              <w:left w:val="single" w:sz="18" w:space="0" w:color="5F497A" w:themeColor="accent4" w:themeShade="BF"/>
              <w:bottom w:val="nil"/>
              <w:right w:val="nil"/>
            </w:tcBorders>
            <w:shd w:val="clear" w:color="auto" w:fill="auto"/>
            <w:vAlign w:val="bottom"/>
          </w:tcPr>
          <w:p w14:paraId="7FE87764" w14:textId="695740CB" w:rsidR="009F0AF7" w:rsidRPr="001D41EA" w:rsidRDefault="009F0AF7" w:rsidP="001D41EA">
            <w:pPr>
              <w:spacing w:before="40" w:after="20"/>
              <w:jc w:val="right"/>
              <w:rPr>
                <w:rFonts w:cs="Arial"/>
                <w:sz w:val="18"/>
                <w:szCs w:val="18"/>
              </w:rPr>
            </w:pPr>
            <w:r w:rsidRPr="001D41EA">
              <w:rPr>
                <w:rFonts w:cs="Arial"/>
                <w:sz w:val="18"/>
                <w:szCs w:val="18"/>
              </w:rPr>
              <w:t>236,132</w:t>
            </w:r>
          </w:p>
        </w:tc>
        <w:tc>
          <w:tcPr>
            <w:tcW w:w="1361" w:type="dxa"/>
            <w:tcBorders>
              <w:top w:val="nil"/>
              <w:left w:val="nil"/>
              <w:bottom w:val="nil"/>
              <w:right w:val="nil"/>
            </w:tcBorders>
            <w:shd w:val="clear" w:color="auto" w:fill="auto"/>
            <w:vAlign w:val="bottom"/>
          </w:tcPr>
          <w:p w14:paraId="14393835" w14:textId="535DA042" w:rsidR="009F0AF7" w:rsidRPr="001D41EA" w:rsidRDefault="009F0AF7" w:rsidP="001D41EA">
            <w:pPr>
              <w:spacing w:before="40" w:after="20"/>
              <w:jc w:val="right"/>
              <w:rPr>
                <w:rFonts w:cs="Arial"/>
                <w:sz w:val="18"/>
                <w:szCs w:val="18"/>
              </w:rPr>
            </w:pPr>
            <w:r w:rsidRPr="001D41EA">
              <w:rPr>
                <w:rFonts w:cs="Arial"/>
                <w:sz w:val="18"/>
                <w:szCs w:val="18"/>
              </w:rPr>
              <w:t>32,876</w:t>
            </w:r>
          </w:p>
        </w:tc>
        <w:tc>
          <w:tcPr>
            <w:tcW w:w="1361" w:type="dxa"/>
            <w:tcBorders>
              <w:top w:val="nil"/>
              <w:left w:val="nil"/>
              <w:bottom w:val="nil"/>
              <w:right w:val="nil"/>
            </w:tcBorders>
            <w:vAlign w:val="bottom"/>
          </w:tcPr>
          <w:p w14:paraId="722E0CE9" w14:textId="49D9EF20" w:rsidR="009F0AF7" w:rsidRPr="001D41EA" w:rsidRDefault="009F0AF7" w:rsidP="001D41EA">
            <w:pPr>
              <w:spacing w:before="40" w:after="20"/>
              <w:jc w:val="right"/>
              <w:rPr>
                <w:rFonts w:cs="Arial"/>
                <w:sz w:val="18"/>
                <w:szCs w:val="18"/>
              </w:rPr>
            </w:pPr>
            <w:r w:rsidRPr="001D41EA">
              <w:rPr>
                <w:rFonts w:cs="Arial"/>
                <w:sz w:val="18"/>
                <w:szCs w:val="18"/>
              </w:rPr>
              <w:t>1,132,452</w:t>
            </w:r>
          </w:p>
        </w:tc>
        <w:tc>
          <w:tcPr>
            <w:tcW w:w="1361" w:type="dxa"/>
            <w:tcBorders>
              <w:top w:val="nil"/>
              <w:left w:val="nil"/>
              <w:bottom w:val="nil"/>
              <w:right w:val="nil"/>
            </w:tcBorders>
            <w:vAlign w:val="bottom"/>
          </w:tcPr>
          <w:p w14:paraId="6BB247AB" w14:textId="48B76EB9" w:rsidR="009F0AF7" w:rsidRPr="001D41EA" w:rsidRDefault="009F0AF7" w:rsidP="001D41EA">
            <w:pPr>
              <w:spacing w:before="40" w:after="20"/>
              <w:jc w:val="right"/>
              <w:rPr>
                <w:rFonts w:cs="Arial"/>
                <w:sz w:val="18"/>
                <w:szCs w:val="18"/>
              </w:rPr>
            </w:pPr>
            <w:r w:rsidRPr="001D41EA">
              <w:rPr>
                <w:rFonts w:cs="Arial"/>
                <w:sz w:val="18"/>
                <w:szCs w:val="18"/>
              </w:rPr>
              <w:t>59,973</w:t>
            </w:r>
          </w:p>
        </w:tc>
        <w:tc>
          <w:tcPr>
            <w:tcW w:w="1361" w:type="dxa"/>
            <w:tcBorders>
              <w:top w:val="nil"/>
              <w:left w:val="nil"/>
              <w:bottom w:val="nil"/>
              <w:right w:val="nil"/>
            </w:tcBorders>
            <w:shd w:val="clear" w:color="auto" w:fill="auto"/>
            <w:vAlign w:val="bottom"/>
          </w:tcPr>
          <w:p w14:paraId="3174633B" w14:textId="401F8FB7" w:rsidR="009F0AF7" w:rsidRPr="001D41EA" w:rsidRDefault="009F0AF7" w:rsidP="001D41EA">
            <w:pPr>
              <w:spacing w:before="40" w:after="20"/>
              <w:jc w:val="right"/>
              <w:rPr>
                <w:rFonts w:cs="Arial"/>
                <w:b/>
                <w:sz w:val="18"/>
                <w:szCs w:val="18"/>
              </w:rPr>
            </w:pPr>
            <w:r w:rsidRPr="001D41EA">
              <w:rPr>
                <w:rFonts w:cs="Arial"/>
                <w:b/>
                <w:sz w:val="18"/>
                <w:szCs w:val="18"/>
              </w:rPr>
              <w:t>3,770,871</w:t>
            </w:r>
          </w:p>
        </w:tc>
      </w:tr>
      <w:tr w:rsidR="009F0AF7" w:rsidRPr="001D41EA" w14:paraId="11D07046"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9B44BB8" w14:textId="77777777" w:rsidR="009F0AF7" w:rsidRPr="001D41EA" w:rsidRDefault="009F0AF7" w:rsidP="001D41EA">
            <w:pPr>
              <w:spacing w:before="40" w:after="20"/>
              <w:rPr>
                <w:rFonts w:cs="Arial"/>
                <w:sz w:val="18"/>
                <w:szCs w:val="18"/>
              </w:rPr>
            </w:pPr>
            <w:r w:rsidRPr="001D41EA">
              <w:rPr>
                <w:rFonts w:cs="Arial"/>
                <w:sz w:val="18"/>
                <w:szCs w:val="18"/>
              </w:rPr>
              <w:t>Southern Grampians S</w:t>
            </w:r>
          </w:p>
        </w:tc>
        <w:tc>
          <w:tcPr>
            <w:tcW w:w="1361" w:type="dxa"/>
            <w:tcBorders>
              <w:top w:val="nil"/>
              <w:left w:val="single" w:sz="18" w:space="0" w:color="5F497A" w:themeColor="accent4" w:themeShade="BF"/>
              <w:bottom w:val="nil"/>
              <w:right w:val="nil"/>
            </w:tcBorders>
            <w:shd w:val="clear" w:color="auto" w:fill="auto"/>
            <w:vAlign w:val="bottom"/>
          </w:tcPr>
          <w:p w14:paraId="24C9C037" w14:textId="15D93786" w:rsidR="009F0AF7" w:rsidRPr="001D41EA" w:rsidRDefault="009F0AF7" w:rsidP="001D41EA">
            <w:pPr>
              <w:spacing w:before="40" w:after="20"/>
              <w:jc w:val="right"/>
              <w:rPr>
                <w:rFonts w:cs="Arial"/>
                <w:sz w:val="18"/>
                <w:szCs w:val="18"/>
              </w:rPr>
            </w:pPr>
            <w:r w:rsidRPr="001D41EA">
              <w:rPr>
                <w:rFonts w:cs="Arial"/>
                <w:sz w:val="18"/>
                <w:szCs w:val="18"/>
              </w:rPr>
              <w:t>139,402</w:t>
            </w:r>
          </w:p>
        </w:tc>
        <w:tc>
          <w:tcPr>
            <w:tcW w:w="1361" w:type="dxa"/>
            <w:tcBorders>
              <w:top w:val="nil"/>
              <w:left w:val="nil"/>
              <w:bottom w:val="nil"/>
              <w:right w:val="nil"/>
            </w:tcBorders>
            <w:shd w:val="clear" w:color="auto" w:fill="auto"/>
            <w:vAlign w:val="bottom"/>
          </w:tcPr>
          <w:p w14:paraId="6ADFC6CF" w14:textId="4933D391" w:rsidR="009F0AF7" w:rsidRPr="001D41EA" w:rsidRDefault="009F0AF7" w:rsidP="001D41EA">
            <w:pPr>
              <w:spacing w:before="40" w:after="20"/>
              <w:jc w:val="right"/>
              <w:rPr>
                <w:rFonts w:cs="Arial"/>
                <w:sz w:val="18"/>
                <w:szCs w:val="18"/>
              </w:rPr>
            </w:pPr>
            <w:r w:rsidRPr="001D41EA">
              <w:rPr>
                <w:rFonts w:cs="Arial"/>
                <w:sz w:val="18"/>
                <w:szCs w:val="18"/>
              </w:rPr>
              <w:t>17,935</w:t>
            </w:r>
          </w:p>
        </w:tc>
        <w:tc>
          <w:tcPr>
            <w:tcW w:w="1361" w:type="dxa"/>
            <w:tcBorders>
              <w:top w:val="nil"/>
              <w:left w:val="nil"/>
              <w:bottom w:val="nil"/>
              <w:right w:val="nil"/>
            </w:tcBorders>
            <w:vAlign w:val="bottom"/>
          </w:tcPr>
          <w:p w14:paraId="25DAE252" w14:textId="64482AE1" w:rsidR="009F0AF7" w:rsidRPr="001D41EA" w:rsidRDefault="009F0AF7" w:rsidP="001D41EA">
            <w:pPr>
              <w:spacing w:before="40" w:after="20"/>
              <w:jc w:val="right"/>
              <w:rPr>
                <w:rFonts w:cs="Arial"/>
                <w:sz w:val="18"/>
                <w:szCs w:val="18"/>
              </w:rPr>
            </w:pPr>
            <w:r w:rsidRPr="001D41EA">
              <w:rPr>
                <w:rFonts w:cs="Arial"/>
                <w:sz w:val="18"/>
                <w:szCs w:val="18"/>
              </w:rPr>
              <w:t>562,893</w:t>
            </w:r>
          </w:p>
        </w:tc>
        <w:tc>
          <w:tcPr>
            <w:tcW w:w="1361" w:type="dxa"/>
            <w:tcBorders>
              <w:top w:val="nil"/>
              <w:left w:val="nil"/>
              <w:bottom w:val="nil"/>
              <w:right w:val="nil"/>
            </w:tcBorders>
            <w:vAlign w:val="bottom"/>
          </w:tcPr>
          <w:p w14:paraId="592925A6" w14:textId="3FA1E556" w:rsidR="009F0AF7" w:rsidRPr="001D41EA" w:rsidRDefault="009F0AF7" w:rsidP="001D41EA">
            <w:pPr>
              <w:spacing w:before="40" w:after="20"/>
              <w:jc w:val="right"/>
              <w:rPr>
                <w:rFonts w:cs="Arial"/>
                <w:sz w:val="18"/>
                <w:szCs w:val="18"/>
              </w:rPr>
            </w:pPr>
            <w:r w:rsidRPr="001D41EA">
              <w:rPr>
                <w:rFonts w:cs="Arial"/>
                <w:sz w:val="18"/>
                <w:szCs w:val="18"/>
              </w:rPr>
              <w:t>32,718</w:t>
            </w:r>
          </w:p>
        </w:tc>
        <w:tc>
          <w:tcPr>
            <w:tcW w:w="1361" w:type="dxa"/>
            <w:tcBorders>
              <w:top w:val="nil"/>
              <w:left w:val="nil"/>
              <w:bottom w:val="nil"/>
              <w:right w:val="nil"/>
            </w:tcBorders>
            <w:shd w:val="clear" w:color="auto" w:fill="auto"/>
            <w:vAlign w:val="bottom"/>
          </w:tcPr>
          <w:p w14:paraId="1A96448C" w14:textId="40E7E7CA" w:rsidR="009F0AF7" w:rsidRPr="001D41EA" w:rsidRDefault="009F0AF7" w:rsidP="001D41EA">
            <w:pPr>
              <w:spacing w:before="40" w:after="20"/>
              <w:jc w:val="right"/>
              <w:rPr>
                <w:rFonts w:cs="Arial"/>
                <w:b/>
                <w:sz w:val="18"/>
                <w:szCs w:val="18"/>
              </w:rPr>
            </w:pPr>
            <w:r w:rsidRPr="001D41EA">
              <w:rPr>
                <w:rFonts w:cs="Arial"/>
                <w:b/>
                <w:sz w:val="18"/>
                <w:szCs w:val="18"/>
              </w:rPr>
              <w:t>1,985,875</w:t>
            </w:r>
          </w:p>
        </w:tc>
      </w:tr>
      <w:tr w:rsidR="009F0AF7" w:rsidRPr="001D41EA" w14:paraId="070AD60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46FF6DD" w14:textId="77777777" w:rsidR="009F0AF7" w:rsidRPr="001D41EA" w:rsidRDefault="009F0AF7" w:rsidP="001D41EA">
            <w:pPr>
              <w:spacing w:before="40" w:after="20"/>
              <w:rPr>
                <w:rFonts w:cs="Arial"/>
                <w:sz w:val="18"/>
                <w:szCs w:val="18"/>
              </w:rPr>
            </w:pPr>
            <w:r w:rsidRPr="001D41EA">
              <w:rPr>
                <w:rFonts w:cs="Arial"/>
                <w:sz w:val="18"/>
                <w:szCs w:val="18"/>
              </w:rPr>
              <w:t>Stonnington C</w:t>
            </w:r>
          </w:p>
        </w:tc>
        <w:tc>
          <w:tcPr>
            <w:tcW w:w="1361" w:type="dxa"/>
            <w:tcBorders>
              <w:top w:val="nil"/>
              <w:left w:val="single" w:sz="18" w:space="0" w:color="5F497A" w:themeColor="accent4" w:themeShade="BF"/>
              <w:bottom w:val="nil"/>
              <w:right w:val="nil"/>
            </w:tcBorders>
            <w:shd w:val="clear" w:color="auto" w:fill="auto"/>
            <w:vAlign w:val="bottom"/>
          </w:tcPr>
          <w:p w14:paraId="565E300F" w14:textId="1BB3F82B" w:rsidR="009F0AF7" w:rsidRPr="001D41EA" w:rsidRDefault="009F0AF7" w:rsidP="001D41EA">
            <w:pPr>
              <w:spacing w:before="40" w:after="20"/>
              <w:jc w:val="right"/>
              <w:rPr>
                <w:rFonts w:cs="Arial"/>
                <w:sz w:val="18"/>
                <w:szCs w:val="18"/>
              </w:rPr>
            </w:pPr>
            <w:r w:rsidRPr="001D41EA">
              <w:rPr>
                <w:rFonts w:cs="Arial"/>
                <w:sz w:val="18"/>
                <w:szCs w:val="18"/>
              </w:rPr>
              <w:t>1,410,218</w:t>
            </w:r>
          </w:p>
        </w:tc>
        <w:tc>
          <w:tcPr>
            <w:tcW w:w="1361" w:type="dxa"/>
            <w:tcBorders>
              <w:top w:val="nil"/>
              <w:left w:val="nil"/>
              <w:bottom w:val="nil"/>
              <w:right w:val="nil"/>
            </w:tcBorders>
            <w:shd w:val="clear" w:color="auto" w:fill="auto"/>
            <w:vAlign w:val="bottom"/>
          </w:tcPr>
          <w:p w14:paraId="76669CFE" w14:textId="62443D8B" w:rsidR="009F0AF7" w:rsidRPr="001D41EA" w:rsidRDefault="009F0AF7" w:rsidP="001D41EA">
            <w:pPr>
              <w:spacing w:before="40" w:after="20"/>
              <w:jc w:val="right"/>
              <w:rPr>
                <w:rFonts w:cs="Arial"/>
                <w:sz w:val="18"/>
                <w:szCs w:val="18"/>
              </w:rPr>
            </w:pPr>
            <w:r w:rsidRPr="001D41EA">
              <w:rPr>
                <w:rFonts w:cs="Arial"/>
                <w:sz w:val="18"/>
                <w:szCs w:val="18"/>
              </w:rPr>
              <w:t>129,174</w:t>
            </w:r>
          </w:p>
        </w:tc>
        <w:tc>
          <w:tcPr>
            <w:tcW w:w="1361" w:type="dxa"/>
            <w:tcBorders>
              <w:top w:val="nil"/>
              <w:left w:val="nil"/>
              <w:bottom w:val="nil"/>
              <w:right w:val="nil"/>
            </w:tcBorders>
            <w:vAlign w:val="bottom"/>
          </w:tcPr>
          <w:p w14:paraId="59A1AB8A" w14:textId="6EF9F8FA" w:rsidR="009F0AF7" w:rsidRPr="001D41EA" w:rsidRDefault="009F0AF7" w:rsidP="001D41EA">
            <w:pPr>
              <w:spacing w:before="40" w:after="20"/>
              <w:jc w:val="right"/>
              <w:rPr>
                <w:rFonts w:cs="Arial"/>
                <w:sz w:val="18"/>
                <w:szCs w:val="18"/>
              </w:rPr>
            </w:pPr>
            <w:r w:rsidRPr="001D41EA">
              <w:rPr>
                <w:rFonts w:cs="Arial"/>
                <w:sz w:val="18"/>
                <w:szCs w:val="18"/>
              </w:rPr>
              <w:t>5,432,518</w:t>
            </w:r>
          </w:p>
        </w:tc>
        <w:tc>
          <w:tcPr>
            <w:tcW w:w="1361" w:type="dxa"/>
            <w:tcBorders>
              <w:top w:val="nil"/>
              <w:left w:val="nil"/>
              <w:bottom w:val="nil"/>
              <w:right w:val="nil"/>
            </w:tcBorders>
            <w:vAlign w:val="bottom"/>
          </w:tcPr>
          <w:p w14:paraId="2A3EC34C" w14:textId="06D175DA" w:rsidR="009F0AF7" w:rsidRPr="001D41EA" w:rsidRDefault="009F0AF7" w:rsidP="001D41EA">
            <w:pPr>
              <w:spacing w:before="40" w:after="20"/>
              <w:jc w:val="right"/>
              <w:rPr>
                <w:rFonts w:cs="Arial"/>
                <w:sz w:val="18"/>
                <w:szCs w:val="18"/>
              </w:rPr>
            </w:pPr>
            <w:r w:rsidRPr="001D41EA">
              <w:rPr>
                <w:rFonts w:cs="Arial"/>
                <w:sz w:val="18"/>
                <w:szCs w:val="18"/>
              </w:rPr>
              <w:t>235,639</w:t>
            </w:r>
          </w:p>
        </w:tc>
        <w:tc>
          <w:tcPr>
            <w:tcW w:w="1361" w:type="dxa"/>
            <w:tcBorders>
              <w:top w:val="nil"/>
              <w:left w:val="nil"/>
              <w:bottom w:val="nil"/>
              <w:right w:val="nil"/>
            </w:tcBorders>
            <w:shd w:val="clear" w:color="auto" w:fill="auto"/>
            <w:vAlign w:val="bottom"/>
          </w:tcPr>
          <w:p w14:paraId="44D6FF3E" w14:textId="2CA2D662" w:rsidR="009F0AF7" w:rsidRPr="001D41EA" w:rsidRDefault="009F0AF7" w:rsidP="001D41EA">
            <w:pPr>
              <w:spacing w:before="40" w:after="20"/>
              <w:jc w:val="right"/>
              <w:rPr>
                <w:rFonts w:cs="Arial"/>
                <w:b/>
                <w:sz w:val="18"/>
                <w:szCs w:val="18"/>
              </w:rPr>
            </w:pPr>
            <w:r w:rsidRPr="001D41EA">
              <w:rPr>
                <w:rFonts w:cs="Arial"/>
                <w:b/>
                <w:sz w:val="18"/>
                <w:szCs w:val="18"/>
              </w:rPr>
              <w:t>16,477,290</w:t>
            </w:r>
          </w:p>
        </w:tc>
      </w:tr>
      <w:tr w:rsidR="009F0AF7" w:rsidRPr="001D41EA" w14:paraId="4CD89FF6"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5C2731C" w14:textId="77777777" w:rsidR="009F0AF7" w:rsidRPr="001D41EA" w:rsidRDefault="009F0AF7" w:rsidP="001D41EA">
            <w:pPr>
              <w:spacing w:before="40" w:after="20"/>
              <w:rPr>
                <w:rFonts w:cs="Arial"/>
                <w:sz w:val="18"/>
                <w:szCs w:val="18"/>
              </w:rPr>
            </w:pPr>
            <w:r w:rsidRPr="001D41EA">
              <w:rPr>
                <w:rFonts w:cs="Arial"/>
                <w:sz w:val="18"/>
                <w:szCs w:val="18"/>
              </w:rPr>
              <w:t>Strathbogie S</w:t>
            </w:r>
          </w:p>
        </w:tc>
        <w:tc>
          <w:tcPr>
            <w:tcW w:w="1361" w:type="dxa"/>
            <w:tcBorders>
              <w:top w:val="nil"/>
              <w:left w:val="single" w:sz="18" w:space="0" w:color="5F497A" w:themeColor="accent4" w:themeShade="BF"/>
              <w:bottom w:val="nil"/>
              <w:right w:val="nil"/>
            </w:tcBorders>
            <w:shd w:val="clear" w:color="auto" w:fill="auto"/>
            <w:vAlign w:val="bottom"/>
          </w:tcPr>
          <w:p w14:paraId="4FC6D076" w14:textId="7E072B30" w:rsidR="009F0AF7" w:rsidRPr="001D41EA" w:rsidRDefault="009F0AF7" w:rsidP="001D41EA">
            <w:pPr>
              <w:spacing w:before="40" w:after="20"/>
              <w:jc w:val="right"/>
              <w:rPr>
                <w:rFonts w:cs="Arial"/>
                <w:sz w:val="18"/>
                <w:szCs w:val="18"/>
              </w:rPr>
            </w:pPr>
            <w:r w:rsidRPr="001D41EA">
              <w:rPr>
                <w:rFonts w:cs="Arial"/>
                <w:sz w:val="18"/>
                <w:szCs w:val="18"/>
              </w:rPr>
              <w:t>85,799</w:t>
            </w:r>
          </w:p>
        </w:tc>
        <w:tc>
          <w:tcPr>
            <w:tcW w:w="1361" w:type="dxa"/>
            <w:tcBorders>
              <w:top w:val="nil"/>
              <w:left w:val="nil"/>
              <w:bottom w:val="nil"/>
              <w:right w:val="nil"/>
            </w:tcBorders>
            <w:shd w:val="clear" w:color="auto" w:fill="auto"/>
            <w:vAlign w:val="bottom"/>
          </w:tcPr>
          <w:p w14:paraId="19383029" w14:textId="7410DC7A" w:rsidR="009F0AF7" w:rsidRPr="001D41EA" w:rsidRDefault="009F0AF7" w:rsidP="001D41EA">
            <w:pPr>
              <w:spacing w:before="40" w:after="20"/>
              <w:jc w:val="right"/>
              <w:rPr>
                <w:rFonts w:cs="Arial"/>
                <w:sz w:val="18"/>
                <w:szCs w:val="18"/>
              </w:rPr>
            </w:pPr>
            <w:r w:rsidRPr="001D41EA">
              <w:rPr>
                <w:rFonts w:cs="Arial"/>
                <w:sz w:val="18"/>
                <w:szCs w:val="18"/>
              </w:rPr>
              <w:t>11,833</w:t>
            </w:r>
          </w:p>
        </w:tc>
        <w:tc>
          <w:tcPr>
            <w:tcW w:w="1361" w:type="dxa"/>
            <w:tcBorders>
              <w:top w:val="nil"/>
              <w:left w:val="nil"/>
              <w:bottom w:val="nil"/>
              <w:right w:val="nil"/>
            </w:tcBorders>
            <w:vAlign w:val="bottom"/>
          </w:tcPr>
          <w:p w14:paraId="1B9C60F3" w14:textId="45E720E4" w:rsidR="009F0AF7" w:rsidRPr="001D41EA" w:rsidRDefault="009F0AF7" w:rsidP="001D41EA">
            <w:pPr>
              <w:spacing w:before="40" w:after="20"/>
              <w:jc w:val="right"/>
              <w:rPr>
                <w:rFonts w:cs="Arial"/>
                <w:sz w:val="18"/>
                <w:szCs w:val="18"/>
              </w:rPr>
            </w:pPr>
            <w:r w:rsidRPr="001D41EA">
              <w:rPr>
                <w:rFonts w:cs="Arial"/>
                <w:sz w:val="18"/>
                <w:szCs w:val="18"/>
              </w:rPr>
              <w:t>418,353</w:t>
            </w:r>
          </w:p>
        </w:tc>
        <w:tc>
          <w:tcPr>
            <w:tcW w:w="1361" w:type="dxa"/>
            <w:tcBorders>
              <w:top w:val="nil"/>
              <w:left w:val="nil"/>
              <w:bottom w:val="nil"/>
              <w:right w:val="nil"/>
            </w:tcBorders>
            <w:vAlign w:val="bottom"/>
          </w:tcPr>
          <w:p w14:paraId="59400BC3" w14:textId="4EE5AC4F" w:rsidR="009F0AF7" w:rsidRPr="001D41EA" w:rsidRDefault="009F0AF7" w:rsidP="001D41EA">
            <w:pPr>
              <w:spacing w:before="40" w:after="20"/>
              <w:jc w:val="right"/>
              <w:rPr>
                <w:rFonts w:cs="Arial"/>
                <w:sz w:val="18"/>
                <w:szCs w:val="18"/>
              </w:rPr>
            </w:pPr>
            <w:r w:rsidRPr="001D41EA">
              <w:rPr>
                <w:rFonts w:cs="Arial"/>
                <w:sz w:val="18"/>
                <w:szCs w:val="18"/>
              </w:rPr>
              <w:t>21,585</w:t>
            </w:r>
          </w:p>
        </w:tc>
        <w:tc>
          <w:tcPr>
            <w:tcW w:w="1361" w:type="dxa"/>
            <w:tcBorders>
              <w:top w:val="nil"/>
              <w:left w:val="nil"/>
              <w:bottom w:val="nil"/>
              <w:right w:val="nil"/>
            </w:tcBorders>
            <w:shd w:val="clear" w:color="auto" w:fill="auto"/>
            <w:vAlign w:val="bottom"/>
          </w:tcPr>
          <w:p w14:paraId="09102E9B" w14:textId="5C10389A" w:rsidR="009F0AF7" w:rsidRPr="001D41EA" w:rsidRDefault="009F0AF7" w:rsidP="001D41EA">
            <w:pPr>
              <w:spacing w:before="40" w:after="20"/>
              <w:jc w:val="right"/>
              <w:rPr>
                <w:rFonts w:cs="Arial"/>
                <w:b/>
                <w:sz w:val="18"/>
                <w:szCs w:val="18"/>
              </w:rPr>
            </w:pPr>
            <w:r w:rsidRPr="001D41EA">
              <w:rPr>
                <w:rFonts w:cs="Arial"/>
                <w:b/>
                <w:sz w:val="18"/>
                <w:szCs w:val="18"/>
              </w:rPr>
              <w:t>1,383,385</w:t>
            </w:r>
          </w:p>
        </w:tc>
      </w:tr>
      <w:tr w:rsidR="009F0AF7" w:rsidRPr="001D41EA" w14:paraId="23A130D1"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7D8E4A" w14:textId="77777777" w:rsidR="009F0AF7" w:rsidRPr="001D41EA" w:rsidRDefault="009F0AF7" w:rsidP="001D41EA">
            <w:pPr>
              <w:spacing w:before="40" w:after="20"/>
              <w:rPr>
                <w:rFonts w:cs="Arial"/>
                <w:sz w:val="18"/>
                <w:szCs w:val="18"/>
              </w:rPr>
            </w:pPr>
            <w:r w:rsidRPr="001D41EA">
              <w:rPr>
                <w:rFonts w:cs="Arial"/>
                <w:sz w:val="18"/>
                <w:szCs w:val="18"/>
              </w:rPr>
              <w:t>Surf Coast S</w:t>
            </w:r>
          </w:p>
        </w:tc>
        <w:tc>
          <w:tcPr>
            <w:tcW w:w="1361" w:type="dxa"/>
            <w:tcBorders>
              <w:top w:val="nil"/>
              <w:left w:val="single" w:sz="18" w:space="0" w:color="5F497A" w:themeColor="accent4" w:themeShade="BF"/>
              <w:bottom w:val="nil"/>
              <w:right w:val="nil"/>
            </w:tcBorders>
            <w:shd w:val="clear" w:color="auto" w:fill="auto"/>
            <w:vAlign w:val="bottom"/>
          </w:tcPr>
          <w:p w14:paraId="44C87244" w14:textId="755846FB" w:rsidR="009F0AF7" w:rsidRPr="001D41EA" w:rsidRDefault="009F0AF7" w:rsidP="001D41EA">
            <w:pPr>
              <w:spacing w:before="40" w:after="20"/>
              <w:jc w:val="right"/>
              <w:rPr>
                <w:rFonts w:cs="Arial"/>
                <w:sz w:val="18"/>
                <w:szCs w:val="18"/>
              </w:rPr>
            </w:pPr>
            <w:r w:rsidRPr="001D41EA">
              <w:rPr>
                <w:rFonts w:cs="Arial"/>
                <w:sz w:val="18"/>
                <w:szCs w:val="18"/>
              </w:rPr>
              <w:t>277,265</w:t>
            </w:r>
          </w:p>
        </w:tc>
        <w:tc>
          <w:tcPr>
            <w:tcW w:w="1361" w:type="dxa"/>
            <w:tcBorders>
              <w:top w:val="nil"/>
              <w:left w:val="nil"/>
              <w:bottom w:val="nil"/>
              <w:right w:val="nil"/>
            </w:tcBorders>
            <w:shd w:val="clear" w:color="auto" w:fill="auto"/>
            <w:vAlign w:val="bottom"/>
          </w:tcPr>
          <w:p w14:paraId="58D47C2F" w14:textId="56A7FF9F" w:rsidR="009F0AF7" w:rsidRPr="001D41EA" w:rsidRDefault="009F0AF7" w:rsidP="001D41EA">
            <w:pPr>
              <w:spacing w:before="40" w:after="20"/>
              <w:jc w:val="right"/>
              <w:rPr>
                <w:rFonts w:cs="Arial"/>
                <w:sz w:val="18"/>
                <w:szCs w:val="18"/>
              </w:rPr>
            </w:pPr>
            <w:r w:rsidRPr="001D41EA">
              <w:rPr>
                <w:rFonts w:cs="Arial"/>
                <w:sz w:val="18"/>
                <w:szCs w:val="18"/>
              </w:rPr>
              <w:t>35,850</w:t>
            </w:r>
          </w:p>
        </w:tc>
        <w:tc>
          <w:tcPr>
            <w:tcW w:w="1361" w:type="dxa"/>
            <w:tcBorders>
              <w:top w:val="nil"/>
              <w:left w:val="nil"/>
              <w:bottom w:val="nil"/>
              <w:right w:val="nil"/>
            </w:tcBorders>
            <w:vAlign w:val="bottom"/>
          </w:tcPr>
          <w:p w14:paraId="6AACFCF9" w14:textId="06065B18" w:rsidR="009F0AF7" w:rsidRPr="001D41EA" w:rsidRDefault="009F0AF7" w:rsidP="001D41EA">
            <w:pPr>
              <w:spacing w:before="40" w:after="20"/>
              <w:jc w:val="right"/>
              <w:rPr>
                <w:rFonts w:cs="Arial"/>
                <w:sz w:val="18"/>
                <w:szCs w:val="18"/>
              </w:rPr>
            </w:pPr>
            <w:r w:rsidRPr="001D41EA">
              <w:rPr>
                <w:rFonts w:cs="Arial"/>
                <w:sz w:val="18"/>
                <w:szCs w:val="18"/>
              </w:rPr>
              <w:t>1,737,426</w:t>
            </w:r>
          </w:p>
        </w:tc>
        <w:tc>
          <w:tcPr>
            <w:tcW w:w="1361" w:type="dxa"/>
            <w:tcBorders>
              <w:top w:val="nil"/>
              <w:left w:val="nil"/>
              <w:bottom w:val="nil"/>
              <w:right w:val="nil"/>
            </w:tcBorders>
            <w:vAlign w:val="bottom"/>
          </w:tcPr>
          <w:p w14:paraId="0971DDDD" w14:textId="3CE16383" w:rsidR="009F0AF7" w:rsidRPr="001D41EA" w:rsidRDefault="009F0AF7" w:rsidP="001D41EA">
            <w:pPr>
              <w:spacing w:before="40" w:after="20"/>
              <w:jc w:val="right"/>
              <w:rPr>
                <w:rFonts w:cs="Arial"/>
                <w:sz w:val="18"/>
                <w:szCs w:val="18"/>
              </w:rPr>
            </w:pPr>
            <w:r w:rsidRPr="001D41EA">
              <w:rPr>
                <w:rFonts w:cs="Arial"/>
                <w:sz w:val="18"/>
                <w:szCs w:val="18"/>
              </w:rPr>
              <w:t>65,397</w:t>
            </w:r>
          </w:p>
        </w:tc>
        <w:tc>
          <w:tcPr>
            <w:tcW w:w="1361" w:type="dxa"/>
            <w:tcBorders>
              <w:top w:val="nil"/>
              <w:left w:val="nil"/>
              <w:bottom w:val="nil"/>
              <w:right w:val="nil"/>
            </w:tcBorders>
            <w:shd w:val="clear" w:color="auto" w:fill="auto"/>
            <w:vAlign w:val="bottom"/>
          </w:tcPr>
          <w:p w14:paraId="70590EFF" w14:textId="2DB3707B" w:rsidR="009F0AF7" w:rsidRPr="001D41EA" w:rsidRDefault="009F0AF7" w:rsidP="001D41EA">
            <w:pPr>
              <w:spacing w:before="40" w:after="20"/>
              <w:jc w:val="right"/>
              <w:rPr>
                <w:rFonts w:cs="Arial"/>
                <w:b/>
                <w:sz w:val="18"/>
                <w:szCs w:val="18"/>
              </w:rPr>
            </w:pPr>
            <w:r w:rsidRPr="001D41EA">
              <w:rPr>
                <w:rFonts w:cs="Arial"/>
                <w:b/>
                <w:sz w:val="18"/>
                <w:szCs w:val="18"/>
              </w:rPr>
              <w:t>4,746,505</w:t>
            </w:r>
          </w:p>
        </w:tc>
      </w:tr>
      <w:tr w:rsidR="009F0AF7" w:rsidRPr="001D41EA" w14:paraId="398FF2F5"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9DA9638" w14:textId="77777777" w:rsidR="009F0AF7" w:rsidRPr="001D41EA" w:rsidRDefault="009F0AF7" w:rsidP="001D41EA">
            <w:pPr>
              <w:spacing w:before="40" w:after="20"/>
              <w:rPr>
                <w:rFonts w:cs="Arial"/>
                <w:sz w:val="18"/>
                <w:szCs w:val="18"/>
              </w:rPr>
            </w:pPr>
            <w:r w:rsidRPr="001D41EA">
              <w:rPr>
                <w:rFonts w:cs="Arial"/>
                <w:sz w:val="18"/>
                <w:szCs w:val="18"/>
              </w:rPr>
              <w:t>Swan Hill RC</w:t>
            </w:r>
          </w:p>
        </w:tc>
        <w:tc>
          <w:tcPr>
            <w:tcW w:w="1361" w:type="dxa"/>
            <w:tcBorders>
              <w:top w:val="nil"/>
              <w:left w:val="single" w:sz="18" w:space="0" w:color="5F497A" w:themeColor="accent4" w:themeShade="BF"/>
              <w:bottom w:val="nil"/>
              <w:right w:val="nil"/>
            </w:tcBorders>
            <w:shd w:val="clear" w:color="auto" w:fill="auto"/>
            <w:vAlign w:val="bottom"/>
          </w:tcPr>
          <w:p w14:paraId="51C1C972" w14:textId="57EEFAFE" w:rsidR="009F0AF7" w:rsidRPr="001D41EA" w:rsidRDefault="009F0AF7" w:rsidP="001D41EA">
            <w:pPr>
              <w:spacing w:before="40" w:after="20"/>
              <w:jc w:val="right"/>
              <w:rPr>
                <w:rFonts w:cs="Arial"/>
                <w:sz w:val="18"/>
                <w:szCs w:val="18"/>
              </w:rPr>
            </w:pPr>
            <w:r w:rsidRPr="001D41EA">
              <w:rPr>
                <w:rFonts w:cs="Arial"/>
                <w:sz w:val="18"/>
                <w:szCs w:val="18"/>
              </w:rPr>
              <w:t>185,270</w:t>
            </w:r>
          </w:p>
        </w:tc>
        <w:tc>
          <w:tcPr>
            <w:tcW w:w="1361" w:type="dxa"/>
            <w:tcBorders>
              <w:top w:val="nil"/>
              <w:left w:val="nil"/>
              <w:bottom w:val="nil"/>
              <w:right w:val="nil"/>
            </w:tcBorders>
            <w:shd w:val="clear" w:color="auto" w:fill="auto"/>
            <w:vAlign w:val="bottom"/>
          </w:tcPr>
          <w:p w14:paraId="1259F1DC" w14:textId="061FDA16" w:rsidR="009F0AF7" w:rsidRPr="001D41EA" w:rsidRDefault="009F0AF7" w:rsidP="001D41EA">
            <w:pPr>
              <w:spacing w:before="40" w:after="20"/>
              <w:jc w:val="right"/>
              <w:rPr>
                <w:rFonts w:cs="Arial"/>
                <w:sz w:val="18"/>
                <w:szCs w:val="18"/>
              </w:rPr>
            </w:pPr>
            <w:r w:rsidRPr="001D41EA">
              <w:rPr>
                <w:rFonts w:cs="Arial"/>
                <w:sz w:val="18"/>
                <w:szCs w:val="18"/>
              </w:rPr>
              <w:t>23,075</w:t>
            </w:r>
          </w:p>
        </w:tc>
        <w:tc>
          <w:tcPr>
            <w:tcW w:w="1361" w:type="dxa"/>
            <w:tcBorders>
              <w:top w:val="nil"/>
              <w:left w:val="nil"/>
              <w:bottom w:val="nil"/>
              <w:right w:val="nil"/>
            </w:tcBorders>
            <w:vAlign w:val="bottom"/>
          </w:tcPr>
          <w:p w14:paraId="1FA0376D" w14:textId="0EFE427B" w:rsidR="009F0AF7" w:rsidRPr="001D41EA" w:rsidRDefault="009F0AF7" w:rsidP="001D41EA">
            <w:pPr>
              <w:spacing w:before="40" w:after="20"/>
              <w:jc w:val="right"/>
              <w:rPr>
                <w:rFonts w:cs="Arial"/>
                <w:sz w:val="18"/>
                <w:szCs w:val="18"/>
              </w:rPr>
            </w:pPr>
            <w:r w:rsidRPr="001D41EA">
              <w:rPr>
                <w:rFonts w:cs="Arial"/>
                <w:sz w:val="18"/>
                <w:szCs w:val="18"/>
              </w:rPr>
              <w:t>765,883</w:t>
            </w:r>
          </w:p>
        </w:tc>
        <w:tc>
          <w:tcPr>
            <w:tcW w:w="1361" w:type="dxa"/>
            <w:tcBorders>
              <w:top w:val="nil"/>
              <w:left w:val="nil"/>
              <w:bottom w:val="nil"/>
              <w:right w:val="nil"/>
            </w:tcBorders>
            <w:vAlign w:val="bottom"/>
          </w:tcPr>
          <w:p w14:paraId="607B1468" w14:textId="4B491CE9" w:rsidR="009F0AF7" w:rsidRPr="001D41EA" w:rsidRDefault="009F0AF7" w:rsidP="001D41EA">
            <w:pPr>
              <w:spacing w:before="40" w:after="20"/>
              <w:jc w:val="right"/>
              <w:rPr>
                <w:rFonts w:cs="Arial"/>
                <w:sz w:val="18"/>
                <w:szCs w:val="18"/>
              </w:rPr>
            </w:pPr>
            <w:r w:rsidRPr="001D41EA">
              <w:rPr>
                <w:rFonts w:cs="Arial"/>
                <w:sz w:val="18"/>
                <w:szCs w:val="18"/>
              </w:rPr>
              <w:t>42,094</w:t>
            </w:r>
          </w:p>
        </w:tc>
        <w:tc>
          <w:tcPr>
            <w:tcW w:w="1361" w:type="dxa"/>
            <w:tcBorders>
              <w:top w:val="nil"/>
              <w:left w:val="nil"/>
              <w:bottom w:val="nil"/>
              <w:right w:val="nil"/>
            </w:tcBorders>
            <w:shd w:val="clear" w:color="auto" w:fill="auto"/>
            <w:vAlign w:val="bottom"/>
          </w:tcPr>
          <w:p w14:paraId="6CCAC261" w14:textId="4EE6E146" w:rsidR="009F0AF7" w:rsidRPr="001D41EA" w:rsidRDefault="009F0AF7" w:rsidP="001D41EA">
            <w:pPr>
              <w:spacing w:before="40" w:after="20"/>
              <w:jc w:val="right"/>
              <w:rPr>
                <w:rFonts w:cs="Arial"/>
                <w:b/>
                <w:sz w:val="18"/>
                <w:szCs w:val="18"/>
              </w:rPr>
            </w:pPr>
            <w:r w:rsidRPr="001D41EA">
              <w:rPr>
                <w:rFonts w:cs="Arial"/>
                <w:b/>
                <w:sz w:val="18"/>
                <w:szCs w:val="18"/>
              </w:rPr>
              <w:t>2,502,825</w:t>
            </w:r>
          </w:p>
        </w:tc>
      </w:tr>
      <w:tr w:rsidR="009F0AF7" w:rsidRPr="001D41EA" w14:paraId="4EEC79BF"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268743F" w14:textId="77777777" w:rsidR="009F0AF7" w:rsidRPr="001D41EA" w:rsidRDefault="009F0AF7" w:rsidP="001D41EA">
            <w:pPr>
              <w:spacing w:before="40" w:after="20"/>
              <w:rPr>
                <w:rFonts w:cs="Arial"/>
                <w:sz w:val="18"/>
                <w:szCs w:val="18"/>
              </w:rPr>
            </w:pPr>
            <w:r w:rsidRPr="001D41EA">
              <w:rPr>
                <w:rFonts w:cs="Arial"/>
                <w:sz w:val="18"/>
                <w:szCs w:val="18"/>
              </w:rPr>
              <w:t>Towong S</w:t>
            </w:r>
          </w:p>
        </w:tc>
        <w:tc>
          <w:tcPr>
            <w:tcW w:w="1361" w:type="dxa"/>
            <w:tcBorders>
              <w:top w:val="nil"/>
              <w:left w:val="single" w:sz="18" w:space="0" w:color="5F497A" w:themeColor="accent4" w:themeShade="BF"/>
              <w:bottom w:val="nil"/>
              <w:right w:val="nil"/>
            </w:tcBorders>
            <w:shd w:val="clear" w:color="auto" w:fill="auto"/>
            <w:vAlign w:val="bottom"/>
          </w:tcPr>
          <w:p w14:paraId="5C408D85" w14:textId="0A5D10FA" w:rsidR="009F0AF7" w:rsidRPr="001D41EA" w:rsidRDefault="009F0AF7" w:rsidP="001D41EA">
            <w:pPr>
              <w:spacing w:before="40" w:after="20"/>
              <w:jc w:val="right"/>
              <w:rPr>
                <w:rFonts w:cs="Arial"/>
                <w:sz w:val="18"/>
                <w:szCs w:val="18"/>
              </w:rPr>
            </w:pPr>
            <w:r w:rsidRPr="001D41EA">
              <w:rPr>
                <w:rFonts w:cs="Arial"/>
                <w:sz w:val="18"/>
                <w:szCs w:val="18"/>
              </w:rPr>
              <w:t>46,658</w:t>
            </w:r>
          </w:p>
        </w:tc>
        <w:tc>
          <w:tcPr>
            <w:tcW w:w="1361" w:type="dxa"/>
            <w:tcBorders>
              <w:top w:val="nil"/>
              <w:left w:val="nil"/>
              <w:bottom w:val="nil"/>
              <w:right w:val="nil"/>
            </w:tcBorders>
            <w:shd w:val="clear" w:color="auto" w:fill="auto"/>
            <w:vAlign w:val="bottom"/>
          </w:tcPr>
          <w:p w14:paraId="33821217" w14:textId="2F60F26E" w:rsidR="009F0AF7" w:rsidRPr="001D41EA" w:rsidRDefault="009F0AF7" w:rsidP="001D41EA">
            <w:pPr>
              <w:spacing w:before="40" w:after="20"/>
              <w:jc w:val="right"/>
              <w:rPr>
                <w:rFonts w:cs="Arial"/>
                <w:sz w:val="18"/>
                <w:szCs w:val="18"/>
              </w:rPr>
            </w:pPr>
            <w:r w:rsidRPr="001D41EA">
              <w:rPr>
                <w:rFonts w:cs="Arial"/>
                <w:sz w:val="18"/>
                <w:szCs w:val="18"/>
              </w:rPr>
              <w:t>6,730</w:t>
            </w:r>
          </w:p>
        </w:tc>
        <w:tc>
          <w:tcPr>
            <w:tcW w:w="1361" w:type="dxa"/>
            <w:tcBorders>
              <w:top w:val="nil"/>
              <w:left w:val="nil"/>
              <w:bottom w:val="nil"/>
              <w:right w:val="nil"/>
            </w:tcBorders>
            <w:vAlign w:val="bottom"/>
          </w:tcPr>
          <w:p w14:paraId="1FFCCFFA" w14:textId="354134DD" w:rsidR="009F0AF7" w:rsidRPr="001D41EA" w:rsidRDefault="009F0AF7" w:rsidP="001D41EA">
            <w:pPr>
              <w:spacing w:before="40" w:after="20"/>
              <w:jc w:val="right"/>
              <w:rPr>
                <w:rFonts w:cs="Arial"/>
                <w:sz w:val="18"/>
                <w:szCs w:val="18"/>
              </w:rPr>
            </w:pPr>
            <w:r w:rsidRPr="001D41EA">
              <w:rPr>
                <w:rFonts w:cs="Arial"/>
                <w:sz w:val="18"/>
                <w:szCs w:val="18"/>
              </w:rPr>
              <w:t>213,986</w:t>
            </w:r>
          </w:p>
        </w:tc>
        <w:tc>
          <w:tcPr>
            <w:tcW w:w="1361" w:type="dxa"/>
            <w:tcBorders>
              <w:top w:val="nil"/>
              <w:left w:val="nil"/>
              <w:bottom w:val="nil"/>
              <w:right w:val="nil"/>
            </w:tcBorders>
            <w:vAlign w:val="bottom"/>
          </w:tcPr>
          <w:p w14:paraId="40C37892" w14:textId="2195C007" w:rsidR="009F0AF7" w:rsidRPr="001D41EA" w:rsidRDefault="009F0AF7" w:rsidP="001D41EA">
            <w:pPr>
              <w:spacing w:before="40" w:after="20"/>
              <w:jc w:val="right"/>
              <w:rPr>
                <w:rFonts w:cs="Arial"/>
                <w:sz w:val="18"/>
                <w:szCs w:val="18"/>
              </w:rPr>
            </w:pPr>
            <w:r w:rsidRPr="001D41EA">
              <w:rPr>
                <w:rFonts w:cs="Arial"/>
                <w:sz w:val="18"/>
                <w:szCs w:val="18"/>
              </w:rPr>
              <w:t>12,276</w:t>
            </w:r>
          </w:p>
        </w:tc>
        <w:tc>
          <w:tcPr>
            <w:tcW w:w="1361" w:type="dxa"/>
            <w:tcBorders>
              <w:top w:val="nil"/>
              <w:left w:val="nil"/>
              <w:bottom w:val="nil"/>
              <w:right w:val="nil"/>
            </w:tcBorders>
            <w:shd w:val="clear" w:color="auto" w:fill="auto"/>
            <w:vAlign w:val="bottom"/>
          </w:tcPr>
          <w:p w14:paraId="25F54F35" w14:textId="08F499CC" w:rsidR="009F0AF7" w:rsidRPr="001D41EA" w:rsidRDefault="009F0AF7" w:rsidP="001D41EA">
            <w:pPr>
              <w:spacing w:before="40" w:after="20"/>
              <w:jc w:val="right"/>
              <w:rPr>
                <w:rFonts w:cs="Arial"/>
                <w:b/>
                <w:sz w:val="18"/>
                <w:szCs w:val="18"/>
              </w:rPr>
            </w:pPr>
            <w:r w:rsidRPr="001D41EA">
              <w:rPr>
                <w:rFonts w:cs="Arial"/>
                <w:b/>
                <w:sz w:val="18"/>
                <w:szCs w:val="18"/>
              </w:rPr>
              <w:t>757,232</w:t>
            </w:r>
          </w:p>
        </w:tc>
      </w:tr>
      <w:tr w:rsidR="009F0AF7" w:rsidRPr="001D41EA" w14:paraId="2591CA22"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10777E4" w14:textId="77777777" w:rsidR="009F0AF7" w:rsidRPr="001D41EA" w:rsidRDefault="009F0AF7" w:rsidP="001D41EA">
            <w:pPr>
              <w:spacing w:before="40" w:after="20"/>
              <w:rPr>
                <w:rFonts w:cs="Arial"/>
                <w:sz w:val="18"/>
                <w:szCs w:val="18"/>
              </w:rPr>
            </w:pPr>
            <w:r w:rsidRPr="001D41EA">
              <w:rPr>
                <w:rFonts w:cs="Arial"/>
                <w:sz w:val="18"/>
                <w:szCs w:val="18"/>
              </w:rPr>
              <w:t>Wangaratta RC</w:t>
            </w:r>
          </w:p>
        </w:tc>
        <w:tc>
          <w:tcPr>
            <w:tcW w:w="1361" w:type="dxa"/>
            <w:tcBorders>
              <w:top w:val="nil"/>
              <w:left w:val="single" w:sz="18" w:space="0" w:color="5F497A" w:themeColor="accent4" w:themeShade="BF"/>
              <w:bottom w:val="nil"/>
              <w:right w:val="nil"/>
            </w:tcBorders>
            <w:shd w:val="clear" w:color="auto" w:fill="auto"/>
            <w:vAlign w:val="bottom"/>
          </w:tcPr>
          <w:p w14:paraId="768F480E" w14:textId="2ABCE500" w:rsidR="009F0AF7" w:rsidRPr="001D41EA" w:rsidRDefault="009F0AF7" w:rsidP="001D41EA">
            <w:pPr>
              <w:spacing w:before="40" w:after="20"/>
              <w:jc w:val="right"/>
              <w:rPr>
                <w:rFonts w:cs="Arial"/>
                <w:sz w:val="18"/>
                <w:szCs w:val="18"/>
              </w:rPr>
            </w:pPr>
            <w:r w:rsidRPr="001D41EA">
              <w:rPr>
                <w:rFonts w:cs="Arial"/>
                <w:sz w:val="18"/>
                <w:szCs w:val="18"/>
              </w:rPr>
              <w:t>273,231</w:t>
            </w:r>
          </w:p>
        </w:tc>
        <w:tc>
          <w:tcPr>
            <w:tcW w:w="1361" w:type="dxa"/>
            <w:tcBorders>
              <w:top w:val="nil"/>
              <w:left w:val="nil"/>
              <w:bottom w:val="nil"/>
              <w:right w:val="nil"/>
            </w:tcBorders>
            <w:shd w:val="clear" w:color="auto" w:fill="auto"/>
            <w:vAlign w:val="bottom"/>
          </w:tcPr>
          <w:p w14:paraId="71CC464E" w14:textId="2BAA0C30" w:rsidR="009F0AF7" w:rsidRPr="001D41EA" w:rsidRDefault="009F0AF7" w:rsidP="001D41EA">
            <w:pPr>
              <w:spacing w:before="40" w:after="20"/>
              <w:jc w:val="right"/>
              <w:rPr>
                <w:rFonts w:cs="Arial"/>
                <w:sz w:val="18"/>
                <w:szCs w:val="18"/>
              </w:rPr>
            </w:pPr>
            <w:r w:rsidRPr="001D41EA">
              <w:rPr>
                <w:rFonts w:cs="Arial"/>
                <w:sz w:val="18"/>
                <w:szCs w:val="18"/>
              </w:rPr>
              <w:t>32,333</w:t>
            </w:r>
          </w:p>
        </w:tc>
        <w:tc>
          <w:tcPr>
            <w:tcW w:w="1361" w:type="dxa"/>
            <w:tcBorders>
              <w:top w:val="nil"/>
              <w:left w:val="nil"/>
              <w:bottom w:val="nil"/>
              <w:right w:val="nil"/>
            </w:tcBorders>
            <w:vAlign w:val="bottom"/>
          </w:tcPr>
          <w:p w14:paraId="44B21D0A" w14:textId="35A26973" w:rsidR="009F0AF7" w:rsidRPr="001D41EA" w:rsidRDefault="009F0AF7" w:rsidP="001D41EA">
            <w:pPr>
              <w:spacing w:before="40" w:after="20"/>
              <w:jc w:val="right"/>
              <w:rPr>
                <w:rFonts w:cs="Arial"/>
                <w:sz w:val="18"/>
                <w:szCs w:val="18"/>
              </w:rPr>
            </w:pPr>
            <w:r w:rsidRPr="001D41EA">
              <w:rPr>
                <w:rFonts w:cs="Arial"/>
                <w:sz w:val="18"/>
                <w:szCs w:val="18"/>
              </w:rPr>
              <w:t>1,085,720</w:t>
            </w:r>
          </w:p>
        </w:tc>
        <w:tc>
          <w:tcPr>
            <w:tcW w:w="1361" w:type="dxa"/>
            <w:tcBorders>
              <w:top w:val="nil"/>
              <w:left w:val="nil"/>
              <w:bottom w:val="nil"/>
              <w:right w:val="nil"/>
            </w:tcBorders>
            <w:vAlign w:val="bottom"/>
          </w:tcPr>
          <w:p w14:paraId="0010E878" w14:textId="32B43CB7" w:rsidR="009F0AF7" w:rsidRPr="001D41EA" w:rsidRDefault="009F0AF7" w:rsidP="001D41EA">
            <w:pPr>
              <w:spacing w:before="40" w:after="20"/>
              <w:jc w:val="right"/>
              <w:rPr>
                <w:rFonts w:cs="Arial"/>
                <w:sz w:val="18"/>
                <w:szCs w:val="18"/>
              </w:rPr>
            </w:pPr>
            <w:r w:rsidRPr="001D41EA">
              <w:rPr>
                <w:rFonts w:cs="Arial"/>
                <w:sz w:val="18"/>
                <w:szCs w:val="18"/>
              </w:rPr>
              <w:t>58,981</w:t>
            </w:r>
          </w:p>
        </w:tc>
        <w:tc>
          <w:tcPr>
            <w:tcW w:w="1361" w:type="dxa"/>
            <w:tcBorders>
              <w:top w:val="nil"/>
              <w:left w:val="nil"/>
              <w:bottom w:val="nil"/>
              <w:right w:val="nil"/>
            </w:tcBorders>
            <w:shd w:val="clear" w:color="auto" w:fill="auto"/>
            <w:vAlign w:val="bottom"/>
          </w:tcPr>
          <w:p w14:paraId="23B30349" w14:textId="478A0D73" w:rsidR="009F0AF7" w:rsidRPr="001D41EA" w:rsidRDefault="009F0AF7" w:rsidP="001D41EA">
            <w:pPr>
              <w:spacing w:before="40" w:after="20"/>
              <w:jc w:val="right"/>
              <w:rPr>
                <w:rFonts w:cs="Arial"/>
                <w:b/>
                <w:sz w:val="18"/>
                <w:szCs w:val="18"/>
              </w:rPr>
            </w:pPr>
            <w:r w:rsidRPr="001D41EA">
              <w:rPr>
                <w:rFonts w:cs="Arial"/>
                <w:b/>
                <w:sz w:val="18"/>
                <w:szCs w:val="18"/>
              </w:rPr>
              <w:t>3,633,442</w:t>
            </w:r>
          </w:p>
        </w:tc>
      </w:tr>
      <w:tr w:rsidR="009F0AF7" w:rsidRPr="001D41EA" w14:paraId="7AF0101D"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5044DD2" w14:textId="77777777" w:rsidR="009F0AF7" w:rsidRPr="001D41EA" w:rsidRDefault="009F0AF7" w:rsidP="001D41EA">
            <w:pPr>
              <w:spacing w:before="40" w:after="20"/>
              <w:rPr>
                <w:rFonts w:cs="Arial"/>
                <w:sz w:val="18"/>
                <w:szCs w:val="18"/>
              </w:rPr>
            </w:pPr>
            <w:r w:rsidRPr="001D41EA">
              <w:rPr>
                <w:rFonts w:cs="Arial"/>
                <w:sz w:val="18"/>
                <w:szCs w:val="18"/>
              </w:rPr>
              <w:t>Warrnambool C</w:t>
            </w:r>
          </w:p>
        </w:tc>
        <w:tc>
          <w:tcPr>
            <w:tcW w:w="1361" w:type="dxa"/>
            <w:tcBorders>
              <w:top w:val="nil"/>
              <w:left w:val="single" w:sz="18" w:space="0" w:color="5F497A" w:themeColor="accent4" w:themeShade="BF"/>
              <w:bottom w:val="nil"/>
              <w:right w:val="nil"/>
            </w:tcBorders>
            <w:shd w:val="clear" w:color="auto" w:fill="auto"/>
            <w:vAlign w:val="bottom"/>
          </w:tcPr>
          <w:p w14:paraId="712A5876" w14:textId="1632CDDF" w:rsidR="009F0AF7" w:rsidRPr="001D41EA" w:rsidRDefault="009F0AF7" w:rsidP="001D41EA">
            <w:pPr>
              <w:spacing w:before="40" w:after="20"/>
              <w:jc w:val="right"/>
              <w:rPr>
                <w:rFonts w:cs="Arial"/>
                <w:sz w:val="18"/>
                <w:szCs w:val="18"/>
              </w:rPr>
            </w:pPr>
            <w:r w:rsidRPr="001D41EA">
              <w:rPr>
                <w:rFonts w:cs="Arial"/>
                <w:sz w:val="18"/>
                <w:szCs w:val="18"/>
              </w:rPr>
              <w:t>383,694</w:t>
            </w:r>
          </w:p>
        </w:tc>
        <w:tc>
          <w:tcPr>
            <w:tcW w:w="1361" w:type="dxa"/>
            <w:tcBorders>
              <w:top w:val="nil"/>
              <w:left w:val="nil"/>
              <w:bottom w:val="nil"/>
              <w:right w:val="nil"/>
            </w:tcBorders>
            <w:shd w:val="clear" w:color="auto" w:fill="auto"/>
            <w:vAlign w:val="bottom"/>
          </w:tcPr>
          <w:p w14:paraId="0090ABA5" w14:textId="3610965D" w:rsidR="009F0AF7" w:rsidRPr="001D41EA" w:rsidRDefault="009F0AF7" w:rsidP="001D41EA">
            <w:pPr>
              <w:spacing w:before="40" w:after="20"/>
              <w:jc w:val="right"/>
              <w:rPr>
                <w:rFonts w:cs="Arial"/>
                <w:sz w:val="18"/>
                <w:szCs w:val="18"/>
              </w:rPr>
            </w:pPr>
            <w:r w:rsidRPr="001D41EA">
              <w:rPr>
                <w:rFonts w:cs="Arial"/>
                <w:sz w:val="18"/>
                <w:szCs w:val="18"/>
              </w:rPr>
              <w:t>38,752</w:t>
            </w:r>
          </w:p>
        </w:tc>
        <w:tc>
          <w:tcPr>
            <w:tcW w:w="1361" w:type="dxa"/>
            <w:tcBorders>
              <w:top w:val="nil"/>
              <w:left w:val="nil"/>
              <w:bottom w:val="nil"/>
              <w:right w:val="nil"/>
            </w:tcBorders>
            <w:vAlign w:val="bottom"/>
          </w:tcPr>
          <w:p w14:paraId="49158752" w14:textId="35654A06" w:rsidR="009F0AF7" w:rsidRPr="001D41EA" w:rsidRDefault="009F0AF7" w:rsidP="001D41EA">
            <w:pPr>
              <w:spacing w:before="40" w:after="20"/>
              <w:jc w:val="right"/>
              <w:rPr>
                <w:rFonts w:cs="Arial"/>
                <w:sz w:val="18"/>
                <w:szCs w:val="18"/>
              </w:rPr>
            </w:pPr>
            <w:r w:rsidRPr="001D41EA">
              <w:rPr>
                <w:rFonts w:cs="Arial"/>
                <w:sz w:val="18"/>
                <w:szCs w:val="18"/>
              </w:rPr>
              <w:t>1,351,947</w:t>
            </w:r>
          </w:p>
        </w:tc>
        <w:tc>
          <w:tcPr>
            <w:tcW w:w="1361" w:type="dxa"/>
            <w:tcBorders>
              <w:top w:val="nil"/>
              <w:left w:val="nil"/>
              <w:bottom w:val="nil"/>
              <w:right w:val="nil"/>
            </w:tcBorders>
            <w:vAlign w:val="bottom"/>
          </w:tcPr>
          <w:p w14:paraId="59F53F56" w14:textId="09D592A9" w:rsidR="009F0AF7" w:rsidRPr="001D41EA" w:rsidRDefault="009F0AF7" w:rsidP="001D41EA">
            <w:pPr>
              <w:spacing w:before="40" w:after="20"/>
              <w:jc w:val="right"/>
              <w:rPr>
                <w:rFonts w:cs="Arial"/>
                <w:sz w:val="18"/>
                <w:szCs w:val="18"/>
              </w:rPr>
            </w:pPr>
            <w:r w:rsidRPr="001D41EA">
              <w:rPr>
                <w:rFonts w:cs="Arial"/>
                <w:sz w:val="18"/>
                <w:szCs w:val="18"/>
              </w:rPr>
              <w:t>70,691</w:t>
            </w:r>
          </w:p>
        </w:tc>
        <w:tc>
          <w:tcPr>
            <w:tcW w:w="1361" w:type="dxa"/>
            <w:tcBorders>
              <w:top w:val="nil"/>
              <w:left w:val="nil"/>
              <w:bottom w:val="nil"/>
              <w:right w:val="nil"/>
            </w:tcBorders>
            <w:shd w:val="clear" w:color="auto" w:fill="auto"/>
            <w:vAlign w:val="bottom"/>
          </w:tcPr>
          <w:p w14:paraId="308BB6C9" w14:textId="61682600" w:rsidR="009F0AF7" w:rsidRPr="001D41EA" w:rsidRDefault="009F0AF7" w:rsidP="001D41EA">
            <w:pPr>
              <w:spacing w:before="40" w:after="20"/>
              <w:jc w:val="right"/>
              <w:rPr>
                <w:rFonts w:cs="Arial"/>
                <w:b/>
                <w:sz w:val="18"/>
                <w:szCs w:val="18"/>
              </w:rPr>
            </w:pPr>
            <w:r w:rsidRPr="001D41EA">
              <w:rPr>
                <w:rFonts w:cs="Arial"/>
                <w:b/>
                <w:sz w:val="18"/>
                <w:szCs w:val="18"/>
              </w:rPr>
              <w:t>4,392,193</w:t>
            </w:r>
          </w:p>
        </w:tc>
      </w:tr>
      <w:tr w:rsidR="009F0AF7" w:rsidRPr="001D41EA" w14:paraId="4D2D2673"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6A7133B" w14:textId="77777777" w:rsidR="009F0AF7" w:rsidRPr="001D41EA" w:rsidRDefault="009F0AF7" w:rsidP="001D41EA">
            <w:pPr>
              <w:spacing w:before="40" w:after="20"/>
              <w:rPr>
                <w:rFonts w:cs="Arial"/>
                <w:sz w:val="18"/>
                <w:szCs w:val="18"/>
              </w:rPr>
            </w:pPr>
            <w:r w:rsidRPr="001D41EA">
              <w:rPr>
                <w:rFonts w:cs="Arial"/>
                <w:sz w:val="18"/>
                <w:szCs w:val="18"/>
              </w:rPr>
              <w:t>Wellington S</w:t>
            </w:r>
          </w:p>
        </w:tc>
        <w:tc>
          <w:tcPr>
            <w:tcW w:w="1361" w:type="dxa"/>
            <w:tcBorders>
              <w:top w:val="nil"/>
              <w:left w:val="single" w:sz="18" w:space="0" w:color="5F497A" w:themeColor="accent4" w:themeShade="BF"/>
              <w:bottom w:val="nil"/>
              <w:right w:val="nil"/>
            </w:tcBorders>
            <w:shd w:val="clear" w:color="auto" w:fill="auto"/>
            <w:vAlign w:val="bottom"/>
          </w:tcPr>
          <w:p w14:paraId="3299B173" w14:textId="7386A836" w:rsidR="009F0AF7" w:rsidRPr="001D41EA" w:rsidRDefault="009F0AF7" w:rsidP="001D41EA">
            <w:pPr>
              <w:spacing w:before="40" w:after="20"/>
              <w:jc w:val="right"/>
              <w:rPr>
                <w:rFonts w:cs="Arial"/>
                <w:sz w:val="18"/>
                <w:szCs w:val="18"/>
              </w:rPr>
            </w:pPr>
            <w:r w:rsidRPr="001D41EA">
              <w:rPr>
                <w:rFonts w:cs="Arial"/>
                <w:sz w:val="18"/>
                <w:szCs w:val="18"/>
              </w:rPr>
              <w:t>599,157</w:t>
            </w:r>
          </w:p>
        </w:tc>
        <w:tc>
          <w:tcPr>
            <w:tcW w:w="1361" w:type="dxa"/>
            <w:tcBorders>
              <w:top w:val="nil"/>
              <w:left w:val="nil"/>
              <w:bottom w:val="nil"/>
              <w:right w:val="nil"/>
            </w:tcBorders>
            <w:shd w:val="clear" w:color="auto" w:fill="auto"/>
            <w:vAlign w:val="bottom"/>
          </w:tcPr>
          <w:p w14:paraId="4D395BA6" w14:textId="0FF01422" w:rsidR="009F0AF7" w:rsidRPr="001D41EA" w:rsidRDefault="009F0AF7" w:rsidP="001D41EA">
            <w:pPr>
              <w:spacing w:before="40" w:after="20"/>
              <w:jc w:val="right"/>
              <w:rPr>
                <w:rFonts w:cs="Arial"/>
                <w:sz w:val="18"/>
                <w:szCs w:val="18"/>
              </w:rPr>
            </w:pPr>
            <w:r w:rsidRPr="001D41EA">
              <w:rPr>
                <w:rFonts w:cs="Arial"/>
                <w:sz w:val="18"/>
                <w:szCs w:val="18"/>
              </w:rPr>
              <w:t>48,931</w:t>
            </w:r>
          </w:p>
        </w:tc>
        <w:tc>
          <w:tcPr>
            <w:tcW w:w="1361" w:type="dxa"/>
            <w:tcBorders>
              <w:top w:val="nil"/>
              <w:left w:val="nil"/>
              <w:bottom w:val="nil"/>
              <w:right w:val="nil"/>
            </w:tcBorders>
            <w:vAlign w:val="bottom"/>
          </w:tcPr>
          <w:p w14:paraId="2C7DC519" w14:textId="08412137" w:rsidR="009F0AF7" w:rsidRPr="001D41EA" w:rsidRDefault="009F0AF7" w:rsidP="001D41EA">
            <w:pPr>
              <w:spacing w:before="40" w:after="20"/>
              <w:jc w:val="right"/>
              <w:rPr>
                <w:rFonts w:cs="Arial"/>
                <w:sz w:val="18"/>
                <w:szCs w:val="18"/>
              </w:rPr>
            </w:pPr>
            <w:r w:rsidRPr="001D41EA">
              <w:rPr>
                <w:rFonts w:cs="Arial"/>
                <w:sz w:val="18"/>
                <w:szCs w:val="18"/>
              </w:rPr>
              <w:t>1,622,444</w:t>
            </w:r>
          </w:p>
        </w:tc>
        <w:tc>
          <w:tcPr>
            <w:tcW w:w="1361" w:type="dxa"/>
            <w:tcBorders>
              <w:top w:val="nil"/>
              <w:left w:val="nil"/>
              <w:bottom w:val="nil"/>
              <w:right w:val="nil"/>
            </w:tcBorders>
            <w:vAlign w:val="bottom"/>
          </w:tcPr>
          <w:p w14:paraId="6FFF2918" w14:textId="45A3EBAF" w:rsidR="009F0AF7" w:rsidRPr="001D41EA" w:rsidRDefault="009F0AF7" w:rsidP="001D41EA">
            <w:pPr>
              <w:spacing w:before="40" w:after="20"/>
              <w:jc w:val="right"/>
              <w:rPr>
                <w:rFonts w:cs="Arial"/>
                <w:sz w:val="18"/>
                <w:szCs w:val="18"/>
              </w:rPr>
            </w:pPr>
            <w:r w:rsidRPr="001D41EA">
              <w:rPr>
                <w:rFonts w:cs="Arial"/>
                <w:sz w:val="18"/>
                <w:szCs w:val="18"/>
              </w:rPr>
              <w:t>89,260</w:t>
            </w:r>
          </w:p>
        </w:tc>
        <w:tc>
          <w:tcPr>
            <w:tcW w:w="1361" w:type="dxa"/>
            <w:tcBorders>
              <w:top w:val="nil"/>
              <w:left w:val="nil"/>
              <w:bottom w:val="nil"/>
              <w:right w:val="nil"/>
            </w:tcBorders>
            <w:shd w:val="clear" w:color="auto" w:fill="auto"/>
            <w:vAlign w:val="bottom"/>
          </w:tcPr>
          <w:p w14:paraId="2AD875D5" w14:textId="3C9574F6" w:rsidR="009F0AF7" w:rsidRPr="001D41EA" w:rsidRDefault="009F0AF7" w:rsidP="001D41EA">
            <w:pPr>
              <w:spacing w:before="40" w:after="20"/>
              <w:jc w:val="right"/>
              <w:rPr>
                <w:rFonts w:cs="Arial"/>
                <w:b/>
                <w:sz w:val="18"/>
                <w:szCs w:val="18"/>
              </w:rPr>
            </w:pPr>
            <w:r w:rsidRPr="001D41EA">
              <w:rPr>
                <w:rFonts w:cs="Arial"/>
                <w:b/>
                <w:sz w:val="18"/>
                <w:szCs w:val="18"/>
              </w:rPr>
              <w:t>5,699,182</w:t>
            </w:r>
          </w:p>
        </w:tc>
      </w:tr>
      <w:tr w:rsidR="009F0AF7" w:rsidRPr="001D41EA" w14:paraId="695BE79B"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828DAD9" w14:textId="77777777" w:rsidR="009F0AF7" w:rsidRPr="001D41EA" w:rsidRDefault="009F0AF7" w:rsidP="001D41EA">
            <w:pPr>
              <w:spacing w:before="40" w:after="20"/>
              <w:rPr>
                <w:rFonts w:cs="Arial"/>
                <w:sz w:val="18"/>
                <w:szCs w:val="18"/>
              </w:rPr>
            </w:pPr>
            <w:r w:rsidRPr="001D41EA">
              <w:rPr>
                <w:rFonts w:cs="Arial"/>
                <w:sz w:val="18"/>
                <w:szCs w:val="18"/>
              </w:rPr>
              <w:t>West Wimmera S</w:t>
            </w:r>
          </w:p>
        </w:tc>
        <w:tc>
          <w:tcPr>
            <w:tcW w:w="1361" w:type="dxa"/>
            <w:tcBorders>
              <w:top w:val="nil"/>
              <w:left w:val="single" w:sz="18" w:space="0" w:color="5F497A" w:themeColor="accent4" w:themeShade="BF"/>
              <w:bottom w:val="nil"/>
              <w:right w:val="nil"/>
            </w:tcBorders>
            <w:shd w:val="clear" w:color="auto" w:fill="auto"/>
            <w:vAlign w:val="bottom"/>
          </w:tcPr>
          <w:p w14:paraId="3260A534" w14:textId="4CB4D9C8" w:rsidR="009F0AF7" w:rsidRPr="001D41EA" w:rsidRDefault="009F0AF7" w:rsidP="001D41EA">
            <w:pPr>
              <w:spacing w:before="40" w:after="20"/>
              <w:jc w:val="right"/>
              <w:rPr>
                <w:rFonts w:cs="Arial"/>
                <w:sz w:val="18"/>
                <w:szCs w:val="18"/>
              </w:rPr>
            </w:pPr>
            <w:r w:rsidRPr="001D41EA">
              <w:rPr>
                <w:rFonts w:cs="Arial"/>
                <w:sz w:val="18"/>
                <w:szCs w:val="18"/>
              </w:rPr>
              <w:t>26,283</w:t>
            </w:r>
          </w:p>
        </w:tc>
        <w:tc>
          <w:tcPr>
            <w:tcW w:w="1361" w:type="dxa"/>
            <w:tcBorders>
              <w:top w:val="nil"/>
              <w:left w:val="nil"/>
              <w:bottom w:val="nil"/>
              <w:right w:val="nil"/>
            </w:tcBorders>
            <w:shd w:val="clear" w:color="auto" w:fill="auto"/>
            <w:vAlign w:val="bottom"/>
          </w:tcPr>
          <w:p w14:paraId="40AE84B9" w14:textId="5113B462" w:rsidR="009F0AF7" w:rsidRPr="001D41EA" w:rsidRDefault="009F0AF7" w:rsidP="001D41EA">
            <w:pPr>
              <w:spacing w:before="40" w:after="20"/>
              <w:jc w:val="right"/>
              <w:rPr>
                <w:rFonts w:cs="Arial"/>
                <w:sz w:val="18"/>
                <w:szCs w:val="18"/>
              </w:rPr>
            </w:pPr>
            <w:r w:rsidRPr="001D41EA">
              <w:rPr>
                <w:rFonts w:cs="Arial"/>
                <w:sz w:val="18"/>
                <w:szCs w:val="18"/>
              </w:rPr>
              <w:t>4,293</w:t>
            </w:r>
          </w:p>
        </w:tc>
        <w:tc>
          <w:tcPr>
            <w:tcW w:w="1361" w:type="dxa"/>
            <w:tcBorders>
              <w:top w:val="nil"/>
              <w:left w:val="nil"/>
              <w:bottom w:val="nil"/>
              <w:right w:val="nil"/>
            </w:tcBorders>
            <w:vAlign w:val="bottom"/>
          </w:tcPr>
          <w:p w14:paraId="022675F7" w14:textId="7BFBEE90" w:rsidR="009F0AF7" w:rsidRPr="001D41EA" w:rsidRDefault="009F0AF7" w:rsidP="001D41EA">
            <w:pPr>
              <w:spacing w:before="40" w:after="20"/>
              <w:jc w:val="right"/>
              <w:rPr>
                <w:rFonts w:cs="Arial"/>
                <w:sz w:val="18"/>
                <w:szCs w:val="18"/>
              </w:rPr>
            </w:pPr>
            <w:r w:rsidRPr="001D41EA">
              <w:rPr>
                <w:rFonts w:cs="Arial"/>
                <w:sz w:val="18"/>
                <w:szCs w:val="18"/>
              </w:rPr>
              <w:t>132,300</w:t>
            </w:r>
          </w:p>
        </w:tc>
        <w:tc>
          <w:tcPr>
            <w:tcW w:w="1361" w:type="dxa"/>
            <w:tcBorders>
              <w:top w:val="nil"/>
              <w:left w:val="nil"/>
              <w:bottom w:val="nil"/>
              <w:right w:val="nil"/>
            </w:tcBorders>
            <w:vAlign w:val="bottom"/>
          </w:tcPr>
          <w:p w14:paraId="18884685" w14:textId="0AFBF7C9" w:rsidR="009F0AF7" w:rsidRPr="001D41EA" w:rsidRDefault="009F0AF7" w:rsidP="001D41EA">
            <w:pPr>
              <w:spacing w:before="40" w:after="20"/>
              <w:jc w:val="right"/>
              <w:rPr>
                <w:rFonts w:cs="Arial"/>
                <w:sz w:val="18"/>
                <w:szCs w:val="18"/>
              </w:rPr>
            </w:pPr>
            <w:r w:rsidRPr="001D41EA">
              <w:rPr>
                <w:rFonts w:cs="Arial"/>
                <w:sz w:val="18"/>
                <w:szCs w:val="18"/>
              </w:rPr>
              <w:t>7,831</w:t>
            </w:r>
          </w:p>
        </w:tc>
        <w:tc>
          <w:tcPr>
            <w:tcW w:w="1361" w:type="dxa"/>
            <w:tcBorders>
              <w:top w:val="nil"/>
              <w:left w:val="nil"/>
              <w:bottom w:val="nil"/>
              <w:right w:val="nil"/>
            </w:tcBorders>
            <w:shd w:val="clear" w:color="auto" w:fill="auto"/>
            <w:vAlign w:val="bottom"/>
          </w:tcPr>
          <w:p w14:paraId="3F06223A" w14:textId="7F5D9C07" w:rsidR="009F0AF7" w:rsidRPr="001D41EA" w:rsidRDefault="009F0AF7" w:rsidP="001D41EA">
            <w:pPr>
              <w:spacing w:before="40" w:after="20"/>
              <w:jc w:val="right"/>
              <w:rPr>
                <w:rFonts w:cs="Arial"/>
                <w:b/>
                <w:sz w:val="18"/>
                <w:szCs w:val="18"/>
              </w:rPr>
            </w:pPr>
            <w:r w:rsidRPr="001D41EA">
              <w:rPr>
                <w:rFonts w:cs="Arial"/>
                <w:b/>
                <w:sz w:val="18"/>
                <w:szCs w:val="18"/>
              </w:rPr>
              <w:t>475,004</w:t>
            </w:r>
          </w:p>
        </w:tc>
      </w:tr>
      <w:tr w:rsidR="009F0AF7" w:rsidRPr="001D41EA" w14:paraId="2DD7EC7E"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5D10BAA" w14:textId="77777777" w:rsidR="009F0AF7" w:rsidRPr="001D41EA" w:rsidRDefault="009F0AF7" w:rsidP="001D41EA">
            <w:pPr>
              <w:spacing w:before="40" w:after="20"/>
              <w:rPr>
                <w:rFonts w:cs="Arial"/>
                <w:sz w:val="18"/>
                <w:szCs w:val="18"/>
              </w:rPr>
            </w:pPr>
            <w:r w:rsidRPr="001D41EA">
              <w:rPr>
                <w:rFonts w:cs="Arial"/>
                <w:sz w:val="18"/>
                <w:szCs w:val="18"/>
              </w:rPr>
              <w:t>Whitehorse C</w:t>
            </w:r>
          </w:p>
        </w:tc>
        <w:tc>
          <w:tcPr>
            <w:tcW w:w="1361" w:type="dxa"/>
            <w:tcBorders>
              <w:top w:val="nil"/>
              <w:left w:val="single" w:sz="18" w:space="0" w:color="5F497A" w:themeColor="accent4" w:themeShade="BF"/>
              <w:bottom w:val="nil"/>
              <w:right w:val="nil"/>
            </w:tcBorders>
            <w:shd w:val="clear" w:color="auto" w:fill="auto"/>
            <w:vAlign w:val="bottom"/>
          </w:tcPr>
          <w:p w14:paraId="3FB930E1" w14:textId="4537B9B8" w:rsidR="009F0AF7" w:rsidRPr="001D41EA" w:rsidRDefault="009F0AF7" w:rsidP="001D41EA">
            <w:pPr>
              <w:spacing w:before="40" w:after="20"/>
              <w:jc w:val="right"/>
              <w:rPr>
                <w:rFonts w:cs="Arial"/>
                <w:sz w:val="18"/>
                <w:szCs w:val="18"/>
              </w:rPr>
            </w:pPr>
            <w:r w:rsidRPr="001D41EA">
              <w:rPr>
                <w:rFonts w:cs="Arial"/>
                <w:sz w:val="18"/>
                <w:szCs w:val="18"/>
              </w:rPr>
              <w:t>1,654,247</w:t>
            </w:r>
          </w:p>
        </w:tc>
        <w:tc>
          <w:tcPr>
            <w:tcW w:w="1361" w:type="dxa"/>
            <w:tcBorders>
              <w:top w:val="nil"/>
              <w:left w:val="nil"/>
              <w:bottom w:val="nil"/>
              <w:right w:val="nil"/>
            </w:tcBorders>
            <w:shd w:val="clear" w:color="auto" w:fill="auto"/>
            <w:vAlign w:val="bottom"/>
          </w:tcPr>
          <w:p w14:paraId="3E950373" w14:textId="05DCA762" w:rsidR="009F0AF7" w:rsidRPr="001D41EA" w:rsidRDefault="009F0AF7" w:rsidP="001D41EA">
            <w:pPr>
              <w:spacing w:before="40" w:after="20"/>
              <w:jc w:val="right"/>
              <w:rPr>
                <w:rFonts w:cs="Arial"/>
                <w:sz w:val="18"/>
                <w:szCs w:val="18"/>
              </w:rPr>
            </w:pPr>
            <w:r w:rsidRPr="001D41EA">
              <w:rPr>
                <w:rFonts w:cs="Arial"/>
                <w:sz w:val="18"/>
                <w:szCs w:val="18"/>
              </w:rPr>
              <w:t>195,857</w:t>
            </w:r>
          </w:p>
        </w:tc>
        <w:tc>
          <w:tcPr>
            <w:tcW w:w="1361" w:type="dxa"/>
            <w:tcBorders>
              <w:top w:val="nil"/>
              <w:left w:val="nil"/>
              <w:bottom w:val="nil"/>
              <w:right w:val="nil"/>
            </w:tcBorders>
            <w:vAlign w:val="bottom"/>
          </w:tcPr>
          <w:p w14:paraId="75B23934" w14:textId="7D0DFE6A" w:rsidR="009F0AF7" w:rsidRPr="001D41EA" w:rsidRDefault="009F0AF7" w:rsidP="001D41EA">
            <w:pPr>
              <w:spacing w:before="40" w:after="20"/>
              <w:jc w:val="right"/>
              <w:rPr>
                <w:rFonts w:cs="Arial"/>
                <w:sz w:val="18"/>
                <w:szCs w:val="18"/>
              </w:rPr>
            </w:pPr>
            <w:r w:rsidRPr="001D41EA">
              <w:rPr>
                <w:rFonts w:cs="Arial"/>
                <w:sz w:val="18"/>
                <w:szCs w:val="18"/>
              </w:rPr>
              <w:t>6,881,858</w:t>
            </w:r>
          </w:p>
        </w:tc>
        <w:tc>
          <w:tcPr>
            <w:tcW w:w="1361" w:type="dxa"/>
            <w:tcBorders>
              <w:top w:val="nil"/>
              <w:left w:val="nil"/>
              <w:bottom w:val="nil"/>
              <w:right w:val="nil"/>
            </w:tcBorders>
            <w:vAlign w:val="bottom"/>
          </w:tcPr>
          <w:p w14:paraId="51496558" w14:textId="1CE621F8" w:rsidR="009F0AF7" w:rsidRPr="001D41EA" w:rsidRDefault="009F0AF7" w:rsidP="001D41EA">
            <w:pPr>
              <w:spacing w:before="40" w:after="20"/>
              <w:jc w:val="right"/>
              <w:rPr>
                <w:rFonts w:cs="Arial"/>
                <w:sz w:val="18"/>
                <w:szCs w:val="18"/>
              </w:rPr>
            </w:pPr>
            <w:r w:rsidRPr="001D41EA">
              <w:rPr>
                <w:rFonts w:cs="Arial"/>
                <w:sz w:val="18"/>
                <w:szCs w:val="18"/>
              </w:rPr>
              <w:t>357,282</w:t>
            </w:r>
          </w:p>
        </w:tc>
        <w:tc>
          <w:tcPr>
            <w:tcW w:w="1361" w:type="dxa"/>
            <w:tcBorders>
              <w:top w:val="nil"/>
              <w:left w:val="nil"/>
              <w:bottom w:val="nil"/>
              <w:right w:val="nil"/>
            </w:tcBorders>
            <w:shd w:val="clear" w:color="auto" w:fill="auto"/>
            <w:vAlign w:val="bottom"/>
          </w:tcPr>
          <w:p w14:paraId="07C1B8B7" w14:textId="43B1EB81" w:rsidR="009F0AF7" w:rsidRPr="001D41EA" w:rsidRDefault="009F0AF7" w:rsidP="001D41EA">
            <w:pPr>
              <w:spacing w:before="40" w:after="20"/>
              <w:jc w:val="right"/>
              <w:rPr>
                <w:rFonts w:cs="Arial"/>
                <w:b/>
                <w:sz w:val="18"/>
                <w:szCs w:val="18"/>
              </w:rPr>
            </w:pPr>
            <w:r w:rsidRPr="001D41EA">
              <w:rPr>
                <w:rFonts w:cs="Arial"/>
                <w:b/>
                <w:sz w:val="18"/>
                <w:szCs w:val="18"/>
              </w:rPr>
              <w:t>22,014,957</w:t>
            </w:r>
          </w:p>
        </w:tc>
      </w:tr>
      <w:tr w:rsidR="009F0AF7" w:rsidRPr="001D41EA" w14:paraId="1D50A624"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F987776" w14:textId="77777777" w:rsidR="009F0AF7" w:rsidRPr="001D41EA" w:rsidRDefault="009F0AF7" w:rsidP="001D41EA">
            <w:pPr>
              <w:spacing w:before="40" w:after="20"/>
              <w:rPr>
                <w:rFonts w:cs="Arial"/>
                <w:sz w:val="18"/>
                <w:szCs w:val="18"/>
              </w:rPr>
            </w:pPr>
            <w:r w:rsidRPr="001D41EA">
              <w:rPr>
                <w:rFonts w:cs="Arial"/>
                <w:sz w:val="18"/>
                <w:szCs w:val="18"/>
              </w:rPr>
              <w:t>Whittlesea C</w:t>
            </w:r>
          </w:p>
        </w:tc>
        <w:tc>
          <w:tcPr>
            <w:tcW w:w="1361" w:type="dxa"/>
            <w:tcBorders>
              <w:top w:val="nil"/>
              <w:left w:val="single" w:sz="18" w:space="0" w:color="5F497A" w:themeColor="accent4" w:themeShade="BF"/>
              <w:bottom w:val="nil"/>
              <w:right w:val="nil"/>
            </w:tcBorders>
            <w:shd w:val="clear" w:color="auto" w:fill="auto"/>
            <w:vAlign w:val="bottom"/>
          </w:tcPr>
          <w:p w14:paraId="272BD3F8" w14:textId="1BA4877C" w:rsidR="009F0AF7" w:rsidRPr="001D41EA" w:rsidRDefault="009F0AF7" w:rsidP="001D41EA">
            <w:pPr>
              <w:spacing w:before="40" w:after="20"/>
              <w:jc w:val="right"/>
              <w:rPr>
                <w:rFonts w:cs="Arial"/>
                <w:sz w:val="18"/>
                <w:szCs w:val="18"/>
              </w:rPr>
            </w:pPr>
            <w:r w:rsidRPr="001D41EA">
              <w:rPr>
                <w:rFonts w:cs="Arial"/>
                <w:sz w:val="18"/>
                <w:szCs w:val="18"/>
              </w:rPr>
              <w:t>2,178,449</w:t>
            </w:r>
          </w:p>
        </w:tc>
        <w:tc>
          <w:tcPr>
            <w:tcW w:w="1361" w:type="dxa"/>
            <w:tcBorders>
              <w:top w:val="nil"/>
              <w:left w:val="nil"/>
              <w:bottom w:val="nil"/>
              <w:right w:val="nil"/>
            </w:tcBorders>
            <w:shd w:val="clear" w:color="auto" w:fill="auto"/>
            <w:vAlign w:val="bottom"/>
          </w:tcPr>
          <w:p w14:paraId="576F8C5C" w14:textId="11EE6ECD" w:rsidR="009F0AF7" w:rsidRPr="001D41EA" w:rsidRDefault="009F0AF7" w:rsidP="001D41EA">
            <w:pPr>
              <w:spacing w:before="40" w:after="20"/>
              <w:jc w:val="right"/>
              <w:rPr>
                <w:rFonts w:cs="Arial"/>
                <w:sz w:val="18"/>
                <w:szCs w:val="18"/>
              </w:rPr>
            </w:pPr>
            <w:r w:rsidRPr="001D41EA">
              <w:rPr>
                <w:rFonts w:cs="Arial"/>
                <w:sz w:val="18"/>
                <w:szCs w:val="18"/>
              </w:rPr>
              <w:t>248,242</w:t>
            </w:r>
          </w:p>
        </w:tc>
        <w:tc>
          <w:tcPr>
            <w:tcW w:w="1361" w:type="dxa"/>
            <w:tcBorders>
              <w:top w:val="nil"/>
              <w:left w:val="nil"/>
              <w:bottom w:val="nil"/>
              <w:right w:val="nil"/>
            </w:tcBorders>
            <w:vAlign w:val="bottom"/>
          </w:tcPr>
          <w:p w14:paraId="6D689942" w14:textId="031D5E48" w:rsidR="009F0AF7" w:rsidRPr="001D41EA" w:rsidRDefault="009F0AF7" w:rsidP="001D41EA">
            <w:pPr>
              <w:spacing w:before="40" w:after="20"/>
              <w:jc w:val="right"/>
              <w:rPr>
                <w:rFonts w:cs="Arial"/>
                <w:sz w:val="18"/>
                <w:szCs w:val="18"/>
              </w:rPr>
            </w:pPr>
            <w:r w:rsidRPr="001D41EA">
              <w:rPr>
                <w:rFonts w:cs="Arial"/>
                <w:sz w:val="18"/>
                <w:szCs w:val="18"/>
              </w:rPr>
              <w:t>7,957,828</w:t>
            </w:r>
          </w:p>
        </w:tc>
        <w:tc>
          <w:tcPr>
            <w:tcW w:w="1361" w:type="dxa"/>
            <w:tcBorders>
              <w:top w:val="nil"/>
              <w:left w:val="nil"/>
              <w:bottom w:val="nil"/>
              <w:right w:val="nil"/>
            </w:tcBorders>
            <w:vAlign w:val="bottom"/>
          </w:tcPr>
          <w:p w14:paraId="60CC7222" w14:textId="18B69F4A" w:rsidR="009F0AF7" w:rsidRPr="001D41EA" w:rsidRDefault="009F0AF7" w:rsidP="001D41EA">
            <w:pPr>
              <w:spacing w:before="40" w:after="20"/>
              <w:jc w:val="right"/>
              <w:rPr>
                <w:rFonts w:cs="Arial"/>
                <w:sz w:val="18"/>
                <w:szCs w:val="18"/>
              </w:rPr>
            </w:pPr>
            <w:r w:rsidRPr="001D41EA">
              <w:rPr>
                <w:rFonts w:cs="Arial"/>
                <w:sz w:val="18"/>
                <w:szCs w:val="18"/>
              </w:rPr>
              <w:t>452,841</w:t>
            </w:r>
          </w:p>
        </w:tc>
        <w:tc>
          <w:tcPr>
            <w:tcW w:w="1361" w:type="dxa"/>
            <w:tcBorders>
              <w:top w:val="nil"/>
              <w:left w:val="nil"/>
              <w:bottom w:val="nil"/>
              <w:right w:val="nil"/>
            </w:tcBorders>
            <w:shd w:val="clear" w:color="auto" w:fill="auto"/>
            <w:vAlign w:val="bottom"/>
          </w:tcPr>
          <w:p w14:paraId="1E43779E" w14:textId="31099707" w:rsidR="009F0AF7" w:rsidRPr="001D41EA" w:rsidRDefault="009F0AF7" w:rsidP="001D41EA">
            <w:pPr>
              <w:spacing w:before="40" w:after="20"/>
              <w:jc w:val="right"/>
              <w:rPr>
                <w:rFonts w:cs="Arial"/>
                <w:b/>
                <w:sz w:val="18"/>
                <w:szCs w:val="18"/>
              </w:rPr>
            </w:pPr>
            <w:r w:rsidRPr="001D41EA">
              <w:rPr>
                <w:rFonts w:cs="Arial"/>
                <w:b/>
                <w:sz w:val="18"/>
                <w:szCs w:val="18"/>
              </w:rPr>
              <w:t>26,067,773</w:t>
            </w:r>
          </w:p>
        </w:tc>
      </w:tr>
      <w:tr w:rsidR="009F0AF7" w:rsidRPr="001D41EA" w14:paraId="1D0D811E"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A028054" w14:textId="77777777" w:rsidR="009F0AF7" w:rsidRPr="001D41EA" w:rsidRDefault="009F0AF7" w:rsidP="001D41EA">
            <w:pPr>
              <w:spacing w:before="40" w:after="20"/>
              <w:rPr>
                <w:rFonts w:cs="Arial"/>
                <w:sz w:val="18"/>
                <w:szCs w:val="18"/>
              </w:rPr>
            </w:pPr>
            <w:r w:rsidRPr="001D41EA">
              <w:rPr>
                <w:rFonts w:cs="Arial"/>
                <w:sz w:val="18"/>
                <w:szCs w:val="18"/>
              </w:rPr>
              <w:t>Wodonga C</w:t>
            </w:r>
          </w:p>
        </w:tc>
        <w:tc>
          <w:tcPr>
            <w:tcW w:w="1361" w:type="dxa"/>
            <w:tcBorders>
              <w:top w:val="nil"/>
              <w:left w:val="single" w:sz="18" w:space="0" w:color="5F497A" w:themeColor="accent4" w:themeShade="BF"/>
              <w:bottom w:val="nil"/>
              <w:right w:val="nil"/>
            </w:tcBorders>
            <w:shd w:val="clear" w:color="auto" w:fill="auto"/>
            <w:vAlign w:val="bottom"/>
          </w:tcPr>
          <w:p w14:paraId="0D01FAC6" w14:textId="57F3BA6A" w:rsidR="009F0AF7" w:rsidRPr="001D41EA" w:rsidRDefault="009F0AF7" w:rsidP="001D41EA">
            <w:pPr>
              <w:spacing w:before="40" w:after="20"/>
              <w:jc w:val="right"/>
              <w:rPr>
                <w:rFonts w:cs="Arial"/>
                <w:sz w:val="18"/>
                <w:szCs w:val="18"/>
              </w:rPr>
            </w:pPr>
            <w:r w:rsidRPr="001D41EA">
              <w:rPr>
                <w:rFonts w:cs="Arial"/>
                <w:sz w:val="18"/>
                <w:szCs w:val="18"/>
              </w:rPr>
              <w:t>401,233</w:t>
            </w:r>
          </w:p>
        </w:tc>
        <w:tc>
          <w:tcPr>
            <w:tcW w:w="1361" w:type="dxa"/>
            <w:tcBorders>
              <w:top w:val="nil"/>
              <w:left w:val="nil"/>
              <w:bottom w:val="nil"/>
              <w:right w:val="nil"/>
            </w:tcBorders>
            <w:shd w:val="clear" w:color="auto" w:fill="auto"/>
            <w:vAlign w:val="bottom"/>
          </w:tcPr>
          <w:p w14:paraId="1FFE32C2" w14:textId="3C434A4D" w:rsidR="009F0AF7" w:rsidRPr="001D41EA" w:rsidRDefault="009F0AF7" w:rsidP="001D41EA">
            <w:pPr>
              <w:spacing w:before="40" w:after="20"/>
              <w:jc w:val="right"/>
              <w:rPr>
                <w:rFonts w:cs="Arial"/>
                <w:sz w:val="18"/>
                <w:szCs w:val="18"/>
              </w:rPr>
            </w:pPr>
            <w:r w:rsidRPr="001D41EA">
              <w:rPr>
                <w:rFonts w:cs="Arial"/>
                <w:sz w:val="18"/>
                <w:szCs w:val="18"/>
              </w:rPr>
              <w:t>46,052</w:t>
            </w:r>
          </w:p>
        </w:tc>
        <w:tc>
          <w:tcPr>
            <w:tcW w:w="1361" w:type="dxa"/>
            <w:tcBorders>
              <w:top w:val="nil"/>
              <w:left w:val="nil"/>
              <w:bottom w:val="nil"/>
              <w:right w:val="nil"/>
            </w:tcBorders>
            <w:vAlign w:val="bottom"/>
          </w:tcPr>
          <w:p w14:paraId="75EDF21F" w14:textId="7C8644FC" w:rsidR="009F0AF7" w:rsidRPr="001D41EA" w:rsidRDefault="009F0AF7" w:rsidP="001D41EA">
            <w:pPr>
              <w:spacing w:before="40" w:after="20"/>
              <w:jc w:val="right"/>
              <w:rPr>
                <w:rFonts w:cs="Arial"/>
                <w:sz w:val="18"/>
                <w:szCs w:val="18"/>
              </w:rPr>
            </w:pPr>
            <w:r w:rsidRPr="001D41EA">
              <w:rPr>
                <w:rFonts w:cs="Arial"/>
                <w:sz w:val="18"/>
                <w:szCs w:val="18"/>
              </w:rPr>
              <w:t>1,468,592</w:t>
            </w:r>
          </w:p>
        </w:tc>
        <w:tc>
          <w:tcPr>
            <w:tcW w:w="1361" w:type="dxa"/>
            <w:tcBorders>
              <w:top w:val="nil"/>
              <w:left w:val="nil"/>
              <w:bottom w:val="nil"/>
              <w:right w:val="nil"/>
            </w:tcBorders>
            <w:vAlign w:val="bottom"/>
          </w:tcPr>
          <w:p w14:paraId="446E9190" w14:textId="46116FA8" w:rsidR="009F0AF7" w:rsidRPr="001D41EA" w:rsidRDefault="009F0AF7" w:rsidP="001D41EA">
            <w:pPr>
              <w:spacing w:before="40" w:after="20"/>
              <w:jc w:val="right"/>
              <w:rPr>
                <w:rFonts w:cs="Arial"/>
                <w:sz w:val="18"/>
                <w:szCs w:val="18"/>
              </w:rPr>
            </w:pPr>
            <w:r w:rsidRPr="001D41EA">
              <w:rPr>
                <w:rFonts w:cs="Arial"/>
                <w:sz w:val="18"/>
                <w:szCs w:val="18"/>
              </w:rPr>
              <w:t>84,008</w:t>
            </w:r>
          </w:p>
        </w:tc>
        <w:tc>
          <w:tcPr>
            <w:tcW w:w="1361" w:type="dxa"/>
            <w:tcBorders>
              <w:top w:val="nil"/>
              <w:left w:val="nil"/>
              <w:bottom w:val="nil"/>
              <w:right w:val="nil"/>
            </w:tcBorders>
            <w:shd w:val="clear" w:color="auto" w:fill="auto"/>
            <w:vAlign w:val="bottom"/>
          </w:tcPr>
          <w:p w14:paraId="60D3165B" w14:textId="25F56077" w:rsidR="009F0AF7" w:rsidRPr="001D41EA" w:rsidRDefault="009F0AF7" w:rsidP="001D41EA">
            <w:pPr>
              <w:spacing w:before="40" w:after="20"/>
              <w:jc w:val="right"/>
              <w:rPr>
                <w:rFonts w:cs="Arial"/>
                <w:b/>
                <w:sz w:val="18"/>
                <w:szCs w:val="18"/>
              </w:rPr>
            </w:pPr>
            <w:r w:rsidRPr="001D41EA">
              <w:rPr>
                <w:rFonts w:cs="Arial"/>
                <w:b/>
                <w:sz w:val="18"/>
                <w:szCs w:val="18"/>
              </w:rPr>
              <w:t>4,952,030</w:t>
            </w:r>
          </w:p>
        </w:tc>
      </w:tr>
      <w:tr w:rsidR="009F0AF7" w:rsidRPr="001D41EA" w14:paraId="040D4CE5"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A1F307F" w14:textId="77777777" w:rsidR="009F0AF7" w:rsidRPr="001D41EA" w:rsidRDefault="009F0AF7" w:rsidP="001D41EA">
            <w:pPr>
              <w:spacing w:before="40" w:after="20"/>
              <w:rPr>
                <w:rFonts w:cs="Arial"/>
                <w:sz w:val="18"/>
                <w:szCs w:val="18"/>
              </w:rPr>
            </w:pPr>
            <w:r w:rsidRPr="001D41EA">
              <w:rPr>
                <w:rFonts w:cs="Arial"/>
                <w:sz w:val="18"/>
                <w:szCs w:val="18"/>
              </w:rPr>
              <w:t>Wyndham C</w:t>
            </w:r>
          </w:p>
        </w:tc>
        <w:tc>
          <w:tcPr>
            <w:tcW w:w="1361" w:type="dxa"/>
            <w:tcBorders>
              <w:top w:val="nil"/>
              <w:left w:val="single" w:sz="18" w:space="0" w:color="5F497A" w:themeColor="accent4" w:themeShade="BF"/>
              <w:bottom w:val="nil"/>
              <w:right w:val="nil"/>
            </w:tcBorders>
            <w:shd w:val="clear" w:color="auto" w:fill="auto"/>
            <w:vAlign w:val="bottom"/>
          </w:tcPr>
          <w:p w14:paraId="09942E63" w14:textId="5182864D" w:rsidR="009F0AF7" w:rsidRPr="001D41EA" w:rsidRDefault="009F0AF7" w:rsidP="001D41EA">
            <w:pPr>
              <w:spacing w:before="40" w:after="20"/>
              <w:jc w:val="right"/>
              <w:rPr>
                <w:rFonts w:cs="Arial"/>
                <w:sz w:val="18"/>
                <w:szCs w:val="18"/>
              </w:rPr>
            </w:pPr>
            <w:r w:rsidRPr="001D41EA">
              <w:rPr>
                <w:rFonts w:cs="Arial"/>
                <w:sz w:val="18"/>
                <w:szCs w:val="18"/>
              </w:rPr>
              <w:t>2,272,264</w:t>
            </w:r>
          </w:p>
        </w:tc>
        <w:tc>
          <w:tcPr>
            <w:tcW w:w="1361" w:type="dxa"/>
            <w:tcBorders>
              <w:top w:val="nil"/>
              <w:left w:val="nil"/>
              <w:bottom w:val="nil"/>
              <w:right w:val="nil"/>
            </w:tcBorders>
            <w:shd w:val="clear" w:color="auto" w:fill="auto"/>
            <w:vAlign w:val="bottom"/>
          </w:tcPr>
          <w:p w14:paraId="14C452ED" w14:textId="17672658" w:rsidR="009F0AF7" w:rsidRPr="001D41EA" w:rsidRDefault="009F0AF7" w:rsidP="001D41EA">
            <w:pPr>
              <w:spacing w:before="40" w:after="20"/>
              <w:jc w:val="right"/>
              <w:rPr>
                <w:rFonts w:cs="Arial"/>
                <w:sz w:val="18"/>
                <w:szCs w:val="18"/>
              </w:rPr>
            </w:pPr>
            <w:r w:rsidRPr="001D41EA">
              <w:rPr>
                <w:rFonts w:cs="Arial"/>
                <w:sz w:val="18"/>
                <w:szCs w:val="18"/>
              </w:rPr>
              <w:t>283,813</w:t>
            </w:r>
          </w:p>
        </w:tc>
        <w:tc>
          <w:tcPr>
            <w:tcW w:w="1361" w:type="dxa"/>
            <w:tcBorders>
              <w:top w:val="nil"/>
              <w:left w:val="nil"/>
              <w:bottom w:val="nil"/>
              <w:right w:val="nil"/>
            </w:tcBorders>
            <w:vAlign w:val="bottom"/>
          </w:tcPr>
          <w:p w14:paraId="4AAE0219" w14:textId="6B36C6CC" w:rsidR="009F0AF7" w:rsidRPr="001D41EA" w:rsidRDefault="009F0AF7" w:rsidP="001D41EA">
            <w:pPr>
              <w:spacing w:before="40" w:after="20"/>
              <w:jc w:val="right"/>
              <w:rPr>
                <w:rFonts w:cs="Arial"/>
                <w:sz w:val="18"/>
                <w:szCs w:val="18"/>
              </w:rPr>
            </w:pPr>
            <w:r w:rsidRPr="001D41EA">
              <w:rPr>
                <w:rFonts w:cs="Arial"/>
                <w:sz w:val="18"/>
                <w:szCs w:val="18"/>
              </w:rPr>
              <w:t>10,307,306</w:t>
            </w:r>
          </w:p>
        </w:tc>
        <w:tc>
          <w:tcPr>
            <w:tcW w:w="1361" w:type="dxa"/>
            <w:tcBorders>
              <w:top w:val="nil"/>
              <w:left w:val="nil"/>
              <w:bottom w:val="nil"/>
              <w:right w:val="nil"/>
            </w:tcBorders>
            <w:vAlign w:val="bottom"/>
          </w:tcPr>
          <w:p w14:paraId="1093552C" w14:textId="2F756F3B" w:rsidR="009F0AF7" w:rsidRPr="001D41EA" w:rsidRDefault="009F0AF7" w:rsidP="001D41EA">
            <w:pPr>
              <w:spacing w:before="40" w:after="20"/>
              <w:jc w:val="right"/>
              <w:rPr>
                <w:rFonts w:cs="Arial"/>
                <w:sz w:val="18"/>
                <w:szCs w:val="18"/>
              </w:rPr>
            </w:pPr>
            <w:r w:rsidRPr="001D41EA">
              <w:rPr>
                <w:rFonts w:cs="Arial"/>
                <w:sz w:val="18"/>
                <w:szCs w:val="18"/>
              </w:rPr>
              <w:t>517,730</w:t>
            </w:r>
          </w:p>
        </w:tc>
        <w:tc>
          <w:tcPr>
            <w:tcW w:w="1361" w:type="dxa"/>
            <w:tcBorders>
              <w:top w:val="nil"/>
              <w:left w:val="nil"/>
              <w:bottom w:val="nil"/>
              <w:right w:val="nil"/>
            </w:tcBorders>
            <w:shd w:val="clear" w:color="auto" w:fill="auto"/>
            <w:vAlign w:val="bottom"/>
          </w:tcPr>
          <w:p w14:paraId="7F373586" w14:textId="4738EC4C" w:rsidR="009F0AF7" w:rsidRPr="001D41EA" w:rsidRDefault="009F0AF7" w:rsidP="001D41EA">
            <w:pPr>
              <w:spacing w:before="40" w:after="20"/>
              <w:jc w:val="right"/>
              <w:rPr>
                <w:rFonts w:cs="Arial"/>
                <w:b/>
                <w:sz w:val="18"/>
                <w:szCs w:val="18"/>
              </w:rPr>
            </w:pPr>
            <w:r w:rsidRPr="001D41EA">
              <w:rPr>
                <w:rFonts w:cs="Arial"/>
                <w:b/>
                <w:sz w:val="18"/>
                <w:szCs w:val="18"/>
              </w:rPr>
              <w:t>30,355,685</w:t>
            </w:r>
          </w:p>
        </w:tc>
      </w:tr>
      <w:tr w:rsidR="009F0AF7" w:rsidRPr="001D41EA" w14:paraId="3B44A854"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D4BA05F" w14:textId="77777777" w:rsidR="009F0AF7" w:rsidRPr="001D41EA" w:rsidRDefault="009F0AF7" w:rsidP="001D41EA">
            <w:pPr>
              <w:spacing w:before="40" w:after="20"/>
              <w:rPr>
                <w:rFonts w:cs="Arial"/>
                <w:sz w:val="18"/>
                <w:szCs w:val="18"/>
              </w:rPr>
            </w:pPr>
            <w:r w:rsidRPr="001D41EA">
              <w:rPr>
                <w:rFonts w:cs="Arial"/>
                <w:sz w:val="18"/>
                <w:szCs w:val="18"/>
              </w:rPr>
              <w:t>Yarra C</w:t>
            </w:r>
          </w:p>
        </w:tc>
        <w:tc>
          <w:tcPr>
            <w:tcW w:w="1361" w:type="dxa"/>
            <w:tcBorders>
              <w:top w:val="nil"/>
              <w:left w:val="single" w:sz="18" w:space="0" w:color="5F497A" w:themeColor="accent4" w:themeShade="BF"/>
              <w:bottom w:val="nil"/>
              <w:right w:val="nil"/>
            </w:tcBorders>
            <w:shd w:val="clear" w:color="auto" w:fill="auto"/>
            <w:vAlign w:val="bottom"/>
          </w:tcPr>
          <w:p w14:paraId="29541250" w14:textId="6DCDEC7C" w:rsidR="009F0AF7" w:rsidRPr="001D41EA" w:rsidRDefault="009F0AF7" w:rsidP="001D41EA">
            <w:pPr>
              <w:spacing w:before="40" w:after="20"/>
              <w:jc w:val="right"/>
              <w:rPr>
                <w:rFonts w:cs="Arial"/>
                <w:sz w:val="18"/>
                <w:szCs w:val="18"/>
              </w:rPr>
            </w:pPr>
            <w:r w:rsidRPr="001D41EA">
              <w:rPr>
                <w:rFonts w:cs="Arial"/>
                <w:sz w:val="18"/>
                <w:szCs w:val="18"/>
              </w:rPr>
              <w:t>1,337,500</w:t>
            </w:r>
          </w:p>
        </w:tc>
        <w:tc>
          <w:tcPr>
            <w:tcW w:w="1361" w:type="dxa"/>
            <w:tcBorders>
              <w:top w:val="nil"/>
              <w:left w:val="nil"/>
              <w:bottom w:val="nil"/>
              <w:right w:val="nil"/>
            </w:tcBorders>
            <w:shd w:val="clear" w:color="auto" w:fill="auto"/>
            <w:vAlign w:val="bottom"/>
          </w:tcPr>
          <w:p w14:paraId="194F4A93" w14:textId="0FF638D3" w:rsidR="009F0AF7" w:rsidRPr="001D41EA" w:rsidRDefault="009F0AF7" w:rsidP="001D41EA">
            <w:pPr>
              <w:spacing w:before="40" w:after="20"/>
              <w:jc w:val="right"/>
              <w:rPr>
                <w:rFonts w:cs="Arial"/>
                <w:sz w:val="18"/>
                <w:szCs w:val="18"/>
              </w:rPr>
            </w:pPr>
            <w:r w:rsidRPr="001D41EA">
              <w:rPr>
                <w:rFonts w:cs="Arial"/>
                <w:sz w:val="18"/>
                <w:szCs w:val="18"/>
              </w:rPr>
              <w:t>109,515</w:t>
            </w:r>
          </w:p>
        </w:tc>
        <w:tc>
          <w:tcPr>
            <w:tcW w:w="1361" w:type="dxa"/>
            <w:tcBorders>
              <w:top w:val="nil"/>
              <w:left w:val="nil"/>
              <w:bottom w:val="nil"/>
              <w:right w:val="nil"/>
            </w:tcBorders>
            <w:vAlign w:val="bottom"/>
          </w:tcPr>
          <w:p w14:paraId="11ECB622" w14:textId="73EEC027" w:rsidR="009F0AF7" w:rsidRPr="001D41EA" w:rsidRDefault="009F0AF7" w:rsidP="001D41EA">
            <w:pPr>
              <w:spacing w:before="40" w:after="20"/>
              <w:jc w:val="right"/>
              <w:rPr>
                <w:rFonts w:cs="Arial"/>
                <w:sz w:val="18"/>
                <w:szCs w:val="18"/>
              </w:rPr>
            </w:pPr>
            <w:r w:rsidRPr="001D41EA">
              <w:rPr>
                <w:rFonts w:cs="Arial"/>
                <w:sz w:val="18"/>
                <w:szCs w:val="18"/>
              </w:rPr>
              <w:t>4,358,816</w:t>
            </w:r>
          </w:p>
        </w:tc>
        <w:tc>
          <w:tcPr>
            <w:tcW w:w="1361" w:type="dxa"/>
            <w:tcBorders>
              <w:top w:val="nil"/>
              <w:left w:val="nil"/>
              <w:bottom w:val="nil"/>
              <w:right w:val="nil"/>
            </w:tcBorders>
            <w:vAlign w:val="bottom"/>
          </w:tcPr>
          <w:p w14:paraId="4113E9D4" w14:textId="294E9FA4" w:rsidR="009F0AF7" w:rsidRPr="001D41EA" w:rsidRDefault="009F0AF7" w:rsidP="001D41EA">
            <w:pPr>
              <w:spacing w:before="40" w:after="20"/>
              <w:jc w:val="right"/>
              <w:rPr>
                <w:rFonts w:cs="Arial"/>
                <w:sz w:val="18"/>
                <w:szCs w:val="18"/>
              </w:rPr>
            </w:pPr>
            <w:r w:rsidRPr="001D41EA">
              <w:rPr>
                <w:rFonts w:cs="Arial"/>
                <w:sz w:val="18"/>
                <w:szCs w:val="18"/>
              </w:rPr>
              <w:t>199,776</w:t>
            </w:r>
          </w:p>
        </w:tc>
        <w:tc>
          <w:tcPr>
            <w:tcW w:w="1361" w:type="dxa"/>
            <w:tcBorders>
              <w:top w:val="nil"/>
              <w:left w:val="nil"/>
              <w:bottom w:val="nil"/>
              <w:right w:val="nil"/>
            </w:tcBorders>
            <w:shd w:val="clear" w:color="auto" w:fill="auto"/>
            <w:vAlign w:val="bottom"/>
          </w:tcPr>
          <w:p w14:paraId="33FE3BB0" w14:textId="484F19A4" w:rsidR="009F0AF7" w:rsidRPr="001D41EA" w:rsidRDefault="009F0AF7" w:rsidP="001D41EA">
            <w:pPr>
              <w:spacing w:before="40" w:after="20"/>
              <w:jc w:val="right"/>
              <w:rPr>
                <w:rFonts w:cs="Arial"/>
                <w:b/>
                <w:sz w:val="18"/>
                <w:szCs w:val="18"/>
              </w:rPr>
            </w:pPr>
            <w:r w:rsidRPr="001D41EA">
              <w:rPr>
                <w:rFonts w:cs="Arial"/>
                <w:b/>
                <w:sz w:val="18"/>
                <w:szCs w:val="18"/>
              </w:rPr>
              <w:t>13,227,669</w:t>
            </w:r>
          </w:p>
        </w:tc>
      </w:tr>
      <w:tr w:rsidR="009F0AF7" w:rsidRPr="001D41EA" w14:paraId="550FCB15" w14:textId="77777777" w:rsidTr="00CA09E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3FA6CBD" w14:textId="77777777" w:rsidR="009F0AF7" w:rsidRPr="001D41EA" w:rsidRDefault="009F0AF7" w:rsidP="001D41EA">
            <w:pPr>
              <w:spacing w:before="40" w:after="20"/>
              <w:rPr>
                <w:rFonts w:cs="Arial"/>
                <w:sz w:val="18"/>
                <w:szCs w:val="18"/>
              </w:rPr>
            </w:pPr>
            <w:r w:rsidRPr="001D41EA">
              <w:rPr>
                <w:rFonts w:cs="Arial"/>
                <w:sz w:val="18"/>
                <w:szCs w:val="18"/>
              </w:rPr>
              <w:t>Yarra Ranges S</w:t>
            </w:r>
          </w:p>
        </w:tc>
        <w:tc>
          <w:tcPr>
            <w:tcW w:w="1361" w:type="dxa"/>
            <w:tcBorders>
              <w:top w:val="nil"/>
              <w:left w:val="single" w:sz="18" w:space="0" w:color="5F497A" w:themeColor="accent4" w:themeShade="BF"/>
              <w:bottom w:val="nil"/>
              <w:right w:val="nil"/>
            </w:tcBorders>
            <w:shd w:val="clear" w:color="auto" w:fill="auto"/>
            <w:vAlign w:val="bottom"/>
          </w:tcPr>
          <w:p w14:paraId="492A80C7" w14:textId="1D9771DC" w:rsidR="009F0AF7" w:rsidRPr="001D41EA" w:rsidRDefault="009F0AF7" w:rsidP="001D41EA">
            <w:pPr>
              <w:spacing w:before="40" w:after="20"/>
              <w:jc w:val="right"/>
              <w:rPr>
                <w:rFonts w:cs="Arial"/>
                <w:sz w:val="18"/>
                <w:szCs w:val="18"/>
              </w:rPr>
            </w:pPr>
            <w:r w:rsidRPr="001D41EA">
              <w:rPr>
                <w:rFonts w:cs="Arial"/>
                <w:sz w:val="18"/>
                <w:szCs w:val="18"/>
              </w:rPr>
              <w:t>1,355,247</w:t>
            </w:r>
          </w:p>
        </w:tc>
        <w:tc>
          <w:tcPr>
            <w:tcW w:w="1361" w:type="dxa"/>
            <w:tcBorders>
              <w:top w:val="nil"/>
              <w:left w:val="nil"/>
              <w:bottom w:val="nil"/>
              <w:right w:val="nil"/>
            </w:tcBorders>
            <w:shd w:val="clear" w:color="auto" w:fill="auto"/>
            <w:vAlign w:val="bottom"/>
          </w:tcPr>
          <w:p w14:paraId="7E9B1E44" w14:textId="55F7D11F" w:rsidR="009F0AF7" w:rsidRPr="001D41EA" w:rsidRDefault="009F0AF7" w:rsidP="001D41EA">
            <w:pPr>
              <w:spacing w:before="40" w:after="20"/>
              <w:jc w:val="right"/>
              <w:rPr>
                <w:rFonts w:cs="Arial"/>
                <w:sz w:val="18"/>
                <w:szCs w:val="18"/>
              </w:rPr>
            </w:pPr>
            <w:r w:rsidRPr="001D41EA">
              <w:rPr>
                <w:rFonts w:cs="Arial"/>
                <w:sz w:val="18"/>
                <w:szCs w:val="18"/>
              </w:rPr>
              <w:t>175,823</w:t>
            </w:r>
          </w:p>
        </w:tc>
        <w:tc>
          <w:tcPr>
            <w:tcW w:w="1361" w:type="dxa"/>
            <w:tcBorders>
              <w:top w:val="nil"/>
              <w:left w:val="nil"/>
              <w:bottom w:val="nil"/>
              <w:right w:val="nil"/>
            </w:tcBorders>
            <w:vAlign w:val="bottom"/>
          </w:tcPr>
          <w:p w14:paraId="1FE51DF3" w14:textId="1F1E880D" w:rsidR="009F0AF7" w:rsidRPr="001D41EA" w:rsidRDefault="009F0AF7" w:rsidP="001D41EA">
            <w:pPr>
              <w:spacing w:before="40" w:after="20"/>
              <w:jc w:val="right"/>
              <w:rPr>
                <w:rFonts w:cs="Arial"/>
                <w:sz w:val="18"/>
                <w:szCs w:val="18"/>
              </w:rPr>
            </w:pPr>
            <w:r w:rsidRPr="001D41EA">
              <w:rPr>
                <w:rFonts w:cs="Arial"/>
                <w:sz w:val="18"/>
                <w:szCs w:val="18"/>
              </w:rPr>
              <w:t>5,423,312</w:t>
            </w:r>
          </w:p>
        </w:tc>
        <w:tc>
          <w:tcPr>
            <w:tcW w:w="1361" w:type="dxa"/>
            <w:tcBorders>
              <w:top w:val="nil"/>
              <w:left w:val="nil"/>
              <w:bottom w:val="nil"/>
              <w:right w:val="nil"/>
            </w:tcBorders>
            <w:vAlign w:val="bottom"/>
          </w:tcPr>
          <w:p w14:paraId="33BAC7DF" w14:textId="715622E0" w:rsidR="009F0AF7" w:rsidRPr="001D41EA" w:rsidRDefault="009F0AF7" w:rsidP="001D41EA">
            <w:pPr>
              <w:spacing w:before="40" w:after="20"/>
              <w:jc w:val="right"/>
              <w:rPr>
                <w:rFonts w:cs="Arial"/>
                <w:sz w:val="18"/>
                <w:szCs w:val="18"/>
              </w:rPr>
            </w:pPr>
            <w:r w:rsidRPr="001D41EA">
              <w:rPr>
                <w:rFonts w:cs="Arial"/>
                <w:sz w:val="18"/>
                <w:szCs w:val="18"/>
              </w:rPr>
              <w:t>320,736</w:t>
            </w:r>
          </w:p>
        </w:tc>
        <w:tc>
          <w:tcPr>
            <w:tcW w:w="1361" w:type="dxa"/>
            <w:tcBorders>
              <w:top w:val="nil"/>
              <w:left w:val="nil"/>
              <w:bottom w:val="nil"/>
              <w:right w:val="nil"/>
            </w:tcBorders>
            <w:shd w:val="clear" w:color="auto" w:fill="auto"/>
            <w:vAlign w:val="bottom"/>
          </w:tcPr>
          <w:p w14:paraId="1F9292A0" w14:textId="1084E882" w:rsidR="009F0AF7" w:rsidRPr="001D41EA" w:rsidRDefault="009F0AF7" w:rsidP="001D41EA">
            <w:pPr>
              <w:spacing w:before="40" w:after="20"/>
              <w:jc w:val="right"/>
              <w:rPr>
                <w:rFonts w:cs="Arial"/>
                <w:b/>
                <w:sz w:val="18"/>
                <w:szCs w:val="18"/>
              </w:rPr>
            </w:pPr>
            <w:r w:rsidRPr="001D41EA">
              <w:rPr>
                <w:rFonts w:cs="Arial"/>
                <w:b/>
                <w:sz w:val="18"/>
                <w:szCs w:val="18"/>
              </w:rPr>
              <w:t>18,833,961</w:t>
            </w:r>
          </w:p>
        </w:tc>
      </w:tr>
      <w:tr w:rsidR="009F0AF7" w:rsidRPr="001D41EA" w14:paraId="60CE630B" w14:textId="77777777" w:rsidTr="00CA09E3">
        <w:trPr>
          <w:trHeight w:val="240"/>
        </w:trPr>
        <w:tc>
          <w:tcPr>
            <w:tcW w:w="2268" w:type="dxa"/>
            <w:tcBorders>
              <w:top w:val="nil"/>
              <w:left w:val="nil"/>
              <w:right w:val="single" w:sz="18" w:space="0" w:color="5F497A" w:themeColor="accent4" w:themeShade="BF"/>
            </w:tcBorders>
            <w:shd w:val="clear" w:color="auto" w:fill="auto"/>
            <w:vAlign w:val="center"/>
          </w:tcPr>
          <w:p w14:paraId="59EEBEFE" w14:textId="77777777" w:rsidR="009F0AF7" w:rsidRPr="001D41EA" w:rsidRDefault="009F0AF7" w:rsidP="001D41EA">
            <w:pPr>
              <w:spacing w:before="40" w:after="20"/>
              <w:rPr>
                <w:rFonts w:cs="Arial"/>
                <w:sz w:val="18"/>
                <w:szCs w:val="18"/>
              </w:rPr>
            </w:pPr>
            <w:r w:rsidRPr="001D41EA">
              <w:rPr>
                <w:rFonts w:cs="Arial"/>
                <w:sz w:val="18"/>
                <w:szCs w:val="18"/>
              </w:rPr>
              <w:t>Yarriambiack S</w:t>
            </w:r>
          </w:p>
        </w:tc>
        <w:tc>
          <w:tcPr>
            <w:tcW w:w="1361" w:type="dxa"/>
            <w:tcBorders>
              <w:top w:val="nil"/>
              <w:left w:val="single" w:sz="18" w:space="0" w:color="5F497A" w:themeColor="accent4" w:themeShade="BF"/>
              <w:right w:val="nil"/>
            </w:tcBorders>
            <w:shd w:val="clear" w:color="auto" w:fill="auto"/>
            <w:vAlign w:val="bottom"/>
          </w:tcPr>
          <w:p w14:paraId="3721F25C" w14:textId="55D883E4" w:rsidR="009F0AF7" w:rsidRPr="001D41EA" w:rsidRDefault="009F0AF7" w:rsidP="001D41EA">
            <w:pPr>
              <w:spacing w:before="40" w:after="20"/>
              <w:jc w:val="right"/>
              <w:rPr>
                <w:rFonts w:cs="Arial"/>
                <w:sz w:val="18"/>
                <w:szCs w:val="18"/>
              </w:rPr>
            </w:pPr>
            <w:r w:rsidRPr="001D41EA">
              <w:rPr>
                <w:rFonts w:cs="Arial"/>
                <w:sz w:val="18"/>
                <w:szCs w:val="18"/>
              </w:rPr>
              <w:t>51,350</w:t>
            </w:r>
          </w:p>
        </w:tc>
        <w:tc>
          <w:tcPr>
            <w:tcW w:w="1361" w:type="dxa"/>
            <w:tcBorders>
              <w:top w:val="nil"/>
              <w:left w:val="nil"/>
              <w:right w:val="nil"/>
            </w:tcBorders>
            <w:shd w:val="clear" w:color="auto" w:fill="auto"/>
            <w:vAlign w:val="bottom"/>
          </w:tcPr>
          <w:p w14:paraId="2C5B9654" w14:textId="6E48924C" w:rsidR="009F0AF7" w:rsidRPr="001D41EA" w:rsidRDefault="009F0AF7" w:rsidP="001D41EA">
            <w:pPr>
              <w:spacing w:before="40" w:after="20"/>
              <w:jc w:val="right"/>
              <w:rPr>
                <w:rFonts w:cs="Arial"/>
                <w:sz w:val="18"/>
                <w:szCs w:val="18"/>
              </w:rPr>
            </w:pPr>
            <w:r w:rsidRPr="001D41EA">
              <w:rPr>
                <w:rFonts w:cs="Arial"/>
                <w:sz w:val="18"/>
                <w:szCs w:val="18"/>
              </w:rPr>
              <w:t>7,401</w:t>
            </w:r>
          </w:p>
        </w:tc>
        <w:tc>
          <w:tcPr>
            <w:tcW w:w="1361" w:type="dxa"/>
            <w:tcBorders>
              <w:top w:val="nil"/>
              <w:left w:val="nil"/>
              <w:right w:val="nil"/>
            </w:tcBorders>
            <w:vAlign w:val="bottom"/>
          </w:tcPr>
          <w:p w14:paraId="50A2E55D" w14:textId="712170F5" w:rsidR="009F0AF7" w:rsidRPr="001D41EA" w:rsidRDefault="009F0AF7" w:rsidP="001D41EA">
            <w:pPr>
              <w:spacing w:before="40" w:after="20"/>
              <w:jc w:val="right"/>
              <w:rPr>
                <w:rFonts w:cs="Arial"/>
                <w:sz w:val="18"/>
                <w:szCs w:val="18"/>
              </w:rPr>
            </w:pPr>
            <w:r w:rsidRPr="001D41EA">
              <w:rPr>
                <w:rFonts w:cs="Arial"/>
                <w:sz w:val="18"/>
                <w:szCs w:val="18"/>
              </w:rPr>
              <w:t>229,809</w:t>
            </w:r>
          </w:p>
        </w:tc>
        <w:tc>
          <w:tcPr>
            <w:tcW w:w="1361" w:type="dxa"/>
            <w:tcBorders>
              <w:top w:val="nil"/>
              <w:left w:val="nil"/>
              <w:right w:val="nil"/>
            </w:tcBorders>
            <w:vAlign w:val="bottom"/>
          </w:tcPr>
          <w:p w14:paraId="1445FA41" w14:textId="2AF750E1" w:rsidR="009F0AF7" w:rsidRPr="001D41EA" w:rsidRDefault="009F0AF7" w:rsidP="001D41EA">
            <w:pPr>
              <w:spacing w:before="40" w:after="20"/>
              <w:jc w:val="right"/>
              <w:rPr>
                <w:rFonts w:cs="Arial"/>
                <w:sz w:val="18"/>
                <w:szCs w:val="18"/>
              </w:rPr>
            </w:pPr>
            <w:r w:rsidRPr="001D41EA">
              <w:rPr>
                <w:rFonts w:cs="Arial"/>
                <w:sz w:val="18"/>
                <w:szCs w:val="18"/>
              </w:rPr>
              <w:t>13,501</w:t>
            </w:r>
          </w:p>
        </w:tc>
        <w:tc>
          <w:tcPr>
            <w:tcW w:w="1361" w:type="dxa"/>
            <w:tcBorders>
              <w:top w:val="nil"/>
              <w:left w:val="nil"/>
              <w:right w:val="nil"/>
            </w:tcBorders>
            <w:shd w:val="clear" w:color="auto" w:fill="auto"/>
            <w:vAlign w:val="bottom"/>
          </w:tcPr>
          <w:p w14:paraId="5B9E3E71" w14:textId="6CE6948A" w:rsidR="009F0AF7" w:rsidRPr="001D41EA" w:rsidRDefault="009F0AF7" w:rsidP="001D41EA">
            <w:pPr>
              <w:spacing w:before="40" w:after="20"/>
              <w:jc w:val="right"/>
              <w:rPr>
                <w:rFonts w:cs="Arial"/>
                <w:b/>
                <w:sz w:val="18"/>
                <w:szCs w:val="18"/>
              </w:rPr>
            </w:pPr>
            <w:r w:rsidRPr="001D41EA">
              <w:rPr>
                <w:rFonts w:cs="Arial"/>
                <w:b/>
                <w:sz w:val="18"/>
                <w:szCs w:val="18"/>
              </w:rPr>
              <w:t>822,369</w:t>
            </w:r>
          </w:p>
        </w:tc>
      </w:tr>
      <w:tr w:rsidR="009F0AF7" w:rsidRPr="001D41EA" w14:paraId="4AADB66C" w14:textId="77777777" w:rsidTr="00B44BBE">
        <w:trPr>
          <w:trHeight w:val="240"/>
        </w:trPr>
        <w:tc>
          <w:tcPr>
            <w:tcW w:w="2268" w:type="dxa"/>
            <w:tcBorders>
              <w:left w:val="nil"/>
              <w:right w:val="single" w:sz="18" w:space="0" w:color="5F497A" w:themeColor="accent4" w:themeShade="BF"/>
            </w:tcBorders>
            <w:shd w:val="clear" w:color="auto" w:fill="auto"/>
            <w:vAlign w:val="center"/>
          </w:tcPr>
          <w:p w14:paraId="68BA8FB6" w14:textId="77777777" w:rsidR="009F0AF7" w:rsidRPr="001D41EA" w:rsidRDefault="009F0AF7" w:rsidP="001D41EA">
            <w:pPr>
              <w:spacing w:before="40" w:after="20"/>
              <w:rPr>
                <w:rFonts w:cs="Arial"/>
                <w:sz w:val="18"/>
                <w:szCs w:val="18"/>
              </w:rPr>
            </w:pPr>
          </w:p>
        </w:tc>
        <w:tc>
          <w:tcPr>
            <w:tcW w:w="1361" w:type="dxa"/>
            <w:tcBorders>
              <w:left w:val="single" w:sz="18" w:space="0" w:color="5F497A" w:themeColor="accent4" w:themeShade="BF"/>
              <w:bottom w:val="single" w:sz="8" w:space="0" w:color="5F497A" w:themeColor="accent4" w:themeShade="BF"/>
            </w:tcBorders>
            <w:shd w:val="clear" w:color="auto" w:fill="auto"/>
            <w:vAlign w:val="bottom"/>
          </w:tcPr>
          <w:p w14:paraId="5828167A" w14:textId="64DD52F0" w:rsidR="009F0AF7" w:rsidRPr="001D41EA" w:rsidRDefault="009F0AF7" w:rsidP="001D41EA">
            <w:pPr>
              <w:spacing w:before="40" w:after="20"/>
              <w:jc w:val="right"/>
              <w:rPr>
                <w:rFonts w:cs="Arial"/>
                <w:sz w:val="18"/>
                <w:szCs w:val="18"/>
              </w:rPr>
            </w:pPr>
            <w:r w:rsidRPr="001D41EA">
              <w:rPr>
                <w:rFonts w:cs="Arial"/>
                <w:sz w:val="18"/>
                <w:szCs w:val="18"/>
              </w:rPr>
              <w:t> </w:t>
            </w:r>
          </w:p>
        </w:tc>
        <w:tc>
          <w:tcPr>
            <w:tcW w:w="1361" w:type="dxa"/>
            <w:tcBorders>
              <w:bottom w:val="single" w:sz="8" w:space="0" w:color="5F497A" w:themeColor="accent4" w:themeShade="BF"/>
            </w:tcBorders>
            <w:shd w:val="clear" w:color="auto" w:fill="auto"/>
            <w:vAlign w:val="bottom"/>
          </w:tcPr>
          <w:p w14:paraId="14F32C9A" w14:textId="19C3B51B" w:rsidR="009F0AF7" w:rsidRPr="001D41EA" w:rsidRDefault="009F0AF7" w:rsidP="001D41EA">
            <w:pPr>
              <w:spacing w:before="40" w:after="20"/>
              <w:jc w:val="right"/>
              <w:rPr>
                <w:rFonts w:cs="Arial"/>
                <w:sz w:val="18"/>
                <w:szCs w:val="18"/>
              </w:rPr>
            </w:pPr>
            <w:r w:rsidRPr="001D41EA">
              <w:rPr>
                <w:rFonts w:cs="Arial"/>
                <w:sz w:val="18"/>
                <w:szCs w:val="18"/>
              </w:rPr>
              <w:t> </w:t>
            </w:r>
          </w:p>
        </w:tc>
        <w:tc>
          <w:tcPr>
            <w:tcW w:w="1361" w:type="dxa"/>
            <w:tcBorders>
              <w:bottom w:val="single" w:sz="8" w:space="0" w:color="5F497A" w:themeColor="accent4" w:themeShade="BF"/>
            </w:tcBorders>
            <w:vAlign w:val="bottom"/>
          </w:tcPr>
          <w:p w14:paraId="5002C119" w14:textId="04078037" w:rsidR="009F0AF7" w:rsidRPr="001D41EA" w:rsidRDefault="009F0AF7" w:rsidP="001D41EA">
            <w:pPr>
              <w:spacing w:before="40" w:after="20"/>
              <w:jc w:val="right"/>
              <w:rPr>
                <w:rFonts w:cs="Arial"/>
                <w:sz w:val="18"/>
                <w:szCs w:val="18"/>
              </w:rPr>
            </w:pPr>
            <w:r w:rsidRPr="001D41EA">
              <w:rPr>
                <w:rFonts w:cs="Arial"/>
                <w:sz w:val="18"/>
                <w:szCs w:val="18"/>
              </w:rPr>
              <w:t> </w:t>
            </w:r>
          </w:p>
        </w:tc>
        <w:tc>
          <w:tcPr>
            <w:tcW w:w="1361" w:type="dxa"/>
            <w:tcBorders>
              <w:bottom w:val="single" w:sz="8" w:space="0" w:color="5F497A" w:themeColor="accent4" w:themeShade="BF"/>
            </w:tcBorders>
            <w:vAlign w:val="bottom"/>
          </w:tcPr>
          <w:p w14:paraId="14B6BBEB" w14:textId="2ECE6252" w:rsidR="009F0AF7" w:rsidRPr="001D41EA" w:rsidRDefault="009F0AF7" w:rsidP="001D41EA">
            <w:pPr>
              <w:spacing w:before="40" w:after="20"/>
              <w:jc w:val="right"/>
              <w:rPr>
                <w:rFonts w:cs="Arial"/>
                <w:sz w:val="18"/>
                <w:szCs w:val="18"/>
              </w:rPr>
            </w:pPr>
            <w:r w:rsidRPr="001D41EA">
              <w:rPr>
                <w:rFonts w:cs="Arial"/>
                <w:sz w:val="18"/>
                <w:szCs w:val="18"/>
              </w:rPr>
              <w:t> </w:t>
            </w:r>
          </w:p>
        </w:tc>
        <w:tc>
          <w:tcPr>
            <w:tcW w:w="1361" w:type="dxa"/>
            <w:tcBorders>
              <w:bottom w:val="single" w:sz="8" w:space="0" w:color="5F497A" w:themeColor="accent4" w:themeShade="BF"/>
            </w:tcBorders>
            <w:shd w:val="clear" w:color="auto" w:fill="auto"/>
            <w:vAlign w:val="bottom"/>
          </w:tcPr>
          <w:p w14:paraId="4153E60F" w14:textId="3E9EC14D" w:rsidR="009F0AF7" w:rsidRPr="001D41EA" w:rsidRDefault="009F0AF7" w:rsidP="001D41EA">
            <w:pPr>
              <w:spacing w:before="40" w:after="20"/>
              <w:jc w:val="right"/>
              <w:rPr>
                <w:rFonts w:cs="Arial"/>
                <w:b/>
                <w:sz w:val="18"/>
                <w:szCs w:val="18"/>
              </w:rPr>
            </w:pPr>
            <w:r w:rsidRPr="001D41EA">
              <w:rPr>
                <w:rFonts w:cs="Arial"/>
                <w:b/>
                <w:sz w:val="18"/>
                <w:szCs w:val="18"/>
              </w:rPr>
              <w:t> </w:t>
            </w:r>
          </w:p>
        </w:tc>
      </w:tr>
      <w:tr w:rsidR="009F0AF7" w:rsidRPr="001D41EA" w14:paraId="50C5CF59" w14:textId="77777777" w:rsidTr="00B44BBE">
        <w:trPr>
          <w:trHeight w:val="240"/>
        </w:trPr>
        <w:tc>
          <w:tcPr>
            <w:tcW w:w="2268" w:type="dxa"/>
            <w:tcBorders>
              <w:left w:val="nil"/>
              <w:right w:val="single" w:sz="18" w:space="0" w:color="5F497A" w:themeColor="accent4" w:themeShade="BF"/>
            </w:tcBorders>
            <w:shd w:val="clear" w:color="auto" w:fill="auto"/>
            <w:vAlign w:val="center"/>
          </w:tcPr>
          <w:p w14:paraId="053C396F" w14:textId="77777777" w:rsidR="009F0AF7" w:rsidRPr="001D41EA" w:rsidRDefault="009F0AF7" w:rsidP="001D41EA">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tcBorders>
            <w:shd w:val="clear" w:color="auto" w:fill="auto"/>
            <w:vAlign w:val="bottom"/>
          </w:tcPr>
          <w:p w14:paraId="727415E3" w14:textId="6B6A74D2" w:rsidR="009F0AF7" w:rsidRPr="001D41EA" w:rsidRDefault="009F0AF7" w:rsidP="001D41EA">
            <w:pPr>
              <w:spacing w:before="40" w:after="20"/>
              <w:jc w:val="right"/>
              <w:rPr>
                <w:rFonts w:cs="Arial"/>
                <w:b/>
                <w:sz w:val="18"/>
                <w:szCs w:val="18"/>
              </w:rPr>
            </w:pPr>
            <w:r w:rsidRPr="001D41EA">
              <w:rPr>
                <w:rFonts w:cs="Arial"/>
                <w:b/>
                <w:sz w:val="18"/>
                <w:szCs w:val="18"/>
              </w:rPr>
              <w:t>62,922,746</w:t>
            </w:r>
          </w:p>
        </w:tc>
        <w:tc>
          <w:tcPr>
            <w:tcW w:w="1361" w:type="dxa"/>
            <w:tcBorders>
              <w:top w:val="single" w:sz="8" w:space="0" w:color="5F497A" w:themeColor="accent4" w:themeShade="BF"/>
            </w:tcBorders>
            <w:shd w:val="clear" w:color="auto" w:fill="auto"/>
            <w:vAlign w:val="bottom"/>
          </w:tcPr>
          <w:p w14:paraId="6A789901" w14:textId="6E1091ED" w:rsidR="009F0AF7" w:rsidRPr="001D41EA" w:rsidRDefault="009F0AF7" w:rsidP="001D41EA">
            <w:pPr>
              <w:spacing w:before="40" w:after="20"/>
              <w:jc w:val="right"/>
              <w:rPr>
                <w:rFonts w:cs="Arial"/>
                <w:b/>
                <w:sz w:val="18"/>
                <w:szCs w:val="18"/>
              </w:rPr>
            </w:pPr>
            <w:r w:rsidRPr="001D41EA">
              <w:rPr>
                <w:rFonts w:cs="Arial"/>
                <w:b/>
                <w:sz w:val="18"/>
                <w:szCs w:val="18"/>
              </w:rPr>
              <w:t>7,181,557</w:t>
            </w:r>
          </w:p>
        </w:tc>
        <w:tc>
          <w:tcPr>
            <w:tcW w:w="1361" w:type="dxa"/>
            <w:tcBorders>
              <w:top w:val="single" w:sz="8" w:space="0" w:color="5F497A" w:themeColor="accent4" w:themeShade="BF"/>
            </w:tcBorders>
            <w:vAlign w:val="bottom"/>
          </w:tcPr>
          <w:p w14:paraId="2F9298CD" w14:textId="0CBB11D5" w:rsidR="009F0AF7" w:rsidRPr="001D41EA" w:rsidRDefault="009F0AF7" w:rsidP="001D41EA">
            <w:pPr>
              <w:spacing w:before="40" w:after="20"/>
              <w:jc w:val="right"/>
              <w:rPr>
                <w:rFonts w:cs="Arial"/>
                <w:b/>
                <w:sz w:val="18"/>
                <w:szCs w:val="18"/>
              </w:rPr>
            </w:pPr>
            <w:r w:rsidRPr="001D41EA">
              <w:rPr>
                <w:rFonts w:cs="Arial"/>
                <w:b/>
                <w:sz w:val="18"/>
                <w:szCs w:val="18"/>
              </w:rPr>
              <w:t>249,063,816</w:t>
            </w:r>
          </w:p>
        </w:tc>
        <w:tc>
          <w:tcPr>
            <w:tcW w:w="1361" w:type="dxa"/>
            <w:tcBorders>
              <w:top w:val="single" w:sz="8" w:space="0" w:color="5F497A" w:themeColor="accent4" w:themeShade="BF"/>
            </w:tcBorders>
            <w:vAlign w:val="bottom"/>
          </w:tcPr>
          <w:p w14:paraId="25FCB75B" w14:textId="7FA7DF08" w:rsidR="009F0AF7" w:rsidRPr="001D41EA" w:rsidRDefault="009F0AF7" w:rsidP="001D41EA">
            <w:pPr>
              <w:spacing w:before="40" w:after="20"/>
              <w:jc w:val="right"/>
              <w:rPr>
                <w:rFonts w:cs="Arial"/>
                <w:b/>
                <w:sz w:val="18"/>
                <w:szCs w:val="18"/>
              </w:rPr>
            </w:pPr>
            <w:r w:rsidRPr="001D41EA">
              <w:rPr>
                <w:rFonts w:cs="Arial"/>
                <w:b/>
                <w:sz w:val="18"/>
                <w:szCs w:val="18"/>
              </w:rPr>
              <w:t>13,100,547</w:t>
            </w:r>
          </w:p>
        </w:tc>
        <w:tc>
          <w:tcPr>
            <w:tcW w:w="1361" w:type="dxa"/>
            <w:tcBorders>
              <w:top w:val="single" w:sz="8" w:space="0" w:color="5F497A" w:themeColor="accent4" w:themeShade="BF"/>
            </w:tcBorders>
            <w:shd w:val="clear" w:color="auto" w:fill="auto"/>
            <w:vAlign w:val="bottom"/>
          </w:tcPr>
          <w:p w14:paraId="6B12F174" w14:textId="6624411F" w:rsidR="009F0AF7" w:rsidRPr="001D41EA" w:rsidRDefault="009F0AF7" w:rsidP="001D41EA">
            <w:pPr>
              <w:spacing w:before="40" w:after="20"/>
              <w:jc w:val="right"/>
              <w:rPr>
                <w:rFonts w:cs="Arial"/>
                <w:b/>
                <w:sz w:val="18"/>
                <w:szCs w:val="18"/>
              </w:rPr>
            </w:pPr>
            <w:r w:rsidRPr="001D41EA">
              <w:rPr>
                <w:rFonts w:cs="Arial"/>
                <w:b/>
                <w:sz w:val="18"/>
                <w:szCs w:val="18"/>
              </w:rPr>
              <w:t>800,022,425</w:t>
            </w:r>
          </w:p>
        </w:tc>
      </w:tr>
    </w:tbl>
    <w:p w14:paraId="4FB06BDD" w14:textId="77777777" w:rsidR="00C94778" w:rsidRPr="00A44829" w:rsidRDefault="00F57D43" w:rsidP="00FF36E8">
      <w:pPr>
        <w:spacing w:before="40" w:after="20"/>
        <w:rPr>
          <w:rFonts w:cs="Arial"/>
          <w:sz w:val="18"/>
          <w:szCs w:val="18"/>
        </w:rPr>
      </w:pPr>
      <w:r w:rsidRPr="00A44829">
        <w:rPr>
          <w:rFonts w:cs="Arial"/>
          <w:sz w:val="18"/>
          <w:szCs w:val="18"/>
        </w:rPr>
        <w:br w:type="page"/>
      </w:r>
    </w:p>
    <w:p w14:paraId="3E26D1A8" w14:textId="6C6E0BC4" w:rsidR="00C94778" w:rsidRPr="00A44829" w:rsidRDefault="00CE4507" w:rsidP="00C33713">
      <w:pPr>
        <w:pStyle w:val="VGC-Head10"/>
      </w:pPr>
      <w:r w:rsidRPr="00A44829">
        <w:lastRenderedPageBreak/>
        <w:t>Appendix 4</w:t>
      </w:r>
      <w:r w:rsidR="0020502F" w:rsidRPr="00A44829">
        <w:tab/>
      </w:r>
      <w:r w:rsidR="00EE4593" w:rsidRPr="00A44829">
        <w:t>2019-20</w:t>
      </w:r>
      <w:r w:rsidR="00A97ABE" w:rsidRPr="00A44829">
        <w:t xml:space="preserve"> </w:t>
      </w:r>
      <w:r w:rsidR="0020502F" w:rsidRPr="00A44829">
        <w:t xml:space="preserve">General Purpose Grants </w:t>
      </w:r>
    </w:p>
    <w:p w14:paraId="7245E1BC" w14:textId="77777777" w:rsidR="00C94778" w:rsidRPr="00A44829" w:rsidRDefault="00D67755" w:rsidP="008C1A28">
      <w:pPr>
        <w:pStyle w:val="VGC-Head2"/>
      </w:pPr>
      <w:r w:rsidRPr="00A44829">
        <w:t>J</w:t>
      </w:r>
      <w:r w:rsidR="00CE520A" w:rsidRPr="00A44829">
        <w:t xml:space="preserve">.  </w:t>
      </w:r>
      <w:r w:rsidR="00C94778" w:rsidRPr="00A44829">
        <w:t xml:space="preserve">Standardised </w:t>
      </w:r>
      <w:r w:rsidRPr="00A44829">
        <w:t xml:space="preserve">Rate </w:t>
      </w:r>
      <w:r w:rsidR="00C94778" w:rsidRPr="00A44829">
        <w:t>Revenue</w:t>
      </w:r>
    </w:p>
    <w:p w14:paraId="7DF1E2FA" w14:textId="77777777" w:rsidR="00713C86" w:rsidRPr="00A44829"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A44829" w14:paraId="1FE66955" w14:textId="77777777" w:rsidTr="00B44BBE">
        <w:trPr>
          <w:tblHeader/>
        </w:trPr>
        <w:tc>
          <w:tcPr>
            <w:tcW w:w="2268" w:type="dxa"/>
            <w:tcBorders>
              <w:left w:val="nil"/>
              <w:right w:val="single" w:sz="18" w:space="0" w:color="5F497A" w:themeColor="accent4" w:themeShade="BF"/>
            </w:tcBorders>
            <w:shd w:val="clear" w:color="auto" w:fill="auto"/>
            <w:vAlign w:val="bottom"/>
          </w:tcPr>
          <w:p w14:paraId="439D906C" w14:textId="77777777" w:rsidR="00540FD9" w:rsidRPr="00A44829" w:rsidRDefault="00540FD9" w:rsidP="008001AD">
            <w:pPr>
              <w:spacing w:before="40" w:after="20"/>
              <w:jc w:val="center"/>
              <w:rPr>
                <w:rFonts w:cs="Arial"/>
                <w:sz w:val="18"/>
                <w:szCs w:val="18"/>
              </w:rPr>
            </w:pPr>
          </w:p>
        </w:tc>
        <w:tc>
          <w:tcPr>
            <w:tcW w:w="6804" w:type="dxa"/>
            <w:gridSpan w:val="4"/>
            <w:tcBorders>
              <w:left w:val="single" w:sz="18" w:space="0" w:color="5F497A" w:themeColor="accent4" w:themeShade="BF"/>
              <w:bottom w:val="single" w:sz="8" w:space="0" w:color="5F497A" w:themeColor="accent4" w:themeShade="BF"/>
              <w:right w:val="nil"/>
            </w:tcBorders>
            <w:shd w:val="clear" w:color="auto" w:fill="auto"/>
            <w:vAlign w:val="bottom"/>
          </w:tcPr>
          <w:p w14:paraId="0EBA65F7" w14:textId="77777777" w:rsidR="00540FD9" w:rsidRPr="00A44829" w:rsidRDefault="008D3EF8" w:rsidP="008001AD">
            <w:pPr>
              <w:spacing w:before="40" w:after="20"/>
              <w:jc w:val="center"/>
              <w:rPr>
                <w:rFonts w:cs="Arial"/>
                <w:b/>
                <w:sz w:val="18"/>
                <w:szCs w:val="18"/>
              </w:rPr>
            </w:pPr>
            <w:r w:rsidRPr="00A44829">
              <w:rPr>
                <w:rFonts w:cs="Arial"/>
                <w:b/>
                <w:sz w:val="18"/>
                <w:szCs w:val="18"/>
              </w:rPr>
              <w:t>4</w:t>
            </w:r>
            <w:r w:rsidR="00540FD9" w:rsidRPr="00A44829">
              <w:rPr>
                <w:rFonts w:cs="Arial"/>
                <w:b/>
                <w:sz w:val="18"/>
                <w:szCs w:val="18"/>
              </w:rPr>
              <w:t xml:space="preserve"> Year Average Rates Assessed</w:t>
            </w:r>
          </w:p>
        </w:tc>
      </w:tr>
      <w:tr w:rsidR="00713C86" w:rsidRPr="00A44829" w14:paraId="13BE87BE" w14:textId="77777777" w:rsidTr="00B44BBE">
        <w:trPr>
          <w:tblHeader/>
        </w:trPr>
        <w:tc>
          <w:tcPr>
            <w:tcW w:w="2268" w:type="dxa"/>
            <w:tcBorders>
              <w:left w:val="nil"/>
              <w:right w:val="single" w:sz="18" w:space="0" w:color="5F497A" w:themeColor="accent4" w:themeShade="BF"/>
            </w:tcBorders>
            <w:shd w:val="clear" w:color="auto" w:fill="auto"/>
            <w:vAlign w:val="bottom"/>
          </w:tcPr>
          <w:p w14:paraId="6563A8FC" w14:textId="77777777" w:rsidR="00713C86" w:rsidRPr="00A44829" w:rsidRDefault="00713C86" w:rsidP="008001AD">
            <w:pPr>
              <w:spacing w:before="40" w:after="20"/>
              <w:jc w:val="center"/>
              <w:rPr>
                <w:rFonts w:cs="Arial"/>
                <w:sz w:val="18"/>
                <w:szCs w:val="18"/>
              </w:rPr>
            </w:pPr>
          </w:p>
        </w:tc>
        <w:tc>
          <w:tcPr>
            <w:tcW w:w="170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3B56B3D9" w14:textId="77777777" w:rsidR="00713C86" w:rsidRPr="00A44829" w:rsidRDefault="00540FD9" w:rsidP="008001AD">
            <w:pPr>
              <w:spacing w:before="40" w:after="20"/>
              <w:jc w:val="center"/>
              <w:rPr>
                <w:rFonts w:cs="Arial"/>
                <w:sz w:val="16"/>
                <w:szCs w:val="16"/>
              </w:rPr>
            </w:pPr>
            <w:r w:rsidRPr="00A44829">
              <w:rPr>
                <w:rFonts w:cs="Arial"/>
                <w:sz w:val="16"/>
                <w:szCs w:val="16"/>
              </w:rPr>
              <w:t>Residential</w:t>
            </w:r>
            <w:r w:rsidRPr="00A44829">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083E5FAE" w14:textId="77777777" w:rsidR="00713C86" w:rsidRPr="00A44829" w:rsidRDefault="00540FD9" w:rsidP="008001AD">
            <w:pPr>
              <w:spacing w:before="40" w:after="20"/>
              <w:jc w:val="center"/>
              <w:rPr>
                <w:rFonts w:cs="Arial"/>
                <w:sz w:val="16"/>
                <w:szCs w:val="16"/>
              </w:rPr>
            </w:pPr>
            <w:r w:rsidRPr="00A44829">
              <w:rPr>
                <w:rFonts w:cs="Arial"/>
                <w:sz w:val="16"/>
                <w:szCs w:val="16"/>
              </w:rPr>
              <w:t xml:space="preserve">Commercial / Industrial </w:t>
            </w:r>
            <w:r w:rsidR="00266F1B" w:rsidRPr="00A44829">
              <w:rPr>
                <w:rFonts w:cs="Arial"/>
                <w:sz w:val="16"/>
                <w:szCs w:val="16"/>
              </w:rPr>
              <w:t>(</w:t>
            </w:r>
            <w:r w:rsidRPr="00A44829">
              <w:rPr>
                <w:rFonts w:cs="Arial"/>
                <w:sz w:val="16"/>
                <w:szCs w:val="16"/>
              </w:rPr>
              <w:t>incl. Other)</w:t>
            </w:r>
            <w:r w:rsidRPr="00A44829">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BE95380" w14:textId="77777777" w:rsidR="00713C86" w:rsidRPr="00A44829" w:rsidRDefault="00540FD9" w:rsidP="008001AD">
            <w:pPr>
              <w:spacing w:before="40" w:after="20"/>
              <w:jc w:val="center"/>
              <w:rPr>
                <w:rFonts w:cs="Arial"/>
                <w:sz w:val="16"/>
                <w:szCs w:val="16"/>
              </w:rPr>
            </w:pPr>
            <w:r w:rsidRPr="00A44829">
              <w:rPr>
                <w:rFonts w:cs="Arial"/>
                <w:sz w:val="16"/>
                <w:szCs w:val="16"/>
              </w:rPr>
              <w:t>Farm</w:t>
            </w:r>
            <w:r w:rsidRPr="00A44829">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213545AB" w14:textId="77777777" w:rsidR="00713C86" w:rsidRPr="00A44829" w:rsidRDefault="00540FD9" w:rsidP="008001AD">
            <w:pPr>
              <w:spacing w:before="40" w:after="20"/>
              <w:jc w:val="center"/>
              <w:rPr>
                <w:rFonts w:cs="Arial"/>
                <w:sz w:val="16"/>
                <w:szCs w:val="16"/>
              </w:rPr>
            </w:pPr>
            <w:r w:rsidRPr="00A44829">
              <w:rPr>
                <w:rFonts w:cs="Arial"/>
                <w:sz w:val="16"/>
                <w:szCs w:val="16"/>
              </w:rPr>
              <w:t xml:space="preserve">Total </w:t>
            </w:r>
            <w:r w:rsidRPr="00A44829">
              <w:rPr>
                <w:rFonts w:cs="Arial"/>
                <w:sz w:val="16"/>
                <w:szCs w:val="16"/>
              </w:rPr>
              <w:br/>
              <w:t>($)</w:t>
            </w:r>
          </w:p>
        </w:tc>
      </w:tr>
      <w:tr w:rsidR="00D84931" w:rsidRPr="001D41EA" w14:paraId="65EE9D84" w14:textId="77777777" w:rsidTr="00B44BBE">
        <w:trPr>
          <w:tblHeader/>
        </w:trPr>
        <w:tc>
          <w:tcPr>
            <w:tcW w:w="2268" w:type="dxa"/>
            <w:tcBorders>
              <w:left w:val="nil"/>
              <w:bottom w:val="nil"/>
              <w:right w:val="single" w:sz="18" w:space="0" w:color="5F497A" w:themeColor="accent4" w:themeShade="BF"/>
            </w:tcBorders>
            <w:shd w:val="clear" w:color="auto" w:fill="auto"/>
            <w:noWrap/>
            <w:vAlign w:val="center"/>
          </w:tcPr>
          <w:p w14:paraId="0F6A369A" w14:textId="77777777" w:rsidR="00D84931" w:rsidRPr="001D41EA" w:rsidRDefault="00D84931" w:rsidP="00D84931">
            <w:pPr>
              <w:spacing w:before="40" w:after="40"/>
              <w:rPr>
                <w:rFonts w:cs="Arial"/>
                <w:sz w:val="18"/>
                <w:szCs w:val="18"/>
              </w:rPr>
            </w:pPr>
          </w:p>
        </w:tc>
        <w:tc>
          <w:tcPr>
            <w:tcW w:w="170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78BD7CB8" w14:textId="7C67B30A" w:rsidR="00D84931" w:rsidRPr="001D41EA" w:rsidRDefault="00D84931" w:rsidP="00D84931">
            <w:pPr>
              <w:spacing w:before="40" w:after="40"/>
              <w:jc w:val="right"/>
              <w:rPr>
                <w:rFonts w:cs="Arial"/>
                <w:sz w:val="18"/>
                <w:szCs w:val="18"/>
              </w:rPr>
            </w:pPr>
            <w:r w:rsidRPr="001D41EA">
              <w:rPr>
                <w:rFonts w:cs="Arial"/>
                <w:sz w:val="18"/>
                <w:szCs w:val="18"/>
              </w:rPr>
              <w:t> </w:t>
            </w:r>
          </w:p>
        </w:tc>
        <w:tc>
          <w:tcPr>
            <w:tcW w:w="1701" w:type="dxa"/>
            <w:tcBorders>
              <w:top w:val="single" w:sz="8" w:space="0" w:color="5F497A" w:themeColor="accent4" w:themeShade="BF"/>
              <w:left w:val="nil"/>
              <w:bottom w:val="nil"/>
              <w:right w:val="nil"/>
            </w:tcBorders>
            <w:vAlign w:val="bottom"/>
          </w:tcPr>
          <w:p w14:paraId="1866A9B0" w14:textId="77777777" w:rsidR="00D84931" w:rsidRPr="001D41EA" w:rsidRDefault="00D84931" w:rsidP="00D84931">
            <w:pPr>
              <w:spacing w:before="40" w:after="40"/>
              <w:jc w:val="right"/>
              <w:rPr>
                <w:rFonts w:cs="Arial"/>
                <w:sz w:val="18"/>
                <w:szCs w:val="18"/>
              </w:rPr>
            </w:pPr>
          </w:p>
        </w:tc>
        <w:tc>
          <w:tcPr>
            <w:tcW w:w="1701" w:type="dxa"/>
            <w:tcBorders>
              <w:top w:val="single" w:sz="8" w:space="0" w:color="5F497A" w:themeColor="accent4" w:themeShade="BF"/>
              <w:left w:val="nil"/>
              <w:bottom w:val="nil"/>
              <w:right w:val="nil"/>
            </w:tcBorders>
            <w:shd w:val="clear" w:color="auto" w:fill="auto"/>
            <w:noWrap/>
            <w:vAlign w:val="bottom"/>
          </w:tcPr>
          <w:p w14:paraId="35888EBE" w14:textId="77777777" w:rsidR="00D84931" w:rsidRPr="001D41EA" w:rsidRDefault="00D84931" w:rsidP="00D84931">
            <w:pPr>
              <w:spacing w:before="40" w:after="40"/>
              <w:jc w:val="right"/>
              <w:rPr>
                <w:rFonts w:cs="Arial"/>
                <w:sz w:val="18"/>
                <w:szCs w:val="18"/>
              </w:rPr>
            </w:pPr>
          </w:p>
        </w:tc>
        <w:tc>
          <w:tcPr>
            <w:tcW w:w="1701" w:type="dxa"/>
            <w:tcBorders>
              <w:top w:val="single" w:sz="8" w:space="0" w:color="5F497A" w:themeColor="accent4" w:themeShade="BF"/>
              <w:left w:val="nil"/>
              <w:bottom w:val="nil"/>
              <w:right w:val="nil"/>
            </w:tcBorders>
            <w:vAlign w:val="bottom"/>
          </w:tcPr>
          <w:p w14:paraId="52D8E5A4" w14:textId="60E8E563" w:rsidR="00D84931" w:rsidRPr="001D41EA" w:rsidRDefault="00D84931" w:rsidP="00D84931">
            <w:pPr>
              <w:spacing w:before="40" w:after="40"/>
              <w:jc w:val="right"/>
              <w:rPr>
                <w:rFonts w:cs="Arial"/>
                <w:sz w:val="18"/>
                <w:szCs w:val="18"/>
              </w:rPr>
            </w:pPr>
            <w:r w:rsidRPr="001D41EA">
              <w:rPr>
                <w:rFonts w:cs="Arial"/>
                <w:sz w:val="18"/>
                <w:szCs w:val="18"/>
              </w:rPr>
              <w:t> </w:t>
            </w:r>
          </w:p>
        </w:tc>
      </w:tr>
      <w:tr w:rsidR="00D84931" w:rsidRPr="001D41EA" w14:paraId="4D756ED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E1DC219" w14:textId="77777777" w:rsidR="00D84931" w:rsidRPr="001D41EA" w:rsidRDefault="00D84931" w:rsidP="00D84931">
            <w:pPr>
              <w:spacing w:before="40" w:after="40"/>
              <w:rPr>
                <w:rFonts w:cs="Arial"/>
                <w:sz w:val="18"/>
                <w:szCs w:val="18"/>
              </w:rPr>
            </w:pPr>
            <w:r w:rsidRPr="001D41EA">
              <w:rPr>
                <w:rFonts w:cs="Arial"/>
                <w:sz w:val="18"/>
                <w:szCs w:val="18"/>
              </w:rPr>
              <w:t>Alpine S</w:t>
            </w:r>
          </w:p>
        </w:tc>
        <w:tc>
          <w:tcPr>
            <w:tcW w:w="1701" w:type="dxa"/>
            <w:tcBorders>
              <w:top w:val="nil"/>
              <w:left w:val="single" w:sz="18" w:space="0" w:color="5F497A" w:themeColor="accent4" w:themeShade="BF"/>
              <w:bottom w:val="nil"/>
              <w:right w:val="nil"/>
            </w:tcBorders>
            <w:shd w:val="clear" w:color="auto" w:fill="auto"/>
            <w:noWrap/>
            <w:vAlign w:val="bottom"/>
          </w:tcPr>
          <w:p w14:paraId="26ABF733" w14:textId="61B4E0BA" w:rsidR="00D84931" w:rsidRPr="001D41EA" w:rsidRDefault="00D84931" w:rsidP="00D84931">
            <w:pPr>
              <w:spacing w:before="40" w:after="40"/>
              <w:jc w:val="right"/>
              <w:rPr>
                <w:rFonts w:cs="Arial"/>
                <w:sz w:val="18"/>
                <w:szCs w:val="18"/>
              </w:rPr>
            </w:pPr>
            <w:r w:rsidRPr="001D41EA">
              <w:rPr>
                <w:rFonts w:cs="Arial"/>
                <w:sz w:val="18"/>
                <w:szCs w:val="18"/>
              </w:rPr>
              <w:t>11,097,454</w:t>
            </w:r>
          </w:p>
        </w:tc>
        <w:tc>
          <w:tcPr>
            <w:tcW w:w="1701" w:type="dxa"/>
            <w:tcBorders>
              <w:top w:val="nil"/>
              <w:left w:val="nil"/>
              <w:bottom w:val="nil"/>
              <w:right w:val="nil"/>
            </w:tcBorders>
            <w:vAlign w:val="bottom"/>
          </w:tcPr>
          <w:p w14:paraId="2E372942" w14:textId="731E30A2" w:rsidR="00D84931" w:rsidRPr="001D41EA" w:rsidRDefault="00D84931" w:rsidP="00D84931">
            <w:pPr>
              <w:spacing w:before="40" w:after="40"/>
              <w:jc w:val="right"/>
              <w:rPr>
                <w:rFonts w:cs="Arial"/>
                <w:sz w:val="18"/>
                <w:szCs w:val="18"/>
              </w:rPr>
            </w:pPr>
            <w:r w:rsidRPr="001D41EA">
              <w:rPr>
                <w:rFonts w:cs="Arial"/>
                <w:sz w:val="18"/>
                <w:szCs w:val="18"/>
              </w:rPr>
              <w:t>2,533,030</w:t>
            </w:r>
          </w:p>
        </w:tc>
        <w:tc>
          <w:tcPr>
            <w:tcW w:w="1701" w:type="dxa"/>
            <w:tcBorders>
              <w:top w:val="nil"/>
              <w:left w:val="nil"/>
              <w:bottom w:val="nil"/>
              <w:right w:val="nil"/>
            </w:tcBorders>
            <w:shd w:val="clear" w:color="auto" w:fill="auto"/>
            <w:noWrap/>
            <w:vAlign w:val="bottom"/>
          </w:tcPr>
          <w:p w14:paraId="153698A1" w14:textId="683CBAB9" w:rsidR="00D84931" w:rsidRPr="001D41EA" w:rsidRDefault="00D84931" w:rsidP="00D84931">
            <w:pPr>
              <w:spacing w:before="40" w:after="40"/>
              <w:jc w:val="right"/>
              <w:rPr>
                <w:rFonts w:cs="Arial"/>
                <w:sz w:val="18"/>
                <w:szCs w:val="18"/>
              </w:rPr>
            </w:pPr>
            <w:r w:rsidRPr="001D41EA">
              <w:rPr>
                <w:rFonts w:cs="Arial"/>
                <w:sz w:val="18"/>
                <w:szCs w:val="18"/>
              </w:rPr>
              <w:t>2,492,682</w:t>
            </w:r>
          </w:p>
        </w:tc>
        <w:tc>
          <w:tcPr>
            <w:tcW w:w="1701" w:type="dxa"/>
            <w:tcBorders>
              <w:top w:val="nil"/>
              <w:left w:val="nil"/>
              <w:bottom w:val="nil"/>
              <w:right w:val="nil"/>
            </w:tcBorders>
            <w:vAlign w:val="bottom"/>
          </w:tcPr>
          <w:p w14:paraId="6A8A0F2F" w14:textId="7CD43F6B" w:rsidR="00D84931" w:rsidRPr="001D41EA" w:rsidRDefault="00D84931" w:rsidP="00D84931">
            <w:pPr>
              <w:spacing w:before="40" w:after="40"/>
              <w:jc w:val="right"/>
              <w:rPr>
                <w:rFonts w:cs="Arial"/>
                <w:sz w:val="18"/>
                <w:szCs w:val="18"/>
              </w:rPr>
            </w:pPr>
            <w:r w:rsidRPr="001D41EA">
              <w:rPr>
                <w:rFonts w:cs="Arial"/>
                <w:sz w:val="18"/>
                <w:szCs w:val="18"/>
              </w:rPr>
              <w:t>16,123,167</w:t>
            </w:r>
          </w:p>
        </w:tc>
      </w:tr>
      <w:tr w:rsidR="00D84931" w:rsidRPr="001D41EA" w14:paraId="57166D5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D2A161B" w14:textId="77777777" w:rsidR="00D84931" w:rsidRPr="001D41EA" w:rsidRDefault="00D84931" w:rsidP="00D84931">
            <w:pPr>
              <w:spacing w:before="40" w:after="40"/>
              <w:rPr>
                <w:rFonts w:cs="Arial"/>
                <w:sz w:val="18"/>
                <w:szCs w:val="18"/>
              </w:rPr>
            </w:pPr>
            <w:r w:rsidRPr="001D41EA">
              <w:rPr>
                <w:rFonts w:cs="Arial"/>
                <w:sz w:val="18"/>
                <w:szCs w:val="18"/>
              </w:rPr>
              <w:t>Ararat RC</w:t>
            </w:r>
          </w:p>
        </w:tc>
        <w:tc>
          <w:tcPr>
            <w:tcW w:w="1701" w:type="dxa"/>
            <w:tcBorders>
              <w:top w:val="nil"/>
              <w:left w:val="single" w:sz="18" w:space="0" w:color="5F497A" w:themeColor="accent4" w:themeShade="BF"/>
              <w:bottom w:val="nil"/>
              <w:right w:val="nil"/>
            </w:tcBorders>
            <w:shd w:val="clear" w:color="auto" w:fill="auto"/>
            <w:noWrap/>
            <w:vAlign w:val="bottom"/>
          </w:tcPr>
          <w:p w14:paraId="429EE825" w14:textId="7591E181" w:rsidR="00D84931" w:rsidRPr="001D41EA" w:rsidRDefault="00D84931" w:rsidP="00D84931">
            <w:pPr>
              <w:spacing w:before="40" w:after="40"/>
              <w:jc w:val="right"/>
              <w:rPr>
                <w:rFonts w:cs="Arial"/>
                <w:sz w:val="18"/>
                <w:szCs w:val="18"/>
              </w:rPr>
            </w:pPr>
            <w:r w:rsidRPr="001D41EA">
              <w:rPr>
                <w:rFonts w:cs="Arial"/>
                <w:sz w:val="18"/>
                <w:szCs w:val="18"/>
              </w:rPr>
              <w:t>8,473,498</w:t>
            </w:r>
          </w:p>
        </w:tc>
        <w:tc>
          <w:tcPr>
            <w:tcW w:w="1701" w:type="dxa"/>
            <w:tcBorders>
              <w:top w:val="nil"/>
              <w:left w:val="nil"/>
              <w:bottom w:val="nil"/>
              <w:right w:val="nil"/>
            </w:tcBorders>
            <w:vAlign w:val="bottom"/>
          </w:tcPr>
          <w:p w14:paraId="653CA137" w14:textId="788518F5" w:rsidR="00D84931" w:rsidRPr="001D41EA" w:rsidRDefault="00D84931" w:rsidP="00D84931">
            <w:pPr>
              <w:spacing w:before="40" w:after="40"/>
              <w:jc w:val="right"/>
              <w:rPr>
                <w:rFonts w:cs="Arial"/>
                <w:sz w:val="18"/>
                <w:szCs w:val="18"/>
              </w:rPr>
            </w:pPr>
            <w:r w:rsidRPr="001D41EA">
              <w:rPr>
                <w:rFonts w:cs="Arial"/>
                <w:sz w:val="18"/>
                <w:szCs w:val="18"/>
              </w:rPr>
              <w:t>1,562,346</w:t>
            </w:r>
          </w:p>
        </w:tc>
        <w:tc>
          <w:tcPr>
            <w:tcW w:w="1701" w:type="dxa"/>
            <w:tcBorders>
              <w:top w:val="nil"/>
              <w:left w:val="nil"/>
              <w:bottom w:val="nil"/>
              <w:right w:val="nil"/>
            </w:tcBorders>
            <w:shd w:val="clear" w:color="auto" w:fill="auto"/>
            <w:noWrap/>
            <w:vAlign w:val="bottom"/>
          </w:tcPr>
          <w:p w14:paraId="6201A9A6" w14:textId="251B5C07" w:rsidR="00D84931" w:rsidRPr="001D41EA" w:rsidRDefault="00D84931" w:rsidP="00D84931">
            <w:pPr>
              <w:spacing w:before="40" w:after="40"/>
              <w:jc w:val="right"/>
              <w:rPr>
                <w:rFonts w:cs="Arial"/>
                <w:sz w:val="18"/>
                <w:szCs w:val="18"/>
              </w:rPr>
            </w:pPr>
            <w:r w:rsidRPr="001D41EA">
              <w:rPr>
                <w:rFonts w:cs="Arial"/>
                <w:sz w:val="18"/>
                <w:szCs w:val="18"/>
              </w:rPr>
              <w:t>5,229,986</w:t>
            </w:r>
          </w:p>
        </w:tc>
        <w:tc>
          <w:tcPr>
            <w:tcW w:w="1701" w:type="dxa"/>
            <w:tcBorders>
              <w:top w:val="nil"/>
              <w:left w:val="nil"/>
              <w:bottom w:val="nil"/>
              <w:right w:val="nil"/>
            </w:tcBorders>
            <w:vAlign w:val="bottom"/>
          </w:tcPr>
          <w:p w14:paraId="74D62A01" w14:textId="25A6371C" w:rsidR="00D84931" w:rsidRPr="001D41EA" w:rsidRDefault="00D84931" w:rsidP="00D84931">
            <w:pPr>
              <w:spacing w:before="40" w:after="40"/>
              <w:jc w:val="right"/>
              <w:rPr>
                <w:rFonts w:cs="Arial"/>
                <w:sz w:val="18"/>
                <w:szCs w:val="18"/>
              </w:rPr>
            </w:pPr>
            <w:r w:rsidRPr="001D41EA">
              <w:rPr>
                <w:rFonts w:cs="Arial"/>
                <w:sz w:val="18"/>
                <w:szCs w:val="18"/>
              </w:rPr>
              <w:t>15,265,830</w:t>
            </w:r>
          </w:p>
        </w:tc>
      </w:tr>
      <w:tr w:rsidR="00D84931" w:rsidRPr="001D41EA" w14:paraId="4EE45B3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26E4C26" w14:textId="77777777" w:rsidR="00D84931" w:rsidRPr="001D41EA" w:rsidRDefault="00D84931" w:rsidP="00D84931">
            <w:pPr>
              <w:spacing w:before="40" w:after="40"/>
              <w:rPr>
                <w:rFonts w:cs="Arial"/>
                <w:sz w:val="18"/>
                <w:szCs w:val="18"/>
              </w:rPr>
            </w:pPr>
            <w:r w:rsidRPr="001D41EA">
              <w:rPr>
                <w:rFonts w:cs="Arial"/>
                <w:sz w:val="18"/>
                <w:szCs w:val="18"/>
              </w:rPr>
              <w:t>Ballarat C</w:t>
            </w:r>
          </w:p>
        </w:tc>
        <w:tc>
          <w:tcPr>
            <w:tcW w:w="1701" w:type="dxa"/>
            <w:tcBorders>
              <w:top w:val="nil"/>
              <w:left w:val="single" w:sz="18" w:space="0" w:color="5F497A" w:themeColor="accent4" w:themeShade="BF"/>
              <w:bottom w:val="nil"/>
              <w:right w:val="nil"/>
            </w:tcBorders>
            <w:shd w:val="clear" w:color="auto" w:fill="auto"/>
            <w:noWrap/>
            <w:vAlign w:val="bottom"/>
          </w:tcPr>
          <w:p w14:paraId="2C6C0C99" w14:textId="749CFA58" w:rsidR="00D84931" w:rsidRPr="001D41EA" w:rsidRDefault="00D84931" w:rsidP="00D84931">
            <w:pPr>
              <w:spacing w:before="40" w:after="40"/>
              <w:jc w:val="right"/>
              <w:rPr>
                <w:rFonts w:cs="Arial"/>
                <w:sz w:val="18"/>
                <w:szCs w:val="18"/>
              </w:rPr>
            </w:pPr>
            <w:r w:rsidRPr="001D41EA">
              <w:rPr>
                <w:rFonts w:cs="Arial"/>
                <w:sz w:val="18"/>
                <w:szCs w:val="18"/>
              </w:rPr>
              <w:t>71,988,753</w:t>
            </w:r>
          </w:p>
        </w:tc>
        <w:tc>
          <w:tcPr>
            <w:tcW w:w="1701" w:type="dxa"/>
            <w:tcBorders>
              <w:top w:val="nil"/>
              <w:left w:val="nil"/>
              <w:bottom w:val="nil"/>
              <w:right w:val="nil"/>
            </w:tcBorders>
            <w:vAlign w:val="bottom"/>
          </w:tcPr>
          <w:p w14:paraId="482C054D" w14:textId="453D059E" w:rsidR="00D84931" w:rsidRPr="001D41EA" w:rsidRDefault="00D84931" w:rsidP="00D84931">
            <w:pPr>
              <w:spacing w:before="40" w:after="40"/>
              <w:jc w:val="right"/>
              <w:rPr>
                <w:rFonts w:cs="Arial"/>
                <w:sz w:val="18"/>
                <w:szCs w:val="18"/>
              </w:rPr>
            </w:pPr>
            <w:r w:rsidRPr="001D41EA">
              <w:rPr>
                <w:rFonts w:cs="Arial"/>
                <w:sz w:val="18"/>
                <w:szCs w:val="18"/>
              </w:rPr>
              <w:t>26,395,458</w:t>
            </w:r>
          </w:p>
        </w:tc>
        <w:tc>
          <w:tcPr>
            <w:tcW w:w="1701" w:type="dxa"/>
            <w:tcBorders>
              <w:top w:val="nil"/>
              <w:left w:val="nil"/>
              <w:bottom w:val="nil"/>
              <w:right w:val="nil"/>
            </w:tcBorders>
            <w:shd w:val="clear" w:color="auto" w:fill="auto"/>
            <w:noWrap/>
            <w:vAlign w:val="bottom"/>
          </w:tcPr>
          <w:p w14:paraId="5BD42BE5" w14:textId="510D5DC8" w:rsidR="00D84931" w:rsidRPr="001D41EA" w:rsidRDefault="00D84931" w:rsidP="00D84931">
            <w:pPr>
              <w:spacing w:before="40" w:after="40"/>
              <w:jc w:val="right"/>
              <w:rPr>
                <w:rFonts w:cs="Arial"/>
                <w:sz w:val="18"/>
                <w:szCs w:val="18"/>
              </w:rPr>
            </w:pPr>
            <w:r w:rsidRPr="001D41EA">
              <w:rPr>
                <w:rFonts w:cs="Arial"/>
                <w:sz w:val="18"/>
                <w:szCs w:val="18"/>
              </w:rPr>
              <w:t>2,915,955</w:t>
            </w:r>
          </w:p>
        </w:tc>
        <w:tc>
          <w:tcPr>
            <w:tcW w:w="1701" w:type="dxa"/>
            <w:tcBorders>
              <w:top w:val="nil"/>
              <w:left w:val="nil"/>
              <w:bottom w:val="nil"/>
              <w:right w:val="nil"/>
            </w:tcBorders>
            <w:vAlign w:val="bottom"/>
          </w:tcPr>
          <w:p w14:paraId="75A4D09F" w14:textId="08D3A444" w:rsidR="00D84931" w:rsidRPr="001D41EA" w:rsidRDefault="00D84931" w:rsidP="00D84931">
            <w:pPr>
              <w:spacing w:before="40" w:after="40"/>
              <w:jc w:val="right"/>
              <w:rPr>
                <w:rFonts w:cs="Arial"/>
                <w:sz w:val="18"/>
                <w:szCs w:val="18"/>
              </w:rPr>
            </w:pPr>
            <w:r w:rsidRPr="001D41EA">
              <w:rPr>
                <w:rFonts w:cs="Arial"/>
                <w:sz w:val="18"/>
                <w:szCs w:val="18"/>
              </w:rPr>
              <w:t>101,300,165</w:t>
            </w:r>
          </w:p>
        </w:tc>
      </w:tr>
      <w:tr w:rsidR="00D84931" w:rsidRPr="001D41EA" w14:paraId="04FD2F1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98B7BAF" w14:textId="77777777" w:rsidR="00D84931" w:rsidRPr="001D41EA" w:rsidRDefault="00D84931" w:rsidP="00D84931">
            <w:pPr>
              <w:spacing w:before="40" w:after="40"/>
              <w:rPr>
                <w:rFonts w:cs="Arial"/>
                <w:sz w:val="18"/>
                <w:szCs w:val="18"/>
              </w:rPr>
            </w:pPr>
            <w:r w:rsidRPr="001D41EA">
              <w:rPr>
                <w:rFonts w:cs="Arial"/>
                <w:sz w:val="18"/>
                <w:szCs w:val="18"/>
              </w:rPr>
              <w:t>Banyule C</w:t>
            </w:r>
          </w:p>
        </w:tc>
        <w:tc>
          <w:tcPr>
            <w:tcW w:w="1701" w:type="dxa"/>
            <w:tcBorders>
              <w:top w:val="nil"/>
              <w:left w:val="single" w:sz="18" w:space="0" w:color="5F497A" w:themeColor="accent4" w:themeShade="BF"/>
              <w:bottom w:val="nil"/>
              <w:right w:val="nil"/>
            </w:tcBorders>
            <w:shd w:val="clear" w:color="auto" w:fill="auto"/>
            <w:noWrap/>
            <w:vAlign w:val="bottom"/>
          </w:tcPr>
          <w:p w14:paraId="6714BF57" w14:textId="3A5179AE" w:rsidR="00D84931" w:rsidRPr="001D41EA" w:rsidRDefault="00D84931" w:rsidP="00D84931">
            <w:pPr>
              <w:spacing w:before="40" w:after="40"/>
              <w:jc w:val="right"/>
              <w:rPr>
                <w:rFonts w:cs="Arial"/>
                <w:sz w:val="18"/>
                <w:szCs w:val="18"/>
              </w:rPr>
            </w:pPr>
            <w:r w:rsidRPr="001D41EA">
              <w:rPr>
                <w:rFonts w:cs="Arial"/>
                <w:sz w:val="18"/>
                <w:szCs w:val="18"/>
              </w:rPr>
              <w:t>84,469,520</w:t>
            </w:r>
          </w:p>
        </w:tc>
        <w:tc>
          <w:tcPr>
            <w:tcW w:w="1701" w:type="dxa"/>
            <w:tcBorders>
              <w:top w:val="nil"/>
              <w:left w:val="nil"/>
              <w:bottom w:val="nil"/>
              <w:right w:val="nil"/>
            </w:tcBorders>
            <w:vAlign w:val="bottom"/>
          </w:tcPr>
          <w:p w14:paraId="21FD537C" w14:textId="62B5CBCB" w:rsidR="00D84931" w:rsidRPr="001D41EA" w:rsidRDefault="00D84931" w:rsidP="00D84931">
            <w:pPr>
              <w:spacing w:before="40" w:after="40"/>
              <w:jc w:val="right"/>
              <w:rPr>
                <w:rFonts w:cs="Arial"/>
                <w:sz w:val="18"/>
                <w:szCs w:val="18"/>
              </w:rPr>
            </w:pPr>
            <w:r w:rsidRPr="001D41EA">
              <w:rPr>
                <w:rFonts w:cs="Arial"/>
                <w:sz w:val="18"/>
                <w:szCs w:val="18"/>
              </w:rPr>
              <w:t>8,743,214</w:t>
            </w:r>
          </w:p>
        </w:tc>
        <w:tc>
          <w:tcPr>
            <w:tcW w:w="1701" w:type="dxa"/>
            <w:tcBorders>
              <w:top w:val="nil"/>
              <w:left w:val="nil"/>
              <w:bottom w:val="nil"/>
              <w:right w:val="nil"/>
            </w:tcBorders>
            <w:shd w:val="clear" w:color="auto" w:fill="auto"/>
            <w:noWrap/>
            <w:vAlign w:val="bottom"/>
          </w:tcPr>
          <w:p w14:paraId="0E787E96" w14:textId="735824CD"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3F9CFF5B" w14:textId="1788C88F" w:rsidR="00D84931" w:rsidRPr="001D41EA" w:rsidRDefault="00D84931" w:rsidP="00D84931">
            <w:pPr>
              <w:spacing w:before="40" w:after="40"/>
              <w:jc w:val="right"/>
              <w:rPr>
                <w:rFonts w:cs="Arial"/>
                <w:sz w:val="18"/>
                <w:szCs w:val="18"/>
              </w:rPr>
            </w:pPr>
            <w:r w:rsidRPr="001D41EA">
              <w:rPr>
                <w:rFonts w:cs="Arial"/>
                <w:sz w:val="18"/>
                <w:szCs w:val="18"/>
              </w:rPr>
              <w:t>93,212,734</w:t>
            </w:r>
          </w:p>
        </w:tc>
      </w:tr>
      <w:tr w:rsidR="00D84931" w:rsidRPr="001D41EA" w14:paraId="774AEAD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00511FA" w14:textId="77777777" w:rsidR="00D84931" w:rsidRPr="001D41EA" w:rsidRDefault="00D84931" w:rsidP="00D84931">
            <w:pPr>
              <w:spacing w:before="40" w:after="40"/>
              <w:rPr>
                <w:rFonts w:cs="Arial"/>
                <w:sz w:val="18"/>
                <w:szCs w:val="18"/>
              </w:rPr>
            </w:pPr>
            <w:r w:rsidRPr="001D41EA">
              <w:rPr>
                <w:rFonts w:cs="Arial"/>
                <w:sz w:val="18"/>
                <w:szCs w:val="18"/>
              </w:rPr>
              <w:t>Bass Coast S</w:t>
            </w:r>
          </w:p>
        </w:tc>
        <w:tc>
          <w:tcPr>
            <w:tcW w:w="1701" w:type="dxa"/>
            <w:tcBorders>
              <w:top w:val="nil"/>
              <w:left w:val="single" w:sz="18" w:space="0" w:color="5F497A" w:themeColor="accent4" w:themeShade="BF"/>
              <w:bottom w:val="nil"/>
              <w:right w:val="nil"/>
            </w:tcBorders>
            <w:shd w:val="clear" w:color="auto" w:fill="auto"/>
            <w:noWrap/>
            <w:vAlign w:val="bottom"/>
          </w:tcPr>
          <w:p w14:paraId="5D8F5E43" w14:textId="7582C1A1" w:rsidR="00D84931" w:rsidRPr="001D41EA" w:rsidRDefault="00D84931" w:rsidP="00D84931">
            <w:pPr>
              <w:spacing w:before="40" w:after="40"/>
              <w:jc w:val="right"/>
              <w:rPr>
                <w:rFonts w:cs="Arial"/>
                <w:sz w:val="18"/>
                <w:szCs w:val="18"/>
              </w:rPr>
            </w:pPr>
            <w:r w:rsidRPr="001D41EA">
              <w:rPr>
                <w:rFonts w:cs="Arial"/>
                <w:sz w:val="18"/>
                <w:szCs w:val="18"/>
              </w:rPr>
              <w:t>44,085,972</w:t>
            </w:r>
          </w:p>
        </w:tc>
        <w:tc>
          <w:tcPr>
            <w:tcW w:w="1701" w:type="dxa"/>
            <w:tcBorders>
              <w:top w:val="nil"/>
              <w:left w:val="nil"/>
              <w:bottom w:val="nil"/>
              <w:right w:val="nil"/>
            </w:tcBorders>
            <w:vAlign w:val="bottom"/>
          </w:tcPr>
          <w:p w14:paraId="60202441" w14:textId="344B39B8" w:rsidR="00D84931" w:rsidRPr="001D41EA" w:rsidRDefault="00D84931" w:rsidP="00D84931">
            <w:pPr>
              <w:spacing w:before="40" w:after="40"/>
              <w:jc w:val="right"/>
              <w:rPr>
                <w:rFonts w:cs="Arial"/>
                <w:sz w:val="18"/>
                <w:szCs w:val="18"/>
              </w:rPr>
            </w:pPr>
            <w:r w:rsidRPr="001D41EA">
              <w:rPr>
                <w:rFonts w:cs="Arial"/>
                <w:sz w:val="18"/>
                <w:szCs w:val="18"/>
              </w:rPr>
              <w:t>2,612,865</w:t>
            </w:r>
          </w:p>
        </w:tc>
        <w:tc>
          <w:tcPr>
            <w:tcW w:w="1701" w:type="dxa"/>
            <w:tcBorders>
              <w:top w:val="nil"/>
              <w:left w:val="nil"/>
              <w:bottom w:val="nil"/>
              <w:right w:val="nil"/>
            </w:tcBorders>
            <w:shd w:val="clear" w:color="auto" w:fill="auto"/>
            <w:noWrap/>
            <w:vAlign w:val="bottom"/>
          </w:tcPr>
          <w:p w14:paraId="4C1BB93D" w14:textId="44F227FA" w:rsidR="00D84931" w:rsidRPr="001D41EA" w:rsidRDefault="00D84931" w:rsidP="00D84931">
            <w:pPr>
              <w:spacing w:before="40" w:after="40"/>
              <w:jc w:val="right"/>
              <w:rPr>
                <w:rFonts w:cs="Arial"/>
                <w:sz w:val="18"/>
                <w:szCs w:val="18"/>
              </w:rPr>
            </w:pPr>
            <w:r w:rsidRPr="001D41EA">
              <w:rPr>
                <w:rFonts w:cs="Arial"/>
                <w:sz w:val="18"/>
                <w:szCs w:val="18"/>
              </w:rPr>
              <w:t>4,145,639</w:t>
            </w:r>
          </w:p>
        </w:tc>
        <w:tc>
          <w:tcPr>
            <w:tcW w:w="1701" w:type="dxa"/>
            <w:tcBorders>
              <w:top w:val="nil"/>
              <w:left w:val="nil"/>
              <w:bottom w:val="nil"/>
              <w:right w:val="nil"/>
            </w:tcBorders>
            <w:vAlign w:val="bottom"/>
          </w:tcPr>
          <w:p w14:paraId="5E9E3B04" w14:textId="18F47D63" w:rsidR="00D84931" w:rsidRPr="001D41EA" w:rsidRDefault="00D84931" w:rsidP="00D84931">
            <w:pPr>
              <w:spacing w:before="40" w:after="40"/>
              <w:jc w:val="right"/>
              <w:rPr>
                <w:rFonts w:cs="Arial"/>
                <w:sz w:val="18"/>
                <w:szCs w:val="18"/>
              </w:rPr>
            </w:pPr>
            <w:r w:rsidRPr="001D41EA">
              <w:rPr>
                <w:rFonts w:cs="Arial"/>
                <w:sz w:val="18"/>
                <w:szCs w:val="18"/>
              </w:rPr>
              <w:t>50,844,475</w:t>
            </w:r>
          </w:p>
        </w:tc>
      </w:tr>
      <w:tr w:rsidR="00D84931" w:rsidRPr="001D41EA" w14:paraId="4E34A32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01FDA2E" w14:textId="77777777" w:rsidR="00D84931" w:rsidRPr="001D41EA" w:rsidRDefault="00D84931" w:rsidP="00D84931">
            <w:pPr>
              <w:spacing w:before="40" w:after="40"/>
              <w:rPr>
                <w:rFonts w:cs="Arial"/>
                <w:sz w:val="18"/>
                <w:szCs w:val="18"/>
              </w:rPr>
            </w:pPr>
            <w:r w:rsidRPr="001D41EA">
              <w:rPr>
                <w:rFonts w:cs="Arial"/>
                <w:sz w:val="18"/>
                <w:szCs w:val="18"/>
              </w:rPr>
              <w:t>Baw Baw S</w:t>
            </w:r>
          </w:p>
        </w:tc>
        <w:tc>
          <w:tcPr>
            <w:tcW w:w="1701" w:type="dxa"/>
            <w:tcBorders>
              <w:top w:val="nil"/>
              <w:left w:val="single" w:sz="18" w:space="0" w:color="5F497A" w:themeColor="accent4" w:themeShade="BF"/>
              <w:bottom w:val="nil"/>
              <w:right w:val="nil"/>
            </w:tcBorders>
            <w:shd w:val="clear" w:color="auto" w:fill="auto"/>
            <w:noWrap/>
            <w:vAlign w:val="bottom"/>
          </w:tcPr>
          <w:p w14:paraId="3101C04C" w14:textId="767AF117" w:rsidR="00D84931" w:rsidRPr="001D41EA" w:rsidRDefault="00D84931" w:rsidP="00D84931">
            <w:pPr>
              <w:spacing w:before="40" w:after="40"/>
              <w:jc w:val="right"/>
              <w:rPr>
                <w:rFonts w:cs="Arial"/>
                <w:sz w:val="18"/>
                <w:szCs w:val="18"/>
              </w:rPr>
            </w:pPr>
            <w:r w:rsidRPr="001D41EA">
              <w:rPr>
                <w:rFonts w:cs="Arial"/>
                <w:sz w:val="18"/>
                <w:szCs w:val="18"/>
              </w:rPr>
              <w:t>36,636,814</w:t>
            </w:r>
          </w:p>
        </w:tc>
        <w:tc>
          <w:tcPr>
            <w:tcW w:w="1701" w:type="dxa"/>
            <w:tcBorders>
              <w:top w:val="nil"/>
              <w:left w:val="nil"/>
              <w:bottom w:val="nil"/>
              <w:right w:val="nil"/>
            </w:tcBorders>
            <w:vAlign w:val="bottom"/>
          </w:tcPr>
          <w:p w14:paraId="2B3AF62F" w14:textId="657FED0C" w:rsidR="00D84931" w:rsidRPr="001D41EA" w:rsidRDefault="00D84931" w:rsidP="00D84931">
            <w:pPr>
              <w:spacing w:before="40" w:after="40"/>
              <w:jc w:val="right"/>
              <w:rPr>
                <w:rFonts w:cs="Arial"/>
                <w:sz w:val="18"/>
                <w:szCs w:val="18"/>
              </w:rPr>
            </w:pPr>
            <w:r w:rsidRPr="001D41EA">
              <w:rPr>
                <w:rFonts w:cs="Arial"/>
                <w:sz w:val="18"/>
                <w:szCs w:val="18"/>
              </w:rPr>
              <w:t>4,367,248</w:t>
            </w:r>
          </w:p>
        </w:tc>
        <w:tc>
          <w:tcPr>
            <w:tcW w:w="1701" w:type="dxa"/>
            <w:tcBorders>
              <w:top w:val="nil"/>
              <w:left w:val="nil"/>
              <w:bottom w:val="nil"/>
              <w:right w:val="nil"/>
            </w:tcBorders>
            <w:shd w:val="clear" w:color="auto" w:fill="auto"/>
            <w:noWrap/>
            <w:vAlign w:val="bottom"/>
          </w:tcPr>
          <w:p w14:paraId="100322FF" w14:textId="77B5E290" w:rsidR="00D84931" w:rsidRPr="001D41EA" w:rsidRDefault="00D84931" w:rsidP="00D84931">
            <w:pPr>
              <w:spacing w:before="40" w:after="40"/>
              <w:jc w:val="right"/>
              <w:rPr>
                <w:rFonts w:cs="Arial"/>
                <w:sz w:val="18"/>
                <w:szCs w:val="18"/>
              </w:rPr>
            </w:pPr>
            <w:r w:rsidRPr="001D41EA">
              <w:rPr>
                <w:rFonts w:cs="Arial"/>
                <w:sz w:val="18"/>
                <w:szCs w:val="18"/>
              </w:rPr>
              <w:t>9,490,174</w:t>
            </w:r>
          </w:p>
        </w:tc>
        <w:tc>
          <w:tcPr>
            <w:tcW w:w="1701" w:type="dxa"/>
            <w:tcBorders>
              <w:top w:val="nil"/>
              <w:left w:val="nil"/>
              <w:bottom w:val="nil"/>
              <w:right w:val="nil"/>
            </w:tcBorders>
            <w:vAlign w:val="bottom"/>
          </w:tcPr>
          <w:p w14:paraId="636253C5" w14:textId="17C19C29" w:rsidR="00D84931" w:rsidRPr="001D41EA" w:rsidRDefault="00D84931" w:rsidP="00D84931">
            <w:pPr>
              <w:spacing w:before="40" w:after="40"/>
              <w:jc w:val="right"/>
              <w:rPr>
                <w:rFonts w:cs="Arial"/>
                <w:sz w:val="18"/>
                <w:szCs w:val="18"/>
              </w:rPr>
            </w:pPr>
            <w:r w:rsidRPr="001D41EA">
              <w:rPr>
                <w:rFonts w:cs="Arial"/>
                <w:sz w:val="18"/>
                <w:szCs w:val="18"/>
              </w:rPr>
              <w:t>50,494,236</w:t>
            </w:r>
          </w:p>
        </w:tc>
      </w:tr>
      <w:tr w:rsidR="00D84931" w:rsidRPr="001D41EA" w14:paraId="4F50F21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464E3CB" w14:textId="77777777" w:rsidR="00D84931" w:rsidRPr="001D41EA" w:rsidRDefault="00D84931" w:rsidP="00D84931">
            <w:pPr>
              <w:spacing w:before="40" w:after="40"/>
              <w:rPr>
                <w:rFonts w:cs="Arial"/>
                <w:sz w:val="18"/>
                <w:szCs w:val="18"/>
              </w:rPr>
            </w:pPr>
            <w:r w:rsidRPr="001D41EA">
              <w:rPr>
                <w:rFonts w:cs="Arial"/>
                <w:sz w:val="18"/>
                <w:szCs w:val="18"/>
              </w:rPr>
              <w:t>Bayside C</w:t>
            </w:r>
          </w:p>
        </w:tc>
        <w:tc>
          <w:tcPr>
            <w:tcW w:w="1701" w:type="dxa"/>
            <w:tcBorders>
              <w:top w:val="nil"/>
              <w:left w:val="single" w:sz="18" w:space="0" w:color="5F497A" w:themeColor="accent4" w:themeShade="BF"/>
              <w:bottom w:val="nil"/>
              <w:right w:val="nil"/>
            </w:tcBorders>
            <w:shd w:val="clear" w:color="auto" w:fill="auto"/>
            <w:noWrap/>
            <w:vAlign w:val="bottom"/>
          </w:tcPr>
          <w:p w14:paraId="3D83B28C" w14:textId="79908F75" w:rsidR="00D84931" w:rsidRPr="001D41EA" w:rsidRDefault="00D84931" w:rsidP="00D84931">
            <w:pPr>
              <w:spacing w:before="40" w:after="40"/>
              <w:jc w:val="right"/>
              <w:rPr>
                <w:rFonts w:cs="Arial"/>
                <w:sz w:val="18"/>
                <w:szCs w:val="18"/>
              </w:rPr>
            </w:pPr>
            <w:r w:rsidRPr="001D41EA">
              <w:rPr>
                <w:rFonts w:cs="Arial"/>
                <w:sz w:val="18"/>
                <w:szCs w:val="18"/>
              </w:rPr>
              <w:t>78,498,064</w:t>
            </w:r>
          </w:p>
        </w:tc>
        <w:tc>
          <w:tcPr>
            <w:tcW w:w="1701" w:type="dxa"/>
            <w:tcBorders>
              <w:top w:val="nil"/>
              <w:left w:val="nil"/>
              <w:bottom w:val="nil"/>
              <w:right w:val="nil"/>
            </w:tcBorders>
            <w:vAlign w:val="bottom"/>
          </w:tcPr>
          <w:p w14:paraId="0065697F" w14:textId="39DC6F0B" w:rsidR="00D84931" w:rsidRPr="001D41EA" w:rsidRDefault="00D84931" w:rsidP="00D84931">
            <w:pPr>
              <w:spacing w:before="40" w:after="40"/>
              <w:jc w:val="right"/>
              <w:rPr>
                <w:rFonts w:cs="Arial"/>
                <w:sz w:val="18"/>
                <w:szCs w:val="18"/>
              </w:rPr>
            </w:pPr>
            <w:r w:rsidRPr="001D41EA">
              <w:rPr>
                <w:rFonts w:cs="Arial"/>
                <w:sz w:val="18"/>
                <w:szCs w:val="18"/>
              </w:rPr>
              <w:t>5,565,513</w:t>
            </w:r>
          </w:p>
        </w:tc>
        <w:tc>
          <w:tcPr>
            <w:tcW w:w="1701" w:type="dxa"/>
            <w:tcBorders>
              <w:top w:val="nil"/>
              <w:left w:val="nil"/>
              <w:bottom w:val="nil"/>
              <w:right w:val="nil"/>
            </w:tcBorders>
            <w:shd w:val="clear" w:color="auto" w:fill="auto"/>
            <w:noWrap/>
            <w:vAlign w:val="bottom"/>
          </w:tcPr>
          <w:p w14:paraId="4D8CEF4C" w14:textId="589CD66E"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32C51F5D" w14:textId="13DB2736" w:rsidR="00D84931" w:rsidRPr="001D41EA" w:rsidRDefault="00D84931" w:rsidP="00D84931">
            <w:pPr>
              <w:spacing w:before="40" w:after="40"/>
              <w:jc w:val="right"/>
              <w:rPr>
                <w:rFonts w:cs="Arial"/>
                <w:sz w:val="18"/>
                <w:szCs w:val="18"/>
              </w:rPr>
            </w:pPr>
            <w:r w:rsidRPr="001D41EA">
              <w:rPr>
                <w:rFonts w:cs="Arial"/>
                <w:sz w:val="18"/>
                <w:szCs w:val="18"/>
              </w:rPr>
              <w:t>84,063,577</w:t>
            </w:r>
          </w:p>
        </w:tc>
      </w:tr>
      <w:tr w:rsidR="00D84931" w:rsidRPr="001D41EA" w14:paraId="2673199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F649593" w14:textId="77777777" w:rsidR="00D84931" w:rsidRPr="001D41EA" w:rsidRDefault="00D84931" w:rsidP="00D84931">
            <w:pPr>
              <w:spacing w:before="40" w:after="40"/>
              <w:rPr>
                <w:rFonts w:cs="Arial"/>
                <w:sz w:val="18"/>
                <w:szCs w:val="18"/>
              </w:rPr>
            </w:pPr>
            <w:r w:rsidRPr="001D41EA">
              <w:rPr>
                <w:rFonts w:cs="Arial"/>
                <w:sz w:val="18"/>
                <w:szCs w:val="18"/>
              </w:rPr>
              <w:t>Benalla RC</w:t>
            </w:r>
          </w:p>
        </w:tc>
        <w:tc>
          <w:tcPr>
            <w:tcW w:w="1701" w:type="dxa"/>
            <w:tcBorders>
              <w:top w:val="nil"/>
              <w:left w:val="single" w:sz="18" w:space="0" w:color="5F497A" w:themeColor="accent4" w:themeShade="BF"/>
              <w:bottom w:val="nil"/>
              <w:right w:val="nil"/>
            </w:tcBorders>
            <w:shd w:val="clear" w:color="auto" w:fill="auto"/>
            <w:noWrap/>
            <w:vAlign w:val="bottom"/>
          </w:tcPr>
          <w:p w14:paraId="00CB2935" w14:textId="597BEFA6" w:rsidR="00D84931" w:rsidRPr="001D41EA" w:rsidRDefault="00D84931" w:rsidP="00D84931">
            <w:pPr>
              <w:spacing w:before="40" w:after="40"/>
              <w:jc w:val="right"/>
              <w:rPr>
                <w:rFonts w:cs="Arial"/>
                <w:sz w:val="18"/>
                <w:szCs w:val="18"/>
              </w:rPr>
            </w:pPr>
            <w:r w:rsidRPr="001D41EA">
              <w:rPr>
                <w:rFonts w:cs="Arial"/>
                <w:sz w:val="18"/>
                <w:szCs w:val="18"/>
              </w:rPr>
              <w:t>8,386,762</w:t>
            </w:r>
          </w:p>
        </w:tc>
        <w:tc>
          <w:tcPr>
            <w:tcW w:w="1701" w:type="dxa"/>
            <w:tcBorders>
              <w:top w:val="nil"/>
              <w:left w:val="nil"/>
              <w:bottom w:val="nil"/>
              <w:right w:val="nil"/>
            </w:tcBorders>
            <w:vAlign w:val="bottom"/>
          </w:tcPr>
          <w:p w14:paraId="0CF89306" w14:textId="02A59384" w:rsidR="00D84931" w:rsidRPr="001D41EA" w:rsidRDefault="00D84931" w:rsidP="00D84931">
            <w:pPr>
              <w:spacing w:before="40" w:after="40"/>
              <w:jc w:val="right"/>
              <w:rPr>
                <w:rFonts w:cs="Arial"/>
                <w:sz w:val="18"/>
                <w:szCs w:val="18"/>
              </w:rPr>
            </w:pPr>
            <w:r w:rsidRPr="001D41EA">
              <w:rPr>
                <w:rFonts w:cs="Arial"/>
                <w:sz w:val="18"/>
                <w:szCs w:val="18"/>
              </w:rPr>
              <w:t>1,900,116</w:t>
            </w:r>
          </w:p>
        </w:tc>
        <w:tc>
          <w:tcPr>
            <w:tcW w:w="1701" w:type="dxa"/>
            <w:tcBorders>
              <w:top w:val="nil"/>
              <w:left w:val="nil"/>
              <w:bottom w:val="nil"/>
              <w:right w:val="nil"/>
            </w:tcBorders>
            <w:shd w:val="clear" w:color="auto" w:fill="auto"/>
            <w:noWrap/>
            <w:vAlign w:val="bottom"/>
          </w:tcPr>
          <w:p w14:paraId="372D0C92" w14:textId="2518EB1F" w:rsidR="00D84931" w:rsidRPr="001D41EA" w:rsidRDefault="00D84931" w:rsidP="00D84931">
            <w:pPr>
              <w:spacing w:before="40" w:after="40"/>
              <w:jc w:val="right"/>
              <w:rPr>
                <w:rFonts w:cs="Arial"/>
                <w:sz w:val="18"/>
                <w:szCs w:val="18"/>
              </w:rPr>
            </w:pPr>
            <w:r w:rsidRPr="001D41EA">
              <w:rPr>
                <w:rFonts w:cs="Arial"/>
                <w:sz w:val="18"/>
                <w:szCs w:val="18"/>
              </w:rPr>
              <w:t>5,283,114</w:t>
            </w:r>
          </w:p>
        </w:tc>
        <w:tc>
          <w:tcPr>
            <w:tcW w:w="1701" w:type="dxa"/>
            <w:tcBorders>
              <w:top w:val="nil"/>
              <w:left w:val="nil"/>
              <w:bottom w:val="nil"/>
              <w:right w:val="nil"/>
            </w:tcBorders>
            <w:vAlign w:val="bottom"/>
          </w:tcPr>
          <w:p w14:paraId="564815A4" w14:textId="4800D8A2" w:rsidR="00D84931" w:rsidRPr="001D41EA" w:rsidRDefault="00D84931" w:rsidP="00D84931">
            <w:pPr>
              <w:spacing w:before="40" w:after="40"/>
              <w:jc w:val="right"/>
              <w:rPr>
                <w:rFonts w:cs="Arial"/>
                <w:sz w:val="18"/>
                <w:szCs w:val="18"/>
              </w:rPr>
            </w:pPr>
            <w:r w:rsidRPr="001D41EA">
              <w:rPr>
                <w:rFonts w:cs="Arial"/>
                <w:sz w:val="18"/>
                <w:szCs w:val="18"/>
              </w:rPr>
              <w:t>15,569,991</w:t>
            </w:r>
          </w:p>
        </w:tc>
      </w:tr>
      <w:tr w:rsidR="00D84931" w:rsidRPr="001D41EA" w14:paraId="3BB7A19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8A93D46" w14:textId="77777777" w:rsidR="00D84931" w:rsidRPr="001D41EA" w:rsidRDefault="00D84931" w:rsidP="00D84931">
            <w:pPr>
              <w:spacing w:before="40" w:after="40"/>
              <w:rPr>
                <w:rFonts w:cs="Arial"/>
                <w:sz w:val="18"/>
                <w:szCs w:val="18"/>
              </w:rPr>
            </w:pPr>
            <w:r w:rsidRPr="001D41EA">
              <w:rPr>
                <w:rFonts w:cs="Arial"/>
                <w:sz w:val="18"/>
                <w:szCs w:val="18"/>
              </w:rPr>
              <w:t>Boroondara C</w:t>
            </w:r>
          </w:p>
        </w:tc>
        <w:tc>
          <w:tcPr>
            <w:tcW w:w="1701" w:type="dxa"/>
            <w:tcBorders>
              <w:top w:val="nil"/>
              <w:left w:val="single" w:sz="18" w:space="0" w:color="5F497A" w:themeColor="accent4" w:themeShade="BF"/>
              <w:bottom w:val="nil"/>
              <w:right w:val="nil"/>
            </w:tcBorders>
            <w:shd w:val="clear" w:color="auto" w:fill="auto"/>
            <w:noWrap/>
            <w:vAlign w:val="bottom"/>
          </w:tcPr>
          <w:p w14:paraId="7FA07F97" w14:textId="63839D8F" w:rsidR="00D84931" w:rsidRPr="001D41EA" w:rsidRDefault="00D84931" w:rsidP="00D84931">
            <w:pPr>
              <w:spacing w:before="40" w:after="40"/>
              <w:jc w:val="right"/>
              <w:rPr>
                <w:rFonts w:cs="Arial"/>
                <w:sz w:val="18"/>
                <w:szCs w:val="18"/>
              </w:rPr>
            </w:pPr>
            <w:r w:rsidRPr="001D41EA">
              <w:rPr>
                <w:rFonts w:cs="Arial"/>
                <w:sz w:val="18"/>
                <w:szCs w:val="18"/>
              </w:rPr>
              <w:t>152,045,000</w:t>
            </w:r>
          </w:p>
        </w:tc>
        <w:tc>
          <w:tcPr>
            <w:tcW w:w="1701" w:type="dxa"/>
            <w:tcBorders>
              <w:top w:val="nil"/>
              <w:left w:val="nil"/>
              <w:bottom w:val="nil"/>
              <w:right w:val="nil"/>
            </w:tcBorders>
            <w:vAlign w:val="bottom"/>
          </w:tcPr>
          <w:p w14:paraId="4B4BC9E7" w14:textId="4B406791" w:rsidR="00D84931" w:rsidRPr="001D41EA" w:rsidRDefault="00D84931" w:rsidP="00D84931">
            <w:pPr>
              <w:spacing w:before="40" w:after="40"/>
              <w:jc w:val="right"/>
              <w:rPr>
                <w:rFonts w:cs="Arial"/>
                <w:sz w:val="18"/>
                <w:szCs w:val="18"/>
              </w:rPr>
            </w:pPr>
            <w:r w:rsidRPr="001D41EA">
              <w:rPr>
                <w:rFonts w:cs="Arial"/>
                <w:sz w:val="18"/>
                <w:szCs w:val="18"/>
              </w:rPr>
              <w:t>10,898,500</w:t>
            </w:r>
          </w:p>
        </w:tc>
        <w:tc>
          <w:tcPr>
            <w:tcW w:w="1701" w:type="dxa"/>
            <w:tcBorders>
              <w:top w:val="nil"/>
              <w:left w:val="nil"/>
              <w:bottom w:val="nil"/>
              <w:right w:val="nil"/>
            </w:tcBorders>
            <w:shd w:val="clear" w:color="auto" w:fill="auto"/>
            <w:noWrap/>
            <w:vAlign w:val="bottom"/>
          </w:tcPr>
          <w:p w14:paraId="358D7B1C" w14:textId="00D1FFBE"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0FB8B2FF" w14:textId="134CDC3D" w:rsidR="00D84931" w:rsidRPr="001D41EA" w:rsidRDefault="00D84931" w:rsidP="00D84931">
            <w:pPr>
              <w:spacing w:before="40" w:after="40"/>
              <w:jc w:val="right"/>
              <w:rPr>
                <w:rFonts w:cs="Arial"/>
                <w:sz w:val="18"/>
                <w:szCs w:val="18"/>
              </w:rPr>
            </w:pPr>
            <w:r w:rsidRPr="001D41EA">
              <w:rPr>
                <w:rFonts w:cs="Arial"/>
                <w:sz w:val="18"/>
                <w:szCs w:val="18"/>
              </w:rPr>
              <w:t>162,943,500</w:t>
            </w:r>
          </w:p>
        </w:tc>
      </w:tr>
      <w:tr w:rsidR="00D84931" w:rsidRPr="001D41EA" w14:paraId="42C02AE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EBF56EF" w14:textId="77777777" w:rsidR="00D84931" w:rsidRPr="001D41EA" w:rsidRDefault="00D84931" w:rsidP="00D84931">
            <w:pPr>
              <w:spacing w:before="40" w:after="40"/>
              <w:rPr>
                <w:rFonts w:cs="Arial"/>
                <w:sz w:val="18"/>
                <w:szCs w:val="18"/>
              </w:rPr>
            </w:pPr>
            <w:r w:rsidRPr="001D41EA">
              <w:rPr>
                <w:rFonts w:cs="Arial"/>
                <w:sz w:val="18"/>
                <w:szCs w:val="18"/>
              </w:rPr>
              <w:t>Brimbank C</w:t>
            </w:r>
          </w:p>
        </w:tc>
        <w:tc>
          <w:tcPr>
            <w:tcW w:w="1701" w:type="dxa"/>
            <w:tcBorders>
              <w:top w:val="nil"/>
              <w:left w:val="single" w:sz="18" w:space="0" w:color="5F497A" w:themeColor="accent4" w:themeShade="BF"/>
              <w:bottom w:val="nil"/>
              <w:right w:val="nil"/>
            </w:tcBorders>
            <w:shd w:val="clear" w:color="auto" w:fill="auto"/>
            <w:noWrap/>
            <w:vAlign w:val="bottom"/>
          </w:tcPr>
          <w:p w14:paraId="5D76B4F6" w14:textId="06A9DD31" w:rsidR="00D84931" w:rsidRPr="001D41EA" w:rsidRDefault="00D84931" w:rsidP="00D84931">
            <w:pPr>
              <w:spacing w:before="40" w:after="40"/>
              <w:jc w:val="right"/>
              <w:rPr>
                <w:rFonts w:cs="Arial"/>
                <w:sz w:val="18"/>
                <w:szCs w:val="18"/>
              </w:rPr>
            </w:pPr>
            <w:r w:rsidRPr="001D41EA">
              <w:rPr>
                <w:rFonts w:cs="Arial"/>
                <w:sz w:val="18"/>
                <w:szCs w:val="18"/>
              </w:rPr>
              <w:t>106,411,720</w:t>
            </w:r>
          </w:p>
        </w:tc>
        <w:tc>
          <w:tcPr>
            <w:tcW w:w="1701" w:type="dxa"/>
            <w:tcBorders>
              <w:top w:val="nil"/>
              <w:left w:val="nil"/>
              <w:bottom w:val="nil"/>
              <w:right w:val="nil"/>
            </w:tcBorders>
            <w:vAlign w:val="bottom"/>
          </w:tcPr>
          <w:p w14:paraId="2E092CAA" w14:textId="3D97554A" w:rsidR="00D84931" w:rsidRPr="001D41EA" w:rsidRDefault="00D84931" w:rsidP="00D84931">
            <w:pPr>
              <w:spacing w:before="40" w:after="40"/>
              <w:jc w:val="right"/>
              <w:rPr>
                <w:rFonts w:cs="Arial"/>
                <w:sz w:val="18"/>
                <w:szCs w:val="18"/>
              </w:rPr>
            </w:pPr>
            <w:r w:rsidRPr="001D41EA">
              <w:rPr>
                <w:rFonts w:cs="Arial"/>
                <w:sz w:val="18"/>
                <w:szCs w:val="18"/>
              </w:rPr>
              <w:t>35,417,572</w:t>
            </w:r>
          </w:p>
        </w:tc>
        <w:tc>
          <w:tcPr>
            <w:tcW w:w="1701" w:type="dxa"/>
            <w:tcBorders>
              <w:top w:val="nil"/>
              <w:left w:val="nil"/>
              <w:bottom w:val="nil"/>
              <w:right w:val="nil"/>
            </w:tcBorders>
            <w:shd w:val="clear" w:color="auto" w:fill="auto"/>
            <w:noWrap/>
            <w:vAlign w:val="bottom"/>
          </w:tcPr>
          <w:p w14:paraId="310353CB" w14:textId="71AFC7B7" w:rsidR="00D84931" w:rsidRPr="001D41EA" w:rsidRDefault="00D84931" w:rsidP="00D84931">
            <w:pPr>
              <w:spacing w:before="40" w:after="40"/>
              <w:jc w:val="right"/>
              <w:rPr>
                <w:rFonts w:cs="Arial"/>
                <w:sz w:val="18"/>
                <w:szCs w:val="18"/>
              </w:rPr>
            </w:pPr>
            <w:r w:rsidRPr="001D41EA">
              <w:rPr>
                <w:rFonts w:cs="Arial"/>
                <w:sz w:val="18"/>
                <w:szCs w:val="18"/>
              </w:rPr>
              <w:t>87,709</w:t>
            </w:r>
          </w:p>
        </w:tc>
        <w:tc>
          <w:tcPr>
            <w:tcW w:w="1701" w:type="dxa"/>
            <w:tcBorders>
              <w:top w:val="nil"/>
              <w:left w:val="nil"/>
              <w:bottom w:val="nil"/>
              <w:right w:val="nil"/>
            </w:tcBorders>
            <w:vAlign w:val="bottom"/>
          </w:tcPr>
          <w:p w14:paraId="67B26B02" w14:textId="7F8DB91A" w:rsidR="00D84931" w:rsidRPr="001D41EA" w:rsidRDefault="00D84931" w:rsidP="00D84931">
            <w:pPr>
              <w:spacing w:before="40" w:after="40"/>
              <w:jc w:val="right"/>
              <w:rPr>
                <w:rFonts w:cs="Arial"/>
                <w:sz w:val="18"/>
                <w:szCs w:val="18"/>
              </w:rPr>
            </w:pPr>
            <w:r w:rsidRPr="001D41EA">
              <w:rPr>
                <w:rFonts w:cs="Arial"/>
                <w:sz w:val="18"/>
                <w:szCs w:val="18"/>
              </w:rPr>
              <w:t>141,917,002</w:t>
            </w:r>
          </w:p>
        </w:tc>
      </w:tr>
      <w:tr w:rsidR="00D84931" w:rsidRPr="001D41EA" w14:paraId="13CF103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139DCF1" w14:textId="77777777" w:rsidR="00D84931" w:rsidRPr="001D41EA" w:rsidRDefault="00D84931" w:rsidP="00D84931">
            <w:pPr>
              <w:spacing w:before="40" w:after="40"/>
              <w:rPr>
                <w:rFonts w:cs="Arial"/>
                <w:sz w:val="18"/>
                <w:szCs w:val="18"/>
              </w:rPr>
            </w:pPr>
            <w:r w:rsidRPr="001D41EA">
              <w:rPr>
                <w:rFonts w:cs="Arial"/>
                <w:sz w:val="18"/>
                <w:szCs w:val="18"/>
              </w:rPr>
              <w:t>Buloke S</w:t>
            </w:r>
          </w:p>
        </w:tc>
        <w:tc>
          <w:tcPr>
            <w:tcW w:w="1701" w:type="dxa"/>
            <w:tcBorders>
              <w:top w:val="nil"/>
              <w:left w:val="single" w:sz="18" w:space="0" w:color="5F497A" w:themeColor="accent4" w:themeShade="BF"/>
              <w:bottom w:val="nil"/>
              <w:right w:val="nil"/>
            </w:tcBorders>
            <w:shd w:val="clear" w:color="auto" w:fill="auto"/>
            <w:noWrap/>
            <w:vAlign w:val="bottom"/>
          </w:tcPr>
          <w:p w14:paraId="03DDF647" w14:textId="7B0323EF" w:rsidR="00D84931" w:rsidRPr="001D41EA" w:rsidRDefault="00D84931" w:rsidP="00D84931">
            <w:pPr>
              <w:spacing w:before="40" w:after="40"/>
              <w:jc w:val="right"/>
              <w:rPr>
                <w:rFonts w:cs="Arial"/>
                <w:sz w:val="18"/>
                <w:szCs w:val="18"/>
              </w:rPr>
            </w:pPr>
            <w:r w:rsidRPr="001D41EA">
              <w:rPr>
                <w:rFonts w:cs="Arial"/>
                <w:sz w:val="18"/>
                <w:szCs w:val="18"/>
              </w:rPr>
              <w:t>3,840,442</w:t>
            </w:r>
          </w:p>
        </w:tc>
        <w:tc>
          <w:tcPr>
            <w:tcW w:w="1701" w:type="dxa"/>
            <w:tcBorders>
              <w:top w:val="nil"/>
              <w:left w:val="nil"/>
              <w:bottom w:val="nil"/>
              <w:right w:val="nil"/>
            </w:tcBorders>
            <w:vAlign w:val="bottom"/>
          </w:tcPr>
          <w:p w14:paraId="753DA468" w14:textId="42869404" w:rsidR="00D84931" w:rsidRPr="001D41EA" w:rsidRDefault="00D84931" w:rsidP="00D84931">
            <w:pPr>
              <w:spacing w:before="40" w:after="40"/>
              <w:jc w:val="right"/>
              <w:rPr>
                <w:rFonts w:cs="Arial"/>
                <w:sz w:val="18"/>
                <w:szCs w:val="18"/>
              </w:rPr>
            </w:pPr>
            <w:r w:rsidRPr="001D41EA">
              <w:rPr>
                <w:rFonts w:cs="Arial"/>
                <w:sz w:val="18"/>
                <w:szCs w:val="18"/>
              </w:rPr>
              <w:t>990,645</w:t>
            </w:r>
          </w:p>
        </w:tc>
        <w:tc>
          <w:tcPr>
            <w:tcW w:w="1701" w:type="dxa"/>
            <w:tcBorders>
              <w:top w:val="nil"/>
              <w:left w:val="nil"/>
              <w:bottom w:val="nil"/>
              <w:right w:val="nil"/>
            </w:tcBorders>
            <w:shd w:val="clear" w:color="auto" w:fill="auto"/>
            <w:noWrap/>
            <w:vAlign w:val="bottom"/>
          </w:tcPr>
          <w:p w14:paraId="58D926D6" w14:textId="3FE93199" w:rsidR="00D84931" w:rsidRPr="001D41EA" w:rsidRDefault="00D84931" w:rsidP="00D84931">
            <w:pPr>
              <w:spacing w:before="40" w:after="40"/>
              <w:jc w:val="right"/>
              <w:rPr>
                <w:rFonts w:cs="Arial"/>
                <w:sz w:val="18"/>
                <w:szCs w:val="18"/>
              </w:rPr>
            </w:pPr>
            <w:r w:rsidRPr="001D41EA">
              <w:rPr>
                <w:rFonts w:cs="Arial"/>
                <w:sz w:val="18"/>
                <w:szCs w:val="18"/>
              </w:rPr>
              <w:t>7,417,894</w:t>
            </w:r>
          </w:p>
        </w:tc>
        <w:tc>
          <w:tcPr>
            <w:tcW w:w="1701" w:type="dxa"/>
            <w:tcBorders>
              <w:top w:val="nil"/>
              <w:left w:val="nil"/>
              <w:bottom w:val="nil"/>
              <w:right w:val="nil"/>
            </w:tcBorders>
            <w:vAlign w:val="bottom"/>
          </w:tcPr>
          <w:p w14:paraId="1DB3BFBA" w14:textId="702093BE" w:rsidR="00D84931" w:rsidRPr="001D41EA" w:rsidRDefault="00D84931" w:rsidP="00D84931">
            <w:pPr>
              <w:spacing w:before="40" w:after="40"/>
              <w:jc w:val="right"/>
              <w:rPr>
                <w:rFonts w:cs="Arial"/>
                <w:sz w:val="18"/>
                <w:szCs w:val="18"/>
              </w:rPr>
            </w:pPr>
            <w:r w:rsidRPr="001D41EA">
              <w:rPr>
                <w:rFonts w:cs="Arial"/>
                <w:sz w:val="18"/>
                <w:szCs w:val="18"/>
              </w:rPr>
              <w:t>12,248,981</w:t>
            </w:r>
          </w:p>
        </w:tc>
      </w:tr>
      <w:tr w:rsidR="00D84931" w:rsidRPr="001D41EA" w14:paraId="7278C55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9AD2EE6" w14:textId="77777777" w:rsidR="00D84931" w:rsidRPr="001D41EA" w:rsidRDefault="00D84931" w:rsidP="00D84931">
            <w:pPr>
              <w:spacing w:before="40" w:after="40"/>
              <w:rPr>
                <w:rFonts w:cs="Arial"/>
                <w:sz w:val="18"/>
                <w:szCs w:val="18"/>
              </w:rPr>
            </w:pPr>
            <w:r w:rsidRPr="001D41EA">
              <w:rPr>
                <w:rFonts w:cs="Arial"/>
                <w:sz w:val="18"/>
                <w:szCs w:val="18"/>
              </w:rPr>
              <w:t>Campaspe S</w:t>
            </w:r>
          </w:p>
        </w:tc>
        <w:tc>
          <w:tcPr>
            <w:tcW w:w="1701" w:type="dxa"/>
            <w:tcBorders>
              <w:top w:val="nil"/>
              <w:left w:val="single" w:sz="18" w:space="0" w:color="5F497A" w:themeColor="accent4" w:themeShade="BF"/>
              <w:bottom w:val="nil"/>
              <w:right w:val="nil"/>
            </w:tcBorders>
            <w:shd w:val="clear" w:color="auto" w:fill="auto"/>
            <w:noWrap/>
            <w:vAlign w:val="bottom"/>
          </w:tcPr>
          <w:p w14:paraId="53ECF423" w14:textId="2CD0E612" w:rsidR="00D84931" w:rsidRPr="001D41EA" w:rsidRDefault="00D84931" w:rsidP="00D84931">
            <w:pPr>
              <w:spacing w:before="40" w:after="40"/>
              <w:jc w:val="right"/>
              <w:rPr>
                <w:rFonts w:cs="Arial"/>
                <w:sz w:val="18"/>
                <w:szCs w:val="18"/>
              </w:rPr>
            </w:pPr>
            <w:r w:rsidRPr="001D41EA">
              <w:rPr>
                <w:rFonts w:cs="Arial"/>
                <w:sz w:val="18"/>
                <w:szCs w:val="18"/>
              </w:rPr>
              <w:t>24,855,149</w:t>
            </w:r>
          </w:p>
        </w:tc>
        <w:tc>
          <w:tcPr>
            <w:tcW w:w="1701" w:type="dxa"/>
            <w:tcBorders>
              <w:top w:val="nil"/>
              <w:left w:val="nil"/>
              <w:bottom w:val="nil"/>
              <w:right w:val="nil"/>
            </w:tcBorders>
            <w:vAlign w:val="bottom"/>
          </w:tcPr>
          <w:p w14:paraId="445EC09A" w14:textId="651718BA" w:rsidR="00D84931" w:rsidRPr="001D41EA" w:rsidRDefault="00D84931" w:rsidP="00D84931">
            <w:pPr>
              <w:spacing w:before="40" w:after="40"/>
              <w:jc w:val="right"/>
              <w:rPr>
                <w:rFonts w:cs="Arial"/>
                <w:sz w:val="18"/>
                <w:szCs w:val="18"/>
              </w:rPr>
            </w:pPr>
            <w:r w:rsidRPr="001D41EA">
              <w:rPr>
                <w:rFonts w:cs="Arial"/>
                <w:sz w:val="18"/>
                <w:szCs w:val="18"/>
              </w:rPr>
              <w:t>5,763,268</w:t>
            </w:r>
          </w:p>
        </w:tc>
        <w:tc>
          <w:tcPr>
            <w:tcW w:w="1701" w:type="dxa"/>
            <w:tcBorders>
              <w:top w:val="nil"/>
              <w:left w:val="nil"/>
              <w:bottom w:val="nil"/>
              <w:right w:val="nil"/>
            </w:tcBorders>
            <w:shd w:val="clear" w:color="auto" w:fill="auto"/>
            <w:noWrap/>
            <w:vAlign w:val="bottom"/>
          </w:tcPr>
          <w:p w14:paraId="020F9E47" w14:textId="421C8FC1" w:rsidR="00D84931" w:rsidRPr="001D41EA" w:rsidRDefault="00D84931" w:rsidP="00D84931">
            <w:pPr>
              <w:spacing w:before="40" w:after="40"/>
              <w:jc w:val="right"/>
              <w:rPr>
                <w:rFonts w:cs="Arial"/>
                <w:sz w:val="18"/>
                <w:szCs w:val="18"/>
              </w:rPr>
            </w:pPr>
            <w:r w:rsidRPr="001D41EA">
              <w:rPr>
                <w:rFonts w:cs="Arial"/>
                <w:sz w:val="18"/>
                <w:szCs w:val="18"/>
              </w:rPr>
              <w:t>7,850,221</w:t>
            </w:r>
          </w:p>
        </w:tc>
        <w:tc>
          <w:tcPr>
            <w:tcW w:w="1701" w:type="dxa"/>
            <w:tcBorders>
              <w:top w:val="nil"/>
              <w:left w:val="nil"/>
              <w:bottom w:val="nil"/>
              <w:right w:val="nil"/>
            </w:tcBorders>
            <w:vAlign w:val="bottom"/>
          </w:tcPr>
          <w:p w14:paraId="2C37C477" w14:textId="5CC3C670" w:rsidR="00D84931" w:rsidRPr="001D41EA" w:rsidRDefault="00D84931" w:rsidP="00D84931">
            <w:pPr>
              <w:spacing w:before="40" w:after="40"/>
              <w:jc w:val="right"/>
              <w:rPr>
                <w:rFonts w:cs="Arial"/>
                <w:sz w:val="18"/>
                <w:szCs w:val="18"/>
              </w:rPr>
            </w:pPr>
            <w:r w:rsidRPr="001D41EA">
              <w:rPr>
                <w:rFonts w:cs="Arial"/>
                <w:sz w:val="18"/>
                <w:szCs w:val="18"/>
              </w:rPr>
              <w:t>38,468,639</w:t>
            </w:r>
          </w:p>
        </w:tc>
      </w:tr>
      <w:tr w:rsidR="00D84931" w:rsidRPr="001D41EA" w14:paraId="55EE13F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E36E58F" w14:textId="77777777" w:rsidR="00D84931" w:rsidRPr="001D41EA" w:rsidRDefault="00D84931" w:rsidP="00D84931">
            <w:pPr>
              <w:spacing w:before="40" w:after="40"/>
              <w:rPr>
                <w:rFonts w:cs="Arial"/>
                <w:sz w:val="18"/>
                <w:szCs w:val="18"/>
              </w:rPr>
            </w:pPr>
            <w:r w:rsidRPr="001D41EA">
              <w:rPr>
                <w:rFonts w:cs="Arial"/>
                <w:sz w:val="18"/>
                <w:szCs w:val="18"/>
              </w:rPr>
              <w:t>Cardinia S</w:t>
            </w:r>
          </w:p>
        </w:tc>
        <w:tc>
          <w:tcPr>
            <w:tcW w:w="1701" w:type="dxa"/>
            <w:tcBorders>
              <w:top w:val="nil"/>
              <w:left w:val="single" w:sz="18" w:space="0" w:color="5F497A" w:themeColor="accent4" w:themeShade="BF"/>
              <w:bottom w:val="nil"/>
              <w:right w:val="nil"/>
            </w:tcBorders>
            <w:shd w:val="clear" w:color="auto" w:fill="auto"/>
            <w:noWrap/>
            <w:vAlign w:val="bottom"/>
          </w:tcPr>
          <w:p w14:paraId="3B1161B6" w14:textId="5DA0A308" w:rsidR="00D84931" w:rsidRPr="001D41EA" w:rsidRDefault="00D84931" w:rsidP="00D84931">
            <w:pPr>
              <w:spacing w:before="40" w:after="40"/>
              <w:jc w:val="right"/>
              <w:rPr>
                <w:rFonts w:cs="Arial"/>
                <w:sz w:val="18"/>
                <w:szCs w:val="18"/>
              </w:rPr>
            </w:pPr>
            <w:r w:rsidRPr="001D41EA">
              <w:rPr>
                <w:rFonts w:cs="Arial"/>
                <w:sz w:val="18"/>
                <w:szCs w:val="18"/>
              </w:rPr>
              <w:t>64,251,055</w:t>
            </w:r>
          </w:p>
        </w:tc>
        <w:tc>
          <w:tcPr>
            <w:tcW w:w="1701" w:type="dxa"/>
            <w:tcBorders>
              <w:top w:val="nil"/>
              <w:left w:val="nil"/>
              <w:bottom w:val="nil"/>
              <w:right w:val="nil"/>
            </w:tcBorders>
            <w:vAlign w:val="bottom"/>
          </w:tcPr>
          <w:p w14:paraId="24DE56E4" w14:textId="769B5CC5" w:rsidR="00D84931" w:rsidRPr="001D41EA" w:rsidRDefault="00D84931" w:rsidP="00D84931">
            <w:pPr>
              <w:spacing w:before="40" w:after="40"/>
              <w:jc w:val="right"/>
              <w:rPr>
                <w:rFonts w:cs="Arial"/>
                <w:sz w:val="18"/>
                <w:szCs w:val="18"/>
              </w:rPr>
            </w:pPr>
            <w:r w:rsidRPr="001D41EA">
              <w:rPr>
                <w:rFonts w:cs="Arial"/>
                <w:sz w:val="18"/>
                <w:szCs w:val="18"/>
              </w:rPr>
              <w:t>7,981,136</w:t>
            </w:r>
          </w:p>
        </w:tc>
        <w:tc>
          <w:tcPr>
            <w:tcW w:w="1701" w:type="dxa"/>
            <w:tcBorders>
              <w:top w:val="nil"/>
              <w:left w:val="nil"/>
              <w:bottom w:val="nil"/>
              <w:right w:val="nil"/>
            </w:tcBorders>
            <w:shd w:val="clear" w:color="auto" w:fill="auto"/>
            <w:noWrap/>
            <w:vAlign w:val="bottom"/>
          </w:tcPr>
          <w:p w14:paraId="00B81F28" w14:textId="4142DCDD" w:rsidR="00D84931" w:rsidRPr="001D41EA" w:rsidRDefault="00D84931" w:rsidP="00D84931">
            <w:pPr>
              <w:spacing w:before="40" w:after="40"/>
              <w:jc w:val="right"/>
              <w:rPr>
                <w:rFonts w:cs="Arial"/>
                <w:sz w:val="18"/>
                <w:szCs w:val="18"/>
              </w:rPr>
            </w:pPr>
            <w:r w:rsidRPr="001D41EA">
              <w:rPr>
                <w:rFonts w:cs="Arial"/>
                <w:sz w:val="18"/>
                <w:szCs w:val="18"/>
              </w:rPr>
              <w:t>4,045,401</w:t>
            </w:r>
          </w:p>
        </w:tc>
        <w:tc>
          <w:tcPr>
            <w:tcW w:w="1701" w:type="dxa"/>
            <w:tcBorders>
              <w:top w:val="nil"/>
              <w:left w:val="nil"/>
              <w:bottom w:val="nil"/>
              <w:right w:val="nil"/>
            </w:tcBorders>
            <w:vAlign w:val="bottom"/>
          </w:tcPr>
          <w:p w14:paraId="328FE918" w14:textId="3D1FE852" w:rsidR="00D84931" w:rsidRPr="001D41EA" w:rsidRDefault="00D84931" w:rsidP="00D84931">
            <w:pPr>
              <w:spacing w:before="40" w:after="40"/>
              <w:jc w:val="right"/>
              <w:rPr>
                <w:rFonts w:cs="Arial"/>
                <w:sz w:val="18"/>
                <w:szCs w:val="18"/>
              </w:rPr>
            </w:pPr>
            <w:r w:rsidRPr="001D41EA">
              <w:rPr>
                <w:rFonts w:cs="Arial"/>
                <w:sz w:val="18"/>
                <w:szCs w:val="18"/>
              </w:rPr>
              <w:t>76,277,592</w:t>
            </w:r>
          </w:p>
        </w:tc>
      </w:tr>
      <w:tr w:rsidR="00D84931" w:rsidRPr="001D41EA" w14:paraId="069F305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980AC55" w14:textId="77777777" w:rsidR="00D84931" w:rsidRPr="001D41EA" w:rsidRDefault="00D84931" w:rsidP="00D84931">
            <w:pPr>
              <w:spacing w:before="40" w:after="40"/>
              <w:rPr>
                <w:rFonts w:cs="Arial"/>
                <w:sz w:val="18"/>
                <w:szCs w:val="18"/>
              </w:rPr>
            </w:pPr>
            <w:r w:rsidRPr="001D41EA">
              <w:rPr>
                <w:rFonts w:cs="Arial"/>
                <w:sz w:val="18"/>
                <w:szCs w:val="18"/>
              </w:rPr>
              <w:t>Casey C</w:t>
            </w:r>
          </w:p>
        </w:tc>
        <w:tc>
          <w:tcPr>
            <w:tcW w:w="1701" w:type="dxa"/>
            <w:tcBorders>
              <w:top w:val="nil"/>
              <w:left w:val="single" w:sz="18" w:space="0" w:color="5F497A" w:themeColor="accent4" w:themeShade="BF"/>
              <w:bottom w:val="nil"/>
              <w:right w:val="nil"/>
            </w:tcBorders>
            <w:shd w:val="clear" w:color="auto" w:fill="auto"/>
            <w:noWrap/>
            <w:vAlign w:val="bottom"/>
          </w:tcPr>
          <w:p w14:paraId="48600083" w14:textId="0C206A0F" w:rsidR="00D84931" w:rsidRPr="001D41EA" w:rsidRDefault="00D84931" w:rsidP="00D84931">
            <w:pPr>
              <w:spacing w:before="40" w:after="40"/>
              <w:jc w:val="right"/>
              <w:rPr>
                <w:rFonts w:cs="Arial"/>
                <w:sz w:val="18"/>
                <w:szCs w:val="18"/>
              </w:rPr>
            </w:pPr>
            <w:r w:rsidRPr="001D41EA">
              <w:rPr>
                <w:rFonts w:cs="Arial"/>
                <w:sz w:val="18"/>
                <w:szCs w:val="18"/>
              </w:rPr>
              <w:t>176,623,899</w:t>
            </w:r>
          </w:p>
        </w:tc>
        <w:tc>
          <w:tcPr>
            <w:tcW w:w="1701" w:type="dxa"/>
            <w:tcBorders>
              <w:top w:val="nil"/>
              <w:left w:val="nil"/>
              <w:bottom w:val="nil"/>
              <w:right w:val="nil"/>
            </w:tcBorders>
            <w:vAlign w:val="bottom"/>
          </w:tcPr>
          <w:p w14:paraId="26006DF2" w14:textId="529173E0" w:rsidR="00D84931" w:rsidRPr="001D41EA" w:rsidRDefault="00D84931" w:rsidP="00D84931">
            <w:pPr>
              <w:spacing w:before="40" w:after="40"/>
              <w:jc w:val="right"/>
              <w:rPr>
                <w:rFonts w:cs="Arial"/>
                <w:sz w:val="18"/>
                <w:szCs w:val="18"/>
              </w:rPr>
            </w:pPr>
            <w:r w:rsidRPr="001D41EA">
              <w:rPr>
                <w:rFonts w:cs="Arial"/>
                <w:sz w:val="18"/>
                <w:szCs w:val="18"/>
              </w:rPr>
              <w:t>17,743,889</w:t>
            </w:r>
          </w:p>
        </w:tc>
        <w:tc>
          <w:tcPr>
            <w:tcW w:w="1701" w:type="dxa"/>
            <w:tcBorders>
              <w:top w:val="nil"/>
              <w:left w:val="nil"/>
              <w:bottom w:val="nil"/>
              <w:right w:val="nil"/>
            </w:tcBorders>
            <w:shd w:val="clear" w:color="auto" w:fill="auto"/>
            <w:noWrap/>
            <w:vAlign w:val="bottom"/>
          </w:tcPr>
          <w:p w14:paraId="798693E9" w14:textId="31173B95" w:rsidR="00D84931" w:rsidRPr="001D41EA" w:rsidRDefault="00D84931" w:rsidP="00D84931">
            <w:pPr>
              <w:spacing w:before="40" w:after="40"/>
              <w:jc w:val="right"/>
              <w:rPr>
                <w:rFonts w:cs="Arial"/>
                <w:sz w:val="18"/>
                <w:szCs w:val="18"/>
              </w:rPr>
            </w:pPr>
            <w:r w:rsidRPr="001D41EA">
              <w:rPr>
                <w:rFonts w:cs="Arial"/>
                <w:sz w:val="18"/>
                <w:szCs w:val="18"/>
              </w:rPr>
              <w:t>1,490,316</w:t>
            </w:r>
          </w:p>
        </w:tc>
        <w:tc>
          <w:tcPr>
            <w:tcW w:w="1701" w:type="dxa"/>
            <w:tcBorders>
              <w:top w:val="nil"/>
              <w:left w:val="nil"/>
              <w:bottom w:val="nil"/>
              <w:right w:val="nil"/>
            </w:tcBorders>
            <w:vAlign w:val="bottom"/>
          </w:tcPr>
          <w:p w14:paraId="3AE537EC" w14:textId="6355897C" w:rsidR="00D84931" w:rsidRPr="001D41EA" w:rsidRDefault="00D84931" w:rsidP="00D84931">
            <w:pPr>
              <w:spacing w:before="40" w:after="40"/>
              <w:jc w:val="right"/>
              <w:rPr>
                <w:rFonts w:cs="Arial"/>
                <w:sz w:val="18"/>
                <w:szCs w:val="18"/>
              </w:rPr>
            </w:pPr>
            <w:r w:rsidRPr="001D41EA">
              <w:rPr>
                <w:rFonts w:cs="Arial"/>
                <w:sz w:val="18"/>
                <w:szCs w:val="18"/>
              </w:rPr>
              <w:t>195,858,104</w:t>
            </w:r>
          </w:p>
        </w:tc>
      </w:tr>
      <w:tr w:rsidR="00D84931" w:rsidRPr="001D41EA" w14:paraId="2866E3F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40DC6F5" w14:textId="77777777" w:rsidR="00D84931" w:rsidRPr="001D41EA" w:rsidRDefault="00D84931" w:rsidP="00D84931">
            <w:pPr>
              <w:spacing w:before="40" w:after="40"/>
              <w:rPr>
                <w:rFonts w:cs="Arial"/>
                <w:sz w:val="18"/>
                <w:szCs w:val="18"/>
              </w:rPr>
            </w:pPr>
            <w:r w:rsidRPr="001D41EA">
              <w:rPr>
                <w:rFonts w:cs="Arial"/>
                <w:sz w:val="18"/>
                <w:szCs w:val="18"/>
              </w:rPr>
              <w:t>Central Goldfields S</w:t>
            </w:r>
          </w:p>
        </w:tc>
        <w:tc>
          <w:tcPr>
            <w:tcW w:w="1701" w:type="dxa"/>
            <w:tcBorders>
              <w:top w:val="nil"/>
              <w:left w:val="single" w:sz="18" w:space="0" w:color="5F497A" w:themeColor="accent4" w:themeShade="BF"/>
              <w:bottom w:val="nil"/>
              <w:right w:val="nil"/>
            </w:tcBorders>
            <w:shd w:val="clear" w:color="auto" w:fill="auto"/>
            <w:noWrap/>
            <w:vAlign w:val="bottom"/>
          </w:tcPr>
          <w:p w14:paraId="3F966092" w14:textId="63884963" w:rsidR="00D84931" w:rsidRPr="001D41EA" w:rsidRDefault="00D84931" w:rsidP="00D84931">
            <w:pPr>
              <w:spacing w:before="40" w:after="40"/>
              <w:jc w:val="right"/>
              <w:rPr>
                <w:rFonts w:cs="Arial"/>
                <w:sz w:val="18"/>
                <w:szCs w:val="18"/>
              </w:rPr>
            </w:pPr>
            <w:r w:rsidRPr="001D41EA">
              <w:rPr>
                <w:rFonts w:cs="Arial"/>
                <w:sz w:val="18"/>
                <w:szCs w:val="18"/>
              </w:rPr>
              <w:t>10,014,377</w:t>
            </w:r>
          </w:p>
        </w:tc>
        <w:tc>
          <w:tcPr>
            <w:tcW w:w="1701" w:type="dxa"/>
            <w:tcBorders>
              <w:top w:val="nil"/>
              <w:left w:val="nil"/>
              <w:bottom w:val="nil"/>
              <w:right w:val="nil"/>
            </w:tcBorders>
            <w:vAlign w:val="bottom"/>
          </w:tcPr>
          <w:p w14:paraId="0703AA64" w14:textId="7E745804" w:rsidR="00D84931" w:rsidRPr="001D41EA" w:rsidRDefault="00D84931" w:rsidP="00D84931">
            <w:pPr>
              <w:spacing w:before="40" w:after="40"/>
              <w:jc w:val="right"/>
              <w:rPr>
                <w:rFonts w:cs="Arial"/>
                <w:sz w:val="18"/>
                <w:szCs w:val="18"/>
              </w:rPr>
            </w:pPr>
            <w:r w:rsidRPr="001D41EA">
              <w:rPr>
                <w:rFonts w:cs="Arial"/>
                <w:sz w:val="18"/>
                <w:szCs w:val="18"/>
              </w:rPr>
              <w:t>1,290,885</w:t>
            </w:r>
          </w:p>
        </w:tc>
        <w:tc>
          <w:tcPr>
            <w:tcW w:w="1701" w:type="dxa"/>
            <w:tcBorders>
              <w:top w:val="nil"/>
              <w:left w:val="nil"/>
              <w:bottom w:val="nil"/>
              <w:right w:val="nil"/>
            </w:tcBorders>
            <w:shd w:val="clear" w:color="auto" w:fill="auto"/>
            <w:noWrap/>
            <w:vAlign w:val="bottom"/>
          </w:tcPr>
          <w:p w14:paraId="32AC80A4" w14:textId="506197B9" w:rsidR="00D84931" w:rsidRPr="001D41EA" w:rsidRDefault="00D84931" w:rsidP="00D84931">
            <w:pPr>
              <w:spacing w:before="40" w:after="40"/>
              <w:jc w:val="right"/>
              <w:rPr>
                <w:rFonts w:cs="Arial"/>
                <w:sz w:val="18"/>
                <w:szCs w:val="18"/>
              </w:rPr>
            </w:pPr>
            <w:r w:rsidRPr="001D41EA">
              <w:rPr>
                <w:rFonts w:cs="Arial"/>
                <w:sz w:val="18"/>
                <w:szCs w:val="18"/>
              </w:rPr>
              <w:t>1,920,120</w:t>
            </w:r>
          </w:p>
        </w:tc>
        <w:tc>
          <w:tcPr>
            <w:tcW w:w="1701" w:type="dxa"/>
            <w:tcBorders>
              <w:top w:val="nil"/>
              <w:left w:val="nil"/>
              <w:bottom w:val="nil"/>
              <w:right w:val="nil"/>
            </w:tcBorders>
            <w:vAlign w:val="bottom"/>
          </w:tcPr>
          <w:p w14:paraId="1ECFE3E7" w14:textId="4B06813A" w:rsidR="00D84931" w:rsidRPr="001D41EA" w:rsidRDefault="00D84931" w:rsidP="00D84931">
            <w:pPr>
              <w:spacing w:before="40" w:after="40"/>
              <w:jc w:val="right"/>
              <w:rPr>
                <w:rFonts w:cs="Arial"/>
                <w:sz w:val="18"/>
                <w:szCs w:val="18"/>
              </w:rPr>
            </w:pPr>
            <w:r w:rsidRPr="001D41EA">
              <w:rPr>
                <w:rFonts w:cs="Arial"/>
                <w:sz w:val="18"/>
                <w:szCs w:val="18"/>
              </w:rPr>
              <w:t>13,225,382</w:t>
            </w:r>
          </w:p>
        </w:tc>
      </w:tr>
      <w:tr w:rsidR="00D84931" w:rsidRPr="001D41EA" w14:paraId="26FBE2F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E446CC6" w14:textId="77777777" w:rsidR="00D84931" w:rsidRPr="001D41EA" w:rsidRDefault="00D84931" w:rsidP="00D84931">
            <w:pPr>
              <w:spacing w:before="40" w:after="40"/>
              <w:rPr>
                <w:rFonts w:cs="Arial"/>
                <w:sz w:val="18"/>
                <w:szCs w:val="18"/>
              </w:rPr>
            </w:pPr>
            <w:r w:rsidRPr="001D41EA">
              <w:rPr>
                <w:rFonts w:cs="Arial"/>
                <w:sz w:val="18"/>
                <w:szCs w:val="18"/>
              </w:rPr>
              <w:t>Colac Otway S</w:t>
            </w:r>
          </w:p>
        </w:tc>
        <w:tc>
          <w:tcPr>
            <w:tcW w:w="1701" w:type="dxa"/>
            <w:tcBorders>
              <w:top w:val="nil"/>
              <w:left w:val="single" w:sz="18" w:space="0" w:color="5F497A" w:themeColor="accent4" w:themeShade="BF"/>
              <w:bottom w:val="nil"/>
              <w:right w:val="nil"/>
            </w:tcBorders>
            <w:shd w:val="clear" w:color="auto" w:fill="auto"/>
            <w:noWrap/>
            <w:vAlign w:val="bottom"/>
          </w:tcPr>
          <w:p w14:paraId="720DACF0" w14:textId="539872EC" w:rsidR="00D84931" w:rsidRPr="001D41EA" w:rsidRDefault="00D84931" w:rsidP="00D84931">
            <w:pPr>
              <w:spacing w:before="40" w:after="40"/>
              <w:jc w:val="right"/>
              <w:rPr>
                <w:rFonts w:cs="Arial"/>
                <w:sz w:val="18"/>
                <w:szCs w:val="18"/>
              </w:rPr>
            </w:pPr>
            <w:r w:rsidRPr="001D41EA">
              <w:rPr>
                <w:rFonts w:cs="Arial"/>
                <w:sz w:val="18"/>
                <w:szCs w:val="18"/>
              </w:rPr>
              <w:t>19,244,268</w:t>
            </w:r>
          </w:p>
        </w:tc>
        <w:tc>
          <w:tcPr>
            <w:tcW w:w="1701" w:type="dxa"/>
            <w:tcBorders>
              <w:top w:val="nil"/>
              <w:left w:val="nil"/>
              <w:bottom w:val="nil"/>
              <w:right w:val="nil"/>
            </w:tcBorders>
            <w:vAlign w:val="bottom"/>
          </w:tcPr>
          <w:p w14:paraId="11B05832" w14:textId="1A7DB44F" w:rsidR="00D84931" w:rsidRPr="001D41EA" w:rsidRDefault="00D84931" w:rsidP="00D84931">
            <w:pPr>
              <w:spacing w:before="40" w:after="40"/>
              <w:jc w:val="right"/>
              <w:rPr>
                <w:rFonts w:cs="Arial"/>
                <w:sz w:val="18"/>
                <w:szCs w:val="18"/>
              </w:rPr>
            </w:pPr>
            <w:r w:rsidRPr="001D41EA">
              <w:rPr>
                <w:rFonts w:cs="Arial"/>
                <w:sz w:val="18"/>
                <w:szCs w:val="18"/>
              </w:rPr>
              <w:t>3,333,953</w:t>
            </w:r>
          </w:p>
        </w:tc>
        <w:tc>
          <w:tcPr>
            <w:tcW w:w="1701" w:type="dxa"/>
            <w:tcBorders>
              <w:top w:val="nil"/>
              <w:left w:val="nil"/>
              <w:bottom w:val="nil"/>
              <w:right w:val="nil"/>
            </w:tcBorders>
            <w:shd w:val="clear" w:color="auto" w:fill="auto"/>
            <w:noWrap/>
            <w:vAlign w:val="bottom"/>
          </w:tcPr>
          <w:p w14:paraId="353423F2" w14:textId="637AF5BE" w:rsidR="00D84931" w:rsidRPr="001D41EA" w:rsidRDefault="00D84931" w:rsidP="00D84931">
            <w:pPr>
              <w:spacing w:before="40" w:after="40"/>
              <w:jc w:val="right"/>
              <w:rPr>
                <w:rFonts w:cs="Arial"/>
                <w:sz w:val="18"/>
                <w:szCs w:val="18"/>
              </w:rPr>
            </w:pPr>
            <w:r w:rsidRPr="001D41EA">
              <w:rPr>
                <w:rFonts w:cs="Arial"/>
                <w:sz w:val="18"/>
                <w:szCs w:val="18"/>
              </w:rPr>
              <w:t>5,618,125</w:t>
            </w:r>
          </w:p>
        </w:tc>
        <w:tc>
          <w:tcPr>
            <w:tcW w:w="1701" w:type="dxa"/>
            <w:tcBorders>
              <w:top w:val="nil"/>
              <w:left w:val="nil"/>
              <w:bottom w:val="nil"/>
              <w:right w:val="nil"/>
            </w:tcBorders>
            <w:vAlign w:val="bottom"/>
          </w:tcPr>
          <w:p w14:paraId="2C53D415" w14:textId="7F3258F4" w:rsidR="00D84931" w:rsidRPr="001D41EA" w:rsidRDefault="00D84931" w:rsidP="00D84931">
            <w:pPr>
              <w:spacing w:before="40" w:after="40"/>
              <w:jc w:val="right"/>
              <w:rPr>
                <w:rFonts w:cs="Arial"/>
                <w:sz w:val="18"/>
                <w:szCs w:val="18"/>
              </w:rPr>
            </w:pPr>
            <w:r w:rsidRPr="001D41EA">
              <w:rPr>
                <w:rFonts w:cs="Arial"/>
                <w:sz w:val="18"/>
                <w:szCs w:val="18"/>
              </w:rPr>
              <w:t>28,196,347</w:t>
            </w:r>
          </w:p>
        </w:tc>
      </w:tr>
      <w:tr w:rsidR="00D84931" w:rsidRPr="001D41EA" w14:paraId="5DF7EFB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83E5C65" w14:textId="77777777" w:rsidR="00D84931" w:rsidRPr="001D41EA" w:rsidRDefault="00D84931" w:rsidP="00D84931">
            <w:pPr>
              <w:spacing w:before="40" w:after="40"/>
              <w:rPr>
                <w:rFonts w:cs="Arial"/>
                <w:sz w:val="18"/>
                <w:szCs w:val="18"/>
              </w:rPr>
            </w:pPr>
            <w:r w:rsidRPr="001D41EA">
              <w:rPr>
                <w:rFonts w:cs="Arial"/>
                <w:sz w:val="18"/>
                <w:szCs w:val="18"/>
              </w:rPr>
              <w:t>Corangamite S</w:t>
            </w:r>
          </w:p>
        </w:tc>
        <w:tc>
          <w:tcPr>
            <w:tcW w:w="1701" w:type="dxa"/>
            <w:tcBorders>
              <w:top w:val="nil"/>
              <w:left w:val="single" w:sz="18" w:space="0" w:color="5F497A" w:themeColor="accent4" w:themeShade="BF"/>
              <w:bottom w:val="nil"/>
              <w:right w:val="nil"/>
            </w:tcBorders>
            <w:shd w:val="clear" w:color="auto" w:fill="auto"/>
            <w:noWrap/>
            <w:vAlign w:val="bottom"/>
          </w:tcPr>
          <w:p w14:paraId="7B6B598B" w14:textId="498B8E2A" w:rsidR="00D84931" w:rsidRPr="001D41EA" w:rsidRDefault="00D84931" w:rsidP="00D84931">
            <w:pPr>
              <w:spacing w:before="40" w:after="40"/>
              <w:jc w:val="right"/>
              <w:rPr>
                <w:rFonts w:cs="Arial"/>
                <w:sz w:val="18"/>
                <w:szCs w:val="18"/>
              </w:rPr>
            </w:pPr>
            <w:r w:rsidRPr="001D41EA">
              <w:rPr>
                <w:rFonts w:cs="Arial"/>
                <w:sz w:val="18"/>
                <w:szCs w:val="18"/>
              </w:rPr>
              <w:t>7,097,181</w:t>
            </w:r>
          </w:p>
        </w:tc>
        <w:tc>
          <w:tcPr>
            <w:tcW w:w="1701" w:type="dxa"/>
            <w:tcBorders>
              <w:top w:val="nil"/>
              <w:left w:val="nil"/>
              <w:bottom w:val="nil"/>
              <w:right w:val="nil"/>
            </w:tcBorders>
            <w:vAlign w:val="bottom"/>
          </w:tcPr>
          <w:p w14:paraId="605714F1" w14:textId="09D9AF1D" w:rsidR="00D84931" w:rsidRPr="001D41EA" w:rsidRDefault="00D84931" w:rsidP="00D84931">
            <w:pPr>
              <w:spacing w:before="40" w:after="40"/>
              <w:jc w:val="right"/>
              <w:rPr>
                <w:rFonts w:cs="Arial"/>
                <w:sz w:val="18"/>
                <w:szCs w:val="18"/>
              </w:rPr>
            </w:pPr>
            <w:r w:rsidRPr="001D41EA">
              <w:rPr>
                <w:rFonts w:cs="Arial"/>
                <w:sz w:val="18"/>
                <w:szCs w:val="18"/>
              </w:rPr>
              <w:t>3,016,082</w:t>
            </w:r>
          </w:p>
        </w:tc>
        <w:tc>
          <w:tcPr>
            <w:tcW w:w="1701" w:type="dxa"/>
            <w:tcBorders>
              <w:top w:val="nil"/>
              <w:left w:val="nil"/>
              <w:bottom w:val="nil"/>
              <w:right w:val="nil"/>
            </w:tcBorders>
            <w:shd w:val="clear" w:color="auto" w:fill="auto"/>
            <w:noWrap/>
            <w:vAlign w:val="bottom"/>
          </w:tcPr>
          <w:p w14:paraId="07CB4DAD" w14:textId="7F1F9471" w:rsidR="00D84931" w:rsidRPr="001D41EA" w:rsidRDefault="00D84931" w:rsidP="00D84931">
            <w:pPr>
              <w:spacing w:before="40" w:after="40"/>
              <w:jc w:val="right"/>
              <w:rPr>
                <w:rFonts w:cs="Arial"/>
                <w:sz w:val="18"/>
                <w:szCs w:val="18"/>
              </w:rPr>
            </w:pPr>
            <w:r w:rsidRPr="001D41EA">
              <w:rPr>
                <w:rFonts w:cs="Arial"/>
                <w:sz w:val="18"/>
                <w:szCs w:val="18"/>
              </w:rPr>
              <w:t>9,653,828</w:t>
            </w:r>
          </w:p>
        </w:tc>
        <w:tc>
          <w:tcPr>
            <w:tcW w:w="1701" w:type="dxa"/>
            <w:tcBorders>
              <w:top w:val="nil"/>
              <w:left w:val="nil"/>
              <w:bottom w:val="nil"/>
              <w:right w:val="nil"/>
            </w:tcBorders>
            <w:vAlign w:val="bottom"/>
          </w:tcPr>
          <w:p w14:paraId="1D6F9D72" w14:textId="798EB9FE" w:rsidR="00D84931" w:rsidRPr="001D41EA" w:rsidRDefault="00D84931" w:rsidP="00D84931">
            <w:pPr>
              <w:spacing w:before="40" w:after="40"/>
              <w:jc w:val="right"/>
              <w:rPr>
                <w:rFonts w:cs="Arial"/>
                <w:sz w:val="18"/>
                <w:szCs w:val="18"/>
              </w:rPr>
            </w:pPr>
            <w:r w:rsidRPr="001D41EA">
              <w:rPr>
                <w:rFonts w:cs="Arial"/>
                <w:sz w:val="18"/>
                <w:szCs w:val="18"/>
              </w:rPr>
              <w:t>19,767,091</w:t>
            </w:r>
          </w:p>
        </w:tc>
      </w:tr>
      <w:tr w:rsidR="00D84931" w:rsidRPr="001D41EA" w14:paraId="494684F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BB3F608" w14:textId="77777777" w:rsidR="00D84931" w:rsidRPr="001D41EA" w:rsidRDefault="00D84931" w:rsidP="00D84931">
            <w:pPr>
              <w:spacing w:before="40" w:after="40"/>
              <w:rPr>
                <w:rFonts w:cs="Arial"/>
                <w:sz w:val="18"/>
                <w:szCs w:val="18"/>
              </w:rPr>
            </w:pPr>
            <w:r w:rsidRPr="001D41EA">
              <w:rPr>
                <w:rFonts w:cs="Arial"/>
                <w:sz w:val="18"/>
                <w:szCs w:val="18"/>
              </w:rPr>
              <w:t>Darebin C</w:t>
            </w:r>
          </w:p>
        </w:tc>
        <w:tc>
          <w:tcPr>
            <w:tcW w:w="1701" w:type="dxa"/>
            <w:tcBorders>
              <w:top w:val="nil"/>
              <w:left w:val="single" w:sz="18" w:space="0" w:color="5F497A" w:themeColor="accent4" w:themeShade="BF"/>
              <w:bottom w:val="nil"/>
              <w:right w:val="nil"/>
            </w:tcBorders>
            <w:shd w:val="clear" w:color="auto" w:fill="auto"/>
            <w:noWrap/>
            <w:vAlign w:val="bottom"/>
          </w:tcPr>
          <w:p w14:paraId="11F24D60" w14:textId="73824AB8" w:rsidR="00D84931" w:rsidRPr="001D41EA" w:rsidRDefault="00D84931" w:rsidP="00D84931">
            <w:pPr>
              <w:spacing w:before="40" w:after="40"/>
              <w:jc w:val="right"/>
              <w:rPr>
                <w:rFonts w:cs="Arial"/>
                <w:sz w:val="18"/>
                <w:szCs w:val="18"/>
              </w:rPr>
            </w:pPr>
            <w:r w:rsidRPr="001D41EA">
              <w:rPr>
                <w:rFonts w:cs="Arial"/>
                <w:sz w:val="18"/>
                <w:szCs w:val="18"/>
              </w:rPr>
              <w:t>94,409,103</w:t>
            </w:r>
          </w:p>
        </w:tc>
        <w:tc>
          <w:tcPr>
            <w:tcW w:w="1701" w:type="dxa"/>
            <w:tcBorders>
              <w:top w:val="nil"/>
              <w:left w:val="nil"/>
              <w:bottom w:val="nil"/>
              <w:right w:val="nil"/>
            </w:tcBorders>
            <w:vAlign w:val="bottom"/>
          </w:tcPr>
          <w:p w14:paraId="178F25C2" w14:textId="68796203" w:rsidR="00D84931" w:rsidRPr="001D41EA" w:rsidRDefault="00D84931" w:rsidP="00D84931">
            <w:pPr>
              <w:spacing w:before="40" w:after="40"/>
              <w:jc w:val="right"/>
              <w:rPr>
                <w:rFonts w:cs="Arial"/>
                <w:sz w:val="18"/>
                <w:szCs w:val="18"/>
              </w:rPr>
            </w:pPr>
            <w:r w:rsidRPr="001D41EA">
              <w:rPr>
                <w:rFonts w:cs="Arial"/>
                <w:sz w:val="18"/>
                <w:szCs w:val="18"/>
              </w:rPr>
              <w:t>22,085,201</w:t>
            </w:r>
          </w:p>
        </w:tc>
        <w:tc>
          <w:tcPr>
            <w:tcW w:w="1701" w:type="dxa"/>
            <w:tcBorders>
              <w:top w:val="nil"/>
              <w:left w:val="nil"/>
              <w:bottom w:val="nil"/>
              <w:right w:val="nil"/>
            </w:tcBorders>
            <w:shd w:val="clear" w:color="auto" w:fill="auto"/>
            <w:noWrap/>
            <w:vAlign w:val="bottom"/>
          </w:tcPr>
          <w:p w14:paraId="69A83AB2" w14:textId="13B1FFF5"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75E0B9D8" w14:textId="2EB51EF0" w:rsidR="00D84931" w:rsidRPr="001D41EA" w:rsidRDefault="00D84931" w:rsidP="00D84931">
            <w:pPr>
              <w:spacing w:before="40" w:after="40"/>
              <w:jc w:val="right"/>
              <w:rPr>
                <w:rFonts w:cs="Arial"/>
                <w:sz w:val="18"/>
                <w:szCs w:val="18"/>
              </w:rPr>
            </w:pPr>
            <w:r w:rsidRPr="001D41EA">
              <w:rPr>
                <w:rFonts w:cs="Arial"/>
                <w:sz w:val="18"/>
                <w:szCs w:val="18"/>
              </w:rPr>
              <w:t>116,494,304</w:t>
            </w:r>
          </w:p>
        </w:tc>
      </w:tr>
      <w:tr w:rsidR="00D84931" w:rsidRPr="001D41EA" w14:paraId="009258A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1689895" w14:textId="77777777" w:rsidR="00D84931" w:rsidRPr="001D41EA" w:rsidRDefault="00D84931" w:rsidP="00D84931">
            <w:pPr>
              <w:spacing w:before="40" w:after="40"/>
              <w:rPr>
                <w:rFonts w:cs="Arial"/>
                <w:sz w:val="18"/>
                <w:szCs w:val="18"/>
              </w:rPr>
            </w:pPr>
            <w:r w:rsidRPr="001D41EA">
              <w:rPr>
                <w:rFonts w:cs="Arial"/>
                <w:sz w:val="18"/>
                <w:szCs w:val="18"/>
              </w:rPr>
              <w:t>East Gippsland S</w:t>
            </w:r>
          </w:p>
        </w:tc>
        <w:tc>
          <w:tcPr>
            <w:tcW w:w="1701" w:type="dxa"/>
            <w:tcBorders>
              <w:top w:val="nil"/>
              <w:left w:val="single" w:sz="18" w:space="0" w:color="5F497A" w:themeColor="accent4" w:themeShade="BF"/>
              <w:bottom w:val="nil"/>
              <w:right w:val="nil"/>
            </w:tcBorders>
            <w:shd w:val="clear" w:color="auto" w:fill="auto"/>
            <w:noWrap/>
            <w:vAlign w:val="bottom"/>
          </w:tcPr>
          <w:p w14:paraId="14B24839" w14:textId="7570BB38" w:rsidR="00D84931" w:rsidRPr="001D41EA" w:rsidRDefault="00D84931" w:rsidP="00D84931">
            <w:pPr>
              <w:spacing w:before="40" w:after="40"/>
              <w:jc w:val="right"/>
              <w:rPr>
                <w:rFonts w:cs="Arial"/>
                <w:sz w:val="18"/>
                <w:szCs w:val="18"/>
              </w:rPr>
            </w:pPr>
            <w:r w:rsidRPr="001D41EA">
              <w:rPr>
                <w:rFonts w:cs="Arial"/>
                <w:sz w:val="18"/>
                <w:szCs w:val="18"/>
              </w:rPr>
              <w:t>40,921,522</w:t>
            </w:r>
          </w:p>
        </w:tc>
        <w:tc>
          <w:tcPr>
            <w:tcW w:w="1701" w:type="dxa"/>
            <w:tcBorders>
              <w:top w:val="nil"/>
              <w:left w:val="nil"/>
              <w:bottom w:val="nil"/>
              <w:right w:val="nil"/>
            </w:tcBorders>
            <w:vAlign w:val="bottom"/>
          </w:tcPr>
          <w:p w14:paraId="1689801C" w14:textId="00CB51FA" w:rsidR="00D84931" w:rsidRPr="001D41EA" w:rsidRDefault="00D84931" w:rsidP="00D84931">
            <w:pPr>
              <w:spacing w:before="40" w:after="40"/>
              <w:jc w:val="right"/>
              <w:rPr>
                <w:rFonts w:cs="Arial"/>
                <w:sz w:val="18"/>
                <w:szCs w:val="18"/>
              </w:rPr>
            </w:pPr>
            <w:r w:rsidRPr="001D41EA">
              <w:rPr>
                <w:rFonts w:cs="Arial"/>
                <w:sz w:val="18"/>
                <w:szCs w:val="18"/>
              </w:rPr>
              <w:t>5,677,554</w:t>
            </w:r>
          </w:p>
        </w:tc>
        <w:tc>
          <w:tcPr>
            <w:tcW w:w="1701" w:type="dxa"/>
            <w:tcBorders>
              <w:top w:val="nil"/>
              <w:left w:val="nil"/>
              <w:bottom w:val="nil"/>
              <w:right w:val="nil"/>
            </w:tcBorders>
            <w:shd w:val="clear" w:color="auto" w:fill="auto"/>
            <w:noWrap/>
            <w:vAlign w:val="bottom"/>
          </w:tcPr>
          <w:p w14:paraId="34047E00" w14:textId="13149666" w:rsidR="00D84931" w:rsidRPr="001D41EA" w:rsidRDefault="00D84931" w:rsidP="00D84931">
            <w:pPr>
              <w:spacing w:before="40" w:after="40"/>
              <w:jc w:val="right"/>
              <w:rPr>
                <w:rFonts w:cs="Arial"/>
                <w:sz w:val="18"/>
                <w:szCs w:val="18"/>
              </w:rPr>
            </w:pPr>
            <w:r w:rsidRPr="001D41EA">
              <w:rPr>
                <w:rFonts w:cs="Arial"/>
                <w:sz w:val="18"/>
                <w:szCs w:val="18"/>
              </w:rPr>
              <w:t>4,778,365</w:t>
            </w:r>
          </w:p>
        </w:tc>
        <w:tc>
          <w:tcPr>
            <w:tcW w:w="1701" w:type="dxa"/>
            <w:tcBorders>
              <w:top w:val="nil"/>
              <w:left w:val="nil"/>
              <w:bottom w:val="nil"/>
              <w:right w:val="nil"/>
            </w:tcBorders>
            <w:vAlign w:val="bottom"/>
          </w:tcPr>
          <w:p w14:paraId="2B6298F2" w14:textId="17DA91D6" w:rsidR="00D84931" w:rsidRPr="001D41EA" w:rsidRDefault="00D84931" w:rsidP="00D84931">
            <w:pPr>
              <w:spacing w:before="40" w:after="40"/>
              <w:jc w:val="right"/>
              <w:rPr>
                <w:rFonts w:cs="Arial"/>
                <w:sz w:val="18"/>
                <w:szCs w:val="18"/>
              </w:rPr>
            </w:pPr>
            <w:r w:rsidRPr="001D41EA">
              <w:rPr>
                <w:rFonts w:cs="Arial"/>
                <w:sz w:val="18"/>
                <w:szCs w:val="18"/>
              </w:rPr>
              <w:t>51,377,441</w:t>
            </w:r>
          </w:p>
        </w:tc>
      </w:tr>
      <w:tr w:rsidR="00D84931" w:rsidRPr="001D41EA" w14:paraId="2A9DCA3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960B9BF" w14:textId="77777777" w:rsidR="00D84931" w:rsidRPr="001D41EA" w:rsidRDefault="00D84931" w:rsidP="00D84931">
            <w:pPr>
              <w:spacing w:before="40" w:after="40"/>
              <w:rPr>
                <w:rFonts w:cs="Arial"/>
                <w:sz w:val="18"/>
                <w:szCs w:val="18"/>
              </w:rPr>
            </w:pPr>
            <w:r w:rsidRPr="001D41EA">
              <w:rPr>
                <w:rFonts w:cs="Arial"/>
                <w:sz w:val="18"/>
                <w:szCs w:val="18"/>
              </w:rPr>
              <w:t>Frankston C</w:t>
            </w:r>
          </w:p>
        </w:tc>
        <w:tc>
          <w:tcPr>
            <w:tcW w:w="1701" w:type="dxa"/>
            <w:tcBorders>
              <w:top w:val="nil"/>
              <w:left w:val="single" w:sz="18" w:space="0" w:color="5F497A" w:themeColor="accent4" w:themeShade="BF"/>
              <w:bottom w:val="nil"/>
              <w:right w:val="nil"/>
            </w:tcBorders>
            <w:shd w:val="clear" w:color="auto" w:fill="auto"/>
            <w:noWrap/>
            <w:vAlign w:val="bottom"/>
          </w:tcPr>
          <w:p w14:paraId="5EC28025" w14:textId="3719885C" w:rsidR="00D84931" w:rsidRPr="001D41EA" w:rsidRDefault="00D84931" w:rsidP="00D84931">
            <w:pPr>
              <w:spacing w:before="40" w:after="40"/>
              <w:jc w:val="right"/>
              <w:rPr>
                <w:rFonts w:cs="Arial"/>
                <w:sz w:val="18"/>
                <w:szCs w:val="18"/>
              </w:rPr>
            </w:pPr>
            <w:r w:rsidRPr="001D41EA">
              <w:rPr>
                <w:rFonts w:cs="Arial"/>
                <w:sz w:val="18"/>
                <w:szCs w:val="18"/>
              </w:rPr>
              <w:t>93,116,152</w:t>
            </w:r>
          </w:p>
        </w:tc>
        <w:tc>
          <w:tcPr>
            <w:tcW w:w="1701" w:type="dxa"/>
            <w:tcBorders>
              <w:top w:val="nil"/>
              <w:left w:val="nil"/>
              <w:bottom w:val="nil"/>
              <w:right w:val="nil"/>
            </w:tcBorders>
            <w:vAlign w:val="bottom"/>
          </w:tcPr>
          <w:p w14:paraId="66BAF3C7" w14:textId="699109CC" w:rsidR="00D84931" w:rsidRPr="001D41EA" w:rsidRDefault="00D84931" w:rsidP="00D84931">
            <w:pPr>
              <w:spacing w:before="40" w:after="40"/>
              <w:jc w:val="right"/>
              <w:rPr>
                <w:rFonts w:cs="Arial"/>
                <w:sz w:val="18"/>
                <w:szCs w:val="18"/>
              </w:rPr>
            </w:pPr>
            <w:r w:rsidRPr="001D41EA">
              <w:rPr>
                <w:rFonts w:cs="Arial"/>
                <w:sz w:val="18"/>
                <w:szCs w:val="18"/>
              </w:rPr>
              <w:t>15,162,536</w:t>
            </w:r>
          </w:p>
        </w:tc>
        <w:tc>
          <w:tcPr>
            <w:tcW w:w="1701" w:type="dxa"/>
            <w:tcBorders>
              <w:top w:val="nil"/>
              <w:left w:val="nil"/>
              <w:bottom w:val="nil"/>
              <w:right w:val="nil"/>
            </w:tcBorders>
            <w:shd w:val="clear" w:color="auto" w:fill="auto"/>
            <w:noWrap/>
            <w:vAlign w:val="bottom"/>
          </w:tcPr>
          <w:p w14:paraId="2D2703D8" w14:textId="7C31CD7E" w:rsidR="00D84931" w:rsidRPr="001D41EA" w:rsidRDefault="00D84931" w:rsidP="00D84931">
            <w:pPr>
              <w:spacing w:before="40" w:after="40"/>
              <w:jc w:val="right"/>
              <w:rPr>
                <w:rFonts w:cs="Arial"/>
                <w:sz w:val="18"/>
                <w:szCs w:val="18"/>
              </w:rPr>
            </w:pPr>
            <w:r w:rsidRPr="001D41EA">
              <w:rPr>
                <w:rFonts w:cs="Arial"/>
                <w:sz w:val="18"/>
                <w:szCs w:val="18"/>
              </w:rPr>
              <w:t>1,821,376</w:t>
            </w:r>
          </w:p>
        </w:tc>
        <w:tc>
          <w:tcPr>
            <w:tcW w:w="1701" w:type="dxa"/>
            <w:tcBorders>
              <w:top w:val="nil"/>
              <w:left w:val="nil"/>
              <w:bottom w:val="nil"/>
              <w:right w:val="nil"/>
            </w:tcBorders>
            <w:vAlign w:val="bottom"/>
          </w:tcPr>
          <w:p w14:paraId="4CCB342F" w14:textId="1DA55AAE" w:rsidR="00D84931" w:rsidRPr="001D41EA" w:rsidRDefault="00D84931" w:rsidP="00D84931">
            <w:pPr>
              <w:spacing w:before="40" w:after="40"/>
              <w:jc w:val="right"/>
              <w:rPr>
                <w:rFonts w:cs="Arial"/>
                <w:sz w:val="18"/>
                <w:szCs w:val="18"/>
              </w:rPr>
            </w:pPr>
            <w:r w:rsidRPr="001D41EA">
              <w:rPr>
                <w:rFonts w:cs="Arial"/>
                <w:sz w:val="18"/>
                <w:szCs w:val="18"/>
              </w:rPr>
              <w:t>110,100,064</w:t>
            </w:r>
          </w:p>
        </w:tc>
      </w:tr>
      <w:tr w:rsidR="00D84931" w:rsidRPr="001D41EA" w14:paraId="4CDD862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262687C" w14:textId="77777777" w:rsidR="00D84931" w:rsidRPr="001D41EA" w:rsidRDefault="00D84931" w:rsidP="00D84931">
            <w:pPr>
              <w:spacing w:before="40" w:after="40"/>
              <w:rPr>
                <w:rFonts w:cs="Arial"/>
                <w:sz w:val="18"/>
                <w:szCs w:val="18"/>
              </w:rPr>
            </w:pPr>
            <w:r w:rsidRPr="001D41EA">
              <w:rPr>
                <w:rFonts w:cs="Arial"/>
                <w:sz w:val="18"/>
                <w:szCs w:val="18"/>
              </w:rPr>
              <w:t>Gannawarra S</w:t>
            </w:r>
          </w:p>
        </w:tc>
        <w:tc>
          <w:tcPr>
            <w:tcW w:w="1701" w:type="dxa"/>
            <w:tcBorders>
              <w:top w:val="nil"/>
              <w:left w:val="single" w:sz="18" w:space="0" w:color="5F497A" w:themeColor="accent4" w:themeShade="BF"/>
              <w:bottom w:val="nil"/>
              <w:right w:val="nil"/>
            </w:tcBorders>
            <w:shd w:val="clear" w:color="auto" w:fill="auto"/>
            <w:noWrap/>
            <w:vAlign w:val="bottom"/>
          </w:tcPr>
          <w:p w14:paraId="144F16BF" w14:textId="6B947B15" w:rsidR="00D84931" w:rsidRPr="001D41EA" w:rsidRDefault="00D84931" w:rsidP="00D84931">
            <w:pPr>
              <w:spacing w:before="40" w:after="40"/>
              <w:jc w:val="right"/>
              <w:rPr>
                <w:rFonts w:cs="Arial"/>
                <w:sz w:val="18"/>
                <w:szCs w:val="18"/>
              </w:rPr>
            </w:pPr>
            <w:r w:rsidRPr="001D41EA">
              <w:rPr>
                <w:rFonts w:cs="Arial"/>
                <w:sz w:val="18"/>
                <w:szCs w:val="18"/>
              </w:rPr>
              <w:t>7,048,087</w:t>
            </w:r>
          </w:p>
        </w:tc>
        <w:tc>
          <w:tcPr>
            <w:tcW w:w="1701" w:type="dxa"/>
            <w:tcBorders>
              <w:top w:val="nil"/>
              <w:left w:val="nil"/>
              <w:bottom w:val="nil"/>
              <w:right w:val="nil"/>
            </w:tcBorders>
            <w:vAlign w:val="bottom"/>
          </w:tcPr>
          <w:p w14:paraId="39284B9F" w14:textId="3A42C579" w:rsidR="00D84931" w:rsidRPr="001D41EA" w:rsidRDefault="00D84931" w:rsidP="00D84931">
            <w:pPr>
              <w:spacing w:before="40" w:after="40"/>
              <w:jc w:val="right"/>
              <w:rPr>
                <w:rFonts w:cs="Arial"/>
                <w:sz w:val="18"/>
                <w:szCs w:val="18"/>
              </w:rPr>
            </w:pPr>
            <w:r w:rsidRPr="001D41EA">
              <w:rPr>
                <w:rFonts w:cs="Arial"/>
                <w:sz w:val="18"/>
                <w:szCs w:val="18"/>
              </w:rPr>
              <w:t>977,203</w:t>
            </w:r>
          </w:p>
        </w:tc>
        <w:tc>
          <w:tcPr>
            <w:tcW w:w="1701" w:type="dxa"/>
            <w:tcBorders>
              <w:top w:val="nil"/>
              <w:left w:val="nil"/>
              <w:bottom w:val="nil"/>
              <w:right w:val="nil"/>
            </w:tcBorders>
            <w:shd w:val="clear" w:color="auto" w:fill="auto"/>
            <w:noWrap/>
            <w:vAlign w:val="bottom"/>
          </w:tcPr>
          <w:p w14:paraId="59E9E003" w14:textId="2E9E7BB7" w:rsidR="00D84931" w:rsidRPr="001D41EA" w:rsidRDefault="00D84931" w:rsidP="00D84931">
            <w:pPr>
              <w:spacing w:before="40" w:after="40"/>
              <w:jc w:val="right"/>
              <w:rPr>
                <w:rFonts w:cs="Arial"/>
                <w:sz w:val="18"/>
                <w:szCs w:val="18"/>
              </w:rPr>
            </w:pPr>
            <w:r w:rsidRPr="001D41EA">
              <w:rPr>
                <w:rFonts w:cs="Arial"/>
                <w:sz w:val="18"/>
                <w:szCs w:val="18"/>
              </w:rPr>
              <w:t>3,637,785</w:t>
            </w:r>
          </w:p>
        </w:tc>
        <w:tc>
          <w:tcPr>
            <w:tcW w:w="1701" w:type="dxa"/>
            <w:tcBorders>
              <w:top w:val="nil"/>
              <w:left w:val="nil"/>
              <w:bottom w:val="nil"/>
              <w:right w:val="nil"/>
            </w:tcBorders>
            <w:vAlign w:val="bottom"/>
          </w:tcPr>
          <w:p w14:paraId="7C43B757" w14:textId="10FCDD45" w:rsidR="00D84931" w:rsidRPr="001D41EA" w:rsidRDefault="00D84931" w:rsidP="00D84931">
            <w:pPr>
              <w:spacing w:before="40" w:after="40"/>
              <w:jc w:val="right"/>
              <w:rPr>
                <w:rFonts w:cs="Arial"/>
                <w:sz w:val="18"/>
                <w:szCs w:val="18"/>
              </w:rPr>
            </w:pPr>
            <w:r w:rsidRPr="001D41EA">
              <w:rPr>
                <w:rFonts w:cs="Arial"/>
                <w:sz w:val="18"/>
                <w:szCs w:val="18"/>
              </w:rPr>
              <w:t>11,663,075</w:t>
            </w:r>
          </w:p>
        </w:tc>
      </w:tr>
      <w:tr w:rsidR="00D84931" w:rsidRPr="001D41EA" w14:paraId="0CC3F62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970889E" w14:textId="77777777" w:rsidR="00D84931" w:rsidRPr="001D41EA" w:rsidRDefault="00D84931" w:rsidP="00D84931">
            <w:pPr>
              <w:spacing w:before="40" w:after="40"/>
              <w:rPr>
                <w:rFonts w:cs="Arial"/>
                <w:sz w:val="18"/>
                <w:szCs w:val="18"/>
              </w:rPr>
            </w:pPr>
            <w:r w:rsidRPr="001D41EA">
              <w:rPr>
                <w:rFonts w:cs="Arial"/>
                <w:sz w:val="18"/>
                <w:szCs w:val="18"/>
              </w:rPr>
              <w:t>Glen Eira C</w:t>
            </w:r>
          </w:p>
        </w:tc>
        <w:tc>
          <w:tcPr>
            <w:tcW w:w="1701" w:type="dxa"/>
            <w:tcBorders>
              <w:top w:val="nil"/>
              <w:left w:val="single" w:sz="18" w:space="0" w:color="5F497A" w:themeColor="accent4" w:themeShade="BF"/>
              <w:bottom w:val="nil"/>
              <w:right w:val="nil"/>
            </w:tcBorders>
            <w:shd w:val="clear" w:color="auto" w:fill="auto"/>
            <w:noWrap/>
            <w:vAlign w:val="bottom"/>
          </w:tcPr>
          <w:p w14:paraId="1D35F84E" w14:textId="4FC165F9" w:rsidR="00D84931" w:rsidRPr="001D41EA" w:rsidRDefault="00D84931" w:rsidP="00D84931">
            <w:pPr>
              <w:spacing w:before="40" w:after="40"/>
              <w:jc w:val="right"/>
              <w:rPr>
                <w:rFonts w:cs="Arial"/>
                <w:sz w:val="18"/>
                <w:szCs w:val="18"/>
              </w:rPr>
            </w:pPr>
            <w:r w:rsidRPr="001D41EA">
              <w:rPr>
                <w:rFonts w:cs="Arial"/>
                <w:sz w:val="18"/>
                <w:szCs w:val="18"/>
              </w:rPr>
              <w:t>91,178,121</w:t>
            </w:r>
          </w:p>
        </w:tc>
        <w:tc>
          <w:tcPr>
            <w:tcW w:w="1701" w:type="dxa"/>
            <w:tcBorders>
              <w:top w:val="nil"/>
              <w:left w:val="nil"/>
              <w:bottom w:val="nil"/>
              <w:right w:val="nil"/>
            </w:tcBorders>
            <w:vAlign w:val="bottom"/>
          </w:tcPr>
          <w:p w14:paraId="3A83992F" w14:textId="4971ED5B" w:rsidR="00D84931" w:rsidRPr="001D41EA" w:rsidRDefault="00D84931" w:rsidP="00D84931">
            <w:pPr>
              <w:spacing w:before="40" w:after="40"/>
              <w:jc w:val="right"/>
              <w:rPr>
                <w:rFonts w:cs="Arial"/>
                <w:sz w:val="18"/>
                <w:szCs w:val="18"/>
              </w:rPr>
            </w:pPr>
            <w:r w:rsidRPr="001D41EA">
              <w:rPr>
                <w:rFonts w:cs="Arial"/>
                <w:sz w:val="18"/>
                <w:szCs w:val="18"/>
              </w:rPr>
              <w:t>6,627,672</w:t>
            </w:r>
          </w:p>
        </w:tc>
        <w:tc>
          <w:tcPr>
            <w:tcW w:w="1701" w:type="dxa"/>
            <w:tcBorders>
              <w:top w:val="nil"/>
              <w:left w:val="nil"/>
              <w:bottom w:val="nil"/>
              <w:right w:val="nil"/>
            </w:tcBorders>
            <w:shd w:val="clear" w:color="auto" w:fill="auto"/>
            <w:noWrap/>
            <w:vAlign w:val="bottom"/>
          </w:tcPr>
          <w:p w14:paraId="65987989" w14:textId="32AB851D"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257B7854" w14:textId="791E8731" w:rsidR="00D84931" w:rsidRPr="001D41EA" w:rsidRDefault="00D84931" w:rsidP="00D84931">
            <w:pPr>
              <w:spacing w:before="40" w:after="40"/>
              <w:jc w:val="right"/>
              <w:rPr>
                <w:rFonts w:cs="Arial"/>
                <w:sz w:val="18"/>
                <w:szCs w:val="18"/>
              </w:rPr>
            </w:pPr>
            <w:r w:rsidRPr="001D41EA">
              <w:rPr>
                <w:rFonts w:cs="Arial"/>
                <w:sz w:val="18"/>
                <w:szCs w:val="18"/>
              </w:rPr>
              <w:t>97,805,793</w:t>
            </w:r>
          </w:p>
        </w:tc>
      </w:tr>
      <w:tr w:rsidR="00D84931" w:rsidRPr="001D41EA" w14:paraId="269CCD7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4C6DC28" w14:textId="77777777" w:rsidR="00D84931" w:rsidRPr="001D41EA" w:rsidRDefault="00D84931" w:rsidP="00D84931">
            <w:pPr>
              <w:spacing w:before="40" w:after="40"/>
              <w:rPr>
                <w:rFonts w:cs="Arial"/>
                <w:sz w:val="18"/>
                <w:szCs w:val="18"/>
              </w:rPr>
            </w:pPr>
            <w:r w:rsidRPr="001D41EA">
              <w:rPr>
                <w:rFonts w:cs="Arial"/>
                <w:sz w:val="18"/>
                <w:szCs w:val="18"/>
              </w:rPr>
              <w:t>Glenelg S</w:t>
            </w:r>
          </w:p>
        </w:tc>
        <w:tc>
          <w:tcPr>
            <w:tcW w:w="1701" w:type="dxa"/>
            <w:tcBorders>
              <w:top w:val="nil"/>
              <w:left w:val="single" w:sz="18" w:space="0" w:color="5F497A" w:themeColor="accent4" w:themeShade="BF"/>
              <w:bottom w:val="nil"/>
              <w:right w:val="nil"/>
            </w:tcBorders>
            <w:shd w:val="clear" w:color="auto" w:fill="auto"/>
            <w:noWrap/>
            <w:vAlign w:val="bottom"/>
          </w:tcPr>
          <w:p w14:paraId="6BF8C7E4" w14:textId="233564F4" w:rsidR="00D84931" w:rsidRPr="001D41EA" w:rsidRDefault="00D84931" w:rsidP="00D84931">
            <w:pPr>
              <w:spacing w:before="40" w:after="40"/>
              <w:jc w:val="right"/>
              <w:rPr>
                <w:rFonts w:cs="Arial"/>
                <w:sz w:val="18"/>
                <w:szCs w:val="18"/>
              </w:rPr>
            </w:pPr>
            <w:r w:rsidRPr="001D41EA">
              <w:rPr>
                <w:rFonts w:cs="Arial"/>
                <w:sz w:val="18"/>
                <w:szCs w:val="18"/>
              </w:rPr>
              <w:t>11,913,097</w:t>
            </w:r>
          </w:p>
        </w:tc>
        <w:tc>
          <w:tcPr>
            <w:tcW w:w="1701" w:type="dxa"/>
            <w:tcBorders>
              <w:top w:val="nil"/>
              <w:left w:val="nil"/>
              <w:bottom w:val="nil"/>
              <w:right w:val="nil"/>
            </w:tcBorders>
            <w:vAlign w:val="bottom"/>
          </w:tcPr>
          <w:p w14:paraId="42195C1B" w14:textId="526EABBF" w:rsidR="00D84931" w:rsidRPr="001D41EA" w:rsidRDefault="00D84931" w:rsidP="00D84931">
            <w:pPr>
              <w:spacing w:before="40" w:after="40"/>
              <w:jc w:val="right"/>
              <w:rPr>
                <w:rFonts w:cs="Arial"/>
                <w:sz w:val="18"/>
                <w:szCs w:val="18"/>
              </w:rPr>
            </w:pPr>
            <w:r w:rsidRPr="001D41EA">
              <w:rPr>
                <w:rFonts w:cs="Arial"/>
                <w:sz w:val="18"/>
                <w:szCs w:val="18"/>
              </w:rPr>
              <w:t>1,983,086</w:t>
            </w:r>
          </w:p>
        </w:tc>
        <w:tc>
          <w:tcPr>
            <w:tcW w:w="1701" w:type="dxa"/>
            <w:tcBorders>
              <w:top w:val="nil"/>
              <w:left w:val="nil"/>
              <w:bottom w:val="nil"/>
              <w:right w:val="nil"/>
            </w:tcBorders>
            <w:shd w:val="clear" w:color="auto" w:fill="auto"/>
            <w:noWrap/>
            <w:vAlign w:val="bottom"/>
          </w:tcPr>
          <w:p w14:paraId="61EF4F66" w14:textId="7ABFA6AF" w:rsidR="00D84931" w:rsidRPr="001D41EA" w:rsidRDefault="00D84931" w:rsidP="00D84931">
            <w:pPr>
              <w:spacing w:before="40" w:after="40"/>
              <w:jc w:val="right"/>
              <w:rPr>
                <w:rFonts w:cs="Arial"/>
                <w:sz w:val="18"/>
                <w:szCs w:val="18"/>
              </w:rPr>
            </w:pPr>
            <w:r w:rsidRPr="001D41EA">
              <w:rPr>
                <w:rFonts w:cs="Arial"/>
                <w:sz w:val="18"/>
                <w:szCs w:val="18"/>
              </w:rPr>
              <w:t>9,573,480</w:t>
            </w:r>
          </w:p>
        </w:tc>
        <w:tc>
          <w:tcPr>
            <w:tcW w:w="1701" w:type="dxa"/>
            <w:tcBorders>
              <w:top w:val="nil"/>
              <w:left w:val="nil"/>
              <w:bottom w:val="nil"/>
              <w:right w:val="nil"/>
            </w:tcBorders>
            <w:vAlign w:val="bottom"/>
          </w:tcPr>
          <w:p w14:paraId="34C5E2DB" w14:textId="256A81C9" w:rsidR="00D84931" w:rsidRPr="001D41EA" w:rsidRDefault="00D84931" w:rsidP="00D84931">
            <w:pPr>
              <w:spacing w:before="40" w:after="40"/>
              <w:jc w:val="right"/>
              <w:rPr>
                <w:rFonts w:cs="Arial"/>
                <w:sz w:val="18"/>
                <w:szCs w:val="18"/>
              </w:rPr>
            </w:pPr>
            <w:r w:rsidRPr="001D41EA">
              <w:rPr>
                <w:rFonts w:cs="Arial"/>
                <w:sz w:val="18"/>
                <w:szCs w:val="18"/>
              </w:rPr>
              <w:t>23,469,663</w:t>
            </w:r>
          </w:p>
        </w:tc>
      </w:tr>
      <w:tr w:rsidR="00D84931" w:rsidRPr="001D41EA" w14:paraId="14471FD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8841DC2" w14:textId="77777777" w:rsidR="00D84931" w:rsidRPr="001D41EA" w:rsidRDefault="00D84931" w:rsidP="00D84931">
            <w:pPr>
              <w:spacing w:before="40" w:after="40"/>
              <w:rPr>
                <w:rFonts w:cs="Arial"/>
                <w:sz w:val="18"/>
                <w:szCs w:val="18"/>
              </w:rPr>
            </w:pPr>
            <w:r w:rsidRPr="001D41EA">
              <w:rPr>
                <w:rFonts w:cs="Arial"/>
                <w:sz w:val="18"/>
                <w:szCs w:val="18"/>
              </w:rPr>
              <w:t>Golden Plains S</w:t>
            </w:r>
          </w:p>
        </w:tc>
        <w:tc>
          <w:tcPr>
            <w:tcW w:w="1701" w:type="dxa"/>
            <w:tcBorders>
              <w:top w:val="nil"/>
              <w:left w:val="single" w:sz="18" w:space="0" w:color="5F497A" w:themeColor="accent4" w:themeShade="BF"/>
              <w:bottom w:val="nil"/>
              <w:right w:val="nil"/>
            </w:tcBorders>
            <w:shd w:val="clear" w:color="auto" w:fill="auto"/>
            <w:noWrap/>
            <w:vAlign w:val="bottom"/>
          </w:tcPr>
          <w:p w14:paraId="2F768427" w14:textId="0201B964" w:rsidR="00D84931" w:rsidRPr="001D41EA" w:rsidRDefault="00D84931" w:rsidP="00D84931">
            <w:pPr>
              <w:spacing w:before="40" w:after="40"/>
              <w:jc w:val="right"/>
              <w:rPr>
                <w:rFonts w:cs="Arial"/>
                <w:sz w:val="18"/>
                <w:szCs w:val="18"/>
              </w:rPr>
            </w:pPr>
            <w:r w:rsidRPr="001D41EA">
              <w:rPr>
                <w:rFonts w:cs="Arial"/>
                <w:sz w:val="18"/>
                <w:szCs w:val="18"/>
              </w:rPr>
              <w:t>15,896,943</w:t>
            </w:r>
          </w:p>
        </w:tc>
        <w:tc>
          <w:tcPr>
            <w:tcW w:w="1701" w:type="dxa"/>
            <w:tcBorders>
              <w:top w:val="nil"/>
              <w:left w:val="nil"/>
              <w:bottom w:val="nil"/>
              <w:right w:val="nil"/>
            </w:tcBorders>
            <w:vAlign w:val="bottom"/>
          </w:tcPr>
          <w:p w14:paraId="70B89C7D" w14:textId="1731DBBE" w:rsidR="00D84931" w:rsidRPr="001D41EA" w:rsidRDefault="00D84931" w:rsidP="00D84931">
            <w:pPr>
              <w:spacing w:before="40" w:after="40"/>
              <w:jc w:val="right"/>
              <w:rPr>
                <w:rFonts w:cs="Arial"/>
                <w:sz w:val="18"/>
                <w:szCs w:val="18"/>
              </w:rPr>
            </w:pPr>
            <w:r w:rsidRPr="001D41EA">
              <w:rPr>
                <w:rFonts w:cs="Arial"/>
                <w:sz w:val="18"/>
                <w:szCs w:val="18"/>
              </w:rPr>
              <w:t>341,552</w:t>
            </w:r>
          </w:p>
        </w:tc>
        <w:tc>
          <w:tcPr>
            <w:tcW w:w="1701" w:type="dxa"/>
            <w:tcBorders>
              <w:top w:val="nil"/>
              <w:left w:val="nil"/>
              <w:bottom w:val="nil"/>
              <w:right w:val="nil"/>
            </w:tcBorders>
            <w:shd w:val="clear" w:color="auto" w:fill="auto"/>
            <w:noWrap/>
            <w:vAlign w:val="bottom"/>
          </w:tcPr>
          <w:p w14:paraId="75585CD2" w14:textId="6EC7B428" w:rsidR="00D84931" w:rsidRPr="001D41EA" w:rsidRDefault="00D84931" w:rsidP="00D84931">
            <w:pPr>
              <w:spacing w:before="40" w:after="40"/>
              <w:jc w:val="right"/>
              <w:rPr>
                <w:rFonts w:cs="Arial"/>
                <w:sz w:val="18"/>
                <w:szCs w:val="18"/>
              </w:rPr>
            </w:pPr>
            <w:r w:rsidRPr="001D41EA">
              <w:rPr>
                <w:rFonts w:cs="Arial"/>
                <w:sz w:val="18"/>
                <w:szCs w:val="18"/>
              </w:rPr>
              <w:t>3,601,537</w:t>
            </w:r>
          </w:p>
        </w:tc>
        <w:tc>
          <w:tcPr>
            <w:tcW w:w="1701" w:type="dxa"/>
            <w:tcBorders>
              <w:top w:val="nil"/>
              <w:left w:val="nil"/>
              <w:bottom w:val="nil"/>
              <w:right w:val="nil"/>
            </w:tcBorders>
            <w:vAlign w:val="bottom"/>
          </w:tcPr>
          <w:p w14:paraId="59EDD667" w14:textId="7E5752D8" w:rsidR="00D84931" w:rsidRPr="001D41EA" w:rsidRDefault="00D84931" w:rsidP="00D84931">
            <w:pPr>
              <w:spacing w:before="40" w:after="40"/>
              <w:jc w:val="right"/>
              <w:rPr>
                <w:rFonts w:cs="Arial"/>
                <w:sz w:val="18"/>
                <w:szCs w:val="18"/>
              </w:rPr>
            </w:pPr>
            <w:r w:rsidRPr="001D41EA">
              <w:rPr>
                <w:rFonts w:cs="Arial"/>
                <w:sz w:val="18"/>
                <w:szCs w:val="18"/>
              </w:rPr>
              <w:t>19,840,031</w:t>
            </w:r>
          </w:p>
        </w:tc>
      </w:tr>
      <w:tr w:rsidR="00D84931" w:rsidRPr="001D41EA" w14:paraId="6C88908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79D163C" w14:textId="77777777" w:rsidR="00D84931" w:rsidRPr="001D41EA" w:rsidRDefault="00D84931" w:rsidP="00D84931">
            <w:pPr>
              <w:spacing w:before="40" w:after="40"/>
              <w:rPr>
                <w:rFonts w:cs="Arial"/>
                <w:sz w:val="18"/>
                <w:szCs w:val="18"/>
              </w:rPr>
            </w:pPr>
            <w:r w:rsidRPr="001D41EA">
              <w:rPr>
                <w:rFonts w:cs="Arial"/>
                <w:sz w:val="18"/>
                <w:szCs w:val="18"/>
              </w:rPr>
              <w:t>Greater Bendigo C</w:t>
            </w:r>
          </w:p>
        </w:tc>
        <w:tc>
          <w:tcPr>
            <w:tcW w:w="1701" w:type="dxa"/>
            <w:tcBorders>
              <w:top w:val="nil"/>
              <w:left w:val="single" w:sz="18" w:space="0" w:color="5F497A" w:themeColor="accent4" w:themeShade="BF"/>
              <w:bottom w:val="nil"/>
              <w:right w:val="nil"/>
            </w:tcBorders>
            <w:shd w:val="clear" w:color="auto" w:fill="auto"/>
            <w:noWrap/>
            <w:vAlign w:val="bottom"/>
          </w:tcPr>
          <w:p w14:paraId="306AA5D5" w14:textId="77123375" w:rsidR="00D84931" w:rsidRPr="001D41EA" w:rsidRDefault="00D84931" w:rsidP="00D84931">
            <w:pPr>
              <w:spacing w:before="40" w:after="40"/>
              <w:jc w:val="right"/>
              <w:rPr>
                <w:rFonts w:cs="Arial"/>
                <w:sz w:val="18"/>
                <w:szCs w:val="18"/>
              </w:rPr>
            </w:pPr>
            <w:r w:rsidRPr="001D41EA">
              <w:rPr>
                <w:rFonts w:cs="Arial"/>
                <w:sz w:val="18"/>
                <w:szCs w:val="18"/>
              </w:rPr>
              <w:t>80,159,026</w:t>
            </w:r>
          </w:p>
        </w:tc>
        <w:tc>
          <w:tcPr>
            <w:tcW w:w="1701" w:type="dxa"/>
            <w:tcBorders>
              <w:top w:val="nil"/>
              <w:left w:val="nil"/>
              <w:bottom w:val="nil"/>
              <w:right w:val="nil"/>
            </w:tcBorders>
            <w:vAlign w:val="bottom"/>
          </w:tcPr>
          <w:p w14:paraId="0668B267" w14:textId="104D0D9D" w:rsidR="00D84931" w:rsidRPr="001D41EA" w:rsidRDefault="00D84931" w:rsidP="00D84931">
            <w:pPr>
              <w:spacing w:before="40" w:after="40"/>
              <w:jc w:val="right"/>
              <w:rPr>
                <w:rFonts w:cs="Arial"/>
                <w:sz w:val="18"/>
                <w:szCs w:val="18"/>
              </w:rPr>
            </w:pPr>
            <w:r w:rsidRPr="001D41EA">
              <w:rPr>
                <w:rFonts w:cs="Arial"/>
                <w:sz w:val="18"/>
                <w:szCs w:val="18"/>
              </w:rPr>
              <w:t>20,005,979</w:t>
            </w:r>
          </w:p>
        </w:tc>
        <w:tc>
          <w:tcPr>
            <w:tcW w:w="1701" w:type="dxa"/>
            <w:tcBorders>
              <w:top w:val="nil"/>
              <w:left w:val="nil"/>
              <w:bottom w:val="nil"/>
              <w:right w:val="nil"/>
            </w:tcBorders>
            <w:shd w:val="clear" w:color="auto" w:fill="auto"/>
            <w:noWrap/>
            <w:vAlign w:val="bottom"/>
          </w:tcPr>
          <w:p w14:paraId="7990BA9C" w14:textId="770FE81E" w:rsidR="00D84931" w:rsidRPr="001D41EA" w:rsidRDefault="00D84931" w:rsidP="00D84931">
            <w:pPr>
              <w:spacing w:before="40" w:after="40"/>
              <w:jc w:val="right"/>
              <w:rPr>
                <w:rFonts w:cs="Arial"/>
                <w:sz w:val="18"/>
                <w:szCs w:val="18"/>
              </w:rPr>
            </w:pPr>
            <w:r w:rsidRPr="001D41EA">
              <w:rPr>
                <w:rFonts w:cs="Arial"/>
                <w:sz w:val="18"/>
                <w:szCs w:val="18"/>
              </w:rPr>
              <w:t>2,436,250</w:t>
            </w:r>
          </w:p>
        </w:tc>
        <w:tc>
          <w:tcPr>
            <w:tcW w:w="1701" w:type="dxa"/>
            <w:tcBorders>
              <w:top w:val="nil"/>
              <w:left w:val="nil"/>
              <w:bottom w:val="nil"/>
              <w:right w:val="nil"/>
            </w:tcBorders>
            <w:vAlign w:val="bottom"/>
          </w:tcPr>
          <w:p w14:paraId="4053DE6B" w14:textId="3848CDEC" w:rsidR="00D84931" w:rsidRPr="001D41EA" w:rsidRDefault="00D84931" w:rsidP="00D84931">
            <w:pPr>
              <w:spacing w:before="40" w:after="40"/>
              <w:jc w:val="right"/>
              <w:rPr>
                <w:rFonts w:cs="Arial"/>
                <w:sz w:val="18"/>
                <w:szCs w:val="18"/>
              </w:rPr>
            </w:pPr>
            <w:r w:rsidRPr="001D41EA">
              <w:rPr>
                <w:rFonts w:cs="Arial"/>
                <w:sz w:val="18"/>
                <w:szCs w:val="18"/>
              </w:rPr>
              <w:t>102,601,255</w:t>
            </w:r>
          </w:p>
        </w:tc>
      </w:tr>
      <w:tr w:rsidR="00D84931" w:rsidRPr="001D41EA" w14:paraId="507A00D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E1C7257" w14:textId="77777777" w:rsidR="00D84931" w:rsidRPr="001D41EA" w:rsidRDefault="00D84931" w:rsidP="00D84931">
            <w:pPr>
              <w:spacing w:before="40" w:after="40"/>
              <w:rPr>
                <w:rFonts w:cs="Arial"/>
                <w:sz w:val="18"/>
                <w:szCs w:val="18"/>
              </w:rPr>
            </w:pPr>
            <w:r w:rsidRPr="001D41EA">
              <w:rPr>
                <w:rFonts w:cs="Arial"/>
                <w:sz w:val="18"/>
                <w:szCs w:val="18"/>
              </w:rPr>
              <w:t>Greater Dandenong C</w:t>
            </w:r>
          </w:p>
        </w:tc>
        <w:tc>
          <w:tcPr>
            <w:tcW w:w="1701" w:type="dxa"/>
            <w:tcBorders>
              <w:top w:val="nil"/>
              <w:left w:val="single" w:sz="18" w:space="0" w:color="5F497A" w:themeColor="accent4" w:themeShade="BF"/>
              <w:bottom w:val="nil"/>
              <w:right w:val="nil"/>
            </w:tcBorders>
            <w:shd w:val="clear" w:color="auto" w:fill="auto"/>
            <w:noWrap/>
            <w:vAlign w:val="bottom"/>
          </w:tcPr>
          <w:p w14:paraId="345B468D" w14:textId="5C10967F" w:rsidR="00D84931" w:rsidRPr="001D41EA" w:rsidRDefault="00D84931" w:rsidP="00D84931">
            <w:pPr>
              <w:spacing w:before="40" w:after="40"/>
              <w:jc w:val="right"/>
              <w:rPr>
                <w:rFonts w:cs="Arial"/>
                <w:sz w:val="18"/>
                <w:szCs w:val="18"/>
              </w:rPr>
            </w:pPr>
            <w:r w:rsidRPr="001D41EA">
              <w:rPr>
                <w:rFonts w:cs="Arial"/>
                <w:sz w:val="18"/>
                <w:szCs w:val="18"/>
              </w:rPr>
              <w:t>66,357,194</w:t>
            </w:r>
          </w:p>
        </w:tc>
        <w:tc>
          <w:tcPr>
            <w:tcW w:w="1701" w:type="dxa"/>
            <w:tcBorders>
              <w:top w:val="nil"/>
              <w:left w:val="nil"/>
              <w:bottom w:val="nil"/>
              <w:right w:val="nil"/>
            </w:tcBorders>
            <w:vAlign w:val="bottom"/>
          </w:tcPr>
          <w:p w14:paraId="2CAE6BFC" w14:textId="036A7615" w:rsidR="00D84931" w:rsidRPr="001D41EA" w:rsidRDefault="00D84931" w:rsidP="00D84931">
            <w:pPr>
              <w:spacing w:before="40" w:after="40"/>
              <w:jc w:val="right"/>
              <w:rPr>
                <w:rFonts w:cs="Arial"/>
                <w:sz w:val="18"/>
                <w:szCs w:val="18"/>
              </w:rPr>
            </w:pPr>
            <w:r w:rsidRPr="001D41EA">
              <w:rPr>
                <w:rFonts w:cs="Arial"/>
                <w:sz w:val="18"/>
                <w:szCs w:val="18"/>
              </w:rPr>
              <w:t>56,323,194</w:t>
            </w:r>
          </w:p>
        </w:tc>
        <w:tc>
          <w:tcPr>
            <w:tcW w:w="1701" w:type="dxa"/>
            <w:tcBorders>
              <w:top w:val="nil"/>
              <w:left w:val="nil"/>
              <w:bottom w:val="nil"/>
              <w:right w:val="nil"/>
            </w:tcBorders>
            <w:shd w:val="clear" w:color="auto" w:fill="auto"/>
            <w:noWrap/>
            <w:vAlign w:val="bottom"/>
          </w:tcPr>
          <w:p w14:paraId="3A717771" w14:textId="2640C558" w:rsidR="00D84931" w:rsidRPr="001D41EA" w:rsidRDefault="00D84931" w:rsidP="00D84931">
            <w:pPr>
              <w:spacing w:before="40" w:after="40"/>
              <w:jc w:val="right"/>
              <w:rPr>
                <w:rFonts w:cs="Arial"/>
                <w:sz w:val="18"/>
                <w:szCs w:val="18"/>
              </w:rPr>
            </w:pPr>
            <w:r w:rsidRPr="001D41EA">
              <w:rPr>
                <w:rFonts w:cs="Arial"/>
                <w:sz w:val="18"/>
                <w:szCs w:val="18"/>
              </w:rPr>
              <w:t>382,959</w:t>
            </w:r>
          </w:p>
        </w:tc>
        <w:tc>
          <w:tcPr>
            <w:tcW w:w="1701" w:type="dxa"/>
            <w:tcBorders>
              <w:top w:val="nil"/>
              <w:left w:val="nil"/>
              <w:bottom w:val="nil"/>
              <w:right w:val="nil"/>
            </w:tcBorders>
            <w:vAlign w:val="bottom"/>
          </w:tcPr>
          <w:p w14:paraId="2DFFFC2C" w14:textId="1DDF7FE9" w:rsidR="00D84931" w:rsidRPr="001D41EA" w:rsidRDefault="00D84931" w:rsidP="00D84931">
            <w:pPr>
              <w:spacing w:before="40" w:after="40"/>
              <w:jc w:val="right"/>
              <w:rPr>
                <w:rFonts w:cs="Arial"/>
                <w:sz w:val="18"/>
                <w:szCs w:val="18"/>
              </w:rPr>
            </w:pPr>
            <w:r w:rsidRPr="001D41EA">
              <w:rPr>
                <w:rFonts w:cs="Arial"/>
                <w:sz w:val="18"/>
                <w:szCs w:val="18"/>
              </w:rPr>
              <w:t>123,063,348</w:t>
            </w:r>
          </w:p>
        </w:tc>
      </w:tr>
      <w:tr w:rsidR="00D84931" w:rsidRPr="001D41EA" w14:paraId="6721983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37E5426" w14:textId="77777777" w:rsidR="00D84931" w:rsidRPr="001D41EA" w:rsidRDefault="00D84931" w:rsidP="00D84931">
            <w:pPr>
              <w:spacing w:before="40" w:after="40"/>
              <w:rPr>
                <w:rFonts w:cs="Arial"/>
                <w:sz w:val="18"/>
                <w:szCs w:val="18"/>
              </w:rPr>
            </w:pPr>
            <w:r w:rsidRPr="001D41EA">
              <w:rPr>
                <w:rFonts w:cs="Arial"/>
                <w:sz w:val="18"/>
                <w:szCs w:val="18"/>
              </w:rPr>
              <w:t>Greater Geelong C</w:t>
            </w:r>
          </w:p>
        </w:tc>
        <w:tc>
          <w:tcPr>
            <w:tcW w:w="1701" w:type="dxa"/>
            <w:tcBorders>
              <w:top w:val="nil"/>
              <w:left w:val="single" w:sz="18" w:space="0" w:color="5F497A" w:themeColor="accent4" w:themeShade="BF"/>
              <w:bottom w:val="nil"/>
              <w:right w:val="nil"/>
            </w:tcBorders>
            <w:shd w:val="clear" w:color="auto" w:fill="auto"/>
            <w:noWrap/>
            <w:vAlign w:val="bottom"/>
          </w:tcPr>
          <w:p w14:paraId="506F2A2B" w14:textId="223AD74D" w:rsidR="00D84931" w:rsidRPr="001D41EA" w:rsidRDefault="00D84931" w:rsidP="00D84931">
            <w:pPr>
              <w:spacing w:before="40" w:after="40"/>
              <w:jc w:val="right"/>
              <w:rPr>
                <w:rFonts w:cs="Arial"/>
                <w:sz w:val="18"/>
                <w:szCs w:val="18"/>
              </w:rPr>
            </w:pPr>
            <w:r w:rsidRPr="001D41EA">
              <w:rPr>
                <w:rFonts w:cs="Arial"/>
                <w:sz w:val="18"/>
                <w:szCs w:val="18"/>
              </w:rPr>
              <w:t>156,898,484</w:t>
            </w:r>
          </w:p>
        </w:tc>
        <w:tc>
          <w:tcPr>
            <w:tcW w:w="1701" w:type="dxa"/>
            <w:tcBorders>
              <w:top w:val="nil"/>
              <w:left w:val="nil"/>
              <w:bottom w:val="nil"/>
              <w:right w:val="nil"/>
            </w:tcBorders>
            <w:vAlign w:val="bottom"/>
          </w:tcPr>
          <w:p w14:paraId="53B190E8" w14:textId="46626DA7" w:rsidR="00D84931" w:rsidRPr="001D41EA" w:rsidRDefault="00D84931" w:rsidP="00D84931">
            <w:pPr>
              <w:spacing w:before="40" w:after="40"/>
              <w:jc w:val="right"/>
              <w:rPr>
                <w:rFonts w:cs="Arial"/>
                <w:sz w:val="18"/>
                <w:szCs w:val="18"/>
              </w:rPr>
            </w:pPr>
            <w:r w:rsidRPr="001D41EA">
              <w:rPr>
                <w:rFonts w:cs="Arial"/>
                <w:sz w:val="18"/>
                <w:szCs w:val="18"/>
              </w:rPr>
              <w:t>38,337,836</w:t>
            </w:r>
          </w:p>
        </w:tc>
        <w:tc>
          <w:tcPr>
            <w:tcW w:w="1701" w:type="dxa"/>
            <w:tcBorders>
              <w:top w:val="nil"/>
              <w:left w:val="nil"/>
              <w:bottom w:val="nil"/>
              <w:right w:val="nil"/>
            </w:tcBorders>
            <w:shd w:val="clear" w:color="auto" w:fill="auto"/>
            <w:noWrap/>
            <w:vAlign w:val="bottom"/>
          </w:tcPr>
          <w:p w14:paraId="5E10F397" w14:textId="491580DA" w:rsidR="00D84931" w:rsidRPr="001D41EA" w:rsidRDefault="00D84931" w:rsidP="00D84931">
            <w:pPr>
              <w:spacing w:before="40" w:after="40"/>
              <w:jc w:val="right"/>
              <w:rPr>
                <w:rFonts w:cs="Arial"/>
                <w:sz w:val="18"/>
                <w:szCs w:val="18"/>
              </w:rPr>
            </w:pPr>
            <w:r w:rsidRPr="001D41EA">
              <w:rPr>
                <w:rFonts w:cs="Arial"/>
                <w:sz w:val="18"/>
                <w:szCs w:val="18"/>
              </w:rPr>
              <w:t>4,229,535</w:t>
            </w:r>
          </w:p>
        </w:tc>
        <w:tc>
          <w:tcPr>
            <w:tcW w:w="1701" w:type="dxa"/>
            <w:tcBorders>
              <w:top w:val="nil"/>
              <w:left w:val="nil"/>
              <w:bottom w:val="nil"/>
              <w:right w:val="nil"/>
            </w:tcBorders>
            <w:vAlign w:val="bottom"/>
          </w:tcPr>
          <w:p w14:paraId="4B5DC37E" w14:textId="58FCF539" w:rsidR="00D84931" w:rsidRPr="001D41EA" w:rsidRDefault="00D84931" w:rsidP="00D84931">
            <w:pPr>
              <w:spacing w:before="40" w:after="40"/>
              <w:jc w:val="right"/>
              <w:rPr>
                <w:rFonts w:cs="Arial"/>
                <w:sz w:val="18"/>
                <w:szCs w:val="18"/>
              </w:rPr>
            </w:pPr>
            <w:r w:rsidRPr="001D41EA">
              <w:rPr>
                <w:rFonts w:cs="Arial"/>
                <w:sz w:val="18"/>
                <w:szCs w:val="18"/>
              </w:rPr>
              <w:t>199,465,855</w:t>
            </w:r>
          </w:p>
        </w:tc>
      </w:tr>
      <w:tr w:rsidR="00D84931" w:rsidRPr="001D41EA" w14:paraId="5BDF352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ED9F903" w14:textId="77777777" w:rsidR="00D84931" w:rsidRPr="001D41EA" w:rsidRDefault="00D84931" w:rsidP="00D84931">
            <w:pPr>
              <w:spacing w:before="40" w:after="40"/>
              <w:rPr>
                <w:rFonts w:cs="Arial"/>
                <w:sz w:val="18"/>
                <w:szCs w:val="18"/>
              </w:rPr>
            </w:pPr>
            <w:r w:rsidRPr="001D41EA">
              <w:rPr>
                <w:rFonts w:cs="Arial"/>
                <w:sz w:val="18"/>
                <w:szCs w:val="18"/>
              </w:rPr>
              <w:t>Greater Shepparton C</w:t>
            </w:r>
          </w:p>
        </w:tc>
        <w:tc>
          <w:tcPr>
            <w:tcW w:w="1701" w:type="dxa"/>
            <w:tcBorders>
              <w:top w:val="nil"/>
              <w:left w:val="single" w:sz="18" w:space="0" w:color="5F497A" w:themeColor="accent4" w:themeShade="BF"/>
              <w:bottom w:val="nil"/>
              <w:right w:val="nil"/>
            </w:tcBorders>
            <w:shd w:val="clear" w:color="auto" w:fill="auto"/>
            <w:noWrap/>
            <w:vAlign w:val="bottom"/>
          </w:tcPr>
          <w:p w14:paraId="5B3298F1" w14:textId="7B58773A" w:rsidR="00D84931" w:rsidRPr="001D41EA" w:rsidRDefault="00D84931" w:rsidP="00D84931">
            <w:pPr>
              <w:spacing w:before="40" w:after="40"/>
              <w:jc w:val="right"/>
              <w:rPr>
                <w:rFonts w:cs="Arial"/>
                <w:sz w:val="18"/>
                <w:szCs w:val="18"/>
              </w:rPr>
            </w:pPr>
            <w:r w:rsidRPr="001D41EA">
              <w:rPr>
                <w:rFonts w:cs="Arial"/>
                <w:sz w:val="18"/>
                <w:szCs w:val="18"/>
              </w:rPr>
              <w:t>45,916,995</w:t>
            </w:r>
          </w:p>
        </w:tc>
        <w:tc>
          <w:tcPr>
            <w:tcW w:w="1701" w:type="dxa"/>
            <w:tcBorders>
              <w:top w:val="nil"/>
              <w:left w:val="nil"/>
              <w:bottom w:val="nil"/>
              <w:right w:val="nil"/>
            </w:tcBorders>
            <w:vAlign w:val="bottom"/>
          </w:tcPr>
          <w:p w14:paraId="3F223FE0" w14:textId="0BE2DF04" w:rsidR="00D84931" w:rsidRPr="001D41EA" w:rsidRDefault="00D84931" w:rsidP="00D84931">
            <w:pPr>
              <w:spacing w:before="40" w:after="40"/>
              <w:jc w:val="right"/>
              <w:rPr>
                <w:rFonts w:cs="Arial"/>
                <w:sz w:val="18"/>
                <w:szCs w:val="18"/>
              </w:rPr>
            </w:pPr>
            <w:r w:rsidRPr="001D41EA">
              <w:rPr>
                <w:rFonts w:cs="Arial"/>
                <w:sz w:val="18"/>
                <w:szCs w:val="18"/>
              </w:rPr>
              <w:t>16,736,869</w:t>
            </w:r>
          </w:p>
        </w:tc>
        <w:tc>
          <w:tcPr>
            <w:tcW w:w="1701" w:type="dxa"/>
            <w:tcBorders>
              <w:top w:val="nil"/>
              <w:left w:val="nil"/>
              <w:bottom w:val="nil"/>
              <w:right w:val="nil"/>
            </w:tcBorders>
            <w:shd w:val="clear" w:color="auto" w:fill="auto"/>
            <w:noWrap/>
            <w:vAlign w:val="bottom"/>
          </w:tcPr>
          <w:p w14:paraId="1FF9448D" w14:textId="19924225" w:rsidR="00D84931" w:rsidRPr="001D41EA" w:rsidRDefault="00D84931" w:rsidP="00D84931">
            <w:pPr>
              <w:spacing w:before="40" w:after="40"/>
              <w:jc w:val="right"/>
              <w:rPr>
                <w:rFonts w:cs="Arial"/>
                <w:sz w:val="18"/>
                <w:szCs w:val="18"/>
              </w:rPr>
            </w:pPr>
            <w:r w:rsidRPr="001D41EA">
              <w:rPr>
                <w:rFonts w:cs="Arial"/>
                <w:sz w:val="18"/>
                <w:szCs w:val="18"/>
              </w:rPr>
              <w:t>6,981,020</w:t>
            </w:r>
          </w:p>
        </w:tc>
        <w:tc>
          <w:tcPr>
            <w:tcW w:w="1701" w:type="dxa"/>
            <w:tcBorders>
              <w:top w:val="nil"/>
              <w:left w:val="nil"/>
              <w:bottom w:val="nil"/>
              <w:right w:val="nil"/>
            </w:tcBorders>
            <w:vAlign w:val="bottom"/>
          </w:tcPr>
          <w:p w14:paraId="38C79656" w14:textId="1B0046EE" w:rsidR="00D84931" w:rsidRPr="001D41EA" w:rsidRDefault="00D84931" w:rsidP="00D84931">
            <w:pPr>
              <w:spacing w:before="40" w:after="40"/>
              <w:jc w:val="right"/>
              <w:rPr>
                <w:rFonts w:cs="Arial"/>
                <w:sz w:val="18"/>
                <w:szCs w:val="18"/>
              </w:rPr>
            </w:pPr>
            <w:r w:rsidRPr="001D41EA">
              <w:rPr>
                <w:rFonts w:cs="Arial"/>
                <w:sz w:val="18"/>
                <w:szCs w:val="18"/>
              </w:rPr>
              <w:t>69,634,885</w:t>
            </w:r>
          </w:p>
        </w:tc>
      </w:tr>
      <w:tr w:rsidR="00D84931" w:rsidRPr="001D41EA" w14:paraId="7722911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D075085" w14:textId="77777777" w:rsidR="00D84931" w:rsidRPr="001D41EA" w:rsidRDefault="00D84931" w:rsidP="00D84931">
            <w:pPr>
              <w:spacing w:before="40" w:after="40"/>
              <w:rPr>
                <w:rFonts w:cs="Arial"/>
                <w:sz w:val="18"/>
                <w:szCs w:val="18"/>
              </w:rPr>
            </w:pPr>
            <w:r w:rsidRPr="001D41EA">
              <w:rPr>
                <w:rFonts w:cs="Arial"/>
                <w:sz w:val="18"/>
                <w:szCs w:val="18"/>
              </w:rPr>
              <w:t>Hepburn S</w:t>
            </w:r>
          </w:p>
        </w:tc>
        <w:tc>
          <w:tcPr>
            <w:tcW w:w="1701" w:type="dxa"/>
            <w:tcBorders>
              <w:top w:val="nil"/>
              <w:left w:val="single" w:sz="18" w:space="0" w:color="5F497A" w:themeColor="accent4" w:themeShade="BF"/>
              <w:bottom w:val="nil"/>
              <w:right w:val="nil"/>
            </w:tcBorders>
            <w:shd w:val="clear" w:color="auto" w:fill="auto"/>
            <w:noWrap/>
            <w:vAlign w:val="bottom"/>
          </w:tcPr>
          <w:p w14:paraId="3CA8C400" w14:textId="74ADE8DB" w:rsidR="00D84931" w:rsidRPr="001D41EA" w:rsidRDefault="00D84931" w:rsidP="00D84931">
            <w:pPr>
              <w:spacing w:before="40" w:after="40"/>
              <w:jc w:val="right"/>
              <w:rPr>
                <w:rFonts w:cs="Arial"/>
                <w:sz w:val="18"/>
                <w:szCs w:val="18"/>
              </w:rPr>
            </w:pPr>
            <w:r w:rsidRPr="001D41EA">
              <w:rPr>
                <w:rFonts w:cs="Arial"/>
                <w:sz w:val="18"/>
                <w:szCs w:val="18"/>
              </w:rPr>
              <w:t>13,511,515</w:t>
            </w:r>
          </w:p>
        </w:tc>
        <w:tc>
          <w:tcPr>
            <w:tcW w:w="1701" w:type="dxa"/>
            <w:tcBorders>
              <w:top w:val="nil"/>
              <w:left w:val="nil"/>
              <w:bottom w:val="nil"/>
              <w:right w:val="nil"/>
            </w:tcBorders>
            <w:vAlign w:val="bottom"/>
          </w:tcPr>
          <w:p w14:paraId="31740AFE" w14:textId="4ECB15F0" w:rsidR="00D84931" w:rsidRPr="001D41EA" w:rsidRDefault="00D84931" w:rsidP="00D84931">
            <w:pPr>
              <w:spacing w:before="40" w:after="40"/>
              <w:jc w:val="right"/>
              <w:rPr>
                <w:rFonts w:cs="Arial"/>
                <w:sz w:val="18"/>
                <w:szCs w:val="18"/>
              </w:rPr>
            </w:pPr>
            <w:r w:rsidRPr="001D41EA">
              <w:rPr>
                <w:rFonts w:cs="Arial"/>
                <w:sz w:val="18"/>
                <w:szCs w:val="18"/>
              </w:rPr>
              <w:t>2,709,886</w:t>
            </w:r>
          </w:p>
        </w:tc>
        <w:tc>
          <w:tcPr>
            <w:tcW w:w="1701" w:type="dxa"/>
            <w:tcBorders>
              <w:top w:val="nil"/>
              <w:left w:val="nil"/>
              <w:bottom w:val="nil"/>
              <w:right w:val="nil"/>
            </w:tcBorders>
            <w:shd w:val="clear" w:color="auto" w:fill="auto"/>
            <w:noWrap/>
            <w:vAlign w:val="bottom"/>
          </w:tcPr>
          <w:p w14:paraId="4BD687B1" w14:textId="6015861B" w:rsidR="00D84931" w:rsidRPr="001D41EA" w:rsidRDefault="00D84931" w:rsidP="00D84931">
            <w:pPr>
              <w:spacing w:before="40" w:after="40"/>
              <w:jc w:val="right"/>
              <w:rPr>
                <w:rFonts w:cs="Arial"/>
                <w:sz w:val="18"/>
                <w:szCs w:val="18"/>
              </w:rPr>
            </w:pPr>
            <w:r w:rsidRPr="001D41EA">
              <w:rPr>
                <w:rFonts w:cs="Arial"/>
                <w:sz w:val="18"/>
                <w:szCs w:val="18"/>
              </w:rPr>
              <w:t>1,960,708</w:t>
            </w:r>
          </w:p>
        </w:tc>
        <w:tc>
          <w:tcPr>
            <w:tcW w:w="1701" w:type="dxa"/>
            <w:tcBorders>
              <w:top w:val="nil"/>
              <w:left w:val="nil"/>
              <w:bottom w:val="nil"/>
              <w:right w:val="nil"/>
            </w:tcBorders>
            <w:vAlign w:val="bottom"/>
          </w:tcPr>
          <w:p w14:paraId="00206DD7" w14:textId="34C6A58E" w:rsidR="00D84931" w:rsidRPr="001D41EA" w:rsidRDefault="00D84931" w:rsidP="00D84931">
            <w:pPr>
              <w:spacing w:before="40" w:after="40"/>
              <w:jc w:val="right"/>
              <w:rPr>
                <w:rFonts w:cs="Arial"/>
                <w:sz w:val="18"/>
                <w:szCs w:val="18"/>
              </w:rPr>
            </w:pPr>
            <w:r w:rsidRPr="001D41EA">
              <w:rPr>
                <w:rFonts w:cs="Arial"/>
                <w:sz w:val="18"/>
                <w:szCs w:val="18"/>
              </w:rPr>
              <w:t>18,182,109</w:t>
            </w:r>
          </w:p>
        </w:tc>
      </w:tr>
      <w:tr w:rsidR="00D84931" w:rsidRPr="001D41EA" w14:paraId="411FC2C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4252435" w14:textId="77777777" w:rsidR="00D84931" w:rsidRPr="001D41EA" w:rsidRDefault="00D84931" w:rsidP="00D84931">
            <w:pPr>
              <w:spacing w:before="40" w:after="40"/>
              <w:rPr>
                <w:rFonts w:cs="Arial"/>
                <w:sz w:val="18"/>
                <w:szCs w:val="18"/>
              </w:rPr>
            </w:pPr>
            <w:r w:rsidRPr="001D41EA">
              <w:rPr>
                <w:rFonts w:cs="Arial"/>
                <w:sz w:val="18"/>
                <w:szCs w:val="18"/>
              </w:rPr>
              <w:t>Hindmarsh S</w:t>
            </w:r>
          </w:p>
        </w:tc>
        <w:tc>
          <w:tcPr>
            <w:tcW w:w="1701" w:type="dxa"/>
            <w:tcBorders>
              <w:top w:val="nil"/>
              <w:left w:val="single" w:sz="18" w:space="0" w:color="5F497A" w:themeColor="accent4" w:themeShade="BF"/>
              <w:bottom w:val="nil"/>
              <w:right w:val="nil"/>
            </w:tcBorders>
            <w:shd w:val="clear" w:color="auto" w:fill="auto"/>
            <w:noWrap/>
            <w:vAlign w:val="bottom"/>
          </w:tcPr>
          <w:p w14:paraId="1FEAC911" w14:textId="43CA1A11" w:rsidR="00D84931" w:rsidRPr="001D41EA" w:rsidRDefault="00D84931" w:rsidP="00D84931">
            <w:pPr>
              <w:spacing w:before="40" w:after="40"/>
              <w:jc w:val="right"/>
              <w:rPr>
                <w:rFonts w:cs="Arial"/>
                <w:sz w:val="18"/>
                <w:szCs w:val="18"/>
              </w:rPr>
            </w:pPr>
            <w:r w:rsidRPr="001D41EA">
              <w:rPr>
                <w:rFonts w:cs="Arial"/>
                <w:sz w:val="18"/>
                <w:szCs w:val="18"/>
              </w:rPr>
              <w:t>2,762,483</w:t>
            </w:r>
          </w:p>
        </w:tc>
        <w:tc>
          <w:tcPr>
            <w:tcW w:w="1701" w:type="dxa"/>
            <w:tcBorders>
              <w:top w:val="nil"/>
              <w:left w:val="nil"/>
              <w:bottom w:val="nil"/>
              <w:right w:val="nil"/>
            </w:tcBorders>
            <w:vAlign w:val="bottom"/>
          </w:tcPr>
          <w:p w14:paraId="0D30536A" w14:textId="3B56E414" w:rsidR="00D84931" w:rsidRPr="001D41EA" w:rsidRDefault="00D84931" w:rsidP="00D84931">
            <w:pPr>
              <w:spacing w:before="40" w:after="40"/>
              <w:jc w:val="right"/>
              <w:rPr>
                <w:rFonts w:cs="Arial"/>
                <w:sz w:val="18"/>
                <w:szCs w:val="18"/>
              </w:rPr>
            </w:pPr>
            <w:r w:rsidRPr="001D41EA">
              <w:rPr>
                <w:rFonts w:cs="Arial"/>
                <w:sz w:val="18"/>
                <w:szCs w:val="18"/>
              </w:rPr>
              <w:t>395,393</w:t>
            </w:r>
          </w:p>
        </w:tc>
        <w:tc>
          <w:tcPr>
            <w:tcW w:w="1701" w:type="dxa"/>
            <w:tcBorders>
              <w:top w:val="nil"/>
              <w:left w:val="nil"/>
              <w:bottom w:val="nil"/>
              <w:right w:val="nil"/>
            </w:tcBorders>
            <w:shd w:val="clear" w:color="auto" w:fill="auto"/>
            <w:noWrap/>
            <w:vAlign w:val="bottom"/>
          </w:tcPr>
          <w:p w14:paraId="11FCD2DE" w14:textId="0F78AE4F" w:rsidR="00D84931" w:rsidRPr="001D41EA" w:rsidRDefault="00D84931" w:rsidP="00D84931">
            <w:pPr>
              <w:spacing w:before="40" w:after="40"/>
              <w:jc w:val="right"/>
              <w:rPr>
                <w:rFonts w:cs="Arial"/>
                <w:sz w:val="18"/>
                <w:szCs w:val="18"/>
              </w:rPr>
            </w:pPr>
            <w:r w:rsidRPr="001D41EA">
              <w:rPr>
                <w:rFonts w:cs="Arial"/>
                <w:sz w:val="18"/>
                <w:szCs w:val="18"/>
              </w:rPr>
              <w:t>4,612,613</w:t>
            </w:r>
          </w:p>
        </w:tc>
        <w:tc>
          <w:tcPr>
            <w:tcW w:w="1701" w:type="dxa"/>
            <w:tcBorders>
              <w:top w:val="nil"/>
              <w:left w:val="nil"/>
              <w:bottom w:val="nil"/>
              <w:right w:val="nil"/>
            </w:tcBorders>
            <w:vAlign w:val="bottom"/>
          </w:tcPr>
          <w:p w14:paraId="2B323B75" w14:textId="23C3B46A" w:rsidR="00D84931" w:rsidRPr="001D41EA" w:rsidRDefault="00D84931" w:rsidP="00D84931">
            <w:pPr>
              <w:spacing w:before="40" w:after="40"/>
              <w:jc w:val="right"/>
              <w:rPr>
                <w:rFonts w:cs="Arial"/>
                <w:sz w:val="18"/>
                <w:szCs w:val="18"/>
              </w:rPr>
            </w:pPr>
            <w:r w:rsidRPr="001D41EA">
              <w:rPr>
                <w:rFonts w:cs="Arial"/>
                <w:sz w:val="18"/>
                <w:szCs w:val="18"/>
              </w:rPr>
              <w:t>7,770,488</w:t>
            </w:r>
          </w:p>
        </w:tc>
      </w:tr>
      <w:tr w:rsidR="00D84931" w:rsidRPr="001D41EA" w14:paraId="0250AC1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A8147BA" w14:textId="77777777" w:rsidR="00D84931" w:rsidRPr="001D41EA" w:rsidRDefault="00D84931" w:rsidP="00D84931">
            <w:pPr>
              <w:spacing w:before="40" w:after="40"/>
              <w:rPr>
                <w:rFonts w:cs="Arial"/>
                <w:sz w:val="18"/>
                <w:szCs w:val="18"/>
              </w:rPr>
            </w:pPr>
            <w:r w:rsidRPr="001D41EA">
              <w:rPr>
                <w:rFonts w:cs="Arial"/>
                <w:sz w:val="18"/>
                <w:szCs w:val="18"/>
              </w:rPr>
              <w:t>Hobsons Bay C</w:t>
            </w:r>
          </w:p>
        </w:tc>
        <w:tc>
          <w:tcPr>
            <w:tcW w:w="1701" w:type="dxa"/>
            <w:tcBorders>
              <w:top w:val="nil"/>
              <w:left w:val="single" w:sz="18" w:space="0" w:color="5F497A" w:themeColor="accent4" w:themeShade="BF"/>
              <w:bottom w:val="nil"/>
              <w:right w:val="nil"/>
            </w:tcBorders>
            <w:shd w:val="clear" w:color="auto" w:fill="auto"/>
            <w:noWrap/>
            <w:vAlign w:val="bottom"/>
          </w:tcPr>
          <w:p w14:paraId="4CA9A42E" w14:textId="25ED0453" w:rsidR="00D84931" w:rsidRPr="001D41EA" w:rsidRDefault="00D84931" w:rsidP="00D84931">
            <w:pPr>
              <w:spacing w:before="40" w:after="40"/>
              <w:jc w:val="right"/>
              <w:rPr>
                <w:rFonts w:cs="Arial"/>
                <w:sz w:val="18"/>
                <w:szCs w:val="18"/>
              </w:rPr>
            </w:pPr>
            <w:r w:rsidRPr="001D41EA">
              <w:rPr>
                <w:rFonts w:cs="Arial"/>
                <w:sz w:val="18"/>
                <w:szCs w:val="18"/>
              </w:rPr>
              <w:t>65,269,430</w:t>
            </w:r>
          </w:p>
        </w:tc>
        <w:tc>
          <w:tcPr>
            <w:tcW w:w="1701" w:type="dxa"/>
            <w:tcBorders>
              <w:top w:val="nil"/>
              <w:left w:val="nil"/>
              <w:bottom w:val="nil"/>
              <w:right w:val="nil"/>
            </w:tcBorders>
            <w:vAlign w:val="bottom"/>
          </w:tcPr>
          <w:p w14:paraId="230C4B0F" w14:textId="10CBB860" w:rsidR="00D84931" w:rsidRPr="001D41EA" w:rsidRDefault="00D84931" w:rsidP="00D84931">
            <w:pPr>
              <w:spacing w:before="40" w:after="40"/>
              <w:jc w:val="right"/>
              <w:rPr>
                <w:rFonts w:cs="Arial"/>
                <w:sz w:val="18"/>
                <w:szCs w:val="18"/>
              </w:rPr>
            </w:pPr>
            <w:r w:rsidRPr="001D41EA">
              <w:rPr>
                <w:rFonts w:cs="Arial"/>
                <w:sz w:val="18"/>
                <w:szCs w:val="18"/>
              </w:rPr>
              <w:t>31,789,852</w:t>
            </w:r>
          </w:p>
        </w:tc>
        <w:tc>
          <w:tcPr>
            <w:tcW w:w="1701" w:type="dxa"/>
            <w:tcBorders>
              <w:top w:val="nil"/>
              <w:left w:val="nil"/>
              <w:bottom w:val="nil"/>
              <w:right w:val="nil"/>
            </w:tcBorders>
            <w:shd w:val="clear" w:color="auto" w:fill="auto"/>
            <w:noWrap/>
            <w:vAlign w:val="bottom"/>
          </w:tcPr>
          <w:p w14:paraId="29A849D4" w14:textId="726CF4A4"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38251984" w14:textId="58F23981" w:rsidR="00D84931" w:rsidRPr="001D41EA" w:rsidRDefault="00D84931" w:rsidP="00D84931">
            <w:pPr>
              <w:spacing w:before="40" w:after="40"/>
              <w:jc w:val="right"/>
              <w:rPr>
                <w:rFonts w:cs="Arial"/>
                <w:sz w:val="18"/>
                <w:szCs w:val="18"/>
              </w:rPr>
            </w:pPr>
            <w:r w:rsidRPr="001D41EA">
              <w:rPr>
                <w:rFonts w:cs="Arial"/>
                <w:sz w:val="18"/>
                <w:szCs w:val="18"/>
              </w:rPr>
              <w:t>97,059,282</w:t>
            </w:r>
          </w:p>
        </w:tc>
      </w:tr>
      <w:tr w:rsidR="00D84931" w:rsidRPr="001D41EA" w14:paraId="5B30645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BE64DE9" w14:textId="77777777" w:rsidR="00D84931" w:rsidRPr="001D41EA" w:rsidRDefault="00D84931" w:rsidP="00D84931">
            <w:pPr>
              <w:spacing w:before="40" w:after="40"/>
              <w:rPr>
                <w:rFonts w:cs="Arial"/>
                <w:sz w:val="18"/>
                <w:szCs w:val="18"/>
              </w:rPr>
            </w:pPr>
            <w:r w:rsidRPr="001D41EA">
              <w:rPr>
                <w:rFonts w:cs="Arial"/>
                <w:sz w:val="18"/>
                <w:szCs w:val="18"/>
              </w:rPr>
              <w:t>Horsham RC</w:t>
            </w:r>
          </w:p>
        </w:tc>
        <w:tc>
          <w:tcPr>
            <w:tcW w:w="1701" w:type="dxa"/>
            <w:tcBorders>
              <w:top w:val="nil"/>
              <w:left w:val="single" w:sz="18" w:space="0" w:color="5F497A" w:themeColor="accent4" w:themeShade="BF"/>
              <w:bottom w:val="nil"/>
              <w:right w:val="nil"/>
            </w:tcBorders>
            <w:shd w:val="clear" w:color="auto" w:fill="auto"/>
            <w:noWrap/>
            <w:vAlign w:val="bottom"/>
          </w:tcPr>
          <w:p w14:paraId="7D47CAE5" w14:textId="5F94E280" w:rsidR="00D84931" w:rsidRPr="001D41EA" w:rsidRDefault="00D84931" w:rsidP="00D84931">
            <w:pPr>
              <w:spacing w:before="40" w:after="40"/>
              <w:jc w:val="right"/>
              <w:rPr>
                <w:rFonts w:cs="Arial"/>
                <w:sz w:val="18"/>
                <w:szCs w:val="18"/>
              </w:rPr>
            </w:pPr>
            <w:r w:rsidRPr="001D41EA">
              <w:rPr>
                <w:rFonts w:cs="Arial"/>
                <w:sz w:val="18"/>
                <w:szCs w:val="18"/>
              </w:rPr>
              <w:t>15,610,786</w:t>
            </w:r>
          </w:p>
        </w:tc>
        <w:tc>
          <w:tcPr>
            <w:tcW w:w="1701" w:type="dxa"/>
            <w:tcBorders>
              <w:top w:val="nil"/>
              <w:left w:val="nil"/>
              <w:bottom w:val="nil"/>
              <w:right w:val="nil"/>
            </w:tcBorders>
            <w:vAlign w:val="bottom"/>
          </w:tcPr>
          <w:p w14:paraId="463FAFA6" w14:textId="6DC24421" w:rsidR="00D84931" w:rsidRPr="001D41EA" w:rsidRDefault="00D84931" w:rsidP="00D84931">
            <w:pPr>
              <w:spacing w:before="40" w:after="40"/>
              <w:jc w:val="right"/>
              <w:rPr>
                <w:rFonts w:cs="Arial"/>
                <w:sz w:val="18"/>
                <w:szCs w:val="18"/>
              </w:rPr>
            </w:pPr>
            <w:r w:rsidRPr="001D41EA">
              <w:rPr>
                <w:rFonts w:cs="Arial"/>
                <w:sz w:val="18"/>
                <w:szCs w:val="18"/>
              </w:rPr>
              <w:t>2,664,230</w:t>
            </w:r>
          </w:p>
        </w:tc>
        <w:tc>
          <w:tcPr>
            <w:tcW w:w="1701" w:type="dxa"/>
            <w:tcBorders>
              <w:top w:val="nil"/>
              <w:left w:val="nil"/>
              <w:bottom w:val="nil"/>
              <w:right w:val="nil"/>
            </w:tcBorders>
            <w:shd w:val="clear" w:color="auto" w:fill="auto"/>
            <w:noWrap/>
            <w:vAlign w:val="bottom"/>
          </w:tcPr>
          <w:p w14:paraId="144241E8" w14:textId="50BC9AF3" w:rsidR="00D84931" w:rsidRPr="001D41EA" w:rsidRDefault="00D84931" w:rsidP="00D84931">
            <w:pPr>
              <w:spacing w:before="40" w:after="40"/>
              <w:jc w:val="right"/>
              <w:rPr>
                <w:rFonts w:cs="Arial"/>
                <w:sz w:val="18"/>
                <w:szCs w:val="18"/>
              </w:rPr>
            </w:pPr>
            <w:r w:rsidRPr="001D41EA">
              <w:rPr>
                <w:rFonts w:cs="Arial"/>
                <w:sz w:val="18"/>
                <w:szCs w:val="18"/>
              </w:rPr>
              <w:t>5,885,081</w:t>
            </w:r>
          </w:p>
        </w:tc>
        <w:tc>
          <w:tcPr>
            <w:tcW w:w="1701" w:type="dxa"/>
            <w:tcBorders>
              <w:top w:val="nil"/>
              <w:left w:val="nil"/>
              <w:bottom w:val="nil"/>
              <w:right w:val="nil"/>
            </w:tcBorders>
            <w:vAlign w:val="bottom"/>
          </w:tcPr>
          <w:p w14:paraId="4CE72983" w14:textId="6E914AF2" w:rsidR="00D84931" w:rsidRPr="001D41EA" w:rsidRDefault="00D84931" w:rsidP="00D84931">
            <w:pPr>
              <w:spacing w:before="40" w:after="40"/>
              <w:jc w:val="right"/>
              <w:rPr>
                <w:rFonts w:cs="Arial"/>
                <w:sz w:val="18"/>
                <w:szCs w:val="18"/>
              </w:rPr>
            </w:pPr>
            <w:r w:rsidRPr="001D41EA">
              <w:rPr>
                <w:rFonts w:cs="Arial"/>
                <w:sz w:val="18"/>
                <w:szCs w:val="18"/>
              </w:rPr>
              <w:t>24,160,097</w:t>
            </w:r>
          </w:p>
        </w:tc>
      </w:tr>
      <w:tr w:rsidR="00D84931" w:rsidRPr="001D41EA" w14:paraId="2342DB2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A85A6E8" w14:textId="77777777" w:rsidR="00D84931" w:rsidRPr="001D41EA" w:rsidRDefault="00D84931" w:rsidP="00D84931">
            <w:pPr>
              <w:spacing w:before="40" w:after="40"/>
              <w:rPr>
                <w:rFonts w:cs="Arial"/>
                <w:sz w:val="18"/>
                <w:szCs w:val="18"/>
              </w:rPr>
            </w:pPr>
            <w:r w:rsidRPr="001D41EA">
              <w:rPr>
                <w:rFonts w:cs="Arial"/>
                <w:sz w:val="18"/>
                <w:szCs w:val="18"/>
              </w:rPr>
              <w:t>Hume C</w:t>
            </w:r>
          </w:p>
        </w:tc>
        <w:tc>
          <w:tcPr>
            <w:tcW w:w="1701" w:type="dxa"/>
            <w:tcBorders>
              <w:top w:val="nil"/>
              <w:left w:val="single" w:sz="18" w:space="0" w:color="5F497A" w:themeColor="accent4" w:themeShade="BF"/>
              <w:bottom w:val="nil"/>
              <w:right w:val="nil"/>
            </w:tcBorders>
            <w:shd w:val="clear" w:color="auto" w:fill="auto"/>
            <w:noWrap/>
            <w:vAlign w:val="bottom"/>
          </w:tcPr>
          <w:p w14:paraId="2460FB8F" w14:textId="56F50A9E" w:rsidR="00D84931" w:rsidRPr="001D41EA" w:rsidRDefault="00D84931" w:rsidP="00D84931">
            <w:pPr>
              <w:spacing w:before="40" w:after="40"/>
              <w:jc w:val="right"/>
              <w:rPr>
                <w:rFonts w:cs="Arial"/>
                <w:sz w:val="18"/>
                <w:szCs w:val="18"/>
              </w:rPr>
            </w:pPr>
            <w:r w:rsidRPr="001D41EA">
              <w:rPr>
                <w:rFonts w:cs="Arial"/>
                <w:sz w:val="18"/>
                <w:szCs w:val="18"/>
              </w:rPr>
              <w:t>106,798,558</w:t>
            </w:r>
          </w:p>
        </w:tc>
        <w:tc>
          <w:tcPr>
            <w:tcW w:w="1701" w:type="dxa"/>
            <w:tcBorders>
              <w:top w:val="nil"/>
              <w:left w:val="nil"/>
              <w:bottom w:val="nil"/>
              <w:right w:val="nil"/>
            </w:tcBorders>
            <w:vAlign w:val="bottom"/>
          </w:tcPr>
          <w:p w14:paraId="379F584B" w14:textId="11A52E09" w:rsidR="00D84931" w:rsidRPr="001D41EA" w:rsidRDefault="00D84931" w:rsidP="00D84931">
            <w:pPr>
              <w:spacing w:before="40" w:after="40"/>
              <w:jc w:val="right"/>
              <w:rPr>
                <w:rFonts w:cs="Arial"/>
                <w:sz w:val="18"/>
                <w:szCs w:val="18"/>
              </w:rPr>
            </w:pPr>
            <w:r w:rsidRPr="001D41EA">
              <w:rPr>
                <w:rFonts w:cs="Arial"/>
                <w:sz w:val="18"/>
                <w:szCs w:val="18"/>
              </w:rPr>
              <w:t>27,218,752</w:t>
            </w:r>
          </w:p>
        </w:tc>
        <w:tc>
          <w:tcPr>
            <w:tcW w:w="1701" w:type="dxa"/>
            <w:tcBorders>
              <w:top w:val="nil"/>
              <w:left w:val="nil"/>
              <w:bottom w:val="nil"/>
              <w:right w:val="nil"/>
            </w:tcBorders>
            <w:shd w:val="clear" w:color="auto" w:fill="auto"/>
            <w:noWrap/>
            <w:vAlign w:val="bottom"/>
          </w:tcPr>
          <w:p w14:paraId="770B09B0" w14:textId="08E3D28F" w:rsidR="00D84931" w:rsidRPr="001D41EA" w:rsidRDefault="00D84931" w:rsidP="00D84931">
            <w:pPr>
              <w:spacing w:before="40" w:after="40"/>
              <w:jc w:val="right"/>
              <w:rPr>
                <w:rFonts w:cs="Arial"/>
                <w:sz w:val="18"/>
                <w:szCs w:val="18"/>
              </w:rPr>
            </w:pPr>
            <w:r w:rsidRPr="001D41EA">
              <w:rPr>
                <w:rFonts w:cs="Arial"/>
                <w:sz w:val="18"/>
                <w:szCs w:val="18"/>
              </w:rPr>
              <w:t>8,876,945</w:t>
            </w:r>
          </w:p>
        </w:tc>
        <w:tc>
          <w:tcPr>
            <w:tcW w:w="1701" w:type="dxa"/>
            <w:tcBorders>
              <w:top w:val="nil"/>
              <w:left w:val="nil"/>
              <w:bottom w:val="nil"/>
              <w:right w:val="nil"/>
            </w:tcBorders>
            <w:vAlign w:val="bottom"/>
          </w:tcPr>
          <w:p w14:paraId="7D7F99F9" w14:textId="27116FC6" w:rsidR="00D84931" w:rsidRPr="001D41EA" w:rsidRDefault="00D84931" w:rsidP="00D84931">
            <w:pPr>
              <w:spacing w:before="40" w:after="40"/>
              <w:jc w:val="right"/>
              <w:rPr>
                <w:rFonts w:cs="Arial"/>
                <w:sz w:val="18"/>
                <w:szCs w:val="18"/>
              </w:rPr>
            </w:pPr>
            <w:r w:rsidRPr="001D41EA">
              <w:rPr>
                <w:rFonts w:cs="Arial"/>
                <w:sz w:val="18"/>
                <w:szCs w:val="18"/>
              </w:rPr>
              <w:t>142,894,255</w:t>
            </w:r>
          </w:p>
        </w:tc>
      </w:tr>
      <w:tr w:rsidR="00D84931" w:rsidRPr="001D41EA" w14:paraId="6DCEF30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6DEE83F" w14:textId="77777777" w:rsidR="00D84931" w:rsidRPr="001D41EA" w:rsidRDefault="00D84931" w:rsidP="00D84931">
            <w:pPr>
              <w:spacing w:before="40" w:after="40"/>
              <w:rPr>
                <w:rFonts w:cs="Arial"/>
                <w:sz w:val="18"/>
                <w:szCs w:val="18"/>
              </w:rPr>
            </w:pPr>
            <w:r w:rsidRPr="001D41EA">
              <w:rPr>
                <w:rFonts w:cs="Arial"/>
                <w:sz w:val="18"/>
                <w:szCs w:val="18"/>
              </w:rPr>
              <w:t>Indigo S</w:t>
            </w:r>
          </w:p>
        </w:tc>
        <w:tc>
          <w:tcPr>
            <w:tcW w:w="1701" w:type="dxa"/>
            <w:tcBorders>
              <w:top w:val="nil"/>
              <w:left w:val="single" w:sz="18" w:space="0" w:color="5F497A" w:themeColor="accent4" w:themeShade="BF"/>
              <w:bottom w:val="nil"/>
              <w:right w:val="nil"/>
            </w:tcBorders>
            <w:shd w:val="clear" w:color="auto" w:fill="auto"/>
            <w:noWrap/>
            <w:vAlign w:val="bottom"/>
          </w:tcPr>
          <w:p w14:paraId="40809ABE" w14:textId="62F9BEC4" w:rsidR="00D84931" w:rsidRPr="001D41EA" w:rsidRDefault="00D84931" w:rsidP="00D84931">
            <w:pPr>
              <w:spacing w:before="40" w:after="40"/>
              <w:jc w:val="right"/>
              <w:rPr>
                <w:rFonts w:cs="Arial"/>
                <w:sz w:val="18"/>
                <w:szCs w:val="18"/>
              </w:rPr>
            </w:pPr>
            <w:r w:rsidRPr="001D41EA">
              <w:rPr>
                <w:rFonts w:cs="Arial"/>
                <w:sz w:val="18"/>
                <w:szCs w:val="18"/>
              </w:rPr>
              <w:t>9,822,663</w:t>
            </w:r>
          </w:p>
        </w:tc>
        <w:tc>
          <w:tcPr>
            <w:tcW w:w="1701" w:type="dxa"/>
            <w:tcBorders>
              <w:top w:val="nil"/>
              <w:left w:val="nil"/>
              <w:bottom w:val="nil"/>
              <w:right w:val="nil"/>
            </w:tcBorders>
            <w:vAlign w:val="bottom"/>
          </w:tcPr>
          <w:p w14:paraId="20BD4D68" w14:textId="22185C1E" w:rsidR="00D84931" w:rsidRPr="001D41EA" w:rsidRDefault="00D84931" w:rsidP="00D84931">
            <w:pPr>
              <w:spacing w:before="40" w:after="40"/>
              <w:jc w:val="right"/>
              <w:rPr>
                <w:rFonts w:cs="Arial"/>
                <w:sz w:val="18"/>
                <w:szCs w:val="18"/>
              </w:rPr>
            </w:pPr>
            <w:r w:rsidRPr="001D41EA">
              <w:rPr>
                <w:rFonts w:cs="Arial"/>
                <w:sz w:val="18"/>
                <w:szCs w:val="18"/>
              </w:rPr>
              <w:t>938,850</w:t>
            </w:r>
          </w:p>
        </w:tc>
        <w:tc>
          <w:tcPr>
            <w:tcW w:w="1701" w:type="dxa"/>
            <w:tcBorders>
              <w:top w:val="nil"/>
              <w:left w:val="nil"/>
              <w:bottom w:val="nil"/>
              <w:right w:val="nil"/>
            </w:tcBorders>
            <w:shd w:val="clear" w:color="auto" w:fill="auto"/>
            <w:noWrap/>
            <w:vAlign w:val="bottom"/>
          </w:tcPr>
          <w:p w14:paraId="194F5537" w14:textId="1B92A87E" w:rsidR="00D84931" w:rsidRPr="001D41EA" w:rsidRDefault="00D84931" w:rsidP="00D84931">
            <w:pPr>
              <w:spacing w:before="40" w:after="40"/>
              <w:jc w:val="right"/>
              <w:rPr>
                <w:rFonts w:cs="Arial"/>
                <w:sz w:val="18"/>
                <w:szCs w:val="18"/>
              </w:rPr>
            </w:pPr>
            <w:r w:rsidRPr="001D41EA">
              <w:rPr>
                <w:rFonts w:cs="Arial"/>
                <w:sz w:val="18"/>
                <w:szCs w:val="18"/>
              </w:rPr>
              <w:t>4,089,061</w:t>
            </w:r>
          </w:p>
        </w:tc>
        <w:tc>
          <w:tcPr>
            <w:tcW w:w="1701" w:type="dxa"/>
            <w:tcBorders>
              <w:top w:val="nil"/>
              <w:left w:val="nil"/>
              <w:bottom w:val="nil"/>
              <w:right w:val="nil"/>
            </w:tcBorders>
            <w:vAlign w:val="bottom"/>
          </w:tcPr>
          <w:p w14:paraId="1384EEEF" w14:textId="6456A916" w:rsidR="00D84931" w:rsidRPr="001D41EA" w:rsidRDefault="00D84931" w:rsidP="00D84931">
            <w:pPr>
              <w:spacing w:before="40" w:after="40"/>
              <w:jc w:val="right"/>
              <w:rPr>
                <w:rFonts w:cs="Arial"/>
                <w:sz w:val="18"/>
                <w:szCs w:val="18"/>
              </w:rPr>
            </w:pPr>
            <w:r w:rsidRPr="001D41EA">
              <w:rPr>
                <w:rFonts w:cs="Arial"/>
                <w:sz w:val="18"/>
                <w:szCs w:val="18"/>
              </w:rPr>
              <w:t>14,850,575</w:t>
            </w:r>
          </w:p>
        </w:tc>
      </w:tr>
      <w:tr w:rsidR="00D84931" w:rsidRPr="001D41EA" w14:paraId="5A2D122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74E5A31" w14:textId="77777777" w:rsidR="00D84931" w:rsidRPr="001D41EA" w:rsidRDefault="00D84931" w:rsidP="00D84931">
            <w:pPr>
              <w:spacing w:before="40" w:after="40"/>
              <w:rPr>
                <w:rFonts w:cs="Arial"/>
                <w:sz w:val="18"/>
                <w:szCs w:val="18"/>
              </w:rPr>
            </w:pPr>
            <w:r w:rsidRPr="001D41EA">
              <w:rPr>
                <w:rFonts w:cs="Arial"/>
                <w:sz w:val="18"/>
                <w:szCs w:val="18"/>
              </w:rPr>
              <w:t>Kingston C</w:t>
            </w:r>
          </w:p>
        </w:tc>
        <w:tc>
          <w:tcPr>
            <w:tcW w:w="1701" w:type="dxa"/>
            <w:tcBorders>
              <w:top w:val="nil"/>
              <w:left w:val="single" w:sz="18" w:space="0" w:color="5F497A" w:themeColor="accent4" w:themeShade="BF"/>
              <w:bottom w:val="nil"/>
              <w:right w:val="nil"/>
            </w:tcBorders>
            <w:shd w:val="clear" w:color="auto" w:fill="auto"/>
            <w:noWrap/>
            <w:vAlign w:val="bottom"/>
          </w:tcPr>
          <w:p w14:paraId="53E6CD03" w14:textId="6BA19D7C" w:rsidR="00D84931" w:rsidRPr="001D41EA" w:rsidRDefault="00D84931" w:rsidP="00D84931">
            <w:pPr>
              <w:spacing w:before="40" w:after="40"/>
              <w:jc w:val="right"/>
              <w:rPr>
                <w:rFonts w:cs="Arial"/>
                <w:sz w:val="18"/>
                <w:szCs w:val="18"/>
              </w:rPr>
            </w:pPr>
            <w:r w:rsidRPr="001D41EA">
              <w:rPr>
                <w:rFonts w:cs="Arial"/>
                <w:sz w:val="18"/>
                <w:szCs w:val="18"/>
              </w:rPr>
              <w:t>110,098,587</w:t>
            </w:r>
          </w:p>
        </w:tc>
        <w:tc>
          <w:tcPr>
            <w:tcW w:w="1701" w:type="dxa"/>
            <w:tcBorders>
              <w:top w:val="nil"/>
              <w:left w:val="nil"/>
              <w:bottom w:val="nil"/>
              <w:right w:val="nil"/>
            </w:tcBorders>
            <w:vAlign w:val="bottom"/>
          </w:tcPr>
          <w:p w14:paraId="5853C34E" w14:textId="32239EDA" w:rsidR="00D84931" w:rsidRPr="001D41EA" w:rsidRDefault="00D84931" w:rsidP="00D84931">
            <w:pPr>
              <w:spacing w:before="40" w:after="40"/>
              <w:jc w:val="right"/>
              <w:rPr>
                <w:rFonts w:cs="Arial"/>
                <w:sz w:val="18"/>
                <w:szCs w:val="18"/>
              </w:rPr>
            </w:pPr>
            <w:r w:rsidRPr="001D41EA">
              <w:rPr>
                <w:rFonts w:cs="Arial"/>
                <w:sz w:val="18"/>
                <w:szCs w:val="18"/>
              </w:rPr>
              <w:t>17,964,198</w:t>
            </w:r>
          </w:p>
        </w:tc>
        <w:tc>
          <w:tcPr>
            <w:tcW w:w="1701" w:type="dxa"/>
            <w:tcBorders>
              <w:top w:val="nil"/>
              <w:left w:val="nil"/>
              <w:bottom w:val="nil"/>
              <w:right w:val="nil"/>
            </w:tcBorders>
            <w:shd w:val="clear" w:color="auto" w:fill="auto"/>
            <w:noWrap/>
            <w:vAlign w:val="bottom"/>
          </w:tcPr>
          <w:p w14:paraId="207871A9" w14:textId="1B91CDF7" w:rsidR="00D84931" w:rsidRPr="001D41EA" w:rsidRDefault="00D84931" w:rsidP="00D84931">
            <w:pPr>
              <w:spacing w:before="40" w:after="40"/>
              <w:jc w:val="right"/>
              <w:rPr>
                <w:rFonts w:cs="Arial"/>
                <w:sz w:val="18"/>
                <w:szCs w:val="18"/>
              </w:rPr>
            </w:pPr>
            <w:r w:rsidRPr="001D41EA">
              <w:rPr>
                <w:rFonts w:cs="Arial"/>
                <w:sz w:val="18"/>
                <w:szCs w:val="18"/>
              </w:rPr>
              <w:t>208,190</w:t>
            </w:r>
          </w:p>
        </w:tc>
        <w:tc>
          <w:tcPr>
            <w:tcW w:w="1701" w:type="dxa"/>
            <w:tcBorders>
              <w:top w:val="nil"/>
              <w:left w:val="nil"/>
              <w:bottom w:val="nil"/>
              <w:right w:val="nil"/>
            </w:tcBorders>
            <w:vAlign w:val="bottom"/>
          </w:tcPr>
          <w:p w14:paraId="47AD3091" w14:textId="43973C1F" w:rsidR="00D84931" w:rsidRPr="001D41EA" w:rsidRDefault="00D84931" w:rsidP="00D84931">
            <w:pPr>
              <w:spacing w:before="40" w:after="40"/>
              <w:jc w:val="right"/>
              <w:rPr>
                <w:rFonts w:cs="Arial"/>
                <w:sz w:val="18"/>
                <w:szCs w:val="18"/>
              </w:rPr>
            </w:pPr>
            <w:r w:rsidRPr="001D41EA">
              <w:rPr>
                <w:rFonts w:cs="Arial"/>
                <w:sz w:val="18"/>
                <w:szCs w:val="18"/>
              </w:rPr>
              <w:t>128,270,976</w:t>
            </w:r>
          </w:p>
        </w:tc>
      </w:tr>
      <w:tr w:rsidR="00D84931" w:rsidRPr="001D41EA" w14:paraId="1738554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E1E3617" w14:textId="77777777" w:rsidR="00D84931" w:rsidRPr="001D41EA" w:rsidRDefault="00D84931" w:rsidP="00D84931">
            <w:pPr>
              <w:spacing w:before="40" w:after="40"/>
              <w:rPr>
                <w:rFonts w:cs="Arial"/>
                <w:sz w:val="18"/>
                <w:szCs w:val="18"/>
              </w:rPr>
            </w:pPr>
            <w:r w:rsidRPr="001D41EA">
              <w:rPr>
                <w:rFonts w:cs="Arial"/>
                <w:sz w:val="18"/>
                <w:szCs w:val="18"/>
              </w:rPr>
              <w:t>Knox C</w:t>
            </w:r>
          </w:p>
        </w:tc>
        <w:tc>
          <w:tcPr>
            <w:tcW w:w="1701" w:type="dxa"/>
            <w:tcBorders>
              <w:top w:val="nil"/>
              <w:left w:val="single" w:sz="18" w:space="0" w:color="5F497A" w:themeColor="accent4" w:themeShade="BF"/>
              <w:bottom w:val="nil"/>
              <w:right w:val="nil"/>
            </w:tcBorders>
            <w:shd w:val="clear" w:color="auto" w:fill="auto"/>
            <w:noWrap/>
            <w:vAlign w:val="bottom"/>
          </w:tcPr>
          <w:p w14:paraId="380DD49E" w14:textId="1BEA3E5E" w:rsidR="00D84931" w:rsidRPr="001D41EA" w:rsidRDefault="00D84931" w:rsidP="00D84931">
            <w:pPr>
              <w:spacing w:before="40" w:after="40"/>
              <w:jc w:val="right"/>
              <w:rPr>
                <w:rFonts w:cs="Arial"/>
                <w:sz w:val="18"/>
                <w:szCs w:val="18"/>
              </w:rPr>
            </w:pPr>
            <w:r w:rsidRPr="001D41EA">
              <w:rPr>
                <w:rFonts w:cs="Arial"/>
                <w:sz w:val="18"/>
                <w:szCs w:val="18"/>
              </w:rPr>
              <w:t>83,141,482</w:t>
            </w:r>
          </w:p>
        </w:tc>
        <w:tc>
          <w:tcPr>
            <w:tcW w:w="1701" w:type="dxa"/>
            <w:tcBorders>
              <w:top w:val="nil"/>
              <w:left w:val="nil"/>
              <w:bottom w:val="nil"/>
              <w:right w:val="nil"/>
            </w:tcBorders>
            <w:vAlign w:val="bottom"/>
          </w:tcPr>
          <w:p w14:paraId="05A27716" w14:textId="04674C1B" w:rsidR="00D84931" w:rsidRPr="001D41EA" w:rsidRDefault="00D84931" w:rsidP="00D84931">
            <w:pPr>
              <w:spacing w:before="40" w:after="40"/>
              <w:jc w:val="right"/>
              <w:rPr>
                <w:rFonts w:cs="Arial"/>
                <w:sz w:val="18"/>
                <w:szCs w:val="18"/>
              </w:rPr>
            </w:pPr>
            <w:r w:rsidRPr="001D41EA">
              <w:rPr>
                <w:rFonts w:cs="Arial"/>
                <w:sz w:val="18"/>
                <w:szCs w:val="18"/>
              </w:rPr>
              <w:t>26,053,548</w:t>
            </w:r>
          </w:p>
        </w:tc>
        <w:tc>
          <w:tcPr>
            <w:tcW w:w="1701" w:type="dxa"/>
            <w:tcBorders>
              <w:top w:val="nil"/>
              <w:left w:val="nil"/>
              <w:bottom w:val="nil"/>
              <w:right w:val="nil"/>
            </w:tcBorders>
            <w:shd w:val="clear" w:color="auto" w:fill="auto"/>
            <w:noWrap/>
            <w:vAlign w:val="bottom"/>
          </w:tcPr>
          <w:p w14:paraId="44BF379F" w14:textId="09DF64E1"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76C5A42D" w14:textId="5A2DC0A3" w:rsidR="00D84931" w:rsidRPr="001D41EA" w:rsidRDefault="00D84931" w:rsidP="00D84931">
            <w:pPr>
              <w:spacing w:before="40" w:after="40"/>
              <w:jc w:val="right"/>
              <w:rPr>
                <w:rFonts w:cs="Arial"/>
                <w:sz w:val="18"/>
                <w:szCs w:val="18"/>
              </w:rPr>
            </w:pPr>
            <w:r w:rsidRPr="001D41EA">
              <w:rPr>
                <w:rFonts w:cs="Arial"/>
                <w:sz w:val="18"/>
                <w:szCs w:val="18"/>
              </w:rPr>
              <w:t>109,195,031</w:t>
            </w:r>
          </w:p>
        </w:tc>
      </w:tr>
      <w:tr w:rsidR="00D84931" w:rsidRPr="001D41EA" w14:paraId="0C1FD7A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72B3850" w14:textId="77777777" w:rsidR="00D84931" w:rsidRPr="001D41EA" w:rsidRDefault="00D84931" w:rsidP="00D84931">
            <w:pPr>
              <w:spacing w:before="40" w:after="40"/>
              <w:rPr>
                <w:rFonts w:cs="Arial"/>
                <w:sz w:val="18"/>
                <w:szCs w:val="18"/>
              </w:rPr>
            </w:pPr>
            <w:r w:rsidRPr="001D41EA">
              <w:rPr>
                <w:rFonts w:cs="Arial"/>
                <w:sz w:val="18"/>
                <w:szCs w:val="18"/>
              </w:rPr>
              <w:t>Latrobe C</w:t>
            </w:r>
          </w:p>
        </w:tc>
        <w:tc>
          <w:tcPr>
            <w:tcW w:w="1701" w:type="dxa"/>
            <w:tcBorders>
              <w:top w:val="nil"/>
              <w:left w:val="single" w:sz="18" w:space="0" w:color="5F497A" w:themeColor="accent4" w:themeShade="BF"/>
              <w:bottom w:val="nil"/>
              <w:right w:val="nil"/>
            </w:tcBorders>
            <w:shd w:val="clear" w:color="auto" w:fill="auto"/>
            <w:noWrap/>
            <w:vAlign w:val="bottom"/>
          </w:tcPr>
          <w:p w14:paraId="001C3A85" w14:textId="28441032" w:rsidR="00D84931" w:rsidRPr="001D41EA" w:rsidRDefault="00D84931" w:rsidP="00D84931">
            <w:pPr>
              <w:spacing w:before="40" w:after="40"/>
              <w:jc w:val="right"/>
              <w:rPr>
                <w:rFonts w:cs="Arial"/>
                <w:sz w:val="18"/>
                <w:szCs w:val="18"/>
              </w:rPr>
            </w:pPr>
            <w:r w:rsidRPr="001D41EA">
              <w:rPr>
                <w:rFonts w:cs="Arial"/>
                <w:sz w:val="18"/>
                <w:szCs w:val="18"/>
              </w:rPr>
              <w:t>52,970,536</w:t>
            </w:r>
          </w:p>
        </w:tc>
        <w:tc>
          <w:tcPr>
            <w:tcW w:w="1701" w:type="dxa"/>
            <w:tcBorders>
              <w:top w:val="nil"/>
              <w:left w:val="nil"/>
              <w:bottom w:val="nil"/>
              <w:right w:val="nil"/>
            </w:tcBorders>
            <w:vAlign w:val="bottom"/>
          </w:tcPr>
          <w:p w14:paraId="55FDB18B" w14:textId="562E25FB" w:rsidR="00D84931" w:rsidRPr="001D41EA" w:rsidRDefault="00D84931" w:rsidP="00D84931">
            <w:pPr>
              <w:spacing w:before="40" w:after="40"/>
              <w:jc w:val="right"/>
              <w:rPr>
                <w:rFonts w:cs="Arial"/>
                <w:sz w:val="18"/>
                <w:szCs w:val="18"/>
              </w:rPr>
            </w:pPr>
            <w:r w:rsidRPr="001D41EA">
              <w:rPr>
                <w:rFonts w:cs="Arial"/>
                <w:sz w:val="18"/>
                <w:szCs w:val="18"/>
              </w:rPr>
              <w:t>8,642,500</w:t>
            </w:r>
          </w:p>
        </w:tc>
        <w:tc>
          <w:tcPr>
            <w:tcW w:w="1701" w:type="dxa"/>
            <w:tcBorders>
              <w:top w:val="nil"/>
              <w:left w:val="nil"/>
              <w:bottom w:val="nil"/>
              <w:right w:val="nil"/>
            </w:tcBorders>
            <w:shd w:val="clear" w:color="auto" w:fill="auto"/>
            <w:noWrap/>
            <w:vAlign w:val="bottom"/>
          </w:tcPr>
          <w:p w14:paraId="0091084E" w14:textId="4373E387" w:rsidR="00D84931" w:rsidRPr="001D41EA" w:rsidRDefault="00D84931" w:rsidP="00D84931">
            <w:pPr>
              <w:spacing w:before="40" w:after="40"/>
              <w:jc w:val="right"/>
              <w:rPr>
                <w:rFonts w:cs="Arial"/>
                <w:sz w:val="18"/>
                <w:szCs w:val="18"/>
              </w:rPr>
            </w:pPr>
            <w:r w:rsidRPr="001D41EA">
              <w:rPr>
                <w:rFonts w:cs="Arial"/>
                <w:sz w:val="18"/>
                <w:szCs w:val="18"/>
              </w:rPr>
              <w:t>2,884,001</w:t>
            </w:r>
          </w:p>
        </w:tc>
        <w:tc>
          <w:tcPr>
            <w:tcW w:w="1701" w:type="dxa"/>
            <w:tcBorders>
              <w:top w:val="nil"/>
              <w:left w:val="nil"/>
              <w:bottom w:val="nil"/>
              <w:right w:val="nil"/>
            </w:tcBorders>
            <w:vAlign w:val="bottom"/>
          </w:tcPr>
          <w:p w14:paraId="56F83BED" w14:textId="4FEC879C" w:rsidR="00D84931" w:rsidRPr="001D41EA" w:rsidRDefault="00D84931" w:rsidP="00D84931">
            <w:pPr>
              <w:spacing w:before="40" w:after="40"/>
              <w:jc w:val="right"/>
              <w:rPr>
                <w:rFonts w:cs="Arial"/>
                <w:sz w:val="18"/>
                <w:szCs w:val="18"/>
              </w:rPr>
            </w:pPr>
            <w:r w:rsidRPr="001D41EA">
              <w:rPr>
                <w:rFonts w:cs="Arial"/>
                <w:sz w:val="18"/>
                <w:szCs w:val="18"/>
              </w:rPr>
              <w:t>64,497,036</w:t>
            </w:r>
          </w:p>
        </w:tc>
      </w:tr>
      <w:tr w:rsidR="00D84931" w:rsidRPr="001D41EA" w14:paraId="6FD65E7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CA0FDD5" w14:textId="77777777" w:rsidR="00D84931" w:rsidRPr="001D41EA" w:rsidRDefault="00D84931" w:rsidP="00D84931">
            <w:pPr>
              <w:spacing w:before="40" w:after="40"/>
              <w:rPr>
                <w:rFonts w:cs="Arial"/>
                <w:sz w:val="18"/>
                <w:szCs w:val="18"/>
              </w:rPr>
            </w:pPr>
            <w:r w:rsidRPr="001D41EA">
              <w:rPr>
                <w:rFonts w:cs="Arial"/>
                <w:sz w:val="18"/>
                <w:szCs w:val="18"/>
              </w:rPr>
              <w:t>Loddon S</w:t>
            </w:r>
          </w:p>
        </w:tc>
        <w:tc>
          <w:tcPr>
            <w:tcW w:w="1701" w:type="dxa"/>
            <w:tcBorders>
              <w:top w:val="nil"/>
              <w:left w:val="single" w:sz="18" w:space="0" w:color="5F497A" w:themeColor="accent4" w:themeShade="BF"/>
              <w:bottom w:val="nil"/>
              <w:right w:val="nil"/>
            </w:tcBorders>
            <w:shd w:val="clear" w:color="auto" w:fill="auto"/>
            <w:noWrap/>
            <w:vAlign w:val="bottom"/>
          </w:tcPr>
          <w:p w14:paraId="073697E5" w14:textId="401B5625" w:rsidR="00D84931" w:rsidRPr="001D41EA" w:rsidRDefault="00D84931" w:rsidP="00D84931">
            <w:pPr>
              <w:spacing w:before="40" w:after="40"/>
              <w:jc w:val="right"/>
              <w:rPr>
                <w:rFonts w:cs="Arial"/>
                <w:sz w:val="18"/>
                <w:szCs w:val="18"/>
              </w:rPr>
            </w:pPr>
            <w:r w:rsidRPr="001D41EA">
              <w:rPr>
                <w:rFonts w:cs="Arial"/>
                <w:sz w:val="18"/>
                <w:szCs w:val="18"/>
              </w:rPr>
              <w:t>3,833,424</w:t>
            </w:r>
          </w:p>
        </w:tc>
        <w:tc>
          <w:tcPr>
            <w:tcW w:w="1701" w:type="dxa"/>
            <w:tcBorders>
              <w:top w:val="nil"/>
              <w:left w:val="nil"/>
              <w:bottom w:val="nil"/>
              <w:right w:val="nil"/>
            </w:tcBorders>
            <w:vAlign w:val="bottom"/>
          </w:tcPr>
          <w:p w14:paraId="546DD28E" w14:textId="73C4A78C" w:rsidR="00D84931" w:rsidRPr="001D41EA" w:rsidRDefault="00D84931" w:rsidP="00D84931">
            <w:pPr>
              <w:spacing w:before="40" w:after="40"/>
              <w:jc w:val="right"/>
              <w:rPr>
                <w:rFonts w:cs="Arial"/>
                <w:sz w:val="18"/>
                <w:szCs w:val="18"/>
              </w:rPr>
            </w:pPr>
            <w:r w:rsidRPr="001D41EA">
              <w:rPr>
                <w:rFonts w:cs="Arial"/>
                <w:sz w:val="18"/>
                <w:szCs w:val="18"/>
              </w:rPr>
              <w:t>425,414</w:t>
            </w:r>
          </w:p>
        </w:tc>
        <w:tc>
          <w:tcPr>
            <w:tcW w:w="1701" w:type="dxa"/>
            <w:tcBorders>
              <w:top w:val="nil"/>
              <w:left w:val="nil"/>
              <w:bottom w:val="nil"/>
              <w:right w:val="nil"/>
            </w:tcBorders>
            <w:shd w:val="clear" w:color="auto" w:fill="auto"/>
            <w:noWrap/>
            <w:vAlign w:val="bottom"/>
          </w:tcPr>
          <w:p w14:paraId="14336B6E" w14:textId="5A5CAB75" w:rsidR="00D84931" w:rsidRPr="001D41EA" w:rsidRDefault="00D84931" w:rsidP="00D84931">
            <w:pPr>
              <w:spacing w:before="40" w:after="40"/>
              <w:jc w:val="right"/>
              <w:rPr>
                <w:rFonts w:cs="Arial"/>
                <w:sz w:val="18"/>
                <w:szCs w:val="18"/>
              </w:rPr>
            </w:pPr>
            <w:r w:rsidRPr="001D41EA">
              <w:rPr>
                <w:rFonts w:cs="Arial"/>
                <w:sz w:val="18"/>
                <w:szCs w:val="18"/>
              </w:rPr>
              <w:t>5,606,963</w:t>
            </w:r>
          </w:p>
        </w:tc>
        <w:tc>
          <w:tcPr>
            <w:tcW w:w="1701" w:type="dxa"/>
            <w:tcBorders>
              <w:top w:val="nil"/>
              <w:left w:val="nil"/>
              <w:bottom w:val="nil"/>
              <w:right w:val="nil"/>
            </w:tcBorders>
            <w:vAlign w:val="bottom"/>
          </w:tcPr>
          <w:p w14:paraId="13AD0646" w14:textId="302A7C40" w:rsidR="00D84931" w:rsidRPr="001D41EA" w:rsidRDefault="00D84931" w:rsidP="00D84931">
            <w:pPr>
              <w:spacing w:before="40" w:after="40"/>
              <w:jc w:val="right"/>
              <w:rPr>
                <w:rFonts w:cs="Arial"/>
                <w:sz w:val="18"/>
                <w:szCs w:val="18"/>
              </w:rPr>
            </w:pPr>
            <w:r w:rsidRPr="001D41EA">
              <w:rPr>
                <w:rFonts w:cs="Arial"/>
                <w:sz w:val="18"/>
                <w:szCs w:val="18"/>
              </w:rPr>
              <w:t>9,865,801</w:t>
            </w:r>
          </w:p>
        </w:tc>
      </w:tr>
    </w:tbl>
    <w:p w14:paraId="0DF27CBC" w14:textId="77777777" w:rsidR="0020502F" w:rsidRPr="00A44829" w:rsidRDefault="0020502F" w:rsidP="00FF36E8">
      <w:pPr>
        <w:spacing w:before="40" w:after="20"/>
        <w:rPr>
          <w:rFonts w:cs="Arial"/>
          <w:sz w:val="18"/>
          <w:szCs w:val="18"/>
        </w:rPr>
      </w:pPr>
    </w:p>
    <w:p w14:paraId="2AA7DDB0" w14:textId="77777777" w:rsidR="002C331E" w:rsidRPr="00A44829" w:rsidRDefault="002C331E" w:rsidP="00FF36E8">
      <w:pPr>
        <w:spacing w:before="40" w:after="20"/>
        <w:rPr>
          <w:rFonts w:cs="Arial"/>
          <w:sz w:val="18"/>
          <w:szCs w:val="18"/>
        </w:rPr>
      </w:pPr>
      <w:r w:rsidRPr="00A44829">
        <w:rPr>
          <w:rFonts w:cs="Arial"/>
          <w:sz w:val="18"/>
          <w:szCs w:val="18"/>
        </w:rPr>
        <w:br w:type="page"/>
      </w:r>
    </w:p>
    <w:p w14:paraId="04F074EB" w14:textId="54C65E41" w:rsidR="002C331E" w:rsidRPr="00A44829" w:rsidRDefault="00EE4593" w:rsidP="00C33713">
      <w:pPr>
        <w:pStyle w:val="VGC-Head10"/>
      </w:pPr>
      <w:r w:rsidRPr="00A44829">
        <w:lastRenderedPageBreak/>
        <w:t>2019-20</w:t>
      </w:r>
      <w:r w:rsidR="00A97ABE" w:rsidRPr="00A44829">
        <w:t xml:space="preserve"> </w:t>
      </w:r>
      <w:r w:rsidR="002C331E" w:rsidRPr="00A44829">
        <w:t>General Purpose Grants</w:t>
      </w:r>
      <w:r w:rsidR="00CE4507" w:rsidRPr="00A44829">
        <w:tab/>
        <w:t>Appendix 4</w:t>
      </w:r>
    </w:p>
    <w:p w14:paraId="17C215E5" w14:textId="77777777" w:rsidR="002C331E" w:rsidRPr="00A44829" w:rsidRDefault="004F1184" w:rsidP="008C1A28">
      <w:pPr>
        <w:pStyle w:val="VGC-Head2"/>
      </w:pPr>
      <w:r w:rsidRPr="00A44829">
        <w:tab/>
      </w:r>
      <w:r w:rsidR="00D67755" w:rsidRPr="00A44829">
        <w:t>J</w:t>
      </w:r>
      <w:r w:rsidR="002C331E" w:rsidRPr="00A44829">
        <w:t xml:space="preserve">.  Standardised </w:t>
      </w:r>
      <w:r w:rsidR="00D67755" w:rsidRPr="00A44829">
        <w:t xml:space="preserve">Rate </w:t>
      </w:r>
      <w:r w:rsidR="002C331E" w:rsidRPr="00A44829">
        <w:t>Revenue</w:t>
      </w:r>
    </w:p>
    <w:p w14:paraId="0BCEA05A" w14:textId="77777777" w:rsidR="002C331E" w:rsidRPr="00A44829"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A44829" w14:paraId="286AD18C" w14:textId="77777777" w:rsidTr="00B44BBE">
        <w:trPr>
          <w:tblHeader/>
        </w:trPr>
        <w:tc>
          <w:tcPr>
            <w:tcW w:w="2268" w:type="dxa"/>
            <w:tcBorders>
              <w:left w:val="nil"/>
              <w:right w:val="single" w:sz="18" w:space="0" w:color="5F497A" w:themeColor="accent4" w:themeShade="BF"/>
            </w:tcBorders>
            <w:shd w:val="clear" w:color="auto" w:fill="auto"/>
            <w:vAlign w:val="bottom"/>
          </w:tcPr>
          <w:p w14:paraId="10EA4BFA" w14:textId="77777777" w:rsidR="00540FD9" w:rsidRPr="00A44829" w:rsidRDefault="00540FD9" w:rsidP="008001AD">
            <w:pPr>
              <w:spacing w:before="40" w:after="20"/>
              <w:jc w:val="center"/>
              <w:rPr>
                <w:rFonts w:cs="Arial"/>
                <w:sz w:val="18"/>
                <w:szCs w:val="18"/>
              </w:rPr>
            </w:pPr>
          </w:p>
        </w:tc>
        <w:tc>
          <w:tcPr>
            <w:tcW w:w="6804" w:type="dxa"/>
            <w:gridSpan w:val="4"/>
            <w:tcBorders>
              <w:left w:val="single" w:sz="18" w:space="0" w:color="5F497A" w:themeColor="accent4" w:themeShade="BF"/>
              <w:bottom w:val="single" w:sz="8" w:space="0" w:color="5F497A" w:themeColor="accent4" w:themeShade="BF"/>
              <w:right w:val="nil"/>
            </w:tcBorders>
            <w:shd w:val="clear" w:color="auto" w:fill="auto"/>
            <w:vAlign w:val="bottom"/>
          </w:tcPr>
          <w:p w14:paraId="077180E7" w14:textId="77777777" w:rsidR="00540FD9" w:rsidRPr="00A44829" w:rsidRDefault="008D3EF8" w:rsidP="008001AD">
            <w:pPr>
              <w:spacing w:before="40" w:after="20"/>
              <w:jc w:val="center"/>
              <w:rPr>
                <w:rFonts w:cs="Arial"/>
                <w:b/>
                <w:sz w:val="18"/>
                <w:szCs w:val="18"/>
              </w:rPr>
            </w:pPr>
            <w:r w:rsidRPr="00A44829">
              <w:rPr>
                <w:rFonts w:cs="Arial"/>
                <w:b/>
                <w:sz w:val="18"/>
                <w:szCs w:val="18"/>
              </w:rPr>
              <w:t>4</w:t>
            </w:r>
            <w:r w:rsidR="00540FD9" w:rsidRPr="00A44829">
              <w:rPr>
                <w:rFonts w:cs="Arial"/>
                <w:b/>
                <w:sz w:val="18"/>
                <w:szCs w:val="18"/>
              </w:rPr>
              <w:t xml:space="preserve"> Year Average Valuations (CIV)</w:t>
            </w:r>
          </w:p>
        </w:tc>
      </w:tr>
      <w:tr w:rsidR="00540FD9" w:rsidRPr="00A44829" w14:paraId="0095BF26" w14:textId="77777777" w:rsidTr="00B44BBE">
        <w:trPr>
          <w:tblHeader/>
        </w:trPr>
        <w:tc>
          <w:tcPr>
            <w:tcW w:w="2268" w:type="dxa"/>
            <w:tcBorders>
              <w:left w:val="nil"/>
              <w:right w:val="single" w:sz="18" w:space="0" w:color="5F497A" w:themeColor="accent4" w:themeShade="BF"/>
            </w:tcBorders>
            <w:shd w:val="clear" w:color="auto" w:fill="auto"/>
            <w:vAlign w:val="bottom"/>
          </w:tcPr>
          <w:p w14:paraId="24F5A11B" w14:textId="77777777" w:rsidR="00540FD9" w:rsidRPr="00A44829" w:rsidRDefault="00540FD9" w:rsidP="008001AD">
            <w:pPr>
              <w:spacing w:before="40" w:after="20"/>
              <w:jc w:val="center"/>
              <w:rPr>
                <w:rFonts w:cs="Arial"/>
                <w:sz w:val="18"/>
                <w:szCs w:val="18"/>
              </w:rPr>
            </w:pPr>
          </w:p>
        </w:tc>
        <w:tc>
          <w:tcPr>
            <w:tcW w:w="170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7E3259F4" w14:textId="77777777" w:rsidR="00540FD9" w:rsidRPr="00A44829" w:rsidRDefault="00540FD9" w:rsidP="008001AD">
            <w:pPr>
              <w:spacing w:before="40" w:after="20"/>
              <w:jc w:val="center"/>
              <w:rPr>
                <w:rFonts w:cs="Arial"/>
                <w:sz w:val="16"/>
                <w:szCs w:val="16"/>
              </w:rPr>
            </w:pPr>
            <w:r w:rsidRPr="00A44829">
              <w:rPr>
                <w:rFonts w:cs="Arial"/>
                <w:sz w:val="16"/>
                <w:szCs w:val="16"/>
              </w:rPr>
              <w:t>Residential</w:t>
            </w:r>
            <w:r w:rsidRPr="00A44829">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6CB1DAFA" w14:textId="77777777" w:rsidR="00540FD9" w:rsidRPr="00A44829" w:rsidRDefault="00540FD9" w:rsidP="008001AD">
            <w:pPr>
              <w:spacing w:before="40" w:after="20"/>
              <w:jc w:val="center"/>
              <w:rPr>
                <w:rFonts w:cs="Arial"/>
                <w:sz w:val="16"/>
                <w:szCs w:val="16"/>
              </w:rPr>
            </w:pPr>
            <w:r w:rsidRPr="00A44829">
              <w:rPr>
                <w:rFonts w:cs="Arial"/>
                <w:sz w:val="16"/>
                <w:szCs w:val="16"/>
              </w:rPr>
              <w:t>Commercial / Industrial (incl. Other)</w:t>
            </w:r>
            <w:r w:rsidRPr="00A44829">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7E2A940A" w14:textId="77777777" w:rsidR="00540FD9" w:rsidRPr="00A44829" w:rsidRDefault="00540FD9" w:rsidP="008001AD">
            <w:pPr>
              <w:spacing w:before="40" w:after="20"/>
              <w:jc w:val="center"/>
              <w:rPr>
                <w:rFonts w:cs="Arial"/>
                <w:sz w:val="16"/>
                <w:szCs w:val="16"/>
              </w:rPr>
            </w:pPr>
            <w:r w:rsidRPr="00A44829">
              <w:rPr>
                <w:rFonts w:cs="Arial"/>
                <w:sz w:val="16"/>
                <w:szCs w:val="16"/>
              </w:rPr>
              <w:t>Farm</w:t>
            </w:r>
            <w:r w:rsidRPr="00A44829">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427E4123" w14:textId="77777777" w:rsidR="00540FD9" w:rsidRPr="00A44829" w:rsidRDefault="00540FD9" w:rsidP="008001AD">
            <w:pPr>
              <w:spacing w:before="40" w:after="20"/>
              <w:jc w:val="center"/>
              <w:rPr>
                <w:rFonts w:cs="Arial"/>
                <w:sz w:val="16"/>
                <w:szCs w:val="16"/>
              </w:rPr>
            </w:pPr>
            <w:r w:rsidRPr="00A44829">
              <w:rPr>
                <w:rFonts w:cs="Arial"/>
                <w:sz w:val="16"/>
                <w:szCs w:val="16"/>
              </w:rPr>
              <w:t xml:space="preserve">Total </w:t>
            </w:r>
            <w:r w:rsidRPr="00A44829">
              <w:rPr>
                <w:rFonts w:cs="Arial"/>
                <w:sz w:val="16"/>
                <w:szCs w:val="16"/>
              </w:rPr>
              <w:br/>
              <w:t>($)</w:t>
            </w:r>
          </w:p>
        </w:tc>
      </w:tr>
      <w:tr w:rsidR="00D84931" w:rsidRPr="001D41EA" w14:paraId="1D5EBDF2" w14:textId="77777777" w:rsidTr="00B44BBE">
        <w:trPr>
          <w:tblHeader/>
        </w:trPr>
        <w:tc>
          <w:tcPr>
            <w:tcW w:w="2268" w:type="dxa"/>
            <w:tcBorders>
              <w:left w:val="nil"/>
              <w:bottom w:val="nil"/>
              <w:right w:val="single" w:sz="18" w:space="0" w:color="5F497A" w:themeColor="accent4" w:themeShade="BF"/>
            </w:tcBorders>
            <w:shd w:val="clear" w:color="auto" w:fill="auto"/>
            <w:noWrap/>
            <w:vAlign w:val="center"/>
          </w:tcPr>
          <w:p w14:paraId="0BD2C9B5" w14:textId="77777777" w:rsidR="00D84931" w:rsidRPr="001D41EA" w:rsidRDefault="00D84931" w:rsidP="00D84931">
            <w:pPr>
              <w:spacing w:before="40" w:after="40"/>
              <w:rPr>
                <w:rFonts w:cs="Arial"/>
                <w:sz w:val="18"/>
                <w:szCs w:val="18"/>
              </w:rPr>
            </w:pPr>
          </w:p>
        </w:tc>
        <w:tc>
          <w:tcPr>
            <w:tcW w:w="170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3090E160" w14:textId="3E331734" w:rsidR="00D84931" w:rsidRPr="001D41EA" w:rsidRDefault="00D84931" w:rsidP="00D84931">
            <w:pPr>
              <w:spacing w:before="40" w:after="40"/>
              <w:jc w:val="right"/>
              <w:rPr>
                <w:rFonts w:cs="Arial"/>
                <w:sz w:val="18"/>
                <w:szCs w:val="18"/>
              </w:rPr>
            </w:pPr>
            <w:r w:rsidRPr="001D41EA">
              <w:rPr>
                <w:rFonts w:cs="Arial"/>
                <w:sz w:val="18"/>
                <w:szCs w:val="18"/>
              </w:rPr>
              <w:t> </w:t>
            </w:r>
          </w:p>
        </w:tc>
        <w:tc>
          <w:tcPr>
            <w:tcW w:w="1701" w:type="dxa"/>
            <w:tcBorders>
              <w:top w:val="single" w:sz="8" w:space="0" w:color="5F497A" w:themeColor="accent4" w:themeShade="BF"/>
              <w:left w:val="nil"/>
              <w:bottom w:val="nil"/>
              <w:right w:val="nil"/>
            </w:tcBorders>
            <w:vAlign w:val="bottom"/>
          </w:tcPr>
          <w:p w14:paraId="4122DCD4" w14:textId="77777777" w:rsidR="00D84931" w:rsidRPr="001D41EA" w:rsidRDefault="00D84931" w:rsidP="00D84931">
            <w:pPr>
              <w:spacing w:before="40" w:after="40"/>
              <w:jc w:val="right"/>
              <w:rPr>
                <w:rFonts w:cs="Arial"/>
                <w:sz w:val="18"/>
                <w:szCs w:val="18"/>
              </w:rPr>
            </w:pPr>
          </w:p>
        </w:tc>
        <w:tc>
          <w:tcPr>
            <w:tcW w:w="1701" w:type="dxa"/>
            <w:tcBorders>
              <w:top w:val="single" w:sz="8" w:space="0" w:color="5F497A" w:themeColor="accent4" w:themeShade="BF"/>
              <w:left w:val="nil"/>
              <w:bottom w:val="nil"/>
              <w:right w:val="nil"/>
            </w:tcBorders>
            <w:shd w:val="clear" w:color="auto" w:fill="auto"/>
            <w:noWrap/>
            <w:vAlign w:val="bottom"/>
          </w:tcPr>
          <w:p w14:paraId="717E9501" w14:textId="77777777" w:rsidR="00D84931" w:rsidRPr="001D41EA" w:rsidRDefault="00D84931" w:rsidP="00D84931">
            <w:pPr>
              <w:spacing w:before="40" w:after="40"/>
              <w:jc w:val="right"/>
              <w:rPr>
                <w:rFonts w:cs="Arial"/>
                <w:sz w:val="18"/>
                <w:szCs w:val="18"/>
              </w:rPr>
            </w:pPr>
          </w:p>
        </w:tc>
        <w:tc>
          <w:tcPr>
            <w:tcW w:w="1701" w:type="dxa"/>
            <w:tcBorders>
              <w:top w:val="single" w:sz="8" w:space="0" w:color="5F497A" w:themeColor="accent4" w:themeShade="BF"/>
              <w:left w:val="nil"/>
              <w:bottom w:val="nil"/>
              <w:right w:val="nil"/>
            </w:tcBorders>
            <w:vAlign w:val="bottom"/>
          </w:tcPr>
          <w:p w14:paraId="202743BF" w14:textId="3885E134" w:rsidR="00D84931" w:rsidRPr="001D41EA" w:rsidRDefault="00D84931" w:rsidP="00D84931">
            <w:pPr>
              <w:spacing w:before="40" w:after="40"/>
              <w:jc w:val="right"/>
              <w:rPr>
                <w:rFonts w:cs="Arial"/>
                <w:sz w:val="18"/>
                <w:szCs w:val="18"/>
              </w:rPr>
            </w:pPr>
            <w:r w:rsidRPr="001D41EA">
              <w:rPr>
                <w:rFonts w:cs="Arial"/>
                <w:sz w:val="18"/>
                <w:szCs w:val="18"/>
              </w:rPr>
              <w:t> </w:t>
            </w:r>
          </w:p>
        </w:tc>
      </w:tr>
      <w:tr w:rsidR="00D84931" w:rsidRPr="001D41EA" w14:paraId="299F583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6A9B24C" w14:textId="77777777" w:rsidR="00D84931" w:rsidRPr="001D41EA" w:rsidRDefault="00D84931" w:rsidP="00D84931">
            <w:pPr>
              <w:spacing w:before="40" w:after="40"/>
              <w:rPr>
                <w:rFonts w:cs="Arial"/>
                <w:sz w:val="18"/>
                <w:szCs w:val="18"/>
              </w:rPr>
            </w:pPr>
            <w:r w:rsidRPr="001D41EA">
              <w:rPr>
                <w:rFonts w:cs="Arial"/>
                <w:sz w:val="18"/>
                <w:szCs w:val="18"/>
              </w:rPr>
              <w:t>Alpine S</w:t>
            </w:r>
          </w:p>
        </w:tc>
        <w:tc>
          <w:tcPr>
            <w:tcW w:w="1701" w:type="dxa"/>
            <w:tcBorders>
              <w:top w:val="nil"/>
              <w:left w:val="single" w:sz="18" w:space="0" w:color="5F497A" w:themeColor="accent4" w:themeShade="BF"/>
              <w:bottom w:val="nil"/>
              <w:right w:val="nil"/>
            </w:tcBorders>
            <w:shd w:val="clear" w:color="auto" w:fill="auto"/>
            <w:noWrap/>
            <w:vAlign w:val="bottom"/>
          </w:tcPr>
          <w:p w14:paraId="4729EF17" w14:textId="031D4D47" w:rsidR="00D84931" w:rsidRPr="001D41EA" w:rsidRDefault="00D84931" w:rsidP="00D84931">
            <w:pPr>
              <w:spacing w:before="40" w:after="40"/>
              <w:jc w:val="right"/>
              <w:rPr>
                <w:rFonts w:cs="Arial"/>
                <w:sz w:val="18"/>
                <w:szCs w:val="18"/>
              </w:rPr>
            </w:pPr>
            <w:r w:rsidRPr="001D41EA">
              <w:rPr>
                <w:rFonts w:cs="Arial"/>
                <w:sz w:val="18"/>
                <w:szCs w:val="18"/>
              </w:rPr>
              <w:t>1,683,269,125</w:t>
            </w:r>
          </w:p>
        </w:tc>
        <w:tc>
          <w:tcPr>
            <w:tcW w:w="1701" w:type="dxa"/>
            <w:tcBorders>
              <w:top w:val="nil"/>
              <w:left w:val="nil"/>
              <w:bottom w:val="nil"/>
              <w:right w:val="nil"/>
            </w:tcBorders>
            <w:vAlign w:val="bottom"/>
          </w:tcPr>
          <w:p w14:paraId="2EC62B42" w14:textId="162A57EA" w:rsidR="00D84931" w:rsidRPr="001D41EA" w:rsidRDefault="00D84931" w:rsidP="00D84931">
            <w:pPr>
              <w:spacing w:before="40" w:after="40"/>
              <w:jc w:val="right"/>
              <w:rPr>
                <w:rFonts w:cs="Arial"/>
                <w:sz w:val="18"/>
                <w:szCs w:val="18"/>
              </w:rPr>
            </w:pPr>
            <w:r w:rsidRPr="001D41EA">
              <w:rPr>
                <w:rFonts w:cs="Arial"/>
                <w:sz w:val="18"/>
                <w:szCs w:val="18"/>
              </w:rPr>
              <w:t>312,292,250</w:t>
            </w:r>
          </w:p>
        </w:tc>
        <w:tc>
          <w:tcPr>
            <w:tcW w:w="1701" w:type="dxa"/>
            <w:tcBorders>
              <w:top w:val="nil"/>
              <w:left w:val="nil"/>
              <w:bottom w:val="nil"/>
              <w:right w:val="nil"/>
            </w:tcBorders>
            <w:shd w:val="clear" w:color="auto" w:fill="auto"/>
            <w:noWrap/>
            <w:vAlign w:val="bottom"/>
          </w:tcPr>
          <w:p w14:paraId="03765E05" w14:textId="717B6B8C" w:rsidR="00D84931" w:rsidRPr="001D41EA" w:rsidRDefault="00D84931" w:rsidP="00D84931">
            <w:pPr>
              <w:spacing w:before="40" w:after="40"/>
              <w:jc w:val="right"/>
              <w:rPr>
                <w:rFonts w:cs="Arial"/>
                <w:sz w:val="18"/>
                <w:szCs w:val="18"/>
              </w:rPr>
            </w:pPr>
            <w:r w:rsidRPr="001D41EA">
              <w:rPr>
                <w:rFonts w:cs="Arial"/>
                <w:sz w:val="18"/>
                <w:szCs w:val="18"/>
              </w:rPr>
              <w:t>692,012,600</w:t>
            </w:r>
          </w:p>
        </w:tc>
        <w:tc>
          <w:tcPr>
            <w:tcW w:w="1701" w:type="dxa"/>
            <w:tcBorders>
              <w:top w:val="nil"/>
              <w:left w:val="nil"/>
              <w:bottom w:val="nil"/>
              <w:right w:val="nil"/>
            </w:tcBorders>
            <w:vAlign w:val="bottom"/>
          </w:tcPr>
          <w:p w14:paraId="6F018D87" w14:textId="26D9CBE7" w:rsidR="00D84931" w:rsidRPr="001D41EA" w:rsidRDefault="00D84931" w:rsidP="00D84931">
            <w:pPr>
              <w:spacing w:before="40" w:after="40"/>
              <w:jc w:val="right"/>
              <w:rPr>
                <w:rFonts w:cs="Arial"/>
                <w:sz w:val="18"/>
                <w:szCs w:val="18"/>
              </w:rPr>
            </w:pPr>
            <w:r w:rsidRPr="001D41EA">
              <w:rPr>
                <w:rFonts w:cs="Arial"/>
                <w:sz w:val="18"/>
                <w:szCs w:val="18"/>
              </w:rPr>
              <w:t>2,687,573,975</w:t>
            </w:r>
          </w:p>
        </w:tc>
      </w:tr>
      <w:tr w:rsidR="00D84931" w:rsidRPr="001D41EA" w14:paraId="5BA91B8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1085700" w14:textId="77777777" w:rsidR="00D84931" w:rsidRPr="001D41EA" w:rsidRDefault="00D84931" w:rsidP="00D84931">
            <w:pPr>
              <w:spacing w:before="40" w:after="40"/>
              <w:rPr>
                <w:rFonts w:cs="Arial"/>
                <w:sz w:val="18"/>
                <w:szCs w:val="18"/>
              </w:rPr>
            </w:pPr>
            <w:r w:rsidRPr="001D41EA">
              <w:rPr>
                <w:rFonts w:cs="Arial"/>
                <w:sz w:val="18"/>
                <w:szCs w:val="18"/>
              </w:rPr>
              <w:t>Ararat RC</w:t>
            </w:r>
          </w:p>
        </w:tc>
        <w:tc>
          <w:tcPr>
            <w:tcW w:w="1701" w:type="dxa"/>
            <w:tcBorders>
              <w:top w:val="nil"/>
              <w:left w:val="single" w:sz="18" w:space="0" w:color="5F497A" w:themeColor="accent4" w:themeShade="BF"/>
              <w:bottom w:val="nil"/>
              <w:right w:val="nil"/>
            </w:tcBorders>
            <w:shd w:val="clear" w:color="auto" w:fill="auto"/>
            <w:noWrap/>
            <w:vAlign w:val="bottom"/>
          </w:tcPr>
          <w:p w14:paraId="17FE821B" w14:textId="0C702215" w:rsidR="00D84931" w:rsidRPr="001D41EA" w:rsidRDefault="00D84931" w:rsidP="00D84931">
            <w:pPr>
              <w:spacing w:before="40" w:after="40"/>
              <w:jc w:val="right"/>
              <w:rPr>
                <w:rFonts w:cs="Arial"/>
                <w:sz w:val="18"/>
                <w:szCs w:val="18"/>
              </w:rPr>
            </w:pPr>
            <w:r w:rsidRPr="001D41EA">
              <w:rPr>
                <w:rFonts w:cs="Arial"/>
                <w:sz w:val="18"/>
                <w:szCs w:val="18"/>
              </w:rPr>
              <w:t>911,376,725</w:t>
            </w:r>
          </w:p>
        </w:tc>
        <w:tc>
          <w:tcPr>
            <w:tcW w:w="1701" w:type="dxa"/>
            <w:tcBorders>
              <w:top w:val="nil"/>
              <w:left w:val="nil"/>
              <w:bottom w:val="nil"/>
              <w:right w:val="nil"/>
            </w:tcBorders>
            <w:vAlign w:val="bottom"/>
          </w:tcPr>
          <w:p w14:paraId="19D1F6E4" w14:textId="44D825D8" w:rsidR="00D84931" w:rsidRPr="001D41EA" w:rsidRDefault="00D84931" w:rsidP="00D84931">
            <w:pPr>
              <w:spacing w:before="40" w:after="40"/>
              <w:jc w:val="right"/>
              <w:rPr>
                <w:rFonts w:cs="Arial"/>
                <w:sz w:val="18"/>
                <w:szCs w:val="18"/>
              </w:rPr>
            </w:pPr>
            <w:r w:rsidRPr="001D41EA">
              <w:rPr>
                <w:rFonts w:cs="Arial"/>
                <w:sz w:val="18"/>
                <w:szCs w:val="18"/>
              </w:rPr>
              <w:t>122,982,025</w:t>
            </w:r>
          </w:p>
        </w:tc>
        <w:tc>
          <w:tcPr>
            <w:tcW w:w="1701" w:type="dxa"/>
            <w:tcBorders>
              <w:top w:val="nil"/>
              <w:left w:val="nil"/>
              <w:bottom w:val="nil"/>
              <w:right w:val="nil"/>
            </w:tcBorders>
            <w:shd w:val="clear" w:color="auto" w:fill="auto"/>
            <w:noWrap/>
            <w:vAlign w:val="bottom"/>
          </w:tcPr>
          <w:p w14:paraId="26F93B55" w14:textId="33309B5F" w:rsidR="00D84931" w:rsidRPr="001D41EA" w:rsidRDefault="00D84931" w:rsidP="00D84931">
            <w:pPr>
              <w:spacing w:before="40" w:after="40"/>
              <w:jc w:val="right"/>
              <w:rPr>
                <w:rFonts w:cs="Arial"/>
                <w:sz w:val="18"/>
                <w:szCs w:val="18"/>
              </w:rPr>
            </w:pPr>
            <w:r w:rsidRPr="001D41EA">
              <w:rPr>
                <w:rFonts w:cs="Arial"/>
                <w:sz w:val="18"/>
                <w:szCs w:val="18"/>
              </w:rPr>
              <w:t>1,255,493,750</w:t>
            </w:r>
          </w:p>
        </w:tc>
        <w:tc>
          <w:tcPr>
            <w:tcW w:w="1701" w:type="dxa"/>
            <w:tcBorders>
              <w:top w:val="nil"/>
              <w:left w:val="nil"/>
              <w:bottom w:val="nil"/>
              <w:right w:val="nil"/>
            </w:tcBorders>
            <w:vAlign w:val="bottom"/>
          </w:tcPr>
          <w:p w14:paraId="4265EFB0" w14:textId="6AC5656C" w:rsidR="00D84931" w:rsidRPr="001D41EA" w:rsidRDefault="00D84931" w:rsidP="00D84931">
            <w:pPr>
              <w:spacing w:before="40" w:after="40"/>
              <w:jc w:val="right"/>
              <w:rPr>
                <w:rFonts w:cs="Arial"/>
                <w:sz w:val="18"/>
                <w:szCs w:val="18"/>
              </w:rPr>
            </w:pPr>
            <w:r w:rsidRPr="001D41EA">
              <w:rPr>
                <w:rFonts w:cs="Arial"/>
                <w:sz w:val="18"/>
                <w:szCs w:val="18"/>
              </w:rPr>
              <w:t>2,289,852,500</w:t>
            </w:r>
          </w:p>
        </w:tc>
      </w:tr>
      <w:tr w:rsidR="00D84931" w:rsidRPr="001D41EA" w14:paraId="50271F6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192467E" w14:textId="77777777" w:rsidR="00D84931" w:rsidRPr="001D41EA" w:rsidRDefault="00D84931" w:rsidP="00D84931">
            <w:pPr>
              <w:spacing w:before="40" w:after="40"/>
              <w:rPr>
                <w:rFonts w:cs="Arial"/>
                <w:sz w:val="18"/>
                <w:szCs w:val="18"/>
              </w:rPr>
            </w:pPr>
            <w:r w:rsidRPr="001D41EA">
              <w:rPr>
                <w:rFonts w:cs="Arial"/>
                <w:sz w:val="18"/>
                <w:szCs w:val="18"/>
              </w:rPr>
              <w:t>Ballarat C</w:t>
            </w:r>
          </w:p>
        </w:tc>
        <w:tc>
          <w:tcPr>
            <w:tcW w:w="1701" w:type="dxa"/>
            <w:tcBorders>
              <w:top w:val="nil"/>
              <w:left w:val="single" w:sz="18" w:space="0" w:color="5F497A" w:themeColor="accent4" w:themeShade="BF"/>
              <w:bottom w:val="nil"/>
              <w:right w:val="nil"/>
            </w:tcBorders>
            <w:shd w:val="clear" w:color="auto" w:fill="auto"/>
            <w:noWrap/>
            <w:vAlign w:val="bottom"/>
          </w:tcPr>
          <w:p w14:paraId="63A6FC94" w14:textId="31D0DF3D" w:rsidR="00D84931" w:rsidRPr="001D41EA" w:rsidRDefault="00D84931" w:rsidP="00D84931">
            <w:pPr>
              <w:spacing w:before="40" w:after="40"/>
              <w:jc w:val="right"/>
              <w:rPr>
                <w:rFonts w:cs="Arial"/>
                <w:sz w:val="18"/>
                <w:szCs w:val="18"/>
              </w:rPr>
            </w:pPr>
            <w:r w:rsidRPr="001D41EA">
              <w:rPr>
                <w:rFonts w:cs="Arial"/>
                <w:sz w:val="18"/>
                <w:szCs w:val="18"/>
              </w:rPr>
              <w:t>13,535,910,660</w:t>
            </w:r>
          </w:p>
        </w:tc>
        <w:tc>
          <w:tcPr>
            <w:tcW w:w="1701" w:type="dxa"/>
            <w:tcBorders>
              <w:top w:val="nil"/>
              <w:left w:val="nil"/>
              <w:bottom w:val="nil"/>
              <w:right w:val="nil"/>
            </w:tcBorders>
            <w:vAlign w:val="bottom"/>
          </w:tcPr>
          <w:p w14:paraId="1834AB70" w14:textId="3510FC81" w:rsidR="00D84931" w:rsidRPr="001D41EA" w:rsidRDefault="00D84931" w:rsidP="00D84931">
            <w:pPr>
              <w:spacing w:before="40" w:after="40"/>
              <w:jc w:val="right"/>
              <w:rPr>
                <w:rFonts w:cs="Arial"/>
                <w:sz w:val="18"/>
                <w:szCs w:val="18"/>
              </w:rPr>
            </w:pPr>
            <w:r w:rsidRPr="001D41EA">
              <w:rPr>
                <w:rFonts w:cs="Arial"/>
                <w:sz w:val="18"/>
                <w:szCs w:val="18"/>
              </w:rPr>
              <w:t>2,516,948,701</w:t>
            </w:r>
          </w:p>
        </w:tc>
        <w:tc>
          <w:tcPr>
            <w:tcW w:w="1701" w:type="dxa"/>
            <w:tcBorders>
              <w:top w:val="nil"/>
              <w:left w:val="nil"/>
              <w:bottom w:val="nil"/>
              <w:right w:val="nil"/>
            </w:tcBorders>
            <w:shd w:val="clear" w:color="auto" w:fill="auto"/>
            <w:noWrap/>
            <w:vAlign w:val="bottom"/>
          </w:tcPr>
          <w:p w14:paraId="37A19552" w14:textId="67B3B66E" w:rsidR="00D84931" w:rsidRPr="001D41EA" w:rsidRDefault="00D84931" w:rsidP="00D84931">
            <w:pPr>
              <w:spacing w:before="40" w:after="40"/>
              <w:jc w:val="right"/>
              <w:rPr>
                <w:rFonts w:cs="Arial"/>
                <w:sz w:val="18"/>
                <w:szCs w:val="18"/>
              </w:rPr>
            </w:pPr>
            <w:r w:rsidRPr="001D41EA">
              <w:rPr>
                <w:rFonts w:cs="Arial"/>
                <w:sz w:val="18"/>
                <w:szCs w:val="18"/>
              </w:rPr>
              <w:t>1,037,825,125</w:t>
            </w:r>
          </w:p>
        </w:tc>
        <w:tc>
          <w:tcPr>
            <w:tcW w:w="1701" w:type="dxa"/>
            <w:tcBorders>
              <w:top w:val="nil"/>
              <w:left w:val="nil"/>
              <w:bottom w:val="nil"/>
              <w:right w:val="nil"/>
            </w:tcBorders>
            <w:vAlign w:val="bottom"/>
          </w:tcPr>
          <w:p w14:paraId="4CEA3604" w14:textId="746A846E" w:rsidR="00D84931" w:rsidRPr="001D41EA" w:rsidRDefault="00D84931" w:rsidP="00D84931">
            <w:pPr>
              <w:spacing w:before="40" w:after="40"/>
              <w:jc w:val="right"/>
              <w:rPr>
                <w:rFonts w:cs="Arial"/>
                <w:sz w:val="18"/>
                <w:szCs w:val="18"/>
              </w:rPr>
            </w:pPr>
            <w:r w:rsidRPr="001D41EA">
              <w:rPr>
                <w:rFonts w:cs="Arial"/>
                <w:sz w:val="18"/>
                <w:szCs w:val="18"/>
              </w:rPr>
              <w:t>17,090,684,486</w:t>
            </w:r>
          </w:p>
        </w:tc>
      </w:tr>
      <w:tr w:rsidR="00D84931" w:rsidRPr="001D41EA" w14:paraId="60E4C5C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7EBA39C" w14:textId="77777777" w:rsidR="00D84931" w:rsidRPr="001D41EA" w:rsidRDefault="00D84931" w:rsidP="00D84931">
            <w:pPr>
              <w:spacing w:before="40" w:after="40"/>
              <w:rPr>
                <w:rFonts w:cs="Arial"/>
                <w:sz w:val="18"/>
                <w:szCs w:val="18"/>
              </w:rPr>
            </w:pPr>
            <w:r w:rsidRPr="001D41EA">
              <w:rPr>
                <w:rFonts w:cs="Arial"/>
                <w:sz w:val="18"/>
                <w:szCs w:val="18"/>
              </w:rPr>
              <w:t>Banyule C</w:t>
            </w:r>
          </w:p>
        </w:tc>
        <w:tc>
          <w:tcPr>
            <w:tcW w:w="1701" w:type="dxa"/>
            <w:tcBorders>
              <w:top w:val="nil"/>
              <w:left w:val="single" w:sz="18" w:space="0" w:color="5F497A" w:themeColor="accent4" w:themeShade="BF"/>
              <w:bottom w:val="nil"/>
              <w:right w:val="nil"/>
            </w:tcBorders>
            <w:shd w:val="clear" w:color="auto" w:fill="auto"/>
            <w:noWrap/>
            <w:vAlign w:val="bottom"/>
          </w:tcPr>
          <w:p w14:paraId="75F04334" w14:textId="3567746F" w:rsidR="00D84931" w:rsidRPr="001D41EA" w:rsidRDefault="00D84931" w:rsidP="00D84931">
            <w:pPr>
              <w:spacing w:before="40" w:after="40"/>
              <w:jc w:val="right"/>
              <w:rPr>
                <w:rFonts w:cs="Arial"/>
                <w:sz w:val="18"/>
                <w:szCs w:val="18"/>
              </w:rPr>
            </w:pPr>
            <w:r w:rsidRPr="001D41EA">
              <w:rPr>
                <w:rFonts w:cs="Arial"/>
                <w:sz w:val="18"/>
                <w:szCs w:val="18"/>
              </w:rPr>
              <w:t>32,747,839,500</w:t>
            </w:r>
          </w:p>
        </w:tc>
        <w:tc>
          <w:tcPr>
            <w:tcW w:w="1701" w:type="dxa"/>
            <w:tcBorders>
              <w:top w:val="nil"/>
              <w:left w:val="nil"/>
              <w:bottom w:val="nil"/>
              <w:right w:val="nil"/>
            </w:tcBorders>
            <w:vAlign w:val="bottom"/>
          </w:tcPr>
          <w:p w14:paraId="1D4F1030" w14:textId="5CEAA58E" w:rsidR="00D84931" w:rsidRPr="001D41EA" w:rsidRDefault="00D84931" w:rsidP="00D84931">
            <w:pPr>
              <w:spacing w:before="40" w:after="40"/>
              <w:jc w:val="right"/>
              <w:rPr>
                <w:rFonts w:cs="Arial"/>
                <w:sz w:val="18"/>
                <w:szCs w:val="18"/>
              </w:rPr>
            </w:pPr>
            <w:r w:rsidRPr="001D41EA">
              <w:rPr>
                <w:rFonts w:cs="Arial"/>
                <w:sz w:val="18"/>
                <w:szCs w:val="18"/>
              </w:rPr>
              <w:t>2,737,717,900</w:t>
            </w:r>
          </w:p>
        </w:tc>
        <w:tc>
          <w:tcPr>
            <w:tcW w:w="1701" w:type="dxa"/>
            <w:tcBorders>
              <w:top w:val="nil"/>
              <w:left w:val="nil"/>
              <w:bottom w:val="nil"/>
              <w:right w:val="nil"/>
            </w:tcBorders>
            <w:shd w:val="clear" w:color="auto" w:fill="auto"/>
            <w:noWrap/>
            <w:vAlign w:val="bottom"/>
          </w:tcPr>
          <w:p w14:paraId="7D2CC34C" w14:textId="30DE339F"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394D2DDA" w14:textId="576F17FA" w:rsidR="00D84931" w:rsidRPr="001D41EA" w:rsidRDefault="00D84931" w:rsidP="00D84931">
            <w:pPr>
              <w:spacing w:before="40" w:after="40"/>
              <w:jc w:val="right"/>
              <w:rPr>
                <w:rFonts w:cs="Arial"/>
                <w:sz w:val="18"/>
                <w:szCs w:val="18"/>
              </w:rPr>
            </w:pPr>
            <w:r w:rsidRPr="001D41EA">
              <w:rPr>
                <w:rFonts w:cs="Arial"/>
                <w:sz w:val="18"/>
                <w:szCs w:val="18"/>
              </w:rPr>
              <w:t>35,485,557,400</w:t>
            </w:r>
          </w:p>
        </w:tc>
      </w:tr>
      <w:tr w:rsidR="00D84931" w:rsidRPr="001D41EA" w14:paraId="56FDD51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3837AD8" w14:textId="77777777" w:rsidR="00D84931" w:rsidRPr="001D41EA" w:rsidRDefault="00D84931" w:rsidP="00D84931">
            <w:pPr>
              <w:spacing w:before="40" w:after="40"/>
              <w:rPr>
                <w:rFonts w:cs="Arial"/>
                <w:sz w:val="18"/>
                <w:szCs w:val="18"/>
              </w:rPr>
            </w:pPr>
            <w:r w:rsidRPr="001D41EA">
              <w:rPr>
                <w:rFonts w:cs="Arial"/>
                <w:sz w:val="18"/>
                <w:szCs w:val="18"/>
              </w:rPr>
              <w:t>Bass Coast S</w:t>
            </w:r>
          </w:p>
        </w:tc>
        <w:tc>
          <w:tcPr>
            <w:tcW w:w="1701" w:type="dxa"/>
            <w:tcBorders>
              <w:top w:val="nil"/>
              <w:left w:val="single" w:sz="18" w:space="0" w:color="5F497A" w:themeColor="accent4" w:themeShade="BF"/>
              <w:bottom w:val="nil"/>
              <w:right w:val="nil"/>
            </w:tcBorders>
            <w:shd w:val="clear" w:color="auto" w:fill="auto"/>
            <w:noWrap/>
            <w:vAlign w:val="bottom"/>
          </w:tcPr>
          <w:p w14:paraId="260C825E" w14:textId="5BF7BB05" w:rsidR="00D84931" w:rsidRPr="001D41EA" w:rsidRDefault="00D84931" w:rsidP="00D84931">
            <w:pPr>
              <w:spacing w:before="40" w:after="40"/>
              <w:jc w:val="right"/>
              <w:rPr>
                <w:rFonts w:cs="Arial"/>
                <w:sz w:val="18"/>
                <w:szCs w:val="18"/>
              </w:rPr>
            </w:pPr>
            <w:r w:rsidRPr="001D41EA">
              <w:rPr>
                <w:rFonts w:cs="Arial"/>
                <w:sz w:val="18"/>
                <w:szCs w:val="18"/>
              </w:rPr>
              <w:t>8,930,855,600</w:t>
            </w:r>
          </w:p>
        </w:tc>
        <w:tc>
          <w:tcPr>
            <w:tcW w:w="1701" w:type="dxa"/>
            <w:tcBorders>
              <w:top w:val="nil"/>
              <w:left w:val="nil"/>
              <w:bottom w:val="nil"/>
              <w:right w:val="nil"/>
            </w:tcBorders>
            <w:vAlign w:val="bottom"/>
          </w:tcPr>
          <w:p w14:paraId="48F21814" w14:textId="49CE898E" w:rsidR="00D84931" w:rsidRPr="001D41EA" w:rsidRDefault="00D84931" w:rsidP="00D84931">
            <w:pPr>
              <w:spacing w:before="40" w:after="40"/>
              <w:jc w:val="right"/>
              <w:rPr>
                <w:rFonts w:cs="Arial"/>
                <w:sz w:val="18"/>
                <w:szCs w:val="18"/>
              </w:rPr>
            </w:pPr>
            <w:r w:rsidRPr="001D41EA">
              <w:rPr>
                <w:rFonts w:cs="Arial"/>
                <w:sz w:val="18"/>
                <w:szCs w:val="18"/>
              </w:rPr>
              <w:t>795,049,380</w:t>
            </w:r>
          </w:p>
        </w:tc>
        <w:tc>
          <w:tcPr>
            <w:tcW w:w="1701" w:type="dxa"/>
            <w:tcBorders>
              <w:top w:val="nil"/>
              <w:left w:val="nil"/>
              <w:bottom w:val="nil"/>
              <w:right w:val="nil"/>
            </w:tcBorders>
            <w:shd w:val="clear" w:color="auto" w:fill="auto"/>
            <w:noWrap/>
            <w:vAlign w:val="bottom"/>
          </w:tcPr>
          <w:p w14:paraId="0A929F7F" w14:textId="137FE527" w:rsidR="00D84931" w:rsidRPr="001D41EA" w:rsidRDefault="00D84931" w:rsidP="00D84931">
            <w:pPr>
              <w:spacing w:before="40" w:after="40"/>
              <w:jc w:val="right"/>
              <w:rPr>
                <w:rFonts w:cs="Arial"/>
                <w:sz w:val="18"/>
                <w:szCs w:val="18"/>
              </w:rPr>
            </w:pPr>
            <w:r w:rsidRPr="001D41EA">
              <w:rPr>
                <w:rFonts w:cs="Arial"/>
                <w:sz w:val="18"/>
                <w:szCs w:val="18"/>
              </w:rPr>
              <w:t>1,743,056,750</w:t>
            </w:r>
          </w:p>
        </w:tc>
        <w:tc>
          <w:tcPr>
            <w:tcW w:w="1701" w:type="dxa"/>
            <w:tcBorders>
              <w:top w:val="nil"/>
              <w:left w:val="nil"/>
              <w:bottom w:val="nil"/>
              <w:right w:val="nil"/>
            </w:tcBorders>
            <w:vAlign w:val="bottom"/>
          </w:tcPr>
          <w:p w14:paraId="35FD71A7" w14:textId="2C86D778" w:rsidR="00D84931" w:rsidRPr="001D41EA" w:rsidRDefault="00D84931" w:rsidP="00D84931">
            <w:pPr>
              <w:spacing w:before="40" w:after="40"/>
              <w:jc w:val="right"/>
              <w:rPr>
                <w:rFonts w:cs="Arial"/>
                <w:sz w:val="18"/>
                <w:szCs w:val="18"/>
              </w:rPr>
            </w:pPr>
            <w:r w:rsidRPr="001D41EA">
              <w:rPr>
                <w:rFonts w:cs="Arial"/>
                <w:sz w:val="18"/>
                <w:szCs w:val="18"/>
              </w:rPr>
              <w:t>11,468,961,730</w:t>
            </w:r>
          </w:p>
        </w:tc>
      </w:tr>
      <w:tr w:rsidR="00D84931" w:rsidRPr="001D41EA" w14:paraId="1842FB6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2E4500F" w14:textId="77777777" w:rsidR="00D84931" w:rsidRPr="001D41EA" w:rsidRDefault="00D84931" w:rsidP="00D84931">
            <w:pPr>
              <w:spacing w:before="40" w:after="40"/>
              <w:rPr>
                <w:rFonts w:cs="Arial"/>
                <w:sz w:val="18"/>
                <w:szCs w:val="18"/>
              </w:rPr>
            </w:pPr>
            <w:r w:rsidRPr="001D41EA">
              <w:rPr>
                <w:rFonts w:cs="Arial"/>
                <w:sz w:val="18"/>
                <w:szCs w:val="18"/>
              </w:rPr>
              <w:t>Baw Baw S</w:t>
            </w:r>
          </w:p>
        </w:tc>
        <w:tc>
          <w:tcPr>
            <w:tcW w:w="1701" w:type="dxa"/>
            <w:tcBorders>
              <w:top w:val="nil"/>
              <w:left w:val="single" w:sz="18" w:space="0" w:color="5F497A" w:themeColor="accent4" w:themeShade="BF"/>
              <w:bottom w:val="nil"/>
              <w:right w:val="nil"/>
            </w:tcBorders>
            <w:shd w:val="clear" w:color="auto" w:fill="auto"/>
            <w:noWrap/>
            <w:vAlign w:val="bottom"/>
          </w:tcPr>
          <w:p w14:paraId="6BE02996" w14:textId="4C04E950" w:rsidR="00D84931" w:rsidRPr="001D41EA" w:rsidRDefault="00D84931" w:rsidP="00D84931">
            <w:pPr>
              <w:spacing w:before="40" w:after="40"/>
              <w:jc w:val="right"/>
              <w:rPr>
                <w:rFonts w:cs="Arial"/>
                <w:sz w:val="18"/>
                <w:szCs w:val="18"/>
              </w:rPr>
            </w:pPr>
            <w:r w:rsidRPr="001D41EA">
              <w:rPr>
                <w:rFonts w:cs="Arial"/>
                <w:sz w:val="18"/>
                <w:szCs w:val="18"/>
              </w:rPr>
              <w:t>6,507,749,250</w:t>
            </w:r>
          </w:p>
        </w:tc>
        <w:tc>
          <w:tcPr>
            <w:tcW w:w="1701" w:type="dxa"/>
            <w:tcBorders>
              <w:top w:val="nil"/>
              <w:left w:val="nil"/>
              <w:bottom w:val="nil"/>
              <w:right w:val="nil"/>
            </w:tcBorders>
            <w:vAlign w:val="bottom"/>
          </w:tcPr>
          <w:p w14:paraId="11A84D0A" w14:textId="73779047" w:rsidR="00D84931" w:rsidRPr="001D41EA" w:rsidRDefault="00D84931" w:rsidP="00D84931">
            <w:pPr>
              <w:spacing w:before="40" w:after="40"/>
              <w:jc w:val="right"/>
              <w:rPr>
                <w:rFonts w:cs="Arial"/>
                <w:sz w:val="18"/>
                <w:szCs w:val="18"/>
              </w:rPr>
            </w:pPr>
            <w:r w:rsidRPr="001D41EA">
              <w:rPr>
                <w:rFonts w:cs="Arial"/>
                <w:sz w:val="18"/>
                <w:szCs w:val="18"/>
              </w:rPr>
              <w:t>704,514,750</w:t>
            </w:r>
          </w:p>
        </w:tc>
        <w:tc>
          <w:tcPr>
            <w:tcW w:w="1701" w:type="dxa"/>
            <w:tcBorders>
              <w:top w:val="nil"/>
              <w:left w:val="nil"/>
              <w:bottom w:val="nil"/>
              <w:right w:val="nil"/>
            </w:tcBorders>
            <w:shd w:val="clear" w:color="auto" w:fill="auto"/>
            <w:noWrap/>
            <w:vAlign w:val="bottom"/>
          </w:tcPr>
          <w:p w14:paraId="00A041B1" w14:textId="4CE6FB6A" w:rsidR="00D84931" w:rsidRPr="001D41EA" w:rsidRDefault="00D84931" w:rsidP="00D84931">
            <w:pPr>
              <w:spacing w:before="40" w:after="40"/>
              <w:jc w:val="right"/>
              <w:rPr>
                <w:rFonts w:cs="Arial"/>
                <w:sz w:val="18"/>
                <w:szCs w:val="18"/>
              </w:rPr>
            </w:pPr>
            <w:r w:rsidRPr="001D41EA">
              <w:rPr>
                <w:rFonts w:cs="Arial"/>
                <w:sz w:val="18"/>
                <w:szCs w:val="18"/>
              </w:rPr>
              <w:t>2,384,405,250</w:t>
            </w:r>
          </w:p>
        </w:tc>
        <w:tc>
          <w:tcPr>
            <w:tcW w:w="1701" w:type="dxa"/>
            <w:tcBorders>
              <w:top w:val="nil"/>
              <w:left w:val="nil"/>
              <w:bottom w:val="nil"/>
              <w:right w:val="nil"/>
            </w:tcBorders>
            <w:vAlign w:val="bottom"/>
          </w:tcPr>
          <w:p w14:paraId="1F04DA9A" w14:textId="5447E2A7" w:rsidR="00D84931" w:rsidRPr="001D41EA" w:rsidRDefault="00D84931" w:rsidP="00D84931">
            <w:pPr>
              <w:spacing w:before="40" w:after="40"/>
              <w:jc w:val="right"/>
              <w:rPr>
                <w:rFonts w:cs="Arial"/>
                <w:sz w:val="18"/>
                <w:szCs w:val="18"/>
              </w:rPr>
            </w:pPr>
            <w:r w:rsidRPr="001D41EA">
              <w:rPr>
                <w:rFonts w:cs="Arial"/>
                <w:sz w:val="18"/>
                <w:szCs w:val="18"/>
              </w:rPr>
              <w:t>9,596,669,250</w:t>
            </w:r>
          </w:p>
        </w:tc>
      </w:tr>
      <w:tr w:rsidR="00D84931" w:rsidRPr="001D41EA" w14:paraId="4533EE0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CB23E0B" w14:textId="77777777" w:rsidR="00D84931" w:rsidRPr="001D41EA" w:rsidRDefault="00D84931" w:rsidP="00D84931">
            <w:pPr>
              <w:spacing w:before="40" w:after="40"/>
              <w:rPr>
                <w:rFonts w:cs="Arial"/>
                <w:sz w:val="18"/>
                <w:szCs w:val="18"/>
              </w:rPr>
            </w:pPr>
            <w:r w:rsidRPr="001D41EA">
              <w:rPr>
                <w:rFonts w:cs="Arial"/>
                <w:sz w:val="18"/>
                <w:szCs w:val="18"/>
              </w:rPr>
              <w:t>Bayside C</w:t>
            </w:r>
          </w:p>
        </w:tc>
        <w:tc>
          <w:tcPr>
            <w:tcW w:w="1701" w:type="dxa"/>
            <w:tcBorders>
              <w:top w:val="nil"/>
              <w:left w:val="single" w:sz="18" w:space="0" w:color="5F497A" w:themeColor="accent4" w:themeShade="BF"/>
              <w:bottom w:val="nil"/>
              <w:right w:val="nil"/>
            </w:tcBorders>
            <w:shd w:val="clear" w:color="auto" w:fill="auto"/>
            <w:noWrap/>
            <w:vAlign w:val="bottom"/>
          </w:tcPr>
          <w:p w14:paraId="3D031BFA" w14:textId="64CF1601" w:rsidR="00D84931" w:rsidRPr="001D41EA" w:rsidRDefault="00D84931" w:rsidP="00D84931">
            <w:pPr>
              <w:spacing w:before="40" w:after="40"/>
              <w:jc w:val="right"/>
              <w:rPr>
                <w:rFonts w:cs="Arial"/>
                <w:sz w:val="18"/>
                <w:szCs w:val="18"/>
              </w:rPr>
            </w:pPr>
            <w:r w:rsidRPr="001D41EA">
              <w:rPr>
                <w:rFonts w:cs="Arial"/>
                <w:sz w:val="18"/>
                <w:szCs w:val="18"/>
              </w:rPr>
              <w:t>48,989,377,008</w:t>
            </w:r>
          </w:p>
        </w:tc>
        <w:tc>
          <w:tcPr>
            <w:tcW w:w="1701" w:type="dxa"/>
            <w:tcBorders>
              <w:top w:val="nil"/>
              <w:left w:val="nil"/>
              <w:bottom w:val="nil"/>
              <w:right w:val="nil"/>
            </w:tcBorders>
            <w:vAlign w:val="bottom"/>
          </w:tcPr>
          <w:p w14:paraId="3B551E3C" w14:textId="778C0F6F" w:rsidR="00D84931" w:rsidRPr="001D41EA" w:rsidRDefault="00D84931" w:rsidP="00D84931">
            <w:pPr>
              <w:spacing w:before="40" w:after="40"/>
              <w:jc w:val="right"/>
              <w:rPr>
                <w:rFonts w:cs="Arial"/>
                <w:sz w:val="18"/>
                <w:szCs w:val="18"/>
              </w:rPr>
            </w:pPr>
            <w:r w:rsidRPr="001D41EA">
              <w:rPr>
                <w:rFonts w:cs="Arial"/>
                <w:sz w:val="18"/>
                <w:szCs w:val="18"/>
              </w:rPr>
              <w:t>3,739,189,750</w:t>
            </w:r>
          </w:p>
        </w:tc>
        <w:tc>
          <w:tcPr>
            <w:tcW w:w="1701" w:type="dxa"/>
            <w:tcBorders>
              <w:top w:val="nil"/>
              <w:left w:val="nil"/>
              <w:bottom w:val="nil"/>
              <w:right w:val="nil"/>
            </w:tcBorders>
            <w:shd w:val="clear" w:color="auto" w:fill="auto"/>
            <w:noWrap/>
            <w:vAlign w:val="bottom"/>
          </w:tcPr>
          <w:p w14:paraId="4B75CA86" w14:textId="533904D1"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00E751A6" w14:textId="4D7AAA8E" w:rsidR="00D84931" w:rsidRPr="001D41EA" w:rsidRDefault="00D84931" w:rsidP="00D84931">
            <w:pPr>
              <w:spacing w:before="40" w:after="40"/>
              <w:jc w:val="right"/>
              <w:rPr>
                <w:rFonts w:cs="Arial"/>
                <w:sz w:val="18"/>
                <w:szCs w:val="18"/>
              </w:rPr>
            </w:pPr>
            <w:r w:rsidRPr="001D41EA">
              <w:rPr>
                <w:rFonts w:cs="Arial"/>
                <w:sz w:val="18"/>
                <w:szCs w:val="18"/>
              </w:rPr>
              <w:t>52,728,566,758</w:t>
            </w:r>
          </w:p>
        </w:tc>
      </w:tr>
      <w:tr w:rsidR="00D84931" w:rsidRPr="001D41EA" w14:paraId="3A4EAC9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4402AA8" w14:textId="77777777" w:rsidR="00D84931" w:rsidRPr="001D41EA" w:rsidRDefault="00D84931" w:rsidP="00D84931">
            <w:pPr>
              <w:spacing w:before="40" w:after="40"/>
              <w:rPr>
                <w:rFonts w:cs="Arial"/>
                <w:sz w:val="18"/>
                <w:szCs w:val="18"/>
              </w:rPr>
            </w:pPr>
            <w:r w:rsidRPr="001D41EA">
              <w:rPr>
                <w:rFonts w:cs="Arial"/>
                <w:sz w:val="18"/>
                <w:szCs w:val="18"/>
              </w:rPr>
              <w:t>Benalla RC</w:t>
            </w:r>
          </w:p>
        </w:tc>
        <w:tc>
          <w:tcPr>
            <w:tcW w:w="1701" w:type="dxa"/>
            <w:tcBorders>
              <w:top w:val="nil"/>
              <w:left w:val="single" w:sz="18" w:space="0" w:color="5F497A" w:themeColor="accent4" w:themeShade="BF"/>
              <w:bottom w:val="nil"/>
              <w:right w:val="nil"/>
            </w:tcBorders>
            <w:shd w:val="clear" w:color="auto" w:fill="auto"/>
            <w:noWrap/>
            <w:vAlign w:val="bottom"/>
          </w:tcPr>
          <w:p w14:paraId="5CB174B4" w14:textId="75EDE140" w:rsidR="00D84931" w:rsidRPr="001D41EA" w:rsidRDefault="00D84931" w:rsidP="00D84931">
            <w:pPr>
              <w:spacing w:before="40" w:after="40"/>
              <w:jc w:val="right"/>
              <w:rPr>
                <w:rFonts w:cs="Arial"/>
                <w:sz w:val="18"/>
                <w:szCs w:val="18"/>
              </w:rPr>
            </w:pPr>
            <w:r w:rsidRPr="001D41EA">
              <w:rPr>
                <w:rFonts w:cs="Arial"/>
                <w:sz w:val="18"/>
                <w:szCs w:val="18"/>
              </w:rPr>
              <w:t>1,065,472,750</w:t>
            </w:r>
          </w:p>
        </w:tc>
        <w:tc>
          <w:tcPr>
            <w:tcW w:w="1701" w:type="dxa"/>
            <w:tcBorders>
              <w:top w:val="nil"/>
              <w:left w:val="nil"/>
              <w:bottom w:val="nil"/>
              <w:right w:val="nil"/>
            </w:tcBorders>
            <w:vAlign w:val="bottom"/>
          </w:tcPr>
          <w:p w14:paraId="1ED6F908" w14:textId="41E74205" w:rsidR="00D84931" w:rsidRPr="001D41EA" w:rsidRDefault="00D84931" w:rsidP="00D84931">
            <w:pPr>
              <w:spacing w:before="40" w:after="40"/>
              <w:jc w:val="right"/>
              <w:rPr>
                <w:rFonts w:cs="Arial"/>
                <w:sz w:val="18"/>
                <w:szCs w:val="18"/>
              </w:rPr>
            </w:pPr>
            <w:r w:rsidRPr="001D41EA">
              <w:rPr>
                <w:rFonts w:cs="Arial"/>
                <w:sz w:val="18"/>
                <w:szCs w:val="18"/>
              </w:rPr>
              <w:t>249,570,750</w:t>
            </w:r>
          </w:p>
        </w:tc>
        <w:tc>
          <w:tcPr>
            <w:tcW w:w="1701" w:type="dxa"/>
            <w:tcBorders>
              <w:top w:val="nil"/>
              <w:left w:val="nil"/>
              <w:bottom w:val="nil"/>
              <w:right w:val="nil"/>
            </w:tcBorders>
            <w:shd w:val="clear" w:color="auto" w:fill="auto"/>
            <w:noWrap/>
            <w:vAlign w:val="bottom"/>
          </w:tcPr>
          <w:p w14:paraId="381C6101" w14:textId="5FDC97B3" w:rsidR="00D84931" w:rsidRPr="001D41EA" w:rsidRDefault="00D84931" w:rsidP="00D84931">
            <w:pPr>
              <w:spacing w:before="40" w:after="40"/>
              <w:jc w:val="right"/>
              <w:rPr>
                <w:rFonts w:cs="Arial"/>
                <w:sz w:val="18"/>
                <w:szCs w:val="18"/>
              </w:rPr>
            </w:pPr>
            <w:r w:rsidRPr="001D41EA">
              <w:rPr>
                <w:rFonts w:cs="Arial"/>
                <w:sz w:val="18"/>
                <w:szCs w:val="18"/>
              </w:rPr>
              <w:t>1,133,961,150</w:t>
            </w:r>
          </w:p>
        </w:tc>
        <w:tc>
          <w:tcPr>
            <w:tcW w:w="1701" w:type="dxa"/>
            <w:tcBorders>
              <w:top w:val="nil"/>
              <w:left w:val="nil"/>
              <w:bottom w:val="nil"/>
              <w:right w:val="nil"/>
            </w:tcBorders>
            <w:vAlign w:val="bottom"/>
          </w:tcPr>
          <w:p w14:paraId="33C22693" w14:textId="2CB49EB9" w:rsidR="00D84931" w:rsidRPr="001D41EA" w:rsidRDefault="00D84931" w:rsidP="00D84931">
            <w:pPr>
              <w:spacing w:before="40" w:after="40"/>
              <w:jc w:val="right"/>
              <w:rPr>
                <w:rFonts w:cs="Arial"/>
                <w:sz w:val="18"/>
                <w:szCs w:val="18"/>
              </w:rPr>
            </w:pPr>
            <w:r w:rsidRPr="001D41EA">
              <w:rPr>
                <w:rFonts w:cs="Arial"/>
                <w:sz w:val="18"/>
                <w:szCs w:val="18"/>
              </w:rPr>
              <w:t>2,449,004,650</w:t>
            </w:r>
          </w:p>
        </w:tc>
      </w:tr>
      <w:tr w:rsidR="00D84931" w:rsidRPr="001D41EA" w14:paraId="71DCE04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74113B8" w14:textId="77777777" w:rsidR="00D84931" w:rsidRPr="001D41EA" w:rsidRDefault="00D84931" w:rsidP="00D84931">
            <w:pPr>
              <w:spacing w:before="40" w:after="40"/>
              <w:rPr>
                <w:rFonts w:cs="Arial"/>
                <w:sz w:val="18"/>
                <w:szCs w:val="18"/>
              </w:rPr>
            </w:pPr>
            <w:r w:rsidRPr="001D41EA">
              <w:rPr>
                <w:rFonts w:cs="Arial"/>
                <w:sz w:val="18"/>
                <w:szCs w:val="18"/>
              </w:rPr>
              <w:t>Boroondara C</w:t>
            </w:r>
          </w:p>
        </w:tc>
        <w:tc>
          <w:tcPr>
            <w:tcW w:w="1701" w:type="dxa"/>
            <w:tcBorders>
              <w:top w:val="nil"/>
              <w:left w:val="single" w:sz="18" w:space="0" w:color="5F497A" w:themeColor="accent4" w:themeShade="BF"/>
              <w:bottom w:val="nil"/>
              <w:right w:val="nil"/>
            </w:tcBorders>
            <w:shd w:val="clear" w:color="auto" w:fill="auto"/>
            <w:noWrap/>
            <w:vAlign w:val="bottom"/>
          </w:tcPr>
          <w:p w14:paraId="169E7062" w14:textId="2839D9E1" w:rsidR="00D84931" w:rsidRPr="001D41EA" w:rsidRDefault="00D84931" w:rsidP="00D84931">
            <w:pPr>
              <w:spacing w:before="40" w:after="40"/>
              <w:jc w:val="right"/>
              <w:rPr>
                <w:rFonts w:cs="Arial"/>
                <w:sz w:val="18"/>
                <w:szCs w:val="18"/>
              </w:rPr>
            </w:pPr>
            <w:r w:rsidRPr="001D41EA">
              <w:rPr>
                <w:rFonts w:cs="Arial"/>
                <w:sz w:val="18"/>
                <w:szCs w:val="18"/>
              </w:rPr>
              <w:t>87,955,165,769</w:t>
            </w:r>
          </w:p>
        </w:tc>
        <w:tc>
          <w:tcPr>
            <w:tcW w:w="1701" w:type="dxa"/>
            <w:tcBorders>
              <w:top w:val="nil"/>
              <w:left w:val="nil"/>
              <w:bottom w:val="nil"/>
              <w:right w:val="nil"/>
            </w:tcBorders>
            <w:vAlign w:val="bottom"/>
          </w:tcPr>
          <w:p w14:paraId="574A20DD" w14:textId="4E6848D5" w:rsidR="00D84931" w:rsidRPr="001D41EA" w:rsidRDefault="00D84931" w:rsidP="00D84931">
            <w:pPr>
              <w:spacing w:before="40" w:after="40"/>
              <w:jc w:val="right"/>
              <w:rPr>
                <w:rFonts w:cs="Arial"/>
                <w:sz w:val="18"/>
                <w:szCs w:val="18"/>
              </w:rPr>
            </w:pPr>
            <w:r w:rsidRPr="001D41EA">
              <w:rPr>
                <w:rFonts w:cs="Arial"/>
                <w:sz w:val="18"/>
                <w:szCs w:val="18"/>
              </w:rPr>
              <w:t>6,772,592,950</w:t>
            </w:r>
          </w:p>
        </w:tc>
        <w:tc>
          <w:tcPr>
            <w:tcW w:w="1701" w:type="dxa"/>
            <w:tcBorders>
              <w:top w:val="nil"/>
              <w:left w:val="nil"/>
              <w:bottom w:val="nil"/>
              <w:right w:val="nil"/>
            </w:tcBorders>
            <w:shd w:val="clear" w:color="auto" w:fill="auto"/>
            <w:noWrap/>
            <w:vAlign w:val="bottom"/>
          </w:tcPr>
          <w:p w14:paraId="51DBA024" w14:textId="11BEE0C8"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719B6775" w14:textId="62C2247B" w:rsidR="00D84931" w:rsidRPr="001D41EA" w:rsidRDefault="00D84931" w:rsidP="00D84931">
            <w:pPr>
              <w:spacing w:before="40" w:after="40"/>
              <w:jc w:val="right"/>
              <w:rPr>
                <w:rFonts w:cs="Arial"/>
                <w:sz w:val="18"/>
                <w:szCs w:val="18"/>
              </w:rPr>
            </w:pPr>
            <w:r w:rsidRPr="001D41EA">
              <w:rPr>
                <w:rFonts w:cs="Arial"/>
                <w:sz w:val="18"/>
                <w:szCs w:val="18"/>
              </w:rPr>
              <w:t>94,727,758,719</w:t>
            </w:r>
          </w:p>
        </w:tc>
      </w:tr>
      <w:tr w:rsidR="00D84931" w:rsidRPr="001D41EA" w14:paraId="2A15544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195B9EC" w14:textId="77777777" w:rsidR="00D84931" w:rsidRPr="001D41EA" w:rsidRDefault="00D84931" w:rsidP="00D84931">
            <w:pPr>
              <w:spacing w:before="40" w:after="40"/>
              <w:rPr>
                <w:rFonts w:cs="Arial"/>
                <w:sz w:val="18"/>
                <w:szCs w:val="18"/>
              </w:rPr>
            </w:pPr>
            <w:r w:rsidRPr="001D41EA">
              <w:rPr>
                <w:rFonts w:cs="Arial"/>
                <w:sz w:val="18"/>
                <w:szCs w:val="18"/>
              </w:rPr>
              <w:t>Brimbank C</w:t>
            </w:r>
          </w:p>
        </w:tc>
        <w:tc>
          <w:tcPr>
            <w:tcW w:w="1701" w:type="dxa"/>
            <w:tcBorders>
              <w:top w:val="nil"/>
              <w:left w:val="single" w:sz="18" w:space="0" w:color="5F497A" w:themeColor="accent4" w:themeShade="BF"/>
              <w:bottom w:val="nil"/>
              <w:right w:val="nil"/>
            </w:tcBorders>
            <w:shd w:val="clear" w:color="auto" w:fill="auto"/>
            <w:noWrap/>
            <w:vAlign w:val="bottom"/>
          </w:tcPr>
          <w:p w14:paraId="280A6562" w14:textId="4CFE7BFE" w:rsidR="00D84931" w:rsidRPr="001D41EA" w:rsidRDefault="00D84931" w:rsidP="00D84931">
            <w:pPr>
              <w:spacing w:before="40" w:after="40"/>
              <w:jc w:val="right"/>
              <w:rPr>
                <w:rFonts w:cs="Arial"/>
                <w:sz w:val="18"/>
                <w:szCs w:val="18"/>
              </w:rPr>
            </w:pPr>
            <w:r w:rsidRPr="001D41EA">
              <w:rPr>
                <w:rFonts w:cs="Arial"/>
                <w:sz w:val="18"/>
                <w:szCs w:val="18"/>
              </w:rPr>
              <w:t>28,312,937,000</w:t>
            </w:r>
          </w:p>
        </w:tc>
        <w:tc>
          <w:tcPr>
            <w:tcW w:w="1701" w:type="dxa"/>
            <w:tcBorders>
              <w:top w:val="nil"/>
              <w:left w:val="nil"/>
              <w:bottom w:val="nil"/>
              <w:right w:val="nil"/>
            </w:tcBorders>
            <w:vAlign w:val="bottom"/>
          </w:tcPr>
          <w:p w14:paraId="31E0217E" w14:textId="59E79C09" w:rsidR="00D84931" w:rsidRPr="001D41EA" w:rsidRDefault="00D84931" w:rsidP="00D84931">
            <w:pPr>
              <w:spacing w:before="40" w:after="40"/>
              <w:jc w:val="right"/>
              <w:rPr>
                <w:rFonts w:cs="Arial"/>
                <w:sz w:val="18"/>
                <w:szCs w:val="18"/>
              </w:rPr>
            </w:pPr>
            <w:r w:rsidRPr="001D41EA">
              <w:rPr>
                <w:rFonts w:cs="Arial"/>
                <w:sz w:val="18"/>
                <w:szCs w:val="18"/>
              </w:rPr>
              <w:t>7,496,221,952</w:t>
            </w:r>
          </w:p>
        </w:tc>
        <w:tc>
          <w:tcPr>
            <w:tcW w:w="1701" w:type="dxa"/>
            <w:tcBorders>
              <w:top w:val="nil"/>
              <w:left w:val="nil"/>
              <w:bottom w:val="nil"/>
              <w:right w:val="nil"/>
            </w:tcBorders>
            <w:shd w:val="clear" w:color="auto" w:fill="auto"/>
            <w:noWrap/>
            <w:vAlign w:val="bottom"/>
          </w:tcPr>
          <w:p w14:paraId="7E719DC9" w14:textId="2559DA2A" w:rsidR="00D84931" w:rsidRPr="001D41EA" w:rsidRDefault="00D84931" w:rsidP="00D84931">
            <w:pPr>
              <w:spacing w:before="40" w:after="40"/>
              <w:jc w:val="right"/>
              <w:rPr>
                <w:rFonts w:cs="Arial"/>
                <w:sz w:val="18"/>
                <w:szCs w:val="18"/>
              </w:rPr>
            </w:pPr>
            <w:r w:rsidRPr="001D41EA">
              <w:rPr>
                <w:rFonts w:cs="Arial"/>
                <w:sz w:val="18"/>
                <w:szCs w:val="18"/>
              </w:rPr>
              <w:t>36,177,000</w:t>
            </w:r>
          </w:p>
        </w:tc>
        <w:tc>
          <w:tcPr>
            <w:tcW w:w="1701" w:type="dxa"/>
            <w:tcBorders>
              <w:top w:val="nil"/>
              <w:left w:val="nil"/>
              <w:bottom w:val="nil"/>
              <w:right w:val="nil"/>
            </w:tcBorders>
            <w:vAlign w:val="bottom"/>
          </w:tcPr>
          <w:p w14:paraId="67BF1F01" w14:textId="03134F62" w:rsidR="00D84931" w:rsidRPr="001D41EA" w:rsidRDefault="00D84931" w:rsidP="00D84931">
            <w:pPr>
              <w:spacing w:before="40" w:after="40"/>
              <w:jc w:val="right"/>
              <w:rPr>
                <w:rFonts w:cs="Arial"/>
                <w:sz w:val="18"/>
                <w:szCs w:val="18"/>
              </w:rPr>
            </w:pPr>
            <w:r w:rsidRPr="001D41EA">
              <w:rPr>
                <w:rFonts w:cs="Arial"/>
                <w:sz w:val="18"/>
                <w:szCs w:val="18"/>
              </w:rPr>
              <w:t>35,845,335,952</w:t>
            </w:r>
          </w:p>
        </w:tc>
      </w:tr>
      <w:tr w:rsidR="00D84931" w:rsidRPr="001D41EA" w14:paraId="06FFFB8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F4F5614" w14:textId="77777777" w:rsidR="00D84931" w:rsidRPr="001D41EA" w:rsidRDefault="00D84931" w:rsidP="00D84931">
            <w:pPr>
              <w:spacing w:before="40" w:after="40"/>
              <w:rPr>
                <w:rFonts w:cs="Arial"/>
                <w:sz w:val="18"/>
                <w:szCs w:val="18"/>
              </w:rPr>
            </w:pPr>
            <w:r w:rsidRPr="001D41EA">
              <w:rPr>
                <w:rFonts w:cs="Arial"/>
                <w:sz w:val="18"/>
                <w:szCs w:val="18"/>
              </w:rPr>
              <w:t>Buloke S</w:t>
            </w:r>
          </w:p>
        </w:tc>
        <w:tc>
          <w:tcPr>
            <w:tcW w:w="1701" w:type="dxa"/>
            <w:tcBorders>
              <w:top w:val="nil"/>
              <w:left w:val="single" w:sz="18" w:space="0" w:color="5F497A" w:themeColor="accent4" w:themeShade="BF"/>
              <w:bottom w:val="nil"/>
              <w:right w:val="nil"/>
            </w:tcBorders>
            <w:shd w:val="clear" w:color="auto" w:fill="auto"/>
            <w:noWrap/>
            <w:vAlign w:val="bottom"/>
          </w:tcPr>
          <w:p w14:paraId="71A603C5" w14:textId="16D91914" w:rsidR="00D84931" w:rsidRPr="001D41EA" w:rsidRDefault="00D84931" w:rsidP="00D84931">
            <w:pPr>
              <w:spacing w:before="40" w:after="40"/>
              <w:jc w:val="right"/>
              <w:rPr>
                <w:rFonts w:cs="Arial"/>
                <w:sz w:val="18"/>
                <w:szCs w:val="18"/>
              </w:rPr>
            </w:pPr>
            <w:r w:rsidRPr="001D41EA">
              <w:rPr>
                <w:rFonts w:cs="Arial"/>
                <w:sz w:val="18"/>
                <w:szCs w:val="18"/>
              </w:rPr>
              <w:t>313,366,725</w:t>
            </w:r>
          </w:p>
        </w:tc>
        <w:tc>
          <w:tcPr>
            <w:tcW w:w="1701" w:type="dxa"/>
            <w:tcBorders>
              <w:top w:val="nil"/>
              <w:left w:val="nil"/>
              <w:bottom w:val="nil"/>
              <w:right w:val="nil"/>
            </w:tcBorders>
            <w:vAlign w:val="bottom"/>
          </w:tcPr>
          <w:p w14:paraId="08EB99DA" w14:textId="21A3C9C5" w:rsidR="00D84931" w:rsidRPr="001D41EA" w:rsidRDefault="00D84931" w:rsidP="00D84931">
            <w:pPr>
              <w:spacing w:before="40" w:after="40"/>
              <w:jc w:val="right"/>
              <w:rPr>
                <w:rFonts w:cs="Arial"/>
                <w:sz w:val="18"/>
                <w:szCs w:val="18"/>
              </w:rPr>
            </w:pPr>
            <w:r w:rsidRPr="001D41EA">
              <w:rPr>
                <w:rFonts w:cs="Arial"/>
                <w:sz w:val="18"/>
                <w:szCs w:val="18"/>
              </w:rPr>
              <w:t>80,370,750</w:t>
            </w:r>
          </w:p>
        </w:tc>
        <w:tc>
          <w:tcPr>
            <w:tcW w:w="1701" w:type="dxa"/>
            <w:tcBorders>
              <w:top w:val="nil"/>
              <w:left w:val="nil"/>
              <w:bottom w:val="nil"/>
              <w:right w:val="nil"/>
            </w:tcBorders>
            <w:shd w:val="clear" w:color="auto" w:fill="auto"/>
            <w:noWrap/>
            <w:vAlign w:val="bottom"/>
          </w:tcPr>
          <w:p w14:paraId="5179E848" w14:textId="23804935" w:rsidR="00D84931" w:rsidRPr="001D41EA" w:rsidRDefault="00D84931" w:rsidP="00D84931">
            <w:pPr>
              <w:spacing w:before="40" w:after="40"/>
              <w:jc w:val="right"/>
              <w:rPr>
                <w:rFonts w:cs="Arial"/>
                <w:sz w:val="18"/>
                <w:szCs w:val="18"/>
              </w:rPr>
            </w:pPr>
            <w:r w:rsidRPr="001D41EA">
              <w:rPr>
                <w:rFonts w:cs="Arial"/>
                <w:sz w:val="18"/>
                <w:szCs w:val="18"/>
              </w:rPr>
              <w:t>941,154,600</w:t>
            </w:r>
          </w:p>
        </w:tc>
        <w:tc>
          <w:tcPr>
            <w:tcW w:w="1701" w:type="dxa"/>
            <w:tcBorders>
              <w:top w:val="nil"/>
              <w:left w:val="nil"/>
              <w:bottom w:val="nil"/>
              <w:right w:val="nil"/>
            </w:tcBorders>
            <w:vAlign w:val="bottom"/>
          </w:tcPr>
          <w:p w14:paraId="4CD0F2D0" w14:textId="0B854A67" w:rsidR="00D84931" w:rsidRPr="001D41EA" w:rsidRDefault="00D84931" w:rsidP="00D84931">
            <w:pPr>
              <w:spacing w:before="40" w:after="40"/>
              <w:jc w:val="right"/>
              <w:rPr>
                <w:rFonts w:cs="Arial"/>
                <w:sz w:val="18"/>
                <w:szCs w:val="18"/>
              </w:rPr>
            </w:pPr>
            <w:r w:rsidRPr="001D41EA">
              <w:rPr>
                <w:rFonts w:cs="Arial"/>
                <w:sz w:val="18"/>
                <w:szCs w:val="18"/>
              </w:rPr>
              <w:t>1,334,892,075</w:t>
            </w:r>
          </w:p>
        </w:tc>
      </w:tr>
      <w:tr w:rsidR="00D84931" w:rsidRPr="001D41EA" w14:paraId="24F9B25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561BF24" w14:textId="77777777" w:rsidR="00D84931" w:rsidRPr="001D41EA" w:rsidRDefault="00D84931" w:rsidP="00D84931">
            <w:pPr>
              <w:spacing w:before="40" w:after="40"/>
              <w:rPr>
                <w:rFonts w:cs="Arial"/>
                <w:sz w:val="18"/>
                <w:szCs w:val="18"/>
              </w:rPr>
            </w:pPr>
            <w:r w:rsidRPr="001D41EA">
              <w:rPr>
                <w:rFonts w:cs="Arial"/>
                <w:sz w:val="18"/>
                <w:szCs w:val="18"/>
              </w:rPr>
              <w:t>Campaspe S</w:t>
            </w:r>
          </w:p>
        </w:tc>
        <w:tc>
          <w:tcPr>
            <w:tcW w:w="1701" w:type="dxa"/>
            <w:tcBorders>
              <w:top w:val="nil"/>
              <w:left w:val="single" w:sz="18" w:space="0" w:color="5F497A" w:themeColor="accent4" w:themeShade="BF"/>
              <w:bottom w:val="nil"/>
              <w:right w:val="nil"/>
            </w:tcBorders>
            <w:shd w:val="clear" w:color="auto" w:fill="auto"/>
            <w:noWrap/>
            <w:vAlign w:val="bottom"/>
          </w:tcPr>
          <w:p w14:paraId="31EE9209" w14:textId="13840439" w:rsidR="00D84931" w:rsidRPr="001D41EA" w:rsidRDefault="00D84931" w:rsidP="00D84931">
            <w:pPr>
              <w:spacing w:before="40" w:after="40"/>
              <w:jc w:val="right"/>
              <w:rPr>
                <w:rFonts w:cs="Arial"/>
                <w:sz w:val="18"/>
                <w:szCs w:val="18"/>
              </w:rPr>
            </w:pPr>
            <w:r w:rsidRPr="001D41EA">
              <w:rPr>
                <w:rFonts w:cs="Arial"/>
                <w:sz w:val="18"/>
                <w:szCs w:val="18"/>
              </w:rPr>
              <w:t>3,939,400,525</w:t>
            </w:r>
          </w:p>
        </w:tc>
        <w:tc>
          <w:tcPr>
            <w:tcW w:w="1701" w:type="dxa"/>
            <w:tcBorders>
              <w:top w:val="nil"/>
              <w:left w:val="nil"/>
              <w:bottom w:val="nil"/>
              <w:right w:val="nil"/>
            </w:tcBorders>
            <w:vAlign w:val="bottom"/>
          </w:tcPr>
          <w:p w14:paraId="28652176" w14:textId="4AA2B807" w:rsidR="00D84931" w:rsidRPr="001D41EA" w:rsidRDefault="00D84931" w:rsidP="00D84931">
            <w:pPr>
              <w:spacing w:before="40" w:after="40"/>
              <w:jc w:val="right"/>
              <w:rPr>
                <w:rFonts w:cs="Arial"/>
                <w:sz w:val="18"/>
                <w:szCs w:val="18"/>
              </w:rPr>
            </w:pPr>
            <w:r w:rsidRPr="001D41EA">
              <w:rPr>
                <w:rFonts w:cs="Arial"/>
                <w:sz w:val="18"/>
                <w:szCs w:val="18"/>
              </w:rPr>
              <w:t>920,244,675</w:t>
            </w:r>
          </w:p>
        </w:tc>
        <w:tc>
          <w:tcPr>
            <w:tcW w:w="1701" w:type="dxa"/>
            <w:tcBorders>
              <w:top w:val="nil"/>
              <w:left w:val="nil"/>
              <w:bottom w:val="nil"/>
              <w:right w:val="nil"/>
            </w:tcBorders>
            <w:shd w:val="clear" w:color="auto" w:fill="auto"/>
            <w:noWrap/>
            <w:vAlign w:val="bottom"/>
          </w:tcPr>
          <w:p w14:paraId="4AC17C91" w14:textId="5F7ABCA8" w:rsidR="00D84931" w:rsidRPr="001D41EA" w:rsidRDefault="00D84931" w:rsidP="00D84931">
            <w:pPr>
              <w:spacing w:before="40" w:after="40"/>
              <w:jc w:val="right"/>
              <w:rPr>
                <w:rFonts w:cs="Arial"/>
                <w:sz w:val="18"/>
                <w:szCs w:val="18"/>
              </w:rPr>
            </w:pPr>
            <w:r w:rsidRPr="001D41EA">
              <w:rPr>
                <w:rFonts w:cs="Arial"/>
                <w:sz w:val="18"/>
                <w:szCs w:val="18"/>
              </w:rPr>
              <w:t>1,671,366,250</w:t>
            </w:r>
          </w:p>
        </w:tc>
        <w:tc>
          <w:tcPr>
            <w:tcW w:w="1701" w:type="dxa"/>
            <w:tcBorders>
              <w:top w:val="nil"/>
              <w:left w:val="nil"/>
              <w:bottom w:val="nil"/>
              <w:right w:val="nil"/>
            </w:tcBorders>
            <w:vAlign w:val="bottom"/>
          </w:tcPr>
          <w:p w14:paraId="7BD49233" w14:textId="02A46A41" w:rsidR="00D84931" w:rsidRPr="001D41EA" w:rsidRDefault="00D84931" w:rsidP="00D84931">
            <w:pPr>
              <w:spacing w:before="40" w:after="40"/>
              <w:jc w:val="right"/>
              <w:rPr>
                <w:rFonts w:cs="Arial"/>
                <w:sz w:val="18"/>
                <w:szCs w:val="18"/>
              </w:rPr>
            </w:pPr>
            <w:r w:rsidRPr="001D41EA">
              <w:rPr>
                <w:rFonts w:cs="Arial"/>
                <w:sz w:val="18"/>
                <w:szCs w:val="18"/>
              </w:rPr>
              <w:t>6,531,011,450</w:t>
            </w:r>
          </w:p>
        </w:tc>
      </w:tr>
      <w:tr w:rsidR="00D84931" w:rsidRPr="001D41EA" w14:paraId="4D9E52D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A3B077A" w14:textId="77777777" w:rsidR="00D84931" w:rsidRPr="001D41EA" w:rsidRDefault="00D84931" w:rsidP="00D84931">
            <w:pPr>
              <w:spacing w:before="40" w:after="40"/>
              <w:rPr>
                <w:rFonts w:cs="Arial"/>
                <w:sz w:val="18"/>
                <w:szCs w:val="18"/>
              </w:rPr>
            </w:pPr>
            <w:r w:rsidRPr="001D41EA">
              <w:rPr>
                <w:rFonts w:cs="Arial"/>
                <w:sz w:val="18"/>
                <w:szCs w:val="18"/>
              </w:rPr>
              <w:t>Cardinia S</w:t>
            </w:r>
          </w:p>
        </w:tc>
        <w:tc>
          <w:tcPr>
            <w:tcW w:w="1701" w:type="dxa"/>
            <w:tcBorders>
              <w:top w:val="nil"/>
              <w:left w:val="single" w:sz="18" w:space="0" w:color="5F497A" w:themeColor="accent4" w:themeShade="BF"/>
              <w:bottom w:val="nil"/>
              <w:right w:val="nil"/>
            </w:tcBorders>
            <w:shd w:val="clear" w:color="auto" w:fill="auto"/>
            <w:noWrap/>
            <w:vAlign w:val="bottom"/>
          </w:tcPr>
          <w:p w14:paraId="659A8752" w14:textId="788CDE55" w:rsidR="00D84931" w:rsidRPr="001D41EA" w:rsidRDefault="00D84931" w:rsidP="00D84931">
            <w:pPr>
              <w:spacing w:before="40" w:after="40"/>
              <w:jc w:val="right"/>
              <w:rPr>
                <w:rFonts w:cs="Arial"/>
                <w:sz w:val="18"/>
                <w:szCs w:val="18"/>
              </w:rPr>
            </w:pPr>
            <w:r w:rsidRPr="001D41EA">
              <w:rPr>
                <w:rFonts w:cs="Arial"/>
                <w:sz w:val="18"/>
                <w:szCs w:val="18"/>
              </w:rPr>
              <w:t>14,780,824,128</w:t>
            </w:r>
          </w:p>
        </w:tc>
        <w:tc>
          <w:tcPr>
            <w:tcW w:w="1701" w:type="dxa"/>
            <w:tcBorders>
              <w:top w:val="nil"/>
              <w:left w:val="nil"/>
              <w:bottom w:val="nil"/>
              <w:right w:val="nil"/>
            </w:tcBorders>
            <w:vAlign w:val="bottom"/>
          </w:tcPr>
          <w:p w14:paraId="744630E0" w14:textId="4F3A4EDA" w:rsidR="00D84931" w:rsidRPr="001D41EA" w:rsidRDefault="00D84931" w:rsidP="00D84931">
            <w:pPr>
              <w:spacing w:before="40" w:after="40"/>
              <w:jc w:val="right"/>
              <w:rPr>
                <w:rFonts w:cs="Arial"/>
                <w:sz w:val="18"/>
                <w:szCs w:val="18"/>
              </w:rPr>
            </w:pPr>
            <w:r w:rsidRPr="001D41EA">
              <w:rPr>
                <w:rFonts w:cs="Arial"/>
                <w:sz w:val="18"/>
                <w:szCs w:val="18"/>
              </w:rPr>
              <w:t>1,599,661,232</w:t>
            </w:r>
          </w:p>
        </w:tc>
        <w:tc>
          <w:tcPr>
            <w:tcW w:w="1701" w:type="dxa"/>
            <w:tcBorders>
              <w:top w:val="nil"/>
              <w:left w:val="nil"/>
              <w:bottom w:val="nil"/>
              <w:right w:val="nil"/>
            </w:tcBorders>
            <w:shd w:val="clear" w:color="auto" w:fill="auto"/>
            <w:noWrap/>
            <w:vAlign w:val="bottom"/>
          </w:tcPr>
          <w:p w14:paraId="43CDE448" w14:textId="0AEFE83A" w:rsidR="00D84931" w:rsidRPr="001D41EA" w:rsidRDefault="00D84931" w:rsidP="00D84931">
            <w:pPr>
              <w:spacing w:before="40" w:after="40"/>
              <w:jc w:val="right"/>
              <w:rPr>
                <w:rFonts w:cs="Arial"/>
                <w:sz w:val="18"/>
                <w:szCs w:val="18"/>
              </w:rPr>
            </w:pPr>
            <w:r w:rsidRPr="001D41EA">
              <w:rPr>
                <w:rFonts w:cs="Arial"/>
                <w:sz w:val="18"/>
                <w:szCs w:val="18"/>
              </w:rPr>
              <w:t>1,480,760,034</w:t>
            </w:r>
          </w:p>
        </w:tc>
        <w:tc>
          <w:tcPr>
            <w:tcW w:w="1701" w:type="dxa"/>
            <w:tcBorders>
              <w:top w:val="nil"/>
              <w:left w:val="nil"/>
              <w:bottom w:val="nil"/>
              <w:right w:val="nil"/>
            </w:tcBorders>
            <w:vAlign w:val="bottom"/>
          </w:tcPr>
          <w:p w14:paraId="4CBB6F01" w14:textId="30ACA32E" w:rsidR="00D84931" w:rsidRPr="001D41EA" w:rsidRDefault="00D84931" w:rsidP="00D84931">
            <w:pPr>
              <w:spacing w:before="40" w:after="40"/>
              <w:jc w:val="right"/>
              <w:rPr>
                <w:rFonts w:cs="Arial"/>
                <w:sz w:val="18"/>
                <w:szCs w:val="18"/>
              </w:rPr>
            </w:pPr>
            <w:r w:rsidRPr="001D41EA">
              <w:rPr>
                <w:rFonts w:cs="Arial"/>
                <w:sz w:val="18"/>
                <w:szCs w:val="18"/>
              </w:rPr>
              <w:t>17,861,245,394</w:t>
            </w:r>
          </w:p>
        </w:tc>
      </w:tr>
      <w:tr w:rsidR="00D84931" w:rsidRPr="001D41EA" w14:paraId="2685675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DDC6435" w14:textId="77777777" w:rsidR="00D84931" w:rsidRPr="001D41EA" w:rsidRDefault="00D84931" w:rsidP="00D84931">
            <w:pPr>
              <w:spacing w:before="40" w:after="40"/>
              <w:rPr>
                <w:rFonts w:cs="Arial"/>
                <w:sz w:val="18"/>
                <w:szCs w:val="18"/>
              </w:rPr>
            </w:pPr>
            <w:r w:rsidRPr="001D41EA">
              <w:rPr>
                <w:rFonts w:cs="Arial"/>
                <w:sz w:val="18"/>
                <w:szCs w:val="18"/>
              </w:rPr>
              <w:t>Casey C</w:t>
            </w:r>
          </w:p>
        </w:tc>
        <w:tc>
          <w:tcPr>
            <w:tcW w:w="1701" w:type="dxa"/>
            <w:tcBorders>
              <w:top w:val="nil"/>
              <w:left w:val="single" w:sz="18" w:space="0" w:color="5F497A" w:themeColor="accent4" w:themeShade="BF"/>
              <w:bottom w:val="nil"/>
              <w:right w:val="nil"/>
            </w:tcBorders>
            <w:shd w:val="clear" w:color="auto" w:fill="auto"/>
            <w:noWrap/>
            <w:vAlign w:val="bottom"/>
          </w:tcPr>
          <w:p w14:paraId="1AFD3340" w14:textId="69FCF8B2" w:rsidR="00D84931" w:rsidRPr="001D41EA" w:rsidRDefault="00D84931" w:rsidP="00D84931">
            <w:pPr>
              <w:spacing w:before="40" w:after="40"/>
              <w:jc w:val="right"/>
              <w:rPr>
                <w:rFonts w:cs="Arial"/>
                <w:sz w:val="18"/>
                <w:szCs w:val="18"/>
              </w:rPr>
            </w:pPr>
            <w:r w:rsidRPr="001D41EA">
              <w:rPr>
                <w:rFonts w:cs="Arial"/>
                <w:sz w:val="18"/>
                <w:szCs w:val="18"/>
              </w:rPr>
              <w:t>45,303,293,875</w:t>
            </w:r>
          </w:p>
        </w:tc>
        <w:tc>
          <w:tcPr>
            <w:tcW w:w="1701" w:type="dxa"/>
            <w:tcBorders>
              <w:top w:val="nil"/>
              <w:left w:val="nil"/>
              <w:bottom w:val="nil"/>
              <w:right w:val="nil"/>
            </w:tcBorders>
            <w:vAlign w:val="bottom"/>
          </w:tcPr>
          <w:p w14:paraId="7EA3EA99" w14:textId="28DDAE77" w:rsidR="00D84931" w:rsidRPr="001D41EA" w:rsidRDefault="00D84931" w:rsidP="00D84931">
            <w:pPr>
              <w:spacing w:before="40" w:after="40"/>
              <w:jc w:val="right"/>
              <w:rPr>
                <w:rFonts w:cs="Arial"/>
                <w:sz w:val="18"/>
                <w:szCs w:val="18"/>
              </w:rPr>
            </w:pPr>
            <w:r w:rsidRPr="001D41EA">
              <w:rPr>
                <w:rFonts w:cs="Arial"/>
                <w:sz w:val="18"/>
                <w:szCs w:val="18"/>
              </w:rPr>
              <w:t>5,553,285,573</w:t>
            </w:r>
          </w:p>
        </w:tc>
        <w:tc>
          <w:tcPr>
            <w:tcW w:w="1701" w:type="dxa"/>
            <w:tcBorders>
              <w:top w:val="nil"/>
              <w:left w:val="nil"/>
              <w:bottom w:val="nil"/>
              <w:right w:val="nil"/>
            </w:tcBorders>
            <w:shd w:val="clear" w:color="auto" w:fill="auto"/>
            <w:noWrap/>
            <w:vAlign w:val="bottom"/>
          </w:tcPr>
          <w:p w14:paraId="716BF34E" w14:textId="5B7AD0FD" w:rsidR="00D84931" w:rsidRPr="001D41EA" w:rsidRDefault="00D84931" w:rsidP="00D84931">
            <w:pPr>
              <w:spacing w:before="40" w:after="40"/>
              <w:jc w:val="right"/>
              <w:rPr>
                <w:rFonts w:cs="Arial"/>
                <w:sz w:val="18"/>
                <w:szCs w:val="18"/>
              </w:rPr>
            </w:pPr>
            <w:r w:rsidRPr="001D41EA">
              <w:rPr>
                <w:rFonts w:cs="Arial"/>
                <w:sz w:val="18"/>
                <w:szCs w:val="18"/>
              </w:rPr>
              <w:t>651,648,000</w:t>
            </w:r>
          </w:p>
        </w:tc>
        <w:tc>
          <w:tcPr>
            <w:tcW w:w="1701" w:type="dxa"/>
            <w:tcBorders>
              <w:top w:val="nil"/>
              <w:left w:val="nil"/>
              <w:bottom w:val="nil"/>
              <w:right w:val="nil"/>
            </w:tcBorders>
            <w:vAlign w:val="bottom"/>
          </w:tcPr>
          <w:p w14:paraId="5561DDC3" w14:textId="11B057E0" w:rsidR="00D84931" w:rsidRPr="001D41EA" w:rsidRDefault="00D84931" w:rsidP="00D84931">
            <w:pPr>
              <w:spacing w:before="40" w:after="40"/>
              <w:jc w:val="right"/>
              <w:rPr>
                <w:rFonts w:cs="Arial"/>
                <w:sz w:val="18"/>
                <w:szCs w:val="18"/>
              </w:rPr>
            </w:pPr>
            <w:r w:rsidRPr="001D41EA">
              <w:rPr>
                <w:rFonts w:cs="Arial"/>
                <w:sz w:val="18"/>
                <w:szCs w:val="18"/>
              </w:rPr>
              <w:t>51,508,227,448</w:t>
            </w:r>
          </w:p>
        </w:tc>
      </w:tr>
      <w:tr w:rsidR="00D84931" w:rsidRPr="001D41EA" w14:paraId="13617FC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6DB5FB5" w14:textId="77777777" w:rsidR="00D84931" w:rsidRPr="001D41EA" w:rsidRDefault="00D84931" w:rsidP="00D84931">
            <w:pPr>
              <w:spacing w:before="40" w:after="40"/>
              <w:rPr>
                <w:rFonts w:cs="Arial"/>
                <w:sz w:val="18"/>
                <w:szCs w:val="18"/>
              </w:rPr>
            </w:pPr>
            <w:r w:rsidRPr="001D41EA">
              <w:rPr>
                <w:rFonts w:cs="Arial"/>
                <w:sz w:val="18"/>
                <w:szCs w:val="18"/>
              </w:rPr>
              <w:t>Central Goldfields S</w:t>
            </w:r>
          </w:p>
        </w:tc>
        <w:tc>
          <w:tcPr>
            <w:tcW w:w="1701" w:type="dxa"/>
            <w:tcBorders>
              <w:top w:val="nil"/>
              <w:left w:val="single" w:sz="18" w:space="0" w:color="5F497A" w:themeColor="accent4" w:themeShade="BF"/>
              <w:bottom w:val="nil"/>
              <w:right w:val="nil"/>
            </w:tcBorders>
            <w:shd w:val="clear" w:color="auto" w:fill="auto"/>
            <w:noWrap/>
            <w:vAlign w:val="bottom"/>
          </w:tcPr>
          <w:p w14:paraId="08F38570" w14:textId="3527D74F" w:rsidR="00D84931" w:rsidRPr="001D41EA" w:rsidRDefault="00D84931" w:rsidP="00D84931">
            <w:pPr>
              <w:spacing w:before="40" w:after="40"/>
              <w:jc w:val="right"/>
              <w:rPr>
                <w:rFonts w:cs="Arial"/>
                <w:sz w:val="18"/>
                <w:szCs w:val="18"/>
              </w:rPr>
            </w:pPr>
            <w:r w:rsidRPr="001D41EA">
              <w:rPr>
                <w:rFonts w:cs="Arial"/>
                <w:sz w:val="18"/>
                <w:szCs w:val="18"/>
              </w:rPr>
              <w:t>1,225,846,500</w:t>
            </w:r>
          </w:p>
        </w:tc>
        <w:tc>
          <w:tcPr>
            <w:tcW w:w="1701" w:type="dxa"/>
            <w:tcBorders>
              <w:top w:val="nil"/>
              <w:left w:val="nil"/>
              <w:bottom w:val="nil"/>
              <w:right w:val="nil"/>
            </w:tcBorders>
            <w:vAlign w:val="bottom"/>
          </w:tcPr>
          <w:p w14:paraId="0152D5A2" w14:textId="547BCE9C" w:rsidR="00D84931" w:rsidRPr="001D41EA" w:rsidRDefault="00D84931" w:rsidP="00D84931">
            <w:pPr>
              <w:spacing w:before="40" w:after="40"/>
              <w:jc w:val="right"/>
              <w:rPr>
                <w:rFonts w:cs="Arial"/>
                <w:sz w:val="18"/>
                <w:szCs w:val="18"/>
              </w:rPr>
            </w:pPr>
            <w:r w:rsidRPr="001D41EA">
              <w:rPr>
                <w:rFonts w:cs="Arial"/>
                <w:sz w:val="18"/>
                <w:szCs w:val="18"/>
              </w:rPr>
              <w:t>150,634,000</w:t>
            </w:r>
          </w:p>
        </w:tc>
        <w:tc>
          <w:tcPr>
            <w:tcW w:w="1701" w:type="dxa"/>
            <w:tcBorders>
              <w:top w:val="nil"/>
              <w:left w:val="nil"/>
              <w:bottom w:val="nil"/>
              <w:right w:val="nil"/>
            </w:tcBorders>
            <w:shd w:val="clear" w:color="auto" w:fill="auto"/>
            <w:noWrap/>
            <w:vAlign w:val="bottom"/>
          </w:tcPr>
          <w:p w14:paraId="61DA6750" w14:textId="2CB21981" w:rsidR="00D84931" w:rsidRPr="001D41EA" w:rsidRDefault="00D84931" w:rsidP="00D84931">
            <w:pPr>
              <w:spacing w:before="40" w:after="40"/>
              <w:jc w:val="right"/>
              <w:rPr>
                <w:rFonts w:cs="Arial"/>
                <w:sz w:val="18"/>
                <w:szCs w:val="18"/>
              </w:rPr>
            </w:pPr>
            <w:r w:rsidRPr="001D41EA">
              <w:rPr>
                <w:rFonts w:cs="Arial"/>
                <w:sz w:val="18"/>
                <w:szCs w:val="18"/>
              </w:rPr>
              <w:t>327,906,750</w:t>
            </w:r>
          </w:p>
        </w:tc>
        <w:tc>
          <w:tcPr>
            <w:tcW w:w="1701" w:type="dxa"/>
            <w:tcBorders>
              <w:top w:val="nil"/>
              <w:left w:val="nil"/>
              <w:bottom w:val="nil"/>
              <w:right w:val="nil"/>
            </w:tcBorders>
            <w:vAlign w:val="bottom"/>
          </w:tcPr>
          <w:p w14:paraId="12BA6280" w14:textId="478933BE" w:rsidR="00D84931" w:rsidRPr="001D41EA" w:rsidRDefault="00D84931" w:rsidP="00D84931">
            <w:pPr>
              <w:spacing w:before="40" w:after="40"/>
              <w:jc w:val="right"/>
              <w:rPr>
                <w:rFonts w:cs="Arial"/>
                <w:sz w:val="18"/>
                <w:szCs w:val="18"/>
              </w:rPr>
            </w:pPr>
            <w:r w:rsidRPr="001D41EA">
              <w:rPr>
                <w:rFonts w:cs="Arial"/>
                <w:sz w:val="18"/>
                <w:szCs w:val="18"/>
              </w:rPr>
              <w:t>1,704,387,250</w:t>
            </w:r>
          </w:p>
        </w:tc>
      </w:tr>
      <w:tr w:rsidR="00D84931" w:rsidRPr="001D41EA" w14:paraId="6B1D4B4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E7090E6" w14:textId="77777777" w:rsidR="00D84931" w:rsidRPr="001D41EA" w:rsidRDefault="00D84931" w:rsidP="00D84931">
            <w:pPr>
              <w:spacing w:before="40" w:after="40"/>
              <w:rPr>
                <w:rFonts w:cs="Arial"/>
                <w:sz w:val="18"/>
                <w:szCs w:val="18"/>
              </w:rPr>
            </w:pPr>
            <w:r w:rsidRPr="001D41EA">
              <w:rPr>
                <w:rFonts w:cs="Arial"/>
                <w:sz w:val="18"/>
                <w:szCs w:val="18"/>
              </w:rPr>
              <w:t>Colac Otway S</w:t>
            </w:r>
          </w:p>
        </w:tc>
        <w:tc>
          <w:tcPr>
            <w:tcW w:w="1701" w:type="dxa"/>
            <w:tcBorders>
              <w:top w:val="nil"/>
              <w:left w:val="single" w:sz="18" w:space="0" w:color="5F497A" w:themeColor="accent4" w:themeShade="BF"/>
              <w:bottom w:val="nil"/>
              <w:right w:val="nil"/>
            </w:tcBorders>
            <w:shd w:val="clear" w:color="auto" w:fill="auto"/>
            <w:noWrap/>
            <w:vAlign w:val="bottom"/>
          </w:tcPr>
          <w:p w14:paraId="5F738E96" w14:textId="7592DD9B" w:rsidR="00D84931" w:rsidRPr="001D41EA" w:rsidRDefault="00D84931" w:rsidP="00D84931">
            <w:pPr>
              <w:spacing w:before="40" w:after="40"/>
              <w:jc w:val="right"/>
              <w:rPr>
                <w:rFonts w:cs="Arial"/>
                <w:sz w:val="18"/>
                <w:szCs w:val="18"/>
              </w:rPr>
            </w:pPr>
            <w:r w:rsidRPr="001D41EA">
              <w:rPr>
                <w:rFonts w:cs="Arial"/>
                <w:sz w:val="18"/>
                <w:szCs w:val="18"/>
              </w:rPr>
              <w:t>3,462,885,464</w:t>
            </w:r>
          </w:p>
        </w:tc>
        <w:tc>
          <w:tcPr>
            <w:tcW w:w="1701" w:type="dxa"/>
            <w:tcBorders>
              <w:top w:val="nil"/>
              <w:left w:val="nil"/>
              <w:bottom w:val="nil"/>
              <w:right w:val="nil"/>
            </w:tcBorders>
            <w:vAlign w:val="bottom"/>
          </w:tcPr>
          <w:p w14:paraId="6F31F1D2" w14:textId="1E4C7E7E" w:rsidR="00D84931" w:rsidRPr="001D41EA" w:rsidRDefault="00D84931" w:rsidP="00D84931">
            <w:pPr>
              <w:spacing w:before="40" w:after="40"/>
              <w:jc w:val="right"/>
              <w:rPr>
                <w:rFonts w:cs="Arial"/>
                <w:sz w:val="18"/>
                <w:szCs w:val="18"/>
              </w:rPr>
            </w:pPr>
            <w:r w:rsidRPr="001D41EA">
              <w:rPr>
                <w:rFonts w:cs="Arial"/>
                <w:sz w:val="18"/>
                <w:szCs w:val="18"/>
              </w:rPr>
              <w:t>508,121,116</w:t>
            </w:r>
          </w:p>
        </w:tc>
        <w:tc>
          <w:tcPr>
            <w:tcW w:w="1701" w:type="dxa"/>
            <w:tcBorders>
              <w:top w:val="nil"/>
              <w:left w:val="nil"/>
              <w:bottom w:val="nil"/>
              <w:right w:val="nil"/>
            </w:tcBorders>
            <w:shd w:val="clear" w:color="auto" w:fill="auto"/>
            <w:noWrap/>
            <w:vAlign w:val="bottom"/>
          </w:tcPr>
          <w:p w14:paraId="6A17039E" w14:textId="779D72EC" w:rsidR="00D84931" w:rsidRPr="001D41EA" w:rsidRDefault="00D84931" w:rsidP="00D84931">
            <w:pPr>
              <w:spacing w:before="40" w:after="40"/>
              <w:jc w:val="right"/>
              <w:rPr>
                <w:rFonts w:cs="Arial"/>
                <w:sz w:val="18"/>
                <w:szCs w:val="18"/>
              </w:rPr>
            </w:pPr>
            <w:r w:rsidRPr="001D41EA">
              <w:rPr>
                <w:rFonts w:cs="Arial"/>
                <w:sz w:val="18"/>
                <w:szCs w:val="18"/>
              </w:rPr>
              <w:t>1,625,539,615</w:t>
            </w:r>
          </w:p>
        </w:tc>
        <w:tc>
          <w:tcPr>
            <w:tcW w:w="1701" w:type="dxa"/>
            <w:tcBorders>
              <w:top w:val="nil"/>
              <w:left w:val="nil"/>
              <w:bottom w:val="nil"/>
              <w:right w:val="nil"/>
            </w:tcBorders>
            <w:vAlign w:val="bottom"/>
          </w:tcPr>
          <w:p w14:paraId="0FF2A7D5" w14:textId="6E4ECF0D" w:rsidR="00D84931" w:rsidRPr="001D41EA" w:rsidRDefault="00D84931" w:rsidP="00D84931">
            <w:pPr>
              <w:spacing w:before="40" w:after="40"/>
              <w:jc w:val="right"/>
              <w:rPr>
                <w:rFonts w:cs="Arial"/>
                <w:sz w:val="18"/>
                <w:szCs w:val="18"/>
              </w:rPr>
            </w:pPr>
            <w:r w:rsidRPr="001D41EA">
              <w:rPr>
                <w:rFonts w:cs="Arial"/>
                <w:sz w:val="18"/>
                <w:szCs w:val="18"/>
              </w:rPr>
              <w:t>5,596,546,194</w:t>
            </w:r>
          </w:p>
        </w:tc>
      </w:tr>
      <w:tr w:rsidR="00D84931" w:rsidRPr="001D41EA" w14:paraId="79A3491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DDDC5C6" w14:textId="77777777" w:rsidR="00D84931" w:rsidRPr="001D41EA" w:rsidRDefault="00D84931" w:rsidP="00D84931">
            <w:pPr>
              <w:spacing w:before="40" w:after="40"/>
              <w:rPr>
                <w:rFonts w:cs="Arial"/>
                <w:sz w:val="18"/>
                <w:szCs w:val="18"/>
              </w:rPr>
            </w:pPr>
            <w:r w:rsidRPr="001D41EA">
              <w:rPr>
                <w:rFonts w:cs="Arial"/>
                <w:sz w:val="18"/>
                <w:szCs w:val="18"/>
              </w:rPr>
              <w:t>Corangamite S</w:t>
            </w:r>
          </w:p>
        </w:tc>
        <w:tc>
          <w:tcPr>
            <w:tcW w:w="1701" w:type="dxa"/>
            <w:tcBorders>
              <w:top w:val="nil"/>
              <w:left w:val="single" w:sz="18" w:space="0" w:color="5F497A" w:themeColor="accent4" w:themeShade="BF"/>
              <w:bottom w:val="nil"/>
              <w:right w:val="nil"/>
            </w:tcBorders>
            <w:shd w:val="clear" w:color="auto" w:fill="auto"/>
            <w:noWrap/>
            <w:vAlign w:val="bottom"/>
          </w:tcPr>
          <w:p w14:paraId="1FF914D3" w14:textId="606A27B9" w:rsidR="00D84931" w:rsidRPr="001D41EA" w:rsidRDefault="00D84931" w:rsidP="00D84931">
            <w:pPr>
              <w:spacing w:before="40" w:after="40"/>
              <w:jc w:val="right"/>
              <w:rPr>
                <w:rFonts w:cs="Arial"/>
                <w:sz w:val="18"/>
                <w:szCs w:val="18"/>
              </w:rPr>
            </w:pPr>
            <w:r w:rsidRPr="001D41EA">
              <w:rPr>
                <w:rFonts w:cs="Arial"/>
                <w:sz w:val="18"/>
                <w:szCs w:val="18"/>
              </w:rPr>
              <w:t>1,340,098,375</w:t>
            </w:r>
          </w:p>
        </w:tc>
        <w:tc>
          <w:tcPr>
            <w:tcW w:w="1701" w:type="dxa"/>
            <w:tcBorders>
              <w:top w:val="nil"/>
              <w:left w:val="nil"/>
              <w:bottom w:val="nil"/>
              <w:right w:val="nil"/>
            </w:tcBorders>
            <w:vAlign w:val="bottom"/>
          </w:tcPr>
          <w:p w14:paraId="31A0989A" w14:textId="6382C3BD" w:rsidR="00D84931" w:rsidRPr="001D41EA" w:rsidRDefault="00D84931" w:rsidP="00D84931">
            <w:pPr>
              <w:spacing w:before="40" w:after="40"/>
              <w:jc w:val="right"/>
              <w:rPr>
                <w:rFonts w:cs="Arial"/>
                <w:sz w:val="18"/>
                <w:szCs w:val="18"/>
              </w:rPr>
            </w:pPr>
            <w:r w:rsidRPr="001D41EA">
              <w:rPr>
                <w:rFonts w:cs="Arial"/>
                <w:sz w:val="18"/>
                <w:szCs w:val="18"/>
              </w:rPr>
              <w:t>779,354,440</w:t>
            </w:r>
          </w:p>
        </w:tc>
        <w:tc>
          <w:tcPr>
            <w:tcW w:w="1701" w:type="dxa"/>
            <w:tcBorders>
              <w:top w:val="nil"/>
              <w:left w:val="nil"/>
              <w:bottom w:val="nil"/>
              <w:right w:val="nil"/>
            </w:tcBorders>
            <w:shd w:val="clear" w:color="auto" w:fill="auto"/>
            <w:noWrap/>
            <w:vAlign w:val="bottom"/>
          </w:tcPr>
          <w:p w14:paraId="790B1D64" w14:textId="2A9C1A34" w:rsidR="00D84931" w:rsidRPr="001D41EA" w:rsidRDefault="00D84931" w:rsidP="00D84931">
            <w:pPr>
              <w:spacing w:before="40" w:after="40"/>
              <w:jc w:val="right"/>
              <w:rPr>
                <w:rFonts w:cs="Arial"/>
                <w:sz w:val="18"/>
                <w:szCs w:val="18"/>
              </w:rPr>
            </w:pPr>
            <w:r w:rsidRPr="001D41EA">
              <w:rPr>
                <w:rFonts w:cs="Arial"/>
                <w:sz w:val="18"/>
                <w:szCs w:val="18"/>
              </w:rPr>
              <w:t>2,698,081,375</w:t>
            </w:r>
          </w:p>
        </w:tc>
        <w:tc>
          <w:tcPr>
            <w:tcW w:w="1701" w:type="dxa"/>
            <w:tcBorders>
              <w:top w:val="nil"/>
              <w:left w:val="nil"/>
              <w:bottom w:val="nil"/>
              <w:right w:val="nil"/>
            </w:tcBorders>
            <w:vAlign w:val="bottom"/>
          </w:tcPr>
          <w:p w14:paraId="3A73702D" w14:textId="41A60FFC" w:rsidR="00D84931" w:rsidRPr="001D41EA" w:rsidRDefault="00D84931" w:rsidP="00D84931">
            <w:pPr>
              <w:spacing w:before="40" w:after="40"/>
              <w:jc w:val="right"/>
              <w:rPr>
                <w:rFonts w:cs="Arial"/>
                <w:sz w:val="18"/>
                <w:szCs w:val="18"/>
              </w:rPr>
            </w:pPr>
            <w:r w:rsidRPr="001D41EA">
              <w:rPr>
                <w:rFonts w:cs="Arial"/>
                <w:sz w:val="18"/>
                <w:szCs w:val="18"/>
              </w:rPr>
              <w:t>4,817,534,190</w:t>
            </w:r>
          </w:p>
        </w:tc>
      </w:tr>
      <w:tr w:rsidR="00D84931" w:rsidRPr="001D41EA" w14:paraId="4A96C58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837A990" w14:textId="77777777" w:rsidR="00D84931" w:rsidRPr="001D41EA" w:rsidRDefault="00D84931" w:rsidP="00D84931">
            <w:pPr>
              <w:spacing w:before="40" w:after="40"/>
              <w:rPr>
                <w:rFonts w:cs="Arial"/>
                <w:sz w:val="18"/>
                <w:szCs w:val="18"/>
              </w:rPr>
            </w:pPr>
            <w:r w:rsidRPr="001D41EA">
              <w:rPr>
                <w:rFonts w:cs="Arial"/>
                <w:sz w:val="18"/>
                <w:szCs w:val="18"/>
              </w:rPr>
              <w:t>Darebin C</w:t>
            </w:r>
          </w:p>
        </w:tc>
        <w:tc>
          <w:tcPr>
            <w:tcW w:w="1701" w:type="dxa"/>
            <w:tcBorders>
              <w:top w:val="nil"/>
              <w:left w:val="single" w:sz="18" w:space="0" w:color="5F497A" w:themeColor="accent4" w:themeShade="BF"/>
              <w:bottom w:val="nil"/>
              <w:right w:val="nil"/>
            </w:tcBorders>
            <w:shd w:val="clear" w:color="auto" w:fill="auto"/>
            <w:noWrap/>
            <w:vAlign w:val="bottom"/>
          </w:tcPr>
          <w:p w14:paraId="5A70A166" w14:textId="1AC0213F" w:rsidR="00D84931" w:rsidRPr="001D41EA" w:rsidRDefault="00D84931" w:rsidP="00D84931">
            <w:pPr>
              <w:spacing w:before="40" w:after="40"/>
              <w:jc w:val="right"/>
              <w:rPr>
                <w:rFonts w:cs="Arial"/>
                <w:sz w:val="18"/>
                <w:szCs w:val="18"/>
              </w:rPr>
            </w:pPr>
            <w:r w:rsidRPr="001D41EA">
              <w:rPr>
                <w:rFonts w:cs="Arial"/>
                <w:sz w:val="18"/>
                <w:szCs w:val="18"/>
              </w:rPr>
              <w:t>37,726,379,000</w:t>
            </w:r>
          </w:p>
        </w:tc>
        <w:tc>
          <w:tcPr>
            <w:tcW w:w="1701" w:type="dxa"/>
            <w:tcBorders>
              <w:top w:val="nil"/>
              <w:left w:val="nil"/>
              <w:bottom w:val="nil"/>
              <w:right w:val="nil"/>
            </w:tcBorders>
            <w:vAlign w:val="bottom"/>
          </w:tcPr>
          <w:p w14:paraId="2DECA6B7" w14:textId="57C83A8A" w:rsidR="00D84931" w:rsidRPr="001D41EA" w:rsidRDefault="00D84931" w:rsidP="00D84931">
            <w:pPr>
              <w:spacing w:before="40" w:after="40"/>
              <w:jc w:val="right"/>
              <w:rPr>
                <w:rFonts w:cs="Arial"/>
                <w:sz w:val="18"/>
                <w:szCs w:val="18"/>
              </w:rPr>
            </w:pPr>
            <w:r w:rsidRPr="001D41EA">
              <w:rPr>
                <w:rFonts w:cs="Arial"/>
                <w:sz w:val="18"/>
                <w:szCs w:val="18"/>
              </w:rPr>
              <w:t>5,266,738,306</w:t>
            </w:r>
          </w:p>
        </w:tc>
        <w:tc>
          <w:tcPr>
            <w:tcW w:w="1701" w:type="dxa"/>
            <w:tcBorders>
              <w:top w:val="nil"/>
              <w:left w:val="nil"/>
              <w:bottom w:val="nil"/>
              <w:right w:val="nil"/>
            </w:tcBorders>
            <w:shd w:val="clear" w:color="auto" w:fill="auto"/>
            <w:noWrap/>
            <w:vAlign w:val="bottom"/>
          </w:tcPr>
          <w:p w14:paraId="6AC47A18" w14:textId="377A9301"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0E8CCCBA" w14:textId="74666327" w:rsidR="00D84931" w:rsidRPr="001D41EA" w:rsidRDefault="00D84931" w:rsidP="00D84931">
            <w:pPr>
              <w:spacing w:before="40" w:after="40"/>
              <w:jc w:val="right"/>
              <w:rPr>
                <w:rFonts w:cs="Arial"/>
                <w:sz w:val="18"/>
                <w:szCs w:val="18"/>
              </w:rPr>
            </w:pPr>
            <w:r w:rsidRPr="001D41EA">
              <w:rPr>
                <w:rFonts w:cs="Arial"/>
                <w:sz w:val="18"/>
                <w:szCs w:val="18"/>
              </w:rPr>
              <w:t>42,993,117,306</w:t>
            </w:r>
          </w:p>
        </w:tc>
      </w:tr>
      <w:tr w:rsidR="00D84931" w:rsidRPr="001D41EA" w14:paraId="20510EE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5248A3D" w14:textId="77777777" w:rsidR="00D84931" w:rsidRPr="001D41EA" w:rsidRDefault="00D84931" w:rsidP="00D84931">
            <w:pPr>
              <w:spacing w:before="40" w:after="40"/>
              <w:rPr>
                <w:rFonts w:cs="Arial"/>
                <w:sz w:val="18"/>
                <w:szCs w:val="18"/>
              </w:rPr>
            </w:pPr>
            <w:r w:rsidRPr="001D41EA">
              <w:rPr>
                <w:rFonts w:cs="Arial"/>
                <w:sz w:val="18"/>
                <w:szCs w:val="18"/>
              </w:rPr>
              <w:t>East Gippsland S</w:t>
            </w:r>
          </w:p>
        </w:tc>
        <w:tc>
          <w:tcPr>
            <w:tcW w:w="1701" w:type="dxa"/>
            <w:tcBorders>
              <w:top w:val="nil"/>
              <w:left w:val="single" w:sz="18" w:space="0" w:color="5F497A" w:themeColor="accent4" w:themeShade="BF"/>
              <w:bottom w:val="nil"/>
              <w:right w:val="nil"/>
            </w:tcBorders>
            <w:shd w:val="clear" w:color="auto" w:fill="auto"/>
            <w:noWrap/>
            <w:vAlign w:val="bottom"/>
          </w:tcPr>
          <w:p w14:paraId="35D7F07F" w14:textId="16F6CE8D" w:rsidR="00D84931" w:rsidRPr="001D41EA" w:rsidRDefault="00D84931" w:rsidP="00D84931">
            <w:pPr>
              <w:spacing w:before="40" w:after="40"/>
              <w:jc w:val="right"/>
              <w:rPr>
                <w:rFonts w:cs="Arial"/>
                <w:sz w:val="18"/>
                <w:szCs w:val="18"/>
              </w:rPr>
            </w:pPr>
            <w:r w:rsidRPr="001D41EA">
              <w:rPr>
                <w:rFonts w:cs="Arial"/>
                <w:sz w:val="18"/>
                <w:szCs w:val="18"/>
              </w:rPr>
              <w:t>7,171,700,500</w:t>
            </w:r>
          </w:p>
        </w:tc>
        <w:tc>
          <w:tcPr>
            <w:tcW w:w="1701" w:type="dxa"/>
            <w:tcBorders>
              <w:top w:val="nil"/>
              <w:left w:val="nil"/>
              <w:bottom w:val="nil"/>
              <w:right w:val="nil"/>
            </w:tcBorders>
            <w:vAlign w:val="bottom"/>
          </w:tcPr>
          <w:p w14:paraId="383203AA" w14:textId="155EA29C" w:rsidR="00D84931" w:rsidRPr="001D41EA" w:rsidRDefault="00D84931" w:rsidP="00D84931">
            <w:pPr>
              <w:spacing w:before="40" w:after="40"/>
              <w:jc w:val="right"/>
              <w:rPr>
                <w:rFonts w:cs="Arial"/>
                <w:sz w:val="18"/>
                <w:szCs w:val="18"/>
              </w:rPr>
            </w:pPr>
            <w:r w:rsidRPr="001D41EA">
              <w:rPr>
                <w:rFonts w:cs="Arial"/>
                <w:sz w:val="18"/>
                <w:szCs w:val="18"/>
              </w:rPr>
              <w:t>936,612,375</w:t>
            </w:r>
          </w:p>
        </w:tc>
        <w:tc>
          <w:tcPr>
            <w:tcW w:w="1701" w:type="dxa"/>
            <w:tcBorders>
              <w:top w:val="nil"/>
              <w:left w:val="nil"/>
              <w:bottom w:val="nil"/>
              <w:right w:val="nil"/>
            </w:tcBorders>
            <w:shd w:val="clear" w:color="auto" w:fill="auto"/>
            <w:noWrap/>
            <w:vAlign w:val="bottom"/>
          </w:tcPr>
          <w:p w14:paraId="71C36E31" w14:textId="6A90F4AA" w:rsidR="00D84931" w:rsidRPr="001D41EA" w:rsidRDefault="00D84931" w:rsidP="00D84931">
            <w:pPr>
              <w:spacing w:before="40" w:after="40"/>
              <w:jc w:val="right"/>
              <w:rPr>
                <w:rFonts w:cs="Arial"/>
                <w:sz w:val="18"/>
                <w:szCs w:val="18"/>
              </w:rPr>
            </w:pPr>
            <w:r w:rsidRPr="001D41EA">
              <w:rPr>
                <w:rFonts w:cs="Arial"/>
                <w:sz w:val="18"/>
                <w:szCs w:val="18"/>
              </w:rPr>
              <w:t>1,244,697,500</w:t>
            </w:r>
          </w:p>
        </w:tc>
        <w:tc>
          <w:tcPr>
            <w:tcW w:w="1701" w:type="dxa"/>
            <w:tcBorders>
              <w:top w:val="nil"/>
              <w:left w:val="nil"/>
              <w:bottom w:val="nil"/>
              <w:right w:val="nil"/>
            </w:tcBorders>
            <w:vAlign w:val="bottom"/>
          </w:tcPr>
          <w:p w14:paraId="71673B0B" w14:textId="56070E39" w:rsidR="00D84931" w:rsidRPr="001D41EA" w:rsidRDefault="00D84931" w:rsidP="00D84931">
            <w:pPr>
              <w:spacing w:before="40" w:after="40"/>
              <w:jc w:val="right"/>
              <w:rPr>
                <w:rFonts w:cs="Arial"/>
                <w:sz w:val="18"/>
                <w:szCs w:val="18"/>
              </w:rPr>
            </w:pPr>
            <w:r w:rsidRPr="001D41EA">
              <w:rPr>
                <w:rFonts w:cs="Arial"/>
                <w:sz w:val="18"/>
                <w:szCs w:val="18"/>
              </w:rPr>
              <w:t>9,353,010,375</w:t>
            </w:r>
          </w:p>
        </w:tc>
      </w:tr>
      <w:tr w:rsidR="00D84931" w:rsidRPr="001D41EA" w14:paraId="420DC02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0B5A223" w14:textId="77777777" w:rsidR="00D84931" w:rsidRPr="001D41EA" w:rsidRDefault="00D84931" w:rsidP="00D84931">
            <w:pPr>
              <w:spacing w:before="40" w:after="40"/>
              <w:rPr>
                <w:rFonts w:cs="Arial"/>
                <w:sz w:val="18"/>
                <w:szCs w:val="18"/>
              </w:rPr>
            </w:pPr>
            <w:r w:rsidRPr="001D41EA">
              <w:rPr>
                <w:rFonts w:cs="Arial"/>
                <w:sz w:val="18"/>
                <w:szCs w:val="18"/>
              </w:rPr>
              <w:t>Frankston C</w:t>
            </w:r>
          </w:p>
        </w:tc>
        <w:tc>
          <w:tcPr>
            <w:tcW w:w="1701" w:type="dxa"/>
            <w:tcBorders>
              <w:top w:val="nil"/>
              <w:left w:val="single" w:sz="18" w:space="0" w:color="5F497A" w:themeColor="accent4" w:themeShade="BF"/>
              <w:bottom w:val="nil"/>
              <w:right w:val="nil"/>
            </w:tcBorders>
            <w:shd w:val="clear" w:color="auto" w:fill="auto"/>
            <w:noWrap/>
            <w:vAlign w:val="bottom"/>
          </w:tcPr>
          <w:p w14:paraId="3319F9F9" w14:textId="67B99332" w:rsidR="00D84931" w:rsidRPr="001D41EA" w:rsidRDefault="00D84931" w:rsidP="00D84931">
            <w:pPr>
              <w:spacing w:before="40" w:after="40"/>
              <w:jc w:val="right"/>
              <w:rPr>
                <w:rFonts w:cs="Arial"/>
                <w:sz w:val="18"/>
                <w:szCs w:val="18"/>
              </w:rPr>
            </w:pPr>
            <w:r w:rsidRPr="001D41EA">
              <w:rPr>
                <w:rFonts w:cs="Arial"/>
                <w:sz w:val="18"/>
                <w:szCs w:val="18"/>
              </w:rPr>
              <w:t>21,783,946,250</w:t>
            </w:r>
          </w:p>
        </w:tc>
        <w:tc>
          <w:tcPr>
            <w:tcW w:w="1701" w:type="dxa"/>
            <w:tcBorders>
              <w:top w:val="nil"/>
              <w:left w:val="nil"/>
              <w:bottom w:val="nil"/>
              <w:right w:val="nil"/>
            </w:tcBorders>
            <w:vAlign w:val="bottom"/>
          </w:tcPr>
          <w:p w14:paraId="06979675" w14:textId="5550D3FB" w:rsidR="00D84931" w:rsidRPr="001D41EA" w:rsidRDefault="00D84931" w:rsidP="00D84931">
            <w:pPr>
              <w:spacing w:before="40" w:after="40"/>
              <w:jc w:val="right"/>
              <w:rPr>
                <w:rFonts w:cs="Arial"/>
                <w:sz w:val="18"/>
                <w:szCs w:val="18"/>
              </w:rPr>
            </w:pPr>
            <w:r w:rsidRPr="001D41EA">
              <w:rPr>
                <w:rFonts w:cs="Arial"/>
                <w:sz w:val="18"/>
                <w:szCs w:val="18"/>
              </w:rPr>
              <w:t>3,781,644,985</w:t>
            </w:r>
          </w:p>
        </w:tc>
        <w:tc>
          <w:tcPr>
            <w:tcW w:w="1701" w:type="dxa"/>
            <w:tcBorders>
              <w:top w:val="nil"/>
              <w:left w:val="nil"/>
              <w:bottom w:val="nil"/>
              <w:right w:val="nil"/>
            </w:tcBorders>
            <w:shd w:val="clear" w:color="auto" w:fill="auto"/>
            <w:noWrap/>
            <w:vAlign w:val="bottom"/>
          </w:tcPr>
          <w:p w14:paraId="0073C78C" w14:textId="18E136D4" w:rsidR="00D84931" w:rsidRPr="001D41EA" w:rsidRDefault="00D84931" w:rsidP="00D84931">
            <w:pPr>
              <w:spacing w:before="40" w:after="40"/>
              <w:jc w:val="right"/>
              <w:rPr>
                <w:rFonts w:cs="Arial"/>
                <w:sz w:val="18"/>
                <w:szCs w:val="18"/>
              </w:rPr>
            </w:pPr>
            <w:r w:rsidRPr="001D41EA">
              <w:rPr>
                <w:rFonts w:cs="Arial"/>
                <w:sz w:val="18"/>
                <w:szCs w:val="18"/>
              </w:rPr>
              <w:t>580,068,563</w:t>
            </w:r>
          </w:p>
        </w:tc>
        <w:tc>
          <w:tcPr>
            <w:tcW w:w="1701" w:type="dxa"/>
            <w:tcBorders>
              <w:top w:val="nil"/>
              <w:left w:val="nil"/>
              <w:bottom w:val="nil"/>
              <w:right w:val="nil"/>
            </w:tcBorders>
            <w:vAlign w:val="bottom"/>
          </w:tcPr>
          <w:p w14:paraId="74BAEC72" w14:textId="1301130C" w:rsidR="00D84931" w:rsidRPr="001D41EA" w:rsidRDefault="00D84931" w:rsidP="00D84931">
            <w:pPr>
              <w:spacing w:before="40" w:after="40"/>
              <w:jc w:val="right"/>
              <w:rPr>
                <w:rFonts w:cs="Arial"/>
                <w:sz w:val="18"/>
                <w:szCs w:val="18"/>
              </w:rPr>
            </w:pPr>
            <w:r w:rsidRPr="001D41EA">
              <w:rPr>
                <w:rFonts w:cs="Arial"/>
                <w:sz w:val="18"/>
                <w:szCs w:val="18"/>
              </w:rPr>
              <w:t>26,145,659,798</w:t>
            </w:r>
          </w:p>
        </w:tc>
      </w:tr>
      <w:tr w:rsidR="00D84931" w:rsidRPr="001D41EA" w14:paraId="30343C4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491B5BF" w14:textId="77777777" w:rsidR="00D84931" w:rsidRPr="001D41EA" w:rsidRDefault="00D84931" w:rsidP="00D84931">
            <w:pPr>
              <w:spacing w:before="40" w:after="40"/>
              <w:rPr>
                <w:rFonts w:cs="Arial"/>
                <w:sz w:val="18"/>
                <w:szCs w:val="18"/>
              </w:rPr>
            </w:pPr>
            <w:r w:rsidRPr="001D41EA">
              <w:rPr>
                <w:rFonts w:cs="Arial"/>
                <w:sz w:val="18"/>
                <w:szCs w:val="18"/>
              </w:rPr>
              <w:t>Gannawarra S</w:t>
            </w:r>
          </w:p>
        </w:tc>
        <w:tc>
          <w:tcPr>
            <w:tcW w:w="1701" w:type="dxa"/>
            <w:tcBorders>
              <w:top w:val="nil"/>
              <w:left w:val="single" w:sz="18" w:space="0" w:color="5F497A" w:themeColor="accent4" w:themeShade="BF"/>
              <w:bottom w:val="nil"/>
              <w:right w:val="nil"/>
            </w:tcBorders>
            <w:shd w:val="clear" w:color="auto" w:fill="auto"/>
            <w:noWrap/>
            <w:vAlign w:val="bottom"/>
          </w:tcPr>
          <w:p w14:paraId="04F6137E" w14:textId="2B447765" w:rsidR="00D84931" w:rsidRPr="001D41EA" w:rsidRDefault="00D84931" w:rsidP="00D84931">
            <w:pPr>
              <w:spacing w:before="40" w:after="40"/>
              <w:jc w:val="right"/>
              <w:rPr>
                <w:rFonts w:cs="Arial"/>
                <w:sz w:val="18"/>
                <w:szCs w:val="18"/>
              </w:rPr>
            </w:pPr>
            <w:r w:rsidRPr="001D41EA">
              <w:rPr>
                <w:rFonts w:cs="Arial"/>
                <w:sz w:val="18"/>
                <w:szCs w:val="18"/>
              </w:rPr>
              <w:t>804,566,981</w:t>
            </w:r>
          </w:p>
        </w:tc>
        <w:tc>
          <w:tcPr>
            <w:tcW w:w="1701" w:type="dxa"/>
            <w:tcBorders>
              <w:top w:val="nil"/>
              <w:left w:val="nil"/>
              <w:bottom w:val="nil"/>
              <w:right w:val="nil"/>
            </w:tcBorders>
            <w:vAlign w:val="bottom"/>
          </w:tcPr>
          <w:p w14:paraId="6F56779A" w14:textId="7CA534D4" w:rsidR="00D84931" w:rsidRPr="001D41EA" w:rsidRDefault="00D84931" w:rsidP="00D84931">
            <w:pPr>
              <w:spacing w:before="40" w:after="40"/>
              <w:jc w:val="right"/>
              <w:rPr>
                <w:rFonts w:cs="Arial"/>
                <w:sz w:val="18"/>
                <w:szCs w:val="18"/>
              </w:rPr>
            </w:pPr>
            <w:r w:rsidRPr="001D41EA">
              <w:rPr>
                <w:rFonts w:cs="Arial"/>
                <w:sz w:val="18"/>
                <w:szCs w:val="18"/>
              </w:rPr>
              <w:t>120,486,546</w:t>
            </w:r>
          </w:p>
        </w:tc>
        <w:tc>
          <w:tcPr>
            <w:tcW w:w="1701" w:type="dxa"/>
            <w:tcBorders>
              <w:top w:val="nil"/>
              <w:left w:val="nil"/>
              <w:bottom w:val="nil"/>
              <w:right w:val="nil"/>
            </w:tcBorders>
            <w:shd w:val="clear" w:color="auto" w:fill="auto"/>
            <w:noWrap/>
            <w:vAlign w:val="bottom"/>
          </w:tcPr>
          <w:p w14:paraId="63373CF0" w14:textId="68E8B2BB" w:rsidR="00D84931" w:rsidRPr="001D41EA" w:rsidRDefault="00D84931" w:rsidP="00D84931">
            <w:pPr>
              <w:spacing w:before="40" w:after="40"/>
              <w:jc w:val="right"/>
              <w:rPr>
                <w:rFonts w:cs="Arial"/>
                <w:sz w:val="18"/>
                <w:szCs w:val="18"/>
              </w:rPr>
            </w:pPr>
            <w:r w:rsidRPr="001D41EA">
              <w:rPr>
                <w:rFonts w:cs="Arial"/>
                <w:sz w:val="18"/>
                <w:szCs w:val="18"/>
              </w:rPr>
              <w:t>588,176,687</w:t>
            </w:r>
          </w:p>
        </w:tc>
        <w:tc>
          <w:tcPr>
            <w:tcW w:w="1701" w:type="dxa"/>
            <w:tcBorders>
              <w:top w:val="nil"/>
              <w:left w:val="nil"/>
              <w:bottom w:val="nil"/>
              <w:right w:val="nil"/>
            </w:tcBorders>
            <w:vAlign w:val="bottom"/>
          </w:tcPr>
          <w:p w14:paraId="5929B5E7" w14:textId="421DAABE" w:rsidR="00D84931" w:rsidRPr="001D41EA" w:rsidRDefault="00D84931" w:rsidP="00D84931">
            <w:pPr>
              <w:spacing w:before="40" w:after="40"/>
              <w:jc w:val="right"/>
              <w:rPr>
                <w:rFonts w:cs="Arial"/>
                <w:sz w:val="18"/>
                <w:szCs w:val="18"/>
              </w:rPr>
            </w:pPr>
            <w:r w:rsidRPr="001D41EA">
              <w:rPr>
                <w:rFonts w:cs="Arial"/>
                <w:sz w:val="18"/>
                <w:szCs w:val="18"/>
              </w:rPr>
              <w:t>1,513,230,214</w:t>
            </w:r>
          </w:p>
        </w:tc>
      </w:tr>
      <w:tr w:rsidR="00D84931" w:rsidRPr="001D41EA" w14:paraId="7CA37A7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EF95612" w14:textId="77777777" w:rsidR="00D84931" w:rsidRPr="001D41EA" w:rsidRDefault="00D84931" w:rsidP="00D84931">
            <w:pPr>
              <w:spacing w:before="40" w:after="40"/>
              <w:rPr>
                <w:rFonts w:cs="Arial"/>
                <w:sz w:val="18"/>
                <w:szCs w:val="18"/>
              </w:rPr>
            </w:pPr>
            <w:r w:rsidRPr="001D41EA">
              <w:rPr>
                <w:rFonts w:cs="Arial"/>
                <w:sz w:val="18"/>
                <w:szCs w:val="18"/>
              </w:rPr>
              <w:t>Glen Eira C</w:t>
            </w:r>
          </w:p>
        </w:tc>
        <w:tc>
          <w:tcPr>
            <w:tcW w:w="1701" w:type="dxa"/>
            <w:tcBorders>
              <w:top w:val="nil"/>
              <w:left w:val="single" w:sz="18" w:space="0" w:color="5F497A" w:themeColor="accent4" w:themeShade="BF"/>
              <w:bottom w:val="nil"/>
              <w:right w:val="nil"/>
            </w:tcBorders>
            <w:shd w:val="clear" w:color="auto" w:fill="auto"/>
            <w:noWrap/>
            <w:vAlign w:val="bottom"/>
          </w:tcPr>
          <w:p w14:paraId="1E67C80F" w14:textId="072C09B4" w:rsidR="00D84931" w:rsidRPr="001D41EA" w:rsidRDefault="00D84931" w:rsidP="00D84931">
            <w:pPr>
              <w:spacing w:before="40" w:after="40"/>
              <w:jc w:val="right"/>
              <w:rPr>
                <w:rFonts w:cs="Arial"/>
                <w:sz w:val="18"/>
                <w:szCs w:val="18"/>
              </w:rPr>
            </w:pPr>
            <w:r w:rsidRPr="001D41EA">
              <w:rPr>
                <w:rFonts w:cs="Arial"/>
                <w:sz w:val="18"/>
                <w:szCs w:val="18"/>
              </w:rPr>
              <w:t>50,277,059,500</w:t>
            </w:r>
          </w:p>
        </w:tc>
        <w:tc>
          <w:tcPr>
            <w:tcW w:w="1701" w:type="dxa"/>
            <w:tcBorders>
              <w:top w:val="nil"/>
              <w:left w:val="nil"/>
              <w:bottom w:val="nil"/>
              <w:right w:val="nil"/>
            </w:tcBorders>
            <w:vAlign w:val="bottom"/>
          </w:tcPr>
          <w:p w14:paraId="0E72A0EC" w14:textId="3F7CE73A" w:rsidR="00D84931" w:rsidRPr="001D41EA" w:rsidRDefault="00D84931" w:rsidP="00D84931">
            <w:pPr>
              <w:spacing w:before="40" w:after="40"/>
              <w:jc w:val="right"/>
              <w:rPr>
                <w:rFonts w:cs="Arial"/>
                <w:sz w:val="18"/>
                <w:szCs w:val="18"/>
              </w:rPr>
            </w:pPr>
            <w:r w:rsidRPr="001D41EA">
              <w:rPr>
                <w:rFonts w:cs="Arial"/>
                <w:sz w:val="18"/>
                <w:szCs w:val="18"/>
              </w:rPr>
              <w:t>3,353,139,575</w:t>
            </w:r>
          </w:p>
        </w:tc>
        <w:tc>
          <w:tcPr>
            <w:tcW w:w="1701" w:type="dxa"/>
            <w:tcBorders>
              <w:top w:val="nil"/>
              <w:left w:val="nil"/>
              <w:bottom w:val="nil"/>
              <w:right w:val="nil"/>
            </w:tcBorders>
            <w:shd w:val="clear" w:color="auto" w:fill="auto"/>
            <w:noWrap/>
            <w:vAlign w:val="bottom"/>
          </w:tcPr>
          <w:p w14:paraId="5E943D6C" w14:textId="35BF75AF"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78054135" w14:textId="0D129DB5" w:rsidR="00D84931" w:rsidRPr="001D41EA" w:rsidRDefault="00D84931" w:rsidP="00D84931">
            <w:pPr>
              <w:spacing w:before="40" w:after="40"/>
              <w:jc w:val="right"/>
              <w:rPr>
                <w:rFonts w:cs="Arial"/>
                <w:sz w:val="18"/>
                <w:szCs w:val="18"/>
              </w:rPr>
            </w:pPr>
            <w:r w:rsidRPr="001D41EA">
              <w:rPr>
                <w:rFonts w:cs="Arial"/>
                <w:sz w:val="18"/>
                <w:szCs w:val="18"/>
              </w:rPr>
              <w:t>53,630,199,075</w:t>
            </w:r>
          </w:p>
        </w:tc>
      </w:tr>
      <w:tr w:rsidR="00D84931" w:rsidRPr="001D41EA" w14:paraId="240994F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69D72B5" w14:textId="77777777" w:rsidR="00D84931" w:rsidRPr="001D41EA" w:rsidRDefault="00D84931" w:rsidP="00D84931">
            <w:pPr>
              <w:spacing w:before="40" w:after="40"/>
              <w:rPr>
                <w:rFonts w:cs="Arial"/>
                <w:sz w:val="18"/>
                <w:szCs w:val="18"/>
              </w:rPr>
            </w:pPr>
            <w:r w:rsidRPr="001D41EA">
              <w:rPr>
                <w:rFonts w:cs="Arial"/>
                <w:sz w:val="18"/>
                <w:szCs w:val="18"/>
              </w:rPr>
              <w:t>Glenelg S</w:t>
            </w:r>
          </w:p>
        </w:tc>
        <w:tc>
          <w:tcPr>
            <w:tcW w:w="1701" w:type="dxa"/>
            <w:tcBorders>
              <w:top w:val="nil"/>
              <w:left w:val="single" w:sz="18" w:space="0" w:color="5F497A" w:themeColor="accent4" w:themeShade="BF"/>
              <w:bottom w:val="nil"/>
              <w:right w:val="nil"/>
            </w:tcBorders>
            <w:shd w:val="clear" w:color="auto" w:fill="auto"/>
            <w:noWrap/>
            <w:vAlign w:val="bottom"/>
          </w:tcPr>
          <w:p w14:paraId="01465702" w14:textId="1E38E825" w:rsidR="00D84931" w:rsidRPr="001D41EA" w:rsidRDefault="00D84931" w:rsidP="00D84931">
            <w:pPr>
              <w:spacing w:before="40" w:after="40"/>
              <w:jc w:val="right"/>
              <w:rPr>
                <w:rFonts w:cs="Arial"/>
                <w:sz w:val="18"/>
                <w:szCs w:val="18"/>
              </w:rPr>
            </w:pPr>
            <w:r w:rsidRPr="001D41EA">
              <w:rPr>
                <w:rFonts w:cs="Arial"/>
                <w:sz w:val="18"/>
                <w:szCs w:val="18"/>
              </w:rPr>
              <w:t>1,971,535,000</w:t>
            </w:r>
          </w:p>
        </w:tc>
        <w:tc>
          <w:tcPr>
            <w:tcW w:w="1701" w:type="dxa"/>
            <w:tcBorders>
              <w:top w:val="nil"/>
              <w:left w:val="nil"/>
              <w:bottom w:val="nil"/>
              <w:right w:val="nil"/>
            </w:tcBorders>
            <w:vAlign w:val="bottom"/>
          </w:tcPr>
          <w:p w14:paraId="0284A59F" w14:textId="082EA08C" w:rsidR="00D84931" w:rsidRPr="001D41EA" w:rsidRDefault="00D84931" w:rsidP="00D84931">
            <w:pPr>
              <w:spacing w:before="40" w:after="40"/>
              <w:jc w:val="right"/>
              <w:rPr>
                <w:rFonts w:cs="Arial"/>
                <w:sz w:val="18"/>
                <w:szCs w:val="18"/>
              </w:rPr>
            </w:pPr>
            <w:r w:rsidRPr="001D41EA">
              <w:rPr>
                <w:rFonts w:cs="Arial"/>
                <w:sz w:val="18"/>
                <w:szCs w:val="18"/>
              </w:rPr>
              <w:t>507,258,500</w:t>
            </w:r>
          </w:p>
        </w:tc>
        <w:tc>
          <w:tcPr>
            <w:tcW w:w="1701" w:type="dxa"/>
            <w:tcBorders>
              <w:top w:val="nil"/>
              <w:left w:val="nil"/>
              <w:bottom w:val="nil"/>
              <w:right w:val="nil"/>
            </w:tcBorders>
            <w:shd w:val="clear" w:color="auto" w:fill="auto"/>
            <w:noWrap/>
            <w:vAlign w:val="bottom"/>
          </w:tcPr>
          <w:p w14:paraId="35D27997" w14:textId="7FD1CACF" w:rsidR="00D84931" w:rsidRPr="001D41EA" w:rsidRDefault="00D84931" w:rsidP="00D84931">
            <w:pPr>
              <w:spacing w:before="40" w:after="40"/>
              <w:jc w:val="right"/>
              <w:rPr>
                <w:rFonts w:cs="Arial"/>
                <w:sz w:val="18"/>
                <w:szCs w:val="18"/>
              </w:rPr>
            </w:pPr>
            <w:r w:rsidRPr="001D41EA">
              <w:rPr>
                <w:rFonts w:cs="Arial"/>
                <w:sz w:val="18"/>
                <w:szCs w:val="18"/>
              </w:rPr>
              <w:t>1,897,749,600</w:t>
            </w:r>
          </w:p>
        </w:tc>
        <w:tc>
          <w:tcPr>
            <w:tcW w:w="1701" w:type="dxa"/>
            <w:tcBorders>
              <w:top w:val="nil"/>
              <w:left w:val="nil"/>
              <w:bottom w:val="nil"/>
              <w:right w:val="nil"/>
            </w:tcBorders>
            <w:vAlign w:val="bottom"/>
          </w:tcPr>
          <w:p w14:paraId="668F5700" w14:textId="2E5E70FE" w:rsidR="00D84931" w:rsidRPr="001D41EA" w:rsidRDefault="00D84931" w:rsidP="00D84931">
            <w:pPr>
              <w:spacing w:before="40" w:after="40"/>
              <w:jc w:val="right"/>
              <w:rPr>
                <w:rFonts w:cs="Arial"/>
                <w:sz w:val="18"/>
                <w:szCs w:val="18"/>
              </w:rPr>
            </w:pPr>
            <w:r w:rsidRPr="001D41EA">
              <w:rPr>
                <w:rFonts w:cs="Arial"/>
                <w:sz w:val="18"/>
                <w:szCs w:val="18"/>
              </w:rPr>
              <w:t>4,376,543,100</w:t>
            </w:r>
          </w:p>
        </w:tc>
      </w:tr>
      <w:tr w:rsidR="00D84931" w:rsidRPr="001D41EA" w14:paraId="2927238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EA5564D" w14:textId="77777777" w:rsidR="00D84931" w:rsidRPr="001D41EA" w:rsidRDefault="00D84931" w:rsidP="00D84931">
            <w:pPr>
              <w:spacing w:before="40" w:after="40"/>
              <w:rPr>
                <w:rFonts w:cs="Arial"/>
                <w:sz w:val="18"/>
                <w:szCs w:val="18"/>
              </w:rPr>
            </w:pPr>
            <w:r w:rsidRPr="001D41EA">
              <w:rPr>
                <w:rFonts w:cs="Arial"/>
                <w:sz w:val="18"/>
                <w:szCs w:val="18"/>
              </w:rPr>
              <w:t>Golden Plains S</w:t>
            </w:r>
          </w:p>
        </w:tc>
        <w:tc>
          <w:tcPr>
            <w:tcW w:w="1701" w:type="dxa"/>
            <w:tcBorders>
              <w:top w:val="nil"/>
              <w:left w:val="single" w:sz="18" w:space="0" w:color="5F497A" w:themeColor="accent4" w:themeShade="BF"/>
              <w:bottom w:val="nil"/>
              <w:right w:val="nil"/>
            </w:tcBorders>
            <w:shd w:val="clear" w:color="auto" w:fill="auto"/>
            <w:noWrap/>
            <w:vAlign w:val="bottom"/>
          </w:tcPr>
          <w:p w14:paraId="47EC77C7" w14:textId="78219B9C" w:rsidR="00D84931" w:rsidRPr="001D41EA" w:rsidRDefault="00D84931" w:rsidP="00D84931">
            <w:pPr>
              <w:spacing w:before="40" w:after="40"/>
              <w:jc w:val="right"/>
              <w:rPr>
                <w:rFonts w:cs="Arial"/>
                <w:sz w:val="18"/>
                <w:szCs w:val="18"/>
              </w:rPr>
            </w:pPr>
            <w:r w:rsidRPr="001D41EA">
              <w:rPr>
                <w:rFonts w:cs="Arial"/>
                <w:sz w:val="18"/>
                <w:szCs w:val="18"/>
              </w:rPr>
              <w:t>2,929,432,625</w:t>
            </w:r>
          </w:p>
        </w:tc>
        <w:tc>
          <w:tcPr>
            <w:tcW w:w="1701" w:type="dxa"/>
            <w:tcBorders>
              <w:top w:val="nil"/>
              <w:left w:val="nil"/>
              <w:bottom w:val="nil"/>
              <w:right w:val="nil"/>
            </w:tcBorders>
            <w:vAlign w:val="bottom"/>
          </w:tcPr>
          <w:p w14:paraId="55BBE2C9" w14:textId="3C5B999F" w:rsidR="00D84931" w:rsidRPr="001D41EA" w:rsidRDefault="00D84931" w:rsidP="00D84931">
            <w:pPr>
              <w:spacing w:before="40" w:after="40"/>
              <w:jc w:val="right"/>
              <w:rPr>
                <w:rFonts w:cs="Arial"/>
                <w:sz w:val="18"/>
                <w:szCs w:val="18"/>
              </w:rPr>
            </w:pPr>
            <w:r w:rsidRPr="001D41EA">
              <w:rPr>
                <w:rFonts w:cs="Arial"/>
                <w:sz w:val="18"/>
                <w:szCs w:val="18"/>
              </w:rPr>
              <w:t>82,290,145</w:t>
            </w:r>
          </w:p>
        </w:tc>
        <w:tc>
          <w:tcPr>
            <w:tcW w:w="1701" w:type="dxa"/>
            <w:tcBorders>
              <w:top w:val="nil"/>
              <w:left w:val="nil"/>
              <w:bottom w:val="nil"/>
              <w:right w:val="nil"/>
            </w:tcBorders>
            <w:shd w:val="clear" w:color="auto" w:fill="auto"/>
            <w:noWrap/>
            <w:vAlign w:val="bottom"/>
          </w:tcPr>
          <w:p w14:paraId="23F81C87" w14:textId="21213C9C" w:rsidR="00D84931" w:rsidRPr="001D41EA" w:rsidRDefault="00D84931" w:rsidP="00D84931">
            <w:pPr>
              <w:spacing w:before="40" w:after="40"/>
              <w:jc w:val="right"/>
              <w:rPr>
                <w:rFonts w:cs="Arial"/>
                <w:sz w:val="18"/>
                <w:szCs w:val="18"/>
              </w:rPr>
            </w:pPr>
            <w:r w:rsidRPr="001D41EA">
              <w:rPr>
                <w:rFonts w:cs="Arial"/>
                <w:sz w:val="18"/>
                <w:szCs w:val="18"/>
              </w:rPr>
              <w:t>1,050,605,250</w:t>
            </w:r>
          </w:p>
        </w:tc>
        <w:tc>
          <w:tcPr>
            <w:tcW w:w="1701" w:type="dxa"/>
            <w:tcBorders>
              <w:top w:val="nil"/>
              <w:left w:val="nil"/>
              <w:bottom w:val="nil"/>
              <w:right w:val="nil"/>
            </w:tcBorders>
            <w:vAlign w:val="bottom"/>
          </w:tcPr>
          <w:p w14:paraId="006B22EA" w14:textId="131EE9F7" w:rsidR="00D84931" w:rsidRPr="001D41EA" w:rsidRDefault="00D84931" w:rsidP="00D84931">
            <w:pPr>
              <w:spacing w:before="40" w:after="40"/>
              <w:jc w:val="right"/>
              <w:rPr>
                <w:rFonts w:cs="Arial"/>
                <w:sz w:val="18"/>
                <w:szCs w:val="18"/>
              </w:rPr>
            </w:pPr>
            <w:r w:rsidRPr="001D41EA">
              <w:rPr>
                <w:rFonts w:cs="Arial"/>
                <w:sz w:val="18"/>
                <w:szCs w:val="18"/>
              </w:rPr>
              <w:t>4,062,328,020</w:t>
            </w:r>
          </w:p>
        </w:tc>
      </w:tr>
      <w:tr w:rsidR="00D84931" w:rsidRPr="001D41EA" w14:paraId="0E0F1ED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D89E40E" w14:textId="77777777" w:rsidR="00D84931" w:rsidRPr="001D41EA" w:rsidRDefault="00D84931" w:rsidP="00D84931">
            <w:pPr>
              <w:spacing w:before="40" w:after="40"/>
              <w:rPr>
                <w:rFonts w:cs="Arial"/>
                <w:sz w:val="18"/>
                <w:szCs w:val="18"/>
              </w:rPr>
            </w:pPr>
            <w:r w:rsidRPr="001D41EA">
              <w:rPr>
                <w:rFonts w:cs="Arial"/>
                <w:sz w:val="18"/>
                <w:szCs w:val="18"/>
              </w:rPr>
              <w:t>Greater Bendigo C</w:t>
            </w:r>
          </w:p>
        </w:tc>
        <w:tc>
          <w:tcPr>
            <w:tcW w:w="1701" w:type="dxa"/>
            <w:tcBorders>
              <w:top w:val="nil"/>
              <w:left w:val="single" w:sz="18" w:space="0" w:color="5F497A" w:themeColor="accent4" w:themeShade="BF"/>
              <w:bottom w:val="nil"/>
              <w:right w:val="nil"/>
            </w:tcBorders>
            <w:shd w:val="clear" w:color="auto" w:fill="auto"/>
            <w:noWrap/>
            <w:vAlign w:val="bottom"/>
          </w:tcPr>
          <w:p w14:paraId="0DFECA6A" w14:textId="24027289" w:rsidR="00D84931" w:rsidRPr="001D41EA" w:rsidRDefault="00D84931" w:rsidP="00D84931">
            <w:pPr>
              <w:spacing w:before="40" w:after="40"/>
              <w:jc w:val="right"/>
              <w:rPr>
                <w:rFonts w:cs="Arial"/>
                <w:sz w:val="18"/>
                <w:szCs w:val="18"/>
              </w:rPr>
            </w:pPr>
            <w:r w:rsidRPr="001D41EA">
              <w:rPr>
                <w:rFonts w:cs="Arial"/>
                <w:sz w:val="18"/>
                <w:szCs w:val="18"/>
              </w:rPr>
              <w:t>16,454,551,875</w:t>
            </w:r>
          </w:p>
        </w:tc>
        <w:tc>
          <w:tcPr>
            <w:tcW w:w="1701" w:type="dxa"/>
            <w:tcBorders>
              <w:top w:val="nil"/>
              <w:left w:val="nil"/>
              <w:bottom w:val="nil"/>
              <w:right w:val="nil"/>
            </w:tcBorders>
            <w:vAlign w:val="bottom"/>
          </w:tcPr>
          <w:p w14:paraId="02A7EDB9" w14:textId="0CF0C864" w:rsidR="00D84931" w:rsidRPr="001D41EA" w:rsidRDefault="00D84931" w:rsidP="00D84931">
            <w:pPr>
              <w:spacing w:before="40" w:after="40"/>
              <w:jc w:val="right"/>
              <w:rPr>
                <w:rFonts w:cs="Arial"/>
                <w:sz w:val="18"/>
                <w:szCs w:val="18"/>
              </w:rPr>
            </w:pPr>
            <w:r w:rsidRPr="001D41EA">
              <w:rPr>
                <w:rFonts w:cs="Arial"/>
                <w:sz w:val="18"/>
                <w:szCs w:val="18"/>
              </w:rPr>
              <w:t>2,563,603,100</w:t>
            </w:r>
          </w:p>
        </w:tc>
        <w:tc>
          <w:tcPr>
            <w:tcW w:w="1701" w:type="dxa"/>
            <w:tcBorders>
              <w:top w:val="nil"/>
              <w:left w:val="nil"/>
              <w:bottom w:val="nil"/>
              <w:right w:val="nil"/>
            </w:tcBorders>
            <w:shd w:val="clear" w:color="auto" w:fill="auto"/>
            <w:noWrap/>
            <w:vAlign w:val="bottom"/>
          </w:tcPr>
          <w:p w14:paraId="7F5781EF" w14:textId="0C4456E9" w:rsidR="00D84931" w:rsidRPr="001D41EA" w:rsidRDefault="00D84931" w:rsidP="00D84931">
            <w:pPr>
              <w:spacing w:before="40" w:after="40"/>
              <w:jc w:val="right"/>
              <w:rPr>
                <w:rFonts w:cs="Arial"/>
                <w:sz w:val="18"/>
                <w:szCs w:val="18"/>
              </w:rPr>
            </w:pPr>
            <w:r w:rsidRPr="001D41EA">
              <w:rPr>
                <w:rFonts w:cs="Arial"/>
                <w:sz w:val="18"/>
                <w:szCs w:val="18"/>
              </w:rPr>
              <w:t>677,380,375</w:t>
            </w:r>
          </w:p>
        </w:tc>
        <w:tc>
          <w:tcPr>
            <w:tcW w:w="1701" w:type="dxa"/>
            <w:tcBorders>
              <w:top w:val="nil"/>
              <w:left w:val="nil"/>
              <w:bottom w:val="nil"/>
              <w:right w:val="nil"/>
            </w:tcBorders>
            <w:vAlign w:val="bottom"/>
          </w:tcPr>
          <w:p w14:paraId="5B20A2B7" w14:textId="34C6CD10" w:rsidR="00D84931" w:rsidRPr="001D41EA" w:rsidRDefault="00D84931" w:rsidP="00D84931">
            <w:pPr>
              <w:spacing w:before="40" w:after="40"/>
              <w:jc w:val="right"/>
              <w:rPr>
                <w:rFonts w:cs="Arial"/>
                <w:sz w:val="18"/>
                <w:szCs w:val="18"/>
              </w:rPr>
            </w:pPr>
            <w:r w:rsidRPr="001D41EA">
              <w:rPr>
                <w:rFonts w:cs="Arial"/>
                <w:sz w:val="18"/>
                <w:szCs w:val="18"/>
              </w:rPr>
              <w:t>19,695,535,350</w:t>
            </w:r>
          </w:p>
        </w:tc>
      </w:tr>
      <w:tr w:rsidR="00D84931" w:rsidRPr="001D41EA" w14:paraId="5DD71D5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51E3E0B" w14:textId="77777777" w:rsidR="00D84931" w:rsidRPr="001D41EA" w:rsidRDefault="00D84931" w:rsidP="00D84931">
            <w:pPr>
              <w:spacing w:before="40" w:after="40"/>
              <w:rPr>
                <w:rFonts w:cs="Arial"/>
                <w:sz w:val="18"/>
                <w:szCs w:val="18"/>
              </w:rPr>
            </w:pPr>
            <w:r w:rsidRPr="001D41EA">
              <w:rPr>
                <w:rFonts w:cs="Arial"/>
                <w:sz w:val="18"/>
                <w:szCs w:val="18"/>
              </w:rPr>
              <w:t>Greater Dandenong C</w:t>
            </w:r>
          </w:p>
        </w:tc>
        <w:tc>
          <w:tcPr>
            <w:tcW w:w="1701" w:type="dxa"/>
            <w:tcBorders>
              <w:top w:val="nil"/>
              <w:left w:val="single" w:sz="18" w:space="0" w:color="5F497A" w:themeColor="accent4" w:themeShade="BF"/>
              <w:bottom w:val="nil"/>
              <w:right w:val="nil"/>
            </w:tcBorders>
            <w:shd w:val="clear" w:color="auto" w:fill="auto"/>
            <w:noWrap/>
            <w:vAlign w:val="bottom"/>
          </w:tcPr>
          <w:p w14:paraId="243F3172" w14:textId="49B59CEE" w:rsidR="00D84931" w:rsidRPr="001D41EA" w:rsidRDefault="00D84931" w:rsidP="00D84931">
            <w:pPr>
              <w:spacing w:before="40" w:after="40"/>
              <w:jc w:val="right"/>
              <w:rPr>
                <w:rFonts w:cs="Arial"/>
                <w:sz w:val="18"/>
                <w:szCs w:val="18"/>
              </w:rPr>
            </w:pPr>
            <w:r w:rsidRPr="001D41EA">
              <w:rPr>
                <w:rFonts w:cs="Arial"/>
                <w:sz w:val="18"/>
                <w:szCs w:val="18"/>
              </w:rPr>
              <w:t>24,316,895,750</w:t>
            </w:r>
          </w:p>
        </w:tc>
        <w:tc>
          <w:tcPr>
            <w:tcW w:w="1701" w:type="dxa"/>
            <w:tcBorders>
              <w:top w:val="nil"/>
              <w:left w:val="nil"/>
              <w:bottom w:val="nil"/>
              <w:right w:val="nil"/>
            </w:tcBorders>
            <w:vAlign w:val="bottom"/>
          </w:tcPr>
          <w:p w14:paraId="2758A939" w14:textId="57522030" w:rsidR="00D84931" w:rsidRPr="001D41EA" w:rsidRDefault="00D84931" w:rsidP="00D84931">
            <w:pPr>
              <w:spacing w:before="40" w:after="40"/>
              <w:jc w:val="right"/>
              <w:rPr>
                <w:rFonts w:cs="Arial"/>
                <w:sz w:val="18"/>
                <w:szCs w:val="18"/>
              </w:rPr>
            </w:pPr>
            <w:r w:rsidRPr="001D41EA">
              <w:rPr>
                <w:rFonts w:cs="Arial"/>
                <w:sz w:val="18"/>
                <w:szCs w:val="18"/>
              </w:rPr>
              <w:t>10,811,720,385</w:t>
            </w:r>
          </w:p>
        </w:tc>
        <w:tc>
          <w:tcPr>
            <w:tcW w:w="1701" w:type="dxa"/>
            <w:tcBorders>
              <w:top w:val="nil"/>
              <w:left w:val="nil"/>
              <w:bottom w:val="nil"/>
              <w:right w:val="nil"/>
            </w:tcBorders>
            <w:shd w:val="clear" w:color="auto" w:fill="auto"/>
            <w:noWrap/>
            <w:vAlign w:val="bottom"/>
          </w:tcPr>
          <w:p w14:paraId="0F60BC23" w14:textId="04A9C774" w:rsidR="00D84931" w:rsidRPr="001D41EA" w:rsidRDefault="00D84931" w:rsidP="00D84931">
            <w:pPr>
              <w:spacing w:before="40" w:after="40"/>
              <w:jc w:val="right"/>
              <w:rPr>
                <w:rFonts w:cs="Arial"/>
                <w:sz w:val="18"/>
                <w:szCs w:val="18"/>
              </w:rPr>
            </w:pPr>
            <w:r w:rsidRPr="001D41EA">
              <w:rPr>
                <w:rFonts w:cs="Arial"/>
                <w:sz w:val="18"/>
                <w:szCs w:val="18"/>
              </w:rPr>
              <w:t>228,242,050</w:t>
            </w:r>
          </w:p>
        </w:tc>
        <w:tc>
          <w:tcPr>
            <w:tcW w:w="1701" w:type="dxa"/>
            <w:tcBorders>
              <w:top w:val="nil"/>
              <w:left w:val="nil"/>
              <w:bottom w:val="nil"/>
              <w:right w:val="nil"/>
            </w:tcBorders>
            <w:vAlign w:val="bottom"/>
          </w:tcPr>
          <w:p w14:paraId="0D1E48AF" w14:textId="005563D8" w:rsidR="00D84931" w:rsidRPr="001D41EA" w:rsidRDefault="00D84931" w:rsidP="00D84931">
            <w:pPr>
              <w:spacing w:before="40" w:after="40"/>
              <w:jc w:val="right"/>
              <w:rPr>
                <w:rFonts w:cs="Arial"/>
                <w:sz w:val="18"/>
                <w:szCs w:val="18"/>
              </w:rPr>
            </w:pPr>
            <w:r w:rsidRPr="001D41EA">
              <w:rPr>
                <w:rFonts w:cs="Arial"/>
                <w:sz w:val="18"/>
                <w:szCs w:val="18"/>
              </w:rPr>
              <w:t>35,356,858,185</w:t>
            </w:r>
          </w:p>
        </w:tc>
      </w:tr>
      <w:tr w:rsidR="00D84931" w:rsidRPr="001D41EA" w14:paraId="40AEF7A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08E770B" w14:textId="77777777" w:rsidR="00D84931" w:rsidRPr="001D41EA" w:rsidRDefault="00D84931" w:rsidP="00D84931">
            <w:pPr>
              <w:spacing w:before="40" w:after="40"/>
              <w:rPr>
                <w:rFonts w:cs="Arial"/>
                <w:sz w:val="18"/>
                <w:szCs w:val="18"/>
              </w:rPr>
            </w:pPr>
            <w:r w:rsidRPr="001D41EA">
              <w:rPr>
                <w:rFonts w:cs="Arial"/>
                <w:sz w:val="18"/>
                <w:szCs w:val="18"/>
              </w:rPr>
              <w:t>Greater Geelong C</w:t>
            </w:r>
          </w:p>
        </w:tc>
        <w:tc>
          <w:tcPr>
            <w:tcW w:w="1701" w:type="dxa"/>
            <w:tcBorders>
              <w:top w:val="nil"/>
              <w:left w:val="single" w:sz="18" w:space="0" w:color="5F497A" w:themeColor="accent4" w:themeShade="BF"/>
              <w:bottom w:val="nil"/>
              <w:right w:val="nil"/>
            </w:tcBorders>
            <w:shd w:val="clear" w:color="auto" w:fill="auto"/>
            <w:noWrap/>
            <w:vAlign w:val="bottom"/>
          </w:tcPr>
          <w:p w14:paraId="147996F3" w14:textId="66E3F982" w:rsidR="00D84931" w:rsidRPr="001D41EA" w:rsidRDefault="00D84931" w:rsidP="00D84931">
            <w:pPr>
              <w:spacing w:before="40" w:after="40"/>
              <w:jc w:val="right"/>
              <w:rPr>
                <w:rFonts w:cs="Arial"/>
                <w:sz w:val="18"/>
                <w:szCs w:val="18"/>
              </w:rPr>
            </w:pPr>
            <w:r w:rsidRPr="001D41EA">
              <w:rPr>
                <w:rFonts w:cs="Arial"/>
                <w:sz w:val="18"/>
                <w:szCs w:val="18"/>
              </w:rPr>
              <w:t>43,008,214,026</w:t>
            </w:r>
          </w:p>
        </w:tc>
        <w:tc>
          <w:tcPr>
            <w:tcW w:w="1701" w:type="dxa"/>
            <w:tcBorders>
              <w:top w:val="nil"/>
              <w:left w:val="nil"/>
              <w:bottom w:val="nil"/>
              <w:right w:val="nil"/>
            </w:tcBorders>
            <w:vAlign w:val="bottom"/>
          </w:tcPr>
          <w:p w14:paraId="17A0935D" w14:textId="52E7D83A" w:rsidR="00D84931" w:rsidRPr="001D41EA" w:rsidRDefault="00D84931" w:rsidP="00D84931">
            <w:pPr>
              <w:spacing w:before="40" w:after="40"/>
              <w:jc w:val="right"/>
              <w:rPr>
                <w:rFonts w:cs="Arial"/>
                <w:sz w:val="18"/>
                <w:szCs w:val="18"/>
              </w:rPr>
            </w:pPr>
            <w:r w:rsidRPr="001D41EA">
              <w:rPr>
                <w:rFonts w:cs="Arial"/>
                <w:sz w:val="18"/>
                <w:szCs w:val="18"/>
              </w:rPr>
              <w:t>6,451,749,813</w:t>
            </w:r>
          </w:p>
        </w:tc>
        <w:tc>
          <w:tcPr>
            <w:tcW w:w="1701" w:type="dxa"/>
            <w:tcBorders>
              <w:top w:val="nil"/>
              <w:left w:val="nil"/>
              <w:bottom w:val="nil"/>
              <w:right w:val="nil"/>
            </w:tcBorders>
            <w:shd w:val="clear" w:color="auto" w:fill="auto"/>
            <w:noWrap/>
            <w:vAlign w:val="bottom"/>
          </w:tcPr>
          <w:p w14:paraId="06421B46" w14:textId="235F15CB" w:rsidR="00D84931" w:rsidRPr="001D41EA" w:rsidRDefault="00D84931" w:rsidP="00D84931">
            <w:pPr>
              <w:spacing w:before="40" w:after="40"/>
              <w:jc w:val="right"/>
              <w:rPr>
                <w:rFonts w:cs="Arial"/>
                <w:sz w:val="18"/>
                <w:szCs w:val="18"/>
              </w:rPr>
            </w:pPr>
            <w:r w:rsidRPr="001D41EA">
              <w:rPr>
                <w:rFonts w:cs="Arial"/>
                <w:sz w:val="18"/>
                <w:szCs w:val="18"/>
              </w:rPr>
              <w:t>1,462,937,650</w:t>
            </w:r>
          </w:p>
        </w:tc>
        <w:tc>
          <w:tcPr>
            <w:tcW w:w="1701" w:type="dxa"/>
            <w:tcBorders>
              <w:top w:val="nil"/>
              <w:left w:val="nil"/>
              <w:bottom w:val="nil"/>
              <w:right w:val="nil"/>
            </w:tcBorders>
            <w:vAlign w:val="bottom"/>
          </w:tcPr>
          <w:p w14:paraId="311D00A8" w14:textId="11D3D5BB" w:rsidR="00D84931" w:rsidRPr="001D41EA" w:rsidRDefault="00D84931" w:rsidP="00D84931">
            <w:pPr>
              <w:spacing w:before="40" w:after="40"/>
              <w:jc w:val="right"/>
              <w:rPr>
                <w:rFonts w:cs="Arial"/>
                <w:sz w:val="18"/>
                <w:szCs w:val="18"/>
              </w:rPr>
            </w:pPr>
            <w:r w:rsidRPr="001D41EA">
              <w:rPr>
                <w:rFonts w:cs="Arial"/>
                <w:sz w:val="18"/>
                <w:szCs w:val="18"/>
              </w:rPr>
              <w:t>50,922,901,489</w:t>
            </w:r>
          </w:p>
        </w:tc>
      </w:tr>
      <w:tr w:rsidR="00D84931" w:rsidRPr="001D41EA" w14:paraId="5EE684A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35FE4F1" w14:textId="77777777" w:rsidR="00D84931" w:rsidRPr="001D41EA" w:rsidRDefault="00D84931" w:rsidP="00D84931">
            <w:pPr>
              <w:spacing w:before="40" w:after="40"/>
              <w:rPr>
                <w:rFonts w:cs="Arial"/>
                <w:sz w:val="18"/>
                <w:szCs w:val="18"/>
              </w:rPr>
            </w:pPr>
            <w:r w:rsidRPr="001D41EA">
              <w:rPr>
                <w:rFonts w:cs="Arial"/>
                <w:sz w:val="18"/>
                <w:szCs w:val="18"/>
              </w:rPr>
              <w:t>Greater Shepparton C</w:t>
            </w:r>
          </w:p>
        </w:tc>
        <w:tc>
          <w:tcPr>
            <w:tcW w:w="1701" w:type="dxa"/>
            <w:tcBorders>
              <w:top w:val="nil"/>
              <w:left w:val="single" w:sz="18" w:space="0" w:color="5F497A" w:themeColor="accent4" w:themeShade="BF"/>
              <w:bottom w:val="nil"/>
              <w:right w:val="nil"/>
            </w:tcBorders>
            <w:shd w:val="clear" w:color="auto" w:fill="auto"/>
            <w:noWrap/>
            <w:vAlign w:val="bottom"/>
          </w:tcPr>
          <w:p w14:paraId="60DE9D28" w14:textId="06BB1744" w:rsidR="00D84931" w:rsidRPr="001D41EA" w:rsidRDefault="00D84931" w:rsidP="00D84931">
            <w:pPr>
              <w:spacing w:before="40" w:after="40"/>
              <w:jc w:val="right"/>
              <w:rPr>
                <w:rFonts w:cs="Arial"/>
                <w:sz w:val="18"/>
                <w:szCs w:val="18"/>
              </w:rPr>
            </w:pPr>
            <w:r w:rsidRPr="001D41EA">
              <w:rPr>
                <w:rFonts w:cs="Arial"/>
                <w:sz w:val="18"/>
                <w:szCs w:val="18"/>
              </w:rPr>
              <w:t>6,541,814,300</w:t>
            </w:r>
          </w:p>
        </w:tc>
        <w:tc>
          <w:tcPr>
            <w:tcW w:w="1701" w:type="dxa"/>
            <w:tcBorders>
              <w:top w:val="nil"/>
              <w:left w:val="nil"/>
              <w:bottom w:val="nil"/>
              <w:right w:val="nil"/>
            </w:tcBorders>
            <w:vAlign w:val="bottom"/>
          </w:tcPr>
          <w:p w14:paraId="573FFCCB" w14:textId="5278453F" w:rsidR="00D84931" w:rsidRPr="001D41EA" w:rsidRDefault="00D84931" w:rsidP="00D84931">
            <w:pPr>
              <w:spacing w:before="40" w:after="40"/>
              <w:jc w:val="right"/>
              <w:rPr>
                <w:rFonts w:cs="Arial"/>
                <w:sz w:val="18"/>
                <w:szCs w:val="18"/>
              </w:rPr>
            </w:pPr>
            <w:r w:rsidRPr="001D41EA">
              <w:rPr>
                <w:rFonts w:cs="Arial"/>
                <w:sz w:val="18"/>
                <w:szCs w:val="18"/>
              </w:rPr>
              <w:t>1,501,993,747</w:t>
            </w:r>
          </w:p>
        </w:tc>
        <w:tc>
          <w:tcPr>
            <w:tcW w:w="1701" w:type="dxa"/>
            <w:tcBorders>
              <w:top w:val="nil"/>
              <w:left w:val="nil"/>
              <w:bottom w:val="nil"/>
              <w:right w:val="nil"/>
            </w:tcBorders>
            <w:shd w:val="clear" w:color="auto" w:fill="auto"/>
            <w:noWrap/>
            <w:vAlign w:val="bottom"/>
          </w:tcPr>
          <w:p w14:paraId="4CD1DBDA" w14:textId="6B056EE8" w:rsidR="00D84931" w:rsidRPr="001D41EA" w:rsidRDefault="00D84931" w:rsidP="00D84931">
            <w:pPr>
              <w:spacing w:before="40" w:after="40"/>
              <w:jc w:val="right"/>
              <w:rPr>
                <w:rFonts w:cs="Arial"/>
                <w:sz w:val="18"/>
                <w:szCs w:val="18"/>
              </w:rPr>
            </w:pPr>
            <w:r w:rsidRPr="001D41EA">
              <w:rPr>
                <w:rFonts w:cs="Arial"/>
                <w:sz w:val="18"/>
                <w:szCs w:val="18"/>
              </w:rPr>
              <w:t>1,390,410,750</w:t>
            </w:r>
          </w:p>
        </w:tc>
        <w:tc>
          <w:tcPr>
            <w:tcW w:w="1701" w:type="dxa"/>
            <w:tcBorders>
              <w:top w:val="nil"/>
              <w:left w:val="nil"/>
              <w:bottom w:val="nil"/>
              <w:right w:val="nil"/>
            </w:tcBorders>
            <w:vAlign w:val="bottom"/>
          </w:tcPr>
          <w:p w14:paraId="29EC0773" w14:textId="4A7C9F22" w:rsidR="00D84931" w:rsidRPr="001D41EA" w:rsidRDefault="00D84931" w:rsidP="00D84931">
            <w:pPr>
              <w:spacing w:before="40" w:after="40"/>
              <w:jc w:val="right"/>
              <w:rPr>
                <w:rFonts w:cs="Arial"/>
                <w:sz w:val="18"/>
                <w:szCs w:val="18"/>
              </w:rPr>
            </w:pPr>
            <w:r w:rsidRPr="001D41EA">
              <w:rPr>
                <w:rFonts w:cs="Arial"/>
                <w:sz w:val="18"/>
                <w:szCs w:val="18"/>
              </w:rPr>
              <w:t>9,434,218,797</w:t>
            </w:r>
          </w:p>
        </w:tc>
      </w:tr>
      <w:tr w:rsidR="00D84931" w:rsidRPr="001D41EA" w14:paraId="57B31E2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C7C6F4F" w14:textId="77777777" w:rsidR="00D84931" w:rsidRPr="001D41EA" w:rsidRDefault="00D84931" w:rsidP="00D84931">
            <w:pPr>
              <w:spacing w:before="40" w:after="40"/>
              <w:rPr>
                <w:rFonts w:cs="Arial"/>
                <w:sz w:val="18"/>
                <w:szCs w:val="18"/>
              </w:rPr>
            </w:pPr>
            <w:r w:rsidRPr="001D41EA">
              <w:rPr>
                <w:rFonts w:cs="Arial"/>
                <w:sz w:val="18"/>
                <w:szCs w:val="18"/>
              </w:rPr>
              <w:t>Hepburn S</w:t>
            </w:r>
          </w:p>
        </w:tc>
        <w:tc>
          <w:tcPr>
            <w:tcW w:w="1701" w:type="dxa"/>
            <w:tcBorders>
              <w:top w:val="nil"/>
              <w:left w:val="single" w:sz="18" w:space="0" w:color="5F497A" w:themeColor="accent4" w:themeShade="BF"/>
              <w:bottom w:val="nil"/>
              <w:right w:val="nil"/>
            </w:tcBorders>
            <w:shd w:val="clear" w:color="auto" w:fill="auto"/>
            <w:noWrap/>
            <w:vAlign w:val="bottom"/>
          </w:tcPr>
          <w:p w14:paraId="5CC705B6" w14:textId="29F1C813" w:rsidR="00D84931" w:rsidRPr="001D41EA" w:rsidRDefault="00D84931" w:rsidP="00D84931">
            <w:pPr>
              <w:spacing w:before="40" w:after="40"/>
              <w:jc w:val="right"/>
              <w:rPr>
                <w:rFonts w:cs="Arial"/>
                <w:sz w:val="18"/>
                <w:szCs w:val="18"/>
              </w:rPr>
            </w:pPr>
            <w:r w:rsidRPr="001D41EA">
              <w:rPr>
                <w:rFonts w:cs="Arial"/>
                <w:sz w:val="18"/>
                <w:szCs w:val="18"/>
              </w:rPr>
              <w:t>2,831,967,250</w:t>
            </w:r>
          </w:p>
        </w:tc>
        <w:tc>
          <w:tcPr>
            <w:tcW w:w="1701" w:type="dxa"/>
            <w:tcBorders>
              <w:top w:val="nil"/>
              <w:left w:val="nil"/>
              <w:bottom w:val="nil"/>
              <w:right w:val="nil"/>
            </w:tcBorders>
            <w:vAlign w:val="bottom"/>
          </w:tcPr>
          <w:p w14:paraId="5A32F30E" w14:textId="3B9549E2" w:rsidR="00D84931" w:rsidRPr="001D41EA" w:rsidRDefault="00D84931" w:rsidP="00D84931">
            <w:pPr>
              <w:spacing w:before="40" w:after="40"/>
              <w:jc w:val="right"/>
              <w:rPr>
                <w:rFonts w:cs="Arial"/>
                <w:sz w:val="18"/>
                <w:szCs w:val="18"/>
              </w:rPr>
            </w:pPr>
            <w:r w:rsidRPr="001D41EA">
              <w:rPr>
                <w:rFonts w:cs="Arial"/>
                <w:sz w:val="18"/>
                <w:szCs w:val="18"/>
              </w:rPr>
              <w:t>544,364,250</w:t>
            </w:r>
          </w:p>
        </w:tc>
        <w:tc>
          <w:tcPr>
            <w:tcW w:w="1701" w:type="dxa"/>
            <w:tcBorders>
              <w:top w:val="nil"/>
              <w:left w:val="nil"/>
              <w:bottom w:val="nil"/>
              <w:right w:val="nil"/>
            </w:tcBorders>
            <w:shd w:val="clear" w:color="auto" w:fill="auto"/>
            <w:noWrap/>
            <w:vAlign w:val="bottom"/>
          </w:tcPr>
          <w:p w14:paraId="6FA3350D" w14:textId="694039CB" w:rsidR="00D84931" w:rsidRPr="001D41EA" w:rsidRDefault="00D84931" w:rsidP="00D84931">
            <w:pPr>
              <w:spacing w:before="40" w:after="40"/>
              <w:jc w:val="right"/>
              <w:rPr>
                <w:rFonts w:cs="Arial"/>
                <w:sz w:val="18"/>
                <w:szCs w:val="18"/>
              </w:rPr>
            </w:pPr>
            <w:r w:rsidRPr="001D41EA">
              <w:rPr>
                <w:rFonts w:cs="Arial"/>
                <w:sz w:val="18"/>
                <w:szCs w:val="18"/>
              </w:rPr>
              <w:t>640,667,000</w:t>
            </w:r>
          </w:p>
        </w:tc>
        <w:tc>
          <w:tcPr>
            <w:tcW w:w="1701" w:type="dxa"/>
            <w:tcBorders>
              <w:top w:val="nil"/>
              <w:left w:val="nil"/>
              <w:bottom w:val="nil"/>
              <w:right w:val="nil"/>
            </w:tcBorders>
            <w:vAlign w:val="bottom"/>
          </w:tcPr>
          <w:p w14:paraId="6337332D" w14:textId="5FF600A7" w:rsidR="00D84931" w:rsidRPr="001D41EA" w:rsidRDefault="00D84931" w:rsidP="00D84931">
            <w:pPr>
              <w:spacing w:before="40" w:after="40"/>
              <w:jc w:val="right"/>
              <w:rPr>
                <w:rFonts w:cs="Arial"/>
                <w:sz w:val="18"/>
                <w:szCs w:val="18"/>
              </w:rPr>
            </w:pPr>
            <w:r w:rsidRPr="001D41EA">
              <w:rPr>
                <w:rFonts w:cs="Arial"/>
                <w:sz w:val="18"/>
                <w:szCs w:val="18"/>
              </w:rPr>
              <w:t>4,016,998,500</w:t>
            </w:r>
          </w:p>
        </w:tc>
      </w:tr>
      <w:tr w:rsidR="00D84931" w:rsidRPr="001D41EA" w14:paraId="7E7591C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D9807EC" w14:textId="77777777" w:rsidR="00D84931" w:rsidRPr="001D41EA" w:rsidRDefault="00D84931" w:rsidP="00D84931">
            <w:pPr>
              <w:spacing w:before="40" w:after="40"/>
              <w:rPr>
                <w:rFonts w:cs="Arial"/>
                <w:sz w:val="18"/>
                <w:szCs w:val="18"/>
              </w:rPr>
            </w:pPr>
            <w:r w:rsidRPr="001D41EA">
              <w:rPr>
                <w:rFonts w:cs="Arial"/>
                <w:sz w:val="18"/>
                <w:szCs w:val="18"/>
              </w:rPr>
              <w:t>Hindmarsh S</w:t>
            </w:r>
          </w:p>
        </w:tc>
        <w:tc>
          <w:tcPr>
            <w:tcW w:w="1701" w:type="dxa"/>
            <w:tcBorders>
              <w:top w:val="nil"/>
              <w:left w:val="single" w:sz="18" w:space="0" w:color="5F497A" w:themeColor="accent4" w:themeShade="BF"/>
              <w:bottom w:val="nil"/>
              <w:right w:val="nil"/>
            </w:tcBorders>
            <w:shd w:val="clear" w:color="auto" w:fill="auto"/>
            <w:noWrap/>
            <w:vAlign w:val="bottom"/>
          </w:tcPr>
          <w:p w14:paraId="1C74AF18" w14:textId="7B83F3AF" w:rsidR="00D84931" w:rsidRPr="001D41EA" w:rsidRDefault="00D84931" w:rsidP="00D84931">
            <w:pPr>
              <w:spacing w:before="40" w:after="40"/>
              <w:jc w:val="right"/>
              <w:rPr>
                <w:rFonts w:cs="Arial"/>
                <w:sz w:val="18"/>
                <w:szCs w:val="18"/>
              </w:rPr>
            </w:pPr>
            <w:r w:rsidRPr="001D41EA">
              <w:rPr>
                <w:rFonts w:cs="Arial"/>
                <w:sz w:val="18"/>
                <w:szCs w:val="18"/>
              </w:rPr>
              <w:t>278,423,725</w:t>
            </w:r>
          </w:p>
        </w:tc>
        <w:tc>
          <w:tcPr>
            <w:tcW w:w="1701" w:type="dxa"/>
            <w:tcBorders>
              <w:top w:val="nil"/>
              <w:left w:val="nil"/>
              <w:bottom w:val="nil"/>
              <w:right w:val="nil"/>
            </w:tcBorders>
            <w:vAlign w:val="bottom"/>
          </w:tcPr>
          <w:p w14:paraId="436DF4B3" w14:textId="10288BCB" w:rsidR="00D84931" w:rsidRPr="001D41EA" w:rsidRDefault="00D84931" w:rsidP="00D84931">
            <w:pPr>
              <w:spacing w:before="40" w:after="40"/>
              <w:jc w:val="right"/>
              <w:rPr>
                <w:rFonts w:cs="Arial"/>
                <w:sz w:val="18"/>
                <w:szCs w:val="18"/>
              </w:rPr>
            </w:pPr>
            <w:r w:rsidRPr="001D41EA">
              <w:rPr>
                <w:rFonts w:cs="Arial"/>
                <w:sz w:val="18"/>
                <w:szCs w:val="18"/>
              </w:rPr>
              <w:t>53,223,200</w:t>
            </w:r>
          </w:p>
        </w:tc>
        <w:tc>
          <w:tcPr>
            <w:tcW w:w="1701" w:type="dxa"/>
            <w:tcBorders>
              <w:top w:val="nil"/>
              <w:left w:val="nil"/>
              <w:bottom w:val="nil"/>
              <w:right w:val="nil"/>
            </w:tcBorders>
            <w:shd w:val="clear" w:color="auto" w:fill="auto"/>
            <w:noWrap/>
            <w:vAlign w:val="bottom"/>
          </w:tcPr>
          <w:p w14:paraId="6C514DB8" w14:textId="7E87B11A" w:rsidR="00D84931" w:rsidRPr="001D41EA" w:rsidRDefault="00D84931" w:rsidP="00D84931">
            <w:pPr>
              <w:spacing w:before="40" w:after="40"/>
              <w:jc w:val="right"/>
              <w:rPr>
                <w:rFonts w:cs="Arial"/>
                <w:sz w:val="18"/>
                <w:szCs w:val="18"/>
              </w:rPr>
            </w:pPr>
            <w:r w:rsidRPr="001D41EA">
              <w:rPr>
                <w:rFonts w:cs="Arial"/>
                <w:sz w:val="18"/>
                <w:szCs w:val="18"/>
              </w:rPr>
              <w:t>847,438,675</w:t>
            </w:r>
          </w:p>
        </w:tc>
        <w:tc>
          <w:tcPr>
            <w:tcW w:w="1701" w:type="dxa"/>
            <w:tcBorders>
              <w:top w:val="nil"/>
              <w:left w:val="nil"/>
              <w:bottom w:val="nil"/>
              <w:right w:val="nil"/>
            </w:tcBorders>
            <w:vAlign w:val="bottom"/>
          </w:tcPr>
          <w:p w14:paraId="061F6BC1" w14:textId="36A221CA" w:rsidR="00D84931" w:rsidRPr="001D41EA" w:rsidRDefault="00D84931" w:rsidP="00D84931">
            <w:pPr>
              <w:spacing w:before="40" w:after="40"/>
              <w:jc w:val="right"/>
              <w:rPr>
                <w:rFonts w:cs="Arial"/>
                <w:sz w:val="18"/>
                <w:szCs w:val="18"/>
              </w:rPr>
            </w:pPr>
            <w:r w:rsidRPr="001D41EA">
              <w:rPr>
                <w:rFonts w:cs="Arial"/>
                <w:sz w:val="18"/>
                <w:szCs w:val="18"/>
              </w:rPr>
              <w:t>1,179,085,600</w:t>
            </w:r>
          </w:p>
        </w:tc>
      </w:tr>
      <w:tr w:rsidR="00D84931" w:rsidRPr="001D41EA" w14:paraId="39E83B7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F66176B" w14:textId="77777777" w:rsidR="00D84931" w:rsidRPr="001D41EA" w:rsidRDefault="00D84931" w:rsidP="00D84931">
            <w:pPr>
              <w:spacing w:before="40" w:after="40"/>
              <w:rPr>
                <w:rFonts w:cs="Arial"/>
                <w:sz w:val="18"/>
                <w:szCs w:val="18"/>
              </w:rPr>
            </w:pPr>
            <w:r w:rsidRPr="001D41EA">
              <w:rPr>
                <w:rFonts w:cs="Arial"/>
                <w:sz w:val="18"/>
                <w:szCs w:val="18"/>
              </w:rPr>
              <w:t>Hobsons Bay C</w:t>
            </w:r>
          </w:p>
        </w:tc>
        <w:tc>
          <w:tcPr>
            <w:tcW w:w="1701" w:type="dxa"/>
            <w:tcBorders>
              <w:top w:val="nil"/>
              <w:left w:val="single" w:sz="18" w:space="0" w:color="5F497A" w:themeColor="accent4" w:themeShade="BF"/>
              <w:bottom w:val="nil"/>
              <w:right w:val="nil"/>
            </w:tcBorders>
            <w:shd w:val="clear" w:color="auto" w:fill="auto"/>
            <w:noWrap/>
            <w:vAlign w:val="bottom"/>
          </w:tcPr>
          <w:p w14:paraId="0A9D5098" w14:textId="04F7193B" w:rsidR="00D84931" w:rsidRPr="001D41EA" w:rsidRDefault="00D84931" w:rsidP="00D84931">
            <w:pPr>
              <w:spacing w:before="40" w:after="40"/>
              <w:jc w:val="right"/>
              <w:rPr>
                <w:rFonts w:cs="Arial"/>
                <w:sz w:val="18"/>
                <w:szCs w:val="18"/>
              </w:rPr>
            </w:pPr>
            <w:r w:rsidRPr="001D41EA">
              <w:rPr>
                <w:rFonts w:cs="Arial"/>
                <w:sz w:val="18"/>
                <w:szCs w:val="18"/>
              </w:rPr>
              <w:t>22,325,343,035</w:t>
            </w:r>
          </w:p>
        </w:tc>
        <w:tc>
          <w:tcPr>
            <w:tcW w:w="1701" w:type="dxa"/>
            <w:tcBorders>
              <w:top w:val="nil"/>
              <w:left w:val="nil"/>
              <w:bottom w:val="nil"/>
              <w:right w:val="nil"/>
            </w:tcBorders>
            <w:vAlign w:val="bottom"/>
          </w:tcPr>
          <w:p w14:paraId="5029A046" w14:textId="168F8D8E" w:rsidR="00D84931" w:rsidRPr="001D41EA" w:rsidRDefault="00D84931" w:rsidP="00D84931">
            <w:pPr>
              <w:spacing w:before="40" w:after="40"/>
              <w:jc w:val="right"/>
              <w:rPr>
                <w:rFonts w:cs="Arial"/>
                <w:sz w:val="18"/>
                <w:szCs w:val="18"/>
              </w:rPr>
            </w:pPr>
            <w:r w:rsidRPr="001D41EA">
              <w:rPr>
                <w:rFonts w:cs="Arial"/>
                <w:sz w:val="18"/>
                <w:szCs w:val="18"/>
              </w:rPr>
              <w:t>4,024,831,236</w:t>
            </w:r>
          </w:p>
        </w:tc>
        <w:tc>
          <w:tcPr>
            <w:tcW w:w="1701" w:type="dxa"/>
            <w:tcBorders>
              <w:top w:val="nil"/>
              <w:left w:val="nil"/>
              <w:bottom w:val="nil"/>
              <w:right w:val="nil"/>
            </w:tcBorders>
            <w:shd w:val="clear" w:color="auto" w:fill="auto"/>
            <w:noWrap/>
            <w:vAlign w:val="bottom"/>
          </w:tcPr>
          <w:p w14:paraId="67F67B17" w14:textId="1C363F01"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75DCFD24" w14:textId="681BC89A" w:rsidR="00D84931" w:rsidRPr="001D41EA" w:rsidRDefault="00D84931" w:rsidP="00D84931">
            <w:pPr>
              <w:spacing w:before="40" w:after="40"/>
              <w:jc w:val="right"/>
              <w:rPr>
                <w:rFonts w:cs="Arial"/>
                <w:sz w:val="18"/>
                <w:szCs w:val="18"/>
              </w:rPr>
            </w:pPr>
            <w:r w:rsidRPr="001D41EA">
              <w:rPr>
                <w:rFonts w:cs="Arial"/>
                <w:sz w:val="18"/>
                <w:szCs w:val="18"/>
              </w:rPr>
              <w:t>26,350,174,271</w:t>
            </w:r>
          </w:p>
        </w:tc>
      </w:tr>
      <w:tr w:rsidR="00D84931" w:rsidRPr="001D41EA" w14:paraId="5F73306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D3E724B" w14:textId="77777777" w:rsidR="00D84931" w:rsidRPr="001D41EA" w:rsidRDefault="00D84931" w:rsidP="00D84931">
            <w:pPr>
              <w:spacing w:before="40" w:after="40"/>
              <w:rPr>
                <w:rFonts w:cs="Arial"/>
                <w:sz w:val="18"/>
                <w:szCs w:val="18"/>
              </w:rPr>
            </w:pPr>
            <w:r w:rsidRPr="001D41EA">
              <w:rPr>
                <w:rFonts w:cs="Arial"/>
                <w:sz w:val="18"/>
                <w:szCs w:val="18"/>
              </w:rPr>
              <w:t>Horsham RC</w:t>
            </w:r>
          </w:p>
        </w:tc>
        <w:tc>
          <w:tcPr>
            <w:tcW w:w="1701" w:type="dxa"/>
            <w:tcBorders>
              <w:top w:val="nil"/>
              <w:left w:val="single" w:sz="18" w:space="0" w:color="5F497A" w:themeColor="accent4" w:themeShade="BF"/>
              <w:bottom w:val="nil"/>
              <w:right w:val="nil"/>
            </w:tcBorders>
            <w:shd w:val="clear" w:color="auto" w:fill="auto"/>
            <w:noWrap/>
            <w:vAlign w:val="bottom"/>
          </w:tcPr>
          <w:p w14:paraId="7FB358D8" w14:textId="0CEBA17A" w:rsidR="00D84931" w:rsidRPr="001D41EA" w:rsidRDefault="00D84931" w:rsidP="00D84931">
            <w:pPr>
              <w:spacing w:before="40" w:after="40"/>
              <w:jc w:val="right"/>
              <w:rPr>
                <w:rFonts w:cs="Arial"/>
                <w:sz w:val="18"/>
                <w:szCs w:val="18"/>
              </w:rPr>
            </w:pPr>
            <w:r w:rsidRPr="001D41EA">
              <w:rPr>
                <w:rFonts w:cs="Arial"/>
                <w:sz w:val="18"/>
                <w:szCs w:val="18"/>
              </w:rPr>
              <w:t>2,148,017,775</w:t>
            </w:r>
          </w:p>
        </w:tc>
        <w:tc>
          <w:tcPr>
            <w:tcW w:w="1701" w:type="dxa"/>
            <w:tcBorders>
              <w:top w:val="nil"/>
              <w:left w:val="nil"/>
              <w:bottom w:val="nil"/>
              <w:right w:val="nil"/>
            </w:tcBorders>
            <w:vAlign w:val="bottom"/>
          </w:tcPr>
          <w:p w14:paraId="1E64601D" w14:textId="469E7D84" w:rsidR="00D84931" w:rsidRPr="001D41EA" w:rsidRDefault="00D84931" w:rsidP="00D84931">
            <w:pPr>
              <w:spacing w:before="40" w:after="40"/>
              <w:jc w:val="right"/>
              <w:rPr>
                <w:rFonts w:cs="Arial"/>
                <w:sz w:val="18"/>
                <w:szCs w:val="18"/>
              </w:rPr>
            </w:pPr>
            <w:r w:rsidRPr="001D41EA">
              <w:rPr>
                <w:rFonts w:cs="Arial"/>
                <w:sz w:val="18"/>
                <w:szCs w:val="18"/>
              </w:rPr>
              <w:t>460,990,500</w:t>
            </w:r>
          </w:p>
        </w:tc>
        <w:tc>
          <w:tcPr>
            <w:tcW w:w="1701" w:type="dxa"/>
            <w:tcBorders>
              <w:top w:val="nil"/>
              <w:left w:val="nil"/>
              <w:bottom w:val="nil"/>
              <w:right w:val="nil"/>
            </w:tcBorders>
            <w:shd w:val="clear" w:color="auto" w:fill="auto"/>
            <w:noWrap/>
            <w:vAlign w:val="bottom"/>
          </w:tcPr>
          <w:p w14:paraId="0BC805F1" w14:textId="494213A2" w:rsidR="00D84931" w:rsidRPr="001D41EA" w:rsidRDefault="00D84931" w:rsidP="00D84931">
            <w:pPr>
              <w:spacing w:before="40" w:after="40"/>
              <w:jc w:val="right"/>
              <w:rPr>
                <w:rFonts w:cs="Arial"/>
                <w:sz w:val="18"/>
                <w:szCs w:val="18"/>
              </w:rPr>
            </w:pPr>
            <w:r w:rsidRPr="001D41EA">
              <w:rPr>
                <w:rFonts w:cs="Arial"/>
                <w:sz w:val="18"/>
                <w:szCs w:val="18"/>
              </w:rPr>
              <w:t>1,247,059,500</w:t>
            </w:r>
          </w:p>
        </w:tc>
        <w:tc>
          <w:tcPr>
            <w:tcW w:w="1701" w:type="dxa"/>
            <w:tcBorders>
              <w:top w:val="nil"/>
              <w:left w:val="nil"/>
              <w:bottom w:val="nil"/>
              <w:right w:val="nil"/>
            </w:tcBorders>
            <w:vAlign w:val="bottom"/>
          </w:tcPr>
          <w:p w14:paraId="13989405" w14:textId="06F81029" w:rsidR="00D84931" w:rsidRPr="001D41EA" w:rsidRDefault="00D84931" w:rsidP="00D84931">
            <w:pPr>
              <w:spacing w:before="40" w:after="40"/>
              <w:jc w:val="right"/>
              <w:rPr>
                <w:rFonts w:cs="Arial"/>
                <w:sz w:val="18"/>
                <w:szCs w:val="18"/>
              </w:rPr>
            </w:pPr>
            <w:r w:rsidRPr="001D41EA">
              <w:rPr>
                <w:rFonts w:cs="Arial"/>
                <w:sz w:val="18"/>
                <w:szCs w:val="18"/>
              </w:rPr>
              <w:t>3,856,067,775</w:t>
            </w:r>
          </w:p>
        </w:tc>
      </w:tr>
      <w:tr w:rsidR="00D84931" w:rsidRPr="001D41EA" w14:paraId="5D82505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11495D0" w14:textId="77777777" w:rsidR="00D84931" w:rsidRPr="001D41EA" w:rsidRDefault="00D84931" w:rsidP="00D84931">
            <w:pPr>
              <w:spacing w:before="40" w:after="40"/>
              <w:rPr>
                <w:rFonts w:cs="Arial"/>
                <w:sz w:val="18"/>
                <w:szCs w:val="18"/>
              </w:rPr>
            </w:pPr>
            <w:r w:rsidRPr="001D41EA">
              <w:rPr>
                <w:rFonts w:cs="Arial"/>
                <w:sz w:val="18"/>
                <w:szCs w:val="18"/>
              </w:rPr>
              <w:t>Hume C</w:t>
            </w:r>
          </w:p>
        </w:tc>
        <w:tc>
          <w:tcPr>
            <w:tcW w:w="1701" w:type="dxa"/>
            <w:tcBorders>
              <w:top w:val="nil"/>
              <w:left w:val="single" w:sz="18" w:space="0" w:color="5F497A" w:themeColor="accent4" w:themeShade="BF"/>
              <w:bottom w:val="nil"/>
              <w:right w:val="nil"/>
            </w:tcBorders>
            <w:shd w:val="clear" w:color="auto" w:fill="auto"/>
            <w:noWrap/>
            <w:vAlign w:val="bottom"/>
          </w:tcPr>
          <w:p w14:paraId="6DC447D1" w14:textId="7590B45B" w:rsidR="00D84931" w:rsidRPr="001D41EA" w:rsidRDefault="00D84931" w:rsidP="00D84931">
            <w:pPr>
              <w:spacing w:before="40" w:after="40"/>
              <w:jc w:val="right"/>
              <w:rPr>
                <w:rFonts w:cs="Arial"/>
                <w:sz w:val="18"/>
                <w:szCs w:val="18"/>
              </w:rPr>
            </w:pPr>
            <w:r w:rsidRPr="001D41EA">
              <w:rPr>
                <w:rFonts w:cs="Arial"/>
                <w:sz w:val="18"/>
                <w:szCs w:val="18"/>
              </w:rPr>
              <w:t>24,628,250,750</w:t>
            </w:r>
          </w:p>
        </w:tc>
        <w:tc>
          <w:tcPr>
            <w:tcW w:w="1701" w:type="dxa"/>
            <w:tcBorders>
              <w:top w:val="nil"/>
              <w:left w:val="nil"/>
              <w:bottom w:val="nil"/>
              <w:right w:val="nil"/>
            </w:tcBorders>
            <w:vAlign w:val="bottom"/>
          </w:tcPr>
          <w:p w14:paraId="1E04156A" w14:textId="4B64017E" w:rsidR="00D84931" w:rsidRPr="001D41EA" w:rsidRDefault="00D84931" w:rsidP="00D84931">
            <w:pPr>
              <w:spacing w:before="40" w:after="40"/>
              <w:jc w:val="right"/>
              <w:rPr>
                <w:rFonts w:cs="Arial"/>
                <w:sz w:val="18"/>
                <w:szCs w:val="18"/>
              </w:rPr>
            </w:pPr>
            <w:r w:rsidRPr="001D41EA">
              <w:rPr>
                <w:rFonts w:cs="Arial"/>
                <w:sz w:val="18"/>
                <w:szCs w:val="18"/>
              </w:rPr>
              <w:t>6,477,826,800</w:t>
            </w:r>
          </w:p>
        </w:tc>
        <w:tc>
          <w:tcPr>
            <w:tcW w:w="1701" w:type="dxa"/>
            <w:tcBorders>
              <w:top w:val="nil"/>
              <w:left w:val="nil"/>
              <w:bottom w:val="nil"/>
              <w:right w:val="nil"/>
            </w:tcBorders>
            <w:shd w:val="clear" w:color="auto" w:fill="auto"/>
            <w:noWrap/>
            <w:vAlign w:val="bottom"/>
          </w:tcPr>
          <w:p w14:paraId="1DB639FC" w14:textId="569A111E" w:rsidR="00D84931" w:rsidRPr="001D41EA" w:rsidRDefault="00D84931" w:rsidP="00D84931">
            <w:pPr>
              <w:spacing w:before="40" w:after="40"/>
              <w:jc w:val="right"/>
              <w:rPr>
                <w:rFonts w:cs="Arial"/>
                <w:sz w:val="18"/>
                <w:szCs w:val="18"/>
              </w:rPr>
            </w:pPr>
            <w:r w:rsidRPr="001D41EA">
              <w:rPr>
                <w:rFonts w:cs="Arial"/>
                <w:sz w:val="18"/>
                <w:szCs w:val="18"/>
              </w:rPr>
              <w:t>2,027,118,750</w:t>
            </w:r>
          </w:p>
        </w:tc>
        <w:tc>
          <w:tcPr>
            <w:tcW w:w="1701" w:type="dxa"/>
            <w:tcBorders>
              <w:top w:val="nil"/>
              <w:left w:val="nil"/>
              <w:bottom w:val="nil"/>
              <w:right w:val="nil"/>
            </w:tcBorders>
            <w:vAlign w:val="bottom"/>
          </w:tcPr>
          <w:p w14:paraId="72DB2E0B" w14:textId="6F8F9DA3" w:rsidR="00D84931" w:rsidRPr="001D41EA" w:rsidRDefault="00D84931" w:rsidP="00D84931">
            <w:pPr>
              <w:spacing w:before="40" w:after="40"/>
              <w:jc w:val="right"/>
              <w:rPr>
                <w:rFonts w:cs="Arial"/>
                <w:sz w:val="18"/>
                <w:szCs w:val="18"/>
              </w:rPr>
            </w:pPr>
            <w:r w:rsidRPr="001D41EA">
              <w:rPr>
                <w:rFonts w:cs="Arial"/>
                <w:sz w:val="18"/>
                <w:szCs w:val="18"/>
              </w:rPr>
              <w:t>33,133,196,300</w:t>
            </w:r>
          </w:p>
        </w:tc>
      </w:tr>
      <w:tr w:rsidR="00D84931" w:rsidRPr="001D41EA" w14:paraId="148E23B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B51B6B5" w14:textId="77777777" w:rsidR="00D84931" w:rsidRPr="001D41EA" w:rsidRDefault="00D84931" w:rsidP="00D84931">
            <w:pPr>
              <w:spacing w:before="40" w:after="40"/>
              <w:rPr>
                <w:rFonts w:cs="Arial"/>
                <w:sz w:val="18"/>
                <w:szCs w:val="18"/>
              </w:rPr>
            </w:pPr>
            <w:r w:rsidRPr="001D41EA">
              <w:rPr>
                <w:rFonts w:cs="Arial"/>
                <w:sz w:val="18"/>
                <w:szCs w:val="18"/>
              </w:rPr>
              <w:t>Indigo S</w:t>
            </w:r>
          </w:p>
        </w:tc>
        <w:tc>
          <w:tcPr>
            <w:tcW w:w="1701" w:type="dxa"/>
            <w:tcBorders>
              <w:top w:val="nil"/>
              <w:left w:val="single" w:sz="18" w:space="0" w:color="5F497A" w:themeColor="accent4" w:themeShade="BF"/>
              <w:bottom w:val="nil"/>
              <w:right w:val="nil"/>
            </w:tcBorders>
            <w:shd w:val="clear" w:color="auto" w:fill="auto"/>
            <w:noWrap/>
            <w:vAlign w:val="bottom"/>
          </w:tcPr>
          <w:p w14:paraId="38DB1D10" w14:textId="739F6C13" w:rsidR="00D84931" w:rsidRPr="001D41EA" w:rsidRDefault="00D84931" w:rsidP="00D84931">
            <w:pPr>
              <w:spacing w:before="40" w:after="40"/>
              <w:jc w:val="right"/>
              <w:rPr>
                <w:rFonts w:cs="Arial"/>
                <w:sz w:val="18"/>
                <w:szCs w:val="18"/>
              </w:rPr>
            </w:pPr>
            <w:r w:rsidRPr="001D41EA">
              <w:rPr>
                <w:rFonts w:cs="Arial"/>
                <w:sz w:val="18"/>
                <w:szCs w:val="18"/>
              </w:rPr>
              <w:t>1,565,043,950</w:t>
            </w:r>
          </w:p>
        </w:tc>
        <w:tc>
          <w:tcPr>
            <w:tcW w:w="1701" w:type="dxa"/>
            <w:tcBorders>
              <w:top w:val="nil"/>
              <w:left w:val="nil"/>
              <w:bottom w:val="nil"/>
              <w:right w:val="nil"/>
            </w:tcBorders>
            <w:vAlign w:val="bottom"/>
          </w:tcPr>
          <w:p w14:paraId="48F6CA73" w14:textId="46020A77" w:rsidR="00D84931" w:rsidRPr="001D41EA" w:rsidRDefault="00D84931" w:rsidP="00D84931">
            <w:pPr>
              <w:spacing w:before="40" w:after="40"/>
              <w:jc w:val="right"/>
              <w:rPr>
                <w:rFonts w:cs="Arial"/>
                <w:sz w:val="18"/>
                <w:szCs w:val="18"/>
              </w:rPr>
            </w:pPr>
            <w:r w:rsidRPr="001D41EA">
              <w:rPr>
                <w:rFonts w:cs="Arial"/>
                <w:sz w:val="18"/>
                <w:szCs w:val="18"/>
              </w:rPr>
              <w:t>152,648,100</w:t>
            </w:r>
          </w:p>
        </w:tc>
        <w:tc>
          <w:tcPr>
            <w:tcW w:w="1701" w:type="dxa"/>
            <w:tcBorders>
              <w:top w:val="nil"/>
              <w:left w:val="nil"/>
              <w:bottom w:val="nil"/>
              <w:right w:val="nil"/>
            </w:tcBorders>
            <w:shd w:val="clear" w:color="auto" w:fill="auto"/>
            <w:noWrap/>
            <w:vAlign w:val="bottom"/>
          </w:tcPr>
          <w:p w14:paraId="3EC17D3D" w14:textId="575850EB" w:rsidR="00D84931" w:rsidRPr="001D41EA" w:rsidRDefault="00D84931" w:rsidP="00D84931">
            <w:pPr>
              <w:spacing w:before="40" w:after="40"/>
              <w:jc w:val="right"/>
              <w:rPr>
                <w:rFonts w:cs="Arial"/>
                <w:sz w:val="18"/>
                <w:szCs w:val="18"/>
              </w:rPr>
            </w:pPr>
            <w:r w:rsidRPr="001D41EA">
              <w:rPr>
                <w:rFonts w:cs="Arial"/>
                <w:sz w:val="18"/>
                <w:szCs w:val="18"/>
              </w:rPr>
              <w:t>1,097,278,500</w:t>
            </w:r>
          </w:p>
        </w:tc>
        <w:tc>
          <w:tcPr>
            <w:tcW w:w="1701" w:type="dxa"/>
            <w:tcBorders>
              <w:top w:val="nil"/>
              <w:left w:val="nil"/>
              <w:bottom w:val="nil"/>
              <w:right w:val="nil"/>
            </w:tcBorders>
            <w:vAlign w:val="bottom"/>
          </w:tcPr>
          <w:p w14:paraId="1FEE5060" w14:textId="72253178" w:rsidR="00D84931" w:rsidRPr="001D41EA" w:rsidRDefault="00D84931" w:rsidP="00D84931">
            <w:pPr>
              <w:spacing w:before="40" w:after="40"/>
              <w:jc w:val="right"/>
              <w:rPr>
                <w:rFonts w:cs="Arial"/>
                <w:sz w:val="18"/>
                <w:szCs w:val="18"/>
              </w:rPr>
            </w:pPr>
            <w:r w:rsidRPr="001D41EA">
              <w:rPr>
                <w:rFonts w:cs="Arial"/>
                <w:sz w:val="18"/>
                <w:szCs w:val="18"/>
              </w:rPr>
              <w:t>2,814,970,550</w:t>
            </w:r>
          </w:p>
        </w:tc>
      </w:tr>
      <w:tr w:rsidR="00D84931" w:rsidRPr="001D41EA" w14:paraId="7DC9A1A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BFD80E5" w14:textId="77777777" w:rsidR="00D84931" w:rsidRPr="001D41EA" w:rsidRDefault="00D84931" w:rsidP="00D84931">
            <w:pPr>
              <w:spacing w:before="40" w:after="40"/>
              <w:rPr>
                <w:rFonts w:cs="Arial"/>
                <w:sz w:val="18"/>
                <w:szCs w:val="18"/>
              </w:rPr>
            </w:pPr>
            <w:r w:rsidRPr="001D41EA">
              <w:rPr>
                <w:rFonts w:cs="Arial"/>
                <w:sz w:val="18"/>
                <w:szCs w:val="18"/>
              </w:rPr>
              <w:t>Kingston C</w:t>
            </w:r>
          </w:p>
        </w:tc>
        <w:tc>
          <w:tcPr>
            <w:tcW w:w="1701" w:type="dxa"/>
            <w:tcBorders>
              <w:top w:val="nil"/>
              <w:left w:val="single" w:sz="18" w:space="0" w:color="5F497A" w:themeColor="accent4" w:themeShade="BF"/>
              <w:bottom w:val="nil"/>
              <w:right w:val="nil"/>
            </w:tcBorders>
            <w:shd w:val="clear" w:color="auto" w:fill="auto"/>
            <w:noWrap/>
            <w:vAlign w:val="bottom"/>
          </w:tcPr>
          <w:p w14:paraId="3746A15E" w14:textId="17E7AA3A" w:rsidR="00D84931" w:rsidRPr="001D41EA" w:rsidRDefault="00D84931" w:rsidP="00D84931">
            <w:pPr>
              <w:spacing w:before="40" w:after="40"/>
              <w:jc w:val="right"/>
              <w:rPr>
                <w:rFonts w:cs="Arial"/>
                <w:sz w:val="18"/>
                <w:szCs w:val="18"/>
              </w:rPr>
            </w:pPr>
            <w:r w:rsidRPr="001D41EA">
              <w:rPr>
                <w:rFonts w:cs="Arial"/>
                <w:sz w:val="18"/>
                <w:szCs w:val="18"/>
              </w:rPr>
              <w:t>39,374,784,500</w:t>
            </w:r>
          </w:p>
        </w:tc>
        <w:tc>
          <w:tcPr>
            <w:tcW w:w="1701" w:type="dxa"/>
            <w:tcBorders>
              <w:top w:val="nil"/>
              <w:left w:val="nil"/>
              <w:bottom w:val="nil"/>
              <w:right w:val="nil"/>
            </w:tcBorders>
            <w:vAlign w:val="bottom"/>
          </w:tcPr>
          <w:p w14:paraId="2BA95443" w14:textId="2D7A409F" w:rsidR="00D84931" w:rsidRPr="001D41EA" w:rsidRDefault="00D84931" w:rsidP="00D84931">
            <w:pPr>
              <w:spacing w:before="40" w:after="40"/>
              <w:jc w:val="right"/>
              <w:rPr>
                <w:rFonts w:cs="Arial"/>
                <w:sz w:val="18"/>
                <w:szCs w:val="18"/>
              </w:rPr>
            </w:pPr>
            <w:r w:rsidRPr="001D41EA">
              <w:rPr>
                <w:rFonts w:cs="Arial"/>
                <w:sz w:val="18"/>
                <w:szCs w:val="18"/>
              </w:rPr>
              <w:t>8,652,431,512</w:t>
            </w:r>
          </w:p>
        </w:tc>
        <w:tc>
          <w:tcPr>
            <w:tcW w:w="1701" w:type="dxa"/>
            <w:tcBorders>
              <w:top w:val="nil"/>
              <w:left w:val="nil"/>
              <w:bottom w:val="nil"/>
              <w:right w:val="nil"/>
            </w:tcBorders>
            <w:shd w:val="clear" w:color="auto" w:fill="auto"/>
            <w:noWrap/>
            <w:vAlign w:val="bottom"/>
          </w:tcPr>
          <w:p w14:paraId="1A126243" w14:textId="460DED87" w:rsidR="00D84931" w:rsidRPr="001D41EA" w:rsidRDefault="00D84931" w:rsidP="00D84931">
            <w:pPr>
              <w:spacing w:before="40" w:after="40"/>
              <w:jc w:val="right"/>
              <w:rPr>
                <w:rFonts w:cs="Arial"/>
                <w:sz w:val="18"/>
                <w:szCs w:val="18"/>
              </w:rPr>
            </w:pPr>
            <w:r w:rsidRPr="001D41EA">
              <w:rPr>
                <w:rFonts w:cs="Arial"/>
                <w:sz w:val="18"/>
                <w:szCs w:val="18"/>
              </w:rPr>
              <w:t>91,550,500</w:t>
            </w:r>
          </w:p>
        </w:tc>
        <w:tc>
          <w:tcPr>
            <w:tcW w:w="1701" w:type="dxa"/>
            <w:tcBorders>
              <w:top w:val="nil"/>
              <w:left w:val="nil"/>
              <w:bottom w:val="nil"/>
              <w:right w:val="nil"/>
            </w:tcBorders>
            <w:vAlign w:val="bottom"/>
          </w:tcPr>
          <w:p w14:paraId="4E506899" w14:textId="1F5E1EC0" w:rsidR="00D84931" w:rsidRPr="001D41EA" w:rsidRDefault="00D84931" w:rsidP="00D84931">
            <w:pPr>
              <w:spacing w:before="40" w:after="40"/>
              <w:jc w:val="right"/>
              <w:rPr>
                <w:rFonts w:cs="Arial"/>
                <w:sz w:val="18"/>
                <w:szCs w:val="18"/>
              </w:rPr>
            </w:pPr>
            <w:r w:rsidRPr="001D41EA">
              <w:rPr>
                <w:rFonts w:cs="Arial"/>
                <w:sz w:val="18"/>
                <w:szCs w:val="18"/>
              </w:rPr>
              <w:t>48,118,766,512</w:t>
            </w:r>
          </w:p>
        </w:tc>
      </w:tr>
      <w:tr w:rsidR="00D84931" w:rsidRPr="001D41EA" w14:paraId="277906B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B4A747B" w14:textId="77777777" w:rsidR="00D84931" w:rsidRPr="001D41EA" w:rsidRDefault="00D84931" w:rsidP="00D84931">
            <w:pPr>
              <w:spacing w:before="40" w:after="40"/>
              <w:rPr>
                <w:rFonts w:cs="Arial"/>
                <w:sz w:val="18"/>
                <w:szCs w:val="18"/>
              </w:rPr>
            </w:pPr>
            <w:r w:rsidRPr="001D41EA">
              <w:rPr>
                <w:rFonts w:cs="Arial"/>
                <w:sz w:val="18"/>
                <w:szCs w:val="18"/>
              </w:rPr>
              <w:t>Knox C</w:t>
            </w:r>
          </w:p>
        </w:tc>
        <w:tc>
          <w:tcPr>
            <w:tcW w:w="1701" w:type="dxa"/>
            <w:tcBorders>
              <w:top w:val="nil"/>
              <w:left w:val="single" w:sz="18" w:space="0" w:color="5F497A" w:themeColor="accent4" w:themeShade="BF"/>
              <w:bottom w:val="nil"/>
              <w:right w:val="nil"/>
            </w:tcBorders>
            <w:shd w:val="clear" w:color="auto" w:fill="auto"/>
            <w:noWrap/>
            <w:vAlign w:val="bottom"/>
          </w:tcPr>
          <w:p w14:paraId="3263682E" w14:textId="78CE62E5" w:rsidR="00D84931" w:rsidRPr="001D41EA" w:rsidRDefault="00D84931" w:rsidP="00D84931">
            <w:pPr>
              <w:spacing w:before="40" w:after="40"/>
              <w:jc w:val="right"/>
              <w:rPr>
                <w:rFonts w:cs="Arial"/>
                <w:sz w:val="18"/>
                <w:szCs w:val="18"/>
              </w:rPr>
            </w:pPr>
            <w:r w:rsidRPr="001D41EA">
              <w:rPr>
                <w:rFonts w:cs="Arial"/>
                <w:sz w:val="18"/>
                <w:szCs w:val="18"/>
              </w:rPr>
              <w:t>32,039,049,000</w:t>
            </w:r>
          </w:p>
        </w:tc>
        <w:tc>
          <w:tcPr>
            <w:tcW w:w="1701" w:type="dxa"/>
            <w:tcBorders>
              <w:top w:val="nil"/>
              <w:left w:val="nil"/>
              <w:bottom w:val="nil"/>
              <w:right w:val="nil"/>
            </w:tcBorders>
            <w:vAlign w:val="bottom"/>
          </w:tcPr>
          <w:p w14:paraId="2AA069DB" w14:textId="20B4DF68" w:rsidR="00D84931" w:rsidRPr="001D41EA" w:rsidRDefault="00D84931" w:rsidP="00D84931">
            <w:pPr>
              <w:spacing w:before="40" w:after="40"/>
              <w:jc w:val="right"/>
              <w:rPr>
                <w:rFonts w:cs="Arial"/>
                <w:sz w:val="18"/>
                <w:szCs w:val="18"/>
              </w:rPr>
            </w:pPr>
            <w:r w:rsidRPr="001D41EA">
              <w:rPr>
                <w:rFonts w:cs="Arial"/>
                <w:sz w:val="18"/>
                <w:szCs w:val="18"/>
              </w:rPr>
              <w:t>5,822,419,296</w:t>
            </w:r>
          </w:p>
        </w:tc>
        <w:tc>
          <w:tcPr>
            <w:tcW w:w="1701" w:type="dxa"/>
            <w:tcBorders>
              <w:top w:val="nil"/>
              <w:left w:val="nil"/>
              <w:bottom w:val="nil"/>
              <w:right w:val="nil"/>
            </w:tcBorders>
            <w:shd w:val="clear" w:color="auto" w:fill="auto"/>
            <w:noWrap/>
            <w:vAlign w:val="bottom"/>
          </w:tcPr>
          <w:p w14:paraId="6709B26D" w14:textId="55EB6821"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7A0EDE74" w14:textId="4306A18A" w:rsidR="00D84931" w:rsidRPr="001D41EA" w:rsidRDefault="00D84931" w:rsidP="00D84931">
            <w:pPr>
              <w:spacing w:before="40" w:after="40"/>
              <w:jc w:val="right"/>
              <w:rPr>
                <w:rFonts w:cs="Arial"/>
                <w:sz w:val="18"/>
                <w:szCs w:val="18"/>
              </w:rPr>
            </w:pPr>
            <w:r w:rsidRPr="001D41EA">
              <w:rPr>
                <w:rFonts w:cs="Arial"/>
                <w:sz w:val="18"/>
                <w:szCs w:val="18"/>
              </w:rPr>
              <w:t>37,861,468,296</w:t>
            </w:r>
          </w:p>
        </w:tc>
      </w:tr>
      <w:tr w:rsidR="00D84931" w:rsidRPr="001D41EA" w14:paraId="07C2186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902AC8F" w14:textId="77777777" w:rsidR="00D84931" w:rsidRPr="001D41EA" w:rsidRDefault="00D84931" w:rsidP="00D84931">
            <w:pPr>
              <w:spacing w:before="40" w:after="40"/>
              <w:rPr>
                <w:rFonts w:cs="Arial"/>
                <w:sz w:val="18"/>
                <w:szCs w:val="18"/>
              </w:rPr>
            </w:pPr>
            <w:r w:rsidRPr="001D41EA">
              <w:rPr>
                <w:rFonts w:cs="Arial"/>
                <w:sz w:val="18"/>
                <w:szCs w:val="18"/>
              </w:rPr>
              <w:t>Latrobe C</w:t>
            </w:r>
          </w:p>
        </w:tc>
        <w:tc>
          <w:tcPr>
            <w:tcW w:w="1701" w:type="dxa"/>
            <w:tcBorders>
              <w:top w:val="nil"/>
              <w:left w:val="single" w:sz="18" w:space="0" w:color="5F497A" w:themeColor="accent4" w:themeShade="BF"/>
              <w:bottom w:val="nil"/>
              <w:right w:val="nil"/>
            </w:tcBorders>
            <w:shd w:val="clear" w:color="auto" w:fill="auto"/>
            <w:noWrap/>
            <w:vAlign w:val="bottom"/>
          </w:tcPr>
          <w:p w14:paraId="26A2D83F" w14:textId="70700605" w:rsidR="00D84931" w:rsidRPr="001D41EA" w:rsidRDefault="00D84931" w:rsidP="00D84931">
            <w:pPr>
              <w:spacing w:before="40" w:after="40"/>
              <w:jc w:val="right"/>
              <w:rPr>
                <w:rFonts w:cs="Arial"/>
                <w:sz w:val="18"/>
                <w:szCs w:val="18"/>
              </w:rPr>
            </w:pPr>
            <w:r w:rsidRPr="001D41EA">
              <w:rPr>
                <w:rFonts w:cs="Arial"/>
                <w:sz w:val="18"/>
                <w:szCs w:val="18"/>
              </w:rPr>
              <w:t>8,231,887,250</w:t>
            </w:r>
          </w:p>
        </w:tc>
        <w:tc>
          <w:tcPr>
            <w:tcW w:w="1701" w:type="dxa"/>
            <w:tcBorders>
              <w:top w:val="nil"/>
              <w:left w:val="nil"/>
              <w:bottom w:val="nil"/>
              <w:right w:val="nil"/>
            </w:tcBorders>
            <w:vAlign w:val="bottom"/>
          </w:tcPr>
          <w:p w14:paraId="504EAABF" w14:textId="14A3D452" w:rsidR="00D84931" w:rsidRPr="001D41EA" w:rsidRDefault="00D84931" w:rsidP="00D84931">
            <w:pPr>
              <w:spacing w:before="40" w:after="40"/>
              <w:jc w:val="right"/>
              <w:rPr>
                <w:rFonts w:cs="Arial"/>
                <w:sz w:val="18"/>
                <w:szCs w:val="18"/>
              </w:rPr>
            </w:pPr>
            <w:r w:rsidRPr="001D41EA">
              <w:rPr>
                <w:rFonts w:cs="Arial"/>
                <w:sz w:val="18"/>
                <w:szCs w:val="18"/>
              </w:rPr>
              <w:t>1,622,142,250</w:t>
            </w:r>
          </w:p>
        </w:tc>
        <w:tc>
          <w:tcPr>
            <w:tcW w:w="1701" w:type="dxa"/>
            <w:tcBorders>
              <w:top w:val="nil"/>
              <w:left w:val="nil"/>
              <w:bottom w:val="nil"/>
              <w:right w:val="nil"/>
            </w:tcBorders>
            <w:shd w:val="clear" w:color="auto" w:fill="auto"/>
            <w:noWrap/>
            <w:vAlign w:val="bottom"/>
          </w:tcPr>
          <w:p w14:paraId="74F954A0" w14:textId="6C1513D8" w:rsidR="00D84931" w:rsidRPr="001D41EA" w:rsidRDefault="00D84931" w:rsidP="00D84931">
            <w:pPr>
              <w:spacing w:before="40" w:after="40"/>
              <w:jc w:val="right"/>
              <w:rPr>
                <w:rFonts w:cs="Arial"/>
                <w:sz w:val="18"/>
                <w:szCs w:val="18"/>
              </w:rPr>
            </w:pPr>
            <w:r w:rsidRPr="001D41EA">
              <w:rPr>
                <w:rFonts w:cs="Arial"/>
                <w:sz w:val="18"/>
                <w:szCs w:val="18"/>
              </w:rPr>
              <w:t>765,367,750</w:t>
            </w:r>
          </w:p>
        </w:tc>
        <w:tc>
          <w:tcPr>
            <w:tcW w:w="1701" w:type="dxa"/>
            <w:tcBorders>
              <w:top w:val="nil"/>
              <w:left w:val="nil"/>
              <w:bottom w:val="nil"/>
              <w:right w:val="nil"/>
            </w:tcBorders>
            <w:vAlign w:val="bottom"/>
          </w:tcPr>
          <w:p w14:paraId="1C3065E7" w14:textId="7FA73F4C" w:rsidR="00D84931" w:rsidRPr="001D41EA" w:rsidRDefault="00D84931" w:rsidP="00D84931">
            <w:pPr>
              <w:spacing w:before="40" w:after="40"/>
              <w:jc w:val="right"/>
              <w:rPr>
                <w:rFonts w:cs="Arial"/>
                <w:sz w:val="18"/>
                <w:szCs w:val="18"/>
              </w:rPr>
            </w:pPr>
            <w:r w:rsidRPr="001D41EA">
              <w:rPr>
                <w:rFonts w:cs="Arial"/>
                <w:sz w:val="18"/>
                <w:szCs w:val="18"/>
              </w:rPr>
              <w:t>10,619,397,250</w:t>
            </w:r>
          </w:p>
        </w:tc>
      </w:tr>
      <w:tr w:rsidR="00D84931" w:rsidRPr="001D41EA" w14:paraId="2405018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C2FC858" w14:textId="77777777" w:rsidR="00D84931" w:rsidRPr="001D41EA" w:rsidRDefault="00D84931" w:rsidP="00D84931">
            <w:pPr>
              <w:spacing w:before="40" w:after="40"/>
              <w:rPr>
                <w:rFonts w:cs="Arial"/>
                <w:sz w:val="18"/>
                <w:szCs w:val="18"/>
              </w:rPr>
            </w:pPr>
            <w:r w:rsidRPr="001D41EA">
              <w:rPr>
                <w:rFonts w:cs="Arial"/>
                <w:sz w:val="18"/>
                <w:szCs w:val="18"/>
              </w:rPr>
              <w:t>Loddon S</w:t>
            </w:r>
          </w:p>
        </w:tc>
        <w:tc>
          <w:tcPr>
            <w:tcW w:w="1701" w:type="dxa"/>
            <w:tcBorders>
              <w:top w:val="nil"/>
              <w:left w:val="single" w:sz="18" w:space="0" w:color="5F497A" w:themeColor="accent4" w:themeShade="BF"/>
              <w:bottom w:val="nil"/>
              <w:right w:val="nil"/>
            </w:tcBorders>
            <w:shd w:val="clear" w:color="auto" w:fill="auto"/>
            <w:noWrap/>
            <w:vAlign w:val="bottom"/>
          </w:tcPr>
          <w:p w14:paraId="10259B08" w14:textId="4E34544C" w:rsidR="00D84931" w:rsidRPr="001D41EA" w:rsidRDefault="00D84931" w:rsidP="00D84931">
            <w:pPr>
              <w:spacing w:before="40" w:after="40"/>
              <w:jc w:val="right"/>
              <w:rPr>
                <w:rFonts w:cs="Arial"/>
                <w:sz w:val="18"/>
                <w:szCs w:val="18"/>
              </w:rPr>
            </w:pPr>
            <w:r w:rsidRPr="001D41EA">
              <w:rPr>
                <w:rFonts w:cs="Arial"/>
                <w:sz w:val="18"/>
                <w:szCs w:val="18"/>
              </w:rPr>
              <w:t>460,222,650</w:t>
            </w:r>
          </w:p>
        </w:tc>
        <w:tc>
          <w:tcPr>
            <w:tcW w:w="1701" w:type="dxa"/>
            <w:tcBorders>
              <w:top w:val="nil"/>
              <w:left w:val="nil"/>
              <w:bottom w:val="nil"/>
              <w:right w:val="nil"/>
            </w:tcBorders>
            <w:vAlign w:val="bottom"/>
          </w:tcPr>
          <w:p w14:paraId="0DB94B31" w14:textId="4892D408" w:rsidR="00D84931" w:rsidRPr="001D41EA" w:rsidRDefault="00D84931" w:rsidP="00D84931">
            <w:pPr>
              <w:spacing w:before="40" w:after="40"/>
              <w:jc w:val="right"/>
              <w:rPr>
                <w:rFonts w:cs="Arial"/>
                <w:sz w:val="18"/>
                <w:szCs w:val="18"/>
              </w:rPr>
            </w:pPr>
            <w:r w:rsidRPr="001D41EA">
              <w:rPr>
                <w:rFonts w:cs="Arial"/>
                <w:sz w:val="18"/>
                <w:szCs w:val="18"/>
              </w:rPr>
              <w:t>54,459,400</w:t>
            </w:r>
          </w:p>
        </w:tc>
        <w:tc>
          <w:tcPr>
            <w:tcW w:w="1701" w:type="dxa"/>
            <w:tcBorders>
              <w:top w:val="nil"/>
              <w:left w:val="nil"/>
              <w:bottom w:val="nil"/>
              <w:right w:val="nil"/>
            </w:tcBorders>
            <w:shd w:val="clear" w:color="auto" w:fill="auto"/>
            <w:noWrap/>
            <w:vAlign w:val="bottom"/>
          </w:tcPr>
          <w:p w14:paraId="18863CA4" w14:textId="43DD0A60" w:rsidR="00D84931" w:rsidRPr="001D41EA" w:rsidRDefault="00D84931" w:rsidP="00D84931">
            <w:pPr>
              <w:spacing w:before="40" w:after="40"/>
              <w:jc w:val="right"/>
              <w:rPr>
                <w:rFonts w:cs="Arial"/>
                <w:sz w:val="18"/>
                <w:szCs w:val="18"/>
              </w:rPr>
            </w:pPr>
            <w:r w:rsidRPr="001D41EA">
              <w:rPr>
                <w:rFonts w:cs="Arial"/>
                <w:sz w:val="18"/>
                <w:szCs w:val="18"/>
              </w:rPr>
              <w:t>1,166,687,300</w:t>
            </w:r>
          </w:p>
        </w:tc>
        <w:tc>
          <w:tcPr>
            <w:tcW w:w="1701" w:type="dxa"/>
            <w:tcBorders>
              <w:top w:val="nil"/>
              <w:left w:val="nil"/>
              <w:bottom w:val="nil"/>
              <w:right w:val="nil"/>
            </w:tcBorders>
            <w:vAlign w:val="bottom"/>
          </w:tcPr>
          <w:p w14:paraId="70D12F00" w14:textId="11E3EC0E" w:rsidR="00D84931" w:rsidRPr="001D41EA" w:rsidRDefault="00D84931" w:rsidP="00D84931">
            <w:pPr>
              <w:spacing w:before="40" w:after="40"/>
              <w:jc w:val="right"/>
              <w:rPr>
                <w:rFonts w:cs="Arial"/>
                <w:sz w:val="18"/>
                <w:szCs w:val="18"/>
              </w:rPr>
            </w:pPr>
            <w:r w:rsidRPr="001D41EA">
              <w:rPr>
                <w:rFonts w:cs="Arial"/>
                <w:sz w:val="18"/>
                <w:szCs w:val="18"/>
              </w:rPr>
              <w:t>1,681,369,350</w:t>
            </w:r>
          </w:p>
        </w:tc>
      </w:tr>
    </w:tbl>
    <w:p w14:paraId="6F182228" w14:textId="77777777" w:rsidR="007712BA" w:rsidRPr="00A44829" w:rsidRDefault="007712BA" w:rsidP="00FF36E8">
      <w:pPr>
        <w:spacing w:before="40" w:after="20"/>
        <w:rPr>
          <w:rFonts w:cs="Arial"/>
          <w:sz w:val="18"/>
          <w:szCs w:val="18"/>
        </w:rPr>
      </w:pPr>
    </w:p>
    <w:p w14:paraId="0BE34661" w14:textId="77777777" w:rsidR="002C331E" w:rsidRPr="00A44829" w:rsidRDefault="002C331E" w:rsidP="00FF36E8">
      <w:pPr>
        <w:spacing w:before="40" w:after="20"/>
        <w:rPr>
          <w:rFonts w:cs="Arial"/>
          <w:i/>
          <w:sz w:val="18"/>
          <w:szCs w:val="18"/>
        </w:rPr>
      </w:pPr>
      <w:r w:rsidRPr="00A44829">
        <w:rPr>
          <w:rFonts w:cs="Arial"/>
          <w:i/>
          <w:sz w:val="18"/>
          <w:szCs w:val="18"/>
        </w:rPr>
        <w:br w:type="page"/>
      </w:r>
    </w:p>
    <w:p w14:paraId="290FB5CE" w14:textId="591ACDC9" w:rsidR="002C331E" w:rsidRPr="00A44829" w:rsidRDefault="00CE4507" w:rsidP="00C33713">
      <w:pPr>
        <w:pStyle w:val="VGC-Head10"/>
      </w:pPr>
      <w:r w:rsidRPr="00A44829">
        <w:lastRenderedPageBreak/>
        <w:t>Appendix 4</w:t>
      </w:r>
      <w:r w:rsidR="002C331E" w:rsidRPr="00A44829">
        <w:tab/>
      </w:r>
      <w:r w:rsidR="00EE4593" w:rsidRPr="00A44829">
        <w:t>2019-20</w:t>
      </w:r>
      <w:r w:rsidR="00A97ABE" w:rsidRPr="00A44829">
        <w:t xml:space="preserve"> </w:t>
      </w:r>
      <w:r w:rsidR="002C331E" w:rsidRPr="00A44829">
        <w:t xml:space="preserve">General Purpose Grants </w:t>
      </w:r>
    </w:p>
    <w:p w14:paraId="5ABE6D03" w14:textId="77777777" w:rsidR="002C331E" w:rsidRPr="00A44829" w:rsidRDefault="00D67755" w:rsidP="008C1A28">
      <w:pPr>
        <w:pStyle w:val="VGC-Head2"/>
      </w:pPr>
      <w:r w:rsidRPr="00A44829">
        <w:t>J</w:t>
      </w:r>
      <w:r w:rsidR="002C331E" w:rsidRPr="00A44829">
        <w:t xml:space="preserve">.  Standardised </w:t>
      </w:r>
      <w:r w:rsidRPr="00A44829">
        <w:t xml:space="preserve">Rate </w:t>
      </w:r>
      <w:r w:rsidR="002C331E" w:rsidRPr="00A44829">
        <w:t>Revenue</w:t>
      </w:r>
    </w:p>
    <w:p w14:paraId="5668E960" w14:textId="77777777" w:rsidR="00713C86" w:rsidRPr="00A44829"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A44829" w14:paraId="3CBC1294" w14:textId="77777777" w:rsidTr="00B44BBE">
        <w:trPr>
          <w:tblHeader/>
        </w:trPr>
        <w:tc>
          <w:tcPr>
            <w:tcW w:w="2268" w:type="dxa"/>
            <w:tcBorders>
              <w:left w:val="nil"/>
              <w:right w:val="single" w:sz="18" w:space="0" w:color="5F497A" w:themeColor="accent4" w:themeShade="BF"/>
            </w:tcBorders>
            <w:shd w:val="clear" w:color="auto" w:fill="auto"/>
            <w:vAlign w:val="bottom"/>
          </w:tcPr>
          <w:p w14:paraId="11CDE730" w14:textId="77777777" w:rsidR="00540FD9" w:rsidRPr="00A44829" w:rsidRDefault="00540FD9" w:rsidP="0038375E">
            <w:pPr>
              <w:spacing w:before="40" w:after="20"/>
              <w:jc w:val="center"/>
              <w:rPr>
                <w:rFonts w:cs="Arial"/>
                <w:sz w:val="18"/>
                <w:szCs w:val="18"/>
              </w:rPr>
            </w:pPr>
          </w:p>
        </w:tc>
        <w:tc>
          <w:tcPr>
            <w:tcW w:w="6804" w:type="dxa"/>
            <w:gridSpan w:val="4"/>
            <w:tcBorders>
              <w:left w:val="single" w:sz="18" w:space="0" w:color="5F497A" w:themeColor="accent4" w:themeShade="BF"/>
              <w:bottom w:val="single" w:sz="8" w:space="0" w:color="5F497A" w:themeColor="accent4" w:themeShade="BF"/>
              <w:right w:val="nil"/>
            </w:tcBorders>
            <w:shd w:val="clear" w:color="auto" w:fill="auto"/>
            <w:vAlign w:val="bottom"/>
          </w:tcPr>
          <w:p w14:paraId="232AD1B7" w14:textId="77777777" w:rsidR="00540FD9" w:rsidRPr="00A44829" w:rsidRDefault="008D3EF8" w:rsidP="0038375E">
            <w:pPr>
              <w:spacing w:before="40" w:after="20"/>
              <w:jc w:val="center"/>
              <w:rPr>
                <w:rFonts w:cs="Arial"/>
                <w:b/>
                <w:sz w:val="18"/>
                <w:szCs w:val="18"/>
              </w:rPr>
            </w:pPr>
            <w:r w:rsidRPr="00A44829">
              <w:rPr>
                <w:rFonts w:cs="Arial"/>
                <w:b/>
                <w:sz w:val="18"/>
                <w:szCs w:val="18"/>
              </w:rPr>
              <w:t>4</w:t>
            </w:r>
            <w:r w:rsidR="00540FD9" w:rsidRPr="00A44829">
              <w:rPr>
                <w:rFonts w:cs="Arial"/>
                <w:b/>
                <w:sz w:val="18"/>
                <w:szCs w:val="18"/>
              </w:rPr>
              <w:t xml:space="preserve"> Year Average Standardised Rate Revenue</w:t>
            </w:r>
          </w:p>
        </w:tc>
      </w:tr>
      <w:tr w:rsidR="00540FD9" w:rsidRPr="00A44829" w14:paraId="6B14A7C1" w14:textId="77777777" w:rsidTr="00B44BBE">
        <w:trPr>
          <w:tblHeader/>
        </w:trPr>
        <w:tc>
          <w:tcPr>
            <w:tcW w:w="2268" w:type="dxa"/>
            <w:tcBorders>
              <w:left w:val="nil"/>
              <w:right w:val="single" w:sz="18" w:space="0" w:color="5F497A" w:themeColor="accent4" w:themeShade="BF"/>
            </w:tcBorders>
            <w:shd w:val="clear" w:color="auto" w:fill="auto"/>
            <w:vAlign w:val="bottom"/>
          </w:tcPr>
          <w:p w14:paraId="16217AFB" w14:textId="77777777" w:rsidR="00540FD9" w:rsidRPr="00A44829" w:rsidRDefault="00540FD9" w:rsidP="0038375E">
            <w:pPr>
              <w:spacing w:before="40" w:after="20"/>
              <w:jc w:val="center"/>
              <w:rPr>
                <w:rFonts w:cs="Arial"/>
                <w:sz w:val="18"/>
                <w:szCs w:val="18"/>
              </w:rPr>
            </w:pPr>
          </w:p>
        </w:tc>
        <w:tc>
          <w:tcPr>
            <w:tcW w:w="170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1D77A00A" w14:textId="77777777" w:rsidR="00540FD9" w:rsidRPr="00A44829" w:rsidRDefault="00540FD9" w:rsidP="0038375E">
            <w:pPr>
              <w:spacing w:before="40" w:after="20"/>
              <w:jc w:val="center"/>
              <w:rPr>
                <w:rFonts w:cs="Arial"/>
                <w:sz w:val="16"/>
                <w:szCs w:val="16"/>
              </w:rPr>
            </w:pPr>
            <w:r w:rsidRPr="00A44829">
              <w:rPr>
                <w:rFonts w:cs="Arial"/>
                <w:sz w:val="16"/>
                <w:szCs w:val="16"/>
              </w:rPr>
              <w:t>Residential</w:t>
            </w:r>
            <w:r w:rsidRPr="00A44829">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11436399" w14:textId="4DA1F7C7" w:rsidR="00540FD9" w:rsidRPr="00A44829" w:rsidRDefault="00540FD9" w:rsidP="0038375E">
            <w:pPr>
              <w:spacing w:before="40" w:after="20"/>
              <w:jc w:val="center"/>
              <w:rPr>
                <w:rFonts w:cs="Arial"/>
                <w:sz w:val="16"/>
                <w:szCs w:val="16"/>
              </w:rPr>
            </w:pPr>
            <w:r w:rsidRPr="00A44829">
              <w:rPr>
                <w:rFonts w:cs="Arial"/>
                <w:sz w:val="16"/>
                <w:szCs w:val="16"/>
              </w:rPr>
              <w:t>Commercial / Industrial (incl. Other)</w:t>
            </w:r>
            <w:r w:rsidRPr="00A44829">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61508E64" w14:textId="77777777" w:rsidR="00540FD9" w:rsidRPr="00A44829" w:rsidRDefault="00540FD9" w:rsidP="0038375E">
            <w:pPr>
              <w:spacing w:before="40" w:after="20"/>
              <w:jc w:val="center"/>
              <w:rPr>
                <w:rFonts w:cs="Arial"/>
                <w:sz w:val="16"/>
                <w:szCs w:val="16"/>
              </w:rPr>
            </w:pPr>
            <w:r w:rsidRPr="00A44829">
              <w:rPr>
                <w:rFonts w:cs="Arial"/>
                <w:sz w:val="16"/>
                <w:szCs w:val="16"/>
              </w:rPr>
              <w:t>Farm</w:t>
            </w:r>
            <w:r w:rsidRPr="00A44829">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6A7379CD" w14:textId="77777777" w:rsidR="00540FD9" w:rsidRPr="00A44829" w:rsidRDefault="00540FD9" w:rsidP="0038375E">
            <w:pPr>
              <w:spacing w:before="40" w:after="20"/>
              <w:jc w:val="center"/>
              <w:rPr>
                <w:rFonts w:cs="Arial"/>
                <w:sz w:val="16"/>
                <w:szCs w:val="16"/>
              </w:rPr>
            </w:pPr>
            <w:r w:rsidRPr="00A44829">
              <w:rPr>
                <w:rFonts w:cs="Arial"/>
                <w:sz w:val="16"/>
                <w:szCs w:val="16"/>
              </w:rPr>
              <w:t xml:space="preserve">Total </w:t>
            </w:r>
            <w:r w:rsidRPr="00A44829">
              <w:rPr>
                <w:rFonts w:cs="Arial"/>
                <w:sz w:val="16"/>
                <w:szCs w:val="16"/>
              </w:rPr>
              <w:br/>
              <w:t>($)</w:t>
            </w:r>
          </w:p>
        </w:tc>
      </w:tr>
      <w:tr w:rsidR="00D84931" w:rsidRPr="001D41EA" w14:paraId="100F194F" w14:textId="77777777" w:rsidTr="00B44BBE">
        <w:trPr>
          <w:tblHeader/>
        </w:trPr>
        <w:tc>
          <w:tcPr>
            <w:tcW w:w="2268" w:type="dxa"/>
            <w:tcBorders>
              <w:left w:val="nil"/>
              <w:bottom w:val="nil"/>
              <w:right w:val="single" w:sz="18" w:space="0" w:color="5F497A" w:themeColor="accent4" w:themeShade="BF"/>
            </w:tcBorders>
            <w:shd w:val="clear" w:color="auto" w:fill="auto"/>
            <w:noWrap/>
            <w:vAlign w:val="center"/>
          </w:tcPr>
          <w:p w14:paraId="127481BD" w14:textId="77777777" w:rsidR="00D84931" w:rsidRPr="001D41EA" w:rsidRDefault="00D84931" w:rsidP="00D84931">
            <w:pPr>
              <w:spacing w:before="40" w:after="40"/>
              <w:rPr>
                <w:rFonts w:cs="Arial"/>
                <w:sz w:val="18"/>
                <w:szCs w:val="18"/>
              </w:rPr>
            </w:pPr>
          </w:p>
        </w:tc>
        <w:tc>
          <w:tcPr>
            <w:tcW w:w="170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1AA1F56C" w14:textId="767F3DE7" w:rsidR="00D84931" w:rsidRPr="001D41EA" w:rsidRDefault="00D84931" w:rsidP="00D84931">
            <w:pPr>
              <w:spacing w:before="40" w:after="40"/>
              <w:jc w:val="right"/>
              <w:rPr>
                <w:rFonts w:cs="Arial"/>
                <w:sz w:val="18"/>
                <w:szCs w:val="18"/>
              </w:rPr>
            </w:pPr>
            <w:r w:rsidRPr="001D41EA">
              <w:rPr>
                <w:rFonts w:cs="Arial"/>
                <w:sz w:val="18"/>
                <w:szCs w:val="18"/>
              </w:rPr>
              <w:t> </w:t>
            </w:r>
          </w:p>
        </w:tc>
        <w:tc>
          <w:tcPr>
            <w:tcW w:w="1701" w:type="dxa"/>
            <w:tcBorders>
              <w:top w:val="single" w:sz="8" w:space="0" w:color="5F497A" w:themeColor="accent4" w:themeShade="BF"/>
              <w:left w:val="nil"/>
              <w:bottom w:val="nil"/>
              <w:right w:val="nil"/>
            </w:tcBorders>
            <w:vAlign w:val="bottom"/>
          </w:tcPr>
          <w:p w14:paraId="5250E7D5" w14:textId="77777777" w:rsidR="00D84931" w:rsidRPr="001D41EA" w:rsidRDefault="00D84931" w:rsidP="00D84931">
            <w:pPr>
              <w:spacing w:before="40" w:after="40"/>
              <w:jc w:val="right"/>
              <w:rPr>
                <w:rFonts w:cs="Arial"/>
                <w:sz w:val="18"/>
                <w:szCs w:val="18"/>
              </w:rPr>
            </w:pPr>
          </w:p>
        </w:tc>
        <w:tc>
          <w:tcPr>
            <w:tcW w:w="1701" w:type="dxa"/>
            <w:tcBorders>
              <w:top w:val="single" w:sz="8" w:space="0" w:color="5F497A" w:themeColor="accent4" w:themeShade="BF"/>
              <w:left w:val="nil"/>
              <w:bottom w:val="nil"/>
              <w:right w:val="nil"/>
            </w:tcBorders>
            <w:shd w:val="clear" w:color="auto" w:fill="auto"/>
            <w:noWrap/>
            <w:vAlign w:val="bottom"/>
          </w:tcPr>
          <w:p w14:paraId="04DAA7AE" w14:textId="77777777" w:rsidR="00D84931" w:rsidRPr="001D41EA" w:rsidRDefault="00D84931" w:rsidP="00D84931">
            <w:pPr>
              <w:spacing w:before="40" w:after="40"/>
              <w:jc w:val="right"/>
              <w:rPr>
                <w:rFonts w:cs="Arial"/>
                <w:sz w:val="18"/>
                <w:szCs w:val="18"/>
              </w:rPr>
            </w:pPr>
          </w:p>
        </w:tc>
        <w:tc>
          <w:tcPr>
            <w:tcW w:w="1701" w:type="dxa"/>
            <w:tcBorders>
              <w:top w:val="single" w:sz="8" w:space="0" w:color="5F497A" w:themeColor="accent4" w:themeShade="BF"/>
              <w:left w:val="nil"/>
              <w:bottom w:val="nil"/>
              <w:right w:val="nil"/>
            </w:tcBorders>
            <w:vAlign w:val="bottom"/>
          </w:tcPr>
          <w:p w14:paraId="535F74C2" w14:textId="05E20EB4" w:rsidR="00D84931" w:rsidRPr="001D41EA" w:rsidRDefault="00D84931" w:rsidP="00D84931">
            <w:pPr>
              <w:spacing w:before="40" w:after="40"/>
              <w:jc w:val="right"/>
              <w:rPr>
                <w:rFonts w:cs="Arial"/>
                <w:sz w:val="18"/>
                <w:szCs w:val="18"/>
              </w:rPr>
            </w:pPr>
            <w:r w:rsidRPr="001D41EA">
              <w:rPr>
                <w:rFonts w:cs="Arial"/>
                <w:sz w:val="18"/>
                <w:szCs w:val="18"/>
              </w:rPr>
              <w:t> </w:t>
            </w:r>
          </w:p>
        </w:tc>
      </w:tr>
      <w:tr w:rsidR="00D84931" w:rsidRPr="001D41EA" w14:paraId="35CEFAF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E4AB594" w14:textId="77777777" w:rsidR="00D84931" w:rsidRPr="001D41EA" w:rsidRDefault="00D84931" w:rsidP="00D84931">
            <w:pPr>
              <w:spacing w:before="40" w:after="40"/>
              <w:rPr>
                <w:rFonts w:cs="Arial"/>
                <w:sz w:val="18"/>
                <w:szCs w:val="18"/>
              </w:rPr>
            </w:pPr>
            <w:r w:rsidRPr="001D41EA">
              <w:rPr>
                <w:rFonts w:cs="Arial"/>
                <w:sz w:val="18"/>
                <w:szCs w:val="18"/>
              </w:rPr>
              <w:t>Alpine S</w:t>
            </w:r>
          </w:p>
        </w:tc>
        <w:tc>
          <w:tcPr>
            <w:tcW w:w="1701" w:type="dxa"/>
            <w:tcBorders>
              <w:top w:val="nil"/>
              <w:left w:val="single" w:sz="18" w:space="0" w:color="5F497A" w:themeColor="accent4" w:themeShade="BF"/>
              <w:bottom w:val="nil"/>
              <w:right w:val="nil"/>
            </w:tcBorders>
            <w:shd w:val="clear" w:color="auto" w:fill="auto"/>
            <w:noWrap/>
            <w:vAlign w:val="bottom"/>
          </w:tcPr>
          <w:p w14:paraId="0324CC5B" w14:textId="4C5AD2AD" w:rsidR="00D84931" w:rsidRPr="001D41EA" w:rsidRDefault="00D84931" w:rsidP="00D84931">
            <w:pPr>
              <w:spacing w:before="40" w:after="40"/>
              <w:jc w:val="right"/>
              <w:rPr>
                <w:rFonts w:cs="Arial"/>
                <w:sz w:val="18"/>
                <w:szCs w:val="18"/>
              </w:rPr>
            </w:pPr>
            <w:r w:rsidRPr="001D41EA">
              <w:rPr>
                <w:rFonts w:cs="Arial"/>
                <w:sz w:val="18"/>
                <w:szCs w:val="18"/>
              </w:rPr>
              <w:t>5,060,231</w:t>
            </w:r>
          </w:p>
        </w:tc>
        <w:tc>
          <w:tcPr>
            <w:tcW w:w="1701" w:type="dxa"/>
            <w:tcBorders>
              <w:top w:val="nil"/>
              <w:left w:val="nil"/>
              <w:bottom w:val="nil"/>
              <w:right w:val="nil"/>
            </w:tcBorders>
            <w:vAlign w:val="bottom"/>
          </w:tcPr>
          <w:p w14:paraId="35C06D84" w14:textId="53511508" w:rsidR="00D84931" w:rsidRPr="001D41EA" w:rsidRDefault="00D84931" w:rsidP="00D84931">
            <w:pPr>
              <w:spacing w:before="40" w:after="40"/>
              <w:jc w:val="right"/>
              <w:rPr>
                <w:rFonts w:cs="Arial"/>
                <w:sz w:val="18"/>
                <w:szCs w:val="18"/>
              </w:rPr>
            </w:pPr>
            <w:r w:rsidRPr="001D41EA">
              <w:rPr>
                <w:rFonts w:cs="Arial"/>
                <w:sz w:val="18"/>
                <w:szCs w:val="18"/>
              </w:rPr>
              <w:t>1,171,822</w:t>
            </w:r>
          </w:p>
        </w:tc>
        <w:tc>
          <w:tcPr>
            <w:tcW w:w="1701" w:type="dxa"/>
            <w:tcBorders>
              <w:top w:val="nil"/>
              <w:left w:val="nil"/>
              <w:bottom w:val="nil"/>
              <w:right w:val="nil"/>
            </w:tcBorders>
            <w:shd w:val="clear" w:color="auto" w:fill="auto"/>
            <w:noWrap/>
            <w:vAlign w:val="bottom"/>
          </w:tcPr>
          <w:p w14:paraId="32362C1C" w14:textId="68A0BA1B" w:rsidR="00D84931" w:rsidRPr="001D41EA" w:rsidRDefault="00D84931" w:rsidP="00D84931">
            <w:pPr>
              <w:spacing w:before="40" w:after="40"/>
              <w:jc w:val="right"/>
              <w:rPr>
                <w:rFonts w:cs="Arial"/>
                <w:sz w:val="18"/>
                <w:szCs w:val="18"/>
              </w:rPr>
            </w:pPr>
            <w:r w:rsidRPr="001D41EA">
              <w:rPr>
                <w:rFonts w:cs="Arial"/>
                <w:sz w:val="18"/>
                <w:szCs w:val="18"/>
              </w:rPr>
              <w:t>2,566,593</w:t>
            </w:r>
          </w:p>
        </w:tc>
        <w:tc>
          <w:tcPr>
            <w:tcW w:w="1701" w:type="dxa"/>
            <w:tcBorders>
              <w:top w:val="nil"/>
              <w:left w:val="nil"/>
              <w:bottom w:val="nil"/>
              <w:right w:val="nil"/>
            </w:tcBorders>
            <w:vAlign w:val="bottom"/>
          </w:tcPr>
          <w:p w14:paraId="6346FFC4" w14:textId="791094B7" w:rsidR="00D84931" w:rsidRPr="001D41EA" w:rsidRDefault="00D84931" w:rsidP="00D84931">
            <w:pPr>
              <w:spacing w:before="40" w:after="40"/>
              <w:jc w:val="right"/>
              <w:rPr>
                <w:rFonts w:cs="Arial"/>
                <w:sz w:val="18"/>
                <w:szCs w:val="18"/>
              </w:rPr>
            </w:pPr>
            <w:r w:rsidRPr="001D41EA">
              <w:rPr>
                <w:rFonts w:cs="Arial"/>
                <w:sz w:val="18"/>
                <w:szCs w:val="18"/>
              </w:rPr>
              <w:t>8,798,646</w:t>
            </w:r>
          </w:p>
        </w:tc>
      </w:tr>
      <w:tr w:rsidR="00D84931" w:rsidRPr="001D41EA" w14:paraId="2600751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07F8E41" w14:textId="77777777" w:rsidR="00D84931" w:rsidRPr="001D41EA" w:rsidRDefault="00D84931" w:rsidP="00D84931">
            <w:pPr>
              <w:spacing w:before="40" w:after="40"/>
              <w:rPr>
                <w:rFonts w:cs="Arial"/>
                <w:sz w:val="18"/>
                <w:szCs w:val="18"/>
              </w:rPr>
            </w:pPr>
            <w:r w:rsidRPr="001D41EA">
              <w:rPr>
                <w:rFonts w:cs="Arial"/>
                <w:sz w:val="18"/>
                <w:szCs w:val="18"/>
              </w:rPr>
              <w:t>Ararat RC</w:t>
            </w:r>
          </w:p>
        </w:tc>
        <w:tc>
          <w:tcPr>
            <w:tcW w:w="1701" w:type="dxa"/>
            <w:tcBorders>
              <w:top w:val="nil"/>
              <w:left w:val="single" w:sz="18" w:space="0" w:color="5F497A" w:themeColor="accent4" w:themeShade="BF"/>
              <w:bottom w:val="nil"/>
              <w:right w:val="nil"/>
            </w:tcBorders>
            <w:shd w:val="clear" w:color="auto" w:fill="auto"/>
            <w:noWrap/>
            <w:vAlign w:val="bottom"/>
          </w:tcPr>
          <w:p w14:paraId="1881455B" w14:textId="0C263ACD" w:rsidR="00D84931" w:rsidRPr="001D41EA" w:rsidRDefault="00D84931" w:rsidP="00D84931">
            <w:pPr>
              <w:spacing w:before="40" w:after="40"/>
              <w:jc w:val="right"/>
              <w:rPr>
                <w:rFonts w:cs="Arial"/>
                <w:sz w:val="18"/>
                <w:szCs w:val="18"/>
              </w:rPr>
            </w:pPr>
            <w:r w:rsidRPr="001D41EA">
              <w:rPr>
                <w:rFonts w:cs="Arial"/>
                <w:sz w:val="18"/>
                <w:szCs w:val="18"/>
              </w:rPr>
              <w:t>2,739,774</w:t>
            </w:r>
          </w:p>
        </w:tc>
        <w:tc>
          <w:tcPr>
            <w:tcW w:w="1701" w:type="dxa"/>
            <w:tcBorders>
              <w:top w:val="nil"/>
              <w:left w:val="nil"/>
              <w:bottom w:val="nil"/>
              <w:right w:val="nil"/>
            </w:tcBorders>
            <w:vAlign w:val="bottom"/>
          </w:tcPr>
          <w:p w14:paraId="324E838F" w14:textId="31AA89F0" w:rsidR="00D84931" w:rsidRPr="001D41EA" w:rsidRDefault="00D84931" w:rsidP="00D84931">
            <w:pPr>
              <w:spacing w:before="40" w:after="40"/>
              <w:jc w:val="right"/>
              <w:rPr>
                <w:rFonts w:cs="Arial"/>
                <w:sz w:val="18"/>
                <w:szCs w:val="18"/>
              </w:rPr>
            </w:pPr>
            <w:r w:rsidRPr="001D41EA">
              <w:rPr>
                <w:rFonts w:cs="Arial"/>
                <w:sz w:val="18"/>
                <w:szCs w:val="18"/>
              </w:rPr>
              <w:t>461,468</w:t>
            </w:r>
          </w:p>
        </w:tc>
        <w:tc>
          <w:tcPr>
            <w:tcW w:w="1701" w:type="dxa"/>
            <w:tcBorders>
              <w:top w:val="nil"/>
              <w:left w:val="nil"/>
              <w:bottom w:val="nil"/>
              <w:right w:val="nil"/>
            </w:tcBorders>
            <w:shd w:val="clear" w:color="auto" w:fill="auto"/>
            <w:noWrap/>
            <w:vAlign w:val="bottom"/>
          </w:tcPr>
          <w:p w14:paraId="0919D414" w14:textId="767A9041" w:rsidR="00D84931" w:rsidRPr="001D41EA" w:rsidRDefault="00D84931" w:rsidP="00D84931">
            <w:pPr>
              <w:spacing w:before="40" w:after="40"/>
              <w:jc w:val="right"/>
              <w:rPr>
                <w:rFonts w:cs="Arial"/>
                <w:sz w:val="18"/>
                <w:szCs w:val="18"/>
              </w:rPr>
            </w:pPr>
            <w:r w:rsidRPr="001D41EA">
              <w:rPr>
                <w:rFonts w:cs="Arial"/>
                <w:sz w:val="18"/>
                <w:szCs w:val="18"/>
              </w:rPr>
              <w:t>4,656,478</w:t>
            </w:r>
          </w:p>
        </w:tc>
        <w:tc>
          <w:tcPr>
            <w:tcW w:w="1701" w:type="dxa"/>
            <w:tcBorders>
              <w:top w:val="nil"/>
              <w:left w:val="nil"/>
              <w:bottom w:val="nil"/>
              <w:right w:val="nil"/>
            </w:tcBorders>
            <w:vAlign w:val="bottom"/>
          </w:tcPr>
          <w:p w14:paraId="3EE9AF8C" w14:textId="56FD062C" w:rsidR="00D84931" w:rsidRPr="001D41EA" w:rsidRDefault="00D84931" w:rsidP="00D84931">
            <w:pPr>
              <w:spacing w:before="40" w:after="40"/>
              <w:jc w:val="right"/>
              <w:rPr>
                <w:rFonts w:cs="Arial"/>
                <w:sz w:val="18"/>
                <w:szCs w:val="18"/>
              </w:rPr>
            </w:pPr>
            <w:r w:rsidRPr="001D41EA">
              <w:rPr>
                <w:rFonts w:cs="Arial"/>
                <w:sz w:val="18"/>
                <w:szCs w:val="18"/>
              </w:rPr>
              <w:t>7,857,721</w:t>
            </w:r>
          </w:p>
        </w:tc>
      </w:tr>
      <w:tr w:rsidR="00D84931" w:rsidRPr="001D41EA" w14:paraId="37E65E4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A99988C" w14:textId="77777777" w:rsidR="00D84931" w:rsidRPr="001D41EA" w:rsidRDefault="00D84931" w:rsidP="00D84931">
            <w:pPr>
              <w:spacing w:before="40" w:after="40"/>
              <w:rPr>
                <w:rFonts w:cs="Arial"/>
                <w:sz w:val="18"/>
                <w:szCs w:val="18"/>
              </w:rPr>
            </w:pPr>
            <w:r w:rsidRPr="001D41EA">
              <w:rPr>
                <w:rFonts w:cs="Arial"/>
                <w:sz w:val="18"/>
                <w:szCs w:val="18"/>
              </w:rPr>
              <w:t>Ballarat C</w:t>
            </w:r>
          </w:p>
        </w:tc>
        <w:tc>
          <w:tcPr>
            <w:tcW w:w="1701" w:type="dxa"/>
            <w:tcBorders>
              <w:top w:val="nil"/>
              <w:left w:val="single" w:sz="18" w:space="0" w:color="5F497A" w:themeColor="accent4" w:themeShade="BF"/>
              <w:bottom w:val="nil"/>
              <w:right w:val="nil"/>
            </w:tcBorders>
            <w:shd w:val="clear" w:color="auto" w:fill="auto"/>
            <w:noWrap/>
            <w:vAlign w:val="bottom"/>
          </w:tcPr>
          <w:p w14:paraId="717E29D8" w14:textId="43E2A9DD" w:rsidR="00D84931" w:rsidRPr="001D41EA" w:rsidRDefault="00D84931" w:rsidP="00D84931">
            <w:pPr>
              <w:spacing w:before="40" w:after="40"/>
              <w:jc w:val="right"/>
              <w:rPr>
                <w:rFonts w:cs="Arial"/>
                <w:sz w:val="18"/>
                <w:szCs w:val="18"/>
              </w:rPr>
            </w:pPr>
            <w:r w:rsidRPr="001D41EA">
              <w:rPr>
                <w:rFonts w:cs="Arial"/>
                <w:sz w:val="18"/>
                <w:szCs w:val="18"/>
              </w:rPr>
              <w:t>40,691,556</w:t>
            </w:r>
          </w:p>
        </w:tc>
        <w:tc>
          <w:tcPr>
            <w:tcW w:w="1701" w:type="dxa"/>
            <w:tcBorders>
              <w:top w:val="nil"/>
              <w:left w:val="nil"/>
              <w:bottom w:val="nil"/>
              <w:right w:val="nil"/>
            </w:tcBorders>
            <w:vAlign w:val="bottom"/>
          </w:tcPr>
          <w:p w14:paraId="10182E65" w14:textId="699B61FE" w:rsidR="00D84931" w:rsidRPr="001D41EA" w:rsidRDefault="00D84931" w:rsidP="00D84931">
            <w:pPr>
              <w:spacing w:before="40" w:after="40"/>
              <w:jc w:val="right"/>
              <w:rPr>
                <w:rFonts w:cs="Arial"/>
                <w:sz w:val="18"/>
                <w:szCs w:val="18"/>
              </w:rPr>
            </w:pPr>
            <w:r w:rsidRPr="001D41EA">
              <w:rPr>
                <w:rFonts w:cs="Arial"/>
                <w:sz w:val="18"/>
                <w:szCs w:val="18"/>
              </w:rPr>
              <w:t>9,444,407</w:t>
            </w:r>
          </w:p>
        </w:tc>
        <w:tc>
          <w:tcPr>
            <w:tcW w:w="1701" w:type="dxa"/>
            <w:tcBorders>
              <w:top w:val="nil"/>
              <w:left w:val="nil"/>
              <w:bottom w:val="nil"/>
              <w:right w:val="nil"/>
            </w:tcBorders>
            <w:shd w:val="clear" w:color="auto" w:fill="auto"/>
            <w:noWrap/>
            <w:vAlign w:val="bottom"/>
          </w:tcPr>
          <w:p w14:paraId="0AB893F7" w14:textId="090B3DE5" w:rsidR="00D84931" w:rsidRPr="001D41EA" w:rsidRDefault="00D84931" w:rsidP="00D84931">
            <w:pPr>
              <w:spacing w:before="40" w:after="40"/>
              <w:jc w:val="right"/>
              <w:rPr>
                <w:rFonts w:cs="Arial"/>
                <w:sz w:val="18"/>
                <w:szCs w:val="18"/>
              </w:rPr>
            </w:pPr>
            <w:r w:rsidRPr="001D41EA">
              <w:rPr>
                <w:rFonts w:cs="Arial"/>
                <w:sz w:val="18"/>
                <w:szCs w:val="18"/>
              </w:rPr>
              <w:t>3,849,171</w:t>
            </w:r>
          </w:p>
        </w:tc>
        <w:tc>
          <w:tcPr>
            <w:tcW w:w="1701" w:type="dxa"/>
            <w:tcBorders>
              <w:top w:val="nil"/>
              <w:left w:val="nil"/>
              <w:bottom w:val="nil"/>
              <w:right w:val="nil"/>
            </w:tcBorders>
            <w:vAlign w:val="bottom"/>
          </w:tcPr>
          <w:p w14:paraId="661111D7" w14:textId="0F522DE5" w:rsidR="00D84931" w:rsidRPr="001D41EA" w:rsidRDefault="00D84931" w:rsidP="00D84931">
            <w:pPr>
              <w:spacing w:before="40" w:after="40"/>
              <w:jc w:val="right"/>
              <w:rPr>
                <w:rFonts w:cs="Arial"/>
                <w:sz w:val="18"/>
                <w:szCs w:val="18"/>
              </w:rPr>
            </w:pPr>
            <w:r w:rsidRPr="001D41EA">
              <w:rPr>
                <w:rFonts w:cs="Arial"/>
                <w:sz w:val="18"/>
                <w:szCs w:val="18"/>
              </w:rPr>
              <w:t>53,985,134</w:t>
            </w:r>
          </w:p>
        </w:tc>
      </w:tr>
      <w:tr w:rsidR="00D84931" w:rsidRPr="001D41EA" w14:paraId="149F421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BBB2588" w14:textId="77777777" w:rsidR="00D84931" w:rsidRPr="001D41EA" w:rsidRDefault="00D84931" w:rsidP="00D84931">
            <w:pPr>
              <w:spacing w:before="40" w:after="40"/>
              <w:rPr>
                <w:rFonts w:cs="Arial"/>
                <w:sz w:val="18"/>
                <w:szCs w:val="18"/>
              </w:rPr>
            </w:pPr>
            <w:r w:rsidRPr="001D41EA">
              <w:rPr>
                <w:rFonts w:cs="Arial"/>
                <w:sz w:val="18"/>
                <w:szCs w:val="18"/>
              </w:rPr>
              <w:t>Banyule C</w:t>
            </w:r>
          </w:p>
        </w:tc>
        <w:tc>
          <w:tcPr>
            <w:tcW w:w="1701" w:type="dxa"/>
            <w:tcBorders>
              <w:top w:val="nil"/>
              <w:left w:val="single" w:sz="18" w:space="0" w:color="5F497A" w:themeColor="accent4" w:themeShade="BF"/>
              <w:bottom w:val="nil"/>
              <w:right w:val="nil"/>
            </w:tcBorders>
            <w:shd w:val="clear" w:color="auto" w:fill="auto"/>
            <w:noWrap/>
            <w:vAlign w:val="bottom"/>
          </w:tcPr>
          <w:p w14:paraId="759B892D" w14:textId="5EB76A67" w:rsidR="00D84931" w:rsidRPr="001D41EA" w:rsidRDefault="00D84931" w:rsidP="00D84931">
            <w:pPr>
              <w:spacing w:before="40" w:after="40"/>
              <w:jc w:val="right"/>
              <w:rPr>
                <w:rFonts w:cs="Arial"/>
                <w:sz w:val="18"/>
                <w:szCs w:val="18"/>
              </w:rPr>
            </w:pPr>
            <w:r w:rsidRPr="001D41EA">
              <w:rPr>
                <w:rFonts w:cs="Arial"/>
                <w:sz w:val="18"/>
                <w:szCs w:val="18"/>
              </w:rPr>
              <w:t>98,446,317</w:t>
            </w:r>
          </w:p>
        </w:tc>
        <w:tc>
          <w:tcPr>
            <w:tcW w:w="1701" w:type="dxa"/>
            <w:tcBorders>
              <w:top w:val="nil"/>
              <w:left w:val="nil"/>
              <w:bottom w:val="nil"/>
              <w:right w:val="nil"/>
            </w:tcBorders>
            <w:vAlign w:val="bottom"/>
          </w:tcPr>
          <w:p w14:paraId="6AEA7B15" w14:textId="3D79E4CF" w:rsidR="00D84931" w:rsidRPr="001D41EA" w:rsidRDefault="00D84931" w:rsidP="00D84931">
            <w:pPr>
              <w:spacing w:before="40" w:after="40"/>
              <w:jc w:val="right"/>
              <w:rPr>
                <w:rFonts w:cs="Arial"/>
                <w:sz w:val="18"/>
                <w:szCs w:val="18"/>
              </w:rPr>
            </w:pPr>
            <w:r w:rsidRPr="001D41EA">
              <w:rPr>
                <w:rFonts w:cs="Arial"/>
                <w:sz w:val="18"/>
                <w:szCs w:val="18"/>
              </w:rPr>
              <w:t>10,272,805</w:t>
            </w:r>
          </w:p>
        </w:tc>
        <w:tc>
          <w:tcPr>
            <w:tcW w:w="1701" w:type="dxa"/>
            <w:tcBorders>
              <w:top w:val="nil"/>
              <w:left w:val="nil"/>
              <w:bottom w:val="nil"/>
              <w:right w:val="nil"/>
            </w:tcBorders>
            <w:shd w:val="clear" w:color="auto" w:fill="auto"/>
            <w:noWrap/>
            <w:vAlign w:val="bottom"/>
          </w:tcPr>
          <w:p w14:paraId="4080B8A9" w14:textId="084BA88D"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2538F1C1" w14:textId="598DEA69" w:rsidR="00D84931" w:rsidRPr="001D41EA" w:rsidRDefault="00D84931" w:rsidP="00D84931">
            <w:pPr>
              <w:spacing w:before="40" w:after="40"/>
              <w:jc w:val="right"/>
              <w:rPr>
                <w:rFonts w:cs="Arial"/>
                <w:sz w:val="18"/>
                <w:szCs w:val="18"/>
              </w:rPr>
            </w:pPr>
            <w:r w:rsidRPr="001D41EA">
              <w:rPr>
                <w:rFonts w:cs="Arial"/>
                <w:sz w:val="18"/>
                <w:szCs w:val="18"/>
              </w:rPr>
              <w:t>108,719,121</w:t>
            </w:r>
          </w:p>
        </w:tc>
      </w:tr>
      <w:tr w:rsidR="00D84931" w:rsidRPr="001D41EA" w14:paraId="7E4F7F6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CB76969" w14:textId="77777777" w:rsidR="00D84931" w:rsidRPr="001D41EA" w:rsidRDefault="00D84931" w:rsidP="00D84931">
            <w:pPr>
              <w:spacing w:before="40" w:after="40"/>
              <w:rPr>
                <w:rFonts w:cs="Arial"/>
                <w:sz w:val="18"/>
                <w:szCs w:val="18"/>
              </w:rPr>
            </w:pPr>
            <w:r w:rsidRPr="001D41EA">
              <w:rPr>
                <w:rFonts w:cs="Arial"/>
                <w:sz w:val="18"/>
                <w:szCs w:val="18"/>
              </w:rPr>
              <w:t>Bass Coast S</w:t>
            </w:r>
          </w:p>
        </w:tc>
        <w:tc>
          <w:tcPr>
            <w:tcW w:w="1701" w:type="dxa"/>
            <w:tcBorders>
              <w:top w:val="nil"/>
              <w:left w:val="single" w:sz="18" w:space="0" w:color="5F497A" w:themeColor="accent4" w:themeShade="BF"/>
              <w:bottom w:val="nil"/>
              <w:right w:val="nil"/>
            </w:tcBorders>
            <w:shd w:val="clear" w:color="auto" w:fill="auto"/>
            <w:noWrap/>
            <w:vAlign w:val="bottom"/>
          </w:tcPr>
          <w:p w14:paraId="6353C10D" w14:textId="34669909" w:rsidR="00D84931" w:rsidRPr="001D41EA" w:rsidRDefault="00D84931" w:rsidP="00D84931">
            <w:pPr>
              <w:spacing w:before="40" w:after="40"/>
              <w:jc w:val="right"/>
              <w:rPr>
                <w:rFonts w:cs="Arial"/>
                <w:sz w:val="18"/>
                <w:szCs w:val="18"/>
              </w:rPr>
            </w:pPr>
            <w:r w:rsidRPr="001D41EA">
              <w:rPr>
                <w:rFonts w:cs="Arial"/>
                <w:sz w:val="18"/>
                <w:szCs w:val="18"/>
              </w:rPr>
              <w:t>26,847,873</w:t>
            </w:r>
          </w:p>
        </w:tc>
        <w:tc>
          <w:tcPr>
            <w:tcW w:w="1701" w:type="dxa"/>
            <w:tcBorders>
              <w:top w:val="nil"/>
              <w:left w:val="nil"/>
              <w:bottom w:val="nil"/>
              <w:right w:val="nil"/>
            </w:tcBorders>
            <w:vAlign w:val="bottom"/>
          </w:tcPr>
          <w:p w14:paraId="1F21FCBF" w14:textId="5F09AE68" w:rsidR="00D84931" w:rsidRPr="001D41EA" w:rsidRDefault="00D84931" w:rsidP="00D84931">
            <w:pPr>
              <w:spacing w:before="40" w:after="40"/>
              <w:jc w:val="right"/>
              <w:rPr>
                <w:rFonts w:cs="Arial"/>
                <w:sz w:val="18"/>
                <w:szCs w:val="18"/>
              </w:rPr>
            </w:pPr>
            <w:r w:rsidRPr="001D41EA">
              <w:rPr>
                <w:rFonts w:cs="Arial"/>
                <w:sz w:val="18"/>
                <w:szCs w:val="18"/>
              </w:rPr>
              <w:t>2,983,283</w:t>
            </w:r>
          </w:p>
        </w:tc>
        <w:tc>
          <w:tcPr>
            <w:tcW w:w="1701" w:type="dxa"/>
            <w:tcBorders>
              <w:top w:val="nil"/>
              <w:left w:val="nil"/>
              <w:bottom w:val="nil"/>
              <w:right w:val="nil"/>
            </w:tcBorders>
            <w:shd w:val="clear" w:color="auto" w:fill="auto"/>
            <w:noWrap/>
            <w:vAlign w:val="bottom"/>
          </w:tcPr>
          <w:p w14:paraId="75E9E9E0" w14:textId="1174B835" w:rsidR="00D84931" w:rsidRPr="001D41EA" w:rsidRDefault="00D84931" w:rsidP="00D84931">
            <w:pPr>
              <w:spacing w:before="40" w:after="40"/>
              <w:jc w:val="right"/>
              <w:rPr>
                <w:rFonts w:cs="Arial"/>
                <w:sz w:val="18"/>
                <w:szCs w:val="18"/>
              </w:rPr>
            </w:pPr>
            <w:r w:rsidRPr="001D41EA">
              <w:rPr>
                <w:rFonts w:cs="Arial"/>
                <w:sz w:val="18"/>
                <w:szCs w:val="18"/>
              </w:rPr>
              <w:t>6,464,792</w:t>
            </w:r>
          </w:p>
        </w:tc>
        <w:tc>
          <w:tcPr>
            <w:tcW w:w="1701" w:type="dxa"/>
            <w:tcBorders>
              <w:top w:val="nil"/>
              <w:left w:val="nil"/>
              <w:bottom w:val="nil"/>
              <w:right w:val="nil"/>
            </w:tcBorders>
            <w:vAlign w:val="bottom"/>
          </w:tcPr>
          <w:p w14:paraId="29BE22F3" w14:textId="45CB765C" w:rsidR="00D84931" w:rsidRPr="001D41EA" w:rsidRDefault="00D84931" w:rsidP="00D84931">
            <w:pPr>
              <w:spacing w:before="40" w:after="40"/>
              <w:jc w:val="right"/>
              <w:rPr>
                <w:rFonts w:cs="Arial"/>
                <w:sz w:val="18"/>
                <w:szCs w:val="18"/>
              </w:rPr>
            </w:pPr>
            <w:r w:rsidRPr="001D41EA">
              <w:rPr>
                <w:rFonts w:cs="Arial"/>
                <w:sz w:val="18"/>
                <w:szCs w:val="18"/>
              </w:rPr>
              <w:t>36,295,948</w:t>
            </w:r>
          </w:p>
        </w:tc>
      </w:tr>
      <w:tr w:rsidR="00D84931" w:rsidRPr="001D41EA" w14:paraId="206EF9B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AD72B98" w14:textId="77777777" w:rsidR="00D84931" w:rsidRPr="001D41EA" w:rsidRDefault="00D84931" w:rsidP="00D84931">
            <w:pPr>
              <w:spacing w:before="40" w:after="40"/>
              <w:rPr>
                <w:rFonts w:cs="Arial"/>
                <w:sz w:val="18"/>
                <w:szCs w:val="18"/>
              </w:rPr>
            </w:pPr>
            <w:r w:rsidRPr="001D41EA">
              <w:rPr>
                <w:rFonts w:cs="Arial"/>
                <w:sz w:val="18"/>
                <w:szCs w:val="18"/>
              </w:rPr>
              <w:t>Baw Baw S</w:t>
            </w:r>
          </w:p>
        </w:tc>
        <w:tc>
          <w:tcPr>
            <w:tcW w:w="1701" w:type="dxa"/>
            <w:tcBorders>
              <w:top w:val="nil"/>
              <w:left w:val="single" w:sz="18" w:space="0" w:color="5F497A" w:themeColor="accent4" w:themeShade="BF"/>
              <w:bottom w:val="nil"/>
              <w:right w:val="nil"/>
            </w:tcBorders>
            <w:shd w:val="clear" w:color="auto" w:fill="auto"/>
            <w:noWrap/>
            <w:vAlign w:val="bottom"/>
          </w:tcPr>
          <w:p w14:paraId="3BB04142" w14:textId="29888E9A" w:rsidR="00D84931" w:rsidRPr="001D41EA" w:rsidRDefault="00D84931" w:rsidP="00D84931">
            <w:pPr>
              <w:spacing w:before="40" w:after="40"/>
              <w:jc w:val="right"/>
              <w:rPr>
                <w:rFonts w:cs="Arial"/>
                <w:sz w:val="18"/>
                <w:szCs w:val="18"/>
              </w:rPr>
            </w:pPr>
            <w:r w:rsidRPr="001D41EA">
              <w:rPr>
                <w:rFonts w:cs="Arial"/>
                <w:sz w:val="18"/>
                <w:szCs w:val="18"/>
              </w:rPr>
              <w:t>19,563,548</w:t>
            </w:r>
          </w:p>
        </w:tc>
        <w:tc>
          <w:tcPr>
            <w:tcW w:w="1701" w:type="dxa"/>
            <w:tcBorders>
              <w:top w:val="nil"/>
              <w:left w:val="nil"/>
              <w:bottom w:val="nil"/>
              <w:right w:val="nil"/>
            </w:tcBorders>
            <w:vAlign w:val="bottom"/>
          </w:tcPr>
          <w:p w14:paraId="73C44F0D" w14:textId="76D361FD" w:rsidR="00D84931" w:rsidRPr="001D41EA" w:rsidRDefault="00D84931" w:rsidP="00D84931">
            <w:pPr>
              <w:spacing w:before="40" w:after="40"/>
              <w:jc w:val="right"/>
              <w:rPr>
                <w:rFonts w:cs="Arial"/>
                <w:sz w:val="18"/>
                <w:szCs w:val="18"/>
              </w:rPr>
            </w:pPr>
            <w:r w:rsidRPr="001D41EA">
              <w:rPr>
                <w:rFonts w:cs="Arial"/>
                <w:sz w:val="18"/>
                <w:szCs w:val="18"/>
              </w:rPr>
              <w:t>2,643,568</w:t>
            </w:r>
          </w:p>
        </w:tc>
        <w:tc>
          <w:tcPr>
            <w:tcW w:w="1701" w:type="dxa"/>
            <w:tcBorders>
              <w:top w:val="nil"/>
              <w:left w:val="nil"/>
              <w:bottom w:val="nil"/>
              <w:right w:val="nil"/>
            </w:tcBorders>
            <w:shd w:val="clear" w:color="auto" w:fill="auto"/>
            <w:noWrap/>
            <w:vAlign w:val="bottom"/>
          </w:tcPr>
          <w:p w14:paraId="4D1989E7" w14:textId="26632205" w:rsidR="00D84931" w:rsidRPr="001D41EA" w:rsidRDefault="00D84931" w:rsidP="00D84931">
            <w:pPr>
              <w:spacing w:before="40" w:after="40"/>
              <w:jc w:val="right"/>
              <w:rPr>
                <w:rFonts w:cs="Arial"/>
                <w:sz w:val="18"/>
                <w:szCs w:val="18"/>
              </w:rPr>
            </w:pPr>
            <w:r w:rsidRPr="001D41EA">
              <w:rPr>
                <w:rFonts w:cs="Arial"/>
                <w:sz w:val="18"/>
                <w:szCs w:val="18"/>
              </w:rPr>
              <w:t>8,843,478</w:t>
            </w:r>
          </w:p>
        </w:tc>
        <w:tc>
          <w:tcPr>
            <w:tcW w:w="1701" w:type="dxa"/>
            <w:tcBorders>
              <w:top w:val="nil"/>
              <w:left w:val="nil"/>
              <w:bottom w:val="nil"/>
              <w:right w:val="nil"/>
            </w:tcBorders>
            <w:vAlign w:val="bottom"/>
          </w:tcPr>
          <w:p w14:paraId="67CC3736" w14:textId="441CDE13" w:rsidR="00D84931" w:rsidRPr="001D41EA" w:rsidRDefault="00D84931" w:rsidP="00D84931">
            <w:pPr>
              <w:spacing w:before="40" w:after="40"/>
              <w:jc w:val="right"/>
              <w:rPr>
                <w:rFonts w:cs="Arial"/>
                <w:sz w:val="18"/>
                <w:szCs w:val="18"/>
              </w:rPr>
            </w:pPr>
            <w:r w:rsidRPr="001D41EA">
              <w:rPr>
                <w:rFonts w:cs="Arial"/>
                <w:sz w:val="18"/>
                <w:szCs w:val="18"/>
              </w:rPr>
              <w:t>31,050,594</w:t>
            </w:r>
          </w:p>
        </w:tc>
      </w:tr>
      <w:tr w:rsidR="00D84931" w:rsidRPr="001D41EA" w14:paraId="24E90B0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C6EDF49" w14:textId="77777777" w:rsidR="00D84931" w:rsidRPr="001D41EA" w:rsidRDefault="00D84931" w:rsidP="00D84931">
            <w:pPr>
              <w:spacing w:before="40" w:after="40"/>
              <w:rPr>
                <w:rFonts w:cs="Arial"/>
                <w:sz w:val="18"/>
                <w:szCs w:val="18"/>
              </w:rPr>
            </w:pPr>
            <w:r w:rsidRPr="001D41EA">
              <w:rPr>
                <w:rFonts w:cs="Arial"/>
                <w:sz w:val="18"/>
                <w:szCs w:val="18"/>
              </w:rPr>
              <w:t>Bayside C</w:t>
            </w:r>
          </w:p>
        </w:tc>
        <w:tc>
          <w:tcPr>
            <w:tcW w:w="1701" w:type="dxa"/>
            <w:tcBorders>
              <w:top w:val="nil"/>
              <w:left w:val="single" w:sz="18" w:space="0" w:color="5F497A" w:themeColor="accent4" w:themeShade="BF"/>
              <w:bottom w:val="nil"/>
              <w:right w:val="nil"/>
            </w:tcBorders>
            <w:shd w:val="clear" w:color="auto" w:fill="auto"/>
            <w:noWrap/>
            <w:vAlign w:val="bottom"/>
          </w:tcPr>
          <w:p w14:paraId="2478CC63" w14:textId="22806AF3" w:rsidR="00D84931" w:rsidRPr="001D41EA" w:rsidRDefault="00D84931" w:rsidP="00D84931">
            <w:pPr>
              <w:spacing w:before="40" w:after="40"/>
              <w:jc w:val="right"/>
              <w:rPr>
                <w:rFonts w:cs="Arial"/>
                <w:sz w:val="18"/>
                <w:szCs w:val="18"/>
              </w:rPr>
            </w:pPr>
            <w:r w:rsidRPr="001D41EA">
              <w:rPr>
                <w:rFonts w:cs="Arial"/>
                <w:sz w:val="18"/>
                <w:szCs w:val="18"/>
              </w:rPr>
              <w:t>147,271,508</w:t>
            </w:r>
          </w:p>
        </w:tc>
        <w:tc>
          <w:tcPr>
            <w:tcW w:w="1701" w:type="dxa"/>
            <w:tcBorders>
              <w:top w:val="nil"/>
              <w:left w:val="nil"/>
              <w:bottom w:val="nil"/>
              <w:right w:val="nil"/>
            </w:tcBorders>
            <w:vAlign w:val="bottom"/>
          </w:tcPr>
          <w:p w14:paraId="4945B5C6" w14:textId="3393C345" w:rsidR="00D84931" w:rsidRPr="001D41EA" w:rsidRDefault="00D84931" w:rsidP="00D84931">
            <w:pPr>
              <w:spacing w:before="40" w:after="40"/>
              <w:jc w:val="right"/>
              <w:rPr>
                <w:rFonts w:cs="Arial"/>
                <w:sz w:val="18"/>
                <w:szCs w:val="18"/>
              </w:rPr>
            </w:pPr>
            <w:r w:rsidRPr="001D41EA">
              <w:rPr>
                <w:rFonts w:cs="Arial"/>
                <w:sz w:val="18"/>
                <w:szCs w:val="18"/>
              </w:rPr>
              <w:t>14,030,652</w:t>
            </w:r>
          </w:p>
        </w:tc>
        <w:tc>
          <w:tcPr>
            <w:tcW w:w="1701" w:type="dxa"/>
            <w:tcBorders>
              <w:top w:val="nil"/>
              <w:left w:val="nil"/>
              <w:bottom w:val="nil"/>
              <w:right w:val="nil"/>
            </w:tcBorders>
            <w:shd w:val="clear" w:color="auto" w:fill="auto"/>
            <w:noWrap/>
            <w:vAlign w:val="bottom"/>
          </w:tcPr>
          <w:p w14:paraId="125B5588" w14:textId="46B7037C"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54ED0BC3" w14:textId="760D8895" w:rsidR="00D84931" w:rsidRPr="001D41EA" w:rsidRDefault="00D84931" w:rsidP="00D84931">
            <w:pPr>
              <w:spacing w:before="40" w:after="40"/>
              <w:jc w:val="right"/>
              <w:rPr>
                <w:rFonts w:cs="Arial"/>
                <w:sz w:val="18"/>
                <w:szCs w:val="18"/>
              </w:rPr>
            </w:pPr>
            <w:r w:rsidRPr="001D41EA">
              <w:rPr>
                <w:rFonts w:cs="Arial"/>
                <w:sz w:val="18"/>
                <w:szCs w:val="18"/>
              </w:rPr>
              <w:t>161,302,160</w:t>
            </w:r>
          </w:p>
        </w:tc>
      </w:tr>
      <w:tr w:rsidR="00D84931" w:rsidRPr="001D41EA" w14:paraId="3222547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B583D65" w14:textId="77777777" w:rsidR="00D84931" w:rsidRPr="001D41EA" w:rsidRDefault="00D84931" w:rsidP="00D84931">
            <w:pPr>
              <w:spacing w:before="40" w:after="40"/>
              <w:rPr>
                <w:rFonts w:cs="Arial"/>
                <w:sz w:val="18"/>
                <w:szCs w:val="18"/>
              </w:rPr>
            </w:pPr>
            <w:r w:rsidRPr="001D41EA">
              <w:rPr>
                <w:rFonts w:cs="Arial"/>
                <w:sz w:val="18"/>
                <w:szCs w:val="18"/>
              </w:rPr>
              <w:t>Benalla RC</w:t>
            </w:r>
          </w:p>
        </w:tc>
        <w:tc>
          <w:tcPr>
            <w:tcW w:w="1701" w:type="dxa"/>
            <w:tcBorders>
              <w:top w:val="nil"/>
              <w:left w:val="single" w:sz="18" w:space="0" w:color="5F497A" w:themeColor="accent4" w:themeShade="BF"/>
              <w:bottom w:val="nil"/>
              <w:right w:val="nil"/>
            </w:tcBorders>
            <w:shd w:val="clear" w:color="auto" w:fill="auto"/>
            <w:noWrap/>
            <w:vAlign w:val="bottom"/>
          </w:tcPr>
          <w:p w14:paraId="23381439" w14:textId="003DA27C" w:rsidR="00D84931" w:rsidRPr="001D41EA" w:rsidRDefault="00D84931" w:rsidP="00D84931">
            <w:pPr>
              <w:spacing w:before="40" w:after="40"/>
              <w:jc w:val="right"/>
              <w:rPr>
                <w:rFonts w:cs="Arial"/>
                <w:sz w:val="18"/>
                <w:szCs w:val="18"/>
              </w:rPr>
            </w:pPr>
            <w:r w:rsidRPr="001D41EA">
              <w:rPr>
                <w:rFonts w:cs="Arial"/>
                <w:sz w:val="18"/>
                <w:szCs w:val="18"/>
              </w:rPr>
              <w:t>3,203,016</w:t>
            </w:r>
          </w:p>
        </w:tc>
        <w:tc>
          <w:tcPr>
            <w:tcW w:w="1701" w:type="dxa"/>
            <w:tcBorders>
              <w:top w:val="nil"/>
              <w:left w:val="nil"/>
              <w:bottom w:val="nil"/>
              <w:right w:val="nil"/>
            </w:tcBorders>
            <w:vAlign w:val="bottom"/>
          </w:tcPr>
          <w:p w14:paraId="396CA1F4" w14:textId="578F2751" w:rsidR="00D84931" w:rsidRPr="001D41EA" w:rsidRDefault="00D84931" w:rsidP="00D84931">
            <w:pPr>
              <w:spacing w:before="40" w:after="40"/>
              <w:jc w:val="right"/>
              <w:rPr>
                <w:rFonts w:cs="Arial"/>
                <w:sz w:val="18"/>
                <w:szCs w:val="18"/>
              </w:rPr>
            </w:pPr>
            <w:r w:rsidRPr="001D41EA">
              <w:rPr>
                <w:rFonts w:cs="Arial"/>
                <w:sz w:val="18"/>
                <w:szCs w:val="18"/>
              </w:rPr>
              <w:t>936,470</w:t>
            </w:r>
          </w:p>
        </w:tc>
        <w:tc>
          <w:tcPr>
            <w:tcW w:w="1701" w:type="dxa"/>
            <w:tcBorders>
              <w:top w:val="nil"/>
              <w:left w:val="nil"/>
              <w:bottom w:val="nil"/>
              <w:right w:val="nil"/>
            </w:tcBorders>
            <w:shd w:val="clear" w:color="auto" w:fill="auto"/>
            <w:noWrap/>
            <w:vAlign w:val="bottom"/>
          </w:tcPr>
          <w:p w14:paraId="178DDFEA" w14:textId="29E43814" w:rsidR="00D84931" w:rsidRPr="001D41EA" w:rsidRDefault="00D84931" w:rsidP="00D84931">
            <w:pPr>
              <w:spacing w:before="40" w:after="40"/>
              <w:jc w:val="right"/>
              <w:rPr>
                <w:rFonts w:cs="Arial"/>
                <w:sz w:val="18"/>
                <w:szCs w:val="18"/>
              </w:rPr>
            </w:pPr>
            <w:r w:rsidRPr="001D41EA">
              <w:rPr>
                <w:rFonts w:cs="Arial"/>
                <w:sz w:val="18"/>
                <w:szCs w:val="18"/>
              </w:rPr>
              <w:t>4,205,728</w:t>
            </w:r>
          </w:p>
        </w:tc>
        <w:tc>
          <w:tcPr>
            <w:tcW w:w="1701" w:type="dxa"/>
            <w:tcBorders>
              <w:top w:val="nil"/>
              <w:left w:val="nil"/>
              <w:bottom w:val="nil"/>
              <w:right w:val="nil"/>
            </w:tcBorders>
            <w:vAlign w:val="bottom"/>
          </w:tcPr>
          <w:p w14:paraId="38D3D86B" w14:textId="33481D79" w:rsidR="00D84931" w:rsidRPr="001D41EA" w:rsidRDefault="00D84931" w:rsidP="00D84931">
            <w:pPr>
              <w:spacing w:before="40" w:after="40"/>
              <w:jc w:val="right"/>
              <w:rPr>
                <w:rFonts w:cs="Arial"/>
                <w:sz w:val="18"/>
                <w:szCs w:val="18"/>
              </w:rPr>
            </w:pPr>
            <w:r w:rsidRPr="001D41EA">
              <w:rPr>
                <w:rFonts w:cs="Arial"/>
                <w:sz w:val="18"/>
                <w:szCs w:val="18"/>
              </w:rPr>
              <w:t>8,345,215</w:t>
            </w:r>
          </w:p>
        </w:tc>
      </w:tr>
      <w:tr w:rsidR="00D84931" w:rsidRPr="001D41EA" w14:paraId="3BB5774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A103485" w14:textId="77777777" w:rsidR="00D84931" w:rsidRPr="001D41EA" w:rsidRDefault="00D84931" w:rsidP="00D84931">
            <w:pPr>
              <w:spacing w:before="40" w:after="40"/>
              <w:rPr>
                <w:rFonts w:cs="Arial"/>
                <w:sz w:val="18"/>
                <w:szCs w:val="18"/>
              </w:rPr>
            </w:pPr>
            <w:r w:rsidRPr="001D41EA">
              <w:rPr>
                <w:rFonts w:cs="Arial"/>
                <w:sz w:val="18"/>
                <w:szCs w:val="18"/>
              </w:rPr>
              <w:t>Boroondara C</w:t>
            </w:r>
          </w:p>
        </w:tc>
        <w:tc>
          <w:tcPr>
            <w:tcW w:w="1701" w:type="dxa"/>
            <w:tcBorders>
              <w:top w:val="nil"/>
              <w:left w:val="single" w:sz="18" w:space="0" w:color="5F497A" w:themeColor="accent4" w:themeShade="BF"/>
              <w:bottom w:val="nil"/>
              <w:right w:val="nil"/>
            </w:tcBorders>
            <w:shd w:val="clear" w:color="auto" w:fill="auto"/>
            <w:noWrap/>
            <w:vAlign w:val="bottom"/>
          </w:tcPr>
          <w:p w14:paraId="0ABBCEDA" w14:textId="709F8C5C" w:rsidR="00D84931" w:rsidRPr="001D41EA" w:rsidRDefault="00D84931" w:rsidP="00D84931">
            <w:pPr>
              <w:spacing w:before="40" w:after="40"/>
              <w:jc w:val="right"/>
              <w:rPr>
                <w:rFonts w:cs="Arial"/>
                <w:sz w:val="18"/>
                <w:szCs w:val="18"/>
              </w:rPr>
            </w:pPr>
            <w:r w:rsidRPr="001D41EA">
              <w:rPr>
                <w:rFonts w:cs="Arial"/>
                <w:sz w:val="18"/>
                <w:szCs w:val="18"/>
              </w:rPr>
              <w:t>264,410,179</w:t>
            </w:r>
          </w:p>
        </w:tc>
        <w:tc>
          <w:tcPr>
            <w:tcW w:w="1701" w:type="dxa"/>
            <w:tcBorders>
              <w:top w:val="nil"/>
              <w:left w:val="nil"/>
              <w:bottom w:val="nil"/>
              <w:right w:val="nil"/>
            </w:tcBorders>
            <w:vAlign w:val="bottom"/>
          </w:tcPr>
          <w:p w14:paraId="61FB3053" w14:textId="33D8AAB8" w:rsidR="00D84931" w:rsidRPr="001D41EA" w:rsidRDefault="00D84931" w:rsidP="00D84931">
            <w:pPr>
              <w:spacing w:before="40" w:after="40"/>
              <w:jc w:val="right"/>
              <w:rPr>
                <w:rFonts w:cs="Arial"/>
                <w:sz w:val="18"/>
                <w:szCs w:val="18"/>
              </w:rPr>
            </w:pPr>
            <w:r w:rsidRPr="001D41EA">
              <w:rPr>
                <w:rFonts w:cs="Arial"/>
                <w:sz w:val="18"/>
                <w:szCs w:val="18"/>
              </w:rPr>
              <w:t>25,412,964</w:t>
            </w:r>
          </w:p>
        </w:tc>
        <w:tc>
          <w:tcPr>
            <w:tcW w:w="1701" w:type="dxa"/>
            <w:tcBorders>
              <w:top w:val="nil"/>
              <w:left w:val="nil"/>
              <w:bottom w:val="nil"/>
              <w:right w:val="nil"/>
            </w:tcBorders>
            <w:shd w:val="clear" w:color="auto" w:fill="auto"/>
            <w:noWrap/>
            <w:vAlign w:val="bottom"/>
          </w:tcPr>
          <w:p w14:paraId="7C79C3A7" w14:textId="1A1A3415"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6653E643" w14:textId="7A4CB7EE" w:rsidR="00D84931" w:rsidRPr="001D41EA" w:rsidRDefault="00D84931" w:rsidP="00D84931">
            <w:pPr>
              <w:spacing w:before="40" w:after="40"/>
              <w:jc w:val="right"/>
              <w:rPr>
                <w:rFonts w:cs="Arial"/>
                <w:sz w:val="18"/>
                <w:szCs w:val="18"/>
              </w:rPr>
            </w:pPr>
            <w:r w:rsidRPr="001D41EA">
              <w:rPr>
                <w:rFonts w:cs="Arial"/>
                <w:sz w:val="18"/>
                <w:szCs w:val="18"/>
              </w:rPr>
              <w:t>289,823,142</w:t>
            </w:r>
          </w:p>
        </w:tc>
      </w:tr>
      <w:tr w:rsidR="00D84931" w:rsidRPr="001D41EA" w14:paraId="18B9993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BAD9797" w14:textId="77777777" w:rsidR="00D84931" w:rsidRPr="001D41EA" w:rsidRDefault="00D84931" w:rsidP="00D84931">
            <w:pPr>
              <w:spacing w:before="40" w:after="40"/>
              <w:rPr>
                <w:rFonts w:cs="Arial"/>
                <w:sz w:val="18"/>
                <w:szCs w:val="18"/>
              </w:rPr>
            </w:pPr>
            <w:r w:rsidRPr="001D41EA">
              <w:rPr>
                <w:rFonts w:cs="Arial"/>
                <w:sz w:val="18"/>
                <w:szCs w:val="18"/>
              </w:rPr>
              <w:t>Brimbank C</w:t>
            </w:r>
          </w:p>
        </w:tc>
        <w:tc>
          <w:tcPr>
            <w:tcW w:w="1701" w:type="dxa"/>
            <w:tcBorders>
              <w:top w:val="nil"/>
              <w:left w:val="single" w:sz="18" w:space="0" w:color="5F497A" w:themeColor="accent4" w:themeShade="BF"/>
              <w:bottom w:val="nil"/>
              <w:right w:val="nil"/>
            </w:tcBorders>
            <w:shd w:val="clear" w:color="auto" w:fill="auto"/>
            <w:noWrap/>
            <w:vAlign w:val="bottom"/>
          </w:tcPr>
          <w:p w14:paraId="0D9D498F" w14:textId="6C392F67" w:rsidR="00D84931" w:rsidRPr="001D41EA" w:rsidRDefault="00D84931" w:rsidP="00D84931">
            <w:pPr>
              <w:spacing w:before="40" w:after="40"/>
              <w:jc w:val="right"/>
              <w:rPr>
                <w:rFonts w:cs="Arial"/>
                <w:sz w:val="18"/>
                <w:szCs w:val="18"/>
              </w:rPr>
            </w:pPr>
            <w:r w:rsidRPr="001D41EA">
              <w:rPr>
                <w:rFonts w:cs="Arial"/>
                <w:sz w:val="18"/>
                <w:szCs w:val="18"/>
              </w:rPr>
              <w:t>85,114,145</w:t>
            </w:r>
          </w:p>
        </w:tc>
        <w:tc>
          <w:tcPr>
            <w:tcW w:w="1701" w:type="dxa"/>
            <w:tcBorders>
              <w:top w:val="nil"/>
              <w:left w:val="nil"/>
              <w:bottom w:val="nil"/>
              <w:right w:val="nil"/>
            </w:tcBorders>
            <w:vAlign w:val="bottom"/>
          </w:tcPr>
          <w:p w14:paraId="661BB449" w14:textId="68DC6BB1" w:rsidR="00D84931" w:rsidRPr="001D41EA" w:rsidRDefault="00D84931" w:rsidP="00D84931">
            <w:pPr>
              <w:spacing w:before="40" w:after="40"/>
              <w:jc w:val="right"/>
              <w:rPr>
                <w:rFonts w:cs="Arial"/>
                <w:sz w:val="18"/>
                <w:szCs w:val="18"/>
              </w:rPr>
            </w:pPr>
            <w:r w:rsidRPr="001D41EA">
              <w:rPr>
                <w:rFonts w:cs="Arial"/>
                <w:sz w:val="18"/>
                <w:szCs w:val="18"/>
              </w:rPr>
              <w:t>28,128,254</w:t>
            </w:r>
          </w:p>
        </w:tc>
        <w:tc>
          <w:tcPr>
            <w:tcW w:w="1701" w:type="dxa"/>
            <w:tcBorders>
              <w:top w:val="nil"/>
              <w:left w:val="nil"/>
              <w:bottom w:val="nil"/>
              <w:right w:val="nil"/>
            </w:tcBorders>
            <w:shd w:val="clear" w:color="auto" w:fill="auto"/>
            <w:noWrap/>
            <w:vAlign w:val="bottom"/>
          </w:tcPr>
          <w:p w14:paraId="4FE03D58" w14:textId="6B1C4714" w:rsidR="00D84931" w:rsidRPr="001D41EA" w:rsidRDefault="00D84931" w:rsidP="00D84931">
            <w:pPr>
              <w:spacing w:before="40" w:after="40"/>
              <w:jc w:val="right"/>
              <w:rPr>
                <w:rFonts w:cs="Arial"/>
                <w:sz w:val="18"/>
                <w:szCs w:val="18"/>
              </w:rPr>
            </w:pPr>
            <w:r w:rsidRPr="001D41EA">
              <w:rPr>
                <w:rFonts w:cs="Arial"/>
                <w:sz w:val="18"/>
                <w:szCs w:val="18"/>
              </w:rPr>
              <w:t>134,176</w:t>
            </w:r>
          </w:p>
        </w:tc>
        <w:tc>
          <w:tcPr>
            <w:tcW w:w="1701" w:type="dxa"/>
            <w:tcBorders>
              <w:top w:val="nil"/>
              <w:left w:val="nil"/>
              <w:bottom w:val="nil"/>
              <w:right w:val="nil"/>
            </w:tcBorders>
            <w:vAlign w:val="bottom"/>
          </w:tcPr>
          <w:p w14:paraId="689E373A" w14:textId="36DFCC0B" w:rsidR="00D84931" w:rsidRPr="001D41EA" w:rsidRDefault="00D84931" w:rsidP="00D84931">
            <w:pPr>
              <w:spacing w:before="40" w:after="40"/>
              <w:jc w:val="right"/>
              <w:rPr>
                <w:rFonts w:cs="Arial"/>
                <w:sz w:val="18"/>
                <w:szCs w:val="18"/>
              </w:rPr>
            </w:pPr>
            <w:r w:rsidRPr="001D41EA">
              <w:rPr>
                <w:rFonts w:cs="Arial"/>
                <w:sz w:val="18"/>
                <w:szCs w:val="18"/>
              </w:rPr>
              <w:t>113,376,575</w:t>
            </w:r>
          </w:p>
        </w:tc>
      </w:tr>
      <w:tr w:rsidR="00D84931" w:rsidRPr="001D41EA" w14:paraId="1BB513D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338ABF4" w14:textId="77777777" w:rsidR="00D84931" w:rsidRPr="001D41EA" w:rsidRDefault="00D84931" w:rsidP="00D84931">
            <w:pPr>
              <w:spacing w:before="40" w:after="40"/>
              <w:rPr>
                <w:rFonts w:cs="Arial"/>
                <w:sz w:val="18"/>
                <w:szCs w:val="18"/>
              </w:rPr>
            </w:pPr>
            <w:r w:rsidRPr="001D41EA">
              <w:rPr>
                <w:rFonts w:cs="Arial"/>
                <w:sz w:val="18"/>
                <w:szCs w:val="18"/>
              </w:rPr>
              <w:t>Buloke S</w:t>
            </w:r>
          </w:p>
        </w:tc>
        <w:tc>
          <w:tcPr>
            <w:tcW w:w="1701" w:type="dxa"/>
            <w:tcBorders>
              <w:top w:val="nil"/>
              <w:left w:val="single" w:sz="18" w:space="0" w:color="5F497A" w:themeColor="accent4" w:themeShade="BF"/>
              <w:bottom w:val="nil"/>
              <w:right w:val="nil"/>
            </w:tcBorders>
            <w:shd w:val="clear" w:color="auto" w:fill="auto"/>
            <w:noWrap/>
            <w:vAlign w:val="bottom"/>
          </w:tcPr>
          <w:p w14:paraId="50296D9B" w14:textId="42A38C8D" w:rsidR="00D84931" w:rsidRPr="001D41EA" w:rsidRDefault="00D84931" w:rsidP="00D84931">
            <w:pPr>
              <w:spacing w:before="40" w:after="40"/>
              <w:jc w:val="right"/>
              <w:rPr>
                <w:rFonts w:cs="Arial"/>
                <w:sz w:val="18"/>
                <w:szCs w:val="18"/>
              </w:rPr>
            </w:pPr>
            <w:r w:rsidRPr="001D41EA">
              <w:rPr>
                <w:rFonts w:cs="Arial"/>
                <w:sz w:val="18"/>
                <w:szCs w:val="18"/>
              </w:rPr>
              <w:t>942,041</w:t>
            </w:r>
          </w:p>
        </w:tc>
        <w:tc>
          <w:tcPr>
            <w:tcW w:w="1701" w:type="dxa"/>
            <w:tcBorders>
              <w:top w:val="nil"/>
              <w:left w:val="nil"/>
              <w:bottom w:val="nil"/>
              <w:right w:val="nil"/>
            </w:tcBorders>
            <w:vAlign w:val="bottom"/>
          </w:tcPr>
          <w:p w14:paraId="605EB577" w14:textId="1753CCCD" w:rsidR="00D84931" w:rsidRPr="001D41EA" w:rsidRDefault="00D84931" w:rsidP="00D84931">
            <w:pPr>
              <w:spacing w:before="40" w:after="40"/>
              <w:jc w:val="right"/>
              <w:rPr>
                <w:rFonts w:cs="Arial"/>
                <w:sz w:val="18"/>
                <w:szCs w:val="18"/>
              </w:rPr>
            </w:pPr>
            <w:r w:rsidRPr="001D41EA">
              <w:rPr>
                <w:rFonts w:cs="Arial"/>
                <w:sz w:val="18"/>
                <w:szCs w:val="18"/>
              </w:rPr>
              <w:t>301,577</w:t>
            </w:r>
          </w:p>
        </w:tc>
        <w:tc>
          <w:tcPr>
            <w:tcW w:w="1701" w:type="dxa"/>
            <w:tcBorders>
              <w:top w:val="nil"/>
              <w:left w:val="nil"/>
              <w:bottom w:val="nil"/>
              <w:right w:val="nil"/>
            </w:tcBorders>
            <w:shd w:val="clear" w:color="auto" w:fill="auto"/>
            <w:noWrap/>
            <w:vAlign w:val="bottom"/>
          </w:tcPr>
          <w:p w14:paraId="2C646E1F" w14:textId="04E48435" w:rsidR="00D84931" w:rsidRPr="001D41EA" w:rsidRDefault="00D84931" w:rsidP="00D84931">
            <w:pPr>
              <w:spacing w:before="40" w:after="40"/>
              <w:jc w:val="right"/>
              <w:rPr>
                <w:rFonts w:cs="Arial"/>
                <w:sz w:val="18"/>
                <w:szCs w:val="18"/>
              </w:rPr>
            </w:pPr>
            <w:r w:rsidRPr="001D41EA">
              <w:rPr>
                <w:rFonts w:cs="Arial"/>
                <w:sz w:val="18"/>
                <w:szCs w:val="18"/>
              </w:rPr>
              <w:t>3,490,632</w:t>
            </w:r>
          </w:p>
        </w:tc>
        <w:tc>
          <w:tcPr>
            <w:tcW w:w="1701" w:type="dxa"/>
            <w:tcBorders>
              <w:top w:val="nil"/>
              <w:left w:val="nil"/>
              <w:bottom w:val="nil"/>
              <w:right w:val="nil"/>
            </w:tcBorders>
            <w:vAlign w:val="bottom"/>
          </w:tcPr>
          <w:p w14:paraId="23E17793" w14:textId="4DB08D6A" w:rsidR="00D84931" w:rsidRPr="001D41EA" w:rsidRDefault="00D84931" w:rsidP="00D84931">
            <w:pPr>
              <w:spacing w:before="40" w:after="40"/>
              <w:jc w:val="right"/>
              <w:rPr>
                <w:rFonts w:cs="Arial"/>
                <w:sz w:val="18"/>
                <w:szCs w:val="18"/>
              </w:rPr>
            </w:pPr>
            <w:r w:rsidRPr="001D41EA">
              <w:rPr>
                <w:rFonts w:cs="Arial"/>
                <w:sz w:val="18"/>
                <w:szCs w:val="18"/>
              </w:rPr>
              <w:t>4,734,249</w:t>
            </w:r>
          </w:p>
        </w:tc>
      </w:tr>
      <w:tr w:rsidR="00D84931" w:rsidRPr="001D41EA" w14:paraId="4297190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CC756AF" w14:textId="77777777" w:rsidR="00D84931" w:rsidRPr="001D41EA" w:rsidRDefault="00D84931" w:rsidP="00D84931">
            <w:pPr>
              <w:spacing w:before="40" w:after="40"/>
              <w:rPr>
                <w:rFonts w:cs="Arial"/>
                <w:sz w:val="18"/>
                <w:szCs w:val="18"/>
              </w:rPr>
            </w:pPr>
            <w:r w:rsidRPr="001D41EA">
              <w:rPr>
                <w:rFonts w:cs="Arial"/>
                <w:sz w:val="18"/>
                <w:szCs w:val="18"/>
              </w:rPr>
              <w:t>Campaspe S</w:t>
            </w:r>
          </w:p>
        </w:tc>
        <w:tc>
          <w:tcPr>
            <w:tcW w:w="1701" w:type="dxa"/>
            <w:tcBorders>
              <w:top w:val="nil"/>
              <w:left w:val="single" w:sz="18" w:space="0" w:color="5F497A" w:themeColor="accent4" w:themeShade="BF"/>
              <w:bottom w:val="nil"/>
              <w:right w:val="nil"/>
            </w:tcBorders>
            <w:shd w:val="clear" w:color="auto" w:fill="auto"/>
            <w:noWrap/>
            <w:vAlign w:val="bottom"/>
          </w:tcPr>
          <w:p w14:paraId="56552BCC" w14:textId="092E0323" w:rsidR="00D84931" w:rsidRPr="001D41EA" w:rsidRDefault="00D84931" w:rsidP="00D84931">
            <w:pPr>
              <w:spacing w:before="40" w:after="40"/>
              <w:jc w:val="right"/>
              <w:rPr>
                <w:rFonts w:cs="Arial"/>
                <w:sz w:val="18"/>
                <w:szCs w:val="18"/>
              </w:rPr>
            </w:pPr>
            <w:r w:rsidRPr="001D41EA">
              <w:rPr>
                <w:rFonts w:cs="Arial"/>
                <w:sz w:val="18"/>
                <w:szCs w:val="18"/>
              </w:rPr>
              <w:t>11,842,597</w:t>
            </w:r>
          </w:p>
        </w:tc>
        <w:tc>
          <w:tcPr>
            <w:tcW w:w="1701" w:type="dxa"/>
            <w:tcBorders>
              <w:top w:val="nil"/>
              <w:left w:val="nil"/>
              <w:bottom w:val="nil"/>
              <w:right w:val="nil"/>
            </w:tcBorders>
            <w:vAlign w:val="bottom"/>
          </w:tcPr>
          <w:p w14:paraId="1C7E221B" w14:textId="453B1135" w:rsidR="00D84931" w:rsidRPr="001D41EA" w:rsidRDefault="00D84931" w:rsidP="00D84931">
            <w:pPr>
              <w:spacing w:before="40" w:after="40"/>
              <w:jc w:val="right"/>
              <w:rPr>
                <w:rFonts w:cs="Arial"/>
                <w:sz w:val="18"/>
                <w:szCs w:val="18"/>
              </w:rPr>
            </w:pPr>
            <w:r w:rsidRPr="001D41EA">
              <w:rPr>
                <w:rFonts w:cs="Arial"/>
                <w:sz w:val="18"/>
                <w:szCs w:val="18"/>
              </w:rPr>
              <w:t>3,453,056</w:t>
            </w:r>
          </w:p>
        </w:tc>
        <w:tc>
          <w:tcPr>
            <w:tcW w:w="1701" w:type="dxa"/>
            <w:tcBorders>
              <w:top w:val="nil"/>
              <w:left w:val="nil"/>
              <w:bottom w:val="nil"/>
              <w:right w:val="nil"/>
            </w:tcBorders>
            <w:shd w:val="clear" w:color="auto" w:fill="auto"/>
            <w:noWrap/>
            <w:vAlign w:val="bottom"/>
          </w:tcPr>
          <w:p w14:paraId="2DEF15FD" w14:textId="061000A3" w:rsidR="00D84931" w:rsidRPr="001D41EA" w:rsidRDefault="00D84931" w:rsidP="00D84931">
            <w:pPr>
              <w:spacing w:before="40" w:after="40"/>
              <w:jc w:val="right"/>
              <w:rPr>
                <w:rFonts w:cs="Arial"/>
                <w:sz w:val="18"/>
                <w:szCs w:val="18"/>
              </w:rPr>
            </w:pPr>
            <w:r w:rsidRPr="001D41EA">
              <w:rPr>
                <w:rFonts w:cs="Arial"/>
                <w:sz w:val="18"/>
                <w:szCs w:val="18"/>
              </w:rPr>
              <w:t>6,198,901</w:t>
            </w:r>
          </w:p>
        </w:tc>
        <w:tc>
          <w:tcPr>
            <w:tcW w:w="1701" w:type="dxa"/>
            <w:tcBorders>
              <w:top w:val="nil"/>
              <w:left w:val="nil"/>
              <w:bottom w:val="nil"/>
              <w:right w:val="nil"/>
            </w:tcBorders>
            <w:vAlign w:val="bottom"/>
          </w:tcPr>
          <w:p w14:paraId="482B5CE2" w14:textId="2EF533A6" w:rsidR="00D84931" w:rsidRPr="001D41EA" w:rsidRDefault="00D84931" w:rsidP="00D84931">
            <w:pPr>
              <w:spacing w:before="40" w:after="40"/>
              <w:jc w:val="right"/>
              <w:rPr>
                <w:rFonts w:cs="Arial"/>
                <w:sz w:val="18"/>
                <w:szCs w:val="18"/>
              </w:rPr>
            </w:pPr>
            <w:r w:rsidRPr="001D41EA">
              <w:rPr>
                <w:rFonts w:cs="Arial"/>
                <w:sz w:val="18"/>
                <w:szCs w:val="18"/>
              </w:rPr>
              <w:t>21,494,554</w:t>
            </w:r>
          </w:p>
        </w:tc>
      </w:tr>
      <w:tr w:rsidR="00D84931" w:rsidRPr="001D41EA" w14:paraId="0028C43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9A6F91B" w14:textId="77777777" w:rsidR="00D84931" w:rsidRPr="001D41EA" w:rsidRDefault="00D84931" w:rsidP="00D84931">
            <w:pPr>
              <w:spacing w:before="40" w:after="40"/>
              <w:rPr>
                <w:rFonts w:cs="Arial"/>
                <w:sz w:val="18"/>
                <w:szCs w:val="18"/>
              </w:rPr>
            </w:pPr>
            <w:r w:rsidRPr="001D41EA">
              <w:rPr>
                <w:rFonts w:cs="Arial"/>
                <w:sz w:val="18"/>
                <w:szCs w:val="18"/>
              </w:rPr>
              <w:t>Cardinia S</w:t>
            </w:r>
          </w:p>
        </w:tc>
        <w:tc>
          <w:tcPr>
            <w:tcW w:w="1701" w:type="dxa"/>
            <w:tcBorders>
              <w:top w:val="nil"/>
              <w:left w:val="single" w:sz="18" w:space="0" w:color="5F497A" w:themeColor="accent4" w:themeShade="BF"/>
              <w:bottom w:val="nil"/>
              <w:right w:val="nil"/>
            </w:tcBorders>
            <w:shd w:val="clear" w:color="auto" w:fill="auto"/>
            <w:noWrap/>
            <w:vAlign w:val="bottom"/>
          </w:tcPr>
          <w:p w14:paraId="55AF4E0F" w14:textId="0FCB3742" w:rsidR="00D84931" w:rsidRPr="001D41EA" w:rsidRDefault="00D84931" w:rsidP="00D84931">
            <w:pPr>
              <w:spacing w:before="40" w:after="40"/>
              <w:jc w:val="right"/>
              <w:rPr>
                <w:rFonts w:cs="Arial"/>
                <w:sz w:val="18"/>
                <w:szCs w:val="18"/>
              </w:rPr>
            </w:pPr>
            <w:r w:rsidRPr="001D41EA">
              <w:rPr>
                <w:rFonts w:cs="Arial"/>
                <w:sz w:val="18"/>
                <w:szCs w:val="18"/>
              </w:rPr>
              <w:t>44,434,006</w:t>
            </w:r>
          </w:p>
        </w:tc>
        <w:tc>
          <w:tcPr>
            <w:tcW w:w="1701" w:type="dxa"/>
            <w:tcBorders>
              <w:top w:val="nil"/>
              <w:left w:val="nil"/>
              <w:bottom w:val="nil"/>
              <w:right w:val="nil"/>
            </w:tcBorders>
            <w:vAlign w:val="bottom"/>
          </w:tcPr>
          <w:p w14:paraId="415279B4" w14:textId="02138B30" w:rsidR="00D84931" w:rsidRPr="001D41EA" w:rsidRDefault="00D84931" w:rsidP="00D84931">
            <w:pPr>
              <w:spacing w:before="40" w:after="40"/>
              <w:jc w:val="right"/>
              <w:rPr>
                <w:rFonts w:cs="Arial"/>
                <w:sz w:val="18"/>
                <w:szCs w:val="18"/>
              </w:rPr>
            </w:pPr>
            <w:r w:rsidRPr="001D41EA">
              <w:rPr>
                <w:rFonts w:cs="Arial"/>
                <w:sz w:val="18"/>
                <w:szCs w:val="18"/>
              </w:rPr>
              <w:t>6,002,447</w:t>
            </w:r>
          </w:p>
        </w:tc>
        <w:tc>
          <w:tcPr>
            <w:tcW w:w="1701" w:type="dxa"/>
            <w:tcBorders>
              <w:top w:val="nil"/>
              <w:left w:val="nil"/>
              <w:bottom w:val="nil"/>
              <w:right w:val="nil"/>
            </w:tcBorders>
            <w:shd w:val="clear" w:color="auto" w:fill="auto"/>
            <w:noWrap/>
            <w:vAlign w:val="bottom"/>
          </w:tcPr>
          <w:p w14:paraId="1413C995" w14:textId="42CF6A5B" w:rsidR="00D84931" w:rsidRPr="001D41EA" w:rsidRDefault="00D84931" w:rsidP="00D84931">
            <w:pPr>
              <w:spacing w:before="40" w:after="40"/>
              <w:jc w:val="right"/>
              <w:rPr>
                <w:rFonts w:cs="Arial"/>
                <w:sz w:val="18"/>
                <w:szCs w:val="18"/>
              </w:rPr>
            </w:pPr>
            <w:r w:rsidRPr="001D41EA">
              <w:rPr>
                <w:rFonts w:cs="Arial"/>
                <w:sz w:val="18"/>
                <w:szCs w:val="18"/>
              </w:rPr>
              <w:t>5,491,965</w:t>
            </w:r>
          </w:p>
        </w:tc>
        <w:tc>
          <w:tcPr>
            <w:tcW w:w="1701" w:type="dxa"/>
            <w:tcBorders>
              <w:top w:val="nil"/>
              <w:left w:val="nil"/>
              <w:bottom w:val="nil"/>
              <w:right w:val="nil"/>
            </w:tcBorders>
            <w:vAlign w:val="bottom"/>
          </w:tcPr>
          <w:p w14:paraId="56290EC7" w14:textId="2A300E90" w:rsidR="00D84931" w:rsidRPr="001D41EA" w:rsidRDefault="00D84931" w:rsidP="00D84931">
            <w:pPr>
              <w:spacing w:before="40" w:after="40"/>
              <w:jc w:val="right"/>
              <w:rPr>
                <w:rFonts w:cs="Arial"/>
                <w:sz w:val="18"/>
                <w:szCs w:val="18"/>
              </w:rPr>
            </w:pPr>
            <w:r w:rsidRPr="001D41EA">
              <w:rPr>
                <w:rFonts w:cs="Arial"/>
                <w:sz w:val="18"/>
                <w:szCs w:val="18"/>
              </w:rPr>
              <w:t>55,928,418</w:t>
            </w:r>
          </w:p>
        </w:tc>
      </w:tr>
      <w:tr w:rsidR="00D84931" w:rsidRPr="001D41EA" w14:paraId="30B4C8D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6FCE067" w14:textId="77777777" w:rsidR="00D84931" w:rsidRPr="001D41EA" w:rsidRDefault="00D84931" w:rsidP="00D84931">
            <w:pPr>
              <w:spacing w:before="40" w:after="40"/>
              <w:rPr>
                <w:rFonts w:cs="Arial"/>
                <w:sz w:val="18"/>
                <w:szCs w:val="18"/>
              </w:rPr>
            </w:pPr>
            <w:r w:rsidRPr="001D41EA">
              <w:rPr>
                <w:rFonts w:cs="Arial"/>
                <w:sz w:val="18"/>
                <w:szCs w:val="18"/>
              </w:rPr>
              <w:t>Casey C</w:t>
            </w:r>
          </w:p>
        </w:tc>
        <w:tc>
          <w:tcPr>
            <w:tcW w:w="1701" w:type="dxa"/>
            <w:tcBorders>
              <w:top w:val="nil"/>
              <w:left w:val="single" w:sz="18" w:space="0" w:color="5F497A" w:themeColor="accent4" w:themeShade="BF"/>
              <w:bottom w:val="nil"/>
              <w:right w:val="nil"/>
            </w:tcBorders>
            <w:shd w:val="clear" w:color="auto" w:fill="auto"/>
            <w:noWrap/>
            <w:vAlign w:val="bottom"/>
          </w:tcPr>
          <w:p w14:paraId="1E39A883" w14:textId="10AB6B34" w:rsidR="00D84931" w:rsidRPr="001D41EA" w:rsidRDefault="00D84931" w:rsidP="00D84931">
            <w:pPr>
              <w:spacing w:before="40" w:after="40"/>
              <w:jc w:val="right"/>
              <w:rPr>
                <w:rFonts w:cs="Arial"/>
                <w:sz w:val="18"/>
                <w:szCs w:val="18"/>
              </w:rPr>
            </w:pPr>
            <w:r w:rsidRPr="001D41EA">
              <w:rPr>
                <w:rFonts w:cs="Arial"/>
                <w:sz w:val="18"/>
                <w:szCs w:val="18"/>
              </w:rPr>
              <w:t>136,190,432</w:t>
            </w:r>
          </w:p>
        </w:tc>
        <w:tc>
          <w:tcPr>
            <w:tcW w:w="1701" w:type="dxa"/>
            <w:tcBorders>
              <w:top w:val="nil"/>
              <w:left w:val="nil"/>
              <w:bottom w:val="nil"/>
              <w:right w:val="nil"/>
            </w:tcBorders>
            <w:vAlign w:val="bottom"/>
          </w:tcPr>
          <w:p w14:paraId="25026A54" w14:textId="1B3C68E8" w:rsidR="00D84931" w:rsidRPr="001D41EA" w:rsidRDefault="00D84931" w:rsidP="00D84931">
            <w:pPr>
              <w:spacing w:before="40" w:after="40"/>
              <w:jc w:val="right"/>
              <w:rPr>
                <w:rFonts w:cs="Arial"/>
                <w:sz w:val="18"/>
                <w:szCs w:val="18"/>
              </w:rPr>
            </w:pPr>
            <w:r w:rsidRPr="001D41EA">
              <w:rPr>
                <w:rFonts w:cs="Arial"/>
                <w:sz w:val="18"/>
                <w:szCs w:val="18"/>
              </w:rPr>
              <w:t>20,837,727</w:t>
            </w:r>
          </w:p>
        </w:tc>
        <w:tc>
          <w:tcPr>
            <w:tcW w:w="1701" w:type="dxa"/>
            <w:tcBorders>
              <w:top w:val="nil"/>
              <w:left w:val="nil"/>
              <w:bottom w:val="nil"/>
              <w:right w:val="nil"/>
            </w:tcBorders>
            <w:shd w:val="clear" w:color="auto" w:fill="auto"/>
            <w:noWrap/>
            <w:vAlign w:val="bottom"/>
          </w:tcPr>
          <w:p w14:paraId="68B5EFF4" w14:textId="77915CE7" w:rsidR="00D84931" w:rsidRPr="001D41EA" w:rsidRDefault="00D84931" w:rsidP="00D84931">
            <w:pPr>
              <w:spacing w:before="40" w:after="40"/>
              <w:jc w:val="right"/>
              <w:rPr>
                <w:rFonts w:cs="Arial"/>
                <w:sz w:val="18"/>
                <w:szCs w:val="18"/>
              </w:rPr>
            </w:pPr>
            <w:r w:rsidRPr="001D41EA">
              <w:rPr>
                <w:rFonts w:cs="Arial"/>
                <w:sz w:val="18"/>
                <w:szCs w:val="18"/>
              </w:rPr>
              <w:t>2,416,886</w:t>
            </w:r>
          </w:p>
        </w:tc>
        <w:tc>
          <w:tcPr>
            <w:tcW w:w="1701" w:type="dxa"/>
            <w:tcBorders>
              <w:top w:val="nil"/>
              <w:left w:val="nil"/>
              <w:bottom w:val="nil"/>
              <w:right w:val="nil"/>
            </w:tcBorders>
            <w:vAlign w:val="bottom"/>
          </w:tcPr>
          <w:p w14:paraId="26C362DF" w14:textId="1EA5F4D8" w:rsidR="00D84931" w:rsidRPr="001D41EA" w:rsidRDefault="00D84931" w:rsidP="00D84931">
            <w:pPr>
              <w:spacing w:before="40" w:after="40"/>
              <w:jc w:val="right"/>
              <w:rPr>
                <w:rFonts w:cs="Arial"/>
                <w:sz w:val="18"/>
                <w:szCs w:val="18"/>
              </w:rPr>
            </w:pPr>
            <w:r w:rsidRPr="001D41EA">
              <w:rPr>
                <w:rFonts w:cs="Arial"/>
                <w:sz w:val="18"/>
                <w:szCs w:val="18"/>
              </w:rPr>
              <w:t>159,445,045</w:t>
            </w:r>
          </w:p>
        </w:tc>
      </w:tr>
      <w:tr w:rsidR="00D84931" w:rsidRPr="001D41EA" w14:paraId="648811E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28908E4" w14:textId="77777777" w:rsidR="00D84931" w:rsidRPr="001D41EA" w:rsidRDefault="00D84931" w:rsidP="00D84931">
            <w:pPr>
              <w:spacing w:before="40" w:after="40"/>
              <w:rPr>
                <w:rFonts w:cs="Arial"/>
                <w:sz w:val="18"/>
                <w:szCs w:val="18"/>
              </w:rPr>
            </w:pPr>
            <w:r w:rsidRPr="001D41EA">
              <w:rPr>
                <w:rFonts w:cs="Arial"/>
                <w:sz w:val="18"/>
                <w:szCs w:val="18"/>
              </w:rPr>
              <w:t>Central Goldfields S</w:t>
            </w:r>
          </w:p>
        </w:tc>
        <w:tc>
          <w:tcPr>
            <w:tcW w:w="1701" w:type="dxa"/>
            <w:tcBorders>
              <w:top w:val="nil"/>
              <w:left w:val="single" w:sz="18" w:space="0" w:color="5F497A" w:themeColor="accent4" w:themeShade="BF"/>
              <w:bottom w:val="nil"/>
              <w:right w:val="nil"/>
            </w:tcBorders>
            <w:shd w:val="clear" w:color="auto" w:fill="auto"/>
            <w:noWrap/>
            <w:vAlign w:val="bottom"/>
          </w:tcPr>
          <w:p w14:paraId="7E26DC2E" w14:textId="5FAEBDBC" w:rsidR="00D84931" w:rsidRPr="001D41EA" w:rsidRDefault="00D84931" w:rsidP="00D84931">
            <w:pPr>
              <w:spacing w:before="40" w:after="40"/>
              <w:jc w:val="right"/>
              <w:rPr>
                <w:rFonts w:cs="Arial"/>
                <w:sz w:val="18"/>
                <w:szCs w:val="18"/>
              </w:rPr>
            </w:pPr>
            <w:r w:rsidRPr="001D41EA">
              <w:rPr>
                <w:rFonts w:cs="Arial"/>
                <w:sz w:val="18"/>
                <w:szCs w:val="18"/>
              </w:rPr>
              <w:t>3,685,131</w:t>
            </w:r>
          </w:p>
        </w:tc>
        <w:tc>
          <w:tcPr>
            <w:tcW w:w="1701" w:type="dxa"/>
            <w:tcBorders>
              <w:top w:val="nil"/>
              <w:left w:val="nil"/>
              <w:bottom w:val="nil"/>
              <w:right w:val="nil"/>
            </w:tcBorders>
            <w:vAlign w:val="bottom"/>
          </w:tcPr>
          <w:p w14:paraId="33D9CA3F" w14:textId="4DB1C923" w:rsidR="00D84931" w:rsidRPr="001D41EA" w:rsidRDefault="00D84931" w:rsidP="00D84931">
            <w:pPr>
              <w:spacing w:before="40" w:after="40"/>
              <w:jc w:val="right"/>
              <w:rPr>
                <w:rFonts w:cs="Arial"/>
                <w:sz w:val="18"/>
                <w:szCs w:val="18"/>
              </w:rPr>
            </w:pPr>
            <w:r w:rsidRPr="001D41EA">
              <w:rPr>
                <w:rFonts w:cs="Arial"/>
                <w:sz w:val="18"/>
                <w:szCs w:val="18"/>
              </w:rPr>
              <w:t>565,228</w:t>
            </w:r>
          </w:p>
        </w:tc>
        <w:tc>
          <w:tcPr>
            <w:tcW w:w="1701" w:type="dxa"/>
            <w:tcBorders>
              <w:top w:val="nil"/>
              <w:left w:val="nil"/>
              <w:bottom w:val="nil"/>
              <w:right w:val="nil"/>
            </w:tcBorders>
            <w:shd w:val="clear" w:color="auto" w:fill="auto"/>
            <w:noWrap/>
            <w:vAlign w:val="bottom"/>
          </w:tcPr>
          <w:p w14:paraId="45309E57" w14:textId="387E1683" w:rsidR="00D84931" w:rsidRPr="001D41EA" w:rsidRDefault="00D84931" w:rsidP="00D84931">
            <w:pPr>
              <w:spacing w:before="40" w:after="40"/>
              <w:jc w:val="right"/>
              <w:rPr>
                <w:rFonts w:cs="Arial"/>
                <w:sz w:val="18"/>
                <w:szCs w:val="18"/>
              </w:rPr>
            </w:pPr>
            <w:r w:rsidRPr="001D41EA">
              <w:rPr>
                <w:rFonts w:cs="Arial"/>
                <w:sz w:val="18"/>
                <w:szCs w:val="18"/>
              </w:rPr>
              <w:t>1,216,168</w:t>
            </w:r>
          </w:p>
        </w:tc>
        <w:tc>
          <w:tcPr>
            <w:tcW w:w="1701" w:type="dxa"/>
            <w:tcBorders>
              <w:top w:val="nil"/>
              <w:left w:val="nil"/>
              <w:bottom w:val="nil"/>
              <w:right w:val="nil"/>
            </w:tcBorders>
            <w:vAlign w:val="bottom"/>
          </w:tcPr>
          <w:p w14:paraId="75374612" w14:textId="58326E6A" w:rsidR="00D84931" w:rsidRPr="001D41EA" w:rsidRDefault="00D84931" w:rsidP="00D84931">
            <w:pPr>
              <w:spacing w:before="40" w:after="40"/>
              <w:jc w:val="right"/>
              <w:rPr>
                <w:rFonts w:cs="Arial"/>
                <w:sz w:val="18"/>
                <w:szCs w:val="18"/>
              </w:rPr>
            </w:pPr>
            <w:r w:rsidRPr="001D41EA">
              <w:rPr>
                <w:rFonts w:cs="Arial"/>
                <w:sz w:val="18"/>
                <w:szCs w:val="18"/>
              </w:rPr>
              <w:t>5,466,526</w:t>
            </w:r>
          </w:p>
        </w:tc>
      </w:tr>
      <w:tr w:rsidR="00D84931" w:rsidRPr="001D41EA" w14:paraId="18CDFED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323C460" w14:textId="77777777" w:rsidR="00D84931" w:rsidRPr="001D41EA" w:rsidRDefault="00D84931" w:rsidP="00D84931">
            <w:pPr>
              <w:spacing w:before="40" w:after="40"/>
              <w:rPr>
                <w:rFonts w:cs="Arial"/>
                <w:sz w:val="18"/>
                <w:szCs w:val="18"/>
              </w:rPr>
            </w:pPr>
            <w:r w:rsidRPr="001D41EA">
              <w:rPr>
                <w:rFonts w:cs="Arial"/>
                <w:sz w:val="18"/>
                <w:szCs w:val="18"/>
              </w:rPr>
              <w:t>Colac Otway S</w:t>
            </w:r>
          </w:p>
        </w:tc>
        <w:tc>
          <w:tcPr>
            <w:tcW w:w="1701" w:type="dxa"/>
            <w:tcBorders>
              <w:top w:val="nil"/>
              <w:left w:val="single" w:sz="18" w:space="0" w:color="5F497A" w:themeColor="accent4" w:themeShade="BF"/>
              <w:bottom w:val="nil"/>
              <w:right w:val="nil"/>
            </w:tcBorders>
            <w:shd w:val="clear" w:color="auto" w:fill="auto"/>
            <w:noWrap/>
            <w:vAlign w:val="bottom"/>
          </w:tcPr>
          <w:p w14:paraId="1E318193" w14:textId="21C2B5A5" w:rsidR="00D84931" w:rsidRPr="001D41EA" w:rsidRDefault="00D84931" w:rsidP="00D84931">
            <w:pPr>
              <w:spacing w:before="40" w:after="40"/>
              <w:jc w:val="right"/>
              <w:rPr>
                <w:rFonts w:cs="Arial"/>
                <w:sz w:val="18"/>
                <w:szCs w:val="18"/>
              </w:rPr>
            </w:pPr>
            <w:r w:rsidRPr="001D41EA">
              <w:rPr>
                <w:rFonts w:cs="Arial"/>
                <w:sz w:val="18"/>
                <w:szCs w:val="18"/>
              </w:rPr>
              <w:t>10,410,101</w:t>
            </w:r>
          </w:p>
        </w:tc>
        <w:tc>
          <w:tcPr>
            <w:tcW w:w="1701" w:type="dxa"/>
            <w:tcBorders>
              <w:top w:val="nil"/>
              <w:left w:val="nil"/>
              <w:bottom w:val="nil"/>
              <w:right w:val="nil"/>
            </w:tcBorders>
            <w:vAlign w:val="bottom"/>
          </w:tcPr>
          <w:p w14:paraId="6C44B10D" w14:textId="45BF4C50" w:rsidR="00D84931" w:rsidRPr="001D41EA" w:rsidRDefault="00D84931" w:rsidP="00D84931">
            <w:pPr>
              <w:spacing w:before="40" w:after="40"/>
              <w:jc w:val="right"/>
              <w:rPr>
                <w:rFonts w:cs="Arial"/>
                <w:sz w:val="18"/>
                <w:szCs w:val="18"/>
              </w:rPr>
            </w:pPr>
            <w:r w:rsidRPr="001D41EA">
              <w:rPr>
                <w:rFonts w:cs="Arial"/>
                <w:sz w:val="18"/>
                <w:szCs w:val="18"/>
              </w:rPr>
              <w:t>1,906,635</w:t>
            </w:r>
          </w:p>
        </w:tc>
        <w:tc>
          <w:tcPr>
            <w:tcW w:w="1701" w:type="dxa"/>
            <w:tcBorders>
              <w:top w:val="nil"/>
              <w:left w:val="nil"/>
              <w:bottom w:val="nil"/>
              <w:right w:val="nil"/>
            </w:tcBorders>
            <w:shd w:val="clear" w:color="auto" w:fill="auto"/>
            <w:noWrap/>
            <w:vAlign w:val="bottom"/>
          </w:tcPr>
          <w:p w14:paraId="224938F5" w14:textId="56DF7CF1" w:rsidR="00D84931" w:rsidRPr="001D41EA" w:rsidRDefault="00D84931" w:rsidP="00D84931">
            <w:pPr>
              <w:spacing w:before="40" w:after="40"/>
              <w:jc w:val="right"/>
              <w:rPr>
                <w:rFonts w:cs="Arial"/>
                <w:sz w:val="18"/>
                <w:szCs w:val="18"/>
              </w:rPr>
            </w:pPr>
            <w:r w:rsidRPr="001D41EA">
              <w:rPr>
                <w:rFonts w:cs="Arial"/>
                <w:sz w:val="18"/>
                <w:szCs w:val="18"/>
              </w:rPr>
              <w:t>6,028,935</w:t>
            </w:r>
          </w:p>
        </w:tc>
        <w:tc>
          <w:tcPr>
            <w:tcW w:w="1701" w:type="dxa"/>
            <w:tcBorders>
              <w:top w:val="nil"/>
              <w:left w:val="nil"/>
              <w:bottom w:val="nil"/>
              <w:right w:val="nil"/>
            </w:tcBorders>
            <w:vAlign w:val="bottom"/>
          </w:tcPr>
          <w:p w14:paraId="6E1AE4F2" w14:textId="56C90842" w:rsidR="00D84931" w:rsidRPr="001D41EA" w:rsidRDefault="00D84931" w:rsidP="00D84931">
            <w:pPr>
              <w:spacing w:before="40" w:after="40"/>
              <w:jc w:val="right"/>
              <w:rPr>
                <w:rFonts w:cs="Arial"/>
                <w:sz w:val="18"/>
                <w:szCs w:val="18"/>
              </w:rPr>
            </w:pPr>
            <w:r w:rsidRPr="001D41EA">
              <w:rPr>
                <w:rFonts w:cs="Arial"/>
                <w:sz w:val="18"/>
                <w:szCs w:val="18"/>
              </w:rPr>
              <w:t>18,345,671</w:t>
            </w:r>
          </w:p>
        </w:tc>
      </w:tr>
      <w:tr w:rsidR="00D84931" w:rsidRPr="001D41EA" w14:paraId="059D550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1B7544E" w14:textId="77777777" w:rsidR="00D84931" w:rsidRPr="001D41EA" w:rsidRDefault="00D84931" w:rsidP="00D84931">
            <w:pPr>
              <w:spacing w:before="40" w:after="40"/>
              <w:rPr>
                <w:rFonts w:cs="Arial"/>
                <w:sz w:val="18"/>
                <w:szCs w:val="18"/>
              </w:rPr>
            </w:pPr>
            <w:r w:rsidRPr="001D41EA">
              <w:rPr>
                <w:rFonts w:cs="Arial"/>
                <w:sz w:val="18"/>
                <w:szCs w:val="18"/>
              </w:rPr>
              <w:t>Corangamite S</w:t>
            </w:r>
          </w:p>
        </w:tc>
        <w:tc>
          <w:tcPr>
            <w:tcW w:w="1701" w:type="dxa"/>
            <w:tcBorders>
              <w:top w:val="nil"/>
              <w:left w:val="single" w:sz="18" w:space="0" w:color="5F497A" w:themeColor="accent4" w:themeShade="BF"/>
              <w:bottom w:val="nil"/>
              <w:right w:val="nil"/>
            </w:tcBorders>
            <w:shd w:val="clear" w:color="auto" w:fill="auto"/>
            <w:noWrap/>
            <w:vAlign w:val="bottom"/>
          </w:tcPr>
          <w:p w14:paraId="6129FD04" w14:textId="794EBC97" w:rsidR="00D84931" w:rsidRPr="001D41EA" w:rsidRDefault="00D84931" w:rsidP="00D84931">
            <w:pPr>
              <w:spacing w:before="40" w:after="40"/>
              <w:jc w:val="right"/>
              <w:rPr>
                <w:rFonts w:cs="Arial"/>
                <w:sz w:val="18"/>
                <w:szCs w:val="18"/>
              </w:rPr>
            </w:pPr>
            <w:r w:rsidRPr="001D41EA">
              <w:rPr>
                <w:rFonts w:cs="Arial"/>
                <w:sz w:val="18"/>
                <w:szCs w:val="18"/>
              </w:rPr>
              <w:t>4,028,594</w:t>
            </w:r>
          </w:p>
        </w:tc>
        <w:tc>
          <w:tcPr>
            <w:tcW w:w="1701" w:type="dxa"/>
            <w:tcBorders>
              <w:top w:val="nil"/>
              <w:left w:val="nil"/>
              <w:bottom w:val="nil"/>
              <w:right w:val="nil"/>
            </w:tcBorders>
            <w:vAlign w:val="bottom"/>
          </w:tcPr>
          <w:p w14:paraId="22DC63A3" w14:textId="5CA5ED48" w:rsidR="00D84931" w:rsidRPr="001D41EA" w:rsidRDefault="00D84931" w:rsidP="00D84931">
            <w:pPr>
              <w:spacing w:before="40" w:after="40"/>
              <w:jc w:val="right"/>
              <w:rPr>
                <w:rFonts w:cs="Arial"/>
                <w:sz w:val="18"/>
                <w:szCs w:val="18"/>
              </w:rPr>
            </w:pPr>
            <w:r w:rsidRPr="001D41EA">
              <w:rPr>
                <w:rFonts w:cs="Arial"/>
                <w:sz w:val="18"/>
                <w:szCs w:val="18"/>
              </w:rPr>
              <w:t>2,924,390</w:t>
            </w:r>
          </w:p>
        </w:tc>
        <w:tc>
          <w:tcPr>
            <w:tcW w:w="1701" w:type="dxa"/>
            <w:tcBorders>
              <w:top w:val="nil"/>
              <w:left w:val="nil"/>
              <w:bottom w:val="nil"/>
              <w:right w:val="nil"/>
            </w:tcBorders>
            <w:shd w:val="clear" w:color="auto" w:fill="auto"/>
            <w:noWrap/>
            <w:vAlign w:val="bottom"/>
          </w:tcPr>
          <w:p w14:paraId="7BE72E3E" w14:textId="648CC9E2" w:rsidR="00D84931" w:rsidRPr="001D41EA" w:rsidRDefault="00D84931" w:rsidP="00D84931">
            <w:pPr>
              <w:spacing w:before="40" w:after="40"/>
              <w:jc w:val="right"/>
              <w:rPr>
                <w:rFonts w:cs="Arial"/>
                <w:sz w:val="18"/>
                <w:szCs w:val="18"/>
              </w:rPr>
            </w:pPr>
            <w:r w:rsidRPr="001D41EA">
              <w:rPr>
                <w:rFonts w:cs="Arial"/>
                <w:sz w:val="18"/>
                <w:szCs w:val="18"/>
              </w:rPr>
              <w:t>10,006,866</w:t>
            </w:r>
          </w:p>
        </w:tc>
        <w:tc>
          <w:tcPr>
            <w:tcW w:w="1701" w:type="dxa"/>
            <w:tcBorders>
              <w:top w:val="nil"/>
              <w:left w:val="nil"/>
              <w:bottom w:val="nil"/>
              <w:right w:val="nil"/>
            </w:tcBorders>
            <w:vAlign w:val="bottom"/>
          </w:tcPr>
          <w:p w14:paraId="6EE5EC0B" w14:textId="0829BE11" w:rsidR="00D84931" w:rsidRPr="001D41EA" w:rsidRDefault="00D84931" w:rsidP="00D84931">
            <w:pPr>
              <w:spacing w:before="40" w:after="40"/>
              <w:jc w:val="right"/>
              <w:rPr>
                <w:rFonts w:cs="Arial"/>
                <w:sz w:val="18"/>
                <w:szCs w:val="18"/>
              </w:rPr>
            </w:pPr>
            <w:r w:rsidRPr="001D41EA">
              <w:rPr>
                <w:rFonts w:cs="Arial"/>
                <w:sz w:val="18"/>
                <w:szCs w:val="18"/>
              </w:rPr>
              <w:t>16,959,851</w:t>
            </w:r>
          </w:p>
        </w:tc>
      </w:tr>
      <w:tr w:rsidR="00D84931" w:rsidRPr="001D41EA" w14:paraId="7134D75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FD32708" w14:textId="77777777" w:rsidR="00D84931" w:rsidRPr="001D41EA" w:rsidRDefault="00D84931" w:rsidP="00D84931">
            <w:pPr>
              <w:spacing w:before="40" w:after="40"/>
              <w:rPr>
                <w:rFonts w:cs="Arial"/>
                <w:sz w:val="18"/>
                <w:szCs w:val="18"/>
              </w:rPr>
            </w:pPr>
            <w:r w:rsidRPr="001D41EA">
              <w:rPr>
                <w:rFonts w:cs="Arial"/>
                <w:sz w:val="18"/>
                <w:szCs w:val="18"/>
              </w:rPr>
              <w:t>Darebin C</w:t>
            </w:r>
          </w:p>
        </w:tc>
        <w:tc>
          <w:tcPr>
            <w:tcW w:w="1701" w:type="dxa"/>
            <w:tcBorders>
              <w:top w:val="nil"/>
              <w:left w:val="single" w:sz="18" w:space="0" w:color="5F497A" w:themeColor="accent4" w:themeShade="BF"/>
              <w:bottom w:val="nil"/>
              <w:right w:val="nil"/>
            </w:tcBorders>
            <w:shd w:val="clear" w:color="auto" w:fill="auto"/>
            <w:noWrap/>
            <w:vAlign w:val="bottom"/>
          </w:tcPr>
          <w:p w14:paraId="628D6107" w14:textId="446D5948" w:rsidR="00D84931" w:rsidRPr="001D41EA" w:rsidRDefault="00D84931" w:rsidP="00D84931">
            <w:pPr>
              <w:spacing w:before="40" w:after="40"/>
              <w:jc w:val="right"/>
              <w:rPr>
                <w:rFonts w:cs="Arial"/>
                <w:sz w:val="18"/>
                <w:szCs w:val="18"/>
              </w:rPr>
            </w:pPr>
            <w:r w:rsidRPr="001D41EA">
              <w:rPr>
                <w:rFonts w:cs="Arial"/>
                <w:sz w:val="18"/>
                <w:szCs w:val="18"/>
              </w:rPr>
              <w:t>113,412,766</w:t>
            </w:r>
          </w:p>
        </w:tc>
        <w:tc>
          <w:tcPr>
            <w:tcW w:w="1701" w:type="dxa"/>
            <w:tcBorders>
              <w:top w:val="nil"/>
              <w:left w:val="nil"/>
              <w:bottom w:val="nil"/>
              <w:right w:val="nil"/>
            </w:tcBorders>
            <w:vAlign w:val="bottom"/>
          </w:tcPr>
          <w:p w14:paraId="64D044F3" w14:textId="32070775" w:rsidR="00D84931" w:rsidRPr="001D41EA" w:rsidRDefault="00D84931" w:rsidP="00D84931">
            <w:pPr>
              <w:spacing w:before="40" w:after="40"/>
              <w:jc w:val="right"/>
              <w:rPr>
                <w:rFonts w:cs="Arial"/>
                <w:sz w:val="18"/>
                <w:szCs w:val="18"/>
              </w:rPr>
            </w:pPr>
            <w:r w:rsidRPr="001D41EA">
              <w:rPr>
                <w:rFonts w:cs="Arial"/>
                <w:sz w:val="18"/>
                <w:szCs w:val="18"/>
              </w:rPr>
              <w:t>19,762,509</w:t>
            </w:r>
          </w:p>
        </w:tc>
        <w:tc>
          <w:tcPr>
            <w:tcW w:w="1701" w:type="dxa"/>
            <w:tcBorders>
              <w:top w:val="nil"/>
              <w:left w:val="nil"/>
              <w:bottom w:val="nil"/>
              <w:right w:val="nil"/>
            </w:tcBorders>
            <w:shd w:val="clear" w:color="auto" w:fill="auto"/>
            <w:noWrap/>
            <w:vAlign w:val="bottom"/>
          </w:tcPr>
          <w:p w14:paraId="24F1FE56" w14:textId="52B5E759"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72B6FDD5" w14:textId="277924FD" w:rsidR="00D84931" w:rsidRPr="001D41EA" w:rsidRDefault="00D84931" w:rsidP="00D84931">
            <w:pPr>
              <w:spacing w:before="40" w:after="40"/>
              <w:jc w:val="right"/>
              <w:rPr>
                <w:rFonts w:cs="Arial"/>
                <w:sz w:val="18"/>
                <w:szCs w:val="18"/>
              </w:rPr>
            </w:pPr>
            <w:r w:rsidRPr="001D41EA">
              <w:rPr>
                <w:rFonts w:cs="Arial"/>
                <w:sz w:val="18"/>
                <w:szCs w:val="18"/>
              </w:rPr>
              <w:t>133,175,275</w:t>
            </w:r>
          </w:p>
        </w:tc>
      </w:tr>
      <w:tr w:rsidR="00D84931" w:rsidRPr="001D41EA" w14:paraId="24C157C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3368505" w14:textId="77777777" w:rsidR="00D84931" w:rsidRPr="001D41EA" w:rsidRDefault="00D84931" w:rsidP="00D84931">
            <w:pPr>
              <w:spacing w:before="40" w:after="40"/>
              <w:rPr>
                <w:rFonts w:cs="Arial"/>
                <w:sz w:val="18"/>
                <w:szCs w:val="18"/>
              </w:rPr>
            </w:pPr>
            <w:r w:rsidRPr="001D41EA">
              <w:rPr>
                <w:rFonts w:cs="Arial"/>
                <w:sz w:val="18"/>
                <w:szCs w:val="18"/>
              </w:rPr>
              <w:t>East Gippsland S</w:t>
            </w:r>
          </w:p>
        </w:tc>
        <w:tc>
          <w:tcPr>
            <w:tcW w:w="1701" w:type="dxa"/>
            <w:tcBorders>
              <w:top w:val="nil"/>
              <w:left w:val="single" w:sz="18" w:space="0" w:color="5F497A" w:themeColor="accent4" w:themeShade="BF"/>
              <w:bottom w:val="nil"/>
              <w:right w:val="nil"/>
            </w:tcBorders>
            <w:shd w:val="clear" w:color="auto" w:fill="auto"/>
            <w:noWrap/>
            <w:vAlign w:val="bottom"/>
          </w:tcPr>
          <w:p w14:paraId="2D99C4E5" w14:textId="6D8CC7B6" w:rsidR="00D84931" w:rsidRPr="001D41EA" w:rsidRDefault="00D84931" w:rsidP="00D84931">
            <w:pPr>
              <w:spacing w:before="40" w:after="40"/>
              <w:jc w:val="right"/>
              <w:rPr>
                <w:rFonts w:cs="Arial"/>
                <w:sz w:val="18"/>
                <w:szCs w:val="18"/>
              </w:rPr>
            </w:pPr>
            <w:r w:rsidRPr="001D41EA">
              <w:rPr>
                <w:rFonts w:cs="Arial"/>
                <w:sz w:val="18"/>
                <w:szCs w:val="18"/>
              </w:rPr>
              <w:t>21,559,514</w:t>
            </w:r>
          </w:p>
        </w:tc>
        <w:tc>
          <w:tcPr>
            <w:tcW w:w="1701" w:type="dxa"/>
            <w:tcBorders>
              <w:top w:val="nil"/>
              <w:left w:val="nil"/>
              <w:bottom w:val="nil"/>
              <w:right w:val="nil"/>
            </w:tcBorders>
            <w:vAlign w:val="bottom"/>
          </w:tcPr>
          <w:p w14:paraId="7F2341E1" w14:textId="4CD68E19" w:rsidR="00D84931" w:rsidRPr="001D41EA" w:rsidRDefault="00D84931" w:rsidP="00D84931">
            <w:pPr>
              <w:spacing w:before="40" w:after="40"/>
              <w:jc w:val="right"/>
              <w:rPr>
                <w:rFonts w:cs="Arial"/>
                <w:sz w:val="18"/>
                <w:szCs w:val="18"/>
              </w:rPr>
            </w:pPr>
            <w:r w:rsidRPr="001D41EA">
              <w:rPr>
                <w:rFonts w:cs="Arial"/>
                <w:sz w:val="18"/>
                <w:szCs w:val="18"/>
              </w:rPr>
              <w:t>3,514,473</w:t>
            </w:r>
          </w:p>
        </w:tc>
        <w:tc>
          <w:tcPr>
            <w:tcW w:w="1701" w:type="dxa"/>
            <w:tcBorders>
              <w:top w:val="nil"/>
              <w:left w:val="nil"/>
              <w:bottom w:val="nil"/>
              <w:right w:val="nil"/>
            </w:tcBorders>
            <w:shd w:val="clear" w:color="auto" w:fill="auto"/>
            <w:noWrap/>
            <w:vAlign w:val="bottom"/>
          </w:tcPr>
          <w:p w14:paraId="06A359E4" w14:textId="5E162E05" w:rsidR="00D84931" w:rsidRPr="001D41EA" w:rsidRDefault="00D84931" w:rsidP="00D84931">
            <w:pPr>
              <w:spacing w:before="40" w:after="40"/>
              <w:jc w:val="right"/>
              <w:rPr>
                <w:rFonts w:cs="Arial"/>
                <w:sz w:val="18"/>
                <w:szCs w:val="18"/>
              </w:rPr>
            </w:pPr>
            <w:r w:rsidRPr="001D41EA">
              <w:rPr>
                <w:rFonts w:cs="Arial"/>
                <w:sz w:val="18"/>
                <w:szCs w:val="18"/>
              </w:rPr>
              <w:t>4,616,436</w:t>
            </w:r>
          </w:p>
        </w:tc>
        <w:tc>
          <w:tcPr>
            <w:tcW w:w="1701" w:type="dxa"/>
            <w:tcBorders>
              <w:top w:val="nil"/>
              <w:left w:val="nil"/>
              <w:bottom w:val="nil"/>
              <w:right w:val="nil"/>
            </w:tcBorders>
            <w:vAlign w:val="bottom"/>
          </w:tcPr>
          <w:p w14:paraId="43BC2AC3" w14:textId="13F066F6" w:rsidR="00D84931" w:rsidRPr="001D41EA" w:rsidRDefault="00D84931" w:rsidP="00D84931">
            <w:pPr>
              <w:spacing w:before="40" w:after="40"/>
              <w:jc w:val="right"/>
              <w:rPr>
                <w:rFonts w:cs="Arial"/>
                <w:sz w:val="18"/>
                <w:szCs w:val="18"/>
              </w:rPr>
            </w:pPr>
            <w:r w:rsidRPr="001D41EA">
              <w:rPr>
                <w:rFonts w:cs="Arial"/>
                <w:sz w:val="18"/>
                <w:szCs w:val="18"/>
              </w:rPr>
              <w:t>29,690,423</w:t>
            </w:r>
          </w:p>
        </w:tc>
      </w:tr>
      <w:tr w:rsidR="00D84931" w:rsidRPr="001D41EA" w14:paraId="343A739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8504395" w14:textId="77777777" w:rsidR="00D84931" w:rsidRPr="001D41EA" w:rsidRDefault="00D84931" w:rsidP="00D84931">
            <w:pPr>
              <w:spacing w:before="40" w:after="40"/>
              <w:rPr>
                <w:rFonts w:cs="Arial"/>
                <w:sz w:val="18"/>
                <w:szCs w:val="18"/>
              </w:rPr>
            </w:pPr>
            <w:r w:rsidRPr="001D41EA">
              <w:rPr>
                <w:rFonts w:cs="Arial"/>
                <w:sz w:val="18"/>
                <w:szCs w:val="18"/>
              </w:rPr>
              <w:t>Frankston C</w:t>
            </w:r>
          </w:p>
        </w:tc>
        <w:tc>
          <w:tcPr>
            <w:tcW w:w="1701" w:type="dxa"/>
            <w:tcBorders>
              <w:top w:val="nil"/>
              <w:left w:val="single" w:sz="18" w:space="0" w:color="5F497A" w:themeColor="accent4" w:themeShade="BF"/>
              <w:bottom w:val="nil"/>
              <w:right w:val="nil"/>
            </w:tcBorders>
            <w:shd w:val="clear" w:color="auto" w:fill="auto"/>
            <w:noWrap/>
            <w:vAlign w:val="bottom"/>
          </w:tcPr>
          <w:p w14:paraId="2A3D7503" w14:textId="08AAA97D" w:rsidR="00D84931" w:rsidRPr="001D41EA" w:rsidRDefault="00D84931" w:rsidP="00D84931">
            <w:pPr>
              <w:spacing w:before="40" w:after="40"/>
              <w:jc w:val="right"/>
              <w:rPr>
                <w:rFonts w:cs="Arial"/>
                <w:sz w:val="18"/>
                <w:szCs w:val="18"/>
              </w:rPr>
            </w:pPr>
            <w:r w:rsidRPr="001D41EA">
              <w:rPr>
                <w:rFonts w:cs="Arial"/>
                <w:sz w:val="18"/>
                <w:szCs w:val="18"/>
              </w:rPr>
              <w:t>65,486,741</w:t>
            </w:r>
          </w:p>
        </w:tc>
        <w:tc>
          <w:tcPr>
            <w:tcW w:w="1701" w:type="dxa"/>
            <w:tcBorders>
              <w:top w:val="nil"/>
              <w:left w:val="nil"/>
              <w:bottom w:val="nil"/>
              <w:right w:val="nil"/>
            </w:tcBorders>
            <w:vAlign w:val="bottom"/>
          </w:tcPr>
          <w:p w14:paraId="12BEAB51" w14:textId="1634C3C7" w:rsidR="00D84931" w:rsidRPr="001D41EA" w:rsidRDefault="00D84931" w:rsidP="00D84931">
            <w:pPr>
              <w:spacing w:before="40" w:after="40"/>
              <w:jc w:val="right"/>
              <w:rPr>
                <w:rFonts w:cs="Arial"/>
                <w:sz w:val="18"/>
                <w:szCs w:val="18"/>
              </w:rPr>
            </w:pPr>
            <w:r w:rsidRPr="001D41EA">
              <w:rPr>
                <w:rFonts w:cs="Arial"/>
                <w:sz w:val="18"/>
                <w:szCs w:val="18"/>
              </w:rPr>
              <w:t>14,189,958</w:t>
            </w:r>
          </w:p>
        </w:tc>
        <w:tc>
          <w:tcPr>
            <w:tcW w:w="1701" w:type="dxa"/>
            <w:tcBorders>
              <w:top w:val="nil"/>
              <w:left w:val="nil"/>
              <w:bottom w:val="nil"/>
              <w:right w:val="nil"/>
            </w:tcBorders>
            <w:shd w:val="clear" w:color="auto" w:fill="auto"/>
            <w:noWrap/>
            <w:vAlign w:val="bottom"/>
          </w:tcPr>
          <w:p w14:paraId="37BEF0E2" w14:textId="014778F2" w:rsidR="00D84931" w:rsidRPr="001D41EA" w:rsidRDefault="00D84931" w:rsidP="00D84931">
            <w:pPr>
              <w:spacing w:before="40" w:after="40"/>
              <w:jc w:val="right"/>
              <w:rPr>
                <w:rFonts w:cs="Arial"/>
                <w:sz w:val="18"/>
                <w:szCs w:val="18"/>
              </w:rPr>
            </w:pPr>
            <w:r w:rsidRPr="001D41EA">
              <w:rPr>
                <w:rFonts w:cs="Arial"/>
                <w:sz w:val="18"/>
                <w:szCs w:val="18"/>
              </w:rPr>
              <w:t>2,151,406</w:t>
            </w:r>
          </w:p>
        </w:tc>
        <w:tc>
          <w:tcPr>
            <w:tcW w:w="1701" w:type="dxa"/>
            <w:tcBorders>
              <w:top w:val="nil"/>
              <w:left w:val="nil"/>
              <w:bottom w:val="nil"/>
              <w:right w:val="nil"/>
            </w:tcBorders>
            <w:vAlign w:val="bottom"/>
          </w:tcPr>
          <w:p w14:paraId="332BD941" w14:textId="2DF7929D" w:rsidR="00D84931" w:rsidRPr="001D41EA" w:rsidRDefault="00D84931" w:rsidP="00D84931">
            <w:pPr>
              <w:spacing w:before="40" w:after="40"/>
              <w:jc w:val="right"/>
              <w:rPr>
                <w:rFonts w:cs="Arial"/>
                <w:sz w:val="18"/>
                <w:szCs w:val="18"/>
              </w:rPr>
            </w:pPr>
            <w:r w:rsidRPr="001D41EA">
              <w:rPr>
                <w:rFonts w:cs="Arial"/>
                <w:sz w:val="18"/>
                <w:szCs w:val="18"/>
              </w:rPr>
              <w:t>81,828,104</w:t>
            </w:r>
          </w:p>
        </w:tc>
      </w:tr>
      <w:tr w:rsidR="00D84931" w:rsidRPr="001D41EA" w14:paraId="329D2E4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1708387" w14:textId="77777777" w:rsidR="00D84931" w:rsidRPr="001D41EA" w:rsidRDefault="00D84931" w:rsidP="00D84931">
            <w:pPr>
              <w:spacing w:before="40" w:after="40"/>
              <w:rPr>
                <w:rFonts w:cs="Arial"/>
                <w:sz w:val="18"/>
                <w:szCs w:val="18"/>
              </w:rPr>
            </w:pPr>
            <w:r w:rsidRPr="001D41EA">
              <w:rPr>
                <w:rFonts w:cs="Arial"/>
                <w:sz w:val="18"/>
                <w:szCs w:val="18"/>
              </w:rPr>
              <w:t>Gannawarra S</w:t>
            </w:r>
          </w:p>
        </w:tc>
        <w:tc>
          <w:tcPr>
            <w:tcW w:w="1701" w:type="dxa"/>
            <w:tcBorders>
              <w:top w:val="nil"/>
              <w:left w:val="single" w:sz="18" w:space="0" w:color="5F497A" w:themeColor="accent4" w:themeShade="BF"/>
              <w:bottom w:val="nil"/>
              <w:right w:val="nil"/>
            </w:tcBorders>
            <w:shd w:val="clear" w:color="auto" w:fill="auto"/>
            <w:noWrap/>
            <w:vAlign w:val="bottom"/>
          </w:tcPr>
          <w:p w14:paraId="1472A391" w14:textId="0DC05B72" w:rsidR="00D84931" w:rsidRPr="001D41EA" w:rsidRDefault="00D84931" w:rsidP="00D84931">
            <w:pPr>
              <w:spacing w:before="40" w:after="40"/>
              <w:jc w:val="right"/>
              <w:rPr>
                <w:rFonts w:cs="Arial"/>
                <w:sz w:val="18"/>
                <w:szCs w:val="18"/>
              </w:rPr>
            </w:pPr>
            <w:r w:rsidRPr="001D41EA">
              <w:rPr>
                <w:rFonts w:cs="Arial"/>
                <w:sz w:val="18"/>
                <w:szCs w:val="18"/>
              </w:rPr>
              <w:t>2,418,683</w:t>
            </w:r>
          </w:p>
        </w:tc>
        <w:tc>
          <w:tcPr>
            <w:tcW w:w="1701" w:type="dxa"/>
            <w:tcBorders>
              <w:top w:val="nil"/>
              <w:left w:val="nil"/>
              <w:bottom w:val="nil"/>
              <w:right w:val="nil"/>
            </w:tcBorders>
            <w:vAlign w:val="bottom"/>
          </w:tcPr>
          <w:p w14:paraId="0CF9BD22" w14:textId="2780CB31" w:rsidR="00D84931" w:rsidRPr="001D41EA" w:rsidRDefault="00D84931" w:rsidP="00D84931">
            <w:pPr>
              <w:spacing w:before="40" w:after="40"/>
              <w:jc w:val="right"/>
              <w:rPr>
                <w:rFonts w:cs="Arial"/>
                <w:sz w:val="18"/>
                <w:szCs w:val="18"/>
              </w:rPr>
            </w:pPr>
            <w:r w:rsidRPr="001D41EA">
              <w:rPr>
                <w:rFonts w:cs="Arial"/>
                <w:sz w:val="18"/>
                <w:szCs w:val="18"/>
              </w:rPr>
              <w:t>452,105</w:t>
            </w:r>
          </w:p>
        </w:tc>
        <w:tc>
          <w:tcPr>
            <w:tcW w:w="1701" w:type="dxa"/>
            <w:tcBorders>
              <w:top w:val="nil"/>
              <w:left w:val="nil"/>
              <w:bottom w:val="nil"/>
              <w:right w:val="nil"/>
            </w:tcBorders>
            <w:shd w:val="clear" w:color="auto" w:fill="auto"/>
            <w:noWrap/>
            <w:vAlign w:val="bottom"/>
          </w:tcPr>
          <w:p w14:paraId="63D97174" w14:textId="12FFDD6C" w:rsidR="00D84931" w:rsidRPr="001D41EA" w:rsidRDefault="00D84931" w:rsidP="00D84931">
            <w:pPr>
              <w:spacing w:before="40" w:after="40"/>
              <w:jc w:val="right"/>
              <w:rPr>
                <w:rFonts w:cs="Arial"/>
                <w:sz w:val="18"/>
                <w:szCs w:val="18"/>
              </w:rPr>
            </w:pPr>
            <w:r w:rsidRPr="001D41EA">
              <w:rPr>
                <w:rFonts w:cs="Arial"/>
                <w:sz w:val="18"/>
                <w:szCs w:val="18"/>
              </w:rPr>
              <w:t>2,181,478</w:t>
            </w:r>
          </w:p>
        </w:tc>
        <w:tc>
          <w:tcPr>
            <w:tcW w:w="1701" w:type="dxa"/>
            <w:tcBorders>
              <w:top w:val="nil"/>
              <w:left w:val="nil"/>
              <w:bottom w:val="nil"/>
              <w:right w:val="nil"/>
            </w:tcBorders>
            <w:vAlign w:val="bottom"/>
          </w:tcPr>
          <w:p w14:paraId="27E26082" w14:textId="7CDE466B" w:rsidR="00D84931" w:rsidRPr="001D41EA" w:rsidRDefault="00D84931" w:rsidP="00D84931">
            <w:pPr>
              <w:spacing w:before="40" w:after="40"/>
              <w:jc w:val="right"/>
              <w:rPr>
                <w:rFonts w:cs="Arial"/>
                <w:sz w:val="18"/>
                <w:szCs w:val="18"/>
              </w:rPr>
            </w:pPr>
            <w:r w:rsidRPr="001D41EA">
              <w:rPr>
                <w:rFonts w:cs="Arial"/>
                <w:sz w:val="18"/>
                <w:szCs w:val="18"/>
              </w:rPr>
              <w:t>5,052,266</w:t>
            </w:r>
          </w:p>
        </w:tc>
      </w:tr>
      <w:tr w:rsidR="00D84931" w:rsidRPr="001D41EA" w14:paraId="35BFC45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3040A9E" w14:textId="77777777" w:rsidR="00D84931" w:rsidRPr="001D41EA" w:rsidRDefault="00D84931" w:rsidP="00D84931">
            <w:pPr>
              <w:spacing w:before="40" w:after="40"/>
              <w:rPr>
                <w:rFonts w:cs="Arial"/>
                <w:sz w:val="18"/>
                <w:szCs w:val="18"/>
              </w:rPr>
            </w:pPr>
            <w:r w:rsidRPr="001D41EA">
              <w:rPr>
                <w:rFonts w:cs="Arial"/>
                <w:sz w:val="18"/>
                <w:szCs w:val="18"/>
              </w:rPr>
              <w:t>Glen Eira C</w:t>
            </w:r>
          </w:p>
        </w:tc>
        <w:tc>
          <w:tcPr>
            <w:tcW w:w="1701" w:type="dxa"/>
            <w:tcBorders>
              <w:top w:val="nil"/>
              <w:left w:val="single" w:sz="18" w:space="0" w:color="5F497A" w:themeColor="accent4" w:themeShade="BF"/>
              <w:bottom w:val="nil"/>
              <w:right w:val="nil"/>
            </w:tcBorders>
            <w:shd w:val="clear" w:color="auto" w:fill="auto"/>
            <w:noWrap/>
            <w:vAlign w:val="bottom"/>
          </w:tcPr>
          <w:p w14:paraId="5D18202B" w14:textId="764078AE" w:rsidR="00D84931" w:rsidRPr="001D41EA" w:rsidRDefault="00D84931" w:rsidP="00D84931">
            <w:pPr>
              <w:spacing w:before="40" w:after="40"/>
              <w:jc w:val="right"/>
              <w:rPr>
                <w:rFonts w:cs="Arial"/>
                <w:sz w:val="18"/>
                <w:szCs w:val="18"/>
              </w:rPr>
            </w:pPr>
            <w:r w:rsidRPr="001D41EA">
              <w:rPr>
                <w:rFonts w:cs="Arial"/>
                <w:sz w:val="18"/>
                <w:szCs w:val="18"/>
              </w:rPr>
              <w:t>151,142,530</w:t>
            </w:r>
          </w:p>
        </w:tc>
        <w:tc>
          <w:tcPr>
            <w:tcW w:w="1701" w:type="dxa"/>
            <w:tcBorders>
              <w:top w:val="nil"/>
              <w:left w:val="nil"/>
              <w:bottom w:val="nil"/>
              <w:right w:val="nil"/>
            </w:tcBorders>
            <w:vAlign w:val="bottom"/>
          </w:tcPr>
          <w:p w14:paraId="01970A7C" w14:textId="2262B2E9" w:rsidR="00D84931" w:rsidRPr="001D41EA" w:rsidRDefault="00D84931" w:rsidP="00D84931">
            <w:pPr>
              <w:spacing w:before="40" w:after="40"/>
              <w:jc w:val="right"/>
              <w:rPr>
                <w:rFonts w:cs="Arial"/>
                <w:sz w:val="18"/>
                <w:szCs w:val="18"/>
              </w:rPr>
            </w:pPr>
            <w:r w:rsidRPr="001D41EA">
              <w:rPr>
                <w:rFonts w:cs="Arial"/>
                <w:sz w:val="18"/>
                <w:szCs w:val="18"/>
              </w:rPr>
              <w:t>12,582,066</w:t>
            </w:r>
          </w:p>
        </w:tc>
        <w:tc>
          <w:tcPr>
            <w:tcW w:w="1701" w:type="dxa"/>
            <w:tcBorders>
              <w:top w:val="nil"/>
              <w:left w:val="nil"/>
              <w:bottom w:val="nil"/>
              <w:right w:val="nil"/>
            </w:tcBorders>
            <w:shd w:val="clear" w:color="auto" w:fill="auto"/>
            <w:noWrap/>
            <w:vAlign w:val="bottom"/>
          </w:tcPr>
          <w:p w14:paraId="1A79EA00" w14:textId="3F764653"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5212C942" w14:textId="3774A20A" w:rsidR="00D84931" w:rsidRPr="001D41EA" w:rsidRDefault="00D84931" w:rsidP="00D84931">
            <w:pPr>
              <w:spacing w:before="40" w:after="40"/>
              <w:jc w:val="right"/>
              <w:rPr>
                <w:rFonts w:cs="Arial"/>
                <w:sz w:val="18"/>
                <w:szCs w:val="18"/>
              </w:rPr>
            </w:pPr>
            <w:r w:rsidRPr="001D41EA">
              <w:rPr>
                <w:rFonts w:cs="Arial"/>
                <w:sz w:val="18"/>
                <w:szCs w:val="18"/>
              </w:rPr>
              <w:t>163,724,596</w:t>
            </w:r>
          </w:p>
        </w:tc>
      </w:tr>
      <w:tr w:rsidR="00D84931" w:rsidRPr="001D41EA" w14:paraId="3362205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8DC8AE9" w14:textId="77777777" w:rsidR="00D84931" w:rsidRPr="001D41EA" w:rsidRDefault="00D84931" w:rsidP="00D84931">
            <w:pPr>
              <w:spacing w:before="40" w:after="40"/>
              <w:rPr>
                <w:rFonts w:cs="Arial"/>
                <w:sz w:val="18"/>
                <w:szCs w:val="18"/>
              </w:rPr>
            </w:pPr>
            <w:r w:rsidRPr="001D41EA">
              <w:rPr>
                <w:rFonts w:cs="Arial"/>
                <w:sz w:val="18"/>
                <w:szCs w:val="18"/>
              </w:rPr>
              <w:t>Glenelg S</w:t>
            </w:r>
          </w:p>
        </w:tc>
        <w:tc>
          <w:tcPr>
            <w:tcW w:w="1701" w:type="dxa"/>
            <w:tcBorders>
              <w:top w:val="nil"/>
              <w:left w:val="single" w:sz="18" w:space="0" w:color="5F497A" w:themeColor="accent4" w:themeShade="BF"/>
              <w:bottom w:val="nil"/>
              <w:right w:val="nil"/>
            </w:tcBorders>
            <w:shd w:val="clear" w:color="auto" w:fill="auto"/>
            <w:noWrap/>
            <w:vAlign w:val="bottom"/>
          </w:tcPr>
          <w:p w14:paraId="5FC9DACB" w14:textId="107922D7" w:rsidR="00D84931" w:rsidRPr="001D41EA" w:rsidRDefault="00D84931" w:rsidP="00D84931">
            <w:pPr>
              <w:spacing w:before="40" w:after="40"/>
              <w:jc w:val="right"/>
              <w:rPr>
                <w:rFonts w:cs="Arial"/>
                <w:sz w:val="18"/>
                <w:szCs w:val="18"/>
              </w:rPr>
            </w:pPr>
            <w:r w:rsidRPr="001D41EA">
              <w:rPr>
                <w:rFonts w:cs="Arial"/>
                <w:sz w:val="18"/>
                <w:szCs w:val="18"/>
              </w:rPr>
              <w:t>5,926,814</w:t>
            </w:r>
          </w:p>
        </w:tc>
        <w:tc>
          <w:tcPr>
            <w:tcW w:w="1701" w:type="dxa"/>
            <w:tcBorders>
              <w:top w:val="nil"/>
              <w:left w:val="nil"/>
              <w:bottom w:val="nil"/>
              <w:right w:val="nil"/>
            </w:tcBorders>
            <w:vAlign w:val="bottom"/>
          </w:tcPr>
          <w:p w14:paraId="5DDB88E4" w14:textId="123A5758" w:rsidR="00D84931" w:rsidRPr="001D41EA" w:rsidRDefault="00D84931" w:rsidP="00D84931">
            <w:pPr>
              <w:spacing w:before="40" w:after="40"/>
              <w:jc w:val="right"/>
              <w:rPr>
                <w:rFonts w:cs="Arial"/>
                <w:sz w:val="18"/>
                <w:szCs w:val="18"/>
              </w:rPr>
            </w:pPr>
            <w:r w:rsidRPr="001D41EA">
              <w:rPr>
                <w:rFonts w:cs="Arial"/>
                <w:sz w:val="18"/>
                <w:szCs w:val="18"/>
              </w:rPr>
              <w:t>1,903,398</w:t>
            </w:r>
          </w:p>
        </w:tc>
        <w:tc>
          <w:tcPr>
            <w:tcW w:w="1701" w:type="dxa"/>
            <w:tcBorders>
              <w:top w:val="nil"/>
              <w:left w:val="nil"/>
              <w:bottom w:val="nil"/>
              <w:right w:val="nil"/>
            </w:tcBorders>
            <w:shd w:val="clear" w:color="auto" w:fill="auto"/>
            <w:noWrap/>
            <w:vAlign w:val="bottom"/>
          </w:tcPr>
          <w:p w14:paraId="4A1F894A" w14:textId="63357826" w:rsidR="00D84931" w:rsidRPr="001D41EA" w:rsidRDefault="00D84931" w:rsidP="00D84931">
            <w:pPr>
              <w:spacing w:before="40" w:after="40"/>
              <w:jc w:val="right"/>
              <w:rPr>
                <w:rFonts w:cs="Arial"/>
                <w:sz w:val="18"/>
                <w:szCs w:val="18"/>
              </w:rPr>
            </w:pPr>
            <w:r w:rsidRPr="001D41EA">
              <w:rPr>
                <w:rFonts w:cs="Arial"/>
                <w:sz w:val="18"/>
                <w:szCs w:val="18"/>
              </w:rPr>
              <w:t>7,038,530</w:t>
            </w:r>
          </w:p>
        </w:tc>
        <w:tc>
          <w:tcPr>
            <w:tcW w:w="1701" w:type="dxa"/>
            <w:tcBorders>
              <w:top w:val="nil"/>
              <w:left w:val="nil"/>
              <w:bottom w:val="nil"/>
              <w:right w:val="nil"/>
            </w:tcBorders>
            <w:vAlign w:val="bottom"/>
          </w:tcPr>
          <w:p w14:paraId="36E2BC64" w14:textId="154F37F4" w:rsidR="00D84931" w:rsidRPr="001D41EA" w:rsidRDefault="00D84931" w:rsidP="00D84931">
            <w:pPr>
              <w:spacing w:before="40" w:after="40"/>
              <w:jc w:val="right"/>
              <w:rPr>
                <w:rFonts w:cs="Arial"/>
                <w:sz w:val="18"/>
                <w:szCs w:val="18"/>
              </w:rPr>
            </w:pPr>
            <w:r w:rsidRPr="001D41EA">
              <w:rPr>
                <w:rFonts w:cs="Arial"/>
                <w:sz w:val="18"/>
                <w:szCs w:val="18"/>
              </w:rPr>
              <w:t>14,868,742</w:t>
            </w:r>
          </w:p>
        </w:tc>
      </w:tr>
      <w:tr w:rsidR="00D84931" w:rsidRPr="001D41EA" w14:paraId="66904AB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680A065" w14:textId="77777777" w:rsidR="00D84931" w:rsidRPr="001D41EA" w:rsidRDefault="00D84931" w:rsidP="00D84931">
            <w:pPr>
              <w:spacing w:before="40" w:after="40"/>
              <w:rPr>
                <w:rFonts w:cs="Arial"/>
                <w:sz w:val="18"/>
                <w:szCs w:val="18"/>
              </w:rPr>
            </w:pPr>
            <w:r w:rsidRPr="001D41EA">
              <w:rPr>
                <w:rFonts w:cs="Arial"/>
                <w:sz w:val="18"/>
                <w:szCs w:val="18"/>
              </w:rPr>
              <w:t>Golden Plains S</w:t>
            </w:r>
          </w:p>
        </w:tc>
        <w:tc>
          <w:tcPr>
            <w:tcW w:w="1701" w:type="dxa"/>
            <w:tcBorders>
              <w:top w:val="nil"/>
              <w:left w:val="single" w:sz="18" w:space="0" w:color="5F497A" w:themeColor="accent4" w:themeShade="BF"/>
              <w:bottom w:val="nil"/>
              <w:right w:val="nil"/>
            </w:tcBorders>
            <w:shd w:val="clear" w:color="auto" w:fill="auto"/>
            <w:noWrap/>
            <w:vAlign w:val="bottom"/>
          </w:tcPr>
          <w:p w14:paraId="1F963243" w14:textId="1B223F92" w:rsidR="00D84931" w:rsidRPr="001D41EA" w:rsidRDefault="00D84931" w:rsidP="00D84931">
            <w:pPr>
              <w:spacing w:before="40" w:after="40"/>
              <w:jc w:val="right"/>
              <w:rPr>
                <w:rFonts w:cs="Arial"/>
                <w:sz w:val="18"/>
                <w:szCs w:val="18"/>
              </w:rPr>
            </w:pPr>
            <w:r w:rsidRPr="001D41EA">
              <w:rPr>
                <w:rFonts w:cs="Arial"/>
                <w:sz w:val="18"/>
                <w:szCs w:val="18"/>
              </w:rPr>
              <w:t>8,806,439</w:t>
            </w:r>
          </w:p>
        </w:tc>
        <w:tc>
          <w:tcPr>
            <w:tcW w:w="1701" w:type="dxa"/>
            <w:tcBorders>
              <w:top w:val="nil"/>
              <w:left w:val="nil"/>
              <w:bottom w:val="nil"/>
              <w:right w:val="nil"/>
            </w:tcBorders>
            <w:vAlign w:val="bottom"/>
          </w:tcPr>
          <w:p w14:paraId="6012F992" w14:textId="0BED72CC" w:rsidR="00D84931" w:rsidRPr="001D41EA" w:rsidRDefault="00D84931" w:rsidP="00D84931">
            <w:pPr>
              <w:spacing w:before="40" w:after="40"/>
              <w:jc w:val="right"/>
              <w:rPr>
                <w:rFonts w:cs="Arial"/>
                <w:sz w:val="18"/>
                <w:szCs w:val="18"/>
              </w:rPr>
            </w:pPr>
            <w:r w:rsidRPr="001D41EA">
              <w:rPr>
                <w:rFonts w:cs="Arial"/>
                <w:sz w:val="18"/>
                <w:szCs w:val="18"/>
              </w:rPr>
              <w:t>308,779</w:t>
            </w:r>
          </w:p>
        </w:tc>
        <w:tc>
          <w:tcPr>
            <w:tcW w:w="1701" w:type="dxa"/>
            <w:tcBorders>
              <w:top w:val="nil"/>
              <w:left w:val="nil"/>
              <w:bottom w:val="nil"/>
              <w:right w:val="nil"/>
            </w:tcBorders>
            <w:shd w:val="clear" w:color="auto" w:fill="auto"/>
            <w:noWrap/>
            <w:vAlign w:val="bottom"/>
          </w:tcPr>
          <w:p w14:paraId="52FD4FF2" w14:textId="2F59BCC6" w:rsidR="00D84931" w:rsidRPr="001D41EA" w:rsidRDefault="00D84931" w:rsidP="00D84931">
            <w:pPr>
              <w:spacing w:before="40" w:after="40"/>
              <w:jc w:val="right"/>
              <w:rPr>
                <w:rFonts w:cs="Arial"/>
                <w:sz w:val="18"/>
                <w:szCs w:val="18"/>
              </w:rPr>
            </w:pPr>
            <w:r w:rsidRPr="001D41EA">
              <w:rPr>
                <w:rFonts w:cs="Arial"/>
                <w:sz w:val="18"/>
                <w:szCs w:val="18"/>
              </w:rPr>
              <w:t>3,896,571</w:t>
            </w:r>
          </w:p>
        </w:tc>
        <w:tc>
          <w:tcPr>
            <w:tcW w:w="1701" w:type="dxa"/>
            <w:tcBorders>
              <w:top w:val="nil"/>
              <w:left w:val="nil"/>
              <w:bottom w:val="nil"/>
              <w:right w:val="nil"/>
            </w:tcBorders>
            <w:vAlign w:val="bottom"/>
          </w:tcPr>
          <w:p w14:paraId="5AF0E50F" w14:textId="20ABC868" w:rsidR="00D84931" w:rsidRPr="001D41EA" w:rsidRDefault="00D84931" w:rsidP="00D84931">
            <w:pPr>
              <w:spacing w:before="40" w:after="40"/>
              <w:jc w:val="right"/>
              <w:rPr>
                <w:rFonts w:cs="Arial"/>
                <w:sz w:val="18"/>
                <w:szCs w:val="18"/>
              </w:rPr>
            </w:pPr>
            <w:r w:rsidRPr="001D41EA">
              <w:rPr>
                <w:rFonts w:cs="Arial"/>
                <w:sz w:val="18"/>
                <w:szCs w:val="18"/>
              </w:rPr>
              <w:t>13,011,789</w:t>
            </w:r>
          </w:p>
        </w:tc>
      </w:tr>
      <w:tr w:rsidR="00D84931" w:rsidRPr="001D41EA" w14:paraId="5F34EA6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89009C7" w14:textId="77777777" w:rsidR="00D84931" w:rsidRPr="001D41EA" w:rsidRDefault="00D84931" w:rsidP="00D84931">
            <w:pPr>
              <w:spacing w:before="40" w:after="40"/>
              <w:rPr>
                <w:rFonts w:cs="Arial"/>
                <w:sz w:val="18"/>
                <w:szCs w:val="18"/>
              </w:rPr>
            </w:pPr>
            <w:r w:rsidRPr="001D41EA">
              <w:rPr>
                <w:rFonts w:cs="Arial"/>
                <w:sz w:val="18"/>
                <w:szCs w:val="18"/>
              </w:rPr>
              <w:t>Greater Bendigo C</w:t>
            </w:r>
          </w:p>
        </w:tc>
        <w:tc>
          <w:tcPr>
            <w:tcW w:w="1701" w:type="dxa"/>
            <w:tcBorders>
              <w:top w:val="nil"/>
              <w:left w:val="single" w:sz="18" w:space="0" w:color="5F497A" w:themeColor="accent4" w:themeShade="BF"/>
              <w:bottom w:val="nil"/>
              <w:right w:val="nil"/>
            </w:tcBorders>
            <w:shd w:val="clear" w:color="auto" w:fill="auto"/>
            <w:noWrap/>
            <w:vAlign w:val="bottom"/>
          </w:tcPr>
          <w:p w14:paraId="58D3FE51" w14:textId="7933F467" w:rsidR="00D84931" w:rsidRPr="001D41EA" w:rsidRDefault="00D84931" w:rsidP="00D84931">
            <w:pPr>
              <w:spacing w:before="40" w:after="40"/>
              <w:jc w:val="right"/>
              <w:rPr>
                <w:rFonts w:cs="Arial"/>
                <w:sz w:val="18"/>
                <w:szCs w:val="18"/>
              </w:rPr>
            </w:pPr>
            <w:r w:rsidRPr="001D41EA">
              <w:rPr>
                <w:rFonts w:cs="Arial"/>
                <w:sz w:val="18"/>
                <w:szCs w:val="18"/>
              </w:rPr>
              <w:t>49,465,554</w:t>
            </w:r>
          </w:p>
        </w:tc>
        <w:tc>
          <w:tcPr>
            <w:tcW w:w="1701" w:type="dxa"/>
            <w:tcBorders>
              <w:top w:val="nil"/>
              <w:left w:val="nil"/>
              <w:bottom w:val="nil"/>
              <w:right w:val="nil"/>
            </w:tcBorders>
            <w:vAlign w:val="bottom"/>
          </w:tcPr>
          <w:p w14:paraId="57D06043" w14:textId="5933FD37" w:rsidR="00D84931" w:rsidRPr="001D41EA" w:rsidRDefault="00D84931" w:rsidP="00D84931">
            <w:pPr>
              <w:spacing w:before="40" w:after="40"/>
              <w:jc w:val="right"/>
              <w:rPr>
                <w:rFonts w:cs="Arial"/>
                <w:sz w:val="18"/>
                <w:szCs w:val="18"/>
              </w:rPr>
            </w:pPr>
            <w:r w:rsidRPr="001D41EA">
              <w:rPr>
                <w:rFonts w:cs="Arial"/>
                <w:sz w:val="18"/>
                <w:szCs w:val="18"/>
              </w:rPr>
              <w:t>9,619,470</w:t>
            </w:r>
          </w:p>
        </w:tc>
        <w:tc>
          <w:tcPr>
            <w:tcW w:w="1701" w:type="dxa"/>
            <w:tcBorders>
              <w:top w:val="nil"/>
              <w:left w:val="nil"/>
              <w:bottom w:val="nil"/>
              <w:right w:val="nil"/>
            </w:tcBorders>
            <w:shd w:val="clear" w:color="auto" w:fill="auto"/>
            <w:noWrap/>
            <w:vAlign w:val="bottom"/>
          </w:tcPr>
          <w:p w14:paraId="7009C753" w14:textId="3A86131A" w:rsidR="00D84931" w:rsidRPr="001D41EA" w:rsidRDefault="00D84931" w:rsidP="00D84931">
            <w:pPr>
              <w:spacing w:before="40" w:after="40"/>
              <w:jc w:val="right"/>
              <w:rPr>
                <w:rFonts w:cs="Arial"/>
                <w:sz w:val="18"/>
                <w:szCs w:val="18"/>
              </w:rPr>
            </w:pPr>
            <w:r w:rsidRPr="001D41EA">
              <w:rPr>
                <w:rFonts w:cs="Arial"/>
                <w:sz w:val="18"/>
                <w:szCs w:val="18"/>
              </w:rPr>
              <w:t>2,512,324</w:t>
            </w:r>
          </w:p>
        </w:tc>
        <w:tc>
          <w:tcPr>
            <w:tcW w:w="1701" w:type="dxa"/>
            <w:tcBorders>
              <w:top w:val="nil"/>
              <w:left w:val="nil"/>
              <w:bottom w:val="nil"/>
              <w:right w:val="nil"/>
            </w:tcBorders>
            <w:vAlign w:val="bottom"/>
          </w:tcPr>
          <w:p w14:paraId="4230A4F4" w14:textId="4497AA68" w:rsidR="00D84931" w:rsidRPr="001D41EA" w:rsidRDefault="00D84931" w:rsidP="00D84931">
            <w:pPr>
              <w:spacing w:before="40" w:after="40"/>
              <w:jc w:val="right"/>
              <w:rPr>
                <w:rFonts w:cs="Arial"/>
                <w:sz w:val="18"/>
                <w:szCs w:val="18"/>
              </w:rPr>
            </w:pPr>
            <w:r w:rsidRPr="001D41EA">
              <w:rPr>
                <w:rFonts w:cs="Arial"/>
                <w:sz w:val="18"/>
                <w:szCs w:val="18"/>
              </w:rPr>
              <w:t>61,597,348</w:t>
            </w:r>
          </w:p>
        </w:tc>
      </w:tr>
      <w:tr w:rsidR="00D84931" w:rsidRPr="001D41EA" w14:paraId="66F1A8D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C112905" w14:textId="77777777" w:rsidR="00D84931" w:rsidRPr="001D41EA" w:rsidRDefault="00D84931" w:rsidP="00D84931">
            <w:pPr>
              <w:spacing w:before="40" w:after="40"/>
              <w:rPr>
                <w:rFonts w:cs="Arial"/>
                <w:sz w:val="18"/>
                <w:szCs w:val="18"/>
              </w:rPr>
            </w:pPr>
            <w:r w:rsidRPr="001D41EA">
              <w:rPr>
                <w:rFonts w:cs="Arial"/>
                <w:sz w:val="18"/>
                <w:szCs w:val="18"/>
              </w:rPr>
              <w:t>Greater Dandenong C</w:t>
            </w:r>
          </w:p>
        </w:tc>
        <w:tc>
          <w:tcPr>
            <w:tcW w:w="1701" w:type="dxa"/>
            <w:tcBorders>
              <w:top w:val="nil"/>
              <w:left w:val="single" w:sz="18" w:space="0" w:color="5F497A" w:themeColor="accent4" w:themeShade="BF"/>
              <w:bottom w:val="nil"/>
              <w:right w:val="nil"/>
            </w:tcBorders>
            <w:shd w:val="clear" w:color="auto" w:fill="auto"/>
            <w:noWrap/>
            <w:vAlign w:val="bottom"/>
          </w:tcPr>
          <w:p w14:paraId="095F4FC1" w14:textId="09712915" w:rsidR="00D84931" w:rsidRPr="001D41EA" w:rsidRDefault="00D84931" w:rsidP="00D84931">
            <w:pPr>
              <w:spacing w:before="40" w:after="40"/>
              <w:jc w:val="right"/>
              <w:rPr>
                <w:rFonts w:cs="Arial"/>
                <w:sz w:val="18"/>
                <w:szCs w:val="18"/>
              </w:rPr>
            </w:pPr>
            <w:r w:rsidRPr="001D41EA">
              <w:rPr>
                <w:rFonts w:cs="Arial"/>
                <w:sz w:val="18"/>
                <w:szCs w:val="18"/>
              </w:rPr>
              <w:t>73,101,275</w:t>
            </w:r>
          </w:p>
        </w:tc>
        <w:tc>
          <w:tcPr>
            <w:tcW w:w="1701" w:type="dxa"/>
            <w:tcBorders>
              <w:top w:val="nil"/>
              <w:left w:val="nil"/>
              <w:bottom w:val="nil"/>
              <w:right w:val="nil"/>
            </w:tcBorders>
            <w:vAlign w:val="bottom"/>
          </w:tcPr>
          <w:p w14:paraId="288355AA" w14:textId="5541C12D" w:rsidR="00D84931" w:rsidRPr="001D41EA" w:rsidRDefault="00D84931" w:rsidP="00D84931">
            <w:pPr>
              <w:spacing w:before="40" w:after="40"/>
              <w:jc w:val="right"/>
              <w:rPr>
                <w:rFonts w:cs="Arial"/>
                <w:sz w:val="18"/>
                <w:szCs w:val="18"/>
              </w:rPr>
            </w:pPr>
            <w:r w:rsidRPr="001D41EA">
              <w:rPr>
                <w:rFonts w:cs="Arial"/>
                <w:sz w:val="18"/>
                <w:szCs w:val="18"/>
              </w:rPr>
              <w:t>40,569,079</w:t>
            </w:r>
          </w:p>
        </w:tc>
        <w:tc>
          <w:tcPr>
            <w:tcW w:w="1701" w:type="dxa"/>
            <w:tcBorders>
              <w:top w:val="nil"/>
              <w:left w:val="nil"/>
              <w:bottom w:val="nil"/>
              <w:right w:val="nil"/>
            </w:tcBorders>
            <w:shd w:val="clear" w:color="auto" w:fill="auto"/>
            <w:noWrap/>
            <w:vAlign w:val="bottom"/>
          </w:tcPr>
          <w:p w14:paraId="517A1739" w14:textId="569CBE2D" w:rsidR="00D84931" w:rsidRPr="001D41EA" w:rsidRDefault="00D84931" w:rsidP="00D84931">
            <w:pPr>
              <w:spacing w:before="40" w:after="40"/>
              <w:jc w:val="right"/>
              <w:rPr>
                <w:rFonts w:cs="Arial"/>
                <w:sz w:val="18"/>
                <w:szCs w:val="18"/>
              </w:rPr>
            </w:pPr>
            <w:r w:rsidRPr="001D41EA">
              <w:rPr>
                <w:rFonts w:cs="Arial"/>
                <w:sz w:val="18"/>
                <w:szCs w:val="18"/>
              </w:rPr>
              <w:t>846,523</w:t>
            </w:r>
          </w:p>
        </w:tc>
        <w:tc>
          <w:tcPr>
            <w:tcW w:w="1701" w:type="dxa"/>
            <w:tcBorders>
              <w:top w:val="nil"/>
              <w:left w:val="nil"/>
              <w:bottom w:val="nil"/>
              <w:right w:val="nil"/>
            </w:tcBorders>
            <w:vAlign w:val="bottom"/>
          </w:tcPr>
          <w:p w14:paraId="53D9D5F3" w14:textId="5638B497" w:rsidR="00D84931" w:rsidRPr="001D41EA" w:rsidRDefault="00D84931" w:rsidP="00D84931">
            <w:pPr>
              <w:spacing w:before="40" w:after="40"/>
              <w:jc w:val="right"/>
              <w:rPr>
                <w:rFonts w:cs="Arial"/>
                <w:sz w:val="18"/>
                <w:szCs w:val="18"/>
              </w:rPr>
            </w:pPr>
            <w:r w:rsidRPr="001D41EA">
              <w:rPr>
                <w:rFonts w:cs="Arial"/>
                <w:sz w:val="18"/>
                <w:szCs w:val="18"/>
              </w:rPr>
              <w:t>114,516,876</w:t>
            </w:r>
          </w:p>
        </w:tc>
      </w:tr>
      <w:tr w:rsidR="00D84931" w:rsidRPr="001D41EA" w14:paraId="4A380FE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FE7FB1A" w14:textId="77777777" w:rsidR="00D84931" w:rsidRPr="001D41EA" w:rsidRDefault="00D84931" w:rsidP="00D84931">
            <w:pPr>
              <w:spacing w:before="40" w:after="40"/>
              <w:rPr>
                <w:rFonts w:cs="Arial"/>
                <w:sz w:val="18"/>
                <w:szCs w:val="18"/>
              </w:rPr>
            </w:pPr>
            <w:r w:rsidRPr="001D41EA">
              <w:rPr>
                <w:rFonts w:cs="Arial"/>
                <w:sz w:val="18"/>
                <w:szCs w:val="18"/>
              </w:rPr>
              <w:t>Greater Geelong C</w:t>
            </w:r>
          </w:p>
        </w:tc>
        <w:tc>
          <w:tcPr>
            <w:tcW w:w="1701" w:type="dxa"/>
            <w:tcBorders>
              <w:top w:val="nil"/>
              <w:left w:val="single" w:sz="18" w:space="0" w:color="5F497A" w:themeColor="accent4" w:themeShade="BF"/>
              <w:bottom w:val="nil"/>
              <w:right w:val="nil"/>
            </w:tcBorders>
            <w:shd w:val="clear" w:color="auto" w:fill="auto"/>
            <w:noWrap/>
            <w:vAlign w:val="bottom"/>
          </w:tcPr>
          <w:p w14:paraId="619905F6" w14:textId="5874E271" w:rsidR="00D84931" w:rsidRPr="001D41EA" w:rsidRDefault="00D84931" w:rsidP="00D84931">
            <w:pPr>
              <w:spacing w:before="40" w:after="40"/>
              <w:jc w:val="right"/>
              <w:rPr>
                <w:rFonts w:cs="Arial"/>
                <w:sz w:val="18"/>
                <w:szCs w:val="18"/>
              </w:rPr>
            </w:pPr>
            <w:r w:rsidRPr="001D41EA">
              <w:rPr>
                <w:rFonts w:cs="Arial"/>
                <w:sz w:val="18"/>
                <w:szCs w:val="18"/>
              </w:rPr>
              <w:t>129,290,980</w:t>
            </w:r>
          </w:p>
        </w:tc>
        <w:tc>
          <w:tcPr>
            <w:tcW w:w="1701" w:type="dxa"/>
            <w:tcBorders>
              <w:top w:val="nil"/>
              <w:left w:val="nil"/>
              <w:bottom w:val="nil"/>
              <w:right w:val="nil"/>
            </w:tcBorders>
            <w:vAlign w:val="bottom"/>
          </w:tcPr>
          <w:p w14:paraId="46868F53" w14:textId="171FDDDF" w:rsidR="00D84931" w:rsidRPr="001D41EA" w:rsidRDefault="00D84931" w:rsidP="00D84931">
            <w:pPr>
              <w:spacing w:before="40" w:after="40"/>
              <w:jc w:val="right"/>
              <w:rPr>
                <w:rFonts w:cs="Arial"/>
                <w:sz w:val="18"/>
                <w:szCs w:val="18"/>
              </w:rPr>
            </w:pPr>
            <w:r w:rsidRPr="001D41EA">
              <w:rPr>
                <w:rFonts w:cs="Arial"/>
                <w:sz w:val="18"/>
                <w:szCs w:val="18"/>
              </w:rPr>
              <w:t>24,209,056</w:t>
            </w:r>
          </w:p>
        </w:tc>
        <w:tc>
          <w:tcPr>
            <w:tcW w:w="1701" w:type="dxa"/>
            <w:tcBorders>
              <w:top w:val="nil"/>
              <w:left w:val="nil"/>
              <w:bottom w:val="nil"/>
              <w:right w:val="nil"/>
            </w:tcBorders>
            <w:shd w:val="clear" w:color="auto" w:fill="auto"/>
            <w:noWrap/>
            <w:vAlign w:val="bottom"/>
          </w:tcPr>
          <w:p w14:paraId="33353EA4" w14:textId="3C8F7F2A" w:rsidR="00D84931" w:rsidRPr="001D41EA" w:rsidRDefault="00D84931" w:rsidP="00D84931">
            <w:pPr>
              <w:spacing w:before="40" w:after="40"/>
              <w:jc w:val="right"/>
              <w:rPr>
                <w:rFonts w:cs="Arial"/>
                <w:sz w:val="18"/>
                <w:szCs w:val="18"/>
              </w:rPr>
            </w:pPr>
            <w:r w:rsidRPr="001D41EA">
              <w:rPr>
                <w:rFonts w:cs="Arial"/>
                <w:sz w:val="18"/>
                <w:szCs w:val="18"/>
              </w:rPr>
              <w:t>5,425,863</w:t>
            </w:r>
          </w:p>
        </w:tc>
        <w:tc>
          <w:tcPr>
            <w:tcW w:w="1701" w:type="dxa"/>
            <w:tcBorders>
              <w:top w:val="nil"/>
              <w:left w:val="nil"/>
              <w:bottom w:val="nil"/>
              <w:right w:val="nil"/>
            </w:tcBorders>
            <w:vAlign w:val="bottom"/>
          </w:tcPr>
          <w:p w14:paraId="1CB0EB1A" w14:textId="680E4F37" w:rsidR="00D84931" w:rsidRPr="001D41EA" w:rsidRDefault="00D84931" w:rsidP="00D84931">
            <w:pPr>
              <w:spacing w:before="40" w:after="40"/>
              <w:jc w:val="right"/>
              <w:rPr>
                <w:rFonts w:cs="Arial"/>
                <w:sz w:val="18"/>
                <w:szCs w:val="18"/>
              </w:rPr>
            </w:pPr>
            <w:r w:rsidRPr="001D41EA">
              <w:rPr>
                <w:rFonts w:cs="Arial"/>
                <w:sz w:val="18"/>
                <w:szCs w:val="18"/>
              </w:rPr>
              <w:t>158,925,899</w:t>
            </w:r>
          </w:p>
        </w:tc>
      </w:tr>
      <w:tr w:rsidR="00D84931" w:rsidRPr="001D41EA" w14:paraId="1C462FB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3C6C105" w14:textId="77777777" w:rsidR="00D84931" w:rsidRPr="001D41EA" w:rsidRDefault="00D84931" w:rsidP="00D84931">
            <w:pPr>
              <w:spacing w:before="40" w:after="40"/>
              <w:rPr>
                <w:rFonts w:cs="Arial"/>
                <w:sz w:val="18"/>
                <w:szCs w:val="18"/>
              </w:rPr>
            </w:pPr>
            <w:r w:rsidRPr="001D41EA">
              <w:rPr>
                <w:rFonts w:cs="Arial"/>
                <w:sz w:val="18"/>
                <w:szCs w:val="18"/>
              </w:rPr>
              <w:t>Greater Shepparton C</w:t>
            </w:r>
          </w:p>
        </w:tc>
        <w:tc>
          <w:tcPr>
            <w:tcW w:w="1701" w:type="dxa"/>
            <w:tcBorders>
              <w:top w:val="nil"/>
              <w:left w:val="single" w:sz="18" w:space="0" w:color="5F497A" w:themeColor="accent4" w:themeShade="BF"/>
              <w:bottom w:val="nil"/>
              <w:right w:val="nil"/>
            </w:tcBorders>
            <w:shd w:val="clear" w:color="auto" w:fill="auto"/>
            <w:noWrap/>
            <w:vAlign w:val="bottom"/>
          </w:tcPr>
          <w:p w14:paraId="5AE7CE2E" w14:textId="0801CC79" w:rsidR="00D84931" w:rsidRPr="001D41EA" w:rsidRDefault="00D84931" w:rsidP="00D84931">
            <w:pPr>
              <w:spacing w:before="40" w:after="40"/>
              <w:jc w:val="right"/>
              <w:rPr>
                <w:rFonts w:cs="Arial"/>
                <w:sz w:val="18"/>
                <w:szCs w:val="18"/>
              </w:rPr>
            </w:pPr>
            <w:r w:rsidRPr="001D41EA">
              <w:rPr>
                <w:rFonts w:cs="Arial"/>
                <w:sz w:val="18"/>
                <w:szCs w:val="18"/>
              </w:rPr>
              <w:t>19,665,954</w:t>
            </w:r>
          </w:p>
        </w:tc>
        <w:tc>
          <w:tcPr>
            <w:tcW w:w="1701" w:type="dxa"/>
            <w:tcBorders>
              <w:top w:val="nil"/>
              <w:left w:val="nil"/>
              <w:bottom w:val="nil"/>
              <w:right w:val="nil"/>
            </w:tcBorders>
            <w:vAlign w:val="bottom"/>
          </w:tcPr>
          <w:p w14:paraId="09DDB419" w14:textId="480DE91E" w:rsidR="00D84931" w:rsidRPr="001D41EA" w:rsidRDefault="00D84931" w:rsidP="00D84931">
            <w:pPr>
              <w:spacing w:before="40" w:after="40"/>
              <w:jc w:val="right"/>
              <w:rPr>
                <w:rFonts w:cs="Arial"/>
                <w:sz w:val="18"/>
                <w:szCs w:val="18"/>
              </w:rPr>
            </w:pPr>
            <w:r w:rsidRPr="001D41EA">
              <w:rPr>
                <w:rFonts w:cs="Arial"/>
                <w:sz w:val="18"/>
                <w:szCs w:val="18"/>
              </w:rPr>
              <w:t>5,635,967</w:t>
            </w:r>
          </w:p>
        </w:tc>
        <w:tc>
          <w:tcPr>
            <w:tcW w:w="1701" w:type="dxa"/>
            <w:tcBorders>
              <w:top w:val="nil"/>
              <w:left w:val="nil"/>
              <w:bottom w:val="nil"/>
              <w:right w:val="nil"/>
            </w:tcBorders>
            <w:shd w:val="clear" w:color="auto" w:fill="auto"/>
            <w:noWrap/>
            <w:vAlign w:val="bottom"/>
          </w:tcPr>
          <w:p w14:paraId="1952E073" w14:textId="58B4EF5A" w:rsidR="00D84931" w:rsidRPr="001D41EA" w:rsidRDefault="00D84931" w:rsidP="00D84931">
            <w:pPr>
              <w:spacing w:before="40" w:after="40"/>
              <w:jc w:val="right"/>
              <w:rPr>
                <w:rFonts w:cs="Arial"/>
                <w:sz w:val="18"/>
                <w:szCs w:val="18"/>
              </w:rPr>
            </w:pPr>
            <w:r w:rsidRPr="001D41EA">
              <w:rPr>
                <w:rFonts w:cs="Arial"/>
                <w:sz w:val="18"/>
                <w:szCs w:val="18"/>
              </w:rPr>
              <w:t>5,156,870</w:t>
            </w:r>
          </w:p>
        </w:tc>
        <w:tc>
          <w:tcPr>
            <w:tcW w:w="1701" w:type="dxa"/>
            <w:tcBorders>
              <w:top w:val="nil"/>
              <w:left w:val="nil"/>
              <w:bottom w:val="nil"/>
              <w:right w:val="nil"/>
            </w:tcBorders>
            <w:vAlign w:val="bottom"/>
          </w:tcPr>
          <w:p w14:paraId="1B796C8D" w14:textId="304F262A" w:rsidR="00D84931" w:rsidRPr="001D41EA" w:rsidRDefault="00D84931" w:rsidP="00D84931">
            <w:pPr>
              <w:spacing w:before="40" w:after="40"/>
              <w:jc w:val="right"/>
              <w:rPr>
                <w:rFonts w:cs="Arial"/>
                <w:sz w:val="18"/>
                <w:szCs w:val="18"/>
              </w:rPr>
            </w:pPr>
            <w:r w:rsidRPr="001D41EA">
              <w:rPr>
                <w:rFonts w:cs="Arial"/>
                <w:sz w:val="18"/>
                <w:szCs w:val="18"/>
              </w:rPr>
              <w:t>30,458,792</w:t>
            </w:r>
          </w:p>
        </w:tc>
      </w:tr>
      <w:tr w:rsidR="00D84931" w:rsidRPr="001D41EA" w14:paraId="38C9D9A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BA17F28" w14:textId="77777777" w:rsidR="00D84931" w:rsidRPr="001D41EA" w:rsidRDefault="00D84931" w:rsidP="00D84931">
            <w:pPr>
              <w:spacing w:before="40" w:after="40"/>
              <w:rPr>
                <w:rFonts w:cs="Arial"/>
                <w:sz w:val="18"/>
                <w:szCs w:val="18"/>
              </w:rPr>
            </w:pPr>
            <w:r w:rsidRPr="001D41EA">
              <w:rPr>
                <w:rFonts w:cs="Arial"/>
                <w:sz w:val="18"/>
                <w:szCs w:val="18"/>
              </w:rPr>
              <w:t>Hepburn S</w:t>
            </w:r>
          </w:p>
        </w:tc>
        <w:tc>
          <w:tcPr>
            <w:tcW w:w="1701" w:type="dxa"/>
            <w:tcBorders>
              <w:top w:val="nil"/>
              <w:left w:val="single" w:sz="18" w:space="0" w:color="5F497A" w:themeColor="accent4" w:themeShade="BF"/>
              <w:bottom w:val="nil"/>
              <w:right w:val="nil"/>
            </w:tcBorders>
            <w:shd w:val="clear" w:color="auto" w:fill="auto"/>
            <w:noWrap/>
            <w:vAlign w:val="bottom"/>
          </w:tcPr>
          <w:p w14:paraId="0D980F28" w14:textId="6777E442" w:rsidR="00D84931" w:rsidRPr="001D41EA" w:rsidRDefault="00D84931" w:rsidP="00D84931">
            <w:pPr>
              <w:spacing w:before="40" w:after="40"/>
              <w:jc w:val="right"/>
              <w:rPr>
                <w:rFonts w:cs="Arial"/>
                <w:sz w:val="18"/>
                <w:szCs w:val="18"/>
              </w:rPr>
            </w:pPr>
            <w:r w:rsidRPr="001D41EA">
              <w:rPr>
                <w:rFonts w:cs="Arial"/>
                <w:sz w:val="18"/>
                <w:szCs w:val="18"/>
              </w:rPr>
              <w:t>8,513,439</w:t>
            </w:r>
          </w:p>
        </w:tc>
        <w:tc>
          <w:tcPr>
            <w:tcW w:w="1701" w:type="dxa"/>
            <w:tcBorders>
              <w:top w:val="nil"/>
              <w:left w:val="nil"/>
              <w:bottom w:val="nil"/>
              <w:right w:val="nil"/>
            </w:tcBorders>
            <w:vAlign w:val="bottom"/>
          </w:tcPr>
          <w:p w14:paraId="1D8A1B0B" w14:textId="7D7CB15B" w:rsidR="00D84931" w:rsidRPr="001D41EA" w:rsidRDefault="00D84931" w:rsidP="00D84931">
            <w:pPr>
              <w:spacing w:before="40" w:after="40"/>
              <w:jc w:val="right"/>
              <w:rPr>
                <w:rFonts w:cs="Arial"/>
                <w:sz w:val="18"/>
                <w:szCs w:val="18"/>
              </w:rPr>
            </w:pPr>
            <w:r w:rsidRPr="001D41EA">
              <w:rPr>
                <w:rFonts w:cs="Arial"/>
                <w:sz w:val="18"/>
                <w:szCs w:val="18"/>
              </w:rPr>
              <w:t>2,042,631</w:t>
            </w:r>
          </w:p>
        </w:tc>
        <w:tc>
          <w:tcPr>
            <w:tcW w:w="1701" w:type="dxa"/>
            <w:tcBorders>
              <w:top w:val="nil"/>
              <w:left w:val="nil"/>
              <w:bottom w:val="nil"/>
              <w:right w:val="nil"/>
            </w:tcBorders>
            <w:shd w:val="clear" w:color="auto" w:fill="auto"/>
            <w:noWrap/>
            <w:vAlign w:val="bottom"/>
          </w:tcPr>
          <w:p w14:paraId="563C4099" w14:textId="33ACFA27" w:rsidR="00D84931" w:rsidRPr="001D41EA" w:rsidRDefault="00D84931" w:rsidP="00D84931">
            <w:pPr>
              <w:spacing w:before="40" w:after="40"/>
              <w:jc w:val="right"/>
              <w:rPr>
                <w:rFonts w:cs="Arial"/>
                <w:sz w:val="18"/>
                <w:szCs w:val="18"/>
              </w:rPr>
            </w:pPr>
            <w:r w:rsidRPr="001D41EA">
              <w:rPr>
                <w:rFonts w:cs="Arial"/>
                <w:sz w:val="18"/>
                <w:szCs w:val="18"/>
              </w:rPr>
              <w:t>2,376,158</w:t>
            </w:r>
          </w:p>
        </w:tc>
        <w:tc>
          <w:tcPr>
            <w:tcW w:w="1701" w:type="dxa"/>
            <w:tcBorders>
              <w:top w:val="nil"/>
              <w:left w:val="nil"/>
              <w:bottom w:val="nil"/>
              <w:right w:val="nil"/>
            </w:tcBorders>
            <w:vAlign w:val="bottom"/>
          </w:tcPr>
          <w:p w14:paraId="608711FC" w14:textId="0E057B05" w:rsidR="00D84931" w:rsidRPr="001D41EA" w:rsidRDefault="00D84931" w:rsidP="00D84931">
            <w:pPr>
              <w:spacing w:before="40" w:after="40"/>
              <w:jc w:val="right"/>
              <w:rPr>
                <w:rFonts w:cs="Arial"/>
                <w:sz w:val="18"/>
                <w:szCs w:val="18"/>
              </w:rPr>
            </w:pPr>
            <w:r w:rsidRPr="001D41EA">
              <w:rPr>
                <w:rFonts w:cs="Arial"/>
                <w:sz w:val="18"/>
                <w:szCs w:val="18"/>
              </w:rPr>
              <w:t>12,932,229</w:t>
            </w:r>
          </w:p>
        </w:tc>
      </w:tr>
      <w:tr w:rsidR="00D84931" w:rsidRPr="001D41EA" w14:paraId="49F05B6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2B06F41" w14:textId="77777777" w:rsidR="00D84931" w:rsidRPr="001D41EA" w:rsidRDefault="00D84931" w:rsidP="00D84931">
            <w:pPr>
              <w:spacing w:before="40" w:after="40"/>
              <w:rPr>
                <w:rFonts w:cs="Arial"/>
                <w:sz w:val="18"/>
                <w:szCs w:val="18"/>
              </w:rPr>
            </w:pPr>
            <w:r w:rsidRPr="001D41EA">
              <w:rPr>
                <w:rFonts w:cs="Arial"/>
                <w:sz w:val="18"/>
                <w:szCs w:val="18"/>
              </w:rPr>
              <w:t>Hindmarsh S</w:t>
            </w:r>
          </w:p>
        </w:tc>
        <w:tc>
          <w:tcPr>
            <w:tcW w:w="1701" w:type="dxa"/>
            <w:tcBorders>
              <w:top w:val="nil"/>
              <w:left w:val="single" w:sz="18" w:space="0" w:color="5F497A" w:themeColor="accent4" w:themeShade="BF"/>
              <w:bottom w:val="nil"/>
              <w:right w:val="nil"/>
            </w:tcBorders>
            <w:shd w:val="clear" w:color="auto" w:fill="auto"/>
            <w:noWrap/>
            <w:vAlign w:val="bottom"/>
          </w:tcPr>
          <w:p w14:paraId="35A8ED4D" w14:textId="034D21EC" w:rsidR="00D84931" w:rsidRPr="001D41EA" w:rsidRDefault="00D84931" w:rsidP="00D84931">
            <w:pPr>
              <w:spacing w:before="40" w:after="40"/>
              <w:jc w:val="right"/>
              <w:rPr>
                <w:rFonts w:cs="Arial"/>
                <w:sz w:val="18"/>
                <w:szCs w:val="18"/>
              </w:rPr>
            </w:pPr>
            <w:r w:rsidRPr="001D41EA">
              <w:rPr>
                <w:rFonts w:cs="Arial"/>
                <w:sz w:val="18"/>
                <w:szCs w:val="18"/>
              </w:rPr>
              <w:t>836,995</w:t>
            </w:r>
          </w:p>
        </w:tc>
        <w:tc>
          <w:tcPr>
            <w:tcW w:w="1701" w:type="dxa"/>
            <w:tcBorders>
              <w:top w:val="nil"/>
              <w:left w:val="nil"/>
              <w:bottom w:val="nil"/>
              <w:right w:val="nil"/>
            </w:tcBorders>
            <w:vAlign w:val="bottom"/>
          </w:tcPr>
          <w:p w14:paraId="2CA470E6" w14:textId="411B0991" w:rsidR="00D84931" w:rsidRPr="001D41EA" w:rsidRDefault="00D84931" w:rsidP="00D84931">
            <w:pPr>
              <w:spacing w:before="40" w:after="40"/>
              <w:jc w:val="right"/>
              <w:rPr>
                <w:rFonts w:cs="Arial"/>
                <w:sz w:val="18"/>
                <w:szCs w:val="18"/>
              </w:rPr>
            </w:pPr>
            <w:r w:rsidRPr="001D41EA">
              <w:rPr>
                <w:rFonts w:cs="Arial"/>
                <w:sz w:val="18"/>
                <w:szCs w:val="18"/>
              </w:rPr>
              <w:t>199,711</w:t>
            </w:r>
          </w:p>
        </w:tc>
        <w:tc>
          <w:tcPr>
            <w:tcW w:w="1701" w:type="dxa"/>
            <w:tcBorders>
              <w:top w:val="nil"/>
              <w:left w:val="nil"/>
              <w:bottom w:val="nil"/>
              <w:right w:val="nil"/>
            </w:tcBorders>
            <w:shd w:val="clear" w:color="auto" w:fill="auto"/>
            <w:noWrap/>
            <w:vAlign w:val="bottom"/>
          </w:tcPr>
          <w:p w14:paraId="3B8BFDCC" w14:textId="454AC74F" w:rsidR="00D84931" w:rsidRPr="001D41EA" w:rsidRDefault="00D84931" w:rsidP="00D84931">
            <w:pPr>
              <w:spacing w:before="40" w:after="40"/>
              <w:jc w:val="right"/>
              <w:rPr>
                <w:rFonts w:cs="Arial"/>
                <w:sz w:val="18"/>
                <w:szCs w:val="18"/>
              </w:rPr>
            </w:pPr>
            <w:r w:rsidRPr="001D41EA">
              <w:rPr>
                <w:rFonts w:cs="Arial"/>
                <w:sz w:val="18"/>
                <w:szCs w:val="18"/>
              </w:rPr>
              <w:t>3,143,050</w:t>
            </w:r>
          </w:p>
        </w:tc>
        <w:tc>
          <w:tcPr>
            <w:tcW w:w="1701" w:type="dxa"/>
            <w:tcBorders>
              <w:top w:val="nil"/>
              <w:left w:val="nil"/>
              <w:bottom w:val="nil"/>
              <w:right w:val="nil"/>
            </w:tcBorders>
            <w:vAlign w:val="bottom"/>
          </w:tcPr>
          <w:p w14:paraId="04945793" w14:textId="60CD050D" w:rsidR="00D84931" w:rsidRPr="001D41EA" w:rsidRDefault="00D84931" w:rsidP="00D84931">
            <w:pPr>
              <w:spacing w:before="40" w:after="40"/>
              <w:jc w:val="right"/>
              <w:rPr>
                <w:rFonts w:cs="Arial"/>
                <w:sz w:val="18"/>
                <w:szCs w:val="18"/>
              </w:rPr>
            </w:pPr>
            <w:r w:rsidRPr="001D41EA">
              <w:rPr>
                <w:rFonts w:cs="Arial"/>
                <w:sz w:val="18"/>
                <w:szCs w:val="18"/>
              </w:rPr>
              <w:t>4,179,756</w:t>
            </w:r>
          </w:p>
        </w:tc>
      </w:tr>
      <w:tr w:rsidR="00D84931" w:rsidRPr="001D41EA" w14:paraId="27F6C6A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4F020D8" w14:textId="77777777" w:rsidR="00D84931" w:rsidRPr="001D41EA" w:rsidRDefault="00D84931" w:rsidP="00D84931">
            <w:pPr>
              <w:spacing w:before="40" w:after="40"/>
              <w:rPr>
                <w:rFonts w:cs="Arial"/>
                <w:sz w:val="18"/>
                <w:szCs w:val="18"/>
              </w:rPr>
            </w:pPr>
            <w:r w:rsidRPr="001D41EA">
              <w:rPr>
                <w:rFonts w:cs="Arial"/>
                <w:sz w:val="18"/>
                <w:szCs w:val="18"/>
              </w:rPr>
              <w:t>Hobsons Bay C</w:t>
            </w:r>
          </w:p>
        </w:tc>
        <w:tc>
          <w:tcPr>
            <w:tcW w:w="1701" w:type="dxa"/>
            <w:tcBorders>
              <w:top w:val="nil"/>
              <w:left w:val="single" w:sz="18" w:space="0" w:color="5F497A" w:themeColor="accent4" w:themeShade="BF"/>
              <w:bottom w:val="nil"/>
              <w:right w:val="nil"/>
            </w:tcBorders>
            <w:shd w:val="clear" w:color="auto" w:fill="auto"/>
            <w:noWrap/>
            <w:vAlign w:val="bottom"/>
          </w:tcPr>
          <w:p w14:paraId="2B28B372" w14:textId="3447BE62" w:rsidR="00D84931" w:rsidRPr="001D41EA" w:rsidRDefault="00D84931" w:rsidP="00D84931">
            <w:pPr>
              <w:spacing w:before="40" w:after="40"/>
              <w:jc w:val="right"/>
              <w:rPr>
                <w:rFonts w:cs="Arial"/>
                <w:sz w:val="18"/>
                <w:szCs w:val="18"/>
              </w:rPr>
            </w:pPr>
            <w:r w:rsidRPr="001D41EA">
              <w:rPr>
                <w:rFonts w:cs="Arial"/>
                <w:sz w:val="18"/>
                <w:szCs w:val="18"/>
              </w:rPr>
              <w:t>67,114,284</w:t>
            </w:r>
          </w:p>
        </w:tc>
        <w:tc>
          <w:tcPr>
            <w:tcW w:w="1701" w:type="dxa"/>
            <w:tcBorders>
              <w:top w:val="nil"/>
              <w:left w:val="nil"/>
              <w:bottom w:val="nil"/>
              <w:right w:val="nil"/>
            </w:tcBorders>
            <w:vAlign w:val="bottom"/>
          </w:tcPr>
          <w:p w14:paraId="5378E000" w14:textId="3F5F7657" w:rsidR="00D84931" w:rsidRPr="001D41EA" w:rsidRDefault="00D84931" w:rsidP="00D84931">
            <w:pPr>
              <w:spacing w:before="40" w:after="40"/>
              <w:jc w:val="right"/>
              <w:rPr>
                <w:rFonts w:cs="Arial"/>
                <w:sz w:val="18"/>
                <w:szCs w:val="18"/>
              </w:rPr>
            </w:pPr>
            <w:r w:rsidRPr="001D41EA">
              <w:rPr>
                <w:rFonts w:cs="Arial"/>
                <w:sz w:val="18"/>
                <w:szCs w:val="18"/>
              </w:rPr>
              <w:t>15,102,471</w:t>
            </w:r>
          </w:p>
        </w:tc>
        <w:tc>
          <w:tcPr>
            <w:tcW w:w="1701" w:type="dxa"/>
            <w:tcBorders>
              <w:top w:val="nil"/>
              <w:left w:val="nil"/>
              <w:bottom w:val="nil"/>
              <w:right w:val="nil"/>
            </w:tcBorders>
            <w:shd w:val="clear" w:color="auto" w:fill="auto"/>
            <w:noWrap/>
            <w:vAlign w:val="bottom"/>
          </w:tcPr>
          <w:p w14:paraId="5F3633B1" w14:textId="4C4BBF0C"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3D6A0962" w14:textId="10ED083A" w:rsidR="00D84931" w:rsidRPr="001D41EA" w:rsidRDefault="00D84931" w:rsidP="00D84931">
            <w:pPr>
              <w:spacing w:before="40" w:after="40"/>
              <w:jc w:val="right"/>
              <w:rPr>
                <w:rFonts w:cs="Arial"/>
                <w:sz w:val="18"/>
                <w:szCs w:val="18"/>
              </w:rPr>
            </w:pPr>
            <w:r w:rsidRPr="001D41EA">
              <w:rPr>
                <w:rFonts w:cs="Arial"/>
                <w:sz w:val="18"/>
                <w:szCs w:val="18"/>
              </w:rPr>
              <w:t>82,216,755</w:t>
            </w:r>
          </w:p>
        </w:tc>
      </w:tr>
      <w:tr w:rsidR="00D84931" w:rsidRPr="001D41EA" w14:paraId="66EFF15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12FA42C" w14:textId="77777777" w:rsidR="00D84931" w:rsidRPr="001D41EA" w:rsidRDefault="00D84931" w:rsidP="00D84931">
            <w:pPr>
              <w:spacing w:before="40" w:after="40"/>
              <w:rPr>
                <w:rFonts w:cs="Arial"/>
                <w:sz w:val="18"/>
                <w:szCs w:val="18"/>
              </w:rPr>
            </w:pPr>
            <w:r w:rsidRPr="001D41EA">
              <w:rPr>
                <w:rFonts w:cs="Arial"/>
                <w:sz w:val="18"/>
                <w:szCs w:val="18"/>
              </w:rPr>
              <w:t>Horsham RC</w:t>
            </w:r>
          </w:p>
        </w:tc>
        <w:tc>
          <w:tcPr>
            <w:tcW w:w="1701" w:type="dxa"/>
            <w:tcBorders>
              <w:top w:val="nil"/>
              <w:left w:val="single" w:sz="18" w:space="0" w:color="5F497A" w:themeColor="accent4" w:themeShade="BF"/>
              <w:bottom w:val="nil"/>
              <w:right w:val="nil"/>
            </w:tcBorders>
            <w:shd w:val="clear" w:color="auto" w:fill="auto"/>
            <w:noWrap/>
            <w:vAlign w:val="bottom"/>
          </w:tcPr>
          <w:p w14:paraId="5BBA0BF7" w14:textId="70615CE1" w:rsidR="00D84931" w:rsidRPr="001D41EA" w:rsidRDefault="00D84931" w:rsidP="00D84931">
            <w:pPr>
              <w:spacing w:before="40" w:after="40"/>
              <w:jc w:val="right"/>
              <w:rPr>
                <w:rFonts w:cs="Arial"/>
                <w:sz w:val="18"/>
                <w:szCs w:val="18"/>
              </w:rPr>
            </w:pPr>
            <w:r w:rsidRPr="001D41EA">
              <w:rPr>
                <w:rFonts w:cs="Arial"/>
                <w:sz w:val="18"/>
                <w:szCs w:val="18"/>
              </w:rPr>
              <w:t>6,457,355</w:t>
            </w:r>
          </w:p>
        </w:tc>
        <w:tc>
          <w:tcPr>
            <w:tcW w:w="1701" w:type="dxa"/>
            <w:tcBorders>
              <w:top w:val="nil"/>
              <w:left w:val="nil"/>
              <w:bottom w:val="nil"/>
              <w:right w:val="nil"/>
            </w:tcBorders>
            <w:vAlign w:val="bottom"/>
          </w:tcPr>
          <w:p w14:paraId="0B69F6B9" w14:textId="62350C56" w:rsidR="00D84931" w:rsidRPr="001D41EA" w:rsidRDefault="00D84931" w:rsidP="00D84931">
            <w:pPr>
              <w:spacing w:before="40" w:after="40"/>
              <w:jc w:val="right"/>
              <w:rPr>
                <w:rFonts w:cs="Arial"/>
                <w:sz w:val="18"/>
                <w:szCs w:val="18"/>
              </w:rPr>
            </w:pPr>
            <w:r w:rsidRPr="001D41EA">
              <w:rPr>
                <w:rFonts w:cs="Arial"/>
                <w:sz w:val="18"/>
                <w:szCs w:val="18"/>
              </w:rPr>
              <w:t>1,729,786</w:t>
            </w:r>
          </w:p>
        </w:tc>
        <w:tc>
          <w:tcPr>
            <w:tcW w:w="1701" w:type="dxa"/>
            <w:tcBorders>
              <w:top w:val="nil"/>
              <w:left w:val="nil"/>
              <w:bottom w:val="nil"/>
              <w:right w:val="nil"/>
            </w:tcBorders>
            <w:shd w:val="clear" w:color="auto" w:fill="auto"/>
            <w:noWrap/>
            <w:vAlign w:val="bottom"/>
          </w:tcPr>
          <w:p w14:paraId="7B2AD193" w14:textId="28272EF6" w:rsidR="00D84931" w:rsidRPr="001D41EA" w:rsidRDefault="00D84931" w:rsidP="00D84931">
            <w:pPr>
              <w:spacing w:before="40" w:after="40"/>
              <w:jc w:val="right"/>
              <w:rPr>
                <w:rFonts w:cs="Arial"/>
                <w:sz w:val="18"/>
                <w:szCs w:val="18"/>
              </w:rPr>
            </w:pPr>
            <w:r w:rsidRPr="001D41EA">
              <w:rPr>
                <w:rFonts w:cs="Arial"/>
                <w:sz w:val="18"/>
                <w:szCs w:val="18"/>
              </w:rPr>
              <w:t>4,625,197</w:t>
            </w:r>
          </w:p>
        </w:tc>
        <w:tc>
          <w:tcPr>
            <w:tcW w:w="1701" w:type="dxa"/>
            <w:tcBorders>
              <w:top w:val="nil"/>
              <w:left w:val="nil"/>
              <w:bottom w:val="nil"/>
              <w:right w:val="nil"/>
            </w:tcBorders>
            <w:vAlign w:val="bottom"/>
          </w:tcPr>
          <w:p w14:paraId="34B6E159" w14:textId="0241668B" w:rsidR="00D84931" w:rsidRPr="001D41EA" w:rsidRDefault="00D84931" w:rsidP="00D84931">
            <w:pPr>
              <w:spacing w:before="40" w:after="40"/>
              <w:jc w:val="right"/>
              <w:rPr>
                <w:rFonts w:cs="Arial"/>
                <w:sz w:val="18"/>
                <w:szCs w:val="18"/>
              </w:rPr>
            </w:pPr>
            <w:r w:rsidRPr="001D41EA">
              <w:rPr>
                <w:rFonts w:cs="Arial"/>
                <w:sz w:val="18"/>
                <w:szCs w:val="18"/>
              </w:rPr>
              <w:t>12,812,338</w:t>
            </w:r>
          </w:p>
        </w:tc>
      </w:tr>
      <w:tr w:rsidR="00D84931" w:rsidRPr="001D41EA" w14:paraId="5E5AFA3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E0B7B6B" w14:textId="77777777" w:rsidR="00D84931" w:rsidRPr="001D41EA" w:rsidRDefault="00D84931" w:rsidP="00D84931">
            <w:pPr>
              <w:spacing w:before="40" w:after="40"/>
              <w:rPr>
                <w:rFonts w:cs="Arial"/>
                <w:sz w:val="18"/>
                <w:szCs w:val="18"/>
              </w:rPr>
            </w:pPr>
            <w:r w:rsidRPr="001D41EA">
              <w:rPr>
                <w:rFonts w:cs="Arial"/>
                <w:sz w:val="18"/>
                <w:szCs w:val="18"/>
              </w:rPr>
              <w:t>Hume C</w:t>
            </w:r>
          </w:p>
        </w:tc>
        <w:tc>
          <w:tcPr>
            <w:tcW w:w="1701" w:type="dxa"/>
            <w:tcBorders>
              <w:top w:val="nil"/>
              <w:left w:val="single" w:sz="18" w:space="0" w:color="5F497A" w:themeColor="accent4" w:themeShade="BF"/>
              <w:bottom w:val="nil"/>
              <w:right w:val="nil"/>
            </w:tcBorders>
            <w:shd w:val="clear" w:color="auto" w:fill="auto"/>
            <w:noWrap/>
            <w:vAlign w:val="bottom"/>
          </w:tcPr>
          <w:p w14:paraId="398A6A4C" w14:textId="22078770" w:rsidR="00D84931" w:rsidRPr="001D41EA" w:rsidRDefault="00D84931" w:rsidP="00D84931">
            <w:pPr>
              <w:spacing w:before="40" w:after="40"/>
              <w:jc w:val="right"/>
              <w:rPr>
                <w:rFonts w:cs="Arial"/>
                <w:sz w:val="18"/>
                <w:szCs w:val="18"/>
              </w:rPr>
            </w:pPr>
            <w:r w:rsidRPr="001D41EA">
              <w:rPr>
                <w:rFonts w:cs="Arial"/>
                <w:sz w:val="18"/>
                <w:szCs w:val="18"/>
              </w:rPr>
              <w:t>74,037,268</w:t>
            </w:r>
          </w:p>
        </w:tc>
        <w:tc>
          <w:tcPr>
            <w:tcW w:w="1701" w:type="dxa"/>
            <w:tcBorders>
              <w:top w:val="nil"/>
              <w:left w:val="nil"/>
              <w:bottom w:val="nil"/>
              <w:right w:val="nil"/>
            </w:tcBorders>
            <w:vAlign w:val="bottom"/>
          </w:tcPr>
          <w:p w14:paraId="0E1CC8D1" w14:textId="15E39C39" w:rsidR="00D84931" w:rsidRPr="001D41EA" w:rsidRDefault="00D84931" w:rsidP="00D84931">
            <w:pPr>
              <w:spacing w:before="40" w:after="40"/>
              <w:jc w:val="right"/>
              <w:rPr>
                <w:rFonts w:cs="Arial"/>
                <w:sz w:val="18"/>
                <w:szCs w:val="18"/>
              </w:rPr>
            </w:pPr>
            <w:r w:rsidRPr="001D41EA">
              <w:rPr>
                <w:rFonts w:cs="Arial"/>
                <w:sz w:val="18"/>
                <w:szCs w:val="18"/>
              </w:rPr>
              <w:t>24,306,905</w:t>
            </w:r>
          </w:p>
        </w:tc>
        <w:tc>
          <w:tcPr>
            <w:tcW w:w="1701" w:type="dxa"/>
            <w:tcBorders>
              <w:top w:val="nil"/>
              <w:left w:val="nil"/>
              <w:bottom w:val="nil"/>
              <w:right w:val="nil"/>
            </w:tcBorders>
            <w:shd w:val="clear" w:color="auto" w:fill="auto"/>
            <w:noWrap/>
            <w:vAlign w:val="bottom"/>
          </w:tcPr>
          <w:p w14:paraId="0150C04A" w14:textId="57ECFA97" w:rsidR="00D84931" w:rsidRPr="001D41EA" w:rsidRDefault="00D84931" w:rsidP="00D84931">
            <w:pPr>
              <w:spacing w:before="40" w:after="40"/>
              <w:jc w:val="right"/>
              <w:rPr>
                <w:rFonts w:cs="Arial"/>
                <w:sz w:val="18"/>
                <w:szCs w:val="18"/>
              </w:rPr>
            </w:pPr>
            <w:r w:rsidRPr="001D41EA">
              <w:rPr>
                <w:rFonts w:cs="Arial"/>
                <w:sz w:val="18"/>
                <w:szCs w:val="18"/>
              </w:rPr>
              <w:t>7,518,345</w:t>
            </w:r>
          </w:p>
        </w:tc>
        <w:tc>
          <w:tcPr>
            <w:tcW w:w="1701" w:type="dxa"/>
            <w:tcBorders>
              <w:top w:val="nil"/>
              <w:left w:val="nil"/>
              <w:bottom w:val="nil"/>
              <w:right w:val="nil"/>
            </w:tcBorders>
            <w:vAlign w:val="bottom"/>
          </w:tcPr>
          <w:p w14:paraId="11ED7981" w14:textId="3956626D" w:rsidR="00D84931" w:rsidRPr="001D41EA" w:rsidRDefault="00D84931" w:rsidP="00D84931">
            <w:pPr>
              <w:spacing w:before="40" w:after="40"/>
              <w:jc w:val="right"/>
              <w:rPr>
                <w:rFonts w:cs="Arial"/>
                <w:sz w:val="18"/>
                <w:szCs w:val="18"/>
              </w:rPr>
            </w:pPr>
            <w:r w:rsidRPr="001D41EA">
              <w:rPr>
                <w:rFonts w:cs="Arial"/>
                <w:sz w:val="18"/>
                <w:szCs w:val="18"/>
              </w:rPr>
              <w:t>105,862,518</w:t>
            </w:r>
          </w:p>
        </w:tc>
      </w:tr>
      <w:tr w:rsidR="00D84931" w:rsidRPr="001D41EA" w14:paraId="7758A1B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33D1535" w14:textId="77777777" w:rsidR="00D84931" w:rsidRPr="001D41EA" w:rsidRDefault="00D84931" w:rsidP="00D84931">
            <w:pPr>
              <w:spacing w:before="40" w:after="40"/>
              <w:rPr>
                <w:rFonts w:cs="Arial"/>
                <w:sz w:val="18"/>
                <w:szCs w:val="18"/>
              </w:rPr>
            </w:pPr>
            <w:r w:rsidRPr="001D41EA">
              <w:rPr>
                <w:rFonts w:cs="Arial"/>
                <w:sz w:val="18"/>
                <w:szCs w:val="18"/>
              </w:rPr>
              <w:t>Indigo S</w:t>
            </w:r>
          </w:p>
        </w:tc>
        <w:tc>
          <w:tcPr>
            <w:tcW w:w="1701" w:type="dxa"/>
            <w:tcBorders>
              <w:top w:val="nil"/>
              <w:left w:val="single" w:sz="18" w:space="0" w:color="5F497A" w:themeColor="accent4" w:themeShade="BF"/>
              <w:bottom w:val="nil"/>
              <w:right w:val="nil"/>
            </w:tcBorders>
            <w:shd w:val="clear" w:color="auto" w:fill="auto"/>
            <w:noWrap/>
            <w:vAlign w:val="bottom"/>
          </w:tcPr>
          <w:p w14:paraId="39638DE3" w14:textId="420AB4D5" w:rsidR="00D84931" w:rsidRPr="001D41EA" w:rsidRDefault="00D84931" w:rsidP="00D84931">
            <w:pPr>
              <w:spacing w:before="40" w:after="40"/>
              <w:jc w:val="right"/>
              <w:rPr>
                <w:rFonts w:cs="Arial"/>
                <w:sz w:val="18"/>
                <w:szCs w:val="18"/>
              </w:rPr>
            </w:pPr>
            <w:r w:rsidRPr="001D41EA">
              <w:rPr>
                <w:rFonts w:cs="Arial"/>
                <w:sz w:val="18"/>
                <w:szCs w:val="18"/>
              </w:rPr>
              <w:t>4,704,824</w:t>
            </w:r>
          </w:p>
        </w:tc>
        <w:tc>
          <w:tcPr>
            <w:tcW w:w="1701" w:type="dxa"/>
            <w:tcBorders>
              <w:top w:val="nil"/>
              <w:left w:val="nil"/>
              <w:bottom w:val="nil"/>
              <w:right w:val="nil"/>
            </w:tcBorders>
            <w:vAlign w:val="bottom"/>
          </w:tcPr>
          <w:p w14:paraId="3B470C11" w14:textId="2FC822ED" w:rsidR="00D84931" w:rsidRPr="001D41EA" w:rsidRDefault="00D84931" w:rsidP="00D84931">
            <w:pPr>
              <w:spacing w:before="40" w:after="40"/>
              <w:jc w:val="right"/>
              <w:rPr>
                <w:rFonts w:cs="Arial"/>
                <w:sz w:val="18"/>
                <w:szCs w:val="18"/>
              </w:rPr>
            </w:pPr>
            <w:r w:rsidRPr="001D41EA">
              <w:rPr>
                <w:rFonts w:cs="Arial"/>
                <w:sz w:val="18"/>
                <w:szCs w:val="18"/>
              </w:rPr>
              <w:t>572,785</w:t>
            </w:r>
          </w:p>
        </w:tc>
        <w:tc>
          <w:tcPr>
            <w:tcW w:w="1701" w:type="dxa"/>
            <w:tcBorders>
              <w:top w:val="nil"/>
              <w:left w:val="nil"/>
              <w:bottom w:val="nil"/>
              <w:right w:val="nil"/>
            </w:tcBorders>
            <w:shd w:val="clear" w:color="auto" w:fill="auto"/>
            <w:noWrap/>
            <w:vAlign w:val="bottom"/>
          </w:tcPr>
          <w:p w14:paraId="2FA6B068" w14:textId="2BF0A5E1" w:rsidR="00D84931" w:rsidRPr="001D41EA" w:rsidRDefault="00D84931" w:rsidP="00D84931">
            <w:pPr>
              <w:spacing w:before="40" w:after="40"/>
              <w:jc w:val="right"/>
              <w:rPr>
                <w:rFonts w:cs="Arial"/>
                <w:sz w:val="18"/>
                <w:szCs w:val="18"/>
              </w:rPr>
            </w:pPr>
            <w:r w:rsidRPr="001D41EA">
              <w:rPr>
                <w:rFonts w:cs="Arial"/>
                <w:sz w:val="18"/>
                <w:szCs w:val="18"/>
              </w:rPr>
              <w:t>4,069,677</w:t>
            </w:r>
          </w:p>
        </w:tc>
        <w:tc>
          <w:tcPr>
            <w:tcW w:w="1701" w:type="dxa"/>
            <w:tcBorders>
              <w:top w:val="nil"/>
              <w:left w:val="nil"/>
              <w:bottom w:val="nil"/>
              <w:right w:val="nil"/>
            </w:tcBorders>
            <w:vAlign w:val="bottom"/>
          </w:tcPr>
          <w:p w14:paraId="28CA6385" w14:textId="4A188307" w:rsidR="00D84931" w:rsidRPr="001D41EA" w:rsidRDefault="00D84931" w:rsidP="00D84931">
            <w:pPr>
              <w:spacing w:before="40" w:after="40"/>
              <w:jc w:val="right"/>
              <w:rPr>
                <w:rFonts w:cs="Arial"/>
                <w:sz w:val="18"/>
                <w:szCs w:val="18"/>
              </w:rPr>
            </w:pPr>
            <w:r w:rsidRPr="001D41EA">
              <w:rPr>
                <w:rFonts w:cs="Arial"/>
                <w:sz w:val="18"/>
                <w:szCs w:val="18"/>
              </w:rPr>
              <w:t>9,347,286</w:t>
            </w:r>
          </w:p>
        </w:tc>
      </w:tr>
      <w:tr w:rsidR="00D84931" w:rsidRPr="001D41EA" w14:paraId="325C0DD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E408608" w14:textId="77777777" w:rsidR="00D84931" w:rsidRPr="001D41EA" w:rsidRDefault="00D84931" w:rsidP="00D84931">
            <w:pPr>
              <w:spacing w:before="40" w:after="40"/>
              <w:rPr>
                <w:rFonts w:cs="Arial"/>
                <w:sz w:val="18"/>
                <w:szCs w:val="18"/>
              </w:rPr>
            </w:pPr>
            <w:r w:rsidRPr="001D41EA">
              <w:rPr>
                <w:rFonts w:cs="Arial"/>
                <w:sz w:val="18"/>
                <w:szCs w:val="18"/>
              </w:rPr>
              <w:t>Kingston C</w:t>
            </w:r>
          </w:p>
        </w:tc>
        <w:tc>
          <w:tcPr>
            <w:tcW w:w="1701" w:type="dxa"/>
            <w:tcBorders>
              <w:top w:val="nil"/>
              <w:left w:val="single" w:sz="18" w:space="0" w:color="5F497A" w:themeColor="accent4" w:themeShade="BF"/>
              <w:bottom w:val="nil"/>
              <w:right w:val="nil"/>
            </w:tcBorders>
            <w:shd w:val="clear" w:color="auto" w:fill="auto"/>
            <w:noWrap/>
            <w:vAlign w:val="bottom"/>
          </w:tcPr>
          <w:p w14:paraId="2C629C53" w14:textId="296778AA" w:rsidR="00D84931" w:rsidRPr="001D41EA" w:rsidRDefault="00D84931" w:rsidP="00D84931">
            <w:pPr>
              <w:spacing w:before="40" w:after="40"/>
              <w:jc w:val="right"/>
              <w:rPr>
                <w:rFonts w:cs="Arial"/>
                <w:sz w:val="18"/>
                <w:szCs w:val="18"/>
              </w:rPr>
            </w:pPr>
            <w:r w:rsidRPr="001D41EA">
              <w:rPr>
                <w:rFonts w:cs="Arial"/>
                <w:sz w:val="18"/>
                <w:szCs w:val="18"/>
              </w:rPr>
              <w:t>118,368,190</w:t>
            </w:r>
          </w:p>
        </w:tc>
        <w:tc>
          <w:tcPr>
            <w:tcW w:w="1701" w:type="dxa"/>
            <w:tcBorders>
              <w:top w:val="nil"/>
              <w:left w:val="nil"/>
              <w:bottom w:val="nil"/>
              <w:right w:val="nil"/>
            </w:tcBorders>
            <w:vAlign w:val="bottom"/>
          </w:tcPr>
          <w:p w14:paraId="5E13F790" w14:textId="018CD26D" w:rsidR="00D84931" w:rsidRPr="001D41EA" w:rsidRDefault="00D84931" w:rsidP="00D84931">
            <w:pPr>
              <w:spacing w:before="40" w:after="40"/>
              <w:jc w:val="right"/>
              <w:rPr>
                <w:rFonts w:cs="Arial"/>
                <w:sz w:val="18"/>
                <w:szCs w:val="18"/>
              </w:rPr>
            </w:pPr>
            <w:r w:rsidRPr="001D41EA">
              <w:rPr>
                <w:rFonts w:cs="Arial"/>
                <w:sz w:val="18"/>
                <w:szCs w:val="18"/>
              </w:rPr>
              <w:t>32,466,727</w:t>
            </w:r>
          </w:p>
        </w:tc>
        <w:tc>
          <w:tcPr>
            <w:tcW w:w="1701" w:type="dxa"/>
            <w:tcBorders>
              <w:top w:val="nil"/>
              <w:left w:val="nil"/>
              <w:bottom w:val="nil"/>
              <w:right w:val="nil"/>
            </w:tcBorders>
            <w:shd w:val="clear" w:color="auto" w:fill="auto"/>
            <w:noWrap/>
            <w:vAlign w:val="bottom"/>
          </w:tcPr>
          <w:p w14:paraId="3F0D403B" w14:textId="127149B6" w:rsidR="00D84931" w:rsidRPr="001D41EA" w:rsidRDefault="00D84931" w:rsidP="00D84931">
            <w:pPr>
              <w:spacing w:before="40" w:after="40"/>
              <w:jc w:val="right"/>
              <w:rPr>
                <w:rFonts w:cs="Arial"/>
                <w:sz w:val="18"/>
                <w:szCs w:val="18"/>
              </w:rPr>
            </w:pPr>
            <w:r w:rsidRPr="001D41EA">
              <w:rPr>
                <w:rFonts w:cs="Arial"/>
                <w:sz w:val="18"/>
                <w:szCs w:val="18"/>
              </w:rPr>
              <w:t>339,550</w:t>
            </w:r>
          </w:p>
        </w:tc>
        <w:tc>
          <w:tcPr>
            <w:tcW w:w="1701" w:type="dxa"/>
            <w:tcBorders>
              <w:top w:val="nil"/>
              <w:left w:val="nil"/>
              <w:bottom w:val="nil"/>
              <w:right w:val="nil"/>
            </w:tcBorders>
            <w:vAlign w:val="bottom"/>
          </w:tcPr>
          <w:p w14:paraId="7A65E701" w14:textId="1F2581BE" w:rsidR="00D84931" w:rsidRPr="001D41EA" w:rsidRDefault="00D84931" w:rsidP="00D84931">
            <w:pPr>
              <w:spacing w:before="40" w:after="40"/>
              <w:jc w:val="right"/>
              <w:rPr>
                <w:rFonts w:cs="Arial"/>
                <w:sz w:val="18"/>
                <w:szCs w:val="18"/>
              </w:rPr>
            </w:pPr>
            <w:r w:rsidRPr="001D41EA">
              <w:rPr>
                <w:rFonts w:cs="Arial"/>
                <w:sz w:val="18"/>
                <w:szCs w:val="18"/>
              </w:rPr>
              <w:t>151,174,467</w:t>
            </w:r>
          </w:p>
        </w:tc>
      </w:tr>
      <w:tr w:rsidR="00D84931" w:rsidRPr="001D41EA" w14:paraId="4FC44A9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08AFFE4" w14:textId="77777777" w:rsidR="00D84931" w:rsidRPr="001D41EA" w:rsidRDefault="00D84931" w:rsidP="00D84931">
            <w:pPr>
              <w:spacing w:before="40" w:after="40"/>
              <w:rPr>
                <w:rFonts w:cs="Arial"/>
                <w:sz w:val="18"/>
                <w:szCs w:val="18"/>
              </w:rPr>
            </w:pPr>
            <w:r w:rsidRPr="001D41EA">
              <w:rPr>
                <w:rFonts w:cs="Arial"/>
                <w:sz w:val="18"/>
                <w:szCs w:val="18"/>
              </w:rPr>
              <w:t>Knox C</w:t>
            </w:r>
          </w:p>
        </w:tc>
        <w:tc>
          <w:tcPr>
            <w:tcW w:w="1701" w:type="dxa"/>
            <w:tcBorders>
              <w:top w:val="nil"/>
              <w:left w:val="single" w:sz="18" w:space="0" w:color="5F497A" w:themeColor="accent4" w:themeShade="BF"/>
              <w:bottom w:val="nil"/>
              <w:right w:val="nil"/>
            </w:tcBorders>
            <w:shd w:val="clear" w:color="auto" w:fill="auto"/>
            <w:noWrap/>
            <w:vAlign w:val="bottom"/>
          </w:tcPr>
          <w:p w14:paraId="3F87960F" w14:textId="7CEF24F5" w:rsidR="00D84931" w:rsidRPr="001D41EA" w:rsidRDefault="00D84931" w:rsidP="00D84931">
            <w:pPr>
              <w:spacing w:before="40" w:after="40"/>
              <w:jc w:val="right"/>
              <w:rPr>
                <w:rFonts w:cs="Arial"/>
                <w:sz w:val="18"/>
                <w:szCs w:val="18"/>
              </w:rPr>
            </w:pPr>
            <w:r w:rsidRPr="001D41EA">
              <w:rPr>
                <w:rFonts w:cs="Arial"/>
                <w:sz w:val="18"/>
                <w:szCs w:val="18"/>
              </w:rPr>
              <w:t>96,315,556</w:t>
            </w:r>
          </w:p>
        </w:tc>
        <w:tc>
          <w:tcPr>
            <w:tcW w:w="1701" w:type="dxa"/>
            <w:tcBorders>
              <w:top w:val="nil"/>
              <w:left w:val="nil"/>
              <w:bottom w:val="nil"/>
              <w:right w:val="nil"/>
            </w:tcBorders>
            <w:vAlign w:val="bottom"/>
          </w:tcPr>
          <w:p w14:paraId="4F949B2F" w14:textId="7D69C5C5" w:rsidR="00D84931" w:rsidRPr="001D41EA" w:rsidRDefault="00D84931" w:rsidP="00D84931">
            <w:pPr>
              <w:spacing w:before="40" w:after="40"/>
              <w:jc w:val="right"/>
              <w:rPr>
                <w:rFonts w:cs="Arial"/>
                <w:sz w:val="18"/>
                <w:szCs w:val="18"/>
              </w:rPr>
            </w:pPr>
            <w:r w:rsidRPr="001D41EA">
              <w:rPr>
                <w:rFonts w:cs="Arial"/>
                <w:sz w:val="18"/>
                <w:szCs w:val="18"/>
              </w:rPr>
              <w:t>21,847,604</w:t>
            </w:r>
          </w:p>
        </w:tc>
        <w:tc>
          <w:tcPr>
            <w:tcW w:w="1701" w:type="dxa"/>
            <w:tcBorders>
              <w:top w:val="nil"/>
              <w:left w:val="nil"/>
              <w:bottom w:val="nil"/>
              <w:right w:val="nil"/>
            </w:tcBorders>
            <w:shd w:val="clear" w:color="auto" w:fill="auto"/>
            <w:noWrap/>
            <w:vAlign w:val="bottom"/>
          </w:tcPr>
          <w:p w14:paraId="13123CD5" w14:textId="5DD51B6A" w:rsidR="00D84931" w:rsidRPr="001D41EA" w:rsidRDefault="00D84931" w:rsidP="00D84931">
            <w:pPr>
              <w:spacing w:before="40" w:after="4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3DB47A4A" w14:textId="53898D4B" w:rsidR="00D84931" w:rsidRPr="001D41EA" w:rsidRDefault="00D84931" w:rsidP="00D84931">
            <w:pPr>
              <w:spacing w:before="40" w:after="40"/>
              <w:jc w:val="right"/>
              <w:rPr>
                <w:rFonts w:cs="Arial"/>
                <w:sz w:val="18"/>
                <w:szCs w:val="18"/>
              </w:rPr>
            </w:pPr>
            <w:r w:rsidRPr="001D41EA">
              <w:rPr>
                <w:rFonts w:cs="Arial"/>
                <w:sz w:val="18"/>
                <w:szCs w:val="18"/>
              </w:rPr>
              <w:t>118,163,160</w:t>
            </w:r>
          </w:p>
        </w:tc>
      </w:tr>
      <w:tr w:rsidR="00D84931" w:rsidRPr="001D41EA" w14:paraId="6C1A166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86E574D" w14:textId="77777777" w:rsidR="00D84931" w:rsidRPr="001D41EA" w:rsidRDefault="00D84931" w:rsidP="00D84931">
            <w:pPr>
              <w:spacing w:before="40" w:after="40"/>
              <w:rPr>
                <w:rFonts w:cs="Arial"/>
                <w:sz w:val="18"/>
                <w:szCs w:val="18"/>
              </w:rPr>
            </w:pPr>
            <w:r w:rsidRPr="001D41EA">
              <w:rPr>
                <w:rFonts w:cs="Arial"/>
                <w:sz w:val="18"/>
                <w:szCs w:val="18"/>
              </w:rPr>
              <w:t>Latrobe C</w:t>
            </w:r>
          </w:p>
        </w:tc>
        <w:tc>
          <w:tcPr>
            <w:tcW w:w="1701" w:type="dxa"/>
            <w:tcBorders>
              <w:top w:val="nil"/>
              <w:left w:val="single" w:sz="18" w:space="0" w:color="5F497A" w:themeColor="accent4" w:themeShade="BF"/>
              <w:bottom w:val="nil"/>
              <w:right w:val="nil"/>
            </w:tcBorders>
            <w:shd w:val="clear" w:color="auto" w:fill="auto"/>
            <w:noWrap/>
            <w:vAlign w:val="bottom"/>
          </w:tcPr>
          <w:p w14:paraId="7C17F3A5" w14:textId="5EFE63A4" w:rsidR="00D84931" w:rsidRPr="001D41EA" w:rsidRDefault="00D84931" w:rsidP="00D84931">
            <w:pPr>
              <w:spacing w:before="40" w:after="40"/>
              <w:jc w:val="right"/>
              <w:rPr>
                <w:rFonts w:cs="Arial"/>
                <w:sz w:val="18"/>
                <w:szCs w:val="18"/>
              </w:rPr>
            </w:pPr>
            <w:r w:rsidRPr="001D41EA">
              <w:rPr>
                <w:rFonts w:cs="Arial"/>
                <w:sz w:val="18"/>
                <w:szCs w:val="18"/>
              </w:rPr>
              <w:t>24,746,639</w:t>
            </w:r>
          </w:p>
        </w:tc>
        <w:tc>
          <w:tcPr>
            <w:tcW w:w="1701" w:type="dxa"/>
            <w:tcBorders>
              <w:top w:val="nil"/>
              <w:left w:val="nil"/>
              <w:bottom w:val="nil"/>
              <w:right w:val="nil"/>
            </w:tcBorders>
            <w:vAlign w:val="bottom"/>
          </w:tcPr>
          <w:p w14:paraId="3DEAF681" w14:textId="60416BE9" w:rsidR="00D84931" w:rsidRPr="001D41EA" w:rsidRDefault="00D84931" w:rsidP="00D84931">
            <w:pPr>
              <w:spacing w:before="40" w:after="40"/>
              <w:jc w:val="right"/>
              <w:rPr>
                <w:rFonts w:cs="Arial"/>
                <w:sz w:val="18"/>
                <w:szCs w:val="18"/>
              </w:rPr>
            </w:pPr>
            <w:r w:rsidRPr="001D41EA">
              <w:rPr>
                <w:rFonts w:cs="Arial"/>
                <w:sz w:val="18"/>
                <w:szCs w:val="18"/>
              </w:rPr>
              <w:t>6,086,803</w:t>
            </w:r>
          </w:p>
        </w:tc>
        <w:tc>
          <w:tcPr>
            <w:tcW w:w="1701" w:type="dxa"/>
            <w:tcBorders>
              <w:top w:val="nil"/>
              <w:left w:val="nil"/>
              <w:bottom w:val="nil"/>
              <w:right w:val="nil"/>
            </w:tcBorders>
            <w:shd w:val="clear" w:color="auto" w:fill="auto"/>
            <w:noWrap/>
            <w:vAlign w:val="bottom"/>
          </w:tcPr>
          <w:p w14:paraId="79FF8C8D" w14:textId="48D5A19C" w:rsidR="00D84931" w:rsidRPr="001D41EA" w:rsidRDefault="00D84931" w:rsidP="00D84931">
            <w:pPr>
              <w:spacing w:before="40" w:after="40"/>
              <w:jc w:val="right"/>
              <w:rPr>
                <w:rFonts w:cs="Arial"/>
                <w:sz w:val="18"/>
                <w:szCs w:val="18"/>
              </w:rPr>
            </w:pPr>
            <w:r w:rsidRPr="001D41EA">
              <w:rPr>
                <w:rFonts w:cs="Arial"/>
                <w:sz w:val="18"/>
                <w:szCs w:val="18"/>
              </w:rPr>
              <w:t>2,838,659</w:t>
            </w:r>
          </w:p>
        </w:tc>
        <w:tc>
          <w:tcPr>
            <w:tcW w:w="1701" w:type="dxa"/>
            <w:tcBorders>
              <w:top w:val="nil"/>
              <w:left w:val="nil"/>
              <w:bottom w:val="nil"/>
              <w:right w:val="nil"/>
            </w:tcBorders>
            <w:vAlign w:val="bottom"/>
          </w:tcPr>
          <w:p w14:paraId="5BBFE752" w14:textId="46A5C0F4" w:rsidR="00D84931" w:rsidRPr="001D41EA" w:rsidRDefault="00D84931" w:rsidP="00D84931">
            <w:pPr>
              <w:spacing w:before="40" w:after="40"/>
              <w:jc w:val="right"/>
              <w:rPr>
                <w:rFonts w:cs="Arial"/>
                <w:sz w:val="18"/>
                <w:szCs w:val="18"/>
              </w:rPr>
            </w:pPr>
            <w:r w:rsidRPr="001D41EA">
              <w:rPr>
                <w:rFonts w:cs="Arial"/>
                <w:sz w:val="18"/>
                <w:szCs w:val="18"/>
              </w:rPr>
              <w:t>33,672,102</w:t>
            </w:r>
          </w:p>
        </w:tc>
      </w:tr>
      <w:tr w:rsidR="00D84931" w:rsidRPr="001D41EA" w14:paraId="599604C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FDAFAB6" w14:textId="77777777" w:rsidR="00D84931" w:rsidRPr="001D41EA" w:rsidRDefault="00D84931" w:rsidP="00D84931">
            <w:pPr>
              <w:spacing w:before="40" w:after="40"/>
              <w:rPr>
                <w:rFonts w:cs="Arial"/>
                <w:sz w:val="18"/>
                <w:szCs w:val="18"/>
              </w:rPr>
            </w:pPr>
            <w:r w:rsidRPr="001D41EA">
              <w:rPr>
                <w:rFonts w:cs="Arial"/>
                <w:sz w:val="18"/>
                <w:szCs w:val="18"/>
              </w:rPr>
              <w:t>Loddon S</w:t>
            </w:r>
          </w:p>
        </w:tc>
        <w:tc>
          <w:tcPr>
            <w:tcW w:w="1701" w:type="dxa"/>
            <w:tcBorders>
              <w:top w:val="nil"/>
              <w:left w:val="single" w:sz="18" w:space="0" w:color="5F497A" w:themeColor="accent4" w:themeShade="BF"/>
              <w:bottom w:val="nil"/>
              <w:right w:val="nil"/>
            </w:tcBorders>
            <w:shd w:val="clear" w:color="auto" w:fill="auto"/>
            <w:noWrap/>
            <w:vAlign w:val="bottom"/>
          </w:tcPr>
          <w:p w14:paraId="4ED0EB10" w14:textId="5FE81DF7" w:rsidR="00D84931" w:rsidRPr="001D41EA" w:rsidRDefault="00D84931" w:rsidP="00D84931">
            <w:pPr>
              <w:spacing w:before="40" w:after="40"/>
              <w:jc w:val="right"/>
              <w:rPr>
                <w:rFonts w:cs="Arial"/>
                <w:sz w:val="18"/>
                <w:szCs w:val="18"/>
              </w:rPr>
            </w:pPr>
            <w:r w:rsidRPr="001D41EA">
              <w:rPr>
                <w:rFonts w:cs="Arial"/>
                <w:sz w:val="18"/>
                <w:szCs w:val="18"/>
              </w:rPr>
              <w:t>1,383,518</w:t>
            </w:r>
          </w:p>
        </w:tc>
        <w:tc>
          <w:tcPr>
            <w:tcW w:w="1701" w:type="dxa"/>
            <w:tcBorders>
              <w:top w:val="nil"/>
              <w:left w:val="nil"/>
              <w:bottom w:val="nil"/>
              <w:right w:val="nil"/>
            </w:tcBorders>
            <w:vAlign w:val="bottom"/>
          </w:tcPr>
          <w:p w14:paraId="3FD6A193" w14:textId="66D277F3" w:rsidR="00D84931" w:rsidRPr="001D41EA" w:rsidRDefault="00D84931" w:rsidP="00D84931">
            <w:pPr>
              <w:spacing w:before="40" w:after="40"/>
              <w:jc w:val="right"/>
              <w:rPr>
                <w:rFonts w:cs="Arial"/>
                <w:sz w:val="18"/>
                <w:szCs w:val="18"/>
              </w:rPr>
            </w:pPr>
            <w:r w:rsidRPr="001D41EA">
              <w:rPr>
                <w:rFonts w:cs="Arial"/>
                <w:sz w:val="18"/>
                <w:szCs w:val="18"/>
              </w:rPr>
              <w:t>204,349</w:t>
            </w:r>
          </w:p>
        </w:tc>
        <w:tc>
          <w:tcPr>
            <w:tcW w:w="1701" w:type="dxa"/>
            <w:tcBorders>
              <w:top w:val="nil"/>
              <w:left w:val="nil"/>
              <w:bottom w:val="nil"/>
              <w:right w:val="nil"/>
            </w:tcBorders>
            <w:shd w:val="clear" w:color="auto" w:fill="auto"/>
            <w:noWrap/>
            <w:vAlign w:val="bottom"/>
          </w:tcPr>
          <w:p w14:paraId="2801594C" w14:textId="3350A2B5" w:rsidR="00D84931" w:rsidRPr="001D41EA" w:rsidRDefault="00D84931" w:rsidP="00D84931">
            <w:pPr>
              <w:spacing w:before="40" w:after="40"/>
              <w:jc w:val="right"/>
              <w:rPr>
                <w:rFonts w:cs="Arial"/>
                <w:sz w:val="18"/>
                <w:szCs w:val="18"/>
              </w:rPr>
            </w:pPr>
            <w:r w:rsidRPr="001D41EA">
              <w:rPr>
                <w:rFonts w:cs="Arial"/>
                <w:sz w:val="18"/>
                <w:szCs w:val="18"/>
              </w:rPr>
              <w:t>4,327,106</w:t>
            </w:r>
          </w:p>
        </w:tc>
        <w:tc>
          <w:tcPr>
            <w:tcW w:w="1701" w:type="dxa"/>
            <w:tcBorders>
              <w:top w:val="nil"/>
              <w:left w:val="nil"/>
              <w:bottom w:val="nil"/>
              <w:right w:val="nil"/>
            </w:tcBorders>
            <w:vAlign w:val="bottom"/>
          </w:tcPr>
          <w:p w14:paraId="56CB8ABB" w14:textId="377ED624" w:rsidR="00D84931" w:rsidRPr="001D41EA" w:rsidRDefault="00D84931" w:rsidP="00D84931">
            <w:pPr>
              <w:spacing w:before="40" w:after="40"/>
              <w:jc w:val="right"/>
              <w:rPr>
                <w:rFonts w:cs="Arial"/>
                <w:sz w:val="18"/>
                <w:szCs w:val="18"/>
              </w:rPr>
            </w:pPr>
            <w:r w:rsidRPr="001D41EA">
              <w:rPr>
                <w:rFonts w:cs="Arial"/>
                <w:sz w:val="18"/>
                <w:szCs w:val="18"/>
              </w:rPr>
              <w:t>5,914,973</w:t>
            </w:r>
          </w:p>
        </w:tc>
      </w:tr>
    </w:tbl>
    <w:p w14:paraId="6B41D56D" w14:textId="77777777" w:rsidR="00713C86" w:rsidRPr="00A44829" w:rsidRDefault="00713C86" w:rsidP="00FF36E8">
      <w:pPr>
        <w:spacing w:before="40" w:after="20"/>
        <w:rPr>
          <w:rFonts w:cs="Arial"/>
          <w:sz w:val="18"/>
          <w:szCs w:val="18"/>
        </w:rPr>
      </w:pPr>
    </w:p>
    <w:p w14:paraId="57A5AAF6" w14:textId="77777777" w:rsidR="002C331E" w:rsidRPr="00A44829" w:rsidRDefault="00FC7624" w:rsidP="00FF36E8">
      <w:pPr>
        <w:spacing w:before="40" w:after="20"/>
        <w:rPr>
          <w:rFonts w:cs="Arial"/>
          <w:sz w:val="18"/>
          <w:szCs w:val="18"/>
        </w:rPr>
      </w:pPr>
      <w:r w:rsidRPr="00A44829">
        <w:rPr>
          <w:rFonts w:cs="Arial"/>
          <w:sz w:val="18"/>
          <w:szCs w:val="18"/>
        </w:rPr>
        <w:br w:type="page"/>
      </w:r>
    </w:p>
    <w:p w14:paraId="099C7CA8" w14:textId="7455809E" w:rsidR="002C331E" w:rsidRPr="00A44829" w:rsidRDefault="00EE4593" w:rsidP="00C33713">
      <w:pPr>
        <w:pStyle w:val="VGC-Head10"/>
      </w:pPr>
      <w:r w:rsidRPr="00A44829">
        <w:lastRenderedPageBreak/>
        <w:t>2019-20</w:t>
      </w:r>
      <w:r w:rsidR="00A97ABE" w:rsidRPr="00A44829">
        <w:t xml:space="preserve"> </w:t>
      </w:r>
      <w:r w:rsidR="002C331E" w:rsidRPr="00A44829">
        <w:t>General Purpose Grants</w:t>
      </w:r>
      <w:r w:rsidR="00CE4507" w:rsidRPr="00A44829">
        <w:tab/>
        <w:t>Appendix 4</w:t>
      </w:r>
    </w:p>
    <w:p w14:paraId="5366F1FA" w14:textId="77777777" w:rsidR="002C331E" w:rsidRPr="00A44829" w:rsidRDefault="004F1184" w:rsidP="008C1A28">
      <w:pPr>
        <w:pStyle w:val="VGC-Head2"/>
      </w:pPr>
      <w:r w:rsidRPr="00A44829">
        <w:tab/>
      </w:r>
      <w:r w:rsidR="00D67755" w:rsidRPr="00A44829">
        <w:t>J</w:t>
      </w:r>
      <w:r w:rsidR="002C331E" w:rsidRPr="00A44829">
        <w:t xml:space="preserve">.  Standardised </w:t>
      </w:r>
      <w:r w:rsidR="00D67755" w:rsidRPr="00A44829">
        <w:t xml:space="preserve">Rate </w:t>
      </w:r>
      <w:r w:rsidR="002C331E" w:rsidRPr="00A44829">
        <w:t>Revenue</w:t>
      </w:r>
    </w:p>
    <w:p w14:paraId="2F5DDF75" w14:textId="77777777" w:rsidR="002C331E" w:rsidRPr="00A44829"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A44829" w14:paraId="017E8C38" w14:textId="77777777" w:rsidTr="00B44BBE">
        <w:trPr>
          <w:tblHeader/>
        </w:trPr>
        <w:tc>
          <w:tcPr>
            <w:tcW w:w="2268" w:type="dxa"/>
            <w:tcBorders>
              <w:left w:val="nil"/>
              <w:right w:val="single" w:sz="18" w:space="0" w:color="5F497A" w:themeColor="accent4" w:themeShade="BF"/>
            </w:tcBorders>
            <w:shd w:val="clear" w:color="auto" w:fill="auto"/>
            <w:vAlign w:val="bottom"/>
          </w:tcPr>
          <w:p w14:paraId="3F526AF7" w14:textId="77777777" w:rsidR="00540FD9" w:rsidRPr="00A44829" w:rsidRDefault="00540FD9" w:rsidP="0038375E">
            <w:pPr>
              <w:spacing w:before="40" w:after="20"/>
              <w:jc w:val="center"/>
              <w:rPr>
                <w:rFonts w:cs="Arial"/>
                <w:sz w:val="18"/>
                <w:szCs w:val="18"/>
              </w:rPr>
            </w:pPr>
          </w:p>
        </w:tc>
        <w:tc>
          <w:tcPr>
            <w:tcW w:w="1701" w:type="dxa"/>
            <w:tcBorders>
              <w:left w:val="single" w:sz="18" w:space="0" w:color="5F497A" w:themeColor="accent4" w:themeShade="BF"/>
              <w:bottom w:val="single" w:sz="8" w:space="0" w:color="5F497A" w:themeColor="accent4" w:themeShade="BF"/>
              <w:right w:val="nil"/>
            </w:tcBorders>
            <w:shd w:val="clear" w:color="auto" w:fill="auto"/>
            <w:vAlign w:val="bottom"/>
          </w:tcPr>
          <w:p w14:paraId="57DE48F1" w14:textId="77777777" w:rsidR="00540FD9" w:rsidRPr="00A44829" w:rsidRDefault="00540FD9" w:rsidP="0038375E">
            <w:pPr>
              <w:spacing w:before="40" w:after="20"/>
              <w:jc w:val="center"/>
              <w:rPr>
                <w:rFonts w:cs="Arial"/>
                <w:b/>
                <w:sz w:val="18"/>
                <w:szCs w:val="18"/>
              </w:rPr>
            </w:pPr>
            <w:r w:rsidRPr="00A44829">
              <w:rPr>
                <w:rFonts w:cs="Arial"/>
                <w:b/>
                <w:sz w:val="18"/>
                <w:szCs w:val="18"/>
              </w:rPr>
              <w:t xml:space="preserve">Payments </w:t>
            </w:r>
            <w:r w:rsidR="003E7389" w:rsidRPr="00A44829">
              <w:rPr>
                <w:rFonts w:cs="Arial"/>
                <w:b/>
                <w:sz w:val="18"/>
                <w:szCs w:val="18"/>
              </w:rPr>
              <w:br/>
            </w:r>
            <w:r w:rsidRPr="00A44829">
              <w:rPr>
                <w:rFonts w:cs="Arial"/>
                <w:b/>
                <w:sz w:val="18"/>
                <w:szCs w:val="18"/>
              </w:rPr>
              <w:t xml:space="preserve">in Lieu </w:t>
            </w:r>
            <w:r w:rsidR="003E7389" w:rsidRPr="00A44829">
              <w:rPr>
                <w:rFonts w:cs="Arial"/>
                <w:b/>
                <w:sz w:val="18"/>
                <w:szCs w:val="18"/>
              </w:rPr>
              <w:br/>
            </w:r>
            <w:r w:rsidRPr="00A44829">
              <w:rPr>
                <w:rFonts w:cs="Arial"/>
                <w:b/>
                <w:sz w:val="18"/>
                <w:szCs w:val="18"/>
              </w:rPr>
              <w:t>of Rates</w:t>
            </w:r>
            <w:r w:rsidRPr="00A44829">
              <w:rPr>
                <w:rFonts w:cs="Arial"/>
                <w:b/>
                <w:sz w:val="18"/>
                <w:szCs w:val="18"/>
              </w:rPr>
              <w:br/>
              <w:t>($)</w:t>
            </w:r>
          </w:p>
        </w:tc>
        <w:tc>
          <w:tcPr>
            <w:tcW w:w="1985" w:type="dxa"/>
            <w:tcBorders>
              <w:left w:val="nil"/>
              <w:bottom w:val="single" w:sz="8" w:space="0" w:color="5F497A" w:themeColor="accent4" w:themeShade="BF"/>
              <w:right w:val="nil"/>
            </w:tcBorders>
            <w:vAlign w:val="bottom"/>
          </w:tcPr>
          <w:p w14:paraId="05A11CC5" w14:textId="77777777" w:rsidR="00540FD9" w:rsidRPr="00A44829" w:rsidRDefault="00540FD9" w:rsidP="0038375E">
            <w:pPr>
              <w:spacing w:before="40" w:after="20"/>
              <w:jc w:val="center"/>
              <w:rPr>
                <w:rFonts w:cs="Arial"/>
                <w:b/>
                <w:sz w:val="18"/>
                <w:szCs w:val="18"/>
              </w:rPr>
            </w:pPr>
            <w:r w:rsidRPr="00A44829">
              <w:rPr>
                <w:rFonts w:cs="Arial"/>
                <w:b/>
                <w:sz w:val="18"/>
                <w:szCs w:val="18"/>
              </w:rPr>
              <w:t xml:space="preserve">Total Standardised </w:t>
            </w:r>
            <w:r w:rsidR="001342F4" w:rsidRPr="00A44829">
              <w:rPr>
                <w:rFonts w:cs="Arial"/>
                <w:b/>
                <w:sz w:val="18"/>
                <w:szCs w:val="18"/>
              </w:rPr>
              <w:br/>
            </w:r>
            <w:r w:rsidRPr="00A44829">
              <w:rPr>
                <w:rFonts w:cs="Arial"/>
                <w:b/>
                <w:sz w:val="18"/>
                <w:szCs w:val="18"/>
              </w:rPr>
              <w:t>Rate Revenue</w:t>
            </w:r>
            <w:r w:rsidRPr="00A44829">
              <w:rPr>
                <w:rFonts w:cs="Arial"/>
                <w:b/>
                <w:sz w:val="18"/>
                <w:szCs w:val="18"/>
              </w:rPr>
              <w:br/>
            </w:r>
            <w:r w:rsidRPr="00A44829">
              <w:rPr>
                <w:rFonts w:cs="Arial"/>
                <w:sz w:val="16"/>
                <w:szCs w:val="16"/>
              </w:rPr>
              <w:t>(Unconstrained)</w:t>
            </w:r>
            <w:r w:rsidRPr="00A44829">
              <w:rPr>
                <w:rFonts w:cs="Arial"/>
                <w:b/>
                <w:sz w:val="16"/>
                <w:szCs w:val="16"/>
              </w:rPr>
              <w:br/>
            </w:r>
            <w:r w:rsidRPr="00A44829">
              <w:rPr>
                <w:rFonts w:cs="Arial"/>
                <w:b/>
                <w:sz w:val="18"/>
                <w:szCs w:val="18"/>
              </w:rPr>
              <w:t>($)</w:t>
            </w:r>
          </w:p>
        </w:tc>
        <w:tc>
          <w:tcPr>
            <w:tcW w:w="1985" w:type="dxa"/>
            <w:tcBorders>
              <w:left w:val="nil"/>
              <w:bottom w:val="single" w:sz="8" w:space="0" w:color="5F497A" w:themeColor="accent4" w:themeShade="BF"/>
              <w:right w:val="nil"/>
            </w:tcBorders>
            <w:shd w:val="clear" w:color="auto" w:fill="auto"/>
            <w:vAlign w:val="bottom"/>
          </w:tcPr>
          <w:p w14:paraId="10D97588" w14:textId="77777777" w:rsidR="00540FD9" w:rsidRPr="00A44829" w:rsidRDefault="00540FD9" w:rsidP="0038375E">
            <w:pPr>
              <w:spacing w:before="40" w:after="20"/>
              <w:jc w:val="center"/>
              <w:rPr>
                <w:rFonts w:cs="Arial"/>
                <w:b/>
                <w:sz w:val="18"/>
                <w:szCs w:val="18"/>
              </w:rPr>
            </w:pPr>
            <w:r w:rsidRPr="00A44829">
              <w:rPr>
                <w:rFonts w:cs="Arial"/>
                <w:b/>
                <w:sz w:val="18"/>
                <w:szCs w:val="18"/>
              </w:rPr>
              <w:t xml:space="preserve">Total Standardised </w:t>
            </w:r>
            <w:r w:rsidR="001342F4" w:rsidRPr="00A44829">
              <w:rPr>
                <w:rFonts w:cs="Arial"/>
                <w:b/>
                <w:sz w:val="18"/>
                <w:szCs w:val="18"/>
              </w:rPr>
              <w:br/>
            </w:r>
            <w:r w:rsidRPr="00A44829">
              <w:rPr>
                <w:rFonts w:cs="Arial"/>
                <w:b/>
                <w:sz w:val="18"/>
                <w:szCs w:val="18"/>
              </w:rPr>
              <w:t>Rate Revenue</w:t>
            </w:r>
            <w:r w:rsidRPr="00A44829">
              <w:rPr>
                <w:rFonts w:cs="Arial"/>
                <w:b/>
                <w:sz w:val="18"/>
                <w:szCs w:val="18"/>
              </w:rPr>
              <w:br/>
            </w:r>
            <w:r w:rsidRPr="00A44829">
              <w:rPr>
                <w:rFonts w:cs="Arial"/>
                <w:sz w:val="16"/>
                <w:szCs w:val="16"/>
              </w:rPr>
              <w:t>(Constrained)</w:t>
            </w:r>
            <w:r w:rsidRPr="00A44829">
              <w:rPr>
                <w:rFonts w:cs="Arial"/>
                <w:b/>
                <w:sz w:val="16"/>
                <w:szCs w:val="16"/>
              </w:rPr>
              <w:br/>
            </w:r>
            <w:r w:rsidRPr="00A44829">
              <w:rPr>
                <w:rFonts w:cs="Arial"/>
                <w:b/>
                <w:sz w:val="18"/>
                <w:szCs w:val="18"/>
              </w:rPr>
              <w:t>($)</w:t>
            </w:r>
          </w:p>
        </w:tc>
      </w:tr>
      <w:tr w:rsidR="00D84931" w:rsidRPr="001D41EA" w14:paraId="520EAB76" w14:textId="77777777" w:rsidTr="00B44BBE">
        <w:trPr>
          <w:tblHeader/>
        </w:trPr>
        <w:tc>
          <w:tcPr>
            <w:tcW w:w="2268" w:type="dxa"/>
            <w:tcBorders>
              <w:left w:val="nil"/>
              <w:bottom w:val="nil"/>
              <w:right w:val="single" w:sz="18" w:space="0" w:color="5F497A" w:themeColor="accent4" w:themeShade="BF"/>
            </w:tcBorders>
            <w:shd w:val="clear" w:color="auto" w:fill="auto"/>
            <w:noWrap/>
            <w:vAlign w:val="center"/>
          </w:tcPr>
          <w:p w14:paraId="6ED60174" w14:textId="77777777" w:rsidR="00D84931" w:rsidRPr="001D41EA" w:rsidRDefault="00D84931" w:rsidP="00D84931">
            <w:pPr>
              <w:spacing w:before="40" w:after="40"/>
              <w:rPr>
                <w:rFonts w:cs="Arial"/>
                <w:sz w:val="18"/>
                <w:szCs w:val="18"/>
              </w:rPr>
            </w:pPr>
          </w:p>
        </w:tc>
        <w:tc>
          <w:tcPr>
            <w:tcW w:w="170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2302B96D" w14:textId="30442C3B" w:rsidR="00D84931" w:rsidRPr="001D41EA" w:rsidRDefault="00D84931" w:rsidP="00D84931">
            <w:pPr>
              <w:spacing w:before="40" w:after="40"/>
              <w:jc w:val="right"/>
              <w:rPr>
                <w:rFonts w:cs="Arial"/>
                <w:sz w:val="18"/>
                <w:szCs w:val="18"/>
              </w:rPr>
            </w:pPr>
            <w:r w:rsidRPr="001D41EA">
              <w:rPr>
                <w:rFonts w:cs="Arial"/>
                <w:sz w:val="18"/>
                <w:szCs w:val="18"/>
              </w:rPr>
              <w:t> </w:t>
            </w:r>
          </w:p>
        </w:tc>
        <w:tc>
          <w:tcPr>
            <w:tcW w:w="1985" w:type="dxa"/>
            <w:tcBorders>
              <w:top w:val="single" w:sz="8" w:space="0" w:color="5F497A" w:themeColor="accent4" w:themeShade="BF"/>
              <w:left w:val="nil"/>
              <w:bottom w:val="nil"/>
              <w:right w:val="nil"/>
            </w:tcBorders>
            <w:vAlign w:val="bottom"/>
          </w:tcPr>
          <w:p w14:paraId="3A905A66" w14:textId="340858BB" w:rsidR="00D84931" w:rsidRPr="001D41EA" w:rsidRDefault="00D84931" w:rsidP="00D84931">
            <w:pPr>
              <w:spacing w:before="40" w:after="40"/>
              <w:jc w:val="right"/>
              <w:rPr>
                <w:rFonts w:cs="Arial"/>
                <w:sz w:val="18"/>
                <w:szCs w:val="18"/>
              </w:rPr>
            </w:pPr>
            <w:r w:rsidRPr="001D41EA">
              <w:rPr>
                <w:rFonts w:cs="Arial"/>
                <w:sz w:val="18"/>
                <w:szCs w:val="18"/>
              </w:rPr>
              <w:t> </w:t>
            </w:r>
          </w:p>
        </w:tc>
        <w:tc>
          <w:tcPr>
            <w:tcW w:w="1985" w:type="dxa"/>
            <w:tcBorders>
              <w:top w:val="single" w:sz="8" w:space="0" w:color="5F497A" w:themeColor="accent4" w:themeShade="BF"/>
              <w:left w:val="nil"/>
              <w:bottom w:val="nil"/>
              <w:right w:val="nil"/>
            </w:tcBorders>
            <w:shd w:val="clear" w:color="auto" w:fill="auto"/>
            <w:noWrap/>
            <w:vAlign w:val="bottom"/>
          </w:tcPr>
          <w:p w14:paraId="4EE8BFB0" w14:textId="321081BA" w:rsidR="00D84931" w:rsidRPr="001D41EA" w:rsidRDefault="00D84931" w:rsidP="00D84931">
            <w:pPr>
              <w:spacing w:before="40" w:after="40"/>
              <w:jc w:val="right"/>
              <w:rPr>
                <w:rFonts w:cs="Arial"/>
                <w:b/>
                <w:sz w:val="18"/>
                <w:szCs w:val="18"/>
              </w:rPr>
            </w:pPr>
            <w:r w:rsidRPr="001D41EA">
              <w:rPr>
                <w:rFonts w:cs="Arial"/>
                <w:b/>
                <w:sz w:val="18"/>
                <w:szCs w:val="18"/>
              </w:rPr>
              <w:t> </w:t>
            </w:r>
          </w:p>
        </w:tc>
      </w:tr>
      <w:tr w:rsidR="00D84931" w:rsidRPr="001D41EA" w14:paraId="149276F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7D4B69F" w14:textId="77777777" w:rsidR="00D84931" w:rsidRPr="001D41EA" w:rsidRDefault="00D84931" w:rsidP="00D84931">
            <w:pPr>
              <w:spacing w:before="40" w:after="40"/>
              <w:rPr>
                <w:rFonts w:cs="Arial"/>
                <w:sz w:val="18"/>
                <w:szCs w:val="18"/>
              </w:rPr>
            </w:pPr>
            <w:r w:rsidRPr="001D41EA">
              <w:rPr>
                <w:rFonts w:cs="Arial"/>
                <w:sz w:val="18"/>
                <w:szCs w:val="18"/>
              </w:rPr>
              <w:t>Alpine S</w:t>
            </w:r>
          </w:p>
        </w:tc>
        <w:tc>
          <w:tcPr>
            <w:tcW w:w="1701" w:type="dxa"/>
            <w:tcBorders>
              <w:top w:val="nil"/>
              <w:left w:val="single" w:sz="18" w:space="0" w:color="5F497A" w:themeColor="accent4" w:themeShade="BF"/>
              <w:bottom w:val="nil"/>
              <w:right w:val="nil"/>
            </w:tcBorders>
            <w:shd w:val="clear" w:color="auto" w:fill="auto"/>
            <w:noWrap/>
            <w:vAlign w:val="bottom"/>
          </w:tcPr>
          <w:p w14:paraId="566EA2B0" w14:textId="3E4D9C1B" w:rsidR="00D84931" w:rsidRPr="001D41EA" w:rsidRDefault="00D84931" w:rsidP="00D84931">
            <w:pPr>
              <w:spacing w:before="40" w:after="40"/>
              <w:jc w:val="right"/>
              <w:rPr>
                <w:rFonts w:cs="Arial"/>
                <w:sz w:val="18"/>
                <w:szCs w:val="18"/>
              </w:rPr>
            </w:pPr>
            <w:r w:rsidRPr="001D41EA">
              <w:rPr>
                <w:rFonts w:cs="Arial"/>
                <w:sz w:val="18"/>
                <w:szCs w:val="18"/>
              </w:rPr>
              <w:t>213,929</w:t>
            </w:r>
          </w:p>
        </w:tc>
        <w:tc>
          <w:tcPr>
            <w:tcW w:w="1985" w:type="dxa"/>
            <w:tcBorders>
              <w:top w:val="nil"/>
              <w:left w:val="nil"/>
              <w:bottom w:val="nil"/>
              <w:right w:val="nil"/>
            </w:tcBorders>
            <w:vAlign w:val="bottom"/>
          </w:tcPr>
          <w:p w14:paraId="6D642B3A" w14:textId="426A81FD" w:rsidR="00D84931" w:rsidRPr="001D41EA" w:rsidRDefault="00D84931" w:rsidP="00D84931">
            <w:pPr>
              <w:spacing w:before="40" w:after="40"/>
              <w:jc w:val="right"/>
              <w:rPr>
                <w:rFonts w:cs="Arial"/>
                <w:sz w:val="18"/>
                <w:szCs w:val="18"/>
              </w:rPr>
            </w:pPr>
            <w:r w:rsidRPr="001D41EA">
              <w:rPr>
                <w:rFonts w:cs="Arial"/>
                <w:sz w:val="18"/>
                <w:szCs w:val="18"/>
              </w:rPr>
              <w:t>9,012,575</w:t>
            </w:r>
          </w:p>
        </w:tc>
        <w:tc>
          <w:tcPr>
            <w:tcW w:w="1985" w:type="dxa"/>
            <w:tcBorders>
              <w:top w:val="nil"/>
              <w:left w:val="nil"/>
              <w:bottom w:val="nil"/>
              <w:right w:val="nil"/>
            </w:tcBorders>
            <w:shd w:val="clear" w:color="auto" w:fill="auto"/>
            <w:noWrap/>
            <w:vAlign w:val="bottom"/>
          </w:tcPr>
          <w:p w14:paraId="36DB427D" w14:textId="0B099A02" w:rsidR="00D84931" w:rsidRPr="001D41EA" w:rsidRDefault="00D84931" w:rsidP="00D84931">
            <w:pPr>
              <w:spacing w:before="40" w:after="40"/>
              <w:jc w:val="right"/>
              <w:rPr>
                <w:rFonts w:cs="Arial"/>
                <w:b/>
                <w:sz w:val="18"/>
                <w:szCs w:val="18"/>
              </w:rPr>
            </w:pPr>
            <w:r w:rsidRPr="001D41EA">
              <w:rPr>
                <w:rFonts w:cs="Arial"/>
                <w:b/>
                <w:sz w:val="18"/>
                <w:szCs w:val="18"/>
              </w:rPr>
              <w:t>8,939,080</w:t>
            </w:r>
          </w:p>
        </w:tc>
      </w:tr>
      <w:tr w:rsidR="00D84931" w:rsidRPr="001D41EA" w14:paraId="0650E59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1EB05D3" w14:textId="77777777" w:rsidR="00D84931" w:rsidRPr="001D41EA" w:rsidRDefault="00D84931" w:rsidP="00D84931">
            <w:pPr>
              <w:spacing w:before="40" w:after="40"/>
              <w:rPr>
                <w:rFonts w:cs="Arial"/>
                <w:sz w:val="18"/>
                <w:szCs w:val="18"/>
              </w:rPr>
            </w:pPr>
            <w:r w:rsidRPr="001D41EA">
              <w:rPr>
                <w:rFonts w:cs="Arial"/>
                <w:sz w:val="18"/>
                <w:szCs w:val="18"/>
              </w:rPr>
              <w:t>Ararat RC</w:t>
            </w:r>
          </w:p>
        </w:tc>
        <w:tc>
          <w:tcPr>
            <w:tcW w:w="1701" w:type="dxa"/>
            <w:tcBorders>
              <w:top w:val="nil"/>
              <w:left w:val="single" w:sz="18" w:space="0" w:color="5F497A" w:themeColor="accent4" w:themeShade="BF"/>
              <w:bottom w:val="nil"/>
              <w:right w:val="nil"/>
            </w:tcBorders>
            <w:shd w:val="clear" w:color="auto" w:fill="auto"/>
            <w:noWrap/>
            <w:vAlign w:val="bottom"/>
          </w:tcPr>
          <w:p w14:paraId="404B418D" w14:textId="0A660311" w:rsidR="00D84931" w:rsidRPr="001D41EA" w:rsidRDefault="00D84931" w:rsidP="00D84931">
            <w:pPr>
              <w:spacing w:before="40" w:after="40"/>
              <w:jc w:val="right"/>
              <w:rPr>
                <w:rFonts w:cs="Arial"/>
                <w:sz w:val="18"/>
                <w:szCs w:val="18"/>
              </w:rPr>
            </w:pPr>
            <w:r w:rsidRPr="001D41EA">
              <w:rPr>
                <w:rFonts w:cs="Arial"/>
                <w:sz w:val="18"/>
                <w:szCs w:val="18"/>
              </w:rPr>
              <w:t>235,940</w:t>
            </w:r>
          </w:p>
        </w:tc>
        <w:tc>
          <w:tcPr>
            <w:tcW w:w="1985" w:type="dxa"/>
            <w:tcBorders>
              <w:top w:val="nil"/>
              <w:left w:val="nil"/>
              <w:bottom w:val="nil"/>
              <w:right w:val="nil"/>
            </w:tcBorders>
            <w:vAlign w:val="bottom"/>
          </w:tcPr>
          <w:p w14:paraId="221E8628" w14:textId="06904978" w:rsidR="00D84931" w:rsidRPr="001D41EA" w:rsidRDefault="00D84931" w:rsidP="00D84931">
            <w:pPr>
              <w:spacing w:before="40" w:after="40"/>
              <w:jc w:val="right"/>
              <w:rPr>
                <w:rFonts w:cs="Arial"/>
                <w:sz w:val="18"/>
                <w:szCs w:val="18"/>
              </w:rPr>
            </w:pPr>
            <w:r w:rsidRPr="001D41EA">
              <w:rPr>
                <w:rFonts w:cs="Arial"/>
                <w:sz w:val="18"/>
                <w:szCs w:val="18"/>
              </w:rPr>
              <w:t>8,093,661</w:t>
            </w:r>
          </w:p>
        </w:tc>
        <w:tc>
          <w:tcPr>
            <w:tcW w:w="1985" w:type="dxa"/>
            <w:tcBorders>
              <w:top w:val="nil"/>
              <w:left w:val="nil"/>
              <w:bottom w:val="nil"/>
              <w:right w:val="nil"/>
            </w:tcBorders>
            <w:shd w:val="clear" w:color="auto" w:fill="auto"/>
            <w:noWrap/>
            <w:vAlign w:val="bottom"/>
          </w:tcPr>
          <w:p w14:paraId="080D6E66" w14:textId="685F2D19" w:rsidR="00D84931" w:rsidRPr="001D41EA" w:rsidRDefault="00D84931" w:rsidP="00D84931">
            <w:pPr>
              <w:spacing w:before="40" w:after="40"/>
              <w:jc w:val="right"/>
              <w:rPr>
                <w:rFonts w:cs="Arial"/>
                <w:b/>
                <w:sz w:val="18"/>
                <w:szCs w:val="18"/>
              </w:rPr>
            </w:pPr>
            <w:r w:rsidRPr="001D41EA">
              <w:rPr>
                <w:rFonts w:cs="Arial"/>
                <w:b/>
                <w:sz w:val="18"/>
                <w:szCs w:val="18"/>
              </w:rPr>
              <w:t>6,142,320</w:t>
            </w:r>
          </w:p>
        </w:tc>
      </w:tr>
      <w:tr w:rsidR="00D84931" w:rsidRPr="001D41EA" w14:paraId="1BBD261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883D373" w14:textId="77777777" w:rsidR="00D84931" w:rsidRPr="001D41EA" w:rsidRDefault="00D84931" w:rsidP="00D84931">
            <w:pPr>
              <w:spacing w:before="40" w:after="40"/>
              <w:rPr>
                <w:rFonts w:cs="Arial"/>
                <w:sz w:val="18"/>
                <w:szCs w:val="18"/>
              </w:rPr>
            </w:pPr>
            <w:r w:rsidRPr="001D41EA">
              <w:rPr>
                <w:rFonts w:cs="Arial"/>
                <w:sz w:val="18"/>
                <w:szCs w:val="18"/>
              </w:rPr>
              <w:t>Ballarat C</w:t>
            </w:r>
          </w:p>
        </w:tc>
        <w:tc>
          <w:tcPr>
            <w:tcW w:w="1701" w:type="dxa"/>
            <w:tcBorders>
              <w:top w:val="nil"/>
              <w:left w:val="single" w:sz="18" w:space="0" w:color="5F497A" w:themeColor="accent4" w:themeShade="BF"/>
              <w:bottom w:val="nil"/>
              <w:right w:val="nil"/>
            </w:tcBorders>
            <w:shd w:val="clear" w:color="auto" w:fill="auto"/>
            <w:noWrap/>
            <w:vAlign w:val="bottom"/>
          </w:tcPr>
          <w:p w14:paraId="2453D293" w14:textId="2652143D" w:rsidR="00D84931" w:rsidRPr="001D41EA" w:rsidRDefault="00D84931" w:rsidP="00D84931">
            <w:pPr>
              <w:spacing w:before="40" w:after="40"/>
              <w:jc w:val="right"/>
              <w:rPr>
                <w:rFonts w:cs="Arial"/>
                <w:sz w:val="18"/>
                <w:szCs w:val="18"/>
              </w:rPr>
            </w:pPr>
            <w:r w:rsidRPr="001D41EA">
              <w:rPr>
                <w:rFonts w:cs="Arial"/>
                <w:sz w:val="18"/>
                <w:szCs w:val="18"/>
              </w:rPr>
              <w:t>59,659</w:t>
            </w:r>
          </w:p>
        </w:tc>
        <w:tc>
          <w:tcPr>
            <w:tcW w:w="1985" w:type="dxa"/>
            <w:tcBorders>
              <w:top w:val="nil"/>
              <w:left w:val="nil"/>
              <w:bottom w:val="nil"/>
              <w:right w:val="nil"/>
            </w:tcBorders>
            <w:vAlign w:val="bottom"/>
          </w:tcPr>
          <w:p w14:paraId="3EC2052E" w14:textId="35DF412D" w:rsidR="00D84931" w:rsidRPr="001D41EA" w:rsidRDefault="00D84931" w:rsidP="00D84931">
            <w:pPr>
              <w:spacing w:before="40" w:after="40"/>
              <w:jc w:val="right"/>
              <w:rPr>
                <w:rFonts w:cs="Arial"/>
                <w:sz w:val="18"/>
                <w:szCs w:val="18"/>
              </w:rPr>
            </w:pPr>
            <w:r w:rsidRPr="001D41EA">
              <w:rPr>
                <w:rFonts w:cs="Arial"/>
                <w:sz w:val="18"/>
                <w:szCs w:val="18"/>
              </w:rPr>
              <w:t>54,044,794</w:t>
            </w:r>
          </w:p>
        </w:tc>
        <w:tc>
          <w:tcPr>
            <w:tcW w:w="1985" w:type="dxa"/>
            <w:tcBorders>
              <w:top w:val="nil"/>
              <w:left w:val="nil"/>
              <w:bottom w:val="nil"/>
              <w:right w:val="nil"/>
            </w:tcBorders>
            <w:shd w:val="clear" w:color="auto" w:fill="auto"/>
            <w:noWrap/>
            <w:vAlign w:val="bottom"/>
          </w:tcPr>
          <w:p w14:paraId="344D7CE5" w14:textId="50D42D18" w:rsidR="00D84931" w:rsidRPr="001D41EA" w:rsidRDefault="00D84931" w:rsidP="00D84931">
            <w:pPr>
              <w:spacing w:before="40" w:after="40"/>
              <w:jc w:val="right"/>
              <w:rPr>
                <w:rFonts w:cs="Arial"/>
                <w:b/>
                <w:sz w:val="18"/>
                <w:szCs w:val="18"/>
              </w:rPr>
            </w:pPr>
            <w:r w:rsidRPr="001D41EA">
              <w:rPr>
                <w:rFonts w:cs="Arial"/>
                <w:b/>
                <w:sz w:val="18"/>
                <w:szCs w:val="18"/>
              </w:rPr>
              <w:t>51,345,047</w:t>
            </w:r>
          </w:p>
        </w:tc>
      </w:tr>
      <w:tr w:rsidR="00D84931" w:rsidRPr="001D41EA" w14:paraId="051AB68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26B5CCE" w14:textId="77777777" w:rsidR="00D84931" w:rsidRPr="001D41EA" w:rsidRDefault="00D84931" w:rsidP="00D84931">
            <w:pPr>
              <w:spacing w:before="40" w:after="40"/>
              <w:rPr>
                <w:rFonts w:cs="Arial"/>
                <w:sz w:val="18"/>
                <w:szCs w:val="18"/>
              </w:rPr>
            </w:pPr>
            <w:r w:rsidRPr="001D41EA">
              <w:rPr>
                <w:rFonts w:cs="Arial"/>
                <w:sz w:val="18"/>
                <w:szCs w:val="18"/>
              </w:rPr>
              <w:t>Banyule C</w:t>
            </w:r>
          </w:p>
        </w:tc>
        <w:tc>
          <w:tcPr>
            <w:tcW w:w="1701" w:type="dxa"/>
            <w:tcBorders>
              <w:top w:val="nil"/>
              <w:left w:val="single" w:sz="18" w:space="0" w:color="5F497A" w:themeColor="accent4" w:themeShade="BF"/>
              <w:bottom w:val="nil"/>
              <w:right w:val="nil"/>
            </w:tcBorders>
            <w:shd w:val="clear" w:color="auto" w:fill="auto"/>
            <w:noWrap/>
            <w:vAlign w:val="bottom"/>
          </w:tcPr>
          <w:p w14:paraId="2BD42EDE" w14:textId="76D2D213"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0616C0EF" w14:textId="10D2135F" w:rsidR="00D84931" w:rsidRPr="001D41EA" w:rsidRDefault="00D84931" w:rsidP="00D84931">
            <w:pPr>
              <w:spacing w:before="40" w:after="40"/>
              <w:jc w:val="right"/>
              <w:rPr>
                <w:rFonts w:cs="Arial"/>
                <w:sz w:val="18"/>
                <w:szCs w:val="18"/>
              </w:rPr>
            </w:pPr>
            <w:r w:rsidRPr="001D41EA">
              <w:rPr>
                <w:rFonts w:cs="Arial"/>
                <w:sz w:val="18"/>
                <w:szCs w:val="18"/>
              </w:rPr>
              <w:t>108,719,121</w:t>
            </w:r>
          </w:p>
        </w:tc>
        <w:tc>
          <w:tcPr>
            <w:tcW w:w="1985" w:type="dxa"/>
            <w:tcBorders>
              <w:top w:val="nil"/>
              <w:left w:val="nil"/>
              <w:bottom w:val="nil"/>
              <w:right w:val="nil"/>
            </w:tcBorders>
            <w:shd w:val="clear" w:color="auto" w:fill="auto"/>
            <w:noWrap/>
            <w:vAlign w:val="bottom"/>
          </w:tcPr>
          <w:p w14:paraId="31F452D6" w14:textId="663DEFB6" w:rsidR="00D84931" w:rsidRPr="001D41EA" w:rsidRDefault="00D84931" w:rsidP="00D84931">
            <w:pPr>
              <w:spacing w:before="40" w:after="40"/>
              <w:jc w:val="right"/>
              <w:rPr>
                <w:rFonts w:cs="Arial"/>
                <w:b/>
                <w:sz w:val="18"/>
                <w:szCs w:val="18"/>
              </w:rPr>
            </w:pPr>
            <w:r w:rsidRPr="001D41EA">
              <w:rPr>
                <w:rFonts w:cs="Arial"/>
                <w:b/>
                <w:sz w:val="18"/>
                <w:szCs w:val="18"/>
              </w:rPr>
              <w:t>100,368,179</w:t>
            </w:r>
          </w:p>
        </w:tc>
      </w:tr>
      <w:tr w:rsidR="00D84931" w:rsidRPr="001D41EA" w14:paraId="7E73B58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CDA451E" w14:textId="77777777" w:rsidR="00D84931" w:rsidRPr="001D41EA" w:rsidRDefault="00D84931" w:rsidP="00D84931">
            <w:pPr>
              <w:spacing w:before="40" w:after="40"/>
              <w:rPr>
                <w:rFonts w:cs="Arial"/>
                <w:sz w:val="18"/>
                <w:szCs w:val="18"/>
              </w:rPr>
            </w:pPr>
            <w:r w:rsidRPr="001D41EA">
              <w:rPr>
                <w:rFonts w:cs="Arial"/>
                <w:sz w:val="18"/>
                <w:szCs w:val="18"/>
              </w:rPr>
              <w:t>Bass Coast S</w:t>
            </w:r>
          </w:p>
        </w:tc>
        <w:tc>
          <w:tcPr>
            <w:tcW w:w="1701" w:type="dxa"/>
            <w:tcBorders>
              <w:top w:val="nil"/>
              <w:left w:val="single" w:sz="18" w:space="0" w:color="5F497A" w:themeColor="accent4" w:themeShade="BF"/>
              <w:bottom w:val="nil"/>
              <w:right w:val="nil"/>
            </w:tcBorders>
            <w:shd w:val="clear" w:color="auto" w:fill="auto"/>
            <w:noWrap/>
            <w:vAlign w:val="bottom"/>
          </w:tcPr>
          <w:p w14:paraId="0C9A8072" w14:textId="71220EE7" w:rsidR="00D84931" w:rsidRPr="001D41EA" w:rsidRDefault="00D84931" w:rsidP="00D84931">
            <w:pPr>
              <w:spacing w:before="40" w:after="40"/>
              <w:jc w:val="right"/>
              <w:rPr>
                <w:rFonts w:cs="Arial"/>
                <w:sz w:val="18"/>
                <w:szCs w:val="18"/>
              </w:rPr>
            </w:pPr>
            <w:r w:rsidRPr="001D41EA">
              <w:rPr>
                <w:rFonts w:cs="Arial"/>
                <w:sz w:val="18"/>
                <w:szCs w:val="18"/>
              </w:rPr>
              <w:t>3,118</w:t>
            </w:r>
          </w:p>
        </w:tc>
        <w:tc>
          <w:tcPr>
            <w:tcW w:w="1985" w:type="dxa"/>
            <w:tcBorders>
              <w:top w:val="nil"/>
              <w:left w:val="nil"/>
              <w:bottom w:val="nil"/>
              <w:right w:val="nil"/>
            </w:tcBorders>
            <w:vAlign w:val="bottom"/>
          </w:tcPr>
          <w:p w14:paraId="1E3E424C" w14:textId="42A2A270" w:rsidR="00D84931" w:rsidRPr="001D41EA" w:rsidRDefault="00D84931" w:rsidP="00D84931">
            <w:pPr>
              <w:spacing w:before="40" w:after="40"/>
              <w:jc w:val="right"/>
              <w:rPr>
                <w:rFonts w:cs="Arial"/>
                <w:sz w:val="18"/>
                <w:szCs w:val="18"/>
              </w:rPr>
            </w:pPr>
            <w:r w:rsidRPr="001D41EA">
              <w:rPr>
                <w:rFonts w:cs="Arial"/>
                <w:sz w:val="18"/>
                <w:szCs w:val="18"/>
              </w:rPr>
              <w:t>36,299,066</w:t>
            </w:r>
          </w:p>
        </w:tc>
        <w:tc>
          <w:tcPr>
            <w:tcW w:w="1985" w:type="dxa"/>
            <w:tcBorders>
              <w:top w:val="nil"/>
              <w:left w:val="nil"/>
              <w:bottom w:val="nil"/>
              <w:right w:val="nil"/>
            </w:tcBorders>
            <w:shd w:val="clear" w:color="auto" w:fill="auto"/>
            <w:noWrap/>
            <w:vAlign w:val="bottom"/>
          </w:tcPr>
          <w:p w14:paraId="55822FE1" w14:textId="743E7987" w:rsidR="00D84931" w:rsidRPr="001D41EA" w:rsidRDefault="00D84931" w:rsidP="00D84931">
            <w:pPr>
              <w:spacing w:before="40" w:after="40"/>
              <w:jc w:val="right"/>
              <w:rPr>
                <w:rFonts w:cs="Arial"/>
                <w:b/>
                <w:sz w:val="18"/>
                <w:szCs w:val="18"/>
              </w:rPr>
            </w:pPr>
            <w:r w:rsidRPr="001D41EA">
              <w:rPr>
                <w:rFonts w:cs="Arial"/>
                <w:b/>
                <w:sz w:val="18"/>
                <w:szCs w:val="18"/>
              </w:rPr>
              <w:t>33,406,940</w:t>
            </w:r>
          </w:p>
        </w:tc>
      </w:tr>
      <w:tr w:rsidR="00D84931" w:rsidRPr="001D41EA" w14:paraId="362712E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8073636" w14:textId="77777777" w:rsidR="00D84931" w:rsidRPr="001D41EA" w:rsidRDefault="00D84931" w:rsidP="00D84931">
            <w:pPr>
              <w:spacing w:before="40" w:after="40"/>
              <w:rPr>
                <w:rFonts w:cs="Arial"/>
                <w:sz w:val="18"/>
                <w:szCs w:val="18"/>
              </w:rPr>
            </w:pPr>
            <w:r w:rsidRPr="001D41EA">
              <w:rPr>
                <w:rFonts w:cs="Arial"/>
                <w:sz w:val="18"/>
                <w:szCs w:val="18"/>
              </w:rPr>
              <w:t>Baw Baw S</w:t>
            </w:r>
          </w:p>
        </w:tc>
        <w:tc>
          <w:tcPr>
            <w:tcW w:w="1701" w:type="dxa"/>
            <w:tcBorders>
              <w:top w:val="nil"/>
              <w:left w:val="single" w:sz="18" w:space="0" w:color="5F497A" w:themeColor="accent4" w:themeShade="BF"/>
              <w:bottom w:val="nil"/>
              <w:right w:val="nil"/>
            </w:tcBorders>
            <w:shd w:val="clear" w:color="auto" w:fill="auto"/>
            <w:noWrap/>
            <w:vAlign w:val="bottom"/>
          </w:tcPr>
          <w:p w14:paraId="07B7845F" w14:textId="1BC91DE4"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265DE051" w14:textId="0D8C7266" w:rsidR="00D84931" w:rsidRPr="001D41EA" w:rsidRDefault="00D84931" w:rsidP="00D84931">
            <w:pPr>
              <w:spacing w:before="40" w:after="40"/>
              <w:jc w:val="right"/>
              <w:rPr>
                <w:rFonts w:cs="Arial"/>
                <w:sz w:val="18"/>
                <w:szCs w:val="18"/>
              </w:rPr>
            </w:pPr>
            <w:r w:rsidRPr="001D41EA">
              <w:rPr>
                <w:rFonts w:cs="Arial"/>
                <w:sz w:val="18"/>
                <w:szCs w:val="18"/>
              </w:rPr>
              <w:t>31,050,594</w:t>
            </w:r>
          </w:p>
        </w:tc>
        <w:tc>
          <w:tcPr>
            <w:tcW w:w="1985" w:type="dxa"/>
            <w:tcBorders>
              <w:top w:val="nil"/>
              <w:left w:val="nil"/>
              <w:bottom w:val="nil"/>
              <w:right w:val="nil"/>
            </w:tcBorders>
            <w:shd w:val="clear" w:color="auto" w:fill="auto"/>
            <w:noWrap/>
            <w:vAlign w:val="bottom"/>
          </w:tcPr>
          <w:p w14:paraId="7A7358EA" w14:textId="600D59DE" w:rsidR="00D84931" w:rsidRPr="001D41EA" w:rsidRDefault="00D84931" w:rsidP="00D84931">
            <w:pPr>
              <w:spacing w:before="40" w:after="40"/>
              <w:jc w:val="right"/>
              <w:rPr>
                <w:rFonts w:cs="Arial"/>
                <w:b/>
                <w:sz w:val="18"/>
                <w:szCs w:val="18"/>
              </w:rPr>
            </w:pPr>
            <w:r w:rsidRPr="001D41EA">
              <w:rPr>
                <w:rFonts w:cs="Arial"/>
                <w:b/>
                <w:sz w:val="18"/>
                <w:szCs w:val="18"/>
              </w:rPr>
              <w:t>28,457,372</w:t>
            </w:r>
          </w:p>
        </w:tc>
      </w:tr>
      <w:tr w:rsidR="00D84931" w:rsidRPr="001D41EA" w14:paraId="1E7EDAE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40BFD9C" w14:textId="77777777" w:rsidR="00D84931" w:rsidRPr="001D41EA" w:rsidRDefault="00D84931" w:rsidP="00D84931">
            <w:pPr>
              <w:spacing w:before="40" w:after="40"/>
              <w:rPr>
                <w:rFonts w:cs="Arial"/>
                <w:sz w:val="18"/>
                <w:szCs w:val="18"/>
              </w:rPr>
            </w:pPr>
            <w:r w:rsidRPr="001D41EA">
              <w:rPr>
                <w:rFonts w:cs="Arial"/>
                <w:sz w:val="18"/>
                <w:szCs w:val="18"/>
              </w:rPr>
              <w:t>Bayside C</w:t>
            </w:r>
          </w:p>
        </w:tc>
        <w:tc>
          <w:tcPr>
            <w:tcW w:w="1701" w:type="dxa"/>
            <w:tcBorders>
              <w:top w:val="nil"/>
              <w:left w:val="single" w:sz="18" w:space="0" w:color="5F497A" w:themeColor="accent4" w:themeShade="BF"/>
              <w:bottom w:val="nil"/>
              <w:right w:val="nil"/>
            </w:tcBorders>
            <w:shd w:val="clear" w:color="auto" w:fill="auto"/>
            <w:noWrap/>
            <w:vAlign w:val="bottom"/>
          </w:tcPr>
          <w:p w14:paraId="2B0D022B" w14:textId="7B3D76EE"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2D1903D0" w14:textId="00088E23" w:rsidR="00D84931" w:rsidRPr="001D41EA" w:rsidRDefault="00D84931" w:rsidP="00D84931">
            <w:pPr>
              <w:spacing w:before="40" w:after="40"/>
              <w:jc w:val="right"/>
              <w:rPr>
                <w:rFonts w:cs="Arial"/>
                <w:sz w:val="18"/>
                <w:szCs w:val="18"/>
              </w:rPr>
            </w:pPr>
            <w:r w:rsidRPr="001D41EA">
              <w:rPr>
                <w:rFonts w:cs="Arial"/>
                <w:sz w:val="18"/>
                <w:szCs w:val="18"/>
              </w:rPr>
              <w:t>161,302,160</w:t>
            </w:r>
          </w:p>
        </w:tc>
        <w:tc>
          <w:tcPr>
            <w:tcW w:w="1985" w:type="dxa"/>
            <w:tcBorders>
              <w:top w:val="nil"/>
              <w:left w:val="nil"/>
              <w:bottom w:val="nil"/>
              <w:right w:val="nil"/>
            </w:tcBorders>
            <w:shd w:val="clear" w:color="auto" w:fill="auto"/>
            <w:noWrap/>
            <w:vAlign w:val="bottom"/>
          </w:tcPr>
          <w:p w14:paraId="33B41463" w14:textId="634189FD" w:rsidR="00D84931" w:rsidRPr="001D41EA" w:rsidRDefault="00D84931" w:rsidP="00D84931">
            <w:pPr>
              <w:spacing w:before="40" w:after="40"/>
              <w:jc w:val="right"/>
              <w:rPr>
                <w:rFonts w:cs="Arial"/>
                <w:b/>
                <w:sz w:val="18"/>
                <w:szCs w:val="18"/>
              </w:rPr>
            </w:pPr>
            <w:r w:rsidRPr="001D41EA">
              <w:rPr>
                <w:rFonts w:cs="Arial"/>
                <w:b/>
                <w:sz w:val="18"/>
                <w:szCs w:val="18"/>
              </w:rPr>
              <w:t>153,053,677</w:t>
            </w:r>
          </w:p>
        </w:tc>
      </w:tr>
      <w:tr w:rsidR="00D84931" w:rsidRPr="001D41EA" w14:paraId="73542DD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3A1A273" w14:textId="77777777" w:rsidR="00D84931" w:rsidRPr="001D41EA" w:rsidRDefault="00D84931" w:rsidP="00D84931">
            <w:pPr>
              <w:spacing w:before="40" w:after="40"/>
              <w:rPr>
                <w:rFonts w:cs="Arial"/>
                <w:sz w:val="18"/>
                <w:szCs w:val="18"/>
              </w:rPr>
            </w:pPr>
            <w:r w:rsidRPr="001D41EA">
              <w:rPr>
                <w:rFonts w:cs="Arial"/>
                <w:sz w:val="18"/>
                <w:szCs w:val="18"/>
              </w:rPr>
              <w:t>Benalla RC</w:t>
            </w:r>
          </w:p>
        </w:tc>
        <w:tc>
          <w:tcPr>
            <w:tcW w:w="1701" w:type="dxa"/>
            <w:tcBorders>
              <w:top w:val="nil"/>
              <w:left w:val="single" w:sz="18" w:space="0" w:color="5F497A" w:themeColor="accent4" w:themeShade="BF"/>
              <w:bottom w:val="nil"/>
              <w:right w:val="nil"/>
            </w:tcBorders>
            <w:shd w:val="clear" w:color="auto" w:fill="auto"/>
            <w:noWrap/>
            <w:vAlign w:val="bottom"/>
          </w:tcPr>
          <w:p w14:paraId="6AE1BBEA" w14:textId="64578E5E" w:rsidR="00D84931" w:rsidRPr="001D41EA" w:rsidRDefault="00D84931" w:rsidP="00D84931">
            <w:pPr>
              <w:spacing w:before="40" w:after="40"/>
              <w:jc w:val="right"/>
              <w:rPr>
                <w:rFonts w:cs="Arial"/>
                <w:sz w:val="18"/>
                <w:szCs w:val="18"/>
              </w:rPr>
            </w:pPr>
            <w:r w:rsidRPr="001D41EA">
              <w:rPr>
                <w:rFonts w:cs="Arial"/>
                <w:sz w:val="18"/>
                <w:szCs w:val="18"/>
              </w:rPr>
              <w:t>266,715</w:t>
            </w:r>
          </w:p>
        </w:tc>
        <w:tc>
          <w:tcPr>
            <w:tcW w:w="1985" w:type="dxa"/>
            <w:tcBorders>
              <w:top w:val="nil"/>
              <w:left w:val="nil"/>
              <w:bottom w:val="nil"/>
              <w:right w:val="nil"/>
            </w:tcBorders>
            <w:vAlign w:val="bottom"/>
          </w:tcPr>
          <w:p w14:paraId="70F2EB4D" w14:textId="0DFDA35D" w:rsidR="00D84931" w:rsidRPr="001D41EA" w:rsidRDefault="00D84931" w:rsidP="00D84931">
            <w:pPr>
              <w:spacing w:before="40" w:after="40"/>
              <w:jc w:val="right"/>
              <w:rPr>
                <w:rFonts w:cs="Arial"/>
                <w:sz w:val="18"/>
                <w:szCs w:val="18"/>
              </w:rPr>
            </w:pPr>
            <w:r w:rsidRPr="001D41EA">
              <w:rPr>
                <w:rFonts w:cs="Arial"/>
                <w:sz w:val="18"/>
                <w:szCs w:val="18"/>
              </w:rPr>
              <w:t>8,611,930</w:t>
            </w:r>
          </w:p>
        </w:tc>
        <w:tc>
          <w:tcPr>
            <w:tcW w:w="1985" w:type="dxa"/>
            <w:tcBorders>
              <w:top w:val="nil"/>
              <w:left w:val="nil"/>
              <w:bottom w:val="nil"/>
              <w:right w:val="nil"/>
            </w:tcBorders>
            <w:shd w:val="clear" w:color="auto" w:fill="auto"/>
            <w:noWrap/>
            <w:vAlign w:val="bottom"/>
          </w:tcPr>
          <w:p w14:paraId="3239ED5F" w14:textId="5670D9E3" w:rsidR="00D84931" w:rsidRPr="001D41EA" w:rsidRDefault="00D84931" w:rsidP="00D84931">
            <w:pPr>
              <w:spacing w:before="40" w:after="40"/>
              <w:jc w:val="right"/>
              <w:rPr>
                <w:rFonts w:cs="Arial"/>
                <w:b/>
                <w:sz w:val="18"/>
                <w:szCs w:val="18"/>
              </w:rPr>
            </w:pPr>
            <w:r w:rsidRPr="001D41EA">
              <w:rPr>
                <w:rFonts w:cs="Arial"/>
                <w:b/>
                <w:sz w:val="18"/>
                <w:szCs w:val="18"/>
              </w:rPr>
              <w:t>7,990,584</w:t>
            </w:r>
          </w:p>
        </w:tc>
      </w:tr>
      <w:tr w:rsidR="00D84931" w:rsidRPr="001D41EA" w14:paraId="4B1FCA7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F6FE3F3" w14:textId="77777777" w:rsidR="00D84931" w:rsidRPr="001D41EA" w:rsidRDefault="00D84931" w:rsidP="00D84931">
            <w:pPr>
              <w:spacing w:before="40" w:after="40"/>
              <w:rPr>
                <w:rFonts w:cs="Arial"/>
                <w:sz w:val="18"/>
                <w:szCs w:val="18"/>
              </w:rPr>
            </w:pPr>
            <w:r w:rsidRPr="001D41EA">
              <w:rPr>
                <w:rFonts w:cs="Arial"/>
                <w:sz w:val="18"/>
                <w:szCs w:val="18"/>
              </w:rPr>
              <w:t>Boroondara C</w:t>
            </w:r>
          </w:p>
        </w:tc>
        <w:tc>
          <w:tcPr>
            <w:tcW w:w="1701" w:type="dxa"/>
            <w:tcBorders>
              <w:top w:val="nil"/>
              <w:left w:val="single" w:sz="18" w:space="0" w:color="5F497A" w:themeColor="accent4" w:themeShade="BF"/>
              <w:bottom w:val="nil"/>
              <w:right w:val="nil"/>
            </w:tcBorders>
            <w:shd w:val="clear" w:color="auto" w:fill="auto"/>
            <w:noWrap/>
            <w:vAlign w:val="bottom"/>
          </w:tcPr>
          <w:p w14:paraId="0288E6E1" w14:textId="4263AEA9"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590DF41E" w14:textId="05305108" w:rsidR="00D84931" w:rsidRPr="001D41EA" w:rsidRDefault="00D84931" w:rsidP="00D84931">
            <w:pPr>
              <w:spacing w:before="40" w:after="40"/>
              <w:jc w:val="right"/>
              <w:rPr>
                <w:rFonts w:cs="Arial"/>
                <w:sz w:val="18"/>
                <w:szCs w:val="18"/>
              </w:rPr>
            </w:pPr>
            <w:r w:rsidRPr="001D41EA">
              <w:rPr>
                <w:rFonts w:cs="Arial"/>
                <w:sz w:val="18"/>
                <w:szCs w:val="18"/>
              </w:rPr>
              <w:t>289,823,142</w:t>
            </w:r>
          </w:p>
        </w:tc>
        <w:tc>
          <w:tcPr>
            <w:tcW w:w="1985" w:type="dxa"/>
            <w:tcBorders>
              <w:top w:val="nil"/>
              <w:left w:val="nil"/>
              <w:bottom w:val="nil"/>
              <w:right w:val="nil"/>
            </w:tcBorders>
            <w:shd w:val="clear" w:color="auto" w:fill="auto"/>
            <w:noWrap/>
            <w:vAlign w:val="bottom"/>
          </w:tcPr>
          <w:p w14:paraId="075B0D74" w14:textId="29A145E6" w:rsidR="00D84931" w:rsidRPr="001D41EA" w:rsidRDefault="00D84931" w:rsidP="00D84931">
            <w:pPr>
              <w:spacing w:before="40" w:after="40"/>
              <w:jc w:val="right"/>
              <w:rPr>
                <w:rFonts w:cs="Arial"/>
                <w:b/>
                <w:sz w:val="18"/>
                <w:szCs w:val="18"/>
              </w:rPr>
            </w:pPr>
            <w:r w:rsidRPr="001D41EA">
              <w:rPr>
                <w:rFonts w:cs="Arial"/>
                <w:b/>
                <w:sz w:val="18"/>
                <w:szCs w:val="18"/>
              </w:rPr>
              <w:t>245,183,739</w:t>
            </w:r>
          </w:p>
        </w:tc>
      </w:tr>
      <w:tr w:rsidR="00D84931" w:rsidRPr="001D41EA" w14:paraId="44F5E56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DA83C30" w14:textId="77777777" w:rsidR="00D84931" w:rsidRPr="001D41EA" w:rsidRDefault="00D84931" w:rsidP="00D84931">
            <w:pPr>
              <w:spacing w:before="40" w:after="40"/>
              <w:rPr>
                <w:rFonts w:cs="Arial"/>
                <w:sz w:val="18"/>
                <w:szCs w:val="18"/>
              </w:rPr>
            </w:pPr>
            <w:r w:rsidRPr="001D41EA">
              <w:rPr>
                <w:rFonts w:cs="Arial"/>
                <w:sz w:val="18"/>
                <w:szCs w:val="18"/>
              </w:rPr>
              <w:t>Brimbank C</w:t>
            </w:r>
          </w:p>
        </w:tc>
        <w:tc>
          <w:tcPr>
            <w:tcW w:w="1701" w:type="dxa"/>
            <w:tcBorders>
              <w:top w:val="nil"/>
              <w:left w:val="single" w:sz="18" w:space="0" w:color="5F497A" w:themeColor="accent4" w:themeShade="BF"/>
              <w:bottom w:val="nil"/>
              <w:right w:val="nil"/>
            </w:tcBorders>
            <w:shd w:val="clear" w:color="auto" w:fill="auto"/>
            <w:noWrap/>
            <w:vAlign w:val="bottom"/>
          </w:tcPr>
          <w:p w14:paraId="5A19ACF1" w14:textId="2B033F8E"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260C7989" w14:textId="36A9EA80" w:rsidR="00D84931" w:rsidRPr="001D41EA" w:rsidRDefault="00D84931" w:rsidP="00D84931">
            <w:pPr>
              <w:spacing w:before="40" w:after="40"/>
              <w:jc w:val="right"/>
              <w:rPr>
                <w:rFonts w:cs="Arial"/>
                <w:sz w:val="18"/>
                <w:szCs w:val="18"/>
              </w:rPr>
            </w:pPr>
            <w:r w:rsidRPr="001D41EA">
              <w:rPr>
                <w:rFonts w:cs="Arial"/>
                <w:sz w:val="18"/>
                <w:szCs w:val="18"/>
              </w:rPr>
              <w:t>113,376,575</w:t>
            </w:r>
          </w:p>
        </w:tc>
        <w:tc>
          <w:tcPr>
            <w:tcW w:w="1985" w:type="dxa"/>
            <w:tcBorders>
              <w:top w:val="nil"/>
              <w:left w:val="nil"/>
              <w:bottom w:val="nil"/>
              <w:right w:val="nil"/>
            </w:tcBorders>
            <w:shd w:val="clear" w:color="auto" w:fill="auto"/>
            <w:noWrap/>
            <w:vAlign w:val="bottom"/>
          </w:tcPr>
          <w:p w14:paraId="479F4A65" w14:textId="2F960804" w:rsidR="00D84931" w:rsidRPr="001D41EA" w:rsidRDefault="00D84931" w:rsidP="00D84931">
            <w:pPr>
              <w:spacing w:before="40" w:after="40"/>
              <w:jc w:val="right"/>
              <w:rPr>
                <w:rFonts w:cs="Arial"/>
                <w:b/>
                <w:sz w:val="18"/>
                <w:szCs w:val="18"/>
              </w:rPr>
            </w:pPr>
            <w:r w:rsidRPr="001D41EA">
              <w:rPr>
                <w:rFonts w:cs="Arial"/>
                <w:b/>
                <w:sz w:val="18"/>
                <w:szCs w:val="18"/>
              </w:rPr>
              <w:t>102,543,979</w:t>
            </w:r>
          </w:p>
        </w:tc>
      </w:tr>
      <w:tr w:rsidR="00D84931" w:rsidRPr="001D41EA" w14:paraId="1196E44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86F4D2F" w14:textId="77777777" w:rsidR="00D84931" w:rsidRPr="001D41EA" w:rsidRDefault="00D84931" w:rsidP="00D84931">
            <w:pPr>
              <w:spacing w:before="40" w:after="40"/>
              <w:rPr>
                <w:rFonts w:cs="Arial"/>
                <w:sz w:val="18"/>
                <w:szCs w:val="18"/>
              </w:rPr>
            </w:pPr>
            <w:r w:rsidRPr="001D41EA">
              <w:rPr>
                <w:rFonts w:cs="Arial"/>
                <w:sz w:val="18"/>
                <w:szCs w:val="18"/>
              </w:rPr>
              <w:t>Buloke S</w:t>
            </w:r>
          </w:p>
        </w:tc>
        <w:tc>
          <w:tcPr>
            <w:tcW w:w="1701" w:type="dxa"/>
            <w:tcBorders>
              <w:top w:val="nil"/>
              <w:left w:val="single" w:sz="18" w:space="0" w:color="5F497A" w:themeColor="accent4" w:themeShade="BF"/>
              <w:bottom w:val="nil"/>
              <w:right w:val="nil"/>
            </w:tcBorders>
            <w:shd w:val="clear" w:color="auto" w:fill="auto"/>
            <w:noWrap/>
            <w:vAlign w:val="bottom"/>
          </w:tcPr>
          <w:p w14:paraId="50F0BB98" w14:textId="29BE614A" w:rsidR="00D84931" w:rsidRPr="001D41EA" w:rsidRDefault="00D84931" w:rsidP="00D84931">
            <w:pPr>
              <w:spacing w:before="40" w:after="40"/>
              <w:jc w:val="right"/>
              <w:rPr>
                <w:rFonts w:cs="Arial"/>
                <w:sz w:val="18"/>
                <w:szCs w:val="18"/>
              </w:rPr>
            </w:pPr>
            <w:r w:rsidRPr="001D41EA">
              <w:rPr>
                <w:rFonts w:cs="Arial"/>
                <w:sz w:val="18"/>
                <w:szCs w:val="18"/>
              </w:rPr>
              <w:t>23,865</w:t>
            </w:r>
          </w:p>
        </w:tc>
        <w:tc>
          <w:tcPr>
            <w:tcW w:w="1985" w:type="dxa"/>
            <w:tcBorders>
              <w:top w:val="nil"/>
              <w:left w:val="nil"/>
              <w:bottom w:val="nil"/>
              <w:right w:val="nil"/>
            </w:tcBorders>
            <w:vAlign w:val="bottom"/>
          </w:tcPr>
          <w:p w14:paraId="3E59A6E9" w14:textId="07A71393" w:rsidR="00D84931" w:rsidRPr="001D41EA" w:rsidRDefault="00D84931" w:rsidP="00D84931">
            <w:pPr>
              <w:spacing w:before="40" w:after="40"/>
              <w:jc w:val="right"/>
              <w:rPr>
                <w:rFonts w:cs="Arial"/>
                <w:sz w:val="18"/>
                <w:szCs w:val="18"/>
              </w:rPr>
            </w:pPr>
            <w:r w:rsidRPr="001D41EA">
              <w:rPr>
                <w:rFonts w:cs="Arial"/>
                <w:sz w:val="18"/>
                <w:szCs w:val="18"/>
              </w:rPr>
              <w:t>4,758,114</w:t>
            </w:r>
          </w:p>
        </w:tc>
        <w:tc>
          <w:tcPr>
            <w:tcW w:w="1985" w:type="dxa"/>
            <w:tcBorders>
              <w:top w:val="nil"/>
              <w:left w:val="nil"/>
              <w:bottom w:val="nil"/>
              <w:right w:val="nil"/>
            </w:tcBorders>
            <w:shd w:val="clear" w:color="auto" w:fill="auto"/>
            <w:noWrap/>
            <w:vAlign w:val="bottom"/>
          </w:tcPr>
          <w:p w14:paraId="106519AE" w14:textId="2FA6B104" w:rsidR="00D84931" w:rsidRPr="001D41EA" w:rsidRDefault="00D84931" w:rsidP="00D84931">
            <w:pPr>
              <w:spacing w:before="40" w:after="40"/>
              <w:jc w:val="right"/>
              <w:rPr>
                <w:rFonts w:cs="Arial"/>
                <w:b/>
                <w:sz w:val="18"/>
                <w:szCs w:val="18"/>
              </w:rPr>
            </w:pPr>
            <w:r w:rsidRPr="001D41EA">
              <w:rPr>
                <w:rFonts w:cs="Arial"/>
                <w:b/>
                <w:sz w:val="18"/>
                <w:szCs w:val="18"/>
              </w:rPr>
              <w:t>3,825,497</w:t>
            </w:r>
          </w:p>
        </w:tc>
      </w:tr>
      <w:tr w:rsidR="00D84931" w:rsidRPr="001D41EA" w14:paraId="76EAA52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4C151BC" w14:textId="77777777" w:rsidR="00D84931" w:rsidRPr="001D41EA" w:rsidRDefault="00D84931" w:rsidP="00D84931">
            <w:pPr>
              <w:spacing w:before="40" w:after="40"/>
              <w:rPr>
                <w:rFonts w:cs="Arial"/>
                <w:sz w:val="18"/>
                <w:szCs w:val="18"/>
              </w:rPr>
            </w:pPr>
            <w:r w:rsidRPr="001D41EA">
              <w:rPr>
                <w:rFonts w:cs="Arial"/>
                <w:sz w:val="18"/>
                <w:szCs w:val="18"/>
              </w:rPr>
              <w:t>Campaspe S</w:t>
            </w:r>
          </w:p>
        </w:tc>
        <w:tc>
          <w:tcPr>
            <w:tcW w:w="1701" w:type="dxa"/>
            <w:tcBorders>
              <w:top w:val="nil"/>
              <w:left w:val="single" w:sz="18" w:space="0" w:color="5F497A" w:themeColor="accent4" w:themeShade="BF"/>
              <w:bottom w:val="nil"/>
              <w:right w:val="nil"/>
            </w:tcBorders>
            <w:shd w:val="clear" w:color="auto" w:fill="auto"/>
            <w:noWrap/>
            <w:vAlign w:val="bottom"/>
          </w:tcPr>
          <w:p w14:paraId="67698B7C" w14:textId="28E1AC4A"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57190D5B" w14:textId="749B5172" w:rsidR="00D84931" w:rsidRPr="001D41EA" w:rsidRDefault="00D84931" w:rsidP="00D84931">
            <w:pPr>
              <w:spacing w:before="40" w:after="40"/>
              <w:jc w:val="right"/>
              <w:rPr>
                <w:rFonts w:cs="Arial"/>
                <w:sz w:val="18"/>
                <w:szCs w:val="18"/>
              </w:rPr>
            </w:pPr>
            <w:r w:rsidRPr="001D41EA">
              <w:rPr>
                <w:rFonts w:cs="Arial"/>
                <w:sz w:val="18"/>
                <w:szCs w:val="18"/>
              </w:rPr>
              <w:t>21,494,554</w:t>
            </w:r>
          </w:p>
        </w:tc>
        <w:tc>
          <w:tcPr>
            <w:tcW w:w="1985" w:type="dxa"/>
            <w:tcBorders>
              <w:top w:val="nil"/>
              <w:left w:val="nil"/>
              <w:bottom w:val="nil"/>
              <w:right w:val="nil"/>
            </w:tcBorders>
            <w:shd w:val="clear" w:color="auto" w:fill="auto"/>
            <w:noWrap/>
            <w:vAlign w:val="bottom"/>
          </w:tcPr>
          <w:p w14:paraId="772238D1" w14:textId="059075F5" w:rsidR="00D84931" w:rsidRPr="001D41EA" w:rsidRDefault="00D84931" w:rsidP="00D84931">
            <w:pPr>
              <w:spacing w:before="40" w:after="40"/>
              <w:jc w:val="right"/>
              <w:rPr>
                <w:rFonts w:cs="Arial"/>
                <w:b/>
                <w:sz w:val="18"/>
                <w:szCs w:val="18"/>
              </w:rPr>
            </w:pPr>
            <w:r w:rsidRPr="001D41EA">
              <w:rPr>
                <w:rFonts w:cs="Arial"/>
                <w:b/>
                <w:sz w:val="18"/>
                <w:szCs w:val="18"/>
              </w:rPr>
              <w:t>20,552,801</w:t>
            </w:r>
          </w:p>
        </w:tc>
      </w:tr>
      <w:tr w:rsidR="00D84931" w:rsidRPr="001D41EA" w14:paraId="2C89994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2CFCE46" w14:textId="77777777" w:rsidR="00D84931" w:rsidRPr="001D41EA" w:rsidRDefault="00D84931" w:rsidP="00D84931">
            <w:pPr>
              <w:spacing w:before="40" w:after="40"/>
              <w:rPr>
                <w:rFonts w:cs="Arial"/>
                <w:sz w:val="18"/>
                <w:szCs w:val="18"/>
              </w:rPr>
            </w:pPr>
            <w:r w:rsidRPr="001D41EA">
              <w:rPr>
                <w:rFonts w:cs="Arial"/>
                <w:sz w:val="18"/>
                <w:szCs w:val="18"/>
              </w:rPr>
              <w:t>Cardinia S</w:t>
            </w:r>
          </w:p>
        </w:tc>
        <w:tc>
          <w:tcPr>
            <w:tcW w:w="1701" w:type="dxa"/>
            <w:tcBorders>
              <w:top w:val="nil"/>
              <w:left w:val="single" w:sz="18" w:space="0" w:color="5F497A" w:themeColor="accent4" w:themeShade="BF"/>
              <w:bottom w:val="nil"/>
              <w:right w:val="nil"/>
            </w:tcBorders>
            <w:shd w:val="clear" w:color="auto" w:fill="auto"/>
            <w:noWrap/>
            <w:vAlign w:val="bottom"/>
          </w:tcPr>
          <w:p w14:paraId="192910F3" w14:textId="1209EF14"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577BF29F" w14:textId="22259926" w:rsidR="00D84931" w:rsidRPr="001D41EA" w:rsidRDefault="00D84931" w:rsidP="00D84931">
            <w:pPr>
              <w:spacing w:before="40" w:after="40"/>
              <w:jc w:val="right"/>
              <w:rPr>
                <w:rFonts w:cs="Arial"/>
                <w:sz w:val="18"/>
                <w:szCs w:val="18"/>
              </w:rPr>
            </w:pPr>
            <w:r w:rsidRPr="001D41EA">
              <w:rPr>
                <w:rFonts w:cs="Arial"/>
                <w:sz w:val="18"/>
                <w:szCs w:val="18"/>
              </w:rPr>
              <w:t>55,928,418</w:t>
            </w:r>
          </w:p>
        </w:tc>
        <w:tc>
          <w:tcPr>
            <w:tcW w:w="1985" w:type="dxa"/>
            <w:tcBorders>
              <w:top w:val="nil"/>
              <w:left w:val="nil"/>
              <w:bottom w:val="nil"/>
              <w:right w:val="nil"/>
            </w:tcBorders>
            <w:shd w:val="clear" w:color="auto" w:fill="auto"/>
            <w:noWrap/>
            <w:vAlign w:val="bottom"/>
          </w:tcPr>
          <w:p w14:paraId="4917AE61" w14:textId="17711A34" w:rsidR="00D84931" w:rsidRPr="001D41EA" w:rsidRDefault="00D84931" w:rsidP="00D84931">
            <w:pPr>
              <w:spacing w:before="40" w:after="40"/>
              <w:jc w:val="right"/>
              <w:rPr>
                <w:rFonts w:cs="Arial"/>
                <w:b/>
                <w:sz w:val="18"/>
                <w:szCs w:val="18"/>
              </w:rPr>
            </w:pPr>
            <w:r w:rsidRPr="001D41EA">
              <w:rPr>
                <w:rFonts w:cs="Arial"/>
                <w:b/>
                <w:sz w:val="18"/>
                <w:szCs w:val="18"/>
              </w:rPr>
              <w:t>54,962,063</w:t>
            </w:r>
          </w:p>
        </w:tc>
      </w:tr>
      <w:tr w:rsidR="00D84931" w:rsidRPr="001D41EA" w14:paraId="1DF4253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5CB058D" w14:textId="77777777" w:rsidR="00D84931" w:rsidRPr="001D41EA" w:rsidRDefault="00D84931" w:rsidP="00D84931">
            <w:pPr>
              <w:spacing w:before="40" w:after="40"/>
              <w:rPr>
                <w:rFonts w:cs="Arial"/>
                <w:sz w:val="18"/>
                <w:szCs w:val="18"/>
              </w:rPr>
            </w:pPr>
            <w:r w:rsidRPr="001D41EA">
              <w:rPr>
                <w:rFonts w:cs="Arial"/>
                <w:sz w:val="18"/>
                <w:szCs w:val="18"/>
              </w:rPr>
              <w:t>Casey C</w:t>
            </w:r>
          </w:p>
        </w:tc>
        <w:tc>
          <w:tcPr>
            <w:tcW w:w="1701" w:type="dxa"/>
            <w:tcBorders>
              <w:top w:val="nil"/>
              <w:left w:val="single" w:sz="18" w:space="0" w:color="5F497A" w:themeColor="accent4" w:themeShade="BF"/>
              <w:bottom w:val="nil"/>
              <w:right w:val="nil"/>
            </w:tcBorders>
            <w:shd w:val="clear" w:color="auto" w:fill="auto"/>
            <w:noWrap/>
            <w:vAlign w:val="bottom"/>
          </w:tcPr>
          <w:p w14:paraId="48A0BF40" w14:textId="6906F6BC"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59D5C999" w14:textId="4B346CD4" w:rsidR="00D84931" w:rsidRPr="001D41EA" w:rsidRDefault="00D84931" w:rsidP="00D84931">
            <w:pPr>
              <w:spacing w:before="40" w:after="40"/>
              <w:jc w:val="right"/>
              <w:rPr>
                <w:rFonts w:cs="Arial"/>
                <w:sz w:val="18"/>
                <w:szCs w:val="18"/>
              </w:rPr>
            </w:pPr>
            <w:r w:rsidRPr="001D41EA">
              <w:rPr>
                <w:rFonts w:cs="Arial"/>
                <w:sz w:val="18"/>
                <w:szCs w:val="18"/>
              </w:rPr>
              <w:t>159,445,045</w:t>
            </w:r>
          </w:p>
        </w:tc>
        <w:tc>
          <w:tcPr>
            <w:tcW w:w="1985" w:type="dxa"/>
            <w:tcBorders>
              <w:top w:val="nil"/>
              <w:left w:val="nil"/>
              <w:bottom w:val="nil"/>
              <w:right w:val="nil"/>
            </w:tcBorders>
            <w:shd w:val="clear" w:color="auto" w:fill="auto"/>
            <w:noWrap/>
            <w:vAlign w:val="bottom"/>
          </w:tcPr>
          <w:p w14:paraId="79A3DA21" w14:textId="353FD563" w:rsidR="00D84931" w:rsidRPr="001D41EA" w:rsidRDefault="00D84931" w:rsidP="00D84931">
            <w:pPr>
              <w:spacing w:before="40" w:after="40"/>
              <w:jc w:val="right"/>
              <w:rPr>
                <w:rFonts w:cs="Arial"/>
                <w:b/>
                <w:sz w:val="18"/>
                <w:szCs w:val="18"/>
              </w:rPr>
            </w:pPr>
            <w:r w:rsidRPr="001D41EA">
              <w:rPr>
                <w:rFonts w:cs="Arial"/>
                <w:b/>
                <w:sz w:val="18"/>
                <w:szCs w:val="18"/>
              </w:rPr>
              <w:t>155,069,740</w:t>
            </w:r>
          </w:p>
        </w:tc>
      </w:tr>
      <w:tr w:rsidR="00D84931" w:rsidRPr="001D41EA" w14:paraId="697BF26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A457BBD" w14:textId="77777777" w:rsidR="00D84931" w:rsidRPr="001D41EA" w:rsidRDefault="00D84931" w:rsidP="00D84931">
            <w:pPr>
              <w:spacing w:before="40" w:after="40"/>
              <w:rPr>
                <w:rFonts w:cs="Arial"/>
                <w:sz w:val="18"/>
                <w:szCs w:val="18"/>
              </w:rPr>
            </w:pPr>
            <w:r w:rsidRPr="001D41EA">
              <w:rPr>
                <w:rFonts w:cs="Arial"/>
                <w:sz w:val="18"/>
                <w:szCs w:val="18"/>
              </w:rPr>
              <w:t>Central Goldfields S</w:t>
            </w:r>
          </w:p>
        </w:tc>
        <w:tc>
          <w:tcPr>
            <w:tcW w:w="1701" w:type="dxa"/>
            <w:tcBorders>
              <w:top w:val="nil"/>
              <w:left w:val="single" w:sz="18" w:space="0" w:color="5F497A" w:themeColor="accent4" w:themeShade="BF"/>
              <w:bottom w:val="nil"/>
              <w:right w:val="nil"/>
            </w:tcBorders>
            <w:shd w:val="clear" w:color="auto" w:fill="auto"/>
            <w:noWrap/>
            <w:vAlign w:val="bottom"/>
          </w:tcPr>
          <w:p w14:paraId="16A8CEB0" w14:textId="6CE9FEAB"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650E0549" w14:textId="67DBDFCD" w:rsidR="00D84931" w:rsidRPr="001D41EA" w:rsidRDefault="00D84931" w:rsidP="00D84931">
            <w:pPr>
              <w:spacing w:before="40" w:after="40"/>
              <w:jc w:val="right"/>
              <w:rPr>
                <w:rFonts w:cs="Arial"/>
                <w:sz w:val="18"/>
                <w:szCs w:val="18"/>
              </w:rPr>
            </w:pPr>
            <w:r w:rsidRPr="001D41EA">
              <w:rPr>
                <w:rFonts w:cs="Arial"/>
                <w:sz w:val="18"/>
                <w:szCs w:val="18"/>
              </w:rPr>
              <w:t>5,466,526</w:t>
            </w:r>
          </w:p>
        </w:tc>
        <w:tc>
          <w:tcPr>
            <w:tcW w:w="1985" w:type="dxa"/>
            <w:tcBorders>
              <w:top w:val="nil"/>
              <w:left w:val="nil"/>
              <w:bottom w:val="nil"/>
              <w:right w:val="nil"/>
            </w:tcBorders>
            <w:shd w:val="clear" w:color="auto" w:fill="auto"/>
            <w:noWrap/>
            <w:vAlign w:val="bottom"/>
          </w:tcPr>
          <w:p w14:paraId="65EDA912" w14:textId="7925BB13" w:rsidR="00D84931" w:rsidRPr="001D41EA" w:rsidRDefault="00D84931" w:rsidP="00D84931">
            <w:pPr>
              <w:spacing w:before="40" w:after="40"/>
              <w:jc w:val="right"/>
              <w:rPr>
                <w:rFonts w:cs="Arial"/>
                <w:b/>
                <w:sz w:val="18"/>
                <w:szCs w:val="18"/>
              </w:rPr>
            </w:pPr>
            <w:r w:rsidRPr="001D41EA">
              <w:rPr>
                <w:rFonts w:cs="Arial"/>
                <w:b/>
                <w:sz w:val="18"/>
                <w:szCs w:val="18"/>
              </w:rPr>
              <w:t>5,299,017</w:t>
            </w:r>
          </w:p>
        </w:tc>
      </w:tr>
      <w:tr w:rsidR="00D84931" w:rsidRPr="001D41EA" w14:paraId="30E3507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3102619" w14:textId="77777777" w:rsidR="00D84931" w:rsidRPr="001D41EA" w:rsidRDefault="00D84931" w:rsidP="00D84931">
            <w:pPr>
              <w:spacing w:before="40" w:after="40"/>
              <w:rPr>
                <w:rFonts w:cs="Arial"/>
                <w:sz w:val="18"/>
                <w:szCs w:val="18"/>
              </w:rPr>
            </w:pPr>
            <w:r w:rsidRPr="001D41EA">
              <w:rPr>
                <w:rFonts w:cs="Arial"/>
                <w:sz w:val="18"/>
                <w:szCs w:val="18"/>
              </w:rPr>
              <w:t>Colac Otway S</w:t>
            </w:r>
          </w:p>
        </w:tc>
        <w:tc>
          <w:tcPr>
            <w:tcW w:w="1701" w:type="dxa"/>
            <w:tcBorders>
              <w:top w:val="nil"/>
              <w:left w:val="single" w:sz="18" w:space="0" w:color="5F497A" w:themeColor="accent4" w:themeShade="BF"/>
              <w:bottom w:val="nil"/>
              <w:right w:val="nil"/>
            </w:tcBorders>
            <w:shd w:val="clear" w:color="auto" w:fill="auto"/>
            <w:noWrap/>
            <w:vAlign w:val="bottom"/>
          </w:tcPr>
          <w:p w14:paraId="2D927981" w14:textId="3786AE8E"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674C1D55" w14:textId="44E351BB" w:rsidR="00D84931" w:rsidRPr="001D41EA" w:rsidRDefault="00D84931" w:rsidP="00D84931">
            <w:pPr>
              <w:spacing w:before="40" w:after="40"/>
              <w:jc w:val="right"/>
              <w:rPr>
                <w:rFonts w:cs="Arial"/>
                <w:sz w:val="18"/>
                <w:szCs w:val="18"/>
              </w:rPr>
            </w:pPr>
            <w:r w:rsidRPr="001D41EA">
              <w:rPr>
                <w:rFonts w:cs="Arial"/>
                <w:sz w:val="18"/>
                <w:szCs w:val="18"/>
              </w:rPr>
              <w:t>18,345,671</w:t>
            </w:r>
          </w:p>
        </w:tc>
        <w:tc>
          <w:tcPr>
            <w:tcW w:w="1985" w:type="dxa"/>
            <w:tcBorders>
              <w:top w:val="nil"/>
              <w:left w:val="nil"/>
              <w:bottom w:val="nil"/>
              <w:right w:val="nil"/>
            </w:tcBorders>
            <w:shd w:val="clear" w:color="auto" w:fill="auto"/>
            <w:noWrap/>
            <w:vAlign w:val="bottom"/>
          </w:tcPr>
          <w:p w14:paraId="6E0E2D0D" w14:textId="5FC34C19" w:rsidR="00D84931" w:rsidRPr="001D41EA" w:rsidRDefault="00D84931" w:rsidP="00D84931">
            <w:pPr>
              <w:spacing w:before="40" w:after="40"/>
              <w:jc w:val="right"/>
              <w:rPr>
                <w:rFonts w:cs="Arial"/>
                <w:b/>
                <w:sz w:val="18"/>
                <w:szCs w:val="18"/>
              </w:rPr>
            </w:pPr>
            <w:r w:rsidRPr="001D41EA">
              <w:rPr>
                <w:rFonts w:cs="Arial"/>
                <w:b/>
                <w:sz w:val="18"/>
                <w:szCs w:val="18"/>
              </w:rPr>
              <w:t>18,159,421</w:t>
            </w:r>
          </w:p>
        </w:tc>
      </w:tr>
      <w:tr w:rsidR="00D84931" w:rsidRPr="001D41EA" w14:paraId="13FF3CB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B93ECE2" w14:textId="77777777" w:rsidR="00D84931" w:rsidRPr="001D41EA" w:rsidRDefault="00D84931" w:rsidP="00D84931">
            <w:pPr>
              <w:spacing w:before="40" w:after="40"/>
              <w:rPr>
                <w:rFonts w:cs="Arial"/>
                <w:sz w:val="18"/>
                <w:szCs w:val="18"/>
              </w:rPr>
            </w:pPr>
            <w:r w:rsidRPr="001D41EA">
              <w:rPr>
                <w:rFonts w:cs="Arial"/>
                <w:sz w:val="18"/>
                <w:szCs w:val="18"/>
              </w:rPr>
              <w:t>Corangamite S</w:t>
            </w:r>
          </w:p>
        </w:tc>
        <w:tc>
          <w:tcPr>
            <w:tcW w:w="1701" w:type="dxa"/>
            <w:tcBorders>
              <w:top w:val="nil"/>
              <w:left w:val="single" w:sz="18" w:space="0" w:color="5F497A" w:themeColor="accent4" w:themeShade="BF"/>
              <w:bottom w:val="nil"/>
              <w:right w:val="nil"/>
            </w:tcBorders>
            <w:shd w:val="clear" w:color="auto" w:fill="auto"/>
            <w:noWrap/>
            <w:vAlign w:val="bottom"/>
          </w:tcPr>
          <w:p w14:paraId="14F35E4A" w14:textId="624B3AC4"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5774FB99" w14:textId="7B1A4951" w:rsidR="00D84931" w:rsidRPr="001D41EA" w:rsidRDefault="00D84931" w:rsidP="00D84931">
            <w:pPr>
              <w:spacing w:before="40" w:after="40"/>
              <w:jc w:val="right"/>
              <w:rPr>
                <w:rFonts w:cs="Arial"/>
                <w:sz w:val="18"/>
                <w:szCs w:val="18"/>
              </w:rPr>
            </w:pPr>
            <w:r w:rsidRPr="001D41EA">
              <w:rPr>
                <w:rFonts w:cs="Arial"/>
                <w:sz w:val="18"/>
                <w:szCs w:val="18"/>
              </w:rPr>
              <w:t>16,959,851</w:t>
            </w:r>
          </w:p>
        </w:tc>
        <w:tc>
          <w:tcPr>
            <w:tcW w:w="1985" w:type="dxa"/>
            <w:tcBorders>
              <w:top w:val="nil"/>
              <w:left w:val="nil"/>
              <w:bottom w:val="nil"/>
              <w:right w:val="nil"/>
            </w:tcBorders>
            <w:shd w:val="clear" w:color="auto" w:fill="auto"/>
            <w:noWrap/>
            <w:vAlign w:val="bottom"/>
          </w:tcPr>
          <w:p w14:paraId="3DE4F7B2" w14:textId="3A7B99A5" w:rsidR="00D84931" w:rsidRPr="001D41EA" w:rsidRDefault="00D84931" w:rsidP="00D84931">
            <w:pPr>
              <w:spacing w:before="40" w:after="40"/>
              <w:jc w:val="right"/>
              <w:rPr>
                <w:rFonts w:cs="Arial"/>
                <w:b/>
                <w:sz w:val="18"/>
                <w:szCs w:val="18"/>
              </w:rPr>
            </w:pPr>
            <w:r w:rsidRPr="001D41EA">
              <w:rPr>
                <w:rFonts w:cs="Arial"/>
                <w:b/>
                <w:sz w:val="18"/>
                <w:szCs w:val="18"/>
              </w:rPr>
              <w:t>14,285,437</w:t>
            </w:r>
          </w:p>
        </w:tc>
      </w:tr>
      <w:tr w:rsidR="00D84931" w:rsidRPr="001D41EA" w14:paraId="01E39B6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1C8CBD0" w14:textId="77777777" w:rsidR="00D84931" w:rsidRPr="001D41EA" w:rsidRDefault="00D84931" w:rsidP="00D84931">
            <w:pPr>
              <w:spacing w:before="40" w:after="40"/>
              <w:rPr>
                <w:rFonts w:cs="Arial"/>
                <w:sz w:val="18"/>
                <w:szCs w:val="18"/>
              </w:rPr>
            </w:pPr>
            <w:r w:rsidRPr="001D41EA">
              <w:rPr>
                <w:rFonts w:cs="Arial"/>
                <w:sz w:val="18"/>
                <w:szCs w:val="18"/>
              </w:rPr>
              <w:t>Darebin C</w:t>
            </w:r>
          </w:p>
        </w:tc>
        <w:tc>
          <w:tcPr>
            <w:tcW w:w="1701" w:type="dxa"/>
            <w:tcBorders>
              <w:top w:val="nil"/>
              <w:left w:val="single" w:sz="18" w:space="0" w:color="5F497A" w:themeColor="accent4" w:themeShade="BF"/>
              <w:bottom w:val="nil"/>
              <w:right w:val="nil"/>
            </w:tcBorders>
            <w:shd w:val="clear" w:color="auto" w:fill="auto"/>
            <w:noWrap/>
            <w:vAlign w:val="bottom"/>
          </w:tcPr>
          <w:p w14:paraId="4F3FBF28" w14:textId="32C2141A"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5B953E24" w14:textId="5A89F605" w:rsidR="00D84931" w:rsidRPr="001D41EA" w:rsidRDefault="00D84931" w:rsidP="00D84931">
            <w:pPr>
              <w:spacing w:before="40" w:after="40"/>
              <w:jc w:val="right"/>
              <w:rPr>
                <w:rFonts w:cs="Arial"/>
                <w:sz w:val="18"/>
                <w:szCs w:val="18"/>
              </w:rPr>
            </w:pPr>
            <w:r w:rsidRPr="001D41EA">
              <w:rPr>
                <w:rFonts w:cs="Arial"/>
                <w:sz w:val="18"/>
                <w:szCs w:val="18"/>
              </w:rPr>
              <w:t>133,175,275</w:t>
            </w:r>
          </w:p>
        </w:tc>
        <w:tc>
          <w:tcPr>
            <w:tcW w:w="1985" w:type="dxa"/>
            <w:tcBorders>
              <w:top w:val="nil"/>
              <w:left w:val="nil"/>
              <w:bottom w:val="nil"/>
              <w:right w:val="nil"/>
            </w:tcBorders>
            <w:shd w:val="clear" w:color="auto" w:fill="auto"/>
            <w:noWrap/>
            <w:vAlign w:val="bottom"/>
          </w:tcPr>
          <w:p w14:paraId="077DD867" w14:textId="79B01014" w:rsidR="00D84931" w:rsidRPr="001D41EA" w:rsidRDefault="00D84931" w:rsidP="00D84931">
            <w:pPr>
              <w:spacing w:before="40" w:after="40"/>
              <w:jc w:val="right"/>
              <w:rPr>
                <w:rFonts w:cs="Arial"/>
                <w:b/>
                <w:sz w:val="18"/>
                <w:szCs w:val="18"/>
              </w:rPr>
            </w:pPr>
            <w:r w:rsidRPr="001D41EA">
              <w:rPr>
                <w:rFonts w:cs="Arial"/>
                <w:b/>
                <w:sz w:val="18"/>
                <w:szCs w:val="18"/>
              </w:rPr>
              <w:t>124,985,231</w:t>
            </w:r>
          </w:p>
        </w:tc>
      </w:tr>
      <w:tr w:rsidR="00D84931" w:rsidRPr="001D41EA" w14:paraId="68B557C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3CE33F6" w14:textId="77777777" w:rsidR="00D84931" w:rsidRPr="001D41EA" w:rsidRDefault="00D84931" w:rsidP="00D84931">
            <w:pPr>
              <w:spacing w:before="40" w:after="40"/>
              <w:rPr>
                <w:rFonts w:cs="Arial"/>
                <w:sz w:val="18"/>
                <w:szCs w:val="18"/>
              </w:rPr>
            </w:pPr>
            <w:r w:rsidRPr="001D41EA">
              <w:rPr>
                <w:rFonts w:cs="Arial"/>
                <w:sz w:val="18"/>
                <w:szCs w:val="18"/>
              </w:rPr>
              <w:t>East Gippsland S</w:t>
            </w:r>
          </w:p>
        </w:tc>
        <w:tc>
          <w:tcPr>
            <w:tcW w:w="1701" w:type="dxa"/>
            <w:tcBorders>
              <w:top w:val="nil"/>
              <w:left w:val="single" w:sz="18" w:space="0" w:color="5F497A" w:themeColor="accent4" w:themeShade="BF"/>
              <w:bottom w:val="nil"/>
              <w:right w:val="nil"/>
            </w:tcBorders>
            <w:shd w:val="clear" w:color="auto" w:fill="auto"/>
            <w:noWrap/>
            <w:vAlign w:val="bottom"/>
          </w:tcPr>
          <w:p w14:paraId="68AC20E9" w14:textId="7265CF8A" w:rsidR="00D84931" w:rsidRPr="001D41EA" w:rsidRDefault="00D84931" w:rsidP="00D84931">
            <w:pPr>
              <w:spacing w:before="40" w:after="40"/>
              <w:jc w:val="right"/>
              <w:rPr>
                <w:rFonts w:cs="Arial"/>
                <w:sz w:val="18"/>
                <w:szCs w:val="18"/>
              </w:rPr>
            </w:pPr>
            <w:r w:rsidRPr="001D41EA">
              <w:rPr>
                <w:rFonts w:cs="Arial"/>
                <w:sz w:val="18"/>
                <w:szCs w:val="18"/>
              </w:rPr>
              <w:t>139,768</w:t>
            </w:r>
          </w:p>
        </w:tc>
        <w:tc>
          <w:tcPr>
            <w:tcW w:w="1985" w:type="dxa"/>
            <w:tcBorders>
              <w:top w:val="nil"/>
              <w:left w:val="nil"/>
              <w:bottom w:val="nil"/>
              <w:right w:val="nil"/>
            </w:tcBorders>
            <w:vAlign w:val="bottom"/>
          </w:tcPr>
          <w:p w14:paraId="2E77727F" w14:textId="46D7E023" w:rsidR="00D84931" w:rsidRPr="001D41EA" w:rsidRDefault="00D84931" w:rsidP="00D84931">
            <w:pPr>
              <w:spacing w:before="40" w:after="40"/>
              <w:jc w:val="right"/>
              <w:rPr>
                <w:rFonts w:cs="Arial"/>
                <w:sz w:val="18"/>
                <w:szCs w:val="18"/>
              </w:rPr>
            </w:pPr>
            <w:r w:rsidRPr="001D41EA">
              <w:rPr>
                <w:rFonts w:cs="Arial"/>
                <w:sz w:val="18"/>
                <w:szCs w:val="18"/>
              </w:rPr>
              <w:t>29,830,192</w:t>
            </w:r>
          </w:p>
        </w:tc>
        <w:tc>
          <w:tcPr>
            <w:tcW w:w="1985" w:type="dxa"/>
            <w:tcBorders>
              <w:top w:val="nil"/>
              <w:left w:val="nil"/>
              <w:bottom w:val="nil"/>
              <w:right w:val="nil"/>
            </w:tcBorders>
            <w:shd w:val="clear" w:color="auto" w:fill="auto"/>
            <w:noWrap/>
            <w:vAlign w:val="bottom"/>
          </w:tcPr>
          <w:p w14:paraId="37704289" w14:textId="62BE740E" w:rsidR="00D84931" w:rsidRPr="001D41EA" w:rsidRDefault="00D84931" w:rsidP="00D84931">
            <w:pPr>
              <w:spacing w:before="40" w:after="40"/>
              <w:jc w:val="right"/>
              <w:rPr>
                <w:rFonts w:cs="Arial"/>
                <w:b/>
                <w:sz w:val="18"/>
                <w:szCs w:val="18"/>
              </w:rPr>
            </w:pPr>
            <w:r w:rsidRPr="001D41EA">
              <w:rPr>
                <w:rFonts w:cs="Arial"/>
                <w:b/>
                <w:sz w:val="18"/>
                <w:szCs w:val="18"/>
              </w:rPr>
              <w:t>28,409,354</w:t>
            </w:r>
          </w:p>
        </w:tc>
      </w:tr>
      <w:tr w:rsidR="00D84931" w:rsidRPr="001D41EA" w14:paraId="7031003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FF5A7F1" w14:textId="77777777" w:rsidR="00D84931" w:rsidRPr="001D41EA" w:rsidRDefault="00D84931" w:rsidP="00D84931">
            <w:pPr>
              <w:spacing w:before="40" w:after="40"/>
              <w:rPr>
                <w:rFonts w:cs="Arial"/>
                <w:sz w:val="18"/>
                <w:szCs w:val="18"/>
              </w:rPr>
            </w:pPr>
            <w:r w:rsidRPr="001D41EA">
              <w:rPr>
                <w:rFonts w:cs="Arial"/>
                <w:sz w:val="18"/>
                <w:szCs w:val="18"/>
              </w:rPr>
              <w:t>Frankston C</w:t>
            </w:r>
          </w:p>
        </w:tc>
        <w:tc>
          <w:tcPr>
            <w:tcW w:w="1701" w:type="dxa"/>
            <w:tcBorders>
              <w:top w:val="nil"/>
              <w:left w:val="single" w:sz="18" w:space="0" w:color="5F497A" w:themeColor="accent4" w:themeShade="BF"/>
              <w:bottom w:val="nil"/>
              <w:right w:val="nil"/>
            </w:tcBorders>
            <w:shd w:val="clear" w:color="auto" w:fill="auto"/>
            <w:noWrap/>
            <w:vAlign w:val="bottom"/>
          </w:tcPr>
          <w:p w14:paraId="5E388DEF" w14:textId="3F773905"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3AA9EB4E" w14:textId="5BD338ED" w:rsidR="00D84931" w:rsidRPr="001D41EA" w:rsidRDefault="00D84931" w:rsidP="00D84931">
            <w:pPr>
              <w:spacing w:before="40" w:after="40"/>
              <w:jc w:val="right"/>
              <w:rPr>
                <w:rFonts w:cs="Arial"/>
                <w:sz w:val="18"/>
                <w:szCs w:val="18"/>
              </w:rPr>
            </w:pPr>
            <w:r w:rsidRPr="001D41EA">
              <w:rPr>
                <w:rFonts w:cs="Arial"/>
                <w:sz w:val="18"/>
                <w:szCs w:val="18"/>
              </w:rPr>
              <w:t>81,828,104</w:t>
            </w:r>
          </w:p>
        </w:tc>
        <w:tc>
          <w:tcPr>
            <w:tcW w:w="1985" w:type="dxa"/>
            <w:tcBorders>
              <w:top w:val="nil"/>
              <w:left w:val="nil"/>
              <w:bottom w:val="nil"/>
              <w:right w:val="nil"/>
            </w:tcBorders>
            <w:shd w:val="clear" w:color="auto" w:fill="auto"/>
            <w:noWrap/>
            <w:vAlign w:val="bottom"/>
          </w:tcPr>
          <w:p w14:paraId="23B4F53E" w14:textId="513BBA35" w:rsidR="00D84931" w:rsidRPr="001D41EA" w:rsidRDefault="00D84931" w:rsidP="00D84931">
            <w:pPr>
              <w:spacing w:before="40" w:after="40"/>
              <w:jc w:val="right"/>
              <w:rPr>
                <w:rFonts w:cs="Arial"/>
                <w:b/>
                <w:sz w:val="18"/>
                <w:szCs w:val="18"/>
              </w:rPr>
            </w:pPr>
            <w:r w:rsidRPr="001D41EA">
              <w:rPr>
                <w:rFonts w:cs="Arial"/>
                <w:b/>
                <w:sz w:val="18"/>
                <w:szCs w:val="18"/>
              </w:rPr>
              <w:t>78,371,227</w:t>
            </w:r>
          </w:p>
        </w:tc>
      </w:tr>
      <w:tr w:rsidR="00D84931" w:rsidRPr="001D41EA" w14:paraId="14F8D6E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2E1729B" w14:textId="77777777" w:rsidR="00D84931" w:rsidRPr="001D41EA" w:rsidRDefault="00D84931" w:rsidP="00D84931">
            <w:pPr>
              <w:spacing w:before="40" w:after="40"/>
              <w:rPr>
                <w:rFonts w:cs="Arial"/>
                <w:sz w:val="18"/>
                <w:szCs w:val="18"/>
              </w:rPr>
            </w:pPr>
            <w:r w:rsidRPr="001D41EA">
              <w:rPr>
                <w:rFonts w:cs="Arial"/>
                <w:sz w:val="18"/>
                <w:szCs w:val="18"/>
              </w:rPr>
              <w:t>Gannawarra S</w:t>
            </w:r>
          </w:p>
        </w:tc>
        <w:tc>
          <w:tcPr>
            <w:tcW w:w="1701" w:type="dxa"/>
            <w:tcBorders>
              <w:top w:val="nil"/>
              <w:left w:val="single" w:sz="18" w:space="0" w:color="5F497A" w:themeColor="accent4" w:themeShade="BF"/>
              <w:bottom w:val="nil"/>
              <w:right w:val="nil"/>
            </w:tcBorders>
            <w:shd w:val="clear" w:color="auto" w:fill="auto"/>
            <w:noWrap/>
            <w:vAlign w:val="bottom"/>
          </w:tcPr>
          <w:p w14:paraId="3DF66246" w14:textId="7B63627C"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3024F996" w14:textId="2EC62A15" w:rsidR="00D84931" w:rsidRPr="001D41EA" w:rsidRDefault="00D84931" w:rsidP="00D84931">
            <w:pPr>
              <w:spacing w:before="40" w:after="40"/>
              <w:jc w:val="right"/>
              <w:rPr>
                <w:rFonts w:cs="Arial"/>
                <w:sz w:val="18"/>
                <w:szCs w:val="18"/>
              </w:rPr>
            </w:pPr>
            <w:r w:rsidRPr="001D41EA">
              <w:rPr>
                <w:rFonts w:cs="Arial"/>
                <w:sz w:val="18"/>
                <w:szCs w:val="18"/>
              </w:rPr>
              <w:t>5,052,266</w:t>
            </w:r>
          </w:p>
        </w:tc>
        <w:tc>
          <w:tcPr>
            <w:tcW w:w="1985" w:type="dxa"/>
            <w:tcBorders>
              <w:top w:val="nil"/>
              <w:left w:val="nil"/>
              <w:bottom w:val="nil"/>
              <w:right w:val="nil"/>
            </w:tcBorders>
            <w:shd w:val="clear" w:color="auto" w:fill="auto"/>
            <w:noWrap/>
            <w:vAlign w:val="bottom"/>
          </w:tcPr>
          <w:p w14:paraId="1587C763" w14:textId="03492500" w:rsidR="00D84931" w:rsidRPr="001D41EA" w:rsidRDefault="00D84931" w:rsidP="00D84931">
            <w:pPr>
              <w:spacing w:before="40" w:after="40"/>
              <w:jc w:val="right"/>
              <w:rPr>
                <w:rFonts w:cs="Arial"/>
                <w:b/>
                <w:sz w:val="18"/>
                <w:szCs w:val="18"/>
              </w:rPr>
            </w:pPr>
            <w:r w:rsidRPr="001D41EA">
              <w:rPr>
                <w:rFonts w:cs="Arial"/>
                <w:b/>
                <w:sz w:val="18"/>
                <w:szCs w:val="18"/>
              </w:rPr>
              <w:t>4,848,198</w:t>
            </w:r>
          </w:p>
        </w:tc>
      </w:tr>
      <w:tr w:rsidR="00D84931" w:rsidRPr="001D41EA" w14:paraId="6EBB1D7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959A075" w14:textId="77777777" w:rsidR="00D84931" w:rsidRPr="001D41EA" w:rsidRDefault="00D84931" w:rsidP="00D84931">
            <w:pPr>
              <w:spacing w:before="40" w:after="40"/>
              <w:rPr>
                <w:rFonts w:cs="Arial"/>
                <w:sz w:val="18"/>
                <w:szCs w:val="18"/>
              </w:rPr>
            </w:pPr>
            <w:r w:rsidRPr="001D41EA">
              <w:rPr>
                <w:rFonts w:cs="Arial"/>
                <w:sz w:val="18"/>
                <w:szCs w:val="18"/>
              </w:rPr>
              <w:t>Glen Eira C</w:t>
            </w:r>
          </w:p>
        </w:tc>
        <w:tc>
          <w:tcPr>
            <w:tcW w:w="1701" w:type="dxa"/>
            <w:tcBorders>
              <w:top w:val="nil"/>
              <w:left w:val="single" w:sz="18" w:space="0" w:color="5F497A" w:themeColor="accent4" w:themeShade="BF"/>
              <w:bottom w:val="nil"/>
              <w:right w:val="nil"/>
            </w:tcBorders>
            <w:shd w:val="clear" w:color="auto" w:fill="auto"/>
            <w:noWrap/>
            <w:vAlign w:val="bottom"/>
          </w:tcPr>
          <w:p w14:paraId="6E6D6CFC" w14:textId="281D1B69"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76FB007F" w14:textId="7FB15DA4" w:rsidR="00D84931" w:rsidRPr="001D41EA" w:rsidRDefault="00D84931" w:rsidP="00D84931">
            <w:pPr>
              <w:spacing w:before="40" w:after="40"/>
              <w:jc w:val="right"/>
              <w:rPr>
                <w:rFonts w:cs="Arial"/>
                <w:sz w:val="18"/>
                <w:szCs w:val="18"/>
              </w:rPr>
            </w:pPr>
            <w:r w:rsidRPr="001D41EA">
              <w:rPr>
                <w:rFonts w:cs="Arial"/>
                <w:sz w:val="18"/>
                <w:szCs w:val="18"/>
              </w:rPr>
              <w:t>163,724,596</w:t>
            </w:r>
          </w:p>
        </w:tc>
        <w:tc>
          <w:tcPr>
            <w:tcW w:w="1985" w:type="dxa"/>
            <w:tcBorders>
              <w:top w:val="nil"/>
              <w:left w:val="nil"/>
              <w:bottom w:val="nil"/>
              <w:right w:val="nil"/>
            </w:tcBorders>
            <w:shd w:val="clear" w:color="auto" w:fill="auto"/>
            <w:noWrap/>
            <w:vAlign w:val="bottom"/>
          </w:tcPr>
          <w:p w14:paraId="164EF935" w14:textId="52624CE5" w:rsidR="00D84931" w:rsidRPr="001D41EA" w:rsidRDefault="00D84931" w:rsidP="00D84931">
            <w:pPr>
              <w:spacing w:before="40" w:after="40"/>
              <w:jc w:val="right"/>
              <w:rPr>
                <w:rFonts w:cs="Arial"/>
                <w:b/>
                <w:sz w:val="18"/>
                <w:szCs w:val="18"/>
              </w:rPr>
            </w:pPr>
            <w:r w:rsidRPr="001D41EA">
              <w:rPr>
                <w:rFonts w:cs="Arial"/>
                <w:b/>
                <w:sz w:val="18"/>
                <w:szCs w:val="18"/>
              </w:rPr>
              <w:t>152,106,341</w:t>
            </w:r>
          </w:p>
        </w:tc>
      </w:tr>
      <w:tr w:rsidR="00D84931" w:rsidRPr="001D41EA" w14:paraId="638B2C7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B66A624" w14:textId="77777777" w:rsidR="00D84931" w:rsidRPr="001D41EA" w:rsidRDefault="00D84931" w:rsidP="00D84931">
            <w:pPr>
              <w:spacing w:before="40" w:after="40"/>
              <w:rPr>
                <w:rFonts w:cs="Arial"/>
                <w:sz w:val="18"/>
                <w:szCs w:val="18"/>
              </w:rPr>
            </w:pPr>
            <w:r w:rsidRPr="001D41EA">
              <w:rPr>
                <w:rFonts w:cs="Arial"/>
                <w:sz w:val="18"/>
                <w:szCs w:val="18"/>
              </w:rPr>
              <w:t>Glenelg S</w:t>
            </w:r>
          </w:p>
        </w:tc>
        <w:tc>
          <w:tcPr>
            <w:tcW w:w="1701" w:type="dxa"/>
            <w:tcBorders>
              <w:top w:val="nil"/>
              <w:left w:val="single" w:sz="18" w:space="0" w:color="5F497A" w:themeColor="accent4" w:themeShade="BF"/>
              <w:bottom w:val="nil"/>
              <w:right w:val="nil"/>
            </w:tcBorders>
            <w:shd w:val="clear" w:color="auto" w:fill="auto"/>
            <w:noWrap/>
            <w:vAlign w:val="bottom"/>
          </w:tcPr>
          <w:p w14:paraId="4C007E3B" w14:textId="202CD1D3" w:rsidR="00D84931" w:rsidRPr="001D41EA" w:rsidRDefault="00D84931" w:rsidP="00D84931">
            <w:pPr>
              <w:spacing w:before="40" w:after="40"/>
              <w:jc w:val="right"/>
              <w:rPr>
                <w:rFonts w:cs="Arial"/>
                <w:sz w:val="18"/>
                <w:szCs w:val="18"/>
              </w:rPr>
            </w:pPr>
            <w:r w:rsidRPr="001D41EA">
              <w:rPr>
                <w:rFonts w:cs="Arial"/>
                <w:sz w:val="18"/>
                <w:szCs w:val="18"/>
              </w:rPr>
              <w:t>1,666,084</w:t>
            </w:r>
          </w:p>
        </w:tc>
        <w:tc>
          <w:tcPr>
            <w:tcW w:w="1985" w:type="dxa"/>
            <w:tcBorders>
              <w:top w:val="nil"/>
              <w:left w:val="nil"/>
              <w:bottom w:val="nil"/>
              <w:right w:val="nil"/>
            </w:tcBorders>
            <w:vAlign w:val="bottom"/>
          </w:tcPr>
          <w:p w14:paraId="49F77E64" w14:textId="727A3CF4" w:rsidR="00D84931" w:rsidRPr="001D41EA" w:rsidRDefault="00D84931" w:rsidP="00D84931">
            <w:pPr>
              <w:spacing w:before="40" w:after="40"/>
              <w:jc w:val="right"/>
              <w:rPr>
                <w:rFonts w:cs="Arial"/>
                <w:sz w:val="18"/>
                <w:szCs w:val="18"/>
              </w:rPr>
            </w:pPr>
            <w:r w:rsidRPr="001D41EA">
              <w:rPr>
                <w:rFonts w:cs="Arial"/>
                <w:sz w:val="18"/>
                <w:szCs w:val="18"/>
              </w:rPr>
              <w:t>16,534,827</w:t>
            </w:r>
          </w:p>
        </w:tc>
        <w:tc>
          <w:tcPr>
            <w:tcW w:w="1985" w:type="dxa"/>
            <w:tcBorders>
              <w:top w:val="nil"/>
              <w:left w:val="nil"/>
              <w:bottom w:val="nil"/>
              <w:right w:val="nil"/>
            </w:tcBorders>
            <w:shd w:val="clear" w:color="auto" w:fill="auto"/>
            <w:noWrap/>
            <w:vAlign w:val="bottom"/>
          </w:tcPr>
          <w:p w14:paraId="36B89DD1" w14:textId="56814A69" w:rsidR="00D84931" w:rsidRPr="001D41EA" w:rsidRDefault="00D84931" w:rsidP="00D84931">
            <w:pPr>
              <w:spacing w:before="40" w:after="40"/>
              <w:jc w:val="right"/>
              <w:rPr>
                <w:rFonts w:cs="Arial"/>
                <w:b/>
                <w:sz w:val="18"/>
                <w:szCs w:val="18"/>
              </w:rPr>
            </w:pPr>
            <w:r w:rsidRPr="001D41EA">
              <w:rPr>
                <w:rFonts w:cs="Arial"/>
                <w:b/>
                <w:sz w:val="18"/>
                <w:szCs w:val="18"/>
              </w:rPr>
              <w:t>16,534,827</w:t>
            </w:r>
          </w:p>
        </w:tc>
      </w:tr>
      <w:tr w:rsidR="00D84931" w:rsidRPr="001D41EA" w14:paraId="59698F9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D35033A" w14:textId="77777777" w:rsidR="00D84931" w:rsidRPr="001D41EA" w:rsidRDefault="00D84931" w:rsidP="00D84931">
            <w:pPr>
              <w:spacing w:before="40" w:after="40"/>
              <w:rPr>
                <w:rFonts w:cs="Arial"/>
                <w:sz w:val="18"/>
                <w:szCs w:val="18"/>
              </w:rPr>
            </w:pPr>
            <w:r w:rsidRPr="001D41EA">
              <w:rPr>
                <w:rFonts w:cs="Arial"/>
                <w:sz w:val="18"/>
                <w:szCs w:val="18"/>
              </w:rPr>
              <w:t>Golden Plains S</w:t>
            </w:r>
          </w:p>
        </w:tc>
        <w:tc>
          <w:tcPr>
            <w:tcW w:w="1701" w:type="dxa"/>
            <w:tcBorders>
              <w:top w:val="nil"/>
              <w:left w:val="single" w:sz="18" w:space="0" w:color="5F497A" w:themeColor="accent4" w:themeShade="BF"/>
              <w:bottom w:val="nil"/>
              <w:right w:val="nil"/>
            </w:tcBorders>
            <w:shd w:val="clear" w:color="auto" w:fill="auto"/>
            <w:noWrap/>
            <w:vAlign w:val="bottom"/>
          </w:tcPr>
          <w:p w14:paraId="25C9C4E7" w14:textId="39107C08" w:rsidR="00D84931" w:rsidRPr="001D41EA" w:rsidRDefault="00D84931" w:rsidP="00D84931">
            <w:pPr>
              <w:spacing w:before="40" w:after="40"/>
              <w:jc w:val="right"/>
              <w:rPr>
                <w:rFonts w:cs="Arial"/>
                <w:sz w:val="18"/>
                <w:szCs w:val="18"/>
              </w:rPr>
            </w:pPr>
            <w:r w:rsidRPr="001D41EA">
              <w:rPr>
                <w:rFonts w:cs="Arial"/>
                <w:sz w:val="18"/>
                <w:szCs w:val="18"/>
              </w:rPr>
              <w:t>191,159</w:t>
            </w:r>
          </w:p>
        </w:tc>
        <w:tc>
          <w:tcPr>
            <w:tcW w:w="1985" w:type="dxa"/>
            <w:tcBorders>
              <w:top w:val="nil"/>
              <w:left w:val="nil"/>
              <w:bottom w:val="nil"/>
              <w:right w:val="nil"/>
            </w:tcBorders>
            <w:vAlign w:val="bottom"/>
          </w:tcPr>
          <w:p w14:paraId="48939D12" w14:textId="4873093C" w:rsidR="00D84931" w:rsidRPr="001D41EA" w:rsidRDefault="00D84931" w:rsidP="00D84931">
            <w:pPr>
              <w:spacing w:before="40" w:after="40"/>
              <w:jc w:val="right"/>
              <w:rPr>
                <w:rFonts w:cs="Arial"/>
                <w:sz w:val="18"/>
                <w:szCs w:val="18"/>
              </w:rPr>
            </w:pPr>
            <w:r w:rsidRPr="001D41EA">
              <w:rPr>
                <w:rFonts w:cs="Arial"/>
                <w:sz w:val="18"/>
                <w:szCs w:val="18"/>
              </w:rPr>
              <w:t>13,202,948</w:t>
            </w:r>
          </w:p>
        </w:tc>
        <w:tc>
          <w:tcPr>
            <w:tcW w:w="1985" w:type="dxa"/>
            <w:tcBorders>
              <w:top w:val="nil"/>
              <w:left w:val="nil"/>
              <w:bottom w:val="nil"/>
              <w:right w:val="nil"/>
            </w:tcBorders>
            <w:shd w:val="clear" w:color="auto" w:fill="auto"/>
            <w:noWrap/>
            <w:vAlign w:val="bottom"/>
          </w:tcPr>
          <w:p w14:paraId="61FD9C7F" w14:textId="003623D5" w:rsidR="00D84931" w:rsidRPr="001D41EA" w:rsidRDefault="00D84931" w:rsidP="00D84931">
            <w:pPr>
              <w:spacing w:before="40" w:after="40"/>
              <w:jc w:val="right"/>
              <w:rPr>
                <w:rFonts w:cs="Arial"/>
                <w:b/>
                <w:sz w:val="18"/>
                <w:szCs w:val="18"/>
              </w:rPr>
            </w:pPr>
            <w:r w:rsidRPr="001D41EA">
              <w:rPr>
                <w:rFonts w:cs="Arial"/>
                <w:b/>
                <w:sz w:val="18"/>
                <w:szCs w:val="18"/>
              </w:rPr>
              <w:t>11,567,995</w:t>
            </w:r>
          </w:p>
        </w:tc>
      </w:tr>
      <w:tr w:rsidR="00D84931" w:rsidRPr="001D41EA" w14:paraId="5B0DBD6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1B7BEA6" w14:textId="77777777" w:rsidR="00D84931" w:rsidRPr="001D41EA" w:rsidRDefault="00D84931" w:rsidP="00D84931">
            <w:pPr>
              <w:spacing w:before="40" w:after="40"/>
              <w:rPr>
                <w:rFonts w:cs="Arial"/>
                <w:sz w:val="18"/>
                <w:szCs w:val="18"/>
              </w:rPr>
            </w:pPr>
            <w:r w:rsidRPr="001D41EA">
              <w:rPr>
                <w:rFonts w:cs="Arial"/>
                <w:sz w:val="18"/>
                <w:szCs w:val="18"/>
              </w:rPr>
              <w:t>Greater Bendigo C</w:t>
            </w:r>
          </w:p>
        </w:tc>
        <w:tc>
          <w:tcPr>
            <w:tcW w:w="1701" w:type="dxa"/>
            <w:tcBorders>
              <w:top w:val="nil"/>
              <w:left w:val="single" w:sz="18" w:space="0" w:color="5F497A" w:themeColor="accent4" w:themeShade="BF"/>
              <w:bottom w:val="nil"/>
              <w:right w:val="nil"/>
            </w:tcBorders>
            <w:shd w:val="clear" w:color="auto" w:fill="auto"/>
            <w:noWrap/>
            <w:vAlign w:val="bottom"/>
          </w:tcPr>
          <w:p w14:paraId="4119B1C2" w14:textId="38095E79" w:rsidR="00D84931" w:rsidRPr="001D41EA" w:rsidRDefault="00D84931" w:rsidP="00D84931">
            <w:pPr>
              <w:spacing w:before="40" w:after="40"/>
              <w:jc w:val="right"/>
              <w:rPr>
                <w:rFonts w:cs="Arial"/>
                <w:sz w:val="18"/>
                <w:szCs w:val="18"/>
              </w:rPr>
            </w:pPr>
            <w:r w:rsidRPr="001D41EA">
              <w:rPr>
                <w:rFonts w:cs="Arial"/>
                <w:sz w:val="18"/>
                <w:szCs w:val="18"/>
              </w:rPr>
              <w:t>47,228</w:t>
            </w:r>
          </w:p>
        </w:tc>
        <w:tc>
          <w:tcPr>
            <w:tcW w:w="1985" w:type="dxa"/>
            <w:tcBorders>
              <w:top w:val="nil"/>
              <w:left w:val="nil"/>
              <w:bottom w:val="nil"/>
              <w:right w:val="nil"/>
            </w:tcBorders>
            <w:vAlign w:val="bottom"/>
          </w:tcPr>
          <w:p w14:paraId="11C535F2" w14:textId="5A7A155C" w:rsidR="00D84931" w:rsidRPr="001D41EA" w:rsidRDefault="00D84931" w:rsidP="00D84931">
            <w:pPr>
              <w:spacing w:before="40" w:after="40"/>
              <w:jc w:val="right"/>
              <w:rPr>
                <w:rFonts w:cs="Arial"/>
                <w:sz w:val="18"/>
                <w:szCs w:val="18"/>
              </w:rPr>
            </w:pPr>
            <w:r w:rsidRPr="001D41EA">
              <w:rPr>
                <w:rFonts w:cs="Arial"/>
                <w:sz w:val="18"/>
                <w:szCs w:val="18"/>
              </w:rPr>
              <w:t>61,644,576</w:t>
            </w:r>
          </w:p>
        </w:tc>
        <w:tc>
          <w:tcPr>
            <w:tcW w:w="1985" w:type="dxa"/>
            <w:tcBorders>
              <w:top w:val="nil"/>
              <w:left w:val="nil"/>
              <w:bottom w:val="nil"/>
              <w:right w:val="nil"/>
            </w:tcBorders>
            <w:shd w:val="clear" w:color="auto" w:fill="auto"/>
            <w:noWrap/>
            <w:vAlign w:val="bottom"/>
          </w:tcPr>
          <w:p w14:paraId="55B34FEB" w14:textId="189244A3" w:rsidR="00D84931" w:rsidRPr="001D41EA" w:rsidRDefault="00D84931" w:rsidP="00D84931">
            <w:pPr>
              <w:spacing w:before="40" w:after="40"/>
              <w:jc w:val="right"/>
              <w:rPr>
                <w:rFonts w:cs="Arial"/>
                <w:b/>
                <w:sz w:val="18"/>
                <w:szCs w:val="18"/>
              </w:rPr>
            </w:pPr>
            <w:r w:rsidRPr="001D41EA">
              <w:rPr>
                <w:rFonts w:cs="Arial"/>
                <w:b/>
                <w:sz w:val="18"/>
                <w:szCs w:val="18"/>
              </w:rPr>
              <w:t>55,202,275</w:t>
            </w:r>
          </w:p>
        </w:tc>
      </w:tr>
      <w:tr w:rsidR="00D84931" w:rsidRPr="001D41EA" w14:paraId="1B8C7A8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927890F" w14:textId="77777777" w:rsidR="00D84931" w:rsidRPr="001D41EA" w:rsidRDefault="00D84931" w:rsidP="00D84931">
            <w:pPr>
              <w:spacing w:before="40" w:after="40"/>
              <w:rPr>
                <w:rFonts w:cs="Arial"/>
                <w:sz w:val="18"/>
                <w:szCs w:val="18"/>
              </w:rPr>
            </w:pPr>
            <w:r w:rsidRPr="001D41EA">
              <w:rPr>
                <w:rFonts w:cs="Arial"/>
                <w:sz w:val="18"/>
                <w:szCs w:val="18"/>
              </w:rPr>
              <w:t>Greater Dandenong C</w:t>
            </w:r>
          </w:p>
        </w:tc>
        <w:tc>
          <w:tcPr>
            <w:tcW w:w="1701" w:type="dxa"/>
            <w:tcBorders>
              <w:top w:val="nil"/>
              <w:left w:val="single" w:sz="18" w:space="0" w:color="5F497A" w:themeColor="accent4" w:themeShade="BF"/>
              <w:bottom w:val="nil"/>
              <w:right w:val="nil"/>
            </w:tcBorders>
            <w:shd w:val="clear" w:color="auto" w:fill="auto"/>
            <w:noWrap/>
            <w:vAlign w:val="bottom"/>
          </w:tcPr>
          <w:p w14:paraId="3CC1D539" w14:textId="3E5FEF5E"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731DBE33" w14:textId="016EADF0" w:rsidR="00D84931" w:rsidRPr="001D41EA" w:rsidRDefault="00D84931" w:rsidP="00D84931">
            <w:pPr>
              <w:spacing w:before="40" w:after="40"/>
              <w:jc w:val="right"/>
              <w:rPr>
                <w:rFonts w:cs="Arial"/>
                <w:sz w:val="18"/>
                <w:szCs w:val="18"/>
              </w:rPr>
            </w:pPr>
            <w:r w:rsidRPr="001D41EA">
              <w:rPr>
                <w:rFonts w:cs="Arial"/>
                <w:sz w:val="18"/>
                <w:szCs w:val="18"/>
              </w:rPr>
              <w:t>114,516,876</w:t>
            </w:r>
          </w:p>
        </w:tc>
        <w:tc>
          <w:tcPr>
            <w:tcW w:w="1985" w:type="dxa"/>
            <w:tcBorders>
              <w:top w:val="nil"/>
              <w:left w:val="nil"/>
              <w:bottom w:val="nil"/>
              <w:right w:val="nil"/>
            </w:tcBorders>
            <w:shd w:val="clear" w:color="auto" w:fill="auto"/>
            <w:noWrap/>
            <w:vAlign w:val="bottom"/>
          </w:tcPr>
          <w:p w14:paraId="5716AA34" w14:textId="0E1379ED" w:rsidR="00D84931" w:rsidRPr="001D41EA" w:rsidRDefault="00D84931" w:rsidP="00D84931">
            <w:pPr>
              <w:spacing w:before="40" w:after="40"/>
              <w:jc w:val="right"/>
              <w:rPr>
                <w:rFonts w:cs="Arial"/>
                <w:b/>
                <w:sz w:val="18"/>
                <w:szCs w:val="18"/>
              </w:rPr>
            </w:pPr>
            <w:r w:rsidRPr="001D41EA">
              <w:rPr>
                <w:rFonts w:cs="Arial"/>
                <w:b/>
                <w:sz w:val="18"/>
                <w:szCs w:val="18"/>
              </w:rPr>
              <w:t>96,278,207</w:t>
            </w:r>
          </w:p>
        </w:tc>
      </w:tr>
      <w:tr w:rsidR="00D84931" w:rsidRPr="001D41EA" w14:paraId="5F9DCD5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744C376" w14:textId="77777777" w:rsidR="00D84931" w:rsidRPr="001D41EA" w:rsidRDefault="00D84931" w:rsidP="00D84931">
            <w:pPr>
              <w:spacing w:before="40" w:after="40"/>
              <w:rPr>
                <w:rFonts w:cs="Arial"/>
                <w:sz w:val="18"/>
                <w:szCs w:val="18"/>
              </w:rPr>
            </w:pPr>
            <w:r w:rsidRPr="001D41EA">
              <w:rPr>
                <w:rFonts w:cs="Arial"/>
                <w:sz w:val="18"/>
                <w:szCs w:val="18"/>
              </w:rPr>
              <w:t>Greater Geelong C</w:t>
            </w:r>
          </w:p>
        </w:tc>
        <w:tc>
          <w:tcPr>
            <w:tcW w:w="1701" w:type="dxa"/>
            <w:tcBorders>
              <w:top w:val="nil"/>
              <w:left w:val="single" w:sz="18" w:space="0" w:color="5F497A" w:themeColor="accent4" w:themeShade="BF"/>
              <w:bottom w:val="nil"/>
              <w:right w:val="nil"/>
            </w:tcBorders>
            <w:shd w:val="clear" w:color="auto" w:fill="auto"/>
            <w:noWrap/>
            <w:vAlign w:val="bottom"/>
          </w:tcPr>
          <w:p w14:paraId="240B77D6" w14:textId="1C39333F" w:rsidR="00D84931" w:rsidRPr="001D41EA" w:rsidRDefault="00D84931" w:rsidP="00D84931">
            <w:pPr>
              <w:spacing w:before="40" w:after="40"/>
              <w:jc w:val="right"/>
              <w:rPr>
                <w:rFonts w:cs="Arial"/>
                <w:sz w:val="18"/>
                <w:szCs w:val="18"/>
              </w:rPr>
            </w:pPr>
            <w:r w:rsidRPr="001D41EA">
              <w:rPr>
                <w:rFonts w:cs="Arial"/>
                <w:sz w:val="18"/>
                <w:szCs w:val="18"/>
              </w:rPr>
              <w:t>42,977</w:t>
            </w:r>
          </w:p>
        </w:tc>
        <w:tc>
          <w:tcPr>
            <w:tcW w:w="1985" w:type="dxa"/>
            <w:tcBorders>
              <w:top w:val="nil"/>
              <w:left w:val="nil"/>
              <w:bottom w:val="nil"/>
              <w:right w:val="nil"/>
            </w:tcBorders>
            <w:vAlign w:val="bottom"/>
          </w:tcPr>
          <w:p w14:paraId="67010ADB" w14:textId="596FB510" w:rsidR="00D84931" w:rsidRPr="001D41EA" w:rsidRDefault="00D84931" w:rsidP="00D84931">
            <w:pPr>
              <w:spacing w:before="40" w:after="40"/>
              <w:jc w:val="right"/>
              <w:rPr>
                <w:rFonts w:cs="Arial"/>
                <w:sz w:val="18"/>
                <w:szCs w:val="18"/>
              </w:rPr>
            </w:pPr>
            <w:r w:rsidRPr="001D41EA">
              <w:rPr>
                <w:rFonts w:cs="Arial"/>
                <w:sz w:val="18"/>
                <w:szCs w:val="18"/>
              </w:rPr>
              <w:t>158,968,877</w:t>
            </w:r>
          </w:p>
        </w:tc>
        <w:tc>
          <w:tcPr>
            <w:tcW w:w="1985" w:type="dxa"/>
            <w:tcBorders>
              <w:top w:val="nil"/>
              <w:left w:val="nil"/>
              <w:bottom w:val="nil"/>
              <w:right w:val="nil"/>
            </w:tcBorders>
            <w:shd w:val="clear" w:color="auto" w:fill="auto"/>
            <w:noWrap/>
            <w:vAlign w:val="bottom"/>
          </w:tcPr>
          <w:p w14:paraId="2E0A63A7" w14:textId="2D821FB6" w:rsidR="00D84931" w:rsidRPr="001D41EA" w:rsidRDefault="00D84931" w:rsidP="00D84931">
            <w:pPr>
              <w:spacing w:before="40" w:after="40"/>
              <w:jc w:val="right"/>
              <w:rPr>
                <w:rFonts w:cs="Arial"/>
                <w:b/>
                <w:sz w:val="18"/>
                <w:szCs w:val="18"/>
              </w:rPr>
            </w:pPr>
            <w:r w:rsidRPr="001D41EA">
              <w:rPr>
                <w:rFonts w:cs="Arial"/>
                <w:b/>
                <w:sz w:val="18"/>
                <w:szCs w:val="18"/>
              </w:rPr>
              <w:t>156,004,745</w:t>
            </w:r>
          </w:p>
        </w:tc>
      </w:tr>
      <w:tr w:rsidR="00D84931" w:rsidRPr="001D41EA" w14:paraId="52C8652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3DA797D" w14:textId="77777777" w:rsidR="00D84931" w:rsidRPr="001D41EA" w:rsidRDefault="00D84931" w:rsidP="00D84931">
            <w:pPr>
              <w:spacing w:before="40" w:after="40"/>
              <w:rPr>
                <w:rFonts w:cs="Arial"/>
                <w:sz w:val="18"/>
                <w:szCs w:val="18"/>
              </w:rPr>
            </w:pPr>
            <w:r w:rsidRPr="001D41EA">
              <w:rPr>
                <w:rFonts w:cs="Arial"/>
                <w:sz w:val="18"/>
                <w:szCs w:val="18"/>
              </w:rPr>
              <w:t>Greater Shepparton C</w:t>
            </w:r>
          </w:p>
        </w:tc>
        <w:tc>
          <w:tcPr>
            <w:tcW w:w="1701" w:type="dxa"/>
            <w:tcBorders>
              <w:top w:val="nil"/>
              <w:left w:val="single" w:sz="18" w:space="0" w:color="5F497A" w:themeColor="accent4" w:themeShade="BF"/>
              <w:bottom w:val="nil"/>
              <w:right w:val="nil"/>
            </w:tcBorders>
            <w:shd w:val="clear" w:color="auto" w:fill="auto"/>
            <w:noWrap/>
            <w:vAlign w:val="bottom"/>
          </w:tcPr>
          <w:p w14:paraId="2F737AD1" w14:textId="740752B2"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7C3B658F" w14:textId="57FC5EBD" w:rsidR="00D84931" w:rsidRPr="001D41EA" w:rsidRDefault="00D84931" w:rsidP="00D84931">
            <w:pPr>
              <w:spacing w:before="40" w:after="40"/>
              <w:jc w:val="right"/>
              <w:rPr>
                <w:rFonts w:cs="Arial"/>
                <w:sz w:val="18"/>
                <w:szCs w:val="18"/>
              </w:rPr>
            </w:pPr>
            <w:r w:rsidRPr="001D41EA">
              <w:rPr>
                <w:rFonts w:cs="Arial"/>
                <w:sz w:val="18"/>
                <w:szCs w:val="18"/>
              </w:rPr>
              <w:t>30,458,792</w:t>
            </w:r>
          </w:p>
        </w:tc>
        <w:tc>
          <w:tcPr>
            <w:tcW w:w="1985" w:type="dxa"/>
            <w:tcBorders>
              <w:top w:val="nil"/>
              <w:left w:val="nil"/>
              <w:bottom w:val="nil"/>
              <w:right w:val="nil"/>
            </w:tcBorders>
            <w:shd w:val="clear" w:color="auto" w:fill="auto"/>
            <w:noWrap/>
            <w:vAlign w:val="bottom"/>
          </w:tcPr>
          <w:p w14:paraId="0DB423A7" w14:textId="07CB5E0B" w:rsidR="00D84931" w:rsidRPr="001D41EA" w:rsidRDefault="00D84931" w:rsidP="00D84931">
            <w:pPr>
              <w:spacing w:before="40" w:after="40"/>
              <w:jc w:val="right"/>
              <w:rPr>
                <w:rFonts w:cs="Arial"/>
                <w:b/>
                <w:sz w:val="18"/>
                <w:szCs w:val="18"/>
              </w:rPr>
            </w:pPr>
            <w:r w:rsidRPr="001D41EA">
              <w:rPr>
                <w:rFonts w:cs="Arial"/>
                <w:b/>
                <w:sz w:val="18"/>
                <w:szCs w:val="18"/>
              </w:rPr>
              <w:t>30,458,792</w:t>
            </w:r>
          </w:p>
        </w:tc>
      </w:tr>
      <w:tr w:rsidR="00D84931" w:rsidRPr="001D41EA" w14:paraId="2E86791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CDD7ECE" w14:textId="77777777" w:rsidR="00D84931" w:rsidRPr="001D41EA" w:rsidRDefault="00D84931" w:rsidP="00D84931">
            <w:pPr>
              <w:spacing w:before="40" w:after="40"/>
              <w:rPr>
                <w:rFonts w:cs="Arial"/>
                <w:sz w:val="18"/>
                <w:szCs w:val="18"/>
              </w:rPr>
            </w:pPr>
            <w:r w:rsidRPr="001D41EA">
              <w:rPr>
                <w:rFonts w:cs="Arial"/>
                <w:sz w:val="18"/>
                <w:szCs w:val="18"/>
              </w:rPr>
              <w:t>Hepburn S</w:t>
            </w:r>
          </w:p>
        </w:tc>
        <w:tc>
          <w:tcPr>
            <w:tcW w:w="1701" w:type="dxa"/>
            <w:tcBorders>
              <w:top w:val="nil"/>
              <w:left w:val="single" w:sz="18" w:space="0" w:color="5F497A" w:themeColor="accent4" w:themeShade="BF"/>
              <w:bottom w:val="nil"/>
              <w:right w:val="nil"/>
            </w:tcBorders>
            <w:shd w:val="clear" w:color="auto" w:fill="auto"/>
            <w:noWrap/>
            <w:vAlign w:val="bottom"/>
          </w:tcPr>
          <w:p w14:paraId="0856856C" w14:textId="1FE37642" w:rsidR="00D84931" w:rsidRPr="001D41EA" w:rsidRDefault="00D84931" w:rsidP="00D84931">
            <w:pPr>
              <w:spacing w:before="40" w:after="40"/>
              <w:jc w:val="right"/>
              <w:rPr>
                <w:rFonts w:cs="Arial"/>
                <w:sz w:val="18"/>
                <w:szCs w:val="18"/>
              </w:rPr>
            </w:pPr>
            <w:r w:rsidRPr="001D41EA">
              <w:rPr>
                <w:rFonts w:cs="Arial"/>
                <w:sz w:val="18"/>
                <w:szCs w:val="18"/>
              </w:rPr>
              <w:t>15,633</w:t>
            </w:r>
          </w:p>
        </w:tc>
        <w:tc>
          <w:tcPr>
            <w:tcW w:w="1985" w:type="dxa"/>
            <w:tcBorders>
              <w:top w:val="nil"/>
              <w:left w:val="nil"/>
              <w:bottom w:val="nil"/>
              <w:right w:val="nil"/>
            </w:tcBorders>
            <w:vAlign w:val="bottom"/>
          </w:tcPr>
          <w:p w14:paraId="7A4938F4" w14:textId="743C8688" w:rsidR="00D84931" w:rsidRPr="001D41EA" w:rsidRDefault="00D84931" w:rsidP="00D84931">
            <w:pPr>
              <w:spacing w:before="40" w:after="40"/>
              <w:jc w:val="right"/>
              <w:rPr>
                <w:rFonts w:cs="Arial"/>
                <w:sz w:val="18"/>
                <w:szCs w:val="18"/>
              </w:rPr>
            </w:pPr>
            <w:r w:rsidRPr="001D41EA">
              <w:rPr>
                <w:rFonts w:cs="Arial"/>
                <w:sz w:val="18"/>
                <w:szCs w:val="18"/>
              </w:rPr>
              <w:t>12,947,862</w:t>
            </w:r>
          </w:p>
        </w:tc>
        <w:tc>
          <w:tcPr>
            <w:tcW w:w="1985" w:type="dxa"/>
            <w:tcBorders>
              <w:top w:val="nil"/>
              <w:left w:val="nil"/>
              <w:bottom w:val="nil"/>
              <w:right w:val="nil"/>
            </w:tcBorders>
            <w:shd w:val="clear" w:color="auto" w:fill="auto"/>
            <w:noWrap/>
            <w:vAlign w:val="bottom"/>
          </w:tcPr>
          <w:p w14:paraId="661AD5BC" w14:textId="51021753" w:rsidR="00D84931" w:rsidRPr="001D41EA" w:rsidRDefault="00D84931" w:rsidP="00D84931">
            <w:pPr>
              <w:spacing w:before="40" w:after="40"/>
              <w:jc w:val="right"/>
              <w:rPr>
                <w:rFonts w:cs="Arial"/>
                <w:b/>
                <w:sz w:val="18"/>
                <w:szCs w:val="18"/>
              </w:rPr>
            </w:pPr>
            <w:r w:rsidRPr="001D41EA">
              <w:rPr>
                <w:rFonts w:cs="Arial"/>
                <w:b/>
                <w:sz w:val="18"/>
                <w:szCs w:val="18"/>
              </w:rPr>
              <w:t>8,429,944</w:t>
            </w:r>
          </w:p>
        </w:tc>
      </w:tr>
      <w:tr w:rsidR="00D84931" w:rsidRPr="001D41EA" w14:paraId="6E7647D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7E15C58" w14:textId="77777777" w:rsidR="00D84931" w:rsidRPr="001D41EA" w:rsidRDefault="00D84931" w:rsidP="00D84931">
            <w:pPr>
              <w:spacing w:before="40" w:after="40"/>
              <w:rPr>
                <w:rFonts w:cs="Arial"/>
                <w:sz w:val="18"/>
                <w:szCs w:val="18"/>
              </w:rPr>
            </w:pPr>
            <w:r w:rsidRPr="001D41EA">
              <w:rPr>
                <w:rFonts w:cs="Arial"/>
                <w:sz w:val="18"/>
                <w:szCs w:val="18"/>
              </w:rPr>
              <w:t>Hindmarsh S</w:t>
            </w:r>
          </w:p>
        </w:tc>
        <w:tc>
          <w:tcPr>
            <w:tcW w:w="1701" w:type="dxa"/>
            <w:tcBorders>
              <w:top w:val="nil"/>
              <w:left w:val="single" w:sz="18" w:space="0" w:color="5F497A" w:themeColor="accent4" w:themeShade="BF"/>
              <w:bottom w:val="nil"/>
              <w:right w:val="nil"/>
            </w:tcBorders>
            <w:shd w:val="clear" w:color="auto" w:fill="auto"/>
            <w:noWrap/>
            <w:vAlign w:val="bottom"/>
          </w:tcPr>
          <w:p w14:paraId="1BA0A41E" w14:textId="5845B82C" w:rsidR="00D84931" w:rsidRPr="001D41EA" w:rsidRDefault="00D84931" w:rsidP="00D84931">
            <w:pPr>
              <w:spacing w:before="40" w:after="40"/>
              <w:jc w:val="right"/>
              <w:rPr>
                <w:rFonts w:cs="Arial"/>
                <w:sz w:val="18"/>
                <w:szCs w:val="18"/>
              </w:rPr>
            </w:pPr>
            <w:r w:rsidRPr="001D41EA">
              <w:rPr>
                <w:rFonts w:cs="Arial"/>
                <w:sz w:val="18"/>
                <w:szCs w:val="18"/>
              </w:rPr>
              <w:t>29,432</w:t>
            </w:r>
          </w:p>
        </w:tc>
        <w:tc>
          <w:tcPr>
            <w:tcW w:w="1985" w:type="dxa"/>
            <w:tcBorders>
              <w:top w:val="nil"/>
              <w:left w:val="nil"/>
              <w:bottom w:val="nil"/>
              <w:right w:val="nil"/>
            </w:tcBorders>
            <w:vAlign w:val="bottom"/>
          </w:tcPr>
          <w:p w14:paraId="7CC4C805" w14:textId="05B754D7" w:rsidR="00D84931" w:rsidRPr="001D41EA" w:rsidRDefault="00D84931" w:rsidP="00D84931">
            <w:pPr>
              <w:spacing w:before="40" w:after="40"/>
              <w:jc w:val="right"/>
              <w:rPr>
                <w:rFonts w:cs="Arial"/>
                <w:sz w:val="18"/>
                <w:szCs w:val="18"/>
              </w:rPr>
            </w:pPr>
            <w:r w:rsidRPr="001D41EA">
              <w:rPr>
                <w:rFonts w:cs="Arial"/>
                <w:sz w:val="18"/>
                <w:szCs w:val="18"/>
              </w:rPr>
              <w:t>4,209,188</w:t>
            </w:r>
          </w:p>
        </w:tc>
        <w:tc>
          <w:tcPr>
            <w:tcW w:w="1985" w:type="dxa"/>
            <w:tcBorders>
              <w:top w:val="nil"/>
              <w:left w:val="nil"/>
              <w:bottom w:val="nil"/>
              <w:right w:val="nil"/>
            </w:tcBorders>
            <w:shd w:val="clear" w:color="auto" w:fill="auto"/>
            <w:noWrap/>
            <w:vAlign w:val="bottom"/>
          </w:tcPr>
          <w:p w14:paraId="243A5FB4" w14:textId="653E8250" w:rsidR="00D84931" w:rsidRPr="001D41EA" w:rsidRDefault="00D84931" w:rsidP="00D84931">
            <w:pPr>
              <w:spacing w:before="40" w:after="40"/>
              <w:jc w:val="right"/>
              <w:rPr>
                <w:rFonts w:cs="Arial"/>
                <w:b/>
                <w:sz w:val="18"/>
                <w:szCs w:val="18"/>
              </w:rPr>
            </w:pPr>
            <w:r w:rsidRPr="001D41EA">
              <w:rPr>
                <w:rFonts w:cs="Arial"/>
                <w:b/>
                <w:sz w:val="18"/>
                <w:szCs w:val="18"/>
              </w:rPr>
              <w:t>3,307,028</w:t>
            </w:r>
          </w:p>
        </w:tc>
      </w:tr>
      <w:tr w:rsidR="00D84931" w:rsidRPr="001D41EA" w14:paraId="593D8FF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AAEFFF0" w14:textId="77777777" w:rsidR="00D84931" w:rsidRPr="001D41EA" w:rsidRDefault="00D84931" w:rsidP="00D84931">
            <w:pPr>
              <w:spacing w:before="40" w:after="40"/>
              <w:rPr>
                <w:rFonts w:cs="Arial"/>
                <w:sz w:val="18"/>
                <w:szCs w:val="18"/>
              </w:rPr>
            </w:pPr>
            <w:r w:rsidRPr="001D41EA">
              <w:rPr>
                <w:rFonts w:cs="Arial"/>
                <w:sz w:val="18"/>
                <w:szCs w:val="18"/>
              </w:rPr>
              <w:t>Hobsons Bay C</w:t>
            </w:r>
          </w:p>
        </w:tc>
        <w:tc>
          <w:tcPr>
            <w:tcW w:w="1701" w:type="dxa"/>
            <w:tcBorders>
              <w:top w:val="nil"/>
              <w:left w:val="single" w:sz="18" w:space="0" w:color="5F497A" w:themeColor="accent4" w:themeShade="BF"/>
              <w:bottom w:val="nil"/>
              <w:right w:val="nil"/>
            </w:tcBorders>
            <w:shd w:val="clear" w:color="auto" w:fill="auto"/>
            <w:noWrap/>
            <w:vAlign w:val="bottom"/>
          </w:tcPr>
          <w:p w14:paraId="369D6557" w14:textId="2A1A1879" w:rsidR="00D84931" w:rsidRPr="001D41EA" w:rsidRDefault="00D84931" w:rsidP="00D84931">
            <w:pPr>
              <w:spacing w:before="40" w:after="40"/>
              <w:jc w:val="right"/>
              <w:rPr>
                <w:rFonts w:cs="Arial"/>
                <w:sz w:val="18"/>
                <w:szCs w:val="18"/>
              </w:rPr>
            </w:pPr>
            <w:r w:rsidRPr="001D41EA">
              <w:rPr>
                <w:rFonts w:cs="Arial"/>
                <w:sz w:val="18"/>
                <w:szCs w:val="18"/>
              </w:rPr>
              <w:t>218,051</w:t>
            </w:r>
          </w:p>
        </w:tc>
        <w:tc>
          <w:tcPr>
            <w:tcW w:w="1985" w:type="dxa"/>
            <w:tcBorders>
              <w:top w:val="nil"/>
              <w:left w:val="nil"/>
              <w:bottom w:val="nil"/>
              <w:right w:val="nil"/>
            </w:tcBorders>
            <w:vAlign w:val="bottom"/>
          </w:tcPr>
          <w:p w14:paraId="4F459B90" w14:textId="46299287" w:rsidR="00D84931" w:rsidRPr="001D41EA" w:rsidRDefault="00D84931" w:rsidP="00D84931">
            <w:pPr>
              <w:spacing w:before="40" w:after="40"/>
              <w:jc w:val="right"/>
              <w:rPr>
                <w:rFonts w:cs="Arial"/>
                <w:sz w:val="18"/>
                <w:szCs w:val="18"/>
              </w:rPr>
            </w:pPr>
            <w:r w:rsidRPr="001D41EA">
              <w:rPr>
                <w:rFonts w:cs="Arial"/>
                <w:sz w:val="18"/>
                <w:szCs w:val="18"/>
              </w:rPr>
              <w:t>82,434,806</w:t>
            </w:r>
          </w:p>
        </w:tc>
        <w:tc>
          <w:tcPr>
            <w:tcW w:w="1985" w:type="dxa"/>
            <w:tcBorders>
              <w:top w:val="nil"/>
              <w:left w:val="nil"/>
              <w:bottom w:val="nil"/>
              <w:right w:val="nil"/>
            </w:tcBorders>
            <w:shd w:val="clear" w:color="auto" w:fill="auto"/>
            <w:noWrap/>
            <w:vAlign w:val="bottom"/>
          </w:tcPr>
          <w:p w14:paraId="3C6DBECD" w14:textId="43E72434" w:rsidR="00D84931" w:rsidRPr="001D41EA" w:rsidRDefault="00D84931" w:rsidP="00D84931">
            <w:pPr>
              <w:spacing w:before="40" w:after="40"/>
              <w:jc w:val="right"/>
              <w:rPr>
                <w:rFonts w:cs="Arial"/>
                <w:b/>
                <w:sz w:val="18"/>
                <w:szCs w:val="18"/>
              </w:rPr>
            </w:pPr>
            <w:r w:rsidRPr="001D41EA">
              <w:rPr>
                <w:rFonts w:cs="Arial"/>
                <w:b/>
                <w:sz w:val="18"/>
                <w:szCs w:val="18"/>
              </w:rPr>
              <w:t>80,127,879</w:t>
            </w:r>
          </w:p>
        </w:tc>
      </w:tr>
      <w:tr w:rsidR="00D84931" w:rsidRPr="001D41EA" w14:paraId="2945B47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9C9F517" w14:textId="77777777" w:rsidR="00D84931" w:rsidRPr="001D41EA" w:rsidRDefault="00D84931" w:rsidP="00D84931">
            <w:pPr>
              <w:spacing w:before="40" w:after="40"/>
              <w:rPr>
                <w:rFonts w:cs="Arial"/>
                <w:sz w:val="18"/>
                <w:szCs w:val="18"/>
              </w:rPr>
            </w:pPr>
            <w:r w:rsidRPr="001D41EA">
              <w:rPr>
                <w:rFonts w:cs="Arial"/>
                <w:sz w:val="18"/>
                <w:szCs w:val="18"/>
              </w:rPr>
              <w:t>Horsham RC</w:t>
            </w:r>
          </w:p>
        </w:tc>
        <w:tc>
          <w:tcPr>
            <w:tcW w:w="1701" w:type="dxa"/>
            <w:tcBorders>
              <w:top w:val="nil"/>
              <w:left w:val="single" w:sz="18" w:space="0" w:color="5F497A" w:themeColor="accent4" w:themeShade="BF"/>
              <w:bottom w:val="nil"/>
              <w:right w:val="nil"/>
            </w:tcBorders>
            <w:shd w:val="clear" w:color="auto" w:fill="auto"/>
            <w:noWrap/>
            <w:vAlign w:val="bottom"/>
          </w:tcPr>
          <w:p w14:paraId="43CC49D3" w14:textId="1564AC98"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0F38EEA9" w14:textId="523E048E" w:rsidR="00D84931" w:rsidRPr="001D41EA" w:rsidRDefault="00D84931" w:rsidP="00D84931">
            <w:pPr>
              <w:spacing w:before="40" w:after="40"/>
              <w:jc w:val="right"/>
              <w:rPr>
                <w:rFonts w:cs="Arial"/>
                <w:sz w:val="18"/>
                <w:szCs w:val="18"/>
              </w:rPr>
            </w:pPr>
            <w:r w:rsidRPr="001D41EA">
              <w:rPr>
                <w:rFonts w:cs="Arial"/>
                <w:sz w:val="18"/>
                <w:szCs w:val="18"/>
              </w:rPr>
              <w:t>12,812,338</w:t>
            </w:r>
          </w:p>
        </w:tc>
        <w:tc>
          <w:tcPr>
            <w:tcW w:w="1985" w:type="dxa"/>
            <w:tcBorders>
              <w:top w:val="nil"/>
              <w:left w:val="nil"/>
              <w:bottom w:val="nil"/>
              <w:right w:val="nil"/>
            </w:tcBorders>
            <w:shd w:val="clear" w:color="auto" w:fill="auto"/>
            <w:noWrap/>
            <w:vAlign w:val="bottom"/>
          </w:tcPr>
          <w:p w14:paraId="1628760E" w14:textId="3041A469" w:rsidR="00D84931" w:rsidRPr="001D41EA" w:rsidRDefault="00D84931" w:rsidP="00D84931">
            <w:pPr>
              <w:spacing w:before="40" w:after="40"/>
              <w:jc w:val="right"/>
              <w:rPr>
                <w:rFonts w:cs="Arial"/>
                <w:b/>
                <w:sz w:val="18"/>
                <w:szCs w:val="18"/>
              </w:rPr>
            </w:pPr>
            <w:r w:rsidRPr="001D41EA">
              <w:rPr>
                <w:rFonts w:cs="Arial"/>
                <w:b/>
                <w:sz w:val="18"/>
                <w:szCs w:val="18"/>
              </w:rPr>
              <w:t>10,563,999</w:t>
            </w:r>
          </w:p>
        </w:tc>
      </w:tr>
      <w:tr w:rsidR="00D84931" w:rsidRPr="001D41EA" w14:paraId="7CFD85D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22896E9" w14:textId="77777777" w:rsidR="00D84931" w:rsidRPr="001D41EA" w:rsidRDefault="00D84931" w:rsidP="00D84931">
            <w:pPr>
              <w:spacing w:before="40" w:after="40"/>
              <w:rPr>
                <w:rFonts w:cs="Arial"/>
                <w:sz w:val="18"/>
                <w:szCs w:val="18"/>
              </w:rPr>
            </w:pPr>
            <w:r w:rsidRPr="001D41EA">
              <w:rPr>
                <w:rFonts w:cs="Arial"/>
                <w:sz w:val="18"/>
                <w:szCs w:val="18"/>
              </w:rPr>
              <w:t>Hume C</w:t>
            </w:r>
          </w:p>
        </w:tc>
        <w:tc>
          <w:tcPr>
            <w:tcW w:w="1701" w:type="dxa"/>
            <w:tcBorders>
              <w:top w:val="nil"/>
              <w:left w:val="single" w:sz="18" w:space="0" w:color="5F497A" w:themeColor="accent4" w:themeShade="BF"/>
              <w:bottom w:val="nil"/>
              <w:right w:val="nil"/>
            </w:tcBorders>
            <w:shd w:val="clear" w:color="auto" w:fill="auto"/>
            <w:noWrap/>
            <w:vAlign w:val="bottom"/>
          </w:tcPr>
          <w:p w14:paraId="1A326182" w14:textId="614D2E67" w:rsidR="00D84931" w:rsidRPr="001D41EA" w:rsidRDefault="00D84931" w:rsidP="00D84931">
            <w:pPr>
              <w:spacing w:before="40" w:after="40"/>
              <w:jc w:val="right"/>
              <w:rPr>
                <w:rFonts w:cs="Arial"/>
                <w:sz w:val="18"/>
                <w:szCs w:val="18"/>
              </w:rPr>
            </w:pPr>
            <w:r w:rsidRPr="001D41EA">
              <w:rPr>
                <w:rFonts w:cs="Arial"/>
                <w:sz w:val="18"/>
                <w:szCs w:val="18"/>
              </w:rPr>
              <w:t>13,760,596</w:t>
            </w:r>
          </w:p>
        </w:tc>
        <w:tc>
          <w:tcPr>
            <w:tcW w:w="1985" w:type="dxa"/>
            <w:tcBorders>
              <w:top w:val="nil"/>
              <w:left w:val="nil"/>
              <w:bottom w:val="nil"/>
              <w:right w:val="nil"/>
            </w:tcBorders>
            <w:vAlign w:val="bottom"/>
          </w:tcPr>
          <w:p w14:paraId="19D36B41" w14:textId="68FA1296" w:rsidR="00D84931" w:rsidRPr="001D41EA" w:rsidRDefault="00D84931" w:rsidP="00D84931">
            <w:pPr>
              <w:spacing w:before="40" w:after="40"/>
              <w:jc w:val="right"/>
              <w:rPr>
                <w:rFonts w:cs="Arial"/>
                <w:sz w:val="18"/>
                <w:szCs w:val="18"/>
              </w:rPr>
            </w:pPr>
            <w:r w:rsidRPr="001D41EA">
              <w:rPr>
                <w:rFonts w:cs="Arial"/>
                <w:sz w:val="18"/>
                <w:szCs w:val="18"/>
              </w:rPr>
              <w:t>119,623,114</w:t>
            </w:r>
          </w:p>
        </w:tc>
        <w:tc>
          <w:tcPr>
            <w:tcW w:w="1985" w:type="dxa"/>
            <w:tcBorders>
              <w:top w:val="nil"/>
              <w:left w:val="nil"/>
              <w:bottom w:val="nil"/>
              <w:right w:val="nil"/>
            </w:tcBorders>
            <w:shd w:val="clear" w:color="auto" w:fill="auto"/>
            <w:noWrap/>
            <w:vAlign w:val="bottom"/>
          </w:tcPr>
          <w:p w14:paraId="5EC66AD6" w14:textId="5CA7F748" w:rsidR="00D84931" w:rsidRPr="001D41EA" w:rsidRDefault="00D84931" w:rsidP="00D84931">
            <w:pPr>
              <w:spacing w:before="40" w:after="40"/>
              <w:jc w:val="right"/>
              <w:rPr>
                <w:rFonts w:cs="Arial"/>
                <w:b/>
                <w:sz w:val="18"/>
                <w:szCs w:val="18"/>
              </w:rPr>
            </w:pPr>
            <w:r w:rsidRPr="001D41EA">
              <w:rPr>
                <w:rFonts w:cs="Arial"/>
                <w:b/>
                <w:sz w:val="18"/>
                <w:szCs w:val="18"/>
              </w:rPr>
              <w:t>119,623,114</w:t>
            </w:r>
          </w:p>
        </w:tc>
      </w:tr>
      <w:tr w:rsidR="00D84931" w:rsidRPr="001D41EA" w14:paraId="28BF220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50514E7" w14:textId="77777777" w:rsidR="00D84931" w:rsidRPr="001D41EA" w:rsidRDefault="00D84931" w:rsidP="00D84931">
            <w:pPr>
              <w:spacing w:before="40" w:after="40"/>
              <w:rPr>
                <w:rFonts w:cs="Arial"/>
                <w:sz w:val="18"/>
                <w:szCs w:val="18"/>
              </w:rPr>
            </w:pPr>
            <w:r w:rsidRPr="001D41EA">
              <w:rPr>
                <w:rFonts w:cs="Arial"/>
                <w:sz w:val="18"/>
                <w:szCs w:val="18"/>
              </w:rPr>
              <w:t>Indigo S</w:t>
            </w:r>
          </w:p>
        </w:tc>
        <w:tc>
          <w:tcPr>
            <w:tcW w:w="1701" w:type="dxa"/>
            <w:tcBorders>
              <w:top w:val="nil"/>
              <w:left w:val="single" w:sz="18" w:space="0" w:color="5F497A" w:themeColor="accent4" w:themeShade="BF"/>
              <w:bottom w:val="nil"/>
              <w:right w:val="nil"/>
            </w:tcBorders>
            <w:shd w:val="clear" w:color="auto" w:fill="auto"/>
            <w:noWrap/>
            <w:vAlign w:val="bottom"/>
          </w:tcPr>
          <w:p w14:paraId="4EFF9C96" w14:textId="32C6697D"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3F2708F3" w14:textId="00C99C35" w:rsidR="00D84931" w:rsidRPr="001D41EA" w:rsidRDefault="00D84931" w:rsidP="00D84931">
            <w:pPr>
              <w:spacing w:before="40" w:after="40"/>
              <w:jc w:val="right"/>
              <w:rPr>
                <w:rFonts w:cs="Arial"/>
                <w:sz w:val="18"/>
                <w:szCs w:val="18"/>
              </w:rPr>
            </w:pPr>
            <w:r w:rsidRPr="001D41EA">
              <w:rPr>
                <w:rFonts w:cs="Arial"/>
                <w:sz w:val="18"/>
                <w:szCs w:val="18"/>
              </w:rPr>
              <w:t>9,347,286</w:t>
            </w:r>
          </w:p>
        </w:tc>
        <w:tc>
          <w:tcPr>
            <w:tcW w:w="1985" w:type="dxa"/>
            <w:tcBorders>
              <w:top w:val="nil"/>
              <w:left w:val="nil"/>
              <w:bottom w:val="nil"/>
              <w:right w:val="nil"/>
            </w:tcBorders>
            <w:shd w:val="clear" w:color="auto" w:fill="auto"/>
            <w:noWrap/>
            <w:vAlign w:val="bottom"/>
          </w:tcPr>
          <w:p w14:paraId="578F1FAD" w14:textId="517A4EC8" w:rsidR="00D84931" w:rsidRPr="001D41EA" w:rsidRDefault="00D84931" w:rsidP="00D84931">
            <w:pPr>
              <w:spacing w:before="40" w:after="40"/>
              <w:jc w:val="right"/>
              <w:rPr>
                <w:rFonts w:cs="Arial"/>
                <w:b/>
                <w:sz w:val="18"/>
                <w:szCs w:val="18"/>
              </w:rPr>
            </w:pPr>
            <w:r w:rsidRPr="001D41EA">
              <w:rPr>
                <w:rFonts w:cs="Arial"/>
                <w:b/>
                <w:sz w:val="18"/>
                <w:szCs w:val="18"/>
              </w:rPr>
              <w:t>9,347,286</w:t>
            </w:r>
          </w:p>
        </w:tc>
      </w:tr>
      <w:tr w:rsidR="00D84931" w:rsidRPr="001D41EA" w14:paraId="10C81D8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789AC94" w14:textId="77777777" w:rsidR="00D84931" w:rsidRPr="001D41EA" w:rsidRDefault="00D84931" w:rsidP="00D84931">
            <w:pPr>
              <w:spacing w:before="40" w:after="40"/>
              <w:rPr>
                <w:rFonts w:cs="Arial"/>
                <w:sz w:val="18"/>
                <w:szCs w:val="18"/>
              </w:rPr>
            </w:pPr>
            <w:r w:rsidRPr="001D41EA">
              <w:rPr>
                <w:rFonts w:cs="Arial"/>
                <w:sz w:val="18"/>
                <w:szCs w:val="18"/>
              </w:rPr>
              <w:t>Kingston C</w:t>
            </w:r>
          </w:p>
        </w:tc>
        <w:tc>
          <w:tcPr>
            <w:tcW w:w="1701" w:type="dxa"/>
            <w:tcBorders>
              <w:top w:val="nil"/>
              <w:left w:val="single" w:sz="18" w:space="0" w:color="5F497A" w:themeColor="accent4" w:themeShade="BF"/>
              <w:bottom w:val="nil"/>
              <w:right w:val="nil"/>
            </w:tcBorders>
            <w:shd w:val="clear" w:color="auto" w:fill="auto"/>
            <w:noWrap/>
            <w:vAlign w:val="bottom"/>
          </w:tcPr>
          <w:p w14:paraId="07AE8688" w14:textId="5C2D2AF8"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4D6BBDF0" w14:textId="4BD64901" w:rsidR="00D84931" w:rsidRPr="001D41EA" w:rsidRDefault="00D84931" w:rsidP="00D84931">
            <w:pPr>
              <w:spacing w:before="40" w:after="40"/>
              <w:jc w:val="right"/>
              <w:rPr>
                <w:rFonts w:cs="Arial"/>
                <w:sz w:val="18"/>
                <w:szCs w:val="18"/>
              </w:rPr>
            </w:pPr>
            <w:r w:rsidRPr="001D41EA">
              <w:rPr>
                <w:rFonts w:cs="Arial"/>
                <w:sz w:val="18"/>
                <w:szCs w:val="18"/>
              </w:rPr>
              <w:t>151,174,467</w:t>
            </w:r>
          </w:p>
        </w:tc>
        <w:tc>
          <w:tcPr>
            <w:tcW w:w="1985" w:type="dxa"/>
            <w:tcBorders>
              <w:top w:val="nil"/>
              <w:left w:val="nil"/>
              <w:bottom w:val="nil"/>
              <w:right w:val="nil"/>
            </w:tcBorders>
            <w:shd w:val="clear" w:color="auto" w:fill="auto"/>
            <w:noWrap/>
            <w:vAlign w:val="bottom"/>
          </w:tcPr>
          <w:p w14:paraId="3962724F" w14:textId="76BB8E31" w:rsidR="00D84931" w:rsidRPr="001D41EA" w:rsidRDefault="00D84931" w:rsidP="00D84931">
            <w:pPr>
              <w:spacing w:before="40" w:after="40"/>
              <w:jc w:val="right"/>
              <w:rPr>
                <w:rFonts w:cs="Arial"/>
                <w:b/>
                <w:sz w:val="18"/>
                <w:szCs w:val="18"/>
              </w:rPr>
            </w:pPr>
            <w:r w:rsidRPr="001D41EA">
              <w:rPr>
                <w:rFonts w:cs="Arial"/>
                <w:b/>
                <w:sz w:val="18"/>
                <w:szCs w:val="18"/>
              </w:rPr>
              <w:t>143,081,385</w:t>
            </w:r>
          </w:p>
        </w:tc>
      </w:tr>
      <w:tr w:rsidR="00D84931" w:rsidRPr="001D41EA" w14:paraId="3DE0530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821ECA1" w14:textId="77777777" w:rsidR="00D84931" w:rsidRPr="001D41EA" w:rsidRDefault="00D84931" w:rsidP="00D84931">
            <w:pPr>
              <w:spacing w:before="40" w:after="40"/>
              <w:rPr>
                <w:rFonts w:cs="Arial"/>
                <w:sz w:val="18"/>
                <w:szCs w:val="18"/>
              </w:rPr>
            </w:pPr>
            <w:r w:rsidRPr="001D41EA">
              <w:rPr>
                <w:rFonts w:cs="Arial"/>
                <w:sz w:val="18"/>
                <w:szCs w:val="18"/>
              </w:rPr>
              <w:t>Knox C</w:t>
            </w:r>
          </w:p>
        </w:tc>
        <w:tc>
          <w:tcPr>
            <w:tcW w:w="1701" w:type="dxa"/>
            <w:tcBorders>
              <w:top w:val="nil"/>
              <w:left w:val="single" w:sz="18" w:space="0" w:color="5F497A" w:themeColor="accent4" w:themeShade="BF"/>
              <w:bottom w:val="nil"/>
              <w:right w:val="nil"/>
            </w:tcBorders>
            <w:shd w:val="clear" w:color="auto" w:fill="auto"/>
            <w:noWrap/>
            <w:vAlign w:val="bottom"/>
          </w:tcPr>
          <w:p w14:paraId="787FD0D9" w14:textId="144ADE0C"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5A7C1868" w14:textId="173529BC" w:rsidR="00D84931" w:rsidRPr="001D41EA" w:rsidRDefault="00D84931" w:rsidP="00D84931">
            <w:pPr>
              <w:spacing w:before="40" w:after="40"/>
              <w:jc w:val="right"/>
              <w:rPr>
                <w:rFonts w:cs="Arial"/>
                <w:sz w:val="18"/>
                <w:szCs w:val="18"/>
              </w:rPr>
            </w:pPr>
            <w:r w:rsidRPr="001D41EA">
              <w:rPr>
                <w:rFonts w:cs="Arial"/>
                <w:sz w:val="18"/>
                <w:szCs w:val="18"/>
              </w:rPr>
              <w:t>118,163,160</w:t>
            </w:r>
          </w:p>
        </w:tc>
        <w:tc>
          <w:tcPr>
            <w:tcW w:w="1985" w:type="dxa"/>
            <w:tcBorders>
              <w:top w:val="nil"/>
              <w:left w:val="nil"/>
              <w:bottom w:val="nil"/>
              <w:right w:val="nil"/>
            </w:tcBorders>
            <w:shd w:val="clear" w:color="auto" w:fill="auto"/>
            <w:noWrap/>
            <w:vAlign w:val="bottom"/>
          </w:tcPr>
          <w:p w14:paraId="65C1261F" w14:textId="6D8ECDB0" w:rsidR="00D84931" w:rsidRPr="001D41EA" w:rsidRDefault="00D84931" w:rsidP="00D84931">
            <w:pPr>
              <w:spacing w:before="40" w:after="40"/>
              <w:jc w:val="right"/>
              <w:rPr>
                <w:rFonts w:cs="Arial"/>
                <w:b/>
                <w:sz w:val="18"/>
                <w:szCs w:val="18"/>
              </w:rPr>
            </w:pPr>
            <w:r w:rsidRPr="001D41EA">
              <w:rPr>
                <w:rFonts w:cs="Arial"/>
                <w:b/>
                <w:sz w:val="18"/>
                <w:szCs w:val="18"/>
              </w:rPr>
              <w:t>97,381,374</w:t>
            </w:r>
          </w:p>
        </w:tc>
      </w:tr>
      <w:tr w:rsidR="00D84931" w:rsidRPr="001D41EA" w14:paraId="37DD13A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1DDC5E6" w14:textId="77777777" w:rsidR="00D84931" w:rsidRPr="001D41EA" w:rsidRDefault="00D84931" w:rsidP="00D84931">
            <w:pPr>
              <w:spacing w:before="40" w:after="40"/>
              <w:rPr>
                <w:rFonts w:cs="Arial"/>
                <w:sz w:val="18"/>
                <w:szCs w:val="18"/>
              </w:rPr>
            </w:pPr>
            <w:r w:rsidRPr="001D41EA">
              <w:rPr>
                <w:rFonts w:cs="Arial"/>
                <w:sz w:val="18"/>
                <w:szCs w:val="18"/>
              </w:rPr>
              <w:t>Latrobe C</w:t>
            </w:r>
          </w:p>
        </w:tc>
        <w:tc>
          <w:tcPr>
            <w:tcW w:w="1701" w:type="dxa"/>
            <w:tcBorders>
              <w:top w:val="nil"/>
              <w:left w:val="single" w:sz="18" w:space="0" w:color="5F497A" w:themeColor="accent4" w:themeShade="BF"/>
              <w:bottom w:val="nil"/>
              <w:right w:val="nil"/>
            </w:tcBorders>
            <w:shd w:val="clear" w:color="auto" w:fill="auto"/>
            <w:noWrap/>
            <w:vAlign w:val="bottom"/>
          </w:tcPr>
          <w:p w14:paraId="13FDF5A7" w14:textId="1A75C237" w:rsidR="00D84931" w:rsidRPr="001D41EA" w:rsidRDefault="00D84931" w:rsidP="00D84931">
            <w:pPr>
              <w:spacing w:before="40" w:after="40"/>
              <w:jc w:val="right"/>
              <w:rPr>
                <w:rFonts w:cs="Arial"/>
                <w:sz w:val="18"/>
                <w:szCs w:val="18"/>
              </w:rPr>
            </w:pPr>
            <w:r w:rsidRPr="001D41EA">
              <w:rPr>
                <w:rFonts w:cs="Arial"/>
                <w:sz w:val="18"/>
                <w:szCs w:val="18"/>
              </w:rPr>
              <w:t>7,250,909</w:t>
            </w:r>
          </w:p>
        </w:tc>
        <w:tc>
          <w:tcPr>
            <w:tcW w:w="1985" w:type="dxa"/>
            <w:tcBorders>
              <w:top w:val="nil"/>
              <w:left w:val="nil"/>
              <w:bottom w:val="nil"/>
              <w:right w:val="nil"/>
            </w:tcBorders>
            <w:vAlign w:val="bottom"/>
          </w:tcPr>
          <w:p w14:paraId="10C5CD21" w14:textId="32A87366" w:rsidR="00D84931" w:rsidRPr="001D41EA" w:rsidRDefault="00D84931" w:rsidP="00D84931">
            <w:pPr>
              <w:spacing w:before="40" w:after="40"/>
              <w:jc w:val="right"/>
              <w:rPr>
                <w:rFonts w:cs="Arial"/>
                <w:sz w:val="18"/>
                <w:szCs w:val="18"/>
              </w:rPr>
            </w:pPr>
            <w:r w:rsidRPr="001D41EA">
              <w:rPr>
                <w:rFonts w:cs="Arial"/>
                <w:sz w:val="18"/>
                <w:szCs w:val="18"/>
              </w:rPr>
              <w:t>40,923,011</w:t>
            </w:r>
          </w:p>
        </w:tc>
        <w:tc>
          <w:tcPr>
            <w:tcW w:w="1985" w:type="dxa"/>
            <w:tcBorders>
              <w:top w:val="nil"/>
              <w:left w:val="nil"/>
              <w:bottom w:val="nil"/>
              <w:right w:val="nil"/>
            </w:tcBorders>
            <w:shd w:val="clear" w:color="auto" w:fill="auto"/>
            <w:noWrap/>
            <w:vAlign w:val="bottom"/>
          </w:tcPr>
          <w:p w14:paraId="0F5B2D14" w14:textId="035FEB79" w:rsidR="00D84931" w:rsidRPr="001D41EA" w:rsidRDefault="00D84931" w:rsidP="00D84931">
            <w:pPr>
              <w:spacing w:before="40" w:after="40"/>
              <w:jc w:val="right"/>
              <w:rPr>
                <w:rFonts w:cs="Arial"/>
                <w:b/>
                <w:sz w:val="18"/>
                <w:szCs w:val="18"/>
              </w:rPr>
            </w:pPr>
            <w:r w:rsidRPr="001D41EA">
              <w:rPr>
                <w:rFonts w:cs="Arial"/>
                <w:b/>
                <w:sz w:val="18"/>
                <w:szCs w:val="18"/>
              </w:rPr>
              <w:t>39,246,226</w:t>
            </w:r>
          </w:p>
        </w:tc>
      </w:tr>
      <w:tr w:rsidR="00D84931" w:rsidRPr="001D41EA" w14:paraId="1D1B0FF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748FBFD" w14:textId="77777777" w:rsidR="00D84931" w:rsidRPr="001D41EA" w:rsidRDefault="00D84931" w:rsidP="00D84931">
            <w:pPr>
              <w:spacing w:before="40" w:after="40"/>
              <w:rPr>
                <w:rFonts w:cs="Arial"/>
                <w:sz w:val="18"/>
                <w:szCs w:val="18"/>
              </w:rPr>
            </w:pPr>
            <w:r w:rsidRPr="001D41EA">
              <w:rPr>
                <w:rFonts w:cs="Arial"/>
                <w:sz w:val="18"/>
                <w:szCs w:val="18"/>
              </w:rPr>
              <w:t>Loddon S</w:t>
            </w:r>
          </w:p>
        </w:tc>
        <w:tc>
          <w:tcPr>
            <w:tcW w:w="1701" w:type="dxa"/>
            <w:tcBorders>
              <w:top w:val="nil"/>
              <w:left w:val="single" w:sz="18" w:space="0" w:color="5F497A" w:themeColor="accent4" w:themeShade="BF"/>
              <w:bottom w:val="nil"/>
              <w:right w:val="nil"/>
            </w:tcBorders>
            <w:shd w:val="clear" w:color="auto" w:fill="auto"/>
            <w:noWrap/>
            <w:vAlign w:val="bottom"/>
          </w:tcPr>
          <w:p w14:paraId="05F7E378" w14:textId="11D92527" w:rsidR="00D84931" w:rsidRPr="001D41EA" w:rsidRDefault="00D84931" w:rsidP="00D84931">
            <w:pPr>
              <w:spacing w:before="40" w:after="4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11DE1BCF" w14:textId="5272F261" w:rsidR="00D84931" w:rsidRPr="001D41EA" w:rsidRDefault="00D84931" w:rsidP="00D84931">
            <w:pPr>
              <w:spacing w:before="40" w:after="40"/>
              <w:jc w:val="right"/>
              <w:rPr>
                <w:rFonts w:cs="Arial"/>
                <w:sz w:val="18"/>
                <w:szCs w:val="18"/>
              </w:rPr>
            </w:pPr>
            <w:r w:rsidRPr="001D41EA">
              <w:rPr>
                <w:rFonts w:cs="Arial"/>
                <w:sz w:val="18"/>
                <w:szCs w:val="18"/>
              </w:rPr>
              <w:t>5,914,973</w:t>
            </w:r>
          </w:p>
        </w:tc>
        <w:tc>
          <w:tcPr>
            <w:tcW w:w="1985" w:type="dxa"/>
            <w:tcBorders>
              <w:top w:val="nil"/>
              <w:left w:val="nil"/>
              <w:bottom w:val="nil"/>
              <w:right w:val="nil"/>
            </w:tcBorders>
            <w:shd w:val="clear" w:color="auto" w:fill="auto"/>
            <w:noWrap/>
            <w:vAlign w:val="bottom"/>
          </w:tcPr>
          <w:p w14:paraId="10DD83EF" w14:textId="1EC94955" w:rsidR="00D84931" w:rsidRPr="001D41EA" w:rsidRDefault="00D84931" w:rsidP="00D84931">
            <w:pPr>
              <w:spacing w:before="40" w:after="40"/>
              <w:jc w:val="right"/>
              <w:rPr>
                <w:rFonts w:cs="Arial"/>
                <w:b/>
                <w:sz w:val="18"/>
                <w:szCs w:val="18"/>
              </w:rPr>
            </w:pPr>
            <w:r w:rsidRPr="001D41EA">
              <w:rPr>
                <w:rFonts w:cs="Arial"/>
                <w:b/>
                <w:sz w:val="18"/>
                <w:szCs w:val="18"/>
              </w:rPr>
              <w:t>5,117,956</w:t>
            </w:r>
          </w:p>
        </w:tc>
      </w:tr>
    </w:tbl>
    <w:p w14:paraId="32411E2D" w14:textId="77777777" w:rsidR="00713C86" w:rsidRPr="00A44829" w:rsidRDefault="00713C86" w:rsidP="00FF36E8">
      <w:pPr>
        <w:spacing w:before="40" w:after="20"/>
        <w:rPr>
          <w:rFonts w:cs="Arial"/>
          <w:sz w:val="18"/>
          <w:szCs w:val="18"/>
        </w:rPr>
      </w:pPr>
    </w:p>
    <w:p w14:paraId="072F5FD8" w14:textId="77777777" w:rsidR="00713C86" w:rsidRPr="00A44829" w:rsidRDefault="00713C86" w:rsidP="00FF36E8">
      <w:pPr>
        <w:spacing w:before="40" w:after="20"/>
        <w:rPr>
          <w:rFonts w:cs="Arial"/>
          <w:sz w:val="18"/>
          <w:szCs w:val="18"/>
        </w:rPr>
      </w:pPr>
      <w:r w:rsidRPr="00A44829">
        <w:rPr>
          <w:rFonts w:cs="Arial"/>
          <w:sz w:val="18"/>
          <w:szCs w:val="18"/>
        </w:rPr>
        <w:br w:type="page"/>
      </w:r>
    </w:p>
    <w:p w14:paraId="3F7C9D7D" w14:textId="668C869E" w:rsidR="00713C86" w:rsidRPr="00A44829" w:rsidRDefault="00713C86" w:rsidP="00C33713">
      <w:pPr>
        <w:pStyle w:val="VGC-Head10"/>
      </w:pPr>
      <w:r w:rsidRPr="00A44829">
        <w:lastRenderedPageBreak/>
        <w:t>Appendix 4</w:t>
      </w:r>
      <w:r w:rsidRPr="00A44829">
        <w:tab/>
      </w:r>
      <w:r w:rsidR="00EE4593" w:rsidRPr="00A44829">
        <w:t>2019-20</w:t>
      </w:r>
      <w:r w:rsidR="00A97ABE" w:rsidRPr="00A44829">
        <w:t xml:space="preserve"> </w:t>
      </w:r>
      <w:r w:rsidRPr="00A44829">
        <w:t xml:space="preserve">General Purpose Grants </w:t>
      </w:r>
    </w:p>
    <w:p w14:paraId="2AB28AD8" w14:textId="77777777" w:rsidR="00713C86" w:rsidRPr="00A44829" w:rsidRDefault="00713C86" w:rsidP="008C1A28">
      <w:pPr>
        <w:pStyle w:val="VGC-Head2"/>
      </w:pPr>
      <w:r w:rsidRPr="00A44829">
        <w:t>J.  Standardised Rate Revenue</w:t>
      </w:r>
    </w:p>
    <w:p w14:paraId="1E85506B" w14:textId="77777777" w:rsidR="00540FD9" w:rsidRPr="00A44829"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A44829" w14:paraId="0D195C75" w14:textId="77777777" w:rsidTr="00B44BBE">
        <w:trPr>
          <w:tblHeader/>
        </w:trPr>
        <w:tc>
          <w:tcPr>
            <w:tcW w:w="2268" w:type="dxa"/>
            <w:tcBorders>
              <w:left w:val="nil"/>
              <w:right w:val="single" w:sz="18" w:space="0" w:color="5F497A" w:themeColor="accent4" w:themeShade="BF"/>
            </w:tcBorders>
            <w:shd w:val="clear" w:color="auto" w:fill="auto"/>
            <w:vAlign w:val="bottom"/>
          </w:tcPr>
          <w:p w14:paraId="7B6AEB70" w14:textId="77777777" w:rsidR="00540FD9" w:rsidRPr="00A44829" w:rsidRDefault="00540FD9" w:rsidP="0038375E">
            <w:pPr>
              <w:spacing w:before="40" w:after="20"/>
              <w:jc w:val="center"/>
              <w:rPr>
                <w:rFonts w:cs="Arial"/>
                <w:sz w:val="18"/>
                <w:szCs w:val="18"/>
              </w:rPr>
            </w:pPr>
          </w:p>
        </w:tc>
        <w:tc>
          <w:tcPr>
            <w:tcW w:w="6804" w:type="dxa"/>
            <w:gridSpan w:val="4"/>
            <w:tcBorders>
              <w:left w:val="single" w:sz="18" w:space="0" w:color="5F497A" w:themeColor="accent4" w:themeShade="BF"/>
              <w:bottom w:val="single" w:sz="8" w:space="0" w:color="5F497A" w:themeColor="accent4" w:themeShade="BF"/>
              <w:right w:val="nil"/>
            </w:tcBorders>
            <w:shd w:val="clear" w:color="auto" w:fill="auto"/>
            <w:vAlign w:val="bottom"/>
          </w:tcPr>
          <w:p w14:paraId="4FD72E55" w14:textId="77777777" w:rsidR="00540FD9" w:rsidRPr="00A44829" w:rsidRDefault="008D3EF8" w:rsidP="0038375E">
            <w:pPr>
              <w:spacing w:before="40" w:after="20"/>
              <w:jc w:val="center"/>
              <w:rPr>
                <w:rFonts w:cs="Arial"/>
                <w:b/>
                <w:sz w:val="18"/>
                <w:szCs w:val="18"/>
              </w:rPr>
            </w:pPr>
            <w:r w:rsidRPr="00A44829">
              <w:rPr>
                <w:rFonts w:cs="Arial"/>
                <w:b/>
                <w:sz w:val="18"/>
                <w:szCs w:val="18"/>
              </w:rPr>
              <w:t>4</w:t>
            </w:r>
            <w:r w:rsidR="00540FD9" w:rsidRPr="00A44829">
              <w:rPr>
                <w:rFonts w:cs="Arial"/>
                <w:b/>
                <w:sz w:val="18"/>
                <w:szCs w:val="18"/>
              </w:rPr>
              <w:t xml:space="preserve"> Year Average Rates Assessed</w:t>
            </w:r>
          </w:p>
        </w:tc>
      </w:tr>
      <w:tr w:rsidR="00540FD9" w:rsidRPr="00A44829" w14:paraId="74418685" w14:textId="77777777" w:rsidTr="00B44BBE">
        <w:trPr>
          <w:tblHeader/>
        </w:trPr>
        <w:tc>
          <w:tcPr>
            <w:tcW w:w="2268" w:type="dxa"/>
            <w:tcBorders>
              <w:left w:val="nil"/>
              <w:right w:val="single" w:sz="18" w:space="0" w:color="5F497A" w:themeColor="accent4" w:themeShade="BF"/>
            </w:tcBorders>
            <w:shd w:val="clear" w:color="auto" w:fill="auto"/>
            <w:vAlign w:val="bottom"/>
          </w:tcPr>
          <w:p w14:paraId="20FCA55C" w14:textId="77777777" w:rsidR="00540FD9" w:rsidRPr="00A44829" w:rsidRDefault="00540FD9" w:rsidP="0038375E">
            <w:pPr>
              <w:spacing w:before="40" w:after="20"/>
              <w:jc w:val="center"/>
              <w:rPr>
                <w:rFonts w:cs="Arial"/>
                <w:sz w:val="18"/>
                <w:szCs w:val="18"/>
              </w:rPr>
            </w:pPr>
          </w:p>
        </w:tc>
        <w:tc>
          <w:tcPr>
            <w:tcW w:w="170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17607E62" w14:textId="77777777" w:rsidR="00540FD9" w:rsidRPr="00A44829" w:rsidRDefault="00540FD9" w:rsidP="0038375E">
            <w:pPr>
              <w:spacing w:before="40" w:after="20"/>
              <w:jc w:val="center"/>
              <w:rPr>
                <w:rFonts w:cs="Arial"/>
                <w:sz w:val="16"/>
                <w:szCs w:val="16"/>
              </w:rPr>
            </w:pPr>
            <w:r w:rsidRPr="00A44829">
              <w:rPr>
                <w:rFonts w:cs="Arial"/>
                <w:sz w:val="16"/>
                <w:szCs w:val="16"/>
              </w:rPr>
              <w:t>Residential</w:t>
            </w:r>
            <w:r w:rsidRPr="00A44829">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6BDD45C6" w14:textId="77777777" w:rsidR="00540FD9" w:rsidRPr="00A44829" w:rsidRDefault="00540FD9" w:rsidP="0038375E">
            <w:pPr>
              <w:spacing w:before="40" w:after="20"/>
              <w:jc w:val="center"/>
              <w:rPr>
                <w:rFonts w:cs="Arial"/>
                <w:sz w:val="16"/>
                <w:szCs w:val="16"/>
              </w:rPr>
            </w:pPr>
            <w:r w:rsidRPr="00A44829">
              <w:rPr>
                <w:rFonts w:cs="Arial"/>
                <w:sz w:val="16"/>
                <w:szCs w:val="16"/>
              </w:rPr>
              <w:t>Commercial / Industrial (incl. Other)</w:t>
            </w:r>
            <w:r w:rsidRPr="00A44829">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22CAA468" w14:textId="77777777" w:rsidR="00540FD9" w:rsidRPr="00A44829" w:rsidRDefault="00540FD9" w:rsidP="0038375E">
            <w:pPr>
              <w:spacing w:before="40" w:after="20"/>
              <w:jc w:val="center"/>
              <w:rPr>
                <w:rFonts w:cs="Arial"/>
                <w:sz w:val="16"/>
                <w:szCs w:val="16"/>
              </w:rPr>
            </w:pPr>
            <w:r w:rsidRPr="00A44829">
              <w:rPr>
                <w:rFonts w:cs="Arial"/>
                <w:sz w:val="16"/>
                <w:szCs w:val="16"/>
              </w:rPr>
              <w:t>Farm</w:t>
            </w:r>
            <w:r w:rsidRPr="00A44829">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5311FDC6" w14:textId="77777777" w:rsidR="00540FD9" w:rsidRPr="00A44829" w:rsidRDefault="00540FD9" w:rsidP="0038375E">
            <w:pPr>
              <w:spacing w:before="40" w:after="20"/>
              <w:jc w:val="center"/>
              <w:rPr>
                <w:rFonts w:cs="Arial"/>
                <w:sz w:val="16"/>
                <w:szCs w:val="16"/>
              </w:rPr>
            </w:pPr>
            <w:r w:rsidRPr="00A44829">
              <w:rPr>
                <w:rFonts w:cs="Arial"/>
                <w:sz w:val="16"/>
                <w:szCs w:val="16"/>
              </w:rPr>
              <w:t xml:space="preserve">Total </w:t>
            </w:r>
            <w:r w:rsidRPr="00A44829">
              <w:rPr>
                <w:rFonts w:cs="Arial"/>
                <w:sz w:val="16"/>
                <w:szCs w:val="16"/>
              </w:rPr>
              <w:br/>
              <w:t>($)</w:t>
            </w:r>
          </w:p>
        </w:tc>
      </w:tr>
      <w:tr w:rsidR="00D84931" w:rsidRPr="001D41EA" w14:paraId="046F859A" w14:textId="77777777" w:rsidTr="00B44BBE">
        <w:trPr>
          <w:tblHeader/>
        </w:trPr>
        <w:tc>
          <w:tcPr>
            <w:tcW w:w="2268" w:type="dxa"/>
            <w:tcBorders>
              <w:left w:val="nil"/>
              <w:bottom w:val="nil"/>
              <w:right w:val="single" w:sz="18" w:space="0" w:color="5F497A" w:themeColor="accent4" w:themeShade="BF"/>
            </w:tcBorders>
            <w:shd w:val="clear" w:color="auto" w:fill="auto"/>
            <w:noWrap/>
            <w:vAlign w:val="center"/>
          </w:tcPr>
          <w:p w14:paraId="10D2843F" w14:textId="77777777" w:rsidR="00D84931" w:rsidRPr="001D41EA" w:rsidRDefault="00D84931" w:rsidP="00D84931">
            <w:pPr>
              <w:spacing w:before="40" w:after="20"/>
              <w:rPr>
                <w:rFonts w:cs="Arial"/>
                <w:sz w:val="18"/>
                <w:szCs w:val="18"/>
              </w:rPr>
            </w:pPr>
          </w:p>
        </w:tc>
        <w:tc>
          <w:tcPr>
            <w:tcW w:w="170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772815F6" w14:textId="18F3627F" w:rsidR="00D84931" w:rsidRPr="001D41EA" w:rsidRDefault="00D84931" w:rsidP="00D84931">
            <w:pPr>
              <w:spacing w:before="40" w:after="20"/>
              <w:jc w:val="right"/>
              <w:rPr>
                <w:rFonts w:cs="Arial"/>
                <w:sz w:val="18"/>
                <w:szCs w:val="18"/>
              </w:rPr>
            </w:pPr>
            <w:r w:rsidRPr="001D41EA">
              <w:rPr>
                <w:rFonts w:cs="Arial"/>
                <w:sz w:val="18"/>
                <w:szCs w:val="18"/>
              </w:rPr>
              <w:t> </w:t>
            </w:r>
          </w:p>
        </w:tc>
        <w:tc>
          <w:tcPr>
            <w:tcW w:w="1701" w:type="dxa"/>
            <w:tcBorders>
              <w:top w:val="single" w:sz="8" w:space="0" w:color="5F497A" w:themeColor="accent4" w:themeShade="BF"/>
              <w:left w:val="nil"/>
              <w:bottom w:val="nil"/>
              <w:right w:val="nil"/>
            </w:tcBorders>
            <w:vAlign w:val="bottom"/>
          </w:tcPr>
          <w:p w14:paraId="57DF7D98" w14:textId="77777777" w:rsidR="00D84931" w:rsidRPr="001D41EA" w:rsidRDefault="00D84931" w:rsidP="00D84931">
            <w:pPr>
              <w:spacing w:before="40" w:after="20"/>
              <w:jc w:val="right"/>
              <w:rPr>
                <w:rFonts w:cs="Arial"/>
                <w:sz w:val="18"/>
                <w:szCs w:val="18"/>
              </w:rPr>
            </w:pPr>
          </w:p>
        </w:tc>
        <w:tc>
          <w:tcPr>
            <w:tcW w:w="1701" w:type="dxa"/>
            <w:tcBorders>
              <w:top w:val="single" w:sz="8" w:space="0" w:color="5F497A" w:themeColor="accent4" w:themeShade="BF"/>
              <w:left w:val="nil"/>
              <w:bottom w:val="nil"/>
              <w:right w:val="nil"/>
            </w:tcBorders>
            <w:shd w:val="clear" w:color="auto" w:fill="auto"/>
            <w:noWrap/>
            <w:vAlign w:val="bottom"/>
          </w:tcPr>
          <w:p w14:paraId="33E21A8B" w14:textId="77777777" w:rsidR="00D84931" w:rsidRPr="001D41EA" w:rsidRDefault="00D84931" w:rsidP="00D84931">
            <w:pPr>
              <w:spacing w:before="40" w:after="20"/>
              <w:jc w:val="right"/>
              <w:rPr>
                <w:rFonts w:cs="Arial"/>
                <w:sz w:val="18"/>
                <w:szCs w:val="18"/>
              </w:rPr>
            </w:pPr>
          </w:p>
        </w:tc>
        <w:tc>
          <w:tcPr>
            <w:tcW w:w="1701" w:type="dxa"/>
            <w:tcBorders>
              <w:top w:val="single" w:sz="8" w:space="0" w:color="5F497A" w:themeColor="accent4" w:themeShade="BF"/>
              <w:left w:val="nil"/>
              <w:bottom w:val="nil"/>
              <w:right w:val="nil"/>
            </w:tcBorders>
            <w:vAlign w:val="bottom"/>
          </w:tcPr>
          <w:p w14:paraId="042116AC" w14:textId="10D66E97" w:rsidR="00D84931" w:rsidRPr="001D41EA" w:rsidRDefault="00D84931" w:rsidP="00D84931">
            <w:pPr>
              <w:spacing w:before="40" w:after="20"/>
              <w:jc w:val="right"/>
              <w:rPr>
                <w:rFonts w:cs="Arial"/>
                <w:sz w:val="18"/>
                <w:szCs w:val="18"/>
              </w:rPr>
            </w:pPr>
            <w:r w:rsidRPr="001D41EA">
              <w:rPr>
                <w:rFonts w:cs="Arial"/>
                <w:sz w:val="18"/>
                <w:szCs w:val="18"/>
              </w:rPr>
              <w:t> </w:t>
            </w:r>
          </w:p>
        </w:tc>
      </w:tr>
      <w:tr w:rsidR="00D84931" w:rsidRPr="001D41EA" w14:paraId="07BC3B6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5651280" w14:textId="77777777" w:rsidR="00D84931" w:rsidRPr="001D41EA" w:rsidRDefault="00D84931" w:rsidP="00D84931">
            <w:pPr>
              <w:spacing w:before="40" w:after="20"/>
              <w:rPr>
                <w:rFonts w:cs="Arial"/>
                <w:sz w:val="18"/>
                <w:szCs w:val="18"/>
              </w:rPr>
            </w:pPr>
            <w:r w:rsidRPr="001D41EA">
              <w:rPr>
                <w:rFonts w:cs="Arial"/>
                <w:sz w:val="18"/>
                <w:szCs w:val="18"/>
              </w:rPr>
              <w:t>Macedon Ranges S</w:t>
            </w:r>
          </w:p>
        </w:tc>
        <w:tc>
          <w:tcPr>
            <w:tcW w:w="1701" w:type="dxa"/>
            <w:tcBorders>
              <w:top w:val="nil"/>
              <w:left w:val="single" w:sz="18" w:space="0" w:color="5F497A" w:themeColor="accent4" w:themeShade="BF"/>
              <w:bottom w:val="nil"/>
              <w:right w:val="nil"/>
            </w:tcBorders>
            <w:shd w:val="clear" w:color="auto" w:fill="auto"/>
            <w:noWrap/>
            <w:vAlign w:val="bottom"/>
          </w:tcPr>
          <w:p w14:paraId="5183A31F" w14:textId="0D5D40BE" w:rsidR="00D84931" w:rsidRPr="001D41EA" w:rsidRDefault="00D84931" w:rsidP="00D84931">
            <w:pPr>
              <w:spacing w:before="40" w:after="20"/>
              <w:jc w:val="right"/>
              <w:rPr>
                <w:rFonts w:cs="Arial"/>
                <w:sz w:val="18"/>
                <w:szCs w:val="18"/>
              </w:rPr>
            </w:pPr>
            <w:r w:rsidRPr="001D41EA">
              <w:rPr>
                <w:rFonts w:cs="Arial"/>
                <w:sz w:val="18"/>
                <w:szCs w:val="18"/>
              </w:rPr>
              <w:t>37,958,330</w:t>
            </w:r>
          </w:p>
        </w:tc>
        <w:tc>
          <w:tcPr>
            <w:tcW w:w="1701" w:type="dxa"/>
            <w:tcBorders>
              <w:top w:val="nil"/>
              <w:left w:val="nil"/>
              <w:bottom w:val="nil"/>
              <w:right w:val="nil"/>
            </w:tcBorders>
            <w:vAlign w:val="bottom"/>
          </w:tcPr>
          <w:p w14:paraId="4215C84F" w14:textId="4D89811B" w:rsidR="00D84931" w:rsidRPr="001D41EA" w:rsidRDefault="00D84931" w:rsidP="00D84931">
            <w:pPr>
              <w:spacing w:before="40" w:after="20"/>
              <w:jc w:val="right"/>
              <w:rPr>
                <w:rFonts w:cs="Arial"/>
                <w:sz w:val="18"/>
                <w:szCs w:val="18"/>
              </w:rPr>
            </w:pPr>
            <w:r w:rsidRPr="001D41EA">
              <w:rPr>
                <w:rFonts w:cs="Arial"/>
                <w:sz w:val="18"/>
                <w:szCs w:val="18"/>
              </w:rPr>
              <w:t>2,781,068</w:t>
            </w:r>
          </w:p>
        </w:tc>
        <w:tc>
          <w:tcPr>
            <w:tcW w:w="1701" w:type="dxa"/>
            <w:tcBorders>
              <w:top w:val="nil"/>
              <w:left w:val="nil"/>
              <w:bottom w:val="nil"/>
              <w:right w:val="nil"/>
            </w:tcBorders>
            <w:shd w:val="clear" w:color="auto" w:fill="auto"/>
            <w:noWrap/>
            <w:vAlign w:val="bottom"/>
          </w:tcPr>
          <w:p w14:paraId="58B255B1" w14:textId="2F2AB89C" w:rsidR="00D84931" w:rsidRPr="001D41EA" w:rsidRDefault="00D84931" w:rsidP="00D84931">
            <w:pPr>
              <w:spacing w:before="40" w:after="20"/>
              <w:jc w:val="right"/>
              <w:rPr>
                <w:rFonts w:cs="Arial"/>
                <w:sz w:val="18"/>
                <w:szCs w:val="18"/>
              </w:rPr>
            </w:pPr>
            <w:r w:rsidRPr="001D41EA">
              <w:rPr>
                <w:rFonts w:cs="Arial"/>
                <w:sz w:val="18"/>
                <w:szCs w:val="18"/>
              </w:rPr>
              <w:t>2,343,569</w:t>
            </w:r>
          </w:p>
        </w:tc>
        <w:tc>
          <w:tcPr>
            <w:tcW w:w="1701" w:type="dxa"/>
            <w:tcBorders>
              <w:top w:val="nil"/>
              <w:left w:val="nil"/>
              <w:bottom w:val="nil"/>
              <w:right w:val="nil"/>
            </w:tcBorders>
            <w:vAlign w:val="bottom"/>
          </w:tcPr>
          <w:p w14:paraId="4C8E3CB8" w14:textId="14F8FD4F" w:rsidR="00D84931" w:rsidRPr="001D41EA" w:rsidRDefault="00D84931" w:rsidP="00D84931">
            <w:pPr>
              <w:spacing w:before="40" w:after="20"/>
              <w:jc w:val="right"/>
              <w:rPr>
                <w:rFonts w:cs="Arial"/>
                <w:sz w:val="18"/>
                <w:szCs w:val="18"/>
              </w:rPr>
            </w:pPr>
            <w:r w:rsidRPr="001D41EA">
              <w:rPr>
                <w:rFonts w:cs="Arial"/>
                <w:sz w:val="18"/>
                <w:szCs w:val="18"/>
              </w:rPr>
              <w:t>43,082,967</w:t>
            </w:r>
          </w:p>
        </w:tc>
      </w:tr>
      <w:tr w:rsidR="00D84931" w:rsidRPr="001D41EA" w14:paraId="111BA6D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B3EDE97" w14:textId="77777777" w:rsidR="00D84931" w:rsidRPr="001D41EA" w:rsidRDefault="00D84931" w:rsidP="00D84931">
            <w:pPr>
              <w:spacing w:before="40" w:after="20"/>
              <w:rPr>
                <w:rFonts w:cs="Arial"/>
                <w:sz w:val="18"/>
                <w:szCs w:val="18"/>
              </w:rPr>
            </w:pPr>
            <w:r w:rsidRPr="001D41EA">
              <w:rPr>
                <w:rFonts w:cs="Arial"/>
                <w:sz w:val="18"/>
                <w:szCs w:val="18"/>
              </w:rPr>
              <w:t>Manningham C</w:t>
            </w:r>
          </w:p>
        </w:tc>
        <w:tc>
          <w:tcPr>
            <w:tcW w:w="1701" w:type="dxa"/>
            <w:tcBorders>
              <w:top w:val="nil"/>
              <w:left w:val="single" w:sz="18" w:space="0" w:color="5F497A" w:themeColor="accent4" w:themeShade="BF"/>
              <w:bottom w:val="nil"/>
              <w:right w:val="nil"/>
            </w:tcBorders>
            <w:shd w:val="clear" w:color="auto" w:fill="auto"/>
            <w:noWrap/>
            <w:vAlign w:val="bottom"/>
          </w:tcPr>
          <w:p w14:paraId="15EE2558" w14:textId="2F1A81DD" w:rsidR="00D84931" w:rsidRPr="001D41EA" w:rsidRDefault="00D84931" w:rsidP="00D84931">
            <w:pPr>
              <w:spacing w:before="40" w:after="20"/>
              <w:jc w:val="right"/>
              <w:rPr>
                <w:rFonts w:cs="Arial"/>
                <w:sz w:val="18"/>
                <w:szCs w:val="18"/>
              </w:rPr>
            </w:pPr>
            <w:r w:rsidRPr="001D41EA">
              <w:rPr>
                <w:rFonts w:cs="Arial"/>
                <w:sz w:val="18"/>
                <w:szCs w:val="18"/>
              </w:rPr>
              <w:t>85,648,878</w:t>
            </w:r>
          </w:p>
        </w:tc>
        <w:tc>
          <w:tcPr>
            <w:tcW w:w="1701" w:type="dxa"/>
            <w:tcBorders>
              <w:top w:val="nil"/>
              <w:left w:val="nil"/>
              <w:bottom w:val="nil"/>
              <w:right w:val="nil"/>
            </w:tcBorders>
            <w:vAlign w:val="bottom"/>
          </w:tcPr>
          <w:p w14:paraId="6C1B5651" w14:textId="26F4BDAC" w:rsidR="00D84931" w:rsidRPr="001D41EA" w:rsidRDefault="00D84931" w:rsidP="00D84931">
            <w:pPr>
              <w:spacing w:before="40" w:after="20"/>
              <w:jc w:val="right"/>
              <w:rPr>
                <w:rFonts w:cs="Arial"/>
                <w:sz w:val="18"/>
                <w:szCs w:val="18"/>
              </w:rPr>
            </w:pPr>
            <w:r w:rsidRPr="001D41EA">
              <w:rPr>
                <w:rFonts w:cs="Arial"/>
                <w:sz w:val="18"/>
                <w:szCs w:val="18"/>
              </w:rPr>
              <w:t>6,723,323</w:t>
            </w:r>
          </w:p>
        </w:tc>
        <w:tc>
          <w:tcPr>
            <w:tcW w:w="1701" w:type="dxa"/>
            <w:tcBorders>
              <w:top w:val="nil"/>
              <w:left w:val="nil"/>
              <w:bottom w:val="nil"/>
              <w:right w:val="nil"/>
            </w:tcBorders>
            <w:shd w:val="clear" w:color="auto" w:fill="auto"/>
            <w:noWrap/>
            <w:vAlign w:val="bottom"/>
          </w:tcPr>
          <w:p w14:paraId="6FCB47DA" w14:textId="161D46C7" w:rsidR="00D84931" w:rsidRPr="001D41EA" w:rsidRDefault="00D84931" w:rsidP="00D84931">
            <w:pPr>
              <w:spacing w:before="40" w:after="20"/>
              <w:jc w:val="right"/>
              <w:rPr>
                <w:rFonts w:cs="Arial"/>
                <w:sz w:val="18"/>
                <w:szCs w:val="18"/>
              </w:rPr>
            </w:pPr>
            <w:r w:rsidRPr="001D41EA">
              <w:rPr>
                <w:rFonts w:cs="Arial"/>
                <w:sz w:val="18"/>
                <w:szCs w:val="18"/>
              </w:rPr>
              <w:t>26,397</w:t>
            </w:r>
          </w:p>
        </w:tc>
        <w:tc>
          <w:tcPr>
            <w:tcW w:w="1701" w:type="dxa"/>
            <w:tcBorders>
              <w:top w:val="nil"/>
              <w:left w:val="nil"/>
              <w:bottom w:val="nil"/>
              <w:right w:val="nil"/>
            </w:tcBorders>
            <w:vAlign w:val="bottom"/>
          </w:tcPr>
          <w:p w14:paraId="64905BB9" w14:textId="7C310B38" w:rsidR="00D84931" w:rsidRPr="001D41EA" w:rsidRDefault="00D84931" w:rsidP="00D84931">
            <w:pPr>
              <w:spacing w:before="40" w:after="20"/>
              <w:jc w:val="right"/>
              <w:rPr>
                <w:rFonts w:cs="Arial"/>
                <w:sz w:val="18"/>
                <w:szCs w:val="18"/>
              </w:rPr>
            </w:pPr>
            <w:r w:rsidRPr="001D41EA">
              <w:rPr>
                <w:rFonts w:cs="Arial"/>
                <w:sz w:val="18"/>
                <w:szCs w:val="18"/>
              </w:rPr>
              <w:t>92,398,598</w:t>
            </w:r>
          </w:p>
        </w:tc>
      </w:tr>
      <w:tr w:rsidR="00D84931" w:rsidRPr="001D41EA" w14:paraId="53E7F58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CDC6FC0" w14:textId="77777777" w:rsidR="00D84931" w:rsidRPr="001D41EA" w:rsidRDefault="00D84931" w:rsidP="00D84931">
            <w:pPr>
              <w:spacing w:before="40" w:after="20"/>
              <w:rPr>
                <w:rFonts w:cs="Arial"/>
                <w:sz w:val="18"/>
                <w:szCs w:val="18"/>
              </w:rPr>
            </w:pPr>
            <w:r w:rsidRPr="001D41EA">
              <w:rPr>
                <w:rFonts w:cs="Arial"/>
                <w:sz w:val="18"/>
                <w:szCs w:val="18"/>
              </w:rPr>
              <w:t>Mansfield S</w:t>
            </w:r>
          </w:p>
        </w:tc>
        <w:tc>
          <w:tcPr>
            <w:tcW w:w="1701" w:type="dxa"/>
            <w:tcBorders>
              <w:top w:val="nil"/>
              <w:left w:val="single" w:sz="18" w:space="0" w:color="5F497A" w:themeColor="accent4" w:themeShade="BF"/>
              <w:bottom w:val="nil"/>
              <w:right w:val="nil"/>
            </w:tcBorders>
            <w:shd w:val="clear" w:color="auto" w:fill="auto"/>
            <w:noWrap/>
            <w:vAlign w:val="bottom"/>
          </w:tcPr>
          <w:p w14:paraId="5FB81D4C" w14:textId="008855C3" w:rsidR="00D84931" w:rsidRPr="001D41EA" w:rsidRDefault="00D84931" w:rsidP="00D84931">
            <w:pPr>
              <w:spacing w:before="40" w:after="20"/>
              <w:jc w:val="right"/>
              <w:rPr>
                <w:rFonts w:cs="Arial"/>
                <w:sz w:val="18"/>
                <w:szCs w:val="18"/>
              </w:rPr>
            </w:pPr>
            <w:r w:rsidRPr="001D41EA">
              <w:rPr>
                <w:rFonts w:cs="Arial"/>
                <w:sz w:val="18"/>
                <w:szCs w:val="18"/>
              </w:rPr>
              <w:t>9,785,574</w:t>
            </w:r>
          </w:p>
        </w:tc>
        <w:tc>
          <w:tcPr>
            <w:tcW w:w="1701" w:type="dxa"/>
            <w:tcBorders>
              <w:top w:val="nil"/>
              <w:left w:val="nil"/>
              <w:bottom w:val="nil"/>
              <w:right w:val="nil"/>
            </w:tcBorders>
            <w:vAlign w:val="bottom"/>
          </w:tcPr>
          <w:p w14:paraId="3548D2E3" w14:textId="094EDB68" w:rsidR="00D84931" w:rsidRPr="001D41EA" w:rsidRDefault="00D84931" w:rsidP="00D84931">
            <w:pPr>
              <w:spacing w:before="40" w:after="20"/>
              <w:jc w:val="right"/>
              <w:rPr>
                <w:rFonts w:cs="Arial"/>
                <w:sz w:val="18"/>
                <w:szCs w:val="18"/>
              </w:rPr>
            </w:pPr>
            <w:r w:rsidRPr="001D41EA">
              <w:rPr>
                <w:rFonts w:cs="Arial"/>
                <w:sz w:val="18"/>
                <w:szCs w:val="18"/>
              </w:rPr>
              <w:t>788,700</w:t>
            </w:r>
          </w:p>
        </w:tc>
        <w:tc>
          <w:tcPr>
            <w:tcW w:w="1701" w:type="dxa"/>
            <w:tcBorders>
              <w:top w:val="nil"/>
              <w:left w:val="nil"/>
              <w:bottom w:val="nil"/>
              <w:right w:val="nil"/>
            </w:tcBorders>
            <w:shd w:val="clear" w:color="auto" w:fill="auto"/>
            <w:noWrap/>
            <w:vAlign w:val="bottom"/>
          </w:tcPr>
          <w:p w14:paraId="45CF25FB" w14:textId="3143D5C9" w:rsidR="00D84931" w:rsidRPr="001D41EA" w:rsidRDefault="00D84931" w:rsidP="00D84931">
            <w:pPr>
              <w:spacing w:before="40" w:after="20"/>
              <w:jc w:val="right"/>
              <w:rPr>
                <w:rFonts w:cs="Arial"/>
                <w:sz w:val="18"/>
                <w:szCs w:val="18"/>
              </w:rPr>
            </w:pPr>
            <w:r w:rsidRPr="001D41EA">
              <w:rPr>
                <w:rFonts w:cs="Arial"/>
                <w:sz w:val="18"/>
                <w:szCs w:val="18"/>
              </w:rPr>
              <w:t>1,801,486</w:t>
            </w:r>
          </w:p>
        </w:tc>
        <w:tc>
          <w:tcPr>
            <w:tcW w:w="1701" w:type="dxa"/>
            <w:tcBorders>
              <w:top w:val="nil"/>
              <w:left w:val="nil"/>
              <w:bottom w:val="nil"/>
              <w:right w:val="nil"/>
            </w:tcBorders>
            <w:vAlign w:val="bottom"/>
          </w:tcPr>
          <w:p w14:paraId="36F0EE05" w14:textId="126D5D6C" w:rsidR="00D84931" w:rsidRPr="001D41EA" w:rsidRDefault="00D84931" w:rsidP="00D84931">
            <w:pPr>
              <w:spacing w:before="40" w:after="20"/>
              <w:jc w:val="right"/>
              <w:rPr>
                <w:rFonts w:cs="Arial"/>
                <w:sz w:val="18"/>
                <w:szCs w:val="18"/>
              </w:rPr>
            </w:pPr>
            <w:r w:rsidRPr="001D41EA">
              <w:rPr>
                <w:rFonts w:cs="Arial"/>
                <w:sz w:val="18"/>
                <w:szCs w:val="18"/>
              </w:rPr>
              <w:t>12,375,760</w:t>
            </w:r>
          </w:p>
        </w:tc>
      </w:tr>
      <w:tr w:rsidR="00D84931" w:rsidRPr="001D41EA" w14:paraId="213319D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4C23ED7" w14:textId="77777777" w:rsidR="00D84931" w:rsidRPr="001D41EA" w:rsidRDefault="00D84931" w:rsidP="00D84931">
            <w:pPr>
              <w:spacing w:before="40" w:after="20"/>
              <w:rPr>
                <w:rFonts w:cs="Arial"/>
                <w:sz w:val="18"/>
                <w:szCs w:val="18"/>
              </w:rPr>
            </w:pPr>
            <w:r w:rsidRPr="001D41EA">
              <w:rPr>
                <w:rFonts w:cs="Arial"/>
                <w:sz w:val="18"/>
                <w:szCs w:val="18"/>
              </w:rPr>
              <w:t>Maribyrnong C</w:t>
            </w:r>
          </w:p>
        </w:tc>
        <w:tc>
          <w:tcPr>
            <w:tcW w:w="1701" w:type="dxa"/>
            <w:tcBorders>
              <w:top w:val="nil"/>
              <w:left w:val="single" w:sz="18" w:space="0" w:color="5F497A" w:themeColor="accent4" w:themeShade="BF"/>
              <w:bottom w:val="nil"/>
              <w:right w:val="nil"/>
            </w:tcBorders>
            <w:shd w:val="clear" w:color="auto" w:fill="auto"/>
            <w:noWrap/>
            <w:vAlign w:val="bottom"/>
          </w:tcPr>
          <w:p w14:paraId="2AF183F1" w14:textId="08A5A874" w:rsidR="00D84931" w:rsidRPr="001D41EA" w:rsidRDefault="00D84931" w:rsidP="00D84931">
            <w:pPr>
              <w:spacing w:before="40" w:after="20"/>
              <w:jc w:val="right"/>
              <w:rPr>
                <w:rFonts w:cs="Arial"/>
                <w:sz w:val="18"/>
                <w:szCs w:val="18"/>
              </w:rPr>
            </w:pPr>
            <w:r w:rsidRPr="001D41EA">
              <w:rPr>
                <w:rFonts w:cs="Arial"/>
                <w:sz w:val="18"/>
                <w:szCs w:val="18"/>
              </w:rPr>
              <w:t>68,035,675</w:t>
            </w:r>
          </w:p>
        </w:tc>
        <w:tc>
          <w:tcPr>
            <w:tcW w:w="1701" w:type="dxa"/>
            <w:tcBorders>
              <w:top w:val="nil"/>
              <w:left w:val="nil"/>
              <w:bottom w:val="nil"/>
              <w:right w:val="nil"/>
            </w:tcBorders>
            <w:vAlign w:val="bottom"/>
          </w:tcPr>
          <w:p w14:paraId="0E5F731F" w14:textId="563C2C6A" w:rsidR="00D84931" w:rsidRPr="001D41EA" w:rsidRDefault="00D84931" w:rsidP="00D84931">
            <w:pPr>
              <w:spacing w:before="40" w:after="20"/>
              <w:jc w:val="right"/>
              <w:rPr>
                <w:rFonts w:cs="Arial"/>
                <w:sz w:val="18"/>
                <w:szCs w:val="18"/>
              </w:rPr>
            </w:pPr>
            <w:r w:rsidRPr="001D41EA">
              <w:rPr>
                <w:rFonts w:cs="Arial"/>
                <w:sz w:val="18"/>
                <w:szCs w:val="18"/>
              </w:rPr>
              <w:t>22,670,627</w:t>
            </w:r>
          </w:p>
        </w:tc>
        <w:tc>
          <w:tcPr>
            <w:tcW w:w="1701" w:type="dxa"/>
            <w:tcBorders>
              <w:top w:val="nil"/>
              <w:left w:val="nil"/>
              <w:bottom w:val="nil"/>
              <w:right w:val="nil"/>
            </w:tcBorders>
            <w:shd w:val="clear" w:color="auto" w:fill="auto"/>
            <w:noWrap/>
            <w:vAlign w:val="bottom"/>
          </w:tcPr>
          <w:p w14:paraId="7ED01312" w14:textId="5D80BE87"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0F789D31" w14:textId="2F1A254C" w:rsidR="00D84931" w:rsidRPr="001D41EA" w:rsidRDefault="00D84931" w:rsidP="00D84931">
            <w:pPr>
              <w:spacing w:before="40" w:after="20"/>
              <w:jc w:val="right"/>
              <w:rPr>
                <w:rFonts w:cs="Arial"/>
                <w:sz w:val="18"/>
                <w:szCs w:val="18"/>
              </w:rPr>
            </w:pPr>
            <w:r w:rsidRPr="001D41EA">
              <w:rPr>
                <w:rFonts w:cs="Arial"/>
                <w:sz w:val="18"/>
                <w:szCs w:val="18"/>
              </w:rPr>
              <w:t>90,706,302</w:t>
            </w:r>
          </w:p>
        </w:tc>
      </w:tr>
      <w:tr w:rsidR="00D84931" w:rsidRPr="001D41EA" w14:paraId="1CE40AD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0726FE5" w14:textId="77777777" w:rsidR="00D84931" w:rsidRPr="001D41EA" w:rsidRDefault="00D84931" w:rsidP="00D84931">
            <w:pPr>
              <w:spacing w:before="40" w:after="20"/>
              <w:rPr>
                <w:rFonts w:cs="Arial"/>
                <w:sz w:val="18"/>
                <w:szCs w:val="18"/>
              </w:rPr>
            </w:pPr>
            <w:r w:rsidRPr="001D41EA">
              <w:rPr>
                <w:rFonts w:cs="Arial"/>
                <w:sz w:val="18"/>
                <w:szCs w:val="18"/>
              </w:rPr>
              <w:t>Maroondah C</w:t>
            </w:r>
          </w:p>
        </w:tc>
        <w:tc>
          <w:tcPr>
            <w:tcW w:w="1701" w:type="dxa"/>
            <w:tcBorders>
              <w:top w:val="nil"/>
              <w:left w:val="single" w:sz="18" w:space="0" w:color="5F497A" w:themeColor="accent4" w:themeShade="BF"/>
              <w:bottom w:val="nil"/>
              <w:right w:val="nil"/>
            </w:tcBorders>
            <w:shd w:val="clear" w:color="auto" w:fill="auto"/>
            <w:noWrap/>
            <w:vAlign w:val="bottom"/>
          </w:tcPr>
          <w:p w14:paraId="013B7F88" w14:textId="1915AFCD" w:rsidR="00D84931" w:rsidRPr="001D41EA" w:rsidRDefault="00D84931" w:rsidP="00D84931">
            <w:pPr>
              <w:spacing w:before="40" w:after="20"/>
              <w:jc w:val="right"/>
              <w:rPr>
                <w:rFonts w:cs="Arial"/>
                <w:sz w:val="18"/>
                <w:szCs w:val="18"/>
              </w:rPr>
            </w:pPr>
            <w:r w:rsidRPr="001D41EA">
              <w:rPr>
                <w:rFonts w:cs="Arial"/>
                <w:sz w:val="18"/>
                <w:szCs w:val="18"/>
              </w:rPr>
              <w:t>68,889,651</w:t>
            </w:r>
          </w:p>
        </w:tc>
        <w:tc>
          <w:tcPr>
            <w:tcW w:w="1701" w:type="dxa"/>
            <w:tcBorders>
              <w:top w:val="nil"/>
              <w:left w:val="nil"/>
              <w:bottom w:val="nil"/>
              <w:right w:val="nil"/>
            </w:tcBorders>
            <w:vAlign w:val="bottom"/>
          </w:tcPr>
          <w:p w14:paraId="629847FD" w14:textId="7006011E" w:rsidR="00D84931" w:rsidRPr="001D41EA" w:rsidRDefault="00D84931" w:rsidP="00D84931">
            <w:pPr>
              <w:spacing w:before="40" w:after="20"/>
              <w:jc w:val="right"/>
              <w:rPr>
                <w:rFonts w:cs="Arial"/>
                <w:sz w:val="18"/>
                <w:szCs w:val="18"/>
              </w:rPr>
            </w:pPr>
            <w:r w:rsidRPr="001D41EA">
              <w:rPr>
                <w:rFonts w:cs="Arial"/>
                <w:sz w:val="18"/>
                <w:szCs w:val="18"/>
              </w:rPr>
              <w:t>10,775,603</w:t>
            </w:r>
          </w:p>
        </w:tc>
        <w:tc>
          <w:tcPr>
            <w:tcW w:w="1701" w:type="dxa"/>
            <w:tcBorders>
              <w:top w:val="nil"/>
              <w:left w:val="nil"/>
              <w:bottom w:val="nil"/>
              <w:right w:val="nil"/>
            </w:tcBorders>
            <w:shd w:val="clear" w:color="auto" w:fill="auto"/>
            <w:noWrap/>
            <w:vAlign w:val="bottom"/>
          </w:tcPr>
          <w:p w14:paraId="070EAEF9" w14:textId="3165DE33"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595B4146" w14:textId="2C0A1F93" w:rsidR="00D84931" w:rsidRPr="001D41EA" w:rsidRDefault="00D84931" w:rsidP="00D84931">
            <w:pPr>
              <w:spacing w:before="40" w:after="20"/>
              <w:jc w:val="right"/>
              <w:rPr>
                <w:rFonts w:cs="Arial"/>
                <w:sz w:val="18"/>
                <w:szCs w:val="18"/>
              </w:rPr>
            </w:pPr>
            <w:r w:rsidRPr="001D41EA">
              <w:rPr>
                <w:rFonts w:cs="Arial"/>
                <w:sz w:val="18"/>
                <w:szCs w:val="18"/>
              </w:rPr>
              <w:t>79,665,254</w:t>
            </w:r>
          </w:p>
        </w:tc>
      </w:tr>
      <w:tr w:rsidR="00D84931" w:rsidRPr="001D41EA" w14:paraId="566B419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38005CF" w14:textId="77777777" w:rsidR="00D84931" w:rsidRPr="001D41EA" w:rsidRDefault="00D84931" w:rsidP="00D84931">
            <w:pPr>
              <w:spacing w:before="40" w:after="20"/>
              <w:rPr>
                <w:rFonts w:cs="Arial"/>
                <w:sz w:val="18"/>
                <w:szCs w:val="18"/>
              </w:rPr>
            </w:pPr>
            <w:r w:rsidRPr="001D41EA">
              <w:rPr>
                <w:rFonts w:cs="Arial"/>
                <w:sz w:val="18"/>
                <w:szCs w:val="18"/>
              </w:rPr>
              <w:t>Melbourne C</w:t>
            </w:r>
          </w:p>
        </w:tc>
        <w:tc>
          <w:tcPr>
            <w:tcW w:w="1701" w:type="dxa"/>
            <w:tcBorders>
              <w:top w:val="nil"/>
              <w:left w:val="single" w:sz="18" w:space="0" w:color="5F497A" w:themeColor="accent4" w:themeShade="BF"/>
              <w:bottom w:val="nil"/>
              <w:right w:val="nil"/>
            </w:tcBorders>
            <w:shd w:val="clear" w:color="auto" w:fill="auto"/>
            <w:noWrap/>
            <w:vAlign w:val="bottom"/>
          </w:tcPr>
          <w:p w14:paraId="116BC924" w14:textId="1B6A041A" w:rsidR="00D84931" w:rsidRPr="001D41EA" w:rsidRDefault="00D84931" w:rsidP="00D84931">
            <w:pPr>
              <w:spacing w:before="40" w:after="20"/>
              <w:jc w:val="right"/>
              <w:rPr>
                <w:rFonts w:cs="Arial"/>
                <w:sz w:val="18"/>
                <w:szCs w:val="18"/>
              </w:rPr>
            </w:pPr>
            <w:r w:rsidRPr="001D41EA">
              <w:rPr>
                <w:rFonts w:cs="Arial"/>
                <w:sz w:val="18"/>
                <w:szCs w:val="18"/>
              </w:rPr>
              <w:t>90,007,603</w:t>
            </w:r>
          </w:p>
        </w:tc>
        <w:tc>
          <w:tcPr>
            <w:tcW w:w="1701" w:type="dxa"/>
            <w:tcBorders>
              <w:top w:val="nil"/>
              <w:left w:val="nil"/>
              <w:bottom w:val="nil"/>
              <w:right w:val="nil"/>
            </w:tcBorders>
            <w:vAlign w:val="bottom"/>
          </w:tcPr>
          <w:p w14:paraId="6F103621" w14:textId="4D2C07AD" w:rsidR="00D84931" w:rsidRPr="001D41EA" w:rsidRDefault="00D84931" w:rsidP="00D84931">
            <w:pPr>
              <w:spacing w:before="40" w:after="20"/>
              <w:jc w:val="right"/>
              <w:rPr>
                <w:rFonts w:cs="Arial"/>
                <w:sz w:val="18"/>
                <w:szCs w:val="18"/>
              </w:rPr>
            </w:pPr>
            <w:r w:rsidRPr="001D41EA">
              <w:rPr>
                <w:rFonts w:cs="Arial"/>
                <w:sz w:val="18"/>
                <w:szCs w:val="18"/>
              </w:rPr>
              <w:t>162,054,739</w:t>
            </w:r>
          </w:p>
        </w:tc>
        <w:tc>
          <w:tcPr>
            <w:tcW w:w="1701" w:type="dxa"/>
            <w:tcBorders>
              <w:top w:val="nil"/>
              <w:left w:val="nil"/>
              <w:bottom w:val="nil"/>
              <w:right w:val="nil"/>
            </w:tcBorders>
            <w:shd w:val="clear" w:color="auto" w:fill="auto"/>
            <w:noWrap/>
            <w:vAlign w:val="bottom"/>
          </w:tcPr>
          <w:p w14:paraId="5BF977D6" w14:textId="2D2F5476"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0C7743A8" w14:textId="0BC7F9D4" w:rsidR="00D84931" w:rsidRPr="001D41EA" w:rsidRDefault="00D84931" w:rsidP="00D84931">
            <w:pPr>
              <w:spacing w:before="40" w:after="20"/>
              <w:jc w:val="right"/>
              <w:rPr>
                <w:rFonts w:cs="Arial"/>
                <w:sz w:val="18"/>
                <w:szCs w:val="18"/>
              </w:rPr>
            </w:pPr>
            <w:r w:rsidRPr="001D41EA">
              <w:rPr>
                <w:rFonts w:cs="Arial"/>
                <w:sz w:val="18"/>
                <w:szCs w:val="18"/>
              </w:rPr>
              <w:t>252,062,342</w:t>
            </w:r>
          </w:p>
        </w:tc>
      </w:tr>
      <w:tr w:rsidR="00D84931" w:rsidRPr="001D41EA" w14:paraId="7E26D2A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BC15670" w14:textId="77777777" w:rsidR="00D84931" w:rsidRPr="001D41EA" w:rsidRDefault="00D84931" w:rsidP="00D84931">
            <w:pPr>
              <w:spacing w:before="40" w:after="20"/>
              <w:rPr>
                <w:rFonts w:cs="Arial"/>
                <w:sz w:val="18"/>
                <w:szCs w:val="18"/>
              </w:rPr>
            </w:pPr>
            <w:r w:rsidRPr="001D41EA">
              <w:rPr>
                <w:rFonts w:cs="Arial"/>
                <w:sz w:val="18"/>
                <w:szCs w:val="18"/>
              </w:rPr>
              <w:t>Melton C</w:t>
            </w:r>
          </w:p>
        </w:tc>
        <w:tc>
          <w:tcPr>
            <w:tcW w:w="1701" w:type="dxa"/>
            <w:tcBorders>
              <w:top w:val="nil"/>
              <w:left w:val="single" w:sz="18" w:space="0" w:color="5F497A" w:themeColor="accent4" w:themeShade="BF"/>
              <w:bottom w:val="nil"/>
              <w:right w:val="nil"/>
            </w:tcBorders>
            <w:shd w:val="clear" w:color="auto" w:fill="auto"/>
            <w:noWrap/>
            <w:vAlign w:val="bottom"/>
          </w:tcPr>
          <w:p w14:paraId="731DF32E" w14:textId="11C7EE05" w:rsidR="00D84931" w:rsidRPr="001D41EA" w:rsidRDefault="00D84931" w:rsidP="00D84931">
            <w:pPr>
              <w:spacing w:before="40" w:after="20"/>
              <w:jc w:val="right"/>
              <w:rPr>
                <w:rFonts w:cs="Arial"/>
                <w:sz w:val="18"/>
                <w:szCs w:val="18"/>
              </w:rPr>
            </w:pPr>
            <w:r w:rsidRPr="001D41EA">
              <w:rPr>
                <w:rFonts w:cs="Arial"/>
                <w:sz w:val="18"/>
                <w:szCs w:val="18"/>
              </w:rPr>
              <w:t>80,239,325</w:t>
            </w:r>
          </w:p>
        </w:tc>
        <w:tc>
          <w:tcPr>
            <w:tcW w:w="1701" w:type="dxa"/>
            <w:tcBorders>
              <w:top w:val="nil"/>
              <w:left w:val="nil"/>
              <w:bottom w:val="nil"/>
              <w:right w:val="nil"/>
            </w:tcBorders>
            <w:vAlign w:val="bottom"/>
          </w:tcPr>
          <w:p w14:paraId="5F072C83" w14:textId="3E02EB8A" w:rsidR="00D84931" w:rsidRPr="001D41EA" w:rsidRDefault="00D84931" w:rsidP="00D84931">
            <w:pPr>
              <w:spacing w:before="40" w:after="20"/>
              <w:jc w:val="right"/>
              <w:rPr>
                <w:rFonts w:cs="Arial"/>
                <w:sz w:val="18"/>
                <w:szCs w:val="18"/>
              </w:rPr>
            </w:pPr>
            <w:r w:rsidRPr="001D41EA">
              <w:rPr>
                <w:rFonts w:cs="Arial"/>
                <w:sz w:val="18"/>
                <w:szCs w:val="18"/>
              </w:rPr>
              <w:t>11,523,981</w:t>
            </w:r>
          </w:p>
        </w:tc>
        <w:tc>
          <w:tcPr>
            <w:tcW w:w="1701" w:type="dxa"/>
            <w:tcBorders>
              <w:top w:val="nil"/>
              <w:left w:val="nil"/>
              <w:bottom w:val="nil"/>
              <w:right w:val="nil"/>
            </w:tcBorders>
            <w:shd w:val="clear" w:color="auto" w:fill="auto"/>
            <w:noWrap/>
            <w:vAlign w:val="bottom"/>
          </w:tcPr>
          <w:p w14:paraId="314380B9" w14:textId="1112F00B" w:rsidR="00D84931" w:rsidRPr="001D41EA" w:rsidRDefault="00D84931" w:rsidP="00D84931">
            <w:pPr>
              <w:spacing w:before="40" w:after="20"/>
              <w:jc w:val="right"/>
              <w:rPr>
                <w:rFonts w:cs="Arial"/>
                <w:sz w:val="18"/>
                <w:szCs w:val="18"/>
              </w:rPr>
            </w:pPr>
            <w:r w:rsidRPr="001D41EA">
              <w:rPr>
                <w:rFonts w:cs="Arial"/>
                <w:sz w:val="18"/>
                <w:szCs w:val="18"/>
              </w:rPr>
              <w:t>5,150,490</w:t>
            </w:r>
          </w:p>
        </w:tc>
        <w:tc>
          <w:tcPr>
            <w:tcW w:w="1701" w:type="dxa"/>
            <w:tcBorders>
              <w:top w:val="nil"/>
              <w:left w:val="nil"/>
              <w:bottom w:val="nil"/>
              <w:right w:val="nil"/>
            </w:tcBorders>
            <w:vAlign w:val="bottom"/>
          </w:tcPr>
          <w:p w14:paraId="05ADF89A" w14:textId="1E8F807C" w:rsidR="00D84931" w:rsidRPr="001D41EA" w:rsidRDefault="00D84931" w:rsidP="00D84931">
            <w:pPr>
              <w:spacing w:before="40" w:after="20"/>
              <w:jc w:val="right"/>
              <w:rPr>
                <w:rFonts w:cs="Arial"/>
                <w:sz w:val="18"/>
                <w:szCs w:val="18"/>
              </w:rPr>
            </w:pPr>
            <w:r w:rsidRPr="001D41EA">
              <w:rPr>
                <w:rFonts w:cs="Arial"/>
                <w:sz w:val="18"/>
                <w:szCs w:val="18"/>
              </w:rPr>
              <w:t>96,913,796</w:t>
            </w:r>
          </w:p>
        </w:tc>
      </w:tr>
      <w:tr w:rsidR="00D84931" w:rsidRPr="001D41EA" w14:paraId="7A7AFF8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26D59E5" w14:textId="77777777" w:rsidR="00D84931" w:rsidRPr="001D41EA" w:rsidRDefault="00D84931" w:rsidP="00D84931">
            <w:pPr>
              <w:spacing w:before="40" w:after="20"/>
              <w:rPr>
                <w:rFonts w:cs="Arial"/>
                <w:sz w:val="18"/>
                <w:szCs w:val="18"/>
              </w:rPr>
            </w:pPr>
            <w:r w:rsidRPr="001D41EA">
              <w:rPr>
                <w:rFonts w:cs="Arial"/>
                <w:sz w:val="18"/>
                <w:szCs w:val="18"/>
              </w:rPr>
              <w:t>Mildura RC</w:t>
            </w:r>
          </w:p>
        </w:tc>
        <w:tc>
          <w:tcPr>
            <w:tcW w:w="1701" w:type="dxa"/>
            <w:tcBorders>
              <w:top w:val="nil"/>
              <w:left w:val="single" w:sz="18" w:space="0" w:color="5F497A" w:themeColor="accent4" w:themeShade="BF"/>
              <w:bottom w:val="nil"/>
              <w:right w:val="nil"/>
            </w:tcBorders>
            <w:shd w:val="clear" w:color="auto" w:fill="auto"/>
            <w:noWrap/>
            <w:vAlign w:val="bottom"/>
          </w:tcPr>
          <w:p w14:paraId="281E6342" w14:textId="0240C827" w:rsidR="00D84931" w:rsidRPr="001D41EA" w:rsidRDefault="00D84931" w:rsidP="00D84931">
            <w:pPr>
              <w:spacing w:before="40" w:after="20"/>
              <w:jc w:val="right"/>
              <w:rPr>
                <w:rFonts w:cs="Arial"/>
                <w:sz w:val="18"/>
                <w:szCs w:val="18"/>
              </w:rPr>
            </w:pPr>
            <w:r w:rsidRPr="001D41EA">
              <w:rPr>
                <w:rFonts w:cs="Arial"/>
                <w:sz w:val="18"/>
                <w:szCs w:val="18"/>
              </w:rPr>
              <w:t>41,628,110</w:t>
            </w:r>
          </w:p>
        </w:tc>
        <w:tc>
          <w:tcPr>
            <w:tcW w:w="1701" w:type="dxa"/>
            <w:tcBorders>
              <w:top w:val="nil"/>
              <w:left w:val="nil"/>
              <w:bottom w:val="nil"/>
              <w:right w:val="nil"/>
            </w:tcBorders>
            <w:vAlign w:val="bottom"/>
          </w:tcPr>
          <w:p w14:paraId="30D2B63E" w14:textId="0A4B2F00" w:rsidR="00D84931" w:rsidRPr="001D41EA" w:rsidRDefault="00D84931" w:rsidP="00D84931">
            <w:pPr>
              <w:spacing w:before="40" w:after="20"/>
              <w:jc w:val="right"/>
              <w:rPr>
                <w:rFonts w:cs="Arial"/>
                <w:sz w:val="18"/>
                <w:szCs w:val="18"/>
              </w:rPr>
            </w:pPr>
            <w:r w:rsidRPr="001D41EA">
              <w:rPr>
                <w:rFonts w:cs="Arial"/>
                <w:sz w:val="18"/>
                <w:szCs w:val="18"/>
              </w:rPr>
              <w:t>13,010,492</w:t>
            </w:r>
          </w:p>
        </w:tc>
        <w:tc>
          <w:tcPr>
            <w:tcW w:w="1701" w:type="dxa"/>
            <w:tcBorders>
              <w:top w:val="nil"/>
              <w:left w:val="nil"/>
              <w:bottom w:val="nil"/>
              <w:right w:val="nil"/>
            </w:tcBorders>
            <w:shd w:val="clear" w:color="auto" w:fill="auto"/>
            <w:noWrap/>
            <w:vAlign w:val="bottom"/>
          </w:tcPr>
          <w:p w14:paraId="1EA62525" w14:textId="0156DAA3" w:rsidR="00D84931" w:rsidRPr="001D41EA" w:rsidRDefault="00D84931" w:rsidP="00D84931">
            <w:pPr>
              <w:spacing w:before="40" w:after="20"/>
              <w:jc w:val="right"/>
              <w:rPr>
                <w:rFonts w:cs="Arial"/>
                <w:sz w:val="18"/>
                <w:szCs w:val="18"/>
              </w:rPr>
            </w:pPr>
            <w:r w:rsidRPr="001D41EA">
              <w:rPr>
                <w:rFonts w:cs="Arial"/>
                <w:sz w:val="18"/>
                <w:szCs w:val="18"/>
              </w:rPr>
              <w:t>8,309,010</w:t>
            </w:r>
          </w:p>
        </w:tc>
        <w:tc>
          <w:tcPr>
            <w:tcW w:w="1701" w:type="dxa"/>
            <w:tcBorders>
              <w:top w:val="nil"/>
              <w:left w:val="nil"/>
              <w:bottom w:val="nil"/>
              <w:right w:val="nil"/>
            </w:tcBorders>
            <w:vAlign w:val="bottom"/>
          </w:tcPr>
          <w:p w14:paraId="66EBADE4" w14:textId="7C0E5C32" w:rsidR="00D84931" w:rsidRPr="001D41EA" w:rsidRDefault="00D84931" w:rsidP="00D84931">
            <w:pPr>
              <w:spacing w:before="40" w:after="20"/>
              <w:jc w:val="right"/>
              <w:rPr>
                <w:rFonts w:cs="Arial"/>
                <w:sz w:val="18"/>
                <w:szCs w:val="18"/>
              </w:rPr>
            </w:pPr>
            <w:r w:rsidRPr="001D41EA">
              <w:rPr>
                <w:rFonts w:cs="Arial"/>
                <w:sz w:val="18"/>
                <w:szCs w:val="18"/>
              </w:rPr>
              <w:t>62,947,612</w:t>
            </w:r>
          </w:p>
        </w:tc>
      </w:tr>
      <w:tr w:rsidR="00D84931" w:rsidRPr="001D41EA" w14:paraId="41A9927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BAA0056" w14:textId="77777777" w:rsidR="00D84931" w:rsidRPr="001D41EA" w:rsidRDefault="00D84931" w:rsidP="00D84931">
            <w:pPr>
              <w:spacing w:before="40" w:after="20"/>
              <w:rPr>
                <w:rFonts w:cs="Arial"/>
                <w:sz w:val="18"/>
                <w:szCs w:val="18"/>
              </w:rPr>
            </w:pPr>
            <w:r w:rsidRPr="001D41EA">
              <w:rPr>
                <w:rFonts w:cs="Arial"/>
                <w:sz w:val="18"/>
                <w:szCs w:val="18"/>
              </w:rPr>
              <w:t>Mitchell S</w:t>
            </w:r>
          </w:p>
        </w:tc>
        <w:tc>
          <w:tcPr>
            <w:tcW w:w="1701" w:type="dxa"/>
            <w:tcBorders>
              <w:top w:val="nil"/>
              <w:left w:val="single" w:sz="18" w:space="0" w:color="5F497A" w:themeColor="accent4" w:themeShade="BF"/>
              <w:bottom w:val="nil"/>
              <w:right w:val="nil"/>
            </w:tcBorders>
            <w:shd w:val="clear" w:color="auto" w:fill="auto"/>
            <w:noWrap/>
            <w:vAlign w:val="bottom"/>
          </w:tcPr>
          <w:p w14:paraId="23DBCDDE" w14:textId="4DF3D591" w:rsidR="00D84931" w:rsidRPr="001D41EA" w:rsidRDefault="00D84931" w:rsidP="00D84931">
            <w:pPr>
              <w:spacing w:before="40" w:after="20"/>
              <w:jc w:val="right"/>
              <w:rPr>
                <w:rFonts w:cs="Arial"/>
                <w:sz w:val="18"/>
                <w:szCs w:val="18"/>
              </w:rPr>
            </w:pPr>
            <w:r w:rsidRPr="001D41EA">
              <w:rPr>
                <w:rFonts w:cs="Arial"/>
                <w:sz w:val="18"/>
                <w:szCs w:val="18"/>
              </w:rPr>
              <w:t>30,975,189</w:t>
            </w:r>
          </w:p>
        </w:tc>
        <w:tc>
          <w:tcPr>
            <w:tcW w:w="1701" w:type="dxa"/>
            <w:tcBorders>
              <w:top w:val="nil"/>
              <w:left w:val="nil"/>
              <w:bottom w:val="nil"/>
              <w:right w:val="nil"/>
            </w:tcBorders>
            <w:vAlign w:val="bottom"/>
          </w:tcPr>
          <w:p w14:paraId="42758355" w14:textId="1E54ED46" w:rsidR="00D84931" w:rsidRPr="001D41EA" w:rsidRDefault="00D84931" w:rsidP="00D84931">
            <w:pPr>
              <w:spacing w:before="40" w:after="20"/>
              <w:jc w:val="right"/>
              <w:rPr>
                <w:rFonts w:cs="Arial"/>
                <w:sz w:val="18"/>
                <w:szCs w:val="18"/>
              </w:rPr>
            </w:pPr>
            <w:r w:rsidRPr="001D41EA">
              <w:rPr>
                <w:rFonts w:cs="Arial"/>
                <w:sz w:val="18"/>
                <w:szCs w:val="18"/>
              </w:rPr>
              <w:t>2,105,408</w:t>
            </w:r>
          </w:p>
        </w:tc>
        <w:tc>
          <w:tcPr>
            <w:tcW w:w="1701" w:type="dxa"/>
            <w:tcBorders>
              <w:top w:val="nil"/>
              <w:left w:val="nil"/>
              <w:bottom w:val="nil"/>
              <w:right w:val="nil"/>
            </w:tcBorders>
            <w:shd w:val="clear" w:color="auto" w:fill="auto"/>
            <w:noWrap/>
            <w:vAlign w:val="bottom"/>
          </w:tcPr>
          <w:p w14:paraId="313C2ADF" w14:textId="3B1F68DA" w:rsidR="00D84931" w:rsidRPr="001D41EA" w:rsidRDefault="00D84931" w:rsidP="00D84931">
            <w:pPr>
              <w:spacing w:before="40" w:after="20"/>
              <w:jc w:val="right"/>
              <w:rPr>
                <w:rFonts w:cs="Arial"/>
                <w:sz w:val="18"/>
                <w:szCs w:val="18"/>
              </w:rPr>
            </w:pPr>
            <w:r w:rsidRPr="001D41EA">
              <w:rPr>
                <w:rFonts w:cs="Arial"/>
                <w:sz w:val="18"/>
                <w:szCs w:val="18"/>
              </w:rPr>
              <w:t>3,839,523</w:t>
            </w:r>
          </w:p>
        </w:tc>
        <w:tc>
          <w:tcPr>
            <w:tcW w:w="1701" w:type="dxa"/>
            <w:tcBorders>
              <w:top w:val="nil"/>
              <w:left w:val="nil"/>
              <w:bottom w:val="nil"/>
              <w:right w:val="nil"/>
            </w:tcBorders>
            <w:vAlign w:val="bottom"/>
          </w:tcPr>
          <w:p w14:paraId="6C45826D" w14:textId="3F06458B" w:rsidR="00D84931" w:rsidRPr="001D41EA" w:rsidRDefault="00D84931" w:rsidP="00D84931">
            <w:pPr>
              <w:spacing w:before="40" w:after="20"/>
              <w:jc w:val="right"/>
              <w:rPr>
                <w:rFonts w:cs="Arial"/>
                <w:sz w:val="18"/>
                <w:szCs w:val="18"/>
              </w:rPr>
            </w:pPr>
            <w:r w:rsidRPr="001D41EA">
              <w:rPr>
                <w:rFonts w:cs="Arial"/>
                <w:sz w:val="18"/>
                <w:szCs w:val="18"/>
              </w:rPr>
              <w:t>36,920,120</w:t>
            </w:r>
          </w:p>
        </w:tc>
      </w:tr>
      <w:tr w:rsidR="00D84931" w:rsidRPr="001D41EA" w14:paraId="030AEBD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165F891" w14:textId="77777777" w:rsidR="00D84931" w:rsidRPr="001D41EA" w:rsidRDefault="00D84931" w:rsidP="00D84931">
            <w:pPr>
              <w:spacing w:before="40" w:after="20"/>
              <w:rPr>
                <w:rFonts w:cs="Arial"/>
                <w:sz w:val="18"/>
                <w:szCs w:val="18"/>
              </w:rPr>
            </w:pPr>
            <w:r w:rsidRPr="001D41EA">
              <w:rPr>
                <w:rFonts w:cs="Arial"/>
                <w:sz w:val="18"/>
                <w:szCs w:val="18"/>
              </w:rPr>
              <w:t>Moira S</w:t>
            </w:r>
          </w:p>
        </w:tc>
        <w:tc>
          <w:tcPr>
            <w:tcW w:w="1701" w:type="dxa"/>
            <w:tcBorders>
              <w:top w:val="nil"/>
              <w:left w:val="single" w:sz="18" w:space="0" w:color="5F497A" w:themeColor="accent4" w:themeShade="BF"/>
              <w:bottom w:val="nil"/>
              <w:right w:val="nil"/>
            </w:tcBorders>
            <w:shd w:val="clear" w:color="auto" w:fill="auto"/>
            <w:noWrap/>
            <w:vAlign w:val="bottom"/>
          </w:tcPr>
          <w:p w14:paraId="5FFD91C4" w14:textId="6EA6B0DF" w:rsidR="00D84931" w:rsidRPr="001D41EA" w:rsidRDefault="00D84931" w:rsidP="00D84931">
            <w:pPr>
              <w:spacing w:before="40" w:after="20"/>
              <w:jc w:val="right"/>
              <w:rPr>
                <w:rFonts w:cs="Arial"/>
                <w:sz w:val="18"/>
                <w:szCs w:val="18"/>
              </w:rPr>
            </w:pPr>
            <w:r w:rsidRPr="001D41EA">
              <w:rPr>
                <w:rFonts w:cs="Arial"/>
                <w:sz w:val="18"/>
                <w:szCs w:val="18"/>
              </w:rPr>
              <w:t>20,295,574</w:t>
            </w:r>
          </w:p>
        </w:tc>
        <w:tc>
          <w:tcPr>
            <w:tcW w:w="1701" w:type="dxa"/>
            <w:tcBorders>
              <w:top w:val="nil"/>
              <w:left w:val="nil"/>
              <w:bottom w:val="nil"/>
              <w:right w:val="nil"/>
            </w:tcBorders>
            <w:vAlign w:val="bottom"/>
          </w:tcPr>
          <w:p w14:paraId="1DCDE3CC" w14:textId="0BDC50E1" w:rsidR="00D84931" w:rsidRPr="001D41EA" w:rsidRDefault="00D84931" w:rsidP="00D84931">
            <w:pPr>
              <w:spacing w:before="40" w:after="20"/>
              <w:jc w:val="right"/>
              <w:rPr>
                <w:rFonts w:cs="Arial"/>
                <w:sz w:val="18"/>
                <w:szCs w:val="18"/>
              </w:rPr>
            </w:pPr>
            <w:r w:rsidRPr="001D41EA">
              <w:rPr>
                <w:rFonts w:cs="Arial"/>
                <w:sz w:val="18"/>
                <w:szCs w:val="18"/>
              </w:rPr>
              <w:t>3,708,233</w:t>
            </w:r>
          </w:p>
        </w:tc>
        <w:tc>
          <w:tcPr>
            <w:tcW w:w="1701" w:type="dxa"/>
            <w:tcBorders>
              <w:top w:val="nil"/>
              <w:left w:val="nil"/>
              <w:bottom w:val="nil"/>
              <w:right w:val="nil"/>
            </w:tcBorders>
            <w:shd w:val="clear" w:color="auto" w:fill="auto"/>
            <w:noWrap/>
            <w:vAlign w:val="bottom"/>
          </w:tcPr>
          <w:p w14:paraId="7EA8C98B" w14:textId="1E177094" w:rsidR="00D84931" w:rsidRPr="001D41EA" w:rsidRDefault="00D84931" w:rsidP="00D84931">
            <w:pPr>
              <w:spacing w:before="40" w:after="20"/>
              <w:jc w:val="right"/>
              <w:rPr>
                <w:rFonts w:cs="Arial"/>
                <w:sz w:val="18"/>
                <w:szCs w:val="18"/>
              </w:rPr>
            </w:pPr>
            <w:r w:rsidRPr="001D41EA">
              <w:rPr>
                <w:rFonts w:cs="Arial"/>
                <w:sz w:val="18"/>
                <w:szCs w:val="18"/>
              </w:rPr>
              <w:t>9,422,970</w:t>
            </w:r>
          </w:p>
        </w:tc>
        <w:tc>
          <w:tcPr>
            <w:tcW w:w="1701" w:type="dxa"/>
            <w:tcBorders>
              <w:top w:val="nil"/>
              <w:left w:val="nil"/>
              <w:bottom w:val="nil"/>
              <w:right w:val="nil"/>
            </w:tcBorders>
            <w:vAlign w:val="bottom"/>
          </w:tcPr>
          <w:p w14:paraId="2C48E1CB" w14:textId="04469105" w:rsidR="00D84931" w:rsidRPr="001D41EA" w:rsidRDefault="00D84931" w:rsidP="00D84931">
            <w:pPr>
              <w:spacing w:before="40" w:after="20"/>
              <w:jc w:val="right"/>
              <w:rPr>
                <w:rFonts w:cs="Arial"/>
                <w:sz w:val="18"/>
                <w:szCs w:val="18"/>
              </w:rPr>
            </w:pPr>
            <w:r w:rsidRPr="001D41EA">
              <w:rPr>
                <w:rFonts w:cs="Arial"/>
                <w:sz w:val="18"/>
                <w:szCs w:val="18"/>
              </w:rPr>
              <w:t>33,426,777</w:t>
            </w:r>
          </w:p>
        </w:tc>
      </w:tr>
      <w:tr w:rsidR="00D84931" w:rsidRPr="001D41EA" w14:paraId="15CE283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5052D7A" w14:textId="77777777" w:rsidR="00D84931" w:rsidRPr="001D41EA" w:rsidRDefault="00D84931" w:rsidP="00D84931">
            <w:pPr>
              <w:spacing w:before="40" w:after="20"/>
              <w:rPr>
                <w:rFonts w:cs="Arial"/>
                <w:sz w:val="18"/>
                <w:szCs w:val="18"/>
              </w:rPr>
            </w:pPr>
            <w:r w:rsidRPr="001D41EA">
              <w:rPr>
                <w:rFonts w:cs="Arial"/>
                <w:sz w:val="18"/>
                <w:szCs w:val="18"/>
              </w:rPr>
              <w:t>Monash C</w:t>
            </w:r>
          </w:p>
        </w:tc>
        <w:tc>
          <w:tcPr>
            <w:tcW w:w="1701" w:type="dxa"/>
            <w:tcBorders>
              <w:top w:val="nil"/>
              <w:left w:val="single" w:sz="18" w:space="0" w:color="5F497A" w:themeColor="accent4" w:themeShade="BF"/>
              <w:bottom w:val="nil"/>
              <w:right w:val="nil"/>
            </w:tcBorders>
            <w:shd w:val="clear" w:color="auto" w:fill="auto"/>
            <w:noWrap/>
            <w:vAlign w:val="bottom"/>
          </w:tcPr>
          <w:p w14:paraId="42AE93E3" w14:textId="22362996" w:rsidR="00D84931" w:rsidRPr="001D41EA" w:rsidRDefault="00D84931" w:rsidP="00D84931">
            <w:pPr>
              <w:spacing w:before="40" w:after="20"/>
              <w:jc w:val="right"/>
              <w:rPr>
                <w:rFonts w:cs="Arial"/>
                <w:sz w:val="18"/>
                <w:szCs w:val="18"/>
              </w:rPr>
            </w:pPr>
            <w:r w:rsidRPr="001D41EA">
              <w:rPr>
                <w:rFonts w:cs="Arial"/>
                <w:sz w:val="18"/>
                <w:szCs w:val="18"/>
              </w:rPr>
              <w:t>94,821,216</w:t>
            </w:r>
          </w:p>
        </w:tc>
        <w:tc>
          <w:tcPr>
            <w:tcW w:w="1701" w:type="dxa"/>
            <w:tcBorders>
              <w:top w:val="nil"/>
              <w:left w:val="nil"/>
              <w:bottom w:val="nil"/>
              <w:right w:val="nil"/>
            </w:tcBorders>
            <w:vAlign w:val="bottom"/>
          </w:tcPr>
          <w:p w14:paraId="3E6C51E4" w14:textId="12E61EE2" w:rsidR="00D84931" w:rsidRPr="001D41EA" w:rsidRDefault="00D84931" w:rsidP="00D84931">
            <w:pPr>
              <w:spacing w:before="40" w:after="20"/>
              <w:jc w:val="right"/>
              <w:rPr>
                <w:rFonts w:cs="Arial"/>
                <w:sz w:val="18"/>
                <w:szCs w:val="18"/>
              </w:rPr>
            </w:pPr>
            <w:r w:rsidRPr="001D41EA">
              <w:rPr>
                <w:rFonts w:cs="Arial"/>
                <w:sz w:val="18"/>
                <w:szCs w:val="18"/>
              </w:rPr>
              <w:t>15,404,403</w:t>
            </w:r>
          </w:p>
        </w:tc>
        <w:tc>
          <w:tcPr>
            <w:tcW w:w="1701" w:type="dxa"/>
            <w:tcBorders>
              <w:top w:val="nil"/>
              <w:left w:val="nil"/>
              <w:bottom w:val="nil"/>
              <w:right w:val="nil"/>
            </w:tcBorders>
            <w:shd w:val="clear" w:color="auto" w:fill="auto"/>
            <w:noWrap/>
            <w:vAlign w:val="bottom"/>
          </w:tcPr>
          <w:p w14:paraId="5C8E7D48" w14:textId="213B9134" w:rsidR="00D84931" w:rsidRPr="001D41EA" w:rsidRDefault="00D84931" w:rsidP="00D84931">
            <w:pPr>
              <w:spacing w:before="40" w:after="20"/>
              <w:jc w:val="right"/>
              <w:rPr>
                <w:rFonts w:cs="Arial"/>
                <w:sz w:val="18"/>
                <w:szCs w:val="18"/>
              </w:rPr>
            </w:pPr>
            <w:r w:rsidRPr="001D41EA">
              <w:rPr>
                <w:rFonts w:cs="Arial"/>
                <w:sz w:val="18"/>
                <w:szCs w:val="18"/>
              </w:rPr>
              <w:t>22,766</w:t>
            </w:r>
          </w:p>
        </w:tc>
        <w:tc>
          <w:tcPr>
            <w:tcW w:w="1701" w:type="dxa"/>
            <w:tcBorders>
              <w:top w:val="nil"/>
              <w:left w:val="nil"/>
              <w:bottom w:val="nil"/>
              <w:right w:val="nil"/>
            </w:tcBorders>
            <w:vAlign w:val="bottom"/>
          </w:tcPr>
          <w:p w14:paraId="61690ABF" w14:textId="053E4E36" w:rsidR="00D84931" w:rsidRPr="001D41EA" w:rsidRDefault="00D84931" w:rsidP="00D84931">
            <w:pPr>
              <w:spacing w:before="40" w:after="20"/>
              <w:jc w:val="right"/>
              <w:rPr>
                <w:rFonts w:cs="Arial"/>
                <w:sz w:val="18"/>
                <w:szCs w:val="18"/>
              </w:rPr>
            </w:pPr>
            <w:r w:rsidRPr="001D41EA">
              <w:rPr>
                <w:rFonts w:cs="Arial"/>
                <w:sz w:val="18"/>
                <w:szCs w:val="18"/>
              </w:rPr>
              <w:t>110,248,384</w:t>
            </w:r>
          </w:p>
        </w:tc>
      </w:tr>
      <w:tr w:rsidR="00D84931" w:rsidRPr="001D41EA" w14:paraId="4D3AABA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0E89B5F" w14:textId="77777777" w:rsidR="00D84931" w:rsidRPr="001D41EA" w:rsidRDefault="00D84931" w:rsidP="00D84931">
            <w:pPr>
              <w:spacing w:before="40" w:after="20"/>
              <w:rPr>
                <w:rFonts w:cs="Arial"/>
                <w:sz w:val="18"/>
                <w:szCs w:val="18"/>
              </w:rPr>
            </w:pPr>
            <w:r w:rsidRPr="001D41EA">
              <w:rPr>
                <w:rFonts w:cs="Arial"/>
                <w:sz w:val="18"/>
                <w:szCs w:val="18"/>
              </w:rPr>
              <w:t>Moonee Valley C</w:t>
            </w:r>
          </w:p>
        </w:tc>
        <w:tc>
          <w:tcPr>
            <w:tcW w:w="1701" w:type="dxa"/>
            <w:tcBorders>
              <w:top w:val="nil"/>
              <w:left w:val="single" w:sz="18" w:space="0" w:color="5F497A" w:themeColor="accent4" w:themeShade="BF"/>
              <w:bottom w:val="nil"/>
              <w:right w:val="nil"/>
            </w:tcBorders>
            <w:shd w:val="clear" w:color="auto" w:fill="auto"/>
            <w:noWrap/>
            <w:vAlign w:val="bottom"/>
          </w:tcPr>
          <w:p w14:paraId="169D4E80" w14:textId="424B2AAF" w:rsidR="00D84931" w:rsidRPr="001D41EA" w:rsidRDefault="00D84931" w:rsidP="00D84931">
            <w:pPr>
              <w:spacing w:before="40" w:after="20"/>
              <w:jc w:val="right"/>
              <w:rPr>
                <w:rFonts w:cs="Arial"/>
                <w:sz w:val="18"/>
                <w:szCs w:val="18"/>
              </w:rPr>
            </w:pPr>
            <w:r w:rsidRPr="001D41EA">
              <w:rPr>
                <w:rFonts w:cs="Arial"/>
                <w:sz w:val="18"/>
                <w:szCs w:val="18"/>
              </w:rPr>
              <w:t>90,803,557</w:t>
            </w:r>
          </w:p>
        </w:tc>
        <w:tc>
          <w:tcPr>
            <w:tcW w:w="1701" w:type="dxa"/>
            <w:tcBorders>
              <w:top w:val="nil"/>
              <w:left w:val="nil"/>
              <w:bottom w:val="nil"/>
              <w:right w:val="nil"/>
            </w:tcBorders>
            <w:vAlign w:val="bottom"/>
          </w:tcPr>
          <w:p w14:paraId="2BD946D0" w14:textId="58B156D6" w:rsidR="00D84931" w:rsidRPr="001D41EA" w:rsidRDefault="00D84931" w:rsidP="00D84931">
            <w:pPr>
              <w:spacing w:before="40" w:after="20"/>
              <w:jc w:val="right"/>
              <w:rPr>
                <w:rFonts w:cs="Arial"/>
                <w:sz w:val="18"/>
                <w:szCs w:val="18"/>
              </w:rPr>
            </w:pPr>
            <w:r w:rsidRPr="001D41EA">
              <w:rPr>
                <w:rFonts w:cs="Arial"/>
                <w:sz w:val="18"/>
                <w:szCs w:val="18"/>
              </w:rPr>
              <w:t>10,638,325</w:t>
            </w:r>
          </w:p>
        </w:tc>
        <w:tc>
          <w:tcPr>
            <w:tcW w:w="1701" w:type="dxa"/>
            <w:tcBorders>
              <w:top w:val="nil"/>
              <w:left w:val="nil"/>
              <w:bottom w:val="nil"/>
              <w:right w:val="nil"/>
            </w:tcBorders>
            <w:shd w:val="clear" w:color="auto" w:fill="auto"/>
            <w:noWrap/>
            <w:vAlign w:val="bottom"/>
          </w:tcPr>
          <w:p w14:paraId="497E69E3" w14:textId="265D32B9"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11B0F884" w14:textId="606FBB05" w:rsidR="00D84931" w:rsidRPr="001D41EA" w:rsidRDefault="00D84931" w:rsidP="00D84931">
            <w:pPr>
              <w:spacing w:before="40" w:after="20"/>
              <w:jc w:val="right"/>
              <w:rPr>
                <w:rFonts w:cs="Arial"/>
                <w:sz w:val="18"/>
                <w:szCs w:val="18"/>
              </w:rPr>
            </w:pPr>
            <w:r w:rsidRPr="001D41EA">
              <w:rPr>
                <w:rFonts w:cs="Arial"/>
                <w:sz w:val="18"/>
                <w:szCs w:val="18"/>
              </w:rPr>
              <w:t>101,441,883</w:t>
            </w:r>
          </w:p>
        </w:tc>
      </w:tr>
      <w:tr w:rsidR="00D84931" w:rsidRPr="001D41EA" w14:paraId="47F289A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ED72ADC" w14:textId="77777777" w:rsidR="00D84931" w:rsidRPr="001D41EA" w:rsidRDefault="00D84931" w:rsidP="00D84931">
            <w:pPr>
              <w:spacing w:before="40" w:after="20"/>
              <w:rPr>
                <w:rFonts w:cs="Arial"/>
                <w:sz w:val="18"/>
                <w:szCs w:val="18"/>
              </w:rPr>
            </w:pPr>
            <w:r w:rsidRPr="001D41EA">
              <w:rPr>
                <w:rFonts w:cs="Arial"/>
                <w:sz w:val="18"/>
                <w:szCs w:val="18"/>
              </w:rPr>
              <w:t>Moorabool S</w:t>
            </w:r>
          </w:p>
        </w:tc>
        <w:tc>
          <w:tcPr>
            <w:tcW w:w="1701" w:type="dxa"/>
            <w:tcBorders>
              <w:top w:val="nil"/>
              <w:left w:val="single" w:sz="18" w:space="0" w:color="5F497A" w:themeColor="accent4" w:themeShade="BF"/>
              <w:bottom w:val="nil"/>
              <w:right w:val="nil"/>
            </w:tcBorders>
            <w:shd w:val="clear" w:color="auto" w:fill="auto"/>
            <w:noWrap/>
            <w:vAlign w:val="bottom"/>
          </w:tcPr>
          <w:p w14:paraId="7F941EEC" w14:textId="3966AA86" w:rsidR="00D84931" w:rsidRPr="001D41EA" w:rsidRDefault="00D84931" w:rsidP="00D84931">
            <w:pPr>
              <w:spacing w:before="40" w:after="20"/>
              <w:jc w:val="right"/>
              <w:rPr>
                <w:rFonts w:cs="Arial"/>
                <w:sz w:val="18"/>
                <w:szCs w:val="18"/>
              </w:rPr>
            </w:pPr>
            <w:r w:rsidRPr="001D41EA">
              <w:rPr>
                <w:rFonts w:cs="Arial"/>
                <w:sz w:val="18"/>
                <w:szCs w:val="18"/>
              </w:rPr>
              <w:t>24,291,666</w:t>
            </w:r>
          </w:p>
        </w:tc>
        <w:tc>
          <w:tcPr>
            <w:tcW w:w="1701" w:type="dxa"/>
            <w:tcBorders>
              <w:top w:val="nil"/>
              <w:left w:val="nil"/>
              <w:bottom w:val="nil"/>
              <w:right w:val="nil"/>
            </w:tcBorders>
            <w:vAlign w:val="bottom"/>
          </w:tcPr>
          <w:p w14:paraId="70733E3D" w14:textId="32A8AC40" w:rsidR="00D84931" w:rsidRPr="001D41EA" w:rsidRDefault="00D84931" w:rsidP="00D84931">
            <w:pPr>
              <w:spacing w:before="40" w:after="20"/>
              <w:jc w:val="right"/>
              <w:rPr>
                <w:rFonts w:cs="Arial"/>
                <w:sz w:val="18"/>
                <w:szCs w:val="18"/>
              </w:rPr>
            </w:pPr>
            <w:r w:rsidRPr="001D41EA">
              <w:rPr>
                <w:rFonts w:cs="Arial"/>
                <w:sz w:val="18"/>
                <w:szCs w:val="18"/>
              </w:rPr>
              <w:t>2,472,072</w:t>
            </w:r>
          </w:p>
        </w:tc>
        <w:tc>
          <w:tcPr>
            <w:tcW w:w="1701" w:type="dxa"/>
            <w:tcBorders>
              <w:top w:val="nil"/>
              <w:left w:val="nil"/>
              <w:bottom w:val="nil"/>
              <w:right w:val="nil"/>
            </w:tcBorders>
            <w:shd w:val="clear" w:color="auto" w:fill="auto"/>
            <w:noWrap/>
            <w:vAlign w:val="bottom"/>
          </w:tcPr>
          <w:p w14:paraId="1027A9C4" w14:textId="0BE4D75D" w:rsidR="00D84931" w:rsidRPr="001D41EA" w:rsidRDefault="00D84931" w:rsidP="00D84931">
            <w:pPr>
              <w:spacing w:before="40" w:after="20"/>
              <w:jc w:val="right"/>
              <w:rPr>
                <w:rFonts w:cs="Arial"/>
                <w:sz w:val="18"/>
                <w:szCs w:val="18"/>
              </w:rPr>
            </w:pPr>
            <w:r w:rsidRPr="001D41EA">
              <w:rPr>
                <w:rFonts w:cs="Arial"/>
                <w:sz w:val="18"/>
                <w:szCs w:val="18"/>
              </w:rPr>
              <w:t>3,313,862</w:t>
            </w:r>
          </w:p>
        </w:tc>
        <w:tc>
          <w:tcPr>
            <w:tcW w:w="1701" w:type="dxa"/>
            <w:tcBorders>
              <w:top w:val="nil"/>
              <w:left w:val="nil"/>
              <w:bottom w:val="nil"/>
              <w:right w:val="nil"/>
            </w:tcBorders>
            <w:vAlign w:val="bottom"/>
          </w:tcPr>
          <w:p w14:paraId="5CA88491" w14:textId="6526C288" w:rsidR="00D84931" w:rsidRPr="001D41EA" w:rsidRDefault="00D84931" w:rsidP="00D84931">
            <w:pPr>
              <w:spacing w:before="40" w:after="20"/>
              <w:jc w:val="right"/>
              <w:rPr>
                <w:rFonts w:cs="Arial"/>
                <w:sz w:val="18"/>
                <w:szCs w:val="18"/>
              </w:rPr>
            </w:pPr>
            <w:r w:rsidRPr="001D41EA">
              <w:rPr>
                <w:rFonts w:cs="Arial"/>
                <w:sz w:val="18"/>
                <w:szCs w:val="18"/>
              </w:rPr>
              <w:t>30,077,600</w:t>
            </w:r>
          </w:p>
        </w:tc>
      </w:tr>
      <w:tr w:rsidR="00D84931" w:rsidRPr="001D41EA" w14:paraId="1438DF7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E971FAF" w14:textId="77777777" w:rsidR="00D84931" w:rsidRPr="001D41EA" w:rsidRDefault="00D84931" w:rsidP="00D84931">
            <w:pPr>
              <w:spacing w:before="40" w:after="20"/>
              <w:rPr>
                <w:rFonts w:cs="Arial"/>
                <w:sz w:val="18"/>
                <w:szCs w:val="18"/>
              </w:rPr>
            </w:pPr>
            <w:r w:rsidRPr="001D41EA">
              <w:rPr>
                <w:rFonts w:cs="Arial"/>
                <w:sz w:val="18"/>
                <w:szCs w:val="18"/>
              </w:rPr>
              <w:t>Moreland C</w:t>
            </w:r>
          </w:p>
        </w:tc>
        <w:tc>
          <w:tcPr>
            <w:tcW w:w="1701" w:type="dxa"/>
            <w:tcBorders>
              <w:top w:val="nil"/>
              <w:left w:val="single" w:sz="18" w:space="0" w:color="5F497A" w:themeColor="accent4" w:themeShade="BF"/>
              <w:bottom w:val="nil"/>
              <w:right w:val="nil"/>
            </w:tcBorders>
            <w:shd w:val="clear" w:color="auto" w:fill="auto"/>
            <w:noWrap/>
            <w:vAlign w:val="bottom"/>
          </w:tcPr>
          <w:p w14:paraId="46A764E0" w14:textId="1B01BAA5" w:rsidR="00D84931" w:rsidRPr="001D41EA" w:rsidRDefault="00D84931" w:rsidP="00D84931">
            <w:pPr>
              <w:spacing w:before="40" w:after="20"/>
              <w:jc w:val="right"/>
              <w:rPr>
                <w:rFonts w:cs="Arial"/>
                <w:sz w:val="18"/>
                <w:szCs w:val="18"/>
              </w:rPr>
            </w:pPr>
            <w:r w:rsidRPr="001D41EA">
              <w:rPr>
                <w:rFonts w:cs="Arial"/>
                <w:sz w:val="18"/>
                <w:szCs w:val="18"/>
              </w:rPr>
              <w:t>117,364,050</w:t>
            </w:r>
          </w:p>
        </w:tc>
        <w:tc>
          <w:tcPr>
            <w:tcW w:w="1701" w:type="dxa"/>
            <w:tcBorders>
              <w:top w:val="nil"/>
              <w:left w:val="nil"/>
              <w:bottom w:val="nil"/>
              <w:right w:val="nil"/>
            </w:tcBorders>
            <w:vAlign w:val="bottom"/>
          </w:tcPr>
          <w:p w14:paraId="1ED5B939" w14:textId="2C61FA40" w:rsidR="00D84931" w:rsidRPr="001D41EA" w:rsidRDefault="00D84931" w:rsidP="00D84931">
            <w:pPr>
              <w:spacing w:before="40" w:after="20"/>
              <w:jc w:val="right"/>
              <w:rPr>
                <w:rFonts w:cs="Arial"/>
                <w:sz w:val="18"/>
                <w:szCs w:val="18"/>
              </w:rPr>
            </w:pPr>
            <w:r w:rsidRPr="001D41EA">
              <w:rPr>
                <w:rFonts w:cs="Arial"/>
                <w:sz w:val="18"/>
                <w:szCs w:val="18"/>
              </w:rPr>
              <w:t>15,212,234</w:t>
            </w:r>
          </w:p>
        </w:tc>
        <w:tc>
          <w:tcPr>
            <w:tcW w:w="1701" w:type="dxa"/>
            <w:tcBorders>
              <w:top w:val="nil"/>
              <w:left w:val="nil"/>
              <w:bottom w:val="nil"/>
              <w:right w:val="nil"/>
            </w:tcBorders>
            <w:shd w:val="clear" w:color="auto" w:fill="auto"/>
            <w:noWrap/>
            <w:vAlign w:val="bottom"/>
          </w:tcPr>
          <w:p w14:paraId="082F7D01" w14:textId="45CA2677"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20DB32CE" w14:textId="77328C6D" w:rsidR="00D84931" w:rsidRPr="001D41EA" w:rsidRDefault="00D84931" w:rsidP="00D84931">
            <w:pPr>
              <w:spacing w:before="40" w:after="20"/>
              <w:jc w:val="right"/>
              <w:rPr>
                <w:rFonts w:cs="Arial"/>
                <w:sz w:val="18"/>
                <w:szCs w:val="18"/>
              </w:rPr>
            </w:pPr>
            <w:r w:rsidRPr="001D41EA">
              <w:rPr>
                <w:rFonts w:cs="Arial"/>
                <w:sz w:val="18"/>
                <w:szCs w:val="18"/>
              </w:rPr>
              <w:t>132,576,284</w:t>
            </w:r>
          </w:p>
        </w:tc>
      </w:tr>
      <w:tr w:rsidR="00D84931" w:rsidRPr="001D41EA" w14:paraId="50F2747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4E13E14" w14:textId="77777777" w:rsidR="00D84931" w:rsidRPr="001D41EA" w:rsidRDefault="00D84931" w:rsidP="00D84931">
            <w:pPr>
              <w:spacing w:before="40" w:after="20"/>
              <w:rPr>
                <w:rFonts w:cs="Arial"/>
                <w:sz w:val="18"/>
                <w:szCs w:val="18"/>
              </w:rPr>
            </w:pPr>
            <w:r w:rsidRPr="001D41EA">
              <w:rPr>
                <w:rFonts w:cs="Arial"/>
                <w:sz w:val="18"/>
                <w:szCs w:val="18"/>
              </w:rPr>
              <w:t>Mornington Peninsula S</w:t>
            </w:r>
          </w:p>
        </w:tc>
        <w:tc>
          <w:tcPr>
            <w:tcW w:w="1701" w:type="dxa"/>
            <w:tcBorders>
              <w:top w:val="nil"/>
              <w:left w:val="single" w:sz="18" w:space="0" w:color="5F497A" w:themeColor="accent4" w:themeShade="BF"/>
              <w:bottom w:val="nil"/>
              <w:right w:val="nil"/>
            </w:tcBorders>
            <w:shd w:val="clear" w:color="auto" w:fill="auto"/>
            <w:noWrap/>
            <w:vAlign w:val="bottom"/>
          </w:tcPr>
          <w:p w14:paraId="30177669" w14:textId="694232B2" w:rsidR="00D84931" w:rsidRPr="001D41EA" w:rsidRDefault="00D84931" w:rsidP="00D84931">
            <w:pPr>
              <w:spacing w:before="40" w:after="20"/>
              <w:jc w:val="right"/>
              <w:rPr>
                <w:rFonts w:cs="Arial"/>
                <w:sz w:val="18"/>
                <w:szCs w:val="18"/>
              </w:rPr>
            </w:pPr>
            <w:r w:rsidRPr="001D41EA">
              <w:rPr>
                <w:rFonts w:cs="Arial"/>
                <w:sz w:val="18"/>
                <w:szCs w:val="18"/>
              </w:rPr>
              <w:t>137,605,052</w:t>
            </w:r>
          </w:p>
        </w:tc>
        <w:tc>
          <w:tcPr>
            <w:tcW w:w="1701" w:type="dxa"/>
            <w:tcBorders>
              <w:top w:val="nil"/>
              <w:left w:val="nil"/>
              <w:bottom w:val="nil"/>
              <w:right w:val="nil"/>
            </w:tcBorders>
            <w:vAlign w:val="bottom"/>
          </w:tcPr>
          <w:p w14:paraId="0F265843" w14:textId="2B9FD5AB" w:rsidR="00D84931" w:rsidRPr="001D41EA" w:rsidRDefault="00D84931" w:rsidP="00D84931">
            <w:pPr>
              <w:spacing w:before="40" w:after="20"/>
              <w:jc w:val="right"/>
              <w:rPr>
                <w:rFonts w:cs="Arial"/>
                <w:sz w:val="18"/>
                <w:szCs w:val="18"/>
              </w:rPr>
            </w:pPr>
            <w:r w:rsidRPr="001D41EA">
              <w:rPr>
                <w:rFonts w:cs="Arial"/>
                <w:sz w:val="18"/>
                <w:szCs w:val="18"/>
              </w:rPr>
              <w:t>9,262,402</w:t>
            </w:r>
          </w:p>
        </w:tc>
        <w:tc>
          <w:tcPr>
            <w:tcW w:w="1701" w:type="dxa"/>
            <w:tcBorders>
              <w:top w:val="nil"/>
              <w:left w:val="nil"/>
              <w:bottom w:val="nil"/>
              <w:right w:val="nil"/>
            </w:tcBorders>
            <w:shd w:val="clear" w:color="auto" w:fill="auto"/>
            <w:noWrap/>
            <w:vAlign w:val="bottom"/>
          </w:tcPr>
          <w:p w14:paraId="4D14CC12" w14:textId="2DD4D664" w:rsidR="00D84931" w:rsidRPr="001D41EA" w:rsidRDefault="00D84931" w:rsidP="00D84931">
            <w:pPr>
              <w:spacing w:before="40" w:after="20"/>
              <w:jc w:val="right"/>
              <w:rPr>
                <w:rFonts w:cs="Arial"/>
                <w:sz w:val="18"/>
                <w:szCs w:val="18"/>
              </w:rPr>
            </w:pPr>
            <w:r w:rsidRPr="001D41EA">
              <w:rPr>
                <w:rFonts w:cs="Arial"/>
                <w:sz w:val="18"/>
                <w:szCs w:val="18"/>
              </w:rPr>
              <w:t>2,122,890</w:t>
            </w:r>
          </w:p>
        </w:tc>
        <w:tc>
          <w:tcPr>
            <w:tcW w:w="1701" w:type="dxa"/>
            <w:tcBorders>
              <w:top w:val="nil"/>
              <w:left w:val="nil"/>
              <w:bottom w:val="nil"/>
              <w:right w:val="nil"/>
            </w:tcBorders>
            <w:vAlign w:val="bottom"/>
          </w:tcPr>
          <w:p w14:paraId="31E59E30" w14:textId="593188ED" w:rsidR="00D84931" w:rsidRPr="001D41EA" w:rsidRDefault="00D84931" w:rsidP="00D84931">
            <w:pPr>
              <w:spacing w:before="40" w:after="20"/>
              <w:jc w:val="right"/>
              <w:rPr>
                <w:rFonts w:cs="Arial"/>
                <w:sz w:val="18"/>
                <w:szCs w:val="18"/>
              </w:rPr>
            </w:pPr>
            <w:r w:rsidRPr="001D41EA">
              <w:rPr>
                <w:rFonts w:cs="Arial"/>
                <w:sz w:val="18"/>
                <w:szCs w:val="18"/>
              </w:rPr>
              <w:t>148,990,344</w:t>
            </w:r>
          </w:p>
        </w:tc>
      </w:tr>
      <w:tr w:rsidR="00D84931" w:rsidRPr="001D41EA" w14:paraId="11FE581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06C1CE8" w14:textId="77777777" w:rsidR="00D84931" w:rsidRPr="001D41EA" w:rsidRDefault="00D84931" w:rsidP="00D84931">
            <w:pPr>
              <w:spacing w:before="40" w:after="20"/>
              <w:rPr>
                <w:rFonts w:cs="Arial"/>
                <w:sz w:val="18"/>
                <w:szCs w:val="18"/>
              </w:rPr>
            </w:pPr>
            <w:r w:rsidRPr="001D41EA">
              <w:rPr>
                <w:rFonts w:cs="Arial"/>
                <w:sz w:val="18"/>
                <w:szCs w:val="18"/>
              </w:rPr>
              <w:t>Mount Alexander S</w:t>
            </w:r>
          </w:p>
        </w:tc>
        <w:tc>
          <w:tcPr>
            <w:tcW w:w="1701" w:type="dxa"/>
            <w:tcBorders>
              <w:top w:val="nil"/>
              <w:left w:val="single" w:sz="18" w:space="0" w:color="5F497A" w:themeColor="accent4" w:themeShade="BF"/>
              <w:bottom w:val="nil"/>
              <w:right w:val="nil"/>
            </w:tcBorders>
            <w:shd w:val="clear" w:color="auto" w:fill="auto"/>
            <w:noWrap/>
            <w:vAlign w:val="bottom"/>
          </w:tcPr>
          <w:p w14:paraId="4E9DB1EB" w14:textId="5C5EDAB1" w:rsidR="00D84931" w:rsidRPr="001D41EA" w:rsidRDefault="00D84931" w:rsidP="00D84931">
            <w:pPr>
              <w:spacing w:before="40" w:after="20"/>
              <w:jc w:val="right"/>
              <w:rPr>
                <w:rFonts w:cs="Arial"/>
                <w:sz w:val="18"/>
                <w:szCs w:val="18"/>
              </w:rPr>
            </w:pPr>
            <w:r w:rsidRPr="001D41EA">
              <w:rPr>
                <w:rFonts w:cs="Arial"/>
                <w:sz w:val="18"/>
                <w:szCs w:val="18"/>
              </w:rPr>
              <w:t>17,525,096</w:t>
            </w:r>
          </w:p>
        </w:tc>
        <w:tc>
          <w:tcPr>
            <w:tcW w:w="1701" w:type="dxa"/>
            <w:tcBorders>
              <w:top w:val="nil"/>
              <w:left w:val="nil"/>
              <w:bottom w:val="nil"/>
              <w:right w:val="nil"/>
            </w:tcBorders>
            <w:vAlign w:val="bottom"/>
          </w:tcPr>
          <w:p w14:paraId="12BF62B6" w14:textId="3DF89609" w:rsidR="00D84931" w:rsidRPr="001D41EA" w:rsidRDefault="00D84931" w:rsidP="00D84931">
            <w:pPr>
              <w:spacing w:before="40" w:after="20"/>
              <w:jc w:val="right"/>
              <w:rPr>
                <w:rFonts w:cs="Arial"/>
                <w:sz w:val="18"/>
                <w:szCs w:val="18"/>
              </w:rPr>
            </w:pPr>
            <w:r w:rsidRPr="001D41EA">
              <w:rPr>
                <w:rFonts w:cs="Arial"/>
                <w:sz w:val="18"/>
                <w:szCs w:val="18"/>
              </w:rPr>
              <w:t>1,445,197</w:t>
            </w:r>
          </w:p>
        </w:tc>
        <w:tc>
          <w:tcPr>
            <w:tcW w:w="1701" w:type="dxa"/>
            <w:tcBorders>
              <w:top w:val="nil"/>
              <w:left w:val="nil"/>
              <w:bottom w:val="nil"/>
              <w:right w:val="nil"/>
            </w:tcBorders>
            <w:shd w:val="clear" w:color="auto" w:fill="auto"/>
            <w:noWrap/>
            <w:vAlign w:val="bottom"/>
          </w:tcPr>
          <w:p w14:paraId="533A92FE" w14:textId="04A0BA07" w:rsidR="00D84931" w:rsidRPr="001D41EA" w:rsidRDefault="00D84931" w:rsidP="00D84931">
            <w:pPr>
              <w:spacing w:before="40" w:after="20"/>
              <w:jc w:val="right"/>
              <w:rPr>
                <w:rFonts w:cs="Arial"/>
                <w:sz w:val="18"/>
                <w:szCs w:val="18"/>
              </w:rPr>
            </w:pPr>
            <w:r w:rsidRPr="001D41EA">
              <w:rPr>
                <w:rFonts w:cs="Arial"/>
                <w:sz w:val="18"/>
                <w:szCs w:val="18"/>
              </w:rPr>
              <w:t>2,097,395</w:t>
            </w:r>
          </w:p>
        </w:tc>
        <w:tc>
          <w:tcPr>
            <w:tcW w:w="1701" w:type="dxa"/>
            <w:tcBorders>
              <w:top w:val="nil"/>
              <w:left w:val="nil"/>
              <w:bottom w:val="nil"/>
              <w:right w:val="nil"/>
            </w:tcBorders>
            <w:vAlign w:val="bottom"/>
          </w:tcPr>
          <w:p w14:paraId="092600EE" w14:textId="250D6175" w:rsidR="00D84931" w:rsidRPr="001D41EA" w:rsidRDefault="00D84931" w:rsidP="00D84931">
            <w:pPr>
              <w:spacing w:before="40" w:after="20"/>
              <w:jc w:val="right"/>
              <w:rPr>
                <w:rFonts w:cs="Arial"/>
                <w:sz w:val="18"/>
                <w:szCs w:val="18"/>
              </w:rPr>
            </w:pPr>
            <w:r w:rsidRPr="001D41EA">
              <w:rPr>
                <w:rFonts w:cs="Arial"/>
                <w:sz w:val="18"/>
                <w:szCs w:val="18"/>
              </w:rPr>
              <w:t>21,067,688</w:t>
            </w:r>
          </w:p>
        </w:tc>
      </w:tr>
      <w:tr w:rsidR="00D84931" w:rsidRPr="001D41EA" w14:paraId="03E77C6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5865BF2" w14:textId="77777777" w:rsidR="00D84931" w:rsidRPr="001D41EA" w:rsidRDefault="00D84931" w:rsidP="00D84931">
            <w:pPr>
              <w:spacing w:before="40" w:after="20"/>
              <w:rPr>
                <w:rFonts w:cs="Arial"/>
                <w:sz w:val="18"/>
                <w:szCs w:val="18"/>
              </w:rPr>
            </w:pPr>
            <w:r w:rsidRPr="001D41EA">
              <w:rPr>
                <w:rFonts w:cs="Arial"/>
                <w:sz w:val="18"/>
                <w:szCs w:val="18"/>
              </w:rPr>
              <w:t>Moyne S</w:t>
            </w:r>
          </w:p>
        </w:tc>
        <w:tc>
          <w:tcPr>
            <w:tcW w:w="1701" w:type="dxa"/>
            <w:tcBorders>
              <w:top w:val="nil"/>
              <w:left w:val="single" w:sz="18" w:space="0" w:color="5F497A" w:themeColor="accent4" w:themeShade="BF"/>
              <w:bottom w:val="nil"/>
              <w:right w:val="nil"/>
            </w:tcBorders>
            <w:shd w:val="clear" w:color="auto" w:fill="auto"/>
            <w:noWrap/>
            <w:vAlign w:val="bottom"/>
          </w:tcPr>
          <w:p w14:paraId="6E823AD6" w14:textId="0D6080DA" w:rsidR="00D84931" w:rsidRPr="001D41EA" w:rsidRDefault="00D84931" w:rsidP="00D84931">
            <w:pPr>
              <w:spacing w:before="40" w:after="20"/>
              <w:jc w:val="right"/>
              <w:rPr>
                <w:rFonts w:cs="Arial"/>
                <w:sz w:val="18"/>
                <w:szCs w:val="18"/>
              </w:rPr>
            </w:pPr>
            <w:r w:rsidRPr="001D41EA">
              <w:rPr>
                <w:rFonts w:cs="Arial"/>
                <w:sz w:val="18"/>
                <w:szCs w:val="18"/>
              </w:rPr>
              <w:t>6,250,472</w:t>
            </w:r>
          </w:p>
        </w:tc>
        <w:tc>
          <w:tcPr>
            <w:tcW w:w="1701" w:type="dxa"/>
            <w:tcBorders>
              <w:top w:val="nil"/>
              <w:left w:val="nil"/>
              <w:bottom w:val="nil"/>
              <w:right w:val="nil"/>
            </w:tcBorders>
            <w:vAlign w:val="bottom"/>
          </w:tcPr>
          <w:p w14:paraId="1518217A" w14:textId="4A3BD947" w:rsidR="00D84931" w:rsidRPr="001D41EA" w:rsidRDefault="00D84931" w:rsidP="00D84931">
            <w:pPr>
              <w:spacing w:before="40" w:after="20"/>
              <w:jc w:val="right"/>
              <w:rPr>
                <w:rFonts w:cs="Arial"/>
                <w:sz w:val="18"/>
                <w:szCs w:val="18"/>
              </w:rPr>
            </w:pPr>
            <w:r w:rsidRPr="001D41EA">
              <w:rPr>
                <w:rFonts w:cs="Arial"/>
                <w:sz w:val="18"/>
                <w:szCs w:val="18"/>
              </w:rPr>
              <w:t>868,394</w:t>
            </w:r>
          </w:p>
        </w:tc>
        <w:tc>
          <w:tcPr>
            <w:tcW w:w="1701" w:type="dxa"/>
            <w:tcBorders>
              <w:top w:val="nil"/>
              <w:left w:val="nil"/>
              <w:bottom w:val="nil"/>
              <w:right w:val="nil"/>
            </w:tcBorders>
            <w:shd w:val="clear" w:color="auto" w:fill="auto"/>
            <w:noWrap/>
            <w:vAlign w:val="bottom"/>
          </w:tcPr>
          <w:p w14:paraId="59C8F101" w14:textId="750B4777" w:rsidR="00D84931" w:rsidRPr="001D41EA" w:rsidRDefault="00D84931" w:rsidP="00D84931">
            <w:pPr>
              <w:spacing w:before="40" w:after="20"/>
              <w:jc w:val="right"/>
              <w:rPr>
                <w:rFonts w:cs="Arial"/>
                <w:sz w:val="18"/>
                <w:szCs w:val="18"/>
              </w:rPr>
            </w:pPr>
            <w:r w:rsidRPr="001D41EA">
              <w:rPr>
                <w:rFonts w:cs="Arial"/>
                <w:sz w:val="18"/>
                <w:szCs w:val="18"/>
              </w:rPr>
              <w:t>11,783,530</w:t>
            </w:r>
          </w:p>
        </w:tc>
        <w:tc>
          <w:tcPr>
            <w:tcW w:w="1701" w:type="dxa"/>
            <w:tcBorders>
              <w:top w:val="nil"/>
              <w:left w:val="nil"/>
              <w:bottom w:val="nil"/>
              <w:right w:val="nil"/>
            </w:tcBorders>
            <w:vAlign w:val="bottom"/>
          </w:tcPr>
          <w:p w14:paraId="0CD2893C" w14:textId="4CC195CB" w:rsidR="00D84931" w:rsidRPr="001D41EA" w:rsidRDefault="00D84931" w:rsidP="00D84931">
            <w:pPr>
              <w:spacing w:before="40" w:after="20"/>
              <w:jc w:val="right"/>
              <w:rPr>
                <w:rFonts w:cs="Arial"/>
                <w:sz w:val="18"/>
                <w:szCs w:val="18"/>
              </w:rPr>
            </w:pPr>
            <w:r w:rsidRPr="001D41EA">
              <w:rPr>
                <w:rFonts w:cs="Arial"/>
                <w:sz w:val="18"/>
                <w:szCs w:val="18"/>
              </w:rPr>
              <w:t>18,902,395</w:t>
            </w:r>
          </w:p>
        </w:tc>
      </w:tr>
      <w:tr w:rsidR="00D84931" w:rsidRPr="001D41EA" w14:paraId="448A01B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29CE27F" w14:textId="77777777" w:rsidR="00D84931" w:rsidRPr="001D41EA" w:rsidRDefault="00D84931" w:rsidP="00D84931">
            <w:pPr>
              <w:spacing w:before="40" w:after="20"/>
              <w:rPr>
                <w:rFonts w:cs="Arial"/>
                <w:sz w:val="18"/>
                <w:szCs w:val="18"/>
              </w:rPr>
            </w:pPr>
            <w:r w:rsidRPr="001D41EA">
              <w:rPr>
                <w:rFonts w:cs="Arial"/>
                <w:sz w:val="18"/>
                <w:szCs w:val="18"/>
              </w:rPr>
              <w:t>Murrindindi S</w:t>
            </w:r>
          </w:p>
        </w:tc>
        <w:tc>
          <w:tcPr>
            <w:tcW w:w="1701" w:type="dxa"/>
            <w:tcBorders>
              <w:top w:val="nil"/>
              <w:left w:val="single" w:sz="18" w:space="0" w:color="5F497A" w:themeColor="accent4" w:themeShade="BF"/>
              <w:bottom w:val="nil"/>
              <w:right w:val="nil"/>
            </w:tcBorders>
            <w:shd w:val="clear" w:color="auto" w:fill="auto"/>
            <w:noWrap/>
            <w:vAlign w:val="bottom"/>
          </w:tcPr>
          <w:p w14:paraId="37AA02DF" w14:textId="399C6670" w:rsidR="00D84931" w:rsidRPr="001D41EA" w:rsidRDefault="00D84931" w:rsidP="00D84931">
            <w:pPr>
              <w:spacing w:before="40" w:after="20"/>
              <w:jc w:val="right"/>
              <w:rPr>
                <w:rFonts w:cs="Arial"/>
                <w:sz w:val="18"/>
                <w:szCs w:val="18"/>
              </w:rPr>
            </w:pPr>
            <w:r w:rsidRPr="001D41EA">
              <w:rPr>
                <w:rFonts w:cs="Arial"/>
                <w:sz w:val="18"/>
                <w:szCs w:val="18"/>
              </w:rPr>
              <w:t>10,221,787</w:t>
            </w:r>
          </w:p>
        </w:tc>
        <w:tc>
          <w:tcPr>
            <w:tcW w:w="1701" w:type="dxa"/>
            <w:tcBorders>
              <w:top w:val="nil"/>
              <w:left w:val="nil"/>
              <w:bottom w:val="nil"/>
              <w:right w:val="nil"/>
            </w:tcBorders>
            <w:vAlign w:val="bottom"/>
          </w:tcPr>
          <w:p w14:paraId="103CEB99" w14:textId="40129A6C" w:rsidR="00D84931" w:rsidRPr="001D41EA" w:rsidRDefault="00D84931" w:rsidP="00D84931">
            <w:pPr>
              <w:spacing w:before="40" w:after="20"/>
              <w:jc w:val="right"/>
              <w:rPr>
                <w:rFonts w:cs="Arial"/>
                <w:sz w:val="18"/>
                <w:szCs w:val="18"/>
              </w:rPr>
            </w:pPr>
            <w:r w:rsidRPr="001D41EA">
              <w:rPr>
                <w:rFonts w:cs="Arial"/>
                <w:sz w:val="18"/>
                <w:szCs w:val="18"/>
              </w:rPr>
              <w:t>1,118,943</w:t>
            </w:r>
          </w:p>
        </w:tc>
        <w:tc>
          <w:tcPr>
            <w:tcW w:w="1701" w:type="dxa"/>
            <w:tcBorders>
              <w:top w:val="nil"/>
              <w:left w:val="nil"/>
              <w:bottom w:val="nil"/>
              <w:right w:val="nil"/>
            </w:tcBorders>
            <w:shd w:val="clear" w:color="auto" w:fill="auto"/>
            <w:noWrap/>
            <w:vAlign w:val="bottom"/>
          </w:tcPr>
          <w:p w14:paraId="0C27041B" w14:textId="24BB02DE" w:rsidR="00D84931" w:rsidRPr="001D41EA" w:rsidRDefault="00D84931" w:rsidP="00D84931">
            <w:pPr>
              <w:spacing w:before="40" w:after="20"/>
              <w:jc w:val="right"/>
              <w:rPr>
                <w:rFonts w:cs="Arial"/>
                <w:sz w:val="18"/>
                <w:szCs w:val="18"/>
              </w:rPr>
            </w:pPr>
            <w:r w:rsidRPr="001D41EA">
              <w:rPr>
                <w:rFonts w:cs="Arial"/>
                <w:sz w:val="18"/>
                <w:szCs w:val="18"/>
              </w:rPr>
              <w:t>7,107,916</w:t>
            </w:r>
          </w:p>
        </w:tc>
        <w:tc>
          <w:tcPr>
            <w:tcW w:w="1701" w:type="dxa"/>
            <w:tcBorders>
              <w:top w:val="nil"/>
              <w:left w:val="nil"/>
              <w:bottom w:val="nil"/>
              <w:right w:val="nil"/>
            </w:tcBorders>
            <w:vAlign w:val="bottom"/>
          </w:tcPr>
          <w:p w14:paraId="4FD54A23" w14:textId="3569CC20" w:rsidR="00D84931" w:rsidRPr="001D41EA" w:rsidRDefault="00D84931" w:rsidP="00D84931">
            <w:pPr>
              <w:spacing w:before="40" w:after="20"/>
              <w:jc w:val="right"/>
              <w:rPr>
                <w:rFonts w:cs="Arial"/>
                <w:sz w:val="18"/>
                <w:szCs w:val="18"/>
              </w:rPr>
            </w:pPr>
            <w:r w:rsidRPr="001D41EA">
              <w:rPr>
                <w:rFonts w:cs="Arial"/>
                <w:sz w:val="18"/>
                <w:szCs w:val="18"/>
              </w:rPr>
              <w:t>18,448,645</w:t>
            </w:r>
          </w:p>
        </w:tc>
      </w:tr>
      <w:tr w:rsidR="00D84931" w:rsidRPr="001D41EA" w14:paraId="77BA3F3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D71DED7" w14:textId="77777777" w:rsidR="00D84931" w:rsidRPr="001D41EA" w:rsidRDefault="00D84931" w:rsidP="00D84931">
            <w:pPr>
              <w:spacing w:before="40" w:after="20"/>
              <w:rPr>
                <w:rFonts w:cs="Arial"/>
                <w:sz w:val="18"/>
                <w:szCs w:val="18"/>
              </w:rPr>
            </w:pPr>
            <w:r w:rsidRPr="001D41EA">
              <w:rPr>
                <w:rFonts w:cs="Arial"/>
                <w:sz w:val="18"/>
                <w:szCs w:val="18"/>
              </w:rPr>
              <w:t>Nillumbik S</w:t>
            </w:r>
          </w:p>
        </w:tc>
        <w:tc>
          <w:tcPr>
            <w:tcW w:w="1701" w:type="dxa"/>
            <w:tcBorders>
              <w:top w:val="nil"/>
              <w:left w:val="single" w:sz="18" w:space="0" w:color="5F497A" w:themeColor="accent4" w:themeShade="BF"/>
              <w:bottom w:val="nil"/>
              <w:right w:val="nil"/>
            </w:tcBorders>
            <w:shd w:val="clear" w:color="auto" w:fill="auto"/>
            <w:noWrap/>
            <w:vAlign w:val="bottom"/>
          </w:tcPr>
          <w:p w14:paraId="147ED1DF" w14:textId="36C8BA6C" w:rsidR="00D84931" w:rsidRPr="001D41EA" w:rsidRDefault="00D84931" w:rsidP="00D84931">
            <w:pPr>
              <w:spacing w:before="40" w:after="20"/>
              <w:jc w:val="right"/>
              <w:rPr>
                <w:rFonts w:cs="Arial"/>
                <w:sz w:val="18"/>
                <w:szCs w:val="18"/>
              </w:rPr>
            </w:pPr>
            <w:r w:rsidRPr="001D41EA">
              <w:rPr>
                <w:rFonts w:cs="Arial"/>
                <w:sz w:val="18"/>
                <w:szCs w:val="18"/>
              </w:rPr>
              <w:t>56,696,899</w:t>
            </w:r>
          </w:p>
        </w:tc>
        <w:tc>
          <w:tcPr>
            <w:tcW w:w="1701" w:type="dxa"/>
            <w:tcBorders>
              <w:top w:val="nil"/>
              <w:left w:val="nil"/>
              <w:bottom w:val="nil"/>
              <w:right w:val="nil"/>
            </w:tcBorders>
            <w:vAlign w:val="bottom"/>
          </w:tcPr>
          <w:p w14:paraId="604623EA" w14:textId="4DA4900F" w:rsidR="00D84931" w:rsidRPr="001D41EA" w:rsidRDefault="00D84931" w:rsidP="00D84931">
            <w:pPr>
              <w:spacing w:before="40" w:after="20"/>
              <w:jc w:val="right"/>
              <w:rPr>
                <w:rFonts w:cs="Arial"/>
                <w:sz w:val="18"/>
                <w:szCs w:val="18"/>
              </w:rPr>
            </w:pPr>
            <w:r w:rsidRPr="001D41EA">
              <w:rPr>
                <w:rFonts w:cs="Arial"/>
                <w:sz w:val="18"/>
                <w:szCs w:val="18"/>
              </w:rPr>
              <w:t>3,153,085</w:t>
            </w:r>
          </w:p>
        </w:tc>
        <w:tc>
          <w:tcPr>
            <w:tcW w:w="1701" w:type="dxa"/>
            <w:tcBorders>
              <w:top w:val="nil"/>
              <w:left w:val="nil"/>
              <w:bottom w:val="nil"/>
              <w:right w:val="nil"/>
            </w:tcBorders>
            <w:shd w:val="clear" w:color="auto" w:fill="auto"/>
            <w:noWrap/>
            <w:vAlign w:val="bottom"/>
          </w:tcPr>
          <w:p w14:paraId="7DDCA1EB" w14:textId="3D376C96" w:rsidR="00D84931" w:rsidRPr="001D41EA" w:rsidRDefault="00D84931" w:rsidP="00D84931">
            <w:pPr>
              <w:spacing w:before="40" w:after="20"/>
              <w:jc w:val="right"/>
              <w:rPr>
                <w:rFonts w:cs="Arial"/>
                <w:sz w:val="18"/>
                <w:szCs w:val="18"/>
              </w:rPr>
            </w:pPr>
            <w:r w:rsidRPr="001D41EA">
              <w:rPr>
                <w:rFonts w:cs="Arial"/>
                <w:sz w:val="18"/>
                <w:szCs w:val="18"/>
              </w:rPr>
              <w:t>598,305</w:t>
            </w:r>
          </w:p>
        </w:tc>
        <w:tc>
          <w:tcPr>
            <w:tcW w:w="1701" w:type="dxa"/>
            <w:tcBorders>
              <w:top w:val="nil"/>
              <w:left w:val="nil"/>
              <w:bottom w:val="nil"/>
              <w:right w:val="nil"/>
            </w:tcBorders>
            <w:vAlign w:val="bottom"/>
          </w:tcPr>
          <w:p w14:paraId="143CB361" w14:textId="124D87DE" w:rsidR="00D84931" w:rsidRPr="001D41EA" w:rsidRDefault="00D84931" w:rsidP="00D84931">
            <w:pPr>
              <w:spacing w:before="40" w:after="20"/>
              <w:jc w:val="right"/>
              <w:rPr>
                <w:rFonts w:cs="Arial"/>
                <w:sz w:val="18"/>
                <w:szCs w:val="18"/>
              </w:rPr>
            </w:pPr>
            <w:r w:rsidRPr="001D41EA">
              <w:rPr>
                <w:rFonts w:cs="Arial"/>
                <w:sz w:val="18"/>
                <w:szCs w:val="18"/>
              </w:rPr>
              <w:t>60,448,289</w:t>
            </w:r>
          </w:p>
        </w:tc>
      </w:tr>
      <w:tr w:rsidR="00D84931" w:rsidRPr="001D41EA" w14:paraId="6A7FFA9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F181CEA" w14:textId="77777777" w:rsidR="00D84931" w:rsidRPr="001D41EA" w:rsidRDefault="00D84931" w:rsidP="00D84931">
            <w:pPr>
              <w:spacing w:before="40" w:after="20"/>
              <w:rPr>
                <w:rFonts w:cs="Arial"/>
                <w:sz w:val="18"/>
                <w:szCs w:val="18"/>
              </w:rPr>
            </w:pPr>
            <w:r w:rsidRPr="001D41EA">
              <w:rPr>
                <w:rFonts w:cs="Arial"/>
                <w:sz w:val="18"/>
                <w:szCs w:val="18"/>
              </w:rPr>
              <w:t>Northern Grampians S</w:t>
            </w:r>
          </w:p>
        </w:tc>
        <w:tc>
          <w:tcPr>
            <w:tcW w:w="1701" w:type="dxa"/>
            <w:tcBorders>
              <w:top w:val="nil"/>
              <w:left w:val="single" w:sz="18" w:space="0" w:color="5F497A" w:themeColor="accent4" w:themeShade="BF"/>
              <w:bottom w:val="nil"/>
              <w:right w:val="nil"/>
            </w:tcBorders>
            <w:shd w:val="clear" w:color="auto" w:fill="auto"/>
            <w:noWrap/>
            <w:vAlign w:val="bottom"/>
          </w:tcPr>
          <w:p w14:paraId="1B1A0145" w14:textId="43620D2A" w:rsidR="00D84931" w:rsidRPr="001D41EA" w:rsidRDefault="00D84931" w:rsidP="00D84931">
            <w:pPr>
              <w:spacing w:before="40" w:after="20"/>
              <w:jc w:val="right"/>
              <w:rPr>
                <w:rFonts w:cs="Arial"/>
                <w:sz w:val="18"/>
                <w:szCs w:val="18"/>
              </w:rPr>
            </w:pPr>
            <w:r w:rsidRPr="001D41EA">
              <w:rPr>
                <w:rFonts w:cs="Arial"/>
                <w:sz w:val="18"/>
                <w:szCs w:val="18"/>
              </w:rPr>
              <w:t>9,614,069</w:t>
            </w:r>
          </w:p>
        </w:tc>
        <w:tc>
          <w:tcPr>
            <w:tcW w:w="1701" w:type="dxa"/>
            <w:tcBorders>
              <w:top w:val="nil"/>
              <w:left w:val="nil"/>
              <w:bottom w:val="nil"/>
              <w:right w:val="nil"/>
            </w:tcBorders>
            <w:vAlign w:val="bottom"/>
          </w:tcPr>
          <w:p w14:paraId="4FAF79C0" w14:textId="239FE2F8" w:rsidR="00D84931" w:rsidRPr="001D41EA" w:rsidRDefault="00D84931" w:rsidP="00D84931">
            <w:pPr>
              <w:spacing w:before="40" w:after="20"/>
              <w:jc w:val="right"/>
              <w:rPr>
                <w:rFonts w:cs="Arial"/>
                <w:sz w:val="18"/>
                <w:szCs w:val="18"/>
              </w:rPr>
            </w:pPr>
            <w:r w:rsidRPr="001D41EA">
              <w:rPr>
                <w:rFonts w:cs="Arial"/>
                <w:sz w:val="18"/>
                <w:szCs w:val="18"/>
              </w:rPr>
              <w:t>1,612,254</w:t>
            </w:r>
          </w:p>
        </w:tc>
        <w:tc>
          <w:tcPr>
            <w:tcW w:w="1701" w:type="dxa"/>
            <w:tcBorders>
              <w:top w:val="nil"/>
              <w:left w:val="nil"/>
              <w:bottom w:val="nil"/>
              <w:right w:val="nil"/>
            </w:tcBorders>
            <w:shd w:val="clear" w:color="auto" w:fill="auto"/>
            <w:noWrap/>
            <w:vAlign w:val="bottom"/>
          </w:tcPr>
          <w:p w14:paraId="19DE91BF" w14:textId="47D30E59" w:rsidR="00D84931" w:rsidRPr="001D41EA" w:rsidRDefault="00D84931" w:rsidP="00D84931">
            <w:pPr>
              <w:spacing w:before="40" w:after="20"/>
              <w:jc w:val="right"/>
              <w:rPr>
                <w:rFonts w:cs="Arial"/>
                <w:sz w:val="18"/>
                <w:szCs w:val="18"/>
              </w:rPr>
            </w:pPr>
            <w:r w:rsidRPr="001D41EA">
              <w:rPr>
                <w:rFonts w:cs="Arial"/>
                <w:sz w:val="18"/>
                <w:szCs w:val="18"/>
              </w:rPr>
              <w:t>4,803,830</w:t>
            </w:r>
          </w:p>
        </w:tc>
        <w:tc>
          <w:tcPr>
            <w:tcW w:w="1701" w:type="dxa"/>
            <w:tcBorders>
              <w:top w:val="nil"/>
              <w:left w:val="nil"/>
              <w:bottom w:val="nil"/>
              <w:right w:val="nil"/>
            </w:tcBorders>
            <w:vAlign w:val="bottom"/>
          </w:tcPr>
          <w:p w14:paraId="0A89FB72" w14:textId="06DA4666" w:rsidR="00D84931" w:rsidRPr="001D41EA" w:rsidRDefault="00D84931" w:rsidP="00D84931">
            <w:pPr>
              <w:spacing w:before="40" w:after="20"/>
              <w:jc w:val="right"/>
              <w:rPr>
                <w:rFonts w:cs="Arial"/>
                <w:sz w:val="18"/>
                <w:szCs w:val="18"/>
              </w:rPr>
            </w:pPr>
            <w:r w:rsidRPr="001D41EA">
              <w:rPr>
                <w:rFonts w:cs="Arial"/>
                <w:sz w:val="18"/>
                <w:szCs w:val="18"/>
              </w:rPr>
              <w:t>16,030,152</w:t>
            </w:r>
          </w:p>
        </w:tc>
      </w:tr>
      <w:tr w:rsidR="00D84931" w:rsidRPr="001D41EA" w14:paraId="541A831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ABD32D8" w14:textId="77777777" w:rsidR="00D84931" w:rsidRPr="001D41EA" w:rsidRDefault="00D84931" w:rsidP="00D84931">
            <w:pPr>
              <w:spacing w:before="40" w:after="20"/>
              <w:rPr>
                <w:rFonts w:cs="Arial"/>
                <w:sz w:val="18"/>
                <w:szCs w:val="18"/>
              </w:rPr>
            </w:pPr>
            <w:r w:rsidRPr="001D41EA">
              <w:rPr>
                <w:rFonts w:cs="Arial"/>
                <w:sz w:val="18"/>
                <w:szCs w:val="18"/>
              </w:rPr>
              <w:t>Port Phillip C</w:t>
            </w:r>
          </w:p>
        </w:tc>
        <w:tc>
          <w:tcPr>
            <w:tcW w:w="1701" w:type="dxa"/>
            <w:tcBorders>
              <w:top w:val="nil"/>
              <w:left w:val="single" w:sz="18" w:space="0" w:color="5F497A" w:themeColor="accent4" w:themeShade="BF"/>
              <w:bottom w:val="nil"/>
              <w:right w:val="nil"/>
            </w:tcBorders>
            <w:shd w:val="clear" w:color="auto" w:fill="auto"/>
            <w:noWrap/>
            <w:vAlign w:val="bottom"/>
          </w:tcPr>
          <w:p w14:paraId="575466F4" w14:textId="7ECB7744" w:rsidR="00D84931" w:rsidRPr="001D41EA" w:rsidRDefault="00D84931" w:rsidP="00D84931">
            <w:pPr>
              <w:spacing w:before="40" w:after="20"/>
              <w:jc w:val="right"/>
              <w:rPr>
                <w:rFonts w:cs="Arial"/>
                <w:sz w:val="18"/>
                <w:szCs w:val="18"/>
              </w:rPr>
            </w:pPr>
            <w:r w:rsidRPr="001D41EA">
              <w:rPr>
                <w:rFonts w:cs="Arial"/>
                <w:sz w:val="18"/>
                <w:szCs w:val="18"/>
              </w:rPr>
              <w:t>90,609,674</w:t>
            </w:r>
          </w:p>
        </w:tc>
        <w:tc>
          <w:tcPr>
            <w:tcW w:w="1701" w:type="dxa"/>
            <w:tcBorders>
              <w:top w:val="nil"/>
              <w:left w:val="nil"/>
              <w:bottom w:val="nil"/>
              <w:right w:val="nil"/>
            </w:tcBorders>
            <w:vAlign w:val="bottom"/>
          </w:tcPr>
          <w:p w14:paraId="5BFE7A5A" w14:textId="5EAB5F17" w:rsidR="00D84931" w:rsidRPr="001D41EA" w:rsidRDefault="00D84931" w:rsidP="00D84931">
            <w:pPr>
              <w:spacing w:before="40" w:after="20"/>
              <w:jc w:val="right"/>
              <w:rPr>
                <w:rFonts w:cs="Arial"/>
                <w:sz w:val="18"/>
                <w:szCs w:val="18"/>
              </w:rPr>
            </w:pPr>
            <w:r w:rsidRPr="001D41EA">
              <w:rPr>
                <w:rFonts w:cs="Arial"/>
                <w:sz w:val="18"/>
                <w:szCs w:val="18"/>
              </w:rPr>
              <w:t>24,360,758</w:t>
            </w:r>
          </w:p>
        </w:tc>
        <w:tc>
          <w:tcPr>
            <w:tcW w:w="1701" w:type="dxa"/>
            <w:tcBorders>
              <w:top w:val="nil"/>
              <w:left w:val="nil"/>
              <w:bottom w:val="nil"/>
              <w:right w:val="nil"/>
            </w:tcBorders>
            <w:shd w:val="clear" w:color="auto" w:fill="auto"/>
            <w:noWrap/>
            <w:vAlign w:val="bottom"/>
          </w:tcPr>
          <w:p w14:paraId="4CA8B51F" w14:textId="6F6BEB11"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7F394BB6" w14:textId="1A25D2BB" w:rsidR="00D84931" w:rsidRPr="001D41EA" w:rsidRDefault="00D84931" w:rsidP="00D84931">
            <w:pPr>
              <w:spacing w:before="40" w:after="20"/>
              <w:jc w:val="right"/>
              <w:rPr>
                <w:rFonts w:cs="Arial"/>
                <w:sz w:val="18"/>
                <w:szCs w:val="18"/>
              </w:rPr>
            </w:pPr>
            <w:r w:rsidRPr="001D41EA">
              <w:rPr>
                <w:rFonts w:cs="Arial"/>
                <w:sz w:val="18"/>
                <w:szCs w:val="18"/>
              </w:rPr>
              <w:t>114,970,432</w:t>
            </w:r>
          </w:p>
        </w:tc>
      </w:tr>
      <w:tr w:rsidR="00D84931" w:rsidRPr="001D41EA" w14:paraId="66542B4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823306B" w14:textId="77777777" w:rsidR="00D84931" w:rsidRPr="001D41EA" w:rsidRDefault="00D84931" w:rsidP="00D84931">
            <w:pPr>
              <w:spacing w:before="40" w:after="20"/>
              <w:rPr>
                <w:rFonts w:cs="Arial"/>
                <w:sz w:val="18"/>
                <w:szCs w:val="18"/>
              </w:rPr>
            </w:pPr>
            <w:r w:rsidRPr="001D41EA">
              <w:rPr>
                <w:rFonts w:cs="Arial"/>
                <w:sz w:val="18"/>
                <w:szCs w:val="18"/>
              </w:rPr>
              <w:t>Pyrenees S</w:t>
            </w:r>
          </w:p>
        </w:tc>
        <w:tc>
          <w:tcPr>
            <w:tcW w:w="1701" w:type="dxa"/>
            <w:tcBorders>
              <w:top w:val="nil"/>
              <w:left w:val="single" w:sz="18" w:space="0" w:color="5F497A" w:themeColor="accent4" w:themeShade="BF"/>
              <w:bottom w:val="nil"/>
              <w:right w:val="nil"/>
            </w:tcBorders>
            <w:shd w:val="clear" w:color="auto" w:fill="auto"/>
            <w:noWrap/>
            <w:vAlign w:val="bottom"/>
          </w:tcPr>
          <w:p w14:paraId="19053B69" w14:textId="3812049C" w:rsidR="00D84931" w:rsidRPr="001D41EA" w:rsidRDefault="00D84931" w:rsidP="00D84931">
            <w:pPr>
              <w:spacing w:before="40" w:after="20"/>
              <w:jc w:val="right"/>
              <w:rPr>
                <w:rFonts w:cs="Arial"/>
                <w:sz w:val="18"/>
                <w:szCs w:val="18"/>
              </w:rPr>
            </w:pPr>
            <w:r w:rsidRPr="001D41EA">
              <w:rPr>
                <w:rFonts w:cs="Arial"/>
                <w:sz w:val="18"/>
                <w:szCs w:val="18"/>
              </w:rPr>
              <w:t>4,385,006</w:t>
            </w:r>
          </w:p>
        </w:tc>
        <w:tc>
          <w:tcPr>
            <w:tcW w:w="1701" w:type="dxa"/>
            <w:tcBorders>
              <w:top w:val="nil"/>
              <w:left w:val="nil"/>
              <w:bottom w:val="nil"/>
              <w:right w:val="nil"/>
            </w:tcBorders>
            <w:vAlign w:val="bottom"/>
          </w:tcPr>
          <w:p w14:paraId="78C4EA02" w14:textId="2647A2C0" w:rsidR="00D84931" w:rsidRPr="001D41EA" w:rsidRDefault="00D84931" w:rsidP="00D84931">
            <w:pPr>
              <w:spacing w:before="40" w:after="20"/>
              <w:jc w:val="right"/>
              <w:rPr>
                <w:rFonts w:cs="Arial"/>
                <w:sz w:val="18"/>
                <w:szCs w:val="18"/>
              </w:rPr>
            </w:pPr>
            <w:r w:rsidRPr="001D41EA">
              <w:rPr>
                <w:rFonts w:cs="Arial"/>
                <w:sz w:val="18"/>
                <w:szCs w:val="18"/>
              </w:rPr>
              <w:t>272,934</w:t>
            </w:r>
          </w:p>
        </w:tc>
        <w:tc>
          <w:tcPr>
            <w:tcW w:w="1701" w:type="dxa"/>
            <w:tcBorders>
              <w:top w:val="nil"/>
              <w:left w:val="nil"/>
              <w:bottom w:val="nil"/>
              <w:right w:val="nil"/>
            </w:tcBorders>
            <w:shd w:val="clear" w:color="auto" w:fill="auto"/>
            <w:noWrap/>
            <w:vAlign w:val="bottom"/>
          </w:tcPr>
          <w:p w14:paraId="355237C7" w14:textId="253B5D91" w:rsidR="00D84931" w:rsidRPr="001D41EA" w:rsidRDefault="00D84931" w:rsidP="00D84931">
            <w:pPr>
              <w:spacing w:before="40" w:after="20"/>
              <w:jc w:val="right"/>
              <w:rPr>
                <w:rFonts w:cs="Arial"/>
                <w:sz w:val="18"/>
                <w:szCs w:val="18"/>
              </w:rPr>
            </w:pPr>
            <w:r w:rsidRPr="001D41EA">
              <w:rPr>
                <w:rFonts w:cs="Arial"/>
                <w:sz w:val="18"/>
                <w:szCs w:val="18"/>
              </w:rPr>
              <w:t>3,958,572</w:t>
            </w:r>
          </w:p>
        </w:tc>
        <w:tc>
          <w:tcPr>
            <w:tcW w:w="1701" w:type="dxa"/>
            <w:tcBorders>
              <w:top w:val="nil"/>
              <w:left w:val="nil"/>
              <w:bottom w:val="nil"/>
              <w:right w:val="nil"/>
            </w:tcBorders>
            <w:vAlign w:val="bottom"/>
          </w:tcPr>
          <w:p w14:paraId="2E329A3F" w14:textId="718157E4" w:rsidR="00D84931" w:rsidRPr="001D41EA" w:rsidRDefault="00D84931" w:rsidP="00D84931">
            <w:pPr>
              <w:spacing w:before="40" w:after="20"/>
              <w:jc w:val="right"/>
              <w:rPr>
                <w:rFonts w:cs="Arial"/>
                <w:sz w:val="18"/>
                <w:szCs w:val="18"/>
              </w:rPr>
            </w:pPr>
            <w:r w:rsidRPr="001D41EA">
              <w:rPr>
                <w:rFonts w:cs="Arial"/>
                <w:sz w:val="18"/>
                <w:szCs w:val="18"/>
              </w:rPr>
              <w:t>8,616,512</w:t>
            </w:r>
          </w:p>
        </w:tc>
      </w:tr>
      <w:tr w:rsidR="00D84931" w:rsidRPr="001D41EA" w14:paraId="48699C7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60CBB60" w14:textId="77777777" w:rsidR="00D84931" w:rsidRPr="001D41EA" w:rsidRDefault="00D84931" w:rsidP="00D84931">
            <w:pPr>
              <w:spacing w:before="40" w:after="20"/>
              <w:rPr>
                <w:rFonts w:cs="Arial"/>
                <w:sz w:val="18"/>
                <w:szCs w:val="18"/>
              </w:rPr>
            </w:pPr>
            <w:r w:rsidRPr="001D41EA">
              <w:rPr>
                <w:rFonts w:cs="Arial"/>
                <w:sz w:val="18"/>
                <w:szCs w:val="18"/>
              </w:rPr>
              <w:t>Queenscliffe B</w:t>
            </w:r>
          </w:p>
        </w:tc>
        <w:tc>
          <w:tcPr>
            <w:tcW w:w="1701" w:type="dxa"/>
            <w:tcBorders>
              <w:top w:val="nil"/>
              <w:left w:val="single" w:sz="18" w:space="0" w:color="5F497A" w:themeColor="accent4" w:themeShade="BF"/>
              <w:bottom w:val="nil"/>
              <w:right w:val="nil"/>
            </w:tcBorders>
            <w:shd w:val="clear" w:color="auto" w:fill="auto"/>
            <w:noWrap/>
            <w:vAlign w:val="bottom"/>
          </w:tcPr>
          <w:p w14:paraId="717D2C63" w14:textId="0A15CC54" w:rsidR="00D84931" w:rsidRPr="001D41EA" w:rsidRDefault="00D84931" w:rsidP="00D84931">
            <w:pPr>
              <w:spacing w:before="40" w:after="20"/>
              <w:jc w:val="right"/>
              <w:rPr>
                <w:rFonts w:cs="Arial"/>
                <w:sz w:val="18"/>
                <w:szCs w:val="18"/>
              </w:rPr>
            </w:pPr>
            <w:r w:rsidRPr="001D41EA">
              <w:rPr>
                <w:rFonts w:cs="Arial"/>
                <w:sz w:val="18"/>
                <w:szCs w:val="18"/>
              </w:rPr>
              <w:t>5,909,765</w:t>
            </w:r>
          </w:p>
        </w:tc>
        <w:tc>
          <w:tcPr>
            <w:tcW w:w="1701" w:type="dxa"/>
            <w:tcBorders>
              <w:top w:val="nil"/>
              <w:left w:val="nil"/>
              <w:bottom w:val="nil"/>
              <w:right w:val="nil"/>
            </w:tcBorders>
            <w:vAlign w:val="bottom"/>
          </w:tcPr>
          <w:p w14:paraId="6A1CBBFC" w14:textId="014C67CB" w:rsidR="00D84931" w:rsidRPr="001D41EA" w:rsidRDefault="00D84931" w:rsidP="00D84931">
            <w:pPr>
              <w:spacing w:before="40" w:after="20"/>
              <w:jc w:val="right"/>
              <w:rPr>
                <w:rFonts w:cs="Arial"/>
                <w:sz w:val="18"/>
                <w:szCs w:val="18"/>
              </w:rPr>
            </w:pPr>
            <w:r w:rsidRPr="001D41EA">
              <w:rPr>
                <w:rFonts w:cs="Arial"/>
                <w:sz w:val="18"/>
                <w:szCs w:val="18"/>
              </w:rPr>
              <w:t>728,074</w:t>
            </w:r>
          </w:p>
        </w:tc>
        <w:tc>
          <w:tcPr>
            <w:tcW w:w="1701" w:type="dxa"/>
            <w:tcBorders>
              <w:top w:val="nil"/>
              <w:left w:val="nil"/>
              <w:bottom w:val="nil"/>
              <w:right w:val="nil"/>
            </w:tcBorders>
            <w:shd w:val="clear" w:color="auto" w:fill="auto"/>
            <w:noWrap/>
            <w:vAlign w:val="bottom"/>
          </w:tcPr>
          <w:p w14:paraId="6B64B3A5" w14:textId="6B368FD7"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114CBFE0" w14:textId="273914AF" w:rsidR="00D84931" w:rsidRPr="001D41EA" w:rsidRDefault="00D84931" w:rsidP="00D84931">
            <w:pPr>
              <w:spacing w:before="40" w:after="20"/>
              <w:jc w:val="right"/>
              <w:rPr>
                <w:rFonts w:cs="Arial"/>
                <w:sz w:val="18"/>
                <w:szCs w:val="18"/>
              </w:rPr>
            </w:pPr>
            <w:r w:rsidRPr="001D41EA">
              <w:rPr>
                <w:rFonts w:cs="Arial"/>
                <w:sz w:val="18"/>
                <w:szCs w:val="18"/>
              </w:rPr>
              <w:t>6,637,840</w:t>
            </w:r>
          </w:p>
        </w:tc>
      </w:tr>
      <w:tr w:rsidR="00D84931" w:rsidRPr="001D41EA" w14:paraId="6E75750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6A43B87" w14:textId="77777777" w:rsidR="00D84931" w:rsidRPr="001D41EA" w:rsidRDefault="00D84931" w:rsidP="00D84931">
            <w:pPr>
              <w:spacing w:before="40" w:after="20"/>
              <w:rPr>
                <w:rFonts w:cs="Arial"/>
                <w:sz w:val="18"/>
                <w:szCs w:val="18"/>
              </w:rPr>
            </w:pPr>
            <w:r w:rsidRPr="001D41EA">
              <w:rPr>
                <w:rFonts w:cs="Arial"/>
                <w:sz w:val="18"/>
                <w:szCs w:val="18"/>
              </w:rPr>
              <w:t>South Gippsland S</w:t>
            </w:r>
          </w:p>
        </w:tc>
        <w:tc>
          <w:tcPr>
            <w:tcW w:w="1701" w:type="dxa"/>
            <w:tcBorders>
              <w:top w:val="nil"/>
              <w:left w:val="single" w:sz="18" w:space="0" w:color="5F497A" w:themeColor="accent4" w:themeShade="BF"/>
              <w:bottom w:val="nil"/>
              <w:right w:val="nil"/>
            </w:tcBorders>
            <w:shd w:val="clear" w:color="auto" w:fill="auto"/>
            <w:noWrap/>
            <w:vAlign w:val="bottom"/>
          </w:tcPr>
          <w:p w14:paraId="358C69A8" w14:textId="53DB3A0A" w:rsidR="00D84931" w:rsidRPr="001D41EA" w:rsidRDefault="00D84931" w:rsidP="00D84931">
            <w:pPr>
              <w:spacing w:before="40" w:after="20"/>
              <w:jc w:val="right"/>
              <w:rPr>
                <w:rFonts w:cs="Arial"/>
                <w:sz w:val="18"/>
                <w:szCs w:val="18"/>
              </w:rPr>
            </w:pPr>
            <w:r w:rsidRPr="001D41EA">
              <w:rPr>
                <w:rFonts w:cs="Arial"/>
                <w:sz w:val="18"/>
                <w:szCs w:val="18"/>
              </w:rPr>
              <w:t>25,432,341</w:t>
            </w:r>
          </w:p>
        </w:tc>
        <w:tc>
          <w:tcPr>
            <w:tcW w:w="1701" w:type="dxa"/>
            <w:tcBorders>
              <w:top w:val="nil"/>
              <w:left w:val="nil"/>
              <w:bottom w:val="nil"/>
              <w:right w:val="nil"/>
            </w:tcBorders>
            <w:vAlign w:val="bottom"/>
          </w:tcPr>
          <w:p w14:paraId="66BE3409" w14:textId="1C4E81E1" w:rsidR="00D84931" w:rsidRPr="001D41EA" w:rsidRDefault="00D84931" w:rsidP="00D84931">
            <w:pPr>
              <w:spacing w:before="40" w:after="20"/>
              <w:jc w:val="right"/>
              <w:rPr>
                <w:rFonts w:cs="Arial"/>
                <w:sz w:val="18"/>
                <w:szCs w:val="18"/>
              </w:rPr>
            </w:pPr>
            <w:r w:rsidRPr="001D41EA">
              <w:rPr>
                <w:rFonts w:cs="Arial"/>
                <w:sz w:val="18"/>
                <w:szCs w:val="18"/>
              </w:rPr>
              <w:t>3,271,335</w:t>
            </w:r>
          </w:p>
        </w:tc>
        <w:tc>
          <w:tcPr>
            <w:tcW w:w="1701" w:type="dxa"/>
            <w:tcBorders>
              <w:top w:val="nil"/>
              <w:left w:val="nil"/>
              <w:bottom w:val="nil"/>
              <w:right w:val="nil"/>
            </w:tcBorders>
            <w:shd w:val="clear" w:color="auto" w:fill="auto"/>
            <w:noWrap/>
            <w:vAlign w:val="bottom"/>
          </w:tcPr>
          <w:p w14:paraId="29DF2D97" w14:textId="0AD94BF7" w:rsidR="00D84931" w:rsidRPr="001D41EA" w:rsidRDefault="00D84931" w:rsidP="00D84931">
            <w:pPr>
              <w:spacing w:before="40" w:after="20"/>
              <w:jc w:val="right"/>
              <w:rPr>
                <w:rFonts w:cs="Arial"/>
                <w:sz w:val="18"/>
                <w:szCs w:val="18"/>
              </w:rPr>
            </w:pPr>
            <w:r w:rsidRPr="001D41EA">
              <w:rPr>
                <w:rFonts w:cs="Arial"/>
                <w:sz w:val="18"/>
                <w:szCs w:val="18"/>
              </w:rPr>
              <w:t>9,946,598</w:t>
            </w:r>
          </w:p>
        </w:tc>
        <w:tc>
          <w:tcPr>
            <w:tcW w:w="1701" w:type="dxa"/>
            <w:tcBorders>
              <w:top w:val="nil"/>
              <w:left w:val="nil"/>
              <w:bottom w:val="nil"/>
              <w:right w:val="nil"/>
            </w:tcBorders>
            <w:vAlign w:val="bottom"/>
          </w:tcPr>
          <w:p w14:paraId="71E4B80B" w14:textId="4D43F12F" w:rsidR="00D84931" w:rsidRPr="001D41EA" w:rsidRDefault="00D84931" w:rsidP="00D84931">
            <w:pPr>
              <w:spacing w:before="40" w:after="20"/>
              <w:jc w:val="right"/>
              <w:rPr>
                <w:rFonts w:cs="Arial"/>
                <w:sz w:val="18"/>
                <w:szCs w:val="18"/>
              </w:rPr>
            </w:pPr>
            <w:r w:rsidRPr="001D41EA">
              <w:rPr>
                <w:rFonts w:cs="Arial"/>
                <w:sz w:val="18"/>
                <w:szCs w:val="18"/>
              </w:rPr>
              <w:t>38,650,274</w:t>
            </w:r>
          </w:p>
        </w:tc>
      </w:tr>
      <w:tr w:rsidR="00D84931" w:rsidRPr="001D41EA" w14:paraId="477852A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B188C0E" w14:textId="77777777" w:rsidR="00D84931" w:rsidRPr="001D41EA" w:rsidRDefault="00D84931" w:rsidP="00D84931">
            <w:pPr>
              <w:spacing w:before="40" w:after="20"/>
              <w:rPr>
                <w:rFonts w:cs="Arial"/>
                <w:sz w:val="18"/>
                <w:szCs w:val="18"/>
              </w:rPr>
            </w:pPr>
            <w:r w:rsidRPr="001D41EA">
              <w:rPr>
                <w:rFonts w:cs="Arial"/>
                <w:sz w:val="18"/>
                <w:szCs w:val="18"/>
              </w:rPr>
              <w:t>Southern Grampians S</w:t>
            </w:r>
          </w:p>
        </w:tc>
        <w:tc>
          <w:tcPr>
            <w:tcW w:w="1701" w:type="dxa"/>
            <w:tcBorders>
              <w:top w:val="nil"/>
              <w:left w:val="single" w:sz="18" w:space="0" w:color="5F497A" w:themeColor="accent4" w:themeShade="BF"/>
              <w:bottom w:val="nil"/>
              <w:right w:val="nil"/>
            </w:tcBorders>
            <w:shd w:val="clear" w:color="auto" w:fill="auto"/>
            <w:noWrap/>
            <w:vAlign w:val="bottom"/>
          </w:tcPr>
          <w:p w14:paraId="67C1B333" w14:textId="42888997" w:rsidR="00D84931" w:rsidRPr="001D41EA" w:rsidRDefault="00D84931" w:rsidP="00D84931">
            <w:pPr>
              <w:spacing w:before="40" w:after="20"/>
              <w:jc w:val="right"/>
              <w:rPr>
                <w:rFonts w:cs="Arial"/>
                <w:sz w:val="18"/>
                <w:szCs w:val="18"/>
              </w:rPr>
            </w:pPr>
            <w:r w:rsidRPr="001D41EA">
              <w:rPr>
                <w:rFonts w:cs="Arial"/>
                <w:sz w:val="18"/>
                <w:szCs w:val="18"/>
              </w:rPr>
              <w:t>9,152,029</w:t>
            </w:r>
          </w:p>
        </w:tc>
        <w:tc>
          <w:tcPr>
            <w:tcW w:w="1701" w:type="dxa"/>
            <w:tcBorders>
              <w:top w:val="nil"/>
              <w:left w:val="nil"/>
              <w:bottom w:val="nil"/>
              <w:right w:val="nil"/>
            </w:tcBorders>
            <w:vAlign w:val="bottom"/>
          </w:tcPr>
          <w:p w14:paraId="0D049BA0" w14:textId="0B1346D1" w:rsidR="00D84931" w:rsidRPr="001D41EA" w:rsidRDefault="00D84931" w:rsidP="00D84931">
            <w:pPr>
              <w:spacing w:before="40" w:after="20"/>
              <w:jc w:val="right"/>
              <w:rPr>
                <w:rFonts w:cs="Arial"/>
                <w:sz w:val="18"/>
                <w:szCs w:val="18"/>
              </w:rPr>
            </w:pPr>
            <w:r w:rsidRPr="001D41EA">
              <w:rPr>
                <w:rFonts w:cs="Arial"/>
                <w:sz w:val="18"/>
                <w:szCs w:val="18"/>
              </w:rPr>
              <w:t>1,504,761</w:t>
            </w:r>
          </w:p>
        </w:tc>
        <w:tc>
          <w:tcPr>
            <w:tcW w:w="1701" w:type="dxa"/>
            <w:tcBorders>
              <w:top w:val="nil"/>
              <w:left w:val="nil"/>
              <w:bottom w:val="nil"/>
              <w:right w:val="nil"/>
            </w:tcBorders>
            <w:shd w:val="clear" w:color="auto" w:fill="auto"/>
            <w:noWrap/>
            <w:vAlign w:val="bottom"/>
          </w:tcPr>
          <w:p w14:paraId="04D2F26A" w14:textId="7D90750C" w:rsidR="00D84931" w:rsidRPr="001D41EA" w:rsidRDefault="00D84931" w:rsidP="00D84931">
            <w:pPr>
              <w:spacing w:before="40" w:after="20"/>
              <w:jc w:val="right"/>
              <w:rPr>
                <w:rFonts w:cs="Arial"/>
                <w:sz w:val="18"/>
                <w:szCs w:val="18"/>
              </w:rPr>
            </w:pPr>
            <w:r w:rsidRPr="001D41EA">
              <w:rPr>
                <w:rFonts w:cs="Arial"/>
                <w:sz w:val="18"/>
                <w:szCs w:val="18"/>
              </w:rPr>
              <w:t>7,807,230</w:t>
            </w:r>
          </w:p>
        </w:tc>
        <w:tc>
          <w:tcPr>
            <w:tcW w:w="1701" w:type="dxa"/>
            <w:tcBorders>
              <w:top w:val="nil"/>
              <w:left w:val="nil"/>
              <w:bottom w:val="nil"/>
              <w:right w:val="nil"/>
            </w:tcBorders>
            <w:vAlign w:val="bottom"/>
          </w:tcPr>
          <w:p w14:paraId="2BAA8335" w14:textId="29E7453F" w:rsidR="00D84931" w:rsidRPr="001D41EA" w:rsidRDefault="00D84931" w:rsidP="00D84931">
            <w:pPr>
              <w:spacing w:before="40" w:after="20"/>
              <w:jc w:val="right"/>
              <w:rPr>
                <w:rFonts w:cs="Arial"/>
                <w:sz w:val="18"/>
                <w:szCs w:val="18"/>
              </w:rPr>
            </w:pPr>
            <w:r w:rsidRPr="001D41EA">
              <w:rPr>
                <w:rFonts w:cs="Arial"/>
                <w:sz w:val="18"/>
                <w:szCs w:val="18"/>
              </w:rPr>
              <w:t>18,464,020</w:t>
            </w:r>
          </w:p>
        </w:tc>
      </w:tr>
      <w:tr w:rsidR="00D84931" w:rsidRPr="001D41EA" w14:paraId="0559CCF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E07DF07" w14:textId="77777777" w:rsidR="00D84931" w:rsidRPr="001D41EA" w:rsidRDefault="00D84931" w:rsidP="00D84931">
            <w:pPr>
              <w:spacing w:before="40" w:after="20"/>
              <w:rPr>
                <w:rFonts w:cs="Arial"/>
                <w:sz w:val="18"/>
                <w:szCs w:val="18"/>
              </w:rPr>
            </w:pPr>
            <w:r w:rsidRPr="001D41EA">
              <w:rPr>
                <w:rFonts w:cs="Arial"/>
                <w:sz w:val="18"/>
                <w:szCs w:val="18"/>
              </w:rPr>
              <w:t>Stonnington C</w:t>
            </w:r>
          </w:p>
        </w:tc>
        <w:tc>
          <w:tcPr>
            <w:tcW w:w="1701" w:type="dxa"/>
            <w:tcBorders>
              <w:top w:val="nil"/>
              <w:left w:val="single" w:sz="18" w:space="0" w:color="5F497A" w:themeColor="accent4" w:themeShade="BF"/>
              <w:bottom w:val="nil"/>
              <w:right w:val="nil"/>
            </w:tcBorders>
            <w:shd w:val="clear" w:color="auto" w:fill="auto"/>
            <w:noWrap/>
            <w:vAlign w:val="bottom"/>
          </w:tcPr>
          <w:p w14:paraId="3F04143E" w14:textId="28584D57" w:rsidR="00D84931" w:rsidRPr="001D41EA" w:rsidRDefault="00D84931" w:rsidP="00D84931">
            <w:pPr>
              <w:spacing w:before="40" w:after="20"/>
              <w:jc w:val="right"/>
              <w:rPr>
                <w:rFonts w:cs="Arial"/>
                <w:sz w:val="18"/>
                <w:szCs w:val="18"/>
              </w:rPr>
            </w:pPr>
            <w:r w:rsidRPr="001D41EA">
              <w:rPr>
                <w:rFonts w:cs="Arial"/>
                <w:sz w:val="18"/>
                <w:szCs w:val="18"/>
              </w:rPr>
              <w:t>86,117,948</w:t>
            </w:r>
          </w:p>
        </w:tc>
        <w:tc>
          <w:tcPr>
            <w:tcW w:w="1701" w:type="dxa"/>
            <w:tcBorders>
              <w:top w:val="nil"/>
              <w:left w:val="nil"/>
              <w:bottom w:val="nil"/>
              <w:right w:val="nil"/>
            </w:tcBorders>
            <w:vAlign w:val="bottom"/>
          </w:tcPr>
          <w:p w14:paraId="1A895C60" w14:textId="5E9BD912" w:rsidR="00D84931" w:rsidRPr="001D41EA" w:rsidRDefault="00D84931" w:rsidP="00D84931">
            <w:pPr>
              <w:spacing w:before="40" w:after="20"/>
              <w:jc w:val="right"/>
              <w:rPr>
                <w:rFonts w:cs="Arial"/>
                <w:sz w:val="18"/>
                <w:szCs w:val="18"/>
              </w:rPr>
            </w:pPr>
            <w:r w:rsidRPr="001D41EA">
              <w:rPr>
                <w:rFonts w:cs="Arial"/>
                <w:sz w:val="18"/>
                <w:szCs w:val="18"/>
              </w:rPr>
              <w:t>13,624,535</w:t>
            </w:r>
          </w:p>
        </w:tc>
        <w:tc>
          <w:tcPr>
            <w:tcW w:w="1701" w:type="dxa"/>
            <w:tcBorders>
              <w:top w:val="nil"/>
              <w:left w:val="nil"/>
              <w:bottom w:val="nil"/>
              <w:right w:val="nil"/>
            </w:tcBorders>
            <w:shd w:val="clear" w:color="auto" w:fill="auto"/>
            <w:noWrap/>
            <w:vAlign w:val="bottom"/>
          </w:tcPr>
          <w:p w14:paraId="22A99E27" w14:textId="1BE378E8"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6024F863" w14:textId="00A22F4E" w:rsidR="00D84931" w:rsidRPr="001D41EA" w:rsidRDefault="00D84931" w:rsidP="00D84931">
            <w:pPr>
              <w:spacing w:before="40" w:after="20"/>
              <w:jc w:val="right"/>
              <w:rPr>
                <w:rFonts w:cs="Arial"/>
                <w:sz w:val="18"/>
                <w:szCs w:val="18"/>
              </w:rPr>
            </w:pPr>
            <w:r w:rsidRPr="001D41EA">
              <w:rPr>
                <w:rFonts w:cs="Arial"/>
                <w:sz w:val="18"/>
                <w:szCs w:val="18"/>
              </w:rPr>
              <w:t>99,742,483</w:t>
            </w:r>
          </w:p>
        </w:tc>
      </w:tr>
      <w:tr w:rsidR="00D84931" w:rsidRPr="001D41EA" w14:paraId="468CB60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1195295" w14:textId="77777777" w:rsidR="00D84931" w:rsidRPr="001D41EA" w:rsidRDefault="00D84931" w:rsidP="00D84931">
            <w:pPr>
              <w:spacing w:before="40" w:after="20"/>
              <w:rPr>
                <w:rFonts w:cs="Arial"/>
                <w:sz w:val="18"/>
                <w:szCs w:val="18"/>
              </w:rPr>
            </w:pPr>
            <w:r w:rsidRPr="001D41EA">
              <w:rPr>
                <w:rFonts w:cs="Arial"/>
                <w:sz w:val="18"/>
                <w:szCs w:val="18"/>
              </w:rPr>
              <w:t>Strathbogie S</w:t>
            </w:r>
          </w:p>
        </w:tc>
        <w:tc>
          <w:tcPr>
            <w:tcW w:w="1701" w:type="dxa"/>
            <w:tcBorders>
              <w:top w:val="nil"/>
              <w:left w:val="single" w:sz="18" w:space="0" w:color="5F497A" w:themeColor="accent4" w:themeShade="BF"/>
              <w:bottom w:val="nil"/>
              <w:right w:val="nil"/>
            </w:tcBorders>
            <w:shd w:val="clear" w:color="auto" w:fill="auto"/>
            <w:noWrap/>
            <w:vAlign w:val="bottom"/>
          </w:tcPr>
          <w:p w14:paraId="23820E13" w14:textId="68FD80B3" w:rsidR="00D84931" w:rsidRPr="001D41EA" w:rsidRDefault="00D84931" w:rsidP="00D84931">
            <w:pPr>
              <w:spacing w:before="40" w:after="20"/>
              <w:jc w:val="right"/>
              <w:rPr>
                <w:rFonts w:cs="Arial"/>
                <w:sz w:val="18"/>
                <w:szCs w:val="18"/>
              </w:rPr>
            </w:pPr>
            <w:r w:rsidRPr="001D41EA">
              <w:rPr>
                <w:rFonts w:cs="Arial"/>
                <w:sz w:val="18"/>
                <w:szCs w:val="18"/>
              </w:rPr>
              <w:t>9,610,684</w:t>
            </w:r>
          </w:p>
        </w:tc>
        <w:tc>
          <w:tcPr>
            <w:tcW w:w="1701" w:type="dxa"/>
            <w:tcBorders>
              <w:top w:val="nil"/>
              <w:left w:val="nil"/>
              <w:bottom w:val="nil"/>
              <w:right w:val="nil"/>
            </w:tcBorders>
            <w:vAlign w:val="bottom"/>
          </w:tcPr>
          <w:p w14:paraId="4F62B09D" w14:textId="603F4A2A" w:rsidR="00D84931" w:rsidRPr="001D41EA" w:rsidRDefault="00D84931" w:rsidP="00D84931">
            <w:pPr>
              <w:spacing w:before="40" w:after="20"/>
              <w:jc w:val="right"/>
              <w:rPr>
                <w:rFonts w:cs="Arial"/>
                <w:sz w:val="18"/>
                <w:szCs w:val="18"/>
              </w:rPr>
            </w:pPr>
            <w:r w:rsidRPr="001D41EA">
              <w:rPr>
                <w:rFonts w:cs="Arial"/>
                <w:sz w:val="18"/>
                <w:szCs w:val="18"/>
              </w:rPr>
              <w:t>900,565</w:t>
            </w:r>
          </w:p>
        </w:tc>
        <w:tc>
          <w:tcPr>
            <w:tcW w:w="1701" w:type="dxa"/>
            <w:tcBorders>
              <w:top w:val="nil"/>
              <w:left w:val="nil"/>
              <w:bottom w:val="nil"/>
              <w:right w:val="nil"/>
            </w:tcBorders>
            <w:shd w:val="clear" w:color="auto" w:fill="auto"/>
            <w:noWrap/>
            <w:vAlign w:val="bottom"/>
          </w:tcPr>
          <w:p w14:paraId="181E5C57" w14:textId="770D0B37" w:rsidR="00D84931" w:rsidRPr="001D41EA" w:rsidRDefault="00D84931" w:rsidP="00D84931">
            <w:pPr>
              <w:spacing w:before="40" w:after="20"/>
              <w:jc w:val="right"/>
              <w:rPr>
                <w:rFonts w:cs="Arial"/>
                <w:sz w:val="18"/>
                <w:szCs w:val="18"/>
              </w:rPr>
            </w:pPr>
            <w:r w:rsidRPr="001D41EA">
              <w:rPr>
                <w:rFonts w:cs="Arial"/>
                <w:sz w:val="18"/>
                <w:szCs w:val="18"/>
              </w:rPr>
              <w:t>7,001,354</w:t>
            </w:r>
          </w:p>
        </w:tc>
        <w:tc>
          <w:tcPr>
            <w:tcW w:w="1701" w:type="dxa"/>
            <w:tcBorders>
              <w:top w:val="nil"/>
              <w:left w:val="nil"/>
              <w:bottom w:val="nil"/>
              <w:right w:val="nil"/>
            </w:tcBorders>
            <w:vAlign w:val="bottom"/>
          </w:tcPr>
          <w:p w14:paraId="5FC93F42" w14:textId="4A7434A4" w:rsidR="00D84931" w:rsidRPr="001D41EA" w:rsidRDefault="00D84931" w:rsidP="00D84931">
            <w:pPr>
              <w:spacing w:before="40" w:after="20"/>
              <w:jc w:val="right"/>
              <w:rPr>
                <w:rFonts w:cs="Arial"/>
                <w:sz w:val="18"/>
                <w:szCs w:val="18"/>
              </w:rPr>
            </w:pPr>
            <w:r w:rsidRPr="001D41EA">
              <w:rPr>
                <w:rFonts w:cs="Arial"/>
                <w:sz w:val="18"/>
                <w:szCs w:val="18"/>
              </w:rPr>
              <w:t>17,512,602</w:t>
            </w:r>
          </w:p>
        </w:tc>
      </w:tr>
      <w:tr w:rsidR="00D84931" w:rsidRPr="001D41EA" w14:paraId="7ABDF85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F2FBF00" w14:textId="77777777" w:rsidR="00D84931" w:rsidRPr="001D41EA" w:rsidRDefault="00D84931" w:rsidP="00D84931">
            <w:pPr>
              <w:spacing w:before="40" w:after="20"/>
              <w:rPr>
                <w:rFonts w:cs="Arial"/>
                <w:sz w:val="18"/>
                <w:szCs w:val="18"/>
              </w:rPr>
            </w:pPr>
            <w:r w:rsidRPr="001D41EA">
              <w:rPr>
                <w:rFonts w:cs="Arial"/>
                <w:sz w:val="18"/>
                <w:szCs w:val="18"/>
              </w:rPr>
              <w:t>Surf Coast S</w:t>
            </w:r>
          </w:p>
        </w:tc>
        <w:tc>
          <w:tcPr>
            <w:tcW w:w="1701" w:type="dxa"/>
            <w:tcBorders>
              <w:top w:val="nil"/>
              <w:left w:val="single" w:sz="18" w:space="0" w:color="5F497A" w:themeColor="accent4" w:themeShade="BF"/>
              <w:bottom w:val="nil"/>
              <w:right w:val="nil"/>
            </w:tcBorders>
            <w:shd w:val="clear" w:color="auto" w:fill="auto"/>
            <w:noWrap/>
            <w:vAlign w:val="bottom"/>
          </w:tcPr>
          <w:p w14:paraId="05BF2D08" w14:textId="67145490" w:rsidR="00D84931" w:rsidRPr="001D41EA" w:rsidRDefault="00D84931" w:rsidP="00D84931">
            <w:pPr>
              <w:spacing w:before="40" w:after="20"/>
              <w:jc w:val="right"/>
              <w:rPr>
                <w:rFonts w:cs="Arial"/>
                <w:sz w:val="18"/>
                <w:szCs w:val="18"/>
              </w:rPr>
            </w:pPr>
            <w:r w:rsidRPr="001D41EA">
              <w:rPr>
                <w:rFonts w:cs="Arial"/>
                <w:sz w:val="18"/>
                <w:szCs w:val="18"/>
              </w:rPr>
              <w:t>40,441,893</w:t>
            </w:r>
          </w:p>
        </w:tc>
        <w:tc>
          <w:tcPr>
            <w:tcW w:w="1701" w:type="dxa"/>
            <w:tcBorders>
              <w:top w:val="nil"/>
              <w:left w:val="nil"/>
              <w:bottom w:val="nil"/>
              <w:right w:val="nil"/>
            </w:tcBorders>
            <w:vAlign w:val="bottom"/>
          </w:tcPr>
          <w:p w14:paraId="122F5111" w14:textId="11FD021D" w:rsidR="00D84931" w:rsidRPr="001D41EA" w:rsidRDefault="00D84931" w:rsidP="00D84931">
            <w:pPr>
              <w:spacing w:before="40" w:after="20"/>
              <w:jc w:val="right"/>
              <w:rPr>
                <w:rFonts w:cs="Arial"/>
                <w:sz w:val="18"/>
                <w:szCs w:val="18"/>
              </w:rPr>
            </w:pPr>
            <w:r w:rsidRPr="001D41EA">
              <w:rPr>
                <w:rFonts w:cs="Arial"/>
                <w:sz w:val="18"/>
                <w:szCs w:val="18"/>
              </w:rPr>
              <w:t>3,420,329</w:t>
            </w:r>
          </w:p>
        </w:tc>
        <w:tc>
          <w:tcPr>
            <w:tcW w:w="1701" w:type="dxa"/>
            <w:tcBorders>
              <w:top w:val="nil"/>
              <w:left w:val="nil"/>
              <w:bottom w:val="nil"/>
              <w:right w:val="nil"/>
            </w:tcBorders>
            <w:shd w:val="clear" w:color="auto" w:fill="auto"/>
            <w:noWrap/>
            <w:vAlign w:val="bottom"/>
          </w:tcPr>
          <w:p w14:paraId="3C45C5C1" w14:textId="3246D84B" w:rsidR="00D84931" w:rsidRPr="001D41EA" w:rsidRDefault="00D84931" w:rsidP="00D84931">
            <w:pPr>
              <w:spacing w:before="40" w:after="20"/>
              <w:jc w:val="right"/>
              <w:rPr>
                <w:rFonts w:cs="Arial"/>
                <w:sz w:val="18"/>
                <w:szCs w:val="18"/>
              </w:rPr>
            </w:pPr>
            <w:r w:rsidRPr="001D41EA">
              <w:rPr>
                <w:rFonts w:cs="Arial"/>
                <w:sz w:val="18"/>
                <w:szCs w:val="18"/>
              </w:rPr>
              <w:t>2,539,167</w:t>
            </w:r>
          </w:p>
        </w:tc>
        <w:tc>
          <w:tcPr>
            <w:tcW w:w="1701" w:type="dxa"/>
            <w:tcBorders>
              <w:top w:val="nil"/>
              <w:left w:val="nil"/>
              <w:bottom w:val="nil"/>
              <w:right w:val="nil"/>
            </w:tcBorders>
            <w:vAlign w:val="bottom"/>
          </w:tcPr>
          <w:p w14:paraId="5BC04904" w14:textId="62E49334" w:rsidR="00D84931" w:rsidRPr="001D41EA" w:rsidRDefault="00D84931" w:rsidP="00D84931">
            <w:pPr>
              <w:spacing w:before="40" w:after="20"/>
              <w:jc w:val="right"/>
              <w:rPr>
                <w:rFonts w:cs="Arial"/>
                <w:sz w:val="18"/>
                <w:szCs w:val="18"/>
              </w:rPr>
            </w:pPr>
            <w:r w:rsidRPr="001D41EA">
              <w:rPr>
                <w:rFonts w:cs="Arial"/>
                <w:sz w:val="18"/>
                <w:szCs w:val="18"/>
              </w:rPr>
              <w:t>46,401,389</w:t>
            </w:r>
          </w:p>
        </w:tc>
      </w:tr>
      <w:tr w:rsidR="00D84931" w:rsidRPr="001D41EA" w14:paraId="46C9CF1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4EE06C9" w14:textId="77777777" w:rsidR="00D84931" w:rsidRPr="001D41EA" w:rsidRDefault="00D84931" w:rsidP="00D84931">
            <w:pPr>
              <w:spacing w:before="40" w:after="20"/>
              <w:rPr>
                <w:rFonts w:cs="Arial"/>
                <w:sz w:val="18"/>
                <w:szCs w:val="18"/>
              </w:rPr>
            </w:pPr>
            <w:r w:rsidRPr="001D41EA">
              <w:rPr>
                <w:rFonts w:cs="Arial"/>
                <w:sz w:val="18"/>
                <w:szCs w:val="18"/>
              </w:rPr>
              <w:t>Swan Hill RC</w:t>
            </w:r>
          </w:p>
        </w:tc>
        <w:tc>
          <w:tcPr>
            <w:tcW w:w="1701" w:type="dxa"/>
            <w:tcBorders>
              <w:top w:val="nil"/>
              <w:left w:val="single" w:sz="18" w:space="0" w:color="5F497A" w:themeColor="accent4" w:themeShade="BF"/>
              <w:bottom w:val="nil"/>
              <w:right w:val="nil"/>
            </w:tcBorders>
            <w:shd w:val="clear" w:color="auto" w:fill="auto"/>
            <w:noWrap/>
            <w:vAlign w:val="bottom"/>
          </w:tcPr>
          <w:p w14:paraId="1A8748BB" w14:textId="75F0298C" w:rsidR="00D84931" w:rsidRPr="001D41EA" w:rsidRDefault="00D84931" w:rsidP="00D84931">
            <w:pPr>
              <w:spacing w:before="40" w:after="20"/>
              <w:jc w:val="right"/>
              <w:rPr>
                <w:rFonts w:cs="Arial"/>
                <w:sz w:val="18"/>
                <w:szCs w:val="18"/>
              </w:rPr>
            </w:pPr>
            <w:r w:rsidRPr="001D41EA">
              <w:rPr>
                <w:rFonts w:cs="Arial"/>
                <w:sz w:val="18"/>
                <w:szCs w:val="18"/>
              </w:rPr>
              <w:t>11,968,054</w:t>
            </w:r>
          </w:p>
        </w:tc>
        <w:tc>
          <w:tcPr>
            <w:tcW w:w="1701" w:type="dxa"/>
            <w:tcBorders>
              <w:top w:val="nil"/>
              <w:left w:val="nil"/>
              <w:bottom w:val="nil"/>
              <w:right w:val="nil"/>
            </w:tcBorders>
            <w:vAlign w:val="bottom"/>
          </w:tcPr>
          <w:p w14:paraId="52FDDD23" w14:textId="1976E323" w:rsidR="00D84931" w:rsidRPr="001D41EA" w:rsidRDefault="00D84931" w:rsidP="00D84931">
            <w:pPr>
              <w:spacing w:before="40" w:after="20"/>
              <w:jc w:val="right"/>
              <w:rPr>
                <w:rFonts w:cs="Arial"/>
                <w:sz w:val="18"/>
                <w:szCs w:val="18"/>
              </w:rPr>
            </w:pPr>
            <w:r w:rsidRPr="001D41EA">
              <w:rPr>
                <w:rFonts w:cs="Arial"/>
                <w:sz w:val="18"/>
                <w:szCs w:val="18"/>
              </w:rPr>
              <w:t>2,517,638</w:t>
            </w:r>
          </w:p>
        </w:tc>
        <w:tc>
          <w:tcPr>
            <w:tcW w:w="1701" w:type="dxa"/>
            <w:tcBorders>
              <w:top w:val="nil"/>
              <w:left w:val="nil"/>
              <w:bottom w:val="nil"/>
              <w:right w:val="nil"/>
            </w:tcBorders>
            <w:shd w:val="clear" w:color="auto" w:fill="auto"/>
            <w:noWrap/>
            <w:vAlign w:val="bottom"/>
          </w:tcPr>
          <w:p w14:paraId="7019722F" w14:textId="00F47230" w:rsidR="00D84931" w:rsidRPr="001D41EA" w:rsidRDefault="00D84931" w:rsidP="00D84931">
            <w:pPr>
              <w:spacing w:before="40" w:after="20"/>
              <w:jc w:val="right"/>
              <w:rPr>
                <w:rFonts w:cs="Arial"/>
                <w:sz w:val="18"/>
                <w:szCs w:val="18"/>
              </w:rPr>
            </w:pPr>
            <w:r w:rsidRPr="001D41EA">
              <w:rPr>
                <w:rFonts w:cs="Arial"/>
                <w:sz w:val="18"/>
                <w:szCs w:val="18"/>
              </w:rPr>
              <w:t>10,608,402</w:t>
            </w:r>
          </w:p>
        </w:tc>
        <w:tc>
          <w:tcPr>
            <w:tcW w:w="1701" w:type="dxa"/>
            <w:tcBorders>
              <w:top w:val="nil"/>
              <w:left w:val="nil"/>
              <w:bottom w:val="nil"/>
              <w:right w:val="nil"/>
            </w:tcBorders>
            <w:vAlign w:val="bottom"/>
          </w:tcPr>
          <w:p w14:paraId="1B3E798D" w14:textId="3CCD3EF4" w:rsidR="00D84931" w:rsidRPr="001D41EA" w:rsidRDefault="00D84931" w:rsidP="00D84931">
            <w:pPr>
              <w:spacing w:before="40" w:after="20"/>
              <w:jc w:val="right"/>
              <w:rPr>
                <w:rFonts w:cs="Arial"/>
                <w:sz w:val="18"/>
                <w:szCs w:val="18"/>
              </w:rPr>
            </w:pPr>
            <w:r w:rsidRPr="001D41EA">
              <w:rPr>
                <w:rFonts w:cs="Arial"/>
                <w:sz w:val="18"/>
                <w:szCs w:val="18"/>
              </w:rPr>
              <w:t>25,094,093</w:t>
            </w:r>
          </w:p>
        </w:tc>
      </w:tr>
      <w:tr w:rsidR="00D84931" w:rsidRPr="001D41EA" w14:paraId="154115B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71AA063" w14:textId="77777777" w:rsidR="00D84931" w:rsidRPr="001D41EA" w:rsidRDefault="00D84931" w:rsidP="00D84931">
            <w:pPr>
              <w:spacing w:before="40" w:after="20"/>
              <w:rPr>
                <w:rFonts w:cs="Arial"/>
                <w:sz w:val="18"/>
                <w:szCs w:val="18"/>
              </w:rPr>
            </w:pPr>
            <w:r w:rsidRPr="001D41EA">
              <w:rPr>
                <w:rFonts w:cs="Arial"/>
                <w:sz w:val="18"/>
                <w:szCs w:val="18"/>
              </w:rPr>
              <w:t>Towong S</w:t>
            </w:r>
          </w:p>
        </w:tc>
        <w:tc>
          <w:tcPr>
            <w:tcW w:w="1701" w:type="dxa"/>
            <w:tcBorders>
              <w:top w:val="nil"/>
              <w:left w:val="single" w:sz="18" w:space="0" w:color="5F497A" w:themeColor="accent4" w:themeShade="BF"/>
              <w:bottom w:val="nil"/>
              <w:right w:val="nil"/>
            </w:tcBorders>
            <w:shd w:val="clear" w:color="auto" w:fill="auto"/>
            <w:noWrap/>
            <w:vAlign w:val="bottom"/>
          </w:tcPr>
          <w:p w14:paraId="6387D98B" w14:textId="28F4F43B" w:rsidR="00D84931" w:rsidRPr="001D41EA" w:rsidRDefault="00D84931" w:rsidP="00D84931">
            <w:pPr>
              <w:spacing w:before="40" w:after="20"/>
              <w:jc w:val="right"/>
              <w:rPr>
                <w:rFonts w:cs="Arial"/>
                <w:sz w:val="18"/>
                <w:szCs w:val="18"/>
              </w:rPr>
            </w:pPr>
            <w:r w:rsidRPr="001D41EA">
              <w:rPr>
                <w:rFonts w:cs="Arial"/>
                <w:sz w:val="18"/>
                <w:szCs w:val="18"/>
              </w:rPr>
              <w:t>2,554,557</w:t>
            </w:r>
          </w:p>
        </w:tc>
        <w:tc>
          <w:tcPr>
            <w:tcW w:w="1701" w:type="dxa"/>
            <w:tcBorders>
              <w:top w:val="nil"/>
              <w:left w:val="nil"/>
              <w:bottom w:val="nil"/>
              <w:right w:val="nil"/>
            </w:tcBorders>
            <w:vAlign w:val="bottom"/>
          </w:tcPr>
          <w:p w14:paraId="6DB192B1" w14:textId="584A355A" w:rsidR="00D84931" w:rsidRPr="001D41EA" w:rsidRDefault="00D84931" w:rsidP="00D84931">
            <w:pPr>
              <w:spacing w:before="40" w:after="20"/>
              <w:jc w:val="right"/>
              <w:rPr>
                <w:rFonts w:cs="Arial"/>
                <w:sz w:val="18"/>
                <w:szCs w:val="18"/>
              </w:rPr>
            </w:pPr>
            <w:r w:rsidRPr="001D41EA">
              <w:rPr>
                <w:rFonts w:cs="Arial"/>
                <w:sz w:val="18"/>
                <w:szCs w:val="18"/>
              </w:rPr>
              <w:t>313,209</w:t>
            </w:r>
          </w:p>
        </w:tc>
        <w:tc>
          <w:tcPr>
            <w:tcW w:w="1701" w:type="dxa"/>
            <w:tcBorders>
              <w:top w:val="nil"/>
              <w:left w:val="nil"/>
              <w:bottom w:val="nil"/>
              <w:right w:val="nil"/>
            </w:tcBorders>
            <w:shd w:val="clear" w:color="auto" w:fill="auto"/>
            <w:noWrap/>
            <w:vAlign w:val="bottom"/>
          </w:tcPr>
          <w:p w14:paraId="50559167" w14:textId="31EDA732" w:rsidR="00D84931" w:rsidRPr="001D41EA" w:rsidRDefault="00D84931" w:rsidP="00D84931">
            <w:pPr>
              <w:spacing w:before="40" w:after="20"/>
              <w:jc w:val="right"/>
              <w:rPr>
                <w:rFonts w:cs="Arial"/>
                <w:sz w:val="18"/>
                <w:szCs w:val="18"/>
              </w:rPr>
            </w:pPr>
            <w:r w:rsidRPr="001D41EA">
              <w:rPr>
                <w:rFonts w:cs="Arial"/>
                <w:sz w:val="18"/>
                <w:szCs w:val="18"/>
              </w:rPr>
              <w:t>4,737,056</w:t>
            </w:r>
          </w:p>
        </w:tc>
        <w:tc>
          <w:tcPr>
            <w:tcW w:w="1701" w:type="dxa"/>
            <w:tcBorders>
              <w:top w:val="nil"/>
              <w:left w:val="nil"/>
              <w:bottom w:val="nil"/>
              <w:right w:val="nil"/>
            </w:tcBorders>
            <w:vAlign w:val="bottom"/>
          </w:tcPr>
          <w:p w14:paraId="7DB7F50E" w14:textId="0533F96B" w:rsidR="00D84931" w:rsidRPr="001D41EA" w:rsidRDefault="00D84931" w:rsidP="00D84931">
            <w:pPr>
              <w:spacing w:before="40" w:after="20"/>
              <w:jc w:val="right"/>
              <w:rPr>
                <w:rFonts w:cs="Arial"/>
                <w:sz w:val="18"/>
                <w:szCs w:val="18"/>
              </w:rPr>
            </w:pPr>
            <w:r w:rsidRPr="001D41EA">
              <w:rPr>
                <w:rFonts w:cs="Arial"/>
                <w:sz w:val="18"/>
                <w:szCs w:val="18"/>
              </w:rPr>
              <w:t>7,604,822</w:t>
            </w:r>
          </w:p>
        </w:tc>
      </w:tr>
      <w:tr w:rsidR="00D84931" w:rsidRPr="001D41EA" w14:paraId="0870165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CEB0297" w14:textId="77777777" w:rsidR="00D84931" w:rsidRPr="001D41EA" w:rsidRDefault="00D84931" w:rsidP="00D84931">
            <w:pPr>
              <w:spacing w:before="40" w:after="20"/>
              <w:rPr>
                <w:rFonts w:cs="Arial"/>
                <w:sz w:val="18"/>
                <w:szCs w:val="18"/>
              </w:rPr>
            </w:pPr>
            <w:r w:rsidRPr="001D41EA">
              <w:rPr>
                <w:rFonts w:cs="Arial"/>
                <w:sz w:val="18"/>
                <w:szCs w:val="18"/>
              </w:rPr>
              <w:t>Wangaratta RC</w:t>
            </w:r>
          </w:p>
        </w:tc>
        <w:tc>
          <w:tcPr>
            <w:tcW w:w="1701" w:type="dxa"/>
            <w:tcBorders>
              <w:top w:val="nil"/>
              <w:left w:val="single" w:sz="18" w:space="0" w:color="5F497A" w:themeColor="accent4" w:themeShade="BF"/>
              <w:bottom w:val="nil"/>
              <w:right w:val="nil"/>
            </w:tcBorders>
            <w:shd w:val="clear" w:color="auto" w:fill="auto"/>
            <w:noWrap/>
            <w:vAlign w:val="bottom"/>
          </w:tcPr>
          <w:p w14:paraId="5ECF5762" w14:textId="35F41F97" w:rsidR="00D84931" w:rsidRPr="001D41EA" w:rsidRDefault="00D84931" w:rsidP="00D84931">
            <w:pPr>
              <w:spacing w:before="40" w:after="20"/>
              <w:jc w:val="right"/>
              <w:rPr>
                <w:rFonts w:cs="Arial"/>
                <w:sz w:val="18"/>
                <w:szCs w:val="18"/>
              </w:rPr>
            </w:pPr>
            <w:r w:rsidRPr="001D41EA">
              <w:rPr>
                <w:rFonts w:cs="Arial"/>
                <w:sz w:val="18"/>
                <w:szCs w:val="18"/>
              </w:rPr>
              <w:t>18,887,145</w:t>
            </w:r>
          </w:p>
        </w:tc>
        <w:tc>
          <w:tcPr>
            <w:tcW w:w="1701" w:type="dxa"/>
            <w:tcBorders>
              <w:top w:val="nil"/>
              <w:left w:val="nil"/>
              <w:bottom w:val="nil"/>
              <w:right w:val="nil"/>
            </w:tcBorders>
            <w:vAlign w:val="bottom"/>
          </w:tcPr>
          <w:p w14:paraId="5358469B" w14:textId="716CB3A7" w:rsidR="00D84931" w:rsidRPr="001D41EA" w:rsidRDefault="00D84931" w:rsidP="00D84931">
            <w:pPr>
              <w:spacing w:before="40" w:after="20"/>
              <w:jc w:val="right"/>
              <w:rPr>
                <w:rFonts w:cs="Arial"/>
                <w:sz w:val="18"/>
                <w:szCs w:val="18"/>
              </w:rPr>
            </w:pPr>
            <w:r w:rsidRPr="001D41EA">
              <w:rPr>
                <w:rFonts w:cs="Arial"/>
                <w:sz w:val="18"/>
                <w:szCs w:val="18"/>
              </w:rPr>
              <w:t>4,390,668</w:t>
            </w:r>
          </w:p>
        </w:tc>
        <w:tc>
          <w:tcPr>
            <w:tcW w:w="1701" w:type="dxa"/>
            <w:tcBorders>
              <w:top w:val="nil"/>
              <w:left w:val="nil"/>
              <w:bottom w:val="nil"/>
              <w:right w:val="nil"/>
            </w:tcBorders>
            <w:shd w:val="clear" w:color="auto" w:fill="auto"/>
            <w:noWrap/>
            <w:vAlign w:val="bottom"/>
          </w:tcPr>
          <w:p w14:paraId="7C9999BF" w14:textId="7234F8AA" w:rsidR="00D84931" w:rsidRPr="001D41EA" w:rsidRDefault="00D84931" w:rsidP="00D84931">
            <w:pPr>
              <w:spacing w:before="40" w:after="20"/>
              <w:jc w:val="right"/>
              <w:rPr>
                <w:rFonts w:cs="Arial"/>
                <w:sz w:val="18"/>
                <w:szCs w:val="18"/>
              </w:rPr>
            </w:pPr>
            <w:r w:rsidRPr="001D41EA">
              <w:rPr>
                <w:rFonts w:cs="Arial"/>
                <w:sz w:val="18"/>
                <w:szCs w:val="18"/>
              </w:rPr>
              <w:t>5,509,413</w:t>
            </w:r>
          </w:p>
        </w:tc>
        <w:tc>
          <w:tcPr>
            <w:tcW w:w="1701" w:type="dxa"/>
            <w:tcBorders>
              <w:top w:val="nil"/>
              <w:left w:val="nil"/>
              <w:bottom w:val="nil"/>
              <w:right w:val="nil"/>
            </w:tcBorders>
            <w:vAlign w:val="bottom"/>
          </w:tcPr>
          <w:p w14:paraId="2BAC34BE" w14:textId="75347A48" w:rsidR="00D84931" w:rsidRPr="001D41EA" w:rsidRDefault="00D84931" w:rsidP="00D84931">
            <w:pPr>
              <w:spacing w:before="40" w:after="20"/>
              <w:jc w:val="right"/>
              <w:rPr>
                <w:rFonts w:cs="Arial"/>
                <w:sz w:val="18"/>
                <w:szCs w:val="18"/>
              </w:rPr>
            </w:pPr>
            <w:r w:rsidRPr="001D41EA">
              <w:rPr>
                <w:rFonts w:cs="Arial"/>
                <w:sz w:val="18"/>
                <w:szCs w:val="18"/>
              </w:rPr>
              <w:t>28,787,226</w:t>
            </w:r>
          </w:p>
        </w:tc>
      </w:tr>
      <w:tr w:rsidR="00D84931" w:rsidRPr="001D41EA" w14:paraId="1EFF30C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F160615" w14:textId="77777777" w:rsidR="00D84931" w:rsidRPr="001D41EA" w:rsidRDefault="00D84931" w:rsidP="00D84931">
            <w:pPr>
              <w:spacing w:before="40" w:after="20"/>
              <w:rPr>
                <w:rFonts w:cs="Arial"/>
                <w:sz w:val="18"/>
                <w:szCs w:val="18"/>
              </w:rPr>
            </w:pPr>
            <w:r w:rsidRPr="001D41EA">
              <w:rPr>
                <w:rFonts w:cs="Arial"/>
                <w:sz w:val="18"/>
                <w:szCs w:val="18"/>
              </w:rPr>
              <w:t>Warrnambool C</w:t>
            </w:r>
          </w:p>
        </w:tc>
        <w:tc>
          <w:tcPr>
            <w:tcW w:w="1701" w:type="dxa"/>
            <w:tcBorders>
              <w:top w:val="nil"/>
              <w:left w:val="single" w:sz="18" w:space="0" w:color="5F497A" w:themeColor="accent4" w:themeShade="BF"/>
              <w:bottom w:val="nil"/>
              <w:right w:val="nil"/>
            </w:tcBorders>
            <w:shd w:val="clear" w:color="auto" w:fill="auto"/>
            <w:noWrap/>
            <w:vAlign w:val="bottom"/>
          </w:tcPr>
          <w:p w14:paraId="1AF444D9" w14:textId="794404FA" w:rsidR="00D84931" w:rsidRPr="001D41EA" w:rsidRDefault="00D84931" w:rsidP="00D84931">
            <w:pPr>
              <w:spacing w:before="40" w:after="20"/>
              <w:jc w:val="right"/>
              <w:rPr>
                <w:rFonts w:cs="Arial"/>
                <w:sz w:val="18"/>
                <w:szCs w:val="18"/>
              </w:rPr>
            </w:pPr>
            <w:r w:rsidRPr="001D41EA">
              <w:rPr>
                <w:rFonts w:cs="Arial"/>
                <w:sz w:val="18"/>
                <w:szCs w:val="18"/>
              </w:rPr>
              <w:t>26,077,337</w:t>
            </w:r>
          </w:p>
        </w:tc>
        <w:tc>
          <w:tcPr>
            <w:tcW w:w="1701" w:type="dxa"/>
            <w:tcBorders>
              <w:top w:val="nil"/>
              <w:left w:val="nil"/>
              <w:bottom w:val="nil"/>
              <w:right w:val="nil"/>
            </w:tcBorders>
            <w:vAlign w:val="bottom"/>
          </w:tcPr>
          <w:p w14:paraId="2801FDEB" w14:textId="417FEF85" w:rsidR="00D84931" w:rsidRPr="001D41EA" w:rsidRDefault="00D84931" w:rsidP="00D84931">
            <w:pPr>
              <w:spacing w:before="40" w:after="20"/>
              <w:jc w:val="right"/>
              <w:rPr>
                <w:rFonts w:cs="Arial"/>
                <w:sz w:val="18"/>
                <w:szCs w:val="18"/>
              </w:rPr>
            </w:pPr>
            <w:r w:rsidRPr="001D41EA">
              <w:rPr>
                <w:rFonts w:cs="Arial"/>
                <w:sz w:val="18"/>
                <w:szCs w:val="18"/>
              </w:rPr>
              <w:t>7,007,142</w:t>
            </w:r>
          </w:p>
        </w:tc>
        <w:tc>
          <w:tcPr>
            <w:tcW w:w="1701" w:type="dxa"/>
            <w:tcBorders>
              <w:top w:val="nil"/>
              <w:left w:val="nil"/>
              <w:bottom w:val="nil"/>
              <w:right w:val="nil"/>
            </w:tcBorders>
            <w:shd w:val="clear" w:color="auto" w:fill="auto"/>
            <w:noWrap/>
            <w:vAlign w:val="bottom"/>
          </w:tcPr>
          <w:p w14:paraId="6F76E5FA" w14:textId="64148F2A" w:rsidR="00D84931" w:rsidRPr="001D41EA" w:rsidRDefault="00D84931" w:rsidP="00D84931">
            <w:pPr>
              <w:spacing w:before="40" w:after="20"/>
              <w:jc w:val="right"/>
              <w:rPr>
                <w:rFonts w:cs="Arial"/>
                <w:sz w:val="18"/>
                <w:szCs w:val="18"/>
              </w:rPr>
            </w:pPr>
            <w:r w:rsidRPr="001D41EA">
              <w:rPr>
                <w:rFonts w:cs="Arial"/>
                <w:sz w:val="18"/>
                <w:szCs w:val="18"/>
              </w:rPr>
              <w:t>470,088</w:t>
            </w:r>
          </w:p>
        </w:tc>
        <w:tc>
          <w:tcPr>
            <w:tcW w:w="1701" w:type="dxa"/>
            <w:tcBorders>
              <w:top w:val="nil"/>
              <w:left w:val="nil"/>
              <w:bottom w:val="nil"/>
              <w:right w:val="nil"/>
            </w:tcBorders>
            <w:vAlign w:val="bottom"/>
          </w:tcPr>
          <w:p w14:paraId="3F619E35" w14:textId="03C533E6" w:rsidR="00D84931" w:rsidRPr="001D41EA" w:rsidRDefault="00D84931" w:rsidP="00D84931">
            <w:pPr>
              <w:spacing w:before="40" w:after="20"/>
              <w:jc w:val="right"/>
              <w:rPr>
                <w:rFonts w:cs="Arial"/>
                <w:sz w:val="18"/>
                <w:szCs w:val="18"/>
              </w:rPr>
            </w:pPr>
            <w:r w:rsidRPr="001D41EA">
              <w:rPr>
                <w:rFonts w:cs="Arial"/>
                <w:sz w:val="18"/>
                <w:szCs w:val="18"/>
              </w:rPr>
              <w:t>33,554,567</w:t>
            </w:r>
          </w:p>
        </w:tc>
      </w:tr>
      <w:tr w:rsidR="00D84931" w:rsidRPr="001D41EA" w14:paraId="3FC7531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EFFB7E9" w14:textId="77777777" w:rsidR="00D84931" w:rsidRPr="001D41EA" w:rsidRDefault="00D84931" w:rsidP="00D84931">
            <w:pPr>
              <w:spacing w:before="40" w:after="20"/>
              <w:rPr>
                <w:rFonts w:cs="Arial"/>
                <w:sz w:val="18"/>
                <w:szCs w:val="18"/>
              </w:rPr>
            </w:pPr>
            <w:r w:rsidRPr="001D41EA">
              <w:rPr>
                <w:rFonts w:cs="Arial"/>
                <w:sz w:val="18"/>
                <w:szCs w:val="18"/>
              </w:rPr>
              <w:t>Wellington S</w:t>
            </w:r>
          </w:p>
        </w:tc>
        <w:tc>
          <w:tcPr>
            <w:tcW w:w="1701" w:type="dxa"/>
            <w:tcBorders>
              <w:top w:val="nil"/>
              <w:left w:val="single" w:sz="18" w:space="0" w:color="5F497A" w:themeColor="accent4" w:themeShade="BF"/>
              <w:bottom w:val="nil"/>
              <w:right w:val="nil"/>
            </w:tcBorders>
            <w:shd w:val="clear" w:color="auto" w:fill="auto"/>
            <w:noWrap/>
            <w:vAlign w:val="bottom"/>
          </w:tcPr>
          <w:p w14:paraId="733F2927" w14:textId="3F64B8C6" w:rsidR="00D84931" w:rsidRPr="001D41EA" w:rsidRDefault="00D84931" w:rsidP="00D84931">
            <w:pPr>
              <w:spacing w:before="40" w:after="20"/>
              <w:jc w:val="right"/>
              <w:rPr>
                <w:rFonts w:cs="Arial"/>
                <w:sz w:val="18"/>
                <w:szCs w:val="18"/>
              </w:rPr>
            </w:pPr>
            <w:r w:rsidRPr="001D41EA">
              <w:rPr>
                <w:rFonts w:cs="Arial"/>
                <w:sz w:val="18"/>
                <w:szCs w:val="18"/>
              </w:rPr>
              <w:t>34,328,235</w:t>
            </w:r>
          </w:p>
        </w:tc>
        <w:tc>
          <w:tcPr>
            <w:tcW w:w="1701" w:type="dxa"/>
            <w:tcBorders>
              <w:top w:val="nil"/>
              <w:left w:val="nil"/>
              <w:bottom w:val="nil"/>
              <w:right w:val="nil"/>
            </w:tcBorders>
            <w:vAlign w:val="bottom"/>
          </w:tcPr>
          <w:p w14:paraId="591AB042" w14:textId="161162F1" w:rsidR="00D84931" w:rsidRPr="001D41EA" w:rsidRDefault="00D84931" w:rsidP="00D84931">
            <w:pPr>
              <w:spacing w:before="40" w:after="20"/>
              <w:jc w:val="right"/>
              <w:rPr>
                <w:rFonts w:cs="Arial"/>
                <w:sz w:val="18"/>
                <w:szCs w:val="18"/>
              </w:rPr>
            </w:pPr>
            <w:r w:rsidRPr="001D41EA">
              <w:rPr>
                <w:rFonts w:cs="Arial"/>
                <w:sz w:val="18"/>
                <w:szCs w:val="18"/>
              </w:rPr>
              <w:t>10,384,704</w:t>
            </w:r>
          </w:p>
        </w:tc>
        <w:tc>
          <w:tcPr>
            <w:tcW w:w="1701" w:type="dxa"/>
            <w:tcBorders>
              <w:top w:val="nil"/>
              <w:left w:val="nil"/>
              <w:bottom w:val="nil"/>
              <w:right w:val="nil"/>
            </w:tcBorders>
            <w:shd w:val="clear" w:color="auto" w:fill="auto"/>
            <w:noWrap/>
            <w:vAlign w:val="bottom"/>
          </w:tcPr>
          <w:p w14:paraId="6FE8ADD0" w14:textId="340D7751" w:rsidR="00D84931" w:rsidRPr="001D41EA" w:rsidRDefault="00D84931" w:rsidP="00D84931">
            <w:pPr>
              <w:spacing w:before="40" w:after="20"/>
              <w:jc w:val="right"/>
              <w:rPr>
                <w:rFonts w:cs="Arial"/>
                <w:sz w:val="18"/>
                <w:szCs w:val="18"/>
              </w:rPr>
            </w:pPr>
            <w:r w:rsidRPr="001D41EA">
              <w:rPr>
                <w:rFonts w:cs="Arial"/>
                <w:sz w:val="18"/>
                <w:szCs w:val="18"/>
              </w:rPr>
              <w:t>9,514,540</w:t>
            </w:r>
          </w:p>
        </w:tc>
        <w:tc>
          <w:tcPr>
            <w:tcW w:w="1701" w:type="dxa"/>
            <w:tcBorders>
              <w:top w:val="nil"/>
              <w:left w:val="nil"/>
              <w:bottom w:val="nil"/>
              <w:right w:val="nil"/>
            </w:tcBorders>
            <w:vAlign w:val="bottom"/>
          </w:tcPr>
          <w:p w14:paraId="4C60FC99" w14:textId="03A72802" w:rsidR="00D84931" w:rsidRPr="001D41EA" w:rsidRDefault="00D84931" w:rsidP="00D84931">
            <w:pPr>
              <w:spacing w:before="40" w:after="20"/>
              <w:jc w:val="right"/>
              <w:rPr>
                <w:rFonts w:cs="Arial"/>
                <w:sz w:val="18"/>
                <w:szCs w:val="18"/>
              </w:rPr>
            </w:pPr>
            <w:r w:rsidRPr="001D41EA">
              <w:rPr>
                <w:rFonts w:cs="Arial"/>
                <w:sz w:val="18"/>
                <w:szCs w:val="18"/>
              </w:rPr>
              <w:t>54,227,480</w:t>
            </w:r>
          </w:p>
        </w:tc>
      </w:tr>
      <w:tr w:rsidR="00D84931" w:rsidRPr="001D41EA" w14:paraId="54DAED2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CCCA86C" w14:textId="77777777" w:rsidR="00D84931" w:rsidRPr="001D41EA" w:rsidRDefault="00D84931" w:rsidP="00D84931">
            <w:pPr>
              <w:spacing w:before="40" w:after="20"/>
              <w:rPr>
                <w:rFonts w:cs="Arial"/>
                <w:sz w:val="18"/>
                <w:szCs w:val="18"/>
              </w:rPr>
            </w:pPr>
            <w:r w:rsidRPr="001D41EA">
              <w:rPr>
                <w:rFonts w:cs="Arial"/>
                <w:sz w:val="18"/>
                <w:szCs w:val="18"/>
              </w:rPr>
              <w:t>West Wimmera S</w:t>
            </w:r>
          </w:p>
        </w:tc>
        <w:tc>
          <w:tcPr>
            <w:tcW w:w="1701" w:type="dxa"/>
            <w:tcBorders>
              <w:top w:val="nil"/>
              <w:left w:val="single" w:sz="18" w:space="0" w:color="5F497A" w:themeColor="accent4" w:themeShade="BF"/>
              <w:bottom w:val="nil"/>
              <w:right w:val="nil"/>
            </w:tcBorders>
            <w:shd w:val="clear" w:color="auto" w:fill="auto"/>
            <w:noWrap/>
            <w:vAlign w:val="bottom"/>
          </w:tcPr>
          <w:p w14:paraId="3266211C" w14:textId="3EB69670" w:rsidR="00D84931" w:rsidRPr="001D41EA" w:rsidRDefault="00D84931" w:rsidP="00D84931">
            <w:pPr>
              <w:spacing w:before="40" w:after="20"/>
              <w:jc w:val="right"/>
              <w:rPr>
                <w:rFonts w:cs="Arial"/>
                <w:sz w:val="18"/>
                <w:szCs w:val="18"/>
              </w:rPr>
            </w:pPr>
            <w:r w:rsidRPr="001D41EA">
              <w:rPr>
                <w:rFonts w:cs="Arial"/>
                <w:sz w:val="18"/>
                <w:szCs w:val="18"/>
              </w:rPr>
              <w:t>1,098,497</w:t>
            </w:r>
          </w:p>
        </w:tc>
        <w:tc>
          <w:tcPr>
            <w:tcW w:w="1701" w:type="dxa"/>
            <w:tcBorders>
              <w:top w:val="nil"/>
              <w:left w:val="nil"/>
              <w:bottom w:val="nil"/>
              <w:right w:val="nil"/>
            </w:tcBorders>
            <w:vAlign w:val="bottom"/>
          </w:tcPr>
          <w:p w14:paraId="1310FBE7" w14:textId="7DB62BFD" w:rsidR="00D84931" w:rsidRPr="001D41EA" w:rsidRDefault="00D84931" w:rsidP="00D84931">
            <w:pPr>
              <w:spacing w:before="40" w:after="20"/>
              <w:jc w:val="right"/>
              <w:rPr>
                <w:rFonts w:cs="Arial"/>
                <w:sz w:val="18"/>
                <w:szCs w:val="18"/>
              </w:rPr>
            </w:pPr>
            <w:r w:rsidRPr="001D41EA">
              <w:rPr>
                <w:rFonts w:cs="Arial"/>
                <w:sz w:val="18"/>
                <w:szCs w:val="18"/>
              </w:rPr>
              <w:t>112,575</w:t>
            </w:r>
          </w:p>
        </w:tc>
        <w:tc>
          <w:tcPr>
            <w:tcW w:w="1701" w:type="dxa"/>
            <w:tcBorders>
              <w:top w:val="nil"/>
              <w:left w:val="nil"/>
              <w:bottom w:val="nil"/>
              <w:right w:val="nil"/>
            </w:tcBorders>
            <w:shd w:val="clear" w:color="auto" w:fill="auto"/>
            <w:noWrap/>
            <w:vAlign w:val="bottom"/>
          </w:tcPr>
          <w:p w14:paraId="0D9C8066" w14:textId="50C278ED" w:rsidR="00D84931" w:rsidRPr="001D41EA" w:rsidRDefault="00D84931" w:rsidP="00D84931">
            <w:pPr>
              <w:spacing w:before="40" w:after="20"/>
              <w:jc w:val="right"/>
              <w:rPr>
                <w:rFonts w:cs="Arial"/>
                <w:sz w:val="18"/>
                <w:szCs w:val="18"/>
              </w:rPr>
            </w:pPr>
            <w:r w:rsidRPr="001D41EA">
              <w:rPr>
                <w:rFonts w:cs="Arial"/>
                <w:sz w:val="18"/>
                <w:szCs w:val="18"/>
              </w:rPr>
              <w:t>5,639,963</w:t>
            </w:r>
          </w:p>
        </w:tc>
        <w:tc>
          <w:tcPr>
            <w:tcW w:w="1701" w:type="dxa"/>
            <w:tcBorders>
              <w:top w:val="nil"/>
              <w:left w:val="nil"/>
              <w:bottom w:val="nil"/>
              <w:right w:val="nil"/>
            </w:tcBorders>
            <w:vAlign w:val="bottom"/>
          </w:tcPr>
          <w:p w14:paraId="47F6745D" w14:textId="4FA60B37" w:rsidR="00D84931" w:rsidRPr="001D41EA" w:rsidRDefault="00D84931" w:rsidP="00D84931">
            <w:pPr>
              <w:spacing w:before="40" w:after="20"/>
              <w:jc w:val="right"/>
              <w:rPr>
                <w:rFonts w:cs="Arial"/>
                <w:sz w:val="18"/>
                <w:szCs w:val="18"/>
              </w:rPr>
            </w:pPr>
            <w:r w:rsidRPr="001D41EA">
              <w:rPr>
                <w:rFonts w:cs="Arial"/>
                <w:sz w:val="18"/>
                <w:szCs w:val="18"/>
              </w:rPr>
              <w:t>6,851,035</w:t>
            </w:r>
          </w:p>
        </w:tc>
      </w:tr>
      <w:tr w:rsidR="00D84931" w:rsidRPr="001D41EA" w14:paraId="597C760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DC9A592" w14:textId="77777777" w:rsidR="00D84931" w:rsidRPr="001D41EA" w:rsidRDefault="00D84931" w:rsidP="00D84931">
            <w:pPr>
              <w:spacing w:before="40" w:after="20"/>
              <w:rPr>
                <w:rFonts w:cs="Arial"/>
                <w:sz w:val="18"/>
                <w:szCs w:val="18"/>
              </w:rPr>
            </w:pPr>
            <w:r w:rsidRPr="001D41EA">
              <w:rPr>
                <w:rFonts w:cs="Arial"/>
                <w:sz w:val="18"/>
                <w:szCs w:val="18"/>
              </w:rPr>
              <w:t>Whitehorse C</w:t>
            </w:r>
          </w:p>
        </w:tc>
        <w:tc>
          <w:tcPr>
            <w:tcW w:w="1701" w:type="dxa"/>
            <w:tcBorders>
              <w:top w:val="nil"/>
              <w:left w:val="single" w:sz="18" w:space="0" w:color="5F497A" w:themeColor="accent4" w:themeShade="BF"/>
              <w:bottom w:val="nil"/>
              <w:right w:val="nil"/>
            </w:tcBorders>
            <w:shd w:val="clear" w:color="auto" w:fill="auto"/>
            <w:noWrap/>
            <w:vAlign w:val="bottom"/>
          </w:tcPr>
          <w:p w14:paraId="6BE1C427" w14:textId="30092522" w:rsidR="00D84931" w:rsidRPr="001D41EA" w:rsidRDefault="00D84931" w:rsidP="00D84931">
            <w:pPr>
              <w:spacing w:before="40" w:after="20"/>
              <w:jc w:val="right"/>
              <w:rPr>
                <w:rFonts w:cs="Arial"/>
                <w:sz w:val="18"/>
                <w:szCs w:val="18"/>
              </w:rPr>
            </w:pPr>
            <w:r w:rsidRPr="001D41EA">
              <w:rPr>
                <w:rFonts w:cs="Arial"/>
                <w:sz w:val="18"/>
                <w:szCs w:val="18"/>
              </w:rPr>
              <w:t>94,382,944</w:t>
            </w:r>
          </w:p>
        </w:tc>
        <w:tc>
          <w:tcPr>
            <w:tcW w:w="1701" w:type="dxa"/>
            <w:tcBorders>
              <w:top w:val="nil"/>
              <w:left w:val="nil"/>
              <w:bottom w:val="nil"/>
              <w:right w:val="nil"/>
            </w:tcBorders>
            <w:vAlign w:val="bottom"/>
          </w:tcPr>
          <w:p w14:paraId="4F2EFE95" w14:textId="69E24F42" w:rsidR="00D84931" w:rsidRPr="001D41EA" w:rsidRDefault="00D84931" w:rsidP="00D84931">
            <w:pPr>
              <w:spacing w:before="40" w:after="20"/>
              <w:jc w:val="right"/>
              <w:rPr>
                <w:rFonts w:cs="Arial"/>
                <w:sz w:val="18"/>
                <w:szCs w:val="18"/>
              </w:rPr>
            </w:pPr>
            <w:r w:rsidRPr="001D41EA">
              <w:rPr>
                <w:rFonts w:cs="Arial"/>
                <w:sz w:val="18"/>
                <w:szCs w:val="18"/>
              </w:rPr>
              <w:t>10,406,662</w:t>
            </w:r>
          </w:p>
        </w:tc>
        <w:tc>
          <w:tcPr>
            <w:tcW w:w="1701" w:type="dxa"/>
            <w:tcBorders>
              <w:top w:val="nil"/>
              <w:left w:val="nil"/>
              <w:bottom w:val="nil"/>
              <w:right w:val="nil"/>
            </w:tcBorders>
            <w:shd w:val="clear" w:color="auto" w:fill="auto"/>
            <w:noWrap/>
            <w:vAlign w:val="bottom"/>
          </w:tcPr>
          <w:p w14:paraId="58E9820E" w14:textId="2A0782E0"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112F2A75" w14:textId="7D34946D" w:rsidR="00D84931" w:rsidRPr="001D41EA" w:rsidRDefault="00D84931" w:rsidP="00D84931">
            <w:pPr>
              <w:spacing w:before="40" w:after="20"/>
              <w:jc w:val="right"/>
              <w:rPr>
                <w:rFonts w:cs="Arial"/>
                <w:sz w:val="18"/>
                <w:szCs w:val="18"/>
              </w:rPr>
            </w:pPr>
            <w:r w:rsidRPr="001D41EA">
              <w:rPr>
                <w:rFonts w:cs="Arial"/>
                <w:sz w:val="18"/>
                <w:szCs w:val="18"/>
              </w:rPr>
              <w:t>104,789,606</w:t>
            </w:r>
          </w:p>
        </w:tc>
      </w:tr>
      <w:tr w:rsidR="00D84931" w:rsidRPr="001D41EA" w14:paraId="1026B56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6C92591" w14:textId="77777777" w:rsidR="00D84931" w:rsidRPr="001D41EA" w:rsidRDefault="00D84931" w:rsidP="00D84931">
            <w:pPr>
              <w:spacing w:before="40" w:after="20"/>
              <w:rPr>
                <w:rFonts w:cs="Arial"/>
                <w:sz w:val="18"/>
                <w:szCs w:val="18"/>
              </w:rPr>
            </w:pPr>
            <w:r w:rsidRPr="001D41EA">
              <w:rPr>
                <w:rFonts w:cs="Arial"/>
                <w:sz w:val="18"/>
                <w:szCs w:val="18"/>
              </w:rPr>
              <w:t>Whittlesea C</w:t>
            </w:r>
          </w:p>
        </w:tc>
        <w:tc>
          <w:tcPr>
            <w:tcW w:w="1701" w:type="dxa"/>
            <w:tcBorders>
              <w:top w:val="nil"/>
              <w:left w:val="single" w:sz="18" w:space="0" w:color="5F497A" w:themeColor="accent4" w:themeShade="BF"/>
              <w:bottom w:val="nil"/>
              <w:right w:val="nil"/>
            </w:tcBorders>
            <w:shd w:val="clear" w:color="auto" w:fill="auto"/>
            <w:noWrap/>
            <w:vAlign w:val="bottom"/>
          </w:tcPr>
          <w:p w14:paraId="3DB2ED8A" w14:textId="652F1D9F" w:rsidR="00D84931" w:rsidRPr="001D41EA" w:rsidRDefault="00D84931" w:rsidP="00D84931">
            <w:pPr>
              <w:spacing w:before="40" w:after="20"/>
              <w:jc w:val="right"/>
              <w:rPr>
                <w:rFonts w:cs="Arial"/>
                <w:sz w:val="18"/>
                <w:szCs w:val="18"/>
              </w:rPr>
            </w:pPr>
            <w:r w:rsidRPr="001D41EA">
              <w:rPr>
                <w:rFonts w:cs="Arial"/>
                <w:sz w:val="18"/>
                <w:szCs w:val="18"/>
              </w:rPr>
              <w:t>105,088,591</w:t>
            </w:r>
          </w:p>
        </w:tc>
        <w:tc>
          <w:tcPr>
            <w:tcW w:w="1701" w:type="dxa"/>
            <w:tcBorders>
              <w:top w:val="nil"/>
              <w:left w:val="nil"/>
              <w:bottom w:val="nil"/>
              <w:right w:val="nil"/>
            </w:tcBorders>
            <w:vAlign w:val="bottom"/>
          </w:tcPr>
          <w:p w14:paraId="144F9403" w14:textId="5B9038B3" w:rsidR="00D84931" w:rsidRPr="001D41EA" w:rsidRDefault="00D84931" w:rsidP="00D84931">
            <w:pPr>
              <w:spacing w:before="40" w:after="20"/>
              <w:jc w:val="right"/>
              <w:rPr>
                <w:rFonts w:cs="Arial"/>
                <w:sz w:val="18"/>
                <w:szCs w:val="18"/>
              </w:rPr>
            </w:pPr>
            <w:r w:rsidRPr="001D41EA">
              <w:rPr>
                <w:rFonts w:cs="Arial"/>
                <w:sz w:val="18"/>
                <w:szCs w:val="18"/>
              </w:rPr>
              <w:t>26,545,252</w:t>
            </w:r>
          </w:p>
        </w:tc>
        <w:tc>
          <w:tcPr>
            <w:tcW w:w="1701" w:type="dxa"/>
            <w:tcBorders>
              <w:top w:val="nil"/>
              <w:left w:val="nil"/>
              <w:bottom w:val="nil"/>
              <w:right w:val="nil"/>
            </w:tcBorders>
            <w:shd w:val="clear" w:color="auto" w:fill="auto"/>
            <w:noWrap/>
            <w:vAlign w:val="bottom"/>
          </w:tcPr>
          <w:p w14:paraId="4BEDF880" w14:textId="46DBFFFF" w:rsidR="00D84931" w:rsidRPr="001D41EA" w:rsidRDefault="00D84931" w:rsidP="00D84931">
            <w:pPr>
              <w:spacing w:before="40" w:after="20"/>
              <w:jc w:val="right"/>
              <w:rPr>
                <w:rFonts w:cs="Arial"/>
                <w:sz w:val="18"/>
                <w:szCs w:val="18"/>
              </w:rPr>
            </w:pPr>
            <w:r w:rsidRPr="001D41EA">
              <w:rPr>
                <w:rFonts w:cs="Arial"/>
                <w:sz w:val="18"/>
                <w:szCs w:val="18"/>
              </w:rPr>
              <w:t>932,976</w:t>
            </w:r>
          </w:p>
        </w:tc>
        <w:tc>
          <w:tcPr>
            <w:tcW w:w="1701" w:type="dxa"/>
            <w:tcBorders>
              <w:top w:val="nil"/>
              <w:left w:val="nil"/>
              <w:bottom w:val="nil"/>
              <w:right w:val="nil"/>
            </w:tcBorders>
            <w:vAlign w:val="bottom"/>
          </w:tcPr>
          <w:p w14:paraId="0363364C" w14:textId="00F8B2BB" w:rsidR="00D84931" w:rsidRPr="001D41EA" w:rsidRDefault="00D84931" w:rsidP="00D84931">
            <w:pPr>
              <w:spacing w:before="40" w:after="20"/>
              <w:jc w:val="right"/>
              <w:rPr>
                <w:rFonts w:cs="Arial"/>
                <w:sz w:val="18"/>
                <w:szCs w:val="18"/>
              </w:rPr>
            </w:pPr>
            <w:r w:rsidRPr="001D41EA">
              <w:rPr>
                <w:rFonts w:cs="Arial"/>
                <w:sz w:val="18"/>
                <w:szCs w:val="18"/>
              </w:rPr>
              <w:t>132,566,819</w:t>
            </w:r>
          </w:p>
        </w:tc>
      </w:tr>
      <w:tr w:rsidR="00D84931" w:rsidRPr="001D41EA" w14:paraId="3B7D980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8095E26" w14:textId="77777777" w:rsidR="00D84931" w:rsidRPr="001D41EA" w:rsidRDefault="00D84931" w:rsidP="00D84931">
            <w:pPr>
              <w:spacing w:before="40" w:after="20"/>
              <w:rPr>
                <w:rFonts w:cs="Arial"/>
                <w:sz w:val="18"/>
                <w:szCs w:val="18"/>
              </w:rPr>
            </w:pPr>
            <w:r w:rsidRPr="001D41EA">
              <w:rPr>
                <w:rFonts w:cs="Arial"/>
                <w:sz w:val="18"/>
                <w:szCs w:val="18"/>
              </w:rPr>
              <w:t>Wodonga C</w:t>
            </w:r>
          </w:p>
        </w:tc>
        <w:tc>
          <w:tcPr>
            <w:tcW w:w="1701" w:type="dxa"/>
            <w:tcBorders>
              <w:top w:val="nil"/>
              <w:left w:val="single" w:sz="18" w:space="0" w:color="5F497A" w:themeColor="accent4" w:themeShade="BF"/>
              <w:bottom w:val="nil"/>
              <w:right w:val="nil"/>
            </w:tcBorders>
            <w:shd w:val="clear" w:color="auto" w:fill="auto"/>
            <w:noWrap/>
            <w:vAlign w:val="bottom"/>
          </w:tcPr>
          <w:p w14:paraId="5A6DA0B5" w14:textId="5FED6249" w:rsidR="00D84931" w:rsidRPr="001D41EA" w:rsidRDefault="00D84931" w:rsidP="00D84931">
            <w:pPr>
              <w:spacing w:before="40" w:after="20"/>
              <w:jc w:val="right"/>
              <w:rPr>
                <w:rFonts w:cs="Arial"/>
                <w:sz w:val="18"/>
                <w:szCs w:val="18"/>
              </w:rPr>
            </w:pPr>
            <w:r w:rsidRPr="001D41EA">
              <w:rPr>
                <w:rFonts w:cs="Arial"/>
                <w:sz w:val="18"/>
                <w:szCs w:val="18"/>
              </w:rPr>
              <w:t>32,685,924</w:t>
            </w:r>
          </w:p>
        </w:tc>
        <w:tc>
          <w:tcPr>
            <w:tcW w:w="1701" w:type="dxa"/>
            <w:tcBorders>
              <w:top w:val="nil"/>
              <w:left w:val="nil"/>
              <w:bottom w:val="nil"/>
              <w:right w:val="nil"/>
            </w:tcBorders>
            <w:vAlign w:val="bottom"/>
          </w:tcPr>
          <w:p w14:paraId="3ABB35D7" w14:textId="30E066C2" w:rsidR="00D84931" w:rsidRPr="001D41EA" w:rsidRDefault="00D84931" w:rsidP="00D84931">
            <w:pPr>
              <w:spacing w:before="40" w:after="20"/>
              <w:jc w:val="right"/>
              <w:rPr>
                <w:rFonts w:cs="Arial"/>
                <w:sz w:val="18"/>
                <w:szCs w:val="18"/>
              </w:rPr>
            </w:pPr>
            <w:r w:rsidRPr="001D41EA">
              <w:rPr>
                <w:rFonts w:cs="Arial"/>
                <w:sz w:val="18"/>
                <w:szCs w:val="18"/>
              </w:rPr>
              <w:t>8,143,466</w:t>
            </w:r>
          </w:p>
        </w:tc>
        <w:tc>
          <w:tcPr>
            <w:tcW w:w="1701" w:type="dxa"/>
            <w:tcBorders>
              <w:top w:val="nil"/>
              <w:left w:val="nil"/>
              <w:bottom w:val="nil"/>
              <w:right w:val="nil"/>
            </w:tcBorders>
            <w:shd w:val="clear" w:color="auto" w:fill="auto"/>
            <w:noWrap/>
            <w:vAlign w:val="bottom"/>
          </w:tcPr>
          <w:p w14:paraId="3B0D5D23" w14:textId="2BD2F66C" w:rsidR="00D84931" w:rsidRPr="001D41EA" w:rsidRDefault="00D84931" w:rsidP="00D84931">
            <w:pPr>
              <w:spacing w:before="40" w:after="20"/>
              <w:jc w:val="right"/>
              <w:rPr>
                <w:rFonts w:cs="Arial"/>
                <w:sz w:val="18"/>
                <w:szCs w:val="18"/>
              </w:rPr>
            </w:pPr>
            <w:r w:rsidRPr="001D41EA">
              <w:rPr>
                <w:rFonts w:cs="Arial"/>
                <w:sz w:val="18"/>
                <w:szCs w:val="18"/>
              </w:rPr>
              <w:t>1,009,353</w:t>
            </w:r>
          </w:p>
        </w:tc>
        <w:tc>
          <w:tcPr>
            <w:tcW w:w="1701" w:type="dxa"/>
            <w:tcBorders>
              <w:top w:val="nil"/>
              <w:left w:val="nil"/>
              <w:bottom w:val="nil"/>
              <w:right w:val="nil"/>
            </w:tcBorders>
            <w:vAlign w:val="bottom"/>
          </w:tcPr>
          <w:p w14:paraId="0ABACE00" w14:textId="57444DD2" w:rsidR="00D84931" w:rsidRPr="001D41EA" w:rsidRDefault="00D84931" w:rsidP="00D84931">
            <w:pPr>
              <w:spacing w:before="40" w:after="20"/>
              <w:jc w:val="right"/>
              <w:rPr>
                <w:rFonts w:cs="Arial"/>
                <w:sz w:val="18"/>
                <w:szCs w:val="18"/>
              </w:rPr>
            </w:pPr>
            <w:r w:rsidRPr="001D41EA">
              <w:rPr>
                <w:rFonts w:cs="Arial"/>
                <w:sz w:val="18"/>
                <w:szCs w:val="18"/>
              </w:rPr>
              <w:t>41,838,742</w:t>
            </w:r>
          </w:p>
        </w:tc>
      </w:tr>
      <w:tr w:rsidR="00D84931" w:rsidRPr="001D41EA" w14:paraId="64E4331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C3D85E7" w14:textId="77777777" w:rsidR="00D84931" w:rsidRPr="001D41EA" w:rsidRDefault="00D84931" w:rsidP="00D84931">
            <w:pPr>
              <w:spacing w:before="40" w:after="20"/>
              <w:rPr>
                <w:rFonts w:cs="Arial"/>
                <w:sz w:val="18"/>
                <w:szCs w:val="18"/>
              </w:rPr>
            </w:pPr>
            <w:r w:rsidRPr="001D41EA">
              <w:rPr>
                <w:rFonts w:cs="Arial"/>
                <w:sz w:val="18"/>
                <w:szCs w:val="18"/>
              </w:rPr>
              <w:t>Wyndham C</w:t>
            </w:r>
          </w:p>
        </w:tc>
        <w:tc>
          <w:tcPr>
            <w:tcW w:w="1701" w:type="dxa"/>
            <w:tcBorders>
              <w:top w:val="nil"/>
              <w:left w:val="single" w:sz="18" w:space="0" w:color="5F497A" w:themeColor="accent4" w:themeShade="BF"/>
              <w:bottom w:val="nil"/>
              <w:right w:val="nil"/>
            </w:tcBorders>
            <w:shd w:val="clear" w:color="auto" w:fill="auto"/>
            <w:noWrap/>
            <w:vAlign w:val="bottom"/>
          </w:tcPr>
          <w:p w14:paraId="3F46CE74" w14:textId="726A6127" w:rsidR="00D84931" w:rsidRPr="001D41EA" w:rsidRDefault="00D84931" w:rsidP="00D84931">
            <w:pPr>
              <w:spacing w:before="40" w:after="20"/>
              <w:jc w:val="right"/>
              <w:rPr>
                <w:rFonts w:cs="Arial"/>
                <w:sz w:val="18"/>
                <w:szCs w:val="18"/>
              </w:rPr>
            </w:pPr>
            <w:r w:rsidRPr="001D41EA">
              <w:rPr>
                <w:rFonts w:cs="Arial"/>
                <w:sz w:val="18"/>
                <w:szCs w:val="18"/>
              </w:rPr>
              <w:t>131,966,858</w:t>
            </w:r>
          </w:p>
        </w:tc>
        <w:tc>
          <w:tcPr>
            <w:tcW w:w="1701" w:type="dxa"/>
            <w:tcBorders>
              <w:top w:val="nil"/>
              <w:left w:val="nil"/>
              <w:bottom w:val="nil"/>
              <w:right w:val="nil"/>
            </w:tcBorders>
            <w:vAlign w:val="bottom"/>
          </w:tcPr>
          <w:p w14:paraId="1A6B0252" w14:textId="761E1CA3" w:rsidR="00D84931" w:rsidRPr="001D41EA" w:rsidRDefault="00D84931" w:rsidP="00D84931">
            <w:pPr>
              <w:spacing w:before="40" w:after="20"/>
              <w:jc w:val="right"/>
              <w:rPr>
                <w:rFonts w:cs="Arial"/>
                <w:sz w:val="18"/>
                <w:szCs w:val="18"/>
              </w:rPr>
            </w:pPr>
            <w:r w:rsidRPr="001D41EA">
              <w:rPr>
                <w:rFonts w:cs="Arial"/>
                <w:sz w:val="18"/>
                <w:szCs w:val="18"/>
              </w:rPr>
              <w:t>31,776,420</w:t>
            </w:r>
          </w:p>
        </w:tc>
        <w:tc>
          <w:tcPr>
            <w:tcW w:w="1701" w:type="dxa"/>
            <w:tcBorders>
              <w:top w:val="nil"/>
              <w:left w:val="nil"/>
              <w:bottom w:val="nil"/>
              <w:right w:val="nil"/>
            </w:tcBorders>
            <w:shd w:val="clear" w:color="auto" w:fill="auto"/>
            <w:noWrap/>
            <w:vAlign w:val="bottom"/>
          </w:tcPr>
          <w:p w14:paraId="1644D6E3" w14:textId="7C3D82A3" w:rsidR="00D84931" w:rsidRPr="001D41EA" w:rsidRDefault="00D84931" w:rsidP="00D84931">
            <w:pPr>
              <w:spacing w:before="40" w:after="20"/>
              <w:jc w:val="right"/>
              <w:rPr>
                <w:rFonts w:cs="Arial"/>
                <w:sz w:val="18"/>
                <w:szCs w:val="18"/>
              </w:rPr>
            </w:pPr>
            <w:r w:rsidRPr="001D41EA">
              <w:rPr>
                <w:rFonts w:cs="Arial"/>
                <w:sz w:val="18"/>
                <w:szCs w:val="18"/>
              </w:rPr>
              <w:t>3,539,797</w:t>
            </w:r>
          </w:p>
        </w:tc>
        <w:tc>
          <w:tcPr>
            <w:tcW w:w="1701" w:type="dxa"/>
            <w:tcBorders>
              <w:top w:val="nil"/>
              <w:left w:val="nil"/>
              <w:bottom w:val="nil"/>
              <w:right w:val="nil"/>
            </w:tcBorders>
            <w:vAlign w:val="bottom"/>
          </w:tcPr>
          <w:p w14:paraId="69F486CC" w14:textId="5EC996EE" w:rsidR="00D84931" w:rsidRPr="001D41EA" w:rsidRDefault="00D84931" w:rsidP="00D84931">
            <w:pPr>
              <w:spacing w:before="40" w:after="20"/>
              <w:jc w:val="right"/>
              <w:rPr>
                <w:rFonts w:cs="Arial"/>
                <w:sz w:val="18"/>
                <w:szCs w:val="18"/>
              </w:rPr>
            </w:pPr>
            <w:r w:rsidRPr="001D41EA">
              <w:rPr>
                <w:rFonts w:cs="Arial"/>
                <w:sz w:val="18"/>
                <w:szCs w:val="18"/>
              </w:rPr>
              <w:t>167,283,075</w:t>
            </w:r>
          </w:p>
        </w:tc>
      </w:tr>
      <w:tr w:rsidR="00D84931" w:rsidRPr="001D41EA" w14:paraId="05AA350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18A257F" w14:textId="77777777" w:rsidR="00D84931" w:rsidRPr="001D41EA" w:rsidRDefault="00D84931" w:rsidP="00D84931">
            <w:pPr>
              <w:spacing w:before="40" w:after="20"/>
              <w:rPr>
                <w:rFonts w:cs="Arial"/>
                <w:sz w:val="18"/>
                <w:szCs w:val="18"/>
              </w:rPr>
            </w:pPr>
            <w:r w:rsidRPr="001D41EA">
              <w:rPr>
                <w:rFonts w:cs="Arial"/>
                <w:sz w:val="18"/>
                <w:szCs w:val="18"/>
              </w:rPr>
              <w:t>Yarra C</w:t>
            </w:r>
          </w:p>
        </w:tc>
        <w:tc>
          <w:tcPr>
            <w:tcW w:w="1701" w:type="dxa"/>
            <w:tcBorders>
              <w:top w:val="nil"/>
              <w:left w:val="single" w:sz="18" w:space="0" w:color="5F497A" w:themeColor="accent4" w:themeShade="BF"/>
              <w:bottom w:val="nil"/>
              <w:right w:val="nil"/>
            </w:tcBorders>
            <w:shd w:val="clear" w:color="auto" w:fill="auto"/>
            <w:noWrap/>
            <w:vAlign w:val="bottom"/>
          </w:tcPr>
          <w:p w14:paraId="4BCD4EEE" w14:textId="76B02211" w:rsidR="00D84931" w:rsidRPr="001D41EA" w:rsidRDefault="00D84931" w:rsidP="00D84931">
            <w:pPr>
              <w:spacing w:before="40" w:after="20"/>
              <w:jc w:val="right"/>
              <w:rPr>
                <w:rFonts w:cs="Arial"/>
                <w:sz w:val="18"/>
                <w:szCs w:val="18"/>
              </w:rPr>
            </w:pPr>
            <w:r w:rsidRPr="001D41EA">
              <w:rPr>
                <w:rFonts w:cs="Arial"/>
                <w:sz w:val="18"/>
                <w:szCs w:val="18"/>
              </w:rPr>
              <w:t>71,248,951</w:t>
            </w:r>
          </w:p>
        </w:tc>
        <w:tc>
          <w:tcPr>
            <w:tcW w:w="1701" w:type="dxa"/>
            <w:tcBorders>
              <w:top w:val="nil"/>
              <w:left w:val="nil"/>
              <w:bottom w:val="nil"/>
              <w:right w:val="nil"/>
            </w:tcBorders>
            <w:vAlign w:val="bottom"/>
          </w:tcPr>
          <w:p w14:paraId="1E59D97A" w14:textId="5E17DECF" w:rsidR="00D84931" w:rsidRPr="001D41EA" w:rsidRDefault="00D84931" w:rsidP="00D84931">
            <w:pPr>
              <w:spacing w:before="40" w:after="20"/>
              <w:jc w:val="right"/>
              <w:rPr>
                <w:rFonts w:cs="Arial"/>
                <w:sz w:val="18"/>
                <w:szCs w:val="18"/>
              </w:rPr>
            </w:pPr>
            <w:r w:rsidRPr="001D41EA">
              <w:rPr>
                <w:rFonts w:cs="Arial"/>
                <w:sz w:val="18"/>
                <w:szCs w:val="18"/>
              </w:rPr>
              <w:t>27,749,324</w:t>
            </w:r>
          </w:p>
        </w:tc>
        <w:tc>
          <w:tcPr>
            <w:tcW w:w="1701" w:type="dxa"/>
            <w:tcBorders>
              <w:top w:val="nil"/>
              <w:left w:val="nil"/>
              <w:bottom w:val="nil"/>
              <w:right w:val="nil"/>
            </w:tcBorders>
            <w:shd w:val="clear" w:color="auto" w:fill="auto"/>
            <w:noWrap/>
            <w:vAlign w:val="bottom"/>
          </w:tcPr>
          <w:p w14:paraId="77F8EF10" w14:textId="54CB961F"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23F83F89" w14:textId="214B04D2" w:rsidR="00D84931" w:rsidRPr="001D41EA" w:rsidRDefault="00D84931" w:rsidP="00D84931">
            <w:pPr>
              <w:spacing w:before="40" w:after="20"/>
              <w:jc w:val="right"/>
              <w:rPr>
                <w:rFonts w:cs="Arial"/>
                <w:sz w:val="18"/>
                <w:szCs w:val="18"/>
              </w:rPr>
            </w:pPr>
            <w:r w:rsidRPr="001D41EA">
              <w:rPr>
                <w:rFonts w:cs="Arial"/>
                <w:sz w:val="18"/>
                <w:szCs w:val="18"/>
              </w:rPr>
              <w:t>98,998,275</w:t>
            </w:r>
          </w:p>
        </w:tc>
      </w:tr>
      <w:tr w:rsidR="00D84931" w:rsidRPr="001D41EA" w14:paraId="08AEAB8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DC1013E" w14:textId="77777777" w:rsidR="00D84931" w:rsidRPr="001D41EA" w:rsidRDefault="00D84931" w:rsidP="00D84931">
            <w:pPr>
              <w:spacing w:before="40" w:after="20"/>
              <w:rPr>
                <w:rFonts w:cs="Arial"/>
                <w:sz w:val="18"/>
                <w:szCs w:val="18"/>
              </w:rPr>
            </w:pPr>
            <w:r w:rsidRPr="001D41EA">
              <w:rPr>
                <w:rFonts w:cs="Arial"/>
                <w:sz w:val="18"/>
                <w:szCs w:val="18"/>
              </w:rPr>
              <w:t>Yarra Ranges S</w:t>
            </w:r>
          </w:p>
        </w:tc>
        <w:tc>
          <w:tcPr>
            <w:tcW w:w="1701" w:type="dxa"/>
            <w:tcBorders>
              <w:top w:val="nil"/>
              <w:left w:val="single" w:sz="18" w:space="0" w:color="5F497A" w:themeColor="accent4" w:themeShade="BF"/>
              <w:bottom w:val="nil"/>
              <w:right w:val="nil"/>
            </w:tcBorders>
            <w:shd w:val="clear" w:color="auto" w:fill="auto"/>
            <w:noWrap/>
            <w:vAlign w:val="bottom"/>
          </w:tcPr>
          <w:p w14:paraId="20598E1A" w14:textId="5604B2CC" w:rsidR="00D84931" w:rsidRPr="001D41EA" w:rsidRDefault="00D84931" w:rsidP="00D84931">
            <w:pPr>
              <w:spacing w:before="40" w:after="20"/>
              <w:jc w:val="right"/>
              <w:rPr>
                <w:rFonts w:cs="Arial"/>
                <w:sz w:val="18"/>
                <w:szCs w:val="18"/>
              </w:rPr>
            </w:pPr>
            <w:r w:rsidRPr="001D41EA">
              <w:rPr>
                <w:rFonts w:cs="Arial"/>
                <w:sz w:val="18"/>
                <w:szCs w:val="18"/>
              </w:rPr>
              <w:t>109,043,009</w:t>
            </w:r>
          </w:p>
        </w:tc>
        <w:tc>
          <w:tcPr>
            <w:tcW w:w="1701" w:type="dxa"/>
            <w:tcBorders>
              <w:top w:val="nil"/>
              <w:left w:val="nil"/>
              <w:bottom w:val="nil"/>
              <w:right w:val="nil"/>
            </w:tcBorders>
            <w:vAlign w:val="bottom"/>
          </w:tcPr>
          <w:p w14:paraId="26AD488C" w14:textId="0D4C1308" w:rsidR="00D84931" w:rsidRPr="001D41EA" w:rsidRDefault="00D84931" w:rsidP="00D84931">
            <w:pPr>
              <w:spacing w:before="40" w:after="20"/>
              <w:jc w:val="right"/>
              <w:rPr>
                <w:rFonts w:cs="Arial"/>
                <w:sz w:val="18"/>
                <w:szCs w:val="18"/>
              </w:rPr>
            </w:pPr>
            <w:r w:rsidRPr="001D41EA">
              <w:rPr>
                <w:rFonts w:cs="Arial"/>
                <w:sz w:val="18"/>
                <w:szCs w:val="18"/>
              </w:rPr>
              <w:t>12,953,467</w:t>
            </w:r>
          </w:p>
        </w:tc>
        <w:tc>
          <w:tcPr>
            <w:tcW w:w="1701" w:type="dxa"/>
            <w:tcBorders>
              <w:top w:val="nil"/>
              <w:left w:val="nil"/>
              <w:bottom w:val="nil"/>
              <w:right w:val="nil"/>
            </w:tcBorders>
            <w:shd w:val="clear" w:color="auto" w:fill="auto"/>
            <w:noWrap/>
            <w:vAlign w:val="bottom"/>
          </w:tcPr>
          <w:p w14:paraId="60C4F92D" w14:textId="3A82C1FE" w:rsidR="00D84931" w:rsidRPr="001D41EA" w:rsidRDefault="00D84931" w:rsidP="00D84931">
            <w:pPr>
              <w:spacing w:before="40" w:after="20"/>
              <w:jc w:val="right"/>
              <w:rPr>
                <w:rFonts w:cs="Arial"/>
                <w:sz w:val="18"/>
                <w:szCs w:val="18"/>
              </w:rPr>
            </w:pPr>
            <w:r w:rsidRPr="001D41EA">
              <w:rPr>
                <w:rFonts w:cs="Arial"/>
                <w:sz w:val="18"/>
                <w:szCs w:val="18"/>
              </w:rPr>
              <w:t>5,247,565</w:t>
            </w:r>
          </w:p>
        </w:tc>
        <w:tc>
          <w:tcPr>
            <w:tcW w:w="1701" w:type="dxa"/>
            <w:tcBorders>
              <w:top w:val="nil"/>
              <w:left w:val="nil"/>
              <w:bottom w:val="nil"/>
              <w:right w:val="nil"/>
            </w:tcBorders>
            <w:vAlign w:val="bottom"/>
          </w:tcPr>
          <w:p w14:paraId="7F9816C6" w14:textId="45590DEE" w:rsidR="00D84931" w:rsidRPr="001D41EA" w:rsidRDefault="00D84931" w:rsidP="00D84931">
            <w:pPr>
              <w:spacing w:before="40" w:after="20"/>
              <w:jc w:val="right"/>
              <w:rPr>
                <w:rFonts w:cs="Arial"/>
                <w:sz w:val="18"/>
                <w:szCs w:val="18"/>
              </w:rPr>
            </w:pPr>
            <w:r w:rsidRPr="001D41EA">
              <w:rPr>
                <w:rFonts w:cs="Arial"/>
                <w:sz w:val="18"/>
                <w:szCs w:val="18"/>
              </w:rPr>
              <w:t>127,244,042</w:t>
            </w:r>
          </w:p>
        </w:tc>
      </w:tr>
      <w:tr w:rsidR="00D84931" w:rsidRPr="001D41EA" w14:paraId="1E1E0E5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FF849B8" w14:textId="77777777" w:rsidR="00D84931" w:rsidRPr="001D41EA" w:rsidRDefault="00D84931" w:rsidP="00D84931">
            <w:pPr>
              <w:spacing w:before="40" w:after="20"/>
              <w:rPr>
                <w:rFonts w:cs="Arial"/>
                <w:sz w:val="18"/>
                <w:szCs w:val="18"/>
              </w:rPr>
            </w:pPr>
            <w:r w:rsidRPr="001D41EA">
              <w:rPr>
                <w:rFonts w:cs="Arial"/>
                <w:sz w:val="18"/>
                <w:szCs w:val="18"/>
              </w:rPr>
              <w:t>Yarriambiack S</w:t>
            </w:r>
          </w:p>
        </w:tc>
        <w:tc>
          <w:tcPr>
            <w:tcW w:w="1701" w:type="dxa"/>
            <w:tcBorders>
              <w:top w:val="nil"/>
              <w:left w:val="single" w:sz="18" w:space="0" w:color="5F497A" w:themeColor="accent4" w:themeShade="BF"/>
              <w:bottom w:val="nil"/>
              <w:right w:val="nil"/>
            </w:tcBorders>
            <w:shd w:val="clear" w:color="auto" w:fill="auto"/>
            <w:noWrap/>
            <w:vAlign w:val="bottom"/>
          </w:tcPr>
          <w:p w14:paraId="6330D73B" w14:textId="04784971" w:rsidR="00D84931" w:rsidRPr="001D41EA" w:rsidRDefault="00D84931" w:rsidP="00D84931">
            <w:pPr>
              <w:spacing w:before="40" w:after="20"/>
              <w:jc w:val="right"/>
              <w:rPr>
                <w:rFonts w:cs="Arial"/>
                <w:sz w:val="18"/>
                <w:szCs w:val="18"/>
              </w:rPr>
            </w:pPr>
            <w:r w:rsidRPr="001D41EA">
              <w:rPr>
                <w:rFonts w:cs="Arial"/>
                <w:sz w:val="18"/>
                <w:szCs w:val="18"/>
              </w:rPr>
              <w:t>3,119,597</w:t>
            </w:r>
          </w:p>
        </w:tc>
        <w:tc>
          <w:tcPr>
            <w:tcW w:w="1701" w:type="dxa"/>
            <w:tcBorders>
              <w:top w:val="nil"/>
              <w:left w:val="nil"/>
              <w:bottom w:val="nil"/>
              <w:right w:val="nil"/>
            </w:tcBorders>
            <w:vAlign w:val="bottom"/>
          </w:tcPr>
          <w:p w14:paraId="63BDE5E5" w14:textId="15A62FB2" w:rsidR="00D84931" w:rsidRPr="001D41EA" w:rsidRDefault="00D84931" w:rsidP="00D84931">
            <w:pPr>
              <w:spacing w:before="40" w:after="20"/>
              <w:jc w:val="right"/>
              <w:rPr>
                <w:rFonts w:cs="Arial"/>
                <w:sz w:val="18"/>
                <w:szCs w:val="18"/>
              </w:rPr>
            </w:pPr>
            <w:r w:rsidRPr="001D41EA">
              <w:rPr>
                <w:rFonts w:cs="Arial"/>
                <w:sz w:val="18"/>
                <w:szCs w:val="18"/>
              </w:rPr>
              <w:t>566,126</w:t>
            </w:r>
          </w:p>
        </w:tc>
        <w:tc>
          <w:tcPr>
            <w:tcW w:w="1701" w:type="dxa"/>
            <w:tcBorders>
              <w:top w:val="nil"/>
              <w:left w:val="nil"/>
              <w:bottom w:val="nil"/>
              <w:right w:val="nil"/>
            </w:tcBorders>
            <w:shd w:val="clear" w:color="auto" w:fill="auto"/>
            <w:noWrap/>
            <w:vAlign w:val="bottom"/>
          </w:tcPr>
          <w:p w14:paraId="07297EE0" w14:textId="2380899F" w:rsidR="00D84931" w:rsidRPr="001D41EA" w:rsidRDefault="00D84931" w:rsidP="00D84931">
            <w:pPr>
              <w:spacing w:before="40" w:after="20"/>
              <w:jc w:val="right"/>
              <w:rPr>
                <w:rFonts w:cs="Arial"/>
                <w:sz w:val="18"/>
                <w:szCs w:val="18"/>
              </w:rPr>
            </w:pPr>
            <w:r w:rsidRPr="001D41EA">
              <w:rPr>
                <w:rFonts w:cs="Arial"/>
                <w:sz w:val="18"/>
                <w:szCs w:val="18"/>
              </w:rPr>
              <w:t>7,747,338</w:t>
            </w:r>
          </w:p>
        </w:tc>
        <w:tc>
          <w:tcPr>
            <w:tcW w:w="1701" w:type="dxa"/>
            <w:tcBorders>
              <w:top w:val="nil"/>
              <w:left w:val="nil"/>
              <w:bottom w:val="nil"/>
              <w:right w:val="nil"/>
            </w:tcBorders>
            <w:vAlign w:val="bottom"/>
          </w:tcPr>
          <w:p w14:paraId="5DF51471" w14:textId="152C56F5" w:rsidR="00D84931" w:rsidRPr="001D41EA" w:rsidRDefault="00D84931" w:rsidP="00D84931">
            <w:pPr>
              <w:spacing w:before="40" w:after="20"/>
              <w:jc w:val="right"/>
              <w:rPr>
                <w:rFonts w:cs="Arial"/>
                <w:sz w:val="18"/>
                <w:szCs w:val="18"/>
              </w:rPr>
            </w:pPr>
            <w:r w:rsidRPr="001D41EA">
              <w:rPr>
                <w:rFonts w:cs="Arial"/>
                <w:sz w:val="18"/>
                <w:szCs w:val="18"/>
              </w:rPr>
              <w:t>11,433,061</w:t>
            </w:r>
          </w:p>
        </w:tc>
      </w:tr>
      <w:tr w:rsidR="00D84931" w:rsidRPr="001D41EA" w14:paraId="4AADA9C0" w14:textId="77777777" w:rsidTr="00B44BBE">
        <w:tc>
          <w:tcPr>
            <w:tcW w:w="2268" w:type="dxa"/>
            <w:tcBorders>
              <w:top w:val="nil"/>
              <w:left w:val="nil"/>
              <w:bottom w:val="nil"/>
              <w:right w:val="single" w:sz="18" w:space="0" w:color="5F497A" w:themeColor="accent4" w:themeShade="BF"/>
            </w:tcBorders>
            <w:shd w:val="clear" w:color="auto" w:fill="auto"/>
            <w:noWrap/>
            <w:vAlign w:val="center"/>
          </w:tcPr>
          <w:p w14:paraId="0217F60C" w14:textId="77777777" w:rsidR="00D84931" w:rsidRPr="001D41EA" w:rsidRDefault="00D84931" w:rsidP="00D84931">
            <w:pPr>
              <w:spacing w:before="40" w:after="20"/>
              <w:rPr>
                <w:rFonts w:cs="Arial"/>
                <w:sz w:val="18"/>
                <w:szCs w:val="18"/>
              </w:rPr>
            </w:pPr>
          </w:p>
        </w:tc>
        <w:tc>
          <w:tcPr>
            <w:tcW w:w="1701" w:type="dxa"/>
            <w:tcBorders>
              <w:top w:val="nil"/>
              <w:left w:val="single" w:sz="18" w:space="0" w:color="5F497A" w:themeColor="accent4" w:themeShade="BF"/>
              <w:bottom w:val="single" w:sz="8" w:space="0" w:color="5F497A" w:themeColor="accent4" w:themeShade="BF"/>
              <w:right w:val="nil"/>
            </w:tcBorders>
            <w:shd w:val="clear" w:color="auto" w:fill="auto"/>
            <w:noWrap/>
            <w:vAlign w:val="bottom"/>
          </w:tcPr>
          <w:p w14:paraId="6C46DBCF" w14:textId="61109F56" w:rsidR="00D84931" w:rsidRPr="001D41EA" w:rsidRDefault="00D84931" w:rsidP="00D84931">
            <w:pPr>
              <w:spacing w:before="40" w:after="20"/>
              <w:jc w:val="right"/>
              <w:rPr>
                <w:rFonts w:cs="Arial"/>
                <w:sz w:val="18"/>
                <w:szCs w:val="18"/>
              </w:rPr>
            </w:pPr>
            <w:r w:rsidRPr="001D41EA">
              <w:rPr>
                <w:rFonts w:cs="Arial"/>
                <w:sz w:val="18"/>
                <w:szCs w:val="18"/>
              </w:rPr>
              <w:t> </w:t>
            </w:r>
          </w:p>
        </w:tc>
        <w:tc>
          <w:tcPr>
            <w:tcW w:w="1701" w:type="dxa"/>
            <w:tcBorders>
              <w:top w:val="nil"/>
              <w:left w:val="nil"/>
              <w:bottom w:val="single" w:sz="8" w:space="0" w:color="5F497A" w:themeColor="accent4" w:themeShade="BF"/>
              <w:right w:val="nil"/>
            </w:tcBorders>
            <w:vAlign w:val="bottom"/>
          </w:tcPr>
          <w:p w14:paraId="756B8FE8" w14:textId="77777777" w:rsidR="00D84931" w:rsidRPr="001D41EA" w:rsidRDefault="00D84931" w:rsidP="00D84931">
            <w:pPr>
              <w:spacing w:before="40" w:after="20"/>
              <w:jc w:val="right"/>
              <w:rPr>
                <w:rFonts w:cs="Arial"/>
                <w:sz w:val="18"/>
                <w:szCs w:val="18"/>
              </w:rPr>
            </w:pPr>
          </w:p>
        </w:tc>
        <w:tc>
          <w:tcPr>
            <w:tcW w:w="1701" w:type="dxa"/>
            <w:tcBorders>
              <w:top w:val="nil"/>
              <w:left w:val="nil"/>
              <w:bottom w:val="single" w:sz="8" w:space="0" w:color="5F497A" w:themeColor="accent4" w:themeShade="BF"/>
              <w:right w:val="nil"/>
            </w:tcBorders>
            <w:shd w:val="clear" w:color="auto" w:fill="auto"/>
            <w:noWrap/>
            <w:vAlign w:val="bottom"/>
          </w:tcPr>
          <w:p w14:paraId="3A7CA3DA" w14:textId="77777777" w:rsidR="00D84931" w:rsidRPr="001D41EA" w:rsidRDefault="00D84931" w:rsidP="00D84931">
            <w:pPr>
              <w:spacing w:before="40" w:after="20"/>
              <w:jc w:val="right"/>
              <w:rPr>
                <w:rFonts w:cs="Arial"/>
                <w:sz w:val="18"/>
                <w:szCs w:val="18"/>
              </w:rPr>
            </w:pPr>
          </w:p>
        </w:tc>
        <w:tc>
          <w:tcPr>
            <w:tcW w:w="1701" w:type="dxa"/>
            <w:tcBorders>
              <w:top w:val="nil"/>
              <w:left w:val="nil"/>
              <w:bottom w:val="single" w:sz="8" w:space="0" w:color="5F497A" w:themeColor="accent4" w:themeShade="BF"/>
              <w:right w:val="nil"/>
            </w:tcBorders>
            <w:vAlign w:val="bottom"/>
          </w:tcPr>
          <w:p w14:paraId="5AA6C3AD" w14:textId="55BD9822" w:rsidR="00D84931" w:rsidRPr="001D41EA" w:rsidRDefault="00D84931" w:rsidP="00D84931">
            <w:pPr>
              <w:spacing w:before="40" w:after="20"/>
              <w:jc w:val="right"/>
              <w:rPr>
                <w:rFonts w:cs="Arial"/>
                <w:sz w:val="18"/>
                <w:szCs w:val="18"/>
              </w:rPr>
            </w:pPr>
            <w:r w:rsidRPr="001D41EA">
              <w:rPr>
                <w:rFonts w:cs="Arial"/>
                <w:sz w:val="18"/>
                <w:szCs w:val="18"/>
              </w:rPr>
              <w:t> </w:t>
            </w:r>
          </w:p>
        </w:tc>
      </w:tr>
      <w:tr w:rsidR="00D84931" w:rsidRPr="001D41EA" w14:paraId="1B63474E" w14:textId="77777777" w:rsidTr="00B44BBE">
        <w:tc>
          <w:tcPr>
            <w:tcW w:w="2268" w:type="dxa"/>
            <w:tcBorders>
              <w:top w:val="nil"/>
              <w:left w:val="nil"/>
              <w:bottom w:val="nil"/>
              <w:right w:val="single" w:sz="18" w:space="0" w:color="5F497A" w:themeColor="accent4" w:themeShade="BF"/>
            </w:tcBorders>
            <w:shd w:val="clear" w:color="auto" w:fill="auto"/>
            <w:noWrap/>
            <w:vAlign w:val="center"/>
          </w:tcPr>
          <w:p w14:paraId="035605CB" w14:textId="77777777" w:rsidR="00D84931" w:rsidRPr="001D41EA" w:rsidRDefault="00D84931" w:rsidP="00D84931">
            <w:pPr>
              <w:spacing w:before="40" w:after="20"/>
              <w:rPr>
                <w:rFonts w:cs="Arial"/>
                <w:sz w:val="18"/>
                <w:szCs w:val="18"/>
              </w:rPr>
            </w:pPr>
          </w:p>
        </w:tc>
        <w:tc>
          <w:tcPr>
            <w:tcW w:w="1701" w:type="dxa"/>
            <w:tcBorders>
              <w:top w:val="single" w:sz="8" w:space="0" w:color="5F497A" w:themeColor="accent4" w:themeShade="BF"/>
              <w:left w:val="single" w:sz="18" w:space="0" w:color="5F497A" w:themeColor="accent4" w:themeShade="BF"/>
              <w:right w:val="nil"/>
            </w:tcBorders>
            <w:shd w:val="clear" w:color="auto" w:fill="auto"/>
            <w:noWrap/>
            <w:vAlign w:val="bottom"/>
          </w:tcPr>
          <w:p w14:paraId="1628E476" w14:textId="65822DC9" w:rsidR="00D84931" w:rsidRPr="001D41EA" w:rsidRDefault="00D84931" w:rsidP="00D84931">
            <w:pPr>
              <w:spacing w:before="40" w:after="20"/>
              <w:jc w:val="right"/>
              <w:rPr>
                <w:rFonts w:cs="Arial"/>
                <w:b/>
                <w:sz w:val="18"/>
                <w:szCs w:val="18"/>
              </w:rPr>
            </w:pPr>
            <w:r w:rsidRPr="001D41EA">
              <w:rPr>
                <w:rFonts w:cs="Arial"/>
                <w:b/>
                <w:sz w:val="18"/>
                <w:szCs w:val="18"/>
              </w:rPr>
              <w:t>4,088,420,927</w:t>
            </w:r>
          </w:p>
        </w:tc>
        <w:tc>
          <w:tcPr>
            <w:tcW w:w="1701" w:type="dxa"/>
            <w:tcBorders>
              <w:top w:val="single" w:sz="8" w:space="0" w:color="5F497A" w:themeColor="accent4" w:themeShade="BF"/>
              <w:left w:val="nil"/>
              <w:right w:val="nil"/>
            </w:tcBorders>
            <w:vAlign w:val="bottom"/>
          </w:tcPr>
          <w:p w14:paraId="39D140AF" w14:textId="4E236544" w:rsidR="00D84931" w:rsidRPr="001D41EA" w:rsidRDefault="00D84931" w:rsidP="00D84931">
            <w:pPr>
              <w:spacing w:before="40" w:after="20"/>
              <w:jc w:val="right"/>
              <w:rPr>
                <w:rFonts w:cs="Arial"/>
                <w:b/>
                <w:sz w:val="18"/>
                <w:szCs w:val="18"/>
              </w:rPr>
            </w:pPr>
            <w:r w:rsidRPr="001D41EA">
              <w:rPr>
                <w:rFonts w:cs="Arial"/>
                <w:b/>
                <w:sz w:val="18"/>
                <w:szCs w:val="18"/>
              </w:rPr>
              <w:t>931,456,450</w:t>
            </w:r>
          </w:p>
        </w:tc>
        <w:tc>
          <w:tcPr>
            <w:tcW w:w="1701" w:type="dxa"/>
            <w:tcBorders>
              <w:top w:val="single" w:sz="8" w:space="0" w:color="5F497A" w:themeColor="accent4" w:themeShade="BF"/>
              <w:left w:val="nil"/>
              <w:right w:val="nil"/>
            </w:tcBorders>
            <w:shd w:val="clear" w:color="auto" w:fill="auto"/>
            <w:noWrap/>
            <w:vAlign w:val="bottom"/>
          </w:tcPr>
          <w:p w14:paraId="2BAB4DCC" w14:textId="3EF0B519" w:rsidR="00D84931" w:rsidRPr="001D41EA" w:rsidRDefault="00D84931" w:rsidP="00D84931">
            <w:pPr>
              <w:spacing w:before="40" w:after="20"/>
              <w:jc w:val="right"/>
              <w:rPr>
                <w:rFonts w:cs="Arial"/>
                <w:b/>
                <w:sz w:val="18"/>
                <w:szCs w:val="18"/>
              </w:rPr>
            </w:pPr>
            <w:r w:rsidRPr="001D41EA">
              <w:rPr>
                <w:rFonts w:cs="Arial"/>
                <w:b/>
                <w:sz w:val="18"/>
                <w:szCs w:val="18"/>
              </w:rPr>
              <w:t>288,160,382</w:t>
            </w:r>
          </w:p>
        </w:tc>
        <w:tc>
          <w:tcPr>
            <w:tcW w:w="1701" w:type="dxa"/>
            <w:tcBorders>
              <w:top w:val="single" w:sz="8" w:space="0" w:color="5F497A" w:themeColor="accent4" w:themeShade="BF"/>
              <w:left w:val="nil"/>
              <w:right w:val="nil"/>
            </w:tcBorders>
            <w:vAlign w:val="bottom"/>
          </w:tcPr>
          <w:p w14:paraId="65D444E1" w14:textId="3360604B" w:rsidR="00D84931" w:rsidRPr="001D41EA" w:rsidRDefault="00D84931" w:rsidP="00D84931">
            <w:pPr>
              <w:spacing w:before="40" w:after="20"/>
              <w:jc w:val="right"/>
              <w:rPr>
                <w:rFonts w:cs="Arial"/>
                <w:b/>
                <w:sz w:val="18"/>
                <w:szCs w:val="18"/>
              </w:rPr>
            </w:pPr>
            <w:r w:rsidRPr="001D41EA">
              <w:rPr>
                <w:rFonts w:cs="Arial"/>
                <w:b/>
                <w:sz w:val="18"/>
                <w:szCs w:val="18"/>
              </w:rPr>
              <w:t>5,308,037,759</w:t>
            </w:r>
          </w:p>
        </w:tc>
      </w:tr>
    </w:tbl>
    <w:p w14:paraId="4AB32D76" w14:textId="77777777" w:rsidR="00713C86" w:rsidRPr="00A44829" w:rsidRDefault="00713C86" w:rsidP="00FF36E8">
      <w:pPr>
        <w:spacing w:before="40" w:after="20"/>
        <w:rPr>
          <w:rFonts w:cs="Arial"/>
          <w:sz w:val="18"/>
          <w:szCs w:val="18"/>
        </w:rPr>
      </w:pPr>
      <w:r w:rsidRPr="00A44829">
        <w:rPr>
          <w:rFonts w:cs="Arial"/>
          <w:sz w:val="18"/>
          <w:szCs w:val="18"/>
        </w:rPr>
        <w:br w:type="page"/>
      </w:r>
    </w:p>
    <w:p w14:paraId="56E3F590" w14:textId="21C7A9E7" w:rsidR="00713C86" w:rsidRPr="00A44829" w:rsidRDefault="00EE4593" w:rsidP="00C33713">
      <w:pPr>
        <w:pStyle w:val="VGC-Head10"/>
      </w:pPr>
      <w:r w:rsidRPr="00A44829">
        <w:lastRenderedPageBreak/>
        <w:t>2019-20</w:t>
      </w:r>
      <w:r w:rsidR="00A97ABE" w:rsidRPr="00A44829">
        <w:t xml:space="preserve"> </w:t>
      </w:r>
      <w:r w:rsidR="00713C86" w:rsidRPr="00A44829">
        <w:t>General Purpose Grants</w:t>
      </w:r>
      <w:r w:rsidR="00713C86" w:rsidRPr="00A44829">
        <w:tab/>
        <w:t>Appendix 4</w:t>
      </w:r>
    </w:p>
    <w:p w14:paraId="02506C29" w14:textId="77777777" w:rsidR="00713C86" w:rsidRPr="00A44829" w:rsidRDefault="004F1184" w:rsidP="008C1A28">
      <w:pPr>
        <w:pStyle w:val="VGC-Head2"/>
      </w:pPr>
      <w:r w:rsidRPr="00A44829">
        <w:tab/>
      </w:r>
      <w:r w:rsidR="00713C86" w:rsidRPr="00A44829">
        <w:t>J.  Standardised Rate Revenue</w:t>
      </w:r>
    </w:p>
    <w:p w14:paraId="62520203" w14:textId="77777777" w:rsidR="00713C86" w:rsidRPr="00A44829"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A44829" w14:paraId="7B689025" w14:textId="77777777" w:rsidTr="00B44BBE">
        <w:trPr>
          <w:tblHeader/>
        </w:trPr>
        <w:tc>
          <w:tcPr>
            <w:tcW w:w="2268" w:type="dxa"/>
            <w:tcBorders>
              <w:left w:val="nil"/>
              <w:right w:val="single" w:sz="18" w:space="0" w:color="5F497A" w:themeColor="accent4" w:themeShade="BF"/>
            </w:tcBorders>
            <w:shd w:val="clear" w:color="auto" w:fill="auto"/>
            <w:vAlign w:val="bottom"/>
          </w:tcPr>
          <w:p w14:paraId="7F2411DE" w14:textId="77777777" w:rsidR="00540FD9" w:rsidRPr="00A44829" w:rsidRDefault="00540FD9" w:rsidP="0038375E">
            <w:pPr>
              <w:spacing w:before="40" w:after="20"/>
              <w:jc w:val="center"/>
              <w:rPr>
                <w:rFonts w:cs="Arial"/>
                <w:sz w:val="18"/>
                <w:szCs w:val="18"/>
              </w:rPr>
            </w:pPr>
          </w:p>
        </w:tc>
        <w:tc>
          <w:tcPr>
            <w:tcW w:w="6804" w:type="dxa"/>
            <w:gridSpan w:val="4"/>
            <w:tcBorders>
              <w:left w:val="single" w:sz="18" w:space="0" w:color="5F497A" w:themeColor="accent4" w:themeShade="BF"/>
              <w:bottom w:val="single" w:sz="8" w:space="0" w:color="5F497A" w:themeColor="accent4" w:themeShade="BF"/>
              <w:right w:val="nil"/>
            </w:tcBorders>
            <w:shd w:val="clear" w:color="auto" w:fill="auto"/>
            <w:vAlign w:val="bottom"/>
          </w:tcPr>
          <w:p w14:paraId="25CE6E42" w14:textId="77777777" w:rsidR="00540FD9" w:rsidRPr="00A44829" w:rsidRDefault="008D3EF8" w:rsidP="0038375E">
            <w:pPr>
              <w:spacing w:before="40" w:after="20"/>
              <w:jc w:val="center"/>
              <w:rPr>
                <w:rFonts w:cs="Arial"/>
                <w:b/>
                <w:sz w:val="18"/>
                <w:szCs w:val="18"/>
              </w:rPr>
            </w:pPr>
            <w:r w:rsidRPr="00A44829">
              <w:rPr>
                <w:rFonts w:cs="Arial"/>
                <w:b/>
                <w:sz w:val="18"/>
                <w:szCs w:val="18"/>
              </w:rPr>
              <w:t>4</w:t>
            </w:r>
            <w:r w:rsidR="00540FD9" w:rsidRPr="00A44829">
              <w:rPr>
                <w:rFonts w:cs="Arial"/>
                <w:b/>
                <w:sz w:val="18"/>
                <w:szCs w:val="18"/>
              </w:rPr>
              <w:t xml:space="preserve"> Year Average Valuations (CIV)</w:t>
            </w:r>
          </w:p>
        </w:tc>
      </w:tr>
      <w:tr w:rsidR="00540FD9" w:rsidRPr="00A44829" w14:paraId="78B9DCD0" w14:textId="77777777" w:rsidTr="00B44BBE">
        <w:trPr>
          <w:tblHeader/>
        </w:trPr>
        <w:tc>
          <w:tcPr>
            <w:tcW w:w="2268" w:type="dxa"/>
            <w:tcBorders>
              <w:left w:val="nil"/>
              <w:right w:val="single" w:sz="18" w:space="0" w:color="5F497A" w:themeColor="accent4" w:themeShade="BF"/>
            </w:tcBorders>
            <w:shd w:val="clear" w:color="auto" w:fill="auto"/>
            <w:vAlign w:val="bottom"/>
          </w:tcPr>
          <w:p w14:paraId="756EE827" w14:textId="77777777" w:rsidR="00540FD9" w:rsidRPr="00A44829" w:rsidRDefault="00540FD9" w:rsidP="0038375E">
            <w:pPr>
              <w:spacing w:before="40" w:after="20"/>
              <w:jc w:val="center"/>
              <w:rPr>
                <w:rFonts w:cs="Arial"/>
                <w:sz w:val="18"/>
                <w:szCs w:val="18"/>
              </w:rPr>
            </w:pPr>
          </w:p>
        </w:tc>
        <w:tc>
          <w:tcPr>
            <w:tcW w:w="170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3ACD252B" w14:textId="77777777" w:rsidR="00540FD9" w:rsidRPr="00A44829" w:rsidRDefault="00540FD9" w:rsidP="0038375E">
            <w:pPr>
              <w:spacing w:before="40" w:after="20"/>
              <w:jc w:val="center"/>
              <w:rPr>
                <w:rFonts w:cs="Arial"/>
                <w:sz w:val="16"/>
                <w:szCs w:val="16"/>
              </w:rPr>
            </w:pPr>
            <w:r w:rsidRPr="00A44829">
              <w:rPr>
                <w:rFonts w:cs="Arial"/>
                <w:sz w:val="16"/>
                <w:szCs w:val="16"/>
              </w:rPr>
              <w:t>Residential</w:t>
            </w:r>
            <w:r w:rsidRPr="00A44829">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6B17A5FB" w14:textId="77777777" w:rsidR="00540FD9" w:rsidRPr="00A44829" w:rsidRDefault="00540FD9" w:rsidP="0038375E">
            <w:pPr>
              <w:spacing w:before="40" w:after="20"/>
              <w:jc w:val="center"/>
              <w:rPr>
                <w:rFonts w:cs="Arial"/>
                <w:sz w:val="16"/>
                <w:szCs w:val="16"/>
              </w:rPr>
            </w:pPr>
            <w:r w:rsidRPr="00A44829">
              <w:rPr>
                <w:rFonts w:cs="Arial"/>
                <w:sz w:val="16"/>
                <w:szCs w:val="16"/>
              </w:rPr>
              <w:t>Commercial / Industrial (incl. Other)</w:t>
            </w:r>
            <w:r w:rsidRPr="00A44829">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05477357" w14:textId="77777777" w:rsidR="00540FD9" w:rsidRPr="00A44829" w:rsidRDefault="00540FD9" w:rsidP="0038375E">
            <w:pPr>
              <w:spacing w:before="40" w:after="20"/>
              <w:jc w:val="center"/>
              <w:rPr>
                <w:rFonts w:cs="Arial"/>
                <w:sz w:val="16"/>
                <w:szCs w:val="16"/>
              </w:rPr>
            </w:pPr>
            <w:r w:rsidRPr="00A44829">
              <w:rPr>
                <w:rFonts w:cs="Arial"/>
                <w:sz w:val="16"/>
                <w:szCs w:val="16"/>
              </w:rPr>
              <w:t>Farm</w:t>
            </w:r>
            <w:r w:rsidRPr="00A44829">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21208C7A" w14:textId="77777777" w:rsidR="00540FD9" w:rsidRPr="00A44829" w:rsidRDefault="00540FD9" w:rsidP="0038375E">
            <w:pPr>
              <w:spacing w:before="40" w:after="20"/>
              <w:jc w:val="center"/>
              <w:rPr>
                <w:rFonts w:cs="Arial"/>
                <w:sz w:val="16"/>
                <w:szCs w:val="16"/>
              </w:rPr>
            </w:pPr>
            <w:r w:rsidRPr="00A44829">
              <w:rPr>
                <w:rFonts w:cs="Arial"/>
                <w:sz w:val="16"/>
                <w:szCs w:val="16"/>
              </w:rPr>
              <w:t xml:space="preserve">Total </w:t>
            </w:r>
            <w:r w:rsidRPr="00A44829">
              <w:rPr>
                <w:rFonts w:cs="Arial"/>
                <w:sz w:val="16"/>
                <w:szCs w:val="16"/>
              </w:rPr>
              <w:br/>
              <w:t>($)</w:t>
            </w:r>
          </w:p>
        </w:tc>
      </w:tr>
      <w:tr w:rsidR="00D84931" w:rsidRPr="001D41EA" w14:paraId="5F59FCE2" w14:textId="77777777" w:rsidTr="00B44BBE">
        <w:trPr>
          <w:tblHeader/>
        </w:trPr>
        <w:tc>
          <w:tcPr>
            <w:tcW w:w="2268" w:type="dxa"/>
            <w:tcBorders>
              <w:left w:val="nil"/>
              <w:bottom w:val="nil"/>
              <w:right w:val="single" w:sz="18" w:space="0" w:color="5F497A" w:themeColor="accent4" w:themeShade="BF"/>
            </w:tcBorders>
            <w:shd w:val="clear" w:color="auto" w:fill="auto"/>
            <w:noWrap/>
            <w:vAlign w:val="center"/>
          </w:tcPr>
          <w:p w14:paraId="0D59161F" w14:textId="77777777" w:rsidR="00D84931" w:rsidRPr="001D41EA" w:rsidRDefault="00D84931" w:rsidP="00D84931">
            <w:pPr>
              <w:spacing w:before="40" w:after="20"/>
              <w:rPr>
                <w:rFonts w:cs="Arial"/>
                <w:sz w:val="18"/>
                <w:szCs w:val="18"/>
              </w:rPr>
            </w:pPr>
          </w:p>
        </w:tc>
        <w:tc>
          <w:tcPr>
            <w:tcW w:w="170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2DB24ECC" w14:textId="1989CAEA" w:rsidR="00D84931" w:rsidRPr="001D41EA" w:rsidRDefault="00D84931" w:rsidP="00D84931">
            <w:pPr>
              <w:spacing w:before="40" w:after="20"/>
              <w:jc w:val="right"/>
              <w:rPr>
                <w:rFonts w:cs="Arial"/>
                <w:sz w:val="18"/>
                <w:szCs w:val="18"/>
              </w:rPr>
            </w:pPr>
            <w:r w:rsidRPr="001D41EA">
              <w:rPr>
                <w:rFonts w:cs="Arial"/>
                <w:sz w:val="18"/>
                <w:szCs w:val="18"/>
              </w:rPr>
              <w:t> </w:t>
            </w:r>
          </w:p>
        </w:tc>
        <w:tc>
          <w:tcPr>
            <w:tcW w:w="1701" w:type="dxa"/>
            <w:tcBorders>
              <w:top w:val="single" w:sz="8" w:space="0" w:color="5F497A" w:themeColor="accent4" w:themeShade="BF"/>
              <w:left w:val="nil"/>
              <w:bottom w:val="nil"/>
              <w:right w:val="nil"/>
            </w:tcBorders>
            <w:vAlign w:val="bottom"/>
          </w:tcPr>
          <w:p w14:paraId="2C85B00B" w14:textId="77777777" w:rsidR="00D84931" w:rsidRPr="001D41EA" w:rsidRDefault="00D84931" w:rsidP="00D84931">
            <w:pPr>
              <w:spacing w:before="40" w:after="20"/>
              <w:jc w:val="right"/>
              <w:rPr>
                <w:rFonts w:cs="Arial"/>
                <w:sz w:val="18"/>
                <w:szCs w:val="18"/>
              </w:rPr>
            </w:pPr>
          </w:p>
        </w:tc>
        <w:tc>
          <w:tcPr>
            <w:tcW w:w="1701" w:type="dxa"/>
            <w:tcBorders>
              <w:top w:val="single" w:sz="8" w:space="0" w:color="5F497A" w:themeColor="accent4" w:themeShade="BF"/>
              <w:left w:val="nil"/>
              <w:bottom w:val="nil"/>
              <w:right w:val="nil"/>
            </w:tcBorders>
            <w:shd w:val="clear" w:color="auto" w:fill="auto"/>
            <w:noWrap/>
            <w:vAlign w:val="bottom"/>
          </w:tcPr>
          <w:p w14:paraId="1FBF57DC" w14:textId="77777777" w:rsidR="00D84931" w:rsidRPr="001D41EA" w:rsidRDefault="00D84931" w:rsidP="00D84931">
            <w:pPr>
              <w:spacing w:before="40" w:after="20"/>
              <w:jc w:val="right"/>
              <w:rPr>
                <w:rFonts w:cs="Arial"/>
                <w:sz w:val="18"/>
                <w:szCs w:val="18"/>
              </w:rPr>
            </w:pPr>
          </w:p>
        </w:tc>
        <w:tc>
          <w:tcPr>
            <w:tcW w:w="1701" w:type="dxa"/>
            <w:tcBorders>
              <w:top w:val="single" w:sz="8" w:space="0" w:color="5F497A" w:themeColor="accent4" w:themeShade="BF"/>
              <w:left w:val="nil"/>
              <w:bottom w:val="nil"/>
              <w:right w:val="nil"/>
            </w:tcBorders>
            <w:vAlign w:val="bottom"/>
          </w:tcPr>
          <w:p w14:paraId="0A9A5FCD" w14:textId="113F0513" w:rsidR="00D84931" w:rsidRPr="001D41EA" w:rsidRDefault="00D84931" w:rsidP="00D84931">
            <w:pPr>
              <w:spacing w:before="40" w:after="20"/>
              <w:jc w:val="right"/>
              <w:rPr>
                <w:rFonts w:cs="Arial"/>
                <w:sz w:val="18"/>
                <w:szCs w:val="18"/>
              </w:rPr>
            </w:pPr>
            <w:r w:rsidRPr="001D41EA">
              <w:rPr>
                <w:rFonts w:cs="Arial"/>
                <w:sz w:val="18"/>
                <w:szCs w:val="18"/>
              </w:rPr>
              <w:t> </w:t>
            </w:r>
          </w:p>
        </w:tc>
      </w:tr>
      <w:tr w:rsidR="00D84931" w:rsidRPr="001D41EA" w14:paraId="43136AB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A4759E6" w14:textId="77777777" w:rsidR="00D84931" w:rsidRPr="001D41EA" w:rsidRDefault="00D84931" w:rsidP="00D84931">
            <w:pPr>
              <w:spacing w:before="40" w:after="20"/>
              <w:rPr>
                <w:rFonts w:cs="Arial"/>
                <w:sz w:val="18"/>
                <w:szCs w:val="18"/>
              </w:rPr>
            </w:pPr>
            <w:r w:rsidRPr="001D41EA">
              <w:rPr>
                <w:rFonts w:cs="Arial"/>
                <w:sz w:val="18"/>
                <w:szCs w:val="18"/>
              </w:rPr>
              <w:t>Macedon Ranges S</w:t>
            </w:r>
          </w:p>
        </w:tc>
        <w:tc>
          <w:tcPr>
            <w:tcW w:w="1701" w:type="dxa"/>
            <w:tcBorders>
              <w:top w:val="nil"/>
              <w:left w:val="single" w:sz="18" w:space="0" w:color="5F497A" w:themeColor="accent4" w:themeShade="BF"/>
              <w:bottom w:val="nil"/>
              <w:right w:val="nil"/>
            </w:tcBorders>
            <w:shd w:val="clear" w:color="auto" w:fill="auto"/>
            <w:noWrap/>
            <w:vAlign w:val="bottom"/>
          </w:tcPr>
          <w:p w14:paraId="3E508055" w14:textId="39B25D01" w:rsidR="00D84931" w:rsidRPr="001D41EA" w:rsidRDefault="00D84931" w:rsidP="00D84931">
            <w:pPr>
              <w:spacing w:before="40" w:after="20"/>
              <w:jc w:val="right"/>
              <w:rPr>
                <w:rFonts w:cs="Arial"/>
                <w:sz w:val="18"/>
                <w:szCs w:val="18"/>
              </w:rPr>
            </w:pPr>
            <w:r w:rsidRPr="001D41EA">
              <w:rPr>
                <w:rFonts w:cs="Arial"/>
                <w:sz w:val="18"/>
                <w:szCs w:val="18"/>
              </w:rPr>
              <w:t>9,879,375,500</w:t>
            </w:r>
          </w:p>
        </w:tc>
        <w:tc>
          <w:tcPr>
            <w:tcW w:w="1701" w:type="dxa"/>
            <w:tcBorders>
              <w:top w:val="nil"/>
              <w:left w:val="nil"/>
              <w:bottom w:val="nil"/>
              <w:right w:val="nil"/>
            </w:tcBorders>
            <w:vAlign w:val="bottom"/>
          </w:tcPr>
          <w:p w14:paraId="31580410" w14:textId="0AA6C48F" w:rsidR="00D84931" w:rsidRPr="001D41EA" w:rsidRDefault="00D84931" w:rsidP="00D84931">
            <w:pPr>
              <w:spacing w:before="40" w:after="20"/>
              <w:jc w:val="right"/>
              <w:rPr>
                <w:rFonts w:cs="Arial"/>
                <w:sz w:val="18"/>
                <w:szCs w:val="18"/>
              </w:rPr>
            </w:pPr>
            <w:r w:rsidRPr="001D41EA">
              <w:rPr>
                <w:rFonts w:cs="Arial"/>
                <w:sz w:val="18"/>
                <w:szCs w:val="18"/>
              </w:rPr>
              <w:t>632,347,563</w:t>
            </w:r>
          </w:p>
        </w:tc>
        <w:tc>
          <w:tcPr>
            <w:tcW w:w="1701" w:type="dxa"/>
            <w:tcBorders>
              <w:top w:val="nil"/>
              <w:left w:val="nil"/>
              <w:bottom w:val="nil"/>
              <w:right w:val="nil"/>
            </w:tcBorders>
            <w:shd w:val="clear" w:color="auto" w:fill="auto"/>
            <w:noWrap/>
            <w:vAlign w:val="bottom"/>
          </w:tcPr>
          <w:p w14:paraId="18A0A2B8" w14:textId="3ACF6995" w:rsidR="00D84931" w:rsidRPr="001D41EA" w:rsidRDefault="00D84931" w:rsidP="00D84931">
            <w:pPr>
              <w:spacing w:before="40" w:after="20"/>
              <w:jc w:val="right"/>
              <w:rPr>
                <w:rFonts w:cs="Arial"/>
                <w:sz w:val="18"/>
                <w:szCs w:val="18"/>
              </w:rPr>
            </w:pPr>
            <w:r w:rsidRPr="001D41EA">
              <w:rPr>
                <w:rFonts w:cs="Arial"/>
                <w:sz w:val="18"/>
                <w:szCs w:val="18"/>
              </w:rPr>
              <w:t>929,402,000</w:t>
            </w:r>
          </w:p>
        </w:tc>
        <w:tc>
          <w:tcPr>
            <w:tcW w:w="1701" w:type="dxa"/>
            <w:tcBorders>
              <w:top w:val="nil"/>
              <w:left w:val="nil"/>
              <w:bottom w:val="nil"/>
              <w:right w:val="nil"/>
            </w:tcBorders>
            <w:vAlign w:val="bottom"/>
          </w:tcPr>
          <w:p w14:paraId="658F3C91" w14:textId="4212457B" w:rsidR="00D84931" w:rsidRPr="001D41EA" w:rsidRDefault="00D84931" w:rsidP="00D84931">
            <w:pPr>
              <w:spacing w:before="40" w:after="20"/>
              <w:jc w:val="right"/>
              <w:rPr>
                <w:rFonts w:cs="Arial"/>
                <w:sz w:val="18"/>
                <w:szCs w:val="18"/>
              </w:rPr>
            </w:pPr>
            <w:r w:rsidRPr="001D41EA">
              <w:rPr>
                <w:rFonts w:cs="Arial"/>
                <w:sz w:val="18"/>
                <w:szCs w:val="18"/>
              </w:rPr>
              <w:t>11,441,125,063</w:t>
            </w:r>
          </w:p>
        </w:tc>
      </w:tr>
      <w:tr w:rsidR="00D84931" w:rsidRPr="001D41EA" w14:paraId="2EBCCA2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AF16809" w14:textId="77777777" w:rsidR="00D84931" w:rsidRPr="001D41EA" w:rsidRDefault="00D84931" w:rsidP="00D84931">
            <w:pPr>
              <w:spacing w:before="40" w:after="20"/>
              <w:rPr>
                <w:rFonts w:cs="Arial"/>
                <w:sz w:val="18"/>
                <w:szCs w:val="18"/>
              </w:rPr>
            </w:pPr>
            <w:r w:rsidRPr="001D41EA">
              <w:rPr>
                <w:rFonts w:cs="Arial"/>
                <w:sz w:val="18"/>
                <w:szCs w:val="18"/>
              </w:rPr>
              <w:t>Manningham C</w:t>
            </w:r>
          </w:p>
        </w:tc>
        <w:tc>
          <w:tcPr>
            <w:tcW w:w="1701" w:type="dxa"/>
            <w:tcBorders>
              <w:top w:val="nil"/>
              <w:left w:val="single" w:sz="18" w:space="0" w:color="5F497A" w:themeColor="accent4" w:themeShade="BF"/>
              <w:bottom w:val="nil"/>
              <w:right w:val="nil"/>
            </w:tcBorders>
            <w:shd w:val="clear" w:color="auto" w:fill="auto"/>
            <w:noWrap/>
            <w:vAlign w:val="bottom"/>
          </w:tcPr>
          <w:p w14:paraId="7A3109A4" w14:textId="52005D0B" w:rsidR="00D84931" w:rsidRPr="001D41EA" w:rsidRDefault="00D84931" w:rsidP="00D84931">
            <w:pPr>
              <w:spacing w:before="40" w:after="20"/>
              <w:jc w:val="right"/>
              <w:rPr>
                <w:rFonts w:cs="Arial"/>
                <w:sz w:val="18"/>
                <w:szCs w:val="18"/>
              </w:rPr>
            </w:pPr>
            <w:r w:rsidRPr="001D41EA">
              <w:rPr>
                <w:rFonts w:cs="Arial"/>
                <w:sz w:val="18"/>
                <w:szCs w:val="18"/>
              </w:rPr>
              <w:t>38,807,143,500</w:t>
            </w:r>
          </w:p>
        </w:tc>
        <w:tc>
          <w:tcPr>
            <w:tcW w:w="1701" w:type="dxa"/>
            <w:tcBorders>
              <w:top w:val="nil"/>
              <w:left w:val="nil"/>
              <w:bottom w:val="nil"/>
              <w:right w:val="nil"/>
            </w:tcBorders>
            <w:vAlign w:val="bottom"/>
          </w:tcPr>
          <w:p w14:paraId="464BD9C1" w14:textId="72FE5545" w:rsidR="00D84931" w:rsidRPr="001D41EA" w:rsidRDefault="00D84931" w:rsidP="00D84931">
            <w:pPr>
              <w:spacing w:before="40" w:after="20"/>
              <w:jc w:val="right"/>
              <w:rPr>
                <w:rFonts w:cs="Arial"/>
                <w:sz w:val="18"/>
                <w:szCs w:val="18"/>
              </w:rPr>
            </w:pPr>
            <w:r w:rsidRPr="001D41EA">
              <w:rPr>
                <w:rFonts w:cs="Arial"/>
                <w:sz w:val="18"/>
                <w:szCs w:val="18"/>
              </w:rPr>
              <w:t>3,078,941,000</w:t>
            </w:r>
          </w:p>
        </w:tc>
        <w:tc>
          <w:tcPr>
            <w:tcW w:w="1701" w:type="dxa"/>
            <w:tcBorders>
              <w:top w:val="nil"/>
              <w:left w:val="nil"/>
              <w:bottom w:val="nil"/>
              <w:right w:val="nil"/>
            </w:tcBorders>
            <w:shd w:val="clear" w:color="auto" w:fill="auto"/>
            <w:noWrap/>
            <w:vAlign w:val="bottom"/>
          </w:tcPr>
          <w:p w14:paraId="66EDA0A5" w14:textId="221A35F3" w:rsidR="00D84931" w:rsidRPr="001D41EA" w:rsidRDefault="00D84931" w:rsidP="00D84931">
            <w:pPr>
              <w:spacing w:before="40" w:after="20"/>
              <w:jc w:val="right"/>
              <w:rPr>
                <w:rFonts w:cs="Arial"/>
                <w:sz w:val="18"/>
                <w:szCs w:val="18"/>
              </w:rPr>
            </w:pPr>
            <w:r w:rsidRPr="001D41EA">
              <w:rPr>
                <w:rFonts w:cs="Arial"/>
                <w:sz w:val="18"/>
                <w:szCs w:val="18"/>
              </w:rPr>
              <w:t>13,612,500</w:t>
            </w:r>
          </w:p>
        </w:tc>
        <w:tc>
          <w:tcPr>
            <w:tcW w:w="1701" w:type="dxa"/>
            <w:tcBorders>
              <w:top w:val="nil"/>
              <w:left w:val="nil"/>
              <w:bottom w:val="nil"/>
              <w:right w:val="nil"/>
            </w:tcBorders>
            <w:vAlign w:val="bottom"/>
          </w:tcPr>
          <w:p w14:paraId="4538CA7C" w14:textId="629464BF" w:rsidR="00D84931" w:rsidRPr="001D41EA" w:rsidRDefault="00D84931" w:rsidP="00D84931">
            <w:pPr>
              <w:spacing w:before="40" w:after="20"/>
              <w:jc w:val="right"/>
              <w:rPr>
                <w:rFonts w:cs="Arial"/>
                <w:sz w:val="18"/>
                <w:szCs w:val="18"/>
              </w:rPr>
            </w:pPr>
            <w:r w:rsidRPr="001D41EA">
              <w:rPr>
                <w:rFonts w:cs="Arial"/>
                <w:sz w:val="18"/>
                <w:szCs w:val="18"/>
              </w:rPr>
              <w:t>41,899,697,000</w:t>
            </w:r>
          </w:p>
        </w:tc>
      </w:tr>
      <w:tr w:rsidR="00D84931" w:rsidRPr="001D41EA" w14:paraId="272C244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BA3B1C7" w14:textId="77777777" w:rsidR="00D84931" w:rsidRPr="001D41EA" w:rsidRDefault="00D84931" w:rsidP="00D84931">
            <w:pPr>
              <w:spacing w:before="40" w:after="20"/>
              <w:rPr>
                <w:rFonts w:cs="Arial"/>
                <w:sz w:val="18"/>
                <w:szCs w:val="18"/>
              </w:rPr>
            </w:pPr>
            <w:r w:rsidRPr="001D41EA">
              <w:rPr>
                <w:rFonts w:cs="Arial"/>
                <w:sz w:val="18"/>
                <w:szCs w:val="18"/>
              </w:rPr>
              <w:t>Mansfield S</w:t>
            </w:r>
          </w:p>
        </w:tc>
        <w:tc>
          <w:tcPr>
            <w:tcW w:w="1701" w:type="dxa"/>
            <w:tcBorders>
              <w:top w:val="nil"/>
              <w:left w:val="single" w:sz="18" w:space="0" w:color="5F497A" w:themeColor="accent4" w:themeShade="BF"/>
              <w:bottom w:val="nil"/>
              <w:right w:val="nil"/>
            </w:tcBorders>
            <w:shd w:val="clear" w:color="auto" w:fill="auto"/>
            <w:noWrap/>
            <w:vAlign w:val="bottom"/>
          </w:tcPr>
          <w:p w14:paraId="71E7EBF1" w14:textId="71E9D970" w:rsidR="00D84931" w:rsidRPr="001D41EA" w:rsidRDefault="00D84931" w:rsidP="00D84931">
            <w:pPr>
              <w:spacing w:before="40" w:after="20"/>
              <w:jc w:val="right"/>
              <w:rPr>
                <w:rFonts w:cs="Arial"/>
                <w:sz w:val="18"/>
                <w:szCs w:val="18"/>
              </w:rPr>
            </w:pPr>
            <w:r w:rsidRPr="001D41EA">
              <w:rPr>
                <w:rFonts w:cs="Arial"/>
                <w:sz w:val="18"/>
                <w:szCs w:val="18"/>
              </w:rPr>
              <w:t>2,066,806,325</w:t>
            </w:r>
          </w:p>
        </w:tc>
        <w:tc>
          <w:tcPr>
            <w:tcW w:w="1701" w:type="dxa"/>
            <w:tcBorders>
              <w:top w:val="nil"/>
              <w:left w:val="nil"/>
              <w:bottom w:val="nil"/>
              <w:right w:val="nil"/>
            </w:tcBorders>
            <w:vAlign w:val="bottom"/>
          </w:tcPr>
          <w:p w14:paraId="695375C8" w14:textId="334786AA" w:rsidR="00D84931" w:rsidRPr="001D41EA" w:rsidRDefault="00D84931" w:rsidP="00D84931">
            <w:pPr>
              <w:spacing w:before="40" w:after="20"/>
              <w:jc w:val="right"/>
              <w:rPr>
                <w:rFonts w:cs="Arial"/>
                <w:sz w:val="18"/>
                <w:szCs w:val="18"/>
              </w:rPr>
            </w:pPr>
            <w:r w:rsidRPr="001D41EA">
              <w:rPr>
                <w:rFonts w:cs="Arial"/>
                <w:sz w:val="18"/>
                <w:szCs w:val="18"/>
              </w:rPr>
              <w:t>164,672,658</w:t>
            </w:r>
          </w:p>
        </w:tc>
        <w:tc>
          <w:tcPr>
            <w:tcW w:w="1701" w:type="dxa"/>
            <w:tcBorders>
              <w:top w:val="nil"/>
              <w:left w:val="nil"/>
              <w:bottom w:val="nil"/>
              <w:right w:val="nil"/>
            </w:tcBorders>
            <w:shd w:val="clear" w:color="auto" w:fill="auto"/>
            <w:noWrap/>
            <w:vAlign w:val="bottom"/>
          </w:tcPr>
          <w:p w14:paraId="41DA75F6" w14:textId="5A05EDAA" w:rsidR="00D84931" w:rsidRPr="001D41EA" w:rsidRDefault="00D84931" w:rsidP="00D84931">
            <w:pPr>
              <w:spacing w:before="40" w:after="20"/>
              <w:jc w:val="right"/>
              <w:rPr>
                <w:rFonts w:cs="Arial"/>
                <w:sz w:val="18"/>
                <w:szCs w:val="18"/>
              </w:rPr>
            </w:pPr>
            <w:r w:rsidRPr="001D41EA">
              <w:rPr>
                <w:rFonts w:cs="Arial"/>
                <w:sz w:val="18"/>
                <w:szCs w:val="18"/>
              </w:rPr>
              <w:t>760,436,453</w:t>
            </w:r>
          </w:p>
        </w:tc>
        <w:tc>
          <w:tcPr>
            <w:tcW w:w="1701" w:type="dxa"/>
            <w:tcBorders>
              <w:top w:val="nil"/>
              <w:left w:val="nil"/>
              <w:bottom w:val="nil"/>
              <w:right w:val="nil"/>
            </w:tcBorders>
            <w:vAlign w:val="bottom"/>
          </w:tcPr>
          <w:p w14:paraId="74EC4551" w14:textId="307B7EA8" w:rsidR="00D84931" w:rsidRPr="001D41EA" w:rsidRDefault="00D84931" w:rsidP="00D84931">
            <w:pPr>
              <w:spacing w:before="40" w:after="20"/>
              <w:jc w:val="right"/>
              <w:rPr>
                <w:rFonts w:cs="Arial"/>
                <w:sz w:val="18"/>
                <w:szCs w:val="18"/>
              </w:rPr>
            </w:pPr>
            <w:r w:rsidRPr="001D41EA">
              <w:rPr>
                <w:rFonts w:cs="Arial"/>
                <w:sz w:val="18"/>
                <w:szCs w:val="18"/>
              </w:rPr>
              <w:t>2,991,915,437</w:t>
            </w:r>
          </w:p>
        </w:tc>
      </w:tr>
      <w:tr w:rsidR="00D84931" w:rsidRPr="001D41EA" w14:paraId="06469D3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379326D" w14:textId="77777777" w:rsidR="00D84931" w:rsidRPr="001D41EA" w:rsidRDefault="00D84931" w:rsidP="00D84931">
            <w:pPr>
              <w:spacing w:before="40" w:after="20"/>
              <w:rPr>
                <w:rFonts w:cs="Arial"/>
                <w:sz w:val="18"/>
                <w:szCs w:val="18"/>
              </w:rPr>
            </w:pPr>
            <w:r w:rsidRPr="001D41EA">
              <w:rPr>
                <w:rFonts w:cs="Arial"/>
                <w:sz w:val="18"/>
                <w:szCs w:val="18"/>
              </w:rPr>
              <w:t>Maribyrnong C</w:t>
            </w:r>
          </w:p>
        </w:tc>
        <w:tc>
          <w:tcPr>
            <w:tcW w:w="1701" w:type="dxa"/>
            <w:tcBorders>
              <w:top w:val="nil"/>
              <w:left w:val="single" w:sz="18" w:space="0" w:color="5F497A" w:themeColor="accent4" w:themeShade="BF"/>
              <w:bottom w:val="nil"/>
              <w:right w:val="nil"/>
            </w:tcBorders>
            <w:shd w:val="clear" w:color="auto" w:fill="auto"/>
            <w:noWrap/>
            <w:vAlign w:val="bottom"/>
          </w:tcPr>
          <w:p w14:paraId="3B906FFE" w14:textId="0CB6BC17" w:rsidR="00D84931" w:rsidRPr="001D41EA" w:rsidRDefault="00D84931" w:rsidP="00D84931">
            <w:pPr>
              <w:spacing w:before="40" w:after="20"/>
              <w:jc w:val="right"/>
              <w:rPr>
                <w:rFonts w:cs="Arial"/>
                <w:sz w:val="18"/>
                <w:szCs w:val="18"/>
              </w:rPr>
            </w:pPr>
            <w:r w:rsidRPr="001D41EA">
              <w:rPr>
                <w:rFonts w:cs="Arial"/>
                <w:sz w:val="18"/>
                <w:szCs w:val="18"/>
              </w:rPr>
              <w:t>19,894,613,751</w:t>
            </w:r>
          </w:p>
        </w:tc>
        <w:tc>
          <w:tcPr>
            <w:tcW w:w="1701" w:type="dxa"/>
            <w:tcBorders>
              <w:top w:val="nil"/>
              <w:left w:val="nil"/>
              <w:bottom w:val="nil"/>
              <w:right w:val="nil"/>
            </w:tcBorders>
            <w:vAlign w:val="bottom"/>
          </w:tcPr>
          <w:p w14:paraId="2F25286F" w14:textId="595A75A7" w:rsidR="00D84931" w:rsidRPr="001D41EA" w:rsidRDefault="00D84931" w:rsidP="00D84931">
            <w:pPr>
              <w:spacing w:before="40" w:after="20"/>
              <w:jc w:val="right"/>
              <w:rPr>
                <w:rFonts w:cs="Arial"/>
                <w:sz w:val="18"/>
                <w:szCs w:val="18"/>
              </w:rPr>
            </w:pPr>
            <w:r w:rsidRPr="001D41EA">
              <w:rPr>
                <w:rFonts w:cs="Arial"/>
                <w:sz w:val="18"/>
                <w:szCs w:val="18"/>
              </w:rPr>
              <w:t>5,071,728,537</w:t>
            </w:r>
          </w:p>
        </w:tc>
        <w:tc>
          <w:tcPr>
            <w:tcW w:w="1701" w:type="dxa"/>
            <w:tcBorders>
              <w:top w:val="nil"/>
              <w:left w:val="nil"/>
              <w:bottom w:val="nil"/>
              <w:right w:val="nil"/>
            </w:tcBorders>
            <w:shd w:val="clear" w:color="auto" w:fill="auto"/>
            <w:noWrap/>
            <w:vAlign w:val="bottom"/>
          </w:tcPr>
          <w:p w14:paraId="3F8CF6E7" w14:textId="7E606374"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1DE8C7D3" w14:textId="52D44689" w:rsidR="00D84931" w:rsidRPr="001D41EA" w:rsidRDefault="00D84931" w:rsidP="00D84931">
            <w:pPr>
              <w:spacing w:before="40" w:after="20"/>
              <w:jc w:val="right"/>
              <w:rPr>
                <w:rFonts w:cs="Arial"/>
                <w:sz w:val="18"/>
                <w:szCs w:val="18"/>
              </w:rPr>
            </w:pPr>
            <w:r w:rsidRPr="001D41EA">
              <w:rPr>
                <w:rFonts w:cs="Arial"/>
                <w:sz w:val="18"/>
                <w:szCs w:val="18"/>
              </w:rPr>
              <w:t>24,966,342,288</w:t>
            </w:r>
          </w:p>
        </w:tc>
      </w:tr>
      <w:tr w:rsidR="00D84931" w:rsidRPr="001D41EA" w14:paraId="119CF0B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E09AC87" w14:textId="77777777" w:rsidR="00D84931" w:rsidRPr="001D41EA" w:rsidRDefault="00D84931" w:rsidP="00D84931">
            <w:pPr>
              <w:spacing w:before="40" w:after="20"/>
              <w:rPr>
                <w:rFonts w:cs="Arial"/>
                <w:sz w:val="18"/>
                <w:szCs w:val="18"/>
              </w:rPr>
            </w:pPr>
            <w:r w:rsidRPr="001D41EA">
              <w:rPr>
                <w:rFonts w:cs="Arial"/>
                <w:sz w:val="18"/>
                <w:szCs w:val="18"/>
              </w:rPr>
              <w:t>Maroondah C</w:t>
            </w:r>
          </w:p>
        </w:tc>
        <w:tc>
          <w:tcPr>
            <w:tcW w:w="1701" w:type="dxa"/>
            <w:tcBorders>
              <w:top w:val="nil"/>
              <w:left w:val="single" w:sz="18" w:space="0" w:color="5F497A" w:themeColor="accent4" w:themeShade="BF"/>
              <w:bottom w:val="nil"/>
              <w:right w:val="nil"/>
            </w:tcBorders>
            <w:shd w:val="clear" w:color="auto" w:fill="auto"/>
            <w:noWrap/>
            <w:vAlign w:val="bottom"/>
          </w:tcPr>
          <w:p w14:paraId="342CB2AD" w14:textId="34A2D71A" w:rsidR="00D84931" w:rsidRPr="001D41EA" w:rsidRDefault="00D84931" w:rsidP="00D84931">
            <w:pPr>
              <w:spacing w:before="40" w:after="20"/>
              <w:jc w:val="right"/>
              <w:rPr>
                <w:rFonts w:cs="Arial"/>
                <w:sz w:val="18"/>
                <w:szCs w:val="18"/>
              </w:rPr>
            </w:pPr>
            <w:r w:rsidRPr="001D41EA">
              <w:rPr>
                <w:rFonts w:cs="Arial"/>
                <w:sz w:val="18"/>
                <w:szCs w:val="18"/>
              </w:rPr>
              <w:t>24,227,956,250</w:t>
            </w:r>
          </w:p>
        </w:tc>
        <w:tc>
          <w:tcPr>
            <w:tcW w:w="1701" w:type="dxa"/>
            <w:tcBorders>
              <w:top w:val="nil"/>
              <w:left w:val="nil"/>
              <w:bottom w:val="nil"/>
              <w:right w:val="nil"/>
            </w:tcBorders>
            <w:vAlign w:val="bottom"/>
          </w:tcPr>
          <w:p w14:paraId="31CF6573" w14:textId="6622D869" w:rsidR="00D84931" w:rsidRPr="001D41EA" w:rsidRDefault="00D84931" w:rsidP="00D84931">
            <w:pPr>
              <w:spacing w:before="40" w:after="20"/>
              <w:jc w:val="right"/>
              <w:rPr>
                <w:rFonts w:cs="Arial"/>
                <w:sz w:val="18"/>
                <w:szCs w:val="18"/>
              </w:rPr>
            </w:pPr>
            <w:r w:rsidRPr="001D41EA">
              <w:rPr>
                <w:rFonts w:cs="Arial"/>
                <w:sz w:val="18"/>
                <w:szCs w:val="18"/>
              </w:rPr>
              <w:t>4,072,440,396</w:t>
            </w:r>
          </w:p>
        </w:tc>
        <w:tc>
          <w:tcPr>
            <w:tcW w:w="1701" w:type="dxa"/>
            <w:tcBorders>
              <w:top w:val="nil"/>
              <w:left w:val="nil"/>
              <w:bottom w:val="nil"/>
              <w:right w:val="nil"/>
            </w:tcBorders>
            <w:shd w:val="clear" w:color="auto" w:fill="auto"/>
            <w:noWrap/>
            <w:vAlign w:val="bottom"/>
          </w:tcPr>
          <w:p w14:paraId="7C73B501" w14:textId="61D5176C"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7DF3EB75" w14:textId="46F07DEC" w:rsidR="00D84931" w:rsidRPr="001D41EA" w:rsidRDefault="00D84931" w:rsidP="00D84931">
            <w:pPr>
              <w:spacing w:before="40" w:after="20"/>
              <w:jc w:val="right"/>
              <w:rPr>
                <w:rFonts w:cs="Arial"/>
                <w:sz w:val="18"/>
                <w:szCs w:val="18"/>
              </w:rPr>
            </w:pPr>
            <w:r w:rsidRPr="001D41EA">
              <w:rPr>
                <w:rFonts w:cs="Arial"/>
                <w:sz w:val="18"/>
                <w:szCs w:val="18"/>
              </w:rPr>
              <w:t>28,300,396,646</w:t>
            </w:r>
          </w:p>
        </w:tc>
      </w:tr>
      <w:tr w:rsidR="00D84931" w:rsidRPr="001D41EA" w14:paraId="77920E5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CCACCFB" w14:textId="77777777" w:rsidR="00D84931" w:rsidRPr="001D41EA" w:rsidRDefault="00D84931" w:rsidP="00D84931">
            <w:pPr>
              <w:spacing w:before="40" w:after="20"/>
              <w:rPr>
                <w:rFonts w:cs="Arial"/>
                <w:sz w:val="18"/>
                <w:szCs w:val="18"/>
              </w:rPr>
            </w:pPr>
            <w:r w:rsidRPr="001D41EA">
              <w:rPr>
                <w:rFonts w:cs="Arial"/>
                <w:sz w:val="18"/>
                <w:szCs w:val="18"/>
              </w:rPr>
              <w:t>Melbourne C</w:t>
            </w:r>
          </w:p>
        </w:tc>
        <w:tc>
          <w:tcPr>
            <w:tcW w:w="1701" w:type="dxa"/>
            <w:tcBorders>
              <w:top w:val="nil"/>
              <w:left w:val="single" w:sz="18" w:space="0" w:color="5F497A" w:themeColor="accent4" w:themeShade="BF"/>
              <w:bottom w:val="nil"/>
              <w:right w:val="nil"/>
            </w:tcBorders>
            <w:shd w:val="clear" w:color="auto" w:fill="auto"/>
            <w:noWrap/>
            <w:vAlign w:val="bottom"/>
          </w:tcPr>
          <w:p w14:paraId="1B269DBD" w14:textId="131BB1F6" w:rsidR="00D84931" w:rsidRPr="001D41EA" w:rsidRDefault="00D84931" w:rsidP="00D84931">
            <w:pPr>
              <w:spacing w:before="40" w:after="20"/>
              <w:jc w:val="right"/>
              <w:rPr>
                <w:rFonts w:cs="Arial"/>
                <w:sz w:val="18"/>
                <w:szCs w:val="18"/>
              </w:rPr>
            </w:pPr>
            <w:r w:rsidRPr="001D41EA">
              <w:rPr>
                <w:rFonts w:cs="Arial"/>
                <w:sz w:val="18"/>
                <w:szCs w:val="18"/>
              </w:rPr>
              <w:t>45,667,337,955</w:t>
            </w:r>
          </w:p>
        </w:tc>
        <w:tc>
          <w:tcPr>
            <w:tcW w:w="1701" w:type="dxa"/>
            <w:tcBorders>
              <w:top w:val="nil"/>
              <w:left w:val="nil"/>
              <w:bottom w:val="nil"/>
              <w:right w:val="nil"/>
            </w:tcBorders>
            <w:vAlign w:val="bottom"/>
          </w:tcPr>
          <w:p w14:paraId="337E2C5C" w14:textId="2886DB13" w:rsidR="00D84931" w:rsidRPr="001D41EA" w:rsidRDefault="00D84931" w:rsidP="00D84931">
            <w:pPr>
              <w:spacing w:before="40" w:after="20"/>
              <w:jc w:val="right"/>
              <w:rPr>
                <w:rFonts w:cs="Arial"/>
                <w:sz w:val="18"/>
                <w:szCs w:val="18"/>
              </w:rPr>
            </w:pPr>
            <w:r w:rsidRPr="001D41EA">
              <w:rPr>
                <w:rFonts w:cs="Arial"/>
                <w:sz w:val="18"/>
                <w:szCs w:val="18"/>
              </w:rPr>
              <w:t>53,338,825,382</w:t>
            </w:r>
          </w:p>
        </w:tc>
        <w:tc>
          <w:tcPr>
            <w:tcW w:w="1701" w:type="dxa"/>
            <w:tcBorders>
              <w:top w:val="nil"/>
              <w:left w:val="nil"/>
              <w:bottom w:val="nil"/>
              <w:right w:val="nil"/>
            </w:tcBorders>
            <w:shd w:val="clear" w:color="auto" w:fill="auto"/>
            <w:noWrap/>
            <w:vAlign w:val="bottom"/>
          </w:tcPr>
          <w:p w14:paraId="0A7890F4" w14:textId="588F1DED"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4E5D97B6" w14:textId="057BE584" w:rsidR="00D84931" w:rsidRPr="001D41EA" w:rsidRDefault="00D84931" w:rsidP="00D84931">
            <w:pPr>
              <w:spacing w:before="40" w:after="20"/>
              <w:jc w:val="right"/>
              <w:rPr>
                <w:rFonts w:cs="Arial"/>
                <w:sz w:val="18"/>
                <w:szCs w:val="18"/>
              </w:rPr>
            </w:pPr>
            <w:r w:rsidRPr="001D41EA">
              <w:rPr>
                <w:rFonts w:cs="Arial"/>
                <w:sz w:val="18"/>
                <w:szCs w:val="18"/>
              </w:rPr>
              <w:t>99,006,163,337</w:t>
            </w:r>
          </w:p>
        </w:tc>
      </w:tr>
      <w:tr w:rsidR="00D84931" w:rsidRPr="001D41EA" w14:paraId="1EE3D9B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93DD92E" w14:textId="77777777" w:rsidR="00D84931" w:rsidRPr="001D41EA" w:rsidRDefault="00D84931" w:rsidP="00D84931">
            <w:pPr>
              <w:spacing w:before="40" w:after="20"/>
              <w:rPr>
                <w:rFonts w:cs="Arial"/>
                <w:sz w:val="18"/>
                <w:szCs w:val="18"/>
              </w:rPr>
            </w:pPr>
            <w:r w:rsidRPr="001D41EA">
              <w:rPr>
                <w:rFonts w:cs="Arial"/>
                <w:sz w:val="18"/>
                <w:szCs w:val="18"/>
              </w:rPr>
              <w:t>Melton C</w:t>
            </w:r>
          </w:p>
        </w:tc>
        <w:tc>
          <w:tcPr>
            <w:tcW w:w="1701" w:type="dxa"/>
            <w:tcBorders>
              <w:top w:val="nil"/>
              <w:left w:val="single" w:sz="18" w:space="0" w:color="5F497A" w:themeColor="accent4" w:themeShade="BF"/>
              <w:bottom w:val="nil"/>
              <w:right w:val="nil"/>
            </w:tcBorders>
            <w:shd w:val="clear" w:color="auto" w:fill="auto"/>
            <w:noWrap/>
            <w:vAlign w:val="bottom"/>
          </w:tcPr>
          <w:p w14:paraId="14C199FF" w14:textId="7D20B950" w:rsidR="00D84931" w:rsidRPr="001D41EA" w:rsidRDefault="00D84931" w:rsidP="00D84931">
            <w:pPr>
              <w:spacing w:before="40" w:after="20"/>
              <w:jc w:val="right"/>
              <w:rPr>
                <w:rFonts w:cs="Arial"/>
                <w:sz w:val="18"/>
                <w:szCs w:val="18"/>
              </w:rPr>
            </w:pPr>
            <w:r w:rsidRPr="001D41EA">
              <w:rPr>
                <w:rFonts w:cs="Arial"/>
                <w:sz w:val="18"/>
                <w:szCs w:val="18"/>
              </w:rPr>
              <w:t>18,308,689,000</w:t>
            </w:r>
          </w:p>
        </w:tc>
        <w:tc>
          <w:tcPr>
            <w:tcW w:w="1701" w:type="dxa"/>
            <w:tcBorders>
              <w:top w:val="nil"/>
              <w:left w:val="nil"/>
              <w:bottom w:val="nil"/>
              <w:right w:val="nil"/>
            </w:tcBorders>
            <w:vAlign w:val="bottom"/>
          </w:tcPr>
          <w:p w14:paraId="623D8EC5" w14:textId="6B723363" w:rsidR="00D84931" w:rsidRPr="001D41EA" w:rsidRDefault="00D84931" w:rsidP="00D84931">
            <w:pPr>
              <w:spacing w:before="40" w:after="20"/>
              <w:jc w:val="right"/>
              <w:rPr>
                <w:rFonts w:cs="Arial"/>
                <w:sz w:val="18"/>
                <w:szCs w:val="18"/>
              </w:rPr>
            </w:pPr>
            <w:r w:rsidRPr="001D41EA">
              <w:rPr>
                <w:rFonts w:cs="Arial"/>
                <w:sz w:val="18"/>
                <w:szCs w:val="18"/>
              </w:rPr>
              <w:t>2,108,452,875</w:t>
            </w:r>
          </w:p>
        </w:tc>
        <w:tc>
          <w:tcPr>
            <w:tcW w:w="1701" w:type="dxa"/>
            <w:tcBorders>
              <w:top w:val="nil"/>
              <w:left w:val="nil"/>
              <w:bottom w:val="nil"/>
              <w:right w:val="nil"/>
            </w:tcBorders>
            <w:shd w:val="clear" w:color="auto" w:fill="auto"/>
            <w:noWrap/>
            <w:vAlign w:val="bottom"/>
          </w:tcPr>
          <w:p w14:paraId="6E9B122D" w14:textId="172A4A96" w:rsidR="00D84931" w:rsidRPr="001D41EA" w:rsidRDefault="00D84931" w:rsidP="00D84931">
            <w:pPr>
              <w:spacing w:before="40" w:after="20"/>
              <w:jc w:val="right"/>
              <w:rPr>
                <w:rFonts w:cs="Arial"/>
                <w:sz w:val="18"/>
                <w:szCs w:val="18"/>
              </w:rPr>
            </w:pPr>
            <w:r w:rsidRPr="001D41EA">
              <w:rPr>
                <w:rFonts w:cs="Arial"/>
                <w:sz w:val="18"/>
                <w:szCs w:val="18"/>
              </w:rPr>
              <w:t>2,229,620,250</w:t>
            </w:r>
          </w:p>
        </w:tc>
        <w:tc>
          <w:tcPr>
            <w:tcW w:w="1701" w:type="dxa"/>
            <w:tcBorders>
              <w:top w:val="nil"/>
              <w:left w:val="nil"/>
              <w:bottom w:val="nil"/>
              <w:right w:val="nil"/>
            </w:tcBorders>
            <w:vAlign w:val="bottom"/>
          </w:tcPr>
          <w:p w14:paraId="4E1536CB" w14:textId="4C7C2C71" w:rsidR="00D84931" w:rsidRPr="001D41EA" w:rsidRDefault="00D84931" w:rsidP="00D84931">
            <w:pPr>
              <w:spacing w:before="40" w:after="20"/>
              <w:jc w:val="right"/>
              <w:rPr>
                <w:rFonts w:cs="Arial"/>
                <w:sz w:val="18"/>
                <w:szCs w:val="18"/>
              </w:rPr>
            </w:pPr>
            <w:r w:rsidRPr="001D41EA">
              <w:rPr>
                <w:rFonts w:cs="Arial"/>
                <w:sz w:val="18"/>
                <w:szCs w:val="18"/>
              </w:rPr>
              <w:t>22,646,762,125</w:t>
            </w:r>
          </w:p>
        </w:tc>
      </w:tr>
      <w:tr w:rsidR="00D84931" w:rsidRPr="001D41EA" w14:paraId="27390DA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623543D" w14:textId="77777777" w:rsidR="00D84931" w:rsidRPr="001D41EA" w:rsidRDefault="00D84931" w:rsidP="00D84931">
            <w:pPr>
              <w:spacing w:before="40" w:after="20"/>
              <w:rPr>
                <w:rFonts w:cs="Arial"/>
                <w:sz w:val="18"/>
                <w:szCs w:val="18"/>
              </w:rPr>
            </w:pPr>
            <w:r w:rsidRPr="001D41EA">
              <w:rPr>
                <w:rFonts w:cs="Arial"/>
                <w:sz w:val="18"/>
                <w:szCs w:val="18"/>
              </w:rPr>
              <w:t>Mildura RC</w:t>
            </w:r>
          </w:p>
        </w:tc>
        <w:tc>
          <w:tcPr>
            <w:tcW w:w="1701" w:type="dxa"/>
            <w:tcBorders>
              <w:top w:val="nil"/>
              <w:left w:val="single" w:sz="18" w:space="0" w:color="5F497A" w:themeColor="accent4" w:themeShade="BF"/>
              <w:bottom w:val="nil"/>
              <w:right w:val="nil"/>
            </w:tcBorders>
            <w:shd w:val="clear" w:color="auto" w:fill="auto"/>
            <w:noWrap/>
            <w:vAlign w:val="bottom"/>
          </w:tcPr>
          <w:p w14:paraId="34636215" w14:textId="52C1BD9F" w:rsidR="00D84931" w:rsidRPr="001D41EA" w:rsidRDefault="00D84931" w:rsidP="00D84931">
            <w:pPr>
              <w:spacing w:before="40" w:after="20"/>
              <w:jc w:val="right"/>
              <w:rPr>
                <w:rFonts w:cs="Arial"/>
                <w:sz w:val="18"/>
                <w:szCs w:val="18"/>
              </w:rPr>
            </w:pPr>
            <w:r w:rsidRPr="001D41EA">
              <w:rPr>
                <w:rFonts w:cs="Arial"/>
                <w:sz w:val="18"/>
                <w:szCs w:val="18"/>
              </w:rPr>
              <w:t>4,841,670,825</w:t>
            </w:r>
          </w:p>
        </w:tc>
        <w:tc>
          <w:tcPr>
            <w:tcW w:w="1701" w:type="dxa"/>
            <w:tcBorders>
              <w:top w:val="nil"/>
              <w:left w:val="nil"/>
              <w:bottom w:val="nil"/>
              <w:right w:val="nil"/>
            </w:tcBorders>
            <w:vAlign w:val="bottom"/>
          </w:tcPr>
          <w:p w14:paraId="63B682C3" w14:textId="6D945D0B" w:rsidR="00D84931" w:rsidRPr="001D41EA" w:rsidRDefault="00D84931" w:rsidP="00D84931">
            <w:pPr>
              <w:spacing w:before="40" w:after="20"/>
              <w:jc w:val="right"/>
              <w:rPr>
                <w:rFonts w:cs="Arial"/>
                <w:sz w:val="18"/>
                <w:szCs w:val="18"/>
              </w:rPr>
            </w:pPr>
            <w:r w:rsidRPr="001D41EA">
              <w:rPr>
                <w:rFonts w:cs="Arial"/>
                <w:sz w:val="18"/>
                <w:szCs w:val="18"/>
              </w:rPr>
              <w:t>1,484,952,750</w:t>
            </w:r>
          </w:p>
        </w:tc>
        <w:tc>
          <w:tcPr>
            <w:tcW w:w="1701" w:type="dxa"/>
            <w:tcBorders>
              <w:top w:val="nil"/>
              <w:left w:val="nil"/>
              <w:bottom w:val="nil"/>
              <w:right w:val="nil"/>
            </w:tcBorders>
            <w:shd w:val="clear" w:color="auto" w:fill="auto"/>
            <w:noWrap/>
            <w:vAlign w:val="bottom"/>
          </w:tcPr>
          <w:p w14:paraId="6BC36973" w14:textId="6FC2587E" w:rsidR="00D84931" w:rsidRPr="001D41EA" w:rsidRDefault="00D84931" w:rsidP="00D84931">
            <w:pPr>
              <w:spacing w:before="40" w:after="20"/>
              <w:jc w:val="right"/>
              <w:rPr>
                <w:rFonts w:cs="Arial"/>
                <w:sz w:val="18"/>
                <w:szCs w:val="18"/>
              </w:rPr>
            </w:pPr>
            <w:r w:rsidRPr="001D41EA">
              <w:rPr>
                <w:rFonts w:cs="Arial"/>
                <w:sz w:val="18"/>
                <w:szCs w:val="18"/>
              </w:rPr>
              <w:t>1,236,450,000</w:t>
            </w:r>
          </w:p>
        </w:tc>
        <w:tc>
          <w:tcPr>
            <w:tcW w:w="1701" w:type="dxa"/>
            <w:tcBorders>
              <w:top w:val="nil"/>
              <w:left w:val="nil"/>
              <w:bottom w:val="nil"/>
              <w:right w:val="nil"/>
            </w:tcBorders>
            <w:vAlign w:val="bottom"/>
          </w:tcPr>
          <w:p w14:paraId="42B14F39" w14:textId="0DC9D063" w:rsidR="00D84931" w:rsidRPr="001D41EA" w:rsidRDefault="00D84931" w:rsidP="00D84931">
            <w:pPr>
              <w:spacing w:before="40" w:after="20"/>
              <w:jc w:val="right"/>
              <w:rPr>
                <w:rFonts w:cs="Arial"/>
                <w:sz w:val="18"/>
                <w:szCs w:val="18"/>
              </w:rPr>
            </w:pPr>
            <w:r w:rsidRPr="001D41EA">
              <w:rPr>
                <w:rFonts w:cs="Arial"/>
                <w:sz w:val="18"/>
                <w:szCs w:val="18"/>
              </w:rPr>
              <w:t>7,563,073,575</w:t>
            </w:r>
          </w:p>
        </w:tc>
      </w:tr>
      <w:tr w:rsidR="00D84931" w:rsidRPr="001D41EA" w14:paraId="3893E06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2CDB89A" w14:textId="77777777" w:rsidR="00D84931" w:rsidRPr="001D41EA" w:rsidRDefault="00D84931" w:rsidP="00D84931">
            <w:pPr>
              <w:spacing w:before="40" w:after="20"/>
              <w:rPr>
                <w:rFonts w:cs="Arial"/>
                <w:sz w:val="18"/>
                <w:szCs w:val="18"/>
              </w:rPr>
            </w:pPr>
            <w:r w:rsidRPr="001D41EA">
              <w:rPr>
                <w:rFonts w:cs="Arial"/>
                <w:sz w:val="18"/>
                <w:szCs w:val="18"/>
              </w:rPr>
              <w:t>Mitchell S</w:t>
            </w:r>
          </w:p>
        </w:tc>
        <w:tc>
          <w:tcPr>
            <w:tcW w:w="1701" w:type="dxa"/>
            <w:tcBorders>
              <w:top w:val="nil"/>
              <w:left w:val="single" w:sz="18" w:space="0" w:color="5F497A" w:themeColor="accent4" w:themeShade="BF"/>
              <w:bottom w:val="nil"/>
              <w:right w:val="nil"/>
            </w:tcBorders>
            <w:shd w:val="clear" w:color="auto" w:fill="auto"/>
            <w:noWrap/>
            <w:vAlign w:val="bottom"/>
          </w:tcPr>
          <w:p w14:paraId="392FCC3B" w14:textId="124C2E20" w:rsidR="00D84931" w:rsidRPr="001D41EA" w:rsidRDefault="00D84931" w:rsidP="00D84931">
            <w:pPr>
              <w:spacing w:before="40" w:after="20"/>
              <w:jc w:val="right"/>
              <w:rPr>
                <w:rFonts w:cs="Arial"/>
                <w:sz w:val="18"/>
                <w:szCs w:val="18"/>
              </w:rPr>
            </w:pPr>
            <w:r w:rsidRPr="001D41EA">
              <w:rPr>
                <w:rFonts w:cs="Arial"/>
                <w:sz w:val="18"/>
                <w:szCs w:val="18"/>
              </w:rPr>
              <w:t>5,640,102,500</w:t>
            </w:r>
          </w:p>
        </w:tc>
        <w:tc>
          <w:tcPr>
            <w:tcW w:w="1701" w:type="dxa"/>
            <w:tcBorders>
              <w:top w:val="nil"/>
              <w:left w:val="nil"/>
              <w:bottom w:val="nil"/>
              <w:right w:val="nil"/>
            </w:tcBorders>
            <w:vAlign w:val="bottom"/>
          </w:tcPr>
          <w:p w14:paraId="79BAB691" w14:textId="0F923208" w:rsidR="00D84931" w:rsidRPr="001D41EA" w:rsidRDefault="00D84931" w:rsidP="00D84931">
            <w:pPr>
              <w:spacing w:before="40" w:after="20"/>
              <w:jc w:val="right"/>
              <w:rPr>
                <w:rFonts w:cs="Arial"/>
                <w:sz w:val="18"/>
                <w:szCs w:val="18"/>
              </w:rPr>
            </w:pPr>
            <w:r w:rsidRPr="001D41EA">
              <w:rPr>
                <w:rFonts w:cs="Arial"/>
                <w:sz w:val="18"/>
                <w:szCs w:val="18"/>
              </w:rPr>
              <w:t>402,070,750</w:t>
            </w:r>
          </w:p>
        </w:tc>
        <w:tc>
          <w:tcPr>
            <w:tcW w:w="1701" w:type="dxa"/>
            <w:tcBorders>
              <w:top w:val="nil"/>
              <w:left w:val="nil"/>
              <w:bottom w:val="nil"/>
              <w:right w:val="nil"/>
            </w:tcBorders>
            <w:shd w:val="clear" w:color="auto" w:fill="auto"/>
            <w:noWrap/>
            <w:vAlign w:val="bottom"/>
          </w:tcPr>
          <w:p w14:paraId="0AFACF4A" w14:textId="76961D6B" w:rsidR="00D84931" w:rsidRPr="001D41EA" w:rsidRDefault="00D84931" w:rsidP="00D84931">
            <w:pPr>
              <w:spacing w:before="40" w:after="20"/>
              <w:jc w:val="right"/>
              <w:rPr>
                <w:rFonts w:cs="Arial"/>
                <w:sz w:val="18"/>
                <w:szCs w:val="18"/>
              </w:rPr>
            </w:pPr>
            <w:r w:rsidRPr="001D41EA">
              <w:rPr>
                <w:rFonts w:cs="Arial"/>
                <w:sz w:val="18"/>
                <w:szCs w:val="18"/>
              </w:rPr>
              <w:t>1,052,299,500</w:t>
            </w:r>
          </w:p>
        </w:tc>
        <w:tc>
          <w:tcPr>
            <w:tcW w:w="1701" w:type="dxa"/>
            <w:tcBorders>
              <w:top w:val="nil"/>
              <w:left w:val="nil"/>
              <w:bottom w:val="nil"/>
              <w:right w:val="nil"/>
            </w:tcBorders>
            <w:vAlign w:val="bottom"/>
          </w:tcPr>
          <w:p w14:paraId="52EF120A" w14:textId="77F37AC5" w:rsidR="00D84931" w:rsidRPr="001D41EA" w:rsidRDefault="00D84931" w:rsidP="00D84931">
            <w:pPr>
              <w:spacing w:before="40" w:after="20"/>
              <w:jc w:val="right"/>
              <w:rPr>
                <w:rFonts w:cs="Arial"/>
                <w:sz w:val="18"/>
                <w:szCs w:val="18"/>
              </w:rPr>
            </w:pPr>
            <w:r w:rsidRPr="001D41EA">
              <w:rPr>
                <w:rFonts w:cs="Arial"/>
                <w:sz w:val="18"/>
                <w:szCs w:val="18"/>
              </w:rPr>
              <w:t>7,094,472,750</w:t>
            </w:r>
          </w:p>
        </w:tc>
      </w:tr>
      <w:tr w:rsidR="00D84931" w:rsidRPr="001D41EA" w14:paraId="3EA0C8B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C148FEF" w14:textId="77777777" w:rsidR="00D84931" w:rsidRPr="001D41EA" w:rsidRDefault="00D84931" w:rsidP="00D84931">
            <w:pPr>
              <w:spacing w:before="40" w:after="20"/>
              <w:rPr>
                <w:rFonts w:cs="Arial"/>
                <w:sz w:val="18"/>
                <w:szCs w:val="18"/>
              </w:rPr>
            </w:pPr>
            <w:r w:rsidRPr="001D41EA">
              <w:rPr>
                <w:rFonts w:cs="Arial"/>
                <w:sz w:val="18"/>
                <w:szCs w:val="18"/>
              </w:rPr>
              <w:t>Moira S</w:t>
            </w:r>
          </w:p>
        </w:tc>
        <w:tc>
          <w:tcPr>
            <w:tcW w:w="1701" w:type="dxa"/>
            <w:tcBorders>
              <w:top w:val="nil"/>
              <w:left w:val="single" w:sz="18" w:space="0" w:color="5F497A" w:themeColor="accent4" w:themeShade="BF"/>
              <w:bottom w:val="nil"/>
              <w:right w:val="nil"/>
            </w:tcBorders>
            <w:shd w:val="clear" w:color="auto" w:fill="auto"/>
            <w:noWrap/>
            <w:vAlign w:val="bottom"/>
          </w:tcPr>
          <w:p w14:paraId="5BE2865C" w14:textId="52B9BCCB" w:rsidR="00D84931" w:rsidRPr="001D41EA" w:rsidRDefault="00D84931" w:rsidP="00D84931">
            <w:pPr>
              <w:spacing w:before="40" w:after="20"/>
              <w:jc w:val="right"/>
              <w:rPr>
                <w:rFonts w:cs="Arial"/>
                <w:sz w:val="18"/>
                <w:szCs w:val="18"/>
              </w:rPr>
            </w:pPr>
            <w:r w:rsidRPr="001D41EA">
              <w:rPr>
                <w:rFonts w:cs="Arial"/>
                <w:sz w:val="18"/>
                <w:szCs w:val="18"/>
              </w:rPr>
              <w:t>2,772,166,050</w:t>
            </w:r>
          </w:p>
        </w:tc>
        <w:tc>
          <w:tcPr>
            <w:tcW w:w="1701" w:type="dxa"/>
            <w:tcBorders>
              <w:top w:val="nil"/>
              <w:left w:val="nil"/>
              <w:bottom w:val="nil"/>
              <w:right w:val="nil"/>
            </w:tcBorders>
            <w:vAlign w:val="bottom"/>
          </w:tcPr>
          <w:p w14:paraId="1C495CA7" w14:textId="3A8CA0DF" w:rsidR="00D84931" w:rsidRPr="001D41EA" w:rsidRDefault="00D84931" w:rsidP="00D84931">
            <w:pPr>
              <w:spacing w:before="40" w:after="20"/>
              <w:jc w:val="right"/>
              <w:rPr>
                <w:rFonts w:cs="Arial"/>
                <w:sz w:val="18"/>
                <w:szCs w:val="18"/>
              </w:rPr>
            </w:pPr>
            <w:r w:rsidRPr="001D41EA">
              <w:rPr>
                <w:rFonts w:cs="Arial"/>
                <w:sz w:val="18"/>
                <w:szCs w:val="18"/>
              </w:rPr>
              <w:t>570,577,700</w:t>
            </w:r>
          </w:p>
        </w:tc>
        <w:tc>
          <w:tcPr>
            <w:tcW w:w="1701" w:type="dxa"/>
            <w:tcBorders>
              <w:top w:val="nil"/>
              <w:left w:val="nil"/>
              <w:bottom w:val="nil"/>
              <w:right w:val="nil"/>
            </w:tcBorders>
            <w:shd w:val="clear" w:color="auto" w:fill="auto"/>
            <w:noWrap/>
            <w:vAlign w:val="bottom"/>
          </w:tcPr>
          <w:p w14:paraId="4574355B" w14:textId="40045EC8" w:rsidR="00D84931" w:rsidRPr="001D41EA" w:rsidRDefault="00D84931" w:rsidP="00D84931">
            <w:pPr>
              <w:spacing w:before="40" w:after="20"/>
              <w:jc w:val="right"/>
              <w:rPr>
                <w:rFonts w:cs="Arial"/>
                <w:sz w:val="18"/>
                <w:szCs w:val="18"/>
              </w:rPr>
            </w:pPr>
            <w:r w:rsidRPr="001D41EA">
              <w:rPr>
                <w:rFonts w:cs="Arial"/>
                <w:sz w:val="18"/>
                <w:szCs w:val="18"/>
              </w:rPr>
              <w:t>1,873,062,550</w:t>
            </w:r>
          </w:p>
        </w:tc>
        <w:tc>
          <w:tcPr>
            <w:tcW w:w="1701" w:type="dxa"/>
            <w:tcBorders>
              <w:top w:val="nil"/>
              <w:left w:val="nil"/>
              <w:bottom w:val="nil"/>
              <w:right w:val="nil"/>
            </w:tcBorders>
            <w:vAlign w:val="bottom"/>
          </w:tcPr>
          <w:p w14:paraId="162FB0DD" w14:textId="02B4FB59" w:rsidR="00D84931" w:rsidRPr="001D41EA" w:rsidRDefault="00D84931" w:rsidP="00D84931">
            <w:pPr>
              <w:spacing w:before="40" w:after="20"/>
              <w:jc w:val="right"/>
              <w:rPr>
                <w:rFonts w:cs="Arial"/>
                <w:sz w:val="18"/>
                <w:szCs w:val="18"/>
              </w:rPr>
            </w:pPr>
            <w:r w:rsidRPr="001D41EA">
              <w:rPr>
                <w:rFonts w:cs="Arial"/>
                <w:sz w:val="18"/>
                <w:szCs w:val="18"/>
              </w:rPr>
              <w:t>5,215,806,300</w:t>
            </w:r>
          </w:p>
        </w:tc>
      </w:tr>
      <w:tr w:rsidR="00D84931" w:rsidRPr="001D41EA" w14:paraId="2BCD32A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9417B7C" w14:textId="77777777" w:rsidR="00D84931" w:rsidRPr="001D41EA" w:rsidRDefault="00D84931" w:rsidP="00D84931">
            <w:pPr>
              <w:spacing w:before="40" w:after="20"/>
              <w:rPr>
                <w:rFonts w:cs="Arial"/>
                <w:sz w:val="18"/>
                <w:szCs w:val="18"/>
              </w:rPr>
            </w:pPr>
            <w:r w:rsidRPr="001D41EA">
              <w:rPr>
                <w:rFonts w:cs="Arial"/>
                <w:sz w:val="18"/>
                <w:szCs w:val="18"/>
              </w:rPr>
              <w:t>Monash C</w:t>
            </w:r>
          </w:p>
        </w:tc>
        <w:tc>
          <w:tcPr>
            <w:tcW w:w="1701" w:type="dxa"/>
            <w:tcBorders>
              <w:top w:val="nil"/>
              <w:left w:val="single" w:sz="18" w:space="0" w:color="5F497A" w:themeColor="accent4" w:themeShade="BF"/>
              <w:bottom w:val="nil"/>
              <w:right w:val="nil"/>
            </w:tcBorders>
            <w:shd w:val="clear" w:color="auto" w:fill="auto"/>
            <w:noWrap/>
            <w:vAlign w:val="bottom"/>
          </w:tcPr>
          <w:p w14:paraId="202B1DD0" w14:textId="741B2CE4" w:rsidR="00D84931" w:rsidRPr="001D41EA" w:rsidRDefault="00D84931" w:rsidP="00D84931">
            <w:pPr>
              <w:spacing w:before="40" w:after="20"/>
              <w:jc w:val="right"/>
              <w:rPr>
                <w:rFonts w:cs="Arial"/>
                <w:sz w:val="18"/>
                <w:szCs w:val="18"/>
              </w:rPr>
            </w:pPr>
            <w:r w:rsidRPr="001D41EA">
              <w:rPr>
                <w:rFonts w:cs="Arial"/>
                <w:sz w:val="18"/>
                <w:szCs w:val="18"/>
              </w:rPr>
              <w:t>55,156,701,875</w:t>
            </w:r>
          </w:p>
        </w:tc>
        <w:tc>
          <w:tcPr>
            <w:tcW w:w="1701" w:type="dxa"/>
            <w:tcBorders>
              <w:top w:val="nil"/>
              <w:left w:val="nil"/>
              <w:bottom w:val="nil"/>
              <w:right w:val="nil"/>
            </w:tcBorders>
            <w:vAlign w:val="bottom"/>
          </w:tcPr>
          <w:p w14:paraId="31237F44" w14:textId="5196236F" w:rsidR="00D84931" w:rsidRPr="001D41EA" w:rsidRDefault="00D84931" w:rsidP="00D84931">
            <w:pPr>
              <w:spacing w:before="40" w:after="20"/>
              <w:jc w:val="right"/>
              <w:rPr>
                <w:rFonts w:cs="Arial"/>
                <w:sz w:val="18"/>
                <w:szCs w:val="18"/>
              </w:rPr>
            </w:pPr>
            <w:r w:rsidRPr="001D41EA">
              <w:rPr>
                <w:rFonts w:cs="Arial"/>
                <w:sz w:val="18"/>
                <w:szCs w:val="18"/>
              </w:rPr>
              <w:t>7,538,545,125</w:t>
            </w:r>
          </w:p>
        </w:tc>
        <w:tc>
          <w:tcPr>
            <w:tcW w:w="1701" w:type="dxa"/>
            <w:tcBorders>
              <w:top w:val="nil"/>
              <w:left w:val="nil"/>
              <w:bottom w:val="nil"/>
              <w:right w:val="nil"/>
            </w:tcBorders>
            <w:shd w:val="clear" w:color="auto" w:fill="auto"/>
            <w:noWrap/>
            <w:vAlign w:val="bottom"/>
          </w:tcPr>
          <w:p w14:paraId="39D63137" w14:textId="07DA4CCB" w:rsidR="00D84931" w:rsidRPr="001D41EA" w:rsidRDefault="00D84931" w:rsidP="00D84931">
            <w:pPr>
              <w:spacing w:before="40" w:after="20"/>
              <w:jc w:val="right"/>
              <w:rPr>
                <w:rFonts w:cs="Arial"/>
                <w:sz w:val="18"/>
                <w:szCs w:val="18"/>
              </w:rPr>
            </w:pPr>
            <w:r w:rsidRPr="001D41EA">
              <w:rPr>
                <w:rFonts w:cs="Arial"/>
                <w:sz w:val="18"/>
                <w:szCs w:val="18"/>
              </w:rPr>
              <w:t>11,282,500</w:t>
            </w:r>
          </w:p>
        </w:tc>
        <w:tc>
          <w:tcPr>
            <w:tcW w:w="1701" w:type="dxa"/>
            <w:tcBorders>
              <w:top w:val="nil"/>
              <w:left w:val="nil"/>
              <w:bottom w:val="nil"/>
              <w:right w:val="nil"/>
            </w:tcBorders>
            <w:vAlign w:val="bottom"/>
          </w:tcPr>
          <w:p w14:paraId="692AD8D4" w14:textId="5CC0B7B3" w:rsidR="00D84931" w:rsidRPr="001D41EA" w:rsidRDefault="00D84931" w:rsidP="00D84931">
            <w:pPr>
              <w:spacing w:before="40" w:after="20"/>
              <w:jc w:val="right"/>
              <w:rPr>
                <w:rFonts w:cs="Arial"/>
                <w:sz w:val="18"/>
                <w:szCs w:val="18"/>
              </w:rPr>
            </w:pPr>
            <w:r w:rsidRPr="001D41EA">
              <w:rPr>
                <w:rFonts w:cs="Arial"/>
                <w:sz w:val="18"/>
                <w:szCs w:val="18"/>
              </w:rPr>
              <w:t>62,706,529,500</w:t>
            </w:r>
          </w:p>
        </w:tc>
      </w:tr>
      <w:tr w:rsidR="00D84931" w:rsidRPr="001D41EA" w14:paraId="5845ACE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A1D113F" w14:textId="77777777" w:rsidR="00D84931" w:rsidRPr="001D41EA" w:rsidRDefault="00D84931" w:rsidP="00D84931">
            <w:pPr>
              <w:spacing w:before="40" w:after="20"/>
              <w:rPr>
                <w:rFonts w:cs="Arial"/>
                <w:sz w:val="18"/>
                <w:szCs w:val="18"/>
              </w:rPr>
            </w:pPr>
            <w:r w:rsidRPr="001D41EA">
              <w:rPr>
                <w:rFonts w:cs="Arial"/>
                <w:sz w:val="18"/>
                <w:szCs w:val="18"/>
              </w:rPr>
              <w:t>Moonee Valley C</w:t>
            </w:r>
          </w:p>
        </w:tc>
        <w:tc>
          <w:tcPr>
            <w:tcW w:w="1701" w:type="dxa"/>
            <w:tcBorders>
              <w:top w:val="nil"/>
              <w:left w:val="single" w:sz="18" w:space="0" w:color="5F497A" w:themeColor="accent4" w:themeShade="BF"/>
              <w:bottom w:val="nil"/>
              <w:right w:val="nil"/>
            </w:tcBorders>
            <w:shd w:val="clear" w:color="auto" w:fill="auto"/>
            <w:noWrap/>
            <w:vAlign w:val="bottom"/>
          </w:tcPr>
          <w:p w14:paraId="482BA342" w14:textId="68543174" w:rsidR="00D84931" w:rsidRPr="001D41EA" w:rsidRDefault="00D84931" w:rsidP="00D84931">
            <w:pPr>
              <w:spacing w:before="40" w:after="20"/>
              <w:jc w:val="right"/>
              <w:rPr>
                <w:rFonts w:cs="Arial"/>
                <w:sz w:val="18"/>
                <w:szCs w:val="18"/>
              </w:rPr>
            </w:pPr>
            <w:r w:rsidRPr="001D41EA">
              <w:rPr>
                <w:rFonts w:cs="Arial"/>
                <w:sz w:val="18"/>
                <w:szCs w:val="18"/>
              </w:rPr>
              <w:t>36,315,866,750</w:t>
            </w:r>
          </w:p>
        </w:tc>
        <w:tc>
          <w:tcPr>
            <w:tcW w:w="1701" w:type="dxa"/>
            <w:tcBorders>
              <w:top w:val="nil"/>
              <w:left w:val="nil"/>
              <w:bottom w:val="nil"/>
              <w:right w:val="nil"/>
            </w:tcBorders>
            <w:vAlign w:val="bottom"/>
          </w:tcPr>
          <w:p w14:paraId="4D23011A" w14:textId="00FA30C5" w:rsidR="00D84931" w:rsidRPr="001D41EA" w:rsidRDefault="00D84931" w:rsidP="00D84931">
            <w:pPr>
              <w:spacing w:before="40" w:after="20"/>
              <w:jc w:val="right"/>
              <w:rPr>
                <w:rFonts w:cs="Arial"/>
                <w:sz w:val="18"/>
                <w:szCs w:val="18"/>
              </w:rPr>
            </w:pPr>
            <w:r w:rsidRPr="001D41EA">
              <w:rPr>
                <w:rFonts w:cs="Arial"/>
                <w:sz w:val="18"/>
                <w:szCs w:val="18"/>
              </w:rPr>
              <w:t>3,616,637,500</w:t>
            </w:r>
          </w:p>
        </w:tc>
        <w:tc>
          <w:tcPr>
            <w:tcW w:w="1701" w:type="dxa"/>
            <w:tcBorders>
              <w:top w:val="nil"/>
              <w:left w:val="nil"/>
              <w:bottom w:val="nil"/>
              <w:right w:val="nil"/>
            </w:tcBorders>
            <w:shd w:val="clear" w:color="auto" w:fill="auto"/>
            <w:noWrap/>
            <w:vAlign w:val="bottom"/>
          </w:tcPr>
          <w:p w14:paraId="52EE3263" w14:textId="192DB230"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170FE80B" w14:textId="09198CE5" w:rsidR="00D84931" w:rsidRPr="001D41EA" w:rsidRDefault="00D84931" w:rsidP="00D84931">
            <w:pPr>
              <w:spacing w:before="40" w:after="20"/>
              <w:jc w:val="right"/>
              <w:rPr>
                <w:rFonts w:cs="Arial"/>
                <w:sz w:val="18"/>
                <w:szCs w:val="18"/>
              </w:rPr>
            </w:pPr>
            <w:r w:rsidRPr="001D41EA">
              <w:rPr>
                <w:rFonts w:cs="Arial"/>
                <w:sz w:val="18"/>
                <w:szCs w:val="18"/>
              </w:rPr>
              <w:t>39,932,504,250</w:t>
            </w:r>
          </w:p>
        </w:tc>
      </w:tr>
      <w:tr w:rsidR="00D84931" w:rsidRPr="001D41EA" w14:paraId="3D15F4C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4083CD9" w14:textId="77777777" w:rsidR="00D84931" w:rsidRPr="001D41EA" w:rsidRDefault="00D84931" w:rsidP="00D84931">
            <w:pPr>
              <w:spacing w:before="40" w:after="20"/>
              <w:rPr>
                <w:rFonts w:cs="Arial"/>
                <w:sz w:val="18"/>
                <w:szCs w:val="18"/>
              </w:rPr>
            </w:pPr>
            <w:r w:rsidRPr="001D41EA">
              <w:rPr>
                <w:rFonts w:cs="Arial"/>
                <w:sz w:val="18"/>
                <w:szCs w:val="18"/>
              </w:rPr>
              <w:t>Moorabool S</w:t>
            </w:r>
          </w:p>
        </w:tc>
        <w:tc>
          <w:tcPr>
            <w:tcW w:w="1701" w:type="dxa"/>
            <w:tcBorders>
              <w:top w:val="nil"/>
              <w:left w:val="single" w:sz="18" w:space="0" w:color="5F497A" w:themeColor="accent4" w:themeShade="BF"/>
              <w:bottom w:val="nil"/>
              <w:right w:val="nil"/>
            </w:tcBorders>
            <w:shd w:val="clear" w:color="auto" w:fill="auto"/>
            <w:noWrap/>
            <w:vAlign w:val="bottom"/>
          </w:tcPr>
          <w:p w14:paraId="4B12F326" w14:textId="343EE7AD" w:rsidR="00D84931" w:rsidRPr="001D41EA" w:rsidRDefault="00D84931" w:rsidP="00D84931">
            <w:pPr>
              <w:spacing w:before="40" w:after="20"/>
              <w:jc w:val="right"/>
              <w:rPr>
                <w:rFonts w:cs="Arial"/>
                <w:sz w:val="18"/>
                <w:szCs w:val="18"/>
              </w:rPr>
            </w:pPr>
            <w:r w:rsidRPr="001D41EA">
              <w:rPr>
                <w:rFonts w:cs="Arial"/>
                <w:sz w:val="18"/>
                <w:szCs w:val="18"/>
              </w:rPr>
              <w:t>4,798,138,750</w:t>
            </w:r>
          </w:p>
        </w:tc>
        <w:tc>
          <w:tcPr>
            <w:tcW w:w="1701" w:type="dxa"/>
            <w:tcBorders>
              <w:top w:val="nil"/>
              <w:left w:val="nil"/>
              <w:bottom w:val="nil"/>
              <w:right w:val="nil"/>
            </w:tcBorders>
            <w:vAlign w:val="bottom"/>
          </w:tcPr>
          <w:p w14:paraId="3106D9FD" w14:textId="6C4A95B3" w:rsidR="00D84931" w:rsidRPr="001D41EA" w:rsidRDefault="00D84931" w:rsidP="00D84931">
            <w:pPr>
              <w:spacing w:before="40" w:after="20"/>
              <w:jc w:val="right"/>
              <w:rPr>
                <w:rFonts w:cs="Arial"/>
                <w:sz w:val="18"/>
                <w:szCs w:val="18"/>
              </w:rPr>
            </w:pPr>
            <w:r w:rsidRPr="001D41EA">
              <w:rPr>
                <w:rFonts w:cs="Arial"/>
                <w:sz w:val="18"/>
                <w:szCs w:val="18"/>
              </w:rPr>
              <w:t>314,964,750</w:t>
            </w:r>
          </w:p>
        </w:tc>
        <w:tc>
          <w:tcPr>
            <w:tcW w:w="1701" w:type="dxa"/>
            <w:tcBorders>
              <w:top w:val="nil"/>
              <w:left w:val="nil"/>
              <w:bottom w:val="nil"/>
              <w:right w:val="nil"/>
            </w:tcBorders>
            <w:shd w:val="clear" w:color="auto" w:fill="auto"/>
            <w:noWrap/>
            <w:vAlign w:val="bottom"/>
          </w:tcPr>
          <w:p w14:paraId="6EE588F0" w14:textId="045DDEEB" w:rsidR="00D84931" w:rsidRPr="001D41EA" w:rsidRDefault="00D84931" w:rsidP="00D84931">
            <w:pPr>
              <w:spacing w:before="40" w:after="20"/>
              <w:jc w:val="right"/>
              <w:rPr>
                <w:rFonts w:cs="Arial"/>
                <w:sz w:val="18"/>
                <w:szCs w:val="18"/>
              </w:rPr>
            </w:pPr>
            <w:r w:rsidRPr="001D41EA">
              <w:rPr>
                <w:rFonts w:cs="Arial"/>
                <w:sz w:val="18"/>
                <w:szCs w:val="18"/>
              </w:rPr>
              <w:t>951,379,250</w:t>
            </w:r>
          </w:p>
        </w:tc>
        <w:tc>
          <w:tcPr>
            <w:tcW w:w="1701" w:type="dxa"/>
            <w:tcBorders>
              <w:top w:val="nil"/>
              <w:left w:val="nil"/>
              <w:bottom w:val="nil"/>
              <w:right w:val="nil"/>
            </w:tcBorders>
            <w:vAlign w:val="bottom"/>
          </w:tcPr>
          <w:p w14:paraId="76C34AB5" w14:textId="203D8203" w:rsidR="00D84931" w:rsidRPr="001D41EA" w:rsidRDefault="00D84931" w:rsidP="00D84931">
            <w:pPr>
              <w:spacing w:before="40" w:after="20"/>
              <w:jc w:val="right"/>
              <w:rPr>
                <w:rFonts w:cs="Arial"/>
                <w:sz w:val="18"/>
                <w:szCs w:val="18"/>
              </w:rPr>
            </w:pPr>
            <w:r w:rsidRPr="001D41EA">
              <w:rPr>
                <w:rFonts w:cs="Arial"/>
                <w:sz w:val="18"/>
                <w:szCs w:val="18"/>
              </w:rPr>
              <w:t>6,064,482,750</w:t>
            </w:r>
          </w:p>
        </w:tc>
      </w:tr>
      <w:tr w:rsidR="00D84931" w:rsidRPr="001D41EA" w14:paraId="5D44BAB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E5BFC84" w14:textId="77777777" w:rsidR="00D84931" w:rsidRPr="001D41EA" w:rsidRDefault="00D84931" w:rsidP="00D84931">
            <w:pPr>
              <w:spacing w:before="40" w:after="20"/>
              <w:rPr>
                <w:rFonts w:cs="Arial"/>
                <w:sz w:val="18"/>
                <w:szCs w:val="18"/>
              </w:rPr>
            </w:pPr>
            <w:r w:rsidRPr="001D41EA">
              <w:rPr>
                <w:rFonts w:cs="Arial"/>
                <w:sz w:val="18"/>
                <w:szCs w:val="18"/>
              </w:rPr>
              <w:t>Moreland C</w:t>
            </w:r>
          </w:p>
        </w:tc>
        <w:tc>
          <w:tcPr>
            <w:tcW w:w="1701" w:type="dxa"/>
            <w:tcBorders>
              <w:top w:val="nil"/>
              <w:left w:val="single" w:sz="18" w:space="0" w:color="5F497A" w:themeColor="accent4" w:themeShade="BF"/>
              <w:bottom w:val="nil"/>
              <w:right w:val="nil"/>
            </w:tcBorders>
            <w:shd w:val="clear" w:color="auto" w:fill="auto"/>
            <w:noWrap/>
            <w:vAlign w:val="bottom"/>
          </w:tcPr>
          <w:p w14:paraId="79F30A59" w14:textId="72B1801C" w:rsidR="00D84931" w:rsidRPr="001D41EA" w:rsidRDefault="00D84931" w:rsidP="00D84931">
            <w:pPr>
              <w:spacing w:before="40" w:after="20"/>
              <w:jc w:val="right"/>
              <w:rPr>
                <w:rFonts w:cs="Arial"/>
                <w:sz w:val="18"/>
                <w:szCs w:val="18"/>
              </w:rPr>
            </w:pPr>
            <w:r w:rsidRPr="001D41EA">
              <w:rPr>
                <w:rFonts w:cs="Arial"/>
                <w:sz w:val="18"/>
                <w:szCs w:val="18"/>
              </w:rPr>
              <w:t>40,264,567,500</w:t>
            </w:r>
          </w:p>
        </w:tc>
        <w:tc>
          <w:tcPr>
            <w:tcW w:w="1701" w:type="dxa"/>
            <w:tcBorders>
              <w:top w:val="nil"/>
              <w:left w:val="nil"/>
              <w:bottom w:val="nil"/>
              <w:right w:val="nil"/>
            </w:tcBorders>
            <w:vAlign w:val="bottom"/>
          </w:tcPr>
          <w:p w14:paraId="7BE0F396" w14:textId="1E8C95E7" w:rsidR="00D84931" w:rsidRPr="001D41EA" w:rsidRDefault="00D84931" w:rsidP="00D84931">
            <w:pPr>
              <w:spacing w:before="40" w:after="20"/>
              <w:jc w:val="right"/>
              <w:rPr>
                <w:rFonts w:cs="Arial"/>
                <w:sz w:val="18"/>
                <w:szCs w:val="18"/>
              </w:rPr>
            </w:pPr>
            <w:r w:rsidRPr="001D41EA">
              <w:rPr>
                <w:rFonts w:cs="Arial"/>
                <w:sz w:val="18"/>
                <w:szCs w:val="18"/>
              </w:rPr>
              <w:t>4,431,254,500</w:t>
            </w:r>
          </w:p>
        </w:tc>
        <w:tc>
          <w:tcPr>
            <w:tcW w:w="1701" w:type="dxa"/>
            <w:tcBorders>
              <w:top w:val="nil"/>
              <w:left w:val="nil"/>
              <w:bottom w:val="nil"/>
              <w:right w:val="nil"/>
            </w:tcBorders>
            <w:shd w:val="clear" w:color="auto" w:fill="auto"/>
            <w:noWrap/>
            <w:vAlign w:val="bottom"/>
          </w:tcPr>
          <w:p w14:paraId="7FEDBA0C" w14:textId="125F8FC5"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5E07689A" w14:textId="771B2BAA" w:rsidR="00D84931" w:rsidRPr="001D41EA" w:rsidRDefault="00D84931" w:rsidP="00D84931">
            <w:pPr>
              <w:spacing w:before="40" w:after="20"/>
              <w:jc w:val="right"/>
              <w:rPr>
                <w:rFonts w:cs="Arial"/>
                <w:sz w:val="18"/>
                <w:szCs w:val="18"/>
              </w:rPr>
            </w:pPr>
            <w:r w:rsidRPr="001D41EA">
              <w:rPr>
                <w:rFonts w:cs="Arial"/>
                <w:sz w:val="18"/>
                <w:szCs w:val="18"/>
              </w:rPr>
              <w:t>44,695,822,000</w:t>
            </w:r>
          </w:p>
        </w:tc>
      </w:tr>
      <w:tr w:rsidR="00D84931" w:rsidRPr="001D41EA" w14:paraId="740582F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0BC6928" w14:textId="77777777" w:rsidR="00D84931" w:rsidRPr="001D41EA" w:rsidRDefault="00D84931" w:rsidP="00D84931">
            <w:pPr>
              <w:spacing w:before="40" w:after="20"/>
              <w:rPr>
                <w:rFonts w:cs="Arial"/>
                <w:sz w:val="18"/>
                <w:szCs w:val="18"/>
              </w:rPr>
            </w:pPr>
            <w:r w:rsidRPr="001D41EA">
              <w:rPr>
                <w:rFonts w:cs="Arial"/>
                <w:sz w:val="18"/>
                <w:szCs w:val="18"/>
              </w:rPr>
              <w:t>Mornington Peninsula S</w:t>
            </w:r>
          </w:p>
        </w:tc>
        <w:tc>
          <w:tcPr>
            <w:tcW w:w="1701" w:type="dxa"/>
            <w:tcBorders>
              <w:top w:val="nil"/>
              <w:left w:val="single" w:sz="18" w:space="0" w:color="5F497A" w:themeColor="accent4" w:themeShade="BF"/>
              <w:bottom w:val="nil"/>
              <w:right w:val="nil"/>
            </w:tcBorders>
            <w:shd w:val="clear" w:color="auto" w:fill="auto"/>
            <w:noWrap/>
            <w:vAlign w:val="bottom"/>
          </w:tcPr>
          <w:p w14:paraId="471AF979" w14:textId="68671450" w:rsidR="00D84931" w:rsidRPr="001D41EA" w:rsidRDefault="00D84931" w:rsidP="00D84931">
            <w:pPr>
              <w:spacing w:before="40" w:after="20"/>
              <w:jc w:val="right"/>
              <w:rPr>
                <w:rFonts w:cs="Arial"/>
                <w:sz w:val="18"/>
                <w:szCs w:val="18"/>
              </w:rPr>
            </w:pPr>
            <w:r w:rsidRPr="001D41EA">
              <w:rPr>
                <w:rFonts w:cs="Arial"/>
                <w:sz w:val="18"/>
                <w:szCs w:val="18"/>
              </w:rPr>
              <w:t>55,623,830,595</w:t>
            </w:r>
          </w:p>
        </w:tc>
        <w:tc>
          <w:tcPr>
            <w:tcW w:w="1701" w:type="dxa"/>
            <w:tcBorders>
              <w:top w:val="nil"/>
              <w:left w:val="nil"/>
              <w:bottom w:val="nil"/>
              <w:right w:val="nil"/>
            </w:tcBorders>
            <w:vAlign w:val="bottom"/>
          </w:tcPr>
          <w:p w14:paraId="70E17DE8" w14:textId="55832F22" w:rsidR="00D84931" w:rsidRPr="001D41EA" w:rsidRDefault="00D84931" w:rsidP="00D84931">
            <w:pPr>
              <w:spacing w:before="40" w:after="20"/>
              <w:jc w:val="right"/>
              <w:rPr>
                <w:rFonts w:cs="Arial"/>
                <w:sz w:val="18"/>
                <w:szCs w:val="18"/>
              </w:rPr>
            </w:pPr>
            <w:r w:rsidRPr="001D41EA">
              <w:rPr>
                <w:rFonts w:cs="Arial"/>
                <w:sz w:val="18"/>
                <w:szCs w:val="18"/>
              </w:rPr>
              <w:t>4,007,627,106</w:t>
            </w:r>
          </w:p>
        </w:tc>
        <w:tc>
          <w:tcPr>
            <w:tcW w:w="1701" w:type="dxa"/>
            <w:tcBorders>
              <w:top w:val="nil"/>
              <w:left w:val="nil"/>
              <w:bottom w:val="nil"/>
              <w:right w:val="nil"/>
            </w:tcBorders>
            <w:shd w:val="clear" w:color="auto" w:fill="auto"/>
            <w:noWrap/>
            <w:vAlign w:val="bottom"/>
          </w:tcPr>
          <w:p w14:paraId="15A81D27" w14:textId="24B3FEAC" w:rsidR="00D84931" w:rsidRPr="001D41EA" w:rsidRDefault="00D84931" w:rsidP="00D84931">
            <w:pPr>
              <w:spacing w:before="40" w:after="20"/>
              <w:jc w:val="right"/>
              <w:rPr>
                <w:rFonts w:cs="Arial"/>
                <w:sz w:val="18"/>
                <w:szCs w:val="18"/>
              </w:rPr>
            </w:pPr>
            <w:r w:rsidRPr="001D41EA">
              <w:rPr>
                <w:rFonts w:cs="Arial"/>
                <w:sz w:val="18"/>
                <w:szCs w:val="18"/>
              </w:rPr>
              <w:t>2,789,850,500</w:t>
            </w:r>
          </w:p>
        </w:tc>
        <w:tc>
          <w:tcPr>
            <w:tcW w:w="1701" w:type="dxa"/>
            <w:tcBorders>
              <w:top w:val="nil"/>
              <w:left w:val="nil"/>
              <w:bottom w:val="nil"/>
              <w:right w:val="nil"/>
            </w:tcBorders>
            <w:vAlign w:val="bottom"/>
          </w:tcPr>
          <w:p w14:paraId="6D731BFC" w14:textId="283DE5BA" w:rsidR="00D84931" w:rsidRPr="001D41EA" w:rsidRDefault="00D84931" w:rsidP="00D84931">
            <w:pPr>
              <w:spacing w:before="40" w:after="20"/>
              <w:jc w:val="right"/>
              <w:rPr>
                <w:rFonts w:cs="Arial"/>
                <w:sz w:val="18"/>
                <w:szCs w:val="18"/>
              </w:rPr>
            </w:pPr>
            <w:r w:rsidRPr="001D41EA">
              <w:rPr>
                <w:rFonts w:cs="Arial"/>
                <w:sz w:val="18"/>
                <w:szCs w:val="18"/>
              </w:rPr>
              <w:t>62,421,308,201</w:t>
            </w:r>
          </w:p>
        </w:tc>
      </w:tr>
      <w:tr w:rsidR="00D84931" w:rsidRPr="001D41EA" w14:paraId="59E0D3C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27D1CB6" w14:textId="77777777" w:rsidR="00D84931" w:rsidRPr="001D41EA" w:rsidRDefault="00D84931" w:rsidP="00D84931">
            <w:pPr>
              <w:spacing w:before="40" w:after="20"/>
              <w:rPr>
                <w:rFonts w:cs="Arial"/>
                <w:sz w:val="18"/>
                <w:szCs w:val="18"/>
              </w:rPr>
            </w:pPr>
            <w:r w:rsidRPr="001D41EA">
              <w:rPr>
                <w:rFonts w:cs="Arial"/>
                <w:sz w:val="18"/>
                <w:szCs w:val="18"/>
              </w:rPr>
              <w:t>Mount Alexander S</w:t>
            </w:r>
          </w:p>
        </w:tc>
        <w:tc>
          <w:tcPr>
            <w:tcW w:w="1701" w:type="dxa"/>
            <w:tcBorders>
              <w:top w:val="nil"/>
              <w:left w:val="single" w:sz="18" w:space="0" w:color="5F497A" w:themeColor="accent4" w:themeShade="BF"/>
              <w:bottom w:val="nil"/>
              <w:right w:val="nil"/>
            </w:tcBorders>
            <w:shd w:val="clear" w:color="auto" w:fill="auto"/>
            <w:noWrap/>
            <w:vAlign w:val="bottom"/>
          </w:tcPr>
          <w:p w14:paraId="64C33EC4" w14:textId="69A2D0DB" w:rsidR="00D84931" w:rsidRPr="001D41EA" w:rsidRDefault="00D84931" w:rsidP="00D84931">
            <w:pPr>
              <w:spacing w:before="40" w:after="20"/>
              <w:jc w:val="right"/>
              <w:rPr>
                <w:rFonts w:cs="Arial"/>
                <w:sz w:val="18"/>
                <w:szCs w:val="18"/>
              </w:rPr>
            </w:pPr>
            <w:r w:rsidRPr="001D41EA">
              <w:rPr>
                <w:rFonts w:cs="Arial"/>
                <w:sz w:val="18"/>
                <w:szCs w:val="18"/>
              </w:rPr>
              <w:t>3,240,255,250</w:t>
            </w:r>
          </w:p>
        </w:tc>
        <w:tc>
          <w:tcPr>
            <w:tcW w:w="1701" w:type="dxa"/>
            <w:tcBorders>
              <w:top w:val="nil"/>
              <w:left w:val="nil"/>
              <w:bottom w:val="nil"/>
              <w:right w:val="nil"/>
            </w:tcBorders>
            <w:vAlign w:val="bottom"/>
          </w:tcPr>
          <w:p w14:paraId="314BDE70" w14:textId="26335BEB" w:rsidR="00D84931" w:rsidRPr="001D41EA" w:rsidRDefault="00D84931" w:rsidP="00D84931">
            <w:pPr>
              <w:spacing w:before="40" w:after="20"/>
              <w:jc w:val="right"/>
              <w:rPr>
                <w:rFonts w:cs="Arial"/>
                <w:sz w:val="18"/>
                <w:szCs w:val="18"/>
              </w:rPr>
            </w:pPr>
            <w:r w:rsidRPr="001D41EA">
              <w:rPr>
                <w:rFonts w:cs="Arial"/>
                <w:sz w:val="18"/>
                <w:szCs w:val="18"/>
              </w:rPr>
              <w:t>287,662,250</w:t>
            </w:r>
          </w:p>
        </w:tc>
        <w:tc>
          <w:tcPr>
            <w:tcW w:w="1701" w:type="dxa"/>
            <w:tcBorders>
              <w:top w:val="nil"/>
              <w:left w:val="nil"/>
              <w:bottom w:val="nil"/>
              <w:right w:val="nil"/>
            </w:tcBorders>
            <w:shd w:val="clear" w:color="auto" w:fill="auto"/>
            <w:noWrap/>
            <w:vAlign w:val="bottom"/>
          </w:tcPr>
          <w:p w14:paraId="46A1447B" w14:textId="1B5A119A" w:rsidR="00D84931" w:rsidRPr="001D41EA" w:rsidRDefault="00D84931" w:rsidP="00D84931">
            <w:pPr>
              <w:spacing w:before="40" w:after="20"/>
              <w:jc w:val="right"/>
              <w:rPr>
                <w:rFonts w:cs="Arial"/>
                <w:sz w:val="18"/>
                <w:szCs w:val="18"/>
              </w:rPr>
            </w:pPr>
            <w:r w:rsidRPr="001D41EA">
              <w:rPr>
                <w:rFonts w:cs="Arial"/>
                <w:sz w:val="18"/>
                <w:szCs w:val="18"/>
              </w:rPr>
              <w:t>606,744,750</w:t>
            </w:r>
          </w:p>
        </w:tc>
        <w:tc>
          <w:tcPr>
            <w:tcW w:w="1701" w:type="dxa"/>
            <w:tcBorders>
              <w:top w:val="nil"/>
              <w:left w:val="nil"/>
              <w:bottom w:val="nil"/>
              <w:right w:val="nil"/>
            </w:tcBorders>
            <w:vAlign w:val="bottom"/>
          </w:tcPr>
          <w:p w14:paraId="33CCFBB3" w14:textId="69620281" w:rsidR="00D84931" w:rsidRPr="001D41EA" w:rsidRDefault="00D84931" w:rsidP="00D84931">
            <w:pPr>
              <w:spacing w:before="40" w:after="20"/>
              <w:jc w:val="right"/>
              <w:rPr>
                <w:rFonts w:cs="Arial"/>
                <w:sz w:val="18"/>
                <w:szCs w:val="18"/>
              </w:rPr>
            </w:pPr>
            <w:r w:rsidRPr="001D41EA">
              <w:rPr>
                <w:rFonts w:cs="Arial"/>
                <w:sz w:val="18"/>
                <w:szCs w:val="18"/>
              </w:rPr>
              <w:t>4,134,662,250</w:t>
            </w:r>
          </w:p>
        </w:tc>
      </w:tr>
      <w:tr w:rsidR="00D84931" w:rsidRPr="001D41EA" w14:paraId="5B04B01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129334A" w14:textId="77777777" w:rsidR="00D84931" w:rsidRPr="001D41EA" w:rsidRDefault="00D84931" w:rsidP="00D84931">
            <w:pPr>
              <w:spacing w:before="40" w:after="20"/>
              <w:rPr>
                <w:rFonts w:cs="Arial"/>
                <w:sz w:val="18"/>
                <w:szCs w:val="18"/>
              </w:rPr>
            </w:pPr>
            <w:r w:rsidRPr="001D41EA">
              <w:rPr>
                <w:rFonts w:cs="Arial"/>
                <w:sz w:val="18"/>
                <w:szCs w:val="18"/>
              </w:rPr>
              <w:t>Moyne S</w:t>
            </w:r>
          </w:p>
        </w:tc>
        <w:tc>
          <w:tcPr>
            <w:tcW w:w="1701" w:type="dxa"/>
            <w:tcBorders>
              <w:top w:val="nil"/>
              <w:left w:val="single" w:sz="18" w:space="0" w:color="5F497A" w:themeColor="accent4" w:themeShade="BF"/>
              <w:bottom w:val="nil"/>
              <w:right w:val="nil"/>
            </w:tcBorders>
            <w:shd w:val="clear" w:color="auto" w:fill="auto"/>
            <w:noWrap/>
            <w:vAlign w:val="bottom"/>
          </w:tcPr>
          <w:p w14:paraId="44A167FD" w14:textId="70070C97" w:rsidR="00D84931" w:rsidRPr="001D41EA" w:rsidRDefault="00D84931" w:rsidP="00D84931">
            <w:pPr>
              <w:spacing w:before="40" w:after="20"/>
              <w:jc w:val="right"/>
              <w:rPr>
                <w:rFonts w:cs="Arial"/>
                <w:sz w:val="18"/>
                <w:szCs w:val="18"/>
              </w:rPr>
            </w:pPr>
            <w:r w:rsidRPr="001D41EA">
              <w:rPr>
                <w:rFonts w:cs="Arial"/>
                <w:sz w:val="18"/>
                <w:szCs w:val="18"/>
              </w:rPr>
              <w:t>1,579,775,970</w:t>
            </w:r>
          </w:p>
        </w:tc>
        <w:tc>
          <w:tcPr>
            <w:tcW w:w="1701" w:type="dxa"/>
            <w:tcBorders>
              <w:top w:val="nil"/>
              <w:left w:val="nil"/>
              <w:bottom w:val="nil"/>
              <w:right w:val="nil"/>
            </w:tcBorders>
            <w:vAlign w:val="bottom"/>
          </w:tcPr>
          <w:p w14:paraId="7F1F2109" w14:textId="597AF51D" w:rsidR="00D84931" w:rsidRPr="001D41EA" w:rsidRDefault="00D84931" w:rsidP="00D84931">
            <w:pPr>
              <w:spacing w:before="40" w:after="20"/>
              <w:jc w:val="right"/>
              <w:rPr>
                <w:rFonts w:cs="Arial"/>
                <w:sz w:val="18"/>
                <w:szCs w:val="18"/>
              </w:rPr>
            </w:pPr>
            <w:r w:rsidRPr="001D41EA">
              <w:rPr>
                <w:rFonts w:cs="Arial"/>
                <w:sz w:val="18"/>
                <w:szCs w:val="18"/>
              </w:rPr>
              <w:t>293,575,500</w:t>
            </w:r>
          </w:p>
        </w:tc>
        <w:tc>
          <w:tcPr>
            <w:tcW w:w="1701" w:type="dxa"/>
            <w:tcBorders>
              <w:top w:val="nil"/>
              <w:left w:val="nil"/>
              <w:bottom w:val="nil"/>
              <w:right w:val="nil"/>
            </w:tcBorders>
            <w:shd w:val="clear" w:color="auto" w:fill="auto"/>
            <w:noWrap/>
            <w:vAlign w:val="bottom"/>
          </w:tcPr>
          <w:p w14:paraId="68434516" w14:textId="5D1A47E7" w:rsidR="00D84931" w:rsidRPr="001D41EA" w:rsidRDefault="00D84931" w:rsidP="00D84931">
            <w:pPr>
              <w:spacing w:before="40" w:after="20"/>
              <w:jc w:val="right"/>
              <w:rPr>
                <w:rFonts w:cs="Arial"/>
                <w:sz w:val="18"/>
                <w:szCs w:val="18"/>
              </w:rPr>
            </w:pPr>
            <w:r w:rsidRPr="001D41EA">
              <w:rPr>
                <w:rFonts w:cs="Arial"/>
                <w:sz w:val="18"/>
                <w:szCs w:val="18"/>
              </w:rPr>
              <w:t>4,153,511,717</w:t>
            </w:r>
          </w:p>
        </w:tc>
        <w:tc>
          <w:tcPr>
            <w:tcW w:w="1701" w:type="dxa"/>
            <w:tcBorders>
              <w:top w:val="nil"/>
              <w:left w:val="nil"/>
              <w:bottom w:val="nil"/>
              <w:right w:val="nil"/>
            </w:tcBorders>
            <w:vAlign w:val="bottom"/>
          </w:tcPr>
          <w:p w14:paraId="77BE4FB4" w14:textId="5445581C" w:rsidR="00D84931" w:rsidRPr="001D41EA" w:rsidRDefault="00D84931" w:rsidP="00D84931">
            <w:pPr>
              <w:spacing w:before="40" w:after="20"/>
              <w:jc w:val="right"/>
              <w:rPr>
                <w:rFonts w:cs="Arial"/>
                <w:sz w:val="18"/>
                <w:szCs w:val="18"/>
              </w:rPr>
            </w:pPr>
            <w:r w:rsidRPr="001D41EA">
              <w:rPr>
                <w:rFonts w:cs="Arial"/>
                <w:sz w:val="18"/>
                <w:szCs w:val="18"/>
              </w:rPr>
              <w:t>6,026,863,188</w:t>
            </w:r>
          </w:p>
        </w:tc>
      </w:tr>
      <w:tr w:rsidR="00D84931" w:rsidRPr="001D41EA" w14:paraId="5017302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DE52EF6" w14:textId="77777777" w:rsidR="00D84931" w:rsidRPr="001D41EA" w:rsidRDefault="00D84931" w:rsidP="00D84931">
            <w:pPr>
              <w:spacing w:before="40" w:after="20"/>
              <w:rPr>
                <w:rFonts w:cs="Arial"/>
                <w:sz w:val="18"/>
                <w:szCs w:val="18"/>
              </w:rPr>
            </w:pPr>
            <w:r w:rsidRPr="001D41EA">
              <w:rPr>
                <w:rFonts w:cs="Arial"/>
                <w:sz w:val="18"/>
                <w:szCs w:val="18"/>
              </w:rPr>
              <w:t>Murrindindi S</w:t>
            </w:r>
          </w:p>
        </w:tc>
        <w:tc>
          <w:tcPr>
            <w:tcW w:w="1701" w:type="dxa"/>
            <w:tcBorders>
              <w:top w:val="nil"/>
              <w:left w:val="single" w:sz="18" w:space="0" w:color="5F497A" w:themeColor="accent4" w:themeShade="BF"/>
              <w:bottom w:val="nil"/>
              <w:right w:val="nil"/>
            </w:tcBorders>
            <w:shd w:val="clear" w:color="auto" w:fill="auto"/>
            <w:noWrap/>
            <w:vAlign w:val="bottom"/>
          </w:tcPr>
          <w:p w14:paraId="3C4778D2" w14:textId="0352194B" w:rsidR="00D84931" w:rsidRPr="001D41EA" w:rsidRDefault="00D84931" w:rsidP="00D84931">
            <w:pPr>
              <w:spacing w:before="40" w:after="20"/>
              <w:jc w:val="right"/>
              <w:rPr>
                <w:rFonts w:cs="Arial"/>
                <w:sz w:val="18"/>
                <w:szCs w:val="18"/>
              </w:rPr>
            </w:pPr>
            <w:r w:rsidRPr="001D41EA">
              <w:rPr>
                <w:rFonts w:cs="Arial"/>
                <w:sz w:val="18"/>
                <w:szCs w:val="18"/>
              </w:rPr>
              <w:t>1,756,142,025</w:t>
            </w:r>
          </w:p>
        </w:tc>
        <w:tc>
          <w:tcPr>
            <w:tcW w:w="1701" w:type="dxa"/>
            <w:tcBorders>
              <w:top w:val="nil"/>
              <w:left w:val="nil"/>
              <w:bottom w:val="nil"/>
              <w:right w:val="nil"/>
            </w:tcBorders>
            <w:vAlign w:val="bottom"/>
          </w:tcPr>
          <w:p w14:paraId="1CF2E7E2" w14:textId="7FA11408" w:rsidR="00D84931" w:rsidRPr="001D41EA" w:rsidRDefault="00D84931" w:rsidP="00D84931">
            <w:pPr>
              <w:spacing w:before="40" w:after="20"/>
              <w:jc w:val="right"/>
              <w:rPr>
                <w:rFonts w:cs="Arial"/>
                <w:sz w:val="18"/>
                <w:szCs w:val="18"/>
              </w:rPr>
            </w:pPr>
            <w:r w:rsidRPr="001D41EA">
              <w:rPr>
                <w:rFonts w:cs="Arial"/>
                <w:sz w:val="18"/>
                <w:szCs w:val="18"/>
              </w:rPr>
              <w:t>194,950,500</w:t>
            </w:r>
          </w:p>
        </w:tc>
        <w:tc>
          <w:tcPr>
            <w:tcW w:w="1701" w:type="dxa"/>
            <w:tcBorders>
              <w:top w:val="nil"/>
              <w:left w:val="nil"/>
              <w:bottom w:val="nil"/>
              <w:right w:val="nil"/>
            </w:tcBorders>
            <w:shd w:val="clear" w:color="auto" w:fill="auto"/>
            <w:noWrap/>
            <w:vAlign w:val="bottom"/>
          </w:tcPr>
          <w:p w14:paraId="2DB6898B" w14:textId="618A632E" w:rsidR="00D84931" w:rsidRPr="001D41EA" w:rsidRDefault="00D84931" w:rsidP="00D84931">
            <w:pPr>
              <w:spacing w:before="40" w:after="20"/>
              <w:jc w:val="right"/>
              <w:rPr>
                <w:rFonts w:cs="Arial"/>
                <w:sz w:val="18"/>
                <w:szCs w:val="18"/>
              </w:rPr>
            </w:pPr>
            <w:r w:rsidRPr="001D41EA">
              <w:rPr>
                <w:rFonts w:cs="Arial"/>
                <w:sz w:val="18"/>
                <w:szCs w:val="18"/>
              </w:rPr>
              <w:t>2,068,225,750</w:t>
            </w:r>
          </w:p>
        </w:tc>
        <w:tc>
          <w:tcPr>
            <w:tcW w:w="1701" w:type="dxa"/>
            <w:tcBorders>
              <w:top w:val="nil"/>
              <w:left w:val="nil"/>
              <w:bottom w:val="nil"/>
              <w:right w:val="nil"/>
            </w:tcBorders>
            <w:vAlign w:val="bottom"/>
          </w:tcPr>
          <w:p w14:paraId="4EC75510" w14:textId="150BB840" w:rsidR="00D84931" w:rsidRPr="001D41EA" w:rsidRDefault="00D84931" w:rsidP="00D84931">
            <w:pPr>
              <w:spacing w:before="40" w:after="20"/>
              <w:jc w:val="right"/>
              <w:rPr>
                <w:rFonts w:cs="Arial"/>
                <w:sz w:val="18"/>
                <w:szCs w:val="18"/>
              </w:rPr>
            </w:pPr>
            <w:r w:rsidRPr="001D41EA">
              <w:rPr>
                <w:rFonts w:cs="Arial"/>
                <w:sz w:val="18"/>
                <w:szCs w:val="18"/>
              </w:rPr>
              <w:t>4,019,318,275</w:t>
            </w:r>
          </w:p>
        </w:tc>
      </w:tr>
      <w:tr w:rsidR="00D84931" w:rsidRPr="001D41EA" w14:paraId="5927488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49F7D92" w14:textId="77777777" w:rsidR="00D84931" w:rsidRPr="001D41EA" w:rsidRDefault="00D84931" w:rsidP="00D84931">
            <w:pPr>
              <w:spacing w:before="40" w:after="20"/>
              <w:rPr>
                <w:rFonts w:cs="Arial"/>
                <w:sz w:val="18"/>
                <w:szCs w:val="18"/>
              </w:rPr>
            </w:pPr>
            <w:r w:rsidRPr="001D41EA">
              <w:rPr>
                <w:rFonts w:cs="Arial"/>
                <w:sz w:val="18"/>
                <w:szCs w:val="18"/>
              </w:rPr>
              <w:t>Nillumbik S</w:t>
            </w:r>
          </w:p>
        </w:tc>
        <w:tc>
          <w:tcPr>
            <w:tcW w:w="1701" w:type="dxa"/>
            <w:tcBorders>
              <w:top w:val="nil"/>
              <w:left w:val="single" w:sz="18" w:space="0" w:color="5F497A" w:themeColor="accent4" w:themeShade="BF"/>
              <w:bottom w:val="nil"/>
              <w:right w:val="nil"/>
            </w:tcBorders>
            <w:shd w:val="clear" w:color="auto" w:fill="auto"/>
            <w:noWrap/>
            <w:vAlign w:val="bottom"/>
          </w:tcPr>
          <w:p w14:paraId="15A11A5D" w14:textId="7DA82F3C" w:rsidR="00D84931" w:rsidRPr="001D41EA" w:rsidRDefault="00D84931" w:rsidP="00D84931">
            <w:pPr>
              <w:spacing w:before="40" w:after="20"/>
              <w:jc w:val="right"/>
              <w:rPr>
                <w:rFonts w:cs="Arial"/>
                <w:sz w:val="18"/>
                <w:szCs w:val="18"/>
              </w:rPr>
            </w:pPr>
            <w:r w:rsidRPr="001D41EA">
              <w:rPr>
                <w:rFonts w:cs="Arial"/>
                <w:sz w:val="18"/>
                <w:szCs w:val="18"/>
              </w:rPr>
              <w:t>14,319,997,250</w:t>
            </w:r>
          </w:p>
        </w:tc>
        <w:tc>
          <w:tcPr>
            <w:tcW w:w="1701" w:type="dxa"/>
            <w:tcBorders>
              <w:top w:val="nil"/>
              <w:left w:val="nil"/>
              <w:bottom w:val="nil"/>
              <w:right w:val="nil"/>
            </w:tcBorders>
            <w:vAlign w:val="bottom"/>
          </w:tcPr>
          <w:p w14:paraId="607D30D5" w14:textId="382915A5" w:rsidR="00D84931" w:rsidRPr="001D41EA" w:rsidRDefault="00D84931" w:rsidP="00D84931">
            <w:pPr>
              <w:spacing w:before="40" w:after="20"/>
              <w:jc w:val="right"/>
              <w:rPr>
                <w:rFonts w:cs="Arial"/>
                <w:sz w:val="18"/>
                <w:szCs w:val="18"/>
              </w:rPr>
            </w:pPr>
            <w:r w:rsidRPr="001D41EA">
              <w:rPr>
                <w:rFonts w:cs="Arial"/>
                <w:sz w:val="18"/>
                <w:szCs w:val="18"/>
              </w:rPr>
              <w:t>710,761,500</w:t>
            </w:r>
          </w:p>
        </w:tc>
        <w:tc>
          <w:tcPr>
            <w:tcW w:w="1701" w:type="dxa"/>
            <w:tcBorders>
              <w:top w:val="nil"/>
              <w:left w:val="nil"/>
              <w:bottom w:val="nil"/>
              <w:right w:val="nil"/>
            </w:tcBorders>
            <w:shd w:val="clear" w:color="auto" w:fill="auto"/>
            <w:noWrap/>
            <w:vAlign w:val="bottom"/>
          </w:tcPr>
          <w:p w14:paraId="3DC74D6C" w14:textId="1B3036BB" w:rsidR="00D84931" w:rsidRPr="001D41EA" w:rsidRDefault="00D84931" w:rsidP="00D84931">
            <w:pPr>
              <w:spacing w:before="40" w:after="20"/>
              <w:jc w:val="right"/>
              <w:rPr>
                <w:rFonts w:cs="Arial"/>
                <w:sz w:val="18"/>
                <w:szCs w:val="18"/>
              </w:rPr>
            </w:pPr>
            <w:r w:rsidRPr="001D41EA">
              <w:rPr>
                <w:rFonts w:cs="Arial"/>
                <w:sz w:val="18"/>
                <w:szCs w:val="18"/>
              </w:rPr>
              <w:t>1,013,879,500</w:t>
            </w:r>
          </w:p>
        </w:tc>
        <w:tc>
          <w:tcPr>
            <w:tcW w:w="1701" w:type="dxa"/>
            <w:tcBorders>
              <w:top w:val="nil"/>
              <w:left w:val="nil"/>
              <w:bottom w:val="nil"/>
              <w:right w:val="nil"/>
            </w:tcBorders>
            <w:vAlign w:val="bottom"/>
          </w:tcPr>
          <w:p w14:paraId="21F1ED3F" w14:textId="23B06AF8" w:rsidR="00D84931" w:rsidRPr="001D41EA" w:rsidRDefault="00D84931" w:rsidP="00D84931">
            <w:pPr>
              <w:spacing w:before="40" w:after="20"/>
              <w:jc w:val="right"/>
              <w:rPr>
                <w:rFonts w:cs="Arial"/>
                <w:sz w:val="18"/>
                <w:szCs w:val="18"/>
              </w:rPr>
            </w:pPr>
            <w:r w:rsidRPr="001D41EA">
              <w:rPr>
                <w:rFonts w:cs="Arial"/>
                <w:sz w:val="18"/>
                <w:szCs w:val="18"/>
              </w:rPr>
              <w:t>16,044,638,250</w:t>
            </w:r>
          </w:p>
        </w:tc>
      </w:tr>
      <w:tr w:rsidR="00D84931" w:rsidRPr="001D41EA" w14:paraId="62E86D5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3163730" w14:textId="77777777" w:rsidR="00D84931" w:rsidRPr="001D41EA" w:rsidRDefault="00D84931" w:rsidP="00D84931">
            <w:pPr>
              <w:spacing w:before="40" w:after="20"/>
              <w:rPr>
                <w:rFonts w:cs="Arial"/>
                <w:sz w:val="18"/>
                <w:szCs w:val="18"/>
              </w:rPr>
            </w:pPr>
            <w:r w:rsidRPr="001D41EA">
              <w:rPr>
                <w:rFonts w:cs="Arial"/>
                <w:sz w:val="18"/>
                <w:szCs w:val="18"/>
              </w:rPr>
              <w:t>Northern Grampians S</w:t>
            </w:r>
          </w:p>
        </w:tc>
        <w:tc>
          <w:tcPr>
            <w:tcW w:w="1701" w:type="dxa"/>
            <w:tcBorders>
              <w:top w:val="nil"/>
              <w:left w:val="single" w:sz="18" w:space="0" w:color="5F497A" w:themeColor="accent4" w:themeShade="BF"/>
              <w:bottom w:val="nil"/>
              <w:right w:val="nil"/>
            </w:tcBorders>
            <w:shd w:val="clear" w:color="auto" w:fill="auto"/>
            <w:noWrap/>
            <w:vAlign w:val="bottom"/>
          </w:tcPr>
          <w:p w14:paraId="1650059B" w14:textId="42046710" w:rsidR="00D84931" w:rsidRPr="001D41EA" w:rsidRDefault="00D84931" w:rsidP="00D84931">
            <w:pPr>
              <w:spacing w:before="40" w:after="20"/>
              <w:jc w:val="right"/>
              <w:rPr>
                <w:rFonts w:cs="Arial"/>
                <w:sz w:val="18"/>
                <w:szCs w:val="18"/>
              </w:rPr>
            </w:pPr>
            <w:r w:rsidRPr="001D41EA">
              <w:rPr>
                <w:rFonts w:cs="Arial"/>
                <w:sz w:val="18"/>
                <w:szCs w:val="18"/>
              </w:rPr>
              <w:t>996,897,800</w:t>
            </w:r>
          </w:p>
        </w:tc>
        <w:tc>
          <w:tcPr>
            <w:tcW w:w="1701" w:type="dxa"/>
            <w:tcBorders>
              <w:top w:val="nil"/>
              <w:left w:val="nil"/>
              <w:bottom w:val="nil"/>
              <w:right w:val="nil"/>
            </w:tcBorders>
            <w:vAlign w:val="bottom"/>
          </w:tcPr>
          <w:p w14:paraId="16F3C4A2" w14:textId="3DF2A8C7" w:rsidR="00D84931" w:rsidRPr="001D41EA" w:rsidRDefault="00D84931" w:rsidP="00D84931">
            <w:pPr>
              <w:spacing w:before="40" w:after="20"/>
              <w:jc w:val="right"/>
              <w:rPr>
                <w:rFonts w:cs="Arial"/>
                <w:sz w:val="18"/>
                <w:szCs w:val="18"/>
              </w:rPr>
            </w:pPr>
            <w:r w:rsidRPr="001D41EA">
              <w:rPr>
                <w:rFonts w:cs="Arial"/>
                <w:sz w:val="18"/>
                <w:szCs w:val="18"/>
              </w:rPr>
              <w:t>177,379,250</w:t>
            </w:r>
          </w:p>
        </w:tc>
        <w:tc>
          <w:tcPr>
            <w:tcW w:w="1701" w:type="dxa"/>
            <w:tcBorders>
              <w:top w:val="nil"/>
              <w:left w:val="nil"/>
              <w:bottom w:val="nil"/>
              <w:right w:val="nil"/>
            </w:tcBorders>
            <w:shd w:val="clear" w:color="auto" w:fill="auto"/>
            <w:noWrap/>
            <w:vAlign w:val="bottom"/>
          </w:tcPr>
          <w:p w14:paraId="20CB2C9B" w14:textId="2141BD93" w:rsidR="00D84931" w:rsidRPr="001D41EA" w:rsidRDefault="00D84931" w:rsidP="00D84931">
            <w:pPr>
              <w:spacing w:before="40" w:after="20"/>
              <w:jc w:val="right"/>
              <w:rPr>
                <w:rFonts w:cs="Arial"/>
                <w:sz w:val="18"/>
                <w:szCs w:val="18"/>
              </w:rPr>
            </w:pPr>
            <w:r w:rsidRPr="001D41EA">
              <w:rPr>
                <w:rFonts w:cs="Arial"/>
                <w:sz w:val="18"/>
                <w:szCs w:val="18"/>
              </w:rPr>
              <w:t>872,352,250</w:t>
            </w:r>
          </w:p>
        </w:tc>
        <w:tc>
          <w:tcPr>
            <w:tcW w:w="1701" w:type="dxa"/>
            <w:tcBorders>
              <w:top w:val="nil"/>
              <w:left w:val="nil"/>
              <w:bottom w:val="nil"/>
              <w:right w:val="nil"/>
            </w:tcBorders>
            <w:vAlign w:val="bottom"/>
          </w:tcPr>
          <w:p w14:paraId="2D7B012A" w14:textId="72127DBA" w:rsidR="00D84931" w:rsidRPr="001D41EA" w:rsidRDefault="00D84931" w:rsidP="00D84931">
            <w:pPr>
              <w:spacing w:before="40" w:after="20"/>
              <w:jc w:val="right"/>
              <w:rPr>
                <w:rFonts w:cs="Arial"/>
                <w:sz w:val="18"/>
                <w:szCs w:val="18"/>
              </w:rPr>
            </w:pPr>
            <w:r w:rsidRPr="001D41EA">
              <w:rPr>
                <w:rFonts w:cs="Arial"/>
                <w:sz w:val="18"/>
                <w:szCs w:val="18"/>
              </w:rPr>
              <w:t>2,046,629,300</w:t>
            </w:r>
          </w:p>
        </w:tc>
      </w:tr>
      <w:tr w:rsidR="00D84931" w:rsidRPr="001D41EA" w14:paraId="13C521E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9B78E95" w14:textId="77777777" w:rsidR="00D84931" w:rsidRPr="001D41EA" w:rsidRDefault="00D84931" w:rsidP="00D84931">
            <w:pPr>
              <w:spacing w:before="40" w:after="20"/>
              <w:rPr>
                <w:rFonts w:cs="Arial"/>
                <w:sz w:val="18"/>
                <w:szCs w:val="18"/>
              </w:rPr>
            </w:pPr>
            <w:r w:rsidRPr="001D41EA">
              <w:rPr>
                <w:rFonts w:cs="Arial"/>
                <w:sz w:val="18"/>
                <w:szCs w:val="18"/>
              </w:rPr>
              <w:t>Port Phillip C</w:t>
            </w:r>
          </w:p>
        </w:tc>
        <w:tc>
          <w:tcPr>
            <w:tcW w:w="1701" w:type="dxa"/>
            <w:tcBorders>
              <w:top w:val="nil"/>
              <w:left w:val="single" w:sz="18" w:space="0" w:color="5F497A" w:themeColor="accent4" w:themeShade="BF"/>
              <w:bottom w:val="nil"/>
              <w:right w:val="nil"/>
            </w:tcBorders>
            <w:shd w:val="clear" w:color="auto" w:fill="auto"/>
            <w:noWrap/>
            <w:vAlign w:val="bottom"/>
          </w:tcPr>
          <w:p w14:paraId="61E593CA" w14:textId="4A6E33CB" w:rsidR="00D84931" w:rsidRPr="001D41EA" w:rsidRDefault="00D84931" w:rsidP="00D84931">
            <w:pPr>
              <w:spacing w:before="40" w:after="20"/>
              <w:jc w:val="right"/>
              <w:rPr>
                <w:rFonts w:cs="Arial"/>
                <w:sz w:val="18"/>
                <w:szCs w:val="18"/>
              </w:rPr>
            </w:pPr>
            <w:r w:rsidRPr="001D41EA">
              <w:rPr>
                <w:rFonts w:cs="Arial"/>
                <w:sz w:val="18"/>
                <w:szCs w:val="18"/>
              </w:rPr>
              <w:t>45,130,053,750</w:t>
            </w:r>
          </w:p>
        </w:tc>
        <w:tc>
          <w:tcPr>
            <w:tcW w:w="1701" w:type="dxa"/>
            <w:tcBorders>
              <w:top w:val="nil"/>
              <w:left w:val="nil"/>
              <w:bottom w:val="nil"/>
              <w:right w:val="nil"/>
            </w:tcBorders>
            <w:vAlign w:val="bottom"/>
          </w:tcPr>
          <w:p w14:paraId="3F6385EC" w14:textId="00C5C9E4" w:rsidR="00D84931" w:rsidRPr="001D41EA" w:rsidRDefault="00D84931" w:rsidP="00D84931">
            <w:pPr>
              <w:spacing w:before="40" w:after="20"/>
              <w:jc w:val="right"/>
              <w:rPr>
                <w:rFonts w:cs="Arial"/>
                <w:sz w:val="18"/>
                <w:szCs w:val="18"/>
              </w:rPr>
            </w:pPr>
            <w:r w:rsidRPr="001D41EA">
              <w:rPr>
                <w:rFonts w:cs="Arial"/>
                <w:sz w:val="18"/>
                <w:szCs w:val="18"/>
              </w:rPr>
              <w:t>9,287,629,278</w:t>
            </w:r>
          </w:p>
        </w:tc>
        <w:tc>
          <w:tcPr>
            <w:tcW w:w="1701" w:type="dxa"/>
            <w:tcBorders>
              <w:top w:val="nil"/>
              <w:left w:val="nil"/>
              <w:bottom w:val="nil"/>
              <w:right w:val="nil"/>
            </w:tcBorders>
            <w:shd w:val="clear" w:color="auto" w:fill="auto"/>
            <w:noWrap/>
            <w:vAlign w:val="bottom"/>
          </w:tcPr>
          <w:p w14:paraId="68158AE5" w14:textId="3EDEECD2"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1D7E5D11" w14:textId="09300897" w:rsidR="00D84931" w:rsidRPr="001D41EA" w:rsidRDefault="00D84931" w:rsidP="00D84931">
            <w:pPr>
              <w:spacing w:before="40" w:after="20"/>
              <w:jc w:val="right"/>
              <w:rPr>
                <w:rFonts w:cs="Arial"/>
                <w:sz w:val="18"/>
                <w:szCs w:val="18"/>
              </w:rPr>
            </w:pPr>
            <w:r w:rsidRPr="001D41EA">
              <w:rPr>
                <w:rFonts w:cs="Arial"/>
                <w:sz w:val="18"/>
                <w:szCs w:val="18"/>
              </w:rPr>
              <w:t>54,417,683,028</w:t>
            </w:r>
          </w:p>
        </w:tc>
      </w:tr>
      <w:tr w:rsidR="00D84931" w:rsidRPr="001D41EA" w14:paraId="4A2C849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CB274C3" w14:textId="77777777" w:rsidR="00D84931" w:rsidRPr="001D41EA" w:rsidRDefault="00D84931" w:rsidP="00D84931">
            <w:pPr>
              <w:spacing w:before="40" w:after="20"/>
              <w:rPr>
                <w:rFonts w:cs="Arial"/>
                <w:sz w:val="18"/>
                <w:szCs w:val="18"/>
              </w:rPr>
            </w:pPr>
            <w:r w:rsidRPr="001D41EA">
              <w:rPr>
                <w:rFonts w:cs="Arial"/>
                <w:sz w:val="18"/>
                <w:szCs w:val="18"/>
              </w:rPr>
              <w:t>Pyrenees S</w:t>
            </w:r>
          </w:p>
        </w:tc>
        <w:tc>
          <w:tcPr>
            <w:tcW w:w="1701" w:type="dxa"/>
            <w:tcBorders>
              <w:top w:val="nil"/>
              <w:left w:val="single" w:sz="18" w:space="0" w:color="5F497A" w:themeColor="accent4" w:themeShade="BF"/>
              <w:bottom w:val="nil"/>
              <w:right w:val="nil"/>
            </w:tcBorders>
            <w:shd w:val="clear" w:color="auto" w:fill="auto"/>
            <w:noWrap/>
            <w:vAlign w:val="bottom"/>
          </w:tcPr>
          <w:p w14:paraId="35360826" w14:textId="12C62EB3" w:rsidR="00D84931" w:rsidRPr="001D41EA" w:rsidRDefault="00D84931" w:rsidP="00D84931">
            <w:pPr>
              <w:spacing w:before="40" w:after="20"/>
              <w:jc w:val="right"/>
              <w:rPr>
                <w:rFonts w:cs="Arial"/>
                <w:sz w:val="18"/>
                <w:szCs w:val="18"/>
              </w:rPr>
            </w:pPr>
            <w:r w:rsidRPr="001D41EA">
              <w:rPr>
                <w:rFonts w:cs="Arial"/>
                <w:sz w:val="18"/>
                <w:szCs w:val="18"/>
              </w:rPr>
              <w:t>639,595,000</w:t>
            </w:r>
          </w:p>
        </w:tc>
        <w:tc>
          <w:tcPr>
            <w:tcW w:w="1701" w:type="dxa"/>
            <w:tcBorders>
              <w:top w:val="nil"/>
              <w:left w:val="nil"/>
              <w:bottom w:val="nil"/>
              <w:right w:val="nil"/>
            </w:tcBorders>
            <w:vAlign w:val="bottom"/>
          </w:tcPr>
          <w:p w14:paraId="74E37331" w14:textId="57FA3216" w:rsidR="00D84931" w:rsidRPr="001D41EA" w:rsidRDefault="00D84931" w:rsidP="00D84931">
            <w:pPr>
              <w:spacing w:before="40" w:after="20"/>
              <w:jc w:val="right"/>
              <w:rPr>
                <w:rFonts w:cs="Arial"/>
                <w:sz w:val="18"/>
                <w:szCs w:val="18"/>
              </w:rPr>
            </w:pPr>
            <w:r w:rsidRPr="001D41EA">
              <w:rPr>
                <w:rFonts w:cs="Arial"/>
                <w:sz w:val="18"/>
                <w:szCs w:val="18"/>
              </w:rPr>
              <w:t>50,749,000</w:t>
            </w:r>
          </w:p>
        </w:tc>
        <w:tc>
          <w:tcPr>
            <w:tcW w:w="1701" w:type="dxa"/>
            <w:tcBorders>
              <w:top w:val="nil"/>
              <w:left w:val="nil"/>
              <w:bottom w:val="nil"/>
              <w:right w:val="nil"/>
            </w:tcBorders>
            <w:shd w:val="clear" w:color="auto" w:fill="auto"/>
            <w:noWrap/>
            <w:vAlign w:val="bottom"/>
          </w:tcPr>
          <w:p w14:paraId="54C71363" w14:textId="34606483" w:rsidR="00D84931" w:rsidRPr="001D41EA" w:rsidRDefault="00D84931" w:rsidP="00D84931">
            <w:pPr>
              <w:spacing w:before="40" w:after="20"/>
              <w:jc w:val="right"/>
              <w:rPr>
                <w:rFonts w:cs="Arial"/>
                <w:sz w:val="18"/>
                <w:szCs w:val="18"/>
              </w:rPr>
            </w:pPr>
            <w:r w:rsidRPr="001D41EA">
              <w:rPr>
                <w:rFonts w:cs="Arial"/>
                <w:sz w:val="18"/>
                <w:szCs w:val="18"/>
              </w:rPr>
              <w:t>967,652,250</w:t>
            </w:r>
          </w:p>
        </w:tc>
        <w:tc>
          <w:tcPr>
            <w:tcW w:w="1701" w:type="dxa"/>
            <w:tcBorders>
              <w:top w:val="nil"/>
              <w:left w:val="nil"/>
              <w:bottom w:val="nil"/>
              <w:right w:val="nil"/>
            </w:tcBorders>
            <w:vAlign w:val="bottom"/>
          </w:tcPr>
          <w:p w14:paraId="743FAF14" w14:textId="70FCCC5B" w:rsidR="00D84931" w:rsidRPr="001D41EA" w:rsidRDefault="00D84931" w:rsidP="00D84931">
            <w:pPr>
              <w:spacing w:before="40" w:after="20"/>
              <w:jc w:val="right"/>
              <w:rPr>
                <w:rFonts w:cs="Arial"/>
                <w:sz w:val="18"/>
                <w:szCs w:val="18"/>
              </w:rPr>
            </w:pPr>
            <w:r w:rsidRPr="001D41EA">
              <w:rPr>
                <w:rFonts w:cs="Arial"/>
                <w:sz w:val="18"/>
                <w:szCs w:val="18"/>
              </w:rPr>
              <w:t>1,657,996,250</w:t>
            </w:r>
          </w:p>
        </w:tc>
      </w:tr>
      <w:tr w:rsidR="00D84931" w:rsidRPr="001D41EA" w14:paraId="78547F3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8E80F58" w14:textId="77777777" w:rsidR="00D84931" w:rsidRPr="001D41EA" w:rsidRDefault="00D84931" w:rsidP="00D84931">
            <w:pPr>
              <w:spacing w:before="40" w:after="20"/>
              <w:rPr>
                <w:rFonts w:cs="Arial"/>
                <w:sz w:val="18"/>
                <w:szCs w:val="18"/>
              </w:rPr>
            </w:pPr>
            <w:r w:rsidRPr="001D41EA">
              <w:rPr>
                <w:rFonts w:cs="Arial"/>
                <w:sz w:val="18"/>
                <w:szCs w:val="18"/>
              </w:rPr>
              <w:t>Queenscliffe B</w:t>
            </w:r>
          </w:p>
        </w:tc>
        <w:tc>
          <w:tcPr>
            <w:tcW w:w="1701" w:type="dxa"/>
            <w:tcBorders>
              <w:top w:val="nil"/>
              <w:left w:val="single" w:sz="18" w:space="0" w:color="5F497A" w:themeColor="accent4" w:themeShade="BF"/>
              <w:bottom w:val="nil"/>
              <w:right w:val="nil"/>
            </w:tcBorders>
            <w:shd w:val="clear" w:color="auto" w:fill="auto"/>
            <w:noWrap/>
            <w:vAlign w:val="bottom"/>
          </w:tcPr>
          <w:p w14:paraId="69A15F0F" w14:textId="2D38A5F0" w:rsidR="00D84931" w:rsidRPr="001D41EA" w:rsidRDefault="00D84931" w:rsidP="00D84931">
            <w:pPr>
              <w:spacing w:before="40" w:after="20"/>
              <w:jc w:val="right"/>
              <w:rPr>
                <w:rFonts w:cs="Arial"/>
                <w:sz w:val="18"/>
                <w:szCs w:val="18"/>
              </w:rPr>
            </w:pPr>
            <w:r w:rsidRPr="001D41EA">
              <w:rPr>
                <w:rFonts w:cs="Arial"/>
                <w:sz w:val="18"/>
                <w:szCs w:val="18"/>
              </w:rPr>
              <w:t>2,239,363,225</w:t>
            </w:r>
          </w:p>
        </w:tc>
        <w:tc>
          <w:tcPr>
            <w:tcW w:w="1701" w:type="dxa"/>
            <w:tcBorders>
              <w:top w:val="nil"/>
              <w:left w:val="nil"/>
              <w:bottom w:val="nil"/>
              <w:right w:val="nil"/>
            </w:tcBorders>
            <w:vAlign w:val="bottom"/>
          </w:tcPr>
          <w:p w14:paraId="6EC8B636" w14:textId="7142AACC" w:rsidR="00D84931" w:rsidRPr="001D41EA" w:rsidRDefault="00D84931" w:rsidP="00D84931">
            <w:pPr>
              <w:spacing w:before="40" w:after="20"/>
              <w:jc w:val="right"/>
              <w:rPr>
                <w:rFonts w:cs="Arial"/>
                <w:sz w:val="18"/>
                <w:szCs w:val="18"/>
              </w:rPr>
            </w:pPr>
            <w:r w:rsidRPr="001D41EA">
              <w:rPr>
                <w:rFonts w:cs="Arial"/>
                <w:sz w:val="18"/>
                <w:szCs w:val="18"/>
              </w:rPr>
              <w:t>234,852,498</w:t>
            </w:r>
          </w:p>
        </w:tc>
        <w:tc>
          <w:tcPr>
            <w:tcW w:w="1701" w:type="dxa"/>
            <w:tcBorders>
              <w:top w:val="nil"/>
              <w:left w:val="nil"/>
              <w:bottom w:val="nil"/>
              <w:right w:val="nil"/>
            </w:tcBorders>
            <w:shd w:val="clear" w:color="auto" w:fill="auto"/>
            <w:noWrap/>
            <w:vAlign w:val="bottom"/>
          </w:tcPr>
          <w:p w14:paraId="250327CF" w14:textId="259F404F"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051B0326" w14:textId="6972D543" w:rsidR="00D84931" w:rsidRPr="001D41EA" w:rsidRDefault="00D84931" w:rsidP="00D84931">
            <w:pPr>
              <w:spacing w:before="40" w:after="20"/>
              <w:jc w:val="right"/>
              <w:rPr>
                <w:rFonts w:cs="Arial"/>
                <w:sz w:val="18"/>
                <w:szCs w:val="18"/>
              </w:rPr>
            </w:pPr>
            <w:r w:rsidRPr="001D41EA">
              <w:rPr>
                <w:rFonts w:cs="Arial"/>
                <w:sz w:val="18"/>
                <w:szCs w:val="18"/>
              </w:rPr>
              <w:t>2,474,215,723</w:t>
            </w:r>
          </w:p>
        </w:tc>
      </w:tr>
      <w:tr w:rsidR="00D84931" w:rsidRPr="001D41EA" w14:paraId="493FD42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CA0C2C8" w14:textId="77777777" w:rsidR="00D84931" w:rsidRPr="001D41EA" w:rsidRDefault="00D84931" w:rsidP="00D84931">
            <w:pPr>
              <w:spacing w:before="40" w:after="20"/>
              <w:rPr>
                <w:rFonts w:cs="Arial"/>
                <w:sz w:val="18"/>
                <w:szCs w:val="18"/>
              </w:rPr>
            </w:pPr>
            <w:r w:rsidRPr="001D41EA">
              <w:rPr>
                <w:rFonts w:cs="Arial"/>
                <w:sz w:val="18"/>
                <w:szCs w:val="18"/>
              </w:rPr>
              <w:t>South Gippsland S</w:t>
            </w:r>
          </w:p>
        </w:tc>
        <w:tc>
          <w:tcPr>
            <w:tcW w:w="1701" w:type="dxa"/>
            <w:tcBorders>
              <w:top w:val="nil"/>
              <w:left w:val="single" w:sz="18" w:space="0" w:color="5F497A" w:themeColor="accent4" w:themeShade="BF"/>
              <w:bottom w:val="nil"/>
              <w:right w:val="nil"/>
            </w:tcBorders>
            <w:shd w:val="clear" w:color="auto" w:fill="auto"/>
            <w:noWrap/>
            <w:vAlign w:val="bottom"/>
          </w:tcPr>
          <w:p w14:paraId="1E5D6B38" w14:textId="756C5EE0" w:rsidR="00D84931" w:rsidRPr="001D41EA" w:rsidRDefault="00D84931" w:rsidP="00D84931">
            <w:pPr>
              <w:spacing w:before="40" w:after="20"/>
              <w:jc w:val="right"/>
              <w:rPr>
                <w:rFonts w:cs="Arial"/>
                <w:sz w:val="18"/>
                <w:szCs w:val="18"/>
              </w:rPr>
            </w:pPr>
            <w:r w:rsidRPr="001D41EA">
              <w:rPr>
                <w:rFonts w:cs="Arial"/>
                <w:sz w:val="18"/>
                <w:szCs w:val="18"/>
              </w:rPr>
              <w:t>4,200,757,250</w:t>
            </w:r>
          </w:p>
        </w:tc>
        <w:tc>
          <w:tcPr>
            <w:tcW w:w="1701" w:type="dxa"/>
            <w:tcBorders>
              <w:top w:val="nil"/>
              <w:left w:val="nil"/>
              <w:bottom w:val="nil"/>
              <w:right w:val="nil"/>
            </w:tcBorders>
            <w:vAlign w:val="bottom"/>
          </w:tcPr>
          <w:p w14:paraId="00E700CA" w14:textId="5980BB06" w:rsidR="00D84931" w:rsidRPr="001D41EA" w:rsidRDefault="00D84931" w:rsidP="00D84931">
            <w:pPr>
              <w:spacing w:before="40" w:after="20"/>
              <w:jc w:val="right"/>
              <w:rPr>
                <w:rFonts w:cs="Arial"/>
                <w:sz w:val="18"/>
                <w:szCs w:val="18"/>
              </w:rPr>
            </w:pPr>
            <w:r w:rsidRPr="001D41EA">
              <w:rPr>
                <w:rFonts w:cs="Arial"/>
                <w:sz w:val="18"/>
                <w:szCs w:val="18"/>
              </w:rPr>
              <w:t>531,637,750</w:t>
            </w:r>
          </w:p>
        </w:tc>
        <w:tc>
          <w:tcPr>
            <w:tcW w:w="1701" w:type="dxa"/>
            <w:tcBorders>
              <w:top w:val="nil"/>
              <w:left w:val="nil"/>
              <w:bottom w:val="nil"/>
              <w:right w:val="nil"/>
            </w:tcBorders>
            <w:shd w:val="clear" w:color="auto" w:fill="auto"/>
            <w:noWrap/>
            <w:vAlign w:val="bottom"/>
          </w:tcPr>
          <w:p w14:paraId="3915F6C3" w14:textId="3A93B490" w:rsidR="00D84931" w:rsidRPr="001D41EA" w:rsidRDefault="00D84931" w:rsidP="00D84931">
            <w:pPr>
              <w:spacing w:before="40" w:after="20"/>
              <w:jc w:val="right"/>
              <w:rPr>
                <w:rFonts w:cs="Arial"/>
                <w:sz w:val="18"/>
                <w:szCs w:val="18"/>
              </w:rPr>
            </w:pPr>
            <w:r w:rsidRPr="001D41EA">
              <w:rPr>
                <w:rFonts w:cs="Arial"/>
                <w:sz w:val="18"/>
                <w:szCs w:val="18"/>
              </w:rPr>
              <w:t>2,618,668,138</w:t>
            </w:r>
          </w:p>
        </w:tc>
        <w:tc>
          <w:tcPr>
            <w:tcW w:w="1701" w:type="dxa"/>
            <w:tcBorders>
              <w:top w:val="nil"/>
              <w:left w:val="nil"/>
              <w:bottom w:val="nil"/>
              <w:right w:val="nil"/>
            </w:tcBorders>
            <w:vAlign w:val="bottom"/>
          </w:tcPr>
          <w:p w14:paraId="1AA86538" w14:textId="4F82DAEB" w:rsidR="00D84931" w:rsidRPr="001D41EA" w:rsidRDefault="00D84931" w:rsidP="00D84931">
            <w:pPr>
              <w:spacing w:before="40" w:after="20"/>
              <w:jc w:val="right"/>
              <w:rPr>
                <w:rFonts w:cs="Arial"/>
                <w:sz w:val="18"/>
                <w:szCs w:val="18"/>
              </w:rPr>
            </w:pPr>
            <w:r w:rsidRPr="001D41EA">
              <w:rPr>
                <w:rFonts w:cs="Arial"/>
                <w:sz w:val="18"/>
                <w:szCs w:val="18"/>
              </w:rPr>
              <w:t>7,351,063,138</w:t>
            </w:r>
          </w:p>
        </w:tc>
      </w:tr>
      <w:tr w:rsidR="00D84931" w:rsidRPr="001D41EA" w14:paraId="6C8F9C1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0B9FE6F" w14:textId="77777777" w:rsidR="00D84931" w:rsidRPr="001D41EA" w:rsidRDefault="00D84931" w:rsidP="00D84931">
            <w:pPr>
              <w:spacing w:before="40" w:after="20"/>
              <w:rPr>
                <w:rFonts w:cs="Arial"/>
                <w:sz w:val="18"/>
                <w:szCs w:val="18"/>
              </w:rPr>
            </w:pPr>
            <w:r w:rsidRPr="001D41EA">
              <w:rPr>
                <w:rFonts w:cs="Arial"/>
                <w:sz w:val="18"/>
                <w:szCs w:val="18"/>
              </w:rPr>
              <w:t>Southern Grampians S</w:t>
            </w:r>
          </w:p>
        </w:tc>
        <w:tc>
          <w:tcPr>
            <w:tcW w:w="1701" w:type="dxa"/>
            <w:tcBorders>
              <w:top w:val="nil"/>
              <w:left w:val="single" w:sz="18" w:space="0" w:color="5F497A" w:themeColor="accent4" w:themeShade="BF"/>
              <w:bottom w:val="nil"/>
              <w:right w:val="nil"/>
            </w:tcBorders>
            <w:shd w:val="clear" w:color="auto" w:fill="auto"/>
            <w:noWrap/>
            <w:vAlign w:val="bottom"/>
          </w:tcPr>
          <w:p w14:paraId="6A62B93F" w14:textId="6A1544B5" w:rsidR="00D84931" w:rsidRPr="001D41EA" w:rsidRDefault="00D84931" w:rsidP="00D84931">
            <w:pPr>
              <w:spacing w:before="40" w:after="20"/>
              <w:jc w:val="right"/>
              <w:rPr>
                <w:rFonts w:cs="Arial"/>
                <w:sz w:val="18"/>
                <w:szCs w:val="18"/>
              </w:rPr>
            </w:pPr>
            <w:r w:rsidRPr="001D41EA">
              <w:rPr>
                <w:rFonts w:cs="Arial"/>
                <w:sz w:val="18"/>
                <w:szCs w:val="18"/>
              </w:rPr>
              <w:t>1,376,531,060</w:t>
            </w:r>
          </w:p>
        </w:tc>
        <w:tc>
          <w:tcPr>
            <w:tcW w:w="1701" w:type="dxa"/>
            <w:tcBorders>
              <w:top w:val="nil"/>
              <w:left w:val="nil"/>
              <w:bottom w:val="nil"/>
              <w:right w:val="nil"/>
            </w:tcBorders>
            <w:vAlign w:val="bottom"/>
          </w:tcPr>
          <w:p w14:paraId="68698651" w14:textId="4CF9BDB4" w:rsidR="00D84931" w:rsidRPr="001D41EA" w:rsidRDefault="00D84931" w:rsidP="00D84931">
            <w:pPr>
              <w:spacing w:before="40" w:after="20"/>
              <w:jc w:val="right"/>
              <w:rPr>
                <w:rFonts w:cs="Arial"/>
                <w:sz w:val="18"/>
                <w:szCs w:val="18"/>
              </w:rPr>
            </w:pPr>
            <w:r w:rsidRPr="001D41EA">
              <w:rPr>
                <w:rFonts w:cs="Arial"/>
                <w:sz w:val="18"/>
                <w:szCs w:val="18"/>
              </w:rPr>
              <w:t>285,390,750</w:t>
            </w:r>
          </w:p>
        </w:tc>
        <w:tc>
          <w:tcPr>
            <w:tcW w:w="1701" w:type="dxa"/>
            <w:tcBorders>
              <w:top w:val="nil"/>
              <w:left w:val="nil"/>
              <w:bottom w:val="nil"/>
              <w:right w:val="nil"/>
            </w:tcBorders>
            <w:shd w:val="clear" w:color="auto" w:fill="auto"/>
            <w:noWrap/>
            <w:vAlign w:val="bottom"/>
          </w:tcPr>
          <w:p w14:paraId="3352C8DD" w14:textId="23EF7616" w:rsidR="00D84931" w:rsidRPr="001D41EA" w:rsidRDefault="00D84931" w:rsidP="00D84931">
            <w:pPr>
              <w:spacing w:before="40" w:after="20"/>
              <w:jc w:val="right"/>
              <w:rPr>
                <w:rFonts w:cs="Arial"/>
                <w:sz w:val="18"/>
                <w:szCs w:val="18"/>
              </w:rPr>
            </w:pPr>
            <w:r w:rsidRPr="001D41EA">
              <w:rPr>
                <w:rFonts w:cs="Arial"/>
                <w:sz w:val="18"/>
                <w:szCs w:val="18"/>
              </w:rPr>
              <w:t>1,936,403,060</w:t>
            </w:r>
          </w:p>
        </w:tc>
        <w:tc>
          <w:tcPr>
            <w:tcW w:w="1701" w:type="dxa"/>
            <w:tcBorders>
              <w:top w:val="nil"/>
              <w:left w:val="nil"/>
              <w:bottom w:val="nil"/>
              <w:right w:val="nil"/>
            </w:tcBorders>
            <w:vAlign w:val="bottom"/>
          </w:tcPr>
          <w:p w14:paraId="09F08E4B" w14:textId="3491FFB6" w:rsidR="00D84931" w:rsidRPr="001D41EA" w:rsidRDefault="00D84931" w:rsidP="00D84931">
            <w:pPr>
              <w:spacing w:before="40" w:after="20"/>
              <w:jc w:val="right"/>
              <w:rPr>
                <w:rFonts w:cs="Arial"/>
                <w:sz w:val="18"/>
                <w:szCs w:val="18"/>
              </w:rPr>
            </w:pPr>
            <w:r w:rsidRPr="001D41EA">
              <w:rPr>
                <w:rFonts w:cs="Arial"/>
                <w:sz w:val="18"/>
                <w:szCs w:val="18"/>
              </w:rPr>
              <w:t>3,598,324,870</w:t>
            </w:r>
          </w:p>
        </w:tc>
      </w:tr>
      <w:tr w:rsidR="00D84931" w:rsidRPr="001D41EA" w14:paraId="36B4F75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C637405" w14:textId="77777777" w:rsidR="00D84931" w:rsidRPr="001D41EA" w:rsidRDefault="00D84931" w:rsidP="00D84931">
            <w:pPr>
              <w:spacing w:before="40" w:after="20"/>
              <w:rPr>
                <w:rFonts w:cs="Arial"/>
                <w:sz w:val="18"/>
                <w:szCs w:val="18"/>
              </w:rPr>
            </w:pPr>
            <w:r w:rsidRPr="001D41EA">
              <w:rPr>
                <w:rFonts w:cs="Arial"/>
                <w:sz w:val="18"/>
                <w:szCs w:val="18"/>
              </w:rPr>
              <w:t>Stonnington C</w:t>
            </w:r>
          </w:p>
        </w:tc>
        <w:tc>
          <w:tcPr>
            <w:tcW w:w="1701" w:type="dxa"/>
            <w:tcBorders>
              <w:top w:val="nil"/>
              <w:left w:val="single" w:sz="18" w:space="0" w:color="5F497A" w:themeColor="accent4" w:themeShade="BF"/>
              <w:bottom w:val="nil"/>
              <w:right w:val="nil"/>
            </w:tcBorders>
            <w:shd w:val="clear" w:color="auto" w:fill="auto"/>
            <w:noWrap/>
            <w:vAlign w:val="bottom"/>
          </w:tcPr>
          <w:p w14:paraId="6E66CC0A" w14:textId="600BBB29" w:rsidR="00D84931" w:rsidRPr="001D41EA" w:rsidRDefault="00D84931" w:rsidP="00D84931">
            <w:pPr>
              <w:spacing w:before="40" w:after="20"/>
              <w:jc w:val="right"/>
              <w:rPr>
                <w:rFonts w:cs="Arial"/>
                <w:sz w:val="18"/>
                <w:szCs w:val="18"/>
              </w:rPr>
            </w:pPr>
            <w:r w:rsidRPr="001D41EA">
              <w:rPr>
                <w:rFonts w:cs="Arial"/>
                <w:sz w:val="18"/>
                <w:szCs w:val="18"/>
              </w:rPr>
              <w:t>61,020,772,500</w:t>
            </w:r>
          </w:p>
        </w:tc>
        <w:tc>
          <w:tcPr>
            <w:tcW w:w="1701" w:type="dxa"/>
            <w:tcBorders>
              <w:top w:val="nil"/>
              <w:left w:val="nil"/>
              <w:bottom w:val="nil"/>
              <w:right w:val="nil"/>
            </w:tcBorders>
            <w:vAlign w:val="bottom"/>
          </w:tcPr>
          <w:p w14:paraId="78AE8EDF" w14:textId="3D181020" w:rsidR="00D84931" w:rsidRPr="001D41EA" w:rsidRDefault="00D84931" w:rsidP="00D84931">
            <w:pPr>
              <w:spacing w:before="40" w:after="20"/>
              <w:jc w:val="right"/>
              <w:rPr>
                <w:rFonts w:cs="Arial"/>
                <w:sz w:val="18"/>
                <w:szCs w:val="18"/>
              </w:rPr>
            </w:pPr>
            <w:r w:rsidRPr="001D41EA">
              <w:rPr>
                <w:rFonts w:cs="Arial"/>
                <w:sz w:val="18"/>
                <w:szCs w:val="18"/>
              </w:rPr>
              <w:t>10,285,673,250</w:t>
            </w:r>
          </w:p>
        </w:tc>
        <w:tc>
          <w:tcPr>
            <w:tcW w:w="1701" w:type="dxa"/>
            <w:tcBorders>
              <w:top w:val="nil"/>
              <w:left w:val="nil"/>
              <w:bottom w:val="nil"/>
              <w:right w:val="nil"/>
            </w:tcBorders>
            <w:shd w:val="clear" w:color="auto" w:fill="auto"/>
            <w:noWrap/>
            <w:vAlign w:val="bottom"/>
          </w:tcPr>
          <w:p w14:paraId="5BABE8F0" w14:textId="5F2F7B9B"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6D1416A0" w14:textId="3BA5DD4C" w:rsidR="00D84931" w:rsidRPr="001D41EA" w:rsidRDefault="00D84931" w:rsidP="00D84931">
            <w:pPr>
              <w:spacing w:before="40" w:after="20"/>
              <w:jc w:val="right"/>
              <w:rPr>
                <w:rFonts w:cs="Arial"/>
                <w:sz w:val="18"/>
                <w:szCs w:val="18"/>
              </w:rPr>
            </w:pPr>
            <w:r w:rsidRPr="001D41EA">
              <w:rPr>
                <w:rFonts w:cs="Arial"/>
                <w:sz w:val="18"/>
                <w:szCs w:val="18"/>
              </w:rPr>
              <w:t>71,306,445,750</w:t>
            </w:r>
          </w:p>
        </w:tc>
      </w:tr>
      <w:tr w:rsidR="00D84931" w:rsidRPr="001D41EA" w14:paraId="51A64C4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7822204" w14:textId="77777777" w:rsidR="00D84931" w:rsidRPr="001D41EA" w:rsidRDefault="00D84931" w:rsidP="00D84931">
            <w:pPr>
              <w:spacing w:before="40" w:after="20"/>
              <w:rPr>
                <w:rFonts w:cs="Arial"/>
                <w:sz w:val="18"/>
                <w:szCs w:val="18"/>
              </w:rPr>
            </w:pPr>
            <w:r w:rsidRPr="001D41EA">
              <w:rPr>
                <w:rFonts w:cs="Arial"/>
                <w:sz w:val="18"/>
                <w:szCs w:val="18"/>
              </w:rPr>
              <w:t>Strathbogie S</w:t>
            </w:r>
          </w:p>
        </w:tc>
        <w:tc>
          <w:tcPr>
            <w:tcW w:w="1701" w:type="dxa"/>
            <w:tcBorders>
              <w:top w:val="nil"/>
              <w:left w:val="single" w:sz="18" w:space="0" w:color="5F497A" w:themeColor="accent4" w:themeShade="BF"/>
              <w:bottom w:val="nil"/>
              <w:right w:val="nil"/>
            </w:tcBorders>
            <w:shd w:val="clear" w:color="auto" w:fill="auto"/>
            <w:noWrap/>
            <w:vAlign w:val="bottom"/>
          </w:tcPr>
          <w:p w14:paraId="365FE9FE" w14:textId="65278D57" w:rsidR="00D84931" w:rsidRPr="001D41EA" w:rsidRDefault="00D84931" w:rsidP="00D84931">
            <w:pPr>
              <w:spacing w:before="40" w:after="20"/>
              <w:jc w:val="right"/>
              <w:rPr>
                <w:rFonts w:cs="Arial"/>
                <w:sz w:val="18"/>
                <w:szCs w:val="18"/>
              </w:rPr>
            </w:pPr>
            <w:r w:rsidRPr="001D41EA">
              <w:rPr>
                <w:rFonts w:cs="Arial"/>
                <w:sz w:val="18"/>
                <w:szCs w:val="18"/>
              </w:rPr>
              <w:t>1,134,806,000</w:t>
            </w:r>
          </w:p>
        </w:tc>
        <w:tc>
          <w:tcPr>
            <w:tcW w:w="1701" w:type="dxa"/>
            <w:tcBorders>
              <w:top w:val="nil"/>
              <w:left w:val="nil"/>
              <w:bottom w:val="nil"/>
              <w:right w:val="nil"/>
            </w:tcBorders>
            <w:vAlign w:val="bottom"/>
          </w:tcPr>
          <w:p w14:paraId="18A07664" w14:textId="39662F8D" w:rsidR="00D84931" w:rsidRPr="001D41EA" w:rsidRDefault="00D84931" w:rsidP="00D84931">
            <w:pPr>
              <w:spacing w:before="40" w:after="20"/>
              <w:jc w:val="right"/>
              <w:rPr>
                <w:rFonts w:cs="Arial"/>
                <w:sz w:val="18"/>
                <w:szCs w:val="18"/>
              </w:rPr>
            </w:pPr>
            <w:r w:rsidRPr="001D41EA">
              <w:rPr>
                <w:rFonts w:cs="Arial"/>
                <w:sz w:val="18"/>
                <w:szCs w:val="18"/>
              </w:rPr>
              <w:t>112,761,750</w:t>
            </w:r>
          </w:p>
        </w:tc>
        <w:tc>
          <w:tcPr>
            <w:tcW w:w="1701" w:type="dxa"/>
            <w:tcBorders>
              <w:top w:val="nil"/>
              <w:left w:val="nil"/>
              <w:bottom w:val="nil"/>
              <w:right w:val="nil"/>
            </w:tcBorders>
            <w:shd w:val="clear" w:color="auto" w:fill="auto"/>
            <w:noWrap/>
            <w:vAlign w:val="bottom"/>
          </w:tcPr>
          <w:p w14:paraId="5EEA87E2" w14:textId="203B121C" w:rsidR="00D84931" w:rsidRPr="001D41EA" w:rsidRDefault="00D84931" w:rsidP="00D84931">
            <w:pPr>
              <w:spacing w:before="40" w:after="20"/>
              <w:jc w:val="right"/>
              <w:rPr>
                <w:rFonts w:cs="Arial"/>
                <w:sz w:val="18"/>
                <w:szCs w:val="18"/>
              </w:rPr>
            </w:pPr>
            <w:r w:rsidRPr="001D41EA">
              <w:rPr>
                <w:rFonts w:cs="Arial"/>
                <w:sz w:val="18"/>
                <w:szCs w:val="18"/>
              </w:rPr>
              <w:t>1,492,021,000</w:t>
            </w:r>
          </w:p>
        </w:tc>
        <w:tc>
          <w:tcPr>
            <w:tcW w:w="1701" w:type="dxa"/>
            <w:tcBorders>
              <w:top w:val="nil"/>
              <w:left w:val="nil"/>
              <w:bottom w:val="nil"/>
              <w:right w:val="nil"/>
            </w:tcBorders>
            <w:vAlign w:val="bottom"/>
          </w:tcPr>
          <w:p w14:paraId="666BD3B9" w14:textId="15328681" w:rsidR="00D84931" w:rsidRPr="001D41EA" w:rsidRDefault="00D84931" w:rsidP="00D84931">
            <w:pPr>
              <w:spacing w:before="40" w:after="20"/>
              <w:jc w:val="right"/>
              <w:rPr>
                <w:rFonts w:cs="Arial"/>
                <w:sz w:val="18"/>
                <w:szCs w:val="18"/>
              </w:rPr>
            </w:pPr>
            <w:r w:rsidRPr="001D41EA">
              <w:rPr>
                <w:rFonts w:cs="Arial"/>
                <w:sz w:val="18"/>
                <w:szCs w:val="18"/>
              </w:rPr>
              <w:t>2,739,588,750</w:t>
            </w:r>
          </w:p>
        </w:tc>
      </w:tr>
      <w:tr w:rsidR="00D84931" w:rsidRPr="001D41EA" w14:paraId="4126D8F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3C8309A" w14:textId="77777777" w:rsidR="00D84931" w:rsidRPr="001D41EA" w:rsidRDefault="00D84931" w:rsidP="00D84931">
            <w:pPr>
              <w:spacing w:before="40" w:after="20"/>
              <w:rPr>
                <w:rFonts w:cs="Arial"/>
                <w:sz w:val="18"/>
                <w:szCs w:val="18"/>
              </w:rPr>
            </w:pPr>
            <w:r w:rsidRPr="001D41EA">
              <w:rPr>
                <w:rFonts w:cs="Arial"/>
                <w:sz w:val="18"/>
                <w:szCs w:val="18"/>
              </w:rPr>
              <w:t>Surf Coast S</w:t>
            </w:r>
          </w:p>
        </w:tc>
        <w:tc>
          <w:tcPr>
            <w:tcW w:w="1701" w:type="dxa"/>
            <w:tcBorders>
              <w:top w:val="nil"/>
              <w:left w:val="single" w:sz="18" w:space="0" w:color="5F497A" w:themeColor="accent4" w:themeShade="BF"/>
              <w:bottom w:val="nil"/>
              <w:right w:val="nil"/>
            </w:tcBorders>
            <w:shd w:val="clear" w:color="auto" w:fill="auto"/>
            <w:noWrap/>
            <w:vAlign w:val="bottom"/>
          </w:tcPr>
          <w:p w14:paraId="61FD7FBA" w14:textId="4E5EBD88" w:rsidR="00D84931" w:rsidRPr="001D41EA" w:rsidRDefault="00D84931" w:rsidP="00D84931">
            <w:pPr>
              <w:spacing w:before="40" w:after="20"/>
              <w:jc w:val="right"/>
              <w:rPr>
                <w:rFonts w:cs="Arial"/>
                <w:sz w:val="18"/>
                <w:szCs w:val="18"/>
              </w:rPr>
            </w:pPr>
            <w:r w:rsidRPr="001D41EA">
              <w:rPr>
                <w:rFonts w:cs="Arial"/>
                <w:sz w:val="18"/>
                <w:szCs w:val="18"/>
              </w:rPr>
              <w:t>12,106,166,625</w:t>
            </w:r>
          </w:p>
        </w:tc>
        <w:tc>
          <w:tcPr>
            <w:tcW w:w="1701" w:type="dxa"/>
            <w:tcBorders>
              <w:top w:val="nil"/>
              <w:left w:val="nil"/>
              <w:bottom w:val="nil"/>
              <w:right w:val="nil"/>
            </w:tcBorders>
            <w:vAlign w:val="bottom"/>
          </w:tcPr>
          <w:p w14:paraId="5519DF1B" w14:textId="2399ECDD" w:rsidR="00D84931" w:rsidRPr="001D41EA" w:rsidRDefault="00D84931" w:rsidP="00D84931">
            <w:pPr>
              <w:spacing w:before="40" w:after="20"/>
              <w:jc w:val="right"/>
              <w:rPr>
                <w:rFonts w:cs="Arial"/>
                <w:sz w:val="18"/>
                <w:szCs w:val="18"/>
              </w:rPr>
            </w:pPr>
            <w:r w:rsidRPr="001D41EA">
              <w:rPr>
                <w:rFonts w:cs="Arial"/>
                <w:sz w:val="18"/>
                <w:szCs w:val="18"/>
              </w:rPr>
              <w:t>692,188,125</w:t>
            </w:r>
          </w:p>
        </w:tc>
        <w:tc>
          <w:tcPr>
            <w:tcW w:w="1701" w:type="dxa"/>
            <w:tcBorders>
              <w:top w:val="nil"/>
              <w:left w:val="nil"/>
              <w:bottom w:val="nil"/>
              <w:right w:val="nil"/>
            </w:tcBorders>
            <w:shd w:val="clear" w:color="auto" w:fill="auto"/>
            <w:noWrap/>
            <w:vAlign w:val="bottom"/>
          </w:tcPr>
          <w:p w14:paraId="5C90F529" w14:textId="6320A7AF" w:rsidR="00D84931" w:rsidRPr="001D41EA" w:rsidRDefault="00D84931" w:rsidP="00D84931">
            <w:pPr>
              <w:spacing w:before="40" w:after="20"/>
              <w:jc w:val="right"/>
              <w:rPr>
                <w:rFonts w:cs="Arial"/>
                <w:sz w:val="18"/>
                <w:szCs w:val="18"/>
              </w:rPr>
            </w:pPr>
            <w:r w:rsidRPr="001D41EA">
              <w:rPr>
                <w:rFonts w:cs="Arial"/>
                <w:sz w:val="18"/>
                <w:szCs w:val="18"/>
              </w:rPr>
              <w:t>1,015,994,000</w:t>
            </w:r>
          </w:p>
        </w:tc>
        <w:tc>
          <w:tcPr>
            <w:tcW w:w="1701" w:type="dxa"/>
            <w:tcBorders>
              <w:top w:val="nil"/>
              <w:left w:val="nil"/>
              <w:bottom w:val="nil"/>
              <w:right w:val="nil"/>
            </w:tcBorders>
            <w:vAlign w:val="bottom"/>
          </w:tcPr>
          <w:p w14:paraId="401A0461" w14:textId="76CDD6C3" w:rsidR="00D84931" w:rsidRPr="001D41EA" w:rsidRDefault="00D84931" w:rsidP="00D84931">
            <w:pPr>
              <w:spacing w:before="40" w:after="20"/>
              <w:jc w:val="right"/>
              <w:rPr>
                <w:rFonts w:cs="Arial"/>
                <w:sz w:val="18"/>
                <w:szCs w:val="18"/>
              </w:rPr>
            </w:pPr>
            <w:r w:rsidRPr="001D41EA">
              <w:rPr>
                <w:rFonts w:cs="Arial"/>
                <w:sz w:val="18"/>
                <w:szCs w:val="18"/>
              </w:rPr>
              <w:t>13,814,348,750</w:t>
            </w:r>
          </w:p>
        </w:tc>
      </w:tr>
      <w:tr w:rsidR="00D84931" w:rsidRPr="001D41EA" w14:paraId="49C90D0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A5DC8B5" w14:textId="77777777" w:rsidR="00D84931" w:rsidRPr="001D41EA" w:rsidRDefault="00D84931" w:rsidP="00D84931">
            <w:pPr>
              <w:spacing w:before="40" w:after="20"/>
              <w:rPr>
                <w:rFonts w:cs="Arial"/>
                <w:sz w:val="18"/>
                <w:szCs w:val="18"/>
              </w:rPr>
            </w:pPr>
            <w:r w:rsidRPr="001D41EA">
              <w:rPr>
                <w:rFonts w:cs="Arial"/>
                <w:sz w:val="18"/>
                <w:szCs w:val="18"/>
              </w:rPr>
              <w:t>Swan Hill RC</w:t>
            </w:r>
          </w:p>
        </w:tc>
        <w:tc>
          <w:tcPr>
            <w:tcW w:w="1701" w:type="dxa"/>
            <w:tcBorders>
              <w:top w:val="nil"/>
              <w:left w:val="single" w:sz="18" w:space="0" w:color="5F497A" w:themeColor="accent4" w:themeShade="BF"/>
              <w:bottom w:val="nil"/>
              <w:right w:val="nil"/>
            </w:tcBorders>
            <w:shd w:val="clear" w:color="auto" w:fill="auto"/>
            <w:noWrap/>
            <w:vAlign w:val="bottom"/>
          </w:tcPr>
          <w:p w14:paraId="4AE986D8" w14:textId="51B4F026" w:rsidR="00D84931" w:rsidRPr="001D41EA" w:rsidRDefault="00D84931" w:rsidP="00D84931">
            <w:pPr>
              <w:spacing w:before="40" w:after="20"/>
              <w:jc w:val="right"/>
              <w:rPr>
                <w:rFonts w:cs="Arial"/>
                <w:sz w:val="18"/>
                <w:szCs w:val="18"/>
              </w:rPr>
            </w:pPr>
            <w:r w:rsidRPr="001D41EA">
              <w:rPr>
                <w:rFonts w:cs="Arial"/>
                <w:sz w:val="18"/>
                <w:szCs w:val="18"/>
              </w:rPr>
              <w:t>1,491,266,175</w:t>
            </w:r>
          </w:p>
        </w:tc>
        <w:tc>
          <w:tcPr>
            <w:tcW w:w="1701" w:type="dxa"/>
            <w:tcBorders>
              <w:top w:val="nil"/>
              <w:left w:val="nil"/>
              <w:bottom w:val="nil"/>
              <w:right w:val="nil"/>
            </w:tcBorders>
            <w:vAlign w:val="bottom"/>
          </w:tcPr>
          <w:p w14:paraId="7BE6E40E" w14:textId="256DBEA5" w:rsidR="00D84931" w:rsidRPr="001D41EA" w:rsidRDefault="00D84931" w:rsidP="00D84931">
            <w:pPr>
              <w:spacing w:before="40" w:after="20"/>
              <w:jc w:val="right"/>
              <w:rPr>
                <w:rFonts w:cs="Arial"/>
                <w:sz w:val="18"/>
                <w:szCs w:val="18"/>
              </w:rPr>
            </w:pPr>
            <w:r w:rsidRPr="001D41EA">
              <w:rPr>
                <w:rFonts w:cs="Arial"/>
                <w:sz w:val="18"/>
                <w:szCs w:val="18"/>
              </w:rPr>
              <w:t>329,813,000</w:t>
            </w:r>
          </w:p>
        </w:tc>
        <w:tc>
          <w:tcPr>
            <w:tcW w:w="1701" w:type="dxa"/>
            <w:tcBorders>
              <w:top w:val="nil"/>
              <w:left w:val="nil"/>
              <w:bottom w:val="nil"/>
              <w:right w:val="nil"/>
            </w:tcBorders>
            <w:shd w:val="clear" w:color="auto" w:fill="auto"/>
            <w:noWrap/>
            <w:vAlign w:val="bottom"/>
          </w:tcPr>
          <w:p w14:paraId="63C7FA40" w14:textId="7E377570" w:rsidR="00D84931" w:rsidRPr="001D41EA" w:rsidRDefault="00D84931" w:rsidP="00D84931">
            <w:pPr>
              <w:spacing w:before="40" w:after="20"/>
              <w:jc w:val="right"/>
              <w:rPr>
                <w:rFonts w:cs="Arial"/>
                <w:sz w:val="18"/>
                <w:szCs w:val="18"/>
              </w:rPr>
            </w:pPr>
            <w:r w:rsidRPr="001D41EA">
              <w:rPr>
                <w:rFonts w:cs="Arial"/>
                <w:sz w:val="18"/>
                <w:szCs w:val="18"/>
              </w:rPr>
              <w:t>1,670,368,450</w:t>
            </w:r>
          </w:p>
        </w:tc>
        <w:tc>
          <w:tcPr>
            <w:tcW w:w="1701" w:type="dxa"/>
            <w:tcBorders>
              <w:top w:val="nil"/>
              <w:left w:val="nil"/>
              <w:bottom w:val="nil"/>
              <w:right w:val="nil"/>
            </w:tcBorders>
            <w:vAlign w:val="bottom"/>
          </w:tcPr>
          <w:p w14:paraId="09D84B2F" w14:textId="30A13E0D" w:rsidR="00D84931" w:rsidRPr="001D41EA" w:rsidRDefault="00D84931" w:rsidP="00D84931">
            <w:pPr>
              <w:spacing w:before="40" w:after="20"/>
              <w:jc w:val="right"/>
              <w:rPr>
                <w:rFonts w:cs="Arial"/>
                <w:sz w:val="18"/>
                <w:szCs w:val="18"/>
              </w:rPr>
            </w:pPr>
            <w:r w:rsidRPr="001D41EA">
              <w:rPr>
                <w:rFonts w:cs="Arial"/>
                <w:sz w:val="18"/>
                <w:szCs w:val="18"/>
              </w:rPr>
              <w:t>3,491,447,625</w:t>
            </w:r>
          </w:p>
        </w:tc>
      </w:tr>
      <w:tr w:rsidR="00D84931" w:rsidRPr="001D41EA" w14:paraId="4A7EBAF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106E120" w14:textId="77777777" w:rsidR="00D84931" w:rsidRPr="001D41EA" w:rsidRDefault="00D84931" w:rsidP="00D84931">
            <w:pPr>
              <w:spacing w:before="40" w:after="20"/>
              <w:rPr>
                <w:rFonts w:cs="Arial"/>
                <w:sz w:val="18"/>
                <w:szCs w:val="18"/>
              </w:rPr>
            </w:pPr>
            <w:r w:rsidRPr="001D41EA">
              <w:rPr>
                <w:rFonts w:cs="Arial"/>
                <w:sz w:val="18"/>
                <w:szCs w:val="18"/>
              </w:rPr>
              <w:t>Towong S</w:t>
            </w:r>
          </w:p>
        </w:tc>
        <w:tc>
          <w:tcPr>
            <w:tcW w:w="1701" w:type="dxa"/>
            <w:tcBorders>
              <w:top w:val="nil"/>
              <w:left w:val="single" w:sz="18" w:space="0" w:color="5F497A" w:themeColor="accent4" w:themeShade="BF"/>
              <w:bottom w:val="nil"/>
              <w:right w:val="nil"/>
            </w:tcBorders>
            <w:shd w:val="clear" w:color="auto" w:fill="auto"/>
            <w:noWrap/>
            <w:vAlign w:val="bottom"/>
          </w:tcPr>
          <w:p w14:paraId="3FF758F3" w14:textId="34D65602" w:rsidR="00D84931" w:rsidRPr="001D41EA" w:rsidRDefault="00D84931" w:rsidP="00D84931">
            <w:pPr>
              <w:spacing w:before="40" w:after="20"/>
              <w:jc w:val="right"/>
              <w:rPr>
                <w:rFonts w:cs="Arial"/>
                <w:sz w:val="18"/>
                <w:szCs w:val="18"/>
              </w:rPr>
            </w:pPr>
            <w:r w:rsidRPr="001D41EA">
              <w:rPr>
                <w:rFonts w:cs="Arial"/>
                <w:sz w:val="18"/>
                <w:szCs w:val="18"/>
              </w:rPr>
              <w:t>390,208,785</w:t>
            </w:r>
          </w:p>
        </w:tc>
        <w:tc>
          <w:tcPr>
            <w:tcW w:w="1701" w:type="dxa"/>
            <w:tcBorders>
              <w:top w:val="nil"/>
              <w:left w:val="nil"/>
              <w:bottom w:val="nil"/>
              <w:right w:val="nil"/>
            </w:tcBorders>
            <w:vAlign w:val="bottom"/>
          </w:tcPr>
          <w:p w14:paraId="0F1C3154" w14:textId="1DAE6A0A" w:rsidR="00D84931" w:rsidRPr="001D41EA" w:rsidRDefault="00D84931" w:rsidP="00D84931">
            <w:pPr>
              <w:spacing w:before="40" w:after="20"/>
              <w:jc w:val="right"/>
              <w:rPr>
                <w:rFonts w:cs="Arial"/>
                <w:sz w:val="18"/>
                <w:szCs w:val="18"/>
              </w:rPr>
            </w:pPr>
            <w:r w:rsidRPr="001D41EA">
              <w:rPr>
                <w:rFonts w:cs="Arial"/>
                <w:sz w:val="18"/>
                <w:szCs w:val="18"/>
              </w:rPr>
              <w:t>37,031,405</w:t>
            </w:r>
          </w:p>
        </w:tc>
        <w:tc>
          <w:tcPr>
            <w:tcW w:w="1701" w:type="dxa"/>
            <w:tcBorders>
              <w:top w:val="nil"/>
              <w:left w:val="nil"/>
              <w:bottom w:val="nil"/>
              <w:right w:val="nil"/>
            </w:tcBorders>
            <w:shd w:val="clear" w:color="auto" w:fill="auto"/>
            <w:noWrap/>
            <w:vAlign w:val="bottom"/>
          </w:tcPr>
          <w:p w14:paraId="479D2F31" w14:textId="4726B6E8" w:rsidR="00D84931" w:rsidRPr="001D41EA" w:rsidRDefault="00D84931" w:rsidP="00D84931">
            <w:pPr>
              <w:spacing w:before="40" w:after="20"/>
              <w:jc w:val="right"/>
              <w:rPr>
                <w:rFonts w:cs="Arial"/>
                <w:sz w:val="18"/>
                <w:szCs w:val="18"/>
              </w:rPr>
            </w:pPr>
            <w:r w:rsidRPr="001D41EA">
              <w:rPr>
                <w:rFonts w:cs="Arial"/>
                <w:sz w:val="18"/>
                <w:szCs w:val="18"/>
              </w:rPr>
              <w:t>930,785,264</w:t>
            </w:r>
          </w:p>
        </w:tc>
        <w:tc>
          <w:tcPr>
            <w:tcW w:w="1701" w:type="dxa"/>
            <w:tcBorders>
              <w:top w:val="nil"/>
              <w:left w:val="nil"/>
              <w:bottom w:val="nil"/>
              <w:right w:val="nil"/>
            </w:tcBorders>
            <w:vAlign w:val="bottom"/>
          </w:tcPr>
          <w:p w14:paraId="7428562C" w14:textId="3343C1BE" w:rsidR="00D84931" w:rsidRPr="001D41EA" w:rsidRDefault="00D84931" w:rsidP="00D84931">
            <w:pPr>
              <w:spacing w:before="40" w:after="20"/>
              <w:jc w:val="right"/>
              <w:rPr>
                <w:rFonts w:cs="Arial"/>
                <w:sz w:val="18"/>
                <w:szCs w:val="18"/>
              </w:rPr>
            </w:pPr>
            <w:r w:rsidRPr="001D41EA">
              <w:rPr>
                <w:rFonts w:cs="Arial"/>
                <w:sz w:val="18"/>
                <w:szCs w:val="18"/>
              </w:rPr>
              <w:t>1,358,025,454</w:t>
            </w:r>
          </w:p>
        </w:tc>
      </w:tr>
      <w:tr w:rsidR="00D84931" w:rsidRPr="001D41EA" w14:paraId="075EDB1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AD8500D" w14:textId="77777777" w:rsidR="00D84931" w:rsidRPr="001D41EA" w:rsidRDefault="00D84931" w:rsidP="00D84931">
            <w:pPr>
              <w:spacing w:before="40" w:after="20"/>
              <w:rPr>
                <w:rFonts w:cs="Arial"/>
                <w:sz w:val="18"/>
                <w:szCs w:val="18"/>
              </w:rPr>
            </w:pPr>
            <w:r w:rsidRPr="001D41EA">
              <w:rPr>
                <w:rFonts w:cs="Arial"/>
                <w:sz w:val="18"/>
                <w:szCs w:val="18"/>
              </w:rPr>
              <w:t>Wangaratta RC</w:t>
            </w:r>
          </w:p>
        </w:tc>
        <w:tc>
          <w:tcPr>
            <w:tcW w:w="1701" w:type="dxa"/>
            <w:tcBorders>
              <w:top w:val="nil"/>
              <w:left w:val="single" w:sz="18" w:space="0" w:color="5F497A" w:themeColor="accent4" w:themeShade="BF"/>
              <w:bottom w:val="nil"/>
              <w:right w:val="nil"/>
            </w:tcBorders>
            <w:shd w:val="clear" w:color="auto" w:fill="auto"/>
            <w:noWrap/>
            <w:vAlign w:val="bottom"/>
          </w:tcPr>
          <w:p w14:paraId="57840240" w14:textId="496C593C" w:rsidR="00D84931" w:rsidRPr="001D41EA" w:rsidRDefault="00D84931" w:rsidP="00D84931">
            <w:pPr>
              <w:spacing w:before="40" w:after="20"/>
              <w:jc w:val="right"/>
              <w:rPr>
                <w:rFonts w:cs="Arial"/>
                <w:sz w:val="18"/>
                <w:szCs w:val="18"/>
              </w:rPr>
            </w:pPr>
            <w:r w:rsidRPr="001D41EA">
              <w:rPr>
                <w:rFonts w:cs="Arial"/>
                <w:sz w:val="18"/>
                <w:szCs w:val="18"/>
              </w:rPr>
              <w:t>2,888,016,467</w:t>
            </w:r>
          </w:p>
        </w:tc>
        <w:tc>
          <w:tcPr>
            <w:tcW w:w="1701" w:type="dxa"/>
            <w:tcBorders>
              <w:top w:val="nil"/>
              <w:left w:val="nil"/>
              <w:bottom w:val="nil"/>
              <w:right w:val="nil"/>
            </w:tcBorders>
            <w:vAlign w:val="bottom"/>
          </w:tcPr>
          <w:p w14:paraId="7E573114" w14:textId="5CA82A03" w:rsidR="00D84931" w:rsidRPr="001D41EA" w:rsidRDefault="00D84931" w:rsidP="00D84931">
            <w:pPr>
              <w:spacing w:before="40" w:after="20"/>
              <w:jc w:val="right"/>
              <w:rPr>
                <w:rFonts w:cs="Arial"/>
                <w:sz w:val="18"/>
                <w:szCs w:val="18"/>
              </w:rPr>
            </w:pPr>
            <w:r w:rsidRPr="001D41EA">
              <w:rPr>
                <w:rFonts w:cs="Arial"/>
                <w:sz w:val="18"/>
                <w:szCs w:val="18"/>
              </w:rPr>
              <w:t>543,050,298</w:t>
            </w:r>
          </w:p>
        </w:tc>
        <w:tc>
          <w:tcPr>
            <w:tcW w:w="1701" w:type="dxa"/>
            <w:tcBorders>
              <w:top w:val="nil"/>
              <w:left w:val="nil"/>
              <w:bottom w:val="nil"/>
              <w:right w:val="nil"/>
            </w:tcBorders>
            <w:shd w:val="clear" w:color="auto" w:fill="auto"/>
            <w:noWrap/>
            <w:vAlign w:val="bottom"/>
          </w:tcPr>
          <w:p w14:paraId="7202D8AE" w14:textId="3A609F6A" w:rsidR="00D84931" w:rsidRPr="001D41EA" w:rsidRDefault="00D84931" w:rsidP="00D84931">
            <w:pPr>
              <w:spacing w:before="40" w:after="20"/>
              <w:jc w:val="right"/>
              <w:rPr>
                <w:rFonts w:cs="Arial"/>
                <w:sz w:val="18"/>
                <w:szCs w:val="18"/>
              </w:rPr>
            </w:pPr>
            <w:r w:rsidRPr="001D41EA">
              <w:rPr>
                <w:rFonts w:cs="Arial"/>
                <w:sz w:val="18"/>
                <w:szCs w:val="18"/>
              </w:rPr>
              <w:t>1,427,011,986</w:t>
            </w:r>
          </w:p>
        </w:tc>
        <w:tc>
          <w:tcPr>
            <w:tcW w:w="1701" w:type="dxa"/>
            <w:tcBorders>
              <w:top w:val="nil"/>
              <w:left w:val="nil"/>
              <w:bottom w:val="nil"/>
              <w:right w:val="nil"/>
            </w:tcBorders>
            <w:vAlign w:val="bottom"/>
          </w:tcPr>
          <w:p w14:paraId="723F7455" w14:textId="27D075AF" w:rsidR="00D84931" w:rsidRPr="001D41EA" w:rsidRDefault="00D84931" w:rsidP="00D84931">
            <w:pPr>
              <w:spacing w:before="40" w:after="20"/>
              <w:jc w:val="right"/>
              <w:rPr>
                <w:rFonts w:cs="Arial"/>
                <w:sz w:val="18"/>
                <w:szCs w:val="18"/>
              </w:rPr>
            </w:pPr>
            <w:r w:rsidRPr="001D41EA">
              <w:rPr>
                <w:rFonts w:cs="Arial"/>
                <w:sz w:val="18"/>
                <w:szCs w:val="18"/>
              </w:rPr>
              <w:t>4,858,078,750</w:t>
            </w:r>
          </w:p>
        </w:tc>
      </w:tr>
      <w:tr w:rsidR="00D84931" w:rsidRPr="001D41EA" w14:paraId="78CB554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D07BEB8" w14:textId="77777777" w:rsidR="00D84931" w:rsidRPr="001D41EA" w:rsidRDefault="00D84931" w:rsidP="00D84931">
            <w:pPr>
              <w:spacing w:before="40" w:after="20"/>
              <w:rPr>
                <w:rFonts w:cs="Arial"/>
                <w:sz w:val="18"/>
                <w:szCs w:val="18"/>
              </w:rPr>
            </w:pPr>
            <w:r w:rsidRPr="001D41EA">
              <w:rPr>
                <w:rFonts w:cs="Arial"/>
                <w:sz w:val="18"/>
                <w:szCs w:val="18"/>
              </w:rPr>
              <w:t>Warrnambool C</w:t>
            </w:r>
          </w:p>
        </w:tc>
        <w:tc>
          <w:tcPr>
            <w:tcW w:w="1701" w:type="dxa"/>
            <w:tcBorders>
              <w:top w:val="nil"/>
              <w:left w:val="single" w:sz="18" w:space="0" w:color="5F497A" w:themeColor="accent4" w:themeShade="BF"/>
              <w:bottom w:val="nil"/>
              <w:right w:val="nil"/>
            </w:tcBorders>
            <w:shd w:val="clear" w:color="auto" w:fill="auto"/>
            <w:noWrap/>
            <w:vAlign w:val="bottom"/>
          </w:tcPr>
          <w:p w14:paraId="0D2C8FFC" w14:textId="033F7BB1" w:rsidR="00D84931" w:rsidRPr="001D41EA" w:rsidRDefault="00D84931" w:rsidP="00D84931">
            <w:pPr>
              <w:spacing w:before="40" w:after="20"/>
              <w:jc w:val="right"/>
              <w:rPr>
                <w:rFonts w:cs="Arial"/>
                <w:sz w:val="18"/>
                <w:szCs w:val="18"/>
              </w:rPr>
            </w:pPr>
            <w:r w:rsidRPr="001D41EA">
              <w:rPr>
                <w:rFonts w:cs="Arial"/>
                <w:sz w:val="18"/>
                <w:szCs w:val="18"/>
              </w:rPr>
              <w:t>4,976,582,500</w:t>
            </w:r>
          </w:p>
        </w:tc>
        <w:tc>
          <w:tcPr>
            <w:tcW w:w="1701" w:type="dxa"/>
            <w:tcBorders>
              <w:top w:val="nil"/>
              <w:left w:val="nil"/>
              <w:bottom w:val="nil"/>
              <w:right w:val="nil"/>
            </w:tcBorders>
            <w:vAlign w:val="bottom"/>
          </w:tcPr>
          <w:p w14:paraId="019C62AF" w14:textId="3578E2DC" w:rsidR="00D84931" w:rsidRPr="001D41EA" w:rsidRDefault="00D84931" w:rsidP="00D84931">
            <w:pPr>
              <w:spacing w:before="40" w:after="20"/>
              <w:jc w:val="right"/>
              <w:rPr>
                <w:rFonts w:cs="Arial"/>
                <w:sz w:val="18"/>
                <w:szCs w:val="18"/>
              </w:rPr>
            </w:pPr>
            <w:r w:rsidRPr="001D41EA">
              <w:rPr>
                <w:rFonts w:cs="Arial"/>
                <w:sz w:val="18"/>
                <w:szCs w:val="18"/>
              </w:rPr>
              <w:t>1,017,448,609</w:t>
            </w:r>
          </w:p>
        </w:tc>
        <w:tc>
          <w:tcPr>
            <w:tcW w:w="1701" w:type="dxa"/>
            <w:tcBorders>
              <w:top w:val="nil"/>
              <w:left w:val="nil"/>
              <w:bottom w:val="nil"/>
              <w:right w:val="nil"/>
            </w:tcBorders>
            <w:shd w:val="clear" w:color="auto" w:fill="auto"/>
            <w:noWrap/>
            <w:vAlign w:val="bottom"/>
          </w:tcPr>
          <w:p w14:paraId="67828686" w14:textId="79A3D62E" w:rsidR="00D84931" w:rsidRPr="001D41EA" w:rsidRDefault="00D84931" w:rsidP="00D84931">
            <w:pPr>
              <w:spacing w:before="40" w:after="20"/>
              <w:jc w:val="right"/>
              <w:rPr>
                <w:rFonts w:cs="Arial"/>
                <w:sz w:val="18"/>
                <w:szCs w:val="18"/>
              </w:rPr>
            </w:pPr>
            <w:r w:rsidRPr="001D41EA">
              <w:rPr>
                <w:rFonts w:cs="Arial"/>
                <w:sz w:val="18"/>
                <w:szCs w:val="18"/>
              </w:rPr>
              <w:t>191,126,250</w:t>
            </w:r>
          </w:p>
        </w:tc>
        <w:tc>
          <w:tcPr>
            <w:tcW w:w="1701" w:type="dxa"/>
            <w:tcBorders>
              <w:top w:val="nil"/>
              <w:left w:val="nil"/>
              <w:bottom w:val="nil"/>
              <w:right w:val="nil"/>
            </w:tcBorders>
            <w:vAlign w:val="bottom"/>
          </w:tcPr>
          <w:p w14:paraId="156FB04E" w14:textId="1D5CA5C3" w:rsidR="00D84931" w:rsidRPr="001D41EA" w:rsidRDefault="00D84931" w:rsidP="00D84931">
            <w:pPr>
              <w:spacing w:before="40" w:after="20"/>
              <w:jc w:val="right"/>
              <w:rPr>
                <w:rFonts w:cs="Arial"/>
                <w:sz w:val="18"/>
                <w:szCs w:val="18"/>
              </w:rPr>
            </w:pPr>
            <w:r w:rsidRPr="001D41EA">
              <w:rPr>
                <w:rFonts w:cs="Arial"/>
                <w:sz w:val="18"/>
                <w:szCs w:val="18"/>
              </w:rPr>
              <w:t>6,185,157,359</w:t>
            </w:r>
          </w:p>
        </w:tc>
      </w:tr>
      <w:tr w:rsidR="00D84931" w:rsidRPr="001D41EA" w14:paraId="23C311D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B94A1A6" w14:textId="77777777" w:rsidR="00D84931" w:rsidRPr="001D41EA" w:rsidRDefault="00D84931" w:rsidP="00D84931">
            <w:pPr>
              <w:spacing w:before="40" w:after="20"/>
              <w:rPr>
                <w:rFonts w:cs="Arial"/>
                <w:sz w:val="18"/>
                <w:szCs w:val="18"/>
              </w:rPr>
            </w:pPr>
            <w:r w:rsidRPr="001D41EA">
              <w:rPr>
                <w:rFonts w:cs="Arial"/>
                <w:sz w:val="18"/>
                <w:szCs w:val="18"/>
              </w:rPr>
              <w:t>Wellington S</w:t>
            </w:r>
          </w:p>
        </w:tc>
        <w:tc>
          <w:tcPr>
            <w:tcW w:w="1701" w:type="dxa"/>
            <w:tcBorders>
              <w:top w:val="nil"/>
              <w:left w:val="single" w:sz="18" w:space="0" w:color="5F497A" w:themeColor="accent4" w:themeShade="BF"/>
              <w:bottom w:val="nil"/>
              <w:right w:val="nil"/>
            </w:tcBorders>
            <w:shd w:val="clear" w:color="auto" w:fill="auto"/>
            <w:noWrap/>
            <w:vAlign w:val="bottom"/>
          </w:tcPr>
          <w:p w14:paraId="000A3127" w14:textId="064FF7D8" w:rsidR="00D84931" w:rsidRPr="001D41EA" w:rsidRDefault="00D84931" w:rsidP="00D84931">
            <w:pPr>
              <w:spacing w:before="40" w:after="20"/>
              <w:jc w:val="right"/>
              <w:rPr>
                <w:rFonts w:cs="Arial"/>
                <w:sz w:val="18"/>
                <w:szCs w:val="18"/>
              </w:rPr>
            </w:pPr>
            <w:r w:rsidRPr="001D41EA">
              <w:rPr>
                <w:rFonts w:cs="Arial"/>
                <w:sz w:val="18"/>
                <w:szCs w:val="18"/>
              </w:rPr>
              <w:t>5,694,113,200</w:t>
            </w:r>
          </w:p>
        </w:tc>
        <w:tc>
          <w:tcPr>
            <w:tcW w:w="1701" w:type="dxa"/>
            <w:tcBorders>
              <w:top w:val="nil"/>
              <w:left w:val="nil"/>
              <w:bottom w:val="nil"/>
              <w:right w:val="nil"/>
            </w:tcBorders>
            <w:vAlign w:val="bottom"/>
          </w:tcPr>
          <w:p w14:paraId="220C6276" w14:textId="44E3D051" w:rsidR="00D84931" w:rsidRPr="001D41EA" w:rsidRDefault="00D84931" w:rsidP="00D84931">
            <w:pPr>
              <w:spacing w:before="40" w:after="20"/>
              <w:jc w:val="right"/>
              <w:rPr>
                <w:rFonts w:cs="Arial"/>
                <w:sz w:val="18"/>
                <w:szCs w:val="18"/>
              </w:rPr>
            </w:pPr>
            <w:r w:rsidRPr="001D41EA">
              <w:rPr>
                <w:rFonts w:cs="Arial"/>
                <w:sz w:val="18"/>
                <w:szCs w:val="18"/>
              </w:rPr>
              <w:t>1,968,187,000</w:t>
            </w:r>
          </w:p>
        </w:tc>
        <w:tc>
          <w:tcPr>
            <w:tcW w:w="1701" w:type="dxa"/>
            <w:tcBorders>
              <w:top w:val="nil"/>
              <w:left w:val="nil"/>
              <w:bottom w:val="nil"/>
              <w:right w:val="nil"/>
            </w:tcBorders>
            <w:shd w:val="clear" w:color="auto" w:fill="auto"/>
            <w:noWrap/>
            <w:vAlign w:val="bottom"/>
          </w:tcPr>
          <w:p w14:paraId="502A12AC" w14:textId="72BB8BC3" w:rsidR="00D84931" w:rsidRPr="001D41EA" w:rsidRDefault="00D84931" w:rsidP="00D84931">
            <w:pPr>
              <w:spacing w:before="40" w:after="20"/>
              <w:jc w:val="right"/>
              <w:rPr>
                <w:rFonts w:cs="Arial"/>
                <w:sz w:val="18"/>
                <w:szCs w:val="18"/>
              </w:rPr>
            </w:pPr>
            <w:r w:rsidRPr="001D41EA">
              <w:rPr>
                <w:rFonts w:cs="Arial"/>
                <w:sz w:val="18"/>
                <w:szCs w:val="18"/>
              </w:rPr>
              <w:t>2,203,721,500</w:t>
            </w:r>
          </w:p>
        </w:tc>
        <w:tc>
          <w:tcPr>
            <w:tcW w:w="1701" w:type="dxa"/>
            <w:tcBorders>
              <w:top w:val="nil"/>
              <w:left w:val="nil"/>
              <w:bottom w:val="nil"/>
              <w:right w:val="nil"/>
            </w:tcBorders>
            <w:vAlign w:val="bottom"/>
          </w:tcPr>
          <w:p w14:paraId="791B34BC" w14:textId="1FEDBDF7" w:rsidR="00D84931" w:rsidRPr="001D41EA" w:rsidRDefault="00D84931" w:rsidP="00D84931">
            <w:pPr>
              <w:spacing w:before="40" w:after="20"/>
              <w:jc w:val="right"/>
              <w:rPr>
                <w:rFonts w:cs="Arial"/>
                <w:sz w:val="18"/>
                <w:szCs w:val="18"/>
              </w:rPr>
            </w:pPr>
            <w:r w:rsidRPr="001D41EA">
              <w:rPr>
                <w:rFonts w:cs="Arial"/>
                <w:sz w:val="18"/>
                <w:szCs w:val="18"/>
              </w:rPr>
              <w:t>9,866,021,700</w:t>
            </w:r>
          </w:p>
        </w:tc>
      </w:tr>
      <w:tr w:rsidR="00D84931" w:rsidRPr="001D41EA" w14:paraId="17E9D45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D908DEC" w14:textId="77777777" w:rsidR="00D84931" w:rsidRPr="001D41EA" w:rsidRDefault="00D84931" w:rsidP="00D84931">
            <w:pPr>
              <w:spacing w:before="40" w:after="20"/>
              <w:rPr>
                <w:rFonts w:cs="Arial"/>
                <w:sz w:val="18"/>
                <w:szCs w:val="18"/>
              </w:rPr>
            </w:pPr>
            <w:r w:rsidRPr="001D41EA">
              <w:rPr>
                <w:rFonts w:cs="Arial"/>
                <w:sz w:val="18"/>
                <w:szCs w:val="18"/>
              </w:rPr>
              <w:t>West Wimmera S</w:t>
            </w:r>
          </w:p>
        </w:tc>
        <w:tc>
          <w:tcPr>
            <w:tcW w:w="1701" w:type="dxa"/>
            <w:tcBorders>
              <w:top w:val="nil"/>
              <w:left w:val="single" w:sz="18" w:space="0" w:color="5F497A" w:themeColor="accent4" w:themeShade="BF"/>
              <w:bottom w:val="nil"/>
              <w:right w:val="nil"/>
            </w:tcBorders>
            <w:shd w:val="clear" w:color="auto" w:fill="auto"/>
            <w:noWrap/>
            <w:vAlign w:val="bottom"/>
          </w:tcPr>
          <w:p w14:paraId="7DA15346" w14:textId="7E9D6599" w:rsidR="00D84931" w:rsidRPr="001D41EA" w:rsidRDefault="00D84931" w:rsidP="00D84931">
            <w:pPr>
              <w:spacing w:before="40" w:after="20"/>
              <w:jc w:val="right"/>
              <w:rPr>
                <w:rFonts w:cs="Arial"/>
                <w:sz w:val="18"/>
                <w:szCs w:val="18"/>
              </w:rPr>
            </w:pPr>
            <w:r w:rsidRPr="001D41EA">
              <w:rPr>
                <w:rFonts w:cs="Arial"/>
                <w:sz w:val="18"/>
                <w:szCs w:val="18"/>
              </w:rPr>
              <w:t>153,747,775</w:t>
            </w:r>
          </w:p>
        </w:tc>
        <w:tc>
          <w:tcPr>
            <w:tcW w:w="1701" w:type="dxa"/>
            <w:tcBorders>
              <w:top w:val="nil"/>
              <w:left w:val="nil"/>
              <w:bottom w:val="nil"/>
              <w:right w:val="nil"/>
            </w:tcBorders>
            <w:vAlign w:val="bottom"/>
          </w:tcPr>
          <w:p w14:paraId="31049BA4" w14:textId="774F999C" w:rsidR="00D84931" w:rsidRPr="001D41EA" w:rsidRDefault="00D84931" w:rsidP="00D84931">
            <w:pPr>
              <w:spacing w:before="40" w:after="20"/>
              <w:jc w:val="right"/>
              <w:rPr>
                <w:rFonts w:cs="Arial"/>
                <w:sz w:val="18"/>
                <w:szCs w:val="18"/>
              </w:rPr>
            </w:pPr>
            <w:r w:rsidRPr="001D41EA">
              <w:rPr>
                <w:rFonts w:cs="Arial"/>
                <w:sz w:val="18"/>
                <w:szCs w:val="18"/>
              </w:rPr>
              <w:t>14,941,750</w:t>
            </w:r>
          </w:p>
        </w:tc>
        <w:tc>
          <w:tcPr>
            <w:tcW w:w="1701" w:type="dxa"/>
            <w:tcBorders>
              <w:top w:val="nil"/>
              <w:left w:val="nil"/>
              <w:bottom w:val="nil"/>
              <w:right w:val="nil"/>
            </w:tcBorders>
            <w:shd w:val="clear" w:color="auto" w:fill="auto"/>
            <w:noWrap/>
            <w:vAlign w:val="bottom"/>
          </w:tcPr>
          <w:p w14:paraId="18D3BC1F" w14:textId="43C4FFC4" w:rsidR="00D84931" w:rsidRPr="001D41EA" w:rsidRDefault="00D84931" w:rsidP="00D84931">
            <w:pPr>
              <w:spacing w:before="40" w:after="20"/>
              <w:jc w:val="right"/>
              <w:rPr>
                <w:rFonts w:cs="Arial"/>
                <w:sz w:val="18"/>
                <w:szCs w:val="18"/>
              </w:rPr>
            </w:pPr>
            <w:r w:rsidRPr="001D41EA">
              <w:rPr>
                <w:rFonts w:cs="Arial"/>
                <w:sz w:val="18"/>
                <w:szCs w:val="18"/>
              </w:rPr>
              <w:t>1,523,450,250</w:t>
            </w:r>
          </w:p>
        </w:tc>
        <w:tc>
          <w:tcPr>
            <w:tcW w:w="1701" w:type="dxa"/>
            <w:tcBorders>
              <w:top w:val="nil"/>
              <w:left w:val="nil"/>
              <w:bottom w:val="nil"/>
              <w:right w:val="nil"/>
            </w:tcBorders>
            <w:vAlign w:val="bottom"/>
          </w:tcPr>
          <w:p w14:paraId="0DE4A710" w14:textId="7794D30C" w:rsidR="00D84931" w:rsidRPr="001D41EA" w:rsidRDefault="00D84931" w:rsidP="00D84931">
            <w:pPr>
              <w:spacing w:before="40" w:after="20"/>
              <w:jc w:val="right"/>
              <w:rPr>
                <w:rFonts w:cs="Arial"/>
                <w:sz w:val="18"/>
                <w:szCs w:val="18"/>
              </w:rPr>
            </w:pPr>
            <w:r w:rsidRPr="001D41EA">
              <w:rPr>
                <w:rFonts w:cs="Arial"/>
                <w:sz w:val="18"/>
                <w:szCs w:val="18"/>
              </w:rPr>
              <w:t>1,692,139,775</w:t>
            </w:r>
          </w:p>
        </w:tc>
      </w:tr>
      <w:tr w:rsidR="00D84931" w:rsidRPr="001D41EA" w14:paraId="2F08FD8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08340E2" w14:textId="77777777" w:rsidR="00D84931" w:rsidRPr="001D41EA" w:rsidRDefault="00D84931" w:rsidP="00D84931">
            <w:pPr>
              <w:spacing w:before="40" w:after="20"/>
              <w:rPr>
                <w:rFonts w:cs="Arial"/>
                <w:sz w:val="18"/>
                <w:szCs w:val="18"/>
              </w:rPr>
            </w:pPr>
            <w:r w:rsidRPr="001D41EA">
              <w:rPr>
                <w:rFonts w:cs="Arial"/>
                <w:sz w:val="18"/>
                <w:szCs w:val="18"/>
              </w:rPr>
              <w:t>Whitehorse C</w:t>
            </w:r>
          </w:p>
        </w:tc>
        <w:tc>
          <w:tcPr>
            <w:tcW w:w="1701" w:type="dxa"/>
            <w:tcBorders>
              <w:top w:val="nil"/>
              <w:left w:val="single" w:sz="18" w:space="0" w:color="5F497A" w:themeColor="accent4" w:themeShade="BF"/>
              <w:bottom w:val="nil"/>
              <w:right w:val="nil"/>
            </w:tcBorders>
            <w:shd w:val="clear" w:color="auto" w:fill="auto"/>
            <w:noWrap/>
            <w:vAlign w:val="bottom"/>
          </w:tcPr>
          <w:p w14:paraId="465CD194" w14:textId="23717330" w:rsidR="00D84931" w:rsidRPr="001D41EA" w:rsidRDefault="00D84931" w:rsidP="00D84931">
            <w:pPr>
              <w:spacing w:before="40" w:after="20"/>
              <w:jc w:val="right"/>
              <w:rPr>
                <w:rFonts w:cs="Arial"/>
                <w:sz w:val="18"/>
                <w:szCs w:val="18"/>
              </w:rPr>
            </w:pPr>
            <w:r w:rsidRPr="001D41EA">
              <w:rPr>
                <w:rFonts w:cs="Arial"/>
                <w:sz w:val="18"/>
                <w:szCs w:val="18"/>
              </w:rPr>
              <w:t>50,952,268,375</w:t>
            </w:r>
          </w:p>
        </w:tc>
        <w:tc>
          <w:tcPr>
            <w:tcW w:w="1701" w:type="dxa"/>
            <w:tcBorders>
              <w:top w:val="nil"/>
              <w:left w:val="nil"/>
              <w:bottom w:val="nil"/>
              <w:right w:val="nil"/>
            </w:tcBorders>
            <w:vAlign w:val="bottom"/>
          </w:tcPr>
          <w:p w14:paraId="71E0EC70" w14:textId="525CCDC8" w:rsidR="00D84931" w:rsidRPr="001D41EA" w:rsidRDefault="00D84931" w:rsidP="00D84931">
            <w:pPr>
              <w:spacing w:before="40" w:after="20"/>
              <w:jc w:val="right"/>
              <w:rPr>
                <w:rFonts w:cs="Arial"/>
                <w:sz w:val="18"/>
                <w:szCs w:val="18"/>
              </w:rPr>
            </w:pPr>
            <w:r w:rsidRPr="001D41EA">
              <w:rPr>
                <w:rFonts w:cs="Arial"/>
                <w:sz w:val="18"/>
                <w:szCs w:val="18"/>
              </w:rPr>
              <w:t>5,633,759,750</w:t>
            </w:r>
          </w:p>
        </w:tc>
        <w:tc>
          <w:tcPr>
            <w:tcW w:w="1701" w:type="dxa"/>
            <w:tcBorders>
              <w:top w:val="nil"/>
              <w:left w:val="nil"/>
              <w:bottom w:val="nil"/>
              <w:right w:val="nil"/>
            </w:tcBorders>
            <w:shd w:val="clear" w:color="auto" w:fill="auto"/>
            <w:noWrap/>
            <w:vAlign w:val="bottom"/>
          </w:tcPr>
          <w:p w14:paraId="5CDB698A" w14:textId="4D4F4739"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686CBFDA" w14:textId="756C402D" w:rsidR="00D84931" w:rsidRPr="001D41EA" w:rsidRDefault="00D84931" w:rsidP="00D84931">
            <w:pPr>
              <w:spacing w:before="40" w:after="20"/>
              <w:jc w:val="right"/>
              <w:rPr>
                <w:rFonts w:cs="Arial"/>
                <w:sz w:val="18"/>
                <w:szCs w:val="18"/>
              </w:rPr>
            </w:pPr>
            <w:r w:rsidRPr="001D41EA">
              <w:rPr>
                <w:rFonts w:cs="Arial"/>
                <w:sz w:val="18"/>
                <w:szCs w:val="18"/>
              </w:rPr>
              <w:t>56,586,028,125</w:t>
            </w:r>
          </w:p>
        </w:tc>
      </w:tr>
      <w:tr w:rsidR="00D84931" w:rsidRPr="001D41EA" w14:paraId="35296D7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6F36DD4" w14:textId="77777777" w:rsidR="00D84931" w:rsidRPr="001D41EA" w:rsidRDefault="00D84931" w:rsidP="00D84931">
            <w:pPr>
              <w:spacing w:before="40" w:after="20"/>
              <w:rPr>
                <w:rFonts w:cs="Arial"/>
                <w:sz w:val="18"/>
                <w:szCs w:val="18"/>
              </w:rPr>
            </w:pPr>
            <w:r w:rsidRPr="001D41EA">
              <w:rPr>
                <w:rFonts w:cs="Arial"/>
                <w:sz w:val="18"/>
                <w:szCs w:val="18"/>
              </w:rPr>
              <w:t>Whittlesea C</w:t>
            </w:r>
          </w:p>
        </w:tc>
        <w:tc>
          <w:tcPr>
            <w:tcW w:w="1701" w:type="dxa"/>
            <w:tcBorders>
              <w:top w:val="nil"/>
              <w:left w:val="single" w:sz="18" w:space="0" w:color="5F497A" w:themeColor="accent4" w:themeShade="BF"/>
              <w:bottom w:val="nil"/>
              <w:right w:val="nil"/>
            </w:tcBorders>
            <w:shd w:val="clear" w:color="auto" w:fill="auto"/>
            <w:noWrap/>
            <w:vAlign w:val="bottom"/>
          </w:tcPr>
          <w:p w14:paraId="43C91790" w14:textId="54E702D2" w:rsidR="00D84931" w:rsidRPr="001D41EA" w:rsidRDefault="00D84931" w:rsidP="00D84931">
            <w:pPr>
              <w:spacing w:before="40" w:after="20"/>
              <w:jc w:val="right"/>
              <w:rPr>
                <w:rFonts w:cs="Arial"/>
                <w:sz w:val="18"/>
                <w:szCs w:val="18"/>
              </w:rPr>
            </w:pPr>
            <w:r w:rsidRPr="001D41EA">
              <w:rPr>
                <w:rFonts w:cs="Arial"/>
                <w:sz w:val="18"/>
                <w:szCs w:val="18"/>
              </w:rPr>
              <w:t>31,595,011,355</w:t>
            </w:r>
          </w:p>
        </w:tc>
        <w:tc>
          <w:tcPr>
            <w:tcW w:w="1701" w:type="dxa"/>
            <w:tcBorders>
              <w:top w:val="nil"/>
              <w:left w:val="nil"/>
              <w:bottom w:val="nil"/>
              <w:right w:val="nil"/>
            </w:tcBorders>
            <w:vAlign w:val="bottom"/>
          </w:tcPr>
          <w:p w14:paraId="1499B5F9" w14:textId="3D641186" w:rsidR="00D84931" w:rsidRPr="001D41EA" w:rsidRDefault="00D84931" w:rsidP="00D84931">
            <w:pPr>
              <w:spacing w:before="40" w:after="20"/>
              <w:jc w:val="right"/>
              <w:rPr>
                <w:rFonts w:cs="Arial"/>
                <w:sz w:val="18"/>
                <w:szCs w:val="18"/>
              </w:rPr>
            </w:pPr>
            <w:r w:rsidRPr="001D41EA">
              <w:rPr>
                <w:rFonts w:cs="Arial"/>
                <w:sz w:val="18"/>
                <w:szCs w:val="18"/>
              </w:rPr>
              <w:t>5,477,937,148</w:t>
            </w:r>
          </w:p>
        </w:tc>
        <w:tc>
          <w:tcPr>
            <w:tcW w:w="1701" w:type="dxa"/>
            <w:tcBorders>
              <w:top w:val="nil"/>
              <w:left w:val="nil"/>
              <w:bottom w:val="nil"/>
              <w:right w:val="nil"/>
            </w:tcBorders>
            <w:shd w:val="clear" w:color="auto" w:fill="auto"/>
            <w:noWrap/>
            <w:vAlign w:val="bottom"/>
          </w:tcPr>
          <w:p w14:paraId="67E6CFF2" w14:textId="43011659" w:rsidR="00D84931" w:rsidRPr="001D41EA" w:rsidRDefault="00D84931" w:rsidP="00D84931">
            <w:pPr>
              <w:spacing w:before="40" w:after="20"/>
              <w:jc w:val="right"/>
              <w:rPr>
                <w:rFonts w:cs="Arial"/>
                <w:sz w:val="18"/>
                <w:szCs w:val="18"/>
              </w:rPr>
            </w:pPr>
            <w:r w:rsidRPr="001D41EA">
              <w:rPr>
                <w:rFonts w:cs="Arial"/>
                <w:sz w:val="18"/>
                <w:szCs w:val="18"/>
              </w:rPr>
              <w:t>1,513,834,550</w:t>
            </w:r>
          </w:p>
        </w:tc>
        <w:tc>
          <w:tcPr>
            <w:tcW w:w="1701" w:type="dxa"/>
            <w:tcBorders>
              <w:top w:val="nil"/>
              <w:left w:val="nil"/>
              <w:bottom w:val="nil"/>
              <w:right w:val="nil"/>
            </w:tcBorders>
            <w:vAlign w:val="bottom"/>
          </w:tcPr>
          <w:p w14:paraId="1CC4637D" w14:textId="1BC337EA" w:rsidR="00D84931" w:rsidRPr="001D41EA" w:rsidRDefault="00D84931" w:rsidP="00D84931">
            <w:pPr>
              <w:spacing w:before="40" w:after="20"/>
              <w:jc w:val="right"/>
              <w:rPr>
                <w:rFonts w:cs="Arial"/>
                <w:sz w:val="18"/>
                <w:szCs w:val="18"/>
              </w:rPr>
            </w:pPr>
            <w:r w:rsidRPr="001D41EA">
              <w:rPr>
                <w:rFonts w:cs="Arial"/>
                <w:sz w:val="18"/>
                <w:szCs w:val="18"/>
              </w:rPr>
              <w:t>38,586,783,053</w:t>
            </w:r>
          </w:p>
        </w:tc>
      </w:tr>
      <w:tr w:rsidR="00D84931" w:rsidRPr="001D41EA" w14:paraId="61C53B0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158DA14" w14:textId="77777777" w:rsidR="00D84931" w:rsidRPr="001D41EA" w:rsidRDefault="00D84931" w:rsidP="00D84931">
            <w:pPr>
              <w:spacing w:before="40" w:after="20"/>
              <w:rPr>
                <w:rFonts w:cs="Arial"/>
                <w:sz w:val="18"/>
                <w:szCs w:val="18"/>
              </w:rPr>
            </w:pPr>
            <w:r w:rsidRPr="001D41EA">
              <w:rPr>
                <w:rFonts w:cs="Arial"/>
                <w:sz w:val="18"/>
                <w:szCs w:val="18"/>
              </w:rPr>
              <w:t>Wodonga C</w:t>
            </w:r>
          </w:p>
        </w:tc>
        <w:tc>
          <w:tcPr>
            <w:tcW w:w="1701" w:type="dxa"/>
            <w:tcBorders>
              <w:top w:val="nil"/>
              <w:left w:val="single" w:sz="18" w:space="0" w:color="5F497A" w:themeColor="accent4" w:themeShade="BF"/>
              <w:bottom w:val="nil"/>
              <w:right w:val="nil"/>
            </w:tcBorders>
            <w:shd w:val="clear" w:color="auto" w:fill="auto"/>
            <w:noWrap/>
            <w:vAlign w:val="bottom"/>
          </w:tcPr>
          <w:p w14:paraId="18B2EA10" w14:textId="2B44CED8" w:rsidR="00D84931" w:rsidRPr="001D41EA" w:rsidRDefault="00D84931" w:rsidP="00D84931">
            <w:pPr>
              <w:spacing w:before="40" w:after="20"/>
              <w:jc w:val="right"/>
              <w:rPr>
                <w:rFonts w:cs="Arial"/>
                <w:sz w:val="18"/>
                <w:szCs w:val="18"/>
              </w:rPr>
            </w:pPr>
            <w:r w:rsidRPr="001D41EA">
              <w:rPr>
                <w:rFonts w:cs="Arial"/>
                <w:sz w:val="18"/>
                <w:szCs w:val="18"/>
              </w:rPr>
              <w:t>4,421,299,725</w:t>
            </w:r>
          </w:p>
        </w:tc>
        <w:tc>
          <w:tcPr>
            <w:tcW w:w="1701" w:type="dxa"/>
            <w:tcBorders>
              <w:top w:val="nil"/>
              <w:left w:val="nil"/>
              <w:bottom w:val="nil"/>
              <w:right w:val="nil"/>
            </w:tcBorders>
            <w:vAlign w:val="bottom"/>
          </w:tcPr>
          <w:p w14:paraId="22CA3584" w14:textId="09C00F36" w:rsidR="00D84931" w:rsidRPr="001D41EA" w:rsidRDefault="00D84931" w:rsidP="00D84931">
            <w:pPr>
              <w:spacing w:before="40" w:after="20"/>
              <w:jc w:val="right"/>
              <w:rPr>
                <w:rFonts w:cs="Arial"/>
                <w:sz w:val="18"/>
                <w:szCs w:val="18"/>
              </w:rPr>
            </w:pPr>
            <w:r w:rsidRPr="001D41EA">
              <w:rPr>
                <w:rFonts w:cs="Arial"/>
                <w:sz w:val="18"/>
                <w:szCs w:val="18"/>
              </w:rPr>
              <w:t>973,544,350</w:t>
            </w:r>
          </w:p>
        </w:tc>
        <w:tc>
          <w:tcPr>
            <w:tcW w:w="1701" w:type="dxa"/>
            <w:tcBorders>
              <w:top w:val="nil"/>
              <w:left w:val="nil"/>
              <w:bottom w:val="nil"/>
              <w:right w:val="nil"/>
            </w:tcBorders>
            <w:shd w:val="clear" w:color="auto" w:fill="auto"/>
            <w:noWrap/>
            <w:vAlign w:val="bottom"/>
          </w:tcPr>
          <w:p w14:paraId="4273CA4A" w14:textId="28143CD2" w:rsidR="00D84931" w:rsidRPr="001D41EA" w:rsidRDefault="00D84931" w:rsidP="00D84931">
            <w:pPr>
              <w:spacing w:before="40" w:after="20"/>
              <w:jc w:val="right"/>
              <w:rPr>
                <w:rFonts w:cs="Arial"/>
                <w:sz w:val="18"/>
                <w:szCs w:val="18"/>
              </w:rPr>
            </w:pPr>
            <w:r w:rsidRPr="001D41EA">
              <w:rPr>
                <w:rFonts w:cs="Arial"/>
                <w:sz w:val="18"/>
                <w:szCs w:val="18"/>
              </w:rPr>
              <w:t>262,415,600</w:t>
            </w:r>
          </w:p>
        </w:tc>
        <w:tc>
          <w:tcPr>
            <w:tcW w:w="1701" w:type="dxa"/>
            <w:tcBorders>
              <w:top w:val="nil"/>
              <w:left w:val="nil"/>
              <w:bottom w:val="nil"/>
              <w:right w:val="nil"/>
            </w:tcBorders>
            <w:vAlign w:val="bottom"/>
          </w:tcPr>
          <w:p w14:paraId="6F2461B4" w14:textId="2B6E1297" w:rsidR="00D84931" w:rsidRPr="001D41EA" w:rsidRDefault="00D84931" w:rsidP="00D84931">
            <w:pPr>
              <w:spacing w:before="40" w:after="20"/>
              <w:jc w:val="right"/>
              <w:rPr>
                <w:rFonts w:cs="Arial"/>
                <w:sz w:val="18"/>
                <w:szCs w:val="18"/>
              </w:rPr>
            </w:pPr>
            <w:r w:rsidRPr="001D41EA">
              <w:rPr>
                <w:rFonts w:cs="Arial"/>
                <w:sz w:val="18"/>
                <w:szCs w:val="18"/>
              </w:rPr>
              <w:t>5,657,259,675</w:t>
            </w:r>
          </w:p>
        </w:tc>
      </w:tr>
      <w:tr w:rsidR="00D84931" w:rsidRPr="001D41EA" w14:paraId="5FFDAC0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675CF68" w14:textId="77777777" w:rsidR="00D84931" w:rsidRPr="001D41EA" w:rsidRDefault="00D84931" w:rsidP="00D84931">
            <w:pPr>
              <w:spacing w:before="40" w:after="20"/>
              <w:rPr>
                <w:rFonts w:cs="Arial"/>
                <w:sz w:val="18"/>
                <w:szCs w:val="18"/>
              </w:rPr>
            </w:pPr>
            <w:r w:rsidRPr="001D41EA">
              <w:rPr>
                <w:rFonts w:cs="Arial"/>
                <w:sz w:val="18"/>
                <w:szCs w:val="18"/>
              </w:rPr>
              <w:t>Wyndham C</w:t>
            </w:r>
          </w:p>
        </w:tc>
        <w:tc>
          <w:tcPr>
            <w:tcW w:w="1701" w:type="dxa"/>
            <w:tcBorders>
              <w:top w:val="nil"/>
              <w:left w:val="single" w:sz="18" w:space="0" w:color="5F497A" w:themeColor="accent4" w:themeShade="BF"/>
              <w:bottom w:val="nil"/>
              <w:right w:val="nil"/>
            </w:tcBorders>
            <w:shd w:val="clear" w:color="auto" w:fill="auto"/>
            <w:noWrap/>
            <w:vAlign w:val="bottom"/>
          </w:tcPr>
          <w:p w14:paraId="50A2C982" w14:textId="38CBFD94" w:rsidR="00D84931" w:rsidRPr="001D41EA" w:rsidRDefault="00D84931" w:rsidP="00D84931">
            <w:pPr>
              <w:spacing w:before="40" w:after="20"/>
              <w:jc w:val="right"/>
              <w:rPr>
                <w:rFonts w:cs="Arial"/>
                <w:sz w:val="18"/>
                <w:szCs w:val="18"/>
              </w:rPr>
            </w:pPr>
            <w:r w:rsidRPr="001D41EA">
              <w:rPr>
                <w:rFonts w:cs="Arial"/>
                <w:sz w:val="18"/>
                <w:szCs w:val="18"/>
              </w:rPr>
              <w:t>33,021,380,450</w:t>
            </w:r>
          </w:p>
        </w:tc>
        <w:tc>
          <w:tcPr>
            <w:tcW w:w="1701" w:type="dxa"/>
            <w:tcBorders>
              <w:top w:val="nil"/>
              <w:left w:val="nil"/>
              <w:bottom w:val="nil"/>
              <w:right w:val="nil"/>
            </w:tcBorders>
            <w:vAlign w:val="bottom"/>
          </w:tcPr>
          <w:p w14:paraId="10195C51" w14:textId="04CBDEA0" w:rsidR="00D84931" w:rsidRPr="001D41EA" w:rsidRDefault="00D84931" w:rsidP="00D84931">
            <w:pPr>
              <w:spacing w:before="40" w:after="20"/>
              <w:jc w:val="right"/>
              <w:rPr>
                <w:rFonts w:cs="Arial"/>
                <w:sz w:val="18"/>
                <w:szCs w:val="18"/>
              </w:rPr>
            </w:pPr>
            <w:r w:rsidRPr="001D41EA">
              <w:rPr>
                <w:rFonts w:cs="Arial"/>
                <w:sz w:val="18"/>
                <w:szCs w:val="18"/>
              </w:rPr>
              <w:t>6,227,117,928</w:t>
            </w:r>
          </w:p>
        </w:tc>
        <w:tc>
          <w:tcPr>
            <w:tcW w:w="1701" w:type="dxa"/>
            <w:tcBorders>
              <w:top w:val="nil"/>
              <w:left w:val="nil"/>
              <w:bottom w:val="nil"/>
              <w:right w:val="nil"/>
            </w:tcBorders>
            <w:shd w:val="clear" w:color="auto" w:fill="auto"/>
            <w:noWrap/>
            <w:vAlign w:val="bottom"/>
          </w:tcPr>
          <w:p w14:paraId="37F74BF8" w14:textId="1C285B05" w:rsidR="00D84931" w:rsidRPr="001D41EA" w:rsidRDefault="00D84931" w:rsidP="00D84931">
            <w:pPr>
              <w:spacing w:before="40" w:after="20"/>
              <w:jc w:val="right"/>
              <w:rPr>
                <w:rFonts w:cs="Arial"/>
                <w:sz w:val="18"/>
                <w:szCs w:val="18"/>
              </w:rPr>
            </w:pPr>
            <w:r w:rsidRPr="001D41EA">
              <w:rPr>
                <w:rFonts w:cs="Arial"/>
                <w:sz w:val="18"/>
                <w:szCs w:val="18"/>
              </w:rPr>
              <w:t>1,300,375,500</w:t>
            </w:r>
          </w:p>
        </w:tc>
        <w:tc>
          <w:tcPr>
            <w:tcW w:w="1701" w:type="dxa"/>
            <w:tcBorders>
              <w:top w:val="nil"/>
              <w:left w:val="nil"/>
              <w:bottom w:val="nil"/>
              <w:right w:val="nil"/>
            </w:tcBorders>
            <w:vAlign w:val="bottom"/>
          </w:tcPr>
          <w:p w14:paraId="252A39F1" w14:textId="53389FD0" w:rsidR="00D84931" w:rsidRPr="001D41EA" w:rsidRDefault="00D84931" w:rsidP="00D84931">
            <w:pPr>
              <w:spacing w:before="40" w:after="20"/>
              <w:jc w:val="right"/>
              <w:rPr>
                <w:rFonts w:cs="Arial"/>
                <w:sz w:val="18"/>
                <w:szCs w:val="18"/>
              </w:rPr>
            </w:pPr>
            <w:r w:rsidRPr="001D41EA">
              <w:rPr>
                <w:rFonts w:cs="Arial"/>
                <w:sz w:val="18"/>
                <w:szCs w:val="18"/>
              </w:rPr>
              <w:t>40,548,873,878</w:t>
            </w:r>
          </w:p>
        </w:tc>
      </w:tr>
      <w:tr w:rsidR="00D84931" w:rsidRPr="001D41EA" w14:paraId="00365D3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1BCEAA6" w14:textId="77777777" w:rsidR="00D84931" w:rsidRPr="001D41EA" w:rsidRDefault="00D84931" w:rsidP="00D84931">
            <w:pPr>
              <w:spacing w:before="40" w:after="20"/>
              <w:rPr>
                <w:rFonts w:cs="Arial"/>
                <w:sz w:val="18"/>
                <w:szCs w:val="18"/>
              </w:rPr>
            </w:pPr>
            <w:r w:rsidRPr="001D41EA">
              <w:rPr>
                <w:rFonts w:cs="Arial"/>
                <w:sz w:val="18"/>
                <w:szCs w:val="18"/>
              </w:rPr>
              <w:t>Yarra C</w:t>
            </w:r>
          </w:p>
        </w:tc>
        <w:tc>
          <w:tcPr>
            <w:tcW w:w="1701" w:type="dxa"/>
            <w:tcBorders>
              <w:top w:val="nil"/>
              <w:left w:val="single" w:sz="18" w:space="0" w:color="5F497A" w:themeColor="accent4" w:themeShade="BF"/>
              <w:bottom w:val="nil"/>
              <w:right w:val="nil"/>
            </w:tcBorders>
            <w:shd w:val="clear" w:color="auto" w:fill="auto"/>
            <w:noWrap/>
            <w:vAlign w:val="bottom"/>
          </w:tcPr>
          <w:p w14:paraId="6782A9EF" w14:textId="3E57D5F7" w:rsidR="00D84931" w:rsidRPr="001D41EA" w:rsidRDefault="00D84931" w:rsidP="00D84931">
            <w:pPr>
              <w:spacing w:before="40" w:after="20"/>
              <w:jc w:val="right"/>
              <w:rPr>
                <w:rFonts w:cs="Arial"/>
                <w:sz w:val="18"/>
                <w:szCs w:val="18"/>
              </w:rPr>
            </w:pPr>
            <w:r w:rsidRPr="001D41EA">
              <w:rPr>
                <w:rFonts w:cs="Arial"/>
                <w:sz w:val="18"/>
                <w:szCs w:val="18"/>
              </w:rPr>
              <w:t>35,126,817,175</w:t>
            </w:r>
          </w:p>
        </w:tc>
        <w:tc>
          <w:tcPr>
            <w:tcW w:w="1701" w:type="dxa"/>
            <w:tcBorders>
              <w:top w:val="nil"/>
              <w:left w:val="nil"/>
              <w:bottom w:val="nil"/>
              <w:right w:val="nil"/>
            </w:tcBorders>
            <w:vAlign w:val="bottom"/>
          </w:tcPr>
          <w:p w14:paraId="1ABE288B" w14:textId="4AB831AE" w:rsidR="00D84931" w:rsidRPr="001D41EA" w:rsidRDefault="00D84931" w:rsidP="00D84931">
            <w:pPr>
              <w:spacing w:before="40" w:after="20"/>
              <w:jc w:val="right"/>
              <w:rPr>
                <w:rFonts w:cs="Arial"/>
                <w:sz w:val="18"/>
                <w:szCs w:val="18"/>
              </w:rPr>
            </w:pPr>
            <w:r w:rsidRPr="001D41EA">
              <w:rPr>
                <w:rFonts w:cs="Arial"/>
                <w:sz w:val="18"/>
                <w:szCs w:val="18"/>
              </w:rPr>
              <w:t>11,342,709,916</w:t>
            </w:r>
          </w:p>
        </w:tc>
        <w:tc>
          <w:tcPr>
            <w:tcW w:w="1701" w:type="dxa"/>
            <w:tcBorders>
              <w:top w:val="nil"/>
              <w:left w:val="nil"/>
              <w:bottom w:val="nil"/>
              <w:right w:val="nil"/>
            </w:tcBorders>
            <w:shd w:val="clear" w:color="auto" w:fill="auto"/>
            <w:noWrap/>
            <w:vAlign w:val="bottom"/>
          </w:tcPr>
          <w:p w14:paraId="0C26137F" w14:textId="1756CEF5"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2BC6AF0D" w14:textId="784E524F" w:rsidR="00D84931" w:rsidRPr="001D41EA" w:rsidRDefault="00D84931" w:rsidP="00D84931">
            <w:pPr>
              <w:spacing w:before="40" w:after="20"/>
              <w:jc w:val="right"/>
              <w:rPr>
                <w:rFonts w:cs="Arial"/>
                <w:sz w:val="18"/>
                <w:szCs w:val="18"/>
              </w:rPr>
            </w:pPr>
            <w:r w:rsidRPr="001D41EA">
              <w:rPr>
                <w:rFonts w:cs="Arial"/>
                <w:sz w:val="18"/>
                <w:szCs w:val="18"/>
              </w:rPr>
              <w:t>46,469,527,091</w:t>
            </w:r>
          </w:p>
        </w:tc>
      </w:tr>
      <w:tr w:rsidR="00D84931" w:rsidRPr="001D41EA" w14:paraId="56503F7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0A3CCFE" w14:textId="77777777" w:rsidR="00D84931" w:rsidRPr="001D41EA" w:rsidRDefault="00D84931" w:rsidP="00D84931">
            <w:pPr>
              <w:spacing w:before="40" w:after="20"/>
              <w:rPr>
                <w:rFonts w:cs="Arial"/>
                <w:sz w:val="18"/>
                <w:szCs w:val="18"/>
              </w:rPr>
            </w:pPr>
            <w:r w:rsidRPr="001D41EA">
              <w:rPr>
                <w:rFonts w:cs="Arial"/>
                <w:sz w:val="18"/>
                <w:szCs w:val="18"/>
              </w:rPr>
              <w:t>Yarra Ranges S</w:t>
            </w:r>
          </w:p>
        </w:tc>
        <w:tc>
          <w:tcPr>
            <w:tcW w:w="1701" w:type="dxa"/>
            <w:tcBorders>
              <w:top w:val="nil"/>
              <w:left w:val="single" w:sz="18" w:space="0" w:color="5F497A" w:themeColor="accent4" w:themeShade="BF"/>
              <w:bottom w:val="nil"/>
              <w:right w:val="nil"/>
            </w:tcBorders>
            <w:shd w:val="clear" w:color="auto" w:fill="auto"/>
            <w:noWrap/>
            <w:vAlign w:val="bottom"/>
          </w:tcPr>
          <w:p w14:paraId="66FC1253" w14:textId="6FB8A193" w:rsidR="00D84931" w:rsidRPr="001D41EA" w:rsidRDefault="00D84931" w:rsidP="00D84931">
            <w:pPr>
              <w:spacing w:before="40" w:after="20"/>
              <w:jc w:val="right"/>
              <w:rPr>
                <w:rFonts w:cs="Arial"/>
                <w:sz w:val="18"/>
                <w:szCs w:val="18"/>
              </w:rPr>
            </w:pPr>
            <w:r w:rsidRPr="001D41EA">
              <w:rPr>
                <w:rFonts w:cs="Arial"/>
                <w:sz w:val="18"/>
                <w:szCs w:val="18"/>
              </w:rPr>
              <w:t>27,103,814,000</w:t>
            </w:r>
          </w:p>
        </w:tc>
        <w:tc>
          <w:tcPr>
            <w:tcW w:w="1701" w:type="dxa"/>
            <w:tcBorders>
              <w:top w:val="nil"/>
              <w:left w:val="nil"/>
              <w:bottom w:val="nil"/>
              <w:right w:val="nil"/>
            </w:tcBorders>
            <w:vAlign w:val="bottom"/>
          </w:tcPr>
          <w:p w14:paraId="6F57F183" w14:textId="191B6E6E" w:rsidR="00D84931" w:rsidRPr="001D41EA" w:rsidRDefault="00D84931" w:rsidP="00D84931">
            <w:pPr>
              <w:spacing w:before="40" w:after="20"/>
              <w:jc w:val="right"/>
              <w:rPr>
                <w:rFonts w:cs="Arial"/>
                <w:sz w:val="18"/>
                <w:szCs w:val="18"/>
              </w:rPr>
            </w:pPr>
            <w:r w:rsidRPr="001D41EA">
              <w:rPr>
                <w:rFonts w:cs="Arial"/>
                <w:sz w:val="18"/>
                <w:szCs w:val="18"/>
              </w:rPr>
              <w:t>2,357,234,500</w:t>
            </w:r>
          </w:p>
        </w:tc>
        <w:tc>
          <w:tcPr>
            <w:tcW w:w="1701" w:type="dxa"/>
            <w:tcBorders>
              <w:top w:val="nil"/>
              <w:left w:val="nil"/>
              <w:bottom w:val="nil"/>
              <w:right w:val="nil"/>
            </w:tcBorders>
            <w:shd w:val="clear" w:color="auto" w:fill="auto"/>
            <w:noWrap/>
            <w:vAlign w:val="bottom"/>
          </w:tcPr>
          <w:p w14:paraId="1BD915FE" w14:textId="4C682656" w:rsidR="00D84931" w:rsidRPr="001D41EA" w:rsidRDefault="00D84931" w:rsidP="00D84931">
            <w:pPr>
              <w:spacing w:before="40" w:after="20"/>
              <w:jc w:val="right"/>
              <w:rPr>
                <w:rFonts w:cs="Arial"/>
                <w:sz w:val="18"/>
                <w:szCs w:val="18"/>
              </w:rPr>
            </w:pPr>
            <w:r w:rsidRPr="001D41EA">
              <w:rPr>
                <w:rFonts w:cs="Arial"/>
                <w:sz w:val="18"/>
                <w:szCs w:val="18"/>
              </w:rPr>
              <w:t>1,992,360,115</w:t>
            </w:r>
          </w:p>
        </w:tc>
        <w:tc>
          <w:tcPr>
            <w:tcW w:w="1701" w:type="dxa"/>
            <w:tcBorders>
              <w:top w:val="nil"/>
              <w:left w:val="nil"/>
              <w:bottom w:val="nil"/>
              <w:right w:val="nil"/>
            </w:tcBorders>
            <w:vAlign w:val="bottom"/>
          </w:tcPr>
          <w:p w14:paraId="722D7E39" w14:textId="529389CE" w:rsidR="00D84931" w:rsidRPr="001D41EA" w:rsidRDefault="00D84931" w:rsidP="00D84931">
            <w:pPr>
              <w:spacing w:before="40" w:after="20"/>
              <w:jc w:val="right"/>
              <w:rPr>
                <w:rFonts w:cs="Arial"/>
                <w:sz w:val="18"/>
                <w:szCs w:val="18"/>
              </w:rPr>
            </w:pPr>
            <w:r w:rsidRPr="001D41EA">
              <w:rPr>
                <w:rFonts w:cs="Arial"/>
                <w:sz w:val="18"/>
                <w:szCs w:val="18"/>
              </w:rPr>
              <w:t>31,453,408,615</w:t>
            </w:r>
          </w:p>
        </w:tc>
      </w:tr>
      <w:tr w:rsidR="00D84931" w:rsidRPr="001D41EA" w14:paraId="09A54AB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F9F0A99" w14:textId="77777777" w:rsidR="00D84931" w:rsidRPr="001D41EA" w:rsidRDefault="00D84931" w:rsidP="00D84931">
            <w:pPr>
              <w:spacing w:before="40" w:after="20"/>
              <w:rPr>
                <w:rFonts w:cs="Arial"/>
                <w:sz w:val="18"/>
                <w:szCs w:val="18"/>
              </w:rPr>
            </w:pPr>
            <w:r w:rsidRPr="001D41EA">
              <w:rPr>
                <w:rFonts w:cs="Arial"/>
                <w:sz w:val="18"/>
                <w:szCs w:val="18"/>
              </w:rPr>
              <w:t>Yarriambiack S</w:t>
            </w:r>
          </w:p>
        </w:tc>
        <w:tc>
          <w:tcPr>
            <w:tcW w:w="1701" w:type="dxa"/>
            <w:tcBorders>
              <w:top w:val="nil"/>
              <w:left w:val="single" w:sz="18" w:space="0" w:color="5F497A" w:themeColor="accent4" w:themeShade="BF"/>
              <w:bottom w:val="nil"/>
              <w:right w:val="nil"/>
            </w:tcBorders>
            <w:shd w:val="clear" w:color="auto" w:fill="auto"/>
            <w:noWrap/>
            <w:vAlign w:val="bottom"/>
          </w:tcPr>
          <w:p w14:paraId="73667807" w14:textId="011A9881" w:rsidR="00D84931" w:rsidRPr="001D41EA" w:rsidRDefault="00D84931" w:rsidP="00D84931">
            <w:pPr>
              <w:spacing w:before="40" w:after="20"/>
              <w:jc w:val="right"/>
              <w:rPr>
                <w:rFonts w:cs="Arial"/>
                <w:sz w:val="18"/>
                <w:szCs w:val="18"/>
              </w:rPr>
            </w:pPr>
            <w:r w:rsidRPr="001D41EA">
              <w:rPr>
                <w:rFonts w:cs="Arial"/>
                <w:sz w:val="18"/>
                <w:szCs w:val="18"/>
              </w:rPr>
              <w:t>304,250,225</w:t>
            </w:r>
          </w:p>
        </w:tc>
        <w:tc>
          <w:tcPr>
            <w:tcW w:w="1701" w:type="dxa"/>
            <w:tcBorders>
              <w:top w:val="nil"/>
              <w:left w:val="nil"/>
              <w:bottom w:val="nil"/>
              <w:right w:val="nil"/>
            </w:tcBorders>
            <w:vAlign w:val="bottom"/>
          </w:tcPr>
          <w:p w14:paraId="3D17ACB0" w14:textId="74593938" w:rsidR="00D84931" w:rsidRPr="001D41EA" w:rsidRDefault="00D84931" w:rsidP="00D84931">
            <w:pPr>
              <w:spacing w:before="40" w:after="20"/>
              <w:jc w:val="right"/>
              <w:rPr>
                <w:rFonts w:cs="Arial"/>
                <w:sz w:val="18"/>
                <w:szCs w:val="18"/>
              </w:rPr>
            </w:pPr>
            <w:r w:rsidRPr="001D41EA">
              <w:rPr>
                <w:rFonts w:cs="Arial"/>
                <w:sz w:val="18"/>
                <w:szCs w:val="18"/>
              </w:rPr>
              <w:t>51,190,600</w:t>
            </w:r>
          </w:p>
        </w:tc>
        <w:tc>
          <w:tcPr>
            <w:tcW w:w="1701" w:type="dxa"/>
            <w:tcBorders>
              <w:top w:val="nil"/>
              <w:left w:val="nil"/>
              <w:bottom w:val="nil"/>
              <w:right w:val="nil"/>
            </w:tcBorders>
            <w:shd w:val="clear" w:color="auto" w:fill="auto"/>
            <w:noWrap/>
            <w:vAlign w:val="bottom"/>
          </w:tcPr>
          <w:p w14:paraId="5048B76D" w14:textId="1DF50791" w:rsidR="00D84931" w:rsidRPr="001D41EA" w:rsidRDefault="00D84931" w:rsidP="00D84931">
            <w:pPr>
              <w:spacing w:before="40" w:after="20"/>
              <w:jc w:val="right"/>
              <w:rPr>
                <w:rFonts w:cs="Arial"/>
                <w:sz w:val="18"/>
                <w:szCs w:val="18"/>
              </w:rPr>
            </w:pPr>
            <w:r w:rsidRPr="001D41EA">
              <w:rPr>
                <w:rFonts w:cs="Arial"/>
                <w:sz w:val="18"/>
                <w:szCs w:val="18"/>
              </w:rPr>
              <w:t>1,403,548,075</w:t>
            </w:r>
          </w:p>
        </w:tc>
        <w:tc>
          <w:tcPr>
            <w:tcW w:w="1701" w:type="dxa"/>
            <w:tcBorders>
              <w:top w:val="nil"/>
              <w:left w:val="nil"/>
              <w:bottom w:val="nil"/>
              <w:right w:val="nil"/>
            </w:tcBorders>
            <w:vAlign w:val="bottom"/>
          </w:tcPr>
          <w:p w14:paraId="10B1A21F" w14:textId="5C300C2F" w:rsidR="00D84931" w:rsidRPr="001D41EA" w:rsidRDefault="00D84931" w:rsidP="00D84931">
            <w:pPr>
              <w:spacing w:before="40" w:after="20"/>
              <w:jc w:val="right"/>
              <w:rPr>
                <w:rFonts w:cs="Arial"/>
                <w:sz w:val="18"/>
                <w:szCs w:val="18"/>
              </w:rPr>
            </w:pPr>
            <w:r w:rsidRPr="001D41EA">
              <w:rPr>
                <w:rFonts w:cs="Arial"/>
                <w:sz w:val="18"/>
                <w:szCs w:val="18"/>
              </w:rPr>
              <w:t>1,758,988,900</w:t>
            </w:r>
          </w:p>
        </w:tc>
      </w:tr>
      <w:tr w:rsidR="00D84931" w:rsidRPr="001D41EA" w14:paraId="284FBE21" w14:textId="77777777" w:rsidTr="00B44BBE">
        <w:trPr>
          <w:trHeight w:val="113"/>
        </w:trPr>
        <w:tc>
          <w:tcPr>
            <w:tcW w:w="2268" w:type="dxa"/>
            <w:tcBorders>
              <w:top w:val="nil"/>
              <w:left w:val="nil"/>
              <w:bottom w:val="nil"/>
              <w:right w:val="single" w:sz="18" w:space="0" w:color="5F497A" w:themeColor="accent4" w:themeShade="BF"/>
            </w:tcBorders>
            <w:shd w:val="clear" w:color="auto" w:fill="auto"/>
            <w:noWrap/>
            <w:vAlign w:val="center"/>
          </w:tcPr>
          <w:p w14:paraId="253024F3" w14:textId="77777777" w:rsidR="00D84931" w:rsidRPr="001D41EA" w:rsidRDefault="00D84931" w:rsidP="00D84931">
            <w:pPr>
              <w:spacing w:before="40" w:after="20"/>
              <w:rPr>
                <w:rFonts w:cs="Arial"/>
                <w:sz w:val="18"/>
                <w:szCs w:val="18"/>
              </w:rPr>
            </w:pPr>
          </w:p>
        </w:tc>
        <w:tc>
          <w:tcPr>
            <w:tcW w:w="1701" w:type="dxa"/>
            <w:tcBorders>
              <w:top w:val="nil"/>
              <w:left w:val="single" w:sz="18" w:space="0" w:color="5F497A" w:themeColor="accent4" w:themeShade="BF"/>
              <w:bottom w:val="single" w:sz="8" w:space="0" w:color="5F497A" w:themeColor="accent4" w:themeShade="BF"/>
              <w:right w:val="nil"/>
            </w:tcBorders>
            <w:shd w:val="clear" w:color="auto" w:fill="auto"/>
            <w:noWrap/>
            <w:vAlign w:val="bottom"/>
          </w:tcPr>
          <w:p w14:paraId="43064948" w14:textId="3A503DFE" w:rsidR="00D84931" w:rsidRPr="001D41EA" w:rsidRDefault="00D84931" w:rsidP="00D84931">
            <w:pPr>
              <w:spacing w:before="40" w:after="20"/>
              <w:jc w:val="right"/>
              <w:rPr>
                <w:rFonts w:cs="Arial"/>
                <w:sz w:val="18"/>
                <w:szCs w:val="18"/>
              </w:rPr>
            </w:pPr>
            <w:r w:rsidRPr="001D41EA">
              <w:rPr>
                <w:rFonts w:cs="Arial"/>
                <w:sz w:val="18"/>
                <w:szCs w:val="18"/>
              </w:rPr>
              <w:t> </w:t>
            </w:r>
          </w:p>
        </w:tc>
        <w:tc>
          <w:tcPr>
            <w:tcW w:w="1701" w:type="dxa"/>
            <w:tcBorders>
              <w:top w:val="nil"/>
              <w:left w:val="nil"/>
              <w:bottom w:val="single" w:sz="8" w:space="0" w:color="5F497A" w:themeColor="accent4" w:themeShade="BF"/>
              <w:right w:val="nil"/>
            </w:tcBorders>
            <w:vAlign w:val="bottom"/>
          </w:tcPr>
          <w:p w14:paraId="6336222D" w14:textId="77777777" w:rsidR="00D84931" w:rsidRPr="001D41EA" w:rsidRDefault="00D84931" w:rsidP="00D84931">
            <w:pPr>
              <w:spacing w:before="40" w:after="20"/>
              <w:jc w:val="right"/>
              <w:rPr>
                <w:rFonts w:cs="Arial"/>
                <w:sz w:val="18"/>
                <w:szCs w:val="18"/>
              </w:rPr>
            </w:pPr>
          </w:p>
        </w:tc>
        <w:tc>
          <w:tcPr>
            <w:tcW w:w="1701" w:type="dxa"/>
            <w:tcBorders>
              <w:top w:val="nil"/>
              <w:left w:val="nil"/>
              <w:bottom w:val="single" w:sz="8" w:space="0" w:color="5F497A" w:themeColor="accent4" w:themeShade="BF"/>
              <w:right w:val="nil"/>
            </w:tcBorders>
            <w:shd w:val="clear" w:color="auto" w:fill="auto"/>
            <w:noWrap/>
            <w:vAlign w:val="bottom"/>
          </w:tcPr>
          <w:p w14:paraId="2EC9FC14" w14:textId="77777777" w:rsidR="00D84931" w:rsidRPr="001D41EA" w:rsidRDefault="00D84931" w:rsidP="00D84931">
            <w:pPr>
              <w:spacing w:before="40" w:after="20"/>
              <w:jc w:val="right"/>
              <w:rPr>
                <w:rFonts w:cs="Arial"/>
                <w:sz w:val="18"/>
                <w:szCs w:val="18"/>
              </w:rPr>
            </w:pPr>
          </w:p>
        </w:tc>
        <w:tc>
          <w:tcPr>
            <w:tcW w:w="1701" w:type="dxa"/>
            <w:tcBorders>
              <w:top w:val="nil"/>
              <w:left w:val="nil"/>
              <w:bottom w:val="single" w:sz="8" w:space="0" w:color="5F497A" w:themeColor="accent4" w:themeShade="BF"/>
              <w:right w:val="nil"/>
            </w:tcBorders>
            <w:vAlign w:val="bottom"/>
          </w:tcPr>
          <w:p w14:paraId="15D85C0B" w14:textId="336707B9" w:rsidR="00D84931" w:rsidRPr="001D41EA" w:rsidRDefault="00D84931" w:rsidP="00D84931">
            <w:pPr>
              <w:spacing w:before="40" w:after="20"/>
              <w:jc w:val="right"/>
              <w:rPr>
                <w:rFonts w:cs="Arial"/>
                <w:sz w:val="18"/>
                <w:szCs w:val="18"/>
              </w:rPr>
            </w:pPr>
            <w:r w:rsidRPr="001D41EA">
              <w:rPr>
                <w:rFonts w:cs="Arial"/>
                <w:sz w:val="18"/>
                <w:szCs w:val="18"/>
              </w:rPr>
              <w:t> </w:t>
            </w:r>
          </w:p>
        </w:tc>
      </w:tr>
      <w:tr w:rsidR="00D84931" w:rsidRPr="001D41EA" w14:paraId="51FB11ED" w14:textId="77777777" w:rsidTr="00B44BBE">
        <w:trPr>
          <w:trHeight w:val="113"/>
        </w:trPr>
        <w:tc>
          <w:tcPr>
            <w:tcW w:w="2268" w:type="dxa"/>
            <w:tcBorders>
              <w:top w:val="nil"/>
              <w:left w:val="nil"/>
              <w:bottom w:val="nil"/>
              <w:right w:val="single" w:sz="18" w:space="0" w:color="5F497A" w:themeColor="accent4" w:themeShade="BF"/>
            </w:tcBorders>
            <w:shd w:val="clear" w:color="auto" w:fill="auto"/>
            <w:noWrap/>
            <w:vAlign w:val="center"/>
          </w:tcPr>
          <w:p w14:paraId="163DD14E" w14:textId="77777777" w:rsidR="00D84931" w:rsidRPr="001D41EA" w:rsidRDefault="00D84931" w:rsidP="00D84931">
            <w:pPr>
              <w:spacing w:before="40" w:after="20"/>
              <w:rPr>
                <w:rFonts w:cs="Arial"/>
                <w:sz w:val="18"/>
                <w:szCs w:val="18"/>
              </w:rPr>
            </w:pPr>
          </w:p>
        </w:tc>
        <w:tc>
          <w:tcPr>
            <w:tcW w:w="1701" w:type="dxa"/>
            <w:tcBorders>
              <w:top w:val="single" w:sz="8" w:space="0" w:color="5F497A" w:themeColor="accent4" w:themeShade="BF"/>
              <w:left w:val="single" w:sz="18" w:space="0" w:color="5F497A" w:themeColor="accent4" w:themeShade="BF"/>
              <w:right w:val="nil"/>
            </w:tcBorders>
            <w:shd w:val="clear" w:color="auto" w:fill="auto"/>
            <w:noWrap/>
            <w:vAlign w:val="bottom"/>
          </w:tcPr>
          <w:p w14:paraId="5C936497" w14:textId="12A024DE" w:rsidR="00D84931" w:rsidRPr="001D41EA" w:rsidRDefault="00D84931" w:rsidP="00D84931">
            <w:pPr>
              <w:spacing w:before="40" w:after="20"/>
              <w:jc w:val="right"/>
              <w:rPr>
                <w:rFonts w:cs="Arial"/>
                <w:b/>
                <w:sz w:val="18"/>
                <w:szCs w:val="18"/>
              </w:rPr>
            </w:pPr>
            <w:r w:rsidRPr="001D41EA">
              <w:rPr>
                <w:rFonts w:cs="Arial"/>
                <w:b/>
                <w:sz w:val="18"/>
                <w:szCs w:val="18"/>
              </w:rPr>
              <w:t>1,359,999,611,709</w:t>
            </w:r>
          </w:p>
        </w:tc>
        <w:tc>
          <w:tcPr>
            <w:tcW w:w="1701" w:type="dxa"/>
            <w:tcBorders>
              <w:top w:val="single" w:sz="8" w:space="0" w:color="5F497A" w:themeColor="accent4" w:themeShade="BF"/>
              <w:left w:val="nil"/>
              <w:right w:val="nil"/>
            </w:tcBorders>
            <w:vAlign w:val="bottom"/>
          </w:tcPr>
          <w:p w14:paraId="1D86EB18" w14:textId="24B31844" w:rsidR="00D84931" w:rsidRPr="001D41EA" w:rsidRDefault="00D84931" w:rsidP="00D84931">
            <w:pPr>
              <w:spacing w:before="40" w:after="20"/>
              <w:jc w:val="right"/>
              <w:rPr>
                <w:rFonts w:cs="Arial"/>
                <w:b/>
                <w:sz w:val="18"/>
                <w:szCs w:val="18"/>
              </w:rPr>
            </w:pPr>
            <w:r w:rsidRPr="001D41EA">
              <w:rPr>
                <w:rFonts w:cs="Arial"/>
                <w:b/>
                <w:sz w:val="18"/>
                <w:szCs w:val="18"/>
              </w:rPr>
              <w:t>248,234,542,457</w:t>
            </w:r>
          </w:p>
        </w:tc>
        <w:tc>
          <w:tcPr>
            <w:tcW w:w="1701" w:type="dxa"/>
            <w:tcBorders>
              <w:top w:val="single" w:sz="8" w:space="0" w:color="5F497A" w:themeColor="accent4" w:themeShade="BF"/>
              <w:left w:val="nil"/>
              <w:right w:val="nil"/>
            </w:tcBorders>
            <w:shd w:val="clear" w:color="auto" w:fill="auto"/>
            <w:noWrap/>
            <w:vAlign w:val="bottom"/>
          </w:tcPr>
          <w:p w14:paraId="5BF5C352" w14:textId="05B6A45A" w:rsidR="00D84931" w:rsidRPr="001D41EA" w:rsidRDefault="00D84931" w:rsidP="00D84931">
            <w:pPr>
              <w:spacing w:before="40" w:after="20"/>
              <w:jc w:val="right"/>
              <w:rPr>
                <w:rFonts w:cs="Arial"/>
                <w:b/>
                <w:sz w:val="18"/>
                <w:szCs w:val="18"/>
              </w:rPr>
            </w:pPr>
            <w:r w:rsidRPr="001D41EA">
              <w:rPr>
                <w:rFonts w:cs="Arial"/>
                <w:b/>
                <w:sz w:val="18"/>
                <w:szCs w:val="18"/>
              </w:rPr>
              <w:t>77,694,670,105</w:t>
            </w:r>
          </w:p>
        </w:tc>
        <w:tc>
          <w:tcPr>
            <w:tcW w:w="1701" w:type="dxa"/>
            <w:tcBorders>
              <w:top w:val="single" w:sz="8" w:space="0" w:color="5F497A" w:themeColor="accent4" w:themeShade="BF"/>
              <w:left w:val="nil"/>
              <w:right w:val="nil"/>
            </w:tcBorders>
            <w:vAlign w:val="bottom"/>
          </w:tcPr>
          <w:p w14:paraId="7E530531" w14:textId="4ACBB449" w:rsidR="00D84931" w:rsidRPr="001D41EA" w:rsidRDefault="00D84931" w:rsidP="00D84931">
            <w:pPr>
              <w:spacing w:before="40" w:after="20"/>
              <w:jc w:val="right"/>
              <w:rPr>
                <w:rFonts w:cs="Arial"/>
                <w:b/>
                <w:sz w:val="18"/>
                <w:szCs w:val="18"/>
              </w:rPr>
            </w:pPr>
            <w:r w:rsidRPr="001D41EA">
              <w:rPr>
                <w:rFonts w:cs="Arial"/>
                <w:b/>
                <w:sz w:val="18"/>
                <w:szCs w:val="18"/>
              </w:rPr>
              <w:t>1,685,928,824,271</w:t>
            </w:r>
          </w:p>
        </w:tc>
      </w:tr>
    </w:tbl>
    <w:p w14:paraId="27EB84F2" w14:textId="77777777" w:rsidR="00713C86" w:rsidRPr="00A44829" w:rsidRDefault="002734A2" w:rsidP="00FF36E8">
      <w:pPr>
        <w:spacing w:before="40" w:after="20"/>
        <w:rPr>
          <w:rFonts w:cs="Arial"/>
          <w:i/>
          <w:sz w:val="18"/>
          <w:szCs w:val="18"/>
        </w:rPr>
      </w:pPr>
      <w:r w:rsidRPr="00A44829">
        <w:rPr>
          <w:rFonts w:cs="Arial"/>
          <w:i/>
          <w:sz w:val="18"/>
          <w:szCs w:val="18"/>
        </w:rPr>
        <w:br w:type="page"/>
      </w:r>
    </w:p>
    <w:p w14:paraId="1157F535" w14:textId="03CDBFD7" w:rsidR="00713C86" w:rsidRPr="00A44829" w:rsidRDefault="00713C86" w:rsidP="00C33713">
      <w:pPr>
        <w:pStyle w:val="VGC-Head10"/>
      </w:pPr>
      <w:r w:rsidRPr="00A44829">
        <w:lastRenderedPageBreak/>
        <w:t>Appendix 4</w:t>
      </w:r>
      <w:r w:rsidRPr="00A44829">
        <w:tab/>
      </w:r>
      <w:r w:rsidR="00EE4593" w:rsidRPr="00A44829">
        <w:t>2019-20</w:t>
      </w:r>
      <w:r w:rsidR="00A97ABE" w:rsidRPr="00A44829">
        <w:t xml:space="preserve"> </w:t>
      </w:r>
      <w:r w:rsidRPr="00A44829">
        <w:t xml:space="preserve">General Purpose Grants </w:t>
      </w:r>
    </w:p>
    <w:p w14:paraId="7666BC0E" w14:textId="77777777" w:rsidR="00713C86" w:rsidRPr="00A44829" w:rsidRDefault="00713C86" w:rsidP="008C1A28">
      <w:pPr>
        <w:pStyle w:val="VGC-Head2"/>
      </w:pPr>
      <w:r w:rsidRPr="00A44829">
        <w:t>J.  Standardised Rate Revenue</w:t>
      </w:r>
    </w:p>
    <w:p w14:paraId="5E496211" w14:textId="77777777" w:rsidR="00540FD9" w:rsidRPr="00A44829"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A44829" w14:paraId="6AEA8D53" w14:textId="77777777" w:rsidTr="00B44BBE">
        <w:trPr>
          <w:tblHeader/>
        </w:trPr>
        <w:tc>
          <w:tcPr>
            <w:tcW w:w="2268" w:type="dxa"/>
            <w:tcBorders>
              <w:left w:val="nil"/>
              <w:right w:val="single" w:sz="18" w:space="0" w:color="5F497A" w:themeColor="accent4" w:themeShade="BF"/>
            </w:tcBorders>
            <w:shd w:val="clear" w:color="auto" w:fill="auto"/>
            <w:vAlign w:val="bottom"/>
          </w:tcPr>
          <w:p w14:paraId="4043FF1E" w14:textId="77777777" w:rsidR="00540FD9" w:rsidRPr="00A44829" w:rsidRDefault="00540FD9" w:rsidP="0038375E">
            <w:pPr>
              <w:spacing w:before="40" w:after="20"/>
              <w:jc w:val="center"/>
              <w:rPr>
                <w:rFonts w:cs="Arial"/>
                <w:sz w:val="18"/>
                <w:szCs w:val="18"/>
              </w:rPr>
            </w:pPr>
          </w:p>
        </w:tc>
        <w:tc>
          <w:tcPr>
            <w:tcW w:w="6804" w:type="dxa"/>
            <w:gridSpan w:val="4"/>
            <w:tcBorders>
              <w:left w:val="single" w:sz="18" w:space="0" w:color="5F497A" w:themeColor="accent4" w:themeShade="BF"/>
              <w:bottom w:val="single" w:sz="8" w:space="0" w:color="5F497A" w:themeColor="accent4" w:themeShade="BF"/>
              <w:right w:val="nil"/>
            </w:tcBorders>
            <w:shd w:val="clear" w:color="auto" w:fill="auto"/>
            <w:vAlign w:val="bottom"/>
          </w:tcPr>
          <w:p w14:paraId="0B9EECAE" w14:textId="77777777" w:rsidR="00540FD9" w:rsidRPr="00A44829" w:rsidRDefault="008D3EF8" w:rsidP="0038375E">
            <w:pPr>
              <w:spacing w:before="40" w:after="20"/>
              <w:jc w:val="center"/>
              <w:rPr>
                <w:rFonts w:cs="Arial"/>
                <w:b/>
                <w:sz w:val="18"/>
                <w:szCs w:val="18"/>
              </w:rPr>
            </w:pPr>
            <w:r w:rsidRPr="00A44829">
              <w:rPr>
                <w:rFonts w:cs="Arial"/>
                <w:b/>
                <w:sz w:val="18"/>
                <w:szCs w:val="18"/>
              </w:rPr>
              <w:t>4</w:t>
            </w:r>
            <w:r w:rsidR="00540FD9" w:rsidRPr="00A44829">
              <w:rPr>
                <w:rFonts w:cs="Arial"/>
                <w:b/>
                <w:sz w:val="18"/>
                <w:szCs w:val="18"/>
              </w:rPr>
              <w:t xml:space="preserve"> Year Average Standardised Rate Revenue</w:t>
            </w:r>
          </w:p>
        </w:tc>
      </w:tr>
      <w:tr w:rsidR="00540FD9" w:rsidRPr="00A44829" w14:paraId="11DE413D" w14:textId="77777777" w:rsidTr="00B44BBE">
        <w:trPr>
          <w:tblHeader/>
        </w:trPr>
        <w:tc>
          <w:tcPr>
            <w:tcW w:w="2268" w:type="dxa"/>
            <w:tcBorders>
              <w:left w:val="nil"/>
              <w:right w:val="single" w:sz="18" w:space="0" w:color="5F497A" w:themeColor="accent4" w:themeShade="BF"/>
            </w:tcBorders>
            <w:shd w:val="clear" w:color="auto" w:fill="auto"/>
            <w:vAlign w:val="bottom"/>
          </w:tcPr>
          <w:p w14:paraId="433C993F" w14:textId="77777777" w:rsidR="00540FD9" w:rsidRPr="00A44829" w:rsidRDefault="00540FD9" w:rsidP="0038375E">
            <w:pPr>
              <w:spacing w:before="40" w:after="20"/>
              <w:jc w:val="center"/>
              <w:rPr>
                <w:rFonts w:cs="Arial"/>
                <w:sz w:val="18"/>
                <w:szCs w:val="18"/>
              </w:rPr>
            </w:pPr>
          </w:p>
        </w:tc>
        <w:tc>
          <w:tcPr>
            <w:tcW w:w="170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06CFD58A" w14:textId="77777777" w:rsidR="00540FD9" w:rsidRPr="00A44829" w:rsidRDefault="00540FD9" w:rsidP="0038375E">
            <w:pPr>
              <w:spacing w:before="40" w:after="20"/>
              <w:jc w:val="center"/>
              <w:rPr>
                <w:rFonts w:cs="Arial"/>
                <w:sz w:val="16"/>
                <w:szCs w:val="16"/>
              </w:rPr>
            </w:pPr>
            <w:r w:rsidRPr="00A44829">
              <w:rPr>
                <w:rFonts w:cs="Arial"/>
                <w:sz w:val="16"/>
                <w:szCs w:val="16"/>
              </w:rPr>
              <w:t>Residential</w:t>
            </w:r>
            <w:r w:rsidRPr="00A44829">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6E3FC5D4" w14:textId="77777777" w:rsidR="00540FD9" w:rsidRPr="00A44829" w:rsidRDefault="00540FD9" w:rsidP="0038375E">
            <w:pPr>
              <w:spacing w:before="40" w:after="20"/>
              <w:jc w:val="center"/>
              <w:rPr>
                <w:rFonts w:cs="Arial"/>
                <w:sz w:val="16"/>
                <w:szCs w:val="16"/>
              </w:rPr>
            </w:pPr>
            <w:r w:rsidRPr="00A44829">
              <w:rPr>
                <w:rFonts w:cs="Arial"/>
                <w:sz w:val="16"/>
                <w:szCs w:val="16"/>
              </w:rPr>
              <w:t>Commercial / Industrial (incl. Other)</w:t>
            </w:r>
            <w:r w:rsidRPr="00A44829">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1F9546C9" w14:textId="77777777" w:rsidR="00540FD9" w:rsidRPr="00A44829" w:rsidRDefault="00540FD9" w:rsidP="0038375E">
            <w:pPr>
              <w:spacing w:before="40" w:after="20"/>
              <w:jc w:val="center"/>
              <w:rPr>
                <w:rFonts w:cs="Arial"/>
                <w:sz w:val="16"/>
                <w:szCs w:val="16"/>
              </w:rPr>
            </w:pPr>
            <w:r w:rsidRPr="00A44829">
              <w:rPr>
                <w:rFonts w:cs="Arial"/>
                <w:sz w:val="16"/>
                <w:szCs w:val="16"/>
              </w:rPr>
              <w:t>Farm</w:t>
            </w:r>
            <w:r w:rsidRPr="00A44829">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3CC94EBB" w14:textId="77777777" w:rsidR="00540FD9" w:rsidRPr="00A44829" w:rsidRDefault="00540FD9" w:rsidP="0038375E">
            <w:pPr>
              <w:spacing w:before="40" w:after="20"/>
              <w:jc w:val="center"/>
              <w:rPr>
                <w:rFonts w:cs="Arial"/>
                <w:sz w:val="16"/>
                <w:szCs w:val="16"/>
              </w:rPr>
            </w:pPr>
            <w:r w:rsidRPr="00A44829">
              <w:rPr>
                <w:rFonts w:cs="Arial"/>
                <w:sz w:val="16"/>
                <w:szCs w:val="16"/>
              </w:rPr>
              <w:t xml:space="preserve">Total </w:t>
            </w:r>
            <w:r w:rsidRPr="00A44829">
              <w:rPr>
                <w:rFonts w:cs="Arial"/>
                <w:sz w:val="16"/>
                <w:szCs w:val="16"/>
              </w:rPr>
              <w:br/>
              <w:t>($)</w:t>
            </w:r>
          </w:p>
        </w:tc>
      </w:tr>
      <w:tr w:rsidR="00D84931" w:rsidRPr="001D41EA" w14:paraId="3D7C0037" w14:textId="77777777" w:rsidTr="00B44BBE">
        <w:trPr>
          <w:tblHeader/>
        </w:trPr>
        <w:tc>
          <w:tcPr>
            <w:tcW w:w="2268" w:type="dxa"/>
            <w:tcBorders>
              <w:left w:val="nil"/>
              <w:bottom w:val="nil"/>
              <w:right w:val="single" w:sz="18" w:space="0" w:color="5F497A" w:themeColor="accent4" w:themeShade="BF"/>
            </w:tcBorders>
            <w:shd w:val="clear" w:color="auto" w:fill="auto"/>
            <w:noWrap/>
            <w:vAlign w:val="center"/>
          </w:tcPr>
          <w:p w14:paraId="16798AD1" w14:textId="77777777" w:rsidR="00D84931" w:rsidRPr="001D41EA" w:rsidRDefault="00D84931" w:rsidP="00D84931">
            <w:pPr>
              <w:spacing w:before="40" w:after="20"/>
              <w:rPr>
                <w:rFonts w:cs="Arial"/>
                <w:sz w:val="18"/>
                <w:szCs w:val="18"/>
              </w:rPr>
            </w:pPr>
          </w:p>
        </w:tc>
        <w:tc>
          <w:tcPr>
            <w:tcW w:w="170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4FCF3C9B" w14:textId="3F7B0835" w:rsidR="00D84931" w:rsidRPr="001D41EA" w:rsidRDefault="00D84931" w:rsidP="00D84931">
            <w:pPr>
              <w:spacing w:before="40" w:after="20"/>
              <w:jc w:val="right"/>
              <w:rPr>
                <w:rFonts w:cs="Arial"/>
                <w:sz w:val="18"/>
                <w:szCs w:val="18"/>
              </w:rPr>
            </w:pPr>
            <w:r w:rsidRPr="001D41EA">
              <w:rPr>
                <w:rFonts w:cs="Arial"/>
                <w:sz w:val="18"/>
                <w:szCs w:val="18"/>
              </w:rPr>
              <w:t> </w:t>
            </w:r>
          </w:p>
        </w:tc>
        <w:tc>
          <w:tcPr>
            <w:tcW w:w="1701" w:type="dxa"/>
            <w:tcBorders>
              <w:top w:val="single" w:sz="8" w:space="0" w:color="5F497A" w:themeColor="accent4" w:themeShade="BF"/>
              <w:left w:val="nil"/>
              <w:bottom w:val="nil"/>
              <w:right w:val="nil"/>
            </w:tcBorders>
            <w:vAlign w:val="bottom"/>
          </w:tcPr>
          <w:p w14:paraId="5C54E77D" w14:textId="77777777" w:rsidR="00D84931" w:rsidRPr="001D41EA" w:rsidRDefault="00D84931" w:rsidP="00D84931">
            <w:pPr>
              <w:spacing w:before="40" w:after="20"/>
              <w:jc w:val="right"/>
              <w:rPr>
                <w:rFonts w:cs="Arial"/>
                <w:sz w:val="18"/>
                <w:szCs w:val="18"/>
              </w:rPr>
            </w:pPr>
          </w:p>
        </w:tc>
        <w:tc>
          <w:tcPr>
            <w:tcW w:w="1701" w:type="dxa"/>
            <w:tcBorders>
              <w:top w:val="single" w:sz="8" w:space="0" w:color="5F497A" w:themeColor="accent4" w:themeShade="BF"/>
              <w:left w:val="nil"/>
              <w:bottom w:val="nil"/>
              <w:right w:val="nil"/>
            </w:tcBorders>
            <w:shd w:val="clear" w:color="auto" w:fill="auto"/>
            <w:noWrap/>
            <w:vAlign w:val="bottom"/>
          </w:tcPr>
          <w:p w14:paraId="404196CE" w14:textId="77777777" w:rsidR="00D84931" w:rsidRPr="001D41EA" w:rsidRDefault="00D84931" w:rsidP="00D84931">
            <w:pPr>
              <w:spacing w:before="40" w:after="20"/>
              <w:jc w:val="right"/>
              <w:rPr>
                <w:rFonts w:cs="Arial"/>
                <w:sz w:val="18"/>
                <w:szCs w:val="18"/>
              </w:rPr>
            </w:pPr>
          </w:p>
        </w:tc>
        <w:tc>
          <w:tcPr>
            <w:tcW w:w="1701" w:type="dxa"/>
            <w:tcBorders>
              <w:top w:val="single" w:sz="8" w:space="0" w:color="5F497A" w:themeColor="accent4" w:themeShade="BF"/>
              <w:left w:val="nil"/>
              <w:bottom w:val="nil"/>
              <w:right w:val="nil"/>
            </w:tcBorders>
            <w:vAlign w:val="bottom"/>
          </w:tcPr>
          <w:p w14:paraId="2F4321FF" w14:textId="290E3640" w:rsidR="00D84931" w:rsidRPr="001D41EA" w:rsidRDefault="00D84931" w:rsidP="00D84931">
            <w:pPr>
              <w:spacing w:before="40" w:after="20"/>
              <w:jc w:val="right"/>
              <w:rPr>
                <w:rFonts w:cs="Arial"/>
                <w:sz w:val="18"/>
                <w:szCs w:val="18"/>
              </w:rPr>
            </w:pPr>
            <w:r w:rsidRPr="001D41EA">
              <w:rPr>
                <w:rFonts w:cs="Arial"/>
                <w:sz w:val="18"/>
                <w:szCs w:val="18"/>
              </w:rPr>
              <w:t> </w:t>
            </w:r>
          </w:p>
        </w:tc>
      </w:tr>
      <w:tr w:rsidR="00D84931" w:rsidRPr="001D41EA" w14:paraId="16F25D9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92109E2" w14:textId="77777777" w:rsidR="00D84931" w:rsidRPr="001D41EA" w:rsidRDefault="00D84931" w:rsidP="00D84931">
            <w:pPr>
              <w:spacing w:before="40" w:after="20"/>
              <w:rPr>
                <w:rFonts w:cs="Arial"/>
                <w:sz w:val="18"/>
                <w:szCs w:val="18"/>
              </w:rPr>
            </w:pPr>
            <w:r w:rsidRPr="001D41EA">
              <w:rPr>
                <w:rFonts w:cs="Arial"/>
                <w:sz w:val="18"/>
                <w:szCs w:val="18"/>
              </w:rPr>
              <w:t>Macedon Ranges S</w:t>
            </w:r>
          </w:p>
        </w:tc>
        <w:tc>
          <w:tcPr>
            <w:tcW w:w="1701" w:type="dxa"/>
            <w:tcBorders>
              <w:top w:val="nil"/>
              <w:left w:val="single" w:sz="18" w:space="0" w:color="5F497A" w:themeColor="accent4" w:themeShade="BF"/>
              <w:bottom w:val="nil"/>
              <w:right w:val="nil"/>
            </w:tcBorders>
            <w:shd w:val="clear" w:color="auto" w:fill="auto"/>
            <w:noWrap/>
            <w:vAlign w:val="bottom"/>
          </w:tcPr>
          <w:p w14:paraId="6384FD03" w14:textId="2143FFF5" w:rsidR="00D84931" w:rsidRPr="001D41EA" w:rsidRDefault="00D84931" w:rsidP="00D84931">
            <w:pPr>
              <w:spacing w:before="40" w:after="20"/>
              <w:jc w:val="right"/>
              <w:rPr>
                <w:rFonts w:cs="Arial"/>
                <w:sz w:val="18"/>
                <w:szCs w:val="18"/>
              </w:rPr>
            </w:pPr>
            <w:r w:rsidRPr="001D41EA">
              <w:rPr>
                <w:rFonts w:cs="Arial"/>
                <w:sz w:val="18"/>
                <w:szCs w:val="18"/>
              </w:rPr>
              <w:t>29,699,307</w:t>
            </w:r>
          </w:p>
        </w:tc>
        <w:tc>
          <w:tcPr>
            <w:tcW w:w="1701" w:type="dxa"/>
            <w:tcBorders>
              <w:top w:val="nil"/>
              <w:left w:val="nil"/>
              <w:bottom w:val="nil"/>
              <w:right w:val="nil"/>
            </w:tcBorders>
            <w:vAlign w:val="bottom"/>
          </w:tcPr>
          <w:p w14:paraId="7FEB5B17" w14:textId="48BF1127" w:rsidR="00D84931" w:rsidRPr="001D41EA" w:rsidRDefault="00D84931" w:rsidP="00D84931">
            <w:pPr>
              <w:spacing w:before="40" w:after="20"/>
              <w:jc w:val="right"/>
              <w:rPr>
                <w:rFonts w:cs="Arial"/>
                <w:sz w:val="18"/>
                <w:szCs w:val="18"/>
              </w:rPr>
            </w:pPr>
            <w:r w:rsidRPr="001D41EA">
              <w:rPr>
                <w:rFonts w:cs="Arial"/>
                <w:sz w:val="18"/>
                <w:szCs w:val="18"/>
              </w:rPr>
              <w:t>2,372,773</w:t>
            </w:r>
          </w:p>
        </w:tc>
        <w:tc>
          <w:tcPr>
            <w:tcW w:w="1701" w:type="dxa"/>
            <w:tcBorders>
              <w:top w:val="nil"/>
              <w:left w:val="nil"/>
              <w:bottom w:val="nil"/>
              <w:right w:val="nil"/>
            </w:tcBorders>
            <w:shd w:val="clear" w:color="auto" w:fill="auto"/>
            <w:noWrap/>
            <w:vAlign w:val="bottom"/>
          </w:tcPr>
          <w:p w14:paraId="03127CFE" w14:textId="6501D304" w:rsidR="00D84931" w:rsidRPr="001D41EA" w:rsidRDefault="00D84931" w:rsidP="00D84931">
            <w:pPr>
              <w:spacing w:before="40" w:after="20"/>
              <w:jc w:val="right"/>
              <w:rPr>
                <w:rFonts w:cs="Arial"/>
                <w:sz w:val="18"/>
                <w:szCs w:val="18"/>
              </w:rPr>
            </w:pPr>
            <w:r w:rsidRPr="001D41EA">
              <w:rPr>
                <w:rFonts w:cs="Arial"/>
                <w:sz w:val="18"/>
                <w:szCs w:val="18"/>
              </w:rPr>
              <w:t>3,447,043</w:t>
            </w:r>
          </w:p>
        </w:tc>
        <w:tc>
          <w:tcPr>
            <w:tcW w:w="1701" w:type="dxa"/>
            <w:tcBorders>
              <w:top w:val="nil"/>
              <w:left w:val="nil"/>
              <w:bottom w:val="nil"/>
              <w:right w:val="nil"/>
            </w:tcBorders>
            <w:vAlign w:val="bottom"/>
          </w:tcPr>
          <w:p w14:paraId="7751C4A8" w14:textId="12093618" w:rsidR="00D84931" w:rsidRPr="001D41EA" w:rsidRDefault="00D84931" w:rsidP="00D84931">
            <w:pPr>
              <w:spacing w:before="40" w:after="20"/>
              <w:jc w:val="right"/>
              <w:rPr>
                <w:rFonts w:cs="Arial"/>
                <w:sz w:val="18"/>
                <w:szCs w:val="18"/>
              </w:rPr>
            </w:pPr>
            <w:r w:rsidRPr="001D41EA">
              <w:rPr>
                <w:rFonts w:cs="Arial"/>
                <w:sz w:val="18"/>
                <w:szCs w:val="18"/>
              </w:rPr>
              <w:t>35,519,122</w:t>
            </w:r>
          </w:p>
        </w:tc>
      </w:tr>
      <w:tr w:rsidR="00D84931" w:rsidRPr="001D41EA" w14:paraId="270168C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AFC49E2" w14:textId="77777777" w:rsidR="00D84931" w:rsidRPr="001D41EA" w:rsidRDefault="00D84931" w:rsidP="00D84931">
            <w:pPr>
              <w:spacing w:before="40" w:after="20"/>
              <w:rPr>
                <w:rFonts w:cs="Arial"/>
                <w:sz w:val="18"/>
                <w:szCs w:val="18"/>
              </w:rPr>
            </w:pPr>
            <w:r w:rsidRPr="001D41EA">
              <w:rPr>
                <w:rFonts w:cs="Arial"/>
                <w:sz w:val="18"/>
                <w:szCs w:val="18"/>
              </w:rPr>
              <w:t>Manningham C</w:t>
            </w:r>
          </w:p>
        </w:tc>
        <w:tc>
          <w:tcPr>
            <w:tcW w:w="1701" w:type="dxa"/>
            <w:tcBorders>
              <w:top w:val="nil"/>
              <w:left w:val="single" w:sz="18" w:space="0" w:color="5F497A" w:themeColor="accent4" w:themeShade="BF"/>
              <w:bottom w:val="nil"/>
              <w:right w:val="nil"/>
            </w:tcBorders>
            <w:shd w:val="clear" w:color="auto" w:fill="auto"/>
            <w:noWrap/>
            <w:vAlign w:val="bottom"/>
          </w:tcPr>
          <w:p w14:paraId="6BAB4482" w14:textId="066CF0F1" w:rsidR="00D84931" w:rsidRPr="001D41EA" w:rsidRDefault="00D84931" w:rsidP="00D84931">
            <w:pPr>
              <w:spacing w:before="40" w:after="20"/>
              <w:jc w:val="right"/>
              <w:rPr>
                <w:rFonts w:cs="Arial"/>
                <w:sz w:val="18"/>
                <w:szCs w:val="18"/>
              </w:rPr>
            </w:pPr>
            <w:r w:rsidRPr="001D41EA">
              <w:rPr>
                <w:rFonts w:cs="Arial"/>
                <w:sz w:val="18"/>
                <w:szCs w:val="18"/>
              </w:rPr>
              <w:t>116,661,752</w:t>
            </w:r>
          </w:p>
        </w:tc>
        <w:tc>
          <w:tcPr>
            <w:tcW w:w="1701" w:type="dxa"/>
            <w:tcBorders>
              <w:top w:val="nil"/>
              <w:left w:val="nil"/>
              <w:bottom w:val="nil"/>
              <w:right w:val="nil"/>
            </w:tcBorders>
            <w:vAlign w:val="bottom"/>
          </w:tcPr>
          <w:p w14:paraId="24700E2A" w14:textId="1C640633" w:rsidR="00D84931" w:rsidRPr="001D41EA" w:rsidRDefault="00D84931" w:rsidP="00D84931">
            <w:pPr>
              <w:spacing w:before="40" w:after="20"/>
              <w:jc w:val="right"/>
              <w:rPr>
                <w:rFonts w:cs="Arial"/>
                <w:sz w:val="18"/>
                <w:szCs w:val="18"/>
              </w:rPr>
            </w:pPr>
            <w:r w:rsidRPr="001D41EA">
              <w:rPr>
                <w:rFonts w:cs="Arial"/>
                <w:sz w:val="18"/>
                <w:szCs w:val="18"/>
              </w:rPr>
              <w:t>11,553,184</w:t>
            </w:r>
          </w:p>
        </w:tc>
        <w:tc>
          <w:tcPr>
            <w:tcW w:w="1701" w:type="dxa"/>
            <w:tcBorders>
              <w:top w:val="nil"/>
              <w:left w:val="nil"/>
              <w:bottom w:val="nil"/>
              <w:right w:val="nil"/>
            </w:tcBorders>
            <w:shd w:val="clear" w:color="auto" w:fill="auto"/>
            <w:noWrap/>
            <w:vAlign w:val="bottom"/>
          </w:tcPr>
          <w:p w14:paraId="79DC1A20" w14:textId="444E924B" w:rsidR="00D84931" w:rsidRPr="001D41EA" w:rsidRDefault="00D84931" w:rsidP="00D84931">
            <w:pPr>
              <w:spacing w:before="40" w:after="20"/>
              <w:jc w:val="right"/>
              <w:rPr>
                <w:rFonts w:cs="Arial"/>
                <w:sz w:val="18"/>
                <w:szCs w:val="18"/>
              </w:rPr>
            </w:pPr>
            <w:r w:rsidRPr="001D41EA">
              <w:rPr>
                <w:rFonts w:cs="Arial"/>
                <w:sz w:val="18"/>
                <w:szCs w:val="18"/>
              </w:rPr>
              <w:t>50,487</w:t>
            </w:r>
          </w:p>
        </w:tc>
        <w:tc>
          <w:tcPr>
            <w:tcW w:w="1701" w:type="dxa"/>
            <w:tcBorders>
              <w:top w:val="nil"/>
              <w:left w:val="nil"/>
              <w:bottom w:val="nil"/>
              <w:right w:val="nil"/>
            </w:tcBorders>
            <w:vAlign w:val="bottom"/>
          </w:tcPr>
          <w:p w14:paraId="0BE338A9" w14:textId="154F10D4" w:rsidR="00D84931" w:rsidRPr="001D41EA" w:rsidRDefault="00D84931" w:rsidP="00D84931">
            <w:pPr>
              <w:spacing w:before="40" w:after="20"/>
              <w:jc w:val="right"/>
              <w:rPr>
                <w:rFonts w:cs="Arial"/>
                <w:sz w:val="18"/>
                <w:szCs w:val="18"/>
              </w:rPr>
            </w:pPr>
            <w:r w:rsidRPr="001D41EA">
              <w:rPr>
                <w:rFonts w:cs="Arial"/>
                <w:sz w:val="18"/>
                <w:szCs w:val="18"/>
              </w:rPr>
              <w:t>128,265,424</w:t>
            </w:r>
          </w:p>
        </w:tc>
      </w:tr>
      <w:tr w:rsidR="00D84931" w:rsidRPr="001D41EA" w14:paraId="7E2B4A8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C1CD19C" w14:textId="77777777" w:rsidR="00D84931" w:rsidRPr="001D41EA" w:rsidRDefault="00D84931" w:rsidP="00D84931">
            <w:pPr>
              <w:spacing w:before="40" w:after="20"/>
              <w:rPr>
                <w:rFonts w:cs="Arial"/>
                <w:sz w:val="18"/>
                <w:szCs w:val="18"/>
              </w:rPr>
            </w:pPr>
            <w:r w:rsidRPr="001D41EA">
              <w:rPr>
                <w:rFonts w:cs="Arial"/>
                <w:sz w:val="18"/>
                <w:szCs w:val="18"/>
              </w:rPr>
              <w:t>Mansfield S</w:t>
            </w:r>
          </w:p>
        </w:tc>
        <w:tc>
          <w:tcPr>
            <w:tcW w:w="1701" w:type="dxa"/>
            <w:tcBorders>
              <w:top w:val="nil"/>
              <w:left w:val="single" w:sz="18" w:space="0" w:color="5F497A" w:themeColor="accent4" w:themeShade="BF"/>
              <w:bottom w:val="nil"/>
              <w:right w:val="nil"/>
            </w:tcBorders>
            <w:shd w:val="clear" w:color="auto" w:fill="auto"/>
            <w:noWrap/>
            <w:vAlign w:val="bottom"/>
          </w:tcPr>
          <w:p w14:paraId="78A24687" w14:textId="154556BB" w:rsidR="00D84931" w:rsidRPr="001D41EA" w:rsidRDefault="00D84931" w:rsidP="00D84931">
            <w:pPr>
              <w:spacing w:before="40" w:after="20"/>
              <w:jc w:val="right"/>
              <w:rPr>
                <w:rFonts w:cs="Arial"/>
                <w:sz w:val="18"/>
                <w:szCs w:val="18"/>
              </w:rPr>
            </w:pPr>
            <w:r w:rsidRPr="001D41EA">
              <w:rPr>
                <w:rFonts w:cs="Arial"/>
                <w:sz w:val="18"/>
                <w:szCs w:val="18"/>
              </w:rPr>
              <w:t>6,213,218</w:t>
            </w:r>
          </w:p>
        </w:tc>
        <w:tc>
          <w:tcPr>
            <w:tcW w:w="1701" w:type="dxa"/>
            <w:tcBorders>
              <w:top w:val="nil"/>
              <w:left w:val="nil"/>
              <w:bottom w:val="nil"/>
              <w:right w:val="nil"/>
            </w:tcBorders>
            <w:vAlign w:val="bottom"/>
          </w:tcPr>
          <w:p w14:paraId="0478A8CD" w14:textId="201D02E0" w:rsidR="00D84931" w:rsidRPr="001D41EA" w:rsidRDefault="00D84931" w:rsidP="00D84931">
            <w:pPr>
              <w:spacing w:before="40" w:after="20"/>
              <w:jc w:val="right"/>
              <w:rPr>
                <w:rFonts w:cs="Arial"/>
                <w:sz w:val="18"/>
                <w:szCs w:val="18"/>
              </w:rPr>
            </w:pPr>
            <w:r w:rsidRPr="001D41EA">
              <w:rPr>
                <w:rFonts w:cs="Arial"/>
                <w:sz w:val="18"/>
                <w:szCs w:val="18"/>
              </w:rPr>
              <w:t>617,905</w:t>
            </w:r>
          </w:p>
        </w:tc>
        <w:tc>
          <w:tcPr>
            <w:tcW w:w="1701" w:type="dxa"/>
            <w:tcBorders>
              <w:top w:val="nil"/>
              <w:left w:val="nil"/>
              <w:bottom w:val="nil"/>
              <w:right w:val="nil"/>
            </w:tcBorders>
            <w:shd w:val="clear" w:color="auto" w:fill="auto"/>
            <w:noWrap/>
            <w:vAlign w:val="bottom"/>
          </w:tcPr>
          <w:p w14:paraId="23F06869" w14:textId="14041508" w:rsidR="00D84931" w:rsidRPr="001D41EA" w:rsidRDefault="00D84931" w:rsidP="00D84931">
            <w:pPr>
              <w:spacing w:before="40" w:after="20"/>
              <w:jc w:val="right"/>
              <w:rPr>
                <w:rFonts w:cs="Arial"/>
                <w:sz w:val="18"/>
                <w:szCs w:val="18"/>
              </w:rPr>
            </w:pPr>
            <w:r w:rsidRPr="001D41EA">
              <w:rPr>
                <w:rFonts w:cs="Arial"/>
                <w:sz w:val="18"/>
                <w:szCs w:val="18"/>
              </w:rPr>
              <w:t>2,820,369</w:t>
            </w:r>
          </w:p>
        </w:tc>
        <w:tc>
          <w:tcPr>
            <w:tcW w:w="1701" w:type="dxa"/>
            <w:tcBorders>
              <w:top w:val="nil"/>
              <w:left w:val="nil"/>
              <w:bottom w:val="nil"/>
              <w:right w:val="nil"/>
            </w:tcBorders>
            <w:vAlign w:val="bottom"/>
          </w:tcPr>
          <w:p w14:paraId="58E256DD" w14:textId="7BA79C95" w:rsidR="00D84931" w:rsidRPr="001D41EA" w:rsidRDefault="00D84931" w:rsidP="00D84931">
            <w:pPr>
              <w:spacing w:before="40" w:after="20"/>
              <w:jc w:val="right"/>
              <w:rPr>
                <w:rFonts w:cs="Arial"/>
                <w:sz w:val="18"/>
                <w:szCs w:val="18"/>
              </w:rPr>
            </w:pPr>
            <w:r w:rsidRPr="001D41EA">
              <w:rPr>
                <w:rFonts w:cs="Arial"/>
                <w:sz w:val="18"/>
                <w:szCs w:val="18"/>
              </w:rPr>
              <w:t>9,651,493</w:t>
            </w:r>
          </w:p>
        </w:tc>
      </w:tr>
      <w:tr w:rsidR="00D84931" w:rsidRPr="001D41EA" w14:paraId="687FFDE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DD6181E" w14:textId="77777777" w:rsidR="00D84931" w:rsidRPr="001D41EA" w:rsidRDefault="00D84931" w:rsidP="00D84931">
            <w:pPr>
              <w:spacing w:before="40" w:after="20"/>
              <w:rPr>
                <w:rFonts w:cs="Arial"/>
                <w:sz w:val="18"/>
                <w:szCs w:val="18"/>
              </w:rPr>
            </w:pPr>
            <w:r w:rsidRPr="001D41EA">
              <w:rPr>
                <w:rFonts w:cs="Arial"/>
                <w:sz w:val="18"/>
                <w:szCs w:val="18"/>
              </w:rPr>
              <w:t>Maribyrnong C</w:t>
            </w:r>
          </w:p>
        </w:tc>
        <w:tc>
          <w:tcPr>
            <w:tcW w:w="1701" w:type="dxa"/>
            <w:tcBorders>
              <w:top w:val="nil"/>
              <w:left w:val="single" w:sz="18" w:space="0" w:color="5F497A" w:themeColor="accent4" w:themeShade="BF"/>
              <w:bottom w:val="nil"/>
              <w:right w:val="nil"/>
            </w:tcBorders>
            <w:shd w:val="clear" w:color="auto" w:fill="auto"/>
            <w:noWrap/>
            <w:vAlign w:val="bottom"/>
          </w:tcPr>
          <w:p w14:paraId="79682E68" w14:textId="682F07AC" w:rsidR="00D84931" w:rsidRPr="001D41EA" w:rsidRDefault="00D84931" w:rsidP="00D84931">
            <w:pPr>
              <w:spacing w:before="40" w:after="20"/>
              <w:jc w:val="right"/>
              <w:rPr>
                <w:rFonts w:cs="Arial"/>
                <w:sz w:val="18"/>
                <w:szCs w:val="18"/>
              </w:rPr>
            </w:pPr>
            <w:r w:rsidRPr="001D41EA">
              <w:rPr>
                <w:rFonts w:cs="Arial"/>
                <w:sz w:val="18"/>
                <w:szCs w:val="18"/>
              </w:rPr>
              <w:t>59,807,043</w:t>
            </w:r>
          </w:p>
        </w:tc>
        <w:tc>
          <w:tcPr>
            <w:tcW w:w="1701" w:type="dxa"/>
            <w:tcBorders>
              <w:top w:val="nil"/>
              <w:left w:val="nil"/>
              <w:bottom w:val="nil"/>
              <w:right w:val="nil"/>
            </w:tcBorders>
            <w:vAlign w:val="bottom"/>
          </w:tcPr>
          <w:p w14:paraId="2CC9411F" w14:textId="6F4641F3" w:rsidR="00D84931" w:rsidRPr="001D41EA" w:rsidRDefault="00D84931" w:rsidP="00D84931">
            <w:pPr>
              <w:spacing w:before="40" w:after="20"/>
              <w:jc w:val="right"/>
              <w:rPr>
                <w:rFonts w:cs="Arial"/>
                <w:sz w:val="18"/>
                <w:szCs w:val="18"/>
              </w:rPr>
            </w:pPr>
            <w:r w:rsidRPr="001D41EA">
              <w:rPr>
                <w:rFonts w:cs="Arial"/>
                <w:sz w:val="18"/>
                <w:szCs w:val="18"/>
              </w:rPr>
              <w:t>19,030,769</w:t>
            </w:r>
          </w:p>
        </w:tc>
        <w:tc>
          <w:tcPr>
            <w:tcW w:w="1701" w:type="dxa"/>
            <w:tcBorders>
              <w:top w:val="nil"/>
              <w:left w:val="nil"/>
              <w:bottom w:val="nil"/>
              <w:right w:val="nil"/>
            </w:tcBorders>
            <w:shd w:val="clear" w:color="auto" w:fill="auto"/>
            <w:noWrap/>
            <w:vAlign w:val="bottom"/>
          </w:tcPr>
          <w:p w14:paraId="3FD4071F" w14:textId="755CF9C4"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44220754" w14:textId="0AE6C307" w:rsidR="00D84931" w:rsidRPr="001D41EA" w:rsidRDefault="00D84931" w:rsidP="00D84931">
            <w:pPr>
              <w:spacing w:before="40" w:after="20"/>
              <w:jc w:val="right"/>
              <w:rPr>
                <w:rFonts w:cs="Arial"/>
                <w:sz w:val="18"/>
                <w:szCs w:val="18"/>
              </w:rPr>
            </w:pPr>
            <w:r w:rsidRPr="001D41EA">
              <w:rPr>
                <w:rFonts w:cs="Arial"/>
                <w:sz w:val="18"/>
                <w:szCs w:val="18"/>
              </w:rPr>
              <w:t>78,837,812</w:t>
            </w:r>
          </w:p>
        </w:tc>
      </w:tr>
      <w:tr w:rsidR="00D84931" w:rsidRPr="001D41EA" w14:paraId="4F95096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13C5F56" w14:textId="77777777" w:rsidR="00D84931" w:rsidRPr="001D41EA" w:rsidRDefault="00D84931" w:rsidP="00D84931">
            <w:pPr>
              <w:spacing w:before="40" w:after="20"/>
              <w:rPr>
                <w:rFonts w:cs="Arial"/>
                <w:sz w:val="18"/>
                <w:szCs w:val="18"/>
              </w:rPr>
            </w:pPr>
            <w:r w:rsidRPr="001D41EA">
              <w:rPr>
                <w:rFonts w:cs="Arial"/>
                <w:sz w:val="18"/>
                <w:szCs w:val="18"/>
              </w:rPr>
              <w:t>Maroondah C</w:t>
            </w:r>
          </w:p>
        </w:tc>
        <w:tc>
          <w:tcPr>
            <w:tcW w:w="1701" w:type="dxa"/>
            <w:tcBorders>
              <w:top w:val="nil"/>
              <w:left w:val="single" w:sz="18" w:space="0" w:color="5F497A" w:themeColor="accent4" w:themeShade="BF"/>
              <w:bottom w:val="nil"/>
              <w:right w:val="nil"/>
            </w:tcBorders>
            <w:shd w:val="clear" w:color="auto" w:fill="auto"/>
            <w:noWrap/>
            <w:vAlign w:val="bottom"/>
          </w:tcPr>
          <w:p w14:paraId="5422269B" w14:textId="51D48988" w:rsidR="00D84931" w:rsidRPr="001D41EA" w:rsidRDefault="00D84931" w:rsidP="00D84931">
            <w:pPr>
              <w:spacing w:before="40" w:after="20"/>
              <w:jc w:val="right"/>
              <w:rPr>
                <w:rFonts w:cs="Arial"/>
                <w:sz w:val="18"/>
                <w:szCs w:val="18"/>
              </w:rPr>
            </w:pPr>
            <w:r w:rsidRPr="001D41EA">
              <w:rPr>
                <w:rFonts w:cs="Arial"/>
                <w:sz w:val="18"/>
                <w:szCs w:val="18"/>
              </w:rPr>
              <w:t>72,833,906</w:t>
            </w:r>
          </w:p>
        </w:tc>
        <w:tc>
          <w:tcPr>
            <w:tcW w:w="1701" w:type="dxa"/>
            <w:tcBorders>
              <w:top w:val="nil"/>
              <w:left w:val="nil"/>
              <w:bottom w:val="nil"/>
              <w:right w:val="nil"/>
            </w:tcBorders>
            <w:vAlign w:val="bottom"/>
          </w:tcPr>
          <w:p w14:paraId="3D2FE346" w14:textId="61AD03C4" w:rsidR="00D84931" w:rsidRPr="001D41EA" w:rsidRDefault="00D84931" w:rsidP="00D84931">
            <w:pPr>
              <w:spacing w:before="40" w:after="20"/>
              <w:jc w:val="right"/>
              <w:rPr>
                <w:rFonts w:cs="Arial"/>
                <w:sz w:val="18"/>
                <w:szCs w:val="18"/>
              </w:rPr>
            </w:pPr>
            <w:r w:rsidRPr="001D41EA">
              <w:rPr>
                <w:rFonts w:cs="Arial"/>
                <w:sz w:val="18"/>
                <w:szCs w:val="18"/>
              </w:rPr>
              <w:t>15,281,116</w:t>
            </w:r>
          </w:p>
        </w:tc>
        <w:tc>
          <w:tcPr>
            <w:tcW w:w="1701" w:type="dxa"/>
            <w:tcBorders>
              <w:top w:val="nil"/>
              <w:left w:val="nil"/>
              <w:bottom w:val="nil"/>
              <w:right w:val="nil"/>
            </w:tcBorders>
            <w:shd w:val="clear" w:color="auto" w:fill="auto"/>
            <w:noWrap/>
            <w:vAlign w:val="bottom"/>
          </w:tcPr>
          <w:p w14:paraId="712EBB89" w14:textId="45765C7B"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28DD5F12" w14:textId="68C6B233" w:rsidR="00D84931" w:rsidRPr="001D41EA" w:rsidRDefault="00D84931" w:rsidP="00D84931">
            <w:pPr>
              <w:spacing w:before="40" w:after="20"/>
              <w:jc w:val="right"/>
              <w:rPr>
                <w:rFonts w:cs="Arial"/>
                <w:sz w:val="18"/>
                <w:szCs w:val="18"/>
              </w:rPr>
            </w:pPr>
            <w:r w:rsidRPr="001D41EA">
              <w:rPr>
                <w:rFonts w:cs="Arial"/>
                <w:sz w:val="18"/>
                <w:szCs w:val="18"/>
              </w:rPr>
              <w:t>88,115,022</w:t>
            </w:r>
          </w:p>
        </w:tc>
      </w:tr>
      <w:tr w:rsidR="00D84931" w:rsidRPr="001D41EA" w14:paraId="60C94C5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395D842" w14:textId="77777777" w:rsidR="00D84931" w:rsidRPr="001D41EA" w:rsidRDefault="00D84931" w:rsidP="00D84931">
            <w:pPr>
              <w:spacing w:before="40" w:after="20"/>
              <w:rPr>
                <w:rFonts w:cs="Arial"/>
                <w:sz w:val="18"/>
                <w:szCs w:val="18"/>
              </w:rPr>
            </w:pPr>
            <w:r w:rsidRPr="001D41EA">
              <w:rPr>
                <w:rFonts w:cs="Arial"/>
                <w:sz w:val="18"/>
                <w:szCs w:val="18"/>
              </w:rPr>
              <w:t>Melbourne C</w:t>
            </w:r>
          </w:p>
        </w:tc>
        <w:tc>
          <w:tcPr>
            <w:tcW w:w="1701" w:type="dxa"/>
            <w:tcBorders>
              <w:top w:val="nil"/>
              <w:left w:val="single" w:sz="18" w:space="0" w:color="5F497A" w:themeColor="accent4" w:themeShade="BF"/>
              <w:bottom w:val="nil"/>
              <w:right w:val="nil"/>
            </w:tcBorders>
            <w:shd w:val="clear" w:color="auto" w:fill="auto"/>
            <w:noWrap/>
            <w:vAlign w:val="bottom"/>
          </w:tcPr>
          <w:p w14:paraId="469625C8" w14:textId="29AF2E5D" w:rsidR="00D84931" w:rsidRPr="001D41EA" w:rsidRDefault="00D84931" w:rsidP="00D84931">
            <w:pPr>
              <w:spacing w:before="40" w:after="20"/>
              <w:jc w:val="right"/>
              <w:rPr>
                <w:rFonts w:cs="Arial"/>
                <w:sz w:val="18"/>
                <w:szCs w:val="18"/>
              </w:rPr>
            </w:pPr>
            <w:r w:rsidRPr="001D41EA">
              <w:rPr>
                <w:rFonts w:cs="Arial"/>
                <w:sz w:val="18"/>
                <w:szCs w:val="18"/>
              </w:rPr>
              <w:t>137,284,819</w:t>
            </w:r>
          </w:p>
        </w:tc>
        <w:tc>
          <w:tcPr>
            <w:tcW w:w="1701" w:type="dxa"/>
            <w:tcBorders>
              <w:top w:val="nil"/>
              <w:left w:val="nil"/>
              <w:bottom w:val="nil"/>
              <w:right w:val="nil"/>
            </w:tcBorders>
            <w:vAlign w:val="bottom"/>
          </w:tcPr>
          <w:p w14:paraId="09344047" w14:textId="40926579" w:rsidR="00D84931" w:rsidRPr="001D41EA" w:rsidRDefault="00D84931" w:rsidP="00D84931">
            <w:pPr>
              <w:spacing w:before="40" w:after="20"/>
              <w:jc w:val="right"/>
              <w:rPr>
                <w:rFonts w:cs="Arial"/>
                <w:sz w:val="18"/>
                <w:szCs w:val="18"/>
              </w:rPr>
            </w:pPr>
            <w:r w:rsidRPr="001D41EA">
              <w:rPr>
                <w:rFonts w:cs="Arial"/>
                <w:sz w:val="18"/>
                <w:szCs w:val="18"/>
              </w:rPr>
              <w:t>200,144,559</w:t>
            </w:r>
          </w:p>
        </w:tc>
        <w:tc>
          <w:tcPr>
            <w:tcW w:w="1701" w:type="dxa"/>
            <w:tcBorders>
              <w:top w:val="nil"/>
              <w:left w:val="nil"/>
              <w:bottom w:val="nil"/>
              <w:right w:val="nil"/>
            </w:tcBorders>
            <w:shd w:val="clear" w:color="auto" w:fill="auto"/>
            <w:noWrap/>
            <w:vAlign w:val="bottom"/>
          </w:tcPr>
          <w:p w14:paraId="3492965F" w14:textId="4B4BBBEE"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769F854A" w14:textId="337585A9" w:rsidR="00D84931" w:rsidRPr="001D41EA" w:rsidRDefault="00D84931" w:rsidP="00D84931">
            <w:pPr>
              <w:spacing w:before="40" w:after="20"/>
              <w:jc w:val="right"/>
              <w:rPr>
                <w:rFonts w:cs="Arial"/>
                <w:sz w:val="18"/>
                <w:szCs w:val="18"/>
              </w:rPr>
            </w:pPr>
            <w:r w:rsidRPr="001D41EA">
              <w:rPr>
                <w:rFonts w:cs="Arial"/>
                <w:sz w:val="18"/>
                <w:szCs w:val="18"/>
              </w:rPr>
              <w:t>337,429,377</w:t>
            </w:r>
          </w:p>
        </w:tc>
      </w:tr>
      <w:tr w:rsidR="00D84931" w:rsidRPr="001D41EA" w14:paraId="43E69C2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5835597" w14:textId="77777777" w:rsidR="00D84931" w:rsidRPr="001D41EA" w:rsidRDefault="00D84931" w:rsidP="00D84931">
            <w:pPr>
              <w:spacing w:before="40" w:after="20"/>
              <w:rPr>
                <w:rFonts w:cs="Arial"/>
                <w:sz w:val="18"/>
                <w:szCs w:val="18"/>
              </w:rPr>
            </w:pPr>
            <w:r w:rsidRPr="001D41EA">
              <w:rPr>
                <w:rFonts w:cs="Arial"/>
                <w:sz w:val="18"/>
                <w:szCs w:val="18"/>
              </w:rPr>
              <w:t>Melton C</w:t>
            </w:r>
          </w:p>
        </w:tc>
        <w:tc>
          <w:tcPr>
            <w:tcW w:w="1701" w:type="dxa"/>
            <w:tcBorders>
              <w:top w:val="nil"/>
              <w:left w:val="single" w:sz="18" w:space="0" w:color="5F497A" w:themeColor="accent4" w:themeShade="BF"/>
              <w:bottom w:val="nil"/>
              <w:right w:val="nil"/>
            </w:tcBorders>
            <w:shd w:val="clear" w:color="auto" w:fill="auto"/>
            <w:noWrap/>
            <w:vAlign w:val="bottom"/>
          </w:tcPr>
          <w:p w14:paraId="3A775879" w14:textId="3E9562F6" w:rsidR="00D84931" w:rsidRPr="001D41EA" w:rsidRDefault="00D84931" w:rsidP="00D84931">
            <w:pPr>
              <w:spacing w:before="40" w:after="20"/>
              <w:jc w:val="right"/>
              <w:rPr>
                <w:rFonts w:cs="Arial"/>
                <w:sz w:val="18"/>
                <w:szCs w:val="18"/>
              </w:rPr>
            </w:pPr>
            <w:r w:rsidRPr="001D41EA">
              <w:rPr>
                <w:rFonts w:cs="Arial"/>
                <w:sz w:val="18"/>
                <w:szCs w:val="18"/>
              </w:rPr>
              <w:t>55,039,448</w:t>
            </w:r>
          </w:p>
        </w:tc>
        <w:tc>
          <w:tcPr>
            <w:tcW w:w="1701" w:type="dxa"/>
            <w:tcBorders>
              <w:top w:val="nil"/>
              <w:left w:val="nil"/>
              <w:bottom w:val="nil"/>
              <w:right w:val="nil"/>
            </w:tcBorders>
            <w:vAlign w:val="bottom"/>
          </w:tcPr>
          <w:p w14:paraId="0F89F2E6" w14:textId="0402448C" w:rsidR="00D84931" w:rsidRPr="001D41EA" w:rsidRDefault="00D84931" w:rsidP="00D84931">
            <w:pPr>
              <w:spacing w:before="40" w:after="20"/>
              <w:jc w:val="right"/>
              <w:rPr>
                <w:rFonts w:cs="Arial"/>
                <w:sz w:val="18"/>
                <w:szCs w:val="18"/>
              </w:rPr>
            </w:pPr>
            <w:r w:rsidRPr="001D41EA">
              <w:rPr>
                <w:rFonts w:cs="Arial"/>
                <w:sz w:val="18"/>
                <w:szCs w:val="18"/>
              </w:rPr>
              <w:t>7,911,598</w:t>
            </w:r>
          </w:p>
        </w:tc>
        <w:tc>
          <w:tcPr>
            <w:tcW w:w="1701" w:type="dxa"/>
            <w:tcBorders>
              <w:top w:val="nil"/>
              <w:left w:val="nil"/>
              <w:bottom w:val="nil"/>
              <w:right w:val="nil"/>
            </w:tcBorders>
            <w:shd w:val="clear" w:color="auto" w:fill="auto"/>
            <w:noWrap/>
            <w:vAlign w:val="bottom"/>
          </w:tcPr>
          <w:p w14:paraId="3A382C55" w14:textId="660C65C8" w:rsidR="00D84931" w:rsidRPr="001D41EA" w:rsidRDefault="00D84931" w:rsidP="00D84931">
            <w:pPr>
              <w:spacing w:before="40" w:after="20"/>
              <w:jc w:val="right"/>
              <w:rPr>
                <w:rFonts w:cs="Arial"/>
                <w:sz w:val="18"/>
                <w:szCs w:val="18"/>
              </w:rPr>
            </w:pPr>
            <w:r w:rsidRPr="001D41EA">
              <w:rPr>
                <w:rFonts w:cs="Arial"/>
                <w:sz w:val="18"/>
                <w:szCs w:val="18"/>
              </w:rPr>
              <w:t>8,269,399</w:t>
            </w:r>
          </w:p>
        </w:tc>
        <w:tc>
          <w:tcPr>
            <w:tcW w:w="1701" w:type="dxa"/>
            <w:tcBorders>
              <w:top w:val="nil"/>
              <w:left w:val="nil"/>
              <w:bottom w:val="nil"/>
              <w:right w:val="nil"/>
            </w:tcBorders>
            <w:vAlign w:val="bottom"/>
          </w:tcPr>
          <w:p w14:paraId="18099D5C" w14:textId="04A988F8" w:rsidR="00D84931" w:rsidRPr="001D41EA" w:rsidRDefault="00D84931" w:rsidP="00D84931">
            <w:pPr>
              <w:spacing w:before="40" w:after="20"/>
              <w:jc w:val="right"/>
              <w:rPr>
                <w:rFonts w:cs="Arial"/>
                <w:sz w:val="18"/>
                <w:szCs w:val="18"/>
              </w:rPr>
            </w:pPr>
            <w:r w:rsidRPr="001D41EA">
              <w:rPr>
                <w:rFonts w:cs="Arial"/>
                <w:sz w:val="18"/>
                <w:szCs w:val="18"/>
              </w:rPr>
              <w:t>71,220,445</w:t>
            </w:r>
          </w:p>
        </w:tc>
      </w:tr>
      <w:tr w:rsidR="00D84931" w:rsidRPr="001D41EA" w14:paraId="5CE8F7D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10153D2" w14:textId="77777777" w:rsidR="00D84931" w:rsidRPr="001D41EA" w:rsidRDefault="00D84931" w:rsidP="00D84931">
            <w:pPr>
              <w:spacing w:before="40" w:after="20"/>
              <w:rPr>
                <w:rFonts w:cs="Arial"/>
                <w:sz w:val="18"/>
                <w:szCs w:val="18"/>
              </w:rPr>
            </w:pPr>
            <w:r w:rsidRPr="001D41EA">
              <w:rPr>
                <w:rFonts w:cs="Arial"/>
                <w:sz w:val="18"/>
                <w:szCs w:val="18"/>
              </w:rPr>
              <w:t>Mildura RC</w:t>
            </w:r>
          </w:p>
        </w:tc>
        <w:tc>
          <w:tcPr>
            <w:tcW w:w="1701" w:type="dxa"/>
            <w:tcBorders>
              <w:top w:val="nil"/>
              <w:left w:val="single" w:sz="18" w:space="0" w:color="5F497A" w:themeColor="accent4" w:themeShade="BF"/>
              <w:bottom w:val="nil"/>
              <w:right w:val="nil"/>
            </w:tcBorders>
            <w:shd w:val="clear" w:color="auto" w:fill="auto"/>
            <w:noWrap/>
            <w:vAlign w:val="bottom"/>
          </w:tcPr>
          <w:p w14:paraId="2AF955FD" w14:textId="76F8475D" w:rsidR="00D84931" w:rsidRPr="001D41EA" w:rsidRDefault="00D84931" w:rsidP="00D84931">
            <w:pPr>
              <w:spacing w:before="40" w:after="20"/>
              <w:jc w:val="right"/>
              <w:rPr>
                <w:rFonts w:cs="Arial"/>
                <w:sz w:val="18"/>
                <w:szCs w:val="18"/>
              </w:rPr>
            </w:pPr>
            <w:r w:rsidRPr="001D41EA">
              <w:rPr>
                <w:rFonts w:cs="Arial"/>
                <w:sz w:val="18"/>
                <w:szCs w:val="18"/>
              </w:rPr>
              <w:t>14,554,996</w:t>
            </w:r>
          </w:p>
        </w:tc>
        <w:tc>
          <w:tcPr>
            <w:tcW w:w="1701" w:type="dxa"/>
            <w:tcBorders>
              <w:top w:val="nil"/>
              <w:left w:val="nil"/>
              <w:bottom w:val="nil"/>
              <w:right w:val="nil"/>
            </w:tcBorders>
            <w:vAlign w:val="bottom"/>
          </w:tcPr>
          <w:p w14:paraId="3A649551" w14:textId="2DD6C09C" w:rsidR="00D84931" w:rsidRPr="001D41EA" w:rsidRDefault="00D84931" w:rsidP="00D84931">
            <w:pPr>
              <w:spacing w:before="40" w:after="20"/>
              <w:jc w:val="right"/>
              <w:rPr>
                <w:rFonts w:cs="Arial"/>
                <w:sz w:val="18"/>
                <w:szCs w:val="18"/>
              </w:rPr>
            </w:pPr>
            <w:r w:rsidRPr="001D41EA">
              <w:rPr>
                <w:rFonts w:cs="Arial"/>
                <w:sz w:val="18"/>
                <w:szCs w:val="18"/>
              </w:rPr>
              <w:t>5,572,024</w:t>
            </w:r>
          </w:p>
        </w:tc>
        <w:tc>
          <w:tcPr>
            <w:tcW w:w="1701" w:type="dxa"/>
            <w:tcBorders>
              <w:top w:val="nil"/>
              <w:left w:val="nil"/>
              <w:bottom w:val="nil"/>
              <w:right w:val="nil"/>
            </w:tcBorders>
            <w:shd w:val="clear" w:color="auto" w:fill="auto"/>
            <w:noWrap/>
            <w:vAlign w:val="bottom"/>
          </w:tcPr>
          <w:p w14:paraId="3FC11191" w14:textId="22A7E409" w:rsidR="00D84931" w:rsidRPr="001D41EA" w:rsidRDefault="00D84931" w:rsidP="00D84931">
            <w:pPr>
              <w:spacing w:before="40" w:after="20"/>
              <w:jc w:val="right"/>
              <w:rPr>
                <w:rFonts w:cs="Arial"/>
                <w:sz w:val="18"/>
                <w:szCs w:val="18"/>
              </w:rPr>
            </w:pPr>
            <w:r w:rsidRPr="001D41EA">
              <w:rPr>
                <w:rFonts w:cs="Arial"/>
                <w:sz w:val="18"/>
                <w:szCs w:val="18"/>
              </w:rPr>
              <w:t>4,585,847</w:t>
            </w:r>
          </w:p>
        </w:tc>
        <w:tc>
          <w:tcPr>
            <w:tcW w:w="1701" w:type="dxa"/>
            <w:tcBorders>
              <w:top w:val="nil"/>
              <w:left w:val="nil"/>
              <w:bottom w:val="nil"/>
              <w:right w:val="nil"/>
            </w:tcBorders>
            <w:vAlign w:val="bottom"/>
          </w:tcPr>
          <w:p w14:paraId="6CCBAE41" w14:textId="1DE3EC10" w:rsidR="00D84931" w:rsidRPr="001D41EA" w:rsidRDefault="00D84931" w:rsidP="00D84931">
            <w:pPr>
              <w:spacing w:before="40" w:after="20"/>
              <w:jc w:val="right"/>
              <w:rPr>
                <w:rFonts w:cs="Arial"/>
                <w:sz w:val="18"/>
                <w:szCs w:val="18"/>
              </w:rPr>
            </w:pPr>
            <w:r w:rsidRPr="001D41EA">
              <w:rPr>
                <w:rFonts w:cs="Arial"/>
                <w:sz w:val="18"/>
                <w:szCs w:val="18"/>
              </w:rPr>
              <w:t>24,712,867</w:t>
            </w:r>
          </w:p>
        </w:tc>
      </w:tr>
      <w:tr w:rsidR="00D84931" w:rsidRPr="001D41EA" w14:paraId="7B0872E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079A3B0" w14:textId="77777777" w:rsidR="00D84931" w:rsidRPr="001D41EA" w:rsidRDefault="00D84931" w:rsidP="00D84931">
            <w:pPr>
              <w:spacing w:before="40" w:after="20"/>
              <w:rPr>
                <w:rFonts w:cs="Arial"/>
                <w:sz w:val="18"/>
                <w:szCs w:val="18"/>
              </w:rPr>
            </w:pPr>
            <w:r w:rsidRPr="001D41EA">
              <w:rPr>
                <w:rFonts w:cs="Arial"/>
                <w:sz w:val="18"/>
                <w:szCs w:val="18"/>
              </w:rPr>
              <w:t>Mitchell S</w:t>
            </w:r>
          </w:p>
        </w:tc>
        <w:tc>
          <w:tcPr>
            <w:tcW w:w="1701" w:type="dxa"/>
            <w:tcBorders>
              <w:top w:val="nil"/>
              <w:left w:val="single" w:sz="18" w:space="0" w:color="5F497A" w:themeColor="accent4" w:themeShade="BF"/>
              <w:bottom w:val="nil"/>
              <w:right w:val="nil"/>
            </w:tcBorders>
            <w:shd w:val="clear" w:color="auto" w:fill="auto"/>
            <w:noWrap/>
            <w:vAlign w:val="bottom"/>
          </w:tcPr>
          <w:p w14:paraId="05897EF1" w14:textId="4BE3DD88" w:rsidR="00D84931" w:rsidRPr="001D41EA" w:rsidRDefault="00D84931" w:rsidP="00D84931">
            <w:pPr>
              <w:spacing w:before="40" w:after="20"/>
              <w:jc w:val="right"/>
              <w:rPr>
                <w:rFonts w:cs="Arial"/>
                <w:sz w:val="18"/>
                <w:szCs w:val="18"/>
              </w:rPr>
            </w:pPr>
            <w:r w:rsidRPr="001D41EA">
              <w:rPr>
                <w:rFonts w:cs="Arial"/>
                <w:sz w:val="18"/>
                <w:szCs w:val="18"/>
              </w:rPr>
              <w:t>16,955,235</w:t>
            </w:r>
          </w:p>
        </w:tc>
        <w:tc>
          <w:tcPr>
            <w:tcW w:w="1701" w:type="dxa"/>
            <w:tcBorders>
              <w:top w:val="nil"/>
              <w:left w:val="nil"/>
              <w:bottom w:val="nil"/>
              <w:right w:val="nil"/>
            </w:tcBorders>
            <w:vAlign w:val="bottom"/>
          </w:tcPr>
          <w:p w14:paraId="06D79B87" w14:textId="7FB67B53" w:rsidR="00D84931" w:rsidRPr="001D41EA" w:rsidRDefault="00D84931" w:rsidP="00D84931">
            <w:pPr>
              <w:spacing w:before="40" w:after="20"/>
              <w:jc w:val="right"/>
              <w:rPr>
                <w:rFonts w:cs="Arial"/>
                <w:sz w:val="18"/>
                <w:szCs w:val="18"/>
              </w:rPr>
            </w:pPr>
            <w:r w:rsidRPr="001D41EA">
              <w:rPr>
                <w:rFonts w:cs="Arial"/>
                <w:sz w:val="18"/>
                <w:szCs w:val="18"/>
              </w:rPr>
              <w:t>1,508,700</w:t>
            </w:r>
          </w:p>
        </w:tc>
        <w:tc>
          <w:tcPr>
            <w:tcW w:w="1701" w:type="dxa"/>
            <w:tcBorders>
              <w:top w:val="nil"/>
              <w:left w:val="nil"/>
              <w:bottom w:val="nil"/>
              <w:right w:val="nil"/>
            </w:tcBorders>
            <w:shd w:val="clear" w:color="auto" w:fill="auto"/>
            <w:noWrap/>
            <w:vAlign w:val="bottom"/>
          </w:tcPr>
          <w:p w14:paraId="18763175" w14:textId="16A625F4" w:rsidR="00D84931" w:rsidRPr="001D41EA" w:rsidRDefault="00D84931" w:rsidP="00D84931">
            <w:pPr>
              <w:spacing w:before="40" w:after="20"/>
              <w:jc w:val="right"/>
              <w:rPr>
                <w:rFonts w:cs="Arial"/>
                <w:sz w:val="18"/>
                <w:szCs w:val="18"/>
              </w:rPr>
            </w:pPr>
            <w:r w:rsidRPr="001D41EA">
              <w:rPr>
                <w:rFonts w:cs="Arial"/>
                <w:sz w:val="18"/>
                <w:szCs w:val="18"/>
              </w:rPr>
              <w:t>3,902,855</w:t>
            </w:r>
          </w:p>
        </w:tc>
        <w:tc>
          <w:tcPr>
            <w:tcW w:w="1701" w:type="dxa"/>
            <w:tcBorders>
              <w:top w:val="nil"/>
              <w:left w:val="nil"/>
              <w:bottom w:val="nil"/>
              <w:right w:val="nil"/>
            </w:tcBorders>
            <w:vAlign w:val="bottom"/>
          </w:tcPr>
          <w:p w14:paraId="09541DD0" w14:textId="7F0AAC6C" w:rsidR="00D84931" w:rsidRPr="001D41EA" w:rsidRDefault="00D84931" w:rsidP="00D84931">
            <w:pPr>
              <w:spacing w:before="40" w:after="20"/>
              <w:jc w:val="right"/>
              <w:rPr>
                <w:rFonts w:cs="Arial"/>
                <w:sz w:val="18"/>
                <w:szCs w:val="18"/>
              </w:rPr>
            </w:pPr>
            <w:r w:rsidRPr="001D41EA">
              <w:rPr>
                <w:rFonts w:cs="Arial"/>
                <w:sz w:val="18"/>
                <w:szCs w:val="18"/>
              </w:rPr>
              <w:t>22,366,790</w:t>
            </w:r>
          </w:p>
        </w:tc>
      </w:tr>
      <w:tr w:rsidR="00D84931" w:rsidRPr="001D41EA" w14:paraId="234DD2C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E2CE68E" w14:textId="77777777" w:rsidR="00D84931" w:rsidRPr="001D41EA" w:rsidRDefault="00D84931" w:rsidP="00D84931">
            <w:pPr>
              <w:spacing w:before="40" w:after="20"/>
              <w:rPr>
                <w:rFonts w:cs="Arial"/>
                <w:sz w:val="18"/>
                <w:szCs w:val="18"/>
              </w:rPr>
            </w:pPr>
            <w:r w:rsidRPr="001D41EA">
              <w:rPr>
                <w:rFonts w:cs="Arial"/>
                <w:sz w:val="18"/>
                <w:szCs w:val="18"/>
              </w:rPr>
              <w:t>Moira S</w:t>
            </w:r>
          </w:p>
        </w:tc>
        <w:tc>
          <w:tcPr>
            <w:tcW w:w="1701" w:type="dxa"/>
            <w:tcBorders>
              <w:top w:val="nil"/>
              <w:left w:val="single" w:sz="18" w:space="0" w:color="5F497A" w:themeColor="accent4" w:themeShade="BF"/>
              <w:bottom w:val="nil"/>
              <w:right w:val="nil"/>
            </w:tcBorders>
            <w:shd w:val="clear" w:color="auto" w:fill="auto"/>
            <w:noWrap/>
            <w:vAlign w:val="bottom"/>
          </w:tcPr>
          <w:p w14:paraId="6B9598F2" w14:textId="5785A092" w:rsidR="00D84931" w:rsidRPr="001D41EA" w:rsidRDefault="00D84931" w:rsidP="00D84931">
            <w:pPr>
              <w:spacing w:before="40" w:after="20"/>
              <w:jc w:val="right"/>
              <w:rPr>
                <w:rFonts w:cs="Arial"/>
                <w:sz w:val="18"/>
                <w:szCs w:val="18"/>
              </w:rPr>
            </w:pPr>
            <w:r w:rsidRPr="001D41EA">
              <w:rPr>
                <w:rFonts w:cs="Arial"/>
                <w:sz w:val="18"/>
                <w:szCs w:val="18"/>
              </w:rPr>
              <w:t>8,333,665</w:t>
            </w:r>
          </w:p>
        </w:tc>
        <w:tc>
          <w:tcPr>
            <w:tcW w:w="1701" w:type="dxa"/>
            <w:tcBorders>
              <w:top w:val="nil"/>
              <w:left w:val="nil"/>
              <w:bottom w:val="nil"/>
              <w:right w:val="nil"/>
            </w:tcBorders>
            <w:vAlign w:val="bottom"/>
          </w:tcPr>
          <w:p w14:paraId="65196111" w14:textId="3C6DEC43" w:rsidR="00D84931" w:rsidRPr="001D41EA" w:rsidRDefault="00D84931" w:rsidP="00D84931">
            <w:pPr>
              <w:spacing w:before="40" w:after="20"/>
              <w:jc w:val="right"/>
              <w:rPr>
                <w:rFonts w:cs="Arial"/>
                <w:sz w:val="18"/>
                <w:szCs w:val="18"/>
              </w:rPr>
            </w:pPr>
            <w:r w:rsidRPr="001D41EA">
              <w:rPr>
                <w:rFonts w:cs="Arial"/>
                <w:sz w:val="18"/>
                <w:szCs w:val="18"/>
              </w:rPr>
              <w:t>2,140,992</w:t>
            </w:r>
          </w:p>
        </w:tc>
        <w:tc>
          <w:tcPr>
            <w:tcW w:w="1701" w:type="dxa"/>
            <w:tcBorders>
              <w:top w:val="nil"/>
              <w:left w:val="nil"/>
              <w:bottom w:val="nil"/>
              <w:right w:val="nil"/>
            </w:tcBorders>
            <w:shd w:val="clear" w:color="auto" w:fill="auto"/>
            <w:noWrap/>
            <w:vAlign w:val="bottom"/>
          </w:tcPr>
          <w:p w14:paraId="19ADAB69" w14:textId="600D9D68" w:rsidR="00D84931" w:rsidRPr="001D41EA" w:rsidRDefault="00D84931" w:rsidP="00D84931">
            <w:pPr>
              <w:spacing w:before="40" w:after="20"/>
              <w:jc w:val="right"/>
              <w:rPr>
                <w:rFonts w:cs="Arial"/>
                <w:sz w:val="18"/>
                <w:szCs w:val="18"/>
              </w:rPr>
            </w:pPr>
            <w:r w:rsidRPr="001D41EA">
              <w:rPr>
                <w:rFonts w:cs="Arial"/>
                <w:sz w:val="18"/>
                <w:szCs w:val="18"/>
              </w:rPr>
              <w:t>6,946,968</w:t>
            </w:r>
          </w:p>
        </w:tc>
        <w:tc>
          <w:tcPr>
            <w:tcW w:w="1701" w:type="dxa"/>
            <w:tcBorders>
              <w:top w:val="nil"/>
              <w:left w:val="nil"/>
              <w:bottom w:val="nil"/>
              <w:right w:val="nil"/>
            </w:tcBorders>
            <w:vAlign w:val="bottom"/>
          </w:tcPr>
          <w:p w14:paraId="369593A4" w14:textId="055C7B2C" w:rsidR="00D84931" w:rsidRPr="001D41EA" w:rsidRDefault="00D84931" w:rsidP="00D84931">
            <w:pPr>
              <w:spacing w:before="40" w:after="20"/>
              <w:jc w:val="right"/>
              <w:rPr>
                <w:rFonts w:cs="Arial"/>
                <w:sz w:val="18"/>
                <w:szCs w:val="18"/>
              </w:rPr>
            </w:pPr>
            <w:r w:rsidRPr="001D41EA">
              <w:rPr>
                <w:rFonts w:cs="Arial"/>
                <w:sz w:val="18"/>
                <w:szCs w:val="18"/>
              </w:rPr>
              <w:t>17,421,626</w:t>
            </w:r>
          </w:p>
        </w:tc>
      </w:tr>
      <w:tr w:rsidR="00D84931" w:rsidRPr="001D41EA" w14:paraId="6A1E839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B9BA163" w14:textId="77777777" w:rsidR="00D84931" w:rsidRPr="001D41EA" w:rsidRDefault="00D84931" w:rsidP="00D84931">
            <w:pPr>
              <w:spacing w:before="40" w:after="20"/>
              <w:rPr>
                <w:rFonts w:cs="Arial"/>
                <w:sz w:val="18"/>
                <w:szCs w:val="18"/>
              </w:rPr>
            </w:pPr>
            <w:r w:rsidRPr="001D41EA">
              <w:rPr>
                <w:rFonts w:cs="Arial"/>
                <w:sz w:val="18"/>
                <w:szCs w:val="18"/>
              </w:rPr>
              <w:t>Monash C</w:t>
            </w:r>
          </w:p>
        </w:tc>
        <w:tc>
          <w:tcPr>
            <w:tcW w:w="1701" w:type="dxa"/>
            <w:tcBorders>
              <w:top w:val="nil"/>
              <w:left w:val="single" w:sz="18" w:space="0" w:color="5F497A" w:themeColor="accent4" w:themeShade="BF"/>
              <w:bottom w:val="nil"/>
              <w:right w:val="nil"/>
            </w:tcBorders>
            <w:shd w:val="clear" w:color="auto" w:fill="auto"/>
            <w:noWrap/>
            <w:vAlign w:val="bottom"/>
          </w:tcPr>
          <w:p w14:paraId="1C8B3A4B" w14:textId="47EDF909" w:rsidR="00D84931" w:rsidRPr="001D41EA" w:rsidRDefault="00D84931" w:rsidP="00D84931">
            <w:pPr>
              <w:spacing w:before="40" w:after="20"/>
              <w:jc w:val="right"/>
              <w:rPr>
                <w:rFonts w:cs="Arial"/>
                <w:sz w:val="18"/>
                <w:szCs w:val="18"/>
              </w:rPr>
            </w:pPr>
            <w:r w:rsidRPr="001D41EA">
              <w:rPr>
                <w:rFonts w:cs="Arial"/>
                <w:sz w:val="18"/>
                <w:szCs w:val="18"/>
              </w:rPr>
              <w:t>165,811,675</w:t>
            </w:r>
          </w:p>
        </w:tc>
        <w:tc>
          <w:tcPr>
            <w:tcW w:w="1701" w:type="dxa"/>
            <w:tcBorders>
              <w:top w:val="nil"/>
              <w:left w:val="nil"/>
              <w:bottom w:val="nil"/>
              <w:right w:val="nil"/>
            </w:tcBorders>
            <w:vAlign w:val="bottom"/>
          </w:tcPr>
          <w:p w14:paraId="2448154E" w14:textId="0F77B500" w:rsidR="00D84931" w:rsidRPr="001D41EA" w:rsidRDefault="00D84931" w:rsidP="00D84931">
            <w:pPr>
              <w:spacing w:before="40" w:after="20"/>
              <w:jc w:val="right"/>
              <w:rPr>
                <w:rFonts w:cs="Arial"/>
                <w:sz w:val="18"/>
                <w:szCs w:val="18"/>
              </w:rPr>
            </w:pPr>
            <w:r w:rsidRPr="001D41EA">
              <w:rPr>
                <w:rFonts w:cs="Arial"/>
                <w:sz w:val="18"/>
                <w:szCs w:val="18"/>
              </w:rPr>
              <w:t>28,287,064</w:t>
            </w:r>
          </w:p>
        </w:tc>
        <w:tc>
          <w:tcPr>
            <w:tcW w:w="1701" w:type="dxa"/>
            <w:tcBorders>
              <w:top w:val="nil"/>
              <w:left w:val="nil"/>
              <w:bottom w:val="nil"/>
              <w:right w:val="nil"/>
            </w:tcBorders>
            <w:shd w:val="clear" w:color="auto" w:fill="auto"/>
            <w:noWrap/>
            <w:vAlign w:val="bottom"/>
          </w:tcPr>
          <w:p w14:paraId="7C6624CD" w14:textId="7E677599" w:rsidR="00D84931" w:rsidRPr="001D41EA" w:rsidRDefault="00D84931" w:rsidP="00D84931">
            <w:pPr>
              <w:spacing w:before="40" w:after="20"/>
              <w:jc w:val="right"/>
              <w:rPr>
                <w:rFonts w:cs="Arial"/>
                <w:sz w:val="18"/>
                <w:szCs w:val="18"/>
              </w:rPr>
            </w:pPr>
            <w:r w:rsidRPr="001D41EA">
              <w:rPr>
                <w:rFonts w:cs="Arial"/>
                <w:sz w:val="18"/>
                <w:szCs w:val="18"/>
              </w:rPr>
              <w:t>41,845</w:t>
            </w:r>
          </w:p>
        </w:tc>
        <w:tc>
          <w:tcPr>
            <w:tcW w:w="1701" w:type="dxa"/>
            <w:tcBorders>
              <w:top w:val="nil"/>
              <w:left w:val="nil"/>
              <w:bottom w:val="nil"/>
              <w:right w:val="nil"/>
            </w:tcBorders>
            <w:vAlign w:val="bottom"/>
          </w:tcPr>
          <w:p w14:paraId="759EDA02" w14:textId="62175C0D" w:rsidR="00D84931" w:rsidRPr="001D41EA" w:rsidRDefault="00D84931" w:rsidP="00D84931">
            <w:pPr>
              <w:spacing w:before="40" w:after="20"/>
              <w:jc w:val="right"/>
              <w:rPr>
                <w:rFonts w:cs="Arial"/>
                <w:sz w:val="18"/>
                <w:szCs w:val="18"/>
              </w:rPr>
            </w:pPr>
            <w:r w:rsidRPr="001D41EA">
              <w:rPr>
                <w:rFonts w:cs="Arial"/>
                <w:sz w:val="18"/>
                <w:szCs w:val="18"/>
              </w:rPr>
              <w:t>194,140,585</w:t>
            </w:r>
          </w:p>
        </w:tc>
      </w:tr>
      <w:tr w:rsidR="00D84931" w:rsidRPr="001D41EA" w14:paraId="010199F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FAA7A31" w14:textId="77777777" w:rsidR="00D84931" w:rsidRPr="001D41EA" w:rsidRDefault="00D84931" w:rsidP="00D84931">
            <w:pPr>
              <w:spacing w:before="40" w:after="20"/>
              <w:rPr>
                <w:rFonts w:cs="Arial"/>
                <w:sz w:val="18"/>
                <w:szCs w:val="18"/>
              </w:rPr>
            </w:pPr>
            <w:r w:rsidRPr="001D41EA">
              <w:rPr>
                <w:rFonts w:cs="Arial"/>
                <w:sz w:val="18"/>
                <w:szCs w:val="18"/>
              </w:rPr>
              <w:t>Moonee Valley C</w:t>
            </w:r>
          </w:p>
        </w:tc>
        <w:tc>
          <w:tcPr>
            <w:tcW w:w="1701" w:type="dxa"/>
            <w:tcBorders>
              <w:top w:val="nil"/>
              <w:left w:val="single" w:sz="18" w:space="0" w:color="5F497A" w:themeColor="accent4" w:themeShade="BF"/>
              <w:bottom w:val="nil"/>
              <w:right w:val="nil"/>
            </w:tcBorders>
            <w:shd w:val="clear" w:color="auto" w:fill="auto"/>
            <w:noWrap/>
            <w:vAlign w:val="bottom"/>
          </w:tcPr>
          <w:p w14:paraId="3A1E70D5" w14:textId="35334719" w:rsidR="00D84931" w:rsidRPr="001D41EA" w:rsidRDefault="00D84931" w:rsidP="00D84931">
            <w:pPr>
              <w:spacing w:before="40" w:after="20"/>
              <w:jc w:val="right"/>
              <w:rPr>
                <w:rFonts w:cs="Arial"/>
                <w:sz w:val="18"/>
                <w:szCs w:val="18"/>
              </w:rPr>
            </w:pPr>
            <w:r w:rsidRPr="001D41EA">
              <w:rPr>
                <w:rFonts w:cs="Arial"/>
                <w:sz w:val="18"/>
                <w:szCs w:val="18"/>
              </w:rPr>
              <w:t>109,172,494</w:t>
            </w:r>
          </w:p>
        </w:tc>
        <w:tc>
          <w:tcPr>
            <w:tcW w:w="1701" w:type="dxa"/>
            <w:tcBorders>
              <w:top w:val="nil"/>
              <w:left w:val="nil"/>
              <w:bottom w:val="nil"/>
              <w:right w:val="nil"/>
            </w:tcBorders>
            <w:vAlign w:val="bottom"/>
          </w:tcPr>
          <w:p w14:paraId="3CDB7CB6" w14:textId="0B3B64E6" w:rsidR="00D84931" w:rsidRPr="001D41EA" w:rsidRDefault="00D84931" w:rsidP="00D84931">
            <w:pPr>
              <w:spacing w:before="40" w:after="20"/>
              <w:jc w:val="right"/>
              <w:rPr>
                <w:rFonts w:cs="Arial"/>
                <w:sz w:val="18"/>
                <w:szCs w:val="18"/>
              </w:rPr>
            </w:pPr>
            <w:r w:rsidRPr="001D41EA">
              <w:rPr>
                <w:rFonts w:cs="Arial"/>
                <w:sz w:val="18"/>
                <w:szCs w:val="18"/>
              </w:rPr>
              <w:t>13,570,796</w:t>
            </w:r>
          </w:p>
        </w:tc>
        <w:tc>
          <w:tcPr>
            <w:tcW w:w="1701" w:type="dxa"/>
            <w:tcBorders>
              <w:top w:val="nil"/>
              <w:left w:val="nil"/>
              <w:bottom w:val="nil"/>
              <w:right w:val="nil"/>
            </w:tcBorders>
            <w:shd w:val="clear" w:color="auto" w:fill="auto"/>
            <w:noWrap/>
            <w:vAlign w:val="bottom"/>
          </w:tcPr>
          <w:p w14:paraId="4B4C2A15" w14:textId="009A84BB"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43F74AE9" w14:textId="42E29DC0" w:rsidR="00D84931" w:rsidRPr="001D41EA" w:rsidRDefault="00D84931" w:rsidP="00D84931">
            <w:pPr>
              <w:spacing w:before="40" w:after="20"/>
              <w:jc w:val="right"/>
              <w:rPr>
                <w:rFonts w:cs="Arial"/>
                <w:sz w:val="18"/>
                <w:szCs w:val="18"/>
              </w:rPr>
            </w:pPr>
            <w:r w:rsidRPr="001D41EA">
              <w:rPr>
                <w:rFonts w:cs="Arial"/>
                <w:sz w:val="18"/>
                <w:szCs w:val="18"/>
              </w:rPr>
              <w:t>122,743,290</w:t>
            </w:r>
          </w:p>
        </w:tc>
      </w:tr>
      <w:tr w:rsidR="00D84931" w:rsidRPr="001D41EA" w14:paraId="18BF9F9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57CAA51" w14:textId="77777777" w:rsidR="00D84931" w:rsidRPr="001D41EA" w:rsidRDefault="00D84931" w:rsidP="00D84931">
            <w:pPr>
              <w:spacing w:before="40" w:after="20"/>
              <w:rPr>
                <w:rFonts w:cs="Arial"/>
                <w:sz w:val="18"/>
                <w:szCs w:val="18"/>
              </w:rPr>
            </w:pPr>
            <w:r w:rsidRPr="001D41EA">
              <w:rPr>
                <w:rFonts w:cs="Arial"/>
                <w:sz w:val="18"/>
                <w:szCs w:val="18"/>
              </w:rPr>
              <w:t>Moorabool S</w:t>
            </w:r>
          </w:p>
        </w:tc>
        <w:tc>
          <w:tcPr>
            <w:tcW w:w="1701" w:type="dxa"/>
            <w:tcBorders>
              <w:top w:val="nil"/>
              <w:left w:val="single" w:sz="18" w:space="0" w:color="5F497A" w:themeColor="accent4" w:themeShade="BF"/>
              <w:bottom w:val="nil"/>
              <w:right w:val="nil"/>
            </w:tcBorders>
            <w:shd w:val="clear" w:color="auto" w:fill="auto"/>
            <w:noWrap/>
            <w:vAlign w:val="bottom"/>
          </w:tcPr>
          <w:p w14:paraId="0A9EBC7F" w14:textId="0ACAA1DA" w:rsidR="00D84931" w:rsidRPr="001D41EA" w:rsidRDefault="00D84931" w:rsidP="00D84931">
            <w:pPr>
              <w:spacing w:before="40" w:after="20"/>
              <w:jc w:val="right"/>
              <w:rPr>
                <w:rFonts w:cs="Arial"/>
                <w:sz w:val="18"/>
                <w:szCs w:val="18"/>
              </w:rPr>
            </w:pPr>
            <w:r w:rsidRPr="001D41EA">
              <w:rPr>
                <w:rFonts w:cs="Arial"/>
                <w:sz w:val="18"/>
                <w:szCs w:val="18"/>
              </w:rPr>
              <w:t>14,424,130</w:t>
            </w:r>
          </w:p>
        </w:tc>
        <w:tc>
          <w:tcPr>
            <w:tcW w:w="1701" w:type="dxa"/>
            <w:tcBorders>
              <w:top w:val="nil"/>
              <w:left w:val="nil"/>
              <w:bottom w:val="nil"/>
              <w:right w:val="nil"/>
            </w:tcBorders>
            <w:vAlign w:val="bottom"/>
          </w:tcPr>
          <w:p w14:paraId="06B215A1" w14:textId="1AAFD1A2" w:rsidR="00D84931" w:rsidRPr="001D41EA" w:rsidRDefault="00D84931" w:rsidP="00D84931">
            <w:pPr>
              <w:spacing w:before="40" w:after="20"/>
              <w:jc w:val="right"/>
              <w:rPr>
                <w:rFonts w:cs="Arial"/>
                <w:sz w:val="18"/>
                <w:szCs w:val="18"/>
              </w:rPr>
            </w:pPr>
            <w:r w:rsidRPr="001D41EA">
              <w:rPr>
                <w:rFonts w:cs="Arial"/>
                <w:sz w:val="18"/>
                <w:szCs w:val="18"/>
              </w:rPr>
              <w:t>1,181,850</w:t>
            </w:r>
          </w:p>
        </w:tc>
        <w:tc>
          <w:tcPr>
            <w:tcW w:w="1701" w:type="dxa"/>
            <w:tcBorders>
              <w:top w:val="nil"/>
              <w:left w:val="nil"/>
              <w:bottom w:val="nil"/>
              <w:right w:val="nil"/>
            </w:tcBorders>
            <w:shd w:val="clear" w:color="auto" w:fill="auto"/>
            <w:noWrap/>
            <w:vAlign w:val="bottom"/>
          </w:tcPr>
          <w:p w14:paraId="78F46B85" w14:textId="6609F87C" w:rsidR="00D84931" w:rsidRPr="001D41EA" w:rsidRDefault="00D84931" w:rsidP="00D84931">
            <w:pPr>
              <w:spacing w:before="40" w:after="20"/>
              <w:jc w:val="right"/>
              <w:rPr>
                <w:rFonts w:cs="Arial"/>
                <w:sz w:val="18"/>
                <w:szCs w:val="18"/>
              </w:rPr>
            </w:pPr>
            <w:r w:rsidRPr="001D41EA">
              <w:rPr>
                <w:rFonts w:cs="Arial"/>
                <w:sz w:val="18"/>
                <w:szCs w:val="18"/>
              </w:rPr>
              <w:t>3,528,554</w:t>
            </w:r>
          </w:p>
        </w:tc>
        <w:tc>
          <w:tcPr>
            <w:tcW w:w="1701" w:type="dxa"/>
            <w:tcBorders>
              <w:top w:val="nil"/>
              <w:left w:val="nil"/>
              <w:bottom w:val="nil"/>
              <w:right w:val="nil"/>
            </w:tcBorders>
            <w:vAlign w:val="bottom"/>
          </w:tcPr>
          <w:p w14:paraId="53CDC9B2" w14:textId="278E9593" w:rsidR="00D84931" w:rsidRPr="001D41EA" w:rsidRDefault="00D84931" w:rsidP="00D84931">
            <w:pPr>
              <w:spacing w:before="40" w:after="20"/>
              <w:jc w:val="right"/>
              <w:rPr>
                <w:rFonts w:cs="Arial"/>
                <w:sz w:val="18"/>
                <w:szCs w:val="18"/>
              </w:rPr>
            </w:pPr>
            <w:r w:rsidRPr="001D41EA">
              <w:rPr>
                <w:rFonts w:cs="Arial"/>
                <w:sz w:val="18"/>
                <w:szCs w:val="18"/>
              </w:rPr>
              <w:t>19,134,533</w:t>
            </w:r>
          </w:p>
        </w:tc>
      </w:tr>
      <w:tr w:rsidR="00D84931" w:rsidRPr="001D41EA" w14:paraId="57A1811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A5A02E1" w14:textId="77777777" w:rsidR="00D84931" w:rsidRPr="001D41EA" w:rsidRDefault="00D84931" w:rsidP="00D84931">
            <w:pPr>
              <w:spacing w:before="40" w:after="20"/>
              <w:rPr>
                <w:rFonts w:cs="Arial"/>
                <w:sz w:val="18"/>
                <w:szCs w:val="18"/>
              </w:rPr>
            </w:pPr>
            <w:r w:rsidRPr="001D41EA">
              <w:rPr>
                <w:rFonts w:cs="Arial"/>
                <w:sz w:val="18"/>
                <w:szCs w:val="18"/>
              </w:rPr>
              <w:t>Moreland C</w:t>
            </w:r>
          </w:p>
        </w:tc>
        <w:tc>
          <w:tcPr>
            <w:tcW w:w="1701" w:type="dxa"/>
            <w:tcBorders>
              <w:top w:val="nil"/>
              <w:left w:val="single" w:sz="18" w:space="0" w:color="5F497A" w:themeColor="accent4" w:themeShade="BF"/>
              <w:bottom w:val="nil"/>
              <w:right w:val="nil"/>
            </w:tcBorders>
            <w:shd w:val="clear" w:color="auto" w:fill="auto"/>
            <w:noWrap/>
            <w:vAlign w:val="bottom"/>
          </w:tcPr>
          <w:p w14:paraId="3A2D2CDB" w14:textId="240CEACA" w:rsidR="00D84931" w:rsidRPr="001D41EA" w:rsidRDefault="00D84931" w:rsidP="00D84931">
            <w:pPr>
              <w:spacing w:before="40" w:after="20"/>
              <w:jc w:val="right"/>
              <w:rPr>
                <w:rFonts w:cs="Arial"/>
                <w:sz w:val="18"/>
                <w:szCs w:val="18"/>
              </w:rPr>
            </w:pPr>
            <w:r w:rsidRPr="001D41EA">
              <w:rPr>
                <w:rFonts w:cs="Arial"/>
                <w:sz w:val="18"/>
                <w:szCs w:val="18"/>
              </w:rPr>
              <w:t>121,043,050</w:t>
            </w:r>
          </w:p>
        </w:tc>
        <w:tc>
          <w:tcPr>
            <w:tcW w:w="1701" w:type="dxa"/>
            <w:tcBorders>
              <w:top w:val="nil"/>
              <w:left w:val="nil"/>
              <w:bottom w:val="nil"/>
              <w:right w:val="nil"/>
            </w:tcBorders>
            <w:vAlign w:val="bottom"/>
          </w:tcPr>
          <w:p w14:paraId="721EB375" w14:textId="1E981EAD" w:rsidR="00D84931" w:rsidRPr="001D41EA" w:rsidRDefault="00D84931" w:rsidP="00D84931">
            <w:pPr>
              <w:spacing w:before="40" w:after="20"/>
              <w:jc w:val="right"/>
              <w:rPr>
                <w:rFonts w:cs="Arial"/>
                <w:sz w:val="18"/>
                <w:szCs w:val="18"/>
              </w:rPr>
            </w:pPr>
            <w:r w:rsidRPr="001D41EA">
              <w:rPr>
                <w:rFonts w:cs="Arial"/>
                <w:sz w:val="18"/>
                <w:szCs w:val="18"/>
              </w:rPr>
              <w:t>16,627,503</w:t>
            </w:r>
          </w:p>
        </w:tc>
        <w:tc>
          <w:tcPr>
            <w:tcW w:w="1701" w:type="dxa"/>
            <w:tcBorders>
              <w:top w:val="nil"/>
              <w:left w:val="nil"/>
              <w:bottom w:val="nil"/>
              <w:right w:val="nil"/>
            </w:tcBorders>
            <w:shd w:val="clear" w:color="auto" w:fill="auto"/>
            <w:noWrap/>
            <w:vAlign w:val="bottom"/>
          </w:tcPr>
          <w:p w14:paraId="1ED790E8" w14:textId="4CDD9DC7"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4EDEE26E" w14:textId="6CFAA758" w:rsidR="00D84931" w:rsidRPr="001D41EA" w:rsidRDefault="00D84931" w:rsidP="00D84931">
            <w:pPr>
              <w:spacing w:before="40" w:after="20"/>
              <w:jc w:val="right"/>
              <w:rPr>
                <w:rFonts w:cs="Arial"/>
                <w:sz w:val="18"/>
                <w:szCs w:val="18"/>
              </w:rPr>
            </w:pPr>
            <w:r w:rsidRPr="001D41EA">
              <w:rPr>
                <w:rFonts w:cs="Arial"/>
                <w:sz w:val="18"/>
                <w:szCs w:val="18"/>
              </w:rPr>
              <w:t>137,670,552</w:t>
            </w:r>
          </w:p>
        </w:tc>
      </w:tr>
      <w:tr w:rsidR="00D84931" w:rsidRPr="001D41EA" w14:paraId="66A7E6F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9E2DF45" w14:textId="77777777" w:rsidR="00D84931" w:rsidRPr="001D41EA" w:rsidRDefault="00D84931" w:rsidP="00D84931">
            <w:pPr>
              <w:spacing w:before="40" w:after="20"/>
              <w:rPr>
                <w:rFonts w:cs="Arial"/>
                <w:sz w:val="18"/>
                <w:szCs w:val="18"/>
              </w:rPr>
            </w:pPr>
            <w:r w:rsidRPr="001D41EA">
              <w:rPr>
                <w:rFonts w:cs="Arial"/>
                <w:sz w:val="18"/>
                <w:szCs w:val="18"/>
              </w:rPr>
              <w:t>Mornington Peninsula S</w:t>
            </w:r>
          </w:p>
        </w:tc>
        <w:tc>
          <w:tcPr>
            <w:tcW w:w="1701" w:type="dxa"/>
            <w:tcBorders>
              <w:top w:val="nil"/>
              <w:left w:val="single" w:sz="18" w:space="0" w:color="5F497A" w:themeColor="accent4" w:themeShade="BF"/>
              <w:bottom w:val="nil"/>
              <w:right w:val="nil"/>
            </w:tcBorders>
            <w:shd w:val="clear" w:color="auto" w:fill="auto"/>
            <w:noWrap/>
            <w:vAlign w:val="bottom"/>
          </w:tcPr>
          <w:p w14:paraId="3F9C3A93" w14:textId="66F2C2D1" w:rsidR="00D84931" w:rsidRPr="001D41EA" w:rsidRDefault="00D84931" w:rsidP="00D84931">
            <w:pPr>
              <w:spacing w:before="40" w:after="20"/>
              <w:jc w:val="right"/>
              <w:rPr>
                <w:rFonts w:cs="Arial"/>
                <w:sz w:val="18"/>
                <w:szCs w:val="18"/>
              </w:rPr>
            </w:pPr>
            <w:r w:rsidRPr="001D41EA">
              <w:rPr>
                <w:rFonts w:cs="Arial"/>
                <w:sz w:val="18"/>
                <w:szCs w:val="18"/>
              </w:rPr>
              <w:t>167,215,954</w:t>
            </w:r>
          </w:p>
        </w:tc>
        <w:tc>
          <w:tcPr>
            <w:tcW w:w="1701" w:type="dxa"/>
            <w:tcBorders>
              <w:top w:val="nil"/>
              <w:left w:val="nil"/>
              <w:bottom w:val="nil"/>
              <w:right w:val="nil"/>
            </w:tcBorders>
            <w:vAlign w:val="bottom"/>
          </w:tcPr>
          <w:p w14:paraId="677FF171" w14:textId="0A28C2D7" w:rsidR="00D84931" w:rsidRPr="001D41EA" w:rsidRDefault="00D84931" w:rsidP="00D84931">
            <w:pPr>
              <w:spacing w:before="40" w:after="20"/>
              <w:jc w:val="right"/>
              <w:rPr>
                <w:rFonts w:cs="Arial"/>
                <w:sz w:val="18"/>
                <w:szCs w:val="18"/>
              </w:rPr>
            </w:pPr>
            <w:r w:rsidRPr="001D41EA">
              <w:rPr>
                <w:rFonts w:cs="Arial"/>
                <w:sz w:val="18"/>
                <w:szCs w:val="18"/>
              </w:rPr>
              <w:t>15,037,916</w:t>
            </w:r>
          </w:p>
        </w:tc>
        <w:tc>
          <w:tcPr>
            <w:tcW w:w="1701" w:type="dxa"/>
            <w:tcBorders>
              <w:top w:val="nil"/>
              <w:left w:val="nil"/>
              <w:bottom w:val="nil"/>
              <w:right w:val="nil"/>
            </w:tcBorders>
            <w:shd w:val="clear" w:color="auto" w:fill="auto"/>
            <w:noWrap/>
            <w:vAlign w:val="bottom"/>
          </w:tcPr>
          <w:p w14:paraId="325E664D" w14:textId="58C76FB2" w:rsidR="00D84931" w:rsidRPr="001D41EA" w:rsidRDefault="00D84931" w:rsidP="00D84931">
            <w:pPr>
              <w:spacing w:before="40" w:after="20"/>
              <w:jc w:val="right"/>
              <w:rPr>
                <w:rFonts w:cs="Arial"/>
                <w:sz w:val="18"/>
                <w:szCs w:val="18"/>
              </w:rPr>
            </w:pPr>
            <w:r w:rsidRPr="001D41EA">
              <w:rPr>
                <w:rFonts w:cs="Arial"/>
                <w:sz w:val="18"/>
                <w:szCs w:val="18"/>
              </w:rPr>
              <w:t>10,347,227</w:t>
            </w:r>
          </w:p>
        </w:tc>
        <w:tc>
          <w:tcPr>
            <w:tcW w:w="1701" w:type="dxa"/>
            <w:tcBorders>
              <w:top w:val="nil"/>
              <w:left w:val="nil"/>
              <w:bottom w:val="nil"/>
              <w:right w:val="nil"/>
            </w:tcBorders>
            <w:vAlign w:val="bottom"/>
          </w:tcPr>
          <w:p w14:paraId="6A87612D" w14:textId="7614E557" w:rsidR="00D84931" w:rsidRPr="001D41EA" w:rsidRDefault="00D84931" w:rsidP="00D84931">
            <w:pPr>
              <w:spacing w:before="40" w:after="20"/>
              <w:jc w:val="right"/>
              <w:rPr>
                <w:rFonts w:cs="Arial"/>
                <w:sz w:val="18"/>
                <w:szCs w:val="18"/>
              </w:rPr>
            </w:pPr>
            <w:r w:rsidRPr="001D41EA">
              <w:rPr>
                <w:rFonts w:cs="Arial"/>
                <w:sz w:val="18"/>
                <w:szCs w:val="18"/>
              </w:rPr>
              <w:t>192,601,097</w:t>
            </w:r>
          </w:p>
        </w:tc>
      </w:tr>
      <w:tr w:rsidR="00D84931" w:rsidRPr="001D41EA" w14:paraId="71DD084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253A575" w14:textId="77777777" w:rsidR="00D84931" w:rsidRPr="001D41EA" w:rsidRDefault="00D84931" w:rsidP="00D84931">
            <w:pPr>
              <w:spacing w:before="40" w:after="20"/>
              <w:rPr>
                <w:rFonts w:cs="Arial"/>
                <w:sz w:val="18"/>
                <w:szCs w:val="18"/>
              </w:rPr>
            </w:pPr>
            <w:r w:rsidRPr="001D41EA">
              <w:rPr>
                <w:rFonts w:cs="Arial"/>
                <w:sz w:val="18"/>
                <w:szCs w:val="18"/>
              </w:rPr>
              <w:t>Mount Alexander S</w:t>
            </w:r>
          </w:p>
        </w:tc>
        <w:tc>
          <w:tcPr>
            <w:tcW w:w="1701" w:type="dxa"/>
            <w:tcBorders>
              <w:top w:val="nil"/>
              <w:left w:val="single" w:sz="18" w:space="0" w:color="5F497A" w:themeColor="accent4" w:themeShade="BF"/>
              <w:bottom w:val="nil"/>
              <w:right w:val="nil"/>
            </w:tcBorders>
            <w:shd w:val="clear" w:color="auto" w:fill="auto"/>
            <w:noWrap/>
            <w:vAlign w:val="bottom"/>
          </w:tcPr>
          <w:p w14:paraId="6DFF67A5" w14:textId="1AAF271B" w:rsidR="00D84931" w:rsidRPr="001D41EA" w:rsidRDefault="00D84931" w:rsidP="00D84931">
            <w:pPr>
              <w:spacing w:before="40" w:after="20"/>
              <w:jc w:val="right"/>
              <w:rPr>
                <w:rFonts w:cs="Arial"/>
                <w:sz w:val="18"/>
                <w:szCs w:val="18"/>
              </w:rPr>
            </w:pPr>
            <w:r w:rsidRPr="001D41EA">
              <w:rPr>
                <w:rFonts w:cs="Arial"/>
                <w:sz w:val="18"/>
                <w:szCs w:val="18"/>
              </w:rPr>
              <w:t>9,740,832</w:t>
            </w:r>
          </w:p>
        </w:tc>
        <w:tc>
          <w:tcPr>
            <w:tcW w:w="1701" w:type="dxa"/>
            <w:tcBorders>
              <w:top w:val="nil"/>
              <w:left w:val="nil"/>
              <w:bottom w:val="nil"/>
              <w:right w:val="nil"/>
            </w:tcBorders>
            <w:vAlign w:val="bottom"/>
          </w:tcPr>
          <w:p w14:paraId="7A382597" w14:textId="4C7BEAE2" w:rsidR="00D84931" w:rsidRPr="001D41EA" w:rsidRDefault="00D84931" w:rsidP="00D84931">
            <w:pPr>
              <w:spacing w:before="40" w:after="20"/>
              <w:jc w:val="right"/>
              <w:rPr>
                <w:rFonts w:cs="Arial"/>
                <w:sz w:val="18"/>
                <w:szCs w:val="18"/>
              </w:rPr>
            </w:pPr>
            <w:r w:rsidRPr="001D41EA">
              <w:rPr>
                <w:rFonts w:cs="Arial"/>
                <w:sz w:val="18"/>
                <w:szCs w:val="18"/>
              </w:rPr>
              <w:t>1,079,402</w:t>
            </w:r>
          </w:p>
        </w:tc>
        <w:tc>
          <w:tcPr>
            <w:tcW w:w="1701" w:type="dxa"/>
            <w:tcBorders>
              <w:top w:val="nil"/>
              <w:left w:val="nil"/>
              <w:bottom w:val="nil"/>
              <w:right w:val="nil"/>
            </w:tcBorders>
            <w:shd w:val="clear" w:color="auto" w:fill="auto"/>
            <w:noWrap/>
            <w:vAlign w:val="bottom"/>
          </w:tcPr>
          <w:p w14:paraId="57070D69" w14:textId="48EEC328" w:rsidR="00D84931" w:rsidRPr="001D41EA" w:rsidRDefault="00D84931" w:rsidP="00D84931">
            <w:pPr>
              <w:spacing w:before="40" w:after="20"/>
              <w:jc w:val="right"/>
              <w:rPr>
                <w:rFonts w:cs="Arial"/>
                <w:sz w:val="18"/>
                <w:szCs w:val="18"/>
              </w:rPr>
            </w:pPr>
            <w:r w:rsidRPr="001D41EA">
              <w:rPr>
                <w:rFonts w:cs="Arial"/>
                <w:sz w:val="18"/>
                <w:szCs w:val="18"/>
              </w:rPr>
              <w:t>2,250,345</w:t>
            </w:r>
          </w:p>
        </w:tc>
        <w:tc>
          <w:tcPr>
            <w:tcW w:w="1701" w:type="dxa"/>
            <w:tcBorders>
              <w:top w:val="nil"/>
              <w:left w:val="nil"/>
              <w:bottom w:val="nil"/>
              <w:right w:val="nil"/>
            </w:tcBorders>
            <w:vAlign w:val="bottom"/>
          </w:tcPr>
          <w:p w14:paraId="449A6337" w14:textId="0AC1B452" w:rsidR="00D84931" w:rsidRPr="001D41EA" w:rsidRDefault="00D84931" w:rsidP="00D84931">
            <w:pPr>
              <w:spacing w:before="40" w:after="20"/>
              <w:jc w:val="right"/>
              <w:rPr>
                <w:rFonts w:cs="Arial"/>
                <w:sz w:val="18"/>
                <w:szCs w:val="18"/>
              </w:rPr>
            </w:pPr>
            <w:r w:rsidRPr="001D41EA">
              <w:rPr>
                <w:rFonts w:cs="Arial"/>
                <w:sz w:val="18"/>
                <w:szCs w:val="18"/>
              </w:rPr>
              <w:t>13,070,579</w:t>
            </w:r>
          </w:p>
        </w:tc>
      </w:tr>
      <w:tr w:rsidR="00D84931" w:rsidRPr="001D41EA" w14:paraId="2421A4B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7944B36" w14:textId="77777777" w:rsidR="00D84931" w:rsidRPr="001D41EA" w:rsidRDefault="00D84931" w:rsidP="00D84931">
            <w:pPr>
              <w:spacing w:before="40" w:after="20"/>
              <w:rPr>
                <w:rFonts w:cs="Arial"/>
                <w:sz w:val="18"/>
                <w:szCs w:val="18"/>
              </w:rPr>
            </w:pPr>
            <w:r w:rsidRPr="001D41EA">
              <w:rPr>
                <w:rFonts w:cs="Arial"/>
                <w:sz w:val="18"/>
                <w:szCs w:val="18"/>
              </w:rPr>
              <w:t>Moyne S</w:t>
            </w:r>
          </w:p>
        </w:tc>
        <w:tc>
          <w:tcPr>
            <w:tcW w:w="1701" w:type="dxa"/>
            <w:tcBorders>
              <w:top w:val="nil"/>
              <w:left w:val="single" w:sz="18" w:space="0" w:color="5F497A" w:themeColor="accent4" w:themeShade="BF"/>
              <w:bottom w:val="nil"/>
              <w:right w:val="nil"/>
            </w:tcBorders>
            <w:shd w:val="clear" w:color="auto" w:fill="auto"/>
            <w:noWrap/>
            <w:vAlign w:val="bottom"/>
          </w:tcPr>
          <w:p w14:paraId="1F163D59" w14:textId="442F58A6" w:rsidR="00D84931" w:rsidRPr="001D41EA" w:rsidRDefault="00D84931" w:rsidP="00D84931">
            <w:pPr>
              <w:spacing w:before="40" w:after="20"/>
              <w:jc w:val="right"/>
              <w:rPr>
                <w:rFonts w:cs="Arial"/>
                <w:sz w:val="18"/>
                <w:szCs w:val="18"/>
              </w:rPr>
            </w:pPr>
            <w:r w:rsidRPr="001D41EA">
              <w:rPr>
                <w:rFonts w:cs="Arial"/>
                <w:sz w:val="18"/>
                <w:szCs w:val="18"/>
              </w:rPr>
              <w:t>4,749,111</w:t>
            </w:r>
          </w:p>
        </w:tc>
        <w:tc>
          <w:tcPr>
            <w:tcW w:w="1701" w:type="dxa"/>
            <w:tcBorders>
              <w:top w:val="nil"/>
              <w:left w:val="nil"/>
              <w:bottom w:val="nil"/>
              <w:right w:val="nil"/>
            </w:tcBorders>
            <w:vAlign w:val="bottom"/>
          </w:tcPr>
          <w:p w14:paraId="333C33EF" w14:textId="6768AE3F" w:rsidR="00D84931" w:rsidRPr="001D41EA" w:rsidRDefault="00D84931" w:rsidP="00D84931">
            <w:pPr>
              <w:spacing w:before="40" w:after="20"/>
              <w:jc w:val="right"/>
              <w:rPr>
                <w:rFonts w:cs="Arial"/>
                <w:sz w:val="18"/>
                <w:szCs w:val="18"/>
              </w:rPr>
            </w:pPr>
            <w:r w:rsidRPr="001D41EA">
              <w:rPr>
                <w:rFonts w:cs="Arial"/>
                <w:sz w:val="18"/>
                <w:szCs w:val="18"/>
              </w:rPr>
              <w:t>1,101,590</w:t>
            </w:r>
          </w:p>
        </w:tc>
        <w:tc>
          <w:tcPr>
            <w:tcW w:w="1701" w:type="dxa"/>
            <w:tcBorders>
              <w:top w:val="nil"/>
              <w:left w:val="nil"/>
              <w:bottom w:val="nil"/>
              <w:right w:val="nil"/>
            </w:tcBorders>
            <w:shd w:val="clear" w:color="auto" w:fill="auto"/>
            <w:noWrap/>
            <w:vAlign w:val="bottom"/>
          </w:tcPr>
          <w:p w14:paraId="27A11EEF" w14:textId="35F18DD7" w:rsidR="00D84931" w:rsidRPr="001D41EA" w:rsidRDefault="00D84931" w:rsidP="00D84931">
            <w:pPr>
              <w:spacing w:before="40" w:after="20"/>
              <w:jc w:val="right"/>
              <w:rPr>
                <w:rFonts w:cs="Arial"/>
                <w:sz w:val="18"/>
                <w:szCs w:val="18"/>
              </w:rPr>
            </w:pPr>
            <w:r w:rsidRPr="001D41EA">
              <w:rPr>
                <w:rFonts w:cs="Arial"/>
                <w:sz w:val="18"/>
                <w:szCs w:val="18"/>
              </w:rPr>
              <w:t>15,404,886</w:t>
            </w:r>
          </w:p>
        </w:tc>
        <w:tc>
          <w:tcPr>
            <w:tcW w:w="1701" w:type="dxa"/>
            <w:tcBorders>
              <w:top w:val="nil"/>
              <w:left w:val="nil"/>
              <w:bottom w:val="nil"/>
              <w:right w:val="nil"/>
            </w:tcBorders>
            <w:vAlign w:val="bottom"/>
          </w:tcPr>
          <w:p w14:paraId="6B2C78C2" w14:textId="0EDB3A9D" w:rsidR="00D84931" w:rsidRPr="001D41EA" w:rsidRDefault="00D84931" w:rsidP="00D84931">
            <w:pPr>
              <w:spacing w:before="40" w:after="20"/>
              <w:jc w:val="right"/>
              <w:rPr>
                <w:rFonts w:cs="Arial"/>
                <w:sz w:val="18"/>
                <w:szCs w:val="18"/>
              </w:rPr>
            </w:pPr>
            <w:r w:rsidRPr="001D41EA">
              <w:rPr>
                <w:rFonts w:cs="Arial"/>
                <w:sz w:val="18"/>
                <w:szCs w:val="18"/>
              </w:rPr>
              <w:t>21,255,587</w:t>
            </w:r>
          </w:p>
        </w:tc>
      </w:tr>
      <w:tr w:rsidR="00D84931" w:rsidRPr="001D41EA" w14:paraId="341A49C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9B7B14E" w14:textId="77777777" w:rsidR="00D84931" w:rsidRPr="001D41EA" w:rsidRDefault="00D84931" w:rsidP="00D84931">
            <w:pPr>
              <w:spacing w:before="40" w:after="20"/>
              <w:rPr>
                <w:rFonts w:cs="Arial"/>
                <w:sz w:val="18"/>
                <w:szCs w:val="18"/>
              </w:rPr>
            </w:pPr>
            <w:r w:rsidRPr="001D41EA">
              <w:rPr>
                <w:rFonts w:cs="Arial"/>
                <w:sz w:val="18"/>
                <w:szCs w:val="18"/>
              </w:rPr>
              <w:t>Murrindindi S</w:t>
            </w:r>
          </w:p>
        </w:tc>
        <w:tc>
          <w:tcPr>
            <w:tcW w:w="1701" w:type="dxa"/>
            <w:tcBorders>
              <w:top w:val="nil"/>
              <w:left w:val="single" w:sz="18" w:space="0" w:color="5F497A" w:themeColor="accent4" w:themeShade="BF"/>
              <w:bottom w:val="nil"/>
              <w:right w:val="nil"/>
            </w:tcBorders>
            <w:shd w:val="clear" w:color="auto" w:fill="auto"/>
            <w:noWrap/>
            <w:vAlign w:val="bottom"/>
          </w:tcPr>
          <w:p w14:paraId="5719CE1C" w14:textId="0B6453C8" w:rsidR="00D84931" w:rsidRPr="001D41EA" w:rsidRDefault="00D84931" w:rsidP="00D84931">
            <w:pPr>
              <w:spacing w:before="40" w:after="20"/>
              <w:jc w:val="right"/>
              <w:rPr>
                <w:rFonts w:cs="Arial"/>
                <w:sz w:val="18"/>
                <w:szCs w:val="18"/>
              </w:rPr>
            </w:pPr>
            <w:r w:rsidRPr="001D41EA">
              <w:rPr>
                <w:rFonts w:cs="Arial"/>
                <w:sz w:val="18"/>
                <w:szCs w:val="18"/>
              </w:rPr>
              <w:t>5,279,301</w:t>
            </w:r>
          </w:p>
        </w:tc>
        <w:tc>
          <w:tcPr>
            <w:tcW w:w="1701" w:type="dxa"/>
            <w:tcBorders>
              <w:top w:val="nil"/>
              <w:left w:val="nil"/>
              <w:bottom w:val="nil"/>
              <w:right w:val="nil"/>
            </w:tcBorders>
            <w:vAlign w:val="bottom"/>
          </w:tcPr>
          <w:p w14:paraId="1404DAAC" w14:textId="22EEE2B8" w:rsidR="00D84931" w:rsidRPr="001D41EA" w:rsidRDefault="00D84931" w:rsidP="00D84931">
            <w:pPr>
              <w:spacing w:before="40" w:after="20"/>
              <w:jc w:val="right"/>
              <w:rPr>
                <w:rFonts w:cs="Arial"/>
                <w:sz w:val="18"/>
                <w:szCs w:val="18"/>
              </w:rPr>
            </w:pPr>
            <w:r w:rsidRPr="001D41EA">
              <w:rPr>
                <w:rFonts w:cs="Arial"/>
                <w:sz w:val="18"/>
                <w:szCs w:val="18"/>
              </w:rPr>
              <w:t>731,517</w:t>
            </w:r>
          </w:p>
        </w:tc>
        <w:tc>
          <w:tcPr>
            <w:tcW w:w="1701" w:type="dxa"/>
            <w:tcBorders>
              <w:top w:val="nil"/>
              <w:left w:val="nil"/>
              <w:bottom w:val="nil"/>
              <w:right w:val="nil"/>
            </w:tcBorders>
            <w:shd w:val="clear" w:color="auto" w:fill="auto"/>
            <w:noWrap/>
            <w:vAlign w:val="bottom"/>
          </w:tcPr>
          <w:p w14:paraId="1945AB70" w14:textId="417C7620" w:rsidR="00D84931" w:rsidRPr="001D41EA" w:rsidRDefault="00D84931" w:rsidP="00D84931">
            <w:pPr>
              <w:spacing w:before="40" w:after="20"/>
              <w:jc w:val="right"/>
              <w:rPr>
                <w:rFonts w:cs="Arial"/>
                <w:sz w:val="18"/>
                <w:szCs w:val="18"/>
              </w:rPr>
            </w:pPr>
            <w:r w:rsidRPr="001D41EA">
              <w:rPr>
                <w:rFonts w:cs="Arial"/>
                <w:sz w:val="18"/>
                <w:szCs w:val="18"/>
              </w:rPr>
              <w:t>7,670,806</w:t>
            </w:r>
          </w:p>
        </w:tc>
        <w:tc>
          <w:tcPr>
            <w:tcW w:w="1701" w:type="dxa"/>
            <w:tcBorders>
              <w:top w:val="nil"/>
              <w:left w:val="nil"/>
              <w:bottom w:val="nil"/>
              <w:right w:val="nil"/>
            </w:tcBorders>
            <w:vAlign w:val="bottom"/>
          </w:tcPr>
          <w:p w14:paraId="20CEAEF2" w14:textId="5ECC75D3" w:rsidR="00D84931" w:rsidRPr="001D41EA" w:rsidRDefault="00D84931" w:rsidP="00D84931">
            <w:pPr>
              <w:spacing w:before="40" w:after="20"/>
              <w:jc w:val="right"/>
              <w:rPr>
                <w:rFonts w:cs="Arial"/>
                <w:sz w:val="18"/>
                <w:szCs w:val="18"/>
              </w:rPr>
            </w:pPr>
            <w:r w:rsidRPr="001D41EA">
              <w:rPr>
                <w:rFonts w:cs="Arial"/>
                <w:sz w:val="18"/>
                <w:szCs w:val="18"/>
              </w:rPr>
              <w:t>13,681,625</w:t>
            </w:r>
          </w:p>
        </w:tc>
      </w:tr>
      <w:tr w:rsidR="00D84931" w:rsidRPr="001D41EA" w14:paraId="03EF318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F8D95FC" w14:textId="77777777" w:rsidR="00D84931" w:rsidRPr="001D41EA" w:rsidRDefault="00D84931" w:rsidP="00D84931">
            <w:pPr>
              <w:spacing w:before="40" w:after="20"/>
              <w:rPr>
                <w:rFonts w:cs="Arial"/>
                <w:sz w:val="18"/>
                <w:szCs w:val="18"/>
              </w:rPr>
            </w:pPr>
            <w:r w:rsidRPr="001D41EA">
              <w:rPr>
                <w:rFonts w:cs="Arial"/>
                <w:sz w:val="18"/>
                <w:szCs w:val="18"/>
              </w:rPr>
              <w:t>Nillumbik S</w:t>
            </w:r>
          </w:p>
        </w:tc>
        <w:tc>
          <w:tcPr>
            <w:tcW w:w="1701" w:type="dxa"/>
            <w:tcBorders>
              <w:top w:val="nil"/>
              <w:left w:val="single" w:sz="18" w:space="0" w:color="5F497A" w:themeColor="accent4" w:themeShade="BF"/>
              <w:bottom w:val="nil"/>
              <w:right w:val="nil"/>
            </w:tcBorders>
            <w:shd w:val="clear" w:color="auto" w:fill="auto"/>
            <w:noWrap/>
            <w:vAlign w:val="bottom"/>
          </w:tcPr>
          <w:p w14:paraId="25BFC8F4" w14:textId="64D11570" w:rsidR="00D84931" w:rsidRPr="001D41EA" w:rsidRDefault="00D84931" w:rsidP="00D84931">
            <w:pPr>
              <w:spacing w:before="40" w:after="20"/>
              <w:jc w:val="right"/>
              <w:rPr>
                <w:rFonts w:cs="Arial"/>
                <w:sz w:val="18"/>
                <w:szCs w:val="18"/>
              </w:rPr>
            </w:pPr>
            <w:r w:rsidRPr="001D41EA">
              <w:rPr>
                <w:rFonts w:cs="Arial"/>
                <w:sz w:val="18"/>
                <w:szCs w:val="18"/>
              </w:rPr>
              <w:t>43,048,671</w:t>
            </w:r>
          </w:p>
        </w:tc>
        <w:tc>
          <w:tcPr>
            <w:tcW w:w="1701" w:type="dxa"/>
            <w:tcBorders>
              <w:top w:val="nil"/>
              <w:left w:val="nil"/>
              <w:bottom w:val="nil"/>
              <w:right w:val="nil"/>
            </w:tcBorders>
            <w:vAlign w:val="bottom"/>
          </w:tcPr>
          <w:p w14:paraId="498CFB67" w14:textId="44305835" w:rsidR="00D84931" w:rsidRPr="001D41EA" w:rsidRDefault="00D84931" w:rsidP="00D84931">
            <w:pPr>
              <w:spacing w:before="40" w:after="20"/>
              <w:jc w:val="right"/>
              <w:rPr>
                <w:rFonts w:cs="Arial"/>
                <w:sz w:val="18"/>
                <w:szCs w:val="18"/>
              </w:rPr>
            </w:pPr>
            <w:r w:rsidRPr="001D41EA">
              <w:rPr>
                <w:rFonts w:cs="Arial"/>
                <w:sz w:val="18"/>
                <w:szCs w:val="18"/>
              </w:rPr>
              <w:t>2,667,007</w:t>
            </w:r>
          </w:p>
        </w:tc>
        <w:tc>
          <w:tcPr>
            <w:tcW w:w="1701" w:type="dxa"/>
            <w:tcBorders>
              <w:top w:val="nil"/>
              <w:left w:val="nil"/>
              <w:bottom w:val="nil"/>
              <w:right w:val="nil"/>
            </w:tcBorders>
            <w:shd w:val="clear" w:color="auto" w:fill="auto"/>
            <w:noWrap/>
            <w:vAlign w:val="bottom"/>
          </w:tcPr>
          <w:p w14:paraId="40957230" w14:textId="0DB4C006" w:rsidR="00D84931" w:rsidRPr="001D41EA" w:rsidRDefault="00D84931" w:rsidP="00D84931">
            <w:pPr>
              <w:spacing w:before="40" w:after="20"/>
              <w:jc w:val="right"/>
              <w:rPr>
                <w:rFonts w:cs="Arial"/>
                <w:sz w:val="18"/>
                <w:szCs w:val="18"/>
              </w:rPr>
            </w:pPr>
            <w:r w:rsidRPr="001D41EA">
              <w:rPr>
                <w:rFonts w:cs="Arial"/>
                <w:sz w:val="18"/>
                <w:szCs w:val="18"/>
              </w:rPr>
              <w:t>3,760,360</w:t>
            </w:r>
          </w:p>
        </w:tc>
        <w:tc>
          <w:tcPr>
            <w:tcW w:w="1701" w:type="dxa"/>
            <w:tcBorders>
              <w:top w:val="nil"/>
              <w:left w:val="nil"/>
              <w:bottom w:val="nil"/>
              <w:right w:val="nil"/>
            </w:tcBorders>
            <w:vAlign w:val="bottom"/>
          </w:tcPr>
          <w:p w14:paraId="404A7820" w14:textId="6A3766B1" w:rsidR="00D84931" w:rsidRPr="001D41EA" w:rsidRDefault="00D84931" w:rsidP="00D84931">
            <w:pPr>
              <w:spacing w:before="40" w:after="20"/>
              <w:jc w:val="right"/>
              <w:rPr>
                <w:rFonts w:cs="Arial"/>
                <w:sz w:val="18"/>
                <w:szCs w:val="18"/>
              </w:rPr>
            </w:pPr>
            <w:r w:rsidRPr="001D41EA">
              <w:rPr>
                <w:rFonts w:cs="Arial"/>
                <w:sz w:val="18"/>
                <w:szCs w:val="18"/>
              </w:rPr>
              <w:t>49,476,039</w:t>
            </w:r>
          </w:p>
        </w:tc>
      </w:tr>
      <w:tr w:rsidR="00D84931" w:rsidRPr="001D41EA" w14:paraId="4110774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A4CC478" w14:textId="77777777" w:rsidR="00D84931" w:rsidRPr="001D41EA" w:rsidRDefault="00D84931" w:rsidP="00D84931">
            <w:pPr>
              <w:spacing w:before="40" w:after="20"/>
              <w:rPr>
                <w:rFonts w:cs="Arial"/>
                <w:sz w:val="18"/>
                <w:szCs w:val="18"/>
              </w:rPr>
            </w:pPr>
            <w:r w:rsidRPr="001D41EA">
              <w:rPr>
                <w:rFonts w:cs="Arial"/>
                <w:sz w:val="18"/>
                <w:szCs w:val="18"/>
              </w:rPr>
              <w:t>Northern Grampians S</w:t>
            </w:r>
          </w:p>
        </w:tc>
        <w:tc>
          <w:tcPr>
            <w:tcW w:w="1701" w:type="dxa"/>
            <w:tcBorders>
              <w:top w:val="nil"/>
              <w:left w:val="single" w:sz="18" w:space="0" w:color="5F497A" w:themeColor="accent4" w:themeShade="BF"/>
              <w:bottom w:val="nil"/>
              <w:right w:val="nil"/>
            </w:tcBorders>
            <w:shd w:val="clear" w:color="auto" w:fill="auto"/>
            <w:noWrap/>
            <w:vAlign w:val="bottom"/>
          </w:tcPr>
          <w:p w14:paraId="3E19E5B1" w14:textId="6A6B7D33" w:rsidR="00D84931" w:rsidRPr="001D41EA" w:rsidRDefault="00D84931" w:rsidP="00D84931">
            <w:pPr>
              <w:spacing w:before="40" w:after="20"/>
              <w:jc w:val="right"/>
              <w:rPr>
                <w:rFonts w:cs="Arial"/>
                <w:sz w:val="18"/>
                <w:szCs w:val="18"/>
              </w:rPr>
            </w:pPr>
            <w:r w:rsidRPr="001D41EA">
              <w:rPr>
                <w:rFonts w:cs="Arial"/>
                <w:sz w:val="18"/>
                <w:szCs w:val="18"/>
              </w:rPr>
              <w:t>2,996,867</w:t>
            </w:r>
          </w:p>
        </w:tc>
        <w:tc>
          <w:tcPr>
            <w:tcW w:w="1701" w:type="dxa"/>
            <w:tcBorders>
              <w:top w:val="nil"/>
              <w:left w:val="nil"/>
              <w:bottom w:val="nil"/>
              <w:right w:val="nil"/>
            </w:tcBorders>
            <w:vAlign w:val="bottom"/>
          </w:tcPr>
          <w:p w14:paraId="028D96B0" w14:textId="38AEF2C2" w:rsidR="00D84931" w:rsidRPr="001D41EA" w:rsidRDefault="00D84931" w:rsidP="00D84931">
            <w:pPr>
              <w:spacing w:before="40" w:after="20"/>
              <w:jc w:val="right"/>
              <w:rPr>
                <w:rFonts w:cs="Arial"/>
                <w:sz w:val="18"/>
                <w:szCs w:val="18"/>
              </w:rPr>
            </w:pPr>
            <w:r w:rsidRPr="001D41EA">
              <w:rPr>
                <w:rFonts w:cs="Arial"/>
                <w:sz w:val="18"/>
                <w:szCs w:val="18"/>
              </w:rPr>
              <w:t>665,584</w:t>
            </w:r>
          </w:p>
        </w:tc>
        <w:tc>
          <w:tcPr>
            <w:tcW w:w="1701" w:type="dxa"/>
            <w:tcBorders>
              <w:top w:val="nil"/>
              <w:left w:val="nil"/>
              <w:bottom w:val="nil"/>
              <w:right w:val="nil"/>
            </w:tcBorders>
            <w:shd w:val="clear" w:color="auto" w:fill="auto"/>
            <w:noWrap/>
            <w:vAlign w:val="bottom"/>
          </w:tcPr>
          <w:p w14:paraId="0CDA9A2F" w14:textId="2AA3BF2A" w:rsidR="00D84931" w:rsidRPr="001D41EA" w:rsidRDefault="00D84931" w:rsidP="00D84931">
            <w:pPr>
              <w:spacing w:before="40" w:after="20"/>
              <w:jc w:val="right"/>
              <w:rPr>
                <w:rFonts w:cs="Arial"/>
                <w:sz w:val="18"/>
                <w:szCs w:val="18"/>
              </w:rPr>
            </w:pPr>
            <w:r w:rsidRPr="001D41EA">
              <w:rPr>
                <w:rFonts w:cs="Arial"/>
                <w:sz w:val="18"/>
                <w:szCs w:val="18"/>
              </w:rPr>
              <w:t>3,235,452</w:t>
            </w:r>
          </w:p>
        </w:tc>
        <w:tc>
          <w:tcPr>
            <w:tcW w:w="1701" w:type="dxa"/>
            <w:tcBorders>
              <w:top w:val="nil"/>
              <w:left w:val="nil"/>
              <w:bottom w:val="nil"/>
              <w:right w:val="nil"/>
            </w:tcBorders>
            <w:vAlign w:val="bottom"/>
          </w:tcPr>
          <w:p w14:paraId="3959B20D" w14:textId="66E97B0F" w:rsidR="00D84931" w:rsidRPr="001D41EA" w:rsidRDefault="00D84931" w:rsidP="00D84931">
            <w:pPr>
              <w:spacing w:before="40" w:after="20"/>
              <w:jc w:val="right"/>
              <w:rPr>
                <w:rFonts w:cs="Arial"/>
                <w:sz w:val="18"/>
                <w:szCs w:val="18"/>
              </w:rPr>
            </w:pPr>
            <w:r w:rsidRPr="001D41EA">
              <w:rPr>
                <w:rFonts w:cs="Arial"/>
                <w:sz w:val="18"/>
                <w:szCs w:val="18"/>
              </w:rPr>
              <w:t>6,897,903</w:t>
            </w:r>
          </w:p>
        </w:tc>
      </w:tr>
      <w:tr w:rsidR="00D84931" w:rsidRPr="001D41EA" w14:paraId="43DA2CB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FBDA6AE" w14:textId="77777777" w:rsidR="00D84931" w:rsidRPr="001D41EA" w:rsidRDefault="00D84931" w:rsidP="00D84931">
            <w:pPr>
              <w:spacing w:before="40" w:after="20"/>
              <w:rPr>
                <w:rFonts w:cs="Arial"/>
                <w:sz w:val="18"/>
                <w:szCs w:val="18"/>
              </w:rPr>
            </w:pPr>
            <w:r w:rsidRPr="001D41EA">
              <w:rPr>
                <w:rFonts w:cs="Arial"/>
                <w:sz w:val="18"/>
                <w:szCs w:val="18"/>
              </w:rPr>
              <w:t>Port Phillip C</w:t>
            </w:r>
          </w:p>
        </w:tc>
        <w:tc>
          <w:tcPr>
            <w:tcW w:w="1701" w:type="dxa"/>
            <w:tcBorders>
              <w:top w:val="nil"/>
              <w:left w:val="single" w:sz="18" w:space="0" w:color="5F497A" w:themeColor="accent4" w:themeShade="BF"/>
              <w:bottom w:val="nil"/>
              <w:right w:val="nil"/>
            </w:tcBorders>
            <w:shd w:val="clear" w:color="auto" w:fill="auto"/>
            <w:noWrap/>
            <w:vAlign w:val="bottom"/>
          </w:tcPr>
          <w:p w14:paraId="19B035A8" w14:textId="2622CF42" w:rsidR="00D84931" w:rsidRPr="001D41EA" w:rsidRDefault="00D84931" w:rsidP="00D84931">
            <w:pPr>
              <w:spacing w:before="40" w:after="20"/>
              <w:jc w:val="right"/>
              <w:rPr>
                <w:rFonts w:cs="Arial"/>
                <w:sz w:val="18"/>
                <w:szCs w:val="18"/>
              </w:rPr>
            </w:pPr>
            <w:r w:rsidRPr="001D41EA">
              <w:rPr>
                <w:rFonts w:cs="Arial"/>
                <w:sz w:val="18"/>
                <w:szCs w:val="18"/>
              </w:rPr>
              <w:t>135,669,639</w:t>
            </w:r>
          </w:p>
        </w:tc>
        <w:tc>
          <w:tcPr>
            <w:tcW w:w="1701" w:type="dxa"/>
            <w:tcBorders>
              <w:top w:val="nil"/>
              <w:left w:val="nil"/>
              <w:bottom w:val="nil"/>
              <w:right w:val="nil"/>
            </w:tcBorders>
            <w:vAlign w:val="bottom"/>
          </w:tcPr>
          <w:p w14:paraId="18073CB5" w14:textId="2075E488" w:rsidR="00D84931" w:rsidRPr="001D41EA" w:rsidRDefault="00D84931" w:rsidP="00D84931">
            <w:pPr>
              <w:spacing w:before="40" w:after="20"/>
              <w:jc w:val="right"/>
              <w:rPr>
                <w:rFonts w:cs="Arial"/>
                <w:sz w:val="18"/>
                <w:szCs w:val="18"/>
              </w:rPr>
            </w:pPr>
            <w:r w:rsidRPr="001D41EA">
              <w:rPr>
                <w:rFonts w:cs="Arial"/>
                <w:sz w:val="18"/>
                <w:szCs w:val="18"/>
              </w:rPr>
              <w:t>34,850,195</w:t>
            </w:r>
          </w:p>
        </w:tc>
        <w:tc>
          <w:tcPr>
            <w:tcW w:w="1701" w:type="dxa"/>
            <w:tcBorders>
              <w:top w:val="nil"/>
              <w:left w:val="nil"/>
              <w:bottom w:val="nil"/>
              <w:right w:val="nil"/>
            </w:tcBorders>
            <w:shd w:val="clear" w:color="auto" w:fill="auto"/>
            <w:noWrap/>
            <w:vAlign w:val="bottom"/>
          </w:tcPr>
          <w:p w14:paraId="68B0BAF3" w14:textId="65CCE8CE"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5F00FC41" w14:textId="010C17E8" w:rsidR="00D84931" w:rsidRPr="001D41EA" w:rsidRDefault="00D84931" w:rsidP="00D84931">
            <w:pPr>
              <w:spacing w:before="40" w:after="20"/>
              <w:jc w:val="right"/>
              <w:rPr>
                <w:rFonts w:cs="Arial"/>
                <w:sz w:val="18"/>
                <w:szCs w:val="18"/>
              </w:rPr>
            </w:pPr>
            <w:r w:rsidRPr="001D41EA">
              <w:rPr>
                <w:rFonts w:cs="Arial"/>
                <w:sz w:val="18"/>
                <w:szCs w:val="18"/>
              </w:rPr>
              <w:t>170,519,834</w:t>
            </w:r>
          </w:p>
        </w:tc>
      </w:tr>
      <w:tr w:rsidR="00D84931" w:rsidRPr="001D41EA" w14:paraId="023FD1B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3F35AC7" w14:textId="77777777" w:rsidR="00D84931" w:rsidRPr="001D41EA" w:rsidRDefault="00D84931" w:rsidP="00D84931">
            <w:pPr>
              <w:spacing w:before="40" w:after="20"/>
              <w:rPr>
                <w:rFonts w:cs="Arial"/>
                <w:sz w:val="18"/>
                <w:szCs w:val="18"/>
              </w:rPr>
            </w:pPr>
            <w:r w:rsidRPr="001D41EA">
              <w:rPr>
                <w:rFonts w:cs="Arial"/>
                <w:sz w:val="18"/>
                <w:szCs w:val="18"/>
              </w:rPr>
              <w:t>Pyrenees S</w:t>
            </w:r>
          </w:p>
        </w:tc>
        <w:tc>
          <w:tcPr>
            <w:tcW w:w="1701" w:type="dxa"/>
            <w:tcBorders>
              <w:top w:val="nil"/>
              <w:left w:val="single" w:sz="18" w:space="0" w:color="5F497A" w:themeColor="accent4" w:themeShade="BF"/>
              <w:bottom w:val="nil"/>
              <w:right w:val="nil"/>
            </w:tcBorders>
            <w:shd w:val="clear" w:color="auto" w:fill="auto"/>
            <w:noWrap/>
            <w:vAlign w:val="bottom"/>
          </w:tcPr>
          <w:p w14:paraId="49EE5165" w14:textId="47FDD66E" w:rsidR="00D84931" w:rsidRPr="001D41EA" w:rsidRDefault="00D84931" w:rsidP="00D84931">
            <w:pPr>
              <w:spacing w:before="40" w:after="20"/>
              <w:jc w:val="right"/>
              <w:rPr>
                <w:rFonts w:cs="Arial"/>
                <w:sz w:val="18"/>
                <w:szCs w:val="18"/>
              </w:rPr>
            </w:pPr>
            <w:r w:rsidRPr="001D41EA">
              <w:rPr>
                <w:rFonts w:cs="Arial"/>
                <w:sz w:val="18"/>
                <w:szCs w:val="18"/>
              </w:rPr>
              <w:t>1,922,746</w:t>
            </w:r>
          </w:p>
        </w:tc>
        <w:tc>
          <w:tcPr>
            <w:tcW w:w="1701" w:type="dxa"/>
            <w:tcBorders>
              <w:top w:val="nil"/>
              <w:left w:val="nil"/>
              <w:bottom w:val="nil"/>
              <w:right w:val="nil"/>
            </w:tcBorders>
            <w:vAlign w:val="bottom"/>
          </w:tcPr>
          <w:p w14:paraId="56B56602" w14:textId="701807CF" w:rsidR="00D84931" w:rsidRPr="001D41EA" w:rsidRDefault="00D84931" w:rsidP="00D84931">
            <w:pPr>
              <w:spacing w:before="40" w:after="20"/>
              <w:jc w:val="right"/>
              <w:rPr>
                <w:rFonts w:cs="Arial"/>
                <w:sz w:val="18"/>
                <w:szCs w:val="18"/>
              </w:rPr>
            </w:pPr>
            <w:r w:rsidRPr="001D41EA">
              <w:rPr>
                <w:rFonts w:cs="Arial"/>
                <w:sz w:val="18"/>
                <w:szCs w:val="18"/>
              </w:rPr>
              <w:t>190,427</w:t>
            </w:r>
          </w:p>
        </w:tc>
        <w:tc>
          <w:tcPr>
            <w:tcW w:w="1701" w:type="dxa"/>
            <w:tcBorders>
              <w:top w:val="nil"/>
              <w:left w:val="nil"/>
              <w:bottom w:val="nil"/>
              <w:right w:val="nil"/>
            </w:tcBorders>
            <w:shd w:val="clear" w:color="auto" w:fill="auto"/>
            <w:noWrap/>
            <w:vAlign w:val="bottom"/>
          </w:tcPr>
          <w:p w14:paraId="08173E29" w14:textId="64F0914C" w:rsidR="00D84931" w:rsidRPr="001D41EA" w:rsidRDefault="00D84931" w:rsidP="00D84931">
            <w:pPr>
              <w:spacing w:before="40" w:after="20"/>
              <w:jc w:val="right"/>
              <w:rPr>
                <w:rFonts w:cs="Arial"/>
                <w:sz w:val="18"/>
                <w:szCs w:val="18"/>
              </w:rPr>
            </w:pPr>
            <w:r w:rsidRPr="001D41EA">
              <w:rPr>
                <w:rFonts w:cs="Arial"/>
                <w:sz w:val="18"/>
                <w:szCs w:val="18"/>
              </w:rPr>
              <w:t>3,588,908</w:t>
            </w:r>
          </w:p>
        </w:tc>
        <w:tc>
          <w:tcPr>
            <w:tcW w:w="1701" w:type="dxa"/>
            <w:tcBorders>
              <w:top w:val="nil"/>
              <w:left w:val="nil"/>
              <w:bottom w:val="nil"/>
              <w:right w:val="nil"/>
            </w:tcBorders>
            <w:vAlign w:val="bottom"/>
          </w:tcPr>
          <w:p w14:paraId="7EB85FCA" w14:textId="7C030F9C" w:rsidR="00D84931" w:rsidRPr="001D41EA" w:rsidRDefault="00D84931" w:rsidP="00D84931">
            <w:pPr>
              <w:spacing w:before="40" w:after="20"/>
              <w:jc w:val="right"/>
              <w:rPr>
                <w:rFonts w:cs="Arial"/>
                <w:sz w:val="18"/>
                <w:szCs w:val="18"/>
              </w:rPr>
            </w:pPr>
            <w:r w:rsidRPr="001D41EA">
              <w:rPr>
                <w:rFonts w:cs="Arial"/>
                <w:sz w:val="18"/>
                <w:szCs w:val="18"/>
              </w:rPr>
              <w:t>5,702,081</w:t>
            </w:r>
          </w:p>
        </w:tc>
      </w:tr>
      <w:tr w:rsidR="00D84931" w:rsidRPr="001D41EA" w14:paraId="59C382E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55DA476" w14:textId="77777777" w:rsidR="00D84931" w:rsidRPr="001D41EA" w:rsidRDefault="00D84931" w:rsidP="00D84931">
            <w:pPr>
              <w:spacing w:before="40" w:after="20"/>
              <w:rPr>
                <w:rFonts w:cs="Arial"/>
                <w:sz w:val="18"/>
                <w:szCs w:val="18"/>
              </w:rPr>
            </w:pPr>
            <w:r w:rsidRPr="001D41EA">
              <w:rPr>
                <w:rFonts w:cs="Arial"/>
                <w:sz w:val="18"/>
                <w:szCs w:val="18"/>
              </w:rPr>
              <w:t>Queenscliffe B</w:t>
            </w:r>
          </w:p>
        </w:tc>
        <w:tc>
          <w:tcPr>
            <w:tcW w:w="1701" w:type="dxa"/>
            <w:tcBorders>
              <w:top w:val="nil"/>
              <w:left w:val="single" w:sz="18" w:space="0" w:color="5F497A" w:themeColor="accent4" w:themeShade="BF"/>
              <w:bottom w:val="nil"/>
              <w:right w:val="nil"/>
            </w:tcBorders>
            <w:shd w:val="clear" w:color="auto" w:fill="auto"/>
            <w:noWrap/>
            <w:vAlign w:val="bottom"/>
          </w:tcPr>
          <w:p w14:paraId="547B1F2E" w14:textId="1C7ACF4E" w:rsidR="00D84931" w:rsidRPr="001D41EA" w:rsidRDefault="00D84931" w:rsidP="00D84931">
            <w:pPr>
              <w:spacing w:before="40" w:after="20"/>
              <w:jc w:val="right"/>
              <w:rPr>
                <w:rFonts w:cs="Arial"/>
                <w:sz w:val="18"/>
                <w:szCs w:val="18"/>
              </w:rPr>
            </w:pPr>
            <w:r w:rsidRPr="001D41EA">
              <w:rPr>
                <w:rFonts w:cs="Arial"/>
                <w:sz w:val="18"/>
                <w:szCs w:val="18"/>
              </w:rPr>
              <w:t>6,731,957</w:t>
            </w:r>
          </w:p>
        </w:tc>
        <w:tc>
          <w:tcPr>
            <w:tcW w:w="1701" w:type="dxa"/>
            <w:tcBorders>
              <w:top w:val="nil"/>
              <w:left w:val="nil"/>
              <w:bottom w:val="nil"/>
              <w:right w:val="nil"/>
            </w:tcBorders>
            <w:vAlign w:val="bottom"/>
          </w:tcPr>
          <w:p w14:paraId="1268102A" w14:textId="2E6FB216" w:rsidR="00D84931" w:rsidRPr="001D41EA" w:rsidRDefault="00D84931" w:rsidP="00D84931">
            <w:pPr>
              <w:spacing w:before="40" w:after="20"/>
              <w:jc w:val="right"/>
              <w:rPr>
                <w:rFonts w:cs="Arial"/>
                <w:sz w:val="18"/>
                <w:szCs w:val="18"/>
              </w:rPr>
            </w:pPr>
            <w:r w:rsidRPr="001D41EA">
              <w:rPr>
                <w:rFonts w:cs="Arial"/>
                <w:sz w:val="18"/>
                <w:szCs w:val="18"/>
              </w:rPr>
              <w:t>881,243</w:t>
            </w:r>
          </w:p>
        </w:tc>
        <w:tc>
          <w:tcPr>
            <w:tcW w:w="1701" w:type="dxa"/>
            <w:tcBorders>
              <w:top w:val="nil"/>
              <w:left w:val="nil"/>
              <w:bottom w:val="nil"/>
              <w:right w:val="nil"/>
            </w:tcBorders>
            <w:shd w:val="clear" w:color="auto" w:fill="auto"/>
            <w:noWrap/>
            <w:vAlign w:val="bottom"/>
          </w:tcPr>
          <w:p w14:paraId="3D40D6AD" w14:textId="0E0FCC2A"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7B788642" w14:textId="0F181664" w:rsidR="00D84931" w:rsidRPr="001D41EA" w:rsidRDefault="00D84931" w:rsidP="00D84931">
            <w:pPr>
              <w:spacing w:before="40" w:after="20"/>
              <w:jc w:val="right"/>
              <w:rPr>
                <w:rFonts w:cs="Arial"/>
                <w:sz w:val="18"/>
                <w:szCs w:val="18"/>
              </w:rPr>
            </w:pPr>
            <w:r w:rsidRPr="001D41EA">
              <w:rPr>
                <w:rFonts w:cs="Arial"/>
                <w:sz w:val="18"/>
                <w:szCs w:val="18"/>
              </w:rPr>
              <w:t>7,613,200</w:t>
            </w:r>
          </w:p>
        </w:tc>
      </w:tr>
      <w:tr w:rsidR="00D84931" w:rsidRPr="001D41EA" w14:paraId="2474D22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C815AD7" w14:textId="77777777" w:rsidR="00D84931" w:rsidRPr="001D41EA" w:rsidRDefault="00D84931" w:rsidP="00D84931">
            <w:pPr>
              <w:spacing w:before="40" w:after="20"/>
              <w:rPr>
                <w:rFonts w:cs="Arial"/>
                <w:sz w:val="18"/>
                <w:szCs w:val="18"/>
              </w:rPr>
            </w:pPr>
            <w:r w:rsidRPr="001D41EA">
              <w:rPr>
                <w:rFonts w:cs="Arial"/>
                <w:sz w:val="18"/>
                <w:szCs w:val="18"/>
              </w:rPr>
              <w:t>South Gippsland S</w:t>
            </w:r>
          </w:p>
        </w:tc>
        <w:tc>
          <w:tcPr>
            <w:tcW w:w="1701" w:type="dxa"/>
            <w:tcBorders>
              <w:top w:val="nil"/>
              <w:left w:val="single" w:sz="18" w:space="0" w:color="5F497A" w:themeColor="accent4" w:themeShade="BF"/>
              <w:bottom w:val="nil"/>
              <w:right w:val="nil"/>
            </w:tcBorders>
            <w:shd w:val="clear" w:color="auto" w:fill="auto"/>
            <w:noWrap/>
            <w:vAlign w:val="bottom"/>
          </w:tcPr>
          <w:p w14:paraId="4986C72B" w14:textId="2A1FB779" w:rsidR="00D84931" w:rsidRPr="001D41EA" w:rsidRDefault="00D84931" w:rsidP="00D84931">
            <w:pPr>
              <w:spacing w:before="40" w:after="20"/>
              <w:jc w:val="right"/>
              <w:rPr>
                <w:rFonts w:cs="Arial"/>
                <w:sz w:val="18"/>
                <w:szCs w:val="18"/>
              </w:rPr>
            </w:pPr>
            <w:r w:rsidRPr="001D41EA">
              <w:rPr>
                <w:rFonts w:cs="Arial"/>
                <w:sz w:val="18"/>
                <w:szCs w:val="18"/>
              </w:rPr>
              <w:t>12,628,286</w:t>
            </w:r>
          </w:p>
        </w:tc>
        <w:tc>
          <w:tcPr>
            <w:tcW w:w="1701" w:type="dxa"/>
            <w:tcBorders>
              <w:top w:val="nil"/>
              <w:left w:val="nil"/>
              <w:bottom w:val="nil"/>
              <w:right w:val="nil"/>
            </w:tcBorders>
            <w:vAlign w:val="bottom"/>
          </w:tcPr>
          <w:p w14:paraId="52938706" w14:textId="1DCE58D4" w:rsidR="00D84931" w:rsidRPr="001D41EA" w:rsidRDefault="00D84931" w:rsidP="00D84931">
            <w:pPr>
              <w:spacing w:before="40" w:after="20"/>
              <w:jc w:val="right"/>
              <w:rPr>
                <w:rFonts w:cs="Arial"/>
                <w:sz w:val="18"/>
                <w:szCs w:val="18"/>
              </w:rPr>
            </w:pPr>
            <w:r w:rsidRPr="001D41EA">
              <w:rPr>
                <w:rFonts w:cs="Arial"/>
                <w:sz w:val="18"/>
                <w:szCs w:val="18"/>
              </w:rPr>
              <w:t>1,994,877</w:t>
            </w:r>
          </w:p>
        </w:tc>
        <w:tc>
          <w:tcPr>
            <w:tcW w:w="1701" w:type="dxa"/>
            <w:tcBorders>
              <w:top w:val="nil"/>
              <w:left w:val="nil"/>
              <w:bottom w:val="nil"/>
              <w:right w:val="nil"/>
            </w:tcBorders>
            <w:shd w:val="clear" w:color="auto" w:fill="auto"/>
            <w:noWrap/>
            <w:vAlign w:val="bottom"/>
          </w:tcPr>
          <w:p w14:paraId="00AFD92F" w14:textId="10327584" w:rsidR="00D84931" w:rsidRPr="001D41EA" w:rsidRDefault="00D84931" w:rsidP="00D84931">
            <w:pPr>
              <w:spacing w:before="40" w:after="20"/>
              <w:jc w:val="right"/>
              <w:rPr>
                <w:rFonts w:cs="Arial"/>
                <w:sz w:val="18"/>
                <w:szCs w:val="18"/>
              </w:rPr>
            </w:pPr>
            <w:r w:rsidRPr="001D41EA">
              <w:rPr>
                <w:rFonts w:cs="Arial"/>
                <w:sz w:val="18"/>
                <w:szCs w:val="18"/>
              </w:rPr>
              <w:t>9,712,332</w:t>
            </w:r>
          </w:p>
        </w:tc>
        <w:tc>
          <w:tcPr>
            <w:tcW w:w="1701" w:type="dxa"/>
            <w:tcBorders>
              <w:top w:val="nil"/>
              <w:left w:val="nil"/>
              <w:bottom w:val="nil"/>
              <w:right w:val="nil"/>
            </w:tcBorders>
            <w:vAlign w:val="bottom"/>
          </w:tcPr>
          <w:p w14:paraId="752B980B" w14:textId="7AD2FAC7" w:rsidR="00D84931" w:rsidRPr="001D41EA" w:rsidRDefault="00D84931" w:rsidP="00D84931">
            <w:pPr>
              <w:spacing w:before="40" w:after="20"/>
              <w:jc w:val="right"/>
              <w:rPr>
                <w:rFonts w:cs="Arial"/>
                <w:sz w:val="18"/>
                <w:szCs w:val="18"/>
              </w:rPr>
            </w:pPr>
            <w:r w:rsidRPr="001D41EA">
              <w:rPr>
                <w:rFonts w:cs="Arial"/>
                <w:sz w:val="18"/>
                <w:szCs w:val="18"/>
              </w:rPr>
              <w:t>24,335,495</w:t>
            </w:r>
          </w:p>
        </w:tc>
      </w:tr>
      <w:tr w:rsidR="00D84931" w:rsidRPr="001D41EA" w14:paraId="69BC91F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0AE5C90" w14:textId="77777777" w:rsidR="00D84931" w:rsidRPr="001D41EA" w:rsidRDefault="00D84931" w:rsidP="00D84931">
            <w:pPr>
              <w:spacing w:before="40" w:after="20"/>
              <w:rPr>
                <w:rFonts w:cs="Arial"/>
                <w:sz w:val="18"/>
                <w:szCs w:val="18"/>
              </w:rPr>
            </w:pPr>
            <w:r w:rsidRPr="001D41EA">
              <w:rPr>
                <w:rFonts w:cs="Arial"/>
                <w:sz w:val="18"/>
                <w:szCs w:val="18"/>
              </w:rPr>
              <w:t>Southern Grampians S</w:t>
            </w:r>
          </w:p>
        </w:tc>
        <w:tc>
          <w:tcPr>
            <w:tcW w:w="1701" w:type="dxa"/>
            <w:tcBorders>
              <w:top w:val="nil"/>
              <w:left w:val="single" w:sz="18" w:space="0" w:color="5F497A" w:themeColor="accent4" w:themeShade="BF"/>
              <w:bottom w:val="nil"/>
              <w:right w:val="nil"/>
            </w:tcBorders>
            <w:shd w:val="clear" w:color="auto" w:fill="auto"/>
            <w:noWrap/>
            <w:vAlign w:val="bottom"/>
          </w:tcPr>
          <w:p w14:paraId="2C21BD9B" w14:textId="0AEB9C7B" w:rsidR="00D84931" w:rsidRPr="001D41EA" w:rsidRDefault="00D84931" w:rsidP="00D84931">
            <w:pPr>
              <w:spacing w:before="40" w:after="20"/>
              <w:jc w:val="right"/>
              <w:rPr>
                <w:rFonts w:cs="Arial"/>
                <w:sz w:val="18"/>
                <w:szCs w:val="18"/>
              </w:rPr>
            </w:pPr>
            <w:r w:rsidRPr="001D41EA">
              <w:rPr>
                <w:rFonts w:cs="Arial"/>
                <w:sz w:val="18"/>
                <w:szCs w:val="18"/>
              </w:rPr>
              <w:t>4,138,118</w:t>
            </w:r>
          </w:p>
        </w:tc>
        <w:tc>
          <w:tcPr>
            <w:tcW w:w="1701" w:type="dxa"/>
            <w:tcBorders>
              <w:top w:val="nil"/>
              <w:left w:val="nil"/>
              <w:bottom w:val="nil"/>
              <w:right w:val="nil"/>
            </w:tcBorders>
            <w:vAlign w:val="bottom"/>
          </w:tcPr>
          <w:p w14:paraId="2573AD1D" w14:textId="0BDEDBA6" w:rsidR="00D84931" w:rsidRPr="001D41EA" w:rsidRDefault="00D84931" w:rsidP="00D84931">
            <w:pPr>
              <w:spacing w:before="40" w:after="20"/>
              <w:jc w:val="right"/>
              <w:rPr>
                <w:rFonts w:cs="Arial"/>
                <w:sz w:val="18"/>
                <w:szCs w:val="18"/>
              </w:rPr>
            </w:pPr>
            <w:r w:rsidRPr="001D41EA">
              <w:rPr>
                <w:rFonts w:cs="Arial"/>
                <w:sz w:val="18"/>
                <w:szCs w:val="18"/>
              </w:rPr>
              <w:t>1,070,879</w:t>
            </w:r>
          </w:p>
        </w:tc>
        <w:tc>
          <w:tcPr>
            <w:tcW w:w="1701" w:type="dxa"/>
            <w:tcBorders>
              <w:top w:val="nil"/>
              <w:left w:val="nil"/>
              <w:bottom w:val="nil"/>
              <w:right w:val="nil"/>
            </w:tcBorders>
            <w:shd w:val="clear" w:color="auto" w:fill="auto"/>
            <w:noWrap/>
            <w:vAlign w:val="bottom"/>
          </w:tcPr>
          <w:p w14:paraId="61C50827" w14:textId="7F9D3549" w:rsidR="00D84931" w:rsidRPr="001D41EA" w:rsidRDefault="00D84931" w:rsidP="00D84931">
            <w:pPr>
              <w:spacing w:before="40" w:after="20"/>
              <w:jc w:val="right"/>
              <w:rPr>
                <w:rFonts w:cs="Arial"/>
                <w:sz w:val="18"/>
                <w:szCs w:val="18"/>
              </w:rPr>
            </w:pPr>
            <w:r w:rsidRPr="001D41EA">
              <w:rPr>
                <w:rFonts w:cs="Arial"/>
                <w:sz w:val="18"/>
                <w:szCs w:val="18"/>
              </w:rPr>
              <w:t>7,181,891</w:t>
            </w:r>
          </w:p>
        </w:tc>
        <w:tc>
          <w:tcPr>
            <w:tcW w:w="1701" w:type="dxa"/>
            <w:tcBorders>
              <w:top w:val="nil"/>
              <w:left w:val="nil"/>
              <w:bottom w:val="nil"/>
              <w:right w:val="nil"/>
            </w:tcBorders>
            <w:vAlign w:val="bottom"/>
          </w:tcPr>
          <w:p w14:paraId="5ED6991B" w14:textId="4D122462" w:rsidR="00D84931" w:rsidRPr="001D41EA" w:rsidRDefault="00D84931" w:rsidP="00D84931">
            <w:pPr>
              <w:spacing w:before="40" w:after="20"/>
              <w:jc w:val="right"/>
              <w:rPr>
                <w:rFonts w:cs="Arial"/>
                <w:sz w:val="18"/>
                <w:szCs w:val="18"/>
              </w:rPr>
            </w:pPr>
            <w:r w:rsidRPr="001D41EA">
              <w:rPr>
                <w:rFonts w:cs="Arial"/>
                <w:sz w:val="18"/>
                <w:szCs w:val="18"/>
              </w:rPr>
              <w:t>12,390,887</w:t>
            </w:r>
          </w:p>
        </w:tc>
      </w:tr>
      <w:tr w:rsidR="00D84931" w:rsidRPr="001D41EA" w14:paraId="67C64EE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237FBC3" w14:textId="77777777" w:rsidR="00D84931" w:rsidRPr="001D41EA" w:rsidRDefault="00D84931" w:rsidP="00D84931">
            <w:pPr>
              <w:spacing w:before="40" w:after="20"/>
              <w:rPr>
                <w:rFonts w:cs="Arial"/>
                <w:sz w:val="18"/>
                <w:szCs w:val="18"/>
              </w:rPr>
            </w:pPr>
            <w:r w:rsidRPr="001D41EA">
              <w:rPr>
                <w:rFonts w:cs="Arial"/>
                <w:sz w:val="18"/>
                <w:szCs w:val="18"/>
              </w:rPr>
              <w:t>Stonnington C</w:t>
            </w:r>
          </w:p>
        </w:tc>
        <w:tc>
          <w:tcPr>
            <w:tcW w:w="1701" w:type="dxa"/>
            <w:tcBorders>
              <w:top w:val="nil"/>
              <w:left w:val="single" w:sz="18" w:space="0" w:color="5F497A" w:themeColor="accent4" w:themeShade="BF"/>
              <w:bottom w:val="nil"/>
              <w:right w:val="nil"/>
            </w:tcBorders>
            <w:shd w:val="clear" w:color="auto" w:fill="auto"/>
            <w:noWrap/>
            <w:vAlign w:val="bottom"/>
          </w:tcPr>
          <w:p w14:paraId="38C20B35" w14:textId="4C0AAEF9" w:rsidR="00D84931" w:rsidRPr="001D41EA" w:rsidRDefault="00D84931" w:rsidP="00D84931">
            <w:pPr>
              <w:spacing w:before="40" w:after="20"/>
              <w:jc w:val="right"/>
              <w:rPr>
                <w:rFonts w:cs="Arial"/>
                <w:sz w:val="18"/>
                <w:szCs w:val="18"/>
              </w:rPr>
            </w:pPr>
            <w:r w:rsidRPr="001D41EA">
              <w:rPr>
                <w:rFonts w:cs="Arial"/>
                <w:sz w:val="18"/>
                <w:szCs w:val="18"/>
              </w:rPr>
              <w:t>183,440,202</w:t>
            </w:r>
          </w:p>
        </w:tc>
        <w:tc>
          <w:tcPr>
            <w:tcW w:w="1701" w:type="dxa"/>
            <w:tcBorders>
              <w:top w:val="nil"/>
              <w:left w:val="nil"/>
              <w:bottom w:val="nil"/>
              <w:right w:val="nil"/>
            </w:tcBorders>
            <w:vAlign w:val="bottom"/>
          </w:tcPr>
          <w:p w14:paraId="0734BFE9" w14:textId="50E76B76" w:rsidR="00D84931" w:rsidRPr="001D41EA" w:rsidRDefault="00D84931" w:rsidP="00D84931">
            <w:pPr>
              <w:spacing w:before="40" w:after="20"/>
              <w:jc w:val="right"/>
              <w:rPr>
                <w:rFonts w:cs="Arial"/>
                <w:sz w:val="18"/>
                <w:szCs w:val="18"/>
              </w:rPr>
            </w:pPr>
            <w:r w:rsidRPr="001D41EA">
              <w:rPr>
                <w:rFonts w:cs="Arial"/>
                <w:sz w:val="18"/>
                <w:szCs w:val="18"/>
              </w:rPr>
              <w:t>38,595,179</w:t>
            </w:r>
          </w:p>
        </w:tc>
        <w:tc>
          <w:tcPr>
            <w:tcW w:w="1701" w:type="dxa"/>
            <w:tcBorders>
              <w:top w:val="nil"/>
              <w:left w:val="nil"/>
              <w:bottom w:val="nil"/>
              <w:right w:val="nil"/>
            </w:tcBorders>
            <w:shd w:val="clear" w:color="auto" w:fill="auto"/>
            <w:noWrap/>
            <w:vAlign w:val="bottom"/>
          </w:tcPr>
          <w:p w14:paraId="0DB2F4FC" w14:textId="59126203"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256D28E3" w14:textId="3146E641" w:rsidR="00D84931" w:rsidRPr="001D41EA" w:rsidRDefault="00D84931" w:rsidP="00D84931">
            <w:pPr>
              <w:spacing w:before="40" w:after="20"/>
              <w:jc w:val="right"/>
              <w:rPr>
                <w:rFonts w:cs="Arial"/>
                <w:sz w:val="18"/>
                <w:szCs w:val="18"/>
              </w:rPr>
            </w:pPr>
            <w:r w:rsidRPr="001D41EA">
              <w:rPr>
                <w:rFonts w:cs="Arial"/>
                <w:sz w:val="18"/>
                <w:szCs w:val="18"/>
              </w:rPr>
              <w:t>222,035,381</w:t>
            </w:r>
          </w:p>
        </w:tc>
      </w:tr>
      <w:tr w:rsidR="00D84931" w:rsidRPr="001D41EA" w14:paraId="4E8E35A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DCEB85C" w14:textId="77777777" w:rsidR="00D84931" w:rsidRPr="001D41EA" w:rsidRDefault="00D84931" w:rsidP="00D84931">
            <w:pPr>
              <w:spacing w:before="40" w:after="20"/>
              <w:rPr>
                <w:rFonts w:cs="Arial"/>
                <w:sz w:val="18"/>
                <w:szCs w:val="18"/>
              </w:rPr>
            </w:pPr>
            <w:r w:rsidRPr="001D41EA">
              <w:rPr>
                <w:rFonts w:cs="Arial"/>
                <w:sz w:val="18"/>
                <w:szCs w:val="18"/>
              </w:rPr>
              <w:t>Strathbogie S</w:t>
            </w:r>
          </w:p>
        </w:tc>
        <w:tc>
          <w:tcPr>
            <w:tcW w:w="1701" w:type="dxa"/>
            <w:tcBorders>
              <w:top w:val="nil"/>
              <w:left w:val="single" w:sz="18" w:space="0" w:color="5F497A" w:themeColor="accent4" w:themeShade="BF"/>
              <w:bottom w:val="nil"/>
              <w:right w:val="nil"/>
            </w:tcBorders>
            <w:shd w:val="clear" w:color="auto" w:fill="auto"/>
            <w:noWrap/>
            <w:vAlign w:val="bottom"/>
          </w:tcPr>
          <w:p w14:paraId="3E83683B" w14:textId="07FC2B4D" w:rsidR="00D84931" w:rsidRPr="001D41EA" w:rsidRDefault="00D84931" w:rsidP="00D84931">
            <w:pPr>
              <w:spacing w:before="40" w:after="20"/>
              <w:jc w:val="right"/>
              <w:rPr>
                <w:rFonts w:cs="Arial"/>
                <w:sz w:val="18"/>
                <w:szCs w:val="18"/>
              </w:rPr>
            </w:pPr>
            <w:r w:rsidRPr="001D41EA">
              <w:rPr>
                <w:rFonts w:cs="Arial"/>
                <w:sz w:val="18"/>
                <w:szCs w:val="18"/>
              </w:rPr>
              <w:t>3,411,446</w:t>
            </w:r>
          </w:p>
        </w:tc>
        <w:tc>
          <w:tcPr>
            <w:tcW w:w="1701" w:type="dxa"/>
            <w:tcBorders>
              <w:top w:val="nil"/>
              <w:left w:val="nil"/>
              <w:bottom w:val="nil"/>
              <w:right w:val="nil"/>
            </w:tcBorders>
            <w:vAlign w:val="bottom"/>
          </w:tcPr>
          <w:p w14:paraId="52426BDC" w14:textId="7015DAB9" w:rsidR="00D84931" w:rsidRPr="001D41EA" w:rsidRDefault="00D84931" w:rsidP="00D84931">
            <w:pPr>
              <w:spacing w:before="40" w:after="20"/>
              <w:jc w:val="right"/>
              <w:rPr>
                <w:rFonts w:cs="Arial"/>
                <w:sz w:val="18"/>
                <w:szCs w:val="18"/>
              </w:rPr>
            </w:pPr>
            <w:r w:rsidRPr="001D41EA">
              <w:rPr>
                <w:rFonts w:cs="Arial"/>
                <w:sz w:val="18"/>
                <w:szCs w:val="18"/>
              </w:rPr>
              <w:t>423,119</w:t>
            </w:r>
          </w:p>
        </w:tc>
        <w:tc>
          <w:tcPr>
            <w:tcW w:w="1701" w:type="dxa"/>
            <w:tcBorders>
              <w:top w:val="nil"/>
              <w:left w:val="nil"/>
              <w:bottom w:val="nil"/>
              <w:right w:val="nil"/>
            </w:tcBorders>
            <w:shd w:val="clear" w:color="auto" w:fill="auto"/>
            <w:noWrap/>
            <w:vAlign w:val="bottom"/>
          </w:tcPr>
          <w:p w14:paraId="5930BB40" w14:textId="1174DC6D" w:rsidR="00D84931" w:rsidRPr="001D41EA" w:rsidRDefault="00D84931" w:rsidP="00D84931">
            <w:pPr>
              <w:spacing w:before="40" w:after="20"/>
              <w:jc w:val="right"/>
              <w:rPr>
                <w:rFonts w:cs="Arial"/>
                <w:sz w:val="18"/>
                <w:szCs w:val="18"/>
              </w:rPr>
            </w:pPr>
            <w:r w:rsidRPr="001D41EA">
              <w:rPr>
                <w:rFonts w:cs="Arial"/>
                <w:sz w:val="18"/>
                <w:szCs w:val="18"/>
              </w:rPr>
              <w:t>5,533,730</w:t>
            </w:r>
          </w:p>
        </w:tc>
        <w:tc>
          <w:tcPr>
            <w:tcW w:w="1701" w:type="dxa"/>
            <w:tcBorders>
              <w:top w:val="nil"/>
              <w:left w:val="nil"/>
              <w:bottom w:val="nil"/>
              <w:right w:val="nil"/>
            </w:tcBorders>
            <w:vAlign w:val="bottom"/>
          </w:tcPr>
          <w:p w14:paraId="3D8C6868" w14:textId="4B3906C2" w:rsidR="00D84931" w:rsidRPr="001D41EA" w:rsidRDefault="00D84931" w:rsidP="00D84931">
            <w:pPr>
              <w:spacing w:before="40" w:after="20"/>
              <w:jc w:val="right"/>
              <w:rPr>
                <w:rFonts w:cs="Arial"/>
                <w:sz w:val="18"/>
                <w:szCs w:val="18"/>
              </w:rPr>
            </w:pPr>
            <w:r w:rsidRPr="001D41EA">
              <w:rPr>
                <w:rFonts w:cs="Arial"/>
                <w:sz w:val="18"/>
                <w:szCs w:val="18"/>
              </w:rPr>
              <w:t>9,368,294</w:t>
            </w:r>
          </w:p>
        </w:tc>
      </w:tr>
      <w:tr w:rsidR="00D84931" w:rsidRPr="001D41EA" w14:paraId="7E6A02B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0ADE3CC" w14:textId="77777777" w:rsidR="00D84931" w:rsidRPr="001D41EA" w:rsidRDefault="00D84931" w:rsidP="00D84931">
            <w:pPr>
              <w:spacing w:before="40" w:after="20"/>
              <w:rPr>
                <w:rFonts w:cs="Arial"/>
                <w:sz w:val="18"/>
                <w:szCs w:val="18"/>
              </w:rPr>
            </w:pPr>
            <w:r w:rsidRPr="001D41EA">
              <w:rPr>
                <w:rFonts w:cs="Arial"/>
                <w:sz w:val="18"/>
                <w:szCs w:val="18"/>
              </w:rPr>
              <w:t>Surf Coast S</w:t>
            </w:r>
          </w:p>
        </w:tc>
        <w:tc>
          <w:tcPr>
            <w:tcW w:w="1701" w:type="dxa"/>
            <w:tcBorders>
              <w:top w:val="nil"/>
              <w:left w:val="single" w:sz="18" w:space="0" w:color="5F497A" w:themeColor="accent4" w:themeShade="BF"/>
              <w:bottom w:val="nil"/>
              <w:right w:val="nil"/>
            </w:tcBorders>
            <w:shd w:val="clear" w:color="auto" w:fill="auto"/>
            <w:noWrap/>
            <w:vAlign w:val="bottom"/>
          </w:tcPr>
          <w:p w14:paraId="6A08DA8E" w14:textId="65C50D0D" w:rsidR="00D84931" w:rsidRPr="001D41EA" w:rsidRDefault="00D84931" w:rsidP="00D84931">
            <w:pPr>
              <w:spacing w:before="40" w:after="20"/>
              <w:jc w:val="right"/>
              <w:rPr>
                <w:rFonts w:cs="Arial"/>
                <w:sz w:val="18"/>
                <w:szCs w:val="18"/>
              </w:rPr>
            </w:pPr>
            <w:r w:rsidRPr="001D41EA">
              <w:rPr>
                <w:rFonts w:cs="Arial"/>
                <w:sz w:val="18"/>
                <w:szCs w:val="18"/>
              </w:rPr>
              <w:t>36,393,470</w:t>
            </w:r>
          </w:p>
        </w:tc>
        <w:tc>
          <w:tcPr>
            <w:tcW w:w="1701" w:type="dxa"/>
            <w:tcBorders>
              <w:top w:val="nil"/>
              <w:left w:val="nil"/>
              <w:bottom w:val="nil"/>
              <w:right w:val="nil"/>
            </w:tcBorders>
            <w:vAlign w:val="bottom"/>
          </w:tcPr>
          <w:p w14:paraId="70B5646E" w14:textId="53929DFD" w:rsidR="00D84931" w:rsidRPr="001D41EA" w:rsidRDefault="00D84931" w:rsidP="00D84931">
            <w:pPr>
              <w:spacing w:before="40" w:after="20"/>
              <w:jc w:val="right"/>
              <w:rPr>
                <w:rFonts w:cs="Arial"/>
                <w:sz w:val="18"/>
                <w:szCs w:val="18"/>
              </w:rPr>
            </w:pPr>
            <w:r w:rsidRPr="001D41EA">
              <w:rPr>
                <w:rFonts w:cs="Arial"/>
                <w:sz w:val="18"/>
                <w:szCs w:val="18"/>
              </w:rPr>
              <w:t>2,597,314</w:t>
            </w:r>
          </w:p>
        </w:tc>
        <w:tc>
          <w:tcPr>
            <w:tcW w:w="1701" w:type="dxa"/>
            <w:tcBorders>
              <w:top w:val="nil"/>
              <w:left w:val="nil"/>
              <w:bottom w:val="nil"/>
              <w:right w:val="nil"/>
            </w:tcBorders>
            <w:shd w:val="clear" w:color="auto" w:fill="auto"/>
            <w:noWrap/>
            <w:vAlign w:val="bottom"/>
          </w:tcPr>
          <w:p w14:paraId="79DAD0E9" w14:textId="3AC3CCD3" w:rsidR="00D84931" w:rsidRPr="001D41EA" w:rsidRDefault="00D84931" w:rsidP="00D84931">
            <w:pPr>
              <w:spacing w:before="40" w:after="20"/>
              <w:jc w:val="right"/>
              <w:rPr>
                <w:rFonts w:cs="Arial"/>
                <w:sz w:val="18"/>
                <w:szCs w:val="18"/>
              </w:rPr>
            </w:pPr>
            <w:r w:rsidRPr="001D41EA">
              <w:rPr>
                <w:rFonts w:cs="Arial"/>
                <w:sz w:val="18"/>
                <w:szCs w:val="18"/>
              </w:rPr>
              <w:t>3,768,202</w:t>
            </w:r>
          </w:p>
        </w:tc>
        <w:tc>
          <w:tcPr>
            <w:tcW w:w="1701" w:type="dxa"/>
            <w:tcBorders>
              <w:top w:val="nil"/>
              <w:left w:val="nil"/>
              <w:bottom w:val="nil"/>
              <w:right w:val="nil"/>
            </w:tcBorders>
            <w:vAlign w:val="bottom"/>
          </w:tcPr>
          <w:p w14:paraId="5A8D6BB6" w14:textId="0495934C" w:rsidR="00D84931" w:rsidRPr="001D41EA" w:rsidRDefault="00D84931" w:rsidP="00D84931">
            <w:pPr>
              <w:spacing w:before="40" w:after="20"/>
              <w:jc w:val="right"/>
              <w:rPr>
                <w:rFonts w:cs="Arial"/>
                <w:sz w:val="18"/>
                <w:szCs w:val="18"/>
              </w:rPr>
            </w:pPr>
            <w:r w:rsidRPr="001D41EA">
              <w:rPr>
                <w:rFonts w:cs="Arial"/>
                <w:sz w:val="18"/>
                <w:szCs w:val="18"/>
              </w:rPr>
              <w:t>42,758,986</w:t>
            </w:r>
          </w:p>
        </w:tc>
      </w:tr>
      <w:tr w:rsidR="00D84931" w:rsidRPr="001D41EA" w14:paraId="5EAA85E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3F68836" w14:textId="77777777" w:rsidR="00D84931" w:rsidRPr="001D41EA" w:rsidRDefault="00D84931" w:rsidP="00D84931">
            <w:pPr>
              <w:spacing w:before="40" w:after="20"/>
              <w:rPr>
                <w:rFonts w:cs="Arial"/>
                <w:sz w:val="18"/>
                <w:szCs w:val="18"/>
              </w:rPr>
            </w:pPr>
            <w:r w:rsidRPr="001D41EA">
              <w:rPr>
                <w:rFonts w:cs="Arial"/>
                <w:sz w:val="18"/>
                <w:szCs w:val="18"/>
              </w:rPr>
              <w:t>Swan Hill RC</w:t>
            </w:r>
          </w:p>
        </w:tc>
        <w:tc>
          <w:tcPr>
            <w:tcW w:w="1701" w:type="dxa"/>
            <w:tcBorders>
              <w:top w:val="nil"/>
              <w:left w:val="single" w:sz="18" w:space="0" w:color="5F497A" w:themeColor="accent4" w:themeShade="BF"/>
              <w:bottom w:val="nil"/>
              <w:right w:val="nil"/>
            </w:tcBorders>
            <w:shd w:val="clear" w:color="auto" w:fill="auto"/>
            <w:noWrap/>
            <w:vAlign w:val="bottom"/>
          </w:tcPr>
          <w:p w14:paraId="63D44AC5" w14:textId="79407983" w:rsidR="00D84931" w:rsidRPr="001D41EA" w:rsidRDefault="00D84931" w:rsidP="00D84931">
            <w:pPr>
              <w:spacing w:before="40" w:after="20"/>
              <w:jc w:val="right"/>
              <w:rPr>
                <w:rFonts w:cs="Arial"/>
                <w:sz w:val="18"/>
                <w:szCs w:val="18"/>
              </w:rPr>
            </w:pPr>
            <w:r w:rsidRPr="001D41EA">
              <w:rPr>
                <w:rFonts w:cs="Arial"/>
                <w:sz w:val="18"/>
                <w:szCs w:val="18"/>
              </w:rPr>
              <w:t>4,483,034</w:t>
            </w:r>
          </w:p>
        </w:tc>
        <w:tc>
          <w:tcPr>
            <w:tcW w:w="1701" w:type="dxa"/>
            <w:tcBorders>
              <w:top w:val="nil"/>
              <w:left w:val="nil"/>
              <w:bottom w:val="nil"/>
              <w:right w:val="nil"/>
            </w:tcBorders>
            <w:vAlign w:val="bottom"/>
          </w:tcPr>
          <w:p w14:paraId="62454886" w14:textId="39828B8E" w:rsidR="00D84931" w:rsidRPr="001D41EA" w:rsidRDefault="00D84931" w:rsidP="00D84931">
            <w:pPr>
              <w:spacing w:before="40" w:after="20"/>
              <w:jc w:val="right"/>
              <w:rPr>
                <w:rFonts w:cs="Arial"/>
                <w:sz w:val="18"/>
                <w:szCs w:val="18"/>
              </w:rPr>
            </w:pPr>
            <w:r w:rsidRPr="001D41EA">
              <w:rPr>
                <w:rFonts w:cs="Arial"/>
                <w:sz w:val="18"/>
                <w:szCs w:val="18"/>
              </w:rPr>
              <w:t>1,237,565</w:t>
            </w:r>
          </w:p>
        </w:tc>
        <w:tc>
          <w:tcPr>
            <w:tcW w:w="1701" w:type="dxa"/>
            <w:tcBorders>
              <w:top w:val="nil"/>
              <w:left w:val="nil"/>
              <w:bottom w:val="nil"/>
              <w:right w:val="nil"/>
            </w:tcBorders>
            <w:shd w:val="clear" w:color="auto" w:fill="auto"/>
            <w:noWrap/>
            <w:vAlign w:val="bottom"/>
          </w:tcPr>
          <w:p w14:paraId="16FC182C" w14:textId="60308EE4" w:rsidR="00D84931" w:rsidRPr="001D41EA" w:rsidRDefault="00D84931" w:rsidP="00D84931">
            <w:pPr>
              <w:spacing w:before="40" w:after="20"/>
              <w:jc w:val="right"/>
              <w:rPr>
                <w:rFonts w:cs="Arial"/>
                <w:sz w:val="18"/>
                <w:szCs w:val="18"/>
              </w:rPr>
            </w:pPr>
            <w:r w:rsidRPr="001D41EA">
              <w:rPr>
                <w:rFonts w:cs="Arial"/>
                <w:sz w:val="18"/>
                <w:szCs w:val="18"/>
              </w:rPr>
              <w:t>6,195,200</w:t>
            </w:r>
          </w:p>
        </w:tc>
        <w:tc>
          <w:tcPr>
            <w:tcW w:w="1701" w:type="dxa"/>
            <w:tcBorders>
              <w:top w:val="nil"/>
              <w:left w:val="nil"/>
              <w:bottom w:val="nil"/>
              <w:right w:val="nil"/>
            </w:tcBorders>
            <w:vAlign w:val="bottom"/>
          </w:tcPr>
          <w:p w14:paraId="6037FB24" w14:textId="41E6A588" w:rsidR="00D84931" w:rsidRPr="001D41EA" w:rsidRDefault="00D84931" w:rsidP="00D84931">
            <w:pPr>
              <w:spacing w:before="40" w:after="20"/>
              <w:jc w:val="right"/>
              <w:rPr>
                <w:rFonts w:cs="Arial"/>
                <w:sz w:val="18"/>
                <w:szCs w:val="18"/>
              </w:rPr>
            </w:pPr>
            <w:r w:rsidRPr="001D41EA">
              <w:rPr>
                <w:rFonts w:cs="Arial"/>
                <w:sz w:val="18"/>
                <w:szCs w:val="18"/>
              </w:rPr>
              <w:t>11,915,799</w:t>
            </w:r>
          </w:p>
        </w:tc>
      </w:tr>
      <w:tr w:rsidR="00D84931" w:rsidRPr="001D41EA" w14:paraId="1CCDE5C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EDF78A8" w14:textId="77777777" w:rsidR="00D84931" w:rsidRPr="001D41EA" w:rsidRDefault="00D84931" w:rsidP="00D84931">
            <w:pPr>
              <w:spacing w:before="40" w:after="20"/>
              <w:rPr>
                <w:rFonts w:cs="Arial"/>
                <w:sz w:val="18"/>
                <w:szCs w:val="18"/>
              </w:rPr>
            </w:pPr>
            <w:r w:rsidRPr="001D41EA">
              <w:rPr>
                <w:rFonts w:cs="Arial"/>
                <w:sz w:val="18"/>
                <w:szCs w:val="18"/>
              </w:rPr>
              <w:t>Towong S</w:t>
            </w:r>
          </w:p>
        </w:tc>
        <w:tc>
          <w:tcPr>
            <w:tcW w:w="1701" w:type="dxa"/>
            <w:tcBorders>
              <w:top w:val="nil"/>
              <w:left w:val="single" w:sz="18" w:space="0" w:color="5F497A" w:themeColor="accent4" w:themeShade="BF"/>
              <w:bottom w:val="nil"/>
              <w:right w:val="nil"/>
            </w:tcBorders>
            <w:shd w:val="clear" w:color="auto" w:fill="auto"/>
            <w:noWrap/>
            <w:vAlign w:val="bottom"/>
          </w:tcPr>
          <w:p w14:paraId="6E24B665" w14:textId="4869310A" w:rsidR="00D84931" w:rsidRPr="001D41EA" w:rsidRDefault="00D84931" w:rsidP="00D84931">
            <w:pPr>
              <w:spacing w:before="40" w:after="20"/>
              <w:jc w:val="right"/>
              <w:rPr>
                <w:rFonts w:cs="Arial"/>
                <w:sz w:val="18"/>
                <w:szCs w:val="18"/>
              </w:rPr>
            </w:pPr>
            <w:r w:rsidRPr="001D41EA">
              <w:rPr>
                <w:rFonts w:cs="Arial"/>
                <w:sz w:val="18"/>
                <w:szCs w:val="18"/>
              </w:rPr>
              <w:t>1,173,043</w:t>
            </w:r>
          </w:p>
        </w:tc>
        <w:tc>
          <w:tcPr>
            <w:tcW w:w="1701" w:type="dxa"/>
            <w:tcBorders>
              <w:top w:val="nil"/>
              <w:left w:val="nil"/>
              <w:bottom w:val="nil"/>
              <w:right w:val="nil"/>
            </w:tcBorders>
            <w:vAlign w:val="bottom"/>
          </w:tcPr>
          <w:p w14:paraId="11763A14" w14:textId="068B3649" w:rsidR="00D84931" w:rsidRPr="001D41EA" w:rsidRDefault="00D84931" w:rsidP="00D84931">
            <w:pPr>
              <w:spacing w:before="40" w:after="20"/>
              <w:jc w:val="right"/>
              <w:rPr>
                <w:rFonts w:cs="Arial"/>
                <w:sz w:val="18"/>
                <w:szCs w:val="18"/>
              </w:rPr>
            </w:pPr>
            <w:r w:rsidRPr="001D41EA">
              <w:rPr>
                <w:rFonts w:cs="Arial"/>
                <w:sz w:val="18"/>
                <w:szCs w:val="18"/>
              </w:rPr>
              <w:t>138,954</w:t>
            </w:r>
          </w:p>
        </w:tc>
        <w:tc>
          <w:tcPr>
            <w:tcW w:w="1701" w:type="dxa"/>
            <w:tcBorders>
              <w:top w:val="nil"/>
              <w:left w:val="nil"/>
              <w:bottom w:val="nil"/>
              <w:right w:val="nil"/>
            </w:tcBorders>
            <w:shd w:val="clear" w:color="auto" w:fill="auto"/>
            <w:noWrap/>
            <w:vAlign w:val="bottom"/>
          </w:tcPr>
          <w:p w14:paraId="7F9ECEA1" w14:textId="25AE4658" w:rsidR="00D84931" w:rsidRPr="001D41EA" w:rsidRDefault="00D84931" w:rsidP="00D84931">
            <w:pPr>
              <w:spacing w:before="40" w:after="20"/>
              <w:jc w:val="right"/>
              <w:rPr>
                <w:rFonts w:cs="Arial"/>
                <w:sz w:val="18"/>
                <w:szCs w:val="18"/>
              </w:rPr>
            </w:pPr>
            <w:r w:rsidRPr="001D41EA">
              <w:rPr>
                <w:rFonts w:cs="Arial"/>
                <w:sz w:val="18"/>
                <w:szCs w:val="18"/>
              </w:rPr>
              <w:t>3,452,173</w:t>
            </w:r>
          </w:p>
        </w:tc>
        <w:tc>
          <w:tcPr>
            <w:tcW w:w="1701" w:type="dxa"/>
            <w:tcBorders>
              <w:top w:val="nil"/>
              <w:left w:val="nil"/>
              <w:bottom w:val="nil"/>
              <w:right w:val="nil"/>
            </w:tcBorders>
            <w:vAlign w:val="bottom"/>
          </w:tcPr>
          <w:p w14:paraId="0A69EDA1" w14:textId="29CD5DCF" w:rsidR="00D84931" w:rsidRPr="001D41EA" w:rsidRDefault="00D84931" w:rsidP="00D84931">
            <w:pPr>
              <w:spacing w:before="40" w:after="20"/>
              <w:jc w:val="right"/>
              <w:rPr>
                <w:rFonts w:cs="Arial"/>
                <w:sz w:val="18"/>
                <w:szCs w:val="18"/>
              </w:rPr>
            </w:pPr>
            <w:r w:rsidRPr="001D41EA">
              <w:rPr>
                <w:rFonts w:cs="Arial"/>
                <w:sz w:val="18"/>
                <w:szCs w:val="18"/>
              </w:rPr>
              <w:t>4,764,170</w:t>
            </w:r>
          </w:p>
        </w:tc>
      </w:tr>
      <w:tr w:rsidR="00D84931" w:rsidRPr="001D41EA" w14:paraId="1505AD6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1F49DD2" w14:textId="77777777" w:rsidR="00D84931" w:rsidRPr="001D41EA" w:rsidRDefault="00D84931" w:rsidP="00D84931">
            <w:pPr>
              <w:spacing w:before="40" w:after="20"/>
              <w:rPr>
                <w:rFonts w:cs="Arial"/>
                <w:sz w:val="18"/>
                <w:szCs w:val="18"/>
              </w:rPr>
            </w:pPr>
            <w:r w:rsidRPr="001D41EA">
              <w:rPr>
                <w:rFonts w:cs="Arial"/>
                <w:sz w:val="18"/>
                <w:szCs w:val="18"/>
              </w:rPr>
              <w:t>Wangaratta RC</w:t>
            </w:r>
          </w:p>
        </w:tc>
        <w:tc>
          <w:tcPr>
            <w:tcW w:w="1701" w:type="dxa"/>
            <w:tcBorders>
              <w:top w:val="nil"/>
              <w:left w:val="single" w:sz="18" w:space="0" w:color="5F497A" w:themeColor="accent4" w:themeShade="BF"/>
              <w:bottom w:val="nil"/>
              <w:right w:val="nil"/>
            </w:tcBorders>
            <w:shd w:val="clear" w:color="auto" w:fill="auto"/>
            <w:noWrap/>
            <w:vAlign w:val="bottom"/>
          </w:tcPr>
          <w:p w14:paraId="4057404E" w14:textId="46949EBF" w:rsidR="00D84931" w:rsidRPr="001D41EA" w:rsidRDefault="00D84931" w:rsidP="00D84931">
            <w:pPr>
              <w:spacing w:before="40" w:after="20"/>
              <w:jc w:val="right"/>
              <w:rPr>
                <w:rFonts w:cs="Arial"/>
                <w:sz w:val="18"/>
                <w:szCs w:val="18"/>
              </w:rPr>
            </w:pPr>
            <w:r w:rsidRPr="001D41EA">
              <w:rPr>
                <w:rFonts w:cs="Arial"/>
                <w:sz w:val="18"/>
                <w:szCs w:val="18"/>
              </w:rPr>
              <w:t>8,681,934</w:t>
            </w:r>
          </w:p>
        </w:tc>
        <w:tc>
          <w:tcPr>
            <w:tcW w:w="1701" w:type="dxa"/>
            <w:tcBorders>
              <w:top w:val="nil"/>
              <w:left w:val="nil"/>
              <w:bottom w:val="nil"/>
              <w:right w:val="nil"/>
            </w:tcBorders>
            <w:vAlign w:val="bottom"/>
          </w:tcPr>
          <w:p w14:paraId="6E4AC0F5" w14:textId="4E9AE957" w:rsidR="00D84931" w:rsidRPr="001D41EA" w:rsidRDefault="00D84931" w:rsidP="00D84931">
            <w:pPr>
              <w:spacing w:before="40" w:after="20"/>
              <w:jc w:val="right"/>
              <w:rPr>
                <w:rFonts w:cs="Arial"/>
                <w:sz w:val="18"/>
                <w:szCs w:val="18"/>
              </w:rPr>
            </w:pPr>
            <w:r w:rsidRPr="001D41EA">
              <w:rPr>
                <w:rFonts w:cs="Arial"/>
                <w:sz w:val="18"/>
                <w:szCs w:val="18"/>
              </w:rPr>
              <w:t>2,037,701</w:t>
            </w:r>
          </w:p>
        </w:tc>
        <w:tc>
          <w:tcPr>
            <w:tcW w:w="1701" w:type="dxa"/>
            <w:tcBorders>
              <w:top w:val="nil"/>
              <w:left w:val="nil"/>
              <w:bottom w:val="nil"/>
              <w:right w:val="nil"/>
            </w:tcBorders>
            <w:shd w:val="clear" w:color="auto" w:fill="auto"/>
            <w:noWrap/>
            <w:vAlign w:val="bottom"/>
          </w:tcPr>
          <w:p w14:paraId="44D961ED" w14:textId="27F69449" w:rsidR="00D84931" w:rsidRPr="001D41EA" w:rsidRDefault="00D84931" w:rsidP="00D84931">
            <w:pPr>
              <w:spacing w:before="40" w:after="20"/>
              <w:jc w:val="right"/>
              <w:rPr>
                <w:rFonts w:cs="Arial"/>
                <w:sz w:val="18"/>
                <w:szCs w:val="18"/>
              </w:rPr>
            </w:pPr>
            <w:r w:rsidRPr="001D41EA">
              <w:rPr>
                <w:rFonts w:cs="Arial"/>
                <w:sz w:val="18"/>
                <w:szCs w:val="18"/>
              </w:rPr>
              <w:t>5,292,619</w:t>
            </w:r>
          </w:p>
        </w:tc>
        <w:tc>
          <w:tcPr>
            <w:tcW w:w="1701" w:type="dxa"/>
            <w:tcBorders>
              <w:top w:val="nil"/>
              <w:left w:val="nil"/>
              <w:bottom w:val="nil"/>
              <w:right w:val="nil"/>
            </w:tcBorders>
            <w:vAlign w:val="bottom"/>
          </w:tcPr>
          <w:p w14:paraId="628EA2BA" w14:textId="39A37AA7" w:rsidR="00D84931" w:rsidRPr="001D41EA" w:rsidRDefault="00D84931" w:rsidP="00D84931">
            <w:pPr>
              <w:spacing w:before="40" w:after="20"/>
              <w:jc w:val="right"/>
              <w:rPr>
                <w:rFonts w:cs="Arial"/>
                <w:sz w:val="18"/>
                <w:szCs w:val="18"/>
              </w:rPr>
            </w:pPr>
            <w:r w:rsidRPr="001D41EA">
              <w:rPr>
                <w:rFonts w:cs="Arial"/>
                <w:sz w:val="18"/>
                <w:szCs w:val="18"/>
              </w:rPr>
              <w:t>16,012,254</w:t>
            </w:r>
          </w:p>
        </w:tc>
      </w:tr>
      <w:tr w:rsidR="00D84931" w:rsidRPr="001D41EA" w14:paraId="461A7CE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5DA67F1" w14:textId="77777777" w:rsidR="00D84931" w:rsidRPr="001D41EA" w:rsidRDefault="00D84931" w:rsidP="00D84931">
            <w:pPr>
              <w:spacing w:before="40" w:after="20"/>
              <w:rPr>
                <w:rFonts w:cs="Arial"/>
                <w:sz w:val="18"/>
                <w:szCs w:val="18"/>
              </w:rPr>
            </w:pPr>
            <w:r w:rsidRPr="001D41EA">
              <w:rPr>
                <w:rFonts w:cs="Arial"/>
                <w:sz w:val="18"/>
                <w:szCs w:val="18"/>
              </w:rPr>
              <w:t>Warrnambool C</w:t>
            </w:r>
          </w:p>
        </w:tc>
        <w:tc>
          <w:tcPr>
            <w:tcW w:w="1701" w:type="dxa"/>
            <w:tcBorders>
              <w:top w:val="nil"/>
              <w:left w:val="single" w:sz="18" w:space="0" w:color="5F497A" w:themeColor="accent4" w:themeShade="BF"/>
              <w:bottom w:val="nil"/>
              <w:right w:val="nil"/>
            </w:tcBorders>
            <w:shd w:val="clear" w:color="auto" w:fill="auto"/>
            <w:noWrap/>
            <w:vAlign w:val="bottom"/>
          </w:tcPr>
          <w:p w14:paraId="76D2575F" w14:textId="4FA5331B" w:rsidR="00D84931" w:rsidRPr="001D41EA" w:rsidRDefault="00D84931" w:rsidP="00D84931">
            <w:pPr>
              <w:spacing w:before="40" w:after="20"/>
              <w:jc w:val="right"/>
              <w:rPr>
                <w:rFonts w:cs="Arial"/>
                <w:sz w:val="18"/>
                <w:szCs w:val="18"/>
              </w:rPr>
            </w:pPr>
            <w:r w:rsidRPr="001D41EA">
              <w:rPr>
                <w:rFonts w:cs="Arial"/>
                <w:sz w:val="18"/>
                <w:szCs w:val="18"/>
              </w:rPr>
              <w:t>14,960,566</w:t>
            </w:r>
          </w:p>
        </w:tc>
        <w:tc>
          <w:tcPr>
            <w:tcW w:w="1701" w:type="dxa"/>
            <w:tcBorders>
              <w:top w:val="nil"/>
              <w:left w:val="nil"/>
              <w:bottom w:val="nil"/>
              <w:right w:val="nil"/>
            </w:tcBorders>
            <w:vAlign w:val="bottom"/>
          </w:tcPr>
          <w:p w14:paraId="7E6EDB02" w14:textId="0FA675DE" w:rsidR="00D84931" w:rsidRPr="001D41EA" w:rsidRDefault="00D84931" w:rsidP="00D84931">
            <w:pPr>
              <w:spacing w:before="40" w:after="20"/>
              <w:jc w:val="right"/>
              <w:rPr>
                <w:rFonts w:cs="Arial"/>
                <w:sz w:val="18"/>
                <w:szCs w:val="18"/>
              </w:rPr>
            </w:pPr>
            <w:r w:rsidRPr="001D41EA">
              <w:rPr>
                <w:rFonts w:cs="Arial"/>
                <w:sz w:val="18"/>
                <w:szCs w:val="18"/>
              </w:rPr>
              <w:t>3,817,797</w:t>
            </w:r>
          </w:p>
        </w:tc>
        <w:tc>
          <w:tcPr>
            <w:tcW w:w="1701" w:type="dxa"/>
            <w:tcBorders>
              <w:top w:val="nil"/>
              <w:left w:val="nil"/>
              <w:bottom w:val="nil"/>
              <w:right w:val="nil"/>
            </w:tcBorders>
            <w:shd w:val="clear" w:color="auto" w:fill="auto"/>
            <w:noWrap/>
            <w:vAlign w:val="bottom"/>
          </w:tcPr>
          <w:p w14:paraId="7DD4D389" w14:textId="00047E13" w:rsidR="00D84931" w:rsidRPr="001D41EA" w:rsidRDefault="00D84931" w:rsidP="00D84931">
            <w:pPr>
              <w:spacing w:before="40" w:after="20"/>
              <w:jc w:val="right"/>
              <w:rPr>
                <w:rFonts w:cs="Arial"/>
                <w:sz w:val="18"/>
                <w:szCs w:val="18"/>
              </w:rPr>
            </w:pPr>
            <w:r w:rsidRPr="001D41EA">
              <w:rPr>
                <w:rFonts w:cs="Arial"/>
                <w:sz w:val="18"/>
                <w:szCs w:val="18"/>
              </w:rPr>
              <w:t>708,865</w:t>
            </w:r>
          </w:p>
        </w:tc>
        <w:tc>
          <w:tcPr>
            <w:tcW w:w="1701" w:type="dxa"/>
            <w:tcBorders>
              <w:top w:val="nil"/>
              <w:left w:val="nil"/>
              <w:bottom w:val="nil"/>
              <w:right w:val="nil"/>
            </w:tcBorders>
            <w:vAlign w:val="bottom"/>
          </w:tcPr>
          <w:p w14:paraId="68C419B1" w14:textId="476549C3" w:rsidR="00D84931" w:rsidRPr="001D41EA" w:rsidRDefault="00D84931" w:rsidP="00D84931">
            <w:pPr>
              <w:spacing w:before="40" w:after="20"/>
              <w:jc w:val="right"/>
              <w:rPr>
                <w:rFonts w:cs="Arial"/>
                <w:sz w:val="18"/>
                <w:szCs w:val="18"/>
              </w:rPr>
            </w:pPr>
            <w:r w:rsidRPr="001D41EA">
              <w:rPr>
                <w:rFonts w:cs="Arial"/>
                <w:sz w:val="18"/>
                <w:szCs w:val="18"/>
              </w:rPr>
              <w:t>19,487,228</w:t>
            </w:r>
          </w:p>
        </w:tc>
      </w:tr>
      <w:tr w:rsidR="00D84931" w:rsidRPr="001D41EA" w14:paraId="77CD121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137AA4E" w14:textId="77777777" w:rsidR="00D84931" w:rsidRPr="001D41EA" w:rsidRDefault="00D84931" w:rsidP="00D84931">
            <w:pPr>
              <w:spacing w:before="40" w:after="20"/>
              <w:rPr>
                <w:rFonts w:cs="Arial"/>
                <w:sz w:val="18"/>
                <w:szCs w:val="18"/>
              </w:rPr>
            </w:pPr>
            <w:r w:rsidRPr="001D41EA">
              <w:rPr>
                <w:rFonts w:cs="Arial"/>
                <w:sz w:val="18"/>
                <w:szCs w:val="18"/>
              </w:rPr>
              <w:t>Wellington S</w:t>
            </w:r>
          </w:p>
        </w:tc>
        <w:tc>
          <w:tcPr>
            <w:tcW w:w="1701" w:type="dxa"/>
            <w:tcBorders>
              <w:top w:val="nil"/>
              <w:left w:val="single" w:sz="18" w:space="0" w:color="5F497A" w:themeColor="accent4" w:themeShade="BF"/>
              <w:bottom w:val="nil"/>
              <w:right w:val="nil"/>
            </w:tcBorders>
            <w:shd w:val="clear" w:color="auto" w:fill="auto"/>
            <w:noWrap/>
            <w:vAlign w:val="bottom"/>
          </w:tcPr>
          <w:p w14:paraId="4F8D1EC5" w14:textId="13CB93C9" w:rsidR="00D84931" w:rsidRPr="001D41EA" w:rsidRDefault="00D84931" w:rsidP="00D84931">
            <w:pPr>
              <w:spacing w:before="40" w:after="20"/>
              <w:jc w:val="right"/>
              <w:rPr>
                <w:rFonts w:cs="Arial"/>
                <w:sz w:val="18"/>
                <w:szCs w:val="18"/>
              </w:rPr>
            </w:pPr>
            <w:r w:rsidRPr="001D41EA">
              <w:rPr>
                <w:rFonts w:cs="Arial"/>
                <w:sz w:val="18"/>
                <w:szCs w:val="18"/>
              </w:rPr>
              <w:t>17,117,602</w:t>
            </w:r>
          </w:p>
        </w:tc>
        <w:tc>
          <w:tcPr>
            <w:tcW w:w="1701" w:type="dxa"/>
            <w:tcBorders>
              <w:top w:val="nil"/>
              <w:left w:val="nil"/>
              <w:bottom w:val="nil"/>
              <w:right w:val="nil"/>
            </w:tcBorders>
            <w:vAlign w:val="bottom"/>
          </w:tcPr>
          <w:p w14:paraId="73E23A64" w14:textId="03F15479" w:rsidR="00D84931" w:rsidRPr="001D41EA" w:rsidRDefault="00D84931" w:rsidP="00D84931">
            <w:pPr>
              <w:spacing w:before="40" w:after="20"/>
              <w:jc w:val="right"/>
              <w:rPr>
                <w:rFonts w:cs="Arial"/>
                <w:sz w:val="18"/>
                <w:szCs w:val="18"/>
              </w:rPr>
            </w:pPr>
            <w:r w:rsidRPr="001D41EA">
              <w:rPr>
                <w:rFonts w:cs="Arial"/>
                <w:sz w:val="18"/>
                <w:szCs w:val="18"/>
              </w:rPr>
              <w:t>7,385,275</w:t>
            </w:r>
          </w:p>
        </w:tc>
        <w:tc>
          <w:tcPr>
            <w:tcW w:w="1701" w:type="dxa"/>
            <w:tcBorders>
              <w:top w:val="nil"/>
              <w:left w:val="nil"/>
              <w:bottom w:val="nil"/>
              <w:right w:val="nil"/>
            </w:tcBorders>
            <w:shd w:val="clear" w:color="auto" w:fill="auto"/>
            <w:noWrap/>
            <w:vAlign w:val="bottom"/>
          </w:tcPr>
          <w:p w14:paraId="48E6F6EE" w14:textId="5C426040" w:rsidR="00D84931" w:rsidRPr="001D41EA" w:rsidRDefault="00D84931" w:rsidP="00D84931">
            <w:pPr>
              <w:spacing w:before="40" w:after="20"/>
              <w:jc w:val="right"/>
              <w:rPr>
                <w:rFonts w:cs="Arial"/>
                <w:sz w:val="18"/>
                <w:szCs w:val="18"/>
              </w:rPr>
            </w:pPr>
            <w:r w:rsidRPr="001D41EA">
              <w:rPr>
                <w:rFonts w:cs="Arial"/>
                <w:sz w:val="18"/>
                <w:szCs w:val="18"/>
              </w:rPr>
              <w:t>8,173,344</w:t>
            </w:r>
          </w:p>
        </w:tc>
        <w:tc>
          <w:tcPr>
            <w:tcW w:w="1701" w:type="dxa"/>
            <w:tcBorders>
              <w:top w:val="nil"/>
              <w:left w:val="nil"/>
              <w:bottom w:val="nil"/>
              <w:right w:val="nil"/>
            </w:tcBorders>
            <w:vAlign w:val="bottom"/>
          </w:tcPr>
          <w:p w14:paraId="5F9BD1D0" w14:textId="79735D39" w:rsidR="00D84931" w:rsidRPr="001D41EA" w:rsidRDefault="00D84931" w:rsidP="00D84931">
            <w:pPr>
              <w:spacing w:before="40" w:after="20"/>
              <w:jc w:val="right"/>
              <w:rPr>
                <w:rFonts w:cs="Arial"/>
                <w:sz w:val="18"/>
                <w:szCs w:val="18"/>
              </w:rPr>
            </w:pPr>
            <w:r w:rsidRPr="001D41EA">
              <w:rPr>
                <w:rFonts w:cs="Arial"/>
                <w:sz w:val="18"/>
                <w:szCs w:val="18"/>
              </w:rPr>
              <w:t>32,676,221</w:t>
            </w:r>
          </w:p>
        </w:tc>
      </w:tr>
      <w:tr w:rsidR="00D84931" w:rsidRPr="001D41EA" w14:paraId="4D37BD2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13C1463" w14:textId="77777777" w:rsidR="00D84931" w:rsidRPr="001D41EA" w:rsidRDefault="00D84931" w:rsidP="00D84931">
            <w:pPr>
              <w:spacing w:before="40" w:after="20"/>
              <w:rPr>
                <w:rFonts w:cs="Arial"/>
                <w:sz w:val="18"/>
                <w:szCs w:val="18"/>
              </w:rPr>
            </w:pPr>
            <w:r w:rsidRPr="001D41EA">
              <w:rPr>
                <w:rFonts w:cs="Arial"/>
                <w:sz w:val="18"/>
                <w:szCs w:val="18"/>
              </w:rPr>
              <w:t>West Wimmera S</w:t>
            </w:r>
          </w:p>
        </w:tc>
        <w:tc>
          <w:tcPr>
            <w:tcW w:w="1701" w:type="dxa"/>
            <w:tcBorders>
              <w:top w:val="nil"/>
              <w:left w:val="single" w:sz="18" w:space="0" w:color="5F497A" w:themeColor="accent4" w:themeShade="BF"/>
              <w:bottom w:val="nil"/>
              <w:right w:val="nil"/>
            </w:tcBorders>
            <w:shd w:val="clear" w:color="auto" w:fill="auto"/>
            <w:noWrap/>
            <w:vAlign w:val="bottom"/>
          </w:tcPr>
          <w:p w14:paraId="48E6E292" w14:textId="59CC5C13" w:rsidR="00D84931" w:rsidRPr="001D41EA" w:rsidRDefault="00D84931" w:rsidP="00D84931">
            <w:pPr>
              <w:spacing w:before="40" w:after="20"/>
              <w:jc w:val="right"/>
              <w:rPr>
                <w:rFonts w:cs="Arial"/>
                <w:sz w:val="18"/>
                <w:szCs w:val="18"/>
              </w:rPr>
            </w:pPr>
            <w:r w:rsidRPr="001D41EA">
              <w:rPr>
                <w:rFonts w:cs="Arial"/>
                <w:sz w:val="18"/>
                <w:szCs w:val="18"/>
              </w:rPr>
              <w:t>462,195</w:t>
            </w:r>
          </w:p>
        </w:tc>
        <w:tc>
          <w:tcPr>
            <w:tcW w:w="1701" w:type="dxa"/>
            <w:tcBorders>
              <w:top w:val="nil"/>
              <w:left w:val="nil"/>
              <w:bottom w:val="nil"/>
              <w:right w:val="nil"/>
            </w:tcBorders>
            <w:vAlign w:val="bottom"/>
          </w:tcPr>
          <w:p w14:paraId="5C8ED540" w14:textId="0FF53539" w:rsidR="00D84931" w:rsidRPr="001D41EA" w:rsidRDefault="00D84931" w:rsidP="00D84931">
            <w:pPr>
              <w:spacing w:before="40" w:after="20"/>
              <w:jc w:val="right"/>
              <w:rPr>
                <w:rFonts w:cs="Arial"/>
                <w:sz w:val="18"/>
                <w:szCs w:val="18"/>
              </w:rPr>
            </w:pPr>
            <w:r w:rsidRPr="001D41EA">
              <w:rPr>
                <w:rFonts w:cs="Arial"/>
                <w:sz w:val="18"/>
                <w:szCs w:val="18"/>
              </w:rPr>
              <w:t>56,066</w:t>
            </w:r>
          </w:p>
        </w:tc>
        <w:tc>
          <w:tcPr>
            <w:tcW w:w="1701" w:type="dxa"/>
            <w:tcBorders>
              <w:top w:val="nil"/>
              <w:left w:val="nil"/>
              <w:bottom w:val="nil"/>
              <w:right w:val="nil"/>
            </w:tcBorders>
            <w:shd w:val="clear" w:color="auto" w:fill="auto"/>
            <w:noWrap/>
            <w:vAlign w:val="bottom"/>
          </w:tcPr>
          <w:p w14:paraId="6E97ECC3" w14:textId="4D0789E6" w:rsidR="00D84931" w:rsidRPr="001D41EA" w:rsidRDefault="00D84931" w:rsidP="00D84931">
            <w:pPr>
              <w:spacing w:before="40" w:after="20"/>
              <w:jc w:val="right"/>
              <w:rPr>
                <w:rFonts w:cs="Arial"/>
                <w:sz w:val="18"/>
                <w:szCs w:val="18"/>
              </w:rPr>
            </w:pPr>
            <w:r w:rsidRPr="001D41EA">
              <w:rPr>
                <w:rFonts w:cs="Arial"/>
                <w:sz w:val="18"/>
                <w:szCs w:val="18"/>
              </w:rPr>
              <w:t>5,650,298</w:t>
            </w:r>
          </w:p>
        </w:tc>
        <w:tc>
          <w:tcPr>
            <w:tcW w:w="1701" w:type="dxa"/>
            <w:tcBorders>
              <w:top w:val="nil"/>
              <w:left w:val="nil"/>
              <w:bottom w:val="nil"/>
              <w:right w:val="nil"/>
            </w:tcBorders>
            <w:vAlign w:val="bottom"/>
          </w:tcPr>
          <w:p w14:paraId="5562DFFD" w14:textId="35420D41" w:rsidR="00D84931" w:rsidRPr="001D41EA" w:rsidRDefault="00D84931" w:rsidP="00D84931">
            <w:pPr>
              <w:spacing w:before="40" w:after="20"/>
              <w:jc w:val="right"/>
              <w:rPr>
                <w:rFonts w:cs="Arial"/>
                <w:sz w:val="18"/>
                <w:szCs w:val="18"/>
              </w:rPr>
            </w:pPr>
            <w:r w:rsidRPr="001D41EA">
              <w:rPr>
                <w:rFonts w:cs="Arial"/>
                <w:sz w:val="18"/>
                <w:szCs w:val="18"/>
              </w:rPr>
              <w:t>6,168,559</w:t>
            </w:r>
          </w:p>
        </w:tc>
      </w:tr>
      <w:tr w:rsidR="00D84931" w:rsidRPr="001D41EA" w14:paraId="426DAD6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E6095F9" w14:textId="77777777" w:rsidR="00D84931" w:rsidRPr="001D41EA" w:rsidRDefault="00D84931" w:rsidP="00D84931">
            <w:pPr>
              <w:spacing w:before="40" w:after="20"/>
              <w:rPr>
                <w:rFonts w:cs="Arial"/>
                <w:sz w:val="18"/>
                <w:szCs w:val="18"/>
              </w:rPr>
            </w:pPr>
            <w:r w:rsidRPr="001D41EA">
              <w:rPr>
                <w:rFonts w:cs="Arial"/>
                <w:sz w:val="18"/>
                <w:szCs w:val="18"/>
              </w:rPr>
              <w:t>Whitehorse C</w:t>
            </w:r>
          </w:p>
        </w:tc>
        <w:tc>
          <w:tcPr>
            <w:tcW w:w="1701" w:type="dxa"/>
            <w:tcBorders>
              <w:top w:val="nil"/>
              <w:left w:val="single" w:sz="18" w:space="0" w:color="5F497A" w:themeColor="accent4" w:themeShade="BF"/>
              <w:bottom w:val="nil"/>
              <w:right w:val="nil"/>
            </w:tcBorders>
            <w:shd w:val="clear" w:color="auto" w:fill="auto"/>
            <w:noWrap/>
            <w:vAlign w:val="bottom"/>
          </w:tcPr>
          <w:p w14:paraId="0A66679F" w14:textId="42034224" w:rsidR="00D84931" w:rsidRPr="001D41EA" w:rsidRDefault="00D84931" w:rsidP="00D84931">
            <w:pPr>
              <w:spacing w:before="40" w:after="20"/>
              <w:jc w:val="right"/>
              <w:rPr>
                <w:rFonts w:cs="Arial"/>
                <w:sz w:val="18"/>
                <w:szCs w:val="18"/>
              </w:rPr>
            </w:pPr>
            <w:r w:rsidRPr="001D41EA">
              <w:rPr>
                <w:rFonts w:cs="Arial"/>
                <w:sz w:val="18"/>
                <w:szCs w:val="18"/>
              </w:rPr>
              <w:t>153,172,338</w:t>
            </w:r>
          </w:p>
        </w:tc>
        <w:tc>
          <w:tcPr>
            <w:tcW w:w="1701" w:type="dxa"/>
            <w:tcBorders>
              <w:top w:val="nil"/>
              <w:left w:val="nil"/>
              <w:bottom w:val="nil"/>
              <w:right w:val="nil"/>
            </w:tcBorders>
            <w:vAlign w:val="bottom"/>
          </w:tcPr>
          <w:p w14:paraId="15A20379" w14:textId="120D3C84" w:rsidR="00D84931" w:rsidRPr="001D41EA" w:rsidRDefault="00D84931" w:rsidP="00D84931">
            <w:pPr>
              <w:spacing w:before="40" w:after="20"/>
              <w:jc w:val="right"/>
              <w:rPr>
                <w:rFonts w:cs="Arial"/>
                <w:sz w:val="18"/>
                <w:szCs w:val="18"/>
              </w:rPr>
            </w:pPr>
            <w:r w:rsidRPr="001D41EA">
              <w:rPr>
                <w:rFonts w:cs="Arial"/>
                <w:sz w:val="18"/>
                <w:szCs w:val="18"/>
              </w:rPr>
              <w:t>21,139,692</w:t>
            </w:r>
          </w:p>
        </w:tc>
        <w:tc>
          <w:tcPr>
            <w:tcW w:w="1701" w:type="dxa"/>
            <w:tcBorders>
              <w:top w:val="nil"/>
              <w:left w:val="nil"/>
              <w:bottom w:val="nil"/>
              <w:right w:val="nil"/>
            </w:tcBorders>
            <w:shd w:val="clear" w:color="auto" w:fill="auto"/>
            <w:noWrap/>
            <w:vAlign w:val="bottom"/>
          </w:tcPr>
          <w:p w14:paraId="036C0217" w14:textId="20D75AD6"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6198EA9F" w14:textId="00C49724" w:rsidR="00D84931" w:rsidRPr="001D41EA" w:rsidRDefault="00D84931" w:rsidP="00D84931">
            <w:pPr>
              <w:spacing w:before="40" w:after="20"/>
              <w:jc w:val="right"/>
              <w:rPr>
                <w:rFonts w:cs="Arial"/>
                <w:sz w:val="18"/>
                <w:szCs w:val="18"/>
              </w:rPr>
            </w:pPr>
            <w:r w:rsidRPr="001D41EA">
              <w:rPr>
                <w:rFonts w:cs="Arial"/>
                <w:sz w:val="18"/>
                <w:szCs w:val="18"/>
              </w:rPr>
              <w:t>174,312,030</w:t>
            </w:r>
          </w:p>
        </w:tc>
      </w:tr>
      <w:tr w:rsidR="00D84931" w:rsidRPr="001D41EA" w14:paraId="4A96562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4A31C5F" w14:textId="77777777" w:rsidR="00D84931" w:rsidRPr="001D41EA" w:rsidRDefault="00D84931" w:rsidP="00D84931">
            <w:pPr>
              <w:spacing w:before="40" w:after="20"/>
              <w:rPr>
                <w:rFonts w:cs="Arial"/>
                <w:sz w:val="18"/>
                <w:szCs w:val="18"/>
              </w:rPr>
            </w:pPr>
            <w:r w:rsidRPr="001D41EA">
              <w:rPr>
                <w:rFonts w:cs="Arial"/>
                <w:sz w:val="18"/>
                <w:szCs w:val="18"/>
              </w:rPr>
              <w:t>Whittlesea C</w:t>
            </w:r>
          </w:p>
        </w:tc>
        <w:tc>
          <w:tcPr>
            <w:tcW w:w="1701" w:type="dxa"/>
            <w:tcBorders>
              <w:top w:val="nil"/>
              <w:left w:val="single" w:sz="18" w:space="0" w:color="5F497A" w:themeColor="accent4" w:themeShade="BF"/>
              <w:bottom w:val="nil"/>
              <w:right w:val="nil"/>
            </w:tcBorders>
            <w:shd w:val="clear" w:color="auto" w:fill="auto"/>
            <w:noWrap/>
            <w:vAlign w:val="bottom"/>
          </w:tcPr>
          <w:p w14:paraId="00841FF6" w14:textId="10E6F9ED" w:rsidR="00D84931" w:rsidRPr="001D41EA" w:rsidRDefault="00D84931" w:rsidP="00D84931">
            <w:pPr>
              <w:spacing w:before="40" w:after="20"/>
              <w:jc w:val="right"/>
              <w:rPr>
                <w:rFonts w:cs="Arial"/>
                <w:sz w:val="18"/>
                <w:szCs w:val="18"/>
              </w:rPr>
            </w:pPr>
            <w:r w:rsidRPr="001D41EA">
              <w:rPr>
                <w:rFonts w:cs="Arial"/>
                <w:sz w:val="18"/>
                <w:szCs w:val="18"/>
              </w:rPr>
              <w:t>94,980,693</w:t>
            </w:r>
          </w:p>
        </w:tc>
        <w:tc>
          <w:tcPr>
            <w:tcW w:w="1701" w:type="dxa"/>
            <w:tcBorders>
              <w:top w:val="nil"/>
              <w:left w:val="nil"/>
              <w:bottom w:val="nil"/>
              <w:right w:val="nil"/>
            </w:tcBorders>
            <w:vAlign w:val="bottom"/>
          </w:tcPr>
          <w:p w14:paraId="67CAE3BA" w14:textId="080EB545" w:rsidR="00D84931" w:rsidRPr="001D41EA" w:rsidRDefault="00D84931" w:rsidP="00D84931">
            <w:pPr>
              <w:spacing w:before="40" w:after="20"/>
              <w:jc w:val="right"/>
              <w:rPr>
                <w:rFonts w:cs="Arial"/>
                <w:sz w:val="18"/>
                <w:szCs w:val="18"/>
              </w:rPr>
            </w:pPr>
            <w:r w:rsidRPr="001D41EA">
              <w:rPr>
                <w:rFonts w:cs="Arial"/>
                <w:sz w:val="18"/>
                <w:szCs w:val="18"/>
              </w:rPr>
              <w:t>20,554,995</w:t>
            </w:r>
          </w:p>
        </w:tc>
        <w:tc>
          <w:tcPr>
            <w:tcW w:w="1701" w:type="dxa"/>
            <w:tcBorders>
              <w:top w:val="nil"/>
              <w:left w:val="nil"/>
              <w:bottom w:val="nil"/>
              <w:right w:val="nil"/>
            </w:tcBorders>
            <w:shd w:val="clear" w:color="auto" w:fill="auto"/>
            <w:noWrap/>
            <w:vAlign w:val="bottom"/>
          </w:tcPr>
          <w:p w14:paraId="6D8F3BB9" w14:textId="374CD193" w:rsidR="00D84931" w:rsidRPr="001D41EA" w:rsidRDefault="00D84931" w:rsidP="00D84931">
            <w:pPr>
              <w:spacing w:before="40" w:after="20"/>
              <w:jc w:val="right"/>
              <w:rPr>
                <w:rFonts w:cs="Arial"/>
                <w:sz w:val="18"/>
                <w:szCs w:val="18"/>
              </w:rPr>
            </w:pPr>
            <w:r w:rsidRPr="001D41EA">
              <w:rPr>
                <w:rFonts w:cs="Arial"/>
                <w:sz w:val="18"/>
                <w:szCs w:val="18"/>
              </w:rPr>
              <w:t>5,614,634</w:t>
            </w:r>
          </w:p>
        </w:tc>
        <w:tc>
          <w:tcPr>
            <w:tcW w:w="1701" w:type="dxa"/>
            <w:tcBorders>
              <w:top w:val="nil"/>
              <w:left w:val="nil"/>
              <w:bottom w:val="nil"/>
              <w:right w:val="nil"/>
            </w:tcBorders>
            <w:vAlign w:val="bottom"/>
          </w:tcPr>
          <w:p w14:paraId="2AF315C1" w14:textId="1910CAC3" w:rsidR="00D84931" w:rsidRPr="001D41EA" w:rsidRDefault="00D84931" w:rsidP="00D84931">
            <w:pPr>
              <w:spacing w:before="40" w:after="20"/>
              <w:jc w:val="right"/>
              <w:rPr>
                <w:rFonts w:cs="Arial"/>
                <w:sz w:val="18"/>
                <w:szCs w:val="18"/>
              </w:rPr>
            </w:pPr>
            <w:r w:rsidRPr="001D41EA">
              <w:rPr>
                <w:rFonts w:cs="Arial"/>
                <w:sz w:val="18"/>
                <w:szCs w:val="18"/>
              </w:rPr>
              <w:t>121,150,323</w:t>
            </w:r>
          </w:p>
        </w:tc>
      </w:tr>
      <w:tr w:rsidR="00D84931" w:rsidRPr="001D41EA" w14:paraId="62C533A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4748D49" w14:textId="77777777" w:rsidR="00D84931" w:rsidRPr="001D41EA" w:rsidRDefault="00D84931" w:rsidP="00D84931">
            <w:pPr>
              <w:spacing w:before="40" w:after="20"/>
              <w:rPr>
                <w:rFonts w:cs="Arial"/>
                <w:sz w:val="18"/>
                <w:szCs w:val="18"/>
              </w:rPr>
            </w:pPr>
            <w:r w:rsidRPr="001D41EA">
              <w:rPr>
                <w:rFonts w:cs="Arial"/>
                <w:sz w:val="18"/>
                <w:szCs w:val="18"/>
              </w:rPr>
              <w:t>Wodonga C</w:t>
            </w:r>
          </w:p>
        </w:tc>
        <w:tc>
          <w:tcPr>
            <w:tcW w:w="1701" w:type="dxa"/>
            <w:tcBorders>
              <w:top w:val="nil"/>
              <w:left w:val="single" w:sz="18" w:space="0" w:color="5F497A" w:themeColor="accent4" w:themeShade="BF"/>
              <w:bottom w:val="nil"/>
              <w:right w:val="nil"/>
            </w:tcBorders>
            <w:shd w:val="clear" w:color="auto" w:fill="auto"/>
            <w:noWrap/>
            <w:vAlign w:val="bottom"/>
          </w:tcPr>
          <w:p w14:paraId="065CDEF2" w14:textId="343F483F" w:rsidR="00D84931" w:rsidRPr="001D41EA" w:rsidRDefault="00D84931" w:rsidP="00D84931">
            <w:pPr>
              <w:spacing w:before="40" w:after="20"/>
              <w:jc w:val="right"/>
              <w:rPr>
                <w:rFonts w:cs="Arial"/>
                <w:sz w:val="18"/>
                <w:szCs w:val="18"/>
              </w:rPr>
            </w:pPr>
            <w:r w:rsidRPr="001D41EA">
              <w:rPr>
                <w:rFonts w:cs="Arial"/>
                <w:sz w:val="18"/>
                <w:szCs w:val="18"/>
              </w:rPr>
              <w:t>13,291,279</w:t>
            </w:r>
          </w:p>
        </w:tc>
        <w:tc>
          <w:tcPr>
            <w:tcW w:w="1701" w:type="dxa"/>
            <w:tcBorders>
              <w:top w:val="nil"/>
              <w:left w:val="nil"/>
              <w:bottom w:val="nil"/>
              <w:right w:val="nil"/>
            </w:tcBorders>
            <w:vAlign w:val="bottom"/>
          </w:tcPr>
          <w:p w14:paraId="33E1B0F2" w14:textId="7AC37592" w:rsidR="00D84931" w:rsidRPr="001D41EA" w:rsidRDefault="00D84931" w:rsidP="00D84931">
            <w:pPr>
              <w:spacing w:before="40" w:after="20"/>
              <w:jc w:val="right"/>
              <w:rPr>
                <w:rFonts w:cs="Arial"/>
                <w:sz w:val="18"/>
                <w:szCs w:val="18"/>
              </w:rPr>
            </w:pPr>
            <w:r w:rsidRPr="001D41EA">
              <w:rPr>
                <w:rFonts w:cs="Arial"/>
                <w:sz w:val="18"/>
                <w:szCs w:val="18"/>
              </w:rPr>
              <w:t>3,653,054</w:t>
            </w:r>
          </w:p>
        </w:tc>
        <w:tc>
          <w:tcPr>
            <w:tcW w:w="1701" w:type="dxa"/>
            <w:tcBorders>
              <w:top w:val="nil"/>
              <w:left w:val="nil"/>
              <w:bottom w:val="nil"/>
              <w:right w:val="nil"/>
            </w:tcBorders>
            <w:shd w:val="clear" w:color="auto" w:fill="auto"/>
            <w:noWrap/>
            <w:vAlign w:val="bottom"/>
          </w:tcPr>
          <w:p w14:paraId="744E153E" w14:textId="37825654" w:rsidR="00D84931" w:rsidRPr="001D41EA" w:rsidRDefault="00D84931" w:rsidP="00D84931">
            <w:pPr>
              <w:spacing w:before="40" w:after="20"/>
              <w:jc w:val="right"/>
              <w:rPr>
                <w:rFonts w:cs="Arial"/>
                <w:sz w:val="18"/>
                <w:szCs w:val="18"/>
              </w:rPr>
            </w:pPr>
            <w:r w:rsidRPr="001D41EA">
              <w:rPr>
                <w:rFonts w:cs="Arial"/>
                <w:sz w:val="18"/>
                <w:szCs w:val="18"/>
              </w:rPr>
              <w:t>973,269</w:t>
            </w:r>
          </w:p>
        </w:tc>
        <w:tc>
          <w:tcPr>
            <w:tcW w:w="1701" w:type="dxa"/>
            <w:tcBorders>
              <w:top w:val="nil"/>
              <w:left w:val="nil"/>
              <w:bottom w:val="nil"/>
              <w:right w:val="nil"/>
            </w:tcBorders>
            <w:vAlign w:val="bottom"/>
          </w:tcPr>
          <w:p w14:paraId="7291E9DA" w14:textId="1E36AAC3" w:rsidR="00D84931" w:rsidRPr="001D41EA" w:rsidRDefault="00D84931" w:rsidP="00D84931">
            <w:pPr>
              <w:spacing w:before="40" w:after="20"/>
              <w:jc w:val="right"/>
              <w:rPr>
                <w:rFonts w:cs="Arial"/>
                <w:sz w:val="18"/>
                <w:szCs w:val="18"/>
              </w:rPr>
            </w:pPr>
            <w:r w:rsidRPr="001D41EA">
              <w:rPr>
                <w:rFonts w:cs="Arial"/>
                <w:sz w:val="18"/>
                <w:szCs w:val="18"/>
              </w:rPr>
              <w:t>17,917,601</w:t>
            </w:r>
          </w:p>
        </w:tc>
      </w:tr>
      <w:tr w:rsidR="00D84931" w:rsidRPr="001D41EA" w14:paraId="58AEC9C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25A5C76" w14:textId="77777777" w:rsidR="00D84931" w:rsidRPr="001D41EA" w:rsidRDefault="00D84931" w:rsidP="00D84931">
            <w:pPr>
              <w:spacing w:before="40" w:after="20"/>
              <w:rPr>
                <w:rFonts w:cs="Arial"/>
                <w:sz w:val="18"/>
                <w:szCs w:val="18"/>
              </w:rPr>
            </w:pPr>
            <w:r w:rsidRPr="001D41EA">
              <w:rPr>
                <w:rFonts w:cs="Arial"/>
                <w:sz w:val="18"/>
                <w:szCs w:val="18"/>
              </w:rPr>
              <w:t>Wyndham C</w:t>
            </w:r>
          </w:p>
        </w:tc>
        <w:tc>
          <w:tcPr>
            <w:tcW w:w="1701" w:type="dxa"/>
            <w:tcBorders>
              <w:top w:val="nil"/>
              <w:left w:val="single" w:sz="18" w:space="0" w:color="5F497A" w:themeColor="accent4" w:themeShade="BF"/>
              <w:bottom w:val="nil"/>
              <w:right w:val="nil"/>
            </w:tcBorders>
            <w:shd w:val="clear" w:color="auto" w:fill="auto"/>
            <w:noWrap/>
            <w:vAlign w:val="bottom"/>
          </w:tcPr>
          <w:p w14:paraId="1F9A04D1" w14:textId="3241B0F0" w:rsidR="00D84931" w:rsidRPr="001D41EA" w:rsidRDefault="00D84931" w:rsidP="00D84931">
            <w:pPr>
              <w:spacing w:before="40" w:after="20"/>
              <w:jc w:val="right"/>
              <w:rPr>
                <w:rFonts w:cs="Arial"/>
                <w:sz w:val="18"/>
                <w:szCs w:val="18"/>
              </w:rPr>
            </w:pPr>
            <w:r w:rsidRPr="001D41EA">
              <w:rPr>
                <w:rFonts w:cs="Arial"/>
                <w:sz w:val="18"/>
                <w:szCs w:val="18"/>
              </w:rPr>
              <w:t>99,268,633</w:t>
            </w:r>
          </w:p>
        </w:tc>
        <w:tc>
          <w:tcPr>
            <w:tcW w:w="1701" w:type="dxa"/>
            <w:tcBorders>
              <w:top w:val="nil"/>
              <w:left w:val="nil"/>
              <w:bottom w:val="nil"/>
              <w:right w:val="nil"/>
            </w:tcBorders>
            <w:vAlign w:val="bottom"/>
          </w:tcPr>
          <w:p w14:paraId="72B7999E" w14:textId="1D2DC693" w:rsidR="00D84931" w:rsidRPr="001D41EA" w:rsidRDefault="00D84931" w:rsidP="00D84931">
            <w:pPr>
              <w:spacing w:before="40" w:after="20"/>
              <w:jc w:val="right"/>
              <w:rPr>
                <w:rFonts w:cs="Arial"/>
                <w:sz w:val="18"/>
                <w:szCs w:val="18"/>
              </w:rPr>
            </w:pPr>
            <w:r w:rsidRPr="001D41EA">
              <w:rPr>
                <w:rFonts w:cs="Arial"/>
                <w:sz w:val="18"/>
                <w:szCs w:val="18"/>
              </w:rPr>
              <w:t>23,366,165</w:t>
            </w:r>
          </w:p>
        </w:tc>
        <w:tc>
          <w:tcPr>
            <w:tcW w:w="1701" w:type="dxa"/>
            <w:tcBorders>
              <w:top w:val="nil"/>
              <w:left w:val="nil"/>
              <w:bottom w:val="nil"/>
              <w:right w:val="nil"/>
            </w:tcBorders>
            <w:shd w:val="clear" w:color="auto" w:fill="auto"/>
            <w:noWrap/>
            <w:vAlign w:val="bottom"/>
          </w:tcPr>
          <w:p w14:paraId="088D3E7C" w14:textId="0027B1A6" w:rsidR="00D84931" w:rsidRPr="001D41EA" w:rsidRDefault="00D84931" w:rsidP="00D84931">
            <w:pPr>
              <w:spacing w:before="40" w:after="20"/>
              <w:jc w:val="right"/>
              <w:rPr>
                <w:rFonts w:cs="Arial"/>
                <w:sz w:val="18"/>
                <w:szCs w:val="18"/>
              </w:rPr>
            </w:pPr>
            <w:r w:rsidRPr="001D41EA">
              <w:rPr>
                <w:rFonts w:cs="Arial"/>
                <w:sz w:val="18"/>
                <w:szCs w:val="18"/>
              </w:rPr>
              <w:t>4,822,940</w:t>
            </w:r>
          </w:p>
        </w:tc>
        <w:tc>
          <w:tcPr>
            <w:tcW w:w="1701" w:type="dxa"/>
            <w:tcBorders>
              <w:top w:val="nil"/>
              <w:left w:val="nil"/>
              <w:bottom w:val="nil"/>
              <w:right w:val="nil"/>
            </w:tcBorders>
            <w:vAlign w:val="bottom"/>
          </w:tcPr>
          <w:p w14:paraId="2DA2C6BB" w14:textId="0DD6E248" w:rsidR="00D84931" w:rsidRPr="001D41EA" w:rsidRDefault="00D84931" w:rsidP="00D84931">
            <w:pPr>
              <w:spacing w:before="40" w:after="20"/>
              <w:jc w:val="right"/>
              <w:rPr>
                <w:rFonts w:cs="Arial"/>
                <w:sz w:val="18"/>
                <w:szCs w:val="18"/>
              </w:rPr>
            </w:pPr>
            <w:r w:rsidRPr="001D41EA">
              <w:rPr>
                <w:rFonts w:cs="Arial"/>
                <w:sz w:val="18"/>
                <w:szCs w:val="18"/>
              </w:rPr>
              <w:t>127,457,738</w:t>
            </w:r>
          </w:p>
        </w:tc>
      </w:tr>
      <w:tr w:rsidR="00D84931" w:rsidRPr="001D41EA" w14:paraId="10A8386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4809D75" w14:textId="77777777" w:rsidR="00D84931" w:rsidRPr="001D41EA" w:rsidRDefault="00D84931" w:rsidP="00D84931">
            <w:pPr>
              <w:spacing w:before="40" w:after="20"/>
              <w:rPr>
                <w:rFonts w:cs="Arial"/>
                <w:sz w:val="18"/>
                <w:szCs w:val="18"/>
              </w:rPr>
            </w:pPr>
            <w:r w:rsidRPr="001D41EA">
              <w:rPr>
                <w:rFonts w:cs="Arial"/>
                <w:sz w:val="18"/>
                <w:szCs w:val="18"/>
              </w:rPr>
              <w:t>Yarra C</w:t>
            </w:r>
          </w:p>
        </w:tc>
        <w:tc>
          <w:tcPr>
            <w:tcW w:w="1701" w:type="dxa"/>
            <w:tcBorders>
              <w:top w:val="nil"/>
              <w:left w:val="single" w:sz="18" w:space="0" w:color="5F497A" w:themeColor="accent4" w:themeShade="BF"/>
              <w:bottom w:val="nil"/>
              <w:right w:val="nil"/>
            </w:tcBorders>
            <w:shd w:val="clear" w:color="auto" w:fill="auto"/>
            <w:noWrap/>
            <w:vAlign w:val="bottom"/>
          </w:tcPr>
          <w:p w14:paraId="15255F22" w14:textId="07B3A7BF" w:rsidR="00D84931" w:rsidRPr="001D41EA" w:rsidRDefault="00D84931" w:rsidP="00D84931">
            <w:pPr>
              <w:spacing w:before="40" w:after="20"/>
              <w:jc w:val="right"/>
              <w:rPr>
                <w:rFonts w:cs="Arial"/>
                <w:sz w:val="18"/>
                <w:szCs w:val="18"/>
              </w:rPr>
            </w:pPr>
            <w:r w:rsidRPr="001D41EA">
              <w:rPr>
                <w:rFonts w:cs="Arial"/>
                <w:sz w:val="18"/>
                <w:szCs w:val="18"/>
              </w:rPr>
              <w:t>105,597,982</w:t>
            </w:r>
          </w:p>
        </w:tc>
        <w:tc>
          <w:tcPr>
            <w:tcW w:w="1701" w:type="dxa"/>
            <w:tcBorders>
              <w:top w:val="nil"/>
              <w:left w:val="nil"/>
              <w:bottom w:val="nil"/>
              <w:right w:val="nil"/>
            </w:tcBorders>
            <w:vAlign w:val="bottom"/>
          </w:tcPr>
          <w:p w14:paraId="55BF55B8" w14:textId="12370617" w:rsidR="00D84931" w:rsidRPr="001D41EA" w:rsidRDefault="00D84931" w:rsidP="00D84931">
            <w:pPr>
              <w:spacing w:before="40" w:after="20"/>
              <w:jc w:val="right"/>
              <w:rPr>
                <w:rFonts w:cs="Arial"/>
                <w:sz w:val="18"/>
                <w:szCs w:val="18"/>
              </w:rPr>
            </w:pPr>
            <w:r w:rsidRPr="001D41EA">
              <w:rPr>
                <w:rFonts w:cs="Arial"/>
                <w:sz w:val="18"/>
                <w:szCs w:val="18"/>
              </w:rPr>
              <w:t>42,561,523</w:t>
            </w:r>
          </w:p>
        </w:tc>
        <w:tc>
          <w:tcPr>
            <w:tcW w:w="1701" w:type="dxa"/>
            <w:tcBorders>
              <w:top w:val="nil"/>
              <w:left w:val="nil"/>
              <w:bottom w:val="nil"/>
              <w:right w:val="nil"/>
            </w:tcBorders>
            <w:shd w:val="clear" w:color="auto" w:fill="auto"/>
            <w:noWrap/>
            <w:vAlign w:val="bottom"/>
          </w:tcPr>
          <w:p w14:paraId="284860CB" w14:textId="63F152C3" w:rsidR="00D84931" w:rsidRPr="001D41EA" w:rsidRDefault="00D84931" w:rsidP="00D84931">
            <w:pPr>
              <w:spacing w:before="40" w:after="20"/>
              <w:jc w:val="right"/>
              <w:rPr>
                <w:rFonts w:cs="Arial"/>
                <w:sz w:val="18"/>
                <w:szCs w:val="18"/>
              </w:rPr>
            </w:pPr>
            <w:r w:rsidRPr="001D41EA">
              <w:rPr>
                <w:rFonts w:cs="Arial"/>
                <w:sz w:val="18"/>
                <w:szCs w:val="18"/>
              </w:rPr>
              <w:t>0</w:t>
            </w:r>
          </w:p>
        </w:tc>
        <w:tc>
          <w:tcPr>
            <w:tcW w:w="1701" w:type="dxa"/>
            <w:tcBorders>
              <w:top w:val="nil"/>
              <w:left w:val="nil"/>
              <w:bottom w:val="nil"/>
              <w:right w:val="nil"/>
            </w:tcBorders>
            <w:vAlign w:val="bottom"/>
          </w:tcPr>
          <w:p w14:paraId="7BB60344" w14:textId="3C00EDE5" w:rsidR="00D84931" w:rsidRPr="001D41EA" w:rsidRDefault="00D84931" w:rsidP="00D84931">
            <w:pPr>
              <w:spacing w:before="40" w:after="20"/>
              <w:jc w:val="right"/>
              <w:rPr>
                <w:rFonts w:cs="Arial"/>
                <w:sz w:val="18"/>
                <w:szCs w:val="18"/>
              </w:rPr>
            </w:pPr>
            <w:r w:rsidRPr="001D41EA">
              <w:rPr>
                <w:rFonts w:cs="Arial"/>
                <w:sz w:val="18"/>
                <w:szCs w:val="18"/>
              </w:rPr>
              <w:t>148,159,505</w:t>
            </w:r>
          </w:p>
        </w:tc>
      </w:tr>
      <w:tr w:rsidR="00D84931" w:rsidRPr="001D41EA" w14:paraId="3C6F2DE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0885BBA" w14:textId="77777777" w:rsidR="00D84931" w:rsidRPr="001D41EA" w:rsidRDefault="00D84931" w:rsidP="00D84931">
            <w:pPr>
              <w:spacing w:before="40" w:after="20"/>
              <w:rPr>
                <w:rFonts w:cs="Arial"/>
                <w:sz w:val="18"/>
                <w:szCs w:val="18"/>
              </w:rPr>
            </w:pPr>
            <w:r w:rsidRPr="001D41EA">
              <w:rPr>
                <w:rFonts w:cs="Arial"/>
                <w:sz w:val="18"/>
                <w:szCs w:val="18"/>
              </w:rPr>
              <w:t>Yarra Ranges S</w:t>
            </w:r>
          </w:p>
        </w:tc>
        <w:tc>
          <w:tcPr>
            <w:tcW w:w="1701" w:type="dxa"/>
            <w:tcBorders>
              <w:top w:val="nil"/>
              <w:left w:val="single" w:sz="18" w:space="0" w:color="5F497A" w:themeColor="accent4" w:themeShade="BF"/>
              <w:bottom w:val="nil"/>
              <w:right w:val="nil"/>
            </w:tcBorders>
            <w:shd w:val="clear" w:color="auto" w:fill="auto"/>
            <w:noWrap/>
            <w:vAlign w:val="bottom"/>
          </w:tcPr>
          <w:p w14:paraId="2A33AAAA" w14:textId="0AB33B31" w:rsidR="00D84931" w:rsidRPr="001D41EA" w:rsidRDefault="00D84931" w:rsidP="00D84931">
            <w:pPr>
              <w:spacing w:before="40" w:after="20"/>
              <w:jc w:val="right"/>
              <w:rPr>
                <w:rFonts w:cs="Arial"/>
                <w:sz w:val="18"/>
                <w:szCs w:val="18"/>
              </w:rPr>
            </w:pPr>
            <w:r w:rsidRPr="001D41EA">
              <w:rPr>
                <w:rFonts w:cs="Arial"/>
                <w:sz w:val="18"/>
                <w:szCs w:val="18"/>
              </w:rPr>
              <w:t>81,479,288</w:t>
            </w:r>
          </w:p>
        </w:tc>
        <w:tc>
          <w:tcPr>
            <w:tcW w:w="1701" w:type="dxa"/>
            <w:tcBorders>
              <w:top w:val="nil"/>
              <w:left w:val="nil"/>
              <w:bottom w:val="nil"/>
              <w:right w:val="nil"/>
            </w:tcBorders>
            <w:vAlign w:val="bottom"/>
          </w:tcPr>
          <w:p w14:paraId="1B270929" w14:textId="18F287D7" w:rsidR="00D84931" w:rsidRPr="001D41EA" w:rsidRDefault="00D84931" w:rsidP="00D84931">
            <w:pPr>
              <w:spacing w:before="40" w:after="20"/>
              <w:jc w:val="right"/>
              <w:rPr>
                <w:rFonts w:cs="Arial"/>
                <w:sz w:val="18"/>
                <w:szCs w:val="18"/>
              </w:rPr>
            </w:pPr>
            <w:r w:rsidRPr="001D41EA">
              <w:rPr>
                <w:rFonts w:cs="Arial"/>
                <w:sz w:val="18"/>
                <w:szCs w:val="18"/>
              </w:rPr>
              <w:t>8,845,108</w:t>
            </w:r>
          </w:p>
        </w:tc>
        <w:tc>
          <w:tcPr>
            <w:tcW w:w="1701" w:type="dxa"/>
            <w:tcBorders>
              <w:top w:val="nil"/>
              <w:left w:val="nil"/>
              <w:bottom w:val="nil"/>
              <w:right w:val="nil"/>
            </w:tcBorders>
            <w:shd w:val="clear" w:color="auto" w:fill="auto"/>
            <w:noWrap/>
            <w:vAlign w:val="bottom"/>
          </w:tcPr>
          <w:p w14:paraId="439735B9" w14:textId="2B52100F" w:rsidR="00D84931" w:rsidRPr="001D41EA" w:rsidRDefault="00D84931" w:rsidP="00D84931">
            <w:pPr>
              <w:spacing w:before="40" w:after="20"/>
              <w:jc w:val="right"/>
              <w:rPr>
                <w:rFonts w:cs="Arial"/>
                <w:sz w:val="18"/>
                <w:szCs w:val="18"/>
              </w:rPr>
            </w:pPr>
            <w:r w:rsidRPr="001D41EA">
              <w:rPr>
                <w:rFonts w:cs="Arial"/>
                <w:sz w:val="18"/>
                <w:szCs w:val="18"/>
              </w:rPr>
              <w:t>7,389,429</w:t>
            </w:r>
          </w:p>
        </w:tc>
        <w:tc>
          <w:tcPr>
            <w:tcW w:w="1701" w:type="dxa"/>
            <w:tcBorders>
              <w:top w:val="nil"/>
              <w:left w:val="nil"/>
              <w:bottom w:val="nil"/>
              <w:right w:val="nil"/>
            </w:tcBorders>
            <w:vAlign w:val="bottom"/>
          </w:tcPr>
          <w:p w14:paraId="1AF4CD28" w14:textId="063ED7D5" w:rsidR="00D84931" w:rsidRPr="001D41EA" w:rsidRDefault="00D84931" w:rsidP="00D84931">
            <w:pPr>
              <w:spacing w:before="40" w:after="20"/>
              <w:jc w:val="right"/>
              <w:rPr>
                <w:rFonts w:cs="Arial"/>
                <w:sz w:val="18"/>
                <w:szCs w:val="18"/>
              </w:rPr>
            </w:pPr>
            <w:r w:rsidRPr="001D41EA">
              <w:rPr>
                <w:rFonts w:cs="Arial"/>
                <w:sz w:val="18"/>
                <w:szCs w:val="18"/>
              </w:rPr>
              <w:t>97,713,825</w:t>
            </w:r>
          </w:p>
        </w:tc>
      </w:tr>
      <w:tr w:rsidR="00D84931" w:rsidRPr="001D41EA" w14:paraId="15D3217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041D85C" w14:textId="77777777" w:rsidR="00D84931" w:rsidRPr="001D41EA" w:rsidRDefault="00D84931" w:rsidP="00D84931">
            <w:pPr>
              <w:spacing w:before="40" w:after="20"/>
              <w:rPr>
                <w:rFonts w:cs="Arial"/>
                <w:sz w:val="18"/>
                <w:szCs w:val="18"/>
              </w:rPr>
            </w:pPr>
            <w:r w:rsidRPr="001D41EA">
              <w:rPr>
                <w:rFonts w:cs="Arial"/>
                <w:sz w:val="18"/>
                <w:szCs w:val="18"/>
              </w:rPr>
              <w:t>Yarriambiack S</w:t>
            </w:r>
          </w:p>
        </w:tc>
        <w:tc>
          <w:tcPr>
            <w:tcW w:w="1701" w:type="dxa"/>
            <w:tcBorders>
              <w:top w:val="nil"/>
              <w:left w:val="single" w:sz="18" w:space="0" w:color="5F497A" w:themeColor="accent4" w:themeShade="BF"/>
              <w:bottom w:val="nil"/>
              <w:right w:val="nil"/>
            </w:tcBorders>
            <w:shd w:val="clear" w:color="auto" w:fill="auto"/>
            <w:noWrap/>
            <w:vAlign w:val="bottom"/>
          </w:tcPr>
          <w:p w14:paraId="4915ED2E" w14:textId="33EACBB0" w:rsidR="00D84931" w:rsidRPr="001D41EA" w:rsidRDefault="00D84931" w:rsidP="00D84931">
            <w:pPr>
              <w:spacing w:before="40" w:after="20"/>
              <w:jc w:val="right"/>
              <w:rPr>
                <w:rFonts w:cs="Arial"/>
                <w:sz w:val="18"/>
                <w:szCs w:val="18"/>
              </w:rPr>
            </w:pPr>
            <w:r w:rsidRPr="001D41EA">
              <w:rPr>
                <w:rFonts w:cs="Arial"/>
                <w:sz w:val="18"/>
                <w:szCs w:val="18"/>
              </w:rPr>
              <w:t>914,635</w:t>
            </w:r>
          </w:p>
        </w:tc>
        <w:tc>
          <w:tcPr>
            <w:tcW w:w="1701" w:type="dxa"/>
            <w:tcBorders>
              <w:top w:val="nil"/>
              <w:left w:val="nil"/>
              <w:bottom w:val="nil"/>
              <w:right w:val="nil"/>
            </w:tcBorders>
            <w:vAlign w:val="bottom"/>
          </w:tcPr>
          <w:p w14:paraId="6938DA8B" w14:textId="5194F973" w:rsidR="00D84931" w:rsidRPr="001D41EA" w:rsidRDefault="00D84931" w:rsidP="00D84931">
            <w:pPr>
              <w:spacing w:before="40" w:after="20"/>
              <w:jc w:val="right"/>
              <w:rPr>
                <w:rFonts w:cs="Arial"/>
                <w:sz w:val="18"/>
                <w:szCs w:val="18"/>
              </w:rPr>
            </w:pPr>
            <w:r w:rsidRPr="001D41EA">
              <w:rPr>
                <w:rFonts w:cs="Arial"/>
                <w:sz w:val="18"/>
                <w:szCs w:val="18"/>
              </w:rPr>
              <w:t>192,084</w:t>
            </w:r>
          </w:p>
        </w:tc>
        <w:tc>
          <w:tcPr>
            <w:tcW w:w="1701" w:type="dxa"/>
            <w:tcBorders>
              <w:top w:val="nil"/>
              <w:left w:val="nil"/>
              <w:bottom w:val="nil"/>
              <w:right w:val="nil"/>
            </w:tcBorders>
            <w:shd w:val="clear" w:color="auto" w:fill="auto"/>
            <w:noWrap/>
            <w:vAlign w:val="bottom"/>
          </w:tcPr>
          <w:p w14:paraId="452508B9" w14:textId="5B329ACD" w:rsidR="00D84931" w:rsidRPr="001D41EA" w:rsidRDefault="00D84931" w:rsidP="00D84931">
            <w:pPr>
              <w:spacing w:before="40" w:after="20"/>
              <w:jc w:val="right"/>
              <w:rPr>
                <w:rFonts w:cs="Arial"/>
                <w:sz w:val="18"/>
                <w:szCs w:val="18"/>
              </w:rPr>
            </w:pPr>
            <w:r w:rsidRPr="001D41EA">
              <w:rPr>
                <w:rFonts w:cs="Arial"/>
                <w:sz w:val="18"/>
                <w:szCs w:val="18"/>
              </w:rPr>
              <w:t>5,205,595</w:t>
            </w:r>
          </w:p>
        </w:tc>
        <w:tc>
          <w:tcPr>
            <w:tcW w:w="1701" w:type="dxa"/>
            <w:tcBorders>
              <w:top w:val="nil"/>
              <w:left w:val="nil"/>
              <w:bottom w:val="nil"/>
              <w:right w:val="nil"/>
            </w:tcBorders>
            <w:vAlign w:val="bottom"/>
          </w:tcPr>
          <w:p w14:paraId="38CC6F35" w14:textId="3F698523" w:rsidR="00D84931" w:rsidRPr="001D41EA" w:rsidRDefault="00D84931" w:rsidP="00D84931">
            <w:pPr>
              <w:spacing w:before="40" w:after="20"/>
              <w:jc w:val="right"/>
              <w:rPr>
                <w:rFonts w:cs="Arial"/>
                <w:sz w:val="18"/>
                <w:szCs w:val="18"/>
              </w:rPr>
            </w:pPr>
            <w:r w:rsidRPr="001D41EA">
              <w:rPr>
                <w:rFonts w:cs="Arial"/>
                <w:sz w:val="18"/>
                <w:szCs w:val="18"/>
              </w:rPr>
              <w:t>6,312,313</w:t>
            </w:r>
          </w:p>
        </w:tc>
      </w:tr>
      <w:tr w:rsidR="00D84931" w:rsidRPr="001D41EA" w14:paraId="3B023F8A" w14:textId="77777777" w:rsidTr="00B44BBE">
        <w:tc>
          <w:tcPr>
            <w:tcW w:w="2268" w:type="dxa"/>
            <w:tcBorders>
              <w:top w:val="nil"/>
              <w:left w:val="nil"/>
              <w:bottom w:val="nil"/>
              <w:right w:val="single" w:sz="18" w:space="0" w:color="5F497A" w:themeColor="accent4" w:themeShade="BF"/>
            </w:tcBorders>
            <w:shd w:val="clear" w:color="auto" w:fill="auto"/>
            <w:noWrap/>
            <w:vAlign w:val="center"/>
          </w:tcPr>
          <w:p w14:paraId="5FB7AA92" w14:textId="77777777" w:rsidR="00D84931" w:rsidRPr="001D41EA" w:rsidRDefault="00D84931" w:rsidP="00D84931">
            <w:pPr>
              <w:spacing w:before="40" w:after="20"/>
              <w:rPr>
                <w:rFonts w:cs="Arial"/>
                <w:sz w:val="18"/>
                <w:szCs w:val="18"/>
              </w:rPr>
            </w:pPr>
          </w:p>
        </w:tc>
        <w:tc>
          <w:tcPr>
            <w:tcW w:w="1701" w:type="dxa"/>
            <w:tcBorders>
              <w:top w:val="nil"/>
              <w:left w:val="single" w:sz="18" w:space="0" w:color="5F497A" w:themeColor="accent4" w:themeShade="BF"/>
              <w:bottom w:val="single" w:sz="8" w:space="0" w:color="5F497A" w:themeColor="accent4" w:themeShade="BF"/>
              <w:right w:val="nil"/>
            </w:tcBorders>
            <w:shd w:val="clear" w:color="auto" w:fill="auto"/>
            <w:noWrap/>
            <w:vAlign w:val="bottom"/>
          </w:tcPr>
          <w:p w14:paraId="241782CD" w14:textId="4E256150" w:rsidR="00D84931" w:rsidRPr="001D41EA" w:rsidRDefault="00D84931" w:rsidP="00D84931">
            <w:pPr>
              <w:spacing w:before="40" w:after="20"/>
              <w:jc w:val="right"/>
              <w:rPr>
                <w:rFonts w:cs="Arial"/>
                <w:sz w:val="18"/>
                <w:szCs w:val="18"/>
              </w:rPr>
            </w:pPr>
            <w:r w:rsidRPr="001D41EA">
              <w:rPr>
                <w:rFonts w:cs="Arial"/>
                <w:sz w:val="18"/>
                <w:szCs w:val="18"/>
              </w:rPr>
              <w:t> </w:t>
            </w:r>
          </w:p>
        </w:tc>
        <w:tc>
          <w:tcPr>
            <w:tcW w:w="1701" w:type="dxa"/>
            <w:tcBorders>
              <w:top w:val="nil"/>
              <w:left w:val="nil"/>
              <w:bottom w:val="single" w:sz="8" w:space="0" w:color="5F497A" w:themeColor="accent4" w:themeShade="BF"/>
              <w:right w:val="nil"/>
            </w:tcBorders>
            <w:vAlign w:val="bottom"/>
          </w:tcPr>
          <w:p w14:paraId="3501AB32" w14:textId="77777777" w:rsidR="00D84931" w:rsidRPr="001D41EA" w:rsidRDefault="00D84931" w:rsidP="00D84931">
            <w:pPr>
              <w:spacing w:before="40" w:after="20"/>
              <w:jc w:val="right"/>
              <w:rPr>
                <w:rFonts w:cs="Arial"/>
                <w:sz w:val="18"/>
                <w:szCs w:val="18"/>
              </w:rPr>
            </w:pPr>
          </w:p>
        </w:tc>
        <w:tc>
          <w:tcPr>
            <w:tcW w:w="1701" w:type="dxa"/>
            <w:tcBorders>
              <w:top w:val="nil"/>
              <w:left w:val="nil"/>
              <w:bottom w:val="single" w:sz="8" w:space="0" w:color="5F497A" w:themeColor="accent4" w:themeShade="BF"/>
              <w:right w:val="nil"/>
            </w:tcBorders>
            <w:shd w:val="clear" w:color="auto" w:fill="auto"/>
            <w:noWrap/>
            <w:vAlign w:val="bottom"/>
          </w:tcPr>
          <w:p w14:paraId="1C1163E6" w14:textId="77777777" w:rsidR="00D84931" w:rsidRPr="001D41EA" w:rsidRDefault="00D84931" w:rsidP="00D84931">
            <w:pPr>
              <w:spacing w:before="40" w:after="20"/>
              <w:jc w:val="right"/>
              <w:rPr>
                <w:rFonts w:cs="Arial"/>
                <w:sz w:val="18"/>
                <w:szCs w:val="18"/>
              </w:rPr>
            </w:pPr>
          </w:p>
        </w:tc>
        <w:tc>
          <w:tcPr>
            <w:tcW w:w="1701" w:type="dxa"/>
            <w:tcBorders>
              <w:top w:val="nil"/>
              <w:left w:val="nil"/>
              <w:bottom w:val="single" w:sz="8" w:space="0" w:color="5F497A" w:themeColor="accent4" w:themeShade="BF"/>
              <w:right w:val="nil"/>
            </w:tcBorders>
            <w:vAlign w:val="bottom"/>
          </w:tcPr>
          <w:p w14:paraId="62323403" w14:textId="0B130C7D" w:rsidR="00D84931" w:rsidRPr="001D41EA" w:rsidRDefault="00D84931" w:rsidP="00D84931">
            <w:pPr>
              <w:spacing w:before="40" w:after="20"/>
              <w:jc w:val="right"/>
              <w:rPr>
                <w:rFonts w:cs="Arial"/>
                <w:sz w:val="18"/>
                <w:szCs w:val="18"/>
              </w:rPr>
            </w:pPr>
            <w:r w:rsidRPr="001D41EA">
              <w:rPr>
                <w:rFonts w:cs="Arial"/>
                <w:sz w:val="18"/>
                <w:szCs w:val="18"/>
              </w:rPr>
              <w:t> </w:t>
            </w:r>
          </w:p>
        </w:tc>
      </w:tr>
      <w:tr w:rsidR="00D84931" w:rsidRPr="001D41EA" w14:paraId="7985F77F" w14:textId="77777777" w:rsidTr="00B44BBE">
        <w:tc>
          <w:tcPr>
            <w:tcW w:w="2268" w:type="dxa"/>
            <w:tcBorders>
              <w:top w:val="nil"/>
              <w:left w:val="nil"/>
              <w:bottom w:val="nil"/>
              <w:right w:val="single" w:sz="18" w:space="0" w:color="5F497A" w:themeColor="accent4" w:themeShade="BF"/>
            </w:tcBorders>
            <w:shd w:val="clear" w:color="auto" w:fill="auto"/>
            <w:noWrap/>
            <w:vAlign w:val="center"/>
          </w:tcPr>
          <w:p w14:paraId="604C72EA" w14:textId="77777777" w:rsidR="00D84931" w:rsidRPr="001D41EA" w:rsidRDefault="00D84931" w:rsidP="00D84931">
            <w:pPr>
              <w:spacing w:before="40" w:after="20"/>
              <w:rPr>
                <w:rFonts w:cs="Arial"/>
                <w:sz w:val="18"/>
                <w:szCs w:val="18"/>
              </w:rPr>
            </w:pPr>
          </w:p>
        </w:tc>
        <w:tc>
          <w:tcPr>
            <w:tcW w:w="1701" w:type="dxa"/>
            <w:tcBorders>
              <w:top w:val="single" w:sz="8" w:space="0" w:color="5F497A" w:themeColor="accent4" w:themeShade="BF"/>
              <w:left w:val="single" w:sz="18" w:space="0" w:color="5F497A" w:themeColor="accent4" w:themeShade="BF"/>
              <w:right w:val="nil"/>
            </w:tcBorders>
            <w:shd w:val="clear" w:color="auto" w:fill="auto"/>
            <w:noWrap/>
            <w:vAlign w:val="bottom"/>
          </w:tcPr>
          <w:p w14:paraId="6FE1566B" w14:textId="74D2C364" w:rsidR="00D84931" w:rsidRPr="001D41EA" w:rsidRDefault="00D84931" w:rsidP="00D84931">
            <w:pPr>
              <w:spacing w:before="40" w:after="20"/>
              <w:jc w:val="right"/>
              <w:rPr>
                <w:rFonts w:cs="Arial"/>
                <w:b/>
                <w:sz w:val="18"/>
                <w:szCs w:val="18"/>
              </w:rPr>
            </w:pPr>
            <w:r w:rsidRPr="001D41EA">
              <w:rPr>
                <w:rFonts w:cs="Arial"/>
                <w:b/>
                <w:sz w:val="18"/>
                <w:szCs w:val="18"/>
              </w:rPr>
              <w:t>4,088,420,927</w:t>
            </w:r>
          </w:p>
        </w:tc>
        <w:tc>
          <w:tcPr>
            <w:tcW w:w="1701" w:type="dxa"/>
            <w:tcBorders>
              <w:top w:val="single" w:sz="8" w:space="0" w:color="5F497A" w:themeColor="accent4" w:themeShade="BF"/>
              <w:left w:val="nil"/>
              <w:right w:val="nil"/>
            </w:tcBorders>
            <w:vAlign w:val="bottom"/>
          </w:tcPr>
          <w:p w14:paraId="32BD37CA" w14:textId="549EC511" w:rsidR="00D84931" w:rsidRPr="001D41EA" w:rsidRDefault="00D84931" w:rsidP="00D84931">
            <w:pPr>
              <w:spacing w:before="40" w:after="20"/>
              <w:jc w:val="right"/>
              <w:rPr>
                <w:rFonts w:cs="Arial"/>
                <w:b/>
                <w:sz w:val="18"/>
                <w:szCs w:val="18"/>
              </w:rPr>
            </w:pPr>
            <w:r w:rsidRPr="001D41EA">
              <w:rPr>
                <w:rFonts w:cs="Arial"/>
                <w:b/>
                <w:sz w:val="18"/>
                <w:szCs w:val="18"/>
              </w:rPr>
              <w:t>931,456,450</w:t>
            </w:r>
          </w:p>
        </w:tc>
        <w:tc>
          <w:tcPr>
            <w:tcW w:w="1701" w:type="dxa"/>
            <w:tcBorders>
              <w:top w:val="single" w:sz="8" w:space="0" w:color="5F497A" w:themeColor="accent4" w:themeShade="BF"/>
              <w:left w:val="nil"/>
              <w:right w:val="nil"/>
            </w:tcBorders>
            <w:shd w:val="clear" w:color="auto" w:fill="auto"/>
            <w:noWrap/>
            <w:vAlign w:val="bottom"/>
          </w:tcPr>
          <w:p w14:paraId="20121009" w14:textId="69FB1330" w:rsidR="00D84931" w:rsidRPr="001D41EA" w:rsidRDefault="00D84931" w:rsidP="00D84931">
            <w:pPr>
              <w:spacing w:before="40" w:after="20"/>
              <w:jc w:val="right"/>
              <w:rPr>
                <w:rFonts w:cs="Arial"/>
                <w:b/>
                <w:sz w:val="18"/>
                <w:szCs w:val="18"/>
              </w:rPr>
            </w:pPr>
            <w:r w:rsidRPr="001D41EA">
              <w:rPr>
                <w:rFonts w:cs="Arial"/>
                <w:b/>
                <w:sz w:val="18"/>
                <w:szCs w:val="18"/>
              </w:rPr>
              <w:t>288,160,382</w:t>
            </w:r>
          </w:p>
        </w:tc>
        <w:tc>
          <w:tcPr>
            <w:tcW w:w="1701" w:type="dxa"/>
            <w:tcBorders>
              <w:top w:val="single" w:sz="8" w:space="0" w:color="5F497A" w:themeColor="accent4" w:themeShade="BF"/>
              <w:left w:val="nil"/>
              <w:right w:val="nil"/>
            </w:tcBorders>
            <w:vAlign w:val="bottom"/>
          </w:tcPr>
          <w:p w14:paraId="6FFDDFF7" w14:textId="601BF57F" w:rsidR="00D84931" w:rsidRPr="001D41EA" w:rsidRDefault="00D84931" w:rsidP="00D84931">
            <w:pPr>
              <w:spacing w:before="40" w:after="20"/>
              <w:jc w:val="right"/>
              <w:rPr>
                <w:rFonts w:cs="Arial"/>
                <w:b/>
                <w:sz w:val="18"/>
                <w:szCs w:val="18"/>
              </w:rPr>
            </w:pPr>
            <w:r w:rsidRPr="001D41EA">
              <w:rPr>
                <w:rFonts w:cs="Arial"/>
                <w:b/>
                <w:sz w:val="18"/>
                <w:szCs w:val="18"/>
              </w:rPr>
              <w:t>5,308,037,759</w:t>
            </w:r>
          </w:p>
        </w:tc>
      </w:tr>
    </w:tbl>
    <w:p w14:paraId="2374AB37" w14:textId="77777777" w:rsidR="00713C86" w:rsidRPr="00A44829" w:rsidRDefault="00713C86" w:rsidP="00FF36E8">
      <w:pPr>
        <w:spacing w:before="40" w:after="20"/>
        <w:rPr>
          <w:rFonts w:cs="Arial"/>
          <w:sz w:val="18"/>
          <w:szCs w:val="18"/>
        </w:rPr>
      </w:pPr>
      <w:r w:rsidRPr="00A44829">
        <w:rPr>
          <w:rFonts w:cs="Arial"/>
          <w:sz w:val="18"/>
          <w:szCs w:val="18"/>
        </w:rPr>
        <w:br w:type="page"/>
      </w:r>
    </w:p>
    <w:p w14:paraId="4DD91BFF" w14:textId="07047167" w:rsidR="00713C86" w:rsidRPr="00A44829" w:rsidRDefault="00EE4593" w:rsidP="00C33713">
      <w:pPr>
        <w:pStyle w:val="VGC-Head10"/>
      </w:pPr>
      <w:r w:rsidRPr="00A44829">
        <w:lastRenderedPageBreak/>
        <w:t>2019-20</w:t>
      </w:r>
      <w:r w:rsidR="00A97ABE" w:rsidRPr="00A44829">
        <w:t xml:space="preserve"> </w:t>
      </w:r>
      <w:r w:rsidR="00713C86" w:rsidRPr="00A44829">
        <w:t>General Purpose Grants</w:t>
      </w:r>
      <w:r w:rsidR="00713C86" w:rsidRPr="00A44829">
        <w:tab/>
        <w:t>Appendix 4</w:t>
      </w:r>
    </w:p>
    <w:p w14:paraId="1D13D643" w14:textId="77777777" w:rsidR="00713C86" w:rsidRPr="00A44829" w:rsidRDefault="004F1184" w:rsidP="008C1A28">
      <w:pPr>
        <w:pStyle w:val="VGC-Head2"/>
      </w:pPr>
      <w:r w:rsidRPr="00A44829">
        <w:tab/>
      </w:r>
      <w:r w:rsidR="00713C86" w:rsidRPr="00A44829">
        <w:t>J.  Standardised Rate Revenue</w:t>
      </w:r>
    </w:p>
    <w:p w14:paraId="1D0F8CE7" w14:textId="77777777" w:rsidR="00540FD9" w:rsidRPr="00A44829"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A44829" w14:paraId="4607120D" w14:textId="77777777" w:rsidTr="00B44BBE">
        <w:trPr>
          <w:tblHeader/>
        </w:trPr>
        <w:tc>
          <w:tcPr>
            <w:tcW w:w="2268" w:type="dxa"/>
            <w:tcBorders>
              <w:left w:val="nil"/>
              <w:right w:val="single" w:sz="18" w:space="0" w:color="5F497A" w:themeColor="accent4" w:themeShade="BF"/>
            </w:tcBorders>
            <w:shd w:val="clear" w:color="auto" w:fill="auto"/>
            <w:vAlign w:val="bottom"/>
          </w:tcPr>
          <w:p w14:paraId="789D351C" w14:textId="77777777" w:rsidR="00540FD9" w:rsidRPr="00A44829" w:rsidRDefault="00540FD9" w:rsidP="0038375E">
            <w:pPr>
              <w:spacing w:before="40" w:after="20"/>
              <w:jc w:val="center"/>
              <w:rPr>
                <w:rFonts w:cs="Arial"/>
                <w:sz w:val="18"/>
                <w:szCs w:val="18"/>
              </w:rPr>
            </w:pPr>
          </w:p>
        </w:tc>
        <w:tc>
          <w:tcPr>
            <w:tcW w:w="1701" w:type="dxa"/>
            <w:tcBorders>
              <w:left w:val="single" w:sz="18" w:space="0" w:color="5F497A" w:themeColor="accent4" w:themeShade="BF"/>
              <w:bottom w:val="single" w:sz="8" w:space="0" w:color="5F497A" w:themeColor="accent4" w:themeShade="BF"/>
              <w:right w:val="nil"/>
            </w:tcBorders>
            <w:shd w:val="clear" w:color="auto" w:fill="auto"/>
            <w:vAlign w:val="bottom"/>
          </w:tcPr>
          <w:p w14:paraId="420B600B" w14:textId="77777777" w:rsidR="00540FD9" w:rsidRPr="00A44829" w:rsidRDefault="00540FD9" w:rsidP="0038375E">
            <w:pPr>
              <w:spacing w:before="40" w:after="20"/>
              <w:jc w:val="center"/>
              <w:rPr>
                <w:rFonts w:cs="Arial"/>
                <w:b/>
                <w:sz w:val="18"/>
                <w:szCs w:val="18"/>
              </w:rPr>
            </w:pPr>
            <w:r w:rsidRPr="00A44829">
              <w:rPr>
                <w:rFonts w:cs="Arial"/>
                <w:b/>
                <w:sz w:val="18"/>
                <w:szCs w:val="18"/>
              </w:rPr>
              <w:t xml:space="preserve">Payments </w:t>
            </w:r>
            <w:r w:rsidR="003E7389" w:rsidRPr="00A44829">
              <w:rPr>
                <w:rFonts w:cs="Arial"/>
                <w:b/>
                <w:sz w:val="18"/>
                <w:szCs w:val="18"/>
              </w:rPr>
              <w:br/>
            </w:r>
            <w:r w:rsidRPr="00A44829">
              <w:rPr>
                <w:rFonts w:cs="Arial"/>
                <w:b/>
                <w:sz w:val="18"/>
                <w:szCs w:val="18"/>
              </w:rPr>
              <w:t xml:space="preserve">in Lieu </w:t>
            </w:r>
            <w:r w:rsidR="003E7389" w:rsidRPr="00A44829">
              <w:rPr>
                <w:rFonts w:cs="Arial"/>
                <w:b/>
                <w:sz w:val="18"/>
                <w:szCs w:val="18"/>
              </w:rPr>
              <w:br/>
            </w:r>
            <w:r w:rsidRPr="00A44829">
              <w:rPr>
                <w:rFonts w:cs="Arial"/>
                <w:b/>
                <w:sz w:val="18"/>
                <w:szCs w:val="18"/>
              </w:rPr>
              <w:t>of Rates</w:t>
            </w:r>
            <w:r w:rsidRPr="00A44829">
              <w:rPr>
                <w:rFonts w:cs="Arial"/>
                <w:b/>
                <w:sz w:val="18"/>
                <w:szCs w:val="18"/>
              </w:rPr>
              <w:br/>
              <w:t>($)</w:t>
            </w:r>
          </w:p>
        </w:tc>
        <w:tc>
          <w:tcPr>
            <w:tcW w:w="1985" w:type="dxa"/>
            <w:tcBorders>
              <w:left w:val="nil"/>
              <w:bottom w:val="single" w:sz="8" w:space="0" w:color="5F497A" w:themeColor="accent4" w:themeShade="BF"/>
              <w:right w:val="nil"/>
            </w:tcBorders>
            <w:vAlign w:val="bottom"/>
          </w:tcPr>
          <w:p w14:paraId="49705CFD" w14:textId="77777777" w:rsidR="00540FD9" w:rsidRPr="00A44829" w:rsidRDefault="00540FD9" w:rsidP="0038375E">
            <w:pPr>
              <w:spacing w:before="40" w:after="20"/>
              <w:jc w:val="center"/>
              <w:rPr>
                <w:rFonts w:cs="Arial"/>
                <w:b/>
                <w:sz w:val="18"/>
                <w:szCs w:val="18"/>
              </w:rPr>
            </w:pPr>
            <w:r w:rsidRPr="00A44829">
              <w:rPr>
                <w:rFonts w:cs="Arial"/>
                <w:b/>
                <w:sz w:val="18"/>
                <w:szCs w:val="18"/>
              </w:rPr>
              <w:t xml:space="preserve">Total Standardised </w:t>
            </w:r>
            <w:r w:rsidR="001342F4" w:rsidRPr="00A44829">
              <w:rPr>
                <w:rFonts w:cs="Arial"/>
                <w:b/>
                <w:sz w:val="18"/>
                <w:szCs w:val="18"/>
              </w:rPr>
              <w:br/>
            </w:r>
            <w:r w:rsidRPr="00A44829">
              <w:rPr>
                <w:rFonts w:cs="Arial"/>
                <w:b/>
                <w:sz w:val="18"/>
                <w:szCs w:val="18"/>
              </w:rPr>
              <w:t>Rate Revenue</w:t>
            </w:r>
            <w:r w:rsidRPr="00A44829">
              <w:rPr>
                <w:rFonts w:cs="Arial"/>
                <w:b/>
                <w:sz w:val="18"/>
                <w:szCs w:val="18"/>
              </w:rPr>
              <w:br/>
            </w:r>
            <w:r w:rsidRPr="00A44829">
              <w:rPr>
                <w:rFonts w:cs="Arial"/>
                <w:sz w:val="16"/>
                <w:szCs w:val="16"/>
              </w:rPr>
              <w:t>(Unconstrained)</w:t>
            </w:r>
            <w:r w:rsidRPr="00A44829">
              <w:rPr>
                <w:rFonts w:cs="Arial"/>
                <w:b/>
                <w:sz w:val="16"/>
                <w:szCs w:val="16"/>
              </w:rPr>
              <w:br/>
            </w:r>
            <w:r w:rsidRPr="00A44829">
              <w:rPr>
                <w:rFonts w:cs="Arial"/>
                <w:b/>
                <w:sz w:val="18"/>
                <w:szCs w:val="18"/>
              </w:rPr>
              <w:t>($)</w:t>
            </w:r>
          </w:p>
        </w:tc>
        <w:tc>
          <w:tcPr>
            <w:tcW w:w="1985" w:type="dxa"/>
            <w:tcBorders>
              <w:left w:val="nil"/>
              <w:bottom w:val="single" w:sz="8" w:space="0" w:color="5F497A" w:themeColor="accent4" w:themeShade="BF"/>
              <w:right w:val="nil"/>
            </w:tcBorders>
            <w:shd w:val="clear" w:color="auto" w:fill="auto"/>
            <w:vAlign w:val="bottom"/>
          </w:tcPr>
          <w:p w14:paraId="76AC2B53" w14:textId="77777777" w:rsidR="00540FD9" w:rsidRPr="00A44829" w:rsidRDefault="00540FD9" w:rsidP="0038375E">
            <w:pPr>
              <w:spacing w:before="40" w:after="20"/>
              <w:jc w:val="center"/>
              <w:rPr>
                <w:rFonts w:cs="Arial"/>
                <w:b/>
                <w:sz w:val="18"/>
                <w:szCs w:val="18"/>
              </w:rPr>
            </w:pPr>
            <w:r w:rsidRPr="00A44829">
              <w:rPr>
                <w:rFonts w:cs="Arial"/>
                <w:b/>
                <w:sz w:val="18"/>
                <w:szCs w:val="18"/>
              </w:rPr>
              <w:t xml:space="preserve">Total Standardised </w:t>
            </w:r>
            <w:r w:rsidR="001342F4" w:rsidRPr="00A44829">
              <w:rPr>
                <w:rFonts w:cs="Arial"/>
                <w:b/>
                <w:sz w:val="18"/>
                <w:szCs w:val="18"/>
              </w:rPr>
              <w:br/>
            </w:r>
            <w:r w:rsidRPr="00A44829">
              <w:rPr>
                <w:rFonts w:cs="Arial"/>
                <w:b/>
                <w:sz w:val="18"/>
                <w:szCs w:val="18"/>
              </w:rPr>
              <w:t>Rate Revenue</w:t>
            </w:r>
            <w:r w:rsidRPr="00A44829">
              <w:rPr>
                <w:rFonts w:cs="Arial"/>
                <w:b/>
                <w:sz w:val="18"/>
                <w:szCs w:val="18"/>
              </w:rPr>
              <w:br/>
            </w:r>
            <w:r w:rsidRPr="00A44829">
              <w:rPr>
                <w:rFonts w:cs="Arial"/>
                <w:sz w:val="16"/>
                <w:szCs w:val="16"/>
              </w:rPr>
              <w:t>(Constrained)</w:t>
            </w:r>
            <w:r w:rsidRPr="00A44829">
              <w:rPr>
                <w:rFonts w:cs="Arial"/>
                <w:b/>
                <w:sz w:val="16"/>
                <w:szCs w:val="16"/>
              </w:rPr>
              <w:br/>
            </w:r>
            <w:r w:rsidRPr="00A44829">
              <w:rPr>
                <w:rFonts w:cs="Arial"/>
                <w:b/>
                <w:sz w:val="18"/>
                <w:szCs w:val="18"/>
              </w:rPr>
              <w:t>($)</w:t>
            </w:r>
          </w:p>
        </w:tc>
      </w:tr>
      <w:tr w:rsidR="00D84931" w:rsidRPr="001D41EA" w14:paraId="21084041" w14:textId="77777777" w:rsidTr="00B44BBE">
        <w:trPr>
          <w:tblHeader/>
        </w:trPr>
        <w:tc>
          <w:tcPr>
            <w:tcW w:w="2268" w:type="dxa"/>
            <w:tcBorders>
              <w:left w:val="nil"/>
              <w:bottom w:val="nil"/>
              <w:right w:val="single" w:sz="18" w:space="0" w:color="5F497A" w:themeColor="accent4" w:themeShade="BF"/>
            </w:tcBorders>
            <w:shd w:val="clear" w:color="auto" w:fill="auto"/>
            <w:noWrap/>
            <w:vAlign w:val="center"/>
          </w:tcPr>
          <w:p w14:paraId="184C6327" w14:textId="77777777" w:rsidR="00D84931" w:rsidRPr="001D41EA" w:rsidRDefault="00D84931" w:rsidP="00D84931">
            <w:pPr>
              <w:spacing w:before="40" w:after="20"/>
              <w:rPr>
                <w:rFonts w:cs="Arial"/>
                <w:sz w:val="18"/>
                <w:szCs w:val="18"/>
              </w:rPr>
            </w:pPr>
          </w:p>
        </w:tc>
        <w:tc>
          <w:tcPr>
            <w:tcW w:w="170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45848E42" w14:textId="62E27F27" w:rsidR="00D84931" w:rsidRPr="001D41EA" w:rsidRDefault="00D84931" w:rsidP="00D84931">
            <w:pPr>
              <w:spacing w:before="40" w:after="20"/>
              <w:jc w:val="right"/>
              <w:rPr>
                <w:rFonts w:cs="Arial"/>
                <w:sz w:val="18"/>
                <w:szCs w:val="18"/>
              </w:rPr>
            </w:pPr>
            <w:r w:rsidRPr="001D41EA">
              <w:rPr>
                <w:rFonts w:cs="Arial"/>
                <w:sz w:val="18"/>
                <w:szCs w:val="18"/>
              </w:rPr>
              <w:t> </w:t>
            </w:r>
          </w:p>
        </w:tc>
        <w:tc>
          <w:tcPr>
            <w:tcW w:w="1985" w:type="dxa"/>
            <w:tcBorders>
              <w:top w:val="single" w:sz="8" w:space="0" w:color="5F497A" w:themeColor="accent4" w:themeShade="BF"/>
              <w:left w:val="nil"/>
              <w:bottom w:val="nil"/>
              <w:right w:val="nil"/>
            </w:tcBorders>
            <w:vAlign w:val="bottom"/>
          </w:tcPr>
          <w:p w14:paraId="09525192" w14:textId="5948E0EF" w:rsidR="00D84931" w:rsidRPr="001D41EA" w:rsidRDefault="00D84931" w:rsidP="00D84931">
            <w:pPr>
              <w:spacing w:before="40" w:after="20"/>
              <w:jc w:val="right"/>
              <w:rPr>
                <w:rFonts w:cs="Arial"/>
                <w:sz w:val="18"/>
                <w:szCs w:val="18"/>
              </w:rPr>
            </w:pPr>
            <w:r w:rsidRPr="001D41EA">
              <w:rPr>
                <w:rFonts w:cs="Arial"/>
                <w:sz w:val="18"/>
                <w:szCs w:val="18"/>
              </w:rPr>
              <w:t> </w:t>
            </w:r>
          </w:p>
        </w:tc>
        <w:tc>
          <w:tcPr>
            <w:tcW w:w="1985" w:type="dxa"/>
            <w:tcBorders>
              <w:top w:val="single" w:sz="8" w:space="0" w:color="5F497A" w:themeColor="accent4" w:themeShade="BF"/>
              <w:left w:val="nil"/>
              <w:bottom w:val="nil"/>
              <w:right w:val="nil"/>
            </w:tcBorders>
            <w:shd w:val="clear" w:color="auto" w:fill="auto"/>
            <w:noWrap/>
            <w:vAlign w:val="bottom"/>
          </w:tcPr>
          <w:p w14:paraId="36100E7A" w14:textId="3D404693" w:rsidR="00D84931" w:rsidRPr="001D41EA" w:rsidRDefault="00D84931" w:rsidP="00D84931">
            <w:pPr>
              <w:spacing w:before="40" w:after="20"/>
              <w:jc w:val="right"/>
              <w:rPr>
                <w:rFonts w:cs="Arial"/>
                <w:b/>
                <w:sz w:val="18"/>
                <w:szCs w:val="18"/>
              </w:rPr>
            </w:pPr>
            <w:r w:rsidRPr="001D41EA">
              <w:rPr>
                <w:rFonts w:cs="Arial"/>
                <w:b/>
                <w:sz w:val="18"/>
                <w:szCs w:val="18"/>
              </w:rPr>
              <w:t> </w:t>
            </w:r>
          </w:p>
        </w:tc>
      </w:tr>
      <w:tr w:rsidR="00D84931" w:rsidRPr="001D41EA" w14:paraId="1B3848D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495C099" w14:textId="77777777" w:rsidR="00D84931" w:rsidRPr="001D41EA" w:rsidRDefault="00D84931" w:rsidP="00D84931">
            <w:pPr>
              <w:spacing w:before="40" w:after="20"/>
              <w:rPr>
                <w:rFonts w:cs="Arial"/>
                <w:sz w:val="18"/>
                <w:szCs w:val="18"/>
              </w:rPr>
            </w:pPr>
            <w:r w:rsidRPr="001D41EA">
              <w:rPr>
                <w:rFonts w:cs="Arial"/>
                <w:sz w:val="18"/>
                <w:szCs w:val="18"/>
              </w:rPr>
              <w:t>Macedon Ranges S</w:t>
            </w:r>
          </w:p>
        </w:tc>
        <w:tc>
          <w:tcPr>
            <w:tcW w:w="1701" w:type="dxa"/>
            <w:tcBorders>
              <w:top w:val="nil"/>
              <w:left w:val="single" w:sz="18" w:space="0" w:color="5F497A" w:themeColor="accent4" w:themeShade="BF"/>
              <w:bottom w:val="nil"/>
              <w:right w:val="nil"/>
            </w:tcBorders>
            <w:shd w:val="clear" w:color="auto" w:fill="auto"/>
            <w:noWrap/>
            <w:vAlign w:val="bottom"/>
          </w:tcPr>
          <w:p w14:paraId="100A9643" w14:textId="65E05A8E"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0133324E" w14:textId="6AFEDBAA" w:rsidR="00D84931" w:rsidRPr="001D41EA" w:rsidRDefault="00D84931" w:rsidP="00D84931">
            <w:pPr>
              <w:spacing w:before="40" w:after="20"/>
              <w:jc w:val="right"/>
              <w:rPr>
                <w:rFonts w:cs="Arial"/>
                <w:sz w:val="18"/>
                <w:szCs w:val="18"/>
              </w:rPr>
            </w:pPr>
            <w:r w:rsidRPr="001D41EA">
              <w:rPr>
                <w:rFonts w:cs="Arial"/>
                <w:sz w:val="18"/>
                <w:szCs w:val="18"/>
              </w:rPr>
              <w:t>35,519,122</w:t>
            </w:r>
          </w:p>
        </w:tc>
        <w:tc>
          <w:tcPr>
            <w:tcW w:w="1985" w:type="dxa"/>
            <w:tcBorders>
              <w:top w:val="nil"/>
              <w:left w:val="nil"/>
              <w:bottom w:val="nil"/>
              <w:right w:val="nil"/>
            </w:tcBorders>
            <w:shd w:val="clear" w:color="auto" w:fill="auto"/>
            <w:noWrap/>
            <w:vAlign w:val="bottom"/>
          </w:tcPr>
          <w:p w14:paraId="241D8306" w14:textId="4E3E000B" w:rsidR="00D84931" w:rsidRPr="001D41EA" w:rsidRDefault="00D84931" w:rsidP="00D84931">
            <w:pPr>
              <w:spacing w:before="40" w:after="20"/>
              <w:jc w:val="right"/>
              <w:rPr>
                <w:rFonts w:cs="Arial"/>
                <w:b/>
                <w:sz w:val="18"/>
                <w:szCs w:val="18"/>
              </w:rPr>
            </w:pPr>
            <w:r w:rsidRPr="001D41EA">
              <w:rPr>
                <w:rFonts w:cs="Arial"/>
                <w:b/>
                <w:sz w:val="18"/>
                <w:szCs w:val="18"/>
              </w:rPr>
              <w:t>29,782,601</w:t>
            </w:r>
          </w:p>
        </w:tc>
      </w:tr>
      <w:tr w:rsidR="00D84931" w:rsidRPr="001D41EA" w14:paraId="29A0B98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94FF06E" w14:textId="77777777" w:rsidR="00D84931" w:rsidRPr="001D41EA" w:rsidRDefault="00D84931" w:rsidP="00D84931">
            <w:pPr>
              <w:spacing w:before="40" w:after="20"/>
              <w:rPr>
                <w:rFonts w:cs="Arial"/>
                <w:sz w:val="18"/>
                <w:szCs w:val="18"/>
              </w:rPr>
            </w:pPr>
            <w:r w:rsidRPr="001D41EA">
              <w:rPr>
                <w:rFonts w:cs="Arial"/>
                <w:sz w:val="18"/>
                <w:szCs w:val="18"/>
              </w:rPr>
              <w:t>Manningham C</w:t>
            </w:r>
          </w:p>
        </w:tc>
        <w:tc>
          <w:tcPr>
            <w:tcW w:w="1701" w:type="dxa"/>
            <w:tcBorders>
              <w:top w:val="nil"/>
              <w:left w:val="single" w:sz="18" w:space="0" w:color="5F497A" w:themeColor="accent4" w:themeShade="BF"/>
              <w:bottom w:val="nil"/>
              <w:right w:val="nil"/>
            </w:tcBorders>
            <w:shd w:val="clear" w:color="auto" w:fill="auto"/>
            <w:noWrap/>
            <w:vAlign w:val="bottom"/>
          </w:tcPr>
          <w:p w14:paraId="6AC79F9C" w14:textId="3B94866E"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07431E8F" w14:textId="4BF5FB08" w:rsidR="00D84931" w:rsidRPr="001D41EA" w:rsidRDefault="00D84931" w:rsidP="00D84931">
            <w:pPr>
              <w:spacing w:before="40" w:after="20"/>
              <w:jc w:val="right"/>
              <w:rPr>
                <w:rFonts w:cs="Arial"/>
                <w:sz w:val="18"/>
                <w:szCs w:val="18"/>
              </w:rPr>
            </w:pPr>
            <w:r w:rsidRPr="001D41EA">
              <w:rPr>
                <w:rFonts w:cs="Arial"/>
                <w:sz w:val="18"/>
                <w:szCs w:val="18"/>
              </w:rPr>
              <w:t>128,265,424</w:t>
            </w:r>
          </w:p>
        </w:tc>
        <w:tc>
          <w:tcPr>
            <w:tcW w:w="1985" w:type="dxa"/>
            <w:tcBorders>
              <w:top w:val="nil"/>
              <w:left w:val="nil"/>
              <w:bottom w:val="nil"/>
              <w:right w:val="nil"/>
            </w:tcBorders>
            <w:shd w:val="clear" w:color="auto" w:fill="auto"/>
            <w:noWrap/>
            <w:vAlign w:val="bottom"/>
          </w:tcPr>
          <w:p w14:paraId="34F8033B" w14:textId="36AC5047" w:rsidR="00D84931" w:rsidRPr="001D41EA" w:rsidRDefault="00D84931" w:rsidP="00D84931">
            <w:pPr>
              <w:spacing w:before="40" w:after="20"/>
              <w:jc w:val="right"/>
              <w:rPr>
                <w:rFonts w:cs="Arial"/>
                <w:b/>
                <w:sz w:val="18"/>
                <w:szCs w:val="18"/>
              </w:rPr>
            </w:pPr>
            <w:r w:rsidRPr="001D41EA">
              <w:rPr>
                <w:rFonts w:cs="Arial"/>
                <w:b/>
                <w:sz w:val="18"/>
                <w:szCs w:val="18"/>
              </w:rPr>
              <w:t>112,083,269</w:t>
            </w:r>
          </w:p>
        </w:tc>
      </w:tr>
      <w:tr w:rsidR="00D84931" w:rsidRPr="001D41EA" w14:paraId="292B493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5F9B095" w14:textId="77777777" w:rsidR="00D84931" w:rsidRPr="001D41EA" w:rsidRDefault="00D84931" w:rsidP="00D84931">
            <w:pPr>
              <w:spacing w:before="40" w:after="20"/>
              <w:rPr>
                <w:rFonts w:cs="Arial"/>
                <w:sz w:val="18"/>
                <w:szCs w:val="18"/>
              </w:rPr>
            </w:pPr>
            <w:r w:rsidRPr="001D41EA">
              <w:rPr>
                <w:rFonts w:cs="Arial"/>
                <w:sz w:val="18"/>
                <w:szCs w:val="18"/>
              </w:rPr>
              <w:t>Mansfield S</w:t>
            </w:r>
          </w:p>
        </w:tc>
        <w:tc>
          <w:tcPr>
            <w:tcW w:w="1701" w:type="dxa"/>
            <w:tcBorders>
              <w:top w:val="nil"/>
              <w:left w:val="single" w:sz="18" w:space="0" w:color="5F497A" w:themeColor="accent4" w:themeShade="BF"/>
              <w:bottom w:val="nil"/>
              <w:right w:val="nil"/>
            </w:tcBorders>
            <w:shd w:val="clear" w:color="auto" w:fill="auto"/>
            <w:noWrap/>
            <w:vAlign w:val="bottom"/>
          </w:tcPr>
          <w:p w14:paraId="26F7FD60" w14:textId="0B907CA0"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12C01D07" w14:textId="4109CEE1" w:rsidR="00D84931" w:rsidRPr="001D41EA" w:rsidRDefault="00D84931" w:rsidP="00D84931">
            <w:pPr>
              <w:spacing w:before="40" w:after="20"/>
              <w:jc w:val="right"/>
              <w:rPr>
                <w:rFonts w:cs="Arial"/>
                <w:sz w:val="18"/>
                <w:szCs w:val="18"/>
              </w:rPr>
            </w:pPr>
            <w:r w:rsidRPr="001D41EA">
              <w:rPr>
                <w:rFonts w:cs="Arial"/>
                <w:sz w:val="18"/>
                <w:szCs w:val="18"/>
              </w:rPr>
              <w:t>9,651,493</w:t>
            </w:r>
          </w:p>
        </w:tc>
        <w:tc>
          <w:tcPr>
            <w:tcW w:w="1985" w:type="dxa"/>
            <w:tcBorders>
              <w:top w:val="nil"/>
              <w:left w:val="nil"/>
              <w:bottom w:val="nil"/>
              <w:right w:val="nil"/>
            </w:tcBorders>
            <w:shd w:val="clear" w:color="auto" w:fill="auto"/>
            <w:noWrap/>
            <w:vAlign w:val="bottom"/>
          </w:tcPr>
          <w:p w14:paraId="6F263E27" w14:textId="305275E4" w:rsidR="00D84931" w:rsidRPr="001D41EA" w:rsidRDefault="00D84931" w:rsidP="00D84931">
            <w:pPr>
              <w:spacing w:before="40" w:after="20"/>
              <w:jc w:val="right"/>
              <w:rPr>
                <w:rFonts w:cs="Arial"/>
                <w:b/>
                <w:sz w:val="18"/>
                <w:szCs w:val="18"/>
              </w:rPr>
            </w:pPr>
            <w:r w:rsidRPr="001D41EA">
              <w:rPr>
                <w:rFonts w:cs="Arial"/>
                <w:b/>
                <w:sz w:val="18"/>
                <w:szCs w:val="18"/>
              </w:rPr>
              <w:t>7,858,869</w:t>
            </w:r>
          </w:p>
        </w:tc>
      </w:tr>
      <w:tr w:rsidR="00D84931" w:rsidRPr="001D41EA" w14:paraId="5D601A9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CA598BA" w14:textId="77777777" w:rsidR="00D84931" w:rsidRPr="001D41EA" w:rsidRDefault="00D84931" w:rsidP="00D84931">
            <w:pPr>
              <w:spacing w:before="40" w:after="20"/>
              <w:rPr>
                <w:rFonts w:cs="Arial"/>
                <w:sz w:val="18"/>
                <w:szCs w:val="18"/>
              </w:rPr>
            </w:pPr>
            <w:r w:rsidRPr="001D41EA">
              <w:rPr>
                <w:rFonts w:cs="Arial"/>
                <w:sz w:val="18"/>
                <w:szCs w:val="18"/>
              </w:rPr>
              <w:t>Maribyrnong C</w:t>
            </w:r>
          </w:p>
        </w:tc>
        <w:tc>
          <w:tcPr>
            <w:tcW w:w="1701" w:type="dxa"/>
            <w:tcBorders>
              <w:top w:val="nil"/>
              <w:left w:val="single" w:sz="18" w:space="0" w:color="5F497A" w:themeColor="accent4" w:themeShade="BF"/>
              <w:bottom w:val="nil"/>
              <w:right w:val="nil"/>
            </w:tcBorders>
            <w:shd w:val="clear" w:color="auto" w:fill="auto"/>
            <w:noWrap/>
            <w:vAlign w:val="bottom"/>
          </w:tcPr>
          <w:p w14:paraId="77E1032A" w14:textId="668171BC"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0E435C2B" w14:textId="0EF52532" w:rsidR="00D84931" w:rsidRPr="001D41EA" w:rsidRDefault="00D84931" w:rsidP="00D84931">
            <w:pPr>
              <w:spacing w:before="40" w:after="20"/>
              <w:jc w:val="right"/>
              <w:rPr>
                <w:rFonts w:cs="Arial"/>
                <w:sz w:val="18"/>
                <w:szCs w:val="18"/>
              </w:rPr>
            </w:pPr>
            <w:r w:rsidRPr="001D41EA">
              <w:rPr>
                <w:rFonts w:cs="Arial"/>
                <w:sz w:val="18"/>
                <w:szCs w:val="18"/>
              </w:rPr>
              <w:t>78,837,812</w:t>
            </w:r>
          </w:p>
        </w:tc>
        <w:tc>
          <w:tcPr>
            <w:tcW w:w="1985" w:type="dxa"/>
            <w:tcBorders>
              <w:top w:val="nil"/>
              <w:left w:val="nil"/>
              <w:bottom w:val="nil"/>
              <w:right w:val="nil"/>
            </w:tcBorders>
            <w:shd w:val="clear" w:color="auto" w:fill="auto"/>
            <w:noWrap/>
            <w:vAlign w:val="bottom"/>
          </w:tcPr>
          <w:p w14:paraId="4933A57A" w14:textId="6DA0B837" w:rsidR="00D84931" w:rsidRPr="001D41EA" w:rsidRDefault="00D84931" w:rsidP="00D84931">
            <w:pPr>
              <w:spacing w:before="40" w:after="20"/>
              <w:jc w:val="right"/>
              <w:rPr>
                <w:rFonts w:cs="Arial"/>
                <w:b/>
                <w:sz w:val="18"/>
                <w:szCs w:val="18"/>
              </w:rPr>
            </w:pPr>
            <w:r w:rsidRPr="001D41EA">
              <w:rPr>
                <w:rFonts w:cs="Arial"/>
                <w:b/>
                <w:sz w:val="18"/>
                <w:szCs w:val="18"/>
              </w:rPr>
              <w:t>72,630,271</w:t>
            </w:r>
          </w:p>
        </w:tc>
      </w:tr>
      <w:tr w:rsidR="00D84931" w:rsidRPr="001D41EA" w14:paraId="4BC9ADB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AE870C3" w14:textId="77777777" w:rsidR="00D84931" w:rsidRPr="001D41EA" w:rsidRDefault="00D84931" w:rsidP="00D84931">
            <w:pPr>
              <w:spacing w:before="40" w:after="20"/>
              <w:rPr>
                <w:rFonts w:cs="Arial"/>
                <w:sz w:val="18"/>
                <w:szCs w:val="18"/>
              </w:rPr>
            </w:pPr>
            <w:r w:rsidRPr="001D41EA">
              <w:rPr>
                <w:rFonts w:cs="Arial"/>
                <w:sz w:val="18"/>
                <w:szCs w:val="18"/>
              </w:rPr>
              <w:t>Maroondah C</w:t>
            </w:r>
          </w:p>
        </w:tc>
        <w:tc>
          <w:tcPr>
            <w:tcW w:w="1701" w:type="dxa"/>
            <w:tcBorders>
              <w:top w:val="nil"/>
              <w:left w:val="single" w:sz="18" w:space="0" w:color="5F497A" w:themeColor="accent4" w:themeShade="BF"/>
              <w:bottom w:val="nil"/>
              <w:right w:val="nil"/>
            </w:tcBorders>
            <w:shd w:val="clear" w:color="auto" w:fill="auto"/>
            <w:noWrap/>
            <w:vAlign w:val="bottom"/>
          </w:tcPr>
          <w:p w14:paraId="523AD03D" w14:textId="49C81A01"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3553A77A" w14:textId="1C9A744E" w:rsidR="00D84931" w:rsidRPr="001D41EA" w:rsidRDefault="00D84931" w:rsidP="00D84931">
            <w:pPr>
              <w:spacing w:before="40" w:after="20"/>
              <w:jc w:val="right"/>
              <w:rPr>
                <w:rFonts w:cs="Arial"/>
                <w:sz w:val="18"/>
                <w:szCs w:val="18"/>
              </w:rPr>
            </w:pPr>
            <w:r w:rsidRPr="001D41EA">
              <w:rPr>
                <w:rFonts w:cs="Arial"/>
                <w:sz w:val="18"/>
                <w:szCs w:val="18"/>
              </w:rPr>
              <w:t>88,115,022</w:t>
            </w:r>
          </w:p>
        </w:tc>
        <w:tc>
          <w:tcPr>
            <w:tcW w:w="1985" w:type="dxa"/>
            <w:tcBorders>
              <w:top w:val="nil"/>
              <w:left w:val="nil"/>
              <w:bottom w:val="nil"/>
              <w:right w:val="nil"/>
            </w:tcBorders>
            <w:shd w:val="clear" w:color="auto" w:fill="auto"/>
            <w:noWrap/>
            <w:vAlign w:val="bottom"/>
          </w:tcPr>
          <w:p w14:paraId="654CBBB3" w14:textId="6C6C82F0" w:rsidR="00D84931" w:rsidRPr="001D41EA" w:rsidRDefault="00D84931" w:rsidP="00D84931">
            <w:pPr>
              <w:spacing w:before="40" w:after="20"/>
              <w:jc w:val="right"/>
              <w:rPr>
                <w:rFonts w:cs="Arial"/>
                <w:b/>
                <w:sz w:val="18"/>
                <w:szCs w:val="18"/>
              </w:rPr>
            </w:pPr>
            <w:r w:rsidRPr="001D41EA">
              <w:rPr>
                <w:rFonts w:cs="Arial"/>
                <w:b/>
                <w:sz w:val="18"/>
                <w:szCs w:val="18"/>
              </w:rPr>
              <w:t>76,615,585</w:t>
            </w:r>
          </w:p>
        </w:tc>
      </w:tr>
      <w:tr w:rsidR="00D84931" w:rsidRPr="001D41EA" w14:paraId="336E7D43"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319868B" w14:textId="77777777" w:rsidR="00D84931" w:rsidRPr="001D41EA" w:rsidRDefault="00D84931" w:rsidP="00D84931">
            <w:pPr>
              <w:spacing w:before="40" w:after="20"/>
              <w:rPr>
                <w:rFonts w:cs="Arial"/>
                <w:sz w:val="18"/>
                <w:szCs w:val="18"/>
              </w:rPr>
            </w:pPr>
            <w:r w:rsidRPr="001D41EA">
              <w:rPr>
                <w:rFonts w:cs="Arial"/>
                <w:sz w:val="18"/>
                <w:szCs w:val="18"/>
              </w:rPr>
              <w:t>Melbourne C</w:t>
            </w:r>
          </w:p>
        </w:tc>
        <w:tc>
          <w:tcPr>
            <w:tcW w:w="1701" w:type="dxa"/>
            <w:tcBorders>
              <w:top w:val="nil"/>
              <w:left w:val="single" w:sz="18" w:space="0" w:color="5F497A" w:themeColor="accent4" w:themeShade="BF"/>
              <w:bottom w:val="nil"/>
              <w:right w:val="nil"/>
            </w:tcBorders>
            <w:shd w:val="clear" w:color="auto" w:fill="auto"/>
            <w:noWrap/>
            <w:vAlign w:val="bottom"/>
          </w:tcPr>
          <w:p w14:paraId="554B4628" w14:textId="19E830A5"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43CF4732" w14:textId="7B9EDC5D" w:rsidR="00D84931" w:rsidRPr="001D41EA" w:rsidRDefault="00D84931" w:rsidP="00D84931">
            <w:pPr>
              <w:spacing w:before="40" w:after="20"/>
              <w:jc w:val="right"/>
              <w:rPr>
                <w:rFonts w:cs="Arial"/>
                <w:sz w:val="18"/>
                <w:szCs w:val="18"/>
              </w:rPr>
            </w:pPr>
            <w:r w:rsidRPr="001D41EA">
              <w:rPr>
                <w:rFonts w:cs="Arial"/>
                <w:sz w:val="18"/>
                <w:szCs w:val="18"/>
              </w:rPr>
              <w:t>337,429,377</w:t>
            </w:r>
          </w:p>
        </w:tc>
        <w:tc>
          <w:tcPr>
            <w:tcW w:w="1985" w:type="dxa"/>
            <w:tcBorders>
              <w:top w:val="nil"/>
              <w:left w:val="nil"/>
              <w:bottom w:val="nil"/>
              <w:right w:val="nil"/>
            </w:tcBorders>
            <w:shd w:val="clear" w:color="auto" w:fill="auto"/>
            <w:noWrap/>
            <w:vAlign w:val="bottom"/>
          </w:tcPr>
          <w:p w14:paraId="01EB1AC4" w14:textId="1878E55B" w:rsidR="00D84931" w:rsidRPr="001D41EA" w:rsidRDefault="00D84931" w:rsidP="00D84931">
            <w:pPr>
              <w:spacing w:before="40" w:after="20"/>
              <w:jc w:val="right"/>
              <w:rPr>
                <w:rFonts w:cs="Arial"/>
                <w:b/>
                <w:sz w:val="18"/>
                <w:szCs w:val="18"/>
              </w:rPr>
            </w:pPr>
            <w:r w:rsidRPr="001D41EA">
              <w:rPr>
                <w:rFonts w:cs="Arial"/>
                <w:b/>
                <w:sz w:val="18"/>
                <w:szCs w:val="18"/>
              </w:rPr>
              <w:t>329,602,041</w:t>
            </w:r>
          </w:p>
        </w:tc>
      </w:tr>
      <w:tr w:rsidR="00D84931" w:rsidRPr="001D41EA" w14:paraId="7558E0A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0C845B1" w14:textId="77777777" w:rsidR="00D84931" w:rsidRPr="001D41EA" w:rsidRDefault="00D84931" w:rsidP="00D84931">
            <w:pPr>
              <w:spacing w:before="40" w:after="20"/>
              <w:rPr>
                <w:rFonts w:cs="Arial"/>
                <w:sz w:val="18"/>
                <w:szCs w:val="18"/>
              </w:rPr>
            </w:pPr>
            <w:r w:rsidRPr="001D41EA">
              <w:rPr>
                <w:rFonts w:cs="Arial"/>
                <w:sz w:val="18"/>
                <w:szCs w:val="18"/>
              </w:rPr>
              <w:t>Melton C</w:t>
            </w:r>
          </w:p>
        </w:tc>
        <w:tc>
          <w:tcPr>
            <w:tcW w:w="1701" w:type="dxa"/>
            <w:tcBorders>
              <w:top w:val="nil"/>
              <w:left w:val="single" w:sz="18" w:space="0" w:color="5F497A" w:themeColor="accent4" w:themeShade="BF"/>
              <w:bottom w:val="nil"/>
              <w:right w:val="nil"/>
            </w:tcBorders>
            <w:shd w:val="clear" w:color="auto" w:fill="auto"/>
            <w:noWrap/>
            <w:vAlign w:val="bottom"/>
          </w:tcPr>
          <w:p w14:paraId="0E265352" w14:textId="71039A6A"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6F573738" w14:textId="3247C3DA" w:rsidR="00D84931" w:rsidRPr="001D41EA" w:rsidRDefault="00D84931" w:rsidP="00D84931">
            <w:pPr>
              <w:spacing w:before="40" w:after="20"/>
              <w:jc w:val="right"/>
              <w:rPr>
                <w:rFonts w:cs="Arial"/>
                <w:sz w:val="18"/>
                <w:szCs w:val="18"/>
              </w:rPr>
            </w:pPr>
            <w:r w:rsidRPr="001D41EA">
              <w:rPr>
                <w:rFonts w:cs="Arial"/>
                <w:sz w:val="18"/>
                <w:szCs w:val="18"/>
              </w:rPr>
              <w:t>71,220,445</w:t>
            </w:r>
          </w:p>
        </w:tc>
        <w:tc>
          <w:tcPr>
            <w:tcW w:w="1985" w:type="dxa"/>
            <w:tcBorders>
              <w:top w:val="nil"/>
              <w:left w:val="nil"/>
              <w:bottom w:val="nil"/>
              <w:right w:val="nil"/>
            </w:tcBorders>
            <w:shd w:val="clear" w:color="auto" w:fill="auto"/>
            <w:noWrap/>
            <w:vAlign w:val="bottom"/>
          </w:tcPr>
          <w:p w14:paraId="7FEE55A7" w14:textId="0631590B" w:rsidR="00D84931" w:rsidRPr="001D41EA" w:rsidRDefault="00D84931" w:rsidP="00D84931">
            <w:pPr>
              <w:spacing w:before="40" w:after="20"/>
              <w:jc w:val="right"/>
              <w:rPr>
                <w:rFonts w:cs="Arial"/>
                <w:b/>
                <w:sz w:val="18"/>
                <w:szCs w:val="18"/>
              </w:rPr>
            </w:pPr>
            <w:r w:rsidRPr="001D41EA">
              <w:rPr>
                <w:rFonts w:cs="Arial"/>
                <w:b/>
                <w:sz w:val="18"/>
                <w:szCs w:val="18"/>
              </w:rPr>
              <w:t>56,254,766</w:t>
            </w:r>
          </w:p>
        </w:tc>
      </w:tr>
      <w:tr w:rsidR="00D84931" w:rsidRPr="001D41EA" w14:paraId="555EDCE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DB0342C" w14:textId="77777777" w:rsidR="00D84931" w:rsidRPr="001D41EA" w:rsidRDefault="00D84931" w:rsidP="00D84931">
            <w:pPr>
              <w:spacing w:before="40" w:after="20"/>
              <w:rPr>
                <w:rFonts w:cs="Arial"/>
                <w:sz w:val="18"/>
                <w:szCs w:val="18"/>
              </w:rPr>
            </w:pPr>
            <w:r w:rsidRPr="001D41EA">
              <w:rPr>
                <w:rFonts w:cs="Arial"/>
                <w:sz w:val="18"/>
                <w:szCs w:val="18"/>
              </w:rPr>
              <w:t>Mildura RC</w:t>
            </w:r>
          </w:p>
        </w:tc>
        <w:tc>
          <w:tcPr>
            <w:tcW w:w="1701" w:type="dxa"/>
            <w:tcBorders>
              <w:top w:val="nil"/>
              <w:left w:val="single" w:sz="18" w:space="0" w:color="5F497A" w:themeColor="accent4" w:themeShade="BF"/>
              <w:bottom w:val="nil"/>
              <w:right w:val="nil"/>
            </w:tcBorders>
            <w:shd w:val="clear" w:color="auto" w:fill="auto"/>
            <w:noWrap/>
            <w:vAlign w:val="bottom"/>
          </w:tcPr>
          <w:p w14:paraId="1BCE6868" w14:textId="2E319C1E"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58883153" w14:textId="403EE950" w:rsidR="00D84931" w:rsidRPr="001D41EA" w:rsidRDefault="00D84931" w:rsidP="00D84931">
            <w:pPr>
              <w:spacing w:before="40" w:after="20"/>
              <w:jc w:val="right"/>
              <w:rPr>
                <w:rFonts w:cs="Arial"/>
                <w:sz w:val="18"/>
                <w:szCs w:val="18"/>
              </w:rPr>
            </w:pPr>
            <w:r w:rsidRPr="001D41EA">
              <w:rPr>
                <w:rFonts w:cs="Arial"/>
                <w:sz w:val="18"/>
                <w:szCs w:val="18"/>
              </w:rPr>
              <w:t>24,712,867</w:t>
            </w:r>
          </w:p>
        </w:tc>
        <w:tc>
          <w:tcPr>
            <w:tcW w:w="1985" w:type="dxa"/>
            <w:tcBorders>
              <w:top w:val="nil"/>
              <w:left w:val="nil"/>
              <w:bottom w:val="nil"/>
              <w:right w:val="nil"/>
            </w:tcBorders>
            <w:shd w:val="clear" w:color="auto" w:fill="auto"/>
            <w:noWrap/>
            <w:vAlign w:val="bottom"/>
          </w:tcPr>
          <w:p w14:paraId="7BD92B4B" w14:textId="488987AA" w:rsidR="00D84931" w:rsidRPr="001D41EA" w:rsidRDefault="00D84931" w:rsidP="00D84931">
            <w:pPr>
              <w:spacing w:before="40" w:after="20"/>
              <w:jc w:val="right"/>
              <w:rPr>
                <w:rFonts w:cs="Arial"/>
                <w:b/>
                <w:sz w:val="18"/>
                <w:szCs w:val="18"/>
              </w:rPr>
            </w:pPr>
            <w:r w:rsidRPr="001D41EA">
              <w:rPr>
                <w:rFonts w:cs="Arial"/>
                <w:b/>
                <w:sz w:val="18"/>
                <w:szCs w:val="18"/>
              </w:rPr>
              <w:t>23,346,596</w:t>
            </w:r>
          </w:p>
        </w:tc>
      </w:tr>
      <w:tr w:rsidR="00D84931" w:rsidRPr="001D41EA" w14:paraId="5242E84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34D38C0" w14:textId="77777777" w:rsidR="00D84931" w:rsidRPr="001D41EA" w:rsidRDefault="00D84931" w:rsidP="00D84931">
            <w:pPr>
              <w:spacing w:before="40" w:after="20"/>
              <w:rPr>
                <w:rFonts w:cs="Arial"/>
                <w:sz w:val="18"/>
                <w:szCs w:val="18"/>
              </w:rPr>
            </w:pPr>
            <w:r w:rsidRPr="001D41EA">
              <w:rPr>
                <w:rFonts w:cs="Arial"/>
                <w:sz w:val="18"/>
                <w:szCs w:val="18"/>
              </w:rPr>
              <w:t>Mitchell S</w:t>
            </w:r>
          </w:p>
        </w:tc>
        <w:tc>
          <w:tcPr>
            <w:tcW w:w="1701" w:type="dxa"/>
            <w:tcBorders>
              <w:top w:val="nil"/>
              <w:left w:val="single" w:sz="18" w:space="0" w:color="5F497A" w:themeColor="accent4" w:themeShade="BF"/>
              <w:bottom w:val="nil"/>
              <w:right w:val="nil"/>
            </w:tcBorders>
            <w:shd w:val="clear" w:color="auto" w:fill="auto"/>
            <w:noWrap/>
            <w:vAlign w:val="bottom"/>
          </w:tcPr>
          <w:p w14:paraId="3486E562" w14:textId="5F266A49" w:rsidR="00D84931" w:rsidRPr="001D41EA" w:rsidRDefault="00D84931" w:rsidP="00D84931">
            <w:pPr>
              <w:spacing w:before="40" w:after="20"/>
              <w:jc w:val="right"/>
              <w:rPr>
                <w:rFonts w:cs="Arial"/>
                <w:sz w:val="18"/>
                <w:szCs w:val="18"/>
              </w:rPr>
            </w:pPr>
            <w:r w:rsidRPr="001D41EA">
              <w:rPr>
                <w:rFonts w:cs="Arial"/>
                <w:sz w:val="18"/>
                <w:szCs w:val="18"/>
              </w:rPr>
              <w:t>187,026</w:t>
            </w:r>
          </w:p>
        </w:tc>
        <w:tc>
          <w:tcPr>
            <w:tcW w:w="1985" w:type="dxa"/>
            <w:tcBorders>
              <w:top w:val="nil"/>
              <w:left w:val="nil"/>
              <w:bottom w:val="nil"/>
              <w:right w:val="nil"/>
            </w:tcBorders>
            <w:vAlign w:val="bottom"/>
          </w:tcPr>
          <w:p w14:paraId="361AACF4" w14:textId="5FC85114" w:rsidR="00D84931" w:rsidRPr="001D41EA" w:rsidRDefault="00D84931" w:rsidP="00D84931">
            <w:pPr>
              <w:spacing w:before="40" w:after="20"/>
              <w:jc w:val="right"/>
              <w:rPr>
                <w:rFonts w:cs="Arial"/>
                <w:sz w:val="18"/>
                <w:szCs w:val="18"/>
              </w:rPr>
            </w:pPr>
            <w:r w:rsidRPr="001D41EA">
              <w:rPr>
                <w:rFonts w:cs="Arial"/>
                <w:sz w:val="18"/>
                <w:szCs w:val="18"/>
              </w:rPr>
              <w:t>22,553,816</w:t>
            </w:r>
          </w:p>
        </w:tc>
        <w:tc>
          <w:tcPr>
            <w:tcW w:w="1985" w:type="dxa"/>
            <w:tcBorders>
              <w:top w:val="nil"/>
              <w:left w:val="nil"/>
              <w:bottom w:val="nil"/>
              <w:right w:val="nil"/>
            </w:tcBorders>
            <w:shd w:val="clear" w:color="auto" w:fill="auto"/>
            <w:noWrap/>
            <w:vAlign w:val="bottom"/>
          </w:tcPr>
          <w:p w14:paraId="3869EA01" w14:textId="22DB4EF3" w:rsidR="00D84931" w:rsidRPr="001D41EA" w:rsidRDefault="00D84931" w:rsidP="00D84931">
            <w:pPr>
              <w:spacing w:before="40" w:after="20"/>
              <w:jc w:val="right"/>
              <w:rPr>
                <w:rFonts w:cs="Arial"/>
                <w:b/>
                <w:sz w:val="18"/>
                <w:szCs w:val="18"/>
              </w:rPr>
            </w:pPr>
            <w:r w:rsidRPr="001D41EA">
              <w:rPr>
                <w:rFonts w:cs="Arial"/>
                <w:b/>
                <w:sz w:val="18"/>
                <w:szCs w:val="18"/>
              </w:rPr>
              <w:t>20,862,830</w:t>
            </w:r>
          </w:p>
        </w:tc>
      </w:tr>
      <w:tr w:rsidR="00D84931" w:rsidRPr="001D41EA" w14:paraId="026B426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BD5C34F" w14:textId="77777777" w:rsidR="00D84931" w:rsidRPr="001D41EA" w:rsidRDefault="00D84931" w:rsidP="00D84931">
            <w:pPr>
              <w:spacing w:before="40" w:after="20"/>
              <w:rPr>
                <w:rFonts w:cs="Arial"/>
                <w:sz w:val="18"/>
                <w:szCs w:val="18"/>
              </w:rPr>
            </w:pPr>
            <w:r w:rsidRPr="001D41EA">
              <w:rPr>
                <w:rFonts w:cs="Arial"/>
                <w:sz w:val="18"/>
                <w:szCs w:val="18"/>
              </w:rPr>
              <w:t>Moira S</w:t>
            </w:r>
          </w:p>
        </w:tc>
        <w:tc>
          <w:tcPr>
            <w:tcW w:w="1701" w:type="dxa"/>
            <w:tcBorders>
              <w:top w:val="nil"/>
              <w:left w:val="single" w:sz="18" w:space="0" w:color="5F497A" w:themeColor="accent4" w:themeShade="BF"/>
              <w:bottom w:val="nil"/>
              <w:right w:val="nil"/>
            </w:tcBorders>
            <w:shd w:val="clear" w:color="auto" w:fill="auto"/>
            <w:noWrap/>
            <w:vAlign w:val="bottom"/>
          </w:tcPr>
          <w:p w14:paraId="02B28D89" w14:textId="52707C38"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16EC8089" w14:textId="405A562C" w:rsidR="00D84931" w:rsidRPr="001D41EA" w:rsidRDefault="00D84931" w:rsidP="00D84931">
            <w:pPr>
              <w:spacing w:before="40" w:after="20"/>
              <w:jc w:val="right"/>
              <w:rPr>
                <w:rFonts w:cs="Arial"/>
                <w:sz w:val="18"/>
                <w:szCs w:val="18"/>
              </w:rPr>
            </w:pPr>
            <w:r w:rsidRPr="001D41EA">
              <w:rPr>
                <w:rFonts w:cs="Arial"/>
                <w:sz w:val="18"/>
                <w:szCs w:val="18"/>
              </w:rPr>
              <w:t>17,421,626</w:t>
            </w:r>
          </w:p>
        </w:tc>
        <w:tc>
          <w:tcPr>
            <w:tcW w:w="1985" w:type="dxa"/>
            <w:tcBorders>
              <w:top w:val="nil"/>
              <w:left w:val="nil"/>
              <w:bottom w:val="nil"/>
              <w:right w:val="nil"/>
            </w:tcBorders>
            <w:shd w:val="clear" w:color="auto" w:fill="auto"/>
            <w:noWrap/>
            <w:vAlign w:val="bottom"/>
          </w:tcPr>
          <w:p w14:paraId="0A0BD15B" w14:textId="64A8AA0D" w:rsidR="00D84931" w:rsidRPr="001D41EA" w:rsidRDefault="00D84931" w:rsidP="00D84931">
            <w:pPr>
              <w:spacing w:before="40" w:after="20"/>
              <w:jc w:val="right"/>
              <w:rPr>
                <w:rFonts w:cs="Arial"/>
                <w:b/>
                <w:sz w:val="18"/>
                <w:szCs w:val="18"/>
              </w:rPr>
            </w:pPr>
            <w:r w:rsidRPr="001D41EA">
              <w:rPr>
                <w:rFonts w:cs="Arial"/>
                <w:b/>
                <w:sz w:val="18"/>
                <w:szCs w:val="18"/>
              </w:rPr>
              <w:t>16,784,176</w:t>
            </w:r>
          </w:p>
        </w:tc>
      </w:tr>
      <w:tr w:rsidR="00D84931" w:rsidRPr="001D41EA" w14:paraId="10D327A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7DF9261" w14:textId="77777777" w:rsidR="00D84931" w:rsidRPr="001D41EA" w:rsidRDefault="00D84931" w:rsidP="00D84931">
            <w:pPr>
              <w:spacing w:before="40" w:after="20"/>
              <w:rPr>
                <w:rFonts w:cs="Arial"/>
                <w:sz w:val="18"/>
                <w:szCs w:val="18"/>
              </w:rPr>
            </w:pPr>
            <w:r w:rsidRPr="001D41EA">
              <w:rPr>
                <w:rFonts w:cs="Arial"/>
                <w:sz w:val="18"/>
                <w:szCs w:val="18"/>
              </w:rPr>
              <w:t>Monash C</w:t>
            </w:r>
          </w:p>
        </w:tc>
        <w:tc>
          <w:tcPr>
            <w:tcW w:w="1701" w:type="dxa"/>
            <w:tcBorders>
              <w:top w:val="nil"/>
              <w:left w:val="single" w:sz="18" w:space="0" w:color="5F497A" w:themeColor="accent4" w:themeShade="BF"/>
              <w:bottom w:val="nil"/>
              <w:right w:val="nil"/>
            </w:tcBorders>
            <w:shd w:val="clear" w:color="auto" w:fill="auto"/>
            <w:noWrap/>
            <w:vAlign w:val="bottom"/>
          </w:tcPr>
          <w:p w14:paraId="06FF8416" w14:textId="3590AD49"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137AF93E" w14:textId="0A5486F7" w:rsidR="00D84931" w:rsidRPr="001D41EA" w:rsidRDefault="00D84931" w:rsidP="00D84931">
            <w:pPr>
              <w:spacing w:before="40" w:after="20"/>
              <w:jc w:val="right"/>
              <w:rPr>
                <w:rFonts w:cs="Arial"/>
                <w:sz w:val="18"/>
                <w:szCs w:val="18"/>
              </w:rPr>
            </w:pPr>
            <w:r w:rsidRPr="001D41EA">
              <w:rPr>
                <w:rFonts w:cs="Arial"/>
                <w:sz w:val="18"/>
                <w:szCs w:val="18"/>
              </w:rPr>
              <w:t>194,140,585</w:t>
            </w:r>
          </w:p>
        </w:tc>
        <w:tc>
          <w:tcPr>
            <w:tcW w:w="1985" w:type="dxa"/>
            <w:tcBorders>
              <w:top w:val="nil"/>
              <w:left w:val="nil"/>
              <w:bottom w:val="nil"/>
              <w:right w:val="nil"/>
            </w:tcBorders>
            <w:shd w:val="clear" w:color="auto" w:fill="auto"/>
            <w:noWrap/>
            <w:vAlign w:val="bottom"/>
          </w:tcPr>
          <w:p w14:paraId="6FB86A4E" w14:textId="67CA631B" w:rsidR="00D84931" w:rsidRPr="001D41EA" w:rsidRDefault="00D84931" w:rsidP="00D84931">
            <w:pPr>
              <w:spacing w:before="40" w:after="20"/>
              <w:jc w:val="right"/>
              <w:rPr>
                <w:rFonts w:cs="Arial"/>
                <w:b/>
                <w:sz w:val="18"/>
                <w:szCs w:val="18"/>
              </w:rPr>
            </w:pPr>
            <w:r w:rsidRPr="001D41EA">
              <w:rPr>
                <w:rFonts w:cs="Arial"/>
                <w:b/>
                <w:sz w:val="18"/>
                <w:szCs w:val="18"/>
              </w:rPr>
              <w:t>169,374,985</w:t>
            </w:r>
          </w:p>
        </w:tc>
      </w:tr>
      <w:tr w:rsidR="00D84931" w:rsidRPr="001D41EA" w14:paraId="7920E01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FA5DCB6" w14:textId="77777777" w:rsidR="00D84931" w:rsidRPr="001D41EA" w:rsidRDefault="00D84931" w:rsidP="00D84931">
            <w:pPr>
              <w:spacing w:before="40" w:after="20"/>
              <w:rPr>
                <w:rFonts w:cs="Arial"/>
                <w:sz w:val="18"/>
                <w:szCs w:val="18"/>
              </w:rPr>
            </w:pPr>
            <w:r w:rsidRPr="001D41EA">
              <w:rPr>
                <w:rFonts w:cs="Arial"/>
                <w:sz w:val="18"/>
                <w:szCs w:val="18"/>
              </w:rPr>
              <w:t>Moonee Valley C</w:t>
            </w:r>
          </w:p>
        </w:tc>
        <w:tc>
          <w:tcPr>
            <w:tcW w:w="1701" w:type="dxa"/>
            <w:tcBorders>
              <w:top w:val="nil"/>
              <w:left w:val="single" w:sz="18" w:space="0" w:color="5F497A" w:themeColor="accent4" w:themeShade="BF"/>
              <w:bottom w:val="nil"/>
              <w:right w:val="nil"/>
            </w:tcBorders>
            <w:shd w:val="clear" w:color="auto" w:fill="auto"/>
            <w:noWrap/>
            <w:vAlign w:val="bottom"/>
          </w:tcPr>
          <w:p w14:paraId="6910E2D2" w14:textId="5A48F78C" w:rsidR="00D84931" w:rsidRPr="001D41EA" w:rsidRDefault="00D84931" w:rsidP="00D84931">
            <w:pPr>
              <w:spacing w:before="40" w:after="20"/>
              <w:jc w:val="right"/>
              <w:rPr>
                <w:rFonts w:cs="Arial"/>
                <w:sz w:val="18"/>
                <w:szCs w:val="18"/>
              </w:rPr>
            </w:pPr>
            <w:r w:rsidRPr="001D41EA">
              <w:rPr>
                <w:rFonts w:cs="Arial"/>
                <w:sz w:val="18"/>
                <w:szCs w:val="18"/>
              </w:rPr>
              <w:t>1,413,501</w:t>
            </w:r>
          </w:p>
        </w:tc>
        <w:tc>
          <w:tcPr>
            <w:tcW w:w="1985" w:type="dxa"/>
            <w:tcBorders>
              <w:top w:val="nil"/>
              <w:left w:val="nil"/>
              <w:bottom w:val="nil"/>
              <w:right w:val="nil"/>
            </w:tcBorders>
            <w:vAlign w:val="bottom"/>
          </w:tcPr>
          <w:p w14:paraId="47DA6EAD" w14:textId="3C4D8F8D" w:rsidR="00D84931" w:rsidRPr="001D41EA" w:rsidRDefault="00D84931" w:rsidP="00D84931">
            <w:pPr>
              <w:spacing w:before="40" w:after="20"/>
              <w:jc w:val="right"/>
              <w:rPr>
                <w:rFonts w:cs="Arial"/>
                <w:sz w:val="18"/>
                <w:szCs w:val="18"/>
              </w:rPr>
            </w:pPr>
            <w:r w:rsidRPr="001D41EA">
              <w:rPr>
                <w:rFonts w:cs="Arial"/>
                <w:sz w:val="18"/>
                <w:szCs w:val="18"/>
              </w:rPr>
              <w:t>124,156,791</w:t>
            </w:r>
          </w:p>
        </w:tc>
        <w:tc>
          <w:tcPr>
            <w:tcW w:w="1985" w:type="dxa"/>
            <w:tcBorders>
              <w:top w:val="nil"/>
              <w:left w:val="nil"/>
              <w:bottom w:val="nil"/>
              <w:right w:val="nil"/>
            </w:tcBorders>
            <w:shd w:val="clear" w:color="auto" w:fill="auto"/>
            <w:noWrap/>
            <w:vAlign w:val="bottom"/>
          </w:tcPr>
          <w:p w14:paraId="21D4BB44" w14:textId="0688D7F6" w:rsidR="00D84931" w:rsidRPr="001D41EA" w:rsidRDefault="00D84931" w:rsidP="00D84931">
            <w:pPr>
              <w:spacing w:before="40" w:after="20"/>
              <w:jc w:val="right"/>
              <w:rPr>
                <w:rFonts w:cs="Arial"/>
                <w:b/>
                <w:sz w:val="18"/>
                <w:szCs w:val="18"/>
              </w:rPr>
            </w:pPr>
            <w:r w:rsidRPr="001D41EA">
              <w:rPr>
                <w:rFonts w:cs="Arial"/>
                <w:b/>
                <w:sz w:val="18"/>
                <w:szCs w:val="18"/>
              </w:rPr>
              <w:t>117,135,936</w:t>
            </w:r>
          </w:p>
        </w:tc>
      </w:tr>
      <w:tr w:rsidR="00D84931" w:rsidRPr="001D41EA" w14:paraId="6CAD3CC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D40C723" w14:textId="77777777" w:rsidR="00D84931" w:rsidRPr="001D41EA" w:rsidRDefault="00D84931" w:rsidP="00D84931">
            <w:pPr>
              <w:spacing w:before="40" w:after="20"/>
              <w:rPr>
                <w:rFonts w:cs="Arial"/>
                <w:sz w:val="18"/>
                <w:szCs w:val="18"/>
              </w:rPr>
            </w:pPr>
            <w:r w:rsidRPr="001D41EA">
              <w:rPr>
                <w:rFonts w:cs="Arial"/>
                <w:sz w:val="18"/>
                <w:szCs w:val="18"/>
              </w:rPr>
              <w:t>Moorabool S</w:t>
            </w:r>
          </w:p>
        </w:tc>
        <w:tc>
          <w:tcPr>
            <w:tcW w:w="1701" w:type="dxa"/>
            <w:tcBorders>
              <w:top w:val="nil"/>
              <w:left w:val="single" w:sz="18" w:space="0" w:color="5F497A" w:themeColor="accent4" w:themeShade="BF"/>
              <w:bottom w:val="nil"/>
              <w:right w:val="nil"/>
            </w:tcBorders>
            <w:shd w:val="clear" w:color="auto" w:fill="auto"/>
            <w:noWrap/>
            <w:vAlign w:val="bottom"/>
          </w:tcPr>
          <w:p w14:paraId="39247756" w14:textId="4AD1B3A3"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4702EE31" w14:textId="69E541B0" w:rsidR="00D84931" w:rsidRPr="001D41EA" w:rsidRDefault="00D84931" w:rsidP="00D84931">
            <w:pPr>
              <w:spacing w:before="40" w:after="20"/>
              <w:jc w:val="right"/>
              <w:rPr>
                <w:rFonts w:cs="Arial"/>
                <w:sz w:val="18"/>
                <w:szCs w:val="18"/>
              </w:rPr>
            </w:pPr>
            <w:r w:rsidRPr="001D41EA">
              <w:rPr>
                <w:rFonts w:cs="Arial"/>
                <w:sz w:val="18"/>
                <w:szCs w:val="18"/>
              </w:rPr>
              <w:t>19,134,533</w:t>
            </w:r>
          </w:p>
        </w:tc>
        <w:tc>
          <w:tcPr>
            <w:tcW w:w="1985" w:type="dxa"/>
            <w:tcBorders>
              <w:top w:val="nil"/>
              <w:left w:val="nil"/>
              <w:bottom w:val="nil"/>
              <w:right w:val="nil"/>
            </w:tcBorders>
            <w:shd w:val="clear" w:color="auto" w:fill="auto"/>
            <w:noWrap/>
            <w:vAlign w:val="bottom"/>
          </w:tcPr>
          <w:p w14:paraId="5678A05F" w14:textId="1B15F619" w:rsidR="00D84931" w:rsidRPr="001D41EA" w:rsidRDefault="00D84931" w:rsidP="00D84931">
            <w:pPr>
              <w:spacing w:before="40" w:after="20"/>
              <w:jc w:val="right"/>
              <w:rPr>
                <w:rFonts w:cs="Arial"/>
                <w:b/>
                <w:sz w:val="18"/>
                <w:szCs w:val="18"/>
              </w:rPr>
            </w:pPr>
            <w:r w:rsidRPr="001D41EA">
              <w:rPr>
                <w:rFonts w:cs="Arial"/>
                <w:b/>
                <w:sz w:val="18"/>
                <w:szCs w:val="18"/>
              </w:rPr>
              <w:t>17,655,202</w:t>
            </w:r>
          </w:p>
        </w:tc>
      </w:tr>
      <w:tr w:rsidR="00D84931" w:rsidRPr="001D41EA" w14:paraId="4B27D84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D02213F" w14:textId="77777777" w:rsidR="00D84931" w:rsidRPr="001D41EA" w:rsidRDefault="00D84931" w:rsidP="00D84931">
            <w:pPr>
              <w:spacing w:before="40" w:after="20"/>
              <w:rPr>
                <w:rFonts w:cs="Arial"/>
                <w:sz w:val="18"/>
                <w:szCs w:val="18"/>
              </w:rPr>
            </w:pPr>
            <w:r w:rsidRPr="001D41EA">
              <w:rPr>
                <w:rFonts w:cs="Arial"/>
                <w:sz w:val="18"/>
                <w:szCs w:val="18"/>
              </w:rPr>
              <w:t>Moreland C</w:t>
            </w:r>
          </w:p>
        </w:tc>
        <w:tc>
          <w:tcPr>
            <w:tcW w:w="1701" w:type="dxa"/>
            <w:tcBorders>
              <w:top w:val="nil"/>
              <w:left w:val="single" w:sz="18" w:space="0" w:color="5F497A" w:themeColor="accent4" w:themeShade="BF"/>
              <w:bottom w:val="nil"/>
              <w:right w:val="nil"/>
            </w:tcBorders>
            <w:shd w:val="clear" w:color="auto" w:fill="auto"/>
            <w:noWrap/>
            <w:vAlign w:val="bottom"/>
          </w:tcPr>
          <w:p w14:paraId="65C23E22" w14:textId="348EEBE8"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67D68CCB" w14:textId="69FD006A" w:rsidR="00D84931" w:rsidRPr="001D41EA" w:rsidRDefault="00D84931" w:rsidP="00D84931">
            <w:pPr>
              <w:spacing w:before="40" w:after="20"/>
              <w:jc w:val="right"/>
              <w:rPr>
                <w:rFonts w:cs="Arial"/>
                <w:sz w:val="18"/>
                <w:szCs w:val="18"/>
              </w:rPr>
            </w:pPr>
            <w:r w:rsidRPr="001D41EA">
              <w:rPr>
                <w:rFonts w:cs="Arial"/>
                <w:sz w:val="18"/>
                <w:szCs w:val="18"/>
              </w:rPr>
              <w:t>137,670,552</w:t>
            </w:r>
          </w:p>
        </w:tc>
        <w:tc>
          <w:tcPr>
            <w:tcW w:w="1985" w:type="dxa"/>
            <w:tcBorders>
              <w:top w:val="nil"/>
              <w:left w:val="nil"/>
              <w:bottom w:val="nil"/>
              <w:right w:val="nil"/>
            </w:tcBorders>
            <w:shd w:val="clear" w:color="auto" w:fill="auto"/>
            <w:noWrap/>
            <w:vAlign w:val="bottom"/>
          </w:tcPr>
          <w:p w14:paraId="2CE43DE9" w14:textId="2A05DA3F" w:rsidR="00D84931" w:rsidRPr="001D41EA" w:rsidRDefault="00D84931" w:rsidP="00D84931">
            <w:pPr>
              <w:spacing w:before="40" w:after="20"/>
              <w:jc w:val="right"/>
              <w:rPr>
                <w:rFonts w:cs="Arial"/>
                <w:b/>
                <w:sz w:val="18"/>
                <w:szCs w:val="18"/>
              </w:rPr>
            </w:pPr>
            <w:r w:rsidRPr="001D41EA">
              <w:rPr>
                <w:rFonts w:cs="Arial"/>
                <w:b/>
                <w:sz w:val="18"/>
                <w:szCs w:val="18"/>
              </w:rPr>
              <w:t>129,282,297</w:t>
            </w:r>
          </w:p>
        </w:tc>
      </w:tr>
      <w:tr w:rsidR="00D84931" w:rsidRPr="001D41EA" w14:paraId="20F5EA4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2A10451" w14:textId="77777777" w:rsidR="00D84931" w:rsidRPr="001D41EA" w:rsidRDefault="00D84931" w:rsidP="00D84931">
            <w:pPr>
              <w:spacing w:before="40" w:after="20"/>
              <w:rPr>
                <w:rFonts w:cs="Arial"/>
                <w:sz w:val="18"/>
                <w:szCs w:val="18"/>
              </w:rPr>
            </w:pPr>
            <w:r w:rsidRPr="001D41EA">
              <w:rPr>
                <w:rFonts w:cs="Arial"/>
                <w:sz w:val="18"/>
                <w:szCs w:val="18"/>
              </w:rPr>
              <w:t>Mornington Peninsula S</w:t>
            </w:r>
          </w:p>
        </w:tc>
        <w:tc>
          <w:tcPr>
            <w:tcW w:w="1701" w:type="dxa"/>
            <w:tcBorders>
              <w:top w:val="nil"/>
              <w:left w:val="single" w:sz="18" w:space="0" w:color="5F497A" w:themeColor="accent4" w:themeShade="BF"/>
              <w:bottom w:val="nil"/>
              <w:right w:val="nil"/>
            </w:tcBorders>
            <w:shd w:val="clear" w:color="auto" w:fill="auto"/>
            <w:noWrap/>
            <w:vAlign w:val="bottom"/>
          </w:tcPr>
          <w:p w14:paraId="062F802E" w14:textId="3D926067" w:rsidR="00D84931" w:rsidRPr="001D41EA" w:rsidRDefault="00D84931" w:rsidP="00D84931">
            <w:pPr>
              <w:spacing w:before="40" w:after="20"/>
              <w:jc w:val="right"/>
              <w:rPr>
                <w:rFonts w:cs="Arial"/>
                <w:sz w:val="18"/>
                <w:szCs w:val="18"/>
              </w:rPr>
            </w:pPr>
            <w:r w:rsidRPr="001D41EA">
              <w:rPr>
                <w:rFonts w:cs="Arial"/>
                <w:sz w:val="18"/>
                <w:szCs w:val="18"/>
              </w:rPr>
              <w:t>487,933</w:t>
            </w:r>
          </w:p>
        </w:tc>
        <w:tc>
          <w:tcPr>
            <w:tcW w:w="1985" w:type="dxa"/>
            <w:tcBorders>
              <w:top w:val="nil"/>
              <w:left w:val="nil"/>
              <w:bottom w:val="nil"/>
              <w:right w:val="nil"/>
            </w:tcBorders>
            <w:vAlign w:val="bottom"/>
          </w:tcPr>
          <w:p w14:paraId="675515A3" w14:textId="33892E21" w:rsidR="00D84931" w:rsidRPr="001D41EA" w:rsidRDefault="00D84931" w:rsidP="00D84931">
            <w:pPr>
              <w:spacing w:before="40" w:after="20"/>
              <w:jc w:val="right"/>
              <w:rPr>
                <w:rFonts w:cs="Arial"/>
                <w:sz w:val="18"/>
                <w:szCs w:val="18"/>
              </w:rPr>
            </w:pPr>
            <w:r w:rsidRPr="001D41EA">
              <w:rPr>
                <w:rFonts w:cs="Arial"/>
                <w:sz w:val="18"/>
                <w:szCs w:val="18"/>
              </w:rPr>
              <w:t>193,089,031</w:t>
            </w:r>
          </w:p>
        </w:tc>
        <w:tc>
          <w:tcPr>
            <w:tcW w:w="1985" w:type="dxa"/>
            <w:tcBorders>
              <w:top w:val="nil"/>
              <w:left w:val="nil"/>
              <w:bottom w:val="nil"/>
              <w:right w:val="nil"/>
            </w:tcBorders>
            <w:shd w:val="clear" w:color="auto" w:fill="auto"/>
            <w:noWrap/>
            <w:vAlign w:val="bottom"/>
          </w:tcPr>
          <w:p w14:paraId="462BFF82" w14:textId="30BB723E" w:rsidR="00D84931" w:rsidRPr="001D41EA" w:rsidRDefault="00D84931" w:rsidP="00D84931">
            <w:pPr>
              <w:spacing w:before="40" w:after="20"/>
              <w:jc w:val="right"/>
              <w:rPr>
                <w:rFonts w:cs="Arial"/>
                <w:b/>
                <w:sz w:val="18"/>
                <w:szCs w:val="18"/>
              </w:rPr>
            </w:pPr>
            <w:r w:rsidRPr="001D41EA">
              <w:rPr>
                <w:rFonts w:cs="Arial"/>
                <w:b/>
                <w:sz w:val="18"/>
                <w:szCs w:val="18"/>
              </w:rPr>
              <w:t>171,280,649</w:t>
            </w:r>
          </w:p>
        </w:tc>
      </w:tr>
      <w:tr w:rsidR="00D84931" w:rsidRPr="001D41EA" w14:paraId="664D01F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5298DA6" w14:textId="77777777" w:rsidR="00D84931" w:rsidRPr="001D41EA" w:rsidRDefault="00D84931" w:rsidP="00D84931">
            <w:pPr>
              <w:spacing w:before="40" w:after="20"/>
              <w:rPr>
                <w:rFonts w:cs="Arial"/>
                <w:sz w:val="18"/>
                <w:szCs w:val="18"/>
              </w:rPr>
            </w:pPr>
            <w:r w:rsidRPr="001D41EA">
              <w:rPr>
                <w:rFonts w:cs="Arial"/>
                <w:sz w:val="18"/>
                <w:szCs w:val="18"/>
              </w:rPr>
              <w:t>Mount Alexander S</w:t>
            </w:r>
          </w:p>
        </w:tc>
        <w:tc>
          <w:tcPr>
            <w:tcW w:w="1701" w:type="dxa"/>
            <w:tcBorders>
              <w:top w:val="nil"/>
              <w:left w:val="single" w:sz="18" w:space="0" w:color="5F497A" w:themeColor="accent4" w:themeShade="BF"/>
              <w:bottom w:val="nil"/>
              <w:right w:val="nil"/>
            </w:tcBorders>
            <w:shd w:val="clear" w:color="auto" w:fill="auto"/>
            <w:noWrap/>
            <w:vAlign w:val="bottom"/>
          </w:tcPr>
          <w:p w14:paraId="762BC356" w14:textId="221A8E97" w:rsidR="00D84931" w:rsidRPr="001D41EA" w:rsidRDefault="00D84931" w:rsidP="00D84931">
            <w:pPr>
              <w:spacing w:before="40" w:after="20"/>
              <w:jc w:val="right"/>
              <w:rPr>
                <w:rFonts w:cs="Arial"/>
                <w:sz w:val="18"/>
                <w:szCs w:val="18"/>
              </w:rPr>
            </w:pPr>
            <w:r w:rsidRPr="001D41EA">
              <w:rPr>
                <w:rFonts w:cs="Arial"/>
                <w:sz w:val="18"/>
                <w:szCs w:val="18"/>
              </w:rPr>
              <w:t>248</w:t>
            </w:r>
          </w:p>
        </w:tc>
        <w:tc>
          <w:tcPr>
            <w:tcW w:w="1985" w:type="dxa"/>
            <w:tcBorders>
              <w:top w:val="nil"/>
              <w:left w:val="nil"/>
              <w:bottom w:val="nil"/>
              <w:right w:val="nil"/>
            </w:tcBorders>
            <w:vAlign w:val="bottom"/>
          </w:tcPr>
          <w:p w14:paraId="07F1B6A0" w14:textId="6FDCF711" w:rsidR="00D84931" w:rsidRPr="001D41EA" w:rsidRDefault="00D84931" w:rsidP="00D84931">
            <w:pPr>
              <w:spacing w:before="40" w:after="20"/>
              <w:jc w:val="right"/>
              <w:rPr>
                <w:rFonts w:cs="Arial"/>
                <w:sz w:val="18"/>
                <w:szCs w:val="18"/>
              </w:rPr>
            </w:pPr>
            <w:r w:rsidRPr="001D41EA">
              <w:rPr>
                <w:rFonts w:cs="Arial"/>
                <w:sz w:val="18"/>
                <w:szCs w:val="18"/>
              </w:rPr>
              <w:t>13,070,826</w:t>
            </w:r>
          </w:p>
        </w:tc>
        <w:tc>
          <w:tcPr>
            <w:tcW w:w="1985" w:type="dxa"/>
            <w:tcBorders>
              <w:top w:val="nil"/>
              <w:left w:val="nil"/>
              <w:bottom w:val="nil"/>
              <w:right w:val="nil"/>
            </w:tcBorders>
            <w:shd w:val="clear" w:color="auto" w:fill="auto"/>
            <w:noWrap/>
            <w:vAlign w:val="bottom"/>
          </w:tcPr>
          <w:p w14:paraId="5EF7DFAE" w14:textId="0AFF3A92" w:rsidR="00D84931" w:rsidRPr="001D41EA" w:rsidRDefault="00D84931" w:rsidP="00D84931">
            <w:pPr>
              <w:spacing w:before="40" w:after="20"/>
              <w:jc w:val="right"/>
              <w:rPr>
                <w:rFonts w:cs="Arial"/>
                <w:b/>
                <w:sz w:val="18"/>
                <w:szCs w:val="18"/>
              </w:rPr>
            </w:pPr>
            <w:r w:rsidRPr="001D41EA">
              <w:rPr>
                <w:rFonts w:cs="Arial"/>
                <w:b/>
                <w:sz w:val="18"/>
                <w:szCs w:val="18"/>
              </w:rPr>
              <w:t>10,122,138</w:t>
            </w:r>
          </w:p>
        </w:tc>
      </w:tr>
      <w:tr w:rsidR="00D84931" w:rsidRPr="001D41EA" w14:paraId="202E33D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350F57D" w14:textId="77777777" w:rsidR="00D84931" w:rsidRPr="001D41EA" w:rsidRDefault="00D84931" w:rsidP="00D84931">
            <w:pPr>
              <w:spacing w:before="40" w:after="20"/>
              <w:rPr>
                <w:rFonts w:cs="Arial"/>
                <w:sz w:val="18"/>
                <w:szCs w:val="18"/>
              </w:rPr>
            </w:pPr>
            <w:r w:rsidRPr="001D41EA">
              <w:rPr>
                <w:rFonts w:cs="Arial"/>
                <w:sz w:val="18"/>
                <w:szCs w:val="18"/>
              </w:rPr>
              <w:t>Moyne S</w:t>
            </w:r>
          </w:p>
        </w:tc>
        <w:tc>
          <w:tcPr>
            <w:tcW w:w="1701" w:type="dxa"/>
            <w:tcBorders>
              <w:top w:val="nil"/>
              <w:left w:val="single" w:sz="18" w:space="0" w:color="5F497A" w:themeColor="accent4" w:themeShade="BF"/>
              <w:bottom w:val="nil"/>
              <w:right w:val="nil"/>
            </w:tcBorders>
            <w:shd w:val="clear" w:color="auto" w:fill="auto"/>
            <w:noWrap/>
            <w:vAlign w:val="bottom"/>
          </w:tcPr>
          <w:p w14:paraId="43E67BF3" w14:textId="7C769C05" w:rsidR="00D84931" w:rsidRPr="001D41EA" w:rsidRDefault="00D84931" w:rsidP="00D84931">
            <w:pPr>
              <w:spacing w:before="40" w:after="20"/>
              <w:jc w:val="right"/>
              <w:rPr>
                <w:rFonts w:cs="Arial"/>
                <w:sz w:val="18"/>
                <w:szCs w:val="18"/>
              </w:rPr>
            </w:pPr>
            <w:r w:rsidRPr="001D41EA">
              <w:rPr>
                <w:rFonts w:cs="Arial"/>
                <w:sz w:val="18"/>
                <w:szCs w:val="18"/>
              </w:rPr>
              <w:t>1,447,679</w:t>
            </w:r>
          </w:p>
        </w:tc>
        <w:tc>
          <w:tcPr>
            <w:tcW w:w="1985" w:type="dxa"/>
            <w:tcBorders>
              <w:top w:val="nil"/>
              <w:left w:val="nil"/>
              <w:bottom w:val="nil"/>
              <w:right w:val="nil"/>
            </w:tcBorders>
            <w:vAlign w:val="bottom"/>
          </w:tcPr>
          <w:p w14:paraId="7C2DF450" w14:textId="6D4C79BA" w:rsidR="00D84931" w:rsidRPr="001D41EA" w:rsidRDefault="00D84931" w:rsidP="00D84931">
            <w:pPr>
              <w:spacing w:before="40" w:after="20"/>
              <w:jc w:val="right"/>
              <w:rPr>
                <w:rFonts w:cs="Arial"/>
                <w:sz w:val="18"/>
                <w:szCs w:val="18"/>
              </w:rPr>
            </w:pPr>
            <w:r w:rsidRPr="001D41EA">
              <w:rPr>
                <w:rFonts w:cs="Arial"/>
                <w:sz w:val="18"/>
                <w:szCs w:val="18"/>
              </w:rPr>
              <w:t>22,703,266</w:t>
            </w:r>
          </w:p>
        </w:tc>
        <w:tc>
          <w:tcPr>
            <w:tcW w:w="1985" w:type="dxa"/>
            <w:tcBorders>
              <w:top w:val="nil"/>
              <w:left w:val="nil"/>
              <w:bottom w:val="nil"/>
              <w:right w:val="nil"/>
            </w:tcBorders>
            <w:shd w:val="clear" w:color="auto" w:fill="auto"/>
            <w:noWrap/>
            <w:vAlign w:val="bottom"/>
          </w:tcPr>
          <w:p w14:paraId="0A029581" w14:textId="29E6D5F9" w:rsidR="00D84931" w:rsidRPr="001D41EA" w:rsidRDefault="00D84931" w:rsidP="00D84931">
            <w:pPr>
              <w:spacing w:before="40" w:after="20"/>
              <w:jc w:val="right"/>
              <w:rPr>
                <w:rFonts w:cs="Arial"/>
                <w:b/>
                <w:sz w:val="18"/>
                <w:szCs w:val="18"/>
              </w:rPr>
            </w:pPr>
            <w:r w:rsidRPr="001D41EA">
              <w:rPr>
                <w:rFonts w:cs="Arial"/>
                <w:b/>
                <w:sz w:val="18"/>
                <w:szCs w:val="18"/>
              </w:rPr>
              <w:t>19,070,928</w:t>
            </w:r>
          </w:p>
        </w:tc>
      </w:tr>
      <w:tr w:rsidR="00D84931" w:rsidRPr="001D41EA" w14:paraId="5682B58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7872E2C" w14:textId="77777777" w:rsidR="00D84931" w:rsidRPr="001D41EA" w:rsidRDefault="00D84931" w:rsidP="00D84931">
            <w:pPr>
              <w:spacing w:before="40" w:after="20"/>
              <w:rPr>
                <w:rFonts w:cs="Arial"/>
                <w:sz w:val="18"/>
                <w:szCs w:val="18"/>
              </w:rPr>
            </w:pPr>
            <w:r w:rsidRPr="001D41EA">
              <w:rPr>
                <w:rFonts w:cs="Arial"/>
                <w:sz w:val="18"/>
                <w:szCs w:val="18"/>
              </w:rPr>
              <w:t>Murrindindi S</w:t>
            </w:r>
          </w:p>
        </w:tc>
        <w:tc>
          <w:tcPr>
            <w:tcW w:w="1701" w:type="dxa"/>
            <w:tcBorders>
              <w:top w:val="nil"/>
              <w:left w:val="single" w:sz="18" w:space="0" w:color="5F497A" w:themeColor="accent4" w:themeShade="BF"/>
              <w:bottom w:val="nil"/>
              <w:right w:val="nil"/>
            </w:tcBorders>
            <w:shd w:val="clear" w:color="auto" w:fill="auto"/>
            <w:noWrap/>
            <w:vAlign w:val="bottom"/>
          </w:tcPr>
          <w:p w14:paraId="080325E1" w14:textId="17AB7F9C" w:rsidR="00D84931" w:rsidRPr="001D41EA" w:rsidRDefault="00D84931" w:rsidP="00D84931">
            <w:pPr>
              <w:spacing w:before="40" w:after="20"/>
              <w:jc w:val="right"/>
              <w:rPr>
                <w:rFonts w:cs="Arial"/>
                <w:sz w:val="18"/>
                <w:szCs w:val="18"/>
              </w:rPr>
            </w:pPr>
            <w:r w:rsidRPr="001D41EA">
              <w:rPr>
                <w:rFonts w:cs="Arial"/>
                <w:sz w:val="18"/>
                <w:szCs w:val="18"/>
              </w:rPr>
              <w:t>60,918</w:t>
            </w:r>
          </w:p>
        </w:tc>
        <w:tc>
          <w:tcPr>
            <w:tcW w:w="1985" w:type="dxa"/>
            <w:tcBorders>
              <w:top w:val="nil"/>
              <w:left w:val="nil"/>
              <w:bottom w:val="nil"/>
              <w:right w:val="nil"/>
            </w:tcBorders>
            <w:vAlign w:val="bottom"/>
          </w:tcPr>
          <w:p w14:paraId="7BD0DEAF" w14:textId="294B4875" w:rsidR="00D84931" w:rsidRPr="001D41EA" w:rsidRDefault="00D84931" w:rsidP="00D84931">
            <w:pPr>
              <w:spacing w:before="40" w:after="20"/>
              <w:jc w:val="right"/>
              <w:rPr>
                <w:rFonts w:cs="Arial"/>
                <w:sz w:val="18"/>
                <w:szCs w:val="18"/>
              </w:rPr>
            </w:pPr>
            <w:r w:rsidRPr="001D41EA">
              <w:rPr>
                <w:rFonts w:cs="Arial"/>
                <w:sz w:val="18"/>
                <w:szCs w:val="18"/>
              </w:rPr>
              <w:t>13,742,543</w:t>
            </w:r>
          </w:p>
        </w:tc>
        <w:tc>
          <w:tcPr>
            <w:tcW w:w="1985" w:type="dxa"/>
            <w:tcBorders>
              <w:top w:val="nil"/>
              <w:left w:val="nil"/>
              <w:bottom w:val="nil"/>
              <w:right w:val="nil"/>
            </w:tcBorders>
            <w:shd w:val="clear" w:color="auto" w:fill="auto"/>
            <w:noWrap/>
            <w:vAlign w:val="bottom"/>
          </w:tcPr>
          <w:p w14:paraId="16FBD763" w14:textId="4827809A" w:rsidR="00D84931" w:rsidRPr="001D41EA" w:rsidRDefault="00D84931" w:rsidP="00D84931">
            <w:pPr>
              <w:spacing w:before="40" w:after="20"/>
              <w:jc w:val="right"/>
              <w:rPr>
                <w:rFonts w:cs="Arial"/>
                <w:b/>
                <w:sz w:val="18"/>
                <w:szCs w:val="18"/>
              </w:rPr>
            </w:pPr>
            <w:r w:rsidRPr="001D41EA">
              <w:rPr>
                <w:rFonts w:cs="Arial"/>
                <w:b/>
                <w:sz w:val="18"/>
                <w:szCs w:val="18"/>
              </w:rPr>
              <w:t>10,975,842</w:t>
            </w:r>
          </w:p>
        </w:tc>
      </w:tr>
      <w:tr w:rsidR="00D84931" w:rsidRPr="001D41EA" w14:paraId="44392E2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F7AB73C" w14:textId="77777777" w:rsidR="00D84931" w:rsidRPr="001D41EA" w:rsidRDefault="00D84931" w:rsidP="00D84931">
            <w:pPr>
              <w:spacing w:before="40" w:after="20"/>
              <w:rPr>
                <w:rFonts w:cs="Arial"/>
                <w:sz w:val="18"/>
                <w:szCs w:val="18"/>
              </w:rPr>
            </w:pPr>
            <w:r w:rsidRPr="001D41EA">
              <w:rPr>
                <w:rFonts w:cs="Arial"/>
                <w:sz w:val="18"/>
                <w:szCs w:val="18"/>
              </w:rPr>
              <w:t>Nillumbik S</w:t>
            </w:r>
          </w:p>
        </w:tc>
        <w:tc>
          <w:tcPr>
            <w:tcW w:w="1701" w:type="dxa"/>
            <w:tcBorders>
              <w:top w:val="nil"/>
              <w:left w:val="single" w:sz="18" w:space="0" w:color="5F497A" w:themeColor="accent4" w:themeShade="BF"/>
              <w:bottom w:val="nil"/>
              <w:right w:val="nil"/>
            </w:tcBorders>
            <w:shd w:val="clear" w:color="auto" w:fill="auto"/>
            <w:noWrap/>
            <w:vAlign w:val="bottom"/>
          </w:tcPr>
          <w:p w14:paraId="51D465AB" w14:textId="2E7D7474"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5C4D281D" w14:textId="1DE95E2F" w:rsidR="00D84931" w:rsidRPr="001D41EA" w:rsidRDefault="00D84931" w:rsidP="00D84931">
            <w:pPr>
              <w:spacing w:before="40" w:after="20"/>
              <w:jc w:val="right"/>
              <w:rPr>
                <w:rFonts w:cs="Arial"/>
                <w:sz w:val="18"/>
                <w:szCs w:val="18"/>
              </w:rPr>
            </w:pPr>
            <w:r w:rsidRPr="001D41EA">
              <w:rPr>
                <w:rFonts w:cs="Arial"/>
                <w:sz w:val="18"/>
                <w:szCs w:val="18"/>
              </w:rPr>
              <w:t>49,476,039</w:t>
            </w:r>
          </w:p>
        </w:tc>
        <w:tc>
          <w:tcPr>
            <w:tcW w:w="1985" w:type="dxa"/>
            <w:tcBorders>
              <w:top w:val="nil"/>
              <w:left w:val="nil"/>
              <w:bottom w:val="nil"/>
              <w:right w:val="nil"/>
            </w:tcBorders>
            <w:shd w:val="clear" w:color="auto" w:fill="auto"/>
            <w:noWrap/>
            <w:vAlign w:val="bottom"/>
          </w:tcPr>
          <w:p w14:paraId="1708B5F5" w14:textId="1CCEF4F6" w:rsidR="00D84931" w:rsidRPr="001D41EA" w:rsidRDefault="00D84931" w:rsidP="00D84931">
            <w:pPr>
              <w:spacing w:before="40" w:after="20"/>
              <w:jc w:val="right"/>
              <w:rPr>
                <w:rFonts w:cs="Arial"/>
                <w:b/>
                <w:sz w:val="18"/>
                <w:szCs w:val="18"/>
              </w:rPr>
            </w:pPr>
            <w:r w:rsidRPr="001D41EA">
              <w:rPr>
                <w:rFonts w:cs="Arial"/>
                <w:b/>
                <w:sz w:val="18"/>
                <w:szCs w:val="18"/>
              </w:rPr>
              <w:t>44,842,249</w:t>
            </w:r>
          </w:p>
        </w:tc>
      </w:tr>
      <w:tr w:rsidR="00D84931" w:rsidRPr="001D41EA" w14:paraId="7932F28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0AD5AB3" w14:textId="77777777" w:rsidR="00D84931" w:rsidRPr="001D41EA" w:rsidRDefault="00D84931" w:rsidP="00D84931">
            <w:pPr>
              <w:spacing w:before="40" w:after="20"/>
              <w:rPr>
                <w:rFonts w:cs="Arial"/>
                <w:sz w:val="18"/>
                <w:szCs w:val="18"/>
              </w:rPr>
            </w:pPr>
            <w:r w:rsidRPr="001D41EA">
              <w:rPr>
                <w:rFonts w:cs="Arial"/>
                <w:sz w:val="18"/>
                <w:szCs w:val="18"/>
              </w:rPr>
              <w:t>Northern Grampians S</w:t>
            </w:r>
          </w:p>
        </w:tc>
        <w:tc>
          <w:tcPr>
            <w:tcW w:w="1701" w:type="dxa"/>
            <w:tcBorders>
              <w:top w:val="nil"/>
              <w:left w:val="single" w:sz="18" w:space="0" w:color="5F497A" w:themeColor="accent4" w:themeShade="BF"/>
              <w:bottom w:val="nil"/>
              <w:right w:val="nil"/>
            </w:tcBorders>
            <w:shd w:val="clear" w:color="auto" w:fill="auto"/>
            <w:noWrap/>
            <w:vAlign w:val="bottom"/>
          </w:tcPr>
          <w:p w14:paraId="757D6382" w14:textId="4A984A92" w:rsidR="00D84931" w:rsidRPr="001D41EA" w:rsidRDefault="00D84931" w:rsidP="00D84931">
            <w:pPr>
              <w:spacing w:before="40" w:after="20"/>
              <w:jc w:val="right"/>
              <w:rPr>
                <w:rFonts w:cs="Arial"/>
                <w:sz w:val="18"/>
                <w:szCs w:val="18"/>
              </w:rPr>
            </w:pPr>
            <w:r w:rsidRPr="001D41EA">
              <w:rPr>
                <w:rFonts w:cs="Arial"/>
                <w:sz w:val="18"/>
                <w:szCs w:val="18"/>
              </w:rPr>
              <w:t>13,599</w:t>
            </w:r>
          </w:p>
        </w:tc>
        <w:tc>
          <w:tcPr>
            <w:tcW w:w="1985" w:type="dxa"/>
            <w:tcBorders>
              <w:top w:val="nil"/>
              <w:left w:val="nil"/>
              <w:bottom w:val="nil"/>
              <w:right w:val="nil"/>
            </w:tcBorders>
            <w:vAlign w:val="bottom"/>
          </w:tcPr>
          <w:p w14:paraId="665F744D" w14:textId="4F71AEA3" w:rsidR="00D84931" w:rsidRPr="001D41EA" w:rsidRDefault="00D84931" w:rsidP="00D84931">
            <w:pPr>
              <w:spacing w:before="40" w:after="20"/>
              <w:jc w:val="right"/>
              <w:rPr>
                <w:rFonts w:cs="Arial"/>
                <w:sz w:val="18"/>
                <w:szCs w:val="18"/>
              </w:rPr>
            </w:pPr>
            <w:r w:rsidRPr="001D41EA">
              <w:rPr>
                <w:rFonts w:cs="Arial"/>
                <w:sz w:val="18"/>
                <w:szCs w:val="18"/>
              </w:rPr>
              <w:t>6,911,502</w:t>
            </w:r>
          </w:p>
        </w:tc>
        <w:tc>
          <w:tcPr>
            <w:tcW w:w="1985" w:type="dxa"/>
            <w:tcBorders>
              <w:top w:val="nil"/>
              <w:left w:val="nil"/>
              <w:bottom w:val="nil"/>
              <w:right w:val="nil"/>
            </w:tcBorders>
            <w:shd w:val="clear" w:color="auto" w:fill="auto"/>
            <w:noWrap/>
            <w:vAlign w:val="bottom"/>
          </w:tcPr>
          <w:p w14:paraId="76FD9466" w14:textId="574576C2" w:rsidR="00D84931" w:rsidRPr="001D41EA" w:rsidRDefault="00D84931" w:rsidP="00D84931">
            <w:pPr>
              <w:spacing w:before="40" w:after="20"/>
              <w:jc w:val="right"/>
              <w:rPr>
                <w:rFonts w:cs="Arial"/>
                <w:b/>
                <w:sz w:val="18"/>
                <w:szCs w:val="18"/>
              </w:rPr>
            </w:pPr>
            <w:r w:rsidRPr="001D41EA">
              <w:rPr>
                <w:rFonts w:cs="Arial"/>
                <w:b/>
                <w:sz w:val="18"/>
                <w:szCs w:val="18"/>
              </w:rPr>
              <w:t>6,295,984</w:t>
            </w:r>
          </w:p>
        </w:tc>
      </w:tr>
      <w:tr w:rsidR="00D84931" w:rsidRPr="001D41EA" w14:paraId="6E2A647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28E3CF8" w14:textId="77777777" w:rsidR="00D84931" w:rsidRPr="001D41EA" w:rsidRDefault="00D84931" w:rsidP="00D84931">
            <w:pPr>
              <w:spacing w:before="40" w:after="20"/>
              <w:rPr>
                <w:rFonts w:cs="Arial"/>
                <w:sz w:val="18"/>
                <w:szCs w:val="18"/>
              </w:rPr>
            </w:pPr>
            <w:r w:rsidRPr="001D41EA">
              <w:rPr>
                <w:rFonts w:cs="Arial"/>
                <w:sz w:val="18"/>
                <w:szCs w:val="18"/>
              </w:rPr>
              <w:t>Port Phillip C</w:t>
            </w:r>
          </w:p>
        </w:tc>
        <w:tc>
          <w:tcPr>
            <w:tcW w:w="1701" w:type="dxa"/>
            <w:tcBorders>
              <w:top w:val="nil"/>
              <w:left w:val="single" w:sz="18" w:space="0" w:color="5F497A" w:themeColor="accent4" w:themeShade="BF"/>
              <w:bottom w:val="nil"/>
              <w:right w:val="nil"/>
            </w:tcBorders>
            <w:shd w:val="clear" w:color="auto" w:fill="auto"/>
            <w:noWrap/>
            <w:vAlign w:val="bottom"/>
          </w:tcPr>
          <w:p w14:paraId="15C5C48C" w14:textId="1EE9DEA0"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5F11E927" w14:textId="0D0E540E" w:rsidR="00D84931" w:rsidRPr="001D41EA" w:rsidRDefault="00D84931" w:rsidP="00D84931">
            <w:pPr>
              <w:spacing w:before="40" w:after="20"/>
              <w:jc w:val="right"/>
              <w:rPr>
                <w:rFonts w:cs="Arial"/>
                <w:sz w:val="18"/>
                <w:szCs w:val="18"/>
              </w:rPr>
            </w:pPr>
            <w:r w:rsidRPr="001D41EA">
              <w:rPr>
                <w:rFonts w:cs="Arial"/>
                <w:sz w:val="18"/>
                <w:szCs w:val="18"/>
              </w:rPr>
              <w:t>170,519,834</w:t>
            </w:r>
          </w:p>
        </w:tc>
        <w:tc>
          <w:tcPr>
            <w:tcW w:w="1985" w:type="dxa"/>
            <w:tcBorders>
              <w:top w:val="nil"/>
              <w:left w:val="nil"/>
              <w:bottom w:val="nil"/>
              <w:right w:val="nil"/>
            </w:tcBorders>
            <w:shd w:val="clear" w:color="auto" w:fill="auto"/>
            <w:noWrap/>
            <w:vAlign w:val="bottom"/>
          </w:tcPr>
          <w:p w14:paraId="4D2A6325" w14:textId="79BB4BD7" w:rsidR="00D84931" w:rsidRPr="001D41EA" w:rsidRDefault="00D84931" w:rsidP="00D84931">
            <w:pPr>
              <w:spacing w:before="40" w:after="20"/>
              <w:jc w:val="right"/>
              <w:rPr>
                <w:rFonts w:cs="Arial"/>
                <w:b/>
                <w:sz w:val="18"/>
                <w:szCs w:val="18"/>
              </w:rPr>
            </w:pPr>
            <w:r w:rsidRPr="001D41EA">
              <w:rPr>
                <w:rFonts w:cs="Arial"/>
                <w:b/>
                <w:sz w:val="18"/>
                <w:szCs w:val="18"/>
              </w:rPr>
              <w:t>165,137,132</w:t>
            </w:r>
          </w:p>
        </w:tc>
      </w:tr>
      <w:tr w:rsidR="00D84931" w:rsidRPr="001D41EA" w14:paraId="3C657AB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B5C59BB" w14:textId="77777777" w:rsidR="00D84931" w:rsidRPr="001D41EA" w:rsidRDefault="00D84931" w:rsidP="00D84931">
            <w:pPr>
              <w:spacing w:before="40" w:after="20"/>
              <w:rPr>
                <w:rFonts w:cs="Arial"/>
                <w:sz w:val="18"/>
                <w:szCs w:val="18"/>
              </w:rPr>
            </w:pPr>
            <w:r w:rsidRPr="001D41EA">
              <w:rPr>
                <w:rFonts w:cs="Arial"/>
                <w:sz w:val="18"/>
                <w:szCs w:val="18"/>
              </w:rPr>
              <w:t>Pyrenees S</w:t>
            </w:r>
          </w:p>
        </w:tc>
        <w:tc>
          <w:tcPr>
            <w:tcW w:w="1701" w:type="dxa"/>
            <w:tcBorders>
              <w:top w:val="nil"/>
              <w:left w:val="single" w:sz="18" w:space="0" w:color="5F497A" w:themeColor="accent4" w:themeShade="BF"/>
              <w:bottom w:val="nil"/>
              <w:right w:val="nil"/>
            </w:tcBorders>
            <w:shd w:val="clear" w:color="auto" w:fill="auto"/>
            <w:noWrap/>
            <w:vAlign w:val="bottom"/>
          </w:tcPr>
          <w:p w14:paraId="50EB3F90" w14:textId="21595E22" w:rsidR="00D84931" w:rsidRPr="001D41EA" w:rsidRDefault="00D84931" w:rsidP="00D84931">
            <w:pPr>
              <w:spacing w:before="40" w:after="20"/>
              <w:jc w:val="right"/>
              <w:rPr>
                <w:rFonts w:cs="Arial"/>
                <w:sz w:val="18"/>
                <w:szCs w:val="18"/>
              </w:rPr>
            </w:pPr>
            <w:r w:rsidRPr="001D41EA">
              <w:rPr>
                <w:rFonts w:cs="Arial"/>
                <w:sz w:val="18"/>
                <w:szCs w:val="18"/>
              </w:rPr>
              <w:t>245,656</w:t>
            </w:r>
          </w:p>
        </w:tc>
        <w:tc>
          <w:tcPr>
            <w:tcW w:w="1985" w:type="dxa"/>
            <w:tcBorders>
              <w:top w:val="nil"/>
              <w:left w:val="nil"/>
              <w:bottom w:val="nil"/>
              <w:right w:val="nil"/>
            </w:tcBorders>
            <w:vAlign w:val="bottom"/>
          </w:tcPr>
          <w:p w14:paraId="6BF24F0D" w14:textId="7C7D0EE5" w:rsidR="00D84931" w:rsidRPr="001D41EA" w:rsidRDefault="00D84931" w:rsidP="00D84931">
            <w:pPr>
              <w:spacing w:before="40" w:after="20"/>
              <w:jc w:val="right"/>
              <w:rPr>
                <w:rFonts w:cs="Arial"/>
                <w:sz w:val="18"/>
                <w:szCs w:val="18"/>
              </w:rPr>
            </w:pPr>
            <w:r w:rsidRPr="001D41EA">
              <w:rPr>
                <w:rFonts w:cs="Arial"/>
                <w:sz w:val="18"/>
                <w:szCs w:val="18"/>
              </w:rPr>
              <w:t>5,947,737</w:t>
            </w:r>
          </w:p>
        </w:tc>
        <w:tc>
          <w:tcPr>
            <w:tcW w:w="1985" w:type="dxa"/>
            <w:tcBorders>
              <w:top w:val="nil"/>
              <w:left w:val="nil"/>
              <w:bottom w:val="nil"/>
              <w:right w:val="nil"/>
            </w:tcBorders>
            <w:shd w:val="clear" w:color="auto" w:fill="auto"/>
            <w:noWrap/>
            <w:vAlign w:val="bottom"/>
          </w:tcPr>
          <w:p w14:paraId="49CF9A76" w14:textId="64B17182" w:rsidR="00D84931" w:rsidRPr="001D41EA" w:rsidRDefault="00D84931" w:rsidP="00D84931">
            <w:pPr>
              <w:spacing w:before="40" w:after="20"/>
              <w:jc w:val="right"/>
              <w:rPr>
                <w:rFonts w:cs="Arial"/>
                <w:b/>
                <w:sz w:val="18"/>
                <w:szCs w:val="18"/>
              </w:rPr>
            </w:pPr>
            <w:r w:rsidRPr="001D41EA">
              <w:rPr>
                <w:rFonts w:cs="Arial"/>
                <w:b/>
                <w:sz w:val="18"/>
                <w:szCs w:val="18"/>
              </w:rPr>
              <w:t>4,861,835</w:t>
            </w:r>
          </w:p>
        </w:tc>
      </w:tr>
      <w:tr w:rsidR="00D84931" w:rsidRPr="001D41EA" w14:paraId="29717AA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C21436E" w14:textId="77777777" w:rsidR="00D84931" w:rsidRPr="001D41EA" w:rsidRDefault="00D84931" w:rsidP="00D84931">
            <w:pPr>
              <w:spacing w:before="40" w:after="20"/>
              <w:rPr>
                <w:rFonts w:cs="Arial"/>
                <w:sz w:val="18"/>
                <w:szCs w:val="18"/>
              </w:rPr>
            </w:pPr>
            <w:r w:rsidRPr="001D41EA">
              <w:rPr>
                <w:rFonts w:cs="Arial"/>
                <w:sz w:val="18"/>
                <w:szCs w:val="18"/>
              </w:rPr>
              <w:t>Queenscliffe B</w:t>
            </w:r>
          </w:p>
        </w:tc>
        <w:tc>
          <w:tcPr>
            <w:tcW w:w="1701" w:type="dxa"/>
            <w:tcBorders>
              <w:top w:val="nil"/>
              <w:left w:val="single" w:sz="18" w:space="0" w:color="5F497A" w:themeColor="accent4" w:themeShade="BF"/>
              <w:bottom w:val="nil"/>
              <w:right w:val="nil"/>
            </w:tcBorders>
            <w:shd w:val="clear" w:color="auto" w:fill="auto"/>
            <w:noWrap/>
            <w:vAlign w:val="bottom"/>
          </w:tcPr>
          <w:p w14:paraId="432485FD" w14:textId="065C6E0F"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6B350922" w14:textId="22F6E328" w:rsidR="00D84931" w:rsidRPr="001D41EA" w:rsidRDefault="00D84931" w:rsidP="00D84931">
            <w:pPr>
              <w:spacing w:before="40" w:after="20"/>
              <w:jc w:val="right"/>
              <w:rPr>
                <w:rFonts w:cs="Arial"/>
                <w:sz w:val="18"/>
                <w:szCs w:val="18"/>
              </w:rPr>
            </w:pPr>
            <w:r w:rsidRPr="001D41EA">
              <w:rPr>
                <w:rFonts w:cs="Arial"/>
                <w:sz w:val="18"/>
                <w:szCs w:val="18"/>
              </w:rPr>
              <w:t>7,613,200</w:t>
            </w:r>
          </w:p>
        </w:tc>
        <w:tc>
          <w:tcPr>
            <w:tcW w:w="1985" w:type="dxa"/>
            <w:tcBorders>
              <w:top w:val="nil"/>
              <w:left w:val="nil"/>
              <w:bottom w:val="nil"/>
              <w:right w:val="nil"/>
            </w:tcBorders>
            <w:shd w:val="clear" w:color="auto" w:fill="auto"/>
            <w:noWrap/>
            <w:vAlign w:val="bottom"/>
          </w:tcPr>
          <w:p w14:paraId="6CAC4F77" w14:textId="747547BA" w:rsidR="00D84931" w:rsidRPr="001D41EA" w:rsidRDefault="00D84931" w:rsidP="00D84931">
            <w:pPr>
              <w:spacing w:before="40" w:after="20"/>
              <w:jc w:val="right"/>
              <w:rPr>
                <w:rFonts w:cs="Arial"/>
                <w:b/>
                <w:sz w:val="18"/>
                <w:szCs w:val="18"/>
              </w:rPr>
            </w:pPr>
            <w:r w:rsidRPr="001D41EA">
              <w:rPr>
                <w:rFonts w:cs="Arial"/>
                <w:b/>
                <w:sz w:val="18"/>
                <w:szCs w:val="18"/>
              </w:rPr>
              <w:t>6,330,558</w:t>
            </w:r>
          </w:p>
        </w:tc>
      </w:tr>
      <w:tr w:rsidR="00D84931" w:rsidRPr="001D41EA" w14:paraId="04F3549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17AF3DF" w14:textId="77777777" w:rsidR="00D84931" w:rsidRPr="001D41EA" w:rsidRDefault="00D84931" w:rsidP="00D84931">
            <w:pPr>
              <w:spacing w:before="40" w:after="20"/>
              <w:rPr>
                <w:rFonts w:cs="Arial"/>
                <w:sz w:val="18"/>
                <w:szCs w:val="18"/>
              </w:rPr>
            </w:pPr>
            <w:r w:rsidRPr="001D41EA">
              <w:rPr>
                <w:rFonts w:cs="Arial"/>
                <w:sz w:val="18"/>
                <w:szCs w:val="18"/>
              </w:rPr>
              <w:t>South Gippsland S</w:t>
            </w:r>
          </w:p>
        </w:tc>
        <w:tc>
          <w:tcPr>
            <w:tcW w:w="1701" w:type="dxa"/>
            <w:tcBorders>
              <w:top w:val="nil"/>
              <w:left w:val="single" w:sz="18" w:space="0" w:color="5F497A" w:themeColor="accent4" w:themeShade="BF"/>
              <w:bottom w:val="nil"/>
              <w:right w:val="nil"/>
            </w:tcBorders>
            <w:shd w:val="clear" w:color="auto" w:fill="auto"/>
            <w:noWrap/>
            <w:vAlign w:val="bottom"/>
          </w:tcPr>
          <w:p w14:paraId="64EA6303" w14:textId="524D8E60" w:rsidR="00D84931" w:rsidRPr="001D41EA" w:rsidRDefault="00D84931" w:rsidP="00D84931">
            <w:pPr>
              <w:spacing w:before="40" w:after="20"/>
              <w:jc w:val="right"/>
              <w:rPr>
                <w:rFonts w:cs="Arial"/>
                <w:sz w:val="18"/>
                <w:szCs w:val="18"/>
              </w:rPr>
            </w:pPr>
            <w:r w:rsidRPr="001D41EA">
              <w:rPr>
                <w:rFonts w:cs="Arial"/>
                <w:sz w:val="18"/>
                <w:szCs w:val="18"/>
              </w:rPr>
              <w:t>181,635</w:t>
            </w:r>
          </w:p>
        </w:tc>
        <w:tc>
          <w:tcPr>
            <w:tcW w:w="1985" w:type="dxa"/>
            <w:tcBorders>
              <w:top w:val="nil"/>
              <w:left w:val="nil"/>
              <w:bottom w:val="nil"/>
              <w:right w:val="nil"/>
            </w:tcBorders>
            <w:vAlign w:val="bottom"/>
          </w:tcPr>
          <w:p w14:paraId="0EE5625B" w14:textId="045BD09F" w:rsidR="00D84931" w:rsidRPr="001D41EA" w:rsidRDefault="00D84931" w:rsidP="00D84931">
            <w:pPr>
              <w:spacing w:before="40" w:after="20"/>
              <w:jc w:val="right"/>
              <w:rPr>
                <w:rFonts w:cs="Arial"/>
                <w:sz w:val="18"/>
                <w:szCs w:val="18"/>
              </w:rPr>
            </w:pPr>
            <w:r w:rsidRPr="001D41EA">
              <w:rPr>
                <w:rFonts w:cs="Arial"/>
                <w:sz w:val="18"/>
                <w:szCs w:val="18"/>
              </w:rPr>
              <w:t>24,517,130</w:t>
            </w:r>
          </w:p>
        </w:tc>
        <w:tc>
          <w:tcPr>
            <w:tcW w:w="1985" w:type="dxa"/>
            <w:tcBorders>
              <w:top w:val="nil"/>
              <w:left w:val="nil"/>
              <w:bottom w:val="nil"/>
              <w:right w:val="nil"/>
            </w:tcBorders>
            <w:shd w:val="clear" w:color="auto" w:fill="auto"/>
            <w:noWrap/>
            <w:vAlign w:val="bottom"/>
          </w:tcPr>
          <w:p w14:paraId="10FAEA18" w14:textId="515F0BC6" w:rsidR="00D84931" w:rsidRPr="001D41EA" w:rsidRDefault="00D84931" w:rsidP="00D84931">
            <w:pPr>
              <w:spacing w:before="40" w:after="20"/>
              <w:jc w:val="right"/>
              <w:rPr>
                <w:rFonts w:cs="Arial"/>
                <w:b/>
                <w:sz w:val="18"/>
                <w:szCs w:val="18"/>
              </w:rPr>
            </w:pPr>
            <w:r w:rsidRPr="001D41EA">
              <w:rPr>
                <w:rFonts w:cs="Arial"/>
                <w:b/>
                <w:sz w:val="18"/>
                <w:szCs w:val="18"/>
              </w:rPr>
              <w:t>21,991,192</w:t>
            </w:r>
          </w:p>
        </w:tc>
      </w:tr>
      <w:tr w:rsidR="00D84931" w:rsidRPr="001D41EA" w14:paraId="01F8485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5FFFAD9" w14:textId="77777777" w:rsidR="00D84931" w:rsidRPr="001D41EA" w:rsidRDefault="00D84931" w:rsidP="00D84931">
            <w:pPr>
              <w:spacing w:before="40" w:after="20"/>
              <w:rPr>
                <w:rFonts w:cs="Arial"/>
                <w:sz w:val="18"/>
                <w:szCs w:val="18"/>
              </w:rPr>
            </w:pPr>
            <w:r w:rsidRPr="001D41EA">
              <w:rPr>
                <w:rFonts w:cs="Arial"/>
                <w:sz w:val="18"/>
                <w:szCs w:val="18"/>
              </w:rPr>
              <w:t>Southern Grampians S</w:t>
            </w:r>
          </w:p>
        </w:tc>
        <w:tc>
          <w:tcPr>
            <w:tcW w:w="1701" w:type="dxa"/>
            <w:tcBorders>
              <w:top w:val="nil"/>
              <w:left w:val="single" w:sz="18" w:space="0" w:color="5F497A" w:themeColor="accent4" w:themeShade="BF"/>
              <w:bottom w:val="nil"/>
              <w:right w:val="nil"/>
            </w:tcBorders>
            <w:shd w:val="clear" w:color="auto" w:fill="auto"/>
            <w:noWrap/>
            <w:vAlign w:val="bottom"/>
          </w:tcPr>
          <w:p w14:paraId="484704D6" w14:textId="4653849E" w:rsidR="00D84931" w:rsidRPr="001D41EA" w:rsidRDefault="00D84931" w:rsidP="00D84931">
            <w:pPr>
              <w:spacing w:before="40" w:after="20"/>
              <w:jc w:val="right"/>
              <w:rPr>
                <w:rFonts w:cs="Arial"/>
                <w:sz w:val="18"/>
                <w:szCs w:val="18"/>
              </w:rPr>
            </w:pPr>
            <w:r w:rsidRPr="001D41EA">
              <w:rPr>
                <w:rFonts w:cs="Arial"/>
                <w:sz w:val="18"/>
                <w:szCs w:val="18"/>
              </w:rPr>
              <w:t>170,282</w:t>
            </w:r>
          </w:p>
        </w:tc>
        <w:tc>
          <w:tcPr>
            <w:tcW w:w="1985" w:type="dxa"/>
            <w:tcBorders>
              <w:top w:val="nil"/>
              <w:left w:val="nil"/>
              <w:bottom w:val="nil"/>
              <w:right w:val="nil"/>
            </w:tcBorders>
            <w:vAlign w:val="bottom"/>
          </w:tcPr>
          <w:p w14:paraId="679173CF" w14:textId="0D138B80" w:rsidR="00D84931" w:rsidRPr="001D41EA" w:rsidRDefault="00D84931" w:rsidP="00D84931">
            <w:pPr>
              <w:spacing w:before="40" w:after="20"/>
              <w:jc w:val="right"/>
              <w:rPr>
                <w:rFonts w:cs="Arial"/>
                <w:sz w:val="18"/>
                <w:szCs w:val="18"/>
              </w:rPr>
            </w:pPr>
            <w:r w:rsidRPr="001D41EA">
              <w:rPr>
                <w:rFonts w:cs="Arial"/>
                <w:sz w:val="18"/>
                <w:szCs w:val="18"/>
              </w:rPr>
              <w:t>12,561,170</w:t>
            </w:r>
          </w:p>
        </w:tc>
        <w:tc>
          <w:tcPr>
            <w:tcW w:w="1985" w:type="dxa"/>
            <w:tcBorders>
              <w:top w:val="nil"/>
              <w:left w:val="nil"/>
              <w:bottom w:val="nil"/>
              <w:right w:val="nil"/>
            </w:tcBorders>
            <w:shd w:val="clear" w:color="auto" w:fill="auto"/>
            <w:noWrap/>
            <w:vAlign w:val="bottom"/>
          </w:tcPr>
          <w:p w14:paraId="5214C5E2" w14:textId="41DB68C5" w:rsidR="00D84931" w:rsidRPr="001D41EA" w:rsidRDefault="00D84931" w:rsidP="00D84931">
            <w:pPr>
              <w:spacing w:before="40" w:after="20"/>
              <w:jc w:val="right"/>
              <w:rPr>
                <w:rFonts w:cs="Arial"/>
                <w:b/>
                <w:sz w:val="18"/>
                <w:szCs w:val="18"/>
              </w:rPr>
            </w:pPr>
            <w:r w:rsidRPr="001D41EA">
              <w:rPr>
                <w:rFonts w:cs="Arial"/>
                <w:b/>
                <w:sz w:val="18"/>
                <w:szCs w:val="18"/>
              </w:rPr>
              <w:t>11,011,688</w:t>
            </w:r>
          </w:p>
        </w:tc>
      </w:tr>
      <w:tr w:rsidR="00D84931" w:rsidRPr="001D41EA" w14:paraId="45D55D4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CFC1842" w14:textId="77777777" w:rsidR="00D84931" w:rsidRPr="001D41EA" w:rsidRDefault="00D84931" w:rsidP="00D84931">
            <w:pPr>
              <w:spacing w:before="40" w:after="20"/>
              <w:rPr>
                <w:rFonts w:cs="Arial"/>
                <w:sz w:val="18"/>
                <w:szCs w:val="18"/>
              </w:rPr>
            </w:pPr>
            <w:r w:rsidRPr="001D41EA">
              <w:rPr>
                <w:rFonts w:cs="Arial"/>
                <w:sz w:val="18"/>
                <w:szCs w:val="18"/>
              </w:rPr>
              <w:t>Stonnington C</w:t>
            </w:r>
          </w:p>
        </w:tc>
        <w:tc>
          <w:tcPr>
            <w:tcW w:w="1701" w:type="dxa"/>
            <w:tcBorders>
              <w:top w:val="nil"/>
              <w:left w:val="single" w:sz="18" w:space="0" w:color="5F497A" w:themeColor="accent4" w:themeShade="BF"/>
              <w:bottom w:val="nil"/>
              <w:right w:val="nil"/>
            </w:tcBorders>
            <w:shd w:val="clear" w:color="auto" w:fill="auto"/>
            <w:noWrap/>
            <w:vAlign w:val="bottom"/>
          </w:tcPr>
          <w:p w14:paraId="5E3B6FF9" w14:textId="194F1B0C"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294385B1" w14:textId="0ACD47CC" w:rsidR="00D84931" w:rsidRPr="001D41EA" w:rsidRDefault="00D84931" w:rsidP="00D84931">
            <w:pPr>
              <w:spacing w:before="40" w:after="20"/>
              <w:jc w:val="right"/>
              <w:rPr>
                <w:rFonts w:cs="Arial"/>
                <w:sz w:val="18"/>
                <w:szCs w:val="18"/>
              </w:rPr>
            </w:pPr>
            <w:r w:rsidRPr="001D41EA">
              <w:rPr>
                <w:rFonts w:cs="Arial"/>
                <w:sz w:val="18"/>
                <w:szCs w:val="18"/>
              </w:rPr>
              <w:t>222,035,381</w:t>
            </w:r>
          </w:p>
        </w:tc>
        <w:tc>
          <w:tcPr>
            <w:tcW w:w="1985" w:type="dxa"/>
            <w:tcBorders>
              <w:top w:val="nil"/>
              <w:left w:val="nil"/>
              <w:bottom w:val="nil"/>
              <w:right w:val="nil"/>
            </w:tcBorders>
            <w:shd w:val="clear" w:color="auto" w:fill="auto"/>
            <w:noWrap/>
            <w:vAlign w:val="bottom"/>
          </w:tcPr>
          <w:p w14:paraId="1E6C8FCD" w14:textId="00480593" w:rsidR="00D84931" w:rsidRPr="001D41EA" w:rsidRDefault="00D84931" w:rsidP="00D84931">
            <w:pPr>
              <w:spacing w:before="40" w:after="20"/>
              <w:jc w:val="right"/>
              <w:rPr>
                <w:rFonts w:cs="Arial"/>
                <w:b/>
                <w:sz w:val="18"/>
                <w:szCs w:val="18"/>
              </w:rPr>
            </w:pPr>
            <w:r w:rsidRPr="001D41EA">
              <w:rPr>
                <w:rFonts w:cs="Arial"/>
                <w:b/>
                <w:sz w:val="18"/>
                <w:szCs w:val="18"/>
              </w:rPr>
              <w:t>208,086,853</w:t>
            </w:r>
          </w:p>
        </w:tc>
      </w:tr>
      <w:tr w:rsidR="00D84931" w:rsidRPr="001D41EA" w14:paraId="38FF900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56924CC" w14:textId="77777777" w:rsidR="00D84931" w:rsidRPr="001D41EA" w:rsidRDefault="00D84931" w:rsidP="00D84931">
            <w:pPr>
              <w:spacing w:before="40" w:after="20"/>
              <w:rPr>
                <w:rFonts w:cs="Arial"/>
                <w:sz w:val="18"/>
                <w:szCs w:val="18"/>
              </w:rPr>
            </w:pPr>
            <w:r w:rsidRPr="001D41EA">
              <w:rPr>
                <w:rFonts w:cs="Arial"/>
                <w:sz w:val="18"/>
                <w:szCs w:val="18"/>
              </w:rPr>
              <w:t>Strathbogie S</w:t>
            </w:r>
          </w:p>
        </w:tc>
        <w:tc>
          <w:tcPr>
            <w:tcW w:w="1701" w:type="dxa"/>
            <w:tcBorders>
              <w:top w:val="nil"/>
              <w:left w:val="single" w:sz="18" w:space="0" w:color="5F497A" w:themeColor="accent4" w:themeShade="BF"/>
              <w:bottom w:val="nil"/>
              <w:right w:val="nil"/>
            </w:tcBorders>
            <w:shd w:val="clear" w:color="auto" w:fill="auto"/>
            <w:noWrap/>
            <w:vAlign w:val="bottom"/>
          </w:tcPr>
          <w:p w14:paraId="4DB56712" w14:textId="660A8F2C"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434009E3" w14:textId="3E2382B9" w:rsidR="00D84931" w:rsidRPr="001D41EA" w:rsidRDefault="00D84931" w:rsidP="00D84931">
            <w:pPr>
              <w:spacing w:before="40" w:after="20"/>
              <w:jc w:val="right"/>
              <w:rPr>
                <w:rFonts w:cs="Arial"/>
                <w:sz w:val="18"/>
                <w:szCs w:val="18"/>
              </w:rPr>
            </w:pPr>
            <w:r w:rsidRPr="001D41EA">
              <w:rPr>
                <w:rFonts w:cs="Arial"/>
                <w:sz w:val="18"/>
                <w:szCs w:val="18"/>
              </w:rPr>
              <w:t>9,368,294</w:t>
            </w:r>
          </w:p>
        </w:tc>
        <w:tc>
          <w:tcPr>
            <w:tcW w:w="1985" w:type="dxa"/>
            <w:tcBorders>
              <w:top w:val="nil"/>
              <w:left w:val="nil"/>
              <w:bottom w:val="nil"/>
              <w:right w:val="nil"/>
            </w:tcBorders>
            <w:shd w:val="clear" w:color="auto" w:fill="auto"/>
            <w:noWrap/>
            <w:vAlign w:val="bottom"/>
          </w:tcPr>
          <w:p w14:paraId="0AC815F8" w14:textId="735ABF1B" w:rsidR="00D84931" w:rsidRPr="001D41EA" w:rsidRDefault="00D84931" w:rsidP="00D84931">
            <w:pPr>
              <w:spacing w:before="40" w:after="20"/>
              <w:jc w:val="right"/>
              <w:rPr>
                <w:rFonts w:cs="Arial"/>
                <w:b/>
                <w:sz w:val="18"/>
                <w:szCs w:val="18"/>
              </w:rPr>
            </w:pPr>
            <w:r w:rsidRPr="001D41EA">
              <w:rPr>
                <w:rFonts w:cs="Arial"/>
                <w:b/>
                <w:sz w:val="18"/>
                <w:szCs w:val="18"/>
              </w:rPr>
              <w:t>8,758,234</w:t>
            </w:r>
          </w:p>
        </w:tc>
      </w:tr>
      <w:tr w:rsidR="00D84931" w:rsidRPr="001D41EA" w14:paraId="41263F5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F453A94" w14:textId="77777777" w:rsidR="00D84931" w:rsidRPr="001D41EA" w:rsidRDefault="00D84931" w:rsidP="00D84931">
            <w:pPr>
              <w:spacing w:before="40" w:after="20"/>
              <w:rPr>
                <w:rFonts w:cs="Arial"/>
                <w:sz w:val="18"/>
                <w:szCs w:val="18"/>
              </w:rPr>
            </w:pPr>
            <w:r w:rsidRPr="001D41EA">
              <w:rPr>
                <w:rFonts w:cs="Arial"/>
                <w:sz w:val="18"/>
                <w:szCs w:val="18"/>
              </w:rPr>
              <w:t>Surf Coast S</w:t>
            </w:r>
          </w:p>
        </w:tc>
        <w:tc>
          <w:tcPr>
            <w:tcW w:w="1701" w:type="dxa"/>
            <w:tcBorders>
              <w:top w:val="nil"/>
              <w:left w:val="single" w:sz="18" w:space="0" w:color="5F497A" w:themeColor="accent4" w:themeShade="BF"/>
              <w:bottom w:val="nil"/>
              <w:right w:val="nil"/>
            </w:tcBorders>
            <w:shd w:val="clear" w:color="auto" w:fill="auto"/>
            <w:noWrap/>
            <w:vAlign w:val="bottom"/>
          </w:tcPr>
          <w:p w14:paraId="5DE51808" w14:textId="7B626F15"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38D7C3B2" w14:textId="0A4C77A3" w:rsidR="00D84931" w:rsidRPr="001D41EA" w:rsidRDefault="00D84931" w:rsidP="00D84931">
            <w:pPr>
              <w:spacing w:before="40" w:after="20"/>
              <w:jc w:val="right"/>
              <w:rPr>
                <w:rFonts w:cs="Arial"/>
                <w:sz w:val="18"/>
                <w:szCs w:val="18"/>
              </w:rPr>
            </w:pPr>
            <w:r w:rsidRPr="001D41EA">
              <w:rPr>
                <w:rFonts w:cs="Arial"/>
                <w:sz w:val="18"/>
                <w:szCs w:val="18"/>
              </w:rPr>
              <w:t>42,758,986</w:t>
            </w:r>
          </w:p>
        </w:tc>
        <w:tc>
          <w:tcPr>
            <w:tcW w:w="1985" w:type="dxa"/>
            <w:tcBorders>
              <w:top w:val="nil"/>
              <w:left w:val="nil"/>
              <w:bottom w:val="nil"/>
              <w:right w:val="nil"/>
            </w:tcBorders>
            <w:shd w:val="clear" w:color="auto" w:fill="auto"/>
            <w:noWrap/>
            <w:vAlign w:val="bottom"/>
          </w:tcPr>
          <w:p w14:paraId="487B66DE" w14:textId="32965732" w:rsidR="00D84931" w:rsidRPr="001D41EA" w:rsidRDefault="00D84931" w:rsidP="00D84931">
            <w:pPr>
              <w:spacing w:before="40" w:after="20"/>
              <w:jc w:val="right"/>
              <w:rPr>
                <w:rFonts w:cs="Arial"/>
                <w:b/>
                <w:sz w:val="18"/>
                <w:szCs w:val="18"/>
              </w:rPr>
            </w:pPr>
            <w:r w:rsidRPr="001D41EA">
              <w:rPr>
                <w:rFonts w:cs="Arial"/>
                <w:b/>
                <w:sz w:val="18"/>
                <w:szCs w:val="18"/>
              </w:rPr>
              <w:t>34,080,912</w:t>
            </w:r>
          </w:p>
        </w:tc>
      </w:tr>
      <w:tr w:rsidR="00D84931" w:rsidRPr="001D41EA" w14:paraId="6345370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359E87D" w14:textId="77777777" w:rsidR="00D84931" w:rsidRPr="001D41EA" w:rsidRDefault="00D84931" w:rsidP="00D84931">
            <w:pPr>
              <w:spacing w:before="40" w:after="20"/>
              <w:rPr>
                <w:rFonts w:cs="Arial"/>
                <w:sz w:val="18"/>
                <w:szCs w:val="18"/>
              </w:rPr>
            </w:pPr>
            <w:r w:rsidRPr="001D41EA">
              <w:rPr>
                <w:rFonts w:cs="Arial"/>
                <w:sz w:val="18"/>
                <w:szCs w:val="18"/>
              </w:rPr>
              <w:t>Swan Hill RC</w:t>
            </w:r>
          </w:p>
        </w:tc>
        <w:tc>
          <w:tcPr>
            <w:tcW w:w="1701" w:type="dxa"/>
            <w:tcBorders>
              <w:top w:val="nil"/>
              <w:left w:val="single" w:sz="18" w:space="0" w:color="5F497A" w:themeColor="accent4" w:themeShade="BF"/>
              <w:bottom w:val="nil"/>
              <w:right w:val="nil"/>
            </w:tcBorders>
            <w:shd w:val="clear" w:color="auto" w:fill="auto"/>
            <w:noWrap/>
            <w:vAlign w:val="bottom"/>
          </w:tcPr>
          <w:p w14:paraId="5B390077" w14:textId="4C9BEEBB"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34D3B537" w14:textId="15226669" w:rsidR="00D84931" w:rsidRPr="001D41EA" w:rsidRDefault="00D84931" w:rsidP="00D84931">
            <w:pPr>
              <w:spacing w:before="40" w:after="20"/>
              <w:jc w:val="right"/>
              <w:rPr>
                <w:rFonts w:cs="Arial"/>
                <w:sz w:val="18"/>
                <w:szCs w:val="18"/>
              </w:rPr>
            </w:pPr>
            <w:r w:rsidRPr="001D41EA">
              <w:rPr>
                <w:rFonts w:cs="Arial"/>
                <w:sz w:val="18"/>
                <w:szCs w:val="18"/>
              </w:rPr>
              <w:t>11,915,799</w:t>
            </w:r>
          </w:p>
        </w:tc>
        <w:tc>
          <w:tcPr>
            <w:tcW w:w="1985" w:type="dxa"/>
            <w:tcBorders>
              <w:top w:val="nil"/>
              <w:left w:val="nil"/>
              <w:bottom w:val="nil"/>
              <w:right w:val="nil"/>
            </w:tcBorders>
            <w:shd w:val="clear" w:color="auto" w:fill="auto"/>
            <w:noWrap/>
            <w:vAlign w:val="bottom"/>
          </w:tcPr>
          <w:p w14:paraId="38DBCC9B" w14:textId="63BF81E4" w:rsidR="00D84931" w:rsidRPr="001D41EA" w:rsidRDefault="00D84931" w:rsidP="00D84931">
            <w:pPr>
              <w:spacing w:before="40" w:after="20"/>
              <w:jc w:val="right"/>
              <w:rPr>
                <w:rFonts w:cs="Arial"/>
                <w:b/>
                <w:sz w:val="18"/>
                <w:szCs w:val="18"/>
              </w:rPr>
            </w:pPr>
            <w:r w:rsidRPr="001D41EA">
              <w:rPr>
                <w:rFonts w:cs="Arial"/>
                <w:b/>
                <w:sz w:val="18"/>
                <w:szCs w:val="18"/>
              </w:rPr>
              <w:t>10,264,491</w:t>
            </w:r>
          </w:p>
        </w:tc>
      </w:tr>
      <w:tr w:rsidR="00D84931" w:rsidRPr="001D41EA" w14:paraId="669FE57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15D6793" w14:textId="77777777" w:rsidR="00D84931" w:rsidRPr="001D41EA" w:rsidRDefault="00D84931" w:rsidP="00D84931">
            <w:pPr>
              <w:spacing w:before="40" w:after="20"/>
              <w:rPr>
                <w:rFonts w:cs="Arial"/>
                <w:sz w:val="18"/>
                <w:szCs w:val="18"/>
              </w:rPr>
            </w:pPr>
            <w:r w:rsidRPr="001D41EA">
              <w:rPr>
                <w:rFonts w:cs="Arial"/>
                <w:sz w:val="18"/>
                <w:szCs w:val="18"/>
              </w:rPr>
              <w:t>Towong S</w:t>
            </w:r>
          </w:p>
        </w:tc>
        <w:tc>
          <w:tcPr>
            <w:tcW w:w="1701" w:type="dxa"/>
            <w:tcBorders>
              <w:top w:val="nil"/>
              <w:left w:val="single" w:sz="18" w:space="0" w:color="5F497A" w:themeColor="accent4" w:themeShade="BF"/>
              <w:bottom w:val="nil"/>
              <w:right w:val="nil"/>
            </w:tcBorders>
            <w:shd w:val="clear" w:color="auto" w:fill="auto"/>
            <w:noWrap/>
            <w:vAlign w:val="bottom"/>
          </w:tcPr>
          <w:p w14:paraId="275B76A7" w14:textId="44E6E710" w:rsidR="00D84931" w:rsidRPr="001D41EA" w:rsidRDefault="00D84931" w:rsidP="00D84931">
            <w:pPr>
              <w:spacing w:before="40" w:after="20"/>
              <w:jc w:val="right"/>
              <w:rPr>
                <w:rFonts w:cs="Arial"/>
                <w:sz w:val="18"/>
                <w:szCs w:val="18"/>
              </w:rPr>
            </w:pPr>
            <w:r w:rsidRPr="001D41EA">
              <w:rPr>
                <w:rFonts w:cs="Arial"/>
                <w:sz w:val="18"/>
                <w:szCs w:val="18"/>
              </w:rPr>
              <w:t>54,702</w:t>
            </w:r>
          </w:p>
        </w:tc>
        <w:tc>
          <w:tcPr>
            <w:tcW w:w="1985" w:type="dxa"/>
            <w:tcBorders>
              <w:top w:val="nil"/>
              <w:left w:val="nil"/>
              <w:bottom w:val="nil"/>
              <w:right w:val="nil"/>
            </w:tcBorders>
            <w:vAlign w:val="bottom"/>
          </w:tcPr>
          <w:p w14:paraId="7AE3AF12" w14:textId="693B257B" w:rsidR="00D84931" w:rsidRPr="001D41EA" w:rsidRDefault="00D84931" w:rsidP="00D84931">
            <w:pPr>
              <w:spacing w:before="40" w:after="20"/>
              <w:jc w:val="right"/>
              <w:rPr>
                <w:rFonts w:cs="Arial"/>
                <w:sz w:val="18"/>
                <w:szCs w:val="18"/>
              </w:rPr>
            </w:pPr>
            <w:r w:rsidRPr="001D41EA">
              <w:rPr>
                <w:rFonts w:cs="Arial"/>
                <w:sz w:val="18"/>
                <w:szCs w:val="18"/>
              </w:rPr>
              <w:t>4,818,872</w:t>
            </w:r>
          </w:p>
        </w:tc>
        <w:tc>
          <w:tcPr>
            <w:tcW w:w="1985" w:type="dxa"/>
            <w:tcBorders>
              <w:top w:val="nil"/>
              <w:left w:val="nil"/>
              <w:bottom w:val="nil"/>
              <w:right w:val="nil"/>
            </w:tcBorders>
            <w:shd w:val="clear" w:color="auto" w:fill="auto"/>
            <w:noWrap/>
            <w:vAlign w:val="bottom"/>
          </w:tcPr>
          <w:p w14:paraId="0BC02D8B" w14:textId="1D19C344" w:rsidR="00D84931" w:rsidRPr="001D41EA" w:rsidRDefault="00D84931" w:rsidP="00D84931">
            <w:pPr>
              <w:spacing w:before="40" w:after="20"/>
              <w:jc w:val="right"/>
              <w:rPr>
                <w:rFonts w:cs="Arial"/>
                <w:b/>
                <w:sz w:val="18"/>
                <w:szCs w:val="18"/>
              </w:rPr>
            </w:pPr>
            <w:r w:rsidRPr="001D41EA">
              <w:rPr>
                <w:rFonts w:cs="Arial"/>
                <w:b/>
                <w:sz w:val="18"/>
                <w:szCs w:val="18"/>
              </w:rPr>
              <w:t>4,548,385</w:t>
            </w:r>
          </w:p>
        </w:tc>
      </w:tr>
      <w:tr w:rsidR="00D84931" w:rsidRPr="001D41EA" w14:paraId="62CBDCE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F32FA5F" w14:textId="77777777" w:rsidR="00D84931" w:rsidRPr="001D41EA" w:rsidRDefault="00D84931" w:rsidP="00D84931">
            <w:pPr>
              <w:spacing w:before="40" w:after="20"/>
              <w:rPr>
                <w:rFonts w:cs="Arial"/>
                <w:sz w:val="18"/>
                <w:szCs w:val="18"/>
              </w:rPr>
            </w:pPr>
            <w:r w:rsidRPr="001D41EA">
              <w:rPr>
                <w:rFonts w:cs="Arial"/>
                <w:sz w:val="18"/>
                <w:szCs w:val="18"/>
              </w:rPr>
              <w:t>Wangaratta RC</w:t>
            </w:r>
          </w:p>
        </w:tc>
        <w:tc>
          <w:tcPr>
            <w:tcW w:w="1701" w:type="dxa"/>
            <w:tcBorders>
              <w:top w:val="nil"/>
              <w:left w:val="single" w:sz="18" w:space="0" w:color="5F497A" w:themeColor="accent4" w:themeShade="BF"/>
              <w:bottom w:val="nil"/>
              <w:right w:val="nil"/>
            </w:tcBorders>
            <w:shd w:val="clear" w:color="auto" w:fill="auto"/>
            <w:noWrap/>
            <w:vAlign w:val="bottom"/>
          </w:tcPr>
          <w:p w14:paraId="01BBD6D2" w14:textId="0064CA8B"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1E2CF4A2" w14:textId="35BAEADF" w:rsidR="00D84931" w:rsidRPr="001D41EA" w:rsidRDefault="00D84931" w:rsidP="00D84931">
            <w:pPr>
              <w:spacing w:before="40" w:after="20"/>
              <w:jc w:val="right"/>
              <w:rPr>
                <w:rFonts w:cs="Arial"/>
                <w:sz w:val="18"/>
                <w:szCs w:val="18"/>
              </w:rPr>
            </w:pPr>
            <w:r w:rsidRPr="001D41EA">
              <w:rPr>
                <w:rFonts w:cs="Arial"/>
                <w:sz w:val="18"/>
                <w:szCs w:val="18"/>
              </w:rPr>
              <w:t>16,012,254</w:t>
            </w:r>
          </w:p>
        </w:tc>
        <w:tc>
          <w:tcPr>
            <w:tcW w:w="1985" w:type="dxa"/>
            <w:tcBorders>
              <w:top w:val="nil"/>
              <w:left w:val="nil"/>
              <w:bottom w:val="nil"/>
              <w:right w:val="nil"/>
            </w:tcBorders>
            <w:shd w:val="clear" w:color="auto" w:fill="auto"/>
            <w:noWrap/>
            <w:vAlign w:val="bottom"/>
          </w:tcPr>
          <w:p w14:paraId="3DB1A320" w14:textId="5ED14594" w:rsidR="00D84931" w:rsidRPr="001D41EA" w:rsidRDefault="00D84931" w:rsidP="00D84931">
            <w:pPr>
              <w:spacing w:before="40" w:after="20"/>
              <w:jc w:val="right"/>
              <w:rPr>
                <w:rFonts w:cs="Arial"/>
                <w:b/>
                <w:sz w:val="18"/>
                <w:szCs w:val="18"/>
              </w:rPr>
            </w:pPr>
            <w:r w:rsidRPr="001D41EA">
              <w:rPr>
                <w:rFonts w:cs="Arial"/>
                <w:b/>
                <w:sz w:val="18"/>
                <w:szCs w:val="18"/>
              </w:rPr>
              <w:t>15,691,532</w:t>
            </w:r>
          </w:p>
        </w:tc>
      </w:tr>
      <w:tr w:rsidR="00D84931" w:rsidRPr="001D41EA" w14:paraId="4C46049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1E6D220" w14:textId="77777777" w:rsidR="00D84931" w:rsidRPr="001D41EA" w:rsidRDefault="00D84931" w:rsidP="00D84931">
            <w:pPr>
              <w:spacing w:before="40" w:after="20"/>
              <w:rPr>
                <w:rFonts w:cs="Arial"/>
                <w:sz w:val="18"/>
                <w:szCs w:val="18"/>
              </w:rPr>
            </w:pPr>
            <w:r w:rsidRPr="001D41EA">
              <w:rPr>
                <w:rFonts w:cs="Arial"/>
                <w:sz w:val="18"/>
                <w:szCs w:val="18"/>
              </w:rPr>
              <w:t>Warrnambool C</w:t>
            </w:r>
          </w:p>
        </w:tc>
        <w:tc>
          <w:tcPr>
            <w:tcW w:w="1701" w:type="dxa"/>
            <w:tcBorders>
              <w:top w:val="nil"/>
              <w:left w:val="single" w:sz="18" w:space="0" w:color="5F497A" w:themeColor="accent4" w:themeShade="BF"/>
              <w:bottom w:val="nil"/>
              <w:right w:val="nil"/>
            </w:tcBorders>
            <w:shd w:val="clear" w:color="auto" w:fill="auto"/>
            <w:noWrap/>
            <w:vAlign w:val="bottom"/>
          </w:tcPr>
          <w:p w14:paraId="4F17FCA7" w14:textId="1D671B74"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66446324" w14:textId="1794FF12" w:rsidR="00D84931" w:rsidRPr="001D41EA" w:rsidRDefault="00D84931" w:rsidP="00D84931">
            <w:pPr>
              <w:spacing w:before="40" w:after="20"/>
              <w:jc w:val="right"/>
              <w:rPr>
                <w:rFonts w:cs="Arial"/>
                <w:sz w:val="18"/>
                <w:szCs w:val="18"/>
              </w:rPr>
            </w:pPr>
            <w:r w:rsidRPr="001D41EA">
              <w:rPr>
                <w:rFonts w:cs="Arial"/>
                <w:sz w:val="18"/>
                <w:szCs w:val="18"/>
              </w:rPr>
              <w:t>19,487,228</w:t>
            </w:r>
          </w:p>
        </w:tc>
        <w:tc>
          <w:tcPr>
            <w:tcW w:w="1985" w:type="dxa"/>
            <w:tcBorders>
              <w:top w:val="nil"/>
              <w:left w:val="nil"/>
              <w:bottom w:val="nil"/>
              <w:right w:val="nil"/>
            </w:tcBorders>
            <w:shd w:val="clear" w:color="auto" w:fill="auto"/>
            <w:noWrap/>
            <w:vAlign w:val="bottom"/>
          </w:tcPr>
          <w:p w14:paraId="689C3910" w14:textId="4A0A056B" w:rsidR="00D84931" w:rsidRPr="001D41EA" w:rsidRDefault="00D84931" w:rsidP="00D84931">
            <w:pPr>
              <w:spacing w:before="40" w:after="20"/>
              <w:jc w:val="right"/>
              <w:rPr>
                <w:rFonts w:cs="Arial"/>
                <w:b/>
                <w:sz w:val="18"/>
                <w:szCs w:val="18"/>
              </w:rPr>
            </w:pPr>
            <w:r w:rsidRPr="001D41EA">
              <w:rPr>
                <w:rFonts w:cs="Arial"/>
                <w:b/>
                <w:sz w:val="18"/>
                <w:szCs w:val="18"/>
              </w:rPr>
              <w:t>19,487,228</w:t>
            </w:r>
          </w:p>
        </w:tc>
      </w:tr>
      <w:tr w:rsidR="00D84931" w:rsidRPr="001D41EA" w14:paraId="4761C2A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52BC0CB" w14:textId="77777777" w:rsidR="00D84931" w:rsidRPr="001D41EA" w:rsidRDefault="00D84931" w:rsidP="00D84931">
            <w:pPr>
              <w:spacing w:before="40" w:after="20"/>
              <w:rPr>
                <w:rFonts w:cs="Arial"/>
                <w:sz w:val="18"/>
                <w:szCs w:val="18"/>
              </w:rPr>
            </w:pPr>
            <w:r w:rsidRPr="001D41EA">
              <w:rPr>
                <w:rFonts w:cs="Arial"/>
                <w:sz w:val="18"/>
                <w:szCs w:val="18"/>
              </w:rPr>
              <w:t>Wellington S</w:t>
            </w:r>
          </w:p>
        </w:tc>
        <w:tc>
          <w:tcPr>
            <w:tcW w:w="1701" w:type="dxa"/>
            <w:tcBorders>
              <w:top w:val="nil"/>
              <w:left w:val="single" w:sz="18" w:space="0" w:color="5F497A" w:themeColor="accent4" w:themeShade="BF"/>
              <w:bottom w:val="nil"/>
              <w:right w:val="nil"/>
            </w:tcBorders>
            <w:shd w:val="clear" w:color="auto" w:fill="auto"/>
            <w:noWrap/>
            <w:vAlign w:val="bottom"/>
          </w:tcPr>
          <w:p w14:paraId="6A9009B4" w14:textId="7D7EB654"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32D1360D" w14:textId="0125BA44" w:rsidR="00D84931" w:rsidRPr="001D41EA" w:rsidRDefault="00D84931" w:rsidP="00D84931">
            <w:pPr>
              <w:spacing w:before="40" w:after="20"/>
              <w:jc w:val="right"/>
              <w:rPr>
                <w:rFonts w:cs="Arial"/>
                <w:sz w:val="18"/>
                <w:szCs w:val="18"/>
              </w:rPr>
            </w:pPr>
            <w:r w:rsidRPr="001D41EA">
              <w:rPr>
                <w:rFonts w:cs="Arial"/>
                <w:sz w:val="18"/>
                <w:szCs w:val="18"/>
              </w:rPr>
              <w:t>32,676,221</w:t>
            </w:r>
          </w:p>
        </w:tc>
        <w:tc>
          <w:tcPr>
            <w:tcW w:w="1985" w:type="dxa"/>
            <w:tcBorders>
              <w:top w:val="nil"/>
              <w:left w:val="nil"/>
              <w:bottom w:val="nil"/>
              <w:right w:val="nil"/>
            </w:tcBorders>
            <w:shd w:val="clear" w:color="auto" w:fill="auto"/>
            <w:noWrap/>
            <w:vAlign w:val="bottom"/>
          </w:tcPr>
          <w:p w14:paraId="1F136DA3" w14:textId="1F677F06" w:rsidR="00D84931" w:rsidRPr="001D41EA" w:rsidRDefault="00D84931" w:rsidP="00D84931">
            <w:pPr>
              <w:spacing w:before="40" w:after="20"/>
              <w:jc w:val="right"/>
              <w:rPr>
                <w:rFonts w:cs="Arial"/>
                <w:b/>
                <w:sz w:val="18"/>
                <w:szCs w:val="18"/>
              </w:rPr>
            </w:pPr>
            <w:r w:rsidRPr="001D41EA">
              <w:rPr>
                <w:rFonts w:cs="Arial"/>
                <w:b/>
                <w:sz w:val="18"/>
                <w:szCs w:val="18"/>
              </w:rPr>
              <w:t>28,771,097</w:t>
            </w:r>
          </w:p>
        </w:tc>
      </w:tr>
      <w:tr w:rsidR="00D84931" w:rsidRPr="001D41EA" w14:paraId="4E7036B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C767D75" w14:textId="77777777" w:rsidR="00D84931" w:rsidRPr="001D41EA" w:rsidRDefault="00D84931" w:rsidP="00D84931">
            <w:pPr>
              <w:spacing w:before="40" w:after="20"/>
              <w:rPr>
                <w:rFonts w:cs="Arial"/>
                <w:sz w:val="18"/>
                <w:szCs w:val="18"/>
              </w:rPr>
            </w:pPr>
            <w:r w:rsidRPr="001D41EA">
              <w:rPr>
                <w:rFonts w:cs="Arial"/>
                <w:sz w:val="18"/>
                <w:szCs w:val="18"/>
              </w:rPr>
              <w:t>West Wimmera S</w:t>
            </w:r>
          </w:p>
        </w:tc>
        <w:tc>
          <w:tcPr>
            <w:tcW w:w="1701" w:type="dxa"/>
            <w:tcBorders>
              <w:top w:val="nil"/>
              <w:left w:val="single" w:sz="18" w:space="0" w:color="5F497A" w:themeColor="accent4" w:themeShade="BF"/>
              <w:bottom w:val="nil"/>
              <w:right w:val="nil"/>
            </w:tcBorders>
            <w:shd w:val="clear" w:color="auto" w:fill="auto"/>
            <w:noWrap/>
            <w:vAlign w:val="bottom"/>
          </w:tcPr>
          <w:p w14:paraId="38B7A8BA" w14:textId="6080C51F"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78D0BC63" w14:textId="47172797" w:rsidR="00D84931" w:rsidRPr="001D41EA" w:rsidRDefault="00D84931" w:rsidP="00D84931">
            <w:pPr>
              <w:spacing w:before="40" w:after="20"/>
              <w:jc w:val="right"/>
              <w:rPr>
                <w:rFonts w:cs="Arial"/>
                <w:sz w:val="18"/>
                <w:szCs w:val="18"/>
              </w:rPr>
            </w:pPr>
            <w:r w:rsidRPr="001D41EA">
              <w:rPr>
                <w:rFonts w:cs="Arial"/>
                <w:sz w:val="18"/>
                <w:szCs w:val="18"/>
              </w:rPr>
              <w:t>6,168,559</w:t>
            </w:r>
          </w:p>
        </w:tc>
        <w:tc>
          <w:tcPr>
            <w:tcW w:w="1985" w:type="dxa"/>
            <w:tcBorders>
              <w:top w:val="nil"/>
              <w:left w:val="nil"/>
              <w:bottom w:val="nil"/>
              <w:right w:val="nil"/>
            </w:tcBorders>
            <w:shd w:val="clear" w:color="auto" w:fill="auto"/>
            <w:noWrap/>
            <w:vAlign w:val="bottom"/>
          </w:tcPr>
          <w:p w14:paraId="7AD8137A" w14:textId="5E56AE9C" w:rsidR="00D84931" w:rsidRPr="001D41EA" w:rsidRDefault="00D84931" w:rsidP="00D84931">
            <w:pPr>
              <w:spacing w:before="40" w:after="20"/>
              <w:jc w:val="right"/>
              <w:rPr>
                <w:rFonts w:cs="Arial"/>
                <w:b/>
                <w:sz w:val="18"/>
                <w:szCs w:val="18"/>
              </w:rPr>
            </w:pPr>
            <w:r w:rsidRPr="001D41EA">
              <w:rPr>
                <w:rFonts w:cs="Arial"/>
                <w:b/>
                <w:sz w:val="18"/>
                <w:szCs w:val="18"/>
              </w:rPr>
              <w:t>4,047,433</w:t>
            </w:r>
          </w:p>
        </w:tc>
      </w:tr>
      <w:tr w:rsidR="00D84931" w:rsidRPr="001D41EA" w14:paraId="5E2C4A7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1EFED03" w14:textId="77777777" w:rsidR="00D84931" w:rsidRPr="001D41EA" w:rsidRDefault="00D84931" w:rsidP="00D84931">
            <w:pPr>
              <w:spacing w:before="40" w:after="20"/>
              <w:rPr>
                <w:rFonts w:cs="Arial"/>
                <w:sz w:val="18"/>
                <w:szCs w:val="18"/>
              </w:rPr>
            </w:pPr>
            <w:r w:rsidRPr="001D41EA">
              <w:rPr>
                <w:rFonts w:cs="Arial"/>
                <w:sz w:val="18"/>
                <w:szCs w:val="18"/>
              </w:rPr>
              <w:t>Whitehorse C</w:t>
            </w:r>
          </w:p>
        </w:tc>
        <w:tc>
          <w:tcPr>
            <w:tcW w:w="1701" w:type="dxa"/>
            <w:tcBorders>
              <w:top w:val="nil"/>
              <w:left w:val="single" w:sz="18" w:space="0" w:color="5F497A" w:themeColor="accent4" w:themeShade="BF"/>
              <w:bottom w:val="nil"/>
              <w:right w:val="nil"/>
            </w:tcBorders>
            <w:shd w:val="clear" w:color="auto" w:fill="auto"/>
            <w:noWrap/>
            <w:vAlign w:val="bottom"/>
          </w:tcPr>
          <w:p w14:paraId="2C646076" w14:textId="3E757FF2"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21D55693" w14:textId="3CBA489F" w:rsidR="00D84931" w:rsidRPr="001D41EA" w:rsidRDefault="00D84931" w:rsidP="00D84931">
            <w:pPr>
              <w:spacing w:before="40" w:after="20"/>
              <w:jc w:val="right"/>
              <w:rPr>
                <w:rFonts w:cs="Arial"/>
                <w:sz w:val="18"/>
                <w:szCs w:val="18"/>
              </w:rPr>
            </w:pPr>
            <w:r w:rsidRPr="001D41EA">
              <w:rPr>
                <w:rFonts w:cs="Arial"/>
                <w:sz w:val="18"/>
                <w:szCs w:val="18"/>
              </w:rPr>
              <w:t>174,312,030</w:t>
            </w:r>
          </w:p>
        </w:tc>
        <w:tc>
          <w:tcPr>
            <w:tcW w:w="1985" w:type="dxa"/>
            <w:tcBorders>
              <w:top w:val="nil"/>
              <w:left w:val="nil"/>
              <w:bottom w:val="nil"/>
              <w:right w:val="nil"/>
            </w:tcBorders>
            <w:shd w:val="clear" w:color="auto" w:fill="auto"/>
            <w:noWrap/>
            <w:vAlign w:val="bottom"/>
          </w:tcPr>
          <w:p w14:paraId="106718BA" w14:textId="5180D035" w:rsidR="00D84931" w:rsidRPr="001D41EA" w:rsidRDefault="00D84931" w:rsidP="00D84931">
            <w:pPr>
              <w:spacing w:before="40" w:after="20"/>
              <w:jc w:val="right"/>
              <w:rPr>
                <w:rFonts w:cs="Arial"/>
                <w:b/>
                <w:sz w:val="18"/>
                <w:szCs w:val="18"/>
              </w:rPr>
            </w:pPr>
            <w:r w:rsidRPr="001D41EA">
              <w:rPr>
                <w:rFonts w:cs="Arial"/>
                <w:b/>
                <w:sz w:val="18"/>
                <w:szCs w:val="18"/>
              </w:rPr>
              <w:t>150,825,804</w:t>
            </w:r>
          </w:p>
        </w:tc>
      </w:tr>
      <w:tr w:rsidR="00D84931" w:rsidRPr="001D41EA" w14:paraId="5E7027D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430DE10" w14:textId="77777777" w:rsidR="00D84931" w:rsidRPr="001D41EA" w:rsidRDefault="00D84931" w:rsidP="00D84931">
            <w:pPr>
              <w:spacing w:before="40" w:after="20"/>
              <w:rPr>
                <w:rFonts w:cs="Arial"/>
                <w:sz w:val="18"/>
                <w:szCs w:val="18"/>
              </w:rPr>
            </w:pPr>
            <w:r w:rsidRPr="001D41EA">
              <w:rPr>
                <w:rFonts w:cs="Arial"/>
                <w:sz w:val="18"/>
                <w:szCs w:val="18"/>
              </w:rPr>
              <w:t>Whittlesea C</w:t>
            </w:r>
          </w:p>
        </w:tc>
        <w:tc>
          <w:tcPr>
            <w:tcW w:w="1701" w:type="dxa"/>
            <w:tcBorders>
              <w:top w:val="nil"/>
              <w:left w:val="single" w:sz="18" w:space="0" w:color="5F497A" w:themeColor="accent4" w:themeShade="BF"/>
              <w:bottom w:val="nil"/>
              <w:right w:val="nil"/>
            </w:tcBorders>
            <w:shd w:val="clear" w:color="auto" w:fill="auto"/>
            <w:noWrap/>
            <w:vAlign w:val="bottom"/>
          </w:tcPr>
          <w:p w14:paraId="41C4062C" w14:textId="55C04FED"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182D9137" w14:textId="4DC72CA9" w:rsidR="00D84931" w:rsidRPr="001D41EA" w:rsidRDefault="00D84931" w:rsidP="00D84931">
            <w:pPr>
              <w:spacing w:before="40" w:after="20"/>
              <w:jc w:val="right"/>
              <w:rPr>
                <w:rFonts w:cs="Arial"/>
                <w:sz w:val="18"/>
                <w:szCs w:val="18"/>
              </w:rPr>
            </w:pPr>
            <w:r w:rsidRPr="001D41EA">
              <w:rPr>
                <w:rFonts w:cs="Arial"/>
                <w:sz w:val="18"/>
                <w:szCs w:val="18"/>
              </w:rPr>
              <w:t>121,150,323</w:t>
            </w:r>
          </w:p>
        </w:tc>
        <w:tc>
          <w:tcPr>
            <w:tcW w:w="1985" w:type="dxa"/>
            <w:tcBorders>
              <w:top w:val="nil"/>
              <w:left w:val="nil"/>
              <w:bottom w:val="nil"/>
              <w:right w:val="nil"/>
            </w:tcBorders>
            <w:shd w:val="clear" w:color="auto" w:fill="auto"/>
            <w:noWrap/>
            <w:vAlign w:val="bottom"/>
          </w:tcPr>
          <w:p w14:paraId="2728AC8B" w14:textId="6D092902" w:rsidR="00D84931" w:rsidRPr="001D41EA" w:rsidRDefault="00D84931" w:rsidP="00D84931">
            <w:pPr>
              <w:spacing w:before="40" w:after="20"/>
              <w:jc w:val="right"/>
              <w:rPr>
                <w:rFonts w:cs="Arial"/>
                <w:b/>
                <w:sz w:val="18"/>
                <w:szCs w:val="18"/>
              </w:rPr>
            </w:pPr>
            <w:r w:rsidRPr="001D41EA">
              <w:rPr>
                <w:rFonts w:cs="Arial"/>
                <w:b/>
                <w:sz w:val="18"/>
                <w:szCs w:val="18"/>
              </w:rPr>
              <w:t>112,247,067</w:t>
            </w:r>
          </w:p>
        </w:tc>
      </w:tr>
      <w:tr w:rsidR="00D84931" w:rsidRPr="001D41EA" w14:paraId="718FAEB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FB61B2F" w14:textId="77777777" w:rsidR="00D84931" w:rsidRPr="001D41EA" w:rsidRDefault="00D84931" w:rsidP="00D84931">
            <w:pPr>
              <w:spacing w:before="40" w:after="20"/>
              <w:rPr>
                <w:rFonts w:cs="Arial"/>
                <w:sz w:val="18"/>
                <w:szCs w:val="18"/>
              </w:rPr>
            </w:pPr>
            <w:r w:rsidRPr="001D41EA">
              <w:rPr>
                <w:rFonts w:cs="Arial"/>
                <w:sz w:val="18"/>
                <w:szCs w:val="18"/>
              </w:rPr>
              <w:t>Wodonga C</w:t>
            </w:r>
          </w:p>
        </w:tc>
        <w:tc>
          <w:tcPr>
            <w:tcW w:w="1701" w:type="dxa"/>
            <w:tcBorders>
              <w:top w:val="nil"/>
              <w:left w:val="single" w:sz="18" w:space="0" w:color="5F497A" w:themeColor="accent4" w:themeShade="BF"/>
              <w:bottom w:val="nil"/>
              <w:right w:val="nil"/>
            </w:tcBorders>
            <w:shd w:val="clear" w:color="auto" w:fill="auto"/>
            <w:noWrap/>
            <w:vAlign w:val="bottom"/>
          </w:tcPr>
          <w:p w14:paraId="583DA201" w14:textId="137714DC"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4F7CE897" w14:textId="5A67FB63" w:rsidR="00D84931" w:rsidRPr="001D41EA" w:rsidRDefault="00D84931" w:rsidP="00D84931">
            <w:pPr>
              <w:spacing w:before="40" w:after="20"/>
              <w:jc w:val="right"/>
              <w:rPr>
                <w:rFonts w:cs="Arial"/>
                <w:sz w:val="18"/>
                <w:szCs w:val="18"/>
              </w:rPr>
            </w:pPr>
            <w:r w:rsidRPr="001D41EA">
              <w:rPr>
                <w:rFonts w:cs="Arial"/>
                <w:sz w:val="18"/>
                <w:szCs w:val="18"/>
              </w:rPr>
              <w:t>17,917,601</w:t>
            </w:r>
          </w:p>
        </w:tc>
        <w:tc>
          <w:tcPr>
            <w:tcW w:w="1985" w:type="dxa"/>
            <w:tcBorders>
              <w:top w:val="nil"/>
              <w:left w:val="nil"/>
              <w:bottom w:val="nil"/>
              <w:right w:val="nil"/>
            </w:tcBorders>
            <w:shd w:val="clear" w:color="auto" w:fill="auto"/>
            <w:noWrap/>
            <w:vAlign w:val="bottom"/>
          </w:tcPr>
          <w:p w14:paraId="05F3B5BC" w14:textId="6223D908" w:rsidR="00D84931" w:rsidRPr="001D41EA" w:rsidRDefault="00D84931" w:rsidP="00D84931">
            <w:pPr>
              <w:spacing w:before="40" w:after="20"/>
              <w:jc w:val="right"/>
              <w:rPr>
                <w:rFonts w:cs="Arial"/>
                <w:b/>
                <w:sz w:val="18"/>
                <w:szCs w:val="18"/>
              </w:rPr>
            </w:pPr>
            <w:r w:rsidRPr="001D41EA">
              <w:rPr>
                <w:rFonts w:cs="Arial"/>
                <w:b/>
                <w:sz w:val="18"/>
                <w:szCs w:val="18"/>
              </w:rPr>
              <w:t>17,917,601</w:t>
            </w:r>
          </w:p>
        </w:tc>
      </w:tr>
      <w:tr w:rsidR="00D84931" w:rsidRPr="001D41EA" w14:paraId="204B90B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02E458C" w14:textId="77777777" w:rsidR="00D84931" w:rsidRPr="001D41EA" w:rsidRDefault="00D84931" w:rsidP="00D84931">
            <w:pPr>
              <w:spacing w:before="40" w:after="20"/>
              <w:rPr>
                <w:rFonts w:cs="Arial"/>
                <w:sz w:val="18"/>
                <w:szCs w:val="18"/>
              </w:rPr>
            </w:pPr>
            <w:r w:rsidRPr="001D41EA">
              <w:rPr>
                <w:rFonts w:cs="Arial"/>
                <w:sz w:val="18"/>
                <w:szCs w:val="18"/>
              </w:rPr>
              <w:t>Wyndham C</w:t>
            </w:r>
          </w:p>
        </w:tc>
        <w:tc>
          <w:tcPr>
            <w:tcW w:w="1701" w:type="dxa"/>
            <w:tcBorders>
              <w:top w:val="nil"/>
              <w:left w:val="single" w:sz="18" w:space="0" w:color="5F497A" w:themeColor="accent4" w:themeShade="BF"/>
              <w:bottom w:val="nil"/>
              <w:right w:val="nil"/>
            </w:tcBorders>
            <w:shd w:val="clear" w:color="auto" w:fill="auto"/>
            <w:noWrap/>
            <w:vAlign w:val="bottom"/>
          </w:tcPr>
          <w:p w14:paraId="7A2EE5FF" w14:textId="144A0078" w:rsidR="00D84931" w:rsidRPr="001D41EA" w:rsidRDefault="00D84931" w:rsidP="00D84931">
            <w:pPr>
              <w:spacing w:before="40" w:after="20"/>
              <w:jc w:val="right"/>
              <w:rPr>
                <w:rFonts w:cs="Arial"/>
                <w:sz w:val="18"/>
                <w:szCs w:val="18"/>
              </w:rPr>
            </w:pPr>
            <w:r w:rsidRPr="001D41EA">
              <w:rPr>
                <w:rFonts w:cs="Arial"/>
                <w:sz w:val="18"/>
                <w:szCs w:val="18"/>
              </w:rPr>
              <w:t>176,739</w:t>
            </w:r>
          </w:p>
        </w:tc>
        <w:tc>
          <w:tcPr>
            <w:tcW w:w="1985" w:type="dxa"/>
            <w:tcBorders>
              <w:top w:val="nil"/>
              <w:left w:val="nil"/>
              <w:bottom w:val="nil"/>
              <w:right w:val="nil"/>
            </w:tcBorders>
            <w:vAlign w:val="bottom"/>
          </w:tcPr>
          <w:p w14:paraId="743A552E" w14:textId="7600B908" w:rsidR="00D84931" w:rsidRPr="001D41EA" w:rsidRDefault="00D84931" w:rsidP="00D84931">
            <w:pPr>
              <w:spacing w:before="40" w:after="20"/>
              <w:jc w:val="right"/>
              <w:rPr>
                <w:rFonts w:cs="Arial"/>
                <w:sz w:val="18"/>
                <w:szCs w:val="18"/>
              </w:rPr>
            </w:pPr>
            <w:r w:rsidRPr="001D41EA">
              <w:rPr>
                <w:rFonts w:cs="Arial"/>
                <w:sz w:val="18"/>
                <w:szCs w:val="18"/>
              </w:rPr>
              <w:t>127,634,477</w:t>
            </w:r>
          </w:p>
        </w:tc>
        <w:tc>
          <w:tcPr>
            <w:tcW w:w="1985" w:type="dxa"/>
            <w:tcBorders>
              <w:top w:val="nil"/>
              <w:left w:val="nil"/>
              <w:bottom w:val="nil"/>
              <w:right w:val="nil"/>
            </w:tcBorders>
            <w:shd w:val="clear" w:color="auto" w:fill="auto"/>
            <w:noWrap/>
            <w:vAlign w:val="bottom"/>
          </w:tcPr>
          <w:p w14:paraId="7CE2B520" w14:textId="14C76603" w:rsidR="00D84931" w:rsidRPr="001D41EA" w:rsidRDefault="00D84931" w:rsidP="00D84931">
            <w:pPr>
              <w:spacing w:before="40" w:after="20"/>
              <w:jc w:val="right"/>
              <w:rPr>
                <w:rFonts w:cs="Arial"/>
                <w:b/>
                <w:sz w:val="18"/>
                <w:szCs w:val="18"/>
              </w:rPr>
            </w:pPr>
            <w:r w:rsidRPr="001D41EA">
              <w:rPr>
                <w:rFonts w:cs="Arial"/>
                <w:b/>
                <w:sz w:val="18"/>
                <w:szCs w:val="18"/>
              </w:rPr>
              <w:t>115,561,336</w:t>
            </w:r>
          </w:p>
        </w:tc>
      </w:tr>
      <w:tr w:rsidR="00D84931" w:rsidRPr="001D41EA" w14:paraId="063773C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DFBEC0A" w14:textId="77777777" w:rsidR="00D84931" w:rsidRPr="001D41EA" w:rsidRDefault="00D84931" w:rsidP="00D84931">
            <w:pPr>
              <w:spacing w:before="40" w:after="20"/>
              <w:rPr>
                <w:rFonts w:cs="Arial"/>
                <w:sz w:val="18"/>
                <w:szCs w:val="18"/>
              </w:rPr>
            </w:pPr>
            <w:r w:rsidRPr="001D41EA">
              <w:rPr>
                <w:rFonts w:cs="Arial"/>
                <w:sz w:val="18"/>
                <w:szCs w:val="18"/>
              </w:rPr>
              <w:t>Yarra C</w:t>
            </w:r>
          </w:p>
        </w:tc>
        <w:tc>
          <w:tcPr>
            <w:tcW w:w="1701" w:type="dxa"/>
            <w:tcBorders>
              <w:top w:val="nil"/>
              <w:left w:val="single" w:sz="18" w:space="0" w:color="5F497A" w:themeColor="accent4" w:themeShade="BF"/>
              <w:bottom w:val="nil"/>
              <w:right w:val="nil"/>
            </w:tcBorders>
            <w:shd w:val="clear" w:color="auto" w:fill="auto"/>
            <w:noWrap/>
            <w:vAlign w:val="bottom"/>
          </w:tcPr>
          <w:p w14:paraId="149B0584" w14:textId="40A14F8A" w:rsidR="00D84931" w:rsidRPr="001D41EA" w:rsidRDefault="00D84931" w:rsidP="00D84931">
            <w:pPr>
              <w:spacing w:before="40" w:after="20"/>
              <w:jc w:val="right"/>
              <w:rPr>
                <w:rFonts w:cs="Arial"/>
                <w:sz w:val="18"/>
                <w:szCs w:val="18"/>
              </w:rPr>
            </w:pPr>
            <w:r w:rsidRPr="001D41EA">
              <w:rPr>
                <w:rFonts w:cs="Arial"/>
                <w:sz w:val="18"/>
                <w:szCs w:val="18"/>
              </w:rPr>
              <w:t>33,269</w:t>
            </w:r>
          </w:p>
        </w:tc>
        <w:tc>
          <w:tcPr>
            <w:tcW w:w="1985" w:type="dxa"/>
            <w:tcBorders>
              <w:top w:val="nil"/>
              <w:left w:val="nil"/>
              <w:bottom w:val="nil"/>
              <w:right w:val="nil"/>
            </w:tcBorders>
            <w:vAlign w:val="bottom"/>
          </w:tcPr>
          <w:p w14:paraId="1A2F502E" w14:textId="077541CB" w:rsidR="00D84931" w:rsidRPr="001D41EA" w:rsidRDefault="00D84931" w:rsidP="00D84931">
            <w:pPr>
              <w:spacing w:before="40" w:after="20"/>
              <w:jc w:val="right"/>
              <w:rPr>
                <w:rFonts w:cs="Arial"/>
                <w:sz w:val="18"/>
                <w:szCs w:val="18"/>
              </w:rPr>
            </w:pPr>
            <w:r w:rsidRPr="001D41EA">
              <w:rPr>
                <w:rFonts w:cs="Arial"/>
                <w:sz w:val="18"/>
                <w:szCs w:val="18"/>
              </w:rPr>
              <w:t>148,192,774</w:t>
            </w:r>
          </w:p>
        </w:tc>
        <w:tc>
          <w:tcPr>
            <w:tcW w:w="1985" w:type="dxa"/>
            <w:tcBorders>
              <w:top w:val="nil"/>
              <w:left w:val="nil"/>
              <w:bottom w:val="nil"/>
              <w:right w:val="nil"/>
            </w:tcBorders>
            <w:shd w:val="clear" w:color="auto" w:fill="auto"/>
            <w:noWrap/>
            <w:vAlign w:val="bottom"/>
          </w:tcPr>
          <w:p w14:paraId="2423A32B" w14:textId="3869C85C" w:rsidR="00D84931" w:rsidRPr="001D41EA" w:rsidRDefault="00D84931" w:rsidP="00D84931">
            <w:pPr>
              <w:spacing w:before="40" w:after="20"/>
              <w:jc w:val="right"/>
              <w:rPr>
                <w:rFonts w:cs="Arial"/>
                <w:b/>
                <w:sz w:val="18"/>
                <w:szCs w:val="18"/>
              </w:rPr>
            </w:pPr>
            <w:r w:rsidRPr="001D41EA">
              <w:rPr>
                <w:rFonts w:cs="Arial"/>
                <w:b/>
                <w:sz w:val="18"/>
                <w:szCs w:val="18"/>
              </w:rPr>
              <w:t>129,997,976</w:t>
            </w:r>
          </w:p>
        </w:tc>
      </w:tr>
      <w:tr w:rsidR="00D84931" w:rsidRPr="001D41EA" w14:paraId="16772A9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86153E4" w14:textId="77777777" w:rsidR="00D84931" w:rsidRPr="001D41EA" w:rsidRDefault="00D84931" w:rsidP="00D84931">
            <w:pPr>
              <w:spacing w:before="40" w:after="20"/>
              <w:rPr>
                <w:rFonts w:cs="Arial"/>
                <w:sz w:val="18"/>
                <w:szCs w:val="18"/>
              </w:rPr>
            </w:pPr>
            <w:r w:rsidRPr="001D41EA">
              <w:rPr>
                <w:rFonts w:cs="Arial"/>
                <w:sz w:val="18"/>
                <w:szCs w:val="18"/>
              </w:rPr>
              <w:t>Yarra Ranges S</w:t>
            </w:r>
          </w:p>
        </w:tc>
        <w:tc>
          <w:tcPr>
            <w:tcW w:w="1701" w:type="dxa"/>
            <w:tcBorders>
              <w:top w:val="nil"/>
              <w:left w:val="single" w:sz="18" w:space="0" w:color="5F497A" w:themeColor="accent4" w:themeShade="BF"/>
              <w:bottom w:val="nil"/>
              <w:right w:val="nil"/>
            </w:tcBorders>
            <w:shd w:val="clear" w:color="auto" w:fill="auto"/>
            <w:noWrap/>
            <w:vAlign w:val="bottom"/>
          </w:tcPr>
          <w:p w14:paraId="68DC06F3" w14:textId="4D38536D"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5C039029" w14:textId="04E56CEB" w:rsidR="00D84931" w:rsidRPr="001D41EA" w:rsidRDefault="00D84931" w:rsidP="00D84931">
            <w:pPr>
              <w:spacing w:before="40" w:after="20"/>
              <w:jc w:val="right"/>
              <w:rPr>
                <w:rFonts w:cs="Arial"/>
                <w:sz w:val="18"/>
                <w:szCs w:val="18"/>
              </w:rPr>
            </w:pPr>
            <w:r w:rsidRPr="001D41EA">
              <w:rPr>
                <w:rFonts w:cs="Arial"/>
                <w:sz w:val="18"/>
                <w:szCs w:val="18"/>
              </w:rPr>
              <w:t>97,713,825</w:t>
            </w:r>
          </w:p>
        </w:tc>
        <w:tc>
          <w:tcPr>
            <w:tcW w:w="1985" w:type="dxa"/>
            <w:tcBorders>
              <w:top w:val="nil"/>
              <w:left w:val="nil"/>
              <w:bottom w:val="nil"/>
              <w:right w:val="nil"/>
            </w:tcBorders>
            <w:shd w:val="clear" w:color="auto" w:fill="auto"/>
            <w:noWrap/>
            <w:vAlign w:val="bottom"/>
          </w:tcPr>
          <w:p w14:paraId="0FBE66B7" w14:textId="7090318F" w:rsidR="00D84931" w:rsidRPr="001D41EA" w:rsidRDefault="00D84931" w:rsidP="00D84931">
            <w:pPr>
              <w:spacing w:before="40" w:after="20"/>
              <w:jc w:val="right"/>
              <w:rPr>
                <w:rFonts w:cs="Arial"/>
                <w:b/>
                <w:sz w:val="18"/>
                <w:szCs w:val="18"/>
              </w:rPr>
            </w:pPr>
            <w:r w:rsidRPr="001D41EA">
              <w:rPr>
                <w:rFonts w:cs="Arial"/>
                <w:b/>
                <w:sz w:val="18"/>
                <w:szCs w:val="18"/>
              </w:rPr>
              <w:t>91,196,250</w:t>
            </w:r>
          </w:p>
        </w:tc>
      </w:tr>
      <w:tr w:rsidR="00D84931" w:rsidRPr="001D41EA" w14:paraId="66FDAA0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4A9877E" w14:textId="77777777" w:rsidR="00D84931" w:rsidRPr="001D41EA" w:rsidRDefault="00D84931" w:rsidP="00D84931">
            <w:pPr>
              <w:spacing w:before="40" w:after="20"/>
              <w:rPr>
                <w:rFonts w:cs="Arial"/>
                <w:sz w:val="18"/>
                <w:szCs w:val="18"/>
              </w:rPr>
            </w:pPr>
            <w:r w:rsidRPr="001D41EA">
              <w:rPr>
                <w:rFonts w:cs="Arial"/>
                <w:sz w:val="18"/>
                <w:szCs w:val="18"/>
              </w:rPr>
              <w:t>Yarriambiack S</w:t>
            </w:r>
          </w:p>
        </w:tc>
        <w:tc>
          <w:tcPr>
            <w:tcW w:w="1701" w:type="dxa"/>
            <w:tcBorders>
              <w:top w:val="nil"/>
              <w:left w:val="single" w:sz="18" w:space="0" w:color="5F497A" w:themeColor="accent4" w:themeShade="BF"/>
              <w:bottom w:val="nil"/>
              <w:right w:val="nil"/>
            </w:tcBorders>
            <w:shd w:val="clear" w:color="auto" w:fill="auto"/>
            <w:noWrap/>
            <w:vAlign w:val="bottom"/>
          </w:tcPr>
          <w:p w14:paraId="26BFE629" w14:textId="66CA3202" w:rsidR="00D84931" w:rsidRPr="001D41EA" w:rsidRDefault="00D84931" w:rsidP="00D84931">
            <w:pPr>
              <w:spacing w:before="40" w:after="20"/>
              <w:jc w:val="right"/>
              <w:rPr>
                <w:rFonts w:cs="Arial"/>
                <w:sz w:val="18"/>
                <w:szCs w:val="18"/>
              </w:rPr>
            </w:pPr>
            <w:r w:rsidRPr="001D41EA">
              <w:rPr>
                <w:rFonts w:cs="Arial"/>
                <w:sz w:val="18"/>
                <w:szCs w:val="18"/>
              </w:rPr>
              <w:t>0</w:t>
            </w:r>
          </w:p>
        </w:tc>
        <w:tc>
          <w:tcPr>
            <w:tcW w:w="1985" w:type="dxa"/>
            <w:tcBorders>
              <w:top w:val="nil"/>
              <w:left w:val="nil"/>
              <w:bottom w:val="nil"/>
              <w:right w:val="nil"/>
            </w:tcBorders>
            <w:vAlign w:val="bottom"/>
          </w:tcPr>
          <w:p w14:paraId="2AED7043" w14:textId="75ED68B1" w:rsidR="00D84931" w:rsidRPr="001D41EA" w:rsidRDefault="00D84931" w:rsidP="00D84931">
            <w:pPr>
              <w:spacing w:before="40" w:after="20"/>
              <w:jc w:val="right"/>
              <w:rPr>
                <w:rFonts w:cs="Arial"/>
                <w:sz w:val="18"/>
                <w:szCs w:val="18"/>
              </w:rPr>
            </w:pPr>
            <w:r w:rsidRPr="001D41EA">
              <w:rPr>
                <w:rFonts w:cs="Arial"/>
                <w:sz w:val="18"/>
                <w:szCs w:val="18"/>
              </w:rPr>
              <w:t>6,312,313</w:t>
            </w:r>
          </w:p>
        </w:tc>
        <w:tc>
          <w:tcPr>
            <w:tcW w:w="1985" w:type="dxa"/>
            <w:tcBorders>
              <w:top w:val="nil"/>
              <w:left w:val="nil"/>
              <w:bottom w:val="nil"/>
              <w:right w:val="nil"/>
            </w:tcBorders>
            <w:shd w:val="clear" w:color="auto" w:fill="auto"/>
            <w:noWrap/>
            <w:vAlign w:val="bottom"/>
          </w:tcPr>
          <w:p w14:paraId="71F88B1C" w14:textId="2FD632B5" w:rsidR="00D84931" w:rsidRPr="001D41EA" w:rsidRDefault="00D84931" w:rsidP="00D84931">
            <w:pPr>
              <w:spacing w:before="40" w:after="20"/>
              <w:jc w:val="right"/>
              <w:rPr>
                <w:rFonts w:cs="Arial"/>
                <w:b/>
                <w:sz w:val="18"/>
                <w:szCs w:val="18"/>
              </w:rPr>
            </w:pPr>
            <w:r w:rsidRPr="001D41EA">
              <w:rPr>
                <w:rFonts w:cs="Arial"/>
                <w:b/>
                <w:sz w:val="18"/>
                <w:szCs w:val="18"/>
              </w:rPr>
              <w:t>4,514,746</w:t>
            </w:r>
          </w:p>
        </w:tc>
      </w:tr>
      <w:tr w:rsidR="00D84931" w:rsidRPr="001D41EA" w14:paraId="4339C54A" w14:textId="77777777" w:rsidTr="00B44BBE">
        <w:tc>
          <w:tcPr>
            <w:tcW w:w="2268" w:type="dxa"/>
            <w:tcBorders>
              <w:top w:val="nil"/>
              <w:left w:val="nil"/>
              <w:bottom w:val="nil"/>
              <w:right w:val="single" w:sz="18" w:space="0" w:color="5F497A" w:themeColor="accent4" w:themeShade="BF"/>
            </w:tcBorders>
            <w:shd w:val="clear" w:color="auto" w:fill="auto"/>
            <w:noWrap/>
            <w:vAlign w:val="center"/>
          </w:tcPr>
          <w:p w14:paraId="2C70CE4C" w14:textId="77777777" w:rsidR="00D84931" w:rsidRPr="001D41EA" w:rsidRDefault="00D84931" w:rsidP="00D84931">
            <w:pPr>
              <w:spacing w:before="40" w:after="20"/>
              <w:rPr>
                <w:rFonts w:cs="Arial"/>
                <w:sz w:val="18"/>
                <w:szCs w:val="18"/>
              </w:rPr>
            </w:pPr>
          </w:p>
        </w:tc>
        <w:tc>
          <w:tcPr>
            <w:tcW w:w="1701" w:type="dxa"/>
            <w:tcBorders>
              <w:top w:val="nil"/>
              <w:left w:val="single" w:sz="18" w:space="0" w:color="5F497A" w:themeColor="accent4" w:themeShade="BF"/>
              <w:bottom w:val="single" w:sz="8" w:space="0" w:color="5F497A" w:themeColor="accent4" w:themeShade="BF"/>
              <w:right w:val="nil"/>
            </w:tcBorders>
            <w:shd w:val="clear" w:color="auto" w:fill="auto"/>
            <w:noWrap/>
            <w:vAlign w:val="bottom"/>
          </w:tcPr>
          <w:p w14:paraId="7EA707D5" w14:textId="47640C84" w:rsidR="00D84931" w:rsidRPr="001D41EA" w:rsidRDefault="00D84931" w:rsidP="00D84931">
            <w:pPr>
              <w:spacing w:before="40" w:after="20"/>
              <w:jc w:val="right"/>
              <w:rPr>
                <w:rFonts w:cs="Arial"/>
                <w:sz w:val="18"/>
                <w:szCs w:val="18"/>
              </w:rPr>
            </w:pPr>
            <w:r w:rsidRPr="001D41EA">
              <w:rPr>
                <w:rFonts w:cs="Arial"/>
                <w:sz w:val="18"/>
                <w:szCs w:val="18"/>
              </w:rPr>
              <w:t> </w:t>
            </w:r>
          </w:p>
        </w:tc>
        <w:tc>
          <w:tcPr>
            <w:tcW w:w="1985" w:type="dxa"/>
            <w:tcBorders>
              <w:top w:val="nil"/>
              <w:left w:val="nil"/>
              <w:bottom w:val="single" w:sz="8" w:space="0" w:color="5F497A" w:themeColor="accent4" w:themeShade="BF"/>
              <w:right w:val="nil"/>
            </w:tcBorders>
            <w:vAlign w:val="bottom"/>
          </w:tcPr>
          <w:p w14:paraId="68E4687E" w14:textId="6440F7B9" w:rsidR="00D84931" w:rsidRPr="001D41EA" w:rsidRDefault="00D84931" w:rsidP="00D84931">
            <w:pPr>
              <w:spacing w:before="40" w:after="20"/>
              <w:jc w:val="right"/>
              <w:rPr>
                <w:rFonts w:cs="Arial"/>
                <w:sz w:val="18"/>
                <w:szCs w:val="18"/>
              </w:rPr>
            </w:pPr>
            <w:r w:rsidRPr="001D41EA">
              <w:rPr>
                <w:rFonts w:cs="Arial"/>
                <w:sz w:val="18"/>
                <w:szCs w:val="18"/>
              </w:rPr>
              <w:t> </w:t>
            </w:r>
          </w:p>
        </w:tc>
        <w:tc>
          <w:tcPr>
            <w:tcW w:w="1985" w:type="dxa"/>
            <w:tcBorders>
              <w:top w:val="nil"/>
              <w:left w:val="nil"/>
              <w:bottom w:val="single" w:sz="8" w:space="0" w:color="5F497A" w:themeColor="accent4" w:themeShade="BF"/>
              <w:right w:val="nil"/>
            </w:tcBorders>
            <w:shd w:val="clear" w:color="auto" w:fill="auto"/>
            <w:noWrap/>
            <w:vAlign w:val="bottom"/>
          </w:tcPr>
          <w:p w14:paraId="1D899C31" w14:textId="2B6C50E5" w:rsidR="00D84931" w:rsidRPr="001D41EA" w:rsidRDefault="00D84931" w:rsidP="00D84931">
            <w:pPr>
              <w:spacing w:before="40" w:after="20"/>
              <w:jc w:val="right"/>
              <w:rPr>
                <w:rFonts w:cs="Arial"/>
                <w:b/>
                <w:sz w:val="18"/>
                <w:szCs w:val="18"/>
              </w:rPr>
            </w:pPr>
            <w:r w:rsidRPr="001D41EA">
              <w:rPr>
                <w:rFonts w:cs="Arial"/>
                <w:b/>
                <w:sz w:val="18"/>
                <w:szCs w:val="18"/>
              </w:rPr>
              <w:t> </w:t>
            </w:r>
          </w:p>
        </w:tc>
      </w:tr>
      <w:tr w:rsidR="00D84931" w:rsidRPr="001D41EA" w14:paraId="7857A53D" w14:textId="77777777" w:rsidTr="00B44BBE">
        <w:tc>
          <w:tcPr>
            <w:tcW w:w="2268" w:type="dxa"/>
            <w:tcBorders>
              <w:top w:val="nil"/>
              <w:left w:val="nil"/>
              <w:bottom w:val="nil"/>
              <w:right w:val="single" w:sz="18" w:space="0" w:color="5F497A" w:themeColor="accent4" w:themeShade="BF"/>
            </w:tcBorders>
            <w:shd w:val="clear" w:color="auto" w:fill="auto"/>
            <w:noWrap/>
            <w:vAlign w:val="center"/>
          </w:tcPr>
          <w:p w14:paraId="1A527849" w14:textId="77777777" w:rsidR="00D84931" w:rsidRPr="001D41EA" w:rsidRDefault="00D84931" w:rsidP="00D84931">
            <w:pPr>
              <w:spacing w:before="40" w:after="20"/>
              <w:rPr>
                <w:rFonts w:cs="Arial"/>
                <w:sz w:val="18"/>
                <w:szCs w:val="18"/>
              </w:rPr>
            </w:pPr>
          </w:p>
        </w:tc>
        <w:tc>
          <w:tcPr>
            <w:tcW w:w="1701" w:type="dxa"/>
            <w:tcBorders>
              <w:top w:val="single" w:sz="8" w:space="0" w:color="5F497A" w:themeColor="accent4" w:themeShade="BF"/>
              <w:left w:val="single" w:sz="18" w:space="0" w:color="5F497A" w:themeColor="accent4" w:themeShade="BF"/>
              <w:right w:val="nil"/>
            </w:tcBorders>
            <w:shd w:val="clear" w:color="auto" w:fill="auto"/>
            <w:noWrap/>
            <w:vAlign w:val="bottom"/>
          </w:tcPr>
          <w:p w14:paraId="68DD382C" w14:textId="75682F1D" w:rsidR="00D84931" w:rsidRPr="001D41EA" w:rsidRDefault="00D84931" w:rsidP="00D84931">
            <w:pPr>
              <w:spacing w:before="40" w:after="20"/>
              <w:jc w:val="right"/>
              <w:rPr>
                <w:rFonts w:cs="Arial"/>
                <w:b/>
                <w:sz w:val="18"/>
                <w:szCs w:val="18"/>
              </w:rPr>
            </w:pPr>
            <w:r w:rsidRPr="001D41EA">
              <w:rPr>
                <w:rFonts w:cs="Arial"/>
                <w:b/>
                <w:sz w:val="18"/>
                <w:szCs w:val="18"/>
              </w:rPr>
              <w:t>28,638,252</w:t>
            </w:r>
          </w:p>
        </w:tc>
        <w:tc>
          <w:tcPr>
            <w:tcW w:w="1985" w:type="dxa"/>
            <w:tcBorders>
              <w:top w:val="single" w:sz="8" w:space="0" w:color="5F497A" w:themeColor="accent4" w:themeShade="BF"/>
              <w:left w:val="nil"/>
              <w:right w:val="nil"/>
            </w:tcBorders>
            <w:vAlign w:val="bottom"/>
          </w:tcPr>
          <w:p w14:paraId="09C0DDE8" w14:textId="38E46824" w:rsidR="00D84931" w:rsidRPr="001D41EA" w:rsidRDefault="00D84931" w:rsidP="00D84931">
            <w:pPr>
              <w:spacing w:before="40" w:after="20"/>
              <w:jc w:val="right"/>
              <w:rPr>
                <w:rFonts w:cs="Arial"/>
                <w:b/>
                <w:sz w:val="18"/>
                <w:szCs w:val="18"/>
              </w:rPr>
            </w:pPr>
            <w:r w:rsidRPr="001D41EA">
              <w:rPr>
                <w:rFonts w:cs="Arial"/>
                <w:b/>
                <w:sz w:val="18"/>
                <w:szCs w:val="18"/>
              </w:rPr>
              <w:t>5,336,676,011</w:t>
            </w:r>
          </w:p>
        </w:tc>
        <w:tc>
          <w:tcPr>
            <w:tcW w:w="1985" w:type="dxa"/>
            <w:tcBorders>
              <w:top w:val="single" w:sz="8" w:space="0" w:color="5F497A" w:themeColor="accent4" w:themeShade="BF"/>
              <w:left w:val="nil"/>
              <w:right w:val="nil"/>
            </w:tcBorders>
            <w:shd w:val="clear" w:color="auto" w:fill="auto"/>
            <w:noWrap/>
            <w:vAlign w:val="bottom"/>
          </w:tcPr>
          <w:p w14:paraId="470DD2AA" w14:textId="2D7C099E" w:rsidR="00D84931" w:rsidRPr="001D41EA" w:rsidRDefault="00D84931" w:rsidP="00D84931">
            <w:pPr>
              <w:spacing w:before="40" w:after="20"/>
              <w:jc w:val="right"/>
              <w:rPr>
                <w:rFonts w:cs="Arial"/>
                <w:b/>
                <w:sz w:val="18"/>
                <w:szCs w:val="18"/>
              </w:rPr>
            </w:pPr>
            <w:r w:rsidRPr="001D41EA">
              <w:rPr>
                <w:rFonts w:cs="Arial"/>
                <w:b/>
                <w:sz w:val="18"/>
                <w:szCs w:val="18"/>
              </w:rPr>
              <w:t>4,887,764,839</w:t>
            </w:r>
          </w:p>
        </w:tc>
      </w:tr>
    </w:tbl>
    <w:p w14:paraId="556AFB10" w14:textId="77777777" w:rsidR="00185DCF" w:rsidRPr="00A44829" w:rsidRDefault="002C331E" w:rsidP="00FF36E8">
      <w:pPr>
        <w:spacing w:before="40" w:after="20"/>
        <w:rPr>
          <w:rFonts w:cs="Arial"/>
          <w:sz w:val="18"/>
          <w:szCs w:val="18"/>
        </w:rPr>
      </w:pPr>
      <w:r w:rsidRPr="00A44829">
        <w:rPr>
          <w:rFonts w:cs="Arial"/>
          <w:sz w:val="18"/>
          <w:szCs w:val="18"/>
        </w:rPr>
        <w:br w:type="page"/>
      </w:r>
    </w:p>
    <w:p w14:paraId="042E6FDB" w14:textId="507F2D1F" w:rsidR="00185DCF" w:rsidRPr="00A44829" w:rsidRDefault="00CE4507" w:rsidP="00C33713">
      <w:pPr>
        <w:pStyle w:val="VGC-Head10"/>
      </w:pPr>
      <w:r w:rsidRPr="00A44829">
        <w:lastRenderedPageBreak/>
        <w:t>Appendix 4</w:t>
      </w:r>
      <w:r w:rsidR="003C138B" w:rsidRPr="00A44829">
        <w:tab/>
      </w:r>
      <w:r w:rsidR="00EE4593" w:rsidRPr="00A44829">
        <w:t>2019-20</w:t>
      </w:r>
      <w:r w:rsidR="00A97ABE" w:rsidRPr="00A44829">
        <w:t xml:space="preserve"> </w:t>
      </w:r>
      <w:r w:rsidR="00F40209" w:rsidRPr="00A44829">
        <w:t>G</w:t>
      </w:r>
      <w:r w:rsidR="00185DCF" w:rsidRPr="00A44829">
        <w:t xml:space="preserve">eneral Purpose Grants </w:t>
      </w:r>
    </w:p>
    <w:p w14:paraId="0485CC46" w14:textId="77777777" w:rsidR="00185DCF" w:rsidRPr="00A44829" w:rsidRDefault="00D67755" w:rsidP="008C1A28">
      <w:pPr>
        <w:pStyle w:val="VGC-Head2"/>
      </w:pPr>
      <w:r w:rsidRPr="00A44829">
        <w:t>K</w:t>
      </w:r>
      <w:r w:rsidR="00185DCF" w:rsidRPr="00A44829">
        <w:t>.  Raw Grant Calculation</w:t>
      </w:r>
    </w:p>
    <w:p w14:paraId="1BFA5740" w14:textId="77777777" w:rsidR="00185DCF" w:rsidRPr="00A44829"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5D11B6" w:rsidRPr="00A44829" w14:paraId="6DDADD49" w14:textId="77777777" w:rsidTr="00B44BBE">
        <w:trPr>
          <w:tblHeader/>
        </w:trPr>
        <w:tc>
          <w:tcPr>
            <w:tcW w:w="2268" w:type="dxa"/>
            <w:tcBorders>
              <w:left w:val="nil"/>
              <w:right w:val="single" w:sz="18" w:space="0" w:color="5F497A" w:themeColor="accent4" w:themeShade="BF"/>
            </w:tcBorders>
            <w:shd w:val="clear" w:color="auto" w:fill="auto"/>
            <w:vAlign w:val="bottom"/>
          </w:tcPr>
          <w:p w14:paraId="6DF1E01B" w14:textId="77777777" w:rsidR="005D11B6" w:rsidRPr="00A44829" w:rsidRDefault="005D11B6" w:rsidP="0038375E">
            <w:pPr>
              <w:spacing w:before="40" w:after="20"/>
              <w:jc w:val="center"/>
              <w:rPr>
                <w:rFonts w:cs="Arial"/>
                <w:sz w:val="18"/>
                <w:szCs w:val="18"/>
              </w:rPr>
            </w:pPr>
          </w:p>
        </w:tc>
        <w:tc>
          <w:tcPr>
            <w:tcW w:w="1361" w:type="dxa"/>
            <w:tcBorders>
              <w:left w:val="single" w:sz="18" w:space="0" w:color="5F497A" w:themeColor="accent4" w:themeShade="BF"/>
              <w:bottom w:val="single" w:sz="8" w:space="0" w:color="5F497A" w:themeColor="accent4" w:themeShade="BF"/>
              <w:right w:val="nil"/>
            </w:tcBorders>
            <w:shd w:val="clear" w:color="auto" w:fill="auto"/>
            <w:vAlign w:val="bottom"/>
          </w:tcPr>
          <w:p w14:paraId="732F4BF0" w14:textId="77777777" w:rsidR="005D11B6" w:rsidRPr="00A44829" w:rsidRDefault="005D11B6" w:rsidP="0038375E">
            <w:pPr>
              <w:spacing w:before="40" w:after="20"/>
              <w:jc w:val="center"/>
              <w:rPr>
                <w:rFonts w:cs="Arial"/>
                <w:b/>
                <w:sz w:val="18"/>
                <w:szCs w:val="18"/>
              </w:rPr>
            </w:pPr>
            <w:r w:rsidRPr="00A44829">
              <w:rPr>
                <w:rFonts w:cs="Arial"/>
                <w:b/>
                <w:sz w:val="18"/>
                <w:szCs w:val="18"/>
              </w:rPr>
              <w:t>Standardised Expenditure</w:t>
            </w:r>
            <w:r w:rsidRPr="00A44829">
              <w:rPr>
                <w:rFonts w:cs="Arial"/>
                <w:b/>
                <w:sz w:val="18"/>
                <w:szCs w:val="18"/>
              </w:rPr>
              <w:br/>
              <w:t>($)</w:t>
            </w:r>
          </w:p>
        </w:tc>
        <w:tc>
          <w:tcPr>
            <w:tcW w:w="1361" w:type="dxa"/>
            <w:tcBorders>
              <w:left w:val="nil"/>
              <w:bottom w:val="single" w:sz="8" w:space="0" w:color="5F497A" w:themeColor="accent4" w:themeShade="BF"/>
              <w:right w:val="nil"/>
            </w:tcBorders>
            <w:shd w:val="clear" w:color="auto" w:fill="auto"/>
            <w:vAlign w:val="bottom"/>
          </w:tcPr>
          <w:p w14:paraId="7881382F" w14:textId="77777777" w:rsidR="005D11B6" w:rsidRPr="00A44829" w:rsidRDefault="005D11B6" w:rsidP="0038375E">
            <w:pPr>
              <w:spacing w:before="40" w:after="20"/>
              <w:jc w:val="center"/>
              <w:rPr>
                <w:rFonts w:cs="Arial"/>
                <w:b/>
                <w:sz w:val="18"/>
                <w:szCs w:val="18"/>
              </w:rPr>
            </w:pPr>
            <w:r w:rsidRPr="00A44829">
              <w:rPr>
                <w:rFonts w:cs="Arial"/>
                <w:b/>
                <w:sz w:val="18"/>
                <w:szCs w:val="18"/>
              </w:rPr>
              <w:t xml:space="preserve">Standardised Revenue </w:t>
            </w:r>
            <w:r w:rsidRPr="00A44829">
              <w:rPr>
                <w:rFonts w:cs="Arial"/>
                <w:b/>
                <w:sz w:val="18"/>
                <w:szCs w:val="18"/>
              </w:rPr>
              <w:br/>
              <w:t>($)</w:t>
            </w:r>
          </w:p>
        </w:tc>
        <w:tc>
          <w:tcPr>
            <w:tcW w:w="1361" w:type="dxa"/>
            <w:tcBorders>
              <w:left w:val="nil"/>
              <w:bottom w:val="single" w:sz="8" w:space="0" w:color="5F497A" w:themeColor="accent4" w:themeShade="BF"/>
              <w:right w:val="nil"/>
            </w:tcBorders>
            <w:vAlign w:val="bottom"/>
          </w:tcPr>
          <w:p w14:paraId="105568F9" w14:textId="77777777" w:rsidR="005D11B6" w:rsidRPr="00A44829" w:rsidRDefault="005D11B6" w:rsidP="0038375E">
            <w:pPr>
              <w:spacing w:before="40" w:after="20"/>
              <w:jc w:val="center"/>
              <w:rPr>
                <w:rFonts w:cs="Arial"/>
                <w:b/>
                <w:sz w:val="18"/>
                <w:szCs w:val="18"/>
              </w:rPr>
            </w:pPr>
            <w:r w:rsidRPr="00A44829">
              <w:rPr>
                <w:rFonts w:cs="Arial"/>
                <w:b/>
                <w:sz w:val="18"/>
                <w:szCs w:val="18"/>
              </w:rPr>
              <w:t>Raw Grant</w:t>
            </w:r>
            <w:r w:rsidRPr="00A44829">
              <w:rPr>
                <w:rFonts w:cs="Arial"/>
                <w:b/>
                <w:sz w:val="18"/>
                <w:szCs w:val="18"/>
              </w:rPr>
              <w:br/>
              <w:t>($)</w:t>
            </w:r>
          </w:p>
        </w:tc>
        <w:tc>
          <w:tcPr>
            <w:tcW w:w="1361" w:type="dxa"/>
            <w:tcBorders>
              <w:left w:val="nil"/>
              <w:bottom w:val="single" w:sz="8" w:space="0" w:color="5F497A" w:themeColor="accent4" w:themeShade="BF"/>
              <w:right w:val="nil"/>
            </w:tcBorders>
            <w:shd w:val="clear" w:color="auto" w:fill="auto"/>
            <w:vAlign w:val="bottom"/>
          </w:tcPr>
          <w:p w14:paraId="37A8E2B6" w14:textId="77777777" w:rsidR="005D11B6" w:rsidRPr="00A44829" w:rsidRDefault="00872A0F" w:rsidP="00A12CFA">
            <w:pPr>
              <w:spacing w:before="40" w:after="20"/>
              <w:jc w:val="center"/>
              <w:rPr>
                <w:rFonts w:cs="Arial"/>
                <w:b/>
                <w:sz w:val="18"/>
                <w:szCs w:val="18"/>
              </w:rPr>
            </w:pPr>
            <w:r w:rsidRPr="00A44829">
              <w:rPr>
                <w:rFonts w:cs="Arial"/>
                <w:b/>
                <w:sz w:val="18"/>
                <w:szCs w:val="18"/>
              </w:rPr>
              <w:t xml:space="preserve">Grant </w:t>
            </w:r>
            <w:r w:rsidR="00A12CFA" w:rsidRPr="00A44829">
              <w:rPr>
                <w:rFonts w:cs="Arial"/>
                <w:b/>
                <w:sz w:val="18"/>
                <w:szCs w:val="18"/>
              </w:rPr>
              <w:t>unadjusted</w:t>
            </w:r>
            <w:r w:rsidRPr="00A44829">
              <w:rPr>
                <w:rFonts w:cs="Arial"/>
                <w:b/>
                <w:sz w:val="18"/>
                <w:szCs w:val="18"/>
              </w:rPr>
              <w:br/>
              <w:t>($)</w:t>
            </w:r>
          </w:p>
        </w:tc>
        <w:tc>
          <w:tcPr>
            <w:tcW w:w="1361" w:type="dxa"/>
            <w:tcBorders>
              <w:left w:val="nil"/>
              <w:bottom w:val="single" w:sz="8" w:space="0" w:color="5F497A" w:themeColor="accent4" w:themeShade="BF"/>
              <w:right w:val="nil"/>
            </w:tcBorders>
            <w:vAlign w:val="bottom"/>
          </w:tcPr>
          <w:p w14:paraId="650E3A2E" w14:textId="61FE5BF8" w:rsidR="005D11B6" w:rsidRPr="00A44829" w:rsidRDefault="00F963E6" w:rsidP="0038375E">
            <w:pPr>
              <w:spacing w:before="40" w:after="20"/>
              <w:jc w:val="center"/>
              <w:rPr>
                <w:rFonts w:cs="Arial"/>
                <w:b/>
                <w:sz w:val="18"/>
                <w:szCs w:val="18"/>
              </w:rPr>
            </w:pPr>
            <w:r w:rsidRPr="00A44829">
              <w:rPr>
                <w:rFonts w:cs="Arial"/>
                <w:b/>
                <w:sz w:val="18"/>
                <w:szCs w:val="18"/>
              </w:rPr>
              <w:t xml:space="preserve">Actual </w:t>
            </w:r>
            <w:r w:rsidRPr="00A44829">
              <w:rPr>
                <w:rFonts w:cs="Arial"/>
                <w:b/>
                <w:sz w:val="18"/>
                <w:szCs w:val="18"/>
              </w:rPr>
              <w:br/>
              <w:t>Grant*</w:t>
            </w:r>
            <w:r>
              <w:rPr>
                <w:rFonts w:cs="Arial"/>
                <w:b/>
                <w:sz w:val="18"/>
                <w:szCs w:val="18"/>
              </w:rPr>
              <w:t xml:space="preserve"> #</w:t>
            </w:r>
            <w:r w:rsidRPr="00A44829">
              <w:rPr>
                <w:rFonts w:cs="Arial"/>
                <w:b/>
                <w:sz w:val="18"/>
                <w:szCs w:val="18"/>
              </w:rPr>
              <w:br/>
              <w:t>($)</w:t>
            </w:r>
          </w:p>
        </w:tc>
      </w:tr>
      <w:tr w:rsidR="00A26814" w:rsidRPr="001D41EA" w14:paraId="1063C7D6" w14:textId="77777777" w:rsidTr="00B44BBE">
        <w:trPr>
          <w:tblHeader/>
        </w:trPr>
        <w:tc>
          <w:tcPr>
            <w:tcW w:w="2268" w:type="dxa"/>
            <w:tcBorders>
              <w:left w:val="nil"/>
              <w:bottom w:val="nil"/>
              <w:right w:val="single" w:sz="18" w:space="0" w:color="5F497A" w:themeColor="accent4" w:themeShade="BF"/>
            </w:tcBorders>
            <w:shd w:val="clear" w:color="auto" w:fill="auto"/>
            <w:noWrap/>
            <w:vAlign w:val="center"/>
          </w:tcPr>
          <w:p w14:paraId="00682CEA" w14:textId="77777777" w:rsidR="00A26814" w:rsidRPr="001D41EA" w:rsidRDefault="00A26814" w:rsidP="00A26814">
            <w:pPr>
              <w:spacing w:before="40" w:after="4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378FB5FF" w14:textId="1CAFB4E2" w:rsidR="00A26814" w:rsidRPr="001D41EA" w:rsidRDefault="00A26814" w:rsidP="00A26814">
            <w:pPr>
              <w:spacing w:before="40" w:after="4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shd w:val="clear" w:color="auto" w:fill="auto"/>
            <w:noWrap/>
            <w:vAlign w:val="bottom"/>
          </w:tcPr>
          <w:p w14:paraId="1F45B8D4" w14:textId="727C919E" w:rsidR="00A26814" w:rsidRPr="001D41EA" w:rsidRDefault="00A26814" w:rsidP="00A26814">
            <w:pPr>
              <w:spacing w:before="40" w:after="4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vAlign w:val="bottom"/>
          </w:tcPr>
          <w:p w14:paraId="50D05FED" w14:textId="739510F7" w:rsidR="00A26814" w:rsidRPr="001D41EA" w:rsidRDefault="00A26814" w:rsidP="00A26814">
            <w:pPr>
              <w:spacing w:before="40" w:after="4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shd w:val="clear" w:color="auto" w:fill="auto"/>
            <w:noWrap/>
            <w:vAlign w:val="bottom"/>
          </w:tcPr>
          <w:p w14:paraId="64FCE8CD" w14:textId="23430532" w:rsidR="00A26814" w:rsidRPr="001D41EA" w:rsidRDefault="00A26814" w:rsidP="00A26814">
            <w:pPr>
              <w:spacing w:before="40" w:after="40"/>
              <w:jc w:val="right"/>
              <w:rPr>
                <w:rFonts w:cs="Arial"/>
                <w:sz w:val="18"/>
                <w:szCs w:val="18"/>
              </w:rPr>
            </w:pPr>
            <w:r w:rsidRPr="001D41EA">
              <w:rPr>
                <w:rFonts w:cs="Arial"/>
                <w:sz w:val="18"/>
                <w:szCs w:val="18"/>
              </w:rPr>
              <w:t> </w:t>
            </w:r>
          </w:p>
        </w:tc>
        <w:tc>
          <w:tcPr>
            <w:tcW w:w="1361" w:type="dxa"/>
            <w:tcBorders>
              <w:top w:val="single" w:sz="8" w:space="0" w:color="5F497A" w:themeColor="accent4" w:themeShade="BF"/>
              <w:left w:val="nil"/>
              <w:bottom w:val="nil"/>
              <w:right w:val="nil"/>
            </w:tcBorders>
            <w:vAlign w:val="bottom"/>
          </w:tcPr>
          <w:p w14:paraId="557BFB47" w14:textId="57672FDC" w:rsidR="00A26814" w:rsidRPr="001D41EA" w:rsidRDefault="00A26814" w:rsidP="00A26814">
            <w:pPr>
              <w:spacing w:before="40" w:after="40"/>
              <w:jc w:val="right"/>
              <w:rPr>
                <w:rFonts w:cs="Arial"/>
                <w:b/>
                <w:sz w:val="18"/>
                <w:szCs w:val="18"/>
              </w:rPr>
            </w:pPr>
            <w:r w:rsidRPr="001D41EA">
              <w:rPr>
                <w:rFonts w:cs="Arial"/>
                <w:b/>
                <w:sz w:val="18"/>
                <w:szCs w:val="18"/>
              </w:rPr>
              <w:t> </w:t>
            </w:r>
          </w:p>
        </w:tc>
      </w:tr>
      <w:tr w:rsidR="00A26814" w:rsidRPr="001D41EA" w14:paraId="269D87C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EF60594" w14:textId="77777777" w:rsidR="00A26814" w:rsidRPr="001D41EA" w:rsidRDefault="00A26814" w:rsidP="00A26814">
            <w:pPr>
              <w:spacing w:before="40" w:after="40"/>
              <w:rPr>
                <w:rFonts w:cs="Arial"/>
                <w:sz w:val="18"/>
                <w:szCs w:val="18"/>
              </w:rPr>
            </w:pPr>
            <w:r w:rsidRPr="001D41EA">
              <w:rPr>
                <w:rFonts w:cs="Arial"/>
                <w:sz w:val="18"/>
                <w:szCs w:val="18"/>
              </w:rPr>
              <w:t>Alpine S</w:t>
            </w:r>
          </w:p>
        </w:tc>
        <w:tc>
          <w:tcPr>
            <w:tcW w:w="1361" w:type="dxa"/>
            <w:tcBorders>
              <w:top w:val="nil"/>
              <w:left w:val="single" w:sz="18" w:space="0" w:color="5F497A" w:themeColor="accent4" w:themeShade="BF"/>
              <w:bottom w:val="nil"/>
              <w:right w:val="nil"/>
            </w:tcBorders>
            <w:shd w:val="clear" w:color="auto" w:fill="auto"/>
            <w:noWrap/>
            <w:vAlign w:val="bottom"/>
          </w:tcPr>
          <w:p w14:paraId="1F40D862" w14:textId="2CA3ECA1" w:rsidR="00A26814" w:rsidRPr="001D41EA" w:rsidRDefault="00A26814" w:rsidP="00A26814">
            <w:pPr>
              <w:spacing w:before="40" w:after="40"/>
              <w:jc w:val="right"/>
              <w:rPr>
                <w:rFonts w:cs="Arial"/>
                <w:sz w:val="18"/>
                <w:szCs w:val="18"/>
              </w:rPr>
            </w:pPr>
            <w:r w:rsidRPr="001D41EA">
              <w:rPr>
                <w:rFonts w:cs="Arial"/>
                <w:sz w:val="18"/>
                <w:szCs w:val="18"/>
              </w:rPr>
              <w:t>28,237,329</w:t>
            </w:r>
          </w:p>
        </w:tc>
        <w:tc>
          <w:tcPr>
            <w:tcW w:w="1361" w:type="dxa"/>
            <w:tcBorders>
              <w:top w:val="nil"/>
              <w:left w:val="nil"/>
              <w:bottom w:val="nil"/>
              <w:right w:val="nil"/>
            </w:tcBorders>
            <w:shd w:val="clear" w:color="auto" w:fill="auto"/>
            <w:noWrap/>
            <w:vAlign w:val="bottom"/>
          </w:tcPr>
          <w:p w14:paraId="15B9E45F" w14:textId="27B9B0EF" w:rsidR="00A26814" w:rsidRPr="001D41EA" w:rsidRDefault="00A26814" w:rsidP="00A26814">
            <w:pPr>
              <w:spacing w:before="40" w:after="40"/>
              <w:jc w:val="right"/>
              <w:rPr>
                <w:rFonts w:cs="Arial"/>
                <w:sz w:val="18"/>
                <w:szCs w:val="18"/>
              </w:rPr>
            </w:pPr>
            <w:r w:rsidRPr="001D41EA">
              <w:rPr>
                <w:rFonts w:cs="Arial"/>
                <w:sz w:val="18"/>
                <w:szCs w:val="18"/>
              </w:rPr>
              <w:t>10,867,707</w:t>
            </w:r>
          </w:p>
        </w:tc>
        <w:tc>
          <w:tcPr>
            <w:tcW w:w="1361" w:type="dxa"/>
            <w:tcBorders>
              <w:top w:val="nil"/>
              <w:left w:val="nil"/>
              <w:bottom w:val="nil"/>
              <w:right w:val="nil"/>
            </w:tcBorders>
            <w:vAlign w:val="bottom"/>
          </w:tcPr>
          <w:p w14:paraId="177ACFE7" w14:textId="19C58F80" w:rsidR="00A26814" w:rsidRPr="001D41EA" w:rsidRDefault="00A26814" w:rsidP="00A26814">
            <w:pPr>
              <w:spacing w:before="40" w:after="40"/>
              <w:jc w:val="right"/>
              <w:rPr>
                <w:rFonts w:cs="Arial"/>
                <w:sz w:val="18"/>
                <w:szCs w:val="18"/>
              </w:rPr>
            </w:pPr>
            <w:r w:rsidRPr="001D41EA">
              <w:rPr>
                <w:rFonts w:cs="Arial"/>
                <w:sz w:val="18"/>
                <w:szCs w:val="18"/>
              </w:rPr>
              <w:t>17,369,622</w:t>
            </w:r>
          </w:p>
        </w:tc>
        <w:tc>
          <w:tcPr>
            <w:tcW w:w="1361" w:type="dxa"/>
            <w:tcBorders>
              <w:top w:val="nil"/>
              <w:left w:val="nil"/>
              <w:bottom w:val="nil"/>
              <w:right w:val="nil"/>
            </w:tcBorders>
            <w:shd w:val="clear" w:color="auto" w:fill="auto"/>
            <w:noWrap/>
            <w:vAlign w:val="bottom"/>
          </w:tcPr>
          <w:p w14:paraId="5D869E05" w14:textId="4B1EF0B3" w:rsidR="00A26814" w:rsidRPr="001D41EA" w:rsidRDefault="00A26814" w:rsidP="00A26814">
            <w:pPr>
              <w:spacing w:before="40" w:after="40"/>
              <w:jc w:val="right"/>
              <w:rPr>
                <w:rFonts w:cs="Arial"/>
                <w:sz w:val="18"/>
                <w:szCs w:val="18"/>
              </w:rPr>
            </w:pPr>
            <w:r w:rsidRPr="001D41EA">
              <w:rPr>
                <w:rFonts w:cs="Arial"/>
                <w:sz w:val="18"/>
                <w:szCs w:val="18"/>
              </w:rPr>
              <w:t>2,804,590</w:t>
            </w:r>
          </w:p>
        </w:tc>
        <w:tc>
          <w:tcPr>
            <w:tcW w:w="1361" w:type="dxa"/>
            <w:tcBorders>
              <w:top w:val="nil"/>
              <w:left w:val="nil"/>
              <w:bottom w:val="nil"/>
              <w:right w:val="nil"/>
            </w:tcBorders>
            <w:vAlign w:val="bottom"/>
          </w:tcPr>
          <w:p w14:paraId="1068FC23" w14:textId="7D04DCA3" w:rsidR="00A26814" w:rsidRPr="001D41EA" w:rsidRDefault="00A26814" w:rsidP="00A26814">
            <w:pPr>
              <w:spacing w:before="40" w:after="40"/>
              <w:jc w:val="right"/>
              <w:rPr>
                <w:rFonts w:cs="Arial"/>
                <w:b/>
                <w:sz w:val="18"/>
                <w:szCs w:val="18"/>
              </w:rPr>
            </w:pPr>
            <w:r w:rsidRPr="001D41EA">
              <w:rPr>
                <w:rFonts w:cs="Arial"/>
                <w:b/>
                <w:sz w:val="18"/>
                <w:szCs w:val="18"/>
              </w:rPr>
              <w:t>2,803,657</w:t>
            </w:r>
          </w:p>
        </w:tc>
      </w:tr>
      <w:tr w:rsidR="00A26814" w:rsidRPr="001D41EA" w14:paraId="18231C9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46EDEEC" w14:textId="77777777" w:rsidR="00A26814" w:rsidRPr="001D41EA" w:rsidRDefault="00A26814" w:rsidP="00A26814">
            <w:pPr>
              <w:spacing w:before="40" w:after="40"/>
              <w:rPr>
                <w:rFonts w:cs="Arial"/>
                <w:sz w:val="18"/>
                <w:szCs w:val="18"/>
              </w:rPr>
            </w:pPr>
            <w:r w:rsidRPr="001D41EA">
              <w:rPr>
                <w:rFonts w:cs="Arial"/>
                <w:sz w:val="18"/>
                <w:szCs w:val="18"/>
              </w:rPr>
              <w:t>Ararat RC</w:t>
            </w:r>
          </w:p>
        </w:tc>
        <w:tc>
          <w:tcPr>
            <w:tcW w:w="1361" w:type="dxa"/>
            <w:tcBorders>
              <w:top w:val="nil"/>
              <w:left w:val="single" w:sz="18" w:space="0" w:color="5F497A" w:themeColor="accent4" w:themeShade="BF"/>
              <w:bottom w:val="nil"/>
              <w:right w:val="nil"/>
            </w:tcBorders>
            <w:shd w:val="clear" w:color="auto" w:fill="auto"/>
            <w:noWrap/>
            <w:vAlign w:val="bottom"/>
          </w:tcPr>
          <w:p w14:paraId="2C6AC05A" w14:textId="3E9162B5" w:rsidR="00A26814" w:rsidRPr="001D41EA" w:rsidRDefault="00A26814" w:rsidP="00A26814">
            <w:pPr>
              <w:spacing w:before="40" w:after="40"/>
              <w:jc w:val="right"/>
              <w:rPr>
                <w:rFonts w:cs="Arial"/>
                <w:sz w:val="18"/>
                <w:szCs w:val="18"/>
              </w:rPr>
            </w:pPr>
            <w:r w:rsidRPr="001D41EA">
              <w:rPr>
                <w:rFonts w:cs="Arial"/>
                <w:sz w:val="18"/>
                <w:szCs w:val="18"/>
              </w:rPr>
              <w:t>31,170,647</w:t>
            </w:r>
          </w:p>
        </w:tc>
        <w:tc>
          <w:tcPr>
            <w:tcW w:w="1361" w:type="dxa"/>
            <w:tcBorders>
              <w:top w:val="nil"/>
              <w:left w:val="nil"/>
              <w:bottom w:val="nil"/>
              <w:right w:val="nil"/>
            </w:tcBorders>
            <w:shd w:val="clear" w:color="auto" w:fill="auto"/>
            <w:noWrap/>
            <w:vAlign w:val="bottom"/>
          </w:tcPr>
          <w:p w14:paraId="16621484" w14:textId="6A849F94" w:rsidR="00A26814" w:rsidRPr="001D41EA" w:rsidRDefault="00A26814" w:rsidP="00A26814">
            <w:pPr>
              <w:spacing w:before="40" w:after="40"/>
              <w:jc w:val="right"/>
              <w:rPr>
                <w:rFonts w:cs="Arial"/>
                <w:sz w:val="18"/>
                <w:szCs w:val="18"/>
              </w:rPr>
            </w:pPr>
            <w:r w:rsidRPr="001D41EA">
              <w:rPr>
                <w:rFonts w:cs="Arial"/>
                <w:sz w:val="18"/>
                <w:szCs w:val="18"/>
              </w:rPr>
              <w:t>7,597,888</w:t>
            </w:r>
          </w:p>
        </w:tc>
        <w:tc>
          <w:tcPr>
            <w:tcW w:w="1361" w:type="dxa"/>
            <w:tcBorders>
              <w:top w:val="nil"/>
              <w:left w:val="nil"/>
              <w:bottom w:val="nil"/>
              <w:right w:val="nil"/>
            </w:tcBorders>
            <w:vAlign w:val="bottom"/>
          </w:tcPr>
          <w:p w14:paraId="4BB9BAEF" w14:textId="7CEAEB32" w:rsidR="00A26814" w:rsidRPr="001D41EA" w:rsidRDefault="00A26814" w:rsidP="00A26814">
            <w:pPr>
              <w:spacing w:before="40" w:after="40"/>
              <w:jc w:val="right"/>
              <w:rPr>
                <w:rFonts w:cs="Arial"/>
                <w:sz w:val="18"/>
                <w:szCs w:val="18"/>
              </w:rPr>
            </w:pPr>
            <w:r w:rsidRPr="001D41EA">
              <w:rPr>
                <w:rFonts w:cs="Arial"/>
                <w:sz w:val="18"/>
                <w:szCs w:val="18"/>
              </w:rPr>
              <w:t>23,572,759</w:t>
            </w:r>
          </w:p>
        </w:tc>
        <w:tc>
          <w:tcPr>
            <w:tcW w:w="1361" w:type="dxa"/>
            <w:tcBorders>
              <w:top w:val="nil"/>
              <w:left w:val="nil"/>
              <w:bottom w:val="nil"/>
              <w:right w:val="nil"/>
            </w:tcBorders>
            <w:shd w:val="clear" w:color="auto" w:fill="auto"/>
            <w:noWrap/>
            <w:vAlign w:val="bottom"/>
          </w:tcPr>
          <w:p w14:paraId="2F453865" w14:textId="5B4DD5B9" w:rsidR="00A26814" w:rsidRPr="001D41EA" w:rsidRDefault="00A26814" w:rsidP="00A26814">
            <w:pPr>
              <w:spacing w:before="40" w:after="40"/>
              <w:jc w:val="right"/>
              <w:rPr>
                <w:rFonts w:cs="Arial"/>
                <w:sz w:val="18"/>
                <w:szCs w:val="18"/>
              </w:rPr>
            </w:pPr>
            <w:r w:rsidRPr="001D41EA">
              <w:rPr>
                <w:rFonts w:cs="Arial"/>
                <w:sz w:val="18"/>
                <w:szCs w:val="18"/>
              </w:rPr>
              <w:t>3,806,181</w:t>
            </w:r>
          </w:p>
        </w:tc>
        <w:tc>
          <w:tcPr>
            <w:tcW w:w="1361" w:type="dxa"/>
            <w:tcBorders>
              <w:top w:val="nil"/>
              <w:left w:val="nil"/>
              <w:bottom w:val="nil"/>
              <w:right w:val="nil"/>
            </w:tcBorders>
            <w:vAlign w:val="bottom"/>
          </w:tcPr>
          <w:p w14:paraId="0D913ECE" w14:textId="540CFE16" w:rsidR="00A26814" w:rsidRPr="001D41EA" w:rsidRDefault="00A26814" w:rsidP="00A26814">
            <w:pPr>
              <w:spacing w:before="40" w:after="40"/>
              <w:jc w:val="right"/>
              <w:rPr>
                <w:rFonts w:cs="Arial"/>
                <w:b/>
                <w:sz w:val="18"/>
                <w:szCs w:val="18"/>
              </w:rPr>
            </w:pPr>
            <w:r w:rsidRPr="001D41EA">
              <w:rPr>
                <w:rFonts w:cs="Arial"/>
                <w:b/>
                <w:sz w:val="18"/>
                <w:szCs w:val="18"/>
              </w:rPr>
              <w:t>3,804,914</w:t>
            </w:r>
          </w:p>
        </w:tc>
      </w:tr>
      <w:tr w:rsidR="00A26814" w:rsidRPr="001D41EA" w14:paraId="5B1BACD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60C5F5E" w14:textId="77777777" w:rsidR="00A26814" w:rsidRPr="001D41EA" w:rsidRDefault="00A26814" w:rsidP="00A26814">
            <w:pPr>
              <w:spacing w:before="40" w:after="40"/>
              <w:rPr>
                <w:rFonts w:cs="Arial"/>
                <w:sz w:val="18"/>
                <w:szCs w:val="18"/>
              </w:rPr>
            </w:pPr>
            <w:r w:rsidRPr="001D41EA">
              <w:rPr>
                <w:rFonts w:cs="Arial"/>
                <w:sz w:val="18"/>
                <w:szCs w:val="18"/>
              </w:rPr>
              <w:t>Ballarat C</w:t>
            </w:r>
          </w:p>
        </w:tc>
        <w:tc>
          <w:tcPr>
            <w:tcW w:w="1361" w:type="dxa"/>
            <w:tcBorders>
              <w:top w:val="nil"/>
              <w:left w:val="single" w:sz="18" w:space="0" w:color="5F497A" w:themeColor="accent4" w:themeShade="BF"/>
              <w:bottom w:val="nil"/>
              <w:right w:val="nil"/>
            </w:tcBorders>
            <w:shd w:val="clear" w:color="auto" w:fill="auto"/>
            <w:noWrap/>
            <w:vAlign w:val="bottom"/>
          </w:tcPr>
          <w:p w14:paraId="73B34774" w14:textId="117C70B4" w:rsidR="00A26814" w:rsidRPr="001D41EA" w:rsidRDefault="00A26814" w:rsidP="00A26814">
            <w:pPr>
              <w:spacing w:before="40" w:after="40"/>
              <w:jc w:val="right"/>
              <w:rPr>
                <w:rFonts w:cs="Arial"/>
                <w:sz w:val="18"/>
                <w:szCs w:val="18"/>
              </w:rPr>
            </w:pPr>
            <w:r w:rsidRPr="001D41EA">
              <w:rPr>
                <w:rFonts w:cs="Arial"/>
                <w:sz w:val="18"/>
                <w:szCs w:val="18"/>
              </w:rPr>
              <w:t>133,570,242</w:t>
            </w:r>
          </w:p>
        </w:tc>
        <w:tc>
          <w:tcPr>
            <w:tcW w:w="1361" w:type="dxa"/>
            <w:tcBorders>
              <w:top w:val="nil"/>
              <w:left w:val="nil"/>
              <w:bottom w:val="nil"/>
              <w:right w:val="nil"/>
            </w:tcBorders>
            <w:shd w:val="clear" w:color="auto" w:fill="auto"/>
            <w:noWrap/>
            <w:vAlign w:val="bottom"/>
          </w:tcPr>
          <w:p w14:paraId="3FC910B8" w14:textId="6DFC73A4" w:rsidR="00A26814" w:rsidRPr="001D41EA" w:rsidRDefault="00A26814" w:rsidP="00A26814">
            <w:pPr>
              <w:spacing w:before="40" w:after="40"/>
              <w:jc w:val="right"/>
              <w:rPr>
                <w:rFonts w:cs="Arial"/>
                <w:sz w:val="18"/>
                <w:szCs w:val="18"/>
              </w:rPr>
            </w:pPr>
            <w:r w:rsidRPr="001D41EA">
              <w:rPr>
                <w:rFonts w:cs="Arial"/>
                <w:sz w:val="18"/>
                <w:szCs w:val="18"/>
              </w:rPr>
              <w:t>64,629,830</w:t>
            </w:r>
          </w:p>
        </w:tc>
        <w:tc>
          <w:tcPr>
            <w:tcW w:w="1361" w:type="dxa"/>
            <w:tcBorders>
              <w:top w:val="nil"/>
              <w:left w:val="nil"/>
              <w:bottom w:val="nil"/>
              <w:right w:val="nil"/>
            </w:tcBorders>
            <w:vAlign w:val="bottom"/>
          </w:tcPr>
          <w:p w14:paraId="1F934C1F" w14:textId="08ED5B02" w:rsidR="00A26814" w:rsidRPr="001D41EA" w:rsidRDefault="00A26814" w:rsidP="00A26814">
            <w:pPr>
              <w:spacing w:before="40" w:after="40"/>
              <w:jc w:val="right"/>
              <w:rPr>
                <w:rFonts w:cs="Arial"/>
                <w:sz w:val="18"/>
                <w:szCs w:val="18"/>
              </w:rPr>
            </w:pPr>
            <w:r w:rsidRPr="001D41EA">
              <w:rPr>
                <w:rFonts w:cs="Arial"/>
                <w:sz w:val="18"/>
                <w:szCs w:val="18"/>
              </w:rPr>
              <w:t>68,940,412</w:t>
            </w:r>
          </w:p>
        </w:tc>
        <w:tc>
          <w:tcPr>
            <w:tcW w:w="1361" w:type="dxa"/>
            <w:tcBorders>
              <w:top w:val="nil"/>
              <w:left w:val="nil"/>
              <w:bottom w:val="nil"/>
              <w:right w:val="nil"/>
            </w:tcBorders>
            <w:shd w:val="clear" w:color="auto" w:fill="auto"/>
            <w:noWrap/>
            <w:vAlign w:val="bottom"/>
          </w:tcPr>
          <w:p w14:paraId="70DBFC9A" w14:textId="14C91C18" w:rsidR="00A26814" w:rsidRPr="001D41EA" w:rsidRDefault="00A26814" w:rsidP="00A26814">
            <w:pPr>
              <w:spacing w:before="40" w:after="40"/>
              <w:jc w:val="right"/>
              <w:rPr>
                <w:rFonts w:cs="Arial"/>
                <w:sz w:val="18"/>
                <w:szCs w:val="18"/>
              </w:rPr>
            </w:pPr>
            <w:r w:rsidRPr="001D41EA">
              <w:rPr>
                <w:rFonts w:cs="Arial"/>
                <w:sz w:val="18"/>
                <w:szCs w:val="18"/>
              </w:rPr>
              <w:t>11,131,480</w:t>
            </w:r>
          </w:p>
        </w:tc>
        <w:tc>
          <w:tcPr>
            <w:tcW w:w="1361" w:type="dxa"/>
            <w:tcBorders>
              <w:top w:val="nil"/>
              <w:left w:val="nil"/>
              <w:bottom w:val="nil"/>
              <w:right w:val="nil"/>
            </w:tcBorders>
            <w:vAlign w:val="bottom"/>
          </w:tcPr>
          <w:p w14:paraId="42769AC1" w14:textId="02477953" w:rsidR="00A26814" w:rsidRPr="001D41EA" w:rsidRDefault="00A26814" w:rsidP="00A26814">
            <w:pPr>
              <w:spacing w:before="40" w:after="40"/>
              <w:jc w:val="right"/>
              <w:rPr>
                <w:rFonts w:cs="Arial"/>
                <w:b/>
                <w:sz w:val="18"/>
                <w:szCs w:val="18"/>
              </w:rPr>
            </w:pPr>
            <w:r w:rsidRPr="001D41EA">
              <w:rPr>
                <w:rFonts w:cs="Arial"/>
                <w:b/>
                <w:sz w:val="18"/>
                <w:szCs w:val="18"/>
              </w:rPr>
              <w:t>11,127,775</w:t>
            </w:r>
          </w:p>
        </w:tc>
      </w:tr>
      <w:tr w:rsidR="00A26814" w:rsidRPr="001D41EA" w14:paraId="783101B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FC37074" w14:textId="77777777" w:rsidR="00A26814" w:rsidRPr="001D41EA" w:rsidRDefault="00A26814" w:rsidP="00A26814">
            <w:pPr>
              <w:spacing w:before="40" w:after="40"/>
              <w:rPr>
                <w:rFonts w:cs="Arial"/>
                <w:sz w:val="18"/>
                <w:szCs w:val="18"/>
              </w:rPr>
            </w:pPr>
            <w:r w:rsidRPr="001D41EA">
              <w:rPr>
                <w:rFonts w:cs="Arial"/>
                <w:sz w:val="18"/>
                <w:szCs w:val="18"/>
              </w:rPr>
              <w:t>Banyule C</w:t>
            </w:r>
          </w:p>
        </w:tc>
        <w:tc>
          <w:tcPr>
            <w:tcW w:w="1361" w:type="dxa"/>
            <w:tcBorders>
              <w:top w:val="nil"/>
              <w:left w:val="single" w:sz="18" w:space="0" w:color="5F497A" w:themeColor="accent4" w:themeShade="BF"/>
              <w:bottom w:val="nil"/>
              <w:right w:val="nil"/>
            </w:tcBorders>
            <w:shd w:val="clear" w:color="auto" w:fill="auto"/>
            <w:noWrap/>
            <w:vAlign w:val="bottom"/>
          </w:tcPr>
          <w:p w14:paraId="17BDE7A3" w14:textId="0B0605E6" w:rsidR="00A26814" w:rsidRPr="001D41EA" w:rsidRDefault="00A26814" w:rsidP="00A26814">
            <w:pPr>
              <w:spacing w:before="40" w:after="40"/>
              <w:jc w:val="right"/>
              <w:rPr>
                <w:rFonts w:cs="Arial"/>
                <w:sz w:val="18"/>
                <w:szCs w:val="18"/>
              </w:rPr>
            </w:pPr>
            <w:r w:rsidRPr="001D41EA">
              <w:rPr>
                <w:rFonts w:cs="Arial"/>
                <w:sz w:val="18"/>
                <w:szCs w:val="18"/>
              </w:rPr>
              <w:t>129,874,657</w:t>
            </w:r>
          </w:p>
        </w:tc>
        <w:tc>
          <w:tcPr>
            <w:tcW w:w="1361" w:type="dxa"/>
            <w:tcBorders>
              <w:top w:val="nil"/>
              <w:left w:val="nil"/>
              <w:bottom w:val="nil"/>
              <w:right w:val="nil"/>
            </w:tcBorders>
            <w:shd w:val="clear" w:color="auto" w:fill="auto"/>
            <w:noWrap/>
            <w:vAlign w:val="bottom"/>
          </w:tcPr>
          <w:p w14:paraId="6B6C155B" w14:textId="011D0A80" w:rsidR="00A26814" w:rsidRPr="001D41EA" w:rsidRDefault="00A26814" w:rsidP="00A26814">
            <w:pPr>
              <w:spacing w:before="40" w:after="40"/>
              <w:jc w:val="right"/>
              <w:rPr>
                <w:rFonts w:cs="Arial"/>
                <w:sz w:val="18"/>
                <w:szCs w:val="18"/>
              </w:rPr>
            </w:pPr>
            <w:r w:rsidRPr="001D41EA">
              <w:rPr>
                <w:rFonts w:cs="Arial"/>
                <w:sz w:val="18"/>
                <w:szCs w:val="18"/>
              </w:rPr>
              <w:t>116,475,541</w:t>
            </w:r>
          </w:p>
        </w:tc>
        <w:tc>
          <w:tcPr>
            <w:tcW w:w="1361" w:type="dxa"/>
            <w:tcBorders>
              <w:top w:val="nil"/>
              <w:left w:val="nil"/>
              <w:bottom w:val="nil"/>
              <w:right w:val="nil"/>
            </w:tcBorders>
            <w:vAlign w:val="bottom"/>
          </w:tcPr>
          <w:p w14:paraId="2C7C264B" w14:textId="52286E9C" w:rsidR="00A26814" w:rsidRPr="001D41EA" w:rsidRDefault="00A26814" w:rsidP="00A26814">
            <w:pPr>
              <w:spacing w:before="40" w:after="40"/>
              <w:jc w:val="right"/>
              <w:rPr>
                <w:rFonts w:cs="Arial"/>
                <w:sz w:val="18"/>
                <w:szCs w:val="18"/>
              </w:rPr>
            </w:pPr>
            <w:r w:rsidRPr="001D41EA">
              <w:rPr>
                <w:rFonts w:cs="Arial"/>
                <w:sz w:val="18"/>
                <w:szCs w:val="18"/>
              </w:rPr>
              <w:t>13,399,116</w:t>
            </w:r>
          </w:p>
        </w:tc>
        <w:tc>
          <w:tcPr>
            <w:tcW w:w="1361" w:type="dxa"/>
            <w:tcBorders>
              <w:top w:val="nil"/>
              <w:left w:val="nil"/>
              <w:bottom w:val="nil"/>
              <w:right w:val="nil"/>
            </w:tcBorders>
            <w:shd w:val="clear" w:color="auto" w:fill="auto"/>
            <w:noWrap/>
            <w:vAlign w:val="bottom"/>
          </w:tcPr>
          <w:p w14:paraId="31D5C3D1" w14:textId="7428485D" w:rsidR="00A26814" w:rsidRPr="001D41EA" w:rsidRDefault="00A26814" w:rsidP="00A26814">
            <w:pPr>
              <w:spacing w:before="40" w:after="40"/>
              <w:jc w:val="right"/>
              <w:rPr>
                <w:rFonts w:cs="Arial"/>
                <w:sz w:val="18"/>
                <w:szCs w:val="18"/>
              </w:rPr>
            </w:pPr>
            <w:r w:rsidRPr="001D41EA">
              <w:rPr>
                <w:rFonts w:cs="Arial"/>
                <w:sz w:val="18"/>
                <w:szCs w:val="18"/>
              </w:rPr>
              <w:t>2,755,159</w:t>
            </w:r>
          </w:p>
        </w:tc>
        <w:tc>
          <w:tcPr>
            <w:tcW w:w="1361" w:type="dxa"/>
            <w:tcBorders>
              <w:top w:val="nil"/>
              <w:left w:val="nil"/>
              <w:bottom w:val="nil"/>
              <w:right w:val="nil"/>
            </w:tcBorders>
            <w:vAlign w:val="bottom"/>
          </w:tcPr>
          <w:p w14:paraId="70C60815" w14:textId="486D1990" w:rsidR="00A26814" w:rsidRPr="001D41EA" w:rsidRDefault="00A26814" w:rsidP="00A26814">
            <w:pPr>
              <w:spacing w:before="40" w:after="40"/>
              <w:jc w:val="right"/>
              <w:rPr>
                <w:rFonts w:cs="Arial"/>
                <w:b/>
                <w:sz w:val="18"/>
                <w:szCs w:val="18"/>
              </w:rPr>
            </w:pPr>
            <w:r w:rsidRPr="001D41EA">
              <w:rPr>
                <w:rFonts w:cs="Arial"/>
                <w:b/>
                <w:sz w:val="18"/>
                <w:szCs w:val="18"/>
              </w:rPr>
              <w:t>2,755,159</w:t>
            </w:r>
          </w:p>
        </w:tc>
      </w:tr>
      <w:tr w:rsidR="00A26814" w:rsidRPr="001D41EA" w14:paraId="244AA066"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B1ACB14" w14:textId="77777777" w:rsidR="00A26814" w:rsidRPr="001D41EA" w:rsidRDefault="00A26814" w:rsidP="00A26814">
            <w:pPr>
              <w:spacing w:before="40" w:after="40"/>
              <w:rPr>
                <w:rFonts w:cs="Arial"/>
                <w:sz w:val="18"/>
                <w:szCs w:val="18"/>
              </w:rPr>
            </w:pPr>
            <w:r w:rsidRPr="001D41EA">
              <w:rPr>
                <w:rFonts w:cs="Arial"/>
                <w:sz w:val="18"/>
                <w:szCs w:val="18"/>
              </w:rPr>
              <w:t>Bass Coast S</w:t>
            </w:r>
          </w:p>
        </w:tc>
        <w:tc>
          <w:tcPr>
            <w:tcW w:w="1361" w:type="dxa"/>
            <w:tcBorders>
              <w:top w:val="nil"/>
              <w:left w:val="single" w:sz="18" w:space="0" w:color="5F497A" w:themeColor="accent4" w:themeShade="BF"/>
              <w:bottom w:val="nil"/>
              <w:right w:val="nil"/>
            </w:tcBorders>
            <w:shd w:val="clear" w:color="auto" w:fill="auto"/>
            <w:noWrap/>
            <w:vAlign w:val="bottom"/>
          </w:tcPr>
          <w:p w14:paraId="1DED87C6" w14:textId="1C7A73DE" w:rsidR="00A26814" w:rsidRPr="001D41EA" w:rsidRDefault="00A26814" w:rsidP="00A26814">
            <w:pPr>
              <w:spacing w:before="40" w:after="40"/>
              <w:jc w:val="right"/>
              <w:rPr>
                <w:rFonts w:cs="Arial"/>
                <w:sz w:val="18"/>
                <w:szCs w:val="18"/>
              </w:rPr>
            </w:pPr>
            <w:r w:rsidRPr="001D41EA">
              <w:rPr>
                <w:rFonts w:cs="Arial"/>
                <w:sz w:val="18"/>
                <w:szCs w:val="18"/>
              </w:rPr>
              <w:t>69,137,101</w:t>
            </w:r>
          </w:p>
        </w:tc>
        <w:tc>
          <w:tcPr>
            <w:tcW w:w="1361" w:type="dxa"/>
            <w:tcBorders>
              <w:top w:val="nil"/>
              <w:left w:val="nil"/>
              <w:bottom w:val="nil"/>
              <w:right w:val="nil"/>
            </w:tcBorders>
            <w:shd w:val="clear" w:color="auto" w:fill="auto"/>
            <w:noWrap/>
            <w:vAlign w:val="bottom"/>
          </w:tcPr>
          <w:p w14:paraId="3C7E71AD" w14:textId="20BBDB39" w:rsidR="00A26814" w:rsidRPr="001D41EA" w:rsidRDefault="00A26814" w:rsidP="00A26814">
            <w:pPr>
              <w:spacing w:before="40" w:after="40"/>
              <w:jc w:val="right"/>
              <w:rPr>
                <w:rFonts w:cs="Arial"/>
                <w:sz w:val="18"/>
                <w:szCs w:val="18"/>
              </w:rPr>
            </w:pPr>
            <w:r w:rsidRPr="001D41EA">
              <w:rPr>
                <w:rFonts w:cs="Arial"/>
                <w:sz w:val="18"/>
                <w:szCs w:val="18"/>
              </w:rPr>
              <w:t>38,604,716</w:t>
            </w:r>
          </w:p>
        </w:tc>
        <w:tc>
          <w:tcPr>
            <w:tcW w:w="1361" w:type="dxa"/>
            <w:tcBorders>
              <w:top w:val="nil"/>
              <w:left w:val="nil"/>
              <w:bottom w:val="nil"/>
              <w:right w:val="nil"/>
            </w:tcBorders>
            <w:vAlign w:val="bottom"/>
          </w:tcPr>
          <w:p w14:paraId="59DBBCE8" w14:textId="61D5EFCC" w:rsidR="00A26814" w:rsidRPr="001D41EA" w:rsidRDefault="00A26814" w:rsidP="00A26814">
            <w:pPr>
              <w:spacing w:before="40" w:after="40"/>
              <w:jc w:val="right"/>
              <w:rPr>
                <w:rFonts w:cs="Arial"/>
                <w:sz w:val="18"/>
                <w:szCs w:val="18"/>
              </w:rPr>
            </w:pPr>
            <w:r w:rsidRPr="001D41EA">
              <w:rPr>
                <w:rFonts w:cs="Arial"/>
                <w:sz w:val="18"/>
                <w:szCs w:val="18"/>
              </w:rPr>
              <w:t>30,532,385</w:t>
            </w:r>
          </w:p>
        </w:tc>
        <w:tc>
          <w:tcPr>
            <w:tcW w:w="1361" w:type="dxa"/>
            <w:tcBorders>
              <w:top w:val="nil"/>
              <w:left w:val="nil"/>
              <w:bottom w:val="nil"/>
              <w:right w:val="nil"/>
            </w:tcBorders>
            <w:shd w:val="clear" w:color="auto" w:fill="auto"/>
            <w:noWrap/>
            <w:vAlign w:val="bottom"/>
          </w:tcPr>
          <w:p w14:paraId="5DEAFFEC" w14:textId="675D59FF" w:rsidR="00A26814" w:rsidRPr="001D41EA" w:rsidRDefault="00A26814" w:rsidP="00A26814">
            <w:pPr>
              <w:spacing w:before="40" w:after="40"/>
              <w:jc w:val="right"/>
              <w:rPr>
                <w:rFonts w:cs="Arial"/>
                <w:sz w:val="18"/>
                <w:szCs w:val="18"/>
              </w:rPr>
            </w:pPr>
            <w:r w:rsidRPr="001D41EA">
              <w:rPr>
                <w:rFonts w:cs="Arial"/>
                <w:sz w:val="18"/>
                <w:szCs w:val="18"/>
              </w:rPr>
              <w:t>4,929,919</w:t>
            </w:r>
          </w:p>
        </w:tc>
        <w:tc>
          <w:tcPr>
            <w:tcW w:w="1361" w:type="dxa"/>
            <w:tcBorders>
              <w:top w:val="nil"/>
              <w:left w:val="nil"/>
              <w:bottom w:val="nil"/>
              <w:right w:val="nil"/>
            </w:tcBorders>
            <w:vAlign w:val="bottom"/>
          </w:tcPr>
          <w:p w14:paraId="1B68F34D" w14:textId="03527344" w:rsidR="00A26814" w:rsidRPr="001D41EA" w:rsidRDefault="00A26814" w:rsidP="00A26814">
            <w:pPr>
              <w:spacing w:before="40" w:after="40"/>
              <w:jc w:val="right"/>
              <w:rPr>
                <w:rFonts w:cs="Arial"/>
                <w:b/>
                <w:sz w:val="18"/>
                <w:szCs w:val="18"/>
              </w:rPr>
            </w:pPr>
            <w:r w:rsidRPr="001D41EA">
              <w:rPr>
                <w:rFonts w:cs="Arial"/>
                <w:b/>
                <w:sz w:val="18"/>
                <w:szCs w:val="18"/>
              </w:rPr>
              <w:t>4,928,278</w:t>
            </w:r>
          </w:p>
        </w:tc>
      </w:tr>
      <w:tr w:rsidR="00A26814" w:rsidRPr="001D41EA" w14:paraId="55465C0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DF83136" w14:textId="77777777" w:rsidR="00A26814" w:rsidRPr="001D41EA" w:rsidRDefault="00A26814" w:rsidP="00A26814">
            <w:pPr>
              <w:spacing w:before="40" w:after="40"/>
              <w:rPr>
                <w:rFonts w:cs="Arial"/>
                <w:sz w:val="18"/>
                <w:szCs w:val="18"/>
              </w:rPr>
            </w:pPr>
            <w:r w:rsidRPr="001D41EA">
              <w:rPr>
                <w:rFonts w:cs="Arial"/>
                <w:sz w:val="18"/>
                <w:szCs w:val="18"/>
              </w:rPr>
              <w:t>Baw Baw S</w:t>
            </w:r>
          </w:p>
        </w:tc>
        <w:tc>
          <w:tcPr>
            <w:tcW w:w="1361" w:type="dxa"/>
            <w:tcBorders>
              <w:top w:val="nil"/>
              <w:left w:val="single" w:sz="18" w:space="0" w:color="5F497A" w:themeColor="accent4" w:themeShade="BF"/>
              <w:bottom w:val="nil"/>
              <w:right w:val="nil"/>
            </w:tcBorders>
            <w:shd w:val="clear" w:color="auto" w:fill="auto"/>
            <w:noWrap/>
            <w:vAlign w:val="bottom"/>
          </w:tcPr>
          <w:p w14:paraId="1584BB63" w14:textId="0D1CB333" w:rsidR="00A26814" w:rsidRPr="001D41EA" w:rsidRDefault="00A26814" w:rsidP="00A26814">
            <w:pPr>
              <w:spacing w:before="40" w:after="40"/>
              <w:jc w:val="right"/>
              <w:rPr>
                <w:rFonts w:cs="Arial"/>
                <w:sz w:val="18"/>
                <w:szCs w:val="18"/>
              </w:rPr>
            </w:pPr>
            <w:r w:rsidRPr="001D41EA">
              <w:rPr>
                <w:rFonts w:cs="Arial"/>
                <w:sz w:val="18"/>
                <w:szCs w:val="18"/>
              </w:rPr>
              <w:t>76,163,166</w:t>
            </w:r>
          </w:p>
        </w:tc>
        <w:tc>
          <w:tcPr>
            <w:tcW w:w="1361" w:type="dxa"/>
            <w:tcBorders>
              <w:top w:val="nil"/>
              <w:left w:val="nil"/>
              <w:bottom w:val="nil"/>
              <w:right w:val="nil"/>
            </w:tcBorders>
            <w:shd w:val="clear" w:color="auto" w:fill="auto"/>
            <w:noWrap/>
            <w:vAlign w:val="bottom"/>
          </w:tcPr>
          <w:p w14:paraId="2015857B" w14:textId="2113678D" w:rsidR="00A26814" w:rsidRPr="001D41EA" w:rsidRDefault="00A26814" w:rsidP="00A26814">
            <w:pPr>
              <w:spacing w:before="40" w:after="40"/>
              <w:jc w:val="right"/>
              <w:rPr>
                <w:rFonts w:cs="Arial"/>
                <w:sz w:val="18"/>
                <w:szCs w:val="18"/>
              </w:rPr>
            </w:pPr>
            <w:r w:rsidRPr="001D41EA">
              <w:rPr>
                <w:rFonts w:cs="Arial"/>
                <w:sz w:val="18"/>
                <w:szCs w:val="18"/>
              </w:rPr>
              <w:t>34,840,188</w:t>
            </w:r>
          </w:p>
        </w:tc>
        <w:tc>
          <w:tcPr>
            <w:tcW w:w="1361" w:type="dxa"/>
            <w:tcBorders>
              <w:top w:val="nil"/>
              <w:left w:val="nil"/>
              <w:bottom w:val="nil"/>
              <w:right w:val="nil"/>
            </w:tcBorders>
            <w:vAlign w:val="bottom"/>
          </w:tcPr>
          <w:p w14:paraId="74AE8238" w14:textId="0078434A" w:rsidR="00A26814" w:rsidRPr="001D41EA" w:rsidRDefault="00A26814" w:rsidP="00A26814">
            <w:pPr>
              <w:spacing w:before="40" w:after="40"/>
              <w:jc w:val="right"/>
              <w:rPr>
                <w:rFonts w:cs="Arial"/>
                <w:sz w:val="18"/>
                <w:szCs w:val="18"/>
              </w:rPr>
            </w:pPr>
            <w:r w:rsidRPr="001D41EA">
              <w:rPr>
                <w:rFonts w:cs="Arial"/>
                <w:sz w:val="18"/>
                <w:szCs w:val="18"/>
              </w:rPr>
              <w:t>41,322,977</w:t>
            </w:r>
          </w:p>
        </w:tc>
        <w:tc>
          <w:tcPr>
            <w:tcW w:w="1361" w:type="dxa"/>
            <w:tcBorders>
              <w:top w:val="nil"/>
              <w:left w:val="nil"/>
              <w:bottom w:val="nil"/>
              <w:right w:val="nil"/>
            </w:tcBorders>
            <w:shd w:val="clear" w:color="auto" w:fill="auto"/>
            <w:noWrap/>
            <w:vAlign w:val="bottom"/>
          </w:tcPr>
          <w:p w14:paraId="65C68392" w14:textId="20BA2585" w:rsidR="00A26814" w:rsidRPr="001D41EA" w:rsidRDefault="00A26814" w:rsidP="00A26814">
            <w:pPr>
              <w:spacing w:before="40" w:after="40"/>
              <w:jc w:val="right"/>
              <w:rPr>
                <w:rFonts w:cs="Arial"/>
                <w:sz w:val="18"/>
                <w:szCs w:val="18"/>
              </w:rPr>
            </w:pPr>
            <w:r w:rsidRPr="001D41EA">
              <w:rPr>
                <w:rFonts w:cs="Arial"/>
                <w:sz w:val="18"/>
                <w:szCs w:val="18"/>
              </w:rPr>
              <w:t>6,672,224</w:t>
            </w:r>
          </w:p>
        </w:tc>
        <w:tc>
          <w:tcPr>
            <w:tcW w:w="1361" w:type="dxa"/>
            <w:tcBorders>
              <w:top w:val="nil"/>
              <w:left w:val="nil"/>
              <w:bottom w:val="nil"/>
              <w:right w:val="nil"/>
            </w:tcBorders>
            <w:vAlign w:val="bottom"/>
          </w:tcPr>
          <w:p w14:paraId="0BB2612B" w14:textId="203E20EB" w:rsidR="00A26814" w:rsidRPr="001D41EA" w:rsidRDefault="00A26814" w:rsidP="00A26814">
            <w:pPr>
              <w:spacing w:before="40" w:after="40"/>
              <w:jc w:val="right"/>
              <w:rPr>
                <w:rFonts w:cs="Arial"/>
                <w:b/>
                <w:sz w:val="18"/>
                <w:szCs w:val="18"/>
              </w:rPr>
            </w:pPr>
            <w:r w:rsidRPr="001D41EA">
              <w:rPr>
                <w:rFonts w:cs="Arial"/>
                <w:b/>
                <w:sz w:val="18"/>
                <w:szCs w:val="18"/>
              </w:rPr>
              <w:t>6,670,004</w:t>
            </w:r>
          </w:p>
        </w:tc>
      </w:tr>
      <w:tr w:rsidR="00A26814" w:rsidRPr="001D41EA" w14:paraId="3B130D7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745553C" w14:textId="77777777" w:rsidR="00A26814" w:rsidRPr="001D41EA" w:rsidRDefault="00A26814" w:rsidP="00A26814">
            <w:pPr>
              <w:spacing w:before="40" w:after="40"/>
              <w:rPr>
                <w:rFonts w:cs="Arial"/>
                <w:sz w:val="18"/>
                <w:szCs w:val="18"/>
              </w:rPr>
            </w:pPr>
            <w:r w:rsidRPr="001D41EA">
              <w:rPr>
                <w:rFonts w:cs="Arial"/>
                <w:sz w:val="18"/>
                <w:szCs w:val="18"/>
              </w:rPr>
              <w:t>Bayside C</w:t>
            </w:r>
          </w:p>
        </w:tc>
        <w:tc>
          <w:tcPr>
            <w:tcW w:w="1361" w:type="dxa"/>
            <w:tcBorders>
              <w:top w:val="nil"/>
              <w:left w:val="single" w:sz="18" w:space="0" w:color="5F497A" w:themeColor="accent4" w:themeShade="BF"/>
              <w:bottom w:val="nil"/>
              <w:right w:val="nil"/>
            </w:tcBorders>
            <w:shd w:val="clear" w:color="auto" w:fill="auto"/>
            <w:noWrap/>
            <w:vAlign w:val="bottom"/>
          </w:tcPr>
          <w:p w14:paraId="09E3865D" w14:textId="0A81AA8C" w:rsidR="00A26814" w:rsidRPr="001D41EA" w:rsidRDefault="00A26814" w:rsidP="00A26814">
            <w:pPr>
              <w:spacing w:before="40" w:after="40"/>
              <w:jc w:val="right"/>
              <w:rPr>
                <w:rFonts w:cs="Arial"/>
                <w:sz w:val="18"/>
                <w:szCs w:val="18"/>
              </w:rPr>
            </w:pPr>
            <w:r w:rsidRPr="001D41EA">
              <w:rPr>
                <w:rFonts w:cs="Arial"/>
                <w:sz w:val="18"/>
                <w:szCs w:val="18"/>
              </w:rPr>
              <w:t>100,518,378</w:t>
            </w:r>
          </w:p>
        </w:tc>
        <w:tc>
          <w:tcPr>
            <w:tcW w:w="1361" w:type="dxa"/>
            <w:tcBorders>
              <w:top w:val="nil"/>
              <w:left w:val="nil"/>
              <w:bottom w:val="nil"/>
              <w:right w:val="nil"/>
            </w:tcBorders>
            <w:shd w:val="clear" w:color="auto" w:fill="auto"/>
            <w:noWrap/>
            <w:vAlign w:val="bottom"/>
          </w:tcPr>
          <w:p w14:paraId="78A64DA9" w14:textId="2B7861CD" w:rsidR="00A26814" w:rsidRPr="001D41EA" w:rsidRDefault="00A26814" w:rsidP="00A26814">
            <w:pPr>
              <w:spacing w:before="40" w:after="40"/>
              <w:jc w:val="right"/>
              <w:rPr>
                <w:rFonts w:cs="Arial"/>
                <w:sz w:val="18"/>
                <w:szCs w:val="18"/>
              </w:rPr>
            </w:pPr>
            <w:r w:rsidRPr="001D41EA">
              <w:rPr>
                <w:rFonts w:cs="Arial"/>
                <w:sz w:val="18"/>
                <w:szCs w:val="18"/>
              </w:rPr>
              <w:t>166,910,512</w:t>
            </w:r>
          </w:p>
        </w:tc>
        <w:tc>
          <w:tcPr>
            <w:tcW w:w="1361" w:type="dxa"/>
            <w:tcBorders>
              <w:top w:val="nil"/>
              <w:left w:val="nil"/>
              <w:bottom w:val="nil"/>
              <w:right w:val="nil"/>
            </w:tcBorders>
            <w:vAlign w:val="bottom"/>
          </w:tcPr>
          <w:p w14:paraId="1EFE4F39" w14:textId="444CBE01" w:rsidR="00A26814" w:rsidRPr="001D41EA" w:rsidRDefault="00A26814" w:rsidP="00A26814">
            <w:pPr>
              <w:spacing w:before="40" w:after="40"/>
              <w:jc w:val="right"/>
              <w:rPr>
                <w:rFonts w:cs="Arial"/>
                <w:sz w:val="18"/>
                <w:szCs w:val="18"/>
              </w:rPr>
            </w:pPr>
            <w:r w:rsidRPr="001D41EA">
              <w:rPr>
                <w:rFonts w:cs="Arial"/>
                <w:sz w:val="18"/>
                <w:szCs w:val="18"/>
              </w:rPr>
              <w:t>-66,392,134</w:t>
            </w:r>
          </w:p>
        </w:tc>
        <w:tc>
          <w:tcPr>
            <w:tcW w:w="1361" w:type="dxa"/>
            <w:tcBorders>
              <w:top w:val="nil"/>
              <w:left w:val="nil"/>
              <w:bottom w:val="nil"/>
              <w:right w:val="nil"/>
            </w:tcBorders>
            <w:shd w:val="clear" w:color="auto" w:fill="auto"/>
            <w:noWrap/>
            <w:vAlign w:val="bottom"/>
          </w:tcPr>
          <w:p w14:paraId="1D31F6E1" w14:textId="4F21FF9C" w:rsidR="00A26814" w:rsidRPr="001D41EA" w:rsidRDefault="00A26814" w:rsidP="00A26814">
            <w:pPr>
              <w:spacing w:before="40" w:after="40"/>
              <w:jc w:val="right"/>
              <w:rPr>
                <w:rFonts w:cs="Arial"/>
                <w:sz w:val="18"/>
                <w:szCs w:val="18"/>
              </w:rPr>
            </w:pPr>
            <w:r w:rsidRPr="001D41EA">
              <w:rPr>
                <w:rFonts w:cs="Arial"/>
                <w:sz w:val="18"/>
                <w:szCs w:val="18"/>
              </w:rPr>
              <w:t>2,236,461</w:t>
            </w:r>
          </w:p>
        </w:tc>
        <w:tc>
          <w:tcPr>
            <w:tcW w:w="1361" w:type="dxa"/>
            <w:tcBorders>
              <w:top w:val="nil"/>
              <w:left w:val="nil"/>
              <w:bottom w:val="nil"/>
              <w:right w:val="nil"/>
            </w:tcBorders>
            <w:vAlign w:val="bottom"/>
          </w:tcPr>
          <w:p w14:paraId="20D8DFEB" w14:textId="6657D5F1" w:rsidR="00A26814" w:rsidRPr="001D41EA" w:rsidRDefault="00A26814" w:rsidP="00A26814">
            <w:pPr>
              <w:spacing w:before="40" w:after="40"/>
              <w:jc w:val="right"/>
              <w:rPr>
                <w:rFonts w:cs="Arial"/>
                <w:b/>
                <w:sz w:val="18"/>
                <w:szCs w:val="18"/>
              </w:rPr>
            </w:pPr>
            <w:r w:rsidRPr="001D41EA">
              <w:rPr>
                <w:rFonts w:cs="Arial"/>
                <w:b/>
                <w:sz w:val="18"/>
                <w:szCs w:val="18"/>
              </w:rPr>
              <w:t>2,236,461</w:t>
            </w:r>
          </w:p>
        </w:tc>
      </w:tr>
      <w:tr w:rsidR="00A26814" w:rsidRPr="001D41EA" w14:paraId="61811EA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4F878ED" w14:textId="77777777" w:rsidR="00A26814" w:rsidRPr="001D41EA" w:rsidRDefault="00A26814" w:rsidP="00A26814">
            <w:pPr>
              <w:spacing w:before="40" w:after="40"/>
              <w:rPr>
                <w:rFonts w:cs="Arial"/>
                <w:sz w:val="18"/>
                <w:szCs w:val="18"/>
              </w:rPr>
            </w:pPr>
            <w:r w:rsidRPr="001D41EA">
              <w:rPr>
                <w:rFonts w:cs="Arial"/>
                <w:sz w:val="18"/>
                <w:szCs w:val="18"/>
              </w:rPr>
              <w:t>Benalla RC</w:t>
            </w:r>
          </w:p>
        </w:tc>
        <w:tc>
          <w:tcPr>
            <w:tcW w:w="1361" w:type="dxa"/>
            <w:tcBorders>
              <w:top w:val="nil"/>
              <w:left w:val="single" w:sz="18" w:space="0" w:color="5F497A" w:themeColor="accent4" w:themeShade="BF"/>
              <w:bottom w:val="nil"/>
              <w:right w:val="nil"/>
            </w:tcBorders>
            <w:shd w:val="clear" w:color="auto" w:fill="auto"/>
            <w:noWrap/>
            <w:vAlign w:val="bottom"/>
          </w:tcPr>
          <w:p w14:paraId="2B440F1D" w14:textId="52B76953" w:rsidR="00A26814" w:rsidRPr="001D41EA" w:rsidRDefault="00A26814" w:rsidP="00A26814">
            <w:pPr>
              <w:spacing w:before="40" w:after="40"/>
              <w:jc w:val="right"/>
              <w:rPr>
                <w:rFonts w:cs="Arial"/>
                <w:sz w:val="18"/>
                <w:szCs w:val="18"/>
              </w:rPr>
            </w:pPr>
            <w:r w:rsidRPr="001D41EA">
              <w:rPr>
                <w:rFonts w:cs="Arial"/>
                <w:sz w:val="18"/>
                <w:szCs w:val="18"/>
              </w:rPr>
              <w:t>26,889,346</w:t>
            </w:r>
          </w:p>
        </w:tc>
        <w:tc>
          <w:tcPr>
            <w:tcW w:w="1361" w:type="dxa"/>
            <w:tcBorders>
              <w:top w:val="nil"/>
              <w:left w:val="nil"/>
              <w:bottom w:val="nil"/>
              <w:right w:val="nil"/>
            </w:tcBorders>
            <w:shd w:val="clear" w:color="auto" w:fill="auto"/>
            <w:noWrap/>
            <w:vAlign w:val="bottom"/>
          </w:tcPr>
          <w:p w14:paraId="6D049E67" w14:textId="615068C5" w:rsidR="00A26814" w:rsidRPr="001D41EA" w:rsidRDefault="00A26814" w:rsidP="00A26814">
            <w:pPr>
              <w:spacing w:before="40" w:after="40"/>
              <w:jc w:val="right"/>
              <w:rPr>
                <w:rFonts w:cs="Arial"/>
                <w:sz w:val="18"/>
                <w:szCs w:val="18"/>
              </w:rPr>
            </w:pPr>
            <w:r w:rsidRPr="001D41EA">
              <w:rPr>
                <w:rFonts w:cs="Arial"/>
                <w:sz w:val="18"/>
                <w:szCs w:val="18"/>
              </w:rPr>
              <w:t>9,742,000</w:t>
            </w:r>
          </w:p>
        </w:tc>
        <w:tc>
          <w:tcPr>
            <w:tcW w:w="1361" w:type="dxa"/>
            <w:tcBorders>
              <w:top w:val="nil"/>
              <w:left w:val="nil"/>
              <w:bottom w:val="nil"/>
              <w:right w:val="nil"/>
            </w:tcBorders>
            <w:vAlign w:val="bottom"/>
          </w:tcPr>
          <w:p w14:paraId="653DD192" w14:textId="64D042AD" w:rsidR="00A26814" w:rsidRPr="001D41EA" w:rsidRDefault="00A26814" w:rsidP="00A26814">
            <w:pPr>
              <w:spacing w:before="40" w:after="40"/>
              <w:jc w:val="right"/>
              <w:rPr>
                <w:rFonts w:cs="Arial"/>
                <w:sz w:val="18"/>
                <w:szCs w:val="18"/>
              </w:rPr>
            </w:pPr>
            <w:r w:rsidRPr="001D41EA">
              <w:rPr>
                <w:rFonts w:cs="Arial"/>
                <w:sz w:val="18"/>
                <w:szCs w:val="18"/>
              </w:rPr>
              <w:t>17,147,346</w:t>
            </w:r>
          </w:p>
        </w:tc>
        <w:tc>
          <w:tcPr>
            <w:tcW w:w="1361" w:type="dxa"/>
            <w:tcBorders>
              <w:top w:val="nil"/>
              <w:left w:val="nil"/>
              <w:bottom w:val="nil"/>
              <w:right w:val="nil"/>
            </w:tcBorders>
            <w:shd w:val="clear" w:color="auto" w:fill="auto"/>
            <w:noWrap/>
            <w:vAlign w:val="bottom"/>
          </w:tcPr>
          <w:p w14:paraId="0F9DCD7F" w14:textId="249AE361" w:rsidR="00A26814" w:rsidRPr="001D41EA" w:rsidRDefault="00A26814" w:rsidP="00A26814">
            <w:pPr>
              <w:spacing w:before="40" w:after="40"/>
              <w:jc w:val="right"/>
              <w:rPr>
                <w:rFonts w:cs="Arial"/>
                <w:sz w:val="18"/>
                <w:szCs w:val="18"/>
              </w:rPr>
            </w:pPr>
            <w:r w:rsidRPr="001D41EA">
              <w:rPr>
                <w:rFonts w:cs="Arial"/>
                <w:sz w:val="18"/>
                <w:szCs w:val="18"/>
              </w:rPr>
              <w:t>2,768,700</w:t>
            </w:r>
          </w:p>
        </w:tc>
        <w:tc>
          <w:tcPr>
            <w:tcW w:w="1361" w:type="dxa"/>
            <w:tcBorders>
              <w:top w:val="nil"/>
              <w:left w:val="nil"/>
              <w:bottom w:val="nil"/>
              <w:right w:val="nil"/>
            </w:tcBorders>
            <w:vAlign w:val="bottom"/>
          </w:tcPr>
          <w:p w14:paraId="33E1337D" w14:textId="6511D5BB" w:rsidR="00A26814" w:rsidRPr="001D41EA" w:rsidRDefault="00A26814" w:rsidP="00A26814">
            <w:pPr>
              <w:spacing w:before="40" w:after="40"/>
              <w:jc w:val="right"/>
              <w:rPr>
                <w:rFonts w:cs="Arial"/>
                <w:b/>
                <w:sz w:val="18"/>
                <w:szCs w:val="18"/>
              </w:rPr>
            </w:pPr>
            <w:r w:rsidRPr="001D41EA">
              <w:rPr>
                <w:rFonts w:cs="Arial"/>
                <w:b/>
                <w:sz w:val="18"/>
                <w:szCs w:val="18"/>
              </w:rPr>
              <w:t>2,767,779</w:t>
            </w:r>
          </w:p>
        </w:tc>
      </w:tr>
      <w:tr w:rsidR="00A26814" w:rsidRPr="001D41EA" w14:paraId="7334DC4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18190C9" w14:textId="77777777" w:rsidR="00A26814" w:rsidRPr="001D41EA" w:rsidRDefault="00A26814" w:rsidP="00A26814">
            <w:pPr>
              <w:spacing w:before="40" w:after="40"/>
              <w:rPr>
                <w:rFonts w:cs="Arial"/>
                <w:sz w:val="18"/>
                <w:szCs w:val="18"/>
              </w:rPr>
            </w:pPr>
            <w:r w:rsidRPr="001D41EA">
              <w:rPr>
                <w:rFonts w:cs="Arial"/>
                <w:sz w:val="18"/>
                <w:szCs w:val="18"/>
              </w:rPr>
              <w:t>Boroondara C</w:t>
            </w:r>
          </w:p>
        </w:tc>
        <w:tc>
          <w:tcPr>
            <w:tcW w:w="1361" w:type="dxa"/>
            <w:tcBorders>
              <w:top w:val="nil"/>
              <w:left w:val="single" w:sz="18" w:space="0" w:color="5F497A" w:themeColor="accent4" w:themeShade="BF"/>
              <w:bottom w:val="nil"/>
              <w:right w:val="nil"/>
            </w:tcBorders>
            <w:shd w:val="clear" w:color="auto" w:fill="auto"/>
            <w:noWrap/>
            <w:vAlign w:val="bottom"/>
          </w:tcPr>
          <w:p w14:paraId="529C37A0" w14:textId="78414A6F" w:rsidR="00A26814" w:rsidRPr="001D41EA" w:rsidRDefault="00A26814" w:rsidP="00A26814">
            <w:pPr>
              <w:spacing w:before="40" w:after="40"/>
              <w:jc w:val="right"/>
              <w:rPr>
                <w:rFonts w:cs="Arial"/>
                <w:sz w:val="18"/>
                <w:szCs w:val="18"/>
              </w:rPr>
            </w:pPr>
            <w:r w:rsidRPr="001D41EA">
              <w:rPr>
                <w:rFonts w:cs="Arial"/>
                <w:sz w:val="18"/>
                <w:szCs w:val="18"/>
              </w:rPr>
              <w:t>179,048,523</w:t>
            </w:r>
          </w:p>
        </w:tc>
        <w:tc>
          <w:tcPr>
            <w:tcW w:w="1361" w:type="dxa"/>
            <w:tcBorders>
              <w:top w:val="nil"/>
              <w:left w:val="nil"/>
              <w:bottom w:val="nil"/>
              <w:right w:val="nil"/>
            </w:tcBorders>
            <w:shd w:val="clear" w:color="auto" w:fill="auto"/>
            <w:noWrap/>
            <w:vAlign w:val="bottom"/>
          </w:tcPr>
          <w:p w14:paraId="4E0ECF57" w14:textId="7BD18CEA" w:rsidR="00A26814" w:rsidRPr="001D41EA" w:rsidRDefault="00A26814" w:rsidP="00A26814">
            <w:pPr>
              <w:spacing w:before="40" w:after="40"/>
              <w:jc w:val="right"/>
              <w:rPr>
                <w:rFonts w:cs="Arial"/>
                <w:sz w:val="18"/>
                <w:szCs w:val="18"/>
              </w:rPr>
            </w:pPr>
            <w:r w:rsidRPr="001D41EA">
              <w:rPr>
                <w:rFonts w:cs="Arial"/>
                <w:sz w:val="18"/>
                <w:szCs w:val="18"/>
              </w:rPr>
              <w:t>268,803,478</w:t>
            </w:r>
          </w:p>
        </w:tc>
        <w:tc>
          <w:tcPr>
            <w:tcW w:w="1361" w:type="dxa"/>
            <w:tcBorders>
              <w:top w:val="nil"/>
              <w:left w:val="nil"/>
              <w:bottom w:val="nil"/>
              <w:right w:val="nil"/>
            </w:tcBorders>
            <w:vAlign w:val="bottom"/>
          </w:tcPr>
          <w:p w14:paraId="29350AC2" w14:textId="3117F24E" w:rsidR="00A26814" w:rsidRPr="001D41EA" w:rsidRDefault="00A26814" w:rsidP="00A26814">
            <w:pPr>
              <w:spacing w:before="40" w:after="40"/>
              <w:jc w:val="right"/>
              <w:rPr>
                <w:rFonts w:cs="Arial"/>
                <w:sz w:val="18"/>
                <w:szCs w:val="18"/>
              </w:rPr>
            </w:pPr>
            <w:r w:rsidRPr="001D41EA">
              <w:rPr>
                <w:rFonts w:cs="Arial"/>
                <w:sz w:val="18"/>
                <w:szCs w:val="18"/>
              </w:rPr>
              <w:t>-89,754,955</w:t>
            </w:r>
          </w:p>
        </w:tc>
        <w:tc>
          <w:tcPr>
            <w:tcW w:w="1361" w:type="dxa"/>
            <w:tcBorders>
              <w:top w:val="nil"/>
              <w:left w:val="nil"/>
              <w:bottom w:val="nil"/>
              <w:right w:val="nil"/>
            </w:tcBorders>
            <w:shd w:val="clear" w:color="auto" w:fill="auto"/>
            <w:noWrap/>
            <w:vAlign w:val="bottom"/>
          </w:tcPr>
          <w:p w14:paraId="72EA7942" w14:textId="7EB77991" w:rsidR="00A26814" w:rsidRPr="001D41EA" w:rsidRDefault="00A26814" w:rsidP="00A26814">
            <w:pPr>
              <w:spacing w:before="40" w:after="40"/>
              <w:jc w:val="right"/>
              <w:rPr>
                <w:rFonts w:cs="Arial"/>
                <w:sz w:val="18"/>
                <w:szCs w:val="18"/>
              </w:rPr>
            </w:pPr>
            <w:r w:rsidRPr="001D41EA">
              <w:rPr>
                <w:rFonts w:cs="Arial"/>
                <w:sz w:val="18"/>
                <w:szCs w:val="18"/>
              </w:rPr>
              <w:t>3,835,163</w:t>
            </w:r>
          </w:p>
        </w:tc>
        <w:tc>
          <w:tcPr>
            <w:tcW w:w="1361" w:type="dxa"/>
            <w:tcBorders>
              <w:top w:val="nil"/>
              <w:left w:val="nil"/>
              <w:bottom w:val="nil"/>
              <w:right w:val="nil"/>
            </w:tcBorders>
            <w:vAlign w:val="bottom"/>
          </w:tcPr>
          <w:p w14:paraId="283ACF71" w14:textId="5FBFAAB5" w:rsidR="00A26814" w:rsidRPr="001D41EA" w:rsidRDefault="00A26814" w:rsidP="00A26814">
            <w:pPr>
              <w:spacing w:before="40" w:after="40"/>
              <w:jc w:val="right"/>
              <w:rPr>
                <w:rFonts w:cs="Arial"/>
                <w:b/>
                <w:sz w:val="18"/>
                <w:szCs w:val="18"/>
              </w:rPr>
            </w:pPr>
            <w:r w:rsidRPr="001D41EA">
              <w:rPr>
                <w:rFonts w:cs="Arial"/>
                <w:b/>
                <w:sz w:val="18"/>
                <w:szCs w:val="18"/>
              </w:rPr>
              <w:t>3,835,163</w:t>
            </w:r>
          </w:p>
        </w:tc>
      </w:tr>
      <w:tr w:rsidR="00A26814" w:rsidRPr="001D41EA" w14:paraId="612D258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DF32213" w14:textId="77777777" w:rsidR="00A26814" w:rsidRPr="001D41EA" w:rsidRDefault="00A26814" w:rsidP="00A26814">
            <w:pPr>
              <w:spacing w:before="40" w:after="40"/>
              <w:rPr>
                <w:rFonts w:cs="Arial"/>
                <w:sz w:val="18"/>
                <w:szCs w:val="18"/>
              </w:rPr>
            </w:pPr>
            <w:r w:rsidRPr="001D41EA">
              <w:rPr>
                <w:rFonts w:cs="Arial"/>
                <w:sz w:val="18"/>
                <w:szCs w:val="18"/>
              </w:rPr>
              <w:t>Brimbank C</w:t>
            </w:r>
          </w:p>
        </w:tc>
        <w:tc>
          <w:tcPr>
            <w:tcW w:w="1361" w:type="dxa"/>
            <w:tcBorders>
              <w:top w:val="nil"/>
              <w:left w:val="single" w:sz="18" w:space="0" w:color="5F497A" w:themeColor="accent4" w:themeShade="BF"/>
              <w:bottom w:val="nil"/>
              <w:right w:val="nil"/>
            </w:tcBorders>
            <w:shd w:val="clear" w:color="auto" w:fill="auto"/>
            <w:noWrap/>
            <w:vAlign w:val="bottom"/>
          </w:tcPr>
          <w:p w14:paraId="036F1909" w14:textId="5704C57B" w:rsidR="00A26814" w:rsidRPr="001D41EA" w:rsidRDefault="00A26814" w:rsidP="00A26814">
            <w:pPr>
              <w:spacing w:before="40" w:after="40"/>
              <w:jc w:val="right"/>
              <w:rPr>
                <w:rFonts w:cs="Arial"/>
                <w:sz w:val="18"/>
                <w:szCs w:val="18"/>
              </w:rPr>
            </w:pPr>
            <w:r w:rsidRPr="001D41EA">
              <w:rPr>
                <w:rFonts w:cs="Arial"/>
                <w:sz w:val="18"/>
                <w:szCs w:val="18"/>
              </w:rPr>
              <w:t>204,260,283</w:t>
            </w:r>
          </w:p>
        </w:tc>
        <w:tc>
          <w:tcPr>
            <w:tcW w:w="1361" w:type="dxa"/>
            <w:tcBorders>
              <w:top w:val="nil"/>
              <w:left w:val="nil"/>
              <w:bottom w:val="nil"/>
              <w:right w:val="nil"/>
            </w:tcBorders>
            <w:shd w:val="clear" w:color="auto" w:fill="auto"/>
            <w:noWrap/>
            <w:vAlign w:val="bottom"/>
          </w:tcPr>
          <w:p w14:paraId="5820117C" w14:textId="6D18F6D1" w:rsidR="00A26814" w:rsidRPr="001D41EA" w:rsidRDefault="00A26814" w:rsidP="00A26814">
            <w:pPr>
              <w:spacing w:before="40" w:after="40"/>
              <w:jc w:val="right"/>
              <w:rPr>
                <w:rFonts w:cs="Arial"/>
                <w:sz w:val="18"/>
                <w:szCs w:val="18"/>
              </w:rPr>
            </w:pPr>
            <w:r w:rsidRPr="001D41EA">
              <w:rPr>
                <w:rFonts w:cs="Arial"/>
                <w:sz w:val="18"/>
                <w:szCs w:val="18"/>
              </w:rPr>
              <w:t>126,827,611</w:t>
            </w:r>
          </w:p>
        </w:tc>
        <w:tc>
          <w:tcPr>
            <w:tcW w:w="1361" w:type="dxa"/>
            <w:tcBorders>
              <w:top w:val="nil"/>
              <w:left w:val="nil"/>
              <w:bottom w:val="nil"/>
              <w:right w:val="nil"/>
            </w:tcBorders>
            <w:vAlign w:val="bottom"/>
          </w:tcPr>
          <w:p w14:paraId="614BAA1F" w14:textId="71C1A8C8" w:rsidR="00A26814" w:rsidRPr="001D41EA" w:rsidRDefault="00A26814" w:rsidP="00A26814">
            <w:pPr>
              <w:spacing w:before="40" w:after="40"/>
              <w:jc w:val="right"/>
              <w:rPr>
                <w:rFonts w:cs="Arial"/>
                <w:sz w:val="18"/>
                <w:szCs w:val="18"/>
              </w:rPr>
            </w:pPr>
            <w:r w:rsidRPr="001D41EA">
              <w:rPr>
                <w:rFonts w:cs="Arial"/>
                <w:sz w:val="18"/>
                <w:szCs w:val="18"/>
              </w:rPr>
              <w:t>77,432,672</w:t>
            </w:r>
          </w:p>
        </w:tc>
        <w:tc>
          <w:tcPr>
            <w:tcW w:w="1361" w:type="dxa"/>
            <w:tcBorders>
              <w:top w:val="nil"/>
              <w:left w:val="nil"/>
              <w:bottom w:val="nil"/>
              <w:right w:val="nil"/>
            </w:tcBorders>
            <w:shd w:val="clear" w:color="auto" w:fill="auto"/>
            <w:noWrap/>
            <w:vAlign w:val="bottom"/>
          </w:tcPr>
          <w:p w14:paraId="2ECA4C91" w14:textId="2D750069" w:rsidR="00A26814" w:rsidRPr="001D41EA" w:rsidRDefault="00A26814" w:rsidP="00A26814">
            <w:pPr>
              <w:spacing w:before="40" w:after="40"/>
              <w:jc w:val="right"/>
              <w:rPr>
                <w:rFonts w:cs="Arial"/>
                <w:sz w:val="18"/>
                <w:szCs w:val="18"/>
              </w:rPr>
            </w:pPr>
            <w:r w:rsidRPr="001D41EA">
              <w:rPr>
                <w:rFonts w:cs="Arial"/>
                <w:sz w:val="18"/>
                <w:szCs w:val="18"/>
              </w:rPr>
              <w:t>12,502,684</w:t>
            </w:r>
          </w:p>
        </w:tc>
        <w:tc>
          <w:tcPr>
            <w:tcW w:w="1361" w:type="dxa"/>
            <w:tcBorders>
              <w:top w:val="nil"/>
              <w:left w:val="nil"/>
              <w:bottom w:val="nil"/>
              <w:right w:val="nil"/>
            </w:tcBorders>
            <w:vAlign w:val="bottom"/>
          </w:tcPr>
          <w:p w14:paraId="21E82055" w14:textId="7C9D8A71" w:rsidR="00A26814" w:rsidRPr="001D41EA" w:rsidRDefault="00A26814" w:rsidP="00A26814">
            <w:pPr>
              <w:spacing w:before="40" w:after="40"/>
              <w:jc w:val="right"/>
              <w:rPr>
                <w:rFonts w:cs="Arial"/>
                <w:b/>
                <w:sz w:val="18"/>
                <w:szCs w:val="18"/>
              </w:rPr>
            </w:pPr>
            <w:r w:rsidRPr="001D41EA">
              <w:rPr>
                <w:rFonts w:cs="Arial"/>
                <w:b/>
                <w:sz w:val="18"/>
                <w:szCs w:val="18"/>
              </w:rPr>
              <w:t>12,498,524</w:t>
            </w:r>
          </w:p>
        </w:tc>
      </w:tr>
      <w:tr w:rsidR="00A26814" w:rsidRPr="001D41EA" w14:paraId="7582C31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C06C022" w14:textId="77777777" w:rsidR="00A26814" w:rsidRPr="001D41EA" w:rsidRDefault="00A26814" w:rsidP="00A26814">
            <w:pPr>
              <w:spacing w:before="40" w:after="40"/>
              <w:rPr>
                <w:rFonts w:cs="Arial"/>
                <w:sz w:val="18"/>
                <w:szCs w:val="18"/>
              </w:rPr>
            </w:pPr>
            <w:r w:rsidRPr="001D41EA">
              <w:rPr>
                <w:rFonts w:cs="Arial"/>
                <w:sz w:val="18"/>
                <w:szCs w:val="18"/>
              </w:rPr>
              <w:t>Buloke S</w:t>
            </w:r>
          </w:p>
        </w:tc>
        <w:tc>
          <w:tcPr>
            <w:tcW w:w="1361" w:type="dxa"/>
            <w:tcBorders>
              <w:top w:val="nil"/>
              <w:left w:val="single" w:sz="18" w:space="0" w:color="5F497A" w:themeColor="accent4" w:themeShade="BF"/>
              <w:bottom w:val="nil"/>
              <w:right w:val="nil"/>
            </w:tcBorders>
            <w:shd w:val="clear" w:color="auto" w:fill="auto"/>
            <w:noWrap/>
            <w:vAlign w:val="bottom"/>
          </w:tcPr>
          <w:p w14:paraId="4A05A261" w14:textId="42D50A23" w:rsidR="00A26814" w:rsidRPr="001D41EA" w:rsidRDefault="00A26814" w:rsidP="00A26814">
            <w:pPr>
              <w:spacing w:before="40" w:after="40"/>
              <w:jc w:val="right"/>
              <w:rPr>
                <w:rFonts w:cs="Arial"/>
                <w:sz w:val="18"/>
                <w:szCs w:val="18"/>
              </w:rPr>
            </w:pPr>
            <w:r w:rsidRPr="001D41EA">
              <w:rPr>
                <w:rFonts w:cs="Arial"/>
                <w:sz w:val="18"/>
                <w:szCs w:val="18"/>
              </w:rPr>
              <w:t>30,042,760</w:t>
            </w:r>
          </w:p>
        </w:tc>
        <w:tc>
          <w:tcPr>
            <w:tcW w:w="1361" w:type="dxa"/>
            <w:tcBorders>
              <w:top w:val="nil"/>
              <w:left w:val="nil"/>
              <w:bottom w:val="nil"/>
              <w:right w:val="nil"/>
            </w:tcBorders>
            <w:shd w:val="clear" w:color="auto" w:fill="auto"/>
            <w:noWrap/>
            <w:vAlign w:val="bottom"/>
          </w:tcPr>
          <w:p w14:paraId="55334EC2" w14:textId="01F2A893" w:rsidR="00A26814" w:rsidRPr="001D41EA" w:rsidRDefault="00A26814" w:rsidP="00A26814">
            <w:pPr>
              <w:spacing w:before="40" w:after="40"/>
              <w:jc w:val="right"/>
              <w:rPr>
                <w:rFonts w:cs="Arial"/>
                <w:sz w:val="18"/>
                <w:szCs w:val="18"/>
              </w:rPr>
            </w:pPr>
            <w:r w:rsidRPr="001D41EA">
              <w:rPr>
                <w:rFonts w:cs="Arial"/>
                <w:sz w:val="18"/>
                <w:szCs w:val="18"/>
              </w:rPr>
              <w:t>4,583,484</w:t>
            </w:r>
          </w:p>
        </w:tc>
        <w:tc>
          <w:tcPr>
            <w:tcW w:w="1361" w:type="dxa"/>
            <w:tcBorders>
              <w:top w:val="nil"/>
              <w:left w:val="nil"/>
              <w:bottom w:val="nil"/>
              <w:right w:val="nil"/>
            </w:tcBorders>
            <w:vAlign w:val="bottom"/>
          </w:tcPr>
          <w:p w14:paraId="2C615B6B" w14:textId="5539CA4C" w:rsidR="00A26814" w:rsidRPr="001D41EA" w:rsidRDefault="00A26814" w:rsidP="00A26814">
            <w:pPr>
              <w:spacing w:before="40" w:after="40"/>
              <w:jc w:val="right"/>
              <w:rPr>
                <w:rFonts w:cs="Arial"/>
                <w:sz w:val="18"/>
                <w:szCs w:val="18"/>
              </w:rPr>
            </w:pPr>
            <w:r w:rsidRPr="001D41EA">
              <w:rPr>
                <w:rFonts w:cs="Arial"/>
                <w:sz w:val="18"/>
                <w:szCs w:val="18"/>
              </w:rPr>
              <w:t>25,459,275</w:t>
            </w:r>
          </w:p>
        </w:tc>
        <w:tc>
          <w:tcPr>
            <w:tcW w:w="1361" w:type="dxa"/>
            <w:tcBorders>
              <w:top w:val="nil"/>
              <w:left w:val="nil"/>
              <w:bottom w:val="nil"/>
              <w:right w:val="nil"/>
            </w:tcBorders>
            <w:shd w:val="clear" w:color="auto" w:fill="auto"/>
            <w:noWrap/>
            <w:vAlign w:val="bottom"/>
          </w:tcPr>
          <w:p w14:paraId="2DFCE3C6" w14:textId="2512969C" w:rsidR="00A26814" w:rsidRPr="001D41EA" w:rsidRDefault="00A26814" w:rsidP="00A26814">
            <w:pPr>
              <w:spacing w:before="40" w:after="40"/>
              <w:jc w:val="right"/>
              <w:rPr>
                <w:rFonts w:cs="Arial"/>
                <w:sz w:val="18"/>
                <w:szCs w:val="18"/>
              </w:rPr>
            </w:pPr>
            <w:r w:rsidRPr="001D41EA">
              <w:rPr>
                <w:rFonts w:cs="Arial"/>
                <w:sz w:val="18"/>
                <w:szCs w:val="18"/>
              </w:rPr>
              <w:t>4,110,788</w:t>
            </w:r>
          </w:p>
        </w:tc>
        <w:tc>
          <w:tcPr>
            <w:tcW w:w="1361" w:type="dxa"/>
            <w:tcBorders>
              <w:top w:val="nil"/>
              <w:left w:val="nil"/>
              <w:bottom w:val="nil"/>
              <w:right w:val="nil"/>
            </w:tcBorders>
            <w:vAlign w:val="bottom"/>
          </w:tcPr>
          <w:p w14:paraId="59BAFCD8" w14:textId="5528B6B6" w:rsidR="00A26814" w:rsidRPr="001D41EA" w:rsidRDefault="00A26814" w:rsidP="00A26814">
            <w:pPr>
              <w:spacing w:before="40" w:after="40"/>
              <w:jc w:val="right"/>
              <w:rPr>
                <w:rFonts w:cs="Arial"/>
                <w:b/>
                <w:sz w:val="18"/>
                <w:szCs w:val="18"/>
              </w:rPr>
            </w:pPr>
            <w:r w:rsidRPr="001D41EA">
              <w:rPr>
                <w:rFonts w:cs="Arial"/>
                <w:b/>
                <w:sz w:val="18"/>
                <w:szCs w:val="18"/>
              </w:rPr>
              <w:t>4,109,420</w:t>
            </w:r>
          </w:p>
        </w:tc>
      </w:tr>
      <w:tr w:rsidR="00A26814" w:rsidRPr="001D41EA" w14:paraId="06905FE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483DE71" w14:textId="77777777" w:rsidR="00A26814" w:rsidRPr="001D41EA" w:rsidRDefault="00A26814" w:rsidP="00A26814">
            <w:pPr>
              <w:spacing w:before="40" w:after="40"/>
              <w:rPr>
                <w:rFonts w:cs="Arial"/>
                <w:sz w:val="18"/>
                <w:szCs w:val="18"/>
              </w:rPr>
            </w:pPr>
            <w:r w:rsidRPr="001D41EA">
              <w:rPr>
                <w:rFonts w:cs="Arial"/>
                <w:sz w:val="18"/>
                <w:szCs w:val="18"/>
              </w:rPr>
              <w:t>Campaspe S</w:t>
            </w:r>
          </w:p>
        </w:tc>
        <w:tc>
          <w:tcPr>
            <w:tcW w:w="1361" w:type="dxa"/>
            <w:tcBorders>
              <w:top w:val="nil"/>
              <w:left w:val="single" w:sz="18" w:space="0" w:color="5F497A" w:themeColor="accent4" w:themeShade="BF"/>
              <w:bottom w:val="nil"/>
              <w:right w:val="nil"/>
            </w:tcBorders>
            <w:shd w:val="clear" w:color="auto" w:fill="auto"/>
            <w:noWrap/>
            <w:vAlign w:val="bottom"/>
          </w:tcPr>
          <w:p w14:paraId="41F963CD" w14:textId="15F64E5E" w:rsidR="00A26814" w:rsidRPr="001D41EA" w:rsidRDefault="00A26814" w:rsidP="00A26814">
            <w:pPr>
              <w:spacing w:before="40" w:after="40"/>
              <w:jc w:val="right"/>
              <w:rPr>
                <w:rFonts w:cs="Arial"/>
                <w:sz w:val="18"/>
                <w:szCs w:val="18"/>
              </w:rPr>
            </w:pPr>
            <w:r w:rsidRPr="001D41EA">
              <w:rPr>
                <w:rFonts w:cs="Arial"/>
                <w:sz w:val="18"/>
                <w:szCs w:val="18"/>
              </w:rPr>
              <w:t>74,649,756</w:t>
            </w:r>
          </w:p>
        </w:tc>
        <w:tc>
          <w:tcPr>
            <w:tcW w:w="1361" w:type="dxa"/>
            <w:tcBorders>
              <w:top w:val="nil"/>
              <w:left w:val="nil"/>
              <w:bottom w:val="nil"/>
              <w:right w:val="nil"/>
            </w:tcBorders>
            <w:shd w:val="clear" w:color="auto" w:fill="auto"/>
            <w:noWrap/>
            <w:vAlign w:val="bottom"/>
          </w:tcPr>
          <w:p w14:paraId="177685A5" w14:textId="2529355B" w:rsidR="00A26814" w:rsidRPr="001D41EA" w:rsidRDefault="00A26814" w:rsidP="00A26814">
            <w:pPr>
              <w:spacing w:before="40" w:after="40"/>
              <w:jc w:val="right"/>
              <w:rPr>
                <w:rFonts w:cs="Arial"/>
                <w:sz w:val="18"/>
                <w:szCs w:val="18"/>
              </w:rPr>
            </w:pPr>
            <w:r w:rsidRPr="001D41EA">
              <w:rPr>
                <w:rFonts w:cs="Arial"/>
                <w:sz w:val="18"/>
                <w:szCs w:val="18"/>
              </w:rPr>
              <w:t>25,270,768</w:t>
            </w:r>
          </w:p>
        </w:tc>
        <w:tc>
          <w:tcPr>
            <w:tcW w:w="1361" w:type="dxa"/>
            <w:tcBorders>
              <w:top w:val="nil"/>
              <w:left w:val="nil"/>
              <w:bottom w:val="nil"/>
              <w:right w:val="nil"/>
            </w:tcBorders>
            <w:vAlign w:val="bottom"/>
          </w:tcPr>
          <w:p w14:paraId="38F1BA12" w14:textId="38F0A94B" w:rsidR="00A26814" w:rsidRPr="001D41EA" w:rsidRDefault="00A26814" w:rsidP="00A26814">
            <w:pPr>
              <w:spacing w:before="40" w:after="40"/>
              <w:jc w:val="right"/>
              <w:rPr>
                <w:rFonts w:cs="Arial"/>
                <w:sz w:val="18"/>
                <w:szCs w:val="18"/>
              </w:rPr>
            </w:pPr>
            <w:r w:rsidRPr="001D41EA">
              <w:rPr>
                <w:rFonts w:cs="Arial"/>
                <w:sz w:val="18"/>
                <w:szCs w:val="18"/>
              </w:rPr>
              <w:t>49,378,988</w:t>
            </w:r>
          </w:p>
        </w:tc>
        <w:tc>
          <w:tcPr>
            <w:tcW w:w="1361" w:type="dxa"/>
            <w:tcBorders>
              <w:top w:val="nil"/>
              <w:left w:val="nil"/>
              <w:bottom w:val="nil"/>
              <w:right w:val="nil"/>
            </w:tcBorders>
            <w:shd w:val="clear" w:color="auto" w:fill="auto"/>
            <w:noWrap/>
            <w:vAlign w:val="bottom"/>
          </w:tcPr>
          <w:p w14:paraId="2C7C280C" w14:textId="039B75CC" w:rsidR="00A26814" w:rsidRPr="001D41EA" w:rsidRDefault="00A26814" w:rsidP="00A26814">
            <w:pPr>
              <w:spacing w:before="40" w:after="40"/>
              <w:jc w:val="right"/>
              <w:rPr>
                <w:rFonts w:cs="Arial"/>
                <w:sz w:val="18"/>
                <w:szCs w:val="18"/>
              </w:rPr>
            </w:pPr>
            <w:r w:rsidRPr="001D41EA">
              <w:rPr>
                <w:rFonts w:cs="Arial"/>
                <w:sz w:val="18"/>
                <w:szCs w:val="18"/>
              </w:rPr>
              <w:t>7,972,990</w:t>
            </w:r>
          </w:p>
        </w:tc>
        <w:tc>
          <w:tcPr>
            <w:tcW w:w="1361" w:type="dxa"/>
            <w:tcBorders>
              <w:top w:val="nil"/>
              <w:left w:val="nil"/>
              <w:bottom w:val="nil"/>
              <w:right w:val="nil"/>
            </w:tcBorders>
            <w:vAlign w:val="bottom"/>
          </w:tcPr>
          <w:p w14:paraId="3219103A" w14:textId="7E02B486" w:rsidR="00A26814" w:rsidRPr="001D41EA" w:rsidRDefault="00A26814" w:rsidP="00A26814">
            <w:pPr>
              <w:spacing w:before="40" w:after="40"/>
              <w:jc w:val="right"/>
              <w:rPr>
                <w:rFonts w:cs="Arial"/>
                <w:b/>
                <w:sz w:val="18"/>
                <w:szCs w:val="18"/>
              </w:rPr>
            </w:pPr>
            <w:r w:rsidRPr="001D41EA">
              <w:rPr>
                <w:rFonts w:cs="Arial"/>
                <w:b/>
                <w:sz w:val="18"/>
                <w:szCs w:val="18"/>
              </w:rPr>
              <w:t>7,970,336</w:t>
            </w:r>
          </w:p>
        </w:tc>
      </w:tr>
      <w:tr w:rsidR="00A26814" w:rsidRPr="001D41EA" w14:paraId="36FF7F0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BBD05A6" w14:textId="77777777" w:rsidR="00A26814" w:rsidRPr="001D41EA" w:rsidRDefault="00A26814" w:rsidP="00A26814">
            <w:pPr>
              <w:spacing w:before="40" w:after="40"/>
              <w:rPr>
                <w:rFonts w:cs="Arial"/>
                <w:sz w:val="18"/>
                <w:szCs w:val="18"/>
              </w:rPr>
            </w:pPr>
            <w:r w:rsidRPr="001D41EA">
              <w:rPr>
                <w:rFonts w:cs="Arial"/>
                <w:sz w:val="18"/>
                <w:szCs w:val="18"/>
              </w:rPr>
              <w:t>Cardinia S</w:t>
            </w:r>
          </w:p>
        </w:tc>
        <w:tc>
          <w:tcPr>
            <w:tcW w:w="1361" w:type="dxa"/>
            <w:tcBorders>
              <w:top w:val="nil"/>
              <w:left w:val="single" w:sz="18" w:space="0" w:color="5F497A" w:themeColor="accent4" w:themeShade="BF"/>
              <w:bottom w:val="nil"/>
              <w:right w:val="nil"/>
            </w:tcBorders>
            <w:shd w:val="clear" w:color="auto" w:fill="auto"/>
            <w:noWrap/>
            <w:vAlign w:val="bottom"/>
          </w:tcPr>
          <w:p w14:paraId="4D8EA97D" w14:textId="48D47955" w:rsidR="00A26814" w:rsidRPr="001D41EA" w:rsidRDefault="00A26814" w:rsidP="00A26814">
            <w:pPr>
              <w:spacing w:before="40" w:after="40"/>
              <w:jc w:val="right"/>
              <w:rPr>
                <w:rFonts w:cs="Arial"/>
                <w:sz w:val="18"/>
                <w:szCs w:val="18"/>
              </w:rPr>
            </w:pPr>
            <w:r w:rsidRPr="001D41EA">
              <w:rPr>
                <w:rFonts w:cs="Arial"/>
                <w:sz w:val="18"/>
                <w:szCs w:val="18"/>
              </w:rPr>
              <w:t>125,020,482</w:t>
            </w:r>
          </w:p>
        </w:tc>
        <w:tc>
          <w:tcPr>
            <w:tcW w:w="1361" w:type="dxa"/>
            <w:tcBorders>
              <w:top w:val="nil"/>
              <w:left w:val="nil"/>
              <w:bottom w:val="nil"/>
              <w:right w:val="nil"/>
            </w:tcBorders>
            <w:shd w:val="clear" w:color="auto" w:fill="auto"/>
            <w:noWrap/>
            <w:vAlign w:val="bottom"/>
          </w:tcPr>
          <w:p w14:paraId="750907BC" w14:textId="1A3F8713" w:rsidR="00A26814" w:rsidRPr="001D41EA" w:rsidRDefault="00A26814" w:rsidP="00A26814">
            <w:pPr>
              <w:spacing w:before="40" w:after="40"/>
              <w:jc w:val="right"/>
              <w:rPr>
                <w:rFonts w:cs="Arial"/>
                <w:sz w:val="18"/>
                <w:szCs w:val="18"/>
              </w:rPr>
            </w:pPr>
            <w:r w:rsidRPr="001D41EA">
              <w:rPr>
                <w:rFonts w:cs="Arial"/>
                <w:sz w:val="18"/>
                <w:szCs w:val="18"/>
              </w:rPr>
              <w:t>67,739,159</w:t>
            </w:r>
          </w:p>
        </w:tc>
        <w:tc>
          <w:tcPr>
            <w:tcW w:w="1361" w:type="dxa"/>
            <w:tcBorders>
              <w:top w:val="nil"/>
              <w:left w:val="nil"/>
              <w:bottom w:val="nil"/>
              <w:right w:val="nil"/>
            </w:tcBorders>
            <w:vAlign w:val="bottom"/>
          </w:tcPr>
          <w:p w14:paraId="767AA3A4" w14:textId="122DAB89" w:rsidR="00A26814" w:rsidRPr="001D41EA" w:rsidRDefault="00A26814" w:rsidP="00A26814">
            <w:pPr>
              <w:spacing w:before="40" w:after="40"/>
              <w:jc w:val="right"/>
              <w:rPr>
                <w:rFonts w:cs="Arial"/>
                <w:sz w:val="18"/>
                <w:szCs w:val="18"/>
              </w:rPr>
            </w:pPr>
            <w:r w:rsidRPr="001D41EA">
              <w:rPr>
                <w:rFonts w:cs="Arial"/>
                <w:sz w:val="18"/>
                <w:szCs w:val="18"/>
              </w:rPr>
              <w:t>57,281,324</w:t>
            </w:r>
          </w:p>
        </w:tc>
        <w:tc>
          <w:tcPr>
            <w:tcW w:w="1361" w:type="dxa"/>
            <w:tcBorders>
              <w:top w:val="nil"/>
              <w:left w:val="nil"/>
              <w:bottom w:val="nil"/>
              <w:right w:val="nil"/>
            </w:tcBorders>
            <w:shd w:val="clear" w:color="auto" w:fill="auto"/>
            <w:noWrap/>
            <w:vAlign w:val="bottom"/>
          </w:tcPr>
          <w:p w14:paraId="59E4BD98" w14:textId="7D1A731E" w:rsidR="00A26814" w:rsidRPr="001D41EA" w:rsidRDefault="00A26814" w:rsidP="00A26814">
            <w:pPr>
              <w:spacing w:before="40" w:after="40"/>
              <w:jc w:val="right"/>
              <w:rPr>
                <w:rFonts w:cs="Arial"/>
                <w:sz w:val="18"/>
                <w:szCs w:val="18"/>
              </w:rPr>
            </w:pPr>
            <w:r w:rsidRPr="001D41EA">
              <w:rPr>
                <w:rFonts w:cs="Arial"/>
                <w:sz w:val="18"/>
                <w:szCs w:val="18"/>
              </w:rPr>
              <w:t>9,248,942</w:t>
            </w:r>
          </w:p>
        </w:tc>
        <w:tc>
          <w:tcPr>
            <w:tcW w:w="1361" w:type="dxa"/>
            <w:tcBorders>
              <w:top w:val="nil"/>
              <w:left w:val="nil"/>
              <w:bottom w:val="nil"/>
              <w:right w:val="nil"/>
            </w:tcBorders>
            <w:vAlign w:val="bottom"/>
          </w:tcPr>
          <w:p w14:paraId="374A432A" w14:textId="7ABF499E" w:rsidR="00A26814" w:rsidRPr="001D41EA" w:rsidRDefault="00A26814" w:rsidP="00A26814">
            <w:pPr>
              <w:spacing w:before="40" w:after="40"/>
              <w:jc w:val="right"/>
              <w:rPr>
                <w:rFonts w:cs="Arial"/>
                <w:b/>
                <w:sz w:val="18"/>
                <w:szCs w:val="18"/>
              </w:rPr>
            </w:pPr>
            <w:r w:rsidRPr="001D41EA">
              <w:rPr>
                <w:rFonts w:cs="Arial"/>
                <w:b/>
                <w:sz w:val="18"/>
                <w:szCs w:val="18"/>
              </w:rPr>
              <w:t>9,245,864</w:t>
            </w:r>
          </w:p>
        </w:tc>
      </w:tr>
      <w:tr w:rsidR="00A26814" w:rsidRPr="001D41EA" w14:paraId="1A1B10D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2B8B7B7" w14:textId="77777777" w:rsidR="00A26814" w:rsidRPr="001D41EA" w:rsidRDefault="00A26814" w:rsidP="00A26814">
            <w:pPr>
              <w:spacing w:before="40" w:after="40"/>
              <w:rPr>
                <w:rFonts w:cs="Arial"/>
                <w:sz w:val="18"/>
                <w:szCs w:val="18"/>
              </w:rPr>
            </w:pPr>
            <w:r w:rsidRPr="001D41EA">
              <w:rPr>
                <w:rFonts w:cs="Arial"/>
                <w:sz w:val="18"/>
                <w:szCs w:val="18"/>
              </w:rPr>
              <w:t>Casey C</w:t>
            </w:r>
          </w:p>
        </w:tc>
        <w:tc>
          <w:tcPr>
            <w:tcW w:w="1361" w:type="dxa"/>
            <w:tcBorders>
              <w:top w:val="nil"/>
              <w:left w:val="single" w:sz="18" w:space="0" w:color="5F497A" w:themeColor="accent4" w:themeShade="BF"/>
              <w:bottom w:val="nil"/>
              <w:right w:val="nil"/>
            </w:tcBorders>
            <w:shd w:val="clear" w:color="auto" w:fill="auto"/>
            <w:noWrap/>
            <w:vAlign w:val="bottom"/>
          </w:tcPr>
          <w:p w14:paraId="036C933E" w14:textId="17783F31" w:rsidR="00A26814" w:rsidRPr="001D41EA" w:rsidRDefault="00A26814" w:rsidP="00A26814">
            <w:pPr>
              <w:spacing w:before="40" w:after="40"/>
              <w:jc w:val="right"/>
              <w:rPr>
                <w:rFonts w:cs="Arial"/>
                <w:sz w:val="18"/>
                <w:szCs w:val="18"/>
              </w:rPr>
            </w:pPr>
            <w:r w:rsidRPr="001D41EA">
              <w:rPr>
                <w:rFonts w:cs="Arial"/>
                <w:sz w:val="18"/>
                <w:szCs w:val="18"/>
              </w:rPr>
              <w:t>306,552,716</w:t>
            </w:r>
          </w:p>
        </w:tc>
        <w:tc>
          <w:tcPr>
            <w:tcW w:w="1361" w:type="dxa"/>
            <w:tcBorders>
              <w:top w:val="nil"/>
              <w:left w:val="nil"/>
              <w:bottom w:val="nil"/>
              <w:right w:val="nil"/>
            </w:tcBorders>
            <w:shd w:val="clear" w:color="auto" w:fill="auto"/>
            <w:noWrap/>
            <w:vAlign w:val="bottom"/>
          </w:tcPr>
          <w:p w14:paraId="775967FF" w14:textId="7B1CF9F6" w:rsidR="00A26814" w:rsidRPr="001D41EA" w:rsidRDefault="00A26814" w:rsidP="00A26814">
            <w:pPr>
              <w:spacing w:before="40" w:after="40"/>
              <w:jc w:val="right"/>
              <w:rPr>
                <w:rFonts w:cs="Arial"/>
                <w:sz w:val="18"/>
                <w:szCs w:val="18"/>
              </w:rPr>
            </w:pPr>
            <w:r w:rsidRPr="001D41EA">
              <w:rPr>
                <w:rFonts w:cs="Arial"/>
                <w:sz w:val="18"/>
                <w:szCs w:val="18"/>
              </w:rPr>
              <w:t>194,840,327</w:t>
            </w:r>
          </w:p>
        </w:tc>
        <w:tc>
          <w:tcPr>
            <w:tcW w:w="1361" w:type="dxa"/>
            <w:tcBorders>
              <w:top w:val="nil"/>
              <w:left w:val="nil"/>
              <w:bottom w:val="nil"/>
              <w:right w:val="nil"/>
            </w:tcBorders>
            <w:vAlign w:val="bottom"/>
          </w:tcPr>
          <w:p w14:paraId="3BF7947E" w14:textId="21AE574B" w:rsidR="00A26814" w:rsidRPr="001D41EA" w:rsidRDefault="00A26814" w:rsidP="00A26814">
            <w:pPr>
              <w:spacing w:before="40" w:after="40"/>
              <w:jc w:val="right"/>
              <w:rPr>
                <w:rFonts w:cs="Arial"/>
                <w:sz w:val="18"/>
                <w:szCs w:val="18"/>
              </w:rPr>
            </w:pPr>
            <w:r w:rsidRPr="001D41EA">
              <w:rPr>
                <w:rFonts w:cs="Arial"/>
                <w:sz w:val="18"/>
                <w:szCs w:val="18"/>
              </w:rPr>
              <w:t>111,712,389</w:t>
            </w:r>
          </w:p>
        </w:tc>
        <w:tc>
          <w:tcPr>
            <w:tcW w:w="1361" w:type="dxa"/>
            <w:tcBorders>
              <w:top w:val="nil"/>
              <w:left w:val="nil"/>
              <w:bottom w:val="nil"/>
              <w:right w:val="nil"/>
            </w:tcBorders>
            <w:shd w:val="clear" w:color="auto" w:fill="auto"/>
            <w:noWrap/>
            <w:vAlign w:val="bottom"/>
          </w:tcPr>
          <w:p w14:paraId="240881DD" w14:textId="385794B7" w:rsidR="00A26814" w:rsidRPr="001D41EA" w:rsidRDefault="00A26814" w:rsidP="00A26814">
            <w:pPr>
              <w:spacing w:before="40" w:after="40"/>
              <w:jc w:val="right"/>
              <w:rPr>
                <w:rFonts w:cs="Arial"/>
                <w:sz w:val="18"/>
                <w:szCs w:val="18"/>
              </w:rPr>
            </w:pPr>
            <w:r w:rsidRPr="001D41EA">
              <w:rPr>
                <w:rFonts w:cs="Arial"/>
                <w:sz w:val="18"/>
                <w:szCs w:val="18"/>
              </w:rPr>
              <w:t>18,037,667</w:t>
            </w:r>
          </w:p>
        </w:tc>
        <w:tc>
          <w:tcPr>
            <w:tcW w:w="1361" w:type="dxa"/>
            <w:tcBorders>
              <w:top w:val="nil"/>
              <w:left w:val="nil"/>
              <w:bottom w:val="nil"/>
              <w:right w:val="nil"/>
            </w:tcBorders>
            <w:vAlign w:val="bottom"/>
          </w:tcPr>
          <w:p w14:paraId="756AB7D3" w14:textId="12F0FA5D" w:rsidR="00A26814" w:rsidRPr="001D41EA" w:rsidRDefault="00A26814" w:rsidP="00A26814">
            <w:pPr>
              <w:spacing w:before="40" w:after="40"/>
              <w:jc w:val="right"/>
              <w:rPr>
                <w:rFonts w:cs="Arial"/>
                <w:b/>
                <w:sz w:val="18"/>
                <w:szCs w:val="18"/>
              </w:rPr>
            </w:pPr>
            <w:r w:rsidRPr="001D41EA">
              <w:rPr>
                <w:rFonts w:cs="Arial"/>
                <w:b/>
                <w:sz w:val="18"/>
                <w:szCs w:val="18"/>
              </w:rPr>
              <w:t>18,031,664</w:t>
            </w:r>
          </w:p>
        </w:tc>
      </w:tr>
      <w:tr w:rsidR="00A26814" w:rsidRPr="001D41EA" w14:paraId="276272A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B62C7D4" w14:textId="77777777" w:rsidR="00A26814" w:rsidRPr="001D41EA" w:rsidRDefault="00A26814" w:rsidP="00A26814">
            <w:pPr>
              <w:spacing w:before="40" w:after="40"/>
              <w:rPr>
                <w:rFonts w:cs="Arial"/>
                <w:sz w:val="18"/>
                <w:szCs w:val="18"/>
              </w:rPr>
            </w:pPr>
            <w:r w:rsidRPr="001D41EA">
              <w:rPr>
                <w:rFonts w:cs="Arial"/>
                <w:sz w:val="18"/>
                <w:szCs w:val="18"/>
              </w:rPr>
              <w:t>Central Goldfields S</w:t>
            </w:r>
          </w:p>
        </w:tc>
        <w:tc>
          <w:tcPr>
            <w:tcW w:w="1361" w:type="dxa"/>
            <w:tcBorders>
              <w:top w:val="nil"/>
              <w:left w:val="single" w:sz="18" w:space="0" w:color="5F497A" w:themeColor="accent4" w:themeShade="BF"/>
              <w:bottom w:val="nil"/>
              <w:right w:val="nil"/>
            </w:tcBorders>
            <w:shd w:val="clear" w:color="auto" w:fill="auto"/>
            <w:noWrap/>
            <w:vAlign w:val="bottom"/>
          </w:tcPr>
          <w:p w14:paraId="3798C5D1" w14:textId="41C17902" w:rsidR="00A26814" w:rsidRPr="001D41EA" w:rsidRDefault="00A26814" w:rsidP="00A26814">
            <w:pPr>
              <w:spacing w:before="40" w:after="40"/>
              <w:jc w:val="right"/>
              <w:rPr>
                <w:rFonts w:cs="Arial"/>
                <w:sz w:val="18"/>
                <w:szCs w:val="18"/>
              </w:rPr>
            </w:pPr>
            <w:r w:rsidRPr="001D41EA">
              <w:rPr>
                <w:rFonts w:cs="Arial"/>
                <w:sz w:val="18"/>
                <w:szCs w:val="18"/>
              </w:rPr>
              <w:t>24,800,262</w:t>
            </w:r>
          </w:p>
        </w:tc>
        <w:tc>
          <w:tcPr>
            <w:tcW w:w="1361" w:type="dxa"/>
            <w:tcBorders>
              <w:top w:val="nil"/>
              <w:left w:val="nil"/>
              <w:bottom w:val="nil"/>
              <w:right w:val="nil"/>
            </w:tcBorders>
            <w:shd w:val="clear" w:color="auto" w:fill="auto"/>
            <w:noWrap/>
            <w:vAlign w:val="bottom"/>
          </w:tcPr>
          <w:p w14:paraId="7AE9A66F" w14:textId="364C168C" w:rsidR="00A26814" w:rsidRPr="001D41EA" w:rsidRDefault="00A26814" w:rsidP="00A26814">
            <w:pPr>
              <w:spacing w:before="40" w:after="40"/>
              <w:jc w:val="right"/>
              <w:rPr>
                <w:rFonts w:cs="Arial"/>
                <w:sz w:val="18"/>
                <w:szCs w:val="18"/>
              </w:rPr>
            </w:pPr>
            <w:r w:rsidRPr="001D41EA">
              <w:rPr>
                <w:rFonts w:cs="Arial"/>
                <w:sz w:val="18"/>
                <w:szCs w:val="18"/>
              </w:rPr>
              <w:t>6,913,722</w:t>
            </w:r>
          </w:p>
        </w:tc>
        <w:tc>
          <w:tcPr>
            <w:tcW w:w="1361" w:type="dxa"/>
            <w:tcBorders>
              <w:top w:val="nil"/>
              <w:left w:val="nil"/>
              <w:bottom w:val="nil"/>
              <w:right w:val="nil"/>
            </w:tcBorders>
            <w:vAlign w:val="bottom"/>
          </w:tcPr>
          <w:p w14:paraId="70A2E369" w14:textId="2009C404" w:rsidR="00A26814" w:rsidRPr="001D41EA" w:rsidRDefault="00A26814" w:rsidP="00A26814">
            <w:pPr>
              <w:spacing w:before="40" w:after="40"/>
              <w:jc w:val="right"/>
              <w:rPr>
                <w:rFonts w:cs="Arial"/>
                <w:sz w:val="18"/>
                <w:szCs w:val="18"/>
              </w:rPr>
            </w:pPr>
            <w:r w:rsidRPr="001D41EA">
              <w:rPr>
                <w:rFonts w:cs="Arial"/>
                <w:sz w:val="18"/>
                <w:szCs w:val="18"/>
              </w:rPr>
              <w:t>17,886,540</w:t>
            </w:r>
          </w:p>
        </w:tc>
        <w:tc>
          <w:tcPr>
            <w:tcW w:w="1361" w:type="dxa"/>
            <w:tcBorders>
              <w:top w:val="nil"/>
              <w:left w:val="nil"/>
              <w:bottom w:val="nil"/>
              <w:right w:val="nil"/>
            </w:tcBorders>
            <w:shd w:val="clear" w:color="auto" w:fill="auto"/>
            <w:noWrap/>
            <w:vAlign w:val="bottom"/>
          </w:tcPr>
          <w:p w14:paraId="33FB3359" w14:textId="31B1880C" w:rsidR="00A26814" w:rsidRPr="001D41EA" w:rsidRDefault="00A26814" w:rsidP="00A26814">
            <w:pPr>
              <w:spacing w:before="40" w:after="40"/>
              <w:jc w:val="right"/>
              <w:rPr>
                <w:rFonts w:cs="Arial"/>
                <w:sz w:val="18"/>
                <w:szCs w:val="18"/>
              </w:rPr>
            </w:pPr>
            <w:r w:rsidRPr="001D41EA">
              <w:rPr>
                <w:rFonts w:cs="Arial"/>
                <w:sz w:val="18"/>
                <w:szCs w:val="18"/>
              </w:rPr>
              <w:t>2,888,054</w:t>
            </w:r>
          </w:p>
        </w:tc>
        <w:tc>
          <w:tcPr>
            <w:tcW w:w="1361" w:type="dxa"/>
            <w:tcBorders>
              <w:top w:val="nil"/>
              <w:left w:val="nil"/>
              <w:bottom w:val="nil"/>
              <w:right w:val="nil"/>
            </w:tcBorders>
            <w:vAlign w:val="bottom"/>
          </w:tcPr>
          <w:p w14:paraId="46EDAF14" w14:textId="02BD0FDA" w:rsidR="00A26814" w:rsidRPr="001D41EA" w:rsidRDefault="00A26814" w:rsidP="00A26814">
            <w:pPr>
              <w:spacing w:before="40" w:after="40"/>
              <w:jc w:val="right"/>
              <w:rPr>
                <w:rFonts w:cs="Arial"/>
                <w:b/>
                <w:sz w:val="18"/>
                <w:szCs w:val="18"/>
              </w:rPr>
            </w:pPr>
            <w:r w:rsidRPr="001D41EA">
              <w:rPr>
                <w:rFonts w:cs="Arial"/>
                <w:b/>
                <w:sz w:val="18"/>
                <w:szCs w:val="18"/>
              </w:rPr>
              <w:t>2,887,093</w:t>
            </w:r>
          </w:p>
        </w:tc>
      </w:tr>
      <w:tr w:rsidR="00A26814" w:rsidRPr="001D41EA" w14:paraId="33BFF8B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6D42E3C" w14:textId="77777777" w:rsidR="00A26814" w:rsidRPr="001D41EA" w:rsidRDefault="00A26814" w:rsidP="00A26814">
            <w:pPr>
              <w:spacing w:before="40" w:after="40"/>
              <w:rPr>
                <w:rFonts w:cs="Arial"/>
                <w:sz w:val="18"/>
                <w:szCs w:val="18"/>
              </w:rPr>
            </w:pPr>
            <w:r w:rsidRPr="001D41EA">
              <w:rPr>
                <w:rFonts w:cs="Arial"/>
                <w:sz w:val="18"/>
                <w:szCs w:val="18"/>
              </w:rPr>
              <w:t>Colac Otway S</w:t>
            </w:r>
          </w:p>
        </w:tc>
        <w:tc>
          <w:tcPr>
            <w:tcW w:w="1361" w:type="dxa"/>
            <w:tcBorders>
              <w:top w:val="nil"/>
              <w:left w:val="single" w:sz="18" w:space="0" w:color="5F497A" w:themeColor="accent4" w:themeShade="BF"/>
              <w:bottom w:val="nil"/>
              <w:right w:val="nil"/>
            </w:tcBorders>
            <w:shd w:val="clear" w:color="auto" w:fill="auto"/>
            <w:noWrap/>
            <w:vAlign w:val="bottom"/>
          </w:tcPr>
          <w:p w14:paraId="14FE5990" w14:textId="2A15C95B" w:rsidR="00A26814" w:rsidRPr="001D41EA" w:rsidRDefault="00A26814" w:rsidP="00A26814">
            <w:pPr>
              <w:spacing w:before="40" w:after="40"/>
              <w:jc w:val="right"/>
              <w:rPr>
                <w:rFonts w:cs="Arial"/>
                <w:sz w:val="18"/>
                <w:szCs w:val="18"/>
              </w:rPr>
            </w:pPr>
            <w:r w:rsidRPr="001D41EA">
              <w:rPr>
                <w:rFonts w:cs="Arial"/>
                <w:sz w:val="18"/>
                <w:szCs w:val="18"/>
              </w:rPr>
              <w:t>47,305,154</w:t>
            </w:r>
          </w:p>
        </w:tc>
        <w:tc>
          <w:tcPr>
            <w:tcW w:w="1361" w:type="dxa"/>
            <w:tcBorders>
              <w:top w:val="nil"/>
              <w:left w:val="nil"/>
              <w:bottom w:val="nil"/>
              <w:right w:val="nil"/>
            </w:tcBorders>
            <w:shd w:val="clear" w:color="auto" w:fill="auto"/>
            <w:noWrap/>
            <w:vAlign w:val="bottom"/>
          </w:tcPr>
          <w:p w14:paraId="7CBEB1C4" w14:textId="20DA7384" w:rsidR="00A26814" w:rsidRPr="001D41EA" w:rsidRDefault="00A26814" w:rsidP="00A26814">
            <w:pPr>
              <w:spacing w:before="40" w:after="40"/>
              <w:jc w:val="right"/>
              <w:rPr>
                <w:rFonts w:cs="Arial"/>
                <w:sz w:val="18"/>
                <w:szCs w:val="18"/>
              </w:rPr>
            </w:pPr>
            <w:r w:rsidRPr="001D41EA">
              <w:rPr>
                <w:rFonts w:cs="Arial"/>
                <w:sz w:val="18"/>
                <w:szCs w:val="18"/>
              </w:rPr>
              <w:t>20,989,229</w:t>
            </w:r>
          </w:p>
        </w:tc>
        <w:tc>
          <w:tcPr>
            <w:tcW w:w="1361" w:type="dxa"/>
            <w:tcBorders>
              <w:top w:val="nil"/>
              <w:left w:val="nil"/>
              <w:bottom w:val="nil"/>
              <w:right w:val="nil"/>
            </w:tcBorders>
            <w:vAlign w:val="bottom"/>
          </w:tcPr>
          <w:p w14:paraId="3AB69ED8" w14:textId="778E560F" w:rsidR="00A26814" w:rsidRPr="001D41EA" w:rsidRDefault="00A26814" w:rsidP="00A26814">
            <w:pPr>
              <w:spacing w:before="40" w:after="40"/>
              <w:jc w:val="right"/>
              <w:rPr>
                <w:rFonts w:cs="Arial"/>
                <w:sz w:val="18"/>
                <w:szCs w:val="18"/>
              </w:rPr>
            </w:pPr>
            <w:r w:rsidRPr="001D41EA">
              <w:rPr>
                <w:rFonts w:cs="Arial"/>
                <w:sz w:val="18"/>
                <w:szCs w:val="18"/>
              </w:rPr>
              <w:t>26,315,925</w:t>
            </w:r>
          </w:p>
        </w:tc>
        <w:tc>
          <w:tcPr>
            <w:tcW w:w="1361" w:type="dxa"/>
            <w:tcBorders>
              <w:top w:val="nil"/>
              <w:left w:val="nil"/>
              <w:bottom w:val="nil"/>
              <w:right w:val="nil"/>
            </w:tcBorders>
            <w:shd w:val="clear" w:color="auto" w:fill="auto"/>
            <w:noWrap/>
            <w:vAlign w:val="bottom"/>
          </w:tcPr>
          <w:p w14:paraId="0AF89B04" w14:textId="2A8865C0" w:rsidR="00A26814" w:rsidRPr="001D41EA" w:rsidRDefault="00A26814" w:rsidP="00A26814">
            <w:pPr>
              <w:spacing w:before="40" w:after="40"/>
              <w:jc w:val="right"/>
              <w:rPr>
                <w:rFonts w:cs="Arial"/>
                <w:sz w:val="18"/>
                <w:szCs w:val="18"/>
              </w:rPr>
            </w:pPr>
            <w:r w:rsidRPr="001D41EA">
              <w:rPr>
                <w:rFonts w:cs="Arial"/>
                <w:sz w:val="18"/>
                <w:szCs w:val="18"/>
              </w:rPr>
              <w:t>4,249,107</w:t>
            </w:r>
          </w:p>
        </w:tc>
        <w:tc>
          <w:tcPr>
            <w:tcW w:w="1361" w:type="dxa"/>
            <w:tcBorders>
              <w:top w:val="nil"/>
              <w:left w:val="nil"/>
              <w:bottom w:val="nil"/>
              <w:right w:val="nil"/>
            </w:tcBorders>
            <w:vAlign w:val="bottom"/>
          </w:tcPr>
          <w:p w14:paraId="7E5F940F" w14:textId="4DB44A98" w:rsidR="00A26814" w:rsidRPr="001D41EA" w:rsidRDefault="00A26814" w:rsidP="00A26814">
            <w:pPr>
              <w:spacing w:before="40" w:after="40"/>
              <w:jc w:val="right"/>
              <w:rPr>
                <w:rFonts w:cs="Arial"/>
                <w:b/>
                <w:sz w:val="18"/>
                <w:szCs w:val="18"/>
              </w:rPr>
            </w:pPr>
            <w:r w:rsidRPr="001D41EA">
              <w:rPr>
                <w:rFonts w:cs="Arial"/>
                <w:b/>
                <w:sz w:val="18"/>
                <w:szCs w:val="18"/>
              </w:rPr>
              <w:t>4,247,693</w:t>
            </w:r>
          </w:p>
        </w:tc>
      </w:tr>
      <w:tr w:rsidR="00A26814" w:rsidRPr="001D41EA" w14:paraId="1875247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6B5424B" w14:textId="77777777" w:rsidR="00A26814" w:rsidRPr="001D41EA" w:rsidRDefault="00A26814" w:rsidP="00A26814">
            <w:pPr>
              <w:spacing w:before="40" w:after="40"/>
              <w:rPr>
                <w:rFonts w:cs="Arial"/>
                <w:sz w:val="18"/>
                <w:szCs w:val="18"/>
              </w:rPr>
            </w:pPr>
            <w:r w:rsidRPr="001D41EA">
              <w:rPr>
                <w:rFonts w:cs="Arial"/>
                <w:sz w:val="18"/>
                <w:szCs w:val="18"/>
              </w:rPr>
              <w:t>Corangamite S</w:t>
            </w:r>
          </w:p>
        </w:tc>
        <w:tc>
          <w:tcPr>
            <w:tcW w:w="1361" w:type="dxa"/>
            <w:tcBorders>
              <w:top w:val="nil"/>
              <w:left w:val="single" w:sz="18" w:space="0" w:color="5F497A" w:themeColor="accent4" w:themeShade="BF"/>
              <w:bottom w:val="nil"/>
              <w:right w:val="nil"/>
            </w:tcBorders>
            <w:shd w:val="clear" w:color="auto" w:fill="auto"/>
            <w:noWrap/>
            <w:vAlign w:val="bottom"/>
          </w:tcPr>
          <w:p w14:paraId="52BD31D4" w14:textId="189E8CE0" w:rsidR="00A26814" w:rsidRPr="001D41EA" w:rsidRDefault="00A26814" w:rsidP="00A26814">
            <w:pPr>
              <w:spacing w:before="40" w:after="40"/>
              <w:jc w:val="right"/>
              <w:rPr>
                <w:rFonts w:cs="Arial"/>
                <w:sz w:val="18"/>
                <w:szCs w:val="18"/>
              </w:rPr>
            </w:pPr>
            <w:r w:rsidRPr="001D41EA">
              <w:rPr>
                <w:rFonts w:cs="Arial"/>
                <w:sz w:val="18"/>
                <w:szCs w:val="18"/>
              </w:rPr>
              <w:t>45,152,017</w:t>
            </w:r>
          </w:p>
        </w:tc>
        <w:tc>
          <w:tcPr>
            <w:tcW w:w="1361" w:type="dxa"/>
            <w:tcBorders>
              <w:top w:val="nil"/>
              <w:left w:val="nil"/>
              <w:bottom w:val="nil"/>
              <w:right w:val="nil"/>
            </w:tcBorders>
            <w:shd w:val="clear" w:color="auto" w:fill="auto"/>
            <w:noWrap/>
            <w:vAlign w:val="bottom"/>
          </w:tcPr>
          <w:p w14:paraId="3F2D7226" w14:textId="158F372F" w:rsidR="00A26814" w:rsidRPr="001D41EA" w:rsidRDefault="00A26814" w:rsidP="00A26814">
            <w:pPr>
              <w:spacing w:before="40" w:after="40"/>
              <w:jc w:val="right"/>
              <w:rPr>
                <w:rFonts w:cs="Arial"/>
                <w:sz w:val="18"/>
                <w:szCs w:val="18"/>
              </w:rPr>
            </w:pPr>
            <w:r w:rsidRPr="001D41EA">
              <w:rPr>
                <w:rFonts w:cs="Arial"/>
                <w:sz w:val="18"/>
                <w:szCs w:val="18"/>
              </w:rPr>
              <w:t>16,256,345</w:t>
            </w:r>
          </w:p>
        </w:tc>
        <w:tc>
          <w:tcPr>
            <w:tcW w:w="1361" w:type="dxa"/>
            <w:tcBorders>
              <w:top w:val="nil"/>
              <w:left w:val="nil"/>
              <w:bottom w:val="nil"/>
              <w:right w:val="nil"/>
            </w:tcBorders>
            <w:vAlign w:val="bottom"/>
          </w:tcPr>
          <w:p w14:paraId="4D80F75E" w14:textId="3244B654" w:rsidR="00A26814" w:rsidRPr="001D41EA" w:rsidRDefault="00A26814" w:rsidP="00A26814">
            <w:pPr>
              <w:spacing w:before="40" w:after="40"/>
              <w:jc w:val="right"/>
              <w:rPr>
                <w:rFonts w:cs="Arial"/>
                <w:sz w:val="18"/>
                <w:szCs w:val="18"/>
              </w:rPr>
            </w:pPr>
            <w:r w:rsidRPr="001D41EA">
              <w:rPr>
                <w:rFonts w:cs="Arial"/>
                <w:sz w:val="18"/>
                <w:szCs w:val="18"/>
              </w:rPr>
              <w:t>28,895,673</w:t>
            </w:r>
          </w:p>
        </w:tc>
        <w:tc>
          <w:tcPr>
            <w:tcW w:w="1361" w:type="dxa"/>
            <w:tcBorders>
              <w:top w:val="nil"/>
              <w:left w:val="nil"/>
              <w:bottom w:val="nil"/>
              <w:right w:val="nil"/>
            </w:tcBorders>
            <w:shd w:val="clear" w:color="auto" w:fill="auto"/>
            <w:noWrap/>
            <w:vAlign w:val="bottom"/>
          </w:tcPr>
          <w:p w14:paraId="679EA9A3" w14:textId="11138D75" w:rsidR="00A26814" w:rsidRPr="001D41EA" w:rsidRDefault="00A26814" w:rsidP="00A26814">
            <w:pPr>
              <w:spacing w:before="40" w:after="40"/>
              <w:jc w:val="right"/>
              <w:rPr>
                <w:rFonts w:cs="Arial"/>
                <w:sz w:val="18"/>
                <w:szCs w:val="18"/>
              </w:rPr>
            </w:pPr>
            <w:r w:rsidRPr="001D41EA">
              <w:rPr>
                <w:rFonts w:cs="Arial"/>
                <w:sz w:val="18"/>
                <w:szCs w:val="18"/>
              </w:rPr>
              <w:t>4,665,647</w:t>
            </w:r>
          </w:p>
        </w:tc>
        <w:tc>
          <w:tcPr>
            <w:tcW w:w="1361" w:type="dxa"/>
            <w:tcBorders>
              <w:top w:val="nil"/>
              <w:left w:val="nil"/>
              <w:bottom w:val="nil"/>
              <w:right w:val="nil"/>
            </w:tcBorders>
            <w:vAlign w:val="bottom"/>
          </w:tcPr>
          <w:p w14:paraId="4CDEBFE9" w14:textId="36268C49" w:rsidR="00A26814" w:rsidRPr="001D41EA" w:rsidRDefault="00A26814" w:rsidP="00A26814">
            <w:pPr>
              <w:spacing w:before="40" w:after="40"/>
              <w:jc w:val="right"/>
              <w:rPr>
                <w:rFonts w:cs="Arial"/>
                <w:b/>
                <w:sz w:val="18"/>
                <w:szCs w:val="18"/>
              </w:rPr>
            </w:pPr>
            <w:r w:rsidRPr="001D41EA">
              <w:rPr>
                <w:rFonts w:cs="Arial"/>
                <w:b/>
                <w:sz w:val="18"/>
                <w:szCs w:val="18"/>
              </w:rPr>
              <w:t>4,664,094</w:t>
            </w:r>
          </w:p>
        </w:tc>
      </w:tr>
      <w:tr w:rsidR="00A26814" w:rsidRPr="001D41EA" w14:paraId="624E6965"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10596E4" w14:textId="77777777" w:rsidR="00A26814" w:rsidRPr="001D41EA" w:rsidRDefault="00A26814" w:rsidP="00A26814">
            <w:pPr>
              <w:spacing w:before="40" w:after="40"/>
              <w:rPr>
                <w:rFonts w:cs="Arial"/>
                <w:sz w:val="18"/>
                <w:szCs w:val="18"/>
              </w:rPr>
            </w:pPr>
            <w:r w:rsidRPr="001D41EA">
              <w:rPr>
                <w:rFonts w:cs="Arial"/>
                <w:sz w:val="18"/>
                <w:szCs w:val="18"/>
              </w:rPr>
              <w:t>Darebin C</w:t>
            </w:r>
          </w:p>
        </w:tc>
        <w:tc>
          <w:tcPr>
            <w:tcW w:w="1361" w:type="dxa"/>
            <w:tcBorders>
              <w:top w:val="nil"/>
              <w:left w:val="single" w:sz="18" w:space="0" w:color="5F497A" w:themeColor="accent4" w:themeShade="BF"/>
              <w:bottom w:val="nil"/>
              <w:right w:val="nil"/>
            </w:tcBorders>
            <w:shd w:val="clear" w:color="auto" w:fill="auto"/>
            <w:noWrap/>
            <w:vAlign w:val="bottom"/>
          </w:tcPr>
          <w:p w14:paraId="2E7A8D9C" w14:textId="7FE08AA2" w:rsidR="00A26814" w:rsidRPr="001D41EA" w:rsidRDefault="00A26814" w:rsidP="00A26814">
            <w:pPr>
              <w:spacing w:before="40" w:after="40"/>
              <w:jc w:val="right"/>
              <w:rPr>
                <w:rFonts w:cs="Arial"/>
                <w:sz w:val="18"/>
                <w:szCs w:val="18"/>
              </w:rPr>
            </w:pPr>
            <w:r w:rsidRPr="001D41EA">
              <w:rPr>
                <w:rFonts w:cs="Arial"/>
                <w:sz w:val="18"/>
                <w:szCs w:val="18"/>
              </w:rPr>
              <w:t>159,665,337</w:t>
            </w:r>
          </w:p>
        </w:tc>
        <w:tc>
          <w:tcPr>
            <w:tcW w:w="1361" w:type="dxa"/>
            <w:tcBorders>
              <w:top w:val="nil"/>
              <w:left w:val="nil"/>
              <w:bottom w:val="nil"/>
              <w:right w:val="nil"/>
            </w:tcBorders>
            <w:shd w:val="clear" w:color="auto" w:fill="auto"/>
            <w:noWrap/>
            <w:vAlign w:val="bottom"/>
          </w:tcPr>
          <w:p w14:paraId="2E9758EA" w14:textId="643358F1" w:rsidR="00A26814" w:rsidRPr="001D41EA" w:rsidRDefault="00A26814" w:rsidP="00A26814">
            <w:pPr>
              <w:spacing w:before="40" w:after="40"/>
              <w:jc w:val="right"/>
              <w:rPr>
                <w:rFonts w:cs="Arial"/>
                <w:sz w:val="18"/>
                <w:szCs w:val="18"/>
              </w:rPr>
            </w:pPr>
            <w:r w:rsidRPr="001D41EA">
              <w:rPr>
                <w:rFonts w:cs="Arial"/>
                <w:sz w:val="18"/>
                <w:szCs w:val="18"/>
              </w:rPr>
              <w:t>144,051,870</w:t>
            </w:r>
          </w:p>
        </w:tc>
        <w:tc>
          <w:tcPr>
            <w:tcW w:w="1361" w:type="dxa"/>
            <w:tcBorders>
              <w:top w:val="nil"/>
              <w:left w:val="nil"/>
              <w:bottom w:val="nil"/>
              <w:right w:val="nil"/>
            </w:tcBorders>
            <w:vAlign w:val="bottom"/>
          </w:tcPr>
          <w:p w14:paraId="7F3AC82B" w14:textId="20E80B91" w:rsidR="00A26814" w:rsidRPr="001D41EA" w:rsidRDefault="00A26814" w:rsidP="00A26814">
            <w:pPr>
              <w:spacing w:before="40" w:after="40"/>
              <w:jc w:val="right"/>
              <w:rPr>
                <w:rFonts w:cs="Arial"/>
                <w:sz w:val="18"/>
                <w:szCs w:val="18"/>
              </w:rPr>
            </w:pPr>
            <w:r w:rsidRPr="001D41EA">
              <w:rPr>
                <w:rFonts w:cs="Arial"/>
                <w:sz w:val="18"/>
                <w:szCs w:val="18"/>
              </w:rPr>
              <w:t>15,613,466</w:t>
            </w:r>
          </w:p>
        </w:tc>
        <w:tc>
          <w:tcPr>
            <w:tcW w:w="1361" w:type="dxa"/>
            <w:tcBorders>
              <w:top w:val="nil"/>
              <w:left w:val="nil"/>
              <w:bottom w:val="nil"/>
              <w:right w:val="nil"/>
            </w:tcBorders>
            <w:shd w:val="clear" w:color="auto" w:fill="auto"/>
            <w:noWrap/>
            <w:vAlign w:val="bottom"/>
          </w:tcPr>
          <w:p w14:paraId="0D1E1E8C" w14:textId="01107061" w:rsidR="00A26814" w:rsidRPr="001D41EA" w:rsidRDefault="00A26814" w:rsidP="00A26814">
            <w:pPr>
              <w:spacing w:before="40" w:after="40"/>
              <w:jc w:val="right"/>
              <w:rPr>
                <w:rFonts w:cs="Arial"/>
                <w:sz w:val="18"/>
                <w:szCs w:val="18"/>
              </w:rPr>
            </w:pPr>
            <w:r w:rsidRPr="001D41EA">
              <w:rPr>
                <w:rFonts w:cs="Arial"/>
                <w:sz w:val="18"/>
                <w:szCs w:val="18"/>
              </w:rPr>
              <w:t>3,418,833</w:t>
            </w:r>
          </w:p>
        </w:tc>
        <w:tc>
          <w:tcPr>
            <w:tcW w:w="1361" w:type="dxa"/>
            <w:tcBorders>
              <w:top w:val="nil"/>
              <w:left w:val="nil"/>
              <w:bottom w:val="nil"/>
              <w:right w:val="nil"/>
            </w:tcBorders>
            <w:vAlign w:val="bottom"/>
          </w:tcPr>
          <w:p w14:paraId="57869D53" w14:textId="6EB3DD47" w:rsidR="00A26814" w:rsidRPr="001D41EA" w:rsidRDefault="00A26814" w:rsidP="00A26814">
            <w:pPr>
              <w:spacing w:before="40" w:after="40"/>
              <w:jc w:val="right"/>
              <w:rPr>
                <w:rFonts w:cs="Arial"/>
                <w:b/>
                <w:sz w:val="18"/>
                <w:szCs w:val="18"/>
              </w:rPr>
            </w:pPr>
            <w:r w:rsidRPr="001D41EA">
              <w:rPr>
                <w:rFonts w:cs="Arial"/>
                <w:b/>
                <w:sz w:val="18"/>
                <w:szCs w:val="18"/>
              </w:rPr>
              <w:t>3,418,833</w:t>
            </w:r>
          </w:p>
        </w:tc>
      </w:tr>
      <w:tr w:rsidR="00A26814" w:rsidRPr="001D41EA" w14:paraId="6E48563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52E2546" w14:textId="77777777" w:rsidR="00A26814" w:rsidRPr="001D41EA" w:rsidRDefault="00A26814" w:rsidP="00A26814">
            <w:pPr>
              <w:spacing w:before="40" w:after="40"/>
              <w:rPr>
                <w:rFonts w:cs="Arial"/>
                <w:sz w:val="18"/>
                <w:szCs w:val="18"/>
              </w:rPr>
            </w:pPr>
            <w:r w:rsidRPr="001D41EA">
              <w:rPr>
                <w:rFonts w:cs="Arial"/>
                <w:sz w:val="18"/>
                <w:szCs w:val="18"/>
              </w:rPr>
              <w:t>East Gippsland S</w:t>
            </w:r>
          </w:p>
        </w:tc>
        <w:tc>
          <w:tcPr>
            <w:tcW w:w="1361" w:type="dxa"/>
            <w:tcBorders>
              <w:top w:val="nil"/>
              <w:left w:val="single" w:sz="18" w:space="0" w:color="5F497A" w:themeColor="accent4" w:themeShade="BF"/>
              <w:bottom w:val="nil"/>
              <w:right w:val="nil"/>
            </w:tcBorders>
            <w:shd w:val="clear" w:color="auto" w:fill="auto"/>
            <w:noWrap/>
            <w:vAlign w:val="bottom"/>
          </w:tcPr>
          <w:p w14:paraId="0658E99E" w14:textId="053CD4CC" w:rsidR="00A26814" w:rsidRPr="001D41EA" w:rsidRDefault="00A26814" w:rsidP="00A26814">
            <w:pPr>
              <w:spacing w:before="40" w:after="40"/>
              <w:jc w:val="right"/>
              <w:rPr>
                <w:rFonts w:cs="Arial"/>
                <w:sz w:val="18"/>
                <w:szCs w:val="18"/>
              </w:rPr>
            </w:pPr>
            <w:r w:rsidRPr="001D41EA">
              <w:rPr>
                <w:rFonts w:cs="Arial"/>
                <w:sz w:val="18"/>
                <w:szCs w:val="18"/>
              </w:rPr>
              <w:t>101,910,262</w:t>
            </w:r>
          </w:p>
        </w:tc>
        <w:tc>
          <w:tcPr>
            <w:tcW w:w="1361" w:type="dxa"/>
            <w:tcBorders>
              <w:top w:val="nil"/>
              <w:left w:val="nil"/>
              <w:bottom w:val="nil"/>
              <w:right w:val="nil"/>
            </w:tcBorders>
            <w:shd w:val="clear" w:color="auto" w:fill="auto"/>
            <w:noWrap/>
            <w:vAlign w:val="bottom"/>
          </w:tcPr>
          <w:p w14:paraId="1C06F731" w14:textId="09BC59A0" w:rsidR="00A26814" w:rsidRPr="001D41EA" w:rsidRDefault="00A26814" w:rsidP="00A26814">
            <w:pPr>
              <w:spacing w:before="40" w:after="40"/>
              <w:jc w:val="right"/>
              <w:rPr>
                <w:rFonts w:cs="Arial"/>
                <w:sz w:val="18"/>
                <w:szCs w:val="18"/>
              </w:rPr>
            </w:pPr>
            <w:r w:rsidRPr="001D41EA">
              <w:rPr>
                <w:rFonts w:cs="Arial"/>
                <w:sz w:val="18"/>
                <w:szCs w:val="18"/>
              </w:rPr>
              <w:t>34,560,851</w:t>
            </w:r>
          </w:p>
        </w:tc>
        <w:tc>
          <w:tcPr>
            <w:tcW w:w="1361" w:type="dxa"/>
            <w:tcBorders>
              <w:top w:val="nil"/>
              <w:left w:val="nil"/>
              <w:bottom w:val="nil"/>
              <w:right w:val="nil"/>
            </w:tcBorders>
            <w:vAlign w:val="bottom"/>
          </w:tcPr>
          <w:p w14:paraId="5245CD65" w14:textId="19C6F57E" w:rsidR="00A26814" w:rsidRPr="001D41EA" w:rsidRDefault="00A26814" w:rsidP="00A26814">
            <w:pPr>
              <w:spacing w:before="40" w:after="40"/>
              <w:jc w:val="right"/>
              <w:rPr>
                <w:rFonts w:cs="Arial"/>
                <w:sz w:val="18"/>
                <w:szCs w:val="18"/>
              </w:rPr>
            </w:pPr>
            <w:r w:rsidRPr="001D41EA">
              <w:rPr>
                <w:rFonts w:cs="Arial"/>
                <w:sz w:val="18"/>
                <w:szCs w:val="18"/>
              </w:rPr>
              <w:t>67,349,410</w:t>
            </w:r>
          </w:p>
        </w:tc>
        <w:tc>
          <w:tcPr>
            <w:tcW w:w="1361" w:type="dxa"/>
            <w:tcBorders>
              <w:top w:val="nil"/>
              <w:left w:val="nil"/>
              <w:bottom w:val="nil"/>
              <w:right w:val="nil"/>
            </w:tcBorders>
            <w:shd w:val="clear" w:color="auto" w:fill="auto"/>
            <w:noWrap/>
            <w:vAlign w:val="bottom"/>
          </w:tcPr>
          <w:p w14:paraId="5AE5772D" w14:textId="00C49641" w:rsidR="00A26814" w:rsidRPr="001D41EA" w:rsidRDefault="00A26814" w:rsidP="00A26814">
            <w:pPr>
              <w:spacing w:before="40" w:after="40"/>
              <w:jc w:val="right"/>
              <w:rPr>
                <w:rFonts w:cs="Arial"/>
                <w:sz w:val="18"/>
                <w:szCs w:val="18"/>
              </w:rPr>
            </w:pPr>
            <w:r w:rsidRPr="001D41EA">
              <w:rPr>
                <w:rFonts w:cs="Arial"/>
                <w:sz w:val="18"/>
                <w:szCs w:val="18"/>
              </w:rPr>
              <w:t>10,874,588</w:t>
            </w:r>
          </w:p>
        </w:tc>
        <w:tc>
          <w:tcPr>
            <w:tcW w:w="1361" w:type="dxa"/>
            <w:tcBorders>
              <w:top w:val="nil"/>
              <w:left w:val="nil"/>
              <w:bottom w:val="nil"/>
              <w:right w:val="nil"/>
            </w:tcBorders>
            <w:vAlign w:val="bottom"/>
          </w:tcPr>
          <w:p w14:paraId="3019F13C" w14:textId="10C4E6ED" w:rsidR="00A26814" w:rsidRPr="001D41EA" w:rsidRDefault="00A26814" w:rsidP="00A26814">
            <w:pPr>
              <w:spacing w:before="40" w:after="40"/>
              <w:jc w:val="right"/>
              <w:rPr>
                <w:rFonts w:cs="Arial"/>
                <w:b/>
                <w:sz w:val="18"/>
                <w:szCs w:val="18"/>
              </w:rPr>
            </w:pPr>
            <w:r w:rsidRPr="001D41EA">
              <w:rPr>
                <w:rFonts w:cs="Arial"/>
                <w:b/>
                <w:sz w:val="18"/>
                <w:szCs w:val="18"/>
              </w:rPr>
              <w:t>10,870,969</w:t>
            </w:r>
          </w:p>
        </w:tc>
      </w:tr>
      <w:tr w:rsidR="00A26814" w:rsidRPr="001D41EA" w14:paraId="751230C2"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821ABB7" w14:textId="77777777" w:rsidR="00A26814" w:rsidRPr="001D41EA" w:rsidRDefault="00A26814" w:rsidP="00A26814">
            <w:pPr>
              <w:spacing w:before="40" w:after="40"/>
              <w:rPr>
                <w:rFonts w:cs="Arial"/>
                <w:sz w:val="18"/>
                <w:szCs w:val="18"/>
              </w:rPr>
            </w:pPr>
            <w:r w:rsidRPr="001D41EA">
              <w:rPr>
                <w:rFonts w:cs="Arial"/>
                <w:sz w:val="18"/>
                <w:szCs w:val="18"/>
              </w:rPr>
              <w:t>Frankston C</w:t>
            </w:r>
          </w:p>
        </w:tc>
        <w:tc>
          <w:tcPr>
            <w:tcW w:w="1361" w:type="dxa"/>
            <w:tcBorders>
              <w:top w:val="nil"/>
              <w:left w:val="single" w:sz="18" w:space="0" w:color="5F497A" w:themeColor="accent4" w:themeShade="BF"/>
              <w:bottom w:val="nil"/>
              <w:right w:val="nil"/>
            </w:tcBorders>
            <w:shd w:val="clear" w:color="auto" w:fill="auto"/>
            <w:noWrap/>
            <w:vAlign w:val="bottom"/>
          </w:tcPr>
          <w:p w14:paraId="6EC57CFF" w14:textId="6CDBC51F" w:rsidR="00A26814" w:rsidRPr="001D41EA" w:rsidRDefault="00A26814" w:rsidP="00A26814">
            <w:pPr>
              <w:spacing w:before="40" w:after="40"/>
              <w:jc w:val="right"/>
              <w:rPr>
                <w:rFonts w:cs="Arial"/>
                <w:sz w:val="18"/>
                <w:szCs w:val="18"/>
              </w:rPr>
            </w:pPr>
            <w:r w:rsidRPr="001D41EA">
              <w:rPr>
                <w:rFonts w:cs="Arial"/>
                <w:sz w:val="18"/>
                <w:szCs w:val="18"/>
              </w:rPr>
              <w:t>140,795,142</w:t>
            </w:r>
          </w:p>
        </w:tc>
        <w:tc>
          <w:tcPr>
            <w:tcW w:w="1361" w:type="dxa"/>
            <w:tcBorders>
              <w:top w:val="nil"/>
              <w:left w:val="nil"/>
              <w:bottom w:val="nil"/>
              <w:right w:val="nil"/>
            </w:tcBorders>
            <w:shd w:val="clear" w:color="auto" w:fill="auto"/>
            <w:noWrap/>
            <w:vAlign w:val="bottom"/>
          </w:tcPr>
          <w:p w14:paraId="29592398" w14:textId="4626365A" w:rsidR="00A26814" w:rsidRPr="001D41EA" w:rsidRDefault="00A26814" w:rsidP="00A26814">
            <w:pPr>
              <w:spacing w:before="40" w:after="40"/>
              <w:jc w:val="right"/>
              <w:rPr>
                <w:rFonts w:cs="Arial"/>
                <w:sz w:val="18"/>
                <w:szCs w:val="18"/>
              </w:rPr>
            </w:pPr>
            <w:r w:rsidRPr="001D41EA">
              <w:rPr>
                <w:rFonts w:cs="Arial"/>
                <w:sz w:val="18"/>
                <w:szCs w:val="18"/>
              </w:rPr>
              <w:t>95,134,467</w:t>
            </w:r>
          </w:p>
        </w:tc>
        <w:tc>
          <w:tcPr>
            <w:tcW w:w="1361" w:type="dxa"/>
            <w:tcBorders>
              <w:top w:val="nil"/>
              <w:left w:val="nil"/>
              <w:bottom w:val="nil"/>
              <w:right w:val="nil"/>
            </w:tcBorders>
            <w:vAlign w:val="bottom"/>
          </w:tcPr>
          <w:p w14:paraId="5BB759DB" w14:textId="42FFF522" w:rsidR="00A26814" w:rsidRPr="001D41EA" w:rsidRDefault="00A26814" w:rsidP="00A26814">
            <w:pPr>
              <w:spacing w:before="40" w:after="40"/>
              <w:jc w:val="right"/>
              <w:rPr>
                <w:rFonts w:cs="Arial"/>
                <w:sz w:val="18"/>
                <w:szCs w:val="18"/>
              </w:rPr>
            </w:pPr>
            <w:r w:rsidRPr="001D41EA">
              <w:rPr>
                <w:rFonts w:cs="Arial"/>
                <w:sz w:val="18"/>
                <w:szCs w:val="18"/>
              </w:rPr>
              <w:t>45,660,675</w:t>
            </w:r>
          </w:p>
        </w:tc>
        <w:tc>
          <w:tcPr>
            <w:tcW w:w="1361" w:type="dxa"/>
            <w:tcBorders>
              <w:top w:val="nil"/>
              <w:left w:val="nil"/>
              <w:bottom w:val="nil"/>
              <w:right w:val="nil"/>
            </w:tcBorders>
            <w:shd w:val="clear" w:color="auto" w:fill="auto"/>
            <w:noWrap/>
            <w:vAlign w:val="bottom"/>
          </w:tcPr>
          <w:p w14:paraId="23FF0605" w14:textId="706BFC67" w:rsidR="00A26814" w:rsidRPr="001D41EA" w:rsidRDefault="00A26814" w:rsidP="00A26814">
            <w:pPr>
              <w:spacing w:before="40" w:after="40"/>
              <w:jc w:val="right"/>
              <w:rPr>
                <w:rFonts w:cs="Arial"/>
                <w:sz w:val="18"/>
                <w:szCs w:val="18"/>
              </w:rPr>
            </w:pPr>
            <w:r w:rsidRPr="001D41EA">
              <w:rPr>
                <w:rFonts w:cs="Arial"/>
                <w:sz w:val="18"/>
                <w:szCs w:val="18"/>
              </w:rPr>
              <w:t>7,372,612</w:t>
            </w:r>
          </w:p>
        </w:tc>
        <w:tc>
          <w:tcPr>
            <w:tcW w:w="1361" w:type="dxa"/>
            <w:tcBorders>
              <w:top w:val="nil"/>
              <w:left w:val="nil"/>
              <w:bottom w:val="nil"/>
              <w:right w:val="nil"/>
            </w:tcBorders>
            <w:vAlign w:val="bottom"/>
          </w:tcPr>
          <w:p w14:paraId="0996B108" w14:textId="79BF0090" w:rsidR="00A26814" w:rsidRPr="001D41EA" w:rsidRDefault="00A26814" w:rsidP="00A26814">
            <w:pPr>
              <w:spacing w:before="40" w:after="40"/>
              <w:jc w:val="right"/>
              <w:rPr>
                <w:rFonts w:cs="Arial"/>
                <w:b/>
                <w:sz w:val="18"/>
                <w:szCs w:val="18"/>
              </w:rPr>
            </w:pPr>
            <w:r w:rsidRPr="001D41EA">
              <w:rPr>
                <w:rFonts w:cs="Arial"/>
                <w:b/>
                <w:sz w:val="18"/>
                <w:szCs w:val="18"/>
              </w:rPr>
              <w:t>7,370,158</w:t>
            </w:r>
          </w:p>
        </w:tc>
      </w:tr>
      <w:tr w:rsidR="00A26814" w:rsidRPr="001D41EA" w14:paraId="7A8B410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5E56CCC" w14:textId="77777777" w:rsidR="00A26814" w:rsidRPr="001D41EA" w:rsidRDefault="00A26814" w:rsidP="00A26814">
            <w:pPr>
              <w:spacing w:before="40" w:after="40"/>
              <w:rPr>
                <w:rFonts w:cs="Arial"/>
                <w:sz w:val="18"/>
                <w:szCs w:val="18"/>
              </w:rPr>
            </w:pPr>
            <w:r w:rsidRPr="001D41EA">
              <w:rPr>
                <w:rFonts w:cs="Arial"/>
                <w:sz w:val="18"/>
                <w:szCs w:val="18"/>
              </w:rPr>
              <w:t>Gannawarra S</w:t>
            </w:r>
          </w:p>
        </w:tc>
        <w:tc>
          <w:tcPr>
            <w:tcW w:w="1361" w:type="dxa"/>
            <w:tcBorders>
              <w:top w:val="nil"/>
              <w:left w:val="single" w:sz="18" w:space="0" w:color="5F497A" w:themeColor="accent4" w:themeShade="BF"/>
              <w:bottom w:val="nil"/>
              <w:right w:val="nil"/>
            </w:tcBorders>
            <w:shd w:val="clear" w:color="auto" w:fill="auto"/>
            <w:noWrap/>
            <w:vAlign w:val="bottom"/>
          </w:tcPr>
          <w:p w14:paraId="5D8BC4B8" w14:textId="2F858BF9" w:rsidR="00A26814" w:rsidRPr="001D41EA" w:rsidRDefault="00A26814" w:rsidP="00A26814">
            <w:pPr>
              <w:spacing w:before="40" w:after="40"/>
              <w:jc w:val="right"/>
              <w:rPr>
                <w:rFonts w:cs="Arial"/>
                <w:sz w:val="18"/>
                <w:szCs w:val="18"/>
              </w:rPr>
            </w:pPr>
            <w:r w:rsidRPr="001D41EA">
              <w:rPr>
                <w:rFonts w:cs="Arial"/>
                <w:sz w:val="18"/>
                <w:szCs w:val="18"/>
              </w:rPr>
              <w:t>29,143,164</w:t>
            </w:r>
          </w:p>
        </w:tc>
        <w:tc>
          <w:tcPr>
            <w:tcW w:w="1361" w:type="dxa"/>
            <w:tcBorders>
              <w:top w:val="nil"/>
              <w:left w:val="nil"/>
              <w:bottom w:val="nil"/>
              <w:right w:val="nil"/>
            </w:tcBorders>
            <w:shd w:val="clear" w:color="auto" w:fill="auto"/>
            <w:noWrap/>
            <w:vAlign w:val="bottom"/>
          </w:tcPr>
          <w:p w14:paraId="5606B549" w14:textId="3157AC72" w:rsidR="00A26814" w:rsidRPr="001D41EA" w:rsidRDefault="00A26814" w:rsidP="00A26814">
            <w:pPr>
              <w:spacing w:before="40" w:after="40"/>
              <w:jc w:val="right"/>
              <w:rPr>
                <w:rFonts w:cs="Arial"/>
                <w:sz w:val="18"/>
                <w:szCs w:val="18"/>
              </w:rPr>
            </w:pPr>
            <w:r w:rsidRPr="001D41EA">
              <w:rPr>
                <w:rFonts w:cs="Arial"/>
                <w:sz w:val="18"/>
                <w:szCs w:val="18"/>
              </w:rPr>
              <w:t>6,133,926</w:t>
            </w:r>
          </w:p>
        </w:tc>
        <w:tc>
          <w:tcPr>
            <w:tcW w:w="1361" w:type="dxa"/>
            <w:tcBorders>
              <w:top w:val="nil"/>
              <w:left w:val="nil"/>
              <w:bottom w:val="nil"/>
              <w:right w:val="nil"/>
            </w:tcBorders>
            <w:vAlign w:val="bottom"/>
          </w:tcPr>
          <w:p w14:paraId="5A65A7AE" w14:textId="0B7F54DA" w:rsidR="00A26814" w:rsidRPr="001D41EA" w:rsidRDefault="00A26814" w:rsidP="00A26814">
            <w:pPr>
              <w:spacing w:before="40" w:after="40"/>
              <w:jc w:val="right"/>
              <w:rPr>
                <w:rFonts w:cs="Arial"/>
                <w:sz w:val="18"/>
                <w:szCs w:val="18"/>
              </w:rPr>
            </w:pPr>
            <w:r w:rsidRPr="001D41EA">
              <w:rPr>
                <w:rFonts w:cs="Arial"/>
                <w:sz w:val="18"/>
                <w:szCs w:val="18"/>
              </w:rPr>
              <w:t>23,009,238</w:t>
            </w:r>
          </w:p>
        </w:tc>
        <w:tc>
          <w:tcPr>
            <w:tcW w:w="1361" w:type="dxa"/>
            <w:tcBorders>
              <w:top w:val="nil"/>
              <w:left w:val="nil"/>
              <w:bottom w:val="nil"/>
              <w:right w:val="nil"/>
            </w:tcBorders>
            <w:shd w:val="clear" w:color="auto" w:fill="auto"/>
            <w:noWrap/>
            <w:vAlign w:val="bottom"/>
          </w:tcPr>
          <w:p w14:paraId="08DEA936" w14:textId="2EE6F4F4" w:rsidR="00A26814" w:rsidRPr="001D41EA" w:rsidRDefault="00A26814" w:rsidP="00A26814">
            <w:pPr>
              <w:spacing w:before="40" w:after="40"/>
              <w:jc w:val="right"/>
              <w:rPr>
                <w:rFonts w:cs="Arial"/>
                <w:sz w:val="18"/>
                <w:szCs w:val="18"/>
              </w:rPr>
            </w:pPr>
            <w:r w:rsidRPr="001D41EA">
              <w:rPr>
                <w:rFonts w:cs="Arial"/>
                <w:sz w:val="18"/>
                <w:szCs w:val="18"/>
              </w:rPr>
              <w:t>3,715,192</w:t>
            </w:r>
          </w:p>
        </w:tc>
        <w:tc>
          <w:tcPr>
            <w:tcW w:w="1361" w:type="dxa"/>
            <w:tcBorders>
              <w:top w:val="nil"/>
              <w:left w:val="nil"/>
              <w:bottom w:val="nil"/>
              <w:right w:val="nil"/>
            </w:tcBorders>
            <w:vAlign w:val="bottom"/>
          </w:tcPr>
          <w:p w14:paraId="610E3EC7" w14:textId="6D501299" w:rsidR="00A26814" w:rsidRPr="001D41EA" w:rsidRDefault="00A26814" w:rsidP="00A26814">
            <w:pPr>
              <w:spacing w:before="40" w:after="40"/>
              <w:jc w:val="right"/>
              <w:rPr>
                <w:rFonts w:cs="Arial"/>
                <w:b/>
                <w:sz w:val="18"/>
                <w:szCs w:val="18"/>
              </w:rPr>
            </w:pPr>
            <w:r w:rsidRPr="001D41EA">
              <w:rPr>
                <w:rFonts w:cs="Arial"/>
                <w:b/>
                <w:sz w:val="18"/>
                <w:szCs w:val="18"/>
              </w:rPr>
              <w:t>3,713,956</w:t>
            </w:r>
          </w:p>
        </w:tc>
      </w:tr>
      <w:tr w:rsidR="00A26814" w:rsidRPr="001D41EA" w14:paraId="6EAFE0B0"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B4B1A4A" w14:textId="77777777" w:rsidR="00A26814" w:rsidRPr="001D41EA" w:rsidRDefault="00A26814" w:rsidP="00A26814">
            <w:pPr>
              <w:spacing w:before="40" w:after="40"/>
              <w:rPr>
                <w:rFonts w:cs="Arial"/>
                <w:sz w:val="18"/>
                <w:szCs w:val="18"/>
              </w:rPr>
            </w:pPr>
            <w:r w:rsidRPr="001D41EA">
              <w:rPr>
                <w:rFonts w:cs="Arial"/>
                <w:sz w:val="18"/>
                <w:szCs w:val="18"/>
              </w:rPr>
              <w:t>Glen Eira C</w:t>
            </w:r>
          </w:p>
        </w:tc>
        <w:tc>
          <w:tcPr>
            <w:tcW w:w="1361" w:type="dxa"/>
            <w:tcBorders>
              <w:top w:val="nil"/>
              <w:left w:val="single" w:sz="18" w:space="0" w:color="5F497A" w:themeColor="accent4" w:themeShade="BF"/>
              <w:bottom w:val="nil"/>
              <w:right w:val="nil"/>
            </w:tcBorders>
            <w:shd w:val="clear" w:color="auto" w:fill="auto"/>
            <w:noWrap/>
            <w:vAlign w:val="bottom"/>
          </w:tcPr>
          <w:p w14:paraId="1B3C53E3" w14:textId="33E66F3E" w:rsidR="00A26814" w:rsidRPr="001D41EA" w:rsidRDefault="00A26814" w:rsidP="00A26814">
            <w:pPr>
              <w:spacing w:before="40" w:after="40"/>
              <w:jc w:val="right"/>
              <w:rPr>
                <w:rFonts w:cs="Arial"/>
                <w:sz w:val="18"/>
                <w:szCs w:val="18"/>
              </w:rPr>
            </w:pPr>
            <w:r w:rsidRPr="001D41EA">
              <w:rPr>
                <w:rFonts w:cs="Arial"/>
                <w:sz w:val="18"/>
                <w:szCs w:val="18"/>
              </w:rPr>
              <w:t>144,349,735</w:t>
            </w:r>
          </w:p>
        </w:tc>
        <w:tc>
          <w:tcPr>
            <w:tcW w:w="1361" w:type="dxa"/>
            <w:tcBorders>
              <w:top w:val="nil"/>
              <w:left w:val="nil"/>
              <w:bottom w:val="nil"/>
              <w:right w:val="nil"/>
            </w:tcBorders>
            <w:shd w:val="clear" w:color="auto" w:fill="auto"/>
            <w:noWrap/>
            <w:vAlign w:val="bottom"/>
          </w:tcPr>
          <w:p w14:paraId="746AFE7C" w14:textId="2A467A83" w:rsidR="00A26814" w:rsidRPr="001D41EA" w:rsidRDefault="00A26814" w:rsidP="00A26814">
            <w:pPr>
              <w:spacing w:before="40" w:after="40"/>
              <w:jc w:val="right"/>
              <w:rPr>
                <w:rFonts w:cs="Arial"/>
                <w:sz w:val="18"/>
                <w:szCs w:val="18"/>
              </w:rPr>
            </w:pPr>
            <w:r w:rsidRPr="001D41EA">
              <w:rPr>
                <w:rFonts w:cs="Arial"/>
                <w:sz w:val="18"/>
                <w:szCs w:val="18"/>
              </w:rPr>
              <w:t>171,374,132</w:t>
            </w:r>
          </w:p>
        </w:tc>
        <w:tc>
          <w:tcPr>
            <w:tcW w:w="1361" w:type="dxa"/>
            <w:tcBorders>
              <w:top w:val="nil"/>
              <w:left w:val="nil"/>
              <w:bottom w:val="nil"/>
              <w:right w:val="nil"/>
            </w:tcBorders>
            <w:vAlign w:val="bottom"/>
          </w:tcPr>
          <w:p w14:paraId="47B1BEC7" w14:textId="6CD6B706" w:rsidR="00A26814" w:rsidRPr="001D41EA" w:rsidRDefault="00A26814" w:rsidP="00A26814">
            <w:pPr>
              <w:spacing w:before="40" w:after="40"/>
              <w:jc w:val="right"/>
              <w:rPr>
                <w:rFonts w:cs="Arial"/>
                <w:sz w:val="18"/>
                <w:szCs w:val="18"/>
              </w:rPr>
            </w:pPr>
            <w:r w:rsidRPr="001D41EA">
              <w:rPr>
                <w:rFonts w:cs="Arial"/>
                <w:sz w:val="18"/>
                <w:szCs w:val="18"/>
              </w:rPr>
              <w:t>-27,024,397</w:t>
            </w:r>
          </w:p>
        </w:tc>
        <w:tc>
          <w:tcPr>
            <w:tcW w:w="1361" w:type="dxa"/>
            <w:tcBorders>
              <w:top w:val="nil"/>
              <w:left w:val="nil"/>
              <w:bottom w:val="nil"/>
              <w:right w:val="nil"/>
            </w:tcBorders>
            <w:shd w:val="clear" w:color="auto" w:fill="auto"/>
            <w:noWrap/>
            <w:vAlign w:val="bottom"/>
          </w:tcPr>
          <w:p w14:paraId="08F0A925" w14:textId="04384D4E" w:rsidR="00A26814" w:rsidRPr="001D41EA" w:rsidRDefault="00A26814" w:rsidP="00A26814">
            <w:pPr>
              <w:spacing w:before="40" w:after="40"/>
              <w:jc w:val="right"/>
              <w:rPr>
                <w:rFonts w:cs="Arial"/>
                <w:sz w:val="18"/>
                <w:szCs w:val="18"/>
              </w:rPr>
            </w:pPr>
            <w:r w:rsidRPr="001D41EA">
              <w:rPr>
                <w:rFonts w:cs="Arial"/>
                <w:sz w:val="18"/>
                <w:szCs w:val="18"/>
              </w:rPr>
              <w:t>3,254,861</w:t>
            </w:r>
          </w:p>
        </w:tc>
        <w:tc>
          <w:tcPr>
            <w:tcW w:w="1361" w:type="dxa"/>
            <w:tcBorders>
              <w:top w:val="nil"/>
              <w:left w:val="nil"/>
              <w:bottom w:val="nil"/>
              <w:right w:val="nil"/>
            </w:tcBorders>
            <w:vAlign w:val="bottom"/>
          </w:tcPr>
          <w:p w14:paraId="1395A38C" w14:textId="7EFA6101" w:rsidR="00A26814" w:rsidRPr="001D41EA" w:rsidRDefault="00A26814" w:rsidP="00A26814">
            <w:pPr>
              <w:spacing w:before="40" w:after="40"/>
              <w:jc w:val="right"/>
              <w:rPr>
                <w:rFonts w:cs="Arial"/>
                <w:b/>
                <w:sz w:val="18"/>
                <w:szCs w:val="18"/>
              </w:rPr>
            </w:pPr>
            <w:r w:rsidRPr="001D41EA">
              <w:rPr>
                <w:rFonts w:cs="Arial"/>
                <w:b/>
                <w:sz w:val="18"/>
                <w:szCs w:val="18"/>
              </w:rPr>
              <w:t>3,254,861</w:t>
            </w:r>
          </w:p>
        </w:tc>
      </w:tr>
      <w:tr w:rsidR="00A26814" w:rsidRPr="001D41EA" w14:paraId="7FF87D9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C4BADEE" w14:textId="77777777" w:rsidR="00A26814" w:rsidRPr="001D41EA" w:rsidRDefault="00A26814" w:rsidP="00A26814">
            <w:pPr>
              <w:spacing w:before="40" w:after="40"/>
              <w:rPr>
                <w:rFonts w:cs="Arial"/>
                <w:sz w:val="18"/>
                <w:szCs w:val="18"/>
              </w:rPr>
            </w:pPr>
            <w:r w:rsidRPr="001D41EA">
              <w:rPr>
                <w:rFonts w:cs="Arial"/>
                <w:sz w:val="18"/>
                <w:szCs w:val="18"/>
              </w:rPr>
              <w:t>Glenelg S</w:t>
            </w:r>
          </w:p>
        </w:tc>
        <w:tc>
          <w:tcPr>
            <w:tcW w:w="1361" w:type="dxa"/>
            <w:tcBorders>
              <w:top w:val="nil"/>
              <w:left w:val="single" w:sz="18" w:space="0" w:color="5F497A" w:themeColor="accent4" w:themeShade="BF"/>
              <w:bottom w:val="nil"/>
              <w:right w:val="nil"/>
            </w:tcBorders>
            <w:shd w:val="clear" w:color="auto" w:fill="auto"/>
            <w:noWrap/>
            <w:vAlign w:val="bottom"/>
          </w:tcPr>
          <w:p w14:paraId="2E5C762D" w14:textId="666861FD" w:rsidR="00A26814" w:rsidRPr="001D41EA" w:rsidRDefault="00A26814" w:rsidP="00A26814">
            <w:pPr>
              <w:spacing w:before="40" w:after="40"/>
              <w:jc w:val="right"/>
              <w:rPr>
                <w:rFonts w:cs="Arial"/>
                <w:sz w:val="18"/>
                <w:szCs w:val="18"/>
              </w:rPr>
            </w:pPr>
            <w:r w:rsidRPr="001D41EA">
              <w:rPr>
                <w:rFonts w:cs="Arial"/>
                <w:sz w:val="18"/>
                <w:szCs w:val="18"/>
              </w:rPr>
              <w:t>49,542,004</w:t>
            </w:r>
          </w:p>
        </w:tc>
        <w:tc>
          <w:tcPr>
            <w:tcW w:w="1361" w:type="dxa"/>
            <w:tcBorders>
              <w:top w:val="nil"/>
              <w:left w:val="nil"/>
              <w:bottom w:val="nil"/>
              <w:right w:val="nil"/>
            </w:tcBorders>
            <w:shd w:val="clear" w:color="auto" w:fill="auto"/>
            <w:noWrap/>
            <w:vAlign w:val="bottom"/>
          </w:tcPr>
          <w:p w14:paraId="2C2E79C9" w14:textId="4D842636" w:rsidR="00A26814" w:rsidRPr="001D41EA" w:rsidRDefault="00A26814" w:rsidP="00A26814">
            <w:pPr>
              <w:spacing w:before="40" w:after="40"/>
              <w:jc w:val="right"/>
              <w:rPr>
                <w:rFonts w:cs="Arial"/>
                <w:sz w:val="18"/>
                <w:szCs w:val="18"/>
              </w:rPr>
            </w:pPr>
            <w:r w:rsidRPr="001D41EA">
              <w:rPr>
                <w:rFonts w:cs="Arial"/>
                <w:sz w:val="18"/>
                <w:szCs w:val="18"/>
              </w:rPr>
              <w:t>18,944,259</w:t>
            </w:r>
          </w:p>
        </w:tc>
        <w:tc>
          <w:tcPr>
            <w:tcW w:w="1361" w:type="dxa"/>
            <w:tcBorders>
              <w:top w:val="nil"/>
              <w:left w:val="nil"/>
              <w:bottom w:val="nil"/>
              <w:right w:val="nil"/>
            </w:tcBorders>
            <w:vAlign w:val="bottom"/>
          </w:tcPr>
          <w:p w14:paraId="0E02DAE8" w14:textId="61BAD6C2" w:rsidR="00A26814" w:rsidRPr="001D41EA" w:rsidRDefault="00A26814" w:rsidP="00A26814">
            <w:pPr>
              <w:spacing w:before="40" w:after="40"/>
              <w:jc w:val="right"/>
              <w:rPr>
                <w:rFonts w:cs="Arial"/>
                <w:sz w:val="18"/>
                <w:szCs w:val="18"/>
              </w:rPr>
            </w:pPr>
            <w:r w:rsidRPr="001D41EA">
              <w:rPr>
                <w:rFonts w:cs="Arial"/>
                <w:sz w:val="18"/>
                <w:szCs w:val="18"/>
              </w:rPr>
              <w:t>30,597,745</w:t>
            </w:r>
          </w:p>
        </w:tc>
        <w:tc>
          <w:tcPr>
            <w:tcW w:w="1361" w:type="dxa"/>
            <w:tcBorders>
              <w:top w:val="nil"/>
              <w:left w:val="nil"/>
              <w:bottom w:val="nil"/>
              <w:right w:val="nil"/>
            </w:tcBorders>
            <w:shd w:val="clear" w:color="auto" w:fill="auto"/>
            <w:noWrap/>
            <w:vAlign w:val="bottom"/>
          </w:tcPr>
          <w:p w14:paraId="1E94A351" w14:textId="57CDB4F4" w:rsidR="00A26814" w:rsidRPr="001D41EA" w:rsidRDefault="00A26814" w:rsidP="00A26814">
            <w:pPr>
              <w:spacing w:before="40" w:after="40"/>
              <w:jc w:val="right"/>
              <w:rPr>
                <w:rFonts w:cs="Arial"/>
                <w:sz w:val="18"/>
                <w:szCs w:val="18"/>
              </w:rPr>
            </w:pPr>
            <w:r w:rsidRPr="001D41EA">
              <w:rPr>
                <w:rFonts w:cs="Arial"/>
                <w:sz w:val="18"/>
                <w:szCs w:val="18"/>
              </w:rPr>
              <w:t>4,940,472</w:t>
            </w:r>
          </w:p>
        </w:tc>
        <w:tc>
          <w:tcPr>
            <w:tcW w:w="1361" w:type="dxa"/>
            <w:tcBorders>
              <w:top w:val="nil"/>
              <w:left w:val="nil"/>
              <w:bottom w:val="nil"/>
              <w:right w:val="nil"/>
            </w:tcBorders>
            <w:vAlign w:val="bottom"/>
          </w:tcPr>
          <w:p w14:paraId="474A1445" w14:textId="09A3E4BD" w:rsidR="00A26814" w:rsidRPr="001D41EA" w:rsidRDefault="00A26814" w:rsidP="00A26814">
            <w:pPr>
              <w:spacing w:before="40" w:after="40"/>
              <w:jc w:val="right"/>
              <w:rPr>
                <w:rFonts w:cs="Arial"/>
                <w:b/>
                <w:sz w:val="18"/>
                <w:szCs w:val="18"/>
              </w:rPr>
            </w:pPr>
            <w:r w:rsidRPr="001D41EA">
              <w:rPr>
                <w:rFonts w:cs="Arial"/>
                <w:b/>
                <w:sz w:val="18"/>
                <w:szCs w:val="18"/>
              </w:rPr>
              <w:t>4,938,828</w:t>
            </w:r>
          </w:p>
        </w:tc>
      </w:tr>
      <w:tr w:rsidR="00A26814" w:rsidRPr="001D41EA" w14:paraId="3F3964F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AF72AF3" w14:textId="77777777" w:rsidR="00A26814" w:rsidRPr="001D41EA" w:rsidRDefault="00A26814" w:rsidP="00A26814">
            <w:pPr>
              <w:spacing w:before="40" w:after="40"/>
              <w:rPr>
                <w:rFonts w:cs="Arial"/>
                <w:sz w:val="18"/>
                <w:szCs w:val="18"/>
              </w:rPr>
            </w:pPr>
            <w:r w:rsidRPr="001D41EA">
              <w:rPr>
                <w:rFonts w:cs="Arial"/>
                <w:sz w:val="18"/>
                <w:szCs w:val="18"/>
              </w:rPr>
              <w:t>Golden Plains S</w:t>
            </w:r>
          </w:p>
        </w:tc>
        <w:tc>
          <w:tcPr>
            <w:tcW w:w="1361" w:type="dxa"/>
            <w:tcBorders>
              <w:top w:val="nil"/>
              <w:left w:val="single" w:sz="18" w:space="0" w:color="5F497A" w:themeColor="accent4" w:themeShade="BF"/>
              <w:bottom w:val="nil"/>
              <w:right w:val="nil"/>
            </w:tcBorders>
            <w:shd w:val="clear" w:color="auto" w:fill="auto"/>
            <w:noWrap/>
            <w:vAlign w:val="bottom"/>
          </w:tcPr>
          <w:p w14:paraId="77379A7E" w14:textId="6F8ACFF1" w:rsidR="00A26814" w:rsidRPr="001D41EA" w:rsidRDefault="00A26814" w:rsidP="00A26814">
            <w:pPr>
              <w:spacing w:before="40" w:after="40"/>
              <w:jc w:val="right"/>
              <w:rPr>
                <w:rFonts w:cs="Arial"/>
                <w:sz w:val="18"/>
                <w:szCs w:val="18"/>
              </w:rPr>
            </w:pPr>
            <w:r w:rsidRPr="001D41EA">
              <w:rPr>
                <w:rFonts w:cs="Arial"/>
                <w:sz w:val="18"/>
                <w:szCs w:val="18"/>
              </w:rPr>
              <w:t>38,213,415</w:t>
            </w:r>
          </w:p>
        </w:tc>
        <w:tc>
          <w:tcPr>
            <w:tcW w:w="1361" w:type="dxa"/>
            <w:tcBorders>
              <w:top w:val="nil"/>
              <w:left w:val="nil"/>
              <w:bottom w:val="nil"/>
              <w:right w:val="nil"/>
            </w:tcBorders>
            <w:shd w:val="clear" w:color="auto" w:fill="auto"/>
            <w:noWrap/>
            <w:vAlign w:val="bottom"/>
          </w:tcPr>
          <w:p w14:paraId="2B2EDB78" w14:textId="3B5853FA" w:rsidR="00A26814" w:rsidRPr="001D41EA" w:rsidRDefault="00A26814" w:rsidP="00A26814">
            <w:pPr>
              <w:spacing w:before="40" w:after="40"/>
              <w:jc w:val="right"/>
              <w:rPr>
                <w:rFonts w:cs="Arial"/>
                <w:sz w:val="18"/>
                <w:szCs w:val="18"/>
              </w:rPr>
            </w:pPr>
            <w:r w:rsidRPr="001D41EA">
              <w:rPr>
                <w:rFonts w:cs="Arial"/>
                <w:sz w:val="18"/>
                <w:szCs w:val="18"/>
              </w:rPr>
              <w:t>14,291,836</w:t>
            </w:r>
          </w:p>
        </w:tc>
        <w:tc>
          <w:tcPr>
            <w:tcW w:w="1361" w:type="dxa"/>
            <w:tcBorders>
              <w:top w:val="nil"/>
              <w:left w:val="nil"/>
              <w:bottom w:val="nil"/>
              <w:right w:val="nil"/>
            </w:tcBorders>
            <w:vAlign w:val="bottom"/>
          </w:tcPr>
          <w:p w14:paraId="3FA662A3" w14:textId="469A6860" w:rsidR="00A26814" w:rsidRPr="001D41EA" w:rsidRDefault="00A26814" w:rsidP="00A26814">
            <w:pPr>
              <w:spacing w:before="40" w:after="40"/>
              <w:jc w:val="right"/>
              <w:rPr>
                <w:rFonts w:cs="Arial"/>
                <w:sz w:val="18"/>
                <w:szCs w:val="18"/>
              </w:rPr>
            </w:pPr>
            <w:r w:rsidRPr="001D41EA">
              <w:rPr>
                <w:rFonts w:cs="Arial"/>
                <w:sz w:val="18"/>
                <w:szCs w:val="18"/>
              </w:rPr>
              <w:t>23,921,578</w:t>
            </w:r>
          </w:p>
        </w:tc>
        <w:tc>
          <w:tcPr>
            <w:tcW w:w="1361" w:type="dxa"/>
            <w:tcBorders>
              <w:top w:val="nil"/>
              <w:left w:val="nil"/>
              <w:bottom w:val="nil"/>
              <w:right w:val="nil"/>
            </w:tcBorders>
            <w:shd w:val="clear" w:color="auto" w:fill="auto"/>
            <w:noWrap/>
            <w:vAlign w:val="bottom"/>
          </w:tcPr>
          <w:p w14:paraId="6D22CB19" w14:textId="2CA2FA73" w:rsidR="00A26814" w:rsidRPr="001D41EA" w:rsidRDefault="00A26814" w:rsidP="00A26814">
            <w:pPr>
              <w:spacing w:before="40" w:after="40"/>
              <w:jc w:val="right"/>
              <w:rPr>
                <w:rFonts w:cs="Arial"/>
                <w:sz w:val="18"/>
                <w:szCs w:val="18"/>
              </w:rPr>
            </w:pPr>
            <w:r w:rsidRPr="001D41EA">
              <w:rPr>
                <w:rFonts w:cs="Arial"/>
                <w:sz w:val="18"/>
                <w:szCs w:val="18"/>
              </w:rPr>
              <w:t>3,862,503</w:t>
            </w:r>
          </w:p>
        </w:tc>
        <w:tc>
          <w:tcPr>
            <w:tcW w:w="1361" w:type="dxa"/>
            <w:tcBorders>
              <w:top w:val="nil"/>
              <w:left w:val="nil"/>
              <w:bottom w:val="nil"/>
              <w:right w:val="nil"/>
            </w:tcBorders>
            <w:vAlign w:val="bottom"/>
          </w:tcPr>
          <w:p w14:paraId="6AD66DA6" w14:textId="036EE3E0" w:rsidR="00A26814" w:rsidRPr="001D41EA" w:rsidRDefault="00A26814" w:rsidP="00A26814">
            <w:pPr>
              <w:spacing w:before="40" w:after="40"/>
              <w:jc w:val="right"/>
              <w:rPr>
                <w:rFonts w:cs="Arial"/>
                <w:b/>
                <w:sz w:val="18"/>
                <w:szCs w:val="18"/>
              </w:rPr>
            </w:pPr>
            <w:r w:rsidRPr="001D41EA">
              <w:rPr>
                <w:rFonts w:cs="Arial"/>
                <w:b/>
                <w:sz w:val="18"/>
                <w:szCs w:val="18"/>
              </w:rPr>
              <w:t>3,861,218</w:t>
            </w:r>
          </w:p>
        </w:tc>
      </w:tr>
      <w:tr w:rsidR="00A26814" w:rsidRPr="001D41EA" w14:paraId="7D73EE4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7E3A569" w14:textId="77777777" w:rsidR="00A26814" w:rsidRPr="001D41EA" w:rsidRDefault="00A26814" w:rsidP="00A26814">
            <w:pPr>
              <w:spacing w:before="40" w:after="40"/>
              <w:rPr>
                <w:rFonts w:cs="Arial"/>
                <w:sz w:val="18"/>
                <w:szCs w:val="18"/>
              </w:rPr>
            </w:pPr>
            <w:r w:rsidRPr="001D41EA">
              <w:rPr>
                <w:rFonts w:cs="Arial"/>
                <w:sz w:val="18"/>
                <w:szCs w:val="18"/>
              </w:rPr>
              <w:t>Greater Bendigo C</w:t>
            </w:r>
          </w:p>
        </w:tc>
        <w:tc>
          <w:tcPr>
            <w:tcW w:w="1361" w:type="dxa"/>
            <w:tcBorders>
              <w:top w:val="nil"/>
              <w:left w:val="single" w:sz="18" w:space="0" w:color="5F497A" w:themeColor="accent4" w:themeShade="BF"/>
              <w:bottom w:val="nil"/>
              <w:right w:val="nil"/>
            </w:tcBorders>
            <w:shd w:val="clear" w:color="auto" w:fill="auto"/>
            <w:noWrap/>
            <w:vAlign w:val="bottom"/>
          </w:tcPr>
          <w:p w14:paraId="134D77C7" w14:textId="5028B089" w:rsidR="00A26814" w:rsidRPr="001D41EA" w:rsidRDefault="00A26814" w:rsidP="00A26814">
            <w:pPr>
              <w:spacing w:before="40" w:after="40"/>
              <w:jc w:val="right"/>
              <w:rPr>
                <w:rFonts w:cs="Arial"/>
                <w:sz w:val="18"/>
                <w:szCs w:val="18"/>
              </w:rPr>
            </w:pPr>
            <w:r w:rsidRPr="001D41EA">
              <w:rPr>
                <w:rFonts w:cs="Arial"/>
                <w:sz w:val="18"/>
                <w:szCs w:val="18"/>
              </w:rPr>
              <w:t>154,075,561</w:t>
            </w:r>
          </w:p>
        </w:tc>
        <w:tc>
          <w:tcPr>
            <w:tcW w:w="1361" w:type="dxa"/>
            <w:tcBorders>
              <w:top w:val="nil"/>
              <w:left w:val="nil"/>
              <w:bottom w:val="nil"/>
              <w:right w:val="nil"/>
            </w:tcBorders>
            <w:shd w:val="clear" w:color="auto" w:fill="auto"/>
            <w:noWrap/>
            <w:vAlign w:val="bottom"/>
          </w:tcPr>
          <w:p w14:paraId="1DF8BD79" w14:textId="44095F65" w:rsidR="00A26814" w:rsidRPr="001D41EA" w:rsidRDefault="00A26814" w:rsidP="00A26814">
            <w:pPr>
              <w:spacing w:before="40" w:after="40"/>
              <w:jc w:val="right"/>
              <w:rPr>
                <w:rFonts w:cs="Arial"/>
                <w:sz w:val="18"/>
                <w:szCs w:val="18"/>
              </w:rPr>
            </w:pPr>
            <w:r w:rsidRPr="001D41EA">
              <w:rPr>
                <w:rFonts w:cs="Arial"/>
                <w:sz w:val="18"/>
                <w:szCs w:val="18"/>
              </w:rPr>
              <w:t>69,538,511</w:t>
            </w:r>
          </w:p>
        </w:tc>
        <w:tc>
          <w:tcPr>
            <w:tcW w:w="1361" w:type="dxa"/>
            <w:tcBorders>
              <w:top w:val="nil"/>
              <w:left w:val="nil"/>
              <w:bottom w:val="nil"/>
              <w:right w:val="nil"/>
            </w:tcBorders>
            <w:vAlign w:val="bottom"/>
          </w:tcPr>
          <w:p w14:paraId="6A899CED" w14:textId="369D878C" w:rsidR="00A26814" w:rsidRPr="001D41EA" w:rsidRDefault="00A26814" w:rsidP="00A26814">
            <w:pPr>
              <w:spacing w:before="40" w:after="40"/>
              <w:jc w:val="right"/>
              <w:rPr>
                <w:rFonts w:cs="Arial"/>
                <w:sz w:val="18"/>
                <w:szCs w:val="18"/>
              </w:rPr>
            </w:pPr>
            <w:r w:rsidRPr="001D41EA">
              <w:rPr>
                <w:rFonts w:cs="Arial"/>
                <w:sz w:val="18"/>
                <w:szCs w:val="18"/>
              </w:rPr>
              <w:t>84,537,050</w:t>
            </w:r>
          </w:p>
        </w:tc>
        <w:tc>
          <w:tcPr>
            <w:tcW w:w="1361" w:type="dxa"/>
            <w:tcBorders>
              <w:top w:val="nil"/>
              <w:left w:val="nil"/>
              <w:bottom w:val="nil"/>
              <w:right w:val="nil"/>
            </w:tcBorders>
            <w:shd w:val="clear" w:color="auto" w:fill="auto"/>
            <w:noWrap/>
            <w:vAlign w:val="bottom"/>
          </w:tcPr>
          <w:p w14:paraId="3C56255C" w14:textId="5465E83D" w:rsidR="00A26814" w:rsidRPr="001D41EA" w:rsidRDefault="00A26814" w:rsidP="00A26814">
            <w:pPr>
              <w:spacing w:before="40" w:after="40"/>
              <w:jc w:val="right"/>
              <w:rPr>
                <w:rFonts w:cs="Arial"/>
                <w:sz w:val="18"/>
                <w:szCs w:val="18"/>
              </w:rPr>
            </w:pPr>
            <w:r w:rsidRPr="001D41EA">
              <w:rPr>
                <w:rFonts w:cs="Arial"/>
                <w:sz w:val="18"/>
                <w:szCs w:val="18"/>
              </w:rPr>
              <w:t>13,649,794</w:t>
            </w:r>
          </w:p>
        </w:tc>
        <w:tc>
          <w:tcPr>
            <w:tcW w:w="1361" w:type="dxa"/>
            <w:tcBorders>
              <w:top w:val="nil"/>
              <w:left w:val="nil"/>
              <w:bottom w:val="nil"/>
              <w:right w:val="nil"/>
            </w:tcBorders>
            <w:vAlign w:val="bottom"/>
          </w:tcPr>
          <w:p w14:paraId="4FE41E87" w14:textId="648B58F4" w:rsidR="00A26814" w:rsidRPr="001D41EA" w:rsidRDefault="00A26814" w:rsidP="00A26814">
            <w:pPr>
              <w:spacing w:before="40" w:after="40"/>
              <w:jc w:val="right"/>
              <w:rPr>
                <w:rFonts w:cs="Arial"/>
                <w:b/>
                <w:sz w:val="18"/>
                <w:szCs w:val="18"/>
              </w:rPr>
            </w:pPr>
            <w:r w:rsidRPr="001D41EA">
              <w:rPr>
                <w:rFonts w:cs="Arial"/>
                <w:b/>
                <w:sz w:val="18"/>
                <w:szCs w:val="18"/>
              </w:rPr>
              <w:t>13,645,252</w:t>
            </w:r>
          </w:p>
        </w:tc>
      </w:tr>
      <w:tr w:rsidR="00A26814" w:rsidRPr="001D41EA" w14:paraId="60628AAD"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3899780" w14:textId="77777777" w:rsidR="00A26814" w:rsidRPr="001D41EA" w:rsidRDefault="00A26814" w:rsidP="00A26814">
            <w:pPr>
              <w:spacing w:before="40" w:after="40"/>
              <w:rPr>
                <w:rFonts w:cs="Arial"/>
                <w:sz w:val="18"/>
                <w:szCs w:val="18"/>
              </w:rPr>
            </w:pPr>
            <w:r w:rsidRPr="001D41EA">
              <w:rPr>
                <w:rFonts w:cs="Arial"/>
                <w:sz w:val="18"/>
                <w:szCs w:val="18"/>
              </w:rPr>
              <w:t>Greater Dandenong C</w:t>
            </w:r>
          </w:p>
        </w:tc>
        <w:tc>
          <w:tcPr>
            <w:tcW w:w="1361" w:type="dxa"/>
            <w:tcBorders>
              <w:top w:val="nil"/>
              <w:left w:val="single" w:sz="18" w:space="0" w:color="5F497A" w:themeColor="accent4" w:themeShade="BF"/>
              <w:bottom w:val="nil"/>
              <w:right w:val="nil"/>
            </w:tcBorders>
            <w:shd w:val="clear" w:color="auto" w:fill="auto"/>
            <w:noWrap/>
            <w:vAlign w:val="bottom"/>
          </w:tcPr>
          <w:p w14:paraId="3085E4D7" w14:textId="50E07EF4" w:rsidR="00A26814" w:rsidRPr="001D41EA" w:rsidRDefault="00A26814" w:rsidP="00A26814">
            <w:pPr>
              <w:spacing w:before="40" w:after="40"/>
              <w:jc w:val="right"/>
              <w:rPr>
                <w:rFonts w:cs="Arial"/>
                <w:sz w:val="18"/>
                <w:szCs w:val="18"/>
              </w:rPr>
            </w:pPr>
            <w:r w:rsidRPr="001D41EA">
              <w:rPr>
                <w:rFonts w:cs="Arial"/>
                <w:sz w:val="18"/>
                <w:szCs w:val="18"/>
              </w:rPr>
              <w:t>180,217,480</w:t>
            </w:r>
          </w:p>
        </w:tc>
        <w:tc>
          <w:tcPr>
            <w:tcW w:w="1361" w:type="dxa"/>
            <w:tcBorders>
              <w:top w:val="nil"/>
              <w:left w:val="nil"/>
              <w:bottom w:val="nil"/>
              <w:right w:val="nil"/>
            </w:tcBorders>
            <w:shd w:val="clear" w:color="auto" w:fill="auto"/>
            <w:noWrap/>
            <w:vAlign w:val="bottom"/>
          </w:tcPr>
          <w:p w14:paraId="1BA8CFB1" w14:textId="4F732936" w:rsidR="00A26814" w:rsidRPr="001D41EA" w:rsidRDefault="00A26814" w:rsidP="00A26814">
            <w:pPr>
              <w:spacing w:before="40" w:after="40"/>
              <w:jc w:val="right"/>
              <w:rPr>
                <w:rFonts w:cs="Arial"/>
                <w:sz w:val="18"/>
                <w:szCs w:val="18"/>
              </w:rPr>
            </w:pPr>
            <w:r w:rsidRPr="001D41EA">
              <w:rPr>
                <w:rFonts w:cs="Arial"/>
                <w:sz w:val="18"/>
                <w:szCs w:val="18"/>
              </w:rPr>
              <w:t>115,347,722</w:t>
            </w:r>
          </w:p>
        </w:tc>
        <w:tc>
          <w:tcPr>
            <w:tcW w:w="1361" w:type="dxa"/>
            <w:tcBorders>
              <w:top w:val="nil"/>
              <w:left w:val="nil"/>
              <w:bottom w:val="nil"/>
              <w:right w:val="nil"/>
            </w:tcBorders>
            <w:vAlign w:val="bottom"/>
          </w:tcPr>
          <w:p w14:paraId="36348CFF" w14:textId="1000DCE7" w:rsidR="00A26814" w:rsidRPr="001D41EA" w:rsidRDefault="00A26814" w:rsidP="00A26814">
            <w:pPr>
              <w:spacing w:before="40" w:after="40"/>
              <w:jc w:val="right"/>
              <w:rPr>
                <w:rFonts w:cs="Arial"/>
                <w:sz w:val="18"/>
                <w:szCs w:val="18"/>
              </w:rPr>
            </w:pPr>
            <w:r w:rsidRPr="001D41EA">
              <w:rPr>
                <w:rFonts w:cs="Arial"/>
                <w:sz w:val="18"/>
                <w:szCs w:val="18"/>
              </w:rPr>
              <w:t>64,869,758</w:t>
            </w:r>
          </w:p>
        </w:tc>
        <w:tc>
          <w:tcPr>
            <w:tcW w:w="1361" w:type="dxa"/>
            <w:tcBorders>
              <w:top w:val="nil"/>
              <w:left w:val="nil"/>
              <w:bottom w:val="nil"/>
              <w:right w:val="nil"/>
            </w:tcBorders>
            <w:shd w:val="clear" w:color="auto" w:fill="auto"/>
            <w:noWrap/>
            <w:vAlign w:val="bottom"/>
          </w:tcPr>
          <w:p w14:paraId="1911E85B" w14:textId="0C274D0F" w:rsidR="00A26814" w:rsidRPr="001D41EA" w:rsidRDefault="00A26814" w:rsidP="00A26814">
            <w:pPr>
              <w:spacing w:before="40" w:after="40"/>
              <w:jc w:val="right"/>
              <w:rPr>
                <w:rFonts w:cs="Arial"/>
                <w:sz w:val="18"/>
                <w:szCs w:val="18"/>
              </w:rPr>
            </w:pPr>
            <w:r w:rsidRPr="001D41EA">
              <w:rPr>
                <w:rFonts w:cs="Arial"/>
                <w:sz w:val="18"/>
                <w:szCs w:val="18"/>
              </w:rPr>
              <w:t>10,474,211</w:t>
            </w:r>
          </w:p>
        </w:tc>
        <w:tc>
          <w:tcPr>
            <w:tcW w:w="1361" w:type="dxa"/>
            <w:tcBorders>
              <w:top w:val="nil"/>
              <w:left w:val="nil"/>
              <w:bottom w:val="nil"/>
              <w:right w:val="nil"/>
            </w:tcBorders>
            <w:vAlign w:val="bottom"/>
          </w:tcPr>
          <w:p w14:paraId="5F0BBD1A" w14:textId="5AC3E255" w:rsidR="00A26814" w:rsidRPr="001D41EA" w:rsidRDefault="00A26814" w:rsidP="00A26814">
            <w:pPr>
              <w:spacing w:before="40" w:after="40"/>
              <w:jc w:val="right"/>
              <w:rPr>
                <w:rFonts w:cs="Arial"/>
                <w:b/>
                <w:sz w:val="18"/>
                <w:szCs w:val="18"/>
              </w:rPr>
            </w:pPr>
            <w:r w:rsidRPr="001D41EA">
              <w:rPr>
                <w:rFonts w:cs="Arial"/>
                <w:b/>
                <w:sz w:val="18"/>
                <w:szCs w:val="18"/>
              </w:rPr>
              <w:t>10,470,725</w:t>
            </w:r>
          </w:p>
        </w:tc>
      </w:tr>
      <w:tr w:rsidR="00A26814" w:rsidRPr="001D41EA" w14:paraId="0ACC4E1A"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3F6EEED5" w14:textId="77777777" w:rsidR="00A26814" w:rsidRPr="001D41EA" w:rsidRDefault="00A26814" w:rsidP="00A26814">
            <w:pPr>
              <w:spacing w:before="40" w:after="40"/>
              <w:rPr>
                <w:rFonts w:cs="Arial"/>
                <w:sz w:val="18"/>
                <w:szCs w:val="18"/>
              </w:rPr>
            </w:pPr>
            <w:r w:rsidRPr="001D41EA">
              <w:rPr>
                <w:rFonts w:cs="Arial"/>
                <w:sz w:val="18"/>
                <w:szCs w:val="18"/>
              </w:rPr>
              <w:t>Greater Geelong C</w:t>
            </w:r>
          </w:p>
        </w:tc>
        <w:tc>
          <w:tcPr>
            <w:tcW w:w="1361" w:type="dxa"/>
            <w:tcBorders>
              <w:top w:val="nil"/>
              <w:left w:val="single" w:sz="18" w:space="0" w:color="5F497A" w:themeColor="accent4" w:themeShade="BF"/>
              <w:bottom w:val="nil"/>
              <w:right w:val="nil"/>
            </w:tcBorders>
            <w:shd w:val="clear" w:color="auto" w:fill="auto"/>
            <w:noWrap/>
            <w:vAlign w:val="bottom"/>
          </w:tcPr>
          <w:p w14:paraId="1DCD2F02" w14:textId="27CEC553" w:rsidR="00A26814" w:rsidRPr="001D41EA" w:rsidRDefault="00A26814" w:rsidP="00A26814">
            <w:pPr>
              <w:spacing w:before="40" w:after="40"/>
              <w:jc w:val="right"/>
              <w:rPr>
                <w:rFonts w:cs="Arial"/>
                <w:sz w:val="18"/>
                <w:szCs w:val="18"/>
              </w:rPr>
            </w:pPr>
            <w:r w:rsidRPr="001D41EA">
              <w:rPr>
                <w:rFonts w:cs="Arial"/>
                <w:sz w:val="18"/>
                <w:szCs w:val="18"/>
              </w:rPr>
              <w:t>302,358,919</w:t>
            </w:r>
          </w:p>
        </w:tc>
        <w:tc>
          <w:tcPr>
            <w:tcW w:w="1361" w:type="dxa"/>
            <w:tcBorders>
              <w:top w:val="nil"/>
              <w:left w:val="nil"/>
              <w:bottom w:val="nil"/>
              <w:right w:val="nil"/>
            </w:tcBorders>
            <w:shd w:val="clear" w:color="auto" w:fill="auto"/>
            <w:noWrap/>
            <w:vAlign w:val="bottom"/>
          </w:tcPr>
          <w:p w14:paraId="63911A18" w14:textId="4274D0F3" w:rsidR="00A26814" w:rsidRPr="001D41EA" w:rsidRDefault="00A26814" w:rsidP="00A26814">
            <w:pPr>
              <w:spacing w:before="40" w:after="40"/>
              <w:jc w:val="right"/>
              <w:rPr>
                <w:rFonts w:cs="Arial"/>
                <w:sz w:val="18"/>
                <w:szCs w:val="18"/>
              </w:rPr>
            </w:pPr>
            <w:r w:rsidRPr="001D41EA">
              <w:rPr>
                <w:rFonts w:cs="Arial"/>
                <w:sz w:val="18"/>
                <w:szCs w:val="18"/>
              </w:rPr>
              <w:t>188,005,418</w:t>
            </w:r>
          </w:p>
        </w:tc>
        <w:tc>
          <w:tcPr>
            <w:tcW w:w="1361" w:type="dxa"/>
            <w:tcBorders>
              <w:top w:val="nil"/>
              <w:left w:val="nil"/>
              <w:bottom w:val="nil"/>
              <w:right w:val="nil"/>
            </w:tcBorders>
            <w:vAlign w:val="bottom"/>
          </w:tcPr>
          <w:p w14:paraId="50A2F7AA" w14:textId="1680E547" w:rsidR="00A26814" w:rsidRPr="001D41EA" w:rsidRDefault="00A26814" w:rsidP="00A26814">
            <w:pPr>
              <w:spacing w:before="40" w:after="40"/>
              <w:jc w:val="right"/>
              <w:rPr>
                <w:rFonts w:cs="Arial"/>
                <w:sz w:val="18"/>
                <w:szCs w:val="18"/>
              </w:rPr>
            </w:pPr>
            <w:r w:rsidRPr="001D41EA">
              <w:rPr>
                <w:rFonts w:cs="Arial"/>
                <w:sz w:val="18"/>
                <w:szCs w:val="18"/>
              </w:rPr>
              <w:t>114,353,501</w:t>
            </w:r>
          </w:p>
        </w:tc>
        <w:tc>
          <w:tcPr>
            <w:tcW w:w="1361" w:type="dxa"/>
            <w:tcBorders>
              <w:top w:val="nil"/>
              <w:left w:val="nil"/>
              <w:bottom w:val="nil"/>
              <w:right w:val="nil"/>
            </w:tcBorders>
            <w:shd w:val="clear" w:color="auto" w:fill="auto"/>
            <w:noWrap/>
            <w:vAlign w:val="bottom"/>
          </w:tcPr>
          <w:p w14:paraId="170412A5" w14:textId="69E896F4" w:rsidR="00A26814" w:rsidRPr="001D41EA" w:rsidRDefault="00A26814" w:rsidP="00A26814">
            <w:pPr>
              <w:spacing w:before="40" w:after="40"/>
              <w:jc w:val="right"/>
              <w:rPr>
                <w:rFonts w:cs="Arial"/>
                <w:sz w:val="18"/>
                <w:szCs w:val="18"/>
              </w:rPr>
            </w:pPr>
            <w:r w:rsidRPr="001D41EA">
              <w:rPr>
                <w:rFonts w:cs="Arial"/>
                <w:sz w:val="18"/>
                <w:szCs w:val="18"/>
              </w:rPr>
              <w:t>18,464,113</w:t>
            </w:r>
          </w:p>
        </w:tc>
        <w:tc>
          <w:tcPr>
            <w:tcW w:w="1361" w:type="dxa"/>
            <w:tcBorders>
              <w:top w:val="nil"/>
              <w:left w:val="nil"/>
              <w:bottom w:val="nil"/>
              <w:right w:val="nil"/>
            </w:tcBorders>
            <w:vAlign w:val="bottom"/>
          </w:tcPr>
          <w:p w14:paraId="124C0E46" w14:textId="1AF3F765" w:rsidR="00A26814" w:rsidRPr="001D41EA" w:rsidRDefault="00A26814" w:rsidP="00A26814">
            <w:pPr>
              <w:spacing w:before="40" w:after="40"/>
              <w:jc w:val="right"/>
              <w:rPr>
                <w:rFonts w:cs="Arial"/>
                <w:b/>
                <w:sz w:val="18"/>
                <w:szCs w:val="18"/>
              </w:rPr>
            </w:pPr>
            <w:r w:rsidRPr="001D41EA">
              <w:rPr>
                <w:rFonts w:cs="Arial"/>
                <w:b/>
                <w:sz w:val="18"/>
                <w:szCs w:val="18"/>
              </w:rPr>
              <w:t>18,457,970</w:t>
            </w:r>
          </w:p>
        </w:tc>
      </w:tr>
      <w:tr w:rsidR="00A26814" w:rsidRPr="001D41EA" w14:paraId="08746F0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ADCF789" w14:textId="77777777" w:rsidR="00A26814" w:rsidRPr="001D41EA" w:rsidRDefault="00A26814" w:rsidP="00A26814">
            <w:pPr>
              <w:spacing w:before="40" w:after="40"/>
              <w:rPr>
                <w:rFonts w:cs="Arial"/>
                <w:sz w:val="18"/>
                <w:szCs w:val="18"/>
              </w:rPr>
            </w:pPr>
            <w:r w:rsidRPr="001D41EA">
              <w:rPr>
                <w:rFonts w:cs="Arial"/>
                <w:sz w:val="18"/>
                <w:szCs w:val="18"/>
              </w:rPr>
              <w:t>Greater Shepparton C</w:t>
            </w:r>
          </w:p>
        </w:tc>
        <w:tc>
          <w:tcPr>
            <w:tcW w:w="1361" w:type="dxa"/>
            <w:tcBorders>
              <w:top w:val="nil"/>
              <w:left w:val="single" w:sz="18" w:space="0" w:color="5F497A" w:themeColor="accent4" w:themeShade="BF"/>
              <w:bottom w:val="nil"/>
              <w:right w:val="nil"/>
            </w:tcBorders>
            <w:shd w:val="clear" w:color="auto" w:fill="auto"/>
            <w:noWrap/>
            <w:vAlign w:val="bottom"/>
          </w:tcPr>
          <w:p w14:paraId="6A113688" w14:textId="1C668E9F" w:rsidR="00A26814" w:rsidRPr="001D41EA" w:rsidRDefault="00A26814" w:rsidP="00A26814">
            <w:pPr>
              <w:spacing w:before="40" w:after="40"/>
              <w:jc w:val="right"/>
              <w:rPr>
                <w:rFonts w:cs="Arial"/>
                <w:sz w:val="18"/>
                <w:szCs w:val="18"/>
              </w:rPr>
            </w:pPr>
            <w:r w:rsidRPr="001D41EA">
              <w:rPr>
                <w:rFonts w:cs="Arial"/>
                <w:sz w:val="18"/>
                <w:szCs w:val="18"/>
              </w:rPr>
              <w:t>98,726,354</w:t>
            </w:r>
          </w:p>
        </w:tc>
        <w:tc>
          <w:tcPr>
            <w:tcW w:w="1361" w:type="dxa"/>
            <w:tcBorders>
              <w:top w:val="nil"/>
              <w:left w:val="nil"/>
              <w:bottom w:val="nil"/>
              <w:right w:val="nil"/>
            </w:tcBorders>
            <w:shd w:val="clear" w:color="auto" w:fill="auto"/>
            <w:noWrap/>
            <w:vAlign w:val="bottom"/>
          </w:tcPr>
          <w:p w14:paraId="3165F199" w14:textId="257A34B1" w:rsidR="00A26814" w:rsidRPr="001D41EA" w:rsidRDefault="00A26814" w:rsidP="00A26814">
            <w:pPr>
              <w:spacing w:before="40" w:after="40"/>
              <w:jc w:val="right"/>
              <w:rPr>
                <w:rFonts w:cs="Arial"/>
                <w:sz w:val="18"/>
                <w:szCs w:val="18"/>
              </w:rPr>
            </w:pPr>
            <w:r w:rsidRPr="001D41EA">
              <w:rPr>
                <w:rFonts w:cs="Arial"/>
                <w:sz w:val="18"/>
                <w:szCs w:val="18"/>
              </w:rPr>
              <w:t>38,515,072</w:t>
            </w:r>
          </w:p>
        </w:tc>
        <w:tc>
          <w:tcPr>
            <w:tcW w:w="1361" w:type="dxa"/>
            <w:tcBorders>
              <w:top w:val="nil"/>
              <w:left w:val="nil"/>
              <w:bottom w:val="nil"/>
              <w:right w:val="nil"/>
            </w:tcBorders>
            <w:vAlign w:val="bottom"/>
          </w:tcPr>
          <w:p w14:paraId="2EF24D87" w14:textId="5C44365A" w:rsidR="00A26814" w:rsidRPr="001D41EA" w:rsidRDefault="00A26814" w:rsidP="00A26814">
            <w:pPr>
              <w:spacing w:before="40" w:after="40"/>
              <w:jc w:val="right"/>
              <w:rPr>
                <w:rFonts w:cs="Arial"/>
                <w:sz w:val="18"/>
                <w:szCs w:val="18"/>
              </w:rPr>
            </w:pPr>
            <w:r w:rsidRPr="001D41EA">
              <w:rPr>
                <w:rFonts w:cs="Arial"/>
                <w:sz w:val="18"/>
                <w:szCs w:val="18"/>
              </w:rPr>
              <w:t>60,211,282</w:t>
            </w:r>
          </w:p>
        </w:tc>
        <w:tc>
          <w:tcPr>
            <w:tcW w:w="1361" w:type="dxa"/>
            <w:tcBorders>
              <w:top w:val="nil"/>
              <w:left w:val="nil"/>
              <w:bottom w:val="nil"/>
              <w:right w:val="nil"/>
            </w:tcBorders>
            <w:shd w:val="clear" w:color="auto" w:fill="auto"/>
            <w:noWrap/>
            <w:vAlign w:val="bottom"/>
          </w:tcPr>
          <w:p w14:paraId="209510CE" w14:textId="3FE6028C" w:rsidR="00A26814" w:rsidRPr="001D41EA" w:rsidRDefault="00A26814" w:rsidP="00A26814">
            <w:pPr>
              <w:spacing w:before="40" w:after="40"/>
              <w:jc w:val="right"/>
              <w:rPr>
                <w:rFonts w:cs="Arial"/>
                <w:sz w:val="18"/>
                <w:szCs w:val="18"/>
              </w:rPr>
            </w:pPr>
            <w:r w:rsidRPr="001D41EA">
              <w:rPr>
                <w:rFonts w:cs="Arial"/>
                <w:sz w:val="18"/>
                <w:szCs w:val="18"/>
              </w:rPr>
              <w:t>9,722,029</w:t>
            </w:r>
          </w:p>
        </w:tc>
        <w:tc>
          <w:tcPr>
            <w:tcW w:w="1361" w:type="dxa"/>
            <w:tcBorders>
              <w:top w:val="nil"/>
              <w:left w:val="nil"/>
              <w:bottom w:val="nil"/>
              <w:right w:val="nil"/>
            </w:tcBorders>
            <w:vAlign w:val="bottom"/>
          </w:tcPr>
          <w:p w14:paraId="11B283BC" w14:textId="75FC8541" w:rsidR="00A26814" w:rsidRPr="001D41EA" w:rsidRDefault="00A26814" w:rsidP="00A26814">
            <w:pPr>
              <w:spacing w:before="40" w:after="40"/>
              <w:jc w:val="right"/>
              <w:rPr>
                <w:rFonts w:cs="Arial"/>
                <w:b/>
                <w:sz w:val="18"/>
                <w:szCs w:val="18"/>
              </w:rPr>
            </w:pPr>
            <w:r w:rsidRPr="001D41EA">
              <w:rPr>
                <w:rFonts w:cs="Arial"/>
                <w:b/>
                <w:sz w:val="18"/>
                <w:szCs w:val="18"/>
              </w:rPr>
              <w:t>9,718,793</w:t>
            </w:r>
          </w:p>
        </w:tc>
      </w:tr>
      <w:tr w:rsidR="00A26814" w:rsidRPr="001D41EA" w14:paraId="6F18214E"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5D548EB" w14:textId="77777777" w:rsidR="00A26814" w:rsidRPr="001D41EA" w:rsidRDefault="00A26814" w:rsidP="00A26814">
            <w:pPr>
              <w:spacing w:before="40" w:after="40"/>
              <w:rPr>
                <w:rFonts w:cs="Arial"/>
                <w:sz w:val="18"/>
                <w:szCs w:val="18"/>
              </w:rPr>
            </w:pPr>
            <w:r w:rsidRPr="001D41EA">
              <w:rPr>
                <w:rFonts w:cs="Arial"/>
                <w:sz w:val="18"/>
                <w:szCs w:val="18"/>
              </w:rPr>
              <w:t>Hepburn S</w:t>
            </w:r>
          </w:p>
        </w:tc>
        <w:tc>
          <w:tcPr>
            <w:tcW w:w="1361" w:type="dxa"/>
            <w:tcBorders>
              <w:top w:val="nil"/>
              <w:left w:val="single" w:sz="18" w:space="0" w:color="5F497A" w:themeColor="accent4" w:themeShade="BF"/>
              <w:bottom w:val="nil"/>
              <w:right w:val="nil"/>
            </w:tcBorders>
            <w:shd w:val="clear" w:color="auto" w:fill="auto"/>
            <w:noWrap/>
            <w:vAlign w:val="bottom"/>
          </w:tcPr>
          <w:p w14:paraId="125B6199" w14:textId="73910AFE" w:rsidR="00A26814" w:rsidRPr="001D41EA" w:rsidRDefault="00A26814" w:rsidP="00A26814">
            <w:pPr>
              <w:spacing w:before="40" w:after="40"/>
              <w:jc w:val="right"/>
              <w:rPr>
                <w:rFonts w:cs="Arial"/>
                <w:sz w:val="18"/>
                <w:szCs w:val="18"/>
              </w:rPr>
            </w:pPr>
            <w:r w:rsidRPr="001D41EA">
              <w:rPr>
                <w:rFonts w:cs="Arial"/>
                <w:sz w:val="18"/>
                <w:szCs w:val="18"/>
              </w:rPr>
              <w:t>32,276,271</w:t>
            </w:r>
          </w:p>
        </w:tc>
        <w:tc>
          <w:tcPr>
            <w:tcW w:w="1361" w:type="dxa"/>
            <w:tcBorders>
              <w:top w:val="nil"/>
              <w:left w:val="nil"/>
              <w:bottom w:val="nil"/>
              <w:right w:val="nil"/>
            </w:tcBorders>
            <w:shd w:val="clear" w:color="auto" w:fill="auto"/>
            <w:noWrap/>
            <w:vAlign w:val="bottom"/>
          </w:tcPr>
          <w:p w14:paraId="56BBF8BB" w14:textId="1E5FA032" w:rsidR="00A26814" w:rsidRPr="001D41EA" w:rsidRDefault="00A26814" w:rsidP="00A26814">
            <w:pPr>
              <w:spacing w:before="40" w:after="40"/>
              <w:jc w:val="right"/>
              <w:rPr>
                <w:rFonts w:cs="Arial"/>
                <w:sz w:val="18"/>
                <w:szCs w:val="18"/>
              </w:rPr>
            </w:pPr>
            <w:r w:rsidRPr="001D41EA">
              <w:rPr>
                <w:rFonts w:cs="Arial"/>
                <w:sz w:val="18"/>
                <w:szCs w:val="18"/>
              </w:rPr>
              <w:t>10,627,864</w:t>
            </w:r>
          </w:p>
        </w:tc>
        <w:tc>
          <w:tcPr>
            <w:tcW w:w="1361" w:type="dxa"/>
            <w:tcBorders>
              <w:top w:val="nil"/>
              <w:left w:val="nil"/>
              <w:bottom w:val="nil"/>
              <w:right w:val="nil"/>
            </w:tcBorders>
            <w:vAlign w:val="bottom"/>
          </w:tcPr>
          <w:p w14:paraId="04420916" w14:textId="5591639F" w:rsidR="00A26814" w:rsidRPr="001D41EA" w:rsidRDefault="00A26814" w:rsidP="00A26814">
            <w:pPr>
              <w:spacing w:before="40" w:after="40"/>
              <w:jc w:val="right"/>
              <w:rPr>
                <w:rFonts w:cs="Arial"/>
                <w:sz w:val="18"/>
                <w:szCs w:val="18"/>
              </w:rPr>
            </w:pPr>
            <w:r w:rsidRPr="001D41EA">
              <w:rPr>
                <w:rFonts w:cs="Arial"/>
                <w:sz w:val="18"/>
                <w:szCs w:val="18"/>
              </w:rPr>
              <w:t>21,648,407</w:t>
            </w:r>
          </w:p>
        </w:tc>
        <w:tc>
          <w:tcPr>
            <w:tcW w:w="1361" w:type="dxa"/>
            <w:tcBorders>
              <w:top w:val="nil"/>
              <w:left w:val="nil"/>
              <w:bottom w:val="nil"/>
              <w:right w:val="nil"/>
            </w:tcBorders>
            <w:shd w:val="clear" w:color="auto" w:fill="auto"/>
            <w:noWrap/>
            <w:vAlign w:val="bottom"/>
          </w:tcPr>
          <w:p w14:paraId="74633AB9" w14:textId="45A7B336" w:rsidR="00A26814" w:rsidRPr="001D41EA" w:rsidRDefault="00A26814" w:rsidP="00A26814">
            <w:pPr>
              <w:spacing w:before="40" w:after="40"/>
              <w:jc w:val="right"/>
              <w:rPr>
                <w:rFonts w:cs="Arial"/>
                <w:sz w:val="18"/>
                <w:szCs w:val="18"/>
              </w:rPr>
            </w:pPr>
            <w:r w:rsidRPr="001D41EA">
              <w:rPr>
                <w:rFonts w:cs="Arial"/>
                <w:sz w:val="18"/>
                <w:szCs w:val="18"/>
              </w:rPr>
              <w:t>3,495,465</w:t>
            </w:r>
          </w:p>
        </w:tc>
        <w:tc>
          <w:tcPr>
            <w:tcW w:w="1361" w:type="dxa"/>
            <w:tcBorders>
              <w:top w:val="nil"/>
              <w:left w:val="nil"/>
              <w:bottom w:val="nil"/>
              <w:right w:val="nil"/>
            </w:tcBorders>
            <w:vAlign w:val="bottom"/>
          </w:tcPr>
          <w:p w14:paraId="1DD0D215" w14:textId="4D930066" w:rsidR="00A26814" w:rsidRPr="001D41EA" w:rsidRDefault="00A26814" w:rsidP="00A26814">
            <w:pPr>
              <w:spacing w:before="40" w:after="40"/>
              <w:jc w:val="right"/>
              <w:rPr>
                <w:rFonts w:cs="Arial"/>
                <w:b/>
                <w:sz w:val="18"/>
                <w:szCs w:val="18"/>
              </w:rPr>
            </w:pPr>
            <w:r w:rsidRPr="001D41EA">
              <w:rPr>
                <w:rFonts w:cs="Arial"/>
                <w:b/>
                <w:sz w:val="18"/>
                <w:szCs w:val="18"/>
              </w:rPr>
              <w:t>3,494,302</w:t>
            </w:r>
          </w:p>
        </w:tc>
      </w:tr>
      <w:tr w:rsidR="00A26814" w:rsidRPr="001D41EA" w14:paraId="5194B347"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0BC29796" w14:textId="77777777" w:rsidR="00A26814" w:rsidRPr="001D41EA" w:rsidRDefault="00A26814" w:rsidP="00A26814">
            <w:pPr>
              <w:spacing w:before="40" w:after="40"/>
              <w:rPr>
                <w:rFonts w:cs="Arial"/>
                <w:sz w:val="18"/>
                <w:szCs w:val="18"/>
              </w:rPr>
            </w:pPr>
            <w:r w:rsidRPr="001D41EA">
              <w:rPr>
                <w:rFonts w:cs="Arial"/>
                <w:sz w:val="18"/>
                <w:szCs w:val="18"/>
              </w:rPr>
              <w:t>Hindmarsh S</w:t>
            </w:r>
          </w:p>
        </w:tc>
        <w:tc>
          <w:tcPr>
            <w:tcW w:w="1361" w:type="dxa"/>
            <w:tcBorders>
              <w:top w:val="nil"/>
              <w:left w:val="single" w:sz="18" w:space="0" w:color="5F497A" w:themeColor="accent4" w:themeShade="BF"/>
              <w:bottom w:val="nil"/>
              <w:right w:val="nil"/>
            </w:tcBorders>
            <w:shd w:val="clear" w:color="auto" w:fill="auto"/>
            <w:noWrap/>
            <w:vAlign w:val="bottom"/>
          </w:tcPr>
          <w:p w14:paraId="433E1ED9" w14:textId="1B832478" w:rsidR="00A26814" w:rsidRPr="001D41EA" w:rsidRDefault="00A26814" w:rsidP="00A26814">
            <w:pPr>
              <w:spacing w:before="40" w:after="40"/>
              <w:jc w:val="right"/>
              <w:rPr>
                <w:rFonts w:cs="Arial"/>
                <w:sz w:val="18"/>
                <w:szCs w:val="18"/>
              </w:rPr>
            </w:pPr>
            <w:r w:rsidRPr="001D41EA">
              <w:rPr>
                <w:rFonts w:cs="Arial"/>
                <w:sz w:val="18"/>
                <w:szCs w:val="18"/>
              </w:rPr>
              <w:t>23,433,436</w:t>
            </w:r>
          </w:p>
        </w:tc>
        <w:tc>
          <w:tcPr>
            <w:tcW w:w="1361" w:type="dxa"/>
            <w:tcBorders>
              <w:top w:val="nil"/>
              <w:left w:val="nil"/>
              <w:bottom w:val="nil"/>
              <w:right w:val="nil"/>
            </w:tcBorders>
            <w:shd w:val="clear" w:color="auto" w:fill="auto"/>
            <w:noWrap/>
            <w:vAlign w:val="bottom"/>
          </w:tcPr>
          <w:p w14:paraId="41323E01" w14:textId="111ADA27" w:rsidR="00A26814" w:rsidRPr="001D41EA" w:rsidRDefault="00A26814" w:rsidP="00A26814">
            <w:pPr>
              <w:spacing w:before="40" w:after="40"/>
              <w:jc w:val="right"/>
              <w:rPr>
                <w:rFonts w:cs="Arial"/>
                <w:sz w:val="18"/>
                <w:szCs w:val="18"/>
              </w:rPr>
            </w:pPr>
            <w:r w:rsidRPr="001D41EA">
              <w:rPr>
                <w:rFonts w:cs="Arial"/>
                <w:sz w:val="18"/>
                <w:szCs w:val="18"/>
              </w:rPr>
              <w:t>3,984,759</w:t>
            </w:r>
          </w:p>
        </w:tc>
        <w:tc>
          <w:tcPr>
            <w:tcW w:w="1361" w:type="dxa"/>
            <w:tcBorders>
              <w:top w:val="nil"/>
              <w:left w:val="nil"/>
              <w:bottom w:val="nil"/>
              <w:right w:val="nil"/>
            </w:tcBorders>
            <w:vAlign w:val="bottom"/>
          </w:tcPr>
          <w:p w14:paraId="3F8177AB" w14:textId="4E2FB361" w:rsidR="00A26814" w:rsidRPr="001D41EA" w:rsidRDefault="00A26814" w:rsidP="00A26814">
            <w:pPr>
              <w:spacing w:before="40" w:after="40"/>
              <w:jc w:val="right"/>
              <w:rPr>
                <w:rFonts w:cs="Arial"/>
                <w:sz w:val="18"/>
                <w:szCs w:val="18"/>
              </w:rPr>
            </w:pPr>
            <w:r w:rsidRPr="001D41EA">
              <w:rPr>
                <w:rFonts w:cs="Arial"/>
                <w:sz w:val="18"/>
                <w:szCs w:val="18"/>
              </w:rPr>
              <w:t>19,448,677</w:t>
            </w:r>
          </w:p>
        </w:tc>
        <w:tc>
          <w:tcPr>
            <w:tcW w:w="1361" w:type="dxa"/>
            <w:tcBorders>
              <w:top w:val="nil"/>
              <w:left w:val="nil"/>
              <w:bottom w:val="nil"/>
              <w:right w:val="nil"/>
            </w:tcBorders>
            <w:shd w:val="clear" w:color="auto" w:fill="auto"/>
            <w:noWrap/>
            <w:vAlign w:val="bottom"/>
          </w:tcPr>
          <w:p w14:paraId="64D8A3A6" w14:textId="17016655" w:rsidR="00A26814" w:rsidRPr="001D41EA" w:rsidRDefault="00A26814" w:rsidP="00A26814">
            <w:pPr>
              <w:spacing w:before="40" w:after="40"/>
              <w:jc w:val="right"/>
              <w:rPr>
                <w:rFonts w:cs="Arial"/>
                <w:sz w:val="18"/>
                <w:szCs w:val="18"/>
              </w:rPr>
            </w:pPr>
            <w:r w:rsidRPr="001D41EA">
              <w:rPr>
                <w:rFonts w:cs="Arial"/>
                <w:sz w:val="18"/>
                <w:szCs w:val="18"/>
              </w:rPr>
              <w:t>3,140,285</w:t>
            </w:r>
          </w:p>
        </w:tc>
        <w:tc>
          <w:tcPr>
            <w:tcW w:w="1361" w:type="dxa"/>
            <w:tcBorders>
              <w:top w:val="nil"/>
              <w:left w:val="nil"/>
              <w:bottom w:val="nil"/>
              <w:right w:val="nil"/>
            </w:tcBorders>
            <w:vAlign w:val="bottom"/>
          </w:tcPr>
          <w:p w14:paraId="660B10E9" w14:textId="2BBF9968" w:rsidR="00A26814" w:rsidRPr="001D41EA" w:rsidRDefault="00A26814" w:rsidP="00A26814">
            <w:pPr>
              <w:spacing w:before="40" w:after="40"/>
              <w:jc w:val="right"/>
              <w:rPr>
                <w:rFonts w:cs="Arial"/>
                <w:b/>
                <w:sz w:val="18"/>
                <w:szCs w:val="18"/>
              </w:rPr>
            </w:pPr>
            <w:r w:rsidRPr="001D41EA">
              <w:rPr>
                <w:rFonts w:cs="Arial"/>
                <w:b/>
                <w:sz w:val="18"/>
                <w:szCs w:val="18"/>
              </w:rPr>
              <w:t>3,139,240</w:t>
            </w:r>
          </w:p>
        </w:tc>
      </w:tr>
      <w:tr w:rsidR="00A26814" w:rsidRPr="001D41EA" w14:paraId="5DAA12C1"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0AE9591" w14:textId="77777777" w:rsidR="00A26814" w:rsidRPr="001D41EA" w:rsidRDefault="00A26814" w:rsidP="00A26814">
            <w:pPr>
              <w:spacing w:before="40" w:after="40"/>
              <w:rPr>
                <w:rFonts w:cs="Arial"/>
                <w:sz w:val="18"/>
                <w:szCs w:val="18"/>
              </w:rPr>
            </w:pPr>
            <w:r w:rsidRPr="001D41EA">
              <w:rPr>
                <w:rFonts w:cs="Arial"/>
                <w:sz w:val="18"/>
                <w:szCs w:val="18"/>
              </w:rPr>
              <w:t>Hobsons Bay C</w:t>
            </w:r>
          </w:p>
        </w:tc>
        <w:tc>
          <w:tcPr>
            <w:tcW w:w="1361" w:type="dxa"/>
            <w:tcBorders>
              <w:top w:val="nil"/>
              <w:left w:val="single" w:sz="18" w:space="0" w:color="5F497A" w:themeColor="accent4" w:themeShade="BF"/>
              <w:bottom w:val="nil"/>
              <w:right w:val="nil"/>
            </w:tcBorders>
            <w:shd w:val="clear" w:color="auto" w:fill="auto"/>
            <w:noWrap/>
            <w:vAlign w:val="bottom"/>
          </w:tcPr>
          <w:p w14:paraId="54ACAF4B" w14:textId="706CEC0B" w:rsidR="00A26814" w:rsidRPr="001D41EA" w:rsidRDefault="00A26814" w:rsidP="00A26814">
            <w:pPr>
              <w:spacing w:before="40" w:after="40"/>
              <w:jc w:val="right"/>
              <w:rPr>
                <w:rFonts w:cs="Arial"/>
                <w:sz w:val="18"/>
                <w:szCs w:val="18"/>
              </w:rPr>
            </w:pPr>
            <w:r w:rsidRPr="001D41EA">
              <w:rPr>
                <w:rFonts w:cs="Arial"/>
                <w:sz w:val="18"/>
                <w:szCs w:val="18"/>
              </w:rPr>
              <w:t>94,727,799</w:t>
            </w:r>
          </w:p>
        </w:tc>
        <w:tc>
          <w:tcPr>
            <w:tcW w:w="1361" w:type="dxa"/>
            <w:tcBorders>
              <w:top w:val="nil"/>
              <w:left w:val="nil"/>
              <w:bottom w:val="nil"/>
              <w:right w:val="nil"/>
            </w:tcBorders>
            <w:shd w:val="clear" w:color="auto" w:fill="auto"/>
            <w:noWrap/>
            <w:vAlign w:val="bottom"/>
          </w:tcPr>
          <w:p w14:paraId="7FCDC55B" w14:textId="1DA843DB" w:rsidR="00A26814" w:rsidRPr="001D41EA" w:rsidRDefault="00A26814" w:rsidP="00A26814">
            <w:pPr>
              <w:spacing w:before="40" w:after="40"/>
              <w:jc w:val="right"/>
              <w:rPr>
                <w:rFonts w:cs="Arial"/>
                <w:sz w:val="18"/>
                <w:szCs w:val="18"/>
              </w:rPr>
            </w:pPr>
            <w:r w:rsidRPr="001D41EA">
              <w:rPr>
                <w:rFonts w:cs="Arial"/>
                <w:sz w:val="18"/>
                <w:szCs w:val="18"/>
              </w:rPr>
              <w:t>91,547,131</w:t>
            </w:r>
          </w:p>
        </w:tc>
        <w:tc>
          <w:tcPr>
            <w:tcW w:w="1361" w:type="dxa"/>
            <w:tcBorders>
              <w:top w:val="nil"/>
              <w:left w:val="nil"/>
              <w:bottom w:val="nil"/>
              <w:right w:val="nil"/>
            </w:tcBorders>
            <w:vAlign w:val="bottom"/>
          </w:tcPr>
          <w:p w14:paraId="14193098" w14:textId="5B3FE4BA" w:rsidR="00A26814" w:rsidRPr="001D41EA" w:rsidRDefault="00A26814" w:rsidP="00A26814">
            <w:pPr>
              <w:spacing w:before="40" w:after="40"/>
              <w:jc w:val="right"/>
              <w:rPr>
                <w:rFonts w:cs="Arial"/>
                <w:sz w:val="18"/>
                <w:szCs w:val="18"/>
              </w:rPr>
            </w:pPr>
            <w:r w:rsidRPr="001D41EA">
              <w:rPr>
                <w:rFonts w:cs="Arial"/>
                <w:sz w:val="18"/>
                <w:szCs w:val="18"/>
              </w:rPr>
              <w:t>3,180,668</w:t>
            </w:r>
          </w:p>
        </w:tc>
        <w:tc>
          <w:tcPr>
            <w:tcW w:w="1361" w:type="dxa"/>
            <w:tcBorders>
              <w:top w:val="nil"/>
              <w:left w:val="nil"/>
              <w:bottom w:val="nil"/>
              <w:right w:val="nil"/>
            </w:tcBorders>
            <w:shd w:val="clear" w:color="auto" w:fill="auto"/>
            <w:noWrap/>
            <w:vAlign w:val="bottom"/>
          </w:tcPr>
          <w:p w14:paraId="2569E680" w14:textId="3D3687F1" w:rsidR="00A26814" w:rsidRPr="001D41EA" w:rsidRDefault="00A26814" w:rsidP="00A26814">
            <w:pPr>
              <w:spacing w:before="40" w:after="40"/>
              <w:jc w:val="right"/>
              <w:rPr>
                <w:rFonts w:cs="Arial"/>
                <w:sz w:val="18"/>
                <w:szCs w:val="18"/>
              </w:rPr>
            </w:pPr>
            <w:r w:rsidRPr="001D41EA">
              <w:rPr>
                <w:rFonts w:cs="Arial"/>
                <w:sz w:val="18"/>
                <w:szCs w:val="18"/>
              </w:rPr>
              <w:t>2,040,820</w:t>
            </w:r>
          </w:p>
        </w:tc>
        <w:tc>
          <w:tcPr>
            <w:tcW w:w="1361" w:type="dxa"/>
            <w:tcBorders>
              <w:top w:val="nil"/>
              <w:left w:val="nil"/>
              <w:bottom w:val="nil"/>
              <w:right w:val="nil"/>
            </w:tcBorders>
            <w:vAlign w:val="bottom"/>
          </w:tcPr>
          <w:p w14:paraId="6ABC8793" w14:textId="7009F041" w:rsidR="00A26814" w:rsidRPr="001D41EA" w:rsidRDefault="00A26814" w:rsidP="00A26814">
            <w:pPr>
              <w:spacing w:before="40" w:after="40"/>
              <w:jc w:val="right"/>
              <w:rPr>
                <w:rFonts w:cs="Arial"/>
                <w:b/>
                <w:sz w:val="18"/>
                <w:szCs w:val="18"/>
              </w:rPr>
            </w:pPr>
            <w:r w:rsidRPr="001D41EA">
              <w:rPr>
                <w:rFonts w:cs="Arial"/>
                <w:b/>
                <w:sz w:val="18"/>
                <w:szCs w:val="18"/>
              </w:rPr>
              <w:t>2,040,820</w:t>
            </w:r>
          </w:p>
        </w:tc>
      </w:tr>
      <w:tr w:rsidR="00A26814" w:rsidRPr="001D41EA" w14:paraId="3B40E2F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609E55B8" w14:textId="77777777" w:rsidR="00A26814" w:rsidRPr="001D41EA" w:rsidRDefault="00A26814" w:rsidP="00A26814">
            <w:pPr>
              <w:spacing w:before="40" w:after="40"/>
              <w:rPr>
                <w:rFonts w:cs="Arial"/>
                <w:sz w:val="18"/>
                <w:szCs w:val="18"/>
              </w:rPr>
            </w:pPr>
            <w:r w:rsidRPr="001D41EA">
              <w:rPr>
                <w:rFonts w:cs="Arial"/>
                <w:sz w:val="18"/>
                <w:szCs w:val="18"/>
              </w:rPr>
              <w:t>Horsham RC</w:t>
            </w:r>
          </w:p>
        </w:tc>
        <w:tc>
          <w:tcPr>
            <w:tcW w:w="1361" w:type="dxa"/>
            <w:tcBorders>
              <w:top w:val="nil"/>
              <w:left w:val="single" w:sz="18" w:space="0" w:color="5F497A" w:themeColor="accent4" w:themeShade="BF"/>
              <w:bottom w:val="nil"/>
              <w:right w:val="nil"/>
            </w:tcBorders>
            <w:shd w:val="clear" w:color="auto" w:fill="auto"/>
            <w:noWrap/>
            <w:vAlign w:val="bottom"/>
          </w:tcPr>
          <w:p w14:paraId="354B6B5B" w14:textId="4852E74C" w:rsidR="00A26814" w:rsidRPr="001D41EA" w:rsidRDefault="00A26814" w:rsidP="00A26814">
            <w:pPr>
              <w:spacing w:before="40" w:after="40"/>
              <w:jc w:val="right"/>
              <w:rPr>
                <w:rFonts w:cs="Arial"/>
                <w:sz w:val="18"/>
                <w:szCs w:val="18"/>
              </w:rPr>
            </w:pPr>
            <w:r w:rsidRPr="001D41EA">
              <w:rPr>
                <w:rFonts w:cs="Arial"/>
                <w:sz w:val="18"/>
                <w:szCs w:val="18"/>
              </w:rPr>
              <w:t>39,437,964</w:t>
            </w:r>
          </w:p>
        </w:tc>
        <w:tc>
          <w:tcPr>
            <w:tcW w:w="1361" w:type="dxa"/>
            <w:tcBorders>
              <w:top w:val="nil"/>
              <w:left w:val="nil"/>
              <w:bottom w:val="nil"/>
              <w:right w:val="nil"/>
            </w:tcBorders>
            <w:shd w:val="clear" w:color="auto" w:fill="auto"/>
            <w:noWrap/>
            <w:vAlign w:val="bottom"/>
          </w:tcPr>
          <w:p w14:paraId="29625109" w14:textId="2F8027DA" w:rsidR="00A26814" w:rsidRPr="001D41EA" w:rsidRDefault="00A26814" w:rsidP="00A26814">
            <w:pPr>
              <w:spacing w:before="40" w:after="40"/>
              <w:jc w:val="right"/>
              <w:rPr>
                <w:rFonts w:cs="Arial"/>
                <w:sz w:val="18"/>
                <w:szCs w:val="18"/>
              </w:rPr>
            </w:pPr>
            <w:r w:rsidRPr="001D41EA">
              <w:rPr>
                <w:rFonts w:cs="Arial"/>
                <w:sz w:val="18"/>
                <w:szCs w:val="18"/>
              </w:rPr>
              <w:t>13,031,032</w:t>
            </w:r>
          </w:p>
        </w:tc>
        <w:tc>
          <w:tcPr>
            <w:tcW w:w="1361" w:type="dxa"/>
            <w:tcBorders>
              <w:top w:val="nil"/>
              <w:left w:val="nil"/>
              <w:bottom w:val="nil"/>
              <w:right w:val="nil"/>
            </w:tcBorders>
            <w:vAlign w:val="bottom"/>
          </w:tcPr>
          <w:p w14:paraId="3BCB8AFB" w14:textId="6285967B" w:rsidR="00A26814" w:rsidRPr="001D41EA" w:rsidRDefault="00A26814" w:rsidP="00A26814">
            <w:pPr>
              <w:spacing w:before="40" w:after="40"/>
              <w:jc w:val="right"/>
              <w:rPr>
                <w:rFonts w:cs="Arial"/>
                <w:sz w:val="18"/>
                <w:szCs w:val="18"/>
              </w:rPr>
            </w:pPr>
            <w:r w:rsidRPr="001D41EA">
              <w:rPr>
                <w:rFonts w:cs="Arial"/>
                <w:sz w:val="18"/>
                <w:szCs w:val="18"/>
              </w:rPr>
              <w:t>26,406,932</w:t>
            </w:r>
          </w:p>
        </w:tc>
        <w:tc>
          <w:tcPr>
            <w:tcW w:w="1361" w:type="dxa"/>
            <w:tcBorders>
              <w:top w:val="nil"/>
              <w:left w:val="nil"/>
              <w:bottom w:val="nil"/>
              <w:right w:val="nil"/>
            </w:tcBorders>
            <w:shd w:val="clear" w:color="auto" w:fill="auto"/>
            <w:noWrap/>
            <w:vAlign w:val="bottom"/>
          </w:tcPr>
          <w:p w14:paraId="0A9F8851" w14:textId="39EAE70B" w:rsidR="00A26814" w:rsidRPr="001D41EA" w:rsidRDefault="00A26814" w:rsidP="00A26814">
            <w:pPr>
              <w:spacing w:before="40" w:after="40"/>
              <w:jc w:val="right"/>
              <w:rPr>
                <w:rFonts w:cs="Arial"/>
                <w:sz w:val="18"/>
                <w:szCs w:val="18"/>
              </w:rPr>
            </w:pPr>
            <w:r w:rsidRPr="001D41EA">
              <w:rPr>
                <w:rFonts w:cs="Arial"/>
                <w:sz w:val="18"/>
                <w:szCs w:val="18"/>
              </w:rPr>
              <w:t>4,263,802</w:t>
            </w:r>
          </w:p>
        </w:tc>
        <w:tc>
          <w:tcPr>
            <w:tcW w:w="1361" w:type="dxa"/>
            <w:tcBorders>
              <w:top w:val="nil"/>
              <w:left w:val="nil"/>
              <w:bottom w:val="nil"/>
              <w:right w:val="nil"/>
            </w:tcBorders>
            <w:vAlign w:val="bottom"/>
          </w:tcPr>
          <w:p w14:paraId="253D49B1" w14:textId="03AE5C3A" w:rsidR="00A26814" w:rsidRPr="001D41EA" w:rsidRDefault="00A26814" w:rsidP="00A26814">
            <w:pPr>
              <w:spacing w:before="40" w:after="40"/>
              <w:jc w:val="right"/>
              <w:rPr>
                <w:rFonts w:cs="Arial"/>
                <w:b/>
                <w:sz w:val="18"/>
                <w:szCs w:val="18"/>
              </w:rPr>
            </w:pPr>
            <w:r w:rsidRPr="001D41EA">
              <w:rPr>
                <w:rFonts w:cs="Arial"/>
                <w:b/>
                <w:sz w:val="18"/>
                <w:szCs w:val="18"/>
              </w:rPr>
              <w:t>4,262,383</w:t>
            </w:r>
          </w:p>
        </w:tc>
      </w:tr>
      <w:tr w:rsidR="00A26814" w:rsidRPr="001D41EA" w14:paraId="15848E89"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43500B80" w14:textId="77777777" w:rsidR="00A26814" w:rsidRPr="001D41EA" w:rsidRDefault="00A26814" w:rsidP="00A26814">
            <w:pPr>
              <w:spacing w:before="40" w:after="40"/>
              <w:rPr>
                <w:rFonts w:cs="Arial"/>
                <w:sz w:val="18"/>
                <w:szCs w:val="18"/>
              </w:rPr>
            </w:pPr>
            <w:r w:rsidRPr="001D41EA">
              <w:rPr>
                <w:rFonts w:cs="Arial"/>
                <w:sz w:val="18"/>
                <w:szCs w:val="18"/>
              </w:rPr>
              <w:t>Hume C</w:t>
            </w:r>
          </w:p>
        </w:tc>
        <w:tc>
          <w:tcPr>
            <w:tcW w:w="1361" w:type="dxa"/>
            <w:tcBorders>
              <w:top w:val="nil"/>
              <w:left w:val="single" w:sz="18" w:space="0" w:color="5F497A" w:themeColor="accent4" w:themeShade="BF"/>
              <w:bottom w:val="nil"/>
              <w:right w:val="nil"/>
            </w:tcBorders>
            <w:shd w:val="clear" w:color="auto" w:fill="auto"/>
            <w:noWrap/>
            <w:vAlign w:val="bottom"/>
          </w:tcPr>
          <w:p w14:paraId="70D60B4F" w14:textId="5314DEA2" w:rsidR="00A26814" w:rsidRPr="001D41EA" w:rsidRDefault="00A26814" w:rsidP="00A26814">
            <w:pPr>
              <w:spacing w:before="40" w:after="40"/>
              <w:jc w:val="right"/>
              <w:rPr>
                <w:rFonts w:cs="Arial"/>
                <w:sz w:val="18"/>
                <w:szCs w:val="18"/>
              </w:rPr>
            </w:pPr>
            <w:r w:rsidRPr="001D41EA">
              <w:rPr>
                <w:rFonts w:cs="Arial"/>
                <w:sz w:val="18"/>
                <w:szCs w:val="18"/>
              </w:rPr>
              <w:t>231,359,283</w:t>
            </w:r>
          </w:p>
        </w:tc>
        <w:tc>
          <w:tcPr>
            <w:tcW w:w="1361" w:type="dxa"/>
            <w:tcBorders>
              <w:top w:val="nil"/>
              <w:left w:val="nil"/>
              <w:bottom w:val="nil"/>
              <w:right w:val="nil"/>
            </w:tcBorders>
            <w:shd w:val="clear" w:color="auto" w:fill="auto"/>
            <w:noWrap/>
            <w:vAlign w:val="bottom"/>
          </w:tcPr>
          <w:p w14:paraId="5E7CBF6C" w14:textId="62ADC437" w:rsidR="00A26814" w:rsidRPr="001D41EA" w:rsidRDefault="00A26814" w:rsidP="00A26814">
            <w:pPr>
              <w:spacing w:before="40" w:after="40"/>
              <w:jc w:val="right"/>
              <w:rPr>
                <w:rFonts w:cs="Arial"/>
                <w:sz w:val="18"/>
                <w:szCs w:val="18"/>
              </w:rPr>
            </w:pPr>
            <w:r w:rsidRPr="001D41EA">
              <w:rPr>
                <w:rFonts w:cs="Arial"/>
                <w:sz w:val="18"/>
                <w:szCs w:val="18"/>
              </w:rPr>
              <w:t>145,780,175</w:t>
            </w:r>
          </w:p>
        </w:tc>
        <w:tc>
          <w:tcPr>
            <w:tcW w:w="1361" w:type="dxa"/>
            <w:tcBorders>
              <w:top w:val="nil"/>
              <w:left w:val="nil"/>
              <w:bottom w:val="nil"/>
              <w:right w:val="nil"/>
            </w:tcBorders>
            <w:vAlign w:val="bottom"/>
          </w:tcPr>
          <w:p w14:paraId="72C87776" w14:textId="3F4D6A3E" w:rsidR="00A26814" w:rsidRPr="001D41EA" w:rsidRDefault="00A26814" w:rsidP="00A26814">
            <w:pPr>
              <w:spacing w:before="40" w:after="40"/>
              <w:jc w:val="right"/>
              <w:rPr>
                <w:rFonts w:cs="Arial"/>
                <w:sz w:val="18"/>
                <w:szCs w:val="18"/>
              </w:rPr>
            </w:pPr>
            <w:r w:rsidRPr="001D41EA">
              <w:rPr>
                <w:rFonts w:cs="Arial"/>
                <w:sz w:val="18"/>
                <w:szCs w:val="18"/>
              </w:rPr>
              <w:t>85,579,108</w:t>
            </w:r>
          </w:p>
        </w:tc>
        <w:tc>
          <w:tcPr>
            <w:tcW w:w="1361" w:type="dxa"/>
            <w:tcBorders>
              <w:top w:val="nil"/>
              <w:left w:val="nil"/>
              <w:bottom w:val="nil"/>
              <w:right w:val="nil"/>
            </w:tcBorders>
            <w:shd w:val="clear" w:color="auto" w:fill="auto"/>
            <w:noWrap/>
            <w:vAlign w:val="bottom"/>
          </w:tcPr>
          <w:p w14:paraId="0F9BD2EC" w14:textId="17F19475" w:rsidR="00A26814" w:rsidRPr="001D41EA" w:rsidRDefault="00A26814" w:rsidP="00A26814">
            <w:pPr>
              <w:spacing w:before="40" w:after="40"/>
              <w:jc w:val="right"/>
              <w:rPr>
                <w:rFonts w:cs="Arial"/>
                <w:sz w:val="18"/>
                <w:szCs w:val="18"/>
              </w:rPr>
            </w:pPr>
            <w:r w:rsidRPr="001D41EA">
              <w:rPr>
                <w:rFonts w:cs="Arial"/>
                <w:sz w:val="18"/>
                <w:szCs w:val="18"/>
              </w:rPr>
              <w:t>13,818,051</w:t>
            </w:r>
          </w:p>
        </w:tc>
        <w:tc>
          <w:tcPr>
            <w:tcW w:w="1361" w:type="dxa"/>
            <w:tcBorders>
              <w:top w:val="nil"/>
              <w:left w:val="nil"/>
              <w:bottom w:val="nil"/>
              <w:right w:val="nil"/>
            </w:tcBorders>
            <w:vAlign w:val="bottom"/>
          </w:tcPr>
          <w:p w14:paraId="67F74E52" w14:textId="29D90E5E" w:rsidR="00A26814" w:rsidRPr="001D41EA" w:rsidRDefault="00A26814" w:rsidP="00A26814">
            <w:pPr>
              <w:spacing w:before="40" w:after="40"/>
              <w:jc w:val="right"/>
              <w:rPr>
                <w:rFonts w:cs="Arial"/>
                <w:b/>
                <w:sz w:val="18"/>
                <w:szCs w:val="18"/>
              </w:rPr>
            </w:pPr>
            <w:r w:rsidRPr="001D41EA">
              <w:rPr>
                <w:rFonts w:cs="Arial"/>
                <w:b/>
                <w:sz w:val="18"/>
                <w:szCs w:val="18"/>
              </w:rPr>
              <w:t>13,813,452</w:t>
            </w:r>
          </w:p>
        </w:tc>
      </w:tr>
      <w:tr w:rsidR="00A26814" w:rsidRPr="001D41EA" w14:paraId="66EC4C28"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95CE315" w14:textId="77777777" w:rsidR="00A26814" w:rsidRPr="001D41EA" w:rsidRDefault="00A26814" w:rsidP="00A26814">
            <w:pPr>
              <w:spacing w:before="40" w:after="40"/>
              <w:rPr>
                <w:rFonts w:cs="Arial"/>
                <w:sz w:val="18"/>
                <w:szCs w:val="18"/>
              </w:rPr>
            </w:pPr>
            <w:r w:rsidRPr="001D41EA">
              <w:rPr>
                <w:rFonts w:cs="Arial"/>
                <w:sz w:val="18"/>
                <w:szCs w:val="18"/>
              </w:rPr>
              <w:t>Indigo S</w:t>
            </w:r>
          </w:p>
        </w:tc>
        <w:tc>
          <w:tcPr>
            <w:tcW w:w="1361" w:type="dxa"/>
            <w:tcBorders>
              <w:top w:val="nil"/>
              <w:left w:val="single" w:sz="18" w:space="0" w:color="5F497A" w:themeColor="accent4" w:themeShade="BF"/>
              <w:bottom w:val="nil"/>
              <w:right w:val="nil"/>
            </w:tcBorders>
            <w:shd w:val="clear" w:color="auto" w:fill="auto"/>
            <w:noWrap/>
            <w:vAlign w:val="bottom"/>
          </w:tcPr>
          <w:p w14:paraId="1B8050C8" w14:textId="0708F907" w:rsidR="00A26814" w:rsidRPr="001D41EA" w:rsidRDefault="00A26814" w:rsidP="00A26814">
            <w:pPr>
              <w:spacing w:before="40" w:after="40"/>
              <w:jc w:val="right"/>
              <w:rPr>
                <w:rFonts w:cs="Arial"/>
                <w:sz w:val="18"/>
                <w:szCs w:val="18"/>
              </w:rPr>
            </w:pPr>
            <w:r w:rsidRPr="001D41EA">
              <w:rPr>
                <w:rFonts w:cs="Arial"/>
                <w:sz w:val="18"/>
                <w:szCs w:val="18"/>
              </w:rPr>
              <w:t>31,325,787</w:t>
            </w:r>
          </w:p>
        </w:tc>
        <w:tc>
          <w:tcPr>
            <w:tcW w:w="1361" w:type="dxa"/>
            <w:tcBorders>
              <w:top w:val="nil"/>
              <w:left w:val="nil"/>
              <w:bottom w:val="nil"/>
              <w:right w:val="nil"/>
            </w:tcBorders>
            <w:shd w:val="clear" w:color="auto" w:fill="auto"/>
            <w:noWrap/>
            <w:vAlign w:val="bottom"/>
          </w:tcPr>
          <w:p w14:paraId="24A7CC52" w14:textId="7E4642F4" w:rsidR="00A26814" w:rsidRPr="001D41EA" w:rsidRDefault="00A26814" w:rsidP="00A26814">
            <w:pPr>
              <w:spacing w:before="40" w:after="40"/>
              <w:jc w:val="right"/>
              <w:rPr>
                <w:rFonts w:cs="Arial"/>
                <w:sz w:val="18"/>
                <w:szCs w:val="18"/>
              </w:rPr>
            </w:pPr>
            <w:r w:rsidRPr="001D41EA">
              <w:rPr>
                <w:rFonts w:cs="Arial"/>
                <w:sz w:val="18"/>
                <w:szCs w:val="18"/>
              </w:rPr>
              <w:t>11,430,651</w:t>
            </w:r>
          </w:p>
        </w:tc>
        <w:tc>
          <w:tcPr>
            <w:tcW w:w="1361" w:type="dxa"/>
            <w:tcBorders>
              <w:top w:val="nil"/>
              <w:left w:val="nil"/>
              <w:bottom w:val="nil"/>
              <w:right w:val="nil"/>
            </w:tcBorders>
            <w:vAlign w:val="bottom"/>
          </w:tcPr>
          <w:p w14:paraId="54561A17" w14:textId="68837A6E" w:rsidR="00A26814" w:rsidRPr="001D41EA" w:rsidRDefault="00A26814" w:rsidP="00A26814">
            <w:pPr>
              <w:spacing w:before="40" w:after="40"/>
              <w:jc w:val="right"/>
              <w:rPr>
                <w:rFonts w:cs="Arial"/>
                <w:sz w:val="18"/>
                <w:szCs w:val="18"/>
              </w:rPr>
            </w:pPr>
            <w:r w:rsidRPr="001D41EA">
              <w:rPr>
                <w:rFonts w:cs="Arial"/>
                <w:sz w:val="18"/>
                <w:szCs w:val="18"/>
              </w:rPr>
              <w:t>19,895,135</w:t>
            </w:r>
          </w:p>
        </w:tc>
        <w:tc>
          <w:tcPr>
            <w:tcW w:w="1361" w:type="dxa"/>
            <w:tcBorders>
              <w:top w:val="nil"/>
              <w:left w:val="nil"/>
              <w:bottom w:val="nil"/>
              <w:right w:val="nil"/>
            </w:tcBorders>
            <w:shd w:val="clear" w:color="auto" w:fill="auto"/>
            <w:noWrap/>
            <w:vAlign w:val="bottom"/>
          </w:tcPr>
          <w:p w14:paraId="0633B5F5" w14:textId="16FCCE77" w:rsidR="00A26814" w:rsidRPr="001D41EA" w:rsidRDefault="00A26814" w:rsidP="00A26814">
            <w:pPr>
              <w:spacing w:before="40" w:after="40"/>
              <w:jc w:val="right"/>
              <w:rPr>
                <w:rFonts w:cs="Arial"/>
                <w:sz w:val="18"/>
                <w:szCs w:val="18"/>
              </w:rPr>
            </w:pPr>
            <w:r w:rsidRPr="001D41EA">
              <w:rPr>
                <w:rFonts w:cs="Arial"/>
                <w:sz w:val="18"/>
                <w:szCs w:val="18"/>
              </w:rPr>
              <w:t>3,212,373</w:t>
            </w:r>
          </w:p>
        </w:tc>
        <w:tc>
          <w:tcPr>
            <w:tcW w:w="1361" w:type="dxa"/>
            <w:tcBorders>
              <w:top w:val="nil"/>
              <w:left w:val="nil"/>
              <w:bottom w:val="nil"/>
              <w:right w:val="nil"/>
            </w:tcBorders>
            <w:vAlign w:val="bottom"/>
          </w:tcPr>
          <w:p w14:paraId="08D82411" w14:textId="7B897269" w:rsidR="00A26814" w:rsidRPr="001D41EA" w:rsidRDefault="00A26814" w:rsidP="00A26814">
            <w:pPr>
              <w:spacing w:before="40" w:after="40"/>
              <w:jc w:val="right"/>
              <w:rPr>
                <w:rFonts w:cs="Arial"/>
                <w:b/>
                <w:sz w:val="18"/>
                <w:szCs w:val="18"/>
              </w:rPr>
            </w:pPr>
            <w:r w:rsidRPr="001D41EA">
              <w:rPr>
                <w:rFonts w:cs="Arial"/>
                <w:b/>
                <w:sz w:val="18"/>
                <w:szCs w:val="18"/>
              </w:rPr>
              <w:t>3,211,304</w:t>
            </w:r>
          </w:p>
        </w:tc>
      </w:tr>
      <w:tr w:rsidR="00A26814" w:rsidRPr="001D41EA" w14:paraId="67CA70AF"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12328C47" w14:textId="77777777" w:rsidR="00A26814" w:rsidRPr="001D41EA" w:rsidRDefault="00A26814" w:rsidP="00A26814">
            <w:pPr>
              <w:spacing w:before="40" w:after="40"/>
              <w:rPr>
                <w:rFonts w:cs="Arial"/>
                <w:sz w:val="18"/>
                <w:szCs w:val="18"/>
              </w:rPr>
            </w:pPr>
            <w:r w:rsidRPr="001D41EA">
              <w:rPr>
                <w:rFonts w:cs="Arial"/>
                <w:sz w:val="18"/>
                <w:szCs w:val="18"/>
              </w:rPr>
              <w:t>Kingston C</w:t>
            </w:r>
          </w:p>
        </w:tc>
        <w:tc>
          <w:tcPr>
            <w:tcW w:w="1361" w:type="dxa"/>
            <w:tcBorders>
              <w:top w:val="nil"/>
              <w:left w:val="single" w:sz="18" w:space="0" w:color="5F497A" w:themeColor="accent4" w:themeShade="BF"/>
              <w:bottom w:val="nil"/>
              <w:right w:val="nil"/>
            </w:tcBorders>
            <w:shd w:val="clear" w:color="auto" w:fill="auto"/>
            <w:noWrap/>
            <w:vAlign w:val="bottom"/>
          </w:tcPr>
          <w:p w14:paraId="383C28EE" w14:textId="62F71569" w:rsidR="00A26814" w:rsidRPr="001D41EA" w:rsidRDefault="00A26814" w:rsidP="00A26814">
            <w:pPr>
              <w:spacing w:before="40" w:after="40"/>
              <w:jc w:val="right"/>
              <w:rPr>
                <w:rFonts w:cs="Arial"/>
                <w:sz w:val="18"/>
                <w:szCs w:val="18"/>
              </w:rPr>
            </w:pPr>
            <w:r w:rsidRPr="001D41EA">
              <w:rPr>
                <w:rFonts w:cs="Arial"/>
                <w:sz w:val="18"/>
                <w:szCs w:val="18"/>
              </w:rPr>
              <w:t>160,967,606</w:t>
            </w:r>
          </w:p>
        </w:tc>
        <w:tc>
          <w:tcPr>
            <w:tcW w:w="1361" w:type="dxa"/>
            <w:tcBorders>
              <w:top w:val="nil"/>
              <w:left w:val="nil"/>
              <w:bottom w:val="nil"/>
              <w:right w:val="nil"/>
            </w:tcBorders>
            <w:shd w:val="clear" w:color="auto" w:fill="auto"/>
            <w:noWrap/>
            <w:vAlign w:val="bottom"/>
          </w:tcPr>
          <w:p w14:paraId="76FB0195" w14:textId="3BFD534F" w:rsidR="00A26814" w:rsidRPr="001D41EA" w:rsidRDefault="00A26814" w:rsidP="00A26814">
            <w:pPr>
              <w:spacing w:before="40" w:after="40"/>
              <w:jc w:val="right"/>
              <w:rPr>
                <w:rFonts w:cs="Arial"/>
                <w:sz w:val="18"/>
                <w:szCs w:val="18"/>
              </w:rPr>
            </w:pPr>
            <w:r w:rsidRPr="001D41EA">
              <w:rPr>
                <w:rFonts w:cs="Arial"/>
                <w:sz w:val="18"/>
                <w:szCs w:val="18"/>
              </w:rPr>
              <w:t>163,005,152</w:t>
            </w:r>
          </w:p>
        </w:tc>
        <w:tc>
          <w:tcPr>
            <w:tcW w:w="1361" w:type="dxa"/>
            <w:tcBorders>
              <w:top w:val="nil"/>
              <w:left w:val="nil"/>
              <w:bottom w:val="nil"/>
              <w:right w:val="nil"/>
            </w:tcBorders>
            <w:vAlign w:val="bottom"/>
          </w:tcPr>
          <w:p w14:paraId="1678AA24" w14:textId="0071C256" w:rsidR="00A26814" w:rsidRPr="001D41EA" w:rsidRDefault="00A26814" w:rsidP="00A26814">
            <w:pPr>
              <w:spacing w:before="40" w:after="40"/>
              <w:jc w:val="right"/>
              <w:rPr>
                <w:rFonts w:cs="Arial"/>
                <w:sz w:val="18"/>
                <w:szCs w:val="18"/>
              </w:rPr>
            </w:pPr>
            <w:r w:rsidRPr="001D41EA">
              <w:rPr>
                <w:rFonts w:cs="Arial"/>
                <w:sz w:val="18"/>
                <w:szCs w:val="18"/>
              </w:rPr>
              <w:t>-2,037,546</w:t>
            </w:r>
          </w:p>
        </w:tc>
        <w:tc>
          <w:tcPr>
            <w:tcW w:w="1361" w:type="dxa"/>
            <w:tcBorders>
              <w:top w:val="nil"/>
              <w:left w:val="nil"/>
              <w:bottom w:val="nil"/>
              <w:right w:val="nil"/>
            </w:tcBorders>
            <w:shd w:val="clear" w:color="auto" w:fill="auto"/>
            <w:noWrap/>
            <w:vAlign w:val="bottom"/>
          </w:tcPr>
          <w:p w14:paraId="2E23E80B" w14:textId="27391F68" w:rsidR="00A26814" w:rsidRPr="001D41EA" w:rsidRDefault="00A26814" w:rsidP="00A26814">
            <w:pPr>
              <w:spacing w:before="40" w:after="40"/>
              <w:jc w:val="right"/>
              <w:rPr>
                <w:rFonts w:cs="Arial"/>
                <w:sz w:val="18"/>
                <w:szCs w:val="18"/>
              </w:rPr>
            </w:pPr>
            <w:r w:rsidRPr="001D41EA">
              <w:rPr>
                <w:rFonts w:cs="Arial"/>
                <w:sz w:val="18"/>
                <w:szCs w:val="18"/>
              </w:rPr>
              <w:t>3,457,377</w:t>
            </w:r>
          </w:p>
        </w:tc>
        <w:tc>
          <w:tcPr>
            <w:tcW w:w="1361" w:type="dxa"/>
            <w:tcBorders>
              <w:top w:val="nil"/>
              <w:left w:val="nil"/>
              <w:bottom w:val="nil"/>
              <w:right w:val="nil"/>
            </w:tcBorders>
            <w:vAlign w:val="bottom"/>
          </w:tcPr>
          <w:p w14:paraId="3289B3FB" w14:textId="55769B2B" w:rsidR="00A26814" w:rsidRPr="001D41EA" w:rsidRDefault="00A26814" w:rsidP="00A26814">
            <w:pPr>
              <w:spacing w:before="40" w:after="40"/>
              <w:jc w:val="right"/>
              <w:rPr>
                <w:rFonts w:cs="Arial"/>
                <w:b/>
                <w:sz w:val="18"/>
                <w:szCs w:val="18"/>
              </w:rPr>
            </w:pPr>
            <w:r w:rsidRPr="001D41EA">
              <w:rPr>
                <w:rFonts w:cs="Arial"/>
                <w:b/>
                <w:sz w:val="18"/>
                <w:szCs w:val="18"/>
              </w:rPr>
              <w:t>3,457,377</w:t>
            </w:r>
          </w:p>
        </w:tc>
      </w:tr>
      <w:tr w:rsidR="00A26814" w:rsidRPr="001D41EA" w14:paraId="10D08B7B"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5C51D4DF" w14:textId="77777777" w:rsidR="00A26814" w:rsidRPr="001D41EA" w:rsidRDefault="00A26814" w:rsidP="00A26814">
            <w:pPr>
              <w:spacing w:before="40" w:after="40"/>
              <w:rPr>
                <w:rFonts w:cs="Arial"/>
                <w:sz w:val="18"/>
                <w:szCs w:val="18"/>
              </w:rPr>
            </w:pPr>
            <w:r w:rsidRPr="001D41EA">
              <w:rPr>
                <w:rFonts w:cs="Arial"/>
                <w:sz w:val="18"/>
                <w:szCs w:val="18"/>
              </w:rPr>
              <w:t>Knox C</w:t>
            </w:r>
          </w:p>
        </w:tc>
        <w:tc>
          <w:tcPr>
            <w:tcW w:w="1361" w:type="dxa"/>
            <w:tcBorders>
              <w:top w:val="nil"/>
              <w:left w:val="single" w:sz="18" w:space="0" w:color="5F497A" w:themeColor="accent4" w:themeShade="BF"/>
              <w:bottom w:val="nil"/>
              <w:right w:val="nil"/>
            </w:tcBorders>
            <w:shd w:val="clear" w:color="auto" w:fill="auto"/>
            <w:noWrap/>
            <w:vAlign w:val="bottom"/>
          </w:tcPr>
          <w:p w14:paraId="4A604D0C" w14:textId="422BA36A" w:rsidR="00A26814" w:rsidRPr="001D41EA" w:rsidRDefault="00A26814" w:rsidP="00A26814">
            <w:pPr>
              <w:spacing w:before="40" w:after="40"/>
              <w:jc w:val="right"/>
              <w:rPr>
                <w:rFonts w:cs="Arial"/>
                <w:sz w:val="18"/>
                <w:szCs w:val="18"/>
              </w:rPr>
            </w:pPr>
            <w:r w:rsidRPr="001D41EA">
              <w:rPr>
                <w:rFonts w:cs="Arial"/>
                <w:sz w:val="18"/>
                <w:szCs w:val="18"/>
              </w:rPr>
              <w:t>156,470,040</w:t>
            </w:r>
          </w:p>
        </w:tc>
        <w:tc>
          <w:tcPr>
            <w:tcW w:w="1361" w:type="dxa"/>
            <w:tcBorders>
              <w:top w:val="nil"/>
              <w:left w:val="nil"/>
              <w:bottom w:val="nil"/>
              <w:right w:val="nil"/>
            </w:tcBorders>
            <w:shd w:val="clear" w:color="auto" w:fill="auto"/>
            <w:noWrap/>
            <w:vAlign w:val="bottom"/>
          </w:tcPr>
          <w:p w14:paraId="6B789D9F" w14:textId="1F28F320" w:rsidR="00A26814" w:rsidRPr="001D41EA" w:rsidRDefault="00A26814" w:rsidP="00A26814">
            <w:pPr>
              <w:spacing w:before="40" w:after="40"/>
              <w:jc w:val="right"/>
              <w:rPr>
                <w:rFonts w:cs="Arial"/>
                <w:sz w:val="18"/>
                <w:szCs w:val="18"/>
              </w:rPr>
            </w:pPr>
            <w:r w:rsidRPr="001D41EA">
              <w:rPr>
                <w:rFonts w:cs="Arial"/>
                <w:sz w:val="18"/>
                <w:szCs w:val="18"/>
              </w:rPr>
              <w:t>116,857,973</w:t>
            </w:r>
          </w:p>
        </w:tc>
        <w:tc>
          <w:tcPr>
            <w:tcW w:w="1361" w:type="dxa"/>
            <w:tcBorders>
              <w:top w:val="nil"/>
              <w:left w:val="nil"/>
              <w:bottom w:val="nil"/>
              <w:right w:val="nil"/>
            </w:tcBorders>
            <w:vAlign w:val="bottom"/>
          </w:tcPr>
          <w:p w14:paraId="0D43DBEB" w14:textId="0103CF65" w:rsidR="00A26814" w:rsidRPr="001D41EA" w:rsidRDefault="00A26814" w:rsidP="00A26814">
            <w:pPr>
              <w:spacing w:before="40" w:after="40"/>
              <w:jc w:val="right"/>
              <w:rPr>
                <w:rFonts w:cs="Arial"/>
                <w:sz w:val="18"/>
                <w:szCs w:val="18"/>
              </w:rPr>
            </w:pPr>
            <w:r w:rsidRPr="001D41EA">
              <w:rPr>
                <w:rFonts w:cs="Arial"/>
                <w:sz w:val="18"/>
                <w:szCs w:val="18"/>
              </w:rPr>
              <w:t>39,612,067</w:t>
            </w:r>
          </w:p>
        </w:tc>
        <w:tc>
          <w:tcPr>
            <w:tcW w:w="1361" w:type="dxa"/>
            <w:tcBorders>
              <w:top w:val="nil"/>
              <w:left w:val="nil"/>
              <w:bottom w:val="nil"/>
              <w:right w:val="nil"/>
            </w:tcBorders>
            <w:shd w:val="clear" w:color="auto" w:fill="auto"/>
            <w:noWrap/>
            <w:vAlign w:val="bottom"/>
          </w:tcPr>
          <w:p w14:paraId="7F588349" w14:textId="0A381516" w:rsidR="00A26814" w:rsidRPr="001D41EA" w:rsidRDefault="00A26814" w:rsidP="00A26814">
            <w:pPr>
              <w:spacing w:before="40" w:after="40"/>
              <w:jc w:val="right"/>
              <w:rPr>
                <w:rFonts w:cs="Arial"/>
                <w:sz w:val="18"/>
                <w:szCs w:val="18"/>
              </w:rPr>
            </w:pPr>
            <w:r w:rsidRPr="001D41EA">
              <w:rPr>
                <w:rFonts w:cs="Arial"/>
                <w:sz w:val="18"/>
                <w:szCs w:val="18"/>
              </w:rPr>
              <w:t>6,395,972</w:t>
            </w:r>
          </w:p>
        </w:tc>
        <w:tc>
          <w:tcPr>
            <w:tcW w:w="1361" w:type="dxa"/>
            <w:tcBorders>
              <w:top w:val="nil"/>
              <w:left w:val="nil"/>
              <w:bottom w:val="nil"/>
              <w:right w:val="nil"/>
            </w:tcBorders>
            <w:vAlign w:val="bottom"/>
          </w:tcPr>
          <w:p w14:paraId="01B17B37" w14:textId="248D93BC" w:rsidR="00A26814" w:rsidRPr="001D41EA" w:rsidRDefault="00A26814" w:rsidP="00A26814">
            <w:pPr>
              <w:spacing w:before="40" w:after="40"/>
              <w:jc w:val="right"/>
              <w:rPr>
                <w:rFonts w:cs="Arial"/>
                <w:b/>
                <w:sz w:val="18"/>
                <w:szCs w:val="18"/>
              </w:rPr>
            </w:pPr>
            <w:r w:rsidRPr="001D41EA">
              <w:rPr>
                <w:rFonts w:cs="Arial"/>
                <w:b/>
                <w:sz w:val="18"/>
                <w:szCs w:val="18"/>
              </w:rPr>
              <w:t>6,393,843</w:t>
            </w:r>
          </w:p>
        </w:tc>
      </w:tr>
      <w:tr w:rsidR="00A26814" w:rsidRPr="001D41EA" w14:paraId="50DADC04"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2B839E64" w14:textId="77777777" w:rsidR="00A26814" w:rsidRPr="001D41EA" w:rsidRDefault="00A26814" w:rsidP="00A26814">
            <w:pPr>
              <w:spacing w:before="40" w:after="40"/>
              <w:rPr>
                <w:rFonts w:cs="Arial"/>
                <w:sz w:val="18"/>
                <w:szCs w:val="18"/>
              </w:rPr>
            </w:pPr>
            <w:r w:rsidRPr="001D41EA">
              <w:rPr>
                <w:rFonts w:cs="Arial"/>
                <w:sz w:val="18"/>
                <w:szCs w:val="18"/>
              </w:rPr>
              <w:t>Latrobe C</w:t>
            </w:r>
          </w:p>
        </w:tc>
        <w:tc>
          <w:tcPr>
            <w:tcW w:w="1361" w:type="dxa"/>
            <w:tcBorders>
              <w:top w:val="nil"/>
              <w:left w:val="single" w:sz="18" w:space="0" w:color="5F497A" w:themeColor="accent4" w:themeShade="BF"/>
              <w:bottom w:val="nil"/>
              <w:right w:val="nil"/>
            </w:tcBorders>
            <w:shd w:val="clear" w:color="auto" w:fill="auto"/>
            <w:noWrap/>
            <w:vAlign w:val="bottom"/>
          </w:tcPr>
          <w:p w14:paraId="73602F5A" w14:textId="66694EC0" w:rsidR="00A26814" w:rsidRPr="001D41EA" w:rsidRDefault="00A26814" w:rsidP="00A26814">
            <w:pPr>
              <w:spacing w:before="40" w:after="40"/>
              <w:jc w:val="right"/>
              <w:rPr>
                <w:rFonts w:cs="Arial"/>
                <w:sz w:val="18"/>
                <w:szCs w:val="18"/>
              </w:rPr>
            </w:pPr>
            <w:r w:rsidRPr="001D41EA">
              <w:rPr>
                <w:rFonts w:cs="Arial"/>
                <w:sz w:val="18"/>
                <w:szCs w:val="18"/>
              </w:rPr>
              <w:t>108,441,111</w:t>
            </w:r>
          </w:p>
        </w:tc>
        <w:tc>
          <w:tcPr>
            <w:tcW w:w="1361" w:type="dxa"/>
            <w:tcBorders>
              <w:top w:val="nil"/>
              <w:left w:val="nil"/>
              <w:bottom w:val="nil"/>
              <w:right w:val="nil"/>
            </w:tcBorders>
            <w:shd w:val="clear" w:color="auto" w:fill="auto"/>
            <w:noWrap/>
            <w:vAlign w:val="bottom"/>
          </w:tcPr>
          <w:p w14:paraId="4C058568" w14:textId="70FF0DD3" w:rsidR="00A26814" w:rsidRPr="001D41EA" w:rsidRDefault="00A26814" w:rsidP="00A26814">
            <w:pPr>
              <w:spacing w:before="40" w:after="40"/>
              <w:jc w:val="right"/>
              <w:rPr>
                <w:rFonts w:cs="Arial"/>
                <w:sz w:val="18"/>
                <w:szCs w:val="18"/>
              </w:rPr>
            </w:pPr>
            <w:r w:rsidRPr="001D41EA">
              <w:rPr>
                <w:rFonts w:cs="Arial"/>
                <w:sz w:val="18"/>
                <w:szCs w:val="18"/>
              </w:rPr>
              <w:t>48,333,520</w:t>
            </w:r>
          </w:p>
        </w:tc>
        <w:tc>
          <w:tcPr>
            <w:tcW w:w="1361" w:type="dxa"/>
            <w:tcBorders>
              <w:top w:val="nil"/>
              <w:left w:val="nil"/>
              <w:bottom w:val="nil"/>
              <w:right w:val="nil"/>
            </w:tcBorders>
            <w:vAlign w:val="bottom"/>
          </w:tcPr>
          <w:p w14:paraId="0ADBCE69" w14:textId="03C259BB" w:rsidR="00A26814" w:rsidRPr="001D41EA" w:rsidRDefault="00A26814" w:rsidP="00A26814">
            <w:pPr>
              <w:spacing w:before="40" w:after="40"/>
              <w:jc w:val="right"/>
              <w:rPr>
                <w:rFonts w:cs="Arial"/>
                <w:sz w:val="18"/>
                <w:szCs w:val="18"/>
              </w:rPr>
            </w:pPr>
            <w:r w:rsidRPr="001D41EA">
              <w:rPr>
                <w:rFonts w:cs="Arial"/>
                <w:sz w:val="18"/>
                <w:szCs w:val="18"/>
              </w:rPr>
              <w:t>60,107,591</w:t>
            </w:r>
          </w:p>
        </w:tc>
        <w:tc>
          <w:tcPr>
            <w:tcW w:w="1361" w:type="dxa"/>
            <w:tcBorders>
              <w:top w:val="nil"/>
              <w:left w:val="nil"/>
              <w:bottom w:val="nil"/>
              <w:right w:val="nil"/>
            </w:tcBorders>
            <w:shd w:val="clear" w:color="auto" w:fill="auto"/>
            <w:noWrap/>
            <w:vAlign w:val="bottom"/>
          </w:tcPr>
          <w:p w14:paraId="2D8A4DA4" w14:textId="51F91AFF" w:rsidR="00A26814" w:rsidRPr="001D41EA" w:rsidRDefault="00A26814" w:rsidP="00A26814">
            <w:pPr>
              <w:spacing w:before="40" w:after="40"/>
              <w:jc w:val="right"/>
              <w:rPr>
                <w:rFonts w:cs="Arial"/>
                <w:sz w:val="18"/>
                <w:szCs w:val="18"/>
              </w:rPr>
            </w:pPr>
            <w:r w:rsidRPr="001D41EA">
              <w:rPr>
                <w:rFonts w:cs="Arial"/>
                <w:sz w:val="18"/>
                <w:szCs w:val="18"/>
              </w:rPr>
              <w:t>9,705,286</w:t>
            </w:r>
          </w:p>
        </w:tc>
        <w:tc>
          <w:tcPr>
            <w:tcW w:w="1361" w:type="dxa"/>
            <w:tcBorders>
              <w:top w:val="nil"/>
              <w:left w:val="nil"/>
              <w:bottom w:val="nil"/>
              <w:right w:val="nil"/>
            </w:tcBorders>
            <w:vAlign w:val="bottom"/>
          </w:tcPr>
          <w:p w14:paraId="2DD14899" w14:textId="5C8D8E17" w:rsidR="00A26814" w:rsidRPr="001D41EA" w:rsidRDefault="00A26814" w:rsidP="00A26814">
            <w:pPr>
              <w:spacing w:before="40" w:after="40"/>
              <w:jc w:val="right"/>
              <w:rPr>
                <w:rFonts w:cs="Arial"/>
                <w:b/>
                <w:sz w:val="18"/>
                <w:szCs w:val="18"/>
              </w:rPr>
            </w:pPr>
            <w:r w:rsidRPr="001D41EA">
              <w:rPr>
                <w:rFonts w:cs="Arial"/>
                <w:b/>
                <w:sz w:val="18"/>
                <w:szCs w:val="18"/>
              </w:rPr>
              <w:t>9,702,056</w:t>
            </w:r>
          </w:p>
        </w:tc>
      </w:tr>
      <w:tr w:rsidR="00A26814" w:rsidRPr="001D41EA" w14:paraId="2A2DE0EC" w14:textId="77777777" w:rsidTr="00CA09E3">
        <w:tc>
          <w:tcPr>
            <w:tcW w:w="2268" w:type="dxa"/>
            <w:tcBorders>
              <w:top w:val="nil"/>
              <w:left w:val="nil"/>
              <w:bottom w:val="nil"/>
              <w:right w:val="single" w:sz="18" w:space="0" w:color="5F497A" w:themeColor="accent4" w:themeShade="BF"/>
            </w:tcBorders>
            <w:shd w:val="clear" w:color="auto" w:fill="auto"/>
            <w:noWrap/>
            <w:vAlign w:val="center"/>
          </w:tcPr>
          <w:p w14:paraId="77375566" w14:textId="77777777" w:rsidR="00A26814" w:rsidRPr="001D41EA" w:rsidRDefault="00A26814" w:rsidP="00A26814">
            <w:pPr>
              <w:spacing w:before="40" w:after="40"/>
              <w:rPr>
                <w:rFonts w:cs="Arial"/>
                <w:sz w:val="18"/>
                <w:szCs w:val="18"/>
              </w:rPr>
            </w:pPr>
            <w:r w:rsidRPr="001D41EA">
              <w:rPr>
                <w:rFonts w:cs="Arial"/>
                <w:sz w:val="18"/>
                <w:szCs w:val="18"/>
              </w:rPr>
              <w:t>Loddon S</w:t>
            </w:r>
          </w:p>
        </w:tc>
        <w:tc>
          <w:tcPr>
            <w:tcW w:w="1361" w:type="dxa"/>
            <w:tcBorders>
              <w:top w:val="nil"/>
              <w:left w:val="single" w:sz="18" w:space="0" w:color="5F497A" w:themeColor="accent4" w:themeShade="BF"/>
              <w:bottom w:val="nil"/>
              <w:right w:val="nil"/>
            </w:tcBorders>
            <w:shd w:val="clear" w:color="auto" w:fill="auto"/>
            <w:noWrap/>
            <w:vAlign w:val="bottom"/>
          </w:tcPr>
          <w:p w14:paraId="20D422FE" w14:textId="3D90DFF2" w:rsidR="00A26814" w:rsidRPr="001D41EA" w:rsidRDefault="00A26814" w:rsidP="00A26814">
            <w:pPr>
              <w:spacing w:before="40" w:after="40"/>
              <w:jc w:val="right"/>
              <w:rPr>
                <w:rFonts w:cs="Arial"/>
                <w:sz w:val="18"/>
                <w:szCs w:val="18"/>
              </w:rPr>
            </w:pPr>
            <w:r w:rsidRPr="001D41EA">
              <w:rPr>
                <w:rFonts w:cs="Arial"/>
                <w:sz w:val="18"/>
                <w:szCs w:val="18"/>
              </w:rPr>
              <w:t>39,656,380</w:t>
            </w:r>
          </w:p>
        </w:tc>
        <w:tc>
          <w:tcPr>
            <w:tcW w:w="1361" w:type="dxa"/>
            <w:tcBorders>
              <w:top w:val="nil"/>
              <w:left w:val="nil"/>
              <w:bottom w:val="nil"/>
              <w:right w:val="nil"/>
            </w:tcBorders>
            <w:shd w:val="clear" w:color="auto" w:fill="auto"/>
            <w:noWrap/>
            <w:vAlign w:val="bottom"/>
          </w:tcPr>
          <w:p w14:paraId="054F2459" w14:textId="79EC2DB6" w:rsidR="00A26814" w:rsidRPr="001D41EA" w:rsidRDefault="00A26814" w:rsidP="00A26814">
            <w:pPr>
              <w:spacing w:before="40" w:after="40"/>
              <w:jc w:val="right"/>
              <w:rPr>
                <w:rFonts w:cs="Arial"/>
                <w:sz w:val="18"/>
                <w:szCs w:val="18"/>
              </w:rPr>
            </w:pPr>
            <w:r w:rsidRPr="001D41EA">
              <w:rPr>
                <w:rFonts w:cs="Arial"/>
                <w:sz w:val="18"/>
                <w:szCs w:val="18"/>
              </w:rPr>
              <w:t>6,055,733</w:t>
            </w:r>
          </w:p>
        </w:tc>
        <w:tc>
          <w:tcPr>
            <w:tcW w:w="1361" w:type="dxa"/>
            <w:tcBorders>
              <w:top w:val="nil"/>
              <w:left w:val="nil"/>
              <w:bottom w:val="nil"/>
              <w:right w:val="nil"/>
            </w:tcBorders>
            <w:vAlign w:val="bottom"/>
          </w:tcPr>
          <w:p w14:paraId="4832150A" w14:textId="74A2A769" w:rsidR="00A26814" w:rsidRPr="001D41EA" w:rsidRDefault="00A26814" w:rsidP="00A26814">
            <w:pPr>
              <w:spacing w:before="40" w:after="40"/>
              <w:jc w:val="right"/>
              <w:rPr>
                <w:rFonts w:cs="Arial"/>
                <w:sz w:val="18"/>
                <w:szCs w:val="18"/>
              </w:rPr>
            </w:pPr>
            <w:r w:rsidRPr="001D41EA">
              <w:rPr>
                <w:rFonts w:cs="Arial"/>
                <w:sz w:val="18"/>
                <w:szCs w:val="18"/>
              </w:rPr>
              <w:t>33,600,647</w:t>
            </w:r>
          </w:p>
        </w:tc>
        <w:tc>
          <w:tcPr>
            <w:tcW w:w="1361" w:type="dxa"/>
            <w:tcBorders>
              <w:top w:val="nil"/>
              <w:left w:val="nil"/>
              <w:bottom w:val="nil"/>
              <w:right w:val="nil"/>
            </w:tcBorders>
            <w:shd w:val="clear" w:color="auto" w:fill="auto"/>
            <w:noWrap/>
            <w:vAlign w:val="bottom"/>
          </w:tcPr>
          <w:p w14:paraId="445E0F01" w14:textId="1EFD5092" w:rsidR="00A26814" w:rsidRPr="001D41EA" w:rsidRDefault="00A26814" w:rsidP="00A26814">
            <w:pPr>
              <w:spacing w:before="40" w:after="40"/>
              <w:jc w:val="right"/>
              <w:rPr>
                <w:rFonts w:cs="Arial"/>
                <w:sz w:val="18"/>
                <w:szCs w:val="18"/>
              </w:rPr>
            </w:pPr>
            <w:r w:rsidRPr="001D41EA">
              <w:rPr>
                <w:rFonts w:cs="Arial"/>
                <w:sz w:val="18"/>
                <w:szCs w:val="18"/>
              </w:rPr>
              <w:t>5,425,336</w:t>
            </w:r>
          </w:p>
        </w:tc>
        <w:tc>
          <w:tcPr>
            <w:tcW w:w="1361" w:type="dxa"/>
            <w:tcBorders>
              <w:top w:val="nil"/>
              <w:left w:val="nil"/>
              <w:bottom w:val="nil"/>
              <w:right w:val="nil"/>
            </w:tcBorders>
            <w:vAlign w:val="bottom"/>
          </w:tcPr>
          <w:p w14:paraId="67726231" w14:textId="7708BA64" w:rsidR="00A26814" w:rsidRPr="001D41EA" w:rsidRDefault="00A26814" w:rsidP="00A26814">
            <w:pPr>
              <w:spacing w:before="40" w:after="40"/>
              <w:jc w:val="right"/>
              <w:rPr>
                <w:rFonts w:cs="Arial"/>
                <w:b/>
                <w:sz w:val="18"/>
                <w:szCs w:val="18"/>
              </w:rPr>
            </w:pPr>
            <w:r w:rsidRPr="001D41EA">
              <w:rPr>
                <w:rFonts w:cs="Arial"/>
                <w:b/>
                <w:sz w:val="18"/>
                <w:szCs w:val="18"/>
              </w:rPr>
              <w:t>5,423,531</w:t>
            </w:r>
          </w:p>
        </w:tc>
      </w:tr>
    </w:tbl>
    <w:p w14:paraId="3D1A7F86" w14:textId="77777777" w:rsidR="002C331E" w:rsidRPr="00A44829" w:rsidRDefault="002C331E" w:rsidP="00FF36E8">
      <w:pPr>
        <w:spacing w:before="40" w:after="20"/>
        <w:rPr>
          <w:rFonts w:cs="Arial"/>
          <w:sz w:val="18"/>
          <w:szCs w:val="18"/>
        </w:rPr>
      </w:pPr>
    </w:p>
    <w:p w14:paraId="7D957861" w14:textId="77777777" w:rsidR="00261079" w:rsidRPr="00A44829" w:rsidRDefault="00261079" w:rsidP="00FF36E8">
      <w:pPr>
        <w:spacing w:before="40" w:after="20"/>
        <w:rPr>
          <w:rFonts w:cs="Arial"/>
          <w:sz w:val="18"/>
          <w:szCs w:val="18"/>
        </w:rPr>
      </w:pPr>
    </w:p>
    <w:p w14:paraId="54403C32" w14:textId="77777777" w:rsidR="00F963E6" w:rsidRDefault="000C7176" w:rsidP="00FF36E8">
      <w:pPr>
        <w:spacing w:before="40" w:after="20"/>
        <w:rPr>
          <w:rFonts w:cs="Arial"/>
          <w:i/>
          <w:sz w:val="16"/>
          <w:szCs w:val="16"/>
        </w:rPr>
      </w:pPr>
      <w:r w:rsidRPr="00A44829">
        <w:rPr>
          <w:rFonts w:cs="Arial"/>
          <w:i/>
          <w:sz w:val="16"/>
          <w:szCs w:val="16"/>
        </w:rPr>
        <w:t xml:space="preserve">* Excludes natural disaster assistance </w:t>
      </w:r>
      <w:r w:rsidR="00261079" w:rsidRPr="00A44829">
        <w:rPr>
          <w:rFonts w:cs="Arial"/>
          <w:i/>
          <w:sz w:val="16"/>
          <w:szCs w:val="16"/>
        </w:rPr>
        <w:t>grants</w:t>
      </w:r>
      <w:r w:rsidR="00EB2E62" w:rsidRPr="00A44829">
        <w:rPr>
          <w:rFonts w:cs="Arial"/>
          <w:i/>
          <w:sz w:val="16"/>
          <w:szCs w:val="16"/>
        </w:rPr>
        <w:t>.</w:t>
      </w:r>
    </w:p>
    <w:p w14:paraId="6A382542" w14:textId="3F52298C" w:rsidR="00185DCF" w:rsidRPr="00A44829" w:rsidRDefault="00F963E6" w:rsidP="00FF36E8">
      <w:pPr>
        <w:spacing w:before="40" w:after="20"/>
        <w:rPr>
          <w:rFonts w:cs="Arial"/>
          <w:i/>
          <w:sz w:val="18"/>
          <w:szCs w:val="18"/>
        </w:rPr>
      </w:pPr>
      <w:r w:rsidRPr="005B58BE">
        <w:rPr>
          <w:rFonts w:cs="Arial"/>
          <w:i/>
          <w:sz w:val="16"/>
          <w:szCs w:val="16"/>
        </w:rPr>
        <w:t>#  Adjusted to take account of constraints on grant movements.</w:t>
      </w:r>
      <w:r w:rsidR="00185DCF" w:rsidRPr="00A44829">
        <w:rPr>
          <w:rFonts w:cs="Arial"/>
          <w:i/>
          <w:sz w:val="18"/>
          <w:szCs w:val="18"/>
        </w:rPr>
        <w:br w:type="page"/>
      </w:r>
    </w:p>
    <w:p w14:paraId="06FA5748" w14:textId="39F2DAA6" w:rsidR="00185DCF" w:rsidRPr="00A44829" w:rsidRDefault="00EE4593" w:rsidP="00C33713">
      <w:pPr>
        <w:pStyle w:val="VGC-Head10"/>
      </w:pPr>
      <w:r w:rsidRPr="00A44829">
        <w:lastRenderedPageBreak/>
        <w:t>2019-20</w:t>
      </w:r>
      <w:r w:rsidR="00A97ABE" w:rsidRPr="00A44829">
        <w:t xml:space="preserve"> </w:t>
      </w:r>
      <w:r w:rsidR="00185DCF" w:rsidRPr="00A44829">
        <w:t>General Purpose Grants</w:t>
      </w:r>
      <w:r w:rsidR="00CE4507" w:rsidRPr="00A44829">
        <w:tab/>
        <w:t>Appendix 4</w:t>
      </w:r>
    </w:p>
    <w:p w14:paraId="4CF313C3" w14:textId="77777777" w:rsidR="00185DCF" w:rsidRPr="00A44829" w:rsidRDefault="004F1184" w:rsidP="008C1A28">
      <w:pPr>
        <w:pStyle w:val="VGC-Head2"/>
      </w:pPr>
      <w:r w:rsidRPr="00A44829">
        <w:tab/>
      </w:r>
      <w:r w:rsidR="00D67755" w:rsidRPr="00A44829">
        <w:t>K</w:t>
      </w:r>
      <w:r w:rsidR="00185DCF" w:rsidRPr="00A44829">
        <w:t>.  Raw Grant Calculation</w:t>
      </w:r>
    </w:p>
    <w:p w14:paraId="2449F8EE" w14:textId="77777777" w:rsidR="00185DCF" w:rsidRPr="00A44829"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72A0F" w:rsidRPr="00A44829" w14:paraId="6E719972" w14:textId="77777777" w:rsidTr="00B44BBE">
        <w:trPr>
          <w:tblHeader/>
        </w:trPr>
        <w:tc>
          <w:tcPr>
            <w:tcW w:w="2268" w:type="dxa"/>
            <w:tcBorders>
              <w:left w:val="nil"/>
              <w:right w:val="single" w:sz="18" w:space="0" w:color="5F497A" w:themeColor="accent4" w:themeShade="BF"/>
            </w:tcBorders>
            <w:shd w:val="clear" w:color="auto" w:fill="auto"/>
            <w:vAlign w:val="bottom"/>
          </w:tcPr>
          <w:p w14:paraId="44DF9B2D" w14:textId="77777777" w:rsidR="00872A0F" w:rsidRPr="00A44829" w:rsidRDefault="00872A0F" w:rsidP="0038375E">
            <w:pPr>
              <w:spacing w:before="40" w:after="20"/>
              <w:jc w:val="center"/>
              <w:rPr>
                <w:rFonts w:cs="Arial"/>
                <w:sz w:val="18"/>
                <w:szCs w:val="18"/>
              </w:rPr>
            </w:pPr>
          </w:p>
        </w:tc>
        <w:tc>
          <w:tcPr>
            <w:tcW w:w="1361" w:type="dxa"/>
            <w:tcBorders>
              <w:left w:val="single" w:sz="18" w:space="0" w:color="5F497A" w:themeColor="accent4" w:themeShade="BF"/>
              <w:bottom w:val="single" w:sz="8" w:space="0" w:color="5F497A" w:themeColor="accent4" w:themeShade="BF"/>
              <w:right w:val="nil"/>
            </w:tcBorders>
            <w:shd w:val="clear" w:color="auto" w:fill="auto"/>
            <w:vAlign w:val="bottom"/>
          </w:tcPr>
          <w:p w14:paraId="5150E995" w14:textId="77777777" w:rsidR="00872A0F" w:rsidRPr="00A44829" w:rsidRDefault="00872A0F" w:rsidP="0038375E">
            <w:pPr>
              <w:spacing w:before="40" w:after="20"/>
              <w:jc w:val="center"/>
              <w:rPr>
                <w:rFonts w:cs="Arial"/>
                <w:b/>
                <w:sz w:val="18"/>
                <w:szCs w:val="18"/>
              </w:rPr>
            </w:pPr>
            <w:r w:rsidRPr="00A44829">
              <w:rPr>
                <w:rFonts w:cs="Arial"/>
                <w:b/>
                <w:sz w:val="18"/>
                <w:szCs w:val="18"/>
              </w:rPr>
              <w:t>Standardised Expenditure</w:t>
            </w:r>
            <w:r w:rsidRPr="00A44829">
              <w:rPr>
                <w:rFonts w:cs="Arial"/>
                <w:b/>
                <w:sz w:val="18"/>
                <w:szCs w:val="18"/>
              </w:rPr>
              <w:br/>
              <w:t>($)</w:t>
            </w:r>
          </w:p>
        </w:tc>
        <w:tc>
          <w:tcPr>
            <w:tcW w:w="1361" w:type="dxa"/>
            <w:tcBorders>
              <w:left w:val="nil"/>
              <w:bottom w:val="single" w:sz="8" w:space="0" w:color="5F497A" w:themeColor="accent4" w:themeShade="BF"/>
              <w:right w:val="nil"/>
            </w:tcBorders>
            <w:shd w:val="clear" w:color="auto" w:fill="auto"/>
            <w:vAlign w:val="bottom"/>
          </w:tcPr>
          <w:p w14:paraId="281DE9F9" w14:textId="77777777" w:rsidR="00872A0F" w:rsidRPr="00A44829" w:rsidRDefault="00872A0F" w:rsidP="0038375E">
            <w:pPr>
              <w:spacing w:before="40" w:after="20"/>
              <w:jc w:val="center"/>
              <w:rPr>
                <w:rFonts w:cs="Arial"/>
                <w:b/>
                <w:sz w:val="18"/>
                <w:szCs w:val="18"/>
              </w:rPr>
            </w:pPr>
            <w:r w:rsidRPr="00A44829">
              <w:rPr>
                <w:rFonts w:cs="Arial"/>
                <w:b/>
                <w:sz w:val="18"/>
                <w:szCs w:val="18"/>
              </w:rPr>
              <w:t xml:space="preserve">Standardised Revenue </w:t>
            </w:r>
            <w:r w:rsidRPr="00A44829">
              <w:rPr>
                <w:rFonts w:cs="Arial"/>
                <w:b/>
                <w:sz w:val="18"/>
                <w:szCs w:val="18"/>
              </w:rPr>
              <w:br/>
              <w:t>($)</w:t>
            </w:r>
          </w:p>
        </w:tc>
        <w:tc>
          <w:tcPr>
            <w:tcW w:w="1361" w:type="dxa"/>
            <w:tcBorders>
              <w:left w:val="nil"/>
              <w:bottom w:val="single" w:sz="8" w:space="0" w:color="5F497A" w:themeColor="accent4" w:themeShade="BF"/>
              <w:right w:val="nil"/>
            </w:tcBorders>
            <w:vAlign w:val="bottom"/>
          </w:tcPr>
          <w:p w14:paraId="1EA5BE11" w14:textId="77777777" w:rsidR="00872A0F" w:rsidRPr="00A44829" w:rsidRDefault="00872A0F" w:rsidP="0038375E">
            <w:pPr>
              <w:spacing w:before="40" w:after="20"/>
              <w:jc w:val="center"/>
              <w:rPr>
                <w:rFonts w:cs="Arial"/>
                <w:b/>
                <w:sz w:val="18"/>
                <w:szCs w:val="18"/>
              </w:rPr>
            </w:pPr>
            <w:r w:rsidRPr="00A44829">
              <w:rPr>
                <w:rFonts w:cs="Arial"/>
                <w:b/>
                <w:sz w:val="18"/>
                <w:szCs w:val="18"/>
              </w:rPr>
              <w:t>Raw Grant</w:t>
            </w:r>
            <w:r w:rsidRPr="00A44829">
              <w:rPr>
                <w:rFonts w:cs="Arial"/>
                <w:b/>
                <w:sz w:val="18"/>
                <w:szCs w:val="18"/>
              </w:rPr>
              <w:br/>
              <w:t>($)</w:t>
            </w:r>
          </w:p>
        </w:tc>
        <w:tc>
          <w:tcPr>
            <w:tcW w:w="1361" w:type="dxa"/>
            <w:tcBorders>
              <w:left w:val="nil"/>
              <w:bottom w:val="single" w:sz="8" w:space="0" w:color="5F497A" w:themeColor="accent4" w:themeShade="BF"/>
              <w:right w:val="nil"/>
            </w:tcBorders>
            <w:shd w:val="clear" w:color="auto" w:fill="auto"/>
            <w:vAlign w:val="bottom"/>
          </w:tcPr>
          <w:p w14:paraId="57794606" w14:textId="77777777" w:rsidR="00872A0F" w:rsidRPr="00A44829" w:rsidRDefault="00872A0F" w:rsidP="00A12CFA">
            <w:pPr>
              <w:spacing w:before="40" w:after="20"/>
              <w:jc w:val="center"/>
              <w:rPr>
                <w:rFonts w:cs="Arial"/>
                <w:b/>
                <w:sz w:val="18"/>
                <w:szCs w:val="18"/>
              </w:rPr>
            </w:pPr>
            <w:r w:rsidRPr="00A44829">
              <w:rPr>
                <w:rFonts w:cs="Arial"/>
                <w:b/>
                <w:sz w:val="18"/>
                <w:szCs w:val="18"/>
              </w:rPr>
              <w:t xml:space="preserve">Grant </w:t>
            </w:r>
            <w:r w:rsidR="00A12CFA" w:rsidRPr="00A44829">
              <w:rPr>
                <w:rFonts w:cs="Arial"/>
                <w:b/>
                <w:sz w:val="18"/>
                <w:szCs w:val="18"/>
              </w:rPr>
              <w:t>unadjusted</w:t>
            </w:r>
            <w:r w:rsidRPr="00A44829">
              <w:rPr>
                <w:rFonts w:cs="Arial"/>
                <w:b/>
                <w:sz w:val="18"/>
                <w:szCs w:val="18"/>
              </w:rPr>
              <w:t xml:space="preserve"> </w:t>
            </w:r>
            <w:r w:rsidRPr="00A44829">
              <w:rPr>
                <w:rFonts w:cs="Arial"/>
                <w:b/>
                <w:sz w:val="18"/>
                <w:szCs w:val="18"/>
              </w:rPr>
              <w:br/>
              <w:t>($)</w:t>
            </w:r>
          </w:p>
        </w:tc>
        <w:tc>
          <w:tcPr>
            <w:tcW w:w="1361" w:type="dxa"/>
            <w:tcBorders>
              <w:left w:val="nil"/>
              <w:bottom w:val="single" w:sz="8" w:space="0" w:color="5F497A" w:themeColor="accent4" w:themeShade="BF"/>
              <w:right w:val="nil"/>
            </w:tcBorders>
            <w:vAlign w:val="bottom"/>
          </w:tcPr>
          <w:p w14:paraId="628048B1" w14:textId="402FE160" w:rsidR="00872A0F" w:rsidRPr="00A44829" w:rsidRDefault="00872A0F" w:rsidP="0038375E">
            <w:pPr>
              <w:spacing w:before="40" w:after="20"/>
              <w:jc w:val="center"/>
              <w:rPr>
                <w:rFonts w:cs="Arial"/>
                <w:b/>
                <w:sz w:val="18"/>
                <w:szCs w:val="18"/>
              </w:rPr>
            </w:pPr>
            <w:r w:rsidRPr="00A44829">
              <w:rPr>
                <w:rFonts w:cs="Arial"/>
                <w:b/>
                <w:sz w:val="18"/>
                <w:szCs w:val="18"/>
              </w:rPr>
              <w:t xml:space="preserve">Actual </w:t>
            </w:r>
            <w:r w:rsidR="001342F4" w:rsidRPr="00A44829">
              <w:rPr>
                <w:rFonts w:cs="Arial"/>
                <w:b/>
                <w:sz w:val="18"/>
                <w:szCs w:val="18"/>
              </w:rPr>
              <w:br/>
            </w:r>
            <w:r w:rsidRPr="00A44829">
              <w:rPr>
                <w:rFonts w:cs="Arial"/>
                <w:b/>
                <w:sz w:val="18"/>
                <w:szCs w:val="18"/>
              </w:rPr>
              <w:t>Grant</w:t>
            </w:r>
            <w:r w:rsidR="0016581E" w:rsidRPr="00A44829">
              <w:rPr>
                <w:rFonts w:cs="Arial"/>
                <w:b/>
                <w:sz w:val="18"/>
                <w:szCs w:val="18"/>
              </w:rPr>
              <w:t>*</w:t>
            </w:r>
            <w:r w:rsidR="005B58BE">
              <w:rPr>
                <w:rFonts w:cs="Arial"/>
                <w:b/>
                <w:sz w:val="18"/>
                <w:szCs w:val="18"/>
              </w:rPr>
              <w:t xml:space="preserve"> #</w:t>
            </w:r>
            <w:r w:rsidRPr="00A44829">
              <w:rPr>
                <w:rFonts w:cs="Arial"/>
                <w:b/>
                <w:sz w:val="18"/>
                <w:szCs w:val="18"/>
              </w:rPr>
              <w:br/>
              <w:t>($)</w:t>
            </w:r>
          </w:p>
        </w:tc>
      </w:tr>
      <w:tr w:rsidR="00A26814" w:rsidRPr="003E2D55" w14:paraId="4BCEC081" w14:textId="77777777" w:rsidTr="00B44BBE">
        <w:trPr>
          <w:tblHeader/>
        </w:trPr>
        <w:tc>
          <w:tcPr>
            <w:tcW w:w="2268" w:type="dxa"/>
            <w:tcBorders>
              <w:left w:val="nil"/>
              <w:bottom w:val="nil"/>
              <w:right w:val="single" w:sz="18" w:space="0" w:color="5F497A" w:themeColor="accent4" w:themeShade="BF"/>
            </w:tcBorders>
            <w:shd w:val="clear" w:color="auto" w:fill="auto"/>
            <w:noWrap/>
            <w:vAlign w:val="center"/>
          </w:tcPr>
          <w:p w14:paraId="1718A0E1" w14:textId="77777777" w:rsidR="00A26814" w:rsidRPr="003E2D55" w:rsidRDefault="00A26814" w:rsidP="00A26814">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26E091F6" w14:textId="5C489F63" w:rsidR="00A26814" w:rsidRPr="003E2D55" w:rsidRDefault="00A26814" w:rsidP="00A26814">
            <w:pPr>
              <w:spacing w:before="40" w:after="20"/>
              <w:jc w:val="right"/>
              <w:rPr>
                <w:rFonts w:cs="Arial"/>
                <w:sz w:val="18"/>
                <w:szCs w:val="18"/>
              </w:rPr>
            </w:pPr>
            <w:r w:rsidRPr="003E2D55">
              <w:rPr>
                <w:rFonts w:cs="Arial"/>
                <w:sz w:val="18"/>
                <w:szCs w:val="18"/>
              </w:rPr>
              <w:t> </w:t>
            </w:r>
          </w:p>
        </w:tc>
        <w:tc>
          <w:tcPr>
            <w:tcW w:w="1361" w:type="dxa"/>
            <w:tcBorders>
              <w:top w:val="single" w:sz="8" w:space="0" w:color="5F497A" w:themeColor="accent4" w:themeShade="BF"/>
              <w:left w:val="nil"/>
              <w:bottom w:val="nil"/>
              <w:right w:val="nil"/>
            </w:tcBorders>
            <w:shd w:val="clear" w:color="auto" w:fill="auto"/>
            <w:noWrap/>
            <w:vAlign w:val="bottom"/>
          </w:tcPr>
          <w:p w14:paraId="104C4304" w14:textId="456805D1" w:rsidR="00A26814" w:rsidRPr="003E2D55" w:rsidRDefault="00A26814" w:rsidP="00A26814">
            <w:pPr>
              <w:spacing w:before="40" w:after="20"/>
              <w:jc w:val="right"/>
              <w:rPr>
                <w:rFonts w:cs="Arial"/>
                <w:sz w:val="18"/>
                <w:szCs w:val="18"/>
              </w:rPr>
            </w:pPr>
            <w:r w:rsidRPr="003E2D55">
              <w:rPr>
                <w:rFonts w:cs="Arial"/>
                <w:sz w:val="18"/>
                <w:szCs w:val="18"/>
              </w:rPr>
              <w:t> </w:t>
            </w:r>
          </w:p>
        </w:tc>
        <w:tc>
          <w:tcPr>
            <w:tcW w:w="1361" w:type="dxa"/>
            <w:tcBorders>
              <w:top w:val="single" w:sz="8" w:space="0" w:color="5F497A" w:themeColor="accent4" w:themeShade="BF"/>
              <w:left w:val="nil"/>
              <w:bottom w:val="nil"/>
              <w:right w:val="nil"/>
            </w:tcBorders>
            <w:vAlign w:val="bottom"/>
          </w:tcPr>
          <w:p w14:paraId="58B3B037" w14:textId="0CCF8A12" w:rsidR="00A26814" w:rsidRPr="003E2D55" w:rsidRDefault="00A26814" w:rsidP="00A26814">
            <w:pPr>
              <w:spacing w:before="40" w:after="20"/>
              <w:jc w:val="right"/>
              <w:rPr>
                <w:rFonts w:cs="Arial"/>
                <w:sz w:val="18"/>
                <w:szCs w:val="18"/>
              </w:rPr>
            </w:pPr>
            <w:r w:rsidRPr="003E2D55">
              <w:rPr>
                <w:rFonts w:cs="Arial"/>
                <w:sz w:val="18"/>
                <w:szCs w:val="18"/>
              </w:rPr>
              <w:t> </w:t>
            </w:r>
          </w:p>
        </w:tc>
        <w:tc>
          <w:tcPr>
            <w:tcW w:w="1361" w:type="dxa"/>
            <w:tcBorders>
              <w:top w:val="single" w:sz="8" w:space="0" w:color="5F497A" w:themeColor="accent4" w:themeShade="BF"/>
              <w:left w:val="nil"/>
              <w:bottom w:val="nil"/>
              <w:right w:val="nil"/>
            </w:tcBorders>
            <w:shd w:val="clear" w:color="auto" w:fill="auto"/>
            <w:noWrap/>
            <w:vAlign w:val="bottom"/>
          </w:tcPr>
          <w:p w14:paraId="007C1DED" w14:textId="764E56BE" w:rsidR="00A26814" w:rsidRPr="003E2D55" w:rsidRDefault="00A26814" w:rsidP="00A26814">
            <w:pPr>
              <w:spacing w:before="40" w:after="20"/>
              <w:jc w:val="right"/>
              <w:rPr>
                <w:rFonts w:cs="Arial"/>
                <w:sz w:val="18"/>
                <w:szCs w:val="18"/>
              </w:rPr>
            </w:pPr>
            <w:r w:rsidRPr="003E2D55">
              <w:rPr>
                <w:rFonts w:cs="Arial"/>
                <w:sz w:val="18"/>
                <w:szCs w:val="18"/>
              </w:rPr>
              <w:t> </w:t>
            </w:r>
          </w:p>
        </w:tc>
        <w:tc>
          <w:tcPr>
            <w:tcW w:w="1361" w:type="dxa"/>
            <w:tcBorders>
              <w:top w:val="single" w:sz="8" w:space="0" w:color="5F497A" w:themeColor="accent4" w:themeShade="BF"/>
              <w:left w:val="nil"/>
              <w:bottom w:val="nil"/>
              <w:right w:val="nil"/>
            </w:tcBorders>
            <w:vAlign w:val="bottom"/>
          </w:tcPr>
          <w:p w14:paraId="3494CED0" w14:textId="04163E14" w:rsidR="00A26814" w:rsidRPr="003E2D55" w:rsidRDefault="00A26814" w:rsidP="00A26814">
            <w:pPr>
              <w:spacing w:before="40" w:after="20"/>
              <w:jc w:val="right"/>
              <w:rPr>
                <w:rFonts w:cs="Arial"/>
                <w:b/>
                <w:sz w:val="18"/>
                <w:szCs w:val="18"/>
              </w:rPr>
            </w:pPr>
            <w:r w:rsidRPr="003E2D55">
              <w:rPr>
                <w:rFonts w:cs="Arial"/>
                <w:b/>
                <w:sz w:val="18"/>
                <w:szCs w:val="18"/>
              </w:rPr>
              <w:t> </w:t>
            </w:r>
          </w:p>
        </w:tc>
      </w:tr>
      <w:tr w:rsidR="00A26814" w:rsidRPr="003E2D55" w14:paraId="4845CFC6"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55BBEA05" w14:textId="77777777" w:rsidR="00A26814" w:rsidRPr="003E2D55" w:rsidRDefault="00A26814" w:rsidP="00A26814">
            <w:pPr>
              <w:spacing w:before="40" w:after="20"/>
              <w:rPr>
                <w:rFonts w:cs="Arial"/>
                <w:sz w:val="18"/>
                <w:szCs w:val="18"/>
              </w:rPr>
            </w:pPr>
            <w:r w:rsidRPr="003E2D55">
              <w:rPr>
                <w:rFonts w:cs="Arial"/>
                <w:sz w:val="18"/>
                <w:szCs w:val="18"/>
              </w:rPr>
              <w:t>Macedon Ranges S</w:t>
            </w:r>
          </w:p>
        </w:tc>
        <w:tc>
          <w:tcPr>
            <w:tcW w:w="1361" w:type="dxa"/>
            <w:tcBorders>
              <w:top w:val="nil"/>
              <w:left w:val="single" w:sz="18" w:space="0" w:color="5F497A" w:themeColor="accent4" w:themeShade="BF"/>
              <w:bottom w:val="nil"/>
              <w:right w:val="nil"/>
            </w:tcBorders>
            <w:shd w:val="clear" w:color="auto" w:fill="auto"/>
            <w:noWrap/>
            <w:vAlign w:val="bottom"/>
          </w:tcPr>
          <w:p w14:paraId="250D992F" w14:textId="64584780" w:rsidR="00A26814" w:rsidRPr="003E2D55" w:rsidRDefault="00A26814" w:rsidP="00A26814">
            <w:pPr>
              <w:spacing w:before="40" w:after="20"/>
              <w:jc w:val="right"/>
              <w:rPr>
                <w:rFonts w:cs="Arial"/>
                <w:sz w:val="18"/>
                <w:szCs w:val="18"/>
              </w:rPr>
            </w:pPr>
            <w:r w:rsidRPr="003E2D55">
              <w:rPr>
                <w:rFonts w:cs="Arial"/>
                <w:sz w:val="18"/>
                <w:szCs w:val="18"/>
              </w:rPr>
              <w:t>71,149,217</w:t>
            </w:r>
          </w:p>
        </w:tc>
        <w:tc>
          <w:tcPr>
            <w:tcW w:w="1361" w:type="dxa"/>
            <w:tcBorders>
              <w:top w:val="nil"/>
              <w:left w:val="nil"/>
              <w:bottom w:val="nil"/>
              <w:right w:val="nil"/>
            </w:tcBorders>
            <w:shd w:val="clear" w:color="auto" w:fill="auto"/>
            <w:noWrap/>
            <w:vAlign w:val="bottom"/>
          </w:tcPr>
          <w:p w14:paraId="15BA71F9" w14:textId="29BBE938" w:rsidR="00A26814" w:rsidRPr="003E2D55" w:rsidRDefault="00A26814" w:rsidP="00A26814">
            <w:pPr>
              <w:spacing w:before="40" w:after="20"/>
              <w:jc w:val="right"/>
              <w:rPr>
                <w:rFonts w:cs="Arial"/>
                <w:sz w:val="18"/>
                <w:szCs w:val="18"/>
              </w:rPr>
            </w:pPr>
            <w:r w:rsidRPr="003E2D55">
              <w:rPr>
                <w:rFonts w:cs="Arial"/>
                <w:sz w:val="18"/>
                <w:szCs w:val="18"/>
              </w:rPr>
              <w:t>35,934,961</w:t>
            </w:r>
          </w:p>
        </w:tc>
        <w:tc>
          <w:tcPr>
            <w:tcW w:w="1361" w:type="dxa"/>
            <w:tcBorders>
              <w:top w:val="nil"/>
              <w:left w:val="nil"/>
              <w:bottom w:val="nil"/>
              <w:right w:val="nil"/>
            </w:tcBorders>
            <w:vAlign w:val="bottom"/>
          </w:tcPr>
          <w:p w14:paraId="2CB32564" w14:textId="28EEDC84" w:rsidR="00A26814" w:rsidRPr="003E2D55" w:rsidRDefault="00A26814" w:rsidP="00A26814">
            <w:pPr>
              <w:spacing w:before="40" w:after="20"/>
              <w:jc w:val="right"/>
              <w:rPr>
                <w:rFonts w:cs="Arial"/>
                <w:sz w:val="18"/>
                <w:szCs w:val="18"/>
              </w:rPr>
            </w:pPr>
            <w:r w:rsidRPr="003E2D55">
              <w:rPr>
                <w:rFonts w:cs="Arial"/>
                <w:sz w:val="18"/>
                <w:szCs w:val="18"/>
              </w:rPr>
              <w:t>35,214,256</w:t>
            </w:r>
          </w:p>
        </w:tc>
        <w:tc>
          <w:tcPr>
            <w:tcW w:w="1361" w:type="dxa"/>
            <w:tcBorders>
              <w:top w:val="nil"/>
              <w:left w:val="nil"/>
              <w:bottom w:val="nil"/>
              <w:right w:val="nil"/>
            </w:tcBorders>
            <w:shd w:val="clear" w:color="auto" w:fill="auto"/>
            <w:noWrap/>
            <w:vAlign w:val="bottom"/>
          </w:tcPr>
          <w:p w14:paraId="6FAE2F30" w14:textId="6E8E7F41" w:rsidR="00A26814" w:rsidRPr="003E2D55" w:rsidRDefault="00A26814" w:rsidP="00A26814">
            <w:pPr>
              <w:spacing w:before="40" w:after="20"/>
              <w:jc w:val="right"/>
              <w:rPr>
                <w:rFonts w:cs="Arial"/>
                <w:sz w:val="18"/>
                <w:szCs w:val="18"/>
              </w:rPr>
            </w:pPr>
            <w:r w:rsidRPr="003E2D55">
              <w:rPr>
                <w:rFonts w:cs="Arial"/>
                <w:sz w:val="18"/>
                <w:szCs w:val="18"/>
              </w:rPr>
              <w:t>5,685,878</w:t>
            </w:r>
          </w:p>
        </w:tc>
        <w:tc>
          <w:tcPr>
            <w:tcW w:w="1361" w:type="dxa"/>
            <w:tcBorders>
              <w:top w:val="nil"/>
              <w:left w:val="nil"/>
              <w:bottom w:val="nil"/>
              <w:right w:val="nil"/>
            </w:tcBorders>
            <w:vAlign w:val="bottom"/>
          </w:tcPr>
          <w:p w14:paraId="085537AE" w14:textId="6BB4CF81" w:rsidR="00A26814" w:rsidRPr="003E2D55" w:rsidRDefault="00A26814" w:rsidP="00A26814">
            <w:pPr>
              <w:spacing w:before="40" w:after="20"/>
              <w:jc w:val="right"/>
              <w:rPr>
                <w:rFonts w:cs="Arial"/>
                <w:b/>
                <w:sz w:val="18"/>
                <w:szCs w:val="18"/>
              </w:rPr>
            </w:pPr>
            <w:r w:rsidRPr="003E2D55">
              <w:rPr>
                <w:rFonts w:cs="Arial"/>
                <w:b/>
                <w:sz w:val="18"/>
                <w:szCs w:val="18"/>
              </w:rPr>
              <w:t>5,683,986</w:t>
            </w:r>
          </w:p>
        </w:tc>
      </w:tr>
      <w:tr w:rsidR="00A26814" w:rsidRPr="003E2D55" w14:paraId="34625AD3"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3940B64C" w14:textId="77777777" w:rsidR="00A26814" w:rsidRPr="003E2D55" w:rsidRDefault="00A26814" w:rsidP="00A26814">
            <w:pPr>
              <w:spacing w:before="40" w:after="20"/>
              <w:rPr>
                <w:rFonts w:cs="Arial"/>
                <w:sz w:val="18"/>
                <w:szCs w:val="18"/>
              </w:rPr>
            </w:pPr>
            <w:r w:rsidRPr="003E2D55">
              <w:rPr>
                <w:rFonts w:cs="Arial"/>
                <w:sz w:val="18"/>
                <w:szCs w:val="18"/>
              </w:rPr>
              <w:t>Manningham C</w:t>
            </w:r>
          </w:p>
        </w:tc>
        <w:tc>
          <w:tcPr>
            <w:tcW w:w="1361" w:type="dxa"/>
            <w:tcBorders>
              <w:top w:val="nil"/>
              <w:left w:val="single" w:sz="18" w:space="0" w:color="5F497A" w:themeColor="accent4" w:themeShade="BF"/>
              <w:bottom w:val="nil"/>
              <w:right w:val="nil"/>
            </w:tcBorders>
            <w:shd w:val="clear" w:color="auto" w:fill="auto"/>
            <w:noWrap/>
            <w:vAlign w:val="bottom"/>
          </w:tcPr>
          <w:p w14:paraId="029E5383" w14:textId="1289817A" w:rsidR="00A26814" w:rsidRPr="003E2D55" w:rsidRDefault="00A26814" w:rsidP="00A26814">
            <w:pPr>
              <w:spacing w:before="40" w:after="20"/>
              <w:jc w:val="right"/>
              <w:rPr>
                <w:rFonts w:cs="Arial"/>
                <w:sz w:val="18"/>
                <w:szCs w:val="18"/>
              </w:rPr>
            </w:pPr>
            <w:r w:rsidRPr="003E2D55">
              <w:rPr>
                <w:rFonts w:cs="Arial"/>
                <w:sz w:val="18"/>
                <w:szCs w:val="18"/>
              </w:rPr>
              <w:t>120,996,434</w:t>
            </w:r>
          </w:p>
        </w:tc>
        <w:tc>
          <w:tcPr>
            <w:tcW w:w="1361" w:type="dxa"/>
            <w:tcBorders>
              <w:top w:val="nil"/>
              <w:left w:val="nil"/>
              <w:bottom w:val="nil"/>
              <w:right w:val="nil"/>
            </w:tcBorders>
            <w:shd w:val="clear" w:color="auto" w:fill="auto"/>
            <w:noWrap/>
            <w:vAlign w:val="bottom"/>
          </w:tcPr>
          <w:p w14:paraId="0EF66A29" w14:textId="4038D14E" w:rsidR="00A26814" w:rsidRPr="003E2D55" w:rsidRDefault="00A26814" w:rsidP="00A26814">
            <w:pPr>
              <w:spacing w:before="40" w:after="20"/>
              <w:jc w:val="right"/>
              <w:rPr>
                <w:rFonts w:cs="Arial"/>
                <w:sz w:val="18"/>
                <w:szCs w:val="18"/>
              </w:rPr>
            </w:pPr>
            <w:r w:rsidRPr="003E2D55">
              <w:rPr>
                <w:rFonts w:cs="Arial"/>
                <w:sz w:val="18"/>
                <w:szCs w:val="18"/>
              </w:rPr>
              <w:t>127,915,139</w:t>
            </w:r>
          </w:p>
        </w:tc>
        <w:tc>
          <w:tcPr>
            <w:tcW w:w="1361" w:type="dxa"/>
            <w:tcBorders>
              <w:top w:val="nil"/>
              <w:left w:val="nil"/>
              <w:bottom w:val="nil"/>
              <w:right w:val="nil"/>
            </w:tcBorders>
            <w:vAlign w:val="bottom"/>
          </w:tcPr>
          <w:p w14:paraId="1E5368C3" w14:textId="5EC268B6" w:rsidR="00A26814" w:rsidRPr="003E2D55" w:rsidRDefault="00A26814" w:rsidP="00A26814">
            <w:pPr>
              <w:spacing w:before="40" w:after="20"/>
              <w:jc w:val="right"/>
              <w:rPr>
                <w:rFonts w:cs="Arial"/>
                <w:sz w:val="18"/>
                <w:szCs w:val="18"/>
              </w:rPr>
            </w:pPr>
            <w:r w:rsidRPr="003E2D55">
              <w:rPr>
                <w:rFonts w:cs="Arial"/>
                <w:sz w:val="18"/>
                <w:szCs w:val="18"/>
              </w:rPr>
              <w:t>-6,918,705</w:t>
            </w:r>
          </w:p>
        </w:tc>
        <w:tc>
          <w:tcPr>
            <w:tcW w:w="1361" w:type="dxa"/>
            <w:tcBorders>
              <w:top w:val="nil"/>
              <w:left w:val="nil"/>
              <w:bottom w:val="nil"/>
              <w:right w:val="nil"/>
            </w:tcBorders>
            <w:shd w:val="clear" w:color="auto" w:fill="auto"/>
            <w:noWrap/>
            <w:vAlign w:val="bottom"/>
          </w:tcPr>
          <w:p w14:paraId="00E6BE5C" w14:textId="633803FA" w:rsidR="00A26814" w:rsidRPr="003E2D55" w:rsidRDefault="00A26814" w:rsidP="00A26814">
            <w:pPr>
              <w:spacing w:before="40" w:after="20"/>
              <w:jc w:val="right"/>
              <w:rPr>
                <w:rFonts w:cs="Arial"/>
                <w:sz w:val="18"/>
                <w:szCs w:val="18"/>
              </w:rPr>
            </w:pPr>
            <w:r w:rsidRPr="003E2D55">
              <w:rPr>
                <w:rFonts w:cs="Arial"/>
                <w:sz w:val="18"/>
                <w:szCs w:val="18"/>
              </w:rPr>
              <w:t>2,655,117</w:t>
            </w:r>
          </w:p>
        </w:tc>
        <w:tc>
          <w:tcPr>
            <w:tcW w:w="1361" w:type="dxa"/>
            <w:tcBorders>
              <w:top w:val="nil"/>
              <w:left w:val="nil"/>
              <w:bottom w:val="nil"/>
              <w:right w:val="nil"/>
            </w:tcBorders>
            <w:vAlign w:val="bottom"/>
          </w:tcPr>
          <w:p w14:paraId="2F2187C5" w14:textId="76FD834E" w:rsidR="00A26814" w:rsidRPr="003E2D55" w:rsidRDefault="00A26814" w:rsidP="00A26814">
            <w:pPr>
              <w:spacing w:before="40" w:after="20"/>
              <w:jc w:val="right"/>
              <w:rPr>
                <w:rFonts w:cs="Arial"/>
                <w:b/>
                <w:sz w:val="18"/>
                <w:szCs w:val="18"/>
              </w:rPr>
            </w:pPr>
            <w:r w:rsidRPr="003E2D55">
              <w:rPr>
                <w:rFonts w:cs="Arial"/>
                <w:b/>
                <w:sz w:val="18"/>
                <w:szCs w:val="18"/>
              </w:rPr>
              <w:t>2,655,117</w:t>
            </w:r>
          </w:p>
        </w:tc>
      </w:tr>
      <w:tr w:rsidR="00A26814" w:rsidRPr="003E2D55" w14:paraId="3AF6C3BB"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3C430FDB" w14:textId="77777777" w:rsidR="00A26814" w:rsidRPr="003E2D55" w:rsidRDefault="00A26814" w:rsidP="00A26814">
            <w:pPr>
              <w:spacing w:before="40" w:after="20"/>
              <w:rPr>
                <w:rFonts w:cs="Arial"/>
                <w:sz w:val="18"/>
                <w:szCs w:val="18"/>
              </w:rPr>
            </w:pPr>
            <w:r w:rsidRPr="003E2D55">
              <w:rPr>
                <w:rFonts w:cs="Arial"/>
                <w:sz w:val="18"/>
                <w:szCs w:val="18"/>
              </w:rPr>
              <w:t>Mansfield S</w:t>
            </w:r>
          </w:p>
        </w:tc>
        <w:tc>
          <w:tcPr>
            <w:tcW w:w="1361" w:type="dxa"/>
            <w:tcBorders>
              <w:top w:val="nil"/>
              <w:left w:val="single" w:sz="18" w:space="0" w:color="5F497A" w:themeColor="accent4" w:themeShade="BF"/>
              <w:bottom w:val="nil"/>
              <w:right w:val="nil"/>
            </w:tcBorders>
            <w:shd w:val="clear" w:color="auto" w:fill="auto"/>
            <w:noWrap/>
            <w:vAlign w:val="bottom"/>
          </w:tcPr>
          <w:p w14:paraId="73C4136B" w14:textId="76A34058" w:rsidR="00A26814" w:rsidRPr="003E2D55" w:rsidRDefault="00A26814" w:rsidP="00A26814">
            <w:pPr>
              <w:spacing w:before="40" w:after="20"/>
              <w:jc w:val="right"/>
              <w:rPr>
                <w:rFonts w:cs="Arial"/>
                <w:sz w:val="18"/>
                <w:szCs w:val="18"/>
              </w:rPr>
            </w:pPr>
            <w:r w:rsidRPr="003E2D55">
              <w:rPr>
                <w:rFonts w:cs="Arial"/>
                <w:sz w:val="18"/>
                <w:szCs w:val="18"/>
              </w:rPr>
              <w:t>23,153,212</w:t>
            </w:r>
          </w:p>
        </w:tc>
        <w:tc>
          <w:tcPr>
            <w:tcW w:w="1361" w:type="dxa"/>
            <w:tcBorders>
              <w:top w:val="nil"/>
              <w:left w:val="nil"/>
              <w:bottom w:val="nil"/>
              <w:right w:val="nil"/>
            </w:tcBorders>
            <w:shd w:val="clear" w:color="auto" w:fill="auto"/>
            <w:noWrap/>
            <w:vAlign w:val="bottom"/>
          </w:tcPr>
          <w:p w14:paraId="4429E3B6" w14:textId="6FE8574B" w:rsidR="00A26814" w:rsidRPr="003E2D55" w:rsidRDefault="00A26814" w:rsidP="00A26814">
            <w:pPr>
              <w:spacing w:before="40" w:after="20"/>
              <w:jc w:val="right"/>
              <w:rPr>
                <w:rFonts w:cs="Arial"/>
                <w:sz w:val="18"/>
                <w:szCs w:val="18"/>
              </w:rPr>
            </w:pPr>
            <w:r w:rsidRPr="003E2D55">
              <w:rPr>
                <w:rFonts w:cs="Arial"/>
                <w:sz w:val="18"/>
                <w:szCs w:val="18"/>
              </w:rPr>
              <w:t>9,240,781</w:t>
            </w:r>
          </w:p>
        </w:tc>
        <w:tc>
          <w:tcPr>
            <w:tcW w:w="1361" w:type="dxa"/>
            <w:tcBorders>
              <w:top w:val="nil"/>
              <w:left w:val="nil"/>
              <w:bottom w:val="nil"/>
              <w:right w:val="nil"/>
            </w:tcBorders>
            <w:vAlign w:val="bottom"/>
          </w:tcPr>
          <w:p w14:paraId="16119011" w14:textId="3F69C4AB" w:rsidR="00A26814" w:rsidRPr="003E2D55" w:rsidRDefault="00A26814" w:rsidP="00A26814">
            <w:pPr>
              <w:spacing w:before="40" w:after="20"/>
              <w:jc w:val="right"/>
              <w:rPr>
                <w:rFonts w:cs="Arial"/>
                <w:sz w:val="18"/>
                <w:szCs w:val="18"/>
              </w:rPr>
            </w:pPr>
            <w:r w:rsidRPr="003E2D55">
              <w:rPr>
                <w:rFonts w:cs="Arial"/>
                <w:sz w:val="18"/>
                <w:szCs w:val="18"/>
              </w:rPr>
              <w:t>13,912,431</w:t>
            </w:r>
          </w:p>
        </w:tc>
        <w:tc>
          <w:tcPr>
            <w:tcW w:w="1361" w:type="dxa"/>
            <w:tcBorders>
              <w:top w:val="nil"/>
              <w:left w:val="nil"/>
              <w:bottom w:val="nil"/>
              <w:right w:val="nil"/>
            </w:tcBorders>
            <w:shd w:val="clear" w:color="auto" w:fill="auto"/>
            <w:noWrap/>
            <w:vAlign w:val="bottom"/>
          </w:tcPr>
          <w:p w14:paraId="3AD09293" w14:textId="57AAA7AA" w:rsidR="00A26814" w:rsidRPr="003E2D55" w:rsidRDefault="00A26814" w:rsidP="00A26814">
            <w:pPr>
              <w:spacing w:before="40" w:after="20"/>
              <w:jc w:val="right"/>
              <w:rPr>
                <w:rFonts w:cs="Arial"/>
                <w:sz w:val="18"/>
                <w:szCs w:val="18"/>
              </w:rPr>
            </w:pPr>
            <w:r w:rsidRPr="003E2D55">
              <w:rPr>
                <w:rFonts w:cs="Arial"/>
                <w:sz w:val="18"/>
                <w:szCs w:val="18"/>
              </w:rPr>
              <w:t>2,246,374</w:t>
            </w:r>
          </w:p>
        </w:tc>
        <w:tc>
          <w:tcPr>
            <w:tcW w:w="1361" w:type="dxa"/>
            <w:tcBorders>
              <w:top w:val="nil"/>
              <w:left w:val="nil"/>
              <w:bottom w:val="nil"/>
              <w:right w:val="nil"/>
            </w:tcBorders>
            <w:vAlign w:val="bottom"/>
          </w:tcPr>
          <w:p w14:paraId="6E93E64B" w14:textId="48EF12E7" w:rsidR="00A26814" w:rsidRPr="003E2D55" w:rsidRDefault="00A26814" w:rsidP="00A26814">
            <w:pPr>
              <w:spacing w:before="40" w:after="20"/>
              <w:jc w:val="right"/>
              <w:rPr>
                <w:rFonts w:cs="Arial"/>
                <w:b/>
                <w:sz w:val="18"/>
                <w:szCs w:val="18"/>
              </w:rPr>
            </w:pPr>
            <w:r w:rsidRPr="003E2D55">
              <w:rPr>
                <w:rFonts w:cs="Arial"/>
                <w:b/>
                <w:sz w:val="18"/>
                <w:szCs w:val="18"/>
              </w:rPr>
              <w:t>2,245,626</w:t>
            </w:r>
          </w:p>
        </w:tc>
      </w:tr>
      <w:tr w:rsidR="00A26814" w:rsidRPr="003E2D55" w14:paraId="6962B5E9"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27BFB9C6" w14:textId="77777777" w:rsidR="00A26814" w:rsidRPr="003E2D55" w:rsidRDefault="00A26814" w:rsidP="00A26814">
            <w:pPr>
              <w:spacing w:before="40" w:after="20"/>
              <w:rPr>
                <w:rFonts w:cs="Arial"/>
                <w:sz w:val="18"/>
                <w:szCs w:val="18"/>
              </w:rPr>
            </w:pPr>
            <w:r w:rsidRPr="003E2D55">
              <w:rPr>
                <w:rFonts w:cs="Arial"/>
                <w:sz w:val="18"/>
                <w:szCs w:val="18"/>
              </w:rPr>
              <w:t>Maribyrnong C</w:t>
            </w:r>
          </w:p>
        </w:tc>
        <w:tc>
          <w:tcPr>
            <w:tcW w:w="1361" w:type="dxa"/>
            <w:tcBorders>
              <w:top w:val="nil"/>
              <w:left w:val="single" w:sz="18" w:space="0" w:color="5F497A" w:themeColor="accent4" w:themeShade="BF"/>
              <w:bottom w:val="nil"/>
              <w:right w:val="nil"/>
            </w:tcBorders>
            <w:shd w:val="clear" w:color="auto" w:fill="auto"/>
            <w:noWrap/>
            <w:vAlign w:val="bottom"/>
          </w:tcPr>
          <w:p w14:paraId="0146966F" w14:textId="16B50236" w:rsidR="00A26814" w:rsidRPr="003E2D55" w:rsidRDefault="00A26814" w:rsidP="00A26814">
            <w:pPr>
              <w:spacing w:before="40" w:after="20"/>
              <w:jc w:val="right"/>
              <w:rPr>
                <w:rFonts w:cs="Arial"/>
                <w:sz w:val="18"/>
                <w:szCs w:val="18"/>
              </w:rPr>
            </w:pPr>
            <w:r w:rsidRPr="003E2D55">
              <w:rPr>
                <w:rFonts w:cs="Arial"/>
                <w:sz w:val="18"/>
                <w:szCs w:val="18"/>
              </w:rPr>
              <w:t>97,347,165</w:t>
            </w:r>
          </w:p>
        </w:tc>
        <w:tc>
          <w:tcPr>
            <w:tcW w:w="1361" w:type="dxa"/>
            <w:tcBorders>
              <w:top w:val="nil"/>
              <w:left w:val="nil"/>
              <w:bottom w:val="nil"/>
              <w:right w:val="nil"/>
            </w:tcBorders>
            <w:shd w:val="clear" w:color="auto" w:fill="auto"/>
            <w:noWrap/>
            <w:vAlign w:val="bottom"/>
          </w:tcPr>
          <w:p w14:paraId="0C05C7F7" w14:textId="39228060" w:rsidR="00A26814" w:rsidRPr="003E2D55" w:rsidRDefault="00A26814" w:rsidP="00A26814">
            <w:pPr>
              <w:spacing w:before="40" w:after="20"/>
              <w:jc w:val="right"/>
              <w:rPr>
                <w:rFonts w:cs="Arial"/>
                <w:sz w:val="18"/>
                <w:szCs w:val="18"/>
              </w:rPr>
            </w:pPr>
            <w:r w:rsidRPr="003E2D55">
              <w:rPr>
                <w:rFonts w:cs="Arial"/>
                <w:sz w:val="18"/>
                <w:szCs w:val="18"/>
              </w:rPr>
              <w:t>83,845,634</w:t>
            </w:r>
          </w:p>
        </w:tc>
        <w:tc>
          <w:tcPr>
            <w:tcW w:w="1361" w:type="dxa"/>
            <w:tcBorders>
              <w:top w:val="nil"/>
              <w:left w:val="nil"/>
              <w:bottom w:val="nil"/>
              <w:right w:val="nil"/>
            </w:tcBorders>
            <w:vAlign w:val="bottom"/>
          </w:tcPr>
          <w:p w14:paraId="54D50594" w14:textId="7BA3A389" w:rsidR="00A26814" w:rsidRPr="003E2D55" w:rsidRDefault="00A26814" w:rsidP="00A26814">
            <w:pPr>
              <w:spacing w:before="40" w:after="20"/>
              <w:jc w:val="right"/>
              <w:rPr>
                <w:rFonts w:cs="Arial"/>
                <w:sz w:val="18"/>
                <w:szCs w:val="18"/>
              </w:rPr>
            </w:pPr>
            <w:r w:rsidRPr="003E2D55">
              <w:rPr>
                <w:rFonts w:cs="Arial"/>
                <w:sz w:val="18"/>
                <w:szCs w:val="18"/>
              </w:rPr>
              <w:t>13,501,531</w:t>
            </w:r>
          </w:p>
        </w:tc>
        <w:tc>
          <w:tcPr>
            <w:tcW w:w="1361" w:type="dxa"/>
            <w:tcBorders>
              <w:top w:val="nil"/>
              <w:left w:val="nil"/>
              <w:bottom w:val="nil"/>
              <w:right w:val="nil"/>
            </w:tcBorders>
            <w:shd w:val="clear" w:color="auto" w:fill="auto"/>
            <w:noWrap/>
            <w:vAlign w:val="bottom"/>
          </w:tcPr>
          <w:p w14:paraId="0B43E29C" w14:textId="4FC5B59B" w:rsidR="00A26814" w:rsidRPr="003E2D55" w:rsidRDefault="00A26814" w:rsidP="00A26814">
            <w:pPr>
              <w:spacing w:before="40" w:after="20"/>
              <w:jc w:val="right"/>
              <w:rPr>
                <w:rFonts w:cs="Arial"/>
                <w:sz w:val="18"/>
                <w:szCs w:val="18"/>
              </w:rPr>
            </w:pPr>
            <w:r w:rsidRPr="003E2D55">
              <w:rPr>
                <w:rFonts w:cs="Arial"/>
                <w:sz w:val="18"/>
                <w:szCs w:val="18"/>
              </w:rPr>
              <w:t>2,180,028</w:t>
            </w:r>
          </w:p>
        </w:tc>
        <w:tc>
          <w:tcPr>
            <w:tcW w:w="1361" w:type="dxa"/>
            <w:tcBorders>
              <w:top w:val="nil"/>
              <w:left w:val="nil"/>
              <w:bottom w:val="nil"/>
              <w:right w:val="nil"/>
            </w:tcBorders>
            <w:vAlign w:val="bottom"/>
          </w:tcPr>
          <w:p w14:paraId="465942C1" w14:textId="6ED4D871" w:rsidR="00A26814" w:rsidRPr="003E2D55" w:rsidRDefault="00A26814" w:rsidP="00A26814">
            <w:pPr>
              <w:spacing w:before="40" w:after="20"/>
              <w:jc w:val="right"/>
              <w:rPr>
                <w:rFonts w:cs="Arial"/>
                <w:b/>
                <w:sz w:val="18"/>
                <w:szCs w:val="18"/>
              </w:rPr>
            </w:pPr>
            <w:r w:rsidRPr="003E2D55">
              <w:rPr>
                <w:rFonts w:cs="Arial"/>
                <w:b/>
                <w:sz w:val="18"/>
                <w:szCs w:val="18"/>
              </w:rPr>
              <w:t>2,179,302</w:t>
            </w:r>
          </w:p>
        </w:tc>
      </w:tr>
      <w:tr w:rsidR="00A26814" w:rsidRPr="003E2D55" w14:paraId="2A581E9E"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0AE996A5" w14:textId="77777777" w:rsidR="00A26814" w:rsidRPr="003E2D55" w:rsidRDefault="00A26814" w:rsidP="00A26814">
            <w:pPr>
              <w:spacing w:before="40" w:after="20"/>
              <w:rPr>
                <w:rFonts w:cs="Arial"/>
                <w:sz w:val="18"/>
                <w:szCs w:val="18"/>
              </w:rPr>
            </w:pPr>
            <w:r w:rsidRPr="003E2D55">
              <w:rPr>
                <w:rFonts w:cs="Arial"/>
                <w:sz w:val="18"/>
                <w:szCs w:val="18"/>
              </w:rPr>
              <w:t>Maroondah C</w:t>
            </w:r>
          </w:p>
        </w:tc>
        <w:tc>
          <w:tcPr>
            <w:tcW w:w="1361" w:type="dxa"/>
            <w:tcBorders>
              <w:top w:val="nil"/>
              <w:left w:val="single" w:sz="18" w:space="0" w:color="5F497A" w:themeColor="accent4" w:themeShade="BF"/>
              <w:bottom w:val="nil"/>
              <w:right w:val="nil"/>
            </w:tcBorders>
            <w:shd w:val="clear" w:color="auto" w:fill="auto"/>
            <w:noWrap/>
            <w:vAlign w:val="bottom"/>
          </w:tcPr>
          <w:p w14:paraId="3E44FA1B" w14:textId="76805EC8" w:rsidR="00A26814" w:rsidRPr="003E2D55" w:rsidRDefault="00A26814" w:rsidP="00A26814">
            <w:pPr>
              <w:spacing w:before="40" w:after="20"/>
              <w:jc w:val="right"/>
              <w:rPr>
                <w:rFonts w:cs="Arial"/>
                <w:sz w:val="18"/>
                <w:szCs w:val="18"/>
              </w:rPr>
            </w:pPr>
            <w:r w:rsidRPr="003E2D55">
              <w:rPr>
                <w:rFonts w:cs="Arial"/>
                <w:sz w:val="18"/>
                <w:szCs w:val="18"/>
              </w:rPr>
              <w:t>116,220,373</w:t>
            </w:r>
          </w:p>
        </w:tc>
        <w:tc>
          <w:tcPr>
            <w:tcW w:w="1361" w:type="dxa"/>
            <w:tcBorders>
              <w:top w:val="nil"/>
              <w:left w:val="nil"/>
              <w:bottom w:val="nil"/>
              <w:right w:val="nil"/>
            </w:tcBorders>
            <w:shd w:val="clear" w:color="auto" w:fill="auto"/>
            <w:noWrap/>
            <w:vAlign w:val="bottom"/>
          </w:tcPr>
          <w:p w14:paraId="773BA031" w14:textId="35C1290D" w:rsidR="00A26814" w:rsidRPr="003E2D55" w:rsidRDefault="00A26814" w:rsidP="00A26814">
            <w:pPr>
              <w:spacing w:before="40" w:after="20"/>
              <w:jc w:val="right"/>
              <w:rPr>
                <w:rFonts w:cs="Arial"/>
                <w:sz w:val="18"/>
                <w:szCs w:val="18"/>
              </w:rPr>
            </w:pPr>
            <w:r w:rsidRPr="003E2D55">
              <w:rPr>
                <w:rFonts w:cs="Arial"/>
                <w:sz w:val="18"/>
                <w:szCs w:val="18"/>
              </w:rPr>
              <w:t>90,800,539</w:t>
            </w:r>
          </w:p>
        </w:tc>
        <w:tc>
          <w:tcPr>
            <w:tcW w:w="1361" w:type="dxa"/>
            <w:tcBorders>
              <w:top w:val="nil"/>
              <w:left w:val="nil"/>
              <w:bottom w:val="nil"/>
              <w:right w:val="nil"/>
            </w:tcBorders>
            <w:vAlign w:val="bottom"/>
          </w:tcPr>
          <w:p w14:paraId="457D7575" w14:textId="4E509E14" w:rsidR="00A26814" w:rsidRPr="003E2D55" w:rsidRDefault="00A26814" w:rsidP="00A26814">
            <w:pPr>
              <w:spacing w:before="40" w:after="20"/>
              <w:jc w:val="right"/>
              <w:rPr>
                <w:rFonts w:cs="Arial"/>
                <w:sz w:val="18"/>
                <w:szCs w:val="18"/>
              </w:rPr>
            </w:pPr>
            <w:r w:rsidRPr="003E2D55">
              <w:rPr>
                <w:rFonts w:cs="Arial"/>
                <w:sz w:val="18"/>
                <w:szCs w:val="18"/>
              </w:rPr>
              <w:t>25,419,833</w:t>
            </w:r>
          </w:p>
        </w:tc>
        <w:tc>
          <w:tcPr>
            <w:tcW w:w="1361" w:type="dxa"/>
            <w:tcBorders>
              <w:top w:val="nil"/>
              <w:left w:val="nil"/>
              <w:bottom w:val="nil"/>
              <w:right w:val="nil"/>
            </w:tcBorders>
            <w:shd w:val="clear" w:color="auto" w:fill="auto"/>
            <w:noWrap/>
            <w:vAlign w:val="bottom"/>
          </w:tcPr>
          <w:p w14:paraId="790FD481" w14:textId="05CD549D" w:rsidR="00A26814" w:rsidRPr="003E2D55" w:rsidRDefault="00A26814" w:rsidP="00A26814">
            <w:pPr>
              <w:spacing w:before="40" w:after="20"/>
              <w:jc w:val="right"/>
              <w:rPr>
                <w:rFonts w:cs="Arial"/>
                <w:sz w:val="18"/>
                <w:szCs w:val="18"/>
              </w:rPr>
            </w:pPr>
            <w:r w:rsidRPr="003E2D55">
              <w:rPr>
                <w:rFonts w:cs="Arial"/>
                <w:sz w:val="18"/>
                <w:szCs w:val="18"/>
              </w:rPr>
              <w:t>4,104,419</w:t>
            </w:r>
          </w:p>
        </w:tc>
        <w:tc>
          <w:tcPr>
            <w:tcW w:w="1361" w:type="dxa"/>
            <w:tcBorders>
              <w:top w:val="nil"/>
              <w:left w:val="nil"/>
              <w:bottom w:val="nil"/>
              <w:right w:val="nil"/>
            </w:tcBorders>
            <w:vAlign w:val="bottom"/>
          </w:tcPr>
          <w:p w14:paraId="6F58523F" w14:textId="3133BB5D" w:rsidR="00A26814" w:rsidRPr="003E2D55" w:rsidRDefault="00A26814" w:rsidP="00A26814">
            <w:pPr>
              <w:spacing w:before="40" w:after="20"/>
              <w:jc w:val="right"/>
              <w:rPr>
                <w:rFonts w:cs="Arial"/>
                <w:b/>
                <w:sz w:val="18"/>
                <w:szCs w:val="18"/>
              </w:rPr>
            </w:pPr>
            <w:r w:rsidRPr="003E2D55">
              <w:rPr>
                <w:rFonts w:cs="Arial"/>
                <w:b/>
                <w:sz w:val="18"/>
                <w:szCs w:val="18"/>
              </w:rPr>
              <w:t>4,103,053</w:t>
            </w:r>
          </w:p>
        </w:tc>
      </w:tr>
      <w:tr w:rsidR="00A26814" w:rsidRPr="003E2D55" w14:paraId="57BC109D"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119B6440" w14:textId="77777777" w:rsidR="00A26814" w:rsidRPr="003E2D55" w:rsidRDefault="00A26814" w:rsidP="00A26814">
            <w:pPr>
              <w:spacing w:before="40" w:after="20"/>
              <w:rPr>
                <w:rFonts w:cs="Arial"/>
                <w:sz w:val="18"/>
                <w:szCs w:val="18"/>
              </w:rPr>
            </w:pPr>
            <w:r w:rsidRPr="003E2D55">
              <w:rPr>
                <w:rFonts w:cs="Arial"/>
                <w:sz w:val="18"/>
                <w:szCs w:val="18"/>
              </w:rPr>
              <w:t>Melbourne C</w:t>
            </w:r>
          </w:p>
        </w:tc>
        <w:tc>
          <w:tcPr>
            <w:tcW w:w="1361" w:type="dxa"/>
            <w:tcBorders>
              <w:top w:val="nil"/>
              <w:left w:val="single" w:sz="18" w:space="0" w:color="5F497A" w:themeColor="accent4" w:themeShade="BF"/>
              <w:bottom w:val="nil"/>
              <w:right w:val="nil"/>
            </w:tcBorders>
            <w:shd w:val="clear" w:color="auto" w:fill="auto"/>
            <w:noWrap/>
            <w:vAlign w:val="bottom"/>
          </w:tcPr>
          <w:p w14:paraId="11619E5B" w14:textId="28A7BEB2" w:rsidR="00A26814" w:rsidRPr="003E2D55" w:rsidRDefault="00A26814" w:rsidP="00A26814">
            <w:pPr>
              <w:spacing w:before="40" w:after="20"/>
              <w:jc w:val="right"/>
              <w:rPr>
                <w:rFonts w:cs="Arial"/>
                <w:sz w:val="18"/>
                <w:szCs w:val="18"/>
              </w:rPr>
            </w:pPr>
            <w:r w:rsidRPr="003E2D55">
              <w:rPr>
                <w:rFonts w:cs="Arial"/>
                <w:sz w:val="18"/>
                <w:szCs w:val="18"/>
              </w:rPr>
              <w:t>198,769,850</w:t>
            </w:r>
          </w:p>
        </w:tc>
        <w:tc>
          <w:tcPr>
            <w:tcW w:w="1361" w:type="dxa"/>
            <w:tcBorders>
              <w:top w:val="nil"/>
              <w:left w:val="nil"/>
              <w:bottom w:val="nil"/>
              <w:right w:val="nil"/>
            </w:tcBorders>
            <w:shd w:val="clear" w:color="auto" w:fill="auto"/>
            <w:noWrap/>
            <w:vAlign w:val="bottom"/>
          </w:tcPr>
          <w:p w14:paraId="6904B7E3" w14:textId="464B7952" w:rsidR="00A26814" w:rsidRPr="003E2D55" w:rsidRDefault="00A26814" w:rsidP="00A26814">
            <w:pPr>
              <w:spacing w:before="40" w:after="20"/>
              <w:jc w:val="right"/>
              <w:rPr>
                <w:rFonts w:cs="Arial"/>
                <w:sz w:val="18"/>
                <w:szCs w:val="18"/>
              </w:rPr>
            </w:pPr>
            <w:r w:rsidRPr="003E2D55">
              <w:rPr>
                <w:rFonts w:cs="Arial"/>
                <w:sz w:val="18"/>
                <w:szCs w:val="18"/>
              </w:rPr>
              <w:t>355,081,603</w:t>
            </w:r>
          </w:p>
        </w:tc>
        <w:tc>
          <w:tcPr>
            <w:tcW w:w="1361" w:type="dxa"/>
            <w:tcBorders>
              <w:top w:val="nil"/>
              <w:left w:val="nil"/>
              <w:bottom w:val="nil"/>
              <w:right w:val="nil"/>
            </w:tcBorders>
            <w:vAlign w:val="bottom"/>
          </w:tcPr>
          <w:p w14:paraId="750F6D75" w14:textId="587A23A4" w:rsidR="00A26814" w:rsidRPr="003E2D55" w:rsidRDefault="00A26814" w:rsidP="00A26814">
            <w:pPr>
              <w:spacing w:before="40" w:after="20"/>
              <w:jc w:val="right"/>
              <w:rPr>
                <w:rFonts w:cs="Arial"/>
                <w:sz w:val="18"/>
                <w:szCs w:val="18"/>
              </w:rPr>
            </w:pPr>
            <w:r w:rsidRPr="003E2D55">
              <w:rPr>
                <w:rFonts w:cs="Arial"/>
                <w:sz w:val="18"/>
                <w:szCs w:val="18"/>
              </w:rPr>
              <w:t>-156,311,753</w:t>
            </w:r>
          </w:p>
        </w:tc>
        <w:tc>
          <w:tcPr>
            <w:tcW w:w="1361" w:type="dxa"/>
            <w:tcBorders>
              <w:top w:val="nil"/>
              <w:left w:val="nil"/>
              <w:bottom w:val="nil"/>
              <w:right w:val="nil"/>
            </w:tcBorders>
            <w:shd w:val="clear" w:color="auto" w:fill="auto"/>
            <w:noWrap/>
            <w:vAlign w:val="bottom"/>
          </w:tcPr>
          <w:p w14:paraId="6BE71437" w14:textId="60B63726" w:rsidR="00A26814" w:rsidRPr="003E2D55" w:rsidRDefault="00A26814" w:rsidP="00A26814">
            <w:pPr>
              <w:spacing w:before="40" w:after="20"/>
              <w:jc w:val="right"/>
              <w:rPr>
                <w:rFonts w:cs="Arial"/>
                <w:sz w:val="18"/>
                <w:szCs w:val="18"/>
              </w:rPr>
            </w:pPr>
            <w:r w:rsidRPr="003E2D55">
              <w:rPr>
                <w:rFonts w:cs="Arial"/>
                <w:sz w:val="18"/>
                <w:szCs w:val="18"/>
              </w:rPr>
              <w:t>3,595,519</w:t>
            </w:r>
          </w:p>
        </w:tc>
        <w:tc>
          <w:tcPr>
            <w:tcW w:w="1361" w:type="dxa"/>
            <w:tcBorders>
              <w:top w:val="nil"/>
              <w:left w:val="nil"/>
              <w:bottom w:val="nil"/>
              <w:right w:val="nil"/>
            </w:tcBorders>
            <w:vAlign w:val="bottom"/>
          </w:tcPr>
          <w:p w14:paraId="1AFF85C8" w14:textId="496E8E36" w:rsidR="00A26814" w:rsidRPr="003E2D55" w:rsidRDefault="00A26814" w:rsidP="00A26814">
            <w:pPr>
              <w:spacing w:before="40" w:after="20"/>
              <w:jc w:val="right"/>
              <w:rPr>
                <w:rFonts w:cs="Arial"/>
                <w:b/>
                <w:sz w:val="18"/>
                <w:szCs w:val="18"/>
              </w:rPr>
            </w:pPr>
            <w:r w:rsidRPr="003E2D55">
              <w:rPr>
                <w:rFonts w:cs="Arial"/>
                <w:b/>
                <w:sz w:val="18"/>
                <w:szCs w:val="18"/>
              </w:rPr>
              <w:t>3,595,519</w:t>
            </w:r>
          </w:p>
        </w:tc>
      </w:tr>
      <w:tr w:rsidR="00A26814" w:rsidRPr="003E2D55" w14:paraId="3CAB7918"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64D63166" w14:textId="77777777" w:rsidR="00A26814" w:rsidRPr="003E2D55" w:rsidRDefault="00A26814" w:rsidP="00A26814">
            <w:pPr>
              <w:spacing w:before="40" w:after="20"/>
              <w:rPr>
                <w:rFonts w:cs="Arial"/>
                <w:sz w:val="18"/>
                <w:szCs w:val="18"/>
              </w:rPr>
            </w:pPr>
            <w:r w:rsidRPr="003E2D55">
              <w:rPr>
                <w:rFonts w:cs="Arial"/>
                <w:sz w:val="18"/>
                <w:szCs w:val="18"/>
              </w:rPr>
              <w:t>Melton C</w:t>
            </w:r>
          </w:p>
        </w:tc>
        <w:tc>
          <w:tcPr>
            <w:tcW w:w="1361" w:type="dxa"/>
            <w:tcBorders>
              <w:top w:val="nil"/>
              <w:left w:val="single" w:sz="18" w:space="0" w:color="5F497A" w:themeColor="accent4" w:themeShade="BF"/>
              <w:bottom w:val="nil"/>
              <w:right w:val="nil"/>
            </w:tcBorders>
            <w:shd w:val="clear" w:color="auto" w:fill="auto"/>
            <w:noWrap/>
            <w:vAlign w:val="bottom"/>
          </w:tcPr>
          <w:p w14:paraId="0831F225" w14:textId="31528C8D" w:rsidR="00A26814" w:rsidRPr="003E2D55" w:rsidRDefault="00A26814" w:rsidP="00A26814">
            <w:pPr>
              <w:spacing w:before="40" w:after="20"/>
              <w:jc w:val="right"/>
              <w:rPr>
                <w:rFonts w:cs="Arial"/>
                <w:sz w:val="18"/>
                <w:szCs w:val="18"/>
              </w:rPr>
            </w:pPr>
            <w:r w:rsidRPr="003E2D55">
              <w:rPr>
                <w:rFonts w:cs="Arial"/>
                <w:sz w:val="18"/>
                <w:szCs w:val="18"/>
              </w:rPr>
              <w:t>163,393,356</w:t>
            </w:r>
          </w:p>
        </w:tc>
        <w:tc>
          <w:tcPr>
            <w:tcW w:w="1361" w:type="dxa"/>
            <w:tcBorders>
              <w:top w:val="nil"/>
              <w:left w:val="nil"/>
              <w:bottom w:val="nil"/>
              <w:right w:val="nil"/>
            </w:tcBorders>
            <w:shd w:val="clear" w:color="auto" w:fill="auto"/>
            <w:noWrap/>
            <w:vAlign w:val="bottom"/>
          </w:tcPr>
          <w:p w14:paraId="7F2331FB" w14:textId="46E6DC62" w:rsidR="00A26814" w:rsidRPr="003E2D55" w:rsidRDefault="00A26814" w:rsidP="00A26814">
            <w:pPr>
              <w:spacing w:before="40" w:after="20"/>
              <w:jc w:val="right"/>
              <w:rPr>
                <w:rFonts w:cs="Arial"/>
                <w:sz w:val="18"/>
                <w:szCs w:val="18"/>
              </w:rPr>
            </w:pPr>
            <w:r w:rsidRPr="003E2D55">
              <w:rPr>
                <w:rFonts w:cs="Arial"/>
                <w:sz w:val="18"/>
                <w:szCs w:val="18"/>
              </w:rPr>
              <w:t>74,430,938</w:t>
            </w:r>
          </w:p>
        </w:tc>
        <w:tc>
          <w:tcPr>
            <w:tcW w:w="1361" w:type="dxa"/>
            <w:tcBorders>
              <w:top w:val="nil"/>
              <w:left w:val="nil"/>
              <w:bottom w:val="nil"/>
              <w:right w:val="nil"/>
            </w:tcBorders>
            <w:vAlign w:val="bottom"/>
          </w:tcPr>
          <w:p w14:paraId="04416166" w14:textId="21A1694E" w:rsidR="00A26814" w:rsidRPr="003E2D55" w:rsidRDefault="00A26814" w:rsidP="00A26814">
            <w:pPr>
              <w:spacing w:before="40" w:after="20"/>
              <w:jc w:val="right"/>
              <w:rPr>
                <w:rFonts w:cs="Arial"/>
                <w:sz w:val="18"/>
                <w:szCs w:val="18"/>
              </w:rPr>
            </w:pPr>
            <w:r w:rsidRPr="003E2D55">
              <w:rPr>
                <w:rFonts w:cs="Arial"/>
                <w:sz w:val="18"/>
                <w:szCs w:val="18"/>
              </w:rPr>
              <w:t>88,962,418</w:t>
            </w:r>
          </w:p>
        </w:tc>
        <w:tc>
          <w:tcPr>
            <w:tcW w:w="1361" w:type="dxa"/>
            <w:tcBorders>
              <w:top w:val="nil"/>
              <w:left w:val="nil"/>
              <w:bottom w:val="nil"/>
              <w:right w:val="nil"/>
            </w:tcBorders>
            <w:shd w:val="clear" w:color="auto" w:fill="auto"/>
            <w:noWrap/>
            <w:vAlign w:val="bottom"/>
          </w:tcPr>
          <w:p w14:paraId="5B42393B" w14:textId="485196AC" w:rsidR="00A26814" w:rsidRPr="003E2D55" w:rsidRDefault="00A26814" w:rsidP="00A26814">
            <w:pPr>
              <w:spacing w:before="40" w:after="20"/>
              <w:jc w:val="right"/>
              <w:rPr>
                <w:rFonts w:cs="Arial"/>
                <w:sz w:val="18"/>
                <w:szCs w:val="18"/>
              </w:rPr>
            </w:pPr>
            <w:r w:rsidRPr="003E2D55">
              <w:rPr>
                <w:rFonts w:cs="Arial"/>
                <w:sz w:val="18"/>
                <w:szCs w:val="18"/>
              </w:rPr>
              <w:t>14,364,338</w:t>
            </w:r>
          </w:p>
        </w:tc>
        <w:tc>
          <w:tcPr>
            <w:tcW w:w="1361" w:type="dxa"/>
            <w:tcBorders>
              <w:top w:val="nil"/>
              <w:left w:val="nil"/>
              <w:bottom w:val="nil"/>
              <w:right w:val="nil"/>
            </w:tcBorders>
            <w:vAlign w:val="bottom"/>
          </w:tcPr>
          <w:p w14:paraId="169A6899" w14:textId="7D0E2D4E" w:rsidR="00A26814" w:rsidRPr="003E2D55" w:rsidRDefault="00A26814" w:rsidP="00A26814">
            <w:pPr>
              <w:spacing w:before="40" w:after="20"/>
              <w:jc w:val="right"/>
              <w:rPr>
                <w:rFonts w:cs="Arial"/>
                <w:b/>
                <w:sz w:val="18"/>
                <w:szCs w:val="18"/>
              </w:rPr>
            </w:pPr>
            <w:r w:rsidRPr="003E2D55">
              <w:rPr>
                <w:rFonts w:cs="Arial"/>
                <w:b/>
                <w:sz w:val="18"/>
                <w:szCs w:val="18"/>
              </w:rPr>
              <w:t>14,359,557</w:t>
            </w:r>
          </w:p>
        </w:tc>
      </w:tr>
      <w:tr w:rsidR="00A26814" w:rsidRPr="003E2D55" w14:paraId="554C6412"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19515A73" w14:textId="77777777" w:rsidR="00A26814" w:rsidRPr="003E2D55" w:rsidRDefault="00A26814" w:rsidP="00A26814">
            <w:pPr>
              <w:spacing w:before="40" w:after="20"/>
              <w:rPr>
                <w:rFonts w:cs="Arial"/>
                <w:sz w:val="18"/>
                <w:szCs w:val="18"/>
              </w:rPr>
            </w:pPr>
            <w:r w:rsidRPr="003E2D55">
              <w:rPr>
                <w:rFonts w:cs="Arial"/>
                <w:sz w:val="18"/>
                <w:szCs w:val="18"/>
              </w:rPr>
              <w:t>Mildura RC</w:t>
            </w:r>
          </w:p>
        </w:tc>
        <w:tc>
          <w:tcPr>
            <w:tcW w:w="1361" w:type="dxa"/>
            <w:tcBorders>
              <w:top w:val="nil"/>
              <w:left w:val="single" w:sz="18" w:space="0" w:color="5F497A" w:themeColor="accent4" w:themeShade="BF"/>
              <w:bottom w:val="nil"/>
              <w:right w:val="nil"/>
            </w:tcBorders>
            <w:shd w:val="clear" w:color="auto" w:fill="auto"/>
            <w:noWrap/>
            <w:vAlign w:val="bottom"/>
          </w:tcPr>
          <w:p w14:paraId="6107A140" w14:textId="23ED0DF6" w:rsidR="00A26814" w:rsidRPr="003E2D55" w:rsidRDefault="00A26814" w:rsidP="00A26814">
            <w:pPr>
              <w:spacing w:before="40" w:after="20"/>
              <w:jc w:val="right"/>
              <w:rPr>
                <w:rFonts w:cs="Arial"/>
                <w:sz w:val="18"/>
                <w:szCs w:val="18"/>
              </w:rPr>
            </w:pPr>
            <w:r w:rsidRPr="003E2D55">
              <w:rPr>
                <w:rFonts w:cs="Arial"/>
                <w:sz w:val="18"/>
                <w:szCs w:val="18"/>
              </w:rPr>
              <w:t>101,420,922</w:t>
            </w:r>
          </w:p>
        </w:tc>
        <w:tc>
          <w:tcPr>
            <w:tcW w:w="1361" w:type="dxa"/>
            <w:tcBorders>
              <w:top w:val="nil"/>
              <w:left w:val="nil"/>
              <w:bottom w:val="nil"/>
              <w:right w:val="nil"/>
            </w:tcBorders>
            <w:shd w:val="clear" w:color="auto" w:fill="auto"/>
            <w:noWrap/>
            <w:vAlign w:val="bottom"/>
          </w:tcPr>
          <w:p w14:paraId="7CC20C48" w14:textId="583D5D53" w:rsidR="00A26814" w:rsidRPr="003E2D55" w:rsidRDefault="00A26814" w:rsidP="00A26814">
            <w:pPr>
              <w:spacing w:before="40" w:after="20"/>
              <w:jc w:val="right"/>
              <w:rPr>
                <w:rFonts w:cs="Arial"/>
                <w:sz w:val="18"/>
                <w:szCs w:val="18"/>
              </w:rPr>
            </w:pPr>
            <w:r w:rsidRPr="003E2D55">
              <w:rPr>
                <w:rFonts w:cs="Arial"/>
                <w:sz w:val="18"/>
                <w:szCs w:val="18"/>
              </w:rPr>
              <w:t>30,139,202</w:t>
            </w:r>
          </w:p>
        </w:tc>
        <w:tc>
          <w:tcPr>
            <w:tcW w:w="1361" w:type="dxa"/>
            <w:tcBorders>
              <w:top w:val="nil"/>
              <w:left w:val="nil"/>
              <w:bottom w:val="nil"/>
              <w:right w:val="nil"/>
            </w:tcBorders>
            <w:vAlign w:val="bottom"/>
          </w:tcPr>
          <w:p w14:paraId="3B5E25E9" w14:textId="45321384" w:rsidR="00A26814" w:rsidRPr="003E2D55" w:rsidRDefault="00A26814" w:rsidP="00A26814">
            <w:pPr>
              <w:spacing w:before="40" w:after="20"/>
              <w:jc w:val="right"/>
              <w:rPr>
                <w:rFonts w:cs="Arial"/>
                <w:sz w:val="18"/>
                <w:szCs w:val="18"/>
              </w:rPr>
            </w:pPr>
            <w:r w:rsidRPr="003E2D55">
              <w:rPr>
                <w:rFonts w:cs="Arial"/>
                <w:sz w:val="18"/>
                <w:szCs w:val="18"/>
              </w:rPr>
              <w:t>71,281,719</w:t>
            </w:r>
          </w:p>
        </w:tc>
        <w:tc>
          <w:tcPr>
            <w:tcW w:w="1361" w:type="dxa"/>
            <w:tcBorders>
              <w:top w:val="nil"/>
              <w:left w:val="nil"/>
              <w:bottom w:val="nil"/>
              <w:right w:val="nil"/>
            </w:tcBorders>
            <w:shd w:val="clear" w:color="auto" w:fill="auto"/>
            <w:noWrap/>
            <w:vAlign w:val="bottom"/>
          </w:tcPr>
          <w:p w14:paraId="25E129F2" w14:textId="2D238B0B" w:rsidR="00A26814" w:rsidRPr="003E2D55" w:rsidRDefault="00A26814" w:rsidP="00A26814">
            <w:pPr>
              <w:spacing w:before="40" w:after="20"/>
              <w:jc w:val="right"/>
              <w:rPr>
                <w:rFonts w:cs="Arial"/>
                <w:sz w:val="18"/>
                <w:szCs w:val="18"/>
              </w:rPr>
            </w:pPr>
            <w:r w:rsidRPr="003E2D55">
              <w:rPr>
                <w:rFonts w:cs="Arial"/>
                <w:sz w:val="18"/>
                <w:szCs w:val="18"/>
              </w:rPr>
              <w:t>11,509,519</w:t>
            </w:r>
          </w:p>
        </w:tc>
        <w:tc>
          <w:tcPr>
            <w:tcW w:w="1361" w:type="dxa"/>
            <w:tcBorders>
              <w:top w:val="nil"/>
              <w:left w:val="nil"/>
              <w:bottom w:val="nil"/>
              <w:right w:val="nil"/>
            </w:tcBorders>
            <w:vAlign w:val="bottom"/>
          </w:tcPr>
          <w:p w14:paraId="4A12FBA2" w14:textId="4799E18A" w:rsidR="00A26814" w:rsidRPr="003E2D55" w:rsidRDefault="00A26814" w:rsidP="00A26814">
            <w:pPr>
              <w:spacing w:before="40" w:after="20"/>
              <w:jc w:val="right"/>
              <w:rPr>
                <w:rFonts w:cs="Arial"/>
                <w:b/>
                <w:sz w:val="18"/>
                <w:szCs w:val="18"/>
              </w:rPr>
            </w:pPr>
            <w:r w:rsidRPr="003E2D55">
              <w:rPr>
                <w:rFonts w:cs="Arial"/>
                <w:b/>
                <w:sz w:val="18"/>
                <w:szCs w:val="18"/>
              </w:rPr>
              <w:t>11,505,689</w:t>
            </w:r>
          </w:p>
        </w:tc>
      </w:tr>
      <w:tr w:rsidR="00A26814" w:rsidRPr="003E2D55" w14:paraId="5E92E860"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6EA7E7CB" w14:textId="77777777" w:rsidR="00A26814" w:rsidRPr="003E2D55" w:rsidRDefault="00A26814" w:rsidP="00A26814">
            <w:pPr>
              <w:spacing w:before="40" w:after="20"/>
              <w:rPr>
                <w:rFonts w:cs="Arial"/>
                <w:sz w:val="18"/>
                <w:szCs w:val="18"/>
              </w:rPr>
            </w:pPr>
            <w:r w:rsidRPr="003E2D55">
              <w:rPr>
                <w:rFonts w:cs="Arial"/>
                <w:sz w:val="18"/>
                <w:szCs w:val="18"/>
              </w:rPr>
              <w:t>Mitchell S</w:t>
            </w:r>
          </w:p>
        </w:tc>
        <w:tc>
          <w:tcPr>
            <w:tcW w:w="1361" w:type="dxa"/>
            <w:tcBorders>
              <w:top w:val="nil"/>
              <w:left w:val="single" w:sz="18" w:space="0" w:color="5F497A" w:themeColor="accent4" w:themeShade="BF"/>
              <w:bottom w:val="nil"/>
              <w:right w:val="nil"/>
            </w:tcBorders>
            <w:shd w:val="clear" w:color="auto" w:fill="auto"/>
            <w:noWrap/>
            <w:vAlign w:val="bottom"/>
          </w:tcPr>
          <w:p w14:paraId="3A744E1C" w14:textId="756E3BFA" w:rsidR="00A26814" w:rsidRPr="003E2D55" w:rsidRDefault="00A26814" w:rsidP="00A26814">
            <w:pPr>
              <w:spacing w:before="40" w:after="20"/>
              <w:jc w:val="right"/>
              <w:rPr>
                <w:rFonts w:cs="Arial"/>
                <w:sz w:val="18"/>
                <w:szCs w:val="18"/>
              </w:rPr>
            </w:pPr>
            <w:r w:rsidRPr="003E2D55">
              <w:rPr>
                <w:rFonts w:cs="Arial"/>
                <w:sz w:val="18"/>
                <w:szCs w:val="18"/>
              </w:rPr>
              <w:t>62,998,098</w:t>
            </w:r>
          </w:p>
        </w:tc>
        <w:tc>
          <w:tcPr>
            <w:tcW w:w="1361" w:type="dxa"/>
            <w:tcBorders>
              <w:top w:val="nil"/>
              <w:left w:val="nil"/>
              <w:bottom w:val="nil"/>
              <w:right w:val="nil"/>
            </w:tcBorders>
            <w:shd w:val="clear" w:color="auto" w:fill="auto"/>
            <w:noWrap/>
            <w:vAlign w:val="bottom"/>
          </w:tcPr>
          <w:p w14:paraId="1AE5494A" w14:textId="20FFE5A6" w:rsidR="00A26814" w:rsidRPr="003E2D55" w:rsidRDefault="00A26814" w:rsidP="00A26814">
            <w:pPr>
              <w:spacing w:before="40" w:after="20"/>
              <w:jc w:val="right"/>
              <w:rPr>
                <w:rFonts w:cs="Arial"/>
                <w:sz w:val="18"/>
                <w:szCs w:val="18"/>
              </w:rPr>
            </w:pPr>
            <w:r w:rsidRPr="003E2D55">
              <w:rPr>
                <w:rFonts w:cs="Arial"/>
                <w:sz w:val="18"/>
                <w:szCs w:val="18"/>
              </w:rPr>
              <w:t>26,177,730</w:t>
            </w:r>
          </w:p>
        </w:tc>
        <w:tc>
          <w:tcPr>
            <w:tcW w:w="1361" w:type="dxa"/>
            <w:tcBorders>
              <w:top w:val="nil"/>
              <w:left w:val="nil"/>
              <w:bottom w:val="nil"/>
              <w:right w:val="nil"/>
            </w:tcBorders>
            <w:vAlign w:val="bottom"/>
          </w:tcPr>
          <w:p w14:paraId="69394970" w14:textId="1419E6A7" w:rsidR="00A26814" w:rsidRPr="003E2D55" w:rsidRDefault="00A26814" w:rsidP="00A26814">
            <w:pPr>
              <w:spacing w:before="40" w:after="20"/>
              <w:jc w:val="right"/>
              <w:rPr>
                <w:rFonts w:cs="Arial"/>
                <w:sz w:val="18"/>
                <w:szCs w:val="18"/>
              </w:rPr>
            </w:pPr>
            <w:r w:rsidRPr="003E2D55">
              <w:rPr>
                <w:rFonts w:cs="Arial"/>
                <w:sz w:val="18"/>
                <w:szCs w:val="18"/>
              </w:rPr>
              <w:t>36,820,368</w:t>
            </w:r>
          </w:p>
        </w:tc>
        <w:tc>
          <w:tcPr>
            <w:tcW w:w="1361" w:type="dxa"/>
            <w:tcBorders>
              <w:top w:val="nil"/>
              <w:left w:val="nil"/>
              <w:bottom w:val="nil"/>
              <w:right w:val="nil"/>
            </w:tcBorders>
            <w:shd w:val="clear" w:color="auto" w:fill="auto"/>
            <w:noWrap/>
            <w:vAlign w:val="bottom"/>
          </w:tcPr>
          <w:p w14:paraId="55C3384F" w14:textId="40B243E0" w:rsidR="00A26814" w:rsidRPr="003E2D55" w:rsidRDefault="00A26814" w:rsidP="00A26814">
            <w:pPr>
              <w:spacing w:before="40" w:after="20"/>
              <w:jc w:val="right"/>
              <w:rPr>
                <w:rFonts w:cs="Arial"/>
                <w:sz w:val="18"/>
                <w:szCs w:val="18"/>
              </w:rPr>
            </w:pPr>
            <w:r w:rsidRPr="003E2D55">
              <w:rPr>
                <w:rFonts w:cs="Arial"/>
                <w:sz w:val="18"/>
                <w:szCs w:val="18"/>
              </w:rPr>
              <w:t>5,945,209</w:t>
            </w:r>
          </w:p>
        </w:tc>
        <w:tc>
          <w:tcPr>
            <w:tcW w:w="1361" w:type="dxa"/>
            <w:tcBorders>
              <w:top w:val="nil"/>
              <w:left w:val="nil"/>
              <w:bottom w:val="nil"/>
              <w:right w:val="nil"/>
            </w:tcBorders>
            <w:vAlign w:val="bottom"/>
          </w:tcPr>
          <w:p w14:paraId="3D541ABF" w14:textId="11E2AC7D" w:rsidR="00A26814" w:rsidRPr="003E2D55" w:rsidRDefault="00A26814" w:rsidP="00A26814">
            <w:pPr>
              <w:spacing w:before="40" w:after="20"/>
              <w:jc w:val="right"/>
              <w:rPr>
                <w:rFonts w:cs="Arial"/>
                <w:b/>
                <w:sz w:val="18"/>
                <w:szCs w:val="18"/>
              </w:rPr>
            </w:pPr>
            <w:r w:rsidRPr="003E2D55">
              <w:rPr>
                <w:rFonts w:cs="Arial"/>
                <w:b/>
                <w:sz w:val="18"/>
                <w:szCs w:val="18"/>
              </w:rPr>
              <w:t>5,943,231</w:t>
            </w:r>
          </w:p>
        </w:tc>
      </w:tr>
      <w:tr w:rsidR="00A26814" w:rsidRPr="003E2D55" w14:paraId="3540B416"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44E9A6A8" w14:textId="77777777" w:rsidR="00A26814" w:rsidRPr="003E2D55" w:rsidRDefault="00A26814" w:rsidP="00A26814">
            <w:pPr>
              <w:spacing w:before="40" w:after="20"/>
              <w:rPr>
                <w:rFonts w:cs="Arial"/>
                <w:sz w:val="18"/>
                <w:szCs w:val="18"/>
              </w:rPr>
            </w:pPr>
            <w:r w:rsidRPr="003E2D55">
              <w:rPr>
                <w:rFonts w:cs="Arial"/>
                <w:sz w:val="18"/>
                <w:szCs w:val="18"/>
              </w:rPr>
              <w:t>Moira S</w:t>
            </w:r>
          </w:p>
        </w:tc>
        <w:tc>
          <w:tcPr>
            <w:tcW w:w="1361" w:type="dxa"/>
            <w:tcBorders>
              <w:top w:val="nil"/>
              <w:left w:val="single" w:sz="18" w:space="0" w:color="5F497A" w:themeColor="accent4" w:themeShade="BF"/>
              <w:bottom w:val="nil"/>
              <w:right w:val="nil"/>
            </w:tcBorders>
            <w:shd w:val="clear" w:color="auto" w:fill="auto"/>
            <w:noWrap/>
            <w:vAlign w:val="bottom"/>
          </w:tcPr>
          <w:p w14:paraId="52AB5791" w14:textId="3FFFEF28" w:rsidR="00A26814" w:rsidRPr="003E2D55" w:rsidRDefault="00A26814" w:rsidP="00A26814">
            <w:pPr>
              <w:spacing w:before="40" w:after="20"/>
              <w:jc w:val="right"/>
              <w:rPr>
                <w:rFonts w:cs="Arial"/>
                <w:sz w:val="18"/>
                <w:szCs w:val="18"/>
              </w:rPr>
            </w:pPr>
            <w:r w:rsidRPr="003E2D55">
              <w:rPr>
                <w:rFonts w:cs="Arial"/>
                <w:sz w:val="18"/>
                <w:szCs w:val="18"/>
              </w:rPr>
              <w:t>65,782,527</w:t>
            </w:r>
          </w:p>
        </w:tc>
        <w:tc>
          <w:tcPr>
            <w:tcW w:w="1361" w:type="dxa"/>
            <w:tcBorders>
              <w:top w:val="nil"/>
              <w:left w:val="nil"/>
              <w:bottom w:val="nil"/>
              <w:right w:val="nil"/>
            </w:tcBorders>
            <w:shd w:val="clear" w:color="auto" w:fill="auto"/>
            <w:noWrap/>
            <w:vAlign w:val="bottom"/>
          </w:tcPr>
          <w:p w14:paraId="124B3C08" w14:textId="5886B0C4" w:rsidR="00A26814" w:rsidRPr="003E2D55" w:rsidRDefault="00A26814" w:rsidP="00A26814">
            <w:pPr>
              <w:spacing w:before="40" w:after="20"/>
              <w:jc w:val="right"/>
              <w:rPr>
                <w:rFonts w:cs="Arial"/>
                <w:sz w:val="18"/>
                <w:szCs w:val="18"/>
              </w:rPr>
            </w:pPr>
            <w:r w:rsidRPr="003E2D55">
              <w:rPr>
                <w:rFonts w:cs="Arial"/>
                <w:sz w:val="18"/>
                <w:szCs w:val="18"/>
              </w:rPr>
              <w:t>20,530,962</w:t>
            </w:r>
          </w:p>
        </w:tc>
        <w:tc>
          <w:tcPr>
            <w:tcW w:w="1361" w:type="dxa"/>
            <w:tcBorders>
              <w:top w:val="nil"/>
              <w:left w:val="nil"/>
              <w:bottom w:val="nil"/>
              <w:right w:val="nil"/>
            </w:tcBorders>
            <w:vAlign w:val="bottom"/>
          </w:tcPr>
          <w:p w14:paraId="6B4AB706" w14:textId="423823DF" w:rsidR="00A26814" w:rsidRPr="003E2D55" w:rsidRDefault="00A26814" w:rsidP="00A26814">
            <w:pPr>
              <w:spacing w:before="40" w:after="20"/>
              <w:jc w:val="right"/>
              <w:rPr>
                <w:rFonts w:cs="Arial"/>
                <w:sz w:val="18"/>
                <w:szCs w:val="18"/>
              </w:rPr>
            </w:pPr>
            <w:r w:rsidRPr="003E2D55">
              <w:rPr>
                <w:rFonts w:cs="Arial"/>
                <w:sz w:val="18"/>
                <w:szCs w:val="18"/>
              </w:rPr>
              <w:t>45,251,565</w:t>
            </w:r>
          </w:p>
        </w:tc>
        <w:tc>
          <w:tcPr>
            <w:tcW w:w="1361" w:type="dxa"/>
            <w:tcBorders>
              <w:top w:val="nil"/>
              <w:left w:val="nil"/>
              <w:bottom w:val="nil"/>
              <w:right w:val="nil"/>
            </w:tcBorders>
            <w:shd w:val="clear" w:color="auto" w:fill="auto"/>
            <w:noWrap/>
            <w:vAlign w:val="bottom"/>
          </w:tcPr>
          <w:p w14:paraId="2C5C6342" w14:textId="7EC50597" w:rsidR="00A26814" w:rsidRPr="003E2D55" w:rsidRDefault="00A26814" w:rsidP="00A26814">
            <w:pPr>
              <w:spacing w:before="40" w:after="20"/>
              <w:jc w:val="right"/>
              <w:rPr>
                <w:rFonts w:cs="Arial"/>
                <w:sz w:val="18"/>
                <w:szCs w:val="18"/>
              </w:rPr>
            </w:pPr>
            <w:r w:rsidRPr="003E2D55">
              <w:rPr>
                <w:rFonts w:cs="Arial"/>
                <w:sz w:val="18"/>
                <w:szCs w:val="18"/>
              </w:rPr>
              <w:t>7,306,554</w:t>
            </w:r>
          </w:p>
        </w:tc>
        <w:tc>
          <w:tcPr>
            <w:tcW w:w="1361" w:type="dxa"/>
            <w:tcBorders>
              <w:top w:val="nil"/>
              <w:left w:val="nil"/>
              <w:bottom w:val="nil"/>
              <w:right w:val="nil"/>
            </w:tcBorders>
            <w:vAlign w:val="bottom"/>
          </w:tcPr>
          <w:p w14:paraId="6F589B0A" w14:textId="67745B0D" w:rsidR="00A26814" w:rsidRPr="003E2D55" w:rsidRDefault="00A26814" w:rsidP="00A26814">
            <w:pPr>
              <w:spacing w:before="40" w:after="20"/>
              <w:jc w:val="right"/>
              <w:rPr>
                <w:rFonts w:cs="Arial"/>
                <w:b/>
                <w:sz w:val="18"/>
                <w:szCs w:val="18"/>
              </w:rPr>
            </w:pPr>
            <w:r w:rsidRPr="003E2D55">
              <w:rPr>
                <w:rFonts w:cs="Arial"/>
                <w:b/>
                <w:sz w:val="18"/>
                <w:szCs w:val="18"/>
              </w:rPr>
              <w:t>7,304,123</w:t>
            </w:r>
          </w:p>
        </w:tc>
      </w:tr>
      <w:tr w:rsidR="00A26814" w:rsidRPr="003E2D55" w14:paraId="326289B9"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0E4987BD" w14:textId="77777777" w:rsidR="00A26814" w:rsidRPr="003E2D55" w:rsidRDefault="00A26814" w:rsidP="00A26814">
            <w:pPr>
              <w:spacing w:before="40" w:after="20"/>
              <w:rPr>
                <w:rFonts w:cs="Arial"/>
                <w:sz w:val="18"/>
                <w:szCs w:val="18"/>
              </w:rPr>
            </w:pPr>
            <w:r w:rsidRPr="003E2D55">
              <w:rPr>
                <w:rFonts w:cs="Arial"/>
                <w:sz w:val="18"/>
                <w:szCs w:val="18"/>
              </w:rPr>
              <w:t>Monash C</w:t>
            </w:r>
          </w:p>
        </w:tc>
        <w:tc>
          <w:tcPr>
            <w:tcW w:w="1361" w:type="dxa"/>
            <w:tcBorders>
              <w:top w:val="nil"/>
              <w:left w:val="single" w:sz="18" w:space="0" w:color="5F497A" w:themeColor="accent4" w:themeShade="BF"/>
              <w:bottom w:val="nil"/>
              <w:right w:val="nil"/>
            </w:tcBorders>
            <w:shd w:val="clear" w:color="auto" w:fill="auto"/>
            <w:noWrap/>
            <w:vAlign w:val="bottom"/>
          </w:tcPr>
          <w:p w14:paraId="35E905AC" w14:textId="75D602D2" w:rsidR="00A26814" w:rsidRPr="003E2D55" w:rsidRDefault="00A26814" w:rsidP="00A26814">
            <w:pPr>
              <w:spacing w:before="40" w:after="20"/>
              <w:jc w:val="right"/>
              <w:rPr>
                <w:rFonts w:cs="Arial"/>
                <w:sz w:val="18"/>
                <w:szCs w:val="18"/>
              </w:rPr>
            </w:pPr>
            <w:r w:rsidRPr="003E2D55">
              <w:rPr>
                <w:rFonts w:cs="Arial"/>
                <w:sz w:val="18"/>
                <w:szCs w:val="18"/>
              </w:rPr>
              <w:t>209,920,707</w:t>
            </w:r>
          </w:p>
        </w:tc>
        <w:tc>
          <w:tcPr>
            <w:tcW w:w="1361" w:type="dxa"/>
            <w:tcBorders>
              <w:top w:val="nil"/>
              <w:left w:val="nil"/>
              <w:bottom w:val="nil"/>
              <w:right w:val="nil"/>
            </w:tcBorders>
            <w:shd w:val="clear" w:color="auto" w:fill="auto"/>
            <w:noWrap/>
            <w:vAlign w:val="bottom"/>
          </w:tcPr>
          <w:p w14:paraId="478B712C" w14:textId="2E373138" w:rsidR="00A26814" w:rsidRPr="003E2D55" w:rsidRDefault="00A26814" w:rsidP="00A26814">
            <w:pPr>
              <w:spacing w:before="40" w:after="20"/>
              <w:jc w:val="right"/>
              <w:rPr>
                <w:rFonts w:cs="Arial"/>
                <w:sz w:val="18"/>
                <w:szCs w:val="18"/>
              </w:rPr>
            </w:pPr>
            <w:r w:rsidRPr="003E2D55">
              <w:rPr>
                <w:rFonts w:cs="Arial"/>
                <w:sz w:val="18"/>
                <w:szCs w:val="18"/>
              </w:rPr>
              <w:t>194,630,900</w:t>
            </w:r>
          </w:p>
        </w:tc>
        <w:tc>
          <w:tcPr>
            <w:tcW w:w="1361" w:type="dxa"/>
            <w:tcBorders>
              <w:top w:val="nil"/>
              <w:left w:val="nil"/>
              <w:bottom w:val="nil"/>
              <w:right w:val="nil"/>
            </w:tcBorders>
            <w:vAlign w:val="bottom"/>
          </w:tcPr>
          <w:p w14:paraId="4B818F15" w14:textId="1667FFCC" w:rsidR="00A26814" w:rsidRPr="003E2D55" w:rsidRDefault="00A26814" w:rsidP="00A26814">
            <w:pPr>
              <w:spacing w:before="40" w:after="20"/>
              <w:jc w:val="right"/>
              <w:rPr>
                <w:rFonts w:cs="Arial"/>
                <w:sz w:val="18"/>
                <w:szCs w:val="18"/>
              </w:rPr>
            </w:pPr>
            <w:r w:rsidRPr="003E2D55">
              <w:rPr>
                <w:rFonts w:cs="Arial"/>
                <w:sz w:val="18"/>
                <w:szCs w:val="18"/>
              </w:rPr>
              <w:t>15,289,807</w:t>
            </w:r>
          </w:p>
        </w:tc>
        <w:tc>
          <w:tcPr>
            <w:tcW w:w="1361" w:type="dxa"/>
            <w:tcBorders>
              <w:top w:val="nil"/>
              <w:left w:val="nil"/>
              <w:bottom w:val="nil"/>
              <w:right w:val="nil"/>
            </w:tcBorders>
            <w:shd w:val="clear" w:color="auto" w:fill="auto"/>
            <w:noWrap/>
            <w:vAlign w:val="bottom"/>
          </w:tcPr>
          <w:p w14:paraId="445AFA43" w14:textId="2ECCEF68" w:rsidR="00A26814" w:rsidRPr="003E2D55" w:rsidRDefault="00A26814" w:rsidP="00A26814">
            <w:pPr>
              <w:spacing w:before="40" w:after="20"/>
              <w:jc w:val="right"/>
              <w:rPr>
                <w:rFonts w:cs="Arial"/>
                <w:sz w:val="18"/>
                <w:szCs w:val="18"/>
              </w:rPr>
            </w:pPr>
            <w:r w:rsidRPr="003E2D55">
              <w:rPr>
                <w:rFonts w:cs="Arial"/>
                <w:sz w:val="18"/>
                <w:szCs w:val="18"/>
              </w:rPr>
              <w:t>4,232,622</w:t>
            </w:r>
          </w:p>
        </w:tc>
        <w:tc>
          <w:tcPr>
            <w:tcW w:w="1361" w:type="dxa"/>
            <w:tcBorders>
              <w:top w:val="nil"/>
              <w:left w:val="nil"/>
              <w:bottom w:val="nil"/>
              <w:right w:val="nil"/>
            </w:tcBorders>
            <w:vAlign w:val="bottom"/>
          </w:tcPr>
          <w:p w14:paraId="713FA9D0" w14:textId="07092866" w:rsidR="00A26814" w:rsidRPr="003E2D55" w:rsidRDefault="00A26814" w:rsidP="00A26814">
            <w:pPr>
              <w:spacing w:before="40" w:after="20"/>
              <w:jc w:val="right"/>
              <w:rPr>
                <w:rFonts w:cs="Arial"/>
                <w:b/>
                <w:sz w:val="18"/>
                <w:szCs w:val="18"/>
              </w:rPr>
            </w:pPr>
            <w:r w:rsidRPr="003E2D55">
              <w:rPr>
                <w:rFonts w:cs="Arial"/>
                <w:b/>
                <w:sz w:val="18"/>
                <w:szCs w:val="18"/>
              </w:rPr>
              <w:t>4,232,622</w:t>
            </w:r>
          </w:p>
        </w:tc>
      </w:tr>
      <w:tr w:rsidR="00A26814" w:rsidRPr="003E2D55" w14:paraId="48ACE630"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094A4D1C" w14:textId="77777777" w:rsidR="00A26814" w:rsidRPr="003E2D55" w:rsidRDefault="00A26814" w:rsidP="00A26814">
            <w:pPr>
              <w:spacing w:before="40" w:after="20"/>
              <w:rPr>
                <w:rFonts w:cs="Arial"/>
                <w:sz w:val="18"/>
                <w:szCs w:val="18"/>
              </w:rPr>
            </w:pPr>
            <w:r w:rsidRPr="003E2D55">
              <w:rPr>
                <w:rFonts w:cs="Arial"/>
                <w:sz w:val="18"/>
                <w:szCs w:val="18"/>
              </w:rPr>
              <w:t>Moonee Valley C</w:t>
            </w:r>
          </w:p>
        </w:tc>
        <w:tc>
          <w:tcPr>
            <w:tcW w:w="1361" w:type="dxa"/>
            <w:tcBorders>
              <w:top w:val="nil"/>
              <w:left w:val="single" w:sz="18" w:space="0" w:color="5F497A" w:themeColor="accent4" w:themeShade="BF"/>
              <w:bottom w:val="nil"/>
              <w:right w:val="nil"/>
            </w:tcBorders>
            <w:shd w:val="clear" w:color="auto" w:fill="auto"/>
            <w:noWrap/>
            <w:vAlign w:val="bottom"/>
          </w:tcPr>
          <w:p w14:paraId="027CE8EB" w14:textId="055F8CB4" w:rsidR="00A26814" w:rsidRPr="003E2D55" w:rsidRDefault="00A26814" w:rsidP="00A26814">
            <w:pPr>
              <w:spacing w:before="40" w:after="20"/>
              <w:jc w:val="right"/>
              <w:rPr>
                <w:rFonts w:cs="Arial"/>
                <w:sz w:val="18"/>
                <w:szCs w:val="18"/>
              </w:rPr>
            </w:pPr>
            <w:r w:rsidRPr="003E2D55">
              <w:rPr>
                <w:rFonts w:cs="Arial"/>
                <w:sz w:val="18"/>
                <w:szCs w:val="18"/>
              </w:rPr>
              <w:t>125,645,841</w:t>
            </w:r>
          </w:p>
        </w:tc>
        <w:tc>
          <w:tcPr>
            <w:tcW w:w="1361" w:type="dxa"/>
            <w:tcBorders>
              <w:top w:val="nil"/>
              <w:left w:val="nil"/>
              <w:bottom w:val="nil"/>
              <w:right w:val="nil"/>
            </w:tcBorders>
            <w:shd w:val="clear" w:color="auto" w:fill="auto"/>
            <w:noWrap/>
            <w:vAlign w:val="bottom"/>
          </w:tcPr>
          <w:p w14:paraId="0D002643" w14:textId="3DA578FB" w:rsidR="00A26814" w:rsidRPr="003E2D55" w:rsidRDefault="00A26814" w:rsidP="00A26814">
            <w:pPr>
              <w:spacing w:before="40" w:after="20"/>
              <w:jc w:val="right"/>
              <w:rPr>
                <w:rFonts w:cs="Arial"/>
                <w:sz w:val="18"/>
                <w:szCs w:val="18"/>
              </w:rPr>
            </w:pPr>
            <w:r w:rsidRPr="003E2D55">
              <w:rPr>
                <w:rFonts w:cs="Arial"/>
                <w:sz w:val="18"/>
                <w:szCs w:val="18"/>
              </w:rPr>
              <w:t>132,981,333</w:t>
            </w:r>
          </w:p>
        </w:tc>
        <w:tc>
          <w:tcPr>
            <w:tcW w:w="1361" w:type="dxa"/>
            <w:tcBorders>
              <w:top w:val="nil"/>
              <w:left w:val="nil"/>
              <w:bottom w:val="nil"/>
              <w:right w:val="nil"/>
            </w:tcBorders>
            <w:vAlign w:val="bottom"/>
          </w:tcPr>
          <w:p w14:paraId="59C8963B" w14:textId="101F19BE" w:rsidR="00A26814" w:rsidRPr="003E2D55" w:rsidRDefault="00A26814" w:rsidP="00A26814">
            <w:pPr>
              <w:spacing w:before="40" w:after="20"/>
              <w:jc w:val="right"/>
              <w:rPr>
                <w:rFonts w:cs="Arial"/>
                <w:sz w:val="18"/>
                <w:szCs w:val="18"/>
              </w:rPr>
            </w:pPr>
            <w:r w:rsidRPr="003E2D55">
              <w:rPr>
                <w:rFonts w:cs="Arial"/>
                <w:sz w:val="18"/>
                <w:szCs w:val="18"/>
              </w:rPr>
              <w:t>-7,335,491</w:t>
            </w:r>
          </w:p>
        </w:tc>
        <w:tc>
          <w:tcPr>
            <w:tcW w:w="1361" w:type="dxa"/>
            <w:tcBorders>
              <w:top w:val="nil"/>
              <w:left w:val="nil"/>
              <w:bottom w:val="nil"/>
              <w:right w:val="nil"/>
            </w:tcBorders>
            <w:shd w:val="clear" w:color="auto" w:fill="auto"/>
            <w:noWrap/>
            <w:vAlign w:val="bottom"/>
          </w:tcPr>
          <w:p w14:paraId="7F38479D" w14:textId="142B385C" w:rsidR="00A26814" w:rsidRPr="003E2D55" w:rsidRDefault="00A26814" w:rsidP="00A26814">
            <w:pPr>
              <w:spacing w:before="40" w:after="20"/>
              <w:jc w:val="right"/>
              <w:rPr>
                <w:rFonts w:cs="Arial"/>
                <w:sz w:val="18"/>
                <w:szCs w:val="18"/>
              </w:rPr>
            </w:pPr>
            <w:r w:rsidRPr="003E2D55">
              <w:rPr>
                <w:rFonts w:cs="Arial"/>
                <w:sz w:val="18"/>
                <w:szCs w:val="18"/>
              </w:rPr>
              <w:t>2,705,361</w:t>
            </w:r>
          </w:p>
        </w:tc>
        <w:tc>
          <w:tcPr>
            <w:tcW w:w="1361" w:type="dxa"/>
            <w:tcBorders>
              <w:top w:val="nil"/>
              <w:left w:val="nil"/>
              <w:bottom w:val="nil"/>
              <w:right w:val="nil"/>
            </w:tcBorders>
            <w:vAlign w:val="bottom"/>
          </w:tcPr>
          <w:p w14:paraId="2D203C0F" w14:textId="591DECF3" w:rsidR="00A26814" w:rsidRPr="003E2D55" w:rsidRDefault="00A26814" w:rsidP="00A26814">
            <w:pPr>
              <w:spacing w:before="40" w:after="20"/>
              <w:jc w:val="right"/>
              <w:rPr>
                <w:rFonts w:cs="Arial"/>
                <w:b/>
                <w:sz w:val="18"/>
                <w:szCs w:val="18"/>
              </w:rPr>
            </w:pPr>
            <w:r w:rsidRPr="003E2D55">
              <w:rPr>
                <w:rFonts w:cs="Arial"/>
                <w:b/>
                <w:sz w:val="18"/>
                <w:szCs w:val="18"/>
              </w:rPr>
              <w:t>2,705,361</w:t>
            </w:r>
          </w:p>
        </w:tc>
      </w:tr>
      <w:tr w:rsidR="00A26814" w:rsidRPr="003E2D55" w14:paraId="1CE35772"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2C079801" w14:textId="77777777" w:rsidR="00A26814" w:rsidRPr="003E2D55" w:rsidRDefault="00A26814" w:rsidP="00A26814">
            <w:pPr>
              <w:spacing w:before="40" w:after="20"/>
              <w:rPr>
                <w:rFonts w:cs="Arial"/>
                <w:sz w:val="18"/>
                <w:szCs w:val="18"/>
              </w:rPr>
            </w:pPr>
            <w:r w:rsidRPr="003E2D55">
              <w:rPr>
                <w:rFonts w:cs="Arial"/>
                <w:sz w:val="18"/>
                <w:szCs w:val="18"/>
              </w:rPr>
              <w:t>Moorabool S</w:t>
            </w:r>
          </w:p>
        </w:tc>
        <w:tc>
          <w:tcPr>
            <w:tcW w:w="1361" w:type="dxa"/>
            <w:tcBorders>
              <w:top w:val="nil"/>
              <w:left w:val="single" w:sz="18" w:space="0" w:color="5F497A" w:themeColor="accent4" w:themeShade="BF"/>
              <w:bottom w:val="nil"/>
              <w:right w:val="nil"/>
            </w:tcBorders>
            <w:shd w:val="clear" w:color="auto" w:fill="auto"/>
            <w:noWrap/>
            <w:vAlign w:val="bottom"/>
          </w:tcPr>
          <w:p w14:paraId="3A5F2CAA" w14:textId="6C1803B6" w:rsidR="00A26814" w:rsidRPr="003E2D55" w:rsidRDefault="00A26814" w:rsidP="00A26814">
            <w:pPr>
              <w:spacing w:before="40" w:after="20"/>
              <w:jc w:val="right"/>
              <w:rPr>
                <w:rFonts w:cs="Arial"/>
                <w:sz w:val="18"/>
                <w:szCs w:val="18"/>
              </w:rPr>
            </w:pPr>
            <w:r w:rsidRPr="003E2D55">
              <w:rPr>
                <w:rFonts w:cs="Arial"/>
                <w:sz w:val="18"/>
                <w:szCs w:val="18"/>
              </w:rPr>
              <w:t>50,694,292</w:t>
            </w:r>
          </w:p>
        </w:tc>
        <w:tc>
          <w:tcPr>
            <w:tcW w:w="1361" w:type="dxa"/>
            <w:tcBorders>
              <w:top w:val="nil"/>
              <w:left w:val="nil"/>
              <w:bottom w:val="nil"/>
              <w:right w:val="nil"/>
            </w:tcBorders>
            <w:shd w:val="clear" w:color="auto" w:fill="auto"/>
            <w:noWrap/>
            <w:vAlign w:val="bottom"/>
          </w:tcPr>
          <w:p w14:paraId="7041487A" w14:textId="70534A5C" w:rsidR="00A26814" w:rsidRPr="003E2D55" w:rsidRDefault="00A26814" w:rsidP="00A26814">
            <w:pPr>
              <w:spacing w:before="40" w:after="20"/>
              <w:jc w:val="right"/>
              <w:rPr>
                <w:rFonts w:cs="Arial"/>
                <w:sz w:val="18"/>
                <w:szCs w:val="18"/>
              </w:rPr>
            </w:pPr>
            <w:r w:rsidRPr="003E2D55">
              <w:rPr>
                <w:rFonts w:cs="Arial"/>
                <w:sz w:val="18"/>
                <w:szCs w:val="18"/>
              </w:rPr>
              <w:t>21,760,444</w:t>
            </w:r>
          </w:p>
        </w:tc>
        <w:tc>
          <w:tcPr>
            <w:tcW w:w="1361" w:type="dxa"/>
            <w:tcBorders>
              <w:top w:val="nil"/>
              <w:left w:val="nil"/>
              <w:bottom w:val="nil"/>
              <w:right w:val="nil"/>
            </w:tcBorders>
            <w:vAlign w:val="bottom"/>
          </w:tcPr>
          <w:p w14:paraId="13865E8B" w14:textId="4658A555" w:rsidR="00A26814" w:rsidRPr="003E2D55" w:rsidRDefault="00A26814" w:rsidP="00A26814">
            <w:pPr>
              <w:spacing w:before="40" w:after="20"/>
              <w:jc w:val="right"/>
              <w:rPr>
                <w:rFonts w:cs="Arial"/>
                <w:sz w:val="18"/>
                <w:szCs w:val="18"/>
              </w:rPr>
            </w:pPr>
            <w:r w:rsidRPr="003E2D55">
              <w:rPr>
                <w:rFonts w:cs="Arial"/>
                <w:sz w:val="18"/>
                <w:szCs w:val="18"/>
              </w:rPr>
              <w:t>28,933,848</w:t>
            </w:r>
          </w:p>
        </w:tc>
        <w:tc>
          <w:tcPr>
            <w:tcW w:w="1361" w:type="dxa"/>
            <w:tcBorders>
              <w:top w:val="nil"/>
              <w:left w:val="nil"/>
              <w:bottom w:val="nil"/>
              <w:right w:val="nil"/>
            </w:tcBorders>
            <w:shd w:val="clear" w:color="auto" w:fill="auto"/>
            <w:noWrap/>
            <w:vAlign w:val="bottom"/>
          </w:tcPr>
          <w:p w14:paraId="24E5B577" w14:textId="51CB75BC" w:rsidR="00A26814" w:rsidRPr="003E2D55" w:rsidRDefault="00A26814" w:rsidP="00A26814">
            <w:pPr>
              <w:spacing w:before="40" w:after="20"/>
              <w:jc w:val="right"/>
              <w:rPr>
                <w:rFonts w:cs="Arial"/>
                <w:sz w:val="18"/>
                <w:szCs w:val="18"/>
              </w:rPr>
            </w:pPr>
            <w:r w:rsidRPr="003E2D55">
              <w:rPr>
                <w:rFonts w:cs="Arial"/>
                <w:sz w:val="18"/>
                <w:szCs w:val="18"/>
              </w:rPr>
              <w:t>4,671,811</w:t>
            </w:r>
          </w:p>
        </w:tc>
        <w:tc>
          <w:tcPr>
            <w:tcW w:w="1361" w:type="dxa"/>
            <w:tcBorders>
              <w:top w:val="nil"/>
              <w:left w:val="nil"/>
              <w:bottom w:val="nil"/>
              <w:right w:val="nil"/>
            </w:tcBorders>
            <w:vAlign w:val="bottom"/>
          </w:tcPr>
          <w:p w14:paraId="1B6F6E33" w14:textId="05708E8F" w:rsidR="00A26814" w:rsidRPr="003E2D55" w:rsidRDefault="00A26814" w:rsidP="00A26814">
            <w:pPr>
              <w:spacing w:before="40" w:after="20"/>
              <w:jc w:val="right"/>
              <w:rPr>
                <w:rFonts w:cs="Arial"/>
                <w:b/>
                <w:sz w:val="18"/>
                <w:szCs w:val="18"/>
              </w:rPr>
            </w:pPr>
            <w:r w:rsidRPr="003E2D55">
              <w:rPr>
                <w:rFonts w:cs="Arial"/>
                <w:b/>
                <w:sz w:val="18"/>
                <w:szCs w:val="18"/>
              </w:rPr>
              <w:t>4,670,256</w:t>
            </w:r>
          </w:p>
        </w:tc>
      </w:tr>
      <w:tr w:rsidR="00A26814" w:rsidRPr="003E2D55" w14:paraId="672568B0"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589E7DBD" w14:textId="77777777" w:rsidR="00A26814" w:rsidRPr="003E2D55" w:rsidRDefault="00A26814" w:rsidP="00A26814">
            <w:pPr>
              <w:spacing w:before="40" w:after="20"/>
              <w:rPr>
                <w:rFonts w:cs="Arial"/>
                <w:sz w:val="18"/>
                <w:szCs w:val="18"/>
              </w:rPr>
            </w:pPr>
            <w:r w:rsidRPr="003E2D55">
              <w:rPr>
                <w:rFonts w:cs="Arial"/>
                <w:sz w:val="18"/>
                <w:szCs w:val="18"/>
              </w:rPr>
              <w:t>Moreland C</w:t>
            </w:r>
          </w:p>
        </w:tc>
        <w:tc>
          <w:tcPr>
            <w:tcW w:w="1361" w:type="dxa"/>
            <w:tcBorders>
              <w:top w:val="nil"/>
              <w:left w:val="single" w:sz="18" w:space="0" w:color="5F497A" w:themeColor="accent4" w:themeShade="BF"/>
              <w:bottom w:val="nil"/>
              <w:right w:val="nil"/>
            </w:tcBorders>
            <w:shd w:val="clear" w:color="auto" w:fill="auto"/>
            <w:noWrap/>
            <w:vAlign w:val="bottom"/>
          </w:tcPr>
          <w:p w14:paraId="534AA6E2" w14:textId="4A19AE95" w:rsidR="00A26814" w:rsidRPr="003E2D55" w:rsidRDefault="00A26814" w:rsidP="00A26814">
            <w:pPr>
              <w:spacing w:before="40" w:after="20"/>
              <w:jc w:val="right"/>
              <w:rPr>
                <w:rFonts w:cs="Arial"/>
                <w:sz w:val="18"/>
                <w:szCs w:val="18"/>
              </w:rPr>
            </w:pPr>
            <w:r w:rsidRPr="003E2D55">
              <w:rPr>
                <w:rFonts w:cs="Arial"/>
                <w:sz w:val="18"/>
                <w:szCs w:val="18"/>
              </w:rPr>
              <w:t>172,091,271</w:t>
            </w:r>
          </w:p>
        </w:tc>
        <w:tc>
          <w:tcPr>
            <w:tcW w:w="1361" w:type="dxa"/>
            <w:tcBorders>
              <w:top w:val="nil"/>
              <w:left w:val="nil"/>
              <w:bottom w:val="nil"/>
              <w:right w:val="nil"/>
            </w:tcBorders>
            <w:shd w:val="clear" w:color="auto" w:fill="auto"/>
            <w:noWrap/>
            <w:vAlign w:val="bottom"/>
          </w:tcPr>
          <w:p w14:paraId="71F1032A" w14:textId="564B7187" w:rsidR="00A26814" w:rsidRPr="003E2D55" w:rsidRDefault="00A26814" w:rsidP="00A26814">
            <w:pPr>
              <w:spacing w:before="40" w:after="20"/>
              <w:jc w:val="right"/>
              <w:rPr>
                <w:rFonts w:cs="Arial"/>
                <w:sz w:val="18"/>
                <w:szCs w:val="18"/>
              </w:rPr>
            </w:pPr>
            <w:r w:rsidRPr="003E2D55">
              <w:rPr>
                <w:rFonts w:cs="Arial"/>
                <w:sz w:val="18"/>
                <w:szCs w:val="18"/>
              </w:rPr>
              <w:t>150,823,745</w:t>
            </w:r>
          </w:p>
        </w:tc>
        <w:tc>
          <w:tcPr>
            <w:tcW w:w="1361" w:type="dxa"/>
            <w:tcBorders>
              <w:top w:val="nil"/>
              <w:left w:val="nil"/>
              <w:bottom w:val="nil"/>
              <w:right w:val="nil"/>
            </w:tcBorders>
            <w:vAlign w:val="bottom"/>
          </w:tcPr>
          <w:p w14:paraId="46136502" w14:textId="274F3B5C" w:rsidR="00A26814" w:rsidRPr="003E2D55" w:rsidRDefault="00A26814" w:rsidP="00A26814">
            <w:pPr>
              <w:spacing w:before="40" w:after="20"/>
              <w:jc w:val="right"/>
              <w:rPr>
                <w:rFonts w:cs="Arial"/>
                <w:sz w:val="18"/>
                <w:szCs w:val="18"/>
              </w:rPr>
            </w:pPr>
            <w:r w:rsidRPr="003E2D55">
              <w:rPr>
                <w:rFonts w:cs="Arial"/>
                <w:sz w:val="18"/>
                <w:szCs w:val="18"/>
              </w:rPr>
              <w:t>21,267,526</w:t>
            </w:r>
          </w:p>
        </w:tc>
        <w:tc>
          <w:tcPr>
            <w:tcW w:w="1361" w:type="dxa"/>
            <w:tcBorders>
              <w:top w:val="nil"/>
              <w:left w:val="nil"/>
              <w:bottom w:val="nil"/>
              <w:right w:val="nil"/>
            </w:tcBorders>
            <w:shd w:val="clear" w:color="auto" w:fill="auto"/>
            <w:noWrap/>
            <w:vAlign w:val="bottom"/>
          </w:tcPr>
          <w:p w14:paraId="7116D637" w14:textId="25A500CE" w:rsidR="00A26814" w:rsidRPr="003E2D55" w:rsidRDefault="00A26814" w:rsidP="00A26814">
            <w:pPr>
              <w:spacing w:before="40" w:after="20"/>
              <w:jc w:val="right"/>
              <w:rPr>
                <w:rFonts w:cs="Arial"/>
                <w:sz w:val="18"/>
                <w:szCs w:val="18"/>
              </w:rPr>
            </w:pPr>
            <w:r w:rsidRPr="003E2D55">
              <w:rPr>
                <w:rFonts w:cs="Arial"/>
                <w:sz w:val="18"/>
                <w:szCs w:val="18"/>
              </w:rPr>
              <w:t>3,844,386</w:t>
            </w:r>
          </w:p>
        </w:tc>
        <w:tc>
          <w:tcPr>
            <w:tcW w:w="1361" w:type="dxa"/>
            <w:tcBorders>
              <w:top w:val="nil"/>
              <w:left w:val="nil"/>
              <w:bottom w:val="nil"/>
              <w:right w:val="nil"/>
            </w:tcBorders>
            <w:vAlign w:val="bottom"/>
          </w:tcPr>
          <w:p w14:paraId="1424E9AE" w14:textId="461CA425" w:rsidR="00A26814" w:rsidRPr="003E2D55" w:rsidRDefault="00A26814" w:rsidP="00A26814">
            <w:pPr>
              <w:spacing w:before="40" w:after="20"/>
              <w:jc w:val="right"/>
              <w:rPr>
                <w:rFonts w:cs="Arial"/>
                <w:b/>
                <w:sz w:val="18"/>
                <w:szCs w:val="18"/>
              </w:rPr>
            </w:pPr>
            <w:r w:rsidRPr="003E2D55">
              <w:rPr>
                <w:rFonts w:cs="Arial"/>
                <w:b/>
                <w:sz w:val="18"/>
                <w:szCs w:val="18"/>
              </w:rPr>
              <w:t>3,978,374</w:t>
            </w:r>
          </w:p>
        </w:tc>
      </w:tr>
      <w:tr w:rsidR="00A26814" w:rsidRPr="003E2D55" w14:paraId="2B6A7887"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212E15C9" w14:textId="77777777" w:rsidR="00A26814" w:rsidRPr="003E2D55" w:rsidRDefault="00A26814" w:rsidP="00A26814">
            <w:pPr>
              <w:spacing w:before="40" w:after="20"/>
              <w:rPr>
                <w:rFonts w:cs="Arial"/>
                <w:sz w:val="18"/>
                <w:szCs w:val="18"/>
              </w:rPr>
            </w:pPr>
            <w:r w:rsidRPr="003E2D55">
              <w:rPr>
                <w:rFonts w:cs="Arial"/>
                <w:sz w:val="18"/>
                <w:szCs w:val="18"/>
              </w:rPr>
              <w:t>Mornington Peninsula S</w:t>
            </w:r>
          </w:p>
        </w:tc>
        <w:tc>
          <w:tcPr>
            <w:tcW w:w="1361" w:type="dxa"/>
            <w:tcBorders>
              <w:top w:val="nil"/>
              <w:left w:val="single" w:sz="18" w:space="0" w:color="5F497A" w:themeColor="accent4" w:themeShade="BF"/>
              <w:bottom w:val="nil"/>
              <w:right w:val="nil"/>
            </w:tcBorders>
            <w:shd w:val="clear" w:color="auto" w:fill="auto"/>
            <w:noWrap/>
            <w:vAlign w:val="bottom"/>
          </w:tcPr>
          <w:p w14:paraId="00067E70" w14:textId="53D1F9F4" w:rsidR="00A26814" w:rsidRPr="003E2D55" w:rsidRDefault="00A26814" w:rsidP="00A26814">
            <w:pPr>
              <w:spacing w:before="40" w:after="20"/>
              <w:jc w:val="right"/>
              <w:rPr>
                <w:rFonts w:cs="Arial"/>
                <w:sz w:val="18"/>
                <w:szCs w:val="18"/>
              </w:rPr>
            </w:pPr>
            <w:r w:rsidRPr="003E2D55">
              <w:rPr>
                <w:rFonts w:cs="Arial"/>
                <w:sz w:val="18"/>
                <w:szCs w:val="18"/>
              </w:rPr>
              <w:t>215,141,042</w:t>
            </w:r>
          </w:p>
        </w:tc>
        <w:tc>
          <w:tcPr>
            <w:tcW w:w="1361" w:type="dxa"/>
            <w:tcBorders>
              <w:top w:val="nil"/>
              <w:left w:val="nil"/>
              <w:bottom w:val="nil"/>
              <w:right w:val="nil"/>
            </w:tcBorders>
            <w:shd w:val="clear" w:color="auto" w:fill="auto"/>
            <w:noWrap/>
            <w:vAlign w:val="bottom"/>
          </w:tcPr>
          <w:p w14:paraId="142D4DEE" w14:textId="396EEFAA" w:rsidR="00A26814" w:rsidRPr="003E2D55" w:rsidRDefault="00A26814" w:rsidP="00A26814">
            <w:pPr>
              <w:spacing w:before="40" w:after="20"/>
              <w:jc w:val="right"/>
              <w:rPr>
                <w:rFonts w:cs="Arial"/>
                <w:sz w:val="18"/>
                <w:szCs w:val="18"/>
              </w:rPr>
            </w:pPr>
            <w:r w:rsidRPr="003E2D55">
              <w:rPr>
                <w:rFonts w:cs="Arial"/>
                <w:sz w:val="18"/>
                <w:szCs w:val="18"/>
              </w:rPr>
              <w:t>193,848,114</w:t>
            </w:r>
          </w:p>
        </w:tc>
        <w:tc>
          <w:tcPr>
            <w:tcW w:w="1361" w:type="dxa"/>
            <w:tcBorders>
              <w:top w:val="nil"/>
              <w:left w:val="nil"/>
              <w:bottom w:val="nil"/>
              <w:right w:val="nil"/>
            </w:tcBorders>
            <w:vAlign w:val="bottom"/>
          </w:tcPr>
          <w:p w14:paraId="291362A1" w14:textId="6FED276B" w:rsidR="00A26814" w:rsidRPr="003E2D55" w:rsidRDefault="00A26814" w:rsidP="00A26814">
            <w:pPr>
              <w:spacing w:before="40" w:after="20"/>
              <w:jc w:val="right"/>
              <w:rPr>
                <w:rFonts w:cs="Arial"/>
                <w:sz w:val="18"/>
                <w:szCs w:val="18"/>
              </w:rPr>
            </w:pPr>
            <w:r w:rsidRPr="003E2D55">
              <w:rPr>
                <w:rFonts w:cs="Arial"/>
                <w:sz w:val="18"/>
                <w:szCs w:val="18"/>
              </w:rPr>
              <w:t>21,292,928</w:t>
            </w:r>
          </w:p>
        </w:tc>
        <w:tc>
          <w:tcPr>
            <w:tcW w:w="1361" w:type="dxa"/>
            <w:tcBorders>
              <w:top w:val="nil"/>
              <w:left w:val="nil"/>
              <w:bottom w:val="nil"/>
              <w:right w:val="nil"/>
            </w:tcBorders>
            <w:shd w:val="clear" w:color="auto" w:fill="auto"/>
            <w:noWrap/>
            <w:vAlign w:val="bottom"/>
          </w:tcPr>
          <w:p w14:paraId="67BB8057" w14:textId="780E2BD4" w:rsidR="00A26814" w:rsidRPr="003E2D55" w:rsidRDefault="00A26814" w:rsidP="00A26814">
            <w:pPr>
              <w:spacing w:before="40" w:after="20"/>
              <w:jc w:val="right"/>
              <w:rPr>
                <w:rFonts w:cs="Arial"/>
                <w:sz w:val="18"/>
                <w:szCs w:val="18"/>
              </w:rPr>
            </w:pPr>
            <w:r w:rsidRPr="003E2D55">
              <w:rPr>
                <w:rFonts w:cs="Arial"/>
                <w:sz w:val="18"/>
                <w:szCs w:val="18"/>
              </w:rPr>
              <w:t>3,507,959</w:t>
            </w:r>
          </w:p>
        </w:tc>
        <w:tc>
          <w:tcPr>
            <w:tcW w:w="1361" w:type="dxa"/>
            <w:tcBorders>
              <w:top w:val="nil"/>
              <w:left w:val="nil"/>
              <w:bottom w:val="nil"/>
              <w:right w:val="nil"/>
            </w:tcBorders>
            <w:vAlign w:val="bottom"/>
          </w:tcPr>
          <w:p w14:paraId="1F3766AB" w14:textId="52B45CE0" w:rsidR="00A26814" w:rsidRPr="003E2D55" w:rsidRDefault="00A26814" w:rsidP="00A26814">
            <w:pPr>
              <w:spacing w:before="40" w:after="20"/>
              <w:jc w:val="right"/>
              <w:rPr>
                <w:rFonts w:cs="Arial"/>
                <w:b/>
                <w:sz w:val="18"/>
                <w:szCs w:val="18"/>
              </w:rPr>
            </w:pPr>
            <w:r w:rsidRPr="003E2D55">
              <w:rPr>
                <w:rFonts w:cs="Arial"/>
                <w:b/>
                <w:sz w:val="18"/>
                <w:szCs w:val="18"/>
              </w:rPr>
              <w:t>3,507,959</w:t>
            </w:r>
          </w:p>
        </w:tc>
      </w:tr>
      <w:tr w:rsidR="00A26814" w:rsidRPr="003E2D55" w14:paraId="4405186D"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2E9E94AE" w14:textId="77777777" w:rsidR="00A26814" w:rsidRPr="003E2D55" w:rsidRDefault="00A26814" w:rsidP="00A26814">
            <w:pPr>
              <w:spacing w:before="40" w:after="20"/>
              <w:rPr>
                <w:rFonts w:cs="Arial"/>
                <w:sz w:val="18"/>
                <w:szCs w:val="18"/>
              </w:rPr>
            </w:pPr>
            <w:r w:rsidRPr="003E2D55">
              <w:rPr>
                <w:rFonts w:cs="Arial"/>
                <w:sz w:val="18"/>
                <w:szCs w:val="18"/>
              </w:rPr>
              <w:t>Mount Alexander S</w:t>
            </w:r>
          </w:p>
        </w:tc>
        <w:tc>
          <w:tcPr>
            <w:tcW w:w="1361" w:type="dxa"/>
            <w:tcBorders>
              <w:top w:val="nil"/>
              <w:left w:val="single" w:sz="18" w:space="0" w:color="5F497A" w:themeColor="accent4" w:themeShade="BF"/>
              <w:bottom w:val="nil"/>
              <w:right w:val="nil"/>
            </w:tcBorders>
            <w:shd w:val="clear" w:color="auto" w:fill="auto"/>
            <w:noWrap/>
            <w:vAlign w:val="bottom"/>
          </w:tcPr>
          <w:p w14:paraId="14BAB58C" w14:textId="6C5BD6C3" w:rsidR="00A26814" w:rsidRPr="003E2D55" w:rsidRDefault="00A26814" w:rsidP="00A26814">
            <w:pPr>
              <w:spacing w:before="40" w:after="20"/>
              <w:jc w:val="right"/>
              <w:rPr>
                <w:rFonts w:cs="Arial"/>
                <w:sz w:val="18"/>
                <w:szCs w:val="18"/>
              </w:rPr>
            </w:pPr>
            <w:r w:rsidRPr="003E2D55">
              <w:rPr>
                <w:rFonts w:cs="Arial"/>
                <w:sz w:val="18"/>
                <w:szCs w:val="18"/>
              </w:rPr>
              <w:t>34,032,359</w:t>
            </w:r>
          </w:p>
        </w:tc>
        <w:tc>
          <w:tcPr>
            <w:tcW w:w="1361" w:type="dxa"/>
            <w:tcBorders>
              <w:top w:val="nil"/>
              <w:left w:val="nil"/>
              <w:bottom w:val="nil"/>
              <w:right w:val="nil"/>
            </w:tcBorders>
            <w:shd w:val="clear" w:color="auto" w:fill="auto"/>
            <w:noWrap/>
            <w:vAlign w:val="bottom"/>
          </w:tcPr>
          <w:p w14:paraId="59D389A2" w14:textId="1A4AEB6E" w:rsidR="00A26814" w:rsidRPr="003E2D55" w:rsidRDefault="00A26814" w:rsidP="00A26814">
            <w:pPr>
              <w:spacing w:before="40" w:after="20"/>
              <w:jc w:val="right"/>
              <w:rPr>
                <w:rFonts w:cs="Arial"/>
                <w:sz w:val="18"/>
                <w:szCs w:val="18"/>
              </w:rPr>
            </w:pPr>
            <w:r w:rsidRPr="003E2D55">
              <w:rPr>
                <w:rFonts w:cs="Arial"/>
                <w:sz w:val="18"/>
                <w:szCs w:val="18"/>
              </w:rPr>
              <w:t>12,604,480</w:t>
            </w:r>
          </w:p>
        </w:tc>
        <w:tc>
          <w:tcPr>
            <w:tcW w:w="1361" w:type="dxa"/>
            <w:tcBorders>
              <w:top w:val="nil"/>
              <w:left w:val="nil"/>
              <w:bottom w:val="nil"/>
              <w:right w:val="nil"/>
            </w:tcBorders>
            <w:vAlign w:val="bottom"/>
          </w:tcPr>
          <w:p w14:paraId="2353FA86" w14:textId="4736A6B7" w:rsidR="00A26814" w:rsidRPr="003E2D55" w:rsidRDefault="00A26814" w:rsidP="00A26814">
            <w:pPr>
              <w:spacing w:before="40" w:after="20"/>
              <w:jc w:val="right"/>
              <w:rPr>
                <w:rFonts w:cs="Arial"/>
                <w:sz w:val="18"/>
                <w:szCs w:val="18"/>
              </w:rPr>
            </w:pPr>
            <w:r w:rsidRPr="003E2D55">
              <w:rPr>
                <w:rFonts w:cs="Arial"/>
                <w:sz w:val="18"/>
                <w:szCs w:val="18"/>
              </w:rPr>
              <w:t>21,427,879</w:t>
            </w:r>
          </w:p>
        </w:tc>
        <w:tc>
          <w:tcPr>
            <w:tcW w:w="1361" w:type="dxa"/>
            <w:tcBorders>
              <w:top w:val="nil"/>
              <w:left w:val="nil"/>
              <w:bottom w:val="nil"/>
              <w:right w:val="nil"/>
            </w:tcBorders>
            <w:shd w:val="clear" w:color="auto" w:fill="auto"/>
            <w:noWrap/>
            <w:vAlign w:val="bottom"/>
          </w:tcPr>
          <w:p w14:paraId="67BEA505" w14:textId="16A68676" w:rsidR="00A26814" w:rsidRPr="003E2D55" w:rsidRDefault="00A26814" w:rsidP="00A26814">
            <w:pPr>
              <w:spacing w:before="40" w:after="20"/>
              <w:jc w:val="right"/>
              <w:rPr>
                <w:rFonts w:cs="Arial"/>
                <w:sz w:val="18"/>
                <w:szCs w:val="18"/>
              </w:rPr>
            </w:pPr>
            <w:r w:rsidRPr="003E2D55">
              <w:rPr>
                <w:rFonts w:cs="Arial"/>
                <w:sz w:val="18"/>
                <w:szCs w:val="18"/>
              </w:rPr>
              <w:t>3,459,857</w:t>
            </w:r>
          </w:p>
        </w:tc>
        <w:tc>
          <w:tcPr>
            <w:tcW w:w="1361" w:type="dxa"/>
            <w:tcBorders>
              <w:top w:val="nil"/>
              <w:left w:val="nil"/>
              <w:bottom w:val="nil"/>
              <w:right w:val="nil"/>
            </w:tcBorders>
            <w:vAlign w:val="bottom"/>
          </w:tcPr>
          <w:p w14:paraId="17CD8F74" w14:textId="0D811764" w:rsidR="00A26814" w:rsidRPr="003E2D55" w:rsidRDefault="00A26814" w:rsidP="00A26814">
            <w:pPr>
              <w:spacing w:before="40" w:after="20"/>
              <w:jc w:val="right"/>
              <w:rPr>
                <w:rFonts w:cs="Arial"/>
                <w:b/>
                <w:sz w:val="18"/>
                <w:szCs w:val="18"/>
              </w:rPr>
            </w:pPr>
            <w:r w:rsidRPr="003E2D55">
              <w:rPr>
                <w:rFonts w:cs="Arial"/>
                <w:b/>
                <w:sz w:val="18"/>
                <w:szCs w:val="18"/>
              </w:rPr>
              <w:t>3,458,706</w:t>
            </w:r>
          </w:p>
        </w:tc>
      </w:tr>
      <w:tr w:rsidR="00A26814" w:rsidRPr="003E2D55" w14:paraId="76EE2B23"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1286EBC9" w14:textId="77777777" w:rsidR="00A26814" w:rsidRPr="003E2D55" w:rsidRDefault="00A26814" w:rsidP="00A26814">
            <w:pPr>
              <w:spacing w:before="40" w:after="20"/>
              <w:rPr>
                <w:rFonts w:cs="Arial"/>
                <w:sz w:val="18"/>
                <w:szCs w:val="18"/>
              </w:rPr>
            </w:pPr>
            <w:r w:rsidRPr="003E2D55">
              <w:rPr>
                <w:rFonts w:cs="Arial"/>
                <w:sz w:val="18"/>
                <w:szCs w:val="18"/>
              </w:rPr>
              <w:t>Moyne S</w:t>
            </w:r>
          </w:p>
        </w:tc>
        <w:tc>
          <w:tcPr>
            <w:tcW w:w="1361" w:type="dxa"/>
            <w:tcBorders>
              <w:top w:val="nil"/>
              <w:left w:val="single" w:sz="18" w:space="0" w:color="5F497A" w:themeColor="accent4" w:themeShade="BF"/>
              <w:bottom w:val="nil"/>
              <w:right w:val="nil"/>
            </w:tcBorders>
            <w:shd w:val="clear" w:color="auto" w:fill="auto"/>
            <w:noWrap/>
            <w:vAlign w:val="bottom"/>
          </w:tcPr>
          <w:p w14:paraId="5D103DDB" w14:textId="2C6B057C" w:rsidR="00A26814" w:rsidRPr="003E2D55" w:rsidRDefault="00A26814" w:rsidP="00A26814">
            <w:pPr>
              <w:spacing w:before="40" w:after="20"/>
              <w:jc w:val="right"/>
              <w:rPr>
                <w:rFonts w:cs="Arial"/>
                <w:sz w:val="18"/>
                <w:szCs w:val="18"/>
              </w:rPr>
            </w:pPr>
            <w:r w:rsidRPr="003E2D55">
              <w:rPr>
                <w:rFonts w:cs="Arial"/>
                <w:sz w:val="18"/>
                <w:szCs w:val="18"/>
              </w:rPr>
              <w:t>50,326,287</w:t>
            </w:r>
          </w:p>
        </w:tc>
        <w:tc>
          <w:tcPr>
            <w:tcW w:w="1361" w:type="dxa"/>
            <w:tcBorders>
              <w:top w:val="nil"/>
              <w:left w:val="nil"/>
              <w:bottom w:val="nil"/>
              <w:right w:val="nil"/>
            </w:tcBorders>
            <w:shd w:val="clear" w:color="auto" w:fill="auto"/>
            <w:noWrap/>
            <w:vAlign w:val="bottom"/>
          </w:tcPr>
          <w:p w14:paraId="5321F178" w14:textId="20BE3BB1" w:rsidR="00A26814" w:rsidRPr="003E2D55" w:rsidRDefault="00A26814" w:rsidP="00A26814">
            <w:pPr>
              <w:spacing w:before="40" w:after="20"/>
              <w:jc w:val="right"/>
              <w:rPr>
                <w:rFonts w:cs="Arial"/>
                <w:sz w:val="18"/>
                <w:szCs w:val="18"/>
              </w:rPr>
            </w:pPr>
            <w:r w:rsidRPr="003E2D55">
              <w:rPr>
                <w:rFonts w:cs="Arial"/>
                <w:sz w:val="18"/>
                <w:szCs w:val="18"/>
              </w:rPr>
              <w:t>21,169,155</w:t>
            </w:r>
          </w:p>
        </w:tc>
        <w:tc>
          <w:tcPr>
            <w:tcW w:w="1361" w:type="dxa"/>
            <w:tcBorders>
              <w:top w:val="nil"/>
              <w:left w:val="nil"/>
              <w:bottom w:val="nil"/>
              <w:right w:val="nil"/>
            </w:tcBorders>
            <w:vAlign w:val="bottom"/>
          </w:tcPr>
          <w:p w14:paraId="58396C8C" w14:textId="3D04C061" w:rsidR="00A26814" w:rsidRPr="003E2D55" w:rsidRDefault="00A26814" w:rsidP="00A26814">
            <w:pPr>
              <w:spacing w:before="40" w:after="20"/>
              <w:jc w:val="right"/>
              <w:rPr>
                <w:rFonts w:cs="Arial"/>
                <w:sz w:val="18"/>
                <w:szCs w:val="18"/>
              </w:rPr>
            </w:pPr>
            <w:r w:rsidRPr="003E2D55">
              <w:rPr>
                <w:rFonts w:cs="Arial"/>
                <w:sz w:val="18"/>
                <w:szCs w:val="18"/>
              </w:rPr>
              <w:t>29,157,133</w:t>
            </w:r>
          </w:p>
        </w:tc>
        <w:tc>
          <w:tcPr>
            <w:tcW w:w="1361" w:type="dxa"/>
            <w:tcBorders>
              <w:top w:val="nil"/>
              <w:left w:val="nil"/>
              <w:bottom w:val="nil"/>
              <w:right w:val="nil"/>
            </w:tcBorders>
            <w:shd w:val="clear" w:color="auto" w:fill="auto"/>
            <w:noWrap/>
            <w:vAlign w:val="bottom"/>
          </w:tcPr>
          <w:p w14:paraId="2E061C8A" w14:textId="7A552339" w:rsidR="00A26814" w:rsidRPr="003E2D55" w:rsidRDefault="00A26814" w:rsidP="00A26814">
            <w:pPr>
              <w:spacing w:before="40" w:after="20"/>
              <w:jc w:val="right"/>
              <w:rPr>
                <w:rFonts w:cs="Arial"/>
                <w:sz w:val="18"/>
                <w:szCs w:val="18"/>
              </w:rPr>
            </w:pPr>
            <w:r w:rsidRPr="003E2D55">
              <w:rPr>
                <w:rFonts w:cs="Arial"/>
                <w:sz w:val="18"/>
                <w:szCs w:val="18"/>
              </w:rPr>
              <w:t>4,707,863</w:t>
            </w:r>
          </w:p>
        </w:tc>
        <w:tc>
          <w:tcPr>
            <w:tcW w:w="1361" w:type="dxa"/>
            <w:tcBorders>
              <w:top w:val="nil"/>
              <w:left w:val="nil"/>
              <w:bottom w:val="nil"/>
              <w:right w:val="nil"/>
            </w:tcBorders>
            <w:vAlign w:val="bottom"/>
          </w:tcPr>
          <w:p w14:paraId="3B81A044" w14:textId="2F3547AE" w:rsidR="00A26814" w:rsidRPr="003E2D55" w:rsidRDefault="00A26814" w:rsidP="00A26814">
            <w:pPr>
              <w:spacing w:before="40" w:after="20"/>
              <w:jc w:val="right"/>
              <w:rPr>
                <w:rFonts w:cs="Arial"/>
                <w:b/>
                <w:sz w:val="18"/>
                <w:szCs w:val="18"/>
              </w:rPr>
            </w:pPr>
            <w:r w:rsidRPr="003E2D55">
              <w:rPr>
                <w:rFonts w:cs="Arial"/>
                <w:b/>
                <w:sz w:val="18"/>
                <w:szCs w:val="18"/>
              </w:rPr>
              <w:t>4,706,297</w:t>
            </w:r>
          </w:p>
        </w:tc>
      </w:tr>
      <w:tr w:rsidR="00A26814" w:rsidRPr="003E2D55" w14:paraId="12FD1D6A"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29F9E723" w14:textId="77777777" w:rsidR="00A26814" w:rsidRPr="003E2D55" w:rsidRDefault="00A26814" w:rsidP="00A26814">
            <w:pPr>
              <w:spacing w:before="40" w:after="20"/>
              <w:rPr>
                <w:rFonts w:cs="Arial"/>
                <w:sz w:val="18"/>
                <w:szCs w:val="18"/>
              </w:rPr>
            </w:pPr>
            <w:r w:rsidRPr="003E2D55">
              <w:rPr>
                <w:rFonts w:cs="Arial"/>
                <w:sz w:val="18"/>
                <w:szCs w:val="18"/>
              </w:rPr>
              <w:t>Murrindindi S</w:t>
            </w:r>
          </w:p>
        </w:tc>
        <w:tc>
          <w:tcPr>
            <w:tcW w:w="1361" w:type="dxa"/>
            <w:tcBorders>
              <w:top w:val="nil"/>
              <w:left w:val="single" w:sz="18" w:space="0" w:color="5F497A" w:themeColor="accent4" w:themeShade="BF"/>
              <w:bottom w:val="nil"/>
              <w:right w:val="nil"/>
            </w:tcBorders>
            <w:shd w:val="clear" w:color="auto" w:fill="auto"/>
            <w:noWrap/>
            <w:vAlign w:val="bottom"/>
          </w:tcPr>
          <w:p w14:paraId="7324E248" w14:textId="2A0BAF5C" w:rsidR="00A26814" w:rsidRPr="003E2D55" w:rsidRDefault="00A26814" w:rsidP="00A26814">
            <w:pPr>
              <w:spacing w:before="40" w:after="20"/>
              <w:jc w:val="right"/>
              <w:rPr>
                <w:rFonts w:cs="Arial"/>
                <w:sz w:val="18"/>
                <w:szCs w:val="18"/>
              </w:rPr>
            </w:pPr>
            <w:r w:rsidRPr="003E2D55">
              <w:rPr>
                <w:rFonts w:cs="Arial"/>
                <w:sz w:val="18"/>
                <w:szCs w:val="18"/>
              </w:rPr>
              <w:t>32,377,666</w:t>
            </w:r>
          </w:p>
        </w:tc>
        <w:tc>
          <w:tcPr>
            <w:tcW w:w="1361" w:type="dxa"/>
            <w:tcBorders>
              <w:top w:val="nil"/>
              <w:left w:val="nil"/>
              <w:bottom w:val="nil"/>
              <w:right w:val="nil"/>
            </w:tcBorders>
            <w:shd w:val="clear" w:color="auto" w:fill="auto"/>
            <w:noWrap/>
            <w:vAlign w:val="bottom"/>
          </w:tcPr>
          <w:p w14:paraId="6909E9AD" w14:textId="1D532B66" w:rsidR="00A26814" w:rsidRPr="003E2D55" w:rsidRDefault="00A26814" w:rsidP="00A26814">
            <w:pPr>
              <w:spacing w:before="40" w:after="20"/>
              <w:jc w:val="right"/>
              <w:rPr>
                <w:rFonts w:cs="Arial"/>
                <w:sz w:val="18"/>
                <w:szCs w:val="18"/>
              </w:rPr>
            </w:pPr>
            <w:r w:rsidRPr="003E2D55">
              <w:rPr>
                <w:rFonts w:cs="Arial"/>
                <w:sz w:val="18"/>
                <w:szCs w:val="18"/>
              </w:rPr>
              <w:t>12,891,624</w:t>
            </w:r>
          </w:p>
        </w:tc>
        <w:tc>
          <w:tcPr>
            <w:tcW w:w="1361" w:type="dxa"/>
            <w:tcBorders>
              <w:top w:val="nil"/>
              <w:left w:val="nil"/>
              <w:bottom w:val="nil"/>
              <w:right w:val="nil"/>
            </w:tcBorders>
            <w:vAlign w:val="bottom"/>
          </w:tcPr>
          <w:p w14:paraId="3C568610" w14:textId="1AB4ACC4" w:rsidR="00A26814" w:rsidRPr="003E2D55" w:rsidRDefault="00A26814" w:rsidP="00A26814">
            <w:pPr>
              <w:spacing w:before="40" w:after="20"/>
              <w:jc w:val="right"/>
              <w:rPr>
                <w:rFonts w:cs="Arial"/>
                <w:sz w:val="18"/>
                <w:szCs w:val="18"/>
              </w:rPr>
            </w:pPr>
            <w:r w:rsidRPr="003E2D55">
              <w:rPr>
                <w:rFonts w:cs="Arial"/>
                <w:sz w:val="18"/>
                <w:szCs w:val="18"/>
              </w:rPr>
              <w:t>19,486,042</w:t>
            </w:r>
          </w:p>
        </w:tc>
        <w:tc>
          <w:tcPr>
            <w:tcW w:w="1361" w:type="dxa"/>
            <w:tcBorders>
              <w:top w:val="nil"/>
              <w:left w:val="nil"/>
              <w:bottom w:val="nil"/>
              <w:right w:val="nil"/>
            </w:tcBorders>
            <w:shd w:val="clear" w:color="auto" w:fill="auto"/>
            <w:noWrap/>
            <w:vAlign w:val="bottom"/>
          </w:tcPr>
          <w:p w14:paraId="5E61E316" w14:textId="2054A456" w:rsidR="00A26814" w:rsidRPr="003E2D55" w:rsidRDefault="00A26814" w:rsidP="00A26814">
            <w:pPr>
              <w:spacing w:before="40" w:after="20"/>
              <w:jc w:val="right"/>
              <w:rPr>
                <w:rFonts w:cs="Arial"/>
                <w:sz w:val="18"/>
                <w:szCs w:val="18"/>
              </w:rPr>
            </w:pPr>
            <w:r w:rsidRPr="003E2D55">
              <w:rPr>
                <w:rFonts w:cs="Arial"/>
                <w:sz w:val="18"/>
                <w:szCs w:val="18"/>
              </w:rPr>
              <w:t>3,146,318</w:t>
            </w:r>
          </w:p>
        </w:tc>
        <w:tc>
          <w:tcPr>
            <w:tcW w:w="1361" w:type="dxa"/>
            <w:tcBorders>
              <w:top w:val="nil"/>
              <w:left w:val="nil"/>
              <w:bottom w:val="nil"/>
              <w:right w:val="nil"/>
            </w:tcBorders>
            <w:vAlign w:val="bottom"/>
          </w:tcPr>
          <w:p w14:paraId="6C51A393" w14:textId="6A313581" w:rsidR="00A26814" w:rsidRPr="003E2D55" w:rsidRDefault="00A26814" w:rsidP="00A26814">
            <w:pPr>
              <w:spacing w:before="40" w:after="20"/>
              <w:jc w:val="right"/>
              <w:rPr>
                <w:rFonts w:cs="Arial"/>
                <w:b/>
                <w:sz w:val="18"/>
                <w:szCs w:val="18"/>
              </w:rPr>
            </w:pPr>
            <w:r w:rsidRPr="003E2D55">
              <w:rPr>
                <w:rFonts w:cs="Arial"/>
                <w:b/>
                <w:sz w:val="18"/>
                <w:szCs w:val="18"/>
              </w:rPr>
              <w:t>3,145,271</w:t>
            </w:r>
          </w:p>
        </w:tc>
      </w:tr>
      <w:tr w:rsidR="00A26814" w:rsidRPr="003E2D55" w14:paraId="4B67E82F"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135E2B46" w14:textId="77777777" w:rsidR="00A26814" w:rsidRPr="003E2D55" w:rsidRDefault="00A26814" w:rsidP="00A26814">
            <w:pPr>
              <w:spacing w:before="40" w:after="20"/>
              <w:rPr>
                <w:rFonts w:cs="Arial"/>
                <w:sz w:val="18"/>
                <w:szCs w:val="18"/>
              </w:rPr>
            </w:pPr>
            <w:r w:rsidRPr="003E2D55">
              <w:rPr>
                <w:rFonts w:cs="Arial"/>
                <w:sz w:val="18"/>
                <w:szCs w:val="18"/>
              </w:rPr>
              <w:t>Nillumbik S</w:t>
            </w:r>
          </w:p>
        </w:tc>
        <w:tc>
          <w:tcPr>
            <w:tcW w:w="1361" w:type="dxa"/>
            <w:tcBorders>
              <w:top w:val="nil"/>
              <w:left w:val="single" w:sz="18" w:space="0" w:color="5F497A" w:themeColor="accent4" w:themeShade="BF"/>
              <w:bottom w:val="nil"/>
              <w:right w:val="nil"/>
            </w:tcBorders>
            <w:shd w:val="clear" w:color="auto" w:fill="auto"/>
            <w:noWrap/>
            <w:vAlign w:val="bottom"/>
          </w:tcPr>
          <w:p w14:paraId="1EAEE603" w14:textId="7CDE93E4" w:rsidR="00A26814" w:rsidRPr="003E2D55" w:rsidRDefault="00A26814" w:rsidP="00A26814">
            <w:pPr>
              <w:spacing w:before="40" w:after="20"/>
              <w:jc w:val="right"/>
              <w:rPr>
                <w:rFonts w:cs="Arial"/>
                <w:sz w:val="18"/>
                <w:szCs w:val="18"/>
              </w:rPr>
            </w:pPr>
            <w:r w:rsidRPr="003E2D55">
              <w:rPr>
                <w:rFonts w:cs="Arial"/>
                <w:sz w:val="18"/>
                <w:szCs w:val="18"/>
              </w:rPr>
              <w:t>64,641,727</w:t>
            </w:r>
          </w:p>
        </w:tc>
        <w:tc>
          <w:tcPr>
            <w:tcW w:w="1361" w:type="dxa"/>
            <w:tcBorders>
              <w:top w:val="nil"/>
              <w:left w:val="nil"/>
              <w:bottom w:val="nil"/>
              <w:right w:val="nil"/>
            </w:tcBorders>
            <w:shd w:val="clear" w:color="auto" w:fill="auto"/>
            <w:noWrap/>
            <w:vAlign w:val="bottom"/>
          </w:tcPr>
          <w:p w14:paraId="36BAC2CE" w14:textId="01DC7F9A" w:rsidR="00A26814" w:rsidRPr="003E2D55" w:rsidRDefault="00A26814" w:rsidP="00A26814">
            <w:pPr>
              <w:spacing w:before="40" w:after="20"/>
              <w:jc w:val="right"/>
              <w:rPr>
                <w:rFonts w:cs="Arial"/>
                <w:sz w:val="18"/>
                <w:szCs w:val="18"/>
              </w:rPr>
            </w:pPr>
            <w:r w:rsidRPr="003E2D55">
              <w:rPr>
                <w:rFonts w:cs="Arial"/>
                <w:sz w:val="18"/>
                <w:szCs w:val="18"/>
              </w:rPr>
              <w:t>52,547,653</w:t>
            </w:r>
          </w:p>
        </w:tc>
        <w:tc>
          <w:tcPr>
            <w:tcW w:w="1361" w:type="dxa"/>
            <w:tcBorders>
              <w:top w:val="nil"/>
              <w:left w:val="nil"/>
              <w:bottom w:val="nil"/>
              <w:right w:val="nil"/>
            </w:tcBorders>
            <w:vAlign w:val="bottom"/>
          </w:tcPr>
          <w:p w14:paraId="35D017C7" w14:textId="0317EE79" w:rsidR="00A26814" w:rsidRPr="003E2D55" w:rsidRDefault="00A26814" w:rsidP="00A26814">
            <w:pPr>
              <w:spacing w:before="40" w:after="20"/>
              <w:jc w:val="right"/>
              <w:rPr>
                <w:rFonts w:cs="Arial"/>
                <w:sz w:val="18"/>
                <w:szCs w:val="18"/>
              </w:rPr>
            </w:pPr>
            <w:r w:rsidRPr="003E2D55">
              <w:rPr>
                <w:rFonts w:cs="Arial"/>
                <w:sz w:val="18"/>
                <w:szCs w:val="18"/>
              </w:rPr>
              <w:t>12,094,074</w:t>
            </w:r>
          </w:p>
        </w:tc>
        <w:tc>
          <w:tcPr>
            <w:tcW w:w="1361" w:type="dxa"/>
            <w:tcBorders>
              <w:top w:val="nil"/>
              <w:left w:val="nil"/>
              <w:bottom w:val="nil"/>
              <w:right w:val="nil"/>
            </w:tcBorders>
            <w:shd w:val="clear" w:color="auto" w:fill="auto"/>
            <w:noWrap/>
            <w:vAlign w:val="bottom"/>
          </w:tcPr>
          <w:p w14:paraId="0B2CF6F3" w14:textId="48243BED" w:rsidR="00A26814" w:rsidRPr="003E2D55" w:rsidRDefault="00A26814" w:rsidP="00A26814">
            <w:pPr>
              <w:spacing w:before="40" w:after="20"/>
              <w:jc w:val="right"/>
              <w:rPr>
                <w:rFonts w:cs="Arial"/>
                <w:sz w:val="18"/>
                <w:szCs w:val="18"/>
              </w:rPr>
            </w:pPr>
            <w:r w:rsidRPr="003E2D55">
              <w:rPr>
                <w:rFonts w:cs="Arial"/>
                <w:sz w:val="18"/>
                <w:szCs w:val="18"/>
              </w:rPr>
              <w:t>1,952,773</w:t>
            </w:r>
          </w:p>
        </w:tc>
        <w:tc>
          <w:tcPr>
            <w:tcW w:w="1361" w:type="dxa"/>
            <w:tcBorders>
              <w:top w:val="nil"/>
              <w:left w:val="nil"/>
              <w:bottom w:val="nil"/>
              <w:right w:val="nil"/>
            </w:tcBorders>
            <w:vAlign w:val="bottom"/>
          </w:tcPr>
          <w:p w14:paraId="570A90F5" w14:textId="311BC4C4" w:rsidR="00A26814" w:rsidRPr="003E2D55" w:rsidRDefault="00A26814" w:rsidP="00A26814">
            <w:pPr>
              <w:spacing w:before="40" w:after="20"/>
              <w:jc w:val="right"/>
              <w:rPr>
                <w:rFonts w:cs="Arial"/>
                <w:b/>
                <w:sz w:val="18"/>
                <w:szCs w:val="18"/>
              </w:rPr>
            </w:pPr>
            <w:r w:rsidRPr="003E2D55">
              <w:rPr>
                <w:rFonts w:cs="Arial"/>
                <w:b/>
                <w:sz w:val="18"/>
                <w:szCs w:val="18"/>
              </w:rPr>
              <w:t>1,952,123</w:t>
            </w:r>
          </w:p>
        </w:tc>
      </w:tr>
      <w:tr w:rsidR="00A26814" w:rsidRPr="003E2D55" w14:paraId="61C5A129"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6C434377" w14:textId="77777777" w:rsidR="00A26814" w:rsidRPr="003E2D55" w:rsidRDefault="00A26814" w:rsidP="00A26814">
            <w:pPr>
              <w:spacing w:before="40" w:after="20"/>
              <w:rPr>
                <w:rFonts w:cs="Arial"/>
                <w:sz w:val="18"/>
                <w:szCs w:val="18"/>
              </w:rPr>
            </w:pPr>
            <w:r w:rsidRPr="003E2D55">
              <w:rPr>
                <w:rFonts w:cs="Arial"/>
                <w:sz w:val="18"/>
                <w:szCs w:val="18"/>
              </w:rPr>
              <w:t>Northern Grampians S</w:t>
            </w:r>
          </w:p>
        </w:tc>
        <w:tc>
          <w:tcPr>
            <w:tcW w:w="1361" w:type="dxa"/>
            <w:tcBorders>
              <w:top w:val="nil"/>
              <w:left w:val="single" w:sz="18" w:space="0" w:color="5F497A" w:themeColor="accent4" w:themeShade="BF"/>
              <w:bottom w:val="nil"/>
              <w:right w:val="nil"/>
            </w:tcBorders>
            <w:shd w:val="clear" w:color="auto" w:fill="auto"/>
            <w:noWrap/>
            <w:vAlign w:val="bottom"/>
          </w:tcPr>
          <w:p w14:paraId="6B8017C0" w14:textId="115864F4" w:rsidR="00A26814" w:rsidRPr="003E2D55" w:rsidRDefault="00A26814" w:rsidP="00A26814">
            <w:pPr>
              <w:spacing w:before="40" w:after="20"/>
              <w:jc w:val="right"/>
              <w:rPr>
                <w:rFonts w:cs="Arial"/>
                <w:sz w:val="18"/>
                <w:szCs w:val="18"/>
              </w:rPr>
            </w:pPr>
            <w:r w:rsidRPr="003E2D55">
              <w:rPr>
                <w:rFonts w:cs="Arial"/>
                <w:sz w:val="18"/>
                <w:szCs w:val="18"/>
              </w:rPr>
              <w:t>37,885,821</w:t>
            </w:r>
          </w:p>
        </w:tc>
        <w:tc>
          <w:tcPr>
            <w:tcW w:w="1361" w:type="dxa"/>
            <w:tcBorders>
              <w:top w:val="nil"/>
              <w:left w:val="nil"/>
              <w:bottom w:val="nil"/>
              <w:right w:val="nil"/>
            </w:tcBorders>
            <w:shd w:val="clear" w:color="auto" w:fill="auto"/>
            <w:noWrap/>
            <w:vAlign w:val="bottom"/>
          </w:tcPr>
          <w:p w14:paraId="2C1C13C4" w14:textId="07259EA4" w:rsidR="00A26814" w:rsidRPr="003E2D55" w:rsidRDefault="00A26814" w:rsidP="00A26814">
            <w:pPr>
              <w:spacing w:before="40" w:after="20"/>
              <w:jc w:val="right"/>
              <w:rPr>
                <w:rFonts w:cs="Arial"/>
                <w:sz w:val="18"/>
                <w:szCs w:val="18"/>
              </w:rPr>
            </w:pPr>
            <w:r w:rsidRPr="003E2D55">
              <w:rPr>
                <w:rFonts w:cs="Arial"/>
                <w:sz w:val="18"/>
                <w:szCs w:val="18"/>
              </w:rPr>
              <w:t>7,799,186</w:t>
            </w:r>
          </w:p>
        </w:tc>
        <w:tc>
          <w:tcPr>
            <w:tcW w:w="1361" w:type="dxa"/>
            <w:tcBorders>
              <w:top w:val="nil"/>
              <w:left w:val="nil"/>
              <w:bottom w:val="nil"/>
              <w:right w:val="nil"/>
            </w:tcBorders>
            <w:vAlign w:val="bottom"/>
          </w:tcPr>
          <w:p w14:paraId="4C2F1926" w14:textId="49439D52" w:rsidR="00A26814" w:rsidRPr="003E2D55" w:rsidRDefault="00A26814" w:rsidP="00A26814">
            <w:pPr>
              <w:spacing w:before="40" w:after="20"/>
              <w:jc w:val="right"/>
              <w:rPr>
                <w:rFonts w:cs="Arial"/>
                <w:sz w:val="18"/>
                <w:szCs w:val="18"/>
              </w:rPr>
            </w:pPr>
            <w:r w:rsidRPr="003E2D55">
              <w:rPr>
                <w:rFonts w:cs="Arial"/>
                <w:sz w:val="18"/>
                <w:szCs w:val="18"/>
              </w:rPr>
              <w:t>30,086,635</w:t>
            </w:r>
          </w:p>
        </w:tc>
        <w:tc>
          <w:tcPr>
            <w:tcW w:w="1361" w:type="dxa"/>
            <w:tcBorders>
              <w:top w:val="nil"/>
              <w:left w:val="nil"/>
              <w:bottom w:val="nil"/>
              <w:right w:val="nil"/>
            </w:tcBorders>
            <w:shd w:val="clear" w:color="auto" w:fill="auto"/>
            <w:noWrap/>
            <w:vAlign w:val="bottom"/>
          </w:tcPr>
          <w:p w14:paraId="45E4A391" w14:textId="41F71EEB" w:rsidR="00A26814" w:rsidRPr="003E2D55" w:rsidRDefault="00A26814" w:rsidP="00A26814">
            <w:pPr>
              <w:spacing w:before="40" w:after="20"/>
              <w:jc w:val="right"/>
              <w:rPr>
                <w:rFonts w:cs="Arial"/>
                <w:sz w:val="18"/>
                <w:szCs w:val="18"/>
              </w:rPr>
            </w:pPr>
            <w:r w:rsidRPr="003E2D55">
              <w:rPr>
                <w:rFonts w:cs="Arial"/>
                <w:sz w:val="18"/>
                <w:szCs w:val="18"/>
              </w:rPr>
              <w:t>4,857,946</w:t>
            </w:r>
          </w:p>
        </w:tc>
        <w:tc>
          <w:tcPr>
            <w:tcW w:w="1361" w:type="dxa"/>
            <w:tcBorders>
              <w:top w:val="nil"/>
              <w:left w:val="nil"/>
              <w:bottom w:val="nil"/>
              <w:right w:val="nil"/>
            </w:tcBorders>
            <w:vAlign w:val="bottom"/>
          </w:tcPr>
          <w:p w14:paraId="6F63C691" w14:textId="4069E5D4" w:rsidR="00A26814" w:rsidRPr="003E2D55" w:rsidRDefault="00A26814" w:rsidP="00A26814">
            <w:pPr>
              <w:spacing w:before="40" w:after="20"/>
              <w:jc w:val="right"/>
              <w:rPr>
                <w:rFonts w:cs="Arial"/>
                <w:b/>
                <w:sz w:val="18"/>
                <w:szCs w:val="18"/>
              </w:rPr>
            </w:pPr>
            <w:r w:rsidRPr="003E2D55">
              <w:rPr>
                <w:rFonts w:cs="Arial"/>
                <w:b/>
                <w:sz w:val="18"/>
                <w:szCs w:val="18"/>
              </w:rPr>
              <w:t>4,856,329</w:t>
            </w:r>
          </w:p>
        </w:tc>
      </w:tr>
      <w:tr w:rsidR="00A26814" w:rsidRPr="003E2D55" w14:paraId="31BA7265"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75C47EBA" w14:textId="77777777" w:rsidR="00A26814" w:rsidRPr="003E2D55" w:rsidRDefault="00A26814" w:rsidP="00A26814">
            <w:pPr>
              <w:spacing w:before="40" w:after="20"/>
              <w:rPr>
                <w:rFonts w:cs="Arial"/>
                <w:sz w:val="18"/>
                <w:szCs w:val="18"/>
              </w:rPr>
            </w:pPr>
            <w:r w:rsidRPr="003E2D55">
              <w:rPr>
                <w:rFonts w:cs="Arial"/>
                <w:sz w:val="18"/>
                <w:szCs w:val="18"/>
              </w:rPr>
              <w:t>Port Phillip C</w:t>
            </w:r>
          </w:p>
        </w:tc>
        <w:tc>
          <w:tcPr>
            <w:tcW w:w="1361" w:type="dxa"/>
            <w:tcBorders>
              <w:top w:val="nil"/>
              <w:left w:val="single" w:sz="18" w:space="0" w:color="5F497A" w:themeColor="accent4" w:themeShade="BF"/>
              <w:bottom w:val="nil"/>
              <w:right w:val="nil"/>
            </w:tcBorders>
            <w:shd w:val="clear" w:color="auto" w:fill="auto"/>
            <w:noWrap/>
            <w:vAlign w:val="bottom"/>
          </w:tcPr>
          <w:p w14:paraId="0E3EA7CD" w14:textId="39A2C24B" w:rsidR="00A26814" w:rsidRPr="003E2D55" w:rsidRDefault="00A26814" w:rsidP="00A26814">
            <w:pPr>
              <w:spacing w:before="40" w:after="20"/>
              <w:jc w:val="right"/>
              <w:rPr>
                <w:rFonts w:cs="Arial"/>
                <w:sz w:val="18"/>
                <w:szCs w:val="18"/>
              </w:rPr>
            </w:pPr>
            <w:r w:rsidRPr="003E2D55">
              <w:rPr>
                <w:rFonts w:cs="Arial"/>
                <w:sz w:val="18"/>
                <w:szCs w:val="18"/>
              </w:rPr>
              <w:t>120,498,455</w:t>
            </w:r>
          </w:p>
        </w:tc>
        <w:tc>
          <w:tcPr>
            <w:tcW w:w="1361" w:type="dxa"/>
            <w:tcBorders>
              <w:top w:val="nil"/>
              <w:left w:val="nil"/>
              <w:bottom w:val="nil"/>
              <w:right w:val="nil"/>
            </w:tcBorders>
            <w:shd w:val="clear" w:color="auto" w:fill="auto"/>
            <w:noWrap/>
            <w:vAlign w:val="bottom"/>
          </w:tcPr>
          <w:p w14:paraId="14B80B43" w14:textId="34048DA4" w:rsidR="00A26814" w:rsidRPr="003E2D55" w:rsidRDefault="00A26814" w:rsidP="00A26814">
            <w:pPr>
              <w:spacing w:before="40" w:after="20"/>
              <w:jc w:val="right"/>
              <w:rPr>
                <w:rFonts w:cs="Arial"/>
                <w:sz w:val="18"/>
                <w:szCs w:val="18"/>
              </w:rPr>
            </w:pPr>
            <w:r w:rsidRPr="003E2D55">
              <w:rPr>
                <w:rFonts w:cs="Arial"/>
                <w:sz w:val="18"/>
                <w:szCs w:val="18"/>
              </w:rPr>
              <w:t>180,480,670</w:t>
            </w:r>
          </w:p>
        </w:tc>
        <w:tc>
          <w:tcPr>
            <w:tcW w:w="1361" w:type="dxa"/>
            <w:tcBorders>
              <w:top w:val="nil"/>
              <w:left w:val="nil"/>
              <w:bottom w:val="nil"/>
              <w:right w:val="nil"/>
            </w:tcBorders>
            <w:vAlign w:val="bottom"/>
          </w:tcPr>
          <w:p w14:paraId="7394CE1F" w14:textId="2DBA909D" w:rsidR="00A26814" w:rsidRPr="003E2D55" w:rsidRDefault="00A26814" w:rsidP="00A26814">
            <w:pPr>
              <w:spacing w:before="40" w:after="20"/>
              <w:jc w:val="right"/>
              <w:rPr>
                <w:rFonts w:cs="Arial"/>
                <w:sz w:val="18"/>
                <w:szCs w:val="18"/>
              </w:rPr>
            </w:pPr>
            <w:r w:rsidRPr="003E2D55">
              <w:rPr>
                <w:rFonts w:cs="Arial"/>
                <w:sz w:val="18"/>
                <w:szCs w:val="18"/>
              </w:rPr>
              <w:t>-59,982,215</w:t>
            </w:r>
          </w:p>
        </w:tc>
        <w:tc>
          <w:tcPr>
            <w:tcW w:w="1361" w:type="dxa"/>
            <w:tcBorders>
              <w:top w:val="nil"/>
              <w:left w:val="nil"/>
              <w:bottom w:val="nil"/>
              <w:right w:val="nil"/>
            </w:tcBorders>
            <w:shd w:val="clear" w:color="auto" w:fill="auto"/>
            <w:noWrap/>
            <w:vAlign w:val="bottom"/>
          </w:tcPr>
          <w:p w14:paraId="2EB471BA" w14:textId="694AAE2D" w:rsidR="00A26814" w:rsidRPr="003E2D55" w:rsidRDefault="00A26814" w:rsidP="00A26814">
            <w:pPr>
              <w:spacing w:before="40" w:after="20"/>
              <w:jc w:val="right"/>
              <w:rPr>
                <w:rFonts w:cs="Arial"/>
                <w:sz w:val="18"/>
                <w:szCs w:val="18"/>
              </w:rPr>
            </w:pPr>
            <w:r w:rsidRPr="003E2D55">
              <w:rPr>
                <w:rFonts w:cs="Arial"/>
                <w:sz w:val="18"/>
                <w:szCs w:val="18"/>
              </w:rPr>
              <w:t>2,394,742</w:t>
            </w:r>
          </w:p>
        </w:tc>
        <w:tc>
          <w:tcPr>
            <w:tcW w:w="1361" w:type="dxa"/>
            <w:tcBorders>
              <w:top w:val="nil"/>
              <w:left w:val="nil"/>
              <w:bottom w:val="nil"/>
              <w:right w:val="nil"/>
            </w:tcBorders>
            <w:vAlign w:val="bottom"/>
          </w:tcPr>
          <w:p w14:paraId="5B7BA6CA" w14:textId="7108D7B3" w:rsidR="00A26814" w:rsidRPr="003E2D55" w:rsidRDefault="00A26814" w:rsidP="00A26814">
            <w:pPr>
              <w:spacing w:before="40" w:after="20"/>
              <w:jc w:val="right"/>
              <w:rPr>
                <w:rFonts w:cs="Arial"/>
                <w:b/>
                <w:sz w:val="18"/>
                <w:szCs w:val="18"/>
              </w:rPr>
            </w:pPr>
            <w:r w:rsidRPr="003E2D55">
              <w:rPr>
                <w:rFonts w:cs="Arial"/>
                <w:b/>
                <w:sz w:val="18"/>
                <w:szCs w:val="18"/>
              </w:rPr>
              <w:t>2,394,742</w:t>
            </w:r>
          </w:p>
        </w:tc>
      </w:tr>
      <w:tr w:rsidR="00A26814" w:rsidRPr="003E2D55" w14:paraId="6EA955C6"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58C34C74" w14:textId="77777777" w:rsidR="00A26814" w:rsidRPr="003E2D55" w:rsidRDefault="00A26814" w:rsidP="00A26814">
            <w:pPr>
              <w:spacing w:before="40" w:after="20"/>
              <w:rPr>
                <w:rFonts w:cs="Arial"/>
                <w:sz w:val="18"/>
                <w:szCs w:val="18"/>
              </w:rPr>
            </w:pPr>
            <w:r w:rsidRPr="003E2D55">
              <w:rPr>
                <w:rFonts w:cs="Arial"/>
                <w:sz w:val="18"/>
                <w:szCs w:val="18"/>
              </w:rPr>
              <w:t>Pyrenees S</w:t>
            </w:r>
          </w:p>
        </w:tc>
        <w:tc>
          <w:tcPr>
            <w:tcW w:w="1361" w:type="dxa"/>
            <w:tcBorders>
              <w:top w:val="nil"/>
              <w:left w:val="single" w:sz="18" w:space="0" w:color="5F497A" w:themeColor="accent4" w:themeShade="BF"/>
              <w:bottom w:val="nil"/>
              <w:right w:val="nil"/>
            </w:tcBorders>
            <w:shd w:val="clear" w:color="auto" w:fill="auto"/>
            <w:noWrap/>
            <w:vAlign w:val="bottom"/>
          </w:tcPr>
          <w:p w14:paraId="5758EE15" w14:textId="7B47E8AF" w:rsidR="00A26814" w:rsidRPr="003E2D55" w:rsidRDefault="00A26814" w:rsidP="00A26814">
            <w:pPr>
              <w:spacing w:before="40" w:after="20"/>
              <w:jc w:val="right"/>
              <w:rPr>
                <w:rFonts w:cs="Arial"/>
                <w:sz w:val="18"/>
                <w:szCs w:val="18"/>
              </w:rPr>
            </w:pPr>
            <w:r w:rsidRPr="003E2D55">
              <w:rPr>
                <w:rFonts w:cs="Arial"/>
                <w:sz w:val="18"/>
                <w:szCs w:val="18"/>
              </w:rPr>
              <w:t>27,365,647</w:t>
            </w:r>
          </w:p>
        </w:tc>
        <w:tc>
          <w:tcPr>
            <w:tcW w:w="1361" w:type="dxa"/>
            <w:tcBorders>
              <w:top w:val="nil"/>
              <w:left w:val="nil"/>
              <w:bottom w:val="nil"/>
              <w:right w:val="nil"/>
            </w:tcBorders>
            <w:shd w:val="clear" w:color="auto" w:fill="auto"/>
            <w:noWrap/>
            <w:vAlign w:val="bottom"/>
          </w:tcPr>
          <w:p w14:paraId="09B283B5" w14:textId="10B668C1" w:rsidR="00A26814" w:rsidRPr="003E2D55" w:rsidRDefault="00A26814" w:rsidP="00A26814">
            <w:pPr>
              <w:spacing w:before="40" w:after="20"/>
              <w:jc w:val="right"/>
              <w:rPr>
                <w:rFonts w:cs="Arial"/>
                <w:sz w:val="18"/>
                <w:szCs w:val="18"/>
              </w:rPr>
            </w:pPr>
            <w:r w:rsidRPr="003E2D55">
              <w:rPr>
                <w:rFonts w:cs="Arial"/>
                <w:sz w:val="18"/>
                <w:szCs w:val="18"/>
              </w:rPr>
              <w:t>5,761,467</w:t>
            </w:r>
          </w:p>
        </w:tc>
        <w:tc>
          <w:tcPr>
            <w:tcW w:w="1361" w:type="dxa"/>
            <w:tcBorders>
              <w:top w:val="nil"/>
              <w:left w:val="nil"/>
              <w:bottom w:val="nil"/>
              <w:right w:val="nil"/>
            </w:tcBorders>
            <w:vAlign w:val="bottom"/>
          </w:tcPr>
          <w:p w14:paraId="207375B2" w14:textId="40DD6C3C" w:rsidR="00A26814" w:rsidRPr="003E2D55" w:rsidRDefault="00A26814" w:rsidP="00A26814">
            <w:pPr>
              <w:spacing w:before="40" w:after="20"/>
              <w:jc w:val="right"/>
              <w:rPr>
                <w:rFonts w:cs="Arial"/>
                <w:sz w:val="18"/>
                <w:szCs w:val="18"/>
              </w:rPr>
            </w:pPr>
            <w:r w:rsidRPr="003E2D55">
              <w:rPr>
                <w:rFonts w:cs="Arial"/>
                <w:sz w:val="18"/>
                <w:szCs w:val="18"/>
              </w:rPr>
              <w:t>21,604,179</w:t>
            </w:r>
          </w:p>
        </w:tc>
        <w:tc>
          <w:tcPr>
            <w:tcW w:w="1361" w:type="dxa"/>
            <w:tcBorders>
              <w:top w:val="nil"/>
              <w:left w:val="nil"/>
              <w:bottom w:val="nil"/>
              <w:right w:val="nil"/>
            </w:tcBorders>
            <w:shd w:val="clear" w:color="auto" w:fill="auto"/>
            <w:noWrap/>
            <w:vAlign w:val="bottom"/>
          </w:tcPr>
          <w:p w14:paraId="0876F753" w14:textId="098E1583" w:rsidR="00A26814" w:rsidRPr="003E2D55" w:rsidRDefault="00A26814" w:rsidP="00A26814">
            <w:pPr>
              <w:spacing w:before="40" w:after="20"/>
              <w:jc w:val="right"/>
              <w:rPr>
                <w:rFonts w:cs="Arial"/>
                <w:sz w:val="18"/>
                <w:szCs w:val="18"/>
              </w:rPr>
            </w:pPr>
            <w:r w:rsidRPr="003E2D55">
              <w:rPr>
                <w:rFonts w:cs="Arial"/>
                <w:sz w:val="18"/>
                <w:szCs w:val="18"/>
              </w:rPr>
              <w:t>3,488,324</w:t>
            </w:r>
          </w:p>
        </w:tc>
        <w:tc>
          <w:tcPr>
            <w:tcW w:w="1361" w:type="dxa"/>
            <w:tcBorders>
              <w:top w:val="nil"/>
              <w:left w:val="nil"/>
              <w:bottom w:val="nil"/>
              <w:right w:val="nil"/>
            </w:tcBorders>
            <w:vAlign w:val="bottom"/>
          </w:tcPr>
          <w:p w14:paraId="56FACD78" w14:textId="2ADC02A8" w:rsidR="00A26814" w:rsidRPr="003E2D55" w:rsidRDefault="00A26814" w:rsidP="00A26814">
            <w:pPr>
              <w:spacing w:before="40" w:after="20"/>
              <w:jc w:val="right"/>
              <w:rPr>
                <w:rFonts w:cs="Arial"/>
                <w:b/>
                <w:sz w:val="18"/>
                <w:szCs w:val="18"/>
              </w:rPr>
            </w:pPr>
            <w:r w:rsidRPr="003E2D55">
              <w:rPr>
                <w:rFonts w:cs="Arial"/>
                <w:b/>
                <w:sz w:val="18"/>
                <w:szCs w:val="18"/>
              </w:rPr>
              <w:t>3,487,163</w:t>
            </w:r>
          </w:p>
        </w:tc>
      </w:tr>
      <w:tr w:rsidR="00A26814" w:rsidRPr="003E2D55" w14:paraId="6E28E758"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714C7D52" w14:textId="77777777" w:rsidR="00A26814" w:rsidRPr="003E2D55" w:rsidRDefault="00A26814" w:rsidP="00A26814">
            <w:pPr>
              <w:spacing w:before="40" w:after="20"/>
              <w:rPr>
                <w:rFonts w:cs="Arial"/>
                <w:sz w:val="18"/>
                <w:szCs w:val="18"/>
              </w:rPr>
            </w:pPr>
            <w:r w:rsidRPr="003E2D55">
              <w:rPr>
                <w:rFonts w:cs="Arial"/>
                <w:sz w:val="18"/>
                <w:szCs w:val="18"/>
              </w:rPr>
              <w:t>Queenscliffe B</w:t>
            </w:r>
          </w:p>
        </w:tc>
        <w:tc>
          <w:tcPr>
            <w:tcW w:w="1361" w:type="dxa"/>
            <w:tcBorders>
              <w:top w:val="nil"/>
              <w:left w:val="single" w:sz="18" w:space="0" w:color="5F497A" w:themeColor="accent4" w:themeShade="BF"/>
              <w:bottom w:val="nil"/>
              <w:right w:val="nil"/>
            </w:tcBorders>
            <w:shd w:val="clear" w:color="auto" w:fill="auto"/>
            <w:noWrap/>
            <w:vAlign w:val="bottom"/>
          </w:tcPr>
          <w:p w14:paraId="1E709E50" w14:textId="555EA61F" w:rsidR="00A26814" w:rsidRPr="003E2D55" w:rsidRDefault="00A26814" w:rsidP="00A26814">
            <w:pPr>
              <w:spacing w:before="40" w:after="20"/>
              <w:jc w:val="right"/>
              <w:rPr>
                <w:rFonts w:cs="Arial"/>
                <w:sz w:val="18"/>
                <w:szCs w:val="18"/>
              </w:rPr>
            </w:pPr>
            <w:r w:rsidRPr="003E2D55">
              <w:rPr>
                <w:rFonts w:cs="Arial"/>
                <w:sz w:val="18"/>
                <w:szCs w:val="18"/>
              </w:rPr>
              <w:t>9,490,208</w:t>
            </w:r>
          </w:p>
        </w:tc>
        <w:tc>
          <w:tcPr>
            <w:tcW w:w="1361" w:type="dxa"/>
            <w:tcBorders>
              <w:top w:val="nil"/>
              <w:left w:val="nil"/>
              <w:bottom w:val="nil"/>
              <w:right w:val="nil"/>
            </w:tcBorders>
            <w:shd w:val="clear" w:color="auto" w:fill="auto"/>
            <w:noWrap/>
            <w:vAlign w:val="bottom"/>
          </w:tcPr>
          <w:p w14:paraId="61762FB6" w14:textId="2B17CADB" w:rsidR="00A26814" w:rsidRPr="003E2D55" w:rsidRDefault="00A26814" w:rsidP="00A26814">
            <w:pPr>
              <w:spacing w:before="40" w:after="20"/>
              <w:jc w:val="right"/>
              <w:rPr>
                <w:rFonts w:cs="Arial"/>
                <w:sz w:val="18"/>
                <w:szCs w:val="18"/>
              </w:rPr>
            </w:pPr>
            <w:r w:rsidRPr="003E2D55">
              <w:rPr>
                <w:rFonts w:cs="Arial"/>
                <w:sz w:val="18"/>
                <w:szCs w:val="18"/>
              </w:rPr>
              <w:t>6,848,370</w:t>
            </w:r>
          </w:p>
        </w:tc>
        <w:tc>
          <w:tcPr>
            <w:tcW w:w="1361" w:type="dxa"/>
            <w:tcBorders>
              <w:top w:val="nil"/>
              <w:left w:val="nil"/>
              <w:bottom w:val="nil"/>
              <w:right w:val="nil"/>
            </w:tcBorders>
            <w:vAlign w:val="bottom"/>
          </w:tcPr>
          <w:p w14:paraId="0E11525B" w14:textId="4ACDF3FF" w:rsidR="00A26814" w:rsidRPr="003E2D55" w:rsidRDefault="00A26814" w:rsidP="00A26814">
            <w:pPr>
              <w:spacing w:before="40" w:after="20"/>
              <w:jc w:val="right"/>
              <w:rPr>
                <w:rFonts w:cs="Arial"/>
                <w:sz w:val="18"/>
                <w:szCs w:val="18"/>
              </w:rPr>
            </w:pPr>
            <w:r w:rsidRPr="003E2D55">
              <w:rPr>
                <w:rFonts w:cs="Arial"/>
                <w:sz w:val="18"/>
                <w:szCs w:val="18"/>
              </w:rPr>
              <w:t>2,641,838</w:t>
            </w:r>
          </w:p>
        </w:tc>
        <w:tc>
          <w:tcPr>
            <w:tcW w:w="1361" w:type="dxa"/>
            <w:tcBorders>
              <w:top w:val="nil"/>
              <w:left w:val="nil"/>
              <w:bottom w:val="nil"/>
              <w:right w:val="nil"/>
            </w:tcBorders>
            <w:shd w:val="clear" w:color="auto" w:fill="auto"/>
            <w:noWrap/>
            <w:vAlign w:val="bottom"/>
          </w:tcPr>
          <w:p w14:paraId="49911C7D" w14:textId="5A165F91" w:rsidR="00A26814" w:rsidRPr="003E2D55" w:rsidRDefault="00A26814" w:rsidP="00A26814">
            <w:pPr>
              <w:spacing w:before="40" w:after="20"/>
              <w:jc w:val="right"/>
              <w:rPr>
                <w:rFonts w:cs="Arial"/>
                <w:sz w:val="18"/>
                <w:szCs w:val="18"/>
              </w:rPr>
            </w:pPr>
            <w:r w:rsidRPr="003E2D55">
              <w:rPr>
                <w:rFonts w:cs="Arial"/>
                <w:sz w:val="18"/>
                <w:szCs w:val="18"/>
              </w:rPr>
              <w:t>426,565</w:t>
            </w:r>
          </w:p>
        </w:tc>
        <w:tc>
          <w:tcPr>
            <w:tcW w:w="1361" w:type="dxa"/>
            <w:tcBorders>
              <w:top w:val="nil"/>
              <w:left w:val="nil"/>
              <w:bottom w:val="nil"/>
              <w:right w:val="nil"/>
            </w:tcBorders>
            <w:vAlign w:val="bottom"/>
          </w:tcPr>
          <w:p w14:paraId="5EFEC06C" w14:textId="275D2707" w:rsidR="00A26814" w:rsidRPr="003E2D55" w:rsidRDefault="00A26814" w:rsidP="00A26814">
            <w:pPr>
              <w:spacing w:before="40" w:after="20"/>
              <w:jc w:val="right"/>
              <w:rPr>
                <w:rFonts w:cs="Arial"/>
                <w:b/>
                <w:sz w:val="18"/>
                <w:szCs w:val="18"/>
              </w:rPr>
            </w:pPr>
            <w:r w:rsidRPr="003E2D55">
              <w:rPr>
                <w:rFonts w:cs="Arial"/>
                <w:b/>
                <w:sz w:val="18"/>
                <w:szCs w:val="18"/>
              </w:rPr>
              <w:t>426,423</w:t>
            </w:r>
          </w:p>
        </w:tc>
      </w:tr>
      <w:tr w:rsidR="00A26814" w:rsidRPr="003E2D55" w14:paraId="135EF3B7"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323FFB54" w14:textId="77777777" w:rsidR="00A26814" w:rsidRPr="003E2D55" w:rsidRDefault="00A26814" w:rsidP="00A26814">
            <w:pPr>
              <w:spacing w:before="40" w:after="20"/>
              <w:rPr>
                <w:rFonts w:cs="Arial"/>
                <w:sz w:val="18"/>
                <w:szCs w:val="18"/>
              </w:rPr>
            </w:pPr>
            <w:r w:rsidRPr="003E2D55">
              <w:rPr>
                <w:rFonts w:cs="Arial"/>
                <w:sz w:val="18"/>
                <w:szCs w:val="18"/>
              </w:rPr>
              <w:t>South Gippsland S</w:t>
            </w:r>
          </w:p>
        </w:tc>
        <w:tc>
          <w:tcPr>
            <w:tcW w:w="1361" w:type="dxa"/>
            <w:tcBorders>
              <w:top w:val="nil"/>
              <w:left w:val="single" w:sz="18" w:space="0" w:color="5F497A" w:themeColor="accent4" w:themeShade="BF"/>
              <w:bottom w:val="nil"/>
              <w:right w:val="nil"/>
            </w:tcBorders>
            <w:shd w:val="clear" w:color="auto" w:fill="auto"/>
            <w:noWrap/>
            <w:vAlign w:val="bottom"/>
          </w:tcPr>
          <w:p w14:paraId="5B998FC5" w14:textId="3BAEF9DB" w:rsidR="00A26814" w:rsidRPr="003E2D55" w:rsidRDefault="00A26814" w:rsidP="00A26814">
            <w:pPr>
              <w:spacing w:before="40" w:after="20"/>
              <w:jc w:val="right"/>
              <w:rPr>
                <w:rFonts w:cs="Arial"/>
                <w:sz w:val="18"/>
                <w:szCs w:val="18"/>
              </w:rPr>
            </w:pPr>
            <w:r w:rsidRPr="003E2D55">
              <w:rPr>
                <w:rFonts w:cs="Arial"/>
                <w:sz w:val="18"/>
                <w:szCs w:val="18"/>
              </w:rPr>
              <w:t>65,471,476</w:t>
            </w:r>
          </w:p>
        </w:tc>
        <w:tc>
          <w:tcPr>
            <w:tcW w:w="1361" w:type="dxa"/>
            <w:tcBorders>
              <w:top w:val="nil"/>
              <w:left w:val="nil"/>
              <w:bottom w:val="nil"/>
              <w:right w:val="nil"/>
            </w:tcBorders>
            <w:shd w:val="clear" w:color="auto" w:fill="auto"/>
            <w:noWrap/>
            <w:vAlign w:val="bottom"/>
          </w:tcPr>
          <w:p w14:paraId="2D2D52A2" w14:textId="42B416E2" w:rsidR="00A26814" w:rsidRPr="003E2D55" w:rsidRDefault="00A26814" w:rsidP="00A26814">
            <w:pPr>
              <w:spacing w:before="40" w:after="20"/>
              <w:jc w:val="right"/>
              <w:rPr>
                <w:rFonts w:cs="Arial"/>
                <w:sz w:val="18"/>
                <w:szCs w:val="18"/>
              </w:rPr>
            </w:pPr>
            <w:r w:rsidRPr="003E2D55">
              <w:rPr>
                <w:rFonts w:cs="Arial"/>
                <w:sz w:val="18"/>
                <w:szCs w:val="18"/>
              </w:rPr>
              <w:t>25,762,063</w:t>
            </w:r>
          </w:p>
        </w:tc>
        <w:tc>
          <w:tcPr>
            <w:tcW w:w="1361" w:type="dxa"/>
            <w:tcBorders>
              <w:top w:val="nil"/>
              <w:left w:val="nil"/>
              <w:bottom w:val="nil"/>
              <w:right w:val="nil"/>
            </w:tcBorders>
            <w:vAlign w:val="bottom"/>
          </w:tcPr>
          <w:p w14:paraId="3EC7D111" w14:textId="11DEAB27" w:rsidR="00A26814" w:rsidRPr="003E2D55" w:rsidRDefault="00A26814" w:rsidP="00A26814">
            <w:pPr>
              <w:spacing w:before="40" w:after="20"/>
              <w:jc w:val="right"/>
              <w:rPr>
                <w:rFonts w:cs="Arial"/>
                <w:sz w:val="18"/>
                <w:szCs w:val="18"/>
              </w:rPr>
            </w:pPr>
            <w:r w:rsidRPr="003E2D55">
              <w:rPr>
                <w:rFonts w:cs="Arial"/>
                <w:sz w:val="18"/>
                <w:szCs w:val="18"/>
              </w:rPr>
              <w:t>39,709,413</w:t>
            </w:r>
          </w:p>
        </w:tc>
        <w:tc>
          <w:tcPr>
            <w:tcW w:w="1361" w:type="dxa"/>
            <w:tcBorders>
              <w:top w:val="nil"/>
              <w:left w:val="nil"/>
              <w:bottom w:val="nil"/>
              <w:right w:val="nil"/>
            </w:tcBorders>
            <w:shd w:val="clear" w:color="auto" w:fill="auto"/>
            <w:noWrap/>
            <w:vAlign w:val="bottom"/>
          </w:tcPr>
          <w:p w14:paraId="12AC4635" w14:textId="2658C2D9" w:rsidR="00A26814" w:rsidRPr="003E2D55" w:rsidRDefault="00A26814" w:rsidP="00A26814">
            <w:pPr>
              <w:spacing w:before="40" w:after="20"/>
              <w:jc w:val="right"/>
              <w:rPr>
                <w:rFonts w:cs="Arial"/>
                <w:sz w:val="18"/>
                <w:szCs w:val="18"/>
              </w:rPr>
            </w:pPr>
            <w:r w:rsidRPr="003E2D55">
              <w:rPr>
                <w:rFonts w:cs="Arial"/>
                <w:sz w:val="18"/>
                <w:szCs w:val="18"/>
              </w:rPr>
              <w:t>6,411,690</w:t>
            </w:r>
          </w:p>
        </w:tc>
        <w:tc>
          <w:tcPr>
            <w:tcW w:w="1361" w:type="dxa"/>
            <w:tcBorders>
              <w:top w:val="nil"/>
              <w:left w:val="nil"/>
              <w:bottom w:val="nil"/>
              <w:right w:val="nil"/>
            </w:tcBorders>
            <w:vAlign w:val="bottom"/>
          </w:tcPr>
          <w:p w14:paraId="760E083D" w14:textId="3637C3D8" w:rsidR="00A26814" w:rsidRPr="003E2D55" w:rsidRDefault="00A26814" w:rsidP="00A26814">
            <w:pPr>
              <w:spacing w:before="40" w:after="20"/>
              <w:jc w:val="right"/>
              <w:rPr>
                <w:rFonts w:cs="Arial"/>
                <w:b/>
                <w:sz w:val="18"/>
                <w:szCs w:val="18"/>
              </w:rPr>
            </w:pPr>
            <w:r w:rsidRPr="003E2D55">
              <w:rPr>
                <w:rFonts w:cs="Arial"/>
                <w:b/>
                <w:sz w:val="18"/>
                <w:szCs w:val="18"/>
              </w:rPr>
              <w:t>6,409,556</w:t>
            </w:r>
          </w:p>
        </w:tc>
      </w:tr>
      <w:tr w:rsidR="00A26814" w:rsidRPr="003E2D55" w14:paraId="581128A4"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3CB86828" w14:textId="77777777" w:rsidR="00A26814" w:rsidRPr="003E2D55" w:rsidRDefault="00A26814" w:rsidP="00A26814">
            <w:pPr>
              <w:spacing w:before="40" w:after="20"/>
              <w:rPr>
                <w:rFonts w:cs="Arial"/>
                <w:sz w:val="18"/>
                <w:szCs w:val="18"/>
              </w:rPr>
            </w:pPr>
            <w:r w:rsidRPr="003E2D55">
              <w:rPr>
                <w:rFonts w:cs="Arial"/>
                <w:sz w:val="18"/>
                <w:szCs w:val="18"/>
              </w:rPr>
              <w:t>Southern Grampians S</w:t>
            </w:r>
          </w:p>
        </w:tc>
        <w:tc>
          <w:tcPr>
            <w:tcW w:w="1361" w:type="dxa"/>
            <w:tcBorders>
              <w:top w:val="nil"/>
              <w:left w:val="single" w:sz="18" w:space="0" w:color="5F497A" w:themeColor="accent4" w:themeShade="BF"/>
              <w:bottom w:val="nil"/>
              <w:right w:val="nil"/>
            </w:tcBorders>
            <w:shd w:val="clear" w:color="auto" w:fill="auto"/>
            <w:noWrap/>
            <w:vAlign w:val="bottom"/>
          </w:tcPr>
          <w:p w14:paraId="0980949C" w14:textId="1460F41D" w:rsidR="00A26814" w:rsidRPr="003E2D55" w:rsidRDefault="00A26814" w:rsidP="00A26814">
            <w:pPr>
              <w:spacing w:before="40" w:after="20"/>
              <w:jc w:val="right"/>
              <w:rPr>
                <w:rFonts w:cs="Arial"/>
                <w:sz w:val="18"/>
                <w:szCs w:val="18"/>
              </w:rPr>
            </w:pPr>
            <w:r w:rsidRPr="003E2D55">
              <w:rPr>
                <w:rFonts w:cs="Arial"/>
                <w:sz w:val="18"/>
                <w:szCs w:val="18"/>
              </w:rPr>
              <w:t>41,748,589</w:t>
            </w:r>
          </w:p>
        </w:tc>
        <w:tc>
          <w:tcPr>
            <w:tcW w:w="1361" w:type="dxa"/>
            <w:tcBorders>
              <w:top w:val="nil"/>
              <w:left w:val="nil"/>
              <w:bottom w:val="nil"/>
              <w:right w:val="nil"/>
            </w:tcBorders>
            <w:shd w:val="clear" w:color="auto" w:fill="auto"/>
            <w:noWrap/>
            <w:vAlign w:val="bottom"/>
          </w:tcPr>
          <w:p w14:paraId="24D1E27D" w14:textId="6681AA50" w:rsidR="00A26814" w:rsidRPr="003E2D55" w:rsidRDefault="00A26814" w:rsidP="00A26814">
            <w:pPr>
              <w:spacing w:before="40" w:after="20"/>
              <w:jc w:val="right"/>
              <w:rPr>
                <w:rFonts w:cs="Arial"/>
                <w:sz w:val="18"/>
                <w:szCs w:val="18"/>
              </w:rPr>
            </w:pPr>
            <w:r w:rsidRPr="003E2D55">
              <w:rPr>
                <w:rFonts w:cs="Arial"/>
                <w:sz w:val="18"/>
                <w:szCs w:val="18"/>
              </w:rPr>
              <w:t>12,997,563</w:t>
            </w:r>
          </w:p>
        </w:tc>
        <w:tc>
          <w:tcPr>
            <w:tcW w:w="1361" w:type="dxa"/>
            <w:tcBorders>
              <w:top w:val="nil"/>
              <w:left w:val="nil"/>
              <w:bottom w:val="nil"/>
              <w:right w:val="nil"/>
            </w:tcBorders>
            <w:vAlign w:val="bottom"/>
          </w:tcPr>
          <w:p w14:paraId="22EAA9A2" w14:textId="176FBE98" w:rsidR="00A26814" w:rsidRPr="003E2D55" w:rsidRDefault="00A26814" w:rsidP="00A26814">
            <w:pPr>
              <w:spacing w:before="40" w:after="20"/>
              <w:jc w:val="right"/>
              <w:rPr>
                <w:rFonts w:cs="Arial"/>
                <w:sz w:val="18"/>
                <w:szCs w:val="18"/>
              </w:rPr>
            </w:pPr>
            <w:r w:rsidRPr="003E2D55">
              <w:rPr>
                <w:rFonts w:cs="Arial"/>
                <w:sz w:val="18"/>
                <w:szCs w:val="18"/>
              </w:rPr>
              <w:t>28,751,026</w:t>
            </w:r>
          </w:p>
        </w:tc>
        <w:tc>
          <w:tcPr>
            <w:tcW w:w="1361" w:type="dxa"/>
            <w:tcBorders>
              <w:top w:val="nil"/>
              <w:left w:val="nil"/>
              <w:bottom w:val="nil"/>
              <w:right w:val="nil"/>
            </w:tcBorders>
            <w:shd w:val="clear" w:color="auto" w:fill="auto"/>
            <w:noWrap/>
            <w:vAlign w:val="bottom"/>
          </w:tcPr>
          <w:p w14:paraId="1F7A65A0" w14:textId="34EF868A" w:rsidR="00A26814" w:rsidRPr="003E2D55" w:rsidRDefault="00A26814" w:rsidP="00A26814">
            <w:pPr>
              <w:spacing w:before="40" w:after="20"/>
              <w:jc w:val="right"/>
              <w:rPr>
                <w:rFonts w:cs="Arial"/>
                <w:sz w:val="18"/>
                <w:szCs w:val="18"/>
              </w:rPr>
            </w:pPr>
            <w:r w:rsidRPr="003E2D55">
              <w:rPr>
                <w:rFonts w:cs="Arial"/>
                <w:sz w:val="18"/>
                <w:szCs w:val="18"/>
              </w:rPr>
              <w:t>4,642,291</w:t>
            </w:r>
          </w:p>
        </w:tc>
        <w:tc>
          <w:tcPr>
            <w:tcW w:w="1361" w:type="dxa"/>
            <w:tcBorders>
              <w:top w:val="nil"/>
              <w:left w:val="nil"/>
              <w:bottom w:val="nil"/>
              <w:right w:val="nil"/>
            </w:tcBorders>
            <w:vAlign w:val="bottom"/>
          </w:tcPr>
          <w:p w14:paraId="35996053" w14:textId="6409343F" w:rsidR="00A26814" w:rsidRPr="003E2D55" w:rsidRDefault="00A26814" w:rsidP="00A26814">
            <w:pPr>
              <w:spacing w:before="40" w:after="20"/>
              <w:jc w:val="right"/>
              <w:rPr>
                <w:rFonts w:cs="Arial"/>
                <w:b/>
                <w:sz w:val="18"/>
                <w:szCs w:val="18"/>
              </w:rPr>
            </w:pPr>
            <w:r w:rsidRPr="003E2D55">
              <w:rPr>
                <w:rFonts w:cs="Arial"/>
                <w:b/>
                <w:sz w:val="18"/>
                <w:szCs w:val="18"/>
              </w:rPr>
              <w:t>4,640,746</w:t>
            </w:r>
          </w:p>
        </w:tc>
      </w:tr>
      <w:tr w:rsidR="00A26814" w:rsidRPr="003E2D55" w14:paraId="4533D8B3"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25510946" w14:textId="77777777" w:rsidR="00A26814" w:rsidRPr="003E2D55" w:rsidRDefault="00A26814" w:rsidP="00A26814">
            <w:pPr>
              <w:spacing w:before="40" w:after="20"/>
              <w:rPr>
                <w:rFonts w:cs="Arial"/>
                <w:sz w:val="18"/>
                <w:szCs w:val="18"/>
              </w:rPr>
            </w:pPr>
            <w:r w:rsidRPr="003E2D55">
              <w:rPr>
                <w:rFonts w:cs="Arial"/>
                <w:sz w:val="18"/>
                <w:szCs w:val="18"/>
              </w:rPr>
              <w:t>Stonnington C</w:t>
            </w:r>
          </w:p>
        </w:tc>
        <w:tc>
          <w:tcPr>
            <w:tcW w:w="1361" w:type="dxa"/>
            <w:tcBorders>
              <w:top w:val="nil"/>
              <w:left w:val="single" w:sz="18" w:space="0" w:color="5F497A" w:themeColor="accent4" w:themeShade="BF"/>
              <w:bottom w:val="nil"/>
              <w:right w:val="nil"/>
            </w:tcBorders>
            <w:shd w:val="clear" w:color="auto" w:fill="auto"/>
            <w:noWrap/>
            <w:vAlign w:val="bottom"/>
          </w:tcPr>
          <w:p w14:paraId="30DD9946" w14:textId="5026461A" w:rsidR="00A26814" w:rsidRPr="003E2D55" w:rsidRDefault="00A26814" w:rsidP="00A26814">
            <w:pPr>
              <w:spacing w:before="40" w:after="20"/>
              <w:jc w:val="right"/>
              <w:rPr>
                <w:rFonts w:cs="Arial"/>
                <w:sz w:val="18"/>
                <w:szCs w:val="18"/>
              </w:rPr>
            </w:pPr>
            <w:r w:rsidRPr="003E2D55">
              <w:rPr>
                <w:rFonts w:cs="Arial"/>
                <w:sz w:val="18"/>
                <w:szCs w:val="18"/>
              </w:rPr>
              <w:t>121,591,237</w:t>
            </w:r>
          </w:p>
        </w:tc>
        <w:tc>
          <w:tcPr>
            <w:tcW w:w="1361" w:type="dxa"/>
            <w:tcBorders>
              <w:top w:val="nil"/>
              <w:left w:val="nil"/>
              <w:bottom w:val="nil"/>
              <w:right w:val="nil"/>
            </w:tcBorders>
            <w:shd w:val="clear" w:color="auto" w:fill="auto"/>
            <w:noWrap/>
            <w:vAlign w:val="bottom"/>
          </w:tcPr>
          <w:p w14:paraId="404DD9E9" w14:textId="675C3EE4" w:rsidR="00A26814" w:rsidRPr="003E2D55" w:rsidRDefault="00A26814" w:rsidP="00A26814">
            <w:pPr>
              <w:spacing w:before="40" w:after="20"/>
              <w:jc w:val="right"/>
              <w:rPr>
                <w:rFonts w:cs="Arial"/>
                <w:sz w:val="18"/>
                <w:szCs w:val="18"/>
              </w:rPr>
            </w:pPr>
            <w:r w:rsidRPr="003E2D55">
              <w:rPr>
                <w:rFonts w:cs="Arial"/>
                <w:sz w:val="18"/>
                <w:szCs w:val="18"/>
              </w:rPr>
              <w:t>224,564,143</w:t>
            </w:r>
          </w:p>
        </w:tc>
        <w:tc>
          <w:tcPr>
            <w:tcW w:w="1361" w:type="dxa"/>
            <w:tcBorders>
              <w:top w:val="nil"/>
              <w:left w:val="nil"/>
              <w:bottom w:val="nil"/>
              <w:right w:val="nil"/>
            </w:tcBorders>
            <w:vAlign w:val="bottom"/>
          </w:tcPr>
          <w:p w14:paraId="05ADA46D" w14:textId="58E59CCC" w:rsidR="00A26814" w:rsidRPr="003E2D55" w:rsidRDefault="00A26814" w:rsidP="00A26814">
            <w:pPr>
              <w:spacing w:before="40" w:after="20"/>
              <w:jc w:val="right"/>
              <w:rPr>
                <w:rFonts w:cs="Arial"/>
                <w:sz w:val="18"/>
                <w:szCs w:val="18"/>
              </w:rPr>
            </w:pPr>
            <w:r w:rsidRPr="003E2D55">
              <w:rPr>
                <w:rFonts w:cs="Arial"/>
                <w:sz w:val="18"/>
                <w:szCs w:val="18"/>
              </w:rPr>
              <w:t>-102,972,906</w:t>
            </w:r>
          </w:p>
        </w:tc>
        <w:tc>
          <w:tcPr>
            <w:tcW w:w="1361" w:type="dxa"/>
            <w:tcBorders>
              <w:top w:val="nil"/>
              <w:left w:val="nil"/>
              <w:bottom w:val="nil"/>
              <w:right w:val="nil"/>
            </w:tcBorders>
            <w:shd w:val="clear" w:color="auto" w:fill="auto"/>
            <w:noWrap/>
            <w:vAlign w:val="bottom"/>
          </w:tcPr>
          <w:p w14:paraId="7189A8D6" w14:textId="7BBD347E" w:rsidR="00A26814" w:rsidRPr="003E2D55" w:rsidRDefault="00A26814" w:rsidP="00A26814">
            <w:pPr>
              <w:spacing w:before="40" w:after="20"/>
              <w:jc w:val="right"/>
              <w:rPr>
                <w:rFonts w:cs="Arial"/>
                <w:sz w:val="18"/>
                <w:szCs w:val="18"/>
              </w:rPr>
            </w:pPr>
            <w:r w:rsidRPr="003E2D55">
              <w:rPr>
                <w:rFonts w:cs="Arial"/>
                <w:sz w:val="18"/>
                <w:szCs w:val="18"/>
              </w:rPr>
              <w:t>2,458,355</w:t>
            </w:r>
          </w:p>
        </w:tc>
        <w:tc>
          <w:tcPr>
            <w:tcW w:w="1361" w:type="dxa"/>
            <w:tcBorders>
              <w:top w:val="nil"/>
              <w:left w:val="nil"/>
              <w:bottom w:val="nil"/>
              <w:right w:val="nil"/>
            </w:tcBorders>
            <w:vAlign w:val="bottom"/>
          </w:tcPr>
          <w:p w14:paraId="491EFF45" w14:textId="2493C5AE" w:rsidR="00A26814" w:rsidRPr="003E2D55" w:rsidRDefault="00A26814" w:rsidP="00A26814">
            <w:pPr>
              <w:spacing w:before="40" w:after="20"/>
              <w:jc w:val="right"/>
              <w:rPr>
                <w:rFonts w:cs="Arial"/>
                <w:b/>
                <w:sz w:val="18"/>
                <w:szCs w:val="18"/>
              </w:rPr>
            </w:pPr>
            <w:r w:rsidRPr="003E2D55">
              <w:rPr>
                <w:rFonts w:cs="Arial"/>
                <w:b/>
                <w:sz w:val="18"/>
                <w:szCs w:val="18"/>
              </w:rPr>
              <w:t>2,458,355</w:t>
            </w:r>
          </w:p>
        </w:tc>
      </w:tr>
      <w:tr w:rsidR="00A26814" w:rsidRPr="003E2D55" w14:paraId="6C213A08"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710D34AC" w14:textId="77777777" w:rsidR="00A26814" w:rsidRPr="003E2D55" w:rsidRDefault="00A26814" w:rsidP="00A26814">
            <w:pPr>
              <w:spacing w:before="40" w:after="20"/>
              <w:rPr>
                <w:rFonts w:cs="Arial"/>
                <w:sz w:val="18"/>
                <w:szCs w:val="18"/>
              </w:rPr>
            </w:pPr>
            <w:r w:rsidRPr="003E2D55">
              <w:rPr>
                <w:rFonts w:cs="Arial"/>
                <w:sz w:val="18"/>
                <w:szCs w:val="18"/>
              </w:rPr>
              <w:t>Strathbogie S</w:t>
            </w:r>
          </w:p>
        </w:tc>
        <w:tc>
          <w:tcPr>
            <w:tcW w:w="1361" w:type="dxa"/>
            <w:tcBorders>
              <w:top w:val="nil"/>
              <w:left w:val="single" w:sz="18" w:space="0" w:color="5F497A" w:themeColor="accent4" w:themeShade="BF"/>
              <w:bottom w:val="nil"/>
              <w:right w:val="nil"/>
            </w:tcBorders>
            <w:shd w:val="clear" w:color="auto" w:fill="auto"/>
            <w:noWrap/>
            <w:vAlign w:val="bottom"/>
          </w:tcPr>
          <w:p w14:paraId="22AAAF09" w14:textId="54135A15" w:rsidR="00A26814" w:rsidRPr="003E2D55" w:rsidRDefault="00A26814" w:rsidP="00A26814">
            <w:pPr>
              <w:spacing w:before="40" w:after="20"/>
              <w:jc w:val="right"/>
              <w:rPr>
                <w:rFonts w:cs="Arial"/>
                <w:sz w:val="18"/>
                <w:szCs w:val="18"/>
              </w:rPr>
            </w:pPr>
            <w:r w:rsidRPr="003E2D55">
              <w:rPr>
                <w:rFonts w:cs="Arial"/>
                <w:sz w:val="18"/>
                <w:szCs w:val="18"/>
              </w:rPr>
              <w:t>31,198,787</w:t>
            </w:r>
          </w:p>
        </w:tc>
        <w:tc>
          <w:tcPr>
            <w:tcW w:w="1361" w:type="dxa"/>
            <w:tcBorders>
              <w:top w:val="nil"/>
              <w:left w:val="nil"/>
              <w:bottom w:val="nil"/>
              <w:right w:val="nil"/>
            </w:tcBorders>
            <w:shd w:val="clear" w:color="auto" w:fill="auto"/>
            <w:noWrap/>
            <w:vAlign w:val="bottom"/>
          </w:tcPr>
          <w:p w14:paraId="0909AC30" w14:textId="0573C87A" w:rsidR="00A26814" w:rsidRPr="003E2D55" w:rsidRDefault="00A26814" w:rsidP="00A26814">
            <w:pPr>
              <w:spacing w:before="40" w:after="20"/>
              <w:jc w:val="right"/>
              <w:rPr>
                <w:rFonts w:cs="Arial"/>
                <w:sz w:val="18"/>
                <w:szCs w:val="18"/>
              </w:rPr>
            </w:pPr>
            <w:r w:rsidRPr="003E2D55">
              <w:rPr>
                <w:rFonts w:cs="Arial"/>
                <w:sz w:val="18"/>
                <w:szCs w:val="18"/>
              </w:rPr>
              <w:t>10,141,619</w:t>
            </w:r>
          </w:p>
        </w:tc>
        <w:tc>
          <w:tcPr>
            <w:tcW w:w="1361" w:type="dxa"/>
            <w:tcBorders>
              <w:top w:val="nil"/>
              <w:left w:val="nil"/>
              <w:bottom w:val="nil"/>
              <w:right w:val="nil"/>
            </w:tcBorders>
            <w:vAlign w:val="bottom"/>
          </w:tcPr>
          <w:p w14:paraId="531F5E97" w14:textId="45DE9290" w:rsidR="00A26814" w:rsidRPr="003E2D55" w:rsidRDefault="00A26814" w:rsidP="00A26814">
            <w:pPr>
              <w:spacing w:before="40" w:after="20"/>
              <w:jc w:val="right"/>
              <w:rPr>
                <w:rFonts w:cs="Arial"/>
                <w:sz w:val="18"/>
                <w:szCs w:val="18"/>
              </w:rPr>
            </w:pPr>
            <w:r w:rsidRPr="003E2D55">
              <w:rPr>
                <w:rFonts w:cs="Arial"/>
                <w:sz w:val="18"/>
                <w:szCs w:val="18"/>
              </w:rPr>
              <w:t>21,057,168</w:t>
            </w:r>
          </w:p>
        </w:tc>
        <w:tc>
          <w:tcPr>
            <w:tcW w:w="1361" w:type="dxa"/>
            <w:tcBorders>
              <w:top w:val="nil"/>
              <w:left w:val="nil"/>
              <w:bottom w:val="nil"/>
              <w:right w:val="nil"/>
            </w:tcBorders>
            <w:shd w:val="clear" w:color="auto" w:fill="auto"/>
            <w:noWrap/>
            <w:vAlign w:val="bottom"/>
          </w:tcPr>
          <w:p w14:paraId="757CA6B0" w14:textId="06A97888" w:rsidR="00A26814" w:rsidRPr="003E2D55" w:rsidRDefault="00A26814" w:rsidP="00A26814">
            <w:pPr>
              <w:spacing w:before="40" w:after="20"/>
              <w:jc w:val="right"/>
              <w:rPr>
                <w:rFonts w:cs="Arial"/>
                <w:sz w:val="18"/>
                <w:szCs w:val="18"/>
              </w:rPr>
            </w:pPr>
            <w:r w:rsidRPr="003E2D55">
              <w:rPr>
                <w:rFonts w:cs="Arial"/>
                <w:sz w:val="18"/>
                <w:szCs w:val="18"/>
              </w:rPr>
              <w:t>3,400,001</w:t>
            </w:r>
          </w:p>
        </w:tc>
        <w:tc>
          <w:tcPr>
            <w:tcW w:w="1361" w:type="dxa"/>
            <w:tcBorders>
              <w:top w:val="nil"/>
              <w:left w:val="nil"/>
              <w:bottom w:val="nil"/>
              <w:right w:val="nil"/>
            </w:tcBorders>
            <w:vAlign w:val="bottom"/>
          </w:tcPr>
          <w:p w14:paraId="4A1393FD" w14:textId="2E81A132" w:rsidR="00A26814" w:rsidRPr="003E2D55" w:rsidRDefault="00A26814" w:rsidP="00A26814">
            <w:pPr>
              <w:spacing w:before="40" w:after="20"/>
              <w:jc w:val="right"/>
              <w:rPr>
                <w:rFonts w:cs="Arial"/>
                <w:b/>
                <w:sz w:val="18"/>
                <w:szCs w:val="18"/>
              </w:rPr>
            </w:pPr>
            <w:r w:rsidRPr="003E2D55">
              <w:rPr>
                <w:rFonts w:cs="Arial"/>
                <w:b/>
                <w:sz w:val="18"/>
                <w:szCs w:val="18"/>
              </w:rPr>
              <w:t>3,398,869</w:t>
            </w:r>
          </w:p>
        </w:tc>
      </w:tr>
      <w:tr w:rsidR="00A26814" w:rsidRPr="003E2D55" w14:paraId="76244147"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51BC3F0A" w14:textId="77777777" w:rsidR="00A26814" w:rsidRPr="003E2D55" w:rsidRDefault="00A26814" w:rsidP="00A26814">
            <w:pPr>
              <w:spacing w:before="40" w:after="20"/>
              <w:rPr>
                <w:rFonts w:cs="Arial"/>
                <w:sz w:val="18"/>
                <w:szCs w:val="18"/>
              </w:rPr>
            </w:pPr>
            <w:r w:rsidRPr="003E2D55">
              <w:rPr>
                <w:rFonts w:cs="Arial"/>
                <w:sz w:val="18"/>
                <w:szCs w:val="18"/>
              </w:rPr>
              <w:t>Surf Coast S</w:t>
            </w:r>
          </w:p>
        </w:tc>
        <w:tc>
          <w:tcPr>
            <w:tcW w:w="1361" w:type="dxa"/>
            <w:tcBorders>
              <w:top w:val="nil"/>
              <w:left w:val="single" w:sz="18" w:space="0" w:color="5F497A" w:themeColor="accent4" w:themeShade="BF"/>
              <w:bottom w:val="nil"/>
              <w:right w:val="nil"/>
            </w:tcBorders>
            <w:shd w:val="clear" w:color="auto" w:fill="auto"/>
            <w:noWrap/>
            <w:vAlign w:val="bottom"/>
          </w:tcPr>
          <w:p w14:paraId="3DCB3F78" w14:textId="3E11BFF3" w:rsidR="00A26814" w:rsidRPr="003E2D55" w:rsidRDefault="00A26814" w:rsidP="00A26814">
            <w:pPr>
              <w:spacing w:before="40" w:after="20"/>
              <w:jc w:val="right"/>
              <w:rPr>
                <w:rFonts w:cs="Arial"/>
                <w:sz w:val="18"/>
                <w:szCs w:val="18"/>
              </w:rPr>
            </w:pPr>
            <w:r w:rsidRPr="003E2D55">
              <w:rPr>
                <w:rFonts w:cs="Arial"/>
                <w:sz w:val="18"/>
                <w:szCs w:val="18"/>
              </w:rPr>
              <w:t>57,117,910</w:t>
            </w:r>
          </w:p>
        </w:tc>
        <w:tc>
          <w:tcPr>
            <w:tcW w:w="1361" w:type="dxa"/>
            <w:tcBorders>
              <w:top w:val="nil"/>
              <w:left w:val="nil"/>
              <w:bottom w:val="nil"/>
              <w:right w:val="nil"/>
            </w:tcBorders>
            <w:shd w:val="clear" w:color="auto" w:fill="auto"/>
            <w:noWrap/>
            <w:vAlign w:val="bottom"/>
          </w:tcPr>
          <w:p w14:paraId="394EBA75" w14:textId="49FD9D60" w:rsidR="00A26814" w:rsidRPr="003E2D55" w:rsidRDefault="00A26814" w:rsidP="00A26814">
            <w:pPr>
              <w:spacing w:before="40" w:after="20"/>
              <w:jc w:val="right"/>
              <w:rPr>
                <w:rFonts w:cs="Arial"/>
                <w:sz w:val="18"/>
                <w:szCs w:val="18"/>
              </w:rPr>
            </w:pPr>
            <w:r w:rsidRPr="003E2D55">
              <w:rPr>
                <w:rFonts w:cs="Arial"/>
                <w:sz w:val="18"/>
                <w:szCs w:val="18"/>
              </w:rPr>
              <w:t>38,827,417</w:t>
            </w:r>
          </w:p>
        </w:tc>
        <w:tc>
          <w:tcPr>
            <w:tcW w:w="1361" w:type="dxa"/>
            <w:tcBorders>
              <w:top w:val="nil"/>
              <w:left w:val="nil"/>
              <w:bottom w:val="nil"/>
              <w:right w:val="nil"/>
            </w:tcBorders>
            <w:vAlign w:val="bottom"/>
          </w:tcPr>
          <w:p w14:paraId="1C53E882" w14:textId="218B4C63" w:rsidR="00A26814" w:rsidRPr="003E2D55" w:rsidRDefault="00A26814" w:rsidP="00A26814">
            <w:pPr>
              <w:spacing w:before="40" w:after="20"/>
              <w:jc w:val="right"/>
              <w:rPr>
                <w:rFonts w:cs="Arial"/>
                <w:sz w:val="18"/>
                <w:szCs w:val="18"/>
              </w:rPr>
            </w:pPr>
            <w:r w:rsidRPr="003E2D55">
              <w:rPr>
                <w:rFonts w:cs="Arial"/>
                <w:sz w:val="18"/>
                <w:szCs w:val="18"/>
              </w:rPr>
              <w:t>18,290,493</w:t>
            </w:r>
          </w:p>
        </w:tc>
        <w:tc>
          <w:tcPr>
            <w:tcW w:w="1361" w:type="dxa"/>
            <w:tcBorders>
              <w:top w:val="nil"/>
              <w:left w:val="nil"/>
              <w:bottom w:val="nil"/>
              <w:right w:val="nil"/>
            </w:tcBorders>
            <w:shd w:val="clear" w:color="auto" w:fill="auto"/>
            <w:noWrap/>
            <w:vAlign w:val="bottom"/>
          </w:tcPr>
          <w:p w14:paraId="5A0B7A13" w14:textId="77FE23A4" w:rsidR="00A26814" w:rsidRPr="003E2D55" w:rsidRDefault="00A26814" w:rsidP="00A26814">
            <w:pPr>
              <w:spacing w:before="40" w:after="20"/>
              <w:jc w:val="right"/>
              <w:rPr>
                <w:rFonts w:cs="Arial"/>
                <w:sz w:val="18"/>
                <w:szCs w:val="18"/>
              </w:rPr>
            </w:pPr>
            <w:r w:rsidRPr="003E2D55">
              <w:rPr>
                <w:rFonts w:cs="Arial"/>
                <w:sz w:val="18"/>
                <w:szCs w:val="18"/>
              </w:rPr>
              <w:t>2,953,279</w:t>
            </w:r>
          </w:p>
        </w:tc>
        <w:tc>
          <w:tcPr>
            <w:tcW w:w="1361" w:type="dxa"/>
            <w:tcBorders>
              <w:top w:val="nil"/>
              <w:left w:val="nil"/>
              <w:bottom w:val="nil"/>
              <w:right w:val="nil"/>
            </w:tcBorders>
            <w:vAlign w:val="bottom"/>
          </w:tcPr>
          <w:p w14:paraId="0557033F" w14:textId="6BAA34D3" w:rsidR="00A26814" w:rsidRPr="003E2D55" w:rsidRDefault="00A26814" w:rsidP="00A26814">
            <w:pPr>
              <w:spacing w:before="40" w:after="20"/>
              <w:jc w:val="right"/>
              <w:rPr>
                <w:rFonts w:cs="Arial"/>
                <w:b/>
                <w:sz w:val="18"/>
                <w:szCs w:val="18"/>
              </w:rPr>
            </w:pPr>
            <w:r w:rsidRPr="003E2D55">
              <w:rPr>
                <w:rFonts w:cs="Arial"/>
                <w:b/>
                <w:sz w:val="18"/>
                <w:szCs w:val="18"/>
              </w:rPr>
              <w:t>2,952,296</w:t>
            </w:r>
          </w:p>
        </w:tc>
      </w:tr>
      <w:tr w:rsidR="00A26814" w:rsidRPr="003E2D55" w14:paraId="3EFD1E9C"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67E9463D" w14:textId="77777777" w:rsidR="00A26814" w:rsidRPr="003E2D55" w:rsidRDefault="00A26814" w:rsidP="00A26814">
            <w:pPr>
              <w:spacing w:before="40" w:after="20"/>
              <w:rPr>
                <w:rFonts w:cs="Arial"/>
                <w:sz w:val="18"/>
                <w:szCs w:val="18"/>
              </w:rPr>
            </w:pPr>
            <w:r w:rsidRPr="003E2D55">
              <w:rPr>
                <w:rFonts w:cs="Arial"/>
                <w:sz w:val="18"/>
                <w:szCs w:val="18"/>
              </w:rPr>
              <w:t>Swan Hill RC</w:t>
            </w:r>
          </w:p>
        </w:tc>
        <w:tc>
          <w:tcPr>
            <w:tcW w:w="1361" w:type="dxa"/>
            <w:tcBorders>
              <w:top w:val="nil"/>
              <w:left w:val="single" w:sz="18" w:space="0" w:color="5F497A" w:themeColor="accent4" w:themeShade="BF"/>
              <w:bottom w:val="nil"/>
              <w:right w:val="nil"/>
            </w:tcBorders>
            <w:shd w:val="clear" w:color="auto" w:fill="auto"/>
            <w:noWrap/>
            <w:vAlign w:val="bottom"/>
          </w:tcPr>
          <w:p w14:paraId="7B387F54" w14:textId="7BB9725E" w:rsidR="00A26814" w:rsidRPr="003E2D55" w:rsidRDefault="00A26814" w:rsidP="00A26814">
            <w:pPr>
              <w:spacing w:before="40" w:after="20"/>
              <w:jc w:val="right"/>
              <w:rPr>
                <w:rFonts w:cs="Arial"/>
                <w:sz w:val="18"/>
                <w:szCs w:val="18"/>
              </w:rPr>
            </w:pPr>
            <w:r w:rsidRPr="003E2D55">
              <w:rPr>
                <w:rFonts w:cs="Arial"/>
                <w:sz w:val="18"/>
                <w:szCs w:val="18"/>
              </w:rPr>
              <w:t>42,306,676</w:t>
            </w:r>
          </w:p>
        </w:tc>
        <w:tc>
          <w:tcPr>
            <w:tcW w:w="1361" w:type="dxa"/>
            <w:tcBorders>
              <w:top w:val="nil"/>
              <w:left w:val="nil"/>
              <w:bottom w:val="nil"/>
              <w:right w:val="nil"/>
            </w:tcBorders>
            <w:shd w:val="clear" w:color="auto" w:fill="auto"/>
            <w:noWrap/>
            <w:vAlign w:val="bottom"/>
          </w:tcPr>
          <w:p w14:paraId="4179AC4E" w14:textId="146579C3" w:rsidR="00A26814" w:rsidRPr="003E2D55" w:rsidRDefault="00A26814" w:rsidP="00A26814">
            <w:pPr>
              <w:spacing w:before="40" w:after="20"/>
              <w:jc w:val="right"/>
              <w:rPr>
                <w:rFonts w:cs="Arial"/>
                <w:sz w:val="18"/>
                <w:szCs w:val="18"/>
              </w:rPr>
            </w:pPr>
            <w:r w:rsidRPr="003E2D55">
              <w:rPr>
                <w:rFonts w:cs="Arial"/>
                <w:sz w:val="18"/>
                <w:szCs w:val="18"/>
              </w:rPr>
              <w:t>12,767,316</w:t>
            </w:r>
          </w:p>
        </w:tc>
        <w:tc>
          <w:tcPr>
            <w:tcW w:w="1361" w:type="dxa"/>
            <w:tcBorders>
              <w:top w:val="nil"/>
              <w:left w:val="nil"/>
              <w:bottom w:val="nil"/>
              <w:right w:val="nil"/>
            </w:tcBorders>
            <w:vAlign w:val="bottom"/>
          </w:tcPr>
          <w:p w14:paraId="73D410A9" w14:textId="13FCD9D3" w:rsidR="00A26814" w:rsidRPr="003E2D55" w:rsidRDefault="00A26814" w:rsidP="00A26814">
            <w:pPr>
              <w:spacing w:before="40" w:after="20"/>
              <w:jc w:val="right"/>
              <w:rPr>
                <w:rFonts w:cs="Arial"/>
                <w:sz w:val="18"/>
                <w:szCs w:val="18"/>
              </w:rPr>
            </w:pPr>
            <w:r w:rsidRPr="003E2D55">
              <w:rPr>
                <w:rFonts w:cs="Arial"/>
                <w:sz w:val="18"/>
                <w:szCs w:val="18"/>
              </w:rPr>
              <w:t>29,539,360</w:t>
            </w:r>
          </w:p>
        </w:tc>
        <w:tc>
          <w:tcPr>
            <w:tcW w:w="1361" w:type="dxa"/>
            <w:tcBorders>
              <w:top w:val="nil"/>
              <w:left w:val="nil"/>
              <w:bottom w:val="nil"/>
              <w:right w:val="nil"/>
            </w:tcBorders>
            <w:shd w:val="clear" w:color="auto" w:fill="auto"/>
            <w:noWrap/>
            <w:vAlign w:val="bottom"/>
          </w:tcPr>
          <w:p w14:paraId="29902BEA" w14:textId="663D3F07" w:rsidR="00A26814" w:rsidRPr="003E2D55" w:rsidRDefault="00A26814" w:rsidP="00A26814">
            <w:pPr>
              <w:spacing w:before="40" w:after="20"/>
              <w:jc w:val="right"/>
              <w:rPr>
                <w:rFonts w:cs="Arial"/>
                <w:sz w:val="18"/>
                <w:szCs w:val="18"/>
              </w:rPr>
            </w:pPr>
            <w:r w:rsidRPr="003E2D55">
              <w:rPr>
                <w:rFonts w:cs="Arial"/>
                <w:sz w:val="18"/>
                <w:szCs w:val="18"/>
              </w:rPr>
              <w:t>4,769,580</w:t>
            </w:r>
          </w:p>
        </w:tc>
        <w:tc>
          <w:tcPr>
            <w:tcW w:w="1361" w:type="dxa"/>
            <w:tcBorders>
              <w:top w:val="nil"/>
              <w:left w:val="nil"/>
              <w:bottom w:val="nil"/>
              <w:right w:val="nil"/>
            </w:tcBorders>
            <w:vAlign w:val="bottom"/>
          </w:tcPr>
          <w:p w14:paraId="1AF1880D" w14:textId="56A7E567" w:rsidR="00A26814" w:rsidRPr="003E2D55" w:rsidRDefault="00A26814" w:rsidP="00A26814">
            <w:pPr>
              <w:spacing w:before="40" w:after="20"/>
              <w:jc w:val="right"/>
              <w:rPr>
                <w:rFonts w:cs="Arial"/>
                <w:b/>
                <w:sz w:val="18"/>
                <w:szCs w:val="18"/>
              </w:rPr>
            </w:pPr>
            <w:r w:rsidRPr="003E2D55">
              <w:rPr>
                <w:rFonts w:cs="Arial"/>
                <w:b/>
                <w:sz w:val="18"/>
                <w:szCs w:val="18"/>
              </w:rPr>
              <w:t>4,767,992</w:t>
            </w:r>
          </w:p>
        </w:tc>
      </w:tr>
      <w:tr w:rsidR="00A26814" w:rsidRPr="003E2D55" w14:paraId="16FD02C0"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0F8C0FE1" w14:textId="77777777" w:rsidR="00A26814" w:rsidRPr="003E2D55" w:rsidRDefault="00A26814" w:rsidP="00A26814">
            <w:pPr>
              <w:spacing w:before="40" w:after="20"/>
              <w:rPr>
                <w:rFonts w:cs="Arial"/>
                <w:sz w:val="18"/>
                <w:szCs w:val="18"/>
              </w:rPr>
            </w:pPr>
            <w:r w:rsidRPr="003E2D55">
              <w:rPr>
                <w:rFonts w:cs="Arial"/>
                <w:sz w:val="18"/>
                <w:szCs w:val="18"/>
              </w:rPr>
              <w:t>Towong S</w:t>
            </w:r>
          </w:p>
        </w:tc>
        <w:tc>
          <w:tcPr>
            <w:tcW w:w="1361" w:type="dxa"/>
            <w:tcBorders>
              <w:top w:val="nil"/>
              <w:left w:val="single" w:sz="18" w:space="0" w:color="5F497A" w:themeColor="accent4" w:themeShade="BF"/>
              <w:bottom w:val="nil"/>
              <w:right w:val="nil"/>
            </w:tcBorders>
            <w:shd w:val="clear" w:color="auto" w:fill="auto"/>
            <w:noWrap/>
            <w:vAlign w:val="bottom"/>
          </w:tcPr>
          <w:p w14:paraId="0B49EFFA" w14:textId="021895E9" w:rsidR="00A26814" w:rsidRPr="003E2D55" w:rsidRDefault="00A26814" w:rsidP="00A26814">
            <w:pPr>
              <w:spacing w:before="40" w:after="20"/>
              <w:jc w:val="right"/>
              <w:rPr>
                <w:rFonts w:cs="Arial"/>
                <w:sz w:val="18"/>
                <w:szCs w:val="18"/>
              </w:rPr>
            </w:pPr>
            <w:r w:rsidRPr="003E2D55">
              <w:rPr>
                <w:rFonts w:cs="Arial"/>
                <w:sz w:val="18"/>
                <w:szCs w:val="18"/>
              </w:rPr>
              <w:t>24,884,470</w:t>
            </w:r>
          </w:p>
        </w:tc>
        <w:tc>
          <w:tcPr>
            <w:tcW w:w="1361" w:type="dxa"/>
            <w:tcBorders>
              <w:top w:val="nil"/>
              <w:left w:val="nil"/>
              <w:bottom w:val="nil"/>
              <w:right w:val="nil"/>
            </w:tcBorders>
            <w:shd w:val="clear" w:color="auto" w:fill="auto"/>
            <w:noWrap/>
            <w:vAlign w:val="bottom"/>
          </w:tcPr>
          <w:p w14:paraId="2E87F701" w14:textId="043BB7EE" w:rsidR="00A26814" w:rsidRPr="003E2D55" w:rsidRDefault="00A26814" w:rsidP="00A26814">
            <w:pPr>
              <w:spacing w:before="40" w:after="20"/>
              <w:jc w:val="right"/>
              <w:rPr>
                <w:rFonts w:cs="Arial"/>
                <w:sz w:val="18"/>
                <w:szCs w:val="18"/>
              </w:rPr>
            </w:pPr>
            <w:r w:rsidRPr="003E2D55">
              <w:rPr>
                <w:rFonts w:cs="Arial"/>
                <w:sz w:val="18"/>
                <w:szCs w:val="18"/>
              </w:rPr>
              <w:t>5,305,617</w:t>
            </w:r>
          </w:p>
        </w:tc>
        <w:tc>
          <w:tcPr>
            <w:tcW w:w="1361" w:type="dxa"/>
            <w:tcBorders>
              <w:top w:val="nil"/>
              <w:left w:val="nil"/>
              <w:bottom w:val="nil"/>
              <w:right w:val="nil"/>
            </w:tcBorders>
            <w:vAlign w:val="bottom"/>
          </w:tcPr>
          <w:p w14:paraId="311BA925" w14:textId="020BE65B" w:rsidR="00A26814" w:rsidRPr="003E2D55" w:rsidRDefault="00A26814" w:rsidP="00A26814">
            <w:pPr>
              <w:spacing w:before="40" w:after="20"/>
              <w:jc w:val="right"/>
              <w:rPr>
                <w:rFonts w:cs="Arial"/>
                <w:sz w:val="18"/>
                <w:szCs w:val="18"/>
              </w:rPr>
            </w:pPr>
            <w:r w:rsidRPr="003E2D55">
              <w:rPr>
                <w:rFonts w:cs="Arial"/>
                <w:sz w:val="18"/>
                <w:szCs w:val="18"/>
              </w:rPr>
              <w:t>19,578,853</w:t>
            </w:r>
          </w:p>
        </w:tc>
        <w:tc>
          <w:tcPr>
            <w:tcW w:w="1361" w:type="dxa"/>
            <w:tcBorders>
              <w:top w:val="nil"/>
              <w:left w:val="nil"/>
              <w:bottom w:val="nil"/>
              <w:right w:val="nil"/>
            </w:tcBorders>
            <w:shd w:val="clear" w:color="auto" w:fill="auto"/>
            <w:noWrap/>
            <w:vAlign w:val="bottom"/>
          </w:tcPr>
          <w:p w14:paraId="0D34CABC" w14:textId="1D90E0B5" w:rsidR="00A26814" w:rsidRPr="003E2D55" w:rsidRDefault="00A26814" w:rsidP="00A26814">
            <w:pPr>
              <w:spacing w:before="40" w:after="20"/>
              <w:jc w:val="right"/>
              <w:rPr>
                <w:rFonts w:cs="Arial"/>
                <w:sz w:val="18"/>
                <w:szCs w:val="18"/>
              </w:rPr>
            </w:pPr>
            <w:r w:rsidRPr="003E2D55">
              <w:rPr>
                <w:rFonts w:cs="Arial"/>
                <w:sz w:val="18"/>
                <w:szCs w:val="18"/>
              </w:rPr>
              <w:t>3,161,304</w:t>
            </w:r>
          </w:p>
        </w:tc>
        <w:tc>
          <w:tcPr>
            <w:tcW w:w="1361" w:type="dxa"/>
            <w:tcBorders>
              <w:top w:val="nil"/>
              <w:left w:val="nil"/>
              <w:bottom w:val="nil"/>
              <w:right w:val="nil"/>
            </w:tcBorders>
            <w:vAlign w:val="bottom"/>
          </w:tcPr>
          <w:p w14:paraId="3D523D0D" w14:textId="5A09380E" w:rsidR="00A26814" w:rsidRPr="003E2D55" w:rsidRDefault="00A26814" w:rsidP="00A26814">
            <w:pPr>
              <w:spacing w:before="40" w:after="20"/>
              <w:jc w:val="right"/>
              <w:rPr>
                <w:rFonts w:cs="Arial"/>
                <w:b/>
                <w:sz w:val="18"/>
                <w:szCs w:val="18"/>
              </w:rPr>
            </w:pPr>
            <w:r w:rsidRPr="003E2D55">
              <w:rPr>
                <w:rFonts w:cs="Arial"/>
                <w:b/>
                <w:sz w:val="18"/>
                <w:szCs w:val="18"/>
              </w:rPr>
              <w:t>3,160,252</w:t>
            </w:r>
          </w:p>
        </w:tc>
      </w:tr>
      <w:tr w:rsidR="00A26814" w:rsidRPr="003E2D55" w14:paraId="3F3EA4AF"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035F503A" w14:textId="77777777" w:rsidR="00A26814" w:rsidRPr="003E2D55" w:rsidRDefault="00A26814" w:rsidP="00A26814">
            <w:pPr>
              <w:spacing w:before="40" w:after="20"/>
              <w:rPr>
                <w:rFonts w:cs="Arial"/>
                <w:sz w:val="18"/>
                <w:szCs w:val="18"/>
              </w:rPr>
            </w:pPr>
            <w:r w:rsidRPr="003E2D55">
              <w:rPr>
                <w:rFonts w:cs="Arial"/>
                <w:sz w:val="18"/>
                <w:szCs w:val="18"/>
              </w:rPr>
              <w:t>Wangaratta RC</w:t>
            </w:r>
          </w:p>
        </w:tc>
        <w:tc>
          <w:tcPr>
            <w:tcW w:w="1361" w:type="dxa"/>
            <w:tcBorders>
              <w:top w:val="nil"/>
              <w:left w:val="single" w:sz="18" w:space="0" w:color="5F497A" w:themeColor="accent4" w:themeShade="BF"/>
              <w:bottom w:val="nil"/>
              <w:right w:val="nil"/>
            </w:tcBorders>
            <w:shd w:val="clear" w:color="auto" w:fill="auto"/>
            <w:noWrap/>
            <w:vAlign w:val="bottom"/>
          </w:tcPr>
          <w:p w14:paraId="7A9577B1" w14:textId="2EB852CB" w:rsidR="00A26814" w:rsidRPr="003E2D55" w:rsidRDefault="00A26814" w:rsidP="00A26814">
            <w:pPr>
              <w:spacing w:before="40" w:after="20"/>
              <w:jc w:val="right"/>
              <w:rPr>
                <w:rFonts w:cs="Arial"/>
                <w:sz w:val="18"/>
                <w:szCs w:val="18"/>
              </w:rPr>
            </w:pPr>
            <w:r w:rsidRPr="003E2D55">
              <w:rPr>
                <w:rFonts w:cs="Arial"/>
                <w:sz w:val="18"/>
                <w:szCs w:val="18"/>
              </w:rPr>
              <w:t>50,181,724</w:t>
            </w:r>
          </w:p>
        </w:tc>
        <w:tc>
          <w:tcPr>
            <w:tcW w:w="1361" w:type="dxa"/>
            <w:tcBorders>
              <w:top w:val="nil"/>
              <w:left w:val="nil"/>
              <w:bottom w:val="nil"/>
              <w:right w:val="nil"/>
            </w:tcBorders>
            <w:shd w:val="clear" w:color="auto" w:fill="auto"/>
            <w:noWrap/>
            <w:vAlign w:val="bottom"/>
          </w:tcPr>
          <w:p w14:paraId="531DAB19" w14:textId="704D0A30" w:rsidR="00A26814" w:rsidRPr="003E2D55" w:rsidRDefault="00A26814" w:rsidP="00A26814">
            <w:pPr>
              <w:spacing w:before="40" w:after="20"/>
              <w:jc w:val="right"/>
              <w:rPr>
                <w:rFonts w:cs="Arial"/>
                <w:sz w:val="18"/>
                <w:szCs w:val="18"/>
              </w:rPr>
            </w:pPr>
            <w:r w:rsidRPr="003E2D55">
              <w:rPr>
                <w:rFonts w:cs="Arial"/>
                <w:sz w:val="18"/>
                <w:szCs w:val="18"/>
              </w:rPr>
              <w:t>19,324,974</w:t>
            </w:r>
          </w:p>
        </w:tc>
        <w:tc>
          <w:tcPr>
            <w:tcW w:w="1361" w:type="dxa"/>
            <w:tcBorders>
              <w:top w:val="nil"/>
              <w:left w:val="nil"/>
              <w:bottom w:val="nil"/>
              <w:right w:val="nil"/>
            </w:tcBorders>
            <w:vAlign w:val="bottom"/>
          </w:tcPr>
          <w:p w14:paraId="3439CA34" w14:textId="568CC879" w:rsidR="00A26814" w:rsidRPr="003E2D55" w:rsidRDefault="00A26814" w:rsidP="00A26814">
            <w:pPr>
              <w:spacing w:before="40" w:after="20"/>
              <w:jc w:val="right"/>
              <w:rPr>
                <w:rFonts w:cs="Arial"/>
                <w:sz w:val="18"/>
                <w:szCs w:val="18"/>
              </w:rPr>
            </w:pPr>
            <w:r w:rsidRPr="003E2D55">
              <w:rPr>
                <w:rFonts w:cs="Arial"/>
                <w:sz w:val="18"/>
                <w:szCs w:val="18"/>
              </w:rPr>
              <w:t>30,856,750</w:t>
            </w:r>
          </w:p>
        </w:tc>
        <w:tc>
          <w:tcPr>
            <w:tcW w:w="1361" w:type="dxa"/>
            <w:tcBorders>
              <w:top w:val="nil"/>
              <w:left w:val="nil"/>
              <w:bottom w:val="nil"/>
              <w:right w:val="nil"/>
            </w:tcBorders>
            <w:shd w:val="clear" w:color="auto" w:fill="auto"/>
            <w:noWrap/>
            <w:vAlign w:val="bottom"/>
          </w:tcPr>
          <w:p w14:paraId="280F0ADA" w14:textId="71F3BFAB" w:rsidR="00A26814" w:rsidRPr="003E2D55" w:rsidRDefault="00A26814" w:rsidP="00A26814">
            <w:pPr>
              <w:spacing w:before="40" w:after="20"/>
              <w:jc w:val="right"/>
              <w:rPr>
                <w:rFonts w:cs="Arial"/>
                <w:sz w:val="18"/>
                <w:szCs w:val="18"/>
              </w:rPr>
            </w:pPr>
            <w:r w:rsidRPr="003E2D55">
              <w:rPr>
                <w:rFonts w:cs="Arial"/>
                <w:sz w:val="18"/>
                <w:szCs w:val="18"/>
              </w:rPr>
              <w:t>4,982,292</w:t>
            </w:r>
          </w:p>
        </w:tc>
        <w:tc>
          <w:tcPr>
            <w:tcW w:w="1361" w:type="dxa"/>
            <w:tcBorders>
              <w:top w:val="nil"/>
              <w:left w:val="nil"/>
              <w:bottom w:val="nil"/>
              <w:right w:val="nil"/>
            </w:tcBorders>
            <w:vAlign w:val="bottom"/>
          </w:tcPr>
          <w:p w14:paraId="64201E7E" w14:textId="2F0CEAAC" w:rsidR="00A26814" w:rsidRPr="003E2D55" w:rsidRDefault="00A26814" w:rsidP="00A26814">
            <w:pPr>
              <w:spacing w:before="40" w:after="20"/>
              <w:jc w:val="right"/>
              <w:rPr>
                <w:rFonts w:cs="Arial"/>
                <w:b/>
                <w:sz w:val="18"/>
                <w:szCs w:val="18"/>
              </w:rPr>
            </w:pPr>
            <w:r w:rsidRPr="003E2D55">
              <w:rPr>
                <w:rFonts w:cs="Arial"/>
                <w:b/>
                <w:sz w:val="18"/>
                <w:szCs w:val="18"/>
              </w:rPr>
              <w:t>4,980,634</w:t>
            </w:r>
          </w:p>
        </w:tc>
      </w:tr>
      <w:tr w:rsidR="00A26814" w:rsidRPr="003E2D55" w14:paraId="56F59422"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6140B067" w14:textId="77777777" w:rsidR="00A26814" w:rsidRPr="003E2D55" w:rsidRDefault="00A26814" w:rsidP="00A26814">
            <w:pPr>
              <w:spacing w:before="40" w:after="20"/>
              <w:rPr>
                <w:rFonts w:cs="Arial"/>
                <w:sz w:val="18"/>
                <w:szCs w:val="18"/>
              </w:rPr>
            </w:pPr>
            <w:r w:rsidRPr="003E2D55">
              <w:rPr>
                <w:rFonts w:cs="Arial"/>
                <w:sz w:val="18"/>
                <w:szCs w:val="18"/>
              </w:rPr>
              <w:t>Warrnambool C</w:t>
            </w:r>
          </w:p>
        </w:tc>
        <w:tc>
          <w:tcPr>
            <w:tcW w:w="1361" w:type="dxa"/>
            <w:tcBorders>
              <w:top w:val="nil"/>
              <w:left w:val="single" w:sz="18" w:space="0" w:color="5F497A" w:themeColor="accent4" w:themeShade="BF"/>
              <w:bottom w:val="nil"/>
              <w:right w:val="nil"/>
            </w:tcBorders>
            <w:shd w:val="clear" w:color="auto" w:fill="auto"/>
            <w:noWrap/>
            <w:vAlign w:val="bottom"/>
          </w:tcPr>
          <w:p w14:paraId="09BC4FAA" w14:textId="1D93A386" w:rsidR="00A26814" w:rsidRPr="003E2D55" w:rsidRDefault="00A26814" w:rsidP="00A26814">
            <w:pPr>
              <w:spacing w:before="40" w:after="20"/>
              <w:jc w:val="right"/>
              <w:rPr>
                <w:rFonts w:cs="Arial"/>
                <w:sz w:val="18"/>
                <w:szCs w:val="18"/>
              </w:rPr>
            </w:pPr>
            <w:r w:rsidRPr="003E2D55">
              <w:rPr>
                <w:rFonts w:cs="Arial"/>
                <w:sz w:val="18"/>
                <w:szCs w:val="18"/>
              </w:rPr>
              <w:t>44,080,929</w:t>
            </w:r>
          </w:p>
        </w:tc>
        <w:tc>
          <w:tcPr>
            <w:tcW w:w="1361" w:type="dxa"/>
            <w:tcBorders>
              <w:top w:val="nil"/>
              <w:left w:val="nil"/>
              <w:bottom w:val="nil"/>
              <w:right w:val="nil"/>
            </w:tcBorders>
            <w:shd w:val="clear" w:color="auto" w:fill="auto"/>
            <w:noWrap/>
            <w:vAlign w:val="bottom"/>
          </w:tcPr>
          <w:p w14:paraId="1848E3FC" w14:textId="43F519C1" w:rsidR="00A26814" w:rsidRPr="003E2D55" w:rsidRDefault="00A26814" w:rsidP="00A26814">
            <w:pPr>
              <w:spacing w:before="40" w:after="20"/>
              <w:jc w:val="right"/>
              <w:rPr>
                <w:rFonts w:cs="Arial"/>
                <w:sz w:val="18"/>
                <w:szCs w:val="18"/>
              </w:rPr>
            </w:pPr>
            <w:r w:rsidRPr="003E2D55">
              <w:rPr>
                <w:rFonts w:cs="Arial"/>
                <w:sz w:val="18"/>
                <w:szCs w:val="18"/>
              </w:rPr>
              <w:t>23,879,421</w:t>
            </w:r>
          </w:p>
        </w:tc>
        <w:tc>
          <w:tcPr>
            <w:tcW w:w="1361" w:type="dxa"/>
            <w:tcBorders>
              <w:top w:val="nil"/>
              <w:left w:val="nil"/>
              <w:bottom w:val="nil"/>
              <w:right w:val="nil"/>
            </w:tcBorders>
            <w:vAlign w:val="bottom"/>
          </w:tcPr>
          <w:p w14:paraId="3F5EE901" w14:textId="2CE9E54B" w:rsidR="00A26814" w:rsidRPr="003E2D55" w:rsidRDefault="00A26814" w:rsidP="00A26814">
            <w:pPr>
              <w:spacing w:before="40" w:after="20"/>
              <w:jc w:val="right"/>
              <w:rPr>
                <w:rFonts w:cs="Arial"/>
                <w:sz w:val="18"/>
                <w:szCs w:val="18"/>
              </w:rPr>
            </w:pPr>
            <w:r w:rsidRPr="003E2D55">
              <w:rPr>
                <w:rFonts w:cs="Arial"/>
                <w:sz w:val="18"/>
                <w:szCs w:val="18"/>
              </w:rPr>
              <w:t>20,201,508</w:t>
            </w:r>
          </w:p>
        </w:tc>
        <w:tc>
          <w:tcPr>
            <w:tcW w:w="1361" w:type="dxa"/>
            <w:tcBorders>
              <w:top w:val="nil"/>
              <w:left w:val="nil"/>
              <w:bottom w:val="nil"/>
              <w:right w:val="nil"/>
            </w:tcBorders>
            <w:shd w:val="clear" w:color="auto" w:fill="auto"/>
            <w:noWrap/>
            <w:vAlign w:val="bottom"/>
          </w:tcPr>
          <w:p w14:paraId="371D9684" w14:textId="240E4278" w:rsidR="00A26814" w:rsidRPr="003E2D55" w:rsidRDefault="00A26814" w:rsidP="00A26814">
            <w:pPr>
              <w:spacing w:before="40" w:after="20"/>
              <w:jc w:val="right"/>
              <w:rPr>
                <w:rFonts w:cs="Arial"/>
                <w:sz w:val="18"/>
                <w:szCs w:val="18"/>
              </w:rPr>
            </w:pPr>
            <w:r w:rsidRPr="003E2D55">
              <w:rPr>
                <w:rFonts w:cs="Arial"/>
                <w:sz w:val="18"/>
                <w:szCs w:val="18"/>
              </w:rPr>
              <w:t>3,261,841</w:t>
            </w:r>
          </w:p>
        </w:tc>
        <w:tc>
          <w:tcPr>
            <w:tcW w:w="1361" w:type="dxa"/>
            <w:tcBorders>
              <w:top w:val="nil"/>
              <w:left w:val="nil"/>
              <w:bottom w:val="nil"/>
              <w:right w:val="nil"/>
            </w:tcBorders>
            <w:vAlign w:val="bottom"/>
          </w:tcPr>
          <w:p w14:paraId="052426EA" w14:textId="5218AF5D" w:rsidR="00A26814" w:rsidRPr="003E2D55" w:rsidRDefault="00A26814" w:rsidP="00A26814">
            <w:pPr>
              <w:spacing w:before="40" w:after="20"/>
              <w:jc w:val="right"/>
              <w:rPr>
                <w:rFonts w:cs="Arial"/>
                <w:b/>
                <w:sz w:val="18"/>
                <w:szCs w:val="18"/>
              </w:rPr>
            </w:pPr>
            <w:r w:rsidRPr="003E2D55">
              <w:rPr>
                <w:rFonts w:cs="Arial"/>
                <w:b/>
                <w:sz w:val="18"/>
                <w:szCs w:val="18"/>
              </w:rPr>
              <w:t>3,260,756</w:t>
            </w:r>
          </w:p>
        </w:tc>
      </w:tr>
      <w:tr w:rsidR="00A26814" w:rsidRPr="003E2D55" w14:paraId="51A251F6"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2640ADE0" w14:textId="77777777" w:rsidR="00A26814" w:rsidRPr="003E2D55" w:rsidRDefault="00A26814" w:rsidP="00A26814">
            <w:pPr>
              <w:spacing w:before="40" w:after="20"/>
              <w:rPr>
                <w:rFonts w:cs="Arial"/>
                <w:sz w:val="18"/>
                <w:szCs w:val="18"/>
              </w:rPr>
            </w:pPr>
            <w:r w:rsidRPr="003E2D55">
              <w:rPr>
                <w:rFonts w:cs="Arial"/>
                <w:sz w:val="18"/>
                <w:szCs w:val="18"/>
              </w:rPr>
              <w:t>Wellington S</w:t>
            </w:r>
          </w:p>
        </w:tc>
        <w:tc>
          <w:tcPr>
            <w:tcW w:w="1361" w:type="dxa"/>
            <w:tcBorders>
              <w:top w:val="nil"/>
              <w:left w:val="single" w:sz="18" w:space="0" w:color="5F497A" w:themeColor="accent4" w:themeShade="BF"/>
              <w:bottom w:val="nil"/>
              <w:right w:val="nil"/>
            </w:tcBorders>
            <w:shd w:val="clear" w:color="auto" w:fill="auto"/>
            <w:noWrap/>
            <w:vAlign w:val="bottom"/>
          </w:tcPr>
          <w:p w14:paraId="1A5B35D5" w14:textId="180C5E5A" w:rsidR="00A26814" w:rsidRPr="003E2D55" w:rsidRDefault="00A26814" w:rsidP="00A26814">
            <w:pPr>
              <w:spacing w:before="40" w:after="20"/>
              <w:jc w:val="right"/>
              <w:rPr>
                <w:rFonts w:cs="Arial"/>
                <w:sz w:val="18"/>
                <w:szCs w:val="18"/>
              </w:rPr>
            </w:pPr>
            <w:r w:rsidRPr="003E2D55">
              <w:rPr>
                <w:rFonts w:cs="Arial"/>
                <w:sz w:val="18"/>
                <w:szCs w:val="18"/>
              </w:rPr>
              <w:t>92,189,708</w:t>
            </w:r>
          </w:p>
        </w:tc>
        <w:tc>
          <w:tcPr>
            <w:tcW w:w="1361" w:type="dxa"/>
            <w:tcBorders>
              <w:top w:val="nil"/>
              <w:left w:val="nil"/>
              <w:bottom w:val="nil"/>
              <w:right w:val="nil"/>
            </w:tcBorders>
            <w:shd w:val="clear" w:color="auto" w:fill="auto"/>
            <w:noWrap/>
            <w:vAlign w:val="bottom"/>
          </w:tcPr>
          <w:p w14:paraId="382CDC7C" w14:textId="2D8C54D3" w:rsidR="00A26814" w:rsidRPr="003E2D55" w:rsidRDefault="00A26814" w:rsidP="00A26814">
            <w:pPr>
              <w:spacing w:before="40" w:after="20"/>
              <w:jc w:val="right"/>
              <w:rPr>
                <w:rFonts w:cs="Arial"/>
                <w:sz w:val="18"/>
                <w:szCs w:val="18"/>
              </w:rPr>
            </w:pPr>
            <w:r w:rsidRPr="003E2D55">
              <w:rPr>
                <w:rFonts w:cs="Arial"/>
                <w:sz w:val="18"/>
                <w:szCs w:val="18"/>
              </w:rPr>
              <w:t>34,470,279</w:t>
            </w:r>
          </w:p>
        </w:tc>
        <w:tc>
          <w:tcPr>
            <w:tcW w:w="1361" w:type="dxa"/>
            <w:tcBorders>
              <w:top w:val="nil"/>
              <w:left w:val="nil"/>
              <w:bottom w:val="nil"/>
              <w:right w:val="nil"/>
            </w:tcBorders>
            <w:vAlign w:val="bottom"/>
          </w:tcPr>
          <w:p w14:paraId="2C134C0D" w14:textId="7B9EE9FB" w:rsidR="00A26814" w:rsidRPr="003E2D55" w:rsidRDefault="00A26814" w:rsidP="00A26814">
            <w:pPr>
              <w:spacing w:before="40" w:after="20"/>
              <w:jc w:val="right"/>
              <w:rPr>
                <w:rFonts w:cs="Arial"/>
                <w:sz w:val="18"/>
                <w:szCs w:val="18"/>
              </w:rPr>
            </w:pPr>
            <w:r w:rsidRPr="003E2D55">
              <w:rPr>
                <w:rFonts w:cs="Arial"/>
                <w:sz w:val="18"/>
                <w:szCs w:val="18"/>
              </w:rPr>
              <w:t>57,719,428</w:t>
            </w:r>
          </w:p>
        </w:tc>
        <w:tc>
          <w:tcPr>
            <w:tcW w:w="1361" w:type="dxa"/>
            <w:tcBorders>
              <w:top w:val="nil"/>
              <w:left w:val="nil"/>
              <w:bottom w:val="nil"/>
              <w:right w:val="nil"/>
            </w:tcBorders>
            <w:shd w:val="clear" w:color="auto" w:fill="auto"/>
            <w:noWrap/>
            <w:vAlign w:val="bottom"/>
          </w:tcPr>
          <w:p w14:paraId="7B5961BD" w14:textId="1A833F64" w:rsidR="00A26814" w:rsidRPr="003E2D55" w:rsidRDefault="00A26814" w:rsidP="00A26814">
            <w:pPr>
              <w:spacing w:before="40" w:after="20"/>
              <w:jc w:val="right"/>
              <w:rPr>
                <w:rFonts w:cs="Arial"/>
                <w:sz w:val="18"/>
                <w:szCs w:val="18"/>
              </w:rPr>
            </w:pPr>
            <w:r w:rsidRPr="003E2D55">
              <w:rPr>
                <w:rFonts w:cs="Arial"/>
                <w:sz w:val="18"/>
                <w:szCs w:val="18"/>
              </w:rPr>
              <w:t>9,319,681</w:t>
            </w:r>
          </w:p>
        </w:tc>
        <w:tc>
          <w:tcPr>
            <w:tcW w:w="1361" w:type="dxa"/>
            <w:tcBorders>
              <w:top w:val="nil"/>
              <w:left w:val="nil"/>
              <w:bottom w:val="nil"/>
              <w:right w:val="nil"/>
            </w:tcBorders>
            <w:vAlign w:val="bottom"/>
          </w:tcPr>
          <w:p w14:paraId="2F0799C1" w14:textId="3823A6E3" w:rsidR="00A26814" w:rsidRPr="003E2D55" w:rsidRDefault="00A26814" w:rsidP="00A26814">
            <w:pPr>
              <w:spacing w:before="40" w:after="20"/>
              <w:jc w:val="right"/>
              <w:rPr>
                <w:rFonts w:cs="Arial"/>
                <w:b/>
                <w:sz w:val="18"/>
                <w:szCs w:val="18"/>
              </w:rPr>
            </w:pPr>
            <w:r w:rsidRPr="003E2D55">
              <w:rPr>
                <w:rFonts w:cs="Arial"/>
                <w:b/>
                <w:sz w:val="18"/>
                <w:szCs w:val="18"/>
              </w:rPr>
              <w:t>9,316,579</w:t>
            </w:r>
          </w:p>
        </w:tc>
      </w:tr>
      <w:tr w:rsidR="00A26814" w:rsidRPr="003E2D55" w14:paraId="04F9E0A7"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5B2F23D5" w14:textId="77777777" w:rsidR="00A26814" w:rsidRPr="003E2D55" w:rsidRDefault="00A26814" w:rsidP="00A26814">
            <w:pPr>
              <w:spacing w:before="40" w:after="20"/>
              <w:rPr>
                <w:rFonts w:cs="Arial"/>
                <w:sz w:val="18"/>
                <w:szCs w:val="18"/>
              </w:rPr>
            </w:pPr>
            <w:r w:rsidRPr="003E2D55">
              <w:rPr>
                <w:rFonts w:cs="Arial"/>
                <w:sz w:val="18"/>
                <w:szCs w:val="18"/>
              </w:rPr>
              <w:t>West Wimmera S</w:t>
            </w:r>
          </w:p>
        </w:tc>
        <w:tc>
          <w:tcPr>
            <w:tcW w:w="1361" w:type="dxa"/>
            <w:tcBorders>
              <w:top w:val="nil"/>
              <w:left w:val="single" w:sz="18" w:space="0" w:color="5F497A" w:themeColor="accent4" w:themeShade="BF"/>
              <w:bottom w:val="nil"/>
              <w:right w:val="nil"/>
            </w:tcBorders>
            <w:shd w:val="clear" w:color="auto" w:fill="auto"/>
            <w:noWrap/>
            <w:vAlign w:val="bottom"/>
          </w:tcPr>
          <w:p w14:paraId="3A7E7793" w14:textId="4AC617D9" w:rsidR="00A26814" w:rsidRPr="003E2D55" w:rsidRDefault="00A26814" w:rsidP="00A26814">
            <w:pPr>
              <w:spacing w:before="40" w:after="20"/>
              <w:jc w:val="right"/>
              <w:rPr>
                <w:rFonts w:cs="Arial"/>
                <w:sz w:val="18"/>
                <w:szCs w:val="18"/>
              </w:rPr>
            </w:pPr>
            <w:r w:rsidRPr="003E2D55">
              <w:rPr>
                <w:rFonts w:cs="Arial"/>
                <w:sz w:val="18"/>
                <w:szCs w:val="18"/>
              </w:rPr>
              <w:t>27,272,569</w:t>
            </w:r>
          </w:p>
        </w:tc>
        <w:tc>
          <w:tcPr>
            <w:tcW w:w="1361" w:type="dxa"/>
            <w:tcBorders>
              <w:top w:val="nil"/>
              <w:left w:val="nil"/>
              <w:bottom w:val="nil"/>
              <w:right w:val="nil"/>
            </w:tcBorders>
            <w:shd w:val="clear" w:color="auto" w:fill="auto"/>
            <w:noWrap/>
            <w:vAlign w:val="bottom"/>
          </w:tcPr>
          <w:p w14:paraId="20BE0A09" w14:textId="2C8DC151" w:rsidR="00A26814" w:rsidRPr="003E2D55" w:rsidRDefault="00A26814" w:rsidP="00A26814">
            <w:pPr>
              <w:spacing w:before="40" w:after="20"/>
              <w:jc w:val="right"/>
              <w:rPr>
                <w:rFonts w:cs="Arial"/>
                <w:sz w:val="18"/>
                <w:szCs w:val="18"/>
              </w:rPr>
            </w:pPr>
            <w:r w:rsidRPr="003E2D55">
              <w:rPr>
                <w:rFonts w:cs="Arial"/>
                <w:sz w:val="18"/>
                <w:szCs w:val="18"/>
              </w:rPr>
              <w:t>4,522,436</w:t>
            </w:r>
          </w:p>
        </w:tc>
        <w:tc>
          <w:tcPr>
            <w:tcW w:w="1361" w:type="dxa"/>
            <w:tcBorders>
              <w:top w:val="nil"/>
              <w:left w:val="nil"/>
              <w:bottom w:val="nil"/>
              <w:right w:val="nil"/>
            </w:tcBorders>
            <w:vAlign w:val="bottom"/>
          </w:tcPr>
          <w:p w14:paraId="3593C79F" w14:textId="553DFFF7" w:rsidR="00A26814" w:rsidRPr="003E2D55" w:rsidRDefault="00A26814" w:rsidP="00A26814">
            <w:pPr>
              <w:spacing w:before="40" w:after="20"/>
              <w:jc w:val="right"/>
              <w:rPr>
                <w:rFonts w:cs="Arial"/>
                <w:sz w:val="18"/>
                <w:szCs w:val="18"/>
              </w:rPr>
            </w:pPr>
            <w:r w:rsidRPr="003E2D55">
              <w:rPr>
                <w:rFonts w:cs="Arial"/>
                <w:sz w:val="18"/>
                <w:szCs w:val="18"/>
              </w:rPr>
              <w:t>22,750,133</w:t>
            </w:r>
          </w:p>
        </w:tc>
        <w:tc>
          <w:tcPr>
            <w:tcW w:w="1361" w:type="dxa"/>
            <w:tcBorders>
              <w:top w:val="nil"/>
              <w:left w:val="nil"/>
              <w:bottom w:val="nil"/>
              <w:right w:val="nil"/>
            </w:tcBorders>
            <w:shd w:val="clear" w:color="auto" w:fill="auto"/>
            <w:noWrap/>
            <w:vAlign w:val="bottom"/>
          </w:tcPr>
          <w:p w14:paraId="015DFC20" w14:textId="469181C5" w:rsidR="00A26814" w:rsidRPr="003E2D55" w:rsidRDefault="00A26814" w:rsidP="00A26814">
            <w:pPr>
              <w:spacing w:before="40" w:after="20"/>
              <w:jc w:val="right"/>
              <w:rPr>
                <w:rFonts w:cs="Arial"/>
                <w:sz w:val="18"/>
                <w:szCs w:val="18"/>
              </w:rPr>
            </w:pPr>
            <w:r w:rsidRPr="003E2D55">
              <w:rPr>
                <w:rFonts w:cs="Arial"/>
                <w:sz w:val="18"/>
                <w:szCs w:val="18"/>
              </w:rPr>
              <w:t>3,673,355</w:t>
            </w:r>
          </w:p>
        </w:tc>
        <w:tc>
          <w:tcPr>
            <w:tcW w:w="1361" w:type="dxa"/>
            <w:tcBorders>
              <w:top w:val="nil"/>
              <w:left w:val="nil"/>
              <w:bottom w:val="nil"/>
              <w:right w:val="nil"/>
            </w:tcBorders>
            <w:vAlign w:val="bottom"/>
          </w:tcPr>
          <w:p w14:paraId="0D9E178B" w14:textId="572C30A4" w:rsidR="00A26814" w:rsidRPr="003E2D55" w:rsidRDefault="00A26814" w:rsidP="00A26814">
            <w:pPr>
              <w:spacing w:before="40" w:after="20"/>
              <w:jc w:val="right"/>
              <w:rPr>
                <w:rFonts w:cs="Arial"/>
                <w:b/>
                <w:sz w:val="18"/>
                <w:szCs w:val="18"/>
              </w:rPr>
            </w:pPr>
            <w:r w:rsidRPr="003E2D55">
              <w:rPr>
                <w:rFonts w:cs="Arial"/>
                <w:b/>
                <w:sz w:val="18"/>
                <w:szCs w:val="18"/>
              </w:rPr>
              <w:t>3,672,133</w:t>
            </w:r>
          </w:p>
        </w:tc>
      </w:tr>
      <w:tr w:rsidR="00A26814" w:rsidRPr="003E2D55" w14:paraId="2D48010D"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012C2BA5" w14:textId="77777777" w:rsidR="00A26814" w:rsidRPr="003E2D55" w:rsidRDefault="00A26814" w:rsidP="00A26814">
            <w:pPr>
              <w:spacing w:before="40" w:after="20"/>
              <w:rPr>
                <w:rFonts w:cs="Arial"/>
                <w:sz w:val="18"/>
                <w:szCs w:val="18"/>
              </w:rPr>
            </w:pPr>
            <w:r w:rsidRPr="003E2D55">
              <w:rPr>
                <w:rFonts w:cs="Arial"/>
                <w:sz w:val="18"/>
                <w:szCs w:val="18"/>
              </w:rPr>
              <w:t>Whitehorse C</w:t>
            </w:r>
          </w:p>
        </w:tc>
        <w:tc>
          <w:tcPr>
            <w:tcW w:w="1361" w:type="dxa"/>
            <w:tcBorders>
              <w:top w:val="nil"/>
              <w:left w:val="single" w:sz="18" w:space="0" w:color="5F497A" w:themeColor="accent4" w:themeShade="BF"/>
              <w:bottom w:val="nil"/>
              <w:right w:val="nil"/>
            </w:tcBorders>
            <w:shd w:val="clear" w:color="auto" w:fill="auto"/>
            <w:noWrap/>
            <w:vAlign w:val="bottom"/>
          </w:tcPr>
          <w:p w14:paraId="169300EB" w14:textId="5552E7C2" w:rsidR="00A26814" w:rsidRPr="003E2D55" w:rsidRDefault="00A26814" w:rsidP="00A26814">
            <w:pPr>
              <w:spacing w:before="40" w:after="20"/>
              <w:jc w:val="right"/>
              <w:rPr>
                <w:rFonts w:cs="Arial"/>
                <w:sz w:val="18"/>
                <w:szCs w:val="18"/>
              </w:rPr>
            </w:pPr>
            <w:r w:rsidRPr="003E2D55">
              <w:rPr>
                <w:rFonts w:cs="Arial"/>
                <w:sz w:val="18"/>
                <w:szCs w:val="18"/>
              </w:rPr>
              <w:t>181,833,125</w:t>
            </w:r>
          </w:p>
        </w:tc>
        <w:tc>
          <w:tcPr>
            <w:tcW w:w="1361" w:type="dxa"/>
            <w:tcBorders>
              <w:top w:val="nil"/>
              <w:left w:val="nil"/>
              <w:bottom w:val="nil"/>
              <w:right w:val="nil"/>
            </w:tcBorders>
            <w:shd w:val="clear" w:color="auto" w:fill="auto"/>
            <w:noWrap/>
            <w:vAlign w:val="bottom"/>
          </w:tcPr>
          <w:p w14:paraId="2096FA66" w14:textId="6891D1B2" w:rsidR="00A26814" w:rsidRPr="003E2D55" w:rsidRDefault="00A26814" w:rsidP="00A26814">
            <w:pPr>
              <w:spacing w:before="40" w:after="20"/>
              <w:jc w:val="right"/>
              <w:rPr>
                <w:rFonts w:cs="Arial"/>
                <w:sz w:val="18"/>
                <w:szCs w:val="18"/>
              </w:rPr>
            </w:pPr>
            <w:r w:rsidRPr="003E2D55">
              <w:rPr>
                <w:rFonts w:cs="Arial"/>
                <w:sz w:val="18"/>
                <w:szCs w:val="18"/>
              </w:rPr>
              <w:t>172,840,761</w:t>
            </w:r>
          </w:p>
        </w:tc>
        <w:tc>
          <w:tcPr>
            <w:tcW w:w="1361" w:type="dxa"/>
            <w:tcBorders>
              <w:top w:val="nil"/>
              <w:left w:val="nil"/>
              <w:bottom w:val="nil"/>
              <w:right w:val="nil"/>
            </w:tcBorders>
            <w:vAlign w:val="bottom"/>
          </w:tcPr>
          <w:p w14:paraId="5B10D92B" w14:textId="3D2679CC" w:rsidR="00A26814" w:rsidRPr="003E2D55" w:rsidRDefault="00A26814" w:rsidP="00A26814">
            <w:pPr>
              <w:spacing w:before="40" w:after="20"/>
              <w:jc w:val="right"/>
              <w:rPr>
                <w:rFonts w:cs="Arial"/>
                <w:sz w:val="18"/>
                <w:szCs w:val="18"/>
              </w:rPr>
            </w:pPr>
            <w:r w:rsidRPr="003E2D55">
              <w:rPr>
                <w:rFonts w:cs="Arial"/>
                <w:sz w:val="18"/>
                <w:szCs w:val="18"/>
              </w:rPr>
              <w:t>8,992,364</w:t>
            </w:r>
          </w:p>
        </w:tc>
        <w:tc>
          <w:tcPr>
            <w:tcW w:w="1361" w:type="dxa"/>
            <w:tcBorders>
              <w:top w:val="nil"/>
              <w:left w:val="nil"/>
              <w:bottom w:val="nil"/>
              <w:right w:val="nil"/>
            </w:tcBorders>
            <w:shd w:val="clear" w:color="auto" w:fill="auto"/>
            <w:noWrap/>
            <w:vAlign w:val="bottom"/>
          </w:tcPr>
          <w:p w14:paraId="306836B7" w14:textId="081B62AD" w:rsidR="00A26814" w:rsidRPr="003E2D55" w:rsidRDefault="00A26814" w:rsidP="00A26814">
            <w:pPr>
              <w:spacing w:before="40" w:after="20"/>
              <w:jc w:val="right"/>
              <w:rPr>
                <w:rFonts w:cs="Arial"/>
                <w:sz w:val="18"/>
                <w:szCs w:val="18"/>
              </w:rPr>
            </w:pPr>
            <w:r w:rsidRPr="003E2D55">
              <w:rPr>
                <w:rFonts w:cs="Arial"/>
                <w:sz w:val="18"/>
                <w:szCs w:val="18"/>
              </w:rPr>
              <w:t>3,727,420</w:t>
            </w:r>
          </w:p>
        </w:tc>
        <w:tc>
          <w:tcPr>
            <w:tcW w:w="1361" w:type="dxa"/>
            <w:tcBorders>
              <w:top w:val="nil"/>
              <w:left w:val="nil"/>
              <w:bottom w:val="nil"/>
              <w:right w:val="nil"/>
            </w:tcBorders>
            <w:vAlign w:val="bottom"/>
          </w:tcPr>
          <w:p w14:paraId="2907DA22" w14:textId="1DA538FA" w:rsidR="00A26814" w:rsidRPr="003E2D55" w:rsidRDefault="00A26814" w:rsidP="00A26814">
            <w:pPr>
              <w:spacing w:before="40" w:after="20"/>
              <w:jc w:val="right"/>
              <w:rPr>
                <w:rFonts w:cs="Arial"/>
                <w:b/>
                <w:sz w:val="18"/>
                <w:szCs w:val="18"/>
              </w:rPr>
            </w:pPr>
            <w:r w:rsidRPr="003E2D55">
              <w:rPr>
                <w:rFonts w:cs="Arial"/>
                <w:b/>
                <w:sz w:val="18"/>
                <w:szCs w:val="18"/>
              </w:rPr>
              <w:t>3,727,420</w:t>
            </w:r>
          </w:p>
        </w:tc>
      </w:tr>
      <w:tr w:rsidR="00A26814" w:rsidRPr="003E2D55" w14:paraId="41CE777D"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3E5D1A20" w14:textId="77777777" w:rsidR="00A26814" w:rsidRPr="003E2D55" w:rsidRDefault="00A26814" w:rsidP="00A26814">
            <w:pPr>
              <w:spacing w:before="40" w:after="20"/>
              <w:rPr>
                <w:rFonts w:cs="Arial"/>
                <w:sz w:val="18"/>
                <w:szCs w:val="18"/>
              </w:rPr>
            </w:pPr>
            <w:r w:rsidRPr="003E2D55">
              <w:rPr>
                <w:rFonts w:cs="Arial"/>
                <w:sz w:val="18"/>
                <w:szCs w:val="18"/>
              </w:rPr>
              <w:t>Whittlesea C</w:t>
            </w:r>
          </w:p>
        </w:tc>
        <w:tc>
          <w:tcPr>
            <w:tcW w:w="1361" w:type="dxa"/>
            <w:tcBorders>
              <w:top w:val="nil"/>
              <w:left w:val="single" w:sz="18" w:space="0" w:color="5F497A" w:themeColor="accent4" w:themeShade="BF"/>
              <w:bottom w:val="nil"/>
              <w:right w:val="nil"/>
            </w:tcBorders>
            <w:shd w:val="clear" w:color="auto" w:fill="auto"/>
            <w:noWrap/>
            <w:vAlign w:val="bottom"/>
          </w:tcPr>
          <w:p w14:paraId="14C025A1" w14:textId="66879626" w:rsidR="00A26814" w:rsidRPr="003E2D55" w:rsidRDefault="00A26814" w:rsidP="00A26814">
            <w:pPr>
              <w:spacing w:before="40" w:after="20"/>
              <w:jc w:val="right"/>
              <w:rPr>
                <w:rFonts w:cs="Arial"/>
                <w:sz w:val="18"/>
                <w:szCs w:val="18"/>
              </w:rPr>
            </w:pPr>
            <w:r w:rsidRPr="003E2D55">
              <w:rPr>
                <w:rFonts w:cs="Arial"/>
                <w:sz w:val="18"/>
                <w:szCs w:val="18"/>
              </w:rPr>
              <w:t>216,824,736</w:t>
            </w:r>
          </w:p>
        </w:tc>
        <w:tc>
          <w:tcPr>
            <w:tcW w:w="1361" w:type="dxa"/>
            <w:tcBorders>
              <w:top w:val="nil"/>
              <w:left w:val="nil"/>
              <w:bottom w:val="nil"/>
              <w:right w:val="nil"/>
            </w:tcBorders>
            <w:shd w:val="clear" w:color="auto" w:fill="auto"/>
            <w:noWrap/>
            <w:vAlign w:val="bottom"/>
          </w:tcPr>
          <w:p w14:paraId="2A704976" w14:textId="7A982D02" w:rsidR="00A26814" w:rsidRPr="003E2D55" w:rsidRDefault="00A26814" w:rsidP="00A26814">
            <w:pPr>
              <w:spacing w:before="40" w:after="20"/>
              <w:jc w:val="right"/>
              <w:rPr>
                <w:rFonts w:cs="Arial"/>
                <w:sz w:val="18"/>
                <w:szCs w:val="18"/>
              </w:rPr>
            </w:pPr>
            <w:r w:rsidRPr="003E2D55">
              <w:rPr>
                <w:rFonts w:cs="Arial"/>
                <w:sz w:val="18"/>
                <w:szCs w:val="18"/>
              </w:rPr>
              <w:t>138,314,840</w:t>
            </w:r>
          </w:p>
        </w:tc>
        <w:tc>
          <w:tcPr>
            <w:tcW w:w="1361" w:type="dxa"/>
            <w:tcBorders>
              <w:top w:val="nil"/>
              <w:left w:val="nil"/>
              <w:bottom w:val="nil"/>
              <w:right w:val="nil"/>
            </w:tcBorders>
            <w:vAlign w:val="bottom"/>
          </w:tcPr>
          <w:p w14:paraId="30BF01A5" w14:textId="3B039392" w:rsidR="00A26814" w:rsidRPr="003E2D55" w:rsidRDefault="00A26814" w:rsidP="00A26814">
            <w:pPr>
              <w:spacing w:before="40" w:after="20"/>
              <w:jc w:val="right"/>
              <w:rPr>
                <w:rFonts w:cs="Arial"/>
                <w:sz w:val="18"/>
                <w:szCs w:val="18"/>
              </w:rPr>
            </w:pPr>
            <w:r w:rsidRPr="003E2D55">
              <w:rPr>
                <w:rFonts w:cs="Arial"/>
                <w:sz w:val="18"/>
                <w:szCs w:val="18"/>
              </w:rPr>
              <w:t>78,509,896</w:t>
            </w:r>
          </w:p>
        </w:tc>
        <w:tc>
          <w:tcPr>
            <w:tcW w:w="1361" w:type="dxa"/>
            <w:tcBorders>
              <w:top w:val="nil"/>
              <w:left w:val="nil"/>
              <w:bottom w:val="nil"/>
              <w:right w:val="nil"/>
            </w:tcBorders>
            <w:shd w:val="clear" w:color="auto" w:fill="auto"/>
            <w:noWrap/>
            <w:vAlign w:val="bottom"/>
          </w:tcPr>
          <w:p w14:paraId="2AAEDF40" w14:textId="13412CF8" w:rsidR="00A26814" w:rsidRPr="003E2D55" w:rsidRDefault="00A26814" w:rsidP="00A26814">
            <w:pPr>
              <w:spacing w:before="40" w:after="20"/>
              <w:jc w:val="right"/>
              <w:rPr>
                <w:rFonts w:cs="Arial"/>
                <w:sz w:val="18"/>
                <w:szCs w:val="18"/>
              </w:rPr>
            </w:pPr>
            <w:r w:rsidRPr="003E2D55">
              <w:rPr>
                <w:rFonts w:cs="Arial"/>
                <w:sz w:val="18"/>
                <w:szCs w:val="18"/>
              </w:rPr>
              <w:t>12,676,619</w:t>
            </w:r>
          </w:p>
        </w:tc>
        <w:tc>
          <w:tcPr>
            <w:tcW w:w="1361" w:type="dxa"/>
            <w:tcBorders>
              <w:top w:val="nil"/>
              <w:left w:val="nil"/>
              <w:bottom w:val="nil"/>
              <w:right w:val="nil"/>
            </w:tcBorders>
            <w:vAlign w:val="bottom"/>
          </w:tcPr>
          <w:p w14:paraId="11B75898" w14:textId="4666F345" w:rsidR="00A26814" w:rsidRPr="003E2D55" w:rsidRDefault="00A26814" w:rsidP="00A26814">
            <w:pPr>
              <w:spacing w:before="40" w:after="20"/>
              <w:jc w:val="right"/>
              <w:rPr>
                <w:rFonts w:cs="Arial"/>
                <w:b/>
                <w:sz w:val="18"/>
                <w:szCs w:val="18"/>
              </w:rPr>
            </w:pPr>
            <w:r w:rsidRPr="003E2D55">
              <w:rPr>
                <w:rFonts w:cs="Arial"/>
                <w:b/>
                <w:sz w:val="18"/>
                <w:szCs w:val="18"/>
              </w:rPr>
              <w:t>12,672,400</w:t>
            </w:r>
          </w:p>
        </w:tc>
      </w:tr>
      <w:tr w:rsidR="00A26814" w:rsidRPr="003E2D55" w14:paraId="14357ED5"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28CAE010" w14:textId="77777777" w:rsidR="00A26814" w:rsidRPr="003E2D55" w:rsidRDefault="00A26814" w:rsidP="00A26814">
            <w:pPr>
              <w:spacing w:before="40" w:after="20"/>
              <w:rPr>
                <w:rFonts w:cs="Arial"/>
                <w:sz w:val="18"/>
                <w:szCs w:val="18"/>
              </w:rPr>
            </w:pPr>
            <w:r w:rsidRPr="003E2D55">
              <w:rPr>
                <w:rFonts w:cs="Arial"/>
                <w:sz w:val="18"/>
                <w:szCs w:val="18"/>
              </w:rPr>
              <w:t>Wodonga C</w:t>
            </w:r>
          </w:p>
        </w:tc>
        <w:tc>
          <w:tcPr>
            <w:tcW w:w="1361" w:type="dxa"/>
            <w:tcBorders>
              <w:top w:val="nil"/>
              <w:left w:val="single" w:sz="18" w:space="0" w:color="5F497A" w:themeColor="accent4" w:themeShade="BF"/>
              <w:bottom w:val="nil"/>
              <w:right w:val="nil"/>
            </w:tcBorders>
            <w:shd w:val="clear" w:color="auto" w:fill="auto"/>
            <w:noWrap/>
            <w:vAlign w:val="bottom"/>
          </w:tcPr>
          <w:p w14:paraId="0A027DA3" w14:textId="768F7B59" w:rsidR="00A26814" w:rsidRPr="003E2D55" w:rsidRDefault="00A26814" w:rsidP="00A26814">
            <w:pPr>
              <w:spacing w:before="40" w:after="20"/>
              <w:jc w:val="right"/>
              <w:rPr>
                <w:rFonts w:cs="Arial"/>
                <w:sz w:val="18"/>
                <w:szCs w:val="18"/>
              </w:rPr>
            </w:pPr>
            <w:r w:rsidRPr="003E2D55">
              <w:rPr>
                <w:rFonts w:cs="Arial"/>
                <w:sz w:val="18"/>
                <w:szCs w:val="18"/>
              </w:rPr>
              <w:t>50,454,181</w:t>
            </w:r>
          </w:p>
        </w:tc>
        <w:tc>
          <w:tcPr>
            <w:tcW w:w="1361" w:type="dxa"/>
            <w:tcBorders>
              <w:top w:val="nil"/>
              <w:left w:val="nil"/>
              <w:bottom w:val="nil"/>
              <w:right w:val="nil"/>
            </w:tcBorders>
            <w:shd w:val="clear" w:color="auto" w:fill="auto"/>
            <w:noWrap/>
            <w:vAlign w:val="bottom"/>
          </w:tcPr>
          <w:p w14:paraId="1C9A960E" w14:textId="797C0B00" w:rsidR="00A26814" w:rsidRPr="003E2D55" w:rsidRDefault="00A26814" w:rsidP="00A26814">
            <w:pPr>
              <w:spacing w:before="40" w:after="20"/>
              <w:jc w:val="right"/>
              <w:rPr>
                <w:rFonts w:cs="Arial"/>
                <w:sz w:val="18"/>
                <w:szCs w:val="18"/>
              </w:rPr>
            </w:pPr>
            <w:r w:rsidRPr="003E2D55">
              <w:rPr>
                <w:rFonts w:cs="Arial"/>
                <w:sz w:val="18"/>
                <w:szCs w:val="18"/>
              </w:rPr>
              <w:t>22,869,631</w:t>
            </w:r>
          </w:p>
        </w:tc>
        <w:tc>
          <w:tcPr>
            <w:tcW w:w="1361" w:type="dxa"/>
            <w:tcBorders>
              <w:top w:val="nil"/>
              <w:left w:val="nil"/>
              <w:bottom w:val="nil"/>
              <w:right w:val="nil"/>
            </w:tcBorders>
            <w:vAlign w:val="bottom"/>
          </w:tcPr>
          <w:p w14:paraId="717B67A2" w14:textId="26BF0101" w:rsidR="00A26814" w:rsidRPr="003E2D55" w:rsidRDefault="00A26814" w:rsidP="00A26814">
            <w:pPr>
              <w:spacing w:before="40" w:after="20"/>
              <w:jc w:val="right"/>
              <w:rPr>
                <w:rFonts w:cs="Arial"/>
                <w:sz w:val="18"/>
                <w:szCs w:val="18"/>
              </w:rPr>
            </w:pPr>
            <w:r w:rsidRPr="003E2D55">
              <w:rPr>
                <w:rFonts w:cs="Arial"/>
                <w:sz w:val="18"/>
                <w:szCs w:val="18"/>
              </w:rPr>
              <w:t>27,584,550</w:t>
            </w:r>
          </w:p>
        </w:tc>
        <w:tc>
          <w:tcPr>
            <w:tcW w:w="1361" w:type="dxa"/>
            <w:tcBorders>
              <w:top w:val="nil"/>
              <w:left w:val="nil"/>
              <w:bottom w:val="nil"/>
              <w:right w:val="nil"/>
            </w:tcBorders>
            <w:shd w:val="clear" w:color="auto" w:fill="auto"/>
            <w:noWrap/>
            <w:vAlign w:val="bottom"/>
          </w:tcPr>
          <w:p w14:paraId="264395CF" w14:textId="08963C8A" w:rsidR="00A26814" w:rsidRPr="003E2D55" w:rsidRDefault="00A26814" w:rsidP="00A26814">
            <w:pPr>
              <w:spacing w:before="40" w:after="20"/>
              <w:jc w:val="right"/>
              <w:rPr>
                <w:rFonts w:cs="Arial"/>
                <w:sz w:val="18"/>
                <w:szCs w:val="18"/>
              </w:rPr>
            </w:pPr>
            <w:r w:rsidRPr="003E2D55">
              <w:rPr>
                <w:rFonts w:cs="Arial"/>
                <w:sz w:val="18"/>
                <w:szCs w:val="18"/>
              </w:rPr>
              <w:t>4,453,946</w:t>
            </w:r>
          </w:p>
        </w:tc>
        <w:tc>
          <w:tcPr>
            <w:tcW w:w="1361" w:type="dxa"/>
            <w:tcBorders>
              <w:top w:val="nil"/>
              <w:left w:val="nil"/>
              <w:bottom w:val="nil"/>
              <w:right w:val="nil"/>
            </w:tcBorders>
            <w:vAlign w:val="bottom"/>
          </w:tcPr>
          <w:p w14:paraId="09D6E5AB" w14:textId="069D1DF4" w:rsidR="00A26814" w:rsidRPr="003E2D55" w:rsidRDefault="00A26814" w:rsidP="00A26814">
            <w:pPr>
              <w:spacing w:before="40" w:after="20"/>
              <w:jc w:val="right"/>
              <w:rPr>
                <w:rFonts w:cs="Arial"/>
                <w:b/>
                <w:sz w:val="18"/>
                <w:szCs w:val="18"/>
              </w:rPr>
            </w:pPr>
            <w:r w:rsidRPr="003E2D55">
              <w:rPr>
                <w:rFonts w:cs="Arial"/>
                <w:b/>
                <w:sz w:val="18"/>
                <w:szCs w:val="18"/>
              </w:rPr>
              <w:t>4,452,464</w:t>
            </w:r>
          </w:p>
        </w:tc>
      </w:tr>
      <w:tr w:rsidR="00A26814" w:rsidRPr="003E2D55" w14:paraId="46C70A61"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634F5D36" w14:textId="77777777" w:rsidR="00A26814" w:rsidRPr="003E2D55" w:rsidRDefault="00A26814" w:rsidP="00A26814">
            <w:pPr>
              <w:spacing w:before="40" w:after="20"/>
              <w:rPr>
                <w:rFonts w:cs="Arial"/>
                <w:sz w:val="18"/>
                <w:szCs w:val="18"/>
              </w:rPr>
            </w:pPr>
            <w:r w:rsidRPr="003E2D55">
              <w:rPr>
                <w:rFonts w:cs="Arial"/>
                <w:sz w:val="18"/>
                <w:szCs w:val="18"/>
              </w:rPr>
              <w:t>Wyndham C</w:t>
            </w:r>
          </w:p>
        </w:tc>
        <w:tc>
          <w:tcPr>
            <w:tcW w:w="1361" w:type="dxa"/>
            <w:tcBorders>
              <w:top w:val="nil"/>
              <w:left w:val="single" w:sz="18" w:space="0" w:color="5F497A" w:themeColor="accent4" w:themeShade="BF"/>
              <w:bottom w:val="nil"/>
              <w:right w:val="nil"/>
            </w:tcBorders>
            <w:shd w:val="clear" w:color="auto" w:fill="auto"/>
            <w:noWrap/>
            <w:vAlign w:val="bottom"/>
          </w:tcPr>
          <w:p w14:paraId="76B7C46B" w14:textId="5492C65F" w:rsidR="00A26814" w:rsidRPr="003E2D55" w:rsidRDefault="00A26814" w:rsidP="00A26814">
            <w:pPr>
              <w:spacing w:before="40" w:after="20"/>
              <w:jc w:val="right"/>
              <w:rPr>
                <w:rFonts w:cs="Arial"/>
                <w:sz w:val="18"/>
                <w:szCs w:val="18"/>
              </w:rPr>
            </w:pPr>
            <w:r w:rsidRPr="003E2D55">
              <w:rPr>
                <w:rFonts w:cs="Arial"/>
                <w:sz w:val="18"/>
                <w:szCs w:val="18"/>
              </w:rPr>
              <w:t>244,561,483</w:t>
            </w:r>
          </w:p>
        </w:tc>
        <w:tc>
          <w:tcPr>
            <w:tcW w:w="1361" w:type="dxa"/>
            <w:tcBorders>
              <w:top w:val="nil"/>
              <w:left w:val="nil"/>
              <w:bottom w:val="nil"/>
              <w:right w:val="nil"/>
            </w:tcBorders>
            <w:shd w:val="clear" w:color="auto" w:fill="auto"/>
            <w:noWrap/>
            <w:vAlign w:val="bottom"/>
          </w:tcPr>
          <w:p w14:paraId="02F73AFB" w14:textId="1DD11536" w:rsidR="00A26814" w:rsidRPr="003E2D55" w:rsidRDefault="00A26814" w:rsidP="00A26814">
            <w:pPr>
              <w:spacing w:before="40" w:after="20"/>
              <w:jc w:val="right"/>
              <w:rPr>
                <w:rFonts w:cs="Arial"/>
                <w:sz w:val="18"/>
                <w:szCs w:val="18"/>
              </w:rPr>
            </w:pPr>
            <w:r w:rsidRPr="003E2D55">
              <w:rPr>
                <w:rFonts w:cs="Arial"/>
                <w:sz w:val="18"/>
                <w:szCs w:val="18"/>
              </w:rPr>
              <w:t>145,917,021</w:t>
            </w:r>
          </w:p>
        </w:tc>
        <w:tc>
          <w:tcPr>
            <w:tcW w:w="1361" w:type="dxa"/>
            <w:tcBorders>
              <w:top w:val="nil"/>
              <w:left w:val="nil"/>
              <w:bottom w:val="nil"/>
              <w:right w:val="nil"/>
            </w:tcBorders>
            <w:vAlign w:val="bottom"/>
          </w:tcPr>
          <w:p w14:paraId="619E5745" w14:textId="79278544" w:rsidR="00A26814" w:rsidRPr="003E2D55" w:rsidRDefault="00A26814" w:rsidP="00A26814">
            <w:pPr>
              <w:spacing w:before="40" w:after="20"/>
              <w:jc w:val="right"/>
              <w:rPr>
                <w:rFonts w:cs="Arial"/>
                <w:sz w:val="18"/>
                <w:szCs w:val="18"/>
              </w:rPr>
            </w:pPr>
            <w:r w:rsidRPr="003E2D55">
              <w:rPr>
                <w:rFonts w:cs="Arial"/>
                <w:sz w:val="18"/>
                <w:szCs w:val="18"/>
              </w:rPr>
              <w:t>98,644,462</w:t>
            </w:r>
          </w:p>
        </w:tc>
        <w:tc>
          <w:tcPr>
            <w:tcW w:w="1361" w:type="dxa"/>
            <w:tcBorders>
              <w:top w:val="nil"/>
              <w:left w:val="nil"/>
              <w:bottom w:val="nil"/>
              <w:right w:val="nil"/>
            </w:tcBorders>
            <w:shd w:val="clear" w:color="auto" w:fill="auto"/>
            <w:noWrap/>
            <w:vAlign w:val="bottom"/>
          </w:tcPr>
          <w:p w14:paraId="1286D2BB" w14:textId="7C307AEF" w:rsidR="00A26814" w:rsidRPr="003E2D55" w:rsidRDefault="00A26814" w:rsidP="00A26814">
            <w:pPr>
              <w:spacing w:before="40" w:after="20"/>
              <w:jc w:val="right"/>
              <w:rPr>
                <w:rFonts w:cs="Arial"/>
                <w:sz w:val="18"/>
                <w:szCs w:val="18"/>
              </w:rPr>
            </w:pPr>
            <w:r w:rsidRPr="003E2D55">
              <w:rPr>
                <w:rFonts w:cs="Arial"/>
                <w:sz w:val="18"/>
                <w:szCs w:val="18"/>
              </w:rPr>
              <w:t>15,927,651</w:t>
            </w:r>
          </w:p>
        </w:tc>
        <w:tc>
          <w:tcPr>
            <w:tcW w:w="1361" w:type="dxa"/>
            <w:tcBorders>
              <w:top w:val="nil"/>
              <w:left w:val="nil"/>
              <w:bottom w:val="nil"/>
              <w:right w:val="nil"/>
            </w:tcBorders>
            <w:vAlign w:val="bottom"/>
          </w:tcPr>
          <w:p w14:paraId="594F0030" w14:textId="6AE91F21" w:rsidR="00A26814" w:rsidRPr="003E2D55" w:rsidRDefault="00A26814" w:rsidP="00A26814">
            <w:pPr>
              <w:spacing w:before="40" w:after="20"/>
              <w:jc w:val="right"/>
              <w:rPr>
                <w:rFonts w:cs="Arial"/>
                <w:b/>
                <w:sz w:val="18"/>
                <w:szCs w:val="18"/>
              </w:rPr>
            </w:pPr>
            <w:r w:rsidRPr="003E2D55">
              <w:rPr>
                <w:rFonts w:cs="Arial"/>
                <w:b/>
                <w:sz w:val="18"/>
                <w:szCs w:val="18"/>
              </w:rPr>
              <w:t>15,922,350</w:t>
            </w:r>
          </w:p>
        </w:tc>
      </w:tr>
      <w:tr w:rsidR="00A26814" w:rsidRPr="003E2D55" w14:paraId="1282E828" w14:textId="77777777" w:rsidTr="00DF175F">
        <w:tc>
          <w:tcPr>
            <w:tcW w:w="2268" w:type="dxa"/>
            <w:tcBorders>
              <w:top w:val="nil"/>
              <w:left w:val="nil"/>
              <w:bottom w:val="nil"/>
              <w:right w:val="single" w:sz="18" w:space="0" w:color="5F497A" w:themeColor="accent4" w:themeShade="BF"/>
            </w:tcBorders>
            <w:shd w:val="clear" w:color="auto" w:fill="auto"/>
            <w:noWrap/>
            <w:vAlign w:val="center"/>
          </w:tcPr>
          <w:p w14:paraId="5CE5F604" w14:textId="77777777" w:rsidR="00A26814" w:rsidRPr="003E2D55" w:rsidRDefault="00A26814" w:rsidP="00A26814">
            <w:pPr>
              <w:spacing w:before="40" w:after="20"/>
              <w:rPr>
                <w:rFonts w:cs="Arial"/>
                <w:sz w:val="18"/>
                <w:szCs w:val="18"/>
              </w:rPr>
            </w:pPr>
            <w:r w:rsidRPr="003E2D55">
              <w:rPr>
                <w:rFonts w:cs="Arial"/>
                <w:sz w:val="18"/>
                <w:szCs w:val="18"/>
              </w:rPr>
              <w:t>Yarra C</w:t>
            </w:r>
          </w:p>
        </w:tc>
        <w:tc>
          <w:tcPr>
            <w:tcW w:w="1361" w:type="dxa"/>
            <w:tcBorders>
              <w:top w:val="nil"/>
              <w:left w:val="single" w:sz="18" w:space="0" w:color="5F497A" w:themeColor="accent4" w:themeShade="BF"/>
              <w:bottom w:val="nil"/>
              <w:right w:val="nil"/>
            </w:tcBorders>
            <w:shd w:val="clear" w:color="auto" w:fill="auto"/>
            <w:noWrap/>
            <w:vAlign w:val="bottom"/>
          </w:tcPr>
          <w:p w14:paraId="7D1BDBEE" w14:textId="0C5C1C05" w:rsidR="00A26814" w:rsidRPr="003E2D55" w:rsidRDefault="00A26814" w:rsidP="00A26814">
            <w:pPr>
              <w:spacing w:before="40" w:after="20"/>
              <w:jc w:val="right"/>
              <w:rPr>
                <w:rFonts w:cs="Arial"/>
                <w:sz w:val="18"/>
                <w:szCs w:val="18"/>
              </w:rPr>
            </w:pPr>
            <w:r w:rsidRPr="003E2D55">
              <w:rPr>
                <w:rFonts w:cs="Arial"/>
                <w:sz w:val="18"/>
                <w:szCs w:val="18"/>
              </w:rPr>
              <w:t>103,989,957</w:t>
            </w:r>
          </w:p>
        </w:tc>
        <w:tc>
          <w:tcPr>
            <w:tcW w:w="1361" w:type="dxa"/>
            <w:tcBorders>
              <w:top w:val="nil"/>
              <w:left w:val="nil"/>
              <w:bottom w:val="nil"/>
              <w:right w:val="nil"/>
            </w:tcBorders>
            <w:shd w:val="clear" w:color="auto" w:fill="auto"/>
            <w:noWrap/>
            <w:vAlign w:val="bottom"/>
          </w:tcPr>
          <w:p w14:paraId="30D1298E" w14:textId="44AB9600" w:rsidR="00A26814" w:rsidRPr="003E2D55" w:rsidRDefault="00A26814" w:rsidP="00A26814">
            <w:pPr>
              <w:spacing w:before="40" w:after="20"/>
              <w:jc w:val="right"/>
              <w:rPr>
                <w:rFonts w:cs="Arial"/>
                <w:sz w:val="18"/>
                <w:szCs w:val="18"/>
              </w:rPr>
            </w:pPr>
            <w:r w:rsidRPr="003E2D55">
              <w:rPr>
                <w:rFonts w:cs="Arial"/>
                <w:sz w:val="18"/>
                <w:szCs w:val="18"/>
              </w:rPr>
              <w:t>143,225,646</w:t>
            </w:r>
          </w:p>
        </w:tc>
        <w:tc>
          <w:tcPr>
            <w:tcW w:w="1361" w:type="dxa"/>
            <w:tcBorders>
              <w:top w:val="nil"/>
              <w:left w:val="nil"/>
              <w:bottom w:val="nil"/>
              <w:right w:val="nil"/>
            </w:tcBorders>
            <w:vAlign w:val="bottom"/>
          </w:tcPr>
          <w:p w14:paraId="6333FC3C" w14:textId="05A661F5" w:rsidR="00A26814" w:rsidRPr="003E2D55" w:rsidRDefault="00A26814" w:rsidP="00A26814">
            <w:pPr>
              <w:spacing w:before="40" w:after="20"/>
              <w:jc w:val="right"/>
              <w:rPr>
                <w:rFonts w:cs="Arial"/>
                <w:sz w:val="18"/>
                <w:szCs w:val="18"/>
              </w:rPr>
            </w:pPr>
            <w:r w:rsidRPr="003E2D55">
              <w:rPr>
                <w:rFonts w:cs="Arial"/>
                <w:sz w:val="18"/>
                <w:szCs w:val="18"/>
              </w:rPr>
              <w:t>-39,235,689</w:t>
            </w:r>
          </w:p>
        </w:tc>
        <w:tc>
          <w:tcPr>
            <w:tcW w:w="1361" w:type="dxa"/>
            <w:tcBorders>
              <w:top w:val="nil"/>
              <w:left w:val="nil"/>
              <w:bottom w:val="nil"/>
              <w:right w:val="nil"/>
            </w:tcBorders>
            <w:shd w:val="clear" w:color="auto" w:fill="auto"/>
            <w:noWrap/>
            <w:vAlign w:val="bottom"/>
          </w:tcPr>
          <w:p w14:paraId="5C6066DB" w14:textId="5B08B351" w:rsidR="00A26814" w:rsidRPr="003E2D55" w:rsidRDefault="00A26814" w:rsidP="00A26814">
            <w:pPr>
              <w:spacing w:before="40" w:after="20"/>
              <w:jc w:val="right"/>
              <w:rPr>
                <w:rFonts w:cs="Arial"/>
                <w:sz w:val="18"/>
                <w:szCs w:val="18"/>
              </w:rPr>
            </w:pPr>
            <w:r w:rsidRPr="003E2D55">
              <w:rPr>
                <w:rFonts w:cs="Arial"/>
                <w:sz w:val="18"/>
                <w:szCs w:val="18"/>
              </w:rPr>
              <w:t>2,084,208</w:t>
            </w:r>
          </w:p>
        </w:tc>
        <w:tc>
          <w:tcPr>
            <w:tcW w:w="1361" w:type="dxa"/>
            <w:tcBorders>
              <w:top w:val="nil"/>
              <w:left w:val="nil"/>
              <w:bottom w:val="nil"/>
              <w:right w:val="nil"/>
            </w:tcBorders>
            <w:vAlign w:val="bottom"/>
          </w:tcPr>
          <w:p w14:paraId="7956D053" w14:textId="77D416EB" w:rsidR="00A26814" w:rsidRPr="003E2D55" w:rsidRDefault="00A26814" w:rsidP="00A26814">
            <w:pPr>
              <w:spacing w:before="40" w:after="20"/>
              <w:jc w:val="right"/>
              <w:rPr>
                <w:rFonts w:cs="Arial"/>
                <w:b/>
                <w:sz w:val="18"/>
                <w:szCs w:val="18"/>
              </w:rPr>
            </w:pPr>
            <w:r w:rsidRPr="003E2D55">
              <w:rPr>
                <w:rFonts w:cs="Arial"/>
                <w:b/>
                <w:sz w:val="18"/>
                <w:szCs w:val="18"/>
              </w:rPr>
              <w:t>2,084,208</w:t>
            </w:r>
          </w:p>
        </w:tc>
      </w:tr>
      <w:tr w:rsidR="00A26814" w:rsidRPr="003E2D55" w14:paraId="4916D5CD" w14:textId="77777777" w:rsidTr="00DF175F">
        <w:tc>
          <w:tcPr>
            <w:tcW w:w="2268" w:type="dxa"/>
            <w:tcBorders>
              <w:top w:val="nil"/>
              <w:left w:val="nil"/>
              <w:right w:val="single" w:sz="18" w:space="0" w:color="5F497A" w:themeColor="accent4" w:themeShade="BF"/>
            </w:tcBorders>
            <w:shd w:val="clear" w:color="auto" w:fill="auto"/>
            <w:noWrap/>
            <w:vAlign w:val="center"/>
          </w:tcPr>
          <w:p w14:paraId="4310FE81" w14:textId="77777777" w:rsidR="00A26814" w:rsidRPr="003E2D55" w:rsidRDefault="00A26814" w:rsidP="00A26814">
            <w:pPr>
              <w:spacing w:before="40" w:after="20"/>
              <w:rPr>
                <w:rFonts w:cs="Arial"/>
                <w:sz w:val="18"/>
                <w:szCs w:val="18"/>
              </w:rPr>
            </w:pPr>
            <w:r w:rsidRPr="003E2D55">
              <w:rPr>
                <w:rFonts w:cs="Arial"/>
                <w:sz w:val="18"/>
                <w:szCs w:val="18"/>
              </w:rPr>
              <w:t>Yarra Ranges S</w:t>
            </w:r>
          </w:p>
        </w:tc>
        <w:tc>
          <w:tcPr>
            <w:tcW w:w="1361" w:type="dxa"/>
            <w:tcBorders>
              <w:top w:val="nil"/>
              <w:left w:val="single" w:sz="18" w:space="0" w:color="5F497A" w:themeColor="accent4" w:themeShade="BF"/>
              <w:right w:val="nil"/>
            </w:tcBorders>
            <w:shd w:val="clear" w:color="auto" w:fill="auto"/>
            <w:noWrap/>
            <w:vAlign w:val="bottom"/>
          </w:tcPr>
          <w:p w14:paraId="7E0068A3" w14:textId="1E80362D" w:rsidR="00A26814" w:rsidRPr="003E2D55" w:rsidRDefault="00A26814" w:rsidP="00A26814">
            <w:pPr>
              <w:spacing w:before="40" w:after="20"/>
              <w:jc w:val="right"/>
              <w:rPr>
                <w:rFonts w:cs="Arial"/>
                <w:sz w:val="18"/>
                <w:szCs w:val="18"/>
              </w:rPr>
            </w:pPr>
            <w:r w:rsidRPr="003E2D55">
              <w:rPr>
                <w:rFonts w:cs="Arial"/>
                <w:sz w:val="18"/>
                <w:szCs w:val="18"/>
              </w:rPr>
              <w:t>178,860,085</w:t>
            </w:r>
          </w:p>
        </w:tc>
        <w:tc>
          <w:tcPr>
            <w:tcW w:w="1361" w:type="dxa"/>
            <w:tcBorders>
              <w:top w:val="nil"/>
              <w:left w:val="nil"/>
              <w:right w:val="nil"/>
            </w:tcBorders>
            <w:shd w:val="clear" w:color="auto" w:fill="auto"/>
            <w:noWrap/>
            <w:vAlign w:val="bottom"/>
          </w:tcPr>
          <w:p w14:paraId="70BB23E2" w14:textId="37AB191E" w:rsidR="00A26814" w:rsidRPr="003E2D55" w:rsidRDefault="00A26814" w:rsidP="00A26814">
            <w:pPr>
              <w:spacing w:before="40" w:after="20"/>
              <w:jc w:val="right"/>
              <w:rPr>
                <w:rFonts w:cs="Arial"/>
                <w:sz w:val="18"/>
                <w:szCs w:val="18"/>
              </w:rPr>
            </w:pPr>
            <w:r w:rsidRPr="003E2D55">
              <w:rPr>
                <w:rFonts w:cs="Arial"/>
                <w:sz w:val="18"/>
                <w:szCs w:val="18"/>
              </w:rPr>
              <w:t>110,030,211</w:t>
            </w:r>
          </w:p>
        </w:tc>
        <w:tc>
          <w:tcPr>
            <w:tcW w:w="1361" w:type="dxa"/>
            <w:tcBorders>
              <w:top w:val="nil"/>
              <w:left w:val="nil"/>
              <w:right w:val="nil"/>
            </w:tcBorders>
            <w:vAlign w:val="bottom"/>
          </w:tcPr>
          <w:p w14:paraId="565C79E1" w14:textId="39EF534A" w:rsidR="00A26814" w:rsidRPr="003E2D55" w:rsidRDefault="00A26814" w:rsidP="00A26814">
            <w:pPr>
              <w:spacing w:before="40" w:after="20"/>
              <w:jc w:val="right"/>
              <w:rPr>
                <w:rFonts w:cs="Arial"/>
                <w:sz w:val="18"/>
                <w:szCs w:val="18"/>
              </w:rPr>
            </w:pPr>
            <w:r w:rsidRPr="003E2D55">
              <w:rPr>
                <w:rFonts w:cs="Arial"/>
                <w:sz w:val="18"/>
                <w:szCs w:val="18"/>
              </w:rPr>
              <w:t>68,829,873</w:t>
            </w:r>
          </w:p>
        </w:tc>
        <w:tc>
          <w:tcPr>
            <w:tcW w:w="1361" w:type="dxa"/>
            <w:tcBorders>
              <w:top w:val="nil"/>
              <w:left w:val="nil"/>
              <w:right w:val="nil"/>
            </w:tcBorders>
            <w:shd w:val="clear" w:color="auto" w:fill="auto"/>
            <w:noWrap/>
            <w:vAlign w:val="bottom"/>
          </w:tcPr>
          <w:p w14:paraId="34BC926B" w14:textId="2D5B0AFC" w:rsidR="00A26814" w:rsidRPr="003E2D55" w:rsidRDefault="00A26814" w:rsidP="00A26814">
            <w:pPr>
              <w:spacing w:before="40" w:after="20"/>
              <w:jc w:val="right"/>
              <w:rPr>
                <w:rFonts w:cs="Arial"/>
                <w:sz w:val="18"/>
                <w:szCs w:val="18"/>
              </w:rPr>
            </w:pPr>
            <w:r w:rsidRPr="003E2D55">
              <w:rPr>
                <w:rFonts w:cs="Arial"/>
                <w:sz w:val="18"/>
                <w:szCs w:val="18"/>
              </w:rPr>
              <w:t>11,113,632</w:t>
            </w:r>
          </w:p>
        </w:tc>
        <w:tc>
          <w:tcPr>
            <w:tcW w:w="1361" w:type="dxa"/>
            <w:tcBorders>
              <w:top w:val="nil"/>
              <w:left w:val="nil"/>
              <w:right w:val="nil"/>
            </w:tcBorders>
            <w:vAlign w:val="bottom"/>
          </w:tcPr>
          <w:p w14:paraId="4149D901" w14:textId="18C13BDE" w:rsidR="00A26814" w:rsidRPr="003E2D55" w:rsidRDefault="00A26814" w:rsidP="00A26814">
            <w:pPr>
              <w:spacing w:before="40" w:after="20"/>
              <w:jc w:val="right"/>
              <w:rPr>
                <w:rFonts w:cs="Arial"/>
                <w:b/>
                <w:sz w:val="18"/>
                <w:szCs w:val="18"/>
              </w:rPr>
            </w:pPr>
            <w:r w:rsidRPr="003E2D55">
              <w:rPr>
                <w:rFonts w:cs="Arial"/>
                <w:b/>
                <w:sz w:val="18"/>
                <w:szCs w:val="18"/>
              </w:rPr>
              <w:t>11,109,933</w:t>
            </w:r>
          </w:p>
        </w:tc>
      </w:tr>
      <w:tr w:rsidR="00A26814" w:rsidRPr="003E2D55" w14:paraId="2B181E0F" w14:textId="77777777" w:rsidTr="00DF175F">
        <w:tc>
          <w:tcPr>
            <w:tcW w:w="2268" w:type="dxa"/>
            <w:tcBorders>
              <w:top w:val="nil"/>
              <w:left w:val="nil"/>
              <w:right w:val="single" w:sz="18" w:space="0" w:color="5F497A" w:themeColor="accent4" w:themeShade="BF"/>
            </w:tcBorders>
            <w:shd w:val="clear" w:color="auto" w:fill="auto"/>
            <w:noWrap/>
            <w:vAlign w:val="center"/>
          </w:tcPr>
          <w:p w14:paraId="0C14FC88" w14:textId="77777777" w:rsidR="00A26814" w:rsidRPr="003E2D55" w:rsidRDefault="00A26814" w:rsidP="00A26814">
            <w:pPr>
              <w:spacing w:before="40" w:after="20"/>
              <w:rPr>
                <w:rFonts w:cs="Arial"/>
                <w:sz w:val="18"/>
                <w:szCs w:val="18"/>
              </w:rPr>
            </w:pPr>
            <w:r w:rsidRPr="003E2D55">
              <w:rPr>
                <w:rFonts w:cs="Arial"/>
                <w:sz w:val="18"/>
                <w:szCs w:val="18"/>
              </w:rPr>
              <w:t>Yarriambiack S</w:t>
            </w:r>
          </w:p>
        </w:tc>
        <w:tc>
          <w:tcPr>
            <w:tcW w:w="1361" w:type="dxa"/>
            <w:tcBorders>
              <w:top w:val="nil"/>
              <w:left w:val="single" w:sz="18" w:space="0" w:color="5F497A" w:themeColor="accent4" w:themeShade="BF"/>
              <w:right w:val="nil"/>
            </w:tcBorders>
            <w:shd w:val="clear" w:color="auto" w:fill="auto"/>
            <w:noWrap/>
            <w:vAlign w:val="bottom"/>
          </w:tcPr>
          <w:p w14:paraId="1C28A5D4" w14:textId="482270B7" w:rsidR="00A26814" w:rsidRPr="003E2D55" w:rsidRDefault="00A26814" w:rsidP="00A26814">
            <w:pPr>
              <w:spacing w:before="40" w:after="20"/>
              <w:jc w:val="right"/>
              <w:rPr>
                <w:rFonts w:cs="Arial"/>
                <w:sz w:val="18"/>
                <w:szCs w:val="18"/>
              </w:rPr>
            </w:pPr>
            <w:r w:rsidRPr="003E2D55">
              <w:rPr>
                <w:rFonts w:cs="Arial"/>
                <w:sz w:val="18"/>
                <w:szCs w:val="18"/>
              </w:rPr>
              <w:t>26,971,777</w:t>
            </w:r>
          </w:p>
        </w:tc>
        <w:tc>
          <w:tcPr>
            <w:tcW w:w="1361" w:type="dxa"/>
            <w:tcBorders>
              <w:top w:val="nil"/>
              <w:left w:val="nil"/>
              <w:right w:val="nil"/>
            </w:tcBorders>
            <w:shd w:val="clear" w:color="auto" w:fill="auto"/>
            <w:noWrap/>
            <w:vAlign w:val="bottom"/>
          </w:tcPr>
          <w:p w14:paraId="5E6E873D" w14:textId="6C4AF7BE" w:rsidR="00A26814" w:rsidRPr="003E2D55" w:rsidRDefault="00A26814" w:rsidP="00A26814">
            <w:pPr>
              <w:spacing w:before="40" w:after="20"/>
              <w:jc w:val="right"/>
              <w:rPr>
                <w:rFonts w:cs="Arial"/>
                <w:sz w:val="18"/>
                <w:szCs w:val="18"/>
              </w:rPr>
            </w:pPr>
            <w:r w:rsidRPr="003E2D55">
              <w:rPr>
                <w:rFonts w:cs="Arial"/>
                <w:sz w:val="18"/>
                <w:szCs w:val="18"/>
              </w:rPr>
              <w:t>5,337,115</w:t>
            </w:r>
          </w:p>
        </w:tc>
        <w:tc>
          <w:tcPr>
            <w:tcW w:w="1361" w:type="dxa"/>
            <w:tcBorders>
              <w:top w:val="nil"/>
              <w:left w:val="nil"/>
              <w:right w:val="nil"/>
            </w:tcBorders>
            <w:vAlign w:val="bottom"/>
          </w:tcPr>
          <w:p w14:paraId="5147051A" w14:textId="130F1702" w:rsidR="00A26814" w:rsidRPr="003E2D55" w:rsidRDefault="00A26814" w:rsidP="00A26814">
            <w:pPr>
              <w:spacing w:before="40" w:after="20"/>
              <w:jc w:val="right"/>
              <w:rPr>
                <w:rFonts w:cs="Arial"/>
                <w:sz w:val="18"/>
                <w:szCs w:val="18"/>
              </w:rPr>
            </w:pPr>
            <w:r w:rsidRPr="003E2D55">
              <w:rPr>
                <w:rFonts w:cs="Arial"/>
                <w:sz w:val="18"/>
                <w:szCs w:val="18"/>
              </w:rPr>
              <w:t>21,634,662</w:t>
            </w:r>
          </w:p>
        </w:tc>
        <w:tc>
          <w:tcPr>
            <w:tcW w:w="1361" w:type="dxa"/>
            <w:tcBorders>
              <w:top w:val="nil"/>
              <w:left w:val="nil"/>
              <w:right w:val="nil"/>
            </w:tcBorders>
            <w:shd w:val="clear" w:color="auto" w:fill="auto"/>
            <w:noWrap/>
            <w:vAlign w:val="bottom"/>
          </w:tcPr>
          <w:p w14:paraId="2C9B9D66" w14:textId="44F25941" w:rsidR="00A26814" w:rsidRPr="003E2D55" w:rsidRDefault="00A26814" w:rsidP="00A26814">
            <w:pPr>
              <w:spacing w:before="40" w:after="20"/>
              <w:jc w:val="right"/>
              <w:rPr>
                <w:rFonts w:cs="Arial"/>
                <w:sz w:val="18"/>
                <w:szCs w:val="18"/>
              </w:rPr>
            </w:pPr>
            <w:r w:rsidRPr="003E2D55">
              <w:rPr>
                <w:rFonts w:cs="Arial"/>
                <w:sz w:val="18"/>
                <w:szCs w:val="18"/>
              </w:rPr>
              <w:t>3,493,246</w:t>
            </w:r>
          </w:p>
        </w:tc>
        <w:tc>
          <w:tcPr>
            <w:tcW w:w="1361" w:type="dxa"/>
            <w:tcBorders>
              <w:top w:val="nil"/>
              <w:left w:val="nil"/>
              <w:right w:val="nil"/>
            </w:tcBorders>
            <w:vAlign w:val="bottom"/>
          </w:tcPr>
          <w:p w14:paraId="68F21B8F" w14:textId="2056EEED" w:rsidR="00A26814" w:rsidRPr="003E2D55" w:rsidRDefault="00A26814" w:rsidP="00A26814">
            <w:pPr>
              <w:spacing w:before="40" w:after="20"/>
              <w:jc w:val="right"/>
              <w:rPr>
                <w:rFonts w:cs="Arial"/>
                <w:b/>
                <w:sz w:val="18"/>
                <w:szCs w:val="18"/>
              </w:rPr>
            </w:pPr>
            <w:r w:rsidRPr="003E2D55">
              <w:rPr>
                <w:rFonts w:cs="Arial"/>
                <w:b/>
                <w:sz w:val="18"/>
                <w:szCs w:val="18"/>
              </w:rPr>
              <w:t>3,492,083</w:t>
            </w:r>
          </w:p>
        </w:tc>
      </w:tr>
      <w:tr w:rsidR="00A26814" w:rsidRPr="003E2D55" w14:paraId="01E2E785" w14:textId="77777777" w:rsidTr="00B44BBE">
        <w:tc>
          <w:tcPr>
            <w:tcW w:w="2268" w:type="dxa"/>
            <w:tcBorders>
              <w:left w:val="nil"/>
              <w:right w:val="single" w:sz="18" w:space="0" w:color="5F497A" w:themeColor="accent4" w:themeShade="BF"/>
            </w:tcBorders>
            <w:shd w:val="clear" w:color="auto" w:fill="auto"/>
            <w:noWrap/>
            <w:vAlign w:val="center"/>
          </w:tcPr>
          <w:p w14:paraId="5745E882" w14:textId="77777777" w:rsidR="00A26814" w:rsidRPr="003E2D55" w:rsidRDefault="00A26814" w:rsidP="00A26814">
            <w:pPr>
              <w:spacing w:before="40" w:after="20"/>
              <w:rPr>
                <w:rFonts w:cs="Arial"/>
                <w:sz w:val="18"/>
                <w:szCs w:val="18"/>
              </w:rPr>
            </w:pPr>
          </w:p>
        </w:tc>
        <w:tc>
          <w:tcPr>
            <w:tcW w:w="1361" w:type="dxa"/>
            <w:tcBorders>
              <w:left w:val="single" w:sz="18" w:space="0" w:color="5F497A" w:themeColor="accent4" w:themeShade="BF"/>
              <w:bottom w:val="single" w:sz="8" w:space="0" w:color="5F497A" w:themeColor="accent4" w:themeShade="BF"/>
              <w:right w:val="nil"/>
            </w:tcBorders>
            <w:shd w:val="clear" w:color="auto" w:fill="auto"/>
            <w:noWrap/>
            <w:vAlign w:val="bottom"/>
          </w:tcPr>
          <w:p w14:paraId="2FF5B2DF" w14:textId="4218CB8B" w:rsidR="00A26814" w:rsidRPr="003E2D55" w:rsidRDefault="00A26814" w:rsidP="00A26814">
            <w:pPr>
              <w:spacing w:before="40" w:after="20"/>
              <w:jc w:val="right"/>
              <w:rPr>
                <w:rFonts w:cs="Arial"/>
                <w:sz w:val="18"/>
                <w:szCs w:val="18"/>
              </w:rPr>
            </w:pPr>
            <w:r w:rsidRPr="003E2D55">
              <w:rPr>
                <w:rFonts w:cs="Arial"/>
                <w:sz w:val="18"/>
                <w:szCs w:val="18"/>
              </w:rPr>
              <w:t> </w:t>
            </w:r>
          </w:p>
        </w:tc>
        <w:tc>
          <w:tcPr>
            <w:tcW w:w="1361" w:type="dxa"/>
            <w:tcBorders>
              <w:left w:val="nil"/>
              <w:bottom w:val="single" w:sz="8" w:space="0" w:color="5F497A" w:themeColor="accent4" w:themeShade="BF"/>
              <w:right w:val="nil"/>
            </w:tcBorders>
            <w:shd w:val="clear" w:color="auto" w:fill="auto"/>
            <w:noWrap/>
            <w:vAlign w:val="bottom"/>
          </w:tcPr>
          <w:p w14:paraId="7FDBE136" w14:textId="4C457E58" w:rsidR="00A26814" w:rsidRPr="003E2D55" w:rsidRDefault="00A26814" w:rsidP="00A26814">
            <w:pPr>
              <w:spacing w:before="40" w:after="20"/>
              <w:jc w:val="right"/>
              <w:rPr>
                <w:rFonts w:cs="Arial"/>
                <w:sz w:val="18"/>
                <w:szCs w:val="18"/>
              </w:rPr>
            </w:pPr>
            <w:r w:rsidRPr="003E2D55">
              <w:rPr>
                <w:rFonts w:cs="Arial"/>
                <w:sz w:val="18"/>
                <w:szCs w:val="18"/>
              </w:rPr>
              <w:t> </w:t>
            </w:r>
          </w:p>
        </w:tc>
        <w:tc>
          <w:tcPr>
            <w:tcW w:w="1361" w:type="dxa"/>
            <w:tcBorders>
              <w:left w:val="nil"/>
              <w:bottom w:val="single" w:sz="8" w:space="0" w:color="5F497A" w:themeColor="accent4" w:themeShade="BF"/>
              <w:right w:val="nil"/>
            </w:tcBorders>
            <w:vAlign w:val="bottom"/>
          </w:tcPr>
          <w:p w14:paraId="315BCA68" w14:textId="210CD08F" w:rsidR="00A26814" w:rsidRPr="003E2D55" w:rsidRDefault="00A26814" w:rsidP="00A26814">
            <w:pPr>
              <w:spacing w:before="40" w:after="20"/>
              <w:jc w:val="right"/>
              <w:rPr>
                <w:rFonts w:cs="Arial"/>
                <w:sz w:val="18"/>
                <w:szCs w:val="18"/>
              </w:rPr>
            </w:pPr>
            <w:r w:rsidRPr="003E2D55">
              <w:rPr>
                <w:rFonts w:cs="Arial"/>
                <w:sz w:val="18"/>
                <w:szCs w:val="18"/>
              </w:rPr>
              <w:t> </w:t>
            </w:r>
          </w:p>
        </w:tc>
        <w:tc>
          <w:tcPr>
            <w:tcW w:w="1361" w:type="dxa"/>
            <w:tcBorders>
              <w:left w:val="nil"/>
              <w:bottom w:val="single" w:sz="8" w:space="0" w:color="5F497A" w:themeColor="accent4" w:themeShade="BF"/>
              <w:right w:val="nil"/>
            </w:tcBorders>
            <w:shd w:val="clear" w:color="auto" w:fill="auto"/>
            <w:noWrap/>
            <w:vAlign w:val="bottom"/>
          </w:tcPr>
          <w:p w14:paraId="2970BFF0" w14:textId="03A9C895" w:rsidR="00A26814" w:rsidRPr="003E2D55" w:rsidRDefault="00A26814" w:rsidP="00A26814">
            <w:pPr>
              <w:spacing w:before="40" w:after="20"/>
              <w:jc w:val="right"/>
              <w:rPr>
                <w:rFonts w:cs="Arial"/>
                <w:sz w:val="18"/>
                <w:szCs w:val="18"/>
              </w:rPr>
            </w:pPr>
            <w:r w:rsidRPr="003E2D55">
              <w:rPr>
                <w:rFonts w:cs="Arial"/>
                <w:sz w:val="18"/>
                <w:szCs w:val="18"/>
              </w:rPr>
              <w:t> </w:t>
            </w:r>
          </w:p>
        </w:tc>
        <w:tc>
          <w:tcPr>
            <w:tcW w:w="1361" w:type="dxa"/>
            <w:tcBorders>
              <w:left w:val="nil"/>
              <w:bottom w:val="single" w:sz="8" w:space="0" w:color="5F497A" w:themeColor="accent4" w:themeShade="BF"/>
              <w:right w:val="nil"/>
            </w:tcBorders>
            <w:vAlign w:val="bottom"/>
          </w:tcPr>
          <w:p w14:paraId="658030F4" w14:textId="2380AC4F" w:rsidR="00A26814" w:rsidRPr="003E2D55" w:rsidRDefault="00A26814" w:rsidP="00A26814">
            <w:pPr>
              <w:spacing w:before="40" w:after="20"/>
              <w:jc w:val="right"/>
              <w:rPr>
                <w:rFonts w:cs="Arial"/>
                <w:b/>
                <w:sz w:val="18"/>
                <w:szCs w:val="18"/>
              </w:rPr>
            </w:pPr>
            <w:r w:rsidRPr="003E2D55">
              <w:rPr>
                <w:rFonts w:cs="Arial"/>
                <w:b/>
                <w:sz w:val="18"/>
                <w:szCs w:val="18"/>
              </w:rPr>
              <w:t> </w:t>
            </w:r>
          </w:p>
        </w:tc>
      </w:tr>
      <w:tr w:rsidR="00A26814" w:rsidRPr="003E2D55" w14:paraId="6B01DD65" w14:textId="77777777" w:rsidTr="00B44BBE">
        <w:tc>
          <w:tcPr>
            <w:tcW w:w="2268" w:type="dxa"/>
            <w:tcBorders>
              <w:left w:val="nil"/>
              <w:right w:val="single" w:sz="18" w:space="0" w:color="5F497A" w:themeColor="accent4" w:themeShade="BF"/>
            </w:tcBorders>
            <w:shd w:val="clear" w:color="auto" w:fill="auto"/>
            <w:noWrap/>
            <w:vAlign w:val="center"/>
          </w:tcPr>
          <w:p w14:paraId="78D89BD9" w14:textId="77777777" w:rsidR="00A26814" w:rsidRPr="003E2D55" w:rsidRDefault="00A26814" w:rsidP="00A26814">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right w:val="nil"/>
            </w:tcBorders>
            <w:shd w:val="clear" w:color="auto" w:fill="auto"/>
            <w:noWrap/>
            <w:vAlign w:val="bottom"/>
          </w:tcPr>
          <w:p w14:paraId="28DFDF6D" w14:textId="1A5F24AC" w:rsidR="00A26814" w:rsidRPr="003E2D55" w:rsidRDefault="00A26814" w:rsidP="00A26814">
            <w:pPr>
              <w:spacing w:before="40" w:after="20"/>
              <w:jc w:val="right"/>
              <w:rPr>
                <w:rFonts w:cs="Arial"/>
                <w:b/>
                <w:sz w:val="18"/>
                <w:szCs w:val="18"/>
              </w:rPr>
            </w:pPr>
            <w:r w:rsidRPr="003E2D55">
              <w:rPr>
                <w:rFonts w:cs="Arial"/>
                <w:b/>
                <w:sz w:val="18"/>
                <w:szCs w:val="18"/>
              </w:rPr>
              <w:t>7,722,367,764</w:t>
            </w:r>
          </w:p>
        </w:tc>
        <w:tc>
          <w:tcPr>
            <w:tcW w:w="1361" w:type="dxa"/>
            <w:tcBorders>
              <w:top w:val="single" w:sz="8" w:space="0" w:color="5F497A" w:themeColor="accent4" w:themeShade="BF"/>
              <w:left w:val="nil"/>
              <w:right w:val="nil"/>
            </w:tcBorders>
            <w:shd w:val="clear" w:color="auto" w:fill="auto"/>
            <w:noWrap/>
            <w:vAlign w:val="bottom"/>
          </w:tcPr>
          <w:p w14:paraId="2F8B324A" w14:textId="4F0EA962" w:rsidR="00A26814" w:rsidRPr="003E2D55" w:rsidRDefault="00A26814" w:rsidP="00A26814">
            <w:pPr>
              <w:spacing w:before="40" w:after="20"/>
              <w:jc w:val="right"/>
              <w:rPr>
                <w:rFonts w:cs="Arial"/>
                <w:b/>
                <w:sz w:val="18"/>
                <w:szCs w:val="18"/>
              </w:rPr>
            </w:pPr>
            <w:r w:rsidRPr="003E2D55">
              <w:rPr>
                <w:rFonts w:cs="Arial"/>
                <w:b/>
                <w:sz w:val="18"/>
                <w:szCs w:val="18"/>
              </w:rPr>
              <w:t>5,687,787,264</w:t>
            </w:r>
          </w:p>
        </w:tc>
        <w:tc>
          <w:tcPr>
            <w:tcW w:w="1361" w:type="dxa"/>
            <w:tcBorders>
              <w:top w:val="single" w:sz="8" w:space="0" w:color="5F497A" w:themeColor="accent4" w:themeShade="BF"/>
              <w:left w:val="nil"/>
              <w:right w:val="nil"/>
            </w:tcBorders>
            <w:vAlign w:val="bottom"/>
          </w:tcPr>
          <w:p w14:paraId="0A15049F" w14:textId="0084F8B6" w:rsidR="00A26814" w:rsidRPr="003E2D55" w:rsidRDefault="00A26814" w:rsidP="00A26814">
            <w:pPr>
              <w:spacing w:before="40" w:after="20"/>
              <w:jc w:val="right"/>
              <w:rPr>
                <w:rFonts w:cs="Arial"/>
                <w:b/>
                <w:sz w:val="18"/>
                <w:szCs w:val="18"/>
              </w:rPr>
            </w:pPr>
            <w:r w:rsidRPr="003E2D55">
              <w:rPr>
                <w:rFonts w:cs="Arial"/>
                <w:b/>
                <w:sz w:val="18"/>
                <w:szCs w:val="18"/>
              </w:rPr>
              <w:t>2,034,580,500</w:t>
            </w:r>
          </w:p>
        </w:tc>
        <w:tc>
          <w:tcPr>
            <w:tcW w:w="1361" w:type="dxa"/>
            <w:tcBorders>
              <w:top w:val="single" w:sz="8" w:space="0" w:color="5F497A" w:themeColor="accent4" w:themeShade="BF"/>
              <w:left w:val="nil"/>
              <w:right w:val="nil"/>
            </w:tcBorders>
            <w:shd w:val="clear" w:color="auto" w:fill="auto"/>
            <w:noWrap/>
            <w:vAlign w:val="bottom"/>
          </w:tcPr>
          <w:p w14:paraId="635F0307" w14:textId="08460502" w:rsidR="00A26814" w:rsidRPr="003E2D55" w:rsidRDefault="00A26814" w:rsidP="00A26814">
            <w:pPr>
              <w:spacing w:before="40" w:after="20"/>
              <w:jc w:val="right"/>
              <w:rPr>
                <w:rFonts w:cs="Arial"/>
                <w:b/>
                <w:sz w:val="18"/>
                <w:szCs w:val="18"/>
              </w:rPr>
            </w:pPr>
            <w:r w:rsidRPr="003E2D55">
              <w:rPr>
                <w:rFonts w:cs="Arial"/>
                <w:b/>
                <w:sz w:val="18"/>
                <w:szCs w:val="18"/>
              </w:rPr>
              <w:t>454,819,604</w:t>
            </w:r>
          </w:p>
        </w:tc>
        <w:tc>
          <w:tcPr>
            <w:tcW w:w="1361" w:type="dxa"/>
            <w:tcBorders>
              <w:top w:val="single" w:sz="8" w:space="0" w:color="5F497A" w:themeColor="accent4" w:themeShade="BF"/>
              <w:left w:val="nil"/>
              <w:right w:val="nil"/>
            </w:tcBorders>
            <w:vAlign w:val="bottom"/>
          </w:tcPr>
          <w:p w14:paraId="4F041762" w14:textId="013ADB9F" w:rsidR="00A26814" w:rsidRPr="003E2D55" w:rsidRDefault="00A26814" w:rsidP="00A26814">
            <w:pPr>
              <w:spacing w:before="40" w:after="20"/>
              <w:jc w:val="right"/>
              <w:rPr>
                <w:rFonts w:cs="Arial"/>
                <w:b/>
                <w:sz w:val="18"/>
                <w:szCs w:val="18"/>
              </w:rPr>
            </w:pPr>
            <w:r w:rsidRPr="003E2D55">
              <w:rPr>
                <w:rFonts w:cs="Arial"/>
                <w:b/>
                <w:sz w:val="18"/>
                <w:szCs w:val="18"/>
              </w:rPr>
              <w:t>454,819,604</w:t>
            </w:r>
          </w:p>
        </w:tc>
      </w:tr>
    </w:tbl>
    <w:p w14:paraId="545D2495" w14:textId="77777777" w:rsidR="0096697F" w:rsidRPr="00A44829" w:rsidRDefault="0096697F" w:rsidP="00147515">
      <w:pPr>
        <w:spacing w:before="40" w:after="20"/>
        <w:rPr>
          <w:rFonts w:cs="Arial"/>
          <w:sz w:val="18"/>
          <w:szCs w:val="18"/>
        </w:rPr>
      </w:pPr>
    </w:p>
    <w:p w14:paraId="1DD4A5B4" w14:textId="77777777" w:rsidR="005B58BE" w:rsidRDefault="003F04DA" w:rsidP="00FF36E8">
      <w:pPr>
        <w:spacing w:before="40" w:after="20"/>
        <w:rPr>
          <w:rFonts w:cs="Arial"/>
          <w:i/>
          <w:sz w:val="16"/>
          <w:szCs w:val="16"/>
        </w:rPr>
      </w:pPr>
      <w:r w:rsidRPr="00A44829">
        <w:rPr>
          <w:rFonts w:cs="Arial"/>
          <w:i/>
          <w:sz w:val="16"/>
          <w:szCs w:val="16"/>
        </w:rPr>
        <w:t xml:space="preserve">* Excludes natural disaster assistance </w:t>
      </w:r>
      <w:r w:rsidR="00261079" w:rsidRPr="00A44829">
        <w:rPr>
          <w:rFonts w:cs="Arial"/>
          <w:i/>
          <w:sz w:val="16"/>
          <w:szCs w:val="16"/>
        </w:rPr>
        <w:t>grants</w:t>
      </w:r>
      <w:r w:rsidRPr="00A44829">
        <w:rPr>
          <w:rFonts w:cs="Arial"/>
          <w:i/>
          <w:sz w:val="16"/>
          <w:szCs w:val="16"/>
        </w:rPr>
        <w:t>.</w:t>
      </w:r>
    </w:p>
    <w:p w14:paraId="676C74DF" w14:textId="0891E86F" w:rsidR="0016581E" w:rsidRPr="00A44829" w:rsidRDefault="005B58BE" w:rsidP="00FF36E8">
      <w:pPr>
        <w:spacing w:before="40" w:after="20"/>
        <w:rPr>
          <w:rFonts w:cs="Arial"/>
          <w:i/>
          <w:sz w:val="18"/>
          <w:szCs w:val="18"/>
        </w:rPr>
      </w:pPr>
      <w:r w:rsidRPr="005B58BE">
        <w:rPr>
          <w:rFonts w:cs="Arial"/>
          <w:i/>
          <w:sz w:val="16"/>
          <w:szCs w:val="16"/>
        </w:rPr>
        <w:t>#  Adjusted to take account of constraints on grant movements.</w:t>
      </w:r>
      <w:r w:rsidR="0016581E" w:rsidRPr="00A44829">
        <w:rPr>
          <w:rFonts w:cs="Arial"/>
          <w:i/>
          <w:sz w:val="18"/>
          <w:szCs w:val="18"/>
        </w:rPr>
        <w:br w:type="page"/>
      </w:r>
    </w:p>
    <w:p w14:paraId="46CC86BF" w14:textId="34BAEAB9" w:rsidR="00AE6499" w:rsidRPr="00A44829" w:rsidRDefault="00CE4507" w:rsidP="00C33713">
      <w:pPr>
        <w:pStyle w:val="VGC-Head10"/>
      </w:pPr>
      <w:r w:rsidRPr="00A44829">
        <w:lastRenderedPageBreak/>
        <w:t>Appendix 4</w:t>
      </w:r>
      <w:r w:rsidR="00AE6499" w:rsidRPr="00A44829">
        <w:tab/>
      </w:r>
      <w:r w:rsidR="00EE4593" w:rsidRPr="00A44829">
        <w:t>2019-20</w:t>
      </w:r>
      <w:r w:rsidR="00A97ABE" w:rsidRPr="00A44829">
        <w:t xml:space="preserve"> </w:t>
      </w:r>
      <w:r w:rsidR="00AE6499" w:rsidRPr="00A44829">
        <w:t xml:space="preserve">General Purpose Grants </w:t>
      </w:r>
    </w:p>
    <w:p w14:paraId="2F5A3144" w14:textId="77777777" w:rsidR="00AE6499" w:rsidRPr="00A44829" w:rsidRDefault="00D67755" w:rsidP="008C1A28">
      <w:pPr>
        <w:pStyle w:val="VGC-Head2"/>
      </w:pPr>
      <w:r w:rsidRPr="00A44829">
        <w:t>L</w:t>
      </w:r>
      <w:r w:rsidR="00AE6499" w:rsidRPr="00A44829">
        <w:t>.  Data Sources</w:t>
      </w:r>
    </w:p>
    <w:p w14:paraId="3220DC6A" w14:textId="77777777" w:rsidR="00146FD1" w:rsidRPr="00A44829" w:rsidRDefault="00146FD1" w:rsidP="00FF36E8">
      <w:pPr>
        <w:spacing w:before="40" w:after="20"/>
        <w:rPr>
          <w:rFonts w:cs="Arial"/>
        </w:rPr>
      </w:pPr>
    </w:p>
    <w:p w14:paraId="31B498C3" w14:textId="0F76E9E4" w:rsidR="00CC538F" w:rsidRPr="00A44829" w:rsidRDefault="00CC538F" w:rsidP="00FF36E8">
      <w:pPr>
        <w:spacing w:before="40" w:after="20"/>
        <w:rPr>
          <w:rFonts w:cs="Arial"/>
        </w:rPr>
      </w:pPr>
    </w:p>
    <w:p w14:paraId="5FF796B5" w14:textId="77777777" w:rsidR="0096697F" w:rsidRPr="00A44829" w:rsidRDefault="0096697F" w:rsidP="00FF36E8">
      <w:pPr>
        <w:spacing w:before="40" w:after="20"/>
        <w:rPr>
          <w:rFonts w:cs="Arial"/>
        </w:rPr>
      </w:pPr>
    </w:p>
    <w:tbl>
      <w:tblPr>
        <w:tblW w:w="0" w:type="auto"/>
        <w:tblInd w:w="91" w:type="dxa"/>
        <w:tblLook w:val="0000" w:firstRow="0" w:lastRow="0" w:firstColumn="0" w:lastColumn="0" w:noHBand="0" w:noVBand="0"/>
      </w:tblPr>
      <w:tblGrid>
        <w:gridCol w:w="2268"/>
        <w:gridCol w:w="6917"/>
      </w:tblGrid>
      <w:tr w:rsidR="00976C78" w:rsidRPr="00A44829" w14:paraId="1181718E" w14:textId="77777777" w:rsidTr="0083118A">
        <w:trPr>
          <w:trHeight w:val="240"/>
        </w:trPr>
        <w:tc>
          <w:tcPr>
            <w:tcW w:w="2268" w:type="dxa"/>
            <w:tcBorders>
              <w:top w:val="nil"/>
              <w:left w:val="nil"/>
              <w:bottom w:val="nil"/>
              <w:right w:val="single" w:sz="18" w:space="0" w:color="5F497A" w:themeColor="accent4" w:themeShade="BF"/>
            </w:tcBorders>
            <w:shd w:val="clear" w:color="auto" w:fill="auto"/>
          </w:tcPr>
          <w:p w14:paraId="78554AE7" w14:textId="77777777" w:rsidR="00146FD1" w:rsidRPr="00A44829" w:rsidRDefault="00146FD1" w:rsidP="00FF36E8">
            <w:pPr>
              <w:spacing w:before="40" w:after="20"/>
              <w:rPr>
                <w:rFonts w:cs="Arial"/>
                <w:i/>
                <w:color w:val="5F497A" w:themeColor="accent4" w:themeShade="BF"/>
                <w:sz w:val="24"/>
              </w:rPr>
            </w:pPr>
            <w:r w:rsidRPr="00A44829">
              <w:rPr>
                <w:rFonts w:cs="Arial"/>
                <w:i/>
                <w:color w:val="5F497A" w:themeColor="accent4" w:themeShade="BF"/>
                <w:sz w:val="24"/>
              </w:rPr>
              <w:t>Major Cost Drivers</w:t>
            </w:r>
          </w:p>
          <w:p w14:paraId="7B27667E" w14:textId="77777777" w:rsidR="00261079" w:rsidRPr="00A44829" w:rsidRDefault="00261079" w:rsidP="00FF36E8">
            <w:pPr>
              <w:spacing w:before="40" w:after="20"/>
              <w:rPr>
                <w:rFonts w:cs="Arial"/>
                <w:b/>
                <w:sz w:val="20"/>
                <w:szCs w:val="20"/>
              </w:rPr>
            </w:pPr>
          </w:p>
        </w:tc>
        <w:tc>
          <w:tcPr>
            <w:tcW w:w="6917" w:type="dxa"/>
            <w:tcBorders>
              <w:top w:val="nil"/>
              <w:left w:val="single" w:sz="18" w:space="0" w:color="5F497A" w:themeColor="accent4" w:themeShade="BF"/>
              <w:bottom w:val="nil"/>
              <w:right w:val="nil"/>
            </w:tcBorders>
            <w:shd w:val="clear" w:color="auto" w:fill="auto"/>
          </w:tcPr>
          <w:p w14:paraId="3193E33D" w14:textId="77777777" w:rsidR="00146FD1" w:rsidRPr="00A44829" w:rsidRDefault="00146FD1" w:rsidP="007F45D1">
            <w:pPr>
              <w:spacing w:before="40" w:after="20"/>
              <w:jc w:val="both"/>
              <w:rPr>
                <w:rFonts w:cs="Arial"/>
                <w:sz w:val="20"/>
                <w:szCs w:val="20"/>
              </w:rPr>
            </w:pPr>
          </w:p>
        </w:tc>
      </w:tr>
      <w:tr w:rsidR="00146FD1" w:rsidRPr="00A44829" w14:paraId="703120B9" w14:textId="77777777" w:rsidTr="0083118A">
        <w:trPr>
          <w:trHeight w:val="240"/>
        </w:trPr>
        <w:tc>
          <w:tcPr>
            <w:tcW w:w="2268" w:type="dxa"/>
            <w:tcBorders>
              <w:top w:val="nil"/>
              <w:left w:val="nil"/>
              <w:bottom w:val="nil"/>
              <w:right w:val="single" w:sz="18" w:space="0" w:color="5F497A" w:themeColor="accent4" w:themeShade="BF"/>
            </w:tcBorders>
            <w:shd w:val="clear" w:color="auto" w:fill="auto"/>
          </w:tcPr>
          <w:p w14:paraId="2DEE189F" w14:textId="77777777" w:rsidR="00146FD1" w:rsidRPr="00A44829" w:rsidRDefault="00146FD1" w:rsidP="00FF36E8">
            <w:pPr>
              <w:spacing w:before="40" w:after="20"/>
              <w:rPr>
                <w:rFonts w:cs="Arial"/>
                <w:b/>
                <w:sz w:val="18"/>
                <w:szCs w:val="18"/>
              </w:rPr>
            </w:pPr>
            <w:r w:rsidRPr="00A44829">
              <w:rPr>
                <w:rFonts w:cs="Arial"/>
                <w:b/>
                <w:sz w:val="18"/>
                <w:szCs w:val="18"/>
              </w:rPr>
              <w:t>Estimated Residential Population</w:t>
            </w:r>
          </w:p>
        </w:tc>
        <w:tc>
          <w:tcPr>
            <w:tcW w:w="6917" w:type="dxa"/>
            <w:tcBorders>
              <w:top w:val="nil"/>
              <w:left w:val="single" w:sz="18" w:space="0" w:color="5F497A" w:themeColor="accent4" w:themeShade="BF"/>
              <w:bottom w:val="nil"/>
              <w:right w:val="nil"/>
            </w:tcBorders>
            <w:shd w:val="clear" w:color="auto" w:fill="auto"/>
          </w:tcPr>
          <w:p w14:paraId="634F21F2" w14:textId="4270432C" w:rsidR="00B12D41" w:rsidRPr="00A44829" w:rsidRDefault="00B12D41" w:rsidP="00B12D41">
            <w:pPr>
              <w:spacing w:before="40" w:after="20"/>
              <w:jc w:val="both"/>
              <w:rPr>
                <w:rFonts w:cs="Arial"/>
                <w:sz w:val="16"/>
                <w:szCs w:val="16"/>
              </w:rPr>
            </w:pPr>
            <w:r w:rsidRPr="00A44829">
              <w:rPr>
                <w:rFonts w:cs="Arial"/>
                <w:sz w:val="16"/>
                <w:szCs w:val="16"/>
              </w:rPr>
              <w:t xml:space="preserve">Australian Bureau of Statistics, Regional Population Growth, Australia, (cat no. 3218.0), </w:t>
            </w:r>
            <w:r w:rsidR="006A7CDE" w:rsidRPr="00A44829">
              <w:rPr>
                <w:rFonts w:cs="Arial"/>
                <w:sz w:val="16"/>
                <w:szCs w:val="16"/>
              </w:rPr>
              <w:br/>
            </w:r>
            <w:r w:rsidRPr="00A44829">
              <w:rPr>
                <w:rFonts w:cs="Arial"/>
                <w:sz w:val="16"/>
                <w:szCs w:val="16"/>
              </w:rPr>
              <w:t xml:space="preserve">Table 2. Estimated Residential Population, Local Government Area, at 30 June 2018, </w:t>
            </w:r>
            <w:r w:rsidR="006A7CDE" w:rsidRPr="00A44829">
              <w:rPr>
                <w:rFonts w:cs="Arial"/>
                <w:sz w:val="16"/>
                <w:szCs w:val="16"/>
              </w:rPr>
              <w:br/>
            </w:r>
            <w:r w:rsidRPr="00A44829">
              <w:rPr>
                <w:rFonts w:cs="Arial"/>
                <w:sz w:val="16"/>
                <w:szCs w:val="16"/>
              </w:rPr>
              <w:t>released 27 March 2019.</w:t>
            </w:r>
          </w:p>
          <w:p w14:paraId="223362E8" w14:textId="311965A9" w:rsidR="00146FD1" w:rsidRPr="00A44829" w:rsidRDefault="00586CC7" w:rsidP="00B12D41">
            <w:pPr>
              <w:spacing w:before="40" w:after="20"/>
              <w:jc w:val="both"/>
              <w:rPr>
                <w:rStyle w:val="Hyperlink"/>
                <w:rFonts w:cs="Arial"/>
                <w:color w:val="auto"/>
                <w:sz w:val="12"/>
                <w:szCs w:val="12"/>
              </w:rPr>
            </w:pPr>
            <w:hyperlink r:id="rId8" w:history="1">
              <w:r w:rsidR="006A7CDE" w:rsidRPr="00A44829">
                <w:rPr>
                  <w:rStyle w:val="Hyperlink"/>
                  <w:rFonts w:cs="Arial"/>
                  <w:color w:val="auto"/>
                  <w:sz w:val="12"/>
                  <w:szCs w:val="12"/>
                </w:rPr>
                <w:t>https://www.abs.gov.au/AUSSTATS/abs@.nsf/DetailsPage/3218.02017-18?OpenDocument</w:t>
              </w:r>
            </w:hyperlink>
            <w:r w:rsidR="006A7CDE" w:rsidRPr="00A44829">
              <w:rPr>
                <w:rStyle w:val="Hyperlink"/>
                <w:rFonts w:cs="Arial"/>
                <w:color w:val="auto"/>
                <w:sz w:val="12"/>
                <w:szCs w:val="12"/>
              </w:rPr>
              <w:t xml:space="preserve">   </w:t>
            </w:r>
          </w:p>
          <w:p w14:paraId="28661B46" w14:textId="77777777" w:rsidR="00D673B3" w:rsidRPr="00A44829" w:rsidRDefault="00D673B3" w:rsidP="007F45D1">
            <w:pPr>
              <w:spacing w:before="40" w:after="20"/>
              <w:jc w:val="both"/>
              <w:rPr>
                <w:rFonts w:cs="Arial"/>
                <w:sz w:val="16"/>
                <w:szCs w:val="16"/>
              </w:rPr>
            </w:pPr>
          </w:p>
        </w:tc>
      </w:tr>
      <w:tr w:rsidR="00146FD1" w:rsidRPr="00A44829" w14:paraId="6B4B4B13" w14:textId="77777777" w:rsidTr="0083118A">
        <w:trPr>
          <w:trHeight w:val="240"/>
        </w:trPr>
        <w:tc>
          <w:tcPr>
            <w:tcW w:w="2268" w:type="dxa"/>
            <w:tcBorders>
              <w:top w:val="nil"/>
              <w:left w:val="nil"/>
              <w:bottom w:val="nil"/>
              <w:right w:val="single" w:sz="18" w:space="0" w:color="5F497A" w:themeColor="accent4" w:themeShade="BF"/>
            </w:tcBorders>
            <w:shd w:val="clear" w:color="auto" w:fill="auto"/>
          </w:tcPr>
          <w:p w14:paraId="5991498E" w14:textId="77777777" w:rsidR="00146FD1" w:rsidRPr="00A44829" w:rsidRDefault="00146FD1" w:rsidP="00FF36E8">
            <w:pPr>
              <w:spacing w:before="40" w:after="20"/>
              <w:rPr>
                <w:rFonts w:cs="Arial"/>
                <w:b/>
                <w:sz w:val="18"/>
                <w:szCs w:val="18"/>
              </w:rPr>
            </w:pPr>
            <w:r w:rsidRPr="00A44829">
              <w:rPr>
                <w:rFonts w:cs="Arial"/>
                <w:b/>
                <w:sz w:val="18"/>
                <w:szCs w:val="18"/>
              </w:rPr>
              <w:t>Dwellings</w:t>
            </w:r>
          </w:p>
        </w:tc>
        <w:tc>
          <w:tcPr>
            <w:tcW w:w="6917" w:type="dxa"/>
            <w:tcBorders>
              <w:top w:val="nil"/>
              <w:left w:val="single" w:sz="18" w:space="0" w:color="5F497A" w:themeColor="accent4" w:themeShade="BF"/>
              <w:bottom w:val="nil"/>
              <w:right w:val="nil"/>
            </w:tcBorders>
            <w:shd w:val="clear" w:color="auto" w:fill="auto"/>
          </w:tcPr>
          <w:p w14:paraId="0E1AA2EE" w14:textId="1754FDFD" w:rsidR="003D6925" w:rsidRPr="00A44829" w:rsidRDefault="00A16BFC" w:rsidP="00A16BFC">
            <w:pPr>
              <w:spacing w:before="40" w:after="20"/>
              <w:jc w:val="both"/>
              <w:rPr>
                <w:rFonts w:cs="Arial"/>
                <w:sz w:val="16"/>
                <w:szCs w:val="16"/>
              </w:rPr>
            </w:pPr>
            <w:r w:rsidRPr="00A44829">
              <w:rPr>
                <w:rFonts w:cs="Arial"/>
                <w:sz w:val="16"/>
                <w:szCs w:val="16"/>
              </w:rPr>
              <w:t xml:space="preserve">Australian Bureau of Statistics, </w:t>
            </w:r>
            <w:r w:rsidRPr="00A44829">
              <w:rPr>
                <w:rFonts w:cs="Arial"/>
                <w:i/>
                <w:sz w:val="16"/>
                <w:szCs w:val="16"/>
              </w:rPr>
              <w:t>Census 2016</w:t>
            </w:r>
            <w:r w:rsidR="004D4E3E" w:rsidRPr="00A44829">
              <w:rPr>
                <w:rFonts w:cs="Arial"/>
                <w:i/>
                <w:sz w:val="16"/>
                <w:szCs w:val="16"/>
              </w:rPr>
              <w:t xml:space="preserve"> - </w:t>
            </w:r>
            <w:r w:rsidRPr="00A44829">
              <w:rPr>
                <w:rFonts w:cs="Arial"/>
                <w:i/>
                <w:sz w:val="16"/>
                <w:szCs w:val="16"/>
              </w:rPr>
              <w:t>Selected Dwelling Characteristics,</w:t>
            </w:r>
            <w:r w:rsidRPr="00A44829">
              <w:rPr>
                <w:rFonts w:cs="Arial"/>
                <w:sz w:val="16"/>
                <w:szCs w:val="16"/>
              </w:rPr>
              <w:t xml:space="preserve"> </w:t>
            </w:r>
            <w:r w:rsidR="003D6925" w:rsidRPr="00A44829">
              <w:rPr>
                <w:rFonts w:cs="Arial"/>
                <w:sz w:val="16"/>
                <w:szCs w:val="16"/>
              </w:rPr>
              <w:br/>
            </w:r>
            <w:r w:rsidRPr="00A44829">
              <w:rPr>
                <w:rFonts w:cs="Arial"/>
                <w:sz w:val="16"/>
                <w:szCs w:val="16"/>
              </w:rPr>
              <w:t>L</w:t>
            </w:r>
            <w:r w:rsidR="003D6925" w:rsidRPr="00A44829">
              <w:rPr>
                <w:rFonts w:cs="Arial"/>
                <w:sz w:val="16"/>
                <w:szCs w:val="16"/>
              </w:rPr>
              <w:t xml:space="preserve">ocal Government Area </w:t>
            </w:r>
            <w:r w:rsidRPr="00A44829">
              <w:rPr>
                <w:rFonts w:cs="Arial"/>
                <w:sz w:val="16"/>
                <w:szCs w:val="16"/>
              </w:rPr>
              <w:t>by DWTD Dwelling Type, Occupied and Unoccupied Private Dwellings, downloaded Census TableBuilder, October 2017.</w:t>
            </w:r>
            <w:r w:rsidR="003D6925" w:rsidRPr="00A44829">
              <w:rPr>
                <w:rFonts w:cs="Arial"/>
                <w:sz w:val="16"/>
                <w:szCs w:val="16"/>
              </w:rPr>
              <w:t xml:space="preserve"> </w:t>
            </w:r>
          </w:p>
          <w:p w14:paraId="70B3DD01" w14:textId="1ED1E41C" w:rsidR="0096697F" w:rsidRPr="00A44829" w:rsidRDefault="00586CC7" w:rsidP="00A16BFC">
            <w:pPr>
              <w:spacing w:before="40" w:after="20"/>
              <w:jc w:val="both"/>
              <w:rPr>
                <w:rFonts w:cs="Arial"/>
                <w:sz w:val="16"/>
                <w:szCs w:val="16"/>
              </w:rPr>
            </w:pPr>
            <w:hyperlink r:id="rId9" w:history="1">
              <w:r w:rsidR="00462515" w:rsidRPr="00A44829">
                <w:rPr>
                  <w:rStyle w:val="Hyperlink"/>
                  <w:rFonts w:cs="Arial"/>
                  <w:color w:val="auto"/>
                  <w:sz w:val="12"/>
                  <w:szCs w:val="12"/>
                </w:rPr>
                <w:t>http://www.abs.gov.au/websitedbs/D3310114.nsf/Home/2016%20TableBuilder</w:t>
              </w:r>
            </w:hyperlink>
            <w:r w:rsidR="00462515" w:rsidRPr="00A44829">
              <w:rPr>
                <w:rStyle w:val="Hyperlink"/>
                <w:rFonts w:cs="Arial"/>
                <w:color w:val="auto"/>
                <w:sz w:val="12"/>
                <w:szCs w:val="12"/>
              </w:rPr>
              <w:t xml:space="preserve"> </w:t>
            </w:r>
            <w:r w:rsidR="003D6925" w:rsidRPr="00A44829">
              <w:rPr>
                <w:rFonts w:cs="Arial"/>
                <w:sz w:val="12"/>
                <w:szCs w:val="12"/>
              </w:rPr>
              <w:t xml:space="preserve"> </w:t>
            </w:r>
            <w:r w:rsidR="003D6925" w:rsidRPr="00A44829">
              <w:rPr>
                <w:rFonts w:cs="Arial"/>
                <w:sz w:val="16"/>
                <w:szCs w:val="16"/>
              </w:rPr>
              <w:t xml:space="preserve"> </w:t>
            </w:r>
          </w:p>
          <w:p w14:paraId="136380A7" w14:textId="54EB22F4" w:rsidR="0053047B" w:rsidRPr="00A44829" w:rsidRDefault="0053047B" w:rsidP="007F45D1">
            <w:pPr>
              <w:spacing w:before="40" w:after="20"/>
              <w:jc w:val="both"/>
              <w:rPr>
                <w:rFonts w:cs="Arial"/>
                <w:sz w:val="16"/>
                <w:szCs w:val="16"/>
              </w:rPr>
            </w:pPr>
          </w:p>
        </w:tc>
      </w:tr>
      <w:tr w:rsidR="0053047B" w:rsidRPr="00A44829" w14:paraId="6B653445" w14:textId="77777777" w:rsidTr="0083118A">
        <w:trPr>
          <w:trHeight w:val="240"/>
        </w:trPr>
        <w:tc>
          <w:tcPr>
            <w:tcW w:w="2268" w:type="dxa"/>
            <w:tcBorders>
              <w:top w:val="nil"/>
              <w:left w:val="nil"/>
              <w:bottom w:val="nil"/>
              <w:right w:val="single" w:sz="18" w:space="0" w:color="5F497A" w:themeColor="accent4" w:themeShade="BF"/>
            </w:tcBorders>
            <w:shd w:val="clear" w:color="auto" w:fill="auto"/>
          </w:tcPr>
          <w:p w14:paraId="3AFF9240" w14:textId="0E15A64A" w:rsidR="00FA0764" w:rsidRPr="00A44829" w:rsidRDefault="00FA0764" w:rsidP="00C064BF">
            <w:pPr>
              <w:spacing w:before="40" w:after="20"/>
              <w:rPr>
                <w:rFonts w:cs="Arial"/>
                <w:b/>
                <w:sz w:val="18"/>
                <w:szCs w:val="18"/>
              </w:rPr>
            </w:pPr>
          </w:p>
        </w:tc>
        <w:tc>
          <w:tcPr>
            <w:tcW w:w="6917" w:type="dxa"/>
            <w:tcBorders>
              <w:top w:val="nil"/>
              <w:left w:val="single" w:sz="18" w:space="0" w:color="5F497A" w:themeColor="accent4" w:themeShade="BF"/>
              <w:bottom w:val="nil"/>
              <w:right w:val="nil"/>
            </w:tcBorders>
            <w:shd w:val="clear" w:color="auto" w:fill="auto"/>
          </w:tcPr>
          <w:p w14:paraId="3B69F83E" w14:textId="77777777" w:rsidR="0053047B" w:rsidRPr="00A44829" w:rsidRDefault="0053047B" w:rsidP="00C064BF">
            <w:pPr>
              <w:spacing w:before="40" w:after="20"/>
              <w:jc w:val="both"/>
              <w:rPr>
                <w:rFonts w:cs="Arial"/>
                <w:sz w:val="16"/>
                <w:szCs w:val="16"/>
              </w:rPr>
            </w:pPr>
          </w:p>
        </w:tc>
      </w:tr>
      <w:tr w:rsidR="00976C78" w:rsidRPr="00A44829" w14:paraId="34955CAB" w14:textId="77777777" w:rsidTr="0083118A">
        <w:trPr>
          <w:trHeight w:val="240"/>
        </w:trPr>
        <w:tc>
          <w:tcPr>
            <w:tcW w:w="2268" w:type="dxa"/>
            <w:tcBorders>
              <w:top w:val="nil"/>
              <w:left w:val="nil"/>
              <w:bottom w:val="nil"/>
              <w:right w:val="single" w:sz="18" w:space="0" w:color="5F497A" w:themeColor="accent4" w:themeShade="BF"/>
            </w:tcBorders>
            <w:shd w:val="clear" w:color="auto" w:fill="auto"/>
          </w:tcPr>
          <w:p w14:paraId="5AFBD666" w14:textId="77777777" w:rsidR="00146FD1" w:rsidRPr="00A44829" w:rsidRDefault="00146FD1" w:rsidP="00FF36E8">
            <w:pPr>
              <w:spacing w:before="40" w:after="20"/>
              <w:rPr>
                <w:rFonts w:cs="Arial"/>
                <w:i/>
                <w:color w:val="5F497A" w:themeColor="accent4" w:themeShade="BF"/>
                <w:sz w:val="24"/>
              </w:rPr>
            </w:pPr>
            <w:r w:rsidRPr="00A44829">
              <w:rPr>
                <w:rFonts w:cs="Arial"/>
                <w:i/>
                <w:color w:val="5F497A" w:themeColor="accent4" w:themeShade="BF"/>
                <w:sz w:val="24"/>
              </w:rPr>
              <w:t>Cost Adjustors</w:t>
            </w:r>
          </w:p>
          <w:p w14:paraId="0A5CF368" w14:textId="77777777" w:rsidR="00261079" w:rsidRPr="00A44829" w:rsidRDefault="00261079" w:rsidP="00FF36E8">
            <w:pPr>
              <w:spacing w:before="40" w:after="20"/>
              <w:rPr>
                <w:rFonts w:cs="Arial"/>
                <w:b/>
                <w:sz w:val="20"/>
                <w:szCs w:val="20"/>
              </w:rPr>
            </w:pPr>
          </w:p>
        </w:tc>
        <w:tc>
          <w:tcPr>
            <w:tcW w:w="6917" w:type="dxa"/>
            <w:tcBorders>
              <w:top w:val="nil"/>
              <w:left w:val="single" w:sz="18" w:space="0" w:color="5F497A" w:themeColor="accent4" w:themeShade="BF"/>
              <w:bottom w:val="nil"/>
              <w:right w:val="nil"/>
            </w:tcBorders>
            <w:shd w:val="clear" w:color="auto" w:fill="auto"/>
          </w:tcPr>
          <w:p w14:paraId="2AF282EC" w14:textId="77777777" w:rsidR="00146FD1" w:rsidRPr="00A44829" w:rsidRDefault="00146FD1" w:rsidP="007F45D1">
            <w:pPr>
              <w:spacing w:before="40" w:after="20"/>
              <w:jc w:val="both"/>
              <w:rPr>
                <w:rFonts w:cs="Arial"/>
                <w:sz w:val="20"/>
                <w:szCs w:val="20"/>
              </w:rPr>
            </w:pPr>
          </w:p>
        </w:tc>
      </w:tr>
      <w:tr w:rsidR="00146FD1" w:rsidRPr="00A44829" w14:paraId="399D74C3" w14:textId="77777777" w:rsidTr="0083118A">
        <w:trPr>
          <w:trHeight w:val="240"/>
        </w:trPr>
        <w:tc>
          <w:tcPr>
            <w:tcW w:w="2268" w:type="dxa"/>
            <w:tcBorders>
              <w:top w:val="nil"/>
              <w:left w:val="nil"/>
              <w:bottom w:val="nil"/>
              <w:right w:val="single" w:sz="18" w:space="0" w:color="5F497A" w:themeColor="accent4" w:themeShade="BF"/>
            </w:tcBorders>
            <w:shd w:val="clear" w:color="auto" w:fill="auto"/>
          </w:tcPr>
          <w:p w14:paraId="6110EA28" w14:textId="77777777" w:rsidR="00146FD1" w:rsidRPr="00A44829" w:rsidRDefault="00146FD1" w:rsidP="00FF36E8">
            <w:pPr>
              <w:spacing w:before="40" w:after="20"/>
              <w:rPr>
                <w:rFonts w:cs="Arial"/>
                <w:b/>
                <w:sz w:val="18"/>
                <w:szCs w:val="18"/>
              </w:rPr>
            </w:pPr>
            <w:r w:rsidRPr="00A44829">
              <w:rPr>
                <w:rFonts w:cs="Arial"/>
                <w:b/>
                <w:sz w:val="18"/>
                <w:szCs w:val="18"/>
              </w:rPr>
              <w:t>Aged Pensioners</w:t>
            </w:r>
          </w:p>
        </w:tc>
        <w:tc>
          <w:tcPr>
            <w:tcW w:w="6917" w:type="dxa"/>
            <w:tcBorders>
              <w:top w:val="nil"/>
              <w:left w:val="single" w:sz="18" w:space="0" w:color="5F497A" w:themeColor="accent4" w:themeShade="BF"/>
              <w:bottom w:val="nil"/>
              <w:right w:val="nil"/>
            </w:tcBorders>
            <w:shd w:val="clear" w:color="auto" w:fill="auto"/>
          </w:tcPr>
          <w:p w14:paraId="0827C9E0" w14:textId="77777777" w:rsidR="00462515" w:rsidRPr="00A44829" w:rsidRDefault="00462515" w:rsidP="00462515">
            <w:pPr>
              <w:spacing w:before="40" w:after="20"/>
              <w:jc w:val="both"/>
              <w:rPr>
                <w:rFonts w:cs="Arial"/>
                <w:sz w:val="16"/>
                <w:szCs w:val="16"/>
              </w:rPr>
            </w:pPr>
            <w:r w:rsidRPr="00A44829">
              <w:rPr>
                <w:rFonts w:cs="Arial"/>
                <w:sz w:val="16"/>
                <w:szCs w:val="16"/>
              </w:rPr>
              <w:t xml:space="preserve">Department of Social Services (DSS), </w:t>
            </w:r>
            <w:r w:rsidRPr="00A44829">
              <w:rPr>
                <w:rFonts w:cs="Arial"/>
                <w:i/>
                <w:sz w:val="16"/>
                <w:szCs w:val="16"/>
              </w:rPr>
              <w:t>Payment Demographic Data (Centrelink data) June 2018 quarter</w:t>
            </w:r>
            <w:r w:rsidRPr="00A44829">
              <w:rPr>
                <w:rFonts w:cs="Arial"/>
                <w:sz w:val="16"/>
                <w:szCs w:val="16"/>
              </w:rPr>
              <w:t xml:space="preserve">, downloaded June 2018. </w:t>
            </w:r>
          </w:p>
          <w:p w14:paraId="327CDA80" w14:textId="7AD21B00" w:rsidR="00462515" w:rsidRPr="00A44829" w:rsidRDefault="00586CC7" w:rsidP="00462515">
            <w:pPr>
              <w:spacing w:before="40" w:after="20"/>
              <w:jc w:val="both"/>
              <w:rPr>
                <w:rFonts w:cs="Arial"/>
                <w:sz w:val="12"/>
                <w:szCs w:val="12"/>
              </w:rPr>
            </w:pPr>
            <w:hyperlink r:id="rId10" w:history="1">
              <w:r w:rsidR="00462515" w:rsidRPr="00A44829">
                <w:rPr>
                  <w:rStyle w:val="Hyperlink"/>
                  <w:rFonts w:cs="Arial"/>
                  <w:color w:val="auto"/>
                  <w:sz w:val="12"/>
                  <w:szCs w:val="12"/>
                </w:rPr>
                <w:t>https://data.gov.au/dataset/dss-payment-demographic-data</w:t>
              </w:r>
            </w:hyperlink>
            <w:r w:rsidR="00462515" w:rsidRPr="00A44829">
              <w:rPr>
                <w:rStyle w:val="Hyperlink"/>
                <w:rFonts w:cs="Arial"/>
                <w:color w:val="auto"/>
                <w:sz w:val="12"/>
                <w:szCs w:val="12"/>
              </w:rPr>
              <w:t xml:space="preserve"> </w:t>
            </w:r>
            <w:r w:rsidR="00462515" w:rsidRPr="00A44829">
              <w:rPr>
                <w:rFonts w:cs="Arial"/>
                <w:sz w:val="12"/>
                <w:szCs w:val="12"/>
              </w:rPr>
              <w:t xml:space="preserve"> </w:t>
            </w:r>
          </w:p>
          <w:p w14:paraId="1C3A492B" w14:textId="77777777" w:rsidR="00462515" w:rsidRPr="00A44829" w:rsidRDefault="00462515" w:rsidP="00462515">
            <w:pPr>
              <w:spacing w:before="40" w:after="20"/>
              <w:jc w:val="both"/>
              <w:rPr>
                <w:rFonts w:cs="Arial"/>
                <w:sz w:val="16"/>
                <w:szCs w:val="16"/>
              </w:rPr>
            </w:pPr>
          </w:p>
          <w:p w14:paraId="1C4FDB99" w14:textId="07E94CF7" w:rsidR="003D6925" w:rsidRPr="00A44829" w:rsidRDefault="0083118A" w:rsidP="00462515">
            <w:pPr>
              <w:spacing w:before="40" w:after="20"/>
              <w:jc w:val="both"/>
              <w:rPr>
                <w:rFonts w:cs="Arial"/>
                <w:sz w:val="16"/>
                <w:szCs w:val="16"/>
              </w:rPr>
            </w:pPr>
            <w:r w:rsidRPr="00A44829">
              <w:rPr>
                <w:rFonts w:cs="Arial"/>
                <w:sz w:val="16"/>
                <w:szCs w:val="16"/>
              </w:rPr>
              <w:t xml:space="preserve">Australian Bureau of Statistics, Estimated Residential Population, Table 1: ERP, Age by Sex, Local Government Area, at 30 June 2017(p), Customised Report obtained, November 2018 </w:t>
            </w:r>
          </w:p>
          <w:p w14:paraId="05D0E2E7" w14:textId="4F25AB80" w:rsidR="003D6925" w:rsidRPr="00A44829" w:rsidRDefault="003D6925" w:rsidP="007F45D1">
            <w:pPr>
              <w:spacing w:before="40" w:after="20"/>
              <w:jc w:val="both"/>
              <w:rPr>
                <w:rFonts w:cs="Arial"/>
                <w:sz w:val="16"/>
                <w:szCs w:val="16"/>
              </w:rPr>
            </w:pPr>
          </w:p>
        </w:tc>
      </w:tr>
      <w:tr w:rsidR="00261079" w:rsidRPr="00A44829" w14:paraId="53B7C847" w14:textId="77777777" w:rsidTr="0083118A">
        <w:trPr>
          <w:trHeight w:val="240"/>
        </w:trPr>
        <w:tc>
          <w:tcPr>
            <w:tcW w:w="2268" w:type="dxa"/>
            <w:tcBorders>
              <w:top w:val="nil"/>
              <w:left w:val="nil"/>
              <w:bottom w:val="nil"/>
              <w:right w:val="single" w:sz="18" w:space="0" w:color="5F497A" w:themeColor="accent4" w:themeShade="BF"/>
            </w:tcBorders>
            <w:shd w:val="clear" w:color="auto" w:fill="auto"/>
          </w:tcPr>
          <w:p w14:paraId="68952332" w14:textId="77777777" w:rsidR="00261079" w:rsidRPr="00A44829" w:rsidRDefault="00261079" w:rsidP="00976C78">
            <w:pPr>
              <w:spacing w:before="40" w:after="20"/>
              <w:rPr>
                <w:rFonts w:cs="Arial"/>
                <w:b/>
                <w:sz w:val="18"/>
                <w:szCs w:val="18"/>
              </w:rPr>
            </w:pPr>
            <w:r w:rsidRPr="00A44829">
              <w:rPr>
                <w:rFonts w:cs="Arial"/>
                <w:b/>
                <w:sz w:val="18"/>
                <w:szCs w:val="18"/>
              </w:rPr>
              <w:t>Economies of Scale</w:t>
            </w:r>
          </w:p>
        </w:tc>
        <w:tc>
          <w:tcPr>
            <w:tcW w:w="6917" w:type="dxa"/>
            <w:tcBorders>
              <w:top w:val="nil"/>
              <w:left w:val="single" w:sz="18" w:space="0" w:color="5F497A" w:themeColor="accent4" w:themeShade="BF"/>
              <w:bottom w:val="nil"/>
              <w:right w:val="nil"/>
            </w:tcBorders>
            <w:shd w:val="clear" w:color="auto" w:fill="auto"/>
          </w:tcPr>
          <w:p w14:paraId="7A9D803B" w14:textId="113BA4E0" w:rsidR="003D6925" w:rsidRPr="00A44829" w:rsidRDefault="003D6925" w:rsidP="003D6925">
            <w:pPr>
              <w:spacing w:before="40" w:after="20"/>
              <w:jc w:val="both"/>
              <w:rPr>
                <w:rFonts w:cs="Arial"/>
                <w:sz w:val="16"/>
                <w:szCs w:val="16"/>
              </w:rPr>
            </w:pPr>
            <w:r w:rsidRPr="00A44829">
              <w:rPr>
                <w:rFonts w:cs="Arial"/>
                <w:sz w:val="16"/>
                <w:szCs w:val="16"/>
              </w:rPr>
              <w:t xml:space="preserve">Australian Bureau of Statistics, </w:t>
            </w:r>
            <w:r w:rsidRPr="00A44829">
              <w:rPr>
                <w:rFonts w:cs="Arial"/>
                <w:i/>
                <w:sz w:val="16"/>
                <w:szCs w:val="16"/>
              </w:rPr>
              <w:t>Census 2016</w:t>
            </w:r>
            <w:r w:rsidR="004D4E3E" w:rsidRPr="00A44829">
              <w:rPr>
                <w:rFonts w:cs="Arial"/>
                <w:i/>
                <w:sz w:val="16"/>
                <w:szCs w:val="16"/>
              </w:rPr>
              <w:t xml:space="preserve"> - </w:t>
            </w:r>
            <w:r w:rsidRPr="00A44829">
              <w:rPr>
                <w:rFonts w:cs="Arial"/>
                <w:i/>
                <w:sz w:val="16"/>
                <w:szCs w:val="16"/>
              </w:rPr>
              <w:t>Selected Dwelling Characteristics,</w:t>
            </w:r>
            <w:r w:rsidRPr="00A44829">
              <w:rPr>
                <w:rFonts w:cs="Arial"/>
                <w:sz w:val="16"/>
                <w:szCs w:val="16"/>
              </w:rPr>
              <w:t xml:space="preserve"> </w:t>
            </w:r>
            <w:r w:rsidRPr="00A44829">
              <w:rPr>
                <w:rFonts w:cs="Arial"/>
                <w:sz w:val="16"/>
                <w:szCs w:val="16"/>
              </w:rPr>
              <w:br/>
              <w:t xml:space="preserve">Local Government Area by DWTD Dwelling Type, Occupied and Unoccupied Private Dwellings, downloaded Census TableBuilder, October 2017. </w:t>
            </w:r>
          </w:p>
          <w:p w14:paraId="074D5D56" w14:textId="7508BF78" w:rsidR="003D6925" w:rsidRPr="00A44829" w:rsidRDefault="00586CC7" w:rsidP="003D6925">
            <w:pPr>
              <w:spacing w:before="40" w:after="20"/>
              <w:jc w:val="both"/>
              <w:rPr>
                <w:rFonts w:cs="Arial"/>
                <w:sz w:val="16"/>
                <w:szCs w:val="16"/>
              </w:rPr>
            </w:pPr>
            <w:hyperlink r:id="rId11" w:history="1">
              <w:r w:rsidR="00462515" w:rsidRPr="00A44829">
                <w:rPr>
                  <w:rStyle w:val="Hyperlink"/>
                  <w:rFonts w:cs="Arial"/>
                  <w:color w:val="auto"/>
                  <w:sz w:val="12"/>
                  <w:szCs w:val="12"/>
                </w:rPr>
                <w:t>http://www.abs.gov.au/websitedbs/D3310114.nsf/Home/2016%20TableBuilder</w:t>
              </w:r>
            </w:hyperlink>
            <w:r w:rsidR="00462515" w:rsidRPr="00A44829">
              <w:rPr>
                <w:rStyle w:val="Hyperlink"/>
                <w:rFonts w:cs="Arial"/>
                <w:color w:val="auto"/>
                <w:sz w:val="12"/>
                <w:szCs w:val="12"/>
              </w:rPr>
              <w:t xml:space="preserve"> </w:t>
            </w:r>
            <w:r w:rsidR="003D6925" w:rsidRPr="00A44829">
              <w:rPr>
                <w:rFonts w:cs="Arial"/>
                <w:sz w:val="12"/>
                <w:szCs w:val="12"/>
              </w:rPr>
              <w:t xml:space="preserve"> </w:t>
            </w:r>
            <w:r w:rsidR="003D6925" w:rsidRPr="00A44829">
              <w:rPr>
                <w:rFonts w:cs="Arial"/>
                <w:sz w:val="16"/>
                <w:szCs w:val="16"/>
              </w:rPr>
              <w:t xml:space="preserve"> </w:t>
            </w:r>
          </w:p>
          <w:p w14:paraId="4EA965EB" w14:textId="77777777" w:rsidR="00261079" w:rsidRPr="00A44829" w:rsidRDefault="00261079" w:rsidP="007F45D1">
            <w:pPr>
              <w:spacing w:before="40" w:after="20"/>
              <w:jc w:val="both"/>
              <w:rPr>
                <w:rFonts w:cs="Arial"/>
                <w:sz w:val="16"/>
                <w:szCs w:val="16"/>
              </w:rPr>
            </w:pPr>
          </w:p>
        </w:tc>
      </w:tr>
      <w:tr w:rsidR="00261079" w:rsidRPr="00A44829" w14:paraId="7321BBAB" w14:textId="77777777" w:rsidTr="0083118A">
        <w:trPr>
          <w:trHeight w:val="240"/>
        </w:trPr>
        <w:tc>
          <w:tcPr>
            <w:tcW w:w="2268" w:type="dxa"/>
            <w:tcBorders>
              <w:top w:val="nil"/>
              <w:left w:val="nil"/>
              <w:bottom w:val="nil"/>
              <w:right w:val="single" w:sz="18" w:space="0" w:color="5F497A" w:themeColor="accent4" w:themeShade="BF"/>
            </w:tcBorders>
            <w:shd w:val="clear" w:color="auto" w:fill="auto"/>
          </w:tcPr>
          <w:p w14:paraId="4C8B38D0" w14:textId="6BD64457" w:rsidR="00261079" w:rsidRPr="00A44829" w:rsidRDefault="00261079" w:rsidP="00FF36E8">
            <w:pPr>
              <w:spacing w:before="40" w:after="20"/>
              <w:rPr>
                <w:rFonts w:cs="Arial"/>
                <w:b/>
                <w:sz w:val="18"/>
                <w:szCs w:val="18"/>
              </w:rPr>
            </w:pPr>
            <w:r w:rsidRPr="00A44829">
              <w:rPr>
                <w:rFonts w:cs="Arial"/>
                <w:b/>
                <w:sz w:val="18"/>
                <w:szCs w:val="18"/>
              </w:rPr>
              <w:t>Environmental Risk</w:t>
            </w:r>
            <w:r w:rsidR="00D01C05" w:rsidRPr="00A44829">
              <w:rPr>
                <w:rFonts w:cs="Arial"/>
                <w:b/>
                <w:sz w:val="18"/>
                <w:szCs w:val="18"/>
              </w:rPr>
              <w:t xml:space="preserve"> (Fire &amp; Flood)</w:t>
            </w:r>
            <w:r w:rsidR="006B574F" w:rsidRPr="00A44829">
              <w:rPr>
                <w:rFonts w:cs="Arial"/>
                <w:b/>
                <w:sz w:val="18"/>
                <w:szCs w:val="18"/>
              </w:rPr>
              <w:t xml:space="preserve"> Rating</w:t>
            </w:r>
          </w:p>
        </w:tc>
        <w:tc>
          <w:tcPr>
            <w:tcW w:w="6917" w:type="dxa"/>
            <w:tcBorders>
              <w:top w:val="nil"/>
              <w:left w:val="single" w:sz="18" w:space="0" w:color="5F497A" w:themeColor="accent4" w:themeShade="BF"/>
              <w:bottom w:val="nil"/>
              <w:right w:val="nil"/>
            </w:tcBorders>
            <w:shd w:val="clear" w:color="auto" w:fill="auto"/>
          </w:tcPr>
          <w:p w14:paraId="58BB54A1" w14:textId="77777777" w:rsidR="0083118A" w:rsidRPr="00A44829" w:rsidRDefault="003D6925" w:rsidP="003D6925">
            <w:pPr>
              <w:spacing w:before="40" w:after="20"/>
              <w:jc w:val="both"/>
              <w:rPr>
                <w:rFonts w:cs="Arial"/>
                <w:sz w:val="16"/>
                <w:szCs w:val="16"/>
              </w:rPr>
            </w:pPr>
            <w:r w:rsidRPr="00A44829">
              <w:rPr>
                <w:rFonts w:cs="Arial"/>
                <w:sz w:val="16"/>
                <w:szCs w:val="16"/>
              </w:rPr>
              <w:t xml:space="preserve">Department of Environment, Land, Water &amp; Planning, Planning, Building &amp; Heritage, Planning </w:t>
            </w:r>
          </w:p>
          <w:p w14:paraId="187D788B" w14:textId="25AA9961" w:rsidR="0083118A" w:rsidRPr="00A44829" w:rsidRDefault="003D6925" w:rsidP="003D6925">
            <w:pPr>
              <w:spacing w:before="40" w:after="20"/>
              <w:jc w:val="both"/>
              <w:rPr>
                <w:rFonts w:cs="Arial"/>
                <w:sz w:val="16"/>
                <w:szCs w:val="16"/>
              </w:rPr>
            </w:pPr>
            <w:r w:rsidRPr="00A44829">
              <w:rPr>
                <w:rFonts w:cs="Arial"/>
                <w:sz w:val="16"/>
                <w:szCs w:val="16"/>
              </w:rPr>
              <w:t xml:space="preserve"> - </w:t>
            </w:r>
            <w:r w:rsidRPr="00A44829">
              <w:rPr>
                <w:rFonts w:cs="Arial"/>
                <w:i/>
                <w:sz w:val="16"/>
                <w:szCs w:val="16"/>
              </w:rPr>
              <w:t>Rateable properties affected by BMO GC13</w:t>
            </w:r>
            <w:r w:rsidRPr="00A44829">
              <w:rPr>
                <w:rFonts w:cs="Arial"/>
                <w:sz w:val="16"/>
                <w:szCs w:val="16"/>
              </w:rPr>
              <w:t xml:space="preserve">, December 2017. </w:t>
            </w:r>
          </w:p>
          <w:p w14:paraId="5CECBFA8" w14:textId="1CCADF81" w:rsidR="0096697F" w:rsidRPr="00A44829" w:rsidRDefault="003D6925" w:rsidP="003D6925">
            <w:pPr>
              <w:spacing w:before="40" w:after="20"/>
              <w:jc w:val="both"/>
              <w:rPr>
                <w:rFonts w:cs="Arial"/>
                <w:sz w:val="16"/>
                <w:szCs w:val="16"/>
              </w:rPr>
            </w:pPr>
            <w:r w:rsidRPr="00A44829">
              <w:rPr>
                <w:rFonts w:cs="Arial"/>
                <w:sz w:val="16"/>
                <w:szCs w:val="16"/>
              </w:rPr>
              <w:t xml:space="preserve"> - </w:t>
            </w:r>
            <w:r w:rsidRPr="00A44829">
              <w:rPr>
                <w:rFonts w:cs="Arial"/>
                <w:i/>
                <w:sz w:val="16"/>
                <w:szCs w:val="16"/>
              </w:rPr>
              <w:t>Rateable properties affected by 1% flood event</w:t>
            </w:r>
            <w:r w:rsidRPr="00A44829">
              <w:rPr>
                <w:rFonts w:cs="Arial"/>
                <w:sz w:val="16"/>
                <w:szCs w:val="16"/>
              </w:rPr>
              <w:t>, December 2017.</w:t>
            </w:r>
            <w:r w:rsidR="0083118A" w:rsidRPr="00A44829">
              <w:rPr>
                <w:rFonts w:cs="Arial"/>
                <w:sz w:val="16"/>
                <w:szCs w:val="16"/>
              </w:rPr>
              <w:t xml:space="preserve"> </w:t>
            </w:r>
          </w:p>
          <w:p w14:paraId="2E259715" w14:textId="77777777" w:rsidR="00261079" w:rsidRPr="00A44829" w:rsidRDefault="00261079" w:rsidP="007F45D1">
            <w:pPr>
              <w:spacing w:before="40" w:after="20"/>
              <w:jc w:val="both"/>
              <w:rPr>
                <w:rFonts w:cs="Arial"/>
                <w:sz w:val="16"/>
                <w:szCs w:val="16"/>
              </w:rPr>
            </w:pPr>
          </w:p>
        </w:tc>
      </w:tr>
      <w:tr w:rsidR="00261079" w:rsidRPr="00A44829" w14:paraId="52ED77C5" w14:textId="77777777" w:rsidTr="0083118A">
        <w:trPr>
          <w:trHeight w:val="240"/>
        </w:trPr>
        <w:tc>
          <w:tcPr>
            <w:tcW w:w="2268" w:type="dxa"/>
            <w:tcBorders>
              <w:top w:val="nil"/>
              <w:left w:val="nil"/>
              <w:bottom w:val="nil"/>
              <w:right w:val="single" w:sz="18" w:space="0" w:color="5F497A" w:themeColor="accent4" w:themeShade="BF"/>
            </w:tcBorders>
            <w:shd w:val="clear" w:color="auto" w:fill="auto"/>
          </w:tcPr>
          <w:p w14:paraId="7029946A" w14:textId="77777777" w:rsidR="00261079" w:rsidRPr="00A44829" w:rsidRDefault="00261079" w:rsidP="00FF36E8">
            <w:pPr>
              <w:spacing w:before="40" w:after="20"/>
              <w:rPr>
                <w:rFonts w:cs="Arial"/>
                <w:b/>
                <w:sz w:val="18"/>
                <w:szCs w:val="18"/>
              </w:rPr>
            </w:pPr>
            <w:r w:rsidRPr="00A44829">
              <w:rPr>
                <w:rFonts w:cs="Arial"/>
                <w:b/>
                <w:sz w:val="18"/>
                <w:szCs w:val="18"/>
              </w:rPr>
              <w:t>Indigenous Population</w:t>
            </w:r>
          </w:p>
        </w:tc>
        <w:tc>
          <w:tcPr>
            <w:tcW w:w="6917" w:type="dxa"/>
            <w:tcBorders>
              <w:top w:val="nil"/>
              <w:left w:val="single" w:sz="18" w:space="0" w:color="5F497A" w:themeColor="accent4" w:themeShade="BF"/>
              <w:bottom w:val="nil"/>
              <w:right w:val="nil"/>
            </w:tcBorders>
            <w:shd w:val="clear" w:color="auto" w:fill="auto"/>
          </w:tcPr>
          <w:p w14:paraId="139EAFFA" w14:textId="6AE44383" w:rsidR="004D4E3E" w:rsidRPr="00A44829" w:rsidRDefault="003D6925" w:rsidP="004D4E3E">
            <w:pPr>
              <w:spacing w:before="40" w:after="20"/>
              <w:jc w:val="both"/>
              <w:rPr>
                <w:rFonts w:cs="Arial"/>
                <w:sz w:val="16"/>
                <w:szCs w:val="16"/>
              </w:rPr>
            </w:pPr>
            <w:r w:rsidRPr="00A44829">
              <w:rPr>
                <w:rFonts w:cs="Arial"/>
                <w:sz w:val="16"/>
                <w:szCs w:val="16"/>
              </w:rPr>
              <w:t>Australian Bureau of Statistics, C</w:t>
            </w:r>
            <w:r w:rsidRPr="00A44829">
              <w:rPr>
                <w:rFonts w:cs="Arial"/>
                <w:i/>
                <w:sz w:val="16"/>
                <w:szCs w:val="16"/>
              </w:rPr>
              <w:t>ensus 2016</w:t>
            </w:r>
            <w:r w:rsidR="004D4E3E" w:rsidRPr="00A44829">
              <w:rPr>
                <w:rFonts w:cs="Arial"/>
                <w:i/>
                <w:sz w:val="16"/>
                <w:szCs w:val="16"/>
              </w:rPr>
              <w:t xml:space="preserve"> - </w:t>
            </w:r>
            <w:r w:rsidRPr="00A44829">
              <w:rPr>
                <w:rFonts w:cs="Arial"/>
                <w:i/>
                <w:sz w:val="16"/>
                <w:szCs w:val="16"/>
              </w:rPr>
              <w:t>Cultural Diversity, LGA(UR) by IINGP Indigenous Status</w:t>
            </w:r>
            <w:r w:rsidRPr="00A44829">
              <w:rPr>
                <w:rFonts w:cs="Arial"/>
                <w:sz w:val="16"/>
                <w:szCs w:val="16"/>
              </w:rPr>
              <w:t xml:space="preserve">, Local Government Area, Aboriginal and Torres Strait Islander Population by Usual Residence, downloaded </w:t>
            </w:r>
            <w:r w:rsidR="004D4E3E" w:rsidRPr="00A44829">
              <w:rPr>
                <w:rFonts w:cs="Arial"/>
                <w:sz w:val="16"/>
                <w:szCs w:val="16"/>
              </w:rPr>
              <w:t xml:space="preserve">Census TableBuilder, December 2017. </w:t>
            </w:r>
          </w:p>
          <w:p w14:paraId="49D1C144" w14:textId="4A0C5723" w:rsidR="004D4E3E" w:rsidRPr="00A44829" w:rsidRDefault="00586CC7" w:rsidP="004D4E3E">
            <w:pPr>
              <w:spacing w:before="40" w:after="20"/>
              <w:jc w:val="both"/>
              <w:rPr>
                <w:rFonts w:cs="Arial"/>
                <w:sz w:val="16"/>
                <w:szCs w:val="16"/>
              </w:rPr>
            </w:pPr>
            <w:hyperlink r:id="rId12" w:history="1">
              <w:r w:rsidR="004D4E3E" w:rsidRPr="00A44829">
                <w:rPr>
                  <w:rStyle w:val="Hyperlink"/>
                  <w:rFonts w:cs="Arial"/>
                  <w:color w:val="auto"/>
                  <w:sz w:val="12"/>
                  <w:szCs w:val="12"/>
                </w:rPr>
                <w:t>http://www.abs.gov.au/websitedbs/D3310114.nsf/Home/2016%20TableBuilder</w:t>
              </w:r>
            </w:hyperlink>
            <w:r w:rsidR="00462515" w:rsidRPr="00A44829">
              <w:rPr>
                <w:rStyle w:val="Hyperlink"/>
                <w:rFonts w:cs="Arial"/>
                <w:color w:val="auto"/>
                <w:sz w:val="12"/>
                <w:szCs w:val="12"/>
              </w:rPr>
              <w:t xml:space="preserve"> </w:t>
            </w:r>
            <w:r w:rsidR="004D4E3E" w:rsidRPr="00A44829">
              <w:rPr>
                <w:rFonts w:cs="Arial"/>
                <w:sz w:val="12"/>
                <w:szCs w:val="12"/>
              </w:rPr>
              <w:t xml:space="preserve"> </w:t>
            </w:r>
            <w:r w:rsidR="004D4E3E" w:rsidRPr="00A44829">
              <w:rPr>
                <w:rFonts w:cs="Arial"/>
                <w:sz w:val="16"/>
                <w:szCs w:val="16"/>
              </w:rPr>
              <w:t xml:space="preserve"> </w:t>
            </w:r>
          </w:p>
          <w:p w14:paraId="6DEA5C8D" w14:textId="77777777" w:rsidR="00261079" w:rsidRPr="00A44829" w:rsidRDefault="00261079" w:rsidP="007F45D1">
            <w:pPr>
              <w:spacing w:before="40" w:after="20"/>
              <w:jc w:val="both"/>
              <w:rPr>
                <w:rFonts w:cs="Arial"/>
                <w:sz w:val="16"/>
                <w:szCs w:val="16"/>
              </w:rPr>
            </w:pPr>
          </w:p>
        </w:tc>
      </w:tr>
      <w:tr w:rsidR="00261079" w:rsidRPr="00A44829" w14:paraId="1299C959" w14:textId="77777777" w:rsidTr="0083118A">
        <w:trPr>
          <w:trHeight w:val="240"/>
        </w:trPr>
        <w:tc>
          <w:tcPr>
            <w:tcW w:w="2268" w:type="dxa"/>
            <w:tcBorders>
              <w:top w:val="nil"/>
              <w:left w:val="nil"/>
              <w:bottom w:val="nil"/>
              <w:right w:val="single" w:sz="18" w:space="0" w:color="5F497A" w:themeColor="accent4" w:themeShade="BF"/>
            </w:tcBorders>
            <w:shd w:val="clear" w:color="auto" w:fill="auto"/>
          </w:tcPr>
          <w:p w14:paraId="7B18A5CB" w14:textId="77777777" w:rsidR="00261079" w:rsidRPr="00A44829" w:rsidRDefault="00261079" w:rsidP="00FF36E8">
            <w:pPr>
              <w:spacing w:before="40" w:after="20"/>
              <w:rPr>
                <w:rFonts w:cs="Arial"/>
                <w:b/>
                <w:sz w:val="18"/>
                <w:szCs w:val="18"/>
              </w:rPr>
            </w:pPr>
            <w:r w:rsidRPr="00A44829">
              <w:rPr>
                <w:rFonts w:cs="Arial"/>
                <w:b/>
                <w:sz w:val="18"/>
                <w:szCs w:val="18"/>
              </w:rPr>
              <w:t>Language</w:t>
            </w:r>
          </w:p>
        </w:tc>
        <w:tc>
          <w:tcPr>
            <w:tcW w:w="6917" w:type="dxa"/>
            <w:tcBorders>
              <w:top w:val="nil"/>
              <w:left w:val="single" w:sz="18" w:space="0" w:color="5F497A" w:themeColor="accent4" w:themeShade="BF"/>
              <w:bottom w:val="nil"/>
              <w:right w:val="nil"/>
            </w:tcBorders>
            <w:shd w:val="clear" w:color="auto" w:fill="auto"/>
          </w:tcPr>
          <w:p w14:paraId="2024701D" w14:textId="19DD071F" w:rsidR="004D4E3E" w:rsidRPr="00A44829" w:rsidRDefault="004D4E3E" w:rsidP="004D4E3E">
            <w:pPr>
              <w:spacing w:before="40" w:after="20"/>
              <w:jc w:val="both"/>
              <w:rPr>
                <w:rFonts w:cs="Arial"/>
                <w:sz w:val="16"/>
                <w:szCs w:val="16"/>
              </w:rPr>
            </w:pPr>
            <w:r w:rsidRPr="00A44829">
              <w:rPr>
                <w:rFonts w:cs="Arial"/>
                <w:sz w:val="16"/>
                <w:szCs w:val="16"/>
              </w:rPr>
              <w:t xml:space="preserve">Australian Bureau of Statistics, </w:t>
            </w:r>
            <w:r w:rsidRPr="00A44829">
              <w:rPr>
                <w:rFonts w:cs="Arial"/>
                <w:i/>
                <w:sz w:val="16"/>
                <w:szCs w:val="16"/>
              </w:rPr>
              <w:t>Census</w:t>
            </w:r>
            <w:r w:rsidR="005E7BF1" w:rsidRPr="00A44829">
              <w:rPr>
                <w:rFonts w:cs="Arial"/>
                <w:i/>
                <w:sz w:val="16"/>
                <w:szCs w:val="16"/>
              </w:rPr>
              <w:t xml:space="preserve"> 2016</w:t>
            </w:r>
            <w:r w:rsidRPr="00A44829">
              <w:rPr>
                <w:rFonts w:cs="Arial"/>
                <w:i/>
                <w:sz w:val="16"/>
                <w:szCs w:val="16"/>
              </w:rPr>
              <w:t xml:space="preserve"> – Cultural Diversity, LGA (UR) by ENGP Proficiency in Spoken English</w:t>
            </w:r>
            <w:r w:rsidRPr="00A44829">
              <w:rPr>
                <w:rFonts w:cs="Arial"/>
                <w:sz w:val="16"/>
                <w:szCs w:val="16"/>
              </w:rPr>
              <w:t xml:space="preserve"> (not well and not at all), Local Government Area, downloaded Census TableBuilder, December 2017. </w:t>
            </w:r>
          </w:p>
          <w:p w14:paraId="30EDC54E" w14:textId="24186BCF" w:rsidR="004D4E3E" w:rsidRPr="00A44829" w:rsidRDefault="00586CC7" w:rsidP="004D4E3E">
            <w:pPr>
              <w:spacing w:before="40" w:after="20"/>
              <w:jc w:val="both"/>
              <w:rPr>
                <w:rFonts w:cs="Arial"/>
                <w:sz w:val="16"/>
                <w:szCs w:val="16"/>
              </w:rPr>
            </w:pPr>
            <w:hyperlink r:id="rId13" w:history="1">
              <w:r w:rsidR="004D4E3E" w:rsidRPr="00A44829">
                <w:rPr>
                  <w:rStyle w:val="Hyperlink"/>
                  <w:rFonts w:cs="Arial"/>
                  <w:color w:val="auto"/>
                  <w:sz w:val="12"/>
                  <w:szCs w:val="12"/>
                </w:rPr>
                <w:t>http://www.abs.gov.au/websitedbs/D3310114.nsf/Home/2016%20TableBuilder</w:t>
              </w:r>
            </w:hyperlink>
            <w:r w:rsidR="00462515" w:rsidRPr="00A44829">
              <w:rPr>
                <w:rStyle w:val="Hyperlink"/>
                <w:rFonts w:cs="Arial"/>
                <w:color w:val="auto"/>
                <w:sz w:val="12"/>
                <w:szCs w:val="12"/>
              </w:rPr>
              <w:t xml:space="preserve"> </w:t>
            </w:r>
            <w:r w:rsidR="004D4E3E" w:rsidRPr="00A44829">
              <w:rPr>
                <w:rFonts w:cs="Arial"/>
                <w:sz w:val="16"/>
                <w:szCs w:val="16"/>
              </w:rPr>
              <w:t xml:space="preserve"> </w:t>
            </w:r>
          </w:p>
          <w:p w14:paraId="73BD9523" w14:textId="77777777" w:rsidR="00462515" w:rsidRPr="00A44829" w:rsidRDefault="00462515" w:rsidP="004D4E3E">
            <w:pPr>
              <w:spacing w:before="40" w:after="20"/>
              <w:jc w:val="both"/>
              <w:rPr>
                <w:rFonts w:cs="Arial"/>
                <w:sz w:val="16"/>
                <w:szCs w:val="16"/>
              </w:rPr>
            </w:pPr>
          </w:p>
          <w:p w14:paraId="5418F550" w14:textId="0315BB42" w:rsidR="004D4E3E" w:rsidRPr="00A44829" w:rsidRDefault="004D4E3E" w:rsidP="004D4E3E">
            <w:pPr>
              <w:spacing w:before="40" w:after="20"/>
              <w:jc w:val="both"/>
              <w:rPr>
                <w:rFonts w:cs="Arial"/>
                <w:sz w:val="16"/>
                <w:szCs w:val="16"/>
              </w:rPr>
            </w:pPr>
            <w:r w:rsidRPr="00A44829">
              <w:rPr>
                <w:rFonts w:cs="Arial"/>
                <w:sz w:val="16"/>
                <w:szCs w:val="16"/>
              </w:rPr>
              <w:t xml:space="preserve">Australian Bureau of Statistics, </w:t>
            </w:r>
            <w:r w:rsidRPr="00A44829">
              <w:rPr>
                <w:rFonts w:cs="Arial"/>
                <w:i/>
                <w:sz w:val="16"/>
                <w:szCs w:val="16"/>
              </w:rPr>
              <w:t>Census 2016 – Internal Migration, LGA (UR) by ENGP Proficiency in Spoken English and YARRP Year of Arrival in Australia</w:t>
            </w:r>
            <w:r w:rsidRPr="00A44829">
              <w:rPr>
                <w:rFonts w:cs="Arial"/>
                <w:sz w:val="16"/>
                <w:szCs w:val="16"/>
              </w:rPr>
              <w:t xml:space="preserve">, Arrivals by Year, </w:t>
            </w:r>
          </w:p>
          <w:p w14:paraId="31AE490F" w14:textId="77777777" w:rsidR="004D4E3E" w:rsidRPr="00A44829" w:rsidRDefault="004D4E3E" w:rsidP="004D4E3E">
            <w:pPr>
              <w:spacing w:before="40" w:after="20"/>
              <w:jc w:val="both"/>
              <w:rPr>
                <w:rFonts w:cs="Arial"/>
                <w:sz w:val="16"/>
                <w:szCs w:val="16"/>
              </w:rPr>
            </w:pPr>
            <w:r w:rsidRPr="00A44829">
              <w:rPr>
                <w:rFonts w:cs="Arial"/>
                <w:sz w:val="16"/>
                <w:szCs w:val="16"/>
              </w:rPr>
              <w:t xml:space="preserve">Local Government Area, downloaded Census TableBuilder, December 2017. </w:t>
            </w:r>
          </w:p>
          <w:p w14:paraId="06359AFF" w14:textId="58033E5F" w:rsidR="004D4E3E" w:rsidRPr="00A44829" w:rsidRDefault="00586CC7" w:rsidP="004D4E3E">
            <w:pPr>
              <w:spacing w:before="40" w:after="20"/>
              <w:jc w:val="both"/>
              <w:rPr>
                <w:rFonts w:cs="Arial"/>
                <w:sz w:val="16"/>
                <w:szCs w:val="16"/>
              </w:rPr>
            </w:pPr>
            <w:hyperlink r:id="rId14" w:history="1">
              <w:r w:rsidR="004D4E3E" w:rsidRPr="00A44829">
                <w:rPr>
                  <w:rStyle w:val="Hyperlink"/>
                  <w:rFonts w:cs="Arial"/>
                  <w:color w:val="auto"/>
                  <w:sz w:val="12"/>
                  <w:szCs w:val="12"/>
                </w:rPr>
                <w:t>http://www.abs.gov.au/websitedbs/D3310114.nsf/Home/2016%20TableBuilder</w:t>
              </w:r>
            </w:hyperlink>
            <w:r w:rsidR="00462515" w:rsidRPr="00A44829">
              <w:rPr>
                <w:rStyle w:val="Hyperlink"/>
                <w:rFonts w:cs="Arial"/>
                <w:color w:val="auto"/>
                <w:sz w:val="12"/>
                <w:szCs w:val="12"/>
              </w:rPr>
              <w:t xml:space="preserve"> </w:t>
            </w:r>
            <w:r w:rsidR="004D4E3E" w:rsidRPr="00A44829">
              <w:rPr>
                <w:rFonts w:cs="Arial"/>
                <w:sz w:val="12"/>
                <w:szCs w:val="12"/>
              </w:rPr>
              <w:t xml:space="preserve"> </w:t>
            </w:r>
            <w:r w:rsidR="004D4E3E" w:rsidRPr="00A44829">
              <w:rPr>
                <w:rFonts w:cs="Arial"/>
                <w:sz w:val="16"/>
                <w:szCs w:val="16"/>
              </w:rPr>
              <w:t xml:space="preserve"> </w:t>
            </w:r>
          </w:p>
          <w:p w14:paraId="0F56DE45" w14:textId="77777777" w:rsidR="00261079" w:rsidRPr="00A44829" w:rsidRDefault="00261079" w:rsidP="007F45D1">
            <w:pPr>
              <w:spacing w:before="40" w:after="20"/>
              <w:jc w:val="both"/>
              <w:rPr>
                <w:rFonts w:cs="Arial"/>
                <w:sz w:val="16"/>
                <w:szCs w:val="16"/>
              </w:rPr>
            </w:pPr>
          </w:p>
        </w:tc>
      </w:tr>
      <w:tr w:rsidR="00261079" w:rsidRPr="00A44829" w14:paraId="6717738E" w14:textId="77777777" w:rsidTr="0083118A">
        <w:trPr>
          <w:trHeight w:val="240"/>
        </w:trPr>
        <w:tc>
          <w:tcPr>
            <w:tcW w:w="2268" w:type="dxa"/>
            <w:tcBorders>
              <w:top w:val="nil"/>
              <w:left w:val="nil"/>
              <w:bottom w:val="nil"/>
              <w:right w:val="single" w:sz="18" w:space="0" w:color="5F497A" w:themeColor="accent4" w:themeShade="BF"/>
            </w:tcBorders>
            <w:shd w:val="clear" w:color="auto" w:fill="auto"/>
          </w:tcPr>
          <w:p w14:paraId="30CE0B5D" w14:textId="77777777" w:rsidR="00261079" w:rsidRPr="00A44829" w:rsidRDefault="00261079" w:rsidP="00FF36E8">
            <w:pPr>
              <w:spacing w:before="40" w:after="20"/>
              <w:rPr>
                <w:rFonts w:cs="Arial"/>
                <w:b/>
                <w:sz w:val="18"/>
                <w:szCs w:val="18"/>
              </w:rPr>
            </w:pPr>
            <w:r w:rsidRPr="00A44829">
              <w:rPr>
                <w:rFonts w:cs="Arial"/>
                <w:b/>
                <w:sz w:val="18"/>
                <w:szCs w:val="18"/>
              </w:rPr>
              <w:t>Population Dispersion</w:t>
            </w:r>
          </w:p>
        </w:tc>
        <w:tc>
          <w:tcPr>
            <w:tcW w:w="6917" w:type="dxa"/>
            <w:tcBorders>
              <w:top w:val="nil"/>
              <w:left w:val="single" w:sz="18" w:space="0" w:color="5F497A" w:themeColor="accent4" w:themeShade="BF"/>
              <w:bottom w:val="nil"/>
              <w:right w:val="nil"/>
            </w:tcBorders>
            <w:shd w:val="clear" w:color="auto" w:fill="auto"/>
          </w:tcPr>
          <w:p w14:paraId="3E0FDBE8" w14:textId="7B0C6C70" w:rsidR="00846CCC" w:rsidRPr="00A44829" w:rsidRDefault="004D4E3E" w:rsidP="004D4E3E">
            <w:pPr>
              <w:spacing w:before="40" w:after="20"/>
              <w:jc w:val="both"/>
              <w:rPr>
                <w:rFonts w:cs="Arial"/>
                <w:sz w:val="16"/>
                <w:szCs w:val="16"/>
              </w:rPr>
            </w:pPr>
            <w:r w:rsidRPr="00A44829">
              <w:rPr>
                <w:rFonts w:cs="Arial"/>
                <w:sz w:val="16"/>
                <w:szCs w:val="16"/>
              </w:rPr>
              <w:t xml:space="preserve">Australian Bureau of Statistics, </w:t>
            </w:r>
            <w:r w:rsidRPr="00A44829">
              <w:rPr>
                <w:rFonts w:cs="Arial"/>
                <w:i/>
                <w:sz w:val="16"/>
                <w:szCs w:val="16"/>
              </w:rPr>
              <w:t>Census 2016 - Population by Urban Centres and Localities</w:t>
            </w:r>
            <w:r w:rsidRPr="00A44829">
              <w:rPr>
                <w:rFonts w:cs="Arial"/>
                <w:sz w:val="16"/>
                <w:szCs w:val="16"/>
              </w:rPr>
              <w:t xml:space="preserve">, Place of Usual Residence, </w:t>
            </w:r>
            <w:r w:rsidR="00846CCC" w:rsidRPr="00A44829">
              <w:rPr>
                <w:rFonts w:cs="Arial"/>
                <w:sz w:val="16"/>
                <w:szCs w:val="16"/>
              </w:rPr>
              <w:t>by Local Centres/Localities, downloaded TableBuilder, December 2017.  [calculations required to group by Local Government Area</w:t>
            </w:r>
            <w:r w:rsidR="0083118A" w:rsidRPr="00A44829">
              <w:rPr>
                <w:rFonts w:cs="Arial"/>
                <w:sz w:val="16"/>
                <w:szCs w:val="16"/>
              </w:rPr>
              <w:t>]</w:t>
            </w:r>
            <w:r w:rsidR="00846CCC" w:rsidRPr="00A44829">
              <w:rPr>
                <w:rFonts w:cs="Arial"/>
                <w:sz w:val="16"/>
                <w:szCs w:val="16"/>
              </w:rPr>
              <w:t xml:space="preserve">. </w:t>
            </w:r>
          </w:p>
          <w:p w14:paraId="245BEB9A" w14:textId="77777777" w:rsidR="00462515" w:rsidRPr="00A44829" w:rsidRDefault="00462515" w:rsidP="00846CCC">
            <w:pPr>
              <w:spacing w:before="40" w:after="20"/>
              <w:jc w:val="both"/>
              <w:rPr>
                <w:rFonts w:cs="Arial"/>
                <w:sz w:val="16"/>
                <w:szCs w:val="16"/>
              </w:rPr>
            </w:pPr>
          </w:p>
          <w:p w14:paraId="07B0DE97" w14:textId="4B0F4877" w:rsidR="00846CCC" w:rsidRPr="00A44829" w:rsidRDefault="00846CCC" w:rsidP="00846CCC">
            <w:pPr>
              <w:spacing w:before="40" w:after="20"/>
              <w:jc w:val="both"/>
              <w:rPr>
                <w:rFonts w:cs="Arial"/>
                <w:sz w:val="16"/>
                <w:szCs w:val="16"/>
              </w:rPr>
            </w:pPr>
            <w:r w:rsidRPr="00A44829">
              <w:rPr>
                <w:rFonts w:cs="Arial"/>
                <w:sz w:val="16"/>
                <w:szCs w:val="16"/>
              </w:rPr>
              <w:t xml:space="preserve">Australian Bureau of Statistics, </w:t>
            </w:r>
            <w:r w:rsidRPr="00A44829">
              <w:rPr>
                <w:rFonts w:cs="Arial"/>
                <w:i/>
                <w:sz w:val="16"/>
                <w:szCs w:val="16"/>
              </w:rPr>
              <w:t>Census 2016 - Selected Dwelling Characteristics</w:t>
            </w:r>
            <w:r w:rsidRPr="00A44829">
              <w:rPr>
                <w:rFonts w:cs="Arial"/>
                <w:sz w:val="16"/>
                <w:szCs w:val="16"/>
              </w:rPr>
              <w:t xml:space="preserve">, </w:t>
            </w:r>
            <w:r w:rsidRPr="00A44829">
              <w:rPr>
                <w:rFonts w:cs="Arial"/>
                <w:sz w:val="16"/>
                <w:szCs w:val="16"/>
              </w:rPr>
              <w:br/>
              <w:t xml:space="preserve">Local Government Area by DWTD Dwelling Type, Occupied and Unoccupied Private Dwellings, downloaded Census TableBuilder, October 2017. </w:t>
            </w:r>
          </w:p>
          <w:p w14:paraId="2757F83C" w14:textId="1C8CAA2E" w:rsidR="00846CCC" w:rsidRPr="00A44829" w:rsidRDefault="00586CC7" w:rsidP="00846CCC">
            <w:pPr>
              <w:spacing w:before="40" w:after="20"/>
              <w:jc w:val="both"/>
              <w:rPr>
                <w:rFonts w:cs="Arial"/>
                <w:sz w:val="16"/>
                <w:szCs w:val="16"/>
              </w:rPr>
            </w:pPr>
            <w:hyperlink r:id="rId15" w:history="1">
              <w:r w:rsidR="00462515" w:rsidRPr="00A44829">
                <w:rPr>
                  <w:rStyle w:val="Hyperlink"/>
                  <w:rFonts w:cs="Arial"/>
                  <w:color w:val="auto"/>
                  <w:sz w:val="12"/>
                  <w:szCs w:val="12"/>
                </w:rPr>
                <w:t>http://www.abs.gov.au/websitedbs/D3310114.nsf/Home/2016%20TableBuilder</w:t>
              </w:r>
            </w:hyperlink>
            <w:r w:rsidR="00462515" w:rsidRPr="00A44829">
              <w:rPr>
                <w:rStyle w:val="Hyperlink"/>
                <w:rFonts w:cs="Arial"/>
                <w:color w:val="auto"/>
                <w:sz w:val="12"/>
                <w:szCs w:val="12"/>
              </w:rPr>
              <w:t xml:space="preserve"> </w:t>
            </w:r>
            <w:r w:rsidR="00846CCC" w:rsidRPr="00A44829">
              <w:rPr>
                <w:rFonts w:cs="Arial"/>
                <w:sz w:val="16"/>
                <w:szCs w:val="16"/>
              </w:rPr>
              <w:t xml:space="preserve"> </w:t>
            </w:r>
          </w:p>
          <w:p w14:paraId="07840A0D" w14:textId="77777777" w:rsidR="00462515" w:rsidRPr="00A44829" w:rsidRDefault="00462515" w:rsidP="004D4E3E">
            <w:pPr>
              <w:spacing w:before="40" w:after="20"/>
              <w:jc w:val="both"/>
              <w:rPr>
                <w:rFonts w:cs="Arial"/>
                <w:sz w:val="16"/>
                <w:szCs w:val="16"/>
              </w:rPr>
            </w:pPr>
          </w:p>
          <w:p w14:paraId="3C454AA6" w14:textId="756A3BC6" w:rsidR="0096697F" w:rsidRPr="00A44829" w:rsidRDefault="004D4E3E" w:rsidP="004D4E3E">
            <w:pPr>
              <w:spacing w:before="40" w:after="20"/>
              <w:jc w:val="both"/>
              <w:rPr>
                <w:rFonts w:cs="Arial"/>
                <w:sz w:val="16"/>
                <w:szCs w:val="16"/>
              </w:rPr>
            </w:pPr>
            <w:r w:rsidRPr="00A44829">
              <w:rPr>
                <w:rFonts w:cs="Arial"/>
                <w:sz w:val="16"/>
                <w:szCs w:val="16"/>
              </w:rPr>
              <w:t>Google Maps online (calculation of distance).</w:t>
            </w:r>
          </w:p>
          <w:p w14:paraId="6A9812D5" w14:textId="6F825695" w:rsidR="00846CCC" w:rsidRPr="00A44829" w:rsidRDefault="00846CCC" w:rsidP="00462515">
            <w:pPr>
              <w:spacing w:before="40" w:after="20"/>
              <w:jc w:val="both"/>
              <w:rPr>
                <w:rFonts w:cs="Arial"/>
                <w:sz w:val="16"/>
                <w:szCs w:val="16"/>
              </w:rPr>
            </w:pPr>
            <w:r w:rsidRPr="00A44829">
              <w:rPr>
                <w:rFonts w:cs="Arial"/>
                <w:sz w:val="16"/>
                <w:szCs w:val="16"/>
              </w:rPr>
              <w:t>Note: Population Dispersion scores derived by the Victoria Grants Commission.</w:t>
            </w:r>
          </w:p>
        </w:tc>
      </w:tr>
    </w:tbl>
    <w:p w14:paraId="48E1803A" w14:textId="77777777" w:rsidR="00496979" w:rsidRPr="00A44829" w:rsidRDefault="00496979" w:rsidP="00FF36E8">
      <w:pPr>
        <w:spacing w:before="40" w:after="20"/>
        <w:rPr>
          <w:rFonts w:cs="Arial"/>
          <w:sz w:val="8"/>
          <w:szCs w:val="8"/>
        </w:rPr>
      </w:pPr>
      <w:r w:rsidRPr="00A44829">
        <w:rPr>
          <w:rFonts w:cs="Arial"/>
        </w:rPr>
        <w:br w:type="page"/>
      </w:r>
    </w:p>
    <w:p w14:paraId="0E0105AB" w14:textId="01CB7B93" w:rsidR="00C94778" w:rsidRPr="00A44829" w:rsidRDefault="00EE4593" w:rsidP="00C33713">
      <w:pPr>
        <w:pStyle w:val="VGC-Head10"/>
      </w:pPr>
      <w:r w:rsidRPr="00A44829">
        <w:lastRenderedPageBreak/>
        <w:t>2019-20</w:t>
      </w:r>
      <w:r w:rsidR="00A97ABE" w:rsidRPr="00A44829">
        <w:t xml:space="preserve"> </w:t>
      </w:r>
      <w:r w:rsidR="00C94778" w:rsidRPr="00A44829">
        <w:t>General Purpose Grants</w:t>
      </w:r>
      <w:r w:rsidR="00CE4507" w:rsidRPr="00A44829">
        <w:tab/>
        <w:t>Appendix 4</w:t>
      </w:r>
    </w:p>
    <w:p w14:paraId="5843275E" w14:textId="77777777" w:rsidR="00C94778" w:rsidRPr="00A44829" w:rsidRDefault="004F1184" w:rsidP="008C1A28">
      <w:pPr>
        <w:pStyle w:val="VGC-Head2"/>
      </w:pPr>
      <w:r w:rsidRPr="00A44829">
        <w:tab/>
      </w:r>
      <w:r w:rsidR="00D67755" w:rsidRPr="00A44829">
        <w:t>L</w:t>
      </w:r>
      <w:r w:rsidR="00CE520A" w:rsidRPr="00A44829">
        <w:t xml:space="preserve">.  </w:t>
      </w:r>
      <w:r w:rsidR="00C94778" w:rsidRPr="00A44829">
        <w:t>Data Sources</w:t>
      </w:r>
    </w:p>
    <w:p w14:paraId="234A2E79" w14:textId="77777777" w:rsidR="00C94778" w:rsidRPr="00A44829" w:rsidRDefault="00C94778" w:rsidP="00FF36E8">
      <w:pPr>
        <w:spacing w:before="40" w:after="20"/>
        <w:rPr>
          <w:rFonts w:cs="Arial"/>
        </w:rPr>
      </w:pPr>
    </w:p>
    <w:p w14:paraId="6FE58BF4" w14:textId="20FDF114" w:rsidR="00146FD1" w:rsidRPr="00A44829" w:rsidRDefault="00146FD1" w:rsidP="00FF36E8">
      <w:pPr>
        <w:spacing w:before="40" w:after="20"/>
        <w:rPr>
          <w:rFonts w:cs="Arial"/>
        </w:rPr>
      </w:pPr>
    </w:p>
    <w:p w14:paraId="49164FDA" w14:textId="77777777" w:rsidR="0096697F" w:rsidRPr="00A44829" w:rsidRDefault="0096697F" w:rsidP="00FF36E8">
      <w:pPr>
        <w:spacing w:before="40" w:after="20"/>
        <w:rPr>
          <w:rFonts w:cs="Arial"/>
        </w:rPr>
      </w:pPr>
    </w:p>
    <w:tbl>
      <w:tblPr>
        <w:tblW w:w="9197" w:type="dxa"/>
        <w:tblInd w:w="91" w:type="dxa"/>
        <w:tblLook w:val="0000" w:firstRow="0" w:lastRow="0" w:firstColumn="0" w:lastColumn="0" w:noHBand="0" w:noVBand="0"/>
      </w:tblPr>
      <w:tblGrid>
        <w:gridCol w:w="2250"/>
        <w:gridCol w:w="6947"/>
      </w:tblGrid>
      <w:tr w:rsidR="0053047B" w:rsidRPr="00A44829" w14:paraId="156317A0"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2ED34F84" w14:textId="77777777" w:rsidR="0053047B" w:rsidRPr="00A44829" w:rsidRDefault="0053047B" w:rsidP="00C064BF">
            <w:pPr>
              <w:spacing w:before="40" w:after="20"/>
              <w:rPr>
                <w:rFonts w:cs="Arial"/>
                <w:b/>
                <w:sz w:val="18"/>
                <w:szCs w:val="18"/>
              </w:rPr>
            </w:pPr>
            <w:r w:rsidRPr="00A44829">
              <w:rPr>
                <w:rFonts w:cs="Arial"/>
                <w:b/>
                <w:sz w:val="18"/>
                <w:szCs w:val="18"/>
              </w:rPr>
              <w:t>Population Growth</w:t>
            </w:r>
          </w:p>
        </w:tc>
        <w:tc>
          <w:tcPr>
            <w:tcW w:w="6947" w:type="dxa"/>
            <w:tcBorders>
              <w:top w:val="nil"/>
              <w:left w:val="single" w:sz="18" w:space="0" w:color="5F497A" w:themeColor="accent4" w:themeShade="BF"/>
              <w:bottom w:val="nil"/>
              <w:right w:val="nil"/>
            </w:tcBorders>
            <w:shd w:val="clear" w:color="auto" w:fill="auto"/>
          </w:tcPr>
          <w:p w14:paraId="4F36435E" w14:textId="77777777" w:rsidR="006A7CDE" w:rsidRPr="00A44829" w:rsidRDefault="006A7CDE" w:rsidP="006A7CDE">
            <w:pPr>
              <w:spacing w:before="40" w:after="20"/>
              <w:jc w:val="both"/>
              <w:rPr>
                <w:rFonts w:cs="Arial"/>
                <w:sz w:val="16"/>
                <w:szCs w:val="16"/>
              </w:rPr>
            </w:pPr>
            <w:r w:rsidRPr="00A44829">
              <w:rPr>
                <w:rFonts w:cs="Arial"/>
                <w:sz w:val="16"/>
                <w:szCs w:val="16"/>
              </w:rPr>
              <w:t xml:space="preserve">Australian Bureau of Statistics, Regional Population Growth, Australia, (cat no. 3218.0), </w:t>
            </w:r>
            <w:r w:rsidRPr="00A44829">
              <w:rPr>
                <w:rFonts w:cs="Arial"/>
                <w:sz w:val="16"/>
                <w:szCs w:val="16"/>
              </w:rPr>
              <w:br/>
              <w:t xml:space="preserve">Table 2. Estimated Residential Population, Local Government Area, at 30 June 2018, </w:t>
            </w:r>
            <w:r w:rsidRPr="00A44829">
              <w:rPr>
                <w:rFonts w:cs="Arial"/>
                <w:sz w:val="16"/>
                <w:szCs w:val="16"/>
              </w:rPr>
              <w:br/>
              <w:t>released 27 March 2019.</w:t>
            </w:r>
          </w:p>
          <w:p w14:paraId="12D27EEE" w14:textId="77777777" w:rsidR="0053047B" w:rsidRPr="00A44829" w:rsidRDefault="00586CC7" w:rsidP="006A7CDE">
            <w:pPr>
              <w:spacing w:before="40" w:after="20"/>
              <w:jc w:val="both"/>
              <w:rPr>
                <w:rStyle w:val="Hyperlink"/>
                <w:rFonts w:cs="Arial"/>
                <w:color w:val="auto"/>
                <w:sz w:val="12"/>
                <w:szCs w:val="12"/>
              </w:rPr>
            </w:pPr>
            <w:hyperlink r:id="rId16" w:history="1">
              <w:r w:rsidR="006A7CDE" w:rsidRPr="00A44829">
                <w:rPr>
                  <w:rStyle w:val="Hyperlink"/>
                  <w:rFonts w:cs="Arial"/>
                  <w:color w:val="auto"/>
                  <w:sz w:val="12"/>
                  <w:szCs w:val="12"/>
                </w:rPr>
                <w:t>https://www.abs.gov.au/AUSSTATS/abs@.nsf/DetailsPage/3218.02017-18?OpenDocument</w:t>
              </w:r>
            </w:hyperlink>
            <w:r w:rsidR="006A7CDE" w:rsidRPr="00A44829">
              <w:rPr>
                <w:rStyle w:val="Hyperlink"/>
                <w:rFonts w:cs="Arial"/>
                <w:color w:val="auto"/>
                <w:sz w:val="12"/>
                <w:szCs w:val="12"/>
              </w:rPr>
              <w:t xml:space="preserve">  </w:t>
            </w:r>
          </w:p>
          <w:p w14:paraId="33CB32A8" w14:textId="69022857" w:rsidR="00462515" w:rsidRPr="00A44829" w:rsidRDefault="00462515" w:rsidP="006A7CDE">
            <w:pPr>
              <w:spacing w:before="40" w:after="20"/>
              <w:jc w:val="both"/>
              <w:rPr>
                <w:rFonts w:cs="Arial"/>
                <w:sz w:val="16"/>
                <w:szCs w:val="16"/>
              </w:rPr>
            </w:pPr>
          </w:p>
        </w:tc>
      </w:tr>
      <w:tr w:rsidR="0053047B" w:rsidRPr="00A44829" w14:paraId="706A0167"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5C5DFF7D" w14:textId="77777777" w:rsidR="0053047B" w:rsidRPr="00A44829" w:rsidRDefault="0053047B" w:rsidP="00C064BF">
            <w:pPr>
              <w:spacing w:before="40" w:after="20"/>
              <w:rPr>
                <w:rFonts w:cs="Arial"/>
                <w:b/>
                <w:sz w:val="18"/>
                <w:szCs w:val="18"/>
              </w:rPr>
            </w:pPr>
            <w:r w:rsidRPr="00A44829">
              <w:rPr>
                <w:rFonts w:cs="Arial"/>
                <w:b/>
                <w:sz w:val="18"/>
                <w:szCs w:val="18"/>
              </w:rPr>
              <w:t xml:space="preserve">Population </w:t>
            </w:r>
            <w:r w:rsidRPr="00A44829">
              <w:rPr>
                <w:rFonts w:cs="Arial"/>
                <w:b/>
                <w:sz w:val="18"/>
                <w:szCs w:val="18"/>
              </w:rPr>
              <w:br/>
              <w:t>Under 6 Years</w:t>
            </w:r>
          </w:p>
        </w:tc>
        <w:tc>
          <w:tcPr>
            <w:tcW w:w="6947" w:type="dxa"/>
            <w:tcBorders>
              <w:top w:val="nil"/>
              <w:left w:val="single" w:sz="18" w:space="0" w:color="5F497A" w:themeColor="accent4" w:themeShade="BF"/>
              <w:bottom w:val="nil"/>
              <w:right w:val="nil"/>
            </w:tcBorders>
            <w:shd w:val="clear" w:color="auto" w:fill="auto"/>
          </w:tcPr>
          <w:p w14:paraId="3F8732E7" w14:textId="77777777" w:rsidR="00462515" w:rsidRPr="00A44829" w:rsidRDefault="00462515" w:rsidP="00462515">
            <w:pPr>
              <w:spacing w:before="40" w:after="20"/>
              <w:jc w:val="both"/>
              <w:rPr>
                <w:rFonts w:cs="Arial"/>
                <w:sz w:val="16"/>
                <w:szCs w:val="16"/>
              </w:rPr>
            </w:pPr>
            <w:r w:rsidRPr="00A44829">
              <w:rPr>
                <w:rFonts w:cs="Arial"/>
                <w:sz w:val="16"/>
                <w:szCs w:val="16"/>
              </w:rPr>
              <w:t xml:space="preserve">Department of Social Services (DSS), </w:t>
            </w:r>
            <w:r w:rsidRPr="00A44829">
              <w:rPr>
                <w:rFonts w:cs="Arial"/>
                <w:i/>
                <w:sz w:val="16"/>
                <w:szCs w:val="16"/>
              </w:rPr>
              <w:t>Payment Demographic Data (Centrelink data) June 2018 quarter</w:t>
            </w:r>
            <w:r w:rsidRPr="00A44829">
              <w:rPr>
                <w:rFonts w:cs="Arial"/>
                <w:sz w:val="16"/>
                <w:szCs w:val="16"/>
              </w:rPr>
              <w:t xml:space="preserve">, downloaded June 2018. </w:t>
            </w:r>
          </w:p>
          <w:p w14:paraId="6B52F808" w14:textId="0AF9FC3E" w:rsidR="00462515" w:rsidRPr="00A44829" w:rsidRDefault="00586CC7" w:rsidP="00462515">
            <w:pPr>
              <w:spacing w:before="40" w:after="20"/>
              <w:jc w:val="both"/>
              <w:rPr>
                <w:rFonts w:cs="Arial"/>
                <w:sz w:val="16"/>
                <w:szCs w:val="16"/>
              </w:rPr>
            </w:pPr>
            <w:hyperlink r:id="rId17" w:history="1">
              <w:r w:rsidR="00462515" w:rsidRPr="00A44829">
                <w:rPr>
                  <w:rStyle w:val="Hyperlink"/>
                  <w:rFonts w:cs="Arial"/>
                  <w:color w:val="auto"/>
                  <w:sz w:val="12"/>
                  <w:szCs w:val="12"/>
                </w:rPr>
                <w:t>https://data.gov.au/dataset/dss-payment-demographic-data</w:t>
              </w:r>
            </w:hyperlink>
            <w:r w:rsidR="00462515" w:rsidRPr="00A44829">
              <w:rPr>
                <w:rStyle w:val="Hyperlink"/>
                <w:rFonts w:cs="Arial"/>
                <w:color w:val="auto"/>
                <w:sz w:val="12"/>
                <w:szCs w:val="12"/>
              </w:rPr>
              <w:t xml:space="preserve"> </w:t>
            </w:r>
            <w:r w:rsidR="00462515" w:rsidRPr="00A44829">
              <w:rPr>
                <w:rFonts w:cs="Arial"/>
                <w:sz w:val="12"/>
                <w:szCs w:val="12"/>
              </w:rPr>
              <w:t xml:space="preserve"> </w:t>
            </w:r>
            <w:r w:rsidR="00462515" w:rsidRPr="00A44829">
              <w:rPr>
                <w:rFonts w:cs="Arial"/>
                <w:sz w:val="16"/>
                <w:szCs w:val="16"/>
              </w:rPr>
              <w:t xml:space="preserve"> </w:t>
            </w:r>
          </w:p>
          <w:p w14:paraId="24F1EEFC" w14:textId="77777777" w:rsidR="0053047B" w:rsidRPr="00A44829" w:rsidRDefault="0053047B" w:rsidP="00C064BF">
            <w:pPr>
              <w:spacing w:before="40" w:after="20"/>
              <w:jc w:val="both"/>
              <w:rPr>
                <w:rFonts w:cs="Arial"/>
                <w:sz w:val="16"/>
                <w:szCs w:val="16"/>
              </w:rPr>
            </w:pPr>
          </w:p>
        </w:tc>
      </w:tr>
      <w:tr w:rsidR="00146FD1" w:rsidRPr="00A44829" w14:paraId="79CDB350"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54371217" w14:textId="4F4A26F2" w:rsidR="00146FD1" w:rsidRPr="00A44829" w:rsidRDefault="00146FD1" w:rsidP="00FF36E8">
            <w:pPr>
              <w:spacing w:before="40" w:after="20"/>
              <w:rPr>
                <w:rFonts w:cs="Arial"/>
                <w:b/>
                <w:sz w:val="18"/>
                <w:szCs w:val="18"/>
              </w:rPr>
            </w:pPr>
            <w:r w:rsidRPr="00A44829">
              <w:rPr>
                <w:rFonts w:cs="Arial"/>
                <w:b/>
                <w:sz w:val="18"/>
                <w:szCs w:val="18"/>
              </w:rPr>
              <w:t xml:space="preserve">Regional </w:t>
            </w:r>
            <w:r w:rsidR="00462515" w:rsidRPr="00A44829">
              <w:rPr>
                <w:rFonts w:cs="Arial"/>
                <w:b/>
                <w:sz w:val="18"/>
                <w:szCs w:val="18"/>
              </w:rPr>
              <w:t>Services</w:t>
            </w:r>
          </w:p>
        </w:tc>
        <w:tc>
          <w:tcPr>
            <w:tcW w:w="6947" w:type="dxa"/>
            <w:tcBorders>
              <w:top w:val="nil"/>
              <w:left w:val="single" w:sz="18" w:space="0" w:color="5F497A" w:themeColor="accent4" w:themeShade="BF"/>
              <w:bottom w:val="nil"/>
              <w:right w:val="nil"/>
            </w:tcBorders>
            <w:shd w:val="clear" w:color="auto" w:fill="auto"/>
          </w:tcPr>
          <w:p w14:paraId="2E33584F" w14:textId="7573C8F1" w:rsidR="0096697F" w:rsidRPr="00A44829" w:rsidRDefault="00846CCC" w:rsidP="007F45D1">
            <w:pPr>
              <w:spacing w:before="40" w:after="20"/>
              <w:jc w:val="both"/>
              <w:rPr>
                <w:rFonts w:cs="Arial"/>
                <w:sz w:val="16"/>
                <w:szCs w:val="16"/>
              </w:rPr>
            </w:pPr>
            <w:r w:rsidRPr="00A44829">
              <w:rPr>
                <w:rFonts w:cs="Arial"/>
                <w:sz w:val="16"/>
                <w:szCs w:val="16"/>
              </w:rPr>
              <w:t xml:space="preserve">Australian Bureau of Statistics, </w:t>
            </w:r>
            <w:r w:rsidRPr="00A44829">
              <w:rPr>
                <w:rFonts w:cs="Arial"/>
                <w:i/>
                <w:sz w:val="16"/>
                <w:szCs w:val="16"/>
              </w:rPr>
              <w:t>Census 2016 - Employment, Income and Education</w:t>
            </w:r>
            <w:r w:rsidRPr="00A44829">
              <w:rPr>
                <w:rFonts w:cs="Arial"/>
                <w:sz w:val="16"/>
                <w:szCs w:val="16"/>
              </w:rPr>
              <w:t xml:space="preserve">, LGA (POW) by INDP – 1 Digit Level, Employment by Industry, downloaded TableBuilder December 2017.  </w:t>
            </w:r>
          </w:p>
          <w:p w14:paraId="7FE11ACA" w14:textId="77777777" w:rsidR="005F1B82" w:rsidRPr="00A44829" w:rsidRDefault="005F1B82" w:rsidP="00F85B64">
            <w:pPr>
              <w:spacing w:before="40" w:after="20"/>
              <w:jc w:val="both"/>
              <w:rPr>
                <w:rFonts w:cs="Arial"/>
                <w:sz w:val="16"/>
                <w:szCs w:val="16"/>
              </w:rPr>
            </w:pPr>
          </w:p>
        </w:tc>
      </w:tr>
      <w:tr w:rsidR="00146FD1" w:rsidRPr="00A44829" w14:paraId="1EF3A06D"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6364EEAF" w14:textId="77777777" w:rsidR="00146FD1" w:rsidRPr="00A44829" w:rsidRDefault="00146FD1" w:rsidP="00FF36E8">
            <w:pPr>
              <w:spacing w:before="40" w:after="20"/>
              <w:rPr>
                <w:rFonts w:cs="Arial"/>
                <w:b/>
                <w:sz w:val="18"/>
                <w:szCs w:val="18"/>
              </w:rPr>
            </w:pPr>
            <w:r w:rsidRPr="00A44829">
              <w:rPr>
                <w:rFonts w:cs="Arial"/>
                <w:b/>
                <w:sz w:val="18"/>
                <w:szCs w:val="18"/>
              </w:rPr>
              <w:t>Remoteness</w:t>
            </w:r>
          </w:p>
        </w:tc>
        <w:tc>
          <w:tcPr>
            <w:tcW w:w="6947" w:type="dxa"/>
            <w:tcBorders>
              <w:top w:val="nil"/>
              <w:left w:val="single" w:sz="18" w:space="0" w:color="5F497A" w:themeColor="accent4" w:themeShade="BF"/>
              <w:bottom w:val="nil"/>
              <w:right w:val="nil"/>
            </w:tcBorders>
            <w:shd w:val="clear" w:color="auto" w:fill="auto"/>
          </w:tcPr>
          <w:p w14:paraId="2E22460E" w14:textId="7B56B669" w:rsidR="0096697F" w:rsidRPr="00A44829" w:rsidRDefault="00846CCC" w:rsidP="00846CCC">
            <w:pPr>
              <w:spacing w:before="40" w:after="20"/>
              <w:jc w:val="both"/>
              <w:rPr>
                <w:rFonts w:cs="Arial"/>
                <w:sz w:val="16"/>
                <w:szCs w:val="16"/>
              </w:rPr>
            </w:pPr>
            <w:r w:rsidRPr="00A44829">
              <w:rPr>
                <w:rFonts w:cs="Arial"/>
                <w:sz w:val="16"/>
                <w:szCs w:val="16"/>
              </w:rPr>
              <w:t xml:space="preserve">Hugo Centre (2018). </w:t>
            </w:r>
            <w:r w:rsidRPr="00A44829">
              <w:rPr>
                <w:rFonts w:cs="Arial"/>
                <w:i/>
                <w:sz w:val="16"/>
                <w:szCs w:val="16"/>
              </w:rPr>
              <w:t>Accessibility/Remoteness Index of Australia Plus 2016 (ARIA+ 2016)</w:t>
            </w:r>
            <w:r w:rsidRPr="00A44829">
              <w:rPr>
                <w:rFonts w:cs="Arial"/>
                <w:sz w:val="16"/>
                <w:szCs w:val="16"/>
              </w:rPr>
              <w:t>.  Adelaide, South Australia: Hugo Centre for Migration and Population Research, the University of Adelaide</w:t>
            </w:r>
            <w:r w:rsidR="00C03614" w:rsidRPr="00A44829">
              <w:rPr>
                <w:rFonts w:cs="Arial"/>
                <w:sz w:val="16"/>
                <w:szCs w:val="16"/>
              </w:rPr>
              <w:t>, (unpublished data) released March 2018.</w:t>
            </w:r>
          </w:p>
          <w:p w14:paraId="67D2D99F" w14:textId="77777777" w:rsidR="00146FD1" w:rsidRPr="00A44829" w:rsidRDefault="00146FD1" w:rsidP="001F1FDF">
            <w:pPr>
              <w:spacing w:before="40" w:after="20"/>
              <w:jc w:val="both"/>
              <w:rPr>
                <w:rFonts w:cs="Arial"/>
                <w:sz w:val="16"/>
                <w:szCs w:val="16"/>
              </w:rPr>
            </w:pPr>
          </w:p>
        </w:tc>
      </w:tr>
      <w:tr w:rsidR="00146FD1" w:rsidRPr="00A44829" w14:paraId="3CFCB949"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035E2C26" w14:textId="77777777" w:rsidR="00146FD1" w:rsidRPr="00A44829" w:rsidRDefault="00146FD1" w:rsidP="00FF36E8">
            <w:pPr>
              <w:spacing w:before="40" w:after="20"/>
              <w:rPr>
                <w:rFonts w:cs="Arial"/>
                <w:b/>
                <w:sz w:val="18"/>
                <w:szCs w:val="18"/>
              </w:rPr>
            </w:pPr>
            <w:r w:rsidRPr="00A44829">
              <w:rPr>
                <w:rFonts w:cs="Arial"/>
                <w:b/>
                <w:sz w:val="18"/>
                <w:szCs w:val="18"/>
              </w:rPr>
              <w:t>Socio-Economic</w:t>
            </w:r>
          </w:p>
        </w:tc>
        <w:tc>
          <w:tcPr>
            <w:tcW w:w="6947" w:type="dxa"/>
            <w:tcBorders>
              <w:top w:val="nil"/>
              <w:left w:val="single" w:sz="18" w:space="0" w:color="5F497A" w:themeColor="accent4" w:themeShade="BF"/>
              <w:bottom w:val="nil"/>
              <w:right w:val="nil"/>
            </w:tcBorders>
            <w:shd w:val="clear" w:color="auto" w:fill="auto"/>
          </w:tcPr>
          <w:p w14:paraId="328CA3C3" w14:textId="35A1EE4E" w:rsidR="00CC538F" w:rsidRPr="00A44829" w:rsidRDefault="00C03614" w:rsidP="00C03614">
            <w:pPr>
              <w:spacing w:before="40" w:after="20"/>
              <w:jc w:val="both"/>
              <w:rPr>
                <w:rFonts w:cs="Arial"/>
                <w:sz w:val="12"/>
                <w:szCs w:val="12"/>
              </w:rPr>
            </w:pPr>
            <w:r w:rsidRPr="00A44829">
              <w:rPr>
                <w:rFonts w:cs="Arial"/>
                <w:sz w:val="16"/>
                <w:szCs w:val="16"/>
              </w:rPr>
              <w:t xml:space="preserve">Australian Bureau of Statistics, </w:t>
            </w:r>
            <w:r w:rsidRPr="00A44829">
              <w:rPr>
                <w:rFonts w:cs="Arial"/>
                <w:i/>
                <w:sz w:val="16"/>
                <w:szCs w:val="16"/>
              </w:rPr>
              <w:t>Census 2016, 2033.0 Socio-Economic Indexes of Australia (SEIFA)</w:t>
            </w:r>
            <w:r w:rsidRPr="00A44829">
              <w:rPr>
                <w:rFonts w:cs="Arial"/>
                <w:sz w:val="16"/>
                <w:szCs w:val="16"/>
              </w:rPr>
              <w:t xml:space="preserve">, released 27 March 2018.  </w:t>
            </w:r>
            <w:r w:rsidRPr="00A44829">
              <w:rPr>
                <w:rFonts w:cs="Arial"/>
                <w:sz w:val="12"/>
                <w:szCs w:val="12"/>
              </w:rPr>
              <w:t>&lt;</w:t>
            </w:r>
            <w:hyperlink r:id="rId18" w:history="1">
              <w:r w:rsidRPr="00A44829">
                <w:rPr>
                  <w:rStyle w:val="Hyperlink"/>
                  <w:rFonts w:cs="Arial"/>
                  <w:color w:val="auto"/>
                  <w:sz w:val="12"/>
                  <w:szCs w:val="12"/>
                </w:rPr>
                <w:t>SEIFA link</w:t>
              </w:r>
            </w:hyperlink>
            <w:r w:rsidRPr="00A44829">
              <w:rPr>
                <w:rFonts w:cs="Arial"/>
                <w:sz w:val="12"/>
                <w:szCs w:val="12"/>
              </w:rPr>
              <w:t>&gt;</w:t>
            </w:r>
          </w:p>
          <w:p w14:paraId="2C89C94F" w14:textId="1C75250D" w:rsidR="00C03614" w:rsidRPr="00A44829" w:rsidRDefault="00C03614" w:rsidP="00C03614">
            <w:pPr>
              <w:spacing w:before="40" w:after="20"/>
              <w:jc w:val="both"/>
              <w:rPr>
                <w:rFonts w:cs="Arial"/>
                <w:sz w:val="16"/>
                <w:szCs w:val="16"/>
              </w:rPr>
            </w:pPr>
          </w:p>
        </w:tc>
      </w:tr>
      <w:tr w:rsidR="00146FD1" w:rsidRPr="00A44829" w14:paraId="2FBBC889"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465CFA57" w14:textId="77777777" w:rsidR="00146FD1" w:rsidRPr="00A44829" w:rsidRDefault="00146FD1" w:rsidP="00FF36E8">
            <w:pPr>
              <w:spacing w:before="40" w:after="20"/>
              <w:rPr>
                <w:rFonts w:cs="Arial"/>
                <w:b/>
                <w:sz w:val="18"/>
                <w:szCs w:val="18"/>
              </w:rPr>
            </w:pPr>
            <w:r w:rsidRPr="00A44829">
              <w:rPr>
                <w:rFonts w:cs="Arial"/>
                <w:b/>
                <w:sz w:val="18"/>
                <w:szCs w:val="18"/>
              </w:rPr>
              <w:t>Tourism</w:t>
            </w:r>
          </w:p>
        </w:tc>
        <w:tc>
          <w:tcPr>
            <w:tcW w:w="6947" w:type="dxa"/>
            <w:tcBorders>
              <w:top w:val="nil"/>
              <w:left w:val="single" w:sz="18" w:space="0" w:color="5F497A" w:themeColor="accent4" w:themeShade="BF"/>
              <w:bottom w:val="nil"/>
              <w:right w:val="nil"/>
            </w:tcBorders>
            <w:shd w:val="clear" w:color="auto" w:fill="auto"/>
          </w:tcPr>
          <w:p w14:paraId="57F86DB0" w14:textId="5D05E68D" w:rsidR="0096697F" w:rsidRPr="00A44829" w:rsidRDefault="00C03614" w:rsidP="00C03614">
            <w:pPr>
              <w:tabs>
                <w:tab w:val="left" w:pos="284"/>
              </w:tabs>
              <w:spacing w:before="40" w:after="20"/>
              <w:jc w:val="both"/>
              <w:rPr>
                <w:rFonts w:cs="Arial"/>
                <w:sz w:val="16"/>
                <w:szCs w:val="16"/>
              </w:rPr>
            </w:pPr>
            <w:r w:rsidRPr="00A44829">
              <w:rPr>
                <w:rFonts w:cs="Arial"/>
                <w:sz w:val="16"/>
                <w:szCs w:val="16"/>
              </w:rPr>
              <w:t xml:space="preserve">Tourism Research Australia, </w:t>
            </w:r>
            <w:r w:rsidRPr="00A44829">
              <w:rPr>
                <w:rFonts w:cs="Arial"/>
                <w:i/>
                <w:sz w:val="16"/>
                <w:szCs w:val="16"/>
              </w:rPr>
              <w:t>201</w:t>
            </w:r>
            <w:r w:rsidR="00462515" w:rsidRPr="00A44829">
              <w:rPr>
                <w:rFonts w:cs="Arial"/>
                <w:i/>
                <w:sz w:val="16"/>
                <w:szCs w:val="16"/>
              </w:rPr>
              <w:t>7</w:t>
            </w:r>
            <w:r w:rsidRPr="00A44829">
              <w:rPr>
                <w:rFonts w:cs="Arial"/>
                <w:i/>
                <w:sz w:val="16"/>
                <w:szCs w:val="16"/>
              </w:rPr>
              <w:t>-1</w:t>
            </w:r>
            <w:r w:rsidR="00462515" w:rsidRPr="00A44829">
              <w:rPr>
                <w:rFonts w:cs="Arial"/>
                <w:i/>
                <w:sz w:val="16"/>
                <w:szCs w:val="16"/>
              </w:rPr>
              <w:t>8</w:t>
            </w:r>
            <w:r w:rsidR="0053047B" w:rsidRPr="00A44829">
              <w:rPr>
                <w:rFonts w:cs="Arial"/>
                <w:i/>
                <w:sz w:val="16"/>
                <w:szCs w:val="16"/>
              </w:rPr>
              <w:t xml:space="preserve"> </w:t>
            </w:r>
            <w:r w:rsidRPr="00A44829">
              <w:rPr>
                <w:rFonts w:cs="Arial"/>
                <w:i/>
                <w:sz w:val="16"/>
                <w:szCs w:val="16"/>
              </w:rPr>
              <w:t>Visitor Survey (for International Visitors, Overnight Visitors and Daytrips)</w:t>
            </w:r>
            <w:r w:rsidRPr="00A44829">
              <w:rPr>
                <w:rFonts w:cs="Arial"/>
                <w:sz w:val="16"/>
                <w:szCs w:val="16"/>
              </w:rPr>
              <w:t xml:space="preserve">, 4 year averages, by Local Government Area, (unpublished data) </w:t>
            </w:r>
            <w:r w:rsidR="00462515" w:rsidRPr="00A44829">
              <w:rPr>
                <w:rFonts w:cs="Arial"/>
                <w:sz w:val="16"/>
                <w:szCs w:val="16"/>
              </w:rPr>
              <w:t>November</w:t>
            </w:r>
            <w:r w:rsidRPr="00A44829">
              <w:rPr>
                <w:rFonts w:cs="Arial"/>
                <w:sz w:val="16"/>
                <w:szCs w:val="16"/>
              </w:rPr>
              <w:t xml:space="preserve"> 201</w:t>
            </w:r>
            <w:r w:rsidR="00462515" w:rsidRPr="00A44829">
              <w:rPr>
                <w:rFonts w:cs="Arial"/>
                <w:sz w:val="16"/>
                <w:szCs w:val="16"/>
              </w:rPr>
              <w:t>8</w:t>
            </w:r>
            <w:r w:rsidRPr="00A44829">
              <w:rPr>
                <w:rFonts w:cs="Arial"/>
                <w:sz w:val="16"/>
                <w:szCs w:val="16"/>
              </w:rPr>
              <w:t>.</w:t>
            </w:r>
            <w:r w:rsidR="00462515" w:rsidRPr="00A44829">
              <w:rPr>
                <w:rFonts w:cs="Arial"/>
                <w:sz w:val="16"/>
                <w:szCs w:val="16"/>
              </w:rPr>
              <w:t xml:space="preserve"> </w:t>
            </w:r>
          </w:p>
          <w:p w14:paraId="2488D0B7" w14:textId="77777777" w:rsidR="007E5AC6" w:rsidRPr="00A44829" w:rsidRDefault="007E5AC6" w:rsidP="007F45D1">
            <w:pPr>
              <w:spacing w:before="40" w:after="20"/>
              <w:jc w:val="both"/>
              <w:rPr>
                <w:rFonts w:cs="Arial"/>
                <w:sz w:val="16"/>
                <w:szCs w:val="16"/>
              </w:rPr>
            </w:pPr>
          </w:p>
        </w:tc>
      </w:tr>
      <w:tr w:rsidR="0096697F" w:rsidRPr="00A44829" w14:paraId="277BF77B"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4CC0F912" w14:textId="77777777" w:rsidR="0096697F" w:rsidRPr="00A44829" w:rsidRDefault="0096697F" w:rsidP="0096697F">
            <w:pPr>
              <w:spacing w:before="40" w:after="20"/>
              <w:rPr>
                <w:rFonts w:cs="Arial"/>
                <w:b/>
                <w:sz w:val="18"/>
                <w:szCs w:val="18"/>
              </w:rPr>
            </w:pPr>
          </w:p>
        </w:tc>
        <w:tc>
          <w:tcPr>
            <w:tcW w:w="6947" w:type="dxa"/>
            <w:tcBorders>
              <w:top w:val="nil"/>
              <w:left w:val="single" w:sz="18" w:space="0" w:color="5F497A" w:themeColor="accent4" w:themeShade="BF"/>
              <w:bottom w:val="nil"/>
              <w:right w:val="nil"/>
            </w:tcBorders>
            <w:shd w:val="clear" w:color="auto" w:fill="auto"/>
          </w:tcPr>
          <w:p w14:paraId="41B0BA10" w14:textId="77777777" w:rsidR="0096697F" w:rsidRPr="00A44829" w:rsidRDefault="0096697F" w:rsidP="0096697F">
            <w:pPr>
              <w:spacing w:before="40" w:after="20"/>
              <w:jc w:val="both"/>
              <w:rPr>
                <w:rFonts w:cs="Arial"/>
                <w:sz w:val="16"/>
                <w:szCs w:val="16"/>
              </w:rPr>
            </w:pPr>
          </w:p>
          <w:p w14:paraId="33DED360" w14:textId="78A447CD" w:rsidR="0096697F" w:rsidRPr="00A44829" w:rsidRDefault="0096697F" w:rsidP="0096697F">
            <w:pPr>
              <w:spacing w:before="40" w:after="20"/>
              <w:jc w:val="both"/>
              <w:rPr>
                <w:rFonts w:cs="Arial"/>
                <w:sz w:val="16"/>
                <w:szCs w:val="16"/>
              </w:rPr>
            </w:pPr>
          </w:p>
          <w:p w14:paraId="065FE25F" w14:textId="77777777" w:rsidR="0096697F" w:rsidRPr="00A44829" w:rsidRDefault="0096697F" w:rsidP="0096697F">
            <w:pPr>
              <w:spacing w:before="40" w:after="20"/>
              <w:jc w:val="both"/>
              <w:rPr>
                <w:rFonts w:cs="Arial"/>
                <w:sz w:val="16"/>
                <w:szCs w:val="16"/>
              </w:rPr>
            </w:pPr>
          </w:p>
        </w:tc>
      </w:tr>
      <w:tr w:rsidR="00976C78" w:rsidRPr="00A44829" w14:paraId="0B8E79C0"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5208F142" w14:textId="77777777" w:rsidR="00146FD1" w:rsidRPr="00A44829" w:rsidRDefault="00146FD1" w:rsidP="00FF36E8">
            <w:pPr>
              <w:spacing w:before="40" w:after="20"/>
              <w:rPr>
                <w:rFonts w:cs="Arial"/>
                <w:i/>
                <w:sz w:val="24"/>
              </w:rPr>
            </w:pPr>
            <w:r w:rsidRPr="00A44829">
              <w:rPr>
                <w:rFonts w:cs="Arial"/>
                <w:i/>
                <w:sz w:val="24"/>
              </w:rPr>
              <w:t>Revenue Adjustors</w:t>
            </w:r>
          </w:p>
          <w:p w14:paraId="3C1C4160" w14:textId="77777777" w:rsidR="00261079" w:rsidRPr="00A44829" w:rsidRDefault="00261079" w:rsidP="00FF36E8">
            <w:pPr>
              <w:spacing w:before="40" w:after="20"/>
              <w:rPr>
                <w:rFonts w:cs="Arial"/>
                <w:sz w:val="24"/>
              </w:rPr>
            </w:pPr>
          </w:p>
        </w:tc>
        <w:tc>
          <w:tcPr>
            <w:tcW w:w="6947" w:type="dxa"/>
            <w:tcBorders>
              <w:top w:val="nil"/>
              <w:left w:val="single" w:sz="18" w:space="0" w:color="5F497A" w:themeColor="accent4" w:themeShade="BF"/>
              <w:bottom w:val="nil"/>
              <w:right w:val="nil"/>
            </w:tcBorders>
            <w:shd w:val="clear" w:color="auto" w:fill="auto"/>
          </w:tcPr>
          <w:p w14:paraId="2304D5E5" w14:textId="77777777" w:rsidR="00146FD1" w:rsidRPr="00A44829" w:rsidRDefault="00146FD1" w:rsidP="007F45D1">
            <w:pPr>
              <w:spacing w:before="40" w:after="20"/>
              <w:jc w:val="both"/>
              <w:rPr>
                <w:rFonts w:cs="Arial"/>
                <w:sz w:val="20"/>
                <w:szCs w:val="20"/>
              </w:rPr>
            </w:pPr>
          </w:p>
        </w:tc>
      </w:tr>
      <w:tr w:rsidR="00146FD1" w:rsidRPr="00A44829" w14:paraId="72325F8A"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73E18021" w14:textId="77777777" w:rsidR="00146FD1" w:rsidRPr="00A44829" w:rsidRDefault="00146FD1" w:rsidP="00FF36E8">
            <w:pPr>
              <w:spacing w:before="40" w:after="20"/>
              <w:rPr>
                <w:rFonts w:cs="Arial"/>
                <w:b/>
                <w:sz w:val="18"/>
                <w:szCs w:val="18"/>
              </w:rPr>
            </w:pPr>
            <w:r w:rsidRPr="00A44829">
              <w:rPr>
                <w:rFonts w:cs="Arial"/>
                <w:b/>
                <w:sz w:val="18"/>
                <w:szCs w:val="18"/>
              </w:rPr>
              <w:t xml:space="preserve">Household Income </w:t>
            </w:r>
            <w:r w:rsidRPr="00A44829">
              <w:rPr>
                <w:rFonts w:cs="Arial"/>
                <w:sz w:val="18"/>
                <w:szCs w:val="18"/>
              </w:rPr>
              <w:br/>
            </w:r>
            <w:r w:rsidRPr="00A44829">
              <w:rPr>
                <w:rFonts w:cs="Arial"/>
                <w:b/>
                <w:sz w:val="18"/>
                <w:szCs w:val="18"/>
              </w:rPr>
              <w:t xml:space="preserve">(for persons over 60) </w:t>
            </w:r>
          </w:p>
        </w:tc>
        <w:tc>
          <w:tcPr>
            <w:tcW w:w="6947" w:type="dxa"/>
            <w:tcBorders>
              <w:top w:val="nil"/>
              <w:left w:val="single" w:sz="18" w:space="0" w:color="5F497A" w:themeColor="accent4" w:themeShade="BF"/>
              <w:bottom w:val="nil"/>
              <w:right w:val="nil"/>
            </w:tcBorders>
            <w:shd w:val="clear" w:color="auto" w:fill="auto"/>
          </w:tcPr>
          <w:p w14:paraId="26C6FF56" w14:textId="77777777" w:rsidR="00462515" w:rsidRPr="00A44829" w:rsidRDefault="00C03614" w:rsidP="00C03614">
            <w:pPr>
              <w:spacing w:before="40" w:after="20"/>
              <w:jc w:val="both"/>
              <w:rPr>
                <w:rFonts w:cs="Arial"/>
                <w:sz w:val="16"/>
                <w:szCs w:val="16"/>
              </w:rPr>
            </w:pPr>
            <w:r w:rsidRPr="00A44829">
              <w:rPr>
                <w:rFonts w:cs="Arial"/>
                <w:sz w:val="16"/>
                <w:szCs w:val="16"/>
              </w:rPr>
              <w:t xml:space="preserve">Department of Social Services (DSS), </w:t>
            </w:r>
            <w:r w:rsidRPr="00A44829">
              <w:rPr>
                <w:rFonts w:cs="Arial"/>
                <w:i/>
                <w:sz w:val="16"/>
                <w:szCs w:val="16"/>
              </w:rPr>
              <w:t xml:space="preserve">Payment Demographic Data (Centrelink data) </w:t>
            </w:r>
            <w:r w:rsidR="00EE4593" w:rsidRPr="00A44829">
              <w:rPr>
                <w:rFonts w:cs="Arial"/>
                <w:i/>
                <w:sz w:val="16"/>
                <w:szCs w:val="16"/>
              </w:rPr>
              <w:t>June 2018</w:t>
            </w:r>
            <w:r w:rsidRPr="00A44829">
              <w:rPr>
                <w:rFonts w:cs="Arial"/>
                <w:i/>
                <w:sz w:val="16"/>
                <w:szCs w:val="16"/>
              </w:rPr>
              <w:t xml:space="preserve"> quarter</w:t>
            </w:r>
            <w:r w:rsidRPr="00A44829">
              <w:rPr>
                <w:rFonts w:cs="Arial"/>
                <w:sz w:val="16"/>
                <w:szCs w:val="16"/>
              </w:rPr>
              <w:t xml:space="preserve">, downloaded </w:t>
            </w:r>
            <w:r w:rsidR="00EE4593" w:rsidRPr="00A44829">
              <w:rPr>
                <w:rFonts w:cs="Arial"/>
                <w:sz w:val="16"/>
                <w:szCs w:val="16"/>
              </w:rPr>
              <w:t>June 2018</w:t>
            </w:r>
            <w:r w:rsidRPr="00A44829">
              <w:rPr>
                <w:rFonts w:cs="Arial"/>
                <w:sz w:val="16"/>
                <w:szCs w:val="16"/>
              </w:rPr>
              <w:t xml:space="preserve">. </w:t>
            </w:r>
          </w:p>
          <w:p w14:paraId="397C36B4" w14:textId="55392E87" w:rsidR="00C03614" w:rsidRPr="00A44829" w:rsidRDefault="00586CC7" w:rsidP="00C03614">
            <w:pPr>
              <w:spacing w:before="40" w:after="20"/>
              <w:jc w:val="both"/>
              <w:rPr>
                <w:rFonts w:cs="Arial"/>
                <w:sz w:val="16"/>
                <w:szCs w:val="16"/>
              </w:rPr>
            </w:pPr>
            <w:hyperlink r:id="rId19" w:history="1">
              <w:r w:rsidR="00462515" w:rsidRPr="00A44829">
                <w:rPr>
                  <w:rStyle w:val="Hyperlink"/>
                  <w:rFonts w:cs="Arial"/>
                  <w:color w:val="auto"/>
                  <w:sz w:val="12"/>
                  <w:szCs w:val="12"/>
                </w:rPr>
                <w:t>https://data.gov.au/dataset/dss-payment-demographic-data</w:t>
              </w:r>
            </w:hyperlink>
            <w:r w:rsidR="00462515" w:rsidRPr="00A44829">
              <w:rPr>
                <w:rStyle w:val="Hyperlink"/>
                <w:rFonts w:cs="Arial"/>
                <w:color w:val="auto"/>
                <w:sz w:val="12"/>
                <w:szCs w:val="12"/>
              </w:rPr>
              <w:t xml:space="preserve"> </w:t>
            </w:r>
            <w:r w:rsidR="00C03614" w:rsidRPr="00A44829">
              <w:rPr>
                <w:rFonts w:cs="Arial"/>
                <w:sz w:val="12"/>
                <w:szCs w:val="12"/>
              </w:rPr>
              <w:t xml:space="preserve"> </w:t>
            </w:r>
          </w:p>
          <w:p w14:paraId="24494F13" w14:textId="77777777" w:rsidR="00462515" w:rsidRPr="00A44829" w:rsidRDefault="00462515" w:rsidP="00C03614">
            <w:pPr>
              <w:spacing w:before="40" w:after="20"/>
              <w:jc w:val="both"/>
              <w:rPr>
                <w:rFonts w:cs="Arial"/>
                <w:sz w:val="16"/>
                <w:szCs w:val="16"/>
              </w:rPr>
            </w:pPr>
          </w:p>
          <w:p w14:paraId="5224AA75" w14:textId="7640855E" w:rsidR="00C03614" w:rsidRPr="00A44829" w:rsidRDefault="00C03614" w:rsidP="00C03614">
            <w:pPr>
              <w:spacing w:before="40" w:after="20"/>
              <w:jc w:val="both"/>
              <w:rPr>
                <w:rFonts w:cs="Arial"/>
                <w:sz w:val="16"/>
                <w:szCs w:val="16"/>
              </w:rPr>
            </w:pPr>
            <w:r w:rsidRPr="00A44829">
              <w:rPr>
                <w:rFonts w:cs="Arial"/>
                <w:sz w:val="16"/>
                <w:szCs w:val="16"/>
              </w:rPr>
              <w:t xml:space="preserve">Australian Bureau of Statistics, </w:t>
            </w:r>
            <w:r w:rsidRPr="00A44829">
              <w:rPr>
                <w:rFonts w:cs="Arial"/>
                <w:i/>
                <w:sz w:val="16"/>
                <w:szCs w:val="16"/>
              </w:rPr>
              <w:t>Census 2016</w:t>
            </w:r>
            <w:r w:rsidRPr="00A44829">
              <w:rPr>
                <w:rFonts w:cs="Arial"/>
                <w:sz w:val="16"/>
                <w:szCs w:val="16"/>
              </w:rPr>
              <w:t xml:space="preserve"> - Table 1: Median Household Income for Persons aged 60 years and over, Local Government Area, Customised Data Report (unpublished data), August 2016. </w:t>
            </w:r>
          </w:p>
          <w:p w14:paraId="61681D21" w14:textId="77777777" w:rsidR="00D673B3" w:rsidRPr="00A44829" w:rsidRDefault="00D673B3" w:rsidP="007F45D1">
            <w:pPr>
              <w:spacing w:before="40" w:after="20"/>
              <w:jc w:val="both"/>
              <w:rPr>
                <w:rFonts w:cs="Arial"/>
                <w:sz w:val="16"/>
                <w:szCs w:val="16"/>
              </w:rPr>
            </w:pPr>
          </w:p>
        </w:tc>
      </w:tr>
      <w:tr w:rsidR="00146FD1" w:rsidRPr="00A44829" w14:paraId="7CC3DD17"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11882832" w14:textId="77777777" w:rsidR="00146FD1" w:rsidRPr="00A44829" w:rsidRDefault="00146FD1" w:rsidP="00FF36E8">
            <w:pPr>
              <w:spacing w:before="40" w:after="20"/>
              <w:rPr>
                <w:rFonts w:cs="Arial"/>
                <w:b/>
                <w:sz w:val="18"/>
                <w:szCs w:val="18"/>
              </w:rPr>
            </w:pPr>
            <w:r w:rsidRPr="00A44829">
              <w:rPr>
                <w:rFonts w:cs="Arial"/>
                <w:b/>
                <w:sz w:val="18"/>
                <w:szCs w:val="18"/>
              </w:rPr>
              <w:t>Socio-Economic</w:t>
            </w:r>
          </w:p>
        </w:tc>
        <w:tc>
          <w:tcPr>
            <w:tcW w:w="6947" w:type="dxa"/>
            <w:tcBorders>
              <w:top w:val="nil"/>
              <w:left w:val="single" w:sz="18" w:space="0" w:color="5F497A" w:themeColor="accent4" w:themeShade="BF"/>
              <w:bottom w:val="nil"/>
              <w:right w:val="nil"/>
            </w:tcBorders>
            <w:shd w:val="clear" w:color="auto" w:fill="auto"/>
          </w:tcPr>
          <w:p w14:paraId="749F29A3" w14:textId="1B5E7EDF" w:rsidR="00C03614" w:rsidRPr="00A44829" w:rsidRDefault="00C03614" w:rsidP="00C03614">
            <w:pPr>
              <w:spacing w:before="40" w:after="20"/>
              <w:jc w:val="both"/>
              <w:rPr>
                <w:rFonts w:cs="Arial"/>
                <w:sz w:val="12"/>
                <w:szCs w:val="12"/>
              </w:rPr>
            </w:pPr>
            <w:r w:rsidRPr="00A44829">
              <w:rPr>
                <w:rFonts w:cs="Arial"/>
                <w:sz w:val="16"/>
                <w:szCs w:val="16"/>
              </w:rPr>
              <w:t xml:space="preserve">Australian Bureau of Statistics, </w:t>
            </w:r>
            <w:r w:rsidRPr="00A44829">
              <w:rPr>
                <w:rFonts w:cs="Arial"/>
                <w:i/>
                <w:sz w:val="16"/>
                <w:szCs w:val="16"/>
              </w:rPr>
              <w:t>Census 2016, 2033.0 Socio-Economic Indexes of Australia (SEIFA)</w:t>
            </w:r>
            <w:r w:rsidRPr="00A44829">
              <w:rPr>
                <w:rFonts w:cs="Arial"/>
                <w:sz w:val="16"/>
                <w:szCs w:val="16"/>
              </w:rPr>
              <w:t xml:space="preserve">, released 27 March 2018.  </w:t>
            </w:r>
            <w:r w:rsidRPr="00A44829">
              <w:rPr>
                <w:rFonts w:cs="Arial"/>
                <w:sz w:val="12"/>
                <w:szCs w:val="12"/>
              </w:rPr>
              <w:t>&lt;</w:t>
            </w:r>
            <w:hyperlink r:id="rId20" w:history="1">
              <w:r w:rsidRPr="00A44829">
                <w:rPr>
                  <w:rStyle w:val="Hyperlink"/>
                  <w:rFonts w:cs="Arial"/>
                  <w:color w:val="auto"/>
                  <w:sz w:val="12"/>
                  <w:szCs w:val="12"/>
                </w:rPr>
                <w:t>SEIFA link</w:t>
              </w:r>
            </w:hyperlink>
            <w:r w:rsidRPr="00A44829">
              <w:rPr>
                <w:rFonts w:cs="Arial"/>
                <w:sz w:val="12"/>
                <w:szCs w:val="12"/>
              </w:rPr>
              <w:t>&gt;</w:t>
            </w:r>
            <w:r w:rsidR="00462515" w:rsidRPr="00A44829">
              <w:rPr>
                <w:rFonts w:cs="Arial"/>
                <w:sz w:val="12"/>
                <w:szCs w:val="12"/>
              </w:rPr>
              <w:t xml:space="preserve"> </w:t>
            </w:r>
          </w:p>
          <w:p w14:paraId="222B936F" w14:textId="77777777" w:rsidR="00146FD1" w:rsidRPr="00A44829" w:rsidRDefault="00146FD1" w:rsidP="007F45D1">
            <w:pPr>
              <w:spacing w:before="40" w:after="20"/>
              <w:jc w:val="both"/>
              <w:rPr>
                <w:rFonts w:cs="Arial"/>
                <w:sz w:val="16"/>
                <w:szCs w:val="16"/>
              </w:rPr>
            </w:pPr>
          </w:p>
        </w:tc>
      </w:tr>
      <w:tr w:rsidR="00146FD1" w:rsidRPr="00A44829" w14:paraId="0C48FA75"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0105BE69" w14:textId="77777777" w:rsidR="00146FD1" w:rsidRPr="00A44829" w:rsidRDefault="00146FD1" w:rsidP="00FF36E8">
            <w:pPr>
              <w:spacing w:before="40" w:after="20"/>
              <w:rPr>
                <w:rFonts w:cs="Arial"/>
                <w:b/>
                <w:sz w:val="18"/>
                <w:szCs w:val="18"/>
              </w:rPr>
            </w:pPr>
            <w:r w:rsidRPr="00A44829">
              <w:rPr>
                <w:rFonts w:cs="Arial"/>
                <w:b/>
                <w:sz w:val="18"/>
                <w:szCs w:val="18"/>
              </w:rPr>
              <w:t>Tourism</w:t>
            </w:r>
          </w:p>
        </w:tc>
        <w:tc>
          <w:tcPr>
            <w:tcW w:w="6947" w:type="dxa"/>
            <w:tcBorders>
              <w:top w:val="nil"/>
              <w:left w:val="single" w:sz="18" w:space="0" w:color="5F497A" w:themeColor="accent4" w:themeShade="BF"/>
              <w:bottom w:val="nil"/>
              <w:right w:val="nil"/>
            </w:tcBorders>
            <w:shd w:val="clear" w:color="auto" w:fill="auto"/>
          </w:tcPr>
          <w:p w14:paraId="5593A12A" w14:textId="767FAEB6" w:rsidR="00C03614" w:rsidRPr="00A44829" w:rsidRDefault="00462515" w:rsidP="00C03614">
            <w:pPr>
              <w:tabs>
                <w:tab w:val="left" w:pos="284"/>
              </w:tabs>
              <w:spacing w:before="40" w:after="20"/>
              <w:jc w:val="both"/>
              <w:rPr>
                <w:rFonts w:cs="Arial"/>
                <w:sz w:val="16"/>
                <w:szCs w:val="16"/>
              </w:rPr>
            </w:pPr>
            <w:r w:rsidRPr="00A44829">
              <w:rPr>
                <w:rFonts w:cs="Arial"/>
                <w:sz w:val="16"/>
                <w:szCs w:val="16"/>
              </w:rPr>
              <w:t xml:space="preserve">Tourism Research Australia, </w:t>
            </w:r>
            <w:r w:rsidRPr="00A44829">
              <w:rPr>
                <w:rFonts w:cs="Arial"/>
                <w:i/>
                <w:sz w:val="16"/>
                <w:szCs w:val="16"/>
              </w:rPr>
              <w:t>2017-18 Visitor Survey (for International Visitors, Overnight Visitors and Daytrips)</w:t>
            </w:r>
            <w:r w:rsidRPr="00A44829">
              <w:rPr>
                <w:rFonts w:cs="Arial"/>
                <w:sz w:val="16"/>
                <w:szCs w:val="16"/>
              </w:rPr>
              <w:t xml:space="preserve">, 4 year averages, by Local Government Area, (unpublished data) November 2018. </w:t>
            </w:r>
          </w:p>
          <w:p w14:paraId="77F4FADD" w14:textId="77777777" w:rsidR="00146FD1" w:rsidRPr="00A44829" w:rsidRDefault="00146FD1" w:rsidP="007F45D1">
            <w:pPr>
              <w:spacing w:before="40" w:after="20"/>
              <w:jc w:val="both"/>
              <w:rPr>
                <w:rFonts w:cs="Arial"/>
                <w:sz w:val="16"/>
                <w:szCs w:val="16"/>
              </w:rPr>
            </w:pPr>
          </w:p>
        </w:tc>
      </w:tr>
      <w:tr w:rsidR="00146FD1" w:rsidRPr="00A44829" w14:paraId="7852D3E6"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66BD0BE1" w14:textId="77777777" w:rsidR="00146FD1" w:rsidRPr="00A44829" w:rsidRDefault="00146FD1" w:rsidP="00FF36E8">
            <w:pPr>
              <w:spacing w:before="40" w:after="20"/>
              <w:rPr>
                <w:rFonts w:cs="Arial"/>
                <w:b/>
                <w:sz w:val="18"/>
                <w:szCs w:val="18"/>
              </w:rPr>
            </w:pPr>
            <w:r w:rsidRPr="00A44829">
              <w:rPr>
                <w:rFonts w:cs="Arial"/>
                <w:b/>
                <w:sz w:val="18"/>
                <w:szCs w:val="18"/>
              </w:rPr>
              <w:t>Value of Development</w:t>
            </w:r>
          </w:p>
        </w:tc>
        <w:tc>
          <w:tcPr>
            <w:tcW w:w="6947" w:type="dxa"/>
            <w:tcBorders>
              <w:top w:val="nil"/>
              <w:left w:val="single" w:sz="18" w:space="0" w:color="5F497A" w:themeColor="accent4" w:themeShade="BF"/>
              <w:bottom w:val="nil"/>
              <w:right w:val="nil"/>
            </w:tcBorders>
            <w:shd w:val="clear" w:color="auto" w:fill="auto"/>
          </w:tcPr>
          <w:p w14:paraId="07D43FF4" w14:textId="56EEA20A" w:rsidR="00C03614" w:rsidRPr="00A44829" w:rsidRDefault="00C03614" w:rsidP="00C03614">
            <w:pPr>
              <w:spacing w:before="40" w:after="20"/>
              <w:jc w:val="both"/>
              <w:rPr>
                <w:rFonts w:cs="Arial"/>
                <w:sz w:val="16"/>
                <w:szCs w:val="16"/>
              </w:rPr>
            </w:pPr>
            <w:r w:rsidRPr="00A44829">
              <w:rPr>
                <w:rFonts w:cs="Arial"/>
                <w:sz w:val="16"/>
                <w:szCs w:val="16"/>
              </w:rPr>
              <w:t xml:space="preserve">Australian Bureau of Statistics, </w:t>
            </w:r>
            <w:r w:rsidRPr="00A44829">
              <w:rPr>
                <w:rFonts w:cs="Arial"/>
                <w:i/>
                <w:sz w:val="16"/>
                <w:szCs w:val="16"/>
              </w:rPr>
              <w:t xml:space="preserve">Buildings Approvals, Australia, </w:t>
            </w:r>
            <w:r w:rsidR="00EE4593" w:rsidRPr="00A44829">
              <w:rPr>
                <w:rFonts w:cs="Arial"/>
                <w:i/>
                <w:sz w:val="16"/>
                <w:szCs w:val="16"/>
              </w:rPr>
              <w:t>June 2018</w:t>
            </w:r>
            <w:r w:rsidRPr="00A44829">
              <w:rPr>
                <w:rFonts w:cs="Arial"/>
                <w:sz w:val="16"/>
                <w:szCs w:val="16"/>
              </w:rPr>
              <w:t>, (cat no. 8731.0), Table 1 VIC LGA excel datacube 201</w:t>
            </w:r>
            <w:r w:rsidR="00462515" w:rsidRPr="00A44829">
              <w:rPr>
                <w:rFonts w:cs="Arial"/>
                <w:sz w:val="16"/>
                <w:szCs w:val="16"/>
              </w:rPr>
              <w:t>7</w:t>
            </w:r>
            <w:r w:rsidRPr="00A44829">
              <w:rPr>
                <w:rFonts w:cs="Arial"/>
                <w:sz w:val="16"/>
                <w:szCs w:val="16"/>
              </w:rPr>
              <w:t>-1</w:t>
            </w:r>
            <w:r w:rsidR="00462515" w:rsidRPr="00A44829">
              <w:rPr>
                <w:rFonts w:cs="Arial"/>
                <w:sz w:val="16"/>
                <w:szCs w:val="16"/>
              </w:rPr>
              <w:t>8</w:t>
            </w:r>
            <w:r w:rsidRPr="00A44829">
              <w:rPr>
                <w:rFonts w:cs="Arial"/>
                <w:sz w:val="16"/>
                <w:szCs w:val="16"/>
              </w:rPr>
              <w:t xml:space="preserve">, downloaded </w:t>
            </w:r>
            <w:r w:rsidR="00462515" w:rsidRPr="00A44829">
              <w:rPr>
                <w:rFonts w:cs="Arial"/>
                <w:sz w:val="16"/>
                <w:szCs w:val="16"/>
              </w:rPr>
              <w:t>September</w:t>
            </w:r>
            <w:r w:rsidRPr="00A44829">
              <w:rPr>
                <w:rFonts w:cs="Arial"/>
                <w:sz w:val="16"/>
                <w:szCs w:val="16"/>
              </w:rPr>
              <w:t xml:space="preserve"> 201</w:t>
            </w:r>
            <w:r w:rsidR="00462515" w:rsidRPr="00A44829">
              <w:rPr>
                <w:rFonts w:cs="Arial"/>
                <w:sz w:val="16"/>
                <w:szCs w:val="16"/>
              </w:rPr>
              <w:t>8</w:t>
            </w:r>
            <w:r w:rsidRPr="00A44829">
              <w:rPr>
                <w:rFonts w:cs="Arial"/>
                <w:sz w:val="16"/>
                <w:szCs w:val="16"/>
              </w:rPr>
              <w:t>.</w:t>
            </w:r>
          </w:p>
          <w:p w14:paraId="75F20E97" w14:textId="64AF09EE" w:rsidR="0096697F" w:rsidRPr="00A44829" w:rsidRDefault="00586CC7" w:rsidP="00C03614">
            <w:pPr>
              <w:spacing w:before="40" w:after="20"/>
              <w:jc w:val="both"/>
              <w:rPr>
                <w:rFonts w:cs="Arial"/>
                <w:sz w:val="12"/>
                <w:szCs w:val="12"/>
              </w:rPr>
            </w:pPr>
            <w:hyperlink r:id="rId21" w:history="1">
              <w:r w:rsidR="00462515" w:rsidRPr="00A44829">
                <w:rPr>
                  <w:rStyle w:val="Hyperlink"/>
                  <w:rFonts w:cs="Arial"/>
                  <w:color w:val="auto"/>
                  <w:sz w:val="12"/>
                  <w:szCs w:val="12"/>
                </w:rPr>
                <w:t>http://www.abs.gov.au/AUSSTATS/abs@.nsf/DetailsPage/8731.0Oct%202017?OpenDocument</w:t>
              </w:r>
            </w:hyperlink>
            <w:r w:rsidR="00462515" w:rsidRPr="00A44829">
              <w:rPr>
                <w:rStyle w:val="Hyperlink"/>
                <w:rFonts w:cs="Arial"/>
                <w:color w:val="auto"/>
                <w:sz w:val="12"/>
                <w:szCs w:val="12"/>
              </w:rPr>
              <w:t xml:space="preserve"> </w:t>
            </w:r>
            <w:r w:rsidR="00462515" w:rsidRPr="00A44829">
              <w:rPr>
                <w:rFonts w:cs="Arial"/>
                <w:sz w:val="12"/>
                <w:szCs w:val="12"/>
              </w:rPr>
              <w:t xml:space="preserve">  </w:t>
            </w:r>
          </w:p>
          <w:p w14:paraId="59284102" w14:textId="77777777" w:rsidR="00146FD1" w:rsidRPr="00A44829" w:rsidRDefault="00146FD1" w:rsidP="007F45D1">
            <w:pPr>
              <w:spacing w:before="40" w:after="20"/>
              <w:jc w:val="both"/>
              <w:rPr>
                <w:rFonts w:cs="Arial"/>
                <w:sz w:val="16"/>
                <w:szCs w:val="16"/>
              </w:rPr>
            </w:pPr>
          </w:p>
        </w:tc>
      </w:tr>
      <w:tr w:rsidR="00146FD1" w:rsidRPr="00A44829" w14:paraId="5034A1B0"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1C980728" w14:textId="77777777" w:rsidR="00146FD1" w:rsidRPr="00A44829" w:rsidRDefault="00146FD1" w:rsidP="00FF36E8">
            <w:pPr>
              <w:spacing w:before="40" w:after="20"/>
              <w:rPr>
                <w:rFonts w:cs="Arial"/>
                <w:b/>
                <w:sz w:val="18"/>
                <w:szCs w:val="18"/>
              </w:rPr>
            </w:pPr>
            <w:r w:rsidRPr="00A44829">
              <w:rPr>
                <w:rFonts w:cs="Arial"/>
                <w:b/>
                <w:sz w:val="18"/>
                <w:szCs w:val="18"/>
              </w:rPr>
              <w:t xml:space="preserve">Valuations </w:t>
            </w:r>
            <w:r w:rsidRPr="00A44829">
              <w:rPr>
                <w:rFonts w:cs="Arial"/>
                <w:b/>
                <w:sz w:val="18"/>
                <w:szCs w:val="18"/>
              </w:rPr>
              <w:br/>
              <w:t>(Commercial)</w:t>
            </w:r>
          </w:p>
        </w:tc>
        <w:tc>
          <w:tcPr>
            <w:tcW w:w="6947" w:type="dxa"/>
            <w:tcBorders>
              <w:top w:val="nil"/>
              <w:left w:val="single" w:sz="18" w:space="0" w:color="5F497A" w:themeColor="accent4" w:themeShade="BF"/>
              <w:bottom w:val="nil"/>
              <w:right w:val="nil"/>
            </w:tcBorders>
            <w:shd w:val="clear" w:color="auto" w:fill="auto"/>
          </w:tcPr>
          <w:p w14:paraId="0F5752E4" w14:textId="790124E5" w:rsidR="00A75463" w:rsidRPr="00A44829" w:rsidRDefault="00D673B3" w:rsidP="007F45D1">
            <w:pPr>
              <w:spacing w:before="40" w:after="20"/>
              <w:jc w:val="both"/>
              <w:rPr>
                <w:rFonts w:cs="Arial"/>
                <w:sz w:val="16"/>
                <w:szCs w:val="16"/>
              </w:rPr>
            </w:pPr>
            <w:r w:rsidRPr="00A44829">
              <w:rPr>
                <w:rFonts w:cs="Arial"/>
                <w:sz w:val="16"/>
                <w:szCs w:val="16"/>
              </w:rPr>
              <w:t xml:space="preserve">Victoria Grants Commission, </w:t>
            </w:r>
            <w:r w:rsidR="00311A0C" w:rsidRPr="00A44829">
              <w:rPr>
                <w:rFonts w:cs="Arial"/>
                <w:i/>
                <w:sz w:val="16"/>
                <w:szCs w:val="16"/>
              </w:rPr>
              <w:t>Local Government</w:t>
            </w:r>
            <w:r w:rsidRPr="00A44829">
              <w:rPr>
                <w:rFonts w:cs="Arial"/>
                <w:i/>
                <w:sz w:val="16"/>
                <w:szCs w:val="16"/>
              </w:rPr>
              <w:t xml:space="preserve"> - Accounting &amp; General Information Questionnaire</w:t>
            </w:r>
            <w:r w:rsidRPr="00A44829">
              <w:rPr>
                <w:rFonts w:cs="Arial"/>
                <w:sz w:val="16"/>
                <w:szCs w:val="16"/>
              </w:rPr>
              <w:t xml:space="preserve"> - as at </w:t>
            </w:r>
            <w:r w:rsidR="00EE4593" w:rsidRPr="00A44829">
              <w:rPr>
                <w:rFonts w:cs="Arial"/>
                <w:sz w:val="16"/>
                <w:szCs w:val="16"/>
              </w:rPr>
              <w:t>June 2018</w:t>
            </w:r>
            <w:r w:rsidRPr="00A44829">
              <w:rPr>
                <w:rFonts w:cs="Arial"/>
                <w:sz w:val="16"/>
                <w:szCs w:val="16"/>
              </w:rPr>
              <w:t>, completed by councils annually.</w:t>
            </w:r>
          </w:p>
          <w:p w14:paraId="10AB72B7" w14:textId="5E6CA9A3" w:rsidR="0096697F" w:rsidRPr="00A44829" w:rsidRDefault="0096697F" w:rsidP="007F45D1">
            <w:pPr>
              <w:spacing w:before="40" w:after="20"/>
              <w:jc w:val="both"/>
              <w:rPr>
                <w:rFonts w:cs="Arial"/>
                <w:sz w:val="16"/>
                <w:szCs w:val="16"/>
              </w:rPr>
            </w:pPr>
          </w:p>
          <w:p w14:paraId="09B4B606" w14:textId="62984F79" w:rsidR="0096697F" w:rsidRPr="00A44829" w:rsidRDefault="0096697F" w:rsidP="007F45D1">
            <w:pPr>
              <w:spacing w:before="40" w:after="20"/>
              <w:jc w:val="both"/>
              <w:rPr>
                <w:rFonts w:cs="Arial"/>
                <w:sz w:val="16"/>
                <w:szCs w:val="16"/>
              </w:rPr>
            </w:pPr>
          </w:p>
          <w:p w14:paraId="46DC50F9" w14:textId="77777777" w:rsidR="00462515" w:rsidRPr="00A44829" w:rsidRDefault="00462515" w:rsidP="007F45D1">
            <w:pPr>
              <w:spacing w:before="40" w:after="20"/>
              <w:jc w:val="both"/>
              <w:rPr>
                <w:rFonts w:cs="Arial"/>
                <w:sz w:val="16"/>
                <w:szCs w:val="16"/>
              </w:rPr>
            </w:pPr>
          </w:p>
          <w:p w14:paraId="7BD5A233" w14:textId="77777777" w:rsidR="00261079" w:rsidRPr="00A44829" w:rsidRDefault="00261079" w:rsidP="007F45D1">
            <w:pPr>
              <w:spacing w:before="40" w:after="20"/>
              <w:jc w:val="both"/>
              <w:rPr>
                <w:rFonts w:cs="Arial"/>
                <w:sz w:val="16"/>
                <w:szCs w:val="16"/>
              </w:rPr>
            </w:pPr>
          </w:p>
          <w:p w14:paraId="4DBC69D3" w14:textId="77777777" w:rsidR="00261079" w:rsidRPr="00A44829" w:rsidRDefault="00261079" w:rsidP="007F45D1">
            <w:pPr>
              <w:spacing w:before="40" w:after="20"/>
              <w:jc w:val="both"/>
              <w:rPr>
                <w:rFonts w:cs="Arial"/>
                <w:sz w:val="16"/>
                <w:szCs w:val="16"/>
              </w:rPr>
            </w:pPr>
          </w:p>
        </w:tc>
      </w:tr>
    </w:tbl>
    <w:p w14:paraId="0E2BB535" w14:textId="77777777" w:rsidR="00C94778" w:rsidRPr="00A44829" w:rsidRDefault="001E1A90" w:rsidP="00FF36E8">
      <w:pPr>
        <w:spacing w:before="40" w:after="20"/>
        <w:rPr>
          <w:rFonts w:cs="Arial"/>
          <w:sz w:val="16"/>
          <w:szCs w:val="16"/>
        </w:rPr>
      </w:pPr>
      <w:r w:rsidRPr="00A44829">
        <w:rPr>
          <w:rFonts w:cs="Arial"/>
        </w:rPr>
        <w:br w:type="page"/>
      </w:r>
    </w:p>
    <w:p w14:paraId="3DD364AE" w14:textId="76506B00" w:rsidR="00C94778" w:rsidRPr="00A44829" w:rsidRDefault="00CE4507" w:rsidP="00C33713">
      <w:pPr>
        <w:pStyle w:val="VGC-Head10"/>
      </w:pPr>
      <w:r w:rsidRPr="00A44829">
        <w:lastRenderedPageBreak/>
        <w:t>Appendix 5</w:t>
      </w:r>
      <w:r w:rsidR="0096783F" w:rsidRPr="00A44829">
        <w:tab/>
      </w:r>
      <w:r w:rsidR="00EE4593" w:rsidRPr="00A44829">
        <w:t>2019-20</w:t>
      </w:r>
      <w:r w:rsidR="00A97ABE" w:rsidRPr="00A44829">
        <w:t xml:space="preserve"> </w:t>
      </w:r>
      <w:r w:rsidR="0096783F" w:rsidRPr="00A44829">
        <w:t xml:space="preserve">Local Roads Grants </w:t>
      </w:r>
    </w:p>
    <w:p w14:paraId="71CA4A6A" w14:textId="5528569A" w:rsidR="00C94778" w:rsidRPr="00A44829" w:rsidRDefault="004421DD" w:rsidP="008C1A28">
      <w:pPr>
        <w:pStyle w:val="VGC-Head2"/>
      </w:pPr>
      <w:r w:rsidRPr="00A44829">
        <w:t>A</w:t>
      </w:r>
      <w:r w:rsidR="00CE520A" w:rsidRPr="00A44829">
        <w:t xml:space="preserve">.  </w:t>
      </w:r>
      <w:r w:rsidR="00C94778" w:rsidRPr="00A44829">
        <w:t>Local Road</w:t>
      </w:r>
      <w:r w:rsidR="00C64712">
        <w:t>s</w:t>
      </w:r>
      <w:r w:rsidR="00C94778" w:rsidRPr="00A44829">
        <w:t xml:space="preserve"> Network </w:t>
      </w:r>
    </w:p>
    <w:p w14:paraId="7895B13A" w14:textId="77777777" w:rsidR="0056299E" w:rsidRPr="00A44829"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A44829" w14:paraId="71921832"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21BCED7E" w14:textId="77777777" w:rsidR="0056299E" w:rsidRPr="00A44829" w:rsidRDefault="0056299E" w:rsidP="0038375E">
            <w:pPr>
              <w:spacing w:before="40" w:after="20"/>
              <w:jc w:val="center"/>
              <w:rPr>
                <w:rFonts w:cs="Arial"/>
                <w:sz w:val="18"/>
                <w:szCs w:val="18"/>
              </w:rPr>
            </w:pPr>
          </w:p>
        </w:tc>
        <w:tc>
          <w:tcPr>
            <w:tcW w:w="6803" w:type="dxa"/>
            <w:gridSpan w:val="10"/>
            <w:tcBorders>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67EFB225" w14:textId="3EB45998" w:rsidR="0056299E" w:rsidRPr="00A44829" w:rsidRDefault="0056299E" w:rsidP="0038375E">
            <w:pPr>
              <w:spacing w:before="40" w:after="20"/>
              <w:jc w:val="center"/>
              <w:rPr>
                <w:rFonts w:cs="Arial"/>
                <w:sz w:val="16"/>
                <w:szCs w:val="16"/>
              </w:rPr>
            </w:pPr>
            <w:r w:rsidRPr="00A44829">
              <w:rPr>
                <w:rFonts w:cs="Arial"/>
                <w:b/>
                <w:sz w:val="18"/>
                <w:szCs w:val="18"/>
              </w:rPr>
              <w:t xml:space="preserve">Average Daily Traffic Volumes: </w:t>
            </w:r>
            <w:r w:rsidR="006D4C53" w:rsidRPr="00A44829">
              <w:rPr>
                <w:rFonts w:cs="Arial"/>
                <w:b/>
                <w:sz w:val="18"/>
                <w:szCs w:val="18"/>
              </w:rPr>
              <w:t xml:space="preserve"> </w:t>
            </w:r>
            <w:r w:rsidRPr="00A44829">
              <w:rPr>
                <w:rFonts w:cs="Arial"/>
                <w:b/>
                <w:sz w:val="18"/>
                <w:szCs w:val="18"/>
              </w:rPr>
              <w:t>Vehicles Per Day (VPD)</w:t>
            </w:r>
          </w:p>
        </w:tc>
      </w:tr>
      <w:tr w:rsidR="00782715" w:rsidRPr="00A44829" w14:paraId="1A9264BC"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0CB71F71" w14:textId="77777777" w:rsidR="00782715" w:rsidRPr="00A44829" w:rsidRDefault="00782715" w:rsidP="0038375E">
            <w:pPr>
              <w:spacing w:before="40" w:after="20"/>
              <w:jc w:val="center"/>
              <w:rPr>
                <w:rFonts w:cs="Arial"/>
                <w:sz w:val="18"/>
                <w:szCs w:val="18"/>
              </w:rPr>
            </w:pPr>
          </w:p>
        </w:tc>
        <w:tc>
          <w:tcPr>
            <w:tcW w:w="2948" w:type="dxa"/>
            <w:gridSpan w:val="4"/>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683DED77" w14:textId="77777777" w:rsidR="00782715" w:rsidRPr="00A44829" w:rsidRDefault="00782715" w:rsidP="0038375E">
            <w:pPr>
              <w:spacing w:before="40" w:after="20"/>
              <w:jc w:val="center"/>
              <w:rPr>
                <w:rFonts w:cs="Arial"/>
                <w:sz w:val="16"/>
                <w:szCs w:val="16"/>
              </w:rPr>
            </w:pPr>
            <w:r w:rsidRPr="00A44829">
              <w:rPr>
                <w:rFonts w:cs="Arial"/>
                <w:sz w:val="16"/>
                <w:szCs w:val="16"/>
              </w:rPr>
              <w:t>Urban Local Roads (km)</w:t>
            </w:r>
          </w:p>
        </w:tc>
        <w:tc>
          <w:tcPr>
            <w:tcW w:w="170" w:type="dxa"/>
            <w:vMerge w:val="restart"/>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2ACBF002" w14:textId="77777777" w:rsidR="00782715" w:rsidRPr="00A44829" w:rsidRDefault="00782715" w:rsidP="0038375E">
            <w:pPr>
              <w:spacing w:before="40" w:after="20"/>
              <w:jc w:val="center"/>
              <w:rPr>
                <w:rFonts w:cs="Arial"/>
                <w:sz w:val="16"/>
                <w:szCs w:val="16"/>
              </w:rPr>
            </w:pPr>
          </w:p>
        </w:tc>
        <w:tc>
          <w:tcPr>
            <w:tcW w:w="3685" w:type="dxa"/>
            <w:gridSpan w:val="5"/>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6CC34747" w14:textId="77777777" w:rsidR="00782715" w:rsidRPr="00A44829" w:rsidRDefault="00782715" w:rsidP="0038375E">
            <w:pPr>
              <w:spacing w:before="40" w:after="20"/>
              <w:jc w:val="center"/>
              <w:rPr>
                <w:rFonts w:cs="Arial"/>
                <w:sz w:val="16"/>
                <w:szCs w:val="16"/>
              </w:rPr>
            </w:pPr>
            <w:r w:rsidRPr="00A44829">
              <w:rPr>
                <w:rFonts w:cs="Arial"/>
                <w:sz w:val="16"/>
                <w:szCs w:val="16"/>
              </w:rPr>
              <w:t>Rural Local Roads (km)</w:t>
            </w:r>
          </w:p>
        </w:tc>
      </w:tr>
      <w:tr w:rsidR="00782715" w:rsidRPr="00A44829" w14:paraId="61D5BAD8"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7D2F302C" w14:textId="77777777" w:rsidR="00782715" w:rsidRPr="00A44829" w:rsidRDefault="00782715" w:rsidP="0038375E">
            <w:pPr>
              <w:spacing w:before="40" w:after="20"/>
              <w:jc w:val="center"/>
              <w:rPr>
                <w:rFonts w:cs="Arial"/>
                <w:sz w:val="18"/>
                <w:szCs w:val="18"/>
              </w:rPr>
            </w:pPr>
          </w:p>
        </w:tc>
        <w:tc>
          <w:tcPr>
            <w:tcW w:w="737"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16580AD0" w14:textId="77777777" w:rsidR="00782715" w:rsidRPr="00A44829" w:rsidRDefault="00782715" w:rsidP="0038375E">
            <w:pPr>
              <w:spacing w:before="40" w:after="20"/>
              <w:jc w:val="center"/>
              <w:rPr>
                <w:rFonts w:cs="Arial"/>
                <w:sz w:val="16"/>
                <w:szCs w:val="16"/>
              </w:rPr>
            </w:pPr>
            <w:r w:rsidRPr="00A44829">
              <w:rPr>
                <w:rFonts w:cs="Arial"/>
                <w:sz w:val="16"/>
                <w:szCs w:val="16"/>
              </w:rPr>
              <w:t>&lt;500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4AA386BC" w14:textId="77777777" w:rsidR="00782715" w:rsidRPr="00A44829" w:rsidRDefault="00782715" w:rsidP="0038375E">
            <w:pPr>
              <w:spacing w:before="40" w:after="20"/>
              <w:jc w:val="center"/>
              <w:rPr>
                <w:rFonts w:cs="Arial"/>
                <w:sz w:val="16"/>
                <w:szCs w:val="16"/>
              </w:rPr>
            </w:pPr>
            <w:r w:rsidRPr="00A44829">
              <w:rPr>
                <w:rFonts w:cs="Arial"/>
                <w:sz w:val="16"/>
                <w:szCs w:val="16"/>
              </w:rPr>
              <w:t xml:space="preserve">500 to </w:t>
            </w:r>
            <w:r w:rsidRPr="00A44829">
              <w:rPr>
                <w:rFonts w:cs="Arial"/>
                <w:sz w:val="16"/>
                <w:szCs w:val="16"/>
              </w:rPr>
              <w:br/>
              <w:t>&lt;1000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7E74A479" w14:textId="77777777" w:rsidR="00782715" w:rsidRPr="00A44829" w:rsidRDefault="00782715" w:rsidP="0038375E">
            <w:pPr>
              <w:spacing w:before="40" w:after="20"/>
              <w:jc w:val="center"/>
              <w:rPr>
                <w:rFonts w:cs="Arial"/>
                <w:sz w:val="16"/>
                <w:szCs w:val="16"/>
              </w:rPr>
            </w:pPr>
            <w:r w:rsidRPr="00A44829">
              <w:rPr>
                <w:rFonts w:cs="Arial"/>
                <w:sz w:val="16"/>
                <w:szCs w:val="16"/>
              </w:rPr>
              <w:t xml:space="preserve">1000 to </w:t>
            </w:r>
            <w:r w:rsidRPr="00A44829">
              <w:rPr>
                <w:rFonts w:cs="Arial"/>
                <w:sz w:val="16"/>
                <w:szCs w:val="16"/>
              </w:rPr>
              <w:br/>
              <w:t>&lt;5000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BD6AF6A" w14:textId="77777777" w:rsidR="00782715" w:rsidRPr="00A44829" w:rsidRDefault="00782715" w:rsidP="0038375E">
            <w:pPr>
              <w:spacing w:before="40" w:after="20"/>
              <w:jc w:val="center"/>
              <w:rPr>
                <w:rFonts w:cs="Arial"/>
                <w:sz w:val="16"/>
                <w:szCs w:val="16"/>
              </w:rPr>
            </w:pPr>
            <w:r w:rsidRPr="00A44829">
              <w:rPr>
                <w:rFonts w:cs="Arial"/>
                <w:sz w:val="16"/>
                <w:szCs w:val="16"/>
              </w:rPr>
              <w:t>&gt;5000</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6146048" w14:textId="77777777" w:rsidR="00782715" w:rsidRPr="00A44829" w:rsidRDefault="00782715" w:rsidP="0038375E">
            <w:pPr>
              <w:spacing w:before="40" w:after="20"/>
              <w:jc w:val="center"/>
              <w:rPr>
                <w:rFonts w:cs="Arial"/>
                <w:sz w:val="16"/>
                <w:szCs w:val="16"/>
              </w:rPr>
            </w:pP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66BE7DC6" w14:textId="77777777" w:rsidR="00782715" w:rsidRPr="00A44829" w:rsidRDefault="00782715" w:rsidP="005D04BF">
            <w:pPr>
              <w:spacing w:before="40" w:after="20"/>
              <w:jc w:val="center"/>
              <w:rPr>
                <w:rFonts w:cs="Arial"/>
                <w:sz w:val="16"/>
                <w:szCs w:val="16"/>
              </w:rPr>
            </w:pPr>
            <w:r w:rsidRPr="00A44829">
              <w:rPr>
                <w:rFonts w:cs="Arial"/>
                <w:sz w:val="16"/>
                <w:szCs w:val="16"/>
              </w:rPr>
              <w:t>Natural Surface</w:t>
            </w:r>
            <w:r w:rsidR="00266F1B" w:rsidRPr="00A44829">
              <w:rPr>
                <w:rFonts w:cs="Arial"/>
                <w:sz w:val="16"/>
                <w:szCs w:val="16"/>
              </w:rPr>
              <w:t xml:space="preserve"> </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34EC0A0B" w14:textId="77777777" w:rsidR="00782715" w:rsidRPr="00A44829" w:rsidRDefault="00782715" w:rsidP="0038375E">
            <w:pPr>
              <w:spacing w:before="40" w:after="20"/>
              <w:jc w:val="center"/>
              <w:rPr>
                <w:rFonts w:cs="Arial"/>
                <w:sz w:val="16"/>
                <w:szCs w:val="16"/>
              </w:rPr>
            </w:pPr>
            <w:r w:rsidRPr="00A44829">
              <w:rPr>
                <w:rFonts w:cs="Arial"/>
                <w:sz w:val="16"/>
                <w:szCs w:val="16"/>
              </w:rPr>
              <w:t>&lt;100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E4A1E29" w14:textId="77777777" w:rsidR="00782715" w:rsidRPr="00A44829" w:rsidRDefault="00782715" w:rsidP="0038375E">
            <w:pPr>
              <w:spacing w:before="40" w:after="20"/>
              <w:jc w:val="center"/>
              <w:rPr>
                <w:rFonts w:cs="Arial"/>
                <w:sz w:val="16"/>
                <w:szCs w:val="16"/>
              </w:rPr>
            </w:pPr>
            <w:r w:rsidRPr="00A44829">
              <w:rPr>
                <w:rFonts w:cs="Arial"/>
                <w:sz w:val="16"/>
                <w:szCs w:val="16"/>
              </w:rPr>
              <w:t xml:space="preserve">100 to </w:t>
            </w:r>
            <w:r w:rsidRPr="00A44829">
              <w:rPr>
                <w:rFonts w:cs="Arial"/>
                <w:sz w:val="16"/>
                <w:szCs w:val="16"/>
              </w:rPr>
              <w:br/>
              <w:t>&lt;500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C7406C0" w14:textId="77777777" w:rsidR="00782715" w:rsidRPr="00A44829" w:rsidRDefault="00782715" w:rsidP="0038375E">
            <w:pPr>
              <w:spacing w:before="40" w:after="20"/>
              <w:jc w:val="center"/>
              <w:rPr>
                <w:rFonts w:cs="Arial"/>
                <w:sz w:val="16"/>
                <w:szCs w:val="16"/>
              </w:rPr>
            </w:pPr>
            <w:r w:rsidRPr="00A44829">
              <w:rPr>
                <w:rFonts w:cs="Arial"/>
                <w:sz w:val="16"/>
                <w:szCs w:val="16"/>
              </w:rPr>
              <w:t xml:space="preserve">500 </w:t>
            </w:r>
            <w:r w:rsidR="00266F1B" w:rsidRPr="00A44829">
              <w:rPr>
                <w:rFonts w:cs="Arial"/>
                <w:sz w:val="16"/>
                <w:szCs w:val="16"/>
              </w:rPr>
              <w:t>t</w:t>
            </w:r>
            <w:r w:rsidRPr="00A44829">
              <w:rPr>
                <w:rFonts w:cs="Arial"/>
                <w:sz w:val="16"/>
                <w:szCs w:val="16"/>
              </w:rPr>
              <w:t xml:space="preserve">o </w:t>
            </w:r>
            <w:r w:rsidRPr="00A44829">
              <w:rPr>
                <w:rFonts w:cs="Arial"/>
                <w:sz w:val="16"/>
                <w:szCs w:val="16"/>
              </w:rPr>
              <w:br/>
              <w:t>&lt;1000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6A33D741" w14:textId="77777777" w:rsidR="00782715" w:rsidRPr="00A44829" w:rsidRDefault="00782715" w:rsidP="0038375E">
            <w:pPr>
              <w:spacing w:before="40" w:after="20"/>
              <w:jc w:val="center"/>
              <w:rPr>
                <w:rFonts w:cs="Arial"/>
                <w:sz w:val="16"/>
                <w:szCs w:val="16"/>
              </w:rPr>
            </w:pPr>
            <w:r w:rsidRPr="00A44829">
              <w:rPr>
                <w:rFonts w:cs="Arial"/>
                <w:sz w:val="16"/>
                <w:szCs w:val="16"/>
              </w:rPr>
              <w:t>&gt;1000</w:t>
            </w:r>
          </w:p>
        </w:tc>
      </w:tr>
      <w:tr w:rsidR="00A26814" w:rsidRPr="003E2D55" w14:paraId="0D61CE87" w14:textId="77777777" w:rsidTr="00B44BBE">
        <w:trPr>
          <w:trHeight w:val="20"/>
          <w:tblHeader/>
        </w:trPr>
        <w:tc>
          <w:tcPr>
            <w:tcW w:w="2268" w:type="dxa"/>
            <w:tcBorders>
              <w:left w:val="nil"/>
              <w:bottom w:val="nil"/>
              <w:right w:val="single" w:sz="18" w:space="0" w:color="5F497A" w:themeColor="accent4" w:themeShade="BF"/>
            </w:tcBorders>
            <w:shd w:val="clear" w:color="auto" w:fill="auto"/>
            <w:vAlign w:val="center"/>
          </w:tcPr>
          <w:p w14:paraId="5F6DCF54" w14:textId="77777777" w:rsidR="00A26814" w:rsidRPr="003E2D55" w:rsidRDefault="00A26814" w:rsidP="00A26814">
            <w:pPr>
              <w:spacing w:before="40" w:after="40"/>
              <w:rPr>
                <w:rFonts w:cs="Arial"/>
                <w:sz w:val="18"/>
                <w:szCs w:val="18"/>
              </w:rPr>
            </w:pPr>
          </w:p>
        </w:tc>
        <w:tc>
          <w:tcPr>
            <w:tcW w:w="737"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2B7A1B6" w14:textId="0E64127A"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single" w:sz="8" w:space="0" w:color="5F497A" w:themeColor="accent4" w:themeShade="BF"/>
              <w:left w:val="nil"/>
              <w:bottom w:val="nil"/>
              <w:right w:val="nil"/>
            </w:tcBorders>
            <w:shd w:val="clear" w:color="auto" w:fill="auto"/>
            <w:vAlign w:val="bottom"/>
          </w:tcPr>
          <w:p w14:paraId="29C36E94" w14:textId="77777777" w:rsidR="00A26814" w:rsidRPr="003E2D55" w:rsidRDefault="00A26814" w:rsidP="00A26814">
            <w:pPr>
              <w:spacing w:before="40" w:after="4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4975E4BA" w14:textId="77777777" w:rsidR="00A26814" w:rsidRPr="003E2D55" w:rsidRDefault="00A26814" w:rsidP="00A26814">
            <w:pPr>
              <w:spacing w:before="40" w:after="4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4AD49FEB" w14:textId="77777777" w:rsidR="00A26814" w:rsidRPr="003E2D55" w:rsidRDefault="00A26814" w:rsidP="00A26814">
            <w:pPr>
              <w:spacing w:before="40" w:after="40"/>
              <w:jc w:val="right"/>
              <w:rPr>
                <w:rFonts w:cs="Arial"/>
                <w:sz w:val="18"/>
                <w:szCs w:val="18"/>
              </w:rPr>
            </w:pPr>
          </w:p>
        </w:tc>
        <w:tc>
          <w:tcPr>
            <w:tcW w:w="170" w:type="dxa"/>
            <w:tcBorders>
              <w:top w:val="single" w:sz="8" w:space="0" w:color="5F497A" w:themeColor="accent4" w:themeShade="BF"/>
              <w:left w:val="nil"/>
              <w:bottom w:val="nil"/>
              <w:right w:val="nil"/>
            </w:tcBorders>
            <w:shd w:val="clear" w:color="auto" w:fill="auto"/>
            <w:vAlign w:val="bottom"/>
          </w:tcPr>
          <w:p w14:paraId="5A07C6DF" w14:textId="2AAD333B"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single" w:sz="8" w:space="0" w:color="5F497A" w:themeColor="accent4" w:themeShade="BF"/>
              <w:left w:val="nil"/>
              <w:bottom w:val="nil"/>
              <w:right w:val="nil"/>
            </w:tcBorders>
            <w:shd w:val="clear" w:color="auto" w:fill="auto"/>
            <w:vAlign w:val="bottom"/>
          </w:tcPr>
          <w:p w14:paraId="7765444E" w14:textId="77777777" w:rsidR="00A26814" w:rsidRPr="003E2D55" w:rsidRDefault="00A26814" w:rsidP="00A26814">
            <w:pPr>
              <w:spacing w:before="40" w:after="4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02FA68BD" w14:textId="77777777" w:rsidR="00A26814" w:rsidRPr="003E2D55" w:rsidRDefault="00A26814" w:rsidP="00A26814">
            <w:pPr>
              <w:spacing w:before="40" w:after="4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5B90CCA3" w14:textId="77777777" w:rsidR="00A26814" w:rsidRPr="003E2D55" w:rsidRDefault="00A26814" w:rsidP="00A26814">
            <w:pPr>
              <w:spacing w:before="40" w:after="4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5D0768F9" w14:textId="77777777" w:rsidR="00A26814" w:rsidRPr="003E2D55" w:rsidRDefault="00A26814" w:rsidP="00A26814">
            <w:pPr>
              <w:spacing w:before="40" w:after="4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00530E8C" w14:textId="1627FB05" w:rsidR="00A26814" w:rsidRPr="003E2D55" w:rsidRDefault="00A26814" w:rsidP="00A26814">
            <w:pPr>
              <w:spacing w:before="40" w:after="40"/>
              <w:jc w:val="right"/>
              <w:rPr>
                <w:rFonts w:cs="Arial"/>
                <w:sz w:val="18"/>
                <w:szCs w:val="18"/>
              </w:rPr>
            </w:pPr>
            <w:r w:rsidRPr="003E2D55">
              <w:rPr>
                <w:rFonts w:cs="Arial"/>
                <w:sz w:val="18"/>
                <w:szCs w:val="18"/>
              </w:rPr>
              <w:t> </w:t>
            </w:r>
          </w:p>
        </w:tc>
      </w:tr>
      <w:tr w:rsidR="00A26814" w:rsidRPr="003E2D55" w14:paraId="4E3B8C4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C3CD753" w14:textId="77777777" w:rsidR="00A26814" w:rsidRPr="003E2D55" w:rsidRDefault="00A26814" w:rsidP="00A26814">
            <w:pPr>
              <w:spacing w:before="40" w:after="40"/>
              <w:rPr>
                <w:rFonts w:cs="Arial"/>
                <w:sz w:val="18"/>
                <w:szCs w:val="18"/>
              </w:rPr>
            </w:pPr>
            <w:r w:rsidRPr="003E2D55">
              <w:rPr>
                <w:rFonts w:cs="Arial"/>
                <w:sz w:val="18"/>
                <w:szCs w:val="18"/>
              </w:rPr>
              <w:t>Alpine S</w:t>
            </w:r>
          </w:p>
        </w:tc>
        <w:tc>
          <w:tcPr>
            <w:tcW w:w="737" w:type="dxa"/>
            <w:tcBorders>
              <w:top w:val="nil"/>
              <w:left w:val="single" w:sz="18" w:space="0" w:color="5F497A" w:themeColor="accent4" w:themeShade="BF"/>
              <w:bottom w:val="nil"/>
              <w:right w:val="nil"/>
            </w:tcBorders>
            <w:shd w:val="clear" w:color="auto" w:fill="auto"/>
            <w:vAlign w:val="bottom"/>
          </w:tcPr>
          <w:p w14:paraId="451D81E5" w14:textId="16D5B6AD" w:rsidR="00A26814" w:rsidRPr="003E2D55" w:rsidRDefault="00A26814" w:rsidP="00A26814">
            <w:pPr>
              <w:spacing w:before="40" w:after="40"/>
              <w:jc w:val="right"/>
              <w:rPr>
                <w:rFonts w:cs="Arial"/>
                <w:sz w:val="18"/>
                <w:szCs w:val="18"/>
              </w:rPr>
            </w:pPr>
            <w:r w:rsidRPr="003E2D55">
              <w:rPr>
                <w:rFonts w:cs="Arial"/>
                <w:sz w:val="18"/>
                <w:szCs w:val="18"/>
              </w:rPr>
              <w:t>100</w:t>
            </w:r>
          </w:p>
        </w:tc>
        <w:tc>
          <w:tcPr>
            <w:tcW w:w="737" w:type="dxa"/>
            <w:tcBorders>
              <w:top w:val="nil"/>
              <w:left w:val="nil"/>
              <w:bottom w:val="nil"/>
              <w:right w:val="nil"/>
            </w:tcBorders>
            <w:shd w:val="clear" w:color="auto" w:fill="auto"/>
            <w:vAlign w:val="bottom"/>
          </w:tcPr>
          <w:p w14:paraId="180D0C14" w14:textId="1FCDC5BE" w:rsidR="00A26814" w:rsidRPr="003E2D55" w:rsidRDefault="00A26814" w:rsidP="00A26814">
            <w:pPr>
              <w:spacing w:before="40" w:after="40"/>
              <w:jc w:val="right"/>
              <w:rPr>
                <w:rFonts w:cs="Arial"/>
                <w:sz w:val="18"/>
                <w:szCs w:val="18"/>
              </w:rPr>
            </w:pPr>
            <w:r w:rsidRPr="003E2D55">
              <w:rPr>
                <w:rFonts w:cs="Arial"/>
                <w:sz w:val="18"/>
                <w:szCs w:val="18"/>
              </w:rPr>
              <w:t>16</w:t>
            </w:r>
          </w:p>
        </w:tc>
        <w:tc>
          <w:tcPr>
            <w:tcW w:w="737" w:type="dxa"/>
            <w:tcBorders>
              <w:top w:val="nil"/>
              <w:left w:val="nil"/>
              <w:bottom w:val="nil"/>
              <w:right w:val="nil"/>
            </w:tcBorders>
            <w:shd w:val="clear" w:color="auto" w:fill="auto"/>
            <w:vAlign w:val="bottom"/>
          </w:tcPr>
          <w:p w14:paraId="47952598" w14:textId="3427DB06" w:rsidR="00A26814" w:rsidRPr="003E2D55" w:rsidRDefault="00A26814" w:rsidP="00A26814">
            <w:pPr>
              <w:spacing w:before="40" w:after="40"/>
              <w:jc w:val="right"/>
              <w:rPr>
                <w:rFonts w:cs="Arial"/>
                <w:sz w:val="18"/>
                <w:szCs w:val="18"/>
              </w:rPr>
            </w:pPr>
            <w:r w:rsidRPr="003E2D55">
              <w:rPr>
                <w:rFonts w:cs="Arial"/>
                <w:sz w:val="18"/>
                <w:szCs w:val="18"/>
              </w:rPr>
              <w:t>18</w:t>
            </w:r>
          </w:p>
        </w:tc>
        <w:tc>
          <w:tcPr>
            <w:tcW w:w="737" w:type="dxa"/>
            <w:tcBorders>
              <w:top w:val="nil"/>
              <w:left w:val="nil"/>
              <w:bottom w:val="nil"/>
              <w:right w:val="nil"/>
            </w:tcBorders>
            <w:shd w:val="clear" w:color="auto" w:fill="auto"/>
            <w:vAlign w:val="bottom"/>
          </w:tcPr>
          <w:p w14:paraId="3FD01940" w14:textId="780A3637" w:rsidR="00A26814" w:rsidRPr="003E2D55" w:rsidRDefault="00A26814" w:rsidP="00A26814">
            <w:pPr>
              <w:spacing w:before="40" w:after="4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2D658EB5" w14:textId="3ACECF4C"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2C208328" w14:textId="2AF35F11" w:rsidR="00A26814" w:rsidRPr="003E2D55" w:rsidRDefault="00A26814" w:rsidP="00A26814">
            <w:pPr>
              <w:spacing w:before="40" w:after="40"/>
              <w:jc w:val="right"/>
              <w:rPr>
                <w:rFonts w:cs="Arial"/>
                <w:sz w:val="18"/>
                <w:szCs w:val="18"/>
              </w:rPr>
            </w:pPr>
            <w:r w:rsidRPr="003E2D55">
              <w:rPr>
                <w:rFonts w:cs="Arial"/>
                <w:sz w:val="18"/>
                <w:szCs w:val="18"/>
              </w:rPr>
              <w:t>215</w:t>
            </w:r>
          </w:p>
        </w:tc>
        <w:tc>
          <w:tcPr>
            <w:tcW w:w="737" w:type="dxa"/>
            <w:tcBorders>
              <w:top w:val="nil"/>
              <w:left w:val="nil"/>
              <w:bottom w:val="nil"/>
              <w:right w:val="nil"/>
            </w:tcBorders>
            <w:shd w:val="clear" w:color="auto" w:fill="auto"/>
            <w:vAlign w:val="bottom"/>
          </w:tcPr>
          <w:p w14:paraId="7654615B" w14:textId="5592DB74" w:rsidR="00A26814" w:rsidRPr="003E2D55" w:rsidRDefault="00A26814" w:rsidP="00A26814">
            <w:pPr>
              <w:spacing w:before="40" w:after="40"/>
              <w:jc w:val="right"/>
              <w:rPr>
                <w:rFonts w:cs="Arial"/>
                <w:sz w:val="18"/>
                <w:szCs w:val="18"/>
              </w:rPr>
            </w:pPr>
            <w:r w:rsidRPr="003E2D55">
              <w:rPr>
                <w:rFonts w:cs="Arial"/>
                <w:sz w:val="18"/>
                <w:szCs w:val="18"/>
              </w:rPr>
              <w:t>294</w:t>
            </w:r>
          </w:p>
        </w:tc>
        <w:tc>
          <w:tcPr>
            <w:tcW w:w="737" w:type="dxa"/>
            <w:tcBorders>
              <w:top w:val="nil"/>
              <w:left w:val="nil"/>
              <w:bottom w:val="nil"/>
              <w:right w:val="nil"/>
            </w:tcBorders>
            <w:shd w:val="clear" w:color="auto" w:fill="auto"/>
            <w:vAlign w:val="bottom"/>
          </w:tcPr>
          <w:p w14:paraId="1E27D95F" w14:textId="7DF9C788" w:rsidR="00A26814" w:rsidRPr="003E2D55" w:rsidRDefault="00A26814" w:rsidP="00A26814">
            <w:pPr>
              <w:spacing w:before="40" w:after="40"/>
              <w:jc w:val="right"/>
              <w:rPr>
                <w:rFonts w:cs="Arial"/>
                <w:sz w:val="18"/>
                <w:szCs w:val="18"/>
              </w:rPr>
            </w:pPr>
            <w:r w:rsidRPr="003E2D55">
              <w:rPr>
                <w:rFonts w:cs="Arial"/>
                <w:sz w:val="18"/>
                <w:szCs w:val="18"/>
              </w:rPr>
              <w:t>141</w:t>
            </w:r>
          </w:p>
        </w:tc>
        <w:tc>
          <w:tcPr>
            <w:tcW w:w="737" w:type="dxa"/>
            <w:tcBorders>
              <w:top w:val="nil"/>
              <w:left w:val="nil"/>
              <w:bottom w:val="nil"/>
              <w:right w:val="nil"/>
            </w:tcBorders>
            <w:shd w:val="clear" w:color="auto" w:fill="auto"/>
            <w:vAlign w:val="bottom"/>
          </w:tcPr>
          <w:p w14:paraId="79CAC7FB" w14:textId="726896CD" w:rsidR="00A26814" w:rsidRPr="003E2D55" w:rsidRDefault="00A26814" w:rsidP="00A26814">
            <w:pPr>
              <w:spacing w:before="40" w:after="40"/>
              <w:jc w:val="right"/>
              <w:rPr>
                <w:rFonts w:cs="Arial"/>
                <w:sz w:val="18"/>
                <w:szCs w:val="18"/>
              </w:rPr>
            </w:pPr>
            <w:r w:rsidRPr="003E2D55">
              <w:rPr>
                <w:rFonts w:cs="Arial"/>
                <w:sz w:val="18"/>
                <w:szCs w:val="18"/>
              </w:rPr>
              <w:t>3</w:t>
            </w:r>
          </w:p>
        </w:tc>
        <w:tc>
          <w:tcPr>
            <w:tcW w:w="737" w:type="dxa"/>
            <w:tcBorders>
              <w:top w:val="nil"/>
              <w:left w:val="nil"/>
              <w:bottom w:val="nil"/>
              <w:right w:val="nil"/>
            </w:tcBorders>
            <w:shd w:val="clear" w:color="auto" w:fill="auto"/>
            <w:vAlign w:val="bottom"/>
          </w:tcPr>
          <w:p w14:paraId="7366EA68" w14:textId="316E33FB" w:rsidR="00A26814" w:rsidRPr="003E2D55" w:rsidRDefault="00A26814" w:rsidP="00A26814">
            <w:pPr>
              <w:spacing w:before="40" w:after="40"/>
              <w:jc w:val="right"/>
              <w:rPr>
                <w:rFonts w:cs="Arial"/>
                <w:sz w:val="18"/>
                <w:szCs w:val="18"/>
              </w:rPr>
            </w:pPr>
            <w:r w:rsidRPr="003E2D55">
              <w:rPr>
                <w:rFonts w:cs="Arial"/>
                <w:sz w:val="18"/>
                <w:szCs w:val="18"/>
              </w:rPr>
              <w:t>6</w:t>
            </w:r>
          </w:p>
        </w:tc>
      </w:tr>
      <w:tr w:rsidR="00A26814" w:rsidRPr="003E2D55" w14:paraId="7B33E92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D820478" w14:textId="77777777" w:rsidR="00A26814" w:rsidRPr="003E2D55" w:rsidRDefault="00A26814" w:rsidP="00A26814">
            <w:pPr>
              <w:spacing w:before="40" w:after="40"/>
              <w:rPr>
                <w:rFonts w:cs="Arial"/>
                <w:sz w:val="18"/>
                <w:szCs w:val="18"/>
              </w:rPr>
            </w:pPr>
            <w:r w:rsidRPr="003E2D55">
              <w:rPr>
                <w:rFonts w:cs="Arial"/>
                <w:sz w:val="18"/>
                <w:szCs w:val="18"/>
              </w:rPr>
              <w:t>Ararat RC</w:t>
            </w:r>
          </w:p>
        </w:tc>
        <w:tc>
          <w:tcPr>
            <w:tcW w:w="737" w:type="dxa"/>
            <w:tcBorders>
              <w:top w:val="nil"/>
              <w:left w:val="single" w:sz="18" w:space="0" w:color="5F497A" w:themeColor="accent4" w:themeShade="BF"/>
              <w:bottom w:val="nil"/>
              <w:right w:val="nil"/>
            </w:tcBorders>
            <w:shd w:val="clear" w:color="auto" w:fill="auto"/>
            <w:vAlign w:val="bottom"/>
          </w:tcPr>
          <w:p w14:paraId="5FF246A9" w14:textId="6BCCE13F" w:rsidR="00A26814" w:rsidRPr="003E2D55" w:rsidRDefault="00A26814" w:rsidP="00A26814">
            <w:pPr>
              <w:spacing w:before="40" w:after="40"/>
              <w:jc w:val="right"/>
              <w:rPr>
                <w:rFonts w:cs="Arial"/>
                <w:sz w:val="18"/>
                <w:szCs w:val="18"/>
              </w:rPr>
            </w:pPr>
            <w:r w:rsidRPr="003E2D55">
              <w:rPr>
                <w:rFonts w:cs="Arial"/>
                <w:sz w:val="18"/>
                <w:szCs w:val="18"/>
              </w:rPr>
              <w:t>115</w:t>
            </w:r>
          </w:p>
        </w:tc>
        <w:tc>
          <w:tcPr>
            <w:tcW w:w="737" w:type="dxa"/>
            <w:tcBorders>
              <w:top w:val="nil"/>
              <w:left w:val="nil"/>
              <w:bottom w:val="nil"/>
              <w:right w:val="nil"/>
            </w:tcBorders>
            <w:shd w:val="clear" w:color="auto" w:fill="auto"/>
            <w:vAlign w:val="bottom"/>
          </w:tcPr>
          <w:p w14:paraId="6C8D9DC7" w14:textId="2DEA2F84" w:rsidR="00A26814" w:rsidRPr="003E2D55" w:rsidRDefault="00A26814" w:rsidP="00A26814">
            <w:pPr>
              <w:spacing w:before="40" w:after="40"/>
              <w:jc w:val="right"/>
              <w:rPr>
                <w:rFonts w:cs="Arial"/>
                <w:sz w:val="18"/>
                <w:szCs w:val="18"/>
              </w:rPr>
            </w:pPr>
            <w:r w:rsidRPr="003E2D55">
              <w:rPr>
                <w:rFonts w:cs="Arial"/>
                <w:sz w:val="18"/>
                <w:szCs w:val="18"/>
              </w:rPr>
              <w:t>9</w:t>
            </w:r>
          </w:p>
        </w:tc>
        <w:tc>
          <w:tcPr>
            <w:tcW w:w="737" w:type="dxa"/>
            <w:tcBorders>
              <w:top w:val="nil"/>
              <w:left w:val="nil"/>
              <w:bottom w:val="nil"/>
              <w:right w:val="nil"/>
            </w:tcBorders>
            <w:shd w:val="clear" w:color="auto" w:fill="auto"/>
            <w:vAlign w:val="bottom"/>
          </w:tcPr>
          <w:p w14:paraId="0FEADA13" w14:textId="0C2D97B9" w:rsidR="00A26814" w:rsidRPr="003E2D55" w:rsidRDefault="00A26814" w:rsidP="00A26814">
            <w:pPr>
              <w:spacing w:before="40" w:after="40"/>
              <w:jc w:val="right"/>
              <w:rPr>
                <w:rFonts w:cs="Arial"/>
                <w:sz w:val="18"/>
                <w:szCs w:val="18"/>
              </w:rPr>
            </w:pPr>
            <w:r w:rsidRPr="003E2D55">
              <w:rPr>
                <w:rFonts w:cs="Arial"/>
                <w:sz w:val="18"/>
                <w:szCs w:val="18"/>
              </w:rPr>
              <w:t>13</w:t>
            </w:r>
          </w:p>
        </w:tc>
        <w:tc>
          <w:tcPr>
            <w:tcW w:w="737" w:type="dxa"/>
            <w:tcBorders>
              <w:top w:val="nil"/>
              <w:left w:val="nil"/>
              <w:bottom w:val="nil"/>
              <w:right w:val="nil"/>
            </w:tcBorders>
            <w:shd w:val="clear" w:color="auto" w:fill="auto"/>
            <w:vAlign w:val="bottom"/>
          </w:tcPr>
          <w:p w14:paraId="3FBCCB44" w14:textId="4C225399" w:rsidR="00A26814" w:rsidRPr="003E2D55" w:rsidRDefault="00A26814" w:rsidP="00A26814">
            <w:pPr>
              <w:spacing w:before="40" w:after="4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48CECAAA" w14:textId="5BEDE1AF"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4041C93A" w14:textId="4FF7CCE4" w:rsidR="00A26814" w:rsidRPr="003E2D55" w:rsidRDefault="00A26814" w:rsidP="00A26814">
            <w:pPr>
              <w:spacing w:before="40" w:after="40"/>
              <w:jc w:val="right"/>
              <w:rPr>
                <w:rFonts w:cs="Arial"/>
                <w:sz w:val="18"/>
                <w:szCs w:val="18"/>
              </w:rPr>
            </w:pPr>
            <w:r w:rsidRPr="003E2D55">
              <w:rPr>
                <w:rFonts w:cs="Arial"/>
                <w:sz w:val="18"/>
                <w:szCs w:val="18"/>
              </w:rPr>
              <w:t>347</w:t>
            </w:r>
          </w:p>
        </w:tc>
        <w:tc>
          <w:tcPr>
            <w:tcW w:w="737" w:type="dxa"/>
            <w:tcBorders>
              <w:top w:val="nil"/>
              <w:left w:val="nil"/>
              <w:bottom w:val="nil"/>
              <w:right w:val="nil"/>
            </w:tcBorders>
            <w:shd w:val="clear" w:color="auto" w:fill="auto"/>
            <w:vAlign w:val="bottom"/>
          </w:tcPr>
          <w:p w14:paraId="36D19E5F" w14:textId="707C2A41" w:rsidR="00A26814" w:rsidRPr="003E2D55" w:rsidRDefault="00A26814" w:rsidP="00A26814">
            <w:pPr>
              <w:spacing w:before="40" w:after="40"/>
              <w:jc w:val="right"/>
              <w:rPr>
                <w:rFonts w:cs="Arial"/>
                <w:sz w:val="18"/>
                <w:szCs w:val="18"/>
              </w:rPr>
            </w:pPr>
            <w:r w:rsidRPr="003E2D55">
              <w:rPr>
                <w:rFonts w:cs="Arial"/>
                <w:sz w:val="18"/>
                <w:szCs w:val="18"/>
              </w:rPr>
              <w:t>1,751</w:t>
            </w:r>
          </w:p>
        </w:tc>
        <w:tc>
          <w:tcPr>
            <w:tcW w:w="737" w:type="dxa"/>
            <w:tcBorders>
              <w:top w:val="nil"/>
              <w:left w:val="nil"/>
              <w:bottom w:val="nil"/>
              <w:right w:val="nil"/>
            </w:tcBorders>
            <w:shd w:val="clear" w:color="auto" w:fill="auto"/>
            <w:vAlign w:val="bottom"/>
          </w:tcPr>
          <w:p w14:paraId="22B5765C" w14:textId="666E013D" w:rsidR="00A26814" w:rsidRPr="003E2D55" w:rsidRDefault="00A26814" w:rsidP="00A26814">
            <w:pPr>
              <w:spacing w:before="40" w:after="40"/>
              <w:jc w:val="right"/>
              <w:rPr>
                <w:rFonts w:cs="Arial"/>
                <w:sz w:val="18"/>
                <w:szCs w:val="18"/>
              </w:rPr>
            </w:pPr>
            <w:r w:rsidRPr="003E2D55">
              <w:rPr>
                <w:rFonts w:cs="Arial"/>
                <w:sz w:val="18"/>
                <w:szCs w:val="18"/>
              </w:rPr>
              <w:t>129</w:t>
            </w:r>
          </w:p>
        </w:tc>
        <w:tc>
          <w:tcPr>
            <w:tcW w:w="737" w:type="dxa"/>
            <w:tcBorders>
              <w:top w:val="nil"/>
              <w:left w:val="nil"/>
              <w:bottom w:val="nil"/>
              <w:right w:val="nil"/>
            </w:tcBorders>
            <w:shd w:val="clear" w:color="auto" w:fill="auto"/>
            <w:vAlign w:val="bottom"/>
          </w:tcPr>
          <w:p w14:paraId="268A64B7" w14:textId="2532644B"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26468A49" w14:textId="193E50A3" w:rsidR="00A26814" w:rsidRPr="003E2D55" w:rsidRDefault="00A26814" w:rsidP="00A26814">
            <w:pPr>
              <w:spacing w:before="40" w:after="40"/>
              <w:jc w:val="right"/>
              <w:rPr>
                <w:rFonts w:cs="Arial"/>
                <w:sz w:val="18"/>
                <w:szCs w:val="18"/>
              </w:rPr>
            </w:pPr>
            <w:r w:rsidRPr="003E2D55">
              <w:rPr>
                <w:rFonts w:cs="Arial"/>
                <w:sz w:val="18"/>
                <w:szCs w:val="18"/>
              </w:rPr>
              <w:t>0</w:t>
            </w:r>
          </w:p>
        </w:tc>
      </w:tr>
      <w:tr w:rsidR="00A26814" w:rsidRPr="003E2D55" w14:paraId="404A6C1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183BCA8" w14:textId="77777777" w:rsidR="00A26814" w:rsidRPr="003E2D55" w:rsidRDefault="00A26814" w:rsidP="00A26814">
            <w:pPr>
              <w:spacing w:before="40" w:after="40"/>
              <w:rPr>
                <w:rFonts w:cs="Arial"/>
                <w:sz w:val="18"/>
                <w:szCs w:val="18"/>
              </w:rPr>
            </w:pPr>
            <w:r w:rsidRPr="003E2D55">
              <w:rPr>
                <w:rFonts w:cs="Arial"/>
                <w:sz w:val="18"/>
                <w:szCs w:val="18"/>
              </w:rPr>
              <w:t xml:space="preserve">Ballarat C </w:t>
            </w:r>
          </w:p>
        </w:tc>
        <w:tc>
          <w:tcPr>
            <w:tcW w:w="737" w:type="dxa"/>
            <w:tcBorders>
              <w:top w:val="nil"/>
              <w:left w:val="single" w:sz="18" w:space="0" w:color="5F497A" w:themeColor="accent4" w:themeShade="BF"/>
              <w:bottom w:val="nil"/>
              <w:right w:val="nil"/>
            </w:tcBorders>
            <w:shd w:val="clear" w:color="auto" w:fill="auto"/>
            <w:vAlign w:val="bottom"/>
          </w:tcPr>
          <w:p w14:paraId="05E943E3" w14:textId="06A84A52" w:rsidR="00A26814" w:rsidRPr="003E2D55" w:rsidRDefault="00A26814" w:rsidP="00A26814">
            <w:pPr>
              <w:spacing w:before="40" w:after="40"/>
              <w:jc w:val="right"/>
              <w:rPr>
                <w:rFonts w:cs="Arial"/>
                <w:sz w:val="18"/>
                <w:szCs w:val="18"/>
              </w:rPr>
            </w:pPr>
            <w:r w:rsidRPr="003E2D55">
              <w:rPr>
                <w:rFonts w:cs="Arial"/>
                <w:sz w:val="18"/>
                <w:szCs w:val="18"/>
              </w:rPr>
              <w:t>322</w:t>
            </w:r>
          </w:p>
        </w:tc>
        <w:tc>
          <w:tcPr>
            <w:tcW w:w="737" w:type="dxa"/>
            <w:tcBorders>
              <w:top w:val="nil"/>
              <w:left w:val="nil"/>
              <w:bottom w:val="nil"/>
              <w:right w:val="nil"/>
            </w:tcBorders>
            <w:shd w:val="clear" w:color="auto" w:fill="auto"/>
            <w:vAlign w:val="bottom"/>
          </w:tcPr>
          <w:p w14:paraId="60DE208C" w14:textId="0137DBBF" w:rsidR="00A26814" w:rsidRPr="003E2D55" w:rsidRDefault="00A26814" w:rsidP="00A26814">
            <w:pPr>
              <w:spacing w:before="40" w:after="40"/>
              <w:jc w:val="right"/>
              <w:rPr>
                <w:rFonts w:cs="Arial"/>
                <w:sz w:val="18"/>
                <w:szCs w:val="18"/>
              </w:rPr>
            </w:pPr>
            <w:r w:rsidRPr="003E2D55">
              <w:rPr>
                <w:rFonts w:cs="Arial"/>
                <w:sz w:val="18"/>
                <w:szCs w:val="18"/>
              </w:rPr>
              <w:t>106</w:t>
            </w:r>
          </w:p>
        </w:tc>
        <w:tc>
          <w:tcPr>
            <w:tcW w:w="737" w:type="dxa"/>
            <w:tcBorders>
              <w:top w:val="nil"/>
              <w:left w:val="nil"/>
              <w:bottom w:val="nil"/>
              <w:right w:val="nil"/>
            </w:tcBorders>
            <w:shd w:val="clear" w:color="auto" w:fill="auto"/>
            <w:vAlign w:val="bottom"/>
          </w:tcPr>
          <w:p w14:paraId="449386D5" w14:textId="56F5EB74" w:rsidR="00A26814" w:rsidRPr="003E2D55" w:rsidRDefault="00A26814" w:rsidP="00A26814">
            <w:pPr>
              <w:spacing w:before="40" w:after="40"/>
              <w:jc w:val="right"/>
              <w:rPr>
                <w:rFonts w:cs="Arial"/>
                <w:sz w:val="18"/>
                <w:szCs w:val="18"/>
              </w:rPr>
            </w:pPr>
            <w:r w:rsidRPr="003E2D55">
              <w:rPr>
                <w:rFonts w:cs="Arial"/>
                <w:sz w:val="18"/>
                <w:szCs w:val="18"/>
              </w:rPr>
              <w:t>239</w:t>
            </w:r>
          </w:p>
        </w:tc>
        <w:tc>
          <w:tcPr>
            <w:tcW w:w="737" w:type="dxa"/>
            <w:tcBorders>
              <w:top w:val="nil"/>
              <w:left w:val="nil"/>
              <w:bottom w:val="nil"/>
              <w:right w:val="nil"/>
            </w:tcBorders>
            <w:shd w:val="clear" w:color="auto" w:fill="auto"/>
            <w:vAlign w:val="bottom"/>
          </w:tcPr>
          <w:p w14:paraId="6AA86966" w14:textId="33569C68" w:rsidR="00A26814" w:rsidRPr="003E2D55" w:rsidRDefault="00A26814" w:rsidP="00A26814">
            <w:pPr>
              <w:spacing w:before="40" w:after="40"/>
              <w:jc w:val="right"/>
              <w:rPr>
                <w:rFonts w:cs="Arial"/>
                <w:sz w:val="18"/>
                <w:szCs w:val="18"/>
              </w:rPr>
            </w:pPr>
            <w:r w:rsidRPr="003E2D55">
              <w:rPr>
                <w:rFonts w:cs="Arial"/>
                <w:sz w:val="18"/>
                <w:szCs w:val="18"/>
              </w:rPr>
              <w:t>66</w:t>
            </w:r>
          </w:p>
        </w:tc>
        <w:tc>
          <w:tcPr>
            <w:tcW w:w="170" w:type="dxa"/>
            <w:tcBorders>
              <w:top w:val="nil"/>
              <w:left w:val="nil"/>
              <w:bottom w:val="nil"/>
              <w:right w:val="nil"/>
            </w:tcBorders>
            <w:shd w:val="clear" w:color="auto" w:fill="auto"/>
            <w:vAlign w:val="bottom"/>
          </w:tcPr>
          <w:p w14:paraId="59E06DF5" w14:textId="1CBB09DD"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11E72C2B" w14:textId="4E763315" w:rsidR="00A26814" w:rsidRPr="003E2D55" w:rsidRDefault="00A26814" w:rsidP="00A26814">
            <w:pPr>
              <w:spacing w:before="40" w:after="40"/>
              <w:jc w:val="right"/>
              <w:rPr>
                <w:rFonts w:cs="Arial"/>
                <w:sz w:val="18"/>
                <w:szCs w:val="18"/>
              </w:rPr>
            </w:pPr>
            <w:r w:rsidRPr="003E2D55">
              <w:rPr>
                <w:rFonts w:cs="Arial"/>
                <w:sz w:val="18"/>
                <w:szCs w:val="18"/>
              </w:rPr>
              <w:t>38</w:t>
            </w:r>
          </w:p>
        </w:tc>
        <w:tc>
          <w:tcPr>
            <w:tcW w:w="737" w:type="dxa"/>
            <w:tcBorders>
              <w:top w:val="nil"/>
              <w:left w:val="nil"/>
              <w:bottom w:val="nil"/>
              <w:right w:val="nil"/>
            </w:tcBorders>
            <w:shd w:val="clear" w:color="auto" w:fill="auto"/>
            <w:vAlign w:val="bottom"/>
          </w:tcPr>
          <w:p w14:paraId="6C963121" w14:textId="279297A1" w:rsidR="00A26814" w:rsidRPr="003E2D55" w:rsidRDefault="00A26814" w:rsidP="00A26814">
            <w:pPr>
              <w:spacing w:before="40" w:after="40"/>
              <w:jc w:val="right"/>
              <w:rPr>
                <w:rFonts w:cs="Arial"/>
                <w:sz w:val="18"/>
                <w:szCs w:val="18"/>
              </w:rPr>
            </w:pPr>
            <w:r w:rsidRPr="003E2D55">
              <w:rPr>
                <w:rFonts w:cs="Arial"/>
                <w:sz w:val="18"/>
                <w:szCs w:val="18"/>
              </w:rPr>
              <w:t>413</w:t>
            </w:r>
          </w:p>
        </w:tc>
        <w:tc>
          <w:tcPr>
            <w:tcW w:w="737" w:type="dxa"/>
            <w:tcBorders>
              <w:top w:val="nil"/>
              <w:left w:val="nil"/>
              <w:bottom w:val="nil"/>
              <w:right w:val="nil"/>
            </w:tcBorders>
            <w:shd w:val="clear" w:color="auto" w:fill="auto"/>
            <w:vAlign w:val="bottom"/>
          </w:tcPr>
          <w:p w14:paraId="58E7B214" w14:textId="3DCFBDA7" w:rsidR="00A26814" w:rsidRPr="003E2D55" w:rsidRDefault="00A26814" w:rsidP="00A26814">
            <w:pPr>
              <w:spacing w:before="40" w:after="40"/>
              <w:jc w:val="right"/>
              <w:rPr>
                <w:rFonts w:cs="Arial"/>
                <w:sz w:val="18"/>
                <w:szCs w:val="18"/>
              </w:rPr>
            </w:pPr>
            <w:r w:rsidRPr="003E2D55">
              <w:rPr>
                <w:rFonts w:cs="Arial"/>
                <w:sz w:val="18"/>
                <w:szCs w:val="18"/>
              </w:rPr>
              <w:t>175</w:t>
            </w:r>
          </w:p>
        </w:tc>
        <w:tc>
          <w:tcPr>
            <w:tcW w:w="737" w:type="dxa"/>
            <w:tcBorders>
              <w:top w:val="nil"/>
              <w:left w:val="nil"/>
              <w:bottom w:val="nil"/>
              <w:right w:val="nil"/>
            </w:tcBorders>
            <w:shd w:val="clear" w:color="auto" w:fill="auto"/>
            <w:vAlign w:val="bottom"/>
          </w:tcPr>
          <w:p w14:paraId="4BA7831B" w14:textId="65AB720D" w:rsidR="00A26814" w:rsidRPr="003E2D55" w:rsidRDefault="00A26814" w:rsidP="00A26814">
            <w:pPr>
              <w:spacing w:before="40" w:after="40"/>
              <w:jc w:val="right"/>
              <w:rPr>
                <w:rFonts w:cs="Arial"/>
                <w:sz w:val="18"/>
                <w:szCs w:val="18"/>
              </w:rPr>
            </w:pPr>
            <w:r w:rsidRPr="003E2D55">
              <w:rPr>
                <w:rFonts w:cs="Arial"/>
                <w:sz w:val="18"/>
                <w:szCs w:val="18"/>
              </w:rPr>
              <w:t>41</w:t>
            </w:r>
          </w:p>
        </w:tc>
        <w:tc>
          <w:tcPr>
            <w:tcW w:w="737" w:type="dxa"/>
            <w:tcBorders>
              <w:top w:val="nil"/>
              <w:left w:val="nil"/>
              <w:bottom w:val="nil"/>
              <w:right w:val="nil"/>
            </w:tcBorders>
            <w:shd w:val="clear" w:color="auto" w:fill="auto"/>
            <w:vAlign w:val="bottom"/>
          </w:tcPr>
          <w:p w14:paraId="745D747A" w14:textId="7D435A60" w:rsidR="00A26814" w:rsidRPr="003E2D55" w:rsidRDefault="00A26814" w:rsidP="00A26814">
            <w:pPr>
              <w:spacing w:before="40" w:after="40"/>
              <w:jc w:val="right"/>
              <w:rPr>
                <w:rFonts w:cs="Arial"/>
                <w:sz w:val="18"/>
                <w:szCs w:val="18"/>
              </w:rPr>
            </w:pPr>
            <w:r w:rsidRPr="003E2D55">
              <w:rPr>
                <w:rFonts w:cs="Arial"/>
                <w:sz w:val="18"/>
                <w:szCs w:val="18"/>
              </w:rPr>
              <w:t>17</w:t>
            </w:r>
          </w:p>
        </w:tc>
      </w:tr>
      <w:tr w:rsidR="00A26814" w:rsidRPr="003E2D55" w14:paraId="4290082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220E335" w14:textId="77777777" w:rsidR="00A26814" w:rsidRPr="003E2D55" w:rsidRDefault="00A26814" w:rsidP="00A26814">
            <w:pPr>
              <w:spacing w:before="40" w:after="40"/>
              <w:rPr>
                <w:rFonts w:cs="Arial"/>
                <w:sz w:val="18"/>
                <w:szCs w:val="18"/>
              </w:rPr>
            </w:pPr>
            <w:r w:rsidRPr="003E2D55">
              <w:rPr>
                <w:rFonts w:cs="Arial"/>
                <w:sz w:val="18"/>
                <w:szCs w:val="18"/>
              </w:rPr>
              <w:t>Banyule C</w:t>
            </w:r>
          </w:p>
        </w:tc>
        <w:tc>
          <w:tcPr>
            <w:tcW w:w="737" w:type="dxa"/>
            <w:tcBorders>
              <w:top w:val="nil"/>
              <w:left w:val="single" w:sz="18" w:space="0" w:color="5F497A" w:themeColor="accent4" w:themeShade="BF"/>
              <w:bottom w:val="nil"/>
              <w:right w:val="nil"/>
            </w:tcBorders>
            <w:shd w:val="clear" w:color="auto" w:fill="auto"/>
            <w:vAlign w:val="bottom"/>
          </w:tcPr>
          <w:p w14:paraId="42B9149D" w14:textId="1BEF062B" w:rsidR="00A26814" w:rsidRPr="003E2D55" w:rsidRDefault="00A26814" w:rsidP="00A26814">
            <w:pPr>
              <w:spacing w:before="40" w:after="40"/>
              <w:jc w:val="right"/>
              <w:rPr>
                <w:rFonts w:cs="Arial"/>
                <w:sz w:val="18"/>
                <w:szCs w:val="18"/>
              </w:rPr>
            </w:pPr>
            <w:r w:rsidRPr="003E2D55">
              <w:rPr>
                <w:rFonts w:cs="Arial"/>
                <w:sz w:val="18"/>
                <w:szCs w:val="18"/>
              </w:rPr>
              <w:t>156</w:t>
            </w:r>
          </w:p>
        </w:tc>
        <w:tc>
          <w:tcPr>
            <w:tcW w:w="737" w:type="dxa"/>
            <w:tcBorders>
              <w:top w:val="nil"/>
              <w:left w:val="nil"/>
              <w:bottom w:val="nil"/>
              <w:right w:val="nil"/>
            </w:tcBorders>
            <w:shd w:val="clear" w:color="auto" w:fill="auto"/>
            <w:vAlign w:val="bottom"/>
          </w:tcPr>
          <w:p w14:paraId="515892E5" w14:textId="3BCC6BAD" w:rsidR="00A26814" w:rsidRPr="003E2D55" w:rsidRDefault="00A26814" w:rsidP="00A26814">
            <w:pPr>
              <w:spacing w:before="40" w:after="40"/>
              <w:jc w:val="right"/>
              <w:rPr>
                <w:rFonts w:cs="Arial"/>
                <w:sz w:val="18"/>
                <w:szCs w:val="18"/>
              </w:rPr>
            </w:pPr>
            <w:r w:rsidRPr="003E2D55">
              <w:rPr>
                <w:rFonts w:cs="Arial"/>
                <w:sz w:val="18"/>
                <w:szCs w:val="18"/>
              </w:rPr>
              <w:t>203</w:t>
            </w:r>
          </w:p>
        </w:tc>
        <w:tc>
          <w:tcPr>
            <w:tcW w:w="737" w:type="dxa"/>
            <w:tcBorders>
              <w:top w:val="nil"/>
              <w:left w:val="nil"/>
              <w:bottom w:val="nil"/>
              <w:right w:val="nil"/>
            </w:tcBorders>
            <w:shd w:val="clear" w:color="auto" w:fill="auto"/>
            <w:vAlign w:val="bottom"/>
          </w:tcPr>
          <w:p w14:paraId="4E082D16" w14:textId="2C4B8D56" w:rsidR="00A26814" w:rsidRPr="003E2D55" w:rsidRDefault="00A26814" w:rsidP="00A26814">
            <w:pPr>
              <w:spacing w:before="40" w:after="40"/>
              <w:jc w:val="right"/>
              <w:rPr>
                <w:rFonts w:cs="Arial"/>
                <w:sz w:val="18"/>
                <w:szCs w:val="18"/>
              </w:rPr>
            </w:pPr>
            <w:r w:rsidRPr="003E2D55">
              <w:rPr>
                <w:rFonts w:cs="Arial"/>
                <w:sz w:val="18"/>
                <w:szCs w:val="18"/>
              </w:rPr>
              <w:t>144</w:t>
            </w:r>
          </w:p>
        </w:tc>
        <w:tc>
          <w:tcPr>
            <w:tcW w:w="737" w:type="dxa"/>
            <w:tcBorders>
              <w:top w:val="nil"/>
              <w:left w:val="nil"/>
              <w:bottom w:val="nil"/>
              <w:right w:val="nil"/>
            </w:tcBorders>
            <w:shd w:val="clear" w:color="auto" w:fill="auto"/>
            <w:vAlign w:val="bottom"/>
          </w:tcPr>
          <w:p w14:paraId="2AB6934A" w14:textId="6979ECA3" w:rsidR="00A26814" w:rsidRPr="003E2D55" w:rsidRDefault="00A26814" w:rsidP="00A26814">
            <w:pPr>
              <w:spacing w:before="40" w:after="40"/>
              <w:jc w:val="right"/>
              <w:rPr>
                <w:rFonts w:cs="Arial"/>
                <w:sz w:val="18"/>
                <w:szCs w:val="18"/>
              </w:rPr>
            </w:pPr>
            <w:r w:rsidRPr="003E2D55">
              <w:rPr>
                <w:rFonts w:cs="Arial"/>
                <w:sz w:val="18"/>
                <w:szCs w:val="18"/>
              </w:rPr>
              <w:t>42</w:t>
            </w:r>
          </w:p>
        </w:tc>
        <w:tc>
          <w:tcPr>
            <w:tcW w:w="170" w:type="dxa"/>
            <w:tcBorders>
              <w:top w:val="nil"/>
              <w:left w:val="nil"/>
              <w:bottom w:val="nil"/>
              <w:right w:val="nil"/>
            </w:tcBorders>
            <w:shd w:val="clear" w:color="auto" w:fill="auto"/>
            <w:vAlign w:val="bottom"/>
          </w:tcPr>
          <w:p w14:paraId="393D3FBF" w14:textId="0578259A"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7DC34F42" w14:textId="6D472623"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48C4A51E" w14:textId="5D8EF876"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3AFF3967" w14:textId="50DEA880"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6C4A0586" w14:textId="08F303FB"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6EC2CF1A" w14:textId="6DEC609D" w:rsidR="00A26814" w:rsidRPr="003E2D55" w:rsidRDefault="00A26814" w:rsidP="00A26814">
            <w:pPr>
              <w:spacing w:before="40" w:after="40"/>
              <w:jc w:val="right"/>
              <w:rPr>
                <w:rFonts w:cs="Arial"/>
                <w:sz w:val="18"/>
                <w:szCs w:val="18"/>
              </w:rPr>
            </w:pPr>
            <w:r w:rsidRPr="003E2D55">
              <w:rPr>
                <w:rFonts w:cs="Arial"/>
                <w:sz w:val="18"/>
                <w:szCs w:val="18"/>
              </w:rPr>
              <w:t>0</w:t>
            </w:r>
          </w:p>
        </w:tc>
      </w:tr>
      <w:tr w:rsidR="00A26814" w:rsidRPr="003E2D55" w14:paraId="0E8A0F0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A960681" w14:textId="77777777" w:rsidR="00A26814" w:rsidRPr="003E2D55" w:rsidRDefault="00A26814" w:rsidP="00A26814">
            <w:pPr>
              <w:spacing w:before="40" w:after="40"/>
              <w:rPr>
                <w:rFonts w:cs="Arial"/>
                <w:sz w:val="18"/>
                <w:szCs w:val="18"/>
              </w:rPr>
            </w:pPr>
            <w:r w:rsidRPr="003E2D55">
              <w:rPr>
                <w:rFonts w:cs="Arial"/>
                <w:sz w:val="18"/>
                <w:szCs w:val="18"/>
              </w:rPr>
              <w:t>Bass Coast S</w:t>
            </w:r>
          </w:p>
        </w:tc>
        <w:tc>
          <w:tcPr>
            <w:tcW w:w="737" w:type="dxa"/>
            <w:tcBorders>
              <w:top w:val="nil"/>
              <w:left w:val="single" w:sz="18" w:space="0" w:color="5F497A" w:themeColor="accent4" w:themeShade="BF"/>
              <w:bottom w:val="nil"/>
              <w:right w:val="nil"/>
            </w:tcBorders>
            <w:shd w:val="clear" w:color="auto" w:fill="auto"/>
            <w:vAlign w:val="bottom"/>
          </w:tcPr>
          <w:p w14:paraId="58845522" w14:textId="20435C3A" w:rsidR="00A26814" w:rsidRPr="003E2D55" w:rsidRDefault="00A26814" w:rsidP="00A26814">
            <w:pPr>
              <w:spacing w:before="40" w:after="40"/>
              <w:jc w:val="right"/>
              <w:rPr>
                <w:rFonts w:cs="Arial"/>
                <w:sz w:val="18"/>
                <w:szCs w:val="18"/>
              </w:rPr>
            </w:pPr>
            <w:r w:rsidRPr="003E2D55">
              <w:rPr>
                <w:rFonts w:cs="Arial"/>
                <w:sz w:val="18"/>
                <w:szCs w:val="18"/>
              </w:rPr>
              <w:t>351</w:t>
            </w:r>
          </w:p>
        </w:tc>
        <w:tc>
          <w:tcPr>
            <w:tcW w:w="737" w:type="dxa"/>
            <w:tcBorders>
              <w:top w:val="nil"/>
              <w:left w:val="nil"/>
              <w:bottom w:val="nil"/>
              <w:right w:val="nil"/>
            </w:tcBorders>
            <w:shd w:val="clear" w:color="auto" w:fill="auto"/>
            <w:vAlign w:val="bottom"/>
          </w:tcPr>
          <w:p w14:paraId="67C2E41F" w14:textId="5335D3D8" w:rsidR="00A26814" w:rsidRPr="003E2D55" w:rsidRDefault="00A26814" w:rsidP="00A26814">
            <w:pPr>
              <w:spacing w:before="40" w:after="40"/>
              <w:jc w:val="right"/>
              <w:rPr>
                <w:rFonts w:cs="Arial"/>
                <w:sz w:val="18"/>
                <w:szCs w:val="18"/>
              </w:rPr>
            </w:pPr>
            <w:r w:rsidRPr="003E2D55">
              <w:rPr>
                <w:rFonts w:cs="Arial"/>
                <w:sz w:val="18"/>
                <w:szCs w:val="18"/>
              </w:rPr>
              <w:t>30</w:t>
            </w:r>
          </w:p>
        </w:tc>
        <w:tc>
          <w:tcPr>
            <w:tcW w:w="737" w:type="dxa"/>
            <w:tcBorders>
              <w:top w:val="nil"/>
              <w:left w:val="nil"/>
              <w:bottom w:val="nil"/>
              <w:right w:val="nil"/>
            </w:tcBorders>
            <w:shd w:val="clear" w:color="auto" w:fill="auto"/>
            <w:vAlign w:val="bottom"/>
          </w:tcPr>
          <w:p w14:paraId="3AB6733F" w14:textId="530CD6D7" w:rsidR="00A26814" w:rsidRPr="003E2D55" w:rsidRDefault="00A26814" w:rsidP="00A26814">
            <w:pPr>
              <w:spacing w:before="40" w:after="40"/>
              <w:jc w:val="right"/>
              <w:rPr>
                <w:rFonts w:cs="Arial"/>
                <w:sz w:val="18"/>
                <w:szCs w:val="18"/>
              </w:rPr>
            </w:pPr>
            <w:r w:rsidRPr="003E2D55">
              <w:rPr>
                <w:rFonts w:cs="Arial"/>
                <w:sz w:val="18"/>
                <w:szCs w:val="18"/>
              </w:rPr>
              <w:t>40</w:t>
            </w:r>
          </w:p>
        </w:tc>
        <w:tc>
          <w:tcPr>
            <w:tcW w:w="737" w:type="dxa"/>
            <w:tcBorders>
              <w:top w:val="nil"/>
              <w:left w:val="nil"/>
              <w:bottom w:val="nil"/>
              <w:right w:val="nil"/>
            </w:tcBorders>
            <w:shd w:val="clear" w:color="auto" w:fill="auto"/>
            <w:vAlign w:val="bottom"/>
          </w:tcPr>
          <w:p w14:paraId="047006A4" w14:textId="2E9AD9FC" w:rsidR="00A26814" w:rsidRPr="003E2D55" w:rsidRDefault="00A26814" w:rsidP="00A26814">
            <w:pPr>
              <w:spacing w:before="40" w:after="40"/>
              <w:jc w:val="right"/>
              <w:rPr>
                <w:rFonts w:cs="Arial"/>
                <w:sz w:val="18"/>
                <w:szCs w:val="18"/>
              </w:rPr>
            </w:pPr>
            <w:r w:rsidRPr="003E2D55">
              <w:rPr>
                <w:rFonts w:cs="Arial"/>
                <w:sz w:val="18"/>
                <w:szCs w:val="18"/>
              </w:rPr>
              <w:t>3</w:t>
            </w:r>
          </w:p>
        </w:tc>
        <w:tc>
          <w:tcPr>
            <w:tcW w:w="170" w:type="dxa"/>
            <w:tcBorders>
              <w:top w:val="nil"/>
              <w:left w:val="nil"/>
              <w:bottom w:val="nil"/>
              <w:right w:val="nil"/>
            </w:tcBorders>
            <w:shd w:val="clear" w:color="auto" w:fill="auto"/>
            <w:vAlign w:val="bottom"/>
          </w:tcPr>
          <w:p w14:paraId="58BB7162" w14:textId="05A97743"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29F99219" w14:textId="5150E93B" w:rsidR="00A26814" w:rsidRPr="003E2D55" w:rsidRDefault="00A26814" w:rsidP="00A26814">
            <w:pPr>
              <w:spacing w:before="40" w:after="40"/>
              <w:jc w:val="right"/>
              <w:rPr>
                <w:rFonts w:cs="Arial"/>
                <w:sz w:val="18"/>
                <w:szCs w:val="18"/>
              </w:rPr>
            </w:pPr>
            <w:r w:rsidRPr="003E2D55">
              <w:rPr>
                <w:rFonts w:cs="Arial"/>
                <w:sz w:val="18"/>
                <w:szCs w:val="18"/>
              </w:rPr>
              <w:t>1</w:t>
            </w:r>
          </w:p>
        </w:tc>
        <w:tc>
          <w:tcPr>
            <w:tcW w:w="737" w:type="dxa"/>
            <w:tcBorders>
              <w:top w:val="nil"/>
              <w:left w:val="nil"/>
              <w:bottom w:val="nil"/>
              <w:right w:val="nil"/>
            </w:tcBorders>
            <w:shd w:val="clear" w:color="auto" w:fill="auto"/>
            <w:vAlign w:val="bottom"/>
          </w:tcPr>
          <w:p w14:paraId="66668639" w14:textId="28105680" w:rsidR="00A26814" w:rsidRPr="003E2D55" w:rsidRDefault="00A26814" w:rsidP="00A26814">
            <w:pPr>
              <w:spacing w:before="40" w:after="40"/>
              <w:jc w:val="right"/>
              <w:rPr>
                <w:rFonts w:cs="Arial"/>
                <w:sz w:val="18"/>
                <w:szCs w:val="18"/>
              </w:rPr>
            </w:pPr>
            <w:r w:rsidRPr="003E2D55">
              <w:rPr>
                <w:rFonts w:cs="Arial"/>
                <w:sz w:val="18"/>
                <w:szCs w:val="18"/>
              </w:rPr>
              <w:t>235</w:t>
            </w:r>
          </w:p>
        </w:tc>
        <w:tc>
          <w:tcPr>
            <w:tcW w:w="737" w:type="dxa"/>
            <w:tcBorders>
              <w:top w:val="nil"/>
              <w:left w:val="nil"/>
              <w:bottom w:val="nil"/>
              <w:right w:val="nil"/>
            </w:tcBorders>
            <w:shd w:val="clear" w:color="auto" w:fill="auto"/>
            <w:vAlign w:val="bottom"/>
          </w:tcPr>
          <w:p w14:paraId="06381AF1" w14:textId="15D32CB7" w:rsidR="00A26814" w:rsidRPr="003E2D55" w:rsidRDefault="00A26814" w:rsidP="00A26814">
            <w:pPr>
              <w:spacing w:before="40" w:after="40"/>
              <w:jc w:val="right"/>
              <w:rPr>
                <w:rFonts w:cs="Arial"/>
                <w:sz w:val="18"/>
                <w:szCs w:val="18"/>
              </w:rPr>
            </w:pPr>
            <w:r w:rsidRPr="003E2D55">
              <w:rPr>
                <w:rFonts w:cs="Arial"/>
                <w:sz w:val="18"/>
                <w:szCs w:val="18"/>
              </w:rPr>
              <w:t>201</w:t>
            </w:r>
          </w:p>
        </w:tc>
        <w:tc>
          <w:tcPr>
            <w:tcW w:w="737" w:type="dxa"/>
            <w:tcBorders>
              <w:top w:val="nil"/>
              <w:left w:val="nil"/>
              <w:bottom w:val="nil"/>
              <w:right w:val="nil"/>
            </w:tcBorders>
            <w:shd w:val="clear" w:color="auto" w:fill="auto"/>
            <w:vAlign w:val="bottom"/>
          </w:tcPr>
          <w:p w14:paraId="316E480C" w14:textId="61673581" w:rsidR="00A26814" w:rsidRPr="003E2D55" w:rsidRDefault="00A26814" w:rsidP="00A26814">
            <w:pPr>
              <w:spacing w:before="40" w:after="40"/>
              <w:jc w:val="right"/>
              <w:rPr>
                <w:rFonts w:cs="Arial"/>
                <w:sz w:val="18"/>
                <w:szCs w:val="18"/>
              </w:rPr>
            </w:pPr>
            <w:r w:rsidRPr="003E2D55">
              <w:rPr>
                <w:rFonts w:cs="Arial"/>
                <w:sz w:val="18"/>
                <w:szCs w:val="18"/>
              </w:rPr>
              <w:t>45</w:t>
            </w:r>
          </w:p>
        </w:tc>
        <w:tc>
          <w:tcPr>
            <w:tcW w:w="737" w:type="dxa"/>
            <w:tcBorders>
              <w:top w:val="nil"/>
              <w:left w:val="nil"/>
              <w:bottom w:val="nil"/>
              <w:right w:val="nil"/>
            </w:tcBorders>
            <w:shd w:val="clear" w:color="auto" w:fill="auto"/>
            <w:vAlign w:val="bottom"/>
          </w:tcPr>
          <w:p w14:paraId="6ECECC8C" w14:textId="4F7C8B93" w:rsidR="00A26814" w:rsidRPr="003E2D55" w:rsidRDefault="00A26814" w:rsidP="00A26814">
            <w:pPr>
              <w:spacing w:before="40" w:after="40"/>
              <w:jc w:val="right"/>
              <w:rPr>
                <w:rFonts w:cs="Arial"/>
                <w:sz w:val="18"/>
                <w:szCs w:val="18"/>
              </w:rPr>
            </w:pPr>
            <w:r w:rsidRPr="003E2D55">
              <w:rPr>
                <w:rFonts w:cs="Arial"/>
                <w:sz w:val="18"/>
                <w:szCs w:val="18"/>
              </w:rPr>
              <w:t>29</w:t>
            </w:r>
          </w:p>
        </w:tc>
      </w:tr>
      <w:tr w:rsidR="00A26814" w:rsidRPr="003E2D55" w14:paraId="4D179B6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1700052" w14:textId="77777777" w:rsidR="00A26814" w:rsidRPr="003E2D55" w:rsidRDefault="00A26814" w:rsidP="00A26814">
            <w:pPr>
              <w:spacing w:before="40" w:after="40"/>
              <w:rPr>
                <w:rFonts w:cs="Arial"/>
                <w:sz w:val="18"/>
                <w:szCs w:val="18"/>
              </w:rPr>
            </w:pPr>
            <w:r w:rsidRPr="003E2D55">
              <w:rPr>
                <w:rFonts w:cs="Arial"/>
                <w:sz w:val="18"/>
                <w:szCs w:val="18"/>
              </w:rPr>
              <w:t>Baw Baw S</w:t>
            </w:r>
          </w:p>
        </w:tc>
        <w:tc>
          <w:tcPr>
            <w:tcW w:w="737" w:type="dxa"/>
            <w:tcBorders>
              <w:top w:val="nil"/>
              <w:left w:val="single" w:sz="18" w:space="0" w:color="5F497A" w:themeColor="accent4" w:themeShade="BF"/>
              <w:bottom w:val="nil"/>
              <w:right w:val="nil"/>
            </w:tcBorders>
            <w:shd w:val="clear" w:color="auto" w:fill="auto"/>
            <w:vAlign w:val="bottom"/>
          </w:tcPr>
          <w:p w14:paraId="20C93623" w14:textId="78036DF3" w:rsidR="00A26814" w:rsidRPr="003E2D55" w:rsidRDefault="00A26814" w:rsidP="00A26814">
            <w:pPr>
              <w:spacing w:before="40" w:after="40"/>
              <w:jc w:val="right"/>
              <w:rPr>
                <w:rFonts w:cs="Arial"/>
                <w:sz w:val="18"/>
                <w:szCs w:val="18"/>
              </w:rPr>
            </w:pPr>
            <w:r w:rsidRPr="003E2D55">
              <w:rPr>
                <w:rFonts w:cs="Arial"/>
                <w:sz w:val="18"/>
                <w:szCs w:val="18"/>
              </w:rPr>
              <w:t>258</w:t>
            </w:r>
          </w:p>
        </w:tc>
        <w:tc>
          <w:tcPr>
            <w:tcW w:w="737" w:type="dxa"/>
            <w:tcBorders>
              <w:top w:val="nil"/>
              <w:left w:val="nil"/>
              <w:bottom w:val="nil"/>
              <w:right w:val="nil"/>
            </w:tcBorders>
            <w:shd w:val="clear" w:color="auto" w:fill="auto"/>
            <w:vAlign w:val="bottom"/>
          </w:tcPr>
          <w:p w14:paraId="622EA937" w14:textId="369E0488" w:rsidR="00A26814" w:rsidRPr="003E2D55" w:rsidRDefault="00A26814" w:rsidP="00A26814">
            <w:pPr>
              <w:spacing w:before="40" w:after="40"/>
              <w:jc w:val="right"/>
              <w:rPr>
                <w:rFonts w:cs="Arial"/>
                <w:sz w:val="18"/>
                <w:szCs w:val="18"/>
              </w:rPr>
            </w:pPr>
            <w:r w:rsidRPr="003E2D55">
              <w:rPr>
                <w:rFonts w:cs="Arial"/>
                <w:sz w:val="18"/>
                <w:szCs w:val="18"/>
              </w:rPr>
              <w:t>27</w:t>
            </w:r>
          </w:p>
        </w:tc>
        <w:tc>
          <w:tcPr>
            <w:tcW w:w="737" w:type="dxa"/>
            <w:tcBorders>
              <w:top w:val="nil"/>
              <w:left w:val="nil"/>
              <w:bottom w:val="nil"/>
              <w:right w:val="nil"/>
            </w:tcBorders>
            <w:shd w:val="clear" w:color="auto" w:fill="auto"/>
            <w:vAlign w:val="bottom"/>
          </w:tcPr>
          <w:p w14:paraId="331E8E47" w14:textId="6720959E" w:rsidR="00A26814" w:rsidRPr="003E2D55" w:rsidRDefault="00A26814" w:rsidP="00A26814">
            <w:pPr>
              <w:spacing w:before="40" w:after="40"/>
              <w:jc w:val="right"/>
              <w:rPr>
                <w:rFonts w:cs="Arial"/>
                <w:sz w:val="18"/>
                <w:szCs w:val="18"/>
              </w:rPr>
            </w:pPr>
            <w:r w:rsidRPr="003E2D55">
              <w:rPr>
                <w:rFonts w:cs="Arial"/>
                <w:sz w:val="18"/>
                <w:szCs w:val="18"/>
              </w:rPr>
              <w:t>32</w:t>
            </w:r>
          </w:p>
        </w:tc>
        <w:tc>
          <w:tcPr>
            <w:tcW w:w="737" w:type="dxa"/>
            <w:tcBorders>
              <w:top w:val="nil"/>
              <w:left w:val="nil"/>
              <w:bottom w:val="nil"/>
              <w:right w:val="nil"/>
            </w:tcBorders>
            <w:shd w:val="clear" w:color="auto" w:fill="auto"/>
            <w:vAlign w:val="bottom"/>
          </w:tcPr>
          <w:p w14:paraId="364517D4" w14:textId="6818C1C9" w:rsidR="00A26814" w:rsidRPr="003E2D55" w:rsidRDefault="00A26814" w:rsidP="00A26814">
            <w:pPr>
              <w:spacing w:before="40" w:after="40"/>
              <w:jc w:val="right"/>
              <w:rPr>
                <w:rFonts w:cs="Arial"/>
                <w:sz w:val="18"/>
                <w:szCs w:val="18"/>
              </w:rPr>
            </w:pPr>
            <w:r w:rsidRPr="003E2D55">
              <w:rPr>
                <w:rFonts w:cs="Arial"/>
                <w:sz w:val="18"/>
                <w:szCs w:val="18"/>
              </w:rPr>
              <w:t>2</w:t>
            </w:r>
          </w:p>
        </w:tc>
        <w:tc>
          <w:tcPr>
            <w:tcW w:w="170" w:type="dxa"/>
            <w:tcBorders>
              <w:top w:val="nil"/>
              <w:left w:val="nil"/>
              <w:bottom w:val="nil"/>
              <w:right w:val="nil"/>
            </w:tcBorders>
            <w:shd w:val="clear" w:color="auto" w:fill="auto"/>
            <w:vAlign w:val="bottom"/>
          </w:tcPr>
          <w:p w14:paraId="13AFF849" w14:textId="18CF31BC"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60D4BAF2" w14:textId="5FB3BA7C" w:rsidR="00A26814" w:rsidRPr="003E2D55" w:rsidRDefault="00A26814" w:rsidP="00A26814">
            <w:pPr>
              <w:spacing w:before="40" w:after="40"/>
              <w:jc w:val="right"/>
              <w:rPr>
                <w:rFonts w:cs="Arial"/>
                <w:sz w:val="18"/>
                <w:szCs w:val="18"/>
              </w:rPr>
            </w:pPr>
            <w:r w:rsidRPr="003E2D55">
              <w:rPr>
                <w:rFonts w:cs="Arial"/>
                <w:sz w:val="18"/>
                <w:szCs w:val="18"/>
              </w:rPr>
              <w:t>184</w:t>
            </w:r>
          </w:p>
        </w:tc>
        <w:tc>
          <w:tcPr>
            <w:tcW w:w="737" w:type="dxa"/>
            <w:tcBorders>
              <w:top w:val="nil"/>
              <w:left w:val="nil"/>
              <w:bottom w:val="nil"/>
              <w:right w:val="nil"/>
            </w:tcBorders>
            <w:shd w:val="clear" w:color="auto" w:fill="auto"/>
            <w:vAlign w:val="bottom"/>
          </w:tcPr>
          <w:p w14:paraId="5C14B91E" w14:textId="0D0601F0" w:rsidR="00A26814" w:rsidRPr="003E2D55" w:rsidRDefault="00A26814" w:rsidP="00A26814">
            <w:pPr>
              <w:spacing w:before="40" w:after="40"/>
              <w:jc w:val="right"/>
              <w:rPr>
                <w:rFonts w:cs="Arial"/>
                <w:sz w:val="18"/>
                <w:szCs w:val="18"/>
              </w:rPr>
            </w:pPr>
            <w:r w:rsidRPr="003E2D55">
              <w:rPr>
                <w:rFonts w:cs="Arial"/>
                <w:sz w:val="18"/>
                <w:szCs w:val="18"/>
              </w:rPr>
              <w:t>969</w:t>
            </w:r>
          </w:p>
        </w:tc>
        <w:tc>
          <w:tcPr>
            <w:tcW w:w="737" w:type="dxa"/>
            <w:tcBorders>
              <w:top w:val="nil"/>
              <w:left w:val="nil"/>
              <w:bottom w:val="nil"/>
              <w:right w:val="nil"/>
            </w:tcBorders>
            <w:shd w:val="clear" w:color="auto" w:fill="auto"/>
            <w:vAlign w:val="bottom"/>
          </w:tcPr>
          <w:p w14:paraId="220EA09F" w14:textId="3A851454" w:rsidR="00A26814" w:rsidRPr="003E2D55" w:rsidRDefault="00A26814" w:rsidP="00A26814">
            <w:pPr>
              <w:spacing w:before="40" w:after="40"/>
              <w:jc w:val="right"/>
              <w:rPr>
                <w:rFonts w:cs="Arial"/>
                <w:sz w:val="18"/>
                <w:szCs w:val="18"/>
              </w:rPr>
            </w:pPr>
            <w:r w:rsidRPr="003E2D55">
              <w:rPr>
                <w:rFonts w:cs="Arial"/>
                <w:sz w:val="18"/>
                <w:szCs w:val="18"/>
              </w:rPr>
              <w:t>437</w:t>
            </w:r>
          </w:p>
        </w:tc>
        <w:tc>
          <w:tcPr>
            <w:tcW w:w="737" w:type="dxa"/>
            <w:tcBorders>
              <w:top w:val="nil"/>
              <w:left w:val="nil"/>
              <w:bottom w:val="nil"/>
              <w:right w:val="nil"/>
            </w:tcBorders>
            <w:shd w:val="clear" w:color="auto" w:fill="auto"/>
            <w:vAlign w:val="bottom"/>
          </w:tcPr>
          <w:p w14:paraId="2634BCBE" w14:textId="1E69A093" w:rsidR="00A26814" w:rsidRPr="003E2D55" w:rsidRDefault="00A26814" w:rsidP="00A26814">
            <w:pPr>
              <w:spacing w:before="40" w:after="40"/>
              <w:jc w:val="right"/>
              <w:rPr>
                <w:rFonts w:cs="Arial"/>
                <w:sz w:val="18"/>
                <w:szCs w:val="18"/>
              </w:rPr>
            </w:pPr>
            <w:r w:rsidRPr="003E2D55">
              <w:rPr>
                <w:rFonts w:cs="Arial"/>
                <w:sz w:val="18"/>
                <w:szCs w:val="18"/>
              </w:rPr>
              <w:t>74</w:t>
            </w:r>
          </w:p>
        </w:tc>
        <w:tc>
          <w:tcPr>
            <w:tcW w:w="737" w:type="dxa"/>
            <w:tcBorders>
              <w:top w:val="nil"/>
              <w:left w:val="nil"/>
              <w:bottom w:val="nil"/>
              <w:right w:val="nil"/>
            </w:tcBorders>
            <w:shd w:val="clear" w:color="auto" w:fill="auto"/>
            <w:vAlign w:val="bottom"/>
          </w:tcPr>
          <w:p w14:paraId="50399BB7" w14:textId="5541FADF" w:rsidR="00A26814" w:rsidRPr="003E2D55" w:rsidRDefault="00A26814" w:rsidP="00A26814">
            <w:pPr>
              <w:spacing w:before="40" w:after="40"/>
              <w:jc w:val="right"/>
              <w:rPr>
                <w:rFonts w:cs="Arial"/>
                <w:sz w:val="18"/>
                <w:szCs w:val="18"/>
              </w:rPr>
            </w:pPr>
            <w:r w:rsidRPr="003E2D55">
              <w:rPr>
                <w:rFonts w:cs="Arial"/>
                <w:sz w:val="18"/>
                <w:szCs w:val="18"/>
              </w:rPr>
              <w:t>21</w:t>
            </w:r>
          </w:p>
        </w:tc>
      </w:tr>
      <w:tr w:rsidR="00A26814" w:rsidRPr="003E2D55" w14:paraId="79D9625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DB111FD" w14:textId="77777777" w:rsidR="00A26814" w:rsidRPr="003E2D55" w:rsidRDefault="00A26814" w:rsidP="00A26814">
            <w:pPr>
              <w:spacing w:before="40" w:after="40"/>
              <w:rPr>
                <w:rFonts w:cs="Arial"/>
                <w:sz w:val="18"/>
                <w:szCs w:val="18"/>
              </w:rPr>
            </w:pPr>
            <w:r w:rsidRPr="003E2D55">
              <w:rPr>
                <w:rFonts w:cs="Arial"/>
                <w:sz w:val="18"/>
                <w:szCs w:val="18"/>
              </w:rPr>
              <w:t>Bayside C</w:t>
            </w:r>
          </w:p>
        </w:tc>
        <w:tc>
          <w:tcPr>
            <w:tcW w:w="737" w:type="dxa"/>
            <w:tcBorders>
              <w:top w:val="nil"/>
              <w:left w:val="single" w:sz="18" w:space="0" w:color="5F497A" w:themeColor="accent4" w:themeShade="BF"/>
              <w:bottom w:val="nil"/>
              <w:right w:val="nil"/>
            </w:tcBorders>
            <w:shd w:val="clear" w:color="auto" w:fill="auto"/>
            <w:vAlign w:val="bottom"/>
          </w:tcPr>
          <w:p w14:paraId="2D0BD567" w14:textId="5F422430" w:rsidR="00A26814" w:rsidRPr="003E2D55" w:rsidRDefault="00A26814" w:rsidP="00A26814">
            <w:pPr>
              <w:spacing w:before="40" w:after="40"/>
              <w:jc w:val="right"/>
              <w:rPr>
                <w:rFonts w:cs="Arial"/>
                <w:sz w:val="18"/>
                <w:szCs w:val="18"/>
              </w:rPr>
            </w:pPr>
            <w:r w:rsidRPr="003E2D55">
              <w:rPr>
                <w:rFonts w:cs="Arial"/>
                <w:sz w:val="18"/>
                <w:szCs w:val="18"/>
              </w:rPr>
              <w:t>180</w:t>
            </w:r>
          </w:p>
        </w:tc>
        <w:tc>
          <w:tcPr>
            <w:tcW w:w="737" w:type="dxa"/>
            <w:tcBorders>
              <w:top w:val="nil"/>
              <w:left w:val="nil"/>
              <w:bottom w:val="nil"/>
              <w:right w:val="nil"/>
            </w:tcBorders>
            <w:shd w:val="clear" w:color="auto" w:fill="auto"/>
            <w:vAlign w:val="bottom"/>
          </w:tcPr>
          <w:p w14:paraId="3A0696A0" w14:textId="077323DA" w:rsidR="00A26814" w:rsidRPr="003E2D55" w:rsidRDefault="00A26814" w:rsidP="00A26814">
            <w:pPr>
              <w:spacing w:before="40" w:after="40"/>
              <w:jc w:val="right"/>
              <w:rPr>
                <w:rFonts w:cs="Arial"/>
                <w:sz w:val="18"/>
                <w:szCs w:val="18"/>
              </w:rPr>
            </w:pPr>
            <w:r w:rsidRPr="003E2D55">
              <w:rPr>
                <w:rFonts w:cs="Arial"/>
                <w:sz w:val="18"/>
                <w:szCs w:val="18"/>
              </w:rPr>
              <w:t>73</w:t>
            </w:r>
          </w:p>
        </w:tc>
        <w:tc>
          <w:tcPr>
            <w:tcW w:w="737" w:type="dxa"/>
            <w:tcBorders>
              <w:top w:val="nil"/>
              <w:left w:val="nil"/>
              <w:bottom w:val="nil"/>
              <w:right w:val="nil"/>
            </w:tcBorders>
            <w:shd w:val="clear" w:color="auto" w:fill="auto"/>
            <w:vAlign w:val="bottom"/>
          </w:tcPr>
          <w:p w14:paraId="29CD5989" w14:textId="67331093" w:rsidR="00A26814" w:rsidRPr="003E2D55" w:rsidRDefault="00A26814" w:rsidP="00A26814">
            <w:pPr>
              <w:spacing w:before="40" w:after="40"/>
              <w:jc w:val="right"/>
              <w:rPr>
                <w:rFonts w:cs="Arial"/>
                <w:sz w:val="18"/>
                <w:szCs w:val="18"/>
              </w:rPr>
            </w:pPr>
            <w:r w:rsidRPr="003E2D55">
              <w:rPr>
                <w:rFonts w:cs="Arial"/>
                <w:sz w:val="18"/>
                <w:szCs w:val="18"/>
              </w:rPr>
              <w:t>73</w:t>
            </w:r>
          </w:p>
        </w:tc>
        <w:tc>
          <w:tcPr>
            <w:tcW w:w="737" w:type="dxa"/>
            <w:tcBorders>
              <w:top w:val="nil"/>
              <w:left w:val="nil"/>
              <w:bottom w:val="nil"/>
              <w:right w:val="nil"/>
            </w:tcBorders>
            <w:shd w:val="clear" w:color="auto" w:fill="auto"/>
            <w:vAlign w:val="bottom"/>
          </w:tcPr>
          <w:p w14:paraId="45F09557" w14:textId="2D0FC1F4" w:rsidR="00A26814" w:rsidRPr="003E2D55" w:rsidRDefault="00A26814" w:rsidP="00A26814">
            <w:pPr>
              <w:spacing w:before="40" w:after="40"/>
              <w:jc w:val="right"/>
              <w:rPr>
                <w:rFonts w:cs="Arial"/>
                <w:sz w:val="18"/>
                <w:szCs w:val="18"/>
              </w:rPr>
            </w:pPr>
            <w:r w:rsidRPr="003E2D55">
              <w:rPr>
                <w:rFonts w:cs="Arial"/>
                <w:sz w:val="18"/>
                <w:szCs w:val="18"/>
              </w:rPr>
              <w:t>29</w:t>
            </w:r>
          </w:p>
        </w:tc>
        <w:tc>
          <w:tcPr>
            <w:tcW w:w="170" w:type="dxa"/>
            <w:tcBorders>
              <w:top w:val="nil"/>
              <w:left w:val="nil"/>
              <w:bottom w:val="nil"/>
              <w:right w:val="nil"/>
            </w:tcBorders>
            <w:shd w:val="clear" w:color="auto" w:fill="auto"/>
            <w:vAlign w:val="bottom"/>
          </w:tcPr>
          <w:p w14:paraId="399E09C4" w14:textId="50906C5B"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7EE971E6" w14:textId="4F99BA2C"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5CC3929E" w14:textId="5787FF07"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55DCA039" w14:textId="174F8F9B"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0BFB88F8" w14:textId="6244DB8A"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4BC258E7" w14:textId="06A719BF" w:rsidR="00A26814" w:rsidRPr="003E2D55" w:rsidRDefault="00A26814" w:rsidP="00A26814">
            <w:pPr>
              <w:spacing w:before="40" w:after="40"/>
              <w:jc w:val="right"/>
              <w:rPr>
                <w:rFonts w:cs="Arial"/>
                <w:sz w:val="18"/>
                <w:szCs w:val="18"/>
              </w:rPr>
            </w:pPr>
            <w:r w:rsidRPr="003E2D55">
              <w:rPr>
                <w:rFonts w:cs="Arial"/>
                <w:sz w:val="18"/>
                <w:szCs w:val="18"/>
              </w:rPr>
              <w:t>0</w:t>
            </w:r>
          </w:p>
        </w:tc>
      </w:tr>
      <w:tr w:rsidR="00A26814" w:rsidRPr="003E2D55" w14:paraId="602B6EA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39EAE4D" w14:textId="77777777" w:rsidR="00A26814" w:rsidRPr="003E2D55" w:rsidRDefault="00A26814" w:rsidP="00A26814">
            <w:pPr>
              <w:spacing w:before="40" w:after="40"/>
              <w:rPr>
                <w:rFonts w:cs="Arial"/>
                <w:sz w:val="18"/>
                <w:szCs w:val="18"/>
              </w:rPr>
            </w:pPr>
            <w:r w:rsidRPr="003E2D55">
              <w:rPr>
                <w:rFonts w:cs="Arial"/>
                <w:sz w:val="18"/>
                <w:szCs w:val="18"/>
              </w:rPr>
              <w:t>Benalla RC</w:t>
            </w:r>
          </w:p>
        </w:tc>
        <w:tc>
          <w:tcPr>
            <w:tcW w:w="737" w:type="dxa"/>
            <w:tcBorders>
              <w:top w:val="nil"/>
              <w:left w:val="single" w:sz="18" w:space="0" w:color="5F497A" w:themeColor="accent4" w:themeShade="BF"/>
              <w:bottom w:val="nil"/>
              <w:right w:val="nil"/>
            </w:tcBorders>
            <w:shd w:val="clear" w:color="auto" w:fill="auto"/>
            <w:vAlign w:val="bottom"/>
          </w:tcPr>
          <w:p w14:paraId="19917BD8" w14:textId="53937B58" w:rsidR="00A26814" w:rsidRPr="003E2D55" w:rsidRDefault="00A26814" w:rsidP="00A26814">
            <w:pPr>
              <w:spacing w:before="40" w:after="40"/>
              <w:jc w:val="right"/>
              <w:rPr>
                <w:rFonts w:cs="Arial"/>
                <w:sz w:val="18"/>
                <w:szCs w:val="18"/>
              </w:rPr>
            </w:pPr>
            <w:r w:rsidRPr="003E2D55">
              <w:rPr>
                <w:rFonts w:cs="Arial"/>
                <w:sz w:val="18"/>
                <w:szCs w:val="18"/>
              </w:rPr>
              <w:t>73</w:t>
            </w:r>
          </w:p>
        </w:tc>
        <w:tc>
          <w:tcPr>
            <w:tcW w:w="737" w:type="dxa"/>
            <w:tcBorders>
              <w:top w:val="nil"/>
              <w:left w:val="nil"/>
              <w:bottom w:val="nil"/>
              <w:right w:val="nil"/>
            </w:tcBorders>
            <w:shd w:val="clear" w:color="auto" w:fill="auto"/>
            <w:vAlign w:val="bottom"/>
          </w:tcPr>
          <w:p w14:paraId="7D48C5F6" w14:textId="5BEFB955" w:rsidR="00A26814" w:rsidRPr="003E2D55" w:rsidRDefault="00A26814" w:rsidP="00A26814">
            <w:pPr>
              <w:spacing w:before="40" w:after="40"/>
              <w:jc w:val="right"/>
              <w:rPr>
                <w:rFonts w:cs="Arial"/>
                <w:sz w:val="18"/>
                <w:szCs w:val="18"/>
              </w:rPr>
            </w:pPr>
            <w:r w:rsidRPr="003E2D55">
              <w:rPr>
                <w:rFonts w:cs="Arial"/>
                <w:sz w:val="18"/>
                <w:szCs w:val="18"/>
              </w:rPr>
              <w:t>17</w:t>
            </w:r>
          </w:p>
        </w:tc>
        <w:tc>
          <w:tcPr>
            <w:tcW w:w="737" w:type="dxa"/>
            <w:tcBorders>
              <w:top w:val="nil"/>
              <w:left w:val="nil"/>
              <w:bottom w:val="nil"/>
              <w:right w:val="nil"/>
            </w:tcBorders>
            <w:shd w:val="clear" w:color="auto" w:fill="auto"/>
            <w:vAlign w:val="bottom"/>
          </w:tcPr>
          <w:p w14:paraId="6BDF6CEB" w14:textId="16A5CDF8" w:rsidR="00A26814" w:rsidRPr="003E2D55" w:rsidRDefault="00A26814" w:rsidP="00A26814">
            <w:pPr>
              <w:spacing w:before="40" w:after="40"/>
              <w:jc w:val="right"/>
              <w:rPr>
                <w:rFonts w:cs="Arial"/>
                <w:sz w:val="18"/>
                <w:szCs w:val="18"/>
              </w:rPr>
            </w:pPr>
            <w:r w:rsidRPr="003E2D55">
              <w:rPr>
                <w:rFonts w:cs="Arial"/>
                <w:sz w:val="18"/>
                <w:szCs w:val="18"/>
              </w:rPr>
              <w:t>15</w:t>
            </w:r>
          </w:p>
        </w:tc>
        <w:tc>
          <w:tcPr>
            <w:tcW w:w="737" w:type="dxa"/>
            <w:tcBorders>
              <w:top w:val="nil"/>
              <w:left w:val="nil"/>
              <w:bottom w:val="nil"/>
              <w:right w:val="nil"/>
            </w:tcBorders>
            <w:shd w:val="clear" w:color="auto" w:fill="auto"/>
            <w:vAlign w:val="bottom"/>
          </w:tcPr>
          <w:p w14:paraId="75626BA1" w14:textId="71DB5FA2" w:rsidR="00A26814" w:rsidRPr="003E2D55" w:rsidRDefault="00A26814" w:rsidP="00A26814">
            <w:pPr>
              <w:spacing w:before="40" w:after="4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5BC7EDDB" w14:textId="07F0C111"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1FFCD9D4" w14:textId="3A2B5C5A" w:rsidR="00A26814" w:rsidRPr="003E2D55" w:rsidRDefault="00A26814" w:rsidP="00A26814">
            <w:pPr>
              <w:spacing w:before="40" w:after="40"/>
              <w:jc w:val="right"/>
              <w:rPr>
                <w:rFonts w:cs="Arial"/>
                <w:sz w:val="18"/>
                <w:szCs w:val="18"/>
              </w:rPr>
            </w:pPr>
            <w:r w:rsidRPr="003E2D55">
              <w:rPr>
                <w:rFonts w:cs="Arial"/>
                <w:sz w:val="18"/>
                <w:szCs w:val="18"/>
              </w:rPr>
              <w:t>78</w:t>
            </w:r>
          </w:p>
        </w:tc>
        <w:tc>
          <w:tcPr>
            <w:tcW w:w="737" w:type="dxa"/>
            <w:tcBorders>
              <w:top w:val="nil"/>
              <w:left w:val="nil"/>
              <w:bottom w:val="nil"/>
              <w:right w:val="nil"/>
            </w:tcBorders>
            <w:shd w:val="clear" w:color="auto" w:fill="auto"/>
            <w:vAlign w:val="bottom"/>
          </w:tcPr>
          <w:p w14:paraId="423D69BD" w14:textId="2C82C4DC" w:rsidR="00A26814" w:rsidRPr="003E2D55" w:rsidRDefault="00A26814" w:rsidP="00A26814">
            <w:pPr>
              <w:spacing w:before="40" w:after="40"/>
              <w:jc w:val="right"/>
              <w:rPr>
                <w:rFonts w:cs="Arial"/>
                <w:sz w:val="18"/>
                <w:szCs w:val="18"/>
              </w:rPr>
            </w:pPr>
            <w:r w:rsidRPr="003E2D55">
              <w:rPr>
                <w:rFonts w:cs="Arial"/>
                <w:sz w:val="18"/>
                <w:szCs w:val="18"/>
              </w:rPr>
              <w:t>823</w:t>
            </w:r>
          </w:p>
        </w:tc>
        <w:tc>
          <w:tcPr>
            <w:tcW w:w="737" w:type="dxa"/>
            <w:tcBorders>
              <w:top w:val="nil"/>
              <w:left w:val="nil"/>
              <w:bottom w:val="nil"/>
              <w:right w:val="nil"/>
            </w:tcBorders>
            <w:shd w:val="clear" w:color="auto" w:fill="auto"/>
            <w:vAlign w:val="bottom"/>
          </w:tcPr>
          <w:p w14:paraId="490E5BB0" w14:textId="2FC6EF6F" w:rsidR="00A26814" w:rsidRPr="003E2D55" w:rsidRDefault="00A26814" w:rsidP="00A26814">
            <w:pPr>
              <w:spacing w:before="40" w:after="40"/>
              <w:jc w:val="right"/>
              <w:rPr>
                <w:rFonts w:cs="Arial"/>
                <w:sz w:val="18"/>
                <w:szCs w:val="18"/>
              </w:rPr>
            </w:pPr>
            <w:r w:rsidRPr="003E2D55">
              <w:rPr>
                <w:rFonts w:cs="Arial"/>
                <w:sz w:val="18"/>
                <w:szCs w:val="18"/>
              </w:rPr>
              <w:t>288</w:t>
            </w:r>
          </w:p>
        </w:tc>
        <w:tc>
          <w:tcPr>
            <w:tcW w:w="737" w:type="dxa"/>
            <w:tcBorders>
              <w:top w:val="nil"/>
              <w:left w:val="nil"/>
              <w:bottom w:val="nil"/>
              <w:right w:val="nil"/>
            </w:tcBorders>
            <w:shd w:val="clear" w:color="auto" w:fill="auto"/>
            <w:vAlign w:val="bottom"/>
          </w:tcPr>
          <w:p w14:paraId="46E05B95" w14:textId="7DDC420C" w:rsidR="00A26814" w:rsidRPr="003E2D55" w:rsidRDefault="00A26814" w:rsidP="00A26814">
            <w:pPr>
              <w:spacing w:before="40" w:after="40"/>
              <w:jc w:val="right"/>
              <w:rPr>
                <w:rFonts w:cs="Arial"/>
                <w:sz w:val="18"/>
                <w:szCs w:val="18"/>
              </w:rPr>
            </w:pPr>
            <w:r w:rsidRPr="003E2D55">
              <w:rPr>
                <w:rFonts w:cs="Arial"/>
                <w:sz w:val="18"/>
                <w:szCs w:val="18"/>
              </w:rPr>
              <w:t>21</w:t>
            </w:r>
          </w:p>
        </w:tc>
        <w:tc>
          <w:tcPr>
            <w:tcW w:w="737" w:type="dxa"/>
            <w:tcBorders>
              <w:top w:val="nil"/>
              <w:left w:val="nil"/>
              <w:bottom w:val="nil"/>
              <w:right w:val="nil"/>
            </w:tcBorders>
            <w:shd w:val="clear" w:color="auto" w:fill="auto"/>
            <w:vAlign w:val="bottom"/>
          </w:tcPr>
          <w:p w14:paraId="28264B81" w14:textId="05DEC691" w:rsidR="00A26814" w:rsidRPr="003E2D55" w:rsidRDefault="00A26814" w:rsidP="00A26814">
            <w:pPr>
              <w:spacing w:before="40" w:after="40"/>
              <w:jc w:val="right"/>
              <w:rPr>
                <w:rFonts w:cs="Arial"/>
                <w:sz w:val="18"/>
                <w:szCs w:val="18"/>
              </w:rPr>
            </w:pPr>
            <w:r w:rsidRPr="003E2D55">
              <w:rPr>
                <w:rFonts w:cs="Arial"/>
                <w:sz w:val="18"/>
                <w:szCs w:val="18"/>
              </w:rPr>
              <w:t>20</w:t>
            </w:r>
          </w:p>
        </w:tc>
      </w:tr>
      <w:tr w:rsidR="00A26814" w:rsidRPr="003E2D55" w14:paraId="0B0FE5D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D41C261" w14:textId="77777777" w:rsidR="00A26814" w:rsidRPr="003E2D55" w:rsidRDefault="00A26814" w:rsidP="00A26814">
            <w:pPr>
              <w:spacing w:before="40" w:after="40"/>
              <w:rPr>
                <w:rFonts w:cs="Arial"/>
                <w:sz w:val="18"/>
                <w:szCs w:val="18"/>
              </w:rPr>
            </w:pPr>
            <w:r w:rsidRPr="003E2D55">
              <w:rPr>
                <w:rFonts w:cs="Arial"/>
                <w:sz w:val="18"/>
                <w:szCs w:val="18"/>
              </w:rPr>
              <w:t>Boroondara C</w:t>
            </w:r>
          </w:p>
        </w:tc>
        <w:tc>
          <w:tcPr>
            <w:tcW w:w="737" w:type="dxa"/>
            <w:tcBorders>
              <w:top w:val="nil"/>
              <w:left w:val="single" w:sz="18" w:space="0" w:color="5F497A" w:themeColor="accent4" w:themeShade="BF"/>
              <w:bottom w:val="nil"/>
              <w:right w:val="nil"/>
            </w:tcBorders>
            <w:shd w:val="clear" w:color="auto" w:fill="auto"/>
            <w:vAlign w:val="bottom"/>
          </w:tcPr>
          <w:p w14:paraId="5ECAF3C7" w14:textId="4E74540F" w:rsidR="00A26814" w:rsidRPr="003E2D55" w:rsidRDefault="00A26814" w:rsidP="00A26814">
            <w:pPr>
              <w:spacing w:before="40" w:after="40"/>
              <w:jc w:val="right"/>
              <w:rPr>
                <w:rFonts w:cs="Arial"/>
                <w:sz w:val="18"/>
                <w:szCs w:val="18"/>
              </w:rPr>
            </w:pPr>
            <w:r w:rsidRPr="003E2D55">
              <w:rPr>
                <w:rFonts w:cs="Arial"/>
                <w:sz w:val="18"/>
                <w:szCs w:val="18"/>
              </w:rPr>
              <w:t>236</w:t>
            </w:r>
          </w:p>
        </w:tc>
        <w:tc>
          <w:tcPr>
            <w:tcW w:w="737" w:type="dxa"/>
            <w:tcBorders>
              <w:top w:val="nil"/>
              <w:left w:val="nil"/>
              <w:bottom w:val="nil"/>
              <w:right w:val="nil"/>
            </w:tcBorders>
            <w:shd w:val="clear" w:color="auto" w:fill="auto"/>
            <w:vAlign w:val="bottom"/>
          </w:tcPr>
          <w:p w14:paraId="2AF712E7" w14:textId="5FC9A3CE" w:rsidR="00A26814" w:rsidRPr="003E2D55" w:rsidRDefault="00A26814" w:rsidP="00A26814">
            <w:pPr>
              <w:spacing w:before="40" w:after="40"/>
              <w:jc w:val="right"/>
              <w:rPr>
                <w:rFonts w:cs="Arial"/>
                <w:sz w:val="18"/>
                <w:szCs w:val="18"/>
              </w:rPr>
            </w:pPr>
            <w:r w:rsidRPr="003E2D55">
              <w:rPr>
                <w:rFonts w:cs="Arial"/>
                <w:sz w:val="18"/>
                <w:szCs w:val="18"/>
              </w:rPr>
              <w:t>142</w:t>
            </w:r>
          </w:p>
        </w:tc>
        <w:tc>
          <w:tcPr>
            <w:tcW w:w="737" w:type="dxa"/>
            <w:tcBorders>
              <w:top w:val="nil"/>
              <w:left w:val="nil"/>
              <w:bottom w:val="nil"/>
              <w:right w:val="nil"/>
            </w:tcBorders>
            <w:shd w:val="clear" w:color="auto" w:fill="auto"/>
            <w:vAlign w:val="bottom"/>
          </w:tcPr>
          <w:p w14:paraId="639CFA30" w14:textId="559E064D" w:rsidR="00A26814" w:rsidRPr="003E2D55" w:rsidRDefault="00A26814" w:rsidP="00A26814">
            <w:pPr>
              <w:spacing w:before="40" w:after="40"/>
              <w:jc w:val="right"/>
              <w:rPr>
                <w:rFonts w:cs="Arial"/>
                <w:sz w:val="18"/>
                <w:szCs w:val="18"/>
              </w:rPr>
            </w:pPr>
            <w:r w:rsidRPr="003E2D55">
              <w:rPr>
                <w:rFonts w:cs="Arial"/>
                <w:sz w:val="18"/>
                <w:szCs w:val="18"/>
              </w:rPr>
              <w:t>149</w:t>
            </w:r>
          </w:p>
        </w:tc>
        <w:tc>
          <w:tcPr>
            <w:tcW w:w="737" w:type="dxa"/>
            <w:tcBorders>
              <w:top w:val="nil"/>
              <w:left w:val="nil"/>
              <w:bottom w:val="nil"/>
              <w:right w:val="nil"/>
            </w:tcBorders>
            <w:shd w:val="clear" w:color="auto" w:fill="auto"/>
            <w:vAlign w:val="bottom"/>
          </w:tcPr>
          <w:p w14:paraId="1836EE37" w14:textId="2A64AA77" w:rsidR="00A26814" w:rsidRPr="003E2D55" w:rsidRDefault="00A26814" w:rsidP="00A26814">
            <w:pPr>
              <w:spacing w:before="40" w:after="40"/>
              <w:jc w:val="right"/>
              <w:rPr>
                <w:rFonts w:cs="Arial"/>
                <w:sz w:val="18"/>
                <w:szCs w:val="18"/>
              </w:rPr>
            </w:pPr>
            <w:r w:rsidRPr="003E2D55">
              <w:rPr>
                <w:rFonts w:cs="Arial"/>
                <w:sz w:val="18"/>
                <w:szCs w:val="18"/>
              </w:rPr>
              <w:t>34</w:t>
            </w:r>
          </w:p>
        </w:tc>
        <w:tc>
          <w:tcPr>
            <w:tcW w:w="170" w:type="dxa"/>
            <w:tcBorders>
              <w:top w:val="nil"/>
              <w:left w:val="nil"/>
              <w:bottom w:val="nil"/>
              <w:right w:val="nil"/>
            </w:tcBorders>
            <w:shd w:val="clear" w:color="auto" w:fill="auto"/>
            <w:vAlign w:val="bottom"/>
          </w:tcPr>
          <w:p w14:paraId="0E5D613E" w14:textId="72EC5FAF"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2F682FE9" w14:textId="711FAF36"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4B02D3D0" w14:textId="6791A785"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4684A80E" w14:textId="59D491BA"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6A300497" w14:textId="4AE76270"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4F2CF716" w14:textId="29B842AC" w:rsidR="00A26814" w:rsidRPr="003E2D55" w:rsidRDefault="00A26814" w:rsidP="00A26814">
            <w:pPr>
              <w:spacing w:before="40" w:after="40"/>
              <w:jc w:val="right"/>
              <w:rPr>
                <w:rFonts w:cs="Arial"/>
                <w:sz w:val="18"/>
                <w:szCs w:val="18"/>
              </w:rPr>
            </w:pPr>
            <w:r w:rsidRPr="003E2D55">
              <w:rPr>
                <w:rFonts w:cs="Arial"/>
                <w:sz w:val="18"/>
                <w:szCs w:val="18"/>
              </w:rPr>
              <w:t>0</w:t>
            </w:r>
          </w:p>
        </w:tc>
      </w:tr>
      <w:tr w:rsidR="00A26814" w:rsidRPr="003E2D55" w14:paraId="7CD1CEC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BF1B462" w14:textId="77777777" w:rsidR="00A26814" w:rsidRPr="003E2D55" w:rsidRDefault="00A26814" w:rsidP="00A26814">
            <w:pPr>
              <w:spacing w:before="40" w:after="40"/>
              <w:rPr>
                <w:rFonts w:cs="Arial"/>
                <w:sz w:val="18"/>
                <w:szCs w:val="18"/>
              </w:rPr>
            </w:pPr>
            <w:r w:rsidRPr="003E2D55">
              <w:rPr>
                <w:rFonts w:cs="Arial"/>
                <w:sz w:val="18"/>
                <w:szCs w:val="18"/>
              </w:rPr>
              <w:t>Brimbank C</w:t>
            </w:r>
          </w:p>
        </w:tc>
        <w:tc>
          <w:tcPr>
            <w:tcW w:w="737" w:type="dxa"/>
            <w:tcBorders>
              <w:top w:val="nil"/>
              <w:left w:val="single" w:sz="18" w:space="0" w:color="5F497A" w:themeColor="accent4" w:themeShade="BF"/>
              <w:bottom w:val="nil"/>
              <w:right w:val="nil"/>
            </w:tcBorders>
            <w:shd w:val="clear" w:color="auto" w:fill="auto"/>
            <w:vAlign w:val="bottom"/>
          </w:tcPr>
          <w:p w14:paraId="02A20BCA" w14:textId="1CE28E1D" w:rsidR="00A26814" w:rsidRPr="003E2D55" w:rsidRDefault="00A26814" w:rsidP="00A26814">
            <w:pPr>
              <w:spacing w:before="40" w:after="40"/>
              <w:jc w:val="right"/>
              <w:rPr>
                <w:rFonts w:cs="Arial"/>
                <w:sz w:val="18"/>
                <w:szCs w:val="18"/>
              </w:rPr>
            </w:pPr>
            <w:r w:rsidRPr="003E2D55">
              <w:rPr>
                <w:rFonts w:cs="Arial"/>
                <w:sz w:val="18"/>
                <w:szCs w:val="18"/>
              </w:rPr>
              <w:t>375</w:t>
            </w:r>
          </w:p>
        </w:tc>
        <w:tc>
          <w:tcPr>
            <w:tcW w:w="737" w:type="dxa"/>
            <w:tcBorders>
              <w:top w:val="nil"/>
              <w:left w:val="nil"/>
              <w:bottom w:val="nil"/>
              <w:right w:val="nil"/>
            </w:tcBorders>
            <w:shd w:val="clear" w:color="auto" w:fill="auto"/>
            <w:vAlign w:val="bottom"/>
          </w:tcPr>
          <w:p w14:paraId="1DAB0559" w14:textId="3A72A8E8" w:rsidR="00A26814" w:rsidRPr="003E2D55" w:rsidRDefault="00A26814" w:rsidP="00A26814">
            <w:pPr>
              <w:spacing w:before="40" w:after="40"/>
              <w:jc w:val="right"/>
              <w:rPr>
                <w:rFonts w:cs="Arial"/>
                <w:sz w:val="18"/>
                <w:szCs w:val="18"/>
              </w:rPr>
            </w:pPr>
            <w:r w:rsidRPr="003E2D55">
              <w:rPr>
                <w:rFonts w:cs="Arial"/>
                <w:sz w:val="18"/>
                <w:szCs w:val="18"/>
              </w:rPr>
              <w:t>260</w:t>
            </w:r>
          </w:p>
        </w:tc>
        <w:tc>
          <w:tcPr>
            <w:tcW w:w="737" w:type="dxa"/>
            <w:tcBorders>
              <w:top w:val="nil"/>
              <w:left w:val="nil"/>
              <w:bottom w:val="nil"/>
              <w:right w:val="nil"/>
            </w:tcBorders>
            <w:shd w:val="clear" w:color="auto" w:fill="auto"/>
            <w:vAlign w:val="bottom"/>
          </w:tcPr>
          <w:p w14:paraId="44F8ED51" w14:textId="5BC692DD" w:rsidR="00A26814" w:rsidRPr="003E2D55" w:rsidRDefault="00A26814" w:rsidP="00A26814">
            <w:pPr>
              <w:spacing w:before="40" w:after="40"/>
              <w:jc w:val="right"/>
              <w:rPr>
                <w:rFonts w:cs="Arial"/>
                <w:sz w:val="18"/>
                <w:szCs w:val="18"/>
              </w:rPr>
            </w:pPr>
            <w:r w:rsidRPr="003E2D55">
              <w:rPr>
                <w:rFonts w:cs="Arial"/>
                <w:sz w:val="18"/>
                <w:szCs w:val="18"/>
              </w:rPr>
              <w:t>177</w:t>
            </w:r>
          </w:p>
        </w:tc>
        <w:tc>
          <w:tcPr>
            <w:tcW w:w="737" w:type="dxa"/>
            <w:tcBorders>
              <w:top w:val="nil"/>
              <w:left w:val="nil"/>
              <w:bottom w:val="nil"/>
              <w:right w:val="nil"/>
            </w:tcBorders>
            <w:shd w:val="clear" w:color="auto" w:fill="auto"/>
            <w:vAlign w:val="bottom"/>
          </w:tcPr>
          <w:p w14:paraId="1CB51FEF" w14:textId="6BFD062B" w:rsidR="00A26814" w:rsidRPr="003E2D55" w:rsidRDefault="00A26814" w:rsidP="00A26814">
            <w:pPr>
              <w:spacing w:before="40" w:after="40"/>
              <w:jc w:val="right"/>
              <w:rPr>
                <w:rFonts w:cs="Arial"/>
                <w:sz w:val="18"/>
                <w:szCs w:val="18"/>
              </w:rPr>
            </w:pPr>
            <w:r w:rsidRPr="003E2D55">
              <w:rPr>
                <w:rFonts w:cs="Arial"/>
                <w:sz w:val="18"/>
                <w:szCs w:val="18"/>
              </w:rPr>
              <w:t>77</w:t>
            </w:r>
          </w:p>
        </w:tc>
        <w:tc>
          <w:tcPr>
            <w:tcW w:w="170" w:type="dxa"/>
            <w:tcBorders>
              <w:top w:val="nil"/>
              <w:left w:val="nil"/>
              <w:bottom w:val="nil"/>
              <w:right w:val="nil"/>
            </w:tcBorders>
            <w:shd w:val="clear" w:color="auto" w:fill="auto"/>
            <w:vAlign w:val="bottom"/>
          </w:tcPr>
          <w:p w14:paraId="6B96CFB1" w14:textId="64E29050"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13AA982A" w14:textId="62C72E18"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129C353D" w14:textId="0E40312E"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0DB31E8F" w14:textId="4FAB58BF" w:rsidR="00A26814" w:rsidRPr="003E2D55" w:rsidRDefault="00A26814" w:rsidP="00A26814">
            <w:pPr>
              <w:spacing w:before="40" w:after="40"/>
              <w:jc w:val="right"/>
              <w:rPr>
                <w:rFonts w:cs="Arial"/>
                <w:sz w:val="18"/>
                <w:szCs w:val="18"/>
              </w:rPr>
            </w:pPr>
            <w:r w:rsidRPr="003E2D55">
              <w:rPr>
                <w:rFonts w:cs="Arial"/>
                <w:sz w:val="18"/>
                <w:szCs w:val="18"/>
              </w:rPr>
              <w:t>3</w:t>
            </w:r>
          </w:p>
        </w:tc>
        <w:tc>
          <w:tcPr>
            <w:tcW w:w="737" w:type="dxa"/>
            <w:tcBorders>
              <w:top w:val="nil"/>
              <w:left w:val="nil"/>
              <w:bottom w:val="nil"/>
              <w:right w:val="nil"/>
            </w:tcBorders>
            <w:shd w:val="clear" w:color="auto" w:fill="auto"/>
            <w:vAlign w:val="bottom"/>
          </w:tcPr>
          <w:p w14:paraId="2BA80CAC" w14:textId="7B788993" w:rsidR="00A26814" w:rsidRPr="003E2D55" w:rsidRDefault="00A26814" w:rsidP="00A26814">
            <w:pPr>
              <w:spacing w:before="40" w:after="40"/>
              <w:jc w:val="right"/>
              <w:rPr>
                <w:rFonts w:cs="Arial"/>
                <w:sz w:val="18"/>
                <w:szCs w:val="18"/>
              </w:rPr>
            </w:pPr>
            <w:r w:rsidRPr="003E2D55">
              <w:rPr>
                <w:rFonts w:cs="Arial"/>
                <w:sz w:val="18"/>
                <w:szCs w:val="18"/>
              </w:rPr>
              <w:t>1</w:t>
            </w:r>
          </w:p>
        </w:tc>
        <w:tc>
          <w:tcPr>
            <w:tcW w:w="737" w:type="dxa"/>
            <w:tcBorders>
              <w:top w:val="nil"/>
              <w:left w:val="nil"/>
              <w:bottom w:val="nil"/>
              <w:right w:val="nil"/>
            </w:tcBorders>
            <w:shd w:val="clear" w:color="auto" w:fill="auto"/>
            <w:vAlign w:val="bottom"/>
          </w:tcPr>
          <w:p w14:paraId="68FAE937" w14:textId="5A42C5B6" w:rsidR="00A26814" w:rsidRPr="003E2D55" w:rsidRDefault="00A26814" w:rsidP="00A26814">
            <w:pPr>
              <w:spacing w:before="40" w:after="40"/>
              <w:jc w:val="right"/>
              <w:rPr>
                <w:rFonts w:cs="Arial"/>
                <w:sz w:val="18"/>
                <w:szCs w:val="18"/>
              </w:rPr>
            </w:pPr>
            <w:r w:rsidRPr="003E2D55">
              <w:rPr>
                <w:rFonts w:cs="Arial"/>
                <w:sz w:val="18"/>
                <w:szCs w:val="18"/>
              </w:rPr>
              <w:t>1</w:t>
            </w:r>
          </w:p>
        </w:tc>
      </w:tr>
      <w:tr w:rsidR="00A26814" w:rsidRPr="003E2D55" w14:paraId="0A59853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7F776ED" w14:textId="77777777" w:rsidR="00A26814" w:rsidRPr="003E2D55" w:rsidRDefault="00A26814" w:rsidP="00A26814">
            <w:pPr>
              <w:spacing w:before="40" w:after="40"/>
              <w:rPr>
                <w:rFonts w:cs="Arial"/>
                <w:sz w:val="18"/>
                <w:szCs w:val="18"/>
              </w:rPr>
            </w:pPr>
            <w:r w:rsidRPr="003E2D55">
              <w:rPr>
                <w:rFonts w:cs="Arial"/>
                <w:sz w:val="18"/>
                <w:szCs w:val="18"/>
              </w:rPr>
              <w:t>Buloke S</w:t>
            </w:r>
          </w:p>
        </w:tc>
        <w:tc>
          <w:tcPr>
            <w:tcW w:w="737" w:type="dxa"/>
            <w:tcBorders>
              <w:top w:val="nil"/>
              <w:left w:val="single" w:sz="18" w:space="0" w:color="5F497A" w:themeColor="accent4" w:themeShade="BF"/>
              <w:bottom w:val="nil"/>
              <w:right w:val="nil"/>
            </w:tcBorders>
            <w:shd w:val="clear" w:color="auto" w:fill="auto"/>
            <w:vAlign w:val="bottom"/>
          </w:tcPr>
          <w:p w14:paraId="0B9A1DAB" w14:textId="4EA7B3F4" w:rsidR="00A26814" w:rsidRPr="003E2D55" w:rsidRDefault="00A26814" w:rsidP="00A26814">
            <w:pPr>
              <w:spacing w:before="40" w:after="40"/>
              <w:jc w:val="right"/>
              <w:rPr>
                <w:rFonts w:cs="Arial"/>
                <w:sz w:val="18"/>
                <w:szCs w:val="18"/>
              </w:rPr>
            </w:pPr>
            <w:r w:rsidRPr="003E2D55">
              <w:rPr>
                <w:rFonts w:cs="Arial"/>
                <w:sz w:val="18"/>
                <w:szCs w:val="18"/>
              </w:rPr>
              <w:t>122</w:t>
            </w:r>
          </w:p>
        </w:tc>
        <w:tc>
          <w:tcPr>
            <w:tcW w:w="737" w:type="dxa"/>
            <w:tcBorders>
              <w:top w:val="nil"/>
              <w:left w:val="nil"/>
              <w:bottom w:val="nil"/>
              <w:right w:val="nil"/>
            </w:tcBorders>
            <w:shd w:val="clear" w:color="auto" w:fill="auto"/>
            <w:vAlign w:val="bottom"/>
          </w:tcPr>
          <w:p w14:paraId="3270EC1C" w14:textId="12AF7381"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311EB07C" w14:textId="6FEEE9DC"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01655560" w14:textId="3B8EA07F" w:rsidR="00A26814" w:rsidRPr="003E2D55" w:rsidRDefault="00A26814" w:rsidP="00A26814">
            <w:pPr>
              <w:spacing w:before="40" w:after="4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2788EC90" w14:textId="69B0007A"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4AE81BFE" w14:textId="200F2815" w:rsidR="00A26814" w:rsidRPr="003E2D55" w:rsidRDefault="00A26814" w:rsidP="00A26814">
            <w:pPr>
              <w:spacing w:before="40" w:after="40"/>
              <w:jc w:val="right"/>
              <w:rPr>
                <w:rFonts w:cs="Arial"/>
                <w:sz w:val="18"/>
                <w:szCs w:val="18"/>
              </w:rPr>
            </w:pPr>
            <w:r w:rsidRPr="003E2D55">
              <w:rPr>
                <w:rFonts w:cs="Arial"/>
                <w:sz w:val="18"/>
                <w:szCs w:val="18"/>
              </w:rPr>
              <w:t>2,941</w:t>
            </w:r>
          </w:p>
        </w:tc>
        <w:tc>
          <w:tcPr>
            <w:tcW w:w="737" w:type="dxa"/>
            <w:tcBorders>
              <w:top w:val="nil"/>
              <w:left w:val="nil"/>
              <w:bottom w:val="nil"/>
              <w:right w:val="nil"/>
            </w:tcBorders>
            <w:shd w:val="clear" w:color="auto" w:fill="auto"/>
            <w:vAlign w:val="bottom"/>
          </w:tcPr>
          <w:p w14:paraId="4586AFC9" w14:textId="0081665B" w:rsidR="00A26814" w:rsidRPr="003E2D55" w:rsidRDefault="00A26814" w:rsidP="00A26814">
            <w:pPr>
              <w:spacing w:before="40" w:after="40"/>
              <w:jc w:val="right"/>
              <w:rPr>
                <w:rFonts w:cs="Arial"/>
                <w:sz w:val="18"/>
                <w:szCs w:val="18"/>
              </w:rPr>
            </w:pPr>
            <w:r w:rsidRPr="003E2D55">
              <w:rPr>
                <w:rFonts w:cs="Arial"/>
                <w:sz w:val="18"/>
                <w:szCs w:val="18"/>
              </w:rPr>
              <w:t>2,100</w:t>
            </w:r>
          </w:p>
        </w:tc>
        <w:tc>
          <w:tcPr>
            <w:tcW w:w="737" w:type="dxa"/>
            <w:tcBorders>
              <w:top w:val="nil"/>
              <w:left w:val="nil"/>
              <w:bottom w:val="nil"/>
              <w:right w:val="nil"/>
            </w:tcBorders>
            <w:shd w:val="clear" w:color="auto" w:fill="auto"/>
            <w:vAlign w:val="bottom"/>
          </w:tcPr>
          <w:p w14:paraId="5B127F58" w14:textId="7F40516D" w:rsidR="00A26814" w:rsidRPr="003E2D55" w:rsidRDefault="00A26814" w:rsidP="00A26814">
            <w:pPr>
              <w:spacing w:before="40" w:after="40"/>
              <w:jc w:val="right"/>
              <w:rPr>
                <w:rFonts w:cs="Arial"/>
                <w:sz w:val="18"/>
                <w:szCs w:val="18"/>
              </w:rPr>
            </w:pPr>
            <w:r w:rsidRPr="003E2D55">
              <w:rPr>
                <w:rFonts w:cs="Arial"/>
                <w:sz w:val="18"/>
                <w:szCs w:val="18"/>
              </w:rPr>
              <w:t>150</w:t>
            </w:r>
          </w:p>
        </w:tc>
        <w:tc>
          <w:tcPr>
            <w:tcW w:w="737" w:type="dxa"/>
            <w:tcBorders>
              <w:top w:val="nil"/>
              <w:left w:val="nil"/>
              <w:bottom w:val="nil"/>
              <w:right w:val="nil"/>
            </w:tcBorders>
            <w:shd w:val="clear" w:color="auto" w:fill="auto"/>
            <w:vAlign w:val="bottom"/>
          </w:tcPr>
          <w:p w14:paraId="6FAC3E30" w14:textId="6180AE6B"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3DDAB4DE" w14:textId="20B032F0" w:rsidR="00A26814" w:rsidRPr="003E2D55" w:rsidRDefault="00A26814" w:rsidP="00A26814">
            <w:pPr>
              <w:spacing w:before="40" w:after="40"/>
              <w:jc w:val="right"/>
              <w:rPr>
                <w:rFonts w:cs="Arial"/>
                <w:sz w:val="18"/>
                <w:szCs w:val="18"/>
              </w:rPr>
            </w:pPr>
            <w:r w:rsidRPr="003E2D55">
              <w:rPr>
                <w:rFonts w:cs="Arial"/>
                <w:sz w:val="18"/>
                <w:szCs w:val="18"/>
              </w:rPr>
              <w:t>0</w:t>
            </w:r>
          </w:p>
        </w:tc>
      </w:tr>
      <w:tr w:rsidR="00A26814" w:rsidRPr="003E2D55" w14:paraId="01F5282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757426E" w14:textId="77777777" w:rsidR="00A26814" w:rsidRPr="003E2D55" w:rsidRDefault="00A26814" w:rsidP="00A26814">
            <w:pPr>
              <w:spacing w:before="40" w:after="40"/>
              <w:rPr>
                <w:rFonts w:cs="Arial"/>
                <w:sz w:val="18"/>
                <w:szCs w:val="18"/>
              </w:rPr>
            </w:pPr>
            <w:r w:rsidRPr="003E2D55">
              <w:rPr>
                <w:rFonts w:cs="Arial"/>
                <w:sz w:val="18"/>
                <w:szCs w:val="18"/>
              </w:rPr>
              <w:t>Campaspe S</w:t>
            </w:r>
          </w:p>
        </w:tc>
        <w:tc>
          <w:tcPr>
            <w:tcW w:w="737" w:type="dxa"/>
            <w:tcBorders>
              <w:top w:val="nil"/>
              <w:left w:val="single" w:sz="18" w:space="0" w:color="5F497A" w:themeColor="accent4" w:themeShade="BF"/>
              <w:bottom w:val="nil"/>
              <w:right w:val="nil"/>
            </w:tcBorders>
            <w:shd w:val="clear" w:color="auto" w:fill="auto"/>
            <w:vAlign w:val="bottom"/>
          </w:tcPr>
          <w:p w14:paraId="599C2E15" w14:textId="229EE287" w:rsidR="00A26814" w:rsidRPr="003E2D55" w:rsidRDefault="00A26814" w:rsidP="00A26814">
            <w:pPr>
              <w:spacing w:before="40" w:after="40"/>
              <w:jc w:val="right"/>
              <w:rPr>
                <w:rFonts w:cs="Arial"/>
                <w:sz w:val="18"/>
                <w:szCs w:val="18"/>
              </w:rPr>
            </w:pPr>
            <w:r w:rsidRPr="003E2D55">
              <w:rPr>
                <w:rFonts w:cs="Arial"/>
                <w:sz w:val="18"/>
                <w:szCs w:val="18"/>
              </w:rPr>
              <w:t>190</w:t>
            </w:r>
          </w:p>
        </w:tc>
        <w:tc>
          <w:tcPr>
            <w:tcW w:w="737" w:type="dxa"/>
            <w:tcBorders>
              <w:top w:val="nil"/>
              <w:left w:val="nil"/>
              <w:bottom w:val="nil"/>
              <w:right w:val="nil"/>
            </w:tcBorders>
            <w:shd w:val="clear" w:color="auto" w:fill="auto"/>
            <w:vAlign w:val="bottom"/>
          </w:tcPr>
          <w:p w14:paraId="57A0B757" w14:textId="44651781" w:rsidR="00A26814" w:rsidRPr="003E2D55" w:rsidRDefault="00A26814" w:rsidP="00A26814">
            <w:pPr>
              <w:spacing w:before="40" w:after="40"/>
              <w:jc w:val="right"/>
              <w:rPr>
                <w:rFonts w:cs="Arial"/>
                <w:sz w:val="18"/>
                <w:szCs w:val="18"/>
              </w:rPr>
            </w:pPr>
            <w:r w:rsidRPr="003E2D55">
              <w:rPr>
                <w:rFonts w:cs="Arial"/>
                <w:sz w:val="18"/>
                <w:szCs w:val="18"/>
              </w:rPr>
              <w:t>50</w:t>
            </w:r>
          </w:p>
        </w:tc>
        <w:tc>
          <w:tcPr>
            <w:tcW w:w="737" w:type="dxa"/>
            <w:tcBorders>
              <w:top w:val="nil"/>
              <w:left w:val="nil"/>
              <w:bottom w:val="nil"/>
              <w:right w:val="nil"/>
            </w:tcBorders>
            <w:shd w:val="clear" w:color="auto" w:fill="auto"/>
            <w:vAlign w:val="bottom"/>
          </w:tcPr>
          <w:p w14:paraId="4BA66B08" w14:textId="75438E1F" w:rsidR="00A26814" w:rsidRPr="003E2D55" w:rsidRDefault="00A26814" w:rsidP="00A26814">
            <w:pPr>
              <w:spacing w:before="40" w:after="40"/>
              <w:jc w:val="right"/>
              <w:rPr>
                <w:rFonts w:cs="Arial"/>
                <w:sz w:val="18"/>
                <w:szCs w:val="18"/>
              </w:rPr>
            </w:pPr>
            <w:r w:rsidRPr="003E2D55">
              <w:rPr>
                <w:rFonts w:cs="Arial"/>
                <w:sz w:val="18"/>
                <w:szCs w:val="18"/>
              </w:rPr>
              <w:t>46</w:t>
            </w:r>
          </w:p>
        </w:tc>
        <w:tc>
          <w:tcPr>
            <w:tcW w:w="737" w:type="dxa"/>
            <w:tcBorders>
              <w:top w:val="nil"/>
              <w:left w:val="nil"/>
              <w:bottom w:val="nil"/>
              <w:right w:val="nil"/>
            </w:tcBorders>
            <w:shd w:val="clear" w:color="auto" w:fill="auto"/>
            <w:vAlign w:val="bottom"/>
          </w:tcPr>
          <w:p w14:paraId="4A64F75C" w14:textId="3BB0286F" w:rsidR="00A26814" w:rsidRPr="003E2D55" w:rsidRDefault="00A26814" w:rsidP="00A26814">
            <w:pPr>
              <w:spacing w:before="40" w:after="40"/>
              <w:jc w:val="right"/>
              <w:rPr>
                <w:rFonts w:cs="Arial"/>
                <w:sz w:val="18"/>
                <w:szCs w:val="18"/>
              </w:rPr>
            </w:pPr>
            <w:r w:rsidRPr="003E2D55">
              <w:rPr>
                <w:rFonts w:cs="Arial"/>
                <w:sz w:val="18"/>
                <w:szCs w:val="18"/>
              </w:rPr>
              <w:t>5</w:t>
            </w:r>
          </w:p>
        </w:tc>
        <w:tc>
          <w:tcPr>
            <w:tcW w:w="170" w:type="dxa"/>
            <w:tcBorders>
              <w:top w:val="nil"/>
              <w:left w:val="nil"/>
              <w:bottom w:val="nil"/>
              <w:right w:val="nil"/>
            </w:tcBorders>
            <w:shd w:val="clear" w:color="auto" w:fill="auto"/>
            <w:vAlign w:val="bottom"/>
          </w:tcPr>
          <w:p w14:paraId="1E725C04" w14:textId="700BF6D3"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2440C5E5" w14:textId="1608E7F4" w:rsidR="00A26814" w:rsidRPr="003E2D55" w:rsidRDefault="00A26814" w:rsidP="00A26814">
            <w:pPr>
              <w:spacing w:before="40" w:after="40"/>
              <w:jc w:val="right"/>
              <w:rPr>
                <w:rFonts w:cs="Arial"/>
                <w:sz w:val="18"/>
                <w:szCs w:val="18"/>
              </w:rPr>
            </w:pPr>
            <w:r w:rsidRPr="003E2D55">
              <w:rPr>
                <w:rFonts w:cs="Arial"/>
                <w:sz w:val="18"/>
                <w:szCs w:val="18"/>
              </w:rPr>
              <w:t>862</w:t>
            </w:r>
          </w:p>
        </w:tc>
        <w:tc>
          <w:tcPr>
            <w:tcW w:w="737" w:type="dxa"/>
            <w:tcBorders>
              <w:top w:val="nil"/>
              <w:left w:val="nil"/>
              <w:bottom w:val="nil"/>
              <w:right w:val="nil"/>
            </w:tcBorders>
            <w:shd w:val="clear" w:color="auto" w:fill="auto"/>
            <w:vAlign w:val="bottom"/>
          </w:tcPr>
          <w:p w14:paraId="63F49DC2" w14:textId="6EB7334F" w:rsidR="00A26814" w:rsidRPr="003E2D55" w:rsidRDefault="00A26814" w:rsidP="00A26814">
            <w:pPr>
              <w:spacing w:before="40" w:after="40"/>
              <w:jc w:val="right"/>
              <w:rPr>
                <w:rFonts w:cs="Arial"/>
                <w:sz w:val="18"/>
                <w:szCs w:val="18"/>
              </w:rPr>
            </w:pPr>
            <w:r w:rsidRPr="003E2D55">
              <w:rPr>
                <w:rFonts w:cs="Arial"/>
                <w:sz w:val="18"/>
                <w:szCs w:val="18"/>
              </w:rPr>
              <w:t>2,203</w:t>
            </w:r>
          </w:p>
        </w:tc>
        <w:tc>
          <w:tcPr>
            <w:tcW w:w="737" w:type="dxa"/>
            <w:tcBorders>
              <w:top w:val="nil"/>
              <w:left w:val="nil"/>
              <w:bottom w:val="nil"/>
              <w:right w:val="nil"/>
            </w:tcBorders>
            <w:shd w:val="clear" w:color="auto" w:fill="auto"/>
            <w:vAlign w:val="bottom"/>
          </w:tcPr>
          <w:p w14:paraId="3A5504D4" w14:textId="05385C55" w:rsidR="00A26814" w:rsidRPr="003E2D55" w:rsidRDefault="00A26814" w:rsidP="00A26814">
            <w:pPr>
              <w:spacing w:before="40" w:after="40"/>
              <w:jc w:val="right"/>
              <w:rPr>
                <w:rFonts w:cs="Arial"/>
                <w:sz w:val="18"/>
                <w:szCs w:val="18"/>
              </w:rPr>
            </w:pPr>
            <w:r w:rsidRPr="003E2D55">
              <w:rPr>
                <w:rFonts w:cs="Arial"/>
                <w:sz w:val="18"/>
                <w:szCs w:val="18"/>
              </w:rPr>
              <w:t>589</w:t>
            </w:r>
          </w:p>
        </w:tc>
        <w:tc>
          <w:tcPr>
            <w:tcW w:w="737" w:type="dxa"/>
            <w:tcBorders>
              <w:top w:val="nil"/>
              <w:left w:val="nil"/>
              <w:bottom w:val="nil"/>
              <w:right w:val="nil"/>
            </w:tcBorders>
            <w:shd w:val="clear" w:color="auto" w:fill="auto"/>
            <w:vAlign w:val="bottom"/>
          </w:tcPr>
          <w:p w14:paraId="6AA6FB53" w14:textId="5E3ADB74" w:rsidR="00A26814" w:rsidRPr="003E2D55" w:rsidRDefault="00A26814" w:rsidP="00A26814">
            <w:pPr>
              <w:spacing w:before="40" w:after="40"/>
              <w:jc w:val="right"/>
              <w:rPr>
                <w:rFonts w:cs="Arial"/>
                <w:sz w:val="18"/>
                <w:szCs w:val="18"/>
              </w:rPr>
            </w:pPr>
            <w:r w:rsidRPr="003E2D55">
              <w:rPr>
                <w:rFonts w:cs="Arial"/>
                <w:sz w:val="18"/>
                <w:szCs w:val="18"/>
              </w:rPr>
              <w:t>91</w:t>
            </w:r>
          </w:p>
        </w:tc>
        <w:tc>
          <w:tcPr>
            <w:tcW w:w="737" w:type="dxa"/>
            <w:tcBorders>
              <w:top w:val="nil"/>
              <w:left w:val="nil"/>
              <w:bottom w:val="nil"/>
              <w:right w:val="nil"/>
            </w:tcBorders>
            <w:shd w:val="clear" w:color="auto" w:fill="auto"/>
            <w:vAlign w:val="bottom"/>
          </w:tcPr>
          <w:p w14:paraId="230495D7" w14:textId="1301E249" w:rsidR="00A26814" w:rsidRPr="003E2D55" w:rsidRDefault="00A26814" w:rsidP="00A26814">
            <w:pPr>
              <w:spacing w:before="40" w:after="40"/>
              <w:jc w:val="right"/>
              <w:rPr>
                <w:rFonts w:cs="Arial"/>
                <w:sz w:val="18"/>
                <w:szCs w:val="18"/>
              </w:rPr>
            </w:pPr>
            <w:r w:rsidRPr="003E2D55">
              <w:rPr>
                <w:rFonts w:cs="Arial"/>
                <w:sz w:val="18"/>
                <w:szCs w:val="18"/>
              </w:rPr>
              <w:t>18</w:t>
            </w:r>
          </w:p>
        </w:tc>
      </w:tr>
      <w:tr w:rsidR="00A26814" w:rsidRPr="003E2D55" w14:paraId="2F53CB1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5125236" w14:textId="77777777" w:rsidR="00A26814" w:rsidRPr="003E2D55" w:rsidRDefault="00A26814" w:rsidP="00A26814">
            <w:pPr>
              <w:spacing w:before="40" w:after="40"/>
              <w:rPr>
                <w:rFonts w:cs="Arial"/>
                <w:sz w:val="18"/>
                <w:szCs w:val="18"/>
              </w:rPr>
            </w:pPr>
            <w:r w:rsidRPr="003E2D55">
              <w:rPr>
                <w:rFonts w:cs="Arial"/>
                <w:sz w:val="18"/>
                <w:szCs w:val="18"/>
              </w:rPr>
              <w:t>Cardinia S</w:t>
            </w:r>
          </w:p>
        </w:tc>
        <w:tc>
          <w:tcPr>
            <w:tcW w:w="737" w:type="dxa"/>
            <w:tcBorders>
              <w:top w:val="nil"/>
              <w:left w:val="single" w:sz="18" w:space="0" w:color="5F497A" w:themeColor="accent4" w:themeShade="BF"/>
              <w:bottom w:val="nil"/>
              <w:right w:val="nil"/>
            </w:tcBorders>
            <w:shd w:val="clear" w:color="auto" w:fill="auto"/>
            <w:vAlign w:val="bottom"/>
          </w:tcPr>
          <w:p w14:paraId="1AE8A6A2" w14:textId="4A52C8A3" w:rsidR="00A26814" w:rsidRPr="003E2D55" w:rsidRDefault="00A26814" w:rsidP="00A26814">
            <w:pPr>
              <w:spacing w:before="40" w:after="40"/>
              <w:jc w:val="right"/>
              <w:rPr>
                <w:rFonts w:cs="Arial"/>
                <w:sz w:val="18"/>
                <w:szCs w:val="18"/>
              </w:rPr>
            </w:pPr>
            <w:r w:rsidRPr="003E2D55">
              <w:rPr>
                <w:rFonts w:cs="Arial"/>
                <w:sz w:val="18"/>
                <w:szCs w:val="18"/>
              </w:rPr>
              <w:t>453</w:t>
            </w:r>
          </w:p>
        </w:tc>
        <w:tc>
          <w:tcPr>
            <w:tcW w:w="737" w:type="dxa"/>
            <w:tcBorders>
              <w:top w:val="nil"/>
              <w:left w:val="nil"/>
              <w:bottom w:val="nil"/>
              <w:right w:val="nil"/>
            </w:tcBorders>
            <w:shd w:val="clear" w:color="auto" w:fill="auto"/>
            <w:vAlign w:val="bottom"/>
          </w:tcPr>
          <w:p w14:paraId="6A4D4421" w14:textId="64E7DEF1" w:rsidR="00A26814" w:rsidRPr="003E2D55" w:rsidRDefault="00A26814" w:rsidP="00A26814">
            <w:pPr>
              <w:spacing w:before="40" w:after="40"/>
              <w:jc w:val="right"/>
              <w:rPr>
                <w:rFonts w:cs="Arial"/>
                <w:sz w:val="18"/>
                <w:szCs w:val="18"/>
              </w:rPr>
            </w:pPr>
            <w:r w:rsidRPr="003E2D55">
              <w:rPr>
                <w:rFonts w:cs="Arial"/>
                <w:sz w:val="18"/>
                <w:szCs w:val="18"/>
              </w:rPr>
              <w:t>41</w:t>
            </w:r>
          </w:p>
        </w:tc>
        <w:tc>
          <w:tcPr>
            <w:tcW w:w="737" w:type="dxa"/>
            <w:tcBorders>
              <w:top w:val="nil"/>
              <w:left w:val="nil"/>
              <w:bottom w:val="nil"/>
              <w:right w:val="nil"/>
            </w:tcBorders>
            <w:shd w:val="clear" w:color="auto" w:fill="auto"/>
            <w:vAlign w:val="bottom"/>
          </w:tcPr>
          <w:p w14:paraId="313B976E" w14:textId="2E60B990" w:rsidR="00A26814" w:rsidRPr="003E2D55" w:rsidRDefault="00A26814" w:rsidP="00A26814">
            <w:pPr>
              <w:spacing w:before="40" w:after="40"/>
              <w:jc w:val="right"/>
              <w:rPr>
                <w:rFonts w:cs="Arial"/>
                <w:sz w:val="18"/>
                <w:szCs w:val="18"/>
              </w:rPr>
            </w:pPr>
            <w:r w:rsidRPr="003E2D55">
              <w:rPr>
                <w:rFonts w:cs="Arial"/>
                <w:sz w:val="18"/>
                <w:szCs w:val="18"/>
              </w:rPr>
              <w:t>107</w:t>
            </w:r>
          </w:p>
        </w:tc>
        <w:tc>
          <w:tcPr>
            <w:tcW w:w="737" w:type="dxa"/>
            <w:tcBorders>
              <w:top w:val="nil"/>
              <w:left w:val="nil"/>
              <w:bottom w:val="nil"/>
              <w:right w:val="nil"/>
            </w:tcBorders>
            <w:shd w:val="clear" w:color="auto" w:fill="auto"/>
            <w:vAlign w:val="bottom"/>
          </w:tcPr>
          <w:p w14:paraId="562D30F3" w14:textId="4FBBA65F" w:rsidR="00A26814" w:rsidRPr="003E2D55" w:rsidRDefault="00A26814" w:rsidP="00A26814">
            <w:pPr>
              <w:spacing w:before="40" w:after="40"/>
              <w:jc w:val="right"/>
              <w:rPr>
                <w:rFonts w:cs="Arial"/>
                <w:sz w:val="18"/>
                <w:szCs w:val="18"/>
              </w:rPr>
            </w:pPr>
            <w:r w:rsidRPr="003E2D55">
              <w:rPr>
                <w:rFonts w:cs="Arial"/>
                <w:sz w:val="18"/>
                <w:szCs w:val="18"/>
              </w:rPr>
              <w:t>10</w:t>
            </w:r>
          </w:p>
        </w:tc>
        <w:tc>
          <w:tcPr>
            <w:tcW w:w="170" w:type="dxa"/>
            <w:tcBorders>
              <w:top w:val="nil"/>
              <w:left w:val="nil"/>
              <w:bottom w:val="nil"/>
              <w:right w:val="nil"/>
            </w:tcBorders>
            <w:shd w:val="clear" w:color="auto" w:fill="auto"/>
            <w:vAlign w:val="bottom"/>
          </w:tcPr>
          <w:p w14:paraId="1EBBB9E3" w14:textId="6CEA7B47"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22D70A9D" w14:textId="7A883ACA" w:rsidR="00A26814" w:rsidRPr="003E2D55" w:rsidRDefault="00A26814" w:rsidP="00A26814">
            <w:pPr>
              <w:spacing w:before="40" w:after="40"/>
              <w:jc w:val="right"/>
              <w:rPr>
                <w:rFonts w:cs="Arial"/>
                <w:sz w:val="18"/>
                <w:szCs w:val="18"/>
              </w:rPr>
            </w:pPr>
            <w:r w:rsidRPr="003E2D55">
              <w:rPr>
                <w:rFonts w:cs="Arial"/>
                <w:sz w:val="18"/>
                <w:szCs w:val="18"/>
              </w:rPr>
              <w:t>9</w:t>
            </w:r>
          </w:p>
        </w:tc>
        <w:tc>
          <w:tcPr>
            <w:tcW w:w="737" w:type="dxa"/>
            <w:tcBorders>
              <w:top w:val="nil"/>
              <w:left w:val="nil"/>
              <w:bottom w:val="nil"/>
              <w:right w:val="nil"/>
            </w:tcBorders>
            <w:shd w:val="clear" w:color="auto" w:fill="auto"/>
            <w:vAlign w:val="bottom"/>
          </w:tcPr>
          <w:p w14:paraId="2EBEF803" w14:textId="57445C14" w:rsidR="00A26814" w:rsidRPr="003E2D55" w:rsidRDefault="00A26814" w:rsidP="00A26814">
            <w:pPr>
              <w:spacing w:before="40" w:after="40"/>
              <w:jc w:val="right"/>
              <w:rPr>
                <w:rFonts w:cs="Arial"/>
                <w:sz w:val="18"/>
                <w:szCs w:val="18"/>
              </w:rPr>
            </w:pPr>
            <w:r w:rsidRPr="003E2D55">
              <w:rPr>
                <w:rFonts w:cs="Arial"/>
                <w:sz w:val="18"/>
                <w:szCs w:val="18"/>
              </w:rPr>
              <w:t>269</w:t>
            </w:r>
          </w:p>
        </w:tc>
        <w:tc>
          <w:tcPr>
            <w:tcW w:w="737" w:type="dxa"/>
            <w:tcBorders>
              <w:top w:val="nil"/>
              <w:left w:val="nil"/>
              <w:bottom w:val="nil"/>
              <w:right w:val="nil"/>
            </w:tcBorders>
            <w:shd w:val="clear" w:color="auto" w:fill="auto"/>
            <w:vAlign w:val="bottom"/>
          </w:tcPr>
          <w:p w14:paraId="6F3D4FCC" w14:textId="748D5F7A" w:rsidR="00A26814" w:rsidRPr="003E2D55" w:rsidRDefault="00A26814" w:rsidP="00A26814">
            <w:pPr>
              <w:spacing w:before="40" w:after="40"/>
              <w:jc w:val="right"/>
              <w:rPr>
                <w:rFonts w:cs="Arial"/>
                <w:sz w:val="18"/>
                <w:szCs w:val="18"/>
              </w:rPr>
            </w:pPr>
            <w:r w:rsidRPr="003E2D55">
              <w:rPr>
                <w:rFonts w:cs="Arial"/>
                <w:sz w:val="18"/>
                <w:szCs w:val="18"/>
              </w:rPr>
              <w:t>525</w:t>
            </w:r>
          </w:p>
        </w:tc>
        <w:tc>
          <w:tcPr>
            <w:tcW w:w="737" w:type="dxa"/>
            <w:tcBorders>
              <w:top w:val="nil"/>
              <w:left w:val="nil"/>
              <w:bottom w:val="nil"/>
              <w:right w:val="nil"/>
            </w:tcBorders>
            <w:shd w:val="clear" w:color="auto" w:fill="auto"/>
            <w:vAlign w:val="bottom"/>
          </w:tcPr>
          <w:p w14:paraId="1E2B349B" w14:textId="6E94C0F5" w:rsidR="00A26814" w:rsidRPr="003E2D55" w:rsidRDefault="00A26814" w:rsidP="00A26814">
            <w:pPr>
              <w:spacing w:before="40" w:after="40"/>
              <w:jc w:val="right"/>
              <w:rPr>
                <w:rFonts w:cs="Arial"/>
                <w:sz w:val="18"/>
                <w:szCs w:val="18"/>
              </w:rPr>
            </w:pPr>
            <w:r w:rsidRPr="003E2D55">
              <w:rPr>
                <w:rFonts w:cs="Arial"/>
                <w:sz w:val="18"/>
                <w:szCs w:val="18"/>
              </w:rPr>
              <w:t>59</w:t>
            </w:r>
          </w:p>
        </w:tc>
        <w:tc>
          <w:tcPr>
            <w:tcW w:w="737" w:type="dxa"/>
            <w:tcBorders>
              <w:top w:val="nil"/>
              <w:left w:val="nil"/>
              <w:bottom w:val="nil"/>
              <w:right w:val="nil"/>
            </w:tcBorders>
            <w:shd w:val="clear" w:color="auto" w:fill="auto"/>
            <w:vAlign w:val="bottom"/>
          </w:tcPr>
          <w:p w14:paraId="7A8DDC92" w14:textId="5BBB57BC" w:rsidR="00A26814" w:rsidRPr="003E2D55" w:rsidRDefault="00A26814" w:rsidP="00A26814">
            <w:pPr>
              <w:spacing w:before="40" w:after="40"/>
              <w:jc w:val="right"/>
              <w:rPr>
                <w:rFonts w:cs="Arial"/>
                <w:sz w:val="18"/>
                <w:szCs w:val="18"/>
              </w:rPr>
            </w:pPr>
            <w:r w:rsidRPr="003E2D55">
              <w:rPr>
                <w:rFonts w:cs="Arial"/>
                <w:sz w:val="18"/>
                <w:szCs w:val="18"/>
              </w:rPr>
              <w:t>68</w:t>
            </w:r>
          </w:p>
        </w:tc>
      </w:tr>
      <w:tr w:rsidR="00A26814" w:rsidRPr="003E2D55" w14:paraId="361559F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CA23919" w14:textId="77777777" w:rsidR="00A26814" w:rsidRPr="003E2D55" w:rsidRDefault="00A26814" w:rsidP="00A26814">
            <w:pPr>
              <w:spacing w:before="40" w:after="40"/>
              <w:rPr>
                <w:rFonts w:cs="Arial"/>
                <w:sz w:val="18"/>
                <w:szCs w:val="18"/>
              </w:rPr>
            </w:pPr>
            <w:r w:rsidRPr="003E2D55">
              <w:rPr>
                <w:rFonts w:cs="Arial"/>
                <w:sz w:val="18"/>
                <w:szCs w:val="18"/>
              </w:rPr>
              <w:t>Casey C</w:t>
            </w:r>
          </w:p>
        </w:tc>
        <w:tc>
          <w:tcPr>
            <w:tcW w:w="737" w:type="dxa"/>
            <w:tcBorders>
              <w:top w:val="nil"/>
              <w:left w:val="single" w:sz="18" w:space="0" w:color="5F497A" w:themeColor="accent4" w:themeShade="BF"/>
              <w:bottom w:val="nil"/>
              <w:right w:val="nil"/>
            </w:tcBorders>
            <w:shd w:val="clear" w:color="auto" w:fill="auto"/>
            <w:vAlign w:val="bottom"/>
          </w:tcPr>
          <w:p w14:paraId="36753977" w14:textId="3D21B451" w:rsidR="00A26814" w:rsidRPr="003E2D55" w:rsidRDefault="00A26814" w:rsidP="00A26814">
            <w:pPr>
              <w:spacing w:before="40" w:after="40"/>
              <w:jc w:val="right"/>
              <w:rPr>
                <w:rFonts w:cs="Arial"/>
                <w:sz w:val="18"/>
                <w:szCs w:val="18"/>
              </w:rPr>
            </w:pPr>
            <w:r w:rsidRPr="003E2D55">
              <w:rPr>
                <w:rFonts w:cs="Arial"/>
                <w:sz w:val="18"/>
                <w:szCs w:val="18"/>
              </w:rPr>
              <w:t>903</w:t>
            </w:r>
          </w:p>
        </w:tc>
        <w:tc>
          <w:tcPr>
            <w:tcW w:w="737" w:type="dxa"/>
            <w:tcBorders>
              <w:top w:val="nil"/>
              <w:left w:val="nil"/>
              <w:bottom w:val="nil"/>
              <w:right w:val="nil"/>
            </w:tcBorders>
            <w:shd w:val="clear" w:color="auto" w:fill="auto"/>
            <w:vAlign w:val="bottom"/>
          </w:tcPr>
          <w:p w14:paraId="4A2A6BB6" w14:textId="510F6C47" w:rsidR="00A26814" w:rsidRPr="003E2D55" w:rsidRDefault="00A26814" w:rsidP="00A26814">
            <w:pPr>
              <w:spacing w:before="40" w:after="40"/>
              <w:jc w:val="right"/>
              <w:rPr>
                <w:rFonts w:cs="Arial"/>
                <w:sz w:val="18"/>
                <w:szCs w:val="18"/>
              </w:rPr>
            </w:pPr>
            <w:r w:rsidRPr="003E2D55">
              <w:rPr>
                <w:rFonts w:cs="Arial"/>
                <w:sz w:val="18"/>
                <w:szCs w:val="18"/>
              </w:rPr>
              <w:t>147</w:t>
            </w:r>
          </w:p>
        </w:tc>
        <w:tc>
          <w:tcPr>
            <w:tcW w:w="737" w:type="dxa"/>
            <w:tcBorders>
              <w:top w:val="nil"/>
              <w:left w:val="nil"/>
              <w:bottom w:val="nil"/>
              <w:right w:val="nil"/>
            </w:tcBorders>
            <w:shd w:val="clear" w:color="auto" w:fill="auto"/>
            <w:vAlign w:val="bottom"/>
          </w:tcPr>
          <w:p w14:paraId="58730B05" w14:textId="57B9CC5D" w:rsidR="00A26814" w:rsidRPr="003E2D55" w:rsidRDefault="00A26814" w:rsidP="00A26814">
            <w:pPr>
              <w:spacing w:before="40" w:after="40"/>
              <w:jc w:val="right"/>
              <w:rPr>
                <w:rFonts w:cs="Arial"/>
                <w:sz w:val="18"/>
                <w:szCs w:val="18"/>
              </w:rPr>
            </w:pPr>
            <w:r w:rsidRPr="003E2D55">
              <w:rPr>
                <w:rFonts w:cs="Arial"/>
                <w:sz w:val="18"/>
                <w:szCs w:val="18"/>
              </w:rPr>
              <w:t>264</w:t>
            </w:r>
          </w:p>
        </w:tc>
        <w:tc>
          <w:tcPr>
            <w:tcW w:w="737" w:type="dxa"/>
            <w:tcBorders>
              <w:top w:val="nil"/>
              <w:left w:val="nil"/>
              <w:bottom w:val="nil"/>
              <w:right w:val="nil"/>
            </w:tcBorders>
            <w:shd w:val="clear" w:color="auto" w:fill="auto"/>
            <w:vAlign w:val="bottom"/>
          </w:tcPr>
          <w:p w14:paraId="507A99DB" w14:textId="0DE1ED32" w:rsidR="00A26814" w:rsidRPr="003E2D55" w:rsidRDefault="00A26814" w:rsidP="00A26814">
            <w:pPr>
              <w:spacing w:before="40" w:after="40"/>
              <w:jc w:val="right"/>
              <w:rPr>
                <w:rFonts w:cs="Arial"/>
                <w:sz w:val="18"/>
                <w:szCs w:val="18"/>
              </w:rPr>
            </w:pPr>
            <w:r w:rsidRPr="003E2D55">
              <w:rPr>
                <w:rFonts w:cs="Arial"/>
                <w:sz w:val="18"/>
                <w:szCs w:val="18"/>
              </w:rPr>
              <w:t>90</w:t>
            </w:r>
          </w:p>
        </w:tc>
        <w:tc>
          <w:tcPr>
            <w:tcW w:w="170" w:type="dxa"/>
            <w:tcBorders>
              <w:top w:val="nil"/>
              <w:left w:val="nil"/>
              <w:bottom w:val="nil"/>
              <w:right w:val="nil"/>
            </w:tcBorders>
            <w:shd w:val="clear" w:color="auto" w:fill="auto"/>
            <w:vAlign w:val="bottom"/>
          </w:tcPr>
          <w:p w14:paraId="0A6D34A3" w14:textId="2F554FBC"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1A890F09" w14:textId="76E0BE74"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17127A21" w14:textId="26F75C35" w:rsidR="00A26814" w:rsidRPr="003E2D55" w:rsidRDefault="00A26814" w:rsidP="00A26814">
            <w:pPr>
              <w:spacing w:before="40" w:after="40"/>
              <w:jc w:val="right"/>
              <w:rPr>
                <w:rFonts w:cs="Arial"/>
                <w:sz w:val="18"/>
                <w:szCs w:val="18"/>
              </w:rPr>
            </w:pPr>
            <w:r w:rsidRPr="003E2D55">
              <w:rPr>
                <w:rFonts w:cs="Arial"/>
                <w:sz w:val="18"/>
                <w:szCs w:val="18"/>
              </w:rPr>
              <w:t>50</w:t>
            </w:r>
          </w:p>
        </w:tc>
        <w:tc>
          <w:tcPr>
            <w:tcW w:w="737" w:type="dxa"/>
            <w:tcBorders>
              <w:top w:val="nil"/>
              <w:left w:val="nil"/>
              <w:bottom w:val="nil"/>
              <w:right w:val="nil"/>
            </w:tcBorders>
            <w:shd w:val="clear" w:color="auto" w:fill="auto"/>
            <w:vAlign w:val="bottom"/>
          </w:tcPr>
          <w:p w14:paraId="3AE3FDC2" w14:textId="7A991EAA" w:rsidR="00A26814" w:rsidRPr="003E2D55" w:rsidRDefault="00A26814" w:rsidP="00A26814">
            <w:pPr>
              <w:spacing w:before="40" w:after="40"/>
              <w:jc w:val="right"/>
              <w:rPr>
                <w:rFonts w:cs="Arial"/>
                <w:sz w:val="18"/>
                <w:szCs w:val="18"/>
              </w:rPr>
            </w:pPr>
            <w:r w:rsidRPr="003E2D55">
              <w:rPr>
                <w:rFonts w:cs="Arial"/>
                <w:sz w:val="18"/>
                <w:szCs w:val="18"/>
              </w:rPr>
              <w:t>130</w:t>
            </w:r>
          </w:p>
        </w:tc>
        <w:tc>
          <w:tcPr>
            <w:tcW w:w="737" w:type="dxa"/>
            <w:tcBorders>
              <w:top w:val="nil"/>
              <w:left w:val="nil"/>
              <w:bottom w:val="nil"/>
              <w:right w:val="nil"/>
            </w:tcBorders>
            <w:shd w:val="clear" w:color="auto" w:fill="auto"/>
            <w:vAlign w:val="bottom"/>
          </w:tcPr>
          <w:p w14:paraId="578AD70A" w14:textId="5F3A4F8D" w:rsidR="00A26814" w:rsidRPr="003E2D55" w:rsidRDefault="00A26814" w:rsidP="00A26814">
            <w:pPr>
              <w:spacing w:before="40" w:after="40"/>
              <w:jc w:val="right"/>
              <w:rPr>
                <w:rFonts w:cs="Arial"/>
                <w:sz w:val="18"/>
                <w:szCs w:val="18"/>
              </w:rPr>
            </w:pPr>
            <w:r w:rsidRPr="003E2D55">
              <w:rPr>
                <w:rFonts w:cs="Arial"/>
                <w:sz w:val="18"/>
                <w:szCs w:val="18"/>
              </w:rPr>
              <w:t>20</w:t>
            </w:r>
          </w:p>
        </w:tc>
        <w:tc>
          <w:tcPr>
            <w:tcW w:w="737" w:type="dxa"/>
            <w:tcBorders>
              <w:top w:val="nil"/>
              <w:left w:val="nil"/>
              <w:bottom w:val="nil"/>
              <w:right w:val="nil"/>
            </w:tcBorders>
            <w:shd w:val="clear" w:color="auto" w:fill="auto"/>
            <w:vAlign w:val="bottom"/>
          </w:tcPr>
          <w:p w14:paraId="04687321" w14:textId="5B0AAE5C" w:rsidR="00A26814" w:rsidRPr="003E2D55" w:rsidRDefault="00A26814" w:rsidP="00A26814">
            <w:pPr>
              <w:spacing w:before="40" w:after="40"/>
              <w:jc w:val="right"/>
              <w:rPr>
                <w:rFonts w:cs="Arial"/>
                <w:sz w:val="18"/>
                <w:szCs w:val="18"/>
              </w:rPr>
            </w:pPr>
            <w:r w:rsidRPr="003E2D55">
              <w:rPr>
                <w:rFonts w:cs="Arial"/>
                <w:sz w:val="18"/>
                <w:szCs w:val="18"/>
              </w:rPr>
              <w:t>92</w:t>
            </w:r>
          </w:p>
        </w:tc>
      </w:tr>
      <w:tr w:rsidR="00A26814" w:rsidRPr="003E2D55" w14:paraId="1FE2AA9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C28E2D8" w14:textId="77777777" w:rsidR="00A26814" w:rsidRPr="003E2D55" w:rsidRDefault="00A26814" w:rsidP="00A26814">
            <w:pPr>
              <w:spacing w:before="40" w:after="40"/>
              <w:rPr>
                <w:rFonts w:cs="Arial"/>
                <w:sz w:val="18"/>
                <w:szCs w:val="18"/>
              </w:rPr>
            </w:pPr>
            <w:r w:rsidRPr="003E2D55">
              <w:rPr>
                <w:rFonts w:cs="Arial"/>
                <w:sz w:val="18"/>
                <w:szCs w:val="18"/>
              </w:rPr>
              <w:t>Central Goldfields S</w:t>
            </w:r>
          </w:p>
        </w:tc>
        <w:tc>
          <w:tcPr>
            <w:tcW w:w="737" w:type="dxa"/>
            <w:tcBorders>
              <w:top w:val="nil"/>
              <w:left w:val="single" w:sz="18" w:space="0" w:color="5F497A" w:themeColor="accent4" w:themeShade="BF"/>
              <w:bottom w:val="nil"/>
              <w:right w:val="nil"/>
            </w:tcBorders>
            <w:shd w:val="clear" w:color="auto" w:fill="auto"/>
            <w:vAlign w:val="bottom"/>
          </w:tcPr>
          <w:p w14:paraId="77936650" w14:textId="43CFECF8" w:rsidR="00A26814" w:rsidRPr="003E2D55" w:rsidRDefault="00A26814" w:rsidP="00A26814">
            <w:pPr>
              <w:spacing w:before="40" w:after="40"/>
              <w:jc w:val="right"/>
              <w:rPr>
                <w:rFonts w:cs="Arial"/>
                <w:sz w:val="18"/>
                <w:szCs w:val="18"/>
              </w:rPr>
            </w:pPr>
            <w:r w:rsidRPr="003E2D55">
              <w:rPr>
                <w:rFonts w:cs="Arial"/>
                <w:sz w:val="18"/>
                <w:szCs w:val="18"/>
              </w:rPr>
              <w:t>98</w:t>
            </w:r>
          </w:p>
        </w:tc>
        <w:tc>
          <w:tcPr>
            <w:tcW w:w="737" w:type="dxa"/>
            <w:tcBorders>
              <w:top w:val="nil"/>
              <w:left w:val="nil"/>
              <w:bottom w:val="nil"/>
              <w:right w:val="nil"/>
            </w:tcBorders>
            <w:shd w:val="clear" w:color="auto" w:fill="auto"/>
            <w:vAlign w:val="bottom"/>
          </w:tcPr>
          <w:p w14:paraId="6CC8EFFD" w14:textId="1AC2AF00" w:rsidR="00A26814" w:rsidRPr="003E2D55" w:rsidRDefault="00A26814" w:rsidP="00A26814">
            <w:pPr>
              <w:spacing w:before="40" w:after="40"/>
              <w:jc w:val="right"/>
              <w:rPr>
                <w:rFonts w:cs="Arial"/>
                <w:sz w:val="18"/>
                <w:szCs w:val="18"/>
              </w:rPr>
            </w:pPr>
            <w:r w:rsidRPr="003E2D55">
              <w:rPr>
                <w:rFonts w:cs="Arial"/>
                <w:sz w:val="18"/>
                <w:szCs w:val="18"/>
              </w:rPr>
              <w:t>15</w:t>
            </w:r>
          </w:p>
        </w:tc>
        <w:tc>
          <w:tcPr>
            <w:tcW w:w="737" w:type="dxa"/>
            <w:tcBorders>
              <w:top w:val="nil"/>
              <w:left w:val="nil"/>
              <w:bottom w:val="nil"/>
              <w:right w:val="nil"/>
            </w:tcBorders>
            <w:shd w:val="clear" w:color="auto" w:fill="auto"/>
            <w:vAlign w:val="bottom"/>
          </w:tcPr>
          <w:p w14:paraId="73ABB086" w14:textId="39C062B9" w:rsidR="00A26814" w:rsidRPr="003E2D55" w:rsidRDefault="00A26814" w:rsidP="00A26814">
            <w:pPr>
              <w:spacing w:before="40" w:after="40"/>
              <w:jc w:val="right"/>
              <w:rPr>
                <w:rFonts w:cs="Arial"/>
                <w:sz w:val="18"/>
                <w:szCs w:val="18"/>
              </w:rPr>
            </w:pPr>
            <w:r w:rsidRPr="003E2D55">
              <w:rPr>
                <w:rFonts w:cs="Arial"/>
                <w:sz w:val="18"/>
                <w:szCs w:val="18"/>
              </w:rPr>
              <w:t>14</w:t>
            </w:r>
          </w:p>
        </w:tc>
        <w:tc>
          <w:tcPr>
            <w:tcW w:w="737" w:type="dxa"/>
            <w:tcBorders>
              <w:top w:val="nil"/>
              <w:left w:val="nil"/>
              <w:bottom w:val="nil"/>
              <w:right w:val="nil"/>
            </w:tcBorders>
            <w:shd w:val="clear" w:color="auto" w:fill="auto"/>
            <w:vAlign w:val="bottom"/>
          </w:tcPr>
          <w:p w14:paraId="1C9FE903" w14:textId="2498373D" w:rsidR="00A26814" w:rsidRPr="003E2D55" w:rsidRDefault="00A26814" w:rsidP="00A26814">
            <w:pPr>
              <w:spacing w:before="40" w:after="40"/>
              <w:jc w:val="right"/>
              <w:rPr>
                <w:rFonts w:cs="Arial"/>
                <w:sz w:val="18"/>
                <w:szCs w:val="18"/>
              </w:rPr>
            </w:pPr>
            <w:r w:rsidRPr="003E2D55">
              <w:rPr>
                <w:rFonts w:cs="Arial"/>
                <w:sz w:val="18"/>
                <w:szCs w:val="18"/>
              </w:rPr>
              <w:t>1</w:t>
            </w:r>
          </w:p>
        </w:tc>
        <w:tc>
          <w:tcPr>
            <w:tcW w:w="170" w:type="dxa"/>
            <w:tcBorders>
              <w:top w:val="nil"/>
              <w:left w:val="nil"/>
              <w:bottom w:val="nil"/>
              <w:right w:val="nil"/>
            </w:tcBorders>
            <w:shd w:val="clear" w:color="auto" w:fill="auto"/>
            <w:vAlign w:val="bottom"/>
          </w:tcPr>
          <w:p w14:paraId="3DBAD3F5" w14:textId="7E8BE570"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43623CDD" w14:textId="57EE086D" w:rsidR="00A26814" w:rsidRPr="003E2D55" w:rsidRDefault="00A26814" w:rsidP="00A26814">
            <w:pPr>
              <w:spacing w:before="40" w:after="40"/>
              <w:jc w:val="right"/>
              <w:rPr>
                <w:rFonts w:cs="Arial"/>
                <w:sz w:val="18"/>
                <w:szCs w:val="18"/>
              </w:rPr>
            </w:pPr>
            <w:r w:rsidRPr="003E2D55">
              <w:rPr>
                <w:rFonts w:cs="Arial"/>
                <w:sz w:val="18"/>
                <w:szCs w:val="18"/>
              </w:rPr>
              <w:t>244</w:t>
            </w:r>
          </w:p>
        </w:tc>
        <w:tc>
          <w:tcPr>
            <w:tcW w:w="737" w:type="dxa"/>
            <w:tcBorders>
              <w:top w:val="nil"/>
              <w:left w:val="nil"/>
              <w:bottom w:val="nil"/>
              <w:right w:val="nil"/>
            </w:tcBorders>
            <w:shd w:val="clear" w:color="auto" w:fill="auto"/>
            <w:vAlign w:val="bottom"/>
          </w:tcPr>
          <w:p w14:paraId="2AC5C27A" w14:textId="61C6187C" w:rsidR="00A26814" w:rsidRPr="003E2D55" w:rsidRDefault="00A26814" w:rsidP="00A26814">
            <w:pPr>
              <w:spacing w:before="40" w:after="40"/>
              <w:jc w:val="right"/>
              <w:rPr>
                <w:rFonts w:cs="Arial"/>
                <w:sz w:val="18"/>
                <w:szCs w:val="18"/>
              </w:rPr>
            </w:pPr>
            <w:r w:rsidRPr="003E2D55">
              <w:rPr>
                <w:rFonts w:cs="Arial"/>
                <w:sz w:val="18"/>
                <w:szCs w:val="18"/>
              </w:rPr>
              <w:t>770</w:t>
            </w:r>
          </w:p>
        </w:tc>
        <w:tc>
          <w:tcPr>
            <w:tcW w:w="737" w:type="dxa"/>
            <w:tcBorders>
              <w:top w:val="nil"/>
              <w:left w:val="nil"/>
              <w:bottom w:val="nil"/>
              <w:right w:val="nil"/>
            </w:tcBorders>
            <w:shd w:val="clear" w:color="auto" w:fill="auto"/>
            <w:vAlign w:val="bottom"/>
          </w:tcPr>
          <w:p w14:paraId="7FC29423" w14:textId="07A6338D" w:rsidR="00A26814" w:rsidRPr="003E2D55" w:rsidRDefault="00A26814" w:rsidP="00A26814">
            <w:pPr>
              <w:spacing w:before="40" w:after="40"/>
              <w:jc w:val="right"/>
              <w:rPr>
                <w:rFonts w:cs="Arial"/>
                <w:sz w:val="18"/>
                <w:szCs w:val="18"/>
              </w:rPr>
            </w:pPr>
            <w:r w:rsidRPr="003E2D55">
              <w:rPr>
                <w:rFonts w:cs="Arial"/>
                <w:sz w:val="18"/>
                <w:szCs w:val="18"/>
              </w:rPr>
              <w:t>118</w:t>
            </w:r>
          </w:p>
        </w:tc>
        <w:tc>
          <w:tcPr>
            <w:tcW w:w="737" w:type="dxa"/>
            <w:tcBorders>
              <w:top w:val="nil"/>
              <w:left w:val="nil"/>
              <w:bottom w:val="nil"/>
              <w:right w:val="nil"/>
            </w:tcBorders>
            <w:shd w:val="clear" w:color="auto" w:fill="auto"/>
            <w:vAlign w:val="bottom"/>
          </w:tcPr>
          <w:p w14:paraId="66BA1067" w14:textId="0E146E49" w:rsidR="00A26814" w:rsidRPr="003E2D55" w:rsidRDefault="00A26814" w:rsidP="00A26814">
            <w:pPr>
              <w:spacing w:before="40" w:after="40"/>
              <w:jc w:val="right"/>
              <w:rPr>
                <w:rFonts w:cs="Arial"/>
                <w:sz w:val="18"/>
                <w:szCs w:val="18"/>
              </w:rPr>
            </w:pPr>
            <w:r w:rsidRPr="003E2D55">
              <w:rPr>
                <w:rFonts w:cs="Arial"/>
                <w:sz w:val="18"/>
                <w:szCs w:val="18"/>
              </w:rPr>
              <w:t>14</w:t>
            </w:r>
          </w:p>
        </w:tc>
        <w:tc>
          <w:tcPr>
            <w:tcW w:w="737" w:type="dxa"/>
            <w:tcBorders>
              <w:top w:val="nil"/>
              <w:left w:val="nil"/>
              <w:bottom w:val="nil"/>
              <w:right w:val="nil"/>
            </w:tcBorders>
            <w:shd w:val="clear" w:color="auto" w:fill="auto"/>
            <w:vAlign w:val="bottom"/>
          </w:tcPr>
          <w:p w14:paraId="0B142BD8" w14:textId="40D793A0" w:rsidR="00A26814" w:rsidRPr="003E2D55" w:rsidRDefault="00A26814" w:rsidP="00A26814">
            <w:pPr>
              <w:spacing w:before="40" w:after="40"/>
              <w:jc w:val="right"/>
              <w:rPr>
                <w:rFonts w:cs="Arial"/>
                <w:sz w:val="18"/>
                <w:szCs w:val="18"/>
              </w:rPr>
            </w:pPr>
            <w:r w:rsidRPr="003E2D55">
              <w:rPr>
                <w:rFonts w:cs="Arial"/>
                <w:sz w:val="18"/>
                <w:szCs w:val="18"/>
              </w:rPr>
              <w:t>6</w:t>
            </w:r>
          </w:p>
        </w:tc>
      </w:tr>
      <w:tr w:rsidR="00A26814" w:rsidRPr="003E2D55" w14:paraId="4909EFF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5B6B094" w14:textId="77777777" w:rsidR="00A26814" w:rsidRPr="003E2D55" w:rsidRDefault="00A26814" w:rsidP="00A26814">
            <w:pPr>
              <w:spacing w:before="40" w:after="40"/>
              <w:rPr>
                <w:rFonts w:cs="Arial"/>
                <w:sz w:val="18"/>
                <w:szCs w:val="18"/>
              </w:rPr>
            </w:pPr>
            <w:r w:rsidRPr="003E2D55">
              <w:rPr>
                <w:rFonts w:cs="Arial"/>
                <w:sz w:val="18"/>
                <w:szCs w:val="18"/>
              </w:rPr>
              <w:t>Colac Otway S</w:t>
            </w:r>
          </w:p>
        </w:tc>
        <w:tc>
          <w:tcPr>
            <w:tcW w:w="737" w:type="dxa"/>
            <w:tcBorders>
              <w:top w:val="nil"/>
              <w:left w:val="single" w:sz="18" w:space="0" w:color="5F497A" w:themeColor="accent4" w:themeShade="BF"/>
              <w:bottom w:val="nil"/>
              <w:right w:val="nil"/>
            </w:tcBorders>
            <w:shd w:val="clear" w:color="auto" w:fill="auto"/>
            <w:vAlign w:val="bottom"/>
          </w:tcPr>
          <w:p w14:paraId="5CA0FC2D" w14:textId="2947484E" w:rsidR="00A26814" w:rsidRPr="003E2D55" w:rsidRDefault="00A26814" w:rsidP="00A26814">
            <w:pPr>
              <w:spacing w:before="40" w:after="40"/>
              <w:jc w:val="right"/>
              <w:rPr>
                <w:rFonts w:cs="Arial"/>
                <w:sz w:val="18"/>
                <w:szCs w:val="18"/>
              </w:rPr>
            </w:pPr>
            <w:r w:rsidRPr="003E2D55">
              <w:rPr>
                <w:rFonts w:cs="Arial"/>
                <w:sz w:val="18"/>
                <w:szCs w:val="18"/>
              </w:rPr>
              <w:t>144</w:t>
            </w:r>
          </w:p>
        </w:tc>
        <w:tc>
          <w:tcPr>
            <w:tcW w:w="737" w:type="dxa"/>
            <w:tcBorders>
              <w:top w:val="nil"/>
              <w:left w:val="nil"/>
              <w:bottom w:val="nil"/>
              <w:right w:val="nil"/>
            </w:tcBorders>
            <w:shd w:val="clear" w:color="auto" w:fill="auto"/>
            <w:vAlign w:val="bottom"/>
          </w:tcPr>
          <w:p w14:paraId="26F71F18" w14:textId="2EAD9062" w:rsidR="00A26814" w:rsidRPr="003E2D55" w:rsidRDefault="00A26814" w:rsidP="00A26814">
            <w:pPr>
              <w:spacing w:before="40" w:after="40"/>
              <w:jc w:val="right"/>
              <w:rPr>
                <w:rFonts w:cs="Arial"/>
                <w:sz w:val="18"/>
                <w:szCs w:val="18"/>
              </w:rPr>
            </w:pPr>
            <w:r w:rsidRPr="003E2D55">
              <w:rPr>
                <w:rFonts w:cs="Arial"/>
                <w:sz w:val="18"/>
                <w:szCs w:val="18"/>
              </w:rPr>
              <w:t>16</w:t>
            </w:r>
          </w:p>
        </w:tc>
        <w:tc>
          <w:tcPr>
            <w:tcW w:w="737" w:type="dxa"/>
            <w:tcBorders>
              <w:top w:val="nil"/>
              <w:left w:val="nil"/>
              <w:bottom w:val="nil"/>
              <w:right w:val="nil"/>
            </w:tcBorders>
            <w:shd w:val="clear" w:color="auto" w:fill="auto"/>
            <w:vAlign w:val="bottom"/>
          </w:tcPr>
          <w:p w14:paraId="71709FE7" w14:textId="5388D458" w:rsidR="00A26814" w:rsidRPr="003E2D55" w:rsidRDefault="00A26814" w:rsidP="00A26814">
            <w:pPr>
              <w:spacing w:before="40" w:after="40"/>
              <w:jc w:val="right"/>
              <w:rPr>
                <w:rFonts w:cs="Arial"/>
                <w:sz w:val="18"/>
                <w:szCs w:val="18"/>
              </w:rPr>
            </w:pPr>
            <w:r w:rsidRPr="003E2D55">
              <w:rPr>
                <w:rFonts w:cs="Arial"/>
                <w:sz w:val="18"/>
                <w:szCs w:val="18"/>
              </w:rPr>
              <w:t>23</w:t>
            </w:r>
          </w:p>
        </w:tc>
        <w:tc>
          <w:tcPr>
            <w:tcW w:w="737" w:type="dxa"/>
            <w:tcBorders>
              <w:top w:val="nil"/>
              <w:left w:val="nil"/>
              <w:bottom w:val="nil"/>
              <w:right w:val="nil"/>
            </w:tcBorders>
            <w:shd w:val="clear" w:color="auto" w:fill="auto"/>
            <w:vAlign w:val="bottom"/>
          </w:tcPr>
          <w:p w14:paraId="08B34600" w14:textId="43471E84" w:rsidR="00A26814" w:rsidRPr="003E2D55" w:rsidRDefault="00A26814" w:rsidP="00A26814">
            <w:pPr>
              <w:spacing w:before="40" w:after="4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609122D3" w14:textId="1A6A9309"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3AF1D4AA" w14:textId="05977506" w:rsidR="00A26814" w:rsidRPr="003E2D55" w:rsidRDefault="00A26814" w:rsidP="00A26814">
            <w:pPr>
              <w:spacing w:before="40" w:after="40"/>
              <w:jc w:val="right"/>
              <w:rPr>
                <w:rFonts w:cs="Arial"/>
                <w:sz w:val="18"/>
                <w:szCs w:val="18"/>
              </w:rPr>
            </w:pPr>
            <w:r w:rsidRPr="003E2D55">
              <w:rPr>
                <w:rFonts w:cs="Arial"/>
                <w:sz w:val="18"/>
                <w:szCs w:val="18"/>
              </w:rPr>
              <w:t>57</w:t>
            </w:r>
          </w:p>
        </w:tc>
        <w:tc>
          <w:tcPr>
            <w:tcW w:w="737" w:type="dxa"/>
            <w:tcBorders>
              <w:top w:val="nil"/>
              <w:left w:val="nil"/>
              <w:bottom w:val="nil"/>
              <w:right w:val="nil"/>
            </w:tcBorders>
            <w:shd w:val="clear" w:color="auto" w:fill="auto"/>
            <w:vAlign w:val="bottom"/>
          </w:tcPr>
          <w:p w14:paraId="6A7859B1" w14:textId="1E7115DD" w:rsidR="00A26814" w:rsidRPr="003E2D55" w:rsidRDefault="00A26814" w:rsidP="00A26814">
            <w:pPr>
              <w:spacing w:before="40" w:after="40"/>
              <w:jc w:val="right"/>
              <w:rPr>
                <w:rFonts w:cs="Arial"/>
                <w:sz w:val="18"/>
                <w:szCs w:val="18"/>
              </w:rPr>
            </w:pPr>
            <w:r w:rsidRPr="003E2D55">
              <w:rPr>
                <w:rFonts w:cs="Arial"/>
                <w:sz w:val="18"/>
                <w:szCs w:val="18"/>
              </w:rPr>
              <w:t>773</w:t>
            </w:r>
          </w:p>
        </w:tc>
        <w:tc>
          <w:tcPr>
            <w:tcW w:w="737" w:type="dxa"/>
            <w:tcBorders>
              <w:top w:val="nil"/>
              <w:left w:val="nil"/>
              <w:bottom w:val="nil"/>
              <w:right w:val="nil"/>
            </w:tcBorders>
            <w:shd w:val="clear" w:color="auto" w:fill="auto"/>
            <w:vAlign w:val="bottom"/>
          </w:tcPr>
          <w:p w14:paraId="2615D6A2" w14:textId="736078FA" w:rsidR="00A26814" w:rsidRPr="003E2D55" w:rsidRDefault="00A26814" w:rsidP="00A26814">
            <w:pPr>
              <w:spacing w:before="40" w:after="40"/>
              <w:jc w:val="right"/>
              <w:rPr>
                <w:rFonts w:cs="Arial"/>
                <w:sz w:val="18"/>
                <w:szCs w:val="18"/>
              </w:rPr>
            </w:pPr>
            <w:r w:rsidRPr="003E2D55">
              <w:rPr>
                <w:rFonts w:cs="Arial"/>
                <w:sz w:val="18"/>
                <w:szCs w:val="18"/>
              </w:rPr>
              <w:t>599</w:t>
            </w:r>
          </w:p>
        </w:tc>
        <w:tc>
          <w:tcPr>
            <w:tcW w:w="737" w:type="dxa"/>
            <w:tcBorders>
              <w:top w:val="nil"/>
              <w:left w:val="nil"/>
              <w:bottom w:val="nil"/>
              <w:right w:val="nil"/>
            </w:tcBorders>
            <w:shd w:val="clear" w:color="auto" w:fill="auto"/>
            <w:vAlign w:val="bottom"/>
          </w:tcPr>
          <w:p w14:paraId="2ED7DDF1" w14:textId="570E09C7" w:rsidR="00A26814" w:rsidRPr="003E2D55" w:rsidRDefault="00A26814" w:rsidP="00A26814">
            <w:pPr>
              <w:spacing w:before="40" w:after="40"/>
              <w:jc w:val="right"/>
              <w:rPr>
                <w:rFonts w:cs="Arial"/>
                <w:sz w:val="18"/>
                <w:szCs w:val="18"/>
              </w:rPr>
            </w:pPr>
            <w:r w:rsidRPr="003E2D55">
              <w:rPr>
                <w:rFonts w:cs="Arial"/>
                <w:sz w:val="18"/>
                <w:szCs w:val="18"/>
              </w:rPr>
              <w:t>13</w:t>
            </w:r>
          </w:p>
        </w:tc>
        <w:tc>
          <w:tcPr>
            <w:tcW w:w="737" w:type="dxa"/>
            <w:tcBorders>
              <w:top w:val="nil"/>
              <w:left w:val="nil"/>
              <w:bottom w:val="nil"/>
              <w:right w:val="nil"/>
            </w:tcBorders>
            <w:shd w:val="clear" w:color="auto" w:fill="auto"/>
            <w:vAlign w:val="bottom"/>
          </w:tcPr>
          <w:p w14:paraId="2A6A3F44" w14:textId="5099F3FB" w:rsidR="00A26814" w:rsidRPr="003E2D55" w:rsidRDefault="00A26814" w:rsidP="00A26814">
            <w:pPr>
              <w:spacing w:before="40" w:after="40"/>
              <w:jc w:val="right"/>
              <w:rPr>
                <w:rFonts w:cs="Arial"/>
                <w:sz w:val="18"/>
                <w:szCs w:val="18"/>
              </w:rPr>
            </w:pPr>
            <w:r w:rsidRPr="003E2D55">
              <w:rPr>
                <w:rFonts w:cs="Arial"/>
                <w:sz w:val="18"/>
                <w:szCs w:val="18"/>
              </w:rPr>
              <w:t>3</w:t>
            </w:r>
          </w:p>
        </w:tc>
      </w:tr>
      <w:tr w:rsidR="00A26814" w:rsidRPr="003E2D55" w14:paraId="432FE1C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D46BB08" w14:textId="77777777" w:rsidR="00A26814" w:rsidRPr="003E2D55" w:rsidRDefault="00A26814" w:rsidP="00A26814">
            <w:pPr>
              <w:spacing w:before="40" w:after="40"/>
              <w:rPr>
                <w:rFonts w:cs="Arial"/>
                <w:sz w:val="18"/>
                <w:szCs w:val="18"/>
              </w:rPr>
            </w:pPr>
            <w:r w:rsidRPr="003E2D55">
              <w:rPr>
                <w:rFonts w:cs="Arial"/>
                <w:sz w:val="18"/>
                <w:szCs w:val="18"/>
              </w:rPr>
              <w:t>Corangamite S</w:t>
            </w:r>
          </w:p>
        </w:tc>
        <w:tc>
          <w:tcPr>
            <w:tcW w:w="737" w:type="dxa"/>
            <w:tcBorders>
              <w:top w:val="nil"/>
              <w:left w:val="single" w:sz="18" w:space="0" w:color="5F497A" w:themeColor="accent4" w:themeShade="BF"/>
              <w:bottom w:val="nil"/>
              <w:right w:val="nil"/>
            </w:tcBorders>
            <w:shd w:val="clear" w:color="auto" w:fill="auto"/>
            <w:vAlign w:val="bottom"/>
          </w:tcPr>
          <w:p w14:paraId="3D81EA83" w14:textId="3D31B21C" w:rsidR="00A26814" w:rsidRPr="003E2D55" w:rsidRDefault="00A26814" w:rsidP="00A26814">
            <w:pPr>
              <w:spacing w:before="40" w:after="40"/>
              <w:jc w:val="right"/>
              <w:rPr>
                <w:rFonts w:cs="Arial"/>
                <w:sz w:val="18"/>
                <w:szCs w:val="18"/>
              </w:rPr>
            </w:pPr>
            <w:r w:rsidRPr="003E2D55">
              <w:rPr>
                <w:rFonts w:cs="Arial"/>
                <w:sz w:val="18"/>
                <w:szCs w:val="18"/>
              </w:rPr>
              <w:t>163</w:t>
            </w:r>
          </w:p>
        </w:tc>
        <w:tc>
          <w:tcPr>
            <w:tcW w:w="737" w:type="dxa"/>
            <w:tcBorders>
              <w:top w:val="nil"/>
              <w:left w:val="nil"/>
              <w:bottom w:val="nil"/>
              <w:right w:val="nil"/>
            </w:tcBorders>
            <w:shd w:val="clear" w:color="auto" w:fill="auto"/>
            <w:vAlign w:val="bottom"/>
          </w:tcPr>
          <w:p w14:paraId="3C0E7DCE" w14:textId="368AB26A" w:rsidR="00A26814" w:rsidRPr="003E2D55" w:rsidRDefault="00A26814" w:rsidP="00A26814">
            <w:pPr>
              <w:spacing w:before="40" w:after="40"/>
              <w:jc w:val="right"/>
              <w:rPr>
                <w:rFonts w:cs="Arial"/>
                <w:sz w:val="18"/>
                <w:szCs w:val="18"/>
              </w:rPr>
            </w:pPr>
            <w:r w:rsidRPr="003E2D55">
              <w:rPr>
                <w:rFonts w:cs="Arial"/>
                <w:sz w:val="18"/>
                <w:szCs w:val="18"/>
              </w:rPr>
              <w:t>15</w:t>
            </w:r>
          </w:p>
        </w:tc>
        <w:tc>
          <w:tcPr>
            <w:tcW w:w="737" w:type="dxa"/>
            <w:tcBorders>
              <w:top w:val="nil"/>
              <w:left w:val="nil"/>
              <w:bottom w:val="nil"/>
              <w:right w:val="nil"/>
            </w:tcBorders>
            <w:shd w:val="clear" w:color="auto" w:fill="auto"/>
            <w:vAlign w:val="bottom"/>
          </w:tcPr>
          <w:p w14:paraId="12FD15FD" w14:textId="01EB68F9" w:rsidR="00A26814" w:rsidRPr="003E2D55" w:rsidRDefault="00A26814" w:rsidP="00A26814">
            <w:pPr>
              <w:spacing w:before="40" w:after="40"/>
              <w:jc w:val="right"/>
              <w:rPr>
                <w:rFonts w:cs="Arial"/>
                <w:sz w:val="18"/>
                <w:szCs w:val="18"/>
              </w:rPr>
            </w:pPr>
            <w:r w:rsidRPr="003E2D55">
              <w:rPr>
                <w:rFonts w:cs="Arial"/>
                <w:sz w:val="18"/>
                <w:szCs w:val="18"/>
              </w:rPr>
              <w:t>9</w:t>
            </w:r>
          </w:p>
        </w:tc>
        <w:tc>
          <w:tcPr>
            <w:tcW w:w="737" w:type="dxa"/>
            <w:tcBorders>
              <w:top w:val="nil"/>
              <w:left w:val="nil"/>
              <w:bottom w:val="nil"/>
              <w:right w:val="nil"/>
            </w:tcBorders>
            <w:shd w:val="clear" w:color="auto" w:fill="auto"/>
            <w:vAlign w:val="bottom"/>
          </w:tcPr>
          <w:p w14:paraId="12414FB3" w14:textId="3F26D17A" w:rsidR="00A26814" w:rsidRPr="003E2D55" w:rsidRDefault="00A26814" w:rsidP="00A26814">
            <w:pPr>
              <w:spacing w:before="40" w:after="4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6E9B2FC3" w14:textId="4F3F17ED"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52842C59" w14:textId="4285D170" w:rsidR="00A26814" w:rsidRPr="003E2D55" w:rsidRDefault="00A26814" w:rsidP="00A26814">
            <w:pPr>
              <w:spacing w:before="40" w:after="40"/>
              <w:jc w:val="right"/>
              <w:rPr>
                <w:rFonts w:cs="Arial"/>
                <w:sz w:val="18"/>
                <w:szCs w:val="18"/>
              </w:rPr>
            </w:pPr>
            <w:r w:rsidRPr="003E2D55">
              <w:rPr>
                <w:rFonts w:cs="Arial"/>
                <w:sz w:val="18"/>
                <w:szCs w:val="18"/>
              </w:rPr>
              <w:t>218</w:t>
            </w:r>
          </w:p>
        </w:tc>
        <w:tc>
          <w:tcPr>
            <w:tcW w:w="737" w:type="dxa"/>
            <w:tcBorders>
              <w:top w:val="nil"/>
              <w:left w:val="nil"/>
              <w:bottom w:val="nil"/>
              <w:right w:val="nil"/>
            </w:tcBorders>
            <w:shd w:val="clear" w:color="auto" w:fill="auto"/>
            <w:vAlign w:val="bottom"/>
          </w:tcPr>
          <w:p w14:paraId="33A62A60" w14:textId="22C09692" w:rsidR="00A26814" w:rsidRPr="003E2D55" w:rsidRDefault="00A26814" w:rsidP="00A26814">
            <w:pPr>
              <w:spacing w:before="40" w:after="40"/>
              <w:jc w:val="right"/>
              <w:rPr>
                <w:rFonts w:cs="Arial"/>
                <w:sz w:val="18"/>
                <w:szCs w:val="18"/>
              </w:rPr>
            </w:pPr>
            <w:r w:rsidRPr="003E2D55">
              <w:rPr>
                <w:rFonts w:cs="Arial"/>
                <w:sz w:val="18"/>
                <w:szCs w:val="18"/>
              </w:rPr>
              <w:t>1,514</w:t>
            </w:r>
          </w:p>
        </w:tc>
        <w:tc>
          <w:tcPr>
            <w:tcW w:w="737" w:type="dxa"/>
            <w:tcBorders>
              <w:top w:val="nil"/>
              <w:left w:val="nil"/>
              <w:bottom w:val="nil"/>
              <w:right w:val="nil"/>
            </w:tcBorders>
            <w:shd w:val="clear" w:color="auto" w:fill="auto"/>
            <w:vAlign w:val="bottom"/>
          </w:tcPr>
          <w:p w14:paraId="08B468C4" w14:textId="515D338F" w:rsidR="00A26814" w:rsidRPr="003E2D55" w:rsidRDefault="00A26814" w:rsidP="00A26814">
            <w:pPr>
              <w:spacing w:before="40" w:after="40"/>
              <w:jc w:val="right"/>
              <w:rPr>
                <w:rFonts w:cs="Arial"/>
                <w:sz w:val="18"/>
                <w:szCs w:val="18"/>
              </w:rPr>
            </w:pPr>
            <w:r w:rsidRPr="003E2D55">
              <w:rPr>
                <w:rFonts w:cs="Arial"/>
                <w:sz w:val="18"/>
                <w:szCs w:val="18"/>
              </w:rPr>
              <w:t>405</w:t>
            </w:r>
          </w:p>
        </w:tc>
        <w:tc>
          <w:tcPr>
            <w:tcW w:w="737" w:type="dxa"/>
            <w:tcBorders>
              <w:top w:val="nil"/>
              <w:left w:val="nil"/>
              <w:bottom w:val="nil"/>
              <w:right w:val="nil"/>
            </w:tcBorders>
            <w:shd w:val="clear" w:color="auto" w:fill="auto"/>
            <w:vAlign w:val="bottom"/>
          </w:tcPr>
          <w:p w14:paraId="0C23CA0C" w14:textId="7F8FCA97" w:rsidR="00A26814" w:rsidRPr="003E2D55" w:rsidRDefault="00A26814" w:rsidP="00A26814">
            <w:pPr>
              <w:spacing w:before="40" w:after="40"/>
              <w:jc w:val="right"/>
              <w:rPr>
                <w:rFonts w:cs="Arial"/>
                <w:sz w:val="18"/>
                <w:szCs w:val="18"/>
              </w:rPr>
            </w:pPr>
            <w:r w:rsidRPr="003E2D55">
              <w:rPr>
                <w:rFonts w:cs="Arial"/>
                <w:sz w:val="18"/>
                <w:szCs w:val="18"/>
              </w:rPr>
              <w:t>44</w:t>
            </w:r>
          </w:p>
        </w:tc>
        <w:tc>
          <w:tcPr>
            <w:tcW w:w="737" w:type="dxa"/>
            <w:tcBorders>
              <w:top w:val="nil"/>
              <w:left w:val="nil"/>
              <w:bottom w:val="nil"/>
              <w:right w:val="nil"/>
            </w:tcBorders>
            <w:shd w:val="clear" w:color="auto" w:fill="auto"/>
            <w:vAlign w:val="bottom"/>
          </w:tcPr>
          <w:p w14:paraId="540AF398" w14:textId="4A5BF44C" w:rsidR="00A26814" w:rsidRPr="003E2D55" w:rsidRDefault="00A26814" w:rsidP="00A26814">
            <w:pPr>
              <w:spacing w:before="40" w:after="40"/>
              <w:jc w:val="right"/>
              <w:rPr>
                <w:rFonts w:cs="Arial"/>
                <w:sz w:val="18"/>
                <w:szCs w:val="18"/>
              </w:rPr>
            </w:pPr>
            <w:r w:rsidRPr="003E2D55">
              <w:rPr>
                <w:rFonts w:cs="Arial"/>
                <w:sz w:val="18"/>
                <w:szCs w:val="18"/>
              </w:rPr>
              <w:t>0</w:t>
            </w:r>
          </w:p>
        </w:tc>
      </w:tr>
      <w:tr w:rsidR="00A26814" w:rsidRPr="003E2D55" w14:paraId="2BE4636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EF4E3FD" w14:textId="77777777" w:rsidR="00A26814" w:rsidRPr="003E2D55" w:rsidRDefault="00A26814" w:rsidP="00A26814">
            <w:pPr>
              <w:spacing w:before="40" w:after="40"/>
              <w:rPr>
                <w:rFonts w:cs="Arial"/>
                <w:sz w:val="18"/>
                <w:szCs w:val="18"/>
              </w:rPr>
            </w:pPr>
            <w:r w:rsidRPr="003E2D55">
              <w:rPr>
                <w:rFonts w:cs="Arial"/>
                <w:sz w:val="18"/>
                <w:szCs w:val="18"/>
              </w:rPr>
              <w:t>Darebin C</w:t>
            </w:r>
          </w:p>
        </w:tc>
        <w:tc>
          <w:tcPr>
            <w:tcW w:w="737" w:type="dxa"/>
            <w:tcBorders>
              <w:top w:val="nil"/>
              <w:left w:val="single" w:sz="18" w:space="0" w:color="5F497A" w:themeColor="accent4" w:themeShade="BF"/>
              <w:bottom w:val="nil"/>
              <w:right w:val="nil"/>
            </w:tcBorders>
            <w:shd w:val="clear" w:color="auto" w:fill="auto"/>
            <w:vAlign w:val="bottom"/>
          </w:tcPr>
          <w:p w14:paraId="33DB14D6" w14:textId="44B7E1C0" w:rsidR="00A26814" w:rsidRPr="003E2D55" w:rsidRDefault="00A26814" w:rsidP="00A26814">
            <w:pPr>
              <w:spacing w:before="40" w:after="40"/>
              <w:jc w:val="right"/>
              <w:rPr>
                <w:rFonts w:cs="Arial"/>
                <w:sz w:val="18"/>
                <w:szCs w:val="18"/>
              </w:rPr>
            </w:pPr>
            <w:r w:rsidRPr="003E2D55">
              <w:rPr>
                <w:rFonts w:cs="Arial"/>
                <w:sz w:val="18"/>
                <w:szCs w:val="18"/>
              </w:rPr>
              <w:t>253</w:t>
            </w:r>
          </w:p>
        </w:tc>
        <w:tc>
          <w:tcPr>
            <w:tcW w:w="737" w:type="dxa"/>
            <w:tcBorders>
              <w:top w:val="nil"/>
              <w:left w:val="nil"/>
              <w:bottom w:val="nil"/>
              <w:right w:val="nil"/>
            </w:tcBorders>
            <w:shd w:val="clear" w:color="auto" w:fill="auto"/>
            <w:vAlign w:val="bottom"/>
          </w:tcPr>
          <w:p w14:paraId="76BB2ADC" w14:textId="5D5C49EE" w:rsidR="00A26814" w:rsidRPr="003E2D55" w:rsidRDefault="00A26814" w:rsidP="00A26814">
            <w:pPr>
              <w:spacing w:before="40" w:after="40"/>
              <w:jc w:val="right"/>
              <w:rPr>
                <w:rFonts w:cs="Arial"/>
                <w:sz w:val="18"/>
                <w:szCs w:val="18"/>
              </w:rPr>
            </w:pPr>
            <w:r w:rsidRPr="003E2D55">
              <w:rPr>
                <w:rFonts w:cs="Arial"/>
                <w:sz w:val="18"/>
                <w:szCs w:val="18"/>
              </w:rPr>
              <w:t>109</w:t>
            </w:r>
          </w:p>
        </w:tc>
        <w:tc>
          <w:tcPr>
            <w:tcW w:w="737" w:type="dxa"/>
            <w:tcBorders>
              <w:top w:val="nil"/>
              <w:left w:val="nil"/>
              <w:bottom w:val="nil"/>
              <w:right w:val="nil"/>
            </w:tcBorders>
            <w:shd w:val="clear" w:color="auto" w:fill="auto"/>
            <w:vAlign w:val="bottom"/>
          </w:tcPr>
          <w:p w14:paraId="056820F4" w14:textId="388D1EBB" w:rsidR="00A26814" w:rsidRPr="003E2D55" w:rsidRDefault="00A26814" w:rsidP="00A26814">
            <w:pPr>
              <w:spacing w:before="40" w:after="40"/>
              <w:jc w:val="right"/>
              <w:rPr>
                <w:rFonts w:cs="Arial"/>
                <w:sz w:val="18"/>
                <w:szCs w:val="18"/>
              </w:rPr>
            </w:pPr>
            <w:r w:rsidRPr="003E2D55">
              <w:rPr>
                <w:rFonts w:cs="Arial"/>
                <w:sz w:val="18"/>
                <w:szCs w:val="18"/>
              </w:rPr>
              <w:t>106</w:t>
            </w:r>
          </w:p>
        </w:tc>
        <w:tc>
          <w:tcPr>
            <w:tcW w:w="737" w:type="dxa"/>
            <w:tcBorders>
              <w:top w:val="nil"/>
              <w:left w:val="nil"/>
              <w:bottom w:val="nil"/>
              <w:right w:val="nil"/>
            </w:tcBorders>
            <w:shd w:val="clear" w:color="auto" w:fill="auto"/>
            <w:vAlign w:val="bottom"/>
          </w:tcPr>
          <w:p w14:paraId="06C4DAD4" w14:textId="18E0BBA9" w:rsidR="00A26814" w:rsidRPr="003E2D55" w:rsidRDefault="00A26814" w:rsidP="00A26814">
            <w:pPr>
              <w:spacing w:before="40" w:after="40"/>
              <w:jc w:val="right"/>
              <w:rPr>
                <w:rFonts w:cs="Arial"/>
                <w:sz w:val="18"/>
                <w:szCs w:val="18"/>
              </w:rPr>
            </w:pPr>
            <w:r w:rsidRPr="003E2D55">
              <w:rPr>
                <w:rFonts w:cs="Arial"/>
                <w:sz w:val="18"/>
                <w:szCs w:val="18"/>
              </w:rPr>
              <w:t>46</w:t>
            </w:r>
          </w:p>
        </w:tc>
        <w:tc>
          <w:tcPr>
            <w:tcW w:w="170" w:type="dxa"/>
            <w:tcBorders>
              <w:top w:val="nil"/>
              <w:left w:val="nil"/>
              <w:bottom w:val="nil"/>
              <w:right w:val="nil"/>
            </w:tcBorders>
            <w:shd w:val="clear" w:color="auto" w:fill="auto"/>
            <w:vAlign w:val="bottom"/>
          </w:tcPr>
          <w:p w14:paraId="490BB49B" w14:textId="008C0011"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611C83FC" w14:textId="15EB2C19"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1E00470C" w14:textId="7A077D18"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0BB24B70" w14:textId="0C56E809"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5204C461" w14:textId="7D10691F"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1BEE9C06" w14:textId="799DD1E1" w:rsidR="00A26814" w:rsidRPr="003E2D55" w:rsidRDefault="00A26814" w:rsidP="00A26814">
            <w:pPr>
              <w:spacing w:before="40" w:after="40"/>
              <w:jc w:val="right"/>
              <w:rPr>
                <w:rFonts w:cs="Arial"/>
                <w:sz w:val="18"/>
                <w:szCs w:val="18"/>
              </w:rPr>
            </w:pPr>
            <w:r w:rsidRPr="003E2D55">
              <w:rPr>
                <w:rFonts w:cs="Arial"/>
                <w:sz w:val="18"/>
                <w:szCs w:val="18"/>
              </w:rPr>
              <w:t>0</w:t>
            </w:r>
          </w:p>
        </w:tc>
      </w:tr>
      <w:tr w:rsidR="00A26814" w:rsidRPr="003E2D55" w14:paraId="089C514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3C63C5C" w14:textId="77777777" w:rsidR="00A26814" w:rsidRPr="003E2D55" w:rsidRDefault="00A26814" w:rsidP="00A26814">
            <w:pPr>
              <w:spacing w:before="40" w:after="40"/>
              <w:rPr>
                <w:rFonts w:cs="Arial"/>
                <w:sz w:val="18"/>
                <w:szCs w:val="18"/>
              </w:rPr>
            </w:pPr>
            <w:r w:rsidRPr="003E2D55">
              <w:rPr>
                <w:rFonts w:cs="Arial"/>
                <w:sz w:val="18"/>
                <w:szCs w:val="18"/>
              </w:rPr>
              <w:t>East Gippsland S</w:t>
            </w:r>
          </w:p>
        </w:tc>
        <w:tc>
          <w:tcPr>
            <w:tcW w:w="737" w:type="dxa"/>
            <w:tcBorders>
              <w:top w:val="nil"/>
              <w:left w:val="single" w:sz="18" w:space="0" w:color="5F497A" w:themeColor="accent4" w:themeShade="BF"/>
              <w:bottom w:val="nil"/>
              <w:right w:val="nil"/>
            </w:tcBorders>
            <w:shd w:val="clear" w:color="auto" w:fill="auto"/>
            <w:vAlign w:val="bottom"/>
          </w:tcPr>
          <w:p w14:paraId="17067C60" w14:textId="36899C40" w:rsidR="00A26814" w:rsidRPr="003E2D55" w:rsidRDefault="00A26814" w:rsidP="00A26814">
            <w:pPr>
              <w:spacing w:before="40" w:after="40"/>
              <w:jc w:val="right"/>
              <w:rPr>
                <w:rFonts w:cs="Arial"/>
                <w:sz w:val="18"/>
                <w:szCs w:val="18"/>
              </w:rPr>
            </w:pPr>
            <w:r w:rsidRPr="003E2D55">
              <w:rPr>
                <w:rFonts w:cs="Arial"/>
                <w:sz w:val="18"/>
                <w:szCs w:val="18"/>
              </w:rPr>
              <w:t>370</w:t>
            </w:r>
          </w:p>
        </w:tc>
        <w:tc>
          <w:tcPr>
            <w:tcW w:w="737" w:type="dxa"/>
            <w:tcBorders>
              <w:top w:val="nil"/>
              <w:left w:val="nil"/>
              <w:bottom w:val="nil"/>
              <w:right w:val="nil"/>
            </w:tcBorders>
            <w:shd w:val="clear" w:color="auto" w:fill="auto"/>
            <w:vAlign w:val="bottom"/>
          </w:tcPr>
          <w:p w14:paraId="6EDE3887" w14:textId="583C124C" w:rsidR="00A26814" w:rsidRPr="003E2D55" w:rsidRDefault="00A26814" w:rsidP="00A26814">
            <w:pPr>
              <w:spacing w:before="40" w:after="40"/>
              <w:jc w:val="right"/>
              <w:rPr>
                <w:rFonts w:cs="Arial"/>
                <w:sz w:val="18"/>
                <w:szCs w:val="18"/>
              </w:rPr>
            </w:pPr>
            <w:r w:rsidRPr="003E2D55">
              <w:rPr>
                <w:rFonts w:cs="Arial"/>
                <w:sz w:val="18"/>
                <w:szCs w:val="18"/>
              </w:rPr>
              <w:t>56</w:t>
            </w:r>
          </w:p>
        </w:tc>
        <w:tc>
          <w:tcPr>
            <w:tcW w:w="737" w:type="dxa"/>
            <w:tcBorders>
              <w:top w:val="nil"/>
              <w:left w:val="nil"/>
              <w:bottom w:val="nil"/>
              <w:right w:val="nil"/>
            </w:tcBorders>
            <w:shd w:val="clear" w:color="auto" w:fill="auto"/>
            <w:vAlign w:val="bottom"/>
          </w:tcPr>
          <w:p w14:paraId="5E2B8216" w14:textId="1396DFA7" w:rsidR="00A26814" w:rsidRPr="003E2D55" w:rsidRDefault="00A26814" w:rsidP="00A26814">
            <w:pPr>
              <w:spacing w:before="40" w:after="40"/>
              <w:jc w:val="right"/>
              <w:rPr>
                <w:rFonts w:cs="Arial"/>
                <w:sz w:val="18"/>
                <w:szCs w:val="18"/>
              </w:rPr>
            </w:pPr>
            <w:r w:rsidRPr="003E2D55">
              <w:rPr>
                <w:rFonts w:cs="Arial"/>
                <w:sz w:val="18"/>
                <w:szCs w:val="18"/>
              </w:rPr>
              <w:t>52</w:t>
            </w:r>
          </w:p>
        </w:tc>
        <w:tc>
          <w:tcPr>
            <w:tcW w:w="737" w:type="dxa"/>
            <w:tcBorders>
              <w:top w:val="nil"/>
              <w:left w:val="nil"/>
              <w:bottom w:val="nil"/>
              <w:right w:val="nil"/>
            </w:tcBorders>
            <w:shd w:val="clear" w:color="auto" w:fill="auto"/>
            <w:vAlign w:val="bottom"/>
          </w:tcPr>
          <w:p w14:paraId="462A6753" w14:textId="1E0ECEAE" w:rsidR="00A26814" w:rsidRPr="003E2D55" w:rsidRDefault="00A26814" w:rsidP="00A26814">
            <w:pPr>
              <w:spacing w:before="40" w:after="40"/>
              <w:jc w:val="right"/>
              <w:rPr>
                <w:rFonts w:cs="Arial"/>
                <w:sz w:val="18"/>
                <w:szCs w:val="18"/>
              </w:rPr>
            </w:pPr>
            <w:r w:rsidRPr="003E2D55">
              <w:rPr>
                <w:rFonts w:cs="Arial"/>
                <w:sz w:val="18"/>
                <w:szCs w:val="18"/>
              </w:rPr>
              <w:t>3</w:t>
            </w:r>
          </w:p>
        </w:tc>
        <w:tc>
          <w:tcPr>
            <w:tcW w:w="170" w:type="dxa"/>
            <w:tcBorders>
              <w:top w:val="nil"/>
              <w:left w:val="nil"/>
              <w:bottom w:val="nil"/>
              <w:right w:val="nil"/>
            </w:tcBorders>
            <w:shd w:val="clear" w:color="auto" w:fill="auto"/>
            <w:vAlign w:val="bottom"/>
          </w:tcPr>
          <w:p w14:paraId="63CAB31E" w14:textId="391BA7DA"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7246692D" w14:textId="75032A56" w:rsidR="00A26814" w:rsidRPr="003E2D55" w:rsidRDefault="00A26814" w:rsidP="00A26814">
            <w:pPr>
              <w:spacing w:before="40" w:after="40"/>
              <w:jc w:val="right"/>
              <w:rPr>
                <w:rFonts w:cs="Arial"/>
                <w:sz w:val="18"/>
                <w:szCs w:val="18"/>
              </w:rPr>
            </w:pPr>
            <w:r w:rsidRPr="003E2D55">
              <w:rPr>
                <w:rFonts w:cs="Arial"/>
                <w:sz w:val="18"/>
                <w:szCs w:val="18"/>
              </w:rPr>
              <w:t>44</w:t>
            </w:r>
          </w:p>
        </w:tc>
        <w:tc>
          <w:tcPr>
            <w:tcW w:w="737" w:type="dxa"/>
            <w:tcBorders>
              <w:top w:val="nil"/>
              <w:left w:val="nil"/>
              <w:bottom w:val="nil"/>
              <w:right w:val="nil"/>
            </w:tcBorders>
            <w:shd w:val="clear" w:color="auto" w:fill="auto"/>
            <w:vAlign w:val="bottom"/>
          </w:tcPr>
          <w:p w14:paraId="123DD70A" w14:textId="157C24C6" w:rsidR="00A26814" w:rsidRPr="003E2D55" w:rsidRDefault="00A26814" w:rsidP="00A26814">
            <w:pPr>
              <w:spacing w:before="40" w:after="40"/>
              <w:jc w:val="right"/>
              <w:rPr>
                <w:rFonts w:cs="Arial"/>
                <w:sz w:val="18"/>
                <w:szCs w:val="18"/>
              </w:rPr>
            </w:pPr>
            <w:r w:rsidRPr="003E2D55">
              <w:rPr>
                <w:rFonts w:cs="Arial"/>
                <w:sz w:val="18"/>
                <w:szCs w:val="18"/>
              </w:rPr>
              <w:t>1,911</w:t>
            </w:r>
          </w:p>
        </w:tc>
        <w:tc>
          <w:tcPr>
            <w:tcW w:w="737" w:type="dxa"/>
            <w:tcBorders>
              <w:top w:val="nil"/>
              <w:left w:val="nil"/>
              <w:bottom w:val="nil"/>
              <w:right w:val="nil"/>
            </w:tcBorders>
            <w:shd w:val="clear" w:color="auto" w:fill="auto"/>
            <w:vAlign w:val="bottom"/>
          </w:tcPr>
          <w:p w14:paraId="696F5F7D" w14:textId="569B7966" w:rsidR="00A26814" w:rsidRPr="003E2D55" w:rsidRDefault="00A26814" w:rsidP="00A26814">
            <w:pPr>
              <w:spacing w:before="40" w:after="40"/>
              <w:jc w:val="right"/>
              <w:rPr>
                <w:rFonts w:cs="Arial"/>
                <w:sz w:val="18"/>
                <w:szCs w:val="18"/>
              </w:rPr>
            </w:pPr>
            <w:r w:rsidRPr="003E2D55">
              <w:rPr>
                <w:rFonts w:cs="Arial"/>
                <w:sz w:val="18"/>
                <w:szCs w:val="18"/>
              </w:rPr>
              <w:t>474</w:t>
            </w:r>
          </w:p>
        </w:tc>
        <w:tc>
          <w:tcPr>
            <w:tcW w:w="737" w:type="dxa"/>
            <w:tcBorders>
              <w:top w:val="nil"/>
              <w:left w:val="nil"/>
              <w:bottom w:val="nil"/>
              <w:right w:val="nil"/>
            </w:tcBorders>
            <w:shd w:val="clear" w:color="auto" w:fill="auto"/>
            <w:vAlign w:val="bottom"/>
          </w:tcPr>
          <w:p w14:paraId="70AF3BD6" w14:textId="258D241C" w:rsidR="00A26814" w:rsidRPr="003E2D55" w:rsidRDefault="00A26814" w:rsidP="00A26814">
            <w:pPr>
              <w:spacing w:before="40" w:after="40"/>
              <w:jc w:val="right"/>
              <w:rPr>
                <w:rFonts w:cs="Arial"/>
                <w:sz w:val="18"/>
                <w:szCs w:val="18"/>
              </w:rPr>
            </w:pPr>
            <w:r w:rsidRPr="003E2D55">
              <w:rPr>
                <w:rFonts w:cs="Arial"/>
                <w:sz w:val="18"/>
                <w:szCs w:val="18"/>
              </w:rPr>
              <w:t>43</w:t>
            </w:r>
          </w:p>
        </w:tc>
        <w:tc>
          <w:tcPr>
            <w:tcW w:w="737" w:type="dxa"/>
            <w:tcBorders>
              <w:top w:val="nil"/>
              <w:left w:val="nil"/>
              <w:bottom w:val="nil"/>
              <w:right w:val="nil"/>
            </w:tcBorders>
            <w:shd w:val="clear" w:color="auto" w:fill="auto"/>
            <w:vAlign w:val="bottom"/>
          </w:tcPr>
          <w:p w14:paraId="0D97837F" w14:textId="32AF08C9" w:rsidR="00A26814" w:rsidRPr="003E2D55" w:rsidRDefault="00A26814" w:rsidP="00A26814">
            <w:pPr>
              <w:spacing w:before="40" w:after="40"/>
              <w:jc w:val="right"/>
              <w:rPr>
                <w:rFonts w:cs="Arial"/>
                <w:sz w:val="18"/>
                <w:szCs w:val="18"/>
              </w:rPr>
            </w:pPr>
            <w:r w:rsidRPr="003E2D55">
              <w:rPr>
                <w:rFonts w:cs="Arial"/>
                <w:sz w:val="18"/>
                <w:szCs w:val="18"/>
              </w:rPr>
              <w:t>15</w:t>
            </w:r>
          </w:p>
        </w:tc>
      </w:tr>
      <w:tr w:rsidR="00A26814" w:rsidRPr="003E2D55" w14:paraId="7F48F7F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FE66508" w14:textId="77777777" w:rsidR="00A26814" w:rsidRPr="003E2D55" w:rsidRDefault="00A26814" w:rsidP="00A26814">
            <w:pPr>
              <w:spacing w:before="40" w:after="40"/>
              <w:rPr>
                <w:rFonts w:cs="Arial"/>
                <w:sz w:val="18"/>
                <w:szCs w:val="18"/>
              </w:rPr>
            </w:pPr>
            <w:r w:rsidRPr="003E2D55">
              <w:rPr>
                <w:rFonts w:cs="Arial"/>
                <w:sz w:val="18"/>
                <w:szCs w:val="18"/>
              </w:rPr>
              <w:t>Frankston C</w:t>
            </w:r>
          </w:p>
        </w:tc>
        <w:tc>
          <w:tcPr>
            <w:tcW w:w="737" w:type="dxa"/>
            <w:tcBorders>
              <w:top w:val="nil"/>
              <w:left w:val="single" w:sz="18" w:space="0" w:color="5F497A" w:themeColor="accent4" w:themeShade="BF"/>
              <w:bottom w:val="nil"/>
              <w:right w:val="nil"/>
            </w:tcBorders>
            <w:shd w:val="clear" w:color="auto" w:fill="auto"/>
            <w:vAlign w:val="bottom"/>
          </w:tcPr>
          <w:p w14:paraId="74BEE11C" w14:textId="7FF0CCD9" w:rsidR="00A26814" w:rsidRPr="003E2D55" w:rsidRDefault="00A26814" w:rsidP="00A26814">
            <w:pPr>
              <w:spacing w:before="40" w:after="40"/>
              <w:jc w:val="right"/>
              <w:rPr>
                <w:rFonts w:cs="Arial"/>
                <w:sz w:val="18"/>
                <w:szCs w:val="18"/>
              </w:rPr>
            </w:pPr>
            <w:r w:rsidRPr="003E2D55">
              <w:rPr>
                <w:rFonts w:cs="Arial"/>
                <w:sz w:val="18"/>
                <w:szCs w:val="18"/>
              </w:rPr>
              <w:t>391</w:t>
            </w:r>
          </w:p>
        </w:tc>
        <w:tc>
          <w:tcPr>
            <w:tcW w:w="737" w:type="dxa"/>
            <w:tcBorders>
              <w:top w:val="nil"/>
              <w:left w:val="nil"/>
              <w:bottom w:val="nil"/>
              <w:right w:val="nil"/>
            </w:tcBorders>
            <w:shd w:val="clear" w:color="auto" w:fill="auto"/>
            <w:vAlign w:val="bottom"/>
          </w:tcPr>
          <w:p w14:paraId="59CEDD17" w14:textId="53EFAC1F" w:rsidR="00A26814" w:rsidRPr="003E2D55" w:rsidRDefault="00A26814" w:rsidP="00A26814">
            <w:pPr>
              <w:spacing w:before="40" w:after="40"/>
              <w:jc w:val="right"/>
              <w:rPr>
                <w:rFonts w:cs="Arial"/>
                <w:sz w:val="18"/>
                <w:szCs w:val="18"/>
              </w:rPr>
            </w:pPr>
            <w:r w:rsidRPr="003E2D55">
              <w:rPr>
                <w:rFonts w:cs="Arial"/>
                <w:sz w:val="18"/>
                <w:szCs w:val="18"/>
              </w:rPr>
              <w:t>78</w:t>
            </w:r>
          </w:p>
        </w:tc>
        <w:tc>
          <w:tcPr>
            <w:tcW w:w="737" w:type="dxa"/>
            <w:tcBorders>
              <w:top w:val="nil"/>
              <w:left w:val="nil"/>
              <w:bottom w:val="nil"/>
              <w:right w:val="nil"/>
            </w:tcBorders>
            <w:shd w:val="clear" w:color="auto" w:fill="auto"/>
            <w:vAlign w:val="bottom"/>
          </w:tcPr>
          <w:p w14:paraId="7004A72D" w14:textId="2CAB14E1" w:rsidR="00A26814" w:rsidRPr="003E2D55" w:rsidRDefault="00A26814" w:rsidP="00A26814">
            <w:pPr>
              <w:spacing w:before="40" w:after="40"/>
              <w:jc w:val="right"/>
              <w:rPr>
                <w:rFonts w:cs="Arial"/>
                <w:sz w:val="18"/>
                <w:szCs w:val="18"/>
              </w:rPr>
            </w:pPr>
            <w:r w:rsidRPr="003E2D55">
              <w:rPr>
                <w:rFonts w:cs="Arial"/>
                <w:sz w:val="18"/>
                <w:szCs w:val="18"/>
              </w:rPr>
              <w:t>99</w:t>
            </w:r>
          </w:p>
        </w:tc>
        <w:tc>
          <w:tcPr>
            <w:tcW w:w="737" w:type="dxa"/>
            <w:tcBorders>
              <w:top w:val="nil"/>
              <w:left w:val="nil"/>
              <w:bottom w:val="nil"/>
              <w:right w:val="nil"/>
            </w:tcBorders>
            <w:shd w:val="clear" w:color="auto" w:fill="auto"/>
            <w:vAlign w:val="bottom"/>
          </w:tcPr>
          <w:p w14:paraId="7D8E51CB" w14:textId="3A4CB9A1" w:rsidR="00A26814" w:rsidRPr="003E2D55" w:rsidRDefault="00A26814" w:rsidP="00A26814">
            <w:pPr>
              <w:spacing w:before="40" w:after="40"/>
              <w:jc w:val="right"/>
              <w:rPr>
                <w:rFonts w:cs="Arial"/>
                <w:sz w:val="18"/>
                <w:szCs w:val="18"/>
              </w:rPr>
            </w:pPr>
            <w:r w:rsidRPr="003E2D55">
              <w:rPr>
                <w:rFonts w:cs="Arial"/>
                <w:sz w:val="18"/>
                <w:szCs w:val="18"/>
              </w:rPr>
              <w:t>60</w:t>
            </w:r>
          </w:p>
        </w:tc>
        <w:tc>
          <w:tcPr>
            <w:tcW w:w="170" w:type="dxa"/>
            <w:tcBorders>
              <w:top w:val="nil"/>
              <w:left w:val="nil"/>
              <w:bottom w:val="nil"/>
              <w:right w:val="nil"/>
            </w:tcBorders>
            <w:shd w:val="clear" w:color="auto" w:fill="auto"/>
            <w:vAlign w:val="bottom"/>
          </w:tcPr>
          <w:p w14:paraId="57E4E10A" w14:textId="2C7A30AD"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029A2610" w14:textId="66AA38DC"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6EB2D6BA" w14:textId="2B542BDC" w:rsidR="00A26814" w:rsidRPr="003E2D55" w:rsidRDefault="00A26814" w:rsidP="00A26814">
            <w:pPr>
              <w:spacing w:before="40" w:after="40"/>
              <w:jc w:val="right"/>
              <w:rPr>
                <w:rFonts w:cs="Arial"/>
                <w:sz w:val="18"/>
                <w:szCs w:val="18"/>
              </w:rPr>
            </w:pPr>
            <w:r w:rsidRPr="003E2D55">
              <w:rPr>
                <w:rFonts w:cs="Arial"/>
                <w:sz w:val="18"/>
                <w:szCs w:val="18"/>
              </w:rPr>
              <w:t>7</w:t>
            </w:r>
          </w:p>
        </w:tc>
        <w:tc>
          <w:tcPr>
            <w:tcW w:w="737" w:type="dxa"/>
            <w:tcBorders>
              <w:top w:val="nil"/>
              <w:left w:val="nil"/>
              <w:bottom w:val="nil"/>
              <w:right w:val="nil"/>
            </w:tcBorders>
            <w:shd w:val="clear" w:color="auto" w:fill="auto"/>
            <w:vAlign w:val="bottom"/>
          </w:tcPr>
          <w:p w14:paraId="5DE49023" w14:textId="57236BE4" w:rsidR="00A26814" w:rsidRPr="003E2D55" w:rsidRDefault="00A26814" w:rsidP="00A26814">
            <w:pPr>
              <w:spacing w:before="40" w:after="40"/>
              <w:jc w:val="right"/>
              <w:rPr>
                <w:rFonts w:cs="Arial"/>
                <w:sz w:val="18"/>
                <w:szCs w:val="18"/>
              </w:rPr>
            </w:pPr>
            <w:r w:rsidRPr="003E2D55">
              <w:rPr>
                <w:rFonts w:cs="Arial"/>
                <w:sz w:val="18"/>
                <w:szCs w:val="18"/>
              </w:rPr>
              <w:t>36</w:t>
            </w:r>
          </w:p>
        </w:tc>
        <w:tc>
          <w:tcPr>
            <w:tcW w:w="737" w:type="dxa"/>
            <w:tcBorders>
              <w:top w:val="nil"/>
              <w:left w:val="nil"/>
              <w:bottom w:val="nil"/>
              <w:right w:val="nil"/>
            </w:tcBorders>
            <w:shd w:val="clear" w:color="auto" w:fill="auto"/>
            <w:vAlign w:val="bottom"/>
          </w:tcPr>
          <w:p w14:paraId="247A7525" w14:textId="04EEE2EC" w:rsidR="00A26814" w:rsidRPr="003E2D55" w:rsidRDefault="00A26814" w:rsidP="00A26814">
            <w:pPr>
              <w:spacing w:before="40" w:after="40"/>
              <w:jc w:val="right"/>
              <w:rPr>
                <w:rFonts w:cs="Arial"/>
                <w:sz w:val="18"/>
                <w:szCs w:val="18"/>
              </w:rPr>
            </w:pPr>
            <w:r w:rsidRPr="003E2D55">
              <w:rPr>
                <w:rFonts w:cs="Arial"/>
                <w:sz w:val="18"/>
                <w:szCs w:val="18"/>
              </w:rPr>
              <w:t>6</w:t>
            </w:r>
          </w:p>
        </w:tc>
        <w:tc>
          <w:tcPr>
            <w:tcW w:w="737" w:type="dxa"/>
            <w:tcBorders>
              <w:top w:val="nil"/>
              <w:left w:val="nil"/>
              <w:bottom w:val="nil"/>
              <w:right w:val="nil"/>
            </w:tcBorders>
            <w:shd w:val="clear" w:color="auto" w:fill="auto"/>
            <w:vAlign w:val="bottom"/>
          </w:tcPr>
          <w:p w14:paraId="08ECCB89" w14:textId="5B842A16" w:rsidR="00A26814" w:rsidRPr="003E2D55" w:rsidRDefault="00A26814" w:rsidP="00A26814">
            <w:pPr>
              <w:spacing w:before="40" w:after="40"/>
              <w:jc w:val="right"/>
              <w:rPr>
                <w:rFonts w:cs="Arial"/>
                <w:sz w:val="18"/>
                <w:szCs w:val="18"/>
              </w:rPr>
            </w:pPr>
            <w:r w:rsidRPr="003E2D55">
              <w:rPr>
                <w:rFonts w:cs="Arial"/>
                <w:sz w:val="18"/>
                <w:szCs w:val="18"/>
              </w:rPr>
              <w:t>27</w:t>
            </w:r>
          </w:p>
        </w:tc>
      </w:tr>
      <w:tr w:rsidR="00A26814" w:rsidRPr="003E2D55" w14:paraId="0322BDB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D5ED871" w14:textId="77777777" w:rsidR="00A26814" w:rsidRPr="003E2D55" w:rsidRDefault="00A26814" w:rsidP="00A26814">
            <w:pPr>
              <w:spacing w:before="40" w:after="40"/>
              <w:rPr>
                <w:rFonts w:cs="Arial"/>
                <w:sz w:val="18"/>
                <w:szCs w:val="18"/>
              </w:rPr>
            </w:pPr>
            <w:r w:rsidRPr="003E2D55">
              <w:rPr>
                <w:rFonts w:cs="Arial"/>
                <w:sz w:val="18"/>
                <w:szCs w:val="18"/>
              </w:rPr>
              <w:t>Gannawarra S</w:t>
            </w:r>
          </w:p>
        </w:tc>
        <w:tc>
          <w:tcPr>
            <w:tcW w:w="737" w:type="dxa"/>
            <w:tcBorders>
              <w:top w:val="nil"/>
              <w:left w:val="single" w:sz="18" w:space="0" w:color="5F497A" w:themeColor="accent4" w:themeShade="BF"/>
              <w:bottom w:val="nil"/>
              <w:right w:val="nil"/>
            </w:tcBorders>
            <w:shd w:val="clear" w:color="auto" w:fill="auto"/>
            <w:vAlign w:val="bottom"/>
          </w:tcPr>
          <w:p w14:paraId="2AA2229F" w14:textId="784F6A3A" w:rsidR="00A26814" w:rsidRPr="003E2D55" w:rsidRDefault="00A26814" w:rsidP="00A26814">
            <w:pPr>
              <w:spacing w:before="40" w:after="40"/>
              <w:jc w:val="right"/>
              <w:rPr>
                <w:rFonts w:cs="Arial"/>
                <w:sz w:val="18"/>
                <w:szCs w:val="18"/>
              </w:rPr>
            </w:pPr>
            <w:r w:rsidRPr="003E2D55">
              <w:rPr>
                <w:rFonts w:cs="Arial"/>
                <w:sz w:val="18"/>
                <w:szCs w:val="18"/>
              </w:rPr>
              <w:t>79</w:t>
            </w:r>
          </w:p>
        </w:tc>
        <w:tc>
          <w:tcPr>
            <w:tcW w:w="737" w:type="dxa"/>
            <w:tcBorders>
              <w:top w:val="nil"/>
              <w:left w:val="nil"/>
              <w:bottom w:val="nil"/>
              <w:right w:val="nil"/>
            </w:tcBorders>
            <w:shd w:val="clear" w:color="auto" w:fill="auto"/>
            <w:vAlign w:val="bottom"/>
          </w:tcPr>
          <w:p w14:paraId="2916F0C0" w14:textId="19AB23EA" w:rsidR="00A26814" w:rsidRPr="003E2D55" w:rsidRDefault="00A26814" w:rsidP="00A26814">
            <w:pPr>
              <w:spacing w:before="40" w:after="40"/>
              <w:jc w:val="right"/>
              <w:rPr>
                <w:rFonts w:cs="Arial"/>
                <w:sz w:val="18"/>
                <w:szCs w:val="18"/>
              </w:rPr>
            </w:pPr>
            <w:r w:rsidRPr="003E2D55">
              <w:rPr>
                <w:rFonts w:cs="Arial"/>
                <w:sz w:val="18"/>
                <w:szCs w:val="18"/>
              </w:rPr>
              <w:t>21</w:t>
            </w:r>
          </w:p>
        </w:tc>
        <w:tc>
          <w:tcPr>
            <w:tcW w:w="737" w:type="dxa"/>
            <w:tcBorders>
              <w:top w:val="nil"/>
              <w:left w:val="nil"/>
              <w:bottom w:val="nil"/>
              <w:right w:val="nil"/>
            </w:tcBorders>
            <w:shd w:val="clear" w:color="auto" w:fill="auto"/>
            <w:vAlign w:val="bottom"/>
          </w:tcPr>
          <w:p w14:paraId="701EB80F" w14:textId="558D90C3" w:rsidR="00A26814" w:rsidRPr="003E2D55" w:rsidRDefault="00A26814" w:rsidP="00A26814">
            <w:pPr>
              <w:spacing w:before="40" w:after="40"/>
              <w:jc w:val="right"/>
              <w:rPr>
                <w:rFonts w:cs="Arial"/>
                <w:sz w:val="18"/>
                <w:szCs w:val="18"/>
              </w:rPr>
            </w:pPr>
            <w:r w:rsidRPr="003E2D55">
              <w:rPr>
                <w:rFonts w:cs="Arial"/>
                <w:sz w:val="18"/>
                <w:szCs w:val="18"/>
              </w:rPr>
              <w:t>6</w:t>
            </w:r>
          </w:p>
        </w:tc>
        <w:tc>
          <w:tcPr>
            <w:tcW w:w="737" w:type="dxa"/>
            <w:tcBorders>
              <w:top w:val="nil"/>
              <w:left w:val="nil"/>
              <w:bottom w:val="nil"/>
              <w:right w:val="nil"/>
            </w:tcBorders>
            <w:shd w:val="clear" w:color="auto" w:fill="auto"/>
            <w:vAlign w:val="bottom"/>
          </w:tcPr>
          <w:p w14:paraId="65880E22" w14:textId="32F770FE" w:rsidR="00A26814" w:rsidRPr="003E2D55" w:rsidRDefault="00A26814" w:rsidP="00A26814">
            <w:pPr>
              <w:spacing w:before="40" w:after="40"/>
              <w:jc w:val="right"/>
              <w:rPr>
                <w:rFonts w:cs="Arial"/>
                <w:sz w:val="18"/>
                <w:szCs w:val="18"/>
              </w:rPr>
            </w:pPr>
            <w:r w:rsidRPr="003E2D55">
              <w:rPr>
                <w:rFonts w:cs="Arial"/>
                <w:sz w:val="18"/>
                <w:szCs w:val="18"/>
              </w:rPr>
              <w:t>1</w:t>
            </w:r>
          </w:p>
        </w:tc>
        <w:tc>
          <w:tcPr>
            <w:tcW w:w="170" w:type="dxa"/>
            <w:tcBorders>
              <w:top w:val="nil"/>
              <w:left w:val="nil"/>
              <w:bottom w:val="nil"/>
              <w:right w:val="nil"/>
            </w:tcBorders>
            <w:shd w:val="clear" w:color="auto" w:fill="auto"/>
            <w:vAlign w:val="bottom"/>
          </w:tcPr>
          <w:p w14:paraId="2F9323C4" w14:textId="59B6862E"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3ACFE1E2" w14:textId="4A467E9B" w:rsidR="00A26814" w:rsidRPr="003E2D55" w:rsidRDefault="00A26814" w:rsidP="00A26814">
            <w:pPr>
              <w:spacing w:before="40" w:after="40"/>
              <w:jc w:val="right"/>
              <w:rPr>
                <w:rFonts w:cs="Arial"/>
                <w:sz w:val="18"/>
                <w:szCs w:val="18"/>
              </w:rPr>
            </w:pPr>
            <w:r w:rsidRPr="003E2D55">
              <w:rPr>
                <w:rFonts w:cs="Arial"/>
                <w:sz w:val="18"/>
                <w:szCs w:val="18"/>
              </w:rPr>
              <w:t>811</w:t>
            </w:r>
          </w:p>
        </w:tc>
        <w:tc>
          <w:tcPr>
            <w:tcW w:w="737" w:type="dxa"/>
            <w:tcBorders>
              <w:top w:val="nil"/>
              <w:left w:val="nil"/>
              <w:bottom w:val="nil"/>
              <w:right w:val="nil"/>
            </w:tcBorders>
            <w:shd w:val="clear" w:color="auto" w:fill="auto"/>
            <w:vAlign w:val="bottom"/>
          </w:tcPr>
          <w:p w14:paraId="5419601C" w14:textId="0D73EFBB" w:rsidR="00A26814" w:rsidRPr="003E2D55" w:rsidRDefault="00A26814" w:rsidP="00A26814">
            <w:pPr>
              <w:spacing w:before="40" w:after="40"/>
              <w:jc w:val="right"/>
              <w:rPr>
                <w:rFonts w:cs="Arial"/>
                <w:sz w:val="18"/>
                <w:szCs w:val="18"/>
              </w:rPr>
            </w:pPr>
            <w:r w:rsidRPr="003E2D55">
              <w:rPr>
                <w:rFonts w:cs="Arial"/>
                <w:sz w:val="18"/>
                <w:szCs w:val="18"/>
              </w:rPr>
              <w:t>821</w:t>
            </w:r>
          </w:p>
        </w:tc>
        <w:tc>
          <w:tcPr>
            <w:tcW w:w="737" w:type="dxa"/>
            <w:tcBorders>
              <w:top w:val="nil"/>
              <w:left w:val="nil"/>
              <w:bottom w:val="nil"/>
              <w:right w:val="nil"/>
            </w:tcBorders>
            <w:shd w:val="clear" w:color="auto" w:fill="auto"/>
            <w:vAlign w:val="bottom"/>
          </w:tcPr>
          <w:p w14:paraId="6C88F72C" w14:textId="33C0903B" w:rsidR="00A26814" w:rsidRPr="003E2D55" w:rsidRDefault="00A26814" w:rsidP="00A26814">
            <w:pPr>
              <w:spacing w:before="40" w:after="40"/>
              <w:jc w:val="right"/>
              <w:rPr>
                <w:rFonts w:cs="Arial"/>
                <w:sz w:val="18"/>
                <w:szCs w:val="18"/>
              </w:rPr>
            </w:pPr>
            <w:r w:rsidRPr="003E2D55">
              <w:rPr>
                <w:rFonts w:cs="Arial"/>
                <w:sz w:val="18"/>
                <w:szCs w:val="18"/>
              </w:rPr>
              <w:t>398</w:t>
            </w:r>
          </w:p>
        </w:tc>
        <w:tc>
          <w:tcPr>
            <w:tcW w:w="737" w:type="dxa"/>
            <w:tcBorders>
              <w:top w:val="nil"/>
              <w:left w:val="nil"/>
              <w:bottom w:val="nil"/>
              <w:right w:val="nil"/>
            </w:tcBorders>
            <w:shd w:val="clear" w:color="auto" w:fill="auto"/>
            <w:vAlign w:val="bottom"/>
          </w:tcPr>
          <w:p w14:paraId="5D7F4D7E" w14:textId="7D6A0338" w:rsidR="00A26814" w:rsidRPr="003E2D55" w:rsidRDefault="00A26814" w:rsidP="00A26814">
            <w:pPr>
              <w:spacing w:before="40" w:after="40"/>
              <w:jc w:val="right"/>
              <w:rPr>
                <w:rFonts w:cs="Arial"/>
                <w:sz w:val="18"/>
                <w:szCs w:val="18"/>
              </w:rPr>
            </w:pPr>
            <w:r w:rsidRPr="003E2D55">
              <w:rPr>
                <w:rFonts w:cs="Arial"/>
                <w:sz w:val="18"/>
                <w:szCs w:val="18"/>
              </w:rPr>
              <w:t>122</w:t>
            </w:r>
          </w:p>
        </w:tc>
        <w:tc>
          <w:tcPr>
            <w:tcW w:w="737" w:type="dxa"/>
            <w:tcBorders>
              <w:top w:val="nil"/>
              <w:left w:val="nil"/>
              <w:bottom w:val="nil"/>
              <w:right w:val="nil"/>
            </w:tcBorders>
            <w:shd w:val="clear" w:color="auto" w:fill="auto"/>
            <w:vAlign w:val="bottom"/>
          </w:tcPr>
          <w:p w14:paraId="77CCB403" w14:textId="670A68BD" w:rsidR="00A26814" w:rsidRPr="003E2D55" w:rsidRDefault="00A26814" w:rsidP="00A26814">
            <w:pPr>
              <w:spacing w:before="40" w:after="40"/>
              <w:jc w:val="right"/>
              <w:rPr>
                <w:rFonts w:cs="Arial"/>
                <w:sz w:val="18"/>
                <w:szCs w:val="18"/>
              </w:rPr>
            </w:pPr>
            <w:r w:rsidRPr="003E2D55">
              <w:rPr>
                <w:rFonts w:cs="Arial"/>
                <w:sz w:val="18"/>
                <w:szCs w:val="18"/>
              </w:rPr>
              <w:t>11</w:t>
            </w:r>
          </w:p>
        </w:tc>
      </w:tr>
      <w:tr w:rsidR="00A26814" w:rsidRPr="003E2D55" w14:paraId="6AC87CE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6D5F62A" w14:textId="77777777" w:rsidR="00A26814" w:rsidRPr="003E2D55" w:rsidRDefault="00A26814" w:rsidP="00A26814">
            <w:pPr>
              <w:spacing w:before="40" w:after="40"/>
              <w:rPr>
                <w:rFonts w:cs="Arial"/>
                <w:sz w:val="18"/>
                <w:szCs w:val="18"/>
              </w:rPr>
            </w:pPr>
            <w:r w:rsidRPr="003E2D55">
              <w:rPr>
                <w:rFonts w:cs="Arial"/>
                <w:sz w:val="18"/>
                <w:szCs w:val="18"/>
              </w:rPr>
              <w:t>Glen Eira C</w:t>
            </w:r>
          </w:p>
        </w:tc>
        <w:tc>
          <w:tcPr>
            <w:tcW w:w="737" w:type="dxa"/>
            <w:tcBorders>
              <w:top w:val="nil"/>
              <w:left w:val="single" w:sz="18" w:space="0" w:color="5F497A" w:themeColor="accent4" w:themeShade="BF"/>
              <w:bottom w:val="nil"/>
              <w:right w:val="nil"/>
            </w:tcBorders>
            <w:shd w:val="clear" w:color="auto" w:fill="auto"/>
            <w:vAlign w:val="bottom"/>
          </w:tcPr>
          <w:p w14:paraId="3951A8CA" w14:textId="1560FBFF" w:rsidR="00A26814" w:rsidRPr="003E2D55" w:rsidRDefault="00A26814" w:rsidP="00A26814">
            <w:pPr>
              <w:spacing w:before="40" w:after="40"/>
              <w:jc w:val="right"/>
              <w:rPr>
                <w:rFonts w:cs="Arial"/>
                <w:sz w:val="18"/>
                <w:szCs w:val="18"/>
              </w:rPr>
            </w:pPr>
            <w:r w:rsidRPr="003E2D55">
              <w:rPr>
                <w:rFonts w:cs="Arial"/>
                <w:sz w:val="18"/>
                <w:szCs w:val="18"/>
              </w:rPr>
              <w:t>235</w:t>
            </w:r>
          </w:p>
        </w:tc>
        <w:tc>
          <w:tcPr>
            <w:tcW w:w="737" w:type="dxa"/>
            <w:tcBorders>
              <w:top w:val="nil"/>
              <w:left w:val="nil"/>
              <w:bottom w:val="nil"/>
              <w:right w:val="nil"/>
            </w:tcBorders>
            <w:shd w:val="clear" w:color="auto" w:fill="auto"/>
            <w:vAlign w:val="bottom"/>
          </w:tcPr>
          <w:p w14:paraId="0CC51DB6" w14:textId="44B0173D" w:rsidR="00A26814" w:rsidRPr="003E2D55" w:rsidRDefault="00A26814" w:rsidP="00A26814">
            <w:pPr>
              <w:spacing w:before="40" w:after="40"/>
              <w:jc w:val="right"/>
              <w:rPr>
                <w:rFonts w:cs="Arial"/>
                <w:sz w:val="18"/>
                <w:szCs w:val="18"/>
              </w:rPr>
            </w:pPr>
            <w:r w:rsidRPr="003E2D55">
              <w:rPr>
                <w:rFonts w:cs="Arial"/>
                <w:sz w:val="18"/>
                <w:szCs w:val="18"/>
              </w:rPr>
              <w:t>99</w:t>
            </w:r>
          </w:p>
        </w:tc>
        <w:tc>
          <w:tcPr>
            <w:tcW w:w="737" w:type="dxa"/>
            <w:tcBorders>
              <w:top w:val="nil"/>
              <w:left w:val="nil"/>
              <w:bottom w:val="nil"/>
              <w:right w:val="nil"/>
            </w:tcBorders>
            <w:shd w:val="clear" w:color="auto" w:fill="auto"/>
            <w:vAlign w:val="bottom"/>
          </w:tcPr>
          <w:p w14:paraId="011177CF" w14:textId="32786271" w:rsidR="00A26814" w:rsidRPr="003E2D55" w:rsidRDefault="00A26814" w:rsidP="00A26814">
            <w:pPr>
              <w:spacing w:before="40" w:after="40"/>
              <w:jc w:val="right"/>
              <w:rPr>
                <w:rFonts w:cs="Arial"/>
                <w:sz w:val="18"/>
                <w:szCs w:val="18"/>
              </w:rPr>
            </w:pPr>
            <w:r w:rsidRPr="003E2D55">
              <w:rPr>
                <w:rFonts w:cs="Arial"/>
                <w:sz w:val="18"/>
                <w:szCs w:val="18"/>
              </w:rPr>
              <w:t>61</w:t>
            </w:r>
          </w:p>
        </w:tc>
        <w:tc>
          <w:tcPr>
            <w:tcW w:w="737" w:type="dxa"/>
            <w:tcBorders>
              <w:top w:val="nil"/>
              <w:left w:val="nil"/>
              <w:bottom w:val="nil"/>
              <w:right w:val="nil"/>
            </w:tcBorders>
            <w:shd w:val="clear" w:color="auto" w:fill="auto"/>
            <w:vAlign w:val="bottom"/>
          </w:tcPr>
          <w:p w14:paraId="162DE584" w14:textId="4F655660" w:rsidR="00A26814" w:rsidRPr="003E2D55" w:rsidRDefault="00A26814" w:rsidP="00A26814">
            <w:pPr>
              <w:spacing w:before="40" w:after="40"/>
              <w:jc w:val="right"/>
              <w:rPr>
                <w:rFonts w:cs="Arial"/>
                <w:sz w:val="18"/>
                <w:szCs w:val="18"/>
              </w:rPr>
            </w:pPr>
            <w:r w:rsidRPr="003E2D55">
              <w:rPr>
                <w:rFonts w:cs="Arial"/>
                <w:sz w:val="18"/>
                <w:szCs w:val="18"/>
              </w:rPr>
              <w:t>38</w:t>
            </w:r>
          </w:p>
        </w:tc>
        <w:tc>
          <w:tcPr>
            <w:tcW w:w="170" w:type="dxa"/>
            <w:tcBorders>
              <w:top w:val="nil"/>
              <w:left w:val="nil"/>
              <w:bottom w:val="nil"/>
              <w:right w:val="nil"/>
            </w:tcBorders>
            <w:shd w:val="clear" w:color="auto" w:fill="auto"/>
            <w:vAlign w:val="bottom"/>
          </w:tcPr>
          <w:p w14:paraId="79CABDF6" w14:textId="7DAF8C18"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71E676DF" w14:textId="529E7226"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316B2BD8" w14:textId="238DF858"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777DC76B" w14:textId="187D07F6"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2F585ECA" w14:textId="0FA7207E"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6C393C3A" w14:textId="19963720" w:rsidR="00A26814" w:rsidRPr="003E2D55" w:rsidRDefault="00A26814" w:rsidP="00A26814">
            <w:pPr>
              <w:spacing w:before="40" w:after="40"/>
              <w:jc w:val="right"/>
              <w:rPr>
                <w:rFonts w:cs="Arial"/>
                <w:sz w:val="18"/>
                <w:szCs w:val="18"/>
              </w:rPr>
            </w:pPr>
            <w:r w:rsidRPr="003E2D55">
              <w:rPr>
                <w:rFonts w:cs="Arial"/>
                <w:sz w:val="18"/>
                <w:szCs w:val="18"/>
              </w:rPr>
              <w:t>0</w:t>
            </w:r>
          </w:p>
        </w:tc>
      </w:tr>
      <w:tr w:rsidR="00A26814" w:rsidRPr="003E2D55" w14:paraId="2DBBCC1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86C58E6" w14:textId="77777777" w:rsidR="00A26814" w:rsidRPr="003E2D55" w:rsidRDefault="00A26814" w:rsidP="00A26814">
            <w:pPr>
              <w:spacing w:before="40" w:after="40"/>
              <w:rPr>
                <w:rFonts w:cs="Arial"/>
                <w:sz w:val="18"/>
                <w:szCs w:val="18"/>
              </w:rPr>
            </w:pPr>
            <w:r w:rsidRPr="003E2D55">
              <w:rPr>
                <w:rFonts w:cs="Arial"/>
                <w:sz w:val="18"/>
                <w:szCs w:val="18"/>
              </w:rPr>
              <w:t>Glenelg S</w:t>
            </w:r>
          </w:p>
        </w:tc>
        <w:tc>
          <w:tcPr>
            <w:tcW w:w="737" w:type="dxa"/>
            <w:tcBorders>
              <w:top w:val="nil"/>
              <w:left w:val="single" w:sz="18" w:space="0" w:color="5F497A" w:themeColor="accent4" w:themeShade="BF"/>
              <w:bottom w:val="nil"/>
              <w:right w:val="nil"/>
            </w:tcBorders>
            <w:shd w:val="clear" w:color="auto" w:fill="auto"/>
            <w:vAlign w:val="bottom"/>
          </w:tcPr>
          <w:p w14:paraId="5F9B4532" w14:textId="32CD86B1" w:rsidR="00A26814" w:rsidRPr="003E2D55" w:rsidRDefault="00A26814" w:rsidP="00A26814">
            <w:pPr>
              <w:spacing w:before="40" w:after="40"/>
              <w:jc w:val="right"/>
              <w:rPr>
                <w:rFonts w:cs="Arial"/>
                <w:sz w:val="18"/>
                <w:szCs w:val="18"/>
              </w:rPr>
            </w:pPr>
            <w:r w:rsidRPr="003E2D55">
              <w:rPr>
                <w:rFonts w:cs="Arial"/>
                <w:sz w:val="18"/>
                <w:szCs w:val="18"/>
              </w:rPr>
              <w:t>130</w:t>
            </w:r>
          </w:p>
        </w:tc>
        <w:tc>
          <w:tcPr>
            <w:tcW w:w="737" w:type="dxa"/>
            <w:tcBorders>
              <w:top w:val="nil"/>
              <w:left w:val="nil"/>
              <w:bottom w:val="nil"/>
              <w:right w:val="nil"/>
            </w:tcBorders>
            <w:shd w:val="clear" w:color="auto" w:fill="auto"/>
            <w:vAlign w:val="bottom"/>
          </w:tcPr>
          <w:p w14:paraId="62BA809B" w14:textId="11B4F365" w:rsidR="00A26814" w:rsidRPr="003E2D55" w:rsidRDefault="00A26814" w:rsidP="00A26814">
            <w:pPr>
              <w:spacing w:before="40" w:after="40"/>
              <w:jc w:val="right"/>
              <w:rPr>
                <w:rFonts w:cs="Arial"/>
                <w:sz w:val="18"/>
                <w:szCs w:val="18"/>
              </w:rPr>
            </w:pPr>
            <w:r w:rsidRPr="003E2D55">
              <w:rPr>
                <w:rFonts w:cs="Arial"/>
                <w:sz w:val="18"/>
                <w:szCs w:val="18"/>
              </w:rPr>
              <w:t>18</w:t>
            </w:r>
          </w:p>
        </w:tc>
        <w:tc>
          <w:tcPr>
            <w:tcW w:w="737" w:type="dxa"/>
            <w:tcBorders>
              <w:top w:val="nil"/>
              <w:left w:val="nil"/>
              <w:bottom w:val="nil"/>
              <w:right w:val="nil"/>
            </w:tcBorders>
            <w:shd w:val="clear" w:color="auto" w:fill="auto"/>
            <w:vAlign w:val="bottom"/>
          </w:tcPr>
          <w:p w14:paraId="27E4944D" w14:textId="65EA1AEB" w:rsidR="00A26814" w:rsidRPr="003E2D55" w:rsidRDefault="00A26814" w:rsidP="00A26814">
            <w:pPr>
              <w:spacing w:before="40" w:after="40"/>
              <w:jc w:val="right"/>
              <w:rPr>
                <w:rFonts w:cs="Arial"/>
                <w:sz w:val="18"/>
                <w:szCs w:val="18"/>
              </w:rPr>
            </w:pPr>
            <w:r w:rsidRPr="003E2D55">
              <w:rPr>
                <w:rFonts w:cs="Arial"/>
                <w:sz w:val="18"/>
                <w:szCs w:val="18"/>
              </w:rPr>
              <w:t>28</w:t>
            </w:r>
          </w:p>
        </w:tc>
        <w:tc>
          <w:tcPr>
            <w:tcW w:w="737" w:type="dxa"/>
            <w:tcBorders>
              <w:top w:val="nil"/>
              <w:left w:val="nil"/>
              <w:bottom w:val="nil"/>
              <w:right w:val="nil"/>
            </w:tcBorders>
            <w:shd w:val="clear" w:color="auto" w:fill="auto"/>
            <w:vAlign w:val="bottom"/>
          </w:tcPr>
          <w:p w14:paraId="071A0739" w14:textId="6117902C" w:rsidR="00A26814" w:rsidRPr="003E2D55" w:rsidRDefault="00A26814" w:rsidP="00A26814">
            <w:pPr>
              <w:spacing w:before="40" w:after="40"/>
              <w:jc w:val="right"/>
              <w:rPr>
                <w:rFonts w:cs="Arial"/>
                <w:sz w:val="18"/>
                <w:szCs w:val="18"/>
              </w:rPr>
            </w:pPr>
            <w:r w:rsidRPr="003E2D55">
              <w:rPr>
                <w:rFonts w:cs="Arial"/>
                <w:sz w:val="18"/>
                <w:szCs w:val="18"/>
              </w:rPr>
              <w:t>13</w:t>
            </w:r>
          </w:p>
        </w:tc>
        <w:tc>
          <w:tcPr>
            <w:tcW w:w="170" w:type="dxa"/>
            <w:tcBorders>
              <w:top w:val="nil"/>
              <w:left w:val="nil"/>
              <w:bottom w:val="nil"/>
              <w:right w:val="nil"/>
            </w:tcBorders>
            <w:shd w:val="clear" w:color="auto" w:fill="auto"/>
            <w:vAlign w:val="bottom"/>
          </w:tcPr>
          <w:p w14:paraId="0C93C07F" w14:textId="6002C9EA"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1B4C70C0" w14:textId="6608FF5B" w:rsidR="00A26814" w:rsidRPr="003E2D55" w:rsidRDefault="00A26814" w:rsidP="00A26814">
            <w:pPr>
              <w:spacing w:before="40" w:after="40"/>
              <w:jc w:val="right"/>
              <w:rPr>
                <w:rFonts w:cs="Arial"/>
                <w:sz w:val="18"/>
                <w:szCs w:val="18"/>
              </w:rPr>
            </w:pPr>
            <w:r w:rsidRPr="003E2D55">
              <w:rPr>
                <w:rFonts w:cs="Arial"/>
                <w:sz w:val="18"/>
                <w:szCs w:val="18"/>
              </w:rPr>
              <w:t>14</w:t>
            </w:r>
          </w:p>
        </w:tc>
        <w:tc>
          <w:tcPr>
            <w:tcW w:w="737" w:type="dxa"/>
            <w:tcBorders>
              <w:top w:val="nil"/>
              <w:left w:val="nil"/>
              <w:bottom w:val="nil"/>
              <w:right w:val="nil"/>
            </w:tcBorders>
            <w:shd w:val="clear" w:color="auto" w:fill="auto"/>
            <w:vAlign w:val="bottom"/>
          </w:tcPr>
          <w:p w14:paraId="5E8E3A75" w14:textId="02392EBD" w:rsidR="00A26814" w:rsidRPr="003E2D55" w:rsidRDefault="00A26814" w:rsidP="00A26814">
            <w:pPr>
              <w:spacing w:before="40" w:after="40"/>
              <w:jc w:val="right"/>
              <w:rPr>
                <w:rFonts w:cs="Arial"/>
                <w:sz w:val="18"/>
                <w:szCs w:val="18"/>
              </w:rPr>
            </w:pPr>
            <w:r w:rsidRPr="003E2D55">
              <w:rPr>
                <w:rFonts w:cs="Arial"/>
                <w:sz w:val="18"/>
                <w:szCs w:val="18"/>
              </w:rPr>
              <w:t>1,912</w:t>
            </w:r>
          </w:p>
        </w:tc>
        <w:tc>
          <w:tcPr>
            <w:tcW w:w="737" w:type="dxa"/>
            <w:tcBorders>
              <w:top w:val="nil"/>
              <w:left w:val="nil"/>
              <w:bottom w:val="nil"/>
              <w:right w:val="nil"/>
            </w:tcBorders>
            <w:shd w:val="clear" w:color="auto" w:fill="auto"/>
            <w:vAlign w:val="bottom"/>
          </w:tcPr>
          <w:p w14:paraId="11658A00" w14:textId="66C2B29E" w:rsidR="00A26814" w:rsidRPr="003E2D55" w:rsidRDefault="00A26814" w:rsidP="00A26814">
            <w:pPr>
              <w:spacing w:before="40" w:after="40"/>
              <w:jc w:val="right"/>
              <w:rPr>
                <w:rFonts w:cs="Arial"/>
                <w:sz w:val="18"/>
                <w:szCs w:val="18"/>
              </w:rPr>
            </w:pPr>
            <w:r w:rsidRPr="003E2D55">
              <w:rPr>
                <w:rFonts w:cs="Arial"/>
                <w:sz w:val="18"/>
                <w:szCs w:val="18"/>
              </w:rPr>
              <w:t>448</w:t>
            </w:r>
          </w:p>
        </w:tc>
        <w:tc>
          <w:tcPr>
            <w:tcW w:w="737" w:type="dxa"/>
            <w:tcBorders>
              <w:top w:val="nil"/>
              <w:left w:val="nil"/>
              <w:bottom w:val="nil"/>
              <w:right w:val="nil"/>
            </w:tcBorders>
            <w:shd w:val="clear" w:color="auto" w:fill="auto"/>
            <w:vAlign w:val="bottom"/>
          </w:tcPr>
          <w:p w14:paraId="7F6BE043" w14:textId="564B4CD0" w:rsidR="00A26814" w:rsidRPr="003E2D55" w:rsidRDefault="00A26814" w:rsidP="00A26814">
            <w:pPr>
              <w:spacing w:before="40" w:after="40"/>
              <w:jc w:val="right"/>
              <w:rPr>
                <w:rFonts w:cs="Arial"/>
                <w:sz w:val="18"/>
                <w:szCs w:val="18"/>
              </w:rPr>
            </w:pPr>
            <w:r w:rsidRPr="003E2D55">
              <w:rPr>
                <w:rFonts w:cs="Arial"/>
                <w:sz w:val="18"/>
                <w:szCs w:val="18"/>
              </w:rPr>
              <w:t>43</w:t>
            </w:r>
          </w:p>
        </w:tc>
        <w:tc>
          <w:tcPr>
            <w:tcW w:w="737" w:type="dxa"/>
            <w:tcBorders>
              <w:top w:val="nil"/>
              <w:left w:val="nil"/>
              <w:bottom w:val="nil"/>
              <w:right w:val="nil"/>
            </w:tcBorders>
            <w:shd w:val="clear" w:color="auto" w:fill="auto"/>
            <w:vAlign w:val="bottom"/>
          </w:tcPr>
          <w:p w14:paraId="6887685E" w14:textId="21CEAA3F" w:rsidR="00A26814" w:rsidRPr="003E2D55" w:rsidRDefault="00A26814" w:rsidP="00A26814">
            <w:pPr>
              <w:spacing w:before="40" w:after="40"/>
              <w:jc w:val="right"/>
              <w:rPr>
                <w:rFonts w:cs="Arial"/>
                <w:sz w:val="18"/>
                <w:szCs w:val="18"/>
              </w:rPr>
            </w:pPr>
            <w:r w:rsidRPr="003E2D55">
              <w:rPr>
                <w:rFonts w:cs="Arial"/>
                <w:sz w:val="18"/>
                <w:szCs w:val="18"/>
              </w:rPr>
              <w:t>23</w:t>
            </w:r>
          </w:p>
        </w:tc>
      </w:tr>
      <w:tr w:rsidR="00A26814" w:rsidRPr="003E2D55" w14:paraId="6F8654C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89093ED" w14:textId="77777777" w:rsidR="00A26814" w:rsidRPr="003E2D55" w:rsidRDefault="00A26814" w:rsidP="00A26814">
            <w:pPr>
              <w:spacing w:before="40" w:after="40"/>
              <w:rPr>
                <w:rFonts w:cs="Arial"/>
                <w:sz w:val="18"/>
                <w:szCs w:val="18"/>
              </w:rPr>
            </w:pPr>
            <w:r w:rsidRPr="003E2D55">
              <w:rPr>
                <w:rFonts w:cs="Arial"/>
                <w:sz w:val="18"/>
                <w:szCs w:val="18"/>
              </w:rPr>
              <w:t>Golden Plains S</w:t>
            </w:r>
          </w:p>
        </w:tc>
        <w:tc>
          <w:tcPr>
            <w:tcW w:w="737" w:type="dxa"/>
            <w:tcBorders>
              <w:top w:val="nil"/>
              <w:left w:val="single" w:sz="18" w:space="0" w:color="5F497A" w:themeColor="accent4" w:themeShade="BF"/>
              <w:bottom w:val="nil"/>
              <w:right w:val="nil"/>
            </w:tcBorders>
            <w:shd w:val="clear" w:color="auto" w:fill="auto"/>
            <w:vAlign w:val="bottom"/>
          </w:tcPr>
          <w:p w14:paraId="7D87A636" w14:textId="1065EED5" w:rsidR="00A26814" w:rsidRPr="003E2D55" w:rsidRDefault="00A26814" w:rsidP="00A26814">
            <w:pPr>
              <w:spacing w:before="40" w:after="40"/>
              <w:jc w:val="right"/>
              <w:rPr>
                <w:rFonts w:cs="Arial"/>
                <w:sz w:val="18"/>
                <w:szCs w:val="18"/>
              </w:rPr>
            </w:pPr>
            <w:r w:rsidRPr="003E2D55">
              <w:rPr>
                <w:rFonts w:cs="Arial"/>
                <w:sz w:val="18"/>
                <w:szCs w:val="18"/>
              </w:rPr>
              <w:t>223</w:t>
            </w:r>
          </w:p>
        </w:tc>
        <w:tc>
          <w:tcPr>
            <w:tcW w:w="737" w:type="dxa"/>
            <w:tcBorders>
              <w:top w:val="nil"/>
              <w:left w:val="nil"/>
              <w:bottom w:val="nil"/>
              <w:right w:val="nil"/>
            </w:tcBorders>
            <w:shd w:val="clear" w:color="auto" w:fill="auto"/>
            <w:vAlign w:val="bottom"/>
          </w:tcPr>
          <w:p w14:paraId="580071E2" w14:textId="318820D8" w:rsidR="00A26814" w:rsidRPr="003E2D55" w:rsidRDefault="00A26814" w:rsidP="00A26814">
            <w:pPr>
              <w:spacing w:before="40" w:after="40"/>
              <w:jc w:val="right"/>
              <w:rPr>
                <w:rFonts w:cs="Arial"/>
                <w:sz w:val="18"/>
                <w:szCs w:val="18"/>
              </w:rPr>
            </w:pPr>
            <w:r w:rsidRPr="003E2D55">
              <w:rPr>
                <w:rFonts w:cs="Arial"/>
                <w:sz w:val="18"/>
                <w:szCs w:val="18"/>
              </w:rPr>
              <w:t>9</w:t>
            </w:r>
          </w:p>
        </w:tc>
        <w:tc>
          <w:tcPr>
            <w:tcW w:w="737" w:type="dxa"/>
            <w:tcBorders>
              <w:top w:val="nil"/>
              <w:left w:val="nil"/>
              <w:bottom w:val="nil"/>
              <w:right w:val="nil"/>
            </w:tcBorders>
            <w:shd w:val="clear" w:color="auto" w:fill="auto"/>
            <w:vAlign w:val="bottom"/>
          </w:tcPr>
          <w:p w14:paraId="241DC624" w14:textId="4E60D28A" w:rsidR="00A26814" w:rsidRPr="003E2D55" w:rsidRDefault="00A26814" w:rsidP="00A26814">
            <w:pPr>
              <w:spacing w:before="40" w:after="40"/>
              <w:jc w:val="right"/>
              <w:rPr>
                <w:rFonts w:cs="Arial"/>
                <w:sz w:val="18"/>
                <w:szCs w:val="18"/>
              </w:rPr>
            </w:pPr>
            <w:r w:rsidRPr="003E2D55">
              <w:rPr>
                <w:rFonts w:cs="Arial"/>
                <w:sz w:val="18"/>
                <w:szCs w:val="18"/>
              </w:rPr>
              <w:t>4</w:t>
            </w:r>
          </w:p>
        </w:tc>
        <w:tc>
          <w:tcPr>
            <w:tcW w:w="737" w:type="dxa"/>
            <w:tcBorders>
              <w:top w:val="nil"/>
              <w:left w:val="nil"/>
              <w:bottom w:val="nil"/>
              <w:right w:val="nil"/>
            </w:tcBorders>
            <w:shd w:val="clear" w:color="auto" w:fill="auto"/>
            <w:vAlign w:val="bottom"/>
          </w:tcPr>
          <w:p w14:paraId="25472128" w14:textId="7379CA54" w:rsidR="00A26814" w:rsidRPr="003E2D55" w:rsidRDefault="00A26814" w:rsidP="00A26814">
            <w:pPr>
              <w:spacing w:before="40" w:after="4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34CFB959" w14:textId="2253DC52"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20065F8E" w14:textId="06380D89" w:rsidR="00A26814" w:rsidRPr="003E2D55" w:rsidRDefault="00A26814" w:rsidP="00A26814">
            <w:pPr>
              <w:spacing w:before="40" w:after="40"/>
              <w:jc w:val="right"/>
              <w:rPr>
                <w:rFonts w:cs="Arial"/>
                <w:sz w:val="18"/>
                <w:szCs w:val="18"/>
              </w:rPr>
            </w:pPr>
            <w:r w:rsidRPr="003E2D55">
              <w:rPr>
                <w:rFonts w:cs="Arial"/>
                <w:sz w:val="18"/>
                <w:szCs w:val="18"/>
              </w:rPr>
              <w:t>146</w:t>
            </w:r>
          </w:p>
        </w:tc>
        <w:tc>
          <w:tcPr>
            <w:tcW w:w="737" w:type="dxa"/>
            <w:tcBorders>
              <w:top w:val="nil"/>
              <w:left w:val="nil"/>
              <w:bottom w:val="nil"/>
              <w:right w:val="nil"/>
            </w:tcBorders>
            <w:shd w:val="clear" w:color="auto" w:fill="auto"/>
            <w:vAlign w:val="bottom"/>
          </w:tcPr>
          <w:p w14:paraId="2F8C845B" w14:textId="2F6BE8C8" w:rsidR="00A26814" w:rsidRPr="003E2D55" w:rsidRDefault="00A26814" w:rsidP="00A26814">
            <w:pPr>
              <w:spacing w:before="40" w:after="40"/>
              <w:jc w:val="right"/>
              <w:rPr>
                <w:rFonts w:cs="Arial"/>
                <w:sz w:val="18"/>
                <w:szCs w:val="18"/>
              </w:rPr>
            </w:pPr>
            <w:r w:rsidRPr="003E2D55">
              <w:rPr>
                <w:rFonts w:cs="Arial"/>
                <w:sz w:val="18"/>
                <w:szCs w:val="18"/>
              </w:rPr>
              <w:t>1,127</w:t>
            </w:r>
          </w:p>
        </w:tc>
        <w:tc>
          <w:tcPr>
            <w:tcW w:w="737" w:type="dxa"/>
            <w:tcBorders>
              <w:top w:val="nil"/>
              <w:left w:val="nil"/>
              <w:bottom w:val="nil"/>
              <w:right w:val="nil"/>
            </w:tcBorders>
            <w:shd w:val="clear" w:color="auto" w:fill="auto"/>
            <w:vAlign w:val="bottom"/>
          </w:tcPr>
          <w:p w14:paraId="3CBE729F" w14:textId="59CE1A58" w:rsidR="00A26814" w:rsidRPr="003E2D55" w:rsidRDefault="00A26814" w:rsidP="00A26814">
            <w:pPr>
              <w:spacing w:before="40" w:after="40"/>
              <w:jc w:val="right"/>
              <w:rPr>
                <w:rFonts w:cs="Arial"/>
                <w:sz w:val="18"/>
                <w:szCs w:val="18"/>
              </w:rPr>
            </w:pPr>
            <w:r w:rsidRPr="003E2D55">
              <w:rPr>
                <w:rFonts w:cs="Arial"/>
                <w:sz w:val="18"/>
                <w:szCs w:val="18"/>
              </w:rPr>
              <w:t>298</w:t>
            </w:r>
          </w:p>
        </w:tc>
        <w:tc>
          <w:tcPr>
            <w:tcW w:w="737" w:type="dxa"/>
            <w:tcBorders>
              <w:top w:val="nil"/>
              <w:left w:val="nil"/>
              <w:bottom w:val="nil"/>
              <w:right w:val="nil"/>
            </w:tcBorders>
            <w:shd w:val="clear" w:color="auto" w:fill="auto"/>
            <w:vAlign w:val="bottom"/>
          </w:tcPr>
          <w:p w14:paraId="71401640" w14:textId="52D58C11" w:rsidR="00A26814" w:rsidRPr="003E2D55" w:rsidRDefault="00A26814" w:rsidP="00A26814">
            <w:pPr>
              <w:spacing w:before="40" w:after="40"/>
              <w:jc w:val="right"/>
              <w:rPr>
                <w:rFonts w:cs="Arial"/>
                <w:sz w:val="18"/>
                <w:szCs w:val="18"/>
              </w:rPr>
            </w:pPr>
            <w:r w:rsidRPr="003E2D55">
              <w:rPr>
                <w:rFonts w:cs="Arial"/>
                <w:sz w:val="18"/>
                <w:szCs w:val="18"/>
              </w:rPr>
              <w:t>37</w:t>
            </w:r>
          </w:p>
        </w:tc>
        <w:tc>
          <w:tcPr>
            <w:tcW w:w="737" w:type="dxa"/>
            <w:tcBorders>
              <w:top w:val="nil"/>
              <w:left w:val="nil"/>
              <w:bottom w:val="nil"/>
              <w:right w:val="nil"/>
            </w:tcBorders>
            <w:shd w:val="clear" w:color="auto" w:fill="auto"/>
            <w:vAlign w:val="bottom"/>
          </w:tcPr>
          <w:p w14:paraId="42A282F2" w14:textId="656B49CE" w:rsidR="00A26814" w:rsidRPr="003E2D55" w:rsidRDefault="00A26814" w:rsidP="00A26814">
            <w:pPr>
              <w:spacing w:before="40" w:after="40"/>
              <w:jc w:val="right"/>
              <w:rPr>
                <w:rFonts w:cs="Arial"/>
                <w:sz w:val="18"/>
                <w:szCs w:val="18"/>
              </w:rPr>
            </w:pPr>
            <w:r w:rsidRPr="003E2D55">
              <w:rPr>
                <w:rFonts w:cs="Arial"/>
                <w:sz w:val="18"/>
                <w:szCs w:val="18"/>
              </w:rPr>
              <w:t>15</w:t>
            </w:r>
          </w:p>
        </w:tc>
      </w:tr>
      <w:tr w:rsidR="00A26814" w:rsidRPr="003E2D55" w14:paraId="3C4003B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F6E5DF6" w14:textId="77777777" w:rsidR="00A26814" w:rsidRPr="003E2D55" w:rsidRDefault="00A26814" w:rsidP="00A26814">
            <w:pPr>
              <w:spacing w:before="40" w:after="40"/>
              <w:rPr>
                <w:rFonts w:cs="Arial"/>
                <w:sz w:val="18"/>
                <w:szCs w:val="18"/>
              </w:rPr>
            </w:pPr>
            <w:r w:rsidRPr="003E2D55">
              <w:rPr>
                <w:rFonts w:cs="Arial"/>
                <w:sz w:val="18"/>
                <w:szCs w:val="18"/>
              </w:rPr>
              <w:t>Greater Bendigo C</w:t>
            </w:r>
          </w:p>
        </w:tc>
        <w:tc>
          <w:tcPr>
            <w:tcW w:w="737" w:type="dxa"/>
            <w:tcBorders>
              <w:top w:val="nil"/>
              <w:left w:val="single" w:sz="18" w:space="0" w:color="5F497A" w:themeColor="accent4" w:themeShade="BF"/>
              <w:bottom w:val="nil"/>
              <w:right w:val="nil"/>
            </w:tcBorders>
            <w:shd w:val="clear" w:color="auto" w:fill="auto"/>
            <w:vAlign w:val="bottom"/>
          </w:tcPr>
          <w:p w14:paraId="181764EF" w14:textId="5FFB57AC" w:rsidR="00A26814" w:rsidRPr="003E2D55" w:rsidRDefault="00A26814" w:rsidP="00A26814">
            <w:pPr>
              <w:spacing w:before="40" w:after="40"/>
              <w:jc w:val="right"/>
              <w:rPr>
                <w:rFonts w:cs="Arial"/>
                <w:sz w:val="18"/>
                <w:szCs w:val="18"/>
              </w:rPr>
            </w:pPr>
            <w:r w:rsidRPr="003E2D55">
              <w:rPr>
                <w:rFonts w:cs="Arial"/>
                <w:sz w:val="18"/>
                <w:szCs w:val="18"/>
              </w:rPr>
              <w:t>599</w:t>
            </w:r>
          </w:p>
        </w:tc>
        <w:tc>
          <w:tcPr>
            <w:tcW w:w="737" w:type="dxa"/>
            <w:tcBorders>
              <w:top w:val="nil"/>
              <w:left w:val="nil"/>
              <w:bottom w:val="nil"/>
              <w:right w:val="nil"/>
            </w:tcBorders>
            <w:shd w:val="clear" w:color="auto" w:fill="auto"/>
            <w:vAlign w:val="bottom"/>
          </w:tcPr>
          <w:p w14:paraId="5487F200" w14:textId="485F5AA5" w:rsidR="00A26814" w:rsidRPr="003E2D55" w:rsidRDefault="00A26814" w:rsidP="00A26814">
            <w:pPr>
              <w:spacing w:before="40" w:after="40"/>
              <w:jc w:val="right"/>
              <w:rPr>
                <w:rFonts w:cs="Arial"/>
                <w:sz w:val="18"/>
                <w:szCs w:val="18"/>
              </w:rPr>
            </w:pPr>
            <w:r w:rsidRPr="003E2D55">
              <w:rPr>
                <w:rFonts w:cs="Arial"/>
                <w:sz w:val="18"/>
                <w:szCs w:val="18"/>
              </w:rPr>
              <w:t>86</w:t>
            </w:r>
          </w:p>
        </w:tc>
        <w:tc>
          <w:tcPr>
            <w:tcW w:w="737" w:type="dxa"/>
            <w:tcBorders>
              <w:top w:val="nil"/>
              <w:left w:val="nil"/>
              <w:bottom w:val="nil"/>
              <w:right w:val="nil"/>
            </w:tcBorders>
            <w:shd w:val="clear" w:color="auto" w:fill="auto"/>
            <w:vAlign w:val="bottom"/>
          </w:tcPr>
          <w:p w14:paraId="7E5BC748" w14:textId="0D253AC5" w:rsidR="00A26814" w:rsidRPr="003E2D55" w:rsidRDefault="00A26814" w:rsidP="00A26814">
            <w:pPr>
              <w:spacing w:before="40" w:after="40"/>
              <w:jc w:val="right"/>
              <w:rPr>
                <w:rFonts w:cs="Arial"/>
                <w:sz w:val="18"/>
                <w:szCs w:val="18"/>
              </w:rPr>
            </w:pPr>
            <w:r w:rsidRPr="003E2D55">
              <w:rPr>
                <w:rFonts w:cs="Arial"/>
                <w:sz w:val="18"/>
                <w:szCs w:val="18"/>
              </w:rPr>
              <w:t>163</w:t>
            </w:r>
          </w:p>
        </w:tc>
        <w:tc>
          <w:tcPr>
            <w:tcW w:w="737" w:type="dxa"/>
            <w:tcBorders>
              <w:top w:val="nil"/>
              <w:left w:val="nil"/>
              <w:bottom w:val="nil"/>
              <w:right w:val="nil"/>
            </w:tcBorders>
            <w:shd w:val="clear" w:color="auto" w:fill="auto"/>
            <w:vAlign w:val="bottom"/>
          </w:tcPr>
          <w:p w14:paraId="21F91AD5" w14:textId="684C4E56" w:rsidR="00A26814" w:rsidRPr="003E2D55" w:rsidRDefault="00A26814" w:rsidP="00A26814">
            <w:pPr>
              <w:spacing w:before="40" w:after="40"/>
              <w:jc w:val="right"/>
              <w:rPr>
                <w:rFonts w:cs="Arial"/>
                <w:sz w:val="18"/>
                <w:szCs w:val="18"/>
              </w:rPr>
            </w:pPr>
            <w:r w:rsidRPr="003E2D55">
              <w:rPr>
                <w:rFonts w:cs="Arial"/>
                <w:sz w:val="18"/>
                <w:szCs w:val="18"/>
              </w:rPr>
              <w:t>36</w:t>
            </w:r>
          </w:p>
        </w:tc>
        <w:tc>
          <w:tcPr>
            <w:tcW w:w="170" w:type="dxa"/>
            <w:tcBorders>
              <w:top w:val="nil"/>
              <w:left w:val="nil"/>
              <w:bottom w:val="nil"/>
              <w:right w:val="nil"/>
            </w:tcBorders>
            <w:shd w:val="clear" w:color="auto" w:fill="auto"/>
            <w:vAlign w:val="bottom"/>
          </w:tcPr>
          <w:p w14:paraId="6C8712A7" w14:textId="526630FA"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14E37021" w14:textId="3571CAB3" w:rsidR="00A26814" w:rsidRPr="003E2D55" w:rsidRDefault="00A26814" w:rsidP="00A26814">
            <w:pPr>
              <w:spacing w:before="40" w:after="40"/>
              <w:jc w:val="right"/>
              <w:rPr>
                <w:rFonts w:cs="Arial"/>
                <w:sz w:val="18"/>
                <w:szCs w:val="18"/>
              </w:rPr>
            </w:pPr>
            <w:r w:rsidRPr="003E2D55">
              <w:rPr>
                <w:rFonts w:cs="Arial"/>
                <w:sz w:val="18"/>
                <w:szCs w:val="18"/>
              </w:rPr>
              <w:t>49</w:t>
            </w:r>
          </w:p>
        </w:tc>
        <w:tc>
          <w:tcPr>
            <w:tcW w:w="737" w:type="dxa"/>
            <w:tcBorders>
              <w:top w:val="nil"/>
              <w:left w:val="nil"/>
              <w:bottom w:val="nil"/>
              <w:right w:val="nil"/>
            </w:tcBorders>
            <w:shd w:val="clear" w:color="auto" w:fill="auto"/>
            <w:vAlign w:val="bottom"/>
          </w:tcPr>
          <w:p w14:paraId="74516559" w14:textId="697A13BC" w:rsidR="00A26814" w:rsidRPr="003E2D55" w:rsidRDefault="00A26814" w:rsidP="00A26814">
            <w:pPr>
              <w:spacing w:before="40" w:after="40"/>
              <w:jc w:val="right"/>
              <w:rPr>
                <w:rFonts w:cs="Arial"/>
                <w:sz w:val="18"/>
                <w:szCs w:val="18"/>
              </w:rPr>
            </w:pPr>
            <w:r w:rsidRPr="003E2D55">
              <w:rPr>
                <w:rFonts w:cs="Arial"/>
                <w:sz w:val="18"/>
                <w:szCs w:val="18"/>
              </w:rPr>
              <w:t>1,665</w:t>
            </w:r>
          </w:p>
        </w:tc>
        <w:tc>
          <w:tcPr>
            <w:tcW w:w="737" w:type="dxa"/>
            <w:tcBorders>
              <w:top w:val="nil"/>
              <w:left w:val="nil"/>
              <w:bottom w:val="nil"/>
              <w:right w:val="nil"/>
            </w:tcBorders>
            <w:shd w:val="clear" w:color="auto" w:fill="auto"/>
            <w:vAlign w:val="bottom"/>
          </w:tcPr>
          <w:p w14:paraId="71A9EC7C" w14:textId="0B5403EB" w:rsidR="00A26814" w:rsidRPr="003E2D55" w:rsidRDefault="00A26814" w:rsidP="00A26814">
            <w:pPr>
              <w:spacing w:before="40" w:after="40"/>
              <w:jc w:val="right"/>
              <w:rPr>
                <w:rFonts w:cs="Arial"/>
                <w:sz w:val="18"/>
                <w:szCs w:val="18"/>
              </w:rPr>
            </w:pPr>
            <w:r w:rsidRPr="003E2D55">
              <w:rPr>
                <w:rFonts w:cs="Arial"/>
                <w:sz w:val="18"/>
                <w:szCs w:val="18"/>
              </w:rPr>
              <w:t>359</w:t>
            </w:r>
          </w:p>
        </w:tc>
        <w:tc>
          <w:tcPr>
            <w:tcW w:w="737" w:type="dxa"/>
            <w:tcBorders>
              <w:top w:val="nil"/>
              <w:left w:val="nil"/>
              <w:bottom w:val="nil"/>
              <w:right w:val="nil"/>
            </w:tcBorders>
            <w:shd w:val="clear" w:color="auto" w:fill="auto"/>
            <w:vAlign w:val="bottom"/>
          </w:tcPr>
          <w:p w14:paraId="1EE23348" w14:textId="31270213" w:rsidR="00A26814" w:rsidRPr="003E2D55" w:rsidRDefault="00A26814" w:rsidP="00A26814">
            <w:pPr>
              <w:spacing w:before="40" w:after="40"/>
              <w:jc w:val="right"/>
              <w:rPr>
                <w:rFonts w:cs="Arial"/>
                <w:sz w:val="18"/>
                <w:szCs w:val="18"/>
              </w:rPr>
            </w:pPr>
            <w:r w:rsidRPr="003E2D55">
              <w:rPr>
                <w:rFonts w:cs="Arial"/>
                <w:sz w:val="18"/>
                <w:szCs w:val="18"/>
              </w:rPr>
              <w:t>67</w:t>
            </w:r>
          </w:p>
        </w:tc>
        <w:tc>
          <w:tcPr>
            <w:tcW w:w="737" w:type="dxa"/>
            <w:tcBorders>
              <w:top w:val="nil"/>
              <w:left w:val="nil"/>
              <w:bottom w:val="nil"/>
              <w:right w:val="nil"/>
            </w:tcBorders>
            <w:shd w:val="clear" w:color="auto" w:fill="auto"/>
            <w:vAlign w:val="bottom"/>
          </w:tcPr>
          <w:p w14:paraId="66D609BA" w14:textId="4087531E" w:rsidR="00A26814" w:rsidRPr="003E2D55" w:rsidRDefault="00A26814" w:rsidP="00A26814">
            <w:pPr>
              <w:spacing w:before="40" w:after="40"/>
              <w:jc w:val="right"/>
              <w:rPr>
                <w:rFonts w:cs="Arial"/>
                <w:sz w:val="18"/>
                <w:szCs w:val="18"/>
              </w:rPr>
            </w:pPr>
            <w:r w:rsidRPr="003E2D55">
              <w:rPr>
                <w:rFonts w:cs="Arial"/>
                <w:sz w:val="18"/>
                <w:szCs w:val="18"/>
              </w:rPr>
              <w:t>95</w:t>
            </w:r>
          </w:p>
        </w:tc>
      </w:tr>
      <w:tr w:rsidR="00A26814" w:rsidRPr="003E2D55" w14:paraId="1E9FDA9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EDBEAA1" w14:textId="77777777" w:rsidR="00A26814" w:rsidRPr="003E2D55" w:rsidRDefault="00A26814" w:rsidP="00A26814">
            <w:pPr>
              <w:spacing w:before="40" w:after="40"/>
              <w:rPr>
                <w:rFonts w:cs="Arial"/>
                <w:sz w:val="18"/>
                <w:szCs w:val="18"/>
              </w:rPr>
            </w:pPr>
            <w:r w:rsidRPr="003E2D55">
              <w:rPr>
                <w:rFonts w:cs="Arial"/>
                <w:sz w:val="18"/>
                <w:szCs w:val="18"/>
              </w:rPr>
              <w:t>Greater Dandenong C</w:t>
            </w:r>
          </w:p>
        </w:tc>
        <w:tc>
          <w:tcPr>
            <w:tcW w:w="737" w:type="dxa"/>
            <w:tcBorders>
              <w:top w:val="nil"/>
              <w:left w:val="single" w:sz="18" w:space="0" w:color="5F497A" w:themeColor="accent4" w:themeShade="BF"/>
              <w:bottom w:val="nil"/>
              <w:right w:val="nil"/>
            </w:tcBorders>
            <w:shd w:val="clear" w:color="auto" w:fill="auto"/>
            <w:vAlign w:val="bottom"/>
          </w:tcPr>
          <w:p w14:paraId="55C5308D" w14:textId="228C72ED" w:rsidR="00A26814" w:rsidRPr="003E2D55" w:rsidRDefault="00A26814" w:rsidP="00A26814">
            <w:pPr>
              <w:spacing w:before="40" w:after="40"/>
              <w:jc w:val="right"/>
              <w:rPr>
                <w:rFonts w:cs="Arial"/>
                <w:sz w:val="18"/>
                <w:szCs w:val="18"/>
              </w:rPr>
            </w:pPr>
            <w:r w:rsidRPr="003E2D55">
              <w:rPr>
                <w:rFonts w:cs="Arial"/>
                <w:sz w:val="18"/>
                <w:szCs w:val="18"/>
              </w:rPr>
              <w:t>216</w:t>
            </w:r>
          </w:p>
        </w:tc>
        <w:tc>
          <w:tcPr>
            <w:tcW w:w="737" w:type="dxa"/>
            <w:tcBorders>
              <w:top w:val="nil"/>
              <w:left w:val="nil"/>
              <w:bottom w:val="nil"/>
              <w:right w:val="nil"/>
            </w:tcBorders>
            <w:shd w:val="clear" w:color="auto" w:fill="auto"/>
            <w:vAlign w:val="bottom"/>
          </w:tcPr>
          <w:p w14:paraId="08E47A0D" w14:textId="0121BD73" w:rsidR="00A26814" w:rsidRPr="003E2D55" w:rsidRDefault="00A26814" w:rsidP="00A26814">
            <w:pPr>
              <w:spacing w:before="40" w:after="40"/>
              <w:jc w:val="right"/>
              <w:rPr>
                <w:rFonts w:cs="Arial"/>
                <w:sz w:val="18"/>
                <w:szCs w:val="18"/>
              </w:rPr>
            </w:pPr>
            <w:r w:rsidRPr="003E2D55">
              <w:rPr>
                <w:rFonts w:cs="Arial"/>
                <w:sz w:val="18"/>
                <w:szCs w:val="18"/>
              </w:rPr>
              <w:t>152</w:t>
            </w:r>
          </w:p>
        </w:tc>
        <w:tc>
          <w:tcPr>
            <w:tcW w:w="737" w:type="dxa"/>
            <w:tcBorders>
              <w:top w:val="nil"/>
              <w:left w:val="nil"/>
              <w:bottom w:val="nil"/>
              <w:right w:val="nil"/>
            </w:tcBorders>
            <w:shd w:val="clear" w:color="auto" w:fill="auto"/>
            <w:vAlign w:val="bottom"/>
          </w:tcPr>
          <w:p w14:paraId="402AFC9F" w14:textId="066DA5F8" w:rsidR="00A26814" w:rsidRPr="003E2D55" w:rsidRDefault="00A26814" w:rsidP="00A26814">
            <w:pPr>
              <w:spacing w:before="40" w:after="40"/>
              <w:jc w:val="right"/>
              <w:rPr>
                <w:rFonts w:cs="Arial"/>
                <w:sz w:val="18"/>
                <w:szCs w:val="18"/>
              </w:rPr>
            </w:pPr>
            <w:r w:rsidRPr="003E2D55">
              <w:rPr>
                <w:rFonts w:cs="Arial"/>
                <w:sz w:val="18"/>
                <w:szCs w:val="18"/>
              </w:rPr>
              <w:t>215</w:t>
            </w:r>
          </w:p>
        </w:tc>
        <w:tc>
          <w:tcPr>
            <w:tcW w:w="737" w:type="dxa"/>
            <w:tcBorders>
              <w:top w:val="nil"/>
              <w:left w:val="nil"/>
              <w:bottom w:val="nil"/>
              <w:right w:val="nil"/>
            </w:tcBorders>
            <w:shd w:val="clear" w:color="auto" w:fill="auto"/>
            <w:vAlign w:val="bottom"/>
          </w:tcPr>
          <w:p w14:paraId="4C2A2692" w14:textId="3784CF9F" w:rsidR="00A26814" w:rsidRPr="003E2D55" w:rsidRDefault="00A26814" w:rsidP="00A26814">
            <w:pPr>
              <w:spacing w:before="40" w:after="40"/>
              <w:jc w:val="right"/>
              <w:rPr>
                <w:rFonts w:cs="Arial"/>
                <w:sz w:val="18"/>
                <w:szCs w:val="18"/>
              </w:rPr>
            </w:pPr>
            <w:r w:rsidRPr="003E2D55">
              <w:rPr>
                <w:rFonts w:cs="Arial"/>
                <w:sz w:val="18"/>
                <w:szCs w:val="18"/>
              </w:rPr>
              <w:t>54</w:t>
            </w:r>
          </w:p>
        </w:tc>
        <w:tc>
          <w:tcPr>
            <w:tcW w:w="170" w:type="dxa"/>
            <w:tcBorders>
              <w:top w:val="nil"/>
              <w:left w:val="nil"/>
              <w:bottom w:val="nil"/>
              <w:right w:val="nil"/>
            </w:tcBorders>
            <w:shd w:val="clear" w:color="auto" w:fill="auto"/>
            <w:vAlign w:val="bottom"/>
          </w:tcPr>
          <w:p w14:paraId="08167B78" w14:textId="7D1DD265"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618B688F" w14:textId="7C1D6027"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3C37181B" w14:textId="0DFEB4ED" w:rsidR="00A26814" w:rsidRPr="003E2D55" w:rsidRDefault="00A26814" w:rsidP="00A26814">
            <w:pPr>
              <w:spacing w:before="40" w:after="40"/>
              <w:jc w:val="right"/>
              <w:rPr>
                <w:rFonts w:cs="Arial"/>
                <w:sz w:val="18"/>
                <w:szCs w:val="18"/>
              </w:rPr>
            </w:pPr>
            <w:r w:rsidRPr="003E2D55">
              <w:rPr>
                <w:rFonts w:cs="Arial"/>
                <w:sz w:val="18"/>
                <w:szCs w:val="18"/>
              </w:rPr>
              <w:t>4</w:t>
            </w:r>
          </w:p>
        </w:tc>
        <w:tc>
          <w:tcPr>
            <w:tcW w:w="737" w:type="dxa"/>
            <w:tcBorders>
              <w:top w:val="nil"/>
              <w:left w:val="nil"/>
              <w:bottom w:val="nil"/>
              <w:right w:val="nil"/>
            </w:tcBorders>
            <w:shd w:val="clear" w:color="auto" w:fill="auto"/>
            <w:vAlign w:val="bottom"/>
          </w:tcPr>
          <w:p w14:paraId="28A49BB4" w14:textId="7F6FAC34" w:rsidR="00A26814" w:rsidRPr="003E2D55" w:rsidRDefault="00A26814" w:rsidP="00A26814">
            <w:pPr>
              <w:spacing w:before="40" w:after="40"/>
              <w:jc w:val="right"/>
              <w:rPr>
                <w:rFonts w:cs="Arial"/>
                <w:sz w:val="18"/>
                <w:szCs w:val="18"/>
              </w:rPr>
            </w:pPr>
            <w:r w:rsidRPr="003E2D55">
              <w:rPr>
                <w:rFonts w:cs="Arial"/>
                <w:sz w:val="18"/>
                <w:szCs w:val="18"/>
              </w:rPr>
              <w:t>11</w:t>
            </w:r>
          </w:p>
        </w:tc>
        <w:tc>
          <w:tcPr>
            <w:tcW w:w="737" w:type="dxa"/>
            <w:tcBorders>
              <w:top w:val="nil"/>
              <w:left w:val="nil"/>
              <w:bottom w:val="nil"/>
              <w:right w:val="nil"/>
            </w:tcBorders>
            <w:shd w:val="clear" w:color="auto" w:fill="auto"/>
            <w:vAlign w:val="bottom"/>
          </w:tcPr>
          <w:p w14:paraId="4DF5FE57" w14:textId="7A2E4B5C" w:rsidR="00A26814" w:rsidRPr="003E2D55" w:rsidRDefault="00A26814" w:rsidP="00A26814">
            <w:pPr>
              <w:spacing w:before="40" w:after="40"/>
              <w:jc w:val="right"/>
              <w:rPr>
                <w:rFonts w:cs="Arial"/>
                <w:sz w:val="18"/>
                <w:szCs w:val="18"/>
              </w:rPr>
            </w:pPr>
            <w:r w:rsidRPr="003E2D55">
              <w:rPr>
                <w:rFonts w:cs="Arial"/>
                <w:sz w:val="18"/>
                <w:szCs w:val="18"/>
              </w:rPr>
              <w:t>10</w:t>
            </w:r>
          </w:p>
        </w:tc>
        <w:tc>
          <w:tcPr>
            <w:tcW w:w="737" w:type="dxa"/>
            <w:tcBorders>
              <w:top w:val="nil"/>
              <w:left w:val="nil"/>
              <w:bottom w:val="nil"/>
              <w:right w:val="nil"/>
            </w:tcBorders>
            <w:shd w:val="clear" w:color="auto" w:fill="auto"/>
            <w:vAlign w:val="bottom"/>
          </w:tcPr>
          <w:p w14:paraId="712B210D" w14:textId="5D0E0E04" w:rsidR="00A26814" w:rsidRPr="003E2D55" w:rsidRDefault="00A26814" w:rsidP="00A26814">
            <w:pPr>
              <w:spacing w:before="40" w:after="40"/>
              <w:jc w:val="right"/>
              <w:rPr>
                <w:rFonts w:cs="Arial"/>
                <w:sz w:val="18"/>
                <w:szCs w:val="18"/>
              </w:rPr>
            </w:pPr>
            <w:r w:rsidRPr="003E2D55">
              <w:rPr>
                <w:rFonts w:cs="Arial"/>
                <w:sz w:val="18"/>
                <w:szCs w:val="18"/>
              </w:rPr>
              <w:t>27</w:t>
            </w:r>
          </w:p>
        </w:tc>
      </w:tr>
      <w:tr w:rsidR="00A26814" w:rsidRPr="003E2D55" w14:paraId="42DF757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590EDC6" w14:textId="77777777" w:rsidR="00A26814" w:rsidRPr="003E2D55" w:rsidRDefault="00A26814" w:rsidP="00A26814">
            <w:pPr>
              <w:spacing w:before="40" w:after="40"/>
              <w:rPr>
                <w:rFonts w:cs="Arial"/>
                <w:sz w:val="18"/>
                <w:szCs w:val="18"/>
              </w:rPr>
            </w:pPr>
            <w:r w:rsidRPr="003E2D55">
              <w:rPr>
                <w:rFonts w:cs="Arial"/>
                <w:sz w:val="18"/>
                <w:szCs w:val="18"/>
              </w:rPr>
              <w:t>Greater Geelong C</w:t>
            </w:r>
          </w:p>
        </w:tc>
        <w:tc>
          <w:tcPr>
            <w:tcW w:w="737" w:type="dxa"/>
            <w:tcBorders>
              <w:top w:val="nil"/>
              <w:left w:val="single" w:sz="18" w:space="0" w:color="5F497A" w:themeColor="accent4" w:themeShade="BF"/>
              <w:bottom w:val="nil"/>
              <w:right w:val="nil"/>
            </w:tcBorders>
            <w:shd w:val="clear" w:color="auto" w:fill="auto"/>
            <w:vAlign w:val="bottom"/>
          </w:tcPr>
          <w:p w14:paraId="53FEC3DB" w14:textId="7F3CAA8F" w:rsidR="00A26814" w:rsidRPr="003E2D55" w:rsidRDefault="00A26814" w:rsidP="00A26814">
            <w:pPr>
              <w:spacing w:before="40" w:after="40"/>
              <w:jc w:val="right"/>
              <w:rPr>
                <w:rFonts w:cs="Arial"/>
                <w:sz w:val="18"/>
                <w:szCs w:val="18"/>
              </w:rPr>
            </w:pPr>
            <w:r w:rsidRPr="003E2D55">
              <w:rPr>
                <w:rFonts w:cs="Arial"/>
                <w:sz w:val="18"/>
                <w:szCs w:val="18"/>
              </w:rPr>
              <w:t>996</w:t>
            </w:r>
          </w:p>
        </w:tc>
        <w:tc>
          <w:tcPr>
            <w:tcW w:w="737" w:type="dxa"/>
            <w:tcBorders>
              <w:top w:val="nil"/>
              <w:left w:val="nil"/>
              <w:bottom w:val="nil"/>
              <w:right w:val="nil"/>
            </w:tcBorders>
            <w:shd w:val="clear" w:color="auto" w:fill="auto"/>
            <w:vAlign w:val="bottom"/>
          </w:tcPr>
          <w:p w14:paraId="6FAC9D5F" w14:textId="55681A7F" w:rsidR="00A26814" w:rsidRPr="003E2D55" w:rsidRDefault="00A26814" w:rsidP="00A26814">
            <w:pPr>
              <w:spacing w:before="40" w:after="40"/>
              <w:jc w:val="right"/>
              <w:rPr>
                <w:rFonts w:cs="Arial"/>
                <w:sz w:val="18"/>
                <w:szCs w:val="18"/>
              </w:rPr>
            </w:pPr>
            <w:r w:rsidRPr="003E2D55">
              <w:rPr>
                <w:rFonts w:cs="Arial"/>
                <w:sz w:val="18"/>
                <w:szCs w:val="18"/>
              </w:rPr>
              <w:t>212</w:t>
            </w:r>
          </w:p>
        </w:tc>
        <w:tc>
          <w:tcPr>
            <w:tcW w:w="737" w:type="dxa"/>
            <w:tcBorders>
              <w:top w:val="nil"/>
              <w:left w:val="nil"/>
              <w:bottom w:val="nil"/>
              <w:right w:val="nil"/>
            </w:tcBorders>
            <w:shd w:val="clear" w:color="auto" w:fill="auto"/>
            <w:vAlign w:val="bottom"/>
          </w:tcPr>
          <w:p w14:paraId="4C1E262B" w14:textId="15CD5F5E" w:rsidR="00A26814" w:rsidRPr="003E2D55" w:rsidRDefault="00A26814" w:rsidP="00A26814">
            <w:pPr>
              <w:spacing w:before="40" w:after="40"/>
              <w:jc w:val="right"/>
              <w:rPr>
                <w:rFonts w:cs="Arial"/>
                <w:sz w:val="18"/>
                <w:szCs w:val="18"/>
              </w:rPr>
            </w:pPr>
            <w:r w:rsidRPr="003E2D55">
              <w:rPr>
                <w:rFonts w:cs="Arial"/>
                <w:sz w:val="18"/>
                <w:szCs w:val="18"/>
              </w:rPr>
              <w:t>246</w:t>
            </w:r>
          </w:p>
        </w:tc>
        <w:tc>
          <w:tcPr>
            <w:tcW w:w="737" w:type="dxa"/>
            <w:tcBorders>
              <w:top w:val="nil"/>
              <w:left w:val="nil"/>
              <w:bottom w:val="nil"/>
              <w:right w:val="nil"/>
            </w:tcBorders>
            <w:shd w:val="clear" w:color="auto" w:fill="auto"/>
            <w:vAlign w:val="bottom"/>
          </w:tcPr>
          <w:p w14:paraId="3BAB25C0" w14:textId="02D05BD7" w:rsidR="00A26814" w:rsidRPr="003E2D55" w:rsidRDefault="00A26814" w:rsidP="00A26814">
            <w:pPr>
              <w:spacing w:before="40" w:after="40"/>
              <w:jc w:val="right"/>
              <w:rPr>
                <w:rFonts w:cs="Arial"/>
                <w:sz w:val="18"/>
                <w:szCs w:val="18"/>
              </w:rPr>
            </w:pPr>
            <w:r w:rsidRPr="003E2D55">
              <w:rPr>
                <w:rFonts w:cs="Arial"/>
                <w:sz w:val="18"/>
                <w:szCs w:val="18"/>
              </w:rPr>
              <w:t>79</w:t>
            </w:r>
          </w:p>
        </w:tc>
        <w:tc>
          <w:tcPr>
            <w:tcW w:w="170" w:type="dxa"/>
            <w:tcBorders>
              <w:top w:val="nil"/>
              <w:left w:val="nil"/>
              <w:bottom w:val="nil"/>
              <w:right w:val="nil"/>
            </w:tcBorders>
            <w:shd w:val="clear" w:color="auto" w:fill="auto"/>
            <w:vAlign w:val="bottom"/>
          </w:tcPr>
          <w:p w14:paraId="2FD40055" w14:textId="0E5FED8C"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731D7E97" w14:textId="1128CE4F" w:rsidR="00A26814" w:rsidRPr="003E2D55" w:rsidRDefault="00A26814" w:rsidP="00A26814">
            <w:pPr>
              <w:spacing w:before="40" w:after="40"/>
              <w:jc w:val="right"/>
              <w:rPr>
                <w:rFonts w:cs="Arial"/>
                <w:sz w:val="18"/>
                <w:szCs w:val="18"/>
              </w:rPr>
            </w:pPr>
            <w:r w:rsidRPr="003E2D55">
              <w:rPr>
                <w:rFonts w:cs="Arial"/>
                <w:sz w:val="18"/>
                <w:szCs w:val="18"/>
              </w:rPr>
              <w:t>30</w:t>
            </w:r>
          </w:p>
        </w:tc>
        <w:tc>
          <w:tcPr>
            <w:tcW w:w="737" w:type="dxa"/>
            <w:tcBorders>
              <w:top w:val="nil"/>
              <w:left w:val="nil"/>
              <w:bottom w:val="nil"/>
              <w:right w:val="nil"/>
            </w:tcBorders>
            <w:shd w:val="clear" w:color="auto" w:fill="auto"/>
            <w:vAlign w:val="bottom"/>
          </w:tcPr>
          <w:p w14:paraId="4D8E4C28" w14:textId="657F6AE3" w:rsidR="00A26814" w:rsidRPr="003E2D55" w:rsidRDefault="00A26814" w:rsidP="00A26814">
            <w:pPr>
              <w:spacing w:before="40" w:after="40"/>
              <w:jc w:val="right"/>
              <w:rPr>
                <w:rFonts w:cs="Arial"/>
                <w:sz w:val="18"/>
                <w:szCs w:val="18"/>
              </w:rPr>
            </w:pPr>
            <w:r w:rsidRPr="003E2D55">
              <w:rPr>
                <w:rFonts w:cs="Arial"/>
                <w:sz w:val="18"/>
                <w:szCs w:val="18"/>
              </w:rPr>
              <w:t>234</w:t>
            </w:r>
          </w:p>
        </w:tc>
        <w:tc>
          <w:tcPr>
            <w:tcW w:w="737" w:type="dxa"/>
            <w:tcBorders>
              <w:top w:val="nil"/>
              <w:left w:val="nil"/>
              <w:bottom w:val="nil"/>
              <w:right w:val="nil"/>
            </w:tcBorders>
            <w:shd w:val="clear" w:color="auto" w:fill="auto"/>
            <w:vAlign w:val="bottom"/>
          </w:tcPr>
          <w:p w14:paraId="670C8A8C" w14:textId="64347D86" w:rsidR="00A26814" w:rsidRPr="003E2D55" w:rsidRDefault="00A26814" w:rsidP="00A26814">
            <w:pPr>
              <w:spacing w:before="40" w:after="40"/>
              <w:jc w:val="right"/>
              <w:rPr>
                <w:rFonts w:cs="Arial"/>
                <w:sz w:val="18"/>
                <w:szCs w:val="18"/>
              </w:rPr>
            </w:pPr>
            <w:r w:rsidRPr="003E2D55">
              <w:rPr>
                <w:rFonts w:cs="Arial"/>
                <w:sz w:val="18"/>
                <w:szCs w:val="18"/>
              </w:rPr>
              <w:t>249</w:t>
            </w:r>
          </w:p>
        </w:tc>
        <w:tc>
          <w:tcPr>
            <w:tcW w:w="737" w:type="dxa"/>
            <w:tcBorders>
              <w:top w:val="nil"/>
              <w:left w:val="nil"/>
              <w:bottom w:val="nil"/>
              <w:right w:val="nil"/>
            </w:tcBorders>
            <w:shd w:val="clear" w:color="auto" w:fill="auto"/>
            <w:vAlign w:val="bottom"/>
          </w:tcPr>
          <w:p w14:paraId="672C0BE7" w14:textId="4CC06F92" w:rsidR="00A26814" w:rsidRPr="003E2D55" w:rsidRDefault="00A26814" w:rsidP="00A26814">
            <w:pPr>
              <w:spacing w:before="40" w:after="40"/>
              <w:jc w:val="right"/>
              <w:rPr>
                <w:rFonts w:cs="Arial"/>
                <w:sz w:val="18"/>
                <w:szCs w:val="18"/>
              </w:rPr>
            </w:pPr>
            <w:r w:rsidRPr="003E2D55">
              <w:rPr>
                <w:rFonts w:cs="Arial"/>
                <w:sz w:val="18"/>
                <w:szCs w:val="18"/>
              </w:rPr>
              <w:t>63</w:t>
            </w:r>
          </w:p>
        </w:tc>
        <w:tc>
          <w:tcPr>
            <w:tcW w:w="737" w:type="dxa"/>
            <w:tcBorders>
              <w:top w:val="nil"/>
              <w:left w:val="nil"/>
              <w:bottom w:val="nil"/>
              <w:right w:val="nil"/>
            </w:tcBorders>
            <w:shd w:val="clear" w:color="auto" w:fill="auto"/>
            <w:vAlign w:val="bottom"/>
          </w:tcPr>
          <w:p w14:paraId="1FD17E1A" w14:textId="0D85117A" w:rsidR="00A26814" w:rsidRPr="003E2D55" w:rsidRDefault="00A26814" w:rsidP="00A26814">
            <w:pPr>
              <w:spacing w:before="40" w:after="40"/>
              <w:jc w:val="right"/>
              <w:rPr>
                <w:rFonts w:cs="Arial"/>
                <w:sz w:val="18"/>
                <w:szCs w:val="18"/>
              </w:rPr>
            </w:pPr>
            <w:r w:rsidRPr="003E2D55">
              <w:rPr>
                <w:rFonts w:cs="Arial"/>
                <w:sz w:val="18"/>
                <w:szCs w:val="18"/>
              </w:rPr>
              <w:t>102</w:t>
            </w:r>
          </w:p>
        </w:tc>
      </w:tr>
      <w:tr w:rsidR="00A26814" w:rsidRPr="003E2D55" w14:paraId="36B4F78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1AA8E7B" w14:textId="77777777" w:rsidR="00A26814" w:rsidRPr="003E2D55" w:rsidRDefault="00A26814" w:rsidP="00A26814">
            <w:pPr>
              <w:spacing w:before="40" w:after="40"/>
              <w:rPr>
                <w:rFonts w:cs="Arial"/>
                <w:sz w:val="18"/>
                <w:szCs w:val="18"/>
              </w:rPr>
            </w:pPr>
            <w:r w:rsidRPr="003E2D55">
              <w:rPr>
                <w:rFonts w:cs="Arial"/>
                <w:sz w:val="18"/>
                <w:szCs w:val="18"/>
              </w:rPr>
              <w:t>Greater Shepparton C</w:t>
            </w:r>
          </w:p>
        </w:tc>
        <w:tc>
          <w:tcPr>
            <w:tcW w:w="737" w:type="dxa"/>
            <w:tcBorders>
              <w:top w:val="nil"/>
              <w:left w:val="single" w:sz="18" w:space="0" w:color="5F497A" w:themeColor="accent4" w:themeShade="BF"/>
              <w:bottom w:val="nil"/>
              <w:right w:val="nil"/>
            </w:tcBorders>
            <w:shd w:val="clear" w:color="auto" w:fill="auto"/>
            <w:vAlign w:val="bottom"/>
          </w:tcPr>
          <w:p w14:paraId="5728D142" w14:textId="44FC3C34" w:rsidR="00A26814" w:rsidRPr="003E2D55" w:rsidRDefault="00A26814" w:rsidP="00A26814">
            <w:pPr>
              <w:spacing w:before="40" w:after="40"/>
              <w:jc w:val="right"/>
              <w:rPr>
                <w:rFonts w:cs="Arial"/>
                <w:sz w:val="18"/>
                <w:szCs w:val="18"/>
              </w:rPr>
            </w:pPr>
            <w:r w:rsidRPr="003E2D55">
              <w:rPr>
                <w:rFonts w:cs="Arial"/>
                <w:sz w:val="18"/>
                <w:szCs w:val="18"/>
              </w:rPr>
              <w:t>200</w:t>
            </w:r>
          </w:p>
        </w:tc>
        <w:tc>
          <w:tcPr>
            <w:tcW w:w="737" w:type="dxa"/>
            <w:tcBorders>
              <w:top w:val="nil"/>
              <w:left w:val="nil"/>
              <w:bottom w:val="nil"/>
              <w:right w:val="nil"/>
            </w:tcBorders>
            <w:shd w:val="clear" w:color="auto" w:fill="auto"/>
            <w:vAlign w:val="bottom"/>
          </w:tcPr>
          <w:p w14:paraId="53F0C33E" w14:textId="1B9E6A4A" w:rsidR="00A26814" w:rsidRPr="003E2D55" w:rsidRDefault="00A26814" w:rsidP="00A26814">
            <w:pPr>
              <w:spacing w:before="40" w:after="40"/>
              <w:jc w:val="right"/>
              <w:rPr>
                <w:rFonts w:cs="Arial"/>
                <w:sz w:val="18"/>
                <w:szCs w:val="18"/>
              </w:rPr>
            </w:pPr>
            <w:r w:rsidRPr="003E2D55">
              <w:rPr>
                <w:rFonts w:cs="Arial"/>
                <w:sz w:val="18"/>
                <w:szCs w:val="18"/>
              </w:rPr>
              <w:t>95</w:t>
            </w:r>
          </w:p>
        </w:tc>
        <w:tc>
          <w:tcPr>
            <w:tcW w:w="737" w:type="dxa"/>
            <w:tcBorders>
              <w:top w:val="nil"/>
              <w:left w:val="nil"/>
              <w:bottom w:val="nil"/>
              <w:right w:val="nil"/>
            </w:tcBorders>
            <w:shd w:val="clear" w:color="auto" w:fill="auto"/>
            <w:vAlign w:val="bottom"/>
          </w:tcPr>
          <w:p w14:paraId="567EFB70" w14:textId="276052BB" w:rsidR="00A26814" w:rsidRPr="003E2D55" w:rsidRDefault="00A26814" w:rsidP="00A26814">
            <w:pPr>
              <w:spacing w:before="40" w:after="40"/>
              <w:jc w:val="right"/>
              <w:rPr>
                <w:rFonts w:cs="Arial"/>
                <w:sz w:val="18"/>
                <w:szCs w:val="18"/>
              </w:rPr>
            </w:pPr>
            <w:r w:rsidRPr="003E2D55">
              <w:rPr>
                <w:rFonts w:cs="Arial"/>
                <w:sz w:val="18"/>
                <w:szCs w:val="18"/>
              </w:rPr>
              <w:t>104</w:t>
            </w:r>
          </w:p>
        </w:tc>
        <w:tc>
          <w:tcPr>
            <w:tcW w:w="737" w:type="dxa"/>
            <w:tcBorders>
              <w:top w:val="nil"/>
              <w:left w:val="nil"/>
              <w:bottom w:val="nil"/>
              <w:right w:val="nil"/>
            </w:tcBorders>
            <w:shd w:val="clear" w:color="auto" w:fill="auto"/>
            <w:vAlign w:val="bottom"/>
          </w:tcPr>
          <w:p w14:paraId="6080D053" w14:textId="35528C1A" w:rsidR="00A26814" w:rsidRPr="003E2D55" w:rsidRDefault="00A26814" w:rsidP="00A26814">
            <w:pPr>
              <w:spacing w:before="40" w:after="40"/>
              <w:jc w:val="right"/>
              <w:rPr>
                <w:rFonts w:cs="Arial"/>
                <w:sz w:val="18"/>
                <w:szCs w:val="18"/>
              </w:rPr>
            </w:pPr>
            <w:r w:rsidRPr="003E2D55">
              <w:rPr>
                <w:rFonts w:cs="Arial"/>
                <w:sz w:val="18"/>
                <w:szCs w:val="18"/>
              </w:rPr>
              <w:t>27</w:t>
            </w:r>
          </w:p>
        </w:tc>
        <w:tc>
          <w:tcPr>
            <w:tcW w:w="170" w:type="dxa"/>
            <w:tcBorders>
              <w:top w:val="nil"/>
              <w:left w:val="nil"/>
              <w:bottom w:val="nil"/>
              <w:right w:val="nil"/>
            </w:tcBorders>
            <w:shd w:val="clear" w:color="auto" w:fill="auto"/>
            <w:vAlign w:val="bottom"/>
          </w:tcPr>
          <w:p w14:paraId="48C4FBC9" w14:textId="3AD595D1"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47FC1C9F" w14:textId="2EE13AA2" w:rsidR="00A26814" w:rsidRPr="003E2D55" w:rsidRDefault="00A26814" w:rsidP="00A26814">
            <w:pPr>
              <w:spacing w:before="40" w:after="40"/>
              <w:jc w:val="right"/>
              <w:rPr>
                <w:rFonts w:cs="Arial"/>
                <w:sz w:val="18"/>
                <w:szCs w:val="18"/>
              </w:rPr>
            </w:pPr>
            <w:r w:rsidRPr="003E2D55">
              <w:rPr>
                <w:rFonts w:cs="Arial"/>
                <w:sz w:val="18"/>
                <w:szCs w:val="18"/>
              </w:rPr>
              <w:t>217</w:t>
            </w:r>
          </w:p>
        </w:tc>
        <w:tc>
          <w:tcPr>
            <w:tcW w:w="737" w:type="dxa"/>
            <w:tcBorders>
              <w:top w:val="nil"/>
              <w:left w:val="nil"/>
              <w:bottom w:val="nil"/>
              <w:right w:val="nil"/>
            </w:tcBorders>
            <w:shd w:val="clear" w:color="auto" w:fill="auto"/>
            <w:vAlign w:val="bottom"/>
          </w:tcPr>
          <w:p w14:paraId="2DE2C7FE" w14:textId="11932C2D" w:rsidR="00A26814" w:rsidRPr="003E2D55" w:rsidRDefault="00A26814" w:rsidP="00A26814">
            <w:pPr>
              <w:spacing w:before="40" w:after="40"/>
              <w:jc w:val="right"/>
              <w:rPr>
                <w:rFonts w:cs="Arial"/>
                <w:sz w:val="18"/>
                <w:szCs w:val="18"/>
              </w:rPr>
            </w:pPr>
            <w:r w:rsidRPr="003E2D55">
              <w:rPr>
                <w:rFonts w:cs="Arial"/>
                <w:sz w:val="18"/>
                <w:szCs w:val="18"/>
              </w:rPr>
              <w:t>1,257</w:t>
            </w:r>
          </w:p>
        </w:tc>
        <w:tc>
          <w:tcPr>
            <w:tcW w:w="737" w:type="dxa"/>
            <w:tcBorders>
              <w:top w:val="nil"/>
              <w:left w:val="nil"/>
              <w:bottom w:val="nil"/>
              <w:right w:val="nil"/>
            </w:tcBorders>
            <w:shd w:val="clear" w:color="auto" w:fill="auto"/>
            <w:vAlign w:val="bottom"/>
          </w:tcPr>
          <w:p w14:paraId="701F3902" w14:textId="56126D39" w:rsidR="00A26814" w:rsidRPr="003E2D55" w:rsidRDefault="00A26814" w:rsidP="00A26814">
            <w:pPr>
              <w:spacing w:before="40" w:after="40"/>
              <w:jc w:val="right"/>
              <w:rPr>
                <w:rFonts w:cs="Arial"/>
                <w:sz w:val="18"/>
                <w:szCs w:val="18"/>
              </w:rPr>
            </w:pPr>
            <w:r w:rsidRPr="003E2D55">
              <w:rPr>
                <w:rFonts w:cs="Arial"/>
                <w:sz w:val="18"/>
                <w:szCs w:val="18"/>
              </w:rPr>
              <w:t>498</w:t>
            </w:r>
          </w:p>
        </w:tc>
        <w:tc>
          <w:tcPr>
            <w:tcW w:w="737" w:type="dxa"/>
            <w:tcBorders>
              <w:top w:val="nil"/>
              <w:left w:val="nil"/>
              <w:bottom w:val="nil"/>
              <w:right w:val="nil"/>
            </w:tcBorders>
            <w:shd w:val="clear" w:color="auto" w:fill="auto"/>
            <w:vAlign w:val="bottom"/>
          </w:tcPr>
          <w:p w14:paraId="78DAE47B" w14:textId="1BF50A5C" w:rsidR="00A26814" w:rsidRPr="003E2D55" w:rsidRDefault="00A26814" w:rsidP="00A26814">
            <w:pPr>
              <w:spacing w:before="40" w:after="40"/>
              <w:jc w:val="right"/>
              <w:rPr>
                <w:rFonts w:cs="Arial"/>
                <w:sz w:val="18"/>
                <w:szCs w:val="18"/>
              </w:rPr>
            </w:pPr>
            <w:r w:rsidRPr="003E2D55">
              <w:rPr>
                <w:rFonts w:cs="Arial"/>
                <w:sz w:val="18"/>
                <w:szCs w:val="18"/>
              </w:rPr>
              <w:t>75</w:t>
            </w:r>
          </w:p>
        </w:tc>
        <w:tc>
          <w:tcPr>
            <w:tcW w:w="737" w:type="dxa"/>
            <w:tcBorders>
              <w:top w:val="nil"/>
              <w:left w:val="nil"/>
              <w:bottom w:val="nil"/>
              <w:right w:val="nil"/>
            </w:tcBorders>
            <w:shd w:val="clear" w:color="auto" w:fill="auto"/>
            <w:vAlign w:val="bottom"/>
          </w:tcPr>
          <w:p w14:paraId="007C2C1D" w14:textId="229B3F6B" w:rsidR="00A26814" w:rsidRPr="003E2D55" w:rsidRDefault="00A26814" w:rsidP="00A26814">
            <w:pPr>
              <w:spacing w:before="40" w:after="40"/>
              <w:jc w:val="right"/>
              <w:rPr>
                <w:rFonts w:cs="Arial"/>
                <w:sz w:val="18"/>
                <w:szCs w:val="18"/>
              </w:rPr>
            </w:pPr>
            <w:r w:rsidRPr="003E2D55">
              <w:rPr>
                <w:rFonts w:cs="Arial"/>
                <w:sz w:val="18"/>
                <w:szCs w:val="18"/>
              </w:rPr>
              <w:t>44</w:t>
            </w:r>
          </w:p>
        </w:tc>
      </w:tr>
      <w:tr w:rsidR="00A26814" w:rsidRPr="003E2D55" w14:paraId="7C82F17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788C937" w14:textId="77777777" w:rsidR="00A26814" w:rsidRPr="003E2D55" w:rsidRDefault="00A26814" w:rsidP="00A26814">
            <w:pPr>
              <w:spacing w:before="40" w:after="40"/>
              <w:rPr>
                <w:rFonts w:cs="Arial"/>
                <w:sz w:val="18"/>
                <w:szCs w:val="18"/>
              </w:rPr>
            </w:pPr>
            <w:r w:rsidRPr="003E2D55">
              <w:rPr>
                <w:rFonts w:cs="Arial"/>
                <w:sz w:val="18"/>
                <w:szCs w:val="18"/>
              </w:rPr>
              <w:t>Hepburn S</w:t>
            </w:r>
          </w:p>
        </w:tc>
        <w:tc>
          <w:tcPr>
            <w:tcW w:w="737" w:type="dxa"/>
            <w:tcBorders>
              <w:top w:val="nil"/>
              <w:left w:val="single" w:sz="18" w:space="0" w:color="5F497A" w:themeColor="accent4" w:themeShade="BF"/>
              <w:bottom w:val="nil"/>
              <w:right w:val="nil"/>
            </w:tcBorders>
            <w:shd w:val="clear" w:color="auto" w:fill="auto"/>
            <w:vAlign w:val="bottom"/>
          </w:tcPr>
          <w:p w14:paraId="359C19C0" w14:textId="38DCB71A" w:rsidR="00A26814" w:rsidRPr="003E2D55" w:rsidRDefault="00A26814" w:rsidP="00A26814">
            <w:pPr>
              <w:spacing w:before="40" w:after="40"/>
              <w:jc w:val="right"/>
              <w:rPr>
                <w:rFonts w:cs="Arial"/>
                <w:sz w:val="18"/>
                <w:szCs w:val="18"/>
              </w:rPr>
            </w:pPr>
            <w:r w:rsidRPr="003E2D55">
              <w:rPr>
                <w:rFonts w:cs="Arial"/>
                <w:sz w:val="18"/>
                <w:szCs w:val="18"/>
              </w:rPr>
              <w:t>398</w:t>
            </w:r>
          </w:p>
        </w:tc>
        <w:tc>
          <w:tcPr>
            <w:tcW w:w="737" w:type="dxa"/>
            <w:tcBorders>
              <w:top w:val="nil"/>
              <w:left w:val="nil"/>
              <w:bottom w:val="nil"/>
              <w:right w:val="nil"/>
            </w:tcBorders>
            <w:shd w:val="clear" w:color="auto" w:fill="auto"/>
            <w:vAlign w:val="bottom"/>
          </w:tcPr>
          <w:p w14:paraId="40949B43" w14:textId="06692203" w:rsidR="00A26814" w:rsidRPr="003E2D55" w:rsidRDefault="00A26814" w:rsidP="00A26814">
            <w:pPr>
              <w:spacing w:before="40" w:after="40"/>
              <w:jc w:val="right"/>
              <w:rPr>
                <w:rFonts w:cs="Arial"/>
                <w:sz w:val="18"/>
                <w:szCs w:val="18"/>
              </w:rPr>
            </w:pPr>
            <w:r w:rsidRPr="003E2D55">
              <w:rPr>
                <w:rFonts w:cs="Arial"/>
                <w:sz w:val="18"/>
                <w:szCs w:val="18"/>
              </w:rPr>
              <w:t>6</w:t>
            </w:r>
          </w:p>
        </w:tc>
        <w:tc>
          <w:tcPr>
            <w:tcW w:w="737" w:type="dxa"/>
            <w:tcBorders>
              <w:top w:val="nil"/>
              <w:left w:val="nil"/>
              <w:bottom w:val="nil"/>
              <w:right w:val="nil"/>
            </w:tcBorders>
            <w:shd w:val="clear" w:color="auto" w:fill="auto"/>
            <w:vAlign w:val="bottom"/>
          </w:tcPr>
          <w:p w14:paraId="2015423E" w14:textId="0A4A7E19" w:rsidR="00A26814" w:rsidRPr="003E2D55" w:rsidRDefault="00A26814" w:rsidP="00A26814">
            <w:pPr>
              <w:spacing w:before="40" w:after="40"/>
              <w:jc w:val="right"/>
              <w:rPr>
                <w:rFonts w:cs="Arial"/>
                <w:sz w:val="18"/>
                <w:szCs w:val="18"/>
              </w:rPr>
            </w:pPr>
            <w:r w:rsidRPr="003E2D55">
              <w:rPr>
                <w:rFonts w:cs="Arial"/>
                <w:sz w:val="18"/>
                <w:szCs w:val="18"/>
              </w:rPr>
              <w:t>3</w:t>
            </w:r>
          </w:p>
        </w:tc>
        <w:tc>
          <w:tcPr>
            <w:tcW w:w="737" w:type="dxa"/>
            <w:tcBorders>
              <w:top w:val="nil"/>
              <w:left w:val="nil"/>
              <w:bottom w:val="nil"/>
              <w:right w:val="nil"/>
            </w:tcBorders>
            <w:shd w:val="clear" w:color="auto" w:fill="auto"/>
            <w:vAlign w:val="bottom"/>
          </w:tcPr>
          <w:p w14:paraId="6A9B0363" w14:textId="66D4309D" w:rsidR="00A26814" w:rsidRPr="003E2D55" w:rsidRDefault="00A26814" w:rsidP="00A26814">
            <w:pPr>
              <w:spacing w:before="40" w:after="4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57DDD603" w14:textId="7559E554"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74682440" w14:textId="14BFAFBE" w:rsidR="00A26814" w:rsidRPr="003E2D55" w:rsidRDefault="00A26814" w:rsidP="00A26814">
            <w:pPr>
              <w:spacing w:before="40" w:after="40"/>
              <w:jc w:val="right"/>
              <w:rPr>
                <w:rFonts w:cs="Arial"/>
                <w:sz w:val="18"/>
                <w:szCs w:val="18"/>
              </w:rPr>
            </w:pPr>
            <w:r w:rsidRPr="003E2D55">
              <w:rPr>
                <w:rFonts w:cs="Arial"/>
                <w:sz w:val="18"/>
                <w:szCs w:val="18"/>
              </w:rPr>
              <w:t>1</w:t>
            </w:r>
          </w:p>
        </w:tc>
        <w:tc>
          <w:tcPr>
            <w:tcW w:w="737" w:type="dxa"/>
            <w:tcBorders>
              <w:top w:val="nil"/>
              <w:left w:val="nil"/>
              <w:bottom w:val="nil"/>
              <w:right w:val="nil"/>
            </w:tcBorders>
            <w:shd w:val="clear" w:color="auto" w:fill="auto"/>
            <w:vAlign w:val="bottom"/>
          </w:tcPr>
          <w:p w14:paraId="5A43B26B" w14:textId="18C5D8FA" w:rsidR="00A26814" w:rsidRPr="003E2D55" w:rsidRDefault="00A26814" w:rsidP="00A26814">
            <w:pPr>
              <w:spacing w:before="40" w:after="40"/>
              <w:jc w:val="right"/>
              <w:rPr>
                <w:rFonts w:cs="Arial"/>
                <w:sz w:val="18"/>
                <w:szCs w:val="18"/>
              </w:rPr>
            </w:pPr>
            <w:r w:rsidRPr="003E2D55">
              <w:rPr>
                <w:rFonts w:cs="Arial"/>
                <w:sz w:val="18"/>
                <w:szCs w:val="18"/>
              </w:rPr>
              <w:t>1,026</w:t>
            </w:r>
          </w:p>
        </w:tc>
        <w:tc>
          <w:tcPr>
            <w:tcW w:w="737" w:type="dxa"/>
            <w:tcBorders>
              <w:top w:val="nil"/>
              <w:left w:val="nil"/>
              <w:bottom w:val="nil"/>
              <w:right w:val="nil"/>
            </w:tcBorders>
            <w:shd w:val="clear" w:color="auto" w:fill="auto"/>
            <w:vAlign w:val="bottom"/>
          </w:tcPr>
          <w:p w14:paraId="7220A6C8" w14:textId="7921B733" w:rsidR="00A26814" w:rsidRPr="003E2D55" w:rsidRDefault="00A26814" w:rsidP="00A26814">
            <w:pPr>
              <w:spacing w:before="40" w:after="40"/>
              <w:jc w:val="right"/>
              <w:rPr>
                <w:rFonts w:cs="Arial"/>
                <w:sz w:val="18"/>
                <w:szCs w:val="18"/>
              </w:rPr>
            </w:pPr>
            <w:r w:rsidRPr="003E2D55">
              <w:rPr>
                <w:rFonts w:cs="Arial"/>
                <w:sz w:val="18"/>
                <w:szCs w:val="18"/>
              </w:rPr>
              <w:t>68</w:t>
            </w:r>
          </w:p>
        </w:tc>
        <w:tc>
          <w:tcPr>
            <w:tcW w:w="737" w:type="dxa"/>
            <w:tcBorders>
              <w:top w:val="nil"/>
              <w:left w:val="nil"/>
              <w:bottom w:val="nil"/>
              <w:right w:val="nil"/>
            </w:tcBorders>
            <w:shd w:val="clear" w:color="auto" w:fill="auto"/>
            <w:vAlign w:val="bottom"/>
          </w:tcPr>
          <w:p w14:paraId="69AB46C8" w14:textId="1D7E0B34" w:rsidR="00A26814" w:rsidRPr="003E2D55" w:rsidRDefault="00A26814" w:rsidP="00A26814">
            <w:pPr>
              <w:spacing w:before="40" w:after="40"/>
              <w:jc w:val="right"/>
              <w:rPr>
                <w:rFonts w:cs="Arial"/>
                <w:sz w:val="18"/>
                <w:szCs w:val="18"/>
              </w:rPr>
            </w:pPr>
            <w:r w:rsidRPr="003E2D55">
              <w:rPr>
                <w:rFonts w:cs="Arial"/>
                <w:sz w:val="18"/>
                <w:szCs w:val="18"/>
              </w:rPr>
              <w:t>1</w:t>
            </w:r>
          </w:p>
        </w:tc>
        <w:tc>
          <w:tcPr>
            <w:tcW w:w="737" w:type="dxa"/>
            <w:tcBorders>
              <w:top w:val="nil"/>
              <w:left w:val="nil"/>
              <w:bottom w:val="nil"/>
              <w:right w:val="nil"/>
            </w:tcBorders>
            <w:shd w:val="clear" w:color="auto" w:fill="auto"/>
            <w:vAlign w:val="bottom"/>
          </w:tcPr>
          <w:p w14:paraId="6AC757DF" w14:textId="07807E1F" w:rsidR="00A26814" w:rsidRPr="003E2D55" w:rsidRDefault="00A26814" w:rsidP="00A26814">
            <w:pPr>
              <w:spacing w:before="40" w:after="40"/>
              <w:jc w:val="right"/>
              <w:rPr>
                <w:rFonts w:cs="Arial"/>
                <w:sz w:val="18"/>
                <w:szCs w:val="18"/>
              </w:rPr>
            </w:pPr>
            <w:r w:rsidRPr="003E2D55">
              <w:rPr>
                <w:rFonts w:cs="Arial"/>
                <w:sz w:val="18"/>
                <w:szCs w:val="18"/>
              </w:rPr>
              <w:t>0</w:t>
            </w:r>
          </w:p>
        </w:tc>
      </w:tr>
      <w:tr w:rsidR="00A26814" w:rsidRPr="003E2D55" w14:paraId="39329DB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67601A0" w14:textId="77777777" w:rsidR="00A26814" w:rsidRPr="003E2D55" w:rsidRDefault="00A26814" w:rsidP="00A26814">
            <w:pPr>
              <w:spacing w:before="40" w:after="40"/>
              <w:rPr>
                <w:rFonts w:cs="Arial"/>
                <w:sz w:val="18"/>
                <w:szCs w:val="18"/>
              </w:rPr>
            </w:pPr>
            <w:r w:rsidRPr="003E2D55">
              <w:rPr>
                <w:rFonts w:cs="Arial"/>
                <w:sz w:val="18"/>
                <w:szCs w:val="18"/>
              </w:rPr>
              <w:t>Hindmarsh S</w:t>
            </w:r>
          </w:p>
        </w:tc>
        <w:tc>
          <w:tcPr>
            <w:tcW w:w="737" w:type="dxa"/>
            <w:tcBorders>
              <w:top w:val="nil"/>
              <w:left w:val="single" w:sz="18" w:space="0" w:color="5F497A" w:themeColor="accent4" w:themeShade="BF"/>
              <w:bottom w:val="nil"/>
              <w:right w:val="nil"/>
            </w:tcBorders>
            <w:shd w:val="clear" w:color="auto" w:fill="auto"/>
            <w:vAlign w:val="bottom"/>
          </w:tcPr>
          <w:p w14:paraId="38293529" w14:textId="67730F86" w:rsidR="00A26814" w:rsidRPr="003E2D55" w:rsidRDefault="00A26814" w:rsidP="00A26814">
            <w:pPr>
              <w:spacing w:before="40" w:after="40"/>
              <w:jc w:val="right"/>
              <w:rPr>
                <w:rFonts w:cs="Arial"/>
                <w:sz w:val="18"/>
                <w:szCs w:val="18"/>
              </w:rPr>
            </w:pPr>
            <w:r w:rsidRPr="003E2D55">
              <w:rPr>
                <w:rFonts w:cs="Arial"/>
                <w:sz w:val="18"/>
                <w:szCs w:val="18"/>
              </w:rPr>
              <w:t>115</w:t>
            </w:r>
          </w:p>
        </w:tc>
        <w:tc>
          <w:tcPr>
            <w:tcW w:w="737" w:type="dxa"/>
            <w:tcBorders>
              <w:top w:val="nil"/>
              <w:left w:val="nil"/>
              <w:bottom w:val="nil"/>
              <w:right w:val="nil"/>
            </w:tcBorders>
            <w:shd w:val="clear" w:color="auto" w:fill="auto"/>
            <w:vAlign w:val="bottom"/>
          </w:tcPr>
          <w:p w14:paraId="1FE93E2A" w14:textId="44278496" w:rsidR="00A26814" w:rsidRPr="003E2D55" w:rsidRDefault="00A26814" w:rsidP="00A26814">
            <w:pPr>
              <w:spacing w:before="40" w:after="40"/>
              <w:jc w:val="right"/>
              <w:rPr>
                <w:rFonts w:cs="Arial"/>
                <w:sz w:val="18"/>
                <w:szCs w:val="18"/>
              </w:rPr>
            </w:pPr>
            <w:r w:rsidRPr="003E2D55">
              <w:rPr>
                <w:rFonts w:cs="Arial"/>
                <w:sz w:val="18"/>
                <w:szCs w:val="18"/>
              </w:rPr>
              <w:t>3</w:t>
            </w:r>
          </w:p>
        </w:tc>
        <w:tc>
          <w:tcPr>
            <w:tcW w:w="737" w:type="dxa"/>
            <w:tcBorders>
              <w:top w:val="nil"/>
              <w:left w:val="nil"/>
              <w:bottom w:val="nil"/>
              <w:right w:val="nil"/>
            </w:tcBorders>
            <w:shd w:val="clear" w:color="auto" w:fill="auto"/>
            <w:vAlign w:val="bottom"/>
          </w:tcPr>
          <w:p w14:paraId="520283AF" w14:textId="3B164077" w:rsidR="00A26814" w:rsidRPr="003E2D55" w:rsidRDefault="00A26814" w:rsidP="00A26814">
            <w:pPr>
              <w:spacing w:before="40" w:after="40"/>
              <w:jc w:val="right"/>
              <w:rPr>
                <w:rFonts w:cs="Arial"/>
                <w:sz w:val="18"/>
                <w:szCs w:val="18"/>
              </w:rPr>
            </w:pPr>
            <w:r w:rsidRPr="003E2D55">
              <w:rPr>
                <w:rFonts w:cs="Arial"/>
                <w:sz w:val="18"/>
                <w:szCs w:val="18"/>
              </w:rPr>
              <w:t>1</w:t>
            </w:r>
          </w:p>
        </w:tc>
        <w:tc>
          <w:tcPr>
            <w:tcW w:w="737" w:type="dxa"/>
            <w:tcBorders>
              <w:top w:val="nil"/>
              <w:left w:val="nil"/>
              <w:bottom w:val="nil"/>
              <w:right w:val="nil"/>
            </w:tcBorders>
            <w:shd w:val="clear" w:color="auto" w:fill="auto"/>
            <w:vAlign w:val="bottom"/>
          </w:tcPr>
          <w:p w14:paraId="4582B3C7" w14:textId="5FB3E421" w:rsidR="00A26814" w:rsidRPr="003E2D55" w:rsidRDefault="00A26814" w:rsidP="00A26814">
            <w:pPr>
              <w:spacing w:before="40" w:after="4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4237C604" w14:textId="1343AA18"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70B4506E" w14:textId="25E127F9" w:rsidR="00A26814" w:rsidRPr="003E2D55" w:rsidRDefault="00A26814" w:rsidP="00A26814">
            <w:pPr>
              <w:spacing w:before="40" w:after="40"/>
              <w:jc w:val="right"/>
              <w:rPr>
                <w:rFonts w:cs="Arial"/>
                <w:sz w:val="18"/>
                <w:szCs w:val="18"/>
              </w:rPr>
            </w:pPr>
            <w:r w:rsidRPr="003E2D55">
              <w:rPr>
                <w:rFonts w:cs="Arial"/>
                <w:sz w:val="18"/>
                <w:szCs w:val="18"/>
              </w:rPr>
              <w:t>1,474</w:t>
            </w:r>
          </w:p>
        </w:tc>
        <w:tc>
          <w:tcPr>
            <w:tcW w:w="737" w:type="dxa"/>
            <w:tcBorders>
              <w:top w:val="nil"/>
              <w:left w:val="nil"/>
              <w:bottom w:val="nil"/>
              <w:right w:val="nil"/>
            </w:tcBorders>
            <w:shd w:val="clear" w:color="auto" w:fill="auto"/>
            <w:vAlign w:val="bottom"/>
          </w:tcPr>
          <w:p w14:paraId="507E8904" w14:textId="49C73959" w:rsidR="00A26814" w:rsidRPr="003E2D55" w:rsidRDefault="00A26814" w:rsidP="00A26814">
            <w:pPr>
              <w:spacing w:before="40" w:after="40"/>
              <w:jc w:val="right"/>
              <w:rPr>
                <w:rFonts w:cs="Arial"/>
                <w:sz w:val="18"/>
                <w:szCs w:val="18"/>
              </w:rPr>
            </w:pPr>
            <w:r w:rsidRPr="003E2D55">
              <w:rPr>
                <w:rFonts w:cs="Arial"/>
                <w:sz w:val="18"/>
                <w:szCs w:val="18"/>
              </w:rPr>
              <w:t>1,400</w:t>
            </w:r>
          </w:p>
        </w:tc>
        <w:tc>
          <w:tcPr>
            <w:tcW w:w="737" w:type="dxa"/>
            <w:tcBorders>
              <w:top w:val="nil"/>
              <w:left w:val="nil"/>
              <w:bottom w:val="nil"/>
              <w:right w:val="nil"/>
            </w:tcBorders>
            <w:shd w:val="clear" w:color="auto" w:fill="auto"/>
            <w:vAlign w:val="bottom"/>
          </w:tcPr>
          <w:p w14:paraId="215B3E70" w14:textId="7AEFE684" w:rsidR="00A26814" w:rsidRPr="003E2D55" w:rsidRDefault="00A26814" w:rsidP="00A26814">
            <w:pPr>
              <w:spacing w:before="40" w:after="40"/>
              <w:jc w:val="right"/>
              <w:rPr>
                <w:rFonts w:cs="Arial"/>
                <w:sz w:val="18"/>
                <w:szCs w:val="18"/>
              </w:rPr>
            </w:pPr>
            <w:r w:rsidRPr="003E2D55">
              <w:rPr>
                <w:rFonts w:cs="Arial"/>
                <w:sz w:val="18"/>
                <w:szCs w:val="18"/>
              </w:rPr>
              <w:t>189</w:t>
            </w:r>
          </w:p>
        </w:tc>
        <w:tc>
          <w:tcPr>
            <w:tcW w:w="737" w:type="dxa"/>
            <w:tcBorders>
              <w:top w:val="nil"/>
              <w:left w:val="nil"/>
              <w:bottom w:val="nil"/>
              <w:right w:val="nil"/>
            </w:tcBorders>
            <w:shd w:val="clear" w:color="auto" w:fill="auto"/>
            <w:vAlign w:val="bottom"/>
          </w:tcPr>
          <w:p w14:paraId="44771C50" w14:textId="606B5854"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288609CC" w14:textId="11286A75" w:rsidR="00A26814" w:rsidRPr="003E2D55" w:rsidRDefault="00A26814" w:rsidP="00A26814">
            <w:pPr>
              <w:spacing w:before="40" w:after="40"/>
              <w:jc w:val="right"/>
              <w:rPr>
                <w:rFonts w:cs="Arial"/>
                <w:sz w:val="18"/>
                <w:szCs w:val="18"/>
              </w:rPr>
            </w:pPr>
            <w:r w:rsidRPr="003E2D55">
              <w:rPr>
                <w:rFonts w:cs="Arial"/>
                <w:sz w:val="18"/>
                <w:szCs w:val="18"/>
              </w:rPr>
              <w:t>0</w:t>
            </w:r>
          </w:p>
        </w:tc>
      </w:tr>
      <w:tr w:rsidR="00A26814" w:rsidRPr="003E2D55" w14:paraId="6937E16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5D86D2F" w14:textId="77777777" w:rsidR="00A26814" w:rsidRPr="003E2D55" w:rsidRDefault="00A26814" w:rsidP="00A26814">
            <w:pPr>
              <w:spacing w:before="40" w:after="40"/>
              <w:rPr>
                <w:rFonts w:cs="Arial"/>
                <w:sz w:val="18"/>
                <w:szCs w:val="18"/>
              </w:rPr>
            </w:pPr>
            <w:r w:rsidRPr="003E2D55">
              <w:rPr>
                <w:rFonts w:cs="Arial"/>
                <w:sz w:val="18"/>
                <w:szCs w:val="18"/>
              </w:rPr>
              <w:t>Hobsons Bay C</w:t>
            </w:r>
          </w:p>
        </w:tc>
        <w:tc>
          <w:tcPr>
            <w:tcW w:w="737" w:type="dxa"/>
            <w:tcBorders>
              <w:top w:val="nil"/>
              <w:left w:val="single" w:sz="18" w:space="0" w:color="5F497A" w:themeColor="accent4" w:themeShade="BF"/>
              <w:bottom w:val="nil"/>
              <w:right w:val="nil"/>
            </w:tcBorders>
            <w:shd w:val="clear" w:color="auto" w:fill="auto"/>
            <w:vAlign w:val="bottom"/>
          </w:tcPr>
          <w:p w14:paraId="3AE194C4" w14:textId="5688B91C" w:rsidR="00A26814" w:rsidRPr="003E2D55" w:rsidRDefault="00A26814" w:rsidP="00A26814">
            <w:pPr>
              <w:spacing w:before="40" w:after="40"/>
              <w:jc w:val="right"/>
              <w:rPr>
                <w:rFonts w:cs="Arial"/>
                <w:sz w:val="18"/>
                <w:szCs w:val="18"/>
              </w:rPr>
            </w:pPr>
            <w:r w:rsidRPr="003E2D55">
              <w:rPr>
                <w:rFonts w:cs="Arial"/>
                <w:sz w:val="18"/>
                <w:szCs w:val="18"/>
              </w:rPr>
              <w:t>266</w:t>
            </w:r>
          </w:p>
        </w:tc>
        <w:tc>
          <w:tcPr>
            <w:tcW w:w="737" w:type="dxa"/>
            <w:tcBorders>
              <w:top w:val="nil"/>
              <w:left w:val="nil"/>
              <w:bottom w:val="nil"/>
              <w:right w:val="nil"/>
            </w:tcBorders>
            <w:shd w:val="clear" w:color="auto" w:fill="auto"/>
            <w:vAlign w:val="bottom"/>
          </w:tcPr>
          <w:p w14:paraId="7B15043B" w14:textId="56324043" w:rsidR="00A26814" w:rsidRPr="003E2D55" w:rsidRDefault="00A26814" w:rsidP="00A26814">
            <w:pPr>
              <w:spacing w:before="40" w:after="40"/>
              <w:jc w:val="right"/>
              <w:rPr>
                <w:rFonts w:cs="Arial"/>
                <w:sz w:val="18"/>
                <w:szCs w:val="18"/>
              </w:rPr>
            </w:pPr>
            <w:r w:rsidRPr="003E2D55">
              <w:rPr>
                <w:rFonts w:cs="Arial"/>
                <w:sz w:val="18"/>
                <w:szCs w:val="18"/>
              </w:rPr>
              <w:t>58</w:t>
            </w:r>
          </w:p>
        </w:tc>
        <w:tc>
          <w:tcPr>
            <w:tcW w:w="737" w:type="dxa"/>
            <w:tcBorders>
              <w:top w:val="nil"/>
              <w:left w:val="nil"/>
              <w:bottom w:val="nil"/>
              <w:right w:val="nil"/>
            </w:tcBorders>
            <w:shd w:val="clear" w:color="auto" w:fill="auto"/>
            <w:vAlign w:val="bottom"/>
          </w:tcPr>
          <w:p w14:paraId="70505440" w14:textId="60D8230E" w:rsidR="00A26814" w:rsidRPr="003E2D55" w:rsidRDefault="00A26814" w:rsidP="00A26814">
            <w:pPr>
              <w:spacing w:before="40" w:after="40"/>
              <w:jc w:val="right"/>
              <w:rPr>
                <w:rFonts w:cs="Arial"/>
                <w:sz w:val="18"/>
                <w:szCs w:val="18"/>
              </w:rPr>
            </w:pPr>
            <w:r w:rsidRPr="003E2D55">
              <w:rPr>
                <w:rFonts w:cs="Arial"/>
                <w:sz w:val="18"/>
                <w:szCs w:val="18"/>
              </w:rPr>
              <w:t>69</w:t>
            </w:r>
          </w:p>
        </w:tc>
        <w:tc>
          <w:tcPr>
            <w:tcW w:w="737" w:type="dxa"/>
            <w:tcBorders>
              <w:top w:val="nil"/>
              <w:left w:val="nil"/>
              <w:bottom w:val="nil"/>
              <w:right w:val="nil"/>
            </w:tcBorders>
            <w:shd w:val="clear" w:color="auto" w:fill="auto"/>
            <w:vAlign w:val="bottom"/>
          </w:tcPr>
          <w:p w14:paraId="54BD0F2A" w14:textId="5EC5AC52" w:rsidR="00A26814" w:rsidRPr="003E2D55" w:rsidRDefault="00A26814" w:rsidP="00A26814">
            <w:pPr>
              <w:spacing w:before="40" w:after="40"/>
              <w:jc w:val="right"/>
              <w:rPr>
                <w:rFonts w:cs="Arial"/>
                <w:sz w:val="18"/>
                <w:szCs w:val="18"/>
              </w:rPr>
            </w:pPr>
            <w:r w:rsidRPr="003E2D55">
              <w:rPr>
                <w:rFonts w:cs="Arial"/>
                <w:sz w:val="18"/>
                <w:szCs w:val="18"/>
              </w:rPr>
              <w:t>32</w:t>
            </w:r>
          </w:p>
        </w:tc>
        <w:tc>
          <w:tcPr>
            <w:tcW w:w="170" w:type="dxa"/>
            <w:tcBorders>
              <w:top w:val="nil"/>
              <w:left w:val="nil"/>
              <w:bottom w:val="nil"/>
              <w:right w:val="nil"/>
            </w:tcBorders>
            <w:shd w:val="clear" w:color="auto" w:fill="auto"/>
            <w:vAlign w:val="bottom"/>
          </w:tcPr>
          <w:p w14:paraId="73FB9818" w14:textId="6070B6A1"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1606C8C2" w14:textId="5F1B2D75"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1D506DA8" w14:textId="30ABBBB8"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318B7BD5" w14:textId="474D4FFE"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4F1A5DE4" w14:textId="7C02AE6B"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4190C08E" w14:textId="0DEA3556" w:rsidR="00A26814" w:rsidRPr="003E2D55" w:rsidRDefault="00A26814" w:rsidP="00A26814">
            <w:pPr>
              <w:spacing w:before="40" w:after="40"/>
              <w:jc w:val="right"/>
              <w:rPr>
                <w:rFonts w:cs="Arial"/>
                <w:sz w:val="18"/>
                <w:szCs w:val="18"/>
              </w:rPr>
            </w:pPr>
            <w:r w:rsidRPr="003E2D55">
              <w:rPr>
                <w:rFonts w:cs="Arial"/>
                <w:sz w:val="18"/>
                <w:szCs w:val="18"/>
              </w:rPr>
              <w:t>0</w:t>
            </w:r>
          </w:p>
        </w:tc>
      </w:tr>
      <w:tr w:rsidR="00A26814" w:rsidRPr="003E2D55" w14:paraId="4EE61CE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FCFE446" w14:textId="77777777" w:rsidR="00A26814" w:rsidRPr="003E2D55" w:rsidRDefault="00A26814" w:rsidP="00A26814">
            <w:pPr>
              <w:spacing w:before="40" w:after="40"/>
              <w:rPr>
                <w:rFonts w:cs="Arial"/>
                <w:sz w:val="18"/>
                <w:szCs w:val="18"/>
              </w:rPr>
            </w:pPr>
            <w:r w:rsidRPr="003E2D55">
              <w:rPr>
                <w:rFonts w:cs="Arial"/>
                <w:sz w:val="18"/>
                <w:szCs w:val="18"/>
              </w:rPr>
              <w:t>Horsham RC</w:t>
            </w:r>
          </w:p>
        </w:tc>
        <w:tc>
          <w:tcPr>
            <w:tcW w:w="737" w:type="dxa"/>
            <w:tcBorders>
              <w:top w:val="nil"/>
              <w:left w:val="single" w:sz="18" w:space="0" w:color="5F497A" w:themeColor="accent4" w:themeShade="BF"/>
              <w:bottom w:val="nil"/>
              <w:right w:val="nil"/>
            </w:tcBorders>
            <w:shd w:val="clear" w:color="auto" w:fill="auto"/>
            <w:vAlign w:val="bottom"/>
          </w:tcPr>
          <w:p w14:paraId="05750476" w14:textId="6D0CDE76" w:rsidR="00A26814" w:rsidRPr="003E2D55" w:rsidRDefault="00A26814" w:rsidP="00A26814">
            <w:pPr>
              <w:spacing w:before="40" w:after="40"/>
              <w:jc w:val="right"/>
              <w:rPr>
                <w:rFonts w:cs="Arial"/>
                <w:sz w:val="18"/>
                <w:szCs w:val="18"/>
              </w:rPr>
            </w:pPr>
            <w:r w:rsidRPr="003E2D55">
              <w:rPr>
                <w:rFonts w:cs="Arial"/>
                <w:sz w:val="18"/>
                <w:szCs w:val="18"/>
              </w:rPr>
              <w:t>127</w:t>
            </w:r>
          </w:p>
        </w:tc>
        <w:tc>
          <w:tcPr>
            <w:tcW w:w="737" w:type="dxa"/>
            <w:tcBorders>
              <w:top w:val="nil"/>
              <w:left w:val="nil"/>
              <w:bottom w:val="nil"/>
              <w:right w:val="nil"/>
            </w:tcBorders>
            <w:shd w:val="clear" w:color="auto" w:fill="auto"/>
            <w:vAlign w:val="bottom"/>
          </w:tcPr>
          <w:p w14:paraId="7538CABA" w14:textId="21BF33E1" w:rsidR="00A26814" w:rsidRPr="003E2D55" w:rsidRDefault="00A26814" w:rsidP="00A26814">
            <w:pPr>
              <w:spacing w:before="40" w:after="40"/>
              <w:jc w:val="right"/>
              <w:rPr>
                <w:rFonts w:cs="Arial"/>
                <w:sz w:val="18"/>
                <w:szCs w:val="18"/>
              </w:rPr>
            </w:pPr>
            <w:r w:rsidRPr="003E2D55">
              <w:rPr>
                <w:rFonts w:cs="Arial"/>
                <w:sz w:val="18"/>
                <w:szCs w:val="18"/>
              </w:rPr>
              <w:t>37</w:t>
            </w:r>
          </w:p>
        </w:tc>
        <w:tc>
          <w:tcPr>
            <w:tcW w:w="737" w:type="dxa"/>
            <w:tcBorders>
              <w:top w:val="nil"/>
              <w:left w:val="nil"/>
              <w:bottom w:val="nil"/>
              <w:right w:val="nil"/>
            </w:tcBorders>
            <w:shd w:val="clear" w:color="auto" w:fill="auto"/>
            <w:vAlign w:val="bottom"/>
          </w:tcPr>
          <w:p w14:paraId="1EC633B0" w14:textId="3F35FE81" w:rsidR="00A26814" w:rsidRPr="003E2D55" w:rsidRDefault="00A26814" w:rsidP="00A26814">
            <w:pPr>
              <w:spacing w:before="40" w:after="40"/>
              <w:jc w:val="right"/>
              <w:rPr>
                <w:rFonts w:cs="Arial"/>
                <w:sz w:val="18"/>
                <w:szCs w:val="18"/>
              </w:rPr>
            </w:pPr>
            <w:r w:rsidRPr="003E2D55">
              <w:rPr>
                <w:rFonts w:cs="Arial"/>
                <w:sz w:val="18"/>
                <w:szCs w:val="18"/>
              </w:rPr>
              <w:t>21</w:t>
            </w:r>
          </w:p>
        </w:tc>
        <w:tc>
          <w:tcPr>
            <w:tcW w:w="737" w:type="dxa"/>
            <w:tcBorders>
              <w:top w:val="nil"/>
              <w:left w:val="nil"/>
              <w:bottom w:val="nil"/>
              <w:right w:val="nil"/>
            </w:tcBorders>
            <w:shd w:val="clear" w:color="auto" w:fill="auto"/>
            <w:vAlign w:val="bottom"/>
          </w:tcPr>
          <w:p w14:paraId="34B9B2FE" w14:textId="15716472" w:rsidR="00A26814" w:rsidRPr="003E2D55" w:rsidRDefault="00A26814" w:rsidP="00A26814">
            <w:pPr>
              <w:spacing w:before="40" w:after="40"/>
              <w:jc w:val="right"/>
              <w:rPr>
                <w:rFonts w:cs="Arial"/>
                <w:sz w:val="18"/>
                <w:szCs w:val="18"/>
              </w:rPr>
            </w:pPr>
            <w:r w:rsidRPr="003E2D55">
              <w:rPr>
                <w:rFonts w:cs="Arial"/>
                <w:sz w:val="18"/>
                <w:szCs w:val="18"/>
              </w:rPr>
              <w:t>6</w:t>
            </w:r>
          </w:p>
        </w:tc>
        <w:tc>
          <w:tcPr>
            <w:tcW w:w="170" w:type="dxa"/>
            <w:tcBorders>
              <w:top w:val="nil"/>
              <w:left w:val="nil"/>
              <w:bottom w:val="nil"/>
              <w:right w:val="nil"/>
            </w:tcBorders>
            <w:shd w:val="clear" w:color="auto" w:fill="auto"/>
            <w:vAlign w:val="bottom"/>
          </w:tcPr>
          <w:p w14:paraId="53147BC3" w14:textId="3A272B20"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53DCB83D" w14:textId="0BAE4FEE" w:rsidR="00A26814" w:rsidRPr="003E2D55" w:rsidRDefault="00A26814" w:rsidP="00A26814">
            <w:pPr>
              <w:spacing w:before="40" w:after="40"/>
              <w:jc w:val="right"/>
              <w:rPr>
                <w:rFonts w:cs="Arial"/>
                <w:sz w:val="18"/>
                <w:szCs w:val="18"/>
              </w:rPr>
            </w:pPr>
            <w:r w:rsidRPr="003E2D55">
              <w:rPr>
                <w:rFonts w:cs="Arial"/>
                <w:sz w:val="18"/>
                <w:szCs w:val="18"/>
              </w:rPr>
              <w:t>1,004</w:t>
            </w:r>
          </w:p>
        </w:tc>
        <w:tc>
          <w:tcPr>
            <w:tcW w:w="737" w:type="dxa"/>
            <w:tcBorders>
              <w:top w:val="nil"/>
              <w:left w:val="nil"/>
              <w:bottom w:val="nil"/>
              <w:right w:val="nil"/>
            </w:tcBorders>
            <w:shd w:val="clear" w:color="auto" w:fill="auto"/>
            <w:vAlign w:val="bottom"/>
          </w:tcPr>
          <w:p w14:paraId="5594D22D" w14:textId="393D271E" w:rsidR="00A26814" w:rsidRPr="003E2D55" w:rsidRDefault="00A26814" w:rsidP="00A26814">
            <w:pPr>
              <w:spacing w:before="40" w:after="40"/>
              <w:jc w:val="right"/>
              <w:rPr>
                <w:rFonts w:cs="Arial"/>
                <w:sz w:val="18"/>
                <w:szCs w:val="18"/>
              </w:rPr>
            </w:pPr>
            <w:r w:rsidRPr="003E2D55">
              <w:rPr>
                <w:rFonts w:cs="Arial"/>
                <w:sz w:val="18"/>
                <w:szCs w:val="18"/>
              </w:rPr>
              <w:t>1,448</w:t>
            </w:r>
          </w:p>
        </w:tc>
        <w:tc>
          <w:tcPr>
            <w:tcW w:w="737" w:type="dxa"/>
            <w:tcBorders>
              <w:top w:val="nil"/>
              <w:left w:val="nil"/>
              <w:bottom w:val="nil"/>
              <w:right w:val="nil"/>
            </w:tcBorders>
            <w:shd w:val="clear" w:color="auto" w:fill="auto"/>
            <w:vAlign w:val="bottom"/>
          </w:tcPr>
          <w:p w14:paraId="494FF644" w14:textId="7A127293" w:rsidR="00A26814" w:rsidRPr="003E2D55" w:rsidRDefault="00A26814" w:rsidP="00A26814">
            <w:pPr>
              <w:spacing w:before="40" w:after="40"/>
              <w:jc w:val="right"/>
              <w:rPr>
                <w:rFonts w:cs="Arial"/>
                <w:sz w:val="18"/>
                <w:szCs w:val="18"/>
              </w:rPr>
            </w:pPr>
            <w:r w:rsidRPr="003E2D55">
              <w:rPr>
                <w:rFonts w:cs="Arial"/>
                <w:sz w:val="18"/>
                <w:szCs w:val="18"/>
              </w:rPr>
              <w:t>313</w:t>
            </w:r>
          </w:p>
        </w:tc>
        <w:tc>
          <w:tcPr>
            <w:tcW w:w="737" w:type="dxa"/>
            <w:tcBorders>
              <w:top w:val="nil"/>
              <w:left w:val="nil"/>
              <w:bottom w:val="nil"/>
              <w:right w:val="nil"/>
            </w:tcBorders>
            <w:shd w:val="clear" w:color="auto" w:fill="auto"/>
            <w:vAlign w:val="bottom"/>
          </w:tcPr>
          <w:p w14:paraId="1BA77A74" w14:textId="30C278F3" w:rsidR="00A26814" w:rsidRPr="003E2D55" w:rsidRDefault="00A26814" w:rsidP="00A26814">
            <w:pPr>
              <w:spacing w:before="40" w:after="40"/>
              <w:jc w:val="right"/>
              <w:rPr>
                <w:rFonts w:cs="Arial"/>
                <w:sz w:val="18"/>
                <w:szCs w:val="18"/>
              </w:rPr>
            </w:pPr>
            <w:r w:rsidRPr="003E2D55">
              <w:rPr>
                <w:rFonts w:cs="Arial"/>
                <w:sz w:val="18"/>
                <w:szCs w:val="18"/>
              </w:rPr>
              <w:t>16</w:t>
            </w:r>
          </w:p>
        </w:tc>
        <w:tc>
          <w:tcPr>
            <w:tcW w:w="737" w:type="dxa"/>
            <w:tcBorders>
              <w:top w:val="nil"/>
              <w:left w:val="nil"/>
              <w:bottom w:val="nil"/>
              <w:right w:val="nil"/>
            </w:tcBorders>
            <w:shd w:val="clear" w:color="auto" w:fill="auto"/>
            <w:vAlign w:val="bottom"/>
          </w:tcPr>
          <w:p w14:paraId="03116F43" w14:textId="2FA6CC62" w:rsidR="00A26814" w:rsidRPr="003E2D55" w:rsidRDefault="00A26814" w:rsidP="00A26814">
            <w:pPr>
              <w:spacing w:before="40" w:after="40"/>
              <w:jc w:val="right"/>
              <w:rPr>
                <w:rFonts w:cs="Arial"/>
                <w:sz w:val="18"/>
                <w:szCs w:val="18"/>
              </w:rPr>
            </w:pPr>
            <w:r w:rsidRPr="003E2D55">
              <w:rPr>
                <w:rFonts w:cs="Arial"/>
                <w:sz w:val="18"/>
                <w:szCs w:val="18"/>
              </w:rPr>
              <w:t>2</w:t>
            </w:r>
          </w:p>
        </w:tc>
      </w:tr>
      <w:tr w:rsidR="00A26814" w:rsidRPr="003E2D55" w14:paraId="4E066B8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CEEBEC7" w14:textId="77777777" w:rsidR="00A26814" w:rsidRPr="003E2D55" w:rsidRDefault="00A26814" w:rsidP="00A26814">
            <w:pPr>
              <w:spacing w:before="40" w:after="40"/>
              <w:rPr>
                <w:rFonts w:cs="Arial"/>
                <w:sz w:val="18"/>
                <w:szCs w:val="18"/>
              </w:rPr>
            </w:pPr>
            <w:r w:rsidRPr="003E2D55">
              <w:rPr>
                <w:rFonts w:cs="Arial"/>
                <w:sz w:val="18"/>
                <w:szCs w:val="18"/>
              </w:rPr>
              <w:t>Hume C</w:t>
            </w:r>
          </w:p>
        </w:tc>
        <w:tc>
          <w:tcPr>
            <w:tcW w:w="737" w:type="dxa"/>
            <w:tcBorders>
              <w:top w:val="nil"/>
              <w:left w:val="single" w:sz="18" w:space="0" w:color="5F497A" w:themeColor="accent4" w:themeShade="BF"/>
              <w:bottom w:val="nil"/>
              <w:right w:val="nil"/>
            </w:tcBorders>
            <w:shd w:val="clear" w:color="auto" w:fill="auto"/>
            <w:vAlign w:val="bottom"/>
          </w:tcPr>
          <w:p w14:paraId="1E19BD60" w14:textId="2CFB97BB" w:rsidR="00A26814" w:rsidRPr="003E2D55" w:rsidRDefault="00A26814" w:rsidP="00A26814">
            <w:pPr>
              <w:spacing w:before="40" w:after="40"/>
              <w:jc w:val="right"/>
              <w:rPr>
                <w:rFonts w:cs="Arial"/>
                <w:sz w:val="18"/>
                <w:szCs w:val="18"/>
              </w:rPr>
            </w:pPr>
            <w:r w:rsidRPr="003E2D55">
              <w:rPr>
                <w:rFonts w:cs="Arial"/>
                <w:sz w:val="18"/>
                <w:szCs w:val="18"/>
              </w:rPr>
              <w:t>539</w:t>
            </w:r>
          </w:p>
        </w:tc>
        <w:tc>
          <w:tcPr>
            <w:tcW w:w="737" w:type="dxa"/>
            <w:tcBorders>
              <w:top w:val="nil"/>
              <w:left w:val="nil"/>
              <w:bottom w:val="nil"/>
              <w:right w:val="nil"/>
            </w:tcBorders>
            <w:shd w:val="clear" w:color="auto" w:fill="auto"/>
            <w:vAlign w:val="bottom"/>
          </w:tcPr>
          <w:p w14:paraId="5C82C0B3" w14:textId="4AF8A964" w:rsidR="00A26814" w:rsidRPr="003E2D55" w:rsidRDefault="00A26814" w:rsidP="00A26814">
            <w:pPr>
              <w:spacing w:before="40" w:after="40"/>
              <w:jc w:val="right"/>
              <w:rPr>
                <w:rFonts w:cs="Arial"/>
                <w:sz w:val="18"/>
                <w:szCs w:val="18"/>
              </w:rPr>
            </w:pPr>
            <w:r w:rsidRPr="003E2D55">
              <w:rPr>
                <w:rFonts w:cs="Arial"/>
                <w:sz w:val="18"/>
                <w:szCs w:val="18"/>
              </w:rPr>
              <w:t>192</w:t>
            </w:r>
          </w:p>
        </w:tc>
        <w:tc>
          <w:tcPr>
            <w:tcW w:w="737" w:type="dxa"/>
            <w:tcBorders>
              <w:top w:val="nil"/>
              <w:left w:val="nil"/>
              <w:bottom w:val="nil"/>
              <w:right w:val="nil"/>
            </w:tcBorders>
            <w:shd w:val="clear" w:color="auto" w:fill="auto"/>
            <w:vAlign w:val="bottom"/>
          </w:tcPr>
          <w:p w14:paraId="1F276F0B" w14:textId="40872D9B" w:rsidR="00A26814" w:rsidRPr="003E2D55" w:rsidRDefault="00A26814" w:rsidP="00A26814">
            <w:pPr>
              <w:spacing w:before="40" w:after="40"/>
              <w:jc w:val="right"/>
              <w:rPr>
                <w:rFonts w:cs="Arial"/>
                <w:sz w:val="18"/>
                <w:szCs w:val="18"/>
              </w:rPr>
            </w:pPr>
            <w:r w:rsidRPr="003E2D55">
              <w:rPr>
                <w:rFonts w:cs="Arial"/>
                <w:sz w:val="18"/>
                <w:szCs w:val="18"/>
              </w:rPr>
              <w:t>243</w:t>
            </w:r>
          </w:p>
        </w:tc>
        <w:tc>
          <w:tcPr>
            <w:tcW w:w="737" w:type="dxa"/>
            <w:tcBorders>
              <w:top w:val="nil"/>
              <w:left w:val="nil"/>
              <w:bottom w:val="nil"/>
              <w:right w:val="nil"/>
            </w:tcBorders>
            <w:shd w:val="clear" w:color="auto" w:fill="auto"/>
            <w:vAlign w:val="bottom"/>
          </w:tcPr>
          <w:p w14:paraId="46DBAE92" w14:textId="1CED69B4" w:rsidR="00A26814" w:rsidRPr="003E2D55" w:rsidRDefault="00A26814" w:rsidP="00A26814">
            <w:pPr>
              <w:spacing w:before="40" w:after="40"/>
              <w:jc w:val="right"/>
              <w:rPr>
                <w:rFonts w:cs="Arial"/>
                <w:sz w:val="18"/>
                <w:szCs w:val="18"/>
              </w:rPr>
            </w:pPr>
            <w:r w:rsidRPr="003E2D55">
              <w:rPr>
                <w:rFonts w:cs="Arial"/>
                <w:sz w:val="18"/>
                <w:szCs w:val="18"/>
              </w:rPr>
              <w:t>92</w:t>
            </w:r>
          </w:p>
        </w:tc>
        <w:tc>
          <w:tcPr>
            <w:tcW w:w="170" w:type="dxa"/>
            <w:tcBorders>
              <w:top w:val="nil"/>
              <w:left w:val="nil"/>
              <w:bottom w:val="nil"/>
              <w:right w:val="nil"/>
            </w:tcBorders>
            <w:shd w:val="clear" w:color="auto" w:fill="auto"/>
            <w:vAlign w:val="bottom"/>
          </w:tcPr>
          <w:p w14:paraId="74C4EC01" w14:textId="5AFCE26D"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419EE1D1" w14:textId="328746BE" w:rsidR="00A26814" w:rsidRPr="003E2D55" w:rsidRDefault="00A26814" w:rsidP="00A26814">
            <w:pPr>
              <w:spacing w:before="40" w:after="40"/>
              <w:jc w:val="right"/>
              <w:rPr>
                <w:rFonts w:cs="Arial"/>
                <w:sz w:val="18"/>
                <w:szCs w:val="18"/>
              </w:rPr>
            </w:pPr>
            <w:r w:rsidRPr="003E2D55">
              <w:rPr>
                <w:rFonts w:cs="Arial"/>
                <w:sz w:val="18"/>
                <w:szCs w:val="18"/>
              </w:rPr>
              <w:t>5</w:t>
            </w:r>
          </w:p>
        </w:tc>
        <w:tc>
          <w:tcPr>
            <w:tcW w:w="737" w:type="dxa"/>
            <w:tcBorders>
              <w:top w:val="nil"/>
              <w:left w:val="nil"/>
              <w:bottom w:val="nil"/>
              <w:right w:val="nil"/>
            </w:tcBorders>
            <w:shd w:val="clear" w:color="auto" w:fill="auto"/>
            <w:vAlign w:val="bottom"/>
          </w:tcPr>
          <w:p w14:paraId="0749E7B8" w14:textId="0AB1A405" w:rsidR="00A26814" w:rsidRPr="003E2D55" w:rsidRDefault="00A26814" w:rsidP="00A26814">
            <w:pPr>
              <w:spacing w:before="40" w:after="40"/>
              <w:jc w:val="right"/>
              <w:rPr>
                <w:rFonts w:cs="Arial"/>
                <w:sz w:val="18"/>
                <w:szCs w:val="18"/>
              </w:rPr>
            </w:pPr>
            <w:r w:rsidRPr="003E2D55">
              <w:rPr>
                <w:rFonts w:cs="Arial"/>
                <w:sz w:val="18"/>
                <w:szCs w:val="18"/>
              </w:rPr>
              <w:t>18</w:t>
            </w:r>
          </w:p>
        </w:tc>
        <w:tc>
          <w:tcPr>
            <w:tcW w:w="737" w:type="dxa"/>
            <w:tcBorders>
              <w:top w:val="nil"/>
              <w:left w:val="nil"/>
              <w:bottom w:val="nil"/>
              <w:right w:val="nil"/>
            </w:tcBorders>
            <w:shd w:val="clear" w:color="auto" w:fill="auto"/>
            <w:vAlign w:val="bottom"/>
          </w:tcPr>
          <w:p w14:paraId="394B3AB0" w14:textId="5BEE01BF" w:rsidR="00A26814" w:rsidRPr="003E2D55" w:rsidRDefault="00A26814" w:rsidP="00A26814">
            <w:pPr>
              <w:spacing w:before="40" w:after="40"/>
              <w:jc w:val="right"/>
              <w:rPr>
                <w:rFonts w:cs="Arial"/>
                <w:sz w:val="18"/>
                <w:szCs w:val="18"/>
              </w:rPr>
            </w:pPr>
            <w:r w:rsidRPr="003E2D55">
              <w:rPr>
                <w:rFonts w:cs="Arial"/>
                <w:sz w:val="18"/>
                <w:szCs w:val="18"/>
              </w:rPr>
              <w:t>132</w:t>
            </w:r>
          </w:p>
        </w:tc>
        <w:tc>
          <w:tcPr>
            <w:tcW w:w="737" w:type="dxa"/>
            <w:tcBorders>
              <w:top w:val="nil"/>
              <w:left w:val="nil"/>
              <w:bottom w:val="nil"/>
              <w:right w:val="nil"/>
            </w:tcBorders>
            <w:shd w:val="clear" w:color="auto" w:fill="auto"/>
            <w:vAlign w:val="bottom"/>
          </w:tcPr>
          <w:p w14:paraId="1617384C" w14:textId="54C5E37D" w:rsidR="00A26814" w:rsidRPr="003E2D55" w:rsidRDefault="00A26814" w:rsidP="00A26814">
            <w:pPr>
              <w:spacing w:before="40" w:after="40"/>
              <w:jc w:val="right"/>
              <w:rPr>
                <w:rFonts w:cs="Arial"/>
                <w:sz w:val="18"/>
                <w:szCs w:val="18"/>
              </w:rPr>
            </w:pPr>
            <w:r w:rsidRPr="003E2D55">
              <w:rPr>
                <w:rFonts w:cs="Arial"/>
                <w:sz w:val="18"/>
                <w:szCs w:val="18"/>
              </w:rPr>
              <w:t>27</w:t>
            </w:r>
          </w:p>
        </w:tc>
        <w:tc>
          <w:tcPr>
            <w:tcW w:w="737" w:type="dxa"/>
            <w:tcBorders>
              <w:top w:val="nil"/>
              <w:left w:val="nil"/>
              <w:bottom w:val="nil"/>
              <w:right w:val="nil"/>
            </w:tcBorders>
            <w:shd w:val="clear" w:color="auto" w:fill="auto"/>
            <w:vAlign w:val="bottom"/>
          </w:tcPr>
          <w:p w14:paraId="13D78498" w14:textId="46B509DA" w:rsidR="00A26814" w:rsidRPr="003E2D55" w:rsidRDefault="00A26814" w:rsidP="00A26814">
            <w:pPr>
              <w:spacing w:before="40" w:after="40"/>
              <w:jc w:val="right"/>
              <w:rPr>
                <w:rFonts w:cs="Arial"/>
                <w:sz w:val="18"/>
                <w:szCs w:val="18"/>
              </w:rPr>
            </w:pPr>
            <w:r w:rsidRPr="003E2D55">
              <w:rPr>
                <w:rFonts w:cs="Arial"/>
                <w:sz w:val="18"/>
                <w:szCs w:val="18"/>
              </w:rPr>
              <w:t>64</w:t>
            </w:r>
          </w:p>
        </w:tc>
      </w:tr>
      <w:tr w:rsidR="00A26814" w:rsidRPr="003E2D55" w14:paraId="594EF6B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758B9C4" w14:textId="77777777" w:rsidR="00A26814" w:rsidRPr="003E2D55" w:rsidRDefault="00A26814" w:rsidP="00A26814">
            <w:pPr>
              <w:spacing w:before="40" w:after="40"/>
              <w:rPr>
                <w:rFonts w:cs="Arial"/>
                <w:sz w:val="18"/>
                <w:szCs w:val="18"/>
              </w:rPr>
            </w:pPr>
            <w:r w:rsidRPr="003E2D55">
              <w:rPr>
                <w:rFonts w:cs="Arial"/>
                <w:sz w:val="18"/>
                <w:szCs w:val="18"/>
              </w:rPr>
              <w:t>Indigo S</w:t>
            </w:r>
          </w:p>
        </w:tc>
        <w:tc>
          <w:tcPr>
            <w:tcW w:w="737" w:type="dxa"/>
            <w:tcBorders>
              <w:top w:val="nil"/>
              <w:left w:val="single" w:sz="18" w:space="0" w:color="5F497A" w:themeColor="accent4" w:themeShade="BF"/>
              <w:bottom w:val="nil"/>
              <w:right w:val="nil"/>
            </w:tcBorders>
            <w:shd w:val="clear" w:color="auto" w:fill="auto"/>
            <w:vAlign w:val="bottom"/>
          </w:tcPr>
          <w:p w14:paraId="51DB8139" w14:textId="2A47C910" w:rsidR="00A26814" w:rsidRPr="003E2D55" w:rsidRDefault="00A26814" w:rsidP="00A26814">
            <w:pPr>
              <w:spacing w:before="40" w:after="40"/>
              <w:jc w:val="right"/>
              <w:rPr>
                <w:rFonts w:cs="Arial"/>
                <w:sz w:val="18"/>
                <w:szCs w:val="18"/>
              </w:rPr>
            </w:pPr>
            <w:r w:rsidRPr="003E2D55">
              <w:rPr>
                <w:rFonts w:cs="Arial"/>
                <w:sz w:val="18"/>
                <w:szCs w:val="18"/>
              </w:rPr>
              <w:t>125</w:t>
            </w:r>
          </w:p>
        </w:tc>
        <w:tc>
          <w:tcPr>
            <w:tcW w:w="737" w:type="dxa"/>
            <w:tcBorders>
              <w:top w:val="nil"/>
              <w:left w:val="nil"/>
              <w:bottom w:val="nil"/>
              <w:right w:val="nil"/>
            </w:tcBorders>
            <w:shd w:val="clear" w:color="auto" w:fill="auto"/>
            <w:vAlign w:val="bottom"/>
          </w:tcPr>
          <w:p w14:paraId="6CF94C8F" w14:textId="1EF92EA0" w:rsidR="00A26814" w:rsidRPr="003E2D55" w:rsidRDefault="00A26814" w:rsidP="00A26814">
            <w:pPr>
              <w:spacing w:before="40" w:after="40"/>
              <w:jc w:val="right"/>
              <w:rPr>
                <w:rFonts w:cs="Arial"/>
                <w:sz w:val="18"/>
                <w:szCs w:val="18"/>
              </w:rPr>
            </w:pPr>
            <w:r w:rsidRPr="003E2D55">
              <w:rPr>
                <w:rFonts w:cs="Arial"/>
                <w:sz w:val="18"/>
                <w:szCs w:val="18"/>
              </w:rPr>
              <w:t>11</w:t>
            </w:r>
          </w:p>
        </w:tc>
        <w:tc>
          <w:tcPr>
            <w:tcW w:w="737" w:type="dxa"/>
            <w:tcBorders>
              <w:top w:val="nil"/>
              <w:left w:val="nil"/>
              <w:bottom w:val="nil"/>
              <w:right w:val="nil"/>
            </w:tcBorders>
            <w:shd w:val="clear" w:color="auto" w:fill="auto"/>
            <w:vAlign w:val="bottom"/>
          </w:tcPr>
          <w:p w14:paraId="32FAF685" w14:textId="587E725C" w:rsidR="00A26814" w:rsidRPr="003E2D55" w:rsidRDefault="00A26814" w:rsidP="00A26814">
            <w:pPr>
              <w:spacing w:before="40" w:after="40"/>
              <w:jc w:val="right"/>
              <w:rPr>
                <w:rFonts w:cs="Arial"/>
                <w:sz w:val="18"/>
                <w:szCs w:val="18"/>
              </w:rPr>
            </w:pPr>
            <w:r w:rsidRPr="003E2D55">
              <w:rPr>
                <w:rFonts w:cs="Arial"/>
                <w:sz w:val="18"/>
                <w:szCs w:val="18"/>
              </w:rPr>
              <w:t>12</w:t>
            </w:r>
          </w:p>
        </w:tc>
        <w:tc>
          <w:tcPr>
            <w:tcW w:w="737" w:type="dxa"/>
            <w:tcBorders>
              <w:top w:val="nil"/>
              <w:left w:val="nil"/>
              <w:bottom w:val="nil"/>
              <w:right w:val="nil"/>
            </w:tcBorders>
            <w:shd w:val="clear" w:color="auto" w:fill="auto"/>
            <w:vAlign w:val="bottom"/>
          </w:tcPr>
          <w:p w14:paraId="60D02DCC" w14:textId="05F62325" w:rsidR="00A26814" w:rsidRPr="003E2D55" w:rsidRDefault="00A26814" w:rsidP="00A26814">
            <w:pPr>
              <w:spacing w:before="40" w:after="4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2D79D103" w14:textId="4EAEEF3F"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35543B21" w14:textId="281D358E" w:rsidR="00A26814" w:rsidRPr="003E2D55" w:rsidRDefault="00A26814" w:rsidP="00A26814">
            <w:pPr>
              <w:spacing w:before="40" w:after="40"/>
              <w:jc w:val="right"/>
              <w:rPr>
                <w:rFonts w:cs="Arial"/>
                <w:sz w:val="18"/>
                <w:szCs w:val="18"/>
              </w:rPr>
            </w:pPr>
            <w:r w:rsidRPr="003E2D55">
              <w:rPr>
                <w:rFonts w:cs="Arial"/>
                <w:sz w:val="18"/>
                <w:szCs w:val="18"/>
              </w:rPr>
              <w:t>258</w:t>
            </w:r>
          </w:p>
        </w:tc>
        <w:tc>
          <w:tcPr>
            <w:tcW w:w="737" w:type="dxa"/>
            <w:tcBorders>
              <w:top w:val="nil"/>
              <w:left w:val="nil"/>
              <w:bottom w:val="nil"/>
              <w:right w:val="nil"/>
            </w:tcBorders>
            <w:shd w:val="clear" w:color="auto" w:fill="auto"/>
            <w:vAlign w:val="bottom"/>
          </w:tcPr>
          <w:p w14:paraId="7B6D2F0F" w14:textId="039C511F" w:rsidR="00A26814" w:rsidRPr="003E2D55" w:rsidRDefault="00A26814" w:rsidP="00A26814">
            <w:pPr>
              <w:spacing w:before="40" w:after="40"/>
              <w:jc w:val="right"/>
              <w:rPr>
                <w:rFonts w:cs="Arial"/>
                <w:sz w:val="18"/>
                <w:szCs w:val="18"/>
              </w:rPr>
            </w:pPr>
            <w:r w:rsidRPr="003E2D55">
              <w:rPr>
                <w:rFonts w:cs="Arial"/>
                <w:sz w:val="18"/>
                <w:szCs w:val="18"/>
              </w:rPr>
              <w:t>894</w:t>
            </w:r>
          </w:p>
        </w:tc>
        <w:tc>
          <w:tcPr>
            <w:tcW w:w="737" w:type="dxa"/>
            <w:tcBorders>
              <w:top w:val="nil"/>
              <w:left w:val="nil"/>
              <w:bottom w:val="nil"/>
              <w:right w:val="nil"/>
            </w:tcBorders>
            <w:shd w:val="clear" w:color="auto" w:fill="auto"/>
            <w:vAlign w:val="bottom"/>
          </w:tcPr>
          <w:p w14:paraId="26B35CFE" w14:textId="1EE0BF25" w:rsidR="00A26814" w:rsidRPr="003E2D55" w:rsidRDefault="00A26814" w:rsidP="00A26814">
            <w:pPr>
              <w:spacing w:before="40" w:after="40"/>
              <w:jc w:val="right"/>
              <w:rPr>
                <w:rFonts w:cs="Arial"/>
                <w:sz w:val="18"/>
                <w:szCs w:val="18"/>
              </w:rPr>
            </w:pPr>
            <w:r w:rsidRPr="003E2D55">
              <w:rPr>
                <w:rFonts w:cs="Arial"/>
                <w:sz w:val="18"/>
                <w:szCs w:val="18"/>
              </w:rPr>
              <w:t>223</w:t>
            </w:r>
          </w:p>
        </w:tc>
        <w:tc>
          <w:tcPr>
            <w:tcW w:w="737" w:type="dxa"/>
            <w:tcBorders>
              <w:top w:val="nil"/>
              <w:left w:val="nil"/>
              <w:bottom w:val="nil"/>
              <w:right w:val="nil"/>
            </w:tcBorders>
            <w:shd w:val="clear" w:color="auto" w:fill="auto"/>
            <w:vAlign w:val="bottom"/>
          </w:tcPr>
          <w:p w14:paraId="4A035091" w14:textId="2F11C0B7" w:rsidR="00A26814" w:rsidRPr="003E2D55" w:rsidRDefault="00A26814" w:rsidP="00A26814">
            <w:pPr>
              <w:spacing w:before="40" w:after="40"/>
              <w:jc w:val="right"/>
              <w:rPr>
                <w:rFonts w:cs="Arial"/>
                <w:sz w:val="18"/>
                <w:szCs w:val="18"/>
              </w:rPr>
            </w:pPr>
            <w:r w:rsidRPr="003E2D55">
              <w:rPr>
                <w:rFonts w:cs="Arial"/>
                <w:sz w:val="18"/>
                <w:szCs w:val="18"/>
              </w:rPr>
              <w:t>24</w:t>
            </w:r>
          </w:p>
        </w:tc>
        <w:tc>
          <w:tcPr>
            <w:tcW w:w="737" w:type="dxa"/>
            <w:tcBorders>
              <w:top w:val="nil"/>
              <w:left w:val="nil"/>
              <w:bottom w:val="nil"/>
              <w:right w:val="nil"/>
            </w:tcBorders>
            <w:shd w:val="clear" w:color="auto" w:fill="auto"/>
            <w:vAlign w:val="bottom"/>
          </w:tcPr>
          <w:p w14:paraId="7C36B1C6" w14:textId="571AF0E4" w:rsidR="00A26814" w:rsidRPr="003E2D55" w:rsidRDefault="00A26814" w:rsidP="00A26814">
            <w:pPr>
              <w:spacing w:before="40" w:after="40"/>
              <w:jc w:val="right"/>
              <w:rPr>
                <w:rFonts w:cs="Arial"/>
                <w:sz w:val="18"/>
                <w:szCs w:val="18"/>
              </w:rPr>
            </w:pPr>
            <w:r w:rsidRPr="003E2D55">
              <w:rPr>
                <w:rFonts w:cs="Arial"/>
                <w:sz w:val="18"/>
                <w:szCs w:val="18"/>
              </w:rPr>
              <w:t>15</w:t>
            </w:r>
          </w:p>
        </w:tc>
      </w:tr>
      <w:tr w:rsidR="00A26814" w:rsidRPr="003E2D55" w14:paraId="6A6242C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55C633D" w14:textId="77777777" w:rsidR="00A26814" w:rsidRPr="003E2D55" w:rsidRDefault="00A26814" w:rsidP="00A26814">
            <w:pPr>
              <w:spacing w:before="40" w:after="40"/>
              <w:rPr>
                <w:rFonts w:cs="Arial"/>
                <w:sz w:val="18"/>
                <w:szCs w:val="18"/>
              </w:rPr>
            </w:pPr>
            <w:r w:rsidRPr="003E2D55">
              <w:rPr>
                <w:rFonts w:cs="Arial"/>
                <w:sz w:val="18"/>
                <w:szCs w:val="18"/>
              </w:rPr>
              <w:t>Kingston C</w:t>
            </w:r>
          </w:p>
        </w:tc>
        <w:tc>
          <w:tcPr>
            <w:tcW w:w="737" w:type="dxa"/>
            <w:tcBorders>
              <w:top w:val="nil"/>
              <w:left w:val="single" w:sz="18" w:space="0" w:color="5F497A" w:themeColor="accent4" w:themeShade="BF"/>
              <w:bottom w:val="nil"/>
              <w:right w:val="nil"/>
            </w:tcBorders>
            <w:shd w:val="clear" w:color="auto" w:fill="auto"/>
            <w:vAlign w:val="bottom"/>
          </w:tcPr>
          <w:p w14:paraId="0457E5F1" w14:textId="3F982E73" w:rsidR="00A26814" w:rsidRPr="003E2D55" w:rsidRDefault="00A26814" w:rsidP="00A26814">
            <w:pPr>
              <w:spacing w:before="40" w:after="40"/>
              <w:jc w:val="right"/>
              <w:rPr>
                <w:rFonts w:cs="Arial"/>
                <w:sz w:val="18"/>
                <w:szCs w:val="18"/>
              </w:rPr>
            </w:pPr>
            <w:r w:rsidRPr="003E2D55">
              <w:rPr>
                <w:rFonts w:cs="Arial"/>
                <w:sz w:val="18"/>
                <w:szCs w:val="18"/>
              </w:rPr>
              <w:t>372</w:t>
            </w:r>
          </w:p>
        </w:tc>
        <w:tc>
          <w:tcPr>
            <w:tcW w:w="737" w:type="dxa"/>
            <w:tcBorders>
              <w:top w:val="nil"/>
              <w:left w:val="nil"/>
              <w:bottom w:val="nil"/>
              <w:right w:val="nil"/>
            </w:tcBorders>
            <w:shd w:val="clear" w:color="auto" w:fill="auto"/>
            <w:vAlign w:val="bottom"/>
          </w:tcPr>
          <w:p w14:paraId="3B1D0CAB" w14:textId="4C3AC087" w:rsidR="00A26814" w:rsidRPr="003E2D55" w:rsidRDefault="00A26814" w:rsidP="00A26814">
            <w:pPr>
              <w:spacing w:before="40" w:after="40"/>
              <w:jc w:val="right"/>
              <w:rPr>
                <w:rFonts w:cs="Arial"/>
                <w:sz w:val="18"/>
                <w:szCs w:val="18"/>
              </w:rPr>
            </w:pPr>
            <w:r w:rsidRPr="003E2D55">
              <w:rPr>
                <w:rFonts w:cs="Arial"/>
                <w:sz w:val="18"/>
                <w:szCs w:val="18"/>
              </w:rPr>
              <w:t>69</w:t>
            </w:r>
          </w:p>
        </w:tc>
        <w:tc>
          <w:tcPr>
            <w:tcW w:w="737" w:type="dxa"/>
            <w:tcBorders>
              <w:top w:val="nil"/>
              <w:left w:val="nil"/>
              <w:bottom w:val="nil"/>
              <w:right w:val="nil"/>
            </w:tcBorders>
            <w:shd w:val="clear" w:color="auto" w:fill="auto"/>
            <w:vAlign w:val="bottom"/>
          </w:tcPr>
          <w:p w14:paraId="647BC5D9" w14:textId="04F8D137" w:rsidR="00A26814" w:rsidRPr="003E2D55" w:rsidRDefault="00A26814" w:rsidP="00A26814">
            <w:pPr>
              <w:spacing w:before="40" w:after="40"/>
              <w:jc w:val="right"/>
              <w:rPr>
                <w:rFonts w:cs="Arial"/>
                <w:sz w:val="18"/>
                <w:szCs w:val="18"/>
              </w:rPr>
            </w:pPr>
            <w:r w:rsidRPr="003E2D55">
              <w:rPr>
                <w:rFonts w:cs="Arial"/>
                <w:sz w:val="18"/>
                <w:szCs w:val="18"/>
              </w:rPr>
              <w:t>114</w:t>
            </w:r>
          </w:p>
        </w:tc>
        <w:tc>
          <w:tcPr>
            <w:tcW w:w="737" w:type="dxa"/>
            <w:tcBorders>
              <w:top w:val="nil"/>
              <w:left w:val="nil"/>
              <w:bottom w:val="nil"/>
              <w:right w:val="nil"/>
            </w:tcBorders>
            <w:shd w:val="clear" w:color="auto" w:fill="auto"/>
            <w:vAlign w:val="bottom"/>
          </w:tcPr>
          <w:p w14:paraId="7B620BD7" w14:textId="587EDA1C" w:rsidR="00A26814" w:rsidRPr="003E2D55" w:rsidRDefault="00A26814" w:rsidP="00A26814">
            <w:pPr>
              <w:spacing w:before="40" w:after="40"/>
              <w:jc w:val="right"/>
              <w:rPr>
                <w:rFonts w:cs="Arial"/>
                <w:sz w:val="18"/>
                <w:szCs w:val="18"/>
              </w:rPr>
            </w:pPr>
            <w:r w:rsidRPr="003E2D55">
              <w:rPr>
                <w:rFonts w:cs="Arial"/>
                <w:sz w:val="18"/>
                <w:szCs w:val="18"/>
              </w:rPr>
              <w:t>31</w:t>
            </w:r>
          </w:p>
        </w:tc>
        <w:tc>
          <w:tcPr>
            <w:tcW w:w="170" w:type="dxa"/>
            <w:tcBorders>
              <w:top w:val="nil"/>
              <w:left w:val="nil"/>
              <w:bottom w:val="nil"/>
              <w:right w:val="nil"/>
            </w:tcBorders>
            <w:shd w:val="clear" w:color="auto" w:fill="auto"/>
            <w:vAlign w:val="bottom"/>
          </w:tcPr>
          <w:p w14:paraId="7B6D3A87" w14:textId="158247AE"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286B3DF6" w14:textId="42049A14"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3534D604" w14:textId="4597D020" w:rsidR="00A26814" w:rsidRPr="003E2D55" w:rsidRDefault="00A26814" w:rsidP="00A26814">
            <w:pPr>
              <w:spacing w:before="40" w:after="40"/>
              <w:jc w:val="right"/>
              <w:rPr>
                <w:rFonts w:cs="Arial"/>
                <w:sz w:val="18"/>
                <w:szCs w:val="18"/>
              </w:rPr>
            </w:pPr>
            <w:r w:rsidRPr="003E2D55">
              <w:rPr>
                <w:rFonts w:cs="Arial"/>
                <w:sz w:val="18"/>
                <w:szCs w:val="18"/>
              </w:rPr>
              <w:t>8</w:t>
            </w:r>
          </w:p>
        </w:tc>
        <w:tc>
          <w:tcPr>
            <w:tcW w:w="737" w:type="dxa"/>
            <w:tcBorders>
              <w:top w:val="nil"/>
              <w:left w:val="nil"/>
              <w:bottom w:val="nil"/>
              <w:right w:val="nil"/>
            </w:tcBorders>
            <w:shd w:val="clear" w:color="auto" w:fill="auto"/>
            <w:vAlign w:val="bottom"/>
          </w:tcPr>
          <w:p w14:paraId="47033484" w14:textId="6C1833D0" w:rsidR="00A26814" w:rsidRPr="003E2D55" w:rsidRDefault="00A26814" w:rsidP="00A26814">
            <w:pPr>
              <w:spacing w:before="40" w:after="40"/>
              <w:jc w:val="right"/>
              <w:rPr>
                <w:rFonts w:cs="Arial"/>
                <w:sz w:val="18"/>
                <w:szCs w:val="18"/>
              </w:rPr>
            </w:pPr>
            <w:r w:rsidRPr="003E2D55">
              <w:rPr>
                <w:rFonts w:cs="Arial"/>
                <w:sz w:val="18"/>
                <w:szCs w:val="18"/>
              </w:rPr>
              <w:t>8</w:t>
            </w:r>
          </w:p>
        </w:tc>
        <w:tc>
          <w:tcPr>
            <w:tcW w:w="737" w:type="dxa"/>
            <w:tcBorders>
              <w:top w:val="nil"/>
              <w:left w:val="nil"/>
              <w:bottom w:val="nil"/>
              <w:right w:val="nil"/>
            </w:tcBorders>
            <w:shd w:val="clear" w:color="auto" w:fill="auto"/>
            <w:vAlign w:val="bottom"/>
          </w:tcPr>
          <w:p w14:paraId="6102765B" w14:textId="7788AABF"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3683690F" w14:textId="510B48B6" w:rsidR="00A26814" w:rsidRPr="003E2D55" w:rsidRDefault="00A26814" w:rsidP="00A26814">
            <w:pPr>
              <w:spacing w:before="40" w:after="40"/>
              <w:jc w:val="right"/>
              <w:rPr>
                <w:rFonts w:cs="Arial"/>
                <w:sz w:val="18"/>
                <w:szCs w:val="18"/>
              </w:rPr>
            </w:pPr>
            <w:r w:rsidRPr="003E2D55">
              <w:rPr>
                <w:rFonts w:cs="Arial"/>
                <w:sz w:val="18"/>
                <w:szCs w:val="18"/>
              </w:rPr>
              <w:t>0</w:t>
            </w:r>
          </w:p>
        </w:tc>
      </w:tr>
      <w:tr w:rsidR="00A26814" w:rsidRPr="003E2D55" w14:paraId="17D3ED9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6A8E6CB" w14:textId="77777777" w:rsidR="00A26814" w:rsidRPr="003E2D55" w:rsidRDefault="00A26814" w:rsidP="00A26814">
            <w:pPr>
              <w:spacing w:before="40" w:after="40"/>
              <w:rPr>
                <w:rFonts w:cs="Arial"/>
                <w:sz w:val="18"/>
                <w:szCs w:val="18"/>
              </w:rPr>
            </w:pPr>
            <w:r w:rsidRPr="003E2D55">
              <w:rPr>
                <w:rFonts w:cs="Arial"/>
                <w:sz w:val="18"/>
                <w:szCs w:val="18"/>
              </w:rPr>
              <w:t>Knox C</w:t>
            </w:r>
          </w:p>
        </w:tc>
        <w:tc>
          <w:tcPr>
            <w:tcW w:w="737" w:type="dxa"/>
            <w:tcBorders>
              <w:top w:val="nil"/>
              <w:left w:val="single" w:sz="18" w:space="0" w:color="5F497A" w:themeColor="accent4" w:themeShade="BF"/>
              <w:bottom w:val="nil"/>
              <w:right w:val="nil"/>
            </w:tcBorders>
            <w:shd w:val="clear" w:color="auto" w:fill="auto"/>
            <w:vAlign w:val="bottom"/>
          </w:tcPr>
          <w:p w14:paraId="28AAE86B" w14:textId="38F15A8A" w:rsidR="00A26814" w:rsidRPr="003E2D55" w:rsidRDefault="00A26814" w:rsidP="00A26814">
            <w:pPr>
              <w:spacing w:before="40" w:after="40"/>
              <w:jc w:val="right"/>
              <w:rPr>
                <w:rFonts w:cs="Arial"/>
                <w:sz w:val="18"/>
                <w:szCs w:val="18"/>
              </w:rPr>
            </w:pPr>
            <w:r w:rsidRPr="003E2D55">
              <w:rPr>
                <w:rFonts w:cs="Arial"/>
                <w:sz w:val="18"/>
                <w:szCs w:val="18"/>
              </w:rPr>
              <w:t>381</w:t>
            </w:r>
          </w:p>
        </w:tc>
        <w:tc>
          <w:tcPr>
            <w:tcW w:w="737" w:type="dxa"/>
            <w:tcBorders>
              <w:top w:val="nil"/>
              <w:left w:val="nil"/>
              <w:bottom w:val="nil"/>
              <w:right w:val="nil"/>
            </w:tcBorders>
            <w:shd w:val="clear" w:color="auto" w:fill="auto"/>
            <w:vAlign w:val="bottom"/>
          </w:tcPr>
          <w:p w14:paraId="3FA30F36" w14:textId="1E2B339B" w:rsidR="00A26814" w:rsidRPr="003E2D55" w:rsidRDefault="00A26814" w:rsidP="00A26814">
            <w:pPr>
              <w:spacing w:before="40" w:after="40"/>
              <w:jc w:val="right"/>
              <w:rPr>
                <w:rFonts w:cs="Arial"/>
                <w:sz w:val="18"/>
                <w:szCs w:val="18"/>
              </w:rPr>
            </w:pPr>
            <w:r w:rsidRPr="003E2D55">
              <w:rPr>
                <w:rFonts w:cs="Arial"/>
                <w:sz w:val="18"/>
                <w:szCs w:val="18"/>
              </w:rPr>
              <w:t>167</w:t>
            </w:r>
          </w:p>
        </w:tc>
        <w:tc>
          <w:tcPr>
            <w:tcW w:w="737" w:type="dxa"/>
            <w:tcBorders>
              <w:top w:val="nil"/>
              <w:left w:val="nil"/>
              <w:bottom w:val="nil"/>
              <w:right w:val="nil"/>
            </w:tcBorders>
            <w:shd w:val="clear" w:color="auto" w:fill="auto"/>
            <w:vAlign w:val="bottom"/>
          </w:tcPr>
          <w:p w14:paraId="6D8B6940" w14:textId="7A67821E" w:rsidR="00A26814" w:rsidRPr="003E2D55" w:rsidRDefault="00A26814" w:rsidP="00A26814">
            <w:pPr>
              <w:spacing w:before="40" w:after="40"/>
              <w:jc w:val="right"/>
              <w:rPr>
                <w:rFonts w:cs="Arial"/>
                <w:sz w:val="18"/>
                <w:szCs w:val="18"/>
              </w:rPr>
            </w:pPr>
            <w:r w:rsidRPr="003E2D55">
              <w:rPr>
                <w:rFonts w:cs="Arial"/>
                <w:sz w:val="18"/>
                <w:szCs w:val="18"/>
              </w:rPr>
              <w:t>141</w:t>
            </w:r>
          </w:p>
        </w:tc>
        <w:tc>
          <w:tcPr>
            <w:tcW w:w="737" w:type="dxa"/>
            <w:tcBorders>
              <w:top w:val="nil"/>
              <w:left w:val="nil"/>
              <w:bottom w:val="nil"/>
              <w:right w:val="nil"/>
            </w:tcBorders>
            <w:shd w:val="clear" w:color="auto" w:fill="auto"/>
            <w:vAlign w:val="bottom"/>
          </w:tcPr>
          <w:p w14:paraId="1851A5E7" w14:textId="6FF7BDAB" w:rsidR="00A26814" w:rsidRPr="003E2D55" w:rsidRDefault="00A26814" w:rsidP="00A26814">
            <w:pPr>
              <w:spacing w:before="40" w:after="40"/>
              <w:jc w:val="right"/>
              <w:rPr>
                <w:rFonts w:cs="Arial"/>
                <w:sz w:val="18"/>
                <w:szCs w:val="18"/>
              </w:rPr>
            </w:pPr>
            <w:r w:rsidRPr="003E2D55">
              <w:rPr>
                <w:rFonts w:cs="Arial"/>
                <w:sz w:val="18"/>
                <w:szCs w:val="18"/>
              </w:rPr>
              <w:t>25</w:t>
            </w:r>
          </w:p>
        </w:tc>
        <w:tc>
          <w:tcPr>
            <w:tcW w:w="170" w:type="dxa"/>
            <w:tcBorders>
              <w:top w:val="nil"/>
              <w:left w:val="nil"/>
              <w:bottom w:val="nil"/>
              <w:right w:val="nil"/>
            </w:tcBorders>
            <w:shd w:val="clear" w:color="auto" w:fill="auto"/>
            <w:vAlign w:val="bottom"/>
          </w:tcPr>
          <w:p w14:paraId="0F5646E5" w14:textId="0E34443B"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7BEA669A" w14:textId="062A4FB2"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6A6F109D" w14:textId="2040255A" w:rsidR="00A26814" w:rsidRPr="003E2D55" w:rsidRDefault="00A26814" w:rsidP="00A26814">
            <w:pPr>
              <w:spacing w:before="40" w:after="40"/>
              <w:jc w:val="right"/>
              <w:rPr>
                <w:rFonts w:cs="Arial"/>
                <w:sz w:val="18"/>
                <w:szCs w:val="18"/>
              </w:rPr>
            </w:pPr>
            <w:r w:rsidRPr="003E2D55">
              <w:rPr>
                <w:rFonts w:cs="Arial"/>
                <w:sz w:val="18"/>
                <w:szCs w:val="18"/>
              </w:rPr>
              <w:t>3</w:t>
            </w:r>
          </w:p>
        </w:tc>
        <w:tc>
          <w:tcPr>
            <w:tcW w:w="737" w:type="dxa"/>
            <w:tcBorders>
              <w:top w:val="nil"/>
              <w:left w:val="nil"/>
              <w:bottom w:val="nil"/>
              <w:right w:val="nil"/>
            </w:tcBorders>
            <w:shd w:val="clear" w:color="auto" w:fill="auto"/>
            <w:vAlign w:val="bottom"/>
          </w:tcPr>
          <w:p w14:paraId="41DD3BD0" w14:textId="57E59E53" w:rsidR="00A26814" w:rsidRPr="003E2D55" w:rsidRDefault="00A26814" w:rsidP="00A26814">
            <w:pPr>
              <w:spacing w:before="40" w:after="40"/>
              <w:jc w:val="right"/>
              <w:rPr>
                <w:rFonts w:cs="Arial"/>
                <w:sz w:val="18"/>
                <w:szCs w:val="18"/>
              </w:rPr>
            </w:pPr>
            <w:r w:rsidRPr="003E2D55">
              <w:rPr>
                <w:rFonts w:cs="Arial"/>
                <w:sz w:val="18"/>
                <w:szCs w:val="18"/>
              </w:rPr>
              <w:t>3</w:t>
            </w:r>
          </w:p>
        </w:tc>
        <w:tc>
          <w:tcPr>
            <w:tcW w:w="737" w:type="dxa"/>
            <w:tcBorders>
              <w:top w:val="nil"/>
              <w:left w:val="nil"/>
              <w:bottom w:val="nil"/>
              <w:right w:val="nil"/>
            </w:tcBorders>
            <w:shd w:val="clear" w:color="auto" w:fill="auto"/>
            <w:vAlign w:val="bottom"/>
          </w:tcPr>
          <w:p w14:paraId="5F4C802A" w14:textId="1EF7AB93" w:rsidR="00A26814" w:rsidRPr="003E2D55" w:rsidRDefault="00A26814" w:rsidP="00A26814">
            <w:pPr>
              <w:spacing w:before="40" w:after="40"/>
              <w:jc w:val="right"/>
              <w:rPr>
                <w:rFonts w:cs="Arial"/>
                <w:sz w:val="18"/>
                <w:szCs w:val="18"/>
              </w:rPr>
            </w:pPr>
            <w:r w:rsidRPr="003E2D55">
              <w:rPr>
                <w:rFonts w:cs="Arial"/>
                <w:sz w:val="18"/>
                <w:szCs w:val="18"/>
              </w:rPr>
              <w:t>1</w:t>
            </w:r>
          </w:p>
        </w:tc>
        <w:tc>
          <w:tcPr>
            <w:tcW w:w="737" w:type="dxa"/>
            <w:tcBorders>
              <w:top w:val="nil"/>
              <w:left w:val="nil"/>
              <w:bottom w:val="nil"/>
              <w:right w:val="nil"/>
            </w:tcBorders>
            <w:shd w:val="clear" w:color="auto" w:fill="auto"/>
            <w:vAlign w:val="bottom"/>
          </w:tcPr>
          <w:p w14:paraId="14DDB0CA" w14:textId="1E7DDC94" w:rsidR="00A26814" w:rsidRPr="003E2D55" w:rsidRDefault="00A26814" w:rsidP="00A26814">
            <w:pPr>
              <w:spacing w:before="40" w:after="40"/>
              <w:jc w:val="right"/>
              <w:rPr>
                <w:rFonts w:cs="Arial"/>
                <w:sz w:val="18"/>
                <w:szCs w:val="18"/>
              </w:rPr>
            </w:pPr>
            <w:r w:rsidRPr="003E2D55">
              <w:rPr>
                <w:rFonts w:cs="Arial"/>
                <w:sz w:val="18"/>
                <w:szCs w:val="18"/>
              </w:rPr>
              <w:t>3</w:t>
            </w:r>
          </w:p>
        </w:tc>
      </w:tr>
      <w:tr w:rsidR="00A26814" w:rsidRPr="003E2D55" w14:paraId="490E564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84E2972" w14:textId="77777777" w:rsidR="00A26814" w:rsidRPr="003E2D55" w:rsidRDefault="00A26814" w:rsidP="00A26814">
            <w:pPr>
              <w:spacing w:before="40" w:after="40"/>
              <w:rPr>
                <w:rFonts w:cs="Arial"/>
                <w:sz w:val="18"/>
                <w:szCs w:val="18"/>
              </w:rPr>
            </w:pPr>
            <w:r w:rsidRPr="003E2D55">
              <w:rPr>
                <w:rFonts w:cs="Arial"/>
                <w:sz w:val="18"/>
                <w:szCs w:val="18"/>
              </w:rPr>
              <w:t>Latrobe C</w:t>
            </w:r>
          </w:p>
        </w:tc>
        <w:tc>
          <w:tcPr>
            <w:tcW w:w="737" w:type="dxa"/>
            <w:tcBorders>
              <w:top w:val="nil"/>
              <w:left w:val="single" w:sz="18" w:space="0" w:color="5F497A" w:themeColor="accent4" w:themeShade="BF"/>
              <w:bottom w:val="nil"/>
              <w:right w:val="nil"/>
            </w:tcBorders>
            <w:shd w:val="clear" w:color="auto" w:fill="auto"/>
            <w:vAlign w:val="bottom"/>
          </w:tcPr>
          <w:p w14:paraId="2998DCB9" w14:textId="5D83D9C1" w:rsidR="00A26814" w:rsidRPr="003E2D55" w:rsidRDefault="00A26814" w:rsidP="00A26814">
            <w:pPr>
              <w:spacing w:before="40" w:after="40"/>
              <w:jc w:val="right"/>
              <w:rPr>
                <w:rFonts w:cs="Arial"/>
                <w:sz w:val="18"/>
                <w:szCs w:val="18"/>
              </w:rPr>
            </w:pPr>
            <w:r w:rsidRPr="003E2D55">
              <w:rPr>
                <w:rFonts w:cs="Arial"/>
                <w:sz w:val="18"/>
                <w:szCs w:val="18"/>
              </w:rPr>
              <w:t>313</w:t>
            </w:r>
          </w:p>
        </w:tc>
        <w:tc>
          <w:tcPr>
            <w:tcW w:w="737" w:type="dxa"/>
            <w:tcBorders>
              <w:top w:val="nil"/>
              <w:left w:val="nil"/>
              <w:bottom w:val="nil"/>
              <w:right w:val="nil"/>
            </w:tcBorders>
            <w:shd w:val="clear" w:color="auto" w:fill="auto"/>
            <w:vAlign w:val="bottom"/>
          </w:tcPr>
          <w:p w14:paraId="685864AB" w14:textId="26459F9A" w:rsidR="00A26814" w:rsidRPr="003E2D55" w:rsidRDefault="00A26814" w:rsidP="00A26814">
            <w:pPr>
              <w:spacing w:before="40" w:after="40"/>
              <w:jc w:val="right"/>
              <w:rPr>
                <w:rFonts w:cs="Arial"/>
                <w:sz w:val="18"/>
                <w:szCs w:val="18"/>
              </w:rPr>
            </w:pPr>
            <w:r w:rsidRPr="003E2D55">
              <w:rPr>
                <w:rFonts w:cs="Arial"/>
                <w:sz w:val="18"/>
                <w:szCs w:val="18"/>
              </w:rPr>
              <w:t>84</w:t>
            </w:r>
          </w:p>
        </w:tc>
        <w:tc>
          <w:tcPr>
            <w:tcW w:w="737" w:type="dxa"/>
            <w:tcBorders>
              <w:top w:val="nil"/>
              <w:left w:val="nil"/>
              <w:bottom w:val="nil"/>
              <w:right w:val="nil"/>
            </w:tcBorders>
            <w:shd w:val="clear" w:color="auto" w:fill="auto"/>
            <w:vAlign w:val="bottom"/>
          </w:tcPr>
          <w:p w14:paraId="221AEE8E" w14:textId="58088C4B" w:rsidR="00A26814" w:rsidRPr="003E2D55" w:rsidRDefault="00A26814" w:rsidP="00A26814">
            <w:pPr>
              <w:spacing w:before="40" w:after="40"/>
              <w:jc w:val="right"/>
              <w:rPr>
                <w:rFonts w:cs="Arial"/>
                <w:sz w:val="18"/>
                <w:szCs w:val="18"/>
              </w:rPr>
            </w:pPr>
            <w:r w:rsidRPr="003E2D55">
              <w:rPr>
                <w:rFonts w:cs="Arial"/>
                <w:sz w:val="18"/>
                <w:szCs w:val="18"/>
              </w:rPr>
              <w:t>117</w:t>
            </w:r>
          </w:p>
        </w:tc>
        <w:tc>
          <w:tcPr>
            <w:tcW w:w="737" w:type="dxa"/>
            <w:tcBorders>
              <w:top w:val="nil"/>
              <w:left w:val="nil"/>
              <w:bottom w:val="nil"/>
              <w:right w:val="nil"/>
            </w:tcBorders>
            <w:shd w:val="clear" w:color="auto" w:fill="auto"/>
            <w:vAlign w:val="bottom"/>
          </w:tcPr>
          <w:p w14:paraId="7E3E8FC7" w14:textId="5AFAFFAC" w:rsidR="00A26814" w:rsidRPr="003E2D55" w:rsidRDefault="00A26814" w:rsidP="00A26814">
            <w:pPr>
              <w:spacing w:before="40" w:after="40"/>
              <w:jc w:val="right"/>
              <w:rPr>
                <w:rFonts w:cs="Arial"/>
                <w:sz w:val="18"/>
                <w:szCs w:val="18"/>
              </w:rPr>
            </w:pPr>
            <w:r w:rsidRPr="003E2D55">
              <w:rPr>
                <w:rFonts w:cs="Arial"/>
                <w:sz w:val="18"/>
                <w:szCs w:val="18"/>
              </w:rPr>
              <w:t>20</w:t>
            </w:r>
          </w:p>
        </w:tc>
        <w:tc>
          <w:tcPr>
            <w:tcW w:w="170" w:type="dxa"/>
            <w:tcBorders>
              <w:top w:val="nil"/>
              <w:left w:val="nil"/>
              <w:bottom w:val="nil"/>
              <w:right w:val="nil"/>
            </w:tcBorders>
            <w:shd w:val="clear" w:color="auto" w:fill="auto"/>
            <w:vAlign w:val="bottom"/>
          </w:tcPr>
          <w:p w14:paraId="411ECF76" w14:textId="6A2F4EEF"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5609B99B" w14:textId="33F424C8" w:rsidR="00A26814" w:rsidRPr="003E2D55" w:rsidRDefault="00A26814" w:rsidP="00A26814">
            <w:pPr>
              <w:spacing w:before="40" w:after="4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4E22640C" w14:textId="3833CD18" w:rsidR="00A26814" w:rsidRPr="003E2D55" w:rsidRDefault="00A26814" w:rsidP="00A26814">
            <w:pPr>
              <w:spacing w:before="40" w:after="40"/>
              <w:jc w:val="right"/>
              <w:rPr>
                <w:rFonts w:cs="Arial"/>
                <w:sz w:val="18"/>
                <w:szCs w:val="18"/>
              </w:rPr>
            </w:pPr>
            <w:r w:rsidRPr="003E2D55">
              <w:rPr>
                <w:rFonts w:cs="Arial"/>
                <w:sz w:val="18"/>
                <w:szCs w:val="18"/>
              </w:rPr>
              <w:t>534</w:t>
            </w:r>
          </w:p>
        </w:tc>
        <w:tc>
          <w:tcPr>
            <w:tcW w:w="737" w:type="dxa"/>
            <w:tcBorders>
              <w:top w:val="nil"/>
              <w:left w:val="nil"/>
              <w:bottom w:val="nil"/>
              <w:right w:val="nil"/>
            </w:tcBorders>
            <w:shd w:val="clear" w:color="auto" w:fill="auto"/>
            <w:vAlign w:val="bottom"/>
          </w:tcPr>
          <w:p w14:paraId="1864FA0D" w14:textId="364FF3A7" w:rsidR="00A26814" w:rsidRPr="003E2D55" w:rsidRDefault="00A26814" w:rsidP="00A26814">
            <w:pPr>
              <w:spacing w:before="40" w:after="40"/>
              <w:jc w:val="right"/>
              <w:rPr>
                <w:rFonts w:cs="Arial"/>
                <w:sz w:val="18"/>
                <w:szCs w:val="18"/>
              </w:rPr>
            </w:pPr>
            <w:r w:rsidRPr="003E2D55">
              <w:rPr>
                <w:rFonts w:cs="Arial"/>
                <w:sz w:val="18"/>
                <w:szCs w:val="18"/>
              </w:rPr>
              <w:t>384</w:t>
            </w:r>
          </w:p>
        </w:tc>
        <w:tc>
          <w:tcPr>
            <w:tcW w:w="737" w:type="dxa"/>
            <w:tcBorders>
              <w:top w:val="nil"/>
              <w:left w:val="nil"/>
              <w:bottom w:val="nil"/>
              <w:right w:val="nil"/>
            </w:tcBorders>
            <w:shd w:val="clear" w:color="auto" w:fill="auto"/>
            <w:vAlign w:val="bottom"/>
          </w:tcPr>
          <w:p w14:paraId="74D98874" w14:textId="344310A8" w:rsidR="00A26814" w:rsidRPr="003E2D55" w:rsidRDefault="00A26814" w:rsidP="00A26814">
            <w:pPr>
              <w:spacing w:before="40" w:after="40"/>
              <w:jc w:val="right"/>
              <w:rPr>
                <w:rFonts w:cs="Arial"/>
                <w:sz w:val="18"/>
                <w:szCs w:val="18"/>
              </w:rPr>
            </w:pPr>
            <w:r w:rsidRPr="003E2D55">
              <w:rPr>
                <w:rFonts w:cs="Arial"/>
                <w:sz w:val="18"/>
                <w:szCs w:val="18"/>
              </w:rPr>
              <w:t>75</w:t>
            </w:r>
          </w:p>
        </w:tc>
        <w:tc>
          <w:tcPr>
            <w:tcW w:w="737" w:type="dxa"/>
            <w:tcBorders>
              <w:top w:val="nil"/>
              <w:left w:val="nil"/>
              <w:bottom w:val="nil"/>
              <w:right w:val="nil"/>
            </w:tcBorders>
            <w:shd w:val="clear" w:color="auto" w:fill="auto"/>
            <w:vAlign w:val="bottom"/>
          </w:tcPr>
          <w:p w14:paraId="5854D222" w14:textId="0BE2BF59" w:rsidR="00A26814" w:rsidRPr="003E2D55" w:rsidRDefault="00A26814" w:rsidP="00A26814">
            <w:pPr>
              <w:spacing w:before="40" w:after="40"/>
              <w:jc w:val="right"/>
              <w:rPr>
                <w:rFonts w:cs="Arial"/>
                <w:sz w:val="18"/>
                <w:szCs w:val="18"/>
              </w:rPr>
            </w:pPr>
            <w:r w:rsidRPr="003E2D55">
              <w:rPr>
                <w:rFonts w:cs="Arial"/>
                <w:sz w:val="18"/>
                <w:szCs w:val="18"/>
              </w:rPr>
              <w:t>62</w:t>
            </w:r>
          </w:p>
        </w:tc>
      </w:tr>
      <w:tr w:rsidR="00A26814" w:rsidRPr="003E2D55" w14:paraId="3F134E2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6104878" w14:textId="77777777" w:rsidR="00A26814" w:rsidRPr="003E2D55" w:rsidRDefault="00A26814" w:rsidP="00A26814">
            <w:pPr>
              <w:spacing w:before="40" w:after="40"/>
              <w:rPr>
                <w:rFonts w:cs="Arial"/>
                <w:sz w:val="18"/>
                <w:szCs w:val="18"/>
              </w:rPr>
            </w:pPr>
            <w:r w:rsidRPr="003E2D55">
              <w:rPr>
                <w:rFonts w:cs="Arial"/>
                <w:sz w:val="18"/>
                <w:szCs w:val="18"/>
              </w:rPr>
              <w:t>Loddon S</w:t>
            </w:r>
          </w:p>
        </w:tc>
        <w:tc>
          <w:tcPr>
            <w:tcW w:w="737" w:type="dxa"/>
            <w:tcBorders>
              <w:top w:val="nil"/>
              <w:left w:val="single" w:sz="18" w:space="0" w:color="5F497A" w:themeColor="accent4" w:themeShade="BF"/>
              <w:bottom w:val="nil"/>
              <w:right w:val="nil"/>
            </w:tcBorders>
            <w:shd w:val="clear" w:color="auto" w:fill="auto"/>
            <w:vAlign w:val="bottom"/>
          </w:tcPr>
          <w:p w14:paraId="79B8EE4B" w14:textId="14D3634B" w:rsidR="00A26814" w:rsidRPr="003E2D55" w:rsidRDefault="00A26814" w:rsidP="00A26814">
            <w:pPr>
              <w:spacing w:before="40" w:after="40"/>
              <w:jc w:val="right"/>
              <w:rPr>
                <w:rFonts w:cs="Arial"/>
                <w:sz w:val="18"/>
                <w:szCs w:val="18"/>
              </w:rPr>
            </w:pPr>
            <w:r w:rsidRPr="003E2D55">
              <w:rPr>
                <w:rFonts w:cs="Arial"/>
                <w:sz w:val="18"/>
                <w:szCs w:val="18"/>
              </w:rPr>
              <w:t>118</w:t>
            </w:r>
          </w:p>
        </w:tc>
        <w:tc>
          <w:tcPr>
            <w:tcW w:w="737" w:type="dxa"/>
            <w:tcBorders>
              <w:top w:val="nil"/>
              <w:left w:val="nil"/>
              <w:bottom w:val="nil"/>
              <w:right w:val="nil"/>
            </w:tcBorders>
            <w:shd w:val="clear" w:color="auto" w:fill="auto"/>
            <w:vAlign w:val="bottom"/>
          </w:tcPr>
          <w:p w14:paraId="469AB71F" w14:textId="0C95034D" w:rsidR="00A26814" w:rsidRPr="003E2D55" w:rsidRDefault="00A26814" w:rsidP="00A26814">
            <w:pPr>
              <w:spacing w:before="40" w:after="40"/>
              <w:jc w:val="right"/>
              <w:rPr>
                <w:rFonts w:cs="Arial"/>
                <w:sz w:val="18"/>
                <w:szCs w:val="18"/>
              </w:rPr>
            </w:pPr>
            <w:r w:rsidRPr="003E2D55">
              <w:rPr>
                <w:rFonts w:cs="Arial"/>
                <w:sz w:val="18"/>
                <w:szCs w:val="18"/>
              </w:rPr>
              <w:t>1</w:t>
            </w:r>
          </w:p>
        </w:tc>
        <w:tc>
          <w:tcPr>
            <w:tcW w:w="737" w:type="dxa"/>
            <w:tcBorders>
              <w:top w:val="nil"/>
              <w:left w:val="nil"/>
              <w:bottom w:val="nil"/>
              <w:right w:val="nil"/>
            </w:tcBorders>
            <w:shd w:val="clear" w:color="auto" w:fill="auto"/>
            <w:vAlign w:val="bottom"/>
          </w:tcPr>
          <w:p w14:paraId="386FEE1D" w14:textId="4BAC4649" w:rsidR="00A26814" w:rsidRPr="003E2D55" w:rsidRDefault="00A26814" w:rsidP="00A26814">
            <w:pPr>
              <w:spacing w:before="40" w:after="40"/>
              <w:jc w:val="right"/>
              <w:rPr>
                <w:rFonts w:cs="Arial"/>
                <w:sz w:val="18"/>
                <w:szCs w:val="18"/>
              </w:rPr>
            </w:pPr>
            <w:r w:rsidRPr="003E2D55">
              <w:rPr>
                <w:rFonts w:cs="Arial"/>
                <w:sz w:val="18"/>
                <w:szCs w:val="18"/>
              </w:rPr>
              <w:t>1</w:t>
            </w:r>
          </w:p>
        </w:tc>
        <w:tc>
          <w:tcPr>
            <w:tcW w:w="737" w:type="dxa"/>
            <w:tcBorders>
              <w:top w:val="nil"/>
              <w:left w:val="nil"/>
              <w:bottom w:val="nil"/>
              <w:right w:val="nil"/>
            </w:tcBorders>
            <w:shd w:val="clear" w:color="auto" w:fill="auto"/>
            <w:vAlign w:val="bottom"/>
          </w:tcPr>
          <w:p w14:paraId="390E9DCF" w14:textId="2B1149E5" w:rsidR="00A26814" w:rsidRPr="003E2D55" w:rsidRDefault="00A26814" w:rsidP="00A26814">
            <w:pPr>
              <w:spacing w:before="40" w:after="4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00C8EEC9" w14:textId="514C94D5" w:rsidR="00A26814" w:rsidRPr="003E2D55" w:rsidRDefault="00A26814" w:rsidP="00A26814">
            <w:pPr>
              <w:spacing w:before="40" w:after="4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377D4DAB" w14:textId="01F68387" w:rsidR="00A26814" w:rsidRPr="003E2D55" w:rsidRDefault="00A26814" w:rsidP="00A26814">
            <w:pPr>
              <w:spacing w:before="40" w:after="40"/>
              <w:jc w:val="right"/>
              <w:rPr>
                <w:rFonts w:cs="Arial"/>
                <w:sz w:val="18"/>
                <w:szCs w:val="18"/>
              </w:rPr>
            </w:pPr>
            <w:r w:rsidRPr="003E2D55">
              <w:rPr>
                <w:rFonts w:cs="Arial"/>
                <w:sz w:val="18"/>
                <w:szCs w:val="18"/>
              </w:rPr>
              <w:t>1,215</w:t>
            </w:r>
          </w:p>
        </w:tc>
        <w:tc>
          <w:tcPr>
            <w:tcW w:w="737" w:type="dxa"/>
            <w:tcBorders>
              <w:top w:val="nil"/>
              <w:left w:val="nil"/>
              <w:bottom w:val="nil"/>
              <w:right w:val="nil"/>
            </w:tcBorders>
            <w:shd w:val="clear" w:color="auto" w:fill="auto"/>
            <w:vAlign w:val="bottom"/>
          </w:tcPr>
          <w:p w14:paraId="5D1958E3" w14:textId="692084D8" w:rsidR="00A26814" w:rsidRPr="003E2D55" w:rsidRDefault="00A26814" w:rsidP="00A26814">
            <w:pPr>
              <w:spacing w:before="40" w:after="40"/>
              <w:jc w:val="right"/>
              <w:rPr>
                <w:rFonts w:cs="Arial"/>
                <w:sz w:val="18"/>
                <w:szCs w:val="18"/>
              </w:rPr>
            </w:pPr>
            <w:r w:rsidRPr="003E2D55">
              <w:rPr>
                <w:rFonts w:cs="Arial"/>
                <w:sz w:val="18"/>
                <w:szCs w:val="18"/>
              </w:rPr>
              <w:t>3,063</w:t>
            </w:r>
          </w:p>
        </w:tc>
        <w:tc>
          <w:tcPr>
            <w:tcW w:w="737" w:type="dxa"/>
            <w:tcBorders>
              <w:top w:val="nil"/>
              <w:left w:val="nil"/>
              <w:bottom w:val="nil"/>
              <w:right w:val="nil"/>
            </w:tcBorders>
            <w:shd w:val="clear" w:color="auto" w:fill="auto"/>
            <w:vAlign w:val="bottom"/>
          </w:tcPr>
          <w:p w14:paraId="3073D182" w14:textId="1F953228" w:rsidR="00A26814" w:rsidRPr="003E2D55" w:rsidRDefault="00A26814" w:rsidP="00A26814">
            <w:pPr>
              <w:spacing w:before="40" w:after="40"/>
              <w:jc w:val="right"/>
              <w:rPr>
                <w:rFonts w:cs="Arial"/>
                <w:sz w:val="18"/>
                <w:szCs w:val="18"/>
              </w:rPr>
            </w:pPr>
            <w:r w:rsidRPr="003E2D55">
              <w:rPr>
                <w:rFonts w:cs="Arial"/>
                <w:sz w:val="18"/>
                <w:szCs w:val="18"/>
              </w:rPr>
              <w:t>287</w:t>
            </w:r>
          </w:p>
        </w:tc>
        <w:tc>
          <w:tcPr>
            <w:tcW w:w="737" w:type="dxa"/>
            <w:tcBorders>
              <w:top w:val="nil"/>
              <w:left w:val="nil"/>
              <w:bottom w:val="nil"/>
              <w:right w:val="nil"/>
            </w:tcBorders>
            <w:shd w:val="clear" w:color="auto" w:fill="auto"/>
            <w:vAlign w:val="bottom"/>
          </w:tcPr>
          <w:p w14:paraId="66394848" w14:textId="39B1F14A" w:rsidR="00A26814" w:rsidRPr="003E2D55" w:rsidRDefault="00A26814" w:rsidP="00A26814">
            <w:pPr>
              <w:spacing w:before="40" w:after="40"/>
              <w:jc w:val="right"/>
              <w:rPr>
                <w:rFonts w:cs="Arial"/>
                <w:sz w:val="18"/>
                <w:szCs w:val="18"/>
              </w:rPr>
            </w:pPr>
            <w:r w:rsidRPr="003E2D55">
              <w:rPr>
                <w:rFonts w:cs="Arial"/>
                <w:sz w:val="18"/>
                <w:szCs w:val="18"/>
              </w:rPr>
              <w:t>33</w:t>
            </w:r>
          </w:p>
        </w:tc>
        <w:tc>
          <w:tcPr>
            <w:tcW w:w="737" w:type="dxa"/>
            <w:tcBorders>
              <w:top w:val="nil"/>
              <w:left w:val="nil"/>
              <w:bottom w:val="nil"/>
              <w:right w:val="nil"/>
            </w:tcBorders>
            <w:shd w:val="clear" w:color="auto" w:fill="auto"/>
            <w:vAlign w:val="bottom"/>
          </w:tcPr>
          <w:p w14:paraId="3E96ED1D" w14:textId="7A8265AB" w:rsidR="00A26814" w:rsidRPr="003E2D55" w:rsidRDefault="00A26814" w:rsidP="00A26814">
            <w:pPr>
              <w:spacing w:before="40" w:after="40"/>
              <w:jc w:val="right"/>
              <w:rPr>
                <w:rFonts w:cs="Arial"/>
                <w:sz w:val="18"/>
                <w:szCs w:val="18"/>
              </w:rPr>
            </w:pPr>
            <w:r w:rsidRPr="003E2D55">
              <w:rPr>
                <w:rFonts w:cs="Arial"/>
                <w:sz w:val="18"/>
                <w:szCs w:val="18"/>
              </w:rPr>
              <w:t>0</w:t>
            </w:r>
          </w:p>
        </w:tc>
      </w:tr>
    </w:tbl>
    <w:p w14:paraId="62A9CEC3" w14:textId="77777777" w:rsidR="00EB2E62" w:rsidRPr="00A44829" w:rsidRDefault="00EB2E62" w:rsidP="00147515">
      <w:pPr>
        <w:spacing w:before="40" w:after="40"/>
        <w:rPr>
          <w:rFonts w:cs="Arial"/>
          <w:sz w:val="18"/>
          <w:szCs w:val="18"/>
        </w:rPr>
      </w:pPr>
    </w:p>
    <w:p w14:paraId="276DE935" w14:textId="77777777" w:rsidR="0096783F" w:rsidRPr="00A44829" w:rsidRDefault="0096783F" w:rsidP="00FF36E8">
      <w:pPr>
        <w:spacing w:before="40" w:after="20"/>
        <w:rPr>
          <w:rFonts w:cs="Arial"/>
          <w:sz w:val="18"/>
          <w:szCs w:val="18"/>
        </w:rPr>
      </w:pPr>
      <w:r w:rsidRPr="00A44829">
        <w:rPr>
          <w:rFonts w:cs="Arial"/>
          <w:sz w:val="18"/>
          <w:szCs w:val="18"/>
        </w:rPr>
        <w:br w:type="page"/>
      </w:r>
    </w:p>
    <w:p w14:paraId="3E984BFA" w14:textId="732216E5" w:rsidR="0096783F" w:rsidRPr="00A44829" w:rsidRDefault="00EE4593" w:rsidP="00C33713">
      <w:pPr>
        <w:pStyle w:val="VGC-Head10"/>
      </w:pPr>
      <w:r w:rsidRPr="00A44829">
        <w:lastRenderedPageBreak/>
        <w:t>2019-20</w:t>
      </w:r>
      <w:r w:rsidR="00A97ABE" w:rsidRPr="00A44829">
        <w:t xml:space="preserve"> </w:t>
      </w:r>
      <w:r w:rsidR="0096783F" w:rsidRPr="00A44829">
        <w:t>Local Roads Grants</w:t>
      </w:r>
      <w:r w:rsidR="00CE4507" w:rsidRPr="00A44829">
        <w:tab/>
        <w:t>Appendix 5</w:t>
      </w:r>
    </w:p>
    <w:p w14:paraId="73A798B9" w14:textId="078F3C33" w:rsidR="0096783F" w:rsidRPr="00A44829" w:rsidRDefault="004F1184" w:rsidP="008C1A28">
      <w:pPr>
        <w:pStyle w:val="VGC-Head2"/>
      </w:pPr>
      <w:r w:rsidRPr="00A44829">
        <w:tab/>
      </w:r>
      <w:r w:rsidR="00955945" w:rsidRPr="00A44829">
        <w:t>A</w:t>
      </w:r>
      <w:r w:rsidR="0096783F" w:rsidRPr="00A44829">
        <w:t>.  Local Road</w:t>
      </w:r>
      <w:r w:rsidR="00C64712">
        <w:t>s</w:t>
      </w:r>
      <w:r w:rsidR="0096783F" w:rsidRPr="00A44829">
        <w:t xml:space="preserve"> Network </w:t>
      </w:r>
    </w:p>
    <w:p w14:paraId="7F9AE86A" w14:textId="77777777" w:rsidR="008475D6" w:rsidRPr="00A44829" w:rsidRDefault="008475D6"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A44829" w14:paraId="42682DAD"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74D32A68" w14:textId="77777777" w:rsidR="00EE4FC3" w:rsidRPr="00A44829" w:rsidRDefault="00EE4FC3" w:rsidP="0038375E">
            <w:pPr>
              <w:spacing w:before="40" w:after="20"/>
              <w:jc w:val="center"/>
              <w:rPr>
                <w:rFonts w:cs="Arial"/>
                <w:sz w:val="18"/>
                <w:szCs w:val="18"/>
              </w:rPr>
            </w:pPr>
          </w:p>
        </w:tc>
        <w:tc>
          <w:tcPr>
            <w:tcW w:w="1134" w:type="dxa"/>
            <w:tcBorders>
              <w:left w:val="single" w:sz="18" w:space="0" w:color="5F497A" w:themeColor="accent4" w:themeShade="BF"/>
              <w:bottom w:val="single" w:sz="8" w:space="0" w:color="5F497A" w:themeColor="accent4" w:themeShade="BF"/>
              <w:right w:val="nil"/>
            </w:tcBorders>
            <w:shd w:val="clear" w:color="auto" w:fill="auto"/>
            <w:vAlign w:val="bottom"/>
          </w:tcPr>
          <w:p w14:paraId="640EDA61" w14:textId="77777777" w:rsidR="00EE4FC3" w:rsidRPr="00A44829" w:rsidRDefault="00EE4FC3" w:rsidP="0038375E">
            <w:pPr>
              <w:spacing w:before="40" w:after="20"/>
              <w:jc w:val="center"/>
              <w:rPr>
                <w:rFonts w:cs="Arial"/>
                <w:sz w:val="16"/>
                <w:szCs w:val="16"/>
              </w:rPr>
            </w:pPr>
          </w:p>
        </w:tc>
        <w:tc>
          <w:tcPr>
            <w:tcW w:w="1134" w:type="dxa"/>
            <w:tcBorders>
              <w:left w:val="nil"/>
              <w:bottom w:val="single" w:sz="8" w:space="0" w:color="5F497A" w:themeColor="accent4" w:themeShade="BF"/>
              <w:right w:val="nil"/>
            </w:tcBorders>
            <w:vAlign w:val="bottom"/>
          </w:tcPr>
          <w:p w14:paraId="28DCAC28" w14:textId="77777777" w:rsidR="00EE4FC3" w:rsidRPr="00A44829" w:rsidRDefault="00EE4FC3" w:rsidP="0038375E">
            <w:pPr>
              <w:spacing w:before="40" w:after="20"/>
              <w:jc w:val="center"/>
              <w:rPr>
                <w:rFonts w:cs="Arial"/>
                <w:sz w:val="16"/>
                <w:szCs w:val="16"/>
              </w:rPr>
            </w:pPr>
          </w:p>
        </w:tc>
        <w:tc>
          <w:tcPr>
            <w:tcW w:w="1247" w:type="dxa"/>
            <w:vMerge w:val="restart"/>
            <w:tcBorders>
              <w:left w:val="nil"/>
              <w:bottom w:val="single" w:sz="8" w:space="0" w:color="5F497A" w:themeColor="accent4" w:themeShade="BF"/>
              <w:right w:val="nil"/>
            </w:tcBorders>
            <w:vAlign w:val="bottom"/>
          </w:tcPr>
          <w:p w14:paraId="34C54A1B" w14:textId="77777777" w:rsidR="00EE4FC3" w:rsidRPr="00A44829" w:rsidRDefault="00EE4FC3" w:rsidP="0038375E">
            <w:pPr>
              <w:spacing w:before="40" w:after="20"/>
              <w:jc w:val="center"/>
              <w:rPr>
                <w:rFonts w:cs="Arial"/>
                <w:b/>
                <w:sz w:val="18"/>
                <w:szCs w:val="18"/>
              </w:rPr>
            </w:pPr>
            <w:r w:rsidRPr="00A44829">
              <w:rPr>
                <w:rFonts w:cs="Arial"/>
                <w:b/>
                <w:sz w:val="18"/>
                <w:szCs w:val="18"/>
              </w:rPr>
              <w:t xml:space="preserve">Total </w:t>
            </w:r>
            <w:r w:rsidRPr="00A44829">
              <w:rPr>
                <w:rFonts w:cs="Arial"/>
                <w:b/>
                <w:sz w:val="18"/>
                <w:szCs w:val="18"/>
              </w:rPr>
              <w:br/>
              <w:t xml:space="preserve">Local </w:t>
            </w:r>
            <w:r w:rsidR="00A61C23" w:rsidRPr="00A44829">
              <w:rPr>
                <w:rFonts w:cs="Arial"/>
                <w:b/>
                <w:sz w:val="18"/>
                <w:szCs w:val="18"/>
              </w:rPr>
              <w:br/>
            </w:r>
            <w:r w:rsidRPr="00A44829">
              <w:rPr>
                <w:rFonts w:cs="Arial"/>
                <w:b/>
                <w:sz w:val="18"/>
                <w:szCs w:val="18"/>
              </w:rPr>
              <w:t xml:space="preserve">Roads </w:t>
            </w:r>
            <w:r w:rsidRPr="00A44829">
              <w:rPr>
                <w:rFonts w:cs="Arial"/>
                <w:b/>
                <w:sz w:val="18"/>
                <w:szCs w:val="18"/>
              </w:rPr>
              <w:br/>
            </w:r>
            <w:r w:rsidRPr="00A44829">
              <w:rPr>
                <w:rFonts w:cs="Arial"/>
                <w:sz w:val="16"/>
                <w:szCs w:val="16"/>
              </w:rPr>
              <w:t>(km)</w:t>
            </w:r>
          </w:p>
        </w:tc>
        <w:tc>
          <w:tcPr>
            <w:tcW w:w="1247" w:type="dxa"/>
            <w:vMerge w:val="restart"/>
            <w:tcBorders>
              <w:left w:val="nil"/>
              <w:bottom w:val="single" w:sz="8" w:space="0" w:color="5F497A" w:themeColor="accent4" w:themeShade="BF"/>
              <w:right w:val="nil"/>
            </w:tcBorders>
            <w:shd w:val="clear" w:color="auto" w:fill="auto"/>
            <w:vAlign w:val="bottom"/>
          </w:tcPr>
          <w:p w14:paraId="0FB8C3E8" w14:textId="77777777" w:rsidR="00EE4FC3" w:rsidRPr="00A44829" w:rsidRDefault="00EE4FC3" w:rsidP="0038375E">
            <w:pPr>
              <w:spacing w:before="40" w:after="20"/>
              <w:jc w:val="center"/>
              <w:rPr>
                <w:rFonts w:cs="Arial"/>
                <w:b/>
                <w:sz w:val="18"/>
                <w:szCs w:val="18"/>
              </w:rPr>
            </w:pPr>
            <w:r w:rsidRPr="00A44829">
              <w:rPr>
                <w:rFonts w:cs="Arial"/>
                <w:b/>
                <w:sz w:val="18"/>
                <w:szCs w:val="18"/>
              </w:rPr>
              <w:t xml:space="preserve">Total </w:t>
            </w:r>
            <w:r w:rsidRPr="00A44829">
              <w:rPr>
                <w:rFonts w:cs="Arial"/>
                <w:b/>
                <w:sz w:val="18"/>
                <w:szCs w:val="18"/>
              </w:rPr>
              <w:br/>
              <w:t xml:space="preserve">Strategic Routes </w:t>
            </w:r>
            <w:r w:rsidRPr="00A44829">
              <w:rPr>
                <w:rFonts w:cs="Arial"/>
                <w:b/>
                <w:sz w:val="18"/>
                <w:szCs w:val="18"/>
              </w:rPr>
              <w:br/>
            </w:r>
            <w:r w:rsidRPr="00A44829">
              <w:rPr>
                <w:rFonts w:cs="Arial"/>
                <w:sz w:val="16"/>
                <w:szCs w:val="16"/>
              </w:rPr>
              <w:t>(km)</w:t>
            </w:r>
          </w:p>
        </w:tc>
        <w:tc>
          <w:tcPr>
            <w:tcW w:w="2042" w:type="dxa"/>
            <w:gridSpan w:val="2"/>
            <w:tcBorders>
              <w:left w:val="nil"/>
              <w:bottom w:val="single" w:sz="8" w:space="0" w:color="5F497A" w:themeColor="accent4" w:themeShade="BF"/>
              <w:right w:val="nil"/>
            </w:tcBorders>
            <w:shd w:val="clear" w:color="auto" w:fill="auto"/>
            <w:vAlign w:val="bottom"/>
          </w:tcPr>
          <w:p w14:paraId="3E404371" w14:textId="77777777" w:rsidR="00EE4FC3" w:rsidRPr="00A44829" w:rsidRDefault="00EE4FC3" w:rsidP="0038375E">
            <w:pPr>
              <w:spacing w:before="40" w:after="20"/>
              <w:jc w:val="center"/>
              <w:rPr>
                <w:rFonts w:cs="Arial"/>
                <w:sz w:val="16"/>
                <w:szCs w:val="16"/>
              </w:rPr>
            </w:pPr>
            <w:r w:rsidRPr="00A44829">
              <w:rPr>
                <w:rFonts w:cs="Arial"/>
                <w:sz w:val="16"/>
                <w:szCs w:val="16"/>
              </w:rPr>
              <w:t>Bridges</w:t>
            </w:r>
          </w:p>
        </w:tc>
      </w:tr>
      <w:tr w:rsidR="00EE4FC3" w:rsidRPr="00A44829" w14:paraId="41785D9E"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31AD27B5" w14:textId="77777777" w:rsidR="00EE4FC3" w:rsidRPr="00A44829" w:rsidRDefault="00EE4FC3" w:rsidP="0038375E">
            <w:pPr>
              <w:spacing w:before="40" w:after="20"/>
              <w:jc w:val="center"/>
              <w:rPr>
                <w:rFonts w:cs="Arial"/>
                <w:sz w:val="18"/>
                <w:szCs w:val="18"/>
              </w:rPr>
            </w:pP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5AD906C5" w14:textId="77777777" w:rsidR="00EE4FC3" w:rsidRPr="00A44829" w:rsidRDefault="00EE4FC3" w:rsidP="0038375E">
            <w:pPr>
              <w:spacing w:before="40" w:after="20"/>
              <w:jc w:val="center"/>
              <w:rPr>
                <w:rFonts w:cs="Arial"/>
                <w:sz w:val="16"/>
                <w:szCs w:val="16"/>
              </w:rPr>
            </w:pPr>
            <w:r w:rsidRPr="00A44829">
              <w:rPr>
                <w:rFonts w:cs="Arial"/>
                <w:sz w:val="16"/>
                <w:szCs w:val="16"/>
              </w:rPr>
              <w:t xml:space="preserve">Total </w:t>
            </w:r>
            <w:r w:rsidRPr="00A44829">
              <w:rPr>
                <w:rFonts w:cs="Arial"/>
                <w:sz w:val="16"/>
                <w:szCs w:val="16"/>
              </w:rPr>
              <w:br/>
              <w:t xml:space="preserve">Urban </w:t>
            </w:r>
            <w:r w:rsidRPr="00A44829">
              <w:rPr>
                <w:rFonts w:cs="Arial"/>
                <w:sz w:val="16"/>
                <w:szCs w:val="16"/>
              </w:rPr>
              <w:br/>
              <w:t>(km)</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52E5A05D" w14:textId="77777777" w:rsidR="00EE4FC3" w:rsidRPr="00A44829" w:rsidRDefault="00EE4FC3" w:rsidP="0038375E">
            <w:pPr>
              <w:spacing w:before="40" w:after="20"/>
              <w:jc w:val="center"/>
              <w:rPr>
                <w:rFonts w:cs="Arial"/>
                <w:sz w:val="16"/>
                <w:szCs w:val="16"/>
              </w:rPr>
            </w:pPr>
            <w:r w:rsidRPr="00A44829">
              <w:rPr>
                <w:rFonts w:cs="Arial"/>
                <w:sz w:val="16"/>
                <w:szCs w:val="16"/>
              </w:rPr>
              <w:t xml:space="preserve">Total </w:t>
            </w:r>
            <w:r w:rsidRPr="00A44829">
              <w:rPr>
                <w:rFonts w:cs="Arial"/>
                <w:sz w:val="16"/>
                <w:szCs w:val="16"/>
              </w:rPr>
              <w:br/>
              <w:t xml:space="preserve">Rural </w:t>
            </w:r>
            <w:r w:rsidRPr="00A44829">
              <w:rPr>
                <w:rFonts w:cs="Arial"/>
                <w:sz w:val="16"/>
                <w:szCs w:val="16"/>
              </w:rPr>
              <w:br/>
              <w:t>(km)</w:t>
            </w:r>
          </w:p>
        </w:tc>
        <w:tc>
          <w:tcPr>
            <w:tcW w:w="1247" w:type="dxa"/>
            <w:vMerge/>
            <w:tcBorders>
              <w:top w:val="single" w:sz="8" w:space="0" w:color="5F497A" w:themeColor="accent4" w:themeShade="BF"/>
              <w:left w:val="nil"/>
              <w:bottom w:val="single" w:sz="8" w:space="0" w:color="5F497A" w:themeColor="accent4" w:themeShade="BF"/>
              <w:right w:val="nil"/>
            </w:tcBorders>
            <w:vAlign w:val="bottom"/>
          </w:tcPr>
          <w:p w14:paraId="4E45DFBC" w14:textId="77777777" w:rsidR="00EE4FC3" w:rsidRPr="00A44829" w:rsidRDefault="00EE4FC3" w:rsidP="0038375E">
            <w:pPr>
              <w:spacing w:before="40" w:after="20"/>
              <w:jc w:val="center"/>
              <w:rPr>
                <w:rFonts w:cs="Arial"/>
                <w:b/>
                <w:sz w:val="18"/>
                <w:szCs w:val="18"/>
              </w:rPr>
            </w:pPr>
          </w:p>
        </w:tc>
        <w:tc>
          <w:tcPr>
            <w:tcW w:w="1247"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69A501DE" w14:textId="77777777" w:rsidR="00EE4FC3" w:rsidRPr="00A44829" w:rsidRDefault="00EE4FC3" w:rsidP="0038375E">
            <w:pPr>
              <w:spacing w:before="40" w:after="20"/>
              <w:jc w:val="center"/>
              <w:rPr>
                <w:rFonts w:cs="Arial"/>
                <w:b/>
                <w:sz w:val="18"/>
                <w:szCs w:val="18"/>
              </w:rPr>
            </w:pPr>
          </w:p>
        </w:tc>
        <w:tc>
          <w:tcPr>
            <w:tcW w:w="102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7A4581EE" w14:textId="77777777" w:rsidR="00EE4FC3" w:rsidRPr="00A44829" w:rsidRDefault="00EE4FC3" w:rsidP="0038375E">
            <w:pPr>
              <w:spacing w:before="40" w:after="20"/>
              <w:jc w:val="center"/>
              <w:rPr>
                <w:rFonts w:cs="Arial"/>
                <w:sz w:val="16"/>
                <w:szCs w:val="16"/>
              </w:rPr>
            </w:pPr>
            <w:r w:rsidRPr="00A44829">
              <w:rPr>
                <w:rFonts w:cs="Arial"/>
                <w:sz w:val="16"/>
                <w:szCs w:val="16"/>
              </w:rPr>
              <w:t xml:space="preserve">Timber </w:t>
            </w:r>
            <w:r w:rsidRPr="00A44829">
              <w:rPr>
                <w:rFonts w:cs="Arial"/>
                <w:sz w:val="16"/>
                <w:szCs w:val="16"/>
              </w:rPr>
              <w:br/>
              <w:t>(sq. m)</w:t>
            </w:r>
          </w:p>
        </w:tc>
        <w:tc>
          <w:tcPr>
            <w:tcW w:w="102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79670F5" w14:textId="77777777" w:rsidR="00EE4FC3" w:rsidRPr="00A44829" w:rsidRDefault="00EE4FC3" w:rsidP="0038375E">
            <w:pPr>
              <w:spacing w:before="40" w:after="20"/>
              <w:jc w:val="center"/>
              <w:rPr>
                <w:rFonts w:cs="Arial"/>
                <w:sz w:val="16"/>
                <w:szCs w:val="16"/>
              </w:rPr>
            </w:pPr>
            <w:r w:rsidRPr="00A44829">
              <w:rPr>
                <w:rFonts w:cs="Arial"/>
                <w:sz w:val="16"/>
                <w:szCs w:val="16"/>
              </w:rPr>
              <w:t xml:space="preserve">Concrete </w:t>
            </w:r>
            <w:r w:rsidRPr="00A44829">
              <w:rPr>
                <w:rFonts w:cs="Arial"/>
                <w:sz w:val="16"/>
                <w:szCs w:val="16"/>
              </w:rPr>
              <w:br/>
              <w:t>(sq. m)</w:t>
            </w:r>
          </w:p>
        </w:tc>
      </w:tr>
      <w:tr w:rsidR="00A26814" w:rsidRPr="00A44829" w14:paraId="4FD27EA2" w14:textId="77777777" w:rsidTr="00B44BBE">
        <w:trPr>
          <w:trHeight w:val="20"/>
          <w:tblHeader/>
        </w:trPr>
        <w:tc>
          <w:tcPr>
            <w:tcW w:w="2268" w:type="dxa"/>
            <w:tcBorders>
              <w:left w:val="nil"/>
              <w:bottom w:val="nil"/>
              <w:right w:val="single" w:sz="18" w:space="0" w:color="5F497A" w:themeColor="accent4" w:themeShade="BF"/>
            </w:tcBorders>
            <w:shd w:val="clear" w:color="auto" w:fill="auto"/>
            <w:vAlign w:val="center"/>
          </w:tcPr>
          <w:p w14:paraId="41AC3E7B" w14:textId="77777777" w:rsidR="00A26814" w:rsidRPr="00A44829" w:rsidRDefault="00A26814" w:rsidP="003E2D55">
            <w:pPr>
              <w:spacing w:before="40" w:after="4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07E5C47C" w14:textId="629D6F48" w:rsidR="00A26814" w:rsidRPr="00A44829" w:rsidRDefault="00A26814" w:rsidP="003E2D55">
            <w:pPr>
              <w:spacing w:before="40" w:after="40"/>
              <w:jc w:val="right"/>
              <w:rPr>
                <w:rFonts w:cs="Arial"/>
                <w:sz w:val="18"/>
                <w:szCs w:val="18"/>
              </w:rPr>
            </w:pPr>
            <w:r w:rsidRPr="00A44829">
              <w:rPr>
                <w:rFonts w:cs="Arial"/>
                <w:sz w:val="18"/>
                <w:szCs w:val="18"/>
              </w:rPr>
              <w:t> </w:t>
            </w:r>
          </w:p>
        </w:tc>
        <w:tc>
          <w:tcPr>
            <w:tcW w:w="1134" w:type="dxa"/>
            <w:tcBorders>
              <w:top w:val="single" w:sz="8" w:space="0" w:color="5F497A" w:themeColor="accent4" w:themeShade="BF"/>
              <w:left w:val="nil"/>
              <w:bottom w:val="nil"/>
              <w:right w:val="nil"/>
            </w:tcBorders>
            <w:vAlign w:val="bottom"/>
          </w:tcPr>
          <w:p w14:paraId="14AF8DAF" w14:textId="711CA8B1" w:rsidR="00A26814" w:rsidRPr="00A44829" w:rsidRDefault="00A26814" w:rsidP="003E2D55">
            <w:pPr>
              <w:spacing w:before="40" w:after="40"/>
              <w:jc w:val="right"/>
              <w:rPr>
                <w:rFonts w:cs="Arial"/>
                <w:sz w:val="18"/>
                <w:szCs w:val="18"/>
              </w:rPr>
            </w:pPr>
            <w:r w:rsidRPr="00A44829">
              <w:rPr>
                <w:rFonts w:cs="Arial"/>
                <w:sz w:val="18"/>
                <w:szCs w:val="18"/>
              </w:rPr>
              <w:t> </w:t>
            </w:r>
          </w:p>
        </w:tc>
        <w:tc>
          <w:tcPr>
            <w:tcW w:w="1247" w:type="dxa"/>
            <w:tcBorders>
              <w:top w:val="single" w:sz="8" w:space="0" w:color="5F497A" w:themeColor="accent4" w:themeShade="BF"/>
              <w:left w:val="nil"/>
              <w:bottom w:val="nil"/>
              <w:right w:val="nil"/>
            </w:tcBorders>
            <w:vAlign w:val="bottom"/>
          </w:tcPr>
          <w:p w14:paraId="2DDB34BD" w14:textId="2264052B" w:rsidR="00A26814" w:rsidRPr="00A44829" w:rsidRDefault="00A26814" w:rsidP="003E2D55">
            <w:pPr>
              <w:spacing w:before="40" w:after="40"/>
              <w:jc w:val="right"/>
              <w:rPr>
                <w:rFonts w:cs="Arial"/>
                <w:b/>
                <w:sz w:val="18"/>
                <w:szCs w:val="18"/>
              </w:rPr>
            </w:pPr>
            <w:r w:rsidRPr="00A44829">
              <w:rPr>
                <w:rFonts w:cs="Arial"/>
                <w:b/>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4D82F90C" w14:textId="5B99704E" w:rsidR="00A26814" w:rsidRPr="00A44829" w:rsidRDefault="00A26814" w:rsidP="003E2D55">
            <w:pPr>
              <w:spacing w:before="40" w:after="40"/>
              <w:jc w:val="right"/>
              <w:rPr>
                <w:rFonts w:cs="Arial"/>
                <w:b/>
                <w:sz w:val="18"/>
                <w:szCs w:val="18"/>
              </w:rPr>
            </w:pPr>
            <w:r w:rsidRPr="00A44829">
              <w:rPr>
                <w:rFonts w:cs="Arial"/>
                <w:b/>
                <w:sz w:val="18"/>
                <w:szCs w:val="18"/>
              </w:rPr>
              <w:t> </w:t>
            </w:r>
          </w:p>
        </w:tc>
        <w:tc>
          <w:tcPr>
            <w:tcW w:w="1021" w:type="dxa"/>
            <w:tcBorders>
              <w:top w:val="single" w:sz="8" w:space="0" w:color="5F497A" w:themeColor="accent4" w:themeShade="BF"/>
              <w:left w:val="nil"/>
              <w:bottom w:val="nil"/>
              <w:right w:val="nil"/>
            </w:tcBorders>
            <w:shd w:val="clear" w:color="auto" w:fill="auto"/>
            <w:vAlign w:val="bottom"/>
          </w:tcPr>
          <w:p w14:paraId="349918A7" w14:textId="77777777" w:rsidR="00A26814" w:rsidRPr="00A44829" w:rsidRDefault="00A26814" w:rsidP="003E2D55">
            <w:pPr>
              <w:spacing w:before="40" w:after="40"/>
              <w:jc w:val="right"/>
              <w:rPr>
                <w:rFonts w:cs="Arial"/>
                <w:sz w:val="18"/>
                <w:szCs w:val="18"/>
              </w:rPr>
            </w:pPr>
          </w:p>
        </w:tc>
        <w:tc>
          <w:tcPr>
            <w:tcW w:w="1021" w:type="dxa"/>
            <w:tcBorders>
              <w:top w:val="single" w:sz="8" w:space="0" w:color="5F497A" w:themeColor="accent4" w:themeShade="BF"/>
              <w:left w:val="nil"/>
              <w:bottom w:val="nil"/>
              <w:right w:val="nil"/>
            </w:tcBorders>
            <w:shd w:val="clear" w:color="auto" w:fill="auto"/>
            <w:vAlign w:val="bottom"/>
          </w:tcPr>
          <w:p w14:paraId="70538998" w14:textId="5C408F65" w:rsidR="00A26814" w:rsidRPr="00A44829" w:rsidRDefault="00A26814" w:rsidP="003E2D55">
            <w:pPr>
              <w:spacing w:before="40" w:after="40"/>
              <w:jc w:val="right"/>
              <w:rPr>
                <w:rFonts w:cs="Arial"/>
                <w:sz w:val="18"/>
                <w:szCs w:val="18"/>
              </w:rPr>
            </w:pPr>
            <w:r w:rsidRPr="00A44829">
              <w:rPr>
                <w:rFonts w:cs="Arial"/>
                <w:sz w:val="18"/>
                <w:szCs w:val="18"/>
              </w:rPr>
              <w:t> </w:t>
            </w:r>
          </w:p>
        </w:tc>
      </w:tr>
      <w:tr w:rsidR="00A26814" w:rsidRPr="00A44829" w14:paraId="75C6B67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950F4C7" w14:textId="77777777" w:rsidR="00A26814" w:rsidRPr="00A44829" w:rsidRDefault="00A26814" w:rsidP="003E2D55">
            <w:pPr>
              <w:spacing w:before="40" w:after="40"/>
              <w:rPr>
                <w:rFonts w:cs="Arial"/>
                <w:sz w:val="18"/>
                <w:szCs w:val="18"/>
              </w:rPr>
            </w:pPr>
            <w:r w:rsidRPr="00A44829">
              <w:rPr>
                <w:rFonts w:cs="Arial"/>
                <w:sz w:val="18"/>
                <w:szCs w:val="18"/>
              </w:rPr>
              <w:t>Alpine S</w:t>
            </w:r>
          </w:p>
        </w:tc>
        <w:tc>
          <w:tcPr>
            <w:tcW w:w="1134" w:type="dxa"/>
            <w:tcBorders>
              <w:top w:val="nil"/>
              <w:left w:val="single" w:sz="18" w:space="0" w:color="5F497A" w:themeColor="accent4" w:themeShade="BF"/>
              <w:bottom w:val="nil"/>
              <w:right w:val="nil"/>
            </w:tcBorders>
            <w:shd w:val="clear" w:color="auto" w:fill="auto"/>
            <w:vAlign w:val="bottom"/>
          </w:tcPr>
          <w:p w14:paraId="11CB4DAA" w14:textId="33CA0376" w:rsidR="00A26814" w:rsidRPr="00A44829" w:rsidRDefault="00A26814" w:rsidP="003E2D55">
            <w:pPr>
              <w:spacing w:before="40" w:after="40"/>
              <w:jc w:val="right"/>
              <w:rPr>
                <w:rFonts w:cs="Arial"/>
                <w:sz w:val="18"/>
                <w:szCs w:val="18"/>
              </w:rPr>
            </w:pPr>
            <w:r w:rsidRPr="00A44829">
              <w:rPr>
                <w:rFonts w:cs="Arial"/>
                <w:sz w:val="18"/>
                <w:szCs w:val="18"/>
              </w:rPr>
              <w:t>134</w:t>
            </w:r>
          </w:p>
        </w:tc>
        <w:tc>
          <w:tcPr>
            <w:tcW w:w="1134" w:type="dxa"/>
            <w:tcBorders>
              <w:top w:val="nil"/>
              <w:left w:val="nil"/>
              <w:bottom w:val="nil"/>
              <w:right w:val="nil"/>
            </w:tcBorders>
            <w:vAlign w:val="bottom"/>
          </w:tcPr>
          <w:p w14:paraId="3F6F1E4B" w14:textId="67F3A3AD" w:rsidR="00A26814" w:rsidRPr="00A44829" w:rsidRDefault="00A26814" w:rsidP="003E2D55">
            <w:pPr>
              <w:spacing w:before="40" w:after="40"/>
              <w:jc w:val="right"/>
              <w:rPr>
                <w:rFonts w:cs="Arial"/>
                <w:sz w:val="18"/>
                <w:szCs w:val="18"/>
              </w:rPr>
            </w:pPr>
            <w:r w:rsidRPr="00A44829">
              <w:rPr>
                <w:rFonts w:cs="Arial"/>
                <w:sz w:val="18"/>
                <w:szCs w:val="18"/>
              </w:rPr>
              <w:t>659</w:t>
            </w:r>
          </w:p>
        </w:tc>
        <w:tc>
          <w:tcPr>
            <w:tcW w:w="1247" w:type="dxa"/>
            <w:tcBorders>
              <w:top w:val="nil"/>
              <w:left w:val="nil"/>
              <w:bottom w:val="nil"/>
              <w:right w:val="nil"/>
            </w:tcBorders>
            <w:vAlign w:val="bottom"/>
          </w:tcPr>
          <w:p w14:paraId="24E9EB2E" w14:textId="08DB0D93" w:rsidR="00A26814" w:rsidRPr="00A44829" w:rsidRDefault="00A26814" w:rsidP="003E2D55">
            <w:pPr>
              <w:spacing w:before="40" w:after="40"/>
              <w:jc w:val="right"/>
              <w:rPr>
                <w:rFonts w:cs="Arial"/>
                <w:b/>
                <w:sz w:val="18"/>
                <w:szCs w:val="18"/>
              </w:rPr>
            </w:pPr>
            <w:r w:rsidRPr="00A44829">
              <w:rPr>
                <w:rFonts w:cs="Arial"/>
                <w:b/>
                <w:sz w:val="18"/>
                <w:szCs w:val="18"/>
              </w:rPr>
              <w:t>793</w:t>
            </w:r>
          </w:p>
        </w:tc>
        <w:tc>
          <w:tcPr>
            <w:tcW w:w="1247" w:type="dxa"/>
            <w:tcBorders>
              <w:top w:val="nil"/>
              <w:left w:val="nil"/>
              <w:bottom w:val="nil"/>
              <w:right w:val="nil"/>
            </w:tcBorders>
            <w:shd w:val="clear" w:color="auto" w:fill="auto"/>
            <w:vAlign w:val="bottom"/>
          </w:tcPr>
          <w:p w14:paraId="3CF00593" w14:textId="56A47F31" w:rsidR="00A26814" w:rsidRPr="00A44829" w:rsidRDefault="00A26814" w:rsidP="003E2D55">
            <w:pPr>
              <w:spacing w:before="40" w:after="40"/>
              <w:jc w:val="right"/>
              <w:rPr>
                <w:rFonts w:cs="Arial"/>
                <w:b/>
                <w:sz w:val="18"/>
                <w:szCs w:val="18"/>
              </w:rPr>
            </w:pPr>
            <w:r w:rsidRPr="00A44829">
              <w:rPr>
                <w:rFonts w:cs="Arial"/>
                <w:b/>
                <w:sz w:val="18"/>
                <w:szCs w:val="18"/>
              </w:rPr>
              <w:t>163</w:t>
            </w:r>
          </w:p>
        </w:tc>
        <w:tc>
          <w:tcPr>
            <w:tcW w:w="1021" w:type="dxa"/>
            <w:tcBorders>
              <w:top w:val="nil"/>
              <w:left w:val="nil"/>
              <w:bottom w:val="nil"/>
              <w:right w:val="nil"/>
            </w:tcBorders>
            <w:shd w:val="clear" w:color="auto" w:fill="auto"/>
            <w:vAlign w:val="bottom"/>
          </w:tcPr>
          <w:p w14:paraId="5F12A547" w14:textId="7FB05CE1" w:rsidR="00A26814" w:rsidRPr="00A44829" w:rsidRDefault="00A26814" w:rsidP="003E2D55">
            <w:pPr>
              <w:spacing w:before="40" w:after="40"/>
              <w:jc w:val="right"/>
              <w:rPr>
                <w:rFonts w:cs="Arial"/>
                <w:sz w:val="18"/>
                <w:szCs w:val="18"/>
              </w:rPr>
            </w:pPr>
            <w:r w:rsidRPr="00A44829">
              <w:rPr>
                <w:rFonts w:cs="Arial"/>
                <w:sz w:val="18"/>
                <w:szCs w:val="18"/>
              </w:rPr>
              <w:t>560</w:t>
            </w:r>
          </w:p>
        </w:tc>
        <w:tc>
          <w:tcPr>
            <w:tcW w:w="1021" w:type="dxa"/>
            <w:tcBorders>
              <w:top w:val="nil"/>
              <w:left w:val="nil"/>
              <w:bottom w:val="nil"/>
              <w:right w:val="nil"/>
            </w:tcBorders>
            <w:shd w:val="clear" w:color="auto" w:fill="auto"/>
            <w:vAlign w:val="bottom"/>
          </w:tcPr>
          <w:p w14:paraId="695B7C91" w14:textId="2BE81B07" w:rsidR="00A26814" w:rsidRPr="00A44829" w:rsidRDefault="00A26814" w:rsidP="003E2D55">
            <w:pPr>
              <w:spacing w:before="40" w:after="40"/>
              <w:jc w:val="right"/>
              <w:rPr>
                <w:rFonts w:cs="Arial"/>
                <w:sz w:val="18"/>
                <w:szCs w:val="18"/>
              </w:rPr>
            </w:pPr>
            <w:r w:rsidRPr="00A44829">
              <w:rPr>
                <w:rFonts w:cs="Arial"/>
                <w:sz w:val="18"/>
                <w:szCs w:val="18"/>
              </w:rPr>
              <w:t>8,340</w:t>
            </w:r>
          </w:p>
        </w:tc>
      </w:tr>
      <w:tr w:rsidR="00A26814" w:rsidRPr="00A44829" w14:paraId="32AB87B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352F3BB" w14:textId="77777777" w:rsidR="00A26814" w:rsidRPr="00A44829" w:rsidRDefault="00A26814" w:rsidP="003E2D55">
            <w:pPr>
              <w:spacing w:before="40" w:after="40"/>
              <w:rPr>
                <w:rFonts w:cs="Arial"/>
                <w:sz w:val="18"/>
                <w:szCs w:val="18"/>
              </w:rPr>
            </w:pPr>
            <w:r w:rsidRPr="00A44829">
              <w:rPr>
                <w:rFonts w:cs="Arial"/>
                <w:sz w:val="18"/>
                <w:szCs w:val="18"/>
              </w:rPr>
              <w:t>Ararat RC</w:t>
            </w:r>
          </w:p>
        </w:tc>
        <w:tc>
          <w:tcPr>
            <w:tcW w:w="1134" w:type="dxa"/>
            <w:tcBorders>
              <w:top w:val="nil"/>
              <w:left w:val="single" w:sz="18" w:space="0" w:color="5F497A" w:themeColor="accent4" w:themeShade="BF"/>
              <w:bottom w:val="nil"/>
              <w:right w:val="nil"/>
            </w:tcBorders>
            <w:shd w:val="clear" w:color="auto" w:fill="auto"/>
            <w:vAlign w:val="bottom"/>
          </w:tcPr>
          <w:p w14:paraId="005D3A8F" w14:textId="0261959E" w:rsidR="00A26814" w:rsidRPr="00A44829" w:rsidRDefault="00A26814" w:rsidP="003E2D55">
            <w:pPr>
              <w:spacing w:before="40" w:after="40"/>
              <w:jc w:val="right"/>
              <w:rPr>
                <w:rFonts w:cs="Arial"/>
                <w:sz w:val="18"/>
                <w:szCs w:val="18"/>
              </w:rPr>
            </w:pPr>
            <w:r w:rsidRPr="00A44829">
              <w:rPr>
                <w:rFonts w:cs="Arial"/>
                <w:sz w:val="18"/>
                <w:szCs w:val="18"/>
              </w:rPr>
              <w:t>137</w:t>
            </w:r>
          </w:p>
        </w:tc>
        <w:tc>
          <w:tcPr>
            <w:tcW w:w="1134" w:type="dxa"/>
            <w:tcBorders>
              <w:top w:val="nil"/>
              <w:left w:val="nil"/>
              <w:bottom w:val="nil"/>
              <w:right w:val="nil"/>
            </w:tcBorders>
            <w:vAlign w:val="bottom"/>
          </w:tcPr>
          <w:p w14:paraId="139C2976" w14:textId="74B5791B" w:rsidR="00A26814" w:rsidRPr="00A44829" w:rsidRDefault="00A26814" w:rsidP="003E2D55">
            <w:pPr>
              <w:spacing w:before="40" w:after="40"/>
              <w:jc w:val="right"/>
              <w:rPr>
                <w:rFonts w:cs="Arial"/>
                <w:sz w:val="18"/>
                <w:szCs w:val="18"/>
              </w:rPr>
            </w:pPr>
            <w:r w:rsidRPr="00A44829">
              <w:rPr>
                <w:rFonts w:cs="Arial"/>
                <w:sz w:val="18"/>
                <w:szCs w:val="18"/>
              </w:rPr>
              <w:t>2,227</w:t>
            </w:r>
          </w:p>
        </w:tc>
        <w:tc>
          <w:tcPr>
            <w:tcW w:w="1247" w:type="dxa"/>
            <w:tcBorders>
              <w:top w:val="nil"/>
              <w:left w:val="nil"/>
              <w:bottom w:val="nil"/>
              <w:right w:val="nil"/>
            </w:tcBorders>
            <w:vAlign w:val="bottom"/>
          </w:tcPr>
          <w:p w14:paraId="68EF5F78" w14:textId="70F3EF2D" w:rsidR="00A26814" w:rsidRPr="00A44829" w:rsidRDefault="00A26814" w:rsidP="003E2D55">
            <w:pPr>
              <w:spacing w:before="40" w:after="40"/>
              <w:jc w:val="right"/>
              <w:rPr>
                <w:rFonts w:cs="Arial"/>
                <w:b/>
                <w:sz w:val="18"/>
                <w:szCs w:val="18"/>
              </w:rPr>
            </w:pPr>
            <w:r w:rsidRPr="00A44829">
              <w:rPr>
                <w:rFonts w:cs="Arial"/>
                <w:b/>
                <w:sz w:val="18"/>
                <w:szCs w:val="18"/>
              </w:rPr>
              <w:t>2,364</w:t>
            </w:r>
          </w:p>
        </w:tc>
        <w:tc>
          <w:tcPr>
            <w:tcW w:w="1247" w:type="dxa"/>
            <w:tcBorders>
              <w:top w:val="nil"/>
              <w:left w:val="nil"/>
              <w:bottom w:val="nil"/>
              <w:right w:val="nil"/>
            </w:tcBorders>
            <w:shd w:val="clear" w:color="auto" w:fill="auto"/>
            <w:vAlign w:val="bottom"/>
          </w:tcPr>
          <w:p w14:paraId="422E715E" w14:textId="592B978B" w:rsidR="00A26814" w:rsidRPr="00A44829" w:rsidRDefault="00A26814" w:rsidP="003E2D55">
            <w:pPr>
              <w:spacing w:before="40" w:after="40"/>
              <w:jc w:val="right"/>
              <w:rPr>
                <w:rFonts w:cs="Arial"/>
                <w:b/>
                <w:sz w:val="18"/>
                <w:szCs w:val="18"/>
              </w:rPr>
            </w:pPr>
            <w:r w:rsidRPr="00A44829">
              <w:rPr>
                <w:rFonts w:cs="Arial"/>
                <w:b/>
                <w:sz w:val="18"/>
                <w:szCs w:val="18"/>
              </w:rPr>
              <w:t>560</w:t>
            </w:r>
          </w:p>
        </w:tc>
        <w:tc>
          <w:tcPr>
            <w:tcW w:w="1021" w:type="dxa"/>
            <w:tcBorders>
              <w:top w:val="nil"/>
              <w:left w:val="nil"/>
              <w:bottom w:val="nil"/>
              <w:right w:val="nil"/>
            </w:tcBorders>
            <w:shd w:val="clear" w:color="auto" w:fill="auto"/>
            <w:vAlign w:val="bottom"/>
          </w:tcPr>
          <w:p w14:paraId="0ABFE8FC" w14:textId="7861959F" w:rsidR="00A26814" w:rsidRPr="00A44829" w:rsidRDefault="00A26814" w:rsidP="003E2D55">
            <w:pPr>
              <w:spacing w:before="40" w:after="40"/>
              <w:jc w:val="right"/>
              <w:rPr>
                <w:rFonts w:cs="Arial"/>
                <w:sz w:val="18"/>
                <w:szCs w:val="18"/>
              </w:rPr>
            </w:pPr>
            <w:r w:rsidRPr="00A44829">
              <w:rPr>
                <w:rFonts w:cs="Arial"/>
                <w:sz w:val="18"/>
                <w:szCs w:val="18"/>
              </w:rPr>
              <w:t>0</w:t>
            </w:r>
          </w:p>
        </w:tc>
        <w:tc>
          <w:tcPr>
            <w:tcW w:w="1021" w:type="dxa"/>
            <w:tcBorders>
              <w:top w:val="nil"/>
              <w:left w:val="nil"/>
              <w:bottom w:val="nil"/>
              <w:right w:val="nil"/>
            </w:tcBorders>
            <w:shd w:val="clear" w:color="auto" w:fill="auto"/>
            <w:vAlign w:val="bottom"/>
          </w:tcPr>
          <w:p w14:paraId="7F59CA1C" w14:textId="52B5E4B4" w:rsidR="00A26814" w:rsidRPr="00A44829" w:rsidRDefault="00A26814" w:rsidP="003E2D55">
            <w:pPr>
              <w:spacing w:before="40" w:after="40"/>
              <w:jc w:val="right"/>
              <w:rPr>
                <w:rFonts w:cs="Arial"/>
                <w:sz w:val="18"/>
                <w:szCs w:val="18"/>
              </w:rPr>
            </w:pPr>
            <w:r w:rsidRPr="00A44829">
              <w:rPr>
                <w:rFonts w:cs="Arial"/>
                <w:sz w:val="18"/>
                <w:szCs w:val="18"/>
              </w:rPr>
              <w:t>15,456</w:t>
            </w:r>
          </w:p>
        </w:tc>
      </w:tr>
      <w:tr w:rsidR="00A26814" w:rsidRPr="00A44829" w14:paraId="581C40B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9822E8D" w14:textId="77777777" w:rsidR="00A26814" w:rsidRPr="00A44829" w:rsidRDefault="00A26814" w:rsidP="003E2D55">
            <w:pPr>
              <w:spacing w:before="40" w:after="40"/>
              <w:rPr>
                <w:rFonts w:cs="Arial"/>
                <w:sz w:val="18"/>
                <w:szCs w:val="18"/>
              </w:rPr>
            </w:pPr>
            <w:r w:rsidRPr="00A44829">
              <w:rPr>
                <w:rFonts w:cs="Arial"/>
                <w:sz w:val="18"/>
                <w:szCs w:val="18"/>
              </w:rPr>
              <w:t xml:space="preserve">Ballarat C </w:t>
            </w:r>
          </w:p>
        </w:tc>
        <w:tc>
          <w:tcPr>
            <w:tcW w:w="1134" w:type="dxa"/>
            <w:tcBorders>
              <w:top w:val="nil"/>
              <w:left w:val="single" w:sz="18" w:space="0" w:color="5F497A" w:themeColor="accent4" w:themeShade="BF"/>
              <w:bottom w:val="nil"/>
              <w:right w:val="nil"/>
            </w:tcBorders>
            <w:shd w:val="clear" w:color="auto" w:fill="auto"/>
            <w:vAlign w:val="bottom"/>
          </w:tcPr>
          <w:p w14:paraId="1240C479" w14:textId="2713B59E" w:rsidR="00A26814" w:rsidRPr="00A44829" w:rsidRDefault="00A26814" w:rsidP="003E2D55">
            <w:pPr>
              <w:spacing w:before="40" w:after="40"/>
              <w:jc w:val="right"/>
              <w:rPr>
                <w:rFonts w:cs="Arial"/>
                <w:sz w:val="18"/>
                <w:szCs w:val="18"/>
              </w:rPr>
            </w:pPr>
            <w:r w:rsidRPr="00A44829">
              <w:rPr>
                <w:rFonts w:cs="Arial"/>
                <w:sz w:val="18"/>
                <w:szCs w:val="18"/>
              </w:rPr>
              <w:t>733</w:t>
            </w:r>
          </w:p>
        </w:tc>
        <w:tc>
          <w:tcPr>
            <w:tcW w:w="1134" w:type="dxa"/>
            <w:tcBorders>
              <w:top w:val="nil"/>
              <w:left w:val="nil"/>
              <w:bottom w:val="nil"/>
              <w:right w:val="nil"/>
            </w:tcBorders>
            <w:vAlign w:val="bottom"/>
          </w:tcPr>
          <w:p w14:paraId="59BE0323" w14:textId="3A2B3B47" w:rsidR="00A26814" w:rsidRPr="00A44829" w:rsidRDefault="00A26814" w:rsidP="003E2D55">
            <w:pPr>
              <w:spacing w:before="40" w:after="40"/>
              <w:jc w:val="right"/>
              <w:rPr>
                <w:rFonts w:cs="Arial"/>
                <w:sz w:val="18"/>
                <w:szCs w:val="18"/>
              </w:rPr>
            </w:pPr>
            <w:r w:rsidRPr="00A44829">
              <w:rPr>
                <w:rFonts w:cs="Arial"/>
                <w:sz w:val="18"/>
                <w:szCs w:val="18"/>
              </w:rPr>
              <w:t>684</w:t>
            </w:r>
          </w:p>
        </w:tc>
        <w:tc>
          <w:tcPr>
            <w:tcW w:w="1247" w:type="dxa"/>
            <w:tcBorders>
              <w:top w:val="nil"/>
              <w:left w:val="nil"/>
              <w:bottom w:val="nil"/>
              <w:right w:val="nil"/>
            </w:tcBorders>
            <w:vAlign w:val="bottom"/>
          </w:tcPr>
          <w:p w14:paraId="698B43DB" w14:textId="278DD435" w:rsidR="00A26814" w:rsidRPr="00A44829" w:rsidRDefault="00A26814" w:rsidP="003E2D55">
            <w:pPr>
              <w:spacing w:before="40" w:after="40"/>
              <w:jc w:val="right"/>
              <w:rPr>
                <w:rFonts w:cs="Arial"/>
                <w:b/>
                <w:sz w:val="18"/>
                <w:szCs w:val="18"/>
              </w:rPr>
            </w:pPr>
            <w:r w:rsidRPr="00A44829">
              <w:rPr>
                <w:rFonts w:cs="Arial"/>
                <w:b/>
                <w:sz w:val="18"/>
                <w:szCs w:val="18"/>
              </w:rPr>
              <w:t>1,417</w:t>
            </w:r>
          </w:p>
        </w:tc>
        <w:tc>
          <w:tcPr>
            <w:tcW w:w="1247" w:type="dxa"/>
            <w:tcBorders>
              <w:top w:val="nil"/>
              <w:left w:val="nil"/>
              <w:bottom w:val="nil"/>
              <w:right w:val="nil"/>
            </w:tcBorders>
            <w:shd w:val="clear" w:color="auto" w:fill="auto"/>
            <w:vAlign w:val="bottom"/>
          </w:tcPr>
          <w:p w14:paraId="1EB72936" w14:textId="0712BEB0" w:rsidR="00A26814" w:rsidRPr="00A44829" w:rsidRDefault="00A26814" w:rsidP="003E2D55">
            <w:pPr>
              <w:spacing w:before="40" w:after="40"/>
              <w:jc w:val="right"/>
              <w:rPr>
                <w:rFonts w:cs="Arial"/>
                <w:b/>
                <w:sz w:val="18"/>
                <w:szCs w:val="18"/>
              </w:rPr>
            </w:pPr>
            <w:r w:rsidRPr="00A44829">
              <w:rPr>
                <w:rFonts w:cs="Arial"/>
                <w:b/>
                <w:sz w:val="18"/>
                <w:szCs w:val="18"/>
              </w:rPr>
              <w:t>318</w:t>
            </w:r>
          </w:p>
        </w:tc>
        <w:tc>
          <w:tcPr>
            <w:tcW w:w="1021" w:type="dxa"/>
            <w:tcBorders>
              <w:top w:val="nil"/>
              <w:left w:val="nil"/>
              <w:bottom w:val="nil"/>
              <w:right w:val="nil"/>
            </w:tcBorders>
            <w:shd w:val="clear" w:color="auto" w:fill="auto"/>
            <w:vAlign w:val="bottom"/>
          </w:tcPr>
          <w:p w14:paraId="73B4D1BC" w14:textId="752A19B6" w:rsidR="00A26814" w:rsidRPr="00A44829" w:rsidRDefault="00A26814" w:rsidP="003E2D55">
            <w:pPr>
              <w:spacing w:before="40" w:after="40"/>
              <w:jc w:val="right"/>
              <w:rPr>
                <w:rFonts w:cs="Arial"/>
                <w:sz w:val="18"/>
                <w:szCs w:val="18"/>
              </w:rPr>
            </w:pPr>
            <w:r w:rsidRPr="00A44829">
              <w:rPr>
                <w:rFonts w:cs="Arial"/>
                <w:sz w:val="18"/>
                <w:szCs w:val="18"/>
              </w:rPr>
              <w:t>82</w:t>
            </w:r>
          </w:p>
        </w:tc>
        <w:tc>
          <w:tcPr>
            <w:tcW w:w="1021" w:type="dxa"/>
            <w:tcBorders>
              <w:top w:val="nil"/>
              <w:left w:val="nil"/>
              <w:bottom w:val="nil"/>
              <w:right w:val="nil"/>
            </w:tcBorders>
            <w:shd w:val="clear" w:color="auto" w:fill="auto"/>
            <w:vAlign w:val="bottom"/>
          </w:tcPr>
          <w:p w14:paraId="7ADF0052" w14:textId="6B2948A9" w:rsidR="00A26814" w:rsidRPr="00A44829" w:rsidRDefault="00A26814" w:rsidP="003E2D55">
            <w:pPr>
              <w:spacing w:before="40" w:after="40"/>
              <w:jc w:val="right"/>
              <w:rPr>
                <w:rFonts w:cs="Arial"/>
                <w:sz w:val="18"/>
                <w:szCs w:val="18"/>
              </w:rPr>
            </w:pPr>
            <w:r w:rsidRPr="00A44829">
              <w:rPr>
                <w:rFonts w:cs="Arial"/>
                <w:sz w:val="18"/>
                <w:szCs w:val="18"/>
              </w:rPr>
              <w:t>17,790</w:t>
            </w:r>
          </w:p>
        </w:tc>
      </w:tr>
      <w:tr w:rsidR="00A26814" w:rsidRPr="00A44829" w14:paraId="2FA7BAE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EEAF70E" w14:textId="77777777" w:rsidR="00A26814" w:rsidRPr="00A44829" w:rsidRDefault="00A26814" w:rsidP="003E2D55">
            <w:pPr>
              <w:spacing w:before="40" w:after="40"/>
              <w:rPr>
                <w:rFonts w:cs="Arial"/>
                <w:sz w:val="18"/>
                <w:szCs w:val="18"/>
              </w:rPr>
            </w:pPr>
            <w:r w:rsidRPr="00A44829">
              <w:rPr>
                <w:rFonts w:cs="Arial"/>
                <w:sz w:val="18"/>
                <w:szCs w:val="18"/>
              </w:rPr>
              <w:t>Banyule C</w:t>
            </w:r>
          </w:p>
        </w:tc>
        <w:tc>
          <w:tcPr>
            <w:tcW w:w="1134" w:type="dxa"/>
            <w:tcBorders>
              <w:top w:val="nil"/>
              <w:left w:val="single" w:sz="18" w:space="0" w:color="5F497A" w:themeColor="accent4" w:themeShade="BF"/>
              <w:bottom w:val="nil"/>
              <w:right w:val="nil"/>
            </w:tcBorders>
            <w:shd w:val="clear" w:color="auto" w:fill="auto"/>
            <w:vAlign w:val="bottom"/>
          </w:tcPr>
          <w:p w14:paraId="2714C0BC" w14:textId="29D56AD1" w:rsidR="00A26814" w:rsidRPr="00A44829" w:rsidRDefault="00A26814" w:rsidP="003E2D55">
            <w:pPr>
              <w:spacing w:before="40" w:after="40"/>
              <w:jc w:val="right"/>
              <w:rPr>
                <w:rFonts w:cs="Arial"/>
                <w:sz w:val="18"/>
                <w:szCs w:val="18"/>
              </w:rPr>
            </w:pPr>
            <w:r w:rsidRPr="00A44829">
              <w:rPr>
                <w:rFonts w:cs="Arial"/>
                <w:sz w:val="18"/>
                <w:szCs w:val="18"/>
              </w:rPr>
              <w:t>545</w:t>
            </w:r>
          </w:p>
        </w:tc>
        <w:tc>
          <w:tcPr>
            <w:tcW w:w="1134" w:type="dxa"/>
            <w:tcBorders>
              <w:top w:val="nil"/>
              <w:left w:val="nil"/>
              <w:bottom w:val="nil"/>
              <w:right w:val="nil"/>
            </w:tcBorders>
            <w:vAlign w:val="bottom"/>
          </w:tcPr>
          <w:p w14:paraId="6232AE4F" w14:textId="7B6F8B4B" w:rsidR="00A26814" w:rsidRPr="00A44829" w:rsidRDefault="00A26814" w:rsidP="003E2D55">
            <w:pPr>
              <w:spacing w:before="40" w:after="40"/>
              <w:jc w:val="right"/>
              <w:rPr>
                <w:rFonts w:cs="Arial"/>
                <w:sz w:val="18"/>
                <w:szCs w:val="18"/>
              </w:rPr>
            </w:pPr>
            <w:r w:rsidRPr="00A44829">
              <w:rPr>
                <w:rFonts w:cs="Arial"/>
                <w:sz w:val="18"/>
                <w:szCs w:val="18"/>
              </w:rPr>
              <w:t>0</w:t>
            </w:r>
          </w:p>
        </w:tc>
        <w:tc>
          <w:tcPr>
            <w:tcW w:w="1247" w:type="dxa"/>
            <w:tcBorders>
              <w:top w:val="nil"/>
              <w:left w:val="nil"/>
              <w:bottom w:val="nil"/>
              <w:right w:val="nil"/>
            </w:tcBorders>
            <w:vAlign w:val="bottom"/>
          </w:tcPr>
          <w:p w14:paraId="4D55E783" w14:textId="013FC55E" w:rsidR="00A26814" w:rsidRPr="00A44829" w:rsidRDefault="00A26814" w:rsidP="003E2D55">
            <w:pPr>
              <w:spacing w:before="40" w:after="40"/>
              <w:jc w:val="right"/>
              <w:rPr>
                <w:rFonts w:cs="Arial"/>
                <w:b/>
                <w:sz w:val="18"/>
                <w:szCs w:val="18"/>
              </w:rPr>
            </w:pPr>
            <w:r w:rsidRPr="00A44829">
              <w:rPr>
                <w:rFonts w:cs="Arial"/>
                <w:b/>
                <w:sz w:val="18"/>
                <w:szCs w:val="18"/>
              </w:rPr>
              <w:t>545</w:t>
            </w:r>
          </w:p>
        </w:tc>
        <w:tc>
          <w:tcPr>
            <w:tcW w:w="1247" w:type="dxa"/>
            <w:tcBorders>
              <w:top w:val="nil"/>
              <w:left w:val="nil"/>
              <w:bottom w:val="nil"/>
              <w:right w:val="nil"/>
            </w:tcBorders>
            <w:shd w:val="clear" w:color="auto" w:fill="auto"/>
            <w:vAlign w:val="bottom"/>
          </w:tcPr>
          <w:p w14:paraId="739F6C1F" w14:textId="06836A37" w:rsidR="00A26814" w:rsidRPr="00A44829" w:rsidRDefault="00A26814" w:rsidP="003E2D55">
            <w:pPr>
              <w:spacing w:before="40" w:after="40"/>
              <w:jc w:val="right"/>
              <w:rPr>
                <w:rFonts w:cs="Arial"/>
                <w:b/>
                <w:sz w:val="18"/>
                <w:szCs w:val="18"/>
              </w:rPr>
            </w:pPr>
            <w:r w:rsidRPr="00A44829">
              <w:rPr>
                <w:rFonts w:cs="Arial"/>
                <w:b/>
                <w:sz w:val="18"/>
                <w:szCs w:val="18"/>
              </w:rPr>
              <w:t>87</w:t>
            </w:r>
          </w:p>
        </w:tc>
        <w:tc>
          <w:tcPr>
            <w:tcW w:w="1021" w:type="dxa"/>
            <w:tcBorders>
              <w:top w:val="nil"/>
              <w:left w:val="nil"/>
              <w:bottom w:val="nil"/>
              <w:right w:val="nil"/>
            </w:tcBorders>
            <w:shd w:val="clear" w:color="auto" w:fill="auto"/>
            <w:vAlign w:val="bottom"/>
          </w:tcPr>
          <w:p w14:paraId="4603D1CE" w14:textId="7A8E62E5" w:rsidR="00A26814" w:rsidRPr="00A44829" w:rsidRDefault="00A26814" w:rsidP="003E2D55">
            <w:pPr>
              <w:spacing w:before="40" w:after="40"/>
              <w:jc w:val="right"/>
              <w:rPr>
                <w:rFonts w:cs="Arial"/>
                <w:sz w:val="18"/>
                <w:szCs w:val="18"/>
              </w:rPr>
            </w:pPr>
            <w:r w:rsidRPr="00A44829">
              <w:rPr>
                <w:rFonts w:cs="Arial"/>
                <w:sz w:val="18"/>
                <w:szCs w:val="18"/>
              </w:rPr>
              <w:t>344</w:t>
            </w:r>
          </w:p>
        </w:tc>
        <w:tc>
          <w:tcPr>
            <w:tcW w:w="1021" w:type="dxa"/>
            <w:tcBorders>
              <w:top w:val="nil"/>
              <w:left w:val="nil"/>
              <w:bottom w:val="nil"/>
              <w:right w:val="nil"/>
            </w:tcBorders>
            <w:shd w:val="clear" w:color="auto" w:fill="auto"/>
            <w:vAlign w:val="bottom"/>
          </w:tcPr>
          <w:p w14:paraId="1B949F15" w14:textId="4374E941" w:rsidR="00A26814" w:rsidRPr="00A44829" w:rsidRDefault="00A26814" w:rsidP="003E2D55">
            <w:pPr>
              <w:spacing w:before="40" w:after="40"/>
              <w:jc w:val="right"/>
              <w:rPr>
                <w:rFonts w:cs="Arial"/>
                <w:sz w:val="18"/>
                <w:szCs w:val="18"/>
              </w:rPr>
            </w:pPr>
            <w:r w:rsidRPr="00A44829">
              <w:rPr>
                <w:rFonts w:cs="Arial"/>
                <w:sz w:val="18"/>
                <w:szCs w:val="18"/>
              </w:rPr>
              <w:t>1,407</w:t>
            </w:r>
          </w:p>
        </w:tc>
      </w:tr>
      <w:tr w:rsidR="00A26814" w:rsidRPr="00A44829" w14:paraId="004B48B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0B9F454" w14:textId="77777777" w:rsidR="00A26814" w:rsidRPr="00A44829" w:rsidRDefault="00A26814" w:rsidP="003E2D55">
            <w:pPr>
              <w:spacing w:before="40" w:after="40"/>
              <w:rPr>
                <w:rFonts w:cs="Arial"/>
                <w:sz w:val="18"/>
                <w:szCs w:val="18"/>
              </w:rPr>
            </w:pPr>
            <w:r w:rsidRPr="00A44829">
              <w:rPr>
                <w:rFonts w:cs="Arial"/>
                <w:sz w:val="18"/>
                <w:szCs w:val="18"/>
              </w:rPr>
              <w:t>Bass Coast S</w:t>
            </w:r>
          </w:p>
        </w:tc>
        <w:tc>
          <w:tcPr>
            <w:tcW w:w="1134" w:type="dxa"/>
            <w:tcBorders>
              <w:top w:val="nil"/>
              <w:left w:val="single" w:sz="18" w:space="0" w:color="5F497A" w:themeColor="accent4" w:themeShade="BF"/>
              <w:bottom w:val="nil"/>
              <w:right w:val="nil"/>
            </w:tcBorders>
            <w:shd w:val="clear" w:color="auto" w:fill="auto"/>
            <w:vAlign w:val="bottom"/>
          </w:tcPr>
          <w:p w14:paraId="08DF0E24" w14:textId="77253927" w:rsidR="00A26814" w:rsidRPr="00A44829" w:rsidRDefault="00A26814" w:rsidP="003E2D55">
            <w:pPr>
              <w:spacing w:before="40" w:after="40"/>
              <w:jc w:val="right"/>
              <w:rPr>
                <w:rFonts w:cs="Arial"/>
                <w:sz w:val="18"/>
                <w:szCs w:val="18"/>
              </w:rPr>
            </w:pPr>
            <w:r w:rsidRPr="00A44829">
              <w:rPr>
                <w:rFonts w:cs="Arial"/>
                <w:sz w:val="18"/>
                <w:szCs w:val="18"/>
              </w:rPr>
              <w:t>424</w:t>
            </w:r>
          </w:p>
        </w:tc>
        <w:tc>
          <w:tcPr>
            <w:tcW w:w="1134" w:type="dxa"/>
            <w:tcBorders>
              <w:top w:val="nil"/>
              <w:left w:val="nil"/>
              <w:bottom w:val="nil"/>
              <w:right w:val="nil"/>
            </w:tcBorders>
            <w:vAlign w:val="bottom"/>
          </w:tcPr>
          <w:p w14:paraId="702E2376" w14:textId="6A0E8580" w:rsidR="00A26814" w:rsidRPr="00A44829" w:rsidRDefault="00A26814" w:rsidP="003E2D55">
            <w:pPr>
              <w:spacing w:before="40" w:after="40"/>
              <w:jc w:val="right"/>
              <w:rPr>
                <w:rFonts w:cs="Arial"/>
                <w:sz w:val="18"/>
                <w:szCs w:val="18"/>
              </w:rPr>
            </w:pPr>
            <w:r w:rsidRPr="00A44829">
              <w:rPr>
                <w:rFonts w:cs="Arial"/>
                <w:sz w:val="18"/>
                <w:szCs w:val="18"/>
              </w:rPr>
              <w:t>511</w:t>
            </w:r>
          </w:p>
        </w:tc>
        <w:tc>
          <w:tcPr>
            <w:tcW w:w="1247" w:type="dxa"/>
            <w:tcBorders>
              <w:top w:val="nil"/>
              <w:left w:val="nil"/>
              <w:bottom w:val="nil"/>
              <w:right w:val="nil"/>
            </w:tcBorders>
            <w:vAlign w:val="bottom"/>
          </w:tcPr>
          <w:p w14:paraId="35136266" w14:textId="4A2474EA" w:rsidR="00A26814" w:rsidRPr="00A44829" w:rsidRDefault="00A26814" w:rsidP="003E2D55">
            <w:pPr>
              <w:spacing w:before="40" w:after="40"/>
              <w:jc w:val="right"/>
              <w:rPr>
                <w:rFonts w:cs="Arial"/>
                <w:b/>
                <w:sz w:val="18"/>
                <w:szCs w:val="18"/>
              </w:rPr>
            </w:pPr>
            <w:r w:rsidRPr="00A44829">
              <w:rPr>
                <w:rFonts w:cs="Arial"/>
                <w:b/>
                <w:sz w:val="18"/>
                <w:szCs w:val="18"/>
              </w:rPr>
              <w:t>935</w:t>
            </w:r>
          </w:p>
        </w:tc>
        <w:tc>
          <w:tcPr>
            <w:tcW w:w="1247" w:type="dxa"/>
            <w:tcBorders>
              <w:top w:val="nil"/>
              <w:left w:val="nil"/>
              <w:bottom w:val="nil"/>
              <w:right w:val="nil"/>
            </w:tcBorders>
            <w:shd w:val="clear" w:color="auto" w:fill="auto"/>
            <w:vAlign w:val="bottom"/>
          </w:tcPr>
          <w:p w14:paraId="43B2B8B3" w14:textId="73A600AF" w:rsidR="00A26814" w:rsidRPr="00A44829" w:rsidRDefault="00A26814" w:rsidP="003E2D55">
            <w:pPr>
              <w:spacing w:before="40" w:after="40"/>
              <w:jc w:val="right"/>
              <w:rPr>
                <w:rFonts w:cs="Arial"/>
                <w:b/>
                <w:sz w:val="18"/>
                <w:szCs w:val="18"/>
              </w:rPr>
            </w:pPr>
            <w:r w:rsidRPr="00A44829">
              <w:rPr>
                <w:rFonts w:cs="Arial"/>
                <w:b/>
                <w:sz w:val="18"/>
                <w:szCs w:val="18"/>
              </w:rPr>
              <w:t>323</w:t>
            </w:r>
          </w:p>
        </w:tc>
        <w:tc>
          <w:tcPr>
            <w:tcW w:w="1021" w:type="dxa"/>
            <w:tcBorders>
              <w:top w:val="nil"/>
              <w:left w:val="nil"/>
              <w:bottom w:val="nil"/>
              <w:right w:val="nil"/>
            </w:tcBorders>
            <w:shd w:val="clear" w:color="auto" w:fill="auto"/>
            <w:vAlign w:val="bottom"/>
          </w:tcPr>
          <w:p w14:paraId="3A64761B" w14:textId="427524F2" w:rsidR="00A26814" w:rsidRPr="00A44829" w:rsidRDefault="00A26814" w:rsidP="003E2D55">
            <w:pPr>
              <w:spacing w:before="40" w:after="40"/>
              <w:jc w:val="right"/>
              <w:rPr>
                <w:rFonts w:cs="Arial"/>
                <w:sz w:val="18"/>
                <w:szCs w:val="18"/>
              </w:rPr>
            </w:pPr>
            <w:r w:rsidRPr="00A44829">
              <w:rPr>
                <w:rFonts w:cs="Arial"/>
                <w:sz w:val="18"/>
                <w:szCs w:val="18"/>
              </w:rPr>
              <w:t>942</w:t>
            </w:r>
          </w:p>
        </w:tc>
        <w:tc>
          <w:tcPr>
            <w:tcW w:w="1021" w:type="dxa"/>
            <w:tcBorders>
              <w:top w:val="nil"/>
              <w:left w:val="nil"/>
              <w:bottom w:val="nil"/>
              <w:right w:val="nil"/>
            </w:tcBorders>
            <w:shd w:val="clear" w:color="auto" w:fill="auto"/>
            <w:vAlign w:val="bottom"/>
          </w:tcPr>
          <w:p w14:paraId="3B13C3CC" w14:textId="23173CFF" w:rsidR="00A26814" w:rsidRPr="00A44829" w:rsidRDefault="00A26814" w:rsidP="003E2D55">
            <w:pPr>
              <w:spacing w:before="40" w:after="40"/>
              <w:jc w:val="right"/>
              <w:rPr>
                <w:rFonts w:cs="Arial"/>
                <w:sz w:val="18"/>
                <w:szCs w:val="18"/>
              </w:rPr>
            </w:pPr>
            <w:r w:rsidRPr="00A44829">
              <w:rPr>
                <w:rFonts w:cs="Arial"/>
                <w:sz w:val="18"/>
                <w:szCs w:val="18"/>
              </w:rPr>
              <w:t>2,405</w:t>
            </w:r>
          </w:p>
        </w:tc>
      </w:tr>
      <w:tr w:rsidR="00A26814" w:rsidRPr="00A44829" w14:paraId="789C0B1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3318BFD" w14:textId="77777777" w:rsidR="00A26814" w:rsidRPr="00A44829" w:rsidRDefault="00A26814" w:rsidP="003E2D55">
            <w:pPr>
              <w:spacing w:before="40" w:after="40"/>
              <w:rPr>
                <w:rFonts w:cs="Arial"/>
                <w:sz w:val="18"/>
                <w:szCs w:val="18"/>
              </w:rPr>
            </w:pPr>
            <w:r w:rsidRPr="00A44829">
              <w:rPr>
                <w:rFonts w:cs="Arial"/>
                <w:sz w:val="18"/>
                <w:szCs w:val="18"/>
              </w:rPr>
              <w:t>Baw Baw S</w:t>
            </w:r>
          </w:p>
        </w:tc>
        <w:tc>
          <w:tcPr>
            <w:tcW w:w="1134" w:type="dxa"/>
            <w:tcBorders>
              <w:top w:val="nil"/>
              <w:left w:val="single" w:sz="18" w:space="0" w:color="5F497A" w:themeColor="accent4" w:themeShade="BF"/>
              <w:bottom w:val="nil"/>
              <w:right w:val="nil"/>
            </w:tcBorders>
            <w:shd w:val="clear" w:color="auto" w:fill="auto"/>
            <w:vAlign w:val="bottom"/>
          </w:tcPr>
          <w:p w14:paraId="7ED45E3F" w14:textId="4D8BB763" w:rsidR="00A26814" w:rsidRPr="00A44829" w:rsidRDefault="00A26814" w:rsidP="003E2D55">
            <w:pPr>
              <w:spacing w:before="40" w:after="40"/>
              <w:jc w:val="right"/>
              <w:rPr>
                <w:rFonts w:cs="Arial"/>
                <w:sz w:val="18"/>
                <w:szCs w:val="18"/>
              </w:rPr>
            </w:pPr>
            <w:r w:rsidRPr="00A44829">
              <w:rPr>
                <w:rFonts w:cs="Arial"/>
                <w:sz w:val="18"/>
                <w:szCs w:val="18"/>
              </w:rPr>
              <w:t>319</w:t>
            </w:r>
          </w:p>
        </w:tc>
        <w:tc>
          <w:tcPr>
            <w:tcW w:w="1134" w:type="dxa"/>
            <w:tcBorders>
              <w:top w:val="nil"/>
              <w:left w:val="nil"/>
              <w:bottom w:val="nil"/>
              <w:right w:val="nil"/>
            </w:tcBorders>
            <w:vAlign w:val="bottom"/>
          </w:tcPr>
          <w:p w14:paraId="34309059" w14:textId="04072603" w:rsidR="00A26814" w:rsidRPr="00A44829" w:rsidRDefault="00A26814" w:rsidP="003E2D55">
            <w:pPr>
              <w:spacing w:before="40" w:after="40"/>
              <w:jc w:val="right"/>
              <w:rPr>
                <w:rFonts w:cs="Arial"/>
                <w:sz w:val="18"/>
                <w:szCs w:val="18"/>
              </w:rPr>
            </w:pPr>
            <w:r w:rsidRPr="00A44829">
              <w:rPr>
                <w:rFonts w:cs="Arial"/>
                <w:sz w:val="18"/>
                <w:szCs w:val="18"/>
              </w:rPr>
              <w:t>1,685</w:t>
            </w:r>
          </w:p>
        </w:tc>
        <w:tc>
          <w:tcPr>
            <w:tcW w:w="1247" w:type="dxa"/>
            <w:tcBorders>
              <w:top w:val="nil"/>
              <w:left w:val="nil"/>
              <w:bottom w:val="nil"/>
              <w:right w:val="nil"/>
            </w:tcBorders>
            <w:vAlign w:val="bottom"/>
          </w:tcPr>
          <w:p w14:paraId="461E6ABE" w14:textId="2149FAC9" w:rsidR="00A26814" w:rsidRPr="00A44829" w:rsidRDefault="00A26814" w:rsidP="003E2D55">
            <w:pPr>
              <w:spacing w:before="40" w:after="40"/>
              <w:jc w:val="right"/>
              <w:rPr>
                <w:rFonts w:cs="Arial"/>
                <w:b/>
                <w:sz w:val="18"/>
                <w:szCs w:val="18"/>
              </w:rPr>
            </w:pPr>
            <w:r w:rsidRPr="00A44829">
              <w:rPr>
                <w:rFonts w:cs="Arial"/>
                <w:b/>
                <w:sz w:val="18"/>
                <w:szCs w:val="18"/>
              </w:rPr>
              <w:t>2,004</w:t>
            </w:r>
          </w:p>
        </w:tc>
        <w:tc>
          <w:tcPr>
            <w:tcW w:w="1247" w:type="dxa"/>
            <w:tcBorders>
              <w:top w:val="nil"/>
              <w:left w:val="nil"/>
              <w:bottom w:val="nil"/>
              <w:right w:val="nil"/>
            </w:tcBorders>
            <w:shd w:val="clear" w:color="auto" w:fill="auto"/>
            <w:vAlign w:val="bottom"/>
          </w:tcPr>
          <w:p w14:paraId="17F1CEA5" w14:textId="2E26C59D" w:rsidR="00A26814" w:rsidRPr="00A44829" w:rsidRDefault="00A26814" w:rsidP="003E2D55">
            <w:pPr>
              <w:spacing w:before="40" w:after="40"/>
              <w:jc w:val="right"/>
              <w:rPr>
                <w:rFonts w:cs="Arial"/>
                <w:b/>
                <w:sz w:val="18"/>
                <w:szCs w:val="18"/>
              </w:rPr>
            </w:pPr>
            <w:r w:rsidRPr="00A44829">
              <w:rPr>
                <w:rFonts w:cs="Arial"/>
                <w:b/>
                <w:sz w:val="18"/>
                <w:szCs w:val="18"/>
              </w:rPr>
              <w:t>731</w:t>
            </w:r>
          </w:p>
        </w:tc>
        <w:tc>
          <w:tcPr>
            <w:tcW w:w="1021" w:type="dxa"/>
            <w:tcBorders>
              <w:top w:val="nil"/>
              <w:left w:val="nil"/>
              <w:bottom w:val="nil"/>
              <w:right w:val="nil"/>
            </w:tcBorders>
            <w:shd w:val="clear" w:color="auto" w:fill="auto"/>
            <w:vAlign w:val="bottom"/>
          </w:tcPr>
          <w:p w14:paraId="32915EB1" w14:textId="2077F4A6" w:rsidR="00A26814" w:rsidRPr="00A44829" w:rsidRDefault="00A26814" w:rsidP="003E2D55">
            <w:pPr>
              <w:spacing w:before="40" w:after="40"/>
              <w:jc w:val="right"/>
              <w:rPr>
                <w:rFonts w:cs="Arial"/>
                <w:sz w:val="18"/>
                <w:szCs w:val="18"/>
              </w:rPr>
            </w:pPr>
            <w:r w:rsidRPr="00A44829">
              <w:rPr>
                <w:rFonts w:cs="Arial"/>
                <w:sz w:val="18"/>
                <w:szCs w:val="18"/>
              </w:rPr>
              <w:t>505</w:t>
            </w:r>
          </w:p>
        </w:tc>
        <w:tc>
          <w:tcPr>
            <w:tcW w:w="1021" w:type="dxa"/>
            <w:tcBorders>
              <w:top w:val="nil"/>
              <w:left w:val="nil"/>
              <w:bottom w:val="nil"/>
              <w:right w:val="nil"/>
            </w:tcBorders>
            <w:shd w:val="clear" w:color="auto" w:fill="auto"/>
            <w:vAlign w:val="bottom"/>
          </w:tcPr>
          <w:p w14:paraId="0DEA8279" w14:textId="34F14B43" w:rsidR="00A26814" w:rsidRPr="00A44829" w:rsidRDefault="00A26814" w:rsidP="003E2D55">
            <w:pPr>
              <w:spacing w:before="40" w:after="40"/>
              <w:jc w:val="right"/>
              <w:rPr>
                <w:rFonts w:cs="Arial"/>
                <w:sz w:val="18"/>
                <w:szCs w:val="18"/>
              </w:rPr>
            </w:pPr>
            <w:r w:rsidRPr="00A44829">
              <w:rPr>
                <w:rFonts w:cs="Arial"/>
                <w:sz w:val="18"/>
                <w:szCs w:val="18"/>
              </w:rPr>
              <w:t>5,150</w:t>
            </w:r>
          </w:p>
        </w:tc>
      </w:tr>
      <w:tr w:rsidR="00A26814" w:rsidRPr="00A44829" w14:paraId="288F937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5622E80" w14:textId="77777777" w:rsidR="00A26814" w:rsidRPr="00A44829" w:rsidRDefault="00A26814" w:rsidP="003E2D55">
            <w:pPr>
              <w:spacing w:before="40" w:after="40"/>
              <w:rPr>
                <w:rFonts w:cs="Arial"/>
                <w:sz w:val="18"/>
                <w:szCs w:val="18"/>
              </w:rPr>
            </w:pPr>
            <w:r w:rsidRPr="00A44829">
              <w:rPr>
                <w:rFonts w:cs="Arial"/>
                <w:sz w:val="18"/>
                <w:szCs w:val="18"/>
              </w:rPr>
              <w:t>Bayside C</w:t>
            </w:r>
          </w:p>
        </w:tc>
        <w:tc>
          <w:tcPr>
            <w:tcW w:w="1134" w:type="dxa"/>
            <w:tcBorders>
              <w:top w:val="nil"/>
              <w:left w:val="single" w:sz="18" w:space="0" w:color="5F497A" w:themeColor="accent4" w:themeShade="BF"/>
              <w:bottom w:val="nil"/>
              <w:right w:val="nil"/>
            </w:tcBorders>
            <w:shd w:val="clear" w:color="auto" w:fill="auto"/>
            <w:vAlign w:val="bottom"/>
          </w:tcPr>
          <w:p w14:paraId="729EA05D" w14:textId="27E123B5" w:rsidR="00A26814" w:rsidRPr="00A44829" w:rsidRDefault="00A26814" w:rsidP="003E2D55">
            <w:pPr>
              <w:spacing w:before="40" w:after="40"/>
              <w:jc w:val="right"/>
              <w:rPr>
                <w:rFonts w:cs="Arial"/>
                <w:sz w:val="18"/>
                <w:szCs w:val="18"/>
              </w:rPr>
            </w:pPr>
            <w:r w:rsidRPr="00A44829">
              <w:rPr>
                <w:rFonts w:cs="Arial"/>
                <w:sz w:val="18"/>
                <w:szCs w:val="18"/>
              </w:rPr>
              <w:t>355</w:t>
            </w:r>
          </w:p>
        </w:tc>
        <w:tc>
          <w:tcPr>
            <w:tcW w:w="1134" w:type="dxa"/>
            <w:tcBorders>
              <w:top w:val="nil"/>
              <w:left w:val="nil"/>
              <w:bottom w:val="nil"/>
              <w:right w:val="nil"/>
            </w:tcBorders>
            <w:vAlign w:val="bottom"/>
          </w:tcPr>
          <w:p w14:paraId="4A7B1502" w14:textId="03238C7B" w:rsidR="00A26814" w:rsidRPr="00A44829" w:rsidRDefault="00A26814" w:rsidP="003E2D55">
            <w:pPr>
              <w:spacing w:before="40" w:after="40"/>
              <w:jc w:val="right"/>
              <w:rPr>
                <w:rFonts w:cs="Arial"/>
                <w:sz w:val="18"/>
                <w:szCs w:val="18"/>
              </w:rPr>
            </w:pPr>
            <w:r w:rsidRPr="00A44829">
              <w:rPr>
                <w:rFonts w:cs="Arial"/>
                <w:sz w:val="18"/>
                <w:szCs w:val="18"/>
              </w:rPr>
              <w:t>0</w:t>
            </w:r>
          </w:p>
        </w:tc>
        <w:tc>
          <w:tcPr>
            <w:tcW w:w="1247" w:type="dxa"/>
            <w:tcBorders>
              <w:top w:val="nil"/>
              <w:left w:val="nil"/>
              <w:bottom w:val="nil"/>
              <w:right w:val="nil"/>
            </w:tcBorders>
            <w:vAlign w:val="bottom"/>
          </w:tcPr>
          <w:p w14:paraId="6EE1C611" w14:textId="05D1073B" w:rsidR="00A26814" w:rsidRPr="00A44829" w:rsidRDefault="00A26814" w:rsidP="003E2D55">
            <w:pPr>
              <w:spacing w:before="40" w:after="40"/>
              <w:jc w:val="right"/>
              <w:rPr>
                <w:rFonts w:cs="Arial"/>
                <w:b/>
                <w:sz w:val="18"/>
                <w:szCs w:val="18"/>
              </w:rPr>
            </w:pPr>
            <w:r w:rsidRPr="00A44829">
              <w:rPr>
                <w:rFonts w:cs="Arial"/>
                <w:b/>
                <w:sz w:val="18"/>
                <w:szCs w:val="18"/>
              </w:rPr>
              <w:t>355</w:t>
            </w:r>
          </w:p>
        </w:tc>
        <w:tc>
          <w:tcPr>
            <w:tcW w:w="1247" w:type="dxa"/>
            <w:tcBorders>
              <w:top w:val="nil"/>
              <w:left w:val="nil"/>
              <w:bottom w:val="nil"/>
              <w:right w:val="nil"/>
            </w:tcBorders>
            <w:shd w:val="clear" w:color="auto" w:fill="auto"/>
            <w:vAlign w:val="bottom"/>
          </w:tcPr>
          <w:p w14:paraId="667859EF" w14:textId="3F0F0CEC" w:rsidR="00A26814" w:rsidRPr="00A44829" w:rsidRDefault="00A26814" w:rsidP="003E2D55">
            <w:pPr>
              <w:spacing w:before="40" w:after="40"/>
              <w:jc w:val="right"/>
              <w:rPr>
                <w:rFonts w:cs="Arial"/>
                <w:b/>
                <w:sz w:val="18"/>
                <w:szCs w:val="18"/>
              </w:rPr>
            </w:pPr>
            <w:r w:rsidRPr="00A44829">
              <w:rPr>
                <w:rFonts w:cs="Arial"/>
                <w:b/>
                <w:sz w:val="18"/>
                <w:szCs w:val="18"/>
              </w:rPr>
              <w:t>47</w:t>
            </w:r>
          </w:p>
        </w:tc>
        <w:tc>
          <w:tcPr>
            <w:tcW w:w="1021" w:type="dxa"/>
            <w:tcBorders>
              <w:top w:val="nil"/>
              <w:left w:val="nil"/>
              <w:bottom w:val="nil"/>
              <w:right w:val="nil"/>
            </w:tcBorders>
            <w:shd w:val="clear" w:color="auto" w:fill="auto"/>
            <w:vAlign w:val="bottom"/>
          </w:tcPr>
          <w:p w14:paraId="321F050F" w14:textId="3F6F83D4" w:rsidR="00A26814" w:rsidRPr="00A44829" w:rsidRDefault="00A26814" w:rsidP="003E2D55">
            <w:pPr>
              <w:spacing w:before="40" w:after="40"/>
              <w:jc w:val="right"/>
              <w:rPr>
                <w:rFonts w:cs="Arial"/>
                <w:sz w:val="18"/>
                <w:szCs w:val="18"/>
              </w:rPr>
            </w:pPr>
            <w:r w:rsidRPr="00A44829">
              <w:rPr>
                <w:rFonts w:cs="Arial"/>
                <w:sz w:val="18"/>
                <w:szCs w:val="18"/>
              </w:rPr>
              <w:t>0</w:t>
            </w:r>
          </w:p>
        </w:tc>
        <w:tc>
          <w:tcPr>
            <w:tcW w:w="1021" w:type="dxa"/>
            <w:tcBorders>
              <w:top w:val="nil"/>
              <w:left w:val="nil"/>
              <w:bottom w:val="nil"/>
              <w:right w:val="nil"/>
            </w:tcBorders>
            <w:shd w:val="clear" w:color="auto" w:fill="auto"/>
            <w:vAlign w:val="bottom"/>
          </w:tcPr>
          <w:p w14:paraId="6B11E51E" w14:textId="34213F39" w:rsidR="00A26814" w:rsidRPr="00A44829" w:rsidRDefault="00A26814" w:rsidP="003E2D55">
            <w:pPr>
              <w:spacing w:before="40" w:after="40"/>
              <w:jc w:val="right"/>
              <w:rPr>
                <w:rFonts w:cs="Arial"/>
                <w:sz w:val="18"/>
                <w:szCs w:val="18"/>
              </w:rPr>
            </w:pPr>
            <w:r w:rsidRPr="00A44829">
              <w:rPr>
                <w:rFonts w:cs="Arial"/>
                <w:sz w:val="18"/>
                <w:szCs w:val="18"/>
              </w:rPr>
              <w:t>1,083</w:t>
            </w:r>
          </w:p>
        </w:tc>
      </w:tr>
      <w:tr w:rsidR="00A26814" w:rsidRPr="00A44829" w14:paraId="7C793AE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7199899" w14:textId="77777777" w:rsidR="00A26814" w:rsidRPr="00A44829" w:rsidRDefault="00A26814" w:rsidP="003E2D55">
            <w:pPr>
              <w:spacing w:before="40" w:after="40"/>
              <w:rPr>
                <w:rFonts w:cs="Arial"/>
                <w:sz w:val="18"/>
                <w:szCs w:val="18"/>
              </w:rPr>
            </w:pPr>
            <w:r w:rsidRPr="00A44829">
              <w:rPr>
                <w:rFonts w:cs="Arial"/>
                <w:sz w:val="18"/>
                <w:szCs w:val="18"/>
              </w:rPr>
              <w:t>Benalla RC</w:t>
            </w:r>
          </w:p>
        </w:tc>
        <w:tc>
          <w:tcPr>
            <w:tcW w:w="1134" w:type="dxa"/>
            <w:tcBorders>
              <w:top w:val="nil"/>
              <w:left w:val="single" w:sz="18" w:space="0" w:color="5F497A" w:themeColor="accent4" w:themeShade="BF"/>
              <w:bottom w:val="nil"/>
              <w:right w:val="nil"/>
            </w:tcBorders>
            <w:shd w:val="clear" w:color="auto" w:fill="auto"/>
            <w:vAlign w:val="bottom"/>
          </w:tcPr>
          <w:p w14:paraId="1BFFE0EE" w14:textId="7A833410" w:rsidR="00A26814" w:rsidRPr="00A44829" w:rsidRDefault="00A26814" w:rsidP="003E2D55">
            <w:pPr>
              <w:spacing w:before="40" w:after="40"/>
              <w:jc w:val="right"/>
              <w:rPr>
                <w:rFonts w:cs="Arial"/>
                <w:sz w:val="18"/>
                <w:szCs w:val="18"/>
              </w:rPr>
            </w:pPr>
            <w:r w:rsidRPr="00A44829">
              <w:rPr>
                <w:rFonts w:cs="Arial"/>
                <w:sz w:val="18"/>
                <w:szCs w:val="18"/>
              </w:rPr>
              <w:t>105</w:t>
            </w:r>
          </w:p>
        </w:tc>
        <w:tc>
          <w:tcPr>
            <w:tcW w:w="1134" w:type="dxa"/>
            <w:tcBorders>
              <w:top w:val="nil"/>
              <w:left w:val="nil"/>
              <w:bottom w:val="nil"/>
              <w:right w:val="nil"/>
            </w:tcBorders>
            <w:vAlign w:val="bottom"/>
          </w:tcPr>
          <w:p w14:paraId="4264B88B" w14:textId="16713929" w:rsidR="00A26814" w:rsidRPr="00A44829" w:rsidRDefault="00A26814" w:rsidP="003E2D55">
            <w:pPr>
              <w:spacing w:before="40" w:after="40"/>
              <w:jc w:val="right"/>
              <w:rPr>
                <w:rFonts w:cs="Arial"/>
                <w:sz w:val="18"/>
                <w:szCs w:val="18"/>
              </w:rPr>
            </w:pPr>
            <w:r w:rsidRPr="00A44829">
              <w:rPr>
                <w:rFonts w:cs="Arial"/>
                <w:sz w:val="18"/>
                <w:szCs w:val="18"/>
              </w:rPr>
              <w:t>1,230</w:t>
            </w:r>
          </w:p>
        </w:tc>
        <w:tc>
          <w:tcPr>
            <w:tcW w:w="1247" w:type="dxa"/>
            <w:tcBorders>
              <w:top w:val="nil"/>
              <w:left w:val="nil"/>
              <w:bottom w:val="nil"/>
              <w:right w:val="nil"/>
            </w:tcBorders>
            <w:vAlign w:val="bottom"/>
          </w:tcPr>
          <w:p w14:paraId="2D087B2C" w14:textId="10AA8A60" w:rsidR="00A26814" w:rsidRPr="00A44829" w:rsidRDefault="00A26814" w:rsidP="003E2D55">
            <w:pPr>
              <w:spacing w:before="40" w:after="40"/>
              <w:jc w:val="right"/>
              <w:rPr>
                <w:rFonts w:cs="Arial"/>
                <w:b/>
                <w:sz w:val="18"/>
                <w:szCs w:val="18"/>
              </w:rPr>
            </w:pPr>
            <w:r w:rsidRPr="00A44829">
              <w:rPr>
                <w:rFonts w:cs="Arial"/>
                <w:b/>
                <w:sz w:val="18"/>
                <w:szCs w:val="18"/>
              </w:rPr>
              <w:t>1,335</w:t>
            </w:r>
          </w:p>
        </w:tc>
        <w:tc>
          <w:tcPr>
            <w:tcW w:w="1247" w:type="dxa"/>
            <w:tcBorders>
              <w:top w:val="nil"/>
              <w:left w:val="nil"/>
              <w:bottom w:val="nil"/>
              <w:right w:val="nil"/>
            </w:tcBorders>
            <w:shd w:val="clear" w:color="auto" w:fill="auto"/>
            <w:vAlign w:val="bottom"/>
          </w:tcPr>
          <w:p w14:paraId="396A162F" w14:textId="798B4C5A" w:rsidR="00A26814" w:rsidRPr="00A44829" w:rsidRDefault="00A26814" w:rsidP="003E2D55">
            <w:pPr>
              <w:spacing w:before="40" w:after="40"/>
              <w:jc w:val="right"/>
              <w:rPr>
                <w:rFonts w:cs="Arial"/>
                <w:b/>
                <w:sz w:val="18"/>
                <w:szCs w:val="18"/>
              </w:rPr>
            </w:pPr>
            <w:r w:rsidRPr="00A44829">
              <w:rPr>
                <w:rFonts w:cs="Arial"/>
                <w:b/>
                <w:sz w:val="18"/>
                <w:szCs w:val="18"/>
              </w:rPr>
              <w:t>495</w:t>
            </w:r>
          </w:p>
        </w:tc>
        <w:tc>
          <w:tcPr>
            <w:tcW w:w="1021" w:type="dxa"/>
            <w:tcBorders>
              <w:top w:val="nil"/>
              <w:left w:val="nil"/>
              <w:bottom w:val="nil"/>
              <w:right w:val="nil"/>
            </w:tcBorders>
            <w:shd w:val="clear" w:color="auto" w:fill="auto"/>
            <w:vAlign w:val="bottom"/>
          </w:tcPr>
          <w:p w14:paraId="35E1E2B0" w14:textId="6FFD23D6" w:rsidR="00A26814" w:rsidRPr="00A44829" w:rsidRDefault="00A26814" w:rsidP="003E2D55">
            <w:pPr>
              <w:spacing w:before="40" w:after="40"/>
              <w:jc w:val="right"/>
              <w:rPr>
                <w:rFonts w:cs="Arial"/>
                <w:sz w:val="18"/>
                <w:szCs w:val="18"/>
              </w:rPr>
            </w:pPr>
            <w:r w:rsidRPr="00A44829">
              <w:rPr>
                <w:rFonts w:cs="Arial"/>
                <w:sz w:val="18"/>
                <w:szCs w:val="18"/>
              </w:rPr>
              <w:t>64</w:t>
            </w:r>
          </w:p>
        </w:tc>
        <w:tc>
          <w:tcPr>
            <w:tcW w:w="1021" w:type="dxa"/>
            <w:tcBorders>
              <w:top w:val="nil"/>
              <w:left w:val="nil"/>
              <w:bottom w:val="nil"/>
              <w:right w:val="nil"/>
            </w:tcBorders>
            <w:shd w:val="clear" w:color="auto" w:fill="auto"/>
            <w:vAlign w:val="bottom"/>
          </w:tcPr>
          <w:p w14:paraId="35C25D12" w14:textId="5D54AE6B" w:rsidR="00A26814" w:rsidRPr="00A44829" w:rsidRDefault="00A26814" w:rsidP="003E2D55">
            <w:pPr>
              <w:spacing w:before="40" w:after="40"/>
              <w:jc w:val="right"/>
              <w:rPr>
                <w:rFonts w:cs="Arial"/>
                <w:sz w:val="18"/>
                <w:szCs w:val="18"/>
              </w:rPr>
            </w:pPr>
            <w:r w:rsidRPr="00A44829">
              <w:rPr>
                <w:rFonts w:cs="Arial"/>
                <w:sz w:val="18"/>
                <w:szCs w:val="18"/>
              </w:rPr>
              <w:t>7,576</w:t>
            </w:r>
          </w:p>
        </w:tc>
      </w:tr>
      <w:tr w:rsidR="00A26814" w:rsidRPr="00A44829" w14:paraId="6A64802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1D68990" w14:textId="77777777" w:rsidR="00A26814" w:rsidRPr="00A44829" w:rsidRDefault="00A26814" w:rsidP="003E2D55">
            <w:pPr>
              <w:spacing w:before="40" w:after="40"/>
              <w:rPr>
                <w:rFonts w:cs="Arial"/>
                <w:sz w:val="18"/>
                <w:szCs w:val="18"/>
              </w:rPr>
            </w:pPr>
            <w:r w:rsidRPr="00A44829">
              <w:rPr>
                <w:rFonts w:cs="Arial"/>
                <w:sz w:val="18"/>
                <w:szCs w:val="18"/>
              </w:rPr>
              <w:t>Boroondara C</w:t>
            </w:r>
          </w:p>
        </w:tc>
        <w:tc>
          <w:tcPr>
            <w:tcW w:w="1134" w:type="dxa"/>
            <w:tcBorders>
              <w:top w:val="nil"/>
              <w:left w:val="single" w:sz="18" w:space="0" w:color="5F497A" w:themeColor="accent4" w:themeShade="BF"/>
              <w:bottom w:val="nil"/>
              <w:right w:val="nil"/>
            </w:tcBorders>
            <w:shd w:val="clear" w:color="auto" w:fill="auto"/>
            <w:vAlign w:val="bottom"/>
          </w:tcPr>
          <w:p w14:paraId="2E682FB5" w14:textId="14B42B72" w:rsidR="00A26814" w:rsidRPr="00A44829" w:rsidRDefault="00A26814" w:rsidP="003E2D55">
            <w:pPr>
              <w:spacing w:before="40" w:after="40"/>
              <w:jc w:val="right"/>
              <w:rPr>
                <w:rFonts w:cs="Arial"/>
                <w:sz w:val="18"/>
                <w:szCs w:val="18"/>
              </w:rPr>
            </w:pPr>
            <w:r w:rsidRPr="00A44829">
              <w:rPr>
                <w:rFonts w:cs="Arial"/>
                <w:sz w:val="18"/>
                <w:szCs w:val="18"/>
              </w:rPr>
              <w:t>561</w:t>
            </w:r>
          </w:p>
        </w:tc>
        <w:tc>
          <w:tcPr>
            <w:tcW w:w="1134" w:type="dxa"/>
            <w:tcBorders>
              <w:top w:val="nil"/>
              <w:left w:val="nil"/>
              <w:bottom w:val="nil"/>
              <w:right w:val="nil"/>
            </w:tcBorders>
            <w:vAlign w:val="bottom"/>
          </w:tcPr>
          <w:p w14:paraId="6DFAF6C9" w14:textId="5EF36F75" w:rsidR="00A26814" w:rsidRPr="00A44829" w:rsidRDefault="00A26814" w:rsidP="003E2D55">
            <w:pPr>
              <w:spacing w:before="40" w:after="40"/>
              <w:jc w:val="right"/>
              <w:rPr>
                <w:rFonts w:cs="Arial"/>
                <w:sz w:val="18"/>
                <w:szCs w:val="18"/>
              </w:rPr>
            </w:pPr>
            <w:r w:rsidRPr="00A44829">
              <w:rPr>
                <w:rFonts w:cs="Arial"/>
                <w:sz w:val="18"/>
                <w:szCs w:val="18"/>
              </w:rPr>
              <w:t>0</w:t>
            </w:r>
          </w:p>
        </w:tc>
        <w:tc>
          <w:tcPr>
            <w:tcW w:w="1247" w:type="dxa"/>
            <w:tcBorders>
              <w:top w:val="nil"/>
              <w:left w:val="nil"/>
              <w:bottom w:val="nil"/>
              <w:right w:val="nil"/>
            </w:tcBorders>
            <w:vAlign w:val="bottom"/>
          </w:tcPr>
          <w:p w14:paraId="4FDA7A86" w14:textId="3C07BA70" w:rsidR="00A26814" w:rsidRPr="00A44829" w:rsidRDefault="00A26814" w:rsidP="003E2D55">
            <w:pPr>
              <w:spacing w:before="40" w:after="40"/>
              <w:jc w:val="right"/>
              <w:rPr>
                <w:rFonts w:cs="Arial"/>
                <w:b/>
                <w:sz w:val="18"/>
                <w:szCs w:val="18"/>
              </w:rPr>
            </w:pPr>
            <w:r w:rsidRPr="00A44829">
              <w:rPr>
                <w:rFonts w:cs="Arial"/>
                <w:b/>
                <w:sz w:val="18"/>
                <w:szCs w:val="18"/>
              </w:rPr>
              <w:t>561</w:t>
            </w:r>
          </w:p>
        </w:tc>
        <w:tc>
          <w:tcPr>
            <w:tcW w:w="1247" w:type="dxa"/>
            <w:tcBorders>
              <w:top w:val="nil"/>
              <w:left w:val="nil"/>
              <w:bottom w:val="nil"/>
              <w:right w:val="nil"/>
            </w:tcBorders>
            <w:shd w:val="clear" w:color="auto" w:fill="auto"/>
            <w:vAlign w:val="bottom"/>
          </w:tcPr>
          <w:p w14:paraId="0B9B4A1D" w14:textId="0F8839DA" w:rsidR="00A26814" w:rsidRPr="00A44829" w:rsidRDefault="00A26814" w:rsidP="003E2D55">
            <w:pPr>
              <w:spacing w:before="40" w:after="40"/>
              <w:jc w:val="right"/>
              <w:rPr>
                <w:rFonts w:cs="Arial"/>
                <w:b/>
                <w:sz w:val="18"/>
                <w:szCs w:val="18"/>
              </w:rPr>
            </w:pPr>
            <w:r w:rsidRPr="00A44829">
              <w:rPr>
                <w:rFonts w:cs="Arial"/>
                <w:b/>
                <w:sz w:val="18"/>
                <w:szCs w:val="18"/>
              </w:rPr>
              <w:t>32</w:t>
            </w:r>
          </w:p>
        </w:tc>
        <w:tc>
          <w:tcPr>
            <w:tcW w:w="1021" w:type="dxa"/>
            <w:tcBorders>
              <w:top w:val="nil"/>
              <w:left w:val="nil"/>
              <w:bottom w:val="nil"/>
              <w:right w:val="nil"/>
            </w:tcBorders>
            <w:shd w:val="clear" w:color="auto" w:fill="auto"/>
            <w:vAlign w:val="bottom"/>
          </w:tcPr>
          <w:p w14:paraId="5F76EF6F" w14:textId="78200788" w:rsidR="00A26814" w:rsidRPr="00A44829" w:rsidRDefault="00A26814" w:rsidP="003E2D55">
            <w:pPr>
              <w:spacing w:before="40" w:after="40"/>
              <w:jc w:val="right"/>
              <w:rPr>
                <w:rFonts w:cs="Arial"/>
                <w:sz w:val="18"/>
                <w:szCs w:val="18"/>
              </w:rPr>
            </w:pPr>
            <w:r w:rsidRPr="00A44829">
              <w:rPr>
                <w:rFonts w:cs="Arial"/>
                <w:sz w:val="18"/>
                <w:szCs w:val="18"/>
              </w:rPr>
              <w:t>0</w:t>
            </w:r>
          </w:p>
        </w:tc>
        <w:tc>
          <w:tcPr>
            <w:tcW w:w="1021" w:type="dxa"/>
            <w:tcBorders>
              <w:top w:val="nil"/>
              <w:left w:val="nil"/>
              <w:bottom w:val="nil"/>
              <w:right w:val="nil"/>
            </w:tcBorders>
            <w:shd w:val="clear" w:color="auto" w:fill="auto"/>
            <w:vAlign w:val="bottom"/>
          </w:tcPr>
          <w:p w14:paraId="70CC584D" w14:textId="7FCDD41A" w:rsidR="00A26814" w:rsidRPr="00A44829" w:rsidRDefault="00A26814" w:rsidP="003E2D55">
            <w:pPr>
              <w:spacing w:before="40" w:after="40"/>
              <w:jc w:val="right"/>
              <w:rPr>
                <w:rFonts w:cs="Arial"/>
                <w:sz w:val="18"/>
                <w:szCs w:val="18"/>
              </w:rPr>
            </w:pPr>
            <w:r w:rsidRPr="00A44829">
              <w:rPr>
                <w:rFonts w:cs="Arial"/>
                <w:sz w:val="18"/>
                <w:szCs w:val="18"/>
              </w:rPr>
              <w:t>2,108</w:t>
            </w:r>
          </w:p>
        </w:tc>
      </w:tr>
      <w:tr w:rsidR="00A26814" w:rsidRPr="00A44829" w14:paraId="51DC85C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C952D83" w14:textId="77777777" w:rsidR="00A26814" w:rsidRPr="00A44829" w:rsidRDefault="00A26814" w:rsidP="003E2D55">
            <w:pPr>
              <w:spacing w:before="40" w:after="40"/>
              <w:rPr>
                <w:rFonts w:cs="Arial"/>
                <w:sz w:val="18"/>
                <w:szCs w:val="18"/>
              </w:rPr>
            </w:pPr>
            <w:r w:rsidRPr="00A44829">
              <w:rPr>
                <w:rFonts w:cs="Arial"/>
                <w:sz w:val="18"/>
                <w:szCs w:val="18"/>
              </w:rPr>
              <w:t>Brimbank C</w:t>
            </w:r>
          </w:p>
        </w:tc>
        <w:tc>
          <w:tcPr>
            <w:tcW w:w="1134" w:type="dxa"/>
            <w:tcBorders>
              <w:top w:val="nil"/>
              <w:left w:val="single" w:sz="18" w:space="0" w:color="5F497A" w:themeColor="accent4" w:themeShade="BF"/>
              <w:bottom w:val="nil"/>
              <w:right w:val="nil"/>
            </w:tcBorders>
            <w:shd w:val="clear" w:color="auto" w:fill="auto"/>
            <w:vAlign w:val="bottom"/>
          </w:tcPr>
          <w:p w14:paraId="71FFD028" w14:textId="164EF8A3" w:rsidR="00A26814" w:rsidRPr="00A44829" w:rsidRDefault="00A26814" w:rsidP="003E2D55">
            <w:pPr>
              <w:spacing w:before="40" w:after="40"/>
              <w:jc w:val="right"/>
              <w:rPr>
                <w:rFonts w:cs="Arial"/>
                <w:sz w:val="18"/>
                <w:szCs w:val="18"/>
              </w:rPr>
            </w:pPr>
            <w:r w:rsidRPr="00A44829">
              <w:rPr>
                <w:rFonts w:cs="Arial"/>
                <w:sz w:val="18"/>
                <w:szCs w:val="18"/>
              </w:rPr>
              <w:t>889</w:t>
            </w:r>
          </w:p>
        </w:tc>
        <w:tc>
          <w:tcPr>
            <w:tcW w:w="1134" w:type="dxa"/>
            <w:tcBorders>
              <w:top w:val="nil"/>
              <w:left w:val="nil"/>
              <w:bottom w:val="nil"/>
              <w:right w:val="nil"/>
            </w:tcBorders>
            <w:vAlign w:val="bottom"/>
          </w:tcPr>
          <w:p w14:paraId="7DE17900" w14:textId="6EA53D2F" w:rsidR="00A26814" w:rsidRPr="00A44829" w:rsidRDefault="00A26814" w:rsidP="003E2D55">
            <w:pPr>
              <w:spacing w:before="40" w:after="40"/>
              <w:jc w:val="right"/>
              <w:rPr>
                <w:rFonts w:cs="Arial"/>
                <w:sz w:val="18"/>
                <w:szCs w:val="18"/>
              </w:rPr>
            </w:pPr>
            <w:r w:rsidRPr="00A44829">
              <w:rPr>
                <w:rFonts w:cs="Arial"/>
                <w:sz w:val="18"/>
                <w:szCs w:val="18"/>
              </w:rPr>
              <w:t>5</w:t>
            </w:r>
          </w:p>
        </w:tc>
        <w:tc>
          <w:tcPr>
            <w:tcW w:w="1247" w:type="dxa"/>
            <w:tcBorders>
              <w:top w:val="nil"/>
              <w:left w:val="nil"/>
              <w:bottom w:val="nil"/>
              <w:right w:val="nil"/>
            </w:tcBorders>
            <w:vAlign w:val="bottom"/>
          </w:tcPr>
          <w:p w14:paraId="4DEBF98C" w14:textId="54292836" w:rsidR="00A26814" w:rsidRPr="00A44829" w:rsidRDefault="00A26814" w:rsidP="003E2D55">
            <w:pPr>
              <w:spacing w:before="40" w:after="40"/>
              <w:jc w:val="right"/>
              <w:rPr>
                <w:rFonts w:cs="Arial"/>
                <w:b/>
                <w:sz w:val="18"/>
                <w:szCs w:val="18"/>
              </w:rPr>
            </w:pPr>
            <w:r w:rsidRPr="00A44829">
              <w:rPr>
                <w:rFonts w:cs="Arial"/>
                <w:b/>
                <w:sz w:val="18"/>
                <w:szCs w:val="18"/>
              </w:rPr>
              <w:t>894</w:t>
            </w:r>
          </w:p>
        </w:tc>
        <w:tc>
          <w:tcPr>
            <w:tcW w:w="1247" w:type="dxa"/>
            <w:tcBorders>
              <w:top w:val="nil"/>
              <w:left w:val="nil"/>
              <w:bottom w:val="nil"/>
              <w:right w:val="nil"/>
            </w:tcBorders>
            <w:shd w:val="clear" w:color="auto" w:fill="auto"/>
            <w:vAlign w:val="bottom"/>
          </w:tcPr>
          <w:p w14:paraId="70D15622" w14:textId="49F88E70" w:rsidR="00A26814" w:rsidRPr="00A44829" w:rsidRDefault="00A26814" w:rsidP="003E2D55">
            <w:pPr>
              <w:spacing w:before="40" w:after="40"/>
              <w:jc w:val="right"/>
              <w:rPr>
                <w:rFonts w:cs="Arial"/>
                <w:b/>
                <w:sz w:val="18"/>
                <w:szCs w:val="18"/>
              </w:rPr>
            </w:pPr>
            <w:r w:rsidRPr="00A44829">
              <w:rPr>
                <w:rFonts w:cs="Arial"/>
                <w:b/>
                <w:sz w:val="18"/>
                <w:szCs w:val="18"/>
              </w:rPr>
              <w:t>96</w:t>
            </w:r>
          </w:p>
        </w:tc>
        <w:tc>
          <w:tcPr>
            <w:tcW w:w="1021" w:type="dxa"/>
            <w:tcBorders>
              <w:top w:val="nil"/>
              <w:left w:val="nil"/>
              <w:bottom w:val="nil"/>
              <w:right w:val="nil"/>
            </w:tcBorders>
            <w:shd w:val="clear" w:color="auto" w:fill="auto"/>
            <w:vAlign w:val="bottom"/>
          </w:tcPr>
          <w:p w14:paraId="29E2543C" w14:textId="5F7D2AF7" w:rsidR="00A26814" w:rsidRPr="00A44829" w:rsidRDefault="00A26814" w:rsidP="003E2D55">
            <w:pPr>
              <w:spacing w:before="40" w:after="40"/>
              <w:jc w:val="right"/>
              <w:rPr>
                <w:rFonts w:cs="Arial"/>
                <w:sz w:val="18"/>
                <w:szCs w:val="18"/>
              </w:rPr>
            </w:pPr>
            <w:r w:rsidRPr="00A44829">
              <w:rPr>
                <w:rFonts w:cs="Arial"/>
                <w:sz w:val="18"/>
                <w:szCs w:val="18"/>
              </w:rPr>
              <w:t>0</w:t>
            </w:r>
          </w:p>
        </w:tc>
        <w:tc>
          <w:tcPr>
            <w:tcW w:w="1021" w:type="dxa"/>
            <w:tcBorders>
              <w:top w:val="nil"/>
              <w:left w:val="nil"/>
              <w:bottom w:val="nil"/>
              <w:right w:val="nil"/>
            </w:tcBorders>
            <w:shd w:val="clear" w:color="auto" w:fill="auto"/>
            <w:vAlign w:val="bottom"/>
          </w:tcPr>
          <w:p w14:paraId="6AC63B44" w14:textId="5FE61C1F" w:rsidR="00A26814" w:rsidRPr="00A44829" w:rsidRDefault="00A26814" w:rsidP="003E2D55">
            <w:pPr>
              <w:spacing w:before="40" w:after="40"/>
              <w:jc w:val="right"/>
              <w:rPr>
                <w:rFonts w:cs="Arial"/>
                <w:sz w:val="18"/>
                <w:szCs w:val="18"/>
              </w:rPr>
            </w:pPr>
            <w:r w:rsidRPr="00A44829">
              <w:rPr>
                <w:rFonts w:cs="Arial"/>
                <w:sz w:val="18"/>
                <w:szCs w:val="18"/>
              </w:rPr>
              <w:t>6,018</w:t>
            </w:r>
          </w:p>
        </w:tc>
      </w:tr>
      <w:tr w:rsidR="00A26814" w:rsidRPr="00A44829" w14:paraId="2679FF1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404263E" w14:textId="77777777" w:rsidR="00A26814" w:rsidRPr="00A44829" w:rsidRDefault="00A26814" w:rsidP="003E2D55">
            <w:pPr>
              <w:spacing w:before="40" w:after="40"/>
              <w:rPr>
                <w:rFonts w:cs="Arial"/>
                <w:sz w:val="18"/>
                <w:szCs w:val="18"/>
              </w:rPr>
            </w:pPr>
            <w:r w:rsidRPr="00A44829">
              <w:rPr>
                <w:rFonts w:cs="Arial"/>
                <w:sz w:val="18"/>
                <w:szCs w:val="18"/>
              </w:rPr>
              <w:t>Buloke S</w:t>
            </w:r>
          </w:p>
        </w:tc>
        <w:tc>
          <w:tcPr>
            <w:tcW w:w="1134" w:type="dxa"/>
            <w:tcBorders>
              <w:top w:val="nil"/>
              <w:left w:val="single" w:sz="18" w:space="0" w:color="5F497A" w:themeColor="accent4" w:themeShade="BF"/>
              <w:bottom w:val="nil"/>
              <w:right w:val="nil"/>
            </w:tcBorders>
            <w:shd w:val="clear" w:color="auto" w:fill="auto"/>
            <w:vAlign w:val="bottom"/>
          </w:tcPr>
          <w:p w14:paraId="7E3BC5ED" w14:textId="19D1BBAA" w:rsidR="00A26814" w:rsidRPr="00A44829" w:rsidRDefault="00A26814" w:rsidP="003E2D55">
            <w:pPr>
              <w:spacing w:before="40" w:after="40"/>
              <w:jc w:val="right"/>
              <w:rPr>
                <w:rFonts w:cs="Arial"/>
                <w:sz w:val="18"/>
                <w:szCs w:val="18"/>
              </w:rPr>
            </w:pPr>
            <w:r w:rsidRPr="00A44829">
              <w:rPr>
                <w:rFonts w:cs="Arial"/>
                <w:sz w:val="18"/>
                <w:szCs w:val="18"/>
              </w:rPr>
              <w:t>122</w:t>
            </w:r>
          </w:p>
        </w:tc>
        <w:tc>
          <w:tcPr>
            <w:tcW w:w="1134" w:type="dxa"/>
            <w:tcBorders>
              <w:top w:val="nil"/>
              <w:left w:val="nil"/>
              <w:bottom w:val="nil"/>
              <w:right w:val="nil"/>
            </w:tcBorders>
            <w:vAlign w:val="bottom"/>
          </w:tcPr>
          <w:p w14:paraId="56251825" w14:textId="1E19198A" w:rsidR="00A26814" w:rsidRPr="00A44829" w:rsidRDefault="00A26814" w:rsidP="003E2D55">
            <w:pPr>
              <w:spacing w:before="40" w:after="40"/>
              <w:jc w:val="right"/>
              <w:rPr>
                <w:rFonts w:cs="Arial"/>
                <w:sz w:val="18"/>
                <w:szCs w:val="18"/>
              </w:rPr>
            </w:pPr>
            <w:r w:rsidRPr="00A44829">
              <w:rPr>
                <w:rFonts w:cs="Arial"/>
                <w:sz w:val="18"/>
                <w:szCs w:val="18"/>
              </w:rPr>
              <w:t>5,191</w:t>
            </w:r>
          </w:p>
        </w:tc>
        <w:tc>
          <w:tcPr>
            <w:tcW w:w="1247" w:type="dxa"/>
            <w:tcBorders>
              <w:top w:val="nil"/>
              <w:left w:val="nil"/>
              <w:bottom w:val="nil"/>
              <w:right w:val="nil"/>
            </w:tcBorders>
            <w:vAlign w:val="bottom"/>
          </w:tcPr>
          <w:p w14:paraId="681C37CE" w14:textId="43F58020" w:rsidR="00A26814" w:rsidRPr="00A44829" w:rsidRDefault="00A26814" w:rsidP="003E2D55">
            <w:pPr>
              <w:spacing w:before="40" w:after="40"/>
              <w:jc w:val="right"/>
              <w:rPr>
                <w:rFonts w:cs="Arial"/>
                <w:b/>
                <w:sz w:val="18"/>
                <w:szCs w:val="18"/>
              </w:rPr>
            </w:pPr>
            <w:r w:rsidRPr="00A44829">
              <w:rPr>
                <w:rFonts w:cs="Arial"/>
                <w:b/>
                <w:sz w:val="18"/>
                <w:szCs w:val="18"/>
              </w:rPr>
              <w:t>5,313</w:t>
            </w:r>
          </w:p>
        </w:tc>
        <w:tc>
          <w:tcPr>
            <w:tcW w:w="1247" w:type="dxa"/>
            <w:tcBorders>
              <w:top w:val="nil"/>
              <w:left w:val="nil"/>
              <w:bottom w:val="nil"/>
              <w:right w:val="nil"/>
            </w:tcBorders>
            <w:shd w:val="clear" w:color="auto" w:fill="auto"/>
            <w:vAlign w:val="bottom"/>
          </w:tcPr>
          <w:p w14:paraId="1D95B70D" w14:textId="3C411FEB" w:rsidR="00A26814" w:rsidRPr="00A44829" w:rsidRDefault="00A26814" w:rsidP="003E2D55">
            <w:pPr>
              <w:spacing w:before="40" w:after="40"/>
              <w:jc w:val="right"/>
              <w:rPr>
                <w:rFonts w:cs="Arial"/>
                <w:b/>
                <w:sz w:val="18"/>
                <w:szCs w:val="18"/>
              </w:rPr>
            </w:pPr>
            <w:r w:rsidRPr="00A44829">
              <w:rPr>
                <w:rFonts w:cs="Arial"/>
                <w:b/>
                <w:sz w:val="18"/>
                <w:szCs w:val="18"/>
              </w:rPr>
              <w:t>595</w:t>
            </w:r>
          </w:p>
        </w:tc>
        <w:tc>
          <w:tcPr>
            <w:tcW w:w="1021" w:type="dxa"/>
            <w:tcBorders>
              <w:top w:val="nil"/>
              <w:left w:val="nil"/>
              <w:bottom w:val="nil"/>
              <w:right w:val="nil"/>
            </w:tcBorders>
            <w:shd w:val="clear" w:color="auto" w:fill="auto"/>
            <w:vAlign w:val="bottom"/>
          </w:tcPr>
          <w:p w14:paraId="139C1FB4" w14:textId="29726179" w:rsidR="00A26814" w:rsidRPr="00A44829" w:rsidRDefault="00A26814" w:rsidP="003E2D55">
            <w:pPr>
              <w:spacing w:before="40" w:after="40"/>
              <w:jc w:val="right"/>
              <w:rPr>
                <w:rFonts w:cs="Arial"/>
                <w:sz w:val="18"/>
                <w:szCs w:val="18"/>
              </w:rPr>
            </w:pPr>
            <w:r w:rsidRPr="00A44829">
              <w:rPr>
                <w:rFonts w:cs="Arial"/>
                <w:sz w:val="18"/>
                <w:szCs w:val="18"/>
              </w:rPr>
              <w:t>48</w:t>
            </w:r>
          </w:p>
        </w:tc>
        <w:tc>
          <w:tcPr>
            <w:tcW w:w="1021" w:type="dxa"/>
            <w:tcBorders>
              <w:top w:val="nil"/>
              <w:left w:val="nil"/>
              <w:bottom w:val="nil"/>
              <w:right w:val="nil"/>
            </w:tcBorders>
            <w:shd w:val="clear" w:color="auto" w:fill="auto"/>
            <w:vAlign w:val="bottom"/>
          </w:tcPr>
          <w:p w14:paraId="6778F5C9" w14:textId="24123666" w:rsidR="00A26814" w:rsidRPr="00A44829" w:rsidRDefault="00A26814" w:rsidP="003E2D55">
            <w:pPr>
              <w:spacing w:before="40" w:after="40"/>
              <w:jc w:val="right"/>
              <w:rPr>
                <w:rFonts w:cs="Arial"/>
                <w:sz w:val="18"/>
                <w:szCs w:val="18"/>
              </w:rPr>
            </w:pPr>
            <w:r w:rsidRPr="00A44829">
              <w:rPr>
                <w:rFonts w:cs="Arial"/>
                <w:sz w:val="18"/>
                <w:szCs w:val="18"/>
              </w:rPr>
              <w:t>2,506</w:t>
            </w:r>
          </w:p>
        </w:tc>
      </w:tr>
      <w:tr w:rsidR="00A26814" w:rsidRPr="00A44829" w14:paraId="43B70C5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13C758B" w14:textId="77777777" w:rsidR="00A26814" w:rsidRPr="00A44829" w:rsidRDefault="00A26814" w:rsidP="003E2D55">
            <w:pPr>
              <w:spacing w:before="40" w:after="40"/>
              <w:rPr>
                <w:rFonts w:cs="Arial"/>
                <w:sz w:val="18"/>
                <w:szCs w:val="18"/>
              </w:rPr>
            </w:pPr>
            <w:r w:rsidRPr="00A44829">
              <w:rPr>
                <w:rFonts w:cs="Arial"/>
                <w:sz w:val="18"/>
                <w:szCs w:val="18"/>
              </w:rPr>
              <w:t>Campaspe S</w:t>
            </w:r>
          </w:p>
        </w:tc>
        <w:tc>
          <w:tcPr>
            <w:tcW w:w="1134" w:type="dxa"/>
            <w:tcBorders>
              <w:top w:val="nil"/>
              <w:left w:val="single" w:sz="18" w:space="0" w:color="5F497A" w:themeColor="accent4" w:themeShade="BF"/>
              <w:bottom w:val="nil"/>
              <w:right w:val="nil"/>
            </w:tcBorders>
            <w:shd w:val="clear" w:color="auto" w:fill="auto"/>
            <w:vAlign w:val="bottom"/>
          </w:tcPr>
          <w:p w14:paraId="77761AF4" w14:textId="69BDBFEB" w:rsidR="00A26814" w:rsidRPr="00A44829" w:rsidRDefault="00A26814" w:rsidP="003E2D55">
            <w:pPr>
              <w:spacing w:before="40" w:after="40"/>
              <w:jc w:val="right"/>
              <w:rPr>
                <w:rFonts w:cs="Arial"/>
                <w:sz w:val="18"/>
                <w:szCs w:val="18"/>
              </w:rPr>
            </w:pPr>
            <w:r w:rsidRPr="00A44829">
              <w:rPr>
                <w:rFonts w:cs="Arial"/>
                <w:sz w:val="18"/>
                <w:szCs w:val="18"/>
              </w:rPr>
              <w:t>291</w:t>
            </w:r>
          </w:p>
        </w:tc>
        <w:tc>
          <w:tcPr>
            <w:tcW w:w="1134" w:type="dxa"/>
            <w:tcBorders>
              <w:top w:val="nil"/>
              <w:left w:val="nil"/>
              <w:bottom w:val="nil"/>
              <w:right w:val="nil"/>
            </w:tcBorders>
            <w:vAlign w:val="bottom"/>
          </w:tcPr>
          <w:p w14:paraId="08F4EB18" w14:textId="2F78848C" w:rsidR="00A26814" w:rsidRPr="00A44829" w:rsidRDefault="00A26814" w:rsidP="003E2D55">
            <w:pPr>
              <w:spacing w:before="40" w:after="40"/>
              <w:jc w:val="right"/>
              <w:rPr>
                <w:rFonts w:cs="Arial"/>
                <w:sz w:val="18"/>
                <w:szCs w:val="18"/>
              </w:rPr>
            </w:pPr>
            <w:r w:rsidRPr="00A44829">
              <w:rPr>
                <w:rFonts w:cs="Arial"/>
                <w:sz w:val="18"/>
                <w:szCs w:val="18"/>
              </w:rPr>
              <w:t>3,763</w:t>
            </w:r>
          </w:p>
        </w:tc>
        <w:tc>
          <w:tcPr>
            <w:tcW w:w="1247" w:type="dxa"/>
            <w:tcBorders>
              <w:top w:val="nil"/>
              <w:left w:val="nil"/>
              <w:bottom w:val="nil"/>
              <w:right w:val="nil"/>
            </w:tcBorders>
            <w:vAlign w:val="bottom"/>
          </w:tcPr>
          <w:p w14:paraId="36EBB34A" w14:textId="3D81B119" w:rsidR="00A26814" w:rsidRPr="00A44829" w:rsidRDefault="00A26814" w:rsidP="003E2D55">
            <w:pPr>
              <w:spacing w:before="40" w:after="40"/>
              <w:jc w:val="right"/>
              <w:rPr>
                <w:rFonts w:cs="Arial"/>
                <w:b/>
                <w:sz w:val="18"/>
                <w:szCs w:val="18"/>
              </w:rPr>
            </w:pPr>
            <w:r w:rsidRPr="00A44829">
              <w:rPr>
                <w:rFonts w:cs="Arial"/>
                <w:b/>
                <w:sz w:val="18"/>
                <w:szCs w:val="18"/>
              </w:rPr>
              <w:t>4,054</w:t>
            </w:r>
          </w:p>
        </w:tc>
        <w:tc>
          <w:tcPr>
            <w:tcW w:w="1247" w:type="dxa"/>
            <w:tcBorders>
              <w:top w:val="nil"/>
              <w:left w:val="nil"/>
              <w:bottom w:val="nil"/>
              <w:right w:val="nil"/>
            </w:tcBorders>
            <w:shd w:val="clear" w:color="auto" w:fill="auto"/>
            <w:vAlign w:val="bottom"/>
          </w:tcPr>
          <w:p w14:paraId="0B49E0DF" w14:textId="3373D570" w:rsidR="00A26814" w:rsidRPr="00A44829" w:rsidRDefault="00A26814" w:rsidP="003E2D55">
            <w:pPr>
              <w:spacing w:before="40" w:after="40"/>
              <w:jc w:val="right"/>
              <w:rPr>
                <w:rFonts w:cs="Arial"/>
                <w:b/>
                <w:sz w:val="18"/>
                <w:szCs w:val="18"/>
              </w:rPr>
            </w:pPr>
            <w:r w:rsidRPr="00A44829">
              <w:rPr>
                <w:rFonts w:cs="Arial"/>
                <w:b/>
                <w:sz w:val="18"/>
                <w:szCs w:val="18"/>
              </w:rPr>
              <w:t>2,019</w:t>
            </w:r>
          </w:p>
        </w:tc>
        <w:tc>
          <w:tcPr>
            <w:tcW w:w="1021" w:type="dxa"/>
            <w:tcBorders>
              <w:top w:val="nil"/>
              <w:left w:val="nil"/>
              <w:bottom w:val="nil"/>
              <w:right w:val="nil"/>
            </w:tcBorders>
            <w:shd w:val="clear" w:color="auto" w:fill="auto"/>
            <w:vAlign w:val="bottom"/>
          </w:tcPr>
          <w:p w14:paraId="2C448D53" w14:textId="7DCFFCDB" w:rsidR="00A26814" w:rsidRPr="00A44829" w:rsidRDefault="00A26814" w:rsidP="003E2D55">
            <w:pPr>
              <w:spacing w:before="40" w:after="40"/>
              <w:jc w:val="right"/>
              <w:rPr>
                <w:rFonts w:cs="Arial"/>
                <w:sz w:val="18"/>
                <w:szCs w:val="18"/>
              </w:rPr>
            </w:pPr>
            <w:r w:rsidRPr="00A44829">
              <w:rPr>
                <w:rFonts w:cs="Arial"/>
                <w:sz w:val="18"/>
                <w:szCs w:val="18"/>
              </w:rPr>
              <w:t>438</w:t>
            </w:r>
          </w:p>
        </w:tc>
        <w:tc>
          <w:tcPr>
            <w:tcW w:w="1021" w:type="dxa"/>
            <w:tcBorders>
              <w:top w:val="nil"/>
              <w:left w:val="nil"/>
              <w:bottom w:val="nil"/>
              <w:right w:val="nil"/>
            </w:tcBorders>
            <w:shd w:val="clear" w:color="auto" w:fill="auto"/>
            <w:vAlign w:val="bottom"/>
          </w:tcPr>
          <w:p w14:paraId="5CEE7979" w14:textId="2F244F3A" w:rsidR="00A26814" w:rsidRPr="00A44829" w:rsidRDefault="00A26814" w:rsidP="003E2D55">
            <w:pPr>
              <w:spacing w:before="40" w:after="40"/>
              <w:jc w:val="right"/>
              <w:rPr>
                <w:rFonts w:cs="Arial"/>
                <w:sz w:val="18"/>
                <w:szCs w:val="18"/>
              </w:rPr>
            </w:pPr>
            <w:r w:rsidRPr="00A44829">
              <w:rPr>
                <w:rFonts w:cs="Arial"/>
                <w:sz w:val="18"/>
                <w:szCs w:val="18"/>
              </w:rPr>
              <w:t>7,053</w:t>
            </w:r>
          </w:p>
        </w:tc>
      </w:tr>
      <w:tr w:rsidR="00A26814" w:rsidRPr="00A44829" w14:paraId="4FBD8A3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0626430" w14:textId="77777777" w:rsidR="00A26814" w:rsidRPr="00A44829" w:rsidRDefault="00A26814" w:rsidP="003E2D55">
            <w:pPr>
              <w:spacing w:before="40" w:after="40"/>
              <w:rPr>
                <w:rFonts w:cs="Arial"/>
                <w:sz w:val="18"/>
                <w:szCs w:val="18"/>
              </w:rPr>
            </w:pPr>
            <w:r w:rsidRPr="00A44829">
              <w:rPr>
                <w:rFonts w:cs="Arial"/>
                <w:sz w:val="18"/>
                <w:szCs w:val="18"/>
              </w:rPr>
              <w:t>Cardinia S</w:t>
            </w:r>
          </w:p>
        </w:tc>
        <w:tc>
          <w:tcPr>
            <w:tcW w:w="1134" w:type="dxa"/>
            <w:tcBorders>
              <w:top w:val="nil"/>
              <w:left w:val="single" w:sz="18" w:space="0" w:color="5F497A" w:themeColor="accent4" w:themeShade="BF"/>
              <w:bottom w:val="nil"/>
              <w:right w:val="nil"/>
            </w:tcBorders>
            <w:shd w:val="clear" w:color="auto" w:fill="auto"/>
            <w:vAlign w:val="bottom"/>
          </w:tcPr>
          <w:p w14:paraId="39AA70CF" w14:textId="1F002CAE" w:rsidR="00A26814" w:rsidRPr="00A44829" w:rsidRDefault="00A26814" w:rsidP="003E2D55">
            <w:pPr>
              <w:spacing w:before="40" w:after="40"/>
              <w:jc w:val="right"/>
              <w:rPr>
                <w:rFonts w:cs="Arial"/>
                <w:sz w:val="18"/>
                <w:szCs w:val="18"/>
              </w:rPr>
            </w:pPr>
            <w:r w:rsidRPr="00A44829">
              <w:rPr>
                <w:rFonts w:cs="Arial"/>
                <w:sz w:val="18"/>
                <w:szCs w:val="18"/>
              </w:rPr>
              <w:t>611</w:t>
            </w:r>
          </w:p>
        </w:tc>
        <w:tc>
          <w:tcPr>
            <w:tcW w:w="1134" w:type="dxa"/>
            <w:tcBorders>
              <w:top w:val="nil"/>
              <w:left w:val="nil"/>
              <w:bottom w:val="nil"/>
              <w:right w:val="nil"/>
            </w:tcBorders>
            <w:vAlign w:val="bottom"/>
          </w:tcPr>
          <w:p w14:paraId="5AB69A34" w14:textId="64BEC30F" w:rsidR="00A26814" w:rsidRPr="00A44829" w:rsidRDefault="00A26814" w:rsidP="003E2D55">
            <w:pPr>
              <w:spacing w:before="40" w:after="40"/>
              <w:jc w:val="right"/>
              <w:rPr>
                <w:rFonts w:cs="Arial"/>
                <w:sz w:val="18"/>
                <w:szCs w:val="18"/>
              </w:rPr>
            </w:pPr>
            <w:r w:rsidRPr="00A44829">
              <w:rPr>
                <w:rFonts w:cs="Arial"/>
                <w:sz w:val="18"/>
                <w:szCs w:val="18"/>
              </w:rPr>
              <w:t>930</w:t>
            </w:r>
          </w:p>
        </w:tc>
        <w:tc>
          <w:tcPr>
            <w:tcW w:w="1247" w:type="dxa"/>
            <w:tcBorders>
              <w:top w:val="nil"/>
              <w:left w:val="nil"/>
              <w:bottom w:val="nil"/>
              <w:right w:val="nil"/>
            </w:tcBorders>
            <w:vAlign w:val="bottom"/>
          </w:tcPr>
          <w:p w14:paraId="2A469109" w14:textId="054E0AF7" w:rsidR="00A26814" w:rsidRPr="00A44829" w:rsidRDefault="00A26814" w:rsidP="003E2D55">
            <w:pPr>
              <w:spacing w:before="40" w:after="40"/>
              <w:jc w:val="right"/>
              <w:rPr>
                <w:rFonts w:cs="Arial"/>
                <w:b/>
                <w:sz w:val="18"/>
                <w:szCs w:val="18"/>
              </w:rPr>
            </w:pPr>
            <w:r w:rsidRPr="00A44829">
              <w:rPr>
                <w:rFonts w:cs="Arial"/>
                <w:b/>
                <w:sz w:val="18"/>
                <w:szCs w:val="18"/>
              </w:rPr>
              <w:t>1,541</w:t>
            </w:r>
          </w:p>
        </w:tc>
        <w:tc>
          <w:tcPr>
            <w:tcW w:w="1247" w:type="dxa"/>
            <w:tcBorders>
              <w:top w:val="nil"/>
              <w:left w:val="nil"/>
              <w:bottom w:val="nil"/>
              <w:right w:val="nil"/>
            </w:tcBorders>
            <w:shd w:val="clear" w:color="auto" w:fill="auto"/>
            <w:vAlign w:val="bottom"/>
          </w:tcPr>
          <w:p w14:paraId="7036DF6E" w14:textId="1E076A84" w:rsidR="00A26814" w:rsidRPr="00A44829" w:rsidRDefault="00A26814" w:rsidP="003E2D55">
            <w:pPr>
              <w:spacing w:before="40" w:after="40"/>
              <w:jc w:val="right"/>
              <w:rPr>
                <w:rFonts w:cs="Arial"/>
                <w:b/>
                <w:sz w:val="18"/>
                <w:szCs w:val="18"/>
              </w:rPr>
            </w:pPr>
            <w:r w:rsidRPr="00A44829">
              <w:rPr>
                <w:rFonts w:cs="Arial"/>
                <w:b/>
                <w:sz w:val="18"/>
                <w:szCs w:val="18"/>
              </w:rPr>
              <w:t>662</w:t>
            </w:r>
          </w:p>
        </w:tc>
        <w:tc>
          <w:tcPr>
            <w:tcW w:w="1021" w:type="dxa"/>
            <w:tcBorders>
              <w:top w:val="nil"/>
              <w:left w:val="nil"/>
              <w:bottom w:val="nil"/>
              <w:right w:val="nil"/>
            </w:tcBorders>
            <w:shd w:val="clear" w:color="auto" w:fill="auto"/>
            <w:vAlign w:val="bottom"/>
          </w:tcPr>
          <w:p w14:paraId="04268503" w14:textId="1D8E1A0E" w:rsidR="00A26814" w:rsidRPr="00A44829" w:rsidRDefault="00A26814" w:rsidP="003E2D55">
            <w:pPr>
              <w:spacing w:before="40" w:after="40"/>
              <w:jc w:val="right"/>
              <w:rPr>
                <w:rFonts w:cs="Arial"/>
                <w:sz w:val="18"/>
                <w:szCs w:val="18"/>
              </w:rPr>
            </w:pPr>
            <w:r w:rsidRPr="00A44829">
              <w:rPr>
                <w:rFonts w:cs="Arial"/>
                <w:sz w:val="18"/>
                <w:szCs w:val="18"/>
              </w:rPr>
              <w:t>399</w:t>
            </w:r>
          </w:p>
        </w:tc>
        <w:tc>
          <w:tcPr>
            <w:tcW w:w="1021" w:type="dxa"/>
            <w:tcBorders>
              <w:top w:val="nil"/>
              <w:left w:val="nil"/>
              <w:bottom w:val="nil"/>
              <w:right w:val="nil"/>
            </w:tcBorders>
            <w:shd w:val="clear" w:color="auto" w:fill="auto"/>
            <w:vAlign w:val="bottom"/>
          </w:tcPr>
          <w:p w14:paraId="54C975EB" w14:textId="6F8A453A" w:rsidR="00A26814" w:rsidRPr="00A44829" w:rsidRDefault="00A26814" w:rsidP="003E2D55">
            <w:pPr>
              <w:spacing w:before="40" w:after="40"/>
              <w:jc w:val="right"/>
              <w:rPr>
                <w:rFonts w:cs="Arial"/>
                <w:sz w:val="18"/>
                <w:szCs w:val="18"/>
              </w:rPr>
            </w:pPr>
            <w:r w:rsidRPr="00A44829">
              <w:rPr>
                <w:rFonts w:cs="Arial"/>
                <w:sz w:val="18"/>
                <w:szCs w:val="18"/>
              </w:rPr>
              <w:t>13,546</w:t>
            </w:r>
          </w:p>
        </w:tc>
      </w:tr>
      <w:tr w:rsidR="00A26814" w:rsidRPr="00A44829" w14:paraId="3E34138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56B6121" w14:textId="77777777" w:rsidR="00A26814" w:rsidRPr="00A44829" w:rsidRDefault="00A26814" w:rsidP="003E2D55">
            <w:pPr>
              <w:spacing w:before="40" w:after="40"/>
              <w:rPr>
                <w:rFonts w:cs="Arial"/>
                <w:sz w:val="18"/>
                <w:szCs w:val="18"/>
              </w:rPr>
            </w:pPr>
            <w:r w:rsidRPr="00A44829">
              <w:rPr>
                <w:rFonts w:cs="Arial"/>
                <w:sz w:val="18"/>
                <w:szCs w:val="18"/>
              </w:rPr>
              <w:t>Casey C</w:t>
            </w:r>
          </w:p>
        </w:tc>
        <w:tc>
          <w:tcPr>
            <w:tcW w:w="1134" w:type="dxa"/>
            <w:tcBorders>
              <w:top w:val="nil"/>
              <w:left w:val="single" w:sz="18" w:space="0" w:color="5F497A" w:themeColor="accent4" w:themeShade="BF"/>
              <w:bottom w:val="nil"/>
              <w:right w:val="nil"/>
            </w:tcBorders>
            <w:shd w:val="clear" w:color="auto" w:fill="auto"/>
            <w:vAlign w:val="bottom"/>
          </w:tcPr>
          <w:p w14:paraId="7379F4F8" w14:textId="268EC07A" w:rsidR="00A26814" w:rsidRPr="00A44829" w:rsidRDefault="00A26814" w:rsidP="003E2D55">
            <w:pPr>
              <w:spacing w:before="40" w:after="40"/>
              <w:jc w:val="right"/>
              <w:rPr>
                <w:rFonts w:cs="Arial"/>
                <w:sz w:val="18"/>
                <w:szCs w:val="18"/>
              </w:rPr>
            </w:pPr>
            <w:r w:rsidRPr="00A44829">
              <w:rPr>
                <w:rFonts w:cs="Arial"/>
                <w:sz w:val="18"/>
                <w:szCs w:val="18"/>
              </w:rPr>
              <w:t>1,404</w:t>
            </w:r>
          </w:p>
        </w:tc>
        <w:tc>
          <w:tcPr>
            <w:tcW w:w="1134" w:type="dxa"/>
            <w:tcBorders>
              <w:top w:val="nil"/>
              <w:left w:val="nil"/>
              <w:bottom w:val="nil"/>
              <w:right w:val="nil"/>
            </w:tcBorders>
            <w:vAlign w:val="bottom"/>
          </w:tcPr>
          <w:p w14:paraId="28B7C0F6" w14:textId="4D7ACC48" w:rsidR="00A26814" w:rsidRPr="00A44829" w:rsidRDefault="00A26814" w:rsidP="003E2D55">
            <w:pPr>
              <w:spacing w:before="40" w:after="40"/>
              <w:jc w:val="right"/>
              <w:rPr>
                <w:rFonts w:cs="Arial"/>
                <w:sz w:val="18"/>
                <w:szCs w:val="18"/>
              </w:rPr>
            </w:pPr>
            <w:r w:rsidRPr="00A44829">
              <w:rPr>
                <w:rFonts w:cs="Arial"/>
                <w:sz w:val="18"/>
                <w:szCs w:val="18"/>
              </w:rPr>
              <w:t>292</w:t>
            </w:r>
          </w:p>
        </w:tc>
        <w:tc>
          <w:tcPr>
            <w:tcW w:w="1247" w:type="dxa"/>
            <w:tcBorders>
              <w:top w:val="nil"/>
              <w:left w:val="nil"/>
              <w:bottom w:val="nil"/>
              <w:right w:val="nil"/>
            </w:tcBorders>
            <w:vAlign w:val="bottom"/>
          </w:tcPr>
          <w:p w14:paraId="2C726261" w14:textId="7AFBB654" w:rsidR="00A26814" w:rsidRPr="00A44829" w:rsidRDefault="00A26814" w:rsidP="003E2D55">
            <w:pPr>
              <w:spacing w:before="40" w:after="40"/>
              <w:jc w:val="right"/>
              <w:rPr>
                <w:rFonts w:cs="Arial"/>
                <w:b/>
                <w:sz w:val="18"/>
                <w:szCs w:val="18"/>
              </w:rPr>
            </w:pPr>
            <w:r w:rsidRPr="00A44829">
              <w:rPr>
                <w:rFonts w:cs="Arial"/>
                <w:b/>
                <w:sz w:val="18"/>
                <w:szCs w:val="18"/>
              </w:rPr>
              <w:t>1,695</w:t>
            </w:r>
          </w:p>
        </w:tc>
        <w:tc>
          <w:tcPr>
            <w:tcW w:w="1247" w:type="dxa"/>
            <w:tcBorders>
              <w:top w:val="nil"/>
              <w:left w:val="nil"/>
              <w:bottom w:val="nil"/>
              <w:right w:val="nil"/>
            </w:tcBorders>
            <w:shd w:val="clear" w:color="auto" w:fill="auto"/>
            <w:vAlign w:val="bottom"/>
          </w:tcPr>
          <w:p w14:paraId="3B34E1E1" w14:textId="258E9BFE" w:rsidR="00A26814" w:rsidRPr="00A44829" w:rsidRDefault="00A26814" w:rsidP="003E2D55">
            <w:pPr>
              <w:spacing w:before="40" w:after="40"/>
              <w:jc w:val="right"/>
              <w:rPr>
                <w:rFonts w:cs="Arial"/>
                <w:b/>
                <w:sz w:val="18"/>
                <w:szCs w:val="18"/>
              </w:rPr>
            </w:pPr>
            <w:r w:rsidRPr="00A44829">
              <w:rPr>
                <w:rFonts w:cs="Arial"/>
                <w:b/>
                <w:sz w:val="18"/>
                <w:szCs w:val="18"/>
              </w:rPr>
              <w:t>230</w:t>
            </w:r>
          </w:p>
        </w:tc>
        <w:tc>
          <w:tcPr>
            <w:tcW w:w="1021" w:type="dxa"/>
            <w:tcBorders>
              <w:top w:val="nil"/>
              <w:left w:val="nil"/>
              <w:bottom w:val="nil"/>
              <w:right w:val="nil"/>
            </w:tcBorders>
            <w:shd w:val="clear" w:color="auto" w:fill="auto"/>
            <w:vAlign w:val="bottom"/>
          </w:tcPr>
          <w:p w14:paraId="76CA48E1" w14:textId="6B033344" w:rsidR="00A26814" w:rsidRPr="00A44829" w:rsidRDefault="00A26814" w:rsidP="003E2D55">
            <w:pPr>
              <w:spacing w:before="40" w:after="40"/>
              <w:jc w:val="right"/>
              <w:rPr>
                <w:rFonts w:cs="Arial"/>
                <w:sz w:val="18"/>
                <w:szCs w:val="18"/>
              </w:rPr>
            </w:pPr>
            <w:r w:rsidRPr="00A44829">
              <w:rPr>
                <w:rFonts w:cs="Arial"/>
                <w:sz w:val="18"/>
                <w:szCs w:val="18"/>
              </w:rPr>
              <w:t>0</w:t>
            </w:r>
          </w:p>
        </w:tc>
        <w:tc>
          <w:tcPr>
            <w:tcW w:w="1021" w:type="dxa"/>
            <w:tcBorders>
              <w:top w:val="nil"/>
              <w:left w:val="nil"/>
              <w:bottom w:val="nil"/>
              <w:right w:val="nil"/>
            </w:tcBorders>
            <w:shd w:val="clear" w:color="auto" w:fill="auto"/>
            <w:vAlign w:val="bottom"/>
          </w:tcPr>
          <w:p w14:paraId="495ADF44" w14:textId="74D2A94B" w:rsidR="00A26814" w:rsidRPr="00A44829" w:rsidRDefault="00A26814" w:rsidP="003E2D55">
            <w:pPr>
              <w:spacing w:before="40" w:after="40"/>
              <w:jc w:val="right"/>
              <w:rPr>
                <w:rFonts w:cs="Arial"/>
                <w:sz w:val="18"/>
                <w:szCs w:val="18"/>
              </w:rPr>
            </w:pPr>
            <w:r w:rsidRPr="00A44829">
              <w:rPr>
                <w:rFonts w:cs="Arial"/>
                <w:sz w:val="18"/>
                <w:szCs w:val="18"/>
              </w:rPr>
              <w:t>3,811</w:t>
            </w:r>
          </w:p>
        </w:tc>
      </w:tr>
      <w:tr w:rsidR="00A26814" w:rsidRPr="00A44829" w14:paraId="563C0D7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EDE54D2" w14:textId="77777777" w:rsidR="00A26814" w:rsidRPr="00A44829" w:rsidRDefault="00A26814" w:rsidP="003E2D55">
            <w:pPr>
              <w:spacing w:before="40" w:after="40"/>
              <w:rPr>
                <w:rFonts w:cs="Arial"/>
                <w:sz w:val="18"/>
                <w:szCs w:val="18"/>
              </w:rPr>
            </w:pPr>
            <w:r w:rsidRPr="00A44829">
              <w:rPr>
                <w:rFonts w:cs="Arial"/>
                <w:sz w:val="18"/>
                <w:szCs w:val="18"/>
              </w:rPr>
              <w:t>Central Goldfields S</w:t>
            </w:r>
          </w:p>
        </w:tc>
        <w:tc>
          <w:tcPr>
            <w:tcW w:w="1134" w:type="dxa"/>
            <w:tcBorders>
              <w:top w:val="nil"/>
              <w:left w:val="single" w:sz="18" w:space="0" w:color="5F497A" w:themeColor="accent4" w:themeShade="BF"/>
              <w:bottom w:val="nil"/>
              <w:right w:val="nil"/>
            </w:tcBorders>
            <w:shd w:val="clear" w:color="auto" w:fill="auto"/>
            <w:vAlign w:val="bottom"/>
          </w:tcPr>
          <w:p w14:paraId="6268E543" w14:textId="50B58A2C" w:rsidR="00A26814" w:rsidRPr="00A44829" w:rsidRDefault="00A26814" w:rsidP="003E2D55">
            <w:pPr>
              <w:spacing w:before="40" w:after="40"/>
              <w:jc w:val="right"/>
              <w:rPr>
                <w:rFonts w:cs="Arial"/>
                <w:sz w:val="18"/>
                <w:szCs w:val="18"/>
              </w:rPr>
            </w:pPr>
            <w:r w:rsidRPr="00A44829">
              <w:rPr>
                <w:rFonts w:cs="Arial"/>
                <w:sz w:val="18"/>
                <w:szCs w:val="18"/>
              </w:rPr>
              <w:t>128</w:t>
            </w:r>
          </w:p>
        </w:tc>
        <w:tc>
          <w:tcPr>
            <w:tcW w:w="1134" w:type="dxa"/>
            <w:tcBorders>
              <w:top w:val="nil"/>
              <w:left w:val="nil"/>
              <w:bottom w:val="nil"/>
              <w:right w:val="nil"/>
            </w:tcBorders>
            <w:vAlign w:val="bottom"/>
          </w:tcPr>
          <w:p w14:paraId="6D30279C" w14:textId="5F82916D" w:rsidR="00A26814" w:rsidRPr="00A44829" w:rsidRDefault="00A26814" w:rsidP="003E2D55">
            <w:pPr>
              <w:spacing w:before="40" w:after="40"/>
              <w:jc w:val="right"/>
              <w:rPr>
                <w:rFonts w:cs="Arial"/>
                <w:sz w:val="18"/>
                <w:szCs w:val="18"/>
              </w:rPr>
            </w:pPr>
            <w:r w:rsidRPr="00A44829">
              <w:rPr>
                <w:rFonts w:cs="Arial"/>
                <w:sz w:val="18"/>
                <w:szCs w:val="18"/>
              </w:rPr>
              <w:t>1,152</w:t>
            </w:r>
          </w:p>
        </w:tc>
        <w:tc>
          <w:tcPr>
            <w:tcW w:w="1247" w:type="dxa"/>
            <w:tcBorders>
              <w:top w:val="nil"/>
              <w:left w:val="nil"/>
              <w:bottom w:val="nil"/>
              <w:right w:val="nil"/>
            </w:tcBorders>
            <w:vAlign w:val="bottom"/>
          </w:tcPr>
          <w:p w14:paraId="6B6C7791" w14:textId="2F11DB77" w:rsidR="00A26814" w:rsidRPr="00A44829" w:rsidRDefault="00A26814" w:rsidP="003E2D55">
            <w:pPr>
              <w:spacing w:before="40" w:after="40"/>
              <w:jc w:val="right"/>
              <w:rPr>
                <w:rFonts w:cs="Arial"/>
                <w:b/>
                <w:sz w:val="18"/>
                <w:szCs w:val="18"/>
              </w:rPr>
            </w:pPr>
            <w:r w:rsidRPr="00A44829">
              <w:rPr>
                <w:rFonts w:cs="Arial"/>
                <w:b/>
                <w:sz w:val="18"/>
                <w:szCs w:val="18"/>
              </w:rPr>
              <w:t>1,280</w:t>
            </w:r>
          </w:p>
        </w:tc>
        <w:tc>
          <w:tcPr>
            <w:tcW w:w="1247" w:type="dxa"/>
            <w:tcBorders>
              <w:top w:val="nil"/>
              <w:left w:val="nil"/>
              <w:bottom w:val="nil"/>
              <w:right w:val="nil"/>
            </w:tcBorders>
            <w:shd w:val="clear" w:color="auto" w:fill="auto"/>
            <w:vAlign w:val="bottom"/>
          </w:tcPr>
          <w:p w14:paraId="3B33E518" w14:textId="5B1D280A" w:rsidR="00A26814" w:rsidRPr="00A44829" w:rsidRDefault="00A26814" w:rsidP="003E2D55">
            <w:pPr>
              <w:spacing w:before="40" w:after="40"/>
              <w:jc w:val="right"/>
              <w:rPr>
                <w:rFonts w:cs="Arial"/>
                <w:b/>
                <w:sz w:val="18"/>
                <w:szCs w:val="18"/>
              </w:rPr>
            </w:pPr>
            <w:r w:rsidRPr="00A44829">
              <w:rPr>
                <w:rFonts w:cs="Arial"/>
                <w:b/>
                <w:sz w:val="18"/>
                <w:szCs w:val="18"/>
              </w:rPr>
              <w:t>276</w:t>
            </w:r>
          </w:p>
        </w:tc>
        <w:tc>
          <w:tcPr>
            <w:tcW w:w="1021" w:type="dxa"/>
            <w:tcBorders>
              <w:top w:val="nil"/>
              <w:left w:val="nil"/>
              <w:bottom w:val="nil"/>
              <w:right w:val="nil"/>
            </w:tcBorders>
            <w:shd w:val="clear" w:color="auto" w:fill="auto"/>
            <w:vAlign w:val="bottom"/>
          </w:tcPr>
          <w:p w14:paraId="50E8A774" w14:textId="0895F03D" w:rsidR="00A26814" w:rsidRPr="00A44829" w:rsidRDefault="00A26814" w:rsidP="003E2D55">
            <w:pPr>
              <w:spacing w:before="40" w:after="40"/>
              <w:jc w:val="right"/>
              <w:rPr>
                <w:rFonts w:cs="Arial"/>
                <w:sz w:val="18"/>
                <w:szCs w:val="18"/>
              </w:rPr>
            </w:pPr>
            <w:r w:rsidRPr="00A44829">
              <w:rPr>
                <w:rFonts w:cs="Arial"/>
                <w:sz w:val="18"/>
                <w:szCs w:val="18"/>
              </w:rPr>
              <w:t>0</w:t>
            </w:r>
          </w:p>
        </w:tc>
        <w:tc>
          <w:tcPr>
            <w:tcW w:w="1021" w:type="dxa"/>
            <w:tcBorders>
              <w:top w:val="nil"/>
              <w:left w:val="nil"/>
              <w:bottom w:val="nil"/>
              <w:right w:val="nil"/>
            </w:tcBorders>
            <w:shd w:val="clear" w:color="auto" w:fill="auto"/>
            <w:vAlign w:val="bottom"/>
          </w:tcPr>
          <w:p w14:paraId="086CEFE6" w14:textId="7B2DF726" w:rsidR="00A26814" w:rsidRPr="00A44829" w:rsidRDefault="00A26814" w:rsidP="003E2D55">
            <w:pPr>
              <w:spacing w:before="40" w:after="40"/>
              <w:jc w:val="right"/>
              <w:rPr>
                <w:rFonts w:cs="Arial"/>
                <w:sz w:val="18"/>
                <w:szCs w:val="18"/>
              </w:rPr>
            </w:pPr>
            <w:r w:rsidRPr="00A44829">
              <w:rPr>
                <w:rFonts w:cs="Arial"/>
                <w:sz w:val="18"/>
                <w:szCs w:val="18"/>
              </w:rPr>
              <w:t>11,821</w:t>
            </w:r>
          </w:p>
        </w:tc>
      </w:tr>
      <w:tr w:rsidR="00A26814" w:rsidRPr="00A44829" w14:paraId="2BA531C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8DD6FF0" w14:textId="77777777" w:rsidR="00A26814" w:rsidRPr="00A44829" w:rsidRDefault="00A26814" w:rsidP="003E2D55">
            <w:pPr>
              <w:spacing w:before="40" w:after="40"/>
              <w:rPr>
                <w:rFonts w:cs="Arial"/>
                <w:sz w:val="18"/>
                <w:szCs w:val="18"/>
              </w:rPr>
            </w:pPr>
            <w:r w:rsidRPr="00A44829">
              <w:rPr>
                <w:rFonts w:cs="Arial"/>
                <w:sz w:val="18"/>
                <w:szCs w:val="18"/>
              </w:rPr>
              <w:t>Colac Otway S</w:t>
            </w:r>
          </w:p>
        </w:tc>
        <w:tc>
          <w:tcPr>
            <w:tcW w:w="1134" w:type="dxa"/>
            <w:tcBorders>
              <w:top w:val="nil"/>
              <w:left w:val="single" w:sz="18" w:space="0" w:color="5F497A" w:themeColor="accent4" w:themeShade="BF"/>
              <w:bottom w:val="nil"/>
              <w:right w:val="nil"/>
            </w:tcBorders>
            <w:shd w:val="clear" w:color="auto" w:fill="auto"/>
            <w:vAlign w:val="bottom"/>
          </w:tcPr>
          <w:p w14:paraId="421C1EA2" w14:textId="2D6F6657" w:rsidR="00A26814" w:rsidRPr="00A44829" w:rsidRDefault="00A26814" w:rsidP="003E2D55">
            <w:pPr>
              <w:spacing w:before="40" w:after="40"/>
              <w:jc w:val="right"/>
              <w:rPr>
                <w:rFonts w:cs="Arial"/>
                <w:sz w:val="18"/>
                <w:szCs w:val="18"/>
              </w:rPr>
            </w:pPr>
            <w:r w:rsidRPr="00A44829">
              <w:rPr>
                <w:rFonts w:cs="Arial"/>
                <w:sz w:val="18"/>
                <w:szCs w:val="18"/>
              </w:rPr>
              <w:t>183</w:t>
            </w:r>
          </w:p>
        </w:tc>
        <w:tc>
          <w:tcPr>
            <w:tcW w:w="1134" w:type="dxa"/>
            <w:tcBorders>
              <w:top w:val="nil"/>
              <w:left w:val="nil"/>
              <w:bottom w:val="nil"/>
              <w:right w:val="nil"/>
            </w:tcBorders>
            <w:vAlign w:val="bottom"/>
          </w:tcPr>
          <w:p w14:paraId="4BCFFB87" w14:textId="25B5E30F" w:rsidR="00A26814" w:rsidRPr="00A44829" w:rsidRDefault="00A26814" w:rsidP="003E2D55">
            <w:pPr>
              <w:spacing w:before="40" w:after="40"/>
              <w:jc w:val="right"/>
              <w:rPr>
                <w:rFonts w:cs="Arial"/>
                <w:sz w:val="18"/>
                <w:szCs w:val="18"/>
              </w:rPr>
            </w:pPr>
            <w:r w:rsidRPr="00A44829">
              <w:rPr>
                <w:rFonts w:cs="Arial"/>
                <w:sz w:val="18"/>
                <w:szCs w:val="18"/>
              </w:rPr>
              <w:t>1,445</w:t>
            </w:r>
          </w:p>
        </w:tc>
        <w:tc>
          <w:tcPr>
            <w:tcW w:w="1247" w:type="dxa"/>
            <w:tcBorders>
              <w:top w:val="nil"/>
              <w:left w:val="nil"/>
              <w:bottom w:val="nil"/>
              <w:right w:val="nil"/>
            </w:tcBorders>
            <w:vAlign w:val="bottom"/>
          </w:tcPr>
          <w:p w14:paraId="04F1393F" w14:textId="4DD48CEA" w:rsidR="00A26814" w:rsidRPr="00A44829" w:rsidRDefault="00A26814" w:rsidP="003E2D55">
            <w:pPr>
              <w:spacing w:before="40" w:after="40"/>
              <w:jc w:val="right"/>
              <w:rPr>
                <w:rFonts w:cs="Arial"/>
                <w:b/>
                <w:sz w:val="18"/>
                <w:szCs w:val="18"/>
              </w:rPr>
            </w:pPr>
            <w:r w:rsidRPr="00A44829">
              <w:rPr>
                <w:rFonts w:cs="Arial"/>
                <w:b/>
                <w:sz w:val="18"/>
                <w:szCs w:val="18"/>
              </w:rPr>
              <w:t>1,628</w:t>
            </w:r>
          </w:p>
        </w:tc>
        <w:tc>
          <w:tcPr>
            <w:tcW w:w="1247" w:type="dxa"/>
            <w:tcBorders>
              <w:top w:val="nil"/>
              <w:left w:val="nil"/>
              <w:bottom w:val="nil"/>
              <w:right w:val="nil"/>
            </w:tcBorders>
            <w:shd w:val="clear" w:color="auto" w:fill="auto"/>
            <w:vAlign w:val="bottom"/>
          </w:tcPr>
          <w:p w14:paraId="352DD923" w14:textId="6E2EDE5F" w:rsidR="00A26814" w:rsidRPr="00A44829" w:rsidRDefault="00A26814" w:rsidP="003E2D55">
            <w:pPr>
              <w:spacing w:before="40" w:after="40"/>
              <w:jc w:val="right"/>
              <w:rPr>
                <w:rFonts w:cs="Arial"/>
                <w:b/>
                <w:sz w:val="18"/>
                <w:szCs w:val="18"/>
              </w:rPr>
            </w:pPr>
            <w:r w:rsidRPr="00A44829">
              <w:rPr>
                <w:rFonts w:cs="Arial"/>
                <w:b/>
                <w:sz w:val="18"/>
                <w:szCs w:val="18"/>
              </w:rPr>
              <w:t>588</w:t>
            </w:r>
          </w:p>
        </w:tc>
        <w:tc>
          <w:tcPr>
            <w:tcW w:w="1021" w:type="dxa"/>
            <w:tcBorders>
              <w:top w:val="nil"/>
              <w:left w:val="nil"/>
              <w:bottom w:val="nil"/>
              <w:right w:val="nil"/>
            </w:tcBorders>
            <w:shd w:val="clear" w:color="auto" w:fill="auto"/>
            <w:vAlign w:val="bottom"/>
          </w:tcPr>
          <w:p w14:paraId="3AEFF6D8" w14:textId="1715DBE6" w:rsidR="00A26814" w:rsidRPr="00A44829" w:rsidRDefault="00A26814" w:rsidP="003E2D55">
            <w:pPr>
              <w:spacing w:before="40" w:after="40"/>
              <w:jc w:val="right"/>
              <w:rPr>
                <w:rFonts w:cs="Arial"/>
                <w:sz w:val="18"/>
                <w:szCs w:val="18"/>
              </w:rPr>
            </w:pPr>
            <w:r w:rsidRPr="00A44829">
              <w:rPr>
                <w:rFonts w:cs="Arial"/>
                <w:sz w:val="18"/>
                <w:szCs w:val="18"/>
              </w:rPr>
              <w:t>990</w:t>
            </w:r>
          </w:p>
        </w:tc>
        <w:tc>
          <w:tcPr>
            <w:tcW w:w="1021" w:type="dxa"/>
            <w:tcBorders>
              <w:top w:val="nil"/>
              <w:left w:val="nil"/>
              <w:bottom w:val="nil"/>
              <w:right w:val="nil"/>
            </w:tcBorders>
            <w:shd w:val="clear" w:color="auto" w:fill="auto"/>
            <w:vAlign w:val="bottom"/>
          </w:tcPr>
          <w:p w14:paraId="22DDA239" w14:textId="3CA1C3EC" w:rsidR="00A26814" w:rsidRPr="00A44829" w:rsidRDefault="00A26814" w:rsidP="003E2D55">
            <w:pPr>
              <w:spacing w:before="40" w:after="40"/>
              <w:jc w:val="right"/>
              <w:rPr>
                <w:rFonts w:cs="Arial"/>
                <w:sz w:val="18"/>
                <w:szCs w:val="18"/>
              </w:rPr>
            </w:pPr>
            <w:r w:rsidRPr="00A44829">
              <w:rPr>
                <w:rFonts w:cs="Arial"/>
                <w:sz w:val="18"/>
                <w:szCs w:val="18"/>
              </w:rPr>
              <w:t>5,771</w:t>
            </w:r>
          </w:p>
        </w:tc>
      </w:tr>
      <w:tr w:rsidR="00A26814" w:rsidRPr="00A44829" w14:paraId="1B1EE3C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B74A883" w14:textId="77777777" w:rsidR="00A26814" w:rsidRPr="00A44829" w:rsidRDefault="00A26814" w:rsidP="003E2D55">
            <w:pPr>
              <w:spacing w:before="40" w:after="40"/>
              <w:rPr>
                <w:rFonts w:cs="Arial"/>
                <w:sz w:val="18"/>
                <w:szCs w:val="18"/>
              </w:rPr>
            </w:pPr>
            <w:r w:rsidRPr="00A44829">
              <w:rPr>
                <w:rFonts w:cs="Arial"/>
                <w:sz w:val="18"/>
                <w:szCs w:val="18"/>
              </w:rPr>
              <w:t>Corangamite S</w:t>
            </w:r>
          </w:p>
        </w:tc>
        <w:tc>
          <w:tcPr>
            <w:tcW w:w="1134" w:type="dxa"/>
            <w:tcBorders>
              <w:top w:val="nil"/>
              <w:left w:val="single" w:sz="18" w:space="0" w:color="5F497A" w:themeColor="accent4" w:themeShade="BF"/>
              <w:bottom w:val="nil"/>
              <w:right w:val="nil"/>
            </w:tcBorders>
            <w:shd w:val="clear" w:color="auto" w:fill="auto"/>
            <w:vAlign w:val="bottom"/>
          </w:tcPr>
          <w:p w14:paraId="4571B362" w14:textId="24E60582" w:rsidR="00A26814" w:rsidRPr="00A44829" w:rsidRDefault="00A26814" w:rsidP="003E2D55">
            <w:pPr>
              <w:spacing w:before="40" w:after="40"/>
              <w:jc w:val="right"/>
              <w:rPr>
                <w:rFonts w:cs="Arial"/>
                <w:sz w:val="18"/>
                <w:szCs w:val="18"/>
              </w:rPr>
            </w:pPr>
            <w:r w:rsidRPr="00A44829">
              <w:rPr>
                <w:rFonts w:cs="Arial"/>
                <w:sz w:val="18"/>
                <w:szCs w:val="18"/>
              </w:rPr>
              <w:t>187</w:t>
            </w:r>
          </w:p>
        </w:tc>
        <w:tc>
          <w:tcPr>
            <w:tcW w:w="1134" w:type="dxa"/>
            <w:tcBorders>
              <w:top w:val="nil"/>
              <w:left w:val="nil"/>
              <w:bottom w:val="nil"/>
              <w:right w:val="nil"/>
            </w:tcBorders>
            <w:vAlign w:val="bottom"/>
          </w:tcPr>
          <w:p w14:paraId="35FB91F1" w14:textId="276E1EB9" w:rsidR="00A26814" w:rsidRPr="00A44829" w:rsidRDefault="00A26814" w:rsidP="003E2D55">
            <w:pPr>
              <w:spacing w:before="40" w:after="40"/>
              <w:jc w:val="right"/>
              <w:rPr>
                <w:rFonts w:cs="Arial"/>
                <w:sz w:val="18"/>
                <w:szCs w:val="18"/>
              </w:rPr>
            </w:pPr>
            <w:r w:rsidRPr="00A44829">
              <w:rPr>
                <w:rFonts w:cs="Arial"/>
                <w:sz w:val="18"/>
                <w:szCs w:val="18"/>
              </w:rPr>
              <w:t>2,181</w:t>
            </w:r>
          </w:p>
        </w:tc>
        <w:tc>
          <w:tcPr>
            <w:tcW w:w="1247" w:type="dxa"/>
            <w:tcBorders>
              <w:top w:val="nil"/>
              <w:left w:val="nil"/>
              <w:bottom w:val="nil"/>
              <w:right w:val="nil"/>
            </w:tcBorders>
            <w:vAlign w:val="bottom"/>
          </w:tcPr>
          <w:p w14:paraId="0F1A8E24" w14:textId="469D7885" w:rsidR="00A26814" w:rsidRPr="00A44829" w:rsidRDefault="00A26814" w:rsidP="003E2D55">
            <w:pPr>
              <w:spacing w:before="40" w:after="40"/>
              <w:jc w:val="right"/>
              <w:rPr>
                <w:rFonts w:cs="Arial"/>
                <w:b/>
                <w:sz w:val="18"/>
                <w:szCs w:val="18"/>
              </w:rPr>
            </w:pPr>
            <w:r w:rsidRPr="00A44829">
              <w:rPr>
                <w:rFonts w:cs="Arial"/>
                <w:b/>
                <w:sz w:val="18"/>
                <w:szCs w:val="18"/>
              </w:rPr>
              <w:t>2,368</w:t>
            </w:r>
          </w:p>
        </w:tc>
        <w:tc>
          <w:tcPr>
            <w:tcW w:w="1247" w:type="dxa"/>
            <w:tcBorders>
              <w:top w:val="nil"/>
              <w:left w:val="nil"/>
              <w:bottom w:val="nil"/>
              <w:right w:val="nil"/>
            </w:tcBorders>
            <w:shd w:val="clear" w:color="auto" w:fill="auto"/>
            <w:vAlign w:val="bottom"/>
          </w:tcPr>
          <w:p w14:paraId="08CBA86A" w14:textId="222573F0" w:rsidR="00A26814" w:rsidRPr="00A44829" w:rsidRDefault="00A26814" w:rsidP="003E2D55">
            <w:pPr>
              <w:spacing w:before="40" w:after="40"/>
              <w:jc w:val="right"/>
              <w:rPr>
                <w:rFonts w:cs="Arial"/>
                <w:b/>
                <w:sz w:val="18"/>
                <w:szCs w:val="18"/>
              </w:rPr>
            </w:pPr>
            <w:r w:rsidRPr="00A44829">
              <w:rPr>
                <w:rFonts w:cs="Arial"/>
                <w:b/>
                <w:sz w:val="18"/>
                <w:szCs w:val="18"/>
              </w:rPr>
              <w:t>1,117</w:t>
            </w:r>
          </w:p>
        </w:tc>
        <w:tc>
          <w:tcPr>
            <w:tcW w:w="1021" w:type="dxa"/>
            <w:tcBorders>
              <w:top w:val="nil"/>
              <w:left w:val="nil"/>
              <w:bottom w:val="nil"/>
              <w:right w:val="nil"/>
            </w:tcBorders>
            <w:shd w:val="clear" w:color="auto" w:fill="auto"/>
            <w:vAlign w:val="bottom"/>
          </w:tcPr>
          <w:p w14:paraId="080899DE" w14:textId="11DD8E10" w:rsidR="00A26814" w:rsidRPr="00A44829" w:rsidRDefault="00A26814" w:rsidP="003E2D55">
            <w:pPr>
              <w:spacing w:before="40" w:after="40"/>
              <w:jc w:val="right"/>
              <w:rPr>
                <w:rFonts w:cs="Arial"/>
                <w:sz w:val="18"/>
                <w:szCs w:val="18"/>
              </w:rPr>
            </w:pPr>
            <w:r w:rsidRPr="00A44829">
              <w:rPr>
                <w:rFonts w:cs="Arial"/>
                <w:sz w:val="18"/>
                <w:szCs w:val="18"/>
              </w:rPr>
              <w:t>1,454</w:t>
            </w:r>
          </w:p>
        </w:tc>
        <w:tc>
          <w:tcPr>
            <w:tcW w:w="1021" w:type="dxa"/>
            <w:tcBorders>
              <w:top w:val="nil"/>
              <w:left w:val="nil"/>
              <w:bottom w:val="nil"/>
              <w:right w:val="nil"/>
            </w:tcBorders>
            <w:shd w:val="clear" w:color="auto" w:fill="auto"/>
            <w:vAlign w:val="bottom"/>
          </w:tcPr>
          <w:p w14:paraId="4D038555" w14:textId="7B9FC769" w:rsidR="00A26814" w:rsidRPr="00A44829" w:rsidRDefault="00A26814" w:rsidP="003E2D55">
            <w:pPr>
              <w:spacing w:before="40" w:after="40"/>
              <w:jc w:val="right"/>
              <w:rPr>
                <w:rFonts w:cs="Arial"/>
                <w:sz w:val="18"/>
                <w:szCs w:val="18"/>
              </w:rPr>
            </w:pPr>
            <w:r w:rsidRPr="00A44829">
              <w:rPr>
                <w:rFonts w:cs="Arial"/>
                <w:sz w:val="18"/>
                <w:szCs w:val="18"/>
              </w:rPr>
              <w:t>5,907</w:t>
            </w:r>
          </w:p>
        </w:tc>
      </w:tr>
      <w:tr w:rsidR="00A26814" w:rsidRPr="00A44829" w14:paraId="6252CC5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B13F660" w14:textId="77777777" w:rsidR="00A26814" w:rsidRPr="00A44829" w:rsidRDefault="00A26814" w:rsidP="003E2D55">
            <w:pPr>
              <w:spacing w:before="40" w:after="40"/>
              <w:rPr>
                <w:rFonts w:cs="Arial"/>
                <w:sz w:val="18"/>
                <w:szCs w:val="18"/>
              </w:rPr>
            </w:pPr>
            <w:r w:rsidRPr="00A44829">
              <w:rPr>
                <w:rFonts w:cs="Arial"/>
                <w:sz w:val="18"/>
                <w:szCs w:val="18"/>
              </w:rPr>
              <w:t>Darebin C</w:t>
            </w:r>
          </w:p>
        </w:tc>
        <w:tc>
          <w:tcPr>
            <w:tcW w:w="1134" w:type="dxa"/>
            <w:tcBorders>
              <w:top w:val="nil"/>
              <w:left w:val="single" w:sz="18" w:space="0" w:color="5F497A" w:themeColor="accent4" w:themeShade="BF"/>
              <w:bottom w:val="nil"/>
              <w:right w:val="nil"/>
            </w:tcBorders>
            <w:shd w:val="clear" w:color="auto" w:fill="auto"/>
            <w:vAlign w:val="bottom"/>
          </w:tcPr>
          <w:p w14:paraId="17DF6824" w14:textId="3BB211EA" w:rsidR="00A26814" w:rsidRPr="00A44829" w:rsidRDefault="00A26814" w:rsidP="003E2D55">
            <w:pPr>
              <w:spacing w:before="40" w:after="40"/>
              <w:jc w:val="right"/>
              <w:rPr>
                <w:rFonts w:cs="Arial"/>
                <w:sz w:val="18"/>
                <w:szCs w:val="18"/>
              </w:rPr>
            </w:pPr>
            <w:r w:rsidRPr="00A44829">
              <w:rPr>
                <w:rFonts w:cs="Arial"/>
                <w:sz w:val="18"/>
                <w:szCs w:val="18"/>
              </w:rPr>
              <w:t>514</w:t>
            </w:r>
          </w:p>
        </w:tc>
        <w:tc>
          <w:tcPr>
            <w:tcW w:w="1134" w:type="dxa"/>
            <w:tcBorders>
              <w:top w:val="nil"/>
              <w:left w:val="nil"/>
              <w:bottom w:val="nil"/>
              <w:right w:val="nil"/>
            </w:tcBorders>
            <w:vAlign w:val="bottom"/>
          </w:tcPr>
          <w:p w14:paraId="70AAE772" w14:textId="396600C5" w:rsidR="00A26814" w:rsidRPr="00A44829" w:rsidRDefault="00A26814" w:rsidP="003E2D55">
            <w:pPr>
              <w:spacing w:before="40" w:after="40"/>
              <w:jc w:val="right"/>
              <w:rPr>
                <w:rFonts w:cs="Arial"/>
                <w:sz w:val="18"/>
                <w:szCs w:val="18"/>
              </w:rPr>
            </w:pPr>
            <w:r w:rsidRPr="00A44829">
              <w:rPr>
                <w:rFonts w:cs="Arial"/>
                <w:sz w:val="18"/>
                <w:szCs w:val="18"/>
              </w:rPr>
              <w:t>0</w:t>
            </w:r>
          </w:p>
        </w:tc>
        <w:tc>
          <w:tcPr>
            <w:tcW w:w="1247" w:type="dxa"/>
            <w:tcBorders>
              <w:top w:val="nil"/>
              <w:left w:val="nil"/>
              <w:bottom w:val="nil"/>
              <w:right w:val="nil"/>
            </w:tcBorders>
            <w:vAlign w:val="bottom"/>
          </w:tcPr>
          <w:p w14:paraId="677DED5C" w14:textId="19385957" w:rsidR="00A26814" w:rsidRPr="00A44829" w:rsidRDefault="00A26814" w:rsidP="003E2D55">
            <w:pPr>
              <w:spacing w:before="40" w:after="40"/>
              <w:jc w:val="right"/>
              <w:rPr>
                <w:rFonts w:cs="Arial"/>
                <w:b/>
                <w:sz w:val="18"/>
                <w:szCs w:val="18"/>
              </w:rPr>
            </w:pPr>
            <w:r w:rsidRPr="00A44829">
              <w:rPr>
                <w:rFonts w:cs="Arial"/>
                <w:b/>
                <w:sz w:val="18"/>
                <w:szCs w:val="18"/>
              </w:rPr>
              <w:t>514</w:t>
            </w:r>
          </w:p>
        </w:tc>
        <w:tc>
          <w:tcPr>
            <w:tcW w:w="1247" w:type="dxa"/>
            <w:tcBorders>
              <w:top w:val="nil"/>
              <w:left w:val="nil"/>
              <w:bottom w:val="nil"/>
              <w:right w:val="nil"/>
            </w:tcBorders>
            <w:shd w:val="clear" w:color="auto" w:fill="auto"/>
            <w:vAlign w:val="bottom"/>
          </w:tcPr>
          <w:p w14:paraId="6507C074" w14:textId="21C814EE" w:rsidR="00A26814" w:rsidRPr="00A44829" w:rsidRDefault="00A26814" w:rsidP="003E2D55">
            <w:pPr>
              <w:spacing w:before="40" w:after="40"/>
              <w:jc w:val="right"/>
              <w:rPr>
                <w:rFonts w:cs="Arial"/>
                <w:b/>
                <w:sz w:val="18"/>
                <w:szCs w:val="18"/>
              </w:rPr>
            </w:pPr>
            <w:r w:rsidRPr="00A44829">
              <w:rPr>
                <w:rFonts w:cs="Arial"/>
                <w:b/>
                <w:sz w:val="18"/>
                <w:szCs w:val="18"/>
              </w:rPr>
              <w:t>103</w:t>
            </w:r>
          </w:p>
        </w:tc>
        <w:tc>
          <w:tcPr>
            <w:tcW w:w="1021" w:type="dxa"/>
            <w:tcBorders>
              <w:top w:val="nil"/>
              <w:left w:val="nil"/>
              <w:bottom w:val="nil"/>
              <w:right w:val="nil"/>
            </w:tcBorders>
            <w:shd w:val="clear" w:color="auto" w:fill="auto"/>
            <w:vAlign w:val="bottom"/>
          </w:tcPr>
          <w:p w14:paraId="756F20C4" w14:textId="13D7BC64" w:rsidR="00A26814" w:rsidRPr="00A44829" w:rsidRDefault="00A26814" w:rsidP="003E2D55">
            <w:pPr>
              <w:spacing w:before="40" w:after="40"/>
              <w:jc w:val="right"/>
              <w:rPr>
                <w:rFonts w:cs="Arial"/>
                <w:sz w:val="18"/>
                <w:szCs w:val="18"/>
              </w:rPr>
            </w:pPr>
            <w:r w:rsidRPr="00A44829">
              <w:rPr>
                <w:rFonts w:cs="Arial"/>
                <w:sz w:val="18"/>
                <w:szCs w:val="18"/>
              </w:rPr>
              <w:t>0</w:t>
            </w:r>
          </w:p>
        </w:tc>
        <w:tc>
          <w:tcPr>
            <w:tcW w:w="1021" w:type="dxa"/>
            <w:tcBorders>
              <w:top w:val="nil"/>
              <w:left w:val="nil"/>
              <w:bottom w:val="nil"/>
              <w:right w:val="nil"/>
            </w:tcBorders>
            <w:shd w:val="clear" w:color="auto" w:fill="auto"/>
            <w:vAlign w:val="bottom"/>
          </w:tcPr>
          <w:p w14:paraId="4348FE5B" w14:textId="5662F835" w:rsidR="00A26814" w:rsidRPr="00A44829" w:rsidRDefault="00A26814" w:rsidP="003E2D55">
            <w:pPr>
              <w:spacing w:before="40" w:after="40"/>
              <w:jc w:val="right"/>
              <w:rPr>
                <w:rFonts w:cs="Arial"/>
                <w:sz w:val="18"/>
                <w:szCs w:val="18"/>
              </w:rPr>
            </w:pPr>
            <w:r w:rsidRPr="00A44829">
              <w:rPr>
                <w:rFonts w:cs="Arial"/>
                <w:sz w:val="18"/>
                <w:szCs w:val="18"/>
              </w:rPr>
              <w:t>1,754</w:t>
            </w:r>
          </w:p>
        </w:tc>
      </w:tr>
      <w:tr w:rsidR="00A26814" w:rsidRPr="00A44829" w14:paraId="3584D1C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D75F2EF" w14:textId="77777777" w:rsidR="00A26814" w:rsidRPr="00A44829" w:rsidRDefault="00A26814" w:rsidP="003E2D55">
            <w:pPr>
              <w:spacing w:before="40" w:after="40"/>
              <w:rPr>
                <w:rFonts w:cs="Arial"/>
                <w:sz w:val="18"/>
                <w:szCs w:val="18"/>
              </w:rPr>
            </w:pPr>
            <w:r w:rsidRPr="00A44829">
              <w:rPr>
                <w:rFonts w:cs="Arial"/>
                <w:sz w:val="18"/>
                <w:szCs w:val="18"/>
              </w:rPr>
              <w:t>East Gippsland S</w:t>
            </w:r>
          </w:p>
        </w:tc>
        <w:tc>
          <w:tcPr>
            <w:tcW w:w="1134" w:type="dxa"/>
            <w:tcBorders>
              <w:top w:val="nil"/>
              <w:left w:val="single" w:sz="18" w:space="0" w:color="5F497A" w:themeColor="accent4" w:themeShade="BF"/>
              <w:bottom w:val="nil"/>
              <w:right w:val="nil"/>
            </w:tcBorders>
            <w:shd w:val="clear" w:color="auto" w:fill="auto"/>
            <w:vAlign w:val="bottom"/>
          </w:tcPr>
          <w:p w14:paraId="50F57FAF" w14:textId="2DD8E5B8" w:rsidR="00A26814" w:rsidRPr="00A44829" w:rsidRDefault="00A26814" w:rsidP="003E2D55">
            <w:pPr>
              <w:spacing w:before="40" w:after="40"/>
              <w:jc w:val="right"/>
              <w:rPr>
                <w:rFonts w:cs="Arial"/>
                <w:sz w:val="18"/>
                <w:szCs w:val="18"/>
              </w:rPr>
            </w:pPr>
            <w:r w:rsidRPr="00A44829">
              <w:rPr>
                <w:rFonts w:cs="Arial"/>
                <w:sz w:val="18"/>
                <w:szCs w:val="18"/>
              </w:rPr>
              <w:t>481</w:t>
            </w:r>
          </w:p>
        </w:tc>
        <w:tc>
          <w:tcPr>
            <w:tcW w:w="1134" w:type="dxa"/>
            <w:tcBorders>
              <w:top w:val="nil"/>
              <w:left w:val="nil"/>
              <w:bottom w:val="nil"/>
              <w:right w:val="nil"/>
            </w:tcBorders>
            <w:vAlign w:val="bottom"/>
          </w:tcPr>
          <w:p w14:paraId="753033A3" w14:textId="74F17CDC" w:rsidR="00A26814" w:rsidRPr="00A44829" w:rsidRDefault="00A26814" w:rsidP="003E2D55">
            <w:pPr>
              <w:spacing w:before="40" w:after="40"/>
              <w:jc w:val="right"/>
              <w:rPr>
                <w:rFonts w:cs="Arial"/>
                <w:sz w:val="18"/>
                <w:szCs w:val="18"/>
              </w:rPr>
            </w:pPr>
            <w:r w:rsidRPr="00A44829">
              <w:rPr>
                <w:rFonts w:cs="Arial"/>
                <w:sz w:val="18"/>
                <w:szCs w:val="18"/>
              </w:rPr>
              <w:t>2,487</w:t>
            </w:r>
          </w:p>
        </w:tc>
        <w:tc>
          <w:tcPr>
            <w:tcW w:w="1247" w:type="dxa"/>
            <w:tcBorders>
              <w:top w:val="nil"/>
              <w:left w:val="nil"/>
              <w:bottom w:val="nil"/>
              <w:right w:val="nil"/>
            </w:tcBorders>
            <w:vAlign w:val="bottom"/>
          </w:tcPr>
          <w:p w14:paraId="5539F6F7" w14:textId="6F500CE3" w:rsidR="00A26814" w:rsidRPr="00A44829" w:rsidRDefault="00A26814" w:rsidP="003E2D55">
            <w:pPr>
              <w:spacing w:before="40" w:after="40"/>
              <w:jc w:val="right"/>
              <w:rPr>
                <w:rFonts w:cs="Arial"/>
                <w:b/>
                <w:sz w:val="18"/>
                <w:szCs w:val="18"/>
              </w:rPr>
            </w:pPr>
            <w:r w:rsidRPr="00A44829">
              <w:rPr>
                <w:rFonts w:cs="Arial"/>
                <w:b/>
                <w:sz w:val="18"/>
                <w:szCs w:val="18"/>
              </w:rPr>
              <w:t>2,968</w:t>
            </w:r>
          </w:p>
        </w:tc>
        <w:tc>
          <w:tcPr>
            <w:tcW w:w="1247" w:type="dxa"/>
            <w:tcBorders>
              <w:top w:val="nil"/>
              <w:left w:val="nil"/>
              <w:bottom w:val="nil"/>
              <w:right w:val="nil"/>
            </w:tcBorders>
            <w:shd w:val="clear" w:color="auto" w:fill="auto"/>
            <w:vAlign w:val="bottom"/>
          </w:tcPr>
          <w:p w14:paraId="2BC43A39" w14:textId="6D0B622A" w:rsidR="00A26814" w:rsidRPr="00A44829" w:rsidRDefault="00A26814" w:rsidP="003E2D55">
            <w:pPr>
              <w:spacing w:before="40" w:after="40"/>
              <w:jc w:val="right"/>
              <w:rPr>
                <w:rFonts w:cs="Arial"/>
                <w:b/>
                <w:sz w:val="18"/>
                <w:szCs w:val="18"/>
              </w:rPr>
            </w:pPr>
            <w:r w:rsidRPr="00A44829">
              <w:rPr>
                <w:rFonts w:cs="Arial"/>
                <w:b/>
                <w:sz w:val="18"/>
                <w:szCs w:val="18"/>
              </w:rPr>
              <w:t>1,318</w:t>
            </w:r>
          </w:p>
        </w:tc>
        <w:tc>
          <w:tcPr>
            <w:tcW w:w="1021" w:type="dxa"/>
            <w:tcBorders>
              <w:top w:val="nil"/>
              <w:left w:val="nil"/>
              <w:bottom w:val="nil"/>
              <w:right w:val="nil"/>
            </w:tcBorders>
            <w:shd w:val="clear" w:color="auto" w:fill="auto"/>
            <w:vAlign w:val="bottom"/>
          </w:tcPr>
          <w:p w14:paraId="21FA640A" w14:textId="68C1CF47" w:rsidR="00A26814" w:rsidRPr="00A44829" w:rsidRDefault="00A26814" w:rsidP="003E2D55">
            <w:pPr>
              <w:spacing w:before="40" w:after="40"/>
              <w:jc w:val="right"/>
              <w:rPr>
                <w:rFonts w:cs="Arial"/>
                <w:sz w:val="18"/>
                <w:szCs w:val="18"/>
              </w:rPr>
            </w:pPr>
            <w:r w:rsidRPr="00A44829">
              <w:rPr>
                <w:rFonts w:cs="Arial"/>
                <w:sz w:val="18"/>
                <w:szCs w:val="18"/>
              </w:rPr>
              <w:t>3,935</w:t>
            </w:r>
          </w:p>
        </w:tc>
        <w:tc>
          <w:tcPr>
            <w:tcW w:w="1021" w:type="dxa"/>
            <w:tcBorders>
              <w:top w:val="nil"/>
              <w:left w:val="nil"/>
              <w:bottom w:val="nil"/>
              <w:right w:val="nil"/>
            </w:tcBorders>
            <w:shd w:val="clear" w:color="auto" w:fill="auto"/>
            <w:vAlign w:val="bottom"/>
          </w:tcPr>
          <w:p w14:paraId="1DDCAA7A" w14:textId="6E39D7E4" w:rsidR="00A26814" w:rsidRPr="00A44829" w:rsidRDefault="00A26814" w:rsidP="003E2D55">
            <w:pPr>
              <w:spacing w:before="40" w:after="40"/>
              <w:jc w:val="right"/>
              <w:rPr>
                <w:rFonts w:cs="Arial"/>
                <w:sz w:val="18"/>
                <w:szCs w:val="18"/>
              </w:rPr>
            </w:pPr>
            <w:r w:rsidRPr="00A44829">
              <w:rPr>
                <w:rFonts w:cs="Arial"/>
                <w:sz w:val="18"/>
                <w:szCs w:val="18"/>
              </w:rPr>
              <w:t>19,845</w:t>
            </w:r>
          </w:p>
        </w:tc>
      </w:tr>
      <w:tr w:rsidR="00A26814" w:rsidRPr="00A44829" w14:paraId="361AC51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3718A40" w14:textId="77777777" w:rsidR="00A26814" w:rsidRPr="00A44829" w:rsidRDefault="00A26814" w:rsidP="003E2D55">
            <w:pPr>
              <w:spacing w:before="40" w:after="40"/>
              <w:rPr>
                <w:rFonts w:cs="Arial"/>
                <w:sz w:val="18"/>
                <w:szCs w:val="18"/>
              </w:rPr>
            </w:pPr>
            <w:r w:rsidRPr="00A44829">
              <w:rPr>
                <w:rFonts w:cs="Arial"/>
                <w:sz w:val="18"/>
                <w:szCs w:val="18"/>
              </w:rPr>
              <w:t>Frankston C</w:t>
            </w:r>
          </w:p>
        </w:tc>
        <w:tc>
          <w:tcPr>
            <w:tcW w:w="1134" w:type="dxa"/>
            <w:tcBorders>
              <w:top w:val="nil"/>
              <w:left w:val="single" w:sz="18" w:space="0" w:color="5F497A" w:themeColor="accent4" w:themeShade="BF"/>
              <w:bottom w:val="nil"/>
              <w:right w:val="nil"/>
            </w:tcBorders>
            <w:shd w:val="clear" w:color="auto" w:fill="auto"/>
            <w:vAlign w:val="bottom"/>
          </w:tcPr>
          <w:p w14:paraId="75D19EDA" w14:textId="3C1C44C2" w:rsidR="00A26814" w:rsidRPr="00A44829" w:rsidRDefault="00A26814" w:rsidP="003E2D55">
            <w:pPr>
              <w:spacing w:before="40" w:after="40"/>
              <w:jc w:val="right"/>
              <w:rPr>
                <w:rFonts w:cs="Arial"/>
                <w:sz w:val="18"/>
                <w:szCs w:val="18"/>
              </w:rPr>
            </w:pPr>
            <w:r w:rsidRPr="00A44829">
              <w:rPr>
                <w:rFonts w:cs="Arial"/>
                <w:sz w:val="18"/>
                <w:szCs w:val="18"/>
              </w:rPr>
              <w:t>628</w:t>
            </w:r>
          </w:p>
        </w:tc>
        <w:tc>
          <w:tcPr>
            <w:tcW w:w="1134" w:type="dxa"/>
            <w:tcBorders>
              <w:top w:val="nil"/>
              <w:left w:val="nil"/>
              <w:bottom w:val="nil"/>
              <w:right w:val="nil"/>
            </w:tcBorders>
            <w:vAlign w:val="bottom"/>
          </w:tcPr>
          <w:p w14:paraId="05C7F6BA" w14:textId="238694EE" w:rsidR="00A26814" w:rsidRPr="00A44829" w:rsidRDefault="00A26814" w:rsidP="003E2D55">
            <w:pPr>
              <w:spacing w:before="40" w:after="40"/>
              <w:jc w:val="right"/>
              <w:rPr>
                <w:rFonts w:cs="Arial"/>
                <w:sz w:val="18"/>
                <w:szCs w:val="18"/>
              </w:rPr>
            </w:pPr>
            <w:r w:rsidRPr="00A44829">
              <w:rPr>
                <w:rFonts w:cs="Arial"/>
                <w:sz w:val="18"/>
                <w:szCs w:val="18"/>
              </w:rPr>
              <w:t>76</w:t>
            </w:r>
          </w:p>
        </w:tc>
        <w:tc>
          <w:tcPr>
            <w:tcW w:w="1247" w:type="dxa"/>
            <w:tcBorders>
              <w:top w:val="nil"/>
              <w:left w:val="nil"/>
              <w:bottom w:val="nil"/>
              <w:right w:val="nil"/>
            </w:tcBorders>
            <w:vAlign w:val="bottom"/>
          </w:tcPr>
          <w:p w14:paraId="6350F5D7" w14:textId="7D0C28C0" w:rsidR="00A26814" w:rsidRPr="00A44829" w:rsidRDefault="00A26814" w:rsidP="003E2D55">
            <w:pPr>
              <w:spacing w:before="40" w:after="40"/>
              <w:jc w:val="right"/>
              <w:rPr>
                <w:rFonts w:cs="Arial"/>
                <w:b/>
                <w:sz w:val="18"/>
                <w:szCs w:val="18"/>
              </w:rPr>
            </w:pPr>
            <w:r w:rsidRPr="00A44829">
              <w:rPr>
                <w:rFonts w:cs="Arial"/>
                <w:b/>
                <w:sz w:val="18"/>
                <w:szCs w:val="18"/>
              </w:rPr>
              <w:t>704</w:t>
            </w:r>
          </w:p>
        </w:tc>
        <w:tc>
          <w:tcPr>
            <w:tcW w:w="1247" w:type="dxa"/>
            <w:tcBorders>
              <w:top w:val="nil"/>
              <w:left w:val="nil"/>
              <w:bottom w:val="nil"/>
              <w:right w:val="nil"/>
            </w:tcBorders>
            <w:shd w:val="clear" w:color="auto" w:fill="auto"/>
            <w:vAlign w:val="bottom"/>
          </w:tcPr>
          <w:p w14:paraId="33F422C1" w14:textId="56845A17" w:rsidR="00A26814" w:rsidRPr="00A44829" w:rsidRDefault="00A26814" w:rsidP="003E2D55">
            <w:pPr>
              <w:spacing w:before="40" w:after="40"/>
              <w:jc w:val="right"/>
              <w:rPr>
                <w:rFonts w:cs="Arial"/>
                <w:b/>
                <w:sz w:val="18"/>
                <w:szCs w:val="18"/>
              </w:rPr>
            </w:pPr>
            <w:r w:rsidRPr="00A44829">
              <w:rPr>
                <w:rFonts w:cs="Arial"/>
                <w:b/>
                <w:sz w:val="18"/>
                <w:szCs w:val="18"/>
              </w:rPr>
              <w:t>104</w:t>
            </w:r>
          </w:p>
        </w:tc>
        <w:tc>
          <w:tcPr>
            <w:tcW w:w="1021" w:type="dxa"/>
            <w:tcBorders>
              <w:top w:val="nil"/>
              <w:left w:val="nil"/>
              <w:bottom w:val="nil"/>
              <w:right w:val="nil"/>
            </w:tcBorders>
            <w:shd w:val="clear" w:color="auto" w:fill="auto"/>
            <w:vAlign w:val="bottom"/>
          </w:tcPr>
          <w:p w14:paraId="37E6244D" w14:textId="2E810670" w:rsidR="00A26814" w:rsidRPr="00A44829" w:rsidRDefault="00A26814" w:rsidP="003E2D55">
            <w:pPr>
              <w:spacing w:before="40" w:after="40"/>
              <w:jc w:val="right"/>
              <w:rPr>
                <w:rFonts w:cs="Arial"/>
                <w:sz w:val="18"/>
                <w:szCs w:val="18"/>
              </w:rPr>
            </w:pPr>
            <w:r w:rsidRPr="00A44829">
              <w:rPr>
                <w:rFonts w:cs="Arial"/>
                <w:sz w:val="18"/>
                <w:szCs w:val="18"/>
              </w:rPr>
              <w:t>0</w:t>
            </w:r>
          </w:p>
        </w:tc>
        <w:tc>
          <w:tcPr>
            <w:tcW w:w="1021" w:type="dxa"/>
            <w:tcBorders>
              <w:top w:val="nil"/>
              <w:left w:val="nil"/>
              <w:bottom w:val="nil"/>
              <w:right w:val="nil"/>
            </w:tcBorders>
            <w:shd w:val="clear" w:color="auto" w:fill="auto"/>
            <w:vAlign w:val="bottom"/>
          </w:tcPr>
          <w:p w14:paraId="130B5DD1" w14:textId="26E0C79D" w:rsidR="00A26814" w:rsidRPr="00A44829" w:rsidRDefault="00A26814" w:rsidP="003E2D55">
            <w:pPr>
              <w:spacing w:before="40" w:after="40"/>
              <w:jc w:val="right"/>
              <w:rPr>
                <w:rFonts w:cs="Arial"/>
                <w:sz w:val="18"/>
                <w:szCs w:val="18"/>
              </w:rPr>
            </w:pPr>
            <w:r w:rsidRPr="00A44829">
              <w:rPr>
                <w:rFonts w:cs="Arial"/>
                <w:sz w:val="18"/>
                <w:szCs w:val="18"/>
              </w:rPr>
              <w:t>2,965</w:t>
            </w:r>
          </w:p>
        </w:tc>
      </w:tr>
      <w:tr w:rsidR="00A26814" w:rsidRPr="00A44829" w14:paraId="00DD435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C08A720" w14:textId="77777777" w:rsidR="00A26814" w:rsidRPr="00A44829" w:rsidRDefault="00A26814" w:rsidP="003E2D55">
            <w:pPr>
              <w:spacing w:before="40" w:after="40"/>
              <w:rPr>
                <w:rFonts w:cs="Arial"/>
                <w:sz w:val="18"/>
                <w:szCs w:val="18"/>
              </w:rPr>
            </w:pPr>
            <w:r w:rsidRPr="00A44829">
              <w:rPr>
                <w:rFonts w:cs="Arial"/>
                <w:sz w:val="18"/>
                <w:szCs w:val="18"/>
              </w:rPr>
              <w:t>Gannawarra S</w:t>
            </w:r>
          </w:p>
        </w:tc>
        <w:tc>
          <w:tcPr>
            <w:tcW w:w="1134" w:type="dxa"/>
            <w:tcBorders>
              <w:top w:val="nil"/>
              <w:left w:val="single" w:sz="18" w:space="0" w:color="5F497A" w:themeColor="accent4" w:themeShade="BF"/>
              <w:bottom w:val="nil"/>
              <w:right w:val="nil"/>
            </w:tcBorders>
            <w:shd w:val="clear" w:color="auto" w:fill="auto"/>
            <w:vAlign w:val="bottom"/>
          </w:tcPr>
          <w:p w14:paraId="33005C4E" w14:textId="18568C1B" w:rsidR="00A26814" w:rsidRPr="00A44829" w:rsidRDefault="00A26814" w:rsidP="003E2D55">
            <w:pPr>
              <w:spacing w:before="40" w:after="40"/>
              <w:jc w:val="right"/>
              <w:rPr>
                <w:rFonts w:cs="Arial"/>
                <w:sz w:val="18"/>
                <w:szCs w:val="18"/>
              </w:rPr>
            </w:pPr>
            <w:r w:rsidRPr="00A44829">
              <w:rPr>
                <w:rFonts w:cs="Arial"/>
                <w:sz w:val="18"/>
                <w:szCs w:val="18"/>
              </w:rPr>
              <w:t>107</w:t>
            </w:r>
          </w:p>
        </w:tc>
        <w:tc>
          <w:tcPr>
            <w:tcW w:w="1134" w:type="dxa"/>
            <w:tcBorders>
              <w:top w:val="nil"/>
              <w:left w:val="nil"/>
              <w:bottom w:val="nil"/>
              <w:right w:val="nil"/>
            </w:tcBorders>
            <w:vAlign w:val="bottom"/>
          </w:tcPr>
          <w:p w14:paraId="2FE1E278" w14:textId="4B49B8E1" w:rsidR="00A26814" w:rsidRPr="00A44829" w:rsidRDefault="00A26814" w:rsidP="003E2D55">
            <w:pPr>
              <w:spacing w:before="40" w:after="40"/>
              <w:jc w:val="right"/>
              <w:rPr>
                <w:rFonts w:cs="Arial"/>
                <w:sz w:val="18"/>
                <w:szCs w:val="18"/>
              </w:rPr>
            </w:pPr>
            <w:r w:rsidRPr="00A44829">
              <w:rPr>
                <w:rFonts w:cs="Arial"/>
                <w:sz w:val="18"/>
                <w:szCs w:val="18"/>
              </w:rPr>
              <w:t>2,163</w:t>
            </w:r>
          </w:p>
        </w:tc>
        <w:tc>
          <w:tcPr>
            <w:tcW w:w="1247" w:type="dxa"/>
            <w:tcBorders>
              <w:top w:val="nil"/>
              <w:left w:val="nil"/>
              <w:bottom w:val="nil"/>
              <w:right w:val="nil"/>
            </w:tcBorders>
            <w:vAlign w:val="bottom"/>
          </w:tcPr>
          <w:p w14:paraId="07B9F009" w14:textId="66467E1B" w:rsidR="00A26814" w:rsidRPr="00A44829" w:rsidRDefault="00A26814" w:rsidP="003E2D55">
            <w:pPr>
              <w:spacing w:before="40" w:after="40"/>
              <w:jc w:val="right"/>
              <w:rPr>
                <w:rFonts w:cs="Arial"/>
                <w:b/>
                <w:sz w:val="18"/>
                <w:szCs w:val="18"/>
              </w:rPr>
            </w:pPr>
            <w:r w:rsidRPr="00A44829">
              <w:rPr>
                <w:rFonts w:cs="Arial"/>
                <w:b/>
                <w:sz w:val="18"/>
                <w:szCs w:val="18"/>
              </w:rPr>
              <w:t>2,270</w:t>
            </w:r>
          </w:p>
        </w:tc>
        <w:tc>
          <w:tcPr>
            <w:tcW w:w="1247" w:type="dxa"/>
            <w:tcBorders>
              <w:top w:val="nil"/>
              <w:left w:val="nil"/>
              <w:bottom w:val="nil"/>
              <w:right w:val="nil"/>
            </w:tcBorders>
            <w:shd w:val="clear" w:color="auto" w:fill="auto"/>
            <w:vAlign w:val="bottom"/>
          </w:tcPr>
          <w:p w14:paraId="033A45F7" w14:textId="3960C101" w:rsidR="00A26814" w:rsidRPr="00A44829" w:rsidRDefault="00A26814" w:rsidP="003E2D55">
            <w:pPr>
              <w:spacing w:before="40" w:after="40"/>
              <w:jc w:val="right"/>
              <w:rPr>
                <w:rFonts w:cs="Arial"/>
                <w:b/>
                <w:sz w:val="18"/>
                <w:szCs w:val="18"/>
              </w:rPr>
            </w:pPr>
            <w:r w:rsidRPr="00A44829">
              <w:rPr>
                <w:rFonts w:cs="Arial"/>
                <w:b/>
                <w:sz w:val="18"/>
                <w:szCs w:val="18"/>
              </w:rPr>
              <w:t>877</w:t>
            </w:r>
          </w:p>
        </w:tc>
        <w:tc>
          <w:tcPr>
            <w:tcW w:w="1021" w:type="dxa"/>
            <w:tcBorders>
              <w:top w:val="nil"/>
              <w:left w:val="nil"/>
              <w:bottom w:val="nil"/>
              <w:right w:val="nil"/>
            </w:tcBorders>
            <w:shd w:val="clear" w:color="auto" w:fill="auto"/>
            <w:vAlign w:val="bottom"/>
          </w:tcPr>
          <w:p w14:paraId="6D9ACD26" w14:textId="4FD90C1E" w:rsidR="00A26814" w:rsidRPr="00A44829" w:rsidRDefault="00A26814" w:rsidP="003E2D55">
            <w:pPr>
              <w:spacing w:before="40" w:after="40"/>
              <w:jc w:val="right"/>
              <w:rPr>
                <w:rFonts w:cs="Arial"/>
                <w:sz w:val="18"/>
                <w:szCs w:val="18"/>
              </w:rPr>
            </w:pPr>
            <w:r w:rsidRPr="00A44829">
              <w:rPr>
                <w:rFonts w:cs="Arial"/>
                <w:sz w:val="18"/>
                <w:szCs w:val="18"/>
              </w:rPr>
              <w:t>1,654</w:t>
            </w:r>
          </w:p>
        </w:tc>
        <w:tc>
          <w:tcPr>
            <w:tcW w:w="1021" w:type="dxa"/>
            <w:tcBorders>
              <w:top w:val="nil"/>
              <w:left w:val="nil"/>
              <w:bottom w:val="nil"/>
              <w:right w:val="nil"/>
            </w:tcBorders>
            <w:shd w:val="clear" w:color="auto" w:fill="auto"/>
            <w:vAlign w:val="bottom"/>
          </w:tcPr>
          <w:p w14:paraId="66BD2264" w14:textId="54B2C30C" w:rsidR="00A26814" w:rsidRPr="00A44829" w:rsidRDefault="00A26814" w:rsidP="003E2D55">
            <w:pPr>
              <w:spacing w:before="40" w:after="40"/>
              <w:jc w:val="right"/>
              <w:rPr>
                <w:rFonts w:cs="Arial"/>
                <w:sz w:val="18"/>
                <w:szCs w:val="18"/>
              </w:rPr>
            </w:pPr>
            <w:r w:rsidRPr="00A44829">
              <w:rPr>
                <w:rFonts w:cs="Arial"/>
                <w:sz w:val="18"/>
                <w:szCs w:val="18"/>
              </w:rPr>
              <w:t>7,169</w:t>
            </w:r>
          </w:p>
        </w:tc>
      </w:tr>
      <w:tr w:rsidR="00A26814" w:rsidRPr="00A44829" w14:paraId="2FC1206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36D9230" w14:textId="77777777" w:rsidR="00A26814" w:rsidRPr="00A44829" w:rsidRDefault="00A26814" w:rsidP="003E2D55">
            <w:pPr>
              <w:spacing w:before="40" w:after="40"/>
              <w:rPr>
                <w:rFonts w:cs="Arial"/>
                <w:sz w:val="18"/>
                <w:szCs w:val="18"/>
              </w:rPr>
            </w:pPr>
            <w:r w:rsidRPr="00A44829">
              <w:rPr>
                <w:rFonts w:cs="Arial"/>
                <w:sz w:val="18"/>
                <w:szCs w:val="18"/>
              </w:rPr>
              <w:t>Glen Eira C</w:t>
            </w:r>
          </w:p>
        </w:tc>
        <w:tc>
          <w:tcPr>
            <w:tcW w:w="1134" w:type="dxa"/>
            <w:tcBorders>
              <w:top w:val="nil"/>
              <w:left w:val="single" w:sz="18" w:space="0" w:color="5F497A" w:themeColor="accent4" w:themeShade="BF"/>
              <w:bottom w:val="nil"/>
              <w:right w:val="nil"/>
            </w:tcBorders>
            <w:shd w:val="clear" w:color="auto" w:fill="auto"/>
            <w:vAlign w:val="bottom"/>
          </w:tcPr>
          <w:p w14:paraId="5D8E01A5" w14:textId="68F18FA1" w:rsidR="00A26814" w:rsidRPr="00A44829" w:rsidRDefault="00A26814" w:rsidP="003E2D55">
            <w:pPr>
              <w:spacing w:before="40" w:after="40"/>
              <w:jc w:val="right"/>
              <w:rPr>
                <w:rFonts w:cs="Arial"/>
                <w:sz w:val="18"/>
                <w:szCs w:val="18"/>
              </w:rPr>
            </w:pPr>
            <w:r w:rsidRPr="00A44829">
              <w:rPr>
                <w:rFonts w:cs="Arial"/>
                <w:sz w:val="18"/>
                <w:szCs w:val="18"/>
              </w:rPr>
              <w:t>433</w:t>
            </w:r>
          </w:p>
        </w:tc>
        <w:tc>
          <w:tcPr>
            <w:tcW w:w="1134" w:type="dxa"/>
            <w:tcBorders>
              <w:top w:val="nil"/>
              <w:left w:val="nil"/>
              <w:bottom w:val="nil"/>
              <w:right w:val="nil"/>
            </w:tcBorders>
            <w:vAlign w:val="bottom"/>
          </w:tcPr>
          <w:p w14:paraId="2BE203D0" w14:textId="161FFF63" w:rsidR="00A26814" w:rsidRPr="00A44829" w:rsidRDefault="00A26814" w:rsidP="003E2D55">
            <w:pPr>
              <w:spacing w:before="40" w:after="40"/>
              <w:jc w:val="right"/>
              <w:rPr>
                <w:rFonts w:cs="Arial"/>
                <w:sz w:val="18"/>
                <w:szCs w:val="18"/>
              </w:rPr>
            </w:pPr>
            <w:r w:rsidRPr="00A44829">
              <w:rPr>
                <w:rFonts w:cs="Arial"/>
                <w:sz w:val="18"/>
                <w:szCs w:val="18"/>
              </w:rPr>
              <w:t>0</w:t>
            </w:r>
          </w:p>
        </w:tc>
        <w:tc>
          <w:tcPr>
            <w:tcW w:w="1247" w:type="dxa"/>
            <w:tcBorders>
              <w:top w:val="nil"/>
              <w:left w:val="nil"/>
              <w:bottom w:val="nil"/>
              <w:right w:val="nil"/>
            </w:tcBorders>
            <w:vAlign w:val="bottom"/>
          </w:tcPr>
          <w:p w14:paraId="18B9197B" w14:textId="64954205" w:rsidR="00A26814" w:rsidRPr="00A44829" w:rsidRDefault="00A26814" w:rsidP="003E2D55">
            <w:pPr>
              <w:spacing w:before="40" w:after="40"/>
              <w:jc w:val="right"/>
              <w:rPr>
                <w:rFonts w:cs="Arial"/>
                <w:b/>
                <w:sz w:val="18"/>
                <w:szCs w:val="18"/>
              </w:rPr>
            </w:pPr>
            <w:r w:rsidRPr="00A44829">
              <w:rPr>
                <w:rFonts w:cs="Arial"/>
                <w:b/>
                <w:sz w:val="18"/>
                <w:szCs w:val="18"/>
              </w:rPr>
              <w:t>433</w:t>
            </w:r>
          </w:p>
        </w:tc>
        <w:tc>
          <w:tcPr>
            <w:tcW w:w="1247" w:type="dxa"/>
            <w:tcBorders>
              <w:top w:val="nil"/>
              <w:left w:val="nil"/>
              <w:bottom w:val="nil"/>
              <w:right w:val="nil"/>
            </w:tcBorders>
            <w:shd w:val="clear" w:color="auto" w:fill="auto"/>
            <w:vAlign w:val="bottom"/>
          </w:tcPr>
          <w:p w14:paraId="10135223" w14:textId="4D12977A" w:rsidR="00A26814" w:rsidRPr="00A44829" w:rsidRDefault="00A26814" w:rsidP="003E2D55">
            <w:pPr>
              <w:spacing w:before="40" w:after="40"/>
              <w:jc w:val="right"/>
              <w:rPr>
                <w:rFonts w:cs="Arial"/>
                <w:b/>
                <w:sz w:val="18"/>
                <w:szCs w:val="18"/>
              </w:rPr>
            </w:pPr>
            <w:r w:rsidRPr="00A44829">
              <w:rPr>
                <w:rFonts w:cs="Arial"/>
                <w:b/>
                <w:sz w:val="18"/>
                <w:szCs w:val="18"/>
              </w:rPr>
              <w:t>50</w:t>
            </w:r>
          </w:p>
        </w:tc>
        <w:tc>
          <w:tcPr>
            <w:tcW w:w="1021" w:type="dxa"/>
            <w:tcBorders>
              <w:top w:val="nil"/>
              <w:left w:val="nil"/>
              <w:bottom w:val="nil"/>
              <w:right w:val="nil"/>
            </w:tcBorders>
            <w:shd w:val="clear" w:color="auto" w:fill="auto"/>
            <w:vAlign w:val="bottom"/>
          </w:tcPr>
          <w:p w14:paraId="5042C302" w14:textId="5D49FF1B" w:rsidR="00A26814" w:rsidRPr="00A44829" w:rsidRDefault="00A26814" w:rsidP="003E2D55">
            <w:pPr>
              <w:spacing w:before="40" w:after="40"/>
              <w:jc w:val="right"/>
              <w:rPr>
                <w:rFonts w:cs="Arial"/>
                <w:sz w:val="18"/>
                <w:szCs w:val="18"/>
              </w:rPr>
            </w:pPr>
            <w:r w:rsidRPr="00A44829">
              <w:rPr>
                <w:rFonts w:cs="Arial"/>
                <w:sz w:val="18"/>
                <w:szCs w:val="18"/>
              </w:rPr>
              <w:t>0</w:t>
            </w:r>
          </w:p>
        </w:tc>
        <w:tc>
          <w:tcPr>
            <w:tcW w:w="1021" w:type="dxa"/>
            <w:tcBorders>
              <w:top w:val="nil"/>
              <w:left w:val="nil"/>
              <w:bottom w:val="nil"/>
              <w:right w:val="nil"/>
            </w:tcBorders>
            <w:shd w:val="clear" w:color="auto" w:fill="auto"/>
            <w:vAlign w:val="bottom"/>
          </w:tcPr>
          <w:p w14:paraId="2C4009B5" w14:textId="7ACC9C33" w:rsidR="00A26814" w:rsidRPr="00A44829" w:rsidRDefault="00A26814" w:rsidP="003E2D55">
            <w:pPr>
              <w:spacing w:before="40" w:after="40"/>
              <w:jc w:val="right"/>
              <w:rPr>
                <w:rFonts w:cs="Arial"/>
                <w:sz w:val="18"/>
                <w:szCs w:val="18"/>
              </w:rPr>
            </w:pPr>
            <w:r w:rsidRPr="00A44829">
              <w:rPr>
                <w:rFonts w:cs="Arial"/>
                <w:sz w:val="18"/>
                <w:szCs w:val="18"/>
              </w:rPr>
              <w:t>100</w:t>
            </w:r>
          </w:p>
        </w:tc>
      </w:tr>
      <w:tr w:rsidR="00A26814" w:rsidRPr="00A44829" w14:paraId="53FDA17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F04B303" w14:textId="77777777" w:rsidR="00A26814" w:rsidRPr="00A44829" w:rsidRDefault="00A26814" w:rsidP="003E2D55">
            <w:pPr>
              <w:spacing w:before="40" w:after="40"/>
              <w:rPr>
                <w:rFonts w:cs="Arial"/>
                <w:sz w:val="18"/>
                <w:szCs w:val="18"/>
              </w:rPr>
            </w:pPr>
            <w:r w:rsidRPr="00A44829">
              <w:rPr>
                <w:rFonts w:cs="Arial"/>
                <w:sz w:val="18"/>
                <w:szCs w:val="18"/>
              </w:rPr>
              <w:t>Glenelg S</w:t>
            </w:r>
          </w:p>
        </w:tc>
        <w:tc>
          <w:tcPr>
            <w:tcW w:w="1134" w:type="dxa"/>
            <w:tcBorders>
              <w:top w:val="nil"/>
              <w:left w:val="single" w:sz="18" w:space="0" w:color="5F497A" w:themeColor="accent4" w:themeShade="BF"/>
              <w:bottom w:val="nil"/>
              <w:right w:val="nil"/>
            </w:tcBorders>
            <w:shd w:val="clear" w:color="auto" w:fill="auto"/>
            <w:vAlign w:val="bottom"/>
          </w:tcPr>
          <w:p w14:paraId="12543849" w14:textId="1691583A" w:rsidR="00A26814" w:rsidRPr="00A44829" w:rsidRDefault="00A26814" w:rsidP="003E2D55">
            <w:pPr>
              <w:spacing w:before="40" w:after="40"/>
              <w:jc w:val="right"/>
              <w:rPr>
                <w:rFonts w:cs="Arial"/>
                <w:sz w:val="18"/>
                <w:szCs w:val="18"/>
              </w:rPr>
            </w:pPr>
            <w:r w:rsidRPr="00A44829">
              <w:rPr>
                <w:rFonts w:cs="Arial"/>
                <w:sz w:val="18"/>
                <w:szCs w:val="18"/>
              </w:rPr>
              <w:t>189</w:t>
            </w:r>
          </w:p>
        </w:tc>
        <w:tc>
          <w:tcPr>
            <w:tcW w:w="1134" w:type="dxa"/>
            <w:tcBorders>
              <w:top w:val="nil"/>
              <w:left w:val="nil"/>
              <w:bottom w:val="nil"/>
              <w:right w:val="nil"/>
            </w:tcBorders>
            <w:vAlign w:val="bottom"/>
          </w:tcPr>
          <w:p w14:paraId="43FFF2DB" w14:textId="60F25ABF" w:rsidR="00A26814" w:rsidRPr="00A44829" w:rsidRDefault="00A26814" w:rsidP="003E2D55">
            <w:pPr>
              <w:spacing w:before="40" w:after="40"/>
              <w:jc w:val="right"/>
              <w:rPr>
                <w:rFonts w:cs="Arial"/>
                <w:sz w:val="18"/>
                <w:szCs w:val="18"/>
              </w:rPr>
            </w:pPr>
            <w:r w:rsidRPr="00A44829">
              <w:rPr>
                <w:rFonts w:cs="Arial"/>
                <w:sz w:val="18"/>
                <w:szCs w:val="18"/>
              </w:rPr>
              <w:t>2,440</w:t>
            </w:r>
          </w:p>
        </w:tc>
        <w:tc>
          <w:tcPr>
            <w:tcW w:w="1247" w:type="dxa"/>
            <w:tcBorders>
              <w:top w:val="nil"/>
              <w:left w:val="nil"/>
              <w:bottom w:val="nil"/>
              <w:right w:val="nil"/>
            </w:tcBorders>
            <w:vAlign w:val="bottom"/>
          </w:tcPr>
          <w:p w14:paraId="4D148716" w14:textId="4C903BA2" w:rsidR="00A26814" w:rsidRPr="00A44829" w:rsidRDefault="00A26814" w:rsidP="003E2D55">
            <w:pPr>
              <w:spacing w:before="40" w:after="40"/>
              <w:jc w:val="right"/>
              <w:rPr>
                <w:rFonts w:cs="Arial"/>
                <w:b/>
                <w:sz w:val="18"/>
                <w:szCs w:val="18"/>
              </w:rPr>
            </w:pPr>
            <w:r w:rsidRPr="00A44829">
              <w:rPr>
                <w:rFonts w:cs="Arial"/>
                <w:b/>
                <w:sz w:val="18"/>
                <w:szCs w:val="18"/>
              </w:rPr>
              <w:t>2,629</w:t>
            </w:r>
          </w:p>
        </w:tc>
        <w:tc>
          <w:tcPr>
            <w:tcW w:w="1247" w:type="dxa"/>
            <w:tcBorders>
              <w:top w:val="nil"/>
              <w:left w:val="nil"/>
              <w:bottom w:val="nil"/>
              <w:right w:val="nil"/>
            </w:tcBorders>
            <w:shd w:val="clear" w:color="auto" w:fill="auto"/>
            <w:vAlign w:val="bottom"/>
          </w:tcPr>
          <w:p w14:paraId="278F346E" w14:textId="544CA56B" w:rsidR="00A26814" w:rsidRPr="00A44829" w:rsidRDefault="00A26814" w:rsidP="003E2D55">
            <w:pPr>
              <w:spacing w:before="40" w:after="40"/>
              <w:jc w:val="right"/>
              <w:rPr>
                <w:rFonts w:cs="Arial"/>
                <w:b/>
                <w:sz w:val="18"/>
                <w:szCs w:val="18"/>
              </w:rPr>
            </w:pPr>
            <w:r w:rsidRPr="00A44829">
              <w:rPr>
                <w:rFonts w:cs="Arial"/>
                <w:b/>
                <w:sz w:val="18"/>
                <w:szCs w:val="18"/>
              </w:rPr>
              <w:t>838</w:t>
            </w:r>
          </w:p>
        </w:tc>
        <w:tc>
          <w:tcPr>
            <w:tcW w:w="1021" w:type="dxa"/>
            <w:tcBorders>
              <w:top w:val="nil"/>
              <w:left w:val="nil"/>
              <w:bottom w:val="nil"/>
              <w:right w:val="nil"/>
            </w:tcBorders>
            <w:shd w:val="clear" w:color="auto" w:fill="auto"/>
            <w:vAlign w:val="bottom"/>
          </w:tcPr>
          <w:p w14:paraId="3BDB26D8" w14:textId="1B72E578" w:rsidR="00A26814" w:rsidRPr="00A44829" w:rsidRDefault="00A26814" w:rsidP="003E2D55">
            <w:pPr>
              <w:spacing w:before="40" w:after="40"/>
              <w:jc w:val="right"/>
              <w:rPr>
                <w:rFonts w:cs="Arial"/>
                <w:sz w:val="18"/>
                <w:szCs w:val="18"/>
              </w:rPr>
            </w:pPr>
            <w:r w:rsidRPr="00A44829">
              <w:rPr>
                <w:rFonts w:cs="Arial"/>
                <w:sz w:val="18"/>
                <w:szCs w:val="18"/>
              </w:rPr>
              <w:t>383</w:t>
            </w:r>
          </w:p>
        </w:tc>
        <w:tc>
          <w:tcPr>
            <w:tcW w:w="1021" w:type="dxa"/>
            <w:tcBorders>
              <w:top w:val="nil"/>
              <w:left w:val="nil"/>
              <w:bottom w:val="nil"/>
              <w:right w:val="nil"/>
            </w:tcBorders>
            <w:shd w:val="clear" w:color="auto" w:fill="auto"/>
            <w:vAlign w:val="bottom"/>
          </w:tcPr>
          <w:p w14:paraId="616DFFDD" w14:textId="21DA0024" w:rsidR="00A26814" w:rsidRPr="00A44829" w:rsidRDefault="00A26814" w:rsidP="003E2D55">
            <w:pPr>
              <w:spacing w:before="40" w:after="40"/>
              <w:jc w:val="right"/>
              <w:rPr>
                <w:rFonts w:cs="Arial"/>
                <w:sz w:val="18"/>
                <w:szCs w:val="18"/>
              </w:rPr>
            </w:pPr>
            <w:r w:rsidRPr="00A44829">
              <w:rPr>
                <w:rFonts w:cs="Arial"/>
                <w:sz w:val="18"/>
                <w:szCs w:val="18"/>
              </w:rPr>
              <w:t>7,711</w:t>
            </w:r>
          </w:p>
        </w:tc>
      </w:tr>
      <w:tr w:rsidR="00A26814" w:rsidRPr="00A44829" w14:paraId="2708579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429414E" w14:textId="77777777" w:rsidR="00A26814" w:rsidRPr="00A44829" w:rsidRDefault="00A26814" w:rsidP="003E2D55">
            <w:pPr>
              <w:spacing w:before="40" w:after="40"/>
              <w:rPr>
                <w:rFonts w:cs="Arial"/>
                <w:sz w:val="18"/>
                <w:szCs w:val="18"/>
              </w:rPr>
            </w:pPr>
            <w:r w:rsidRPr="00A44829">
              <w:rPr>
                <w:rFonts w:cs="Arial"/>
                <w:sz w:val="18"/>
                <w:szCs w:val="18"/>
              </w:rPr>
              <w:t>Golden Plains S</w:t>
            </w:r>
          </w:p>
        </w:tc>
        <w:tc>
          <w:tcPr>
            <w:tcW w:w="1134" w:type="dxa"/>
            <w:tcBorders>
              <w:top w:val="nil"/>
              <w:left w:val="single" w:sz="18" w:space="0" w:color="5F497A" w:themeColor="accent4" w:themeShade="BF"/>
              <w:bottom w:val="nil"/>
              <w:right w:val="nil"/>
            </w:tcBorders>
            <w:shd w:val="clear" w:color="auto" w:fill="auto"/>
            <w:vAlign w:val="bottom"/>
          </w:tcPr>
          <w:p w14:paraId="7DBB21B4" w14:textId="43442CDC" w:rsidR="00A26814" w:rsidRPr="00A44829" w:rsidRDefault="00A26814" w:rsidP="003E2D55">
            <w:pPr>
              <w:spacing w:before="40" w:after="40"/>
              <w:jc w:val="right"/>
              <w:rPr>
                <w:rFonts w:cs="Arial"/>
                <w:sz w:val="18"/>
                <w:szCs w:val="18"/>
              </w:rPr>
            </w:pPr>
            <w:r w:rsidRPr="00A44829">
              <w:rPr>
                <w:rFonts w:cs="Arial"/>
                <w:sz w:val="18"/>
                <w:szCs w:val="18"/>
              </w:rPr>
              <w:t>236</w:t>
            </w:r>
          </w:p>
        </w:tc>
        <w:tc>
          <w:tcPr>
            <w:tcW w:w="1134" w:type="dxa"/>
            <w:tcBorders>
              <w:top w:val="nil"/>
              <w:left w:val="nil"/>
              <w:bottom w:val="nil"/>
              <w:right w:val="nil"/>
            </w:tcBorders>
            <w:vAlign w:val="bottom"/>
          </w:tcPr>
          <w:p w14:paraId="0F08E477" w14:textId="2979CE36" w:rsidR="00A26814" w:rsidRPr="00A44829" w:rsidRDefault="00A26814" w:rsidP="003E2D55">
            <w:pPr>
              <w:spacing w:before="40" w:after="40"/>
              <w:jc w:val="right"/>
              <w:rPr>
                <w:rFonts w:cs="Arial"/>
                <w:sz w:val="18"/>
                <w:szCs w:val="18"/>
              </w:rPr>
            </w:pPr>
            <w:r w:rsidRPr="00A44829">
              <w:rPr>
                <w:rFonts w:cs="Arial"/>
                <w:sz w:val="18"/>
                <w:szCs w:val="18"/>
              </w:rPr>
              <w:t>1,623</w:t>
            </w:r>
          </w:p>
        </w:tc>
        <w:tc>
          <w:tcPr>
            <w:tcW w:w="1247" w:type="dxa"/>
            <w:tcBorders>
              <w:top w:val="nil"/>
              <w:left w:val="nil"/>
              <w:bottom w:val="nil"/>
              <w:right w:val="nil"/>
            </w:tcBorders>
            <w:vAlign w:val="bottom"/>
          </w:tcPr>
          <w:p w14:paraId="63315643" w14:textId="40E8C2BC" w:rsidR="00A26814" w:rsidRPr="00A44829" w:rsidRDefault="00A26814" w:rsidP="003E2D55">
            <w:pPr>
              <w:spacing w:before="40" w:after="40"/>
              <w:jc w:val="right"/>
              <w:rPr>
                <w:rFonts w:cs="Arial"/>
                <w:b/>
                <w:sz w:val="18"/>
                <w:szCs w:val="18"/>
              </w:rPr>
            </w:pPr>
            <w:r w:rsidRPr="00A44829">
              <w:rPr>
                <w:rFonts w:cs="Arial"/>
                <w:b/>
                <w:sz w:val="18"/>
                <w:szCs w:val="18"/>
              </w:rPr>
              <w:t>1,859</w:t>
            </w:r>
          </w:p>
        </w:tc>
        <w:tc>
          <w:tcPr>
            <w:tcW w:w="1247" w:type="dxa"/>
            <w:tcBorders>
              <w:top w:val="nil"/>
              <w:left w:val="nil"/>
              <w:bottom w:val="nil"/>
              <w:right w:val="nil"/>
            </w:tcBorders>
            <w:shd w:val="clear" w:color="auto" w:fill="auto"/>
            <w:vAlign w:val="bottom"/>
          </w:tcPr>
          <w:p w14:paraId="76C7288B" w14:textId="3C838D53" w:rsidR="00A26814" w:rsidRPr="00A44829" w:rsidRDefault="00A26814" w:rsidP="003E2D55">
            <w:pPr>
              <w:spacing w:before="40" w:after="40"/>
              <w:jc w:val="right"/>
              <w:rPr>
                <w:rFonts w:cs="Arial"/>
                <w:b/>
                <w:sz w:val="18"/>
                <w:szCs w:val="18"/>
              </w:rPr>
            </w:pPr>
            <w:r w:rsidRPr="00A44829">
              <w:rPr>
                <w:rFonts w:cs="Arial"/>
                <w:b/>
                <w:sz w:val="18"/>
                <w:szCs w:val="18"/>
              </w:rPr>
              <w:t>542</w:t>
            </w:r>
          </w:p>
        </w:tc>
        <w:tc>
          <w:tcPr>
            <w:tcW w:w="1021" w:type="dxa"/>
            <w:tcBorders>
              <w:top w:val="nil"/>
              <w:left w:val="nil"/>
              <w:bottom w:val="nil"/>
              <w:right w:val="nil"/>
            </w:tcBorders>
            <w:shd w:val="clear" w:color="auto" w:fill="auto"/>
            <w:vAlign w:val="bottom"/>
          </w:tcPr>
          <w:p w14:paraId="516B6564" w14:textId="1DD179A1" w:rsidR="00A26814" w:rsidRPr="00A44829" w:rsidRDefault="00A26814" w:rsidP="003E2D55">
            <w:pPr>
              <w:spacing w:before="40" w:after="40"/>
              <w:jc w:val="right"/>
              <w:rPr>
                <w:rFonts w:cs="Arial"/>
                <w:sz w:val="18"/>
                <w:szCs w:val="18"/>
              </w:rPr>
            </w:pPr>
            <w:r w:rsidRPr="00A44829">
              <w:rPr>
                <w:rFonts w:cs="Arial"/>
                <w:sz w:val="18"/>
                <w:szCs w:val="18"/>
              </w:rPr>
              <w:t>737</w:t>
            </w:r>
          </w:p>
        </w:tc>
        <w:tc>
          <w:tcPr>
            <w:tcW w:w="1021" w:type="dxa"/>
            <w:tcBorders>
              <w:top w:val="nil"/>
              <w:left w:val="nil"/>
              <w:bottom w:val="nil"/>
              <w:right w:val="nil"/>
            </w:tcBorders>
            <w:shd w:val="clear" w:color="auto" w:fill="auto"/>
            <w:vAlign w:val="bottom"/>
          </w:tcPr>
          <w:p w14:paraId="201D81C6" w14:textId="0833CC1D" w:rsidR="00A26814" w:rsidRPr="00A44829" w:rsidRDefault="00A26814" w:rsidP="003E2D55">
            <w:pPr>
              <w:spacing w:before="40" w:after="40"/>
              <w:jc w:val="right"/>
              <w:rPr>
                <w:rFonts w:cs="Arial"/>
                <w:sz w:val="18"/>
                <w:szCs w:val="18"/>
              </w:rPr>
            </w:pPr>
            <w:r w:rsidRPr="00A44829">
              <w:rPr>
                <w:rFonts w:cs="Arial"/>
                <w:sz w:val="18"/>
                <w:szCs w:val="18"/>
              </w:rPr>
              <w:t>7,719</w:t>
            </w:r>
          </w:p>
        </w:tc>
      </w:tr>
      <w:tr w:rsidR="00A26814" w:rsidRPr="00A44829" w14:paraId="11125A8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615A483" w14:textId="77777777" w:rsidR="00A26814" w:rsidRPr="00A44829" w:rsidRDefault="00A26814" w:rsidP="003E2D55">
            <w:pPr>
              <w:spacing w:before="40" w:after="40"/>
              <w:rPr>
                <w:rFonts w:cs="Arial"/>
                <w:sz w:val="18"/>
                <w:szCs w:val="18"/>
              </w:rPr>
            </w:pPr>
            <w:r w:rsidRPr="00A44829">
              <w:rPr>
                <w:rFonts w:cs="Arial"/>
                <w:sz w:val="18"/>
                <w:szCs w:val="18"/>
              </w:rPr>
              <w:t>Greater Bendigo C</w:t>
            </w:r>
          </w:p>
        </w:tc>
        <w:tc>
          <w:tcPr>
            <w:tcW w:w="1134" w:type="dxa"/>
            <w:tcBorders>
              <w:top w:val="nil"/>
              <w:left w:val="single" w:sz="18" w:space="0" w:color="5F497A" w:themeColor="accent4" w:themeShade="BF"/>
              <w:bottom w:val="nil"/>
              <w:right w:val="nil"/>
            </w:tcBorders>
            <w:shd w:val="clear" w:color="auto" w:fill="auto"/>
            <w:vAlign w:val="bottom"/>
          </w:tcPr>
          <w:p w14:paraId="0754E8D8" w14:textId="462A37F8" w:rsidR="00A26814" w:rsidRPr="00A44829" w:rsidRDefault="00A26814" w:rsidP="003E2D55">
            <w:pPr>
              <w:spacing w:before="40" w:after="40"/>
              <w:jc w:val="right"/>
              <w:rPr>
                <w:rFonts w:cs="Arial"/>
                <w:sz w:val="18"/>
                <w:szCs w:val="18"/>
              </w:rPr>
            </w:pPr>
            <w:r w:rsidRPr="00A44829">
              <w:rPr>
                <w:rFonts w:cs="Arial"/>
                <w:sz w:val="18"/>
                <w:szCs w:val="18"/>
              </w:rPr>
              <w:t>884</w:t>
            </w:r>
          </w:p>
        </w:tc>
        <w:tc>
          <w:tcPr>
            <w:tcW w:w="1134" w:type="dxa"/>
            <w:tcBorders>
              <w:top w:val="nil"/>
              <w:left w:val="nil"/>
              <w:bottom w:val="nil"/>
              <w:right w:val="nil"/>
            </w:tcBorders>
            <w:vAlign w:val="bottom"/>
          </w:tcPr>
          <w:p w14:paraId="5F75633C" w14:textId="5CB21137" w:rsidR="00A26814" w:rsidRPr="00A44829" w:rsidRDefault="00A26814" w:rsidP="003E2D55">
            <w:pPr>
              <w:spacing w:before="40" w:after="40"/>
              <w:jc w:val="right"/>
              <w:rPr>
                <w:rFonts w:cs="Arial"/>
                <w:sz w:val="18"/>
                <w:szCs w:val="18"/>
              </w:rPr>
            </w:pPr>
            <w:r w:rsidRPr="00A44829">
              <w:rPr>
                <w:rFonts w:cs="Arial"/>
                <w:sz w:val="18"/>
                <w:szCs w:val="18"/>
              </w:rPr>
              <w:t>2,235</w:t>
            </w:r>
          </w:p>
        </w:tc>
        <w:tc>
          <w:tcPr>
            <w:tcW w:w="1247" w:type="dxa"/>
            <w:tcBorders>
              <w:top w:val="nil"/>
              <w:left w:val="nil"/>
              <w:bottom w:val="nil"/>
              <w:right w:val="nil"/>
            </w:tcBorders>
            <w:vAlign w:val="bottom"/>
          </w:tcPr>
          <w:p w14:paraId="356CDA8D" w14:textId="364B48F1" w:rsidR="00A26814" w:rsidRPr="00A44829" w:rsidRDefault="00A26814" w:rsidP="003E2D55">
            <w:pPr>
              <w:spacing w:before="40" w:after="40"/>
              <w:jc w:val="right"/>
              <w:rPr>
                <w:rFonts w:cs="Arial"/>
                <w:b/>
                <w:sz w:val="18"/>
                <w:szCs w:val="18"/>
              </w:rPr>
            </w:pPr>
            <w:r w:rsidRPr="00A44829">
              <w:rPr>
                <w:rFonts w:cs="Arial"/>
                <w:b/>
                <w:sz w:val="18"/>
                <w:szCs w:val="18"/>
              </w:rPr>
              <w:t>3,119</w:t>
            </w:r>
          </w:p>
        </w:tc>
        <w:tc>
          <w:tcPr>
            <w:tcW w:w="1247" w:type="dxa"/>
            <w:tcBorders>
              <w:top w:val="nil"/>
              <w:left w:val="nil"/>
              <w:bottom w:val="nil"/>
              <w:right w:val="nil"/>
            </w:tcBorders>
            <w:shd w:val="clear" w:color="auto" w:fill="auto"/>
            <w:vAlign w:val="bottom"/>
          </w:tcPr>
          <w:p w14:paraId="2C092053" w14:textId="013A16DA" w:rsidR="00A26814" w:rsidRPr="00A44829" w:rsidRDefault="00A26814" w:rsidP="003E2D55">
            <w:pPr>
              <w:spacing w:before="40" w:after="40"/>
              <w:jc w:val="right"/>
              <w:rPr>
                <w:rFonts w:cs="Arial"/>
                <w:b/>
                <w:sz w:val="18"/>
                <w:szCs w:val="18"/>
              </w:rPr>
            </w:pPr>
            <w:r w:rsidRPr="00A44829">
              <w:rPr>
                <w:rFonts w:cs="Arial"/>
                <w:b/>
                <w:sz w:val="18"/>
                <w:szCs w:val="18"/>
              </w:rPr>
              <w:t>607</w:t>
            </w:r>
          </w:p>
        </w:tc>
        <w:tc>
          <w:tcPr>
            <w:tcW w:w="1021" w:type="dxa"/>
            <w:tcBorders>
              <w:top w:val="nil"/>
              <w:left w:val="nil"/>
              <w:bottom w:val="nil"/>
              <w:right w:val="nil"/>
            </w:tcBorders>
            <w:shd w:val="clear" w:color="auto" w:fill="auto"/>
            <w:vAlign w:val="bottom"/>
          </w:tcPr>
          <w:p w14:paraId="7529E678" w14:textId="2C8B5FBF" w:rsidR="00A26814" w:rsidRPr="00A44829" w:rsidRDefault="00A26814" w:rsidP="003E2D55">
            <w:pPr>
              <w:spacing w:before="40" w:after="40"/>
              <w:jc w:val="right"/>
              <w:rPr>
                <w:rFonts w:cs="Arial"/>
                <w:sz w:val="18"/>
                <w:szCs w:val="18"/>
              </w:rPr>
            </w:pPr>
            <w:r w:rsidRPr="00A44829">
              <w:rPr>
                <w:rFonts w:cs="Arial"/>
                <w:sz w:val="18"/>
                <w:szCs w:val="18"/>
              </w:rPr>
              <w:t>313</w:t>
            </w:r>
          </w:p>
        </w:tc>
        <w:tc>
          <w:tcPr>
            <w:tcW w:w="1021" w:type="dxa"/>
            <w:tcBorders>
              <w:top w:val="nil"/>
              <w:left w:val="nil"/>
              <w:bottom w:val="nil"/>
              <w:right w:val="nil"/>
            </w:tcBorders>
            <w:shd w:val="clear" w:color="auto" w:fill="auto"/>
            <w:vAlign w:val="bottom"/>
          </w:tcPr>
          <w:p w14:paraId="637B6D06" w14:textId="79E4DEDA" w:rsidR="00A26814" w:rsidRPr="00A44829" w:rsidRDefault="00A26814" w:rsidP="003E2D55">
            <w:pPr>
              <w:spacing w:before="40" w:after="40"/>
              <w:jc w:val="right"/>
              <w:rPr>
                <w:rFonts w:cs="Arial"/>
                <w:sz w:val="18"/>
                <w:szCs w:val="18"/>
              </w:rPr>
            </w:pPr>
            <w:r w:rsidRPr="00A44829">
              <w:rPr>
                <w:rFonts w:cs="Arial"/>
                <w:sz w:val="18"/>
                <w:szCs w:val="18"/>
              </w:rPr>
              <w:t>11,932</w:t>
            </w:r>
          </w:p>
        </w:tc>
      </w:tr>
      <w:tr w:rsidR="00A26814" w:rsidRPr="00A44829" w14:paraId="1AAFEC8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82763E8" w14:textId="77777777" w:rsidR="00A26814" w:rsidRPr="00A44829" w:rsidRDefault="00A26814" w:rsidP="003E2D55">
            <w:pPr>
              <w:spacing w:before="40" w:after="40"/>
              <w:rPr>
                <w:rFonts w:cs="Arial"/>
                <w:sz w:val="18"/>
                <w:szCs w:val="18"/>
              </w:rPr>
            </w:pPr>
            <w:r w:rsidRPr="00A44829">
              <w:rPr>
                <w:rFonts w:cs="Arial"/>
                <w:sz w:val="18"/>
                <w:szCs w:val="18"/>
              </w:rPr>
              <w:t>Greater Dandenong C</w:t>
            </w:r>
          </w:p>
        </w:tc>
        <w:tc>
          <w:tcPr>
            <w:tcW w:w="1134" w:type="dxa"/>
            <w:tcBorders>
              <w:top w:val="nil"/>
              <w:left w:val="single" w:sz="18" w:space="0" w:color="5F497A" w:themeColor="accent4" w:themeShade="BF"/>
              <w:bottom w:val="nil"/>
              <w:right w:val="nil"/>
            </w:tcBorders>
            <w:shd w:val="clear" w:color="auto" w:fill="auto"/>
            <w:vAlign w:val="bottom"/>
          </w:tcPr>
          <w:p w14:paraId="6A30689C" w14:textId="5C464CF0" w:rsidR="00A26814" w:rsidRPr="00A44829" w:rsidRDefault="00A26814" w:rsidP="003E2D55">
            <w:pPr>
              <w:spacing w:before="40" w:after="40"/>
              <w:jc w:val="right"/>
              <w:rPr>
                <w:rFonts w:cs="Arial"/>
                <w:sz w:val="18"/>
                <w:szCs w:val="18"/>
              </w:rPr>
            </w:pPr>
            <w:r w:rsidRPr="00A44829">
              <w:rPr>
                <w:rFonts w:cs="Arial"/>
                <w:sz w:val="18"/>
                <w:szCs w:val="18"/>
              </w:rPr>
              <w:t>637</w:t>
            </w:r>
          </w:p>
        </w:tc>
        <w:tc>
          <w:tcPr>
            <w:tcW w:w="1134" w:type="dxa"/>
            <w:tcBorders>
              <w:top w:val="nil"/>
              <w:left w:val="nil"/>
              <w:bottom w:val="nil"/>
              <w:right w:val="nil"/>
            </w:tcBorders>
            <w:vAlign w:val="bottom"/>
          </w:tcPr>
          <w:p w14:paraId="5E2A24C0" w14:textId="10027F76" w:rsidR="00A26814" w:rsidRPr="00A44829" w:rsidRDefault="00A26814" w:rsidP="003E2D55">
            <w:pPr>
              <w:spacing w:before="40" w:after="40"/>
              <w:jc w:val="right"/>
              <w:rPr>
                <w:rFonts w:cs="Arial"/>
                <w:sz w:val="18"/>
                <w:szCs w:val="18"/>
              </w:rPr>
            </w:pPr>
            <w:r w:rsidRPr="00A44829">
              <w:rPr>
                <w:rFonts w:cs="Arial"/>
                <w:sz w:val="18"/>
                <w:szCs w:val="18"/>
              </w:rPr>
              <w:t>52</w:t>
            </w:r>
          </w:p>
        </w:tc>
        <w:tc>
          <w:tcPr>
            <w:tcW w:w="1247" w:type="dxa"/>
            <w:tcBorders>
              <w:top w:val="nil"/>
              <w:left w:val="nil"/>
              <w:bottom w:val="nil"/>
              <w:right w:val="nil"/>
            </w:tcBorders>
            <w:vAlign w:val="bottom"/>
          </w:tcPr>
          <w:p w14:paraId="11D0D22A" w14:textId="4AE09766" w:rsidR="00A26814" w:rsidRPr="00A44829" w:rsidRDefault="00A26814" w:rsidP="003E2D55">
            <w:pPr>
              <w:spacing w:before="40" w:after="40"/>
              <w:jc w:val="right"/>
              <w:rPr>
                <w:rFonts w:cs="Arial"/>
                <w:b/>
                <w:sz w:val="18"/>
                <w:szCs w:val="18"/>
              </w:rPr>
            </w:pPr>
            <w:r w:rsidRPr="00A44829">
              <w:rPr>
                <w:rFonts w:cs="Arial"/>
                <w:b/>
                <w:sz w:val="18"/>
                <w:szCs w:val="18"/>
              </w:rPr>
              <w:t>688</w:t>
            </w:r>
          </w:p>
        </w:tc>
        <w:tc>
          <w:tcPr>
            <w:tcW w:w="1247" w:type="dxa"/>
            <w:tcBorders>
              <w:top w:val="nil"/>
              <w:left w:val="nil"/>
              <w:bottom w:val="nil"/>
              <w:right w:val="nil"/>
            </w:tcBorders>
            <w:shd w:val="clear" w:color="auto" w:fill="auto"/>
            <w:vAlign w:val="bottom"/>
          </w:tcPr>
          <w:p w14:paraId="131B44C4" w14:textId="251D137A" w:rsidR="00A26814" w:rsidRPr="00A44829" w:rsidRDefault="00A26814" w:rsidP="003E2D55">
            <w:pPr>
              <w:spacing w:before="40" w:after="40"/>
              <w:jc w:val="right"/>
              <w:rPr>
                <w:rFonts w:cs="Arial"/>
                <w:b/>
                <w:sz w:val="18"/>
                <w:szCs w:val="18"/>
              </w:rPr>
            </w:pPr>
            <w:r w:rsidRPr="00A44829">
              <w:rPr>
                <w:rFonts w:cs="Arial"/>
                <w:b/>
                <w:sz w:val="18"/>
                <w:szCs w:val="18"/>
              </w:rPr>
              <w:t>152</w:t>
            </w:r>
          </w:p>
        </w:tc>
        <w:tc>
          <w:tcPr>
            <w:tcW w:w="1021" w:type="dxa"/>
            <w:tcBorders>
              <w:top w:val="nil"/>
              <w:left w:val="nil"/>
              <w:bottom w:val="nil"/>
              <w:right w:val="nil"/>
            </w:tcBorders>
            <w:shd w:val="clear" w:color="auto" w:fill="auto"/>
            <w:vAlign w:val="bottom"/>
          </w:tcPr>
          <w:p w14:paraId="1829CCD3" w14:textId="6780E69E" w:rsidR="00A26814" w:rsidRPr="00A44829" w:rsidRDefault="00A26814" w:rsidP="003E2D55">
            <w:pPr>
              <w:spacing w:before="40" w:after="40"/>
              <w:jc w:val="right"/>
              <w:rPr>
                <w:rFonts w:cs="Arial"/>
                <w:sz w:val="18"/>
                <w:szCs w:val="18"/>
              </w:rPr>
            </w:pPr>
            <w:r w:rsidRPr="00A44829">
              <w:rPr>
                <w:rFonts w:cs="Arial"/>
                <w:sz w:val="18"/>
                <w:szCs w:val="18"/>
              </w:rPr>
              <w:t>0</w:t>
            </w:r>
          </w:p>
        </w:tc>
        <w:tc>
          <w:tcPr>
            <w:tcW w:w="1021" w:type="dxa"/>
            <w:tcBorders>
              <w:top w:val="nil"/>
              <w:left w:val="nil"/>
              <w:bottom w:val="nil"/>
              <w:right w:val="nil"/>
            </w:tcBorders>
            <w:shd w:val="clear" w:color="auto" w:fill="auto"/>
            <w:vAlign w:val="bottom"/>
          </w:tcPr>
          <w:p w14:paraId="16A38848" w14:textId="571C172F" w:rsidR="00A26814" w:rsidRPr="00A44829" w:rsidRDefault="00A26814" w:rsidP="003E2D55">
            <w:pPr>
              <w:spacing w:before="40" w:after="40"/>
              <w:jc w:val="right"/>
              <w:rPr>
                <w:rFonts w:cs="Arial"/>
                <w:sz w:val="18"/>
                <w:szCs w:val="18"/>
              </w:rPr>
            </w:pPr>
            <w:r w:rsidRPr="00A44829">
              <w:rPr>
                <w:rFonts w:cs="Arial"/>
                <w:sz w:val="18"/>
                <w:szCs w:val="18"/>
              </w:rPr>
              <w:t>10,100</w:t>
            </w:r>
          </w:p>
        </w:tc>
      </w:tr>
      <w:tr w:rsidR="00A26814" w:rsidRPr="00A44829" w14:paraId="5522549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A11BDA0" w14:textId="77777777" w:rsidR="00A26814" w:rsidRPr="00A44829" w:rsidRDefault="00A26814" w:rsidP="003E2D55">
            <w:pPr>
              <w:spacing w:before="40" w:after="40"/>
              <w:rPr>
                <w:rFonts w:cs="Arial"/>
                <w:sz w:val="18"/>
                <w:szCs w:val="18"/>
              </w:rPr>
            </w:pPr>
            <w:r w:rsidRPr="00A44829">
              <w:rPr>
                <w:rFonts w:cs="Arial"/>
                <w:sz w:val="18"/>
                <w:szCs w:val="18"/>
              </w:rPr>
              <w:t>Greater Geelong C</w:t>
            </w:r>
          </w:p>
        </w:tc>
        <w:tc>
          <w:tcPr>
            <w:tcW w:w="1134" w:type="dxa"/>
            <w:tcBorders>
              <w:top w:val="nil"/>
              <w:left w:val="single" w:sz="18" w:space="0" w:color="5F497A" w:themeColor="accent4" w:themeShade="BF"/>
              <w:bottom w:val="nil"/>
              <w:right w:val="nil"/>
            </w:tcBorders>
            <w:shd w:val="clear" w:color="auto" w:fill="auto"/>
            <w:vAlign w:val="bottom"/>
          </w:tcPr>
          <w:p w14:paraId="45A48103" w14:textId="6BB25378" w:rsidR="00A26814" w:rsidRPr="00A44829" w:rsidRDefault="00A26814" w:rsidP="003E2D55">
            <w:pPr>
              <w:spacing w:before="40" w:after="40"/>
              <w:jc w:val="right"/>
              <w:rPr>
                <w:rFonts w:cs="Arial"/>
                <w:sz w:val="18"/>
                <w:szCs w:val="18"/>
              </w:rPr>
            </w:pPr>
            <w:r w:rsidRPr="00A44829">
              <w:rPr>
                <w:rFonts w:cs="Arial"/>
                <w:sz w:val="18"/>
                <w:szCs w:val="18"/>
              </w:rPr>
              <w:t>1,533</w:t>
            </w:r>
          </w:p>
        </w:tc>
        <w:tc>
          <w:tcPr>
            <w:tcW w:w="1134" w:type="dxa"/>
            <w:tcBorders>
              <w:top w:val="nil"/>
              <w:left w:val="nil"/>
              <w:bottom w:val="nil"/>
              <w:right w:val="nil"/>
            </w:tcBorders>
            <w:vAlign w:val="bottom"/>
          </w:tcPr>
          <w:p w14:paraId="52F61A6B" w14:textId="333903ED" w:rsidR="00A26814" w:rsidRPr="00A44829" w:rsidRDefault="00A26814" w:rsidP="003E2D55">
            <w:pPr>
              <w:spacing w:before="40" w:after="40"/>
              <w:jc w:val="right"/>
              <w:rPr>
                <w:rFonts w:cs="Arial"/>
                <w:sz w:val="18"/>
                <w:szCs w:val="18"/>
              </w:rPr>
            </w:pPr>
            <w:r w:rsidRPr="00A44829">
              <w:rPr>
                <w:rFonts w:cs="Arial"/>
                <w:sz w:val="18"/>
                <w:szCs w:val="18"/>
              </w:rPr>
              <w:t>678</w:t>
            </w:r>
          </w:p>
        </w:tc>
        <w:tc>
          <w:tcPr>
            <w:tcW w:w="1247" w:type="dxa"/>
            <w:tcBorders>
              <w:top w:val="nil"/>
              <w:left w:val="nil"/>
              <w:bottom w:val="nil"/>
              <w:right w:val="nil"/>
            </w:tcBorders>
            <w:vAlign w:val="bottom"/>
          </w:tcPr>
          <w:p w14:paraId="46605BE7" w14:textId="2D587324" w:rsidR="00A26814" w:rsidRPr="00A44829" w:rsidRDefault="00A26814" w:rsidP="003E2D55">
            <w:pPr>
              <w:spacing w:before="40" w:after="40"/>
              <w:jc w:val="right"/>
              <w:rPr>
                <w:rFonts w:cs="Arial"/>
                <w:b/>
                <w:sz w:val="18"/>
                <w:szCs w:val="18"/>
              </w:rPr>
            </w:pPr>
            <w:r w:rsidRPr="00A44829">
              <w:rPr>
                <w:rFonts w:cs="Arial"/>
                <w:b/>
                <w:sz w:val="18"/>
                <w:szCs w:val="18"/>
              </w:rPr>
              <w:t>2,211</w:t>
            </w:r>
          </w:p>
        </w:tc>
        <w:tc>
          <w:tcPr>
            <w:tcW w:w="1247" w:type="dxa"/>
            <w:tcBorders>
              <w:top w:val="nil"/>
              <w:left w:val="nil"/>
              <w:bottom w:val="nil"/>
              <w:right w:val="nil"/>
            </w:tcBorders>
            <w:shd w:val="clear" w:color="auto" w:fill="auto"/>
            <w:vAlign w:val="bottom"/>
          </w:tcPr>
          <w:p w14:paraId="79B28F5F" w14:textId="3545EFF7" w:rsidR="00A26814" w:rsidRPr="00A44829" w:rsidRDefault="00A26814" w:rsidP="003E2D55">
            <w:pPr>
              <w:spacing w:before="40" w:after="40"/>
              <w:jc w:val="right"/>
              <w:rPr>
                <w:rFonts w:cs="Arial"/>
                <w:b/>
                <w:sz w:val="18"/>
                <w:szCs w:val="18"/>
              </w:rPr>
            </w:pPr>
            <w:r w:rsidRPr="00A44829">
              <w:rPr>
                <w:rFonts w:cs="Arial"/>
                <w:b/>
                <w:sz w:val="18"/>
                <w:szCs w:val="18"/>
              </w:rPr>
              <w:t>748</w:t>
            </w:r>
          </w:p>
        </w:tc>
        <w:tc>
          <w:tcPr>
            <w:tcW w:w="1021" w:type="dxa"/>
            <w:tcBorders>
              <w:top w:val="nil"/>
              <w:left w:val="nil"/>
              <w:bottom w:val="nil"/>
              <w:right w:val="nil"/>
            </w:tcBorders>
            <w:shd w:val="clear" w:color="auto" w:fill="auto"/>
            <w:vAlign w:val="bottom"/>
          </w:tcPr>
          <w:p w14:paraId="52332346" w14:textId="57139FEF" w:rsidR="00A26814" w:rsidRPr="00A44829" w:rsidRDefault="00A26814" w:rsidP="003E2D55">
            <w:pPr>
              <w:spacing w:before="40" w:after="40"/>
              <w:jc w:val="right"/>
              <w:rPr>
                <w:rFonts w:cs="Arial"/>
                <w:sz w:val="18"/>
                <w:szCs w:val="18"/>
              </w:rPr>
            </w:pPr>
            <w:r w:rsidRPr="00A44829">
              <w:rPr>
                <w:rFonts w:cs="Arial"/>
                <w:sz w:val="18"/>
                <w:szCs w:val="18"/>
              </w:rPr>
              <w:t>0</w:t>
            </w:r>
          </w:p>
        </w:tc>
        <w:tc>
          <w:tcPr>
            <w:tcW w:w="1021" w:type="dxa"/>
            <w:tcBorders>
              <w:top w:val="nil"/>
              <w:left w:val="nil"/>
              <w:bottom w:val="nil"/>
              <w:right w:val="nil"/>
            </w:tcBorders>
            <w:shd w:val="clear" w:color="auto" w:fill="auto"/>
            <w:vAlign w:val="bottom"/>
          </w:tcPr>
          <w:p w14:paraId="0EDD26B3" w14:textId="26EB7F6C" w:rsidR="00A26814" w:rsidRPr="00A44829" w:rsidRDefault="00A26814" w:rsidP="003E2D55">
            <w:pPr>
              <w:spacing w:before="40" w:after="40"/>
              <w:jc w:val="right"/>
              <w:rPr>
                <w:rFonts w:cs="Arial"/>
                <w:sz w:val="18"/>
                <w:szCs w:val="18"/>
              </w:rPr>
            </w:pPr>
            <w:r w:rsidRPr="00A44829">
              <w:rPr>
                <w:rFonts w:cs="Arial"/>
                <w:sz w:val="18"/>
                <w:szCs w:val="18"/>
              </w:rPr>
              <w:t>4,233</w:t>
            </w:r>
          </w:p>
        </w:tc>
      </w:tr>
      <w:tr w:rsidR="00A26814" w:rsidRPr="00A44829" w14:paraId="0824A75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1138A68" w14:textId="77777777" w:rsidR="00A26814" w:rsidRPr="00A44829" w:rsidRDefault="00A26814" w:rsidP="003E2D55">
            <w:pPr>
              <w:spacing w:before="40" w:after="40"/>
              <w:rPr>
                <w:rFonts w:cs="Arial"/>
                <w:sz w:val="18"/>
                <w:szCs w:val="18"/>
              </w:rPr>
            </w:pPr>
            <w:r w:rsidRPr="00A44829">
              <w:rPr>
                <w:rFonts w:cs="Arial"/>
                <w:sz w:val="18"/>
                <w:szCs w:val="18"/>
              </w:rPr>
              <w:t>Greater Shepparton C</w:t>
            </w:r>
          </w:p>
        </w:tc>
        <w:tc>
          <w:tcPr>
            <w:tcW w:w="1134" w:type="dxa"/>
            <w:tcBorders>
              <w:top w:val="nil"/>
              <w:left w:val="single" w:sz="18" w:space="0" w:color="5F497A" w:themeColor="accent4" w:themeShade="BF"/>
              <w:bottom w:val="nil"/>
              <w:right w:val="nil"/>
            </w:tcBorders>
            <w:shd w:val="clear" w:color="auto" w:fill="auto"/>
            <w:vAlign w:val="bottom"/>
          </w:tcPr>
          <w:p w14:paraId="05B18D0E" w14:textId="338425C8" w:rsidR="00A26814" w:rsidRPr="00A44829" w:rsidRDefault="00A26814" w:rsidP="003E2D55">
            <w:pPr>
              <w:spacing w:before="40" w:after="40"/>
              <w:jc w:val="right"/>
              <w:rPr>
                <w:rFonts w:cs="Arial"/>
                <w:sz w:val="18"/>
                <w:szCs w:val="18"/>
              </w:rPr>
            </w:pPr>
            <w:r w:rsidRPr="00A44829">
              <w:rPr>
                <w:rFonts w:cs="Arial"/>
                <w:sz w:val="18"/>
                <w:szCs w:val="18"/>
              </w:rPr>
              <w:t>426</w:t>
            </w:r>
          </w:p>
        </w:tc>
        <w:tc>
          <w:tcPr>
            <w:tcW w:w="1134" w:type="dxa"/>
            <w:tcBorders>
              <w:top w:val="nil"/>
              <w:left w:val="nil"/>
              <w:bottom w:val="nil"/>
              <w:right w:val="nil"/>
            </w:tcBorders>
            <w:vAlign w:val="bottom"/>
          </w:tcPr>
          <w:p w14:paraId="077CFA54" w14:textId="6FAA316F" w:rsidR="00A26814" w:rsidRPr="00A44829" w:rsidRDefault="00A26814" w:rsidP="003E2D55">
            <w:pPr>
              <w:spacing w:before="40" w:after="40"/>
              <w:jc w:val="right"/>
              <w:rPr>
                <w:rFonts w:cs="Arial"/>
                <w:sz w:val="18"/>
                <w:szCs w:val="18"/>
              </w:rPr>
            </w:pPr>
            <w:r w:rsidRPr="00A44829">
              <w:rPr>
                <w:rFonts w:cs="Arial"/>
                <w:sz w:val="18"/>
                <w:szCs w:val="18"/>
              </w:rPr>
              <w:t>2,091</w:t>
            </w:r>
          </w:p>
        </w:tc>
        <w:tc>
          <w:tcPr>
            <w:tcW w:w="1247" w:type="dxa"/>
            <w:tcBorders>
              <w:top w:val="nil"/>
              <w:left w:val="nil"/>
              <w:bottom w:val="nil"/>
              <w:right w:val="nil"/>
            </w:tcBorders>
            <w:vAlign w:val="bottom"/>
          </w:tcPr>
          <w:p w14:paraId="609C0A62" w14:textId="6F376FF9" w:rsidR="00A26814" w:rsidRPr="00A44829" w:rsidRDefault="00A26814" w:rsidP="003E2D55">
            <w:pPr>
              <w:spacing w:before="40" w:after="40"/>
              <w:jc w:val="right"/>
              <w:rPr>
                <w:rFonts w:cs="Arial"/>
                <w:b/>
                <w:sz w:val="18"/>
                <w:szCs w:val="18"/>
              </w:rPr>
            </w:pPr>
            <w:r w:rsidRPr="00A44829">
              <w:rPr>
                <w:rFonts w:cs="Arial"/>
                <w:b/>
                <w:sz w:val="18"/>
                <w:szCs w:val="18"/>
              </w:rPr>
              <w:t>2,517</w:t>
            </w:r>
          </w:p>
        </w:tc>
        <w:tc>
          <w:tcPr>
            <w:tcW w:w="1247" w:type="dxa"/>
            <w:tcBorders>
              <w:top w:val="nil"/>
              <w:left w:val="nil"/>
              <w:bottom w:val="nil"/>
              <w:right w:val="nil"/>
            </w:tcBorders>
            <w:shd w:val="clear" w:color="auto" w:fill="auto"/>
            <w:vAlign w:val="bottom"/>
          </w:tcPr>
          <w:p w14:paraId="5D472F56" w14:textId="3CCF9F04" w:rsidR="00A26814" w:rsidRPr="00A44829" w:rsidRDefault="00A26814" w:rsidP="003E2D55">
            <w:pPr>
              <w:spacing w:before="40" w:after="40"/>
              <w:jc w:val="right"/>
              <w:rPr>
                <w:rFonts w:cs="Arial"/>
                <w:b/>
                <w:sz w:val="18"/>
                <w:szCs w:val="18"/>
              </w:rPr>
            </w:pPr>
            <w:r w:rsidRPr="00A44829">
              <w:rPr>
                <w:rFonts w:cs="Arial"/>
                <w:b/>
                <w:sz w:val="18"/>
                <w:szCs w:val="18"/>
              </w:rPr>
              <w:t>1,304</w:t>
            </w:r>
          </w:p>
        </w:tc>
        <w:tc>
          <w:tcPr>
            <w:tcW w:w="1021" w:type="dxa"/>
            <w:tcBorders>
              <w:top w:val="nil"/>
              <w:left w:val="nil"/>
              <w:bottom w:val="nil"/>
              <w:right w:val="nil"/>
            </w:tcBorders>
            <w:shd w:val="clear" w:color="auto" w:fill="auto"/>
            <w:vAlign w:val="bottom"/>
          </w:tcPr>
          <w:p w14:paraId="0EEFD900" w14:textId="0414242A" w:rsidR="00A26814" w:rsidRPr="00A44829" w:rsidRDefault="00A26814" w:rsidP="003E2D55">
            <w:pPr>
              <w:spacing w:before="40" w:after="40"/>
              <w:jc w:val="right"/>
              <w:rPr>
                <w:rFonts w:cs="Arial"/>
                <w:sz w:val="18"/>
                <w:szCs w:val="18"/>
              </w:rPr>
            </w:pPr>
            <w:r w:rsidRPr="00A44829">
              <w:rPr>
                <w:rFonts w:cs="Arial"/>
                <w:sz w:val="18"/>
                <w:szCs w:val="18"/>
              </w:rPr>
              <w:t>676</w:t>
            </w:r>
          </w:p>
        </w:tc>
        <w:tc>
          <w:tcPr>
            <w:tcW w:w="1021" w:type="dxa"/>
            <w:tcBorders>
              <w:top w:val="nil"/>
              <w:left w:val="nil"/>
              <w:bottom w:val="nil"/>
              <w:right w:val="nil"/>
            </w:tcBorders>
            <w:shd w:val="clear" w:color="auto" w:fill="auto"/>
            <w:vAlign w:val="bottom"/>
          </w:tcPr>
          <w:p w14:paraId="226497EA" w14:textId="13BC0C38" w:rsidR="00A26814" w:rsidRPr="00A44829" w:rsidRDefault="00A26814" w:rsidP="003E2D55">
            <w:pPr>
              <w:spacing w:before="40" w:after="40"/>
              <w:jc w:val="right"/>
              <w:rPr>
                <w:rFonts w:cs="Arial"/>
                <w:sz w:val="18"/>
                <w:szCs w:val="18"/>
              </w:rPr>
            </w:pPr>
            <w:r w:rsidRPr="00A44829">
              <w:rPr>
                <w:rFonts w:cs="Arial"/>
                <w:sz w:val="18"/>
                <w:szCs w:val="18"/>
              </w:rPr>
              <w:t>5,196</w:t>
            </w:r>
          </w:p>
        </w:tc>
      </w:tr>
      <w:tr w:rsidR="00A26814" w:rsidRPr="00A44829" w14:paraId="5DFAA9A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134FC25" w14:textId="77777777" w:rsidR="00A26814" w:rsidRPr="00A44829" w:rsidRDefault="00A26814" w:rsidP="003E2D55">
            <w:pPr>
              <w:spacing w:before="40" w:after="40"/>
              <w:rPr>
                <w:rFonts w:cs="Arial"/>
                <w:sz w:val="18"/>
                <w:szCs w:val="18"/>
              </w:rPr>
            </w:pPr>
            <w:r w:rsidRPr="00A44829">
              <w:rPr>
                <w:rFonts w:cs="Arial"/>
                <w:sz w:val="18"/>
                <w:szCs w:val="18"/>
              </w:rPr>
              <w:t>Hepburn S</w:t>
            </w:r>
          </w:p>
        </w:tc>
        <w:tc>
          <w:tcPr>
            <w:tcW w:w="1134" w:type="dxa"/>
            <w:tcBorders>
              <w:top w:val="nil"/>
              <w:left w:val="single" w:sz="18" w:space="0" w:color="5F497A" w:themeColor="accent4" w:themeShade="BF"/>
              <w:bottom w:val="nil"/>
              <w:right w:val="nil"/>
            </w:tcBorders>
            <w:shd w:val="clear" w:color="auto" w:fill="auto"/>
            <w:vAlign w:val="bottom"/>
          </w:tcPr>
          <w:p w14:paraId="68B9BFC0" w14:textId="302D7339" w:rsidR="00A26814" w:rsidRPr="00A44829" w:rsidRDefault="00A26814" w:rsidP="003E2D55">
            <w:pPr>
              <w:spacing w:before="40" w:after="40"/>
              <w:jc w:val="right"/>
              <w:rPr>
                <w:rFonts w:cs="Arial"/>
                <w:sz w:val="18"/>
                <w:szCs w:val="18"/>
              </w:rPr>
            </w:pPr>
            <w:r w:rsidRPr="00A44829">
              <w:rPr>
                <w:rFonts w:cs="Arial"/>
                <w:sz w:val="18"/>
                <w:szCs w:val="18"/>
              </w:rPr>
              <w:t>407</w:t>
            </w:r>
          </w:p>
        </w:tc>
        <w:tc>
          <w:tcPr>
            <w:tcW w:w="1134" w:type="dxa"/>
            <w:tcBorders>
              <w:top w:val="nil"/>
              <w:left w:val="nil"/>
              <w:bottom w:val="nil"/>
              <w:right w:val="nil"/>
            </w:tcBorders>
            <w:vAlign w:val="bottom"/>
          </w:tcPr>
          <w:p w14:paraId="38FE1E50" w14:textId="5AAA11FF" w:rsidR="00A26814" w:rsidRPr="00A44829" w:rsidRDefault="00A26814" w:rsidP="003E2D55">
            <w:pPr>
              <w:spacing w:before="40" w:after="40"/>
              <w:jc w:val="right"/>
              <w:rPr>
                <w:rFonts w:cs="Arial"/>
                <w:sz w:val="18"/>
                <w:szCs w:val="18"/>
              </w:rPr>
            </w:pPr>
            <w:r w:rsidRPr="00A44829">
              <w:rPr>
                <w:rFonts w:cs="Arial"/>
                <w:sz w:val="18"/>
                <w:szCs w:val="18"/>
              </w:rPr>
              <w:t>1,096</w:t>
            </w:r>
          </w:p>
        </w:tc>
        <w:tc>
          <w:tcPr>
            <w:tcW w:w="1247" w:type="dxa"/>
            <w:tcBorders>
              <w:top w:val="nil"/>
              <w:left w:val="nil"/>
              <w:bottom w:val="nil"/>
              <w:right w:val="nil"/>
            </w:tcBorders>
            <w:vAlign w:val="bottom"/>
          </w:tcPr>
          <w:p w14:paraId="07DDC825" w14:textId="498137A2" w:rsidR="00A26814" w:rsidRPr="00A44829" w:rsidRDefault="00A26814" w:rsidP="003E2D55">
            <w:pPr>
              <w:spacing w:before="40" w:after="40"/>
              <w:jc w:val="right"/>
              <w:rPr>
                <w:rFonts w:cs="Arial"/>
                <w:b/>
                <w:sz w:val="18"/>
                <w:szCs w:val="18"/>
              </w:rPr>
            </w:pPr>
            <w:r w:rsidRPr="00A44829">
              <w:rPr>
                <w:rFonts w:cs="Arial"/>
                <w:b/>
                <w:sz w:val="18"/>
                <w:szCs w:val="18"/>
              </w:rPr>
              <w:t>1,503</w:t>
            </w:r>
          </w:p>
        </w:tc>
        <w:tc>
          <w:tcPr>
            <w:tcW w:w="1247" w:type="dxa"/>
            <w:tcBorders>
              <w:top w:val="nil"/>
              <w:left w:val="nil"/>
              <w:bottom w:val="nil"/>
              <w:right w:val="nil"/>
            </w:tcBorders>
            <w:shd w:val="clear" w:color="auto" w:fill="auto"/>
            <w:vAlign w:val="bottom"/>
          </w:tcPr>
          <w:p w14:paraId="6253E830" w14:textId="7D400D13" w:rsidR="00A26814" w:rsidRPr="00A44829" w:rsidRDefault="00A26814" w:rsidP="003E2D55">
            <w:pPr>
              <w:spacing w:before="40" w:after="40"/>
              <w:jc w:val="right"/>
              <w:rPr>
                <w:rFonts w:cs="Arial"/>
                <w:b/>
                <w:sz w:val="18"/>
                <w:szCs w:val="18"/>
              </w:rPr>
            </w:pPr>
            <w:r w:rsidRPr="00A44829">
              <w:rPr>
                <w:rFonts w:cs="Arial"/>
                <w:b/>
                <w:sz w:val="18"/>
                <w:szCs w:val="18"/>
              </w:rPr>
              <w:t>209</w:t>
            </w:r>
          </w:p>
        </w:tc>
        <w:tc>
          <w:tcPr>
            <w:tcW w:w="1021" w:type="dxa"/>
            <w:tcBorders>
              <w:top w:val="nil"/>
              <w:left w:val="nil"/>
              <w:bottom w:val="nil"/>
              <w:right w:val="nil"/>
            </w:tcBorders>
            <w:shd w:val="clear" w:color="auto" w:fill="auto"/>
            <w:vAlign w:val="bottom"/>
          </w:tcPr>
          <w:p w14:paraId="47FF74D8" w14:textId="1D42A032" w:rsidR="00A26814" w:rsidRPr="00A44829" w:rsidRDefault="00A26814" w:rsidP="003E2D55">
            <w:pPr>
              <w:spacing w:before="40" w:after="40"/>
              <w:jc w:val="right"/>
              <w:rPr>
                <w:rFonts w:cs="Arial"/>
                <w:sz w:val="18"/>
                <w:szCs w:val="18"/>
              </w:rPr>
            </w:pPr>
            <w:r w:rsidRPr="00A44829">
              <w:rPr>
                <w:rFonts w:cs="Arial"/>
                <w:sz w:val="18"/>
                <w:szCs w:val="18"/>
              </w:rPr>
              <w:t>353</w:t>
            </w:r>
          </w:p>
        </w:tc>
        <w:tc>
          <w:tcPr>
            <w:tcW w:w="1021" w:type="dxa"/>
            <w:tcBorders>
              <w:top w:val="nil"/>
              <w:left w:val="nil"/>
              <w:bottom w:val="nil"/>
              <w:right w:val="nil"/>
            </w:tcBorders>
            <w:shd w:val="clear" w:color="auto" w:fill="auto"/>
            <w:vAlign w:val="bottom"/>
          </w:tcPr>
          <w:p w14:paraId="2E326287" w14:textId="20084F3F" w:rsidR="00A26814" w:rsidRPr="00A44829" w:rsidRDefault="00A26814" w:rsidP="003E2D55">
            <w:pPr>
              <w:spacing w:before="40" w:after="40"/>
              <w:jc w:val="right"/>
              <w:rPr>
                <w:rFonts w:cs="Arial"/>
                <w:sz w:val="18"/>
                <w:szCs w:val="18"/>
              </w:rPr>
            </w:pPr>
            <w:r w:rsidRPr="00A44829">
              <w:rPr>
                <w:rFonts w:cs="Arial"/>
                <w:sz w:val="18"/>
                <w:szCs w:val="18"/>
              </w:rPr>
              <w:t>5,779</w:t>
            </w:r>
          </w:p>
        </w:tc>
      </w:tr>
      <w:tr w:rsidR="00A26814" w:rsidRPr="00A44829" w14:paraId="5C73B4F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44AAED3" w14:textId="77777777" w:rsidR="00A26814" w:rsidRPr="00A44829" w:rsidRDefault="00A26814" w:rsidP="003E2D55">
            <w:pPr>
              <w:spacing w:before="40" w:after="40"/>
              <w:rPr>
                <w:rFonts w:cs="Arial"/>
                <w:sz w:val="18"/>
                <w:szCs w:val="18"/>
              </w:rPr>
            </w:pPr>
            <w:r w:rsidRPr="00A44829">
              <w:rPr>
                <w:rFonts w:cs="Arial"/>
                <w:sz w:val="18"/>
                <w:szCs w:val="18"/>
              </w:rPr>
              <w:t>Hindmarsh S</w:t>
            </w:r>
          </w:p>
        </w:tc>
        <w:tc>
          <w:tcPr>
            <w:tcW w:w="1134" w:type="dxa"/>
            <w:tcBorders>
              <w:top w:val="nil"/>
              <w:left w:val="single" w:sz="18" w:space="0" w:color="5F497A" w:themeColor="accent4" w:themeShade="BF"/>
              <w:bottom w:val="nil"/>
              <w:right w:val="nil"/>
            </w:tcBorders>
            <w:shd w:val="clear" w:color="auto" w:fill="auto"/>
            <w:vAlign w:val="bottom"/>
          </w:tcPr>
          <w:p w14:paraId="7021C1F8" w14:textId="79D4D663" w:rsidR="00A26814" w:rsidRPr="00A44829" w:rsidRDefault="00A26814" w:rsidP="003E2D55">
            <w:pPr>
              <w:spacing w:before="40" w:after="40"/>
              <w:jc w:val="right"/>
              <w:rPr>
                <w:rFonts w:cs="Arial"/>
                <w:sz w:val="18"/>
                <w:szCs w:val="18"/>
              </w:rPr>
            </w:pPr>
            <w:r w:rsidRPr="00A44829">
              <w:rPr>
                <w:rFonts w:cs="Arial"/>
                <w:sz w:val="18"/>
                <w:szCs w:val="18"/>
              </w:rPr>
              <w:t>119</w:t>
            </w:r>
          </w:p>
        </w:tc>
        <w:tc>
          <w:tcPr>
            <w:tcW w:w="1134" w:type="dxa"/>
            <w:tcBorders>
              <w:top w:val="nil"/>
              <w:left w:val="nil"/>
              <w:bottom w:val="nil"/>
              <w:right w:val="nil"/>
            </w:tcBorders>
            <w:vAlign w:val="bottom"/>
          </w:tcPr>
          <w:p w14:paraId="5A1B47E5" w14:textId="75317E23" w:rsidR="00A26814" w:rsidRPr="00A44829" w:rsidRDefault="00A26814" w:rsidP="003E2D55">
            <w:pPr>
              <w:spacing w:before="40" w:after="40"/>
              <w:jc w:val="right"/>
              <w:rPr>
                <w:rFonts w:cs="Arial"/>
                <w:sz w:val="18"/>
                <w:szCs w:val="18"/>
              </w:rPr>
            </w:pPr>
            <w:r w:rsidRPr="00A44829">
              <w:rPr>
                <w:rFonts w:cs="Arial"/>
                <w:sz w:val="18"/>
                <w:szCs w:val="18"/>
              </w:rPr>
              <w:t>3,063</w:t>
            </w:r>
          </w:p>
        </w:tc>
        <w:tc>
          <w:tcPr>
            <w:tcW w:w="1247" w:type="dxa"/>
            <w:tcBorders>
              <w:top w:val="nil"/>
              <w:left w:val="nil"/>
              <w:bottom w:val="nil"/>
              <w:right w:val="nil"/>
            </w:tcBorders>
            <w:vAlign w:val="bottom"/>
          </w:tcPr>
          <w:p w14:paraId="63A1FF52" w14:textId="06C0ED65" w:rsidR="00A26814" w:rsidRPr="00A44829" w:rsidRDefault="00A26814" w:rsidP="003E2D55">
            <w:pPr>
              <w:spacing w:before="40" w:after="40"/>
              <w:jc w:val="right"/>
              <w:rPr>
                <w:rFonts w:cs="Arial"/>
                <w:b/>
                <w:sz w:val="18"/>
                <w:szCs w:val="18"/>
              </w:rPr>
            </w:pPr>
            <w:r w:rsidRPr="00A44829">
              <w:rPr>
                <w:rFonts w:cs="Arial"/>
                <w:b/>
                <w:sz w:val="18"/>
                <w:szCs w:val="18"/>
              </w:rPr>
              <w:t>3,182</w:t>
            </w:r>
          </w:p>
        </w:tc>
        <w:tc>
          <w:tcPr>
            <w:tcW w:w="1247" w:type="dxa"/>
            <w:tcBorders>
              <w:top w:val="nil"/>
              <w:left w:val="nil"/>
              <w:bottom w:val="nil"/>
              <w:right w:val="nil"/>
            </w:tcBorders>
            <w:shd w:val="clear" w:color="auto" w:fill="auto"/>
            <w:vAlign w:val="bottom"/>
          </w:tcPr>
          <w:p w14:paraId="58CCD28A" w14:textId="325FE5BA" w:rsidR="00A26814" w:rsidRPr="00A44829" w:rsidRDefault="00A26814" w:rsidP="003E2D55">
            <w:pPr>
              <w:spacing w:before="40" w:after="40"/>
              <w:jc w:val="right"/>
              <w:rPr>
                <w:rFonts w:cs="Arial"/>
                <w:b/>
                <w:sz w:val="18"/>
                <w:szCs w:val="18"/>
              </w:rPr>
            </w:pPr>
            <w:r w:rsidRPr="00A44829">
              <w:rPr>
                <w:rFonts w:cs="Arial"/>
                <w:b/>
                <w:sz w:val="18"/>
                <w:szCs w:val="18"/>
              </w:rPr>
              <w:t>335</w:t>
            </w:r>
          </w:p>
        </w:tc>
        <w:tc>
          <w:tcPr>
            <w:tcW w:w="1021" w:type="dxa"/>
            <w:tcBorders>
              <w:top w:val="nil"/>
              <w:left w:val="nil"/>
              <w:bottom w:val="nil"/>
              <w:right w:val="nil"/>
            </w:tcBorders>
            <w:shd w:val="clear" w:color="auto" w:fill="auto"/>
            <w:vAlign w:val="bottom"/>
          </w:tcPr>
          <w:p w14:paraId="44B5EB99" w14:textId="23FCE697" w:rsidR="00A26814" w:rsidRPr="00A44829" w:rsidRDefault="00A26814" w:rsidP="003E2D55">
            <w:pPr>
              <w:spacing w:before="40" w:after="40"/>
              <w:jc w:val="right"/>
              <w:rPr>
                <w:rFonts w:cs="Arial"/>
                <w:sz w:val="18"/>
                <w:szCs w:val="18"/>
              </w:rPr>
            </w:pPr>
            <w:r w:rsidRPr="00A44829">
              <w:rPr>
                <w:rFonts w:cs="Arial"/>
                <w:sz w:val="18"/>
                <w:szCs w:val="18"/>
              </w:rPr>
              <w:t>0</w:t>
            </w:r>
          </w:p>
        </w:tc>
        <w:tc>
          <w:tcPr>
            <w:tcW w:w="1021" w:type="dxa"/>
            <w:tcBorders>
              <w:top w:val="nil"/>
              <w:left w:val="nil"/>
              <w:bottom w:val="nil"/>
              <w:right w:val="nil"/>
            </w:tcBorders>
            <w:shd w:val="clear" w:color="auto" w:fill="auto"/>
            <w:vAlign w:val="bottom"/>
          </w:tcPr>
          <w:p w14:paraId="121C22E7" w14:textId="3826F66A" w:rsidR="00A26814" w:rsidRPr="00A44829" w:rsidRDefault="00A26814" w:rsidP="003E2D55">
            <w:pPr>
              <w:spacing w:before="40" w:after="40"/>
              <w:jc w:val="right"/>
              <w:rPr>
                <w:rFonts w:cs="Arial"/>
                <w:sz w:val="18"/>
                <w:szCs w:val="18"/>
              </w:rPr>
            </w:pPr>
            <w:r w:rsidRPr="00A44829">
              <w:rPr>
                <w:rFonts w:cs="Arial"/>
                <w:sz w:val="18"/>
                <w:szCs w:val="18"/>
              </w:rPr>
              <w:t>1,699</w:t>
            </w:r>
          </w:p>
        </w:tc>
      </w:tr>
      <w:tr w:rsidR="00A26814" w:rsidRPr="00A44829" w14:paraId="2AF6AD1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DF302CF" w14:textId="77777777" w:rsidR="00A26814" w:rsidRPr="00A44829" w:rsidRDefault="00A26814" w:rsidP="003E2D55">
            <w:pPr>
              <w:spacing w:before="40" w:after="40"/>
              <w:rPr>
                <w:rFonts w:cs="Arial"/>
                <w:sz w:val="18"/>
                <w:szCs w:val="18"/>
              </w:rPr>
            </w:pPr>
            <w:r w:rsidRPr="00A44829">
              <w:rPr>
                <w:rFonts w:cs="Arial"/>
                <w:sz w:val="18"/>
                <w:szCs w:val="18"/>
              </w:rPr>
              <w:t>Hobsons Bay C</w:t>
            </w:r>
          </w:p>
        </w:tc>
        <w:tc>
          <w:tcPr>
            <w:tcW w:w="1134" w:type="dxa"/>
            <w:tcBorders>
              <w:top w:val="nil"/>
              <w:left w:val="single" w:sz="18" w:space="0" w:color="5F497A" w:themeColor="accent4" w:themeShade="BF"/>
              <w:bottom w:val="nil"/>
              <w:right w:val="nil"/>
            </w:tcBorders>
            <w:shd w:val="clear" w:color="auto" w:fill="auto"/>
            <w:vAlign w:val="bottom"/>
          </w:tcPr>
          <w:p w14:paraId="4EBFA22E" w14:textId="49C805E4" w:rsidR="00A26814" w:rsidRPr="00A44829" w:rsidRDefault="00A26814" w:rsidP="003E2D55">
            <w:pPr>
              <w:spacing w:before="40" w:after="40"/>
              <w:jc w:val="right"/>
              <w:rPr>
                <w:rFonts w:cs="Arial"/>
                <w:sz w:val="18"/>
                <w:szCs w:val="18"/>
              </w:rPr>
            </w:pPr>
            <w:r w:rsidRPr="00A44829">
              <w:rPr>
                <w:rFonts w:cs="Arial"/>
                <w:sz w:val="18"/>
                <w:szCs w:val="18"/>
              </w:rPr>
              <w:t>425</w:t>
            </w:r>
          </w:p>
        </w:tc>
        <w:tc>
          <w:tcPr>
            <w:tcW w:w="1134" w:type="dxa"/>
            <w:tcBorders>
              <w:top w:val="nil"/>
              <w:left w:val="nil"/>
              <w:bottom w:val="nil"/>
              <w:right w:val="nil"/>
            </w:tcBorders>
            <w:vAlign w:val="bottom"/>
          </w:tcPr>
          <w:p w14:paraId="28BD9687" w14:textId="1996DD50" w:rsidR="00A26814" w:rsidRPr="00A44829" w:rsidRDefault="00A26814" w:rsidP="003E2D55">
            <w:pPr>
              <w:spacing w:before="40" w:after="40"/>
              <w:jc w:val="right"/>
              <w:rPr>
                <w:rFonts w:cs="Arial"/>
                <w:sz w:val="18"/>
                <w:szCs w:val="18"/>
              </w:rPr>
            </w:pPr>
            <w:r w:rsidRPr="00A44829">
              <w:rPr>
                <w:rFonts w:cs="Arial"/>
                <w:sz w:val="18"/>
                <w:szCs w:val="18"/>
              </w:rPr>
              <w:t>0</w:t>
            </w:r>
          </w:p>
        </w:tc>
        <w:tc>
          <w:tcPr>
            <w:tcW w:w="1247" w:type="dxa"/>
            <w:tcBorders>
              <w:top w:val="nil"/>
              <w:left w:val="nil"/>
              <w:bottom w:val="nil"/>
              <w:right w:val="nil"/>
            </w:tcBorders>
            <w:vAlign w:val="bottom"/>
          </w:tcPr>
          <w:p w14:paraId="0C448E64" w14:textId="4BB5059A" w:rsidR="00A26814" w:rsidRPr="00A44829" w:rsidRDefault="00A26814" w:rsidP="003E2D55">
            <w:pPr>
              <w:spacing w:before="40" w:after="40"/>
              <w:jc w:val="right"/>
              <w:rPr>
                <w:rFonts w:cs="Arial"/>
                <w:b/>
                <w:sz w:val="18"/>
                <w:szCs w:val="18"/>
              </w:rPr>
            </w:pPr>
            <w:r w:rsidRPr="00A44829">
              <w:rPr>
                <w:rFonts w:cs="Arial"/>
                <w:b/>
                <w:sz w:val="18"/>
                <w:szCs w:val="18"/>
              </w:rPr>
              <w:t>425</w:t>
            </w:r>
          </w:p>
        </w:tc>
        <w:tc>
          <w:tcPr>
            <w:tcW w:w="1247" w:type="dxa"/>
            <w:tcBorders>
              <w:top w:val="nil"/>
              <w:left w:val="nil"/>
              <w:bottom w:val="nil"/>
              <w:right w:val="nil"/>
            </w:tcBorders>
            <w:shd w:val="clear" w:color="auto" w:fill="auto"/>
            <w:vAlign w:val="bottom"/>
          </w:tcPr>
          <w:p w14:paraId="3D174189" w14:textId="7AA4BFFB" w:rsidR="00A26814" w:rsidRPr="00A44829" w:rsidRDefault="00A26814" w:rsidP="003E2D55">
            <w:pPr>
              <w:spacing w:before="40" w:after="40"/>
              <w:jc w:val="right"/>
              <w:rPr>
                <w:rFonts w:cs="Arial"/>
                <w:b/>
                <w:sz w:val="18"/>
                <w:szCs w:val="18"/>
              </w:rPr>
            </w:pPr>
            <w:r w:rsidRPr="00A44829">
              <w:rPr>
                <w:rFonts w:cs="Arial"/>
                <w:b/>
                <w:sz w:val="18"/>
                <w:szCs w:val="18"/>
              </w:rPr>
              <w:t>65</w:t>
            </w:r>
          </w:p>
        </w:tc>
        <w:tc>
          <w:tcPr>
            <w:tcW w:w="1021" w:type="dxa"/>
            <w:tcBorders>
              <w:top w:val="nil"/>
              <w:left w:val="nil"/>
              <w:bottom w:val="nil"/>
              <w:right w:val="nil"/>
            </w:tcBorders>
            <w:shd w:val="clear" w:color="auto" w:fill="auto"/>
            <w:vAlign w:val="bottom"/>
          </w:tcPr>
          <w:p w14:paraId="4039E8E1" w14:textId="1D65F4A0" w:rsidR="00A26814" w:rsidRPr="00A44829" w:rsidRDefault="00A26814" w:rsidP="003E2D55">
            <w:pPr>
              <w:spacing w:before="40" w:after="40"/>
              <w:jc w:val="right"/>
              <w:rPr>
                <w:rFonts w:cs="Arial"/>
                <w:sz w:val="18"/>
                <w:szCs w:val="18"/>
              </w:rPr>
            </w:pPr>
            <w:r w:rsidRPr="00A44829">
              <w:rPr>
                <w:rFonts w:cs="Arial"/>
                <w:sz w:val="18"/>
                <w:szCs w:val="18"/>
              </w:rPr>
              <w:t>0</w:t>
            </w:r>
          </w:p>
        </w:tc>
        <w:tc>
          <w:tcPr>
            <w:tcW w:w="1021" w:type="dxa"/>
            <w:tcBorders>
              <w:top w:val="nil"/>
              <w:left w:val="nil"/>
              <w:bottom w:val="nil"/>
              <w:right w:val="nil"/>
            </w:tcBorders>
            <w:shd w:val="clear" w:color="auto" w:fill="auto"/>
            <w:vAlign w:val="bottom"/>
          </w:tcPr>
          <w:p w14:paraId="08A7DDDA" w14:textId="6B665C17" w:rsidR="00A26814" w:rsidRPr="00A44829" w:rsidRDefault="00A26814" w:rsidP="003E2D55">
            <w:pPr>
              <w:spacing w:before="40" w:after="40"/>
              <w:jc w:val="right"/>
              <w:rPr>
                <w:rFonts w:cs="Arial"/>
                <w:sz w:val="18"/>
                <w:szCs w:val="18"/>
              </w:rPr>
            </w:pPr>
            <w:r w:rsidRPr="00A44829">
              <w:rPr>
                <w:rFonts w:cs="Arial"/>
                <w:sz w:val="18"/>
                <w:szCs w:val="18"/>
              </w:rPr>
              <w:t>365</w:t>
            </w:r>
          </w:p>
        </w:tc>
      </w:tr>
      <w:tr w:rsidR="00A26814" w:rsidRPr="00A44829" w14:paraId="098FF90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45A39D8" w14:textId="77777777" w:rsidR="00A26814" w:rsidRPr="00A44829" w:rsidRDefault="00A26814" w:rsidP="003E2D55">
            <w:pPr>
              <w:spacing w:before="40" w:after="40"/>
              <w:rPr>
                <w:rFonts w:cs="Arial"/>
                <w:sz w:val="18"/>
                <w:szCs w:val="18"/>
              </w:rPr>
            </w:pPr>
            <w:r w:rsidRPr="00A44829">
              <w:rPr>
                <w:rFonts w:cs="Arial"/>
                <w:sz w:val="18"/>
                <w:szCs w:val="18"/>
              </w:rPr>
              <w:t>Horsham RC</w:t>
            </w:r>
          </w:p>
        </w:tc>
        <w:tc>
          <w:tcPr>
            <w:tcW w:w="1134" w:type="dxa"/>
            <w:tcBorders>
              <w:top w:val="nil"/>
              <w:left w:val="single" w:sz="18" w:space="0" w:color="5F497A" w:themeColor="accent4" w:themeShade="BF"/>
              <w:bottom w:val="nil"/>
              <w:right w:val="nil"/>
            </w:tcBorders>
            <w:shd w:val="clear" w:color="auto" w:fill="auto"/>
            <w:vAlign w:val="bottom"/>
          </w:tcPr>
          <w:p w14:paraId="2469F70D" w14:textId="50E7C083" w:rsidR="00A26814" w:rsidRPr="00A44829" w:rsidRDefault="00A26814" w:rsidP="003E2D55">
            <w:pPr>
              <w:spacing w:before="40" w:after="40"/>
              <w:jc w:val="right"/>
              <w:rPr>
                <w:rFonts w:cs="Arial"/>
                <w:sz w:val="18"/>
                <w:szCs w:val="18"/>
              </w:rPr>
            </w:pPr>
            <w:r w:rsidRPr="00A44829">
              <w:rPr>
                <w:rFonts w:cs="Arial"/>
                <w:sz w:val="18"/>
                <w:szCs w:val="18"/>
              </w:rPr>
              <w:t>191</w:t>
            </w:r>
          </w:p>
        </w:tc>
        <w:tc>
          <w:tcPr>
            <w:tcW w:w="1134" w:type="dxa"/>
            <w:tcBorders>
              <w:top w:val="nil"/>
              <w:left w:val="nil"/>
              <w:bottom w:val="nil"/>
              <w:right w:val="nil"/>
            </w:tcBorders>
            <w:vAlign w:val="bottom"/>
          </w:tcPr>
          <w:p w14:paraId="10377090" w14:textId="65D139A1" w:rsidR="00A26814" w:rsidRPr="00A44829" w:rsidRDefault="00A26814" w:rsidP="003E2D55">
            <w:pPr>
              <w:spacing w:before="40" w:after="40"/>
              <w:jc w:val="right"/>
              <w:rPr>
                <w:rFonts w:cs="Arial"/>
                <w:sz w:val="18"/>
                <w:szCs w:val="18"/>
              </w:rPr>
            </w:pPr>
            <w:r w:rsidRPr="00A44829">
              <w:rPr>
                <w:rFonts w:cs="Arial"/>
                <w:sz w:val="18"/>
                <w:szCs w:val="18"/>
              </w:rPr>
              <w:t>2,783</w:t>
            </w:r>
          </w:p>
        </w:tc>
        <w:tc>
          <w:tcPr>
            <w:tcW w:w="1247" w:type="dxa"/>
            <w:tcBorders>
              <w:top w:val="nil"/>
              <w:left w:val="nil"/>
              <w:bottom w:val="nil"/>
              <w:right w:val="nil"/>
            </w:tcBorders>
            <w:vAlign w:val="bottom"/>
          </w:tcPr>
          <w:p w14:paraId="39E5F8B0" w14:textId="269CBFBD" w:rsidR="00A26814" w:rsidRPr="00A44829" w:rsidRDefault="00A26814" w:rsidP="003E2D55">
            <w:pPr>
              <w:spacing w:before="40" w:after="40"/>
              <w:jc w:val="right"/>
              <w:rPr>
                <w:rFonts w:cs="Arial"/>
                <w:b/>
                <w:sz w:val="18"/>
                <w:szCs w:val="18"/>
              </w:rPr>
            </w:pPr>
            <w:r w:rsidRPr="00A44829">
              <w:rPr>
                <w:rFonts w:cs="Arial"/>
                <w:b/>
                <w:sz w:val="18"/>
                <w:szCs w:val="18"/>
              </w:rPr>
              <w:t>2,974</w:t>
            </w:r>
          </w:p>
        </w:tc>
        <w:tc>
          <w:tcPr>
            <w:tcW w:w="1247" w:type="dxa"/>
            <w:tcBorders>
              <w:top w:val="nil"/>
              <w:left w:val="nil"/>
              <w:bottom w:val="nil"/>
              <w:right w:val="nil"/>
            </w:tcBorders>
            <w:shd w:val="clear" w:color="auto" w:fill="auto"/>
            <w:vAlign w:val="bottom"/>
          </w:tcPr>
          <w:p w14:paraId="46825081" w14:textId="66747EDD" w:rsidR="00A26814" w:rsidRPr="00A44829" w:rsidRDefault="00A26814" w:rsidP="003E2D55">
            <w:pPr>
              <w:spacing w:before="40" w:after="40"/>
              <w:jc w:val="right"/>
              <w:rPr>
                <w:rFonts w:cs="Arial"/>
                <w:b/>
                <w:sz w:val="18"/>
                <w:szCs w:val="18"/>
              </w:rPr>
            </w:pPr>
            <w:r w:rsidRPr="00A44829">
              <w:rPr>
                <w:rFonts w:cs="Arial"/>
                <w:b/>
                <w:sz w:val="18"/>
                <w:szCs w:val="18"/>
              </w:rPr>
              <w:t>516</w:t>
            </w:r>
          </w:p>
        </w:tc>
        <w:tc>
          <w:tcPr>
            <w:tcW w:w="1021" w:type="dxa"/>
            <w:tcBorders>
              <w:top w:val="nil"/>
              <w:left w:val="nil"/>
              <w:bottom w:val="nil"/>
              <w:right w:val="nil"/>
            </w:tcBorders>
            <w:shd w:val="clear" w:color="auto" w:fill="auto"/>
            <w:vAlign w:val="bottom"/>
          </w:tcPr>
          <w:p w14:paraId="1057332B" w14:textId="1E33CFE2" w:rsidR="00A26814" w:rsidRPr="00A44829" w:rsidRDefault="00A26814" w:rsidP="003E2D55">
            <w:pPr>
              <w:spacing w:before="40" w:after="40"/>
              <w:jc w:val="right"/>
              <w:rPr>
                <w:rFonts w:cs="Arial"/>
                <w:sz w:val="18"/>
                <w:szCs w:val="18"/>
              </w:rPr>
            </w:pPr>
            <w:r w:rsidRPr="00A44829">
              <w:rPr>
                <w:rFonts w:cs="Arial"/>
                <w:sz w:val="18"/>
                <w:szCs w:val="18"/>
              </w:rPr>
              <w:t>0</w:t>
            </w:r>
          </w:p>
        </w:tc>
        <w:tc>
          <w:tcPr>
            <w:tcW w:w="1021" w:type="dxa"/>
            <w:tcBorders>
              <w:top w:val="nil"/>
              <w:left w:val="nil"/>
              <w:bottom w:val="nil"/>
              <w:right w:val="nil"/>
            </w:tcBorders>
            <w:shd w:val="clear" w:color="auto" w:fill="auto"/>
            <w:vAlign w:val="bottom"/>
          </w:tcPr>
          <w:p w14:paraId="7C52A4FA" w14:textId="44BAE4A6" w:rsidR="00A26814" w:rsidRPr="00A44829" w:rsidRDefault="00A26814" w:rsidP="003E2D55">
            <w:pPr>
              <w:spacing w:before="40" w:after="40"/>
              <w:jc w:val="right"/>
              <w:rPr>
                <w:rFonts w:cs="Arial"/>
                <w:sz w:val="18"/>
                <w:szCs w:val="18"/>
              </w:rPr>
            </w:pPr>
            <w:r w:rsidRPr="00A44829">
              <w:rPr>
                <w:rFonts w:cs="Arial"/>
                <w:sz w:val="18"/>
                <w:szCs w:val="18"/>
              </w:rPr>
              <w:t>7,787</w:t>
            </w:r>
          </w:p>
        </w:tc>
      </w:tr>
      <w:tr w:rsidR="00A26814" w:rsidRPr="00A44829" w14:paraId="0EC9867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351D5F6" w14:textId="77777777" w:rsidR="00A26814" w:rsidRPr="00A44829" w:rsidRDefault="00A26814" w:rsidP="003E2D55">
            <w:pPr>
              <w:spacing w:before="40" w:after="40"/>
              <w:rPr>
                <w:rFonts w:cs="Arial"/>
                <w:sz w:val="18"/>
                <w:szCs w:val="18"/>
              </w:rPr>
            </w:pPr>
            <w:r w:rsidRPr="00A44829">
              <w:rPr>
                <w:rFonts w:cs="Arial"/>
                <w:sz w:val="18"/>
                <w:szCs w:val="18"/>
              </w:rPr>
              <w:t>Hume C</w:t>
            </w:r>
          </w:p>
        </w:tc>
        <w:tc>
          <w:tcPr>
            <w:tcW w:w="1134" w:type="dxa"/>
            <w:tcBorders>
              <w:top w:val="nil"/>
              <w:left w:val="single" w:sz="18" w:space="0" w:color="5F497A" w:themeColor="accent4" w:themeShade="BF"/>
              <w:bottom w:val="nil"/>
              <w:right w:val="nil"/>
            </w:tcBorders>
            <w:shd w:val="clear" w:color="auto" w:fill="auto"/>
            <w:vAlign w:val="bottom"/>
          </w:tcPr>
          <w:p w14:paraId="258A3CB3" w14:textId="50E27C16" w:rsidR="00A26814" w:rsidRPr="00A44829" w:rsidRDefault="00A26814" w:rsidP="003E2D55">
            <w:pPr>
              <w:spacing w:before="40" w:after="40"/>
              <w:jc w:val="right"/>
              <w:rPr>
                <w:rFonts w:cs="Arial"/>
                <w:sz w:val="18"/>
                <w:szCs w:val="18"/>
              </w:rPr>
            </w:pPr>
            <w:r w:rsidRPr="00A44829">
              <w:rPr>
                <w:rFonts w:cs="Arial"/>
                <w:sz w:val="18"/>
                <w:szCs w:val="18"/>
              </w:rPr>
              <w:t>1,066</w:t>
            </w:r>
          </w:p>
        </w:tc>
        <w:tc>
          <w:tcPr>
            <w:tcW w:w="1134" w:type="dxa"/>
            <w:tcBorders>
              <w:top w:val="nil"/>
              <w:left w:val="nil"/>
              <w:bottom w:val="nil"/>
              <w:right w:val="nil"/>
            </w:tcBorders>
            <w:vAlign w:val="bottom"/>
          </w:tcPr>
          <w:p w14:paraId="43475C18" w14:textId="1BBF3249" w:rsidR="00A26814" w:rsidRPr="00A44829" w:rsidRDefault="00A26814" w:rsidP="003E2D55">
            <w:pPr>
              <w:spacing w:before="40" w:after="40"/>
              <w:jc w:val="right"/>
              <w:rPr>
                <w:rFonts w:cs="Arial"/>
                <w:sz w:val="18"/>
                <w:szCs w:val="18"/>
              </w:rPr>
            </w:pPr>
            <w:r w:rsidRPr="00A44829">
              <w:rPr>
                <w:rFonts w:cs="Arial"/>
                <w:sz w:val="18"/>
                <w:szCs w:val="18"/>
              </w:rPr>
              <w:t>246</w:t>
            </w:r>
          </w:p>
        </w:tc>
        <w:tc>
          <w:tcPr>
            <w:tcW w:w="1247" w:type="dxa"/>
            <w:tcBorders>
              <w:top w:val="nil"/>
              <w:left w:val="nil"/>
              <w:bottom w:val="nil"/>
              <w:right w:val="nil"/>
            </w:tcBorders>
            <w:vAlign w:val="bottom"/>
          </w:tcPr>
          <w:p w14:paraId="23A4DFFC" w14:textId="10F8C947" w:rsidR="00A26814" w:rsidRPr="00A44829" w:rsidRDefault="00A26814" w:rsidP="003E2D55">
            <w:pPr>
              <w:spacing w:before="40" w:after="40"/>
              <w:jc w:val="right"/>
              <w:rPr>
                <w:rFonts w:cs="Arial"/>
                <w:b/>
                <w:sz w:val="18"/>
                <w:szCs w:val="18"/>
              </w:rPr>
            </w:pPr>
            <w:r w:rsidRPr="00A44829">
              <w:rPr>
                <w:rFonts w:cs="Arial"/>
                <w:b/>
                <w:sz w:val="18"/>
                <w:szCs w:val="18"/>
              </w:rPr>
              <w:t>1,312</w:t>
            </w:r>
          </w:p>
        </w:tc>
        <w:tc>
          <w:tcPr>
            <w:tcW w:w="1247" w:type="dxa"/>
            <w:tcBorders>
              <w:top w:val="nil"/>
              <w:left w:val="nil"/>
              <w:bottom w:val="nil"/>
              <w:right w:val="nil"/>
            </w:tcBorders>
            <w:shd w:val="clear" w:color="auto" w:fill="auto"/>
            <w:vAlign w:val="bottom"/>
          </w:tcPr>
          <w:p w14:paraId="0731832B" w14:textId="334E6975" w:rsidR="00A26814" w:rsidRPr="00A44829" w:rsidRDefault="00A26814" w:rsidP="003E2D55">
            <w:pPr>
              <w:spacing w:before="40" w:after="40"/>
              <w:jc w:val="right"/>
              <w:rPr>
                <w:rFonts w:cs="Arial"/>
                <w:b/>
                <w:sz w:val="18"/>
                <w:szCs w:val="18"/>
              </w:rPr>
            </w:pPr>
            <w:r w:rsidRPr="00A44829">
              <w:rPr>
                <w:rFonts w:cs="Arial"/>
                <w:b/>
                <w:sz w:val="18"/>
                <w:szCs w:val="18"/>
              </w:rPr>
              <w:t>170</w:t>
            </w:r>
          </w:p>
        </w:tc>
        <w:tc>
          <w:tcPr>
            <w:tcW w:w="1021" w:type="dxa"/>
            <w:tcBorders>
              <w:top w:val="nil"/>
              <w:left w:val="nil"/>
              <w:bottom w:val="nil"/>
              <w:right w:val="nil"/>
            </w:tcBorders>
            <w:shd w:val="clear" w:color="auto" w:fill="auto"/>
            <w:vAlign w:val="bottom"/>
          </w:tcPr>
          <w:p w14:paraId="1181BA14" w14:textId="62307DFA" w:rsidR="00A26814" w:rsidRPr="00A44829" w:rsidRDefault="00A26814" w:rsidP="003E2D55">
            <w:pPr>
              <w:spacing w:before="40" w:after="40"/>
              <w:jc w:val="right"/>
              <w:rPr>
                <w:rFonts w:cs="Arial"/>
                <w:sz w:val="18"/>
                <w:szCs w:val="18"/>
              </w:rPr>
            </w:pPr>
            <w:r w:rsidRPr="00A44829">
              <w:rPr>
                <w:rFonts w:cs="Arial"/>
                <w:sz w:val="18"/>
                <w:szCs w:val="18"/>
              </w:rPr>
              <w:t>60</w:t>
            </w:r>
          </w:p>
        </w:tc>
        <w:tc>
          <w:tcPr>
            <w:tcW w:w="1021" w:type="dxa"/>
            <w:tcBorders>
              <w:top w:val="nil"/>
              <w:left w:val="nil"/>
              <w:bottom w:val="nil"/>
              <w:right w:val="nil"/>
            </w:tcBorders>
            <w:shd w:val="clear" w:color="auto" w:fill="auto"/>
            <w:vAlign w:val="bottom"/>
          </w:tcPr>
          <w:p w14:paraId="38CC403F" w14:textId="795DBCCE" w:rsidR="00A26814" w:rsidRPr="00A44829" w:rsidRDefault="00A26814" w:rsidP="003E2D55">
            <w:pPr>
              <w:spacing w:before="40" w:after="40"/>
              <w:jc w:val="right"/>
              <w:rPr>
                <w:rFonts w:cs="Arial"/>
                <w:sz w:val="18"/>
                <w:szCs w:val="18"/>
              </w:rPr>
            </w:pPr>
            <w:r w:rsidRPr="00A44829">
              <w:rPr>
                <w:rFonts w:cs="Arial"/>
                <w:sz w:val="18"/>
                <w:szCs w:val="18"/>
              </w:rPr>
              <w:t>7,793</w:t>
            </w:r>
          </w:p>
        </w:tc>
      </w:tr>
      <w:tr w:rsidR="00A26814" w:rsidRPr="00A44829" w14:paraId="0A1C12B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437FA9D" w14:textId="77777777" w:rsidR="00A26814" w:rsidRPr="00A44829" w:rsidRDefault="00A26814" w:rsidP="003E2D55">
            <w:pPr>
              <w:spacing w:before="40" w:after="40"/>
              <w:rPr>
                <w:rFonts w:cs="Arial"/>
                <w:sz w:val="18"/>
                <w:szCs w:val="18"/>
              </w:rPr>
            </w:pPr>
            <w:r w:rsidRPr="00A44829">
              <w:rPr>
                <w:rFonts w:cs="Arial"/>
                <w:sz w:val="18"/>
                <w:szCs w:val="18"/>
              </w:rPr>
              <w:t>Indigo S</w:t>
            </w:r>
          </w:p>
        </w:tc>
        <w:tc>
          <w:tcPr>
            <w:tcW w:w="1134" w:type="dxa"/>
            <w:tcBorders>
              <w:top w:val="nil"/>
              <w:left w:val="single" w:sz="18" w:space="0" w:color="5F497A" w:themeColor="accent4" w:themeShade="BF"/>
              <w:bottom w:val="nil"/>
              <w:right w:val="nil"/>
            </w:tcBorders>
            <w:shd w:val="clear" w:color="auto" w:fill="auto"/>
            <w:vAlign w:val="bottom"/>
          </w:tcPr>
          <w:p w14:paraId="52963725" w14:textId="1C2114A3" w:rsidR="00A26814" w:rsidRPr="00A44829" w:rsidRDefault="00A26814" w:rsidP="003E2D55">
            <w:pPr>
              <w:spacing w:before="40" w:after="40"/>
              <w:jc w:val="right"/>
              <w:rPr>
                <w:rFonts w:cs="Arial"/>
                <w:sz w:val="18"/>
                <w:szCs w:val="18"/>
              </w:rPr>
            </w:pPr>
            <w:r w:rsidRPr="00A44829">
              <w:rPr>
                <w:rFonts w:cs="Arial"/>
                <w:sz w:val="18"/>
                <w:szCs w:val="18"/>
              </w:rPr>
              <w:t>149</w:t>
            </w:r>
          </w:p>
        </w:tc>
        <w:tc>
          <w:tcPr>
            <w:tcW w:w="1134" w:type="dxa"/>
            <w:tcBorders>
              <w:top w:val="nil"/>
              <w:left w:val="nil"/>
              <w:bottom w:val="nil"/>
              <w:right w:val="nil"/>
            </w:tcBorders>
            <w:vAlign w:val="bottom"/>
          </w:tcPr>
          <w:p w14:paraId="67CE65AC" w14:textId="3C2176F9" w:rsidR="00A26814" w:rsidRPr="00A44829" w:rsidRDefault="00A26814" w:rsidP="003E2D55">
            <w:pPr>
              <w:spacing w:before="40" w:after="40"/>
              <w:jc w:val="right"/>
              <w:rPr>
                <w:rFonts w:cs="Arial"/>
                <w:sz w:val="18"/>
                <w:szCs w:val="18"/>
              </w:rPr>
            </w:pPr>
            <w:r w:rsidRPr="00A44829">
              <w:rPr>
                <w:rFonts w:cs="Arial"/>
                <w:sz w:val="18"/>
                <w:szCs w:val="18"/>
              </w:rPr>
              <w:t>1,413</w:t>
            </w:r>
          </w:p>
        </w:tc>
        <w:tc>
          <w:tcPr>
            <w:tcW w:w="1247" w:type="dxa"/>
            <w:tcBorders>
              <w:top w:val="nil"/>
              <w:left w:val="nil"/>
              <w:bottom w:val="nil"/>
              <w:right w:val="nil"/>
            </w:tcBorders>
            <w:vAlign w:val="bottom"/>
          </w:tcPr>
          <w:p w14:paraId="741F7284" w14:textId="6ADE0C6A" w:rsidR="00A26814" w:rsidRPr="00A44829" w:rsidRDefault="00A26814" w:rsidP="003E2D55">
            <w:pPr>
              <w:spacing w:before="40" w:after="40"/>
              <w:jc w:val="right"/>
              <w:rPr>
                <w:rFonts w:cs="Arial"/>
                <w:b/>
                <w:sz w:val="18"/>
                <w:szCs w:val="18"/>
              </w:rPr>
            </w:pPr>
            <w:r w:rsidRPr="00A44829">
              <w:rPr>
                <w:rFonts w:cs="Arial"/>
                <w:b/>
                <w:sz w:val="18"/>
                <w:szCs w:val="18"/>
              </w:rPr>
              <w:t>1,562</w:t>
            </w:r>
          </w:p>
        </w:tc>
        <w:tc>
          <w:tcPr>
            <w:tcW w:w="1247" w:type="dxa"/>
            <w:tcBorders>
              <w:top w:val="nil"/>
              <w:left w:val="nil"/>
              <w:bottom w:val="nil"/>
              <w:right w:val="nil"/>
            </w:tcBorders>
            <w:shd w:val="clear" w:color="auto" w:fill="auto"/>
            <w:vAlign w:val="bottom"/>
          </w:tcPr>
          <w:p w14:paraId="75791588" w14:textId="638F362B" w:rsidR="00A26814" w:rsidRPr="00A44829" w:rsidRDefault="00A26814" w:rsidP="003E2D55">
            <w:pPr>
              <w:spacing w:before="40" w:after="40"/>
              <w:jc w:val="right"/>
              <w:rPr>
                <w:rFonts w:cs="Arial"/>
                <w:b/>
                <w:sz w:val="18"/>
                <w:szCs w:val="18"/>
              </w:rPr>
            </w:pPr>
            <w:r w:rsidRPr="00A44829">
              <w:rPr>
                <w:rFonts w:cs="Arial"/>
                <w:b/>
                <w:sz w:val="18"/>
                <w:szCs w:val="18"/>
              </w:rPr>
              <w:t>429</w:t>
            </w:r>
          </w:p>
        </w:tc>
        <w:tc>
          <w:tcPr>
            <w:tcW w:w="1021" w:type="dxa"/>
            <w:tcBorders>
              <w:top w:val="nil"/>
              <w:left w:val="nil"/>
              <w:bottom w:val="nil"/>
              <w:right w:val="nil"/>
            </w:tcBorders>
            <w:shd w:val="clear" w:color="auto" w:fill="auto"/>
            <w:vAlign w:val="bottom"/>
          </w:tcPr>
          <w:p w14:paraId="413BEBAE" w14:textId="081DEC9C" w:rsidR="00A26814" w:rsidRPr="00A44829" w:rsidRDefault="00A26814" w:rsidP="003E2D55">
            <w:pPr>
              <w:spacing w:before="40" w:after="40"/>
              <w:jc w:val="right"/>
              <w:rPr>
                <w:rFonts w:cs="Arial"/>
                <w:sz w:val="18"/>
                <w:szCs w:val="18"/>
              </w:rPr>
            </w:pPr>
            <w:r w:rsidRPr="00A44829">
              <w:rPr>
                <w:rFonts w:cs="Arial"/>
                <w:sz w:val="18"/>
                <w:szCs w:val="18"/>
              </w:rPr>
              <w:t>28</w:t>
            </w:r>
          </w:p>
        </w:tc>
        <w:tc>
          <w:tcPr>
            <w:tcW w:w="1021" w:type="dxa"/>
            <w:tcBorders>
              <w:top w:val="nil"/>
              <w:left w:val="nil"/>
              <w:bottom w:val="nil"/>
              <w:right w:val="nil"/>
            </w:tcBorders>
            <w:shd w:val="clear" w:color="auto" w:fill="auto"/>
            <w:vAlign w:val="bottom"/>
          </w:tcPr>
          <w:p w14:paraId="32CD53FE" w14:textId="7F0AE01B" w:rsidR="00A26814" w:rsidRPr="00A44829" w:rsidRDefault="00A26814" w:rsidP="003E2D55">
            <w:pPr>
              <w:spacing w:before="40" w:after="40"/>
              <w:jc w:val="right"/>
              <w:rPr>
                <w:rFonts w:cs="Arial"/>
                <w:sz w:val="18"/>
                <w:szCs w:val="18"/>
              </w:rPr>
            </w:pPr>
            <w:r w:rsidRPr="00A44829">
              <w:rPr>
                <w:rFonts w:cs="Arial"/>
                <w:sz w:val="18"/>
                <w:szCs w:val="18"/>
              </w:rPr>
              <w:t>8,254</w:t>
            </w:r>
          </w:p>
        </w:tc>
      </w:tr>
      <w:tr w:rsidR="00A26814" w:rsidRPr="00A44829" w14:paraId="7EA25F3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205B47D" w14:textId="77777777" w:rsidR="00A26814" w:rsidRPr="00A44829" w:rsidRDefault="00A26814" w:rsidP="003E2D55">
            <w:pPr>
              <w:spacing w:before="40" w:after="40"/>
              <w:rPr>
                <w:rFonts w:cs="Arial"/>
                <w:sz w:val="18"/>
                <w:szCs w:val="18"/>
              </w:rPr>
            </w:pPr>
            <w:r w:rsidRPr="00A44829">
              <w:rPr>
                <w:rFonts w:cs="Arial"/>
                <w:sz w:val="18"/>
                <w:szCs w:val="18"/>
              </w:rPr>
              <w:t>Kingston C</w:t>
            </w:r>
          </w:p>
        </w:tc>
        <w:tc>
          <w:tcPr>
            <w:tcW w:w="1134" w:type="dxa"/>
            <w:tcBorders>
              <w:top w:val="nil"/>
              <w:left w:val="single" w:sz="18" w:space="0" w:color="5F497A" w:themeColor="accent4" w:themeShade="BF"/>
              <w:bottom w:val="nil"/>
              <w:right w:val="nil"/>
            </w:tcBorders>
            <w:shd w:val="clear" w:color="auto" w:fill="auto"/>
            <w:vAlign w:val="bottom"/>
          </w:tcPr>
          <w:p w14:paraId="5FEA1558" w14:textId="5F4457EE" w:rsidR="00A26814" w:rsidRPr="00A44829" w:rsidRDefault="00A26814" w:rsidP="003E2D55">
            <w:pPr>
              <w:spacing w:before="40" w:after="40"/>
              <w:jc w:val="right"/>
              <w:rPr>
                <w:rFonts w:cs="Arial"/>
                <w:sz w:val="18"/>
                <w:szCs w:val="18"/>
              </w:rPr>
            </w:pPr>
            <w:r w:rsidRPr="00A44829">
              <w:rPr>
                <w:rFonts w:cs="Arial"/>
                <w:sz w:val="18"/>
                <w:szCs w:val="18"/>
              </w:rPr>
              <w:t>586</w:t>
            </w:r>
          </w:p>
        </w:tc>
        <w:tc>
          <w:tcPr>
            <w:tcW w:w="1134" w:type="dxa"/>
            <w:tcBorders>
              <w:top w:val="nil"/>
              <w:left w:val="nil"/>
              <w:bottom w:val="nil"/>
              <w:right w:val="nil"/>
            </w:tcBorders>
            <w:vAlign w:val="bottom"/>
          </w:tcPr>
          <w:p w14:paraId="3241CD93" w14:textId="5BEE237F" w:rsidR="00A26814" w:rsidRPr="00A44829" w:rsidRDefault="00A26814" w:rsidP="003E2D55">
            <w:pPr>
              <w:spacing w:before="40" w:after="40"/>
              <w:jc w:val="right"/>
              <w:rPr>
                <w:rFonts w:cs="Arial"/>
                <w:sz w:val="18"/>
                <w:szCs w:val="18"/>
              </w:rPr>
            </w:pPr>
            <w:r w:rsidRPr="00A44829">
              <w:rPr>
                <w:rFonts w:cs="Arial"/>
                <w:sz w:val="18"/>
                <w:szCs w:val="18"/>
              </w:rPr>
              <w:t>16</w:t>
            </w:r>
          </w:p>
        </w:tc>
        <w:tc>
          <w:tcPr>
            <w:tcW w:w="1247" w:type="dxa"/>
            <w:tcBorders>
              <w:top w:val="nil"/>
              <w:left w:val="nil"/>
              <w:bottom w:val="nil"/>
              <w:right w:val="nil"/>
            </w:tcBorders>
            <w:vAlign w:val="bottom"/>
          </w:tcPr>
          <w:p w14:paraId="21785CDE" w14:textId="59D49767" w:rsidR="00A26814" w:rsidRPr="00A44829" w:rsidRDefault="00A26814" w:rsidP="003E2D55">
            <w:pPr>
              <w:spacing w:before="40" w:after="40"/>
              <w:jc w:val="right"/>
              <w:rPr>
                <w:rFonts w:cs="Arial"/>
                <w:b/>
                <w:sz w:val="18"/>
                <w:szCs w:val="18"/>
              </w:rPr>
            </w:pPr>
            <w:r w:rsidRPr="00A44829">
              <w:rPr>
                <w:rFonts w:cs="Arial"/>
                <w:b/>
                <w:sz w:val="18"/>
                <w:szCs w:val="18"/>
              </w:rPr>
              <w:t>602</w:t>
            </w:r>
          </w:p>
        </w:tc>
        <w:tc>
          <w:tcPr>
            <w:tcW w:w="1247" w:type="dxa"/>
            <w:tcBorders>
              <w:top w:val="nil"/>
              <w:left w:val="nil"/>
              <w:bottom w:val="nil"/>
              <w:right w:val="nil"/>
            </w:tcBorders>
            <w:shd w:val="clear" w:color="auto" w:fill="auto"/>
            <w:vAlign w:val="bottom"/>
          </w:tcPr>
          <w:p w14:paraId="218F69AC" w14:textId="4BC12335" w:rsidR="00A26814" w:rsidRPr="00A44829" w:rsidRDefault="00A26814" w:rsidP="003E2D55">
            <w:pPr>
              <w:spacing w:before="40" w:after="40"/>
              <w:jc w:val="right"/>
              <w:rPr>
                <w:rFonts w:cs="Arial"/>
                <w:b/>
                <w:sz w:val="18"/>
                <w:szCs w:val="18"/>
              </w:rPr>
            </w:pPr>
            <w:r w:rsidRPr="00A44829">
              <w:rPr>
                <w:rFonts w:cs="Arial"/>
                <w:b/>
                <w:sz w:val="18"/>
                <w:szCs w:val="18"/>
              </w:rPr>
              <w:t>60</w:t>
            </w:r>
          </w:p>
        </w:tc>
        <w:tc>
          <w:tcPr>
            <w:tcW w:w="1021" w:type="dxa"/>
            <w:tcBorders>
              <w:top w:val="nil"/>
              <w:left w:val="nil"/>
              <w:bottom w:val="nil"/>
              <w:right w:val="nil"/>
            </w:tcBorders>
            <w:shd w:val="clear" w:color="auto" w:fill="auto"/>
            <w:vAlign w:val="bottom"/>
          </w:tcPr>
          <w:p w14:paraId="15D5A7BB" w14:textId="4B708B75" w:rsidR="00A26814" w:rsidRPr="00A44829" w:rsidRDefault="00A26814" w:rsidP="003E2D55">
            <w:pPr>
              <w:spacing w:before="40" w:after="40"/>
              <w:jc w:val="right"/>
              <w:rPr>
                <w:rFonts w:cs="Arial"/>
                <w:sz w:val="18"/>
                <w:szCs w:val="18"/>
              </w:rPr>
            </w:pPr>
            <w:r w:rsidRPr="00A44829">
              <w:rPr>
                <w:rFonts w:cs="Arial"/>
                <w:sz w:val="18"/>
                <w:szCs w:val="18"/>
              </w:rPr>
              <w:t>195</w:t>
            </w:r>
          </w:p>
        </w:tc>
        <w:tc>
          <w:tcPr>
            <w:tcW w:w="1021" w:type="dxa"/>
            <w:tcBorders>
              <w:top w:val="nil"/>
              <w:left w:val="nil"/>
              <w:bottom w:val="nil"/>
              <w:right w:val="nil"/>
            </w:tcBorders>
            <w:shd w:val="clear" w:color="auto" w:fill="auto"/>
            <w:vAlign w:val="bottom"/>
          </w:tcPr>
          <w:p w14:paraId="409065E8" w14:textId="37A2F43A" w:rsidR="00A26814" w:rsidRPr="00A44829" w:rsidRDefault="00A26814" w:rsidP="003E2D55">
            <w:pPr>
              <w:spacing w:before="40" w:after="40"/>
              <w:jc w:val="right"/>
              <w:rPr>
                <w:rFonts w:cs="Arial"/>
                <w:sz w:val="18"/>
                <w:szCs w:val="18"/>
              </w:rPr>
            </w:pPr>
            <w:r w:rsidRPr="00A44829">
              <w:rPr>
                <w:rFonts w:cs="Arial"/>
                <w:sz w:val="18"/>
                <w:szCs w:val="18"/>
              </w:rPr>
              <w:t>6,580</w:t>
            </w:r>
          </w:p>
        </w:tc>
      </w:tr>
      <w:tr w:rsidR="00A26814" w:rsidRPr="00A44829" w14:paraId="38C16D9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62C2E21" w14:textId="77777777" w:rsidR="00A26814" w:rsidRPr="00A44829" w:rsidRDefault="00A26814" w:rsidP="003E2D55">
            <w:pPr>
              <w:spacing w:before="40" w:after="40"/>
              <w:rPr>
                <w:rFonts w:cs="Arial"/>
                <w:sz w:val="18"/>
                <w:szCs w:val="18"/>
              </w:rPr>
            </w:pPr>
            <w:r w:rsidRPr="00A44829">
              <w:rPr>
                <w:rFonts w:cs="Arial"/>
                <w:sz w:val="18"/>
                <w:szCs w:val="18"/>
              </w:rPr>
              <w:t>Knox C</w:t>
            </w:r>
          </w:p>
        </w:tc>
        <w:tc>
          <w:tcPr>
            <w:tcW w:w="1134" w:type="dxa"/>
            <w:tcBorders>
              <w:top w:val="nil"/>
              <w:left w:val="single" w:sz="18" w:space="0" w:color="5F497A" w:themeColor="accent4" w:themeShade="BF"/>
              <w:bottom w:val="nil"/>
              <w:right w:val="nil"/>
            </w:tcBorders>
            <w:shd w:val="clear" w:color="auto" w:fill="auto"/>
            <w:vAlign w:val="bottom"/>
          </w:tcPr>
          <w:p w14:paraId="57F27DC8" w14:textId="01801E0E" w:rsidR="00A26814" w:rsidRPr="00A44829" w:rsidRDefault="00A26814" w:rsidP="003E2D55">
            <w:pPr>
              <w:spacing w:before="40" w:after="40"/>
              <w:jc w:val="right"/>
              <w:rPr>
                <w:rFonts w:cs="Arial"/>
                <w:sz w:val="18"/>
                <w:szCs w:val="18"/>
              </w:rPr>
            </w:pPr>
            <w:r w:rsidRPr="00A44829">
              <w:rPr>
                <w:rFonts w:cs="Arial"/>
                <w:sz w:val="18"/>
                <w:szCs w:val="18"/>
              </w:rPr>
              <w:t>714</w:t>
            </w:r>
          </w:p>
        </w:tc>
        <w:tc>
          <w:tcPr>
            <w:tcW w:w="1134" w:type="dxa"/>
            <w:tcBorders>
              <w:top w:val="nil"/>
              <w:left w:val="nil"/>
              <w:bottom w:val="nil"/>
              <w:right w:val="nil"/>
            </w:tcBorders>
            <w:vAlign w:val="bottom"/>
          </w:tcPr>
          <w:p w14:paraId="0CD03AAD" w14:textId="2B0DAF6B" w:rsidR="00A26814" w:rsidRPr="00A44829" w:rsidRDefault="00A26814" w:rsidP="003E2D55">
            <w:pPr>
              <w:spacing w:before="40" w:after="40"/>
              <w:jc w:val="right"/>
              <w:rPr>
                <w:rFonts w:cs="Arial"/>
                <w:sz w:val="18"/>
                <w:szCs w:val="18"/>
              </w:rPr>
            </w:pPr>
            <w:r w:rsidRPr="00A44829">
              <w:rPr>
                <w:rFonts w:cs="Arial"/>
                <w:sz w:val="18"/>
                <w:szCs w:val="18"/>
              </w:rPr>
              <w:t>10</w:t>
            </w:r>
          </w:p>
        </w:tc>
        <w:tc>
          <w:tcPr>
            <w:tcW w:w="1247" w:type="dxa"/>
            <w:tcBorders>
              <w:top w:val="nil"/>
              <w:left w:val="nil"/>
              <w:bottom w:val="nil"/>
              <w:right w:val="nil"/>
            </w:tcBorders>
            <w:vAlign w:val="bottom"/>
          </w:tcPr>
          <w:p w14:paraId="2B67AA3C" w14:textId="470F556B" w:rsidR="00A26814" w:rsidRPr="00A44829" w:rsidRDefault="00A26814" w:rsidP="003E2D55">
            <w:pPr>
              <w:spacing w:before="40" w:after="40"/>
              <w:jc w:val="right"/>
              <w:rPr>
                <w:rFonts w:cs="Arial"/>
                <w:b/>
                <w:sz w:val="18"/>
                <w:szCs w:val="18"/>
              </w:rPr>
            </w:pPr>
            <w:r w:rsidRPr="00A44829">
              <w:rPr>
                <w:rFonts w:cs="Arial"/>
                <w:b/>
                <w:sz w:val="18"/>
                <w:szCs w:val="18"/>
              </w:rPr>
              <w:t>724</w:t>
            </w:r>
          </w:p>
        </w:tc>
        <w:tc>
          <w:tcPr>
            <w:tcW w:w="1247" w:type="dxa"/>
            <w:tcBorders>
              <w:top w:val="nil"/>
              <w:left w:val="nil"/>
              <w:bottom w:val="nil"/>
              <w:right w:val="nil"/>
            </w:tcBorders>
            <w:shd w:val="clear" w:color="auto" w:fill="auto"/>
            <w:vAlign w:val="bottom"/>
          </w:tcPr>
          <w:p w14:paraId="42FA79CB" w14:textId="324CBC08" w:rsidR="00A26814" w:rsidRPr="00A44829" w:rsidRDefault="00A26814" w:rsidP="003E2D55">
            <w:pPr>
              <w:spacing w:before="40" w:after="40"/>
              <w:jc w:val="right"/>
              <w:rPr>
                <w:rFonts w:cs="Arial"/>
                <w:b/>
                <w:sz w:val="18"/>
                <w:szCs w:val="18"/>
              </w:rPr>
            </w:pPr>
            <w:r w:rsidRPr="00A44829">
              <w:rPr>
                <w:rFonts w:cs="Arial"/>
                <w:b/>
                <w:sz w:val="18"/>
                <w:szCs w:val="18"/>
              </w:rPr>
              <w:t>83</w:t>
            </w:r>
          </w:p>
        </w:tc>
        <w:tc>
          <w:tcPr>
            <w:tcW w:w="1021" w:type="dxa"/>
            <w:tcBorders>
              <w:top w:val="nil"/>
              <w:left w:val="nil"/>
              <w:bottom w:val="nil"/>
              <w:right w:val="nil"/>
            </w:tcBorders>
            <w:shd w:val="clear" w:color="auto" w:fill="auto"/>
            <w:vAlign w:val="bottom"/>
          </w:tcPr>
          <w:p w14:paraId="1E1F2ADA" w14:textId="44D64C15" w:rsidR="00A26814" w:rsidRPr="00A44829" w:rsidRDefault="00A26814" w:rsidP="003E2D55">
            <w:pPr>
              <w:spacing w:before="40" w:after="40"/>
              <w:jc w:val="right"/>
              <w:rPr>
                <w:rFonts w:cs="Arial"/>
                <w:sz w:val="18"/>
                <w:szCs w:val="18"/>
              </w:rPr>
            </w:pPr>
            <w:r w:rsidRPr="00A44829">
              <w:rPr>
                <w:rFonts w:cs="Arial"/>
                <w:sz w:val="18"/>
                <w:szCs w:val="18"/>
              </w:rPr>
              <w:t>116</w:t>
            </w:r>
          </w:p>
        </w:tc>
        <w:tc>
          <w:tcPr>
            <w:tcW w:w="1021" w:type="dxa"/>
            <w:tcBorders>
              <w:top w:val="nil"/>
              <w:left w:val="nil"/>
              <w:bottom w:val="nil"/>
              <w:right w:val="nil"/>
            </w:tcBorders>
            <w:shd w:val="clear" w:color="auto" w:fill="auto"/>
            <w:vAlign w:val="bottom"/>
          </w:tcPr>
          <w:p w14:paraId="2CBBB953" w14:textId="6C319EEA" w:rsidR="00A26814" w:rsidRPr="00A44829" w:rsidRDefault="00A26814" w:rsidP="003E2D55">
            <w:pPr>
              <w:spacing w:before="40" w:after="40"/>
              <w:jc w:val="right"/>
              <w:rPr>
                <w:rFonts w:cs="Arial"/>
                <w:sz w:val="18"/>
                <w:szCs w:val="18"/>
              </w:rPr>
            </w:pPr>
            <w:r w:rsidRPr="00A44829">
              <w:rPr>
                <w:rFonts w:cs="Arial"/>
                <w:sz w:val="18"/>
                <w:szCs w:val="18"/>
              </w:rPr>
              <w:t>707</w:t>
            </w:r>
          </w:p>
        </w:tc>
      </w:tr>
      <w:tr w:rsidR="00A26814" w:rsidRPr="00A44829" w14:paraId="6DAC5DD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F96C5F2" w14:textId="77777777" w:rsidR="00A26814" w:rsidRPr="00A44829" w:rsidRDefault="00A26814" w:rsidP="003E2D55">
            <w:pPr>
              <w:spacing w:before="40" w:after="40"/>
              <w:rPr>
                <w:rFonts w:cs="Arial"/>
                <w:sz w:val="18"/>
                <w:szCs w:val="18"/>
              </w:rPr>
            </w:pPr>
            <w:r w:rsidRPr="00A44829">
              <w:rPr>
                <w:rFonts w:cs="Arial"/>
                <w:sz w:val="18"/>
                <w:szCs w:val="18"/>
              </w:rPr>
              <w:t>Latrobe C</w:t>
            </w:r>
          </w:p>
        </w:tc>
        <w:tc>
          <w:tcPr>
            <w:tcW w:w="1134" w:type="dxa"/>
            <w:tcBorders>
              <w:top w:val="nil"/>
              <w:left w:val="single" w:sz="18" w:space="0" w:color="5F497A" w:themeColor="accent4" w:themeShade="BF"/>
              <w:bottom w:val="nil"/>
              <w:right w:val="nil"/>
            </w:tcBorders>
            <w:shd w:val="clear" w:color="auto" w:fill="auto"/>
            <w:vAlign w:val="bottom"/>
          </w:tcPr>
          <w:p w14:paraId="0634D1AC" w14:textId="46AA5651" w:rsidR="00A26814" w:rsidRPr="00A44829" w:rsidRDefault="00A26814" w:rsidP="003E2D55">
            <w:pPr>
              <w:spacing w:before="40" w:after="40"/>
              <w:jc w:val="right"/>
              <w:rPr>
                <w:rFonts w:cs="Arial"/>
                <w:sz w:val="18"/>
                <w:szCs w:val="18"/>
              </w:rPr>
            </w:pPr>
            <w:r w:rsidRPr="00A44829">
              <w:rPr>
                <w:rFonts w:cs="Arial"/>
                <w:sz w:val="18"/>
                <w:szCs w:val="18"/>
              </w:rPr>
              <w:t>533</w:t>
            </w:r>
          </w:p>
        </w:tc>
        <w:tc>
          <w:tcPr>
            <w:tcW w:w="1134" w:type="dxa"/>
            <w:tcBorders>
              <w:top w:val="nil"/>
              <w:left w:val="nil"/>
              <w:bottom w:val="nil"/>
              <w:right w:val="nil"/>
            </w:tcBorders>
            <w:vAlign w:val="bottom"/>
          </w:tcPr>
          <w:p w14:paraId="335C7798" w14:textId="0FBE3D11" w:rsidR="00A26814" w:rsidRPr="00A44829" w:rsidRDefault="00A26814" w:rsidP="003E2D55">
            <w:pPr>
              <w:spacing w:before="40" w:after="40"/>
              <w:jc w:val="right"/>
              <w:rPr>
                <w:rFonts w:cs="Arial"/>
                <w:sz w:val="18"/>
                <w:szCs w:val="18"/>
              </w:rPr>
            </w:pPr>
            <w:r w:rsidRPr="00A44829">
              <w:rPr>
                <w:rFonts w:cs="Arial"/>
                <w:sz w:val="18"/>
                <w:szCs w:val="18"/>
              </w:rPr>
              <w:t>1,055</w:t>
            </w:r>
          </w:p>
        </w:tc>
        <w:tc>
          <w:tcPr>
            <w:tcW w:w="1247" w:type="dxa"/>
            <w:tcBorders>
              <w:top w:val="nil"/>
              <w:left w:val="nil"/>
              <w:bottom w:val="nil"/>
              <w:right w:val="nil"/>
            </w:tcBorders>
            <w:vAlign w:val="bottom"/>
          </w:tcPr>
          <w:p w14:paraId="7D64E053" w14:textId="10396E46" w:rsidR="00A26814" w:rsidRPr="00A44829" w:rsidRDefault="00A26814" w:rsidP="003E2D55">
            <w:pPr>
              <w:spacing w:before="40" w:after="40"/>
              <w:jc w:val="right"/>
              <w:rPr>
                <w:rFonts w:cs="Arial"/>
                <w:b/>
                <w:sz w:val="18"/>
                <w:szCs w:val="18"/>
              </w:rPr>
            </w:pPr>
            <w:r w:rsidRPr="00A44829">
              <w:rPr>
                <w:rFonts w:cs="Arial"/>
                <w:b/>
                <w:sz w:val="18"/>
                <w:szCs w:val="18"/>
              </w:rPr>
              <w:t>1,588</w:t>
            </w:r>
          </w:p>
        </w:tc>
        <w:tc>
          <w:tcPr>
            <w:tcW w:w="1247" w:type="dxa"/>
            <w:tcBorders>
              <w:top w:val="nil"/>
              <w:left w:val="nil"/>
              <w:bottom w:val="nil"/>
              <w:right w:val="nil"/>
            </w:tcBorders>
            <w:shd w:val="clear" w:color="auto" w:fill="auto"/>
            <w:vAlign w:val="bottom"/>
          </w:tcPr>
          <w:p w14:paraId="21FED5C0" w14:textId="064836A5" w:rsidR="00A26814" w:rsidRPr="00A44829" w:rsidRDefault="00A26814" w:rsidP="003E2D55">
            <w:pPr>
              <w:spacing w:before="40" w:after="40"/>
              <w:jc w:val="right"/>
              <w:rPr>
                <w:rFonts w:cs="Arial"/>
                <w:b/>
                <w:sz w:val="18"/>
                <w:szCs w:val="18"/>
              </w:rPr>
            </w:pPr>
            <w:r w:rsidRPr="00A44829">
              <w:rPr>
                <w:rFonts w:cs="Arial"/>
                <w:b/>
                <w:sz w:val="18"/>
                <w:szCs w:val="18"/>
              </w:rPr>
              <w:t>491</w:t>
            </w:r>
          </w:p>
        </w:tc>
        <w:tc>
          <w:tcPr>
            <w:tcW w:w="1021" w:type="dxa"/>
            <w:tcBorders>
              <w:top w:val="nil"/>
              <w:left w:val="nil"/>
              <w:bottom w:val="nil"/>
              <w:right w:val="nil"/>
            </w:tcBorders>
            <w:shd w:val="clear" w:color="auto" w:fill="auto"/>
            <w:vAlign w:val="bottom"/>
          </w:tcPr>
          <w:p w14:paraId="485AFB7E" w14:textId="1B6508CC" w:rsidR="00A26814" w:rsidRPr="00A44829" w:rsidRDefault="00A26814" w:rsidP="003E2D55">
            <w:pPr>
              <w:spacing w:before="40" w:after="40"/>
              <w:jc w:val="right"/>
              <w:rPr>
                <w:rFonts w:cs="Arial"/>
                <w:sz w:val="18"/>
                <w:szCs w:val="18"/>
              </w:rPr>
            </w:pPr>
            <w:r w:rsidRPr="00A44829">
              <w:rPr>
                <w:rFonts w:cs="Arial"/>
                <w:sz w:val="18"/>
                <w:szCs w:val="18"/>
              </w:rPr>
              <w:t>138</w:t>
            </w:r>
          </w:p>
        </w:tc>
        <w:tc>
          <w:tcPr>
            <w:tcW w:w="1021" w:type="dxa"/>
            <w:tcBorders>
              <w:top w:val="nil"/>
              <w:left w:val="nil"/>
              <w:bottom w:val="nil"/>
              <w:right w:val="nil"/>
            </w:tcBorders>
            <w:shd w:val="clear" w:color="auto" w:fill="auto"/>
            <w:vAlign w:val="bottom"/>
          </w:tcPr>
          <w:p w14:paraId="656EFB52" w14:textId="0E0F3E13" w:rsidR="00A26814" w:rsidRPr="00A44829" w:rsidRDefault="00A26814" w:rsidP="003E2D55">
            <w:pPr>
              <w:spacing w:before="40" w:after="40"/>
              <w:jc w:val="right"/>
              <w:rPr>
                <w:rFonts w:cs="Arial"/>
                <w:sz w:val="18"/>
                <w:szCs w:val="18"/>
              </w:rPr>
            </w:pPr>
            <w:r w:rsidRPr="00A44829">
              <w:rPr>
                <w:rFonts w:cs="Arial"/>
                <w:sz w:val="18"/>
                <w:szCs w:val="18"/>
              </w:rPr>
              <w:t>8,273</w:t>
            </w:r>
          </w:p>
        </w:tc>
      </w:tr>
      <w:tr w:rsidR="00A26814" w:rsidRPr="00A44829" w14:paraId="4C8A395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899E8C4" w14:textId="77777777" w:rsidR="00A26814" w:rsidRPr="00A44829" w:rsidRDefault="00A26814" w:rsidP="003E2D55">
            <w:pPr>
              <w:spacing w:before="40" w:after="40"/>
              <w:rPr>
                <w:rFonts w:cs="Arial"/>
                <w:sz w:val="18"/>
                <w:szCs w:val="18"/>
              </w:rPr>
            </w:pPr>
            <w:r w:rsidRPr="00A44829">
              <w:rPr>
                <w:rFonts w:cs="Arial"/>
                <w:sz w:val="18"/>
                <w:szCs w:val="18"/>
              </w:rPr>
              <w:t>Loddon S</w:t>
            </w:r>
          </w:p>
        </w:tc>
        <w:tc>
          <w:tcPr>
            <w:tcW w:w="1134" w:type="dxa"/>
            <w:tcBorders>
              <w:top w:val="nil"/>
              <w:left w:val="single" w:sz="18" w:space="0" w:color="5F497A" w:themeColor="accent4" w:themeShade="BF"/>
              <w:bottom w:val="nil"/>
              <w:right w:val="nil"/>
            </w:tcBorders>
            <w:shd w:val="clear" w:color="auto" w:fill="auto"/>
            <w:vAlign w:val="bottom"/>
          </w:tcPr>
          <w:p w14:paraId="138355E3" w14:textId="79CD08B6" w:rsidR="00A26814" w:rsidRPr="00A44829" w:rsidRDefault="00A26814" w:rsidP="003E2D55">
            <w:pPr>
              <w:spacing w:before="40" w:after="40"/>
              <w:jc w:val="right"/>
              <w:rPr>
                <w:rFonts w:cs="Arial"/>
                <w:sz w:val="18"/>
                <w:szCs w:val="18"/>
              </w:rPr>
            </w:pPr>
            <w:r w:rsidRPr="00A44829">
              <w:rPr>
                <w:rFonts w:cs="Arial"/>
                <w:sz w:val="18"/>
                <w:szCs w:val="18"/>
              </w:rPr>
              <w:t>120</w:t>
            </w:r>
          </w:p>
        </w:tc>
        <w:tc>
          <w:tcPr>
            <w:tcW w:w="1134" w:type="dxa"/>
            <w:tcBorders>
              <w:top w:val="nil"/>
              <w:left w:val="nil"/>
              <w:bottom w:val="nil"/>
              <w:right w:val="nil"/>
            </w:tcBorders>
            <w:vAlign w:val="bottom"/>
          </w:tcPr>
          <w:p w14:paraId="30829F29" w14:textId="49D41598" w:rsidR="00A26814" w:rsidRPr="00A44829" w:rsidRDefault="00A26814" w:rsidP="003E2D55">
            <w:pPr>
              <w:spacing w:before="40" w:after="40"/>
              <w:jc w:val="right"/>
              <w:rPr>
                <w:rFonts w:cs="Arial"/>
                <w:sz w:val="18"/>
                <w:szCs w:val="18"/>
              </w:rPr>
            </w:pPr>
            <w:r w:rsidRPr="00A44829">
              <w:rPr>
                <w:rFonts w:cs="Arial"/>
                <w:sz w:val="18"/>
                <w:szCs w:val="18"/>
              </w:rPr>
              <w:t>4,598</w:t>
            </w:r>
          </w:p>
        </w:tc>
        <w:tc>
          <w:tcPr>
            <w:tcW w:w="1247" w:type="dxa"/>
            <w:tcBorders>
              <w:top w:val="nil"/>
              <w:left w:val="nil"/>
              <w:bottom w:val="nil"/>
              <w:right w:val="nil"/>
            </w:tcBorders>
            <w:vAlign w:val="bottom"/>
          </w:tcPr>
          <w:p w14:paraId="1E20BC7E" w14:textId="684D3C36" w:rsidR="00A26814" w:rsidRPr="00A44829" w:rsidRDefault="00A26814" w:rsidP="003E2D55">
            <w:pPr>
              <w:spacing w:before="40" w:after="40"/>
              <w:jc w:val="right"/>
              <w:rPr>
                <w:rFonts w:cs="Arial"/>
                <w:b/>
                <w:sz w:val="18"/>
                <w:szCs w:val="18"/>
              </w:rPr>
            </w:pPr>
            <w:r w:rsidRPr="00A44829">
              <w:rPr>
                <w:rFonts w:cs="Arial"/>
                <w:b/>
                <w:sz w:val="18"/>
                <w:szCs w:val="18"/>
              </w:rPr>
              <w:t>4,718</w:t>
            </w:r>
          </w:p>
        </w:tc>
        <w:tc>
          <w:tcPr>
            <w:tcW w:w="1247" w:type="dxa"/>
            <w:tcBorders>
              <w:top w:val="nil"/>
              <w:left w:val="nil"/>
              <w:bottom w:val="nil"/>
              <w:right w:val="nil"/>
            </w:tcBorders>
            <w:shd w:val="clear" w:color="auto" w:fill="auto"/>
            <w:vAlign w:val="bottom"/>
          </w:tcPr>
          <w:p w14:paraId="68EBE405" w14:textId="760BD535" w:rsidR="00A26814" w:rsidRPr="00A44829" w:rsidRDefault="00A26814" w:rsidP="003E2D55">
            <w:pPr>
              <w:spacing w:before="40" w:after="40"/>
              <w:jc w:val="right"/>
              <w:rPr>
                <w:rFonts w:cs="Arial"/>
                <w:b/>
                <w:sz w:val="18"/>
                <w:szCs w:val="18"/>
              </w:rPr>
            </w:pPr>
            <w:r w:rsidRPr="00A44829">
              <w:rPr>
                <w:rFonts w:cs="Arial"/>
                <w:b/>
                <w:sz w:val="18"/>
                <w:szCs w:val="18"/>
              </w:rPr>
              <w:t>1,024</w:t>
            </w:r>
          </w:p>
        </w:tc>
        <w:tc>
          <w:tcPr>
            <w:tcW w:w="1021" w:type="dxa"/>
            <w:tcBorders>
              <w:top w:val="nil"/>
              <w:left w:val="nil"/>
              <w:bottom w:val="nil"/>
              <w:right w:val="nil"/>
            </w:tcBorders>
            <w:shd w:val="clear" w:color="auto" w:fill="auto"/>
            <w:vAlign w:val="bottom"/>
          </w:tcPr>
          <w:p w14:paraId="3C978123" w14:textId="3EFF3A2E" w:rsidR="00A26814" w:rsidRPr="00A44829" w:rsidRDefault="00A26814" w:rsidP="003E2D55">
            <w:pPr>
              <w:spacing w:before="40" w:after="40"/>
              <w:jc w:val="right"/>
              <w:rPr>
                <w:rFonts w:cs="Arial"/>
                <w:sz w:val="18"/>
                <w:szCs w:val="18"/>
              </w:rPr>
            </w:pPr>
            <w:r w:rsidRPr="00A44829">
              <w:rPr>
                <w:rFonts w:cs="Arial"/>
                <w:sz w:val="18"/>
                <w:szCs w:val="18"/>
              </w:rPr>
              <w:t>1,197</w:t>
            </w:r>
          </w:p>
        </w:tc>
        <w:tc>
          <w:tcPr>
            <w:tcW w:w="1021" w:type="dxa"/>
            <w:tcBorders>
              <w:top w:val="nil"/>
              <w:left w:val="nil"/>
              <w:bottom w:val="nil"/>
              <w:right w:val="nil"/>
            </w:tcBorders>
            <w:shd w:val="clear" w:color="auto" w:fill="auto"/>
            <w:vAlign w:val="bottom"/>
          </w:tcPr>
          <w:p w14:paraId="1B41F615" w14:textId="6067CE27" w:rsidR="00A26814" w:rsidRPr="00A44829" w:rsidRDefault="00A26814" w:rsidP="003E2D55">
            <w:pPr>
              <w:spacing w:before="40" w:after="40"/>
              <w:jc w:val="right"/>
              <w:rPr>
                <w:rFonts w:cs="Arial"/>
                <w:sz w:val="18"/>
                <w:szCs w:val="18"/>
              </w:rPr>
            </w:pPr>
            <w:r w:rsidRPr="00A44829">
              <w:rPr>
                <w:rFonts w:cs="Arial"/>
                <w:sz w:val="18"/>
                <w:szCs w:val="18"/>
              </w:rPr>
              <w:t>11,679</w:t>
            </w:r>
          </w:p>
        </w:tc>
      </w:tr>
    </w:tbl>
    <w:p w14:paraId="6DC71499" w14:textId="77777777" w:rsidR="00EB2E62" w:rsidRPr="00A44829" w:rsidRDefault="00EB2E62" w:rsidP="00FF36E8">
      <w:pPr>
        <w:spacing w:before="40" w:after="20"/>
        <w:rPr>
          <w:rFonts w:cs="Arial"/>
          <w:sz w:val="18"/>
          <w:szCs w:val="18"/>
        </w:rPr>
      </w:pPr>
    </w:p>
    <w:p w14:paraId="096E28CC" w14:textId="77777777" w:rsidR="0096783F" w:rsidRPr="00A44829" w:rsidRDefault="008475D6" w:rsidP="00FF36E8">
      <w:pPr>
        <w:spacing w:before="40" w:after="20"/>
        <w:rPr>
          <w:rFonts w:cs="Arial"/>
          <w:sz w:val="18"/>
          <w:szCs w:val="18"/>
        </w:rPr>
      </w:pPr>
      <w:r w:rsidRPr="00A44829">
        <w:rPr>
          <w:rFonts w:cs="Arial"/>
          <w:sz w:val="18"/>
          <w:szCs w:val="18"/>
        </w:rPr>
        <w:br w:type="page"/>
      </w:r>
    </w:p>
    <w:p w14:paraId="621FCD49" w14:textId="7DD54054" w:rsidR="008475D6" w:rsidRPr="00A44829" w:rsidRDefault="00CE4507" w:rsidP="00C33713">
      <w:pPr>
        <w:pStyle w:val="VGC-Head10"/>
      </w:pPr>
      <w:r w:rsidRPr="00A44829">
        <w:lastRenderedPageBreak/>
        <w:t>Appendix 5</w:t>
      </w:r>
      <w:r w:rsidR="008475D6" w:rsidRPr="00A44829">
        <w:tab/>
      </w:r>
      <w:r w:rsidR="00EE4593" w:rsidRPr="00A44829">
        <w:t>2019-20</w:t>
      </w:r>
      <w:r w:rsidR="00A97ABE" w:rsidRPr="00A44829">
        <w:t xml:space="preserve"> </w:t>
      </w:r>
      <w:r w:rsidR="008475D6" w:rsidRPr="00A44829">
        <w:t xml:space="preserve">Local Roads Grants </w:t>
      </w:r>
    </w:p>
    <w:p w14:paraId="791345AE" w14:textId="1D05135F" w:rsidR="008475D6" w:rsidRPr="00A44829" w:rsidRDefault="00955945" w:rsidP="008C1A28">
      <w:pPr>
        <w:pStyle w:val="VGC-Head2"/>
      </w:pPr>
      <w:r w:rsidRPr="00A44829">
        <w:t>A</w:t>
      </w:r>
      <w:r w:rsidR="008475D6" w:rsidRPr="00A44829">
        <w:t>.  Local Road</w:t>
      </w:r>
      <w:r w:rsidR="00C64712">
        <w:t>s</w:t>
      </w:r>
      <w:r w:rsidR="008475D6" w:rsidRPr="00A44829">
        <w:t xml:space="preserve"> Network </w:t>
      </w:r>
    </w:p>
    <w:p w14:paraId="73650E15" w14:textId="77777777" w:rsidR="0056299E" w:rsidRPr="00A44829"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A44829" w14:paraId="2E6BAF02"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06DA2ECC" w14:textId="77777777" w:rsidR="0056299E" w:rsidRPr="00A44829" w:rsidRDefault="0056299E" w:rsidP="0038375E">
            <w:pPr>
              <w:spacing w:before="40" w:after="20"/>
              <w:jc w:val="center"/>
              <w:rPr>
                <w:rFonts w:cs="Arial"/>
                <w:sz w:val="18"/>
                <w:szCs w:val="18"/>
              </w:rPr>
            </w:pPr>
          </w:p>
        </w:tc>
        <w:tc>
          <w:tcPr>
            <w:tcW w:w="6803" w:type="dxa"/>
            <w:gridSpan w:val="10"/>
            <w:tcBorders>
              <w:left w:val="single" w:sz="18" w:space="0" w:color="5F497A" w:themeColor="accent4" w:themeShade="BF"/>
              <w:bottom w:val="single" w:sz="8" w:space="0" w:color="5F497A" w:themeColor="accent4" w:themeShade="BF"/>
            </w:tcBorders>
            <w:shd w:val="clear" w:color="auto" w:fill="auto"/>
            <w:tcMar>
              <w:left w:w="0" w:type="dxa"/>
              <w:right w:w="0" w:type="dxa"/>
            </w:tcMar>
            <w:vAlign w:val="bottom"/>
          </w:tcPr>
          <w:p w14:paraId="7B4202A0" w14:textId="0225BD1F" w:rsidR="0056299E" w:rsidRPr="00A44829" w:rsidRDefault="005857EC" w:rsidP="0038375E">
            <w:pPr>
              <w:spacing w:before="40" w:after="20"/>
              <w:jc w:val="center"/>
              <w:rPr>
                <w:rFonts w:cs="Arial"/>
                <w:sz w:val="16"/>
                <w:szCs w:val="16"/>
              </w:rPr>
            </w:pPr>
            <w:r w:rsidRPr="00A44829">
              <w:rPr>
                <w:rFonts w:cs="Arial"/>
                <w:b/>
                <w:sz w:val="18"/>
                <w:szCs w:val="18"/>
              </w:rPr>
              <w:t>Average Daily Traffic Volumes:  Vehicles Per Day (VPD)</w:t>
            </w:r>
          </w:p>
        </w:tc>
      </w:tr>
      <w:tr w:rsidR="00782715" w:rsidRPr="00A44829" w14:paraId="1CC7DC32"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7425B55E" w14:textId="77777777" w:rsidR="00782715" w:rsidRPr="00A44829" w:rsidRDefault="00782715" w:rsidP="0038375E">
            <w:pPr>
              <w:spacing w:before="40" w:after="20"/>
              <w:jc w:val="center"/>
              <w:rPr>
                <w:rFonts w:cs="Arial"/>
                <w:sz w:val="18"/>
                <w:szCs w:val="18"/>
              </w:rPr>
            </w:pPr>
          </w:p>
        </w:tc>
        <w:tc>
          <w:tcPr>
            <w:tcW w:w="2948" w:type="dxa"/>
            <w:gridSpan w:val="4"/>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65ABC897" w14:textId="77777777" w:rsidR="00782715" w:rsidRPr="00A44829" w:rsidRDefault="00782715" w:rsidP="0038375E">
            <w:pPr>
              <w:spacing w:before="40" w:after="20"/>
              <w:jc w:val="center"/>
              <w:rPr>
                <w:rFonts w:cs="Arial"/>
                <w:sz w:val="16"/>
                <w:szCs w:val="16"/>
              </w:rPr>
            </w:pPr>
            <w:r w:rsidRPr="00A44829">
              <w:rPr>
                <w:rFonts w:cs="Arial"/>
                <w:sz w:val="16"/>
                <w:szCs w:val="16"/>
              </w:rPr>
              <w:t>Urban Local Roads (km)</w:t>
            </w:r>
          </w:p>
        </w:tc>
        <w:tc>
          <w:tcPr>
            <w:tcW w:w="170" w:type="dxa"/>
            <w:vMerge w:val="restart"/>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A3B22FF" w14:textId="77777777" w:rsidR="00782715" w:rsidRPr="00A44829" w:rsidRDefault="00782715" w:rsidP="0038375E">
            <w:pPr>
              <w:spacing w:before="40" w:after="20"/>
              <w:jc w:val="center"/>
              <w:rPr>
                <w:rFonts w:cs="Arial"/>
                <w:sz w:val="16"/>
                <w:szCs w:val="16"/>
              </w:rPr>
            </w:pPr>
          </w:p>
        </w:tc>
        <w:tc>
          <w:tcPr>
            <w:tcW w:w="3685" w:type="dxa"/>
            <w:gridSpan w:val="5"/>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19BA57D2" w14:textId="77777777" w:rsidR="00782715" w:rsidRPr="00A44829" w:rsidRDefault="00782715" w:rsidP="0038375E">
            <w:pPr>
              <w:spacing w:before="40" w:after="20"/>
              <w:jc w:val="center"/>
              <w:rPr>
                <w:rFonts w:cs="Arial"/>
                <w:sz w:val="16"/>
                <w:szCs w:val="16"/>
              </w:rPr>
            </w:pPr>
            <w:r w:rsidRPr="00A44829">
              <w:rPr>
                <w:rFonts w:cs="Arial"/>
                <w:sz w:val="16"/>
                <w:szCs w:val="16"/>
              </w:rPr>
              <w:t>Rural Local Roads (km)</w:t>
            </w:r>
          </w:p>
        </w:tc>
      </w:tr>
      <w:tr w:rsidR="00782715" w:rsidRPr="00A44829" w14:paraId="7C6044F0"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3A5739E3" w14:textId="77777777" w:rsidR="00782715" w:rsidRPr="00A44829" w:rsidRDefault="00782715" w:rsidP="0038375E">
            <w:pPr>
              <w:spacing w:before="40" w:after="20"/>
              <w:jc w:val="center"/>
              <w:rPr>
                <w:rFonts w:cs="Arial"/>
                <w:sz w:val="18"/>
                <w:szCs w:val="18"/>
              </w:rPr>
            </w:pPr>
          </w:p>
        </w:tc>
        <w:tc>
          <w:tcPr>
            <w:tcW w:w="737"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3F549D7F" w14:textId="77777777" w:rsidR="00782715" w:rsidRPr="00A44829" w:rsidRDefault="00782715" w:rsidP="0038375E">
            <w:pPr>
              <w:spacing w:before="40" w:after="20"/>
              <w:jc w:val="center"/>
              <w:rPr>
                <w:rFonts w:cs="Arial"/>
                <w:sz w:val="16"/>
                <w:szCs w:val="16"/>
              </w:rPr>
            </w:pPr>
            <w:r w:rsidRPr="00A44829">
              <w:rPr>
                <w:rFonts w:cs="Arial"/>
                <w:sz w:val="16"/>
                <w:szCs w:val="16"/>
              </w:rPr>
              <w:t>&lt;500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2C2AD76C" w14:textId="77777777" w:rsidR="00782715" w:rsidRPr="00A44829" w:rsidRDefault="00782715" w:rsidP="0038375E">
            <w:pPr>
              <w:spacing w:before="40" w:after="20"/>
              <w:jc w:val="center"/>
              <w:rPr>
                <w:rFonts w:cs="Arial"/>
                <w:sz w:val="16"/>
                <w:szCs w:val="16"/>
              </w:rPr>
            </w:pPr>
            <w:r w:rsidRPr="00A44829">
              <w:rPr>
                <w:rFonts w:cs="Arial"/>
                <w:sz w:val="16"/>
                <w:szCs w:val="16"/>
              </w:rPr>
              <w:t xml:space="preserve">500 to </w:t>
            </w:r>
            <w:r w:rsidRPr="00A44829">
              <w:rPr>
                <w:rFonts w:cs="Arial"/>
                <w:sz w:val="16"/>
                <w:szCs w:val="16"/>
              </w:rPr>
              <w:br/>
              <w:t>&lt;1000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2970C40" w14:textId="77777777" w:rsidR="00782715" w:rsidRPr="00A44829" w:rsidRDefault="00782715" w:rsidP="0038375E">
            <w:pPr>
              <w:spacing w:before="40" w:after="20"/>
              <w:jc w:val="center"/>
              <w:rPr>
                <w:rFonts w:cs="Arial"/>
                <w:sz w:val="16"/>
                <w:szCs w:val="16"/>
              </w:rPr>
            </w:pPr>
            <w:r w:rsidRPr="00A44829">
              <w:rPr>
                <w:rFonts w:cs="Arial"/>
                <w:sz w:val="16"/>
                <w:szCs w:val="16"/>
              </w:rPr>
              <w:t xml:space="preserve">1000 to </w:t>
            </w:r>
            <w:r w:rsidRPr="00A44829">
              <w:rPr>
                <w:rFonts w:cs="Arial"/>
                <w:sz w:val="16"/>
                <w:szCs w:val="16"/>
              </w:rPr>
              <w:br/>
              <w:t>&lt;5000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77BDA7B2" w14:textId="77777777" w:rsidR="00782715" w:rsidRPr="00A44829" w:rsidRDefault="00782715" w:rsidP="0038375E">
            <w:pPr>
              <w:spacing w:before="40" w:after="20"/>
              <w:jc w:val="center"/>
              <w:rPr>
                <w:rFonts w:cs="Arial"/>
                <w:sz w:val="16"/>
                <w:szCs w:val="16"/>
              </w:rPr>
            </w:pPr>
            <w:r w:rsidRPr="00A44829">
              <w:rPr>
                <w:rFonts w:cs="Arial"/>
                <w:sz w:val="16"/>
                <w:szCs w:val="16"/>
              </w:rPr>
              <w:t>&gt;5000</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41D75D90" w14:textId="77777777" w:rsidR="00782715" w:rsidRPr="00A44829" w:rsidRDefault="00782715" w:rsidP="0038375E">
            <w:pPr>
              <w:spacing w:before="40" w:after="20"/>
              <w:jc w:val="center"/>
              <w:rPr>
                <w:rFonts w:cs="Arial"/>
                <w:sz w:val="16"/>
                <w:szCs w:val="16"/>
              </w:rPr>
            </w:pP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7E2D3E7E" w14:textId="77777777" w:rsidR="00782715" w:rsidRPr="00A44829" w:rsidRDefault="00782715" w:rsidP="005D04BF">
            <w:pPr>
              <w:spacing w:before="40" w:after="20"/>
              <w:jc w:val="center"/>
              <w:rPr>
                <w:rFonts w:cs="Arial"/>
                <w:sz w:val="16"/>
                <w:szCs w:val="16"/>
              </w:rPr>
            </w:pPr>
            <w:r w:rsidRPr="00A44829">
              <w:rPr>
                <w:rFonts w:cs="Arial"/>
                <w:sz w:val="16"/>
                <w:szCs w:val="16"/>
              </w:rPr>
              <w:t xml:space="preserve">Natural Surface </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28C3582B" w14:textId="77777777" w:rsidR="00782715" w:rsidRPr="00A44829" w:rsidRDefault="00782715" w:rsidP="0038375E">
            <w:pPr>
              <w:spacing w:before="40" w:after="20"/>
              <w:jc w:val="center"/>
              <w:rPr>
                <w:rFonts w:cs="Arial"/>
                <w:sz w:val="16"/>
                <w:szCs w:val="16"/>
              </w:rPr>
            </w:pPr>
            <w:r w:rsidRPr="00A44829">
              <w:rPr>
                <w:rFonts w:cs="Arial"/>
                <w:sz w:val="16"/>
                <w:szCs w:val="16"/>
              </w:rPr>
              <w:t>&lt;100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691A2EC7" w14:textId="77777777" w:rsidR="00782715" w:rsidRPr="00A44829" w:rsidRDefault="00782715" w:rsidP="0038375E">
            <w:pPr>
              <w:spacing w:before="40" w:after="20"/>
              <w:jc w:val="center"/>
              <w:rPr>
                <w:rFonts w:cs="Arial"/>
                <w:sz w:val="16"/>
                <w:szCs w:val="16"/>
              </w:rPr>
            </w:pPr>
            <w:r w:rsidRPr="00A44829">
              <w:rPr>
                <w:rFonts w:cs="Arial"/>
                <w:sz w:val="16"/>
                <w:szCs w:val="16"/>
              </w:rPr>
              <w:t xml:space="preserve">100 to </w:t>
            </w:r>
            <w:r w:rsidRPr="00A44829">
              <w:rPr>
                <w:rFonts w:cs="Arial"/>
                <w:sz w:val="16"/>
                <w:szCs w:val="16"/>
              </w:rPr>
              <w:br/>
              <w:t>&lt;500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2C817B3C" w14:textId="77777777" w:rsidR="00782715" w:rsidRPr="00A44829" w:rsidRDefault="00782715" w:rsidP="0038375E">
            <w:pPr>
              <w:spacing w:before="40" w:after="20"/>
              <w:jc w:val="center"/>
              <w:rPr>
                <w:rFonts w:cs="Arial"/>
                <w:sz w:val="16"/>
                <w:szCs w:val="16"/>
              </w:rPr>
            </w:pPr>
            <w:r w:rsidRPr="00A44829">
              <w:rPr>
                <w:rFonts w:cs="Arial"/>
                <w:sz w:val="16"/>
                <w:szCs w:val="16"/>
              </w:rPr>
              <w:t xml:space="preserve">500 to </w:t>
            </w:r>
            <w:r w:rsidRPr="00A44829">
              <w:rPr>
                <w:rFonts w:cs="Arial"/>
                <w:sz w:val="16"/>
                <w:szCs w:val="16"/>
              </w:rPr>
              <w:br/>
              <w:t>&lt;1000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7E6178B2" w14:textId="77777777" w:rsidR="00782715" w:rsidRPr="00A44829" w:rsidRDefault="00782715" w:rsidP="0038375E">
            <w:pPr>
              <w:spacing w:before="40" w:after="20"/>
              <w:jc w:val="center"/>
              <w:rPr>
                <w:rFonts w:cs="Arial"/>
                <w:sz w:val="16"/>
                <w:szCs w:val="16"/>
              </w:rPr>
            </w:pPr>
            <w:r w:rsidRPr="00A44829">
              <w:rPr>
                <w:rFonts w:cs="Arial"/>
                <w:sz w:val="16"/>
                <w:szCs w:val="16"/>
              </w:rPr>
              <w:t>&gt;1000</w:t>
            </w:r>
          </w:p>
        </w:tc>
      </w:tr>
      <w:tr w:rsidR="00A26814" w:rsidRPr="003E2D55" w14:paraId="0EDD08BD" w14:textId="77777777" w:rsidTr="00B44BBE">
        <w:trPr>
          <w:trHeight w:val="20"/>
          <w:tblHeader/>
        </w:trPr>
        <w:tc>
          <w:tcPr>
            <w:tcW w:w="2268" w:type="dxa"/>
            <w:tcBorders>
              <w:left w:val="nil"/>
              <w:bottom w:val="nil"/>
              <w:right w:val="single" w:sz="18" w:space="0" w:color="5F497A" w:themeColor="accent4" w:themeShade="BF"/>
            </w:tcBorders>
            <w:shd w:val="clear" w:color="auto" w:fill="auto"/>
            <w:vAlign w:val="center"/>
          </w:tcPr>
          <w:p w14:paraId="1441AA32" w14:textId="77777777" w:rsidR="00A26814" w:rsidRPr="003E2D55" w:rsidRDefault="00A26814" w:rsidP="00A26814">
            <w:pPr>
              <w:spacing w:before="40" w:after="20"/>
              <w:rPr>
                <w:rFonts w:cs="Arial"/>
                <w:sz w:val="18"/>
                <w:szCs w:val="18"/>
              </w:rPr>
            </w:pPr>
          </w:p>
        </w:tc>
        <w:tc>
          <w:tcPr>
            <w:tcW w:w="737"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362AEF25" w14:textId="62D2BE1B"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single" w:sz="8" w:space="0" w:color="5F497A" w:themeColor="accent4" w:themeShade="BF"/>
              <w:left w:val="nil"/>
              <w:bottom w:val="nil"/>
              <w:right w:val="nil"/>
            </w:tcBorders>
            <w:shd w:val="clear" w:color="auto" w:fill="auto"/>
            <w:vAlign w:val="bottom"/>
          </w:tcPr>
          <w:p w14:paraId="28253403" w14:textId="77777777" w:rsidR="00A26814" w:rsidRPr="003E2D55" w:rsidRDefault="00A26814" w:rsidP="00A26814">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36491B33" w14:textId="77777777" w:rsidR="00A26814" w:rsidRPr="003E2D55" w:rsidRDefault="00A26814" w:rsidP="00A26814">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2DA551A4" w14:textId="77777777" w:rsidR="00A26814" w:rsidRPr="003E2D55" w:rsidRDefault="00A26814" w:rsidP="00A26814">
            <w:pPr>
              <w:spacing w:before="40" w:after="20"/>
              <w:jc w:val="right"/>
              <w:rPr>
                <w:rFonts w:cs="Arial"/>
                <w:sz w:val="18"/>
                <w:szCs w:val="18"/>
              </w:rPr>
            </w:pPr>
          </w:p>
        </w:tc>
        <w:tc>
          <w:tcPr>
            <w:tcW w:w="170" w:type="dxa"/>
            <w:tcBorders>
              <w:top w:val="single" w:sz="8" w:space="0" w:color="5F497A" w:themeColor="accent4" w:themeShade="BF"/>
              <w:left w:val="nil"/>
              <w:bottom w:val="nil"/>
              <w:right w:val="nil"/>
            </w:tcBorders>
            <w:shd w:val="clear" w:color="auto" w:fill="auto"/>
            <w:vAlign w:val="bottom"/>
          </w:tcPr>
          <w:p w14:paraId="3A39B973" w14:textId="6628C141"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single" w:sz="8" w:space="0" w:color="5F497A" w:themeColor="accent4" w:themeShade="BF"/>
              <w:left w:val="nil"/>
              <w:bottom w:val="nil"/>
              <w:right w:val="nil"/>
            </w:tcBorders>
            <w:shd w:val="clear" w:color="auto" w:fill="auto"/>
            <w:vAlign w:val="bottom"/>
          </w:tcPr>
          <w:p w14:paraId="538C4572" w14:textId="77777777" w:rsidR="00A26814" w:rsidRPr="003E2D55" w:rsidRDefault="00A26814" w:rsidP="00A26814">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475109FE" w14:textId="77777777" w:rsidR="00A26814" w:rsidRPr="003E2D55" w:rsidRDefault="00A26814" w:rsidP="00A26814">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0AF93E7A" w14:textId="77777777" w:rsidR="00A26814" w:rsidRPr="003E2D55" w:rsidRDefault="00A26814" w:rsidP="00A26814">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16DE82B3" w14:textId="77777777" w:rsidR="00A26814" w:rsidRPr="003E2D55" w:rsidRDefault="00A26814" w:rsidP="00A26814">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7148BF3A" w14:textId="1A3C20AA" w:rsidR="00A26814" w:rsidRPr="003E2D55" w:rsidRDefault="00A26814" w:rsidP="00A26814">
            <w:pPr>
              <w:spacing w:before="40" w:after="20"/>
              <w:jc w:val="right"/>
              <w:rPr>
                <w:rFonts w:cs="Arial"/>
                <w:sz w:val="18"/>
                <w:szCs w:val="18"/>
              </w:rPr>
            </w:pPr>
            <w:r w:rsidRPr="003E2D55">
              <w:rPr>
                <w:rFonts w:cs="Arial"/>
                <w:sz w:val="18"/>
                <w:szCs w:val="18"/>
              </w:rPr>
              <w:t> </w:t>
            </w:r>
          </w:p>
        </w:tc>
      </w:tr>
      <w:tr w:rsidR="00A26814" w:rsidRPr="003E2D55" w14:paraId="744BC33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0A4E718" w14:textId="77777777" w:rsidR="00A26814" w:rsidRPr="003E2D55" w:rsidRDefault="00A26814" w:rsidP="00A26814">
            <w:pPr>
              <w:spacing w:before="40" w:after="20"/>
              <w:rPr>
                <w:rFonts w:cs="Arial"/>
                <w:sz w:val="18"/>
                <w:szCs w:val="18"/>
              </w:rPr>
            </w:pPr>
            <w:r w:rsidRPr="003E2D55">
              <w:rPr>
                <w:rFonts w:cs="Arial"/>
                <w:sz w:val="18"/>
                <w:szCs w:val="18"/>
              </w:rPr>
              <w:t>Macedon Ranges S</w:t>
            </w:r>
          </w:p>
        </w:tc>
        <w:tc>
          <w:tcPr>
            <w:tcW w:w="737" w:type="dxa"/>
            <w:tcBorders>
              <w:top w:val="nil"/>
              <w:left w:val="single" w:sz="18" w:space="0" w:color="5F497A" w:themeColor="accent4" w:themeShade="BF"/>
              <w:bottom w:val="nil"/>
              <w:right w:val="nil"/>
            </w:tcBorders>
            <w:shd w:val="clear" w:color="auto" w:fill="auto"/>
            <w:vAlign w:val="bottom"/>
          </w:tcPr>
          <w:p w14:paraId="6142528B" w14:textId="0FBDEA62" w:rsidR="00A26814" w:rsidRPr="003E2D55" w:rsidRDefault="00A26814" w:rsidP="00A26814">
            <w:pPr>
              <w:spacing w:before="40" w:after="20"/>
              <w:jc w:val="right"/>
              <w:rPr>
                <w:rFonts w:cs="Arial"/>
                <w:sz w:val="18"/>
                <w:szCs w:val="18"/>
              </w:rPr>
            </w:pPr>
            <w:r w:rsidRPr="003E2D55">
              <w:rPr>
                <w:rFonts w:cs="Arial"/>
                <w:sz w:val="18"/>
                <w:szCs w:val="18"/>
              </w:rPr>
              <w:t>140</w:t>
            </w:r>
          </w:p>
        </w:tc>
        <w:tc>
          <w:tcPr>
            <w:tcW w:w="737" w:type="dxa"/>
            <w:tcBorders>
              <w:top w:val="nil"/>
              <w:left w:val="nil"/>
              <w:bottom w:val="nil"/>
              <w:right w:val="nil"/>
            </w:tcBorders>
            <w:shd w:val="clear" w:color="auto" w:fill="auto"/>
            <w:vAlign w:val="bottom"/>
          </w:tcPr>
          <w:p w14:paraId="48657BA2" w14:textId="03D5762A" w:rsidR="00A26814" w:rsidRPr="003E2D55" w:rsidRDefault="00A26814" w:rsidP="00A26814">
            <w:pPr>
              <w:spacing w:before="40" w:after="20"/>
              <w:jc w:val="right"/>
              <w:rPr>
                <w:rFonts w:cs="Arial"/>
                <w:sz w:val="18"/>
                <w:szCs w:val="18"/>
              </w:rPr>
            </w:pPr>
            <w:r w:rsidRPr="003E2D55">
              <w:rPr>
                <w:rFonts w:cs="Arial"/>
                <w:sz w:val="18"/>
                <w:szCs w:val="18"/>
              </w:rPr>
              <w:t>148</w:t>
            </w:r>
          </w:p>
        </w:tc>
        <w:tc>
          <w:tcPr>
            <w:tcW w:w="737" w:type="dxa"/>
            <w:tcBorders>
              <w:top w:val="nil"/>
              <w:left w:val="nil"/>
              <w:bottom w:val="nil"/>
              <w:right w:val="nil"/>
            </w:tcBorders>
            <w:shd w:val="clear" w:color="auto" w:fill="auto"/>
            <w:vAlign w:val="bottom"/>
          </w:tcPr>
          <w:p w14:paraId="7844C738" w14:textId="2F22E474" w:rsidR="00A26814" w:rsidRPr="003E2D55" w:rsidRDefault="00A26814" w:rsidP="00A26814">
            <w:pPr>
              <w:spacing w:before="40" w:after="20"/>
              <w:jc w:val="right"/>
              <w:rPr>
                <w:rFonts w:cs="Arial"/>
                <w:sz w:val="18"/>
                <w:szCs w:val="18"/>
              </w:rPr>
            </w:pPr>
            <w:r w:rsidRPr="003E2D55">
              <w:rPr>
                <w:rFonts w:cs="Arial"/>
                <w:sz w:val="18"/>
                <w:szCs w:val="18"/>
              </w:rPr>
              <w:t>65</w:t>
            </w:r>
          </w:p>
        </w:tc>
        <w:tc>
          <w:tcPr>
            <w:tcW w:w="737" w:type="dxa"/>
            <w:tcBorders>
              <w:top w:val="nil"/>
              <w:left w:val="nil"/>
              <w:bottom w:val="nil"/>
              <w:right w:val="nil"/>
            </w:tcBorders>
            <w:shd w:val="clear" w:color="auto" w:fill="auto"/>
            <w:vAlign w:val="bottom"/>
          </w:tcPr>
          <w:p w14:paraId="019BB997" w14:textId="68A2FCA5" w:rsidR="00A26814" w:rsidRPr="003E2D55" w:rsidRDefault="00A26814" w:rsidP="00A26814">
            <w:pPr>
              <w:spacing w:before="40" w:after="20"/>
              <w:jc w:val="right"/>
              <w:rPr>
                <w:rFonts w:cs="Arial"/>
                <w:sz w:val="18"/>
                <w:szCs w:val="18"/>
              </w:rPr>
            </w:pPr>
            <w:r w:rsidRPr="003E2D55">
              <w:rPr>
                <w:rFonts w:cs="Arial"/>
                <w:sz w:val="18"/>
                <w:szCs w:val="18"/>
              </w:rPr>
              <w:t>1</w:t>
            </w:r>
          </w:p>
        </w:tc>
        <w:tc>
          <w:tcPr>
            <w:tcW w:w="170" w:type="dxa"/>
            <w:tcBorders>
              <w:top w:val="nil"/>
              <w:left w:val="nil"/>
              <w:bottom w:val="nil"/>
              <w:right w:val="nil"/>
            </w:tcBorders>
            <w:shd w:val="clear" w:color="auto" w:fill="auto"/>
            <w:vAlign w:val="bottom"/>
          </w:tcPr>
          <w:p w14:paraId="4E2B8E47" w14:textId="4FC34339"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77FE0B03" w14:textId="10F6B029" w:rsidR="00A26814" w:rsidRPr="003E2D55" w:rsidRDefault="00A26814" w:rsidP="00A26814">
            <w:pPr>
              <w:spacing w:before="40" w:after="20"/>
              <w:jc w:val="right"/>
              <w:rPr>
                <w:rFonts w:cs="Arial"/>
                <w:sz w:val="18"/>
                <w:szCs w:val="18"/>
              </w:rPr>
            </w:pPr>
            <w:r w:rsidRPr="003E2D55">
              <w:rPr>
                <w:rFonts w:cs="Arial"/>
                <w:sz w:val="18"/>
                <w:szCs w:val="18"/>
              </w:rPr>
              <w:t>49</w:t>
            </w:r>
          </w:p>
        </w:tc>
        <w:tc>
          <w:tcPr>
            <w:tcW w:w="737" w:type="dxa"/>
            <w:tcBorders>
              <w:top w:val="nil"/>
              <w:left w:val="nil"/>
              <w:bottom w:val="nil"/>
              <w:right w:val="nil"/>
            </w:tcBorders>
            <w:shd w:val="clear" w:color="auto" w:fill="auto"/>
            <w:vAlign w:val="bottom"/>
          </w:tcPr>
          <w:p w14:paraId="67F979DC" w14:textId="62D0CF30" w:rsidR="00A26814" w:rsidRPr="003E2D55" w:rsidRDefault="00A26814" w:rsidP="00A26814">
            <w:pPr>
              <w:spacing w:before="40" w:after="20"/>
              <w:jc w:val="right"/>
              <w:rPr>
                <w:rFonts w:cs="Arial"/>
                <w:sz w:val="18"/>
                <w:szCs w:val="18"/>
              </w:rPr>
            </w:pPr>
            <w:r w:rsidRPr="003E2D55">
              <w:rPr>
                <w:rFonts w:cs="Arial"/>
                <w:sz w:val="18"/>
                <w:szCs w:val="18"/>
              </w:rPr>
              <w:t>476</w:t>
            </w:r>
          </w:p>
        </w:tc>
        <w:tc>
          <w:tcPr>
            <w:tcW w:w="737" w:type="dxa"/>
            <w:tcBorders>
              <w:top w:val="nil"/>
              <w:left w:val="nil"/>
              <w:bottom w:val="nil"/>
              <w:right w:val="nil"/>
            </w:tcBorders>
            <w:shd w:val="clear" w:color="auto" w:fill="auto"/>
            <w:vAlign w:val="bottom"/>
          </w:tcPr>
          <w:p w14:paraId="68C4CBDB" w14:textId="7FA94A69" w:rsidR="00A26814" w:rsidRPr="003E2D55" w:rsidRDefault="00A26814" w:rsidP="00A26814">
            <w:pPr>
              <w:spacing w:before="40" w:after="20"/>
              <w:jc w:val="right"/>
              <w:rPr>
                <w:rFonts w:cs="Arial"/>
                <w:sz w:val="18"/>
                <w:szCs w:val="18"/>
              </w:rPr>
            </w:pPr>
            <w:r w:rsidRPr="003E2D55">
              <w:rPr>
                <w:rFonts w:cs="Arial"/>
                <w:sz w:val="18"/>
                <w:szCs w:val="18"/>
              </w:rPr>
              <w:t>543</w:t>
            </w:r>
          </w:p>
        </w:tc>
        <w:tc>
          <w:tcPr>
            <w:tcW w:w="737" w:type="dxa"/>
            <w:tcBorders>
              <w:top w:val="nil"/>
              <w:left w:val="nil"/>
              <w:bottom w:val="nil"/>
              <w:right w:val="nil"/>
            </w:tcBorders>
            <w:shd w:val="clear" w:color="auto" w:fill="auto"/>
            <w:vAlign w:val="bottom"/>
          </w:tcPr>
          <w:p w14:paraId="60CD6FB7" w14:textId="1C98A684" w:rsidR="00A26814" w:rsidRPr="003E2D55" w:rsidRDefault="00A26814" w:rsidP="00A26814">
            <w:pPr>
              <w:spacing w:before="40" w:after="20"/>
              <w:jc w:val="right"/>
              <w:rPr>
                <w:rFonts w:cs="Arial"/>
                <w:sz w:val="18"/>
                <w:szCs w:val="18"/>
              </w:rPr>
            </w:pPr>
            <w:r w:rsidRPr="003E2D55">
              <w:rPr>
                <w:rFonts w:cs="Arial"/>
                <w:sz w:val="18"/>
                <w:szCs w:val="18"/>
              </w:rPr>
              <w:t>157</w:t>
            </w:r>
          </w:p>
        </w:tc>
        <w:tc>
          <w:tcPr>
            <w:tcW w:w="737" w:type="dxa"/>
            <w:tcBorders>
              <w:top w:val="nil"/>
              <w:left w:val="nil"/>
              <w:bottom w:val="nil"/>
              <w:right w:val="nil"/>
            </w:tcBorders>
            <w:shd w:val="clear" w:color="auto" w:fill="auto"/>
            <w:vAlign w:val="bottom"/>
          </w:tcPr>
          <w:p w14:paraId="4443B38B" w14:textId="2738DFE9" w:rsidR="00A26814" w:rsidRPr="003E2D55" w:rsidRDefault="00A26814" w:rsidP="00A26814">
            <w:pPr>
              <w:spacing w:before="40" w:after="20"/>
              <w:jc w:val="right"/>
              <w:rPr>
                <w:rFonts w:cs="Arial"/>
                <w:sz w:val="18"/>
                <w:szCs w:val="18"/>
              </w:rPr>
            </w:pPr>
            <w:r w:rsidRPr="003E2D55">
              <w:rPr>
                <w:rFonts w:cs="Arial"/>
                <w:sz w:val="18"/>
                <w:szCs w:val="18"/>
              </w:rPr>
              <w:t>56</w:t>
            </w:r>
          </w:p>
        </w:tc>
      </w:tr>
      <w:tr w:rsidR="00A26814" w:rsidRPr="003E2D55" w14:paraId="1E49821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98C3DFE" w14:textId="77777777" w:rsidR="00A26814" w:rsidRPr="003E2D55" w:rsidRDefault="00A26814" w:rsidP="00A26814">
            <w:pPr>
              <w:spacing w:before="40" w:after="20"/>
              <w:rPr>
                <w:rFonts w:cs="Arial"/>
                <w:sz w:val="18"/>
                <w:szCs w:val="18"/>
              </w:rPr>
            </w:pPr>
            <w:r w:rsidRPr="003E2D55">
              <w:rPr>
                <w:rFonts w:cs="Arial"/>
                <w:sz w:val="18"/>
                <w:szCs w:val="18"/>
              </w:rPr>
              <w:t>Manningham C</w:t>
            </w:r>
          </w:p>
        </w:tc>
        <w:tc>
          <w:tcPr>
            <w:tcW w:w="737" w:type="dxa"/>
            <w:tcBorders>
              <w:top w:val="nil"/>
              <w:left w:val="single" w:sz="18" w:space="0" w:color="5F497A" w:themeColor="accent4" w:themeShade="BF"/>
              <w:bottom w:val="nil"/>
              <w:right w:val="nil"/>
            </w:tcBorders>
            <w:shd w:val="clear" w:color="auto" w:fill="auto"/>
            <w:vAlign w:val="bottom"/>
          </w:tcPr>
          <w:p w14:paraId="3432F13F" w14:textId="4BF2ABD6" w:rsidR="00A26814" w:rsidRPr="003E2D55" w:rsidRDefault="00A26814" w:rsidP="00A26814">
            <w:pPr>
              <w:spacing w:before="40" w:after="20"/>
              <w:jc w:val="right"/>
              <w:rPr>
                <w:rFonts w:cs="Arial"/>
                <w:sz w:val="18"/>
                <w:szCs w:val="18"/>
              </w:rPr>
            </w:pPr>
            <w:r w:rsidRPr="003E2D55">
              <w:rPr>
                <w:rFonts w:cs="Arial"/>
                <w:sz w:val="18"/>
                <w:szCs w:val="18"/>
              </w:rPr>
              <w:t>286</w:t>
            </w:r>
          </w:p>
        </w:tc>
        <w:tc>
          <w:tcPr>
            <w:tcW w:w="737" w:type="dxa"/>
            <w:tcBorders>
              <w:top w:val="nil"/>
              <w:left w:val="nil"/>
              <w:bottom w:val="nil"/>
              <w:right w:val="nil"/>
            </w:tcBorders>
            <w:shd w:val="clear" w:color="auto" w:fill="auto"/>
            <w:vAlign w:val="bottom"/>
          </w:tcPr>
          <w:p w14:paraId="215DCBAA" w14:textId="37B70171" w:rsidR="00A26814" w:rsidRPr="003E2D55" w:rsidRDefault="00A26814" w:rsidP="00A26814">
            <w:pPr>
              <w:spacing w:before="40" w:after="20"/>
              <w:jc w:val="right"/>
              <w:rPr>
                <w:rFonts w:cs="Arial"/>
                <w:sz w:val="18"/>
                <w:szCs w:val="18"/>
              </w:rPr>
            </w:pPr>
            <w:r w:rsidRPr="003E2D55">
              <w:rPr>
                <w:rFonts w:cs="Arial"/>
                <w:sz w:val="18"/>
                <w:szCs w:val="18"/>
              </w:rPr>
              <w:t>75</w:t>
            </w:r>
          </w:p>
        </w:tc>
        <w:tc>
          <w:tcPr>
            <w:tcW w:w="737" w:type="dxa"/>
            <w:tcBorders>
              <w:top w:val="nil"/>
              <w:left w:val="nil"/>
              <w:bottom w:val="nil"/>
              <w:right w:val="nil"/>
            </w:tcBorders>
            <w:shd w:val="clear" w:color="auto" w:fill="auto"/>
            <w:vAlign w:val="bottom"/>
          </w:tcPr>
          <w:p w14:paraId="265B0111" w14:textId="02BF1795" w:rsidR="00A26814" w:rsidRPr="003E2D55" w:rsidRDefault="00A26814" w:rsidP="00A26814">
            <w:pPr>
              <w:spacing w:before="40" w:after="20"/>
              <w:jc w:val="right"/>
              <w:rPr>
                <w:rFonts w:cs="Arial"/>
                <w:sz w:val="18"/>
                <w:szCs w:val="18"/>
              </w:rPr>
            </w:pPr>
            <w:r w:rsidRPr="003E2D55">
              <w:rPr>
                <w:rFonts w:cs="Arial"/>
                <w:sz w:val="18"/>
                <w:szCs w:val="18"/>
              </w:rPr>
              <w:t>71</w:t>
            </w:r>
          </w:p>
        </w:tc>
        <w:tc>
          <w:tcPr>
            <w:tcW w:w="737" w:type="dxa"/>
            <w:tcBorders>
              <w:top w:val="nil"/>
              <w:left w:val="nil"/>
              <w:bottom w:val="nil"/>
              <w:right w:val="nil"/>
            </w:tcBorders>
            <w:shd w:val="clear" w:color="auto" w:fill="auto"/>
            <w:vAlign w:val="bottom"/>
          </w:tcPr>
          <w:p w14:paraId="0C44A785" w14:textId="77F86633" w:rsidR="00A26814" w:rsidRPr="003E2D55" w:rsidRDefault="00A26814" w:rsidP="00A26814">
            <w:pPr>
              <w:spacing w:before="40" w:after="20"/>
              <w:jc w:val="right"/>
              <w:rPr>
                <w:rFonts w:cs="Arial"/>
                <w:sz w:val="18"/>
                <w:szCs w:val="18"/>
              </w:rPr>
            </w:pPr>
            <w:r w:rsidRPr="003E2D55">
              <w:rPr>
                <w:rFonts w:cs="Arial"/>
                <w:sz w:val="18"/>
                <w:szCs w:val="18"/>
              </w:rPr>
              <w:t>3</w:t>
            </w:r>
          </w:p>
        </w:tc>
        <w:tc>
          <w:tcPr>
            <w:tcW w:w="170" w:type="dxa"/>
            <w:tcBorders>
              <w:top w:val="nil"/>
              <w:left w:val="nil"/>
              <w:bottom w:val="nil"/>
              <w:right w:val="nil"/>
            </w:tcBorders>
            <w:shd w:val="clear" w:color="auto" w:fill="auto"/>
            <w:vAlign w:val="bottom"/>
          </w:tcPr>
          <w:p w14:paraId="40DB5196" w14:textId="0F759FC7"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38D5D124" w14:textId="2E7F5967"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7DC53042" w14:textId="6695A287" w:rsidR="00A26814" w:rsidRPr="003E2D55" w:rsidRDefault="00A26814" w:rsidP="00A26814">
            <w:pPr>
              <w:spacing w:before="40" w:after="20"/>
              <w:jc w:val="right"/>
              <w:rPr>
                <w:rFonts w:cs="Arial"/>
                <w:sz w:val="18"/>
                <w:szCs w:val="18"/>
              </w:rPr>
            </w:pPr>
            <w:r w:rsidRPr="003E2D55">
              <w:rPr>
                <w:rFonts w:cs="Arial"/>
                <w:sz w:val="18"/>
                <w:szCs w:val="18"/>
              </w:rPr>
              <w:t>51</w:t>
            </w:r>
          </w:p>
        </w:tc>
        <w:tc>
          <w:tcPr>
            <w:tcW w:w="737" w:type="dxa"/>
            <w:tcBorders>
              <w:top w:val="nil"/>
              <w:left w:val="nil"/>
              <w:bottom w:val="nil"/>
              <w:right w:val="nil"/>
            </w:tcBorders>
            <w:shd w:val="clear" w:color="auto" w:fill="auto"/>
            <w:vAlign w:val="bottom"/>
          </w:tcPr>
          <w:p w14:paraId="10D9608C" w14:textId="1588F448" w:rsidR="00A26814" w:rsidRPr="003E2D55" w:rsidRDefault="00A26814" w:rsidP="00A26814">
            <w:pPr>
              <w:spacing w:before="40" w:after="20"/>
              <w:jc w:val="right"/>
              <w:rPr>
                <w:rFonts w:cs="Arial"/>
                <w:sz w:val="18"/>
                <w:szCs w:val="18"/>
              </w:rPr>
            </w:pPr>
            <w:r w:rsidRPr="003E2D55">
              <w:rPr>
                <w:rFonts w:cs="Arial"/>
                <w:sz w:val="18"/>
                <w:szCs w:val="18"/>
              </w:rPr>
              <w:t>77</w:t>
            </w:r>
          </w:p>
        </w:tc>
        <w:tc>
          <w:tcPr>
            <w:tcW w:w="737" w:type="dxa"/>
            <w:tcBorders>
              <w:top w:val="nil"/>
              <w:left w:val="nil"/>
              <w:bottom w:val="nil"/>
              <w:right w:val="nil"/>
            </w:tcBorders>
            <w:shd w:val="clear" w:color="auto" w:fill="auto"/>
            <w:vAlign w:val="bottom"/>
          </w:tcPr>
          <w:p w14:paraId="7E59850A" w14:textId="42101C76" w:rsidR="00A26814" w:rsidRPr="003E2D55" w:rsidRDefault="00A26814" w:rsidP="00A26814">
            <w:pPr>
              <w:spacing w:before="40" w:after="20"/>
              <w:jc w:val="right"/>
              <w:rPr>
                <w:rFonts w:cs="Arial"/>
                <w:sz w:val="18"/>
                <w:szCs w:val="18"/>
              </w:rPr>
            </w:pPr>
            <w:r w:rsidRPr="003E2D55">
              <w:rPr>
                <w:rFonts w:cs="Arial"/>
                <w:sz w:val="18"/>
                <w:szCs w:val="18"/>
              </w:rPr>
              <w:t>14</w:t>
            </w:r>
          </w:p>
        </w:tc>
        <w:tc>
          <w:tcPr>
            <w:tcW w:w="737" w:type="dxa"/>
            <w:tcBorders>
              <w:top w:val="nil"/>
              <w:left w:val="nil"/>
              <w:bottom w:val="nil"/>
              <w:right w:val="nil"/>
            </w:tcBorders>
            <w:shd w:val="clear" w:color="auto" w:fill="auto"/>
            <w:vAlign w:val="bottom"/>
          </w:tcPr>
          <w:p w14:paraId="4B51DAF3" w14:textId="7F20BE71" w:rsidR="00A26814" w:rsidRPr="003E2D55" w:rsidRDefault="00A26814" w:rsidP="00A26814">
            <w:pPr>
              <w:spacing w:before="40" w:after="20"/>
              <w:jc w:val="right"/>
              <w:rPr>
                <w:rFonts w:cs="Arial"/>
                <w:sz w:val="18"/>
                <w:szCs w:val="18"/>
              </w:rPr>
            </w:pPr>
            <w:r w:rsidRPr="003E2D55">
              <w:rPr>
                <w:rFonts w:cs="Arial"/>
                <w:sz w:val="18"/>
                <w:szCs w:val="18"/>
              </w:rPr>
              <w:t>28</w:t>
            </w:r>
          </w:p>
        </w:tc>
      </w:tr>
      <w:tr w:rsidR="00A26814" w:rsidRPr="003E2D55" w14:paraId="772991A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51119E2" w14:textId="77777777" w:rsidR="00A26814" w:rsidRPr="003E2D55" w:rsidRDefault="00A26814" w:rsidP="00A26814">
            <w:pPr>
              <w:spacing w:before="40" w:after="20"/>
              <w:rPr>
                <w:rFonts w:cs="Arial"/>
                <w:sz w:val="18"/>
                <w:szCs w:val="18"/>
              </w:rPr>
            </w:pPr>
            <w:r w:rsidRPr="003E2D55">
              <w:rPr>
                <w:rFonts w:cs="Arial"/>
                <w:sz w:val="18"/>
                <w:szCs w:val="18"/>
              </w:rPr>
              <w:t>Mansfield S</w:t>
            </w:r>
          </w:p>
        </w:tc>
        <w:tc>
          <w:tcPr>
            <w:tcW w:w="737" w:type="dxa"/>
            <w:tcBorders>
              <w:top w:val="nil"/>
              <w:left w:val="single" w:sz="18" w:space="0" w:color="5F497A" w:themeColor="accent4" w:themeShade="BF"/>
              <w:bottom w:val="nil"/>
              <w:right w:val="nil"/>
            </w:tcBorders>
            <w:shd w:val="clear" w:color="auto" w:fill="auto"/>
            <w:vAlign w:val="bottom"/>
          </w:tcPr>
          <w:p w14:paraId="7C1A9EEE" w14:textId="2637049E" w:rsidR="00A26814" w:rsidRPr="003E2D55" w:rsidRDefault="00A26814" w:rsidP="00A26814">
            <w:pPr>
              <w:spacing w:before="40" w:after="20"/>
              <w:jc w:val="right"/>
              <w:rPr>
                <w:rFonts w:cs="Arial"/>
                <w:sz w:val="18"/>
                <w:szCs w:val="18"/>
              </w:rPr>
            </w:pPr>
            <w:r w:rsidRPr="003E2D55">
              <w:rPr>
                <w:rFonts w:cs="Arial"/>
                <w:sz w:val="18"/>
                <w:szCs w:val="18"/>
              </w:rPr>
              <w:t>65</w:t>
            </w:r>
          </w:p>
        </w:tc>
        <w:tc>
          <w:tcPr>
            <w:tcW w:w="737" w:type="dxa"/>
            <w:tcBorders>
              <w:top w:val="nil"/>
              <w:left w:val="nil"/>
              <w:bottom w:val="nil"/>
              <w:right w:val="nil"/>
            </w:tcBorders>
            <w:shd w:val="clear" w:color="auto" w:fill="auto"/>
            <w:vAlign w:val="bottom"/>
          </w:tcPr>
          <w:p w14:paraId="24501AA1" w14:textId="27B8D5C6" w:rsidR="00A26814" w:rsidRPr="003E2D55" w:rsidRDefault="00A26814" w:rsidP="00A26814">
            <w:pPr>
              <w:spacing w:before="40" w:after="20"/>
              <w:jc w:val="right"/>
              <w:rPr>
                <w:rFonts w:cs="Arial"/>
                <w:sz w:val="18"/>
                <w:szCs w:val="18"/>
              </w:rPr>
            </w:pPr>
            <w:r w:rsidRPr="003E2D55">
              <w:rPr>
                <w:rFonts w:cs="Arial"/>
                <w:sz w:val="18"/>
                <w:szCs w:val="18"/>
              </w:rPr>
              <w:t>9</w:t>
            </w:r>
          </w:p>
        </w:tc>
        <w:tc>
          <w:tcPr>
            <w:tcW w:w="737" w:type="dxa"/>
            <w:tcBorders>
              <w:top w:val="nil"/>
              <w:left w:val="nil"/>
              <w:bottom w:val="nil"/>
              <w:right w:val="nil"/>
            </w:tcBorders>
            <w:shd w:val="clear" w:color="auto" w:fill="auto"/>
            <w:vAlign w:val="bottom"/>
          </w:tcPr>
          <w:p w14:paraId="301A6A3B" w14:textId="78EDE57E" w:rsidR="00A26814" w:rsidRPr="003E2D55" w:rsidRDefault="00A26814" w:rsidP="00A26814">
            <w:pPr>
              <w:spacing w:before="40" w:after="20"/>
              <w:jc w:val="right"/>
              <w:rPr>
                <w:rFonts w:cs="Arial"/>
                <w:sz w:val="18"/>
                <w:szCs w:val="18"/>
              </w:rPr>
            </w:pPr>
            <w:r w:rsidRPr="003E2D55">
              <w:rPr>
                <w:rFonts w:cs="Arial"/>
                <w:sz w:val="18"/>
                <w:szCs w:val="18"/>
              </w:rPr>
              <w:t>5</w:t>
            </w:r>
          </w:p>
        </w:tc>
        <w:tc>
          <w:tcPr>
            <w:tcW w:w="737" w:type="dxa"/>
            <w:tcBorders>
              <w:top w:val="nil"/>
              <w:left w:val="nil"/>
              <w:bottom w:val="nil"/>
              <w:right w:val="nil"/>
            </w:tcBorders>
            <w:shd w:val="clear" w:color="auto" w:fill="auto"/>
            <w:vAlign w:val="bottom"/>
          </w:tcPr>
          <w:p w14:paraId="006A27D0" w14:textId="598A0770" w:rsidR="00A26814" w:rsidRPr="003E2D55" w:rsidRDefault="00A26814" w:rsidP="00A26814">
            <w:pPr>
              <w:spacing w:before="40" w:after="2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038609E4" w14:textId="1F4C267C"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48363390" w14:textId="476D31DF" w:rsidR="00A26814" w:rsidRPr="003E2D55" w:rsidRDefault="00A26814" w:rsidP="00A26814">
            <w:pPr>
              <w:spacing w:before="40" w:after="20"/>
              <w:jc w:val="right"/>
              <w:rPr>
                <w:rFonts w:cs="Arial"/>
                <w:sz w:val="18"/>
                <w:szCs w:val="18"/>
              </w:rPr>
            </w:pPr>
            <w:r w:rsidRPr="003E2D55">
              <w:rPr>
                <w:rFonts w:cs="Arial"/>
                <w:sz w:val="18"/>
                <w:szCs w:val="18"/>
              </w:rPr>
              <w:t>44</w:t>
            </w:r>
          </w:p>
        </w:tc>
        <w:tc>
          <w:tcPr>
            <w:tcW w:w="737" w:type="dxa"/>
            <w:tcBorders>
              <w:top w:val="nil"/>
              <w:left w:val="nil"/>
              <w:bottom w:val="nil"/>
              <w:right w:val="nil"/>
            </w:tcBorders>
            <w:shd w:val="clear" w:color="auto" w:fill="auto"/>
            <w:vAlign w:val="bottom"/>
          </w:tcPr>
          <w:p w14:paraId="62650870" w14:textId="431F1526" w:rsidR="00A26814" w:rsidRPr="003E2D55" w:rsidRDefault="00A26814" w:rsidP="00A26814">
            <w:pPr>
              <w:spacing w:before="40" w:after="20"/>
              <w:jc w:val="right"/>
              <w:rPr>
                <w:rFonts w:cs="Arial"/>
                <w:sz w:val="18"/>
                <w:szCs w:val="18"/>
              </w:rPr>
            </w:pPr>
            <w:r w:rsidRPr="003E2D55">
              <w:rPr>
                <w:rFonts w:cs="Arial"/>
                <w:sz w:val="18"/>
                <w:szCs w:val="18"/>
              </w:rPr>
              <w:t>514</w:t>
            </w:r>
          </w:p>
        </w:tc>
        <w:tc>
          <w:tcPr>
            <w:tcW w:w="737" w:type="dxa"/>
            <w:tcBorders>
              <w:top w:val="nil"/>
              <w:left w:val="nil"/>
              <w:bottom w:val="nil"/>
              <w:right w:val="nil"/>
            </w:tcBorders>
            <w:shd w:val="clear" w:color="auto" w:fill="auto"/>
            <w:vAlign w:val="bottom"/>
          </w:tcPr>
          <w:p w14:paraId="5901AB92" w14:textId="1A7B242E" w:rsidR="00A26814" w:rsidRPr="003E2D55" w:rsidRDefault="00A26814" w:rsidP="00A26814">
            <w:pPr>
              <w:spacing w:before="40" w:after="20"/>
              <w:jc w:val="right"/>
              <w:rPr>
                <w:rFonts w:cs="Arial"/>
                <w:sz w:val="18"/>
                <w:szCs w:val="18"/>
              </w:rPr>
            </w:pPr>
            <w:r w:rsidRPr="003E2D55">
              <w:rPr>
                <w:rFonts w:cs="Arial"/>
                <w:sz w:val="18"/>
                <w:szCs w:val="18"/>
              </w:rPr>
              <w:t>147</w:t>
            </w:r>
          </w:p>
        </w:tc>
        <w:tc>
          <w:tcPr>
            <w:tcW w:w="737" w:type="dxa"/>
            <w:tcBorders>
              <w:top w:val="nil"/>
              <w:left w:val="nil"/>
              <w:bottom w:val="nil"/>
              <w:right w:val="nil"/>
            </w:tcBorders>
            <w:shd w:val="clear" w:color="auto" w:fill="auto"/>
            <w:vAlign w:val="bottom"/>
          </w:tcPr>
          <w:p w14:paraId="301FD5AF" w14:textId="0127B63B" w:rsidR="00A26814" w:rsidRPr="003E2D55" w:rsidRDefault="00A26814" w:rsidP="00A26814">
            <w:pPr>
              <w:spacing w:before="40" w:after="20"/>
              <w:jc w:val="right"/>
              <w:rPr>
                <w:rFonts w:cs="Arial"/>
                <w:sz w:val="18"/>
                <w:szCs w:val="18"/>
              </w:rPr>
            </w:pPr>
            <w:r w:rsidRPr="003E2D55">
              <w:rPr>
                <w:rFonts w:cs="Arial"/>
                <w:sz w:val="18"/>
                <w:szCs w:val="18"/>
              </w:rPr>
              <w:t>19</w:t>
            </w:r>
          </w:p>
        </w:tc>
        <w:tc>
          <w:tcPr>
            <w:tcW w:w="737" w:type="dxa"/>
            <w:tcBorders>
              <w:top w:val="nil"/>
              <w:left w:val="nil"/>
              <w:bottom w:val="nil"/>
              <w:right w:val="nil"/>
            </w:tcBorders>
            <w:shd w:val="clear" w:color="auto" w:fill="auto"/>
            <w:vAlign w:val="bottom"/>
          </w:tcPr>
          <w:p w14:paraId="505565A7" w14:textId="6B86ADC7" w:rsidR="00A26814" w:rsidRPr="003E2D55" w:rsidRDefault="00A26814" w:rsidP="00A26814">
            <w:pPr>
              <w:spacing w:before="40" w:after="20"/>
              <w:jc w:val="right"/>
              <w:rPr>
                <w:rFonts w:cs="Arial"/>
                <w:sz w:val="18"/>
                <w:szCs w:val="18"/>
              </w:rPr>
            </w:pPr>
            <w:r w:rsidRPr="003E2D55">
              <w:rPr>
                <w:rFonts w:cs="Arial"/>
                <w:sz w:val="18"/>
                <w:szCs w:val="18"/>
              </w:rPr>
              <w:t>11</w:t>
            </w:r>
          </w:p>
        </w:tc>
      </w:tr>
      <w:tr w:rsidR="00A26814" w:rsidRPr="003E2D55" w14:paraId="16DC250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0C5B9A5" w14:textId="77777777" w:rsidR="00A26814" w:rsidRPr="003E2D55" w:rsidRDefault="00A26814" w:rsidP="00A26814">
            <w:pPr>
              <w:spacing w:before="40" w:after="20"/>
              <w:rPr>
                <w:rFonts w:cs="Arial"/>
                <w:sz w:val="18"/>
                <w:szCs w:val="18"/>
              </w:rPr>
            </w:pPr>
            <w:r w:rsidRPr="003E2D55">
              <w:rPr>
                <w:rFonts w:cs="Arial"/>
                <w:sz w:val="18"/>
                <w:szCs w:val="18"/>
              </w:rPr>
              <w:t>Maribyrnong C</w:t>
            </w:r>
          </w:p>
        </w:tc>
        <w:tc>
          <w:tcPr>
            <w:tcW w:w="737" w:type="dxa"/>
            <w:tcBorders>
              <w:top w:val="nil"/>
              <w:left w:val="single" w:sz="18" w:space="0" w:color="5F497A" w:themeColor="accent4" w:themeShade="BF"/>
              <w:bottom w:val="nil"/>
              <w:right w:val="nil"/>
            </w:tcBorders>
            <w:shd w:val="clear" w:color="auto" w:fill="auto"/>
            <w:vAlign w:val="bottom"/>
          </w:tcPr>
          <w:p w14:paraId="0C6F99BB" w14:textId="28C59BEA" w:rsidR="00A26814" w:rsidRPr="003E2D55" w:rsidRDefault="00A26814" w:rsidP="00A26814">
            <w:pPr>
              <w:spacing w:before="40" w:after="20"/>
              <w:jc w:val="right"/>
              <w:rPr>
                <w:rFonts w:cs="Arial"/>
                <w:sz w:val="18"/>
                <w:szCs w:val="18"/>
              </w:rPr>
            </w:pPr>
            <w:r w:rsidRPr="003E2D55">
              <w:rPr>
                <w:rFonts w:cs="Arial"/>
                <w:sz w:val="18"/>
                <w:szCs w:val="18"/>
              </w:rPr>
              <w:t>142</w:t>
            </w:r>
          </w:p>
        </w:tc>
        <w:tc>
          <w:tcPr>
            <w:tcW w:w="737" w:type="dxa"/>
            <w:tcBorders>
              <w:top w:val="nil"/>
              <w:left w:val="nil"/>
              <w:bottom w:val="nil"/>
              <w:right w:val="nil"/>
            </w:tcBorders>
            <w:shd w:val="clear" w:color="auto" w:fill="auto"/>
            <w:vAlign w:val="bottom"/>
          </w:tcPr>
          <w:p w14:paraId="3069438C" w14:textId="3FFB1F53" w:rsidR="00A26814" w:rsidRPr="003E2D55" w:rsidRDefault="00A26814" w:rsidP="00A26814">
            <w:pPr>
              <w:spacing w:before="40" w:after="20"/>
              <w:jc w:val="right"/>
              <w:rPr>
                <w:rFonts w:cs="Arial"/>
                <w:sz w:val="18"/>
                <w:szCs w:val="18"/>
              </w:rPr>
            </w:pPr>
            <w:r w:rsidRPr="003E2D55">
              <w:rPr>
                <w:rFonts w:cs="Arial"/>
                <w:sz w:val="18"/>
                <w:szCs w:val="18"/>
              </w:rPr>
              <w:t>62</w:t>
            </w:r>
          </w:p>
        </w:tc>
        <w:tc>
          <w:tcPr>
            <w:tcW w:w="737" w:type="dxa"/>
            <w:tcBorders>
              <w:top w:val="nil"/>
              <w:left w:val="nil"/>
              <w:bottom w:val="nil"/>
              <w:right w:val="nil"/>
            </w:tcBorders>
            <w:shd w:val="clear" w:color="auto" w:fill="auto"/>
            <w:vAlign w:val="bottom"/>
          </w:tcPr>
          <w:p w14:paraId="51511691" w14:textId="1FED794A" w:rsidR="00A26814" w:rsidRPr="003E2D55" w:rsidRDefault="00A26814" w:rsidP="00A26814">
            <w:pPr>
              <w:spacing w:before="40" w:after="20"/>
              <w:jc w:val="right"/>
              <w:rPr>
                <w:rFonts w:cs="Arial"/>
                <w:sz w:val="18"/>
                <w:szCs w:val="18"/>
              </w:rPr>
            </w:pPr>
            <w:r w:rsidRPr="003E2D55">
              <w:rPr>
                <w:rFonts w:cs="Arial"/>
                <w:sz w:val="18"/>
                <w:szCs w:val="18"/>
              </w:rPr>
              <w:t>53</w:t>
            </w:r>
          </w:p>
        </w:tc>
        <w:tc>
          <w:tcPr>
            <w:tcW w:w="737" w:type="dxa"/>
            <w:tcBorders>
              <w:top w:val="nil"/>
              <w:left w:val="nil"/>
              <w:bottom w:val="nil"/>
              <w:right w:val="nil"/>
            </w:tcBorders>
            <w:shd w:val="clear" w:color="auto" w:fill="auto"/>
            <w:vAlign w:val="bottom"/>
          </w:tcPr>
          <w:p w14:paraId="2EDBA82C" w14:textId="7452BFF5" w:rsidR="00A26814" w:rsidRPr="003E2D55" w:rsidRDefault="00A26814" w:rsidP="00A26814">
            <w:pPr>
              <w:spacing w:before="40" w:after="20"/>
              <w:jc w:val="right"/>
              <w:rPr>
                <w:rFonts w:cs="Arial"/>
                <w:sz w:val="18"/>
                <w:szCs w:val="18"/>
              </w:rPr>
            </w:pPr>
            <w:r w:rsidRPr="003E2D55">
              <w:rPr>
                <w:rFonts w:cs="Arial"/>
                <w:sz w:val="18"/>
                <w:szCs w:val="18"/>
              </w:rPr>
              <w:t>48</w:t>
            </w:r>
          </w:p>
        </w:tc>
        <w:tc>
          <w:tcPr>
            <w:tcW w:w="170" w:type="dxa"/>
            <w:tcBorders>
              <w:top w:val="nil"/>
              <w:left w:val="nil"/>
              <w:bottom w:val="nil"/>
              <w:right w:val="nil"/>
            </w:tcBorders>
            <w:shd w:val="clear" w:color="auto" w:fill="auto"/>
            <w:vAlign w:val="bottom"/>
          </w:tcPr>
          <w:p w14:paraId="3BCF5E40" w14:textId="259AFD10"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1D5F94EB" w14:textId="45EB0762"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76E0C2C6" w14:textId="648719C2"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279D2A1B" w14:textId="2DF41B8B"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5365112B" w14:textId="08D164D6"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675083C6" w14:textId="64162834"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381B4F9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684B504" w14:textId="77777777" w:rsidR="00A26814" w:rsidRPr="003E2D55" w:rsidRDefault="00A26814" w:rsidP="00A26814">
            <w:pPr>
              <w:spacing w:before="40" w:after="20"/>
              <w:rPr>
                <w:rFonts w:cs="Arial"/>
                <w:sz w:val="18"/>
                <w:szCs w:val="18"/>
              </w:rPr>
            </w:pPr>
            <w:r w:rsidRPr="003E2D55">
              <w:rPr>
                <w:rFonts w:cs="Arial"/>
                <w:sz w:val="18"/>
                <w:szCs w:val="18"/>
              </w:rPr>
              <w:t>Maroondah C</w:t>
            </w:r>
          </w:p>
        </w:tc>
        <w:tc>
          <w:tcPr>
            <w:tcW w:w="737" w:type="dxa"/>
            <w:tcBorders>
              <w:top w:val="nil"/>
              <w:left w:val="single" w:sz="18" w:space="0" w:color="5F497A" w:themeColor="accent4" w:themeShade="BF"/>
              <w:bottom w:val="nil"/>
              <w:right w:val="nil"/>
            </w:tcBorders>
            <w:shd w:val="clear" w:color="auto" w:fill="auto"/>
            <w:vAlign w:val="bottom"/>
          </w:tcPr>
          <w:p w14:paraId="7C211485" w14:textId="41113127" w:rsidR="00A26814" w:rsidRPr="003E2D55" w:rsidRDefault="00A26814" w:rsidP="00A26814">
            <w:pPr>
              <w:spacing w:before="40" w:after="20"/>
              <w:jc w:val="right"/>
              <w:rPr>
                <w:rFonts w:cs="Arial"/>
                <w:sz w:val="18"/>
                <w:szCs w:val="18"/>
              </w:rPr>
            </w:pPr>
            <w:r w:rsidRPr="003E2D55">
              <w:rPr>
                <w:rFonts w:cs="Arial"/>
                <w:sz w:val="18"/>
                <w:szCs w:val="18"/>
              </w:rPr>
              <w:t>236</w:t>
            </w:r>
          </w:p>
        </w:tc>
        <w:tc>
          <w:tcPr>
            <w:tcW w:w="737" w:type="dxa"/>
            <w:tcBorders>
              <w:top w:val="nil"/>
              <w:left w:val="nil"/>
              <w:bottom w:val="nil"/>
              <w:right w:val="nil"/>
            </w:tcBorders>
            <w:shd w:val="clear" w:color="auto" w:fill="auto"/>
            <w:vAlign w:val="bottom"/>
          </w:tcPr>
          <w:p w14:paraId="1C1D29C1" w14:textId="4B976BFA" w:rsidR="00A26814" w:rsidRPr="003E2D55" w:rsidRDefault="00A26814" w:rsidP="00A26814">
            <w:pPr>
              <w:spacing w:before="40" w:after="20"/>
              <w:jc w:val="right"/>
              <w:rPr>
                <w:rFonts w:cs="Arial"/>
                <w:sz w:val="18"/>
                <w:szCs w:val="18"/>
              </w:rPr>
            </w:pPr>
            <w:r w:rsidRPr="003E2D55">
              <w:rPr>
                <w:rFonts w:cs="Arial"/>
                <w:sz w:val="18"/>
                <w:szCs w:val="18"/>
              </w:rPr>
              <w:t>107</w:t>
            </w:r>
          </w:p>
        </w:tc>
        <w:tc>
          <w:tcPr>
            <w:tcW w:w="737" w:type="dxa"/>
            <w:tcBorders>
              <w:top w:val="nil"/>
              <w:left w:val="nil"/>
              <w:bottom w:val="nil"/>
              <w:right w:val="nil"/>
            </w:tcBorders>
            <w:shd w:val="clear" w:color="auto" w:fill="auto"/>
            <w:vAlign w:val="bottom"/>
          </w:tcPr>
          <w:p w14:paraId="25D79945" w14:textId="0B162240" w:rsidR="00A26814" w:rsidRPr="003E2D55" w:rsidRDefault="00A26814" w:rsidP="00A26814">
            <w:pPr>
              <w:spacing w:before="40" w:after="20"/>
              <w:jc w:val="right"/>
              <w:rPr>
                <w:rFonts w:cs="Arial"/>
                <w:sz w:val="18"/>
                <w:szCs w:val="18"/>
              </w:rPr>
            </w:pPr>
            <w:r w:rsidRPr="003E2D55">
              <w:rPr>
                <w:rFonts w:cs="Arial"/>
                <w:sz w:val="18"/>
                <w:szCs w:val="18"/>
              </w:rPr>
              <w:t>104</w:t>
            </w:r>
          </w:p>
        </w:tc>
        <w:tc>
          <w:tcPr>
            <w:tcW w:w="737" w:type="dxa"/>
            <w:tcBorders>
              <w:top w:val="nil"/>
              <w:left w:val="nil"/>
              <w:bottom w:val="nil"/>
              <w:right w:val="nil"/>
            </w:tcBorders>
            <w:shd w:val="clear" w:color="auto" w:fill="auto"/>
            <w:vAlign w:val="bottom"/>
          </w:tcPr>
          <w:p w14:paraId="5B1FC2D5" w14:textId="6B2CAF37" w:rsidR="00A26814" w:rsidRPr="003E2D55" w:rsidRDefault="00A26814" w:rsidP="00A26814">
            <w:pPr>
              <w:spacing w:before="40" w:after="20"/>
              <w:jc w:val="right"/>
              <w:rPr>
                <w:rFonts w:cs="Arial"/>
                <w:sz w:val="18"/>
                <w:szCs w:val="18"/>
              </w:rPr>
            </w:pPr>
            <w:r w:rsidRPr="003E2D55">
              <w:rPr>
                <w:rFonts w:cs="Arial"/>
                <w:sz w:val="18"/>
                <w:szCs w:val="18"/>
              </w:rPr>
              <w:t>37</w:t>
            </w:r>
          </w:p>
        </w:tc>
        <w:tc>
          <w:tcPr>
            <w:tcW w:w="170" w:type="dxa"/>
            <w:tcBorders>
              <w:top w:val="nil"/>
              <w:left w:val="nil"/>
              <w:bottom w:val="nil"/>
              <w:right w:val="nil"/>
            </w:tcBorders>
            <w:shd w:val="clear" w:color="auto" w:fill="auto"/>
            <w:vAlign w:val="bottom"/>
          </w:tcPr>
          <w:p w14:paraId="6C824C41" w14:textId="2C4AB323"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5DB44283" w14:textId="48C71DC1"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676880D1" w14:textId="19CD5F5D"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2F22BAFA" w14:textId="76D03BFD"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626BD59F" w14:textId="2D9A4482"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5DEF1591" w14:textId="124302C6"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0A0D9FB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AC92DA0" w14:textId="77777777" w:rsidR="00A26814" w:rsidRPr="003E2D55" w:rsidRDefault="00A26814" w:rsidP="00A26814">
            <w:pPr>
              <w:spacing w:before="40" w:after="20"/>
              <w:rPr>
                <w:rFonts w:cs="Arial"/>
                <w:sz w:val="18"/>
                <w:szCs w:val="18"/>
              </w:rPr>
            </w:pPr>
            <w:r w:rsidRPr="003E2D55">
              <w:rPr>
                <w:rFonts w:cs="Arial"/>
                <w:sz w:val="18"/>
                <w:szCs w:val="18"/>
              </w:rPr>
              <w:t>Melbourne C</w:t>
            </w:r>
          </w:p>
        </w:tc>
        <w:tc>
          <w:tcPr>
            <w:tcW w:w="737" w:type="dxa"/>
            <w:tcBorders>
              <w:top w:val="nil"/>
              <w:left w:val="single" w:sz="18" w:space="0" w:color="5F497A" w:themeColor="accent4" w:themeShade="BF"/>
              <w:bottom w:val="nil"/>
              <w:right w:val="nil"/>
            </w:tcBorders>
            <w:shd w:val="clear" w:color="auto" w:fill="auto"/>
            <w:vAlign w:val="bottom"/>
          </w:tcPr>
          <w:p w14:paraId="62E7F777" w14:textId="2FCE2DB6" w:rsidR="00A26814" w:rsidRPr="003E2D55" w:rsidRDefault="00A26814" w:rsidP="00A26814">
            <w:pPr>
              <w:spacing w:before="40" w:after="20"/>
              <w:jc w:val="right"/>
              <w:rPr>
                <w:rFonts w:cs="Arial"/>
                <w:sz w:val="18"/>
                <w:szCs w:val="18"/>
              </w:rPr>
            </w:pPr>
            <w:r w:rsidRPr="003E2D55">
              <w:rPr>
                <w:rFonts w:cs="Arial"/>
                <w:sz w:val="18"/>
                <w:szCs w:val="18"/>
              </w:rPr>
              <w:t>94</w:t>
            </w:r>
          </w:p>
        </w:tc>
        <w:tc>
          <w:tcPr>
            <w:tcW w:w="737" w:type="dxa"/>
            <w:tcBorders>
              <w:top w:val="nil"/>
              <w:left w:val="nil"/>
              <w:bottom w:val="nil"/>
              <w:right w:val="nil"/>
            </w:tcBorders>
            <w:shd w:val="clear" w:color="auto" w:fill="auto"/>
            <w:vAlign w:val="bottom"/>
          </w:tcPr>
          <w:p w14:paraId="780D6DBD" w14:textId="13BC7969" w:rsidR="00A26814" w:rsidRPr="003E2D55" w:rsidRDefault="00A26814" w:rsidP="00A26814">
            <w:pPr>
              <w:spacing w:before="40" w:after="20"/>
              <w:jc w:val="right"/>
              <w:rPr>
                <w:rFonts w:cs="Arial"/>
                <w:sz w:val="18"/>
                <w:szCs w:val="18"/>
              </w:rPr>
            </w:pPr>
            <w:r w:rsidRPr="003E2D55">
              <w:rPr>
                <w:rFonts w:cs="Arial"/>
                <w:sz w:val="18"/>
                <w:szCs w:val="18"/>
              </w:rPr>
              <w:t>37</w:t>
            </w:r>
          </w:p>
        </w:tc>
        <w:tc>
          <w:tcPr>
            <w:tcW w:w="737" w:type="dxa"/>
            <w:tcBorders>
              <w:top w:val="nil"/>
              <w:left w:val="nil"/>
              <w:bottom w:val="nil"/>
              <w:right w:val="nil"/>
            </w:tcBorders>
            <w:shd w:val="clear" w:color="auto" w:fill="auto"/>
            <w:vAlign w:val="bottom"/>
          </w:tcPr>
          <w:p w14:paraId="3637DFE0" w14:textId="408A5FE6" w:rsidR="00A26814" w:rsidRPr="003E2D55" w:rsidRDefault="00A26814" w:rsidP="00A26814">
            <w:pPr>
              <w:spacing w:before="40" w:after="20"/>
              <w:jc w:val="right"/>
              <w:rPr>
                <w:rFonts w:cs="Arial"/>
                <w:sz w:val="18"/>
                <w:szCs w:val="18"/>
              </w:rPr>
            </w:pPr>
            <w:r w:rsidRPr="003E2D55">
              <w:rPr>
                <w:rFonts w:cs="Arial"/>
                <w:sz w:val="18"/>
                <w:szCs w:val="18"/>
              </w:rPr>
              <w:t>62</w:t>
            </w:r>
          </w:p>
        </w:tc>
        <w:tc>
          <w:tcPr>
            <w:tcW w:w="737" w:type="dxa"/>
            <w:tcBorders>
              <w:top w:val="nil"/>
              <w:left w:val="nil"/>
              <w:bottom w:val="nil"/>
              <w:right w:val="nil"/>
            </w:tcBorders>
            <w:shd w:val="clear" w:color="auto" w:fill="auto"/>
            <w:vAlign w:val="bottom"/>
          </w:tcPr>
          <w:p w14:paraId="189463BA" w14:textId="178DE195" w:rsidR="00A26814" w:rsidRPr="003E2D55" w:rsidRDefault="00A26814" w:rsidP="00A26814">
            <w:pPr>
              <w:spacing w:before="40" w:after="20"/>
              <w:jc w:val="right"/>
              <w:rPr>
                <w:rFonts w:cs="Arial"/>
                <w:sz w:val="18"/>
                <w:szCs w:val="18"/>
              </w:rPr>
            </w:pPr>
            <w:r w:rsidRPr="003E2D55">
              <w:rPr>
                <w:rFonts w:cs="Arial"/>
                <w:sz w:val="18"/>
                <w:szCs w:val="18"/>
              </w:rPr>
              <w:t>49</w:t>
            </w:r>
          </w:p>
        </w:tc>
        <w:tc>
          <w:tcPr>
            <w:tcW w:w="170" w:type="dxa"/>
            <w:tcBorders>
              <w:top w:val="nil"/>
              <w:left w:val="nil"/>
              <w:bottom w:val="nil"/>
              <w:right w:val="nil"/>
            </w:tcBorders>
            <w:shd w:val="clear" w:color="auto" w:fill="auto"/>
            <w:vAlign w:val="bottom"/>
          </w:tcPr>
          <w:p w14:paraId="0FC297C3" w14:textId="3913E19A"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3744C85E" w14:textId="4AC2ADEE"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64C77E49" w14:textId="29976D43"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5444A2F1" w14:textId="31476919"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682BCB05" w14:textId="1B97C20B"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731865FD" w14:textId="27FBF14C"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0D1BDEF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7B3D151" w14:textId="77777777" w:rsidR="00A26814" w:rsidRPr="003E2D55" w:rsidRDefault="00A26814" w:rsidP="00A26814">
            <w:pPr>
              <w:spacing w:before="40" w:after="20"/>
              <w:rPr>
                <w:rFonts w:cs="Arial"/>
                <w:sz w:val="18"/>
                <w:szCs w:val="18"/>
              </w:rPr>
            </w:pPr>
            <w:r w:rsidRPr="003E2D55">
              <w:rPr>
                <w:rFonts w:cs="Arial"/>
                <w:sz w:val="18"/>
                <w:szCs w:val="18"/>
              </w:rPr>
              <w:t>Melton C</w:t>
            </w:r>
          </w:p>
        </w:tc>
        <w:tc>
          <w:tcPr>
            <w:tcW w:w="737" w:type="dxa"/>
            <w:tcBorders>
              <w:top w:val="nil"/>
              <w:left w:val="single" w:sz="18" w:space="0" w:color="5F497A" w:themeColor="accent4" w:themeShade="BF"/>
              <w:bottom w:val="nil"/>
              <w:right w:val="nil"/>
            </w:tcBorders>
            <w:shd w:val="clear" w:color="auto" w:fill="auto"/>
            <w:vAlign w:val="bottom"/>
          </w:tcPr>
          <w:p w14:paraId="5871FAF9" w14:textId="0764A729" w:rsidR="00A26814" w:rsidRPr="003E2D55" w:rsidRDefault="00A26814" w:rsidP="00A26814">
            <w:pPr>
              <w:spacing w:before="40" w:after="20"/>
              <w:jc w:val="right"/>
              <w:rPr>
                <w:rFonts w:cs="Arial"/>
                <w:sz w:val="18"/>
                <w:szCs w:val="18"/>
              </w:rPr>
            </w:pPr>
            <w:r w:rsidRPr="003E2D55">
              <w:rPr>
                <w:rFonts w:cs="Arial"/>
                <w:sz w:val="18"/>
                <w:szCs w:val="18"/>
              </w:rPr>
              <w:t>242</w:t>
            </w:r>
          </w:p>
        </w:tc>
        <w:tc>
          <w:tcPr>
            <w:tcW w:w="737" w:type="dxa"/>
            <w:tcBorders>
              <w:top w:val="nil"/>
              <w:left w:val="nil"/>
              <w:bottom w:val="nil"/>
              <w:right w:val="nil"/>
            </w:tcBorders>
            <w:shd w:val="clear" w:color="auto" w:fill="auto"/>
            <w:vAlign w:val="bottom"/>
          </w:tcPr>
          <w:p w14:paraId="27B60789" w14:textId="3B6D8C5D" w:rsidR="00A26814" w:rsidRPr="003E2D55" w:rsidRDefault="00A26814" w:rsidP="00A26814">
            <w:pPr>
              <w:spacing w:before="40" w:after="20"/>
              <w:jc w:val="right"/>
              <w:rPr>
                <w:rFonts w:cs="Arial"/>
                <w:sz w:val="18"/>
                <w:szCs w:val="18"/>
              </w:rPr>
            </w:pPr>
            <w:r w:rsidRPr="003E2D55">
              <w:rPr>
                <w:rFonts w:cs="Arial"/>
                <w:sz w:val="18"/>
                <w:szCs w:val="18"/>
              </w:rPr>
              <w:t>368</w:t>
            </w:r>
          </w:p>
        </w:tc>
        <w:tc>
          <w:tcPr>
            <w:tcW w:w="737" w:type="dxa"/>
            <w:tcBorders>
              <w:top w:val="nil"/>
              <w:left w:val="nil"/>
              <w:bottom w:val="nil"/>
              <w:right w:val="nil"/>
            </w:tcBorders>
            <w:shd w:val="clear" w:color="auto" w:fill="auto"/>
            <w:vAlign w:val="bottom"/>
          </w:tcPr>
          <w:p w14:paraId="0D4BEDE3" w14:textId="74AE95A9" w:rsidR="00A26814" w:rsidRPr="003E2D55" w:rsidRDefault="00A26814" w:rsidP="00A26814">
            <w:pPr>
              <w:spacing w:before="40" w:after="20"/>
              <w:jc w:val="right"/>
              <w:rPr>
                <w:rFonts w:cs="Arial"/>
                <w:sz w:val="18"/>
                <w:szCs w:val="18"/>
              </w:rPr>
            </w:pPr>
            <w:r w:rsidRPr="003E2D55">
              <w:rPr>
                <w:rFonts w:cs="Arial"/>
                <w:sz w:val="18"/>
                <w:szCs w:val="18"/>
              </w:rPr>
              <w:t>141</w:t>
            </w:r>
          </w:p>
        </w:tc>
        <w:tc>
          <w:tcPr>
            <w:tcW w:w="737" w:type="dxa"/>
            <w:tcBorders>
              <w:top w:val="nil"/>
              <w:left w:val="nil"/>
              <w:bottom w:val="nil"/>
              <w:right w:val="nil"/>
            </w:tcBorders>
            <w:shd w:val="clear" w:color="auto" w:fill="auto"/>
            <w:vAlign w:val="bottom"/>
          </w:tcPr>
          <w:p w14:paraId="34F1CC25" w14:textId="68B07857" w:rsidR="00A26814" w:rsidRPr="003E2D55" w:rsidRDefault="00A26814" w:rsidP="00A26814">
            <w:pPr>
              <w:spacing w:before="40" w:after="20"/>
              <w:jc w:val="right"/>
              <w:rPr>
                <w:rFonts w:cs="Arial"/>
                <w:sz w:val="18"/>
                <w:szCs w:val="18"/>
              </w:rPr>
            </w:pPr>
            <w:r w:rsidRPr="003E2D55">
              <w:rPr>
                <w:rFonts w:cs="Arial"/>
                <w:sz w:val="18"/>
                <w:szCs w:val="18"/>
              </w:rPr>
              <w:t>97</w:t>
            </w:r>
          </w:p>
        </w:tc>
        <w:tc>
          <w:tcPr>
            <w:tcW w:w="170" w:type="dxa"/>
            <w:tcBorders>
              <w:top w:val="nil"/>
              <w:left w:val="nil"/>
              <w:bottom w:val="nil"/>
              <w:right w:val="nil"/>
            </w:tcBorders>
            <w:shd w:val="clear" w:color="auto" w:fill="auto"/>
            <w:vAlign w:val="bottom"/>
          </w:tcPr>
          <w:p w14:paraId="3B318780" w14:textId="55059CDD"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76280E17" w14:textId="535F9C68" w:rsidR="00A26814" w:rsidRPr="003E2D55" w:rsidRDefault="00A26814" w:rsidP="00A26814">
            <w:pPr>
              <w:spacing w:before="40" w:after="20"/>
              <w:jc w:val="right"/>
              <w:rPr>
                <w:rFonts w:cs="Arial"/>
                <w:sz w:val="18"/>
                <w:szCs w:val="18"/>
              </w:rPr>
            </w:pPr>
            <w:r w:rsidRPr="003E2D55">
              <w:rPr>
                <w:rFonts w:cs="Arial"/>
                <w:sz w:val="18"/>
                <w:szCs w:val="18"/>
              </w:rPr>
              <w:t>4</w:t>
            </w:r>
          </w:p>
        </w:tc>
        <w:tc>
          <w:tcPr>
            <w:tcW w:w="737" w:type="dxa"/>
            <w:tcBorders>
              <w:top w:val="nil"/>
              <w:left w:val="nil"/>
              <w:bottom w:val="nil"/>
              <w:right w:val="nil"/>
            </w:tcBorders>
            <w:shd w:val="clear" w:color="auto" w:fill="auto"/>
            <w:vAlign w:val="bottom"/>
          </w:tcPr>
          <w:p w14:paraId="79B18B54" w14:textId="16001E9F" w:rsidR="00A26814" w:rsidRPr="003E2D55" w:rsidRDefault="00A26814" w:rsidP="00A26814">
            <w:pPr>
              <w:spacing w:before="40" w:after="20"/>
              <w:jc w:val="right"/>
              <w:rPr>
                <w:rFonts w:cs="Arial"/>
                <w:sz w:val="18"/>
                <w:szCs w:val="18"/>
              </w:rPr>
            </w:pPr>
            <w:r w:rsidRPr="003E2D55">
              <w:rPr>
                <w:rFonts w:cs="Arial"/>
                <w:sz w:val="18"/>
                <w:szCs w:val="18"/>
              </w:rPr>
              <w:t>16</w:t>
            </w:r>
          </w:p>
        </w:tc>
        <w:tc>
          <w:tcPr>
            <w:tcW w:w="737" w:type="dxa"/>
            <w:tcBorders>
              <w:top w:val="nil"/>
              <w:left w:val="nil"/>
              <w:bottom w:val="nil"/>
              <w:right w:val="nil"/>
            </w:tcBorders>
            <w:shd w:val="clear" w:color="auto" w:fill="auto"/>
            <w:vAlign w:val="bottom"/>
          </w:tcPr>
          <w:p w14:paraId="2B3B02D6" w14:textId="1DA36F43" w:rsidR="00A26814" w:rsidRPr="003E2D55" w:rsidRDefault="00A26814" w:rsidP="00A26814">
            <w:pPr>
              <w:spacing w:before="40" w:after="20"/>
              <w:jc w:val="right"/>
              <w:rPr>
                <w:rFonts w:cs="Arial"/>
                <w:sz w:val="18"/>
                <w:szCs w:val="18"/>
              </w:rPr>
            </w:pPr>
            <w:r w:rsidRPr="003E2D55">
              <w:rPr>
                <w:rFonts w:cs="Arial"/>
                <w:sz w:val="18"/>
                <w:szCs w:val="18"/>
              </w:rPr>
              <w:t>156</w:t>
            </w:r>
          </w:p>
        </w:tc>
        <w:tc>
          <w:tcPr>
            <w:tcW w:w="737" w:type="dxa"/>
            <w:tcBorders>
              <w:top w:val="nil"/>
              <w:left w:val="nil"/>
              <w:bottom w:val="nil"/>
              <w:right w:val="nil"/>
            </w:tcBorders>
            <w:shd w:val="clear" w:color="auto" w:fill="auto"/>
            <w:vAlign w:val="bottom"/>
          </w:tcPr>
          <w:p w14:paraId="11E8A62F" w14:textId="21F02B58" w:rsidR="00A26814" w:rsidRPr="003E2D55" w:rsidRDefault="00A26814" w:rsidP="00A26814">
            <w:pPr>
              <w:spacing w:before="40" w:after="20"/>
              <w:jc w:val="right"/>
              <w:rPr>
                <w:rFonts w:cs="Arial"/>
                <w:sz w:val="18"/>
                <w:szCs w:val="18"/>
              </w:rPr>
            </w:pPr>
            <w:r w:rsidRPr="003E2D55">
              <w:rPr>
                <w:rFonts w:cs="Arial"/>
                <w:sz w:val="18"/>
                <w:szCs w:val="18"/>
              </w:rPr>
              <w:t>37</w:t>
            </w:r>
          </w:p>
        </w:tc>
        <w:tc>
          <w:tcPr>
            <w:tcW w:w="737" w:type="dxa"/>
            <w:tcBorders>
              <w:top w:val="nil"/>
              <w:left w:val="nil"/>
              <w:bottom w:val="nil"/>
              <w:right w:val="nil"/>
            </w:tcBorders>
            <w:shd w:val="clear" w:color="auto" w:fill="auto"/>
            <w:vAlign w:val="bottom"/>
          </w:tcPr>
          <w:p w14:paraId="253C15C5" w14:textId="15BB85D2" w:rsidR="00A26814" w:rsidRPr="003E2D55" w:rsidRDefault="00A26814" w:rsidP="00A26814">
            <w:pPr>
              <w:spacing w:before="40" w:after="20"/>
              <w:jc w:val="right"/>
              <w:rPr>
                <w:rFonts w:cs="Arial"/>
                <w:sz w:val="18"/>
                <w:szCs w:val="18"/>
              </w:rPr>
            </w:pPr>
            <w:r w:rsidRPr="003E2D55">
              <w:rPr>
                <w:rFonts w:cs="Arial"/>
                <w:sz w:val="18"/>
                <w:szCs w:val="18"/>
              </w:rPr>
              <w:t>64</w:t>
            </w:r>
          </w:p>
        </w:tc>
      </w:tr>
      <w:tr w:rsidR="00A26814" w:rsidRPr="003E2D55" w14:paraId="1D307A8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1466123" w14:textId="77777777" w:rsidR="00A26814" w:rsidRPr="003E2D55" w:rsidRDefault="00A26814" w:rsidP="00A26814">
            <w:pPr>
              <w:spacing w:before="40" w:after="20"/>
              <w:rPr>
                <w:rFonts w:cs="Arial"/>
                <w:sz w:val="18"/>
                <w:szCs w:val="18"/>
              </w:rPr>
            </w:pPr>
            <w:r w:rsidRPr="003E2D55">
              <w:rPr>
                <w:rFonts w:cs="Arial"/>
                <w:sz w:val="18"/>
                <w:szCs w:val="18"/>
              </w:rPr>
              <w:t>Mildura RC</w:t>
            </w:r>
          </w:p>
        </w:tc>
        <w:tc>
          <w:tcPr>
            <w:tcW w:w="737" w:type="dxa"/>
            <w:tcBorders>
              <w:top w:val="nil"/>
              <w:left w:val="single" w:sz="18" w:space="0" w:color="5F497A" w:themeColor="accent4" w:themeShade="BF"/>
              <w:bottom w:val="nil"/>
              <w:right w:val="nil"/>
            </w:tcBorders>
            <w:shd w:val="clear" w:color="auto" w:fill="auto"/>
            <w:vAlign w:val="bottom"/>
          </w:tcPr>
          <w:p w14:paraId="04092B4C" w14:textId="56097B44" w:rsidR="00A26814" w:rsidRPr="003E2D55" w:rsidRDefault="00A26814" w:rsidP="00A26814">
            <w:pPr>
              <w:spacing w:before="40" w:after="20"/>
              <w:jc w:val="right"/>
              <w:rPr>
                <w:rFonts w:cs="Arial"/>
                <w:sz w:val="18"/>
                <w:szCs w:val="18"/>
              </w:rPr>
            </w:pPr>
            <w:r w:rsidRPr="003E2D55">
              <w:rPr>
                <w:rFonts w:cs="Arial"/>
                <w:sz w:val="18"/>
                <w:szCs w:val="18"/>
              </w:rPr>
              <w:t>231</w:t>
            </w:r>
          </w:p>
        </w:tc>
        <w:tc>
          <w:tcPr>
            <w:tcW w:w="737" w:type="dxa"/>
            <w:tcBorders>
              <w:top w:val="nil"/>
              <w:left w:val="nil"/>
              <w:bottom w:val="nil"/>
              <w:right w:val="nil"/>
            </w:tcBorders>
            <w:shd w:val="clear" w:color="auto" w:fill="auto"/>
            <w:vAlign w:val="bottom"/>
          </w:tcPr>
          <w:p w14:paraId="6ECEC332" w14:textId="44CABF76" w:rsidR="00A26814" w:rsidRPr="003E2D55" w:rsidRDefault="00A26814" w:rsidP="00A26814">
            <w:pPr>
              <w:spacing w:before="40" w:after="20"/>
              <w:jc w:val="right"/>
              <w:rPr>
                <w:rFonts w:cs="Arial"/>
                <w:sz w:val="18"/>
                <w:szCs w:val="18"/>
              </w:rPr>
            </w:pPr>
            <w:r w:rsidRPr="003E2D55">
              <w:rPr>
                <w:rFonts w:cs="Arial"/>
                <w:sz w:val="18"/>
                <w:szCs w:val="18"/>
              </w:rPr>
              <w:t>38</w:t>
            </w:r>
          </w:p>
        </w:tc>
        <w:tc>
          <w:tcPr>
            <w:tcW w:w="737" w:type="dxa"/>
            <w:tcBorders>
              <w:top w:val="nil"/>
              <w:left w:val="nil"/>
              <w:bottom w:val="nil"/>
              <w:right w:val="nil"/>
            </w:tcBorders>
            <w:shd w:val="clear" w:color="auto" w:fill="auto"/>
            <w:vAlign w:val="bottom"/>
          </w:tcPr>
          <w:p w14:paraId="0D235088" w14:textId="311FF0F4" w:rsidR="00A26814" w:rsidRPr="003E2D55" w:rsidRDefault="00A26814" w:rsidP="00A26814">
            <w:pPr>
              <w:spacing w:before="40" w:after="20"/>
              <w:jc w:val="right"/>
              <w:rPr>
                <w:rFonts w:cs="Arial"/>
                <w:sz w:val="18"/>
                <w:szCs w:val="18"/>
              </w:rPr>
            </w:pPr>
            <w:r w:rsidRPr="003E2D55">
              <w:rPr>
                <w:rFonts w:cs="Arial"/>
                <w:sz w:val="18"/>
                <w:szCs w:val="18"/>
              </w:rPr>
              <w:t>42</w:t>
            </w:r>
          </w:p>
        </w:tc>
        <w:tc>
          <w:tcPr>
            <w:tcW w:w="737" w:type="dxa"/>
            <w:tcBorders>
              <w:top w:val="nil"/>
              <w:left w:val="nil"/>
              <w:bottom w:val="nil"/>
              <w:right w:val="nil"/>
            </w:tcBorders>
            <w:shd w:val="clear" w:color="auto" w:fill="auto"/>
            <w:vAlign w:val="bottom"/>
          </w:tcPr>
          <w:p w14:paraId="1ED53345" w14:textId="316B8760" w:rsidR="00A26814" w:rsidRPr="003E2D55" w:rsidRDefault="00A26814" w:rsidP="00A26814">
            <w:pPr>
              <w:spacing w:before="40" w:after="20"/>
              <w:jc w:val="right"/>
              <w:rPr>
                <w:rFonts w:cs="Arial"/>
                <w:sz w:val="18"/>
                <w:szCs w:val="18"/>
              </w:rPr>
            </w:pPr>
            <w:r w:rsidRPr="003E2D55">
              <w:rPr>
                <w:rFonts w:cs="Arial"/>
                <w:sz w:val="18"/>
                <w:szCs w:val="18"/>
              </w:rPr>
              <w:t>22</w:t>
            </w:r>
          </w:p>
        </w:tc>
        <w:tc>
          <w:tcPr>
            <w:tcW w:w="170" w:type="dxa"/>
            <w:tcBorders>
              <w:top w:val="nil"/>
              <w:left w:val="nil"/>
              <w:bottom w:val="nil"/>
              <w:right w:val="nil"/>
            </w:tcBorders>
            <w:shd w:val="clear" w:color="auto" w:fill="auto"/>
            <w:vAlign w:val="bottom"/>
          </w:tcPr>
          <w:p w14:paraId="741CAAF1" w14:textId="05353356"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0AD6C754" w14:textId="64FF2C54" w:rsidR="00A26814" w:rsidRPr="003E2D55" w:rsidRDefault="00A26814" w:rsidP="00A26814">
            <w:pPr>
              <w:spacing w:before="40" w:after="20"/>
              <w:jc w:val="right"/>
              <w:rPr>
                <w:rFonts w:cs="Arial"/>
                <w:sz w:val="18"/>
                <w:szCs w:val="18"/>
              </w:rPr>
            </w:pPr>
            <w:r w:rsidRPr="003E2D55">
              <w:rPr>
                <w:rFonts w:cs="Arial"/>
                <w:sz w:val="18"/>
                <w:szCs w:val="18"/>
              </w:rPr>
              <w:t>1,220</w:t>
            </w:r>
          </w:p>
        </w:tc>
        <w:tc>
          <w:tcPr>
            <w:tcW w:w="737" w:type="dxa"/>
            <w:tcBorders>
              <w:top w:val="nil"/>
              <w:left w:val="nil"/>
              <w:bottom w:val="nil"/>
              <w:right w:val="nil"/>
            </w:tcBorders>
            <w:shd w:val="clear" w:color="auto" w:fill="auto"/>
            <w:vAlign w:val="bottom"/>
          </w:tcPr>
          <w:p w14:paraId="6CA9AB05" w14:textId="2C54744C" w:rsidR="00A26814" w:rsidRPr="003E2D55" w:rsidRDefault="00A26814" w:rsidP="00A26814">
            <w:pPr>
              <w:spacing w:before="40" w:after="20"/>
              <w:jc w:val="right"/>
              <w:rPr>
                <w:rFonts w:cs="Arial"/>
                <w:sz w:val="18"/>
                <w:szCs w:val="18"/>
              </w:rPr>
            </w:pPr>
            <w:r w:rsidRPr="003E2D55">
              <w:rPr>
                <w:rFonts w:cs="Arial"/>
                <w:sz w:val="18"/>
                <w:szCs w:val="18"/>
              </w:rPr>
              <w:t>2,890</w:t>
            </w:r>
          </w:p>
        </w:tc>
        <w:tc>
          <w:tcPr>
            <w:tcW w:w="737" w:type="dxa"/>
            <w:tcBorders>
              <w:top w:val="nil"/>
              <w:left w:val="nil"/>
              <w:bottom w:val="nil"/>
              <w:right w:val="nil"/>
            </w:tcBorders>
            <w:shd w:val="clear" w:color="auto" w:fill="auto"/>
            <w:vAlign w:val="bottom"/>
          </w:tcPr>
          <w:p w14:paraId="4412BFEC" w14:textId="3EFE6306" w:rsidR="00A26814" w:rsidRPr="003E2D55" w:rsidRDefault="00A26814" w:rsidP="00A26814">
            <w:pPr>
              <w:spacing w:before="40" w:after="20"/>
              <w:jc w:val="right"/>
              <w:rPr>
                <w:rFonts w:cs="Arial"/>
                <w:sz w:val="18"/>
                <w:szCs w:val="18"/>
              </w:rPr>
            </w:pPr>
            <w:r w:rsidRPr="003E2D55">
              <w:rPr>
                <w:rFonts w:cs="Arial"/>
                <w:sz w:val="18"/>
                <w:szCs w:val="18"/>
              </w:rPr>
              <w:t>606</w:t>
            </w:r>
          </w:p>
        </w:tc>
        <w:tc>
          <w:tcPr>
            <w:tcW w:w="737" w:type="dxa"/>
            <w:tcBorders>
              <w:top w:val="nil"/>
              <w:left w:val="nil"/>
              <w:bottom w:val="nil"/>
              <w:right w:val="nil"/>
            </w:tcBorders>
            <w:shd w:val="clear" w:color="auto" w:fill="auto"/>
            <w:vAlign w:val="bottom"/>
          </w:tcPr>
          <w:p w14:paraId="1E59AA29" w14:textId="4029A7BC" w:rsidR="00A26814" w:rsidRPr="003E2D55" w:rsidRDefault="00A26814" w:rsidP="00A26814">
            <w:pPr>
              <w:spacing w:before="40" w:after="20"/>
              <w:jc w:val="right"/>
              <w:rPr>
                <w:rFonts w:cs="Arial"/>
                <w:sz w:val="18"/>
                <w:szCs w:val="18"/>
              </w:rPr>
            </w:pPr>
            <w:r w:rsidRPr="003E2D55">
              <w:rPr>
                <w:rFonts w:cs="Arial"/>
                <w:sz w:val="18"/>
                <w:szCs w:val="18"/>
              </w:rPr>
              <w:t>105</w:t>
            </w:r>
          </w:p>
        </w:tc>
        <w:tc>
          <w:tcPr>
            <w:tcW w:w="737" w:type="dxa"/>
            <w:tcBorders>
              <w:top w:val="nil"/>
              <w:left w:val="nil"/>
              <w:bottom w:val="nil"/>
              <w:right w:val="nil"/>
            </w:tcBorders>
            <w:shd w:val="clear" w:color="auto" w:fill="auto"/>
            <w:vAlign w:val="bottom"/>
          </w:tcPr>
          <w:p w14:paraId="70E1B02C" w14:textId="1914A6E0" w:rsidR="00A26814" w:rsidRPr="003E2D55" w:rsidRDefault="00A26814" w:rsidP="00A26814">
            <w:pPr>
              <w:spacing w:before="40" w:after="20"/>
              <w:jc w:val="right"/>
              <w:rPr>
                <w:rFonts w:cs="Arial"/>
                <w:sz w:val="18"/>
                <w:szCs w:val="18"/>
              </w:rPr>
            </w:pPr>
            <w:r w:rsidRPr="003E2D55">
              <w:rPr>
                <w:rFonts w:cs="Arial"/>
                <w:sz w:val="18"/>
                <w:szCs w:val="18"/>
              </w:rPr>
              <w:t>64</w:t>
            </w:r>
          </w:p>
        </w:tc>
      </w:tr>
      <w:tr w:rsidR="00A26814" w:rsidRPr="003E2D55" w14:paraId="769ED0E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7DA42B8" w14:textId="77777777" w:rsidR="00A26814" w:rsidRPr="003E2D55" w:rsidRDefault="00A26814" w:rsidP="00A26814">
            <w:pPr>
              <w:spacing w:before="40" w:after="20"/>
              <w:rPr>
                <w:rFonts w:cs="Arial"/>
                <w:sz w:val="18"/>
                <w:szCs w:val="18"/>
              </w:rPr>
            </w:pPr>
            <w:r w:rsidRPr="003E2D55">
              <w:rPr>
                <w:rFonts w:cs="Arial"/>
                <w:sz w:val="18"/>
                <w:szCs w:val="18"/>
              </w:rPr>
              <w:t>Mitchell S</w:t>
            </w:r>
          </w:p>
        </w:tc>
        <w:tc>
          <w:tcPr>
            <w:tcW w:w="737" w:type="dxa"/>
            <w:tcBorders>
              <w:top w:val="nil"/>
              <w:left w:val="single" w:sz="18" w:space="0" w:color="5F497A" w:themeColor="accent4" w:themeShade="BF"/>
              <w:bottom w:val="nil"/>
              <w:right w:val="nil"/>
            </w:tcBorders>
            <w:shd w:val="clear" w:color="auto" w:fill="auto"/>
            <w:vAlign w:val="bottom"/>
          </w:tcPr>
          <w:p w14:paraId="3B3E8255" w14:textId="48528F1B" w:rsidR="00A26814" w:rsidRPr="003E2D55" w:rsidRDefault="00A26814" w:rsidP="00A26814">
            <w:pPr>
              <w:spacing w:before="40" w:after="20"/>
              <w:jc w:val="right"/>
              <w:rPr>
                <w:rFonts w:cs="Arial"/>
                <w:sz w:val="18"/>
                <w:szCs w:val="18"/>
              </w:rPr>
            </w:pPr>
            <w:r w:rsidRPr="003E2D55">
              <w:rPr>
                <w:rFonts w:cs="Arial"/>
                <w:sz w:val="18"/>
                <w:szCs w:val="18"/>
              </w:rPr>
              <w:t>205</w:t>
            </w:r>
          </w:p>
        </w:tc>
        <w:tc>
          <w:tcPr>
            <w:tcW w:w="737" w:type="dxa"/>
            <w:tcBorders>
              <w:top w:val="nil"/>
              <w:left w:val="nil"/>
              <w:bottom w:val="nil"/>
              <w:right w:val="nil"/>
            </w:tcBorders>
            <w:shd w:val="clear" w:color="auto" w:fill="auto"/>
            <w:vAlign w:val="bottom"/>
          </w:tcPr>
          <w:p w14:paraId="681AC986" w14:textId="2248CD56" w:rsidR="00A26814" w:rsidRPr="003E2D55" w:rsidRDefault="00A26814" w:rsidP="00A26814">
            <w:pPr>
              <w:spacing w:before="40" w:after="20"/>
              <w:jc w:val="right"/>
              <w:rPr>
                <w:rFonts w:cs="Arial"/>
                <w:sz w:val="18"/>
                <w:szCs w:val="18"/>
              </w:rPr>
            </w:pPr>
            <w:r w:rsidRPr="003E2D55">
              <w:rPr>
                <w:rFonts w:cs="Arial"/>
                <w:sz w:val="18"/>
                <w:szCs w:val="18"/>
              </w:rPr>
              <w:t>55</w:t>
            </w:r>
          </w:p>
        </w:tc>
        <w:tc>
          <w:tcPr>
            <w:tcW w:w="737" w:type="dxa"/>
            <w:tcBorders>
              <w:top w:val="nil"/>
              <w:left w:val="nil"/>
              <w:bottom w:val="nil"/>
              <w:right w:val="nil"/>
            </w:tcBorders>
            <w:shd w:val="clear" w:color="auto" w:fill="auto"/>
            <w:vAlign w:val="bottom"/>
          </w:tcPr>
          <w:p w14:paraId="66B200EE" w14:textId="5DFA1D81" w:rsidR="00A26814" w:rsidRPr="003E2D55" w:rsidRDefault="00A26814" w:rsidP="00A26814">
            <w:pPr>
              <w:spacing w:before="40" w:after="20"/>
              <w:jc w:val="right"/>
              <w:rPr>
                <w:rFonts w:cs="Arial"/>
                <w:sz w:val="18"/>
                <w:szCs w:val="18"/>
              </w:rPr>
            </w:pPr>
            <w:r w:rsidRPr="003E2D55">
              <w:rPr>
                <w:rFonts w:cs="Arial"/>
                <w:sz w:val="18"/>
                <w:szCs w:val="18"/>
              </w:rPr>
              <w:t>82</w:t>
            </w:r>
          </w:p>
        </w:tc>
        <w:tc>
          <w:tcPr>
            <w:tcW w:w="737" w:type="dxa"/>
            <w:tcBorders>
              <w:top w:val="nil"/>
              <w:left w:val="nil"/>
              <w:bottom w:val="nil"/>
              <w:right w:val="nil"/>
            </w:tcBorders>
            <w:shd w:val="clear" w:color="auto" w:fill="auto"/>
            <w:vAlign w:val="bottom"/>
          </w:tcPr>
          <w:p w14:paraId="55DA8FD7" w14:textId="5F4ABFB8" w:rsidR="00A26814" w:rsidRPr="003E2D55" w:rsidRDefault="00A26814" w:rsidP="00A26814">
            <w:pPr>
              <w:spacing w:before="40" w:after="2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3CCCFBBB" w14:textId="51A9D839"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1EE1F97F" w14:textId="7BD8EF80" w:rsidR="00A26814" w:rsidRPr="003E2D55" w:rsidRDefault="00A26814" w:rsidP="00A26814">
            <w:pPr>
              <w:spacing w:before="40" w:after="20"/>
              <w:jc w:val="right"/>
              <w:rPr>
                <w:rFonts w:cs="Arial"/>
                <w:sz w:val="18"/>
                <w:szCs w:val="18"/>
              </w:rPr>
            </w:pPr>
            <w:r w:rsidRPr="003E2D55">
              <w:rPr>
                <w:rFonts w:cs="Arial"/>
                <w:sz w:val="18"/>
                <w:szCs w:val="18"/>
              </w:rPr>
              <w:t>92</w:t>
            </w:r>
          </w:p>
        </w:tc>
        <w:tc>
          <w:tcPr>
            <w:tcW w:w="737" w:type="dxa"/>
            <w:tcBorders>
              <w:top w:val="nil"/>
              <w:left w:val="nil"/>
              <w:bottom w:val="nil"/>
              <w:right w:val="nil"/>
            </w:tcBorders>
            <w:shd w:val="clear" w:color="auto" w:fill="auto"/>
            <w:vAlign w:val="bottom"/>
          </w:tcPr>
          <w:p w14:paraId="5E2D3854" w14:textId="4C68F7D0" w:rsidR="00A26814" w:rsidRPr="003E2D55" w:rsidRDefault="00A26814" w:rsidP="00A26814">
            <w:pPr>
              <w:spacing w:before="40" w:after="20"/>
              <w:jc w:val="right"/>
              <w:rPr>
                <w:rFonts w:cs="Arial"/>
                <w:sz w:val="18"/>
                <w:szCs w:val="18"/>
              </w:rPr>
            </w:pPr>
            <w:r w:rsidRPr="003E2D55">
              <w:rPr>
                <w:rFonts w:cs="Arial"/>
                <w:sz w:val="18"/>
                <w:szCs w:val="18"/>
              </w:rPr>
              <w:t>566</w:t>
            </w:r>
          </w:p>
        </w:tc>
        <w:tc>
          <w:tcPr>
            <w:tcW w:w="737" w:type="dxa"/>
            <w:tcBorders>
              <w:top w:val="nil"/>
              <w:left w:val="nil"/>
              <w:bottom w:val="nil"/>
              <w:right w:val="nil"/>
            </w:tcBorders>
            <w:shd w:val="clear" w:color="auto" w:fill="auto"/>
            <w:vAlign w:val="bottom"/>
          </w:tcPr>
          <w:p w14:paraId="07D6DB64" w14:textId="71F7B935" w:rsidR="00A26814" w:rsidRPr="003E2D55" w:rsidRDefault="00A26814" w:rsidP="00A26814">
            <w:pPr>
              <w:spacing w:before="40" w:after="20"/>
              <w:jc w:val="right"/>
              <w:rPr>
                <w:rFonts w:cs="Arial"/>
                <w:sz w:val="18"/>
                <w:szCs w:val="18"/>
              </w:rPr>
            </w:pPr>
            <w:r w:rsidRPr="003E2D55">
              <w:rPr>
                <w:rFonts w:cs="Arial"/>
                <w:sz w:val="18"/>
                <w:szCs w:val="18"/>
              </w:rPr>
              <w:t>325</w:t>
            </w:r>
          </w:p>
        </w:tc>
        <w:tc>
          <w:tcPr>
            <w:tcW w:w="737" w:type="dxa"/>
            <w:tcBorders>
              <w:top w:val="nil"/>
              <w:left w:val="nil"/>
              <w:bottom w:val="nil"/>
              <w:right w:val="nil"/>
            </w:tcBorders>
            <w:shd w:val="clear" w:color="auto" w:fill="auto"/>
            <w:vAlign w:val="bottom"/>
          </w:tcPr>
          <w:p w14:paraId="58AB3BE1" w14:textId="47890D81" w:rsidR="00A26814" w:rsidRPr="003E2D55" w:rsidRDefault="00A26814" w:rsidP="00A26814">
            <w:pPr>
              <w:spacing w:before="40" w:after="20"/>
              <w:jc w:val="right"/>
              <w:rPr>
                <w:rFonts w:cs="Arial"/>
                <w:sz w:val="18"/>
                <w:szCs w:val="18"/>
              </w:rPr>
            </w:pPr>
            <w:r w:rsidRPr="003E2D55">
              <w:rPr>
                <w:rFonts w:cs="Arial"/>
                <w:sz w:val="18"/>
                <w:szCs w:val="18"/>
              </w:rPr>
              <w:t>113</w:t>
            </w:r>
          </w:p>
        </w:tc>
        <w:tc>
          <w:tcPr>
            <w:tcW w:w="737" w:type="dxa"/>
            <w:tcBorders>
              <w:top w:val="nil"/>
              <w:left w:val="nil"/>
              <w:bottom w:val="nil"/>
              <w:right w:val="nil"/>
            </w:tcBorders>
            <w:shd w:val="clear" w:color="auto" w:fill="auto"/>
            <w:vAlign w:val="bottom"/>
          </w:tcPr>
          <w:p w14:paraId="3C251B8D" w14:textId="6FD7F363" w:rsidR="00A26814" w:rsidRPr="003E2D55" w:rsidRDefault="00A26814" w:rsidP="00A26814">
            <w:pPr>
              <w:spacing w:before="40" w:after="20"/>
              <w:jc w:val="right"/>
              <w:rPr>
                <w:rFonts w:cs="Arial"/>
                <w:sz w:val="18"/>
                <w:szCs w:val="18"/>
              </w:rPr>
            </w:pPr>
            <w:r w:rsidRPr="003E2D55">
              <w:rPr>
                <w:rFonts w:cs="Arial"/>
                <w:sz w:val="18"/>
                <w:szCs w:val="18"/>
              </w:rPr>
              <w:t>66</w:t>
            </w:r>
          </w:p>
        </w:tc>
      </w:tr>
      <w:tr w:rsidR="00A26814" w:rsidRPr="003E2D55" w14:paraId="4F857B5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5C02DB7" w14:textId="77777777" w:rsidR="00A26814" w:rsidRPr="003E2D55" w:rsidRDefault="00A26814" w:rsidP="00A26814">
            <w:pPr>
              <w:spacing w:before="40" w:after="20"/>
              <w:rPr>
                <w:rFonts w:cs="Arial"/>
                <w:sz w:val="18"/>
                <w:szCs w:val="18"/>
              </w:rPr>
            </w:pPr>
            <w:r w:rsidRPr="003E2D55">
              <w:rPr>
                <w:rFonts w:cs="Arial"/>
                <w:sz w:val="18"/>
                <w:szCs w:val="18"/>
              </w:rPr>
              <w:t>Moira S</w:t>
            </w:r>
          </w:p>
        </w:tc>
        <w:tc>
          <w:tcPr>
            <w:tcW w:w="737" w:type="dxa"/>
            <w:tcBorders>
              <w:top w:val="nil"/>
              <w:left w:val="single" w:sz="18" w:space="0" w:color="5F497A" w:themeColor="accent4" w:themeShade="BF"/>
              <w:bottom w:val="nil"/>
              <w:right w:val="nil"/>
            </w:tcBorders>
            <w:shd w:val="clear" w:color="auto" w:fill="auto"/>
            <w:vAlign w:val="bottom"/>
          </w:tcPr>
          <w:p w14:paraId="78A6A78F" w14:textId="4AA121E3" w:rsidR="00A26814" w:rsidRPr="003E2D55" w:rsidRDefault="00A26814" w:rsidP="00A26814">
            <w:pPr>
              <w:spacing w:before="40" w:after="20"/>
              <w:jc w:val="right"/>
              <w:rPr>
                <w:rFonts w:cs="Arial"/>
                <w:sz w:val="18"/>
                <w:szCs w:val="18"/>
              </w:rPr>
            </w:pPr>
            <w:r w:rsidRPr="003E2D55">
              <w:rPr>
                <w:rFonts w:cs="Arial"/>
                <w:sz w:val="18"/>
                <w:szCs w:val="18"/>
              </w:rPr>
              <w:t>249</w:t>
            </w:r>
          </w:p>
        </w:tc>
        <w:tc>
          <w:tcPr>
            <w:tcW w:w="737" w:type="dxa"/>
            <w:tcBorders>
              <w:top w:val="nil"/>
              <w:left w:val="nil"/>
              <w:bottom w:val="nil"/>
              <w:right w:val="nil"/>
            </w:tcBorders>
            <w:shd w:val="clear" w:color="auto" w:fill="auto"/>
            <w:vAlign w:val="bottom"/>
          </w:tcPr>
          <w:p w14:paraId="2C77103D" w14:textId="229DE44C" w:rsidR="00A26814" w:rsidRPr="003E2D55" w:rsidRDefault="00A26814" w:rsidP="00A26814">
            <w:pPr>
              <w:spacing w:before="40" w:after="20"/>
              <w:jc w:val="right"/>
              <w:rPr>
                <w:rFonts w:cs="Arial"/>
                <w:sz w:val="18"/>
                <w:szCs w:val="18"/>
              </w:rPr>
            </w:pPr>
            <w:r w:rsidRPr="003E2D55">
              <w:rPr>
                <w:rFonts w:cs="Arial"/>
                <w:sz w:val="18"/>
                <w:szCs w:val="18"/>
              </w:rPr>
              <w:t>15</w:t>
            </w:r>
          </w:p>
        </w:tc>
        <w:tc>
          <w:tcPr>
            <w:tcW w:w="737" w:type="dxa"/>
            <w:tcBorders>
              <w:top w:val="nil"/>
              <w:left w:val="nil"/>
              <w:bottom w:val="nil"/>
              <w:right w:val="nil"/>
            </w:tcBorders>
            <w:shd w:val="clear" w:color="auto" w:fill="auto"/>
            <w:vAlign w:val="bottom"/>
          </w:tcPr>
          <w:p w14:paraId="6EB6AE3A" w14:textId="1E4C017E" w:rsidR="00A26814" w:rsidRPr="003E2D55" w:rsidRDefault="00A26814" w:rsidP="00A26814">
            <w:pPr>
              <w:spacing w:before="40" w:after="20"/>
              <w:jc w:val="right"/>
              <w:rPr>
                <w:rFonts w:cs="Arial"/>
                <w:sz w:val="18"/>
                <w:szCs w:val="18"/>
              </w:rPr>
            </w:pPr>
            <w:r w:rsidRPr="003E2D55">
              <w:rPr>
                <w:rFonts w:cs="Arial"/>
                <w:sz w:val="18"/>
                <w:szCs w:val="18"/>
              </w:rPr>
              <w:t>9</w:t>
            </w:r>
          </w:p>
        </w:tc>
        <w:tc>
          <w:tcPr>
            <w:tcW w:w="737" w:type="dxa"/>
            <w:tcBorders>
              <w:top w:val="nil"/>
              <w:left w:val="nil"/>
              <w:bottom w:val="nil"/>
              <w:right w:val="nil"/>
            </w:tcBorders>
            <w:shd w:val="clear" w:color="auto" w:fill="auto"/>
            <w:vAlign w:val="bottom"/>
          </w:tcPr>
          <w:p w14:paraId="7146DE81" w14:textId="64E1F5FE" w:rsidR="00A26814" w:rsidRPr="003E2D55" w:rsidRDefault="00A26814" w:rsidP="00A26814">
            <w:pPr>
              <w:spacing w:before="40" w:after="2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46D2E962" w14:textId="4BA70C75"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24502B72" w14:textId="6295AFA8" w:rsidR="00A26814" w:rsidRPr="003E2D55" w:rsidRDefault="00A26814" w:rsidP="00A26814">
            <w:pPr>
              <w:spacing w:before="40" w:after="20"/>
              <w:jc w:val="right"/>
              <w:rPr>
                <w:rFonts w:cs="Arial"/>
                <w:sz w:val="18"/>
                <w:szCs w:val="18"/>
              </w:rPr>
            </w:pPr>
            <w:r w:rsidRPr="003E2D55">
              <w:rPr>
                <w:rFonts w:cs="Arial"/>
                <w:sz w:val="18"/>
                <w:szCs w:val="18"/>
              </w:rPr>
              <w:t>905</w:t>
            </w:r>
          </w:p>
        </w:tc>
        <w:tc>
          <w:tcPr>
            <w:tcW w:w="737" w:type="dxa"/>
            <w:tcBorders>
              <w:top w:val="nil"/>
              <w:left w:val="nil"/>
              <w:bottom w:val="nil"/>
              <w:right w:val="nil"/>
            </w:tcBorders>
            <w:shd w:val="clear" w:color="auto" w:fill="auto"/>
            <w:vAlign w:val="bottom"/>
          </w:tcPr>
          <w:p w14:paraId="329F7BE6" w14:textId="2380A0FE" w:rsidR="00A26814" w:rsidRPr="003E2D55" w:rsidRDefault="00A26814" w:rsidP="00A26814">
            <w:pPr>
              <w:spacing w:before="40" w:after="20"/>
              <w:jc w:val="right"/>
              <w:rPr>
                <w:rFonts w:cs="Arial"/>
                <w:sz w:val="18"/>
                <w:szCs w:val="18"/>
              </w:rPr>
            </w:pPr>
            <w:r w:rsidRPr="003E2D55">
              <w:rPr>
                <w:rFonts w:cs="Arial"/>
                <w:sz w:val="18"/>
                <w:szCs w:val="18"/>
              </w:rPr>
              <w:t>1,386</w:t>
            </w:r>
          </w:p>
        </w:tc>
        <w:tc>
          <w:tcPr>
            <w:tcW w:w="737" w:type="dxa"/>
            <w:tcBorders>
              <w:top w:val="nil"/>
              <w:left w:val="nil"/>
              <w:bottom w:val="nil"/>
              <w:right w:val="nil"/>
            </w:tcBorders>
            <w:shd w:val="clear" w:color="auto" w:fill="auto"/>
            <w:vAlign w:val="bottom"/>
          </w:tcPr>
          <w:p w14:paraId="2B60E4F9" w14:textId="18ACE566" w:rsidR="00A26814" w:rsidRPr="003E2D55" w:rsidRDefault="00A26814" w:rsidP="00A26814">
            <w:pPr>
              <w:spacing w:before="40" w:after="20"/>
              <w:jc w:val="right"/>
              <w:rPr>
                <w:rFonts w:cs="Arial"/>
                <w:sz w:val="18"/>
                <w:szCs w:val="18"/>
              </w:rPr>
            </w:pPr>
            <w:r w:rsidRPr="003E2D55">
              <w:rPr>
                <w:rFonts w:cs="Arial"/>
                <w:sz w:val="18"/>
                <w:szCs w:val="18"/>
              </w:rPr>
              <w:t>667</w:t>
            </w:r>
          </w:p>
        </w:tc>
        <w:tc>
          <w:tcPr>
            <w:tcW w:w="737" w:type="dxa"/>
            <w:tcBorders>
              <w:top w:val="nil"/>
              <w:left w:val="nil"/>
              <w:bottom w:val="nil"/>
              <w:right w:val="nil"/>
            </w:tcBorders>
            <w:shd w:val="clear" w:color="auto" w:fill="auto"/>
            <w:vAlign w:val="bottom"/>
          </w:tcPr>
          <w:p w14:paraId="3F3CE3B2" w14:textId="3BE94B94" w:rsidR="00A26814" w:rsidRPr="003E2D55" w:rsidRDefault="00A26814" w:rsidP="00A26814">
            <w:pPr>
              <w:spacing w:before="40" w:after="20"/>
              <w:jc w:val="right"/>
              <w:rPr>
                <w:rFonts w:cs="Arial"/>
                <w:sz w:val="18"/>
                <w:szCs w:val="18"/>
              </w:rPr>
            </w:pPr>
            <w:r w:rsidRPr="003E2D55">
              <w:rPr>
                <w:rFonts w:cs="Arial"/>
                <w:sz w:val="18"/>
                <w:szCs w:val="18"/>
              </w:rPr>
              <w:t>417</w:t>
            </w:r>
          </w:p>
        </w:tc>
        <w:tc>
          <w:tcPr>
            <w:tcW w:w="737" w:type="dxa"/>
            <w:tcBorders>
              <w:top w:val="nil"/>
              <w:left w:val="nil"/>
              <w:bottom w:val="nil"/>
              <w:right w:val="nil"/>
            </w:tcBorders>
            <w:shd w:val="clear" w:color="auto" w:fill="auto"/>
            <w:vAlign w:val="bottom"/>
          </w:tcPr>
          <w:p w14:paraId="1DF80932" w14:textId="00053839"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46C2FCF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EDA5B1A" w14:textId="77777777" w:rsidR="00A26814" w:rsidRPr="003E2D55" w:rsidRDefault="00A26814" w:rsidP="00A26814">
            <w:pPr>
              <w:spacing w:before="40" w:after="20"/>
              <w:rPr>
                <w:rFonts w:cs="Arial"/>
                <w:sz w:val="18"/>
                <w:szCs w:val="18"/>
              </w:rPr>
            </w:pPr>
            <w:r w:rsidRPr="003E2D55">
              <w:rPr>
                <w:rFonts w:cs="Arial"/>
                <w:sz w:val="18"/>
                <w:szCs w:val="18"/>
              </w:rPr>
              <w:t>Monash C</w:t>
            </w:r>
          </w:p>
        </w:tc>
        <w:tc>
          <w:tcPr>
            <w:tcW w:w="737" w:type="dxa"/>
            <w:tcBorders>
              <w:top w:val="nil"/>
              <w:left w:val="single" w:sz="18" w:space="0" w:color="5F497A" w:themeColor="accent4" w:themeShade="BF"/>
              <w:bottom w:val="nil"/>
              <w:right w:val="nil"/>
            </w:tcBorders>
            <w:shd w:val="clear" w:color="auto" w:fill="auto"/>
            <w:vAlign w:val="bottom"/>
          </w:tcPr>
          <w:p w14:paraId="29E5D6C1" w14:textId="634A92CF" w:rsidR="00A26814" w:rsidRPr="003E2D55" w:rsidRDefault="00A26814" w:rsidP="00A26814">
            <w:pPr>
              <w:spacing w:before="40" w:after="20"/>
              <w:jc w:val="right"/>
              <w:rPr>
                <w:rFonts w:cs="Arial"/>
                <w:sz w:val="18"/>
                <w:szCs w:val="18"/>
              </w:rPr>
            </w:pPr>
            <w:r w:rsidRPr="003E2D55">
              <w:rPr>
                <w:rFonts w:cs="Arial"/>
                <w:sz w:val="18"/>
                <w:szCs w:val="18"/>
              </w:rPr>
              <w:t>112</w:t>
            </w:r>
          </w:p>
        </w:tc>
        <w:tc>
          <w:tcPr>
            <w:tcW w:w="737" w:type="dxa"/>
            <w:tcBorders>
              <w:top w:val="nil"/>
              <w:left w:val="nil"/>
              <w:bottom w:val="nil"/>
              <w:right w:val="nil"/>
            </w:tcBorders>
            <w:shd w:val="clear" w:color="auto" w:fill="auto"/>
            <w:vAlign w:val="bottom"/>
          </w:tcPr>
          <w:p w14:paraId="716C6993" w14:textId="3EEF0091" w:rsidR="00A26814" w:rsidRPr="003E2D55" w:rsidRDefault="00A26814" w:rsidP="00A26814">
            <w:pPr>
              <w:spacing w:before="40" w:after="20"/>
              <w:jc w:val="right"/>
              <w:rPr>
                <w:rFonts w:cs="Arial"/>
                <w:sz w:val="18"/>
                <w:szCs w:val="18"/>
              </w:rPr>
            </w:pPr>
            <w:r w:rsidRPr="003E2D55">
              <w:rPr>
                <w:rFonts w:cs="Arial"/>
                <w:sz w:val="18"/>
                <w:szCs w:val="18"/>
              </w:rPr>
              <w:t>518</w:t>
            </w:r>
          </w:p>
        </w:tc>
        <w:tc>
          <w:tcPr>
            <w:tcW w:w="737" w:type="dxa"/>
            <w:tcBorders>
              <w:top w:val="nil"/>
              <w:left w:val="nil"/>
              <w:bottom w:val="nil"/>
              <w:right w:val="nil"/>
            </w:tcBorders>
            <w:shd w:val="clear" w:color="auto" w:fill="auto"/>
            <w:vAlign w:val="bottom"/>
          </w:tcPr>
          <w:p w14:paraId="671B26D5" w14:textId="71F59B8E" w:rsidR="00A26814" w:rsidRPr="003E2D55" w:rsidRDefault="00A26814" w:rsidP="00A26814">
            <w:pPr>
              <w:spacing w:before="40" w:after="20"/>
              <w:jc w:val="right"/>
              <w:rPr>
                <w:rFonts w:cs="Arial"/>
                <w:sz w:val="18"/>
                <w:szCs w:val="18"/>
              </w:rPr>
            </w:pPr>
            <w:r w:rsidRPr="003E2D55">
              <w:rPr>
                <w:rFonts w:cs="Arial"/>
                <w:sz w:val="18"/>
                <w:szCs w:val="18"/>
              </w:rPr>
              <w:t>70</w:t>
            </w:r>
          </w:p>
        </w:tc>
        <w:tc>
          <w:tcPr>
            <w:tcW w:w="737" w:type="dxa"/>
            <w:tcBorders>
              <w:top w:val="nil"/>
              <w:left w:val="nil"/>
              <w:bottom w:val="nil"/>
              <w:right w:val="nil"/>
            </w:tcBorders>
            <w:shd w:val="clear" w:color="auto" w:fill="auto"/>
            <w:vAlign w:val="bottom"/>
          </w:tcPr>
          <w:p w14:paraId="17ADB217" w14:textId="765D9177" w:rsidR="00A26814" w:rsidRPr="003E2D55" w:rsidRDefault="00A26814" w:rsidP="00A26814">
            <w:pPr>
              <w:spacing w:before="40" w:after="20"/>
              <w:jc w:val="right"/>
              <w:rPr>
                <w:rFonts w:cs="Arial"/>
                <w:sz w:val="18"/>
                <w:szCs w:val="18"/>
              </w:rPr>
            </w:pPr>
            <w:r w:rsidRPr="003E2D55">
              <w:rPr>
                <w:rFonts w:cs="Arial"/>
                <w:sz w:val="18"/>
                <w:szCs w:val="18"/>
              </w:rPr>
              <w:t>36</w:t>
            </w:r>
          </w:p>
        </w:tc>
        <w:tc>
          <w:tcPr>
            <w:tcW w:w="170" w:type="dxa"/>
            <w:tcBorders>
              <w:top w:val="nil"/>
              <w:left w:val="nil"/>
              <w:bottom w:val="nil"/>
              <w:right w:val="nil"/>
            </w:tcBorders>
            <w:shd w:val="clear" w:color="auto" w:fill="auto"/>
            <w:vAlign w:val="bottom"/>
          </w:tcPr>
          <w:p w14:paraId="7D95E7BB" w14:textId="7EA27E3C"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7AE7E6CB" w14:textId="3AD1B550"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2D8DEF4F" w14:textId="1A259F19"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39228364" w14:textId="30553E2D"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7C17570F" w14:textId="513F11BF"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2673E272" w14:textId="7B98BE93"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6FA1BA7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16F697F" w14:textId="77777777" w:rsidR="00A26814" w:rsidRPr="003E2D55" w:rsidRDefault="00A26814" w:rsidP="00A26814">
            <w:pPr>
              <w:spacing w:before="40" w:after="20"/>
              <w:rPr>
                <w:rFonts w:cs="Arial"/>
                <w:sz w:val="18"/>
                <w:szCs w:val="18"/>
              </w:rPr>
            </w:pPr>
            <w:r w:rsidRPr="003E2D55">
              <w:rPr>
                <w:rFonts w:cs="Arial"/>
                <w:sz w:val="18"/>
                <w:szCs w:val="18"/>
              </w:rPr>
              <w:t>Moonee Valley C</w:t>
            </w:r>
          </w:p>
        </w:tc>
        <w:tc>
          <w:tcPr>
            <w:tcW w:w="737" w:type="dxa"/>
            <w:tcBorders>
              <w:top w:val="nil"/>
              <w:left w:val="single" w:sz="18" w:space="0" w:color="5F497A" w:themeColor="accent4" w:themeShade="BF"/>
              <w:bottom w:val="nil"/>
              <w:right w:val="nil"/>
            </w:tcBorders>
            <w:shd w:val="clear" w:color="auto" w:fill="auto"/>
            <w:vAlign w:val="bottom"/>
          </w:tcPr>
          <w:p w14:paraId="6A2EF7D7" w14:textId="2DD406B6" w:rsidR="00A26814" w:rsidRPr="003E2D55" w:rsidRDefault="00A26814" w:rsidP="00A26814">
            <w:pPr>
              <w:spacing w:before="40" w:after="20"/>
              <w:jc w:val="right"/>
              <w:rPr>
                <w:rFonts w:cs="Arial"/>
                <w:sz w:val="18"/>
                <w:szCs w:val="18"/>
              </w:rPr>
            </w:pPr>
            <w:r w:rsidRPr="003E2D55">
              <w:rPr>
                <w:rFonts w:cs="Arial"/>
                <w:sz w:val="18"/>
                <w:szCs w:val="18"/>
              </w:rPr>
              <w:t>195</w:t>
            </w:r>
          </w:p>
        </w:tc>
        <w:tc>
          <w:tcPr>
            <w:tcW w:w="737" w:type="dxa"/>
            <w:tcBorders>
              <w:top w:val="nil"/>
              <w:left w:val="nil"/>
              <w:bottom w:val="nil"/>
              <w:right w:val="nil"/>
            </w:tcBorders>
            <w:shd w:val="clear" w:color="auto" w:fill="auto"/>
            <w:vAlign w:val="bottom"/>
          </w:tcPr>
          <w:p w14:paraId="26E6D09E" w14:textId="3A1250F4" w:rsidR="00A26814" w:rsidRPr="003E2D55" w:rsidRDefault="00A26814" w:rsidP="00A26814">
            <w:pPr>
              <w:spacing w:before="40" w:after="20"/>
              <w:jc w:val="right"/>
              <w:rPr>
                <w:rFonts w:cs="Arial"/>
                <w:sz w:val="18"/>
                <w:szCs w:val="18"/>
              </w:rPr>
            </w:pPr>
            <w:r w:rsidRPr="003E2D55">
              <w:rPr>
                <w:rFonts w:cs="Arial"/>
                <w:sz w:val="18"/>
                <w:szCs w:val="18"/>
              </w:rPr>
              <w:t>84</w:t>
            </w:r>
          </w:p>
        </w:tc>
        <w:tc>
          <w:tcPr>
            <w:tcW w:w="737" w:type="dxa"/>
            <w:tcBorders>
              <w:top w:val="nil"/>
              <w:left w:val="nil"/>
              <w:bottom w:val="nil"/>
              <w:right w:val="nil"/>
            </w:tcBorders>
            <w:shd w:val="clear" w:color="auto" w:fill="auto"/>
            <w:vAlign w:val="bottom"/>
          </w:tcPr>
          <w:p w14:paraId="7FDE0B3F" w14:textId="6BB87C80" w:rsidR="00A26814" w:rsidRPr="003E2D55" w:rsidRDefault="00A26814" w:rsidP="00A26814">
            <w:pPr>
              <w:spacing w:before="40" w:after="20"/>
              <w:jc w:val="right"/>
              <w:rPr>
                <w:rFonts w:cs="Arial"/>
                <w:sz w:val="18"/>
                <w:szCs w:val="18"/>
              </w:rPr>
            </w:pPr>
            <w:r w:rsidRPr="003E2D55">
              <w:rPr>
                <w:rFonts w:cs="Arial"/>
                <w:sz w:val="18"/>
                <w:szCs w:val="18"/>
              </w:rPr>
              <w:t>117</w:t>
            </w:r>
          </w:p>
        </w:tc>
        <w:tc>
          <w:tcPr>
            <w:tcW w:w="737" w:type="dxa"/>
            <w:tcBorders>
              <w:top w:val="nil"/>
              <w:left w:val="nil"/>
              <w:bottom w:val="nil"/>
              <w:right w:val="nil"/>
            </w:tcBorders>
            <w:shd w:val="clear" w:color="auto" w:fill="auto"/>
            <w:vAlign w:val="bottom"/>
          </w:tcPr>
          <w:p w14:paraId="04626587" w14:textId="1F8D2EDE" w:rsidR="00A26814" w:rsidRPr="003E2D55" w:rsidRDefault="00A26814" w:rsidP="00A26814">
            <w:pPr>
              <w:spacing w:before="40" w:after="20"/>
              <w:jc w:val="right"/>
              <w:rPr>
                <w:rFonts w:cs="Arial"/>
                <w:sz w:val="18"/>
                <w:szCs w:val="18"/>
              </w:rPr>
            </w:pPr>
            <w:r w:rsidRPr="003E2D55">
              <w:rPr>
                <w:rFonts w:cs="Arial"/>
                <w:sz w:val="18"/>
                <w:szCs w:val="18"/>
              </w:rPr>
              <w:t>25</w:t>
            </w:r>
          </w:p>
        </w:tc>
        <w:tc>
          <w:tcPr>
            <w:tcW w:w="170" w:type="dxa"/>
            <w:tcBorders>
              <w:top w:val="nil"/>
              <w:left w:val="nil"/>
              <w:bottom w:val="nil"/>
              <w:right w:val="nil"/>
            </w:tcBorders>
            <w:shd w:val="clear" w:color="auto" w:fill="auto"/>
            <w:vAlign w:val="bottom"/>
          </w:tcPr>
          <w:p w14:paraId="4DDDA669" w14:textId="064BB193"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4B45F717" w14:textId="20E80D5A"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56250B3D" w14:textId="0154EAF9"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662D13DA" w14:textId="31C70B8E"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6A5F733A" w14:textId="3C1309CC"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6AD45A86" w14:textId="416BB9D4"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6617EB7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A7A7351" w14:textId="77777777" w:rsidR="00A26814" w:rsidRPr="003E2D55" w:rsidRDefault="00A26814" w:rsidP="00A26814">
            <w:pPr>
              <w:spacing w:before="40" w:after="20"/>
              <w:rPr>
                <w:rFonts w:cs="Arial"/>
                <w:sz w:val="18"/>
                <w:szCs w:val="18"/>
              </w:rPr>
            </w:pPr>
            <w:r w:rsidRPr="003E2D55">
              <w:rPr>
                <w:rFonts w:cs="Arial"/>
                <w:sz w:val="18"/>
                <w:szCs w:val="18"/>
              </w:rPr>
              <w:t>Moorabool S</w:t>
            </w:r>
          </w:p>
        </w:tc>
        <w:tc>
          <w:tcPr>
            <w:tcW w:w="737" w:type="dxa"/>
            <w:tcBorders>
              <w:top w:val="nil"/>
              <w:left w:val="single" w:sz="18" w:space="0" w:color="5F497A" w:themeColor="accent4" w:themeShade="BF"/>
              <w:bottom w:val="nil"/>
              <w:right w:val="nil"/>
            </w:tcBorders>
            <w:shd w:val="clear" w:color="auto" w:fill="auto"/>
            <w:vAlign w:val="bottom"/>
          </w:tcPr>
          <w:p w14:paraId="36A6C46A" w14:textId="5CC4CC96" w:rsidR="00A26814" w:rsidRPr="003E2D55" w:rsidRDefault="00A26814" w:rsidP="00A26814">
            <w:pPr>
              <w:spacing w:before="40" w:after="20"/>
              <w:jc w:val="right"/>
              <w:rPr>
                <w:rFonts w:cs="Arial"/>
                <w:sz w:val="18"/>
                <w:szCs w:val="18"/>
              </w:rPr>
            </w:pPr>
            <w:r w:rsidRPr="003E2D55">
              <w:rPr>
                <w:rFonts w:cs="Arial"/>
                <w:sz w:val="18"/>
                <w:szCs w:val="18"/>
              </w:rPr>
              <w:t>113</w:t>
            </w:r>
          </w:p>
        </w:tc>
        <w:tc>
          <w:tcPr>
            <w:tcW w:w="737" w:type="dxa"/>
            <w:tcBorders>
              <w:top w:val="nil"/>
              <w:left w:val="nil"/>
              <w:bottom w:val="nil"/>
              <w:right w:val="nil"/>
            </w:tcBorders>
            <w:shd w:val="clear" w:color="auto" w:fill="auto"/>
            <w:vAlign w:val="bottom"/>
          </w:tcPr>
          <w:p w14:paraId="36C9F61E" w14:textId="04E976C7" w:rsidR="00A26814" w:rsidRPr="003E2D55" w:rsidRDefault="00A26814" w:rsidP="00A26814">
            <w:pPr>
              <w:spacing w:before="40" w:after="20"/>
              <w:jc w:val="right"/>
              <w:rPr>
                <w:rFonts w:cs="Arial"/>
                <w:sz w:val="18"/>
                <w:szCs w:val="18"/>
              </w:rPr>
            </w:pPr>
            <w:r w:rsidRPr="003E2D55">
              <w:rPr>
                <w:rFonts w:cs="Arial"/>
                <w:sz w:val="18"/>
                <w:szCs w:val="18"/>
              </w:rPr>
              <w:t>26</w:t>
            </w:r>
          </w:p>
        </w:tc>
        <w:tc>
          <w:tcPr>
            <w:tcW w:w="737" w:type="dxa"/>
            <w:tcBorders>
              <w:top w:val="nil"/>
              <w:left w:val="nil"/>
              <w:bottom w:val="nil"/>
              <w:right w:val="nil"/>
            </w:tcBorders>
            <w:shd w:val="clear" w:color="auto" w:fill="auto"/>
            <w:vAlign w:val="bottom"/>
          </w:tcPr>
          <w:p w14:paraId="7CF3AE0B" w14:textId="0B7E736F" w:rsidR="00A26814" w:rsidRPr="003E2D55" w:rsidRDefault="00A26814" w:rsidP="00A26814">
            <w:pPr>
              <w:spacing w:before="40" w:after="20"/>
              <w:jc w:val="right"/>
              <w:rPr>
                <w:rFonts w:cs="Arial"/>
                <w:sz w:val="18"/>
                <w:szCs w:val="18"/>
              </w:rPr>
            </w:pPr>
            <w:r w:rsidRPr="003E2D55">
              <w:rPr>
                <w:rFonts w:cs="Arial"/>
                <w:sz w:val="18"/>
                <w:szCs w:val="18"/>
              </w:rPr>
              <w:t>22</w:t>
            </w:r>
          </w:p>
        </w:tc>
        <w:tc>
          <w:tcPr>
            <w:tcW w:w="737" w:type="dxa"/>
            <w:tcBorders>
              <w:top w:val="nil"/>
              <w:left w:val="nil"/>
              <w:bottom w:val="nil"/>
              <w:right w:val="nil"/>
            </w:tcBorders>
            <w:shd w:val="clear" w:color="auto" w:fill="auto"/>
            <w:vAlign w:val="bottom"/>
          </w:tcPr>
          <w:p w14:paraId="2B68D156" w14:textId="0D1F1336" w:rsidR="00A26814" w:rsidRPr="003E2D55" w:rsidRDefault="00A26814" w:rsidP="00A26814">
            <w:pPr>
              <w:spacing w:before="40" w:after="20"/>
              <w:jc w:val="right"/>
              <w:rPr>
                <w:rFonts w:cs="Arial"/>
                <w:sz w:val="18"/>
                <w:szCs w:val="18"/>
              </w:rPr>
            </w:pPr>
            <w:r w:rsidRPr="003E2D55">
              <w:rPr>
                <w:rFonts w:cs="Arial"/>
                <w:sz w:val="18"/>
                <w:szCs w:val="18"/>
              </w:rPr>
              <w:t>2</w:t>
            </w:r>
          </w:p>
        </w:tc>
        <w:tc>
          <w:tcPr>
            <w:tcW w:w="170" w:type="dxa"/>
            <w:tcBorders>
              <w:top w:val="nil"/>
              <w:left w:val="nil"/>
              <w:bottom w:val="nil"/>
              <w:right w:val="nil"/>
            </w:tcBorders>
            <w:shd w:val="clear" w:color="auto" w:fill="auto"/>
            <w:vAlign w:val="bottom"/>
          </w:tcPr>
          <w:p w14:paraId="6F339519" w14:textId="7C30C6B2"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28EBDD84" w14:textId="764390D3" w:rsidR="00A26814" w:rsidRPr="003E2D55" w:rsidRDefault="00A26814" w:rsidP="00A26814">
            <w:pPr>
              <w:spacing w:before="40" w:after="20"/>
              <w:jc w:val="right"/>
              <w:rPr>
                <w:rFonts w:cs="Arial"/>
                <w:sz w:val="18"/>
                <w:szCs w:val="18"/>
              </w:rPr>
            </w:pPr>
            <w:r w:rsidRPr="003E2D55">
              <w:rPr>
                <w:rFonts w:cs="Arial"/>
                <w:sz w:val="18"/>
                <w:szCs w:val="18"/>
              </w:rPr>
              <w:t>58</w:t>
            </w:r>
          </w:p>
        </w:tc>
        <w:tc>
          <w:tcPr>
            <w:tcW w:w="737" w:type="dxa"/>
            <w:tcBorders>
              <w:top w:val="nil"/>
              <w:left w:val="nil"/>
              <w:bottom w:val="nil"/>
              <w:right w:val="nil"/>
            </w:tcBorders>
            <w:shd w:val="clear" w:color="auto" w:fill="auto"/>
            <w:vAlign w:val="bottom"/>
          </w:tcPr>
          <w:p w14:paraId="7B9DC71F" w14:textId="1917D9BA" w:rsidR="00A26814" w:rsidRPr="003E2D55" w:rsidRDefault="00A26814" w:rsidP="00A26814">
            <w:pPr>
              <w:spacing w:before="40" w:after="20"/>
              <w:jc w:val="right"/>
              <w:rPr>
                <w:rFonts w:cs="Arial"/>
                <w:sz w:val="18"/>
                <w:szCs w:val="18"/>
              </w:rPr>
            </w:pPr>
            <w:r w:rsidRPr="003E2D55">
              <w:rPr>
                <w:rFonts w:cs="Arial"/>
                <w:sz w:val="18"/>
                <w:szCs w:val="18"/>
              </w:rPr>
              <w:t>823</w:t>
            </w:r>
          </w:p>
        </w:tc>
        <w:tc>
          <w:tcPr>
            <w:tcW w:w="737" w:type="dxa"/>
            <w:tcBorders>
              <w:top w:val="nil"/>
              <w:left w:val="nil"/>
              <w:bottom w:val="nil"/>
              <w:right w:val="nil"/>
            </w:tcBorders>
            <w:shd w:val="clear" w:color="auto" w:fill="auto"/>
            <w:vAlign w:val="bottom"/>
          </w:tcPr>
          <w:p w14:paraId="6EECFCF9" w14:textId="43087DC7" w:rsidR="00A26814" w:rsidRPr="003E2D55" w:rsidRDefault="00A26814" w:rsidP="00A26814">
            <w:pPr>
              <w:spacing w:before="40" w:after="20"/>
              <w:jc w:val="right"/>
              <w:rPr>
                <w:rFonts w:cs="Arial"/>
                <w:sz w:val="18"/>
                <w:szCs w:val="18"/>
              </w:rPr>
            </w:pPr>
            <w:r w:rsidRPr="003E2D55">
              <w:rPr>
                <w:rFonts w:cs="Arial"/>
                <w:sz w:val="18"/>
                <w:szCs w:val="18"/>
              </w:rPr>
              <w:t>364</w:t>
            </w:r>
          </w:p>
        </w:tc>
        <w:tc>
          <w:tcPr>
            <w:tcW w:w="737" w:type="dxa"/>
            <w:tcBorders>
              <w:top w:val="nil"/>
              <w:left w:val="nil"/>
              <w:bottom w:val="nil"/>
              <w:right w:val="nil"/>
            </w:tcBorders>
            <w:shd w:val="clear" w:color="auto" w:fill="auto"/>
            <w:vAlign w:val="bottom"/>
          </w:tcPr>
          <w:p w14:paraId="14B1E175" w14:textId="37CE0087" w:rsidR="00A26814" w:rsidRPr="003E2D55" w:rsidRDefault="00A26814" w:rsidP="00A26814">
            <w:pPr>
              <w:spacing w:before="40" w:after="20"/>
              <w:jc w:val="right"/>
              <w:rPr>
                <w:rFonts w:cs="Arial"/>
                <w:sz w:val="18"/>
                <w:szCs w:val="18"/>
              </w:rPr>
            </w:pPr>
            <w:r w:rsidRPr="003E2D55">
              <w:rPr>
                <w:rFonts w:cs="Arial"/>
                <w:sz w:val="18"/>
                <w:szCs w:val="18"/>
              </w:rPr>
              <w:t>95</w:t>
            </w:r>
          </w:p>
        </w:tc>
        <w:tc>
          <w:tcPr>
            <w:tcW w:w="737" w:type="dxa"/>
            <w:tcBorders>
              <w:top w:val="nil"/>
              <w:left w:val="nil"/>
              <w:bottom w:val="nil"/>
              <w:right w:val="nil"/>
            </w:tcBorders>
            <w:shd w:val="clear" w:color="auto" w:fill="auto"/>
            <w:vAlign w:val="bottom"/>
          </w:tcPr>
          <w:p w14:paraId="072308DE" w14:textId="74F70E96" w:rsidR="00A26814" w:rsidRPr="003E2D55" w:rsidRDefault="00A26814" w:rsidP="00A26814">
            <w:pPr>
              <w:spacing w:before="40" w:after="20"/>
              <w:jc w:val="right"/>
              <w:rPr>
                <w:rFonts w:cs="Arial"/>
                <w:sz w:val="18"/>
                <w:szCs w:val="18"/>
              </w:rPr>
            </w:pPr>
            <w:r w:rsidRPr="003E2D55">
              <w:rPr>
                <w:rFonts w:cs="Arial"/>
                <w:sz w:val="18"/>
                <w:szCs w:val="18"/>
              </w:rPr>
              <w:t>19</w:t>
            </w:r>
          </w:p>
        </w:tc>
      </w:tr>
      <w:tr w:rsidR="00A26814" w:rsidRPr="003E2D55" w14:paraId="63CE712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EB009C5" w14:textId="77777777" w:rsidR="00A26814" w:rsidRPr="003E2D55" w:rsidRDefault="00A26814" w:rsidP="00A26814">
            <w:pPr>
              <w:spacing w:before="40" w:after="20"/>
              <w:rPr>
                <w:rFonts w:cs="Arial"/>
                <w:sz w:val="18"/>
                <w:szCs w:val="18"/>
              </w:rPr>
            </w:pPr>
            <w:r w:rsidRPr="003E2D55">
              <w:rPr>
                <w:rFonts w:cs="Arial"/>
                <w:sz w:val="18"/>
                <w:szCs w:val="18"/>
              </w:rPr>
              <w:t>Moreland C</w:t>
            </w:r>
          </w:p>
        </w:tc>
        <w:tc>
          <w:tcPr>
            <w:tcW w:w="737" w:type="dxa"/>
            <w:tcBorders>
              <w:top w:val="nil"/>
              <w:left w:val="single" w:sz="18" w:space="0" w:color="5F497A" w:themeColor="accent4" w:themeShade="BF"/>
              <w:bottom w:val="nil"/>
              <w:right w:val="nil"/>
            </w:tcBorders>
            <w:shd w:val="clear" w:color="auto" w:fill="auto"/>
            <w:vAlign w:val="bottom"/>
          </w:tcPr>
          <w:p w14:paraId="02739B7E" w14:textId="44F77EA3" w:rsidR="00A26814" w:rsidRPr="003E2D55" w:rsidRDefault="00A26814" w:rsidP="00A26814">
            <w:pPr>
              <w:spacing w:before="40" w:after="20"/>
              <w:jc w:val="right"/>
              <w:rPr>
                <w:rFonts w:cs="Arial"/>
                <w:sz w:val="18"/>
                <w:szCs w:val="18"/>
              </w:rPr>
            </w:pPr>
            <w:r w:rsidRPr="003E2D55">
              <w:rPr>
                <w:rFonts w:cs="Arial"/>
                <w:sz w:val="18"/>
                <w:szCs w:val="18"/>
              </w:rPr>
              <w:t>211</w:t>
            </w:r>
          </w:p>
        </w:tc>
        <w:tc>
          <w:tcPr>
            <w:tcW w:w="737" w:type="dxa"/>
            <w:tcBorders>
              <w:top w:val="nil"/>
              <w:left w:val="nil"/>
              <w:bottom w:val="nil"/>
              <w:right w:val="nil"/>
            </w:tcBorders>
            <w:shd w:val="clear" w:color="auto" w:fill="auto"/>
            <w:vAlign w:val="bottom"/>
          </w:tcPr>
          <w:p w14:paraId="2820EAD8" w14:textId="65C20DA7" w:rsidR="00A26814" w:rsidRPr="003E2D55" w:rsidRDefault="00A26814" w:rsidP="00A26814">
            <w:pPr>
              <w:spacing w:before="40" w:after="20"/>
              <w:jc w:val="right"/>
              <w:rPr>
                <w:rFonts w:cs="Arial"/>
                <w:sz w:val="18"/>
                <w:szCs w:val="18"/>
              </w:rPr>
            </w:pPr>
            <w:r w:rsidRPr="003E2D55">
              <w:rPr>
                <w:rFonts w:cs="Arial"/>
                <w:sz w:val="18"/>
                <w:szCs w:val="18"/>
              </w:rPr>
              <w:t>111</w:t>
            </w:r>
          </w:p>
        </w:tc>
        <w:tc>
          <w:tcPr>
            <w:tcW w:w="737" w:type="dxa"/>
            <w:tcBorders>
              <w:top w:val="nil"/>
              <w:left w:val="nil"/>
              <w:bottom w:val="nil"/>
              <w:right w:val="nil"/>
            </w:tcBorders>
            <w:shd w:val="clear" w:color="auto" w:fill="auto"/>
            <w:vAlign w:val="bottom"/>
          </w:tcPr>
          <w:p w14:paraId="11DE318C" w14:textId="6092A2B9" w:rsidR="00A26814" w:rsidRPr="003E2D55" w:rsidRDefault="00A26814" w:rsidP="00A26814">
            <w:pPr>
              <w:spacing w:before="40" w:after="20"/>
              <w:jc w:val="right"/>
              <w:rPr>
                <w:rFonts w:cs="Arial"/>
                <w:sz w:val="18"/>
                <w:szCs w:val="18"/>
              </w:rPr>
            </w:pPr>
            <w:r w:rsidRPr="003E2D55">
              <w:rPr>
                <w:rFonts w:cs="Arial"/>
                <w:sz w:val="18"/>
                <w:szCs w:val="18"/>
              </w:rPr>
              <w:t>153</w:t>
            </w:r>
          </w:p>
        </w:tc>
        <w:tc>
          <w:tcPr>
            <w:tcW w:w="737" w:type="dxa"/>
            <w:tcBorders>
              <w:top w:val="nil"/>
              <w:left w:val="nil"/>
              <w:bottom w:val="nil"/>
              <w:right w:val="nil"/>
            </w:tcBorders>
            <w:shd w:val="clear" w:color="auto" w:fill="auto"/>
            <w:vAlign w:val="bottom"/>
          </w:tcPr>
          <w:p w14:paraId="141F8082" w14:textId="747971FD" w:rsidR="00A26814" w:rsidRPr="003E2D55" w:rsidRDefault="00A26814" w:rsidP="00A26814">
            <w:pPr>
              <w:spacing w:before="40" w:after="20"/>
              <w:jc w:val="right"/>
              <w:rPr>
                <w:rFonts w:cs="Arial"/>
                <w:sz w:val="18"/>
                <w:szCs w:val="18"/>
              </w:rPr>
            </w:pPr>
            <w:r w:rsidRPr="003E2D55">
              <w:rPr>
                <w:rFonts w:cs="Arial"/>
                <w:sz w:val="18"/>
                <w:szCs w:val="18"/>
              </w:rPr>
              <w:t>46</w:t>
            </w:r>
          </w:p>
        </w:tc>
        <w:tc>
          <w:tcPr>
            <w:tcW w:w="170" w:type="dxa"/>
            <w:tcBorders>
              <w:top w:val="nil"/>
              <w:left w:val="nil"/>
              <w:bottom w:val="nil"/>
              <w:right w:val="nil"/>
            </w:tcBorders>
            <w:shd w:val="clear" w:color="auto" w:fill="auto"/>
            <w:vAlign w:val="bottom"/>
          </w:tcPr>
          <w:p w14:paraId="1791BAFE" w14:textId="7216EE7E"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4CBF6BDA" w14:textId="74C85414"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66997245" w14:textId="444E6A4B"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27C1A65F" w14:textId="0F508FCC"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4B18542A" w14:textId="20A942B4"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7F61BE4C" w14:textId="1870B2B5"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3855252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1D7D5A4" w14:textId="77777777" w:rsidR="00A26814" w:rsidRPr="003E2D55" w:rsidRDefault="00A26814" w:rsidP="00A26814">
            <w:pPr>
              <w:spacing w:before="40" w:after="20"/>
              <w:rPr>
                <w:rFonts w:cs="Arial"/>
                <w:sz w:val="18"/>
                <w:szCs w:val="18"/>
              </w:rPr>
            </w:pPr>
            <w:r w:rsidRPr="003E2D55">
              <w:rPr>
                <w:rFonts w:cs="Arial"/>
                <w:sz w:val="18"/>
                <w:szCs w:val="18"/>
              </w:rPr>
              <w:t>Mornington Peninsula</w:t>
            </w:r>
          </w:p>
        </w:tc>
        <w:tc>
          <w:tcPr>
            <w:tcW w:w="737" w:type="dxa"/>
            <w:tcBorders>
              <w:top w:val="nil"/>
              <w:left w:val="single" w:sz="18" w:space="0" w:color="5F497A" w:themeColor="accent4" w:themeShade="BF"/>
              <w:bottom w:val="nil"/>
              <w:right w:val="nil"/>
            </w:tcBorders>
            <w:shd w:val="clear" w:color="auto" w:fill="auto"/>
            <w:vAlign w:val="bottom"/>
          </w:tcPr>
          <w:p w14:paraId="502B9A57" w14:textId="36848FE3" w:rsidR="00A26814" w:rsidRPr="003E2D55" w:rsidRDefault="00A26814" w:rsidP="00A26814">
            <w:pPr>
              <w:spacing w:before="40" w:after="20"/>
              <w:jc w:val="right"/>
              <w:rPr>
                <w:rFonts w:cs="Arial"/>
                <w:sz w:val="18"/>
                <w:szCs w:val="18"/>
              </w:rPr>
            </w:pPr>
            <w:r w:rsidRPr="003E2D55">
              <w:rPr>
                <w:rFonts w:cs="Arial"/>
                <w:sz w:val="18"/>
                <w:szCs w:val="18"/>
              </w:rPr>
              <w:t>875</w:t>
            </w:r>
          </w:p>
        </w:tc>
        <w:tc>
          <w:tcPr>
            <w:tcW w:w="737" w:type="dxa"/>
            <w:tcBorders>
              <w:top w:val="nil"/>
              <w:left w:val="nil"/>
              <w:bottom w:val="nil"/>
              <w:right w:val="nil"/>
            </w:tcBorders>
            <w:shd w:val="clear" w:color="auto" w:fill="auto"/>
            <w:vAlign w:val="bottom"/>
          </w:tcPr>
          <w:p w14:paraId="33CCEA6E" w14:textId="1690D1E8" w:rsidR="00A26814" w:rsidRPr="003E2D55" w:rsidRDefault="00A26814" w:rsidP="00A26814">
            <w:pPr>
              <w:spacing w:before="40" w:after="20"/>
              <w:jc w:val="right"/>
              <w:rPr>
                <w:rFonts w:cs="Arial"/>
                <w:sz w:val="18"/>
                <w:szCs w:val="18"/>
              </w:rPr>
            </w:pPr>
            <w:r w:rsidRPr="003E2D55">
              <w:rPr>
                <w:rFonts w:cs="Arial"/>
                <w:sz w:val="18"/>
                <w:szCs w:val="18"/>
              </w:rPr>
              <w:t>160</w:t>
            </w:r>
          </w:p>
        </w:tc>
        <w:tc>
          <w:tcPr>
            <w:tcW w:w="737" w:type="dxa"/>
            <w:tcBorders>
              <w:top w:val="nil"/>
              <w:left w:val="nil"/>
              <w:bottom w:val="nil"/>
              <w:right w:val="nil"/>
            </w:tcBorders>
            <w:shd w:val="clear" w:color="auto" w:fill="auto"/>
            <w:vAlign w:val="bottom"/>
          </w:tcPr>
          <w:p w14:paraId="574A3AE0" w14:textId="4CD16DF9" w:rsidR="00A26814" w:rsidRPr="003E2D55" w:rsidRDefault="00A26814" w:rsidP="00A26814">
            <w:pPr>
              <w:spacing w:before="40" w:after="20"/>
              <w:jc w:val="right"/>
              <w:rPr>
                <w:rFonts w:cs="Arial"/>
                <w:sz w:val="18"/>
                <w:szCs w:val="18"/>
              </w:rPr>
            </w:pPr>
            <w:r w:rsidRPr="003E2D55">
              <w:rPr>
                <w:rFonts w:cs="Arial"/>
                <w:sz w:val="18"/>
                <w:szCs w:val="18"/>
              </w:rPr>
              <w:t>188</w:t>
            </w:r>
          </w:p>
        </w:tc>
        <w:tc>
          <w:tcPr>
            <w:tcW w:w="737" w:type="dxa"/>
            <w:tcBorders>
              <w:top w:val="nil"/>
              <w:left w:val="nil"/>
              <w:bottom w:val="nil"/>
              <w:right w:val="nil"/>
            </w:tcBorders>
            <w:shd w:val="clear" w:color="auto" w:fill="auto"/>
            <w:vAlign w:val="bottom"/>
          </w:tcPr>
          <w:p w14:paraId="55C19710" w14:textId="1974C83E" w:rsidR="00A26814" w:rsidRPr="003E2D55" w:rsidRDefault="00A26814" w:rsidP="00A26814">
            <w:pPr>
              <w:spacing w:before="40" w:after="20"/>
              <w:jc w:val="right"/>
              <w:rPr>
                <w:rFonts w:cs="Arial"/>
                <w:sz w:val="18"/>
                <w:szCs w:val="18"/>
              </w:rPr>
            </w:pPr>
            <w:r w:rsidRPr="003E2D55">
              <w:rPr>
                <w:rFonts w:cs="Arial"/>
                <w:sz w:val="18"/>
                <w:szCs w:val="18"/>
              </w:rPr>
              <w:t>63</w:t>
            </w:r>
          </w:p>
        </w:tc>
        <w:tc>
          <w:tcPr>
            <w:tcW w:w="170" w:type="dxa"/>
            <w:tcBorders>
              <w:top w:val="nil"/>
              <w:left w:val="nil"/>
              <w:bottom w:val="nil"/>
              <w:right w:val="nil"/>
            </w:tcBorders>
            <w:shd w:val="clear" w:color="auto" w:fill="auto"/>
            <w:vAlign w:val="bottom"/>
          </w:tcPr>
          <w:p w14:paraId="7ECD2C08" w14:textId="3032C3BF"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201F2C57" w14:textId="268C4C55" w:rsidR="00A26814" w:rsidRPr="003E2D55" w:rsidRDefault="00A26814" w:rsidP="00A26814">
            <w:pPr>
              <w:spacing w:before="40" w:after="20"/>
              <w:jc w:val="right"/>
              <w:rPr>
                <w:rFonts w:cs="Arial"/>
                <w:sz w:val="18"/>
                <w:szCs w:val="18"/>
              </w:rPr>
            </w:pPr>
            <w:r w:rsidRPr="003E2D55">
              <w:rPr>
                <w:rFonts w:cs="Arial"/>
                <w:sz w:val="18"/>
                <w:szCs w:val="18"/>
              </w:rPr>
              <w:t>3</w:t>
            </w:r>
          </w:p>
        </w:tc>
        <w:tc>
          <w:tcPr>
            <w:tcW w:w="737" w:type="dxa"/>
            <w:tcBorders>
              <w:top w:val="nil"/>
              <w:left w:val="nil"/>
              <w:bottom w:val="nil"/>
              <w:right w:val="nil"/>
            </w:tcBorders>
            <w:shd w:val="clear" w:color="auto" w:fill="auto"/>
            <w:vAlign w:val="bottom"/>
          </w:tcPr>
          <w:p w14:paraId="66F4BBC7" w14:textId="6F591977" w:rsidR="00A26814" w:rsidRPr="003E2D55" w:rsidRDefault="00A26814" w:rsidP="00A26814">
            <w:pPr>
              <w:spacing w:before="40" w:after="20"/>
              <w:jc w:val="right"/>
              <w:rPr>
                <w:rFonts w:cs="Arial"/>
                <w:sz w:val="18"/>
                <w:szCs w:val="18"/>
              </w:rPr>
            </w:pPr>
            <w:r w:rsidRPr="003E2D55">
              <w:rPr>
                <w:rFonts w:cs="Arial"/>
                <w:sz w:val="18"/>
                <w:szCs w:val="18"/>
              </w:rPr>
              <w:t>109</w:t>
            </w:r>
          </w:p>
        </w:tc>
        <w:tc>
          <w:tcPr>
            <w:tcW w:w="737" w:type="dxa"/>
            <w:tcBorders>
              <w:top w:val="nil"/>
              <w:left w:val="nil"/>
              <w:bottom w:val="nil"/>
              <w:right w:val="nil"/>
            </w:tcBorders>
            <w:shd w:val="clear" w:color="auto" w:fill="auto"/>
            <w:vAlign w:val="bottom"/>
          </w:tcPr>
          <w:p w14:paraId="55D4A7A5" w14:textId="4832DA19" w:rsidR="00A26814" w:rsidRPr="003E2D55" w:rsidRDefault="00A26814" w:rsidP="00A26814">
            <w:pPr>
              <w:spacing w:before="40" w:after="20"/>
              <w:jc w:val="right"/>
              <w:rPr>
                <w:rFonts w:cs="Arial"/>
                <w:sz w:val="18"/>
                <w:szCs w:val="18"/>
              </w:rPr>
            </w:pPr>
            <w:r w:rsidRPr="003E2D55">
              <w:rPr>
                <w:rFonts w:cs="Arial"/>
                <w:sz w:val="18"/>
                <w:szCs w:val="18"/>
              </w:rPr>
              <w:t>114</w:t>
            </w:r>
          </w:p>
        </w:tc>
        <w:tc>
          <w:tcPr>
            <w:tcW w:w="737" w:type="dxa"/>
            <w:tcBorders>
              <w:top w:val="nil"/>
              <w:left w:val="nil"/>
              <w:bottom w:val="nil"/>
              <w:right w:val="nil"/>
            </w:tcBorders>
            <w:shd w:val="clear" w:color="auto" w:fill="auto"/>
            <w:vAlign w:val="bottom"/>
          </w:tcPr>
          <w:p w14:paraId="5A30436D" w14:textId="61E5D243" w:rsidR="00A26814" w:rsidRPr="003E2D55" w:rsidRDefault="00A26814" w:rsidP="00A26814">
            <w:pPr>
              <w:spacing w:before="40" w:after="20"/>
              <w:jc w:val="right"/>
              <w:rPr>
                <w:rFonts w:cs="Arial"/>
                <w:sz w:val="18"/>
                <w:szCs w:val="18"/>
              </w:rPr>
            </w:pPr>
            <w:r w:rsidRPr="003E2D55">
              <w:rPr>
                <w:rFonts w:cs="Arial"/>
                <w:sz w:val="18"/>
                <w:szCs w:val="18"/>
              </w:rPr>
              <w:t>61</w:t>
            </w:r>
          </w:p>
        </w:tc>
        <w:tc>
          <w:tcPr>
            <w:tcW w:w="737" w:type="dxa"/>
            <w:tcBorders>
              <w:top w:val="nil"/>
              <w:left w:val="nil"/>
              <w:bottom w:val="nil"/>
              <w:right w:val="nil"/>
            </w:tcBorders>
            <w:shd w:val="clear" w:color="auto" w:fill="auto"/>
            <w:vAlign w:val="bottom"/>
          </w:tcPr>
          <w:p w14:paraId="08978850" w14:textId="48C044BB" w:rsidR="00A26814" w:rsidRPr="003E2D55" w:rsidRDefault="00A26814" w:rsidP="00A26814">
            <w:pPr>
              <w:spacing w:before="40" w:after="20"/>
              <w:jc w:val="right"/>
              <w:rPr>
                <w:rFonts w:cs="Arial"/>
                <w:sz w:val="18"/>
                <w:szCs w:val="18"/>
              </w:rPr>
            </w:pPr>
            <w:r w:rsidRPr="003E2D55">
              <w:rPr>
                <w:rFonts w:cs="Arial"/>
                <w:sz w:val="18"/>
                <w:szCs w:val="18"/>
              </w:rPr>
              <w:t>129</w:t>
            </w:r>
          </w:p>
        </w:tc>
      </w:tr>
      <w:tr w:rsidR="00A26814" w:rsidRPr="003E2D55" w14:paraId="6E08D3E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57E2214" w14:textId="77777777" w:rsidR="00A26814" w:rsidRPr="003E2D55" w:rsidRDefault="00A26814" w:rsidP="00A26814">
            <w:pPr>
              <w:spacing w:before="40" w:after="20"/>
              <w:rPr>
                <w:rFonts w:cs="Arial"/>
                <w:sz w:val="18"/>
                <w:szCs w:val="18"/>
              </w:rPr>
            </w:pPr>
            <w:r w:rsidRPr="003E2D55">
              <w:rPr>
                <w:rFonts w:cs="Arial"/>
                <w:sz w:val="18"/>
                <w:szCs w:val="18"/>
              </w:rPr>
              <w:t>Mount Alexander S</w:t>
            </w:r>
          </w:p>
        </w:tc>
        <w:tc>
          <w:tcPr>
            <w:tcW w:w="737" w:type="dxa"/>
            <w:tcBorders>
              <w:top w:val="nil"/>
              <w:left w:val="single" w:sz="18" w:space="0" w:color="5F497A" w:themeColor="accent4" w:themeShade="BF"/>
              <w:bottom w:val="nil"/>
              <w:right w:val="nil"/>
            </w:tcBorders>
            <w:shd w:val="clear" w:color="auto" w:fill="auto"/>
            <w:vAlign w:val="bottom"/>
          </w:tcPr>
          <w:p w14:paraId="42EE30DB" w14:textId="1319A575" w:rsidR="00A26814" w:rsidRPr="003E2D55" w:rsidRDefault="00A26814" w:rsidP="00A26814">
            <w:pPr>
              <w:spacing w:before="40" w:after="20"/>
              <w:jc w:val="right"/>
              <w:rPr>
                <w:rFonts w:cs="Arial"/>
                <w:sz w:val="18"/>
                <w:szCs w:val="18"/>
              </w:rPr>
            </w:pPr>
            <w:r w:rsidRPr="003E2D55">
              <w:rPr>
                <w:rFonts w:cs="Arial"/>
                <w:sz w:val="18"/>
                <w:szCs w:val="18"/>
              </w:rPr>
              <w:t>215</w:t>
            </w:r>
          </w:p>
        </w:tc>
        <w:tc>
          <w:tcPr>
            <w:tcW w:w="737" w:type="dxa"/>
            <w:tcBorders>
              <w:top w:val="nil"/>
              <w:left w:val="nil"/>
              <w:bottom w:val="nil"/>
              <w:right w:val="nil"/>
            </w:tcBorders>
            <w:shd w:val="clear" w:color="auto" w:fill="auto"/>
            <w:vAlign w:val="bottom"/>
          </w:tcPr>
          <w:p w14:paraId="46D5285C" w14:textId="59ED4614" w:rsidR="00A26814" w:rsidRPr="003E2D55" w:rsidRDefault="00A26814" w:rsidP="00A26814">
            <w:pPr>
              <w:spacing w:before="40" w:after="20"/>
              <w:jc w:val="right"/>
              <w:rPr>
                <w:rFonts w:cs="Arial"/>
                <w:sz w:val="18"/>
                <w:szCs w:val="18"/>
              </w:rPr>
            </w:pPr>
            <w:r w:rsidRPr="003E2D55">
              <w:rPr>
                <w:rFonts w:cs="Arial"/>
                <w:sz w:val="18"/>
                <w:szCs w:val="18"/>
              </w:rPr>
              <w:t>18</w:t>
            </w:r>
          </w:p>
        </w:tc>
        <w:tc>
          <w:tcPr>
            <w:tcW w:w="737" w:type="dxa"/>
            <w:tcBorders>
              <w:top w:val="nil"/>
              <w:left w:val="nil"/>
              <w:bottom w:val="nil"/>
              <w:right w:val="nil"/>
            </w:tcBorders>
            <w:shd w:val="clear" w:color="auto" w:fill="auto"/>
            <w:vAlign w:val="bottom"/>
          </w:tcPr>
          <w:p w14:paraId="7A7A335A" w14:textId="7EA65F87" w:rsidR="00A26814" w:rsidRPr="003E2D55" w:rsidRDefault="00A26814" w:rsidP="00A26814">
            <w:pPr>
              <w:spacing w:before="40" w:after="20"/>
              <w:jc w:val="right"/>
              <w:rPr>
                <w:rFonts w:cs="Arial"/>
                <w:sz w:val="18"/>
                <w:szCs w:val="18"/>
              </w:rPr>
            </w:pPr>
            <w:r w:rsidRPr="003E2D55">
              <w:rPr>
                <w:rFonts w:cs="Arial"/>
                <w:sz w:val="18"/>
                <w:szCs w:val="18"/>
              </w:rPr>
              <w:t>18</w:t>
            </w:r>
          </w:p>
        </w:tc>
        <w:tc>
          <w:tcPr>
            <w:tcW w:w="737" w:type="dxa"/>
            <w:tcBorders>
              <w:top w:val="nil"/>
              <w:left w:val="nil"/>
              <w:bottom w:val="nil"/>
              <w:right w:val="nil"/>
            </w:tcBorders>
            <w:shd w:val="clear" w:color="auto" w:fill="auto"/>
            <w:vAlign w:val="bottom"/>
          </w:tcPr>
          <w:p w14:paraId="3D10ED0C" w14:textId="4FABBE52" w:rsidR="00A26814" w:rsidRPr="003E2D55" w:rsidRDefault="00A26814" w:rsidP="00A26814">
            <w:pPr>
              <w:spacing w:before="40" w:after="20"/>
              <w:jc w:val="right"/>
              <w:rPr>
                <w:rFonts w:cs="Arial"/>
                <w:sz w:val="18"/>
                <w:szCs w:val="18"/>
              </w:rPr>
            </w:pPr>
            <w:r w:rsidRPr="003E2D55">
              <w:rPr>
                <w:rFonts w:cs="Arial"/>
                <w:sz w:val="18"/>
                <w:szCs w:val="18"/>
              </w:rPr>
              <w:t>4</w:t>
            </w:r>
          </w:p>
        </w:tc>
        <w:tc>
          <w:tcPr>
            <w:tcW w:w="170" w:type="dxa"/>
            <w:tcBorders>
              <w:top w:val="nil"/>
              <w:left w:val="nil"/>
              <w:bottom w:val="nil"/>
              <w:right w:val="nil"/>
            </w:tcBorders>
            <w:shd w:val="clear" w:color="auto" w:fill="auto"/>
            <w:vAlign w:val="bottom"/>
          </w:tcPr>
          <w:p w14:paraId="4D62A7D2" w14:textId="0AB1286F"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5CCD018C" w14:textId="4968D93B" w:rsidR="00A26814" w:rsidRPr="003E2D55" w:rsidRDefault="00A26814" w:rsidP="00A26814">
            <w:pPr>
              <w:spacing w:before="40" w:after="20"/>
              <w:jc w:val="right"/>
              <w:rPr>
                <w:rFonts w:cs="Arial"/>
                <w:sz w:val="18"/>
                <w:szCs w:val="18"/>
              </w:rPr>
            </w:pPr>
            <w:r w:rsidRPr="003E2D55">
              <w:rPr>
                <w:rFonts w:cs="Arial"/>
                <w:sz w:val="18"/>
                <w:szCs w:val="18"/>
              </w:rPr>
              <w:t>6</w:t>
            </w:r>
          </w:p>
        </w:tc>
        <w:tc>
          <w:tcPr>
            <w:tcW w:w="737" w:type="dxa"/>
            <w:tcBorders>
              <w:top w:val="nil"/>
              <w:left w:val="nil"/>
              <w:bottom w:val="nil"/>
              <w:right w:val="nil"/>
            </w:tcBorders>
            <w:shd w:val="clear" w:color="auto" w:fill="auto"/>
            <w:vAlign w:val="bottom"/>
          </w:tcPr>
          <w:p w14:paraId="3FC14508" w14:textId="56627B08" w:rsidR="00A26814" w:rsidRPr="003E2D55" w:rsidRDefault="00A26814" w:rsidP="00A26814">
            <w:pPr>
              <w:spacing w:before="40" w:after="20"/>
              <w:jc w:val="right"/>
              <w:rPr>
                <w:rFonts w:cs="Arial"/>
                <w:sz w:val="18"/>
                <w:szCs w:val="18"/>
              </w:rPr>
            </w:pPr>
            <w:r w:rsidRPr="003E2D55">
              <w:rPr>
                <w:rFonts w:cs="Arial"/>
                <w:sz w:val="18"/>
                <w:szCs w:val="18"/>
              </w:rPr>
              <w:t>874</w:t>
            </w:r>
          </w:p>
        </w:tc>
        <w:tc>
          <w:tcPr>
            <w:tcW w:w="737" w:type="dxa"/>
            <w:tcBorders>
              <w:top w:val="nil"/>
              <w:left w:val="nil"/>
              <w:bottom w:val="nil"/>
              <w:right w:val="nil"/>
            </w:tcBorders>
            <w:shd w:val="clear" w:color="auto" w:fill="auto"/>
            <w:vAlign w:val="bottom"/>
          </w:tcPr>
          <w:p w14:paraId="74821055" w14:textId="1B16D081" w:rsidR="00A26814" w:rsidRPr="003E2D55" w:rsidRDefault="00A26814" w:rsidP="00A26814">
            <w:pPr>
              <w:spacing w:before="40" w:after="20"/>
              <w:jc w:val="right"/>
              <w:rPr>
                <w:rFonts w:cs="Arial"/>
                <w:sz w:val="18"/>
                <w:szCs w:val="18"/>
              </w:rPr>
            </w:pPr>
            <w:r w:rsidRPr="003E2D55">
              <w:rPr>
                <w:rFonts w:cs="Arial"/>
                <w:sz w:val="18"/>
                <w:szCs w:val="18"/>
              </w:rPr>
              <w:t>217</w:t>
            </w:r>
          </w:p>
        </w:tc>
        <w:tc>
          <w:tcPr>
            <w:tcW w:w="737" w:type="dxa"/>
            <w:tcBorders>
              <w:top w:val="nil"/>
              <w:left w:val="nil"/>
              <w:bottom w:val="nil"/>
              <w:right w:val="nil"/>
            </w:tcBorders>
            <w:shd w:val="clear" w:color="auto" w:fill="auto"/>
            <w:vAlign w:val="bottom"/>
          </w:tcPr>
          <w:p w14:paraId="3CB97135" w14:textId="55499C3C" w:rsidR="00A26814" w:rsidRPr="003E2D55" w:rsidRDefault="00A26814" w:rsidP="00A26814">
            <w:pPr>
              <w:spacing w:before="40" w:after="20"/>
              <w:jc w:val="right"/>
              <w:rPr>
                <w:rFonts w:cs="Arial"/>
                <w:sz w:val="18"/>
                <w:szCs w:val="18"/>
              </w:rPr>
            </w:pPr>
            <w:r w:rsidRPr="003E2D55">
              <w:rPr>
                <w:rFonts w:cs="Arial"/>
                <w:sz w:val="18"/>
                <w:szCs w:val="18"/>
              </w:rPr>
              <w:t>67</w:t>
            </w:r>
          </w:p>
        </w:tc>
        <w:tc>
          <w:tcPr>
            <w:tcW w:w="737" w:type="dxa"/>
            <w:tcBorders>
              <w:top w:val="nil"/>
              <w:left w:val="nil"/>
              <w:bottom w:val="nil"/>
              <w:right w:val="nil"/>
            </w:tcBorders>
            <w:shd w:val="clear" w:color="auto" w:fill="auto"/>
            <w:vAlign w:val="bottom"/>
          </w:tcPr>
          <w:p w14:paraId="3138E07C" w14:textId="03FB8C8E" w:rsidR="00A26814" w:rsidRPr="003E2D55" w:rsidRDefault="00A26814" w:rsidP="00A26814">
            <w:pPr>
              <w:spacing w:before="40" w:after="20"/>
              <w:jc w:val="right"/>
              <w:rPr>
                <w:rFonts w:cs="Arial"/>
                <w:sz w:val="18"/>
                <w:szCs w:val="18"/>
              </w:rPr>
            </w:pPr>
            <w:r w:rsidRPr="003E2D55">
              <w:rPr>
                <w:rFonts w:cs="Arial"/>
                <w:sz w:val="18"/>
                <w:szCs w:val="18"/>
              </w:rPr>
              <w:t>10</w:t>
            </w:r>
          </w:p>
        </w:tc>
      </w:tr>
      <w:tr w:rsidR="00A26814" w:rsidRPr="003E2D55" w14:paraId="69BF4CC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3B64378" w14:textId="77777777" w:rsidR="00A26814" w:rsidRPr="003E2D55" w:rsidRDefault="00A26814" w:rsidP="00A26814">
            <w:pPr>
              <w:spacing w:before="40" w:after="20"/>
              <w:rPr>
                <w:rFonts w:cs="Arial"/>
                <w:sz w:val="18"/>
                <w:szCs w:val="18"/>
              </w:rPr>
            </w:pPr>
            <w:r w:rsidRPr="003E2D55">
              <w:rPr>
                <w:rFonts w:cs="Arial"/>
                <w:sz w:val="18"/>
                <w:szCs w:val="18"/>
              </w:rPr>
              <w:t>Moyne S</w:t>
            </w:r>
          </w:p>
        </w:tc>
        <w:tc>
          <w:tcPr>
            <w:tcW w:w="737" w:type="dxa"/>
            <w:tcBorders>
              <w:top w:val="nil"/>
              <w:left w:val="single" w:sz="18" w:space="0" w:color="5F497A" w:themeColor="accent4" w:themeShade="BF"/>
              <w:bottom w:val="nil"/>
              <w:right w:val="nil"/>
            </w:tcBorders>
            <w:shd w:val="clear" w:color="auto" w:fill="auto"/>
            <w:vAlign w:val="bottom"/>
          </w:tcPr>
          <w:p w14:paraId="62474ADA" w14:textId="644BE67F" w:rsidR="00A26814" w:rsidRPr="003E2D55" w:rsidRDefault="00A26814" w:rsidP="00A26814">
            <w:pPr>
              <w:spacing w:before="40" w:after="20"/>
              <w:jc w:val="right"/>
              <w:rPr>
                <w:rFonts w:cs="Arial"/>
                <w:sz w:val="18"/>
                <w:szCs w:val="18"/>
              </w:rPr>
            </w:pPr>
            <w:r w:rsidRPr="003E2D55">
              <w:rPr>
                <w:rFonts w:cs="Arial"/>
                <w:sz w:val="18"/>
                <w:szCs w:val="18"/>
              </w:rPr>
              <w:t>140</w:t>
            </w:r>
          </w:p>
        </w:tc>
        <w:tc>
          <w:tcPr>
            <w:tcW w:w="737" w:type="dxa"/>
            <w:tcBorders>
              <w:top w:val="nil"/>
              <w:left w:val="nil"/>
              <w:bottom w:val="nil"/>
              <w:right w:val="nil"/>
            </w:tcBorders>
            <w:shd w:val="clear" w:color="auto" w:fill="auto"/>
            <w:vAlign w:val="bottom"/>
          </w:tcPr>
          <w:p w14:paraId="640F7B7D" w14:textId="4ED677D8" w:rsidR="00A26814" w:rsidRPr="003E2D55" w:rsidRDefault="00A26814" w:rsidP="00A26814">
            <w:pPr>
              <w:spacing w:before="40" w:after="20"/>
              <w:jc w:val="right"/>
              <w:rPr>
                <w:rFonts w:cs="Arial"/>
                <w:sz w:val="18"/>
                <w:szCs w:val="18"/>
              </w:rPr>
            </w:pPr>
            <w:r w:rsidRPr="003E2D55">
              <w:rPr>
                <w:rFonts w:cs="Arial"/>
                <w:sz w:val="18"/>
                <w:szCs w:val="18"/>
              </w:rPr>
              <w:t>7</w:t>
            </w:r>
          </w:p>
        </w:tc>
        <w:tc>
          <w:tcPr>
            <w:tcW w:w="737" w:type="dxa"/>
            <w:tcBorders>
              <w:top w:val="nil"/>
              <w:left w:val="nil"/>
              <w:bottom w:val="nil"/>
              <w:right w:val="nil"/>
            </w:tcBorders>
            <w:shd w:val="clear" w:color="auto" w:fill="auto"/>
            <w:vAlign w:val="bottom"/>
          </w:tcPr>
          <w:p w14:paraId="410152A3" w14:textId="14C06DEA" w:rsidR="00A26814" w:rsidRPr="003E2D55" w:rsidRDefault="00A26814" w:rsidP="00A26814">
            <w:pPr>
              <w:spacing w:before="40" w:after="20"/>
              <w:jc w:val="right"/>
              <w:rPr>
                <w:rFonts w:cs="Arial"/>
                <w:sz w:val="18"/>
                <w:szCs w:val="18"/>
              </w:rPr>
            </w:pPr>
            <w:r w:rsidRPr="003E2D55">
              <w:rPr>
                <w:rFonts w:cs="Arial"/>
                <w:sz w:val="18"/>
                <w:szCs w:val="18"/>
              </w:rPr>
              <w:t>13</w:t>
            </w:r>
          </w:p>
        </w:tc>
        <w:tc>
          <w:tcPr>
            <w:tcW w:w="737" w:type="dxa"/>
            <w:tcBorders>
              <w:top w:val="nil"/>
              <w:left w:val="nil"/>
              <w:bottom w:val="nil"/>
              <w:right w:val="nil"/>
            </w:tcBorders>
            <w:shd w:val="clear" w:color="auto" w:fill="auto"/>
            <w:vAlign w:val="bottom"/>
          </w:tcPr>
          <w:p w14:paraId="6ACC0417" w14:textId="354578AF" w:rsidR="00A26814" w:rsidRPr="003E2D55" w:rsidRDefault="00A26814" w:rsidP="00A26814">
            <w:pPr>
              <w:spacing w:before="40" w:after="2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2FC5CE22" w14:textId="4533A0C6"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5281B7DB" w14:textId="68ABA58B" w:rsidR="00A26814" w:rsidRPr="003E2D55" w:rsidRDefault="00A26814" w:rsidP="00A26814">
            <w:pPr>
              <w:spacing w:before="40" w:after="20"/>
              <w:jc w:val="right"/>
              <w:rPr>
                <w:rFonts w:cs="Arial"/>
                <w:sz w:val="18"/>
                <w:szCs w:val="18"/>
              </w:rPr>
            </w:pPr>
            <w:r w:rsidRPr="003E2D55">
              <w:rPr>
                <w:rFonts w:cs="Arial"/>
                <w:sz w:val="18"/>
                <w:szCs w:val="18"/>
              </w:rPr>
              <w:t>79</w:t>
            </w:r>
          </w:p>
        </w:tc>
        <w:tc>
          <w:tcPr>
            <w:tcW w:w="737" w:type="dxa"/>
            <w:tcBorders>
              <w:top w:val="nil"/>
              <w:left w:val="nil"/>
              <w:bottom w:val="nil"/>
              <w:right w:val="nil"/>
            </w:tcBorders>
            <w:shd w:val="clear" w:color="auto" w:fill="auto"/>
            <w:vAlign w:val="bottom"/>
          </w:tcPr>
          <w:p w14:paraId="55772DAA" w14:textId="1BFAA8A1" w:rsidR="00A26814" w:rsidRPr="003E2D55" w:rsidRDefault="00A26814" w:rsidP="00A26814">
            <w:pPr>
              <w:spacing w:before="40" w:after="20"/>
              <w:jc w:val="right"/>
              <w:rPr>
                <w:rFonts w:cs="Arial"/>
                <w:sz w:val="18"/>
                <w:szCs w:val="18"/>
              </w:rPr>
            </w:pPr>
            <w:r w:rsidRPr="003E2D55">
              <w:rPr>
                <w:rFonts w:cs="Arial"/>
                <w:sz w:val="18"/>
                <w:szCs w:val="18"/>
              </w:rPr>
              <w:t>1,914</w:t>
            </w:r>
          </w:p>
        </w:tc>
        <w:tc>
          <w:tcPr>
            <w:tcW w:w="737" w:type="dxa"/>
            <w:tcBorders>
              <w:top w:val="nil"/>
              <w:left w:val="nil"/>
              <w:bottom w:val="nil"/>
              <w:right w:val="nil"/>
            </w:tcBorders>
            <w:shd w:val="clear" w:color="auto" w:fill="auto"/>
            <w:vAlign w:val="bottom"/>
          </w:tcPr>
          <w:p w14:paraId="581FBC2E" w14:textId="7A23E7E0" w:rsidR="00A26814" w:rsidRPr="003E2D55" w:rsidRDefault="00A26814" w:rsidP="00A26814">
            <w:pPr>
              <w:spacing w:before="40" w:after="20"/>
              <w:jc w:val="right"/>
              <w:rPr>
                <w:rFonts w:cs="Arial"/>
                <w:sz w:val="18"/>
                <w:szCs w:val="18"/>
              </w:rPr>
            </w:pPr>
            <w:r w:rsidRPr="003E2D55">
              <w:rPr>
                <w:rFonts w:cs="Arial"/>
                <w:sz w:val="18"/>
                <w:szCs w:val="18"/>
              </w:rPr>
              <w:t>557</w:t>
            </w:r>
          </w:p>
        </w:tc>
        <w:tc>
          <w:tcPr>
            <w:tcW w:w="737" w:type="dxa"/>
            <w:tcBorders>
              <w:top w:val="nil"/>
              <w:left w:val="nil"/>
              <w:bottom w:val="nil"/>
              <w:right w:val="nil"/>
            </w:tcBorders>
            <w:shd w:val="clear" w:color="auto" w:fill="auto"/>
            <w:vAlign w:val="bottom"/>
          </w:tcPr>
          <w:p w14:paraId="5483205A" w14:textId="4E836FD7" w:rsidR="00A26814" w:rsidRPr="003E2D55" w:rsidRDefault="00A26814" w:rsidP="00A26814">
            <w:pPr>
              <w:spacing w:before="40" w:after="20"/>
              <w:jc w:val="right"/>
              <w:rPr>
                <w:rFonts w:cs="Arial"/>
                <w:sz w:val="18"/>
                <w:szCs w:val="18"/>
              </w:rPr>
            </w:pPr>
            <w:r w:rsidRPr="003E2D55">
              <w:rPr>
                <w:rFonts w:cs="Arial"/>
                <w:sz w:val="18"/>
                <w:szCs w:val="18"/>
              </w:rPr>
              <w:t>25</w:t>
            </w:r>
          </w:p>
        </w:tc>
        <w:tc>
          <w:tcPr>
            <w:tcW w:w="737" w:type="dxa"/>
            <w:tcBorders>
              <w:top w:val="nil"/>
              <w:left w:val="nil"/>
              <w:bottom w:val="nil"/>
              <w:right w:val="nil"/>
            </w:tcBorders>
            <w:shd w:val="clear" w:color="auto" w:fill="auto"/>
            <w:vAlign w:val="bottom"/>
          </w:tcPr>
          <w:p w14:paraId="457D0F43" w14:textId="23666180" w:rsidR="00A26814" w:rsidRPr="003E2D55" w:rsidRDefault="00A26814" w:rsidP="00A26814">
            <w:pPr>
              <w:spacing w:before="40" w:after="20"/>
              <w:jc w:val="right"/>
              <w:rPr>
                <w:rFonts w:cs="Arial"/>
                <w:sz w:val="18"/>
                <w:szCs w:val="18"/>
              </w:rPr>
            </w:pPr>
            <w:r w:rsidRPr="003E2D55">
              <w:rPr>
                <w:rFonts w:cs="Arial"/>
                <w:sz w:val="18"/>
                <w:szCs w:val="18"/>
              </w:rPr>
              <w:t>13</w:t>
            </w:r>
          </w:p>
        </w:tc>
      </w:tr>
      <w:tr w:rsidR="00A26814" w:rsidRPr="003E2D55" w14:paraId="75E4610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AF0C35B" w14:textId="77777777" w:rsidR="00A26814" w:rsidRPr="003E2D55" w:rsidRDefault="00A26814" w:rsidP="00A26814">
            <w:pPr>
              <w:spacing w:before="40" w:after="20"/>
              <w:rPr>
                <w:rFonts w:cs="Arial"/>
                <w:sz w:val="18"/>
                <w:szCs w:val="18"/>
              </w:rPr>
            </w:pPr>
            <w:r w:rsidRPr="003E2D55">
              <w:rPr>
                <w:rFonts w:cs="Arial"/>
                <w:sz w:val="18"/>
                <w:szCs w:val="18"/>
              </w:rPr>
              <w:t>Murrindindi S</w:t>
            </w:r>
          </w:p>
        </w:tc>
        <w:tc>
          <w:tcPr>
            <w:tcW w:w="737" w:type="dxa"/>
            <w:tcBorders>
              <w:top w:val="nil"/>
              <w:left w:val="single" w:sz="18" w:space="0" w:color="5F497A" w:themeColor="accent4" w:themeShade="BF"/>
              <w:bottom w:val="nil"/>
              <w:right w:val="nil"/>
            </w:tcBorders>
            <w:shd w:val="clear" w:color="auto" w:fill="auto"/>
            <w:vAlign w:val="bottom"/>
          </w:tcPr>
          <w:p w14:paraId="31837731" w14:textId="29B72F89" w:rsidR="00A26814" w:rsidRPr="003E2D55" w:rsidRDefault="00A26814" w:rsidP="00A26814">
            <w:pPr>
              <w:spacing w:before="40" w:after="20"/>
              <w:jc w:val="right"/>
              <w:rPr>
                <w:rFonts w:cs="Arial"/>
                <w:sz w:val="18"/>
                <w:szCs w:val="18"/>
              </w:rPr>
            </w:pPr>
            <w:r w:rsidRPr="003E2D55">
              <w:rPr>
                <w:rFonts w:cs="Arial"/>
                <w:sz w:val="18"/>
                <w:szCs w:val="18"/>
              </w:rPr>
              <w:t>126</w:t>
            </w:r>
          </w:p>
        </w:tc>
        <w:tc>
          <w:tcPr>
            <w:tcW w:w="737" w:type="dxa"/>
            <w:tcBorders>
              <w:top w:val="nil"/>
              <w:left w:val="nil"/>
              <w:bottom w:val="nil"/>
              <w:right w:val="nil"/>
            </w:tcBorders>
            <w:shd w:val="clear" w:color="auto" w:fill="auto"/>
            <w:vAlign w:val="bottom"/>
          </w:tcPr>
          <w:p w14:paraId="1B805377" w14:textId="73A771E9" w:rsidR="00A26814" w:rsidRPr="003E2D55" w:rsidRDefault="00A26814" w:rsidP="00A26814">
            <w:pPr>
              <w:spacing w:before="40" w:after="20"/>
              <w:jc w:val="right"/>
              <w:rPr>
                <w:rFonts w:cs="Arial"/>
                <w:sz w:val="18"/>
                <w:szCs w:val="18"/>
              </w:rPr>
            </w:pPr>
            <w:r w:rsidRPr="003E2D55">
              <w:rPr>
                <w:rFonts w:cs="Arial"/>
                <w:sz w:val="18"/>
                <w:szCs w:val="18"/>
              </w:rPr>
              <w:t>13</w:t>
            </w:r>
          </w:p>
        </w:tc>
        <w:tc>
          <w:tcPr>
            <w:tcW w:w="737" w:type="dxa"/>
            <w:tcBorders>
              <w:top w:val="nil"/>
              <w:left w:val="nil"/>
              <w:bottom w:val="nil"/>
              <w:right w:val="nil"/>
            </w:tcBorders>
            <w:shd w:val="clear" w:color="auto" w:fill="auto"/>
            <w:vAlign w:val="bottom"/>
          </w:tcPr>
          <w:p w14:paraId="250ECCB5" w14:textId="79C9DAFF" w:rsidR="00A26814" w:rsidRPr="003E2D55" w:rsidRDefault="00A26814" w:rsidP="00A26814">
            <w:pPr>
              <w:spacing w:before="40" w:after="20"/>
              <w:jc w:val="right"/>
              <w:rPr>
                <w:rFonts w:cs="Arial"/>
                <w:sz w:val="18"/>
                <w:szCs w:val="18"/>
              </w:rPr>
            </w:pPr>
            <w:r w:rsidRPr="003E2D55">
              <w:rPr>
                <w:rFonts w:cs="Arial"/>
                <w:sz w:val="18"/>
                <w:szCs w:val="18"/>
              </w:rPr>
              <w:t>6</w:t>
            </w:r>
          </w:p>
        </w:tc>
        <w:tc>
          <w:tcPr>
            <w:tcW w:w="737" w:type="dxa"/>
            <w:tcBorders>
              <w:top w:val="nil"/>
              <w:left w:val="nil"/>
              <w:bottom w:val="nil"/>
              <w:right w:val="nil"/>
            </w:tcBorders>
            <w:shd w:val="clear" w:color="auto" w:fill="auto"/>
            <w:vAlign w:val="bottom"/>
          </w:tcPr>
          <w:p w14:paraId="43CFF260" w14:textId="4FE36372" w:rsidR="00A26814" w:rsidRPr="003E2D55" w:rsidRDefault="00A26814" w:rsidP="00A26814">
            <w:pPr>
              <w:spacing w:before="40" w:after="2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1B9236AD" w14:textId="616ADB29"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5348509B" w14:textId="5B66B06D" w:rsidR="00A26814" w:rsidRPr="003E2D55" w:rsidRDefault="00A26814" w:rsidP="00A26814">
            <w:pPr>
              <w:spacing w:before="40" w:after="20"/>
              <w:jc w:val="right"/>
              <w:rPr>
                <w:rFonts w:cs="Arial"/>
                <w:sz w:val="18"/>
                <w:szCs w:val="18"/>
              </w:rPr>
            </w:pPr>
            <w:r w:rsidRPr="003E2D55">
              <w:rPr>
                <w:rFonts w:cs="Arial"/>
                <w:sz w:val="18"/>
                <w:szCs w:val="18"/>
              </w:rPr>
              <w:t>41</w:t>
            </w:r>
          </w:p>
        </w:tc>
        <w:tc>
          <w:tcPr>
            <w:tcW w:w="737" w:type="dxa"/>
            <w:tcBorders>
              <w:top w:val="nil"/>
              <w:left w:val="nil"/>
              <w:bottom w:val="nil"/>
              <w:right w:val="nil"/>
            </w:tcBorders>
            <w:shd w:val="clear" w:color="auto" w:fill="auto"/>
            <w:vAlign w:val="bottom"/>
          </w:tcPr>
          <w:p w14:paraId="18492845" w14:textId="0D8B1B18" w:rsidR="00A26814" w:rsidRPr="003E2D55" w:rsidRDefault="00A26814" w:rsidP="00A26814">
            <w:pPr>
              <w:spacing w:before="40" w:after="20"/>
              <w:jc w:val="right"/>
              <w:rPr>
                <w:rFonts w:cs="Arial"/>
                <w:sz w:val="18"/>
                <w:szCs w:val="18"/>
              </w:rPr>
            </w:pPr>
            <w:r w:rsidRPr="003E2D55">
              <w:rPr>
                <w:rFonts w:cs="Arial"/>
                <w:sz w:val="18"/>
                <w:szCs w:val="18"/>
              </w:rPr>
              <w:t>619</w:t>
            </w:r>
          </w:p>
        </w:tc>
        <w:tc>
          <w:tcPr>
            <w:tcW w:w="737" w:type="dxa"/>
            <w:tcBorders>
              <w:top w:val="nil"/>
              <w:left w:val="nil"/>
              <w:bottom w:val="nil"/>
              <w:right w:val="nil"/>
            </w:tcBorders>
            <w:shd w:val="clear" w:color="auto" w:fill="auto"/>
            <w:vAlign w:val="bottom"/>
          </w:tcPr>
          <w:p w14:paraId="499AB05D" w14:textId="2C9B24DD" w:rsidR="00A26814" w:rsidRPr="003E2D55" w:rsidRDefault="00A26814" w:rsidP="00A26814">
            <w:pPr>
              <w:spacing w:before="40" w:after="20"/>
              <w:jc w:val="right"/>
              <w:rPr>
                <w:rFonts w:cs="Arial"/>
                <w:sz w:val="18"/>
                <w:szCs w:val="18"/>
              </w:rPr>
            </w:pPr>
            <w:r w:rsidRPr="003E2D55">
              <w:rPr>
                <w:rFonts w:cs="Arial"/>
                <w:sz w:val="18"/>
                <w:szCs w:val="18"/>
              </w:rPr>
              <w:t>346</w:t>
            </w:r>
          </w:p>
        </w:tc>
        <w:tc>
          <w:tcPr>
            <w:tcW w:w="737" w:type="dxa"/>
            <w:tcBorders>
              <w:top w:val="nil"/>
              <w:left w:val="nil"/>
              <w:bottom w:val="nil"/>
              <w:right w:val="nil"/>
            </w:tcBorders>
            <w:shd w:val="clear" w:color="auto" w:fill="auto"/>
            <w:vAlign w:val="bottom"/>
          </w:tcPr>
          <w:p w14:paraId="4E6CBCB2" w14:textId="56E1EE27" w:rsidR="00A26814" w:rsidRPr="003E2D55" w:rsidRDefault="00A26814" w:rsidP="00A26814">
            <w:pPr>
              <w:spacing w:before="40" w:after="20"/>
              <w:jc w:val="right"/>
              <w:rPr>
                <w:rFonts w:cs="Arial"/>
                <w:sz w:val="18"/>
                <w:szCs w:val="18"/>
              </w:rPr>
            </w:pPr>
            <w:r w:rsidRPr="003E2D55">
              <w:rPr>
                <w:rFonts w:cs="Arial"/>
                <w:sz w:val="18"/>
                <w:szCs w:val="18"/>
              </w:rPr>
              <w:t>32</w:t>
            </w:r>
          </w:p>
        </w:tc>
        <w:tc>
          <w:tcPr>
            <w:tcW w:w="737" w:type="dxa"/>
            <w:tcBorders>
              <w:top w:val="nil"/>
              <w:left w:val="nil"/>
              <w:bottom w:val="nil"/>
              <w:right w:val="nil"/>
            </w:tcBorders>
            <w:shd w:val="clear" w:color="auto" w:fill="auto"/>
            <w:vAlign w:val="bottom"/>
          </w:tcPr>
          <w:p w14:paraId="3C8FDB7F" w14:textId="347A2D07" w:rsidR="00A26814" w:rsidRPr="003E2D55" w:rsidRDefault="00A26814" w:rsidP="00A26814">
            <w:pPr>
              <w:spacing w:before="40" w:after="20"/>
              <w:jc w:val="right"/>
              <w:rPr>
                <w:rFonts w:cs="Arial"/>
                <w:sz w:val="18"/>
                <w:szCs w:val="18"/>
              </w:rPr>
            </w:pPr>
            <w:r w:rsidRPr="003E2D55">
              <w:rPr>
                <w:rFonts w:cs="Arial"/>
                <w:sz w:val="18"/>
                <w:szCs w:val="18"/>
              </w:rPr>
              <w:t>17</w:t>
            </w:r>
          </w:p>
        </w:tc>
      </w:tr>
      <w:tr w:rsidR="00A26814" w:rsidRPr="003E2D55" w14:paraId="5896EA0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56AB40A" w14:textId="77777777" w:rsidR="00A26814" w:rsidRPr="003E2D55" w:rsidRDefault="00A26814" w:rsidP="00A26814">
            <w:pPr>
              <w:spacing w:before="40" w:after="20"/>
              <w:rPr>
                <w:rFonts w:cs="Arial"/>
                <w:sz w:val="18"/>
                <w:szCs w:val="18"/>
              </w:rPr>
            </w:pPr>
            <w:r w:rsidRPr="003E2D55">
              <w:rPr>
                <w:rFonts w:cs="Arial"/>
                <w:sz w:val="18"/>
                <w:szCs w:val="18"/>
              </w:rPr>
              <w:t>Nillumbik S</w:t>
            </w:r>
          </w:p>
        </w:tc>
        <w:tc>
          <w:tcPr>
            <w:tcW w:w="737" w:type="dxa"/>
            <w:tcBorders>
              <w:top w:val="nil"/>
              <w:left w:val="single" w:sz="18" w:space="0" w:color="5F497A" w:themeColor="accent4" w:themeShade="BF"/>
              <w:bottom w:val="nil"/>
              <w:right w:val="nil"/>
            </w:tcBorders>
            <w:shd w:val="clear" w:color="auto" w:fill="auto"/>
            <w:vAlign w:val="bottom"/>
          </w:tcPr>
          <w:p w14:paraId="7989B886" w14:textId="4E1E3DBC" w:rsidR="00A26814" w:rsidRPr="003E2D55" w:rsidRDefault="00A26814" w:rsidP="00A26814">
            <w:pPr>
              <w:spacing w:before="40" w:after="20"/>
              <w:jc w:val="right"/>
              <w:rPr>
                <w:rFonts w:cs="Arial"/>
                <w:sz w:val="18"/>
                <w:szCs w:val="18"/>
              </w:rPr>
            </w:pPr>
            <w:r w:rsidRPr="003E2D55">
              <w:rPr>
                <w:rFonts w:cs="Arial"/>
                <w:sz w:val="18"/>
                <w:szCs w:val="18"/>
              </w:rPr>
              <w:t>215</w:t>
            </w:r>
          </w:p>
        </w:tc>
        <w:tc>
          <w:tcPr>
            <w:tcW w:w="737" w:type="dxa"/>
            <w:tcBorders>
              <w:top w:val="nil"/>
              <w:left w:val="nil"/>
              <w:bottom w:val="nil"/>
              <w:right w:val="nil"/>
            </w:tcBorders>
            <w:shd w:val="clear" w:color="auto" w:fill="auto"/>
            <w:vAlign w:val="bottom"/>
          </w:tcPr>
          <w:p w14:paraId="3378E52A" w14:textId="7933271E" w:rsidR="00A26814" w:rsidRPr="003E2D55" w:rsidRDefault="00A26814" w:rsidP="00A26814">
            <w:pPr>
              <w:spacing w:before="40" w:after="20"/>
              <w:jc w:val="right"/>
              <w:rPr>
                <w:rFonts w:cs="Arial"/>
                <w:sz w:val="18"/>
                <w:szCs w:val="18"/>
              </w:rPr>
            </w:pPr>
            <w:r w:rsidRPr="003E2D55">
              <w:rPr>
                <w:rFonts w:cs="Arial"/>
                <w:sz w:val="18"/>
                <w:szCs w:val="18"/>
              </w:rPr>
              <w:t>37</w:t>
            </w:r>
          </w:p>
        </w:tc>
        <w:tc>
          <w:tcPr>
            <w:tcW w:w="737" w:type="dxa"/>
            <w:tcBorders>
              <w:top w:val="nil"/>
              <w:left w:val="nil"/>
              <w:bottom w:val="nil"/>
              <w:right w:val="nil"/>
            </w:tcBorders>
            <w:shd w:val="clear" w:color="auto" w:fill="auto"/>
            <w:vAlign w:val="bottom"/>
          </w:tcPr>
          <w:p w14:paraId="3FFC5918" w14:textId="3A70913A" w:rsidR="00A26814" w:rsidRPr="003E2D55" w:rsidRDefault="00A26814" w:rsidP="00A26814">
            <w:pPr>
              <w:spacing w:before="40" w:after="20"/>
              <w:jc w:val="right"/>
              <w:rPr>
                <w:rFonts w:cs="Arial"/>
                <w:sz w:val="18"/>
                <w:szCs w:val="18"/>
              </w:rPr>
            </w:pPr>
            <w:r w:rsidRPr="003E2D55">
              <w:rPr>
                <w:rFonts w:cs="Arial"/>
                <w:sz w:val="18"/>
                <w:szCs w:val="18"/>
              </w:rPr>
              <w:t>62</w:t>
            </w:r>
          </w:p>
        </w:tc>
        <w:tc>
          <w:tcPr>
            <w:tcW w:w="737" w:type="dxa"/>
            <w:tcBorders>
              <w:top w:val="nil"/>
              <w:left w:val="nil"/>
              <w:bottom w:val="nil"/>
              <w:right w:val="nil"/>
            </w:tcBorders>
            <w:shd w:val="clear" w:color="auto" w:fill="auto"/>
            <w:vAlign w:val="bottom"/>
          </w:tcPr>
          <w:p w14:paraId="4EF2C995" w14:textId="0B802422" w:rsidR="00A26814" w:rsidRPr="003E2D55" w:rsidRDefault="00A26814" w:rsidP="00A26814">
            <w:pPr>
              <w:spacing w:before="40" w:after="20"/>
              <w:jc w:val="right"/>
              <w:rPr>
                <w:rFonts w:cs="Arial"/>
                <w:sz w:val="18"/>
                <w:szCs w:val="18"/>
              </w:rPr>
            </w:pPr>
            <w:r w:rsidRPr="003E2D55">
              <w:rPr>
                <w:rFonts w:cs="Arial"/>
                <w:sz w:val="18"/>
                <w:szCs w:val="18"/>
              </w:rPr>
              <w:t>6</w:t>
            </w:r>
          </w:p>
        </w:tc>
        <w:tc>
          <w:tcPr>
            <w:tcW w:w="170" w:type="dxa"/>
            <w:tcBorders>
              <w:top w:val="nil"/>
              <w:left w:val="nil"/>
              <w:bottom w:val="nil"/>
              <w:right w:val="nil"/>
            </w:tcBorders>
            <w:shd w:val="clear" w:color="auto" w:fill="auto"/>
            <w:vAlign w:val="bottom"/>
          </w:tcPr>
          <w:p w14:paraId="532C2721" w14:textId="4DF6D975"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5FE5FA33" w14:textId="120144AF"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14BC4EDF" w14:textId="55B4A59F" w:rsidR="00A26814" w:rsidRPr="003E2D55" w:rsidRDefault="00A26814" w:rsidP="00A26814">
            <w:pPr>
              <w:spacing w:before="40" w:after="20"/>
              <w:jc w:val="right"/>
              <w:rPr>
                <w:rFonts w:cs="Arial"/>
                <w:sz w:val="18"/>
                <w:szCs w:val="18"/>
              </w:rPr>
            </w:pPr>
            <w:r w:rsidRPr="003E2D55">
              <w:rPr>
                <w:rFonts w:cs="Arial"/>
                <w:sz w:val="18"/>
                <w:szCs w:val="18"/>
              </w:rPr>
              <w:t>130</w:t>
            </w:r>
          </w:p>
        </w:tc>
        <w:tc>
          <w:tcPr>
            <w:tcW w:w="737" w:type="dxa"/>
            <w:tcBorders>
              <w:top w:val="nil"/>
              <w:left w:val="nil"/>
              <w:bottom w:val="nil"/>
              <w:right w:val="nil"/>
            </w:tcBorders>
            <w:shd w:val="clear" w:color="auto" w:fill="auto"/>
            <w:vAlign w:val="bottom"/>
          </w:tcPr>
          <w:p w14:paraId="172A7A69" w14:textId="0E429982" w:rsidR="00A26814" w:rsidRPr="003E2D55" w:rsidRDefault="00A26814" w:rsidP="00A26814">
            <w:pPr>
              <w:spacing w:before="40" w:after="20"/>
              <w:jc w:val="right"/>
              <w:rPr>
                <w:rFonts w:cs="Arial"/>
                <w:sz w:val="18"/>
                <w:szCs w:val="18"/>
              </w:rPr>
            </w:pPr>
            <w:r w:rsidRPr="003E2D55">
              <w:rPr>
                <w:rFonts w:cs="Arial"/>
                <w:sz w:val="18"/>
                <w:szCs w:val="18"/>
              </w:rPr>
              <w:t>293</w:t>
            </w:r>
          </w:p>
        </w:tc>
        <w:tc>
          <w:tcPr>
            <w:tcW w:w="737" w:type="dxa"/>
            <w:tcBorders>
              <w:top w:val="nil"/>
              <w:left w:val="nil"/>
              <w:bottom w:val="nil"/>
              <w:right w:val="nil"/>
            </w:tcBorders>
            <w:shd w:val="clear" w:color="auto" w:fill="auto"/>
            <w:vAlign w:val="bottom"/>
          </w:tcPr>
          <w:p w14:paraId="53A6C6DD" w14:textId="2C07D46A" w:rsidR="00A26814" w:rsidRPr="003E2D55" w:rsidRDefault="00A26814" w:rsidP="00A26814">
            <w:pPr>
              <w:spacing w:before="40" w:after="20"/>
              <w:jc w:val="right"/>
              <w:rPr>
                <w:rFonts w:cs="Arial"/>
                <w:sz w:val="18"/>
                <w:szCs w:val="18"/>
              </w:rPr>
            </w:pPr>
            <w:r w:rsidRPr="003E2D55">
              <w:rPr>
                <w:rFonts w:cs="Arial"/>
                <w:sz w:val="18"/>
                <w:szCs w:val="18"/>
              </w:rPr>
              <w:t>18</w:t>
            </w:r>
          </w:p>
        </w:tc>
        <w:tc>
          <w:tcPr>
            <w:tcW w:w="737" w:type="dxa"/>
            <w:tcBorders>
              <w:top w:val="nil"/>
              <w:left w:val="nil"/>
              <w:bottom w:val="nil"/>
              <w:right w:val="nil"/>
            </w:tcBorders>
            <w:shd w:val="clear" w:color="auto" w:fill="auto"/>
            <w:vAlign w:val="bottom"/>
          </w:tcPr>
          <w:p w14:paraId="4027F962" w14:textId="436CA539" w:rsidR="00A26814" w:rsidRPr="003E2D55" w:rsidRDefault="00A26814" w:rsidP="00A26814">
            <w:pPr>
              <w:spacing w:before="40" w:after="20"/>
              <w:jc w:val="right"/>
              <w:rPr>
                <w:rFonts w:cs="Arial"/>
                <w:sz w:val="18"/>
                <w:szCs w:val="18"/>
              </w:rPr>
            </w:pPr>
            <w:r w:rsidRPr="003E2D55">
              <w:rPr>
                <w:rFonts w:cs="Arial"/>
                <w:sz w:val="18"/>
                <w:szCs w:val="18"/>
              </w:rPr>
              <w:t>13</w:t>
            </w:r>
          </w:p>
        </w:tc>
      </w:tr>
      <w:tr w:rsidR="00A26814" w:rsidRPr="003E2D55" w14:paraId="61E76E3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09E29E7" w14:textId="77777777" w:rsidR="00A26814" w:rsidRPr="003E2D55" w:rsidRDefault="00A26814" w:rsidP="00A26814">
            <w:pPr>
              <w:spacing w:before="40" w:after="20"/>
              <w:rPr>
                <w:rFonts w:cs="Arial"/>
                <w:sz w:val="18"/>
                <w:szCs w:val="18"/>
              </w:rPr>
            </w:pPr>
            <w:r w:rsidRPr="003E2D55">
              <w:rPr>
                <w:rFonts w:cs="Arial"/>
                <w:sz w:val="18"/>
                <w:szCs w:val="18"/>
              </w:rPr>
              <w:t>Northern Grampians S</w:t>
            </w:r>
          </w:p>
        </w:tc>
        <w:tc>
          <w:tcPr>
            <w:tcW w:w="737" w:type="dxa"/>
            <w:tcBorders>
              <w:top w:val="nil"/>
              <w:left w:val="single" w:sz="18" w:space="0" w:color="5F497A" w:themeColor="accent4" w:themeShade="BF"/>
              <w:bottom w:val="nil"/>
              <w:right w:val="nil"/>
            </w:tcBorders>
            <w:shd w:val="clear" w:color="auto" w:fill="auto"/>
            <w:vAlign w:val="bottom"/>
          </w:tcPr>
          <w:p w14:paraId="3EBA3E56" w14:textId="3A0B56D2" w:rsidR="00A26814" w:rsidRPr="003E2D55" w:rsidRDefault="00A26814" w:rsidP="00A26814">
            <w:pPr>
              <w:spacing w:before="40" w:after="20"/>
              <w:jc w:val="right"/>
              <w:rPr>
                <w:rFonts w:cs="Arial"/>
                <w:sz w:val="18"/>
                <w:szCs w:val="18"/>
              </w:rPr>
            </w:pPr>
            <w:r w:rsidRPr="003E2D55">
              <w:rPr>
                <w:rFonts w:cs="Arial"/>
                <w:sz w:val="18"/>
                <w:szCs w:val="18"/>
              </w:rPr>
              <w:t>115</w:t>
            </w:r>
          </w:p>
        </w:tc>
        <w:tc>
          <w:tcPr>
            <w:tcW w:w="737" w:type="dxa"/>
            <w:tcBorders>
              <w:top w:val="nil"/>
              <w:left w:val="nil"/>
              <w:bottom w:val="nil"/>
              <w:right w:val="nil"/>
            </w:tcBorders>
            <w:shd w:val="clear" w:color="auto" w:fill="auto"/>
            <w:vAlign w:val="bottom"/>
          </w:tcPr>
          <w:p w14:paraId="09F644A9" w14:textId="600E8B55" w:rsidR="00A26814" w:rsidRPr="003E2D55" w:rsidRDefault="00A26814" w:rsidP="00A26814">
            <w:pPr>
              <w:spacing w:before="40" w:after="20"/>
              <w:jc w:val="right"/>
              <w:rPr>
                <w:rFonts w:cs="Arial"/>
                <w:sz w:val="18"/>
                <w:szCs w:val="18"/>
              </w:rPr>
            </w:pPr>
            <w:r w:rsidRPr="003E2D55">
              <w:rPr>
                <w:rFonts w:cs="Arial"/>
                <w:sz w:val="18"/>
                <w:szCs w:val="18"/>
              </w:rPr>
              <w:t>9</w:t>
            </w:r>
          </w:p>
        </w:tc>
        <w:tc>
          <w:tcPr>
            <w:tcW w:w="737" w:type="dxa"/>
            <w:tcBorders>
              <w:top w:val="nil"/>
              <w:left w:val="nil"/>
              <w:bottom w:val="nil"/>
              <w:right w:val="nil"/>
            </w:tcBorders>
            <w:shd w:val="clear" w:color="auto" w:fill="auto"/>
            <w:vAlign w:val="bottom"/>
          </w:tcPr>
          <w:p w14:paraId="47B4AB96" w14:textId="29041BF0" w:rsidR="00A26814" w:rsidRPr="003E2D55" w:rsidRDefault="00A26814" w:rsidP="00A26814">
            <w:pPr>
              <w:spacing w:before="40" w:after="20"/>
              <w:jc w:val="right"/>
              <w:rPr>
                <w:rFonts w:cs="Arial"/>
                <w:sz w:val="18"/>
                <w:szCs w:val="18"/>
              </w:rPr>
            </w:pPr>
            <w:r w:rsidRPr="003E2D55">
              <w:rPr>
                <w:rFonts w:cs="Arial"/>
                <w:sz w:val="18"/>
                <w:szCs w:val="18"/>
              </w:rPr>
              <w:t>8</w:t>
            </w:r>
          </w:p>
        </w:tc>
        <w:tc>
          <w:tcPr>
            <w:tcW w:w="737" w:type="dxa"/>
            <w:tcBorders>
              <w:top w:val="nil"/>
              <w:left w:val="nil"/>
              <w:bottom w:val="nil"/>
              <w:right w:val="nil"/>
            </w:tcBorders>
            <w:shd w:val="clear" w:color="auto" w:fill="auto"/>
            <w:vAlign w:val="bottom"/>
          </w:tcPr>
          <w:p w14:paraId="79276910" w14:textId="1DB09AC9" w:rsidR="00A26814" w:rsidRPr="003E2D55" w:rsidRDefault="00A26814" w:rsidP="00A26814">
            <w:pPr>
              <w:spacing w:before="40" w:after="2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77F68744" w14:textId="1B2EC745"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47B030AB" w14:textId="6C9F6905" w:rsidR="00A26814" w:rsidRPr="003E2D55" w:rsidRDefault="00A26814" w:rsidP="00A26814">
            <w:pPr>
              <w:spacing w:before="40" w:after="20"/>
              <w:jc w:val="right"/>
              <w:rPr>
                <w:rFonts w:cs="Arial"/>
                <w:sz w:val="18"/>
                <w:szCs w:val="18"/>
              </w:rPr>
            </w:pPr>
            <w:r w:rsidRPr="003E2D55">
              <w:rPr>
                <w:rFonts w:cs="Arial"/>
                <w:sz w:val="18"/>
                <w:szCs w:val="18"/>
              </w:rPr>
              <w:t>434</w:t>
            </w:r>
          </w:p>
        </w:tc>
        <w:tc>
          <w:tcPr>
            <w:tcW w:w="737" w:type="dxa"/>
            <w:tcBorders>
              <w:top w:val="nil"/>
              <w:left w:val="nil"/>
              <w:bottom w:val="nil"/>
              <w:right w:val="nil"/>
            </w:tcBorders>
            <w:shd w:val="clear" w:color="auto" w:fill="auto"/>
            <w:vAlign w:val="bottom"/>
          </w:tcPr>
          <w:p w14:paraId="4D47D86D" w14:textId="3A8CE58B" w:rsidR="00A26814" w:rsidRPr="003E2D55" w:rsidRDefault="00A26814" w:rsidP="00A26814">
            <w:pPr>
              <w:spacing w:before="40" w:after="20"/>
              <w:jc w:val="right"/>
              <w:rPr>
                <w:rFonts w:cs="Arial"/>
                <w:sz w:val="18"/>
                <w:szCs w:val="18"/>
              </w:rPr>
            </w:pPr>
            <w:r w:rsidRPr="003E2D55">
              <w:rPr>
                <w:rFonts w:cs="Arial"/>
                <w:sz w:val="18"/>
                <w:szCs w:val="18"/>
              </w:rPr>
              <w:t>2,611</w:t>
            </w:r>
          </w:p>
        </w:tc>
        <w:tc>
          <w:tcPr>
            <w:tcW w:w="737" w:type="dxa"/>
            <w:tcBorders>
              <w:top w:val="nil"/>
              <w:left w:val="nil"/>
              <w:bottom w:val="nil"/>
              <w:right w:val="nil"/>
            </w:tcBorders>
            <w:shd w:val="clear" w:color="auto" w:fill="auto"/>
            <w:vAlign w:val="bottom"/>
          </w:tcPr>
          <w:p w14:paraId="5846B24D" w14:textId="4A4EE1BC" w:rsidR="00A26814" w:rsidRPr="003E2D55" w:rsidRDefault="00A26814" w:rsidP="00A26814">
            <w:pPr>
              <w:spacing w:before="40" w:after="20"/>
              <w:jc w:val="right"/>
              <w:rPr>
                <w:rFonts w:cs="Arial"/>
                <w:sz w:val="18"/>
                <w:szCs w:val="18"/>
              </w:rPr>
            </w:pPr>
            <w:r w:rsidRPr="003E2D55">
              <w:rPr>
                <w:rFonts w:cs="Arial"/>
                <w:sz w:val="18"/>
                <w:szCs w:val="18"/>
              </w:rPr>
              <w:t>249</w:t>
            </w:r>
          </w:p>
        </w:tc>
        <w:tc>
          <w:tcPr>
            <w:tcW w:w="737" w:type="dxa"/>
            <w:tcBorders>
              <w:top w:val="nil"/>
              <w:left w:val="nil"/>
              <w:bottom w:val="nil"/>
              <w:right w:val="nil"/>
            </w:tcBorders>
            <w:shd w:val="clear" w:color="auto" w:fill="auto"/>
            <w:vAlign w:val="bottom"/>
          </w:tcPr>
          <w:p w14:paraId="2B33129C" w14:textId="4F36B3C6"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615DADF5" w14:textId="009BA1E7"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687280F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67B0DA5" w14:textId="77777777" w:rsidR="00A26814" w:rsidRPr="003E2D55" w:rsidRDefault="00A26814" w:rsidP="00A26814">
            <w:pPr>
              <w:spacing w:before="40" w:after="20"/>
              <w:rPr>
                <w:rFonts w:cs="Arial"/>
                <w:sz w:val="18"/>
                <w:szCs w:val="18"/>
              </w:rPr>
            </w:pPr>
            <w:r w:rsidRPr="003E2D55">
              <w:rPr>
                <w:rFonts w:cs="Arial"/>
                <w:sz w:val="18"/>
                <w:szCs w:val="18"/>
              </w:rPr>
              <w:t>Port Phillip C</w:t>
            </w:r>
          </w:p>
        </w:tc>
        <w:tc>
          <w:tcPr>
            <w:tcW w:w="737" w:type="dxa"/>
            <w:tcBorders>
              <w:top w:val="nil"/>
              <w:left w:val="single" w:sz="18" w:space="0" w:color="5F497A" w:themeColor="accent4" w:themeShade="BF"/>
              <w:bottom w:val="nil"/>
              <w:right w:val="nil"/>
            </w:tcBorders>
            <w:shd w:val="clear" w:color="auto" w:fill="auto"/>
            <w:vAlign w:val="bottom"/>
          </w:tcPr>
          <w:p w14:paraId="39C71D20" w14:textId="6D9ECEC4" w:rsidR="00A26814" w:rsidRPr="003E2D55" w:rsidRDefault="00A26814" w:rsidP="00A26814">
            <w:pPr>
              <w:spacing w:before="40" w:after="20"/>
              <w:jc w:val="right"/>
              <w:rPr>
                <w:rFonts w:cs="Arial"/>
                <w:sz w:val="18"/>
                <w:szCs w:val="18"/>
              </w:rPr>
            </w:pPr>
            <w:r w:rsidRPr="003E2D55">
              <w:rPr>
                <w:rFonts w:cs="Arial"/>
                <w:sz w:val="18"/>
                <w:szCs w:val="18"/>
              </w:rPr>
              <w:t>53</w:t>
            </w:r>
          </w:p>
        </w:tc>
        <w:tc>
          <w:tcPr>
            <w:tcW w:w="737" w:type="dxa"/>
            <w:tcBorders>
              <w:top w:val="nil"/>
              <w:left w:val="nil"/>
              <w:bottom w:val="nil"/>
              <w:right w:val="nil"/>
            </w:tcBorders>
            <w:shd w:val="clear" w:color="auto" w:fill="auto"/>
            <w:vAlign w:val="bottom"/>
          </w:tcPr>
          <w:p w14:paraId="26B53895" w14:textId="006F29B9" w:rsidR="00A26814" w:rsidRPr="003E2D55" w:rsidRDefault="00A26814" w:rsidP="00A26814">
            <w:pPr>
              <w:spacing w:before="40" w:after="20"/>
              <w:jc w:val="right"/>
              <w:rPr>
                <w:rFonts w:cs="Arial"/>
                <w:sz w:val="18"/>
                <w:szCs w:val="18"/>
              </w:rPr>
            </w:pPr>
            <w:r w:rsidRPr="003E2D55">
              <w:rPr>
                <w:rFonts w:cs="Arial"/>
                <w:sz w:val="18"/>
                <w:szCs w:val="18"/>
              </w:rPr>
              <w:t>103</w:t>
            </w:r>
          </w:p>
        </w:tc>
        <w:tc>
          <w:tcPr>
            <w:tcW w:w="737" w:type="dxa"/>
            <w:tcBorders>
              <w:top w:val="nil"/>
              <w:left w:val="nil"/>
              <w:bottom w:val="nil"/>
              <w:right w:val="nil"/>
            </w:tcBorders>
            <w:shd w:val="clear" w:color="auto" w:fill="auto"/>
            <w:vAlign w:val="bottom"/>
          </w:tcPr>
          <w:p w14:paraId="11486B72" w14:textId="43A0483E" w:rsidR="00A26814" w:rsidRPr="003E2D55" w:rsidRDefault="00A26814" w:rsidP="00A26814">
            <w:pPr>
              <w:spacing w:before="40" w:after="20"/>
              <w:jc w:val="right"/>
              <w:rPr>
                <w:rFonts w:cs="Arial"/>
                <w:sz w:val="18"/>
                <w:szCs w:val="18"/>
              </w:rPr>
            </w:pPr>
            <w:r w:rsidRPr="003E2D55">
              <w:rPr>
                <w:rFonts w:cs="Arial"/>
                <w:sz w:val="18"/>
                <w:szCs w:val="18"/>
              </w:rPr>
              <w:t>23</w:t>
            </w:r>
          </w:p>
        </w:tc>
        <w:tc>
          <w:tcPr>
            <w:tcW w:w="737" w:type="dxa"/>
            <w:tcBorders>
              <w:top w:val="nil"/>
              <w:left w:val="nil"/>
              <w:bottom w:val="nil"/>
              <w:right w:val="nil"/>
            </w:tcBorders>
            <w:shd w:val="clear" w:color="auto" w:fill="auto"/>
            <w:vAlign w:val="bottom"/>
          </w:tcPr>
          <w:p w14:paraId="224EBA8D" w14:textId="7700488A" w:rsidR="00A26814" w:rsidRPr="003E2D55" w:rsidRDefault="00A26814" w:rsidP="00A26814">
            <w:pPr>
              <w:spacing w:before="40" w:after="20"/>
              <w:jc w:val="right"/>
              <w:rPr>
                <w:rFonts w:cs="Arial"/>
                <w:sz w:val="18"/>
                <w:szCs w:val="18"/>
              </w:rPr>
            </w:pPr>
            <w:r w:rsidRPr="003E2D55">
              <w:rPr>
                <w:rFonts w:cs="Arial"/>
                <w:sz w:val="18"/>
                <w:szCs w:val="18"/>
              </w:rPr>
              <w:t>36</w:t>
            </w:r>
          </w:p>
        </w:tc>
        <w:tc>
          <w:tcPr>
            <w:tcW w:w="170" w:type="dxa"/>
            <w:tcBorders>
              <w:top w:val="nil"/>
              <w:left w:val="nil"/>
              <w:bottom w:val="nil"/>
              <w:right w:val="nil"/>
            </w:tcBorders>
            <w:shd w:val="clear" w:color="auto" w:fill="auto"/>
            <w:vAlign w:val="bottom"/>
          </w:tcPr>
          <w:p w14:paraId="4157674C" w14:textId="60EBCF84"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5122B1AA" w14:textId="5184DEAF"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3B06A58B" w14:textId="715FB058"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090996B9" w14:textId="7EFD18D3"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4FE7E6C9" w14:textId="4EAE5668"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0E8D93F9" w14:textId="1135A216"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43287CC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BCA3E7A" w14:textId="77777777" w:rsidR="00A26814" w:rsidRPr="003E2D55" w:rsidRDefault="00A26814" w:rsidP="00A26814">
            <w:pPr>
              <w:spacing w:before="40" w:after="20"/>
              <w:rPr>
                <w:rFonts w:cs="Arial"/>
                <w:sz w:val="18"/>
                <w:szCs w:val="18"/>
              </w:rPr>
            </w:pPr>
            <w:r w:rsidRPr="003E2D55">
              <w:rPr>
                <w:rFonts w:cs="Arial"/>
                <w:sz w:val="18"/>
                <w:szCs w:val="18"/>
              </w:rPr>
              <w:t>Pyrenees S</w:t>
            </w:r>
          </w:p>
        </w:tc>
        <w:tc>
          <w:tcPr>
            <w:tcW w:w="737" w:type="dxa"/>
            <w:tcBorders>
              <w:top w:val="nil"/>
              <w:left w:val="single" w:sz="18" w:space="0" w:color="5F497A" w:themeColor="accent4" w:themeShade="BF"/>
              <w:bottom w:val="nil"/>
              <w:right w:val="nil"/>
            </w:tcBorders>
            <w:shd w:val="clear" w:color="auto" w:fill="auto"/>
            <w:vAlign w:val="bottom"/>
          </w:tcPr>
          <w:p w14:paraId="68CB9161" w14:textId="5197D259" w:rsidR="00A26814" w:rsidRPr="003E2D55" w:rsidRDefault="00A26814" w:rsidP="00A26814">
            <w:pPr>
              <w:spacing w:before="40" w:after="20"/>
              <w:jc w:val="right"/>
              <w:rPr>
                <w:rFonts w:cs="Arial"/>
                <w:sz w:val="18"/>
                <w:szCs w:val="18"/>
              </w:rPr>
            </w:pPr>
            <w:r w:rsidRPr="003E2D55">
              <w:rPr>
                <w:rFonts w:cs="Arial"/>
                <w:sz w:val="18"/>
                <w:szCs w:val="18"/>
              </w:rPr>
              <w:t>109</w:t>
            </w:r>
          </w:p>
        </w:tc>
        <w:tc>
          <w:tcPr>
            <w:tcW w:w="737" w:type="dxa"/>
            <w:tcBorders>
              <w:top w:val="nil"/>
              <w:left w:val="nil"/>
              <w:bottom w:val="nil"/>
              <w:right w:val="nil"/>
            </w:tcBorders>
            <w:shd w:val="clear" w:color="auto" w:fill="auto"/>
            <w:vAlign w:val="bottom"/>
          </w:tcPr>
          <w:p w14:paraId="649525E1" w14:textId="486D8E8D" w:rsidR="00A26814" w:rsidRPr="003E2D55" w:rsidRDefault="00A26814" w:rsidP="00A26814">
            <w:pPr>
              <w:spacing w:before="40" w:after="20"/>
              <w:jc w:val="right"/>
              <w:rPr>
                <w:rFonts w:cs="Arial"/>
                <w:sz w:val="18"/>
                <w:szCs w:val="18"/>
              </w:rPr>
            </w:pPr>
            <w:r w:rsidRPr="003E2D55">
              <w:rPr>
                <w:rFonts w:cs="Arial"/>
                <w:sz w:val="18"/>
                <w:szCs w:val="18"/>
              </w:rPr>
              <w:t>1</w:t>
            </w:r>
          </w:p>
        </w:tc>
        <w:tc>
          <w:tcPr>
            <w:tcW w:w="737" w:type="dxa"/>
            <w:tcBorders>
              <w:top w:val="nil"/>
              <w:left w:val="nil"/>
              <w:bottom w:val="nil"/>
              <w:right w:val="nil"/>
            </w:tcBorders>
            <w:shd w:val="clear" w:color="auto" w:fill="auto"/>
            <w:vAlign w:val="bottom"/>
          </w:tcPr>
          <w:p w14:paraId="48DB1B4E" w14:textId="2E02987B"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18B34EC3" w14:textId="34A077AF" w:rsidR="00A26814" w:rsidRPr="003E2D55" w:rsidRDefault="00A26814" w:rsidP="00A26814">
            <w:pPr>
              <w:spacing w:before="40" w:after="2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31E156FF" w14:textId="0B1C359E"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2CD34B68" w14:textId="544194FC" w:rsidR="00A26814" w:rsidRPr="003E2D55" w:rsidRDefault="00A26814" w:rsidP="00A26814">
            <w:pPr>
              <w:spacing w:before="40" w:after="20"/>
              <w:jc w:val="right"/>
              <w:rPr>
                <w:rFonts w:cs="Arial"/>
                <w:sz w:val="18"/>
                <w:szCs w:val="18"/>
              </w:rPr>
            </w:pPr>
            <w:r w:rsidRPr="003E2D55">
              <w:rPr>
                <w:rFonts w:cs="Arial"/>
                <w:sz w:val="18"/>
                <w:szCs w:val="18"/>
              </w:rPr>
              <w:t>61</w:t>
            </w:r>
          </w:p>
        </w:tc>
        <w:tc>
          <w:tcPr>
            <w:tcW w:w="737" w:type="dxa"/>
            <w:tcBorders>
              <w:top w:val="nil"/>
              <w:left w:val="nil"/>
              <w:bottom w:val="nil"/>
              <w:right w:val="nil"/>
            </w:tcBorders>
            <w:shd w:val="clear" w:color="auto" w:fill="auto"/>
            <w:vAlign w:val="bottom"/>
          </w:tcPr>
          <w:p w14:paraId="4100954B" w14:textId="72FD764A" w:rsidR="00A26814" w:rsidRPr="003E2D55" w:rsidRDefault="00A26814" w:rsidP="00A26814">
            <w:pPr>
              <w:spacing w:before="40" w:after="20"/>
              <w:jc w:val="right"/>
              <w:rPr>
                <w:rFonts w:cs="Arial"/>
                <w:sz w:val="18"/>
                <w:szCs w:val="18"/>
              </w:rPr>
            </w:pPr>
            <w:r w:rsidRPr="003E2D55">
              <w:rPr>
                <w:rFonts w:cs="Arial"/>
                <w:sz w:val="18"/>
                <w:szCs w:val="18"/>
              </w:rPr>
              <w:t>1,485</w:t>
            </w:r>
          </w:p>
        </w:tc>
        <w:tc>
          <w:tcPr>
            <w:tcW w:w="737" w:type="dxa"/>
            <w:tcBorders>
              <w:top w:val="nil"/>
              <w:left w:val="nil"/>
              <w:bottom w:val="nil"/>
              <w:right w:val="nil"/>
            </w:tcBorders>
            <w:shd w:val="clear" w:color="auto" w:fill="auto"/>
            <w:vAlign w:val="bottom"/>
          </w:tcPr>
          <w:p w14:paraId="4E6C4725" w14:textId="00AFE08F" w:rsidR="00A26814" w:rsidRPr="003E2D55" w:rsidRDefault="00A26814" w:rsidP="00A26814">
            <w:pPr>
              <w:spacing w:before="40" w:after="20"/>
              <w:jc w:val="right"/>
              <w:rPr>
                <w:rFonts w:cs="Arial"/>
                <w:sz w:val="18"/>
                <w:szCs w:val="18"/>
              </w:rPr>
            </w:pPr>
            <w:r w:rsidRPr="003E2D55">
              <w:rPr>
                <w:rFonts w:cs="Arial"/>
                <w:sz w:val="18"/>
                <w:szCs w:val="18"/>
              </w:rPr>
              <w:t>361</w:t>
            </w:r>
          </w:p>
        </w:tc>
        <w:tc>
          <w:tcPr>
            <w:tcW w:w="737" w:type="dxa"/>
            <w:tcBorders>
              <w:top w:val="nil"/>
              <w:left w:val="nil"/>
              <w:bottom w:val="nil"/>
              <w:right w:val="nil"/>
            </w:tcBorders>
            <w:shd w:val="clear" w:color="auto" w:fill="auto"/>
            <w:vAlign w:val="bottom"/>
          </w:tcPr>
          <w:p w14:paraId="2AF23BAC" w14:textId="7646822C" w:rsidR="00A26814" w:rsidRPr="003E2D55" w:rsidRDefault="00A26814" w:rsidP="00A26814">
            <w:pPr>
              <w:spacing w:before="40" w:after="20"/>
              <w:jc w:val="right"/>
              <w:rPr>
                <w:rFonts w:cs="Arial"/>
                <w:sz w:val="18"/>
                <w:szCs w:val="18"/>
              </w:rPr>
            </w:pPr>
            <w:r w:rsidRPr="003E2D55">
              <w:rPr>
                <w:rFonts w:cs="Arial"/>
                <w:sz w:val="18"/>
                <w:szCs w:val="18"/>
              </w:rPr>
              <w:t>19</w:t>
            </w:r>
          </w:p>
        </w:tc>
        <w:tc>
          <w:tcPr>
            <w:tcW w:w="737" w:type="dxa"/>
            <w:tcBorders>
              <w:top w:val="nil"/>
              <w:left w:val="nil"/>
              <w:bottom w:val="nil"/>
              <w:right w:val="nil"/>
            </w:tcBorders>
            <w:shd w:val="clear" w:color="auto" w:fill="auto"/>
            <w:vAlign w:val="bottom"/>
          </w:tcPr>
          <w:p w14:paraId="29E7F82C" w14:textId="09FCC2FB"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736E0E1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3480BD5" w14:textId="77777777" w:rsidR="00A26814" w:rsidRPr="003E2D55" w:rsidRDefault="00A26814" w:rsidP="00A26814">
            <w:pPr>
              <w:spacing w:before="40" w:after="20"/>
              <w:rPr>
                <w:rFonts w:cs="Arial"/>
                <w:sz w:val="18"/>
                <w:szCs w:val="18"/>
              </w:rPr>
            </w:pPr>
            <w:r w:rsidRPr="003E2D55">
              <w:rPr>
                <w:rFonts w:cs="Arial"/>
                <w:sz w:val="18"/>
                <w:szCs w:val="18"/>
              </w:rPr>
              <w:t>Queenscliffe B</w:t>
            </w:r>
          </w:p>
        </w:tc>
        <w:tc>
          <w:tcPr>
            <w:tcW w:w="737" w:type="dxa"/>
            <w:tcBorders>
              <w:top w:val="nil"/>
              <w:left w:val="single" w:sz="18" w:space="0" w:color="5F497A" w:themeColor="accent4" w:themeShade="BF"/>
              <w:bottom w:val="nil"/>
              <w:right w:val="nil"/>
            </w:tcBorders>
            <w:shd w:val="clear" w:color="auto" w:fill="auto"/>
            <w:vAlign w:val="bottom"/>
          </w:tcPr>
          <w:p w14:paraId="7DFA9190" w14:textId="40D0D2E7" w:rsidR="00A26814" w:rsidRPr="003E2D55" w:rsidRDefault="00A26814" w:rsidP="00A26814">
            <w:pPr>
              <w:spacing w:before="40" w:after="20"/>
              <w:jc w:val="right"/>
              <w:rPr>
                <w:rFonts w:cs="Arial"/>
                <w:sz w:val="18"/>
                <w:szCs w:val="18"/>
              </w:rPr>
            </w:pPr>
            <w:r w:rsidRPr="003E2D55">
              <w:rPr>
                <w:rFonts w:cs="Arial"/>
                <w:sz w:val="18"/>
                <w:szCs w:val="18"/>
              </w:rPr>
              <w:t>28</w:t>
            </w:r>
          </w:p>
        </w:tc>
        <w:tc>
          <w:tcPr>
            <w:tcW w:w="737" w:type="dxa"/>
            <w:tcBorders>
              <w:top w:val="nil"/>
              <w:left w:val="nil"/>
              <w:bottom w:val="nil"/>
              <w:right w:val="nil"/>
            </w:tcBorders>
            <w:shd w:val="clear" w:color="auto" w:fill="auto"/>
            <w:vAlign w:val="bottom"/>
          </w:tcPr>
          <w:p w14:paraId="10AF4172" w14:textId="2637B8D8" w:rsidR="00A26814" w:rsidRPr="003E2D55" w:rsidRDefault="00A26814" w:rsidP="00A26814">
            <w:pPr>
              <w:spacing w:before="40" w:after="20"/>
              <w:jc w:val="right"/>
              <w:rPr>
                <w:rFonts w:cs="Arial"/>
                <w:sz w:val="18"/>
                <w:szCs w:val="18"/>
              </w:rPr>
            </w:pPr>
            <w:r w:rsidRPr="003E2D55">
              <w:rPr>
                <w:rFonts w:cs="Arial"/>
                <w:sz w:val="18"/>
                <w:szCs w:val="18"/>
              </w:rPr>
              <w:t>9</w:t>
            </w:r>
          </w:p>
        </w:tc>
        <w:tc>
          <w:tcPr>
            <w:tcW w:w="737" w:type="dxa"/>
            <w:tcBorders>
              <w:top w:val="nil"/>
              <w:left w:val="nil"/>
              <w:bottom w:val="nil"/>
              <w:right w:val="nil"/>
            </w:tcBorders>
            <w:shd w:val="clear" w:color="auto" w:fill="auto"/>
            <w:vAlign w:val="bottom"/>
          </w:tcPr>
          <w:p w14:paraId="2E6E6DD5" w14:textId="42BAF08A" w:rsidR="00A26814" w:rsidRPr="003E2D55" w:rsidRDefault="00A26814" w:rsidP="00A26814">
            <w:pPr>
              <w:spacing w:before="40" w:after="20"/>
              <w:jc w:val="right"/>
              <w:rPr>
                <w:rFonts w:cs="Arial"/>
                <w:sz w:val="18"/>
                <w:szCs w:val="18"/>
              </w:rPr>
            </w:pPr>
            <w:r w:rsidRPr="003E2D55">
              <w:rPr>
                <w:rFonts w:cs="Arial"/>
                <w:sz w:val="18"/>
                <w:szCs w:val="18"/>
              </w:rPr>
              <w:t>6</w:t>
            </w:r>
          </w:p>
        </w:tc>
        <w:tc>
          <w:tcPr>
            <w:tcW w:w="737" w:type="dxa"/>
            <w:tcBorders>
              <w:top w:val="nil"/>
              <w:left w:val="nil"/>
              <w:bottom w:val="nil"/>
              <w:right w:val="nil"/>
            </w:tcBorders>
            <w:shd w:val="clear" w:color="auto" w:fill="auto"/>
            <w:vAlign w:val="bottom"/>
          </w:tcPr>
          <w:p w14:paraId="5D785FCA" w14:textId="18AAAF35" w:rsidR="00A26814" w:rsidRPr="003E2D55" w:rsidRDefault="00A26814" w:rsidP="00A26814">
            <w:pPr>
              <w:spacing w:before="40" w:after="2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6DFFB94C" w14:textId="67104C42"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06748E8D" w14:textId="774A6F2B"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408D671A" w14:textId="7D97B3BC"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0BB92CE9" w14:textId="3FD741E3"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59FC9FAA" w14:textId="40076E6B"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4B861F5D" w14:textId="7823C740"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6658268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020A535" w14:textId="77777777" w:rsidR="00A26814" w:rsidRPr="003E2D55" w:rsidRDefault="00A26814" w:rsidP="00A26814">
            <w:pPr>
              <w:spacing w:before="40" w:after="20"/>
              <w:rPr>
                <w:rFonts w:cs="Arial"/>
                <w:sz w:val="18"/>
                <w:szCs w:val="18"/>
              </w:rPr>
            </w:pPr>
            <w:r w:rsidRPr="003E2D55">
              <w:rPr>
                <w:rFonts w:cs="Arial"/>
                <w:sz w:val="18"/>
                <w:szCs w:val="18"/>
              </w:rPr>
              <w:t>South Gippsland S</w:t>
            </w:r>
          </w:p>
        </w:tc>
        <w:tc>
          <w:tcPr>
            <w:tcW w:w="737" w:type="dxa"/>
            <w:tcBorders>
              <w:top w:val="nil"/>
              <w:left w:val="single" w:sz="18" w:space="0" w:color="5F497A" w:themeColor="accent4" w:themeShade="BF"/>
              <w:bottom w:val="nil"/>
              <w:right w:val="nil"/>
            </w:tcBorders>
            <w:shd w:val="clear" w:color="auto" w:fill="auto"/>
            <w:vAlign w:val="bottom"/>
          </w:tcPr>
          <w:p w14:paraId="5F6EDC76" w14:textId="0F9FCDED" w:rsidR="00A26814" w:rsidRPr="003E2D55" w:rsidRDefault="00A26814" w:rsidP="00A26814">
            <w:pPr>
              <w:spacing w:before="40" w:after="20"/>
              <w:jc w:val="right"/>
              <w:rPr>
                <w:rFonts w:cs="Arial"/>
                <w:sz w:val="18"/>
                <w:szCs w:val="18"/>
              </w:rPr>
            </w:pPr>
            <w:r w:rsidRPr="003E2D55">
              <w:rPr>
                <w:rFonts w:cs="Arial"/>
                <w:sz w:val="18"/>
                <w:szCs w:val="18"/>
              </w:rPr>
              <w:t>229</w:t>
            </w:r>
          </w:p>
        </w:tc>
        <w:tc>
          <w:tcPr>
            <w:tcW w:w="737" w:type="dxa"/>
            <w:tcBorders>
              <w:top w:val="nil"/>
              <w:left w:val="nil"/>
              <w:bottom w:val="nil"/>
              <w:right w:val="nil"/>
            </w:tcBorders>
            <w:shd w:val="clear" w:color="auto" w:fill="auto"/>
            <w:vAlign w:val="bottom"/>
          </w:tcPr>
          <w:p w14:paraId="3B0C7E86" w14:textId="00ABB154" w:rsidR="00A26814" w:rsidRPr="003E2D55" w:rsidRDefault="00A26814" w:rsidP="00A26814">
            <w:pPr>
              <w:spacing w:before="40" w:after="20"/>
              <w:jc w:val="right"/>
              <w:rPr>
                <w:rFonts w:cs="Arial"/>
                <w:sz w:val="18"/>
                <w:szCs w:val="18"/>
              </w:rPr>
            </w:pPr>
            <w:r w:rsidRPr="003E2D55">
              <w:rPr>
                <w:rFonts w:cs="Arial"/>
                <w:sz w:val="18"/>
                <w:szCs w:val="18"/>
              </w:rPr>
              <w:t>28</w:t>
            </w:r>
          </w:p>
        </w:tc>
        <w:tc>
          <w:tcPr>
            <w:tcW w:w="737" w:type="dxa"/>
            <w:tcBorders>
              <w:top w:val="nil"/>
              <w:left w:val="nil"/>
              <w:bottom w:val="nil"/>
              <w:right w:val="nil"/>
            </w:tcBorders>
            <w:shd w:val="clear" w:color="auto" w:fill="auto"/>
            <w:vAlign w:val="bottom"/>
          </w:tcPr>
          <w:p w14:paraId="695EA47B" w14:textId="55BE87C8" w:rsidR="00A26814" w:rsidRPr="003E2D55" w:rsidRDefault="00A26814" w:rsidP="00A26814">
            <w:pPr>
              <w:spacing w:before="40" w:after="20"/>
              <w:jc w:val="right"/>
              <w:rPr>
                <w:rFonts w:cs="Arial"/>
                <w:sz w:val="18"/>
                <w:szCs w:val="18"/>
              </w:rPr>
            </w:pPr>
            <w:r w:rsidRPr="003E2D55">
              <w:rPr>
                <w:rFonts w:cs="Arial"/>
                <w:sz w:val="18"/>
                <w:szCs w:val="18"/>
              </w:rPr>
              <w:t>20</w:t>
            </w:r>
          </w:p>
        </w:tc>
        <w:tc>
          <w:tcPr>
            <w:tcW w:w="737" w:type="dxa"/>
            <w:tcBorders>
              <w:top w:val="nil"/>
              <w:left w:val="nil"/>
              <w:bottom w:val="nil"/>
              <w:right w:val="nil"/>
            </w:tcBorders>
            <w:shd w:val="clear" w:color="auto" w:fill="auto"/>
            <w:vAlign w:val="bottom"/>
          </w:tcPr>
          <w:p w14:paraId="6ED8FFA9" w14:textId="096BDA34" w:rsidR="00A26814" w:rsidRPr="003E2D55" w:rsidRDefault="00A26814" w:rsidP="00A26814">
            <w:pPr>
              <w:spacing w:before="40" w:after="2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15D4F5B3" w14:textId="099EB3F7"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25E29EE2" w14:textId="286AD19D"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01F60931" w14:textId="24F8476F" w:rsidR="00A26814" w:rsidRPr="003E2D55" w:rsidRDefault="00A26814" w:rsidP="00A26814">
            <w:pPr>
              <w:spacing w:before="40" w:after="20"/>
              <w:jc w:val="right"/>
              <w:rPr>
                <w:rFonts w:cs="Arial"/>
                <w:sz w:val="18"/>
                <w:szCs w:val="18"/>
              </w:rPr>
            </w:pPr>
            <w:r w:rsidRPr="003E2D55">
              <w:rPr>
                <w:rFonts w:cs="Arial"/>
                <w:sz w:val="18"/>
                <w:szCs w:val="18"/>
              </w:rPr>
              <w:t>1,160</w:t>
            </w:r>
          </w:p>
        </w:tc>
        <w:tc>
          <w:tcPr>
            <w:tcW w:w="737" w:type="dxa"/>
            <w:tcBorders>
              <w:top w:val="nil"/>
              <w:left w:val="nil"/>
              <w:bottom w:val="nil"/>
              <w:right w:val="nil"/>
            </w:tcBorders>
            <w:shd w:val="clear" w:color="auto" w:fill="auto"/>
            <w:vAlign w:val="bottom"/>
          </w:tcPr>
          <w:p w14:paraId="56CB3C0B" w14:textId="63D9272B" w:rsidR="00A26814" w:rsidRPr="003E2D55" w:rsidRDefault="00A26814" w:rsidP="00A26814">
            <w:pPr>
              <w:spacing w:before="40" w:after="20"/>
              <w:jc w:val="right"/>
              <w:rPr>
                <w:rFonts w:cs="Arial"/>
                <w:sz w:val="18"/>
                <w:szCs w:val="18"/>
              </w:rPr>
            </w:pPr>
            <w:r w:rsidRPr="003E2D55">
              <w:rPr>
                <w:rFonts w:cs="Arial"/>
                <w:sz w:val="18"/>
                <w:szCs w:val="18"/>
              </w:rPr>
              <w:t>585</w:t>
            </w:r>
          </w:p>
        </w:tc>
        <w:tc>
          <w:tcPr>
            <w:tcW w:w="737" w:type="dxa"/>
            <w:tcBorders>
              <w:top w:val="nil"/>
              <w:left w:val="nil"/>
              <w:bottom w:val="nil"/>
              <w:right w:val="nil"/>
            </w:tcBorders>
            <w:shd w:val="clear" w:color="auto" w:fill="auto"/>
            <w:vAlign w:val="bottom"/>
          </w:tcPr>
          <w:p w14:paraId="4DCB6862" w14:textId="1CC07F27" w:rsidR="00A26814" w:rsidRPr="003E2D55" w:rsidRDefault="00A26814" w:rsidP="00A26814">
            <w:pPr>
              <w:spacing w:before="40" w:after="20"/>
              <w:jc w:val="right"/>
              <w:rPr>
                <w:rFonts w:cs="Arial"/>
                <w:sz w:val="18"/>
                <w:szCs w:val="18"/>
              </w:rPr>
            </w:pPr>
            <w:r w:rsidRPr="003E2D55">
              <w:rPr>
                <w:rFonts w:cs="Arial"/>
                <w:sz w:val="18"/>
                <w:szCs w:val="18"/>
              </w:rPr>
              <w:t>44</w:t>
            </w:r>
          </w:p>
        </w:tc>
        <w:tc>
          <w:tcPr>
            <w:tcW w:w="737" w:type="dxa"/>
            <w:tcBorders>
              <w:top w:val="nil"/>
              <w:left w:val="nil"/>
              <w:bottom w:val="nil"/>
              <w:right w:val="nil"/>
            </w:tcBorders>
            <w:shd w:val="clear" w:color="auto" w:fill="auto"/>
            <w:vAlign w:val="bottom"/>
          </w:tcPr>
          <w:p w14:paraId="0F706826" w14:textId="1FDACF8A" w:rsidR="00A26814" w:rsidRPr="003E2D55" w:rsidRDefault="00A26814" w:rsidP="00A26814">
            <w:pPr>
              <w:spacing w:before="40" w:after="20"/>
              <w:jc w:val="right"/>
              <w:rPr>
                <w:rFonts w:cs="Arial"/>
                <w:sz w:val="18"/>
                <w:szCs w:val="18"/>
              </w:rPr>
            </w:pPr>
            <w:r w:rsidRPr="003E2D55">
              <w:rPr>
                <w:rFonts w:cs="Arial"/>
                <w:sz w:val="18"/>
                <w:szCs w:val="18"/>
              </w:rPr>
              <w:t>34</w:t>
            </w:r>
          </w:p>
        </w:tc>
      </w:tr>
      <w:tr w:rsidR="00A26814" w:rsidRPr="003E2D55" w14:paraId="44A35B8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ECB4077" w14:textId="77777777" w:rsidR="00A26814" w:rsidRPr="003E2D55" w:rsidRDefault="00A26814" w:rsidP="00A26814">
            <w:pPr>
              <w:spacing w:before="40" w:after="20"/>
              <w:rPr>
                <w:rFonts w:cs="Arial"/>
                <w:sz w:val="18"/>
                <w:szCs w:val="18"/>
              </w:rPr>
            </w:pPr>
            <w:r w:rsidRPr="003E2D55">
              <w:rPr>
                <w:rFonts w:cs="Arial"/>
                <w:sz w:val="18"/>
                <w:szCs w:val="18"/>
              </w:rPr>
              <w:t>Southern Grampians</w:t>
            </w:r>
          </w:p>
        </w:tc>
        <w:tc>
          <w:tcPr>
            <w:tcW w:w="737" w:type="dxa"/>
            <w:tcBorders>
              <w:top w:val="nil"/>
              <w:left w:val="single" w:sz="18" w:space="0" w:color="5F497A" w:themeColor="accent4" w:themeShade="BF"/>
              <w:bottom w:val="nil"/>
              <w:right w:val="nil"/>
            </w:tcBorders>
            <w:shd w:val="clear" w:color="auto" w:fill="auto"/>
            <w:vAlign w:val="bottom"/>
          </w:tcPr>
          <w:p w14:paraId="3675083F" w14:textId="2858A8D7" w:rsidR="00A26814" w:rsidRPr="003E2D55" w:rsidRDefault="00A26814" w:rsidP="00A26814">
            <w:pPr>
              <w:spacing w:before="40" w:after="20"/>
              <w:jc w:val="right"/>
              <w:rPr>
                <w:rFonts w:cs="Arial"/>
                <w:sz w:val="18"/>
                <w:szCs w:val="18"/>
              </w:rPr>
            </w:pPr>
            <w:r w:rsidRPr="003E2D55">
              <w:rPr>
                <w:rFonts w:cs="Arial"/>
                <w:sz w:val="18"/>
                <w:szCs w:val="18"/>
              </w:rPr>
              <w:t>149</w:t>
            </w:r>
          </w:p>
        </w:tc>
        <w:tc>
          <w:tcPr>
            <w:tcW w:w="737" w:type="dxa"/>
            <w:tcBorders>
              <w:top w:val="nil"/>
              <w:left w:val="nil"/>
              <w:bottom w:val="nil"/>
              <w:right w:val="nil"/>
            </w:tcBorders>
            <w:shd w:val="clear" w:color="auto" w:fill="auto"/>
            <w:vAlign w:val="bottom"/>
          </w:tcPr>
          <w:p w14:paraId="42CA2BC2" w14:textId="6C52136C" w:rsidR="00A26814" w:rsidRPr="003E2D55" w:rsidRDefault="00A26814" w:rsidP="00A26814">
            <w:pPr>
              <w:spacing w:before="40" w:after="20"/>
              <w:jc w:val="right"/>
              <w:rPr>
                <w:rFonts w:cs="Arial"/>
                <w:sz w:val="18"/>
                <w:szCs w:val="18"/>
              </w:rPr>
            </w:pPr>
            <w:r w:rsidRPr="003E2D55">
              <w:rPr>
                <w:rFonts w:cs="Arial"/>
                <w:sz w:val="18"/>
                <w:szCs w:val="18"/>
              </w:rPr>
              <w:t>23</w:t>
            </w:r>
          </w:p>
        </w:tc>
        <w:tc>
          <w:tcPr>
            <w:tcW w:w="737" w:type="dxa"/>
            <w:tcBorders>
              <w:top w:val="nil"/>
              <w:left w:val="nil"/>
              <w:bottom w:val="nil"/>
              <w:right w:val="nil"/>
            </w:tcBorders>
            <w:shd w:val="clear" w:color="auto" w:fill="auto"/>
            <w:vAlign w:val="bottom"/>
          </w:tcPr>
          <w:p w14:paraId="60FD8745" w14:textId="23C015D7" w:rsidR="00A26814" w:rsidRPr="003E2D55" w:rsidRDefault="00A26814" w:rsidP="00A26814">
            <w:pPr>
              <w:spacing w:before="40" w:after="20"/>
              <w:jc w:val="right"/>
              <w:rPr>
                <w:rFonts w:cs="Arial"/>
                <w:sz w:val="18"/>
                <w:szCs w:val="18"/>
              </w:rPr>
            </w:pPr>
            <w:r w:rsidRPr="003E2D55">
              <w:rPr>
                <w:rFonts w:cs="Arial"/>
                <w:sz w:val="18"/>
                <w:szCs w:val="18"/>
              </w:rPr>
              <w:t>21</w:t>
            </w:r>
          </w:p>
        </w:tc>
        <w:tc>
          <w:tcPr>
            <w:tcW w:w="737" w:type="dxa"/>
            <w:tcBorders>
              <w:top w:val="nil"/>
              <w:left w:val="nil"/>
              <w:bottom w:val="nil"/>
              <w:right w:val="nil"/>
            </w:tcBorders>
            <w:shd w:val="clear" w:color="auto" w:fill="auto"/>
            <w:vAlign w:val="bottom"/>
          </w:tcPr>
          <w:p w14:paraId="793B3B14" w14:textId="1B129979" w:rsidR="00A26814" w:rsidRPr="003E2D55" w:rsidRDefault="00A26814" w:rsidP="00A26814">
            <w:pPr>
              <w:spacing w:before="40" w:after="20"/>
              <w:jc w:val="right"/>
              <w:rPr>
                <w:rFonts w:cs="Arial"/>
                <w:sz w:val="18"/>
                <w:szCs w:val="18"/>
              </w:rPr>
            </w:pPr>
            <w:r w:rsidRPr="003E2D55">
              <w:rPr>
                <w:rFonts w:cs="Arial"/>
                <w:sz w:val="18"/>
                <w:szCs w:val="18"/>
              </w:rPr>
              <w:t>1</w:t>
            </w:r>
          </w:p>
        </w:tc>
        <w:tc>
          <w:tcPr>
            <w:tcW w:w="170" w:type="dxa"/>
            <w:tcBorders>
              <w:top w:val="nil"/>
              <w:left w:val="nil"/>
              <w:bottom w:val="nil"/>
              <w:right w:val="nil"/>
            </w:tcBorders>
            <w:shd w:val="clear" w:color="auto" w:fill="auto"/>
            <w:vAlign w:val="bottom"/>
          </w:tcPr>
          <w:p w14:paraId="70566660" w14:textId="33966B8F"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3DA2514F" w14:textId="2CA9140F" w:rsidR="00A26814" w:rsidRPr="003E2D55" w:rsidRDefault="00A26814" w:rsidP="00A26814">
            <w:pPr>
              <w:spacing w:before="40" w:after="20"/>
              <w:jc w:val="right"/>
              <w:rPr>
                <w:rFonts w:cs="Arial"/>
                <w:sz w:val="18"/>
                <w:szCs w:val="18"/>
              </w:rPr>
            </w:pPr>
            <w:r w:rsidRPr="003E2D55">
              <w:rPr>
                <w:rFonts w:cs="Arial"/>
                <w:sz w:val="18"/>
                <w:szCs w:val="18"/>
              </w:rPr>
              <w:t>233</w:t>
            </w:r>
          </w:p>
        </w:tc>
        <w:tc>
          <w:tcPr>
            <w:tcW w:w="737" w:type="dxa"/>
            <w:tcBorders>
              <w:top w:val="nil"/>
              <w:left w:val="nil"/>
              <w:bottom w:val="nil"/>
              <w:right w:val="nil"/>
            </w:tcBorders>
            <w:shd w:val="clear" w:color="auto" w:fill="auto"/>
            <w:vAlign w:val="bottom"/>
          </w:tcPr>
          <w:p w14:paraId="171614D9" w14:textId="6D734562" w:rsidR="00A26814" w:rsidRPr="003E2D55" w:rsidRDefault="00A26814" w:rsidP="00A26814">
            <w:pPr>
              <w:spacing w:before="40" w:after="20"/>
              <w:jc w:val="right"/>
              <w:rPr>
                <w:rFonts w:cs="Arial"/>
                <w:sz w:val="18"/>
                <w:szCs w:val="18"/>
              </w:rPr>
            </w:pPr>
            <w:r w:rsidRPr="003E2D55">
              <w:rPr>
                <w:rFonts w:cs="Arial"/>
                <w:sz w:val="18"/>
                <w:szCs w:val="18"/>
              </w:rPr>
              <w:t>1,979</w:t>
            </w:r>
          </w:p>
        </w:tc>
        <w:tc>
          <w:tcPr>
            <w:tcW w:w="737" w:type="dxa"/>
            <w:tcBorders>
              <w:top w:val="nil"/>
              <w:left w:val="nil"/>
              <w:bottom w:val="nil"/>
              <w:right w:val="nil"/>
            </w:tcBorders>
            <w:shd w:val="clear" w:color="auto" w:fill="auto"/>
            <w:vAlign w:val="bottom"/>
          </w:tcPr>
          <w:p w14:paraId="452A97CE" w14:textId="7A39BACE" w:rsidR="00A26814" w:rsidRPr="003E2D55" w:rsidRDefault="00A26814" w:rsidP="00A26814">
            <w:pPr>
              <w:spacing w:before="40" w:after="20"/>
              <w:jc w:val="right"/>
              <w:rPr>
                <w:rFonts w:cs="Arial"/>
                <w:sz w:val="18"/>
                <w:szCs w:val="18"/>
              </w:rPr>
            </w:pPr>
            <w:r w:rsidRPr="003E2D55">
              <w:rPr>
                <w:rFonts w:cs="Arial"/>
                <w:sz w:val="18"/>
                <w:szCs w:val="18"/>
              </w:rPr>
              <w:t>312</w:t>
            </w:r>
          </w:p>
        </w:tc>
        <w:tc>
          <w:tcPr>
            <w:tcW w:w="737" w:type="dxa"/>
            <w:tcBorders>
              <w:top w:val="nil"/>
              <w:left w:val="nil"/>
              <w:bottom w:val="nil"/>
              <w:right w:val="nil"/>
            </w:tcBorders>
            <w:shd w:val="clear" w:color="auto" w:fill="auto"/>
            <w:vAlign w:val="bottom"/>
          </w:tcPr>
          <w:p w14:paraId="0E0EA4E9" w14:textId="13C07AEF" w:rsidR="00A26814" w:rsidRPr="003E2D55" w:rsidRDefault="00A26814" w:rsidP="00A26814">
            <w:pPr>
              <w:spacing w:before="40" w:after="20"/>
              <w:jc w:val="right"/>
              <w:rPr>
                <w:rFonts w:cs="Arial"/>
                <w:sz w:val="18"/>
                <w:szCs w:val="18"/>
              </w:rPr>
            </w:pPr>
            <w:r w:rsidRPr="003E2D55">
              <w:rPr>
                <w:rFonts w:cs="Arial"/>
                <w:sz w:val="18"/>
                <w:szCs w:val="18"/>
              </w:rPr>
              <w:t>43</w:t>
            </w:r>
          </w:p>
        </w:tc>
        <w:tc>
          <w:tcPr>
            <w:tcW w:w="737" w:type="dxa"/>
            <w:tcBorders>
              <w:top w:val="nil"/>
              <w:left w:val="nil"/>
              <w:bottom w:val="nil"/>
              <w:right w:val="nil"/>
            </w:tcBorders>
            <w:shd w:val="clear" w:color="auto" w:fill="auto"/>
            <w:vAlign w:val="bottom"/>
          </w:tcPr>
          <w:p w14:paraId="62D947C6" w14:textId="5A38CD4F"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57C7197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9FC549D" w14:textId="77777777" w:rsidR="00A26814" w:rsidRPr="003E2D55" w:rsidRDefault="00A26814" w:rsidP="00A26814">
            <w:pPr>
              <w:spacing w:before="40" w:after="20"/>
              <w:rPr>
                <w:rFonts w:cs="Arial"/>
                <w:sz w:val="18"/>
                <w:szCs w:val="18"/>
              </w:rPr>
            </w:pPr>
            <w:r w:rsidRPr="003E2D55">
              <w:rPr>
                <w:rFonts w:cs="Arial"/>
                <w:sz w:val="18"/>
                <w:szCs w:val="18"/>
              </w:rPr>
              <w:t>Stonnington C</w:t>
            </w:r>
          </w:p>
        </w:tc>
        <w:tc>
          <w:tcPr>
            <w:tcW w:w="737" w:type="dxa"/>
            <w:tcBorders>
              <w:top w:val="nil"/>
              <w:left w:val="single" w:sz="18" w:space="0" w:color="5F497A" w:themeColor="accent4" w:themeShade="BF"/>
              <w:bottom w:val="nil"/>
              <w:right w:val="nil"/>
            </w:tcBorders>
            <w:shd w:val="clear" w:color="auto" w:fill="auto"/>
            <w:vAlign w:val="bottom"/>
          </w:tcPr>
          <w:p w14:paraId="7046F8CD" w14:textId="5029292A" w:rsidR="00A26814" w:rsidRPr="003E2D55" w:rsidRDefault="00A26814" w:rsidP="00A26814">
            <w:pPr>
              <w:spacing w:before="40" w:after="20"/>
              <w:jc w:val="right"/>
              <w:rPr>
                <w:rFonts w:cs="Arial"/>
                <w:sz w:val="18"/>
                <w:szCs w:val="18"/>
              </w:rPr>
            </w:pPr>
            <w:r w:rsidRPr="003E2D55">
              <w:rPr>
                <w:rFonts w:cs="Arial"/>
                <w:sz w:val="18"/>
                <w:szCs w:val="18"/>
              </w:rPr>
              <w:t>127</w:t>
            </w:r>
          </w:p>
        </w:tc>
        <w:tc>
          <w:tcPr>
            <w:tcW w:w="737" w:type="dxa"/>
            <w:tcBorders>
              <w:top w:val="nil"/>
              <w:left w:val="nil"/>
              <w:bottom w:val="nil"/>
              <w:right w:val="nil"/>
            </w:tcBorders>
            <w:shd w:val="clear" w:color="auto" w:fill="auto"/>
            <w:vAlign w:val="bottom"/>
          </w:tcPr>
          <w:p w14:paraId="6DC3D4A5" w14:textId="561D0573" w:rsidR="00A26814" w:rsidRPr="003E2D55" w:rsidRDefault="00A26814" w:rsidP="00A26814">
            <w:pPr>
              <w:spacing w:before="40" w:after="20"/>
              <w:jc w:val="right"/>
              <w:rPr>
                <w:rFonts w:cs="Arial"/>
                <w:sz w:val="18"/>
                <w:szCs w:val="18"/>
              </w:rPr>
            </w:pPr>
            <w:r w:rsidRPr="003E2D55">
              <w:rPr>
                <w:rFonts w:cs="Arial"/>
                <w:sz w:val="18"/>
                <w:szCs w:val="18"/>
              </w:rPr>
              <w:t>49</w:t>
            </w:r>
          </w:p>
        </w:tc>
        <w:tc>
          <w:tcPr>
            <w:tcW w:w="737" w:type="dxa"/>
            <w:tcBorders>
              <w:top w:val="nil"/>
              <w:left w:val="nil"/>
              <w:bottom w:val="nil"/>
              <w:right w:val="nil"/>
            </w:tcBorders>
            <w:shd w:val="clear" w:color="auto" w:fill="auto"/>
            <w:vAlign w:val="bottom"/>
          </w:tcPr>
          <w:p w14:paraId="0CC1A7AB" w14:textId="3266FAC6" w:rsidR="00A26814" w:rsidRPr="003E2D55" w:rsidRDefault="00A26814" w:rsidP="00A26814">
            <w:pPr>
              <w:spacing w:before="40" w:after="20"/>
              <w:jc w:val="right"/>
              <w:rPr>
                <w:rFonts w:cs="Arial"/>
                <w:sz w:val="18"/>
                <w:szCs w:val="18"/>
              </w:rPr>
            </w:pPr>
            <w:r w:rsidRPr="003E2D55">
              <w:rPr>
                <w:rFonts w:cs="Arial"/>
                <w:sz w:val="18"/>
                <w:szCs w:val="18"/>
              </w:rPr>
              <w:t>69</w:t>
            </w:r>
          </w:p>
        </w:tc>
        <w:tc>
          <w:tcPr>
            <w:tcW w:w="737" w:type="dxa"/>
            <w:tcBorders>
              <w:top w:val="nil"/>
              <w:left w:val="nil"/>
              <w:bottom w:val="nil"/>
              <w:right w:val="nil"/>
            </w:tcBorders>
            <w:shd w:val="clear" w:color="auto" w:fill="auto"/>
            <w:vAlign w:val="bottom"/>
          </w:tcPr>
          <w:p w14:paraId="7C4A09FC" w14:textId="33AF4A48" w:rsidR="00A26814" w:rsidRPr="003E2D55" w:rsidRDefault="00A26814" w:rsidP="00A26814">
            <w:pPr>
              <w:spacing w:before="40" w:after="20"/>
              <w:jc w:val="right"/>
              <w:rPr>
                <w:rFonts w:cs="Arial"/>
                <w:sz w:val="18"/>
                <w:szCs w:val="18"/>
              </w:rPr>
            </w:pPr>
            <w:r w:rsidRPr="003E2D55">
              <w:rPr>
                <w:rFonts w:cs="Arial"/>
                <w:sz w:val="18"/>
                <w:szCs w:val="18"/>
              </w:rPr>
              <w:t>16</w:t>
            </w:r>
          </w:p>
        </w:tc>
        <w:tc>
          <w:tcPr>
            <w:tcW w:w="170" w:type="dxa"/>
            <w:tcBorders>
              <w:top w:val="nil"/>
              <w:left w:val="nil"/>
              <w:bottom w:val="nil"/>
              <w:right w:val="nil"/>
            </w:tcBorders>
            <w:shd w:val="clear" w:color="auto" w:fill="auto"/>
            <w:vAlign w:val="bottom"/>
          </w:tcPr>
          <w:p w14:paraId="3F6DF199" w14:textId="66C18984"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77DA4788" w14:textId="29C5733B"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0BF71B27" w14:textId="16E275F4"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21D96CA1" w14:textId="08D3CB1D"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2D291E94" w14:textId="4023D739"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1D86CF30" w14:textId="3A048EAF"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35DCBF1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C299AF8" w14:textId="77777777" w:rsidR="00A26814" w:rsidRPr="003E2D55" w:rsidRDefault="00A26814" w:rsidP="00A26814">
            <w:pPr>
              <w:spacing w:before="40" w:after="20"/>
              <w:rPr>
                <w:rFonts w:cs="Arial"/>
                <w:sz w:val="18"/>
                <w:szCs w:val="18"/>
              </w:rPr>
            </w:pPr>
            <w:r w:rsidRPr="003E2D55">
              <w:rPr>
                <w:rFonts w:cs="Arial"/>
                <w:sz w:val="18"/>
                <w:szCs w:val="18"/>
              </w:rPr>
              <w:t>Strathbogie S</w:t>
            </w:r>
          </w:p>
        </w:tc>
        <w:tc>
          <w:tcPr>
            <w:tcW w:w="737" w:type="dxa"/>
            <w:tcBorders>
              <w:top w:val="nil"/>
              <w:left w:val="single" w:sz="18" w:space="0" w:color="5F497A" w:themeColor="accent4" w:themeShade="BF"/>
              <w:bottom w:val="nil"/>
              <w:right w:val="nil"/>
            </w:tcBorders>
            <w:shd w:val="clear" w:color="auto" w:fill="auto"/>
            <w:vAlign w:val="bottom"/>
          </w:tcPr>
          <w:p w14:paraId="332AC54E" w14:textId="5BE29568" w:rsidR="00A26814" w:rsidRPr="003E2D55" w:rsidRDefault="00A26814" w:rsidP="00A26814">
            <w:pPr>
              <w:spacing w:before="40" w:after="20"/>
              <w:jc w:val="right"/>
              <w:rPr>
                <w:rFonts w:cs="Arial"/>
                <w:sz w:val="18"/>
                <w:szCs w:val="18"/>
              </w:rPr>
            </w:pPr>
            <w:r w:rsidRPr="003E2D55">
              <w:rPr>
                <w:rFonts w:cs="Arial"/>
                <w:sz w:val="18"/>
                <w:szCs w:val="18"/>
              </w:rPr>
              <w:t>94</w:t>
            </w:r>
          </w:p>
        </w:tc>
        <w:tc>
          <w:tcPr>
            <w:tcW w:w="737" w:type="dxa"/>
            <w:tcBorders>
              <w:top w:val="nil"/>
              <w:left w:val="nil"/>
              <w:bottom w:val="nil"/>
              <w:right w:val="nil"/>
            </w:tcBorders>
            <w:shd w:val="clear" w:color="auto" w:fill="auto"/>
            <w:vAlign w:val="bottom"/>
          </w:tcPr>
          <w:p w14:paraId="0AE0176F" w14:textId="1E8A9BB6" w:rsidR="00A26814" w:rsidRPr="003E2D55" w:rsidRDefault="00A26814" w:rsidP="00A26814">
            <w:pPr>
              <w:spacing w:before="40" w:after="20"/>
              <w:jc w:val="right"/>
              <w:rPr>
                <w:rFonts w:cs="Arial"/>
                <w:sz w:val="18"/>
                <w:szCs w:val="18"/>
              </w:rPr>
            </w:pPr>
            <w:r w:rsidRPr="003E2D55">
              <w:rPr>
                <w:rFonts w:cs="Arial"/>
                <w:sz w:val="18"/>
                <w:szCs w:val="18"/>
              </w:rPr>
              <w:t>7</w:t>
            </w:r>
          </w:p>
        </w:tc>
        <w:tc>
          <w:tcPr>
            <w:tcW w:w="737" w:type="dxa"/>
            <w:tcBorders>
              <w:top w:val="nil"/>
              <w:left w:val="nil"/>
              <w:bottom w:val="nil"/>
              <w:right w:val="nil"/>
            </w:tcBorders>
            <w:shd w:val="clear" w:color="auto" w:fill="auto"/>
            <w:vAlign w:val="bottom"/>
          </w:tcPr>
          <w:p w14:paraId="51EFA57C" w14:textId="4684624B" w:rsidR="00A26814" w:rsidRPr="003E2D55" w:rsidRDefault="00A26814" w:rsidP="00A26814">
            <w:pPr>
              <w:spacing w:before="40" w:after="20"/>
              <w:jc w:val="right"/>
              <w:rPr>
                <w:rFonts w:cs="Arial"/>
                <w:sz w:val="18"/>
                <w:szCs w:val="18"/>
              </w:rPr>
            </w:pPr>
            <w:r w:rsidRPr="003E2D55">
              <w:rPr>
                <w:rFonts w:cs="Arial"/>
                <w:sz w:val="18"/>
                <w:szCs w:val="18"/>
              </w:rPr>
              <w:t>5</w:t>
            </w:r>
          </w:p>
        </w:tc>
        <w:tc>
          <w:tcPr>
            <w:tcW w:w="737" w:type="dxa"/>
            <w:tcBorders>
              <w:top w:val="nil"/>
              <w:left w:val="nil"/>
              <w:bottom w:val="nil"/>
              <w:right w:val="nil"/>
            </w:tcBorders>
            <w:shd w:val="clear" w:color="auto" w:fill="auto"/>
            <w:vAlign w:val="bottom"/>
          </w:tcPr>
          <w:p w14:paraId="71AC6DAC" w14:textId="5FBBB488" w:rsidR="00A26814" w:rsidRPr="003E2D55" w:rsidRDefault="00A26814" w:rsidP="00A26814">
            <w:pPr>
              <w:spacing w:before="40" w:after="2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7EF84156" w14:textId="3F09A4B7"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14EF8924" w14:textId="7000DC1D" w:rsidR="00A26814" w:rsidRPr="003E2D55" w:rsidRDefault="00A26814" w:rsidP="00A26814">
            <w:pPr>
              <w:spacing w:before="40" w:after="20"/>
              <w:jc w:val="right"/>
              <w:rPr>
                <w:rFonts w:cs="Arial"/>
                <w:sz w:val="18"/>
                <w:szCs w:val="18"/>
              </w:rPr>
            </w:pPr>
            <w:r w:rsidRPr="003E2D55">
              <w:rPr>
                <w:rFonts w:cs="Arial"/>
                <w:sz w:val="18"/>
                <w:szCs w:val="18"/>
              </w:rPr>
              <w:t>169</w:t>
            </w:r>
          </w:p>
        </w:tc>
        <w:tc>
          <w:tcPr>
            <w:tcW w:w="737" w:type="dxa"/>
            <w:tcBorders>
              <w:top w:val="nil"/>
              <w:left w:val="nil"/>
              <w:bottom w:val="nil"/>
              <w:right w:val="nil"/>
            </w:tcBorders>
            <w:shd w:val="clear" w:color="auto" w:fill="auto"/>
            <w:vAlign w:val="bottom"/>
          </w:tcPr>
          <w:p w14:paraId="446CD829" w14:textId="6C094A5B" w:rsidR="00A26814" w:rsidRPr="003E2D55" w:rsidRDefault="00A26814" w:rsidP="00A26814">
            <w:pPr>
              <w:spacing w:before="40" w:after="20"/>
              <w:jc w:val="right"/>
              <w:rPr>
                <w:rFonts w:cs="Arial"/>
                <w:sz w:val="18"/>
                <w:szCs w:val="18"/>
              </w:rPr>
            </w:pPr>
            <w:r w:rsidRPr="003E2D55">
              <w:rPr>
                <w:rFonts w:cs="Arial"/>
                <w:sz w:val="18"/>
                <w:szCs w:val="18"/>
              </w:rPr>
              <w:t>1,598</w:t>
            </w:r>
          </w:p>
        </w:tc>
        <w:tc>
          <w:tcPr>
            <w:tcW w:w="737" w:type="dxa"/>
            <w:tcBorders>
              <w:top w:val="nil"/>
              <w:left w:val="nil"/>
              <w:bottom w:val="nil"/>
              <w:right w:val="nil"/>
            </w:tcBorders>
            <w:shd w:val="clear" w:color="auto" w:fill="auto"/>
            <w:vAlign w:val="bottom"/>
          </w:tcPr>
          <w:p w14:paraId="1EAD6B92" w14:textId="3B766EC8" w:rsidR="00A26814" w:rsidRPr="003E2D55" w:rsidRDefault="00A26814" w:rsidP="00A26814">
            <w:pPr>
              <w:spacing w:before="40" w:after="20"/>
              <w:jc w:val="right"/>
              <w:rPr>
                <w:rFonts w:cs="Arial"/>
                <w:sz w:val="18"/>
                <w:szCs w:val="18"/>
              </w:rPr>
            </w:pPr>
            <w:r w:rsidRPr="003E2D55">
              <w:rPr>
                <w:rFonts w:cs="Arial"/>
                <w:sz w:val="18"/>
                <w:szCs w:val="18"/>
              </w:rPr>
              <w:t>315</w:t>
            </w:r>
          </w:p>
        </w:tc>
        <w:tc>
          <w:tcPr>
            <w:tcW w:w="737" w:type="dxa"/>
            <w:tcBorders>
              <w:top w:val="nil"/>
              <w:left w:val="nil"/>
              <w:bottom w:val="nil"/>
              <w:right w:val="nil"/>
            </w:tcBorders>
            <w:shd w:val="clear" w:color="auto" w:fill="auto"/>
            <w:vAlign w:val="bottom"/>
          </w:tcPr>
          <w:p w14:paraId="7E048F3C" w14:textId="4984D3E2" w:rsidR="00A26814" w:rsidRPr="003E2D55" w:rsidRDefault="00A26814" w:rsidP="00A26814">
            <w:pPr>
              <w:spacing w:before="40" w:after="20"/>
              <w:jc w:val="right"/>
              <w:rPr>
                <w:rFonts w:cs="Arial"/>
                <w:sz w:val="18"/>
                <w:szCs w:val="18"/>
              </w:rPr>
            </w:pPr>
            <w:r w:rsidRPr="003E2D55">
              <w:rPr>
                <w:rFonts w:cs="Arial"/>
                <w:sz w:val="18"/>
                <w:szCs w:val="18"/>
              </w:rPr>
              <w:t>11</w:t>
            </w:r>
          </w:p>
        </w:tc>
        <w:tc>
          <w:tcPr>
            <w:tcW w:w="737" w:type="dxa"/>
            <w:tcBorders>
              <w:top w:val="nil"/>
              <w:left w:val="nil"/>
              <w:bottom w:val="nil"/>
              <w:right w:val="nil"/>
            </w:tcBorders>
            <w:shd w:val="clear" w:color="auto" w:fill="auto"/>
            <w:vAlign w:val="bottom"/>
          </w:tcPr>
          <w:p w14:paraId="0FF7F0C7" w14:textId="07C16E28" w:rsidR="00A26814" w:rsidRPr="003E2D55" w:rsidRDefault="00A26814" w:rsidP="00A26814">
            <w:pPr>
              <w:spacing w:before="40" w:after="20"/>
              <w:jc w:val="right"/>
              <w:rPr>
                <w:rFonts w:cs="Arial"/>
                <w:sz w:val="18"/>
                <w:szCs w:val="18"/>
              </w:rPr>
            </w:pPr>
            <w:r w:rsidRPr="003E2D55">
              <w:rPr>
                <w:rFonts w:cs="Arial"/>
                <w:sz w:val="18"/>
                <w:szCs w:val="18"/>
              </w:rPr>
              <w:t>5</w:t>
            </w:r>
          </w:p>
        </w:tc>
      </w:tr>
      <w:tr w:rsidR="00A26814" w:rsidRPr="003E2D55" w14:paraId="319D48B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09A8833" w14:textId="77777777" w:rsidR="00A26814" w:rsidRPr="003E2D55" w:rsidRDefault="00A26814" w:rsidP="00A26814">
            <w:pPr>
              <w:spacing w:before="40" w:after="20"/>
              <w:rPr>
                <w:rFonts w:cs="Arial"/>
                <w:sz w:val="18"/>
                <w:szCs w:val="18"/>
              </w:rPr>
            </w:pPr>
            <w:r w:rsidRPr="003E2D55">
              <w:rPr>
                <w:rFonts w:cs="Arial"/>
                <w:sz w:val="18"/>
                <w:szCs w:val="18"/>
              </w:rPr>
              <w:t>Surf Coast S</w:t>
            </w:r>
          </w:p>
        </w:tc>
        <w:tc>
          <w:tcPr>
            <w:tcW w:w="737" w:type="dxa"/>
            <w:tcBorders>
              <w:top w:val="nil"/>
              <w:left w:val="single" w:sz="18" w:space="0" w:color="5F497A" w:themeColor="accent4" w:themeShade="BF"/>
              <w:bottom w:val="nil"/>
              <w:right w:val="nil"/>
            </w:tcBorders>
            <w:shd w:val="clear" w:color="auto" w:fill="auto"/>
            <w:vAlign w:val="bottom"/>
          </w:tcPr>
          <w:p w14:paraId="7367FFFD" w14:textId="22AB9AF9" w:rsidR="00A26814" w:rsidRPr="003E2D55" w:rsidRDefault="00A26814" w:rsidP="00A26814">
            <w:pPr>
              <w:spacing w:before="40" w:after="20"/>
              <w:jc w:val="right"/>
              <w:rPr>
                <w:rFonts w:cs="Arial"/>
                <w:sz w:val="18"/>
                <w:szCs w:val="18"/>
              </w:rPr>
            </w:pPr>
            <w:r w:rsidRPr="003E2D55">
              <w:rPr>
                <w:rFonts w:cs="Arial"/>
                <w:sz w:val="18"/>
                <w:szCs w:val="18"/>
              </w:rPr>
              <w:t>215</w:t>
            </w:r>
          </w:p>
        </w:tc>
        <w:tc>
          <w:tcPr>
            <w:tcW w:w="737" w:type="dxa"/>
            <w:tcBorders>
              <w:top w:val="nil"/>
              <w:left w:val="nil"/>
              <w:bottom w:val="nil"/>
              <w:right w:val="nil"/>
            </w:tcBorders>
            <w:shd w:val="clear" w:color="auto" w:fill="auto"/>
            <w:vAlign w:val="bottom"/>
          </w:tcPr>
          <w:p w14:paraId="77D489AA" w14:textId="2C64FCE7" w:rsidR="00A26814" w:rsidRPr="003E2D55" w:rsidRDefault="00A26814" w:rsidP="00A26814">
            <w:pPr>
              <w:spacing w:before="40" w:after="20"/>
              <w:jc w:val="right"/>
              <w:rPr>
                <w:rFonts w:cs="Arial"/>
                <w:sz w:val="18"/>
                <w:szCs w:val="18"/>
              </w:rPr>
            </w:pPr>
            <w:r w:rsidRPr="003E2D55">
              <w:rPr>
                <w:rFonts w:cs="Arial"/>
                <w:sz w:val="18"/>
                <w:szCs w:val="18"/>
              </w:rPr>
              <w:t>35</w:t>
            </w:r>
          </w:p>
        </w:tc>
        <w:tc>
          <w:tcPr>
            <w:tcW w:w="737" w:type="dxa"/>
            <w:tcBorders>
              <w:top w:val="nil"/>
              <w:left w:val="nil"/>
              <w:bottom w:val="nil"/>
              <w:right w:val="nil"/>
            </w:tcBorders>
            <w:shd w:val="clear" w:color="auto" w:fill="auto"/>
            <w:vAlign w:val="bottom"/>
          </w:tcPr>
          <w:p w14:paraId="2FB2293B" w14:textId="3946F778" w:rsidR="00A26814" w:rsidRPr="003E2D55" w:rsidRDefault="00A26814" w:rsidP="00A26814">
            <w:pPr>
              <w:spacing w:before="40" w:after="20"/>
              <w:jc w:val="right"/>
              <w:rPr>
                <w:rFonts w:cs="Arial"/>
                <w:sz w:val="18"/>
                <w:szCs w:val="18"/>
              </w:rPr>
            </w:pPr>
            <w:r w:rsidRPr="003E2D55">
              <w:rPr>
                <w:rFonts w:cs="Arial"/>
                <w:sz w:val="18"/>
                <w:szCs w:val="18"/>
              </w:rPr>
              <w:t>43</w:t>
            </w:r>
          </w:p>
        </w:tc>
        <w:tc>
          <w:tcPr>
            <w:tcW w:w="737" w:type="dxa"/>
            <w:tcBorders>
              <w:top w:val="nil"/>
              <w:left w:val="nil"/>
              <w:bottom w:val="nil"/>
              <w:right w:val="nil"/>
            </w:tcBorders>
            <w:shd w:val="clear" w:color="auto" w:fill="auto"/>
            <w:vAlign w:val="bottom"/>
          </w:tcPr>
          <w:p w14:paraId="60E49A9E" w14:textId="7290905B" w:rsidR="00A26814" w:rsidRPr="003E2D55" w:rsidRDefault="00A26814" w:rsidP="00A26814">
            <w:pPr>
              <w:spacing w:before="40" w:after="20"/>
              <w:jc w:val="right"/>
              <w:rPr>
                <w:rFonts w:cs="Arial"/>
                <w:sz w:val="18"/>
                <w:szCs w:val="18"/>
              </w:rPr>
            </w:pPr>
            <w:r w:rsidRPr="003E2D55">
              <w:rPr>
                <w:rFonts w:cs="Arial"/>
                <w:sz w:val="18"/>
                <w:szCs w:val="18"/>
              </w:rPr>
              <w:t>9</w:t>
            </w:r>
          </w:p>
        </w:tc>
        <w:tc>
          <w:tcPr>
            <w:tcW w:w="170" w:type="dxa"/>
            <w:tcBorders>
              <w:top w:val="nil"/>
              <w:left w:val="nil"/>
              <w:bottom w:val="nil"/>
              <w:right w:val="nil"/>
            </w:tcBorders>
            <w:shd w:val="clear" w:color="auto" w:fill="auto"/>
            <w:vAlign w:val="bottom"/>
          </w:tcPr>
          <w:p w14:paraId="3D0C859A" w14:textId="2EFEE420"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246E357F" w14:textId="03827D37" w:rsidR="00A26814" w:rsidRPr="003E2D55" w:rsidRDefault="00A26814" w:rsidP="00A26814">
            <w:pPr>
              <w:spacing w:before="40" w:after="20"/>
              <w:jc w:val="right"/>
              <w:rPr>
                <w:rFonts w:cs="Arial"/>
                <w:sz w:val="18"/>
                <w:szCs w:val="18"/>
              </w:rPr>
            </w:pPr>
            <w:r w:rsidRPr="003E2D55">
              <w:rPr>
                <w:rFonts w:cs="Arial"/>
                <w:sz w:val="18"/>
                <w:szCs w:val="18"/>
              </w:rPr>
              <w:t>46</w:t>
            </w:r>
          </w:p>
        </w:tc>
        <w:tc>
          <w:tcPr>
            <w:tcW w:w="737" w:type="dxa"/>
            <w:tcBorders>
              <w:top w:val="nil"/>
              <w:left w:val="nil"/>
              <w:bottom w:val="nil"/>
              <w:right w:val="nil"/>
            </w:tcBorders>
            <w:shd w:val="clear" w:color="auto" w:fill="auto"/>
            <w:vAlign w:val="bottom"/>
          </w:tcPr>
          <w:p w14:paraId="330706BB" w14:textId="400A5570" w:rsidR="00A26814" w:rsidRPr="003E2D55" w:rsidRDefault="00A26814" w:rsidP="00A26814">
            <w:pPr>
              <w:spacing w:before="40" w:after="20"/>
              <w:jc w:val="right"/>
              <w:rPr>
                <w:rFonts w:cs="Arial"/>
                <w:sz w:val="18"/>
                <w:szCs w:val="18"/>
              </w:rPr>
            </w:pPr>
            <w:r w:rsidRPr="003E2D55">
              <w:rPr>
                <w:rFonts w:cs="Arial"/>
                <w:sz w:val="18"/>
                <w:szCs w:val="18"/>
              </w:rPr>
              <w:t>438</w:t>
            </w:r>
          </w:p>
        </w:tc>
        <w:tc>
          <w:tcPr>
            <w:tcW w:w="737" w:type="dxa"/>
            <w:tcBorders>
              <w:top w:val="nil"/>
              <w:left w:val="nil"/>
              <w:bottom w:val="nil"/>
              <w:right w:val="nil"/>
            </w:tcBorders>
            <w:shd w:val="clear" w:color="auto" w:fill="auto"/>
            <w:vAlign w:val="bottom"/>
          </w:tcPr>
          <w:p w14:paraId="2F99F340" w14:textId="677C74D7" w:rsidR="00A26814" w:rsidRPr="003E2D55" w:rsidRDefault="00A26814" w:rsidP="00A26814">
            <w:pPr>
              <w:spacing w:before="40" w:after="20"/>
              <w:jc w:val="right"/>
              <w:rPr>
                <w:rFonts w:cs="Arial"/>
                <w:sz w:val="18"/>
                <w:szCs w:val="18"/>
              </w:rPr>
            </w:pPr>
            <w:r w:rsidRPr="003E2D55">
              <w:rPr>
                <w:rFonts w:cs="Arial"/>
                <w:sz w:val="18"/>
                <w:szCs w:val="18"/>
              </w:rPr>
              <w:t>204</w:t>
            </w:r>
          </w:p>
        </w:tc>
        <w:tc>
          <w:tcPr>
            <w:tcW w:w="737" w:type="dxa"/>
            <w:tcBorders>
              <w:top w:val="nil"/>
              <w:left w:val="nil"/>
              <w:bottom w:val="nil"/>
              <w:right w:val="nil"/>
            </w:tcBorders>
            <w:shd w:val="clear" w:color="auto" w:fill="auto"/>
            <w:vAlign w:val="bottom"/>
          </w:tcPr>
          <w:p w14:paraId="4015A462" w14:textId="2C9B3D10" w:rsidR="00A26814" w:rsidRPr="003E2D55" w:rsidRDefault="00A26814" w:rsidP="00A26814">
            <w:pPr>
              <w:spacing w:before="40" w:after="20"/>
              <w:jc w:val="right"/>
              <w:rPr>
                <w:rFonts w:cs="Arial"/>
                <w:sz w:val="18"/>
                <w:szCs w:val="18"/>
              </w:rPr>
            </w:pPr>
            <w:r w:rsidRPr="003E2D55">
              <w:rPr>
                <w:rFonts w:cs="Arial"/>
                <w:sz w:val="18"/>
                <w:szCs w:val="18"/>
              </w:rPr>
              <w:t>59</w:t>
            </w:r>
          </w:p>
        </w:tc>
        <w:tc>
          <w:tcPr>
            <w:tcW w:w="737" w:type="dxa"/>
            <w:tcBorders>
              <w:top w:val="nil"/>
              <w:left w:val="nil"/>
              <w:bottom w:val="nil"/>
              <w:right w:val="nil"/>
            </w:tcBorders>
            <w:shd w:val="clear" w:color="auto" w:fill="auto"/>
            <w:vAlign w:val="bottom"/>
          </w:tcPr>
          <w:p w14:paraId="19501E0B" w14:textId="5A826A4C" w:rsidR="00A26814" w:rsidRPr="003E2D55" w:rsidRDefault="00A26814" w:rsidP="00A26814">
            <w:pPr>
              <w:spacing w:before="40" w:after="20"/>
              <w:jc w:val="right"/>
              <w:rPr>
                <w:rFonts w:cs="Arial"/>
                <w:sz w:val="18"/>
                <w:szCs w:val="18"/>
              </w:rPr>
            </w:pPr>
            <w:r w:rsidRPr="003E2D55">
              <w:rPr>
                <w:rFonts w:cs="Arial"/>
                <w:sz w:val="18"/>
                <w:szCs w:val="18"/>
              </w:rPr>
              <w:t>65</w:t>
            </w:r>
          </w:p>
        </w:tc>
      </w:tr>
      <w:tr w:rsidR="00A26814" w:rsidRPr="003E2D55" w14:paraId="474DC12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9FA66B8" w14:textId="77777777" w:rsidR="00A26814" w:rsidRPr="003E2D55" w:rsidRDefault="00A26814" w:rsidP="00A26814">
            <w:pPr>
              <w:spacing w:before="40" w:after="20"/>
              <w:rPr>
                <w:rFonts w:cs="Arial"/>
                <w:sz w:val="18"/>
                <w:szCs w:val="18"/>
              </w:rPr>
            </w:pPr>
            <w:r w:rsidRPr="003E2D55">
              <w:rPr>
                <w:rFonts w:cs="Arial"/>
                <w:sz w:val="18"/>
                <w:szCs w:val="18"/>
              </w:rPr>
              <w:t>Swan Hill RC</w:t>
            </w:r>
          </w:p>
        </w:tc>
        <w:tc>
          <w:tcPr>
            <w:tcW w:w="737" w:type="dxa"/>
            <w:tcBorders>
              <w:top w:val="nil"/>
              <w:left w:val="single" w:sz="18" w:space="0" w:color="5F497A" w:themeColor="accent4" w:themeShade="BF"/>
              <w:bottom w:val="nil"/>
              <w:right w:val="nil"/>
            </w:tcBorders>
            <w:shd w:val="clear" w:color="auto" w:fill="auto"/>
            <w:vAlign w:val="bottom"/>
          </w:tcPr>
          <w:p w14:paraId="1643986F" w14:textId="5834DD7E" w:rsidR="00A26814" w:rsidRPr="003E2D55" w:rsidRDefault="00A26814" w:rsidP="00A26814">
            <w:pPr>
              <w:spacing w:before="40" w:after="20"/>
              <w:jc w:val="right"/>
              <w:rPr>
                <w:rFonts w:cs="Arial"/>
                <w:sz w:val="18"/>
                <w:szCs w:val="18"/>
              </w:rPr>
            </w:pPr>
            <w:r w:rsidRPr="003E2D55">
              <w:rPr>
                <w:rFonts w:cs="Arial"/>
                <w:sz w:val="18"/>
                <w:szCs w:val="18"/>
              </w:rPr>
              <w:t>103</w:t>
            </w:r>
          </w:p>
        </w:tc>
        <w:tc>
          <w:tcPr>
            <w:tcW w:w="737" w:type="dxa"/>
            <w:tcBorders>
              <w:top w:val="nil"/>
              <w:left w:val="nil"/>
              <w:bottom w:val="nil"/>
              <w:right w:val="nil"/>
            </w:tcBorders>
            <w:shd w:val="clear" w:color="auto" w:fill="auto"/>
            <w:vAlign w:val="bottom"/>
          </w:tcPr>
          <w:p w14:paraId="3A3B89E8" w14:textId="7F221C96" w:rsidR="00A26814" w:rsidRPr="003E2D55" w:rsidRDefault="00A26814" w:rsidP="00A26814">
            <w:pPr>
              <w:spacing w:before="40" w:after="20"/>
              <w:jc w:val="right"/>
              <w:rPr>
                <w:rFonts w:cs="Arial"/>
                <w:sz w:val="18"/>
                <w:szCs w:val="18"/>
              </w:rPr>
            </w:pPr>
            <w:r w:rsidRPr="003E2D55">
              <w:rPr>
                <w:rFonts w:cs="Arial"/>
                <w:sz w:val="18"/>
                <w:szCs w:val="18"/>
              </w:rPr>
              <w:t>24</w:t>
            </w:r>
          </w:p>
        </w:tc>
        <w:tc>
          <w:tcPr>
            <w:tcW w:w="737" w:type="dxa"/>
            <w:tcBorders>
              <w:top w:val="nil"/>
              <w:left w:val="nil"/>
              <w:bottom w:val="nil"/>
              <w:right w:val="nil"/>
            </w:tcBorders>
            <w:shd w:val="clear" w:color="auto" w:fill="auto"/>
            <w:vAlign w:val="bottom"/>
          </w:tcPr>
          <w:p w14:paraId="192649DF" w14:textId="5AAFA352" w:rsidR="00A26814" w:rsidRPr="003E2D55" w:rsidRDefault="00A26814" w:rsidP="00A26814">
            <w:pPr>
              <w:spacing w:before="40" w:after="20"/>
              <w:jc w:val="right"/>
              <w:rPr>
                <w:rFonts w:cs="Arial"/>
                <w:sz w:val="18"/>
                <w:szCs w:val="18"/>
              </w:rPr>
            </w:pPr>
            <w:r w:rsidRPr="003E2D55">
              <w:rPr>
                <w:rFonts w:cs="Arial"/>
                <w:sz w:val="18"/>
                <w:szCs w:val="18"/>
              </w:rPr>
              <w:t>26</w:t>
            </w:r>
          </w:p>
        </w:tc>
        <w:tc>
          <w:tcPr>
            <w:tcW w:w="737" w:type="dxa"/>
            <w:tcBorders>
              <w:top w:val="nil"/>
              <w:left w:val="nil"/>
              <w:bottom w:val="nil"/>
              <w:right w:val="nil"/>
            </w:tcBorders>
            <w:shd w:val="clear" w:color="auto" w:fill="auto"/>
            <w:vAlign w:val="bottom"/>
          </w:tcPr>
          <w:p w14:paraId="6CECB984" w14:textId="1F19724F" w:rsidR="00A26814" w:rsidRPr="003E2D55" w:rsidRDefault="00A26814" w:rsidP="00A26814">
            <w:pPr>
              <w:spacing w:before="40" w:after="20"/>
              <w:jc w:val="right"/>
              <w:rPr>
                <w:rFonts w:cs="Arial"/>
                <w:sz w:val="18"/>
                <w:szCs w:val="18"/>
              </w:rPr>
            </w:pPr>
            <w:r w:rsidRPr="003E2D55">
              <w:rPr>
                <w:rFonts w:cs="Arial"/>
                <w:sz w:val="18"/>
                <w:szCs w:val="18"/>
              </w:rPr>
              <w:t>2</w:t>
            </w:r>
          </w:p>
        </w:tc>
        <w:tc>
          <w:tcPr>
            <w:tcW w:w="170" w:type="dxa"/>
            <w:tcBorders>
              <w:top w:val="nil"/>
              <w:left w:val="nil"/>
              <w:bottom w:val="nil"/>
              <w:right w:val="nil"/>
            </w:tcBorders>
            <w:shd w:val="clear" w:color="auto" w:fill="auto"/>
            <w:vAlign w:val="bottom"/>
          </w:tcPr>
          <w:p w14:paraId="5095DE0F" w14:textId="2E42FB4B"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2074CEE0" w14:textId="5AAF47BB" w:rsidR="00A26814" w:rsidRPr="003E2D55" w:rsidRDefault="00A26814" w:rsidP="00A26814">
            <w:pPr>
              <w:spacing w:before="40" w:after="20"/>
              <w:jc w:val="right"/>
              <w:rPr>
                <w:rFonts w:cs="Arial"/>
                <w:sz w:val="18"/>
                <w:szCs w:val="18"/>
              </w:rPr>
            </w:pPr>
            <w:r w:rsidRPr="003E2D55">
              <w:rPr>
                <w:rFonts w:cs="Arial"/>
                <w:sz w:val="18"/>
                <w:szCs w:val="18"/>
              </w:rPr>
              <w:t>1,503</w:t>
            </w:r>
          </w:p>
        </w:tc>
        <w:tc>
          <w:tcPr>
            <w:tcW w:w="737" w:type="dxa"/>
            <w:tcBorders>
              <w:top w:val="nil"/>
              <w:left w:val="nil"/>
              <w:bottom w:val="nil"/>
              <w:right w:val="nil"/>
            </w:tcBorders>
            <w:shd w:val="clear" w:color="auto" w:fill="auto"/>
            <w:vAlign w:val="bottom"/>
          </w:tcPr>
          <w:p w14:paraId="3C3130A8" w14:textId="115FC8D2" w:rsidR="00A26814" w:rsidRPr="003E2D55" w:rsidRDefault="00A26814" w:rsidP="00A26814">
            <w:pPr>
              <w:spacing w:before="40" w:after="20"/>
              <w:jc w:val="right"/>
              <w:rPr>
                <w:rFonts w:cs="Arial"/>
                <w:sz w:val="18"/>
                <w:szCs w:val="18"/>
              </w:rPr>
            </w:pPr>
            <w:r w:rsidRPr="003E2D55">
              <w:rPr>
                <w:rFonts w:cs="Arial"/>
                <w:sz w:val="18"/>
                <w:szCs w:val="18"/>
              </w:rPr>
              <w:t>1,424</w:t>
            </w:r>
          </w:p>
        </w:tc>
        <w:tc>
          <w:tcPr>
            <w:tcW w:w="737" w:type="dxa"/>
            <w:tcBorders>
              <w:top w:val="nil"/>
              <w:left w:val="nil"/>
              <w:bottom w:val="nil"/>
              <w:right w:val="nil"/>
            </w:tcBorders>
            <w:shd w:val="clear" w:color="auto" w:fill="auto"/>
            <w:vAlign w:val="bottom"/>
          </w:tcPr>
          <w:p w14:paraId="4624693C" w14:textId="22A7EBBE" w:rsidR="00A26814" w:rsidRPr="003E2D55" w:rsidRDefault="00A26814" w:rsidP="00A26814">
            <w:pPr>
              <w:spacing w:before="40" w:after="20"/>
              <w:jc w:val="right"/>
              <w:rPr>
                <w:rFonts w:cs="Arial"/>
                <w:sz w:val="18"/>
                <w:szCs w:val="18"/>
              </w:rPr>
            </w:pPr>
            <w:r w:rsidRPr="003E2D55">
              <w:rPr>
                <w:rFonts w:cs="Arial"/>
                <w:sz w:val="18"/>
                <w:szCs w:val="18"/>
              </w:rPr>
              <w:t>391</w:t>
            </w:r>
          </w:p>
        </w:tc>
        <w:tc>
          <w:tcPr>
            <w:tcW w:w="737" w:type="dxa"/>
            <w:tcBorders>
              <w:top w:val="nil"/>
              <w:left w:val="nil"/>
              <w:bottom w:val="nil"/>
              <w:right w:val="nil"/>
            </w:tcBorders>
            <w:shd w:val="clear" w:color="auto" w:fill="auto"/>
            <w:vAlign w:val="bottom"/>
          </w:tcPr>
          <w:p w14:paraId="7DE5F238" w14:textId="1F0BAE7E" w:rsidR="00A26814" w:rsidRPr="003E2D55" w:rsidRDefault="00A26814" w:rsidP="00A26814">
            <w:pPr>
              <w:spacing w:before="40" w:after="20"/>
              <w:jc w:val="right"/>
              <w:rPr>
                <w:rFonts w:cs="Arial"/>
                <w:sz w:val="18"/>
                <w:szCs w:val="18"/>
              </w:rPr>
            </w:pPr>
            <w:r w:rsidRPr="003E2D55">
              <w:rPr>
                <w:rFonts w:cs="Arial"/>
                <w:sz w:val="18"/>
                <w:szCs w:val="18"/>
              </w:rPr>
              <w:t>24</w:t>
            </w:r>
          </w:p>
        </w:tc>
        <w:tc>
          <w:tcPr>
            <w:tcW w:w="737" w:type="dxa"/>
            <w:tcBorders>
              <w:top w:val="nil"/>
              <w:left w:val="nil"/>
              <w:bottom w:val="nil"/>
              <w:right w:val="nil"/>
            </w:tcBorders>
            <w:shd w:val="clear" w:color="auto" w:fill="auto"/>
            <w:vAlign w:val="bottom"/>
          </w:tcPr>
          <w:p w14:paraId="798A3CDC" w14:textId="1E31E2C7" w:rsidR="00A26814" w:rsidRPr="003E2D55" w:rsidRDefault="00A26814" w:rsidP="00A26814">
            <w:pPr>
              <w:spacing w:before="40" w:after="20"/>
              <w:jc w:val="right"/>
              <w:rPr>
                <w:rFonts w:cs="Arial"/>
                <w:sz w:val="18"/>
                <w:szCs w:val="18"/>
              </w:rPr>
            </w:pPr>
            <w:r w:rsidRPr="003E2D55">
              <w:rPr>
                <w:rFonts w:cs="Arial"/>
                <w:sz w:val="18"/>
                <w:szCs w:val="18"/>
              </w:rPr>
              <w:t>11</w:t>
            </w:r>
          </w:p>
        </w:tc>
      </w:tr>
      <w:tr w:rsidR="00A26814" w:rsidRPr="003E2D55" w14:paraId="347B5A6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CF6D68C" w14:textId="77777777" w:rsidR="00A26814" w:rsidRPr="003E2D55" w:rsidRDefault="00A26814" w:rsidP="00A26814">
            <w:pPr>
              <w:spacing w:before="40" w:after="20"/>
              <w:rPr>
                <w:rFonts w:cs="Arial"/>
                <w:sz w:val="18"/>
                <w:szCs w:val="18"/>
              </w:rPr>
            </w:pPr>
            <w:r w:rsidRPr="003E2D55">
              <w:rPr>
                <w:rFonts w:cs="Arial"/>
                <w:sz w:val="18"/>
                <w:szCs w:val="18"/>
              </w:rPr>
              <w:t>Towong S</w:t>
            </w:r>
          </w:p>
        </w:tc>
        <w:tc>
          <w:tcPr>
            <w:tcW w:w="737" w:type="dxa"/>
            <w:tcBorders>
              <w:top w:val="nil"/>
              <w:left w:val="single" w:sz="18" w:space="0" w:color="5F497A" w:themeColor="accent4" w:themeShade="BF"/>
              <w:bottom w:val="nil"/>
              <w:right w:val="nil"/>
            </w:tcBorders>
            <w:shd w:val="clear" w:color="auto" w:fill="auto"/>
            <w:vAlign w:val="bottom"/>
          </w:tcPr>
          <w:p w14:paraId="74917E3D" w14:textId="7AD5BF4F" w:rsidR="00A26814" w:rsidRPr="003E2D55" w:rsidRDefault="00A26814" w:rsidP="00A26814">
            <w:pPr>
              <w:spacing w:before="40" w:after="20"/>
              <w:jc w:val="right"/>
              <w:rPr>
                <w:rFonts w:cs="Arial"/>
                <w:sz w:val="18"/>
                <w:szCs w:val="18"/>
              </w:rPr>
            </w:pPr>
            <w:r w:rsidRPr="003E2D55">
              <w:rPr>
                <w:rFonts w:cs="Arial"/>
                <w:sz w:val="18"/>
                <w:szCs w:val="18"/>
              </w:rPr>
              <w:t>82</w:t>
            </w:r>
          </w:p>
        </w:tc>
        <w:tc>
          <w:tcPr>
            <w:tcW w:w="737" w:type="dxa"/>
            <w:tcBorders>
              <w:top w:val="nil"/>
              <w:left w:val="nil"/>
              <w:bottom w:val="nil"/>
              <w:right w:val="nil"/>
            </w:tcBorders>
            <w:shd w:val="clear" w:color="auto" w:fill="auto"/>
            <w:vAlign w:val="bottom"/>
          </w:tcPr>
          <w:p w14:paraId="0CA4F202" w14:textId="751943CA" w:rsidR="00A26814" w:rsidRPr="003E2D55" w:rsidRDefault="00A26814" w:rsidP="00A26814">
            <w:pPr>
              <w:spacing w:before="40" w:after="20"/>
              <w:jc w:val="right"/>
              <w:rPr>
                <w:rFonts w:cs="Arial"/>
                <w:sz w:val="18"/>
                <w:szCs w:val="18"/>
              </w:rPr>
            </w:pPr>
            <w:r w:rsidRPr="003E2D55">
              <w:rPr>
                <w:rFonts w:cs="Arial"/>
                <w:sz w:val="18"/>
                <w:szCs w:val="18"/>
              </w:rPr>
              <w:t>1</w:t>
            </w:r>
          </w:p>
        </w:tc>
        <w:tc>
          <w:tcPr>
            <w:tcW w:w="737" w:type="dxa"/>
            <w:tcBorders>
              <w:top w:val="nil"/>
              <w:left w:val="nil"/>
              <w:bottom w:val="nil"/>
              <w:right w:val="nil"/>
            </w:tcBorders>
            <w:shd w:val="clear" w:color="auto" w:fill="auto"/>
            <w:vAlign w:val="bottom"/>
          </w:tcPr>
          <w:p w14:paraId="2EE4F658" w14:textId="654A9397" w:rsidR="00A26814" w:rsidRPr="003E2D55" w:rsidRDefault="00A26814" w:rsidP="00A26814">
            <w:pPr>
              <w:spacing w:before="40" w:after="20"/>
              <w:jc w:val="right"/>
              <w:rPr>
                <w:rFonts w:cs="Arial"/>
                <w:sz w:val="18"/>
                <w:szCs w:val="18"/>
              </w:rPr>
            </w:pPr>
            <w:r w:rsidRPr="003E2D55">
              <w:rPr>
                <w:rFonts w:cs="Arial"/>
                <w:sz w:val="18"/>
                <w:szCs w:val="18"/>
              </w:rPr>
              <w:t>2</w:t>
            </w:r>
          </w:p>
        </w:tc>
        <w:tc>
          <w:tcPr>
            <w:tcW w:w="737" w:type="dxa"/>
            <w:tcBorders>
              <w:top w:val="nil"/>
              <w:left w:val="nil"/>
              <w:bottom w:val="nil"/>
              <w:right w:val="nil"/>
            </w:tcBorders>
            <w:shd w:val="clear" w:color="auto" w:fill="auto"/>
            <w:vAlign w:val="bottom"/>
          </w:tcPr>
          <w:p w14:paraId="20CB499D" w14:textId="790D07C1" w:rsidR="00A26814" w:rsidRPr="003E2D55" w:rsidRDefault="00A26814" w:rsidP="00A26814">
            <w:pPr>
              <w:spacing w:before="40" w:after="2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31D3D5FE" w14:textId="03EF79A4"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26C52F77" w14:textId="151A4C3E" w:rsidR="00A26814" w:rsidRPr="003E2D55" w:rsidRDefault="00A26814" w:rsidP="00A26814">
            <w:pPr>
              <w:spacing w:before="40" w:after="20"/>
              <w:jc w:val="right"/>
              <w:rPr>
                <w:rFonts w:cs="Arial"/>
                <w:sz w:val="18"/>
                <w:szCs w:val="18"/>
              </w:rPr>
            </w:pPr>
            <w:r w:rsidRPr="003E2D55">
              <w:rPr>
                <w:rFonts w:cs="Arial"/>
                <w:sz w:val="18"/>
                <w:szCs w:val="18"/>
              </w:rPr>
              <w:t>7</w:t>
            </w:r>
          </w:p>
        </w:tc>
        <w:tc>
          <w:tcPr>
            <w:tcW w:w="737" w:type="dxa"/>
            <w:tcBorders>
              <w:top w:val="nil"/>
              <w:left w:val="nil"/>
              <w:bottom w:val="nil"/>
              <w:right w:val="nil"/>
            </w:tcBorders>
            <w:shd w:val="clear" w:color="auto" w:fill="auto"/>
            <w:vAlign w:val="bottom"/>
          </w:tcPr>
          <w:p w14:paraId="75BAB8ED" w14:textId="2CEB9AD3" w:rsidR="00A26814" w:rsidRPr="003E2D55" w:rsidRDefault="00A26814" w:rsidP="00A26814">
            <w:pPr>
              <w:spacing w:before="40" w:after="20"/>
              <w:jc w:val="right"/>
              <w:rPr>
                <w:rFonts w:cs="Arial"/>
                <w:sz w:val="18"/>
                <w:szCs w:val="18"/>
              </w:rPr>
            </w:pPr>
            <w:r w:rsidRPr="003E2D55">
              <w:rPr>
                <w:rFonts w:cs="Arial"/>
                <w:sz w:val="18"/>
                <w:szCs w:val="18"/>
              </w:rPr>
              <w:t>884</w:t>
            </w:r>
          </w:p>
        </w:tc>
        <w:tc>
          <w:tcPr>
            <w:tcW w:w="737" w:type="dxa"/>
            <w:tcBorders>
              <w:top w:val="nil"/>
              <w:left w:val="nil"/>
              <w:bottom w:val="nil"/>
              <w:right w:val="nil"/>
            </w:tcBorders>
            <w:shd w:val="clear" w:color="auto" w:fill="auto"/>
            <w:vAlign w:val="bottom"/>
          </w:tcPr>
          <w:p w14:paraId="17554DFE" w14:textId="659F623F" w:rsidR="00A26814" w:rsidRPr="003E2D55" w:rsidRDefault="00A26814" w:rsidP="00A26814">
            <w:pPr>
              <w:spacing w:before="40" w:after="20"/>
              <w:jc w:val="right"/>
              <w:rPr>
                <w:rFonts w:cs="Arial"/>
                <w:sz w:val="18"/>
                <w:szCs w:val="18"/>
              </w:rPr>
            </w:pPr>
            <w:r w:rsidRPr="003E2D55">
              <w:rPr>
                <w:rFonts w:cs="Arial"/>
                <w:sz w:val="18"/>
                <w:szCs w:val="18"/>
              </w:rPr>
              <w:t>207</w:t>
            </w:r>
          </w:p>
        </w:tc>
        <w:tc>
          <w:tcPr>
            <w:tcW w:w="737" w:type="dxa"/>
            <w:tcBorders>
              <w:top w:val="nil"/>
              <w:left w:val="nil"/>
              <w:bottom w:val="nil"/>
              <w:right w:val="nil"/>
            </w:tcBorders>
            <w:shd w:val="clear" w:color="auto" w:fill="auto"/>
            <w:vAlign w:val="bottom"/>
          </w:tcPr>
          <w:p w14:paraId="3E9DC059" w14:textId="2E8903AC"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44E8DD37" w14:textId="595EAFD4"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1C8F6B0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B46F514" w14:textId="77777777" w:rsidR="00A26814" w:rsidRPr="003E2D55" w:rsidRDefault="00A26814" w:rsidP="00A26814">
            <w:pPr>
              <w:spacing w:before="40" w:after="20"/>
              <w:rPr>
                <w:rFonts w:cs="Arial"/>
                <w:sz w:val="18"/>
                <w:szCs w:val="18"/>
              </w:rPr>
            </w:pPr>
            <w:r w:rsidRPr="003E2D55">
              <w:rPr>
                <w:rFonts w:cs="Arial"/>
                <w:sz w:val="18"/>
                <w:szCs w:val="18"/>
              </w:rPr>
              <w:t>Wangaratta RC</w:t>
            </w:r>
          </w:p>
        </w:tc>
        <w:tc>
          <w:tcPr>
            <w:tcW w:w="737" w:type="dxa"/>
            <w:tcBorders>
              <w:top w:val="nil"/>
              <w:left w:val="single" w:sz="18" w:space="0" w:color="5F497A" w:themeColor="accent4" w:themeShade="BF"/>
              <w:bottom w:val="nil"/>
              <w:right w:val="nil"/>
            </w:tcBorders>
            <w:shd w:val="clear" w:color="auto" w:fill="auto"/>
            <w:vAlign w:val="bottom"/>
          </w:tcPr>
          <w:p w14:paraId="6C350928" w14:textId="208C49C2" w:rsidR="00A26814" w:rsidRPr="003E2D55" w:rsidRDefault="00A26814" w:rsidP="00A26814">
            <w:pPr>
              <w:spacing w:before="40" w:after="20"/>
              <w:jc w:val="right"/>
              <w:rPr>
                <w:rFonts w:cs="Arial"/>
                <w:sz w:val="18"/>
                <w:szCs w:val="18"/>
              </w:rPr>
            </w:pPr>
            <w:r w:rsidRPr="003E2D55">
              <w:rPr>
                <w:rFonts w:cs="Arial"/>
                <w:sz w:val="18"/>
                <w:szCs w:val="18"/>
              </w:rPr>
              <w:t>151</w:t>
            </w:r>
          </w:p>
        </w:tc>
        <w:tc>
          <w:tcPr>
            <w:tcW w:w="737" w:type="dxa"/>
            <w:tcBorders>
              <w:top w:val="nil"/>
              <w:left w:val="nil"/>
              <w:bottom w:val="nil"/>
              <w:right w:val="nil"/>
            </w:tcBorders>
            <w:shd w:val="clear" w:color="auto" w:fill="auto"/>
            <w:vAlign w:val="bottom"/>
          </w:tcPr>
          <w:p w14:paraId="49AD3E57" w14:textId="40F666FA" w:rsidR="00A26814" w:rsidRPr="003E2D55" w:rsidRDefault="00A26814" w:rsidP="00A26814">
            <w:pPr>
              <w:spacing w:before="40" w:after="20"/>
              <w:jc w:val="right"/>
              <w:rPr>
                <w:rFonts w:cs="Arial"/>
                <w:sz w:val="18"/>
                <w:szCs w:val="18"/>
              </w:rPr>
            </w:pPr>
            <w:r w:rsidRPr="003E2D55">
              <w:rPr>
                <w:rFonts w:cs="Arial"/>
                <w:sz w:val="18"/>
                <w:szCs w:val="18"/>
              </w:rPr>
              <w:t>13</w:t>
            </w:r>
          </w:p>
        </w:tc>
        <w:tc>
          <w:tcPr>
            <w:tcW w:w="737" w:type="dxa"/>
            <w:tcBorders>
              <w:top w:val="nil"/>
              <w:left w:val="nil"/>
              <w:bottom w:val="nil"/>
              <w:right w:val="nil"/>
            </w:tcBorders>
            <w:shd w:val="clear" w:color="auto" w:fill="auto"/>
            <w:vAlign w:val="bottom"/>
          </w:tcPr>
          <w:p w14:paraId="163D5E5C" w14:textId="47D953F2" w:rsidR="00A26814" w:rsidRPr="003E2D55" w:rsidRDefault="00A26814" w:rsidP="00A26814">
            <w:pPr>
              <w:spacing w:before="40" w:after="20"/>
              <w:jc w:val="right"/>
              <w:rPr>
                <w:rFonts w:cs="Arial"/>
                <w:sz w:val="18"/>
                <w:szCs w:val="18"/>
              </w:rPr>
            </w:pPr>
            <w:r w:rsidRPr="003E2D55">
              <w:rPr>
                <w:rFonts w:cs="Arial"/>
                <w:sz w:val="18"/>
                <w:szCs w:val="18"/>
              </w:rPr>
              <w:t>32</w:t>
            </w:r>
          </w:p>
        </w:tc>
        <w:tc>
          <w:tcPr>
            <w:tcW w:w="737" w:type="dxa"/>
            <w:tcBorders>
              <w:top w:val="nil"/>
              <w:left w:val="nil"/>
              <w:bottom w:val="nil"/>
              <w:right w:val="nil"/>
            </w:tcBorders>
            <w:shd w:val="clear" w:color="auto" w:fill="auto"/>
            <w:vAlign w:val="bottom"/>
          </w:tcPr>
          <w:p w14:paraId="4B599F3A" w14:textId="77763D8F" w:rsidR="00A26814" w:rsidRPr="003E2D55" w:rsidRDefault="00A26814" w:rsidP="00A26814">
            <w:pPr>
              <w:spacing w:before="40" w:after="20"/>
              <w:jc w:val="right"/>
              <w:rPr>
                <w:rFonts w:cs="Arial"/>
                <w:sz w:val="18"/>
                <w:szCs w:val="18"/>
              </w:rPr>
            </w:pPr>
            <w:r w:rsidRPr="003E2D55">
              <w:rPr>
                <w:rFonts w:cs="Arial"/>
                <w:sz w:val="18"/>
                <w:szCs w:val="18"/>
              </w:rPr>
              <w:t>2</w:t>
            </w:r>
          </w:p>
        </w:tc>
        <w:tc>
          <w:tcPr>
            <w:tcW w:w="170" w:type="dxa"/>
            <w:tcBorders>
              <w:top w:val="nil"/>
              <w:left w:val="nil"/>
              <w:bottom w:val="nil"/>
              <w:right w:val="nil"/>
            </w:tcBorders>
            <w:shd w:val="clear" w:color="auto" w:fill="auto"/>
            <w:vAlign w:val="bottom"/>
          </w:tcPr>
          <w:p w14:paraId="483E4990" w14:textId="0E247E34"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1898FCD2" w14:textId="290A500F" w:rsidR="00A26814" w:rsidRPr="003E2D55" w:rsidRDefault="00A26814" w:rsidP="00A26814">
            <w:pPr>
              <w:spacing w:before="40" w:after="20"/>
              <w:jc w:val="right"/>
              <w:rPr>
                <w:rFonts w:cs="Arial"/>
                <w:sz w:val="18"/>
                <w:szCs w:val="18"/>
              </w:rPr>
            </w:pPr>
            <w:r w:rsidRPr="003E2D55">
              <w:rPr>
                <w:rFonts w:cs="Arial"/>
                <w:sz w:val="18"/>
                <w:szCs w:val="18"/>
              </w:rPr>
              <w:t>116</w:t>
            </w:r>
          </w:p>
        </w:tc>
        <w:tc>
          <w:tcPr>
            <w:tcW w:w="737" w:type="dxa"/>
            <w:tcBorders>
              <w:top w:val="nil"/>
              <w:left w:val="nil"/>
              <w:bottom w:val="nil"/>
              <w:right w:val="nil"/>
            </w:tcBorders>
            <w:shd w:val="clear" w:color="auto" w:fill="auto"/>
            <w:vAlign w:val="bottom"/>
          </w:tcPr>
          <w:p w14:paraId="4027C028" w14:textId="0BAE07A6" w:rsidR="00A26814" w:rsidRPr="003E2D55" w:rsidRDefault="00A26814" w:rsidP="00A26814">
            <w:pPr>
              <w:spacing w:before="40" w:after="20"/>
              <w:jc w:val="right"/>
              <w:rPr>
                <w:rFonts w:cs="Arial"/>
                <w:sz w:val="18"/>
                <w:szCs w:val="18"/>
              </w:rPr>
            </w:pPr>
            <w:r w:rsidRPr="003E2D55">
              <w:rPr>
                <w:rFonts w:cs="Arial"/>
                <w:sz w:val="18"/>
                <w:szCs w:val="18"/>
              </w:rPr>
              <w:t>1,273</w:t>
            </w:r>
          </w:p>
        </w:tc>
        <w:tc>
          <w:tcPr>
            <w:tcW w:w="737" w:type="dxa"/>
            <w:tcBorders>
              <w:top w:val="nil"/>
              <w:left w:val="nil"/>
              <w:bottom w:val="nil"/>
              <w:right w:val="nil"/>
            </w:tcBorders>
            <w:shd w:val="clear" w:color="auto" w:fill="auto"/>
            <w:vAlign w:val="bottom"/>
          </w:tcPr>
          <w:p w14:paraId="50039D64" w14:textId="2E6827A0" w:rsidR="00A26814" w:rsidRPr="003E2D55" w:rsidRDefault="00A26814" w:rsidP="00A26814">
            <w:pPr>
              <w:spacing w:before="40" w:after="20"/>
              <w:jc w:val="right"/>
              <w:rPr>
                <w:rFonts w:cs="Arial"/>
                <w:sz w:val="18"/>
                <w:szCs w:val="18"/>
              </w:rPr>
            </w:pPr>
            <w:r w:rsidRPr="003E2D55">
              <w:rPr>
                <w:rFonts w:cs="Arial"/>
                <w:sz w:val="18"/>
                <w:szCs w:val="18"/>
              </w:rPr>
              <w:t>335</w:t>
            </w:r>
          </w:p>
        </w:tc>
        <w:tc>
          <w:tcPr>
            <w:tcW w:w="737" w:type="dxa"/>
            <w:tcBorders>
              <w:top w:val="nil"/>
              <w:left w:val="nil"/>
              <w:bottom w:val="nil"/>
              <w:right w:val="nil"/>
            </w:tcBorders>
            <w:shd w:val="clear" w:color="auto" w:fill="auto"/>
            <w:vAlign w:val="bottom"/>
          </w:tcPr>
          <w:p w14:paraId="35B9DD85" w14:textId="6CC4E111" w:rsidR="00A26814" w:rsidRPr="003E2D55" w:rsidRDefault="00A26814" w:rsidP="00A26814">
            <w:pPr>
              <w:spacing w:before="40" w:after="20"/>
              <w:jc w:val="right"/>
              <w:rPr>
                <w:rFonts w:cs="Arial"/>
                <w:sz w:val="18"/>
                <w:szCs w:val="18"/>
              </w:rPr>
            </w:pPr>
            <w:r w:rsidRPr="003E2D55">
              <w:rPr>
                <w:rFonts w:cs="Arial"/>
                <w:sz w:val="18"/>
                <w:szCs w:val="18"/>
              </w:rPr>
              <w:t>30</w:t>
            </w:r>
          </w:p>
        </w:tc>
        <w:tc>
          <w:tcPr>
            <w:tcW w:w="737" w:type="dxa"/>
            <w:tcBorders>
              <w:top w:val="nil"/>
              <w:left w:val="nil"/>
              <w:bottom w:val="nil"/>
              <w:right w:val="nil"/>
            </w:tcBorders>
            <w:shd w:val="clear" w:color="auto" w:fill="auto"/>
            <w:vAlign w:val="bottom"/>
          </w:tcPr>
          <w:p w14:paraId="36740924" w14:textId="57FB2F01" w:rsidR="00A26814" w:rsidRPr="003E2D55" w:rsidRDefault="00A26814" w:rsidP="00A26814">
            <w:pPr>
              <w:spacing w:before="40" w:after="20"/>
              <w:jc w:val="right"/>
              <w:rPr>
                <w:rFonts w:cs="Arial"/>
                <w:sz w:val="18"/>
                <w:szCs w:val="18"/>
              </w:rPr>
            </w:pPr>
            <w:r w:rsidRPr="003E2D55">
              <w:rPr>
                <w:rFonts w:cs="Arial"/>
                <w:sz w:val="18"/>
                <w:szCs w:val="18"/>
              </w:rPr>
              <w:t>10</w:t>
            </w:r>
          </w:p>
        </w:tc>
      </w:tr>
      <w:tr w:rsidR="00A26814" w:rsidRPr="003E2D55" w14:paraId="77974A2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50A4AFB" w14:textId="77777777" w:rsidR="00A26814" w:rsidRPr="003E2D55" w:rsidRDefault="00A26814" w:rsidP="00A26814">
            <w:pPr>
              <w:spacing w:before="40" w:after="20"/>
              <w:rPr>
                <w:rFonts w:cs="Arial"/>
                <w:sz w:val="18"/>
                <w:szCs w:val="18"/>
              </w:rPr>
            </w:pPr>
            <w:r w:rsidRPr="003E2D55">
              <w:rPr>
                <w:rFonts w:cs="Arial"/>
                <w:sz w:val="18"/>
                <w:szCs w:val="18"/>
              </w:rPr>
              <w:t>Warrnambool C</w:t>
            </w:r>
          </w:p>
        </w:tc>
        <w:tc>
          <w:tcPr>
            <w:tcW w:w="737" w:type="dxa"/>
            <w:tcBorders>
              <w:top w:val="nil"/>
              <w:left w:val="single" w:sz="18" w:space="0" w:color="5F497A" w:themeColor="accent4" w:themeShade="BF"/>
              <w:bottom w:val="nil"/>
              <w:right w:val="nil"/>
            </w:tcBorders>
            <w:shd w:val="clear" w:color="auto" w:fill="auto"/>
            <w:vAlign w:val="bottom"/>
          </w:tcPr>
          <w:p w14:paraId="36EB4BB0" w14:textId="5A470D82" w:rsidR="00A26814" w:rsidRPr="003E2D55" w:rsidRDefault="00A26814" w:rsidP="00A26814">
            <w:pPr>
              <w:spacing w:before="40" w:after="20"/>
              <w:jc w:val="right"/>
              <w:rPr>
                <w:rFonts w:cs="Arial"/>
                <w:sz w:val="18"/>
                <w:szCs w:val="18"/>
              </w:rPr>
            </w:pPr>
            <w:r w:rsidRPr="003E2D55">
              <w:rPr>
                <w:rFonts w:cs="Arial"/>
                <w:sz w:val="18"/>
                <w:szCs w:val="18"/>
              </w:rPr>
              <w:t>156</w:t>
            </w:r>
          </w:p>
        </w:tc>
        <w:tc>
          <w:tcPr>
            <w:tcW w:w="737" w:type="dxa"/>
            <w:tcBorders>
              <w:top w:val="nil"/>
              <w:left w:val="nil"/>
              <w:bottom w:val="nil"/>
              <w:right w:val="nil"/>
            </w:tcBorders>
            <w:shd w:val="clear" w:color="auto" w:fill="auto"/>
            <w:vAlign w:val="bottom"/>
          </w:tcPr>
          <w:p w14:paraId="7BC363DE" w14:textId="72DE0D63" w:rsidR="00A26814" w:rsidRPr="003E2D55" w:rsidRDefault="00A26814" w:rsidP="00A26814">
            <w:pPr>
              <w:spacing w:before="40" w:after="20"/>
              <w:jc w:val="right"/>
              <w:rPr>
                <w:rFonts w:cs="Arial"/>
                <w:sz w:val="18"/>
                <w:szCs w:val="18"/>
              </w:rPr>
            </w:pPr>
            <w:r w:rsidRPr="003E2D55">
              <w:rPr>
                <w:rFonts w:cs="Arial"/>
                <w:sz w:val="18"/>
                <w:szCs w:val="18"/>
              </w:rPr>
              <w:t>25</w:t>
            </w:r>
          </w:p>
        </w:tc>
        <w:tc>
          <w:tcPr>
            <w:tcW w:w="737" w:type="dxa"/>
            <w:tcBorders>
              <w:top w:val="nil"/>
              <w:left w:val="nil"/>
              <w:bottom w:val="nil"/>
              <w:right w:val="nil"/>
            </w:tcBorders>
            <w:shd w:val="clear" w:color="auto" w:fill="auto"/>
            <w:vAlign w:val="bottom"/>
          </w:tcPr>
          <w:p w14:paraId="11DB400D" w14:textId="4BB49503" w:rsidR="00A26814" w:rsidRPr="003E2D55" w:rsidRDefault="00A26814" w:rsidP="00A26814">
            <w:pPr>
              <w:spacing w:before="40" w:after="20"/>
              <w:jc w:val="right"/>
              <w:rPr>
                <w:rFonts w:cs="Arial"/>
                <w:sz w:val="18"/>
                <w:szCs w:val="18"/>
              </w:rPr>
            </w:pPr>
            <w:r w:rsidRPr="003E2D55">
              <w:rPr>
                <w:rFonts w:cs="Arial"/>
                <w:sz w:val="18"/>
                <w:szCs w:val="18"/>
              </w:rPr>
              <w:t>72</w:t>
            </w:r>
          </w:p>
        </w:tc>
        <w:tc>
          <w:tcPr>
            <w:tcW w:w="737" w:type="dxa"/>
            <w:tcBorders>
              <w:top w:val="nil"/>
              <w:left w:val="nil"/>
              <w:bottom w:val="nil"/>
              <w:right w:val="nil"/>
            </w:tcBorders>
            <w:shd w:val="clear" w:color="auto" w:fill="auto"/>
            <w:vAlign w:val="bottom"/>
          </w:tcPr>
          <w:p w14:paraId="2334E4B4" w14:textId="69C56C47" w:rsidR="00A26814" w:rsidRPr="003E2D55" w:rsidRDefault="00A26814" w:rsidP="00A26814">
            <w:pPr>
              <w:spacing w:before="40" w:after="20"/>
              <w:jc w:val="right"/>
              <w:rPr>
                <w:rFonts w:cs="Arial"/>
                <w:sz w:val="18"/>
                <w:szCs w:val="18"/>
              </w:rPr>
            </w:pPr>
            <w:r w:rsidRPr="003E2D55">
              <w:rPr>
                <w:rFonts w:cs="Arial"/>
                <w:sz w:val="18"/>
                <w:szCs w:val="18"/>
              </w:rPr>
              <w:t>11</w:t>
            </w:r>
          </w:p>
        </w:tc>
        <w:tc>
          <w:tcPr>
            <w:tcW w:w="170" w:type="dxa"/>
            <w:tcBorders>
              <w:top w:val="nil"/>
              <w:left w:val="nil"/>
              <w:bottom w:val="nil"/>
              <w:right w:val="nil"/>
            </w:tcBorders>
            <w:shd w:val="clear" w:color="auto" w:fill="auto"/>
            <w:vAlign w:val="bottom"/>
          </w:tcPr>
          <w:p w14:paraId="3F3686C9" w14:textId="55D7D7FA"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29DDAC1B" w14:textId="54857925" w:rsidR="00A26814" w:rsidRPr="003E2D55" w:rsidRDefault="00A26814" w:rsidP="00A26814">
            <w:pPr>
              <w:spacing w:before="40" w:after="20"/>
              <w:jc w:val="right"/>
              <w:rPr>
                <w:rFonts w:cs="Arial"/>
                <w:sz w:val="18"/>
                <w:szCs w:val="18"/>
              </w:rPr>
            </w:pPr>
            <w:r w:rsidRPr="003E2D55">
              <w:rPr>
                <w:rFonts w:cs="Arial"/>
                <w:sz w:val="18"/>
                <w:szCs w:val="18"/>
              </w:rPr>
              <w:t>6</w:t>
            </w:r>
          </w:p>
        </w:tc>
        <w:tc>
          <w:tcPr>
            <w:tcW w:w="737" w:type="dxa"/>
            <w:tcBorders>
              <w:top w:val="nil"/>
              <w:left w:val="nil"/>
              <w:bottom w:val="nil"/>
              <w:right w:val="nil"/>
            </w:tcBorders>
            <w:shd w:val="clear" w:color="auto" w:fill="auto"/>
            <w:vAlign w:val="bottom"/>
          </w:tcPr>
          <w:p w14:paraId="38204E8B" w14:textId="1F856CCA" w:rsidR="00A26814" w:rsidRPr="003E2D55" w:rsidRDefault="00A26814" w:rsidP="00A26814">
            <w:pPr>
              <w:spacing w:before="40" w:after="20"/>
              <w:jc w:val="right"/>
              <w:rPr>
                <w:rFonts w:cs="Arial"/>
                <w:sz w:val="18"/>
                <w:szCs w:val="18"/>
              </w:rPr>
            </w:pPr>
            <w:r w:rsidRPr="003E2D55">
              <w:rPr>
                <w:rFonts w:cs="Arial"/>
                <w:sz w:val="18"/>
                <w:szCs w:val="18"/>
              </w:rPr>
              <w:t>22</w:t>
            </w:r>
          </w:p>
        </w:tc>
        <w:tc>
          <w:tcPr>
            <w:tcW w:w="737" w:type="dxa"/>
            <w:tcBorders>
              <w:top w:val="nil"/>
              <w:left w:val="nil"/>
              <w:bottom w:val="nil"/>
              <w:right w:val="nil"/>
            </w:tcBorders>
            <w:shd w:val="clear" w:color="auto" w:fill="auto"/>
            <w:vAlign w:val="bottom"/>
          </w:tcPr>
          <w:p w14:paraId="4A71EFF4" w14:textId="5CAB4DE2" w:rsidR="00A26814" w:rsidRPr="003E2D55" w:rsidRDefault="00A26814" w:rsidP="00A26814">
            <w:pPr>
              <w:spacing w:before="40" w:after="20"/>
              <w:jc w:val="right"/>
              <w:rPr>
                <w:rFonts w:cs="Arial"/>
                <w:sz w:val="18"/>
                <w:szCs w:val="18"/>
              </w:rPr>
            </w:pPr>
            <w:r w:rsidRPr="003E2D55">
              <w:rPr>
                <w:rFonts w:cs="Arial"/>
                <w:sz w:val="18"/>
                <w:szCs w:val="18"/>
              </w:rPr>
              <w:t>35</w:t>
            </w:r>
          </w:p>
        </w:tc>
        <w:tc>
          <w:tcPr>
            <w:tcW w:w="737" w:type="dxa"/>
            <w:tcBorders>
              <w:top w:val="nil"/>
              <w:left w:val="nil"/>
              <w:bottom w:val="nil"/>
              <w:right w:val="nil"/>
            </w:tcBorders>
            <w:shd w:val="clear" w:color="auto" w:fill="auto"/>
            <w:vAlign w:val="bottom"/>
          </w:tcPr>
          <w:p w14:paraId="100F4C18" w14:textId="32D7C266" w:rsidR="00A26814" w:rsidRPr="003E2D55" w:rsidRDefault="00A26814" w:rsidP="00A26814">
            <w:pPr>
              <w:spacing w:before="40" w:after="20"/>
              <w:jc w:val="right"/>
              <w:rPr>
                <w:rFonts w:cs="Arial"/>
                <w:sz w:val="18"/>
                <w:szCs w:val="18"/>
              </w:rPr>
            </w:pPr>
            <w:r w:rsidRPr="003E2D55">
              <w:rPr>
                <w:rFonts w:cs="Arial"/>
                <w:sz w:val="18"/>
                <w:szCs w:val="18"/>
              </w:rPr>
              <w:t>3</w:t>
            </w:r>
          </w:p>
        </w:tc>
        <w:tc>
          <w:tcPr>
            <w:tcW w:w="737" w:type="dxa"/>
            <w:tcBorders>
              <w:top w:val="nil"/>
              <w:left w:val="nil"/>
              <w:bottom w:val="nil"/>
              <w:right w:val="nil"/>
            </w:tcBorders>
            <w:shd w:val="clear" w:color="auto" w:fill="auto"/>
            <w:vAlign w:val="bottom"/>
          </w:tcPr>
          <w:p w14:paraId="35E6F023" w14:textId="1A49A118" w:rsidR="00A26814" w:rsidRPr="003E2D55" w:rsidRDefault="00A26814" w:rsidP="00A26814">
            <w:pPr>
              <w:spacing w:before="40" w:after="20"/>
              <w:jc w:val="right"/>
              <w:rPr>
                <w:rFonts w:cs="Arial"/>
                <w:sz w:val="18"/>
                <w:szCs w:val="18"/>
              </w:rPr>
            </w:pPr>
            <w:r w:rsidRPr="003E2D55">
              <w:rPr>
                <w:rFonts w:cs="Arial"/>
                <w:sz w:val="18"/>
                <w:szCs w:val="18"/>
              </w:rPr>
              <w:t>5</w:t>
            </w:r>
          </w:p>
        </w:tc>
      </w:tr>
      <w:tr w:rsidR="00A26814" w:rsidRPr="003E2D55" w14:paraId="0F2066B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2039E8C" w14:textId="77777777" w:rsidR="00A26814" w:rsidRPr="003E2D55" w:rsidRDefault="00A26814" w:rsidP="00A26814">
            <w:pPr>
              <w:spacing w:before="40" w:after="20"/>
              <w:rPr>
                <w:rFonts w:cs="Arial"/>
                <w:sz w:val="18"/>
                <w:szCs w:val="18"/>
              </w:rPr>
            </w:pPr>
            <w:r w:rsidRPr="003E2D55">
              <w:rPr>
                <w:rFonts w:cs="Arial"/>
                <w:sz w:val="18"/>
                <w:szCs w:val="18"/>
              </w:rPr>
              <w:t>Wellington S</w:t>
            </w:r>
          </w:p>
        </w:tc>
        <w:tc>
          <w:tcPr>
            <w:tcW w:w="737" w:type="dxa"/>
            <w:tcBorders>
              <w:top w:val="nil"/>
              <w:left w:val="single" w:sz="18" w:space="0" w:color="5F497A" w:themeColor="accent4" w:themeShade="BF"/>
              <w:bottom w:val="nil"/>
              <w:right w:val="nil"/>
            </w:tcBorders>
            <w:shd w:val="clear" w:color="auto" w:fill="auto"/>
            <w:vAlign w:val="bottom"/>
          </w:tcPr>
          <w:p w14:paraId="5FE60A25" w14:textId="15B5C7A0" w:rsidR="00A26814" w:rsidRPr="003E2D55" w:rsidRDefault="00A26814" w:rsidP="00A26814">
            <w:pPr>
              <w:spacing w:before="40" w:after="20"/>
              <w:jc w:val="right"/>
              <w:rPr>
                <w:rFonts w:cs="Arial"/>
                <w:sz w:val="18"/>
                <w:szCs w:val="18"/>
              </w:rPr>
            </w:pPr>
            <w:r w:rsidRPr="003E2D55">
              <w:rPr>
                <w:rFonts w:cs="Arial"/>
                <w:sz w:val="18"/>
                <w:szCs w:val="18"/>
              </w:rPr>
              <w:t>99</w:t>
            </w:r>
          </w:p>
        </w:tc>
        <w:tc>
          <w:tcPr>
            <w:tcW w:w="737" w:type="dxa"/>
            <w:tcBorders>
              <w:top w:val="nil"/>
              <w:left w:val="nil"/>
              <w:bottom w:val="nil"/>
              <w:right w:val="nil"/>
            </w:tcBorders>
            <w:shd w:val="clear" w:color="auto" w:fill="auto"/>
            <w:vAlign w:val="bottom"/>
          </w:tcPr>
          <w:p w14:paraId="17200A82" w14:textId="79B7F78C" w:rsidR="00A26814" w:rsidRPr="003E2D55" w:rsidRDefault="00A26814" w:rsidP="00A26814">
            <w:pPr>
              <w:spacing w:before="40" w:after="20"/>
              <w:jc w:val="right"/>
              <w:rPr>
                <w:rFonts w:cs="Arial"/>
                <w:sz w:val="18"/>
                <w:szCs w:val="18"/>
              </w:rPr>
            </w:pPr>
            <w:r w:rsidRPr="003E2D55">
              <w:rPr>
                <w:rFonts w:cs="Arial"/>
                <w:sz w:val="18"/>
                <w:szCs w:val="18"/>
              </w:rPr>
              <w:t>50</w:t>
            </w:r>
          </w:p>
        </w:tc>
        <w:tc>
          <w:tcPr>
            <w:tcW w:w="737" w:type="dxa"/>
            <w:tcBorders>
              <w:top w:val="nil"/>
              <w:left w:val="nil"/>
              <w:bottom w:val="nil"/>
              <w:right w:val="nil"/>
            </w:tcBorders>
            <w:shd w:val="clear" w:color="auto" w:fill="auto"/>
            <w:vAlign w:val="bottom"/>
          </w:tcPr>
          <w:p w14:paraId="433FD845" w14:textId="21A0BF6E" w:rsidR="00A26814" w:rsidRPr="003E2D55" w:rsidRDefault="00A26814" w:rsidP="00A26814">
            <w:pPr>
              <w:spacing w:before="40" w:after="20"/>
              <w:jc w:val="right"/>
              <w:rPr>
                <w:rFonts w:cs="Arial"/>
                <w:sz w:val="18"/>
                <w:szCs w:val="18"/>
              </w:rPr>
            </w:pPr>
            <w:r w:rsidRPr="003E2D55">
              <w:rPr>
                <w:rFonts w:cs="Arial"/>
                <w:sz w:val="18"/>
                <w:szCs w:val="18"/>
              </w:rPr>
              <w:t>36</w:t>
            </w:r>
          </w:p>
        </w:tc>
        <w:tc>
          <w:tcPr>
            <w:tcW w:w="737" w:type="dxa"/>
            <w:tcBorders>
              <w:top w:val="nil"/>
              <w:left w:val="nil"/>
              <w:bottom w:val="nil"/>
              <w:right w:val="nil"/>
            </w:tcBorders>
            <w:shd w:val="clear" w:color="auto" w:fill="auto"/>
            <w:vAlign w:val="bottom"/>
          </w:tcPr>
          <w:p w14:paraId="0358AE01" w14:textId="2EDCA552" w:rsidR="00A26814" w:rsidRPr="003E2D55" w:rsidRDefault="00A26814" w:rsidP="00A26814">
            <w:pPr>
              <w:spacing w:before="40" w:after="2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7C181528" w14:textId="61BF03C4"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42F09398" w14:textId="78007341"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225B15FF" w14:textId="44528AE3" w:rsidR="00A26814" w:rsidRPr="003E2D55" w:rsidRDefault="00A26814" w:rsidP="00A26814">
            <w:pPr>
              <w:spacing w:before="40" w:after="20"/>
              <w:jc w:val="right"/>
              <w:rPr>
                <w:rFonts w:cs="Arial"/>
                <w:sz w:val="18"/>
                <w:szCs w:val="18"/>
              </w:rPr>
            </w:pPr>
            <w:r w:rsidRPr="003E2D55">
              <w:rPr>
                <w:rFonts w:cs="Arial"/>
                <w:sz w:val="18"/>
                <w:szCs w:val="18"/>
              </w:rPr>
              <w:t>1,379</w:t>
            </w:r>
          </w:p>
        </w:tc>
        <w:tc>
          <w:tcPr>
            <w:tcW w:w="737" w:type="dxa"/>
            <w:tcBorders>
              <w:top w:val="nil"/>
              <w:left w:val="nil"/>
              <w:bottom w:val="nil"/>
              <w:right w:val="nil"/>
            </w:tcBorders>
            <w:shd w:val="clear" w:color="auto" w:fill="auto"/>
            <w:vAlign w:val="bottom"/>
          </w:tcPr>
          <w:p w14:paraId="1B67A112" w14:textId="2DA6ED20" w:rsidR="00A26814" w:rsidRPr="003E2D55" w:rsidRDefault="00A26814" w:rsidP="00A26814">
            <w:pPr>
              <w:spacing w:before="40" w:after="20"/>
              <w:jc w:val="right"/>
              <w:rPr>
                <w:rFonts w:cs="Arial"/>
                <w:sz w:val="18"/>
                <w:szCs w:val="18"/>
              </w:rPr>
            </w:pPr>
            <w:r w:rsidRPr="003E2D55">
              <w:rPr>
                <w:rFonts w:cs="Arial"/>
                <w:sz w:val="18"/>
                <w:szCs w:val="18"/>
              </w:rPr>
              <w:t>1,045</w:t>
            </w:r>
          </w:p>
        </w:tc>
        <w:tc>
          <w:tcPr>
            <w:tcW w:w="737" w:type="dxa"/>
            <w:tcBorders>
              <w:top w:val="nil"/>
              <w:left w:val="nil"/>
              <w:bottom w:val="nil"/>
              <w:right w:val="nil"/>
            </w:tcBorders>
            <w:shd w:val="clear" w:color="auto" w:fill="auto"/>
            <w:vAlign w:val="bottom"/>
          </w:tcPr>
          <w:p w14:paraId="719AE350" w14:textId="77E3A31D" w:rsidR="00A26814" w:rsidRPr="003E2D55" w:rsidRDefault="00A26814" w:rsidP="00A26814">
            <w:pPr>
              <w:spacing w:before="40" w:after="20"/>
              <w:jc w:val="right"/>
              <w:rPr>
                <w:rFonts w:cs="Arial"/>
                <w:sz w:val="18"/>
                <w:szCs w:val="18"/>
              </w:rPr>
            </w:pPr>
            <w:r w:rsidRPr="003E2D55">
              <w:rPr>
                <w:rFonts w:cs="Arial"/>
                <w:sz w:val="18"/>
                <w:szCs w:val="18"/>
              </w:rPr>
              <w:t>310</w:t>
            </w:r>
          </w:p>
        </w:tc>
        <w:tc>
          <w:tcPr>
            <w:tcW w:w="737" w:type="dxa"/>
            <w:tcBorders>
              <w:top w:val="nil"/>
              <w:left w:val="nil"/>
              <w:bottom w:val="nil"/>
              <w:right w:val="nil"/>
            </w:tcBorders>
            <w:shd w:val="clear" w:color="auto" w:fill="auto"/>
            <w:vAlign w:val="bottom"/>
          </w:tcPr>
          <w:p w14:paraId="5E0F619B" w14:textId="72F57C1A" w:rsidR="00A26814" w:rsidRPr="003E2D55" w:rsidRDefault="00A26814" w:rsidP="00A26814">
            <w:pPr>
              <w:spacing w:before="40" w:after="20"/>
              <w:jc w:val="right"/>
              <w:rPr>
                <w:rFonts w:cs="Arial"/>
                <w:sz w:val="18"/>
                <w:szCs w:val="18"/>
              </w:rPr>
            </w:pPr>
            <w:r w:rsidRPr="003E2D55">
              <w:rPr>
                <w:rFonts w:cs="Arial"/>
                <w:sz w:val="18"/>
                <w:szCs w:val="18"/>
              </w:rPr>
              <w:t>112</w:t>
            </w:r>
          </w:p>
        </w:tc>
      </w:tr>
      <w:tr w:rsidR="00A26814" w:rsidRPr="003E2D55" w14:paraId="3E15A77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911CB3A" w14:textId="77777777" w:rsidR="00A26814" w:rsidRPr="003E2D55" w:rsidRDefault="00A26814" w:rsidP="00A26814">
            <w:pPr>
              <w:spacing w:before="40" w:after="20"/>
              <w:rPr>
                <w:rFonts w:cs="Arial"/>
                <w:sz w:val="18"/>
                <w:szCs w:val="18"/>
              </w:rPr>
            </w:pPr>
            <w:r w:rsidRPr="003E2D55">
              <w:rPr>
                <w:rFonts w:cs="Arial"/>
                <w:sz w:val="18"/>
                <w:szCs w:val="18"/>
              </w:rPr>
              <w:t>West Wimmera S</w:t>
            </w:r>
          </w:p>
        </w:tc>
        <w:tc>
          <w:tcPr>
            <w:tcW w:w="737" w:type="dxa"/>
            <w:tcBorders>
              <w:top w:val="nil"/>
              <w:left w:val="single" w:sz="18" w:space="0" w:color="5F497A" w:themeColor="accent4" w:themeShade="BF"/>
              <w:bottom w:val="nil"/>
              <w:right w:val="nil"/>
            </w:tcBorders>
            <w:shd w:val="clear" w:color="auto" w:fill="auto"/>
            <w:vAlign w:val="bottom"/>
          </w:tcPr>
          <w:p w14:paraId="6AAE7238" w14:textId="4EA6F94A" w:rsidR="00A26814" w:rsidRPr="003E2D55" w:rsidRDefault="00A26814" w:rsidP="00A26814">
            <w:pPr>
              <w:spacing w:before="40" w:after="20"/>
              <w:jc w:val="right"/>
              <w:rPr>
                <w:rFonts w:cs="Arial"/>
                <w:sz w:val="18"/>
                <w:szCs w:val="18"/>
              </w:rPr>
            </w:pPr>
            <w:r w:rsidRPr="003E2D55">
              <w:rPr>
                <w:rFonts w:cs="Arial"/>
                <w:sz w:val="18"/>
                <w:szCs w:val="18"/>
              </w:rPr>
              <w:t>77</w:t>
            </w:r>
          </w:p>
        </w:tc>
        <w:tc>
          <w:tcPr>
            <w:tcW w:w="737" w:type="dxa"/>
            <w:tcBorders>
              <w:top w:val="nil"/>
              <w:left w:val="nil"/>
              <w:bottom w:val="nil"/>
              <w:right w:val="nil"/>
            </w:tcBorders>
            <w:shd w:val="clear" w:color="auto" w:fill="auto"/>
            <w:vAlign w:val="bottom"/>
          </w:tcPr>
          <w:p w14:paraId="4160BBBD" w14:textId="76B671DB" w:rsidR="00A26814" w:rsidRPr="003E2D55" w:rsidRDefault="00A26814" w:rsidP="00A26814">
            <w:pPr>
              <w:spacing w:before="40" w:after="20"/>
              <w:jc w:val="right"/>
              <w:rPr>
                <w:rFonts w:cs="Arial"/>
                <w:sz w:val="18"/>
                <w:szCs w:val="18"/>
              </w:rPr>
            </w:pPr>
            <w:r w:rsidRPr="003E2D55">
              <w:rPr>
                <w:rFonts w:cs="Arial"/>
                <w:sz w:val="18"/>
                <w:szCs w:val="18"/>
              </w:rPr>
              <w:t>1</w:t>
            </w:r>
          </w:p>
        </w:tc>
        <w:tc>
          <w:tcPr>
            <w:tcW w:w="737" w:type="dxa"/>
            <w:tcBorders>
              <w:top w:val="nil"/>
              <w:left w:val="nil"/>
              <w:bottom w:val="nil"/>
              <w:right w:val="nil"/>
            </w:tcBorders>
            <w:shd w:val="clear" w:color="auto" w:fill="auto"/>
            <w:vAlign w:val="bottom"/>
          </w:tcPr>
          <w:p w14:paraId="370F22FE" w14:textId="503AE6ED"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5ABE423D" w14:textId="7EBA0269" w:rsidR="00A26814" w:rsidRPr="003E2D55" w:rsidRDefault="00A26814" w:rsidP="00A26814">
            <w:pPr>
              <w:spacing w:before="40" w:after="20"/>
              <w:jc w:val="right"/>
              <w:rPr>
                <w:rFonts w:cs="Arial"/>
                <w:sz w:val="18"/>
                <w:szCs w:val="18"/>
              </w:rPr>
            </w:pPr>
            <w:r w:rsidRPr="003E2D55">
              <w:rPr>
                <w:rFonts w:cs="Arial"/>
                <w:sz w:val="18"/>
                <w:szCs w:val="18"/>
              </w:rPr>
              <w:t>0</w:t>
            </w:r>
          </w:p>
        </w:tc>
        <w:tc>
          <w:tcPr>
            <w:tcW w:w="170" w:type="dxa"/>
            <w:tcBorders>
              <w:top w:val="nil"/>
              <w:left w:val="nil"/>
              <w:bottom w:val="nil"/>
              <w:right w:val="nil"/>
            </w:tcBorders>
            <w:shd w:val="clear" w:color="auto" w:fill="auto"/>
            <w:vAlign w:val="bottom"/>
          </w:tcPr>
          <w:p w14:paraId="50000171" w14:textId="40FB8110"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2B441961" w14:textId="0B9313AA" w:rsidR="00A26814" w:rsidRPr="003E2D55" w:rsidRDefault="00A26814" w:rsidP="00A26814">
            <w:pPr>
              <w:spacing w:before="40" w:after="20"/>
              <w:jc w:val="right"/>
              <w:rPr>
                <w:rFonts w:cs="Arial"/>
                <w:sz w:val="18"/>
                <w:szCs w:val="18"/>
              </w:rPr>
            </w:pPr>
            <w:r w:rsidRPr="003E2D55">
              <w:rPr>
                <w:rFonts w:cs="Arial"/>
                <w:sz w:val="18"/>
                <w:szCs w:val="18"/>
              </w:rPr>
              <w:t>530</w:t>
            </w:r>
          </w:p>
        </w:tc>
        <w:tc>
          <w:tcPr>
            <w:tcW w:w="737" w:type="dxa"/>
            <w:tcBorders>
              <w:top w:val="nil"/>
              <w:left w:val="nil"/>
              <w:bottom w:val="nil"/>
              <w:right w:val="nil"/>
            </w:tcBorders>
            <w:shd w:val="clear" w:color="auto" w:fill="auto"/>
            <w:vAlign w:val="bottom"/>
          </w:tcPr>
          <w:p w14:paraId="6E8E6318" w14:textId="246613DC" w:rsidR="00A26814" w:rsidRPr="003E2D55" w:rsidRDefault="00A26814" w:rsidP="00A26814">
            <w:pPr>
              <w:spacing w:before="40" w:after="20"/>
              <w:jc w:val="right"/>
              <w:rPr>
                <w:rFonts w:cs="Arial"/>
                <w:sz w:val="18"/>
                <w:szCs w:val="18"/>
              </w:rPr>
            </w:pPr>
            <w:r w:rsidRPr="003E2D55">
              <w:rPr>
                <w:rFonts w:cs="Arial"/>
                <w:sz w:val="18"/>
                <w:szCs w:val="18"/>
              </w:rPr>
              <w:t>2,077</w:t>
            </w:r>
          </w:p>
        </w:tc>
        <w:tc>
          <w:tcPr>
            <w:tcW w:w="737" w:type="dxa"/>
            <w:tcBorders>
              <w:top w:val="nil"/>
              <w:left w:val="nil"/>
              <w:bottom w:val="nil"/>
              <w:right w:val="nil"/>
            </w:tcBorders>
            <w:shd w:val="clear" w:color="auto" w:fill="auto"/>
            <w:vAlign w:val="bottom"/>
          </w:tcPr>
          <w:p w14:paraId="677C8D26" w14:textId="7B14B41D" w:rsidR="00A26814" w:rsidRPr="003E2D55" w:rsidRDefault="00A26814" w:rsidP="00A26814">
            <w:pPr>
              <w:spacing w:before="40" w:after="20"/>
              <w:jc w:val="right"/>
              <w:rPr>
                <w:rFonts w:cs="Arial"/>
                <w:sz w:val="18"/>
                <w:szCs w:val="18"/>
              </w:rPr>
            </w:pPr>
            <w:r w:rsidRPr="003E2D55">
              <w:rPr>
                <w:rFonts w:cs="Arial"/>
                <w:sz w:val="18"/>
                <w:szCs w:val="18"/>
              </w:rPr>
              <w:t>124</w:t>
            </w:r>
          </w:p>
        </w:tc>
        <w:tc>
          <w:tcPr>
            <w:tcW w:w="737" w:type="dxa"/>
            <w:tcBorders>
              <w:top w:val="nil"/>
              <w:left w:val="nil"/>
              <w:bottom w:val="nil"/>
              <w:right w:val="nil"/>
            </w:tcBorders>
            <w:shd w:val="clear" w:color="auto" w:fill="auto"/>
            <w:vAlign w:val="bottom"/>
          </w:tcPr>
          <w:p w14:paraId="303FC758" w14:textId="644EAA87"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19CF3AF6" w14:textId="38F0EFC2"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7871ACE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FC7421F" w14:textId="77777777" w:rsidR="00A26814" w:rsidRPr="003E2D55" w:rsidRDefault="00A26814" w:rsidP="00A26814">
            <w:pPr>
              <w:spacing w:before="40" w:after="20"/>
              <w:rPr>
                <w:rFonts w:cs="Arial"/>
                <w:sz w:val="18"/>
                <w:szCs w:val="18"/>
              </w:rPr>
            </w:pPr>
            <w:r w:rsidRPr="003E2D55">
              <w:rPr>
                <w:rFonts w:cs="Arial"/>
                <w:sz w:val="18"/>
                <w:szCs w:val="18"/>
              </w:rPr>
              <w:t>Whitehorse C</w:t>
            </w:r>
          </w:p>
        </w:tc>
        <w:tc>
          <w:tcPr>
            <w:tcW w:w="737" w:type="dxa"/>
            <w:tcBorders>
              <w:top w:val="nil"/>
              <w:left w:val="single" w:sz="18" w:space="0" w:color="5F497A" w:themeColor="accent4" w:themeShade="BF"/>
              <w:bottom w:val="nil"/>
              <w:right w:val="nil"/>
            </w:tcBorders>
            <w:shd w:val="clear" w:color="auto" w:fill="auto"/>
            <w:vAlign w:val="bottom"/>
          </w:tcPr>
          <w:p w14:paraId="7A4085AF" w14:textId="0E2AC2D7" w:rsidR="00A26814" w:rsidRPr="003E2D55" w:rsidRDefault="00A26814" w:rsidP="00A26814">
            <w:pPr>
              <w:spacing w:before="40" w:after="20"/>
              <w:jc w:val="right"/>
              <w:rPr>
                <w:rFonts w:cs="Arial"/>
                <w:sz w:val="18"/>
                <w:szCs w:val="18"/>
              </w:rPr>
            </w:pPr>
            <w:r w:rsidRPr="003E2D55">
              <w:rPr>
                <w:rFonts w:cs="Arial"/>
                <w:sz w:val="18"/>
                <w:szCs w:val="18"/>
              </w:rPr>
              <w:t>244</w:t>
            </w:r>
          </w:p>
        </w:tc>
        <w:tc>
          <w:tcPr>
            <w:tcW w:w="737" w:type="dxa"/>
            <w:tcBorders>
              <w:top w:val="nil"/>
              <w:left w:val="nil"/>
              <w:bottom w:val="nil"/>
              <w:right w:val="nil"/>
            </w:tcBorders>
            <w:shd w:val="clear" w:color="auto" w:fill="auto"/>
            <w:vAlign w:val="bottom"/>
          </w:tcPr>
          <w:p w14:paraId="18559665" w14:textId="19817206" w:rsidR="00A26814" w:rsidRPr="003E2D55" w:rsidRDefault="00A26814" w:rsidP="00A26814">
            <w:pPr>
              <w:spacing w:before="40" w:after="20"/>
              <w:jc w:val="right"/>
              <w:rPr>
                <w:rFonts w:cs="Arial"/>
                <w:sz w:val="18"/>
                <w:szCs w:val="18"/>
              </w:rPr>
            </w:pPr>
            <w:r w:rsidRPr="003E2D55">
              <w:rPr>
                <w:rFonts w:cs="Arial"/>
                <w:sz w:val="18"/>
                <w:szCs w:val="18"/>
              </w:rPr>
              <w:t>181</w:t>
            </w:r>
          </w:p>
        </w:tc>
        <w:tc>
          <w:tcPr>
            <w:tcW w:w="737" w:type="dxa"/>
            <w:tcBorders>
              <w:top w:val="nil"/>
              <w:left w:val="nil"/>
              <w:bottom w:val="nil"/>
              <w:right w:val="nil"/>
            </w:tcBorders>
            <w:shd w:val="clear" w:color="auto" w:fill="auto"/>
            <w:vAlign w:val="bottom"/>
          </w:tcPr>
          <w:p w14:paraId="26775212" w14:textId="16000156" w:rsidR="00A26814" w:rsidRPr="003E2D55" w:rsidRDefault="00A26814" w:rsidP="00A26814">
            <w:pPr>
              <w:spacing w:before="40" w:after="20"/>
              <w:jc w:val="right"/>
              <w:rPr>
                <w:rFonts w:cs="Arial"/>
                <w:sz w:val="18"/>
                <w:szCs w:val="18"/>
              </w:rPr>
            </w:pPr>
            <w:r w:rsidRPr="003E2D55">
              <w:rPr>
                <w:rFonts w:cs="Arial"/>
                <w:sz w:val="18"/>
                <w:szCs w:val="18"/>
              </w:rPr>
              <w:t>169</w:t>
            </w:r>
          </w:p>
        </w:tc>
        <w:tc>
          <w:tcPr>
            <w:tcW w:w="737" w:type="dxa"/>
            <w:tcBorders>
              <w:top w:val="nil"/>
              <w:left w:val="nil"/>
              <w:bottom w:val="nil"/>
              <w:right w:val="nil"/>
            </w:tcBorders>
            <w:shd w:val="clear" w:color="auto" w:fill="auto"/>
            <w:vAlign w:val="bottom"/>
          </w:tcPr>
          <w:p w14:paraId="4A944AEA" w14:textId="193FF9B7" w:rsidR="00A26814" w:rsidRPr="003E2D55" w:rsidRDefault="00A26814" w:rsidP="00A26814">
            <w:pPr>
              <w:spacing w:before="40" w:after="20"/>
              <w:jc w:val="right"/>
              <w:rPr>
                <w:rFonts w:cs="Arial"/>
                <w:sz w:val="18"/>
                <w:szCs w:val="18"/>
              </w:rPr>
            </w:pPr>
            <w:r w:rsidRPr="003E2D55">
              <w:rPr>
                <w:rFonts w:cs="Arial"/>
                <w:sz w:val="18"/>
                <w:szCs w:val="18"/>
              </w:rPr>
              <w:t>40</w:t>
            </w:r>
          </w:p>
        </w:tc>
        <w:tc>
          <w:tcPr>
            <w:tcW w:w="170" w:type="dxa"/>
            <w:tcBorders>
              <w:top w:val="nil"/>
              <w:left w:val="nil"/>
              <w:bottom w:val="nil"/>
              <w:right w:val="nil"/>
            </w:tcBorders>
            <w:shd w:val="clear" w:color="auto" w:fill="auto"/>
            <w:vAlign w:val="bottom"/>
          </w:tcPr>
          <w:p w14:paraId="360ACCB3" w14:textId="465BA12B"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575BB2C3" w14:textId="4442D798"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73E5C478" w14:textId="5355CE6A"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50AF236F" w14:textId="1DDC9D70"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69EF2C45" w14:textId="33909EDD"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17822FD5" w14:textId="4E2B6192"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2755208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C0338C4" w14:textId="77777777" w:rsidR="00A26814" w:rsidRPr="003E2D55" w:rsidRDefault="00A26814" w:rsidP="00A26814">
            <w:pPr>
              <w:spacing w:before="40" w:after="20"/>
              <w:rPr>
                <w:rFonts w:cs="Arial"/>
                <w:sz w:val="18"/>
                <w:szCs w:val="18"/>
              </w:rPr>
            </w:pPr>
            <w:r w:rsidRPr="003E2D55">
              <w:rPr>
                <w:rFonts w:cs="Arial"/>
                <w:sz w:val="18"/>
                <w:szCs w:val="18"/>
              </w:rPr>
              <w:t>Whittlesea C</w:t>
            </w:r>
          </w:p>
        </w:tc>
        <w:tc>
          <w:tcPr>
            <w:tcW w:w="737" w:type="dxa"/>
            <w:tcBorders>
              <w:top w:val="nil"/>
              <w:left w:val="single" w:sz="18" w:space="0" w:color="5F497A" w:themeColor="accent4" w:themeShade="BF"/>
              <w:bottom w:val="nil"/>
              <w:right w:val="nil"/>
            </w:tcBorders>
            <w:shd w:val="clear" w:color="auto" w:fill="auto"/>
            <w:vAlign w:val="bottom"/>
          </w:tcPr>
          <w:p w14:paraId="62A5940A" w14:textId="714AFD58" w:rsidR="00A26814" w:rsidRPr="003E2D55" w:rsidRDefault="00A26814" w:rsidP="00A26814">
            <w:pPr>
              <w:spacing w:before="40" w:after="20"/>
              <w:jc w:val="right"/>
              <w:rPr>
                <w:rFonts w:cs="Arial"/>
                <w:sz w:val="18"/>
                <w:szCs w:val="18"/>
              </w:rPr>
            </w:pPr>
            <w:r w:rsidRPr="003E2D55">
              <w:rPr>
                <w:rFonts w:cs="Arial"/>
                <w:sz w:val="18"/>
                <w:szCs w:val="18"/>
              </w:rPr>
              <w:t>650</w:t>
            </w:r>
          </w:p>
        </w:tc>
        <w:tc>
          <w:tcPr>
            <w:tcW w:w="737" w:type="dxa"/>
            <w:tcBorders>
              <w:top w:val="nil"/>
              <w:left w:val="nil"/>
              <w:bottom w:val="nil"/>
              <w:right w:val="nil"/>
            </w:tcBorders>
            <w:shd w:val="clear" w:color="auto" w:fill="auto"/>
            <w:vAlign w:val="bottom"/>
          </w:tcPr>
          <w:p w14:paraId="052D1F80" w14:textId="64E61AF8" w:rsidR="00A26814" w:rsidRPr="003E2D55" w:rsidRDefault="00A26814" w:rsidP="00A26814">
            <w:pPr>
              <w:spacing w:before="40" w:after="20"/>
              <w:jc w:val="right"/>
              <w:rPr>
                <w:rFonts w:cs="Arial"/>
                <w:sz w:val="18"/>
                <w:szCs w:val="18"/>
              </w:rPr>
            </w:pPr>
            <w:r w:rsidRPr="003E2D55">
              <w:rPr>
                <w:rFonts w:cs="Arial"/>
                <w:sz w:val="18"/>
                <w:szCs w:val="18"/>
              </w:rPr>
              <w:t>169</w:t>
            </w:r>
          </w:p>
        </w:tc>
        <w:tc>
          <w:tcPr>
            <w:tcW w:w="737" w:type="dxa"/>
            <w:tcBorders>
              <w:top w:val="nil"/>
              <w:left w:val="nil"/>
              <w:bottom w:val="nil"/>
              <w:right w:val="nil"/>
            </w:tcBorders>
            <w:shd w:val="clear" w:color="auto" w:fill="auto"/>
            <w:vAlign w:val="bottom"/>
          </w:tcPr>
          <w:p w14:paraId="2F1E1923" w14:textId="6AA57BA0" w:rsidR="00A26814" w:rsidRPr="003E2D55" w:rsidRDefault="00A26814" w:rsidP="00A26814">
            <w:pPr>
              <w:spacing w:before="40" w:after="20"/>
              <w:jc w:val="right"/>
              <w:rPr>
                <w:rFonts w:cs="Arial"/>
                <w:sz w:val="18"/>
                <w:szCs w:val="18"/>
              </w:rPr>
            </w:pPr>
            <w:r w:rsidRPr="003E2D55">
              <w:rPr>
                <w:rFonts w:cs="Arial"/>
                <w:sz w:val="18"/>
                <w:szCs w:val="18"/>
              </w:rPr>
              <w:t>172</w:t>
            </w:r>
          </w:p>
        </w:tc>
        <w:tc>
          <w:tcPr>
            <w:tcW w:w="737" w:type="dxa"/>
            <w:tcBorders>
              <w:top w:val="nil"/>
              <w:left w:val="nil"/>
              <w:bottom w:val="nil"/>
              <w:right w:val="nil"/>
            </w:tcBorders>
            <w:shd w:val="clear" w:color="auto" w:fill="auto"/>
            <w:vAlign w:val="bottom"/>
          </w:tcPr>
          <w:p w14:paraId="30B730ED" w14:textId="698499AA" w:rsidR="00A26814" w:rsidRPr="003E2D55" w:rsidRDefault="00A26814" w:rsidP="00A26814">
            <w:pPr>
              <w:spacing w:before="40" w:after="20"/>
              <w:jc w:val="right"/>
              <w:rPr>
                <w:rFonts w:cs="Arial"/>
                <w:sz w:val="18"/>
                <w:szCs w:val="18"/>
              </w:rPr>
            </w:pPr>
            <w:r w:rsidRPr="003E2D55">
              <w:rPr>
                <w:rFonts w:cs="Arial"/>
                <w:sz w:val="18"/>
                <w:szCs w:val="18"/>
              </w:rPr>
              <w:t>56</w:t>
            </w:r>
          </w:p>
        </w:tc>
        <w:tc>
          <w:tcPr>
            <w:tcW w:w="170" w:type="dxa"/>
            <w:tcBorders>
              <w:top w:val="nil"/>
              <w:left w:val="nil"/>
              <w:bottom w:val="nil"/>
              <w:right w:val="nil"/>
            </w:tcBorders>
            <w:shd w:val="clear" w:color="auto" w:fill="auto"/>
            <w:vAlign w:val="bottom"/>
          </w:tcPr>
          <w:p w14:paraId="7EDCCC6F" w14:textId="1F080838"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779BC471" w14:textId="123010AE"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2DCC28A6" w14:textId="58FCAFDD" w:rsidR="00A26814" w:rsidRPr="003E2D55" w:rsidRDefault="00A26814" w:rsidP="00A26814">
            <w:pPr>
              <w:spacing w:before="40" w:after="20"/>
              <w:jc w:val="right"/>
              <w:rPr>
                <w:rFonts w:cs="Arial"/>
                <w:sz w:val="18"/>
                <w:szCs w:val="18"/>
              </w:rPr>
            </w:pPr>
            <w:r w:rsidRPr="003E2D55">
              <w:rPr>
                <w:rFonts w:cs="Arial"/>
                <w:sz w:val="18"/>
                <w:szCs w:val="18"/>
              </w:rPr>
              <w:t>45</w:t>
            </w:r>
          </w:p>
        </w:tc>
        <w:tc>
          <w:tcPr>
            <w:tcW w:w="737" w:type="dxa"/>
            <w:tcBorders>
              <w:top w:val="nil"/>
              <w:left w:val="nil"/>
              <w:bottom w:val="nil"/>
              <w:right w:val="nil"/>
            </w:tcBorders>
            <w:shd w:val="clear" w:color="auto" w:fill="auto"/>
            <w:vAlign w:val="bottom"/>
          </w:tcPr>
          <w:p w14:paraId="0C403D0D" w14:textId="70F38427" w:rsidR="00A26814" w:rsidRPr="003E2D55" w:rsidRDefault="00A26814" w:rsidP="00A26814">
            <w:pPr>
              <w:spacing w:before="40" w:after="20"/>
              <w:jc w:val="right"/>
              <w:rPr>
                <w:rFonts w:cs="Arial"/>
                <w:sz w:val="18"/>
                <w:szCs w:val="18"/>
              </w:rPr>
            </w:pPr>
            <w:r w:rsidRPr="003E2D55">
              <w:rPr>
                <w:rFonts w:cs="Arial"/>
                <w:sz w:val="18"/>
                <w:szCs w:val="18"/>
              </w:rPr>
              <w:t>88</w:t>
            </w:r>
          </w:p>
        </w:tc>
        <w:tc>
          <w:tcPr>
            <w:tcW w:w="737" w:type="dxa"/>
            <w:tcBorders>
              <w:top w:val="nil"/>
              <w:left w:val="nil"/>
              <w:bottom w:val="nil"/>
              <w:right w:val="nil"/>
            </w:tcBorders>
            <w:shd w:val="clear" w:color="auto" w:fill="auto"/>
            <w:vAlign w:val="bottom"/>
          </w:tcPr>
          <w:p w14:paraId="1772DFE9" w14:textId="4921C853" w:rsidR="00A26814" w:rsidRPr="003E2D55" w:rsidRDefault="00A26814" w:rsidP="00A26814">
            <w:pPr>
              <w:spacing w:before="40" w:after="20"/>
              <w:jc w:val="right"/>
              <w:rPr>
                <w:rFonts w:cs="Arial"/>
                <w:sz w:val="18"/>
                <w:szCs w:val="18"/>
              </w:rPr>
            </w:pPr>
            <w:r w:rsidRPr="003E2D55">
              <w:rPr>
                <w:rFonts w:cs="Arial"/>
                <w:sz w:val="18"/>
                <w:szCs w:val="18"/>
              </w:rPr>
              <w:t>23</w:t>
            </w:r>
          </w:p>
        </w:tc>
        <w:tc>
          <w:tcPr>
            <w:tcW w:w="737" w:type="dxa"/>
            <w:tcBorders>
              <w:top w:val="nil"/>
              <w:left w:val="nil"/>
              <w:bottom w:val="nil"/>
              <w:right w:val="nil"/>
            </w:tcBorders>
            <w:shd w:val="clear" w:color="auto" w:fill="auto"/>
            <w:vAlign w:val="bottom"/>
          </w:tcPr>
          <w:p w14:paraId="2D04AC5C" w14:textId="300EF13E" w:rsidR="00A26814" w:rsidRPr="003E2D55" w:rsidRDefault="00A26814" w:rsidP="00A26814">
            <w:pPr>
              <w:spacing w:before="40" w:after="20"/>
              <w:jc w:val="right"/>
              <w:rPr>
                <w:rFonts w:cs="Arial"/>
                <w:sz w:val="18"/>
                <w:szCs w:val="18"/>
              </w:rPr>
            </w:pPr>
            <w:r w:rsidRPr="003E2D55">
              <w:rPr>
                <w:rFonts w:cs="Arial"/>
                <w:sz w:val="18"/>
                <w:szCs w:val="18"/>
              </w:rPr>
              <w:t>16</w:t>
            </w:r>
          </w:p>
        </w:tc>
      </w:tr>
      <w:tr w:rsidR="00A26814" w:rsidRPr="003E2D55" w14:paraId="1FFA65F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7CDFCD1" w14:textId="77777777" w:rsidR="00A26814" w:rsidRPr="003E2D55" w:rsidRDefault="00A26814" w:rsidP="00A26814">
            <w:pPr>
              <w:spacing w:before="40" w:after="20"/>
              <w:rPr>
                <w:rFonts w:cs="Arial"/>
                <w:sz w:val="18"/>
                <w:szCs w:val="18"/>
              </w:rPr>
            </w:pPr>
            <w:r w:rsidRPr="003E2D55">
              <w:rPr>
                <w:rFonts w:cs="Arial"/>
                <w:sz w:val="18"/>
                <w:szCs w:val="18"/>
              </w:rPr>
              <w:t>Wodonga C</w:t>
            </w:r>
          </w:p>
        </w:tc>
        <w:tc>
          <w:tcPr>
            <w:tcW w:w="737" w:type="dxa"/>
            <w:tcBorders>
              <w:top w:val="nil"/>
              <w:left w:val="single" w:sz="18" w:space="0" w:color="5F497A" w:themeColor="accent4" w:themeShade="BF"/>
              <w:bottom w:val="nil"/>
              <w:right w:val="nil"/>
            </w:tcBorders>
            <w:shd w:val="clear" w:color="auto" w:fill="auto"/>
            <w:vAlign w:val="bottom"/>
          </w:tcPr>
          <w:p w14:paraId="046897A0" w14:textId="4849B03D" w:rsidR="00A26814" w:rsidRPr="003E2D55" w:rsidRDefault="00A26814" w:rsidP="00A26814">
            <w:pPr>
              <w:spacing w:before="40" w:after="20"/>
              <w:jc w:val="right"/>
              <w:rPr>
                <w:rFonts w:cs="Arial"/>
                <w:sz w:val="18"/>
                <w:szCs w:val="18"/>
              </w:rPr>
            </w:pPr>
            <w:r w:rsidRPr="003E2D55">
              <w:rPr>
                <w:rFonts w:cs="Arial"/>
                <w:sz w:val="18"/>
                <w:szCs w:val="18"/>
              </w:rPr>
              <w:t>183</w:t>
            </w:r>
          </w:p>
        </w:tc>
        <w:tc>
          <w:tcPr>
            <w:tcW w:w="737" w:type="dxa"/>
            <w:tcBorders>
              <w:top w:val="nil"/>
              <w:left w:val="nil"/>
              <w:bottom w:val="nil"/>
              <w:right w:val="nil"/>
            </w:tcBorders>
            <w:shd w:val="clear" w:color="auto" w:fill="auto"/>
            <w:vAlign w:val="bottom"/>
          </w:tcPr>
          <w:p w14:paraId="3B8D835B" w14:textId="4DFAF065" w:rsidR="00A26814" w:rsidRPr="003E2D55" w:rsidRDefault="00A26814" w:rsidP="00A26814">
            <w:pPr>
              <w:spacing w:before="40" w:after="20"/>
              <w:jc w:val="right"/>
              <w:rPr>
                <w:rFonts w:cs="Arial"/>
                <w:sz w:val="18"/>
                <w:szCs w:val="18"/>
              </w:rPr>
            </w:pPr>
            <w:r w:rsidRPr="003E2D55">
              <w:rPr>
                <w:rFonts w:cs="Arial"/>
                <w:sz w:val="18"/>
                <w:szCs w:val="18"/>
              </w:rPr>
              <w:t>41</w:t>
            </w:r>
          </w:p>
        </w:tc>
        <w:tc>
          <w:tcPr>
            <w:tcW w:w="737" w:type="dxa"/>
            <w:tcBorders>
              <w:top w:val="nil"/>
              <w:left w:val="nil"/>
              <w:bottom w:val="nil"/>
              <w:right w:val="nil"/>
            </w:tcBorders>
            <w:shd w:val="clear" w:color="auto" w:fill="auto"/>
            <w:vAlign w:val="bottom"/>
          </w:tcPr>
          <w:p w14:paraId="3EF516AC" w14:textId="2EE54389" w:rsidR="00A26814" w:rsidRPr="003E2D55" w:rsidRDefault="00A26814" w:rsidP="00A26814">
            <w:pPr>
              <w:spacing w:before="40" w:after="20"/>
              <w:jc w:val="right"/>
              <w:rPr>
                <w:rFonts w:cs="Arial"/>
                <w:sz w:val="18"/>
                <w:szCs w:val="18"/>
              </w:rPr>
            </w:pPr>
            <w:r w:rsidRPr="003E2D55">
              <w:rPr>
                <w:rFonts w:cs="Arial"/>
                <w:sz w:val="18"/>
                <w:szCs w:val="18"/>
              </w:rPr>
              <w:t>51</w:t>
            </w:r>
          </w:p>
        </w:tc>
        <w:tc>
          <w:tcPr>
            <w:tcW w:w="737" w:type="dxa"/>
            <w:tcBorders>
              <w:top w:val="nil"/>
              <w:left w:val="nil"/>
              <w:bottom w:val="nil"/>
              <w:right w:val="nil"/>
            </w:tcBorders>
            <w:shd w:val="clear" w:color="auto" w:fill="auto"/>
            <w:vAlign w:val="bottom"/>
          </w:tcPr>
          <w:p w14:paraId="5B738B71" w14:textId="2C5CA760" w:rsidR="00A26814" w:rsidRPr="003E2D55" w:rsidRDefault="00A26814" w:rsidP="00A26814">
            <w:pPr>
              <w:spacing w:before="40" w:after="20"/>
              <w:jc w:val="right"/>
              <w:rPr>
                <w:rFonts w:cs="Arial"/>
                <w:sz w:val="18"/>
                <w:szCs w:val="18"/>
              </w:rPr>
            </w:pPr>
            <w:r w:rsidRPr="003E2D55">
              <w:rPr>
                <w:rFonts w:cs="Arial"/>
                <w:sz w:val="18"/>
                <w:szCs w:val="18"/>
              </w:rPr>
              <w:t>18</w:t>
            </w:r>
          </w:p>
        </w:tc>
        <w:tc>
          <w:tcPr>
            <w:tcW w:w="170" w:type="dxa"/>
            <w:tcBorders>
              <w:top w:val="nil"/>
              <w:left w:val="nil"/>
              <w:bottom w:val="nil"/>
              <w:right w:val="nil"/>
            </w:tcBorders>
            <w:shd w:val="clear" w:color="auto" w:fill="auto"/>
            <w:vAlign w:val="bottom"/>
          </w:tcPr>
          <w:p w14:paraId="7AB94869" w14:textId="798DE816"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311BE699" w14:textId="540D8881"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166A3834" w14:textId="263AA816" w:rsidR="00A26814" w:rsidRPr="003E2D55" w:rsidRDefault="00A26814" w:rsidP="00A26814">
            <w:pPr>
              <w:spacing w:before="40" w:after="20"/>
              <w:jc w:val="right"/>
              <w:rPr>
                <w:rFonts w:cs="Arial"/>
                <w:sz w:val="18"/>
                <w:szCs w:val="18"/>
              </w:rPr>
            </w:pPr>
            <w:r w:rsidRPr="003E2D55">
              <w:rPr>
                <w:rFonts w:cs="Arial"/>
                <w:sz w:val="18"/>
                <w:szCs w:val="18"/>
              </w:rPr>
              <w:t>86</w:t>
            </w:r>
          </w:p>
        </w:tc>
        <w:tc>
          <w:tcPr>
            <w:tcW w:w="737" w:type="dxa"/>
            <w:tcBorders>
              <w:top w:val="nil"/>
              <w:left w:val="nil"/>
              <w:bottom w:val="nil"/>
              <w:right w:val="nil"/>
            </w:tcBorders>
            <w:shd w:val="clear" w:color="auto" w:fill="auto"/>
            <w:vAlign w:val="bottom"/>
          </w:tcPr>
          <w:p w14:paraId="03FAD459" w14:textId="334F2B0F" w:rsidR="00A26814" w:rsidRPr="003E2D55" w:rsidRDefault="00A26814" w:rsidP="00A26814">
            <w:pPr>
              <w:spacing w:before="40" w:after="20"/>
              <w:jc w:val="right"/>
              <w:rPr>
                <w:rFonts w:cs="Arial"/>
                <w:sz w:val="18"/>
                <w:szCs w:val="18"/>
              </w:rPr>
            </w:pPr>
            <w:r w:rsidRPr="003E2D55">
              <w:rPr>
                <w:rFonts w:cs="Arial"/>
                <w:sz w:val="18"/>
                <w:szCs w:val="18"/>
              </w:rPr>
              <w:t>93</w:t>
            </w:r>
          </w:p>
        </w:tc>
        <w:tc>
          <w:tcPr>
            <w:tcW w:w="737" w:type="dxa"/>
            <w:tcBorders>
              <w:top w:val="nil"/>
              <w:left w:val="nil"/>
              <w:bottom w:val="nil"/>
              <w:right w:val="nil"/>
            </w:tcBorders>
            <w:shd w:val="clear" w:color="auto" w:fill="auto"/>
            <w:vAlign w:val="bottom"/>
          </w:tcPr>
          <w:p w14:paraId="48B10950" w14:textId="7F33BAD5" w:rsidR="00A26814" w:rsidRPr="003E2D55" w:rsidRDefault="00A26814" w:rsidP="00A26814">
            <w:pPr>
              <w:spacing w:before="40" w:after="20"/>
              <w:jc w:val="right"/>
              <w:rPr>
                <w:rFonts w:cs="Arial"/>
                <w:sz w:val="18"/>
                <w:szCs w:val="18"/>
              </w:rPr>
            </w:pPr>
            <w:r w:rsidRPr="003E2D55">
              <w:rPr>
                <w:rFonts w:cs="Arial"/>
                <w:sz w:val="18"/>
                <w:szCs w:val="18"/>
              </w:rPr>
              <w:t>4</w:t>
            </w:r>
          </w:p>
        </w:tc>
        <w:tc>
          <w:tcPr>
            <w:tcW w:w="737" w:type="dxa"/>
            <w:tcBorders>
              <w:top w:val="nil"/>
              <w:left w:val="nil"/>
              <w:bottom w:val="nil"/>
              <w:right w:val="nil"/>
            </w:tcBorders>
            <w:shd w:val="clear" w:color="auto" w:fill="auto"/>
            <w:vAlign w:val="bottom"/>
          </w:tcPr>
          <w:p w14:paraId="4ABF17A1" w14:textId="7E937C27" w:rsidR="00A26814" w:rsidRPr="003E2D55" w:rsidRDefault="00A26814" w:rsidP="00A26814">
            <w:pPr>
              <w:spacing w:before="40" w:after="20"/>
              <w:jc w:val="right"/>
              <w:rPr>
                <w:rFonts w:cs="Arial"/>
                <w:sz w:val="18"/>
                <w:szCs w:val="18"/>
              </w:rPr>
            </w:pPr>
            <w:r w:rsidRPr="003E2D55">
              <w:rPr>
                <w:rFonts w:cs="Arial"/>
                <w:sz w:val="18"/>
                <w:szCs w:val="18"/>
              </w:rPr>
              <w:t>7</w:t>
            </w:r>
          </w:p>
        </w:tc>
      </w:tr>
      <w:tr w:rsidR="00A26814" w:rsidRPr="003E2D55" w14:paraId="2FBC2D4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4266C7A" w14:textId="77777777" w:rsidR="00A26814" w:rsidRPr="003E2D55" w:rsidRDefault="00A26814" w:rsidP="00A26814">
            <w:pPr>
              <w:spacing w:before="40" w:after="20"/>
              <w:rPr>
                <w:rFonts w:cs="Arial"/>
                <w:sz w:val="18"/>
                <w:szCs w:val="18"/>
              </w:rPr>
            </w:pPr>
            <w:r w:rsidRPr="003E2D55">
              <w:rPr>
                <w:rFonts w:cs="Arial"/>
                <w:sz w:val="18"/>
                <w:szCs w:val="18"/>
              </w:rPr>
              <w:t>Wyndham C</w:t>
            </w:r>
          </w:p>
        </w:tc>
        <w:tc>
          <w:tcPr>
            <w:tcW w:w="737" w:type="dxa"/>
            <w:tcBorders>
              <w:top w:val="nil"/>
              <w:left w:val="single" w:sz="18" w:space="0" w:color="5F497A" w:themeColor="accent4" w:themeShade="BF"/>
              <w:bottom w:val="nil"/>
              <w:right w:val="nil"/>
            </w:tcBorders>
            <w:shd w:val="clear" w:color="auto" w:fill="auto"/>
            <w:vAlign w:val="bottom"/>
          </w:tcPr>
          <w:p w14:paraId="311C638E" w14:textId="7B0EF141" w:rsidR="00A26814" w:rsidRPr="003E2D55" w:rsidRDefault="00A26814" w:rsidP="00A26814">
            <w:pPr>
              <w:spacing w:before="40" w:after="20"/>
              <w:jc w:val="right"/>
              <w:rPr>
                <w:rFonts w:cs="Arial"/>
                <w:sz w:val="18"/>
                <w:szCs w:val="18"/>
              </w:rPr>
            </w:pPr>
            <w:r w:rsidRPr="003E2D55">
              <w:rPr>
                <w:rFonts w:cs="Arial"/>
                <w:sz w:val="18"/>
                <w:szCs w:val="18"/>
              </w:rPr>
              <w:t>730</w:t>
            </w:r>
          </w:p>
        </w:tc>
        <w:tc>
          <w:tcPr>
            <w:tcW w:w="737" w:type="dxa"/>
            <w:tcBorders>
              <w:top w:val="nil"/>
              <w:left w:val="nil"/>
              <w:bottom w:val="nil"/>
              <w:right w:val="nil"/>
            </w:tcBorders>
            <w:shd w:val="clear" w:color="auto" w:fill="auto"/>
            <w:vAlign w:val="bottom"/>
          </w:tcPr>
          <w:p w14:paraId="29241342" w14:textId="074A4C05" w:rsidR="00A26814" w:rsidRPr="003E2D55" w:rsidRDefault="00A26814" w:rsidP="00A26814">
            <w:pPr>
              <w:spacing w:before="40" w:after="20"/>
              <w:jc w:val="right"/>
              <w:rPr>
                <w:rFonts w:cs="Arial"/>
                <w:sz w:val="18"/>
                <w:szCs w:val="18"/>
              </w:rPr>
            </w:pPr>
            <w:r w:rsidRPr="003E2D55">
              <w:rPr>
                <w:rFonts w:cs="Arial"/>
                <w:sz w:val="18"/>
                <w:szCs w:val="18"/>
              </w:rPr>
              <w:t>294</w:t>
            </w:r>
          </w:p>
        </w:tc>
        <w:tc>
          <w:tcPr>
            <w:tcW w:w="737" w:type="dxa"/>
            <w:tcBorders>
              <w:top w:val="nil"/>
              <w:left w:val="nil"/>
              <w:bottom w:val="nil"/>
              <w:right w:val="nil"/>
            </w:tcBorders>
            <w:shd w:val="clear" w:color="auto" w:fill="auto"/>
            <w:vAlign w:val="bottom"/>
          </w:tcPr>
          <w:p w14:paraId="68038831" w14:textId="4853039A" w:rsidR="00A26814" w:rsidRPr="003E2D55" w:rsidRDefault="00A26814" w:rsidP="00A26814">
            <w:pPr>
              <w:spacing w:before="40" w:after="20"/>
              <w:jc w:val="right"/>
              <w:rPr>
                <w:rFonts w:cs="Arial"/>
                <w:sz w:val="18"/>
                <w:szCs w:val="18"/>
              </w:rPr>
            </w:pPr>
            <w:r w:rsidRPr="003E2D55">
              <w:rPr>
                <w:rFonts w:cs="Arial"/>
                <w:sz w:val="18"/>
                <w:szCs w:val="18"/>
              </w:rPr>
              <w:t>178</w:t>
            </w:r>
          </w:p>
        </w:tc>
        <w:tc>
          <w:tcPr>
            <w:tcW w:w="737" w:type="dxa"/>
            <w:tcBorders>
              <w:top w:val="nil"/>
              <w:left w:val="nil"/>
              <w:bottom w:val="nil"/>
              <w:right w:val="nil"/>
            </w:tcBorders>
            <w:shd w:val="clear" w:color="auto" w:fill="auto"/>
            <w:vAlign w:val="bottom"/>
          </w:tcPr>
          <w:p w14:paraId="6A8CA8FF" w14:textId="33BE1618" w:rsidR="00A26814" w:rsidRPr="003E2D55" w:rsidRDefault="00A26814" w:rsidP="00A26814">
            <w:pPr>
              <w:spacing w:before="40" w:after="20"/>
              <w:jc w:val="right"/>
              <w:rPr>
                <w:rFonts w:cs="Arial"/>
                <w:sz w:val="18"/>
                <w:szCs w:val="18"/>
              </w:rPr>
            </w:pPr>
            <w:r w:rsidRPr="003E2D55">
              <w:rPr>
                <w:rFonts w:cs="Arial"/>
                <w:sz w:val="18"/>
                <w:szCs w:val="18"/>
              </w:rPr>
              <w:t>80</w:t>
            </w:r>
          </w:p>
        </w:tc>
        <w:tc>
          <w:tcPr>
            <w:tcW w:w="170" w:type="dxa"/>
            <w:tcBorders>
              <w:top w:val="nil"/>
              <w:left w:val="nil"/>
              <w:bottom w:val="nil"/>
              <w:right w:val="nil"/>
            </w:tcBorders>
            <w:shd w:val="clear" w:color="auto" w:fill="auto"/>
            <w:vAlign w:val="bottom"/>
          </w:tcPr>
          <w:p w14:paraId="313C3FBD" w14:textId="1E6266D2"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6F660E39" w14:textId="400F406F" w:rsidR="00A26814" w:rsidRPr="003E2D55" w:rsidRDefault="00A26814" w:rsidP="00A26814">
            <w:pPr>
              <w:spacing w:before="40" w:after="20"/>
              <w:jc w:val="right"/>
              <w:rPr>
                <w:rFonts w:cs="Arial"/>
                <w:sz w:val="18"/>
                <w:szCs w:val="18"/>
              </w:rPr>
            </w:pPr>
            <w:r w:rsidRPr="003E2D55">
              <w:rPr>
                <w:rFonts w:cs="Arial"/>
                <w:sz w:val="18"/>
                <w:szCs w:val="18"/>
              </w:rPr>
              <w:t>30</w:t>
            </w:r>
          </w:p>
        </w:tc>
        <w:tc>
          <w:tcPr>
            <w:tcW w:w="737" w:type="dxa"/>
            <w:tcBorders>
              <w:top w:val="nil"/>
              <w:left w:val="nil"/>
              <w:bottom w:val="nil"/>
              <w:right w:val="nil"/>
            </w:tcBorders>
            <w:shd w:val="clear" w:color="auto" w:fill="auto"/>
            <w:vAlign w:val="bottom"/>
          </w:tcPr>
          <w:p w14:paraId="393C955F" w14:textId="2427BA5E" w:rsidR="00A26814" w:rsidRPr="003E2D55" w:rsidRDefault="00A26814" w:rsidP="00A26814">
            <w:pPr>
              <w:spacing w:before="40" w:after="20"/>
              <w:jc w:val="right"/>
              <w:rPr>
                <w:rFonts w:cs="Arial"/>
                <w:sz w:val="18"/>
                <w:szCs w:val="18"/>
              </w:rPr>
            </w:pPr>
            <w:r w:rsidRPr="003E2D55">
              <w:rPr>
                <w:rFonts w:cs="Arial"/>
                <w:sz w:val="18"/>
                <w:szCs w:val="18"/>
              </w:rPr>
              <w:t>50</w:t>
            </w:r>
          </w:p>
        </w:tc>
        <w:tc>
          <w:tcPr>
            <w:tcW w:w="737" w:type="dxa"/>
            <w:tcBorders>
              <w:top w:val="nil"/>
              <w:left w:val="nil"/>
              <w:bottom w:val="nil"/>
              <w:right w:val="nil"/>
            </w:tcBorders>
            <w:shd w:val="clear" w:color="auto" w:fill="auto"/>
            <w:vAlign w:val="bottom"/>
          </w:tcPr>
          <w:p w14:paraId="643B304E" w14:textId="23256C09" w:rsidR="00A26814" w:rsidRPr="003E2D55" w:rsidRDefault="00A26814" w:rsidP="00A26814">
            <w:pPr>
              <w:spacing w:before="40" w:after="20"/>
              <w:jc w:val="right"/>
              <w:rPr>
                <w:rFonts w:cs="Arial"/>
                <w:sz w:val="18"/>
                <w:szCs w:val="18"/>
              </w:rPr>
            </w:pPr>
            <w:r w:rsidRPr="003E2D55">
              <w:rPr>
                <w:rFonts w:cs="Arial"/>
                <w:sz w:val="18"/>
                <w:szCs w:val="18"/>
              </w:rPr>
              <w:t>54</w:t>
            </w:r>
          </w:p>
        </w:tc>
        <w:tc>
          <w:tcPr>
            <w:tcW w:w="737" w:type="dxa"/>
            <w:tcBorders>
              <w:top w:val="nil"/>
              <w:left w:val="nil"/>
              <w:bottom w:val="nil"/>
              <w:right w:val="nil"/>
            </w:tcBorders>
            <w:shd w:val="clear" w:color="auto" w:fill="auto"/>
            <w:vAlign w:val="bottom"/>
          </w:tcPr>
          <w:p w14:paraId="4DB91586" w14:textId="6DAE5E79" w:rsidR="00A26814" w:rsidRPr="003E2D55" w:rsidRDefault="00A26814" w:rsidP="00A26814">
            <w:pPr>
              <w:spacing w:before="40" w:after="20"/>
              <w:jc w:val="right"/>
              <w:rPr>
                <w:rFonts w:cs="Arial"/>
                <w:sz w:val="18"/>
                <w:szCs w:val="18"/>
              </w:rPr>
            </w:pPr>
            <w:r w:rsidRPr="003E2D55">
              <w:rPr>
                <w:rFonts w:cs="Arial"/>
                <w:sz w:val="18"/>
                <w:szCs w:val="18"/>
              </w:rPr>
              <w:t>31</w:t>
            </w:r>
          </w:p>
        </w:tc>
        <w:tc>
          <w:tcPr>
            <w:tcW w:w="737" w:type="dxa"/>
            <w:tcBorders>
              <w:top w:val="nil"/>
              <w:left w:val="nil"/>
              <w:bottom w:val="nil"/>
              <w:right w:val="nil"/>
            </w:tcBorders>
            <w:shd w:val="clear" w:color="auto" w:fill="auto"/>
            <w:vAlign w:val="bottom"/>
          </w:tcPr>
          <w:p w14:paraId="507B92D1" w14:textId="556B338E" w:rsidR="00A26814" w:rsidRPr="003E2D55" w:rsidRDefault="00A26814" w:rsidP="00A26814">
            <w:pPr>
              <w:spacing w:before="40" w:after="20"/>
              <w:jc w:val="right"/>
              <w:rPr>
                <w:rFonts w:cs="Arial"/>
                <w:sz w:val="18"/>
                <w:szCs w:val="18"/>
              </w:rPr>
            </w:pPr>
            <w:r w:rsidRPr="003E2D55">
              <w:rPr>
                <w:rFonts w:cs="Arial"/>
                <w:sz w:val="18"/>
                <w:szCs w:val="18"/>
              </w:rPr>
              <w:t>69</w:t>
            </w:r>
          </w:p>
        </w:tc>
      </w:tr>
      <w:tr w:rsidR="00A26814" w:rsidRPr="003E2D55" w14:paraId="700D05C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122A07D" w14:textId="77777777" w:rsidR="00A26814" w:rsidRPr="003E2D55" w:rsidRDefault="00A26814" w:rsidP="00A26814">
            <w:pPr>
              <w:spacing w:before="40" w:after="20"/>
              <w:rPr>
                <w:rFonts w:cs="Arial"/>
                <w:sz w:val="18"/>
                <w:szCs w:val="18"/>
              </w:rPr>
            </w:pPr>
            <w:r w:rsidRPr="003E2D55">
              <w:rPr>
                <w:rFonts w:cs="Arial"/>
                <w:sz w:val="18"/>
                <w:szCs w:val="18"/>
              </w:rPr>
              <w:t>Yarra C</w:t>
            </w:r>
          </w:p>
        </w:tc>
        <w:tc>
          <w:tcPr>
            <w:tcW w:w="737" w:type="dxa"/>
            <w:tcBorders>
              <w:top w:val="nil"/>
              <w:left w:val="single" w:sz="18" w:space="0" w:color="5F497A" w:themeColor="accent4" w:themeShade="BF"/>
              <w:bottom w:val="nil"/>
              <w:right w:val="nil"/>
            </w:tcBorders>
            <w:shd w:val="clear" w:color="auto" w:fill="auto"/>
            <w:vAlign w:val="bottom"/>
          </w:tcPr>
          <w:p w14:paraId="0873BA20" w14:textId="0CA5A222" w:rsidR="00A26814" w:rsidRPr="003E2D55" w:rsidRDefault="00A26814" w:rsidP="00A26814">
            <w:pPr>
              <w:spacing w:before="40" w:after="20"/>
              <w:jc w:val="right"/>
              <w:rPr>
                <w:rFonts w:cs="Arial"/>
                <w:sz w:val="18"/>
                <w:szCs w:val="18"/>
              </w:rPr>
            </w:pPr>
            <w:r w:rsidRPr="003E2D55">
              <w:rPr>
                <w:rFonts w:cs="Arial"/>
                <w:sz w:val="18"/>
                <w:szCs w:val="18"/>
              </w:rPr>
              <w:t>82</w:t>
            </w:r>
          </w:p>
        </w:tc>
        <w:tc>
          <w:tcPr>
            <w:tcW w:w="737" w:type="dxa"/>
            <w:tcBorders>
              <w:top w:val="nil"/>
              <w:left w:val="nil"/>
              <w:bottom w:val="nil"/>
              <w:right w:val="nil"/>
            </w:tcBorders>
            <w:shd w:val="clear" w:color="auto" w:fill="auto"/>
            <w:vAlign w:val="bottom"/>
          </w:tcPr>
          <w:p w14:paraId="5AB80184" w14:textId="4949BA22" w:rsidR="00A26814" w:rsidRPr="003E2D55" w:rsidRDefault="00A26814" w:rsidP="00A26814">
            <w:pPr>
              <w:spacing w:before="40" w:after="20"/>
              <w:jc w:val="right"/>
              <w:rPr>
                <w:rFonts w:cs="Arial"/>
                <w:sz w:val="18"/>
                <w:szCs w:val="18"/>
              </w:rPr>
            </w:pPr>
            <w:r w:rsidRPr="003E2D55">
              <w:rPr>
                <w:rFonts w:cs="Arial"/>
                <w:sz w:val="18"/>
                <w:szCs w:val="18"/>
              </w:rPr>
              <w:t>50</w:t>
            </w:r>
          </w:p>
        </w:tc>
        <w:tc>
          <w:tcPr>
            <w:tcW w:w="737" w:type="dxa"/>
            <w:tcBorders>
              <w:top w:val="nil"/>
              <w:left w:val="nil"/>
              <w:bottom w:val="nil"/>
              <w:right w:val="nil"/>
            </w:tcBorders>
            <w:shd w:val="clear" w:color="auto" w:fill="auto"/>
            <w:vAlign w:val="bottom"/>
          </w:tcPr>
          <w:p w14:paraId="601EFF04" w14:textId="2C7684A4" w:rsidR="00A26814" w:rsidRPr="003E2D55" w:rsidRDefault="00A26814" w:rsidP="00A26814">
            <w:pPr>
              <w:spacing w:before="40" w:after="20"/>
              <w:jc w:val="right"/>
              <w:rPr>
                <w:rFonts w:cs="Arial"/>
                <w:sz w:val="18"/>
                <w:szCs w:val="18"/>
              </w:rPr>
            </w:pPr>
            <w:r w:rsidRPr="003E2D55">
              <w:rPr>
                <w:rFonts w:cs="Arial"/>
                <w:sz w:val="18"/>
                <w:szCs w:val="18"/>
              </w:rPr>
              <w:t>59</w:t>
            </w:r>
          </w:p>
        </w:tc>
        <w:tc>
          <w:tcPr>
            <w:tcW w:w="737" w:type="dxa"/>
            <w:tcBorders>
              <w:top w:val="nil"/>
              <w:left w:val="nil"/>
              <w:bottom w:val="nil"/>
              <w:right w:val="nil"/>
            </w:tcBorders>
            <w:shd w:val="clear" w:color="auto" w:fill="auto"/>
            <w:vAlign w:val="bottom"/>
          </w:tcPr>
          <w:p w14:paraId="202A2308" w14:textId="59CB5CB2" w:rsidR="00A26814" w:rsidRPr="003E2D55" w:rsidRDefault="00A26814" w:rsidP="00A26814">
            <w:pPr>
              <w:spacing w:before="40" w:after="20"/>
              <w:jc w:val="right"/>
              <w:rPr>
                <w:rFonts w:cs="Arial"/>
                <w:sz w:val="18"/>
                <w:szCs w:val="18"/>
              </w:rPr>
            </w:pPr>
            <w:r w:rsidRPr="003E2D55">
              <w:rPr>
                <w:rFonts w:cs="Arial"/>
                <w:sz w:val="18"/>
                <w:szCs w:val="18"/>
              </w:rPr>
              <w:t>24</w:t>
            </w:r>
          </w:p>
        </w:tc>
        <w:tc>
          <w:tcPr>
            <w:tcW w:w="170" w:type="dxa"/>
            <w:tcBorders>
              <w:top w:val="nil"/>
              <w:left w:val="nil"/>
              <w:bottom w:val="nil"/>
              <w:right w:val="nil"/>
            </w:tcBorders>
            <w:shd w:val="clear" w:color="auto" w:fill="auto"/>
            <w:vAlign w:val="bottom"/>
          </w:tcPr>
          <w:p w14:paraId="0B8EB6F0" w14:textId="69AFFFB0"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7D0CBE2B" w14:textId="1FF0F9C7"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6CE88588" w14:textId="7AAAFDEA"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2F57B3CF" w14:textId="0CDBE3CF"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5299DA59" w14:textId="6ABF41F5" w:rsidR="00A26814" w:rsidRPr="003E2D55" w:rsidRDefault="00A26814" w:rsidP="00A26814">
            <w:pPr>
              <w:spacing w:before="40" w:after="20"/>
              <w:jc w:val="right"/>
              <w:rPr>
                <w:rFonts w:cs="Arial"/>
                <w:sz w:val="18"/>
                <w:szCs w:val="18"/>
              </w:rPr>
            </w:pPr>
            <w:r w:rsidRPr="003E2D55">
              <w:rPr>
                <w:rFonts w:cs="Arial"/>
                <w:sz w:val="18"/>
                <w:szCs w:val="18"/>
              </w:rPr>
              <w:t>0</w:t>
            </w:r>
          </w:p>
        </w:tc>
        <w:tc>
          <w:tcPr>
            <w:tcW w:w="737" w:type="dxa"/>
            <w:tcBorders>
              <w:top w:val="nil"/>
              <w:left w:val="nil"/>
              <w:bottom w:val="nil"/>
              <w:right w:val="nil"/>
            </w:tcBorders>
            <w:shd w:val="clear" w:color="auto" w:fill="auto"/>
            <w:vAlign w:val="bottom"/>
          </w:tcPr>
          <w:p w14:paraId="735A737A" w14:textId="465231F7"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7F07FB3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EA3AA3D" w14:textId="77777777" w:rsidR="00A26814" w:rsidRPr="003E2D55" w:rsidRDefault="00A26814" w:rsidP="00A26814">
            <w:pPr>
              <w:spacing w:before="40" w:after="20"/>
              <w:rPr>
                <w:rFonts w:cs="Arial"/>
                <w:sz w:val="18"/>
                <w:szCs w:val="18"/>
              </w:rPr>
            </w:pPr>
            <w:r w:rsidRPr="003E2D55">
              <w:rPr>
                <w:rFonts w:cs="Arial"/>
                <w:sz w:val="18"/>
                <w:szCs w:val="18"/>
              </w:rPr>
              <w:t>Yarra Ranges S</w:t>
            </w:r>
          </w:p>
        </w:tc>
        <w:tc>
          <w:tcPr>
            <w:tcW w:w="737" w:type="dxa"/>
            <w:tcBorders>
              <w:top w:val="nil"/>
              <w:left w:val="single" w:sz="18" w:space="0" w:color="5F497A" w:themeColor="accent4" w:themeShade="BF"/>
              <w:bottom w:val="nil"/>
              <w:right w:val="nil"/>
            </w:tcBorders>
            <w:shd w:val="clear" w:color="auto" w:fill="auto"/>
            <w:vAlign w:val="bottom"/>
          </w:tcPr>
          <w:p w14:paraId="27C6C53F" w14:textId="5A53A207" w:rsidR="00A26814" w:rsidRPr="003E2D55" w:rsidRDefault="00A26814" w:rsidP="00A26814">
            <w:pPr>
              <w:spacing w:before="40" w:after="20"/>
              <w:jc w:val="right"/>
              <w:rPr>
                <w:rFonts w:cs="Arial"/>
                <w:sz w:val="18"/>
                <w:szCs w:val="18"/>
              </w:rPr>
            </w:pPr>
            <w:r w:rsidRPr="003E2D55">
              <w:rPr>
                <w:rFonts w:cs="Arial"/>
                <w:sz w:val="18"/>
                <w:szCs w:val="18"/>
              </w:rPr>
              <w:t>421</w:t>
            </w:r>
          </w:p>
        </w:tc>
        <w:tc>
          <w:tcPr>
            <w:tcW w:w="737" w:type="dxa"/>
            <w:tcBorders>
              <w:top w:val="nil"/>
              <w:left w:val="nil"/>
              <w:bottom w:val="nil"/>
              <w:right w:val="nil"/>
            </w:tcBorders>
            <w:shd w:val="clear" w:color="auto" w:fill="auto"/>
            <w:vAlign w:val="bottom"/>
          </w:tcPr>
          <w:p w14:paraId="0F89C89F" w14:textId="557BC374" w:rsidR="00A26814" w:rsidRPr="003E2D55" w:rsidRDefault="00A26814" w:rsidP="00A26814">
            <w:pPr>
              <w:spacing w:before="40" w:after="20"/>
              <w:jc w:val="right"/>
              <w:rPr>
                <w:rFonts w:cs="Arial"/>
                <w:sz w:val="18"/>
                <w:szCs w:val="18"/>
              </w:rPr>
            </w:pPr>
            <w:r w:rsidRPr="003E2D55">
              <w:rPr>
                <w:rFonts w:cs="Arial"/>
                <w:sz w:val="18"/>
                <w:szCs w:val="18"/>
              </w:rPr>
              <w:t>69</w:t>
            </w:r>
          </w:p>
        </w:tc>
        <w:tc>
          <w:tcPr>
            <w:tcW w:w="737" w:type="dxa"/>
            <w:tcBorders>
              <w:top w:val="nil"/>
              <w:left w:val="nil"/>
              <w:bottom w:val="nil"/>
              <w:right w:val="nil"/>
            </w:tcBorders>
            <w:shd w:val="clear" w:color="auto" w:fill="auto"/>
            <w:vAlign w:val="bottom"/>
          </w:tcPr>
          <w:p w14:paraId="33E24139" w14:textId="08061BFA" w:rsidR="00A26814" w:rsidRPr="003E2D55" w:rsidRDefault="00A26814" w:rsidP="00A26814">
            <w:pPr>
              <w:spacing w:before="40" w:after="20"/>
              <w:jc w:val="right"/>
              <w:rPr>
                <w:rFonts w:cs="Arial"/>
                <w:sz w:val="18"/>
                <w:szCs w:val="18"/>
              </w:rPr>
            </w:pPr>
            <w:r w:rsidRPr="003E2D55">
              <w:rPr>
                <w:rFonts w:cs="Arial"/>
                <w:sz w:val="18"/>
                <w:szCs w:val="18"/>
              </w:rPr>
              <w:t>84</w:t>
            </w:r>
          </w:p>
        </w:tc>
        <w:tc>
          <w:tcPr>
            <w:tcW w:w="737" w:type="dxa"/>
            <w:tcBorders>
              <w:top w:val="nil"/>
              <w:left w:val="nil"/>
              <w:bottom w:val="nil"/>
              <w:right w:val="nil"/>
            </w:tcBorders>
            <w:shd w:val="clear" w:color="auto" w:fill="auto"/>
            <w:vAlign w:val="bottom"/>
          </w:tcPr>
          <w:p w14:paraId="09ECE9CC" w14:textId="6D6BE955" w:rsidR="00A26814" w:rsidRPr="003E2D55" w:rsidRDefault="00A26814" w:rsidP="00A26814">
            <w:pPr>
              <w:spacing w:before="40" w:after="20"/>
              <w:jc w:val="right"/>
              <w:rPr>
                <w:rFonts w:cs="Arial"/>
                <w:sz w:val="18"/>
                <w:szCs w:val="18"/>
              </w:rPr>
            </w:pPr>
            <w:r w:rsidRPr="003E2D55">
              <w:rPr>
                <w:rFonts w:cs="Arial"/>
                <w:sz w:val="18"/>
                <w:szCs w:val="18"/>
              </w:rPr>
              <w:t>33</w:t>
            </w:r>
          </w:p>
        </w:tc>
        <w:tc>
          <w:tcPr>
            <w:tcW w:w="170" w:type="dxa"/>
            <w:tcBorders>
              <w:top w:val="nil"/>
              <w:left w:val="nil"/>
              <w:bottom w:val="nil"/>
              <w:right w:val="nil"/>
            </w:tcBorders>
            <w:shd w:val="clear" w:color="auto" w:fill="auto"/>
            <w:vAlign w:val="bottom"/>
          </w:tcPr>
          <w:p w14:paraId="60D1F287" w14:textId="5FE365D3"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nil"/>
              <w:right w:val="nil"/>
            </w:tcBorders>
            <w:shd w:val="clear" w:color="auto" w:fill="auto"/>
            <w:vAlign w:val="bottom"/>
          </w:tcPr>
          <w:p w14:paraId="71520074" w14:textId="31C64AE9" w:rsidR="00A26814" w:rsidRPr="003E2D55" w:rsidRDefault="00A26814" w:rsidP="00A26814">
            <w:pPr>
              <w:spacing w:before="40" w:after="20"/>
              <w:jc w:val="right"/>
              <w:rPr>
                <w:rFonts w:cs="Arial"/>
                <w:sz w:val="18"/>
                <w:szCs w:val="18"/>
              </w:rPr>
            </w:pPr>
            <w:r w:rsidRPr="003E2D55">
              <w:rPr>
                <w:rFonts w:cs="Arial"/>
                <w:sz w:val="18"/>
                <w:szCs w:val="18"/>
              </w:rPr>
              <w:t>4</w:t>
            </w:r>
          </w:p>
        </w:tc>
        <w:tc>
          <w:tcPr>
            <w:tcW w:w="737" w:type="dxa"/>
            <w:tcBorders>
              <w:top w:val="nil"/>
              <w:left w:val="nil"/>
              <w:bottom w:val="nil"/>
              <w:right w:val="nil"/>
            </w:tcBorders>
            <w:shd w:val="clear" w:color="auto" w:fill="auto"/>
            <w:vAlign w:val="bottom"/>
          </w:tcPr>
          <w:p w14:paraId="71E8530E" w14:textId="1F349EC5" w:rsidR="00A26814" w:rsidRPr="003E2D55" w:rsidRDefault="00A26814" w:rsidP="00A26814">
            <w:pPr>
              <w:spacing w:before="40" w:after="20"/>
              <w:jc w:val="right"/>
              <w:rPr>
                <w:rFonts w:cs="Arial"/>
                <w:sz w:val="18"/>
                <w:szCs w:val="18"/>
              </w:rPr>
            </w:pPr>
            <w:r w:rsidRPr="003E2D55">
              <w:rPr>
                <w:rFonts w:cs="Arial"/>
                <w:sz w:val="18"/>
                <w:szCs w:val="18"/>
              </w:rPr>
              <w:t>100</w:t>
            </w:r>
          </w:p>
        </w:tc>
        <w:tc>
          <w:tcPr>
            <w:tcW w:w="737" w:type="dxa"/>
            <w:tcBorders>
              <w:top w:val="nil"/>
              <w:left w:val="nil"/>
              <w:bottom w:val="nil"/>
              <w:right w:val="nil"/>
            </w:tcBorders>
            <w:shd w:val="clear" w:color="auto" w:fill="auto"/>
            <w:vAlign w:val="bottom"/>
          </w:tcPr>
          <w:p w14:paraId="78C73618" w14:textId="40BBA20A" w:rsidR="00A26814" w:rsidRPr="003E2D55" w:rsidRDefault="00A26814" w:rsidP="00A26814">
            <w:pPr>
              <w:spacing w:before="40" w:after="20"/>
              <w:jc w:val="right"/>
              <w:rPr>
                <w:rFonts w:cs="Arial"/>
                <w:sz w:val="18"/>
                <w:szCs w:val="18"/>
              </w:rPr>
            </w:pPr>
            <w:r w:rsidRPr="003E2D55">
              <w:rPr>
                <w:rFonts w:cs="Arial"/>
                <w:sz w:val="18"/>
                <w:szCs w:val="18"/>
              </w:rPr>
              <w:t>802</w:t>
            </w:r>
          </w:p>
        </w:tc>
        <w:tc>
          <w:tcPr>
            <w:tcW w:w="737" w:type="dxa"/>
            <w:tcBorders>
              <w:top w:val="nil"/>
              <w:left w:val="nil"/>
              <w:bottom w:val="nil"/>
              <w:right w:val="nil"/>
            </w:tcBorders>
            <w:shd w:val="clear" w:color="auto" w:fill="auto"/>
            <w:vAlign w:val="bottom"/>
          </w:tcPr>
          <w:p w14:paraId="0D733A39" w14:textId="7944357E" w:rsidR="00A26814" w:rsidRPr="003E2D55" w:rsidRDefault="00A26814" w:rsidP="00A26814">
            <w:pPr>
              <w:spacing w:before="40" w:after="20"/>
              <w:jc w:val="right"/>
              <w:rPr>
                <w:rFonts w:cs="Arial"/>
                <w:sz w:val="18"/>
                <w:szCs w:val="18"/>
              </w:rPr>
            </w:pPr>
            <w:r w:rsidRPr="003E2D55">
              <w:rPr>
                <w:rFonts w:cs="Arial"/>
                <w:sz w:val="18"/>
                <w:szCs w:val="18"/>
              </w:rPr>
              <w:t>128</w:t>
            </w:r>
          </w:p>
        </w:tc>
        <w:tc>
          <w:tcPr>
            <w:tcW w:w="737" w:type="dxa"/>
            <w:tcBorders>
              <w:top w:val="nil"/>
              <w:left w:val="nil"/>
              <w:bottom w:val="nil"/>
              <w:right w:val="nil"/>
            </w:tcBorders>
            <w:shd w:val="clear" w:color="auto" w:fill="auto"/>
            <w:vAlign w:val="bottom"/>
          </w:tcPr>
          <w:p w14:paraId="188D47CB" w14:textId="48C51723" w:rsidR="00A26814" w:rsidRPr="003E2D55" w:rsidRDefault="00A26814" w:rsidP="00A26814">
            <w:pPr>
              <w:spacing w:before="40" w:after="20"/>
              <w:jc w:val="right"/>
              <w:rPr>
                <w:rFonts w:cs="Arial"/>
                <w:sz w:val="18"/>
                <w:szCs w:val="18"/>
              </w:rPr>
            </w:pPr>
            <w:r w:rsidRPr="003E2D55">
              <w:rPr>
                <w:rFonts w:cs="Arial"/>
                <w:sz w:val="18"/>
                <w:szCs w:val="18"/>
              </w:rPr>
              <w:t>115</w:t>
            </w:r>
          </w:p>
        </w:tc>
      </w:tr>
      <w:tr w:rsidR="00A26814" w:rsidRPr="003E2D55" w14:paraId="326FE23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03DE105" w14:textId="77777777" w:rsidR="00A26814" w:rsidRPr="003E2D55" w:rsidRDefault="00A26814" w:rsidP="00A26814">
            <w:pPr>
              <w:spacing w:before="40" w:after="20"/>
              <w:rPr>
                <w:rFonts w:cs="Arial"/>
                <w:sz w:val="18"/>
                <w:szCs w:val="18"/>
              </w:rPr>
            </w:pPr>
            <w:r w:rsidRPr="003E2D55">
              <w:rPr>
                <w:rFonts w:cs="Arial"/>
                <w:sz w:val="18"/>
                <w:szCs w:val="18"/>
              </w:rPr>
              <w:t>Yarriambiack S</w:t>
            </w:r>
          </w:p>
        </w:tc>
        <w:tc>
          <w:tcPr>
            <w:tcW w:w="737" w:type="dxa"/>
            <w:tcBorders>
              <w:top w:val="nil"/>
              <w:left w:val="single" w:sz="18" w:space="0" w:color="5F497A" w:themeColor="accent4" w:themeShade="BF"/>
              <w:right w:val="nil"/>
            </w:tcBorders>
            <w:shd w:val="clear" w:color="auto" w:fill="auto"/>
            <w:vAlign w:val="bottom"/>
          </w:tcPr>
          <w:p w14:paraId="10EE6DE3" w14:textId="4C157700" w:rsidR="00A26814" w:rsidRPr="003E2D55" w:rsidRDefault="00A26814" w:rsidP="00A26814">
            <w:pPr>
              <w:spacing w:before="40" w:after="20"/>
              <w:jc w:val="right"/>
              <w:rPr>
                <w:rFonts w:cs="Arial"/>
                <w:sz w:val="18"/>
                <w:szCs w:val="18"/>
              </w:rPr>
            </w:pPr>
            <w:r w:rsidRPr="003E2D55">
              <w:rPr>
                <w:rFonts w:cs="Arial"/>
                <w:sz w:val="18"/>
                <w:szCs w:val="18"/>
              </w:rPr>
              <w:t>24</w:t>
            </w:r>
          </w:p>
        </w:tc>
        <w:tc>
          <w:tcPr>
            <w:tcW w:w="737" w:type="dxa"/>
            <w:tcBorders>
              <w:top w:val="nil"/>
              <w:left w:val="nil"/>
              <w:right w:val="nil"/>
            </w:tcBorders>
            <w:shd w:val="clear" w:color="auto" w:fill="auto"/>
            <w:vAlign w:val="bottom"/>
          </w:tcPr>
          <w:p w14:paraId="25FA54B0" w14:textId="6E831A4E" w:rsidR="00A26814" w:rsidRPr="003E2D55" w:rsidRDefault="00A26814" w:rsidP="00A26814">
            <w:pPr>
              <w:spacing w:before="40" w:after="20"/>
              <w:jc w:val="right"/>
              <w:rPr>
                <w:rFonts w:cs="Arial"/>
                <w:sz w:val="18"/>
                <w:szCs w:val="18"/>
              </w:rPr>
            </w:pPr>
            <w:r w:rsidRPr="003E2D55">
              <w:rPr>
                <w:rFonts w:cs="Arial"/>
                <w:sz w:val="18"/>
                <w:szCs w:val="18"/>
              </w:rPr>
              <w:t>4</w:t>
            </w:r>
          </w:p>
        </w:tc>
        <w:tc>
          <w:tcPr>
            <w:tcW w:w="737" w:type="dxa"/>
            <w:tcBorders>
              <w:top w:val="nil"/>
              <w:left w:val="nil"/>
              <w:right w:val="nil"/>
            </w:tcBorders>
            <w:shd w:val="clear" w:color="auto" w:fill="auto"/>
            <w:vAlign w:val="bottom"/>
          </w:tcPr>
          <w:p w14:paraId="0F8FB8C2" w14:textId="36952456" w:rsidR="00A26814" w:rsidRPr="003E2D55" w:rsidRDefault="00A26814" w:rsidP="00A26814">
            <w:pPr>
              <w:spacing w:before="40" w:after="20"/>
              <w:jc w:val="right"/>
              <w:rPr>
                <w:rFonts w:cs="Arial"/>
                <w:sz w:val="18"/>
                <w:szCs w:val="18"/>
              </w:rPr>
            </w:pPr>
            <w:r w:rsidRPr="003E2D55">
              <w:rPr>
                <w:rFonts w:cs="Arial"/>
                <w:sz w:val="18"/>
                <w:szCs w:val="18"/>
              </w:rPr>
              <w:t>1</w:t>
            </w:r>
          </w:p>
        </w:tc>
        <w:tc>
          <w:tcPr>
            <w:tcW w:w="737" w:type="dxa"/>
            <w:tcBorders>
              <w:top w:val="nil"/>
              <w:left w:val="nil"/>
              <w:right w:val="nil"/>
            </w:tcBorders>
            <w:shd w:val="clear" w:color="auto" w:fill="auto"/>
            <w:vAlign w:val="bottom"/>
          </w:tcPr>
          <w:p w14:paraId="17AFB5A2" w14:textId="129FD6C7" w:rsidR="00A26814" w:rsidRPr="003E2D55" w:rsidRDefault="00A26814" w:rsidP="00A26814">
            <w:pPr>
              <w:spacing w:before="40" w:after="20"/>
              <w:jc w:val="right"/>
              <w:rPr>
                <w:rFonts w:cs="Arial"/>
                <w:sz w:val="18"/>
                <w:szCs w:val="18"/>
              </w:rPr>
            </w:pPr>
            <w:r w:rsidRPr="003E2D55">
              <w:rPr>
                <w:rFonts w:cs="Arial"/>
                <w:sz w:val="18"/>
                <w:szCs w:val="18"/>
              </w:rPr>
              <w:t>0</w:t>
            </w:r>
          </w:p>
        </w:tc>
        <w:tc>
          <w:tcPr>
            <w:tcW w:w="170" w:type="dxa"/>
            <w:tcBorders>
              <w:top w:val="nil"/>
              <w:left w:val="nil"/>
              <w:right w:val="nil"/>
            </w:tcBorders>
            <w:shd w:val="clear" w:color="auto" w:fill="auto"/>
            <w:vAlign w:val="bottom"/>
          </w:tcPr>
          <w:p w14:paraId="4AD7C272" w14:textId="18FF5A7A"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right w:val="nil"/>
            </w:tcBorders>
            <w:shd w:val="clear" w:color="auto" w:fill="auto"/>
            <w:vAlign w:val="bottom"/>
          </w:tcPr>
          <w:p w14:paraId="524B6AE7" w14:textId="173EA70E" w:rsidR="00A26814" w:rsidRPr="003E2D55" w:rsidRDefault="00A26814" w:rsidP="00A26814">
            <w:pPr>
              <w:spacing w:before="40" w:after="20"/>
              <w:jc w:val="right"/>
              <w:rPr>
                <w:rFonts w:cs="Arial"/>
                <w:sz w:val="18"/>
                <w:szCs w:val="18"/>
              </w:rPr>
            </w:pPr>
            <w:r w:rsidRPr="003E2D55">
              <w:rPr>
                <w:rFonts w:cs="Arial"/>
                <w:sz w:val="18"/>
                <w:szCs w:val="18"/>
              </w:rPr>
              <w:t>2,686</w:t>
            </w:r>
          </w:p>
        </w:tc>
        <w:tc>
          <w:tcPr>
            <w:tcW w:w="737" w:type="dxa"/>
            <w:tcBorders>
              <w:top w:val="nil"/>
              <w:left w:val="nil"/>
              <w:right w:val="nil"/>
            </w:tcBorders>
            <w:shd w:val="clear" w:color="auto" w:fill="auto"/>
            <w:vAlign w:val="bottom"/>
          </w:tcPr>
          <w:p w14:paraId="3250F171" w14:textId="599B886B" w:rsidR="00A26814" w:rsidRPr="003E2D55" w:rsidRDefault="00A26814" w:rsidP="00A26814">
            <w:pPr>
              <w:spacing w:before="40" w:after="20"/>
              <w:jc w:val="right"/>
              <w:rPr>
                <w:rFonts w:cs="Arial"/>
                <w:sz w:val="18"/>
                <w:szCs w:val="18"/>
              </w:rPr>
            </w:pPr>
            <w:r w:rsidRPr="003E2D55">
              <w:rPr>
                <w:rFonts w:cs="Arial"/>
                <w:sz w:val="18"/>
                <w:szCs w:val="18"/>
              </w:rPr>
              <w:t>1,920</w:t>
            </w:r>
          </w:p>
        </w:tc>
        <w:tc>
          <w:tcPr>
            <w:tcW w:w="737" w:type="dxa"/>
            <w:tcBorders>
              <w:top w:val="nil"/>
              <w:left w:val="nil"/>
              <w:right w:val="nil"/>
            </w:tcBorders>
            <w:shd w:val="clear" w:color="auto" w:fill="auto"/>
            <w:vAlign w:val="bottom"/>
          </w:tcPr>
          <w:p w14:paraId="664B4780" w14:textId="3ECD63E3" w:rsidR="00A26814" w:rsidRPr="003E2D55" w:rsidRDefault="00A26814" w:rsidP="00A26814">
            <w:pPr>
              <w:spacing w:before="40" w:after="20"/>
              <w:jc w:val="right"/>
              <w:rPr>
                <w:rFonts w:cs="Arial"/>
                <w:sz w:val="18"/>
                <w:szCs w:val="18"/>
              </w:rPr>
            </w:pPr>
            <w:r w:rsidRPr="003E2D55">
              <w:rPr>
                <w:rFonts w:cs="Arial"/>
                <w:sz w:val="18"/>
                <w:szCs w:val="18"/>
              </w:rPr>
              <w:t>133</w:t>
            </w:r>
          </w:p>
        </w:tc>
        <w:tc>
          <w:tcPr>
            <w:tcW w:w="737" w:type="dxa"/>
            <w:tcBorders>
              <w:top w:val="nil"/>
              <w:left w:val="nil"/>
              <w:right w:val="nil"/>
            </w:tcBorders>
            <w:shd w:val="clear" w:color="auto" w:fill="auto"/>
            <w:vAlign w:val="bottom"/>
          </w:tcPr>
          <w:p w14:paraId="7102F654" w14:textId="687DCE55" w:rsidR="00A26814" w:rsidRPr="003E2D55" w:rsidRDefault="00A26814" w:rsidP="00A26814">
            <w:pPr>
              <w:spacing w:before="40" w:after="20"/>
              <w:jc w:val="right"/>
              <w:rPr>
                <w:rFonts w:cs="Arial"/>
                <w:sz w:val="18"/>
                <w:szCs w:val="18"/>
              </w:rPr>
            </w:pPr>
            <w:r w:rsidRPr="003E2D55">
              <w:rPr>
                <w:rFonts w:cs="Arial"/>
                <w:sz w:val="18"/>
                <w:szCs w:val="18"/>
              </w:rPr>
              <w:t>3</w:t>
            </w:r>
          </w:p>
        </w:tc>
        <w:tc>
          <w:tcPr>
            <w:tcW w:w="737" w:type="dxa"/>
            <w:tcBorders>
              <w:top w:val="nil"/>
              <w:left w:val="nil"/>
              <w:right w:val="nil"/>
            </w:tcBorders>
            <w:shd w:val="clear" w:color="auto" w:fill="auto"/>
            <w:vAlign w:val="bottom"/>
          </w:tcPr>
          <w:p w14:paraId="19B0E5E3" w14:textId="3D618F09"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704908E1" w14:textId="77777777" w:rsidTr="00B44BBE">
        <w:trPr>
          <w:trHeight w:val="20"/>
        </w:trPr>
        <w:tc>
          <w:tcPr>
            <w:tcW w:w="2268" w:type="dxa"/>
            <w:tcBorders>
              <w:top w:val="nil"/>
              <w:left w:val="nil"/>
              <w:right w:val="single" w:sz="18" w:space="0" w:color="5F497A" w:themeColor="accent4" w:themeShade="BF"/>
            </w:tcBorders>
            <w:shd w:val="clear" w:color="auto" w:fill="auto"/>
            <w:vAlign w:val="center"/>
          </w:tcPr>
          <w:p w14:paraId="094582DE" w14:textId="77777777" w:rsidR="00A26814" w:rsidRPr="003E2D55" w:rsidRDefault="00A26814" w:rsidP="00A26814">
            <w:pPr>
              <w:spacing w:before="40" w:after="20"/>
              <w:rPr>
                <w:rFonts w:cs="Arial"/>
                <w:sz w:val="18"/>
                <w:szCs w:val="18"/>
              </w:rPr>
            </w:pPr>
          </w:p>
        </w:tc>
        <w:tc>
          <w:tcPr>
            <w:tcW w:w="737"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4ABA24F0" w14:textId="62B92548"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single" w:sz="8" w:space="0" w:color="5F497A" w:themeColor="accent4" w:themeShade="BF"/>
              <w:right w:val="nil"/>
            </w:tcBorders>
            <w:shd w:val="clear" w:color="auto" w:fill="auto"/>
            <w:vAlign w:val="bottom"/>
          </w:tcPr>
          <w:p w14:paraId="6227DE0E" w14:textId="77777777" w:rsidR="00A26814" w:rsidRPr="003E2D55" w:rsidRDefault="00A26814" w:rsidP="00A26814">
            <w:pPr>
              <w:spacing w:before="40" w:after="20"/>
              <w:jc w:val="right"/>
              <w:rPr>
                <w:rFonts w:cs="Arial"/>
                <w:sz w:val="18"/>
                <w:szCs w:val="18"/>
              </w:rPr>
            </w:pPr>
          </w:p>
        </w:tc>
        <w:tc>
          <w:tcPr>
            <w:tcW w:w="737" w:type="dxa"/>
            <w:tcBorders>
              <w:top w:val="nil"/>
              <w:left w:val="nil"/>
              <w:bottom w:val="single" w:sz="8" w:space="0" w:color="5F497A" w:themeColor="accent4" w:themeShade="BF"/>
              <w:right w:val="nil"/>
            </w:tcBorders>
            <w:shd w:val="clear" w:color="auto" w:fill="auto"/>
            <w:vAlign w:val="bottom"/>
          </w:tcPr>
          <w:p w14:paraId="2E7EBB3E" w14:textId="77777777" w:rsidR="00A26814" w:rsidRPr="003E2D55" w:rsidRDefault="00A26814" w:rsidP="00A26814">
            <w:pPr>
              <w:spacing w:before="40" w:after="20"/>
              <w:jc w:val="right"/>
              <w:rPr>
                <w:rFonts w:cs="Arial"/>
                <w:sz w:val="18"/>
                <w:szCs w:val="18"/>
              </w:rPr>
            </w:pPr>
          </w:p>
        </w:tc>
        <w:tc>
          <w:tcPr>
            <w:tcW w:w="737" w:type="dxa"/>
            <w:tcBorders>
              <w:top w:val="nil"/>
              <w:left w:val="nil"/>
              <w:bottom w:val="single" w:sz="8" w:space="0" w:color="5F497A" w:themeColor="accent4" w:themeShade="BF"/>
              <w:right w:val="nil"/>
            </w:tcBorders>
            <w:shd w:val="clear" w:color="auto" w:fill="auto"/>
            <w:vAlign w:val="bottom"/>
          </w:tcPr>
          <w:p w14:paraId="4EE2128A" w14:textId="77777777" w:rsidR="00A26814" w:rsidRPr="003E2D55" w:rsidRDefault="00A26814" w:rsidP="00A26814">
            <w:pPr>
              <w:spacing w:before="40" w:after="20"/>
              <w:jc w:val="right"/>
              <w:rPr>
                <w:rFonts w:cs="Arial"/>
                <w:sz w:val="18"/>
                <w:szCs w:val="18"/>
              </w:rPr>
            </w:pPr>
          </w:p>
        </w:tc>
        <w:tc>
          <w:tcPr>
            <w:tcW w:w="170" w:type="dxa"/>
            <w:tcBorders>
              <w:top w:val="nil"/>
              <w:left w:val="nil"/>
              <w:bottom w:val="single" w:sz="8" w:space="0" w:color="5F497A" w:themeColor="accent4" w:themeShade="BF"/>
              <w:right w:val="nil"/>
            </w:tcBorders>
            <w:shd w:val="clear" w:color="auto" w:fill="auto"/>
            <w:vAlign w:val="bottom"/>
          </w:tcPr>
          <w:p w14:paraId="51EE09E1" w14:textId="73D83343" w:rsidR="00A26814" w:rsidRPr="003E2D55" w:rsidRDefault="00A26814" w:rsidP="00A26814">
            <w:pPr>
              <w:spacing w:before="40" w:after="20"/>
              <w:jc w:val="right"/>
              <w:rPr>
                <w:rFonts w:cs="Arial"/>
                <w:sz w:val="18"/>
                <w:szCs w:val="18"/>
              </w:rPr>
            </w:pPr>
            <w:r w:rsidRPr="003E2D55">
              <w:rPr>
                <w:rFonts w:cs="Arial"/>
                <w:sz w:val="18"/>
                <w:szCs w:val="18"/>
              </w:rPr>
              <w:t> </w:t>
            </w:r>
          </w:p>
        </w:tc>
        <w:tc>
          <w:tcPr>
            <w:tcW w:w="737" w:type="dxa"/>
            <w:tcBorders>
              <w:top w:val="nil"/>
              <w:left w:val="nil"/>
              <w:bottom w:val="single" w:sz="8" w:space="0" w:color="5F497A" w:themeColor="accent4" w:themeShade="BF"/>
              <w:right w:val="nil"/>
            </w:tcBorders>
            <w:shd w:val="clear" w:color="auto" w:fill="auto"/>
            <w:vAlign w:val="bottom"/>
          </w:tcPr>
          <w:p w14:paraId="33FDDD19" w14:textId="77777777" w:rsidR="00A26814" w:rsidRPr="003E2D55" w:rsidRDefault="00A26814" w:rsidP="00A26814">
            <w:pPr>
              <w:spacing w:before="40" w:after="20"/>
              <w:jc w:val="right"/>
              <w:rPr>
                <w:rFonts w:cs="Arial"/>
                <w:sz w:val="18"/>
                <w:szCs w:val="18"/>
              </w:rPr>
            </w:pPr>
          </w:p>
        </w:tc>
        <w:tc>
          <w:tcPr>
            <w:tcW w:w="737" w:type="dxa"/>
            <w:tcBorders>
              <w:top w:val="nil"/>
              <w:left w:val="nil"/>
              <w:bottom w:val="single" w:sz="8" w:space="0" w:color="5F497A" w:themeColor="accent4" w:themeShade="BF"/>
              <w:right w:val="nil"/>
            </w:tcBorders>
            <w:shd w:val="clear" w:color="auto" w:fill="auto"/>
            <w:vAlign w:val="bottom"/>
          </w:tcPr>
          <w:p w14:paraId="2D17D230" w14:textId="77777777" w:rsidR="00A26814" w:rsidRPr="003E2D55" w:rsidRDefault="00A26814" w:rsidP="00A26814">
            <w:pPr>
              <w:spacing w:before="40" w:after="20"/>
              <w:jc w:val="right"/>
              <w:rPr>
                <w:rFonts w:cs="Arial"/>
                <w:sz w:val="18"/>
                <w:szCs w:val="18"/>
              </w:rPr>
            </w:pPr>
          </w:p>
        </w:tc>
        <w:tc>
          <w:tcPr>
            <w:tcW w:w="737" w:type="dxa"/>
            <w:tcBorders>
              <w:top w:val="nil"/>
              <w:left w:val="nil"/>
              <w:bottom w:val="single" w:sz="8" w:space="0" w:color="5F497A" w:themeColor="accent4" w:themeShade="BF"/>
              <w:right w:val="nil"/>
            </w:tcBorders>
            <w:shd w:val="clear" w:color="auto" w:fill="auto"/>
            <w:vAlign w:val="bottom"/>
          </w:tcPr>
          <w:p w14:paraId="05E74792" w14:textId="77777777" w:rsidR="00A26814" w:rsidRPr="003E2D55" w:rsidRDefault="00A26814" w:rsidP="00A26814">
            <w:pPr>
              <w:spacing w:before="40" w:after="20"/>
              <w:jc w:val="right"/>
              <w:rPr>
                <w:rFonts w:cs="Arial"/>
                <w:sz w:val="18"/>
                <w:szCs w:val="18"/>
              </w:rPr>
            </w:pPr>
          </w:p>
        </w:tc>
        <w:tc>
          <w:tcPr>
            <w:tcW w:w="737" w:type="dxa"/>
            <w:tcBorders>
              <w:top w:val="nil"/>
              <w:left w:val="nil"/>
              <w:bottom w:val="single" w:sz="8" w:space="0" w:color="5F497A" w:themeColor="accent4" w:themeShade="BF"/>
              <w:right w:val="nil"/>
            </w:tcBorders>
            <w:shd w:val="clear" w:color="auto" w:fill="auto"/>
            <w:vAlign w:val="bottom"/>
          </w:tcPr>
          <w:p w14:paraId="14B14E22" w14:textId="77777777" w:rsidR="00A26814" w:rsidRPr="003E2D55" w:rsidRDefault="00A26814" w:rsidP="00A26814">
            <w:pPr>
              <w:spacing w:before="40" w:after="20"/>
              <w:jc w:val="right"/>
              <w:rPr>
                <w:rFonts w:cs="Arial"/>
                <w:sz w:val="18"/>
                <w:szCs w:val="18"/>
              </w:rPr>
            </w:pPr>
          </w:p>
        </w:tc>
        <w:tc>
          <w:tcPr>
            <w:tcW w:w="737" w:type="dxa"/>
            <w:tcBorders>
              <w:top w:val="nil"/>
              <w:left w:val="nil"/>
              <w:bottom w:val="single" w:sz="8" w:space="0" w:color="5F497A" w:themeColor="accent4" w:themeShade="BF"/>
              <w:right w:val="nil"/>
            </w:tcBorders>
            <w:shd w:val="clear" w:color="auto" w:fill="auto"/>
            <w:vAlign w:val="bottom"/>
          </w:tcPr>
          <w:p w14:paraId="710F3AA0" w14:textId="48339810" w:rsidR="00A26814" w:rsidRPr="003E2D55" w:rsidRDefault="00A26814" w:rsidP="00A26814">
            <w:pPr>
              <w:spacing w:before="40" w:after="20"/>
              <w:jc w:val="right"/>
              <w:rPr>
                <w:rFonts w:cs="Arial"/>
                <w:sz w:val="18"/>
                <w:szCs w:val="18"/>
              </w:rPr>
            </w:pPr>
            <w:r w:rsidRPr="003E2D55">
              <w:rPr>
                <w:rFonts w:cs="Arial"/>
                <w:sz w:val="18"/>
                <w:szCs w:val="18"/>
              </w:rPr>
              <w:t> </w:t>
            </w:r>
          </w:p>
        </w:tc>
      </w:tr>
      <w:tr w:rsidR="00A26814" w:rsidRPr="003E2D55" w14:paraId="33C2CF63" w14:textId="77777777" w:rsidTr="00B44BBE">
        <w:trPr>
          <w:trHeight w:val="20"/>
        </w:trPr>
        <w:tc>
          <w:tcPr>
            <w:tcW w:w="2268" w:type="dxa"/>
            <w:tcBorders>
              <w:top w:val="nil"/>
              <w:left w:val="nil"/>
              <w:right w:val="single" w:sz="18" w:space="0" w:color="5F497A" w:themeColor="accent4" w:themeShade="BF"/>
            </w:tcBorders>
            <w:shd w:val="clear" w:color="auto" w:fill="auto"/>
            <w:vAlign w:val="center"/>
          </w:tcPr>
          <w:p w14:paraId="3CE68A36" w14:textId="77777777" w:rsidR="00A26814" w:rsidRPr="003E2D55" w:rsidRDefault="00A26814" w:rsidP="00A26814">
            <w:pPr>
              <w:spacing w:before="40" w:after="20"/>
              <w:rPr>
                <w:rFonts w:cs="Arial"/>
                <w:sz w:val="18"/>
                <w:szCs w:val="18"/>
              </w:rPr>
            </w:pPr>
          </w:p>
        </w:tc>
        <w:tc>
          <w:tcPr>
            <w:tcW w:w="737" w:type="dxa"/>
            <w:tcBorders>
              <w:top w:val="single" w:sz="8" w:space="0" w:color="5F497A" w:themeColor="accent4" w:themeShade="BF"/>
              <w:left w:val="single" w:sz="18" w:space="0" w:color="5F497A" w:themeColor="accent4" w:themeShade="BF"/>
              <w:right w:val="nil"/>
            </w:tcBorders>
            <w:shd w:val="clear" w:color="auto" w:fill="auto"/>
            <w:vAlign w:val="bottom"/>
          </w:tcPr>
          <w:p w14:paraId="735117CD" w14:textId="7E5D6810" w:rsidR="00A26814" w:rsidRPr="003E2D55" w:rsidRDefault="00A26814" w:rsidP="00A26814">
            <w:pPr>
              <w:spacing w:before="40" w:after="20"/>
              <w:jc w:val="right"/>
              <w:rPr>
                <w:rFonts w:cs="Arial"/>
                <w:b/>
                <w:sz w:val="18"/>
                <w:szCs w:val="18"/>
              </w:rPr>
            </w:pPr>
            <w:r w:rsidRPr="003E2D55">
              <w:rPr>
                <w:rFonts w:cs="Arial"/>
                <w:b/>
                <w:sz w:val="18"/>
                <w:szCs w:val="18"/>
              </w:rPr>
              <w:t>18,898</w:t>
            </w:r>
          </w:p>
        </w:tc>
        <w:tc>
          <w:tcPr>
            <w:tcW w:w="737" w:type="dxa"/>
            <w:tcBorders>
              <w:top w:val="single" w:sz="8" w:space="0" w:color="5F497A" w:themeColor="accent4" w:themeShade="BF"/>
              <w:left w:val="nil"/>
              <w:right w:val="nil"/>
            </w:tcBorders>
            <w:shd w:val="clear" w:color="auto" w:fill="auto"/>
            <w:vAlign w:val="bottom"/>
          </w:tcPr>
          <w:p w14:paraId="090AF9AE" w14:textId="606E2E3D" w:rsidR="00A26814" w:rsidRPr="003E2D55" w:rsidRDefault="00A26814" w:rsidP="00A26814">
            <w:pPr>
              <w:spacing w:before="40" w:after="20"/>
              <w:jc w:val="right"/>
              <w:rPr>
                <w:rFonts w:cs="Arial"/>
                <w:b/>
                <w:sz w:val="18"/>
                <w:szCs w:val="18"/>
              </w:rPr>
            </w:pPr>
            <w:r w:rsidRPr="003E2D55">
              <w:rPr>
                <w:rFonts w:cs="Arial"/>
                <w:b/>
                <w:sz w:val="18"/>
                <w:szCs w:val="18"/>
              </w:rPr>
              <w:t>5,804</w:t>
            </w:r>
          </w:p>
        </w:tc>
        <w:tc>
          <w:tcPr>
            <w:tcW w:w="737" w:type="dxa"/>
            <w:tcBorders>
              <w:top w:val="single" w:sz="8" w:space="0" w:color="5F497A" w:themeColor="accent4" w:themeShade="BF"/>
              <w:left w:val="nil"/>
              <w:right w:val="nil"/>
            </w:tcBorders>
            <w:shd w:val="clear" w:color="auto" w:fill="auto"/>
            <w:vAlign w:val="bottom"/>
          </w:tcPr>
          <w:p w14:paraId="05193266" w14:textId="7DF0C0E2" w:rsidR="00A26814" w:rsidRPr="003E2D55" w:rsidRDefault="00A26814" w:rsidP="00A26814">
            <w:pPr>
              <w:spacing w:before="40" w:after="20"/>
              <w:jc w:val="right"/>
              <w:rPr>
                <w:rFonts w:cs="Arial"/>
                <w:b/>
                <w:sz w:val="18"/>
                <w:szCs w:val="18"/>
              </w:rPr>
            </w:pPr>
            <w:r w:rsidRPr="003E2D55">
              <w:rPr>
                <w:rFonts w:cs="Arial"/>
                <w:b/>
                <w:sz w:val="18"/>
                <w:szCs w:val="18"/>
              </w:rPr>
              <w:t>5,529</w:t>
            </w:r>
          </w:p>
        </w:tc>
        <w:tc>
          <w:tcPr>
            <w:tcW w:w="737" w:type="dxa"/>
            <w:tcBorders>
              <w:top w:val="single" w:sz="8" w:space="0" w:color="5F497A" w:themeColor="accent4" w:themeShade="BF"/>
              <w:left w:val="nil"/>
              <w:right w:val="nil"/>
            </w:tcBorders>
            <w:shd w:val="clear" w:color="auto" w:fill="auto"/>
            <w:vAlign w:val="bottom"/>
          </w:tcPr>
          <w:p w14:paraId="32AF30A6" w14:textId="18249F6E" w:rsidR="00A26814" w:rsidRPr="003E2D55" w:rsidRDefault="00A26814" w:rsidP="00A26814">
            <w:pPr>
              <w:spacing w:before="40" w:after="20"/>
              <w:jc w:val="right"/>
              <w:rPr>
                <w:rFonts w:cs="Arial"/>
                <w:b/>
                <w:sz w:val="18"/>
                <w:szCs w:val="18"/>
              </w:rPr>
            </w:pPr>
            <w:r w:rsidRPr="003E2D55">
              <w:rPr>
                <w:rFonts w:cs="Arial"/>
                <w:b/>
                <w:sz w:val="18"/>
                <w:szCs w:val="18"/>
              </w:rPr>
              <w:t>1,689</w:t>
            </w:r>
          </w:p>
        </w:tc>
        <w:tc>
          <w:tcPr>
            <w:tcW w:w="170" w:type="dxa"/>
            <w:tcBorders>
              <w:top w:val="single" w:sz="8" w:space="0" w:color="5F497A" w:themeColor="accent4" w:themeShade="BF"/>
              <w:left w:val="nil"/>
              <w:right w:val="nil"/>
            </w:tcBorders>
            <w:shd w:val="clear" w:color="auto" w:fill="auto"/>
            <w:vAlign w:val="bottom"/>
          </w:tcPr>
          <w:p w14:paraId="05EA0F9F" w14:textId="50050638" w:rsidR="00A26814" w:rsidRPr="003E2D55" w:rsidRDefault="00A26814" w:rsidP="00A26814">
            <w:pPr>
              <w:spacing w:before="40" w:after="20"/>
              <w:rPr>
                <w:rFonts w:cs="Arial"/>
                <w:b/>
                <w:sz w:val="18"/>
                <w:szCs w:val="18"/>
              </w:rPr>
            </w:pPr>
            <w:r w:rsidRPr="003E2D55">
              <w:rPr>
                <w:rFonts w:cs="Arial"/>
                <w:b/>
                <w:sz w:val="18"/>
                <w:szCs w:val="18"/>
              </w:rPr>
              <w:t> </w:t>
            </w:r>
          </w:p>
        </w:tc>
        <w:tc>
          <w:tcPr>
            <w:tcW w:w="737" w:type="dxa"/>
            <w:tcBorders>
              <w:top w:val="single" w:sz="8" w:space="0" w:color="5F497A" w:themeColor="accent4" w:themeShade="BF"/>
              <w:left w:val="nil"/>
              <w:right w:val="nil"/>
            </w:tcBorders>
            <w:shd w:val="clear" w:color="auto" w:fill="auto"/>
            <w:vAlign w:val="bottom"/>
          </w:tcPr>
          <w:p w14:paraId="7F660CE4" w14:textId="6BCC6237" w:rsidR="00A26814" w:rsidRPr="003E2D55" w:rsidRDefault="00A26814" w:rsidP="00A26814">
            <w:pPr>
              <w:spacing w:before="40" w:after="20"/>
              <w:jc w:val="right"/>
              <w:rPr>
                <w:rFonts w:cs="Arial"/>
                <w:b/>
                <w:sz w:val="18"/>
                <w:szCs w:val="18"/>
              </w:rPr>
            </w:pPr>
            <w:r w:rsidRPr="003E2D55">
              <w:rPr>
                <w:rFonts w:cs="Arial"/>
                <w:b/>
                <w:sz w:val="18"/>
                <w:szCs w:val="18"/>
              </w:rPr>
              <w:t>18,788</w:t>
            </w:r>
          </w:p>
        </w:tc>
        <w:tc>
          <w:tcPr>
            <w:tcW w:w="737" w:type="dxa"/>
            <w:tcBorders>
              <w:top w:val="single" w:sz="8" w:space="0" w:color="5F497A" w:themeColor="accent4" w:themeShade="BF"/>
              <w:left w:val="nil"/>
              <w:right w:val="nil"/>
            </w:tcBorders>
            <w:shd w:val="clear" w:color="auto" w:fill="auto"/>
            <w:vAlign w:val="bottom"/>
          </w:tcPr>
          <w:p w14:paraId="090987A2" w14:textId="1AE0C9F3" w:rsidR="00A26814" w:rsidRPr="003E2D55" w:rsidRDefault="00A26814" w:rsidP="00A26814">
            <w:pPr>
              <w:spacing w:before="40" w:after="20"/>
              <w:jc w:val="right"/>
              <w:rPr>
                <w:rFonts w:cs="Arial"/>
                <w:b/>
                <w:sz w:val="18"/>
                <w:szCs w:val="18"/>
              </w:rPr>
            </w:pPr>
            <w:r w:rsidRPr="003E2D55">
              <w:rPr>
                <w:rFonts w:cs="Arial"/>
                <w:b/>
                <w:sz w:val="18"/>
                <w:szCs w:val="18"/>
              </w:rPr>
              <w:t>58,393</w:t>
            </w:r>
          </w:p>
        </w:tc>
        <w:tc>
          <w:tcPr>
            <w:tcW w:w="737" w:type="dxa"/>
            <w:tcBorders>
              <w:top w:val="single" w:sz="8" w:space="0" w:color="5F497A" w:themeColor="accent4" w:themeShade="BF"/>
              <w:left w:val="nil"/>
              <w:right w:val="nil"/>
            </w:tcBorders>
            <w:shd w:val="clear" w:color="auto" w:fill="auto"/>
            <w:vAlign w:val="bottom"/>
          </w:tcPr>
          <w:p w14:paraId="4DA50E9E" w14:textId="3CB02D65" w:rsidR="00A26814" w:rsidRPr="003E2D55" w:rsidRDefault="00A26814" w:rsidP="00A26814">
            <w:pPr>
              <w:spacing w:before="40" w:after="20"/>
              <w:jc w:val="right"/>
              <w:rPr>
                <w:rFonts w:cs="Arial"/>
                <w:b/>
                <w:sz w:val="18"/>
                <w:szCs w:val="18"/>
              </w:rPr>
            </w:pPr>
            <w:r w:rsidRPr="003E2D55">
              <w:rPr>
                <w:rFonts w:cs="Arial"/>
                <w:b/>
                <w:sz w:val="18"/>
                <w:szCs w:val="18"/>
              </w:rPr>
              <w:t>18,013</w:t>
            </w:r>
          </w:p>
        </w:tc>
        <w:tc>
          <w:tcPr>
            <w:tcW w:w="737" w:type="dxa"/>
            <w:tcBorders>
              <w:top w:val="single" w:sz="8" w:space="0" w:color="5F497A" w:themeColor="accent4" w:themeShade="BF"/>
              <w:left w:val="nil"/>
              <w:right w:val="nil"/>
            </w:tcBorders>
            <w:shd w:val="clear" w:color="auto" w:fill="auto"/>
            <w:vAlign w:val="bottom"/>
          </w:tcPr>
          <w:p w14:paraId="502EA927" w14:textId="4DCA456C" w:rsidR="00A26814" w:rsidRPr="003E2D55" w:rsidRDefault="00A26814" w:rsidP="00A26814">
            <w:pPr>
              <w:spacing w:before="40" w:after="20"/>
              <w:jc w:val="right"/>
              <w:rPr>
                <w:rFonts w:cs="Arial"/>
                <w:b/>
                <w:sz w:val="18"/>
                <w:szCs w:val="18"/>
              </w:rPr>
            </w:pPr>
            <w:r w:rsidRPr="003E2D55">
              <w:rPr>
                <w:rFonts w:cs="Arial"/>
                <w:b/>
                <w:sz w:val="18"/>
                <w:szCs w:val="18"/>
              </w:rPr>
              <w:t>2,960</w:t>
            </w:r>
          </w:p>
        </w:tc>
        <w:tc>
          <w:tcPr>
            <w:tcW w:w="737" w:type="dxa"/>
            <w:tcBorders>
              <w:top w:val="single" w:sz="8" w:space="0" w:color="5F497A" w:themeColor="accent4" w:themeShade="BF"/>
              <w:left w:val="nil"/>
              <w:right w:val="nil"/>
            </w:tcBorders>
            <w:shd w:val="clear" w:color="auto" w:fill="auto"/>
            <w:vAlign w:val="bottom"/>
          </w:tcPr>
          <w:p w14:paraId="291C0A45" w14:textId="63D60FE2" w:rsidR="00A26814" w:rsidRPr="003E2D55" w:rsidRDefault="00A26814" w:rsidP="00A26814">
            <w:pPr>
              <w:spacing w:before="40" w:after="20"/>
              <w:jc w:val="right"/>
              <w:rPr>
                <w:rFonts w:cs="Arial"/>
                <w:b/>
                <w:sz w:val="18"/>
                <w:szCs w:val="18"/>
              </w:rPr>
            </w:pPr>
            <w:r w:rsidRPr="003E2D55">
              <w:rPr>
                <w:rFonts w:cs="Arial"/>
                <w:b/>
                <w:sz w:val="18"/>
                <w:szCs w:val="18"/>
              </w:rPr>
              <w:t>1,726</w:t>
            </w:r>
          </w:p>
        </w:tc>
      </w:tr>
    </w:tbl>
    <w:p w14:paraId="539AC608" w14:textId="77777777" w:rsidR="00EB2E62" w:rsidRPr="00A44829" w:rsidRDefault="00EB2E62" w:rsidP="00FF36E8">
      <w:pPr>
        <w:spacing w:before="40" w:after="20"/>
        <w:rPr>
          <w:rFonts w:cs="Arial"/>
          <w:sz w:val="8"/>
          <w:szCs w:val="8"/>
        </w:rPr>
      </w:pPr>
      <w:r w:rsidRPr="00A44829">
        <w:rPr>
          <w:rFonts w:cs="Arial"/>
          <w:sz w:val="18"/>
          <w:szCs w:val="18"/>
        </w:rPr>
        <w:br w:type="page"/>
      </w:r>
    </w:p>
    <w:p w14:paraId="73ABFC2B" w14:textId="7911E181" w:rsidR="008475D6" w:rsidRPr="00A44829" w:rsidRDefault="00EE4593" w:rsidP="00C33713">
      <w:pPr>
        <w:pStyle w:val="VGC-Head10"/>
      </w:pPr>
      <w:r w:rsidRPr="00A44829">
        <w:lastRenderedPageBreak/>
        <w:t>2019-20</w:t>
      </w:r>
      <w:r w:rsidR="00A97ABE" w:rsidRPr="00A44829">
        <w:t xml:space="preserve"> </w:t>
      </w:r>
      <w:r w:rsidR="008475D6" w:rsidRPr="00A44829">
        <w:t>Local Roads Grants</w:t>
      </w:r>
      <w:r w:rsidR="00CE4507" w:rsidRPr="00A44829">
        <w:tab/>
        <w:t>Appendix 5</w:t>
      </w:r>
    </w:p>
    <w:p w14:paraId="27F5E09A" w14:textId="0773D9E2" w:rsidR="008475D6" w:rsidRPr="00A44829" w:rsidRDefault="004F1184" w:rsidP="008C1A28">
      <w:pPr>
        <w:pStyle w:val="VGC-Head2"/>
      </w:pPr>
      <w:r w:rsidRPr="00A44829">
        <w:tab/>
      </w:r>
      <w:r w:rsidR="00955945" w:rsidRPr="00A44829">
        <w:t>A</w:t>
      </w:r>
      <w:r w:rsidR="008475D6" w:rsidRPr="00A44829">
        <w:t>.  Local Road</w:t>
      </w:r>
      <w:r w:rsidR="00C64712">
        <w:t>s</w:t>
      </w:r>
      <w:r w:rsidR="008475D6" w:rsidRPr="00A44829">
        <w:t xml:space="preserve"> Network </w:t>
      </w:r>
    </w:p>
    <w:p w14:paraId="1EB64BD7" w14:textId="77777777" w:rsidR="00640E8B" w:rsidRPr="00A44829" w:rsidRDefault="00640E8B"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A44829" w14:paraId="16CE05E5"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52882D0E" w14:textId="77777777" w:rsidR="00EE4FC3" w:rsidRPr="00A44829" w:rsidRDefault="00EE4FC3" w:rsidP="0038375E">
            <w:pPr>
              <w:spacing w:before="40" w:after="20"/>
              <w:jc w:val="center"/>
              <w:rPr>
                <w:rFonts w:cs="Arial"/>
                <w:sz w:val="18"/>
                <w:szCs w:val="18"/>
              </w:rPr>
            </w:pPr>
          </w:p>
        </w:tc>
        <w:tc>
          <w:tcPr>
            <w:tcW w:w="1134" w:type="dxa"/>
            <w:tcBorders>
              <w:left w:val="single" w:sz="18" w:space="0" w:color="5F497A" w:themeColor="accent4" w:themeShade="BF"/>
              <w:bottom w:val="single" w:sz="8" w:space="0" w:color="5F497A" w:themeColor="accent4" w:themeShade="BF"/>
              <w:right w:val="nil"/>
            </w:tcBorders>
            <w:shd w:val="clear" w:color="auto" w:fill="auto"/>
            <w:vAlign w:val="bottom"/>
          </w:tcPr>
          <w:p w14:paraId="4D354388" w14:textId="77777777" w:rsidR="00EE4FC3" w:rsidRPr="00A44829" w:rsidRDefault="00EE4FC3" w:rsidP="0038375E">
            <w:pPr>
              <w:spacing w:before="40" w:after="20"/>
              <w:jc w:val="center"/>
              <w:rPr>
                <w:rFonts w:cs="Arial"/>
                <w:sz w:val="16"/>
                <w:szCs w:val="16"/>
              </w:rPr>
            </w:pPr>
          </w:p>
        </w:tc>
        <w:tc>
          <w:tcPr>
            <w:tcW w:w="1134" w:type="dxa"/>
            <w:tcBorders>
              <w:left w:val="nil"/>
              <w:bottom w:val="single" w:sz="8" w:space="0" w:color="5F497A" w:themeColor="accent4" w:themeShade="BF"/>
              <w:right w:val="nil"/>
            </w:tcBorders>
            <w:vAlign w:val="bottom"/>
          </w:tcPr>
          <w:p w14:paraId="0F6CA342" w14:textId="77777777" w:rsidR="00EE4FC3" w:rsidRPr="00A44829" w:rsidRDefault="00EE4FC3" w:rsidP="0038375E">
            <w:pPr>
              <w:spacing w:before="40" w:after="20"/>
              <w:jc w:val="center"/>
              <w:rPr>
                <w:rFonts w:cs="Arial"/>
                <w:sz w:val="16"/>
                <w:szCs w:val="16"/>
              </w:rPr>
            </w:pPr>
          </w:p>
        </w:tc>
        <w:tc>
          <w:tcPr>
            <w:tcW w:w="1247" w:type="dxa"/>
            <w:vMerge w:val="restart"/>
            <w:tcBorders>
              <w:left w:val="nil"/>
              <w:bottom w:val="single" w:sz="8" w:space="0" w:color="5F497A" w:themeColor="accent4" w:themeShade="BF"/>
              <w:right w:val="nil"/>
            </w:tcBorders>
            <w:vAlign w:val="bottom"/>
          </w:tcPr>
          <w:p w14:paraId="55BFCF33" w14:textId="77777777" w:rsidR="00EE4FC3" w:rsidRPr="00A44829" w:rsidRDefault="00EE4FC3" w:rsidP="0038375E">
            <w:pPr>
              <w:spacing w:before="40" w:after="20"/>
              <w:jc w:val="center"/>
              <w:rPr>
                <w:rFonts w:cs="Arial"/>
                <w:b/>
                <w:sz w:val="18"/>
                <w:szCs w:val="18"/>
              </w:rPr>
            </w:pPr>
            <w:r w:rsidRPr="00A44829">
              <w:rPr>
                <w:rFonts w:cs="Arial"/>
                <w:b/>
                <w:sz w:val="18"/>
                <w:szCs w:val="18"/>
              </w:rPr>
              <w:t xml:space="preserve">Total </w:t>
            </w:r>
            <w:r w:rsidRPr="00A44829">
              <w:rPr>
                <w:rFonts w:cs="Arial"/>
                <w:b/>
                <w:sz w:val="18"/>
                <w:szCs w:val="18"/>
              </w:rPr>
              <w:br/>
              <w:t xml:space="preserve">Local </w:t>
            </w:r>
            <w:r w:rsidR="00A61C23" w:rsidRPr="00A44829">
              <w:rPr>
                <w:rFonts w:cs="Arial"/>
                <w:b/>
                <w:sz w:val="18"/>
                <w:szCs w:val="18"/>
              </w:rPr>
              <w:br/>
            </w:r>
            <w:r w:rsidRPr="00A44829">
              <w:rPr>
                <w:rFonts w:cs="Arial"/>
                <w:b/>
                <w:sz w:val="18"/>
                <w:szCs w:val="18"/>
              </w:rPr>
              <w:t xml:space="preserve">Roads </w:t>
            </w:r>
            <w:r w:rsidRPr="00A44829">
              <w:rPr>
                <w:rFonts w:cs="Arial"/>
                <w:b/>
                <w:sz w:val="18"/>
                <w:szCs w:val="18"/>
              </w:rPr>
              <w:br/>
            </w:r>
            <w:r w:rsidRPr="00A44829">
              <w:rPr>
                <w:rFonts w:cs="Arial"/>
                <w:sz w:val="16"/>
                <w:szCs w:val="16"/>
              </w:rPr>
              <w:t>(km)</w:t>
            </w:r>
          </w:p>
        </w:tc>
        <w:tc>
          <w:tcPr>
            <w:tcW w:w="1247" w:type="dxa"/>
            <w:vMerge w:val="restart"/>
            <w:tcBorders>
              <w:left w:val="nil"/>
              <w:bottom w:val="single" w:sz="8" w:space="0" w:color="5F497A" w:themeColor="accent4" w:themeShade="BF"/>
              <w:right w:val="nil"/>
            </w:tcBorders>
            <w:shd w:val="clear" w:color="auto" w:fill="auto"/>
            <w:vAlign w:val="bottom"/>
          </w:tcPr>
          <w:p w14:paraId="3A7CC885" w14:textId="77777777" w:rsidR="00EE4FC3" w:rsidRPr="00A44829" w:rsidRDefault="00EE4FC3" w:rsidP="0038375E">
            <w:pPr>
              <w:spacing w:before="40" w:after="20"/>
              <w:jc w:val="center"/>
              <w:rPr>
                <w:rFonts w:cs="Arial"/>
                <w:b/>
                <w:sz w:val="18"/>
                <w:szCs w:val="18"/>
              </w:rPr>
            </w:pPr>
            <w:r w:rsidRPr="00A44829">
              <w:rPr>
                <w:rFonts w:cs="Arial"/>
                <w:b/>
                <w:sz w:val="18"/>
                <w:szCs w:val="18"/>
              </w:rPr>
              <w:t xml:space="preserve">Total </w:t>
            </w:r>
            <w:r w:rsidRPr="00A44829">
              <w:rPr>
                <w:rFonts w:cs="Arial"/>
                <w:b/>
                <w:sz w:val="18"/>
                <w:szCs w:val="18"/>
              </w:rPr>
              <w:br/>
              <w:t xml:space="preserve">Strategic Routes </w:t>
            </w:r>
            <w:r w:rsidRPr="00A44829">
              <w:rPr>
                <w:rFonts w:cs="Arial"/>
                <w:b/>
                <w:sz w:val="18"/>
                <w:szCs w:val="18"/>
              </w:rPr>
              <w:br/>
            </w:r>
            <w:r w:rsidRPr="00A44829">
              <w:rPr>
                <w:rFonts w:cs="Arial"/>
                <w:sz w:val="16"/>
                <w:szCs w:val="16"/>
              </w:rPr>
              <w:t>(km)</w:t>
            </w:r>
          </w:p>
        </w:tc>
        <w:tc>
          <w:tcPr>
            <w:tcW w:w="2042" w:type="dxa"/>
            <w:gridSpan w:val="2"/>
            <w:tcBorders>
              <w:left w:val="nil"/>
              <w:bottom w:val="single" w:sz="8" w:space="0" w:color="5F497A" w:themeColor="accent4" w:themeShade="BF"/>
              <w:right w:val="nil"/>
            </w:tcBorders>
            <w:shd w:val="clear" w:color="auto" w:fill="auto"/>
            <w:vAlign w:val="bottom"/>
          </w:tcPr>
          <w:p w14:paraId="60256CDB" w14:textId="77777777" w:rsidR="00EE4FC3" w:rsidRPr="00A44829" w:rsidRDefault="00EE4FC3" w:rsidP="0038375E">
            <w:pPr>
              <w:spacing w:before="40" w:after="20"/>
              <w:jc w:val="center"/>
              <w:rPr>
                <w:rFonts w:cs="Arial"/>
                <w:sz w:val="16"/>
                <w:szCs w:val="16"/>
              </w:rPr>
            </w:pPr>
            <w:r w:rsidRPr="00A44829">
              <w:rPr>
                <w:rFonts w:cs="Arial"/>
                <w:sz w:val="16"/>
                <w:szCs w:val="16"/>
              </w:rPr>
              <w:t>Bridges</w:t>
            </w:r>
          </w:p>
        </w:tc>
      </w:tr>
      <w:tr w:rsidR="00EE4FC3" w:rsidRPr="00A44829" w14:paraId="08EEB34B"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78C4F116" w14:textId="77777777" w:rsidR="00EE4FC3" w:rsidRPr="00A44829" w:rsidRDefault="00EE4FC3" w:rsidP="0038375E">
            <w:pPr>
              <w:spacing w:before="40" w:after="20"/>
              <w:jc w:val="center"/>
              <w:rPr>
                <w:rFonts w:cs="Arial"/>
                <w:sz w:val="18"/>
                <w:szCs w:val="18"/>
              </w:rPr>
            </w:pP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3661E376" w14:textId="77777777" w:rsidR="00EE4FC3" w:rsidRPr="00A44829" w:rsidRDefault="00EE4FC3" w:rsidP="0038375E">
            <w:pPr>
              <w:spacing w:before="40" w:after="20"/>
              <w:jc w:val="center"/>
              <w:rPr>
                <w:rFonts w:cs="Arial"/>
                <w:sz w:val="16"/>
                <w:szCs w:val="16"/>
              </w:rPr>
            </w:pPr>
            <w:r w:rsidRPr="00A44829">
              <w:rPr>
                <w:rFonts w:cs="Arial"/>
                <w:sz w:val="16"/>
                <w:szCs w:val="16"/>
              </w:rPr>
              <w:t xml:space="preserve">Total </w:t>
            </w:r>
            <w:r w:rsidRPr="00A44829">
              <w:rPr>
                <w:rFonts w:cs="Arial"/>
                <w:sz w:val="16"/>
                <w:szCs w:val="16"/>
              </w:rPr>
              <w:br/>
              <w:t xml:space="preserve">Urban </w:t>
            </w:r>
            <w:r w:rsidRPr="00A44829">
              <w:rPr>
                <w:rFonts w:cs="Arial"/>
                <w:sz w:val="16"/>
                <w:szCs w:val="16"/>
              </w:rPr>
              <w:br/>
              <w:t>(km)</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645FF31E" w14:textId="77777777" w:rsidR="00EE4FC3" w:rsidRPr="00A44829" w:rsidRDefault="00EE4FC3" w:rsidP="0038375E">
            <w:pPr>
              <w:spacing w:before="40" w:after="20"/>
              <w:jc w:val="center"/>
              <w:rPr>
                <w:rFonts w:cs="Arial"/>
                <w:sz w:val="16"/>
                <w:szCs w:val="16"/>
              </w:rPr>
            </w:pPr>
            <w:r w:rsidRPr="00A44829">
              <w:rPr>
                <w:rFonts w:cs="Arial"/>
                <w:sz w:val="16"/>
                <w:szCs w:val="16"/>
              </w:rPr>
              <w:t xml:space="preserve">Total </w:t>
            </w:r>
            <w:r w:rsidRPr="00A44829">
              <w:rPr>
                <w:rFonts w:cs="Arial"/>
                <w:sz w:val="16"/>
                <w:szCs w:val="16"/>
              </w:rPr>
              <w:br/>
              <w:t xml:space="preserve">Rural </w:t>
            </w:r>
            <w:r w:rsidRPr="00A44829">
              <w:rPr>
                <w:rFonts w:cs="Arial"/>
                <w:sz w:val="16"/>
                <w:szCs w:val="16"/>
              </w:rPr>
              <w:br/>
              <w:t>(km)</w:t>
            </w:r>
          </w:p>
        </w:tc>
        <w:tc>
          <w:tcPr>
            <w:tcW w:w="1247" w:type="dxa"/>
            <w:vMerge/>
            <w:tcBorders>
              <w:top w:val="single" w:sz="8" w:space="0" w:color="5F497A" w:themeColor="accent4" w:themeShade="BF"/>
              <w:left w:val="nil"/>
              <w:bottom w:val="single" w:sz="8" w:space="0" w:color="5F497A" w:themeColor="accent4" w:themeShade="BF"/>
              <w:right w:val="nil"/>
            </w:tcBorders>
            <w:vAlign w:val="bottom"/>
          </w:tcPr>
          <w:p w14:paraId="4FFEAA27" w14:textId="77777777" w:rsidR="00EE4FC3" w:rsidRPr="00A44829" w:rsidRDefault="00EE4FC3" w:rsidP="0038375E">
            <w:pPr>
              <w:spacing w:before="40" w:after="20"/>
              <w:jc w:val="center"/>
              <w:rPr>
                <w:rFonts w:cs="Arial"/>
                <w:b/>
                <w:sz w:val="18"/>
                <w:szCs w:val="18"/>
              </w:rPr>
            </w:pPr>
          </w:p>
        </w:tc>
        <w:tc>
          <w:tcPr>
            <w:tcW w:w="1247"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77D2755A" w14:textId="77777777" w:rsidR="00EE4FC3" w:rsidRPr="00A44829" w:rsidRDefault="00EE4FC3" w:rsidP="0038375E">
            <w:pPr>
              <w:spacing w:before="40" w:after="20"/>
              <w:jc w:val="center"/>
              <w:rPr>
                <w:rFonts w:cs="Arial"/>
                <w:b/>
                <w:sz w:val="18"/>
                <w:szCs w:val="18"/>
              </w:rPr>
            </w:pPr>
          </w:p>
        </w:tc>
        <w:tc>
          <w:tcPr>
            <w:tcW w:w="102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FED0012" w14:textId="77777777" w:rsidR="00EE4FC3" w:rsidRPr="00A44829" w:rsidRDefault="00EE4FC3" w:rsidP="0038375E">
            <w:pPr>
              <w:spacing w:before="40" w:after="20"/>
              <w:jc w:val="center"/>
              <w:rPr>
                <w:rFonts w:cs="Arial"/>
                <w:sz w:val="16"/>
                <w:szCs w:val="16"/>
              </w:rPr>
            </w:pPr>
            <w:r w:rsidRPr="00A44829">
              <w:rPr>
                <w:rFonts w:cs="Arial"/>
                <w:sz w:val="16"/>
                <w:szCs w:val="16"/>
              </w:rPr>
              <w:t xml:space="preserve">Timber </w:t>
            </w:r>
            <w:r w:rsidRPr="00A44829">
              <w:rPr>
                <w:rFonts w:cs="Arial"/>
                <w:sz w:val="16"/>
                <w:szCs w:val="16"/>
              </w:rPr>
              <w:br/>
              <w:t>(sq. m)</w:t>
            </w:r>
          </w:p>
        </w:tc>
        <w:tc>
          <w:tcPr>
            <w:tcW w:w="102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22288E7A" w14:textId="77777777" w:rsidR="00EE4FC3" w:rsidRPr="00A44829" w:rsidRDefault="00EE4FC3" w:rsidP="0038375E">
            <w:pPr>
              <w:spacing w:before="40" w:after="20"/>
              <w:jc w:val="center"/>
              <w:rPr>
                <w:rFonts w:cs="Arial"/>
                <w:sz w:val="16"/>
                <w:szCs w:val="16"/>
              </w:rPr>
            </w:pPr>
            <w:r w:rsidRPr="00A44829">
              <w:rPr>
                <w:rFonts w:cs="Arial"/>
                <w:sz w:val="16"/>
                <w:szCs w:val="16"/>
              </w:rPr>
              <w:t xml:space="preserve">Concrete </w:t>
            </w:r>
            <w:r w:rsidRPr="00A44829">
              <w:rPr>
                <w:rFonts w:cs="Arial"/>
                <w:sz w:val="16"/>
                <w:szCs w:val="16"/>
              </w:rPr>
              <w:br/>
              <w:t>(sq. m)</w:t>
            </w:r>
          </w:p>
        </w:tc>
      </w:tr>
      <w:tr w:rsidR="00A26814" w:rsidRPr="003E2D55" w14:paraId="4539D55A" w14:textId="77777777" w:rsidTr="00B44BBE">
        <w:trPr>
          <w:trHeight w:val="20"/>
          <w:tblHeader/>
        </w:trPr>
        <w:tc>
          <w:tcPr>
            <w:tcW w:w="2268" w:type="dxa"/>
            <w:tcBorders>
              <w:left w:val="nil"/>
              <w:bottom w:val="nil"/>
              <w:right w:val="single" w:sz="18" w:space="0" w:color="5F497A" w:themeColor="accent4" w:themeShade="BF"/>
            </w:tcBorders>
            <w:shd w:val="clear" w:color="auto" w:fill="auto"/>
            <w:vAlign w:val="center"/>
          </w:tcPr>
          <w:p w14:paraId="4860F6F9" w14:textId="77777777" w:rsidR="00A26814" w:rsidRPr="003E2D55" w:rsidRDefault="00A26814" w:rsidP="00A26814">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4AEF872C" w14:textId="31FCE7E4" w:rsidR="00A26814" w:rsidRPr="003E2D55" w:rsidRDefault="00A26814" w:rsidP="00A26814">
            <w:pPr>
              <w:spacing w:before="40" w:after="20"/>
              <w:jc w:val="right"/>
              <w:rPr>
                <w:rFonts w:cs="Arial"/>
                <w:sz w:val="18"/>
                <w:szCs w:val="18"/>
              </w:rPr>
            </w:pPr>
            <w:r w:rsidRPr="003E2D55">
              <w:rPr>
                <w:rFonts w:cs="Arial"/>
                <w:sz w:val="18"/>
                <w:szCs w:val="18"/>
              </w:rPr>
              <w:t> </w:t>
            </w:r>
          </w:p>
        </w:tc>
        <w:tc>
          <w:tcPr>
            <w:tcW w:w="1134" w:type="dxa"/>
            <w:tcBorders>
              <w:top w:val="single" w:sz="8" w:space="0" w:color="5F497A" w:themeColor="accent4" w:themeShade="BF"/>
              <w:left w:val="nil"/>
              <w:bottom w:val="nil"/>
              <w:right w:val="nil"/>
            </w:tcBorders>
            <w:vAlign w:val="bottom"/>
          </w:tcPr>
          <w:p w14:paraId="62217F38" w14:textId="40B6756B" w:rsidR="00A26814" w:rsidRPr="003E2D55" w:rsidRDefault="00A26814" w:rsidP="00A26814">
            <w:pPr>
              <w:spacing w:before="40" w:after="20"/>
              <w:jc w:val="right"/>
              <w:rPr>
                <w:rFonts w:cs="Arial"/>
                <w:sz w:val="18"/>
                <w:szCs w:val="18"/>
              </w:rPr>
            </w:pPr>
            <w:r w:rsidRPr="003E2D55">
              <w:rPr>
                <w:rFonts w:cs="Arial"/>
                <w:sz w:val="18"/>
                <w:szCs w:val="18"/>
              </w:rPr>
              <w:t> </w:t>
            </w:r>
          </w:p>
        </w:tc>
        <w:tc>
          <w:tcPr>
            <w:tcW w:w="1247" w:type="dxa"/>
            <w:tcBorders>
              <w:top w:val="single" w:sz="8" w:space="0" w:color="5F497A" w:themeColor="accent4" w:themeShade="BF"/>
              <w:left w:val="nil"/>
              <w:bottom w:val="nil"/>
              <w:right w:val="nil"/>
            </w:tcBorders>
            <w:vAlign w:val="bottom"/>
          </w:tcPr>
          <w:p w14:paraId="3A1A7830" w14:textId="0F02B5B4" w:rsidR="00A26814" w:rsidRPr="003E2D55" w:rsidRDefault="00A26814" w:rsidP="00A26814">
            <w:pPr>
              <w:spacing w:before="40" w:after="20"/>
              <w:jc w:val="right"/>
              <w:rPr>
                <w:rFonts w:cs="Arial"/>
                <w:b/>
                <w:sz w:val="18"/>
                <w:szCs w:val="18"/>
              </w:rPr>
            </w:pPr>
            <w:r w:rsidRPr="003E2D55">
              <w:rPr>
                <w:rFonts w:cs="Arial"/>
                <w:b/>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2481920C" w14:textId="30BB257E" w:rsidR="00A26814" w:rsidRPr="003E2D55" w:rsidRDefault="00A26814" w:rsidP="00A26814">
            <w:pPr>
              <w:spacing w:before="40" w:after="20"/>
              <w:jc w:val="right"/>
              <w:rPr>
                <w:rFonts w:cs="Arial"/>
                <w:b/>
                <w:sz w:val="18"/>
                <w:szCs w:val="18"/>
              </w:rPr>
            </w:pPr>
            <w:r w:rsidRPr="003E2D55">
              <w:rPr>
                <w:rFonts w:cs="Arial"/>
                <w:b/>
                <w:sz w:val="18"/>
                <w:szCs w:val="18"/>
              </w:rPr>
              <w:t> </w:t>
            </w:r>
          </w:p>
        </w:tc>
        <w:tc>
          <w:tcPr>
            <w:tcW w:w="1021" w:type="dxa"/>
            <w:tcBorders>
              <w:top w:val="single" w:sz="8" w:space="0" w:color="5F497A" w:themeColor="accent4" w:themeShade="BF"/>
              <w:left w:val="nil"/>
              <w:bottom w:val="nil"/>
              <w:right w:val="nil"/>
            </w:tcBorders>
            <w:shd w:val="clear" w:color="auto" w:fill="auto"/>
            <w:vAlign w:val="bottom"/>
          </w:tcPr>
          <w:p w14:paraId="19CC8A36" w14:textId="77777777" w:rsidR="00A26814" w:rsidRPr="003E2D55" w:rsidRDefault="00A26814" w:rsidP="00A26814">
            <w:pPr>
              <w:spacing w:before="40" w:after="20"/>
              <w:jc w:val="right"/>
              <w:rPr>
                <w:rFonts w:cs="Arial"/>
                <w:sz w:val="18"/>
                <w:szCs w:val="18"/>
              </w:rPr>
            </w:pPr>
          </w:p>
        </w:tc>
        <w:tc>
          <w:tcPr>
            <w:tcW w:w="1021" w:type="dxa"/>
            <w:tcBorders>
              <w:top w:val="single" w:sz="8" w:space="0" w:color="5F497A" w:themeColor="accent4" w:themeShade="BF"/>
              <w:left w:val="nil"/>
              <w:bottom w:val="nil"/>
              <w:right w:val="nil"/>
            </w:tcBorders>
            <w:shd w:val="clear" w:color="auto" w:fill="auto"/>
            <w:vAlign w:val="bottom"/>
          </w:tcPr>
          <w:p w14:paraId="56DF07C4" w14:textId="32B16017" w:rsidR="00A26814" w:rsidRPr="003E2D55" w:rsidRDefault="00A26814" w:rsidP="00A26814">
            <w:pPr>
              <w:spacing w:before="40" w:after="20"/>
              <w:jc w:val="right"/>
              <w:rPr>
                <w:rFonts w:cs="Arial"/>
                <w:sz w:val="18"/>
                <w:szCs w:val="18"/>
              </w:rPr>
            </w:pPr>
            <w:r w:rsidRPr="003E2D55">
              <w:rPr>
                <w:rFonts w:cs="Arial"/>
                <w:sz w:val="18"/>
                <w:szCs w:val="18"/>
              </w:rPr>
              <w:t> </w:t>
            </w:r>
          </w:p>
        </w:tc>
      </w:tr>
      <w:tr w:rsidR="00A26814" w:rsidRPr="003E2D55" w14:paraId="1BB51C8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6BAADCB" w14:textId="77777777" w:rsidR="00A26814" w:rsidRPr="003E2D55" w:rsidRDefault="00A26814" w:rsidP="00A26814">
            <w:pPr>
              <w:spacing w:before="40" w:after="20"/>
              <w:rPr>
                <w:rFonts w:cs="Arial"/>
                <w:sz w:val="18"/>
                <w:szCs w:val="18"/>
              </w:rPr>
            </w:pPr>
            <w:r w:rsidRPr="003E2D55">
              <w:rPr>
                <w:rFonts w:cs="Arial"/>
                <w:sz w:val="18"/>
                <w:szCs w:val="18"/>
              </w:rPr>
              <w:t>Macedon Ranges S</w:t>
            </w:r>
          </w:p>
        </w:tc>
        <w:tc>
          <w:tcPr>
            <w:tcW w:w="1134" w:type="dxa"/>
            <w:tcBorders>
              <w:top w:val="nil"/>
              <w:left w:val="single" w:sz="18" w:space="0" w:color="5F497A" w:themeColor="accent4" w:themeShade="BF"/>
              <w:bottom w:val="nil"/>
              <w:right w:val="nil"/>
            </w:tcBorders>
            <w:shd w:val="clear" w:color="auto" w:fill="auto"/>
            <w:vAlign w:val="bottom"/>
          </w:tcPr>
          <w:p w14:paraId="52AA2541" w14:textId="59C016C4" w:rsidR="00A26814" w:rsidRPr="003E2D55" w:rsidRDefault="00A26814" w:rsidP="00A26814">
            <w:pPr>
              <w:spacing w:before="40" w:after="20"/>
              <w:jc w:val="right"/>
              <w:rPr>
                <w:rFonts w:cs="Arial"/>
                <w:sz w:val="18"/>
                <w:szCs w:val="18"/>
              </w:rPr>
            </w:pPr>
            <w:r w:rsidRPr="003E2D55">
              <w:rPr>
                <w:rFonts w:cs="Arial"/>
                <w:sz w:val="18"/>
                <w:szCs w:val="18"/>
              </w:rPr>
              <w:t>354</w:t>
            </w:r>
          </w:p>
        </w:tc>
        <w:tc>
          <w:tcPr>
            <w:tcW w:w="1134" w:type="dxa"/>
            <w:tcBorders>
              <w:top w:val="nil"/>
              <w:left w:val="nil"/>
              <w:bottom w:val="nil"/>
              <w:right w:val="nil"/>
            </w:tcBorders>
            <w:vAlign w:val="bottom"/>
          </w:tcPr>
          <w:p w14:paraId="646406A7" w14:textId="393630D3" w:rsidR="00A26814" w:rsidRPr="003E2D55" w:rsidRDefault="00A26814" w:rsidP="00A26814">
            <w:pPr>
              <w:spacing w:before="40" w:after="20"/>
              <w:jc w:val="right"/>
              <w:rPr>
                <w:rFonts w:cs="Arial"/>
                <w:sz w:val="18"/>
                <w:szCs w:val="18"/>
              </w:rPr>
            </w:pPr>
            <w:r w:rsidRPr="003E2D55">
              <w:rPr>
                <w:rFonts w:cs="Arial"/>
                <w:sz w:val="18"/>
                <w:szCs w:val="18"/>
              </w:rPr>
              <w:t>1,281</w:t>
            </w:r>
          </w:p>
        </w:tc>
        <w:tc>
          <w:tcPr>
            <w:tcW w:w="1247" w:type="dxa"/>
            <w:tcBorders>
              <w:top w:val="nil"/>
              <w:left w:val="nil"/>
              <w:bottom w:val="nil"/>
              <w:right w:val="nil"/>
            </w:tcBorders>
            <w:vAlign w:val="bottom"/>
          </w:tcPr>
          <w:p w14:paraId="6C601EEA" w14:textId="6EFBDD66" w:rsidR="00A26814" w:rsidRPr="003E2D55" w:rsidRDefault="00A26814" w:rsidP="00A26814">
            <w:pPr>
              <w:spacing w:before="40" w:after="20"/>
              <w:jc w:val="right"/>
              <w:rPr>
                <w:rFonts w:cs="Arial"/>
                <w:b/>
                <w:sz w:val="18"/>
                <w:szCs w:val="18"/>
              </w:rPr>
            </w:pPr>
            <w:r w:rsidRPr="003E2D55">
              <w:rPr>
                <w:rFonts w:cs="Arial"/>
                <w:b/>
                <w:sz w:val="18"/>
                <w:szCs w:val="18"/>
              </w:rPr>
              <w:t>1,635</w:t>
            </w:r>
          </w:p>
        </w:tc>
        <w:tc>
          <w:tcPr>
            <w:tcW w:w="1247" w:type="dxa"/>
            <w:tcBorders>
              <w:top w:val="nil"/>
              <w:left w:val="nil"/>
              <w:bottom w:val="nil"/>
              <w:right w:val="nil"/>
            </w:tcBorders>
            <w:shd w:val="clear" w:color="auto" w:fill="auto"/>
            <w:vAlign w:val="bottom"/>
          </w:tcPr>
          <w:p w14:paraId="3E8EE694" w14:textId="4F698E96" w:rsidR="00A26814" w:rsidRPr="003E2D55" w:rsidRDefault="00A26814" w:rsidP="00A26814">
            <w:pPr>
              <w:spacing w:before="40" w:after="20"/>
              <w:jc w:val="right"/>
              <w:rPr>
                <w:rFonts w:cs="Arial"/>
                <w:b/>
                <w:sz w:val="18"/>
                <w:szCs w:val="18"/>
              </w:rPr>
            </w:pPr>
            <w:r w:rsidRPr="003E2D55">
              <w:rPr>
                <w:rFonts w:cs="Arial"/>
                <w:b/>
                <w:sz w:val="18"/>
                <w:szCs w:val="18"/>
              </w:rPr>
              <w:t>471</w:t>
            </w:r>
          </w:p>
        </w:tc>
        <w:tc>
          <w:tcPr>
            <w:tcW w:w="1021" w:type="dxa"/>
            <w:tcBorders>
              <w:top w:val="nil"/>
              <w:left w:val="nil"/>
              <w:bottom w:val="nil"/>
              <w:right w:val="nil"/>
            </w:tcBorders>
            <w:shd w:val="clear" w:color="auto" w:fill="auto"/>
            <w:vAlign w:val="bottom"/>
          </w:tcPr>
          <w:p w14:paraId="0B308114" w14:textId="1F8FE623" w:rsidR="00A26814" w:rsidRPr="003E2D55" w:rsidRDefault="00A26814" w:rsidP="00A26814">
            <w:pPr>
              <w:spacing w:before="40" w:after="20"/>
              <w:jc w:val="right"/>
              <w:rPr>
                <w:rFonts w:cs="Arial"/>
                <w:sz w:val="18"/>
                <w:szCs w:val="18"/>
              </w:rPr>
            </w:pPr>
            <w:r w:rsidRPr="003E2D55">
              <w:rPr>
                <w:rFonts w:cs="Arial"/>
                <w:sz w:val="18"/>
                <w:szCs w:val="18"/>
              </w:rPr>
              <w:t>197</w:t>
            </w:r>
          </w:p>
        </w:tc>
        <w:tc>
          <w:tcPr>
            <w:tcW w:w="1021" w:type="dxa"/>
            <w:tcBorders>
              <w:top w:val="nil"/>
              <w:left w:val="nil"/>
              <w:bottom w:val="nil"/>
              <w:right w:val="nil"/>
            </w:tcBorders>
            <w:shd w:val="clear" w:color="auto" w:fill="auto"/>
            <w:vAlign w:val="bottom"/>
          </w:tcPr>
          <w:p w14:paraId="5ED4906A" w14:textId="6E7C97CA" w:rsidR="00A26814" w:rsidRPr="003E2D55" w:rsidRDefault="00A26814" w:rsidP="00A26814">
            <w:pPr>
              <w:spacing w:before="40" w:after="20"/>
              <w:jc w:val="right"/>
              <w:rPr>
                <w:rFonts w:cs="Arial"/>
                <w:sz w:val="18"/>
                <w:szCs w:val="18"/>
              </w:rPr>
            </w:pPr>
            <w:r w:rsidRPr="003E2D55">
              <w:rPr>
                <w:rFonts w:cs="Arial"/>
                <w:sz w:val="18"/>
                <w:szCs w:val="18"/>
              </w:rPr>
              <w:t>7,453</w:t>
            </w:r>
          </w:p>
        </w:tc>
      </w:tr>
      <w:tr w:rsidR="00A26814" w:rsidRPr="003E2D55" w14:paraId="40F1D4E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E146813" w14:textId="77777777" w:rsidR="00A26814" w:rsidRPr="003E2D55" w:rsidRDefault="00A26814" w:rsidP="00A26814">
            <w:pPr>
              <w:spacing w:before="40" w:after="20"/>
              <w:rPr>
                <w:rFonts w:cs="Arial"/>
                <w:sz w:val="18"/>
                <w:szCs w:val="18"/>
              </w:rPr>
            </w:pPr>
            <w:r w:rsidRPr="003E2D55">
              <w:rPr>
                <w:rFonts w:cs="Arial"/>
                <w:sz w:val="18"/>
                <w:szCs w:val="18"/>
              </w:rPr>
              <w:t>Manningham C</w:t>
            </w:r>
          </w:p>
        </w:tc>
        <w:tc>
          <w:tcPr>
            <w:tcW w:w="1134" w:type="dxa"/>
            <w:tcBorders>
              <w:top w:val="nil"/>
              <w:left w:val="single" w:sz="18" w:space="0" w:color="5F497A" w:themeColor="accent4" w:themeShade="BF"/>
              <w:bottom w:val="nil"/>
              <w:right w:val="nil"/>
            </w:tcBorders>
            <w:shd w:val="clear" w:color="auto" w:fill="auto"/>
            <w:vAlign w:val="bottom"/>
          </w:tcPr>
          <w:p w14:paraId="3FE94C23" w14:textId="3CD820BC" w:rsidR="00A26814" w:rsidRPr="003E2D55" w:rsidRDefault="00A26814" w:rsidP="00A26814">
            <w:pPr>
              <w:spacing w:before="40" w:after="20"/>
              <w:jc w:val="right"/>
              <w:rPr>
                <w:rFonts w:cs="Arial"/>
                <w:sz w:val="18"/>
                <w:szCs w:val="18"/>
              </w:rPr>
            </w:pPr>
            <w:r w:rsidRPr="003E2D55">
              <w:rPr>
                <w:rFonts w:cs="Arial"/>
                <w:sz w:val="18"/>
                <w:szCs w:val="18"/>
              </w:rPr>
              <w:t>435</w:t>
            </w:r>
          </w:p>
        </w:tc>
        <w:tc>
          <w:tcPr>
            <w:tcW w:w="1134" w:type="dxa"/>
            <w:tcBorders>
              <w:top w:val="nil"/>
              <w:left w:val="nil"/>
              <w:bottom w:val="nil"/>
              <w:right w:val="nil"/>
            </w:tcBorders>
            <w:vAlign w:val="bottom"/>
          </w:tcPr>
          <w:p w14:paraId="741AAD22" w14:textId="4A6CABFB" w:rsidR="00A26814" w:rsidRPr="003E2D55" w:rsidRDefault="00A26814" w:rsidP="00A26814">
            <w:pPr>
              <w:spacing w:before="40" w:after="20"/>
              <w:jc w:val="right"/>
              <w:rPr>
                <w:rFonts w:cs="Arial"/>
                <w:sz w:val="18"/>
                <w:szCs w:val="18"/>
              </w:rPr>
            </w:pPr>
            <w:r w:rsidRPr="003E2D55">
              <w:rPr>
                <w:rFonts w:cs="Arial"/>
                <w:sz w:val="18"/>
                <w:szCs w:val="18"/>
              </w:rPr>
              <w:t>170</w:t>
            </w:r>
          </w:p>
        </w:tc>
        <w:tc>
          <w:tcPr>
            <w:tcW w:w="1247" w:type="dxa"/>
            <w:tcBorders>
              <w:top w:val="nil"/>
              <w:left w:val="nil"/>
              <w:bottom w:val="nil"/>
              <w:right w:val="nil"/>
            </w:tcBorders>
            <w:vAlign w:val="bottom"/>
          </w:tcPr>
          <w:p w14:paraId="3E70EA10" w14:textId="460E944D" w:rsidR="00A26814" w:rsidRPr="003E2D55" w:rsidRDefault="00A26814" w:rsidP="00A26814">
            <w:pPr>
              <w:spacing w:before="40" w:after="20"/>
              <w:jc w:val="right"/>
              <w:rPr>
                <w:rFonts w:cs="Arial"/>
                <w:b/>
                <w:sz w:val="18"/>
                <w:szCs w:val="18"/>
              </w:rPr>
            </w:pPr>
            <w:r w:rsidRPr="003E2D55">
              <w:rPr>
                <w:rFonts w:cs="Arial"/>
                <w:b/>
                <w:sz w:val="18"/>
                <w:szCs w:val="18"/>
              </w:rPr>
              <w:t>605</w:t>
            </w:r>
          </w:p>
        </w:tc>
        <w:tc>
          <w:tcPr>
            <w:tcW w:w="1247" w:type="dxa"/>
            <w:tcBorders>
              <w:top w:val="nil"/>
              <w:left w:val="nil"/>
              <w:bottom w:val="nil"/>
              <w:right w:val="nil"/>
            </w:tcBorders>
            <w:shd w:val="clear" w:color="auto" w:fill="auto"/>
            <w:vAlign w:val="bottom"/>
          </w:tcPr>
          <w:p w14:paraId="0CD03345" w14:textId="385C18D4" w:rsidR="00A26814" w:rsidRPr="003E2D55" w:rsidRDefault="00A26814" w:rsidP="00A26814">
            <w:pPr>
              <w:spacing w:before="40" w:after="20"/>
              <w:jc w:val="right"/>
              <w:rPr>
                <w:rFonts w:cs="Arial"/>
                <w:b/>
                <w:sz w:val="18"/>
                <w:szCs w:val="18"/>
              </w:rPr>
            </w:pPr>
            <w:r w:rsidRPr="003E2D55">
              <w:rPr>
                <w:rFonts w:cs="Arial"/>
                <w:b/>
                <w:sz w:val="18"/>
                <w:szCs w:val="18"/>
              </w:rPr>
              <w:t>49</w:t>
            </w:r>
          </w:p>
        </w:tc>
        <w:tc>
          <w:tcPr>
            <w:tcW w:w="1021" w:type="dxa"/>
            <w:tcBorders>
              <w:top w:val="nil"/>
              <w:left w:val="nil"/>
              <w:bottom w:val="nil"/>
              <w:right w:val="nil"/>
            </w:tcBorders>
            <w:shd w:val="clear" w:color="auto" w:fill="auto"/>
            <w:vAlign w:val="bottom"/>
          </w:tcPr>
          <w:p w14:paraId="2A4B8E2C" w14:textId="4031421A" w:rsidR="00A26814" w:rsidRPr="003E2D55" w:rsidRDefault="00A26814" w:rsidP="00A26814">
            <w:pPr>
              <w:spacing w:before="40" w:after="20"/>
              <w:jc w:val="right"/>
              <w:rPr>
                <w:rFonts w:cs="Arial"/>
                <w:sz w:val="18"/>
                <w:szCs w:val="18"/>
              </w:rPr>
            </w:pPr>
            <w:r w:rsidRPr="003E2D55">
              <w:rPr>
                <w:rFonts w:cs="Arial"/>
                <w:sz w:val="18"/>
                <w:szCs w:val="18"/>
              </w:rPr>
              <w:t>0</w:t>
            </w:r>
          </w:p>
        </w:tc>
        <w:tc>
          <w:tcPr>
            <w:tcW w:w="1021" w:type="dxa"/>
            <w:tcBorders>
              <w:top w:val="nil"/>
              <w:left w:val="nil"/>
              <w:bottom w:val="nil"/>
              <w:right w:val="nil"/>
            </w:tcBorders>
            <w:shd w:val="clear" w:color="auto" w:fill="auto"/>
            <w:vAlign w:val="bottom"/>
          </w:tcPr>
          <w:p w14:paraId="2F99F8FD" w14:textId="3CC1A50E" w:rsidR="00A26814" w:rsidRPr="003E2D55" w:rsidRDefault="00A26814" w:rsidP="00A26814">
            <w:pPr>
              <w:spacing w:before="40" w:after="20"/>
              <w:jc w:val="right"/>
              <w:rPr>
                <w:rFonts w:cs="Arial"/>
                <w:sz w:val="18"/>
                <w:szCs w:val="18"/>
              </w:rPr>
            </w:pPr>
            <w:r w:rsidRPr="003E2D55">
              <w:rPr>
                <w:rFonts w:cs="Arial"/>
                <w:sz w:val="18"/>
                <w:szCs w:val="18"/>
              </w:rPr>
              <w:t>2,050</w:t>
            </w:r>
          </w:p>
        </w:tc>
      </w:tr>
      <w:tr w:rsidR="00A26814" w:rsidRPr="003E2D55" w14:paraId="12BE24F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8829231" w14:textId="77777777" w:rsidR="00A26814" w:rsidRPr="003E2D55" w:rsidRDefault="00A26814" w:rsidP="00A26814">
            <w:pPr>
              <w:spacing w:before="40" w:after="20"/>
              <w:rPr>
                <w:rFonts w:cs="Arial"/>
                <w:sz w:val="18"/>
                <w:szCs w:val="18"/>
              </w:rPr>
            </w:pPr>
            <w:r w:rsidRPr="003E2D55">
              <w:rPr>
                <w:rFonts w:cs="Arial"/>
                <w:sz w:val="18"/>
                <w:szCs w:val="18"/>
              </w:rPr>
              <w:t>Mansfield S</w:t>
            </w:r>
          </w:p>
        </w:tc>
        <w:tc>
          <w:tcPr>
            <w:tcW w:w="1134" w:type="dxa"/>
            <w:tcBorders>
              <w:top w:val="nil"/>
              <w:left w:val="single" w:sz="18" w:space="0" w:color="5F497A" w:themeColor="accent4" w:themeShade="BF"/>
              <w:bottom w:val="nil"/>
              <w:right w:val="nil"/>
            </w:tcBorders>
            <w:shd w:val="clear" w:color="auto" w:fill="auto"/>
            <w:vAlign w:val="bottom"/>
          </w:tcPr>
          <w:p w14:paraId="642F3292" w14:textId="6BE5DA1B" w:rsidR="00A26814" w:rsidRPr="003E2D55" w:rsidRDefault="00A26814" w:rsidP="00A26814">
            <w:pPr>
              <w:spacing w:before="40" w:after="20"/>
              <w:jc w:val="right"/>
              <w:rPr>
                <w:rFonts w:cs="Arial"/>
                <w:sz w:val="18"/>
                <w:szCs w:val="18"/>
              </w:rPr>
            </w:pPr>
            <w:r w:rsidRPr="003E2D55">
              <w:rPr>
                <w:rFonts w:cs="Arial"/>
                <w:sz w:val="18"/>
                <w:szCs w:val="18"/>
              </w:rPr>
              <w:t>79</w:t>
            </w:r>
          </w:p>
        </w:tc>
        <w:tc>
          <w:tcPr>
            <w:tcW w:w="1134" w:type="dxa"/>
            <w:tcBorders>
              <w:top w:val="nil"/>
              <w:left w:val="nil"/>
              <w:bottom w:val="nil"/>
              <w:right w:val="nil"/>
            </w:tcBorders>
            <w:vAlign w:val="bottom"/>
          </w:tcPr>
          <w:p w14:paraId="01B403E7" w14:textId="6BED3DB5" w:rsidR="00A26814" w:rsidRPr="003E2D55" w:rsidRDefault="00A26814" w:rsidP="00A26814">
            <w:pPr>
              <w:spacing w:before="40" w:after="20"/>
              <w:jc w:val="right"/>
              <w:rPr>
                <w:rFonts w:cs="Arial"/>
                <w:sz w:val="18"/>
                <w:szCs w:val="18"/>
              </w:rPr>
            </w:pPr>
            <w:r w:rsidRPr="003E2D55">
              <w:rPr>
                <w:rFonts w:cs="Arial"/>
                <w:sz w:val="18"/>
                <w:szCs w:val="18"/>
              </w:rPr>
              <w:t>735</w:t>
            </w:r>
          </w:p>
        </w:tc>
        <w:tc>
          <w:tcPr>
            <w:tcW w:w="1247" w:type="dxa"/>
            <w:tcBorders>
              <w:top w:val="nil"/>
              <w:left w:val="nil"/>
              <w:bottom w:val="nil"/>
              <w:right w:val="nil"/>
            </w:tcBorders>
            <w:vAlign w:val="bottom"/>
          </w:tcPr>
          <w:p w14:paraId="720667DE" w14:textId="07654B5C" w:rsidR="00A26814" w:rsidRPr="003E2D55" w:rsidRDefault="00A26814" w:rsidP="00A26814">
            <w:pPr>
              <w:spacing w:before="40" w:after="20"/>
              <w:jc w:val="right"/>
              <w:rPr>
                <w:rFonts w:cs="Arial"/>
                <w:b/>
                <w:sz w:val="18"/>
                <w:szCs w:val="18"/>
              </w:rPr>
            </w:pPr>
            <w:r w:rsidRPr="003E2D55">
              <w:rPr>
                <w:rFonts w:cs="Arial"/>
                <w:b/>
                <w:sz w:val="18"/>
                <w:szCs w:val="18"/>
              </w:rPr>
              <w:t>814</w:t>
            </w:r>
          </w:p>
        </w:tc>
        <w:tc>
          <w:tcPr>
            <w:tcW w:w="1247" w:type="dxa"/>
            <w:tcBorders>
              <w:top w:val="nil"/>
              <w:left w:val="nil"/>
              <w:bottom w:val="nil"/>
              <w:right w:val="nil"/>
            </w:tcBorders>
            <w:shd w:val="clear" w:color="auto" w:fill="auto"/>
            <w:vAlign w:val="bottom"/>
          </w:tcPr>
          <w:p w14:paraId="7ACB9D45" w14:textId="5408AC9D" w:rsidR="00A26814" w:rsidRPr="003E2D55" w:rsidRDefault="00A26814" w:rsidP="00A26814">
            <w:pPr>
              <w:spacing w:before="40" w:after="20"/>
              <w:jc w:val="right"/>
              <w:rPr>
                <w:rFonts w:cs="Arial"/>
                <w:b/>
                <w:sz w:val="18"/>
                <w:szCs w:val="18"/>
              </w:rPr>
            </w:pPr>
            <w:r w:rsidRPr="003E2D55">
              <w:rPr>
                <w:rFonts w:cs="Arial"/>
                <w:b/>
                <w:sz w:val="18"/>
                <w:szCs w:val="18"/>
              </w:rPr>
              <w:t>204</w:t>
            </w:r>
          </w:p>
        </w:tc>
        <w:tc>
          <w:tcPr>
            <w:tcW w:w="1021" w:type="dxa"/>
            <w:tcBorders>
              <w:top w:val="nil"/>
              <w:left w:val="nil"/>
              <w:bottom w:val="nil"/>
              <w:right w:val="nil"/>
            </w:tcBorders>
            <w:shd w:val="clear" w:color="auto" w:fill="auto"/>
            <w:vAlign w:val="bottom"/>
          </w:tcPr>
          <w:p w14:paraId="705D46F1" w14:textId="6BD2D29B" w:rsidR="00A26814" w:rsidRPr="003E2D55" w:rsidRDefault="00A26814" w:rsidP="00A26814">
            <w:pPr>
              <w:spacing w:before="40" w:after="20"/>
              <w:jc w:val="right"/>
              <w:rPr>
                <w:rFonts w:cs="Arial"/>
                <w:sz w:val="18"/>
                <w:szCs w:val="18"/>
              </w:rPr>
            </w:pPr>
            <w:r w:rsidRPr="003E2D55">
              <w:rPr>
                <w:rFonts w:cs="Arial"/>
                <w:sz w:val="18"/>
                <w:szCs w:val="18"/>
              </w:rPr>
              <w:t>140</w:t>
            </w:r>
          </w:p>
        </w:tc>
        <w:tc>
          <w:tcPr>
            <w:tcW w:w="1021" w:type="dxa"/>
            <w:tcBorders>
              <w:top w:val="nil"/>
              <w:left w:val="nil"/>
              <w:bottom w:val="nil"/>
              <w:right w:val="nil"/>
            </w:tcBorders>
            <w:shd w:val="clear" w:color="auto" w:fill="auto"/>
            <w:vAlign w:val="bottom"/>
          </w:tcPr>
          <w:p w14:paraId="45777486" w14:textId="11E680C5" w:rsidR="00A26814" w:rsidRPr="003E2D55" w:rsidRDefault="00A26814" w:rsidP="00A26814">
            <w:pPr>
              <w:spacing w:before="40" w:after="20"/>
              <w:jc w:val="right"/>
              <w:rPr>
                <w:rFonts w:cs="Arial"/>
                <w:sz w:val="18"/>
                <w:szCs w:val="18"/>
              </w:rPr>
            </w:pPr>
            <w:r w:rsidRPr="003E2D55">
              <w:rPr>
                <w:rFonts w:cs="Arial"/>
                <w:sz w:val="18"/>
                <w:szCs w:val="18"/>
              </w:rPr>
              <w:t>6,039</w:t>
            </w:r>
          </w:p>
        </w:tc>
      </w:tr>
      <w:tr w:rsidR="00A26814" w:rsidRPr="003E2D55" w14:paraId="0BB6745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39C6A2D" w14:textId="77777777" w:rsidR="00A26814" w:rsidRPr="003E2D55" w:rsidRDefault="00A26814" w:rsidP="00A26814">
            <w:pPr>
              <w:spacing w:before="40" w:after="20"/>
              <w:rPr>
                <w:rFonts w:cs="Arial"/>
                <w:sz w:val="18"/>
                <w:szCs w:val="18"/>
              </w:rPr>
            </w:pPr>
            <w:r w:rsidRPr="003E2D55">
              <w:rPr>
                <w:rFonts w:cs="Arial"/>
                <w:sz w:val="18"/>
                <w:szCs w:val="18"/>
              </w:rPr>
              <w:t>Maribyrnong C</w:t>
            </w:r>
          </w:p>
        </w:tc>
        <w:tc>
          <w:tcPr>
            <w:tcW w:w="1134" w:type="dxa"/>
            <w:tcBorders>
              <w:top w:val="nil"/>
              <w:left w:val="single" w:sz="18" w:space="0" w:color="5F497A" w:themeColor="accent4" w:themeShade="BF"/>
              <w:bottom w:val="nil"/>
              <w:right w:val="nil"/>
            </w:tcBorders>
            <w:shd w:val="clear" w:color="auto" w:fill="auto"/>
            <w:vAlign w:val="bottom"/>
          </w:tcPr>
          <w:p w14:paraId="42A20967" w14:textId="52E6ADCD" w:rsidR="00A26814" w:rsidRPr="003E2D55" w:rsidRDefault="00A26814" w:rsidP="00A26814">
            <w:pPr>
              <w:spacing w:before="40" w:after="20"/>
              <w:jc w:val="right"/>
              <w:rPr>
                <w:rFonts w:cs="Arial"/>
                <w:sz w:val="18"/>
                <w:szCs w:val="18"/>
              </w:rPr>
            </w:pPr>
            <w:r w:rsidRPr="003E2D55">
              <w:rPr>
                <w:rFonts w:cs="Arial"/>
                <w:sz w:val="18"/>
                <w:szCs w:val="18"/>
              </w:rPr>
              <w:t>305</w:t>
            </w:r>
          </w:p>
        </w:tc>
        <w:tc>
          <w:tcPr>
            <w:tcW w:w="1134" w:type="dxa"/>
            <w:tcBorders>
              <w:top w:val="nil"/>
              <w:left w:val="nil"/>
              <w:bottom w:val="nil"/>
              <w:right w:val="nil"/>
            </w:tcBorders>
            <w:vAlign w:val="bottom"/>
          </w:tcPr>
          <w:p w14:paraId="5D4F9214" w14:textId="76A68010" w:rsidR="00A26814" w:rsidRPr="003E2D55" w:rsidRDefault="00A26814" w:rsidP="00A26814">
            <w:pPr>
              <w:spacing w:before="40" w:after="20"/>
              <w:jc w:val="right"/>
              <w:rPr>
                <w:rFonts w:cs="Arial"/>
                <w:sz w:val="18"/>
                <w:szCs w:val="18"/>
              </w:rPr>
            </w:pPr>
            <w:r w:rsidRPr="003E2D55">
              <w:rPr>
                <w:rFonts w:cs="Arial"/>
                <w:sz w:val="18"/>
                <w:szCs w:val="18"/>
              </w:rPr>
              <w:t>0</w:t>
            </w:r>
          </w:p>
        </w:tc>
        <w:tc>
          <w:tcPr>
            <w:tcW w:w="1247" w:type="dxa"/>
            <w:tcBorders>
              <w:top w:val="nil"/>
              <w:left w:val="nil"/>
              <w:bottom w:val="nil"/>
              <w:right w:val="nil"/>
            </w:tcBorders>
            <w:vAlign w:val="bottom"/>
          </w:tcPr>
          <w:p w14:paraId="50A3E50D" w14:textId="6C8BE9E9" w:rsidR="00A26814" w:rsidRPr="003E2D55" w:rsidRDefault="00A26814" w:rsidP="00A26814">
            <w:pPr>
              <w:spacing w:before="40" w:after="20"/>
              <w:jc w:val="right"/>
              <w:rPr>
                <w:rFonts w:cs="Arial"/>
                <w:b/>
                <w:sz w:val="18"/>
                <w:szCs w:val="18"/>
              </w:rPr>
            </w:pPr>
            <w:r w:rsidRPr="003E2D55">
              <w:rPr>
                <w:rFonts w:cs="Arial"/>
                <w:b/>
                <w:sz w:val="18"/>
                <w:szCs w:val="18"/>
              </w:rPr>
              <w:t>305</w:t>
            </w:r>
          </w:p>
        </w:tc>
        <w:tc>
          <w:tcPr>
            <w:tcW w:w="1247" w:type="dxa"/>
            <w:tcBorders>
              <w:top w:val="nil"/>
              <w:left w:val="nil"/>
              <w:bottom w:val="nil"/>
              <w:right w:val="nil"/>
            </w:tcBorders>
            <w:shd w:val="clear" w:color="auto" w:fill="auto"/>
            <w:vAlign w:val="bottom"/>
          </w:tcPr>
          <w:p w14:paraId="3A97111E" w14:textId="4E997279" w:rsidR="00A26814" w:rsidRPr="003E2D55" w:rsidRDefault="00A26814" w:rsidP="00A26814">
            <w:pPr>
              <w:spacing w:before="40" w:after="20"/>
              <w:jc w:val="right"/>
              <w:rPr>
                <w:rFonts w:cs="Arial"/>
                <w:b/>
                <w:sz w:val="18"/>
                <w:szCs w:val="18"/>
              </w:rPr>
            </w:pPr>
            <w:r w:rsidRPr="003E2D55">
              <w:rPr>
                <w:rFonts w:cs="Arial"/>
                <w:b/>
                <w:sz w:val="18"/>
                <w:szCs w:val="18"/>
              </w:rPr>
              <w:t>44</w:t>
            </w:r>
          </w:p>
        </w:tc>
        <w:tc>
          <w:tcPr>
            <w:tcW w:w="1021" w:type="dxa"/>
            <w:tcBorders>
              <w:top w:val="nil"/>
              <w:left w:val="nil"/>
              <w:bottom w:val="nil"/>
              <w:right w:val="nil"/>
            </w:tcBorders>
            <w:shd w:val="clear" w:color="auto" w:fill="auto"/>
            <w:vAlign w:val="bottom"/>
          </w:tcPr>
          <w:p w14:paraId="50788D3B" w14:textId="6FC97C46" w:rsidR="00A26814" w:rsidRPr="003E2D55" w:rsidRDefault="00A26814" w:rsidP="00A26814">
            <w:pPr>
              <w:spacing w:before="40" w:after="20"/>
              <w:jc w:val="right"/>
              <w:rPr>
                <w:rFonts w:cs="Arial"/>
                <w:sz w:val="18"/>
                <w:szCs w:val="18"/>
              </w:rPr>
            </w:pPr>
            <w:r w:rsidRPr="003E2D55">
              <w:rPr>
                <w:rFonts w:cs="Arial"/>
                <w:sz w:val="18"/>
                <w:szCs w:val="18"/>
              </w:rPr>
              <w:t>0</w:t>
            </w:r>
          </w:p>
        </w:tc>
        <w:tc>
          <w:tcPr>
            <w:tcW w:w="1021" w:type="dxa"/>
            <w:tcBorders>
              <w:top w:val="nil"/>
              <w:left w:val="nil"/>
              <w:bottom w:val="nil"/>
              <w:right w:val="nil"/>
            </w:tcBorders>
            <w:shd w:val="clear" w:color="auto" w:fill="auto"/>
            <w:vAlign w:val="bottom"/>
          </w:tcPr>
          <w:p w14:paraId="3BCEE866" w14:textId="1FB16DFC" w:rsidR="00A26814" w:rsidRPr="003E2D55" w:rsidRDefault="00A26814" w:rsidP="00A26814">
            <w:pPr>
              <w:spacing w:before="40" w:after="20"/>
              <w:jc w:val="right"/>
              <w:rPr>
                <w:rFonts w:cs="Arial"/>
                <w:sz w:val="18"/>
                <w:szCs w:val="18"/>
              </w:rPr>
            </w:pPr>
            <w:r w:rsidRPr="003E2D55">
              <w:rPr>
                <w:rFonts w:cs="Arial"/>
                <w:sz w:val="18"/>
                <w:szCs w:val="18"/>
              </w:rPr>
              <w:t>380</w:t>
            </w:r>
          </w:p>
        </w:tc>
      </w:tr>
      <w:tr w:rsidR="00A26814" w:rsidRPr="003E2D55" w14:paraId="60B193E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199D491" w14:textId="77777777" w:rsidR="00A26814" w:rsidRPr="003E2D55" w:rsidRDefault="00A26814" w:rsidP="00A26814">
            <w:pPr>
              <w:spacing w:before="40" w:after="20"/>
              <w:rPr>
                <w:rFonts w:cs="Arial"/>
                <w:sz w:val="18"/>
                <w:szCs w:val="18"/>
              </w:rPr>
            </w:pPr>
            <w:r w:rsidRPr="003E2D55">
              <w:rPr>
                <w:rFonts w:cs="Arial"/>
                <w:sz w:val="18"/>
                <w:szCs w:val="18"/>
              </w:rPr>
              <w:t>Maroondah C</w:t>
            </w:r>
          </w:p>
        </w:tc>
        <w:tc>
          <w:tcPr>
            <w:tcW w:w="1134" w:type="dxa"/>
            <w:tcBorders>
              <w:top w:val="nil"/>
              <w:left w:val="single" w:sz="18" w:space="0" w:color="5F497A" w:themeColor="accent4" w:themeShade="BF"/>
              <w:bottom w:val="nil"/>
              <w:right w:val="nil"/>
            </w:tcBorders>
            <w:shd w:val="clear" w:color="auto" w:fill="auto"/>
            <w:vAlign w:val="bottom"/>
          </w:tcPr>
          <w:p w14:paraId="357CA9E6" w14:textId="74D52D64" w:rsidR="00A26814" w:rsidRPr="003E2D55" w:rsidRDefault="00A26814" w:rsidP="00A26814">
            <w:pPr>
              <w:spacing w:before="40" w:after="20"/>
              <w:jc w:val="right"/>
              <w:rPr>
                <w:rFonts w:cs="Arial"/>
                <w:sz w:val="18"/>
                <w:szCs w:val="18"/>
              </w:rPr>
            </w:pPr>
            <w:r w:rsidRPr="003E2D55">
              <w:rPr>
                <w:rFonts w:cs="Arial"/>
                <w:sz w:val="18"/>
                <w:szCs w:val="18"/>
              </w:rPr>
              <w:t>484</w:t>
            </w:r>
          </w:p>
        </w:tc>
        <w:tc>
          <w:tcPr>
            <w:tcW w:w="1134" w:type="dxa"/>
            <w:tcBorders>
              <w:top w:val="nil"/>
              <w:left w:val="nil"/>
              <w:bottom w:val="nil"/>
              <w:right w:val="nil"/>
            </w:tcBorders>
            <w:vAlign w:val="bottom"/>
          </w:tcPr>
          <w:p w14:paraId="0A8EB3B3" w14:textId="313B5528" w:rsidR="00A26814" w:rsidRPr="003E2D55" w:rsidRDefault="00A26814" w:rsidP="00A26814">
            <w:pPr>
              <w:spacing w:before="40" w:after="20"/>
              <w:jc w:val="right"/>
              <w:rPr>
                <w:rFonts w:cs="Arial"/>
                <w:sz w:val="18"/>
                <w:szCs w:val="18"/>
              </w:rPr>
            </w:pPr>
            <w:r w:rsidRPr="003E2D55">
              <w:rPr>
                <w:rFonts w:cs="Arial"/>
                <w:sz w:val="18"/>
                <w:szCs w:val="18"/>
              </w:rPr>
              <w:t>0</w:t>
            </w:r>
          </w:p>
        </w:tc>
        <w:tc>
          <w:tcPr>
            <w:tcW w:w="1247" w:type="dxa"/>
            <w:tcBorders>
              <w:top w:val="nil"/>
              <w:left w:val="nil"/>
              <w:bottom w:val="nil"/>
              <w:right w:val="nil"/>
            </w:tcBorders>
            <w:vAlign w:val="bottom"/>
          </w:tcPr>
          <w:p w14:paraId="1F909705" w14:textId="4C3EB4E0" w:rsidR="00A26814" w:rsidRPr="003E2D55" w:rsidRDefault="00A26814" w:rsidP="00A26814">
            <w:pPr>
              <w:spacing w:before="40" w:after="20"/>
              <w:jc w:val="right"/>
              <w:rPr>
                <w:rFonts w:cs="Arial"/>
                <w:b/>
                <w:sz w:val="18"/>
                <w:szCs w:val="18"/>
              </w:rPr>
            </w:pPr>
            <w:r w:rsidRPr="003E2D55">
              <w:rPr>
                <w:rFonts w:cs="Arial"/>
                <w:b/>
                <w:sz w:val="18"/>
                <w:szCs w:val="18"/>
              </w:rPr>
              <w:t>484</w:t>
            </w:r>
          </w:p>
        </w:tc>
        <w:tc>
          <w:tcPr>
            <w:tcW w:w="1247" w:type="dxa"/>
            <w:tcBorders>
              <w:top w:val="nil"/>
              <w:left w:val="nil"/>
              <w:bottom w:val="nil"/>
              <w:right w:val="nil"/>
            </w:tcBorders>
            <w:shd w:val="clear" w:color="auto" w:fill="auto"/>
            <w:vAlign w:val="bottom"/>
          </w:tcPr>
          <w:p w14:paraId="08FE6F1D" w14:textId="1CADCAF2" w:rsidR="00A26814" w:rsidRPr="003E2D55" w:rsidRDefault="00A26814" w:rsidP="00A26814">
            <w:pPr>
              <w:spacing w:before="40" w:after="20"/>
              <w:jc w:val="right"/>
              <w:rPr>
                <w:rFonts w:cs="Arial"/>
                <w:b/>
                <w:sz w:val="18"/>
                <w:szCs w:val="18"/>
              </w:rPr>
            </w:pPr>
            <w:r w:rsidRPr="003E2D55">
              <w:rPr>
                <w:rFonts w:cs="Arial"/>
                <w:b/>
                <w:sz w:val="18"/>
                <w:szCs w:val="18"/>
              </w:rPr>
              <w:t>80</w:t>
            </w:r>
          </w:p>
        </w:tc>
        <w:tc>
          <w:tcPr>
            <w:tcW w:w="1021" w:type="dxa"/>
            <w:tcBorders>
              <w:top w:val="nil"/>
              <w:left w:val="nil"/>
              <w:bottom w:val="nil"/>
              <w:right w:val="nil"/>
            </w:tcBorders>
            <w:shd w:val="clear" w:color="auto" w:fill="auto"/>
            <w:vAlign w:val="bottom"/>
          </w:tcPr>
          <w:p w14:paraId="23F96C46" w14:textId="524F6A06" w:rsidR="00A26814" w:rsidRPr="003E2D55" w:rsidRDefault="00A26814" w:rsidP="00A26814">
            <w:pPr>
              <w:spacing w:before="40" w:after="20"/>
              <w:jc w:val="right"/>
              <w:rPr>
                <w:rFonts w:cs="Arial"/>
                <w:sz w:val="18"/>
                <w:szCs w:val="18"/>
              </w:rPr>
            </w:pPr>
            <w:r w:rsidRPr="003E2D55">
              <w:rPr>
                <w:rFonts w:cs="Arial"/>
                <w:sz w:val="18"/>
                <w:szCs w:val="18"/>
              </w:rPr>
              <w:t>0</w:t>
            </w:r>
          </w:p>
        </w:tc>
        <w:tc>
          <w:tcPr>
            <w:tcW w:w="1021" w:type="dxa"/>
            <w:tcBorders>
              <w:top w:val="nil"/>
              <w:left w:val="nil"/>
              <w:bottom w:val="nil"/>
              <w:right w:val="nil"/>
            </w:tcBorders>
            <w:shd w:val="clear" w:color="auto" w:fill="auto"/>
            <w:vAlign w:val="bottom"/>
          </w:tcPr>
          <w:p w14:paraId="32BB90DF" w14:textId="4BA3464A" w:rsidR="00A26814" w:rsidRPr="003E2D55" w:rsidRDefault="00A26814" w:rsidP="00A26814">
            <w:pPr>
              <w:spacing w:before="40" w:after="20"/>
              <w:jc w:val="right"/>
              <w:rPr>
                <w:rFonts w:cs="Arial"/>
                <w:sz w:val="18"/>
                <w:szCs w:val="18"/>
              </w:rPr>
            </w:pPr>
            <w:r w:rsidRPr="003E2D55">
              <w:rPr>
                <w:rFonts w:cs="Arial"/>
                <w:sz w:val="18"/>
                <w:szCs w:val="18"/>
              </w:rPr>
              <w:t>150</w:t>
            </w:r>
          </w:p>
        </w:tc>
      </w:tr>
      <w:tr w:rsidR="00A26814" w:rsidRPr="003E2D55" w14:paraId="7C63A62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782E28D" w14:textId="77777777" w:rsidR="00A26814" w:rsidRPr="003E2D55" w:rsidRDefault="00A26814" w:rsidP="00A26814">
            <w:pPr>
              <w:spacing w:before="40" w:after="20"/>
              <w:rPr>
                <w:rFonts w:cs="Arial"/>
                <w:sz w:val="18"/>
                <w:szCs w:val="18"/>
              </w:rPr>
            </w:pPr>
            <w:r w:rsidRPr="003E2D55">
              <w:rPr>
                <w:rFonts w:cs="Arial"/>
                <w:sz w:val="18"/>
                <w:szCs w:val="18"/>
              </w:rPr>
              <w:t>Melbourne C</w:t>
            </w:r>
          </w:p>
        </w:tc>
        <w:tc>
          <w:tcPr>
            <w:tcW w:w="1134" w:type="dxa"/>
            <w:tcBorders>
              <w:top w:val="nil"/>
              <w:left w:val="single" w:sz="18" w:space="0" w:color="5F497A" w:themeColor="accent4" w:themeShade="BF"/>
              <w:bottom w:val="nil"/>
              <w:right w:val="nil"/>
            </w:tcBorders>
            <w:shd w:val="clear" w:color="auto" w:fill="auto"/>
            <w:vAlign w:val="bottom"/>
          </w:tcPr>
          <w:p w14:paraId="1339FD76" w14:textId="51CC641E" w:rsidR="00A26814" w:rsidRPr="003E2D55" w:rsidRDefault="00A26814" w:rsidP="00A26814">
            <w:pPr>
              <w:spacing w:before="40" w:after="20"/>
              <w:jc w:val="right"/>
              <w:rPr>
                <w:rFonts w:cs="Arial"/>
                <w:sz w:val="18"/>
                <w:szCs w:val="18"/>
              </w:rPr>
            </w:pPr>
            <w:r w:rsidRPr="003E2D55">
              <w:rPr>
                <w:rFonts w:cs="Arial"/>
                <w:sz w:val="18"/>
                <w:szCs w:val="18"/>
              </w:rPr>
              <w:t>241</w:t>
            </w:r>
          </w:p>
        </w:tc>
        <w:tc>
          <w:tcPr>
            <w:tcW w:w="1134" w:type="dxa"/>
            <w:tcBorders>
              <w:top w:val="nil"/>
              <w:left w:val="nil"/>
              <w:bottom w:val="nil"/>
              <w:right w:val="nil"/>
            </w:tcBorders>
            <w:vAlign w:val="bottom"/>
          </w:tcPr>
          <w:p w14:paraId="32BD6139" w14:textId="2929A792" w:rsidR="00A26814" w:rsidRPr="003E2D55" w:rsidRDefault="00A26814" w:rsidP="00A26814">
            <w:pPr>
              <w:spacing w:before="40" w:after="20"/>
              <w:jc w:val="right"/>
              <w:rPr>
                <w:rFonts w:cs="Arial"/>
                <w:sz w:val="18"/>
                <w:szCs w:val="18"/>
              </w:rPr>
            </w:pPr>
            <w:r w:rsidRPr="003E2D55">
              <w:rPr>
                <w:rFonts w:cs="Arial"/>
                <w:sz w:val="18"/>
                <w:szCs w:val="18"/>
              </w:rPr>
              <w:t>0</w:t>
            </w:r>
          </w:p>
        </w:tc>
        <w:tc>
          <w:tcPr>
            <w:tcW w:w="1247" w:type="dxa"/>
            <w:tcBorders>
              <w:top w:val="nil"/>
              <w:left w:val="nil"/>
              <w:bottom w:val="nil"/>
              <w:right w:val="nil"/>
            </w:tcBorders>
            <w:vAlign w:val="bottom"/>
          </w:tcPr>
          <w:p w14:paraId="26479AE1" w14:textId="3E0E4942" w:rsidR="00A26814" w:rsidRPr="003E2D55" w:rsidRDefault="00A26814" w:rsidP="00A26814">
            <w:pPr>
              <w:spacing w:before="40" w:after="20"/>
              <w:jc w:val="right"/>
              <w:rPr>
                <w:rFonts w:cs="Arial"/>
                <w:b/>
                <w:sz w:val="18"/>
                <w:szCs w:val="18"/>
              </w:rPr>
            </w:pPr>
            <w:r w:rsidRPr="003E2D55">
              <w:rPr>
                <w:rFonts w:cs="Arial"/>
                <w:b/>
                <w:sz w:val="18"/>
                <w:szCs w:val="18"/>
              </w:rPr>
              <w:t>241</w:t>
            </w:r>
          </w:p>
        </w:tc>
        <w:tc>
          <w:tcPr>
            <w:tcW w:w="1247" w:type="dxa"/>
            <w:tcBorders>
              <w:top w:val="nil"/>
              <w:left w:val="nil"/>
              <w:bottom w:val="nil"/>
              <w:right w:val="nil"/>
            </w:tcBorders>
            <w:shd w:val="clear" w:color="auto" w:fill="auto"/>
            <w:vAlign w:val="bottom"/>
          </w:tcPr>
          <w:p w14:paraId="240D750B" w14:textId="451D2BD0" w:rsidR="00A26814" w:rsidRPr="003E2D55" w:rsidRDefault="00A26814" w:rsidP="00A26814">
            <w:pPr>
              <w:spacing w:before="40" w:after="20"/>
              <w:jc w:val="right"/>
              <w:rPr>
                <w:rFonts w:cs="Arial"/>
                <w:b/>
                <w:sz w:val="18"/>
                <w:szCs w:val="18"/>
              </w:rPr>
            </w:pPr>
            <w:r w:rsidRPr="003E2D55">
              <w:rPr>
                <w:rFonts w:cs="Arial"/>
                <w:b/>
                <w:sz w:val="18"/>
                <w:szCs w:val="18"/>
              </w:rPr>
              <w:t>37</w:t>
            </w:r>
          </w:p>
        </w:tc>
        <w:tc>
          <w:tcPr>
            <w:tcW w:w="1021" w:type="dxa"/>
            <w:tcBorders>
              <w:top w:val="nil"/>
              <w:left w:val="nil"/>
              <w:bottom w:val="nil"/>
              <w:right w:val="nil"/>
            </w:tcBorders>
            <w:shd w:val="clear" w:color="auto" w:fill="auto"/>
            <w:vAlign w:val="bottom"/>
          </w:tcPr>
          <w:p w14:paraId="334FEF87" w14:textId="0B26A54E" w:rsidR="00A26814" w:rsidRPr="003E2D55" w:rsidRDefault="00A26814" w:rsidP="00A26814">
            <w:pPr>
              <w:spacing w:before="40" w:after="20"/>
              <w:jc w:val="right"/>
              <w:rPr>
                <w:rFonts w:cs="Arial"/>
                <w:sz w:val="18"/>
                <w:szCs w:val="18"/>
              </w:rPr>
            </w:pPr>
            <w:r w:rsidRPr="003E2D55">
              <w:rPr>
                <w:rFonts w:cs="Arial"/>
                <w:sz w:val="18"/>
                <w:szCs w:val="18"/>
              </w:rPr>
              <w:t>0</w:t>
            </w:r>
          </w:p>
        </w:tc>
        <w:tc>
          <w:tcPr>
            <w:tcW w:w="1021" w:type="dxa"/>
            <w:tcBorders>
              <w:top w:val="nil"/>
              <w:left w:val="nil"/>
              <w:bottom w:val="nil"/>
              <w:right w:val="nil"/>
            </w:tcBorders>
            <w:shd w:val="clear" w:color="auto" w:fill="auto"/>
            <w:vAlign w:val="bottom"/>
          </w:tcPr>
          <w:p w14:paraId="1CA4E14A" w14:textId="64A05389" w:rsidR="00A26814" w:rsidRPr="003E2D55" w:rsidRDefault="00A26814" w:rsidP="00A26814">
            <w:pPr>
              <w:spacing w:before="40" w:after="20"/>
              <w:jc w:val="right"/>
              <w:rPr>
                <w:rFonts w:cs="Arial"/>
                <w:sz w:val="18"/>
                <w:szCs w:val="18"/>
              </w:rPr>
            </w:pPr>
            <w:r w:rsidRPr="003E2D55">
              <w:rPr>
                <w:rFonts w:cs="Arial"/>
                <w:sz w:val="18"/>
                <w:szCs w:val="18"/>
              </w:rPr>
              <w:t>10,280</w:t>
            </w:r>
          </w:p>
        </w:tc>
      </w:tr>
      <w:tr w:rsidR="00A26814" w:rsidRPr="003E2D55" w14:paraId="6E0E345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5EA10F2" w14:textId="77777777" w:rsidR="00A26814" w:rsidRPr="003E2D55" w:rsidRDefault="00A26814" w:rsidP="00A26814">
            <w:pPr>
              <w:spacing w:before="40" w:after="20"/>
              <w:rPr>
                <w:rFonts w:cs="Arial"/>
                <w:sz w:val="18"/>
                <w:szCs w:val="18"/>
              </w:rPr>
            </w:pPr>
            <w:r w:rsidRPr="003E2D55">
              <w:rPr>
                <w:rFonts w:cs="Arial"/>
                <w:sz w:val="18"/>
                <w:szCs w:val="18"/>
              </w:rPr>
              <w:t>Melton C</w:t>
            </w:r>
          </w:p>
        </w:tc>
        <w:tc>
          <w:tcPr>
            <w:tcW w:w="1134" w:type="dxa"/>
            <w:tcBorders>
              <w:top w:val="nil"/>
              <w:left w:val="single" w:sz="18" w:space="0" w:color="5F497A" w:themeColor="accent4" w:themeShade="BF"/>
              <w:bottom w:val="nil"/>
              <w:right w:val="nil"/>
            </w:tcBorders>
            <w:shd w:val="clear" w:color="auto" w:fill="auto"/>
            <w:vAlign w:val="bottom"/>
          </w:tcPr>
          <w:p w14:paraId="4F98C13F" w14:textId="75B1A36E" w:rsidR="00A26814" w:rsidRPr="003E2D55" w:rsidRDefault="00A26814" w:rsidP="00A26814">
            <w:pPr>
              <w:spacing w:before="40" w:after="20"/>
              <w:jc w:val="right"/>
              <w:rPr>
                <w:rFonts w:cs="Arial"/>
                <w:sz w:val="18"/>
                <w:szCs w:val="18"/>
              </w:rPr>
            </w:pPr>
            <w:r w:rsidRPr="003E2D55">
              <w:rPr>
                <w:rFonts w:cs="Arial"/>
                <w:sz w:val="18"/>
                <w:szCs w:val="18"/>
              </w:rPr>
              <w:t>848</w:t>
            </w:r>
          </w:p>
        </w:tc>
        <w:tc>
          <w:tcPr>
            <w:tcW w:w="1134" w:type="dxa"/>
            <w:tcBorders>
              <w:top w:val="nil"/>
              <w:left w:val="nil"/>
              <w:bottom w:val="nil"/>
              <w:right w:val="nil"/>
            </w:tcBorders>
            <w:vAlign w:val="bottom"/>
          </w:tcPr>
          <w:p w14:paraId="323A639B" w14:textId="3AD7AC0C" w:rsidR="00A26814" w:rsidRPr="003E2D55" w:rsidRDefault="00A26814" w:rsidP="00A26814">
            <w:pPr>
              <w:spacing w:before="40" w:after="20"/>
              <w:jc w:val="right"/>
              <w:rPr>
                <w:rFonts w:cs="Arial"/>
                <w:sz w:val="18"/>
                <w:szCs w:val="18"/>
              </w:rPr>
            </w:pPr>
            <w:r w:rsidRPr="003E2D55">
              <w:rPr>
                <w:rFonts w:cs="Arial"/>
                <w:sz w:val="18"/>
                <w:szCs w:val="18"/>
              </w:rPr>
              <w:t>277</w:t>
            </w:r>
          </w:p>
        </w:tc>
        <w:tc>
          <w:tcPr>
            <w:tcW w:w="1247" w:type="dxa"/>
            <w:tcBorders>
              <w:top w:val="nil"/>
              <w:left w:val="nil"/>
              <w:bottom w:val="nil"/>
              <w:right w:val="nil"/>
            </w:tcBorders>
            <w:vAlign w:val="bottom"/>
          </w:tcPr>
          <w:p w14:paraId="050C035C" w14:textId="7EF01036" w:rsidR="00A26814" w:rsidRPr="003E2D55" w:rsidRDefault="00A26814" w:rsidP="00A26814">
            <w:pPr>
              <w:spacing w:before="40" w:after="20"/>
              <w:jc w:val="right"/>
              <w:rPr>
                <w:rFonts w:cs="Arial"/>
                <w:b/>
                <w:sz w:val="18"/>
                <w:szCs w:val="18"/>
              </w:rPr>
            </w:pPr>
            <w:r w:rsidRPr="003E2D55">
              <w:rPr>
                <w:rFonts w:cs="Arial"/>
                <w:b/>
                <w:sz w:val="18"/>
                <w:szCs w:val="18"/>
              </w:rPr>
              <w:t>1,125</w:t>
            </w:r>
          </w:p>
        </w:tc>
        <w:tc>
          <w:tcPr>
            <w:tcW w:w="1247" w:type="dxa"/>
            <w:tcBorders>
              <w:top w:val="nil"/>
              <w:left w:val="nil"/>
              <w:bottom w:val="nil"/>
              <w:right w:val="nil"/>
            </w:tcBorders>
            <w:shd w:val="clear" w:color="auto" w:fill="auto"/>
            <w:vAlign w:val="bottom"/>
          </w:tcPr>
          <w:p w14:paraId="38E98FED" w14:textId="5AAAEF3C" w:rsidR="00A26814" w:rsidRPr="003E2D55" w:rsidRDefault="00A26814" w:rsidP="00A26814">
            <w:pPr>
              <w:spacing w:before="40" w:after="20"/>
              <w:jc w:val="right"/>
              <w:rPr>
                <w:rFonts w:cs="Arial"/>
                <w:b/>
                <w:sz w:val="18"/>
                <w:szCs w:val="18"/>
              </w:rPr>
            </w:pPr>
            <w:r w:rsidRPr="003E2D55">
              <w:rPr>
                <w:rFonts w:cs="Arial"/>
                <w:b/>
                <w:sz w:val="18"/>
                <w:szCs w:val="18"/>
              </w:rPr>
              <w:t>193</w:t>
            </w:r>
          </w:p>
        </w:tc>
        <w:tc>
          <w:tcPr>
            <w:tcW w:w="1021" w:type="dxa"/>
            <w:tcBorders>
              <w:top w:val="nil"/>
              <w:left w:val="nil"/>
              <w:bottom w:val="nil"/>
              <w:right w:val="nil"/>
            </w:tcBorders>
            <w:shd w:val="clear" w:color="auto" w:fill="auto"/>
            <w:vAlign w:val="bottom"/>
          </w:tcPr>
          <w:p w14:paraId="73435714" w14:textId="6AA8C84E" w:rsidR="00A26814" w:rsidRPr="003E2D55" w:rsidRDefault="00A26814" w:rsidP="00A26814">
            <w:pPr>
              <w:spacing w:before="40" w:after="20"/>
              <w:jc w:val="right"/>
              <w:rPr>
                <w:rFonts w:cs="Arial"/>
                <w:sz w:val="18"/>
                <w:szCs w:val="18"/>
              </w:rPr>
            </w:pPr>
            <w:r w:rsidRPr="003E2D55">
              <w:rPr>
                <w:rFonts w:cs="Arial"/>
                <w:sz w:val="18"/>
                <w:szCs w:val="18"/>
              </w:rPr>
              <w:t>0</w:t>
            </w:r>
          </w:p>
        </w:tc>
        <w:tc>
          <w:tcPr>
            <w:tcW w:w="1021" w:type="dxa"/>
            <w:tcBorders>
              <w:top w:val="nil"/>
              <w:left w:val="nil"/>
              <w:bottom w:val="nil"/>
              <w:right w:val="nil"/>
            </w:tcBorders>
            <w:shd w:val="clear" w:color="auto" w:fill="auto"/>
            <w:vAlign w:val="bottom"/>
          </w:tcPr>
          <w:p w14:paraId="79708E40" w14:textId="68194DAC" w:rsidR="00A26814" w:rsidRPr="003E2D55" w:rsidRDefault="00A26814" w:rsidP="00A26814">
            <w:pPr>
              <w:spacing w:before="40" w:after="20"/>
              <w:jc w:val="right"/>
              <w:rPr>
                <w:rFonts w:cs="Arial"/>
                <w:sz w:val="18"/>
                <w:szCs w:val="18"/>
              </w:rPr>
            </w:pPr>
            <w:r w:rsidRPr="003E2D55">
              <w:rPr>
                <w:rFonts w:cs="Arial"/>
                <w:sz w:val="18"/>
                <w:szCs w:val="18"/>
              </w:rPr>
              <w:t>5,783</w:t>
            </w:r>
          </w:p>
        </w:tc>
      </w:tr>
      <w:tr w:rsidR="00A26814" w:rsidRPr="003E2D55" w14:paraId="7C2A3CD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1FB00FE" w14:textId="77777777" w:rsidR="00A26814" w:rsidRPr="003E2D55" w:rsidRDefault="00A26814" w:rsidP="00A26814">
            <w:pPr>
              <w:spacing w:before="40" w:after="20"/>
              <w:rPr>
                <w:rFonts w:cs="Arial"/>
                <w:sz w:val="18"/>
                <w:szCs w:val="18"/>
              </w:rPr>
            </w:pPr>
            <w:r w:rsidRPr="003E2D55">
              <w:rPr>
                <w:rFonts w:cs="Arial"/>
                <w:sz w:val="18"/>
                <w:szCs w:val="18"/>
              </w:rPr>
              <w:t>Mildura RC</w:t>
            </w:r>
          </w:p>
        </w:tc>
        <w:tc>
          <w:tcPr>
            <w:tcW w:w="1134" w:type="dxa"/>
            <w:tcBorders>
              <w:top w:val="nil"/>
              <w:left w:val="single" w:sz="18" w:space="0" w:color="5F497A" w:themeColor="accent4" w:themeShade="BF"/>
              <w:bottom w:val="nil"/>
              <w:right w:val="nil"/>
            </w:tcBorders>
            <w:shd w:val="clear" w:color="auto" w:fill="auto"/>
            <w:vAlign w:val="bottom"/>
          </w:tcPr>
          <w:p w14:paraId="0561CED8" w14:textId="2DC5AA8F" w:rsidR="00A26814" w:rsidRPr="003E2D55" w:rsidRDefault="00A26814" w:rsidP="00A26814">
            <w:pPr>
              <w:spacing w:before="40" w:after="20"/>
              <w:jc w:val="right"/>
              <w:rPr>
                <w:rFonts w:cs="Arial"/>
                <w:sz w:val="18"/>
                <w:szCs w:val="18"/>
              </w:rPr>
            </w:pPr>
            <w:r w:rsidRPr="003E2D55">
              <w:rPr>
                <w:rFonts w:cs="Arial"/>
                <w:sz w:val="18"/>
                <w:szCs w:val="18"/>
              </w:rPr>
              <w:t>333</w:t>
            </w:r>
          </w:p>
        </w:tc>
        <w:tc>
          <w:tcPr>
            <w:tcW w:w="1134" w:type="dxa"/>
            <w:tcBorders>
              <w:top w:val="nil"/>
              <w:left w:val="nil"/>
              <w:bottom w:val="nil"/>
              <w:right w:val="nil"/>
            </w:tcBorders>
            <w:vAlign w:val="bottom"/>
          </w:tcPr>
          <w:p w14:paraId="1448DB49" w14:textId="132CF915" w:rsidR="00A26814" w:rsidRPr="003E2D55" w:rsidRDefault="00A26814" w:rsidP="00A26814">
            <w:pPr>
              <w:spacing w:before="40" w:after="20"/>
              <w:jc w:val="right"/>
              <w:rPr>
                <w:rFonts w:cs="Arial"/>
                <w:sz w:val="18"/>
                <w:szCs w:val="18"/>
              </w:rPr>
            </w:pPr>
            <w:r w:rsidRPr="003E2D55">
              <w:rPr>
                <w:rFonts w:cs="Arial"/>
                <w:sz w:val="18"/>
                <w:szCs w:val="18"/>
              </w:rPr>
              <w:t>4,885</w:t>
            </w:r>
          </w:p>
        </w:tc>
        <w:tc>
          <w:tcPr>
            <w:tcW w:w="1247" w:type="dxa"/>
            <w:tcBorders>
              <w:top w:val="nil"/>
              <w:left w:val="nil"/>
              <w:bottom w:val="nil"/>
              <w:right w:val="nil"/>
            </w:tcBorders>
            <w:vAlign w:val="bottom"/>
          </w:tcPr>
          <w:p w14:paraId="4A113671" w14:textId="3F5C58E5" w:rsidR="00A26814" w:rsidRPr="003E2D55" w:rsidRDefault="00A26814" w:rsidP="00A26814">
            <w:pPr>
              <w:spacing w:before="40" w:after="20"/>
              <w:jc w:val="right"/>
              <w:rPr>
                <w:rFonts w:cs="Arial"/>
                <w:b/>
                <w:sz w:val="18"/>
                <w:szCs w:val="18"/>
              </w:rPr>
            </w:pPr>
            <w:r w:rsidRPr="003E2D55">
              <w:rPr>
                <w:rFonts w:cs="Arial"/>
                <w:b/>
                <w:sz w:val="18"/>
                <w:szCs w:val="18"/>
              </w:rPr>
              <w:t>5,218</w:t>
            </w:r>
          </w:p>
        </w:tc>
        <w:tc>
          <w:tcPr>
            <w:tcW w:w="1247" w:type="dxa"/>
            <w:tcBorders>
              <w:top w:val="nil"/>
              <w:left w:val="nil"/>
              <w:bottom w:val="nil"/>
              <w:right w:val="nil"/>
            </w:tcBorders>
            <w:shd w:val="clear" w:color="auto" w:fill="auto"/>
            <w:vAlign w:val="bottom"/>
          </w:tcPr>
          <w:p w14:paraId="11626C5D" w14:textId="54CB20DB" w:rsidR="00A26814" w:rsidRPr="003E2D55" w:rsidRDefault="00A26814" w:rsidP="00A26814">
            <w:pPr>
              <w:spacing w:before="40" w:after="20"/>
              <w:jc w:val="right"/>
              <w:rPr>
                <w:rFonts w:cs="Arial"/>
                <w:b/>
                <w:sz w:val="18"/>
                <w:szCs w:val="18"/>
              </w:rPr>
            </w:pPr>
            <w:r w:rsidRPr="003E2D55">
              <w:rPr>
                <w:rFonts w:cs="Arial"/>
                <w:b/>
                <w:sz w:val="18"/>
                <w:szCs w:val="18"/>
              </w:rPr>
              <w:t>1,113</w:t>
            </w:r>
          </w:p>
        </w:tc>
        <w:tc>
          <w:tcPr>
            <w:tcW w:w="1021" w:type="dxa"/>
            <w:tcBorders>
              <w:top w:val="nil"/>
              <w:left w:val="nil"/>
              <w:bottom w:val="nil"/>
              <w:right w:val="nil"/>
            </w:tcBorders>
            <w:shd w:val="clear" w:color="auto" w:fill="auto"/>
            <w:vAlign w:val="bottom"/>
          </w:tcPr>
          <w:p w14:paraId="07E3E110" w14:textId="0FB85F55" w:rsidR="00A26814" w:rsidRPr="003E2D55" w:rsidRDefault="00A26814" w:rsidP="00A26814">
            <w:pPr>
              <w:spacing w:before="40" w:after="20"/>
              <w:jc w:val="right"/>
              <w:rPr>
                <w:rFonts w:cs="Arial"/>
                <w:sz w:val="18"/>
                <w:szCs w:val="18"/>
              </w:rPr>
            </w:pPr>
            <w:r w:rsidRPr="003E2D55">
              <w:rPr>
                <w:rFonts w:cs="Arial"/>
                <w:sz w:val="18"/>
                <w:szCs w:val="18"/>
              </w:rPr>
              <w:t>0</w:t>
            </w:r>
          </w:p>
        </w:tc>
        <w:tc>
          <w:tcPr>
            <w:tcW w:w="1021" w:type="dxa"/>
            <w:tcBorders>
              <w:top w:val="nil"/>
              <w:left w:val="nil"/>
              <w:bottom w:val="nil"/>
              <w:right w:val="nil"/>
            </w:tcBorders>
            <w:shd w:val="clear" w:color="auto" w:fill="auto"/>
            <w:vAlign w:val="bottom"/>
          </w:tcPr>
          <w:p w14:paraId="4C3DDBE8" w14:textId="2F2DF754" w:rsidR="00A26814" w:rsidRPr="003E2D55" w:rsidRDefault="00A26814" w:rsidP="00A26814">
            <w:pPr>
              <w:spacing w:before="40" w:after="20"/>
              <w:jc w:val="right"/>
              <w:rPr>
                <w:rFonts w:cs="Arial"/>
                <w:sz w:val="18"/>
                <w:szCs w:val="18"/>
              </w:rPr>
            </w:pPr>
            <w:r w:rsidRPr="003E2D55">
              <w:rPr>
                <w:rFonts w:cs="Arial"/>
                <w:sz w:val="18"/>
                <w:szCs w:val="18"/>
              </w:rPr>
              <w:t>600</w:t>
            </w:r>
          </w:p>
        </w:tc>
      </w:tr>
      <w:tr w:rsidR="00A26814" w:rsidRPr="003E2D55" w14:paraId="537789A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B6D74C6" w14:textId="77777777" w:rsidR="00A26814" w:rsidRPr="003E2D55" w:rsidRDefault="00A26814" w:rsidP="00A26814">
            <w:pPr>
              <w:spacing w:before="40" w:after="20"/>
              <w:rPr>
                <w:rFonts w:cs="Arial"/>
                <w:sz w:val="18"/>
                <w:szCs w:val="18"/>
              </w:rPr>
            </w:pPr>
            <w:r w:rsidRPr="003E2D55">
              <w:rPr>
                <w:rFonts w:cs="Arial"/>
                <w:sz w:val="18"/>
                <w:szCs w:val="18"/>
              </w:rPr>
              <w:t>Mitchell S</w:t>
            </w:r>
          </w:p>
        </w:tc>
        <w:tc>
          <w:tcPr>
            <w:tcW w:w="1134" w:type="dxa"/>
            <w:tcBorders>
              <w:top w:val="nil"/>
              <w:left w:val="single" w:sz="18" w:space="0" w:color="5F497A" w:themeColor="accent4" w:themeShade="BF"/>
              <w:bottom w:val="nil"/>
              <w:right w:val="nil"/>
            </w:tcBorders>
            <w:shd w:val="clear" w:color="auto" w:fill="auto"/>
            <w:vAlign w:val="bottom"/>
          </w:tcPr>
          <w:p w14:paraId="3125BA41" w14:textId="117614E1" w:rsidR="00A26814" w:rsidRPr="003E2D55" w:rsidRDefault="00A26814" w:rsidP="00A26814">
            <w:pPr>
              <w:spacing w:before="40" w:after="20"/>
              <w:jc w:val="right"/>
              <w:rPr>
                <w:rFonts w:cs="Arial"/>
                <w:sz w:val="18"/>
                <w:szCs w:val="18"/>
              </w:rPr>
            </w:pPr>
            <w:r w:rsidRPr="003E2D55">
              <w:rPr>
                <w:rFonts w:cs="Arial"/>
                <w:sz w:val="18"/>
                <w:szCs w:val="18"/>
              </w:rPr>
              <w:t>343</w:t>
            </w:r>
          </w:p>
        </w:tc>
        <w:tc>
          <w:tcPr>
            <w:tcW w:w="1134" w:type="dxa"/>
            <w:tcBorders>
              <w:top w:val="nil"/>
              <w:left w:val="nil"/>
              <w:bottom w:val="nil"/>
              <w:right w:val="nil"/>
            </w:tcBorders>
            <w:vAlign w:val="bottom"/>
          </w:tcPr>
          <w:p w14:paraId="0F671FDD" w14:textId="7A0BBA86" w:rsidR="00A26814" w:rsidRPr="003E2D55" w:rsidRDefault="00A26814" w:rsidP="00A26814">
            <w:pPr>
              <w:spacing w:before="40" w:after="20"/>
              <w:jc w:val="right"/>
              <w:rPr>
                <w:rFonts w:cs="Arial"/>
                <w:sz w:val="18"/>
                <w:szCs w:val="18"/>
              </w:rPr>
            </w:pPr>
            <w:r w:rsidRPr="003E2D55">
              <w:rPr>
                <w:rFonts w:cs="Arial"/>
                <w:sz w:val="18"/>
                <w:szCs w:val="18"/>
              </w:rPr>
              <w:t>1,161</w:t>
            </w:r>
          </w:p>
        </w:tc>
        <w:tc>
          <w:tcPr>
            <w:tcW w:w="1247" w:type="dxa"/>
            <w:tcBorders>
              <w:top w:val="nil"/>
              <w:left w:val="nil"/>
              <w:bottom w:val="nil"/>
              <w:right w:val="nil"/>
            </w:tcBorders>
            <w:vAlign w:val="bottom"/>
          </w:tcPr>
          <w:p w14:paraId="023E295F" w14:textId="2EFFAF20" w:rsidR="00A26814" w:rsidRPr="003E2D55" w:rsidRDefault="00A26814" w:rsidP="00A26814">
            <w:pPr>
              <w:spacing w:before="40" w:after="20"/>
              <w:jc w:val="right"/>
              <w:rPr>
                <w:rFonts w:cs="Arial"/>
                <w:b/>
                <w:sz w:val="18"/>
                <w:szCs w:val="18"/>
              </w:rPr>
            </w:pPr>
            <w:r w:rsidRPr="003E2D55">
              <w:rPr>
                <w:rFonts w:cs="Arial"/>
                <w:b/>
                <w:sz w:val="18"/>
                <w:szCs w:val="18"/>
              </w:rPr>
              <w:t>1,504</w:t>
            </w:r>
          </w:p>
        </w:tc>
        <w:tc>
          <w:tcPr>
            <w:tcW w:w="1247" w:type="dxa"/>
            <w:tcBorders>
              <w:top w:val="nil"/>
              <w:left w:val="nil"/>
              <w:bottom w:val="nil"/>
              <w:right w:val="nil"/>
            </w:tcBorders>
            <w:shd w:val="clear" w:color="auto" w:fill="auto"/>
            <w:vAlign w:val="bottom"/>
          </w:tcPr>
          <w:p w14:paraId="25C5CAF3" w14:textId="21EE2FA0" w:rsidR="00A26814" w:rsidRPr="003E2D55" w:rsidRDefault="00A26814" w:rsidP="00A26814">
            <w:pPr>
              <w:spacing w:before="40" w:after="20"/>
              <w:jc w:val="right"/>
              <w:rPr>
                <w:rFonts w:cs="Arial"/>
                <w:b/>
                <w:sz w:val="18"/>
                <w:szCs w:val="18"/>
              </w:rPr>
            </w:pPr>
            <w:r w:rsidRPr="003E2D55">
              <w:rPr>
                <w:rFonts w:cs="Arial"/>
                <w:b/>
                <w:sz w:val="18"/>
                <w:szCs w:val="18"/>
              </w:rPr>
              <w:t>438</w:t>
            </w:r>
          </w:p>
        </w:tc>
        <w:tc>
          <w:tcPr>
            <w:tcW w:w="1021" w:type="dxa"/>
            <w:tcBorders>
              <w:top w:val="nil"/>
              <w:left w:val="nil"/>
              <w:bottom w:val="nil"/>
              <w:right w:val="nil"/>
            </w:tcBorders>
            <w:shd w:val="clear" w:color="auto" w:fill="auto"/>
            <w:vAlign w:val="bottom"/>
          </w:tcPr>
          <w:p w14:paraId="300790EA" w14:textId="49A5CE2A" w:rsidR="00A26814" w:rsidRPr="003E2D55" w:rsidRDefault="00A26814" w:rsidP="00A26814">
            <w:pPr>
              <w:spacing w:before="40" w:after="20"/>
              <w:jc w:val="right"/>
              <w:rPr>
                <w:rFonts w:cs="Arial"/>
                <w:sz w:val="18"/>
                <w:szCs w:val="18"/>
              </w:rPr>
            </w:pPr>
            <w:r w:rsidRPr="003E2D55">
              <w:rPr>
                <w:rFonts w:cs="Arial"/>
                <w:sz w:val="18"/>
                <w:szCs w:val="18"/>
              </w:rPr>
              <w:t>404</w:t>
            </w:r>
          </w:p>
        </w:tc>
        <w:tc>
          <w:tcPr>
            <w:tcW w:w="1021" w:type="dxa"/>
            <w:tcBorders>
              <w:top w:val="nil"/>
              <w:left w:val="nil"/>
              <w:bottom w:val="nil"/>
              <w:right w:val="nil"/>
            </w:tcBorders>
            <w:shd w:val="clear" w:color="auto" w:fill="auto"/>
            <w:vAlign w:val="bottom"/>
          </w:tcPr>
          <w:p w14:paraId="2D4F3A2D" w14:textId="78E2EE35" w:rsidR="00A26814" w:rsidRPr="003E2D55" w:rsidRDefault="00A26814" w:rsidP="00A26814">
            <w:pPr>
              <w:spacing w:before="40" w:after="20"/>
              <w:jc w:val="right"/>
              <w:rPr>
                <w:rFonts w:cs="Arial"/>
                <w:sz w:val="18"/>
                <w:szCs w:val="18"/>
              </w:rPr>
            </w:pPr>
            <w:r w:rsidRPr="003E2D55">
              <w:rPr>
                <w:rFonts w:cs="Arial"/>
                <w:sz w:val="18"/>
                <w:szCs w:val="18"/>
              </w:rPr>
              <w:t>7,363</w:t>
            </w:r>
          </w:p>
        </w:tc>
      </w:tr>
      <w:tr w:rsidR="00A26814" w:rsidRPr="003E2D55" w14:paraId="1117B85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BE93D3D" w14:textId="77777777" w:rsidR="00A26814" w:rsidRPr="003E2D55" w:rsidRDefault="00A26814" w:rsidP="00A26814">
            <w:pPr>
              <w:spacing w:before="40" w:after="20"/>
              <w:rPr>
                <w:rFonts w:cs="Arial"/>
                <w:sz w:val="18"/>
                <w:szCs w:val="18"/>
              </w:rPr>
            </w:pPr>
            <w:r w:rsidRPr="003E2D55">
              <w:rPr>
                <w:rFonts w:cs="Arial"/>
                <w:sz w:val="18"/>
                <w:szCs w:val="18"/>
              </w:rPr>
              <w:t>Moira S</w:t>
            </w:r>
          </w:p>
        </w:tc>
        <w:tc>
          <w:tcPr>
            <w:tcW w:w="1134" w:type="dxa"/>
            <w:tcBorders>
              <w:top w:val="nil"/>
              <w:left w:val="single" w:sz="18" w:space="0" w:color="5F497A" w:themeColor="accent4" w:themeShade="BF"/>
              <w:bottom w:val="nil"/>
              <w:right w:val="nil"/>
            </w:tcBorders>
            <w:shd w:val="clear" w:color="auto" w:fill="auto"/>
            <w:vAlign w:val="bottom"/>
          </w:tcPr>
          <w:p w14:paraId="2DDF1804" w14:textId="34D95600" w:rsidR="00A26814" w:rsidRPr="003E2D55" w:rsidRDefault="00A26814" w:rsidP="00A26814">
            <w:pPr>
              <w:spacing w:before="40" w:after="20"/>
              <w:jc w:val="right"/>
              <w:rPr>
                <w:rFonts w:cs="Arial"/>
                <w:sz w:val="18"/>
                <w:szCs w:val="18"/>
              </w:rPr>
            </w:pPr>
            <w:r w:rsidRPr="003E2D55">
              <w:rPr>
                <w:rFonts w:cs="Arial"/>
                <w:sz w:val="18"/>
                <w:szCs w:val="18"/>
              </w:rPr>
              <w:t>273</w:t>
            </w:r>
          </w:p>
        </w:tc>
        <w:tc>
          <w:tcPr>
            <w:tcW w:w="1134" w:type="dxa"/>
            <w:tcBorders>
              <w:top w:val="nil"/>
              <w:left w:val="nil"/>
              <w:bottom w:val="nil"/>
              <w:right w:val="nil"/>
            </w:tcBorders>
            <w:vAlign w:val="bottom"/>
          </w:tcPr>
          <w:p w14:paraId="62A91689" w14:textId="10C50376" w:rsidR="00A26814" w:rsidRPr="003E2D55" w:rsidRDefault="00A26814" w:rsidP="00A26814">
            <w:pPr>
              <w:spacing w:before="40" w:after="20"/>
              <w:jc w:val="right"/>
              <w:rPr>
                <w:rFonts w:cs="Arial"/>
                <w:sz w:val="18"/>
                <w:szCs w:val="18"/>
              </w:rPr>
            </w:pPr>
            <w:r w:rsidRPr="003E2D55">
              <w:rPr>
                <w:rFonts w:cs="Arial"/>
                <w:sz w:val="18"/>
                <w:szCs w:val="18"/>
              </w:rPr>
              <w:t>3,375</w:t>
            </w:r>
          </w:p>
        </w:tc>
        <w:tc>
          <w:tcPr>
            <w:tcW w:w="1247" w:type="dxa"/>
            <w:tcBorders>
              <w:top w:val="nil"/>
              <w:left w:val="nil"/>
              <w:bottom w:val="nil"/>
              <w:right w:val="nil"/>
            </w:tcBorders>
            <w:vAlign w:val="bottom"/>
          </w:tcPr>
          <w:p w14:paraId="0BD271BF" w14:textId="712287F4" w:rsidR="00A26814" w:rsidRPr="003E2D55" w:rsidRDefault="00A26814" w:rsidP="00A26814">
            <w:pPr>
              <w:spacing w:before="40" w:after="20"/>
              <w:jc w:val="right"/>
              <w:rPr>
                <w:rFonts w:cs="Arial"/>
                <w:b/>
                <w:sz w:val="18"/>
                <w:szCs w:val="18"/>
              </w:rPr>
            </w:pPr>
            <w:r w:rsidRPr="003E2D55">
              <w:rPr>
                <w:rFonts w:cs="Arial"/>
                <w:b/>
                <w:sz w:val="18"/>
                <w:szCs w:val="18"/>
              </w:rPr>
              <w:t>3,648</w:t>
            </w:r>
          </w:p>
        </w:tc>
        <w:tc>
          <w:tcPr>
            <w:tcW w:w="1247" w:type="dxa"/>
            <w:tcBorders>
              <w:top w:val="nil"/>
              <w:left w:val="nil"/>
              <w:bottom w:val="nil"/>
              <w:right w:val="nil"/>
            </w:tcBorders>
            <w:shd w:val="clear" w:color="auto" w:fill="auto"/>
            <w:vAlign w:val="bottom"/>
          </w:tcPr>
          <w:p w14:paraId="2362560D" w14:textId="54C67D6C" w:rsidR="00A26814" w:rsidRPr="003E2D55" w:rsidRDefault="00A26814" w:rsidP="00A26814">
            <w:pPr>
              <w:spacing w:before="40" w:after="20"/>
              <w:jc w:val="right"/>
              <w:rPr>
                <w:rFonts w:cs="Arial"/>
                <w:b/>
                <w:sz w:val="18"/>
                <w:szCs w:val="18"/>
              </w:rPr>
            </w:pPr>
            <w:r w:rsidRPr="003E2D55">
              <w:rPr>
                <w:rFonts w:cs="Arial"/>
                <w:b/>
                <w:sz w:val="18"/>
                <w:szCs w:val="18"/>
              </w:rPr>
              <w:t>1,905</w:t>
            </w:r>
          </w:p>
        </w:tc>
        <w:tc>
          <w:tcPr>
            <w:tcW w:w="1021" w:type="dxa"/>
            <w:tcBorders>
              <w:top w:val="nil"/>
              <w:left w:val="nil"/>
              <w:bottom w:val="nil"/>
              <w:right w:val="nil"/>
            </w:tcBorders>
            <w:shd w:val="clear" w:color="auto" w:fill="auto"/>
            <w:vAlign w:val="bottom"/>
          </w:tcPr>
          <w:p w14:paraId="0E8BE3E7" w14:textId="5DC673B8" w:rsidR="00A26814" w:rsidRPr="003E2D55" w:rsidRDefault="00A26814" w:rsidP="00A26814">
            <w:pPr>
              <w:spacing w:before="40" w:after="20"/>
              <w:jc w:val="right"/>
              <w:rPr>
                <w:rFonts w:cs="Arial"/>
                <w:sz w:val="18"/>
                <w:szCs w:val="18"/>
              </w:rPr>
            </w:pPr>
            <w:r w:rsidRPr="003E2D55">
              <w:rPr>
                <w:rFonts w:cs="Arial"/>
                <w:sz w:val="18"/>
                <w:szCs w:val="18"/>
              </w:rPr>
              <w:t>1,526</w:t>
            </w:r>
          </w:p>
        </w:tc>
        <w:tc>
          <w:tcPr>
            <w:tcW w:w="1021" w:type="dxa"/>
            <w:tcBorders>
              <w:top w:val="nil"/>
              <w:left w:val="nil"/>
              <w:bottom w:val="nil"/>
              <w:right w:val="nil"/>
            </w:tcBorders>
            <w:shd w:val="clear" w:color="auto" w:fill="auto"/>
            <w:vAlign w:val="bottom"/>
          </w:tcPr>
          <w:p w14:paraId="27B2CAB8" w14:textId="215251BB" w:rsidR="00A26814" w:rsidRPr="003E2D55" w:rsidRDefault="00A26814" w:rsidP="00A26814">
            <w:pPr>
              <w:spacing w:before="40" w:after="20"/>
              <w:jc w:val="right"/>
              <w:rPr>
                <w:rFonts w:cs="Arial"/>
                <w:sz w:val="18"/>
                <w:szCs w:val="18"/>
              </w:rPr>
            </w:pPr>
            <w:r w:rsidRPr="003E2D55">
              <w:rPr>
                <w:rFonts w:cs="Arial"/>
                <w:sz w:val="18"/>
                <w:szCs w:val="18"/>
              </w:rPr>
              <w:t>8,907</w:t>
            </w:r>
          </w:p>
        </w:tc>
      </w:tr>
      <w:tr w:rsidR="00A26814" w:rsidRPr="003E2D55" w14:paraId="776738E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60847C9" w14:textId="77777777" w:rsidR="00A26814" w:rsidRPr="003E2D55" w:rsidRDefault="00A26814" w:rsidP="00A26814">
            <w:pPr>
              <w:spacing w:before="40" w:after="20"/>
              <w:rPr>
                <w:rFonts w:cs="Arial"/>
                <w:sz w:val="18"/>
                <w:szCs w:val="18"/>
              </w:rPr>
            </w:pPr>
            <w:r w:rsidRPr="003E2D55">
              <w:rPr>
                <w:rFonts w:cs="Arial"/>
                <w:sz w:val="18"/>
                <w:szCs w:val="18"/>
              </w:rPr>
              <w:t>Monash C</w:t>
            </w:r>
          </w:p>
        </w:tc>
        <w:tc>
          <w:tcPr>
            <w:tcW w:w="1134" w:type="dxa"/>
            <w:tcBorders>
              <w:top w:val="nil"/>
              <w:left w:val="single" w:sz="18" w:space="0" w:color="5F497A" w:themeColor="accent4" w:themeShade="BF"/>
              <w:bottom w:val="nil"/>
              <w:right w:val="nil"/>
            </w:tcBorders>
            <w:shd w:val="clear" w:color="auto" w:fill="auto"/>
            <w:vAlign w:val="bottom"/>
          </w:tcPr>
          <w:p w14:paraId="16B6C3DD" w14:textId="6E163E62" w:rsidR="00A26814" w:rsidRPr="003E2D55" w:rsidRDefault="00A26814" w:rsidP="00A26814">
            <w:pPr>
              <w:spacing w:before="40" w:after="20"/>
              <w:jc w:val="right"/>
              <w:rPr>
                <w:rFonts w:cs="Arial"/>
                <w:sz w:val="18"/>
                <w:szCs w:val="18"/>
              </w:rPr>
            </w:pPr>
            <w:r w:rsidRPr="003E2D55">
              <w:rPr>
                <w:rFonts w:cs="Arial"/>
                <w:sz w:val="18"/>
                <w:szCs w:val="18"/>
              </w:rPr>
              <w:t>736</w:t>
            </w:r>
          </w:p>
        </w:tc>
        <w:tc>
          <w:tcPr>
            <w:tcW w:w="1134" w:type="dxa"/>
            <w:tcBorders>
              <w:top w:val="nil"/>
              <w:left w:val="nil"/>
              <w:bottom w:val="nil"/>
              <w:right w:val="nil"/>
            </w:tcBorders>
            <w:vAlign w:val="bottom"/>
          </w:tcPr>
          <w:p w14:paraId="7C84A097" w14:textId="6664326E" w:rsidR="00A26814" w:rsidRPr="003E2D55" w:rsidRDefault="00A26814" w:rsidP="00A26814">
            <w:pPr>
              <w:spacing w:before="40" w:after="20"/>
              <w:jc w:val="right"/>
              <w:rPr>
                <w:rFonts w:cs="Arial"/>
                <w:sz w:val="18"/>
                <w:szCs w:val="18"/>
              </w:rPr>
            </w:pPr>
            <w:r w:rsidRPr="003E2D55">
              <w:rPr>
                <w:rFonts w:cs="Arial"/>
                <w:sz w:val="18"/>
                <w:szCs w:val="18"/>
              </w:rPr>
              <w:t>0</w:t>
            </w:r>
          </w:p>
        </w:tc>
        <w:tc>
          <w:tcPr>
            <w:tcW w:w="1247" w:type="dxa"/>
            <w:tcBorders>
              <w:top w:val="nil"/>
              <w:left w:val="nil"/>
              <w:bottom w:val="nil"/>
              <w:right w:val="nil"/>
            </w:tcBorders>
            <w:vAlign w:val="bottom"/>
          </w:tcPr>
          <w:p w14:paraId="0711C09D" w14:textId="2CEF977B" w:rsidR="00A26814" w:rsidRPr="003E2D55" w:rsidRDefault="00A26814" w:rsidP="00A26814">
            <w:pPr>
              <w:spacing w:before="40" w:after="20"/>
              <w:jc w:val="right"/>
              <w:rPr>
                <w:rFonts w:cs="Arial"/>
                <w:b/>
                <w:sz w:val="18"/>
                <w:szCs w:val="18"/>
              </w:rPr>
            </w:pPr>
            <w:r w:rsidRPr="003E2D55">
              <w:rPr>
                <w:rFonts w:cs="Arial"/>
                <w:b/>
                <w:sz w:val="18"/>
                <w:szCs w:val="18"/>
              </w:rPr>
              <w:t>736</w:t>
            </w:r>
          </w:p>
        </w:tc>
        <w:tc>
          <w:tcPr>
            <w:tcW w:w="1247" w:type="dxa"/>
            <w:tcBorders>
              <w:top w:val="nil"/>
              <w:left w:val="nil"/>
              <w:bottom w:val="nil"/>
              <w:right w:val="nil"/>
            </w:tcBorders>
            <w:shd w:val="clear" w:color="auto" w:fill="auto"/>
            <w:vAlign w:val="bottom"/>
          </w:tcPr>
          <w:p w14:paraId="4F16EEF9" w14:textId="7E930446" w:rsidR="00A26814" w:rsidRPr="003E2D55" w:rsidRDefault="00A26814" w:rsidP="00A26814">
            <w:pPr>
              <w:spacing w:before="40" w:after="20"/>
              <w:jc w:val="right"/>
              <w:rPr>
                <w:rFonts w:cs="Arial"/>
                <w:b/>
                <w:sz w:val="18"/>
                <w:szCs w:val="18"/>
              </w:rPr>
            </w:pPr>
            <w:r w:rsidRPr="003E2D55">
              <w:rPr>
                <w:rFonts w:cs="Arial"/>
                <w:b/>
                <w:sz w:val="18"/>
                <w:szCs w:val="18"/>
              </w:rPr>
              <w:t>108</w:t>
            </w:r>
          </w:p>
        </w:tc>
        <w:tc>
          <w:tcPr>
            <w:tcW w:w="1021" w:type="dxa"/>
            <w:tcBorders>
              <w:top w:val="nil"/>
              <w:left w:val="nil"/>
              <w:bottom w:val="nil"/>
              <w:right w:val="nil"/>
            </w:tcBorders>
            <w:shd w:val="clear" w:color="auto" w:fill="auto"/>
            <w:vAlign w:val="bottom"/>
          </w:tcPr>
          <w:p w14:paraId="3DDA992E" w14:textId="6917F347" w:rsidR="00A26814" w:rsidRPr="003E2D55" w:rsidRDefault="00A26814" w:rsidP="00A26814">
            <w:pPr>
              <w:spacing w:before="40" w:after="20"/>
              <w:jc w:val="right"/>
              <w:rPr>
                <w:rFonts w:cs="Arial"/>
                <w:sz w:val="18"/>
                <w:szCs w:val="18"/>
              </w:rPr>
            </w:pPr>
            <w:r w:rsidRPr="003E2D55">
              <w:rPr>
                <w:rFonts w:cs="Arial"/>
                <w:sz w:val="18"/>
                <w:szCs w:val="18"/>
              </w:rPr>
              <w:t>0</w:t>
            </w:r>
          </w:p>
        </w:tc>
        <w:tc>
          <w:tcPr>
            <w:tcW w:w="1021" w:type="dxa"/>
            <w:tcBorders>
              <w:top w:val="nil"/>
              <w:left w:val="nil"/>
              <w:bottom w:val="nil"/>
              <w:right w:val="nil"/>
            </w:tcBorders>
            <w:shd w:val="clear" w:color="auto" w:fill="auto"/>
            <w:vAlign w:val="bottom"/>
          </w:tcPr>
          <w:p w14:paraId="06334192" w14:textId="56DCE2C1" w:rsidR="00A26814" w:rsidRPr="003E2D55" w:rsidRDefault="00A26814" w:rsidP="00A26814">
            <w:pPr>
              <w:spacing w:before="40" w:after="20"/>
              <w:jc w:val="right"/>
              <w:rPr>
                <w:rFonts w:cs="Arial"/>
                <w:sz w:val="18"/>
                <w:szCs w:val="18"/>
              </w:rPr>
            </w:pPr>
            <w:r w:rsidRPr="003E2D55">
              <w:rPr>
                <w:rFonts w:cs="Arial"/>
                <w:sz w:val="18"/>
                <w:szCs w:val="18"/>
              </w:rPr>
              <w:t>260</w:t>
            </w:r>
          </w:p>
        </w:tc>
      </w:tr>
      <w:tr w:rsidR="00A26814" w:rsidRPr="003E2D55" w14:paraId="0E2ABA5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DFFF9D2" w14:textId="77777777" w:rsidR="00A26814" w:rsidRPr="003E2D55" w:rsidRDefault="00A26814" w:rsidP="00A26814">
            <w:pPr>
              <w:spacing w:before="40" w:after="20"/>
              <w:rPr>
                <w:rFonts w:cs="Arial"/>
                <w:sz w:val="18"/>
                <w:szCs w:val="18"/>
              </w:rPr>
            </w:pPr>
            <w:r w:rsidRPr="003E2D55">
              <w:rPr>
                <w:rFonts w:cs="Arial"/>
                <w:sz w:val="18"/>
                <w:szCs w:val="18"/>
              </w:rPr>
              <w:t>Moonee Valley C</w:t>
            </w:r>
          </w:p>
        </w:tc>
        <w:tc>
          <w:tcPr>
            <w:tcW w:w="1134" w:type="dxa"/>
            <w:tcBorders>
              <w:top w:val="nil"/>
              <w:left w:val="single" w:sz="18" w:space="0" w:color="5F497A" w:themeColor="accent4" w:themeShade="BF"/>
              <w:bottom w:val="nil"/>
              <w:right w:val="nil"/>
            </w:tcBorders>
            <w:shd w:val="clear" w:color="auto" w:fill="auto"/>
            <w:vAlign w:val="bottom"/>
          </w:tcPr>
          <w:p w14:paraId="701FD4C3" w14:textId="72F3D888" w:rsidR="00A26814" w:rsidRPr="003E2D55" w:rsidRDefault="00A26814" w:rsidP="00A26814">
            <w:pPr>
              <w:spacing w:before="40" w:after="20"/>
              <w:jc w:val="right"/>
              <w:rPr>
                <w:rFonts w:cs="Arial"/>
                <w:sz w:val="18"/>
                <w:szCs w:val="18"/>
              </w:rPr>
            </w:pPr>
            <w:r w:rsidRPr="003E2D55">
              <w:rPr>
                <w:rFonts w:cs="Arial"/>
                <w:sz w:val="18"/>
                <w:szCs w:val="18"/>
              </w:rPr>
              <w:t>421</w:t>
            </w:r>
          </w:p>
        </w:tc>
        <w:tc>
          <w:tcPr>
            <w:tcW w:w="1134" w:type="dxa"/>
            <w:tcBorders>
              <w:top w:val="nil"/>
              <w:left w:val="nil"/>
              <w:bottom w:val="nil"/>
              <w:right w:val="nil"/>
            </w:tcBorders>
            <w:vAlign w:val="bottom"/>
          </w:tcPr>
          <w:p w14:paraId="10323720" w14:textId="0FC6D21E" w:rsidR="00A26814" w:rsidRPr="003E2D55" w:rsidRDefault="00A26814" w:rsidP="00A26814">
            <w:pPr>
              <w:spacing w:before="40" w:after="20"/>
              <w:jc w:val="right"/>
              <w:rPr>
                <w:rFonts w:cs="Arial"/>
                <w:sz w:val="18"/>
                <w:szCs w:val="18"/>
              </w:rPr>
            </w:pPr>
            <w:r w:rsidRPr="003E2D55">
              <w:rPr>
                <w:rFonts w:cs="Arial"/>
                <w:sz w:val="18"/>
                <w:szCs w:val="18"/>
              </w:rPr>
              <w:t>0</w:t>
            </w:r>
          </w:p>
        </w:tc>
        <w:tc>
          <w:tcPr>
            <w:tcW w:w="1247" w:type="dxa"/>
            <w:tcBorders>
              <w:top w:val="nil"/>
              <w:left w:val="nil"/>
              <w:bottom w:val="nil"/>
              <w:right w:val="nil"/>
            </w:tcBorders>
            <w:vAlign w:val="bottom"/>
          </w:tcPr>
          <w:p w14:paraId="71798AE2" w14:textId="5977945A" w:rsidR="00A26814" w:rsidRPr="003E2D55" w:rsidRDefault="00A26814" w:rsidP="00A26814">
            <w:pPr>
              <w:spacing w:before="40" w:after="20"/>
              <w:jc w:val="right"/>
              <w:rPr>
                <w:rFonts w:cs="Arial"/>
                <w:b/>
                <w:sz w:val="18"/>
                <w:szCs w:val="18"/>
              </w:rPr>
            </w:pPr>
            <w:r w:rsidRPr="003E2D55">
              <w:rPr>
                <w:rFonts w:cs="Arial"/>
                <w:b/>
                <w:sz w:val="18"/>
                <w:szCs w:val="18"/>
              </w:rPr>
              <w:t>421</w:t>
            </w:r>
          </w:p>
        </w:tc>
        <w:tc>
          <w:tcPr>
            <w:tcW w:w="1247" w:type="dxa"/>
            <w:tcBorders>
              <w:top w:val="nil"/>
              <w:left w:val="nil"/>
              <w:bottom w:val="nil"/>
              <w:right w:val="nil"/>
            </w:tcBorders>
            <w:shd w:val="clear" w:color="auto" w:fill="auto"/>
            <w:vAlign w:val="bottom"/>
          </w:tcPr>
          <w:p w14:paraId="5ED1EC26" w14:textId="5B831729" w:rsidR="00A26814" w:rsidRPr="003E2D55" w:rsidRDefault="00A26814" w:rsidP="00A26814">
            <w:pPr>
              <w:spacing w:before="40" w:after="20"/>
              <w:jc w:val="right"/>
              <w:rPr>
                <w:rFonts w:cs="Arial"/>
                <w:b/>
                <w:sz w:val="18"/>
                <w:szCs w:val="18"/>
              </w:rPr>
            </w:pPr>
            <w:r w:rsidRPr="003E2D55">
              <w:rPr>
                <w:rFonts w:cs="Arial"/>
                <w:b/>
                <w:sz w:val="18"/>
                <w:szCs w:val="18"/>
              </w:rPr>
              <w:t>48</w:t>
            </w:r>
          </w:p>
        </w:tc>
        <w:tc>
          <w:tcPr>
            <w:tcW w:w="1021" w:type="dxa"/>
            <w:tcBorders>
              <w:top w:val="nil"/>
              <w:left w:val="nil"/>
              <w:bottom w:val="nil"/>
              <w:right w:val="nil"/>
            </w:tcBorders>
            <w:shd w:val="clear" w:color="auto" w:fill="auto"/>
            <w:vAlign w:val="bottom"/>
          </w:tcPr>
          <w:p w14:paraId="365D44F2" w14:textId="4F1C7143" w:rsidR="00A26814" w:rsidRPr="003E2D55" w:rsidRDefault="00A26814" w:rsidP="00A26814">
            <w:pPr>
              <w:spacing w:before="40" w:after="20"/>
              <w:jc w:val="right"/>
              <w:rPr>
                <w:rFonts w:cs="Arial"/>
                <w:sz w:val="18"/>
                <w:szCs w:val="18"/>
              </w:rPr>
            </w:pPr>
            <w:r w:rsidRPr="003E2D55">
              <w:rPr>
                <w:rFonts w:cs="Arial"/>
                <w:sz w:val="18"/>
                <w:szCs w:val="18"/>
              </w:rPr>
              <w:t>0</w:t>
            </w:r>
          </w:p>
        </w:tc>
        <w:tc>
          <w:tcPr>
            <w:tcW w:w="1021" w:type="dxa"/>
            <w:tcBorders>
              <w:top w:val="nil"/>
              <w:left w:val="nil"/>
              <w:bottom w:val="nil"/>
              <w:right w:val="nil"/>
            </w:tcBorders>
            <w:shd w:val="clear" w:color="auto" w:fill="auto"/>
            <w:vAlign w:val="bottom"/>
          </w:tcPr>
          <w:p w14:paraId="332ADB45" w14:textId="1131EA5D" w:rsidR="00A26814" w:rsidRPr="003E2D55" w:rsidRDefault="00A26814" w:rsidP="00A26814">
            <w:pPr>
              <w:spacing w:before="40" w:after="20"/>
              <w:jc w:val="right"/>
              <w:rPr>
                <w:rFonts w:cs="Arial"/>
                <w:sz w:val="18"/>
                <w:szCs w:val="18"/>
              </w:rPr>
            </w:pPr>
            <w:r w:rsidRPr="003E2D55">
              <w:rPr>
                <w:rFonts w:cs="Arial"/>
                <w:sz w:val="18"/>
                <w:szCs w:val="18"/>
              </w:rPr>
              <w:t>1,127</w:t>
            </w:r>
          </w:p>
        </w:tc>
      </w:tr>
      <w:tr w:rsidR="00A26814" w:rsidRPr="003E2D55" w14:paraId="2DA6C84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83C4287" w14:textId="77777777" w:rsidR="00A26814" w:rsidRPr="003E2D55" w:rsidRDefault="00A26814" w:rsidP="00A26814">
            <w:pPr>
              <w:spacing w:before="40" w:after="20"/>
              <w:rPr>
                <w:rFonts w:cs="Arial"/>
                <w:sz w:val="18"/>
                <w:szCs w:val="18"/>
              </w:rPr>
            </w:pPr>
            <w:r w:rsidRPr="003E2D55">
              <w:rPr>
                <w:rFonts w:cs="Arial"/>
                <w:sz w:val="18"/>
                <w:szCs w:val="18"/>
              </w:rPr>
              <w:t>Moorabool S</w:t>
            </w:r>
          </w:p>
        </w:tc>
        <w:tc>
          <w:tcPr>
            <w:tcW w:w="1134" w:type="dxa"/>
            <w:tcBorders>
              <w:top w:val="nil"/>
              <w:left w:val="single" w:sz="18" w:space="0" w:color="5F497A" w:themeColor="accent4" w:themeShade="BF"/>
              <w:bottom w:val="nil"/>
              <w:right w:val="nil"/>
            </w:tcBorders>
            <w:shd w:val="clear" w:color="auto" w:fill="auto"/>
            <w:vAlign w:val="bottom"/>
          </w:tcPr>
          <w:p w14:paraId="5AD0E61F" w14:textId="42F8AF27" w:rsidR="00A26814" w:rsidRPr="003E2D55" w:rsidRDefault="00A26814" w:rsidP="00A26814">
            <w:pPr>
              <w:spacing w:before="40" w:after="20"/>
              <w:jc w:val="right"/>
              <w:rPr>
                <w:rFonts w:cs="Arial"/>
                <w:sz w:val="18"/>
                <w:szCs w:val="18"/>
              </w:rPr>
            </w:pPr>
            <w:r w:rsidRPr="003E2D55">
              <w:rPr>
                <w:rFonts w:cs="Arial"/>
                <w:sz w:val="18"/>
                <w:szCs w:val="18"/>
              </w:rPr>
              <w:t>163</w:t>
            </w:r>
          </w:p>
        </w:tc>
        <w:tc>
          <w:tcPr>
            <w:tcW w:w="1134" w:type="dxa"/>
            <w:tcBorders>
              <w:top w:val="nil"/>
              <w:left w:val="nil"/>
              <w:bottom w:val="nil"/>
              <w:right w:val="nil"/>
            </w:tcBorders>
            <w:vAlign w:val="bottom"/>
          </w:tcPr>
          <w:p w14:paraId="1B190C21" w14:textId="59643BF0" w:rsidR="00A26814" w:rsidRPr="003E2D55" w:rsidRDefault="00A26814" w:rsidP="00A26814">
            <w:pPr>
              <w:spacing w:before="40" w:after="20"/>
              <w:jc w:val="right"/>
              <w:rPr>
                <w:rFonts w:cs="Arial"/>
                <w:sz w:val="18"/>
                <w:szCs w:val="18"/>
              </w:rPr>
            </w:pPr>
            <w:r w:rsidRPr="003E2D55">
              <w:rPr>
                <w:rFonts w:cs="Arial"/>
                <w:sz w:val="18"/>
                <w:szCs w:val="18"/>
              </w:rPr>
              <w:t>1,359</w:t>
            </w:r>
          </w:p>
        </w:tc>
        <w:tc>
          <w:tcPr>
            <w:tcW w:w="1247" w:type="dxa"/>
            <w:tcBorders>
              <w:top w:val="nil"/>
              <w:left w:val="nil"/>
              <w:bottom w:val="nil"/>
              <w:right w:val="nil"/>
            </w:tcBorders>
            <w:vAlign w:val="bottom"/>
          </w:tcPr>
          <w:p w14:paraId="2AF311CD" w14:textId="755C5F0B" w:rsidR="00A26814" w:rsidRPr="003E2D55" w:rsidRDefault="00A26814" w:rsidP="00A26814">
            <w:pPr>
              <w:spacing w:before="40" w:after="20"/>
              <w:jc w:val="right"/>
              <w:rPr>
                <w:rFonts w:cs="Arial"/>
                <w:b/>
                <w:sz w:val="18"/>
                <w:szCs w:val="18"/>
              </w:rPr>
            </w:pPr>
            <w:r w:rsidRPr="003E2D55">
              <w:rPr>
                <w:rFonts w:cs="Arial"/>
                <w:b/>
                <w:sz w:val="18"/>
                <w:szCs w:val="18"/>
              </w:rPr>
              <w:t>1,522</w:t>
            </w:r>
          </w:p>
        </w:tc>
        <w:tc>
          <w:tcPr>
            <w:tcW w:w="1247" w:type="dxa"/>
            <w:tcBorders>
              <w:top w:val="nil"/>
              <w:left w:val="nil"/>
              <w:bottom w:val="nil"/>
              <w:right w:val="nil"/>
            </w:tcBorders>
            <w:shd w:val="clear" w:color="auto" w:fill="auto"/>
            <w:vAlign w:val="bottom"/>
          </w:tcPr>
          <w:p w14:paraId="49FEA7B6" w14:textId="73B728AC" w:rsidR="00A26814" w:rsidRPr="003E2D55" w:rsidRDefault="00A26814" w:rsidP="00A26814">
            <w:pPr>
              <w:spacing w:before="40" w:after="20"/>
              <w:jc w:val="right"/>
              <w:rPr>
                <w:rFonts w:cs="Arial"/>
                <w:b/>
                <w:sz w:val="18"/>
                <w:szCs w:val="18"/>
              </w:rPr>
            </w:pPr>
            <w:r w:rsidRPr="003E2D55">
              <w:rPr>
                <w:rFonts w:cs="Arial"/>
                <w:b/>
                <w:sz w:val="18"/>
                <w:szCs w:val="18"/>
              </w:rPr>
              <w:t>681</w:t>
            </w:r>
          </w:p>
        </w:tc>
        <w:tc>
          <w:tcPr>
            <w:tcW w:w="1021" w:type="dxa"/>
            <w:tcBorders>
              <w:top w:val="nil"/>
              <w:left w:val="nil"/>
              <w:bottom w:val="nil"/>
              <w:right w:val="nil"/>
            </w:tcBorders>
            <w:shd w:val="clear" w:color="auto" w:fill="auto"/>
            <w:vAlign w:val="bottom"/>
          </w:tcPr>
          <w:p w14:paraId="4974BA79" w14:textId="54A03C1B" w:rsidR="00A26814" w:rsidRPr="003E2D55" w:rsidRDefault="00A26814" w:rsidP="00A26814">
            <w:pPr>
              <w:spacing w:before="40" w:after="20"/>
              <w:jc w:val="right"/>
              <w:rPr>
                <w:rFonts w:cs="Arial"/>
                <w:sz w:val="18"/>
                <w:szCs w:val="18"/>
              </w:rPr>
            </w:pPr>
            <w:r w:rsidRPr="003E2D55">
              <w:rPr>
                <w:rFonts w:cs="Arial"/>
                <w:sz w:val="18"/>
                <w:szCs w:val="18"/>
              </w:rPr>
              <w:t>40</w:t>
            </w:r>
          </w:p>
        </w:tc>
        <w:tc>
          <w:tcPr>
            <w:tcW w:w="1021" w:type="dxa"/>
            <w:tcBorders>
              <w:top w:val="nil"/>
              <w:left w:val="nil"/>
              <w:bottom w:val="nil"/>
              <w:right w:val="nil"/>
            </w:tcBorders>
            <w:shd w:val="clear" w:color="auto" w:fill="auto"/>
            <w:vAlign w:val="bottom"/>
          </w:tcPr>
          <w:p w14:paraId="1E228721" w14:textId="222EA7C2" w:rsidR="00A26814" w:rsidRPr="003E2D55" w:rsidRDefault="00A26814" w:rsidP="00A26814">
            <w:pPr>
              <w:spacing w:before="40" w:after="20"/>
              <w:jc w:val="right"/>
              <w:rPr>
                <w:rFonts w:cs="Arial"/>
                <w:sz w:val="18"/>
                <w:szCs w:val="18"/>
              </w:rPr>
            </w:pPr>
            <w:r w:rsidRPr="003E2D55">
              <w:rPr>
                <w:rFonts w:cs="Arial"/>
                <w:sz w:val="18"/>
                <w:szCs w:val="18"/>
              </w:rPr>
              <w:t>7,944</w:t>
            </w:r>
          </w:p>
        </w:tc>
      </w:tr>
      <w:tr w:rsidR="00A26814" w:rsidRPr="003E2D55" w14:paraId="16EEDDF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25EADC6" w14:textId="77777777" w:rsidR="00A26814" w:rsidRPr="003E2D55" w:rsidRDefault="00A26814" w:rsidP="00A26814">
            <w:pPr>
              <w:spacing w:before="40" w:after="20"/>
              <w:rPr>
                <w:rFonts w:cs="Arial"/>
                <w:sz w:val="18"/>
                <w:szCs w:val="18"/>
              </w:rPr>
            </w:pPr>
            <w:r w:rsidRPr="003E2D55">
              <w:rPr>
                <w:rFonts w:cs="Arial"/>
                <w:sz w:val="18"/>
                <w:szCs w:val="18"/>
              </w:rPr>
              <w:t>Moreland C</w:t>
            </w:r>
          </w:p>
        </w:tc>
        <w:tc>
          <w:tcPr>
            <w:tcW w:w="1134" w:type="dxa"/>
            <w:tcBorders>
              <w:top w:val="nil"/>
              <w:left w:val="single" w:sz="18" w:space="0" w:color="5F497A" w:themeColor="accent4" w:themeShade="BF"/>
              <w:bottom w:val="nil"/>
              <w:right w:val="nil"/>
            </w:tcBorders>
            <w:shd w:val="clear" w:color="auto" w:fill="auto"/>
            <w:vAlign w:val="bottom"/>
          </w:tcPr>
          <w:p w14:paraId="353D7E8A" w14:textId="72E6900B" w:rsidR="00A26814" w:rsidRPr="003E2D55" w:rsidRDefault="00A26814" w:rsidP="00A26814">
            <w:pPr>
              <w:spacing w:before="40" w:after="20"/>
              <w:jc w:val="right"/>
              <w:rPr>
                <w:rFonts w:cs="Arial"/>
                <w:sz w:val="18"/>
                <w:szCs w:val="18"/>
              </w:rPr>
            </w:pPr>
            <w:r w:rsidRPr="003E2D55">
              <w:rPr>
                <w:rFonts w:cs="Arial"/>
                <w:sz w:val="18"/>
                <w:szCs w:val="18"/>
              </w:rPr>
              <w:t>521</w:t>
            </w:r>
          </w:p>
        </w:tc>
        <w:tc>
          <w:tcPr>
            <w:tcW w:w="1134" w:type="dxa"/>
            <w:tcBorders>
              <w:top w:val="nil"/>
              <w:left w:val="nil"/>
              <w:bottom w:val="nil"/>
              <w:right w:val="nil"/>
            </w:tcBorders>
            <w:vAlign w:val="bottom"/>
          </w:tcPr>
          <w:p w14:paraId="132C467B" w14:textId="1230FCA5" w:rsidR="00A26814" w:rsidRPr="003E2D55" w:rsidRDefault="00A26814" w:rsidP="00A26814">
            <w:pPr>
              <w:spacing w:before="40" w:after="20"/>
              <w:jc w:val="right"/>
              <w:rPr>
                <w:rFonts w:cs="Arial"/>
                <w:sz w:val="18"/>
                <w:szCs w:val="18"/>
              </w:rPr>
            </w:pPr>
            <w:r w:rsidRPr="003E2D55">
              <w:rPr>
                <w:rFonts w:cs="Arial"/>
                <w:sz w:val="18"/>
                <w:szCs w:val="18"/>
              </w:rPr>
              <w:t>0</w:t>
            </w:r>
          </w:p>
        </w:tc>
        <w:tc>
          <w:tcPr>
            <w:tcW w:w="1247" w:type="dxa"/>
            <w:tcBorders>
              <w:top w:val="nil"/>
              <w:left w:val="nil"/>
              <w:bottom w:val="nil"/>
              <w:right w:val="nil"/>
            </w:tcBorders>
            <w:vAlign w:val="bottom"/>
          </w:tcPr>
          <w:p w14:paraId="2498A810" w14:textId="7C590926" w:rsidR="00A26814" w:rsidRPr="003E2D55" w:rsidRDefault="00A26814" w:rsidP="00A26814">
            <w:pPr>
              <w:spacing w:before="40" w:after="20"/>
              <w:jc w:val="right"/>
              <w:rPr>
                <w:rFonts w:cs="Arial"/>
                <w:b/>
                <w:sz w:val="18"/>
                <w:szCs w:val="18"/>
              </w:rPr>
            </w:pPr>
            <w:r w:rsidRPr="003E2D55">
              <w:rPr>
                <w:rFonts w:cs="Arial"/>
                <w:b/>
                <w:sz w:val="18"/>
                <w:szCs w:val="18"/>
              </w:rPr>
              <w:t>521</w:t>
            </w:r>
          </w:p>
        </w:tc>
        <w:tc>
          <w:tcPr>
            <w:tcW w:w="1247" w:type="dxa"/>
            <w:tcBorders>
              <w:top w:val="nil"/>
              <w:left w:val="nil"/>
              <w:bottom w:val="nil"/>
              <w:right w:val="nil"/>
            </w:tcBorders>
            <w:shd w:val="clear" w:color="auto" w:fill="auto"/>
            <w:vAlign w:val="bottom"/>
          </w:tcPr>
          <w:p w14:paraId="0F743D51" w14:textId="7EC0F462" w:rsidR="00A26814" w:rsidRPr="003E2D55" w:rsidRDefault="00A26814" w:rsidP="00A26814">
            <w:pPr>
              <w:spacing w:before="40" w:after="20"/>
              <w:jc w:val="right"/>
              <w:rPr>
                <w:rFonts w:cs="Arial"/>
                <w:b/>
                <w:sz w:val="18"/>
                <w:szCs w:val="18"/>
              </w:rPr>
            </w:pPr>
            <w:r w:rsidRPr="003E2D55">
              <w:rPr>
                <w:rFonts w:cs="Arial"/>
                <w:b/>
                <w:sz w:val="18"/>
                <w:szCs w:val="18"/>
              </w:rPr>
              <w:t>99</w:t>
            </w:r>
          </w:p>
        </w:tc>
        <w:tc>
          <w:tcPr>
            <w:tcW w:w="1021" w:type="dxa"/>
            <w:tcBorders>
              <w:top w:val="nil"/>
              <w:left w:val="nil"/>
              <w:bottom w:val="nil"/>
              <w:right w:val="nil"/>
            </w:tcBorders>
            <w:shd w:val="clear" w:color="auto" w:fill="auto"/>
            <w:vAlign w:val="bottom"/>
          </w:tcPr>
          <w:p w14:paraId="7960F52F" w14:textId="4B6C3DED" w:rsidR="00A26814" w:rsidRPr="003E2D55" w:rsidRDefault="00A26814" w:rsidP="00A26814">
            <w:pPr>
              <w:spacing w:before="40" w:after="20"/>
              <w:jc w:val="right"/>
              <w:rPr>
                <w:rFonts w:cs="Arial"/>
                <w:sz w:val="18"/>
                <w:szCs w:val="18"/>
              </w:rPr>
            </w:pPr>
            <w:r w:rsidRPr="003E2D55">
              <w:rPr>
                <w:rFonts w:cs="Arial"/>
                <w:sz w:val="18"/>
                <w:szCs w:val="18"/>
              </w:rPr>
              <w:t>0</w:t>
            </w:r>
          </w:p>
        </w:tc>
        <w:tc>
          <w:tcPr>
            <w:tcW w:w="1021" w:type="dxa"/>
            <w:tcBorders>
              <w:top w:val="nil"/>
              <w:left w:val="nil"/>
              <w:bottom w:val="nil"/>
              <w:right w:val="nil"/>
            </w:tcBorders>
            <w:shd w:val="clear" w:color="auto" w:fill="auto"/>
            <w:vAlign w:val="bottom"/>
          </w:tcPr>
          <w:p w14:paraId="17AB0516" w14:textId="12907D59" w:rsidR="00A26814" w:rsidRPr="003E2D55" w:rsidRDefault="00A26814" w:rsidP="00A26814">
            <w:pPr>
              <w:spacing w:before="40" w:after="20"/>
              <w:jc w:val="right"/>
              <w:rPr>
                <w:rFonts w:cs="Arial"/>
                <w:sz w:val="18"/>
                <w:szCs w:val="18"/>
              </w:rPr>
            </w:pPr>
            <w:r w:rsidRPr="003E2D55">
              <w:rPr>
                <w:rFonts w:cs="Arial"/>
                <w:sz w:val="18"/>
                <w:szCs w:val="18"/>
              </w:rPr>
              <w:t>894</w:t>
            </w:r>
          </w:p>
        </w:tc>
      </w:tr>
      <w:tr w:rsidR="00A26814" w:rsidRPr="003E2D55" w14:paraId="7D2AB38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4C5C5FC" w14:textId="77777777" w:rsidR="00A26814" w:rsidRPr="003E2D55" w:rsidRDefault="00A26814" w:rsidP="00A26814">
            <w:pPr>
              <w:spacing w:before="40" w:after="20"/>
              <w:rPr>
                <w:rFonts w:cs="Arial"/>
                <w:sz w:val="18"/>
                <w:szCs w:val="18"/>
              </w:rPr>
            </w:pPr>
            <w:r w:rsidRPr="003E2D55">
              <w:rPr>
                <w:rFonts w:cs="Arial"/>
                <w:sz w:val="18"/>
                <w:szCs w:val="18"/>
              </w:rPr>
              <w:t>Mornington Peninsula S</w:t>
            </w:r>
          </w:p>
        </w:tc>
        <w:tc>
          <w:tcPr>
            <w:tcW w:w="1134" w:type="dxa"/>
            <w:tcBorders>
              <w:top w:val="nil"/>
              <w:left w:val="single" w:sz="18" w:space="0" w:color="5F497A" w:themeColor="accent4" w:themeShade="BF"/>
              <w:bottom w:val="nil"/>
              <w:right w:val="nil"/>
            </w:tcBorders>
            <w:shd w:val="clear" w:color="auto" w:fill="auto"/>
            <w:vAlign w:val="bottom"/>
          </w:tcPr>
          <w:p w14:paraId="1249476A" w14:textId="4C25876A" w:rsidR="00A26814" w:rsidRPr="003E2D55" w:rsidRDefault="00A26814" w:rsidP="00A26814">
            <w:pPr>
              <w:spacing w:before="40" w:after="20"/>
              <w:jc w:val="right"/>
              <w:rPr>
                <w:rFonts w:cs="Arial"/>
                <w:sz w:val="18"/>
                <w:szCs w:val="18"/>
              </w:rPr>
            </w:pPr>
            <w:r w:rsidRPr="003E2D55">
              <w:rPr>
                <w:rFonts w:cs="Arial"/>
                <w:sz w:val="18"/>
                <w:szCs w:val="18"/>
              </w:rPr>
              <w:t>1,286</w:t>
            </w:r>
          </w:p>
        </w:tc>
        <w:tc>
          <w:tcPr>
            <w:tcW w:w="1134" w:type="dxa"/>
            <w:tcBorders>
              <w:top w:val="nil"/>
              <w:left w:val="nil"/>
              <w:bottom w:val="nil"/>
              <w:right w:val="nil"/>
            </w:tcBorders>
            <w:vAlign w:val="bottom"/>
          </w:tcPr>
          <w:p w14:paraId="20457272" w14:textId="56C8BD4E" w:rsidR="00A26814" w:rsidRPr="003E2D55" w:rsidRDefault="00A26814" w:rsidP="00A26814">
            <w:pPr>
              <w:spacing w:before="40" w:after="20"/>
              <w:jc w:val="right"/>
              <w:rPr>
                <w:rFonts w:cs="Arial"/>
                <w:sz w:val="18"/>
                <w:szCs w:val="18"/>
              </w:rPr>
            </w:pPr>
            <w:r w:rsidRPr="003E2D55">
              <w:rPr>
                <w:rFonts w:cs="Arial"/>
                <w:sz w:val="18"/>
                <w:szCs w:val="18"/>
              </w:rPr>
              <w:t>416</w:t>
            </w:r>
          </w:p>
        </w:tc>
        <w:tc>
          <w:tcPr>
            <w:tcW w:w="1247" w:type="dxa"/>
            <w:tcBorders>
              <w:top w:val="nil"/>
              <w:left w:val="nil"/>
              <w:bottom w:val="nil"/>
              <w:right w:val="nil"/>
            </w:tcBorders>
            <w:vAlign w:val="bottom"/>
          </w:tcPr>
          <w:p w14:paraId="23443716" w14:textId="6E134455" w:rsidR="00A26814" w:rsidRPr="003E2D55" w:rsidRDefault="00A26814" w:rsidP="00A26814">
            <w:pPr>
              <w:spacing w:before="40" w:after="20"/>
              <w:jc w:val="right"/>
              <w:rPr>
                <w:rFonts w:cs="Arial"/>
                <w:b/>
                <w:sz w:val="18"/>
                <w:szCs w:val="18"/>
              </w:rPr>
            </w:pPr>
            <w:r w:rsidRPr="003E2D55">
              <w:rPr>
                <w:rFonts w:cs="Arial"/>
                <w:b/>
                <w:sz w:val="18"/>
                <w:szCs w:val="18"/>
              </w:rPr>
              <w:t>1,702</w:t>
            </w:r>
          </w:p>
        </w:tc>
        <w:tc>
          <w:tcPr>
            <w:tcW w:w="1247" w:type="dxa"/>
            <w:tcBorders>
              <w:top w:val="nil"/>
              <w:left w:val="nil"/>
              <w:bottom w:val="nil"/>
              <w:right w:val="nil"/>
            </w:tcBorders>
            <w:shd w:val="clear" w:color="auto" w:fill="auto"/>
            <w:vAlign w:val="bottom"/>
          </w:tcPr>
          <w:p w14:paraId="0B021F43" w14:textId="74315967" w:rsidR="00A26814" w:rsidRPr="003E2D55" w:rsidRDefault="00A26814" w:rsidP="00A26814">
            <w:pPr>
              <w:spacing w:before="40" w:after="20"/>
              <w:jc w:val="right"/>
              <w:rPr>
                <w:rFonts w:cs="Arial"/>
                <w:b/>
                <w:sz w:val="18"/>
                <w:szCs w:val="18"/>
              </w:rPr>
            </w:pPr>
            <w:r w:rsidRPr="003E2D55">
              <w:rPr>
                <w:rFonts w:cs="Arial"/>
                <w:b/>
                <w:sz w:val="18"/>
                <w:szCs w:val="18"/>
              </w:rPr>
              <w:t>435</w:t>
            </w:r>
          </w:p>
        </w:tc>
        <w:tc>
          <w:tcPr>
            <w:tcW w:w="1021" w:type="dxa"/>
            <w:tcBorders>
              <w:top w:val="nil"/>
              <w:left w:val="nil"/>
              <w:bottom w:val="nil"/>
              <w:right w:val="nil"/>
            </w:tcBorders>
            <w:shd w:val="clear" w:color="auto" w:fill="auto"/>
            <w:vAlign w:val="bottom"/>
          </w:tcPr>
          <w:p w14:paraId="6B75FFC4" w14:textId="243FAD3F" w:rsidR="00A26814" w:rsidRPr="003E2D55" w:rsidRDefault="00A26814" w:rsidP="00A26814">
            <w:pPr>
              <w:spacing w:before="40" w:after="20"/>
              <w:jc w:val="right"/>
              <w:rPr>
                <w:rFonts w:cs="Arial"/>
                <w:sz w:val="18"/>
                <w:szCs w:val="18"/>
              </w:rPr>
            </w:pPr>
            <w:r w:rsidRPr="003E2D55">
              <w:rPr>
                <w:rFonts w:cs="Arial"/>
                <w:sz w:val="18"/>
                <w:szCs w:val="18"/>
              </w:rPr>
              <w:t>0</w:t>
            </w:r>
          </w:p>
        </w:tc>
        <w:tc>
          <w:tcPr>
            <w:tcW w:w="1021" w:type="dxa"/>
            <w:tcBorders>
              <w:top w:val="nil"/>
              <w:left w:val="nil"/>
              <w:bottom w:val="nil"/>
              <w:right w:val="nil"/>
            </w:tcBorders>
            <w:shd w:val="clear" w:color="auto" w:fill="auto"/>
            <w:vAlign w:val="bottom"/>
          </w:tcPr>
          <w:p w14:paraId="28E1E569" w14:textId="39E601DC" w:rsidR="00A26814" w:rsidRPr="003E2D55" w:rsidRDefault="00A26814" w:rsidP="00A26814">
            <w:pPr>
              <w:spacing w:before="40" w:after="20"/>
              <w:jc w:val="right"/>
              <w:rPr>
                <w:rFonts w:cs="Arial"/>
                <w:sz w:val="18"/>
                <w:szCs w:val="18"/>
              </w:rPr>
            </w:pPr>
            <w:r w:rsidRPr="003E2D55">
              <w:rPr>
                <w:rFonts w:cs="Arial"/>
                <w:sz w:val="18"/>
                <w:szCs w:val="18"/>
              </w:rPr>
              <w:t>590</w:t>
            </w:r>
          </w:p>
        </w:tc>
      </w:tr>
      <w:tr w:rsidR="00A26814" w:rsidRPr="003E2D55" w14:paraId="2742A5C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A3524D7" w14:textId="77777777" w:rsidR="00A26814" w:rsidRPr="003E2D55" w:rsidRDefault="00A26814" w:rsidP="00A26814">
            <w:pPr>
              <w:spacing w:before="40" w:after="20"/>
              <w:rPr>
                <w:rFonts w:cs="Arial"/>
                <w:sz w:val="18"/>
                <w:szCs w:val="18"/>
              </w:rPr>
            </w:pPr>
            <w:r w:rsidRPr="003E2D55">
              <w:rPr>
                <w:rFonts w:cs="Arial"/>
                <w:sz w:val="18"/>
                <w:szCs w:val="18"/>
              </w:rPr>
              <w:t>Mount Alexander S</w:t>
            </w:r>
          </w:p>
        </w:tc>
        <w:tc>
          <w:tcPr>
            <w:tcW w:w="1134" w:type="dxa"/>
            <w:tcBorders>
              <w:top w:val="nil"/>
              <w:left w:val="single" w:sz="18" w:space="0" w:color="5F497A" w:themeColor="accent4" w:themeShade="BF"/>
              <w:bottom w:val="nil"/>
              <w:right w:val="nil"/>
            </w:tcBorders>
            <w:shd w:val="clear" w:color="auto" w:fill="auto"/>
            <w:vAlign w:val="bottom"/>
          </w:tcPr>
          <w:p w14:paraId="13D34950" w14:textId="47E222B3" w:rsidR="00A26814" w:rsidRPr="003E2D55" w:rsidRDefault="00A26814" w:rsidP="00A26814">
            <w:pPr>
              <w:spacing w:before="40" w:after="20"/>
              <w:jc w:val="right"/>
              <w:rPr>
                <w:rFonts w:cs="Arial"/>
                <w:sz w:val="18"/>
                <w:szCs w:val="18"/>
              </w:rPr>
            </w:pPr>
            <w:r w:rsidRPr="003E2D55">
              <w:rPr>
                <w:rFonts w:cs="Arial"/>
                <w:sz w:val="18"/>
                <w:szCs w:val="18"/>
              </w:rPr>
              <w:t>255</w:t>
            </w:r>
          </w:p>
        </w:tc>
        <w:tc>
          <w:tcPr>
            <w:tcW w:w="1134" w:type="dxa"/>
            <w:tcBorders>
              <w:top w:val="nil"/>
              <w:left w:val="nil"/>
              <w:bottom w:val="nil"/>
              <w:right w:val="nil"/>
            </w:tcBorders>
            <w:vAlign w:val="bottom"/>
          </w:tcPr>
          <w:p w14:paraId="2BB0498C" w14:textId="4959F555" w:rsidR="00A26814" w:rsidRPr="003E2D55" w:rsidRDefault="00A26814" w:rsidP="00A26814">
            <w:pPr>
              <w:spacing w:before="40" w:after="20"/>
              <w:jc w:val="right"/>
              <w:rPr>
                <w:rFonts w:cs="Arial"/>
                <w:sz w:val="18"/>
                <w:szCs w:val="18"/>
              </w:rPr>
            </w:pPr>
            <w:r w:rsidRPr="003E2D55">
              <w:rPr>
                <w:rFonts w:cs="Arial"/>
                <w:sz w:val="18"/>
                <w:szCs w:val="18"/>
              </w:rPr>
              <w:t>1,174</w:t>
            </w:r>
          </w:p>
        </w:tc>
        <w:tc>
          <w:tcPr>
            <w:tcW w:w="1247" w:type="dxa"/>
            <w:tcBorders>
              <w:top w:val="nil"/>
              <w:left w:val="nil"/>
              <w:bottom w:val="nil"/>
              <w:right w:val="nil"/>
            </w:tcBorders>
            <w:vAlign w:val="bottom"/>
          </w:tcPr>
          <w:p w14:paraId="25023E47" w14:textId="1B25A296" w:rsidR="00A26814" w:rsidRPr="003E2D55" w:rsidRDefault="00A26814" w:rsidP="00A26814">
            <w:pPr>
              <w:spacing w:before="40" w:after="20"/>
              <w:jc w:val="right"/>
              <w:rPr>
                <w:rFonts w:cs="Arial"/>
                <w:b/>
                <w:sz w:val="18"/>
                <w:szCs w:val="18"/>
              </w:rPr>
            </w:pPr>
            <w:r w:rsidRPr="003E2D55">
              <w:rPr>
                <w:rFonts w:cs="Arial"/>
                <w:b/>
                <w:sz w:val="18"/>
                <w:szCs w:val="18"/>
              </w:rPr>
              <w:t>1,429</w:t>
            </w:r>
          </w:p>
        </w:tc>
        <w:tc>
          <w:tcPr>
            <w:tcW w:w="1247" w:type="dxa"/>
            <w:tcBorders>
              <w:top w:val="nil"/>
              <w:left w:val="nil"/>
              <w:bottom w:val="nil"/>
              <w:right w:val="nil"/>
            </w:tcBorders>
            <w:shd w:val="clear" w:color="auto" w:fill="auto"/>
            <w:vAlign w:val="bottom"/>
          </w:tcPr>
          <w:p w14:paraId="621BE908" w14:textId="0DDB0CC4" w:rsidR="00A26814" w:rsidRPr="003E2D55" w:rsidRDefault="00A26814" w:rsidP="00A26814">
            <w:pPr>
              <w:spacing w:before="40" w:after="20"/>
              <w:jc w:val="right"/>
              <w:rPr>
                <w:rFonts w:cs="Arial"/>
                <w:b/>
                <w:sz w:val="18"/>
                <w:szCs w:val="18"/>
              </w:rPr>
            </w:pPr>
            <w:r w:rsidRPr="003E2D55">
              <w:rPr>
                <w:rFonts w:cs="Arial"/>
                <w:b/>
                <w:sz w:val="18"/>
                <w:szCs w:val="18"/>
              </w:rPr>
              <w:t>307</w:t>
            </w:r>
          </w:p>
        </w:tc>
        <w:tc>
          <w:tcPr>
            <w:tcW w:w="1021" w:type="dxa"/>
            <w:tcBorders>
              <w:top w:val="nil"/>
              <w:left w:val="nil"/>
              <w:bottom w:val="nil"/>
              <w:right w:val="nil"/>
            </w:tcBorders>
            <w:shd w:val="clear" w:color="auto" w:fill="auto"/>
            <w:vAlign w:val="bottom"/>
          </w:tcPr>
          <w:p w14:paraId="63C7BD6F" w14:textId="27857E7E" w:rsidR="00A26814" w:rsidRPr="003E2D55" w:rsidRDefault="00A26814" w:rsidP="00A26814">
            <w:pPr>
              <w:spacing w:before="40" w:after="20"/>
              <w:jc w:val="right"/>
              <w:rPr>
                <w:rFonts w:cs="Arial"/>
                <w:sz w:val="18"/>
                <w:szCs w:val="18"/>
              </w:rPr>
            </w:pPr>
            <w:r w:rsidRPr="003E2D55">
              <w:rPr>
                <w:rFonts w:cs="Arial"/>
                <w:sz w:val="18"/>
                <w:szCs w:val="18"/>
              </w:rPr>
              <w:t>1,407</w:t>
            </w:r>
          </w:p>
        </w:tc>
        <w:tc>
          <w:tcPr>
            <w:tcW w:w="1021" w:type="dxa"/>
            <w:tcBorders>
              <w:top w:val="nil"/>
              <w:left w:val="nil"/>
              <w:bottom w:val="nil"/>
              <w:right w:val="nil"/>
            </w:tcBorders>
            <w:shd w:val="clear" w:color="auto" w:fill="auto"/>
            <w:vAlign w:val="bottom"/>
          </w:tcPr>
          <w:p w14:paraId="00BB29E3" w14:textId="47525F98" w:rsidR="00A26814" w:rsidRPr="003E2D55" w:rsidRDefault="00A26814" w:rsidP="00A26814">
            <w:pPr>
              <w:spacing w:before="40" w:after="20"/>
              <w:jc w:val="right"/>
              <w:rPr>
                <w:rFonts w:cs="Arial"/>
                <w:sz w:val="18"/>
                <w:szCs w:val="18"/>
              </w:rPr>
            </w:pPr>
            <w:r w:rsidRPr="003E2D55">
              <w:rPr>
                <w:rFonts w:cs="Arial"/>
                <w:sz w:val="18"/>
                <w:szCs w:val="18"/>
              </w:rPr>
              <w:t>10,595</w:t>
            </w:r>
          </w:p>
        </w:tc>
      </w:tr>
      <w:tr w:rsidR="00A26814" w:rsidRPr="003E2D55" w14:paraId="4B5BC40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2DECBF7" w14:textId="77777777" w:rsidR="00A26814" w:rsidRPr="003E2D55" w:rsidRDefault="00A26814" w:rsidP="00A26814">
            <w:pPr>
              <w:spacing w:before="40" w:after="20"/>
              <w:rPr>
                <w:rFonts w:cs="Arial"/>
                <w:sz w:val="18"/>
                <w:szCs w:val="18"/>
              </w:rPr>
            </w:pPr>
            <w:r w:rsidRPr="003E2D55">
              <w:rPr>
                <w:rFonts w:cs="Arial"/>
                <w:sz w:val="18"/>
                <w:szCs w:val="18"/>
              </w:rPr>
              <w:t>Moyne S</w:t>
            </w:r>
          </w:p>
        </w:tc>
        <w:tc>
          <w:tcPr>
            <w:tcW w:w="1134" w:type="dxa"/>
            <w:tcBorders>
              <w:top w:val="nil"/>
              <w:left w:val="single" w:sz="18" w:space="0" w:color="5F497A" w:themeColor="accent4" w:themeShade="BF"/>
              <w:bottom w:val="nil"/>
              <w:right w:val="nil"/>
            </w:tcBorders>
            <w:shd w:val="clear" w:color="auto" w:fill="auto"/>
            <w:vAlign w:val="bottom"/>
          </w:tcPr>
          <w:p w14:paraId="78438DB1" w14:textId="3E2A306C" w:rsidR="00A26814" w:rsidRPr="003E2D55" w:rsidRDefault="00A26814" w:rsidP="00A26814">
            <w:pPr>
              <w:spacing w:before="40" w:after="20"/>
              <w:jc w:val="right"/>
              <w:rPr>
                <w:rFonts w:cs="Arial"/>
                <w:sz w:val="18"/>
                <w:szCs w:val="18"/>
              </w:rPr>
            </w:pPr>
            <w:r w:rsidRPr="003E2D55">
              <w:rPr>
                <w:rFonts w:cs="Arial"/>
                <w:sz w:val="18"/>
                <w:szCs w:val="18"/>
              </w:rPr>
              <w:t>160</w:t>
            </w:r>
          </w:p>
        </w:tc>
        <w:tc>
          <w:tcPr>
            <w:tcW w:w="1134" w:type="dxa"/>
            <w:tcBorders>
              <w:top w:val="nil"/>
              <w:left w:val="nil"/>
              <w:bottom w:val="nil"/>
              <w:right w:val="nil"/>
            </w:tcBorders>
            <w:vAlign w:val="bottom"/>
          </w:tcPr>
          <w:p w14:paraId="529FC86B" w14:textId="73906FC8" w:rsidR="00A26814" w:rsidRPr="003E2D55" w:rsidRDefault="00A26814" w:rsidP="00A26814">
            <w:pPr>
              <w:spacing w:before="40" w:after="20"/>
              <w:jc w:val="right"/>
              <w:rPr>
                <w:rFonts w:cs="Arial"/>
                <w:sz w:val="18"/>
                <w:szCs w:val="18"/>
              </w:rPr>
            </w:pPr>
            <w:r w:rsidRPr="003E2D55">
              <w:rPr>
                <w:rFonts w:cs="Arial"/>
                <w:sz w:val="18"/>
                <w:szCs w:val="18"/>
              </w:rPr>
              <w:t>2,588</w:t>
            </w:r>
          </w:p>
        </w:tc>
        <w:tc>
          <w:tcPr>
            <w:tcW w:w="1247" w:type="dxa"/>
            <w:tcBorders>
              <w:top w:val="nil"/>
              <w:left w:val="nil"/>
              <w:bottom w:val="nil"/>
              <w:right w:val="nil"/>
            </w:tcBorders>
            <w:vAlign w:val="bottom"/>
          </w:tcPr>
          <w:p w14:paraId="56D89A4B" w14:textId="071D2F9D" w:rsidR="00A26814" w:rsidRPr="003E2D55" w:rsidRDefault="00A26814" w:rsidP="00A26814">
            <w:pPr>
              <w:spacing w:before="40" w:after="20"/>
              <w:jc w:val="right"/>
              <w:rPr>
                <w:rFonts w:cs="Arial"/>
                <w:b/>
                <w:sz w:val="18"/>
                <w:szCs w:val="18"/>
              </w:rPr>
            </w:pPr>
            <w:r w:rsidRPr="003E2D55">
              <w:rPr>
                <w:rFonts w:cs="Arial"/>
                <w:b/>
                <w:sz w:val="18"/>
                <w:szCs w:val="18"/>
              </w:rPr>
              <w:t>2,748</w:t>
            </w:r>
          </w:p>
        </w:tc>
        <w:tc>
          <w:tcPr>
            <w:tcW w:w="1247" w:type="dxa"/>
            <w:tcBorders>
              <w:top w:val="nil"/>
              <w:left w:val="nil"/>
              <w:bottom w:val="nil"/>
              <w:right w:val="nil"/>
            </w:tcBorders>
            <w:shd w:val="clear" w:color="auto" w:fill="auto"/>
            <w:vAlign w:val="bottom"/>
          </w:tcPr>
          <w:p w14:paraId="4EA41EE4" w14:textId="05B85981" w:rsidR="00A26814" w:rsidRPr="003E2D55" w:rsidRDefault="00A26814" w:rsidP="00A26814">
            <w:pPr>
              <w:spacing w:before="40" w:after="20"/>
              <w:jc w:val="right"/>
              <w:rPr>
                <w:rFonts w:cs="Arial"/>
                <w:b/>
                <w:sz w:val="18"/>
                <w:szCs w:val="18"/>
              </w:rPr>
            </w:pPr>
            <w:r w:rsidRPr="003E2D55">
              <w:rPr>
                <w:rFonts w:cs="Arial"/>
                <w:b/>
                <w:sz w:val="18"/>
                <w:szCs w:val="18"/>
              </w:rPr>
              <w:t>1,266</w:t>
            </w:r>
          </w:p>
        </w:tc>
        <w:tc>
          <w:tcPr>
            <w:tcW w:w="1021" w:type="dxa"/>
            <w:tcBorders>
              <w:top w:val="nil"/>
              <w:left w:val="nil"/>
              <w:bottom w:val="nil"/>
              <w:right w:val="nil"/>
            </w:tcBorders>
            <w:shd w:val="clear" w:color="auto" w:fill="auto"/>
            <w:vAlign w:val="bottom"/>
          </w:tcPr>
          <w:p w14:paraId="0941DD09" w14:textId="0C4E5793" w:rsidR="00A26814" w:rsidRPr="003E2D55" w:rsidRDefault="00A26814" w:rsidP="00A26814">
            <w:pPr>
              <w:spacing w:before="40" w:after="20"/>
              <w:jc w:val="right"/>
              <w:rPr>
                <w:rFonts w:cs="Arial"/>
                <w:sz w:val="18"/>
                <w:szCs w:val="18"/>
              </w:rPr>
            </w:pPr>
            <w:r w:rsidRPr="003E2D55">
              <w:rPr>
                <w:rFonts w:cs="Arial"/>
                <w:sz w:val="18"/>
                <w:szCs w:val="18"/>
              </w:rPr>
              <w:t>689</w:t>
            </w:r>
          </w:p>
        </w:tc>
        <w:tc>
          <w:tcPr>
            <w:tcW w:w="1021" w:type="dxa"/>
            <w:tcBorders>
              <w:top w:val="nil"/>
              <w:left w:val="nil"/>
              <w:bottom w:val="nil"/>
              <w:right w:val="nil"/>
            </w:tcBorders>
            <w:shd w:val="clear" w:color="auto" w:fill="auto"/>
            <w:vAlign w:val="bottom"/>
          </w:tcPr>
          <w:p w14:paraId="3EC94B55" w14:textId="34824E3D" w:rsidR="00A26814" w:rsidRPr="003E2D55" w:rsidRDefault="00A26814" w:rsidP="00A26814">
            <w:pPr>
              <w:spacing w:before="40" w:after="20"/>
              <w:jc w:val="right"/>
              <w:rPr>
                <w:rFonts w:cs="Arial"/>
                <w:sz w:val="18"/>
                <w:szCs w:val="18"/>
              </w:rPr>
            </w:pPr>
            <w:r w:rsidRPr="003E2D55">
              <w:rPr>
                <w:rFonts w:cs="Arial"/>
                <w:sz w:val="18"/>
                <w:szCs w:val="18"/>
              </w:rPr>
              <w:t>12,239</w:t>
            </w:r>
          </w:p>
        </w:tc>
      </w:tr>
      <w:tr w:rsidR="00A26814" w:rsidRPr="003E2D55" w14:paraId="6E7394D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A7C640A" w14:textId="77777777" w:rsidR="00A26814" w:rsidRPr="003E2D55" w:rsidRDefault="00A26814" w:rsidP="00A26814">
            <w:pPr>
              <w:spacing w:before="40" w:after="20"/>
              <w:rPr>
                <w:rFonts w:cs="Arial"/>
                <w:sz w:val="18"/>
                <w:szCs w:val="18"/>
              </w:rPr>
            </w:pPr>
            <w:r w:rsidRPr="003E2D55">
              <w:rPr>
                <w:rFonts w:cs="Arial"/>
                <w:sz w:val="18"/>
                <w:szCs w:val="18"/>
              </w:rPr>
              <w:t>Murrindindi S</w:t>
            </w:r>
          </w:p>
        </w:tc>
        <w:tc>
          <w:tcPr>
            <w:tcW w:w="1134" w:type="dxa"/>
            <w:tcBorders>
              <w:top w:val="nil"/>
              <w:left w:val="single" w:sz="18" w:space="0" w:color="5F497A" w:themeColor="accent4" w:themeShade="BF"/>
              <w:bottom w:val="nil"/>
              <w:right w:val="nil"/>
            </w:tcBorders>
            <w:shd w:val="clear" w:color="auto" w:fill="auto"/>
            <w:vAlign w:val="bottom"/>
          </w:tcPr>
          <w:p w14:paraId="31169426" w14:textId="0600379B" w:rsidR="00A26814" w:rsidRPr="003E2D55" w:rsidRDefault="00A26814" w:rsidP="00A26814">
            <w:pPr>
              <w:spacing w:before="40" w:after="20"/>
              <w:jc w:val="right"/>
              <w:rPr>
                <w:rFonts w:cs="Arial"/>
                <w:sz w:val="18"/>
                <w:szCs w:val="18"/>
              </w:rPr>
            </w:pPr>
            <w:r w:rsidRPr="003E2D55">
              <w:rPr>
                <w:rFonts w:cs="Arial"/>
                <w:sz w:val="18"/>
                <w:szCs w:val="18"/>
              </w:rPr>
              <w:t>145</w:t>
            </w:r>
          </w:p>
        </w:tc>
        <w:tc>
          <w:tcPr>
            <w:tcW w:w="1134" w:type="dxa"/>
            <w:tcBorders>
              <w:top w:val="nil"/>
              <w:left w:val="nil"/>
              <w:bottom w:val="nil"/>
              <w:right w:val="nil"/>
            </w:tcBorders>
            <w:vAlign w:val="bottom"/>
          </w:tcPr>
          <w:p w14:paraId="4A3E3857" w14:textId="5161E6B0" w:rsidR="00A26814" w:rsidRPr="003E2D55" w:rsidRDefault="00A26814" w:rsidP="00A26814">
            <w:pPr>
              <w:spacing w:before="40" w:after="20"/>
              <w:jc w:val="right"/>
              <w:rPr>
                <w:rFonts w:cs="Arial"/>
                <w:sz w:val="18"/>
                <w:szCs w:val="18"/>
              </w:rPr>
            </w:pPr>
            <w:r w:rsidRPr="003E2D55">
              <w:rPr>
                <w:rFonts w:cs="Arial"/>
                <w:sz w:val="18"/>
                <w:szCs w:val="18"/>
              </w:rPr>
              <w:t>1,055</w:t>
            </w:r>
          </w:p>
        </w:tc>
        <w:tc>
          <w:tcPr>
            <w:tcW w:w="1247" w:type="dxa"/>
            <w:tcBorders>
              <w:top w:val="nil"/>
              <w:left w:val="nil"/>
              <w:bottom w:val="nil"/>
              <w:right w:val="nil"/>
            </w:tcBorders>
            <w:vAlign w:val="bottom"/>
          </w:tcPr>
          <w:p w14:paraId="500446D5" w14:textId="33DBBC50" w:rsidR="00A26814" w:rsidRPr="003E2D55" w:rsidRDefault="00A26814" w:rsidP="00A26814">
            <w:pPr>
              <w:spacing w:before="40" w:after="20"/>
              <w:jc w:val="right"/>
              <w:rPr>
                <w:rFonts w:cs="Arial"/>
                <w:b/>
                <w:sz w:val="18"/>
                <w:szCs w:val="18"/>
              </w:rPr>
            </w:pPr>
            <w:r w:rsidRPr="003E2D55">
              <w:rPr>
                <w:rFonts w:cs="Arial"/>
                <w:b/>
                <w:sz w:val="18"/>
                <w:szCs w:val="18"/>
              </w:rPr>
              <w:t>1,199</w:t>
            </w:r>
          </w:p>
        </w:tc>
        <w:tc>
          <w:tcPr>
            <w:tcW w:w="1247" w:type="dxa"/>
            <w:tcBorders>
              <w:top w:val="nil"/>
              <w:left w:val="nil"/>
              <w:bottom w:val="nil"/>
              <w:right w:val="nil"/>
            </w:tcBorders>
            <w:shd w:val="clear" w:color="auto" w:fill="auto"/>
            <w:vAlign w:val="bottom"/>
          </w:tcPr>
          <w:p w14:paraId="4F1E426E" w14:textId="0FD422C1" w:rsidR="00A26814" w:rsidRPr="003E2D55" w:rsidRDefault="00A26814" w:rsidP="00A26814">
            <w:pPr>
              <w:spacing w:before="40" w:after="20"/>
              <w:jc w:val="right"/>
              <w:rPr>
                <w:rFonts w:cs="Arial"/>
                <w:b/>
                <w:sz w:val="18"/>
                <w:szCs w:val="18"/>
              </w:rPr>
            </w:pPr>
            <w:r w:rsidRPr="003E2D55">
              <w:rPr>
                <w:rFonts w:cs="Arial"/>
                <w:b/>
                <w:sz w:val="18"/>
                <w:szCs w:val="18"/>
              </w:rPr>
              <w:t>243</w:t>
            </w:r>
          </w:p>
        </w:tc>
        <w:tc>
          <w:tcPr>
            <w:tcW w:w="1021" w:type="dxa"/>
            <w:tcBorders>
              <w:top w:val="nil"/>
              <w:left w:val="nil"/>
              <w:bottom w:val="nil"/>
              <w:right w:val="nil"/>
            </w:tcBorders>
            <w:shd w:val="clear" w:color="auto" w:fill="auto"/>
            <w:vAlign w:val="bottom"/>
          </w:tcPr>
          <w:p w14:paraId="56E742C3" w14:textId="584609D9" w:rsidR="00A26814" w:rsidRPr="003E2D55" w:rsidRDefault="00A26814" w:rsidP="00A26814">
            <w:pPr>
              <w:spacing w:before="40" w:after="20"/>
              <w:jc w:val="right"/>
              <w:rPr>
                <w:rFonts w:cs="Arial"/>
                <w:sz w:val="18"/>
                <w:szCs w:val="18"/>
              </w:rPr>
            </w:pPr>
            <w:r w:rsidRPr="003E2D55">
              <w:rPr>
                <w:rFonts w:cs="Arial"/>
                <w:sz w:val="18"/>
                <w:szCs w:val="18"/>
              </w:rPr>
              <w:t>1,571</w:t>
            </w:r>
          </w:p>
        </w:tc>
        <w:tc>
          <w:tcPr>
            <w:tcW w:w="1021" w:type="dxa"/>
            <w:tcBorders>
              <w:top w:val="nil"/>
              <w:left w:val="nil"/>
              <w:bottom w:val="nil"/>
              <w:right w:val="nil"/>
            </w:tcBorders>
            <w:shd w:val="clear" w:color="auto" w:fill="auto"/>
            <w:vAlign w:val="bottom"/>
          </w:tcPr>
          <w:p w14:paraId="00F913A7" w14:textId="11F4AB77" w:rsidR="00A26814" w:rsidRPr="003E2D55" w:rsidRDefault="00A26814" w:rsidP="00A26814">
            <w:pPr>
              <w:spacing w:before="40" w:after="20"/>
              <w:jc w:val="right"/>
              <w:rPr>
                <w:rFonts w:cs="Arial"/>
                <w:sz w:val="18"/>
                <w:szCs w:val="18"/>
              </w:rPr>
            </w:pPr>
            <w:r w:rsidRPr="003E2D55">
              <w:rPr>
                <w:rFonts w:cs="Arial"/>
                <w:sz w:val="18"/>
                <w:szCs w:val="18"/>
              </w:rPr>
              <w:t>11,123</w:t>
            </w:r>
          </w:p>
        </w:tc>
      </w:tr>
      <w:tr w:rsidR="00A26814" w:rsidRPr="003E2D55" w14:paraId="648FB5A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3226F52" w14:textId="77777777" w:rsidR="00A26814" w:rsidRPr="003E2D55" w:rsidRDefault="00A26814" w:rsidP="00A26814">
            <w:pPr>
              <w:spacing w:before="40" w:after="20"/>
              <w:rPr>
                <w:rFonts w:cs="Arial"/>
                <w:sz w:val="18"/>
                <w:szCs w:val="18"/>
              </w:rPr>
            </w:pPr>
            <w:r w:rsidRPr="003E2D55">
              <w:rPr>
                <w:rFonts w:cs="Arial"/>
                <w:sz w:val="18"/>
                <w:szCs w:val="18"/>
              </w:rPr>
              <w:t>Nillumbik S</w:t>
            </w:r>
          </w:p>
        </w:tc>
        <w:tc>
          <w:tcPr>
            <w:tcW w:w="1134" w:type="dxa"/>
            <w:tcBorders>
              <w:top w:val="nil"/>
              <w:left w:val="single" w:sz="18" w:space="0" w:color="5F497A" w:themeColor="accent4" w:themeShade="BF"/>
              <w:bottom w:val="nil"/>
              <w:right w:val="nil"/>
            </w:tcBorders>
            <w:shd w:val="clear" w:color="auto" w:fill="auto"/>
            <w:vAlign w:val="bottom"/>
          </w:tcPr>
          <w:p w14:paraId="3B159965" w14:textId="7262C1B4" w:rsidR="00A26814" w:rsidRPr="003E2D55" w:rsidRDefault="00A26814" w:rsidP="00A26814">
            <w:pPr>
              <w:spacing w:before="40" w:after="20"/>
              <w:jc w:val="right"/>
              <w:rPr>
                <w:rFonts w:cs="Arial"/>
                <w:sz w:val="18"/>
                <w:szCs w:val="18"/>
              </w:rPr>
            </w:pPr>
            <w:r w:rsidRPr="003E2D55">
              <w:rPr>
                <w:rFonts w:cs="Arial"/>
                <w:sz w:val="18"/>
                <w:szCs w:val="18"/>
              </w:rPr>
              <w:t>320</w:t>
            </w:r>
          </w:p>
        </w:tc>
        <w:tc>
          <w:tcPr>
            <w:tcW w:w="1134" w:type="dxa"/>
            <w:tcBorders>
              <w:top w:val="nil"/>
              <w:left w:val="nil"/>
              <w:bottom w:val="nil"/>
              <w:right w:val="nil"/>
            </w:tcBorders>
            <w:vAlign w:val="bottom"/>
          </w:tcPr>
          <w:p w14:paraId="46AA9427" w14:textId="51AE0F8D" w:rsidR="00A26814" w:rsidRPr="003E2D55" w:rsidRDefault="00A26814" w:rsidP="00A26814">
            <w:pPr>
              <w:spacing w:before="40" w:after="20"/>
              <w:jc w:val="right"/>
              <w:rPr>
                <w:rFonts w:cs="Arial"/>
                <w:sz w:val="18"/>
                <w:szCs w:val="18"/>
              </w:rPr>
            </w:pPr>
            <w:r w:rsidRPr="003E2D55">
              <w:rPr>
                <w:rFonts w:cs="Arial"/>
                <w:sz w:val="18"/>
                <w:szCs w:val="18"/>
              </w:rPr>
              <w:t>454</w:t>
            </w:r>
          </w:p>
        </w:tc>
        <w:tc>
          <w:tcPr>
            <w:tcW w:w="1247" w:type="dxa"/>
            <w:tcBorders>
              <w:top w:val="nil"/>
              <w:left w:val="nil"/>
              <w:bottom w:val="nil"/>
              <w:right w:val="nil"/>
            </w:tcBorders>
            <w:vAlign w:val="bottom"/>
          </w:tcPr>
          <w:p w14:paraId="19027B8E" w14:textId="1D976320" w:rsidR="00A26814" w:rsidRPr="003E2D55" w:rsidRDefault="00A26814" w:rsidP="00A26814">
            <w:pPr>
              <w:spacing w:before="40" w:after="20"/>
              <w:jc w:val="right"/>
              <w:rPr>
                <w:rFonts w:cs="Arial"/>
                <w:b/>
                <w:sz w:val="18"/>
                <w:szCs w:val="18"/>
              </w:rPr>
            </w:pPr>
            <w:r w:rsidRPr="003E2D55">
              <w:rPr>
                <w:rFonts w:cs="Arial"/>
                <w:b/>
                <w:sz w:val="18"/>
                <w:szCs w:val="18"/>
              </w:rPr>
              <w:t>774</w:t>
            </w:r>
          </w:p>
        </w:tc>
        <w:tc>
          <w:tcPr>
            <w:tcW w:w="1247" w:type="dxa"/>
            <w:tcBorders>
              <w:top w:val="nil"/>
              <w:left w:val="nil"/>
              <w:bottom w:val="nil"/>
              <w:right w:val="nil"/>
            </w:tcBorders>
            <w:shd w:val="clear" w:color="auto" w:fill="auto"/>
            <w:vAlign w:val="bottom"/>
          </w:tcPr>
          <w:p w14:paraId="0F4AB2D5" w14:textId="53C2805D" w:rsidR="00A26814" w:rsidRPr="003E2D55" w:rsidRDefault="00A26814" w:rsidP="00A26814">
            <w:pPr>
              <w:spacing w:before="40" w:after="20"/>
              <w:jc w:val="right"/>
              <w:rPr>
                <w:rFonts w:cs="Arial"/>
                <w:b/>
                <w:sz w:val="18"/>
                <w:szCs w:val="18"/>
              </w:rPr>
            </w:pPr>
            <w:r w:rsidRPr="003E2D55">
              <w:rPr>
                <w:rFonts w:cs="Arial"/>
                <w:b/>
                <w:sz w:val="18"/>
                <w:szCs w:val="18"/>
              </w:rPr>
              <w:t>99</w:t>
            </w:r>
          </w:p>
        </w:tc>
        <w:tc>
          <w:tcPr>
            <w:tcW w:w="1021" w:type="dxa"/>
            <w:tcBorders>
              <w:top w:val="nil"/>
              <w:left w:val="nil"/>
              <w:bottom w:val="nil"/>
              <w:right w:val="nil"/>
            </w:tcBorders>
            <w:shd w:val="clear" w:color="auto" w:fill="auto"/>
            <w:vAlign w:val="bottom"/>
          </w:tcPr>
          <w:p w14:paraId="3FBB4A5B" w14:textId="67C36366" w:rsidR="00A26814" w:rsidRPr="003E2D55" w:rsidRDefault="00A26814" w:rsidP="00A26814">
            <w:pPr>
              <w:spacing w:before="40" w:after="20"/>
              <w:jc w:val="right"/>
              <w:rPr>
                <w:rFonts w:cs="Arial"/>
                <w:sz w:val="18"/>
                <w:szCs w:val="18"/>
              </w:rPr>
            </w:pPr>
            <w:r w:rsidRPr="003E2D55">
              <w:rPr>
                <w:rFonts w:cs="Arial"/>
                <w:sz w:val="18"/>
                <w:szCs w:val="18"/>
              </w:rPr>
              <w:t>469</w:t>
            </w:r>
          </w:p>
        </w:tc>
        <w:tc>
          <w:tcPr>
            <w:tcW w:w="1021" w:type="dxa"/>
            <w:tcBorders>
              <w:top w:val="nil"/>
              <w:left w:val="nil"/>
              <w:bottom w:val="nil"/>
              <w:right w:val="nil"/>
            </w:tcBorders>
            <w:shd w:val="clear" w:color="auto" w:fill="auto"/>
            <w:vAlign w:val="bottom"/>
          </w:tcPr>
          <w:p w14:paraId="0F2048A6" w14:textId="4DC9244F" w:rsidR="00A26814" w:rsidRPr="003E2D55" w:rsidRDefault="00A26814" w:rsidP="00A26814">
            <w:pPr>
              <w:spacing w:before="40" w:after="20"/>
              <w:jc w:val="right"/>
              <w:rPr>
                <w:rFonts w:cs="Arial"/>
                <w:sz w:val="18"/>
                <w:szCs w:val="18"/>
              </w:rPr>
            </w:pPr>
            <w:r w:rsidRPr="003E2D55">
              <w:rPr>
                <w:rFonts w:cs="Arial"/>
                <w:sz w:val="18"/>
                <w:szCs w:val="18"/>
              </w:rPr>
              <w:t>3,877</w:t>
            </w:r>
          </w:p>
        </w:tc>
      </w:tr>
      <w:tr w:rsidR="00A26814" w:rsidRPr="003E2D55" w14:paraId="6E0D44B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83803EE" w14:textId="77777777" w:rsidR="00A26814" w:rsidRPr="003E2D55" w:rsidRDefault="00A26814" w:rsidP="00A26814">
            <w:pPr>
              <w:spacing w:before="40" w:after="20"/>
              <w:rPr>
                <w:rFonts w:cs="Arial"/>
                <w:sz w:val="18"/>
                <w:szCs w:val="18"/>
              </w:rPr>
            </w:pPr>
            <w:r w:rsidRPr="003E2D55">
              <w:rPr>
                <w:rFonts w:cs="Arial"/>
                <w:sz w:val="18"/>
                <w:szCs w:val="18"/>
              </w:rPr>
              <w:t>Northern Grampians S</w:t>
            </w:r>
          </w:p>
        </w:tc>
        <w:tc>
          <w:tcPr>
            <w:tcW w:w="1134" w:type="dxa"/>
            <w:tcBorders>
              <w:top w:val="nil"/>
              <w:left w:val="single" w:sz="18" w:space="0" w:color="5F497A" w:themeColor="accent4" w:themeShade="BF"/>
              <w:bottom w:val="nil"/>
              <w:right w:val="nil"/>
            </w:tcBorders>
            <w:shd w:val="clear" w:color="auto" w:fill="auto"/>
            <w:vAlign w:val="bottom"/>
          </w:tcPr>
          <w:p w14:paraId="17FBB9E0" w14:textId="3882C5E3" w:rsidR="00A26814" w:rsidRPr="003E2D55" w:rsidRDefault="00A26814" w:rsidP="00A26814">
            <w:pPr>
              <w:spacing w:before="40" w:after="20"/>
              <w:jc w:val="right"/>
              <w:rPr>
                <w:rFonts w:cs="Arial"/>
                <w:sz w:val="18"/>
                <w:szCs w:val="18"/>
              </w:rPr>
            </w:pPr>
            <w:r w:rsidRPr="003E2D55">
              <w:rPr>
                <w:rFonts w:cs="Arial"/>
                <w:sz w:val="18"/>
                <w:szCs w:val="18"/>
              </w:rPr>
              <w:t>132</w:t>
            </w:r>
          </w:p>
        </w:tc>
        <w:tc>
          <w:tcPr>
            <w:tcW w:w="1134" w:type="dxa"/>
            <w:tcBorders>
              <w:top w:val="nil"/>
              <w:left w:val="nil"/>
              <w:bottom w:val="nil"/>
              <w:right w:val="nil"/>
            </w:tcBorders>
            <w:vAlign w:val="bottom"/>
          </w:tcPr>
          <w:p w14:paraId="2F1675F5" w14:textId="0BEE717B" w:rsidR="00A26814" w:rsidRPr="003E2D55" w:rsidRDefault="00A26814" w:rsidP="00A26814">
            <w:pPr>
              <w:spacing w:before="40" w:after="20"/>
              <w:jc w:val="right"/>
              <w:rPr>
                <w:rFonts w:cs="Arial"/>
                <w:sz w:val="18"/>
                <w:szCs w:val="18"/>
              </w:rPr>
            </w:pPr>
            <w:r w:rsidRPr="003E2D55">
              <w:rPr>
                <w:rFonts w:cs="Arial"/>
                <w:sz w:val="18"/>
                <w:szCs w:val="18"/>
              </w:rPr>
              <w:t>3,294</w:t>
            </w:r>
          </w:p>
        </w:tc>
        <w:tc>
          <w:tcPr>
            <w:tcW w:w="1247" w:type="dxa"/>
            <w:tcBorders>
              <w:top w:val="nil"/>
              <w:left w:val="nil"/>
              <w:bottom w:val="nil"/>
              <w:right w:val="nil"/>
            </w:tcBorders>
            <w:vAlign w:val="bottom"/>
          </w:tcPr>
          <w:p w14:paraId="0BB7F898" w14:textId="55843142" w:rsidR="00A26814" w:rsidRPr="003E2D55" w:rsidRDefault="00A26814" w:rsidP="00A26814">
            <w:pPr>
              <w:spacing w:before="40" w:after="20"/>
              <w:jc w:val="right"/>
              <w:rPr>
                <w:rFonts w:cs="Arial"/>
                <w:b/>
                <w:sz w:val="18"/>
                <w:szCs w:val="18"/>
              </w:rPr>
            </w:pPr>
            <w:r w:rsidRPr="003E2D55">
              <w:rPr>
                <w:rFonts w:cs="Arial"/>
                <w:b/>
                <w:sz w:val="18"/>
                <w:szCs w:val="18"/>
              </w:rPr>
              <w:t>3,426</w:t>
            </w:r>
          </w:p>
        </w:tc>
        <w:tc>
          <w:tcPr>
            <w:tcW w:w="1247" w:type="dxa"/>
            <w:tcBorders>
              <w:top w:val="nil"/>
              <w:left w:val="nil"/>
              <w:bottom w:val="nil"/>
              <w:right w:val="nil"/>
            </w:tcBorders>
            <w:shd w:val="clear" w:color="auto" w:fill="auto"/>
            <w:vAlign w:val="bottom"/>
          </w:tcPr>
          <w:p w14:paraId="2BC8A8BA" w14:textId="4B6285F2" w:rsidR="00A26814" w:rsidRPr="003E2D55" w:rsidRDefault="00A26814" w:rsidP="00A26814">
            <w:pPr>
              <w:spacing w:before="40" w:after="20"/>
              <w:jc w:val="right"/>
              <w:rPr>
                <w:rFonts w:cs="Arial"/>
                <w:b/>
                <w:sz w:val="18"/>
                <w:szCs w:val="18"/>
              </w:rPr>
            </w:pPr>
            <w:r w:rsidRPr="003E2D55">
              <w:rPr>
                <w:rFonts w:cs="Arial"/>
                <w:b/>
                <w:sz w:val="18"/>
                <w:szCs w:val="18"/>
              </w:rPr>
              <w:t>578</w:t>
            </w:r>
          </w:p>
        </w:tc>
        <w:tc>
          <w:tcPr>
            <w:tcW w:w="1021" w:type="dxa"/>
            <w:tcBorders>
              <w:top w:val="nil"/>
              <w:left w:val="nil"/>
              <w:bottom w:val="nil"/>
              <w:right w:val="nil"/>
            </w:tcBorders>
            <w:shd w:val="clear" w:color="auto" w:fill="auto"/>
            <w:vAlign w:val="bottom"/>
          </w:tcPr>
          <w:p w14:paraId="4BFDA250" w14:textId="1DB96E02" w:rsidR="00A26814" w:rsidRPr="003E2D55" w:rsidRDefault="00A26814" w:rsidP="00A26814">
            <w:pPr>
              <w:spacing w:before="40" w:after="20"/>
              <w:jc w:val="right"/>
              <w:rPr>
                <w:rFonts w:cs="Arial"/>
                <w:sz w:val="18"/>
                <w:szCs w:val="18"/>
              </w:rPr>
            </w:pPr>
            <w:r w:rsidRPr="003E2D55">
              <w:rPr>
                <w:rFonts w:cs="Arial"/>
                <w:sz w:val="18"/>
                <w:szCs w:val="18"/>
              </w:rPr>
              <w:t>0</w:t>
            </w:r>
          </w:p>
        </w:tc>
        <w:tc>
          <w:tcPr>
            <w:tcW w:w="1021" w:type="dxa"/>
            <w:tcBorders>
              <w:top w:val="nil"/>
              <w:left w:val="nil"/>
              <w:bottom w:val="nil"/>
              <w:right w:val="nil"/>
            </w:tcBorders>
            <w:shd w:val="clear" w:color="auto" w:fill="auto"/>
            <w:vAlign w:val="bottom"/>
          </w:tcPr>
          <w:p w14:paraId="5C48C07C" w14:textId="6DBDF513" w:rsidR="00A26814" w:rsidRPr="003E2D55" w:rsidRDefault="00A26814" w:rsidP="00A26814">
            <w:pPr>
              <w:spacing w:before="40" w:after="20"/>
              <w:jc w:val="right"/>
              <w:rPr>
                <w:rFonts w:cs="Arial"/>
                <w:sz w:val="18"/>
                <w:szCs w:val="18"/>
              </w:rPr>
            </w:pPr>
            <w:r w:rsidRPr="003E2D55">
              <w:rPr>
                <w:rFonts w:cs="Arial"/>
                <w:sz w:val="18"/>
                <w:szCs w:val="18"/>
              </w:rPr>
              <w:t>17,597</w:t>
            </w:r>
          </w:p>
        </w:tc>
      </w:tr>
      <w:tr w:rsidR="00A26814" w:rsidRPr="003E2D55" w14:paraId="3A7DC08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E110682" w14:textId="77777777" w:rsidR="00A26814" w:rsidRPr="003E2D55" w:rsidRDefault="00A26814" w:rsidP="00A26814">
            <w:pPr>
              <w:spacing w:before="40" w:after="20"/>
              <w:rPr>
                <w:rFonts w:cs="Arial"/>
                <w:sz w:val="18"/>
                <w:szCs w:val="18"/>
              </w:rPr>
            </w:pPr>
            <w:r w:rsidRPr="003E2D55">
              <w:rPr>
                <w:rFonts w:cs="Arial"/>
                <w:sz w:val="18"/>
                <w:szCs w:val="18"/>
              </w:rPr>
              <w:t>Port Phillip C</w:t>
            </w:r>
          </w:p>
        </w:tc>
        <w:tc>
          <w:tcPr>
            <w:tcW w:w="1134" w:type="dxa"/>
            <w:tcBorders>
              <w:top w:val="nil"/>
              <w:left w:val="single" w:sz="18" w:space="0" w:color="5F497A" w:themeColor="accent4" w:themeShade="BF"/>
              <w:bottom w:val="nil"/>
              <w:right w:val="nil"/>
            </w:tcBorders>
            <w:shd w:val="clear" w:color="auto" w:fill="auto"/>
            <w:vAlign w:val="bottom"/>
          </w:tcPr>
          <w:p w14:paraId="3E33525D" w14:textId="2B6FDC81" w:rsidR="00A26814" w:rsidRPr="003E2D55" w:rsidRDefault="00A26814" w:rsidP="00A26814">
            <w:pPr>
              <w:spacing w:before="40" w:after="20"/>
              <w:jc w:val="right"/>
              <w:rPr>
                <w:rFonts w:cs="Arial"/>
                <w:sz w:val="18"/>
                <w:szCs w:val="18"/>
              </w:rPr>
            </w:pPr>
            <w:r w:rsidRPr="003E2D55">
              <w:rPr>
                <w:rFonts w:cs="Arial"/>
                <w:sz w:val="18"/>
                <w:szCs w:val="18"/>
              </w:rPr>
              <w:t>215</w:t>
            </w:r>
          </w:p>
        </w:tc>
        <w:tc>
          <w:tcPr>
            <w:tcW w:w="1134" w:type="dxa"/>
            <w:tcBorders>
              <w:top w:val="nil"/>
              <w:left w:val="nil"/>
              <w:bottom w:val="nil"/>
              <w:right w:val="nil"/>
            </w:tcBorders>
            <w:vAlign w:val="bottom"/>
          </w:tcPr>
          <w:p w14:paraId="51EB88E9" w14:textId="7D6B0B6A" w:rsidR="00A26814" w:rsidRPr="003E2D55" w:rsidRDefault="00A26814" w:rsidP="00A26814">
            <w:pPr>
              <w:spacing w:before="40" w:after="20"/>
              <w:jc w:val="right"/>
              <w:rPr>
                <w:rFonts w:cs="Arial"/>
                <w:sz w:val="18"/>
                <w:szCs w:val="18"/>
              </w:rPr>
            </w:pPr>
            <w:r w:rsidRPr="003E2D55">
              <w:rPr>
                <w:rFonts w:cs="Arial"/>
                <w:sz w:val="18"/>
                <w:szCs w:val="18"/>
              </w:rPr>
              <w:t>0</w:t>
            </w:r>
          </w:p>
        </w:tc>
        <w:tc>
          <w:tcPr>
            <w:tcW w:w="1247" w:type="dxa"/>
            <w:tcBorders>
              <w:top w:val="nil"/>
              <w:left w:val="nil"/>
              <w:bottom w:val="nil"/>
              <w:right w:val="nil"/>
            </w:tcBorders>
            <w:vAlign w:val="bottom"/>
          </w:tcPr>
          <w:p w14:paraId="53F0254A" w14:textId="0EA1D773" w:rsidR="00A26814" w:rsidRPr="003E2D55" w:rsidRDefault="00A26814" w:rsidP="00A26814">
            <w:pPr>
              <w:spacing w:before="40" w:after="20"/>
              <w:jc w:val="right"/>
              <w:rPr>
                <w:rFonts w:cs="Arial"/>
                <w:b/>
                <w:sz w:val="18"/>
                <w:szCs w:val="18"/>
              </w:rPr>
            </w:pPr>
            <w:r w:rsidRPr="003E2D55">
              <w:rPr>
                <w:rFonts w:cs="Arial"/>
                <w:b/>
                <w:sz w:val="18"/>
                <w:szCs w:val="18"/>
              </w:rPr>
              <w:t>215</w:t>
            </w:r>
          </w:p>
        </w:tc>
        <w:tc>
          <w:tcPr>
            <w:tcW w:w="1247" w:type="dxa"/>
            <w:tcBorders>
              <w:top w:val="nil"/>
              <w:left w:val="nil"/>
              <w:bottom w:val="nil"/>
              <w:right w:val="nil"/>
            </w:tcBorders>
            <w:shd w:val="clear" w:color="auto" w:fill="auto"/>
            <w:vAlign w:val="bottom"/>
          </w:tcPr>
          <w:p w14:paraId="3ED36F22" w14:textId="71D306A7" w:rsidR="00A26814" w:rsidRPr="003E2D55" w:rsidRDefault="00A26814" w:rsidP="00A26814">
            <w:pPr>
              <w:spacing w:before="40" w:after="20"/>
              <w:jc w:val="right"/>
              <w:rPr>
                <w:rFonts w:cs="Arial"/>
                <w:b/>
                <w:sz w:val="18"/>
                <w:szCs w:val="18"/>
              </w:rPr>
            </w:pPr>
            <w:r w:rsidRPr="003E2D55">
              <w:rPr>
                <w:rFonts w:cs="Arial"/>
                <w:b/>
                <w:sz w:val="18"/>
                <w:szCs w:val="18"/>
              </w:rPr>
              <w:t>46</w:t>
            </w:r>
          </w:p>
        </w:tc>
        <w:tc>
          <w:tcPr>
            <w:tcW w:w="1021" w:type="dxa"/>
            <w:tcBorders>
              <w:top w:val="nil"/>
              <w:left w:val="nil"/>
              <w:bottom w:val="nil"/>
              <w:right w:val="nil"/>
            </w:tcBorders>
            <w:shd w:val="clear" w:color="auto" w:fill="auto"/>
            <w:vAlign w:val="bottom"/>
          </w:tcPr>
          <w:p w14:paraId="505B50BB" w14:textId="47B3377E" w:rsidR="00A26814" w:rsidRPr="003E2D55" w:rsidRDefault="00A26814" w:rsidP="00A26814">
            <w:pPr>
              <w:spacing w:before="40" w:after="20"/>
              <w:jc w:val="right"/>
              <w:rPr>
                <w:rFonts w:cs="Arial"/>
                <w:sz w:val="18"/>
                <w:szCs w:val="18"/>
              </w:rPr>
            </w:pPr>
            <w:r w:rsidRPr="003E2D55">
              <w:rPr>
                <w:rFonts w:cs="Arial"/>
                <w:sz w:val="18"/>
                <w:szCs w:val="18"/>
              </w:rPr>
              <w:t>328</w:t>
            </w:r>
          </w:p>
        </w:tc>
        <w:tc>
          <w:tcPr>
            <w:tcW w:w="1021" w:type="dxa"/>
            <w:tcBorders>
              <w:top w:val="nil"/>
              <w:left w:val="nil"/>
              <w:bottom w:val="nil"/>
              <w:right w:val="nil"/>
            </w:tcBorders>
            <w:shd w:val="clear" w:color="auto" w:fill="auto"/>
            <w:vAlign w:val="bottom"/>
          </w:tcPr>
          <w:p w14:paraId="5A34E68E" w14:textId="4164BC4F" w:rsidR="00A26814" w:rsidRPr="003E2D55" w:rsidRDefault="00A26814" w:rsidP="00A26814">
            <w:pPr>
              <w:spacing w:before="40" w:after="20"/>
              <w:jc w:val="right"/>
              <w:rPr>
                <w:rFonts w:cs="Arial"/>
                <w:sz w:val="18"/>
                <w:szCs w:val="18"/>
              </w:rPr>
            </w:pPr>
            <w:r w:rsidRPr="003E2D55">
              <w:rPr>
                <w:rFonts w:cs="Arial"/>
                <w:sz w:val="18"/>
                <w:szCs w:val="18"/>
              </w:rPr>
              <w:t>905</w:t>
            </w:r>
          </w:p>
        </w:tc>
      </w:tr>
      <w:tr w:rsidR="00A26814" w:rsidRPr="003E2D55" w14:paraId="25BBB9E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54F1CC9" w14:textId="77777777" w:rsidR="00A26814" w:rsidRPr="003E2D55" w:rsidRDefault="00A26814" w:rsidP="00A26814">
            <w:pPr>
              <w:spacing w:before="40" w:after="20"/>
              <w:rPr>
                <w:rFonts w:cs="Arial"/>
                <w:sz w:val="18"/>
                <w:szCs w:val="18"/>
              </w:rPr>
            </w:pPr>
            <w:r w:rsidRPr="003E2D55">
              <w:rPr>
                <w:rFonts w:cs="Arial"/>
                <w:sz w:val="18"/>
                <w:szCs w:val="18"/>
              </w:rPr>
              <w:t>Pyrenees S</w:t>
            </w:r>
          </w:p>
        </w:tc>
        <w:tc>
          <w:tcPr>
            <w:tcW w:w="1134" w:type="dxa"/>
            <w:tcBorders>
              <w:top w:val="nil"/>
              <w:left w:val="single" w:sz="18" w:space="0" w:color="5F497A" w:themeColor="accent4" w:themeShade="BF"/>
              <w:bottom w:val="nil"/>
              <w:right w:val="nil"/>
            </w:tcBorders>
            <w:shd w:val="clear" w:color="auto" w:fill="auto"/>
            <w:vAlign w:val="bottom"/>
          </w:tcPr>
          <w:p w14:paraId="47101187" w14:textId="5098ECE1" w:rsidR="00A26814" w:rsidRPr="003E2D55" w:rsidRDefault="00A26814" w:rsidP="00A26814">
            <w:pPr>
              <w:spacing w:before="40" w:after="20"/>
              <w:jc w:val="right"/>
              <w:rPr>
                <w:rFonts w:cs="Arial"/>
                <w:sz w:val="18"/>
                <w:szCs w:val="18"/>
              </w:rPr>
            </w:pPr>
            <w:r w:rsidRPr="003E2D55">
              <w:rPr>
                <w:rFonts w:cs="Arial"/>
                <w:sz w:val="18"/>
                <w:szCs w:val="18"/>
              </w:rPr>
              <w:t>110</w:t>
            </w:r>
          </w:p>
        </w:tc>
        <w:tc>
          <w:tcPr>
            <w:tcW w:w="1134" w:type="dxa"/>
            <w:tcBorders>
              <w:top w:val="nil"/>
              <w:left w:val="nil"/>
              <w:bottom w:val="nil"/>
              <w:right w:val="nil"/>
            </w:tcBorders>
            <w:vAlign w:val="bottom"/>
          </w:tcPr>
          <w:p w14:paraId="4E7D3EF6" w14:textId="15C446D6" w:rsidR="00A26814" w:rsidRPr="003E2D55" w:rsidRDefault="00A26814" w:rsidP="00A26814">
            <w:pPr>
              <w:spacing w:before="40" w:after="20"/>
              <w:jc w:val="right"/>
              <w:rPr>
                <w:rFonts w:cs="Arial"/>
                <w:sz w:val="18"/>
                <w:szCs w:val="18"/>
              </w:rPr>
            </w:pPr>
            <w:r w:rsidRPr="003E2D55">
              <w:rPr>
                <w:rFonts w:cs="Arial"/>
                <w:sz w:val="18"/>
                <w:szCs w:val="18"/>
              </w:rPr>
              <w:t>1,926</w:t>
            </w:r>
          </w:p>
        </w:tc>
        <w:tc>
          <w:tcPr>
            <w:tcW w:w="1247" w:type="dxa"/>
            <w:tcBorders>
              <w:top w:val="nil"/>
              <w:left w:val="nil"/>
              <w:bottom w:val="nil"/>
              <w:right w:val="nil"/>
            </w:tcBorders>
            <w:vAlign w:val="bottom"/>
          </w:tcPr>
          <w:p w14:paraId="35E531D1" w14:textId="25DE4414" w:rsidR="00A26814" w:rsidRPr="003E2D55" w:rsidRDefault="00A26814" w:rsidP="00A26814">
            <w:pPr>
              <w:spacing w:before="40" w:after="20"/>
              <w:jc w:val="right"/>
              <w:rPr>
                <w:rFonts w:cs="Arial"/>
                <w:b/>
                <w:sz w:val="18"/>
                <w:szCs w:val="18"/>
              </w:rPr>
            </w:pPr>
            <w:r w:rsidRPr="003E2D55">
              <w:rPr>
                <w:rFonts w:cs="Arial"/>
                <w:b/>
                <w:sz w:val="18"/>
                <w:szCs w:val="18"/>
              </w:rPr>
              <w:t>2,036</w:t>
            </w:r>
          </w:p>
        </w:tc>
        <w:tc>
          <w:tcPr>
            <w:tcW w:w="1247" w:type="dxa"/>
            <w:tcBorders>
              <w:top w:val="nil"/>
              <w:left w:val="nil"/>
              <w:bottom w:val="nil"/>
              <w:right w:val="nil"/>
            </w:tcBorders>
            <w:shd w:val="clear" w:color="auto" w:fill="auto"/>
            <w:vAlign w:val="bottom"/>
          </w:tcPr>
          <w:p w14:paraId="34B4FF96" w14:textId="5AE67FEA" w:rsidR="00A26814" w:rsidRPr="003E2D55" w:rsidRDefault="00A26814" w:rsidP="00A26814">
            <w:pPr>
              <w:spacing w:before="40" w:after="20"/>
              <w:jc w:val="right"/>
              <w:rPr>
                <w:rFonts w:cs="Arial"/>
                <w:b/>
                <w:sz w:val="18"/>
                <w:szCs w:val="18"/>
              </w:rPr>
            </w:pPr>
            <w:r w:rsidRPr="003E2D55">
              <w:rPr>
                <w:rFonts w:cs="Arial"/>
                <w:b/>
                <w:sz w:val="18"/>
                <w:szCs w:val="18"/>
              </w:rPr>
              <w:t>541</w:t>
            </w:r>
          </w:p>
        </w:tc>
        <w:tc>
          <w:tcPr>
            <w:tcW w:w="1021" w:type="dxa"/>
            <w:tcBorders>
              <w:top w:val="nil"/>
              <w:left w:val="nil"/>
              <w:bottom w:val="nil"/>
              <w:right w:val="nil"/>
            </w:tcBorders>
            <w:shd w:val="clear" w:color="auto" w:fill="auto"/>
            <w:vAlign w:val="bottom"/>
          </w:tcPr>
          <w:p w14:paraId="1EBDDD1C" w14:textId="57C62D3E" w:rsidR="00A26814" w:rsidRPr="003E2D55" w:rsidRDefault="00A26814" w:rsidP="00A26814">
            <w:pPr>
              <w:spacing w:before="40" w:after="20"/>
              <w:jc w:val="right"/>
              <w:rPr>
                <w:rFonts w:cs="Arial"/>
                <w:sz w:val="18"/>
                <w:szCs w:val="18"/>
              </w:rPr>
            </w:pPr>
            <w:r w:rsidRPr="003E2D55">
              <w:rPr>
                <w:rFonts w:cs="Arial"/>
                <w:sz w:val="18"/>
                <w:szCs w:val="18"/>
              </w:rPr>
              <w:t>0</w:t>
            </w:r>
          </w:p>
        </w:tc>
        <w:tc>
          <w:tcPr>
            <w:tcW w:w="1021" w:type="dxa"/>
            <w:tcBorders>
              <w:top w:val="nil"/>
              <w:left w:val="nil"/>
              <w:bottom w:val="nil"/>
              <w:right w:val="nil"/>
            </w:tcBorders>
            <w:shd w:val="clear" w:color="auto" w:fill="auto"/>
            <w:vAlign w:val="bottom"/>
          </w:tcPr>
          <w:p w14:paraId="74D836D0" w14:textId="68C27950" w:rsidR="00A26814" w:rsidRPr="003E2D55" w:rsidRDefault="00A26814" w:rsidP="00A26814">
            <w:pPr>
              <w:spacing w:before="40" w:after="20"/>
              <w:jc w:val="right"/>
              <w:rPr>
                <w:rFonts w:cs="Arial"/>
                <w:sz w:val="18"/>
                <w:szCs w:val="18"/>
              </w:rPr>
            </w:pPr>
            <w:r w:rsidRPr="003E2D55">
              <w:rPr>
                <w:rFonts w:cs="Arial"/>
                <w:sz w:val="18"/>
                <w:szCs w:val="18"/>
              </w:rPr>
              <w:t>11,156</w:t>
            </w:r>
          </w:p>
        </w:tc>
      </w:tr>
      <w:tr w:rsidR="00A26814" w:rsidRPr="003E2D55" w14:paraId="08EDD25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DD6D15E" w14:textId="77777777" w:rsidR="00A26814" w:rsidRPr="003E2D55" w:rsidRDefault="00A26814" w:rsidP="00A26814">
            <w:pPr>
              <w:spacing w:before="40" w:after="20"/>
              <w:rPr>
                <w:rFonts w:cs="Arial"/>
                <w:sz w:val="18"/>
                <w:szCs w:val="18"/>
              </w:rPr>
            </w:pPr>
            <w:r w:rsidRPr="003E2D55">
              <w:rPr>
                <w:rFonts w:cs="Arial"/>
                <w:sz w:val="18"/>
                <w:szCs w:val="18"/>
              </w:rPr>
              <w:t>Queenscliffe B</w:t>
            </w:r>
          </w:p>
        </w:tc>
        <w:tc>
          <w:tcPr>
            <w:tcW w:w="1134" w:type="dxa"/>
            <w:tcBorders>
              <w:top w:val="nil"/>
              <w:left w:val="single" w:sz="18" w:space="0" w:color="5F497A" w:themeColor="accent4" w:themeShade="BF"/>
              <w:bottom w:val="nil"/>
              <w:right w:val="nil"/>
            </w:tcBorders>
            <w:shd w:val="clear" w:color="auto" w:fill="auto"/>
            <w:vAlign w:val="bottom"/>
          </w:tcPr>
          <w:p w14:paraId="252ADAD1" w14:textId="07B4F172" w:rsidR="00A26814" w:rsidRPr="003E2D55" w:rsidRDefault="00A26814" w:rsidP="00A26814">
            <w:pPr>
              <w:spacing w:before="40" w:after="20"/>
              <w:jc w:val="right"/>
              <w:rPr>
                <w:rFonts w:cs="Arial"/>
                <w:sz w:val="18"/>
                <w:szCs w:val="18"/>
              </w:rPr>
            </w:pPr>
            <w:r w:rsidRPr="003E2D55">
              <w:rPr>
                <w:rFonts w:cs="Arial"/>
                <w:sz w:val="18"/>
                <w:szCs w:val="18"/>
              </w:rPr>
              <w:t>43</w:t>
            </w:r>
          </w:p>
        </w:tc>
        <w:tc>
          <w:tcPr>
            <w:tcW w:w="1134" w:type="dxa"/>
            <w:tcBorders>
              <w:top w:val="nil"/>
              <w:left w:val="nil"/>
              <w:bottom w:val="nil"/>
              <w:right w:val="nil"/>
            </w:tcBorders>
            <w:vAlign w:val="bottom"/>
          </w:tcPr>
          <w:p w14:paraId="78194B54" w14:textId="439F4DCC" w:rsidR="00A26814" w:rsidRPr="003E2D55" w:rsidRDefault="00A26814" w:rsidP="00A26814">
            <w:pPr>
              <w:spacing w:before="40" w:after="20"/>
              <w:jc w:val="right"/>
              <w:rPr>
                <w:rFonts w:cs="Arial"/>
                <w:sz w:val="18"/>
                <w:szCs w:val="18"/>
              </w:rPr>
            </w:pPr>
            <w:r w:rsidRPr="003E2D55">
              <w:rPr>
                <w:rFonts w:cs="Arial"/>
                <w:sz w:val="18"/>
                <w:szCs w:val="18"/>
              </w:rPr>
              <w:t>0</w:t>
            </w:r>
          </w:p>
        </w:tc>
        <w:tc>
          <w:tcPr>
            <w:tcW w:w="1247" w:type="dxa"/>
            <w:tcBorders>
              <w:top w:val="nil"/>
              <w:left w:val="nil"/>
              <w:bottom w:val="nil"/>
              <w:right w:val="nil"/>
            </w:tcBorders>
            <w:vAlign w:val="bottom"/>
          </w:tcPr>
          <w:p w14:paraId="7D6BD9B0" w14:textId="51786B77" w:rsidR="00A26814" w:rsidRPr="003E2D55" w:rsidRDefault="00A26814" w:rsidP="00A26814">
            <w:pPr>
              <w:spacing w:before="40" w:after="20"/>
              <w:jc w:val="right"/>
              <w:rPr>
                <w:rFonts w:cs="Arial"/>
                <w:b/>
                <w:sz w:val="18"/>
                <w:szCs w:val="18"/>
              </w:rPr>
            </w:pPr>
            <w:r w:rsidRPr="003E2D55">
              <w:rPr>
                <w:rFonts w:cs="Arial"/>
                <w:b/>
                <w:sz w:val="18"/>
                <w:szCs w:val="18"/>
              </w:rPr>
              <w:t>43</w:t>
            </w:r>
          </w:p>
        </w:tc>
        <w:tc>
          <w:tcPr>
            <w:tcW w:w="1247" w:type="dxa"/>
            <w:tcBorders>
              <w:top w:val="nil"/>
              <w:left w:val="nil"/>
              <w:bottom w:val="nil"/>
              <w:right w:val="nil"/>
            </w:tcBorders>
            <w:shd w:val="clear" w:color="auto" w:fill="auto"/>
            <w:vAlign w:val="bottom"/>
          </w:tcPr>
          <w:p w14:paraId="2D8B1EAA" w14:textId="13BFA4B3" w:rsidR="00A26814" w:rsidRPr="003E2D55" w:rsidRDefault="00A26814" w:rsidP="00A26814">
            <w:pPr>
              <w:spacing w:before="40" w:after="20"/>
              <w:jc w:val="right"/>
              <w:rPr>
                <w:rFonts w:cs="Arial"/>
                <w:b/>
                <w:sz w:val="18"/>
                <w:szCs w:val="18"/>
              </w:rPr>
            </w:pPr>
            <w:r w:rsidRPr="003E2D55">
              <w:rPr>
                <w:rFonts w:cs="Arial"/>
                <w:b/>
                <w:sz w:val="18"/>
                <w:szCs w:val="18"/>
              </w:rPr>
              <w:t>3</w:t>
            </w:r>
          </w:p>
        </w:tc>
        <w:tc>
          <w:tcPr>
            <w:tcW w:w="1021" w:type="dxa"/>
            <w:tcBorders>
              <w:top w:val="nil"/>
              <w:left w:val="nil"/>
              <w:bottom w:val="nil"/>
              <w:right w:val="nil"/>
            </w:tcBorders>
            <w:shd w:val="clear" w:color="auto" w:fill="auto"/>
            <w:vAlign w:val="bottom"/>
          </w:tcPr>
          <w:p w14:paraId="4D241E9F" w14:textId="3A1E3328" w:rsidR="00A26814" w:rsidRPr="003E2D55" w:rsidRDefault="00A26814" w:rsidP="00A26814">
            <w:pPr>
              <w:spacing w:before="40" w:after="20"/>
              <w:jc w:val="right"/>
              <w:rPr>
                <w:rFonts w:cs="Arial"/>
                <w:sz w:val="18"/>
                <w:szCs w:val="18"/>
              </w:rPr>
            </w:pPr>
            <w:r w:rsidRPr="003E2D55">
              <w:rPr>
                <w:rFonts w:cs="Arial"/>
                <w:sz w:val="18"/>
                <w:szCs w:val="18"/>
              </w:rPr>
              <w:t>0</w:t>
            </w:r>
          </w:p>
        </w:tc>
        <w:tc>
          <w:tcPr>
            <w:tcW w:w="1021" w:type="dxa"/>
            <w:tcBorders>
              <w:top w:val="nil"/>
              <w:left w:val="nil"/>
              <w:bottom w:val="nil"/>
              <w:right w:val="nil"/>
            </w:tcBorders>
            <w:shd w:val="clear" w:color="auto" w:fill="auto"/>
            <w:vAlign w:val="bottom"/>
          </w:tcPr>
          <w:p w14:paraId="7DB7A2CF" w14:textId="339D4DFD"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267648B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6AC1AAB" w14:textId="77777777" w:rsidR="00A26814" w:rsidRPr="003E2D55" w:rsidRDefault="00A26814" w:rsidP="00A26814">
            <w:pPr>
              <w:spacing w:before="40" w:after="20"/>
              <w:rPr>
                <w:rFonts w:cs="Arial"/>
                <w:sz w:val="18"/>
                <w:szCs w:val="18"/>
              </w:rPr>
            </w:pPr>
            <w:r w:rsidRPr="003E2D55">
              <w:rPr>
                <w:rFonts w:cs="Arial"/>
                <w:sz w:val="18"/>
                <w:szCs w:val="18"/>
              </w:rPr>
              <w:t>South Gippsland S</w:t>
            </w:r>
          </w:p>
        </w:tc>
        <w:tc>
          <w:tcPr>
            <w:tcW w:w="1134" w:type="dxa"/>
            <w:tcBorders>
              <w:top w:val="nil"/>
              <w:left w:val="single" w:sz="18" w:space="0" w:color="5F497A" w:themeColor="accent4" w:themeShade="BF"/>
              <w:bottom w:val="nil"/>
              <w:right w:val="nil"/>
            </w:tcBorders>
            <w:shd w:val="clear" w:color="auto" w:fill="auto"/>
            <w:vAlign w:val="bottom"/>
          </w:tcPr>
          <w:p w14:paraId="3387E6A4" w14:textId="34C5AF30" w:rsidR="00A26814" w:rsidRPr="003E2D55" w:rsidRDefault="00A26814" w:rsidP="00A26814">
            <w:pPr>
              <w:spacing w:before="40" w:after="20"/>
              <w:jc w:val="right"/>
              <w:rPr>
                <w:rFonts w:cs="Arial"/>
                <w:sz w:val="18"/>
                <w:szCs w:val="18"/>
              </w:rPr>
            </w:pPr>
            <w:r w:rsidRPr="003E2D55">
              <w:rPr>
                <w:rFonts w:cs="Arial"/>
                <w:sz w:val="18"/>
                <w:szCs w:val="18"/>
              </w:rPr>
              <w:t>277</w:t>
            </w:r>
          </w:p>
        </w:tc>
        <w:tc>
          <w:tcPr>
            <w:tcW w:w="1134" w:type="dxa"/>
            <w:tcBorders>
              <w:top w:val="nil"/>
              <w:left w:val="nil"/>
              <w:bottom w:val="nil"/>
              <w:right w:val="nil"/>
            </w:tcBorders>
            <w:vAlign w:val="bottom"/>
          </w:tcPr>
          <w:p w14:paraId="7FA7F738" w14:textId="1EDE9AD5" w:rsidR="00A26814" w:rsidRPr="003E2D55" w:rsidRDefault="00A26814" w:rsidP="00A26814">
            <w:pPr>
              <w:spacing w:before="40" w:after="20"/>
              <w:jc w:val="right"/>
              <w:rPr>
                <w:rFonts w:cs="Arial"/>
                <w:sz w:val="18"/>
                <w:szCs w:val="18"/>
              </w:rPr>
            </w:pPr>
            <w:r w:rsidRPr="003E2D55">
              <w:rPr>
                <w:rFonts w:cs="Arial"/>
                <w:sz w:val="18"/>
                <w:szCs w:val="18"/>
              </w:rPr>
              <w:t>1,823</w:t>
            </w:r>
          </w:p>
        </w:tc>
        <w:tc>
          <w:tcPr>
            <w:tcW w:w="1247" w:type="dxa"/>
            <w:tcBorders>
              <w:top w:val="nil"/>
              <w:left w:val="nil"/>
              <w:bottom w:val="nil"/>
              <w:right w:val="nil"/>
            </w:tcBorders>
            <w:vAlign w:val="bottom"/>
          </w:tcPr>
          <w:p w14:paraId="69C410C8" w14:textId="5CE6A16A" w:rsidR="00A26814" w:rsidRPr="003E2D55" w:rsidRDefault="00A26814" w:rsidP="00A26814">
            <w:pPr>
              <w:spacing w:before="40" w:after="20"/>
              <w:jc w:val="right"/>
              <w:rPr>
                <w:rFonts w:cs="Arial"/>
                <w:b/>
                <w:sz w:val="18"/>
                <w:szCs w:val="18"/>
              </w:rPr>
            </w:pPr>
            <w:r w:rsidRPr="003E2D55">
              <w:rPr>
                <w:rFonts w:cs="Arial"/>
                <w:b/>
                <w:sz w:val="18"/>
                <w:szCs w:val="18"/>
              </w:rPr>
              <w:t>2,100</w:t>
            </w:r>
          </w:p>
        </w:tc>
        <w:tc>
          <w:tcPr>
            <w:tcW w:w="1247" w:type="dxa"/>
            <w:tcBorders>
              <w:top w:val="nil"/>
              <w:left w:val="nil"/>
              <w:bottom w:val="nil"/>
              <w:right w:val="nil"/>
            </w:tcBorders>
            <w:shd w:val="clear" w:color="auto" w:fill="auto"/>
            <w:vAlign w:val="bottom"/>
          </w:tcPr>
          <w:p w14:paraId="21C4C929" w14:textId="16CB36A7" w:rsidR="00A26814" w:rsidRPr="003E2D55" w:rsidRDefault="00A26814" w:rsidP="00A26814">
            <w:pPr>
              <w:spacing w:before="40" w:after="20"/>
              <w:jc w:val="right"/>
              <w:rPr>
                <w:rFonts w:cs="Arial"/>
                <w:b/>
                <w:sz w:val="18"/>
                <w:szCs w:val="18"/>
              </w:rPr>
            </w:pPr>
            <w:r w:rsidRPr="003E2D55">
              <w:rPr>
                <w:rFonts w:cs="Arial"/>
                <w:b/>
                <w:sz w:val="18"/>
                <w:szCs w:val="18"/>
              </w:rPr>
              <w:t>1,287</w:t>
            </w:r>
          </w:p>
        </w:tc>
        <w:tc>
          <w:tcPr>
            <w:tcW w:w="1021" w:type="dxa"/>
            <w:tcBorders>
              <w:top w:val="nil"/>
              <w:left w:val="nil"/>
              <w:bottom w:val="nil"/>
              <w:right w:val="nil"/>
            </w:tcBorders>
            <w:shd w:val="clear" w:color="auto" w:fill="auto"/>
            <w:vAlign w:val="bottom"/>
          </w:tcPr>
          <w:p w14:paraId="1565F114" w14:textId="0CFC61AA" w:rsidR="00A26814" w:rsidRPr="003E2D55" w:rsidRDefault="00A26814" w:rsidP="00A26814">
            <w:pPr>
              <w:spacing w:before="40" w:after="20"/>
              <w:jc w:val="right"/>
              <w:rPr>
                <w:rFonts w:cs="Arial"/>
                <w:sz w:val="18"/>
                <w:szCs w:val="18"/>
              </w:rPr>
            </w:pPr>
            <w:r w:rsidRPr="003E2D55">
              <w:rPr>
                <w:rFonts w:cs="Arial"/>
                <w:sz w:val="18"/>
                <w:szCs w:val="18"/>
              </w:rPr>
              <w:t>302</w:t>
            </w:r>
          </w:p>
        </w:tc>
        <w:tc>
          <w:tcPr>
            <w:tcW w:w="1021" w:type="dxa"/>
            <w:tcBorders>
              <w:top w:val="nil"/>
              <w:left w:val="nil"/>
              <w:bottom w:val="nil"/>
              <w:right w:val="nil"/>
            </w:tcBorders>
            <w:shd w:val="clear" w:color="auto" w:fill="auto"/>
            <w:vAlign w:val="bottom"/>
          </w:tcPr>
          <w:p w14:paraId="02DE552D" w14:textId="493B64B0" w:rsidR="00A26814" w:rsidRPr="003E2D55" w:rsidRDefault="00A26814" w:rsidP="00A26814">
            <w:pPr>
              <w:spacing w:before="40" w:after="20"/>
              <w:jc w:val="right"/>
              <w:rPr>
                <w:rFonts w:cs="Arial"/>
                <w:sz w:val="18"/>
                <w:szCs w:val="18"/>
              </w:rPr>
            </w:pPr>
            <w:r w:rsidRPr="003E2D55">
              <w:rPr>
                <w:rFonts w:cs="Arial"/>
                <w:sz w:val="18"/>
                <w:szCs w:val="18"/>
              </w:rPr>
              <w:t>14,215</w:t>
            </w:r>
          </w:p>
        </w:tc>
      </w:tr>
      <w:tr w:rsidR="00A26814" w:rsidRPr="003E2D55" w14:paraId="7F29F4E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2D02BCA" w14:textId="77777777" w:rsidR="00A26814" w:rsidRPr="003E2D55" w:rsidRDefault="00A26814" w:rsidP="00A26814">
            <w:pPr>
              <w:spacing w:before="40" w:after="20"/>
              <w:rPr>
                <w:rFonts w:cs="Arial"/>
                <w:sz w:val="18"/>
                <w:szCs w:val="18"/>
              </w:rPr>
            </w:pPr>
            <w:r w:rsidRPr="003E2D55">
              <w:rPr>
                <w:rFonts w:cs="Arial"/>
                <w:sz w:val="18"/>
                <w:szCs w:val="18"/>
              </w:rPr>
              <w:t>Southern Grampians S</w:t>
            </w:r>
          </w:p>
        </w:tc>
        <w:tc>
          <w:tcPr>
            <w:tcW w:w="1134" w:type="dxa"/>
            <w:tcBorders>
              <w:top w:val="nil"/>
              <w:left w:val="single" w:sz="18" w:space="0" w:color="5F497A" w:themeColor="accent4" w:themeShade="BF"/>
              <w:bottom w:val="nil"/>
              <w:right w:val="nil"/>
            </w:tcBorders>
            <w:shd w:val="clear" w:color="auto" w:fill="auto"/>
            <w:vAlign w:val="bottom"/>
          </w:tcPr>
          <w:p w14:paraId="272C9B4F" w14:textId="06929B0B" w:rsidR="00A26814" w:rsidRPr="003E2D55" w:rsidRDefault="00A26814" w:rsidP="00A26814">
            <w:pPr>
              <w:spacing w:before="40" w:after="20"/>
              <w:jc w:val="right"/>
              <w:rPr>
                <w:rFonts w:cs="Arial"/>
                <w:sz w:val="18"/>
                <w:szCs w:val="18"/>
              </w:rPr>
            </w:pPr>
            <w:r w:rsidRPr="003E2D55">
              <w:rPr>
                <w:rFonts w:cs="Arial"/>
                <w:sz w:val="18"/>
                <w:szCs w:val="18"/>
              </w:rPr>
              <w:t>194</w:t>
            </w:r>
          </w:p>
        </w:tc>
        <w:tc>
          <w:tcPr>
            <w:tcW w:w="1134" w:type="dxa"/>
            <w:tcBorders>
              <w:top w:val="nil"/>
              <w:left w:val="nil"/>
              <w:bottom w:val="nil"/>
              <w:right w:val="nil"/>
            </w:tcBorders>
            <w:vAlign w:val="bottom"/>
          </w:tcPr>
          <w:p w14:paraId="754EDEA4" w14:textId="4152A613" w:rsidR="00A26814" w:rsidRPr="003E2D55" w:rsidRDefault="00A26814" w:rsidP="00A26814">
            <w:pPr>
              <w:spacing w:before="40" w:after="20"/>
              <w:jc w:val="right"/>
              <w:rPr>
                <w:rFonts w:cs="Arial"/>
                <w:sz w:val="18"/>
                <w:szCs w:val="18"/>
              </w:rPr>
            </w:pPr>
            <w:r w:rsidRPr="003E2D55">
              <w:rPr>
                <w:rFonts w:cs="Arial"/>
                <w:sz w:val="18"/>
                <w:szCs w:val="18"/>
              </w:rPr>
              <w:t>2,567</w:t>
            </w:r>
          </w:p>
        </w:tc>
        <w:tc>
          <w:tcPr>
            <w:tcW w:w="1247" w:type="dxa"/>
            <w:tcBorders>
              <w:top w:val="nil"/>
              <w:left w:val="nil"/>
              <w:bottom w:val="nil"/>
              <w:right w:val="nil"/>
            </w:tcBorders>
            <w:vAlign w:val="bottom"/>
          </w:tcPr>
          <w:p w14:paraId="6DC03B94" w14:textId="1AB9FFC5" w:rsidR="00A26814" w:rsidRPr="003E2D55" w:rsidRDefault="00A26814" w:rsidP="00A26814">
            <w:pPr>
              <w:spacing w:before="40" w:after="20"/>
              <w:jc w:val="right"/>
              <w:rPr>
                <w:rFonts w:cs="Arial"/>
                <w:b/>
                <w:sz w:val="18"/>
                <w:szCs w:val="18"/>
              </w:rPr>
            </w:pPr>
            <w:r w:rsidRPr="003E2D55">
              <w:rPr>
                <w:rFonts w:cs="Arial"/>
                <w:b/>
                <w:sz w:val="18"/>
                <w:szCs w:val="18"/>
              </w:rPr>
              <w:t>2,761</w:t>
            </w:r>
          </w:p>
        </w:tc>
        <w:tc>
          <w:tcPr>
            <w:tcW w:w="1247" w:type="dxa"/>
            <w:tcBorders>
              <w:top w:val="nil"/>
              <w:left w:val="nil"/>
              <w:bottom w:val="nil"/>
              <w:right w:val="nil"/>
            </w:tcBorders>
            <w:shd w:val="clear" w:color="auto" w:fill="auto"/>
            <w:vAlign w:val="bottom"/>
          </w:tcPr>
          <w:p w14:paraId="02BA7C4E" w14:textId="6C95EC60" w:rsidR="00A26814" w:rsidRPr="003E2D55" w:rsidRDefault="00A26814" w:rsidP="00A26814">
            <w:pPr>
              <w:spacing w:before="40" w:after="20"/>
              <w:jc w:val="right"/>
              <w:rPr>
                <w:rFonts w:cs="Arial"/>
                <w:b/>
                <w:sz w:val="18"/>
                <w:szCs w:val="18"/>
              </w:rPr>
            </w:pPr>
            <w:r w:rsidRPr="003E2D55">
              <w:rPr>
                <w:rFonts w:cs="Arial"/>
                <w:b/>
                <w:sz w:val="18"/>
                <w:szCs w:val="18"/>
              </w:rPr>
              <w:t>692</w:t>
            </w:r>
          </w:p>
        </w:tc>
        <w:tc>
          <w:tcPr>
            <w:tcW w:w="1021" w:type="dxa"/>
            <w:tcBorders>
              <w:top w:val="nil"/>
              <w:left w:val="nil"/>
              <w:bottom w:val="nil"/>
              <w:right w:val="nil"/>
            </w:tcBorders>
            <w:shd w:val="clear" w:color="auto" w:fill="auto"/>
            <w:vAlign w:val="bottom"/>
          </w:tcPr>
          <w:p w14:paraId="473F603A" w14:textId="4E9A0779" w:rsidR="00A26814" w:rsidRPr="003E2D55" w:rsidRDefault="00A26814" w:rsidP="00A26814">
            <w:pPr>
              <w:spacing w:before="40" w:after="20"/>
              <w:jc w:val="right"/>
              <w:rPr>
                <w:rFonts w:cs="Arial"/>
                <w:sz w:val="18"/>
                <w:szCs w:val="18"/>
              </w:rPr>
            </w:pPr>
            <w:r w:rsidRPr="003E2D55">
              <w:rPr>
                <w:rFonts w:cs="Arial"/>
                <w:sz w:val="18"/>
                <w:szCs w:val="18"/>
              </w:rPr>
              <w:t>498</w:t>
            </w:r>
          </w:p>
        </w:tc>
        <w:tc>
          <w:tcPr>
            <w:tcW w:w="1021" w:type="dxa"/>
            <w:tcBorders>
              <w:top w:val="nil"/>
              <w:left w:val="nil"/>
              <w:bottom w:val="nil"/>
              <w:right w:val="nil"/>
            </w:tcBorders>
            <w:shd w:val="clear" w:color="auto" w:fill="auto"/>
            <w:vAlign w:val="bottom"/>
          </w:tcPr>
          <w:p w14:paraId="655B6B22" w14:textId="061D9CAE" w:rsidR="00A26814" w:rsidRPr="003E2D55" w:rsidRDefault="00A26814" w:rsidP="00A26814">
            <w:pPr>
              <w:spacing w:before="40" w:after="20"/>
              <w:jc w:val="right"/>
              <w:rPr>
                <w:rFonts w:cs="Arial"/>
                <w:sz w:val="18"/>
                <w:szCs w:val="18"/>
              </w:rPr>
            </w:pPr>
            <w:r w:rsidRPr="003E2D55">
              <w:rPr>
                <w:rFonts w:cs="Arial"/>
                <w:sz w:val="18"/>
                <w:szCs w:val="18"/>
              </w:rPr>
              <w:t>10,067</w:t>
            </w:r>
          </w:p>
        </w:tc>
      </w:tr>
      <w:tr w:rsidR="00A26814" w:rsidRPr="003E2D55" w14:paraId="390E99F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7A638CA" w14:textId="77777777" w:rsidR="00A26814" w:rsidRPr="003E2D55" w:rsidRDefault="00A26814" w:rsidP="00A26814">
            <w:pPr>
              <w:spacing w:before="40" w:after="20"/>
              <w:rPr>
                <w:rFonts w:cs="Arial"/>
                <w:sz w:val="18"/>
                <w:szCs w:val="18"/>
              </w:rPr>
            </w:pPr>
            <w:r w:rsidRPr="003E2D55">
              <w:rPr>
                <w:rFonts w:cs="Arial"/>
                <w:sz w:val="18"/>
                <w:szCs w:val="18"/>
              </w:rPr>
              <w:t>Stonnington C</w:t>
            </w:r>
          </w:p>
        </w:tc>
        <w:tc>
          <w:tcPr>
            <w:tcW w:w="1134" w:type="dxa"/>
            <w:tcBorders>
              <w:top w:val="nil"/>
              <w:left w:val="single" w:sz="18" w:space="0" w:color="5F497A" w:themeColor="accent4" w:themeShade="BF"/>
              <w:bottom w:val="nil"/>
              <w:right w:val="nil"/>
            </w:tcBorders>
            <w:shd w:val="clear" w:color="auto" w:fill="auto"/>
            <w:vAlign w:val="bottom"/>
          </w:tcPr>
          <w:p w14:paraId="0EDD4745" w14:textId="39106C05" w:rsidR="00A26814" w:rsidRPr="003E2D55" w:rsidRDefault="00A26814" w:rsidP="00A26814">
            <w:pPr>
              <w:spacing w:before="40" w:after="20"/>
              <w:jc w:val="right"/>
              <w:rPr>
                <w:rFonts w:cs="Arial"/>
                <w:sz w:val="18"/>
                <w:szCs w:val="18"/>
              </w:rPr>
            </w:pPr>
            <w:r w:rsidRPr="003E2D55">
              <w:rPr>
                <w:rFonts w:cs="Arial"/>
                <w:sz w:val="18"/>
                <w:szCs w:val="18"/>
              </w:rPr>
              <w:t>261</w:t>
            </w:r>
          </w:p>
        </w:tc>
        <w:tc>
          <w:tcPr>
            <w:tcW w:w="1134" w:type="dxa"/>
            <w:tcBorders>
              <w:top w:val="nil"/>
              <w:left w:val="nil"/>
              <w:bottom w:val="nil"/>
              <w:right w:val="nil"/>
            </w:tcBorders>
            <w:vAlign w:val="bottom"/>
          </w:tcPr>
          <w:p w14:paraId="5A03EA25" w14:textId="460CC71F" w:rsidR="00A26814" w:rsidRPr="003E2D55" w:rsidRDefault="00A26814" w:rsidP="00A26814">
            <w:pPr>
              <w:spacing w:before="40" w:after="20"/>
              <w:jc w:val="right"/>
              <w:rPr>
                <w:rFonts w:cs="Arial"/>
                <w:sz w:val="18"/>
                <w:szCs w:val="18"/>
              </w:rPr>
            </w:pPr>
            <w:r w:rsidRPr="003E2D55">
              <w:rPr>
                <w:rFonts w:cs="Arial"/>
                <w:sz w:val="18"/>
                <w:szCs w:val="18"/>
              </w:rPr>
              <w:t>0</w:t>
            </w:r>
          </w:p>
        </w:tc>
        <w:tc>
          <w:tcPr>
            <w:tcW w:w="1247" w:type="dxa"/>
            <w:tcBorders>
              <w:top w:val="nil"/>
              <w:left w:val="nil"/>
              <w:bottom w:val="nil"/>
              <w:right w:val="nil"/>
            </w:tcBorders>
            <w:vAlign w:val="bottom"/>
          </w:tcPr>
          <w:p w14:paraId="633A839A" w14:textId="733FB8CA" w:rsidR="00A26814" w:rsidRPr="003E2D55" w:rsidRDefault="00A26814" w:rsidP="00A26814">
            <w:pPr>
              <w:spacing w:before="40" w:after="20"/>
              <w:jc w:val="right"/>
              <w:rPr>
                <w:rFonts w:cs="Arial"/>
                <w:b/>
                <w:sz w:val="18"/>
                <w:szCs w:val="18"/>
              </w:rPr>
            </w:pPr>
            <w:r w:rsidRPr="003E2D55">
              <w:rPr>
                <w:rFonts w:cs="Arial"/>
                <w:b/>
                <w:sz w:val="18"/>
                <w:szCs w:val="18"/>
              </w:rPr>
              <w:t>261</w:t>
            </w:r>
          </w:p>
        </w:tc>
        <w:tc>
          <w:tcPr>
            <w:tcW w:w="1247" w:type="dxa"/>
            <w:tcBorders>
              <w:top w:val="nil"/>
              <w:left w:val="nil"/>
              <w:bottom w:val="nil"/>
              <w:right w:val="nil"/>
            </w:tcBorders>
            <w:shd w:val="clear" w:color="auto" w:fill="auto"/>
            <w:vAlign w:val="bottom"/>
          </w:tcPr>
          <w:p w14:paraId="56D795F1" w14:textId="6EA116FD" w:rsidR="00A26814" w:rsidRPr="003E2D55" w:rsidRDefault="00A26814" w:rsidP="00A26814">
            <w:pPr>
              <w:spacing w:before="40" w:after="20"/>
              <w:jc w:val="right"/>
              <w:rPr>
                <w:rFonts w:cs="Arial"/>
                <w:b/>
                <w:sz w:val="18"/>
                <w:szCs w:val="18"/>
              </w:rPr>
            </w:pPr>
            <w:r w:rsidRPr="003E2D55">
              <w:rPr>
                <w:rFonts w:cs="Arial"/>
                <w:b/>
                <w:sz w:val="18"/>
                <w:szCs w:val="18"/>
              </w:rPr>
              <w:t>48</w:t>
            </w:r>
          </w:p>
        </w:tc>
        <w:tc>
          <w:tcPr>
            <w:tcW w:w="1021" w:type="dxa"/>
            <w:tcBorders>
              <w:top w:val="nil"/>
              <w:left w:val="nil"/>
              <w:bottom w:val="nil"/>
              <w:right w:val="nil"/>
            </w:tcBorders>
            <w:shd w:val="clear" w:color="auto" w:fill="auto"/>
            <w:vAlign w:val="bottom"/>
          </w:tcPr>
          <w:p w14:paraId="27A02714" w14:textId="34FBE09F" w:rsidR="00A26814" w:rsidRPr="003E2D55" w:rsidRDefault="00A26814" w:rsidP="00A26814">
            <w:pPr>
              <w:spacing w:before="40" w:after="20"/>
              <w:jc w:val="right"/>
              <w:rPr>
                <w:rFonts w:cs="Arial"/>
                <w:sz w:val="18"/>
                <w:szCs w:val="18"/>
              </w:rPr>
            </w:pPr>
            <w:r w:rsidRPr="003E2D55">
              <w:rPr>
                <w:rFonts w:cs="Arial"/>
                <w:sz w:val="18"/>
                <w:szCs w:val="18"/>
              </w:rPr>
              <w:t>701</w:t>
            </w:r>
          </w:p>
        </w:tc>
        <w:tc>
          <w:tcPr>
            <w:tcW w:w="1021" w:type="dxa"/>
            <w:tcBorders>
              <w:top w:val="nil"/>
              <w:left w:val="nil"/>
              <w:bottom w:val="nil"/>
              <w:right w:val="nil"/>
            </w:tcBorders>
            <w:shd w:val="clear" w:color="auto" w:fill="auto"/>
            <w:vAlign w:val="bottom"/>
          </w:tcPr>
          <w:p w14:paraId="4607ECA7" w14:textId="3DE4FF37" w:rsidR="00A26814" w:rsidRPr="003E2D55" w:rsidRDefault="00A26814" w:rsidP="00A26814">
            <w:pPr>
              <w:spacing w:before="40" w:after="20"/>
              <w:jc w:val="right"/>
              <w:rPr>
                <w:rFonts w:cs="Arial"/>
                <w:sz w:val="18"/>
                <w:szCs w:val="18"/>
              </w:rPr>
            </w:pPr>
            <w:r w:rsidRPr="003E2D55">
              <w:rPr>
                <w:rFonts w:cs="Arial"/>
                <w:sz w:val="18"/>
                <w:szCs w:val="18"/>
              </w:rPr>
              <w:t>1,326</w:t>
            </w:r>
          </w:p>
        </w:tc>
      </w:tr>
      <w:tr w:rsidR="00A26814" w:rsidRPr="003E2D55" w14:paraId="61AF488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0353D4D" w14:textId="77777777" w:rsidR="00A26814" w:rsidRPr="003E2D55" w:rsidRDefault="00A26814" w:rsidP="00A26814">
            <w:pPr>
              <w:spacing w:before="40" w:after="20"/>
              <w:rPr>
                <w:rFonts w:cs="Arial"/>
                <w:sz w:val="18"/>
                <w:szCs w:val="18"/>
              </w:rPr>
            </w:pPr>
            <w:r w:rsidRPr="003E2D55">
              <w:rPr>
                <w:rFonts w:cs="Arial"/>
                <w:sz w:val="18"/>
                <w:szCs w:val="18"/>
              </w:rPr>
              <w:t>Strathbogie S</w:t>
            </w:r>
          </w:p>
        </w:tc>
        <w:tc>
          <w:tcPr>
            <w:tcW w:w="1134" w:type="dxa"/>
            <w:tcBorders>
              <w:top w:val="nil"/>
              <w:left w:val="single" w:sz="18" w:space="0" w:color="5F497A" w:themeColor="accent4" w:themeShade="BF"/>
              <w:bottom w:val="nil"/>
              <w:right w:val="nil"/>
            </w:tcBorders>
            <w:shd w:val="clear" w:color="auto" w:fill="auto"/>
            <w:vAlign w:val="bottom"/>
          </w:tcPr>
          <w:p w14:paraId="157D58AA" w14:textId="151FB773" w:rsidR="00A26814" w:rsidRPr="003E2D55" w:rsidRDefault="00A26814" w:rsidP="00A26814">
            <w:pPr>
              <w:spacing w:before="40" w:after="20"/>
              <w:jc w:val="right"/>
              <w:rPr>
                <w:rFonts w:cs="Arial"/>
                <w:sz w:val="18"/>
                <w:szCs w:val="18"/>
              </w:rPr>
            </w:pPr>
            <w:r w:rsidRPr="003E2D55">
              <w:rPr>
                <w:rFonts w:cs="Arial"/>
                <w:sz w:val="18"/>
                <w:szCs w:val="18"/>
              </w:rPr>
              <w:t>106</w:t>
            </w:r>
          </w:p>
        </w:tc>
        <w:tc>
          <w:tcPr>
            <w:tcW w:w="1134" w:type="dxa"/>
            <w:tcBorders>
              <w:top w:val="nil"/>
              <w:left w:val="nil"/>
              <w:bottom w:val="nil"/>
              <w:right w:val="nil"/>
            </w:tcBorders>
            <w:vAlign w:val="bottom"/>
          </w:tcPr>
          <w:p w14:paraId="04BF3340" w14:textId="7CCD81C7" w:rsidR="00A26814" w:rsidRPr="003E2D55" w:rsidRDefault="00A26814" w:rsidP="00A26814">
            <w:pPr>
              <w:spacing w:before="40" w:after="20"/>
              <w:jc w:val="right"/>
              <w:rPr>
                <w:rFonts w:cs="Arial"/>
                <w:sz w:val="18"/>
                <w:szCs w:val="18"/>
              </w:rPr>
            </w:pPr>
            <w:r w:rsidRPr="003E2D55">
              <w:rPr>
                <w:rFonts w:cs="Arial"/>
                <w:sz w:val="18"/>
                <w:szCs w:val="18"/>
              </w:rPr>
              <w:t>2,098</w:t>
            </w:r>
          </w:p>
        </w:tc>
        <w:tc>
          <w:tcPr>
            <w:tcW w:w="1247" w:type="dxa"/>
            <w:tcBorders>
              <w:top w:val="nil"/>
              <w:left w:val="nil"/>
              <w:bottom w:val="nil"/>
              <w:right w:val="nil"/>
            </w:tcBorders>
            <w:vAlign w:val="bottom"/>
          </w:tcPr>
          <w:p w14:paraId="361DD6A7" w14:textId="72F8A8AD" w:rsidR="00A26814" w:rsidRPr="003E2D55" w:rsidRDefault="00A26814" w:rsidP="00A26814">
            <w:pPr>
              <w:spacing w:before="40" w:after="20"/>
              <w:jc w:val="right"/>
              <w:rPr>
                <w:rFonts w:cs="Arial"/>
                <w:b/>
                <w:sz w:val="18"/>
                <w:szCs w:val="18"/>
              </w:rPr>
            </w:pPr>
            <w:r w:rsidRPr="003E2D55">
              <w:rPr>
                <w:rFonts w:cs="Arial"/>
                <w:b/>
                <w:sz w:val="18"/>
                <w:szCs w:val="18"/>
              </w:rPr>
              <w:t>2,204</w:t>
            </w:r>
          </w:p>
        </w:tc>
        <w:tc>
          <w:tcPr>
            <w:tcW w:w="1247" w:type="dxa"/>
            <w:tcBorders>
              <w:top w:val="nil"/>
              <w:left w:val="nil"/>
              <w:bottom w:val="nil"/>
              <w:right w:val="nil"/>
            </w:tcBorders>
            <w:shd w:val="clear" w:color="auto" w:fill="auto"/>
            <w:vAlign w:val="bottom"/>
          </w:tcPr>
          <w:p w14:paraId="31C09DBD" w14:textId="486BD894" w:rsidR="00A26814" w:rsidRPr="003E2D55" w:rsidRDefault="00A26814" w:rsidP="00A26814">
            <w:pPr>
              <w:spacing w:before="40" w:after="20"/>
              <w:jc w:val="right"/>
              <w:rPr>
                <w:rFonts w:cs="Arial"/>
                <w:b/>
                <w:sz w:val="18"/>
                <w:szCs w:val="18"/>
              </w:rPr>
            </w:pPr>
            <w:r w:rsidRPr="003E2D55">
              <w:rPr>
                <w:rFonts w:cs="Arial"/>
                <w:b/>
                <w:sz w:val="18"/>
                <w:szCs w:val="18"/>
              </w:rPr>
              <w:t>466</w:t>
            </w:r>
          </w:p>
        </w:tc>
        <w:tc>
          <w:tcPr>
            <w:tcW w:w="1021" w:type="dxa"/>
            <w:tcBorders>
              <w:top w:val="nil"/>
              <w:left w:val="nil"/>
              <w:bottom w:val="nil"/>
              <w:right w:val="nil"/>
            </w:tcBorders>
            <w:shd w:val="clear" w:color="auto" w:fill="auto"/>
            <w:vAlign w:val="bottom"/>
          </w:tcPr>
          <w:p w14:paraId="45703C3E" w14:textId="6C60769C" w:rsidR="00A26814" w:rsidRPr="003E2D55" w:rsidRDefault="00A26814" w:rsidP="00A26814">
            <w:pPr>
              <w:spacing w:before="40" w:after="20"/>
              <w:jc w:val="right"/>
              <w:rPr>
                <w:rFonts w:cs="Arial"/>
                <w:sz w:val="18"/>
                <w:szCs w:val="18"/>
              </w:rPr>
            </w:pPr>
            <w:r w:rsidRPr="003E2D55">
              <w:rPr>
                <w:rFonts w:cs="Arial"/>
                <w:sz w:val="18"/>
                <w:szCs w:val="18"/>
              </w:rPr>
              <w:t>1,611</w:t>
            </w:r>
          </w:p>
        </w:tc>
        <w:tc>
          <w:tcPr>
            <w:tcW w:w="1021" w:type="dxa"/>
            <w:tcBorders>
              <w:top w:val="nil"/>
              <w:left w:val="nil"/>
              <w:bottom w:val="nil"/>
              <w:right w:val="nil"/>
            </w:tcBorders>
            <w:shd w:val="clear" w:color="auto" w:fill="auto"/>
            <w:vAlign w:val="bottom"/>
          </w:tcPr>
          <w:p w14:paraId="7DC3F587" w14:textId="4BB33E80" w:rsidR="00A26814" w:rsidRPr="003E2D55" w:rsidRDefault="00A26814" w:rsidP="00A26814">
            <w:pPr>
              <w:spacing w:before="40" w:after="20"/>
              <w:jc w:val="right"/>
              <w:rPr>
                <w:rFonts w:cs="Arial"/>
                <w:sz w:val="18"/>
                <w:szCs w:val="18"/>
              </w:rPr>
            </w:pPr>
            <w:r w:rsidRPr="003E2D55">
              <w:rPr>
                <w:rFonts w:cs="Arial"/>
                <w:sz w:val="18"/>
                <w:szCs w:val="18"/>
              </w:rPr>
              <w:t>15,386</w:t>
            </w:r>
          </w:p>
        </w:tc>
      </w:tr>
      <w:tr w:rsidR="00A26814" w:rsidRPr="003E2D55" w14:paraId="318EB3D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C7E796D" w14:textId="77777777" w:rsidR="00A26814" w:rsidRPr="003E2D55" w:rsidRDefault="00A26814" w:rsidP="00A26814">
            <w:pPr>
              <w:spacing w:before="40" w:after="20"/>
              <w:rPr>
                <w:rFonts w:cs="Arial"/>
                <w:sz w:val="18"/>
                <w:szCs w:val="18"/>
              </w:rPr>
            </w:pPr>
            <w:r w:rsidRPr="003E2D55">
              <w:rPr>
                <w:rFonts w:cs="Arial"/>
                <w:sz w:val="18"/>
                <w:szCs w:val="18"/>
              </w:rPr>
              <w:t>Surf Coast S</w:t>
            </w:r>
          </w:p>
        </w:tc>
        <w:tc>
          <w:tcPr>
            <w:tcW w:w="1134" w:type="dxa"/>
            <w:tcBorders>
              <w:top w:val="nil"/>
              <w:left w:val="single" w:sz="18" w:space="0" w:color="5F497A" w:themeColor="accent4" w:themeShade="BF"/>
              <w:bottom w:val="nil"/>
              <w:right w:val="nil"/>
            </w:tcBorders>
            <w:shd w:val="clear" w:color="auto" w:fill="auto"/>
            <w:vAlign w:val="bottom"/>
          </w:tcPr>
          <w:p w14:paraId="3B051347" w14:textId="367189D8" w:rsidR="00A26814" w:rsidRPr="003E2D55" w:rsidRDefault="00A26814" w:rsidP="00A26814">
            <w:pPr>
              <w:spacing w:before="40" w:after="20"/>
              <w:jc w:val="right"/>
              <w:rPr>
                <w:rFonts w:cs="Arial"/>
                <w:sz w:val="18"/>
                <w:szCs w:val="18"/>
              </w:rPr>
            </w:pPr>
            <w:r w:rsidRPr="003E2D55">
              <w:rPr>
                <w:rFonts w:cs="Arial"/>
                <w:sz w:val="18"/>
                <w:szCs w:val="18"/>
              </w:rPr>
              <w:t>302</w:t>
            </w:r>
          </w:p>
        </w:tc>
        <w:tc>
          <w:tcPr>
            <w:tcW w:w="1134" w:type="dxa"/>
            <w:tcBorders>
              <w:top w:val="nil"/>
              <w:left w:val="nil"/>
              <w:bottom w:val="nil"/>
              <w:right w:val="nil"/>
            </w:tcBorders>
            <w:vAlign w:val="bottom"/>
          </w:tcPr>
          <w:p w14:paraId="4CC16BF9" w14:textId="3CC1F90A" w:rsidR="00A26814" w:rsidRPr="003E2D55" w:rsidRDefault="00A26814" w:rsidP="00A26814">
            <w:pPr>
              <w:spacing w:before="40" w:after="20"/>
              <w:jc w:val="right"/>
              <w:rPr>
                <w:rFonts w:cs="Arial"/>
                <w:sz w:val="18"/>
                <w:szCs w:val="18"/>
              </w:rPr>
            </w:pPr>
            <w:r w:rsidRPr="003E2D55">
              <w:rPr>
                <w:rFonts w:cs="Arial"/>
                <w:sz w:val="18"/>
                <w:szCs w:val="18"/>
              </w:rPr>
              <w:t>812</w:t>
            </w:r>
          </w:p>
        </w:tc>
        <w:tc>
          <w:tcPr>
            <w:tcW w:w="1247" w:type="dxa"/>
            <w:tcBorders>
              <w:top w:val="nil"/>
              <w:left w:val="nil"/>
              <w:bottom w:val="nil"/>
              <w:right w:val="nil"/>
            </w:tcBorders>
            <w:vAlign w:val="bottom"/>
          </w:tcPr>
          <w:p w14:paraId="33581FDA" w14:textId="787BB8BD" w:rsidR="00A26814" w:rsidRPr="003E2D55" w:rsidRDefault="00A26814" w:rsidP="00A26814">
            <w:pPr>
              <w:spacing w:before="40" w:after="20"/>
              <w:jc w:val="right"/>
              <w:rPr>
                <w:rFonts w:cs="Arial"/>
                <w:b/>
                <w:sz w:val="18"/>
                <w:szCs w:val="18"/>
              </w:rPr>
            </w:pPr>
            <w:r w:rsidRPr="003E2D55">
              <w:rPr>
                <w:rFonts w:cs="Arial"/>
                <w:b/>
                <w:sz w:val="18"/>
                <w:szCs w:val="18"/>
              </w:rPr>
              <w:t>1,114</w:t>
            </w:r>
          </w:p>
        </w:tc>
        <w:tc>
          <w:tcPr>
            <w:tcW w:w="1247" w:type="dxa"/>
            <w:tcBorders>
              <w:top w:val="nil"/>
              <w:left w:val="nil"/>
              <w:bottom w:val="nil"/>
              <w:right w:val="nil"/>
            </w:tcBorders>
            <w:shd w:val="clear" w:color="auto" w:fill="auto"/>
            <w:vAlign w:val="bottom"/>
          </w:tcPr>
          <w:p w14:paraId="56CAB35A" w14:textId="3D6B2F22" w:rsidR="00A26814" w:rsidRPr="003E2D55" w:rsidRDefault="00A26814" w:rsidP="00A26814">
            <w:pPr>
              <w:spacing w:before="40" w:after="20"/>
              <w:jc w:val="right"/>
              <w:rPr>
                <w:rFonts w:cs="Arial"/>
                <w:b/>
                <w:sz w:val="18"/>
                <w:szCs w:val="18"/>
              </w:rPr>
            </w:pPr>
            <w:r w:rsidRPr="003E2D55">
              <w:rPr>
                <w:rFonts w:cs="Arial"/>
                <w:b/>
                <w:sz w:val="18"/>
                <w:szCs w:val="18"/>
              </w:rPr>
              <w:t>482</w:t>
            </w:r>
          </w:p>
        </w:tc>
        <w:tc>
          <w:tcPr>
            <w:tcW w:w="1021" w:type="dxa"/>
            <w:tcBorders>
              <w:top w:val="nil"/>
              <w:left w:val="nil"/>
              <w:bottom w:val="nil"/>
              <w:right w:val="nil"/>
            </w:tcBorders>
            <w:shd w:val="clear" w:color="auto" w:fill="auto"/>
            <w:vAlign w:val="bottom"/>
          </w:tcPr>
          <w:p w14:paraId="394F76A3" w14:textId="53FC0A96" w:rsidR="00A26814" w:rsidRPr="003E2D55" w:rsidRDefault="00A26814" w:rsidP="00A26814">
            <w:pPr>
              <w:spacing w:before="40" w:after="20"/>
              <w:jc w:val="right"/>
              <w:rPr>
                <w:rFonts w:cs="Arial"/>
                <w:sz w:val="18"/>
                <w:szCs w:val="18"/>
              </w:rPr>
            </w:pPr>
            <w:r w:rsidRPr="003E2D55">
              <w:rPr>
                <w:rFonts w:cs="Arial"/>
                <w:sz w:val="18"/>
                <w:szCs w:val="18"/>
              </w:rPr>
              <w:t>73</w:t>
            </w:r>
          </w:p>
        </w:tc>
        <w:tc>
          <w:tcPr>
            <w:tcW w:w="1021" w:type="dxa"/>
            <w:tcBorders>
              <w:top w:val="nil"/>
              <w:left w:val="nil"/>
              <w:bottom w:val="nil"/>
              <w:right w:val="nil"/>
            </w:tcBorders>
            <w:shd w:val="clear" w:color="auto" w:fill="auto"/>
            <w:vAlign w:val="bottom"/>
          </w:tcPr>
          <w:p w14:paraId="3887171E" w14:textId="072EF12A" w:rsidR="00A26814" w:rsidRPr="003E2D55" w:rsidRDefault="00A26814" w:rsidP="00A26814">
            <w:pPr>
              <w:spacing w:before="40" w:after="20"/>
              <w:jc w:val="right"/>
              <w:rPr>
                <w:rFonts w:cs="Arial"/>
                <w:sz w:val="18"/>
                <w:szCs w:val="18"/>
              </w:rPr>
            </w:pPr>
            <w:r w:rsidRPr="003E2D55">
              <w:rPr>
                <w:rFonts w:cs="Arial"/>
                <w:sz w:val="18"/>
                <w:szCs w:val="18"/>
              </w:rPr>
              <w:t>1,941</w:t>
            </w:r>
          </w:p>
        </w:tc>
      </w:tr>
      <w:tr w:rsidR="00A26814" w:rsidRPr="003E2D55" w14:paraId="7888EBE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A950B34" w14:textId="77777777" w:rsidR="00A26814" w:rsidRPr="003E2D55" w:rsidRDefault="00A26814" w:rsidP="00A26814">
            <w:pPr>
              <w:spacing w:before="40" w:after="20"/>
              <w:rPr>
                <w:rFonts w:cs="Arial"/>
                <w:sz w:val="18"/>
                <w:szCs w:val="18"/>
              </w:rPr>
            </w:pPr>
            <w:r w:rsidRPr="003E2D55">
              <w:rPr>
                <w:rFonts w:cs="Arial"/>
                <w:sz w:val="18"/>
                <w:szCs w:val="18"/>
              </w:rPr>
              <w:t>Swan Hill RC</w:t>
            </w:r>
          </w:p>
        </w:tc>
        <w:tc>
          <w:tcPr>
            <w:tcW w:w="1134" w:type="dxa"/>
            <w:tcBorders>
              <w:top w:val="nil"/>
              <w:left w:val="single" w:sz="18" w:space="0" w:color="5F497A" w:themeColor="accent4" w:themeShade="BF"/>
              <w:bottom w:val="nil"/>
              <w:right w:val="nil"/>
            </w:tcBorders>
            <w:shd w:val="clear" w:color="auto" w:fill="auto"/>
            <w:vAlign w:val="bottom"/>
          </w:tcPr>
          <w:p w14:paraId="52DB9F28" w14:textId="2EE6957A" w:rsidR="00A26814" w:rsidRPr="003E2D55" w:rsidRDefault="00A26814" w:rsidP="00A26814">
            <w:pPr>
              <w:spacing w:before="40" w:after="20"/>
              <w:jc w:val="right"/>
              <w:rPr>
                <w:rFonts w:cs="Arial"/>
                <w:sz w:val="18"/>
                <w:szCs w:val="18"/>
              </w:rPr>
            </w:pPr>
            <w:r w:rsidRPr="003E2D55">
              <w:rPr>
                <w:rFonts w:cs="Arial"/>
                <w:sz w:val="18"/>
                <w:szCs w:val="18"/>
              </w:rPr>
              <w:t>155</w:t>
            </w:r>
          </w:p>
        </w:tc>
        <w:tc>
          <w:tcPr>
            <w:tcW w:w="1134" w:type="dxa"/>
            <w:tcBorders>
              <w:top w:val="nil"/>
              <w:left w:val="nil"/>
              <w:bottom w:val="nil"/>
              <w:right w:val="nil"/>
            </w:tcBorders>
            <w:vAlign w:val="bottom"/>
          </w:tcPr>
          <w:p w14:paraId="4E75B67E" w14:textId="5F012C28" w:rsidR="00A26814" w:rsidRPr="003E2D55" w:rsidRDefault="00A26814" w:rsidP="00A26814">
            <w:pPr>
              <w:spacing w:before="40" w:after="20"/>
              <w:jc w:val="right"/>
              <w:rPr>
                <w:rFonts w:cs="Arial"/>
                <w:sz w:val="18"/>
                <w:szCs w:val="18"/>
              </w:rPr>
            </w:pPr>
            <w:r w:rsidRPr="003E2D55">
              <w:rPr>
                <w:rFonts w:cs="Arial"/>
                <w:sz w:val="18"/>
                <w:szCs w:val="18"/>
              </w:rPr>
              <w:t>3,353</w:t>
            </w:r>
          </w:p>
        </w:tc>
        <w:tc>
          <w:tcPr>
            <w:tcW w:w="1247" w:type="dxa"/>
            <w:tcBorders>
              <w:top w:val="nil"/>
              <w:left w:val="nil"/>
              <w:bottom w:val="nil"/>
              <w:right w:val="nil"/>
            </w:tcBorders>
            <w:vAlign w:val="bottom"/>
          </w:tcPr>
          <w:p w14:paraId="14E6EE5F" w14:textId="4B07D545" w:rsidR="00A26814" w:rsidRPr="003E2D55" w:rsidRDefault="00A26814" w:rsidP="00A26814">
            <w:pPr>
              <w:spacing w:before="40" w:after="20"/>
              <w:jc w:val="right"/>
              <w:rPr>
                <w:rFonts w:cs="Arial"/>
                <w:b/>
                <w:sz w:val="18"/>
                <w:szCs w:val="18"/>
              </w:rPr>
            </w:pPr>
            <w:r w:rsidRPr="003E2D55">
              <w:rPr>
                <w:rFonts w:cs="Arial"/>
                <w:b/>
                <w:sz w:val="18"/>
                <w:szCs w:val="18"/>
              </w:rPr>
              <w:t>3,508</w:t>
            </w:r>
          </w:p>
        </w:tc>
        <w:tc>
          <w:tcPr>
            <w:tcW w:w="1247" w:type="dxa"/>
            <w:tcBorders>
              <w:top w:val="nil"/>
              <w:left w:val="nil"/>
              <w:bottom w:val="nil"/>
              <w:right w:val="nil"/>
            </w:tcBorders>
            <w:shd w:val="clear" w:color="auto" w:fill="auto"/>
            <w:vAlign w:val="bottom"/>
          </w:tcPr>
          <w:p w14:paraId="7A5369E1" w14:textId="068D90A3" w:rsidR="00A26814" w:rsidRPr="003E2D55" w:rsidRDefault="00A26814" w:rsidP="00A26814">
            <w:pPr>
              <w:spacing w:before="40" w:after="20"/>
              <w:jc w:val="right"/>
              <w:rPr>
                <w:rFonts w:cs="Arial"/>
                <w:b/>
                <w:sz w:val="18"/>
                <w:szCs w:val="18"/>
              </w:rPr>
            </w:pPr>
            <w:r w:rsidRPr="003E2D55">
              <w:rPr>
                <w:rFonts w:cs="Arial"/>
                <w:b/>
                <w:sz w:val="18"/>
                <w:szCs w:val="18"/>
              </w:rPr>
              <w:t>831</w:t>
            </w:r>
          </w:p>
        </w:tc>
        <w:tc>
          <w:tcPr>
            <w:tcW w:w="1021" w:type="dxa"/>
            <w:tcBorders>
              <w:top w:val="nil"/>
              <w:left w:val="nil"/>
              <w:bottom w:val="nil"/>
              <w:right w:val="nil"/>
            </w:tcBorders>
            <w:shd w:val="clear" w:color="auto" w:fill="auto"/>
            <w:vAlign w:val="bottom"/>
          </w:tcPr>
          <w:p w14:paraId="6D11E5DB" w14:textId="7FF26526" w:rsidR="00A26814" w:rsidRPr="003E2D55" w:rsidRDefault="00A26814" w:rsidP="00A26814">
            <w:pPr>
              <w:spacing w:before="40" w:after="20"/>
              <w:jc w:val="right"/>
              <w:rPr>
                <w:rFonts w:cs="Arial"/>
                <w:sz w:val="18"/>
                <w:szCs w:val="18"/>
              </w:rPr>
            </w:pPr>
            <w:r w:rsidRPr="003E2D55">
              <w:rPr>
                <w:rFonts w:cs="Arial"/>
                <w:sz w:val="18"/>
                <w:szCs w:val="18"/>
              </w:rPr>
              <w:t>0</w:t>
            </w:r>
          </w:p>
        </w:tc>
        <w:tc>
          <w:tcPr>
            <w:tcW w:w="1021" w:type="dxa"/>
            <w:tcBorders>
              <w:top w:val="nil"/>
              <w:left w:val="nil"/>
              <w:bottom w:val="nil"/>
              <w:right w:val="nil"/>
            </w:tcBorders>
            <w:shd w:val="clear" w:color="auto" w:fill="auto"/>
            <w:vAlign w:val="bottom"/>
          </w:tcPr>
          <w:p w14:paraId="62ABEBFB" w14:textId="111F5BE4" w:rsidR="00A26814" w:rsidRPr="003E2D55" w:rsidRDefault="00A26814" w:rsidP="00A26814">
            <w:pPr>
              <w:spacing w:before="40" w:after="20"/>
              <w:jc w:val="right"/>
              <w:rPr>
                <w:rFonts w:cs="Arial"/>
                <w:sz w:val="18"/>
                <w:szCs w:val="18"/>
              </w:rPr>
            </w:pPr>
            <w:r w:rsidRPr="003E2D55">
              <w:rPr>
                <w:rFonts w:cs="Arial"/>
                <w:sz w:val="18"/>
                <w:szCs w:val="18"/>
              </w:rPr>
              <w:t>1,151</w:t>
            </w:r>
          </w:p>
        </w:tc>
      </w:tr>
      <w:tr w:rsidR="00A26814" w:rsidRPr="003E2D55" w14:paraId="12E40B7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7CED017" w14:textId="77777777" w:rsidR="00A26814" w:rsidRPr="003E2D55" w:rsidRDefault="00A26814" w:rsidP="00A26814">
            <w:pPr>
              <w:spacing w:before="40" w:after="20"/>
              <w:rPr>
                <w:rFonts w:cs="Arial"/>
                <w:sz w:val="18"/>
                <w:szCs w:val="18"/>
              </w:rPr>
            </w:pPr>
            <w:r w:rsidRPr="003E2D55">
              <w:rPr>
                <w:rFonts w:cs="Arial"/>
                <w:sz w:val="18"/>
                <w:szCs w:val="18"/>
              </w:rPr>
              <w:t>Towong S</w:t>
            </w:r>
          </w:p>
        </w:tc>
        <w:tc>
          <w:tcPr>
            <w:tcW w:w="1134" w:type="dxa"/>
            <w:tcBorders>
              <w:top w:val="nil"/>
              <w:left w:val="single" w:sz="18" w:space="0" w:color="5F497A" w:themeColor="accent4" w:themeShade="BF"/>
              <w:bottom w:val="nil"/>
              <w:right w:val="nil"/>
            </w:tcBorders>
            <w:shd w:val="clear" w:color="auto" w:fill="auto"/>
            <w:vAlign w:val="bottom"/>
          </w:tcPr>
          <w:p w14:paraId="1411CDD0" w14:textId="7B1501AE" w:rsidR="00A26814" w:rsidRPr="003E2D55" w:rsidRDefault="00A26814" w:rsidP="00A26814">
            <w:pPr>
              <w:spacing w:before="40" w:after="20"/>
              <w:jc w:val="right"/>
              <w:rPr>
                <w:rFonts w:cs="Arial"/>
                <w:sz w:val="18"/>
                <w:szCs w:val="18"/>
              </w:rPr>
            </w:pPr>
            <w:r w:rsidRPr="003E2D55">
              <w:rPr>
                <w:rFonts w:cs="Arial"/>
                <w:sz w:val="18"/>
                <w:szCs w:val="18"/>
              </w:rPr>
              <w:t>85</w:t>
            </w:r>
          </w:p>
        </w:tc>
        <w:tc>
          <w:tcPr>
            <w:tcW w:w="1134" w:type="dxa"/>
            <w:tcBorders>
              <w:top w:val="nil"/>
              <w:left w:val="nil"/>
              <w:bottom w:val="nil"/>
              <w:right w:val="nil"/>
            </w:tcBorders>
            <w:vAlign w:val="bottom"/>
          </w:tcPr>
          <w:p w14:paraId="0A1154AC" w14:textId="6FEE77D4" w:rsidR="00A26814" w:rsidRPr="003E2D55" w:rsidRDefault="00A26814" w:rsidP="00A26814">
            <w:pPr>
              <w:spacing w:before="40" w:after="20"/>
              <w:jc w:val="right"/>
              <w:rPr>
                <w:rFonts w:cs="Arial"/>
                <w:sz w:val="18"/>
                <w:szCs w:val="18"/>
              </w:rPr>
            </w:pPr>
            <w:r w:rsidRPr="003E2D55">
              <w:rPr>
                <w:rFonts w:cs="Arial"/>
                <w:sz w:val="18"/>
                <w:szCs w:val="18"/>
              </w:rPr>
              <w:t>1,098</w:t>
            </w:r>
          </w:p>
        </w:tc>
        <w:tc>
          <w:tcPr>
            <w:tcW w:w="1247" w:type="dxa"/>
            <w:tcBorders>
              <w:top w:val="nil"/>
              <w:left w:val="nil"/>
              <w:bottom w:val="nil"/>
              <w:right w:val="nil"/>
            </w:tcBorders>
            <w:vAlign w:val="bottom"/>
          </w:tcPr>
          <w:p w14:paraId="55E9EF20" w14:textId="2A77F787" w:rsidR="00A26814" w:rsidRPr="003E2D55" w:rsidRDefault="00A26814" w:rsidP="00A26814">
            <w:pPr>
              <w:spacing w:before="40" w:after="20"/>
              <w:jc w:val="right"/>
              <w:rPr>
                <w:rFonts w:cs="Arial"/>
                <w:b/>
                <w:sz w:val="18"/>
                <w:szCs w:val="18"/>
              </w:rPr>
            </w:pPr>
            <w:r w:rsidRPr="003E2D55">
              <w:rPr>
                <w:rFonts w:cs="Arial"/>
                <w:b/>
                <w:sz w:val="18"/>
                <w:szCs w:val="18"/>
              </w:rPr>
              <w:t>1,183</w:t>
            </w:r>
          </w:p>
        </w:tc>
        <w:tc>
          <w:tcPr>
            <w:tcW w:w="1247" w:type="dxa"/>
            <w:tcBorders>
              <w:top w:val="nil"/>
              <w:left w:val="nil"/>
              <w:bottom w:val="nil"/>
              <w:right w:val="nil"/>
            </w:tcBorders>
            <w:shd w:val="clear" w:color="auto" w:fill="auto"/>
            <w:vAlign w:val="bottom"/>
          </w:tcPr>
          <w:p w14:paraId="0A8771A6" w14:textId="575FC517" w:rsidR="00A26814" w:rsidRPr="003E2D55" w:rsidRDefault="00A26814" w:rsidP="00A26814">
            <w:pPr>
              <w:spacing w:before="40" w:after="20"/>
              <w:jc w:val="right"/>
              <w:rPr>
                <w:rFonts w:cs="Arial"/>
                <w:b/>
                <w:sz w:val="18"/>
                <w:szCs w:val="18"/>
              </w:rPr>
            </w:pPr>
            <w:r w:rsidRPr="003E2D55">
              <w:rPr>
                <w:rFonts w:cs="Arial"/>
                <w:b/>
                <w:sz w:val="18"/>
                <w:szCs w:val="18"/>
              </w:rPr>
              <w:t>380</w:t>
            </w:r>
          </w:p>
        </w:tc>
        <w:tc>
          <w:tcPr>
            <w:tcW w:w="1021" w:type="dxa"/>
            <w:tcBorders>
              <w:top w:val="nil"/>
              <w:left w:val="nil"/>
              <w:bottom w:val="nil"/>
              <w:right w:val="nil"/>
            </w:tcBorders>
            <w:shd w:val="clear" w:color="auto" w:fill="auto"/>
            <w:vAlign w:val="bottom"/>
          </w:tcPr>
          <w:p w14:paraId="091FAAAD" w14:textId="1018F566" w:rsidR="00A26814" w:rsidRPr="003E2D55" w:rsidRDefault="00A26814" w:rsidP="00A26814">
            <w:pPr>
              <w:spacing w:before="40" w:after="20"/>
              <w:jc w:val="right"/>
              <w:rPr>
                <w:rFonts w:cs="Arial"/>
                <w:sz w:val="18"/>
                <w:szCs w:val="18"/>
              </w:rPr>
            </w:pPr>
            <w:r w:rsidRPr="003E2D55">
              <w:rPr>
                <w:rFonts w:cs="Arial"/>
                <w:sz w:val="18"/>
                <w:szCs w:val="18"/>
              </w:rPr>
              <w:t>420</w:t>
            </w:r>
          </w:p>
        </w:tc>
        <w:tc>
          <w:tcPr>
            <w:tcW w:w="1021" w:type="dxa"/>
            <w:tcBorders>
              <w:top w:val="nil"/>
              <w:left w:val="nil"/>
              <w:bottom w:val="nil"/>
              <w:right w:val="nil"/>
            </w:tcBorders>
            <w:shd w:val="clear" w:color="auto" w:fill="auto"/>
            <w:vAlign w:val="bottom"/>
          </w:tcPr>
          <w:p w14:paraId="1EE35942" w14:textId="288B0F11" w:rsidR="00A26814" w:rsidRPr="003E2D55" w:rsidRDefault="00A26814" w:rsidP="00A26814">
            <w:pPr>
              <w:spacing w:before="40" w:after="20"/>
              <w:jc w:val="right"/>
              <w:rPr>
                <w:rFonts w:cs="Arial"/>
                <w:sz w:val="18"/>
                <w:szCs w:val="18"/>
              </w:rPr>
            </w:pPr>
            <w:r w:rsidRPr="003E2D55">
              <w:rPr>
                <w:rFonts w:cs="Arial"/>
                <w:sz w:val="18"/>
                <w:szCs w:val="18"/>
              </w:rPr>
              <w:t>11,620</w:t>
            </w:r>
          </w:p>
        </w:tc>
      </w:tr>
      <w:tr w:rsidR="00A26814" w:rsidRPr="003E2D55" w14:paraId="5607B85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198FA45" w14:textId="77777777" w:rsidR="00A26814" w:rsidRPr="003E2D55" w:rsidRDefault="00A26814" w:rsidP="00A26814">
            <w:pPr>
              <w:spacing w:before="40" w:after="20"/>
              <w:rPr>
                <w:rFonts w:cs="Arial"/>
                <w:sz w:val="18"/>
                <w:szCs w:val="18"/>
              </w:rPr>
            </w:pPr>
            <w:r w:rsidRPr="003E2D55">
              <w:rPr>
                <w:rFonts w:cs="Arial"/>
                <w:sz w:val="18"/>
                <w:szCs w:val="18"/>
              </w:rPr>
              <w:t>Wangaratta RC</w:t>
            </w:r>
          </w:p>
        </w:tc>
        <w:tc>
          <w:tcPr>
            <w:tcW w:w="1134" w:type="dxa"/>
            <w:tcBorders>
              <w:top w:val="nil"/>
              <w:left w:val="single" w:sz="18" w:space="0" w:color="5F497A" w:themeColor="accent4" w:themeShade="BF"/>
              <w:bottom w:val="nil"/>
              <w:right w:val="nil"/>
            </w:tcBorders>
            <w:shd w:val="clear" w:color="auto" w:fill="auto"/>
            <w:vAlign w:val="bottom"/>
          </w:tcPr>
          <w:p w14:paraId="74C616AF" w14:textId="79CDBDD0" w:rsidR="00A26814" w:rsidRPr="003E2D55" w:rsidRDefault="00A26814" w:rsidP="00A26814">
            <w:pPr>
              <w:spacing w:before="40" w:after="20"/>
              <w:jc w:val="right"/>
              <w:rPr>
                <w:rFonts w:cs="Arial"/>
                <w:sz w:val="18"/>
                <w:szCs w:val="18"/>
              </w:rPr>
            </w:pPr>
            <w:r w:rsidRPr="003E2D55">
              <w:rPr>
                <w:rFonts w:cs="Arial"/>
                <w:sz w:val="18"/>
                <w:szCs w:val="18"/>
              </w:rPr>
              <w:t>198</w:t>
            </w:r>
          </w:p>
        </w:tc>
        <w:tc>
          <w:tcPr>
            <w:tcW w:w="1134" w:type="dxa"/>
            <w:tcBorders>
              <w:top w:val="nil"/>
              <w:left w:val="nil"/>
              <w:bottom w:val="nil"/>
              <w:right w:val="nil"/>
            </w:tcBorders>
            <w:vAlign w:val="bottom"/>
          </w:tcPr>
          <w:p w14:paraId="6E612DCF" w14:textId="64F7CF11" w:rsidR="00A26814" w:rsidRPr="003E2D55" w:rsidRDefault="00A26814" w:rsidP="00A26814">
            <w:pPr>
              <w:spacing w:before="40" w:after="20"/>
              <w:jc w:val="right"/>
              <w:rPr>
                <w:rFonts w:cs="Arial"/>
                <w:sz w:val="18"/>
                <w:szCs w:val="18"/>
              </w:rPr>
            </w:pPr>
            <w:r w:rsidRPr="003E2D55">
              <w:rPr>
                <w:rFonts w:cs="Arial"/>
                <w:sz w:val="18"/>
                <w:szCs w:val="18"/>
              </w:rPr>
              <w:t>1,764</w:t>
            </w:r>
          </w:p>
        </w:tc>
        <w:tc>
          <w:tcPr>
            <w:tcW w:w="1247" w:type="dxa"/>
            <w:tcBorders>
              <w:top w:val="nil"/>
              <w:left w:val="nil"/>
              <w:bottom w:val="nil"/>
              <w:right w:val="nil"/>
            </w:tcBorders>
            <w:vAlign w:val="bottom"/>
          </w:tcPr>
          <w:p w14:paraId="21275051" w14:textId="11CFBEC8" w:rsidR="00A26814" w:rsidRPr="003E2D55" w:rsidRDefault="00A26814" w:rsidP="00A26814">
            <w:pPr>
              <w:spacing w:before="40" w:after="20"/>
              <w:jc w:val="right"/>
              <w:rPr>
                <w:rFonts w:cs="Arial"/>
                <w:b/>
                <w:sz w:val="18"/>
                <w:szCs w:val="18"/>
              </w:rPr>
            </w:pPr>
            <w:r w:rsidRPr="003E2D55">
              <w:rPr>
                <w:rFonts w:cs="Arial"/>
                <w:b/>
                <w:sz w:val="18"/>
                <w:szCs w:val="18"/>
              </w:rPr>
              <w:t>1,962</w:t>
            </w:r>
          </w:p>
        </w:tc>
        <w:tc>
          <w:tcPr>
            <w:tcW w:w="1247" w:type="dxa"/>
            <w:tcBorders>
              <w:top w:val="nil"/>
              <w:left w:val="nil"/>
              <w:bottom w:val="nil"/>
              <w:right w:val="nil"/>
            </w:tcBorders>
            <w:shd w:val="clear" w:color="auto" w:fill="auto"/>
            <w:vAlign w:val="bottom"/>
          </w:tcPr>
          <w:p w14:paraId="7C40FF7A" w14:textId="69D6BEF1" w:rsidR="00A26814" w:rsidRPr="003E2D55" w:rsidRDefault="00A26814" w:rsidP="00A26814">
            <w:pPr>
              <w:spacing w:before="40" w:after="20"/>
              <w:jc w:val="right"/>
              <w:rPr>
                <w:rFonts w:cs="Arial"/>
                <w:b/>
                <w:sz w:val="18"/>
                <w:szCs w:val="18"/>
              </w:rPr>
            </w:pPr>
            <w:r w:rsidRPr="003E2D55">
              <w:rPr>
                <w:rFonts w:cs="Arial"/>
                <w:b/>
                <w:sz w:val="18"/>
                <w:szCs w:val="18"/>
              </w:rPr>
              <w:t>666</w:t>
            </w:r>
          </w:p>
        </w:tc>
        <w:tc>
          <w:tcPr>
            <w:tcW w:w="1021" w:type="dxa"/>
            <w:tcBorders>
              <w:top w:val="nil"/>
              <w:left w:val="nil"/>
              <w:bottom w:val="nil"/>
              <w:right w:val="nil"/>
            </w:tcBorders>
            <w:shd w:val="clear" w:color="auto" w:fill="auto"/>
            <w:vAlign w:val="bottom"/>
          </w:tcPr>
          <w:p w14:paraId="6495D32B" w14:textId="6E681DE8" w:rsidR="00A26814" w:rsidRPr="003E2D55" w:rsidRDefault="00A26814" w:rsidP="00A26814">
            <w:pPr>
              <w:spacing w:before="40" w:after="20"/>
              <w:jc w:val="right"/>
              <w:rPr>
                <w:rFonts w:cs="Arial"/>
                <w:sz w:val="18"/>
                <w:szCs w:val="18"/>
              </w:rPr>
            </w:pPr>
            <w:r w:rsidRPr="003E2D55">
              <w:rPr>
                <w:rFonts w:cs="Arial"/>
                <w:sz w:val="18"/>
                <w:szCs w:val="18"/>
              </w:rPr>
              <w:t>802</w:t>
            </w:r>
          </w:p>
        </w:tc>
        <w:tc>
          <w:tcPr>
            <w:tcW w:w="1021" w:type="dxa"/>
            <w:tcBorders>
              <w:top w:val="nil"/>
              <w:left w:val="nil"/>
              <w:bottom w:val="nil"/>
              <w:right w:val="nil"/>
            </w:tcBorders>
            <w:shd w:val="clear" w:color="auto" w:fill="auto"/>
            <w:vAlign w:val="bottom"/>
          </w:tcPr>
          <w:p w14:paraId="62D30F88" w14:textId="2B503EE0" w:rsidR="00A26814" w:rsidRPr="003E2D55" w:rsidRDefault="00A26814" w:rsidP="00A26814">
            <w:pPr>
              <w:spacing w:before="40" w:after="20"/>
              <w:jc w:val="right"/>
              <w:rPr>
                <w:rFonts w:cs="Arial"/>
                <w:sz w:val="18"/>
                <w:szCs w:val="18"/>
              </w:rPr>
            </w:pPr>
            <w:r w:rsidRPr="003E2D55">
              <w:rPr>
                <w:rFonts w:cs="Arial"/>
                <w:sz w:val="18"/>
                <w:szCs w:val="18"/>
              </w:rPr>
              <w:t>24,059</w:t>
            </w:r>
          </w:p>
        </w:tc>
      </w:tr>
      <w:tr w:rsidR="00A26814" w:rsidRPr="003E2D55" w14:paraId="152B16F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138871B" w14:textId="77777777" w:rsidR="00A26814" w:rsidRPr="003E2D55" w:rsidRDefault="00A26814" w:rsidP="00A26814">
            <w:pPr>
              <w:spacing w:before="40" w:after="20"/>
              <w:rPr>
                <w:rFonts w:cs="Arial"/>
                <w:sz w:val="18"/>
                <w:szCs w:val="18"/>
              </w:rPr>
            </w:pPr>
            <w:r w:rsidRPr="003E2D55">
              <w:rPr>
                <w:rFonts w:cs="Arial"/>
                <w:sz w:val="18"/>
                <w:szCs w:val="18"/>
              </w:rPr>
              <w:t>Warrnambool C</w:t>
            </w:r>
          </w:p>
        </w:tc>
        <w:tc>
          <w:tcPr>
            <w:tcW w:w="1134" w:type="dxa"/>
            <w:tcBorders>
              <w:top w:val="nil"/>
              <w:left w:val="single" w:sz="18" w:space="0" w:color="5F497A" w:themeColor="accent4" w:themeShade="BF"/>
              <w:bottom w:val="nil"/>
              <w:right w:val="nil"/>
            </w:tcBorders>
            <w:shd w:val="clear" w:color="auto" w:fill="auto"/>
            <w:vAlign w:val="bottom"/>
          </w:tcPr>
          <w:p w14:paraId="70A3B693" w14:textId="4088D8F0" w:rsidR="00A26814" w:rsidRPr="003E2D55" w:rsidRDefault="00A26814" w:rsidP="00A26814">
            <w:pPr>
              <w:spacing w:before="40" w:after="20"/>
              <w:jc w:val="right"/>
              <w:rPr>
                <w:rFonts w:cs="Arial"/>
                <w:sz w:val="18"/>
                <w:szCs w:val="18"/>
              </w:rPr>
            </w:pPr>
            <w:r w:rsidRPr="003E2D55">
              <w:rPr>
                <w:rFonts w:cs="Arial"/>
                <w:sz w:val="18"/>
                <w:szCs w:val="18"/>
              </w:rPr>
              <w:t>264</w:t>
            </w:r>
          </w:p>
        </w:tc>
        <w:tc>
          <w:tcPr>
            <w:tcW w:w="1134" w:type="dxa"/>
            <w:tcBorders>
              <w:top w:val="nil"/>
              <w:left w:val="nil"/>
              <w:bottom w:val="nil"/>
              <w:right w:val="nil"/>
            </w:tcBorders>
            <w:vAlign w:val="bottom"/>
          </w:tcPr>
          <w:p w14:paraId="53A02634" w14:textId="5CF7468D" w:rsidR="00A26814" w:rsidRPr="003E2D55" w:rsidRDefault="00A26814" w:rsidP="00A26814">
            <w:pPr>
              <w:spacing w:before="40" w:after="20"/>
              <w:jc w:val="right"/>
              <w:rPr>
                <w:rFonts w:cs="Arial"/>
                <w:sz w:val="18"/>
                <w:szCs w:val="18"/>
              </w:rPr>
            </w:pPr>
            <w:r w:rsidRPr="003E2D55">
              <w:rPr>
                <w:rFonts w:cs="Arial"/>
                <w:sz w:val="18"/>
                <w:szCs w:val="18"/>
              </w:rPr>
              <w:t>71</w:t>
            </w:r>
          </w:p>
        </w:tc>
        <w:tc>
          <w:tcPr>
            <w:tcW w:w="1247" w:type="dxa"/>
            <w:tcBorders>
              <w:top w:val="nil"/>
              <w:left w:val="nil"/>
              <w:bottom w:val="nil"/>
              <w:right w:val="nil"/>
            </w:tcBorders>
            <w:vAlign w:val="bottom"/>
          </w:tcPr>
          <w:p w14:paraId="41E6878F" w14:textId="155A877C" w:rsidR="00A26814" w:rsidRPr="003E2D55" w:rsidRDefault="00A26814" w:rsidP="00A26814">
            <w:pPr>
              <w:spacing w:before="40" w:after="20"/>
              <w:jc w:val="right"/>
              <w:rPr>
                <w:rFonts w:cs="Arial"/>
                <w:b/>
                <w:sz w:val="18"/>
                <w:szCs w:val="18"/>
              </w:rPr>
            </w:pPr>
            <w:r w:rsidRPr="003E2D55">
              <w:rPr>
                <w:rFonts w:cs="Arial"/>
                <w:b/>
                <w:sz w:val="18"/>
                <w:szCs w:val="18"/>
              </w:rPr>
              <w:t>335</w:t>
            </w:r>
          </w:p>
        </w:tc>
        <w:tc>
          <w:tcPr>
            <w:tcW w:w="1247" w:type="dxa"/>
            <w:tcBorders>
              <w:top w:val="nil"/>
              <w:left w:val="nil"/>
              <w:bottom w:val="nil"/>
              <w:right w:val="nil"/>
            </w:tcBorders>
            <w:shd w:val="clear" w:color="auto" w:fill="auto"/>
            <w:vAlign w:val="bottom"/>
          </w:tcPr>
          <w:p w14:paraId="43EB5DA7" w14:textId="4D0C67FA" w:rsidR="00A26814" w:rsidRPr="003E2D55" w:rsidRDefault="00A26814" w:rsidP="00A26814">
            <w:pPr>
              <w:spacing w:before="40" w:after="20"/>
              <w:jc w:val="right"/>
              <w:rPr>
                <w:rFonts w:cs="Arial"/>
                <w:b/>
                <w:sz w:val="18"/>
                <w:szCs w:val="18"/>
              </w:rPr>
            </w:pPr>
            <w:r w:rsidRPr="003E2D55">
              <w:rPr>
                <w:rFonts w:cs="Arial"/>
                <w:b/>
                <w:sz w:val="18"/>
                <w:szCs w:val="18"/>
              </w:rPr>
              <w:t>86</w:t>
            </w:r>
          </w:p>
        </w:tc>
        <w:tc>
          <w:tcPr>
            <w:tcW w:w="1021" w:type="dxa"/>
            <w:tcBorders>
              <w:top w:val="nil"/>
              <w:left w:val="nil"/>
              <w:bottom w:val="nil"/>
              <w:right w:val="nil"/>
            </w:tcBorders>
            <w:shd w:val="clear" w:color="auto" w:fill="auto"/>
            <w:vAlign w:val="bottom"/>
          </w:tcPr>
          <w:p w14:paraId="3774AE4E" w14:textId="6FFDCA0B" w:rsidR="00A26814" w:rsidRPr="003E2D55" w:rsidRDefault="00A26814" w:rsidP="00A26814">
            <w:pPr>
              <w:spacing w:before="40" w:after="20"/>
              <w:jc w:val="right"/>
              <w:rPr>
                <w:rFonts w:cs="Arial"/>
                <w:sz w:val="18"/>
                <w:szCs w:val="18"/>
              </w:rPr>
            </w:pPr>
            <w:r w:rsidRPr="003E2D55">
              <w:rPr>
                <w:rFonts w:cs="Arial"/>
                <w:sz w:val="18"/>
                <w:szCs w:val="18"/>
              </w:rPr>
              <w:t>302</w:t>
            </w:r>
          </w:p>
        </w:tc>
        <w:tc>
          <w:tcPr>
            <w:tcW w:w="1021" w:type="dxa"/>
            <w:tcBorders>
              <w:top w:val="nil"/>
              <w:left w:val="nil"/>
              <w:bottom w:val="nil"/>
              <w:right w:val="nil"/>
            </w:tcBorders>
            <w:shd w:val="clear" w:color="auto" w:fill="auto"/>
            <w:vAlign w:val="bottom"/>
          </w:tcPr>
          <w:p w14:paraId="124FA9A0" w14:textId="763CFB3C" w:rsidR="00A26814" w:rsidRPr="003E2D55" w:rsidRDefault="00A26814" w:rsidP="00A26814">
            <w:pPr>
              <w:spacing w:before="40" w:after="20"/>
              <w:jc w:val="right"/>
              <w:rPr>
                <w:rFonts w:cs="Arial"/>
                <w:sz w:val="18"/>
                <w:szCs w:val="18"/>
              </w:rPr>
            </w:pPr>
            <w:r w:rsidRPr="003E2D55">
              <w:rPr>
                <w:rFonts w:cs="Arial"/>
                <w:sz w:val="18"/>
                <w:szCs w:val="18"/>
              </w:rPr>
              <w:t>4,273</w:t>
            </w:r>
          </w:p>
        </w:tc>
      </w:tr>
      <w:tr w:rsidR="00A26814" w:rsidRPr="003E2D55" w14:paraId="3869778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11C281E" w14:textId="77777777" w:rsidR="00A26814" w:rsidRPr="003E2D55" w:rsidRDefault="00A26814" w:rsidP="00A26814">
            <w:pPr>
              <w:spacing w:before="40" w:after="20"/>
              <w:rPr>
                <w:rFonts w:cs="Arial"/>
                <w:sz w:val="18"/>
                <w:szCs w:val="18"/>
              </w:rPr>
            </w:pPr>
            <w:r w:rsidRPr="003E2D55">
              <w:rPr>
                <w:rFonts w:cs="Arial"/>
                <w:sz w:val="18"/>
                <w:szCs w:val="18"/>
              </w:rPr>
              <w:t>Wellington S</w:t>
            </w:r>
          </w:p>
        </w:tc>
        <w:tc>
          <w:tcPr>
            <w:tcW w:w="1134" w:type="dxa"/>
            <w:tcBorders>
              <w:top w:val="nil"/>
              <w:left w:val="single" w:sz="18" w:space="0" w:color="5F497A" w:themeColor="accent4" w:themeShade="BF"/>
              <w:bottom w:val="nil"/>
              <w:right w:val="nil"/>
            </w:tcBorders>
            <w:shd w:val="clear" w:color="auto" w:fill="auto"/>
            <w:vAlign w:val="bottom"/>
          </w:tcPr>
          <w:p w14:paraId="203BD773" w14:textId="1C7F14BA" w:rsidR="00A26814" w:rsidRPr="003E2D55" w:rsidRDefault="00A26814" w:rsidP="00A26814">
            <w:pPr>
              <w:spacing w:before="40" w:after="20"/>
              <w:jc w:val="right"/>
              <w:rPr>
                <w:rFonts w:cs="Arial"/>
                <w:sz w:val="18"/>
                <w:szCs w:val="18"/>
              </w:rPr>
            </w:pPr>
            <w:r w:rsidRPr="003E2D55">
              <w:rPr>
                <w:rFonts w:cs="Arial"/>
                <w:sz w:val="18"/>
                <w:szCs w:val="18"/>
              </w:rPr>
              <w:t>185</w:t>
            </w:r>
          </w:p>
        </w:tc>
        <w:tc>
          <w:tcPr>
            <w:tcW w:w="1134" w:type="dxa"/>
            <w:tcBorders>
              <w:top w:val="nil"/>
              <w:left w:val="nil"/>
              <w:bottom w:val="nil"/>
              <w:right w:val="nil"/>
            </w:tcBorders>
            <w:vAlign w:val="bottom"/>
          </w:tcPr>
          <w:p w14:paraId="32C5145F" w14:textId="524AD4A6" w:rsidR="00A26814" w:rsidRPr="003E2D55" w:rsidRDefault="00A26814" w:rsidP="00A26814">
            <w:pPr>
              <w:spacing w:before="40" w:after="20"/>
              <w:jc w:val="right"/>
              <w:rPr>
                <w:rFonts w:cs="Arial"/>
                <w:sz w:val="18"/>
                <w:szCs w:val="18"/>
              </w:rPr>
            </w:pPr>
            <w:r w:rsidRPr="003E2D55">
              <w:rPr>
                <w:rFonts w:cs="Arial"/>
                <w:sz w:val="18"/>
                <w:szCs w:val="18"/>
              </w:rPr>
              <w:t>2,846</w:t>
            </w:r>
          </w:p>
        </w:tc>
        <w:tc>
          <w:tcPr>
            <w:tcW w:w="1247" w:type="dxa"/>
            <w:tcBorders>
              <w:top w:val="nil"/>
              <w:left w:val="nil"/>
              <w:bottom w:val="nil"/>
              <w:right w:val="nil"/>
            </w:tcBorders>
            <w:vAlign w:val="bottom"/>
          </w:tcPr>
          <w:p w14:paraId="4DAB3FD3" w14:textId="1BCCBD2C" w:rsidR="00A26814" w:rsidRPr="003E2D55" w:rsidRDefault="00A26814" w:rsidP="00A26814">
            <w:pPr>
              <w:spacing w:before="40" w:after="20"/>
              <w:jc w:val="right"/>
              <w:rPr>
                <w:rFonts w:cs="Arial"/>
                <w:b/>
                <w:sz w:val="18"/>
                <w:szCs w:val="18"/>
              </w:rPr>
            </w:pPr>
            <w:r w:rsidRPr="003E2D55">
              <w:rPr>
                <w:rFonts w:cs="Arial"/>
                <w:b/>
                <w:sz w:val="18"/>
                <w:szCs w:val="18"/>
              </w:rPr>
              <w:t>3,031</w:t>
            </w:r>
          </w:p>
        </w:tc>
        <w:tc>
          <w:tcPr>
            <w:tcW w:w="1247" w:type="dxa"/>
            <w:tcBorders>
              <w:top w:val="nil"/>
              <w:left w:val="nil"/>
              <w:bottom w:val="nil"/>
              <w:right w:val="nil"/>
            </w:tcBorders>
            <w:shd w:val="clear" w:color="auto" w:fill="auto"/>
            <w:vAlign w:val="bottom"/>
          </w:tcPr>
          <w:p w14:paraId="3DBC6E26" w14:textId="188204CC" w:rsidR="00A26814" w:rsidRPr="003E2D55" w:rsidRDefault="00A26814" w:rsidP="00A26814">
            <w:pPr>
              <w:spacing w:before="40" w:after="20"/>
              <w:jc w:val="right"/>
              <w:rPr>
                <w:rFonts w:cs="Arial"/>
                <w:b/>
                <w:sz w:val="18"/>
                <w:szCs w:val="18"/>
              </w:rPr>
            </w:pPr>
            <w:r w:rsidRPr="003E2D55">
              <w:rPr>
                <w:rFonts w:cs="Arial"/>
                <w:b/>
                <w:sz w:val="18"/>
                <w:szCs w:val="18"/>
              </w:rPr>
              <w:t>1,468</w:t>
            </w:r>
          </w:p>
        </w:tc>
        <w:tc>
          <w:tcPr>
            <w:tcW w:w="1021" w:type="dxa"/>
            <w:tcBorders>
              <w:top w:val="nil"/>
              <w:left w:val="nil"/>
              <w:bottom w:val="nil"/>
              <w:right w:val="nil"/>
            </w:tcBorders>
            <w:shd w:val="clear" w:color="auto" w:fill="auto"/>
            <w:vAlign w:val="bottom"/>
          </w:tcPr>
          <w:p w14:paraId="00DA823F" w14:textId="4EFEC858" w:rsidR="00A26814" w:rsidRPr="003E2D55" w:rsidRDefault="00A26814" w:rsidP="00A26814">
            <w:pPr>
              <w:spacing w:before="40" w:after="20"/>
              <w:jc w:val="right"/>
              <w:rPr>
                <w:rFonts w:cs="Arial"/>
                <w:sz w:val="18"/>
                <w:szCs w:val="18"/>
              </w:rPr>
            </w:pPr>
            <w:r w:rsidRPr="003E2D55">
              <w:rPr>
                <w:rFonts w:cs="Arial"/>
                <w:sz w:val="18"/>
                <w:szCs w:val="18"/>
              </w:rPr>
              <w:t>477</w:t>
            </w:r>
          </w:p>
        </w:tc>
        <w:tc>
          <w:tcPr>
            <w:tcW w:w="1021" w:type="dxa"/>
            <w:tcBorders>
              <w:top w:val="nil"/>
              <w:left w:val="nil"/>
              <w:bottom w:val="nil"/>
              <w:right w:val="nil"/>
            </w:tcBorders>
            <w:shd w:val="clear" w:color="auto" w:fill="auto"/>
            <w:vAlign w:val="bottom"/>
          </w:tcPr>
          <w:p w14:paraId="59C36794" w14:textId="1F58C7B0" w:rsidR="00A26814" w:rsidRPr="003E2D55" w:rsidRDefault="00A26814" w:rsidP="00A26814">
            <w:pPr>
              <w:spacing w:before="40" w:after="20"/>
              <w:jc w:val="right"/>
              <w:rPr>
                <w:rFonts w:cs="Arial"/>
                <w:sz w:val="18"/>
                <w:szCs w:val="18"/>
              </w:rPr>
            </w:pPr>
            <w:r w:rsidRPr="003E2D55">
              <w:rPr>
                <w:rFonts w:cs="Arial"/>
                <w:sz w:val="18"/>
                <w:szCs w:val="18"/>
              </w:rPr>
              <w:t>22,894</w:t>
            </w:r>
          </w:p>
        </w:tc>
      </w:tr>
      <w:tr w:rsidR="00A26814" w:rsidRPr="003E2D55" w14:paraId="0570E2F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11C38E9" w14:textId="77777777" w:rsidR="00A26814" w:rsidRPr="003E2D55" w:rsidRDefault="00A26814" w:rsidP="00A26814">
            <w:pPr>
              <w:spacing w:before="40" w:after="20"/>
              <w:rPr>
                <w:rFonts w:cs="Arial"/>
                <w:sz w:val="18"/>
                <w:szCs w:val="18"/>
              </w:rPr>
            </w:pPr>
            <w:r w:rsidRPr="003E2D55">
              <w:rPr>
                <w:rFonts w:cs="Arial"/>
                <w:sz w:val="18"/>
                <w:szCs w:val="18"/>
              </w:rPr>
              <w:t>West Wimmera S</w:t>
            </w:r>
          </w:p>
        </w:tc>
        <w:tc>
          <w:tcPr>
            <w:tcW w:w="1134" w:type="dxa"/>
            <w:tcBorders>
              <w:top w:val="nil"/>
              <w:left w:val="single" w:sz="18" w:space="0" w:color="5F497A" w:themeColor="accent4" w:themeShade="BF"/>
              <w:bottom w:val="nil"/>
              <w:right w:val="nil"/>
            </w:tcBorders>
            <w:shd w:val="clear" w:color="auto" w:fill="auto"/>
            <w:vAlign w:val="bottom"/>
          </w:tcPr>
          <w:p w14:paraId="72C01091" w14:textId="2BF17E1C" w:rsidR="00A26814" w:rsidRPr="003E2D55" w:rsidRDefault="00A26814" w:rsidP="00A26814">
            <w:pPr>
              <w:spacing w:before="40" w:after="20"/>
              <w:jc w:val="right"/>
              <w:rPr>
                <w:rFonts w:cs="Arial"/>
                <w:sz w:val="18"/>
                <w:szCs w:val="18"/>
              </w:rPr>
            </w:pPr>
            <w:r w:rsidRPr="003E2D55">
              <w:rPr>
                <w:rFonts w:cs="Arial"/>
                <w:sz w:val="18"/>
                <w:szCs w:val="18"/>
              </w:rPr>
              <w:t>78</w:t>
            </w:r>
          </w:p>
        </w:tc>
        <w:tc>
          <w:tcPr>
            <w:tcW w:w="1134" w:type="dxa"/>
            <w:tcBorders>
              <w:top w:val="nil"/>
              <w:left w:val="nil"/>
              <w:bottom w:val="nil"/>
              <w:right w:val="nil"/>
            </w:tcBorders>
            <w:vAlign w:val="bottom"/>
          </w:tcPr>
          <w:p w14:paraId="4D488748" w14:textId="6A7FC379" w:rsidR="00A26814" w:rsidRPr="003E2D55" w:rsidRDefault="00A26814" w:rsidP="00A26814">
            <w:pPr>
              <w:spacing w:before="40" w:after="20"/>
              <w:jc w:val="right"/>
              <w:rPr>
                <w:rFonts w:cs="Arial"/>
                <w:sz w:val="18"/>
                <w:szCs w:val="18"/>
              </w:rPr>
            </w:pPr>
            <w:r w:rsidRPr="003E2D55">
              <w:rPr>
                <w:rFonts w:cs="Arial"/>
                <w:sz w:val="18"/>
                <w:szCs w:val="18"/>
              </w:rPr>
              <w:t>2,731</w:t>
            </w:r>
          </w:p>
        </w:tc>
        <w:tc>
          <w:tcPr>
            <w:tcW w:w="1247" w:type="dxa"/>
            <w:tcBorders>
              <w:top w:val="nil"/>
              <w:left w:val="nil"/>
              <w:bottom w:val="nil"/>
              <w:right w:val="nil"/>
            </w:tcBorders>
            <w:vAlign w:val="bottom"/>
          </w:tcPr>
          <w:p w14:paraId="727AB1B1" w14:textId="427AE7DA" w:rsidR="00A26814" w:rsidRPr="003E2D55" w:rsidRDefault="00A26814" w:rsidP="00A26814">
            <w:pPr>
              <w:spacing w:before="40" w:after="20"/>
              <w:jc w:val="right"/>
              <w:rPr>
                <w:rFonts w:cs="Arial"/>
                <w:b/>
                <w:sz w:val="18"/>
                <w:szCs w:val="18"/>
              </w:rPr>
            </w:pPr>
            <w:r w:rsidRPr="003E2D55">
              <w:rPr>
                <w:rFonts w:cs="Arial"/>
                <w:b/>
                <w:sz w:val="18"/>
                <w:szCs w:val="18"/>
              </w:rPr>
              <w:t>2,809</w:t>
            </w:r>
          </w:p>
        </w:tc>
        <w:tc>
          <w:tcPr>
            <w:tcW w:w="1247" w:type="dxa"/>
            <w:tcBorders>
              <w:top w:val="nil"/>
              <w:left w:val="nil"/>
              <w:bottom w:val="nil"/>
              <w:right w:val="nil"/>
            </w:tcBorders>
            <w:shd w:val="clear" w:color="auto" w:fill="auto"/>
            <w:vAlign w:val="bottom"/>
          </w:tcPr>
          <w:p w14:paraId="67FFB9A7" w14:textId="001D6972" w:rsidR="00A26814" w:rsidRPr="003E2D55" w:rsidRDefault="00A26814" w:rsidP="00A26814">
            <w:pPr>
              <w:spacing w:before="40" w:after="20"/>
              <w:jc w:val="right"/>
              <w:rPr>
                <w:rFonts w:cs="Arial"/>
                <w:b/>
                <w:sz w:val="18"/>
                <w:szCs w:val="18"/>
              </w:rPr>
            </w:pPr>
            <w:r w:rsidRPr="003E2D55">
              <w:rPr>
                <w:rFonts w:cs="Arial"/>
                <w:b/>
                <w:sz w:val="18"/>
                <w:szCs w:val="18"/>
              </w:rPr>
              <w:t>895</w:t>
            </w:r>
          </w:p>
        </w:tc>
        <w:tc>
          <w:tcPr>
            <w:tcW w:w="1021" w:type="dxa"/>
            <w:tcBorders>
              <w:top w:val="nil"/>
              <w:left w:val="nil"/>
              <w:bottom w:val="nil"/>
              <w:right w:val="nil"/>
            </w:tcBorders>
            <w:shd w:val="clear" w:color="auto" w:fill="auto"/>
            <w:vAlign w:val="bottom"/>
          </w:tcPr>
          <w:p w14:paraId="58821A4D" w14:textId="0362E653" w:rsidR="00A26814" w:rsidRPr="003E2D55" w:rsidRDefault="00A26814" w:rsidP="00A26814">
            <w:pPr>
              <w:spacing w:before="40" w:after="20"/>
              <w:jc w:val="right"/>
              <w:rPr>
                <w:rFonts w:cs="Arial"/>
                <w:sz w:val="18"/>
                <w:szCs w:val="18"/>
              </w:rPr>
            </w:pPr>
            <w:r w:rsidRPr="003E2D55">
              <w:rPr>
                <w:rFonts w:cs="Arial"/>
                <w:sz w:val="18"/>
                <w:szCs w:val="18"/>
              </w:rPr>
              <w:t>19</w:t>
            </w:r>
          </w:p>
        </w:tc>
        <w:tc>
          <w:tcPr>
            <w:tcW w:w="1021" w:type="dxa"/>
            <w:tcBorders>
              <w:top w:val="nil"/>
              <w:left w:val="nil"/>
              <w:bottom w:val="nil"/>
              <w:right w:val="nil"/>
            </w:tcBorders>
            <w:shd w:val="clear" w:color="auto" w:fill="auto"/>
            <w:vAlign w:val="bottom"/>
          </w:tcPr>
          <w:p w14:paraId="1237E5A0" w14:textId="042AC291" w:rsidR="00A26814" w:rsidRPr="003E2D55" w:rsidRDefault="00A26814" w:rsidP="00A26814">
            <w:pPr>
              <w:spacing w:before="40" w:after="20"/>
              <w:jc w:val="right"/>
              <w:rPr>
                <w:rFonts w:cs="Arial"/>
                <w:sz w:val="18"/>
                <w:szCs w:val="18"/>
              </w:rPr>
            </w:pPr>
            <w:r w:rsidRPr="003E2D55">
              <w:rPr>
                <w:rFonts w:cs="Arial"/>
                <w:sz w:val="18"/>
                <w:szCs w:val="18"/>
              </w:rPr>
              <w:t>2,145</w:t>
            </w:r>
          </w:p>
        </w:tc>
      </w:tr>
      <w:tr w:rsidR="00A26814" w:rsidRPr="003E2D55" w14:paraId="18F2F1C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6BF441D" w14:textId="77777777" w:rsidR="00A26814" w:rsidRPr="003E2D55" w:rsidRDefault="00A26814" w:rsidP="00A26814">
            <w:pPr>
              <w:spacing w:before="40" w:after="20"/>
              <w:rPr>
                <w:rFonts w:cs="Arial"/>
                <w:sz w:val="18"/>
                <w:szCs w:val="18"/>
              </w:rPr>
            </w:pPr>
            <w:r w:rsidRPr="003E2D55">
              <w:rPr>
                <w:rFonts w:cs="Arial"/>
                <w:sz w:val="18"/>
                <w:szCs w:val="18"/>
              </w:rPr>
              <w:t>Whitehorse C</w:t>
            </w:r>
          </w:p>
        </w:tc>
        <w:tc>
          <w:tcPr>
            <w:tcW w:w="1134" w:type="dxa"/>
            <w:tcBorders>
              <w:top w:val="nil"/>
              <w:left w:val="single" w:sz="18" w:space="0" w:color="5F497A" w:themeColor="accent4" w:themeShade="BF"/>
              <w:bottom w:val="nil"/>
              <w:right w:val="nil"/>
            </w:tcBorders>
            <w:shd w:val="clear" w:color="auto" w:fill="auto"/>
            <w:vAlign w:val="bottom"/>
          </w:tcPr>
          <w:p w14:paraId="02A50373" w14:textId="7776F04D" w:rsidR="00A26814" w:rsidRPr="003E2D55" w:rsidRDefault="00A26814" w:rsidP="00A26814">
            <w:pPr>
              <w:spacing w:before="40" w:after="20"/>
              <w:jc w:val="right"/>
              <w:rPr>
                <w:rFonts w:cs="Arial"/>
                <w:sz w:val="18"/>
                <w:szCs w:val="18"/>
              </w:rPr>
            </w:pPr>
            <w:r w:rsidRPr="003E2D55">
              <w:rPr>
                <w:rFonts w:cs="Arial"/>
                <w:sz w:val="18"/>
                <w:szCs w:val="18"/>
              </w:rPr>
              <w:t>634</w:t>
            </w:r>
          </w:p>
        </w:tc>
        <w:tc>
          <w:tcPr>
            <w:tcW w:w="1134" w:type="dxa"/>
            <w:tcBorders>
              <w:top w:val="nil"/>
              <w:left w:val="nil"/>
              <w:bottom w:val="nil"/>
              <w:right w:val="nil"/>
            </w:tcBorders>
            <w:vAlign w:val="bottom"/>
          </w:tcPr>
          <w:p w14:paraId="0F82105F" w14:textId="28EDB9C5" w:rsidR="00A26814" w:rsidRPr="003E2D55" w:rsidRDefault="00A26814" w:rsidP="00A26814">
            <w:pPr>
              <w:spacing w:before="40" w:after="20"/>
              <w:jc w:val="right"/>
              <w:rPr>
                <w:rFonts w:cs="Arial"/>
                <w:sz w:val="18"/>
                <w:szCs w:val="18"/>
              </w:rPr>
            </w:pPr>
            <w:r w:rsidRPr="003E2D55">
              <w:rPr>
                <w:rFonts w:cs="Arial"/>
                <w:sz w:val="18"/>
                <w:szCs w:val="18"/>
              </w:rPr>
              <w:t>0</w:t>
            </w:r>
          </w:p>
        </w:tc>
        <w:tc>
          <w:tcPr>
            <w:tcW w:w="1247" w:type="dxa"/>
            <w:tcBorders>
              <w:top w:val="nil"/>
              <w:left w:val="nil"/>
              <w:bottom w:val="nil"/>
              <w:right w:val="nil"/>
            </w:tcBorders>
            <w:vAlign w:val="bottom"/>
          </w:tcPr>
          <w:p w14:paraId="0BBACBD5" w14:textId="42FC80C6" w:rsidR="00A26814" w:rsidRPr="003E2D55" w:rsidRDefault="00A26814" w:rsidP="00A26814">
            <w:pPr>
              <w:spacing w:before="40" w:after="20"/>
              <w:jc w:val="right"/>
              <w:rPr>
                <w:rFonts w:cs="Arial"/>
                <w:b/>
                <w:sz w:val="18"/>
                <w:szCs w:val="18"/>
              </w:rPr>
            </w:pPr>
            <w:r w:rsidRPr="003E2D55">
              <w:rPr>
                <w:rFonts w:cs="Arial"/>
                <w:b/>
                <w:sz w:val="18"/>
                <w:szCs w:val="18"/>
              </w:rPr>
              <w:t>634</w:t>
            </w:r>
          </w:p>
        </w:tc>
        <w:tc>
          <w:tcPr>
            <w:tcW w:w="1247" w:type="dxa"/>
            <w:tcBorders>
              <w:top w:val="nil"/>
              <w:left w:val="nil"/>
              <w:bottom w:val="nil"/>
              <w:right w:val="nil"/>
            </w:tcBorders>
            <w:shd w:val="clear" w:color="auto" w:fill="auto"/>
            <w:vAlign w:val="bottom"/>
          </w:tcPr>
          <w:p w14:paraId="182A6127" w14:textId="6BE50D56" w:rsidR="00A26814" w:rsidRPr="003E2D55" w:rsidRDefault="00A26814" w:rsidP="00A26814">
            <w:pPr>
              <w:spacing w:before="40" w:after="20"/>
              <w:jc w:val="right"/>
              <w:rPr>
                <w:rFonts w:cs="Arial"/>
                <w:b/>
                <w:sz w:val="18"/>
                <w:szCs w:val="18"/>
              </w:rPr>
            </w:pPr>
            <w:r w:rsidRPr="003E2D55">
              <w:rPr>
                <w:rFonts w:cs="Arial"/>
                <w:b/>
                <w:sz w:val="18"/>
                <w:szCs w:val="18"/>
              </w:rPr>
              <w:t>71</w:t>
            </w:r>
          </w:p>
        </w:tc>
        <w:tc>
          <w:tcPr>
            <w:tcW w:w="1021" w:type="dxa"/>
            <w:tcBorders>
              <w:top w:val="nil"/>
              <w:left w:val="nil"/>
              <w:bottom w:val="nil"/>
              <w:right w:val="nil"/>
            </w:tcBorders>
            <w:shd w:val="clear" w:color="auto" w:fill="auto"/>
            <w:vAlign w:val="bottom"/>
          </w:tcPr>
          <w:p w14:paraId="2CDDE68B" w14:textId="4D3D7B2D" w:rsidR="00A26814" w:rsidRPr="003E2D55" w:rsidRDefault="00A26814" w:rsidP="00A26814">
            <w:pPr>
              <w:spacing w:before="40" w:after="20"/>
              <w:jc w:val="right"/>
              <w:rPr>
                <w:rFonts w:cs="Arial"/>
                <w:sz w:val="18"/>
                <w:szCs w:val="18"/>
              </w:rPr>
            </w:pPr>
            <w:r w:rsidRPr="003E2D55">
              <w:rPr>
                <w:rFonts w:cs="Arial"/>
                <w:sz w:val="18"/>
                <w:szCs w:val="18"/>
              </w:rPr>
              <w:t>25</w:t>
            </w:r>
          </w:p>
        </w:tc>
        <w:tc>
          <w:tcPr>
            <w:tcW w:w="1021" w:type="dxa"/>
            <w:tcBorders>
              <w:top w:val="nil"/>
              <w:left w:val="nil"/>
              <w:bottom w:val="nil"/>
              <w:right w:val="nil"/>
            </w:tcBorders>
            <w:shd w:val="clear" w:color="auto" w:fill="auto"/>
            <w:vAlign w:val="bottom"/>
          </w:tcPr>
          <w:p w14:paraId="57E22003" w14:textId="4AAB4C95" w:rsidR="00A26814" w:rsidRPr="003E2D55" w:rsidRDefault="00A26814" w:rsidP="00A26814">
            <w:pPr>
              <w:spacing w:before="40" w:after="20"/>
              <w:jc w:val="right"/>
              <w:rPr>
                <w:rFonts w:cs="Arial"/>
                <w:sz w:val="18"/>
                <w:szCs w:val="18"/>
              </w:rPr>
            </w:pPr>
            <w:r w:rsidRPr="003E2D55">
              <w:rPr>
                <w:rFonts w:cs="Arial"/>
                <w:sz w:val="18"/>
                <w:szCs w:val="18"/>
              </w:rPr>
              <w:t>855</w:t>
            </w:r>
          </w:p>
        </w:tc>
      </w:tr>
      <w:tr w:rsidR="00A26814" w:rsidRPr="003E2D55" w14:paraId="770EEF0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B330FBA" w14:textId="77777777" w:rsidR="00A26814" w:rsidRPr="003E2D55" w:rsidRDefault="00A26814" w:rsidP="00A26814">
            <w:pPr>
              <w:spacing w:before="40" w:after="20"/>
              <w:rPr>
                <w:rFonts w:cs="Arial"/>
                <w:sz w:val="18"/>
                <w:szCs w:val="18"/>
              </w:rPr>
            </w:pPr>
            <w:r w:rsidRPr="003E2D55">
              <w:rPr>
                <w:rFonts w:cs="Arial"/>
                <w:sz w:val="18"/>
                <w:szCs w:val="18"/>
              </w:rPr>
              <w:t>Whittlesea C</w:t>
            </w:r>
          </w:p>
        </w:tc>
        <w:tc>
          <w:tcPr>
            <w:tcW w:w="1134" w:type="dxa"/>
            <w:tcBorders>
              <w:top w:val="nil"/>
              <w:left w:val="single" w:sz="18" w:space="0" w:color="5F497A" w:themeColor="accent4" w:themeShade="BF"/>
              <w:bottom w:val="nil"/>
              <w:right w:val="nil"/>
            </w:tcBorders>
            <w:shd w:val="clear" w:color="auto" w:fill="auto"/>
            <w:vAlign w:val="bottom"/>
          </w:tcPr>
          <w:p w14:paraId="30EF2CA3" w14:textId="28A5C4CD" w:rsidR="00A26814" w:rsidRPr="003E2D55" w:rsidRDefault="00A26814" w:rsidP="00A26814">
            <w:pPr>
              <w:spacing w:before="40" w:after="20"/>
              <w:jc w:val="right"/>
              <w:rPr>
                <w:rFonts w:cs="Arial"/>
                <w:sz w:val="18"/>
                <w:szCs w:val="18"/>
              </w:rPr>
            </w:pPr>
            <w:r w:rsidRPr="003E2D55">
              <w:rPr>
                <w:rFonts w:cs="Arial"/>
                <w:sz w:val="18"/>
                <w:szCs w:val="18"/>
              </w:rPr>
              <w:t>1,047</w:t>
            </w:r>
          </w:p>
        </w:tc>
        <w:tc>
          <w:tcPr>
            <w:tcW w:w="1134" w:type="dxa"/>
            <w:tcBorders>
              <w:top w:val="nil"/>
              <w:left w:val="nil"/>
              <w:bottom w:val="nil"/>
              <w:right w:val="nil"/>
            </w:tcBorders>
            <w:vAlign w:val="bottom"/>
          </w:tcPr>
          <w:p w14:paraId="6290296D" w14:textId="7A7BA9B0" w:rsidR="00A26814" w:rsidRPr="003E2D55" w:rsidRDefault="00A26814" w:rsidP="00A26814">
            <w:pPr>
              <w:spacing w:before="40" w:after="20"/>
              <w:jc w:val="right"/>
              <w:rPr>
                <w:rFonts w:cs="Arial"/>
                <w:sz w:val="18"/>
                <w:szCs w:val="18"/>
              </w:rPr>
            </w:pPr>
            <w:r w:rsidRPr="003E2D55">
              <w:rPr>
                <w:rFonts w:cs="Arial"/>
                <w:sz w:val="18"/>
                <w:szCs w:val="18"/>
              </w:rPr>
              <w:t>172</w:t>
            </w:r>
          </w:p>
        </w:tc>
        <w:tc>
          <w:tcPr>
            <w:tcW w:w="1247" w:type="dxa"/>
            <w:tcBorders>
              <w:top w:val="nil"/>
              <w:left w:val="nil"/>
              <w:bottom w:val="nil"/>
              <w:right w:val="nil"/>
            </w:tcBorders>
            <w:vAlign w:val="bottom"/>
          </w:tcPr>
          <w:p w14:paraId="4F922DFD" w14:textId="7529AE22" w:rsidR="00A26814" w:rsidRPr="003E2D55" w:rsidRDefault="00A26814" w:rsidP="00A26814">
            <w:pPr>
              <w:spacing w:before="40" w:after="20"/>
              <w:jc w:val="right"/>
              <w:rPr>
                <w:rFonts w:cs="Arial"/>
                <w:b/>
                <w:sz w:val="18"/>
                <w:szCs w:val="18"/>
              </w:rPr>
            </w:pPr>
            <w:r w:rsidRPr="003E2D55">
              <w:rPr>
                <w:rFonts w:cs="Arial"/>
                <w:b/>
                <w:sz w:val="18"/>
                <w:szCs w:val="18"/>
              </w:rPr>
              <w:t>1,219</w:t>
            </w:r>
          </w:p>
        </w:tc>
        <w:tc>
          <w:tcPr>
            <w:tcW w:w="1247" w:type="dxa"/>
            <w:tcBorders>
              <w:top w:val="nil"/>
              <w:left w:val="nil"/>
              <w:bottom w:val="nil"/>
              <w:right w:val="nil"/>
            </w:tcBorders>
            <w:shd w:val="clear" w:color="auto" w:fill="auto"/>
            <w:vAlign w:val="bottom"/>
          </w:tcPr>
          <w:p w14:paraId="35FB1243" w14:textId="5B0A4F74" w:rsidR="00A26814" w:rsidRPr="003E2D55" w:rsidRDefault="00A26814" w:rsidP="00A26814">
            <w:pPr>
              <w:spacing w:before="40" w:after="20"/>
              <w:jc w:val="right"/>
              <w:rPr>
                <w:rFonts w:cs="Arial"/>
                <w:b/>
                <w:sz w:val="18"/>
                <w:szCs w:val="18"/>
              </w:rPr>
            </w:pPr>
            <w:r w:rsidRPr="003E2D55">
              <w:rPr>
                <w:rFonts w:cs="Arial"/>
                <w:b/>
                <w:sz w:val="18"/>
                <w:szCs w:val="18"/>
              </w:rPr>
              <w:t>223</w:t>
            </w:r>
          </w:p>
        </w:tc>
        <w:tc>
          <w:tcPr>
            <w:tcW w:w="1021" w:type="dxa"/>
            <w:tcBorders>
              <w:top w:val="nil"/>
              <w:left w:val="nil"/>
              <w:bottom w:val="nil"/>
              <w:right w:val="nil"/>
            </w:tcBorders>
            <w:shd w:val="clear" w:color="auto" w:fill="auto"/>
            <w:vAlign w:val="bottom"/>
          </w:tcPr>
          <w:p w14:paraId="7BF85586" w14:textId="3596EDC8" w:rsidR="00A26814" w:rsidRPr="003E2D55" w:rsidRDefault="00A26814" w:rsidP="00A26814">
            <w:pPr>
              <w:spacing w:before="40" w:after="20"/>
              <w:jc w:val="right"/>
              <w:rPr>
                <w:rFonts w:cs="Arial"/>
                <w:sz w:val="18"/>
                <w:szCs w:val="18"/>
              </w:rPr>
            </w:pPr>
            <w:r w:rsidRPr="003E2D55">
              <w:rPr>
                <w:rFonts w:cs="Arial"/>
                <w:sz w:val="18"/>
                <w:szCs w:val="18"/>
              </w:rPr>
              <w:t>0</w:t>
            </w:r>
          </w:p>
        </w:tc>
        <w:tc>
          <w:tcPr>
            <w:tcW w:w="1021" w:type="dxa"/>
            <w:tcBorders>
              <w:top w:val="nil"/>
              <w:left w:val="nil"/>
              <w:bottom w:val="nil"/>
              <w:right w:val="nil"/>
            </w:tcBorders>
            <w:shd w:val="clear" w:color="auto" w:fill="auto"/>
            <w:vAlign w:val="bottom"/>
          </w:tcPr>
          <w:p w14:paraId="00F5F6EF" w14:textId="7A2CE6EC" w:rsidR="00A26814" w:rsidRPr="003E2D55" w:rsidRDefault="00A26814" w:rsidP="00A26814">
            <w:pPr>
              <w:spacing w:before="40" w:after="20"/>
              <w:jc w:val="right"/>
              <w:rPr>
                <w:rFonts w:cs="Arial"/>
                <w:sz w:val="18"/>
                <w:szCs w:val="18"/>
              </w:rPr>
            </w:pPr>
            <w:r w:rsidRPr="003E2D55">
              <w:rPr>
                <w:rFonts w:cs="Arial"/>
                <w:sz w:val="18"/>
                <w:szCs w:val="18"/>
              </w:rPr>
              <w:t>14,195</w:t>
            </w:r>
          </w:p>
        </w:tc>
      </w:tr>
      <w:tr w:rsidR="00A26814" w:rsidRPr="003E2D55" w14:paraId="154C202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2F51FAA" w14:textId="77777777" w:rsidR="00A26814" w:rsidRPr="003E2D55" w:rsidRDefault="00A26814" w:rsidP="00A26814">
            <w:pPr>
              <w:spacing w:before="40" w:after="20"/>
              <w:rPr>
                <w:rFonts w:cs="Arial"/>
                <w:sz w:val="18"/>
                <w:szCs w:val="18"/>
              </w:rPr>
            </w:pPr>
            <w:r w:rsidRPr="003E2D55">
              <w:rPr>
                <w:rFonts w:cs="Arial"/>
                <w:sz w:val="18"/>
                <w:szCs w:val="18"/>
              </w:rPr>
              <w:t>Wodonga C</w:t>
            </w:r>
          </w:p>
        </w:tc>
        <w:tc>
          <w:tcPr>
            <w:tcW w:w="1134" w:type="dxa"/>
            <w:tcBorders>
              <w:top w:val="nil"/>
              <w:left w:val="single" w:sz="18" w:space="0" w:color="5F497A" w:themeColor="accent4" w:themeShade="BF"/>
              <w:bottom w:val="nil"/>
              <w:right w:val="nil"/>
            </w:tcBorders>
            <w:shd w:val="clear" w:color="auto" w:fill="auto"/>
            <w:vAlign w:val="bottom"/>
          </w:tcPr>
          <w:p w14:paraId="60CC7148" w14:textId="27A3E0B3" w:rsidR="00A26814" w:rsidRPr="003E2D55" w:rsidRDefault="00A26814" w:rsidP="00A26814">
            <w:pPr>
              <w:spacing w:before="40" w:after="20"/>
              <w:jc w:val="right"/>
              <w:rPr>
                <w:rFonts w:cs="Arial"/>
                <w:sz w:val="18"/>
                <w:szCs w:val="18"/>
              </w:rPr>
            </w:pPr>
            <w:r w:rsidRPr="003E2D55">
              <w:rPr>
                <w:rFonts w:cs="Arial"/>
                <w:sz w:val="18"/>
                <w:szCs w:val="18"/>
              </w:rPr>
              <w:t>293</w:t>
            </w:r>
          </w:p>
        </w:tc>
        <w:tc>
          <w:tcPr>
            <w:tcW w:w="1134" w:type="dxa"/>
            <w:tcBorders>
              <w:top w:val="nil"/>
              <w:left w:val="nil"/>
              <w:bottom w:val="nil"/>
              <w:right w:val="nil"/>
            </w:tcBorders>
            <w:vAlign w:val="bottom"/>
          </w:tcPr>
          <w:p w14:paraId="1E22BDA9" w14:textId="54EFFB55" w:rsidR="00A26814" w:rsidRPr="003E2D55" w:rsidRDefault="00A26814" w:rsidP="00A26814">
            <w:pPr>
              <w:spacing w:before="40" w:after="20"/>
              <w:jc w:val="right"/>
              <w:rPr>
                <w:rFonts w:cs="Arial"/>
                <w:sz w:val="18"/>
                <w:szCs w:val="18"/>
              </w:rPr>
            </w:pPr>
            <w:r w:rsidRPr="003E2D55">
              <w:rPr>
                <w:rFonts w:cs="Arial"/>
                <w:sz w:val="18"/>
                <w:szCs w:val="18"/>
              </w:rPr>
              <w:t>190</w:t>
            </w:r>
          </w:p>
        </w:tc>
        <w:tc>
          <w:tcPr>
            <w:tcW w:w="1247" w:type="dxa"/>
            <w:tcBorders>
              <w:top w:val="nil"/>
              <w:left w:val="nil"/>
              <w:bottom w:val="nil"/>
              <w:right w:val="nil"/>
            </w:tcBorders>
            <w:vAlign w:val="bottom"/>
          </w:tcPr>
          <w:p w14:paraId="35D2C274" w14:textId="1589D096" w:rsidR="00A26814" w:rsidRPr="003E2D55" w:rsidRDefault="00A26814" w:rsidP="00A26814">
            <w:pPr>
              <w:spacing w:before="40" w:after="20"/>
              <w:jc w:val="right"/>
              <w:rPr>
                <w:rFonts w:cs="Arial"/>
                <w:b/>
                <w:sz w:val="18"/>
                <w:szCs w:val="18"/>
              </w:rPr>
            </w:pPr>
            <w:r w:rsidRPr="003E2D55">
              <w:rPr>
                <w:rFonts w:cs="Arial"/>
                <w:b/>
                <w:sz w:val="18"/>
                <w:szCs w:val="18"/>
              </w:rPr>
              <w:t>483</w:t>
            </w:r>
          </w:p>
        </w:tc>
        <w:tc>
          <w:tcPr>
            <w:tcW w:w="1247" w:type="dxa"/>
            <w:tcBorders>
              <w:top w:val="nil"/>
              <w:left w:val="nil"/>
              <w:bottom w:val="nil"/>
              <w:right w:val="nil"/>
            </w:tcBorders>
            <w:shd w:val="clear" w:color="auto" w:fill="auto"/>
            <w:vAlign w:val="bottom"/>
          </w:tcPr>
          <w:p w14:paraId="717AAF9C" w14:textId="6313C2C3" w:rsidR="00A26814" w:rsidRPr="003E2D55" w:rsidRDefault="00A26814" w:rsidP="00A26814">
            <w:pPr>
              <w:spacing w:before="40" w:after="20"/>
              <w:jc w:val="right"/>
              <w:rPr>
                <w:rFonts w:cs="Arial"/>
                <w:b/>
                <w:sz w:val="18"/>
                <w:szCs w:val="18"/>
              </w:rPr>
            </w:pPr>
            <w:r w:rsidRPr="003E2D55">
              <w:rPr>
                <w:rFonts w:cs="Arial"/>
                <w:b/>
                <w:sz w:val="18"/>
                <w:szCs w:val="18"/>
              </w:rPr>
              <w:t>123</w:t>
            </w:r>
          </w:p>
        </w:tc>
        <w:tc>
          <w:tcPr>
            <w:tcW w:w="1021" w:type="dxa"/>
            <w:tcBorders>
              <w:top w:val="nil"/>
              <w:left w:val="nil"/>
              <w:bottom w:val="nil"/>
              <w:right w:val="nil"/>
            </w:tcBorders>
            <w:shd w:val="clear" w:color="auto" w:fill="auto"/>
            <w:vAlign w:val="bottom"/>
          </w:tcPr>
          <w:p w14:paraId="0AAFDADA" w14:textId="08239C7E" w:rsidR="00A26814" w:rsidRPr="003E2D55" w:rsidRDefault="00A26814" w:rsidP="00A26814">
            <w:pPr>
              <w:spacing w:before="40" w:after="20"/>
              <w:jc w:val="right"/>
              <w:rPr>
                <w:rFonts w:cs="Arial"/>
                <w:sz w:val="18"/>
                <w:szCs w:val="18"/>
              </w:rPr>
            </w:pPr>
            <w:r w:rsidRPr="003E2D55">
              <w:rPr>
                <w:rFonts w:cs="Arial"/>
                <w:sz w:val="18"/>
                <w:szCs w:val="18"/>
              </w:rPr>
              <w:t>36</w:t>
            </w:r>
          </w:p>
        </w:tc>
        <w:tc>
          <w:tcPr>
            <w:tcW w:w="1021" w:type="dxa"/>
            <w:tcBorders>
              <w:top w:val="nil"/>
              <w:left w:val="nil"/>
              <w:bottom w:val="nil"/>
              <w:right w:val="nil"/>
            </w:tcBorders>
            <w:shd w:val="clear" w:color="auto" w:fill="auto"/>
            <w:vAlign w:val="bottom"/>
          </w:tcPr>
          <w:p w14:paraId="176B9552" w14:textId="59374598" w:rsidR="00A26814" w:rsidRPr="003E2D55" w:rsidRDefault="00A26814" w:rsidP="00A26814">
            <w:pPr>
              <w:spacing w:before="40" w:after="20"/>
              <w:jc w:val="right"/>
              <w:rPr>
                <w:rFonts w:cs="Arial"/>
                <w:sz w:val="18"/>
                <w:szCs w:val="18"/>
              </w:rPr>
            </w:pPr>
            <w:r w:rsidRPr="003E2D55">
              <w:rPr>
                <w:rFonts w:cs="Arial"/>
                <w:sz w:val="18"/>
                <w:szCs w:val="18"/>
              </w:rPr>
              <w:t>3,763</w:t>
            </w:r>
          </w:p>
        </w:tc>
      </w:tr>
      <w:tr w:rsidR="00A26814" w:rsidRPr="003E2D55" w14:paraId="35CA75A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479C525" w14:textId="77777777" w:rsidR="00A26814" w:rsidRPr="003E2D55" w:rsidRDefault="00A26814" w:rsidP="00A26814">
            <w:pPr>
              <w:spacing w:before="40" w:after="20"/>
              <w:rPr>
                <w:rFonts w:cs="Arial"/>
                <w:sz w:val="18"/>
                <w:szCs w:val="18"/>
              </w:rPr>
            </w:pPr>
            <w:r w:rsidRPr="003E2D55">
              <w:rPr>
                <w:rFonts w:cs="Arial"/>
                <w:sz w:val="18"/>
                <w:szCs w:val="18"/>
              </w:rPr>
              <w:t>Wyndham C</w:t>
            </w:r>
          </w:p>
        </w:tc>
        <w:tc>
          <w:tcPr>
            <w:tcW w:w="1134" w:type="dxa"/>
            <w:tcBorders>
              <w:top w:val="nil"/>
              <w:left w:val="single" w:sz="18" w:space="0" w:color="5F497A" w:themeColor="accent4" w:themeShade="BF"/>
              <w:bottom w:val="nil"/>
              <w:right w:val="nil"/>
            </w:tcBorders>
            <w:shd w:val="clear" w:color="auto" w:fill="auto"/>
            <w:vAlign w:val="bottom"/>
          </w:tcPr>
          <w:p w14:paraId="6E8CDB87" w14:textId="3875BE6C" w:rsidR="00A26814" w:rsidRPr="003E2D55" w:rsidRDefault="00A26814" w:rsidP="00A26814">
            <w:pPr>
              <w:spacing w:before="40" w:after="20"/>
              <w:jc w:val="right"/>
              <w:rPr>
                <w:rFonts w:cs="Arial"/>
                <w:sz w:val="18"/>
                <w:szCs w:val="18"/>
              </w:rPr>
            </w:pPr>
            <w:r w:rsidRPr="003E2D55">
              <w:rPr>
                <w:rFonts w:cs="Arial"/>
                <w:sz w:val="18"/>
                <w:szCs w:val="18"/>
              </w:rPr>
              <w:t>1,282</w:t>
            </w:r>
          </w:p>
        </w:tc>
        <w:tc>
          <w:tcPr>
            <w:tcW w:w="1134" w:type="dxa"/>
            <w:tcBorders>
              <w:top w:val="nil"/>
              <w:left w:val="nil"/>
              <w:bottom w:val="nil"/>
              <w:right w:val="nil"/>
            </w:tcBorders>
            <w:vAlign w:val="bottom"/>
          </w:tcPr>
          <w:p w14:paraId="2CCEC800" w14:textId="181705C9" w:rsidR="00A26814" w:rsidRPr="003E2D55" w:rsidRDefault="00A26814" w:rsidP="00A26814">
            <w:pPr>
              <w:spacing w:before="40" w:after="20"/>
              <w:jc w:val="right"/>
              <w:rPr>
                <w:rFonts w:cs="Arial"/>
                <w:sz w:val="18"/>
                <w:szCs w:val="18"/>
              </w:rPr>
            </w:pPr>
            <w:r w:rsidRPr="003E2D55">
              <w:rPr>
                <w:rFonts w:cs="Arial"/>
                <w:sz w:val="18"/>
                <w:szCs w:val="18"/>
              </w:rPr>
              <w:t>234</w:t>
            </w:r>
          </w:p>
        </w:tc>
        <w:tc>
          <w:tcPr>
            <w:tcW w:w="1247" w:type="dxa"/>
            <w:tcBorders>
              <w:top w:val="nil"/>
              <w:left w:val="nil"/>
              <w:bottom w:val="nil"/>
              <w:right w:val="nil"/>
            </w:tcBorders>
            <w:vAlign w:val="bottom"/>
          </w:tcPr>
          <w:p w14:paraId="13DB6884" w14:textId="4645AD9C" w:rsidR="00A26814" w:rsidRPr="003E2D55" w:rsidRDefault="00A26814" w:rsidP="00A26814">
            <w:pPr>
              <w:spacing w:before="40" w:after="20"/>
              <w:jc w:val="right"/>
              <w:rPr>
                <w:rFonts w:cs="Arial"/>
                <w:b/>
                <w:sz w:val="18"/>
                <w:szCs w:val="18"/>
              </w:rPr>
            </w:pPr>
            <w:r w:rsidRPr="003E2D55">
              <w:rPr>
                <w:rFonts w:cs="Arial"/>
                <w:b/>
                <w:sz w:val="18"/>
                <w:szCs w:val="18"/>
              </w:rPr>
              <w:t>1,516</w:t>
            </w:r>
          </w:p>
        </w:tc>
        <w:tc>
          <w:tcPr>
            <w:tcW w:w="1247" w:type="dxa"/>
            <w:tcBorders>
              <w:top w:val="nil"/>
              <w:left w:val="nil"/>
              <w:bottom w:val="nil"/>
              <w:right w:val="nil"/>
            </w:tcBorders>
            <w:shd w:val="clear" w:color="auto" w:fill="auto"/>
            <w:vAlign w:val="bottom"/>
          </w:tcPr>
          <w:p w14:paraId="6345527D" w14:textId="7A221F59" w:rsidR="00A26814" w:rsidRPr="003E2D55" w:rsidRDefault="00A26814" w:rsidP="00A26814">
            <w:pPr>
              <w:spacing w:before="40" w:after="20"/>
              <w:jc w:val="right"/>
              <w:rPr>
                <w:rFonts w:cs="Arial"/>
                <w:b/>
                <w:sz w:val="18"/>
                <w:szCs w:val="18"/>
              </w:rPr>
            </w:pPr>
            <w:r w:rsidRPr="003E2D55">
              <w:rPr>
                <w:rFonts w:cs="Arial"/>
                <w:b/>
                <w:sz w:val="18"/>
                <w:szCs w:val="18"/>
              </w:rPr>
              <w:t>217</w:t>
            </w:r>
          </w:p>
        </w:tc>
        <w:tc>
          <w:tcPr>
            <w:tcW w:w="1021" w:type="dxa"/>
            <w:tcBorders>
              <w:top w:val="nil"/>
              <w:left w:val="nil"/>
              <w:bottom w:val="nil"/>
              <w:right w:val="nil"/>
            </w:tcBorders>
            <w:shd w:val="clear" w:color="auto" w:fill="auto"/>
            <w:vAlign w:val="bottom"/>
          </w:tcPr>
          <w:p w14:paraId="757A6AA3" w14:textId="0A1985D5" w:rsidR="00A26814" w:rsidRPr="003E2D55" w:rsidRDefault="00A26814" w:rsidP="00A26814">
            <w:pPr>
              <w:spacing w:before="40" w:after="20"/>
              <w:jc w:val="right"/>
              <w:rPr>
                <w:rFonts w:cs="Arial"/>
                <w:sz w:val="18"/>
                <w:szCs w:val="18"/>
              </w:rPr>
            </w:pPr>
            <w:r w:rsidRPr="003E2D55">
              <w:rPr>
                <w:rFonts w:cs="Arial"/>
                <w:sz w:val="18"/>
                <w:szCs w:val="18"/>
              </w:rPr>
              <w:t>0</w:t>
            </w:r>
          </w:p>
        </w:tc>
        <w:tc>
          <w:tcPr>
            <w:tcW w:w="1021" w:type="dxa"/>
            <w:tcBorders>
              <w:top w:val="nil"/>
              <w:left w:val="nil"/>
              <w:bottom w:val="nil"/>
              <w:right w:val="nil"/>
            </w:tcBorders>
            <w:shd w:val="clear" w:color="auto" w:fill="auto"/>
            <w:vAlign w:val="bottom"/>
          </w:tcPr>
          <w:p w14:paraId="7459D843" w14:textId="102FF075" w:rsidR="00A26814" w:rsidRPr="003E2D55" w:rsidRDefault="00A26814" w:rsidP="00A26814">
            <w:pPr>
              <w:spacing w:before="40" w:after="20"/>
              <w:jc w:val="right"/>
              <w:rPr>
                <w:rFonts w:cs="Arial"/>
                <w:sz w:val="18"/>
                <w:szCs w:val="18"/>
              </w:rPr>
            </w:pPr>
            <w:r w:rsidRPr="003E2D55">
              <w:rPr>
                <w:rFonts w:cs="Arial"/>
                <w:sz w:val="18"/>
                <w:szCs w:val="18"/>
              </w:rPr>
              <w:t>2,523</w:t>
            </w:r>
          </w:p>
        </w:tc>
      </w:tr>
      <w:tr w:rsidR="00A26814" w:rsidRPr="003E2D55" w14:paraId="44846D8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310767D" w14:textId="77777777" w:rsidR="00A26814" w:rsidRPr="003E2D55" w:rsidRDefault="00A26814" w:rsidP="00A26814">
            <w:pPr>
              <w:spacing w:before="40" w:after="20"/>
              <w:rPr>
                <w:rFonts w:cs="Arial"/>
                <w:sz w:val="18"/>
                <w:szCs w:val="18"/>
              </w:rPr>
            </w:pPr>
            <w:r w:rsidRPr="003E2D55">
              <w:rPr>
                <w:rFonts w:cs="Arial"/>
                <w:sz w:val="18"/>
                <w:szCs w:val="18"/>
              </w:rPr>
              <w:t>Yarra C</w:t>
            </w:r>
          </w:p>
        </w:tc>
        <w:tc>
          <w:tcPr>
            <w:tcW w:w="1134" w:type="dxa"/>
            <w:tcBorders>
              <w:top w:val="nil"/>
              <w:left w:val="single" w:sz="18" w:space="0" w:color="5F497A" w:themeColor="accent4" w:themeShade="BF"/>
              <w:bottom w:val="nil"/>
              <w:right w:val="nil"/>
            </w:tcBorders>
            <w:shd w:val="clear" w:color="auto" w:fill="auto"/>
            <w:vAlign w:val="bottom"/>
          </w:tcPr>
          <w:p w14:paraId="199E65B1" w14:textId="1A287533" w:rsidR="00A26814" w:rsidRPr="003E2D55" w:rsidRDefault="00A26814" w:rsidP="00A26814">
            <w:pPr>
              <w:spacing w:before="40" w:after="20"/>
              <w:jc w:val="right"/>
              <w:rPr>
                <w:rFonts w:cs="Arial"/>
                <w:sz w:val="18"/>
                <w:szCs w:val="18"/>
              </w:rPr>
            </w:pPr>
            <w:r w:rsidRPr="003E2D55">
              <w:rPr>
                <w:rFonts w:cs="Arial"/>
                <w:sz w:val="18"/>
                <w:szCs w:val="18"/>
              </w:rPr>
              <w:t>215</w:t>
            </w:r>
          </w:p>
        </w:tc>
        <w:tc>
          <w:tcPr>
            <w:tcW w:w="1134" w:type="dxa"/>
            <w:tcBorders>
              <w:top w:val="nil"/>
              <w:left w:val="nil"/>
              <w:bottom w:val="nil"/>
              <w:right w:val="nil"/>
            </w:tcBorders>
            <w:vAlign w:val="bottom"/>
          </w:tcPr>
          <w:p w14:paraId="6CAFE754" w14:textId="1D24DDF3" w:rsidR="00A26814" w:rsidRPr="003E2D55" w:rsidRDefault="00A26814" w:rsidP="00A26814">
            <w:pPr>
              <w:spacing w:before="40" w:after="20"/>
              <w:jc w:val="right"/>
              <w:rPr>
                <w:rFonts w:cs="Arial"/>
                <w:sz w:val="18"/>
                <w:szCs w:val="18"/>
              </w:rPr>
            </w:pPr>
            <w:r w:rsidRPr="003E2D55">
              <w:rPr>
                <w:rFonts w:cs="Arial"/>
                <w:sz w:val="18"/>
                <w:szCs w:val="18"/>
              </w:rPr>
              <w:t>0</w:t>
            </w:r>
          </w:p>
        </w:tc>
        <w:tc>
          <w:tcPr>
            <w:tcW w:w="1247" w:type="dxa"/>
            <w:tcBorders>
              <w:top w:val="nil"/>
              <w:left w:val="nil"/>
              <w:bottom w:val="nil"/>
              <w:right w:val="nil"/>
            </w:tcBorders>
            <w:vAlign w:val="bottom"/>
          </w:tcPr>
          <w:p w14:paraId="334A6BEA" w14:textId="2A638480" w:rsidR="00A26814" w:rsidRPr="003E2D55" w:rsidRDefault="00A26814" w:rsidP="00A26814">
            <w:pPr>
              <w:spacing w:before="40" w:after="20"/>
              <w:jc w:val="right"/>
              <w:rPr>
                <w:rFonts w:cs="Arial"/>
                <w:b/>
                <w:sz w:val="18"/>
                <w:szCs w:val="18"/>
              </w:rPr>
            </w:pPr>
            <w:r w:rsidRPr="003E2D55">
              <w:rPr>
                <w:rFonts w:cs="Arial"/>
                <w:b/>
                <w:sz w:val="18"/>
                <w:szCs w:val="18"/>
              </w:rPr>
              <w:t>215</w:t>
            </w:r>
          </w:p>
        </w:tc>
        <w:tc>
          <w:tcPr>
            <w:tcW w:w="1247" w:type="dxa"/>
            <w:tcBorders>
              <w:top w:val="nil"/>
              <w:left w:val="nil"/>
              <w:bottom w:val="nil"/>
              <w:right w:val="nil"/>
            </w:tcBorders>
            <w:shd w:val="clear" w:color="auto" w:fill="auto"/>
            <w:vAlign w:val="bottom"/>
          </w:tcPr>
          <w:p w14:paraId="491AC726" w14:textId="46DEF871" w:rsidR="00A26814" w:rsidRPr="003E2D55" w:rsidRDefault="00A26814" w:rsidP="00A26814">
            <w:pPr>
              <w:spacing w:before="40" w:after="20"/>
              <w:jc w:val="right"/>
              <w:rPr>
                <w:rFonts w:cs="Arial"/>
                <w:b/>
                <w:sz w:val="18"/>
                <w:szCs w:val="18"/>
              </w:rPr>
            </w:pPr>
            <w:r w:rsidRPr="003E2D55">
              <w:rPr>
                <w:rFonts w:cs="Arial"/>
                <w:b/>
                <w:sz w:val="18"/>
                <w:szCs w:val="18"/>
              </w:rPr>
              <w:t>6</w:t>
            </w:r>
          </w:p>
        </w:tc>
        <w:tc>
          <w:tcPr>
            <w:tcW w:w="1021" w:type="dxa"/>
            <w:tcBorders>
              <w:top w:val="nil"/>
              <w:left w:val="nil"/>
              <w:bottom w:val="nil"/>
              <w:right w:val="nil"/>
            </w:tcBorders>
            <w:shd w:val="clear" w:color="auto" w:fill="auto"/>
            <w:vAlign w:val="bottom"/>
          </w:tcPr>
          <w:p w14:paraId="2356E029" w14:textId="72EDEE00" w:rsidR="00A26814" w:rsidRPr="003E2D55" w:rsidRDefault="00A26814" w:rsidP="00A26814">
            <w:pPr>
              <w:spacing w:before="40" w:after="20"/>
              <w:jc w:val="right"/>
              <w:rPr>
                <w:rFonts w:cs="Arial"/>
                <w:sz w:val="18"/>
                <w:szCs w:val="18"/>
              </w:rPr>
            </w:pPr>
            <w:r w:rsidRPr="003E2D55">
              <w:rPr>
                <w:rFonts w:cs="Arial"/>
                <w:sz w:val="18"/>
                <w:szCs w:val="18"/>
              </w:rPr>
              <w:t>0</w:t>
            </w:r>
          </w:p>
        </w:tc>
        <w:tc>
          <w:tcPr>
            <w:tcW w:w="1021" w:type="dxa"/>
            <w:tcBorders>
              <w:top w:val="nil"/>
              <w:left w:val="nil"/>
              <w:bottom w:val="nil"/>
              <w:right w:val="nil"/>
            </w:tcBorders>
            <w:shd w:val="clear" w:color="auto" w:fill="auto"/>
            <w:vAlign w:val="bottom"/>
          </w:tcPr>
          <w:p w14:paraId="56E25930" w14:textId="2CD065DF" w:rsidR="00A26814" w:rsidRPr="003E2D55" w:rsidRDefault="00A26814" w:rsidP="00A26814">
            <w:pPr>
              <w:spacing w:before="40" w:after="20"/>
              <w:jc w:val="right"/>
              <w:rPr>
                <w:rFonts w:cs="Arial"/>
                <w:sz w:val="18"/>
                <w:szCs w:val="18"/>
              </w:rPr>
            </w:pPr>
            <w:r w:rsidRPr="003E2D55">
              <w:rPr>
                <w:rFonts w:cs="Arial"/>
                <w:sz w:val="18"/>
                <w:szCs w:val="18"/>
              </w:rPr>
              <w:t>0</w:t>
            </w:r>
          </w:p>
        </w:tc>
      </w:tr>
      <w:tr w:rsidR="00A26814" w:rsidRPr="003E2D55" w14:paraId="20711B4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76B1E93" w14:textId="77777777" w:rsidR="00A26814" w:rsidRPr="003E2D55" w:rsidRDefault="00A26814" w:rsidP="00A26814">
            <w:pPr>
              <w:spacing w:before="40" w:after="20"/>
              <w:rPr>
                <w:rFonts w:cs="Arial"/>
                <w:sz w:val="18"/>
                <w:szCs w:val="18"/>
              </w:rPr>
            </w:pPr>
            <w:r w:rsidRPr="003E2D55">
              <w:rPr>
                <w:rFonts w:cs="Arial"/>
                <w:sz w:val="18"/>
                <w:szCs w:val="18"/>
              </w:rPr>
              <w:t>Yarra Ranges S</w:t>
            </w:r>
          </w:p>
        </w:tc>
        <w:tc>
          <w:tcPr>
            <w:tcW w:w="1134" w:type="dxa"/>
            <w:tcBorders>
              <w:top w:val="nil"/>
              <w:left w:val="single" w:sz="18" w:space="0" w:color="5F497A" w:themeColor="accent4" w:themeShade="BF"/>
              <w:bottom w:val="nil"/>
              <w:right w:val="nil"/>
            </w:tcBorders>
            <w:shd w:val="clear" w:color="auto" w:fill="auto"/>
            <w:vAlign w:val="bottom"/>
          </w:tcPr>
          <w:p w14:paraId="5380C644" w14:textId="51E0D6D4" w:rsidR="00A26814" w:rsidRPr="003E2D55" w:rsidRDefault="00A26814" w:rsidP="00A26814">
            <w:pPr>
              <w:spacing w:before="40" w:after="20"/>
              <w:jc w:val="right"/>
              <w:rPr>
                <w:rFonts w:cs="Arial"/>
                <w:sz w:val="18"/>
                <w:szCs w:val="18"/>
              </w:rPr>
            </w:pPr>
            <w:r w:rsidRPr="003E2D55">
              <w:rPr>
                <w:rFonts w:cs="Arial"/>
                <w:sz w:val="18"/>
                <w:szCs w:val="18"/>
              </w:rPr>
              <w:t>607</w:t>
            </w:r>
          </w:p>
        </w:tc>
        <w:tc>
          <w:tcPr>
            <w:tcW w:w="1134" w:type="dxa"/>
            <w:tcBorders>
              <w:top w:val="nil"/>
              <w:left w:val="nil"/>
              <w:bottom w:val="nil"/>
              <w:right w:val="nil"/>
            </w:tcBorders>
            <w:vAlign w:val="bottom"/>
          </w:tcPr>
          <w:p w14:paraId="0E4308E1" w14:textId="399E7369" w:rsidR="00A26814" w:rsidRPr="003E2D55" w:rsidRDefault="00A26814" w:rsidP="00A26814">
            <w:pPr>
              <w:spacing w:before="40" w:after="20"/>
              <w:jc w:val="right"/>
              <w:rPr>
                <w:rFonts w:cs="Arial"/>
                <w:sz w:val="18"/>
                <w:szCs w:val="18"/>
              </w:rPr>
            </w:pPr>
            <w:r w:rsidRPr="003E2D55">
              <w:rPr>
                <w:rFonts w:cs="Arial"/>
                <w:sz w:val="18"/>
                <w:szCs w:val="18"/>
              </w:rPr>
              <w:t>1,149</w:t>
            </w:r>
          </w:p>
        </w:tc>
        <w:tc>
          <w:tcPr>
            <w:tcW w:w="1247" w:type="dxa"/>
            <w:tcBorders>
              <w:top w:val="nil"/>
              <w:left w:val="nil"/>
              <w:bottom w:val="nil"/>
              <w:right w:val="nil"/>
            </w:tcBorders>
            <w:vAlign w:val="bottom"/>
          </w:tcPr>
          <w:p w14:paraId="3CB861FA" w14:textId="0EBE484F" w:rsidR="00A26814" w:rsidRPr="003E2D55" w:rsidRDefault="00A26814" w:rsidP="00A26814">
            <w:pPr>
              <w:spacing w:before="40" w:after="20"/>
              <w:jc w:val="right"/>
              <w:rPr>
                <w:rFonts w:cs="Arial"/>
                <w:b/>
                <w:sz w:val="18"/>
                <w:szCs w:val="18"/>
              </w:rPr>
            </w:pPr>
            <w:r w:rsidRPr="003E2D55">
              <w:rPr>
                <w:rFonts w:cs="Arial"/>
                <w:b/>
                <w:sz w:val="18"/>
                <w:szCs w:val="18"/>
              </w:rPr>
              <w:t>1,756</w:t>
            </w:r>
          </w:p>
        </w:tc>
        <w:tc>
          <w:tcPr>
            <w:tcW w:w="1247" w:type="dxa"/>
            <w:tcBorders>
              <w:top w:val="nil"/>
              <w:left w:val="nil"/>
              <w:bottom w:val="nil"/>
              <w:right w:val="nil"/>
            </w:tcBorders>
            <w:shd w:val="clear" w:color="auto" w:fill="auto"/>
            <w:vAlign w:val="bottom"/>
          </w:tcPr>
          <w:p w14:paraId="08937D2E" w14:textId="34E8A4EA" w:rsidR="00A26814" w:rsidRPr="003E2D55" w:rsidRDefault="00A26814" w:rsidP="00A26814">
            <w:pPr>
              <w:spacing w:before="40" w:after="20"/>
              <w:jc w:val="right"/>
              <w:rPr>
                <w:rFonts w:cs="Arial"/>
                <w:b/>
                <w:sz w:val="18"/>
                <w:szCs w:val="18"/>
              </w:rPr>
            </w:pPr>
            <w:r w:rsidRPr="003E2D55">
              <w:rPr>
                <w:rFonts w:cs="Arial"/>
                <w:b/>
                <w:sz w:val="18"/>
                <w:szCs w:val="18"/>
              </w:rPr>
              <w:t>476</w:t>
            </w:r>
          </w:p>
        </w:tc>
        <w:tc>
          <w:tcPr>
            <w:tcW w:w="1021" w:type="dxa"/>
            <w:tcBorders>
              <w:top w:val="nil"/>
              <w:left w:val="nil"/>
              <w:bottom w:val="nil"/>
              <w:right w:val="nil"/>
            </w:tcBorders>
            <w:shd w:val="clear" w:color="auto" w:fill="auto"/>
            <w:vAlign w:val="bottom"/>
          </w:tcPr>
          <w:p w14:paraId="1D35FA85" w14:textId="5C0B70E9" w:rsidR="00A26814" w:rsidRPr="003E2D55" w:rsidRDefault="00A26814" w:rsidP="00A26814">
            <w:pPr>
              <w:spacing w:before="40" w:after="20"/>
              <w:jc w:val="right"/>
              <w:rPr>
                <w:rFonts w:cs="Arial"/>
                <w:sz w:val="18"/>
                <w:szCs w:val="18"/>
              </w:rPr>
            </w:pPr>
            <w:r w:rsidRPr="003E2D55">
              <w:rPr>
                <w:rFonts w:cs="Arial"/>
                <w:sz w:val="18"/>
                <w:szCs w:val="18"/>
              </w:rPr>
              <w:t>1,620</w:t>
            </w:r>
          </w:p>
        </w:tc>
        <w:tc>
          <w:tcPr>
            <w:tcW w:w="1021" w:type="dxa"/>
            <w:tcBorders>
              <w:top w:val="nil"/>
              <w:left w:val="nil"/>
              <w:bottom w:val="nil"/>
              <w:right w:val="nil"/>
            </w:tcBorders>
            <w:shd w:val="clear" w:color="auto" w:fill="auto"/>
            <w:vAlign w:val="bottom"/>
          </w:tcPr>
          <w:p w14:paraId="3AD88B9F" w14:textId="3DF7748F" w:rsidR="00A26814" w:rsidRPr="003E2D55" w:rsidRDefault="00A26814" w:rsidP="00A26814">
            <w:pPr>
              <w:spacing w:before="40" w:after="20"/>
              <w:jc w:val="right"/>
              <w:rPr>
                <w:rFonts w:cs="Arial"/>
                <w:sz w:val="18"/>
                <w:szCs w:val="18"/>
              </w:rPr>
            </w:pPr>
            <w:r w:rsidRPr="003E2D55">
              <w:rPr>
                <w:rFonts w:cs="Arial"/>
                <w:sz w:val="18"/>
                <w:szCs w:val="18"/>
              </w:rPr>
              <w:t>3,217</w:t>
            </w:r>
          </w:p>
        </w:tc>
      </w:tr>
      <w:tr w:rsidR="00A26814" w:rsidRPr="003E2D55" w14:paraId="6CD6CFD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E30DF7E" w14:textId="77777777" w:rsidR="00A26814" w:rsidRPr="003E2D55" w:rsidRDefault="00A26814" w:rsidP="00A26814">
            <w:pPr>
              <w:spacing w:before="40" w:after="20"/>
              <w:rPr>
                <w:rFonts w:cs="Arial"/>
                <w:sz w:val="18"/>
                <w:szCs w:val="18"/>
              </w:rPr>
            </w:pPr>
            <w:r w:rsidRPr="003E2D55">
              <w:rPr>
                <w:rFonts w:cs="Arial"/>
                <w:sz w:val="18"/>
                <w:szCs w:val="18"/>
              </w:rPr>
              <w:t>Yarriambiack S</w:t>
            </w:r>
          </w:p>
        </w:tc>
        <w:tc>
          <w:tcPr>
            <w:tcW w:w="1134" w:type="dxa"/>
            <w:tcBorders>
              <w:top w:val="nil"/>
              <w:left w:val="single" w:sz="18" w:space="0" w:color="5F497A" w:themeColor="accent4" w:themeShade="BF"/>
              <w:right w:val="nil"/>
            </w:tcBorders>
            <w:shd w:val="clear" w:color="auto" w:fill="auto"/>
            <w:vAlign w:val="bottom"/>
          </w:tcPr>
          <w:p w14:paraId="23FAB70C" w14:textId="593F6A97" w:rsidR="00A26814" w:rsidRPr="003E2D55" w:rsidRDefault="00A26814" w:rsidP="00A26814">
            <w:pPr>
              <w:spacing w:before="40" w:after="20"/>
              <w:jc w:val="right"/>
              <w:rPr>
                <w:rFonts w:cs="Arial"/>
                <w:sz w:val="18"/>
                <w:szCs w:val="18"/>
              </w:rPr>
            </w:pPr>
            <w:r w:rsidRPr="003E2D55">
              <w:rPr>
                <w:rFonts w:cs="Arial"/>
                <w:sz w:val="18"/>
                <w:szCs w:val="18"/>
              </w:rPr>
              <w:t>29</w:t>
            </w:r>
          </w:p>
        </w:tc>
        <w:tc>
          <w:tcPr>
            <w:tcW w:w="1134" w:type="dxa"/>
            <w:tcBorders>
              <w:top w:val="nil"/>
              <w:left w:val="nil"/>
              <w:right w:val="nil"/>
            </w:tcBorders>
            <w:vAlign w:val="bottom"/>
          </w:tcPr>
          <w:p w14:paraId="644D0BC4" w14:textId="70E8F81F" w:rsidR="00A26814" w:rsidRPr="003E2D55" w:rsidRDefault="00A26814" w:rsidP="00A26814">
            <w:pPr>
              <w:spacing w:before="40" w:after="20"/>
              <w:jc w:val="right"/>
              <w:rPr>
                <w:rFonts w:cs="Arial"/>
                <w:sz w:val="18"/>
                <w:szCs w:val="18"/>
              </w:rPr>
            </w:pPr>
            <w:r w:rsidRPr="003E2D55">
              <w:rPr>
                <w:rFonts w:cs="Arial"/>
                <w:sz w:val="18"/>
                <w:szCs w:val="18"/>
              </w:rPr>
              <w:t>4,742</w:t>
            </w:r>
          </w:p>
        </w:tc>
        <w:tc>
          <w:tcPr>
            <w:tcW w:w="1247" w:type="dxa"/>
            <w:tcBorders>
              <w:top w:val="nil"/>
              <w:left w:val="nil"/>
              <w:right w:val="nil"/>
            </w:tcBorders>
            <w:vAlign w:val="bottom"/>
          </w:tcPr>
          <w:p w14:paraId="7AC9582F" w14:textId="3483B23A" w:rsidR="00A26814" w:rsidRPr="003E2D55" w:rsidRDefault="00A26814" w:rsidP="00A26814">
            <w:pPr>
              <w:spacing w:before="40" w:after="20"/>
              <w:jc w:val="right"/>
              <w:rPr>
                <w:rFonts w:cs="Arial"/>
                <w:b/>
                <w:sz w:val="18"/>
                <w:szCs w:val="18"/>
              </w:rPr>
            </w:pPr>
            <w:r w:rsidRPr="003E2D55">
              <w:rPr>
                <w:rFonts w:cs="Arial"/>
                <w:b/>
                <w:sz w:val="18"/>
                <w:szCs w:val="18"/>
              </w:rPr>
              <w:t>4,771</w:t>
            </w:r>
          </w:p>
        </w:tc>
        <w:tc>
          <w:tcPr>
            <w:tcW w:w="1247" w:type="dxa"/>
            <w:tcBorders>
              <w:top w:val="nil"/>
              <w:left w:val="nil"/>
              <w:right w:val="nil"/>
            </w:tcBorders>
            <w:shd w:val="clear" w:color="auto" w:fill="auto"/>
            <w:vAlign w:val="bottom"/>
          </w:tcPr>
          <w:p w14:paraId="1948F831" w14:textId="3B592360" w:rsidR="00A26814" w:rsidRPr="003E2D55" w:rsidRDefault="00A26814" w:rsidP="00A26814">
            <w:pPr>
              <w:spacing w:before="40" w:after="20"/>
              <w:jc w:val="right"/>
              <w:rPr>
                <w:rFonts w:cs="Arial"/>
                <w:b/>
                <w:sz w:val="18"/>
                <w:szCs w:val="18"/>
              </w:rPr>
            </w:pPr>
            <w:r w:rsidRPr="003E2D55">
              <w:rPr>
                <w:rFonts w:cs="Arial"/>
                <w:b/>
                <w:sz w:val="18"/>
                <w:szCs w:val="18"/>
              </w:rPr>
              <w:t>469</w:t>
            </w:r>
          </w:p>
        </w:tc>
        <w:tc>
          <w:tcPr>
            <w:tcW w:w="1021" w:type="dxa"/>
            <w:tcBorders>
              <w:top w:val="nil"/>
              <w:left w:val="nil"/>
              <w:right w:val="nil"/>
            </w:tcBorders>
            <w:shd w:val="clear" w:color="auto" w:fill="auto"/>
            <w:vAlign w:val="bottom"/>
          </w:tcPr>
          <w:p w14:paraId="1F661FAF" w14:textId="65AEFE94" w:rsidR="00A26814" w:rsidRPr="003E2D55" w:rsidRDefault="00A26814" w:rsidP="00A26814">
            <w:pPr>
              <w:spacing w:before="40" w:after="20"/>
              <w:jc w:val="right"/>
              <w:rPr>
                <w:rFonts w:cs="Arial"/>
                <w:sz w:val="18"/>
                <w:szCs w:val="18"/>
              </w:rPr>
            </w:pPr>
            <w:r w:rsidRPr="003E2D55">
              <w:rPr>
                <w:rFonts w:cs="Arial"/>
                <w:sz w:val="18"/>
                <w:szCs w:val="18"/>
              </w:rPr>
              <w:t>0</w:t>
            </w:r>
          </w:p>
        </w:tc>
        <w:tc>
          <w:tcPr>
            <w:tcW w:w="1021" w:type="dxa"/>
            <w:tcBorders>
              <w:top w:val="nil"/>
              <w:left w:val="nil"/>
              <w:right w:val="nil"/>
            </w:tcBorders>
            <w:shd w:val="clear" w:color="auto" w:fill="auto"/>
            <w:vAlign w:val="bottom"/>
          </w:tcPr>
          <w:p w14:paraId="2BDA32AD" w14:textId="05695267" w:rsidR="00A26814" w:rsidRPr="003E2D55" w:rsidRDefault="00A26814" w:rsidP="00A26814">
            <w:pPr>
              <w:spacing w:before="40" w:after="20"/>
              <w:jc w:val="right"/>
              <w:rPr>
                <w:rFonts w:cs="Arial"/>
                <w:sz w:val="18"/>
                <w:szCs w:val="18"/>
              </w:rPr>
            </w:pPr>
            <w:r w:rsidRPr="003E2D55">
              <w:rPr>
                <w:rFonts w:cs="Arial"/>
                <w:sz w:val="18"/>
                <w:szCs w:val="18"/>
              </w:rPr>
              <w:t>711</w:t>
            </w:r>
          </w:p>
        </w:tc>
      </w:tr>
      <w:tr w:rsidR="00A26814" w:rsidRPr="003E2D55" w14:paraId="0A8B77AB" w14:textId="77777777" w:rsidTr="00B44BBE">
        <w:trPr>
          <w:trHeight w:val="20"/>
        </w:trPr>
        <w:tc>
          <w:tcPr>
            <w:tcW w:w="2268" w:type="dxa"/>
            <w:tcBorders>
              <w:top w:val="nil"/>
              <w:left w:val="nil"/>
              <w:right w:val="single" w:sz="18" w:space="0" w:color="5F497A" w:themeColor="accent4" w:themeShade="BF"/>
            </w:tcBorders>
            <w:shd w:val="clear" w:color="auto" w:fill="auto"/>
            <w:vAlign w:val="center"/>
          </w:tcPr>
          <w:p w14:paraId="07F15A42" w14:textId="77777777" w:rsidR="00A26814" w:rsidRPr="003E2D55" w:rsidRDefault="00A26814" w:rsidP="00A26814">
            <w:pPr>
              <w:spacing w:before="40" w:after="20"/>
              <w:rPr>
                <w:rFonts w:cs="Arial"/>
                <w:sz w:val="18"/>
                <w:szCs w:val="18"/>
              </w:rPr>
            </w:pPr>
          </w:p>
        </w:tc>
        <w:tc>
          <w:tcPr>
            <w:tcW w:w="1134"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51204AF3" w14:textId="348AFCB4" w:rsidR="00A26814" w:rsidRPr="003E2D55" w:rsidRDefault="00A26814" w:rsidP="00A26814">
            <w:pPr>
              <w:spacing w:before="40" w:after="20"/>
              <w:jc w:val="right"/>
              <w:rPr>
                <w:rFonts w:cs="Arial"/>
                <w:sz w:val="18"/>
                <w:szCs w:val="18"/>
              </w:rPr>
            </w:pPr>
            <w:r w:rsidRPr="003E2D55">
              <w:rPr>
                <w:rFonts w:cs="Arial"/>
                <w:sz w:val="18"/>
                <w:szCs w:val="18"/>
              </w:rPr>
              <w:t> </w:t>
            </w:r>
          </w:p>
        </w:tc>
        <w:tc>
          <w:tcPr>
            <w:tcW w:w="1134" w:type="dxa"/>
            <w:tcBorders>
              <w:top w:val="nil"/>
              <w:left w:val="nil"/>
              <w:bottom w:val="single" w:sz="8" w:space="0" w:color="5F497A" w:themeColor="accent4" w:themeShade="BF"/>
              <w:right w:val="nil"/>
            </w:tcBorders>
            <w:vAlign w:val="bottom"/>
          </w:tcPr>
          <w:p w14:paraId="5EE83639" w14:textId="530D6393" w:rsidR="00A26814" w:rsidRPr="003E2D55" w:rsidRDefault="00A26814" w:rsidP="00A26814">
            <w:pPr>
              <w:spacing w:before="40" w:after="20"/>
              <w:jc w:val="right"/>
              <w:rPr>
                <w:rFonts w:cs="Arial"/>
                <w:sz w:val="18"/>
                <w:szCs w:val="18"/>
              </w:rPr>
            </w:pPr>
            <w:r w:rsidRPr="003E2D55">
              <w:rPr>
                <w:rFonts w:cs="Arial"/>
                <w:sz w:val="18"/>
                <w:szCs w:val="18"/>
              </w:rPr>
              <w:t> </w:t>
            </w:r>
          </w:p>
        </w:tc>
        <w:tc>
          <w:tcPr>
            <w:tcW w:w="1247" w:type="dxa"/>
            <w:tcBorders>
              <w:top w:val="nil"/>
              <w:left w:val="nil"/>
              <w:bottom w:val="single" w:sz="8" w:space="0" w:color="5F497A" w:themeColor="accent4" w:themeShade="BF"/>
              <w:right w:val="nil"/>
            </w:tcBorders>
            <w:vAlign w:val="bottom"/>
          </w:tcPr>
          <w:p w14:paraId="0D7522C5" w14:textId="43B1E49B" w:rsidR="00A26814" w:rsidRPr="003E2D55" w:rsidRDefault="00A26814" w:rsidP="00A26814">
            <w:pPr>
              <w:spacing w:before="40" w:after="20"/>
              <w:jc w:val="right"/>
              <w:rPr>
                <w:rFonts w:cs="Arial"/>
                <w:b/>
                <w:sz w:val="18"/>
                <w:szCs w:val="18"/>
              </w:rPr>
            </w:pPr>
            <w:r w:rsidRPr="003E2D55">
              <w:rPr>
                <w:rFonts w:cs="Arial"/>
                <w:b/>
                <w:sz w:val="18"/>
                <w:szCs w:val="18"/>
              </w:rPr>
              <w:t> </w:t>
            </w:r>
          </w:p>
        </w:tc>
        <w:tc>
          <w:tcPr>
            <w:tcW w:w="1247" w:type="dxa"/>
            <w:tcBorders>
              <w:top w:val="nil"/>
              <w:left w:val="nil"/>
              <w:bottom w:val="single" w:sz="8" w:space="0" w:color="5F497A" w:themeColor="accent4" w:themeShade="BF"/>
              <w:right w:val="nil"/>
            </w:tcBorders>
            <w:shd w:val="clear" w:color="auto" w:fill="auto"/>
            <w:vAlign w:val="bottom"/>
          </w:tcPr>
          <w:p w14:paraId="61C38EEB" w14:textId="1A9BDEDC" w:rsidR="00A26814" w:rsidRPr="003E2D55" w:rsidRDefault="00A26814" w:rsidP="00A26814">
            <w:pPr>
              <w:spacing w:before="40" w:after="20"/>
              <w:jc w:val="right"/>
              <w:rPr>
                <w:rFonts w:cs="Arial"/>
                <w:b/>
                <w:sz w:val="18"/>
                <w:szCs w:val="18"/>
              </w:rPr>
            </w:pPr>
            <w:r w:rsidRPr="003E2D55">
              <w:rPr>
                <w:rFonts w:cs="Arial"/>
                <w:b/>
                <w:sz w:val="18"/>
                <w:szCs w:val="18"/>
              </w:rPr>
              <w:t> </w:t>
            </w:r>
          </w:p>
        </w:tc>
        <w:tc>
          <w:tcPr>
            <w:tcW w:w="1021" w:type="dxa"/>
            <w:tcBorders>
              <w:top w:val="nil"/>
              <w:left w:val="nil"/>
              <w:bottom w:val="single" w:sz="8" w:space="0" w:color="5F497A" w:themeColor="accent4" w:themeShade="BF"/>
              <w:right w:val="nil"/>
            </w:tcBorders>
            <w:shd w:val="clear" w:color="auto" w:fill="auto"/>
            <w:vAlign w:val="bottom"/>
          </w:tcPr>
          <w:p w14:paraId="264EC5C8" w14:textId="77777777" w:rsidR="00A26814" w:rsidRPr="003E2D55" w:rsidRDefault="00A26814" w:rsidP="00A26814">
            <w:pPr>
              <w:spacing w:before="40" w:after="20"/>
              <w:jc w:val="right"/>
              <w:rPr>
                <w:rFonts w:cs="Arial"/>
                <w:sz w:val="18"/>
                <w:szCs w:val="18"/>
              </w:rPr>
            </w:pPr>
          </w:p>
        </w:tc>
        <w:tc>
          <w:tcPr>
            <w:tcW w:w="1021" w:type="dxa"/>
            <w:tcBorders>
              <w:top w:val="nil"/>
              <w:left w:val="nil"/>
              <w:bottom w:val="single" w:sz="8" w:space="0" w:color="5F497A" w:themeColor="accent4" w:themeShade="BF"/>
              <w:right w:val="nil"/>
            </w:tcBorders>
            <w:shd w:val="clear" w:color="auto" w:fill="auto"/>
            <w:vAlign w:val="bottom"/>
          </w:tcPr>
          <w:p w14:paraId="37065F86" w14:textId="68C15B83" w:rsidR="00A26814" w:rsidRPr="003E2D55" w:rsidRDefault="00A26814" w:rsidP="00A26814">
            <w:pPr>
              <w:spacing w:before="40" w:after="20"/>
              <w:jc w:val="right"/>
              <w:rPr>
                <w:rFonts w:cs="Arial"/>
                <w:sz w:val="18"/>
                <w:szCs w:val="18"/>
              </w:rPr>
            </w:pPr>
            <w:r w:rsidRPr="003E2D55">
              <w:rPr>
                <w:rFonts w:cs="Arial"/>
                <w:sz w:val="18"/>
                <w:szCs w:val="18"/>
              </w:rPr>
              <w:t> </w:t>
            </w:r>
          </w:p>
        </w:tc>
      </w:tr>
      <w:tr w:rsidR="00A26814" w:rsidRPr="003E2D55" w14:paraId="1783FC7E" w14:textId="77777777" w:rsidTr="00B44BBE">
        <w:trPr>
          <w:trHeight w:val="20"/>
        </w:trPr>
        <w:tc>
          <w:tcPr>
            <w:tcW w:w="2268" w:type="dxa"/>
            <w:tcBorders>
              <w:top w:val="nil"/>
              <w:left w:val="nil"/>
              <w:right w:val="single" w:sz="18" w:space="0" w:color="5F497A" w:themeColor="accent4" w:themeShade="BF"/>
            </w:tcBorders>
            <w:shd w:val="clear" w:color="auto" w:fill="auto"/>
            <w:vAlign w:val="center"/>
          </w:tcPr>
          <w:p w14:paraId="237A8263" w14:textId="77777777" w:rsidR="00A26814" w:rsidRPr="003E2D55" w:rsidRDefault="00A26814" w:rsidP="00A26814">
            <w:pPr>
              <w:spacing w:before="40" w:after="20"/>
              <w:jc w:val="right"/>
              <w:rPr>
                <w:rFonts w:cs="Arial"/>
                <w:b/>
                <w:sz w:val="18"/>
                <w:szCs w:val="18"/>
              </w:rPr>
            </w:pPr>
          </w:p>
        </w:tc>
        <w:tc>
          <w:tcPr>
            <w:tcW w:w="1134" w:type="dxa"/>
            <w:tcBorders>
              <w:top w:val="single" w:sz="8" w:space="0" w:color="5F497A" w:themeColor="accent4" w:themeShade="BF"/>
              <w:left w:val="single" w:sz="18" w:space="0" w:color="5F497A" w:themeColor="accent4" w:themeShade="BF"/>
              <w:right w:val="nil"/>
            </w:tcBorders>
            <w:shd w:val="clear" w:color="auto" w:fill="auto"/>
            <w:vAlign w:val="bottom"/>
          </w:tcPr>
          <w:p w14:paraId="2DE8CA56" w14:textId="5CE09644" w:rsidR="00A26814" w:rsidRPr="003E2D55" w:rsidRDefault="00A26814" w:rsidP="00A26814">
            <w:pPr>
              <w:spacing w:before="40" w:after="20"/>
              <w:jc w:val="right"/>
              <w:rPr>
                <w:rFonts w:cs="Arial"/>
                <w:b/>
                <w:sz w:val="18"/>
                <w:szCs w:val="18"/>
              </w:rPr>
            </w:pPr>
            <w:r w:rsidRPr="003E2D55">
              <w:rPr>
                <w:rFonts w:cs="Arial"/>
                <w:b/>
                <w:sz w:val="18"/>
                <w:szCs w:val="18"/>
              </w:rPr>
              <w:t>31,921</w:t>
            </w:r>
          </w:p>
        </w:tc>
        <w:tc>
          <w:tcPr>
            <w:tcW w:w="1134" w:type="dxa"/>
            <w:tcBorders>
              <w:top w:val="single" w:sz="8" w:space="0" w:color="5F497A" w:themeColor="accent4" w:themeShade="BF"/>
              <w:left w:val="nil"/>
              <w:right w:val="nil"/>
            </w:tcBorders>
            <w:vAlign w:val="bottom"/>
          </w:tcPr>
          <w:p w14:paraId="56A70BD3" w14:textId="2EF19B33" w:rsidR="00A26814" w:rsidRPr="003E2D55" w:rsidRDefault="00A26814" w:rsidP="00A26814">
            <w:pPr>
              <w:spacing w:before="40" w:after="20"/>
              <w:jc w:val="right"/>
              <w:rPr>
                <w:rFonts w:cs="Arial"/>
                <w:b/>
                <w:sz w:val="18"/>
                <w:szCs w:val="18"/>
              </w:rPr>
            </w:pPr>
            <w:r w:rsidRPr="003E2D55">
              <w:rPr>
                <w:rFonts w:cs="Arial"/>
                <w:b/>
                <w:sz w:val="18"/>
                <w:szCs w:val="18"/>
              </w:rPr>
              <w:t>99,881</w:t>
            </w:r>
          </w:p>
        </w:tc>
        <w:tc>
          <w:tcPr>
            <w:tcW w:w="1247" w:type="dxa"/>
            <w:tcBorders>
              <w:top w:val="single" w:sz="8" w:space="0" w:color="5F497A" w:themeColor="accent4" w:themeShade="BF"/>
              <w:left w:val="nil"/>
              <w:right w:val="nil"/>
            </w:tcBorders>
            <w:vAlign w:val="bottom"/>
          </w:tcPr>
          <w:p w14:paraId="617D7B89" w14:textId="05DBCDF8" w:rsidR="00A26814" w:rsidRPr="003E2D55" w:rsidRDefault="00A26814" w:rsidP="00A26814">
            <w:pPr>
              <w:spacing w:before="40" w:after="20"/>
              <w:jc w:val="right"/>
              <w:rPr>
                <w:rFonts w:cs="Arial"/>
                <w:b/>
                <w:sz w:val="18"/>
                <w:szCs w:val="18"/>
              </w:rPr>
            </w:pPr>
            <w:r w:rsidRPr="003E2D55">
              <w:rPr>
                <w:rFonts w:cs="Arial"/>
                <w:b/>
                <w:sz w:val="18"/>
                <w:szCs w:val="18"/>
              </w:rPr>
              <w:t>131,801</w:t>
            </w:r>
          </w:p>
        </w:tc>
        <w:tc>
          <w:tcPr>
            <w:tcW w:w="1247" w:type="dxa"/>
            <w:tcBorders>
              <w:top w:val="single" w:sz="8" w:space="0" w:color="5F497A" w:themeColor="accent4" w:themeShade="BF"/>
              <w:left w:val="nil"/>
              <w:right w:val="nil"/>
            </w:tcBorders>
            <w:shd w:val="clear" w:color="auto" w:fill="auto"/>
            <w:vAlign w:val="bottom"/>
          </w:tcPr>
          <w:p w14:paraId="25F92777" w14:textId="5C795FC9" w:rsidR="00A26814" w:rsidRPr="003E2D55" w:rsidRDefault="00A26814" w:rsidP="00A26814">
            <w:pPr>
              <w:spacing w:before="40" w:after="20"/>
              <w:jc w:val="right"/>
              <w:rPr>
                <w:rFonts w:cs="Arial"/>
                <w:b/>
                <w:sz w:val="18"/>
                <w:szCs w:val="18"/>
              </w:rPr>
            </w:pPr>
            <w:r w:rsidRPr="003E2D55">
              <w:rPr>
                <w:rFonts w:cs="Arial"/>
                <w:b/>
                <w:sz w:val="18"/>
                <w:szCs w:val="18"/>
              </w:rPr>
              <w:t>36,238</w:t>
            </w:r>
          </w:p>
        </w:tc>
        <w:tc>
          <w:tcPr>
            <w:tcW w:w="1021" w:type="dxa"/>
            <w:tcBorders>
              <w:top w:val="single" w:sz="8" w:space="0" w:color="5F497A" w:themeColor="accent4" w:themeShade="BF"/>
              <w:left w:val="nil"/>
              <w:right w:val="nil"/>
            </w:tcBorders>
            <w:shd w:val="clear" w:color="auto" w:fill="auto"/>
            <w:vAlign w:val="bottom"/>
          </w:tcPr>
          <w:p w14:paraId="626BBAE6" w14:textId="375C80CE" w:rsidR="00A26814" w:rsidRPr="003E2D55" w:rsidRDefault="00A26814" w:rsidP="00A26814">
            <w:pPr>
              <w:spacing w:before="40" w:after="20"/>
              <w:jc w:val="right"/>
              <w:rPr>
                <w:rFonts w:cs="Arial"/>
                <w:b/>
                <w:sz w:val="18"/>
                <w:szCs w:val="18"/>
              </w:rPr>
            </w:pPr>
            <w:r w:rsidRPr="003E2D55">
              <w:rPr>
                <w:rFonts w:cs="Arial"/>
                <w:b/>
                <w:sz w:val="18"/>
                <w:szCs w:val="18"/>
              </w:rPr>
              <w:t>29,268</w:t>
            </w:r>
          </w:p>
        </w:tc>
        <w:tc>
          <w:tcPr>
            <w:tcW w:w="1021" w:type="dxa"/>
            <w:tcBorders>
              <w:top w:val="single" w:sz="8" w:space="0" w:color="5F497A" w:themeColor="accent4" w:themeShade="BF"/>
              <w:left w:val="nil"/>
              <w:right w:val="nil"/>
            </w:tcBorders>
            <w:shd w:val="clear" w:color="auto" w:fill="auto"/>
            <w:vAlign w:val="bottom"/>
          </w:tcPr>
          <w:p w14:paraId="59EDEC02" w14:textId="72C6300E" w:rsidR="00A26814" w:rsidRPr="003E2D55" w:rsidRDefault="00A26814" w:rsidP="00A26814">
            <w:pPr>
              <w:spacing w:before="40" w:after="20"/>
              <w:jc w:val="right"/>
              <w:rPr>
                <w:rFonts w:cs="Arial"/>
                <w:b/>
                <w:sz w:val="18"/>
                <w:szCs w:val="18"/>
              </w:rPr>
            </w:pPr>
            <w:r w:rsidRPr="003E2D55">
              <w:rPr>
                <w:rFonts w:cs="Arial"/>
                <w:b/>
                <w:sz w:val="18"/>
                <w:szCs w:val="18"/>
              </w:rPr>
              <w:t>517,041</w:t>
            </w:r>
          </w:p>
        </w:tc>
      </w:tr>
    </w:tbl>
    <w:p w14:paraId="3D7A399A" w14:textId="77777777" w:rsidR="00CE4507" w:rsidRPr="00A44829" w:rsidRDefault="00C94778" w:rsidP="00FA7469">
      <w:pPr>
        <w:spacing w:before="40" w:after="20"/>
        <w:jc w:val="right"/>
        <w:rPr>
          <w:rFonts w:cs="Arial"/>
          <w:b/>
          <w:sz w:val="18"/>
          <w:szCs w:val="18"/>
        </w:rPr>
      </w:pPr>
      <w:r w:rsidRPr="00A44829">
        <w:rPr>
          <w:rFonts w:cs="Arial"/>
          <w:b/>
          <w:sz w:val="18"/>
          <w:szCs w:val="18"/>
        </w:rPr>
        <w:br w:type="page"/>
      </w:r>
    </w:p>
    <w:p w14:paraId="15009BE5" w14:textId="3E050FF8" w:rsidR="003724F6" w:rsidRPr="00A44829" w:rsidRDefault="003724F6" w:rsidP="00C33713">
      <w:pPr>
        <w:pStyle w:val="VGC-Head10"/>
      </w:pPr>
      <w:r w:rsidRPr="00A44829">
        <w:lastRenderedPageBreak/>
        <w:t>Appendix 5</w:t>
      </w:r>
      <w:r w:rsidRPr="00A44829">
        <w:tab/>
      </w:r>
      <w:r w:rsidR="00EE4593" w:rsidRPr="00A44829">
        <w:t>2019-20</w:t>
      </w:r>
      <w:r w:rsidR="00A97ABE" w:rsidRPr="00A44829">
        <w:t xml:space="preserve"> </w:t>
      </w:r>
      <w:r w:rsidRPr="00A44829">
        <w:t xml:space="preserve">Local Roads Grants </w:t>
      </w:r>
    </w:p>
    <w:p w14:paraId="53695697" w14:textId="77777777" w:rsidR="003724F6" w:rsidRPr="00A44829" w:rsidRDefault="003724F6" w:rsidP="008C1A28">
      <w:pPr>
        <w:pStyle w:val="VGC-Head2"/>
      </w:pPr>
      <w:r w:rsidRPr="00A44829">
        <w:t>B.  Asset Preservation Costs</w:t>
      </w:r>
    </w:p>
    <w:p w14:paraId="0B2BB3C1" w14:textId="77777777" w:rsidR="0058215B" w:rsidRPr="00A44829" w:rsidRDefault="0058215B" w:rsidP="00FF36E8">
      <w:pPr>
        <w:spacing w:before="40" w:after="20"/>
        <w:rPr>
          <w:rFonts w:cs="Arial"/>
          <w:sz w:val="18"/>
          <w:szCs w:val="18"/>
        </w:rPr>
      </w:pPr>
    </w:p>
    <w:p w14:paraId="269B9EE0" w14:textId="77777777" w:rsidR="00BE7A13" w:rsidRPr="00A44829" w:rsidRDefault="00BE7A13" w:rsidP="00FF36E8">
      <w:pPr>
        <w:spacing w:before="40" w:after="20"/>
        <w:rPr>
          <w:rFonts w:cs="Arial"/>
          <w:sz w:val="18"/>
          <w:szCs w:val="18"/>
        </w:rPr>
      </w:pPr>
    </w:p>
    <w:p w14:paraId="3B2AADD9" w14:textId="77777777" w:rsidR="00675E14" w:rsidRPr="00A44829" w:rsidRDefault="00675E14" w:rsidP="00FF36E8">
      <w:pPr>
        <w:spacing w:before="40" w:after="20"/>
        <w:rPr>
          <w:rFonts w:cs="Arial"/>
          <w:sz w:val="18"/>
          <w:szCs w:val="18"/>
        </w:rPr>
      </w:pPr>
    </w:p>
    <w:p w14:paraId="6F5C39B1" w14:textId="77777777" w:rsidR="00675E14" w:rsidRPr="00A44829" w:rsidRDefault="00675E14" w:rsidP="00FF36E8">
      <w:pPr>
        <w:spacing w:before="40" w:after="20"/>
        <w:rPr>
          <w:rFonts w:cs="Arial"/>
          <w:sz w:val="18"/>
          <w:szCs w:val="18"/>
        </w:rPr>
      </w:pPr>
    </w:p>
    <w:p w14:paraId="401E2FAA" w14:textId="77777777" w:rsidR="00147515" w:rsidRPr="00A44829" w:rsidRDefault="00147515" w:rsidP="00FF36E8">
      <w:pPr>
        <w:spacing w:before="40" w:after="20"/>
        <w:rPr>
          <w:rFonts w:cs="Arial"/>
          <w:sz w:val="18"/>
          <w:szCs w:val="18"/>
        </w:rPr>
      </w:pPr>
    </w:p>
    <w:p w14:paraId="61176A0B" w14:textId="77777777" w:rsidR="00147515" w:rsidRPr="00A44829" w:rsidRDefault="00147515" w:rsidP="00FF36E8">
      <w:pPr>
        <w:spacing w:before="40" w:after="20"/>
        <w:rPr>
          <w:rFonts w:cs="Arial"/>
          <w:sz w:val="18"/>
          <w:szCs w:val="18"/>
        </w:rPr>
      </w:pPr>
    </w:p>
    <w:p w14:paraId="5A4C074E" w14:textId="77777777" w:rsidR="003724F6" w:rsidRPr="00A44829" w:rsidRDefault="003724F6" w:rsidP="00FF36E8">
      <w:pPr>
        <w:spacing w:before="40" w:after="20"/>
        <w:rPr>
          <w:rFonts w:cs="Arial"/>
          <w:sz w:val="18"/>
          <w:szCs w:val="18"/>
        </w:rPr>
      </w:pPr>
    </w:p>
    <w:p w14:paraId="31C116F9" w14:textId="77777777" w:rsidR="003724F6" w:rsidRPr="00A44829" w:rsidRDefault="003724F6" w:rsidP="00FF36E8">
      <w:pPr>
        <w:spacing w:before="40" w:after="20"/>
        <w:rPr>
          <w:rFonts w:cs="Arial"/>
          <w:sz w:val="18"/>
          <w:szCs w:val="18"/>
        </w:rPr>
      </w:pPr>
    </w:p>
    <w:tbl>
      <w:tblPr>
        <w:tblW w:w="0" w:type="auto"/>
        <w:jc w:val="center"/>
        <w:tblLayout w:type="fixed"/>
        <w:tblCellMar>
          <w:left w:w="57" w:type="dxa"/>
          <w:right w:w="57" w:type="dxa"/>
        </w:tblCellMar>
        <w:tblLook w:val="0000" w:firstRow="0" w:lastRow="0" w:firstColumn="0" w:lastColumn="0" w:noHBand="0" w:noVBand="0"/>
      </w:tblPr>
      <w:tblGrid>
        <w:gridCol w:w="1701"/>
        <w:gridCol w:w="1701"/>
        <w:gridCol w:w="1701"/>
        <w:gridCol w:w="567"/>
      </w:tblGrid>
      <w:tr w:rsidR="00A6042C" w:rsidRPr="00A44829" w14:paraId="01AFE44C" w14:textId="77777777" w:rsidTr="00B44BBE">
        <w:trPr>
          <w:trHeight w:val="20"/>
          <w:jc w:val="center"/>
        </w:trPr>
        <w:tc>
          <w:tcPr>
            <w:tcW w:w="1701" w:type="dxa"/>
            <w:tcBorders>
              <w:bottom w:val="single" w:sz="8" w:space="0" w:color="5F497A" w:themeColor="accent4" w:themeShade="BF"/>
            </w:tcBorders>
            <w:shd w:val="clear" w:color="auto" w:fill="auto"/>
            <w:vAlign w:val="bottom"/>
          </w:tcPr>
          <w:p w14:paraId="579B2DEA" w14:textId="77777777" w:rsidR="00A6042C" w:rsidRPr="00A44829" w:rsidRDefault="00A6042C" w:rsidP="000B210A">
            <w:pPr>
              <w:spacing w:before="40" w:after="40"/>
              <w:jc w:val="center"/>
              <w:rPr>
                <w:rFonts w:cs="Arial"/>
                <w:b/>
                <w:sz w:val="18"/>
                <w:szCs w:val="18"/>
              </w:rPr>
            </w:pPr>
            <w:r w:rsidRPr="00A44829">
              <w:rPr>
                <w:rFonts w:cs="Arial"/>
                <w:b/>
                <w:sz w:val="18"/>
                <w:szCs w:val="18"/>
              </w:rPr>
              <w:t>Road Type</w:t>
            </w:r>
          </w:p>
        </w:tc>
        <w:tc>
          <w:tcPr>
            <w:tcW w:w="1701" w:type="dxa"/>
            <w:tcBorders>
              <w:bottom w:val="single" w:sz="8" w:space="0" w:color="5F497A" w:themeColor="accent4" w:themeShade="BF"/>
            </w:tcBorders>
            <w:shd w:val="clear" w:color="auto" w:fill="auto"/>
            <w:vAlign w:val="bottom"/>
          </w:tcPr>
          <w:p w14:paraId="773D5394" w14:textId="77777777" w:rsidR="00A6042C" w:rsidRPr="00A44829" w:rsidRDefault="00A6042C" w:rsidP="000B210A">
            <w:pPr>
              <w:spacing w:before="40" w:after="40"/>
              <w:jc w:val="center"/>
              <w:rPr>
                <w:rFonts w:cs="Arial"/>
                <w:b/>
                <w:sz w:val="18"/>
                <w:szCs w:val="18"/>
              </w:rPr>
            </w:pPr>
            <w:r w:rsidRPr="00A44829">
              <w:rPr>
                <w:rFonts w:cs="Arial"/>
                <w:b/>
                <w:sz w:val="18"/>
                <w:szCs w:val="18"/>
              </w:rPr>
              <w:t>Daily Traffic Volume Range</w:t>
            </w:r>
          </w:p>
        </w:tc>
        <w:tc>
          <w:tcPr>
            <w:tcW w:w="567" w:type="dxa"/>
            <w:gridSpan w:val="2"/>
            <w:tcBorders>
              <w:bottom w:val="single" w:sz="8" w:space="0" w:color="5F497A" w:themeColor="accent4" w:themeShade="BF"/>
            </w:tcBorders>
            <w:shd w:val="clear" w:color="auto" w:fill="auto"/>
            <w:tcMar>
              <w:left w:w="0" w:type="dxa"/>
              <w:right w:w="0" w:type="dxa"/>
            </w:tcMar>
            <w:vAlign w:val="bottom"/>
          </w:tcPr>
          <w:p w14:paraId="06BC5259" w14:textId="205AB141" w:rsidR="00A6042C" w:rsidRPr="00A44829" w:rsidRDefault="00A6042C" w:rsidP="000B210A">
            <w:pPr>
              <w:spacing w:before="40" w:after="40"/>
              <w:ind w:right="-1"/>
              <w:jc w:val="center"/>
              <w:rPr>
                <w:rFonts w:cs="Arial"/>
                <w:b/>
                <w:sz w:val="18"/>
                <w:szCs w:val="18"/>
              </w:rPr>
            </w:pPr>
            <w:r w:rsidRPr="00A44829">
              <w:rPr>
                <w:rFonts w:cs="Arial"/>
                <w:b/>
                <w:sz w:val="18"/>
                <w:szCs w:val="18"/>
              </w:rPr>
              <w:t xml:space="preserve">Annual </w:t>
            </w:r>
            <w:r w:rsidR="00DA482B" w:rsidRPr="00A44829">
              <w:rPr>
                <w:rFonts w:cs="Arial"/>
                <w:b/>
                <w:sz w:val="18"/>
                <w:szCs w:val="18"/>
              </w:rPr>
              <w:t xml:space="preserve">Asset </w:t>
            </w:r>
            <w:r w:rsidR="00DA482B" w:rsidRPr="00A44829">
              <w:rPr>
                <w:rFonts w:cs="Arial"/>
                <w:b/>
                <w:sz w:val="18"/>
                <w:szCs w:val="18"/>
              </w:rPr>
              <w:br/>
            </w:r>
            <w:r w:rsidRPr="00A44829">
              <w:rPr>
                <w:rFonts w:cs="Arial"/>
                <w:b/>
                <w:sz w:val="18"/>
                <w:szCs w:val="18"/>
              </w:rPr>
              <w:t>Preservation Cost</w:t>
            </w:r>
          </w:p>
        </w:tc>
      </w:tr>
      <w:tr w:rsidR="00A6042C" w:rsidRPr="00A44829" w14:paraId="08B38B7F" w14:textId="77777777" w:rsidTr="00B44BBE">
        <w:trPr>
          <w:trHeight w:val="20"/>
          <w:jc w:val="center"/>
        </w:trPr>
        <w:tc>
          <w:tcPr>
            <w:tcW w:w="1701" w:type="dxa"/>
            <w:tcBorders>
              <w:top w:val="single" w:sz="8" w:space="0" w:color="5F497A" w:themeColor="accent4" w:themeShade="BF"/>
            </w:tcBorders>
            <w:shd w:val="clear" w:color="auto" w:fill="auto"/>
            <w:vAlign w:val="center"/>
          </w:tcPr>
          <w:p w14:paraId="53D5E16B" w14:textId="77777777" w:rsidR="00A6042C" w:rsidRPr="00A44829" w:rsidRDefault="00A6042C" w:rsidP="000B210A">
            <w:pPr>
              <w:spacing w:before="40" w:after="40"/>
              <w:jc w:val="center"/>
              <w:rPr>
                <w:rFonts w:cs="Arial"/>
                <w:sz w:val="18"/>
                <w:szCs w:val="18"/>
              </w:rPr>
            </w:pPr>
          </w:p>
        </w:tc>
        <w:tc>
          <w:tcPr>
            <w:tcW w:w="1701" w:type="dxa"/>
            <w:tcBorders>
              <w:top w:val="single" w:sz="8" w:space="0" w:color="5F497A" w:themeColor="accent4" w:themeShade="BF"/>
            </w:tcBorders>
            <w:shd w:val="clear" w:color="auto" w:fill="auto"/>
            <w:vAlign w:val="center"/>
          </w:tcPr>
          <w:p w14:paraId="4F35AD59" w14:textId="77777777" w:rsidR="00A6042C" w:rsidRPr="00A44829" w:rsidRDefault="00A6042C" w:rsidP="000B210A">
            <w:pPr>
              <w:spacing w:before="40" w:after="40"/>
              <w:jc w:val="center"/>
              <w:rPr>
                <w:rFonts w:cs="Arial"/>
                <w:sz w:val="18"/>
                <w:szCs w:val="18"/>
              </w:rPr>
            </w:pPr>
          </w:p>
        </w:tc>
        <w:tc>
          <w:tcPr>
            <w:tcW w:w="1701" w:type="dxa"/>
            <w:tcBorders>
              <w:top w:val="single" w:sz="8" w:space="0" w:color="5F497A" w:themeColor="accent4" w:themeShade="BF"/>
            </w:tcBorders>
            <w:shd w:val="clear" w:color="auto" w:fill="auto"/>
            <w:tcMar>
              <w:left w:w="0" w:type="dxa"/>
              <w:right w:w="0" w:type="dxa"/>
            </w:tcMar>
            <w:vAlign w:val="center"/>
          </w:tcPr>
          <w:p w14:paraId="59481A41" w14:textId="77777777" w:rsidR="00A6042C" w:rsidRPr="00A44829" w:rsidRDefault="00A6042C" w:rsidP="000B210A">
            <w:pPr>
              <w:spacing w:before="40" w:after="40"/>
              <w:ind w:right="-427"/>
              <w:jc w:val="center"/>
              <w:rPr>
                <w:rFonts w:cs="Arial"/>
                <w:sz w:val="18"/>
                <w:szCs w:val="18"/>
              </w:rPr>
            </w:pPr>
          </w:p>
        </w:tc>
        <w:tc>
          <w:tcPr>
            <w:tcW w:w="567" w:type="dxa"/>
            <w:tcBorders>
              <w:top w:val="single" w:sz="8" w:space="0" w:color="5F497A" w:themeColor="accent4" w:themeShade="BF"/>
            </w:tcBorders>
            <w:vAlign w:val="center"/>
          </w:tcPr>
          <w:p w14:paraId="3E24112C" w14:textId="77777777" w:rsidR="00A6042C" w:rsidRPr="00A44829" w:rsidRDefault="00A6042C" w:rsidP="000B210A">
            <w:pPr>
              <w:spacing w:before="40" w:after="40"/>
              <w:ind w:right="-427"/>
              <w:jc w:val="center"/>
              <w:rPr>
                <w:rFonts w:cs="Arial"/>
                <w:sz w:val="18"/>
                <w:szCs w:val="18"/>
              </w:rPr>
            </w:pPr>
          </w:p>
        </w:tc>
      </w:tr>
      <w:tr w:rsidR="00A6042C" w:rsidRPr="00A44829" w14:paraId="51E9EE5F" w14:textId="77777777" w:rsidTr="00961833">
        <w:trPr>
          <w:trHeight w:val="20"/>
          <w:jc w:val="center"/>
        </w:trPr>
        <w:tc>
          <w:tcPr>
            <w:tcW w:w="1701" w:type="dxa"/>
            <w:vMerge w:val="restart"/>
            <w:shd w:val="clear" w:color="auto" w:fill="auto"/>
            <w:vAlign w:val="center"/>
          </w:tcPr>
          <w:p w14:paraId="6AFB37B0" w14:textId="77777777" w:rsidR="00A6042C" w:rsidRPr="00A44829" w:rsidRDefault="00A6042C" w:rsidP="000B210A">
            <w:pPr>
              <w:spacing w:before="40" w:after="40"/>
              <w:jc w:val="center"/>
              <w:rPr>
                <w:rFonts w:cs="Arial"/>
                <w:sz w:val="18"/>
                <w:szCs w:val="18"/>
              </w:rPr>
            </w:pPr>
            <w:r w:rsidRPr="00A44829">
              <w:rPr>
                <w:rFonts w:cs="Arial"/>
                <w:sz w:val="18"/>
                <w:szCs w:val="18"/>
              </w:rPr>
              <w:t xml:space="preserve">Urban </w:t>
            </w:r>
            <w:r w:rsidRPr="00A44829">
              <w:rPr>
                <w:rFonts w:cs="Arial"/>
                <w:sz w:val="18"/>
                <w:szCs w:val="18"/>
              </w:rPr>
              <w:br/>
              <w:t>Local Roads</w:t>
            </w:r>
          </w:p>
        </w:tc>
        <w:tc>
          <w:tcPr>
            <w:tcW w:w="1701" w:type="dxa"/>
            <w:shd w:val="clear" w:color="auto" w:fill="auto"/>
            <w:vAlign w:val="center"/>
          </w:tcPr>
          <w:p w14:paraId="42944FC0" w14:textId="77777777" w:rsidR="00A6042C" w:rsidRPr="00A44829" w:rsidRDefault="00A6042C" w:rsidP="000B210A">
            <w:pPr>
              <w:spacing w:before="40" w:after="40"/>
              <w:jc w:val="center"/>
              <w:rPr>
                <w:rFonts w:cs="Arial"/>
                <w:sz w:val="18"/>
                <w:szCs w:val="18"/>
              </w:rPr>
            </w:pPr>
            <w:r w:rsidRPr="00A44829">
              <w:rPr>
                <w:rFonts w:cs="Arial"/>
                <w:sz w:val="18"/>
                <w:szCs w:val="18"/>
              </w:rPr>
              <w:t>Under 500</w:t>
            </w:r>
          </w:p>
        </w:tc>
        <w:tc>
          <w:tcPr>
            <w:tcW w:w="1701" w:type="dxa"/>
            <w:shd w:val="clear" w:color="auto" w:fill="auto"/>
            <w:tcMar>
              <w:left w:w="0" w:type="dxa"/>
              <w:right w:w="0" w:type="dxa"/>
            </w:tcMar>
            <w:vAlign w:val="center"/>
          </w:tcPr>
          <w:p w14:paraId="4EC4597B" w14:textId="77777777" w:rsidR="00A6042C" w:rsidRPr="00A44829" w:rsidRDefault="00A6042C" w:rsidP="000B210A">
            <w:pPr>
              <w:spacing w:before="40" w:after="40"/>
              <w:ind w:right="-427"/>
              <w:jc w:val="center"/>
              <w:rPr>
                <w:rFonts w:cs="Arial"/>
                <w:sz w:val="18"/>
                <w:szCs w:val="18"/>
              </w:rPr>
            </w:pPr>
            <w:r w:rsidRPr="00A44829">
              <w:rPr>
                <w:rFonts w:cs="Arial"/>
                <w:sz w:val="18"/>
                <w:szCs w:val="18"/>
              </w:rPr>
              <w:t xml:space="preserve">$ </w:t>
            </w:r>
            <w:r w:rsidR="00833C15" w:rsidRPr="00A44829">
              <w:rPr>
                <w:rFonts w:cs="Arial"/>
                <w:sz w:val="18"/>
                <w:szCs w:val="18"/>
              </w:rPr>
              <w:t>7,2</w:t>
            </w:r>
            <w:r w:rsidRPr="00A44829">
              <w:rPr>
                <w:rFonts w:cs="Arial"/>
                <w:sz w:val="18"/>
                <w:szCs w:val="18"/>
              </w:rPr>
              <w:t>00 km</w:t>
            </w:r>
          </w:p>
        </w:tc>
        <w:tc>
          <w:tcPr>
            <w:tcW w:w="567" w:type="dxa"/>
            <w:vAlign w:val="center"/>
          </w:tcPr>
          <w:p w14:paraId="5DA9B0A1" w14:textId="77777777" w:rsidR="00A6042C" w:rsidRPr="00A44829" w:rsidRDefault="00A6042C" w:rsidP="000B210A">
            <w:pPr>
              <w:spacing w:before="40" w:after="40"/>
              <w:ind w:right="-427"/>
              <w:jc w:val="center"/>
              <w:rPr>
                <w:rFonts w:cs="Arial"/>
                <w:sz w:val="18"/>
                <w:szCs w:val="18"/>
              </w:rPr>
            </w:pPr>
          </w:p>
        </w:tc>
      </w:tr>
      <w:tr w:rsidR="00A6042C" w:rsidRPr="00A44829" w14:paraId="59A9B1CB" w14:textId="77777777" w:rsidTr="00961833">
        <w:trPr>
          <w:trHeight w:val="20"/>
          <w:jc w:val="center"/>
        </w:trPr>
        <w:tc>
          <w:tcPr>
            <w:tcW w:w="1701" w:type="dxa"/>
            <w:vMerge/>
            <w:shd w:val="clear" w:color="auto" w:fill="auto"/>
            <w:vAlign w:val="center"/>
          </w:tcPr>
          <w:p w14:paraId="166AA335" w14:textId="77777777" w:rsidR="00A6042C" w:rsidRPr="00A44829" w:rsidRDefault="00A6042C" w:rsidP="000B210A">
            <w:pPr>
              <w:spacing w:before="40" w:after="40"/>
              <w:jc w:val="center"/>
              <w:rPr>
                <w:rFonts w:cs="Arial"/>
                <w:sz w:val="18"/>
                <w:szCs w:val="18"/>
              </w:rPr>
            </w:pPr>
          </w:p>
        </w:tc>
        <w:tc>
          <w:tcPr>
            <w:tcW w:w="1701" w:type="dxa"/>
            <w:shd w:val="clear" w:color="auto" w:fill="auto"/>
            <w:vAlign w:val="center"/>
          </w:tcPr>
          <w:p w14:paraId="1403E2ED" w14:textId="77777777" w:rsidR="00A6042C" w:rsidRPr="00A44829" w:rsidRDefault="00A6042C" w:rsidP="000B210A">
            <w:pPr>
              <w:spacing w:before="40" w:after="40"/>
              <w:jc w:val="center"/>
              <w:rPr>
                <w:rFonts w:cs="Arial"/>
                <w:sz w:val="18"/>
                <w:szCs w:val="18"/>
              </w:rPr>
            </w:pPr>
            <w:r w:rsidRPr="00A44829">
              <w:rPr>
                <w:rFonts w:cs="Arial"/>
                <w:sz w:val="18"/>
                <w:szCs w:val="18"/>
              </w:rPr>
              <w:t>500 to &lt;1,000</w:t>
            </w:r>
          </w:p>
        </w:tc>
        <w:tc>
          <w:tcPr>
            <w:tcW w:w="1701" w:type="dxa"/>
            <w:shd w:val="clear" w:color="auto" w:fill="auto"/>
            <w:tcMar>
              <w:left w:w="0" w:type="dxa"/>
              <w:right w:w="0" w:type="dxa"/>
            </w:tcMar>
            <w:vAlign w:val="center"/>
          </w:tcPr>
          <w:p w14:paraId="74255A30" w14:textId="77777777" w:rsidR="00A6042C" w:rsidRPr="00A44829" w:rsidRDefault="00A6042C" w:rsidP="000B210A">
            <w:pPr>
              <w:spacing w:before="40" w:after="40"/>
              <w:ind w:right="-427"/>
              <w:jc w:val="center"/>
              <w:rPr>
                <w:rFonts w:cs="Arial"/>
                <w:sz w:val="18"/>
                <w:szCs w:val="18"/>
              </w:rPr>
            </w:pPr>
            <w:r w:rsidRPr="00A44829">
              <w:rPr>
                <w:rFonts w:cs="Arial"/>
                <w:sz w:val="18"/>
                <w:szCs w:val="18"/>
              </w:rPr>
              <w:t xml:space="preserve">$ </w:t>
            </w:r>
            <w:r w:rsidR="00833C15" w:rsidRPr="00A44829">
              <w:rPr>
                <w:rFonts w:cs="Arial"/>
                <w:sz w:val="18"/>
                <w:szCs w:val="18"/>
              </w:rPr>
              <w:t>9,8</w:t>
            </w:r>
            <w:r w:rsidRPr="00A44829">
              <w:rPr>
                <w:rFonts w:cs="Arial"/>
                <w:sz w:val="18"/>
                <w:szCs w:val="18"/>
              </w:rPr>
              <w:t>00 km</w:t>
            </w:r>
          </w:p>
        </w:tc>
        <w:tc>
          <w:tcPr>
            <w:tcW w:w="567" w:type="dxa"/>
            <w:vAlign w:val="center"/>
          </w:tcPr>
          <w:p w14:paraId="5801D733" w14:textId="77777777" w:rsidR="00A6042C" w:rsidRPr="00A44829" w:rsidRDefault="00A6042C" w:rsidP="000B210A">
            <w:pPr>
              <w:spacing w:before="40" w:after="40"/>
              <w:ind w:right="-427"/>
              <w:jc w:val="center"/>
              <w:rPr>
                <w:rFonts w:cs="Arial"/>
                <w:sz w:val="18"/>
                <w:szCs w:val="18"/>
              </w:rPr>
            </w:pPr>
          </w:p>
        </w:tc>
      </w:tr>
      <w:tr w:rsidR="00A6042C" w:rsidRPr="00A44829" w14:paraId="3A1D2C87" w14:textId="77777777" w:rsidTr="00961833">
        <w:trPr>
          <w:trHeight w:val="20"/>
          <w:jc w:val="center"/>
        </w:trPr>
        <w:tc>
          <w:tcPr>
            <w:tcW w:w="1701" w:type="dxa"/>
            <w:vMerge/>
            <w:shd w:val="clear" w:color="auto" w:fill="auto"/>
            <w:vAlign w:val="center"/>
          </w:tcPr>
          <w:p w14:paraId="5E1692A9" w14:textId="77777777" w:rsidR="00A6042C" w:rsidRPr="00A44829" w:rsidRDefault="00A6042C" w:rsidP="000B210A">
            <w:pPr>
              <w:spacing w:before="40" w:after="40"/>
              <w:jc w:val="center"/>
              <w:rPr>
                <w:rFonts w:cs="Arial"/>
                <w:sz w:val="18"/>
                <w:szCs w:val="18"/>
              </w:rPr>
            </w:pPr>
          </w:p>
        </w:tc>
        <w:tc>
          <w:tcPr>
            <w:tcW w:w="1701" w:type="dxa"/>
            <w:shd w:val="clear" w:color="auto" w:fill="auto"/>
            <w:vAlign w:val="center"/>
          </w:tcPr>
          <w:p w14:paraId="23053609" w14:textId="77777777" w:rsidR="00A6042C" w:rsidRPr="00A44829" w:rsidRDefault="00A6042C" w:rsidP="000B210A">
            <w:pPr>
              <w:spacing w:before="40" w:after="40"/>
              <w:jc w:val="center"/>
              <w:rPr>
                <w:rFonts w:cs="Arial"/>
                <w:sz w:val="18"/>
                <w:szCs w:val="18"/>
              </w:rPr>
            </w:pPr>
            <w:r w:rsidRPr="00A44829">
              <w:rPr>
                <w:rFonts w:cs="Arial"/>
                <w:sz w:val="18"/>
                <w:szCs w:val="18"/>
              </w:rPr>
              <w:t>1,000 to &lt;5,000</w:t>
            </w:r>
          </w:p>
        </w:tc>
        <w:tc>
          <w:tcPr>
            <w:tcW w:w="1701" w:type="dxa"/>
            <w:shd w:val="clear" w:color="auto" w:fill="auto"/>
            <w:tcMar>
              <w:left w:w="0" w:type="dxa"/>
              <w:right w:w="0" w:type="dxa"/>
            </w:tcMar>
            <w:vAlign w:val="center"/>
          </w:tcPr>
          <w:p w14:paraId="19F6CC8A" w14:textId="77777777" w:rsidR="00A6042C" w:rsidRPr="00A44829" w:rsidRDefault="00A6042C" w:rsidP="000B210A">
            <w:pPr>
              <w:spacing w:before="40" w:after="40"/>
              <w:ind w:right="-427"/>
              <w:jc w:val="center"/>
              <w:rPr>
                <w:rFonts w:cs="Arial"/>
                <w:sz w:val="18"/>
                <w:szCs w:val="18"/>
              </w:rPr>
            </w:pPr>
            <w:r w:rsidRPr="00A44829">
              <w:rPr>
                <w:rFonts w:cs="Arial"/>
                <w:sz w:val="18"/>
                <w:szCs w:val="18"/>
              </w:rPr>
              <w:t xml:space="preserve">$ </w:t>
            </w:r>
            <w:r w:rsidR="00833C15" w:rsidRPr="00A44829">
              <w:rPr>
                <w:rFonts w:cs="Arial"/>
                <w:sz w:val="18"/>
                <w:szCs w:val="18"/>
              </w:rPr>
              <w:t>13,2</w:t>
            </w:r>
            <w:r w:rsidRPr="00A44829">
              <w:rPr>
                <w:rFonts w:cs="Arial"/>
                <w:sz w:val="18"/>
                <w:szCs w:val="18"/>
              </w:rPr>
              <w:t>00 km</w:t>
            </w:r>
          </w:p>
        </w:tc>
        <w:tc>
          <w:tcPr>
            <w:tcW w:w="567" w:type="dxa"/>
            <w:vAlign w:val="center"/>
          </w:tcPr>
          <w:p w14:paraId="2C1198BC" w14:textId="77777777" w:rsidR="00A6042C" w:rsidRPr="00A44829" w:rsidRDefault="00A6042C" w:rsidP="000B210A">
            <w:pPr>
              <w:spacing w:before="40" w:after="40"/>
              <w:ind w:right="-427"/>
              <w:jc w:val="center"/>
              <w:rPr>
                <w:rFonts w:cs="Arial"/>
                <w:sz w:val="18"/>
                <w:szCs w:val="18"/>
              </w:rPr>
            </w:pPr>
          </w:p>
        </w:tc>
      </w:tr>
      <w:tr w:rsidR="00A6042C" w:rsidRPr="00A44829" w14:paraId="4CFAC465" w14:textId="77777777" w:rsidTr="00B44BBE">
        <w:trPr>
          <w:trHeight w:val="20"/>
          <w:jc w:val="center"/>
        </w:trPr>
        <w:tc>
          <w:tcPr>
            <w:tcW w:w="1701" w:type="dxa"/>
            <w:vMerge/>
            <w:shd w:val="clear" w:color="auto" w:fill="auto"/>
            <w:vAlign w:val="center"/>
          </w:tcPr>
          <w:p w14:paraId="0C4214C8" w14:textId="77777777" w:rsidR="00A6042C" w:rsidRPr="00A44829" w:rsidRDefault="00A6042C" w:rsidP="000B210A">
            <w:pPr>
              <w:spacing w:before="40" w:after="40"/>
              <w:jc w:val="center"/>
              <w:rPr>
                <w:rFonts w:cs="Arial"/>
                <w:sz w:val="18"/>
                <w:szCs w:val="18"/>
              </w:rPr>
            </w:pPr>
          </w:p>
        </w:tc>
        <w:tc>
          <w:tcPr>
            <w:tcW w:w="1701" w:type="dxa"/>
            <w:shd w:val="clear" w:color="auto" w:fill="auto"/>
            <w:vAlign w:val="center"/>
          </w:tcPr>
          <w:p w14:paraId="5E23F90C" w14:textId="77777777" w:rsidR="00A6042C" w:rsidRPr="00A44829" w:rsidRDefault="00A6042C" w:rsidP="000B210A">
            <w:pPr>
              <w:spacing w:before="40" w:after="40"/>
              <w:jc w:val="center"/>
              <w:rPr>
                <w:rFonts w:cs="Arial"/>
                <w:sz w:val="18"/>
                <w:szCs w:val="18"/>
              </w:rPr>
            </w:pPr>
            <w:r w:rsidRPr="00A44829">
              <w:rPr>
                <w:rFonts w:cs="Arial"/>
                <w:sz w:val="18"/>
                <w:szCs w:val="18"/>
              </w:rPr>
              <w:t>5,000 +</w:t>
            </w:r>
          </w:p>
        </w:tc>
        <w:tc>
          <w:tcPr>
            <w:tcW w:w="1701" w:type="dxa"/>
            <w:shd w:val="clear" w:color="auto" w:fill="auto"/>
            <w:tcMar>
              <w:left w:w="0" w:type="dxa"/>
              <w:right w:w="0" w:type="dxa"/>
            </w:tcMar>
            <w:vAlign w:val="center"/>
          </w:tcPr>
          <w:p w14:paraId="25162AA3" w14:textId="77777777" w:rsidR="00A6042C" w:rsidRPr="00A44829" w:rsidRDefault="00A6042C" w:rsidP="000B210A">
            <w:pPr>
              <w:spacing w:before="40" w:after="40"/>
              <w:ind w:right="-427"/>
              <w:jc w:val="center"/>
              <w:rPr>
                <w:rFonts w:cs="Arial"/>
                <w:sz w:val="18"/>
                <w:szCs w:val="18"/>
              </w:rPr>
            </w:pPr>
            <w:r w:rsidRPr="00A44829">
              <w:rPr>
                <w:rFonts w:cs="Arial"/>
                <w:sz w:val="18"/>
                <w:szCs w:val="18"/>
              </w:rPr>
              <w:t xml:space="preserve">$ </w:t>
            </w:r>
            <w:r w:rsidR="00833C15" w:rsidRPr="00A44829">
              <w:rPr>
                <w:rFonts w:cs="Arial"/>
                <w:sz w:val="18"/>
                <w:szCs w:val="18"/>
              </w:rPr>
              <w:t>21,4</w:t>
            </w:r>
            <w:r w:rsidRPr="00A44829">
              <w:rPr>
                <w:rFonts w:cs="Arial"/>
                <w:sz w:val="18"/>
                <w:szCs w:val="18"/>
              </w:rPr>
              <w:t>00 km</w:t>
            </w:r>
          </w:p>
        </w:tc>
        <w:tc>
          <w:tcPr>
            <w:tcW w:w="567" w:type="dxa"/>
            <w:vAlign w:val="center"/>
          </w:tcPr>
          <w:p w14:paraId="5E6E6A8E" w14:textId="77777777" w:rsidR="00A6042C" w:rsidRPr="00A44829" w:rsidRDefault="00A6042C" w:rsidP="000B210A">
            <w:pPr>
              <w:spacing w:before="40" w:after="40"/>
              <w:ind w:right="-427"/>
              <w:jc w:val="center"/>
              <w:rPr>
                <w:rFonts w:cs="Arial"/>
                <w:sz w:val="18"/>
                <w:szCs w:val="18"/>
              </w:rPr>
            </w:pPr>
          </w:p>
        </w:tc>
      </w:tr>
      <w:tr w:rsidR="00A6042C" w:rsidRPr="00A44829" w14:paraId="62424BBF" w14:textId="77777777" w:rsidTr="00B44BBE">
        <w:trPr>
          <w:trHeight w:val="20"/>
          <w:jc w:val="center"/>
        </w:trPr>
        <w:tc>
          <w:tcPr>
            <w:tcW w:w="1701" w:type="dxa"/>
            <w:tcBorders>
              <w:bottom w:val="single" w:sz="8" w:space="0" w:color="5F497A" w:themeColor="accent4" w:themeShade="BF"/>
            </w:tcBorders>
            <w:shd w:val="clear" w:color="auto" w:fill="auto"/>
            <w:vAlign w:val="center"/>
          </w:tcPr>
          <w:p w14:paraId="4B4D255E" w14:textId="77777777" w:rsidR="00A6042C" w:rsidRPr="00A44829" w:rsidRDefault="00A6042C" w:rsidP="000B210A">
            <w:pPr>
              <w:spacing w:before="40" w:after="40"/>
              <w:jc w:val="center"/>
              <w:rPr>
                <w:rFonts w:cs="Arial"/>
                <w:sz w:val="18"/>
                <w:szCs w:val="18"/>
              </w:rPr>
            </w:pPr>
          </w:p>
        </w:tc>
        <w:tc>
          <w:tcPr>
            <w:tcW w:w="1701" w:type="dxa"/>
            <w:tcBorders>
              <w:bottom w:val="single" w:sz="8" w:space="0" w:color="5F497A" w:themeColor="accent4" w:themeShade="BF"/>
            </w:tcBorders>
            <w:shd w:val="clear" w:color="auto" w:fill="auto"/>
            <w:vAlign w:val="center"/>
          </w:tcPr>
          <w:p w14:paraId="699F5658" w14:textId="77777777" w:rsidR="00A6042C" w:rsidRPr="00A44829" w:rsidRDefault="00A6042C" w:rsidP="000B210A">
            <w:pPr>
              <w:spacing w:before="40" w:after="40"/>
              <w:jc w:val="center"/>
              <w:rPr>
                <w:rFonts w:cs="Arial"/>
                <w:sz w:val="18"/>
                <w:szCs w:val="18"/>
              </w:rPr>
            </w:pPr>
          </w:p>
        </w:tc>
        <w:tc>
          <w:tcPr>
            <w:tcW w:w="1701" w:type="dxa"/>
            <w:tcBorders>
              <w:bottom w:val="single" w:sz="8" w:space="0" w:color="5F497A" w:themeColor="accent4" w:themeShade="BF"/>
            </w:tcBorders>
            <w:shd w:val="clear" w:color="auto" w:fill="auto"/>
            <w:tcMar>
              <w:left w:w="0" w:type="dxa"/>
              <w:right w:w="0" w:type="dxa"/>
            </w:tcMar>
            <w:vAlign w:val="center"/>
          </w:tcPr>
          <w:p w14:paraId="20C06DF3" w14:textId="77777777" w:rsidR="00A6042C" w:rsidRPr="00A44829" w:rsidRDefault="00A6042C" w:rsidP="000B210A">
            <w:pPr>
              <w:spacing w:before="40" w:after="40"/>
              <w:ind w:right="-427"/>
              <w:jc w:val="center"/>
              <w:rPr>
                <w:rFonts w:cs="Arial"/>
                <w:sz w:val="18"/>
                <w:szCs w:val="18"/>
              </w:rPr>
            </w:pPr>
          </w:p>
        </w:tc>
        <w:tc>
          <w:tcPr>
            <w:tcW w:w="567" w:type="dxa"/>
            <w:tcBorders>
              <w:bottom w:val="single" w:sz="8" w:space="0" w:color="5F497A" w:themeColor="accent4" w:themeShade="BF"/>
            </w:tcBorders>
            <w:vAlign w:val="center"/>
          </w:tcPr>
          <w:p w14:paraId="1146C00C" w14:textId="77777777" w:rsidR="00A6042C" w:rsidRPr="00A44829" w:rsidRDefault="00A6042C" w:rsidP="000B210A">
            <w:pPr>
              <w:spacing w:before="40" w:after="40"/>
              <w:ind w:right="-427"/>
              <w:jc w:val="center"/>
              <w:rPr>
                <w:rFonts w:cs="Arial"/>
                <w:sz w:val="18"/>
                <w:szCs w:val="18"/>
              </w:rPr>
            </w:pPr>
          </w:p>
        </w:tc>
      </w:tr>
      <w:tr w:rsidR="00A6042C" w:rsidRPr="00A44829" w14:paraId="2C89C43F" w14:textId="77777777" w:rsidTr="00B44BBE">
        <w:trPr>
          <w:trHeight w:val="20"/>
          <w:jc w:val="center"/>
        </w:trPr>
        <w:tc>
          <w:tcPr>
            <w:tcW w:w="1701" w:type="dxa"/>
            <w:tcBorders>
              <w:top w:val="single" w:sz="8" w:space="0" w:color="5F497A" w:themeColor="accent4" w:themeShade="BF"/>
            </w:tcBorders>
            <w:shd w:val="clear" w:color="auto" w:fill="auto"/>
            <w:vAlign w:val="center"/>
          </w:tcPr>
          <w:p w14:paraId="2460D1DA" w14:textId="77777777" w:rsidR="00A6042C" w:rsidRPr="00A44829" w:rsidRDefault="00A6042C" w:rsidP="000B210A">
            <w:pPr>
              <w:spacing w:before="40" w:after="40"/>
              <w:jc w:val="center"/>
              <w:rPr>
                <w:rFonts w:cs="Arial"/>
                <w:sz w:val="18"/>
                <w:szCs w:val="18"/>
              </w:rPr>
            </w:pPr>
          </w:p>
        </w:tc>
        <w:tc>
          <w:tcPr>
            <w:tcW w:w="1701" w:type="dxa"/>
            <w:tcBorders>
              <w:top w:val="single" w:sz="8" w:space="0" w:color="5F497A" w:themeColor="accent4" w:themeShade="BF"/>
            </w:tcBorders>
            <w:shd w:val="clear" w:color="auto" w:fill="auto"/>
            <w:vAlign w:val="center"/>
          </w:tcPr>
          <w:p w14:paraId="315F6E84" w14:textId="77777777" w:rsidR="00A6042C" w:rsidRPr="00A44829" w:rsidRDefault="00A6042C" w:rsidP="000B210A">
            <w:pPr>
              <w:spacing w:before="40" w:after="40"/>
              <w:jc w:val="center"/>
              <w:rPr>
                <w:rFonts w:cs="Arial"/>
                <w:sz w:val="18"/>
                <w:szCs w:val="18"/>
              </w:rPr>
            </w:pPr>
          </w:p>
        </w:tc>
        <w:tc>
          <w:tcPr>
            <w:tcW w:w="1701" w:type="dxa"/>
            <w:tcBorders>
              <w:top w:val="single" w:sz="8" w:space="0" w:color="5F497A" w:themeColor="accent4" w:themeShade="BF"/>
            </w:tcBorders>
            <w:shd w:val="clear" w:color="auto" w:fill="auto"/>
            <w:tcMar>
              <w:left w:w="0" w:type="dxa"/>
              <w:right w:w="0" w:type="dxa"/>
            </w:tcMar>
            <w:vAlign w:val="center"/>
          </w:tcPr>
          <w:p w14:paraId="351F7B05" w14:textId="77777777" w:rsidR="00A6042C" w:rsidRPr="00A44829" w:rsidRDefault="00A6042C" w:rsidP="000B210A">
            <w:pPr>
              <w:spacing w:before="40" w:after="40"/>
              <w:ind w:right="-427"/>
              <w:jc w:val="center"/>
              <w:rPr>
                <w:rFonts w:cs="Arial"/>
                <w:sz w:val="18"/>
                <w:szCs w:val="18"/>
              </w:rPr>
            </w:pPr>
          </w:p>
        </w:tc>
        <w:tc>
          <w:tcPr>
            <w:tcW w:w="567" w:type="dxa"/>
            <w:tcBorders>
              <w:top w:val="single" w:sz="8" w:space="0" w:color="5F497A" w:themeColor="accent4" w:themeShade="BF"/>
            </w:tcBorders>
            <w:vAlign w:val="center"/>
          </w:tcPr>
          <w:p w14:paraId="13BF4A15" w14:textId="77777777" w:rsidR="00A6042C" w:rsidRPr="00A44829" w:rsidRDefault="00A6042C" w:rsidP="000B210A">
            <w:pPr>
              <w:spacing w:before="40" w:after="40"/>
              <w:ind w:right="-427"/>
              <w:jc w:val="center"/>
              <w:rPr>
                <w:rFonts w:cs="Arial"/>
                <w:sz w:val="18"/>
                <w:szCs w:val="18"/>
              </w:rPr>
            </w:pPr>
          </w:p>
        </w:tc>
      </w:tr>
      <w:tr w:rsidR="00A6042C" w:rsidRPr="00A44829" w14:paraId="465BE396" w14:textId="77777777" w:rsidTr="00961833">
        <w:trPr>
          <w:trHeight w:val="20"/>
          <w:jc w:val="center"/>
        </w:trPr>
        <w:tc>
          <w:tcPr>
            <w:tcW w:w="1701" w:type="dxa"/>
            <w:vMerge w:val="restart"/>
            <w:shd w:val="clear" w:color="auto" w:fill="auto"/>
            <w:vAlign w:val="center"/>
          </w:tcPr>
          <w:p w14:paraId="3C3A7CB4" w14:textId="77777777" w:rsidR="00A6042C" w:rsidRPr="00A44829" w:rsidRDefault="00A6042C" w:rsidP="000B210A">
            <w:pPr>
              <w:spacing w:before="40" w:after="40"/>
              <w:jc w:val="center"/>
              <w:rPr>
                <w:rFonts w:cs="Arial"/>
                <w:sz w:val="18"/>
                <w:szCs w:val="18"/>
              </w:rPr>
            </w:pPr>
            <w:r w:rsidRPr="00A44829">
              <w:rPr>
                <w:rFonts w:cs="Arial"/>
                <w:sz w:val="18"/>
                <w:szCs w:val="18"/>
              </w:rPr>
              <w:t xml:space="preserve">Rural </w:t>
            </w:r>
            <w:r w:rsidRPr="00A44829">
              <w:rPr>
                <w:rFonts w:cs="Arial"/>
                <w:sz w:val="18"/>
                <w:szCs w:val="18"/>
              </w:rPr>
              <w:br/>
              <w:t>Local Roads</w:t>
            </w:r>
          </w:p>
        </w:tc>
        <w:tc>
          <w:tcPr>
            <w:tcW w:w="1701" w:type="dxa"/>
            <w:shd w:val="clear" w:color="auto" w:fill="auto"/>
            <w:vAlign w:val="center"/>
          </w:tcPr>
          <w:p w14:paraId="2ACEDABC" w14:textId="77777777" w:rsidR="00A6042C" w:rsidRPr="00A44829" w:rsidRDefault="00A6042C" w:rsidP="000B210A">
            <w:pPr>
              <w:spacing w:before="40" w:after="40"/>
              <w:jc w:val="center"/>
              <w:rPr>
                <w:rFonts w:cs="Arial"/>
                <w:sz w:val="18"/>
                <w:szCs w:val="18"/>
              </w:rPr>
            </w:pPr>
            <w:r w:rsidRPr="00A44829">
              <w:rPr>
                <w:rFonts w:cs="Arial"/>
                <w:sz w:val="18"/>
                <w:szCs w:val="18"/>
              </w:rPr>
              <w:t>Natural Surface</w:t>
            </w:r>
          </w:p>
        </w:tc>
        <w:tc>
          <w:tcPr>
            <w:tcW w:w="1701" w:type="dxa"/>
            <w:shd w:val="clear" w:color="auto" w:fill="auto"/>
            <w:tcMar>
              <w:left w:w="0" w:type="dxa"/>
              <w:right w:w="0" w:type="dxa"/>
            </w:tcMar>
            <w:vAlign w:val="center"/>
          </w:tcPr>
          <w:p w14:paraId="5CAA33DD" w14:textId="77777777" w:rsidR="00A6042C" w:rsidRPr="00A44829" w:rsidRDefault="00A6042C" w:rsidP="000B210A">
            <w:pPr>
              <w:spacing w:before="40" w:after="40"/>
              <w:ind w:right="-427"/>
              <w:jc w:val="center"/>
              <w:rPr>
                <w:rFonts w:cs="Arial"/>
                <w:sz w:val="18"/>
                <w:szCs w:val="18"/>
              </w:rPr>
            </w:pPr>
            <w:r w:rsidRPr="00A44829">
              <w:rPr>
                <w:rFonts w:cs="Arial"/>
                <w:sz w:val="18"/>
                <w:szCs w:val="18"/>
              </w:rPr>
              <w:t xml:space="preserve">$ </w:t>
            </w:r>
            <w:r w:rsidR="00833C15" w:rsidRPr="00A44829">
              <w:rPr>
                <w:rFonts w:cs="Arial"/>
                <w:sz w:val="18"/>
                <w:szCs w:val="18"/>
              </w:rPr>
              <w:t>70</w:t>
            </w:r>
            <w:r w:rsidRPr="00A44829">
              <w:rPr>
                <w:rFonts w:cs="Arial"/>
                <w:sz w:val="18"/>
                <w:szCs w:val="18"/>
              </w:rPr>
              <w:t>0 km</w:t>
            </w:r>
          </w:p>
        </w:tc>
        <w:tc>
          <w:tcPr>
            <w:tcW w:w="567" w:type="dxa"/>
            <w:vAlign w:val="center"/>
          </w:tcPr>
          <w:p w14:paraId="08948FC3" w14:textId="77777777" w:rsidR="00A6042C" w:rsidRPr="00A44829" w:rsidRDefault="00A6042C" w:rsidP="000B210A">
            <w:pPr>
              <w:spacing w:before="40" w:after="40"/>
              <w:ind w:right="-427"/>
              <w:jc w:val="center"/>
              <w:rPr>
                <w:rFonts w:cs="Arial"/>
                <w:sz w:val="18"/>
                <w:szCs w:val="18"/>
              </w:rPr>
            </w:pPr>
          </w:p>
        </w:tc>
      </w:tr>
      <w:tr w:rsidR="00A6042C" w:rsidRPr="00A44829" w14:paraId="713C14A8" w14:textId="77777777" w:rsidTr="00961833">
        <w:trPr>
          <w:trHeight w:val="20"/>
          <w:jc w:val="center"/>
        </w:trPr>
        <w:tc>
          <w:tcPr>
            <w:tcW w:w="1701" w:type="dxa"/>
            <w:vMerge/>
            <w:shd w:val="clear" w:color="auto" w:fill="auto"/>
            <w:vAlign w:val="center"/>
          </w:tcPr>
          <w:p w14:paraId="4E36D0BA" w14:textId="77777777" w:rsidR="00A6042C" w:rsidRPr="00A44829" w:rsidRDefault="00A6042C" w:rsidP="000B210A">
            <w:pPr>
              <w:spacing w:before="40" w:after="40"/>
              <w:jc w:val="center"/>
              <w:rPr>
                <w:rFonts w:cs="Arial"/>
                <w:sz w:val="18"/>
                <w:szCs w:val="18"/>
              </w:rPr>
            </w:pPr>
          </w:p>
        </w:tc>
        <w:tc>
          <w:tcPr>
            <w:tcW w:w="1701" w:type="dxa"/>
            <w:shd w:val="clear" w:color="auto" w:fill="auto"/>
            <w:vAlign w:val="center"/>
          </w:tcPr>
          <w:p w14:paraId="27F2443E" w14:textId="77777777" w:rsidR="00A6042C" w:rsidRPr="00A44829" w:rsidRDefault="00A6042C" w:rsidP="000B210A">
            <w:pPr>
              <w:spacing w:before="40" w:after="40"/>
              <w:jc w:val="center"/>
              <w:rPr>
                <w:rFonts w:cs="Arial"/>
                <w:sz w:val="18"/>
                <w:szCs w:val="18"/>
              </w:rPr>
            </w:pPr>
            <w:r w:rsidRPr="00A44829">
              <w:rPr>
                <w:rFonts w:cs="Arial"/>
                <w:sz w:val="18"/>
                <w:szCs w:val="18"/>
              </w:rPr>
              <w:t>Under 100</w:t>
            </w:r>
          </w:p>
        </w:tc>
        <w:tc>
          <w:tcPr>
            <w:tcW w:w="1701" w:type="dxa"/>
            <w:shd w:val="clear" w:color="auto" w:fill="auto"/>
            <w:tcMar>
              <w:left w:w="0" w:type="dxa"/>
              <w:right w:w="0" w:type="dxa"/>
            </w:tcMar>
            <w:vAlign w:val="center"/>
          </w:tcPr>
          <w:p w14:paraId="1430BBBE" w14:textId="77777777" w:rsidR="00A6042C" w:rsidRPr="00A44829" w:rsidRDefault="00A6042C" w:rsidP="000B210A">
            <w:pPr>
              <w:spacing w:before="40" w:after="40"/>
              <w:ind w:right="-427"/>
              <w:jc w:val="center"/>
              <w:rPr>
                <w:rFonts w:cs="Arial"/>
                <w:sz w:val="18"/>
                <w:szCs w:val="18"/>
              </w:rPr>
            </w:pPr>
            <w:r w:rsidRPr="00A44829">
              <w:rPr>
                <w:rFonts w:cs="Arial"/>
                <w:sz w:val="18"/>
                <w:szCs w:val="18"/>
              </w:rPr>
              <w:t xml:space="preserve">$ </w:t>
            </w:r>
            <w:r w:rsidR="00833C15" w:rsidRPr="00A44829">
              <w:rPr>
                <w:rFonts w:cs="Arial"/>
                <w:sz w:val="18"/>
                <w:szCs w:val="18"/>
              </w:rPr>
              <w:t>5,0</w:t>
            </w:r>
            <w:r w:rsidRPr="00A44829">
              <w:rPr>
                <w:rFonts w:cs="Arial"/>
                <w:sz w:val="18"/>
                <w:szCs w:val="18"/>
              </w:rPr>
              <w:t>00 km</w:t>
            </w:r>
          </w:p>
        </w:tc>
        <w:tc>
          <w:tcPr>
            <w:tcW w:w="567" w:type="dxa"/>
            <w:vAlign w:val="center"/>
          </w:tcPr>
          <w:p w14:paraId="2C9F2ADC" w14:textId="77777777" w:rsidR="00A6042C" w:rsidRPr="00A44829" w:rsidRDefault="00A6042C" w:rsidP="000B210A">
            <w:pPr>
              <w:spacing w:before="40" w:after="40"/>
              <w:ind w:right="-427"/>
              <w:jc w:val="center"/>
              <w:rPr>
                <w:rFonts w:cs="Arial"/>
                <w:sz w:val="18"/>
                <w:szCs w:val="18"/>
              </w:rPr>
            </w:pPr>
          </w:p>
        </w:tc>
      </w:tr>
      <w:tr w:rsidR="00A6042C" w:rsidRPr="00A44829" w14:paraId="2D6B37D1" w14:textId="77777777" w:rsidTr="00961833">
        <w:trPr>
          <w:trHeight w:val="20"/>
          <w:jc w:val="center"/>
        </w:trPr>
        <w:tc>
          <w:tcPr>
            <w:tcW w:w="1701" w:type="dxa"/>
            <w:vMerge/>
            <w:shd w:val="clear" w:color="auto" w:fill="auto"/>
            <w:vAlign w:val="center"/>
          </w:tcPr>
          <w:p w14:paraId="28F16FF6" w14:textId="77777777" w:rsidR="00A6042C" w:rsidRPr="00A44829" w:rsidRDefault="00A6042C" w:rsidP="000B210A">
            <w:pPr>
              <w:spacing w:before="40" w:after="40"/>
              <w:jc w:val="center"/>
              <w:rPr>
                <w:rFonts w:cs="Arial"/>
                <w:sz w:val="18"/>
                <w:szCs w:val="18"/>
              </w:rPr>
            </w:pPr>
          </w:p>
        </w:tc>
        <w:tc>
          <w:tcPr>
            <w:tcW w:w="1701" w:type="dxa"/>
            <w:shd w:val="clear" w:color="auto" w:fill="auto"/>
            <w:vAlign w:val="center"/>
          </w:tcPr>
          <w:p w14:paraId="5160FED1" w14:textId="77777777" w:rsidR="00A6042C" w:rsidRPr="00A44829" w:rsidRDefault="00A6042C" w:rsidP="000B210A">
            <w:pPr>
              <w:spacing w:before="40" w:after="40"/>
              <w:jc w:val="center"/>
              <w:rPr>
                <w:rFonts w:cs="Arial"/>
                <w:sz w:val="18"/>
                <w:szCs w:val="18"/>
              </w:rPr>
            </w:pPr>
            <w:r w:rsidRPr="00A44829">
              <w:rPr>
                <w:rFonts w:cs="Arial"/>
                <w:sz w:val="18"/>
                <w:szCs w:val="18"/>
              </w:rPr>
              <w:t>100 to &lt;500</w:t>
            </w:r>
          </w:p>
        </w:tc>
        <w:tc>
          <w:tcPr>
            <w:tcW w:w="1701" w:type="dxa"/>
            <w:shd w:val="clear" w:color="auto" w:fill="auto"/>
            <w:tcMar>
              <w:left w:w="0" w:type="dxa"/>
              <w:right w:w="0" w:type="dxa"/>
            </w:tcMar>
            <w:vAlign w:val="center"/>
          </w:tcPr>
          <w:p w14:paraId="111C7896" w14:textId="77777777" w:rsidR="00A6042C" w:rsidRPr="00A44829" w:rsidRDefault="00A6042C" w:rsidP="000B210A">
            <w:pPr>
              <w:spacing w:before="40" w:after="40"/>
              <w:ind w:right="-427"/>
              <w:jc w:val="center"/>
              <w:rPr>
                <w:rFonts w:cs="Arial"/>
                <w:sz w:val="18"/>
                <w:szCs w:val="18"/>
              </w:rPr>
            </w:pPr>
            <w:r w:rsidRPr="00A44829">
              <w:rPr>
                <w:rFonts w:cs="Arial"/>
                <w:sz w:val="18"/>
                <w:szCs w:val="18"/>
              </w:rPr>
              <w:t xml:space="preserve">$ </w:t>
            </w:r>
            <w:r w:rsidR="00833C15" w:rsidRPr="00A44829">
              <w:rPr>
                <w:rFonts w:cs="Arial"/>
                <w:sz w:val="18"/>
                <w:szCs w:val="18"/>
              </w:rPr>
              <w:t>10,4</w:t>
            </w:r>
            <w:r w:rsidRPr="00A44829">
              <w:rPr>
                <w:rFonts w:cs="Arial"/>
                <w:sz w:val="18"/>
                <w:szCs w:val="18"/>
              </w:rPr>
              <w:t>00 km</w:t>
            </w:r>
          </w:p>
        </w:tc>
        <w:tc>
          <w:tcPr>
            <w:tcW w:w="567" w:type="dxa"/>
            <w:vAlign w:val="center"/>
          </w:tcPr>
          <w:p w14:paraId="0C4AD21C" w14:textId="77777777" w:rsidR="00A6042C" w:rsidRPr="00A44829" w:rsidRDefault="00A6042C" w:rsidP="000B210A">
            <w:pPr>
              <w:spacing w:before="40" w:after="40"/>
              <w:ind w:right="-427"/>
              <w:jc w:val="center"/>
              <w:rPr>
                <w:rFonts w:cs="Arial"/>
                <w:sz w:val="18"/>
                <w:szCs w:val="18"/>
              </w:rPr>
            </w:pPr>
          </w:p>
        </w:tc>
      </w:tr>
      <w:tr w:rsidR="00A6042C" w:rsidRPr="00A44829" w14:paraId="7CF3767C" w14:textId="77777777" w:rsidTr="00961833">
        <w:trPr>
          <w:trHeight w:val="20"/>
          <w:jc w:val="center"/>
        </w:trPr>
        <w:tc>
          <w:tcPr>
            <w:tcW w:w="1701" w:type="dxa"/>
            <w:vMerge/>
            <w:shd w:val="clear" w:color="auto" w:fill="auto"/>
            <w:vAlign w:val="center"/>
          </w:tcPr>
          <w:p w14:paraId="054916E2" w14:textId="77777777" w:rsidR="00A6042C" w:rsidRPr="00A44829" w:rsidRDefault="00A6042C" w:rsidP="000B210A">
            <w:pPr>
              <w:spacing w:before="40" w:after="40"/>
              <w:jc w:val="center"/>
              <w:rPr>
                <w:rFonts w:cs="Arial"/>
                <w:sz w:val="18"/>
                <w:szCs w:val="18"/>
              </w:rPr>
            </w:pPr>
          </w:p>
        </w:tc>
        <w:tc>
          <w:tcPr>
            <w:tcW w:w="1701" w:type="dxa"/>
            <w:shd w:val="clear" w:color="auto" w:fill="auto"/>
            <w:vAlign w:val="center"/>
          </w:tcPr>
          <w:p w14:paraId="5FFF9A4A" w14:textId="77777777" w:rsidR="00A6042C" w:rsidRPr="00A44829" w:rsidRDefault="00A6042C" w:rsidP="000B210A">
            <w:pPr>
              <w:spacing w:before="40" w:after="40"/>
              <w:jc w:val="center"/>
              <w:rPr>
                <w:rFonts w:cs="Arial"/>
                <w:sz w:val="18"/>
                <w:szCs w:val="18"/>
              </w:rPr>
            </w:pPr>
            <w:r w:rsidRPr="00A44829">
              <w:rPr>
                <w:rFonts w:cs="Arial"/>
                <w:sz w:val="18"/>
                <w:szCs w:val="18"/>
              </w:rPr>
              <w:t>500 to &lt;1,000</w:t>
            </w:r>
          </w:p>
        </w:tc>
        <w:tc>
          <w:tcPr>
            <w:tcW w:w="1701" w:type="dxa"/>
            <w:shd w:val="clear" w:color="auto" w:fill="auto"/>
            <w:tcMar>
              <w:left w:w="0" w:type="dxa"/>
              <w:right w:w="0" w:type="dxa"/>
            </w:tcMar>
            <w:vAlign w:val="center"/>
          </w:tcPr>
          <w:p w14:paraId="6BCEFFF1" w14:textId="77777777" w:rsidR="00A6042C" w:rsidRPr="00A44829" w:rsidRDefault="00A6042C" w:rsidP="000B210A">
            <w:pPr>
              <w:spacing w:before="40" w:after="40"/>
              <w:ind w:right="-427"/>
              <w:jc w:val="center"/>
              <w:rPr>
                <w:rFonts w:cs="Arial"/>
                <w:sz w:val="18"/>
                <w:szCs w:val="18"/>
              </w:rPr>
            </w:pPr>
            <w:r w:rsidRPr="00A44829">
              <w:rPr>
                <w:rFonts w:cs="Arial"/>
                <w:sz w:val="18"/>
                <w:szCs w:val="18"/>
              </w:rPr>
              <w:t xml:space="preserve">$ </w:t>
            </w:r>
            <w:r w:rsidR="00833C15" w:rsidRPr="00A44829">
              <w:rPr>
                <w:rFonts w:cs="Arial"/>
                <w:sz w:val="18"/>
                <w:szCs w:val="18"/>
              </w:rPr>
              <w:t>11,6</w:t>
            </w:r>
            <w:r w:rsidRPr="00A44829">
              <w:rPr>
                <w:rFonts w:cs="Arial"/>
                <w:sz w:val="18"/>
                <w:szCs w:val="18"/>
              </w:rPr>
              <w:t>00 km</w:t>
            </w:r>
          </w:p>
        </w:tc>
        <w:tc>
          <w:tcPr>
            <w:tcW w:w="567" w:type="dxa"/>
            <w:vAlign w:val="center"/>
          </w:tcPr>
          <w:p w14:paraId="7F3DB270" w14:textId="77777777" w:rsidR="00A6042C" w:rsidRPr="00A44829" w:rsidRDefault="00A6042C" w:rsidP="000B210A">
            <w:pPr>
              <w:spacing w:before="40" w:after="40"/>
              <w:ind w:right="-427"/>
              <w:jc w:val="center"/>
              <w:rPr>
                <w:rFonts w:cs="Arial"/>
                <w:sz w:val="18"/>
                <w:szCs w:val="18"/>
              </w:rPr>
            </w:pPr>
          </w:p>
        </w:tc>
      </w:tr>
      <w:tr w:rsidR="00A6042C" w:rsidRPr="00A44829" w14:paraId="6B2E7529" w14:textId="77777777" w:rsidTr="00B44BBE">
        <w:trPr>
          <w:trHeight w:val="20"/>
          <w:jc w:val="center"/>
        </w:trPr>
        <w:tc>
          <w:tcPr>
            <w:tcW w:w="1701" w:type="dxa"/>
            <w:vMerge/>
            <w:shd w:val="clear" w:color="auto" w:fill="auto"/>
            <w:vAlign w:val="center"/>
          </w:tcPr>
          <w:p w14:paraId="2315605F" w14:textId="77777777" w:rsidR="00A6042C" w:rsidRPr="00A44829" w:rsidRDefault="00A6042C" w:rsidP="000B210A">
            <w:pPr>
              <w:spacing w:before="40" w:after="40"/>
              <w:jc w:val="center"/>
              <w:rPr>
                <w:rFonts w:cs="Arial"/>
                <w:sz w:val="18"/>
                <w:szCs w:val="18"/>
              </w:rPr>
            </w:pPr>
          </w:p>
        </w:tc>
        <w:tc>
          <w:tcPr>
            <w:tcW w:w="1701" w:type="dxa"/>
            <w:shd w:val="clear" w:color="auto" w:fill="auto"/>
            <w:vAlign w:val="center"/>
          </w:tcPr>
          <w:p w14:paraId="061ED097" w14:textId="77777777" w:rsidR="00A6042C" w:rsidRPr="00A44829" w:rsidRDefault="00A6042C" w:rsidP="000B210A">
            <w:pPr>
              <w:spacing w:before="40" w:after="40"/>
              <w:jc w:val="center"/>
              <w:rPr>
                <w:rFonts w:cs="Arial"/>
                <w:sz w:val="18"/>
                <w:szCs w:val="18"/>
              </w:rPr>
            </w:pPr>
            <w:r w:rsidRPr="00A44829">
              <w:rPr>
                <w:rFonts w:cs="Arial"/>
                <w:sz w:val="18"/>
                <w:szCs w:val="18"/>
              </w:rPr>
              <w:t>1,000 +</w:t>
            </w:r>
          </w:p>
        </w:tc>
        <w:tc>
          <w:tcPr>
            <w:tcW w:w="1701" w:type="dxa"/>
            <w:shd w:val="clear" w:color="auto" w:fill="auto"/>
            <w:tcMar>
              <w:left w:w="0" w:type="dxa"/>
              <w:right w:w="0" w:type="dxa"/>
            </w:tcMar>
            <w:vAlign w:val="center"/>
          </w:tcPr>
          <w:p w14:paraId="6734ED8C" w14:textId="77777777" w:rsidR="00A6042C" w:rsidRPr="00A44829" w:rsidRDefault="00A6042C" w:rsidP="000B210A">
            <w:pPr>
              <w:spacing w:before="40" w:after="40"/>
              <w:ind w:right="-427"/>
              <w:jc w:val="center"/>
              <w:rPr>
                <w:rFonts w:cs="Arial"/>
                <w:sz w:val="18"/>
                <w:szCs w:val="18"/>
              </w:rPr>
            </w:pPr>
            <w:r w:rsidRPr="00A44829">
              <w:rPr>
                <w:rFonts w:cs="Arial"/>
                <w:sz w:val="18"/>
                <w:szCs w:val="18"/>
              </w:rPr>
              <w:t xml:space="preserve">$ </w:t>
            </w:r>
            <w:r w:rsidR="00833C15" w:rsidRPr="00A44829">
              <w:rPr>
                <w:rFonts w:cs="Arial"/>
                <w:sz w:val="18"/>
                <w:szCs w:val="18"/>
              </w:rPr>
              <w:t>13,2</w:t>
            </w:r>
            <w:r w:rsidRPr="00A44829">
              <w:rPr>
                <w:rFonts w:cs="Arial"/>
                <w:sz w:val="18"/>
                <w:szCs w:val="18"/>
              </w:rPr>
              <w:t>00 km</w:t>
            </w:r>
          </w:p>
        </w:tc>
        <w:tc>
          <w:tcPr>
            <w:tcW w:w="567" w:type="dxa"/>
            <w:vAlign w:val="center"/>
          </w:tcPr>
          <w:p w14:paraId="7489F2A4" w14:textId="77777777" w:rsidR="00A6042C" w:rsidRPr="00A44829" w:rsidRDefault="00A6042C" w:rsidP="000B210A">
            <w:pPr>
              <w:spacing w:before="40" w:after="40"/>
              <w:ind w:right="-427"/>
              <w:jc w:val="center"/>
              <w:rPr>
                <w:rFonts w:cs="Arial"/>
                <w:sz w:val="18"/>
                <w:szCs w:val="18"/>
              </w:rPr>
            </w:pPr>
          </w:p>
        </w:tc>
      </w:tr>
      <w:tr w:rsidR="00A6042C" w:rsidRPr="00A44829" w14:paraId="6D57F303" w14:textId="77777777" w:rsidTr="00B44BBE">
        <w:trPr>
          <w:trHeight w:val="20"/>
          <w:jc w:val="center"/>
        </w:trPr>
        <w:tc>
          <w:tcPr>
            <w:tcW w:w="1701" w:type="dxa"/>
            <w:tcBorders>
              <w:bottom w:val="single" w:sz="8" w:space="0" w:color="5F497A" w:themeColor="accent4" w:themeShade="BF"/>
            </w:tcBorders>
            <w:shd w:val="clear" w:color="auto" w:fill="auto"/>
            <w:vAlign w:val="center"/>
          </w:tcPr>
          <w:p w14:paraId="7051A233" w14:textId="77777777" w:rsidR="00A6042C" w:rsidRPr="00A44829" w:rsidRDefault="00A6042C" w:rsidP="000B210A">
            <w:pPr>
              <w:spacing w:before="40" w:after="40"/>
              <w:jc w:val="center"/>
              <w:rPr>
                <w:rFonts w:cs="Arial"/>
                <w:sz w:val="18"/>
                <w:szCs w:val="18"/>
              </w:rPr>
            </w:pPr>
          </w:p>
        </w:tc>
        <w:tc>
          <w:tcPr>
            <w:tcW w:w="1701" w:type="dxa"/>
            <w:tcBorders>
              <w:bottom w:val="single" w:sz="8" w:space="0" w:color="5F497A" w:themeColor="accent4" w:themeShade="BF"/>
            </w:tcBorders>
            <w:shd w:val="clear" w:color="auto" w:fill="auto"/>
            <w:vAlign w:val="center"/>
          </w:tcPr>
          <w:p w14:paraId="06C8658F" w14:textId="77777777" w:rsidR="00A6042C" w:rsidRPr="00A44829" w:rsidRDefault="00A6042C" w:rsidP="000B210A">
            <w:pPr>
              <w:spacing w:before="40" w:after="40"/>
              <w:jc w:val="center"/>
              <w:rPr>
                <w:rFonts w:cs="Arial"/>
                <w:sz w:val="18"/>
                <w:szCs w:val="18"/>
              </w:rPr>
            </w:pPr>
          </w:p>
        </w:tc>
        <w:tc>
          <w:tcPr>
            <w:tcW w:w="1701" w:type="dxa"/>
            <w:tcBorders>
              <w:bottom w:val="single" w:sz="8" w:space="0" w:color="5F497A" w:themeColor="accent4" w:themeShade="BF"/>
            </w:tcBorders>
            <w:shd w:val="clear" w:color="auto" w:fill="auto"/>
            <w:tcMar>
              <w:left w:w="0" w:type="dxa"/>
              <w:right w:w="0" w:type="dxa"/>
            </w:tcMar>
            <w:vAlign w:val="center"/>
          </w:tcPr>
          <w:p w14:paraId="50ECC922" w14:textId="77777777" w:rsidR="00A6042C" w:rsidRPr="00A44829" w:rsidRDefault="00A6042C" w:rsidP="000B210A">
            <w:pPr>
              <w:spacing w:before="40" w:after="40"/>
              <w:ind w:right="-427"/>
              <w:jc w:val="center"/>
              <w:rPr>
                <w:rFonts w:cs="Arial"/>
                <w:sz w:val="18"/>
                <w:szCs w:val="18"/>
              </w:rPr>
            </w:pPr>
          </w:p>
        </w:tc>
        <w:tc>
          <w:tcPr>
            <w:tcW w:w="567" w:type="dxa"/>
            <w:tcBorders>
              <w:bottom w:val="single" w:sz="8" w:space="0" w:color="5F497A" w:themeColor="accent4" w:themeShade="BF"/>
            </w:tcBorders>
            <w:vAlign w:val="center"/>
          </w:tcPr>
          <w:p w14:paraId="26ED014F" w14:textId="77777777" w:rsidR="00A6042C" w:rsidRPr="00A44829" w:rsidRDefault="00A6042C" w:rsidP="000B210A">
            <w:pPr>
              <w:spacing w:before="40" w:after="40"/>
              <w:ind w:right="-427"/>
              <w:jc w:val="center"/>
              <w:rPr>
                <w:rFonts w:cs="Arial"/>
                <w:sz w:val="18"/>
                <w:szCs w:val="18"/>
              </w:rPr>
            </w:pPr>
          </w:p>
        </w:tc>
      </w:tr>
      <w:tr w:rsidR="00A6042C" w:rsidRPr="00A44829" w14:paraId="62355C58" w14:textId="77777777" w:rsidTr="00B44BBE">
        <w:trPr>
          <w:trHeight w:val="20"/>
          <w:jc w:val="center"/>
        </w:trPr>
        <w:tc>
          <w:tcPr>
            <w:tcW w:w="1701" w:type="dxa"/>
            <w:tcBorders>
              <w:top w:val="single" w:sz="8" w:space="0" w:color="5F497A" w:themeColor="accent4" w:themeShade="BF"/>
            </w:tcBorders>
            <w:shd w:val="clear" w:color="auto" w:fill="auto"/>
            <w:vAlign w:val="center"/>
          </w:tcPr>
          <w:p w14:paraId="6212A696" w14:textId="77777777" w:rsidR="00A6042C" w:rsidRPr="00A44829" w:rsidRDefault="00A6042C" w:rsidP="000B210A">
            <w:pPr>
              <w:spacing w:before="40" w:after="40"/>
              <w:jc w:val="center"/>
              <w:rPr>
                <w:rFonts w:cs="Arial"/>
                <w:sz w:val="18"/>
                <w:szCs w:val="18"/>
              </w:rPr>
            </w:pPr>
          </w:p>
        </w:tc>
        <w:tc>
          <w:tcPr>
            <w:tcW w:w="1701" w:type="dxa"/>
            <w:tcBorders>
              <w:top w:val="single" w:sz="8" w:space="0" w:color="5F497A" w:themeColor="accent4" w:themeShade="BF"/>
            </w:tcBorders>
            <w:shd w:val="clear" w:color="auto" w:fill="auto"/>
            <w:vAlign w:val="center"/>
          </w:tcPr>
          <w:p w14:paraId="008DA2EF" w14:textId="77777777" w:rsidR="00A6042C" w:rsidRPr="00A44829" w:rsidRDefault="00A6042C" w:rsidP="000B210A">
            <w:pPr>
              <w:spacing w:before="40" w:after="40"/>
              <w:jc w:val="center"/>
              <w:rPr>
                <w:rFonts w:cs="Arial"/>
                <w:sz w:val="18"/>
                <w:szCs w:val="18"/>
              </w:rPr>
            </w:pPr>
          </w:p>
        </w:tc>
        <w:tc>
          <w:tcPr>
            <w:tcW w:w="1701" w:type="dxa"/>
            <w:tcBorders>
              <w:top w:val="single" w:sz="8" w:space="0" w:color="5F497A" w:themeColor="accent4" w:themeShade="BF"/>
            </w:tcBorders>
            <w:shd w:val="clear" w:color="auto" w:fill="auto"/>
            <w:tcMar>
              <w:left w:w="0" w:type="dxa"/>
              <w:right w:w="0" w:type="dxa"/>
            </w:tcMar>
            <w:vAlign w:val="center"/>
          </w:tcPr>
          <w:p w14:paraId="54B06784" w14:textId="77777777" w:rsidR="00A6042C" w:rsidRPr="00A44829" w:rsidRDefault="00A6042C" w:rsidP="000B210A">
            <w:pPr>
              <w:spacing w:before="40" w:after="40"/>
              <w:ind w:right="-427"/>
              <w:jc w:val="center"/>
              <w:rPr>
                <w:rFonts w:cs="Arial"/>
                <w:sz w:val="18"/>
                <w:szCs w:val="18"/>
              </w:rPr>
            </w:pPr>
          </w:p>
        </w:tc>
        <w:tc>
          <w:tcPr>
            <w:tcW w:w="567" w:type="dxa"/>
            <w:tcBorders>
              <w:top w:val="single" w:sz="8" w:space="0" w:color="5F497A" w:themeColor="accent4" w:themeShade="BF"/>
            </w:tcBorders>
            <w:vAlign w:val="center"/>
          </w:tcPr>
          <w:p w14:paraId="0E8011BE" w14:textId="77777777" w:rsidR="00A6042C" w:rsidRPr="00A44829" w:rsidRDefault="00A6042C" w:rsidP="000B210A">
            <w:pPr>
              <w:spacing w:before="40" w:after="40"/>
              <w:ind w:right="-427"/>
              <w:jc w:val="center"/>
              <w:rPr>
                <w:rFonts w:cs="Arial"/>
                <w:sz w:val="18"/>
                <w:szCs w:val="18"/>
              </w:rPr>
            </w:pPr>
          </w:p>
        </w:tc>
      </w:tr>
      <w:tr w:rsidR="00A6042C" w:rsidRPr="00A44829" w14:paraId="0AAD7EB2" w14:textId="77777777" w:rsidTr="00961833">
        <w:trPr>
          <w:trHeight w:val="20"/>
          <w:jc w:val="center"/>
        </w:trPr>
        <w:tc>
          <w:tcPr>
            <w:tcW w:w="1701" w:type="dxa"/>
            <w:shd w:val="clear" w:color="auto" w:fill="auto"/>
            <w:vAlign w:val="center"/>
          </w:tcPr>
          <w:p w14:paraId="34249042" w14:textId="77777777" w:rsidR="00A6042C" w:rsidRPr="00A44829" w:rsidRDefault="00A131F3" w:rsidP="000B210A">
            <w:pPr>
              <w:spacing w:before="40" w:after="40"/>
              <w:jc w:val="center"/>
              <w:rPr>
                <w:rFonts w:cs="Arial"/>
                <w:sz w:val="18"/>
                <w:szCs w:val="18"/>
              </w:rPr>
            </w:pPr>
            <w:r w:rsidRPr="00A44829">
              <w:rPr>
                <w:rFonts w:cs="Arial"/>
                <w:sz w:val="18"/>
                <w:szCs w:val="18"/>
              </w:rPr>
              <w:t xml:space="preserve">Timber </w:t>
            </w:r>
            <w:r w:rsidR="00A6042C" w:rsidRPr="00A44829">
              <w:rPr>
                <w:rFonts w:cs="Arial"/>
                <w:sz w:val="18"/>
                <w:szCs w:val="18"/>
              </w:rPr>
              <w:t>Bridge</w:t>
            </w:r>
          </w:p>
        </w:tc>
        <w:tc>
          <w:tcPr>
            <w:tcW w:w="1701" w:type="dxa"/>
            <w:shd w:val="clear" w:color="auto" w:fill="auto"/>
            <w:vAlign w:val="center"/>
          </w:tcPr>
          <w:p w14:paraId="79BF0A37" w14:textId="77777777" w:rsidR="00A6042C" w:rsidRPr="00A44829" w:rsidRDefault="00A6042C" w:rsidP="000B210A">
            <w:pPr>
              <w:spacing w:before="40" w:after="40"/>
              <w:jc w:val="center"/>
              <w:rPr>
                <w:rFonts w:cs="Arial"/>
                <w:sz w:val="18"/>
                <w:szCs w:val="18"/>
              </w:rPr>
            </w:pPr>
          </w:p>
        </w:tc>
        <w:tc>
          <w:tcPr>
            <w:tcW w:w="1701" w:type="dxa"/>
            <w:shd w:val="clear" w:color="auto" w:fill="auto"/>
            <w:tcMar>
              <w:left w:w="0" w:type="dxa"/>
              <w:right w:w="0" w:type="dxa"/>
            </w:tcMar>
            <w:vAlign w:val="center"/>
          </w:tcPr>
          <w:p w14:paraId="30F7E2CE" w14:textId="77777777" w:rsidR="00A6042C" w:rsidRPr="00A44829" w:rsidRDefault="00833C15" w:rsidP="000B210A">
            <w:pPr>
              <w:spacing w:before="40" w:after="40"/>
              <w:ind w:right="-427"/>
              <w:jc w:val="center"/>
              <w:rPr>
                <w:rFonts w:cs="Arial"/>
                <w:sz w:val="18"/>
                <w:szCs w:val="18"/>
              </w:rPr>
            </w:pPr>
            <w:r w:rsidRPr="00A44829">
              <w:rPr>
                <w:rFonts w:cs="Arial"/>
                <w:sz w:val="18"/>
                <w:szCs w:val="18"/>
              </w:rPr>
              <w:t>$ 2</w:t>
            </w:r>
            <w:r w:rsidR="00A6042C" w:rsidRPr="00A44829">
              <w:rPr>
                <w:rFonts w:cs="Arial"/>
                <w:sz w:val="18"/>
                <w:szCs w:val="18"/>
              </w:rPr>
              <w:t>00 sq m</w:t>
            </w:r>
          </w:p>
        </w:tc>
        <w:tc>
          <w:tcPr>
            <w:tcW w:w="567" w:type="dxa"/>
            <w:vAlign w:val="center"/>
          </w:tcPr>
          <w:p w14:paraId="30C4D85F" w14:textId="77777777" w:rsidR="00A6042C" w:rsidRPr="00A44829" w:rsidRDefault="00A6042C" w:rsidP="000B210A">
            <w:pPr>
              <w:spacing w:before="40" w:after="40"/>
              <w:ind w:right="-427"/>
              <w:jc w:val="center"/>
              <w:rPr>
                <w:rFonts w:cs="Arial"/>
                <w:sz w:val="18"/>
                <w:szCs w:val="18"/>
              </w:rPr>
            </w:pPr>
          </w:p>
        </w:tc>
      </w:tr>
      <w:tr w:rsidR="00A6042C" w:rsidRPr="00A44829" w14:paraId="34423708" w14:textId="77777777" w:rsidTr="00B44BBE">
        <w:trPr>
          <w:trHeight w:val="20"/>
          <w:jc w:val="center"/>
        </w:trPr>
        <w:tc>
          <w:tcPr>
            <w:tcW w:w="1701" w:type="dxa"/>
            <w:shd w:val="clear" w:color="auto" w:fill="auto"/>
            <w:vAlign w:val="center"/>
          </w:tcPr>
          <w:p w14:paraId="3CE21F66" w14:textId="77777777" w:rsidR="00A6042C" w:rsidRPr="00A44829" w:rsidRDefault="00A131F3" w:rsidP="000B210A">
            <w:pPr>
              <w:spacing w:before="40" w:after="40"/>
              <w:jc w:val="center"/>
              <w:rPr>
                <w:rFonts w:cs="Arial"/>
                <w:sz w:val="18"/>
                <w:szCs w:val="18"/>
              </w:rPr>
            </w:pPr>
            <w:r w:rsidRPr="00A44829">
              <w:rPr>
                <w:rFonts w:cs="Arial"/>
                <w:sz w:val="18"/>
                <w:szCs w:val="18"/>
              </w:rPr>
              <w:t>Concrete Bridge</w:t>
            </w:r>
          </w:p>
        </w:tc>
        <w:tc>
          <w:tcPr>
            <w:tcW w:w="1701" w:type="dxa"/>
            <w:shd w:val="clear" w:color="auto" w:fill="auto"/>
            <w:vAlign w:val="center"/>
          </w:tcPr>
          <w:p w14:paraId="49DB5064" w14:textId="77777777" w:rsidR="00A6042C" w:rsidRPr="00A44829" w:rsidRDefault="00A6042C" w:rsidP="000B210A">
            <w:pPr>
              <w:spacing w:before="40" w:after="40"/>
              <w:jc w:val="center"/>
              <w:rPr>
                <w:rFonts w:cs="Arial"/>
                <w:sz w:val="18"/>
                <w:szCs w:val="18"/>
              </w:rPr>
            </w:pPr>
          </w:p>
        </w:tc>
        <w:tc>
          <w:tcPr>
            <w:tcW w:w="1701" w:type="dxa"/>
            <w:shd w:val="clear" w:color="auto" w:fill="auto"/>
            <w:tcMar>
              <w:left w:w="0" w:type="dxa"/>
              <w:right w:w="0" w:type="dxa"/>
            </w:tcMar>
            <w:vAlign w:val="center"/>
          </w:tcPr>
          <w:p w14:paraId="7DA7D8FA" w14:textId="77777777" w:rsidR="00A6042C" w:rsidRPr="00A44829" w:rsidRDefault="00A6042C" w:rsidP="000B210A">
            <w:pPr>
              <w:spacing w:before="40" w:after="40"/>
              <w:ind w:right="-427"/>
              <w:jc w:val="center"/>
              <w:rPr>
                <w:rFonts w:cs="Arial"/>
                <w:sz w:val="18"/>
                <w:szCs w:val="18"/>
              </w:rPr>
            </w:pPr>
            <w:r w:rsidRPr="00A44829">
              <w:rPr>
                <w:rFonts w:cs="Arial"/>
                <w:sz w:val="18"/>
                <w:szCs w:val="18"/>
              </w:rPr>
              <w:t>$</w:t>
            </w:r>
            <w:r w:rsidR="00DA482B" w:rsidRPr="00A44829">
              <w:rPr>
                <w:rFonts w:cs="Arial"/>
                <w:sz w:val="18"/>
                <w:szCs w:val="18"/>
              </w:rPr>
              <w:t xml:space="preserve"> </w:t>
            </w:r>
            <w:r w:rsidR="00833C15" w:rsidRPr="00A44829">
              <w:rPr>
                <w:rFonts w:cs="Arial"/>
                <w:sz w:val="18"/>
                <w:szCs w:val="18"/>
              </w:rPr>
              <w:t>120</w:t>
            </w:r>
            <w:r w:rsidRPr="00A44829">
              <w:rPr>
                <w:rFonts w:cs="Arial"/>
                <w:sz w:val="18"/>
                <w:szCs w:val="18"/>
              </w:rPr>
              <w:t xml:space="preserve"> sq m</w:t>
            </w:r>
          </w:p>
        </w:tc>
        <w:tc>
          <w:tcPr>
            <w:tcW w:w="567" w:type="dxa"/>
            <w:vAlign w:val="center"/>
          </w:tcPr>
          <w:p w14:paraId="2B3BE80E" w14:textId="77777777" w:rsidR="00A6042C" w:rsidRPr="00A44829" w:rsidRDefault="00A6042C" w:rsidP="000B210A">
            <w:pPr>
              <w:spacing w:before="40" w:after="40"/>
              <w:ind w:right="-427"/>
              <w:jc w:val="center"/>
              <w:rPr>
                <w:rFonts w:cs="Arial"/>
                <w:sz w:val="18"/>
                <w:szCs w:val="18"/>
              </w:rPr>
            </w:pPr>
          </w:p>
        </w:tc>
      </w:tr>
      <w:tr w:rsidR="00A6042C" w:rsidRPr="00A44829" w14:paraId="558C410A" w14:textId="77777777" w:rsidTr="00B44BBE">
        <w:trPr>
          <w:trHeight w:val="20"/>
          <w:jc w:val="center"/>
        </w:trPr>
        <w:tc>
          <w:tcPr>
            <w:tcW w:w="1701" w:type="dxa"/>
            <w:tcBorders>
              <w:bottom w:val="single" w:sz="8" w:space="0" w:color="5F497A" w:themeColor="accent4" w:themeShade="BF"/>
            </w:tcBorders>
            <w:shd w:val="clear" w:color="auto" w:fill="auto"/>
            <w:vAlign w:val="center"/>
          </w:tcPr>
          <w:p w14:paraId="6B45EE7E" w14:textId="77777777" w:rsidR="00A6042C" w:rsidRPr="00A44829" w:rsidRDefault="00A6042C" w:rsidP="000B210A">
            <w:pPr>
              <w:spacing w:before="40" w:after="40"/>
              <w:jc w:val="center"/>
              <w:rPr>
                <w:rFonts w:cs="Arial"/>
                <w:sz w:val="18"/>
                <w:szCs w:val="18"/>
              </w:rPr>
            </w:pPr>
          </w:p>
        </w:tc>
        <w:tc>
          <w:tcPr>
            <w:tcW w:w="1701" w:type="dxa"/>
            <w:tcBorders>
              <w:bottom w:val="single" w:sz="8" w:space="0" w:color="5F497A" w:themeColor="accent4" w:themeShade="BF"/>
            </w:tcBorders>
            <w:shd w:val="clear" w:color="auto" w:fill="auto"/>
            <w:vAlign w:val="center"/>
          </w:tcPr>
          <w:p w14:paraId="74DB47A3" w14:textId="77777777" w:rsidR="00A6042C" w:rsidRPr="00A44829" w:rsidRDefault="00A6042C" w:rsidP="000B210A">
            <w:pPr>
              <w:spacing w:before="40" w:after="40"/>
              <w:jc w:val="center"/>
              <w:rPr>
                <w:rFonts w:cs="Arial"/>
                <w:sz w:val="18"/>
                <w:szCs w:val="18"/>
              </w:rPr>
            </w:pPr>
          </w:p>
        </w:tc>
        <w:tc>
          <w:tcPr>
            <w:tcW w:w="1701" w:type="dxa"/>
            <w:tcBorders>
              <w:bottom w:val="single" w:sz="8" w:space="0" w:color="5F497A" w:themeColor="accent4" w:themeShade="BF"/>
            </w:tcBorders>
            <w:shd w:val="clear" w:color="auto" w:fill="auto"/>
            <w:tcMar>
              <w:left w:w="0" w:type="dxa"/>
              <w:right w:w="0" w:type="dxa"/>
            </w:tcMar>
            <w:vAlign w:val="center"/>
          </w:tcPr>
          <w:p w14:paraId="1B583FC3" w14:textId="77777777" w:rsidR="00A6042C" w:rsidRPr="00A44829" w:rsidRDefault="00A6042C" w:rsidP="000B210A">
            <w:pPr>
              <w:spacing w:before="40" w:after="40"/>
              <w:ind w:right="-427"/>
              <w:jc w:val="center"/>
              <w:rPr>
                <w:rFonts w:cs="Arial"/>
                <w:sz w:val="18"/>
                <w:szCs w:val="18"/>
              </w:rPr>
            </w:pPr>
          </w:p>
        </w:tc>
        <w:tc>
          <w:tcPr>
            <w:tcW w:w="567" w:type="dxa"/>
            <w:tcBorders>
              <w:bottom w:val="single" w:sz="8" w:space="0" w:color="5F497A" w:themeColor="accent4" w:themeShade="BF"/>
            </w:tcBorders>
            <w:vAlign w:val="center"/>
          </w:tcPr>
          <w:p w14:paraId="2392E5F2" w14:textId="77777777" w:rsidR="00A6042C" w:rsidRPr="00A44829" w:rsidRDefault="00A6042C" w:rsidP="000B210A">
            <w:pPr>
              <w:spacing w:before="40" w:after="40"/>
              <w:ind w:right="-427"/>
              <w:jc w:val="center"/>
              <w:rPr>
                <w:rFonts w:cs="Arial"/>
                <w:sz w:val="18"/>
                <w:szCs w:val="18"/>
              </w:rPr>
            </w:pPr>
          </w:p>
        </w:tc>
      </w:tr>
      <w:tr w:rsidR="00A6042C" w:rsidRPr="00A44829" w14:paraId="62E29203" w14:textId="77777777" w:rsidTr="00B44BBE">
        <w:trPr>
          <w:trHeight w:val="20"/>
          <w:jc w:val="center"/>
        </w:trPr>
        <w:tc>
          <w:tcPr>
            <w:tcW w:w="1701" w:type="dxa"/>
            <w:tcBorders>
              <w:top w:val="single" w:sz="8" w:space="0" w:color="5F497A" w:themeColor="accent4" w:themeShade="BF"/>
            </w:tcBorders>
            <w:shd w:val="clear" w:color="auto" w:fill="auto"/>
            <w:vAlign w:val="center"/>
          </w:tcPr>
          <w:p w14:paraId="00A80B75" w14:textId="77777777" w:rsidR="00A6042C" w:rsidRPr="00A44829" w:rsidRDefault="00A6042C" w:rsidP="000B210A">
            <w:pPr>
              <w:spacing w:before="40" w:after="40"/>
              <w:jc w:val="center"/>
              <w:rPr>
                <w:rFonts w:cs="Arial"/>
                <w:sz w:val="18"/>
                <w:szCs w:val="18"/>
              </w:rPr>
            </w:pPr>
          </w:p>
        </w:tc>
        <w:tc>
          <w:tcPr>
            <w:tcW w:w="1701" w:type="dxa"/>
            <w:tcBorders>
              <w:top w:val="single" w:sz="8" w:space="0" w:color="5F497A" w:themeColor="accent4" w:themeShade="BF"/>
            </w:tcBorders>
            <w:shd w:val="clear" w:color="auto" w:fill="auto"/>
            <w:vAlign w:val="center"/>
          </w:tcPr>
          <w:p w14:paraId="49CC2D6B" w14:textId="77777777" w:rsidR="00A6042C" w:rsidRPr="00A44829" w:rsidRDefault="00A6042C" w:rsidP="000B210A">
            <w:pPr>
              <w:spacing w:before="40" w:after="40"/>
              <w:jc w:val="center"/>
              <w:rPr>
                <w:rFonts w:cs="Arial"/>
                <w:sz w:val="18"/>
                <w:szCs w:val="18"/>
              </w:rPr>
            </w:pPr>
          </w:p>
        </w:tc>
        <w:tc>
          <w:tcPr>
            <w:tcW w:w="1701" w:type="dxa"/>
            <w:tcBorders>
              <w:top w:val="single" w:sz="8" w:space="0" w:color="5F497A" w:themeColor="accent4" w:themeShade="BF"/>
            </w:tcBorders>
            <w:shd w:val="clear" w:color="auto" w:fill="auto"/>
            <w:tcMar>
              <w:left w:w="0" w:type="dxa"/>
              <w:right w:w="0" w:type="dxa"/>
            </w:tcMar>
            <w:vAlign w:val="center"/>
          </w:tcPr>
          <w:p w14:paraId="38F73844" w14:textId="77777777" w:rsidR="00A6042C" w:rsidRPr="00A44829" w:rsidRDefault="00A6042C" w:rsidP="000B210A">
            <w:pPr>
              <w:spacing w:before="40" w:after="40"/>
              <w:ind w:right="-427"/>
              <w:jc w:val="center"/>
              <w:rPr>
                <w:rFonts w:cs="Arial"/>
                <w:sz w:val="18"/>
                <w:szCs w:val="18"/>
              </w:rPr>
            </w:pPr>
          </w:p>
        </w:tc>
        <w:tc>
          <w:tcPr>
            <w:tcW w:w="567" w:type="dxa"/>
            <w:tcBorders>
              <w:top w:val="single" w:sz="8" w:space="0" w:color="5F497A" w:themeColor="accent4" w:themeShade="BF"/>
            </w:tcBorders>
            <w:vAlign w:val="center"/>
          </w:tcPr>
          <w:p w14:paraId="7F365833" w14:textId="77777777" w:rsidR="00A6042C" w:rsidRPr="00A44829" w:rsidRDefault="00A6042C" w:rsidP="000B210A">
            <w:pPr>
              <w:spacing w:before="40" w:after="40"/>
              <w:ind w:right="-427"/>
              <w:jc w:val="center"/>
              <w:rPr>
                <w:rFonts w:cs="Arial"/>
                <w:sz w:val="18"/>
                <w:szCs w:val="18"/>
              </w:rPr>
            </w:pPr>
          </w:p>
        </w:tc>
      </w:tr>
    </w:tbl>
    <w:p w14:paraId="2908761A" w14:textId="77777777" w:rsidR="003724F6" w:rsidRPr="00A44829" w:rsidRDefault="003724F6" w:rsidP="00FF36E8">
      <w:pPr>
        <w:spacing w:before="40" w:after="20"/>
        <w:rPr>
          <w:rFonts w:cs="Arial"/>
          <w:sz w:val="18"/>
          <w:szCs w:val="18"/>
        </w:rPr>
      </w:pPr>
    </w:p>
    <w:p w14:paraId="44A78455" w14:textId="77777777" w:rsidR="003724F6" w:rsidRPr="00A44829" w:rsidRDefault="003724F6" w:rsidP="00FF36E8">
      <w:pPr>
        <w:spacing w:before="40" w:after="20"/>
        <w:rPr>
          <w:rFonts w:cs="Arial"/>
          <w:sz w:val="18"/>
          <w:szCs w:val="18"/>
        </w:rPr>
      </w:pPr>
    </w:p>
    <w:p w14:paraId="698C9641" w14:textId="77777777" w:rsidR="00675E14" w:rsidRPr="00A44829" w:rsidRDefault="00675E14" w:rsidP="00FF36E8">
      <w:pPr>
        <w:spacing w:before="40" w:after="20"/>
        <w:rPr>
          <w:rFonts w:cs="Arial"/>
          <w:sz w:val="18"/>
          <w:szCs w:val="18"/>
        </w:rPr>
      </w:pPr>
    </w:p>
    <w:p w14:paraId="516D3299" w14:textId="77777777" w:rsidR="00675E14" w:rsidRPr="00A44829" w:rsidRDefault="00675E14" w:rsidP="00FF36E8">
      <w:pPr>
        <w:spacing w:before="40" w:after="20"/>
        <w:rPr>
          <w:rFonts w:cs="Arial"/>
          <w:sz w:val="18"/>
          <w:szCs w:val="18"/>
        </w:rPr>
      </w:pPr>
    </w:p>
    <w:p w14:paraId="653B0281" w14:textId="77777777" w:rsidR="00133AE4" w:rsidRPr="00A44829" w:rsidRDefault="00133AE4" w:rsidP="00FF36E8">
      <w:pPr>
        <w:spacing w:before="40" w:after="20"/>
        <w:rPr>
          <w:rFonts w:cs="Arial"/>
          <w:sz w:val="18"/>
          <w:szCs w:val="18"/>
        </w:rPr>
      </w:pPr>
    </w:p>
    <w:p w14:paraId="23DBF06C" w14:textId="77777777" w:rsidR="00BE7A13" w:rsidRPr="00A44829" w:rsidRDefault="00BE7A13" w:rsidP="00FF36E8">
      <w:pPr>
        <w:spacing w:before="40" w:after="20"/>
        <w:rPr>
          <w:rFonts w:cs="Arial"/>
          <w:sz w:val="18"/>
          <w:szCs w:val="18"/>
        </w:rPr>
      </w:pPr>
    </w:p>
    <w:p w14:paraId="47A325BE" w14:textId="77777777" w:rsidR="00961975" w:rsidRPr="00A44829" w:rsidRDefault="00961975" w:rsidP="00FF36E8">
      <w:pPr>
        <w:spacing w:before="40" w:after="20"/>
        <w:rPr>
          <w:rFonts w:cs="Arial"/>
          <w:sz w:val="18"/>
          <w:szCs w:val="18"/>
        </w:rPr>
      </w:pPr>
      <w:r w:rsidRPr="00A44829">
        <w:rPr>
          <w:rFonts w:cs="Arial"/>
          <w:sz w:val="18"/>
          <w:szCs w:val="18"/>
        </w:rPr>
        <w:br w:type="page"/>
      </w:r>
    </w:p>
    <w:p w14:paraId="58EBC0F0" w14:textId="63426B8B" w:rsidR="00961975" w:rsidRPr="00A44829" w:rsidRDefault="00EE4593" w:rsidP="00C33713">
      <w:pPr>
        <w:pStyle w:val="VGC-Head10"/>
      </w:pPr>
      <w:r w:rsidRPr="00A44829">
        <w:lastRenderedPageBreak/>
        <w:t>2019-20</w:t>
      </w:r>
      <w:r w:rsidR="00A97ABE" w:rsidRPr="00A44829">
        <w:t xml:space="preserve"> </w:t>
      </w:r>
      <w:r w:rsidR="00961975" w:rsidRPr="00A44829">
        <w:t>Local Roads Grants</w:t>
      </w:r>
      <w:r w:rsidR="00CE4507" w:rsidRPr="00A44829">
        <w:tab/>
        <w:t>Appendix 5</w:t>
      </w:r>
    </w:p>
    <w:p w14:paraId="6755AC00" w14:textId="77777777" w:rsidR="00961975" w:rsidRPr="00A44829" w:rsidRDefault="004F1184" w:rsidP="008C1A28">
      <w:pPr>
        <w:pStyle w:val="VGC-Head2"/>
      </w:pPr>
      <w:r w:rsidRPr="00A44829">
        <w:tab/>
      </w:r>
      <w:r w:rsidR="00A131F3" w:rsidRPr="00A44829">
        <w:t>C</w:t>
      </w:r>
      <w:r w:rsidR="00961975" w:rsidRPr="00A44829">
        <w:t xml:space="preserve">.  </w:t>
      </w:r>
      <w:r w:rsidR="00A6042C" w:rsidRPr="00A44829">
        <w:t>Cost Modifier Ranges</w:t>
      </w:r>
    </w:p>
    <w:p w14:paraId="5CB45CA8" w14:textId="77777777" w:rsidR="00961975" w:rsidRPr="00A44829" w:rsidRDefault="00961975" w:rsidP="00FF36E8">
      <w:pPr>
        <w:spacing w:before="40" w:after="20"/>
        <w:rPr>
          <w:rFonts w:cs="Arial"/>
          <w:sz w:val="18"/>
          <w:szCs w:val="18"/>
        </w:rPr>
      </w:pPr>
    </w:p>
    <w:p w14:paraId="0E537F03" w14:textId="77777777" w:rsidR="007A27E1" w:rsidRPr="00A44829" w:rsidRDefault="007A27E1" w:rsidP="00FF36E8">
      <w:pPr>
        <w:spacing w:before="40" w:after="20"/>
        <w:rPr>
          <w:rFonts w:cs="Arial"/>
          <w:sz w:val="18"/>
          <w:szCs w:val="18"/>
        </w:rPr>
      </w:pPr>
    </w:p>
    <w:p w14:paraId="343C51BC" w14:textId="77777777" w:rsidR="007A27E1" w:rsidRPr="00A44829" w:rsidRDefault="007A27E1" w:rsidP="00FF36E8">
      <w:pPr>
        <w:spacing w:before="40" w:after="20"/>
        <w:rPr>
          <w:rFonts w:cs="Arial"/>
          <w:sz w:val="18"/>
          <w:szCs w:val="18"/>
        </w:rPr>
      </w:pPr>
    </w:p>
    <w:p w14:paraId="09186341" w14:textId="77777777" w:rsidR="003724F6" w:rsidRPr="00A44829" w:rsidRDefault="003724F6" w:rsidP="00FF36E8">
      <w:pPr>
        <w:spacing w:before="40" w:after="20"/>
        <w:rPr>
          <w:rFonts w:cs="Arial"/>
          <w:sz w:val="18"/>
          <w:szCs w:val="18"/>
        </w:rPr>
      </w:pPr>
    </w:p>
    <w:p w14:paraId="07A472CF" w14:textId="77777777" w:rsidR="00147515" w:rsidRPr="00A44829" w:rsidRDefault="00147515" w:rsidP="00FF36E8">
      <w:pPr>
        <w:spacing w:before="40" w:after="20"/>
        <w:rPr>
          <w:rFonts w:cs="Arial"/>
          <w:sz w:val="18"/>
          <w:szCs w:val="18"/>
        </w:rPr>
      </w:pPr>
    </w:p>
    <w:p w14:paraId="4AD51989" w14:textId="77777777" w:rsidR="00147515" w:rsidRPr="00A44829" w:rsidRDefault="00147515" w:rsidP="00FF36E8">
      <w:pPr>
        <w:spacing w:before="40" w:after="20"/>
        <w:rPr>
          <w:rFonts w:cs="Arial"/>
          <w:sz w:val="18"/>
          <w:szCs w:val="18"/>
        </w:rPr>
      </w:pPr>
    </w:p>
    <w:p w14:paraId="6C41684B" w14:textId="77777777" w:rsidR="003724F6" w:rsidRPr="00A44829" w:rsidRDefault="003724F6" w:rsidP="00FF36E8">
      <w:pPr>
        <w:spacing w:before="40" w:after="20"/>
        <w:rPr>
          <w:rFonts w:cs="Arial"/>
          <w:sz w:val="18"/>
          <w:szCs w:val="18"/>
        </w:rPr>
      </w:pPr>
    </w:p>
    <w:p w14:paraId="244B090C" w14:textId="77777777" w:rsidR="007A27E1" w:rsidRPr="00A44829" w:rsidRDefault="007A27E1" w:rsidP="00FF36E8">
      <w:pPr>
        <w:spacing w:before="40" w:after="20"/>
        <w:rPr>
          <w:rFonts w:cs="Arial"/>
          <w:sz w:val="18"/>
          <w:szCs w:val="18"/>
        </w:rPr>
      </w:pPr>
    </w:p>
    <w:tbl>
      <w:tblPr>
        <w:tblW w:w="9023" w:type="dxa"/>
        <w:tblInd w:w="78" w:type="dxa"/>
        <w:tblLayout w:type="fixed"/>
        <w:tblCellMar>
          <w:left w:w="57" w:type="dxa"/>
          <w:right w:w="57" w:type="dxa"/>
        </w:tblCellMar>
        <w:tblLook w:val="0000" w:firstRow="0" w:lastRow="0" w:firstColumn="0" w:lastColumn="0" w:noHBand="0" w:noVBand="0"/>
      </w:tblPr>
      <w:tblGrid>
        <w:gridCol w:w="794"/>
        <w:gridCol w:w="1424"/>
        <w:gridCol w:w="1361"/>
        <w:gridCol w:w="1361"/>
        <w:gridCol w:w="1361"/>
        <w:gridCol w:w="1361"/>
        <w:gridCol w:w="1361"/>
      </w:tblGrid>
      <w:tr w:rsidR="007E5AC6" w:rsidRPr="00A44829" w14:paraId="621F783D" w14:textId="77777777" w:rsidTr="00B44BBE">
        <w:trPr>
          <w:trHeight w:val="351"/>
        </w:trPr>
        <w:tc>
          <w:tcPr>
            <w:tcW w:w="794" w:type="dxa"/>
            <w:vMerge w:val="restart"/>
            <w:tcBorders>
              <w:left w:val="nil"/>
            </w:tcBorders>
            <w:shd w:val="clear" w:color="auto" w:fill="auto"/>
            <w:tcMar>
              <w:left w:w="28" w:type="dxa"/>
              <w:right w:w="28" w:type="dxa"/>
            </w:tcMar>
            <w:vAlign w:val="bottom"/>
          </w:tcPr>
          <w:p w14:paraId="6DA6D850" w14:textId="77777777" w:rsidR="007E5AC6" w:rsidRPr="00A44829" w:rsidRDefault="007E5AC6" w:rsidP="000B210A">
            <w:pPr>
              <w:spacing w:before="40" w:after="40"/>
              <w:jc w:val="center"/>
              <w:rPr>
                <w:rFonts w:cs="Arial"/>
                <w:b/>
                <w:sz w:val="18"/>
                <w:szCs w:val="18"/>
              </w:rPr>
            </w:pPr>
            <w:r w:rsidRPr="00A44829">
              <w:rPr>
                <w:rFonts w:cs="Arial"/>
                <w:b/>
                <w:sz w:val="18"/>
                <w:szCs w:val="18"/>
              </w:rPr>
              <w:t>Local Road Type</w:t>
            </w:r>
          </w:p>
        </w:tc>
        <w:tc>
          <w:tcPr>
            <w:tcW w:w="1424" w:type="dxa"/>
            <w:vMerge w:val="restart"/>
            <w:tcBorders>
              <w:right w:val="single" w:sz="18" w:space="0" w:color="5F497A" w:themeColor="accent4" w:themeShade="BF"/>
            </w:tcBorders>
            <w:shd w:val="clear" w:color="auto" w:fill="auto"/>
            <w:tcMar>
              <w:left w:w="28" w:type="dxa"/>
              <w:right w:w="28" w:type="dxa"/>
            </w:tcMar>
            <w:vAlign w:val="bottom"/>
          </w:tcPr>
          <w:p w14:paraId="34C575CA" w14:textId="77777777" w:rsidR="007E5AC6" w:rsidRPr="00A44829" w:rsidRDefault="007E5AC6" w:rsidP="000B210A">
            <w:pPr>
              <w:spacing w:before="40" w:after="40"/>
              <w:jc w:val="center"/>
              <w:rPr>
                <w:rFonts w:cs="Arial"/>
                <w:b/>
                <w:sz w:val="18"/>
                <w:szCs w:val="18"/>
              </w:rPr>
            </w:pPr>
            <w:r w:rsidRPr="00A44829">
              <w:rPr>
                <w:rFonts w:cs="Arial"/>
                <w:b/>
                <w:sz w:val="18"/>
                <w:szCs w:val="18"/>
              </w:rPr>
              <w:t>Daily Traffic Volume Range</w:t>
            </w:r>
          </w:p>
        </w:tc>
        <w:tc>
          <w:tcPr>
            <w:tcW w:w="6805" w:type="dxa"/>
            <w:gridSpan w:val="5"/>
            <w:tcBorders>
              <w:left w:val="single" w:sz="18" w:space="0" w:color="5F497A" w:themeColor="accent4" w:themeShade="BF"/>
              <w:bottom w:val="single" w:sz="8" w:space="0" w:color="5F497A" w:themeColor="accent4" w:themeShade="BF"/>
            </w:tcBorders>
            <w:shd w:val="clear" w:color="auto" w:fill="auto"/>
            <w:tcMar>
              <w:left w:w="0" w:type="dxa"/>
              <w:right w:w="0" w:type="dxa"/>
            </w:tcMar>
            <w:vAlign w:val="bottom"/>
          </w:tcPr>
          <w:p w14:paraId="1644A29F" w14:textId="77777777" w:rsidR="007E5AC6" w:rsidRPr="00A44829" w:rsidRDefault="007E5AC6" w:rsidP="000B210A">
            <w:pPr>
              <w:spacing w:before="40" w:after="40"/>
              <w:jc w:val="center"/>
              <w:rPr>
                <w:rFonts w:cs="Arial"/>
                <w:b/>
                <w:sz w:val="18"/>
                <w:szCs w:val="18"/>
              </w:rPr>
            </w:pPr>
            <w:r w:rsidRPr="00A44829">
              <w:rPr>
                <w:rFonts w:cs="Arial"/>
                <w:b/>
                <w:sz w:val="18"/>
                <w:szCs w:val="18"/>
              </w:rPr>
              <w:t>Cost Modifier Ranges</w:t>
            </w:r>
          </w:p>
        </w:tc>
      </w:tr>
      <w:tr w:rsidR="007A27E1" w:rsidRPr="00A44829" w14:paraId="066EF7CD" w14:textId="77777777" w:rsidTr="00B44BBE">
        <w:trPr>
          <w:trHeight w:val="351"/>
        </w:trPr>
        <w:tc>
          <w:tcPr>
            <w:tcW w:w="794" w:type="dxa"/>
            <w:vMerge/>
            <w:tcBorders>
              <w:left w:val="nil"/>
            </w:tcBorders>
            <w:shd w:val="clear" w:color="auto" w:fill="auto"/>
            <w:tcMar>
              <w:left w:w="28" w:type="dxa"/>
              <w:right w:w="28" w:type="dxa"/>
            </w:tcMar>
            <w:vAlign w:val="bottom"/>
          </w:tcPr>
          <w:p w14:paraId="6C54AB20" w14:textId="77777777" w:rsidR="007A27E1" w:rsidRPr="00A44829" w:rsidRDefault="007A27E1" w:rsidP="000B210A">
            <w:pPr>
              <w:spacing w:before="40" w:after="40"/>
              <w:jc w:val="center"/>
              <w:rPr>
                <w:rFonts w:cs="Arial"/>
                <w:b/>
                <w:sz w:val="18"/>
                <w:szCs w:val="18"/>
              </w:rPr>
            </w:pPr>
          </w:p>
        </w:tc>
        <w:tc>
          <w:tcPr>
            <w:tcW w:w="1424" w:type="dxa"/>
            <w:vMerge/>
            <w:tcBorders>
              <w:right w:val="single" w:sz="18" w:space="0" w:color="5F497A" w:themeColor="accent4" w:themeShade="BF"/>
            </w:tcBorders>
            <w:shd w:val="clear" w:color="auto" w:fill="auto"/>
            <w:tcMar>
              <w:left w:w="28" w:type="dxa"/>
              <w:right w:w="28" w:type="dxa"/>
            </w:tcMar>
            <w:vAlign w:val="bottom"/>
          </w:tcPr>
          <w:p w14:paraId="0735EB35" w14:textId="77777777" w:rsidR="007A27E1" w:rsidRPr="00A44829" w:rsidRDefault="007A27E1" w:rsidP="000B210A">
            <w:pPr>
              <w:spacing w:before="40" w:after="40"/>
              <w:jc w:val="center"/>
              <w:rPr>
                <w:rFonts w:cs="Arial"/>
                <w:b/>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tcMar>
              <w:left w:w="0" w:type="dxa"/>
              <w:right w:w="0" w:type="dxa"/>
            </w:tcMar>
            <w:vAlign w:val="bottom"/>
          </w:tcPr>
          <w:p w14:paraId="3A8CF80B" w14:textId="77777777" w:rsidR="007A27E1" w:rsidRPr="00A44829" w:rsidRDefault="007A27E1" w:rsidP="000B210A">
            <w:pPr>
              <w:spacing w:before="40" w:after="40"/>
              <w:jc w:val="center"/>
              <w:rPr>
                <w:rFonts w:cs="Arial"/>
                <w:b/>
                <w:sz w:val="18"/>
                <w:szCs w:val="18"/>
              </w:rPr>
            </w:pPr>
            <w:r w:rsidRPr="00A44829">
              <w:rPr>
                <w:rFonts w:cs="Arial"/>
                <w:b/>
                <w:sz w:val="18"/>
                <w:szCs w:val="18"/>
              </w:rPr>
              <w:t>Freight</w:t>
            </w:r>
          </w:p>
        </w:tc>
        <w:tc>
          <w:tcPr>
            <w:tcW w:w="1361" w:type="dxa"/>
            <w:tcBorders>
              <w:top w:val="single" w:sz="8" w:space="0" w:color="5F497A" w:themeColor="accent4" w:themeShade="BF"/>
              <w:bottom w:val="single" w:sz="8" w:space="0" w:color="5F497A" w:themeColor="accent4" w:themeShade="BF"/>
            </w:tcBorders>
            <w:vAlign w:val="bottom"/>
          </w:tcPr>
          <w:p w14:paraId="4D1482C8" w14:textId="77777777" w:rsidR="007A27E1" w:rsidRPr="00A44829" w:rsidRDefault="007A27E1" w:rsidP="000B210A">
            <w:pPr>
              <w:spacing w:before="40" w:after="40"/>
              <w:jc w:val="center"/>
              <w:rPr>
                <w:rFonts w:cs="Arial"/>
                <w:b/>
                <w:sz w:val="18"/>
                <w:szCs w:val="18"/>
              </w:rPr>
            </w:pPr>
            <w:r w:rsidRPr="00A44829">
              <w:rPr>
                <w:rFonts w:cs="Arial"/>
                <w:b/>
                <w:sz w:val="18"/>
                <w:szCs w:val="18"/>
              </w:rPr>
              <w:t>Climate</w:t>
            </w:r>
          </w:p>
        </w:tc>
        <w:tc>
          <w:tcPr>
            <w:tcW w:w="1361" w:type="dxa"/>
            <w:tcBorders>
              <w:top w:val="single" w:sz="8" w:space="0" w:color="5F497A" w:themeColor="accent4" w:themeShade="BF"/>
              <w:bottom w:val="single" w:sz="8" w:space="0" w:color="5F497A" w:themeColor="accent4" w:themeShade="BF"/>
            </w:tcBorders>
            <w:vAlign w:val="bottom"/>
          </w:tcPr>
          <w:p w14:paraId="26EA02C2" w14:textId="77777777" w:rsidR="007A27E1" w:rsidRPr="00A44829" w:rsidRDefault="007A27E1" w:rsidP="000B210A">
            <w:pPr>
              <w:spacing w:before="40" w:after="40"/>
              <w:jc w:val="center"/>
              <w:rPr>
                <w:rFonts w:cs="Arial"/>
                <w:b/>
                <w:sz w:val="18"/>
                <w:szCs w:val="18"/>
              </w:rPr>
            </w:pPr>
            <w:r w:rsidRPr="00A44829">
              <w:rPr>
                <w:rFonts w:cs="Arial"/>
                <w:b/>
                <w:sz w:val="18"/>
                <w:szCs w:val="18"/>
              </w:rPr>
              <w:t>Sub-Grade</w:t>
            </w:r>
          </w:p>
        </w:tc>
        <w:tc>
          <w:tcPr>
            <w:tcW w:w="1361" w:type="dxa"/>
            <w:tcBorders>
              <w:top w:val="single" w:sz="8" w:space="0" w:color="5F497A" w:themeColor="accent4" w:themeShade="BF"/>
              <w:bottom w:val="single" w:sz="8" w:space="0" w:color="5F497A" w:themeColor="accent4" w:themeShade="BF"/>
            </w:tcBorders>
            <w:vAlign w:val="bottom"/>
          </w:tcPr>
          <w:p w14:paraId="7A78869E" w14:textId="77777777" w:rsidR="007A27E1" w:rsidRPr="00A44829" w:rsidRDefault="007A27E1" w:rsidP="000B210A">
            <w:pPr>
              <w:spacing w:before="40" w:after="40"/>
              <w:jc w:val="center"/>
              <w:rPr>
                <w:rFonts w:cs="Arial"/>
                <w:b/>
                <w:sz w:val="18"/>
                <w:szCs w:val="18"/>
              </w:rPr>
            </w:pPr>
            <w:r w:rsidRPr="00A44829">
              <w:rPr>
                <w:rFonts w:cs="Arial"/>
                <w:b/>
                <w:sz w:val="18"/>
                <w:szCs w:val="18"/>
              </w:rPr>
              <w:t>Materials</w:t>
            </w:r>
          </w:p>
        </w:tc>
        <w:tc>
          <w:tcPr>
            <w:tcW w:w="1361" w:type="dxa"/>
            <w:tcBorders>
              <w:top w:val="single" w:sz="8" w:space="0" w:color="5F497A" w:themeColor="accent4" w:themeShade="BF"/>
              <w:bottom w:val="single" w:sz="8" w:space="0" w:color="5F497A" w:themeColor="accent4" w:themeShade="BF"/>
            </w:tcBorders>
            <w:vAlign w:val="bottom"/>
          </w:tcPr>
          <w:p w14:paraId="7CD159CD" w14:textId="77777777" w:rsidR="007A27E1" w:rsidRPr="00A44829" w:rsidRDefault="007A27E1" w:rsidP="000B210A">
            <w:pPr>
              <w:spacing w:before="40" w:after="40"/>
              <w:jc w:val="center"/>
              <w:rPr>
                <w:rFonts w:cs="Arial"/>
                <w:b/>
                <w:sz w:val="18"/>
                <w:szCs w:val="18"/>
              </w:rPr>
            </w:pPr>
            <w:r w:rsidRPr="00A44829">
              <w:rPr>
                <w:rFonts w:cs="Arial"/>
                <w:b/>
                <w:sz w:val="18"/>
                <w:szCs w:val="18"/>
              </w:rPr>
              <w:t>Strategic Route</w:t>
            </w:r>
            <w:r w:rsidR="00261079" w:rsidRPr="00A44829">
              <w:rPr>
                <w:rFonts w:cs="Arial"/>
                <w:b/>
                <w:sz w:val="18"/>
                <w:szCs w:val="18"/>
              </w:rPr>
              <w:t>s</w:t>
            </w:r>
          </w:p>
        </w:tc>
      </w:tr>
      <w:tr w:rsidR="007A27E1" w:rsidRPr="00A44829" w14:paraId="62AAE62E" w14:textId="77777777" w:rsidTr="00B44BBE">
        <w:trPr>
          <w:trHeight w:hRule="exact" w:val="340"/>
        </w:trPr>
        <w:tc>
          <w:tcPr>
            <w:tcW w:w="794" w:type="dxa"/>
            <w:tcBorders>
              <w:left w:val="nil"/>
              <w:bottom w:val="nil"/>
            </w:tcBorders>
            <w:shd w:val="clear" w:color="auto" w:fill="auto"/>
            <w:vAlign w:val="center"/>
          </w:tcPr>
          <w:p w14:paraId="6A251D5B" w14:textId="77777777" w:rsidR="007A27E1" w:rsidRPr="00A44829" w:rsidRDefault="007A27E1" w:rsidP="000B210A">
            <w:pPr>
              <w:spacing w:before="40" w:after="40"/>
              <w:jc w:val="center"/>
              <w:rPr>
                <w:rFonts w:cs="Arial"/>
                <w:sz w:val="18"/>
                <w:szCs w:val="18"/>
              </w:rPr>
            </w:pPr>
          </w:p>
        </w:tc>
        <w:tc>
          <w:tcPr>
            <w:tcW w:w="1424" w:type="dxa"/>
            <w:tcBorders>
              <w:bottom w:val="nil"/>
              <w:right w:val="single" w:sz="18" w:space="0" w:color="5F497A" w:themeColor="accent4" w:themeShade="BF"/>
            </w:tcBorders>
            <w:shd w:val="clear" w:color="auto" w:fill="auto"/>
            <w:vAlign w:val="center"/>
          </w:tcPr>
          <w:p w14:paraId="2CE41A81" w14:textId="77777777" w:rsidR="007A27E1" w:rsidRPr="00A44829" w:rsidRDefault="007A27E1" w:rsidP="000B210A">
            <w:pPr>
              <w:spacing w:before="40" w:after="4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nil"/>
            </w:tcBorders>
            <w:shd w:val="clear" w:color="auto" w:fill="auto"/>
            <w:tcMar>
              <w:left w:w="0" w:type="dxa"/>
              <w:right w:w="0" w:type="dxa"/>
            </w:tcMar>
            <w:vAlign w:val="center"/>
          </w:tcPr>
          <w:p w14:paraId="45D996A9" w14:textId="77777777" w:rsidR="007A27E1" w:rsidRPr="00A44829" w:rsidRDefault="007A27E1" w:rsidP="000B210A">
            <w:pPr>
              <w:spacing w:before="40" w:after="40"/>
              <w:jc w:val="center"/>
              <w:rPr>
                <w:rFonts w:cs="Arial"/>
                <w:sz w:val="18"/>
                <w:szCs w:val="18"/>
              </w:rPr>
            </w:pPr>
          </w:p>
        </w:tc>
        <w:tc>
          <w:tcPr>
            <w:tcW w:w="1361" w:type="dxa"/>
            <w:tcBorders>
              <w:top w:val="single" w:sz="8" w:space="0" w:color="5F497A" w:themeColor="accent4" w:themeShade="BF"/>
            </w:tcBorders>
            <w:vAlign w:val="center"/>
          </w:tcPr>
          <w:p w14:paraId="4775BC64" w14:textId="77777777" w:rsidR="007A27E1" w:rsidRPr="00A44829" w:rsidRDefault="007A27E1" w:rsidP="000B210A">
            <w:pPr>
              <w:spacing w:before="40" w:after="40"/>
              <w:jc w:val="center"/>
              <w:rPr>
                <w:rFonts w:cs="Arial"/>
                <w:sz w:val="18"/>
                <w:szCs w:val="18"/>
              </w:rPr>
            </w:pPr>
          </w:p>
        </w:tc>
        <w:tc>
          <w:tcPr>
            <w:tcW w:w="1361" w:type="dxa"/>
            <w:tcBorders>
              <w:top w:val="single" w:sz="8" w:space="0" w:color="5F497A" w:themeColor="accent4" w:themeShade="BF"/>
            </w:tcBorders>
            <w:vAlign w:val="center"/>
          </w:tcPr>
          <w:p w14:paraId="0AC930DB" w14:textId="77777777" w:rsidR="007A27E1" w:rsidRPr="00A44829" w:rsidRDefault="007A27E1" w:rsidP="000B210A">
            <w:pPr>
              <w:spacing w:before="40" w:after="40"/>
              <w:jc w:val="center"/>
              <w:rPr>
                <w:rFonts w:cs="Arial"/>
                <w:sz w:val="18"/>
                <w:szCs w:val="18"/>
              </w:rPr>
            </w:pPr>
          </w:p>
        </w:tc>
        <w:tc>
          <w:tcPr>
            <w:tcW w:w="1361" w:type="dxa"/>
            <w:tcBorders>
              <w:top w:val="single" w:sz="8" w:space="0" w:color="5F497A" w:themeColor="accent4" w:themeShade="BF"/>
            </w:tcBorders>
            <w:vAlign w:val="center"/>
          </w:tcPr>
          <w:p w14:paraId="636403F1" w14:textId="77777777" w:rsidR="007A27E1" w:rsidRPr="00A44829" w:rsidRDefault="007A27E1" w:rsidP="000B210A">
            <w:pPr>
              <w:spacing w:before="40" w:after="40"/>
              <w:jc w:val="center"/>
              <w:rPr>
                <w:rFonts w:cs="Arial"/>
                <w:sz w:val="18"/>
                <w:szCs w:val="18"/>
              </w:rPr>
            </w:pPr>
          </w:p>
        </w:tc>
        <w:tc>
          <w:tcPr>
            <w:tcW w:w="1361" w:type="dxa"/>
            <w:tcBorders>
              <w:top w:val="single" w:sz="8" w:space="0" w:color="5F497A" w:themeColor="accent4" w:themeShade="BF"/>
              <w:bottom w:val="nil"/>
            </w:tcBorders>
            <w:vAlign w:val="center"/>
          </w:tcPr>
          <w:p w14:paraId="0EF83235" w14:textId="77777777" w:rsidR="007A27E1" w:rsidRPr="00A44829" w:rsidRDefault="007A27E1" w:rsidP="000B210A">
            <w:pPr>
              <w:spacing w:before="40" w:after="40"/>
              <w:jc w:val="center"/>
              <w:rPr>
                <w:rFonts w:cs="Arial"/>
                <w:sz w:val="18"/>
                <w:szCs w:val="18"/>
              </w:rPr>
            </w:pPr>
          </w:p>
        </w:tc>
      </w:tr>
      <w:tr w:rsidR="007A27E1" w:rsidRPr="00A44829" w14:paraId="677C86D3" w14:textId="77777777" w:rsidTr="00DF175F">
        <w:trPr>
          <w:trHeight w:hRule="exact" w:val="340"/>
        </w:trPr>
        <w:tc>
          <w:tcPr>
            <w:tcW w:w="794" w:type="dxa"/>
            <w:vMerge w:val="restart"/>
            <w:tcBorders>
              <w:top w:val="nil"/>
              <w:left w:val="nil"/>
            </w:tcBorders>
            <w:shd w:val="clear" w:color="auto" w:fill="auto"/>
            <w:vAlign w:val="center"/>
          </w:tcPr>
          <w:p w14:paraId="514D6520" w14:textId="77777777" w:rsidR="007A27E1" w:rsidRPr="00A44829" w:rsidRDefault="006E7884" w:rsidP="000B210A">
            <w:pPr>
              <w:spacing w:before="40" w:after="40"/>
              <w:jc w:val="center"/>
              <w:rPr>
                <w:rFonts w:cs="Arial"/>
                <w:sz w:val="18"/>
                <w:szCs w:val="18"/>
              </w:rPr>
            </w:pPr>
            <w:r w:rsidRPr="00A44829">
              <w:rPr>
                <w:rFonts w:cs="Arial"/>
                <w:sz w:val="18"/>
                <w:szCs w:val="18"/>
              </w:rPr>
              <w:t>Urban</w:t>
            </w:r>
          </w:p>
        </w:tc>
        <w:tc>
          <w:tcPr>
            <w:tcW w:w="1424" w:type="dxa"/>
            <w:tcBorders>
              <w:top w:val="nil"/>
              <w:bottom w:val="nil"/>
              <w:right w:val="single" w:sz="18" w:space="0" w:color="5F497A" w:themeColor="accent4" w:themeShade="BF"/>
            </w:tcBorders>
            <w:shd w:val="clear" w:color="auto" w:fill="auto"/>
            <w:vAlign w:val="center"/>
          </w:tcPr>
          <w:p w14:paraId="212D647A" w14:textId="77777777" w:rsidR="007A27E1" w:rsidRPr="00A44829" w:rsidRDefault="007A27E1" w:rsidP="000B210A">
            <w:pPr>
              <w:spacing w:before="40" w:after="40"/>
              <w:jc w:val="center"/>
              <w:rPr>
                <w:rFonts w:cs="Arial"/>
                <w:sz w:val="18"/>
                <w:szCs w:val="18"/>
              </w:rPr>
            </w:pPr>
            <w:r w:rsidRPr="00A44829">
              <w:rPr>
                <w:rFonts w:cs="Arial"/>
                <w:sz w:val="18"/>
                <w:szCs w:val="18"/>
              </w:rPr>
              <w:t>Under 500</w:t>
            </w:r>
          </w:p>
        </w:tc>
        <w:tc>
          <w:tcPr>
            <w:tcW w:w="1361" w:type="dxa"/>
            <w:tcBorders>
              <w:top w:val="nil"/>
              <w:left w:val="single" w:sz="18" w:space="0" w:color="5F497A" w:themeColor="accent4" w:themeShade="BF"/>
            </w:tcBorders>
            <w:shd w:val="clear" w:color="auto" w:fill="auto"/>
            <w:tcMar>
              <w:left w:w="0" w:type="dxa"/>
              <w:right w:w="0" w:type="dxa"/>
            </w:tcMar>
            <w:vAlign w:val="center"/>
          </w:tcPr>
          <w:p w14:paraId="65746CB7"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tcBorders>
              <w:top w:val="nil"/>
            </w:tcBorders>
            <w:vAlign w:val="center"/>
          </w:tcPr>
          <w:p w14:paraId="3E7BA4DD"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tcBorders>
              <w:top w:val="nil"/>
            </w:tcBorders>
            <w:vAlign w:val="center"/>
          </w:tcPr>
          <w:p w14:paraId="287079D8"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tcBorders>
              <w:top w:val="nil"/>
            </w:tcBorders>
            <w:vAlign w:val="center"/>
          </w:tcPr>
          <w:p w14:paraId="7DFF18D9" w14:textId="77777777" w:rsidR="007A27E1" w:rsidRPr="00A44829" w:rsidRDefault="007A27E1" w:rsidP="000B210A">
            <w:pPr>
              <w:spacing w:before="40" w:after="40"/>
              <w:jc w:val="center"/>
              <w:rPr>
                <w:rFonts w:cs="Arial"/>
                <w:sz w:val="18"/>
                <w:szCs w:val="18"/>
              </w:rPr>
            </w:pPr>
            <w:r w:rsidRPr="00A44829">
              <w:rPr>
                <w:rFonts w:cs="Arial"/>
                <w:sz w:val="18"/>
                <w:szCs w:val="18"/>
              </w:rPr>
              <w:t>0.95-1.05</w:t>
            </w:r>
          </w:p>
        </w:tc>
        <w:tc>
          <w:tcPr>
            <w:tcW w:w="1361" w:type="dxa"/>
            <w:tcBorders>
              <w:top w:val="nil"/>
              <w:bottom w:val="nil"/>
            </w:tcBorders>
            <w:vAlign w:val="center"/>
          </w:tcPr>
          <w:p w14:paraId="3E6944AD" w14:textId="77777777" w:rsidR="007A27E1" w:rsidRPr="00A44829" w:rsidRDefault="000F299C" w:rsidP="000B210A">
            <w:pPr>
              <w:spacing w:before="40" w:after="40"/>
              <w:jc w:val="center"/>
              <w:rPr>
                <w:rFonts w:cs="Arial"/>
                <w:sz w:val="18"/>
                <w:szCs w:val="18"/>
              </w:rPr>
            </w:pPr>
            <w:r w:rsidRPr="00A44829">
              <w:rPr>
                <w:rFonts w:cs="Arial"/>
                <w:sz w:val="18"/>
                <w:szCs w:val="18"/>
              </w:rPr>
              <w:t>1.00-</w:t>
            </w:r>
            <w:r w:rsidR="007A27E1" w:rsidRPr="00A44829">
              <w:rPr>
                <w:rFonts w:cs="Arial"/>
                <w:sz w:val="18"/>
                <w:szCs w:val="18"/>
              </w:rPr>
              <w:t>1.65</w:t>
            </w:r>
          </w:p>
        </w:tc>
      </w:tr>
      <w:tr w:rsidR="007A27E1" w:rsidRPr="00A44829" w14:paraId="6CD4B83A" w14:textId="77777777" w:rsidTr="00DF175F">
        <w:trPr>
          <w:trHeight w:hRule="exact" w:val="340"/>
        </w:trPr>
        <w:tc>
          <w:tcPr>
            <w:tcW w:w="794" w:type="dxa"/>
            <w:vMerge/>
            <w:tcBorders>
              <w:left w:val="nil"/>
            </w:tcBorders>
            <w:shd w:val="clear" w:color="auto" w:fill="auto"/>
            <w:vAlign w:val="center"/>
          </w:tcPr>
          <w:p w14:paraId="2F4D2EA9" w14:textId="77777777" w:rsidR="007A27E1" w:rsidRPr="00A44829" w:rsidRDefault="007A27E1" w:rsidP="000B210A">
            <w:pPr>
              <w:spacing w:before="40" w:after="40"/>
              <w:jc w:val="center"/>
              <w:rPr>
                <w:rFonts w:cs="Arial"/>
                <w:sz w:val="18"/>
                <w:szCs w:val="18"/>
              </w:rPr>
            </w:pPr>
          </w:p>
        </w:tc>
        <w:tc>
          <w:tcPr>
            <w:tcW w:w="1424" w:type="dxa"/>
            <w:tcBorders>
              <w:top w:val="nil"/>
              <w:bottom w:val="nil"/>
              <w:right w:val="single" w:sz="18" w:space="0" w:color="5F497A" w:themeColor="accent4" w:themeShade="BF"/>
            </w:tcBorders>
            <w:shd w:val="clear" w:color="auto" w:fill="auto"/>
            <w:vAlign w:val="center"/>
          </w:tcPr>
          <w:p w14:paraId="3F03D359" w14:textId="77777777" w:rsidR="007A27E1" w:rsidRPr="00A44829" w:rsidRDefault="007A27E1" w:rsidP="000B210A">
            <w:pPr>
              <w:spacing w:before="40" w:after="40"/>
              <w:jc w:val="center"/>
              <w:rPr>
                <w:rFonts w:cs="Arial"/>
                <w:sz w:val="18"/>
                <w:szCs w:val="18"/>
              </w:rPr>
            </w:pPr>
            <w:r w:rsidRPr="00A44829">
              <w:rPr>
                <w:rFonts w:cs="Arial"/>
                <w:sz w:val="18"/>
                <w:szCs w:val="18"/>
              </w:rPr>
              <w:t>500 to &lt;1,000</w:t>
            </w:r>
          </w:p>
        </w:tc>
        <w:tc>
          <w:tcPr>
            <w:tcW w:w="1361" w:type="dxa"/>
            <w:tcBorders>
              <w:left w:val="single" w:sz="18" w:space="0" w:color="5F497A" w:themeColor="accent4" w:themeShade="BF"/>
            </w:tcBorders>
            <w:shd w:val="clear" w:color="auto" w:fill="auto"/>
            <w:tcMar>
              <w:left w:w="0" w:type="dxa"/>
              <w:right w:w="0" w:type="dxa"/>
            </w:tcMar>
            <w:vAlign w:val="center"/>
          </w:tcPr>
          <w:p w14:paraId="10CFE1E4"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vAlign w:val="center"/>
          </w:tcPr>
          <w:p w14:paraId="1219922A"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vAlign w:val="center"/>
          </w:tcPr>
          <w:p w14:paraId="7A0920C8"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vAlign w:val="center"/>
          </w:tcPr>
          <w:p w14:paraId="4B3B9C74" w14:textId="77777777" w:rsidR="007A27E1" w:rsidRPr="00A44829" w:rsidRDefault="007A27E1" w:rsidP="000B210A">
            <w:pPr>
              <w:spacing w:before="40" w:after="40"/>
              <w:jc w:val="center"/>
              <w:rPr>
                <w:rFonts w:cs="Arial"/>
                <w:sz w:val="18"/>
                <w:szCs w:val="18"/>
              </w:rPr>
            </w:pPr>
            <w:r w:rsidRPr="00A44829">
              <w:rPr>
                <w:rFonts w:cs="Arial"/>
                <w:sz w:val="18"/>
                <w:szCs w:val="18"/>
              </w:rPr>
              <w:t>0.95-1.05</w:t>
            </w:r>
          </w:p>
        </w:tc>
        <w:tc>
          <w:tcPr>
            <w:tcW w:w="1361" w:type="dxa"/>
            <w:tcBorders>
              <w:top w:val="nil"/>
              <w:bottom w:val="nil"/>
            </w:tcBorders>
            <w:vAlign w:val="center"/>
          </w:tcPr>
          <w:p w14:paraId="48EDFB76" w14:textId="77777777" w:rsidR="007A27E1" w:rsidRPr="00A44829" w:rsidRDefault="000F299C" w:rsidP="000B210A">
            <w:pPr>
              <w:spacing w:before="40" w:after="40"/>
              <w:jc w:val="center"/>
              <w:rPr>
                <w:rFonts w:cs="Arial"/>
                <w:sz w:val="18"/>
                <w:szCs w:val="18"/>
              </w:rPr>
            </w:pPr>
            <w:r w:rsidRPr="00A44829">
              <w:rPr>
                <w:rFonts w:cs="Arial"/>
                <w:sz w:val="18"/>
                <w:szCs w:val="18"/>
              </w:rPr>
              <w:t>1.00-</w:t>
            </w:r>
            <w:r w:rsidR="007A27E1" w:rsidRPr="00A44829">
              <w:rPr>
                <w:rFonts w:cs="Arial"/>
                <w:sz w:val="18"/>
                <w:szCs w:val="18"/>
              </w:rPr>
              <w:t>1.15</w:t>
            </w:r>
          </w:p>
        </w:tc>
      </w:tr>
      <w:tr w:rsidR="007A27E1" w:rsidRPr="00A44829" w14:paraId="25EBE1C7" w14:textId="77777777" w:rsidTr="00DF175F">
        <w:trPr>
          <w:trHeight w:hRule="exact" w:val="340"/>
        </w:trPr>
        <w:tc>
          <w:tcPr>
            <w:tcW w:w="794" w:type="dxa"/>
            <w:vMerge/>
            <w:tcBorders>
              <w:left w:val="nil"/>
            </w:tcBorders>
            <w:shd w:val="clear" w:color="auto" w:fill="auto"/>
            <w:vAlign w:val="center"/>
          </w:tcPr>
          <w:p w14:paraId="37AC8B85" w14:textId="77777777" w:rsidR="007A27E1" w:rsidRPr="00A44829" w:rsidRDefault="007A27E1" w:rsidP="000B210A">
            <w:pPr>
              <w:spacing w:before="40" w:after="40"/>
              <w:jc w:val="center"/>
              <w:rPr>
                <w:rFonts w:cs="Arial"/>
                <w:sz w:val="18"/>
                <w:szCs w:val="18"/>
              </w:rPr>
            </w:pPr>
          </w:p>
        </w:tc>
        <w:tc>
          <w:tcPr>
            <w:tcW w:w="1424" w:type="dxa"/>
            <w:tcBorders>
              <w:top w:val="nil"/>
              <w:bottom w:val="nil"/>
              <w:right w:val="single" w:sz="18" w:space="0" w:color="5F497A" w:themeColor="accent4" w:themeShade="BF"/>
            </w:tcBorders>
            <w:shd w:val="clear" w:color="auto" w:fill="auto"/>
            <w:vAlign w:val="center"/>
          </w:tcPr>
          <w:p w14:paraId="7171504B" w14:textId="77777777" w:rsidR="007A27E1" w:rsidRPr="00A44829" w:rsidRDefault="007A27E1" w:rsidP="000B210A">
            <w:pPr>
              <w:spacing w:before="40" w:after="40"/>
              <w:jc w:val="center"/>
              <w:rPr>
                <w:rFonts w:cs="Arial"/>
                <w:sz w:val="18"/>
                <w:szCs w:val="18"/>
              </w:rPr>
            </w:pPr>
            <w:r w:rsidRPr="00A44829">
              <w:rPr>
                <w:rFonts w:cs="Arial"/>
                <w:sz w:val="18"/>
                <w:szCs w:val="18"/>
              </w:rPr>
              <w:t>1,000 to &lt;5,000</w:t>
            </w:r>
          </w:p>
        </w:tc>
        <w:tc>
          <w:tcPr>
            <w:tcW w:w="1361" w:type="dxa"/>
            <w:tcBorders>
              <w:left w:val="single" w:sz="18" w:space="0" w:color="5F497A" w:themeColor="accent4" w:themeShade="BF"/>
            </w:tcBorders>
            <w:shd w:val="clear" w:color="auto" w:fill="auto"/>
            <w:tcMar>
              <w:left w:w="0" w:type="dxa"/>
              <w:right w:w="0" w:type="dxa"/>
            </w:tcMar>
            <w:vAlign w:val="center"/>
          </w:tcPr>
          <w:p w14:paraId="23224B6D"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vAlign w:val="center"/>
          </w:tcPr>
          <w:p w14:paraId="75B469F0"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vAlign w:val="center"/>
          </w:tcPr>
          <w:p w14:paraId="2551181F"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vAlign w:val="center"/>
          </w:tcPr>
          <w:p w14:paraId="33172186" w14:textId="77777777" w:rsidR="007A27E1" w:rsidRPr="00A44829" w:rsidRDefault="007A27E1" w:rsidP="000B210A">
            <w:pPr>
              <w:spacing w:before="40" w:after="40"/>
              <w:jc w:val="center"/>
              <w:rPr>
                <w:rFonts w:cs="Arial"/>
                <w:sz w:val="18"/>
                <w:szCs w:val="18"/>
              </w:rPr>
            </w:pPr>
            <w:r w:rsidRPr="00A44829">
              <w:rPr>
                <w:rFonts w:cs="Arial"/>
                <w:sz w:val="18"/>
                <w:szCs w:val="18"/>
              </w:rPr>
              <w:t>0.95-1.05</w:t>
            </w:r>
          </w:p>
        </w:tc>
        <w:tc>
          <w:tcPr>
            <w:tcW w:w="1361" w:type="dxa"/>
            <w:tcBorders>
              <w:top w:val="nil"/>
            </w:tcBorders>
            <w:vAlign w:val="center"/>
          </w:tcPr>
          <w:p w14:paraId="196DD75E" w14:textId="77777777" w:rsidR="007A27E1" w:rsidRPr="00A44829" w:rsidRDefault="000F299C" w:rsidP="000B210A">
            <w:pPr>
              <w:spacing w:before="40" w:after="40"/>
              <w:jc w:val="center"/>
              <w:rPr>
                <w:rFonts w:cs="Arial"/>
                <w:sz w:val="18"/>
                <w:szCs w:val="18"/>
              </w:rPr>
            </w:pPr>
            <w:r w:rsidRPr="00A44829">
              <w:rPr>
                <w:rFonts w:cs="Arial"/>
                <w:sz w:val="18"/>
                <w:szCs w:val="18"/>
              </w:rPr>
              <w:t>1.00-</w:t>
            </w:r>
            <w:r w:rsidR="007A27E1" w:rsidRPr="00A44829">
              <w:rPr>
                <w:rFonts w:cs="Arial"/>
                <w:sz w:val="18"/>
                <w:szCs w:val="18"/>
              </w:rPr>
              <w:t>1.15</w:t>
            </w:r>
          </w:p>
        </w:tc>
      </w:tr>
      <w:tr w:rsidR="007A27E1" w:rsidRPr="00A44829" w14:paraId="0E25509B" w14:textId="77777777" w:rsidTr="00DF175F">
        <w:trPr>
          <w:trHeight w:hRule="exact" w:val="340"/>
        </w:trPr>
        <w:tc>
          <w:tcPr>
            <w:tcW w:w="794" w:type="dxa"/>
            <w:vMerge/>
            <w:tcBorders>
              <w:left w:val="nil"/>
              <w:bottom w:val="nil"/>
            </w:tcBorders>
            <w:shd w:val="clear" w:color="auto" w:fill="auto"/>
            <w:vAlign w:val="center"/>
          </w:tcPr>
          <w:p w14:paraId="654164B6" w14:textId="77777777" w:rsidR="007A27E1" w:rsidRPr="00A44829" w:rsidRDefault="007A27E1" w:rsidP="000B210A">
            <w:pPr>
              <w:spacing w:before="40" w:after="40"/>
              <w:jc w:val="center"/>
              <w:rPr>
                <w:rFonts w:cs="Arial"/>
                <w:sz w:val="18"/>
                <w:szCs w:val="18"/>
              </w:rPr>
            </w:pPr>
          </w:p>
        </w:tc>
        <w:tc>
          <w:tcPr>
            <w:tcW w:w="1424" w:type="dxa"/>
            <w:tcBorders>
              <w:top w:val="nil"/>
              <w:bottom w:val="nil"/>
              <w:right w:val="single" w:sz="18" w:space="0" w:color="5F497A" w:themeColor="accent4" w:themeShade="BF"/>
            </w:tcBorders>
            <w:shd w:val="clear" w:color="auto" w:fill="auto"/>
            <w:vAlign w:val="center"/>
          </w:tcPr>
          <w:p w14:paraId="18C176A8" w14:textId="77777777" w:rsidR="007A27E1" w:rsidRPr="00A44829" w:rsidRDefault="007A27E1" w:rsidP="000B210A">
            <w:pPr>
              <w:spacing w:before="40" w:after="40"/>
              <w:jc w:val="center"/>
              <w:rPr>
                <w:rFonts w:cs="Arial"/>
                <w:sz w:val="18"/>
                <w:szCs w:val="18"/>
              </w:rPr>
            </w:pPr>
            <w:r w:rsidRPr="00A44829">
              <w:rPr>
                <w:rFonts w:cs="Arial"/>
                <w:sz w:val="18"/>
                <w:szCs w:val="18"/>
              </w:rPr>
              <w:t>5,000 +</w:t>
            </w:r>
          </w:p>
        </w:tc>
        <w:tc>
          <w:tcPr>
            <w:tcW w:w="1361" w:type="dxa"/>
            <w:tcBorders>
              <w:left w:val="single" w:sz="18" w:space="0" w:color="5F497A" w:themeColor="accent4" w:themeShade="BF"/>
            </w:tcBorders>
            <w:shd w:val="clear" w:color="auto" w:fill="auto"/>
            <w:tcMar>
              <w:left w:w="0" w:type="dxa"/>
              <w:right w:w="0" w:type="dxa"/>
            </w:tcMar>
            <w:vAlign w:val="center"/>
          </w:tcPr>
          <w:p w14:paraId="50F1CB05"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tcBorders>
              <w:bottom w:val="nil"/>
            </w:tcBorders>
            <w:vAlign w:val="center"/>
          </w:tcPr>
          <w:p w14:paraId="67065D4D"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tcBorders>
              <w:bottom w:val="nil"/>
            </w:tcBorders>
            <w:vAlign w:val="center"/>
          </w:tcPr>
          <w:p w14:paraId="7A362EAF"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vAlign w:val="center"/>
          </w:tcPr>
          <w:p w14:paraId="0BA9D601" w14:textId="77777777" w:rsidR="007A27E1" w:rsidRPr="00A44829" w:rsidRDefault="007A27E1" w:rsidP="000B210A">
            <w:pPr>
              <w:spacing w:before="40" w:after="40"/>
              <w:jc w:val="center"/>
              <w:rPr>
                <w:rFonts w:cs="Arial"/>
                <w:sz w:val="18"/>
                <w:szCs w:val="18"/>
              </w:rPr>
            </w:pPr>
            <w:r w:rsidRPr="00A44829">
              <w:rPr>
                <w:rFonts w:cs="Arial"/>
                <w:sz w:val="18"/>
                <w:szCs w:val="18"/>
              </w:rPr>
              <w:t>0.95-1.05</w:t>
            </w:r>
          </w:p>
        </w:tc>
        <w:tc>
          <w:tcPr>
            <w:tcW w:w="1361" w:type="dxa"/>
            <w:tcBorders>
              <w:top w:val="nil"/>
              <w:bottom w:val="nil"/>
            </w:tcBorders>
            <w:vAlign w:val="center"/>
          </w:tcPr>
          <w:p w14:paraId="0D83A388" w14:textId="77777777" w:rsidR="007A27E1" w:rsidRPr="00A44829" w:rsidRDefault="000F299C" w:rsidP="000B210A">
            <w:pPr>
              <w:spacing w:before="40" w:after="40"/>
              <w:jc w:val="center"/>
              <w:rPr>
                <w:rFonts w:cs="Arial"/>
                <w:sz w:val="18"/>
                <w:szCs w:val="18"/>
              </w:rPr>
            </w:pPr>
            <w:r w:rsidRPr="00A44829">
              <w:rPr>
                <w:rFonts w:cs="Arial"/>
                <w:sz w:val="18"/>
                <w:szCs w:val="18"/>
              </w:rPr>
              <w:t>1.00-</w:t>
            </w:r>
            <w:r w:rsidR="007A27E1" w:rsidRPr="00A44829">
              <w:rPr>
                <w:rFonts w:cs="Arial"/>
                <w:sz w:val="18"/>
                <w:szCs w:val="18"/>
              </w:rPr>
              <w:t>1.15</w:t>
            </w:r>
          </w:p>
        </w:tc>
      </w:tr>
      <w:tr w:rsidR="001A0880" w:rsidRPr="00A44829" w14:paraId="783B24B5" w14:textId="77777777" w:rsidTr="00DF175F">
        <w:trPr>
          <w:trHeight w:hRule="exact" w:val="340"/>
        </w:trPr>
        <w:tc>
          <w:tcPr>
            <w:tcW w:w="794" w:type="dxa"/>
            <w:tcBorders>
              <w:top w:val="nil"/>
              <w:left w:val="nil"/>
            </w:tcBorders>
            <w:shd w:val="clear" w:color="auto" w:fill="auto"/>
            <w:vAlign w:val="center"/>
          </w:tcPr>
          <w:p w14:paraId="489206A0" w14:textId="77777777" w:rsidR="001A0880" w:rsidRPr="00A44829" w:rsidRDefault="001A0880" w:rsidP="000B210A">
            <w:pPr>
              <w:spacing w:before="40" w:after="40"/>
              <w:jc w:val="center"/>
              <w:rPr>
                <w:rFonts w:cs="Arial"/>
                <w:sz w:val="18"/>
                <w:szCs w:val="18"/>
              </w:rPr>
            </w:pPr>
          </w:p>
        </w:tc>
        <w:tc>
          <w:tcPr>
            <w:tcW w:w="1424" w:type="dxa"/>
            <w:tcBorders>
              <w:top w:val="nil"/>
              <w:bottom w:val="nil"/>
              <w:right w:val="single" w:sz="18" w:space="0" w:color="5F497A" w:themeColor="accent4" w:themeShade="BF"/>
            </w:tcBorders>
            <w:shd w:val="clear" w:color="auto" w:fill="auto"/>
            <w:vAlign w:val="center"/>
          </w:tcPr>
          <w:p w14:paraId="25150A6F" w14:textId="77777777" w:rsidR="001A0880" w:rsidRPr="00A44829" w:rsidRDefault="001A0880" w:rsidP="000B210A">
            <w:pPr>
              <w:spacing w:before="40" w:after="40"/>
              <w:jc w:val="center"/>
              <w:rPr>
                <w:rFonts w:cs="Arial"/>
                <w:sz w:val="18"/>
                <w:szCs w:val="18"/>
              </w:rPr>
            </w:pPr>
          </w:p>
        </w:tc>
        <w:tc>
          <w:tcPr>
            <w:tcW w:w="1361" w:type="dxa"/>
            <w:tcBorders>
              <w:left w:val="single" w:sz="18" w:space="0" w:color="5F497A" w:themeColor="accent4" w:themeShade="BF"/>
            </w:tcBorders>
            <w:shd w:val="clear" w:color="auto" w:fill="auto"/>
            <w:tcMar>
              <w:left w:w="0" w:type="dxa"/>
              <w:right w:w="0" w:type="dxa"/>
            </w:tcMar>
            <w:vAlign w:val="center"/>
          </w:tcPr>
          <w:p w14:paraId="333E03CA" w14:textId="77777777" w:rsidR="001A0880" w:rsidRPr="00A44829" w:rsidRDefault="001A0880" w:rsidP="000B210A">
            <w:pPr>
              <w:spacing w:before="40" w:after="40"/>
              <w:jc w:val="center"/>
              <w:rPr>
                <w:rFonts w:cs="Arial"/>
                <w:sz w:val="18"/>
                <w:szCs w:val="18"/>
              </w:rPr>
            </w:pPr>
          </w:p>
        </w:tc>
        <w:tc>
          <w:tcPr>
            <w:tcW w:w="1361" w:type="dxa"/>
            <w:tcBorders>
              <w:top w:val="nil"/>
            </w:tcBorders>
            <w:vAlign w:val="center"/>
          </w:tcPr>
          <w:p w14:paraId="6D243073" w14:textId="77777777" w:rsidR="001A0880" w:rsidRPr="00A44829" w:rsidRDefault="001A0880" w:rsidP="000B210A">
            <w:pPr>
              <w:spacing w:before="40" w:after="40"/>
              <w:jc w:val="center"/>
              <w:rPr>
                <w:rFonts w:cs="Arial"/>
                <w:sz w:val="18"/>
                <w:szCs w:val="18"/>
              </w:rPr>
            </w:pPr>
          </w:p>
        </w:tc>
        <w:tc>
          <w:tcPr>
            <w:tcW w:w="1361" w:type="dxa"/>
            <w:tcBorders>
              <w:top w:val="nil"/>
            </w:tcBorders>
            <w:vAlign w:val="center"/>
          </w:tcPr>
          <w:p w14:paraId="2063A457" w14:textId="77777777" w:rsidR="001A0880" w:rsidRPr="00A44829" w:rsidRDefault="001A0880" w:rsidP="000B210A">
            <w:pPr>
              <w:spacing w:before="40" w:after="40"/>
              <w:jc w:val="center"/>
              <w:rPr>
                <w:rFonts w:cs="Arial"/>
                <w:sz w:val="18"/>
                <w:szCs w:val="18"/>
              </w:rPr>
            </w:pPr>
          </w:p>
        </w:tc>
        <w:tc>
          <w:tcPr>
            <w:tcW w:w="1361" w:type="dxa"/>
            <w:vAlign w:val="center"/>
          </w:tcPr>
          <w:p w14:paraId="29A45B20" w14:textId="77777777" w:rsidR="001A0880" w:rsidRPr="00A44829" w:rsidRDefault="001A0880" w:rsidP="000B210A">
            <w:pPr>
              <w:spacing w:before="40" w:after="40"/>
              <w:jc w:val="center"/>
              <w:rPr>
                <w:rFonts w:cs="Arial"/>
                <w:sz w:val="18"/>
                <w:szCs w:val="18"/>
              </w:rPr>
            </w:pPr>
          </w:p>
        </w:tc>
        <w:tc>
          <w:tcPr>
            <w:tcW w:w="1361" w:type="dxa"/>
            <w:tcBorders>
              <w:top w:val="nil"/>
              <w:bottom w:val="nil"/>
            </w:tcBorders>
            <w:vAlign w:val="center"/>
          </w:tcPr>
          <w:p w14:paraId="214892F9" w14:textId="77777777" w:rsidR="001A0880" w:rsidRPr="00A44829" w:rsidRDefault="001A0880" w:rsidP="000B210A">
            <w:pPr>
              <w:spacing w:before="40" w:after="40"/>
              <w:jc w:val="center"/>
              <w:rPr>
                <w:rFonts w:cs="Arial"/>
                <w:sz w:val="18"/>
                <w:szCs w:val="18"/>
              </w:rPr>
            </w:pPr>
          </w:p>
        </w:tc>
      </w:tr>
      <w:tr w:rsidR="006E7884" w:rsidRPr="00A44829" w14:paraId="0FCDE2CA" w14:textId="77777777" w:rsidTr="00DF175F">
        <w:trPr>
          <w:trHeight w:hRule="exact" w:val="340"/>
        </w:trPr>
        <w:tc>
          <w:tcPr>
            <w:tcW w:w="794" w:type="dxa"/>
            <w:tcBorders>
              <w:top w:val="nil"/>
              <w:left w:val="nil"/>
            </w:tcBorders>
            <w:shd w:val="clear" w:color="auto" w:fill="auto"/>
            <w:vAlign w:val="center"/>
          </w:tcPr>
          <w:p w14:paraId="0FFC342F" w14:textId="77777777" w:rsidR="006E7884" w:rsidRPr="00A44829" w:rsidRDefault="006E7884" w:rsidP="000B210A">
            <w:pPr>
              <w:spacing w:before="40" w:after="40"/>
              <w:jc w:val="center"/>
              <w:rPr>
                <w:rFonts w:cs="Arial"/>
                <w:sz w:val="18"/>
                <w:szCs w:val="18"/>
              </w:rPr>
            </w:pPr>
          </w:p>
        </w:tc>
        <w:tc>
          <w:tcPr>
            <w:tcW w:w="1424" w:type="dxa"/>
            <w:tcBorders>
              <w:top w:val="nil"/>
              <w:bottom w:val="nil"/>
              <w:right w:val="single" w:sz="18" w:space="0" w:color="5F497A" w:themeColor="accent4" w:themeShade="BF"/>
            </w:tcBorders>
            <w:shd w:val="clear" w:color="auto" w:fill="auto"/>
            <w:vAlign w:val="center"/>
          </w:tcPr>
          <w:p w14:paraId="596AAF70" w14:textId="77777777" w:rsidR="006E7884" w:rsidRPr="00A44829" w:rsidRDefault="006E7884" w:rsidP="000B210A">
            <w:pPr>
              <w:spacing w:before="40" w:after="40"/>
              <w:jc w:val="center"/>
              <w:rPr>
                <w:rFonts w:cs="Arial"/>
                <w:sz w:val="18"/>
                <w:szCs w:val="18"/>
              </w:rPr>
            </w:pPr>
          </w:p>
        </w:tc>
        <w:tc>
          <w:tcPr>
            <w:tcW w:w="1361" w:type="dxa"/>
            <w:tcBorders>
              <w:left w:val="single" w:sz="18" w:space="0" w:color="5F497A" w:themeColor="accent4" w:themeShade="BF"/>
            </w:tcBorders>
            <w:shd w:val="clear" w:color="auto" w:fill="auto"/>
            <w:tcMar>
              <w:left w:w="0" w:type="dxa"/>
              <w:right w:w="0" w:type="dxa"/>
            </w:tcMar>
            <w:vAlign w:val="center"/>
          </w:tcPr>
          <w:p w14:paraId="6CD936A6" w14:textId="77777777" w:rsidR="006E7884" w:rsidRPr="00A44829" w:rsidRDefault="006E7884" w:rsidP="000B210A">
            <w:pPr>
              <w:spacing w:before="40" w:after="40"/>
              <w:jc w:val="center"/>
              <w:rPr>
                <w:rFonts w:cs="Arial"/>
                <w:sz w:val="18"/>
                <w:szCs w:val="18"/>
              </w:rPr>
            </w:pPr>
          </w:p>
        </w:tc>
        <w:tc>
          <w:tcPr>
            <w:tcW w:w="1361" w:type="dxa"/>
            <w:tcBorders>
              <w:top w:val="nil"/>
            </w:tcBorders>
            <w:vAlign w:val="center"/>
          </w:tcPr>
          <w:p w14:paraId="64126BC6" w14:textId="77777777" w:rsidR="006E7884" w:rsidRPr="00A44829" w:rsidRDefault="006E7884" w:rsidP="000B210A">
            <w:pPr>
              <w:spacing w:before="40" w:after="40"/>
              <w:jc w:val="center"/>
              <w:rPr>
                <w:rFonts w:cs="Arial"/>
                <w:sz w:val="18"/>
                <w:szCs w:val="18"/>
              </w:rPr>
            </w:pPr>
          </w:p>
        </w:tc>
        <w:tc>
          <w:tcPr>
            <w:tcW w:w="1361" w:type="dxa"/>
            <w:tcBorders>
              <w:top w:val="nil"/>
            </w:tcBorders>
            <w:vAlign w:val="center"/>
          </w:tcPr>
          <w:p w14:paraId="31BD734E" w14:textId="77777777" w:rsidR="006E7884" w:rsidRPr="00A44829" w:rsidRDefault="006E7884" w:rsidP="000B210A">
            <w:pPr>
              <w:spacing w:before="40" w:after="40"/>
              <w:jc w:val="center"/>
              <w:rPr>
                <w:rFonts w:cs="Arial"/>
                <w:sz w:val="18"/>
                <w:szCs w:val="18"/>
              </w:rPr>
            </w:pPr>
          </w:p>
        </w:tc>
        <w:tc>
          <w:tcPr>
            <w:tcW w:w="1361" w:type="dxa"/>
            <w:vAlign w:val="center"/>
          </w:tcPr>
          <w:p w14:paraId="4BFD5226" w14:textId="77777777" w:rsidR="006E7884" w:rsidRPr="00A44829" w:rsidRDefault="006E7884" w:rsidP="000B210A">
            <w:pPr>
              <w:spacing w:before="40" w:after="40"/>
              <w:jc w:val="center"/>
              <w:rPr>
                <w:rFonts w:cs="Arial"/>
                <w:sz w:val="18"/>
                <w:szCs w:val="18"/>
              </w:rPr>
            </w:pPr>
          </w:p>
        </w:tc>
        <w:tc>
          <w:tcPr>
            <w:tcW w:w="1361" w:type="dxa"/>
            <w:tcBorders>
              <w:top w:val="nil"/>
              <w:bottom w:val="nil"/>
            </w:tcBorders>
            <w:vAlign w:val="center"/>
          </w:tcPr>
          <w:p w14:paraId="50455B56" w14:textId="77777777" w:rsidR="006E7884" w:rsidRPr="00A44829" w:rsidRDefault="006E7884" w:rsidP="000B210A">
            <w:pPr>
              <w:spacing w:before="40" w:after="40"/>
              <w:jc w:val="center"/>
              <w:rPr>
                <w:rFonts w:cs="Arial"/>
                <w:sz w:val="18"/>
                <w:szCs w:val="18"/>
              </w:rPr>
            </w:pPr>
          </w:p>
        </w:tc>
      </w:tr>
      <w:tr w:rsidR="007A27E1" w:rsidRPr="00A44829" w14:paraId="56EAD25F" w14:textId="77777777" w:rsidTr="00DF175F">
        <w:trPr>
          <w:trHeight w:hRule="exact" w:val="340"/>
        </w:trPr>
        <w:tc>
          <w:tcPr>
            <w:tcW w:w="794" w:type="dxa"/>
            <w:vMerge w:val="restart"/>
            <w:tcBorders>
              <w:top w:val="nil"/>
              <w:left w:val="nil"/>
            </w:tcBorders>
            <w:shd w:val="clear" w:color="auto" w:fill="auto"/>
            <w:vAlign w:val="center"/>
          </w:tcPr>
          <w:p w14:paraId="68820C1D" w14:textId="77777777" w:rsidR="007A27E1" w:rsidRPr="00A44829" w:rsidRDefault="006E7884" w:rsidP="000B210A">
            <w:pPr>
              <w:spacing w:before="40" w:after="40"/>
              <w:jc w:val="center"/>
              <w:rPr>
                <w:rFonts w:cs="Arial"/>
                <w:sz w:val="18"/>
                <w:szCs w:val="18"/>
              </w:rPr>
            </w:pPr>
            <w:r w:rsidRPr="00A44829">
              <w:rPr>
                <w:rFonts w:cs="Arial"/>
                <w:sz w:val="18"/>
                <w:szCs w:val="18"/>
              </w:rPr>
              <w:t>Rural</w:t>
            </w:r>
          </w:p>
        </w:tc>
        <w:tc>
          <w:tcPr>
            <w:tcW w:w="1424" w:type="dxa"/>
            <w:tcBorders>
              <w:top w:val="nil"/>
              <w:bottom w:val="nil"/>
              <w:right w:val="single" w:sz="18" w:space="0" w:color="5F497A" w:themeColor="accent4" w:themeShade="BF"/>
            </w:tcBorders>
            <w:shd w:val="clear" w:color="auto" w:fill="auto"/>
            <w:vAlign w:val="center"/>
          </w:tcPr>
          <w:p w14:paraId="60179F3B" w14:textId="77777777" w:rsidR="007A27E1" w:rsidRPr="00A44829" w:rsidRDefault="007A27E1" w:rsidP="000B210A">
            <w:pPr>
              <w:spacing w:before="40" w:after="40"/>
              <w:jc w:val="center"/>
              <w:rPr>
                <w:rFonts w:cs="Arial"/>
                <w:sz w:val="18"/>
                <w:szCs w:val="18"/>
              </w:rPr>
            </w:pPr>
            <w:r w:rsidRPr="00A44829">
              <w:rPr>
                <w:rFonts w:cs="Arial"/>
                <w:sz w:val="18"/>
                <w:szCs w:val="18"/>
              </w:rPr>
              <w:t>Natural Surface</w:t>
            </w:r>
          </w:p>
        </w:tc>
        <w:tc>
          <w:tcPr>
            <w:tcW w:w="1361" w:type="dxa"/>
            <w:tcBorders>
              <w:left w:val="single" w:sz="18" w:space="0" w:color="5F497A" w:themeColor="accent4" w:themeShade="BF"/>
            </w:tcBorders>
            <w:shd w:val="clear" w:color="auto" w:fill="auto"/>
            <w:tcMar>
              <w:left w:w="0" w:type="dxa"/>
              <w:right w:w="0" w:type="dxa"/>
            </w:tcMar>
            <w:vAlign w:val="center"/>
          </w:tcPr>
          <w:p w14:paraId="05448D74"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tcBorders>
              <w:top w:val="nil"/>
            </w:tcBorders>
            <w:vAlign w:val="center"/>
          </w:tcPr>
          <w:p w14:paraId="31F347A6" w14:textId="77777777" w:rsidR="007A27E1" w:rsidRPr="00A44829" w:rsidRDefault="007A27E1" w:rsidP="000B210A">
            <w:pPr>
              <w:spacing w:before="40" w:after="40"/>
              <w:jc w:val="center"/>
              <w:rPr>
                <w:rFonts w:cs="Arial"/>
                <w:sz w:val="18"/>
                <w:szCs w:val="18"/>
              </w:rPr>
            </w:pPr>
            <w:r w:rsidRPr="00A44829">
              <w:rPr>
                <w:rFonts w:cs="Arial"/>
                <w:sz w:val="18"/>
                <w:szCs w:val="18"/>
              </w:rPr>
              <w:t>0.75-1.25</w:t>
            </w:r>
          </w:p>
        </w:tc>
        <w:tc>
          <w:tcPr>
            <w:tcW w:w="1361" w:type="dxa"/>
            <w:tcBorders>
              <w:top w:val="nil"/>
            </w:tcBorders>
            <w:vAlign w:val="center"/>
          </w:tcPr>
          <w:p w14:paraId="5D108119"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vAlign w:val="center"/>
          </w:tcPr>
          <w:p w14:paraId="5D357518" w14:textId="77777777" w:rsidR="007A27E1" w:rsidRPr="00A44829" w:rsidRDefault="00261079" w:rsidP="000B210A">
            <w:pPr>
              <w:spacing w:before="40" w:after="40"/>
              <w:jc w:val="center"/>
              <w:rPr>
                <w:rFonts w:cs="Arial"/>
                <w:sz w:val="18"/>
                <w:szCs w:val="18"/>
              </w:rPr>
            </w:pPr>
            <w:r w:rsidRPr="00A44829">
              <w:rPr>
                <w:rFonts w:cs="Arial"/>
                <w:sz w:val="18"/>
                <w:szCs w:val="18"/>
              </w:rPr>
              <w:t>n.a.</w:t>
            </w:r>
          </w:p>
        </w:tc>
        <w:tc>
          <w:tcPr>
            <w:tcW w:w="1361" w:type="dxa"/>
            <w:tcBorders>
              <w:top w:val="nil"/>
              <w:bottom w:val="nil"/>
            </w:tcBorders>
            <w:vAlign w:val="center"/>
          </w:tcPr>
          <w:p w14:paraId="66DA11D4" w14:textId="77777777" w:rsidR="007A27E1" w:rsidRPr="00A44829" w:rsidRDefault="000F299C" w:rsidP="000B210A">
            <w:pPr>
              <w:spacing w:before="40" w:after="40"/>
              <w:jc w:val="center"/>
              <w:rPr>
                <w:rFonts w:cs="Arial"/>
                <w:sz w:val="18"/>
                <w:szCs w:val="18"/>
              </w:rPr>
            </w:pPr>
            <w:r w:rsidRPr="00A44829">
              <w:rPr>
                <w:rFonts w:cs="Arial"/>
                <w:sz w:val="18"/>
                <w:szCs w:val="18"/>
              </w:rPr>
              <w:t>1.00-</w:t>
            </w:r>
            <w:r w:rsidR="007A27E1" w:rsidRPr="00A44829">
              <w:rPr>
                <w:rFonts w:cs="Arial"/>
                <w:sz w:val="18"/>
                <w:szCs w:val="18"/>
              </w:rPr>
              <w:t>1.65</w:t>
            </w:r>
          </w:p>
        </w:tc>
      </w:tr>
      <w:tr w:rsidR="007A27E1" w:rsidRPr="00A44829" w14:paraId="5F6AD990" w14:textId="77777777" w:rsidTr="00DF175F">
        <w:trPr>
          <w:trHeight w:hRule="exact" w:val="340"/>
        </w:trPr>
        <w:tc>
          <w:tcPr>
            <w:tcW w:w="794" w:type="dxa"/>
            <w:vMerge/>
            <w:tcBorders>
              <w:left w:val="nil"/>
            </w:tcBorders>
            <w:shd w:val="clear" w:color="auto" w:fill="auto"/>
            <w:vAlign w:val="center"/>
          </w:tcPr>
          <w:p w14:paraId="099576FC" w14:textId="77777777" w:rsidR="007A27E1" w:rsidRPr="00A44829" w:rsidRDefault="007A27E1" w:rsidP="000B210A">
            <w:pPr>
              <w:spacing w:before="40" w:after="40"/>
              <w:jc w:val="center"/>
              <w:rPr>
                <w:rFonts w:cs="Arial"/>
                <w:sz w:val="18"/>
                <w:szCs w:val="18"/>
              </w:rPr>
            </w:pPr>
          </w:p>
        </w:tc>
        <w:tc>
          <w:tcPr>
            <w:tcW w:w="1424" w:type="dxa"/>
            <w:tcBorders>
              <w:top w:val="nil"/>
              <w:bottom w:val="nil"/>
              <w:right w:val="single" w:sz="18" w:space="0" w:color="5F497A" w:themeColor="accent4" w:themeShade="BF"/>
            </w:tcBorders>
            <w:shd w:val="clear" w:color="auto" w:fill="auto"/>
            <w:vAlign w:val="center"/>
          </w:tcPr>
          <w:p w14:paraId="46024750" w14:textId="77777777" w:rsidR="007A27E1" w:rsidRPr="00A44829" w:rsidRDefault="007A27E1" w:rsidP="000B210A">
            <w:pPr>
              <w:spacing w:before="40" w:after="40"/>
              <w:jc w:val="center"/>
              <w:rPr>
                <w:rFonts w:cs="Arial"/>
                <w:sz w:val="18"/>
                <w:szCs w:val="18"/>
              </w:rPr>
            </w:pPr>
            <w:r w:rsidRPr="00A44829">
              <w:rPr>
                <w:rFonts w:cs="Arial"/>
                <w:sz w:val="18"/>
                <w:szCs w:val="18"/>
              </w:rPr>
              <w:t>Under 100</w:t>
            </w:r>
          </w:p>
        </w:tc>
        <w:tc>
          <w:tcPr>
            <w:tcW w:w="1361" w:type="dxa"/>
            <w:tcBorders>
              <w:left w:val="single" w:sz="18" w:space="0" w:color="5F497A" w:themeColor="accent4" w:themeShade="BF"/>
            </w:tcBorders>
            <w:shd w:val="clear" w:color="auto" w:fill="auto"/>
            <w:tcMar>
              <w:left w:w="0" w:type="dxa"/>
              <w:right w:w="0" w:type="dxa"/>
            </w:tcMar>
            <w:vAlign w:val="center"/>
          </w:tcPr>
          <w:p w14:paraId="60769084"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vAlign w:val="center"/>
          </w:tcPr>
          <w:p w14:paraId="3F930A98" w14:textId="77777777" w:rsidR="007A27E1" w:rsidRPr="00A44829" w:rsidRDefault="007A27E1" w:rsidP="000B210A">
            <w:pPr>
              <w:spacing w:before="40" w:after="40"/>
              <w:jc w:val="center"/>
              <w:rPr>
                <w:rFonts w:cs="Arial"/>
                <w:sz w:val="18"/>
                <w:szCs w:val="18"/>
              </w:rPr>
            </w:pPr>
            <w:r w:rsidRPr="00A44829">
              <w:rPr>
                <w:rFonts w:cs="Arial"/>
                <w:sz w:val="18"/>
                <w:szCs w:val="18"/>
              </w:rPr>
              <w:t>0.75-1.25</w:t>
            </w:r>
          </w:p>
        </w:tc>
        <w:tc>
          <w:tcPr>
            <w:tcW w:w="1361" w:type="dxa"/>
            <w:vAlign w:val="center"/>
          </w:tcPr>
          <w:p w14:paraId="070A3F9D"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vAlign w:val="center"/>
          </w:tcPr>
          <w:p w14:paraId="2F372E12" w14:textId="77777777" w:rsidR="007A27E1" w:rsidRPr="00A44829" w:rsidRDefault="007A27E1" w:rsidP="000B210A">
            <w:pPr>
              <w:spacing w:before="40" w:after="40"/>
              <w:jc w:val="center"/>
              <w:rPr>
                <w:rFonts w:cs="Arial"/>
                <w:sz w:val="18"/>
                <w:szCs w:val="18"/>
              </w:rPr>
            </w:pPr>
            <w:r w:rsidRPr="00A44829">
              <w:rPr>
                <w:rFonts w:cs="Arial"/>
                <w:sz w:val="18"/>
                <w:szCs w:val="18"/>
              </w:rPr>
              <w:t>0.95-1.05</w:t>
            </w:r>
          </w:p>
        </w:tc>
        <w:tc>
          <w:tcPr>
            <w:tcW w:w="1361" w:type="dxa"/>
            <w:tcBorders>
              <w:top w:val="nil"/>
              <w:bottom w:val="nil"/>
            </w:tcBorders>
            <w:vAlign w:val="center"/>
          </w:tcPr>
          <w:p w14:paraId="72EF3FAE" w14:textId="77777777" w:rsidR="007A27E1" w:rsidRPr="00A44829" w:rsidRDefault="000F299C" w:rsidP="000B210A">
            <w:pPr>
              <w:spacing w:before="40" w:after="40"/>
              <w:jc w:val="center"/>
              <w:rPr>
                <w:rFonts w:cs="Arial"/>
                <w:sz w:val="18"/>
                <w:szCs w:val="18"/>
              </w:rPr>
            </w:pPr>
            <w:r w:rsidRPr="00A44829">
              <w:rPr>
                <w:rFonts w:cs="Arial"/>
                <w:sz w:val="18"/>
                <w:szCs w:val="18"/>
              </w:rPr>
              <w:t>1.00-</w:t>
            </w:r>
            <w:r w:rsidR="007A27E1" w:rsidRPr="00A44829">
              <w:rPr>
                <w:rFonts w:cs="Arial"/>
                <w:sz w:val="18"/>
                <w:szCs w:val="18"/>
              </w:rPr>
              <w:t>1.65</w:t>
            </w:r>
          </w:p>
        </w:tc>
      </w:tr>
      <w:tr w:rsidR="007A27E1" w:rsidRPr="00A44829" w14:paraId="237CEEC6" w14:textId="77777777" w:rsidTr="00DF175F">
        <w:trPr>
          <w:trHeight w:hRule="exact" w:val="340"/>
        </w:trPr>
        <w:tc>
          <w:tcPr>
            <w:tcW w:w="794" w:type="dxa"/>
            <w:vMerge/>
            <w:tcBorders>
              <w:left w:val="nil"/>
            </w:tcBorders>
            <w:shd w:val="clear" w:color="auto" w:fill="auto"/>
            <w:vAlign w:val="center"/>
          </w:tcPr>
          <w:p w14:paraId="2129641F" w14:textId="77777777" w:rsidR="007A27E1" w:rsidRPr="00A44829" w:rsidRDefault="007A27E1" w:rsidP="000B210A">
            <w:pPr>
              <w:spacing w:before="40" w:after="40"/>
              <w:jc w:val="center"/>
              <w:rPr>
                <w:rFonts w:cs="Arial"/>
                <w:sz w:val="18"/>
                <w:szCs w:val="18"/>
              </w:rPr>
            </w:pPr>
          </w:p>
        </w:tc>
        <w:tc>
          <w:tcPr>
            <w:tcW w:w="1424" w:type="dxa"/>
            <w:tcBorders>
              <w:top w:val="nil"/>
              <w:bottom w:val="nil"/>
              <w:right w:val="single" w:sz="18" w:space="0" w:color="5F497A" w:themeColor="accent4" w:themeShade="BF"/>
            </w:tcBorders>
            <w:shd w:val="clear" w:color="auto" w:fill="auto"/>
            <w:vAlign w:val="center"/>
          </w:tcPr>
          <w:p w14:paraId="4BF2C7F0" w14:textId="77777777" w:rsidR="007A27E1" w:rsidRPr="00A44829" w:rsidRDefault="007A27E1" w:rsidP="000B210A">
            <w:pPr>
              <w:spacing w:before="40" w:after="40"/>
              <w:jc w:val="center"/>
              <w:rPr>
                <w:rFonts w:cs="Arial"/>
                <w:sz w:val="18"/>
                <w:szCs w:val="18"/>
              </w:rPr>
            </w:pPr>
            <w:r w:rsidRPr="00A44829">
              <w:rPr>
                <w:rFonts w:cs="Arial"/>
                <w:sz w:val="18"/>
                <w:szCs w:val="18"/>
              </w:rPr>
              <w:t>100 to &lt;500</w:t>
            </w:r>
          </w:p>
        </w:tc>
        <w:tc>
          <w:tcPr>
            <w:tcW w:w="1361" w:type="dxa"/>
            <w:tcBorders>
              <w:left w:val="single" w:sz="18" w:space="0" w:color="5F497A" w:themeColor="accent4" w:themeShade="BF"/>
            </w:tcBorders>
            <w:shd w:val="clear" w:color="auto" w:fill="auto"/>
            <w:tcMar>
              <w:left w:w="0" w:type="dxa"/>
              <w:right w:w="0" w:type="dxa"/>
            </w:tcMar>
            <w:vAlign w:val="center"/>
          </w:tcPr>
          <w:p w14:paraId="3BED1163"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vAlign w:val="center"/>
          </w:tcPr>
          <w:p w14:paraId="10C0DC95" w14:textId="77777777" w:rsidR="007A27E1" w:rsidRPr="00A44829" w:rsidRDefault="007A27E1" w:rsidP="000B210A">
            <w:pPr>
              <w:spacing w:before="40" w:after="40"/>
              <w:jc w:val="center"/>
              <w:rPr>
                <w:rFonts w:cs="Arial"/>
                <w:sz w:val="18"/>
                <w:szCs w:val="18"/>
              </w:rPr>
            </w:pPr>
            <w:r w:rsidRPr="00A44829">
              <w:rPr>
                <w:rFonts w:cs="Arial"/>
                <w:sz w:val="18"/>
                <w:szCs w:val="18"/>
              </w:rPr>
              <w:t>0.75-1.25</w:t>
            </w:r>
          </w:p>
        </w:tc>
        <w:tc>
          <w:tcPr>
            <w:tcW w:w="1361" w:type="dxa"/>
            <w:vAlign w:val="center"/>
          </w:tcPr>
          <w:p w14:paraId="51DAFCE5"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vAlign w:val="center"/>
          </w:tcPr>
          <w:p w14:paraId="5924C2F1" w14:textId="77777777" w:rsidR="007A27E1" w:rsidRPr="00A44829" w:rsidRDefault="007A27E1" w:rsidP="000B210A">
            <w:pPr>
              <w:spacing w:before="40" w:after="40"/>
              <w:jc w:val="center"/>
              <w:rPr>
                <w:rFonts w:cs="Arial"/>
                <w:sz w:val="18"/>
                <w:szCs w:val="18"/>
              </w:rPr>
            </w:pPr>
            <w:r w:rsidRPr="00A44829">
              <w:rPr>
                <w:rFonts w:cs="Arial"/>
                <w:sz w:val="18"/>
                <w:szCs w:val="18"/>
              </w:rPr>
              <w:t>0.95-1.05</w:t>
            </w:r>
          </w:p>
        </w:tc>
        <w:tc>
          <w:tcPr>
            <w:tcW w:w="1361" w:type="dxa"/>
            <w:tcBorders>
              <w:top w:val="nil"/>
              <w:bottom w:val="nil"/>
            </w:tcBorders>
            <w:vAlign w:val="center"/>
          </w:tcPr>
          <w:p w14:paraId="72578B03" w14:textId="77777777" w:rsidR="007A27E1" w:rsidRPr="00A44829" w:rsidRDefault="000F299C" w:rsidP="000B210A">
            <w:pPr>
              <w:spacing w:before="40" w:after="40"/>
              <w:jc w:val="center"/>
              <w:rPr>
                <w:rFonts w:cs="Arial"/>
                <w:sz w:val="18"/>
                <w:szCs w:val="18"/>
              </w:rPr>
            </w:pPr>
            <w:r w:rsidRPr="00A44829">
              <w:rPr>
                <w:rFonts w:cs="Arial"/>
                <w:sz w:val="18"/>
                <w:szCs w:val="18"/>
              </w:rPr>
              <w:t>1.00-</w:t>
            </w:r>
            <w:r w:rsidR="007A27E1" w:rsidRPr="00A44829">
              <w:rPr>
                <w:rFonts w:cs="Arial"/>
                <w:sz w:val="18"/>
                <w:szCs w:val="18"/>
              </w:rPr>
              <w:t>1.15</w:t>
            </w:r>
          </w:p>
        </w:tc>
      </w:tr>
      <w:tr w:rsidR="007A27E1" w:rsidRPr="00A44829" w14:paraId="0AB41478" w14:textId="77777777" w:rsidTr="00DF175F">
        <w:trPr>
          <w:trHeight w:hRule="exact" w:val="340"/>
        </w:trPr>
        <w:tc>
          <w:tcPr>
            <w:tcW w:w="794" w:type="dxa"/>
            <w:vMerge/>
            <w:tcBorders>
              <w:left w:val="nil"/>
            </w:tcBorders>
            <w:shd w:val="clear" w:color="auto" w:fill="auto"/>
            <w:vAlign w:val="center"/>
          </w:tcPr>
          <w:p w14:paraId="0AE0DF00" w14:textId="77777777" w:rsidR="007A27E1" w:rsidRPr="00A44829" w:rsidRDefault="007A27E1" w:rsidP="000B210A">
            <w:pPr>
              <w:spacing w:before="40" w:after="40"/>
              <w:jc w:val="center"/>
              <w:rPr>
                <w:rFonts w:cs="Arial"/>
                <w:sz w:val="18"/>
                <w:szCs w:val="18"/>
              </w:rPr>
            </w:pPr>
          </w:p>
        </w:tc>
        <w:tc>
          <w:tcPr>
            <w:tcW w:w="1424" w:type="dxa"/>
            <w:tcBorders>
              <w:top w:val="nil"/>
              <w:bottom w:val="nil"/>
              <w:right w:val="single" w:sz="18" w:space="0" w:color="5F497A" w:themeColor="accent4" w:themeShade="BF"/>
            </w:tcBorders>
            <w:shd w:val="clear" w:color="auto" w:fill="auto"/>
            <w:vAlign w:val="center"/>
          </w:tcPr>
          <w:p w14:paraId="6FD7B7E6" w14:textId="77777777" w:rsidR="007A27E1" w:rsidRPr="00A44829" w:rsidRDefault="007A27E1" w:rsidP="000B210A">
            <w:pPr>
              <w:spacing w:before="40" w:after="40"/>
              <w:jc w:val="center"/>
              <w:rPr>
                <w:rFonts w:cs="Arial"/>
                <w:sz w:val="18"/>
                <w:szCs w:val="18"/>
              </w:rPr>
            </w:pPr>
            <w:r w:rsidRPr="00A44829">
              <w:rPr>
                <w:rFonts w:cs="Arial"/>
                <w:sz w:val="18"/>
                <w:szCs w:val="18"/>
              </w:rPr>
              <w:t>500 to &lt;1,000</w:t>
            </w:r>
          </w:p>
        </w:tc>
        <w:tc>
          <w:tcPr>
            <w:tcW w:w="1361" w:type="dxa"/>
            <w:tcBorders>
              <w:left w:val="single" w:sz="18" w:space="0" w:color="5F497A" w:themeColor="accent4" w:themeShade="BF"/>
            </w:tcBorders>
            <w:shd w:val="clear" w:color="auto" w:fill="auto"/>
            <w:tcMar>
              <w:left w:w="0" w:type="dxa"/>
              <w:right w:w="0" w:type="dxa"/>
            </w:tcMar>
            <w:vAlign w:val="center"/>
          </w:tcPr>
          <w:p w14:paraId="41B6D589"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vAlign w:val="center"/>
          </w:tcPr>
          <w:p w14:paraId="1E2AC0AA" w14:textId="77777777" w:rsidR="007A27E1" w:rsidRPr="00A44829" w:rsidRDefault="007A27E1" w:rsidP="000B210A">
            <w:pPr>
              <w:spacing w:before="40" w:after="40"/>
              <w:jc w:val="center"/>
              <w:rPr>
                <w:rFonts w:cs="Arial"/>
                <w:sz w:val="18"/>
                <w:szCs w:val="18"/>
              </w:rPr>
            </w:pPr>
            <w:r w:rsidRPr="00A44829">
              <w:rPr>
                <w:rFonts w:cs="Arial"/>
                <w:sz w:val="18"/>
                <w:szCs w:val="18"/>
              </w:rPr>
              <w:t>0.75-1.25</w:t>
            </w:r>
          </w:p>
        </w:tc>
        <w:tc>
          <w:tcPr>
            <w:tcW w:w="1361" w:type="dxa"/>
            <w:vAlign w:val="center"/>
          </w:tcPr>
          <w:p w14:paraId="692DEFB4"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vAlign w:val="center"/>
          </w:tcPr>
          <w:p w14:paraId="2251C434" w14:textId="77777777" w:rsidR="007A27E1" w:rsidRPr="00A44829" w:rsidRDefault="007A27E1" w:rsidP="000B210A">
            <w:pPr>
              <w:spacing w:before="40" w:after="40"/>
              <w:jc w:val="center"/>
              <w:rPr>
                <w:rFonts w:cs="Arial"/>
                <w:sz w:val="18"/>
                <w:szCs w:val="18"/>
              </w:rPr>
            </w:pPr>
            <w:r w:rsidRPr="00A44829">
              <w:rPr>
                <w:rFonts w:cs="Arial"/>
                <w:sz w:val="18"/>
                <w:szCs w:val="18"/>
              </w:rPr>
              <w:t>0.95-1.05</w:t>
            </w:r>
          </w:p>
        </w:tc>
        <w:tc>
          <w:tcPr>
            <w:tcW w:w="1361" w:type="dxa"/>
            <w:tcBorders>
              <w:top w:val="nil"/>
              <w:bottom w:val="nil"/>
            </w:tcBorders>
            <w:vAlign w:val="center"/>
          </w:tcPr>
          <w:p w14:paraId="35E0C360" w14:textId="77777777" w:rsidR="007A27E1" w:rsidRPr="00A44829" w:rsidRDefault="000F299C" w:rsidP="000B210A">
            <w:pPr>
              <w:spacing w:before="40" w:after="40"/>
              <w:jc w:val="center"/>
              <w:rPr>
                <w:rFonts w:cs="Arial"/>
                <w:sz w:val="18"/>
                <w:szCs w:val="18"/>
              </w:rPr>
            </w:pPr>
            <w:r w:rsidRPr="00A44829">
              <w:rPr>
                <w:rFonts w:cs="Arial"/>
                <w:sz w:val="18"/>
                <w:szCs w:val="18"/>
              </w:rPr>
              <w:t>1.00-</w:t>
            </w:r>
            <w:r w:rsidR="007A27E1" w:rsidRPr="00A44829">
              <w:rPr>
                <w:rFonts w:cs="Arial"/>
                <w:sz w:val="18"/>
                <w:szCs w:val="18"/>
              </w:rPr>
              <w:t>1.10</w:t>
            </w:r>
          </w:p>
        </w:tc>
      </w:tr>
      <w:tr w:rsidR="007A27E1" w:rsidRPr="00A44829" w14:paraId="112D8C7F" w14:textId="77777777" w:rsidTr="00B44BBE">
        <w:trPr>
          <w:trHeight w:hRule="exact" w:val="340"/>
        </w:trPr>
        <w:tc>
          <w:tcPr>
            <w:tcW w:w="794" w:type="dxa"/>
            <w:vMerge/>
            <w:tcBorders>
              <w:left w:val="nil"/>
              <w:bottom w:val="nil"/>
            </w:tcBorders>
            <w:shd w:val="clear" w:color="auto" w:fill="auto"/>
            <w:vAlign w:val="center"/>
          </w:tcPr>
          <w:p w14:paraId="3981E3DC" w14:textId="77777777" w:rsidR="007A27E1" w:rsidRPr="00A44829" w:rsidRDefault="007A27E1" w:rsidP="000B210A">
            <w:pPr>
              <w:spacing w:before="40" w:after="40"/>
              <w:jc w:val="center"/>
              <w:rPr>
                <w:rFonts w:cs="Arial"/>
                <w:sz w:val="18"/>
                <w:szCs w:val="18"/>
              </w:rPr>
            </w:pPr>
          </w:p>
        </w:tc>
        <w:tc>
          <w:tcPr>
            <w:tcW w:w="1424" w:type="dxa"/>
            <w:tcBorders>
              <w:top w:val="nil"/>
              <w:bottom w:val="nil"/>
              <w:right w:val="single" w:sz="18" w:space="0" w:color="5F497A" w:themeColor="accent4" w:themeShade="BF"/>
            </w:tcBorders>
            <w:shd w:val="clear" w:color="auto" w:fill="auto"/>
            <w:vAlign w:val="center"/>
          </w:tcPr>
          <w:p w14:paraId="470F4577" w14:textId="77777777" w:rsidR="007A27E1" w:rsidRPr="00A44829" w:rsidRDefault="007A27E1" w:rsidP="000B210A">
            <w:pPr>
              <w:spacing w:before="40" w:after="40"/>
              <w:jc w:val="center"/>
              <w:rPr>
                <w:rFonts w:cs="Arial"/>
                <w:sz w:val="18"/>
                <w:szCs w:val="18"/>
              </w:rPr>
            </w:pPr>
            <w:r w:rsidRPr="00A44829">
              <w:rPr>
                <w:rFonts w:cs="Arial"/>
                <w:sz w:val="18"/>
                <w:szCs w:val="18"/>
              </w:rPr>
              <w:t>1,000 +</w:t>
            </w:r>
          </w:p>
        </w:tc>
        <w:tc>
          <w:tcPr>
            <w:tcW w:w="1361" w:type="dxa"/>
            <w:tcBorders>
              <w:left w:val="single" w:sz="18" w:space="0" w:color="5F497A" w:themeColor="accent4" w:themeShade="BF"/>
            </w:tcBorders>
            <w:shd w:val="clear" w:color="auto" w:fill="auto"/>
            <w:tcMar>
              <w:left w:w="0" w:type="dxa"/>
              <w:right w:w="0" w:type="dxa"/>
            </w:tcMar>
            <w:vAlign w:val="center"/>
          </w:tcPr>
          <w:p w14:paraId="2FE8B834"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vAlign w:val="center"/>
          </w:tcPr>
          <w:p w14:paraId="0DEF71CB" w14:textId="77777777" w:rsidR="007A27E1" w:rsidRPr="00A44829" w:rsidRDefault="007A27E1" w:rsidP="000B210A">
            <w:pPr>
              <w:spacing w:before="40" w:after="40"/>
              <w:jc w:val="center"/>
              <w:rPr>
                <w:rFonts w:cs="Arial"/>
                <w:sz w:val="18"/>
                <w:szCs w:val="18"/>
              </w:rPr>
            </w:pPr>
            <w:r w:rsidRPr="00A44829">
              <w:rPr>
                <w:rFonts w:cs="Arial"/>
                <w:sz w:val="18"/>
                <w:szCs w:val="18"/>
              </w:rPr>
              <w:t>0.75-1.25</w:t>
            </w:r>
          </w:p>
        </w:tc>
        <w:tc>
          <w:tcPr>
            <w:tcW w:w="1361" w:type="dxa"/>
            <w:vAlign w:val="center"/>
          </w:tcPr>
          <w:p w14:paraId="35ED367D" w14:textId="77777777" w:rsidR="007A27E1" w:rsidRPr="00A44829" w:rsidRDefault="007A27E1" w:rsidP="000B210A">
            <w:pPr>
              <w:spacing w:before="40" w:after="40"/>
              <w:jc w:val="center"/>
              <w:rPr>
                <w:rFonts w:cs="Arial"/>
                <w:sz w:val="18"/>
                <w:szCs w:val="18"/>
              </w:rPr>
            </w:pPr>
            <w:r w:rsidRPr="00A44829">
              <w:rPr>
                <w:rFonts w:cs="Arial"/>
                <w:sz w:val="18"/>
                <w:szCs w:val="18"/>
              </w:rPr>
              <w:t>0.95-1.10</w:t>
            </w:r>
          </w:p>
        </w:tc>
        <w:tc>
          <w:tcPr>
            <w:tcW w:w="1361" w:type="dxa"/>
            <w:vAlign w:val="center"/>
          </w:tcPr>
          <w:p w14:paraId="685026A9" w14:textId="77777777" w:rsidR="007A27E1" w:rsidRPr="00A44829" w:rsidRDefault="007A27E1" w:rsidP="000B210A">
            <w:pPr>
              <w:spacing w:before="40" w:after="40"/>
              <w:jc w:val="center"/>
              <w:rPr>
                <w:rFonts w:cs="Arial"/>
                <w:sz w:val="18"/>
                <w:szCs w:val="18"/>
              </w:rPr>
            </w:pPr>
            <w:r w:rsidRPr="00A44829">
              <w:rPr>
                <w:rFonts w:cs="Arial"/>
                <w:sz w:val="18"/>
                <w:szCs w:val="18"/>
              </w:rPr>
              <w:t>0.95-1.05</w:t>
            </w:r>
          </w:p>
        </w:tc>
        <w:tc>
          <w:tcPr>
            <w:tcW w:w="1361" w:type="dxa"/>
            <w:tcBorders>
              <w:top w:val="nil"/>
            </w:tcBorders>
            <w:vAlign w:val="center"/>
          </w:tcPr>
          <w:p w14:paraId="65E805A6" w14:textId="77777777" w:rsidR="007A27E1" w:rsidRPr="00A44829" w:rsidRDefault="000F299C" w:rsidP="000B210A">
            <w:pPr>
              <w:spacing w:before="40" w:after="40"/>
              <w:jc w:val="center"/>
              <w:rPr>
                <w:rFonts w:cs="Arial"/>
                <w:sz w:val="18"/>
                <w:szCs w:val="18"/>
              </w:rPr>
            </w:pPr>
            <w:r w:rsidRPr="00A44829">
              <w:rPr>
                <w:rFonts w:cs="Arial"/>
                <w:sz w:val="18"/>
                <w:szCs w:val="18"/>
              </w:rPr>
              <w:t>1.00-</w:t>
            </w:r>
            <w:r w:rsidR="007A27E1" w:rsidRPr="00A44829">
              <w:rPr>
                <w:rFonts w:cs="Arial"/>
                <w:sz w:val="18"/>
                <w:szCs w:val="18"/>
              </w:rPr>
              <w:t>1.00</w:t>
            </w:r>
          </w:p>
        </w:tc>
      </w:tr>
      <w:tr w:rsidR="007A27E1" w:rsidRPr="00A44829" w14:paraId="3A7BA70E" w14:textId="77777777" w:rsidTr="00B44BBE">
        <w:trPr>
          <w:trHeight w:hRule="exact" w:val="340"/>
        </w:trPr>
        <w:tc>
          <w:tcPr>
            <w:tcW w:w="794" w:type="dxa"/>
            <w:tcBorders>
              <w:top w:val="nil"/>
              <w:left w:val="nil"/>
              <w:right w:val="nil"/>
            </w:tcBorders>
            <w:shd w:val="clear" w:color="auto" w:fill="auto"/>
            <w:vAlign w:val="center"/>
          </w:tcPr>
          <w:p w14:paraId="1B7399CA" w14:textId="77777777" w:rsidR="007A27E1" w:rsidRPr="00A44829" w:rsidRDefault="007A27E1" w:rsidP="000B210A">
            <w:pPr>
              <w:spacing w:before="40" w:after="40"/>
              <w:jc w:val="center"/>
              <w:rPr>
                <w:rFonts w:cs="Arial"/>
                <w:sz w:val="18"/>
                <w:szCs w:val="18"/>
              </w:rPr>
            </w:pPr>
          </w:p>
        </w:tc>
        <w:tc>
          <w:tcPr>
            <w:tcW w:w="1424" w:type="dxa"/>
            <w:tcBorders>
              <w:top w:val="nil"/>
              <w:left w:val="nil"/>
              <w:right w:val="single" w:sz="18" w:space="0" w:color="5F497A" w:themeColor="accent4" w:themeShade="BF"/>
            </w:tcBorders>
            <w:shd w:val="clear" w:color="auto" w:fill="auto"/>
            <w:vAlign w:val="center"/>
          </w:tcPr>
          <w:p w14:paraId="3CDF8FF5" w14:textId="77777777" w:rsidR="007A27E1" w:rsidRPr="00A44829" w:rsidRDefault="007A27E1" w:rsidP="000B210A">
            <w:pPr>
              <w:spacing w:before="40" w:after="40"/>
              <w:jc w:val="center"/>
              <w:rPr>
                <w:rFonts w:cs="Arial"/>
                <w:sz w:val="18"/>
                <w:szCs w:val="18"/>
              </w:rPr>
            </w:pPr>
          </w:p>
        </w:tc>
        <w:tc>
          <w:tcPr>
            <w:tcW w:w="1361" w:type="dxa"/>
            <w:tcBorders>
              <w:top w:val="nil"/>
              <w:left w:val="single" w:sz="18" w:space="0" w:color="5F497A" w:themeColor="accent4" w:themeShade="BF"/>
              <w:bottom w:val="single" w:sz="8" w:space="0" w:color="5F497A" w:themeColor="accent4" w:themeShade="BF"/>
            </w:tcBorders>
            <w:shd w:val="clear" w:color="auto" w:fill="auto"/>
            <w:tcMar>
              <w:left w:w="0" w:type="dxa"/>
              <w:right w:w="0" w:type="dxa"/>
            </w:tcMar>
            <w:vAlign w:val="center"/>
          </w:tcPr>
          <w:p w14:paraId="67A27EF8" w14:textId="77777777" w:rsidR="007A27E1" w:rsidRPr="00A44829" w:rsidRDefault="007A27E1" w:rsidP="000B210A">
            <w:pPr>
              <w:spacing w:before="40" w:after="40"/>
              <w:jc w:val="center"/>
              <w:rPr>
                <w:rFonts w:cs="Arial"/>
                <w:sz w:val="18"/>
                <w:szCs w:val="18"/>
              </w:rPr>
            </w:pPr>
          </w:p>
        </w:tc>
        <w:tc>
          <w:tcPr>
            <w:tcW w:w="1361" w:type="dxa"/>
            <w:tcBorders>
              <w:top w:val="nil"/>
              <w:bottom w:val="single" w:sz="8" w:space="0" w:color="5F497A" w:themeColor="accent4" w:themeShade="BF"/>
              <w:right w:val="nil"/>
            </w:tcBorders>
            <w:vAlign w:val="center"/>
          </w:tcPr>
          <w:p w14:paraId="5FEDEF8C" w14:textId="77777777" w:rsidR="007A27E1" w:rsidRPr="00A44829" w:rsidRDefault="007A27E1" w:rsidP="000B210A">
            <w:pPr>
              <w:spacing w:before="40" w:after="40"/>
              <w:jc w:val="center"/>
              <w:rPr>
                <w:rFonts w:cs="Arial"/>
                <w:sz w:val="18"/>
                <w:szCs w:val="18"/>
              </w:rPr>
            </w:pPr>
          </w:p>
        </w:tc>
        <w:tc>
          <w:tcPr>
            <w:tcW w:w="1361" w:type="dxa"/>
            <w:tcBorders>
              <w:top w:val="nil"/>
              <w:bottom w:val="single" w:sz="8" w:space="0" w:color="5F497A" w:themeColor="accent4" w:themeShade="BF"/>
              <w:right w:val="nil"/>
            </w:tcBorders>
            <w:vAlign w:val="center"/>
          </w:tcPr>
          <w:p w14:paraId="460BA693" w14:textId="77777777" w:rsidR="007A27E1" w:rsidRPr="00A44829" w:rsidRDefault="007A27E1" w:rsidP="000B210A">
            <w:pPr>
              <w:spacing w:before="40" w:after="40"/>
              <w:jc w:val="center"/>
              <w:rPr>
                <w:rFonts w:cs="Arial"/>
                <w:sz w:val="18"/>
                <w:szCs w:val="18"/>
              </w:rPr>
            </w:pPr>
          </w:p>
        </w:tc>
        <w:tc>
          <w:tcPr>
            <w:tcW w:w="1361" w:type="dxa"/>
            <w:tcBorders>
              <w:top w:val="nil"/>
              <w:bottom w:val="single" w:sz="8" w:space="0" w:color="5F497A" w:themeColor="accent4" w:themeShade="BF"/>
              <w:right w:val="nil"/>
            </w:tcBorders>
            <w:vAlign w:val="center"/>
          </w:tcPr>
          <w:p w14:paraId="480231A4" w14:textId="77777777" w:rsidR="007A27E1" w:rsidRPr="00A44829" w:rsidRDefault="007A27E1" w:rsidP="000B210A">
            <w:pPr>
              <w:spacing w:before="40" w:after="40"/>
              <w:jc w:val="center"/>
              <w:rPr>
                <w:rFonts w:cs="Arial"/>
                <w:sz w:val="18"/>
                <w:szCs w:val="18"/>
              </w:rPr>
            </w:pPr>
          </w:p>
        </w:tc>
        <w:tc>
          <w:tcPr>
            <w:tcW w:w="1361" w:type="dxa"/>
            <w:tcBorders>
              <w:top w:val="nil"/>
              <w:bottom w:val="single" w:sz="8" w:space="0" w:color="5F497A" w:themeColor="accent4" w:themeShade="BF"/>
              <w:right w:val="nil"/>
            </w:tcBorders>
            <w:vAlign w:val="center"/>
          </w:tcPr>
          <w:p w14:paraId="17372B0F" w14:textId="77777777" w:rsidR="007A27E1" w:rsidRPr="00A44829" w:rsidRDefault="007A27E1" w:rsidP="000B210A">
            <w:pPr>
              <w:spacing w:before="40" w:after="40"/>
              <w:jc w:val="center"/>
              <w:rPr>
                <w:rFonts w:cs="Arial"/>
                <w:sz w:val="18"/>
                <w:szCs w:val="18"/>
              </w:rPr>
            </w:pPr>
          </w:p>
        </w:tc>
      </w:tr>
      <w:tr w:rsidR="007A27E1" w:rsidRPr="00A44829" w14:paraId="4ADD5433" w14:textId="77777777" w:rsidTr="00B44BBE">
        <w:trPr>
          <w:trHeight w:hRule="exact" w:val="340"/>
        </w:trPr>
        <w:tc>
          <w:tcPr>
            <w:tcW w:w="794" w:type="dxa"/>
            <w:tcBorders>
              <w:left w:val="nil"/>
              <w:bottom w:val="nil"/>
              <w:right w:val="nil"/>
            </w:tcBorders>
            <w:shd w:val="clear" w:color="auto" w:fill="auto"/>
            <w:vAlign w:val="center"/>
          </w:tcPr>
          <w:p w14:paraId="34C49E4D" w14:textId="77777777" w:rsidR="007A27E1" w:rsidRPr="00A44829" w:rsidRDefault="007A27E1" w:rsidP="000B210A">
            <w:pPr>
              <w:spacing w:before="40" w:after="40"/>
              <w:jc w:val="center"/>
              <w:rPr>
                <w:rFonts w:cs="Arial"/>
                <w:sz w:val="18"/>
                <w:szCs w:val="18"/>
              </w:rPr>
            </w:pPr>
          </w:p>
        </w:tc>
        <w:tc>
          <w:tcPr>
            <w:tcW w:w="1424" w:type="dxa"/>
            <w:tcBorders>
              <w:left w:val="nil"/>
              <w:bottom w:val="nil"/>
              <w:right w:val="single" w:sz="18" w:space="0" w:color="5F497A" w:themeColor="accent4" w:themeShade="BF"/>
            </w:tcBorders>
            <w:shd w:val="clear" w:color="auto" w:fill="auto"/>
            <w:vAlign w:val="center"/>
          </w:tcPr>
          <w:p w14:paraId="75F9BE1F" w14:textId="77777777" w:rsidR="007A27E1" w:rsidRPr="00A44829" w:rsidRDefault="007A27E1" w:rsidP="000B210A">
            <w:pPr>
              <w:spacing w:before="40" w:after="4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nil"/>
            </w:tcBorders>
            <w:shd w:val="clear" w:color="auto" w:fill="auto"/>
            <w:tcMar>
              <w:left w:w="0" w:type="dxa"/>
              <w:right w:w="0" w:type="dxa"/>
            </w:tcMar>
            <w:vAlign w:val="center"/>
          </w:tcPr>
          <w:p w14:paraId="08FF966A" w14:textId="77777777" w:rsidR="007A27E1" w:rsidRPr="00A44829" w:rsidRDefault="007A27E1" w:rsidP="000B210A">
            <w:pPr>
              <w:spacing w:before="40" w:after="40"/>
              <w:jc w:val="center"/>
              <w:rPr>
                <w:rFonts w:cs="Arial"/>
                <w:sz w:val="18"/>
                <w:szCs w:val="18"/>
              </w:rPr>
            </w:pPr>
          </w:p>
        </w:tc>
        <w:tc>
          <w:tcPr>
            <w:tcW w:w="1361" w:type="dxa"/>
            <w:tcBorders>
              <w:top w:val="single" w:sz="8" w:space="0" w:color="5F497A" w:themeColor="accent4" w:themeShade="BF"/>
              <w:bottom w:val="nil"/>
              <w:right w:val="nil"/>
            </w:tcBorders>
            <w:vAlign w:val="center"/>
          </w:tcPr>
          <w:p w14:paraId="503A0A64" w14:textId="77777777" w:rsidR="007A27E1" w:rsidRPr="00A44829" w:rsidRDefault="007A27E1" w:rsidP="000B210A">
            <w:pPr>
              <w:spacing w:before="40" w:after="40"/>
              <w:jc w:val="center"/>
              <w:rPr>
                <w:rFonts w:cs="Arial"/>
                <w:sz w:val="18"/>
                <w:szCs w:val="18"/>
              </w:rPr>
            </w:pPr>
          </w:p>
        </w:tc>
        <w:tc>
          <w:tcPr>
            <w:tcW w:w="1361" w:type="dxa"/>
            <w:tcBorders>
              <w:top w:val="single" w:sz="8" w:space="0" w:color="5F497A" w:themeColor="accent4" w:themeShade="BF"/>
              <w:bottom w:val="nil"/>
              <w:right w:val="nil"/>
            </w:tcBorders>
            <w:vAlign w:val="center"/>
          </w:tcPr>
          <w:p w14:paraId="5DAD8CC5" w14:textId="77777777" w:rsidR="007A27E1" w:rsidRPr="00A44829" w:rsidRDefault="007A27E1" w:rsidP="000B210A">
            <w:pPr>
              <w:spacing w:before="40" w:after="40"/>
              <w:jc w:val="center"/>
              <w:rPr>
                <w:rFonts w:cs="Arial"/>
                <w:sz w:val="18"/>
                <w:szCs w:val="18"/>
              </w:rPr>
            </w:pPr>
          </w:p>
        </w:tc>
        <w:tc>
          <w:tcPr>
            <w:tcW w:w="1361" w:type="dxa"/>
            <w:tcBorders>
              <w:top w:val="single" w:sz="8" w:space="0" w:color="5F497A" w:themeColor="accent4" w:themeShade="BF"/>
              <w:bottom w:val="nil"/>
              <w:right w:val="nil"/>
            </w:tcBorders>
            <w:vAlign w:val="center"/>
          </w:tcPr>
          <w:p w14:paraId="65FE57BA" w14:textId="77777777" w:rsidR="007A27E1" w:rsidRPr="00A44829" w:rsidRDefault="007A27E1" w:rsidP="000B210A">
            <w:pPr>
              <w:spacing w:before="40" w:after="40"/>
              <w:jc w:val="center"/>
              <w:rPr>
                <w:rFonts w:cs="Arial"/>
                <w:sz w:val="18"/>
                <w:szCs w:val="18"/>
              </w:rPr>
            </w:pPr>
          </w:p>
        </w:tc>
        <w:tc>
          <w:tcPr>
            <w:tcW w:w="1361" w:type="dxa"/>
            <w:tcBorders>
              <w:top w:val="single" w:sz="8" w:space="0" w:color="5F497A" w:themeColor="accent4" w:themeShade="BF"/>
              <w:bottom w:val="nil"/>
              <w:right w:val="nil"/>
            </w:tcBorders>
            <w:vAlign w:val="center"/>
          </w:tcPr>
          <w:p w14:paraId="69786591" w14:textId="77777777" w:rsidR="007A27E1" w:rsidRPr="00A44829" w:rsidRDefault="007A27E1" w:rsidP="000B210A">
            <w:pPr>
              <w:spacing w:before="40" w:after="40"/>
              <w:jc w:val="center"/>
              <w:rPr>
                <w:rFonts w:cs="Arial"/>
                <w:sz w:val="18"/>
                <w:szCs w:val="18"/>
              </w:rPr>
            </w:pPr>
          </w:p>
        </w:tc>
      </w:tr>
    </w:tbl>
    <w:p w14:paraId="27F41147" w14:textId="77777777" w:rsidR="007A27E1" w:rsidRPr="00A44829" w:rsidRDefault="007A27E1" w:rsidP="00FF36E8">
      <w:pPr>
        <w:spacing w:before="40" w:after="20"/>
        <w:rPr>
          <w:rFonts w:cs="Arial"/>
          <w:sz w:val="18"/>
          <w:szCs w:val="18"/>
        </w:rPr>
      </w:pPr>
    </w:p>
    <w:p w14:paraId="5947A815" w14:textId="77777777" w:rsidR="007A27E1" w:rsidRPr="00A44829" w:rsidRDefault="007A27E1" w:rsidP="00FF36E8">
      <w:pPr>
        <w:spacing w:before="40" w:after="20"/>
        <w:rPr>
          <w:rFonts w:cs="Arial"/>
          <w:sz w:val="18"/>
          <w:szCs w:val="18"/>
        </w:rPr>
      </w:pPr>
    </w:p>
    <w:p w14:paraId="2D081EEC" w14:textId="77777777" w:rsidR="0042286A" w:rsidRPr="00A44829" w:rsidRDefault="0042286A" w:rsidP="00FF36E8">
      <w:pPr>
        <w:spacing w:before="40" w:after="20"/>
        <w:rPr>
          <w:rFonts w:cs="Arial"/>
          <w:sz w:val="18"/>
          <w:szCs w:val="18"/>
        </w:rPr>
      </w:pPr>
    </w:p>
    <w:p w14:paraId="2B970FCA" w14:textId="77777777" w:rsidR="003724F6" w:rsidRPr="00A44829" w:rsidRDefault="003724F6" w:rsidP="00FF36E8">
      <w:pPr>
        <w:spacing w:before="40" w:after="20"/>
        <w:rPr>
          <w:rFonts w:cs="Arial"/>
          <w:sz w:val="18"/>
          <w:szCs w:val="18"/>
        </w:rPr>
      </w:pPr>
    </w:p>
    <w:p w14:paraId="5D4579DE" w14:textId="77777777" w:rsidR="003724F6" w:rsidRPr="00A44829" w:rsidRDefault="003724F6" w:rsidP="00FF36E8">
      <w:pPr>
        <w:spacing w:before="40" w:after="20"/>
        <w:rPr>
          <w:rFonts w:cs="Arial"/>
          <w:sz w:val="18"/>
          <w:szCs w:val="18"/>
        </w:rPr>
      </w:pPr>
    </w:p>
    <w:p w14:paraId="4D613069" w14:textId="77777777" w:rsidR="003724F6" w:rsidRPr="00A44829" w:rsidRDefault="003724F6" w:rsidP="00FF36E8">
      <w:pPr>
        <w:spacing w:before="40" w:after="20"/>
        <w:rPr>
          <w:rFonts w:cs="Arial"/>
          <w:sz w:val="18"/>
          <w:szCs w:val="18"/>
        </w:rPr>
      </w:pPr>
    </w:p>
    <w:p w14:paraId="248B022A" w14:textId="77777777" w:rsidR="00961975" w:rsidRPr="00A44829" w:rsidRDefault="00961975" w:rsidP="00FF36E8">
      <w:pPr>
        <w:spacing w:before="40" w:after="20"/>
        <w:rPr>
          <w:rFonts w:cs="Arial"/>
          <w:sz w:val="18"/>
          <w:szCs w:val="18"/>
        </w:rPr>
      </w:pPr>
      <w:r w:rsidRPr="00A44829">
        <w:rPr>
          <w:rFonts w:cs="Arial"/>
          <w:sz w:val="18"/>
          <w:szCs w:val="18"/>
        </w:rPr>
        <w:br w:type="page"/>
      </w:r>
    </w:p>
    <w:p w14:paraId="03DECCD1" w14:textId="06249428" w:rsidR="00C94778" w:rsidRPr="00A44829" w:rsidRDefault="00CE4507" w:rsidP="00C33713">
      <w:pPr>
        <w:pStyle w:val="VGC-Head10"/>
      </w:pPr>
      <w:r w:rsidRPr="00A44829">
        <w:lastRenderedPageBreak/>
        <w:t>Appendix 5</w:t>
      </w:r>
      <w:r w:rsidR="004C42D3" w:rsidRPr="00A44829">
        <w:tab/>
      </w:r>
      <w:r w:rsidR="00EE4593" w:rsidRPr="00A44829">
        <w:t>2019-20</w:t>
      </w:r>
      <w:r w:rsidR="00A97ABE" w:rsidRPr="00A44829">
        <w:t xml:space="preserve"> </w:t>
      </w:r>
      <w:r w:rsidR="004C42D3" w:rsidRPr="00A44829">
        <w:t xml:space="preserve">Local Roads Grants </w:t>
      </w:r>
    </w:p>
    <w:p w14:paraId="15643350" w14:textId="77777777" w:rsidR="00C94778" w:rsidRPr="00A44829" w:rsidRDefault="00A6042C" w:rsidP="008C1A28">
      <w:pPr>
        <w:pStyle w:val="VGC-Head2"/>
      </w:pPr>
      <w:r w:rsidRPr="00A44829">
        <w:t>D</w:t>
      </w:r>
      <w:r w:rsidR="00CE520A" w:rsidRPr="00A44829">
        <w:t xml:space="preserve">.  </w:t>
      </w:r>
      <w:r w:rsidRPr="00A44829">
        <w:t>Cost Modifiers</w:t>
      </w:r>
    </w:p>
    <w:p w14:paraId="40113F2E" w14:textId="77777777" w:rsidR="008C2184" w:rsidRPr="00A44829" w:rsidRDefault="008C2184" w:rsidP="00FF36E8">
      <w:pPr>
        <w:spacing w:before="40" w:after="20"/>
        <w:rPr>
          <w:rFonts w:cs="Arial"/>
          <w:sz w:val="18"/>
          <w:szCs w:val="18"/>
        </w:rPr>
      </w:pPr>
    </w:p>
    <w:tbl>
      <w:tblPr>
        <w:tblW w:w="9129" w:type="dxa"/>
        <w:tblInd w:w="91" w:type="dxa"/>
        <w:tblLayout w:type="fixed"/>
        <w:tblCellMar>
          <w:left w:w="57" w:type="dxa"/>
          <w:right w:w="57" w:type="dxa"/>
        </w:tblCellMar>
        <w:tblLook w:val="0000" w:firstRow="0" w:lastRow="0" w:firstColumn="0" w:lastColumn="0" w:noHBand="0" w:noVBand="0"/>
      </w:tblPr>
      <w:tblGrid>
        <w:gridCol w:w="2268"/>
        <w:gridCol w:w="1021"/>
        <w:gridCol w:w="907"/>
        <w:gridCol w:w="907"/>
        <w:gridCol w:w="170"/>
        <w:gridCol w:w="907"/>
        <w:gridCol w:w="907"/>
        <w:gridCol w:w="1021"/>
        <w:gridCol w:w="1021"/>
      </w:tblGrid>
      <w:tr w:rsidR="00E24385" w:rsidRPr="00A44829" w14:paraId="190D160E" w14:textId="77777777" w:rsidTr="00B44BBE">
        <w:trPr>
          <w:tblHeader/>
        </w:trPr>
        <w:tc>
          <w:tcPr>
            <w:tcW w:w="2268" w:type="dxa"/>
            <w:tcBorders>
              <w:top w:val="nil"/>
              <w:left w:val="nil"/>
              <w:right w:val="single" w:sz="18" w:space="0" w:color="5F497A" w:themeColor="accent4" w:themeShade="BF"/>
            </w:tcBorders>
            <w:shd w:val="clear" w:color="auto" w:fill="auto"/>
            <w:vAlign w:val="bottom"/>
          </w:tcPr>
          <w:p w14:paraId="70B1AD9C" w14:textId="77777777" w:rsidR="00E24385" w:rsidRPr="00A44829" w:rsidRDefault="00E24385" w:rsidP="0038375E">
            <w:pPr>
              <w:spacing w:before="40" w:after="20"/>
              <w:jc w:val="center"/>
              <w:rPr>
                <w:rFonts w:cs="Arial"/>
                <w:sz w:val="18"/>
                <w:szCs w:val="18"/>
              </w:rPr>
            </w:pPr>
          </w:p>
        </w:tc>
        <w:tc>
          <w:tcPr>
            <w:tcW w:w="6861" w:type="dxa"/>
            <w:gridSpan w:val="8"/>
            <w:tcBorders>
              <w:top w:val="nil"/>
              <w:left w:val="single" w:sz="18" w:space="0" w:color="5F497A" w:themeColor="accent4" w:themeShade="BF"/>
              <w:bottom w:val="single" w:sz="8" w:space="0" w:color="5F497A" w:themeColor="accent4" w:themeShade="BF"/>
              <w:right w:val="nil"/>
            </w:tcBorders>
            <w:shd w:val="clear" w:color="auto" w:fill="auto"/>
            <w:vAlign w:val="bottom"/>
          </w:tcPr>
          <w:p w14:paraId="6B5E3B12" w14:textId="77777777" w:rsidR="00E24385" w:rsidRPr="00A44829" w:rsidRDefault="00E24385" w:rsidP="0038375E">
            <w:pPr>
              <w:spacing w:before="40" w:after="20"/>
              <w:jc w:val="center"/>
              <w:rPr>
                <w:rFonts w:cs="Arial"/>
                <w:b/>
                <w:sz w:val="18"/>
                <w:szCs w:val="18"/>
              </w:rPr>
            </w:pPr>
            <w:r w:rsidRPr="00A44829">
              <w:rPr>
                <w:rFonts w:cs="Arial"/>
                <w:b/>
                <w:sz w:val="18"/>
                <w:szCs w:val="18"/>
              </w:rPr>
              <w:t>Cost Modifier</w:t>
            </w:r>
            <w:r w:rsidR="00A6042C" w:rsidRPr="00A44829">
              <w:rPr>
                <w:rFonts w:cs="Arial"/>
                <w:b/>
                <w:sz w:val="18"/>
                <w:szCs w:val="18"/>
              </w:rPr>
              <w:t>s</w:t>
            </w:r>
          </w:p>
        </w:tc>
      </w:tr>
      <w:tr w:rsidR="00782715" w:rsidRPr="00A44829" w14:paraId="7346F160" w14:textId="77777777" w:rsidTr="00B44BBE">
        <w:trPr>
          <w:tblHeader/>
        </w:trPr>
        <w:tc>
          <w:tcPr>
            <w:tcW w:w="2268" w:type="dxa"/>
            <w:tcBorders>
              <w:top w:val="nil"/>
              <w:left w:val="nil"/>
              <w:right w:val="single" w:sz="18" w:space="0" w:color="5F497A" w:themeColor="accent4" w:themeShade="BF"/>
            </w:tcBorders>
            <w:shd w:val="clear" w:color="auto" w:fill="auto"/>
            <w:vAlign w:val="bottom"/>
          </w:tcPr>
          <w:p w14:paraId="2613DBF2" w14:textId="77777777" w:rsidR="00782715" w:rsidRPr="00A44829" w:rsidRDefault="00782715" w:rsidP="0038375E">
            <w:pPr>
              <w:spacing w:before="40" w:after="20"/>
              <w:jc w:val="center"/>
              <w:rPr>
                <w:rFonts w:cs="Arial"/>
                <w:sz w:val="18"/>
                <w:szCs w:val="18"/>
              </w:rPr>
            </w:pPr>
          </w:p>
        </w:tc>
        <w:tc>
          <w:tcPr>
            <w:tcW w:w="1021" w:type="dxa"/>
            <w:vMerge w:val="restart"/>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62E9A9FB" w14:textId="77777777" w:rsidR="00782715" w:rsidRPr="00A44829" w:rsidRDefault="00782715" w:rsidP="0038375E">
            <w:pPr>
              <w:spacing w:before="40" w:after="20"/>
              <w:jc w:val="center"/>
              <w:rPr>
                <w:rFonts w:cs="Arial"/>
                <w:b/>
                <w:sz w:val="18"/>
                <w:szCs w:val="18"/>
              </w:rPr>
            </w:pPr>
            <w:r w:rsidRPr="00A44829">
              <w:rPr>
                <w:rFonts w:cs="Arial"/>
                <w:b/>
                <w:sz w:val="18"/>
                <w:szCs w:val="18"/>
              </w:rPr>
              <w:t>Freight</w:t>
            </w:r>
            <w:r w:rsidRPr="00A44829">
              <w:rPr>
                <w:rFonts w:cs="Arial"/>
                <w:b/>
                <w:sz w:val="18"/>
                <w:szCs w:val="18"/>
              </w:rPr>
              <w:br/>
            </w:r>
          </w:p>
        </w:tc>
        <w:tc>
          <w:tcPr>
            <w:tcW w:w="1814" w:type="dxa"/>
            <w:gridSpan w:val="2"/>
            <w:tcBorders>
              <w:top w:val="single" w:sz="8" w:space="0" w:color="5F497A" w:themeColor="accent4" w:themeShade="BF"/>
              <w:left w:val="nil"/>
              <w:bottom w:val="single" w:sz="8" w:space="0" w:color="5F497A" w:themeColor="accent4" w:themeShade="BF"/>
              <w:right w:val="nil"/>
            </w:tcBorders>
            <w:shd w:val="clear" w:color="auto" w:fill="auto"/>
            <w:vAlign w:val="bottom"/>
          </w:tcPr>
          <w:p w14:paraId="392ADE92" w14:textId="77777777" w:rsidR="00782715" w:rsidRPr="00A44829" w:rsidRDefault="00782715" w:rsidP="0038375E">
            <w:pPr>
              <w:spacing w:before="40" w:after="20"/>
              <w:jc w:val="center"/>
              <w:rPr>
                <w:rFonts w:cs="Arial"/>
                <w:b/>
                <w:sz w:val="18"/>
                <w:szCs w:val="18"/>
              </w:rPr>
            </w:pPr>
            <w:r w:rsidRPr="00A44829">
              <w:rPr>
                <w:rFonts w:cs="Arial"/>
                <w:b/>
                <w:sz w:val="18"/>
                <w:szCs w:val="18"/>
              </w:rPr>
              <w:t>Climate</w:t>
            </w:r>
          </w:p>
        </w:tc>
        <w:tc>
          <w:tcPr>
            <w:tcW w:w="170" w:type="dxa"/>
            <w:vMerge w:val="restart"/>
            <w:tcBorders>
              <w:top w:val="single" w:sz="8" w:space="0" w:color="5F497A" w:themeColor="accent4" w:themeShade="BF"/>
              <w:left w:val="nil"/>
              <w:bottom w:val="single" w:sz="8" w:space="0" w:color="5F497A" w:themeColor="accent4" w:themeShade="BF"/>
              <w:right w:val="nil"/>
            </w:tcBorders>
            <w:vAlign w:val="bottom"/>
          </w:tcPr>
          <w:p w14:paraId="3CA95F74" w14:textId="77777777" w:rsidR="00782715" w:rsidRPr="00A44829" w:rsidRDefault="00782715" w:rsidP="0038375E">
            <w:pPr>
              <w:spacing w:before="40" w:after="20"/>
              <w:jc w:val="center"/>
              <w:rPr>
                <w:rFonts w:cs="Arial"/>
                <w:b/>
                <w:sz w:val="18"/>
                <w:szCs w:val="18"/>
              </w:rPr>
            </w:pPr>
          </w:p>
        </w:tc>
        <w:tc>
          <w:tcPr>
            <w:tcW w:w="1814" w:type="dxa"/>
            <w:gridSpan w:val="2"/>
            <w:tcBorders>
              <w:top w:val="single" w:sz="8" w:space="0" w:color="5F497A" w:themeColor="accent4" w:themeShade="BF"/>
              <w:left w:val="nil"/>
              <w:bottom w:val="single" w:sz="8" w:space="0" w:color="5F497A" w:themeColor="accent4" w:themeShade="BF"/>
              <w:right w:val="nil"/>
            </w:tcBorders>
            <w:vAlign w:val="bottom"/>
          </w:tcPr>
          <w:p w14:paraId="48BFCBDE" w14:textId="77777777" w:rsidR="00782715" w:rsidRPr="00A44829" w:rsidRDefault="00782715" w:rsidP="0038375E">
            <w:pPr>
              <w:spacing w:before="40" w:after="20"/>
              <w:jc w:val="center"/>
              <w:rPr>
                <w:rFonts w:cs="Arial"/>
                <w:b/>
                <w:sz w:val="18"/>
                <w:szCs w:val="18"/>
              </w:rPr>
            </w:pPr>
            <w:r w:rsidRPr="00A44829">
              <w:rPr>
                <w:rFonts w:cs="Arial"/>
                <w:b/>
                <w:sz w:val="18"/>
                <w:szCs w:val="18"/>
              </w:rPr>
              <w:t>Sub-Grades</w:t>
            </w:r>
          </w:p>
        </w:tc>
        <w:tc>
          <w:tcPr>
            <w:tcW w:w="1021"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00FCDE9E" w14:textId="77777777" w:rsidR="00782715" w:rsidRPr="00A44829" w:rsidRDefault="00782715" w:rsidP="0038375E">
            <w:pPr>
              <w:spacing w:before="40" w:after="20"/>
              <w:jc w:val="center"/>
              <w:rPr>
                <w:rFonts w:cs="Arial"/>
                <w:b/>
                <w:sz w:val="18"/>
                <w:szCs w:val="18"/>
              </w:rPr>
            </w:pPr>
            <w:r w:rsidRPr="00A44829">
              <w:rPr>
                <w:rFonts w:cs="Arial"/>
                <w:b/>
                <w:sz w:val="18"/>
                <w:szCs w:val="18"/>
              </w:rPr>
              <w:t>Materials</w:t>
            </w:r>
            <w:r w:rsidRPr="00A44829">
              <w:rPr>
                <w:rFonts w:cs="Arial"/>
                <w:b/>
                <w:sz w:val="18"/>
                <w:szCs w:val="18"/>
              </w:rPr>
              <w:br/>
            </w:r>
          </w:p>
        </w:tc>
        <w:tc>
          <w:tcPr>
            <w:tcW w:w="1021"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7FF4F423" w14:textId="77777777" w:rsidR="00782715" w:rsidRPr="00A44829" w:rsidRDefault="00782715" w:rsidP="0038375E">
            <w:pPr>
              <w:spacing w:before="40" w:after="20"/>
              <w:jc w:val="center"/>
              <w:rPr>
                <w:rFonts w:cs="Arial"/>
                <w:sz w:val="18"/>
                <w:szCs w:val="18"/>
              </w:rPr>
            </w:pPr>
            <w:r w:rsidRPr="00A44829">
              <w:rPr>
                <w:rFonts w:cs="Arial"/>
                <w:b/>
                <w:sz w:val="18"/>
                <w:szCs w:val="18"/>
              </w:rPr>
              <w:t xml:space="preserve">Strategic Routes </w:t>
            </w:r>
            <w:r w:rsidRPr="00A44829">
              <w:rPr>
                <w:rFonts w:cs="Arial"/>
                <w:b/>
                <w:sz w:val="18"/>
                <w:szCs w:val="18"/>
              </w:rPr>
              <w:br/>
            </w:r>
            <w:r w:rsidRPr="00A44829">
              <w:rPr>
                <w:rFonts w:cs="Arial"/>
                <w:sz w:val="16"/>
                <w:szCs w:val="16"/>
              </w:rPr>
              <w:t>(average)</w:t>
            </w:r>
          </w:p>
        </w:tc>
      </w:tr>
      <w:tr w:rsidR="00782715" w:rsidRPr="00A44829" w14:paraId="5EEF6F6B" w14:textId="77777777" w:rsidTr="00B44BBE">
        <w:trPr>
          <w:tblHeader/>
        </w:trPr>
        <w:tc>
          <w:tcPr>
            <w:tcW w:w="2268" w:type="dxa"/>
            <w:tcBorders>
              <w:top w:val="nil"/>
              <w:left w:val="nil"/>
              <w:right w:val="single" w:sz="18" w:space="0" w:color="5F497A" w:themeColor="accent4" w:themeShade="BF"/>
            </w:tcBorders>
            <w:shd w:val="clear" w:color="auto" w:fill="auto"/>
            <w:vAlign w:val="bottom"/>
          </w:tcPr>
          <w:p w14:paraId="03A6F5A0" w14:textId="77777777" w:rsidR="00782715" w:rsidRPr="00A44829" w:rsidRDefault="00782715" w:rsidP="0038375E">
            <w:pPr>
              <w:spacing w:before="40" w:after="20"/>
              <w:jc w:val="center"/>
              <w:rPr>
                <w:rFonts w:cs="Arial"/>
                <w:sz w:val="18"/>
                <w:szCs w:val="18"/>
              </w:rPr>
            </w:pPr>
          </w:p>
        </w:tc>
        <w:tc>
          <w:tcPr>
            <w:tcW w:w="1021" w:type="dxa"/>
            <w:vMerge/>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3729B771" w14:textId="77777777" w:rsidR="00782715" w:rsidRPr="00A44829" w:rsidRDefault="00782715" w:rsidP="0038375E">
            <w:pPr>
              <w:spacing w:before="40" w:after="20"/>
              <w:jc w:val="center"/>
              <w:rPr>
                <w:rFonts w:cs="Arial"/>
                <w:b/>
                <w:sz w:val="18"/>
                <w:szCs w:val="18"/>
              </w:rPr>
            </w:pPr>
          </w:p>
        </w:tc>
        <w:tc>
          <w:tcPr>
            <w:tcW w:w="90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66F4C5B" w14:textId="77777777" w:rsidR="00782715" w:rsidRPr="00A44829" w:rsidRDefault="00782715" w:rsidP="0038375E">
            <w:pPr>
              <w:spacing w:before="40" w:after="20"/>
              <w:jc w:val="center"/>
              <w:rPr>
                <w:rFonts w:cs="Arial"/>
                <w:sz w:val="16"/>
                <w:szCs w:val="16"/>
              </w:rPr>
            </w:pPr>
            <w:r w:rsidRPr="00A44829">
              <w:rPr>
                <w:rFonts w:cs="Arial"/>
                <w:sz w:val="16"/>
                <w:szCs w:val="16"/>
              </w:rPr>
              <w:t>Urban</w:t>
            </w:r>
          </w:p>
        </w:tc>
        <w:tc>
          <w:tcPr>
            <w:tcW w:w="907" w:type="dxa"/>
            <w:tcBorders>
              <w:top w:val="single" w:sz="8" w:space="0" w:color="5F497A" w:themeColor="accent4" w:themeShade="BF"/>
              <w:left w:val="nil"/>
              <w:bottom w:val="single" w:sz="8" w:space="0" w:color="5F497A" w:themeColor="accent4" w:themeShade="BF"/>
              <w:right w:val="nil"/>
            </w:tcBorders>
            <w:vAlign w:val="bottom"/>
          </w:tcPr>
          <w:p w14:paraId="06D124E4" w14:textId="77777777" w:rsidR="00782715" w:rsidRPr="00A44829" w:rsidRDefault="00782715" w:rsidP="0038375E">
            <w:pPr>
              <w:spacing w:before="40" w:after="20"/>
              <w:jc w:val="center"/>
              <w:rPr>
                <w:rFonts w:cs="Arial"/>
                <w:sz w:val="16"/>
                <w:szCs w:val="16"/>
              </w:rPr>
            </w:pPr>
            <w:r w:rsidRPr="00A44829">
              <w:rPr>
                <w:rFonts w:cs="Arial"/>
                <w:sz w:val="16"/>
                <w:szCs w:val="16"/>
              </w:rPr>
              <w:t>Rural</w:t>
            </w:r>
          </w:p>
        </w:tc>
        <w:tc>
          <w:tcPr>
            <w:tcW w:w="170" w:type="dxa"/>
            <w:vMerge/>
            <w:tcBorders>
              <w:top w:val="single" w:sz="8" w:space="0" w:color="5F497A" w:themeColor="accent4" w:themeShade="BF"/>
              <w:left w:val="nil"/>
              <w:bottom w:val="single" w:sz="8" w:space="0" w:color="5F497A" w:themeColor="accent4" w:themeShade="BF"/>
              <w:right w:val="nil"/>
            </w:tcBorders>
            <w:vAlign w:val="bottom"/>
          </w:tcPr>
          <w:p w14:paraId="2080EC89" w14:textId="77777777" w:rsidR="00782715" w:rsidRPr="00A44829" w:rsidRDefault="00782715" w:rsidP="0038375E">
            <w:pPr>
              <w:spacing w:before="40" w:after="20"/>
              <w:jc w:val="center"/>
              <w:rPr>
                <w:rFonts w:cs="Arial"/>
                <w:sz w:val="16"/>
                <w:szCs w:val="16"/>
              </w:rPr>
            </w:pPr>
          </w:p>
        </w:tc>
        <w:tc>
          <w:tcPr>
            <w:tcW w:w="907" w:type="dxa"/>
            <w:tcBorders>
              <w:top w:val="single" w:sz="8" w:space="0" w:color="5F497A" w:themeColor="accent4" w:themeShade="BF"/>
              <w:left w:val="nil"/>
              <w:bottom w:val="single" w:sz="8" w:space="0" w:color="5F497A" w:themeColor="accent4" w:themeShade="BF"/>
              <w:right w:val="nil"/>
            </w:tcBorders>
            <w:vAlign w:val="bottom"/>
          </w:tcPr>
          <w:p w14:paraId="0CFF15F8" w14:textId="77777777" w:rsidR="00782715" w:rsidRPr="00A44829" w:rsidRDefault="00782715" w:rsidP="0038375E">
            <w:pPr>
              <w:spacing w:before="40" w:after="20"/>
              <w:jc w:val="center"/>
              <w:rPr>
                <w:rFonts w:cs="Arial"/>
                <w:sz w:val="16"/>
                <w:szCs w:val="16"/>
              </w:rPr>
            </w:pPr>
            <w:r w:rsidRPr="00A44829">
              <w:rPr>
                <w:rFonts w:cs="Arial"/>
                <w:sz w:val="16"/>
                <w:szCs w:val="16"/>
              </w:rPr>
              <w:t>Urban</w:t>
            </w:r>
          </w:p>
        </w:tc>
        <w:tc>
          <w:tcPr>
            <w:tcW w:w="90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30FA8889" w14:textId="77777777" w:rsidR="00782715" w:rsidRPr="00A44829" w:rsidRDefault="00782715" w:rsidP="0038375E">
            <w:pPr>
              <w:spacing w:before="40" w:after="20"/>
              <w:jc w:val="center"/>
              <w:rPr>
                <w:rFonts w:cs="Arial"/>
                <w:sz w:val="16"/>
                <w:szCs w:val="16"/>
              </w:rPr>
            </w:pPr>
            <w:r w:rsidRPr="00A44829">
              <w:rPr>
                <w:rFonts w:cs="Arial"/>
                <w:sz w:val="16"/>
                <w:szCs w:val="16"/>
              </w:rPr>
              <w:t>Rural</w:t>
            </w:r>
          </w:p>
        </w:tc>
        <w:tc>
          <w:tcPr>
            <w:tcW w:w="1021"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1654C783" w14:textId="77777777" w:rsidR="00782715" w:rsidRPr="00A44829" w:rsidRDefault="00782715" w:rsidP="0038375E">
            <w:pPr>
              <w:spacing w:before="40" w:after="20"/>
              <w:jc w:val="center"/>
              <w:rPr>
                <w:rFonts w:cs="Arial"/>
                <w:b/>
                <w:sz w:val="18"/>
                <w:szCs w:val="18"/>
              </w:rPr>
            </w:pPr>
          </w:p>
        </w:tc>
        <w:tc>
          <w:tcPr>
            <w:tcW w:w="1021"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4D76BAF7" w14:textId="77777777" w:rsidR="00782715" w:rsidRPr="00A44829" w:rsidRDefault="00782715" w:rsidP="0038375E">
            <w:pPr>
              <w:spacing w:before="40" w:after="20"/>
              <w:jc w:val="center"/>
              <w:rPr>
                <w:rFonts w:cs="Arial"/>
                <w:b/>
                <w:sz w:val="18"/>
                <w:szCs w:val="18"/>
              </w:rPr>
            </w:pPr>
          </w:p>
        </w:tc>
      </w:tr>
      <w:tr w:rsidR="00DC5BE9" w:rsidRPr="003E2D55" w14:paraId="655541FC" w14:textId="77777777" w:rsidTr="00B44BBE">
        <w:trPr>
          <w:trHeight w:val="240"/>
          <w:tblHeader/>
        </w:trPr>
        <w:tc>
          <w:tcPr>
            <w:tcW w:w="2268" w:type="dxa"/>
            <w:tcBorders>
              <w:left w:val="nil"/>
              <w:bottom w:val="nil"/>
              <w:right w:val="single" w:sz="18" w:space="0" w:color="5F497A" w:themeColor="accent4" w:themeShade="BF"/>
            </w:tcBorders>
            <w:shd w:val="clear" w:color="auto" w:fill="auto"/>
            <w:vAlign w:val="center"/>
          </w:tcPr>
          <w:p w14:paraId="229245F9" w14:textId="77777777" w:rsidR="00DC5BE9" w:rsidRPr="003E2D55" w:rsidRDefault="00DC5BE9" w:rsidP="003E2D55">
            <w:pPr>
              <w:spacing w:before="40" w:after="40"/>
              <w:rPr>
                <w:rFonts w:cs="Arial"/>
                <w:sz w:val="18"/>
                <w:szCs w:val="18"/>
              </w:rPr>
            </w:pPr>
          </w:p>
        </w:tc>
        <w:tc>
          <w:tcPr>
            <w:tcW w:w="102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60931CB9" w14:textId="14A90C61" w:rsidR="00DC5BE9" w:rsidRPr="003E2D55" w:rsidRDefault="00DC5BE9" w:rsidP="003E2D55">
            <w:pPr>
              <w:spacing w:before="40" w:after="40"/>
              <w:jc w:val="center"/>
              <w:rPr>
                <w:rFonts w:cs="Arial"/>
                <w:sz w:val="18"/>
                <w:szCs w:val="18"/>
              </w:rPr>
            </w:pPr>
            <w:r w:rsidRPr="003E2D55">
              <w:rPr>
                <w:rFonts w:cs="Arial"/>
                <w:sz w:val="18"/>
                <w:szCs w:val="18"/>
              </w:rPr>
              <w:t> </w:t>
            </w:r>
          </w:p>
        </w:tc>
        <w:tc>
          <w:tcPr>
            <w:tcW w:w="907" w:type="dxa"/>
            <w:tcBorders>
              <w:top w:val="single" w:sz="8" w:space="0" w:color="5F497A" w:themeColor="accent4" w:themeShade="BF"/>
              <w:left w:val="nil"/>
              <w:bottom w:val="nil"/>
              <w:right w:val="nil"/>
            </w:tcBorders>
            <w:shd w:val="clear" w:color="auto" w:fill="auto"/>
            <w:vAlign w:val="bottom"/>
          </w:tcPr>
          <w:p w14:paraId="06C1D90D" w14:textId="77777777" w:rsidR="00DC5BE9" w:rsidRPr="003E2D55" w:rsidRDefault="00DC5BE9" w:rsidP="003E2D55">
            <w:pPr>
              <w:spacing w:before="40" w:after="40"/>
              <w:jc w:val="center"/>
              <w:rPr>
                <w:rFonts w:cs="Arial"/>
                <w:sz w:val="18"/>
                <w:szCs w:val="18"/>
              </w:rPr>
            </w:pPr>
          </w:p>
        </w:tc>
        <w:tc>
          <w:tcPr>
            <w:tcW w:w="907" w:type="dxa"/>
            <w:tcBorders>
              <w:top w:val="single" w:sz="8" w:space="0" w:color="5F497A" w:themeColor="accent4" w:themeShade="BF"/>
              <w:left w:val="nil"/>
              <w:bottom w:val="nil"/>
              <w:right w:val="nil"/>
            </w:tcBorders>
            <w:vAlign w:val="bottom"/>
          </w:tcPr>
          <w:p w14:paraId="55B07427" w14:textId="77777777" w:rsidR="00DC5BE9" w:rsidRPr="003E2D55" w:rsidRDefault="00DC5BE9" w:rsidP="003E2D55">
            <w:pPr>
              <w:spacing w:before="40" w:after="4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6D64F15A" w14:textId="58A11A38" w:rsidR="00DC5BE9" w:rsidRPr="003E2D55" w:rsidRDefault="00DC5BE9" w:rsidP="003E2D55">
            <w:pPr>
              <w:spacing w:before="40" w:after="40"/>
              <w:jc w:val="center"/>
              <w:rPr>
                <w:rFonts w:cs="Arial"/>
                <w:sz w:val="18"/>
                <w:szCs w:val="18"/>
              </w:rPr>
            </w:pPr>
          </w:p>
        </w:tc>
        <w:tc>
          <w:tcPr>
            <w:tcW w:w="907" w:type="dxa"/>
            <w:tcBorders>
              <w:top w:val="single" w:sz="8" w:space="0" w:color="5F497A" w:themeColor="accent4" w:themeShade="BF"/>
              <w:left w:val="nil"/>
              <w:bottom w:val="nil"/>
              <w:right w:val="nil"/>
            </w:tcBorders>
            <w:vAlign w:val="bottom"/>
          </w:tcPr>
          <w:p w14:paraId="548C0D32" w14:textId="77777777" w:rsidR="00DC5BE9" w:rsidRPr="003E2D55" w:rsidRDefault="00DC5BE9" w:rsidP="003E2D55">
            <w:pPr>
              <w:spacing w:before="40" w:after="40"/>
              <w:jc w:val="center"/>
              <w:rPr>
                <w:rFonts w:cs="Arial"/>
                <w:sz w:val="18"/>
                <w:szCs w:val="18"/>
              </w:rPr>
            </w:pPr>
          </w:p>
        </w:tc>
        <w:tc>
          <w:tcPr>
            <w:tcW w:w="907" w:type="dxa"/>
            <w:tcBorders>
              <w:top w:val="single" w:sz="8" w:space="0" w:color="5F497A" w:themeColor="accent4" w:themeShade="BF"/>
              <w:left w:val="nil"/>
              <w:bottom w:val="nil"/>
              <w:right w:val="nil"/>
            </w:tcBorders>
            <w:shd w:val="clear" w:color="auto" w:fill="auto"/>
            <w:vAlign w:val="bottom"/>
          </w:tcPr>
          <w:p w14:paraId="1BE3089D" w14:textId="108DBC1A" w:rsidR="00DC5BE9" w:rsidRPr="003E2D55" w:rsidRDefault="00DC5BE9" w:rsidP="003E2D55">
            <w:pPr>
              <w:spacing w:before="40" w:after="40"/>
              <w:jc w:val="center"/>
              <w:rPr>
                <w:rFonts w:cs="Arial"/>
                <w:sz w:val="18"/>
                <w:szCs w:val="18"/>
              </w:rPr>
            </w:pPr>
            <w:r w:rsidRPr="003E2D55">
              <w:rPr>
                <w:rFonts w:cs="Arial"/>
                <w:sz w:val="18"/>
                <w:szCs w:val="18"/>
              </w:rPr>
              <w:t> </w:t>
            </w:r>
          </w:p>
        </w:tc>
        <w:tc>
          <w:tcPr>
            <w:tcW w:w="1021" w:type="dxa"/>
            <w:tcBorders>
              <w:top w:val="single" w:sz="8" w:space="0" w:color="5F497A" w:themeColor="accent4" w:themeShade="BF"/>
              <w:left w:val="nil"/>
              <w:bottom w:val="nil"/>
              <w:right w:val="nil"/>
            </w:tcBorders>
            <w:shd w:val="clear" w:color="auto" w:fill="auto"/>
            <w:vAlign w:val="bottom"/>
          </w:tcPr>
          <w:p w14:paraId="6FCE3384" w14:textId="2875F5A2" w:rsidR="00DC5BE9" w:rsidRPr="003E2D55" w:rsidRDefault="00DC5BE9" w:rsidP="003E2D55">
            <w:pPr>
              <w:spacing w:before="40" w:after="40"/>
              <w:jc w:val="center"/>
              <w:rPr>
                <w:rFonts w:cs="Arial"/>
                <w:sz w:val="18"/>
                <w:szCs w:val="18"/>
              </w:rPr>
            </w:pPr>
            <w:r w:rsidRPr="003E2D55">
              <w:rPr>
                <w:rFonts w:cs="Arial"/>
                <w:sz w:val="18"/>
                <w:szCs w:val="18"/>
              </w:rPr>
              <w:t> </w:t>
            </w:r>
          </w:p>
        </w:tc>
        <w:tc>
          <w:tcPr>
            <w:tcW w:w="1021" w:type="dxa"/>
            <w:tcBorders>
              <w:top w:val="single" w:sz="8" w:space="0" w:color="5F497A" w:themeColor="accent4" w:themeShade="BF"/>
              <w:left w:val="nil"/>
              <w:bottom w:val="nil"/>
              <w:right w:val="nil"/>
            </w:tcBorders>
            <w:shd w:val="clear" w:color="auto" w:fill="auto"/>
            <w:vAlign w:val="bottom"/>
          </w:tcPr>
          <w:p w14:paraId="549B4FE7" w14:textId="505D0691" w:rsidR="00DC5BE9" w:rsidRPr="003E2D55" w:rsidRDefault="00DC5BE9" w:rsidP="003E2D55">
            <w:pPr>
              <w:spacing w:before="40" w:after="40"/>
              <w:jc w:val="center"/>
              <w:rPr>
                <w:rFonts w:cs="Arial"/>
                <w:sz w:val="18"/>
                <w:szCs w:val="18"/>
              </w:rPr>
            </w:pPr>
            <w:r w:rsidRPr="003E2D55">
              <w:rPr>
                <w:rFonts w:cs="Arial"/>
                <w:sz w:val="18"/>
                <w:szCs w:val="18"/>
              </w:rPr>
              <w:t> </w:t>
            </w:r>
          </w:p>
        </w:tc>
      </w:tr>
      <w:tr w:rsidR="00DC5BE9" w:rsidRPr="003E2D55" w14:paraId="1A3AD038"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12D13E0F" w14:textId="77777777" w:rsidR="00DC5BE9" w:rsidRPr="003E2D55" w:rsidRDefault="00DC5BE9" w:rsidP="003E2D55">
            <w:pPr>
              <w:spacing w:before="40" w:after="40"/>
              <w:rPr>
                <w:rFonts w:cs="Arial"/>
                <w:sz w:val="18"/>
                <w:szCs w:val="18"/>
              </w:rPr>
            </w:pPr>
            <w:r w:rsidRPr="003E2D55">
              <w:rPr>
                <w:rFonts w:cs="Arial"/>
                <w:sz w:val="18"/>
                <w:szCs w:val="18"/>
              </w:rPr>
              <w:t>Alpine S</w:t>
            </w:r>
          </w:p>
        </w:tc>
        <w:tc>
          <w:tcPr>
            <w:tcW w:w="1021" w:type="dxa"/>
            <w:tcBorders>
              <w:top w:val="nil"/>
              <w:left w:val="single" w:sz="18" w:space="0" w:color="5F497A" w:themeColor="accent4" w:themeShade="BF"/>
              <w:bottom w:val="nil"/>
              <w:right w:val="nil"/>
            </w:tcBorders>
            <w:shd w:val="clear" w:color="auto" w:fill="auto"/>
            <w:vAlign w:val="bottom"/>
          </w:tcPr>
          <w:p w14:paraId="0046934E" w14:textId="7D6E0967" w:rsidR="00DC5BE9" w:rsidRPr="003E2D55" w:rsidRDefault="00DC5BE9" w:rsidP="003E2D55">
            <w:pPr>
              <w:spacing w:before="40" w:after="40"/>
              <w:jc w:val="center"/>
              <w:rPr>
                <w:rFonts w:cs="Arial"/>
                <w:sz w:val="18"/>
                <w:szCs w:val="18"/>
              </w:rPr>
            </w:pPr>
            <w:r w:rsidRPr="003E2D55">
              <w:rPr>
                <w:rFonts w:cs="Arial"/>
                <w:sz w:val="18"/>
                <w:szCs w:val="18"/>
              </w:rPr>
              <w:t>1.01</w:t>
            </w:r>
          </w:p>
        </w:tc>
        <w:tc>
          <w:tcPr>
            <w:tcW w:w="907" w:type="dxa"/>
            <w:tcBorders>
              <w:top w:val="nil"/>
              <w:left w:val="nil"/>
              <w:bottom w:val="nil"/>
              <w:right w:val="nil"/>
            </w:tcBorders>
            <w:shd w:val="clear" w:color="auto" w:fill="auto"/>
            <w:vAlign w:val="bottom"/>
          </w:tcPr>
          <w:p w14:paraId="2E8DC040" w14:textId="1AF49569" w:rsidR="00DC5BE9" w:rsidRPr="003E2D55" w:rsidRDefault="00DC5BE9" w:rsidP="003E2D55">
            <w:pPr>
              <w:spacing w:before="40" w:after="40"/>
              <w:jc w:val="center"/>
              <w:rPr>
                <w:rFonts w:cs="Arial"/>
                <w:sz w:val="18"/>
                <w:szCs w:val="18"/>
              </w:rPr>
            </w:pPr>
            <w:r w:rsidRPr="003E2D55">
              <w:rPr>
                <w:rFonts w:cs="Arial"/>
                <w:sz w:val="18"/>
                <w:szCs w:val="18"/>
              </w:rPr>
              <w:t>1.10</w:t>
            </w:r>
          </w:p>
        </w:tc>
        <w:tc>
          <w:tcPr>
            <w:tcW w:w="907" w:type="dxa"/>
            <w:tcBorders>
              <w:top w:val="nil"/>
              <w:left w:val="nil"/>
              <w:bottom w:val="nil"/>
              <w:right w:val="nil"/>
            </w:tcBorders>
            <w:vAlign w:val="bottom"/>
          </w:tcPr>
          <w:p w14:paraId="0F151179" w14:textId="144A9D72" w:rsidR="00DC5BE9" w:rsidRPr="003E2D55" w:rsidRDefault="00DC5BE9" w:rsidP="003E2D55">
            <w:pPr>
              <w:spacing w:before="40" w:after="40"/>
              <w:jc w:val="center"/>
              <w:rPr>
                <w:rFonts w:cs="Arial"/>
                <w:sz w:val="18"/>
                <w:szCs w:val="18"/>
              </w:rPr>
            </w:pPr>
            <w:r w:rsidRPr="003E2D55">
              <w:rPr>
                <w:rFonts w:cs="Arial"/>
                <w:sz w:val="18"/>
                <w:szCs w:val="18"/>
              </w:rPr>
              <w:t>1.25</w:t>
            </w:r>
          </w:p>
        </w:tc>
        <w:tc>
          <w:tcPr>
            <w:tcW w:w="170" w:type="dxa"/>
            <w:tcBorders>
              <w:top w:val="nil"/>
              <w:left w:val="nil"/>
              <w:bottom w:val="nil"/>
              <w:right w:val="nil"/>
            </w:tcBorders>
            <w:vAlign w:val="bottom"/>
          </w:tcPr>
          <w:p w14:paraId="364C15FD" w14:textId="7B8C9ED6"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1FF46C3F" w14:textId="5950F16D" w:rsidR="00DC5BE9" w:rsidRPr="003E2D55" w:rsidRDefault="00DC5BE9" w:rsidP="003E2D55">
            <w:pPr>
              <w:spacing w:before="40" w:after="40"/>
              <w:jc w:val="center"/>
              <w:rPr>
                <w:rFonts w:cs="Arial"/>
                <w:sz w:val="18"/>
                <w:szCs w:val="18"/>
              </w:rPr>
            </w:pPr>
            <w:r w:rsidRPr="003E2D55">
              <w:rPr>
                <w:rFonts w:cs="Arial"/>
                <w:sz w:val="18"/>
                <w:szCs w:val="18"/>
              </w:rPr>
              <w:t>0.95</w:t>
            </w:r>
          </w:p>
        </w:tc>
        <w:tc>
          <w:tcPr>
            <w:tcW w:w="907" w:type="dxa"/>
            <w:tcBorders>
              <w:top w:val="nil"/>
              <w:left w:val="nil"/>
              <w:bottom w:val="nil"/>
              <w:right w:val="nil"/>
            </w:tcBorders>
            <w:shd w:val="clear" w:color="auto" w:fill="auto"/>
            <w:vAlign w:val="bottom"/>
          </w:tcPr>
          <w:p w14:paraId="7EE95E7C" w14:textId="7C1A7B9F" w:rsidR="00DC5BE9" w:rsidRPr="003E2D55" w:rsidRDefault="00DC5BE9" w:rsidP="003E2D55">
            <w:pPr>
              <w:spacing w:before="40" w:after="4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59DAC4B0" w14:textId="31E86A9E" w:rsidR="00DC5BE9" w:rsidRPr="003E2D55" w:rsidRDefault="00DC5BE9" w:rsidP="003E2D55">
            <w:pPr>
              <w:spacing w:before="40" w:after="40"/>
              <w:jc w:val="center"/>
              <w:rPr>
                <w:rFonts w:cs="Arial"/>
                <w:sz w:val="18"/>
                <w:szCs w:val="18"/>
              </w:rPr>
            </w:pPr>
            <w:r w:rsidRPr="003E2D55">
              <w:rPr>
                <w:rFonts w:cs="Arial"/>
                <w:sz w:val="18"/>
                <w:szCs w:val="18"/>
              </w:rPr>
              <w:t>1.02</w:t>
            </w:r>
          </w:p>
        </w:tc>
        <w:tc>
          <w:tcPr>
            <w:tcW w:w="1021" w:type="dxa"/>
            <w:tcBorders>
              <w:top w:val="nil"/>
              <w:left w:val="nil"/>
              <w:bottom w:val="nil"/>
              <w:right w:val="nil"/>
            </w:tcBorders>
            <w:shd w:val="clear" w:color="auto" w:fill="auto"/>
            <w:vAlign w:val="bottom"/>
          </w:tcPr>
          <w:p w14:paraId="38B887B4" w14:textId="3C4F09C3" w:rsidR="00DC5BE9" w:rsidRPr="003E2D55" w:rsidRDefault="00DC5BE9" w:rsidP="003E2D55">
            <w:pPr>
              <w:spacing w:before="40" w:after="40"/>
              <w:jc w:val="center"/>
              <w:rPr>
                <w:rFonts w:cs="Arial"/>
                <w:sz w:val="18"/>
                <w:szCs w:val="18"/>
              </w:rPr>
            </w:pPr>
            <w:r w:rsidRPr="003E2D55">
              <w:rPr>
                <w:rFonts w:cs="Arial"/>
                <w:sz w:val="18"/>
                <w:szCs w:val="18"/>
              </w:rPr>
              <w:t>20.5</w:t>
            </w:r>
          </w:p>
        </w:tc>
      </w:tr>
      <w:tr w:rsidR="00DC5BE9" w:rsidRPr="003E2D55" w14:paraId="7D406DE2"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5D52C74A" w14:textId="77777777" w:rsidR="00DC5BE9" w:rsidRPr="003E2D55" w:rsidRDefault="00DC5BE9" w:rsidP="003E2D55">
            <w:pPr>
              <w:spacing w:before="40" w:after="40"/>
              <w:rPr>
                <w:rFonts w:cs="Arial"/>
                <w:sz w:val="18"/>
                <w:szCs w:val="18"/>
              </w:rPr>
            </w:pPr>
            <w:r w:rsidRPr="003E2D55">
              <w:rPr>
                <w:rFonts w:cs="Arial"/>
                <w:sz w:val="18"/>
                <w:szCs w:val="18"/>
              </w:rPr>
              <w:t>Ararat RC</w:t>
            </w:r>
          </w:p>
        </w:tc>
        <w:tc>
          <w:tcPr>
            <w:tcW w:w="1021" w:type="dxa"/>
            <w:tcBorders>
              <w:top w:val="nil"/>
              <w:left w:val="single" w:sz="18" w:space="0" w:color="5F497A" w:themeColor="accent4" w:themeShade="BF"/>
              <w:bottom w:val="nil"/>
              <w:right w:val="nil"/>
            </w:tcBorders>
            <w:shd w:val="clear" w:color="auto" w:fill="auto"/>
            <w:vAlign w:val="bottom"/>
          </w:tcPr>
          <w:p w14:paraId="4BB43EA5" w14:textId="0AE23A67" w:rsidR="00DC5BE9" w:rsidRPr="003E2D55" w:rsidRDefault="00DC5BE9" w:rsidP="003E2D55">
            <w:pPr>
              <w:spacing w:before="40" w:after="40"/>
              <w:jc w:val="center"/>
              <w:rPr>
                <w:rFonts w:cs="Arial"/>
                <w:sz w:val="18"/>
                <w:szCs w:val="18"/>
              </w:rPr>
            </w:pPr>
            <w:r w:rsidRPr="003E2D55">
              <w:rPr>
                <w:rFonts w:cs="Arial"/>
                <w:sz w:val="18"/>
                <w:szCs w:val="18"/>
              </w:rPr>
              <w:t>1.02</w:t>
            </w:r>
          </w:p>
        </w:tc>
        <w:tc>
          <w:tcPr>
            <w:tcW w:w="907" w:type="dxa"/>
            <w:tcBorders>
              <w:top w:val="nil"/>
              <w:left w:val="nil"/>
              <w:bottom w:val="nil"/>
              <w:right w:val="nil"/>
            </w:tcBorders>
            <w:shd w:val="clear" w:color="auto" w:fill="auto"/>
            <w:vAlign w:val="bottom"/>
          </w:tcPr>
          <w:p w14:paraId="5CD414D5" w14:textId="75E6CDD1" w:rsidR="00DC5BE9" w:rsidRPr="003E2D55" w:rsidRDefault="00DC5BE9" w:rsidP="003E2D55">
            <w:pPr>
              <w:spacing w:before="40" w:after="40"/>
              <w:jc w:val="center"/>
              <w:rPr>
                <w:rFonts w:cs="Arial"/>
                <w:sz w:val="18"/>
                <w:szCs w:val="18"/>
              </w:rPr>
            </w:pPr>
            <w:r w:rsidRPr="003E2D55">
              <w:rPr>
                <w:rFonts w:cs="Arial"/>
                <w:sz w:val="18"/>
                <w:szCs w:val="18"/>
              </w:rPr>
              <w:t>0.98</w:t>
            </w:r>
          </w:p>
        </w:tc>
        <w:tc>
          <w:tcPr>
            <w:tcW w:w="907" w:type="dxa"/>
            <w:tcBorders>
              <w:top w:val="nil"/>
              <w:left w:val="nil"/>
              <w:bottom w:val="nil"/>
              <w:right w:val="nil"/>
            </w:tcBorders>
            <w:vAlign w:val="bottom"/>
          </w:tcPr>
          <w:p w14:paraId="4F3027DD" w14:textId="7659901E" w:rsidR="00DC5BE9" w:rsidRPr="003E2D55" w:rsidRDefault="00DC5BE9" w:rsidP="003E2D55">
            <w:pPr>
              <w:spacing w:before="40" w:after="40"/>
              <w:jc w:val="center"/>
              <w:rPr>
                <w:rFonts w:cs="Arial"/>
                <w:sz w:val="18"/>
                <w:szCs w:val="18"/>
              </w:rPr>
            </w:pPr>
            <w:r w:rsidRPr="003E2D55">
              <w:rPr>
                <w:rFonts w:cs="Arial"/>
                <w:sz w:val="18"/>
                <w:szCs w:val="18"/>
              </w:rPr>
              <w:t>0.88</w:t>
            </w:r>
          </w:p>
        </w:tc>
        <w:tc>
          <w:tcPr>
            <w:tcW w:w="170" w:type="dxa"/>
            <w:tcBorders>
              <w:top w:val="nil"/>
              <w:left w:val="nil"/>
              <w:bottom w:val="nil"/>
              <w:right w:val="nil"/>
            </w:tcBorders>
            <w:vAlign w:val="bottom"/>
          </w:tcPr>
          <w:p w14:paraId="05762620" w14:textId="5CB67FBC"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20A14F20" w14:textId="2324BC01" w:rsidR="00DC5BE9" w:rsidRPr="003E2D55" w:rsidRDefault="00DC5BE9" w:rsidP="003E2D55">
            <w:pPr>
              <w:spacing w:before="40" w:after="40"/>
              <w:jc w:val="center"/>
              <w:rPr>
                <w:rFonts w:cs="Arial"/>
                <w:sz w:val="18"/>
                <w:szCs w:val="18"/>
              </w:rPr>
            </w:pPr>
            <w:r w:rsidRPr="003E2D55">
              <w:rPr>
                <w:rFonts w:cs="Arial"/>
                <w:sz w:val="18"/>
                <w:szCs w:val="18"/>
              </w:rPr>
              <w:t>1.00</w:t>
            </w:r>
          </w:p>
        </w:tc>
        <w:tc>
          <w:tcPr>
            <w:tcW w:w="907" w:type="dxa"/>
            <w:tcBorders>
              <w:top w:val="nil"/>
              <w:left w:val="nil"/>
              <w:bottom w:val="nil"/>
              <w:right w:val="nil"/>
            </w:tcBorders>
            <w:shd w:val="clear" w:color="auto" w:fill="auto"/>
            <w:vAlign w:val="bottom"/>
          </w:tcPr>
          <w:p w14:paraId="67654CA0" w14:textId="56184815" w:rsidR="00DC5BE9" w:rsidRPr="003E2D55" w:rsidRDefault="00DC5BE9" w:rsidP="003E2D55">
            <w:pPr>
              <w:spacing w:before="40" w:after="40"/>
              <w:jc w:val="center"/>
              <w:rPr>
                <w:rFonts w:cs="Arial"/>
                <w:sz w:val="18"/>
                <w:szCs w:val="18"/>
              </w:rPr>
            </w:pPr>
            <w:r w:rsidRPr="003E2D55">
              <w:rPr>
                <w:rFonts w:cs="Arial"/>
                <w:sz w:val="18"/>
                <w:szCs w:val="18"/>
              </w:rPr>
              <w:t>1.02</w:t>
            </w:r>
          </w:p>
        </w:tc>
        <w:tc>
          <w:tcPr>
            <w:tcW w:w="1021" w:type="dxa"/>
            <w:tcBorders>
              <w:top w:val="nil"/>
              <w:left w:val="nil"/>
              <w:bottom w:val="nil"/>
              <w:right w:val="nil"/>
            </w:tcBorders>
            <w:shd w:val="clear" w:color="auto" w:fill="auto"/>
            <w:vAlign w:val="bottom"/>
          </w:tcPr>
          <w:p w14:paraId="34397356" w14:textId="0D4EC04A"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1B0A8296" w14:textId="21337CE0" w:rsidR="00DC5BE9" w:rsidRPr="003E2D55" w:rsidRDefault="00DC5BE9" w:rsidP="003E2D55">
            <w:pPr>
              <w:spacing w:before="40" w:after="40"/>
              <w:jc w:val="center"/>
              <w:rPr>
                <w:rFonts w:cs="Arial"/>
                <w:sz w:val="18"/>
                <w:szCs w:val="18"/>
              </w:rPr>
            </w:pPr>
            <w:r w:rsidRPr="003E2D55">
              <w:rPr>
                <w:rFonts w:cs="Arial"/>
                <w:sz w:val="18"/>
                <w:szCs w:val="18"/>
              </w:rPr>
              <w:t>23.7</w:t>
            </w:r>
          </w:p>
        </w:tc>
      </w:tr>
      <w:tr w:rsidR="00DC5BE9" w:rsidRPr="003E2D55" w14:paraId="4CFF43D0"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2BC47C8D" w14:textId="77777777" w:rsidR="00DC5BE9" w:rsidRPr="003E2D55" w:rsidRDefault="00DC5BE9" w:rsidP="003E2D55">
            <w:pPr>
              <w:spacing w:before="40" w:after="40"/>
              <w:rPr>
                <w:rFonts w:cs="Arial"/>
                <w:sz w:val="18"/>
                <w:szCs w:val="18"/>
              </w:rPr>
            </w:pPr>
            <w:r w:rsidRPr="003E2D55">
              <w:rPr>
                <w:rFonts w:cs="Arial"/>
                <w:sz w:val="18"/>
                <w:szCs w:val="18"/>
              </w:rPr>
              <w:t>Ballarat C</w:t>
            </w:r>
          </w:p>
        </w:tc>
        <w:tc>
          <w:tcPr>
            <w:tcW w:w="1021" w:type="dxa"/>
            <w:tcBorders>
              <w:top w:val="nil"/>
              <w:left w:val="single" w:sz="18" w:space="0" w:color="5F497A" w:themeColor="accent4" w:themeShade="BF"/>
              <w:bottom w:val="nil"/>
              <w:right w:val="nil"/>
            </w:tcBorders>
            <w:shd w:val="clear" w:color="auto" w:fill="auto"/>
            <w:vAlign w:val="bottom"/>
          </w:tcPr>
          <w:p w14:paraId="2BEAF408" w14:textId="0221EA11" w:rsidR="00DC5BE9" w:rsidRPr="003E2D55" w:rsidRDefault="00DC5BE9" w:rsidP="003E2D55">
            <w:pPr>
              <w:spacing w:before="40" w:after="40"/>
              <w:jc w:val="center"/>
              <w:rPr>
                <w:rFonts w:cs="Arial"/>
                <w:sz w:val="18"/>
                <w:szCs w:val="18"/>
              </w:rPr>
            </w:pPr>
            <w:r w:rsidRPr="003E2D55">
              <w:rPr>
                <w:rFonts w:cs="Arial"/>
                <w:sz w:val="18"/>
                <w:szCs w:val="18"/>
              </w:rPr>
              <w:t>0.99</w:t>
            </w:r>
          </w:p>
        </w:tc>
        <w:tc>
          <w:tcPr>
            <w:tcW w:w="907" w:type="dxa"/>
            <w:tcBorders>
              <w:top w:val="nil"/>
              <w:left w:val="nil"/>
              <w:bottom w:val="nil"/>
              <w:right w:val="nil"/>
            </w:tcBorders>
            <w:shd w:val="clear" w:color="auto" w:fill="auto"/>
            <w:vAlign w:val="bottom"/>
          </w:tcPr>
          <w:p w14:paraId="6FA0A355" w14:textId="7CAC3506" w:rsidR="00DC5BE9" w:rsidRPr="003E2D55" w:rsidRDefault="00DC5BE9" w:rsidP="003E2D55">
            <w:pPr>
              <w:spacing w:before="40" w:after="40"/>
              <w:jc w:val="center"/>
              <w:rPr>
                <w:rFonts w:cs="Arial"/>
                <w:sz w:val="18"/>
                <w:szCs w:val="18"/>
              </w:rPr>
            </w:pPr>
            <w:r w:rsidRPr="003E2D55">
              <w:rPr>
                <w:rFonts w:cs="Arial"/>
                <w:sz w:val="18"/>
                <w:szCs w:val="18"/>
              </w:rPr>
              <w:t>1.01</w:t>
            </w:r>
          </w:p>
        </w:tc>
        <w:tc>
          <w:tcPr>
            <w:tcW w:w="907" w:type="dxa"/>
            <w:tcBorders>
              <w:top w:val="nil"/>
              <w:left w:val="nil"/>
              <w:bottom w:val="nil"/>
              <w:right w:val="nil"/>
            </w:tcBorders>
            <w:vAlign w:val="bottom"/>
          </w:tcPr>
          <w:p w14:paraId="00A6D836" w14:textId="1018B28F" w:rsidR="00DC5BE9" w:rsidRPr="003E2D55" w:rsidRDefault="00DC5BE9" w:rsidP="003E2D55">
            <w:pPr>
              <w:spacing w:before="40" w:after="40"/>
              <w:jc w:val="center"/>
              <w:rPr>
                <w:rFonts w:cs="Arial"/>
                <w:sz w:val="18"/>
                <w:szCs w:val="18"/>
              </w:rPr>
            </w:pPr>
            <w:r w:rsidRPr="003E2D55">
              <w:rPr>
                <w:rFonts w:cs="Arial"/>
                <w:sz w:val="18"/>
                <w:szCs w:val="18"/>
              </w:rPr>
              <w:t>0.93</w:t>
            </w:r>
          </w:p>
        </w:tc>
        <w:tc>
          <w:tcPr>
            <w:tcW w:w="170" w:type="dxa"/>
            <w:tcBorders>
              <w:top w:val="nil"/>
              <w:left w:val="nil"/>
              <w:bottom w:val="nil"/>
              <w:right w:val="nil"/>
            </w:tcBorders>
            <w:vAlign w:val="bottom"/>
          </w:tcPr>
          <w:p w14:paraId="1BC14B7D" w14:textId="604F4336"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6179B2E8" w14:textId="7193A6C9" w:rsidR="00DC5BE9" w:rsidRPr="003E2D55" w:rsidRDefault="00DC5BE9" w:rsidP="003E2D55">
            <w:pPr>
              <w:spacing w:before="40" w:after="40"/>
              <w:jc w:val="center"/>
              <w:rPr>
                <w:rFonts w:cs="Arial"/>
                <w:sz w:val="18"/>
                <w:szCs w:val="18"/>
              </w:rPr>
            </w:pPr>
            <w:r w:rsidRPr="003E2D55">
              <w:rPr>
                <w:rFonts w:cs="Arial"/>
                <w:sz w:val="18"/>
                <w:szCs w:val="18"/>
              </w:rPr>
              <w:t>1.00</w:t>
            </w:r>
          </w:p>
        </w:tc>
        <w:tc>
          <w:tcPr>
            <w:tcW w:w="907" w:type="dxa"/>
            <w:tcBorders>
              <w:top w:val="nil"/>
              <w:left w:val="nil"/>
              <w:bottom w:val="nil"/>
              <w:right w:val="nil"/>
            </w:tcBorders>
            <w:shd w:val="clear" w:color="auto" w:fill="auto"/>
            <w:vAlign w:val="bottom"/>
          </w:tcPr>
          <w:p w14:paraId="14D151FA" w14:textId="687BD963" w:rsidR="00DC5BE9" w:rsidRPr="003E2D55" w:rsidRDefault="00DC5BE9" w:rsidP="003E2D55">
            <w:pPr>
              <w:spacing w:before="40" w:after="40"/>
              <w:jc w:val="center"/>
              <w:rPr>
                <w:rFonts w:cs="Arial"/>
                <w:sz w:val="18"/>
                <w:szCs w:val="18"/>
              </w:rPr>
            </w:pPr>
            <w:r w:rsidRPr="003E2D55">
              <w:rPr>
                <w:rFonts w:cs="Arial"/>
                <w:sz w:val="18"/>
                <w:szCs w:val="18"/>
              </w:rPr>
              <w:t>1.01</w:t>
            </w:r>
          </w:p>
        </w:tc>
        <w:tc>
          <w:tcPr>
            <w:tcW w:w="1021" w:type="dxa"/>
            <w:tcBorders>
              <w:top w:val="nil"/>
              <w:left w:val="nil"/>
              <w:bottom w:val="nil"/>
              <w:right w:val="nil"/>
            </w:tcBorders>
            <w:shd w:val="clear" w:color="auto" w:fill="auto"/>
            <w:vAlign w:val="bottom"/>
          </w:tcPr>
          <w:p w14:paraId="3D429DF7" w14:textId="717B2F6D"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3FB2E4C6" w14:textId="1DD754DF" w:rsidR="00DC5BE9" w:rsidRPr="003E2D55" w:rsidRDefault="00DC5BE9" w:rsidP="003E2D55">
            <w:pPr>
              <w:spacing w:before="40" w:after="40"/>
              <w:jc w:val="center"/>
              <w:rPr>
                <w:rFonts w:cs="Arial"/>
                <w:sz w:val="18"/>
                <w:szCs w:val="18"/>
              </w:rPr>
            </w:pPr>
            <w:r w:rsidRPr="003E2D55">
              <w:rPr>
                <w:rFonts w:cs="Arial"/>
                <w:sz w:val="18"/>
                <w:szCs w:val="18"/>
              </w:rPr>
              <w:t>22.4</w:t>
            </w:r>
          </w:p>
        </w:tc>
      </w:tr>
      <w:tr w:rsidR="00DC5BE9" w:rsidRPr="003E2D55" w14:paraId="10DD087F"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77D97221" w14:textId="77777777" w:rsidR="00DC5BE9" w:rsidRPr="003E2D55" w:rsidRDefault="00DC5BE9" w:rsidP="003E2D55">
            <w:pPr>
              <w:spacing w:before="40" w:after="40"/>
              <w:rPr>
                <w:rFonts w:cs="Arial"/>
                <w:sz w:val="18"/>
                <w:szCs w:val="18"/>
              </w:rPr>
            </w:pPr>
            <w:r w:rsidRPr="003E2D55">
              <w:rPr>
                <w:rFonts w:cs="Arial"/>
                <w:sz w:val="18"/>
                <w:szCs w:val="18"/>
              </w:rPr>
              <w:t>Banyule C</w:t>
            </w:r>
          </w:p>
        </w:tc>
        <w:tc>
          <w:tcPr>
            <w:tcW w:w="1021" w:type="dxa"/>
            <w:tcBorders>
              <w:top w:val="nil"/>
              <w:left w:val="single" w:sz="18" w:space="0" w:color="5F497A" w:themeColor="accent4" w:themeShade="BF"/>
              <w:bottom w:val="nil"/>
              <w:right w:val="nil"/>
            </w:tcBorders>
            <w:shd w:val="clear" w:color="auto" w:fill="auto"/>
            <w:vAlign w:val="bottom"/>
          </w:tcPr>
          <w:p w14:paraId="6BFC4795" w14:textId="3619D08B"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907" w:type="dxa"/>
            <w:tcBorders>
              <w:top w:val="nil"/>
              <w:left w:val="nil"/>
              <w:bottom w:val="nil"/>
              <w:right w:val="nil"/>
            </w:tcBorders>
            <w:shd w:val="clear" w:color="auto" w:fill="auto"/>
            <w:vAlign w:val="bottom"/>
          </w:tcPr>
          <w:p w14:paraId="48531909" w14:textId="2EA7FECC" w:rsidR="00DC5BE9" w:rsidRPr="003E2D55" w:rsidRDefault="00DC5BE9" w:rsidP="003E2D55">
            <w:pPr>
              <w:spacing w:before="40" w:after="40"/>
              <w:jc w:val="center"/>
              <w:rPr>
                <w:rFonts w:cs="Arial"/>
                <w:sz w:val="18"/>
                <w:szCs w:val="18"/>
              </w:rPr>
            </w:pPr>
            <w:r w:rsidRPr="003E2D55">
              <w:rPr>
                <w:rFonts w:cs="Arial"/>
                <w:sz w:val="18"/>
                <w:szCs w:val="18"/>
              </w:rPr>
              <w:t>1.02</w:t>
            </w:r>
          </w:p>
        </w:tc>
        <w:tc>
          <w:tcPr>
            <w:tcW w:w="907" w:type="dxa"/>
            <w:tcBorders>
              <w:top w:val="nil"/>
              <w:left w:val="nil"/>
              <w:bottom w:val="nil"/>
              <w:right w:val="nil"/>
            </w:tcBorders>
            <w:vAlign w:val="bottom"/>
          </w:tcPr>
          <w:p w14:paraId="36F45C7D" w14:textId="11BC3D33" w:rsidR="00DC5BE9" w:rsidRPr="003E2D55" w:rsidRDefault="00DC5BE9" w:rsidP="003E2D55">
            <w:pPr>
              <w:spacing w:before="40" w:after="40"/>
              <w:jc w:val="center"/>
              <w:rPr>
                <w:rFonts w:cs="Arial"/>
                <w:sz w:val="18"/>
                <w:szCs w:val="18"/>
              </w:rPr>
            </w:pPr>
            <w:r w:rsidRPr="003E2D55">
              <w:rPr>
                <w:rFonts w:cs="Arial"/>
                <w:sz w:val="18"/>
                <w:szCs w:val="18"/>
              </w:rPr>
              <w:t>0.98</w:t>
            </w:r>
          </w:p>
        </w:tc>
        <w:tc>
          <w:tcPr>
            <w:tcW w:w="170" w:type="dxa"/>
            <w:tcBorders>
              <w:top w:val="nil"/>
              <w:left w:val="nil"/>
              <w:bottom w:val="nil"/>
              <w:right w:val="nil"/>
            </w:tcBorders>
            <w:vAlign w:val="bottom"/>
          </w:tcPr>
          <w:p w14:paraId="578D08AA" w14:textId="5BD24861"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5892591E" w14:textId="692107C8"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0171BB4E" w14:textId="00A7E11D"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032B45EE" w14:textId="4E5A6E16" w:rsidR="00DC5BE9" w:rsidRPr="003E2D55" w:rsidRDefault="00DC5BE9" w:rsidP="003E2D55">
            <w:pPr>
              <w:spacing w:before="40" w:after="4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2E265D7B" w14:textId="7E3E274B" w:rsidR="00DC5BE9" w:rsidRPr="003E2D55" w:rsidRDefault="00DC5BE9" w:rsidP="003E2D55">
            <w:pPr>
              <w:spacing w:before="40" w:after="40"/>
              <w:jc w:val="center"/>
              <w:rPr>
                <w:rFonts w:cs="Arial"/>
                <w:sz w:val="18"/>
                <w:szCs w:val="18"/>
              </w:rPr>
            </w:pPr>
            <w:r w:rsidRPr="003E2D55">
              <w:rPr>
                <w:rFonts w:cs="Arial"/>
                <w:sz w:val="18"/>
                <w:szCs w:val="18"/>
              </w:rPr>
              <w:t>16.0</w:t>
            </w:r>
          </w:p>
        </w:tc>
      </w:tr>
      <w:tr w:rsidR="00DC5BE9" w:rsidRPr="003E2D55" w14:paraId="5F907D4A"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0A9B9BF0" w14:textId="77777777" w:rsidR="00DC5BE9" w:rsidRPr="003E2D55" w:rsidRDefault="00DC5BE9" w:rsidP="003E2D55">
            <w:pPr>
              <w:spacing w:before="40" w:after="40"/>
              <w:rPr>
                <w:rFonts w:cs="Arial"/>
                <w:sz w:val="18"/>
                <w:szCs w:val="18"/>
              </w:rPr>
            </w:pPr>
            <w:r w:rsidRPr="003E2D55">
              <w:rPr>
                <w:rFonts w:cs="Arial"/>
                <w:sz w:val="18"/>
                <w:szCs w:val="18"/>
              </w:rPr>
              <w:t>Bass Coast S</w:t>
            </w:r>
          </w:p>
        </w:tc>
        <w:tc>
          <w:tcPr>
            <w:tcW w:w="1021" w:type="dxa"/>
            <w:tcBorders>
              <w:top w:val="nil"/>
              <w:left w:val="single" w:sz="18" w:space="0" w:color="5F497A" w:themeColor="accent4" w:themeShade="BF"/>
              <w:bottom w:val="nil"/>
              <w:right w:val="nil"/>
            </w:tcBorders>
            <w:shd w:val="clear" w:color="auto" w:fill="auto"/>
            <w:vAlign w:val="bottom"/>
          </w:tcPr>
          <w:p w14:paraId="0EB9ECF7" w14:textId="6194BB2B"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0DC4865B" w14:textId="4203F0EA" w:rsidR="00DC5BE9" w:rsidRPr="003E2D55" w:rsidRDefault="00DC5BE9" w:rsidP="003E2D55">
            <w:pPr>
              <w:spacing w:before="40" w:after="40"/>
              <w:jc w:val="center"/>
              <w:rPr>
                <w:rFonts w:cs="Arial"/>
                <w:sz w:val="18"/>
                <w:szCs w:val="18"/>
              </w:rPr>
            </w:pPr>
            <w:r w:rsidRPr="003E2D55">
              <w:rPr>
                <w:rFonts w:cs="Arial"/>
                <w:sz w:val="18"/>
                <w:szCs w:val="18"/>
              </w:rPr>
              <w:t>1.05</w:t>
            </w:r>
          </w:p>
        </w:tc>
        <w:tc>
          <w:tcPr>
            <w:tcW w:w="907" w:type="dxa"/>
            <w:tcBorders>
              <w:top w:val="nil"/>
              <w:left w:val="nil"/>
              <w:bottom w:val="nil"/>
              <w:right w:val="nil"/>
            </w:tcBorders>
            <w:vAlign w:val="bottom"/>
          </w:tcPr>
          <w:p w14:paraId="4762F8E2" w14:textId="65EF049F" w:rsidR="00DC5BE9" w:rsidRPr="003E2D55" w:rsidRDefault="00DC5BE9" w:rsidP="003E2D55">
            <w:pPr>
              <w:spacing w:before="40" w:after="40"/>
              <w:jc w:val="center"/>
              <w:rPr>
                <w:rFonts w:cs="Arial"/>
                <w:sz w:val="18"/>
                <w:szCs w:val="18"/>
              </w:rPr>
            </w:pPr>
            <w:r w:rsidRPr="003E2D55">
              <w:rPr>
                <w:rFonts w:cs="Arial"/>
                <w:sz w:val="18"/>
                <w:szCs w:val="18"/>
              </w:rPr>
              <w:t>1.11</w:t>
            </w:r>
          </w:p>
        </w:tc>
        <w:tc>
          <w:tcPr>
            <w:tcW w:w="170" w:type="dxa"/>
            <w:tcBorders>
              <w:top w:val="nil"/>
              <w:left w:val="nil"/>
              <w:bottom w:val="nil"/>
              <w:right w:val="nil"/>
            </w:tcBorders>
            <w:vAlign w:val="bottom"/>
          </w:tcPr>
          <w:p w14:paraId="3AF2D18D" w14:textId="2D2FA24E"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105DEF7C" w14:textId="2424F176" w:rsidR="00DC5BE9" w:rsidRPr="003E2D55" w:rsidRDefault="00DC5BE9" w:rsidP="003E2D55">
            <w:pPr>
              <w:spacing w:before="40" w:after="40"/>
              <w:jc w:val="center"/>
              <w:rPr>
                <w:rFonts w:cs="Arial"/>
                <w:sz w:val="18"/>
                <w:szCs w:val="18"/>
              </w:rPr>
            </w:pPr>
            <w:r w:rsidRPr="003E2D55">
              <w:rPr>
                <w:rFonts w:cs="Arial"/>
                <w:sz w:val="18"/>
                <w:szCs w:val="18"/>
              </w:rPr>
              <w:t>0.98</w:t>
            </w:r>
          </w:p>
        </w:tc>
        <w:tc>
          <w:tcPr>
            <w:tcW w:w="907" w:type="dxa"/>
            <w:tcBorders>
              <w:top w:val="nil"/>
              <w:left w:val="nil"/>
              <w:bottom w:val="nil"/>
              <w:right w:val="nil"/>
            </w:tcBorders>
            <w:shd w:val="clear" w:color="auto" w:fill="auto"/>
            <w:vAlign w:val="bottom"/>
          </w:tcPr>
          <w:p w14:paraId="7EB912AD" w14:textId="6FC2DBF0"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1021" w:type="dxa"/>
            <w:tcBorders>
              <w:top w:val="nil"/>
              <w:left w:val="nil"/>
              <w:bottom w:val="nil"/>
              <w:right w:val="nil"/>
            </w:tcBorders>
            <w:shd w:val="clear" w:color="auto" w:fill="auto"/>
            <w:vAlign w:val="bottom"/>
          </w:tcPr>
          <w:p w14:paraId="1D0E849D" w14:textId="3E317F0C" w:rsidR="00DC5BE9" w:rsidRPr="003E2D55" w:rsidRDefault="00DC5BE9" w:rsidP="003E2D55">
            <w:pPr>
              <w:spacing w:before="40" w:after="40"/>
              <w:jc w:val="center"/>
              <w:rPr>
                <w:rFonts w:cs="Arial"/>
                <w:sz w:val="18"/>
                <w:szCs w:val="18"/>
              </w:rPr>
            </w:pPr>
            <w:r w:rsidRPr="003E2D55">
              <w:rPr>
                <w:rFonts w:cs="Arial"/>
                <w:sz w:val="18"/>
                <w:szCs w:val="18"/>
              </w:rPr>
              <w:t>0.98</w:t>
            </w:r>
          </w:p>
        </w:tc>
        <w:tc>
          <w:tcPr>
            <w:tcW w:w="1021" w:type="dxa"/>
            <w:tcBorders>
              <w:top w:val="nil"/>
              <w:left w:val="nil"/>
              <w:bottom w:val="nil"/>
              <w:right w:val="nil"/>
            </w:tcBorders>
            <w:shd w:val="clear" w:color="auto" w:fill="auto"/>
            <w:vAlign w:val="bottom"/>
          </w:tcPr>
          <w:p w14:paraId="510247FC" w14:textId="0BE3CD06" w:rsidR="00DC5BE9" w:rsidRPr="003E2D55" w:rsidRDefault="00DC5BE9" w:rsidP="003E2D55">
            <w:pPr>
              <w:spacing w:before="40" w:after="40"/>
              <w:jc w:val="center"/>
              <w:rPr>
                <w:rFonts w:cs="Arial"/>
                <w:sz w:val="18"/>
                <w:szCs w:val="18"/>
              </w:rPr>
            </w:pPr>
            <w:r w:rsidRPr="003E2D55">
              <w:rPr>
                <w:rFonts w:cs="Arial"/>
                <w:sz w:val="18"/>
                <w:szCs w:val="18"/>
              </w:rPr>
              <w:t>34.5</w:t>
            </w:r>
          </w:p>
        </w:tc>
      </w:tr>
      <w:tr w:rsidR="00DC5BE9" w:rsidRPr="003E2D55" w14:paraId="2308840D"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45236B8E" w14:textId="77777777" w:rsidR="00DC5BE9" w:rsidRPr="003E2D55" w:rsidRDefault="00DC5BE9" w:rsidP="003E2D55">
            <w:pPr>
              <w:spacing w:before="40" w:after="40"/>
              <w:rPr>
                <w:rFonts w:cs="Arial"/>
                <w:sz w:val="18"/>
                <w:szCs w:val="18"/>
              </w:rPr>
            </w:pPr>
            <w:r w:rsidRPr="003E2D55">
              <w:rPr>
                <w:rFonts w:cs="Arial"/>
                <w:sz w:val="18"/>
                <w:szCs w:val="18"/>
              </w:rPr>
              <w:t>Baw Baw S</w:t>
            </w:r>
          </w:p>
        </w:tc>
        <w:tc>
          <w:tcPr>
            <w:tcW w:w="1021" w:type="dxa"/>
            <w:tcBorders>
              <w:top w:val="nil"/>
              <w:left w:val="single" w:sz="18" w:space="0" w:color="5F497A" w:themeColor="accent4" w:themeShade="BF"/>
              <w:bottom w:val="nil"/>
              <w:right w:val="nil"/>
            </w:tcBorders>
            <w:shd w:val="clear" w:color="auto" w:fill="auto"/>
            <w:vAlign w:val="bottom"/>
          </w:tcPr>
          <w:p w14:paraId="7AE20119" w14:textId="6829AFEB" w:rsidR="00DC5BE9" w:rsidRPr="003E2D55" w:rsidRDefault="00DC5BE9" w:rsidP="003E2D55">
            <w:pPr>
              <w:spacing w:before="40" w:after="40"/>
              <w:jc w:val="center"/>
              <w:rPr>
                <w:rFonts w:cs="Arial"/>
                <w:sz w:val="18"/>
                <w:szCs w:val="18"/>
              </w:rPr>
            </w:pPr>
            <w:r w:rsidRPr="003E2D55">
              <w:rPr>
                <w:rFonts w:cs="Arial"/>
                <w:sz w:val="18"/>
                <w:szCs w:val="18"/>
              </w:rPr>
              <w:t>0.99</w:t>
            </w:r>
          </w:p>
        </w:tc>
        <w:tc>
          <w:tcPr>
            <w:tcW w:w="907" w:type="dxa"/>
            <w:tcBorders>
              <w:top w:val="nil"/>
              <w:left w:val="nil"/>
              <w:bottom w:val="nil"/>
              <w:right w:val="nil"/>
            </w:tcBorders>
            <w:shd w:val="clear" w:color="auto" w:fill="auto"/>
            <w:vAlign w:val="bottom"/>
          </w:tcPr>
          <w:p w14:paraId="4B51061B" w14:textId="430C0318" w:rsidR="00DC5BE9" w:rsidRPr="003E2D55" w:rsidRDefault="00DC5BE9" w:rsidP="003E2D55">
            <w:pPr>
              <w:spacing w:before="40" w:after="40"/>
              <w:jc w:val="center"/>
              <w:rPr>
                <w:rFonts w:cs="Arial"/>
                <w:sz w:val="18"/>
                <w:szCs w:val="18"/>
              </w:rPr>
            </w:pPr>
            <w:r w:rsidRPr="003E2D55">
              <w:rPr>
                <w:rFonts w:cs="Arial"/>
                <w:sz w:val="18"/>
                <w:szCs w:val="18"/>
              </w:rPr>
              <w:t>1.04</w:t>
            </w:r>
          </w:p>
        </w:tc>
        <w:tc>
          <w:tcPr>
            <w:tcW w:w="907" w:type="dxa"/>
            <w:tcBorders>
              <w:top w:val="nil"/>
              <w:left w:val="nil"/>
              <w:bottom w:val="nil"/>
              <w:right w:val="nil"/>
            </w:tcBorders>
            <w:vAlign w:val="bottom"/>
          </w:tcPr>
          <w:p w14:paraId="7E64148B" w14:textId="1EA79BE7" w:rsidR="00DC5BE9" w:rsidRPr="003E2D55" w:rsidRDefault="00DC5BE9" w:rsidP="003E2D55">
            <w:pPr>
              <w:spacing w:before="40" w:after="40"/>
              <w:jc w:val="center"/>
              <w:rPr>
                <w:rFonts w:cs="Arial"/>
                <w:sz w:val="18"/>
                <w:szCs w:val="18"/>
              </w:rPr>
            </w:pPr>
            <w:r w:rsidRPr="003E2D55">
              <w:rPr>
                <w:rFonts w:cs="Arial"/>
                <w:sz w:val="18"/>
                <w:szCs w:val="18"/>
              </w:rPr>
              <w:t>1.16</w:t>
            </w:r>
          </w:p>
        </w:tc>
        <w:tc>
          <w:tcPr>
            <w:tcW w:w="170" w:type="dxa"/>
            <w:tcBorders>
              <w:top w:val="nil"/>
              <w:left w:val="nil"/>
              <w:bottom w:val="nil"/>
              <w:right w:val="nil"/>
            </w:tcBorders>
            <w:vAlign w:val="bottom"/>
          </w:tcPr>
          <w:p w14:paraId="6075176C" w14:textId="177267D9"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07107F0D" w14:textId="6B4C4557" w:rsidR="00DC5BE9" w:rsidRPr="003E2D55" w:rsidRDefault="00DC5BE9" w:rsidP="003E2D55">
            <w:pPr>
              <w:spacing w:before="40" w:after="40"/>
              <w:jc w:val="center"/>
              <w:rPr>
                <w:rFonts w:cs="Arial"/>
                <w:sz w:val="18"/>
                <w:szCs w:val="18"/>
              </w:rPr>
            </w:pPr>
            <w:r w:rsidRPr="003E2D55">
              <w:rPr>
                <w:rFonts w:cs="Arial"/>
                <w:sz w:val="18"/>
                <w:szCs w:val="18"/>
              </w:rPr>
              <w:t>0.99</w:t>
            </w:r>
          </w:p>
        </w:tc>
        <w:tc>
          <w:tcPr>
            <w:tcW w:w="907" w:type="dxa"/>
            <w:tcBorders>
              <w:top w:val="nil"/>
              <w:left w:val="nil"/>
              <w:bottom w:val="nil"/>
              <w:right w:val="nil"/>
            </w:tcBorders>
            <w:shd w:val="clear" w:color="auto" w:fill="auto"/>
            <w:vAlign w:val="bottom"/>
          </w:tcPr>
          <w:p w14:paraId="1EE6D005" w14:textId="5529FE3A"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1021" w:type="dxa"/>
            <w:tcBorders>
              <w:top w:val="nil"/>
              <w:left w:val="nil"/>
              <w:bottom w:val="nil"/>
              <w:right w:val="nil"/>
            </w:tcBorders>
            <w:shd w:val="clear" w:color="auto" w:fill="auto"/>
            <w:vAlign w:val="bottom"/>
          </w:tcPr>
          <w:p w14:paraId="17C70F6F" w14:textId="0772CFFF" w:rsidR="00DC5BE9" w:rsidRPr="003E2D55" w:rsidRDefault="00DC5BE9" w:rsidP="003E2D55">
            <w:pPr>
              <w:spacing w:before="40" w:after="40"/>
              <w:jc w:val="center"/>
              <w:rPr>
                <w:rFonts w:cs="Arial"/>
                <w:sz w:val="18"/>
                <w:szCs w:val="18"/>
              </w:rPr>
            </w:pPr>
            <w:r w:rsidRPr="003E2D55">
              <w:rPr>
                <w:rFonts w:cs="Arial"/>
                <w:sz w:val="18"/>
                <w:szCs w:val="18"/>
              </w:rPr>
              <w:t>0.98</w:t>
            </w:r>
          </w:p>
        </w:tc>
        <w:tc>
          <w:tcPr>
            <w:tcW w:w="1021" w:type="dxa"/>
            <w:tcBorders>
              <w:top w:val="nil"/>
              <w:left w:val="nil"/>
              <w:bottom w:val="nil"/>
              <w:right w:val="nil"/>
            </w:tcBorders>
            <w:shd w:val="clear" w:color="auto" w:fill="auto"/>
            <w:vAlign w:val="bottom"/>
          </w:tcPr>
          <w:p w14:paraId="4AA7D0F8" w14:textId="5AA22EDF" w:rsidR="00DC5BE9" w:rsidRPr="003E2D55" w:rsidRDefault="00DC5BE9" w:rsidP="003E2D55">
            <w:pPr>
              <w:spacing w:before="40" w:after="40"/>
              <w:jc w:val="center"/>
              <w:rPr>
                <w:rFonts w:cs="Arial"/>
                <w:sz w:val="18"/>
                <w:szCs w:val="18"/>
              </w:rPr>
            </w:pPr>
            <w:r w:rsidRPr="003E2D55">
              <w:rPr>
                <w:rFonts w:cs="Arial"/>
                <w:sz w:val="18"/>
                <w:szCs w:val="18"/>
              </w:rPr>
              <w:t>36.5</w:t>
            </w:r>
          </w:p>
        </w:tc>
      </w:tr>
      <w:tr w:rsidR="00DC5BE9" w:rsidRPr="003E2D55" w14:paraId="17F8FF6F"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18BEA4EA" w14:textId="77777777" w:rsidR="00DC5BE9" w:rsidRPr="003E2D55" w:rsidRDefault="00DC5BE9" w:rsidP="003E2D55">
            <w:pPr>
              <w:spacing w:before="40" w:after="40"/>
              <w:rPr>
                <w:rFonts w:cs="Arial"/>
                <w:sz w:val="18"/>
                <w:szCs w:val="18"/>
              </w:rPr>
            </w:pPr>
            <w:r w:rsidRPr="003E2D55">
              <w:rPr>
                <w:rFonts w:cs="Arial"/>
                <w:sz w:val="18"/>
                <w:szCs w:val="18"/>
              </w:rPr>
              <w:t>Bayside C</w:t>
            </w:r>
          </w:p>
        </w:tc>
        <w:tc>
          <w:tcPr>
            <w:tcW w:w="1021" w:type="dxa"/>
            <w:tcBorders>
              <w:top w:val="nil"/>
              <w:left w:val="single" w:sz="18" w:space="0" w:color="5F497A" w:themeColor="accent4" w:themeShade="BF"/>
              <w:bottom w:val="nil"/>
              <w:right w:val="nil"/>
            </w:tcBorders>
            <w:shd w:val="clear" w:color="auto" w:fill="auto"/>
            <w:vAlign w:val="bottom"/>
          </w:tcPr>
          <w:p w14:paraId="64C975B4" w14:textId="77373EE4"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907" w:type="dxa"/>
            <w:tcBorders>
              <w:top w:val="nil"/>
              <w:left w:val="nil"/>
              <w:bottom w:val="nil"/>
              <w:right w:val="nil"/>
            </w:tcBorders>
            <w:shd w:val="clear" w:color="auto" w:fill="auto"/>
            <w:vAlign w:val="bottom"/>
          </w:tcPr>
          <w:p w14:paraId="1FB56C49" w14:textId="219E474F" w:rsidR="00DC5BE9" w:rsidRPr="003E2D55" w:rsidRDefault="00DC5BE9" w:rsidP="003E2D55">
            <w:pPr>
              <w:spacing w:before="40" w:after="40"/>
              <w:jc w:val="center"/>
              <w:rPr>
                <w:rFonts w:cs="Arial"/>
                <w:sz w:val="18"/>
                <w:szCs w:val="18"/>
              </w:rPr>
            </w:pPr>
            <w:r w:rsidRPr="003E2D55">
              <w:rPr>
                <w:rFonts w:cs="Arial"/>
                <w:sz w:val="18"/>
                <w:szCs w:val="18"/>
              </w:rPr>
              <w:t>1.02</w:t>
            </w:r>
          </w:p>
        </w:tc>
        <w:tc>
          <w:tcPr>
            <w:tcW w:w="907" w:type="dxa"/>
            <w:tcBorders>
              <w:top w:val="nil"/>
              <w:left w:val="nil"/>
              <w:bottom w:val="nil"/>
              <w:right w:val="nil"/>
            </w:tcBorders>
            <w:vAlign w:val="bottom"/>
          </w:tcPr>
          <w:p w14:paraId="0E07E398" w14:textId="537A6ADE" w:rsidR="00DC5BE9" w:rsidRPr="003E2D55" w:rsidRDefault="00DC5BE9" w:rsidP="003E2D55">
            <w:pPr>
              <w:spacing w:before="40" w:after="40"/>
              <w:jc w:val="center"/>
              <w:rPr>
                <w:rFonts w:cs="Arial"/>
                <w:sz w:val="18"/>
                <w:szCs w:val="18"/>
              </w:rPr>
            </w:pPr>
            <w:r w:rsidRPr="003E2D55">
              <w:rPr>
                <w:rFonts w:cs="Arial"/>
                <w:sz w:val="18"/>
                <w:szCs w:val="18"/>
              </w:rPr>
              <w:t>0.00</w:t>
            </w:r>
          </w:p>
        </w:tc>
        <w:tc>
          <w:tcPr>
            <w:tcW w:w="170" w:type="dxa"/>
            <w:tcBorders>
              <w:top w:val="nil"/>
              <w:left w:val="nil"/>
              <w:bottom w:val="nil"/>
              <w:right w:val="nil"/>
            </w:tcBorders>
            <w:vAlign w:val="bottom"/>
          </w:tcPr>
          <w:p w14:paraId="5FB30519" w14:textId="1B06BDAF"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71D789D6" w14:textId="0F6ED9BC"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74CFDD4F" w14:textId="656C20D3" w:rsidR="00DC5BE9" w:rsidRPr="003E2D55" w:rsidRDefault="00DC5BE9" w:rsidP="003E2D55">
            <w:pPr>
              <w:spacing w:before="40" w:after="40"/>
              <w:jc w:val="center"/>
              <w:rPr>
                <w:rFonts w:cs="Arial"/>
                <w:sz w:val="18"/>
                <w:szCs w:val="18"/>
              </w:rPr>
            </w:pPr>
            <w:r w:rsidRPr="003E2D55">
              <w:rPr>
                <w:rFonts w:cs="Arial"/>
                <w:sz w:val="18"/>
                <w:szCs w:val="18"/>
              </w:rPr>
              <w:t>0.00</w:t>
            </w:r>
          </w:p>
        </w:tc>
        <w:tc>
          <w:tcPr>
            <w:tcW w:w="1021" w:type="dxa"/>
            <w:tcBorders>
              <w:top w:val="nil"/>
              <w:left w:val="nil"/>
              <w:bottom w:val="nil"/>
              <w:right w:val="nil"/>
            </w:tcBorders>
            <w:shd w:val="clear" w:color="auto" w:fill="auto"/>
            <w:vAlign w:val="bottom"/>
          </w:tcPr>
          <w:p w14:paraId="656A2897" w14:textId="6B9654AE" w:rsidR="00DC5BE9" w:rsidRPr="003E2D55" w:rsidRDefault="00DC5BE9" w:rsidP="003E2D55">
            <w:pPr>
              <w:spacing w:before="40" w:after="4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34A423AA" w14:textId="013B9A91" w:rsidR="00DC5BE9" w:rsidRPr="003E2D55" w:rsidRDefault="00DC5BE9" w:rsidP="003E2D55">
            <w:pPr>
              <w:spacing w:before="40" w:after="40"/>
              <w:jc w:val="center"/>
              <w:rPr>
                <w:rFonts w:cs="Arial"/>
                <w:sz w:val="18"/>
                <w:szCs w:val="18"/>
              </w:rPr>
            </w:pPr>
            <w:r w:rsidRPr="003E2D55">
              <w:rPr>
                <w:rFonts w:cs="Arial"/>
                <w:sz w:val="18"/>
                <w:szCs w:val="18"/>
              </w:rPr>
              <w:t>13.2</w:t>
            </w:r>
          </w:p>
        </w:tc>
      </w:tr>
      <w:tr w:rsidR="00DC5BE9" w:rsidRPr="003E2D55" w14:paraId="64513EEC"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466C1486" w14:textId="77777777" w:rsidR="00DC5BE9" w:rsidRPr="003E2D55" w:rsidRDefault="00DC5BE9" w:rsidP="003E2D55">
            <w:pPr>
              <w:spacing w:before="40" w:after="40"/>
              <w:rPr>
                <w:rFonts w:cs="Arial"/>
                <w:sz w:val="18"/>
                <w:szCs w:val="18"/>
              </w:rPr>
            </w:pPr>
            <w:r w:rsidRPr="003E2D55">
              <w:rPr>
                <w:rFonts w:cs="Arial"/>
                <w:sz w:val="18"/>
                <w:szCs w:val="18"/>
              </w:rPr>
              <w:t>Benalla RC</w:t>
            </w:r>
          </w:p>
        </w:tc>
        <w:tc>
          <w:tcPr>
            <w:tcW w:w="1021" w:type="dxa"/>
            <w:tcBorders>
              <w:top w:val="nil"/>
              <w:left w:val="single" w:sz="18" w:space="0" w:color="5F497A" w:themeColor="accent4" w:themeShade="BF"/>
              <w:bottom w:val="nil"/>
              <w:right w:val="nil"/>
            </w:tcBorders>
            <w:shd w:val="clear" w:color="auto" w:fill="auto"/>
            <w:vAlign w:val="bottom"/>
          </w:tcPr>
          <w:p w14:paraId="3B5C324B" w14:textId="566B794B" w:rsidR="00DC5BE9" w:rsidRPr="003E2D55" w:rsidRDefault="00DC5BE9" w:rsidP="003E2D55">
            <w:pPr>
              <w:spacing w:before="40" w:after="40"/>
              <w:jc w:val="center"/>
              <w:rPr>
                <w:rFonts w:cs="Arial"/>
                <w:sz w:val="18"/>
                <w:szCs w:val="18"/>
              </w:rPr>
            </w:pPr>
            <w:r w:rsidRPr="003E2D55">
              <w:rPr>
                <w:rFonts w:cs="Arial"/>
                <w:sz w:val="18"/>
                <w:szCs w:val="18"/>
              </w:rPr>
              <w:t>1.01</w:t>
            </w:r>
          </w:p>
        </w:tc>
        <w:tc>
          <w:tcPr>
            <w:tcW w:w="907" w:type="dxa"/>
            <w:tcBorders>
              <w:top w:val="nil"/>
              <w:left w:val="nil"/>
              <w:bottom w:val="nil"/>
              <w:right w:val="nil"/>
            </w:tcBorders>
            <w:shd w:val="clear" w:color="auto" w:fill="auto"/>
            <w:vAlign w:val="bottom"/>
          </w:tcPr>
          <w:p w14:paraId="5B024A60" w14:textId="031EF512"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907" w:type="dxa"/>
            <w:tcBorders>
              <w:top w:val="nil"/>
              <w:left w:val="nil"/>
              <w:bottom w:val="nil"/>
              <w:right w:val="nil"/>
            </w:tcBorders>
            <w:vAlign w:val="bottom"/>
          </w:tcPr>
          <w:p w14:paraId="01EC2AA2" w14:textId="4F9D3149" w:rsidR="00DC5BE9" w:rsidRPr="003E2D55" w:rsidRDefault="00DC5BE9" w:rsidP="003E2D55">
            <w:pPr>
              <w:spacing w:before="40" w:after="40"/>
              <w:jc w:val="center"/>
              <w:rPr>
                <w:rFonts w:cs="Arial"/>
                <w:sz w:val="18"/>
                <w:szCs w:val="18"/>
              </w:rPr>
            </w:pPr>
            <w:r w:rsidRPr="003E2D55">
              <w:rPr>
                <w:rFonts w:cs="Arial"/>
                <w:sz w:val="18"/>
                <w:szCs w:val="18"/>
              </w:rPr>
              <w:t>0.80</w:t>
            </w:r>
          </w:p>
        </w:tc>
        <w:tc>
          <w:tcPr>
            <w:tcW w:w="170" w:type="dxa"/>
            <w:tcBorders>
              <w:top w:val="nil"/>
              <w:left w:val="nil"/>
              <w:bottom w:val="nil"/>
              <w:right w:val="nil"/>
            </w:tcBorders>
            <w:vAlign w:val="bottom"/>
          </w:tcPr>
          <w:p w14:paraId="5C2C2F97" w14:textId="6CA7B1D9"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262A8A2D" w14:textId="7035D78C" w:rsidR="00DC5BE9" w:rsidRPr="003E2D55" w:rsidRDefault="00DC5BE9" w:rsidP="003E2D55">
            <w:pPr>
              <w:spacing w:before="40" w:after="40"/>
              <w:jc w:val="center"/>
              <w:rPr>
                <w:rFonts w:cs="Arial"/>
                <w:sz w:val="18"/>
                <w:szCs w:val="18"/>
              </w:rPr>
            </w:pPr>
            <w:r w:rsidRPr="003E2D55">
              <w:rPr>
                <w:rFonts w:cs="Arial"/>
                <w:sz w:val="18"/>
                <w:szCs w:val="18"/>
              </w:rPr>
              <w:t>1.06</w:t>
            </w:r>
          </w:p>
        </w:tc>
        <w:tc>
          <w:tcPr>
            <w:tcW w:w="907" w:type="dxa"/>
            <w:tcBorders>
              <w:top w:val="nil"/>
              <w:left w:val="nil"/>
              <w:bottom w:val="nil"/>
              <w:right w:val="nil"/>
            </w:tcBorders>
            <w:shd w:val="clear" w:color="auto" w:fill="auto"/>
            <w:vAlign w:val="bottom"/>
          </w:tcPr>
          <w:p w14:paraId="4903B46B" w14:textId="42CA2B15" w:rsidR="00DC5BE9" w:rsidRPr="003E2D55" w:rsidRDefault="00DC5BE9" w:rsidP="003E2D55">
            <w:pPr>
              <w:spacing w:before="40" w:after="40"/>
              <w:jc w:val="center"/>
              <w:rPr>
                <w:rFonts w:cs="Arial"/>
                <w:sz w:val="18"/>
                <w:szCs w:val="18"/>
              </w:rPr>
            </w:pPr>
            <w:r w:rsidRPr="003E2D55">
              <w:rPr>
                <w:rFonts w:cs="Arial"/>
                <w:sz w:val="18"/>
                <w:szCs w:val="18"/>
              </w:rPr>
              <w:t>1.04</w:t>
            </w:r>
          </w:p>
        </w:tc>
        <w:tc>
          <w:tcPr>
            <w:tcW w:w="1021" w:type="dxa"/>
            <w:tcBorders>
              <w:top w:val="nil"/>
              <w:left w:val="nil"/>
              <w:bottom w:val="nil"/>
              <w:right w:val="nil"/>
            </w:tcBorders>
            <w:shd w:val="clear" w:color="auto" w:fill="auto"/>
            <w:vAlign w:val="bottom"/>
          </w:tcPr>
          <w:p w14:paraId="2E2D3F12" w14:textId="16D8D80E"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1021" w:type="dxa"/>
            <w:tcBorders>
              <w:top w:val="nil"/>
              <w:left w:val="nil"/>
              <w:bottom w:val="nil"/>
              <w:right w:val="nil"/>
            </w:tcBorders>
            <w:shd w:val="clear" w:color="auto" w:fill="auto"/>
            <w:vAlign w:val="bottom"/>
          </w:tcPr>
          <w:p w14:paraId="18D952FC" w14:textId="17E54324" w:rsidR="00DC5BE9" w:rsidRPr="003E2D55" w:rsidRDefault="00DC5BE9" w:rsidP="003E2D55">
            <w:pPr>
              <w:spacing w:before="40" w:after="40"/>
              <w:jc w:val="center"/>
              <w:rPr>
                <w:rFonts w:cs="Arial"/>
                <w:sz w:val="18"/>
                <w:szCs w:val="18"/>
              </w:rPr>
            </w:pPr>
            <w:r w:rsidRPr="003E2D55">
              <w:rPr>
                <w:rFonts w:cs="Arial"/>
                <w:sz w:val="18"/>
                <w:szCs w:val="18"/>
              </w:rPr>
              <w:t>37.1</w:t>
            </w:r>
          </w:p>
        </w:tc>
      </w:tr>
      <w:tr w:rsidR="00DC5BE9" w:rsidRPr="003E2D55" w14:paraId="3EA4CBFF"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1BE7D87A" w14:textId="77777777" w:rsidR="00DC5BE9" w:rsidRPr="003E2D55" w:rsidRDefault="00DC5BE9" w:rsidP="003E2D55">
            <w:pPr>
              <w:spacing w:before="40" w:after="40"/>
              <w:rPr>
                <w:rFonts w:cs="Arial"/>
                <w:sz w:val="18"/>
                <w:szCs w:val="18"/>
              </w:rPr>
            </w:pPr>
            <w:r w:rsidRPr="003E2D55">
              <w:rPr>
                <w:rFonts w:cs="Arial"/>
                <w:sz w:val="18"/>
                <w:szCs w:val="18"/>
              </w:rPr>
              <w:t>Boroondara C</w:t>
            </w:r>
          </w:p>
        </w:tc>
        <w:tc>
          <w:tcPr>
            <w:tcW w:w="1021" w:type="dxa"/>
            <w:tcBorders>
              <w:top w:val="nil"/>
              <w:left w:val="single" w:sz="18" w:space="0" w:color="5F497A" w:themeColor="accent4" w:themeShade="BF"/>
              <w:bottom w:val="nil"/>
              <w:right w:val="nil"/>
            </w:tcBorders>
            <w:shd w:val="clear" w:color="auto" w:fill="auto"/>
            <w:vAlign w:val="bottom"/>
          </w:tcPr>
          <w:p w14:paraId="286873A6" w14:textId="1A2B0C66"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907" w:type="dxa"/>
            <w:tcBorders>
              <w:top w:val="nil"/>
              <w:left w:val="nil"/>
              <w:bottom w:val="nil"/>
              <w:right w:val="nil"/>
            </w:tcBorders>
            <w:shd w:val="clear" w:color="auto" w:fill="auto"/>
            <w:vAlign w:val="bottom"/>
          </w:tcPr>
          <w:p w14:paraId="4A296B0A" w14:textId="62F78F9A" w:rsidR="00DC5BE9" w:rsidRPr="003E2D55" w:rsidRDefault="00DC5BE9" w:rsidP="003E2D55">
            <w:pPr>
              <w:spacing w:before="40" w:after="40"/>
              <w:jc w:val="center"/>
              <w:rPr>
                <w:rFonts w:cs="Arial"/>
                <w:sz w:val="18"/>
                <w:szCs w:val="18"/>
              </w:rPr>
            </w:pPr>
            <w:r w:rsidRPr="003E2D55">
              <w:rPr>
                <w:rFonts w:cs="Arial"/>
                <w:sz w:val="18"/>
                <w:szCs w:val="18"/>
              </w:rPr>
              <w:t>1.02</w:t>
            </w:r>
          </w:p>
        </w:tc>
        <w:tc>
          <w:tcPr>
            <w:tcW w:w="907" w:type="dxa"/>
            <w:tcBorders>
              <w:top w:val="nil"/>
              <w:left w:val="nil"/>
              <w:bottom w:val="nil"/>
              <w:right w:val="nil"/>
            </w:tcBorders>
            <w:vAlign w:val="bottom"/>
          </w:tcPr>
          <w:p w14:paraId="31FC4044" w14:textId="7AA54A9F" w:rsidR="00DC5BE9" w:rsidRPr="003E2D55" w:rsidRDefault="00DC5BE9" w:rsidP="003E2D55">
            <w:pPr>
              <w:spacing w:before="40" w:after="40"/>
              <w:jc w:val="center"/>
              <w:rPr>
                <w:rFonts w:cs="Arial"/>
                <w:sz w:val="18"/>
                <w:szCs w:val="18"/>
              </w:rPr>
            </w:pPr>
            <w:r w:rsidRPr="003E2D55">
              <w:rPr>
                <w:rFonts w:cs="Arial"/>
                <w:sz w:val="18"/>
                <w:szCs w:val="18"/>
              </w:rPr>
              <w:t>0.98</w:t>
            </w:r>
          </w:p>
        </w:tc>
        <w:tc>
          <w:tcPr>
            <w:tcW w:w="170" w:type="dxa"/>
            <w:tcBorders>
              <w:top w:val="nil"/>
              <w:left w:val="nil"/>
              <w:bottom w:val="nil"/>
              <w:right w:val="nil"/>
            </w:tcBorders>
            <w:vAlign w:val="bottom"/>
          </w:tcPr>
          <w:p w14:paraId="353A3E2E" w14:textId="785EB269"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16703D82" w14:textId="24ABD604"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6AF4730D" w14:textId="3D273C40"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3EEE96DC" w14:textId="05317761" w:rsidR="00DC5BE9" w:rsidRPr="003E2D55" w:rsidRDefault="00DC5BE9" w:rsidP="003E2D55">
            <w:pPr>
              <w:spacing w:before="40" w:after="4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621E475E" w14:textId="55BD67AE" w:rsidR="00DC5BE9" w:rsidRPr="003E2D55" w:rsidRDefault="00DC5BE9" w:rsidP="003E2D55">
            <w:pPr>
              <w:spacing w:before="40" w:after="40"/>
              <w:jc w:val="center"/>
              <w:rPr>
                <w:rFonts w:cs="Arial"/>
                <w:sz w:val="18"/>
                <w:szCs w:val="18"/>
              </w:rPr>
            </w:pPr>
            <w:r w:rsidRPr="003E2D55">
              <w:rPr>
                <w:rFonts w:cs="Arial"/>
                <w:sz w:val="18"/>
                <w:szCs w:val="18"/>
              </w:rPr>
              <w:t>5.7</w:t>
            </w:r>
          </w:p>
        </w:tc>
      </w:tr>
      <w:tr w:rsidR="00DC5BE9" w:rsidRPr="003E2D55" w14:paraId="03F63E41"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5332D039" w14:textId="77777777" w:rsidR="00DC5BE9" w:rsidRPr="003E2D55" w:rsidRDefault="00DC5BE9" w:rsidP="003E2D55">
            <w:pPr>
              <w:spacing w:before="40" w:after="40"/>
              <w:rPr>
                <w:rFonts w:cs="Arial"/>
                <w:sz w:val="18"/>
                <w:szCs w:val="18"/>
              </w:rPr>
            </w:pPr>
            <w:r w:rsidRPr="003E2D55">
              <w:rPr>
                <w:rFonts w:cs="Arial"/>
                <w:sz w:val="18"/>
                <w:szCs w:val="18"/>
              </w:rPr>
              <w:t>Brimbank C</w:t>
            </w:r>
          </w:p>
        </w:tc>
        <w:tc>
          <w:tcPr>
            <w:tcW w:w="1021" w:type="dxa"/>
            <w:tcBorders>
              <w:top w:val="nil"/>
              <w:left w:val="single" w:sz="18" w:space="0" w:color="5F497A" w:themeColor="accent4" w:themeShade="BF"/>
              <w:bottom w:val="nil"/>
              <w:right w:val="nil"/>
            </w:tcBorders>
            <w:shd w:val="clear" w:color="auto" w:fill="auto"/>
            <w:vAlign w:val="bottom"/>
          </w:tcPr>
          <w:p w14:paraId="5F6B0BB3" w14:textId="7636EE87" w:rsidR="00DC5BE9" w:rsidRPr="003E2D55" w:rsidRDefault="00DC5BE9" w:rsidP="003E2D55">
            <w:pPr>
              <w:spacing w:before="40" w:after="40"/>
              <w:jc w:val="center"/>
              <w:rPr>
                <w:rFonts w:cs="Arial"/>
                <w:sz w:val="18"/>
                <w:szCs w:val="18"/>
              </w:rPr>
            </w:pPr>
            <w:r w:rsidRPr="003E2D55">
              <w:rPr>
                <w:rFonts w:cs="Arial"/>
                <w:sz w:val="18"/>
                <w:szCs w:val="18"/>
              </w:rPr>
              <w:t>1.01</w:t>
            </w:r>
          </w:p>
        </w:tc>
        <w:tc>
          <w:tcPr>
            <w:tcW w:w="907" w:type="dxa"/>
            <w:tcBorders>
              <w:top w:val="nil"/>
              <w:left w:val="nil"/>
              <w:bottom w:val="nil"/>
              <w:right w:val="nil"/>
            </w:tcBorders>
            <w:shd w:val="clear" w:color="auto" w:fill="auto"/>
            <w:vAlign w:val="bottom"/>
          </w:tcPr>
          <w:p w14:paraId="28ACA892" w14:textId="569EE599" w:rsidR="00DC5BE9" w:rsidRPr="003E2D55" w:rsidRDefault="00DC5BE9" w:rsidP="003E2D55">
            <w:pPr>
              <w:spacing w:before="40" w:after="40"/>
              <w:jc w:val="center"/>
              <w:rPr>
                <w:rFonts w:cs="Arial"/>
                <w:sz w:val="18"/>
                <w:szCs w:val="18"/>
              </w:rPr>
            </w:pPr>
            <w:r w:rsidRPr="003E2D55">
              <w:rPr>
                <w:rFonts w:cs="Arial"/>
                <w:sz w:val="18"/>
                <w:szCs w:val="18"/>
              </w:rPr>
              <w:t>0.98</w:t>
            </w:r>
          </w:p>
        </w:tc>
        <w:tc>
          <w:tcPr>
            <w:tcW w:w="907" w:type="dxa"/>
            <w:tcBorders>
              <w:top w:val="nil"/>
              <w:left w:val="nil"/>
              <w:bottom w:val="nil"/>
              <w:right w:val="nil"/>
            </w:tcBorders>
            <w:vAlign w:val="bottom"/>
          </w:tcPr>
          <w:p w14:paraId="02CBBB04" w14:textId="77980971" w:rsidR="00DC5BE9" w:rsidRPr="003E2D55" w:rsidRDefault="00DC5BE9" w:rsidP="003E2D55">
            <w:pPr>
              <w:spacing w:before="40" w:after="40"/>
              <w:jc w:val="center"/>
              <w:rPr>
                <w:rFonts w:cs="Arial"/>
                <w:sz w:val="18"/>
                <w:szCs w:val="18"/>
              </w:rPr>
            </w:pPr>
            <w:r w:rsidRPr="003E2D55">
              <w:rPr>
                <w:rFonts w:cs="Arial"/>
                <w:sz w:val="18"/>
                <w:szCs w:val="18"/>
              </w:rPr>
              <w:t>0.84</w:t>
            </w:r>
          </w:p>
        </w:tc>
        <w:tc>
          <w:tcPr>
            <w:tcW w:w="170" w:type="dxa"/>
            <w:tcBorders>
              <w:top w:val="nil"/>
              <w:left w:val="nil"/>
              <w:bottom w:val="nil"/>
              <w:right w:val="nil"/>
            </w:tcBorders>
            <w:vAlign w:val="bottom"/>
          </w:tcPr>
          <w:p w14:paraId="5CD230FD" w14:textId="63EF6B97"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06AE3E05" w14:textId="3EA621F5" w:rsidR="00DC5BE9" w:rsidRPr="003E2D55" w:rsidRDefault="00DC5BE9" w:rsidP="003E2D55">
            <w:pPr>
              <w:spacing w:before="40" w:after="40"/>
              <w:jc w:val="center"/>
              <w:rPr>
                <w:rFonts w:cs="Arial"/>
                <w:sz w:val="18"/>
                <w:szCs w:val="18"/>
              </w:rPr>
            </w:pPr>
            <w:r w:rsidRPr="003E2D55">
              <w:rPr>
                <w:rFonts w:cs="Arial"/>
                <w:sz w:val="18"/>
                <w:szCs w:val="18"/>
              </w:rPr>
              <w:t>1.10</w:t>
            </w:r>
          </w:p>
        </w:tc>
        <w:tc>
          <w:tcPr>
            <w:tcW w:w="907" w:type="dxa"/>
            <w:tcBorders>
              <w:top w:val="nil"/>
              <w:left w:val="nil"/>
              <w:bottom w:val="nil"/>
              <w:right w:val="nil"/>
            </w:tcBorders>
            <w:shd w:val="clear" w:color="auto" w:fill="auto"/>
            <w:vAlign w:val="bottom"/>
          </w:tcPr>
          <w:p w14:paraId="658E03B5" w14:textId="4B19A322" w:rsidR="00DC5BE9" w:rsidRPr="003E2D55" w:rsidRDefault="00DC5BE9" w:rsidP="003E2D55">
            <w:pPr>
              <w:spacing w:before="40" w:after="40"/>
              <w:jc w:val="center"/>
              <w:rPr>
                <w:rFonts w:cs="Arial"/>
                <w:sz w:val="18"/>
                <w:szCs w:val="18"/>
              </w:rPr>
            </w:pPr>
            <w:r w:rsidRPr="003E2D55">
              <w:rPr>
                <w:rFonts w:cs="Arial"/>
                <w:sz w:val="18"/>
                <w:szCs w:val="18"/>
              </w:rPr>
              <w:t>1.10</w:t>
            </w:r>
          </w:p>
        </w:tc>
        <w:tc>
          <w:tcPr>
            <w:tcW w:w="1021" w:type="dxa"/>
            <w:tcBorders>
              <w:top w:val="nil"/>
              <w:left w:val="nil"/>
              <w:bottom w:val="nil"/>
              <w:right w:val="nil"/>
            </w:tcBorders>
            <w:shd w:val="clear" w:color="auto" w:fill="auto"/>
            <w:vAlign w:val="bottom"/>
          </w:tcPr>
          <w:p w14:paraId="143111F2" w14:textId="1F52C811" w:rsidR="00DC5BE9" w:rsidRPr="003E2D55" w:rsidRDefault="00DC5BE9" w:rsidP="003E2D55">
            <w:pPr>
              <w:spacing w:before="40" w:after="4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398A2690" w14:textId="45D1EAE0" w:rsidR="00DC5BE9" w:rsidRPr="003E2D55" w:rsidRDefault="00DC5BE9" w:rsidP="003E2D55">
            <w:pPr>
              <w:spacing w:before="40" w:after="40"/>
              <w:jc w:val="center"/>
              <w:rPr>
                <w:rFonts w:cs="Arial"/>
                <w:sz w:val="18"/>
                <w:szCs w:val="18"/>
              </w:rPr>
            </w:pPr>
            <w:r w:rsidRPr="003E2D55">
              <w:rPr>
                <w:rFonts w:cs="Arial"/>
                <w:sz w:val="18"/>
                <w:szCs w:val="18"/>
              </w:rPr>
              <w:t>10.7</w:t>
            </w:r>
          </w:p>
        </w:tc>
      </w:tr>
      <w:tr w:rsidR="00DC5BE9" w:rsidRPr="003E2D55" w14:paraId="1980B828"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18BEF239" w14:textId="77777777" w:rsidR="00DC5BE9" w:rsidRPr="003E2D55" w:rsidRDefault="00DC5BE9" w:rsidP="003E2D55">
            <w:pPr>
              <w:spacing w:before="40" w:after="40"/>
              <w:rPr>
                <w:rFonts w:cs="Arial"/>
                <w:sz w:val="18"/>
                <w:szCs w:val="18"/>
              </w:rPr>
            </w:pPr>
            <w:r w:rsidRPr="003E2D55">
              <w:rPr>
                <w:rFonts w:cs="Arial"/>
                <w:sz w:val="18"/>
                <w:szCs w:val="18"/>
              </w:rPr>
              <w:t>Buloke S</w:t>
            </w:r>
          </w:p>
        </w:tc>
        <w:tc>
          <w:tcPr>
            <w:tcW w:w="1021" w:type="dxa"/>
            <w:tcBorders>
              <w:top w:val="nil"/>
              <w:left w:val="single" w:sz="18" w:space="0" w:color="5F497A" w:themeColor="accent4" w:themeShade="BF"/>
              <w:bottom w:val="nil"/>
              <w:right w:val="nil"/>
            </w:tcBorders>
            <w:shd w:val="clear" w:color="auto" w:fill="auto"/>
            <w:vAlign w:val="bottom"/>
          </w:tcPr>
          <w:p w14:paraId="705F276E" w14:textId="3FF37020" w:rsidR="00DC5BE9" w:rsidRPr="003E2D55" w:rsidRDefault="00DC5BE9" w:rsidP="003E2D55">
            <w:pPr>
              <w:spacing w:before="40" w:after="40"/>
              <w:jc w:val="center"/>
              <w:rPr>
                <w:rFonts w:cs="Arial"/>
                <w:sz w:val="18"/>
                <w:szCs w:val="18"/>
              </w:rPr>
            </w:pPr>
            <w:r w:rsidRPr="003E2D55">
              <w:rPr>
                <w:rFonts w:cs="Arial"/>
                <w:sz w:val="18"/>
                <w:szCs w:val="18"/>
              </w:rPr>
              <w:t>1.05</w:t>
            </w:r>
          </w:p>
        </w:tc>
        <w:tc>
          <w:tcPr>
            <w:tcW w:w="907" w:type="dxa"/>
            <w:tcBorders>
              <w:top w:val="nil"/>
              <w:left w:val="nil"/>
              <w:bottom w:val="nil"/>
              <w:right w:val="nil"/>
            </w:tcBorders>
            <w:shd w:val="clear" w:color="auto" w:fill="auto"/>
            <w:vAlign w:val="bottom"/>
          </w:tcPr>
          <w:p w14:paraId="0D78A60B" w14:textId="0E852BA8"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907" w:type="dxa"/>
            <w:tcBorders>
              <w:top w:val="nil"/>
              <w:left w:val="nil"/>
              <w:bottom w:val="nil"/>
              <w:right w:val="nil"/>
            </w:tcBorders>
            <w:vAlign w:val="bottom"/>
          </w:tcPr>
          <w:p w14:paraId="6886A9DE" w14:textId="640BA8EA" w:rsidR="00DC5BE9" w:rsidRPr="003E2D55" w:rsidRDefault="00DC5BE9" w:rsidP="003E2D55">
            <w:pPr>
              <w:spacing w:before="40" w:after="40"/>
              <w:jc w:val="center"/>
              <w:rPr>
                <w:rFonts w:cs="Arial"/>
                <w:sz w:val="18"/>
                <w:szCs w:val="18"/>
              </w:rPr>
            </w:pPr>
            <w:r w:rsidRPr="003E2D55">
              <w:rPr>
                <w:rFonts w:cs="Arial"/>
                <w:sz w:val="18"/>
                <w:szCs w:val="18"/>
              </w:rPr>
              <w:t>0.76</w:t>
            </w:r>
          </w:p>
        </w:tc>
        <w:tc>
          <w:tcPr>
            <w:tcW w:w="170" w:type="dxa"/>
            <w:tcBorders>
              <w:top w:val="nil"/>
              <w:left w:val="nil"/>
              <w:bottom w:val="nil"/>
              <w:right w:val="nil"/>
            </w:tcBorders>
            <w:vAlign w:val="bottom"/>
          </w:tcPr>
          <w:p w14:paraId="112F9A7E" w14:textId="72FF6D06"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6A469C60" w14:textId="3E16834B" w:rsidR="00DC5BE9" w:rsidRPr="003E2D55" w:rsidRDefault="00DC5BE9" w:rsidP="003E2D55">
            <w:pPr>
              <w:spacing w:before="40" w:after="40"/>
              <w:jc w:val="center"/>
              <w:rPr>
                <w:rFonts w:cs="Arial"/>
                <w:sz w:val="18"/>
                <w:szCs w:val="18"/>
              </w:rPr>
            </w:pPr>
            <w:r w:rsidRPr="003E2D55">
              <w:rPr>
                <w:rFonts w:cs="Arial"/>
                <w:sz w:val="18"/>
                <w:szCs w:val="18"/>
              </w:rPr>
              <w:t>1.05</w:t>
            </w:r>
          </w:p>
        </w:tc>
        <w:tc>
          <w:tcPr>
            <w:tcW w:w="907" w:type="dxa"/>
            <w:tcBorders>
              <w:top w:val="nil"/>
              <w:left w:val="nil"/>
              <w:bottom w:val="nil"/>
              <w:right w:val="nil"/>
            </w:tcBorders>
            <w:shd w:val="clear" w:color="auto" w:fill="auto"/>
            <w:vAlign w:val="bottom"/>
          </w:tcPr>
          <w:p w14:paraId="31EA0F74" w14:textId="224ACBE8" w:rsidR="00DC5BE9" w:rsidRPr="003E2D55" w:rsidRDefault="00DC5BE9" w:rsidP="003E2D55">
            <w:pPr>
              <w:spacing w:before="40" w:after="40"/>
              <w:jc w:val="center"/>
              <w:rPr>
                <w:rFonts w:cs="Arial"/>
                <w:sz w:val="18"/>
                <w:szCs w:val="18"/>
              </w:rPr>
            </w:pPr>
            <w:r w:rsidRPr="003E2D55">
              <w:rPr>
                <w:rFonts w:cs="Arial"/>
                <w:sz w:val="18"/>
                <w:szCs w:val="18"/>
              </w:rPr>
              <w:t>1.06</w:t>
            </w:r>
          </w:p>
        </w:tc>
        <w:tc>
          <w:tcPr>
            <w:tcW w:w="1021" w:type="dxa"/>
            <w:tcBorders>
              <w:top w:val="nil"/>
              <w:left w:val="nil"/>
              <w:bottom w:val="nil"/>
              <w:right w:val="nil"/>
            </w:tcBorders>
            <w:shd w:val="clear" w:color="auto" w:fill="auto"/>
            <w:vAlign w:val="bottom"/>
          </w:tcPr>
          <w:p w14:paraId="7B5FA34A" w14:textId="23C9A9B3" w:rsidR="00DC5BE9" w:rsidRPr="003E2D55" w:rsidRDefault="00DC5BE9" w:rsidP="003E2D55">
            <w:pPr>
              <w:spacing w:before="40" w:after="40"/>
              <w:jc w:val="center"/>
              <w:rPr>
                <w:rFonts w:cs="Arial"/>
                <w:sz w:val="18"/>
                <w:szCs w:val="18"/>
              </w:rPr>
            </w:pPr>
            <w:r w:rsidRPr="003E2D55">
              <w:rPr>
                <w:rFonts w:cs="Arial"/>
                <w:sz w:val="18"/>
                <w:szCs w:val="18"/>
              </w:rPr>
              <w:t>1.01</w:t>
            </w:r>
          </w:p>
        </w:tc>
        <w:tc>
          <w:tcPr>
            <w:tcW w:w="1021" w:type="dxa"/>
            <w:tcBorders>
              <w:top w:val="nil"/>
              <w:left w:val="nil"/>
              <w:bottom w:val="nil"/>
              <w:right w:val="nil"/>
            </w:tcBorders>
            <w:shd w:val="clear" w:color="auto" w:fill="auto"/>
            <w:vAlign w:val="bottom"/>
          </w:tcPr>
          <w:p w14:paraId="1F083908" w14:textId="0A7FFEF3" w:rsidR="00DC5BE9" w:rsidRPr="003E2D55" w:rsidRDefault="00DC5BE9" w:rsidP="003E2D55">
            <w:pPr>
              <w:spacing w:before="40" w:after="40"/>
              <w:jc w:val="center"/>
              <w:rPr>
                <w:rFonts w:cs="Arial"/>
                <w:sz w:val="18"/>
                <w:szCs w:val="18"/>
              </w:rPr>
            </w:pPr>
            <w:r w:rsidRPr="003E2D55">
              <w:rPr>
                <w:rFonts w:cs="Arial"/>
                <w:sz w:val="18"/>
                <w:szCs w:val="18"/>
              </w:rPr>
              <w:t>11.2</w:t>
            </w:r>
          </w:p>
        </w:tc>
      </w:tr>
      <w:tr w:rsidR="00DC5BE9" w:rsidRPr="003E2D55" w14:paraId="581362E2"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7A259E9C" w14:textId="77777777" w:rsidR="00DC5BE9" w:rsidRPr="003E2D55" w:rsidRDefault="00DC5BE9" w:rsidP="003E2D55">
            <w:pPr>
              <w:spacing w:before="40" w:after="40"/>
              <w:rPr>
                <w:rFonts w:cs="Arial"/>
                <w:sz w:val="18"/>
                <w:szCs w:val="18"/>
              </w:rPr>
            </w:pPr>
            <w:r w:rsidRPr="003E2D55">
              <w:rPr>
                <w:rFonts w:cs="Arial"/>
                <w:sz w:val="18"/>
                <w:szCs w:val="18"/>
              </w:rPr>
              <w:t>Campaspe S</w:t>
            </w:r>
          </w:p>
        </w:tc>
        <w:tc>
          <w:tcPr>
            <w:tcW w:w="1021" w:type="dxa"/>
            <w:tcBorders>
              <w:top w:val="nil"/>
              <w:left w:val="single" w:sz="18" w:space="0" w:color="5F497A" w:themeColor="accent4" w:themeShade="BF"/>
              <w:bottom w:val="nil"/>
              <w:right w:val="nil"/>
            </w:tcBorders>
            <w:shd w:val="clear" w:color="auto" w:fill="auto"/>
            <w:vAlign w:val="bottom"/>
          </w:tcPr>
          <w:p w14:paraId="1042BCD6" w14:textId="19943417" w:rsidR="00DC5BE9" w:rsidRPr="003E2D55" w:rsidRDefault="00DC5BE9" w:rsidP="003E2D55">
            <w:pPr>
              <w:spacing w:before="40" w:after="40"/>
              <w:jc w:val="center"/>
              <w:rPr>
                <w:rFonts w:cs="Arial"/>
                <w:sz w:val="18"/>
                <w:szCs w:val="18"/>
              </w:rPr>
            </w:pPr>
            <w:r w:rsidRPr="003E2D55">
              <w:rPr>
                <w:rFonts w:cs="Arial"/>
                <w:sz w:val="18"/>
                <w:szCs w:val="18"/>
              </w:rPr>
              <w:t>1.03</w:t>
            </w:r>
          </w:p>
        </w:tc>
        <w:tc>
          <w:tcPr>
            <w:tcW w:w="907" w:type="dxa"/>
            <w:tcBorders>
              <w:top w:val="nil"/>
              <w:left w:val="nil"/>
              <w:bottom w:val="nil"/>
              <w:right w:val="nil"/>
            </w:tcBorders>
            <w:shd w:val="clear" w:color="auto" w:fill="auto"/>
            <w:vAlign w:val="bottom"/>
          </w:tcPr>
          <w:p w14:paraId="6B532273" w14:textId="252B954E"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907" w:type="dxa"/>
            <w:tcBorders>
              <w:top w:val="nil"/>
              <w:left w:val="nil"/>
              <w:bottom w:val="nil"/>
              <w:right w:val="nil"/>
            </w:tcBorders>
            <w:vAlign w:val="bottom"/>
          </w:tcPr>
          <w:p w14:paraId="6F5D8545" w14:textId="1DAA3AEB" w:rsidR="00DC5BE9" w:rsidRPr="003E2D55" w:rsidRDefault="00DC5BE9" w:rsidP="003E2D55">
            <w:pPr>
              <w:spacing w:before="40" w:after="40"/>
              <w:jc w:val="center"/>
              <w:rPr>
                <w:rFonts w:cs="Arial"/>
                <w:sz w:val="18"/>
                <w:szCs w:val="18"/>
              </w:rPr>
            </w:pPr>
            <w:r w:rsidRPr="003E2D55">
              <w:rPr>
                <w:rFonts w:cs="Arial"/>
                <w:sz w:val="18"/>
                <w:szCs w:val="18"/>
              </w:rPr>
              <w:t>0.79</w:t>
            </w:r>
          </w:p>
        </w:tc>
        <w:tc>
          <w:tcPr>
            <w:tcW w:w="170" w:type="dxa"/>
            <w:tcBorders>
              <w:top w:val="nil"/>
              <w:left w:val="nil"/>
              <w:bottom w:val="nil"/>
              <w:right w:val="nil"/>
            </w:tcBorders>
            <w:vAlign w:val="bottom"/>
          </w:tcPr>
          <w:p w14:paraId="71CE8CB1" w14:textId="4C0671F8"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1BF86068" w14:textId="07C208CA" w:rsidR="00DC5BE9" w:rsidRPr="003E2D55" w:rsidRDefault="00DC5BE9" w:rsidP="003E2D55">
            <w:pPr>
              <w:spacing w:before="40" w:after="40"/>
              <w:jc w:val="center"/>
              <w:rPr>
                <w:rFonts w:cs="Arial"/>
                <w:sz w:val="18"/>
                <w:szCs w:val="18"/>
              </w:rPr>
            </w:pPr>
            <w:r w:rsidRPr="003E2D55">
              <w:rPr>
                <w:rFonts w:cs="Arial"/>
                <w:sz w:val="18"/>
                <w:szCs w:val="18"/>
              </w:rPr>
              <w:t>1.05</w:t>
            </w:r>
          </w:p>
        </w:tc>
        <w:tc>
          <w:tcPr>
            <w:tcW w:w="907" w:type="dxa"/>
            <w:tcBorders>
              <w:top w:val="nil"/>
              <w:left w:val="nil"/>
              <w:bottom w:val="nil"/>
              <w:right w:val="nil"/>
            </w:tcBorders>
            <w:shd w:val="clear" w:color="auto" w:fill="auto"/>
            <w:vAlign w:val="bottom"/>
          </w:tcPr>
          <w:p w14:paraId="2297443C" w14:textId="2B331A14" w:rsidR="00DC5BE9" w:rsidRPr="003E2D55" w:rsidRDefault="00DC5BE9" w:rsidP="003E2D55">
            <w:pPr>
              <w:spacing w:before="40" w:after="40"/>
              <w:jc w:val="center"/>
              <w:rPr>
                <w:rFonts w:cs="Arial"/>
                <w:sz w:val="18"/>
                <w:szCs w:val="18"/>
              </w:rPr>
            </w:pPr>
            <w:r w:rsidRPr="003E2D55">
              <w:rPr>
                <w:rFonts w:cs="Arial"/>
                <w:sz w:val="18"/>
                <w:szCs w:val="18"/>
              </w:rPr>
              <w:t>1.05</w:t>
            </w:r>
          </w:p>
        </w:tc>
        <w:tc>
          <w:tcPr>
            <w:tcW w:w="1021" w:type="dxa"/>
            <w:tcBorders>
              <w:top w:val="nil"/>
              <w:left w:val="nil"/>
              <w:bottom w:val="nil"/>
              <w:right w:val="nil"/>
            </w:tcBorders>
            <w:shd w:val="clear" w:color="auto" w:fill="auto"/>
            <w:vAlign w:val="bottom"/>
          </w:tcPr>
          <w:p w14:paraId="20216C18" w14:textId="502A183A" w:rsidR="00DC5BE9" w:rsidRPr="003E2D55" w:rsidRDefault="00DC5BE9" w:rsidP="003E2D55">
            <w:pPr>
              <w:spacing w:before="40" w:after="40"/>
              <w:jc w:val="center"/>
              <w:rPr>
                <w:rFonts w:cs="Arial"/>
                <w:sz w:val="18"/>
                <w:szCs w:val="18"/>
              </w:rPr>
            </w:pPr>
            <w:r w:rsidRPr="003E2D55">
              <w:rPr>
                <w:rFonts w:cs="Arial"/>
                <w:sz w:val="18"/>
                <w:szCs w:val="18"/>
              </w:rPr>
              <w:t>0.99</w:t>
            </w:r>
          </w:p>
        </w:tc>
        <w:tc>
          <w:tcPr>
            <w:tcW w:w="1021" w:type="dxa"/>
            <w:tcBorders>
              <w:top w:val="nil"/>
              <w:left w:val="nil"/>
              <w:bottom w:val="nil"/>
              <w:right w:val="nil"/>
            </w:tcBorders>
            <w:shd w:val="clear" w:color="auto" w:fill="auto"/>
            <w:vAlign w:val="bottom"/>
          </w:tcPr>
          <w:p w14:paraId="3D3C9455" w14:textId="79F05A95" w:rsidR="00DC5BE9" w:rsidRPr="003E2D55" w:rsidRDefault="00DC5BE9" w:rsidP="003E2D55">
            <w:pPr>
              <w:spacing w:before="40" w:after="40"/>
              <w:jc w:val="center"/>
              <w:rPr>
                <w:rFonts w:cs="Arial"/>
                <w:sz w:val="18"/>
                <w:szCs w:val="18"/>
              </w:rPr>
            </w:pPr>
            <w:r w:rsidRPr="003E2D55">
              <w:rPr>
                <w:rFonts w:cs="Arial"/>
                <w:sz w:val="18"/>
                <w:szCs w:val="18"/>
              </w:rPr>
              <w:t>49.8</w:t>
            </w:r>
          </w:p>
        </w:tc>
      </w:tr>
      <w:tr w:rsidR="00DC5BE9" w:rsidRPr="003E2D55" w14:paraId="22F4E702"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7AC5686A" w14:textId="77777777" w:rsidR="00DC5BE9" w:rsidRPr="003E2D55" w:rsidRDefault="00DC5BE9" w:rsidP="003E2D55">
            <w:pPr>
              <w:spacing w:before="40" w:after="40"/>
              <w:rPr>
                <w:rFonts w:cs="Arial"/>
                <w:sz w:val="18"/>
                <w:szCs w:val="18"/>
              </w:rPr>
            </w:pPr>
            <w:r w:rsidRPr="003E2D55">
              <w:rPr>
                <w:rFonts w:cs="Arial"/>
                <w:sz w:val="18"/>
                <w:szCs w:val="18"/>
              </w:rPr>
              <w:t>Cardinia S</w:t>
            </w:r>
          </w:p>
        </w:tc>
        <w:tc>
          <w:tcPr>
            <w:tcW w:w="1021" w:type="dxa"/>
            <w:tcBorders>
              <w:top w:val="nil"/>
              <w:left w:val="single" w:sz="18" w:space="0" w:color="5F497A" w:themeColor="accent4" w:themeShade="BF"/>
              <w:bottom w:val="nil"/>
              <w:right w:val="nil"/>
            </w:tcBorders>
            <w:shd w:val="clear" w:color="auto" w:fill="auto"/>
            <w:vAlign w:val="bottom"/>
          </w:tcPr>
          <w:p w14:paraId="0243B56E" w14:textId="5ACCE8D3"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7A93E771" w14:textId="3EB46E46" w:rsidR="00DC5BE9" w:rsidRPr="003E2D55" w:rsidRDefault="00DC5BE9" w:rsidP="003E2D55">
            <w:pPr>
              <w:spacing w:before="40" w:after="40"/>
              <w:jc w:val="center"/>
              <w:rPr>
                <w:rFonts w:cs="Arial"/>
                <w:sz w:val="18"/>
                <w:szCs w:val="18"/>
              </w:rPr>
            </w:pPr>
            <w:r w:rsidRPr="003E2D55">
              <w:rPr>
                <w:rFonts w:cs="Arial"/>
                <w:sz w:val="18"/>
                <w:szCs w:val="18"/>
              </w:rPr>
              <w:t>1.02</w:t>
            </w:r>
          </w:p>
        </w:tc>
        <w:tc>
          <w:tcPr>
            <w:tcW w:w="907" w:type="dxa"/>
            <w:tcBorders>
              <w:top w:val="nil"/>
              <w:left w:val="nil"/>
              <w:bottom w:val="nil"/>
              <w:right w:val="nil"/>
            </w:tcBorders>
            <w:vAlign w:val="bottom"/>
          </w:tcPr>
          <w:p w14:paraId="1722D9E2" w14:textId="6A960D2C" w:rsidR="00DC5BE9" w:rsidRPr="003E2D55" w:rsidRDefault="00DC5BE9" w:rsidP="003E2D55">
            <w:pPr>
              <w:spacing w:before="40" w:after="40"/>
              <w:jc w:val="center"/>
              <w:rPr>
                <w:rFonts w:cs="Arial"/>
                <w:sz w:val="18"/>
                <w:szCs w:val="18"/>
              </w:rPr>
            </w:pPr>
            <w:r w:rsidRPr="003E2D55">
              <w:rPr>
                <w:rFonts w:cs="Arial"/>
                <w:sz w:val="18"/>
                <w:szCs w:val="18"/>
              </w:rPr>
              <w:t>1.07</w:t>
            </w:r>
          </w:p>
        </w:tc>
        <w:tc>
          <w:tcPr>
            <w:tcW w:w="170" w:type="dxa"/>
            <w:tcBorders>
              <w:top w:val="nil"/>
              <w:left w:val="nil"/>
              <w:bottom w:val="nil"/>
              <w:right w:val="nil"/>
            </w:tcBorders>
            <w:vAlign w:val="bottom"/>
          </w:tcPr>
          <w:p w14:paraId="2F0D7903" w14:textId="2E4F1B6D"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32E82DA0" w14:textId="0CA0D06B"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102B1C2F" w14:textId="0D1D5A4F"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60E4EE5F" w14:textId="3492C08C"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49998E4C" w14:textId="7CF18B07" w:rsidR="00DC5BE9" w:rsidRPr="003E2D55" w:rsidRDefault="00DC5BE9" w:rsidP="003E2D55">
            <w:pPr>
              <w:spacing w:before="40" w:after="40"/>
              <w:jc w:val="center"/>
              <w:rPr>
                <w:rFonts w:cs="Arial"/>
                <w:sz w:val="18"/>
                <w:szCs w:val="18"/>
              </w:rPr>
            </w:pPr>
            <w:r w:rsidRPr="003E2D55">
              <w:rPr>
                <w:rFonts w:cs="Arial"/>
                <w:sz w:val="18"/>
                <w:szCs w:val="18"/>
              </w:rPr>
              <w:t>43.0</w:t>
            </w:r>
          </w:p>
        </w:tc>
      </w:tr>
      <w:tr w:rsidR="00DC5BE9" w:rsidRPr="003E2D55" w14:paraId="4B7D8CA2"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284EF2B2" w14:textId="77777777" w:rsidR="00DC5BE9" w:rsidRPr="003E2D55" w:rsidRDefault="00DC5BE9" w:rsidP="003E2D55">
            <w:pPr>
              <w:spacing w:before="40" w:after="40"/>
              <w:rPr>
                <w:rFonts w:cs="Arial"/>
                <w:sz w:val="18"/>
                <w:szCs w:val="18"/>
              </w:rPr>
            </w:pPr>
            <w:r w:rsidRPr="003E2D55">
              <w:rPr>
                <w:rFonts w:cs="Arial"/>
                <w:sz w:val="18"/>
                <w:szCs w:val="18"/>
              </w:rPr>
              <w:t>Casey C</w:t>
            </w:r>
          </w:p>
        </w:tc>
        <w:tc>
          <w:tcPr>
            <w:tcW w:w="1021" w:type="dxa"/>
            <w:tcBorders>
              <w:top w:val="nil"/>
              <w:left w:val="single" w:sz="18" w:space="0" w:color="5F497A" w:themeColor="accent4" w:themeShade="BF"/>
              <w:bottom w:val="nil"/>
              <w:right w:val="nil"/>
            </w:tcBorders>
            <w:shd w:val="clear" w:color="auto" w:fill="auto"/>
            <w:vAlign w:val="bottom"/>
          </w:tcPr>
          <w:p w14:paraId="77C16EA0" w14:textId="02962259"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907" w:type="dxa"/>
            <w:tcBorders>
              <w:top w:val="nil"/>
              <w:left w:val="nil"/>
              <w:bottom w:val="nil"/>
              <w:right w:val="nil"/>
            </w:tcBorders>
            <w:shd w:val="clear" w:color="auto" w:fill="auto"/>
            <w:vAlign w:val="bottom"/>
          </w:tcPr>
          <w:p w14:paraId="52BDF9C4" w14:textId="0EB824F4" w:rsidR="00DC5BE9" w:rsidRPr="003E2D55" w:rsidRDefault="00DC5BE9" w:rsidP="003E2D55">
            <w:pPr>
              <w:spacing w:before="40" w:after="40"/>
              <w:jc w:val="center"/>
              <w:rPr>
                <w:rFonts w:cs="Arial"/>
                <w:sz w:val="18"/>
                <w:szCs w:val="18"/>
              </w:rPr>
            </w:pPr>
            <w:r w:rsidRPr="003E2D55">
              <w:rPr>
                <w:rFonts w:cs="Arial"/>
                <w:sz w:val="18"/>
                <w:szCs w:val="18"/>
              </w:rPr>
              <w:t>1.02</w:t>
            </w:r>
          </w:p>
        </w:tc>
        <w:tc>
          <w:tcPr>
            <w:tcW w:w="907" w:type="dxa"/>
            <w:tcBorders>
              <w:top w:val="nil"/>
              <w:left w:val="nil"/>
              <w:bottom w:val="nil"/>
              <w:right w:val="nil"/>
            </w:tcBorders>
            <w:vAlign w:val="bottom"/>
          </w:tcPr>
          <w:p w14:paraId="5D23C7F7" w14:textId="2A39FCEF" w:rsidR="00DC5BE9" w:rsidRPr="003E2D55" w:rsidRDefault="00DC5BE9" w:rsidP="003E2D55">
            <w:pPr>
              <w:spacing w:before="40" w:after="40"/>
              <w:jc w:val="center"/>
              <w:rPr>
                <w:rFonts w:cs="Arial"/>
                <w:sz w:val="18"/>
                <w:szCs w:val="18"/>
              </w:rPr>
            </w:pPr>
            <w:r w:rsidRPr="003E2D55">
              <w:rPr>
                <w:rFonts w:cs="Arial"/>
                <w:sz w:val="18"/>
                <w:szCs w:val="18"/>
              </w:rPr>
              <w:t>0.98</w:t>
            </w:r>
          </w:p>
        </w:tc>
        <w:tc>
          <w:tcPr>
            <w:tcW w:w="170" w:type="dxa"/>
            <w:tcBorders>
              <w:top w:val="nil"/>
              <w:left w:val="nil"/>
              <w:bottom w:val="nil"/>
              <w:right w:val="nil"/>
            </w:tcBorders>
            <w:vAlign w:val="bottom"/>
          </w:tcPr>
          <w:p w14:paraId="40BB40EC" w14:textId="2BDBE064"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6AB670AD" w14:textId="295C1899"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740D9FF8" w14:textId="237C9D20"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1021" w:type="dxa"/>
            <w:tcBorders>
              <w:top w:val="nil"/>
              <w:left w:val="nil"/>
              <w:bottom w:val="nil"/>
              <w:right w:val="nil"/>
            </w:tcBorders>
            <w:shd w:val="clear" w:color="auto" w:fill="auto"/>
            <w:vAlign w:val="bottom"/>
          </w:tcPr>
          <w:p w14:paraId="49BEE85A" w14:textId="0E67012C"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3BE496E4" w14:textId="20A4BCFE" w:rsidR="00DC5BE9" w:rsidRPr="003E2D55" w:rsidRDefault="00DC5BE9" w:rsidP="003E2D55">
            <w:pPr>
              <w:spacing w:before="40" w:after="40"/>
              <w:jc w:val="center"/>
              <w:rPr>
                <w:rFonts w:cs="Arial"/>
                <w:sz w:val="18"/>
                <w:szCs w:val="18"/>
              </w:rPr>
            </w:pPr>
            <w:r w:rsidRPr="003E2D55">
              <w:rPr>
                <w:rFonts w:cs="Arial"/>
                <w:sz w:val="18"/>
                <w:szCs w:val="18"/>
              </w:rPr>
              <w:t>13.6</w:t>
            </w:r>
          </w:p>
        </w:tc>
      </w:tr>
      <w:tr w:rsidR="00DC5BE9" w:rsidRPr="003E2D55" w14:paraId="265B71CB"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2A88FA98" w14:textId="77777777" w:rsidR="00DC5BE9" w:rsidRPr="003E2D55" w:rsidRDefault="00DC5BE9" w:rsidP="003E2D55">
            <w:pPr>
              <w:spacing w:before="40" w:after="40"/>
              <w:rPr>
                <w:rFonts w:cs="Arial"/>
                <w:sz w:val="18"/>
                <w:szCs w:val="18"/>
              </w:rPr>
            </w:pPr>
            <w:r w:rsidRPr="003E2D55">
              <w:rPr>
                <w:rFonts w:cs="Arial"/>
                <w:sz w:val="18"/>
                <w:szCs w:val="18"/>
              </w:rPr>
              <w:t>Central Goldfields S</w:t>
            </w:r>
          </w:p>
        </w:tc>
        <w:tc>
          <w:tcPr>
            <w:tcW w:w="1021" w:type="dxa"/>
            <w:tcBorders>
              <w:top w:val="nil"/>
              <w:left w:val="single" w:sz="18" w:space="0" w:color="5F497A" w:themeColor="accent4" w:themeShade="BF"/>
              <w:bottom w:val="nil"/>
              <w:right w:val="nil"/>
            </w:tcBorders>
            <w:shd w:val="clear" w:color="auto" w:fill="auto"/>
            <w:vAlign w:val="bottom"/>
          </w:tcPr>
          <w:p w14:paraId="64026798" w14:textId="2BBA9670" w:rsidR="00DC5BE9" w:rsidRPr="003E2D55" w:rsidRDefault="00DC5BE9" w:rsidP="003E2D55">
            <w:pPr>
              <w:spacing w:before="40" w:after="40"/>
              <w:jc w:val="center"/>
              <w:rPr>
                <w:rFonts w:cs="Arial"/>
                <w:sz w:val="18"/>
                <w:szCs w:val="18"/>
              </w:rPr>
            </w:pPr>
            <w:r w:rsidRPr="003E2D55">
              <w:rPr>
                <w:rFonts w:cs="Arial"/>
                <w:sz w:val="18"/>
                <w:szCs w:val="18"/>
              </w:rPr>
              <w:t>0.99</w:t>
            </w:r>
          </w:p>
        </w:tc>
        <w:tc>
          <w:tcPr>
            <w:tcW w:w="907" w:type="dxa"/>
            <w:tcBorders>
              <w:top w:val="nil"/>
              <w:left w:val="nil"/>
              <w:bottom w:val="nil"/>
              <w:right w:val="nil"/>
            </w:tcBorders>
            <w:shd w:val="clear" w:color="auto" w:fill="auto"/>
            <w:vAlign w:val="bottom"/>
          </w:tcPr>
          <w:p w14:paraId="4B4D0BE8" w14:textId="5791165B"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907" w:type="dxa"/>
            <w:tcBorders>
              <w:top w:val="nil"/>
              <w:left w:val="nil"/>
              <w:bottom w:val="nil"/>
              <w:right w:val="nil"/>
            </w:tcBorders>
            <w:vAlign w:val="bottom"/>
          </w:tcPr>
          <w:p w14:paraId="65CEAD61" w14:textId="2DB174F3" w:rsidR="00DC5BE9" w:rsidRPr="003E2D55" w:rsidRDefault="00DC5BE9" w:rsidP="003E2D55">
            <w:pPr>
              <w:spacing w:before="40" w:after="40"/>
              <w:jc w:val="center"/>
              <w:rPr>
                <w:rFonts w:cs="Arial"/>
                <w:sz w:val="18"/>
                <w:szCs w:val="18"/>
              </w:rPr>
            </w:pPr>
            <w:r w:rsidRPr="003E2D55">
              <w:rPr>
                <w:rFonts w:cs="Arial"/>
                <w:sz w:val="18"/>
                <w:szCs w:val="18"/>
              </w:rPr>
              <w:t>0.80</w:t>
            </w:r>
          </w:p>
        </w:tc>
        <w:tc>
          <w:tcPr>
            <w:tcW w:w="170" w:type="dxa"/>
            <w:tcBorders>
              <w:top w:val="nil"/>
              <w:left w:val="nil"/>
              <w:bottom w:val="nil"/>
              <w:right w:val="nil"/>
            </w:tcBorders>
            <w:vAlign w:val="bottom"/>
          </w:tcPr>
          <w:p w14:paraId="44DE43DF" w14:textId="2D3C3438"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1DDE8F7D" w14:textId="0CE34591" w:rsidR="00DC5BE9" w:rsidRPr="003E2D55" w:rsidRDefault="00DC5BE9" w:rsidP="003E2D55">
            <w:pPr>
              <w:spacing w:before="40" w:after="40"/>
              <w:jc w:val="center"/>
              <w:rPr>
                <w:rFonts w:cs="Arial"/>
                <w:sz w:val="18"/>
                <w:szCs w:val="18"/>
              </w:rPr>
            </w:pPr>
            <w:r w:rsidRPr="003E2D55">
              <w:rPr>
                <w:rFonts w:cs="Arial"/>
                <w:sz w:val="18"/>
                <w:szCs w:val="18"/>
              </w:rPr>
              <w:t>1.02</w:t>
            </w:r>
          </w:p>
        </w:tc>
        <w:tc>
          <w:tcPr>
            <w:tcW w:w="907" w:type="dxa"/>
            <w:tcBorders>
              <w:top w:val="nil"/>
              <w:left w:val="nil"/>
              <w:bottom w:val="nil"/>
              <w:right w:val="nil"/>
            </w:tcBorders>
            <w:shd w:val="clear" w:color="auto" w:fill="auto"/>
            <w:vAlign w:val="bottom"/>
          </w:tcPr>
          <w:p w14:paraId="7E338134" w14:textId="7872B402" w:rsidR="00DC5BE9" w:rsidRPr="003E2D55" w:rsidRDefault="00DC5BE9" w:rsidP="003E2D55">
            <w:pPr>
              <w:spacing w:before="40" w:after="40"/>
              <w:jc w:val="center"/>
              <w:rPr>
                <w:rFonts w:cs="Arial"/>
                <w:sz w:val="18"/>
                <w:szCs w:val="18"/>
              </w:rPr>
            </w:pPr>
            <w:r w:rsidRPr="003E2D55">
              <w:rPr>
                <w:rFonts w:cs="Arial"/>
                <w:sz w:val="18"/>
                <w:szCs w:val="18"/>
              </w:rPr>
              <w:t>1.05</w:t>
            </w:r>
          </w:p>
        </w:tc>
        <w:tc>
          <w:tcPr>
            <w:tcW w:w="1021" w:type="dxa"/>
            <w:tcBorders>
              <w:top w:val="nil"/>
              <w:left w:val="nil"/>
              <w:bottom w:val="nil"/>
              <w:right w:val="nil"/>
            </w:tcBorders>
            <w:shd w:val="clear" w:color="auto" w:fill="auto"/>
            <w:vAlign w:val="bottom"/>
          </w:tcPr>
          <w:p w14:paraId="18F09D15" w14:textId="7197565E"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61C6E566" w14:textId="55D93541" w:rsidR="00DC5BE9" w:rsidRPr="003E2D55" w:rsidRDefault="00DC5BE9" w:rsidP="003E2D55">
            <w:pPr>
              <w:spacing w:before="40" w:after="40"/>
              <w:jc w:val="center"/>
              <w:rPr>
                <w:rFonts w:cs="Arial"/>
                <w:sz w:val="18"/>
                <w:szCs w:val="18"/>
              </w:rPr>
            </w:pPr>
            <w:r w:rsidRPr="003E2D55">
              <w:rPr>
                <w:rFonts w:cs="Arial"/>
                <w:sz w:val="18"/>
                <w:szCs w:val="18"/>
              </w:rPr>
              <w:t>21.6</w:t>
            </w:r>
          </w:p>
        </w:tc>
      </w:tr>
      <w:tr w:rsidR="00DC5BE9" w:rsidRPr="003E2D55" w14:paraId="7F7479AB"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1D293644" w14:textId="77777777" w:rsidR="00DC5BE9" w:rsidRPr="003E2D55" w:rsidRDefault="00DC5BE9" w:rsidP="003E2D55">
            <w:pPr>
              <w:spacing w:before="40" w:after="40"/>
              <w:rPr>
                <w:rFonts w:cs="Arial"/>
                <w:sz w:val="18"/>
                <w:szCs w:val="18"/>
              </w:rPr>
            </w:pPr>
            <w:r w:rsidRPr="003E2D55">
              <w:rPr>
                <w:rFonts w:cs="Arial"/>
                <w:sz w:val="18"/>
                <w:szCs w:val="18"/>
              </w:rPr>
              <w:t>Colac Otway S</w:t>
            </w:r>
          </w:p>
        </w:tc>
        <w:tc>
          <w:tcPr>
            <w:tcW w:w="1021" w:type="dxa"/>
            <w:tcBorders>
              <w:top w:val="nil"/>
              <w:left w:val="single" w:sz="18" w:space="0" w:color="5F497A" w:themeColor="accent4" w:themeShade="BF"/>
              <w:bottom w:val="nil"/>
              <w:right w:val="nil"/>
            </w:tcBorders>
            <w:shd w:val="clear" w:color="auto" w:fill="auto"/>
            <w:vAlign w:val="bottom"/>
          </w:tcPr>
          <w:p w14:paraId="5113870C" w14:textId="3666CDDA" w:rsidR="00DC5BE9" w:rsidRPr="003E2D55" w:rsidRDefault="00DC5BE9" w:rsidP="003E2D55">
            <w:pPr>
              <w:spacing w:before="40" w:after="40"/>
              <w:jc w:val="center"/>
              <w:rPr>
                <w:rFonts w:cs="Arial"/>
                <w:sz w:val="18"/>
                <w:szCs w:val="18"/>
              </w:rPr>
            </w:pPr>
            <w:r w:rsidRPr="003E2D55">
              <w:rPr>
                <w:rFonts w:cs="Arial"/>
                <w:sz w:val="18"/>
                <w:szCs w:val="18"/>
              </w:rPr>
              <w:t>1.03</w:t>
            </w:r>
          </w:p>
        </w:tc>
        <w:tc>
          <w:tcPr>
            <w:tcW w:w="907" w:type="dxa"/>
            <w:tcBorders>
              <w:top w:val="nil"/>
              <w:left w:val="nil"/>
              <w:bottom w:val="nil"/>
              <w:right w:val="nil"/>
            </w:tcBorders>
            <w:shd w:val="clear" w:color="auto" w:fill="auto"/>
            <w:vAlign w:val="bottom"/>
          </w:tcPr>
          <w:p w14:paraId="7530C7F9" w14:textId="4CCFA0A5" w:rsidR="00DC5BE9" w:rsidRPr="003E2D55" w:rsidRDefault="00DC5BE9" w:rsidP="003E2D55">
            <w:pPr>
              <w:spacing w:before="40" w:after="40"/>
              <w:jc w:val="center"/>
              <w:rPr>
                <w:rFonts w:cs="Arial"/>
                <w:sz w:val="18"/>
                <w:szCs w:val="18"/>
              </w:rPr>
            </w:pPr>
            <w:r w:rsidRPr="003E2D55">
              <w:rPr>
                <w:rFonts w:cs="Arial"/>
                <w:sz w:val="18"/>
                <w:szCs w:val="18"/>
              </w:rPr>
              <w:t>1.10</w:t>
            </w:r>
          </w:p>
        </w:tc>
        <w:tc>
          <w:tcPr>
            <w:tcW w:w="907" w:type="dxa"/>
            <w:tcBorders>
              <w:top w:val="nil"/>
              <w:left w:val="nil"/>
              <w:bottom w:val="nil"/>
              <w:right w:val="nil"/>
            </w:tcBorders>
            <w:vAlign w:val="bottom"/>
          </w:tcPr>
          <w:p w14:paraId="6B749BE2" w14:textId="0662B354" w:rsidR="00DC5BE9" w:rsidRPr="003E2D55" w:rsidRDefault="00DC5BE9" w:rsidP="003E2D55">
            <w:pPr>
              <w:spacing w:before="40" w:after="40"/>
              <w:jc w:val="center"/>
              <w:rPr>
                <w:rFonts w:cs="Arial"/>
                <w:sz w:val="18"/>
                <w:szCs w:val="18"/>
              </w:rPr>
            </w:pPr>
            <w:r w:rsidRPr="003E2D55">
              <w:rPr>
                <w:rFonts w:cs="Arial"/>
                <w:sz w:val="18"/>
                <w:szCs w:val="18"/>
              </w:rPr>
              <w:t>1.19</w:t>
            </w:r>
          </w:p>
        </w:tc>
        <w:tc>
          <w:tcPr>
            <w:tcW w:w="170" w:type="dxa"/>
            <w:tcBorders>
              <w:top w:val="nil"/>
              <w:left w:val="nil"/>
              <w:bottom w:val="nil"/>
              <w:right w:val="nil"/>
            </w:tcBorders>
            <w:vAlign w:val="bottom"/>
          </w:tcPr>
          <w:p w14:paraId="738D13D3" w14:textId="79AC24A7"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063E870F" w14:textId="1DBE90EA" w:rsidR="00DC5BE9" w:rsidRPr="003E2D55" w:rsidRDefault="00DC5BE9" w:rsidP="003E2D55">
            <w:pPr>
              <w:spacing w:before="40" w:after="40"/>
              <w:jc w:val="center"/>
              <w:rPr>
                <w:rFonts w:cs="Arial"/>
                <w:sz w:val="18"/>
                <w:szCs w:val="18"/>
              </w:rPr>
            </w:pPr>
            <w:r w:rsidRPr="003E2D55">
              <w:rPr>
                <w:rFonts w:cs="Arial"/>
                <w:sz w:val="18"/>
                <w:szCs w:val="18"/>
              </w:rPr>
              <w:t>0.95</w:t>
            </w:r>
          </w:p>
        </w:tc>
        <w:tc>
          <w:tcPr>
            <w:tcW w:w="907" w:type="dxa"/>
            <w:tcBorders>
              <w:top w:val="nil"/>
              <w:left w:val="nil"/>
              <w:bottom w:val="nil"/>
              <w:right w:val="nil"/>
            </w:tcBorders>
            <w:shd w:val="clear" w:color="auto" w:fill="auto"/>
            <w:vAlign w:val="bottom"/>
          </w:tcPr>
          <w:p w14:paraId="27CFF23D" w14:textId="1135400B"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6F8CD2F1" w14:textId="26B3E4F0"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08855E04" w14:textId="5E628BB3" w:rsidR="00DC5BE9" w:rsidRPr="003E2D55" w:rsidRDefault="00DC5BE9" w:rsidP="003E2D55">
            <w:pPr>
              <w:spacing w:before="40" w:after="40"/>
              <w:jc w:val="center"/>
              <w:rPr>
                <w:rFonts w:cs="Arial"/>
                <w:sz w:val="18"/>
                <w:szCs w:val="18"/>
              </w:rPr>
            </w:pPr>
            <w:r w:rsidRPr="003E2D55">
              <w:rPr>
                <w:rFonts w:cs="Arial"/>
                <w:sz w:val="18"/>
                <w:szCs w:val="18"/>
              </w:rPr>
              <w:t>36.1</w:t>
            </w:r>
          </w:p>
        </w:tc>
      </w:tr>
      <w:tr w:rsidR="00DC5BE9" w:rsidRPr="003E2D55" w14:paraId="485FD141"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326C9A7F" w14:textId="77777777" w:rsidR="00DC5BE9" w:rsidRPr="003E2D55" w:rsidRDefault="00DC5BE9" w:rsidP="003E2D55">
            <w:pPr>
              <w:spacing w:before="40" w:after="40"/>
              <w:rPr>
                <w:rFonts w:cs="Arial"/>
                <w:sz w:val="18"/>
                <w:szCs w:val="18"/>
              </w:rPr>
            </w:pPr>
            <w:r w:rsidRPr="003E2D55">
              <w:rPr>
                <w:rFonts w:cs="Arial"/>
                <w:sz w:val="18"/>
                <w:szCs w:val="18"/>
              </w:rPr>
              <w:t>Corangamite S</w:t>
            </w:r>
          </w:p>
        </w:tc>
        <w:tc>
          <w:tcPr>
            <w:tcW w:w="1021" w:type="dxa"/>
            <w:tcBorders>
              <w:top w:val="nil"/>
              <w:left w:val="single" w:sz="18" w:space="0" w:color="5F497A" w:themeColor="accent4" w:themeShade="BF"/>
              <w:bottom w:val="nil"/>
              <w:right w:val="nil"/>
            </w:tcBorders>
            <w:shd w:val="clear" w:color="auto" w:fill="auto"/>
            <w:vAlign w:val="bottom"/>
          </w:tcPr>
          <w:p w14:paraId="0B6FB9E7" w14:textId="233FAD8D" w:rsidR="00DC5BE9" w:rsidRPr="003E2D55" w:rsidRDefault="00DC5BE9" w:rsidP="003E2D55">
            <w:pPr>
              <w:spacing w:before="40" w:after="40"/>
              <w:jc w:val="center"/>
              <w:rPr>
                <w:rFonts w:cs="Arial"/>
                <w:sz w:val="18"/>
                <w:szCs w:val="18"/>
              </w:rPr>
            </w:pPr>
            <w:r w:rsidRPr="003E2D55">
              <w:rPr>
                <w:rFonts w:cs="Arial"/>
                <w:sz w:val="18"/>
                <w:szCs w:val="18"/>
              </w:rPr>
              <w:t>1.07</w:t>
            </w:r>
          </w:p>
        </w:tc>
        <w:tc>
          <w:tcPr>
            <w:tcW w:w="907" w:type="dxa"/>
            <w:tcBorders>
              <w:top w:val="nil"/>
              <w:left w:val="nil"/>
              <w:bottom w:val="nil"/>
              <w:right w:val="nil"/>
            </w:tcBorders>
            <w:shd w:val="clear" w:color="auto" w:fill="auto"/>
            <w:vAlign w:val="bottom"/>
          </w:tcPr>
          <w:p w14:paraId="583B9C7F" w14:textId="408FE775" w:rsidR="00DC5BE9" w:rsidRPr="003E2D55" w:rsidRDefault="00DC5BE9" w:rsidP="003E2D55">
            <w:pPr>
              <w:spacing w:before="40" w:after="40"/>
              <w:jc w:val="center"/>
              <w:rPr>
                <w:rFonts w:cs="Arial"/>
                <w:sz w:val="18"/>
                <w:szCs w:val="18"/>
              </w:rPr>
            </w:pPr>
            <w:r w:rsidRPr="003E2D55">
              <w:rPr>
                <w:rFonts w:cs="Arial"/>
                <w:sz w:val="18"/>
                <w:szCs w:val="18"/>
              </w:rPr>
              <w:t>1.03</w:t>
            </w:r>
          </w:p>
        </w:tc>
        <w:tc>
          <w:tcPr>
            <w:tcW w:w="907" w:type="dxa"/>
            <w:tcBorders>
              <w:top w:val="nil"/>
              <w:left w:val="nil"/>
              <w:bottom w:val="nil"/>
              <w:right w:val="nil"/>
            </w:tcBorders>
            <w:vAlign w:val="bottom"/>
          </w:tcPr>
          <w:p w14:paraId="01EF9C37" w14:textId="3C685AF9" w:rsidR="00DC5BE9" w:rsidRPr="003E2D55" w:rsidRDefault="00DC5BE9" w:rsidP="003E2D55">
            <w:pPr>
              <w:spacing w:before="40" w:after="40"/>
              <w:jc w:val="center"/>
              <w:rPr>
                <w:rFonts w:cs="Arial"/>
                <w:sz w:val="18"/>
                <w:szCs w:val="18"/>
              </w:rPr>
            </w:pPr>
            <w:r w:rsidRPr="003E2D55">
              <w:rPr>
                <w:rFonts w:cs="Arial"/>
                <w:sz w:val="18"/>
                <w:szCs w:val="18"/>
              </w:rPr>
              <w:t>1.12</w:t>
            </w:r>
          </w:p>
        </w:tc>
        <w:tc>
          <w:tcPr>
            <w:tcW w:w="170" w:type="dxa"/>
            <w:tcBorders>
              <w:top w:val="nil"/>
              <w:left w:val="nil"/>
              <w:bottom w:val="nil"/>
              <w:right w:val="nil"/>
            </w:tcBorders>
            <w:vAlign w:val="bottom"/>
          </w:tcPr>
          <w:p w14:paraId="6048A8EB" w14:textId="5C07127A"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5E852F64" w14:textId="6F5F7B53" w:rsidR="00DC5BE9" w:rsidRPr="003E2D55" w:rsidRDefault="00DC5BE9" w:rsidP="003E2D55">
            <w:pPr>
              <w:spacing w:before="40" w:after="40"/>
              <w:jc w:val="center"/>
              <w:rPr>
                <w:rFonts w:cs="Arial"/>
                <w:sz w:val="18"/>
                <w:szCs w:val="18"/>
              </w:rPr>
            </w:pPr>
            <w:r w:rsidRPr="003E2D55">
              <w:rPr>
                <w:rFonts w:cs="Arial"/>
                <w:sz w:val="18"/>
                <w:szCs w:val="18"/>
              </w:rPr>
              <w:t>1.01</w:t>
            </w:r>
          </w:p>
        </w:tc>
        <w:tc>
          <w:tcPr>
            <w:tcW w:w="907" w:type="dxa"/>
            <w:tcBorders>
              <w:top w:val="nil"/>
              <w:left w:val="nil"/>
              <w:bottom w:val="nil"/>
              <w:right w:val="nil"/>
            </w:tcBorders>
            <w:shd w:val="clear" w:color="auto" w:fill="auto"/>
            <w:vAlign w:val="bottom"/>
          </w:tcPr>
          <w:p w14:paraId="3677EF03" w14:textId="6B467FD7" w:rsidR="00DC5BE9" w:rsidRPr="003E2D55" w:rsidRDefault="00DC5BE9" w:rsidP="003E2D55">
            <w:pPr>
              <w:spacing w:before="40" w:after="40"/>
              <w:jc w:val="center"/>
              <w:rPr>
                <w:rFonts w:cs="Arial"/>
                <w:sz w:val="18"/>
                <w:szCs w:val="18"/>
              </w:rPr>
            </w:pPr>
            <w:r w:rsidRPr="003E2D55">
              <w:rPr>
                <w:rFonts w:cs="Arial"/>
                <w:sz w:val="18"/>
                <w:szCs w:val="18"/>
              </w:rPr>
              <w:t>1.00</w:t>
            </w:r>
          </w:p>
        </w:tc>
        <w:tc>
          <w:tcPr>
            <w:tcW w:w="1021" w:type="dxa"/>
            <w:tcBorders>
              <w:top w:val="nil"/>
              <w:left w:val="nil"/>
              <w:bottom w:val="nil"/>
              <w:right w:val="nil"/>
            </w:tcBorders>
            <w:shd w:val="clear" w:color="auto" w:fill="auto"/>
            <w:vAlign w:val="bottom"/>
          </w:tcPr>
          <w:p w14:paraId="32191E35" w14:textId="3554F5A8" w:rsidR="00DC5BE9" w:rsidRPr="003E2D55" w:rsidRDefault="00DC5BE9" w:rsidP="003E2D55">
            <w:pPr>
              <w:spacing w:before="40" w:after="40"/>
              <w:jc w:val="center"/>
              <w:rPr>
                <w:rFonts w:cs="Arial"/>
                <w:sz w:val="18"/>
                <w:szCs w:val="18"/>
              </w:rPr>
            </w:pPr>
            <w:r w:rsidRPr="003E2D55">
              <w:rPr>
                <w:rFonts w:cs="Arial"/>
                <w:sz w:val="18"/>
                <w:szCs w:val="18"/>
              </w:rPr>
              <w:t>1.01</w:t>
            </w:r>
          </w:p>
        </w:tc>
        <w:tc>
          <w:tcPr>
            <w:tcW w:w="1021" w:type="dxa"/>
            <w:tcBorders>
              <w:top w:val="nil"/>
              <w:left w:val="nil"/>
              <w:bottom w:val="nil"/>
              <w:right w:val="nil"/>
            </w:tcBorders>
            <w:shd w:val="clear" w:color="auto" w:fill="auto"/>
            <w:vAlign w:val="bottom"/>
          </w:tcPr>
          <w:p w14:paraId="08A8A21C" w14:textId="1760F01F" w:rsidR="00DC5BE9" w:rsidRPr="003E2D55" w:rsidRDefault="00DC5BE9" w:rsidP="003E2D55">
            <w:pPr>
              <w:spacing w:before="40" w:after="40"/>
              <w:jc w:val="center"/>
              <w:rPr>
                <w:rFonts w:cs="Arial"/>
                <w:sz w:val="18"/>
                <w:szCs w:val="18"/>
              </w:rPr>
            </w:pPr>
            <w:r w:rsidRPr="003E2D55">
              <w:rPr>
                <w:rFonts w:cs="Arial"/>
                <w:sz w:val="18"/>
                <w:szCs w:val="18"/>
              </w:rPr>
              <w:t>47.2</w:t>
            </w:r>
          </w:p>
        </w:tc>
      </w:tr>
      <w:tr w:rsidR="00DC5BE9" w:rsidRPr="003E2D55" w14:paraId="5F862C5D"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1EEB9696" w14:textId="77777777" w:rsidR="00DC5BE9" w:rsidRPr="003E2D55" w:rsidRDefault="00DC5BE9" w:rsidP="003E2D55">
            <w:pPr>
              <w:spacing w:before="40" w:after="40"/>
              <w:rPr>
                <w:rFonts w:cs="Arial"/>
                <w:sz w:val="18"/>
                <w:szCs w:val="18"/>
              </w:rPr>
            </w:pPr>
            <w:r w:rsidRPr="003E2D55">
              <w:rPr>
                <w:rFonts w:cs="Arial"/>
                <w:sz w:val="18"/>
                <w:szCs w:val="18"/>
              </w:rPr>
              <w:t>Darebin C</w:t>
            </w:r>
          </w:p>
        </w:tc>
        <w:tc>
          <w:tcPr>
            <w:tcW w:w="1021" w:type="dxa"/>
            <w:tcBorders>
              <w:top w:val="nil"/>
              <w:left w:val="single" w:sz="18" w:space="0" w:color="5F497A" w:themeColor="accent4" w:themeShade="BF"/>
              <w:bottom w:val="nil"/>
              <w:right w:val="nil"/>
            </w:tcBorders>
            <w:shd w:val="clear" w:color="auto" w:fill="auto"/>
            <w:vAlign w:val="bottom"/>
          </w:tcPr>
          <w:p w14:paraId="4EFCC884" w14:textId="0C082BA1"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52A5497E" w14:textId="0165D8DE" w:rsidR="00DC5BE9" w:rsidRPr="003E2D55" w:rsidRDefault="00DC5BE9" w:rsidP="003E2D55">
            <w:pPr>
              <w:spacing w:before="40" w:after="40"/>
              <w:jc w:val="center"/>
              <w:rPr>
                <w:rFonts w:cs="Arial"/>
                <w:sz w:val="18"/>
                <w:szCs w:val="18"/>
              </w:rPr>
            </w:pPr>
            <w:r w:rsidRPr="003E2D55">
              <w:rPr>
                <w:rFonts w:cs="Arial"/>
                <w:sz w:val="18"/>
                <w:szCs w:val="18"/>
              </w:rPr>
              <w:t>1.00</w:t>
            </w:r>
          </w:p>
        </w:tc>
        <w:tc>
          <w:tcPr>
            <w:tcW w:w="907" w:type="dxa"/>
            <w:tcBorders>
              <w:top w:val="nil"/>
              <w:left w:val="nil"/>
              <w:bottom w:val="nil"/>
              <w:right w:val="nil"/>
            </w:tcBorders>
            <w:vAlign w:val="bottom"/>
          </w:tcPr>
          <w:p w14:paraId="2A0142F0" w14:textId="3EE0CEDA" w:rsidR="00DC5BE9" w:rsidRPr="003E2D55" w:rsidRDefault="00DC5BE9" w:rsidP="003E2D55">
            <w:pPr>
              <w:spacing w:before="40" w:after="40"/>
              <w:jc w:val="center"/>
              <w:rPr>
                <w:rFonts w:cs="Arial"/>
                <w:sz w:val="18"/>
                <w:szCs w:val="18"/>
              </w:rPr>
            </w:pPr>
            <w:r w:rsidRPr="003E2D55">
              <w:rPr>
                <w:rFonts w:cs="Arial"/>
                <w:sz w:val="18"/>
                <w:szCs w:val="18"/>
              </w:rPr>
              <w:t>0.84</w:t>
            </w:r>
          </w:p>
        </w:tc>
        <w:tc>
          <w:tcPr>
            <w:tcW w:w="170" w:type="dxa"/>
            <w:tcBorders>
              <w:top w:val="nil"/>
              <w:left w:val="nil"/>
              <w:bottom w:val="nil"/>
              <w:right w:val="nil"/>
            </w:tcBorders>
            <w:vAlign w:val="bottom"/>
          </w:tcPr>
          <w:p w14:paraId="0D71B4B4" w14:textId="165CBD3F"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5E2E03C1" w14:textId="01033EA1" w:rsidR="00DC5BE9" w:rsidRPr="003E2D55" w:rsidRDefault="00DC5BE9" w:rsidP="003E2D55">
            <w:pPr>
              <w:spacing w:before="40" w:after="40"/>
              <w:jc w:val="center"/>
              <w:rPr>
                <w:rFonts w:cs="Arial"/>
                <w:sz w:val="18"/>
                <w:szCs w:val="18"/>
              </w:rPr>
            </w:pPr>
            <w:r w:rsidRPr="003E2D55">
              <w:rPr>
                <w:rFonts w:cs="Arial"/>
                <w:sz w:val="18"/>
                <w:szCs w:val="18"/>
              </w:rPr>
              <w:t>1.01</w:t>
            </w:r>
          </w:p>
        </w:tc>
        <w:tc>
          <w:tcPr>
            <w:tcW w:w="907" w:type="dxa"/>
            <w:tcBorders>
              <w:top w:val="nil"/>
              <w:left w:val="nil"/>
              <w:bottom w:val="nil"/>
              <w:right w:val="nil"/>
            </w:tcBorders>
            <w:shd w:val="clear" w:color="auto" w:fill="auto"/>
            <w:vAlign w:val="bottom"/>
          </w:tcPr>
          <w:p w14:paraId="2652DCF4" w14:textId="5EEBC4C9" w:rsidR="00DC5BE9" w:rsidRPr="003E2D55" w:rsidRDefault="00DC5BE9" w:rsidP="003E2D55">
            <w:pPr>
              <w:spacing w:before="40" w:after="40"/>
              <w:jc w:val="center"/>
              <w:rPr>
                <w:rFonts w:cs="Arial"/>
                <w:sz w:val="18"/>
                <w:szCs w:val="18"/>
              </w:rPr>
            </w:pPr>
            <w:r w:rsidRPr="003E2D55">
              <w:rPr>
                <w:rFonts w:cs="Arial"/>
                <w:sz w:val="18"/>
                <w:szCs w:val="18"/>
              </w:rPr>
              <w:t>0.86</w:t>
            </w:r>
          </w:p>
        </w:tc>
        <w:tc>
          <w:tcPr>
            <w:tcW w:w="1021" w:type="dxa"/>
            <w:tcBorders>
              <w:top w:val="nil"/>
              <w:left w:val="nil"/>
              <w:bottom w:val="nil"/>
              <w:right w:val="nil"/>
            </w:tcBorders>
            <w:shd w:val="clear" w:color="auto" w:fill="auto"/>
            <w:vAlign w:val="bottom"/>
          </w:tcPr>
          <w:p w14:paraId="53F34E50" w14:textId="2E95B825" w:rsidR="00DC5BE9" w:rsidRPr="003E2D55" w:rsidRDefault="00DC5BE9" w:rsidP="003E2D55">
            <w:pPr>
              <w:spacing w:before="40" w:after="4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38102C74" w14:textId="40C6363D" w:rsidR="00DC5BE9" w:rsidRPr="003E2D55" w:rsidRDefault="00DC5BE9" w:rsidP="003E2D55">
            <w:pPr>
              <w:spacing w:before="40" w:after="40"/>
              <w:jc w:val="center"/>
              <w:rPr>
                <w:rFonts w:cs="Arial"/>
                <w:sz w:val="18"/>
                <w:szCs w:val="18"/>
              </w:rPr>
            </w:pPr>
            <w:r w:rsidRPr="003E2D55">
              <w:rPr>
                <w:rFonts w:cs="Arial"/>
                <w:sz w:val="18"/>
                <w:szCs w:val="18"/>
              </w:rPr>
              <w:t>20.1</w:t>
            </w:r>
          </w:p>
        </w:tc>
      </w:tr>
      <w:tr w:rsidR="00DC5BE9" w:rsidRPr="003E2D55" w14:paraId="5FC49DD5"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3960DDE7" w14:textId="77777777" w:rsidR="00DC5BE9" w:rsidRPr="003E2D55" w:rsidRDefault="00DC5BE9" w:rsidP="003E2D55">
            <w:pPr>
              <w:spacing w:before="40" w:after="40"/>
              <w:rPr>
                <w:rFonts w:cs="Arial"/>
                <w:sz w:val="18"/>
                <w:szCs w:val="18"/>
              </w:rPr>
            </w:pPr>
            <w:r w:rsidRPr="003E2D55">
              <w:rPr>
                <w:rFonts w:cs="Arial"/>
                <w:sz w:val="18"/>
                <w:szCs w:val="18"/>
              </w:rPr>
              <w:t>East Gippsland S</w:t>
            </w:r>
          </w:p>
        </w:tc>
        <w:tc>
          <w:tcPr>
            <w:tcW w:w="1021" w:type="dxa"/>
            <w:tcBorders>
              <w:top w:val="nil"/>
              <w:left w:val="single" w:sz="18" w:space="0" w:color="5F497A" w:themeColor="accent4" w:themeShade="BF"/>
              <w:bottom w:val="nil"/>
              <w:right w:val="nil"/>
            </w:tcBorders>
            <w:shd w:val="clear" w:color="auto" w:fill="auto"/>
            <w:vAlign w:val="bottom"/>
          </w:tcPr>
          <w:p w14:paraId="542DB2E5" w14:textId="427D7601" w:rsidR="00DC5BE9" w:rsidRPr="003E2D55" w:rsidRDefault="00DC5BE9" w:rsidP="003E2D55">
            <w:pPr>
              <w:spacing w:before="40" w:after="40"/>
              <w:jc w:val="center"/>
              <w:rPr>
                <w:rFonts w:cs="Arial"/>
                <w:sz w:val="18"/>
                <w:szCs w:val="18"/>
              </w:rPr>
            </w:pPr>
            <w:r w:rsidRPr="003E2D55">
              <w:rPr>
                <w:rFonts w:cs="Arial"/>
                <w:sz w:val="18"/>
                <w:szCs w:val="18"/>
              </w:rPr>
              <w:t>0.99</w:t>
            </w:r>
          </w:p>
        </w:tc>
        <w:tc>
          <w:tcPr>
            <w:tcW w:w="907" w:type="dxa"/>
            <w:tcBorders>
              <w:top w:val="nil"/>
              <w:left w:val="nil"/>
              <w:bottom w:val="nil"/>
              <w:right w:val="nil"/>
            </w:tcBorders>
            <w:shd w:val="clear" w:color="auto" w:fill="auto"/>
            <w:vAlign w:val="bottom"/>
          </w:tcPr>
          <w:p w14:paraId="7834DC12" w14:textId="3D250EC7" w:rsidR="00DC5BE9" w:rsidRPr="003E2D55" w:rsidRDefault="00DC5BE9" w:rsidP="003E2D55">
            <w:pPr>
              <w:spacing w:before="40" w:after="40"/>
              <w:jc w:val="center"/>
              <w:rPr>
                <w:rFonts w:cs="Arial"/>
                <w:sz w:val="18"/>
                <w:szCs w:val="18"/>
              </w:rPr>
            </w:pPr>
            <w:r w:rsidRPr="003E2D55">
              <w:rPr>
                <w:rFonts w:cs="Arial"/>
                <w:sz w:val="18"/>
                <w:szCs w:val="18"/>
              </w:rPr>
              <w:t>1.03</w:t>
            </w:r>
          </w:p>
        </w:tc>
        <w:tc>
          <w:tcPr>
            <w:tcW w:w="907" w:type="dxa"/>
            <w:tcBorders>
              <w:top w:val="nil"/>
              <w:left w:val="nil"/>
              <w:bottom w:val="nil"/>
              <w:right w:val="nil"/>
            </w:tcBorders>
            <w:vAlign w:val="bottom"/>
          </w:tcPr>
          <w:p w14:paraId="1EEB996C" w14:textId="1BF621A4" w:rsidR="00DC5BE9" w:rsidRPr="003E2D55" w:rsidRDefault="00DC5BE9" w:rsidP="003E2D55">
            <w:pPr>
              <w:spacing w:before="40" w:after="40"/>
              <w:jc w:val="center"/>
              <w:rPr>
                <w:rFonts w:cs="Arial"/>
                <w:sz w:val="18"/>
                <w:szCs w:val="18"/>
              </w:rPr>
            </w:pPr>
            <w:r w:rsidRPr="003E2D55">
              <w:rPr>
                <w:rFonts w:cs="Arial"/>
                <w:sz w:val="18"/>
                <w:szCs w:val="18"/>
              </w:rPr>
              <w:t>1.10</w:t>
            </w:r>
          </w:p>
        </w:tc>
        <w:tc>
          <w:tcPr>
            <w:tcW w:w="170" w:type="dxa"/>
            <w:tcBorders>
              <w:top w:val="nil"/>
              <w:left w:val="nil"/>
              <w:bottom w:val="nil"/>
              <w:right w:val="nil"/>
            </w:tcBorders>
            <w:vAlign w:val="bottom"/>
          </w:tcPr>
          <w:p w14:paraId="4F6999E0" w14:textId="7ED4D514"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214117D2" w14:textId="2F95F0AF"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593B86EA" w14:textId="62C539CB"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5BB39E9D" w14:textId="15C2F5C3" w:rsidR="00DC5BE9" w:rsidRPr="003E2D55" w:rsidRDefault="00DC5BE9" w:rsidP="003E2D55">
            <w:pPr>
              <w:spacing w:before="40" w:after="40"/>
              <w:jc w:val="center"/>
              <w:rPr>
                <w:rFonts w:cs="Arial"/>
                <w:sz w:val="18"/>
                <w:szCs w:val="18"/>
              </w:rPr>
            </w:pPr>
            <w:r w:rsidRPr="003E2D55">
              <w:rPr>
                <w:rFonts w:cs="Arial"/>
                <w:sz w:val="18"/>
                <w:szCs w:val="18"/>
              </w:rPr>
              <w:t>1.05</w:t>
            </w:r>
          </w:p>
        </w:tc>
        <w:tc>
          <w:tcPr>
            <w:tcW w:w="1021" w:type="dxa"/>
            <w:tcBorders>
              <w:top w:val="nil"/>
              <w:left w:val="nil"/>
              <w:bottom w:val="nil"/>
              <w:right w:val="nil"/>
            </w:tcBorders>
            <w:shd w:val="clear" w:color="auto" w:fill="auto"/>
            <w:vAlign w:val="bottom"/>
          </w:tcPr>
          <w:p w14:paraId="14D8E48C" w14:textId="735AED8A" w:rsidR="00DC5BE9" w:rsidRPr="003E2D55" w:rsidRDefault="00DC5BE9" w:rsidP="003E2D55">
            <w:pPr>
              <w:spacing w:before="40" w:after="40"/>
              <w:jc w:val="center"/>
              <w:rPr>
                <w:rFonts w:cs="Arial"/>
                <w:sz w:val="18"/>
                <w:szCs w:val="18"/>
              </w:rPr>
            </w:pPr>
            <w:r w:rsidRPr="003E2D55">
              <w:rPr>
                <w:rFonts w:cs="Arial"/>
                <w:sz w:val="18"/>
                <w:szCs w:val="18"/>
              </w:rPr>
              <w:t>44.4</w:t>
            </w:r>
          </w:p>
        </w:tc>
      </w:tr>
      <w:tr w:rsidR="00DC5BE9" w:rsidRPr="003E2D55" w14:paraId="3BA0FB5D"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14E7DF74" w14:textId="77777777" w:rsidR="00DC5BE9" w:rsidRPr="003E2D55" w:rsidRDefault="00DC5BE9" w:rsidP="003E2D55">
            <w:pPr>
              <w:spacing w:before="40" w:after="40"/>
              <w:rPr>
                <w:rFonts w:cs="Arial"/>
                <w:sz w:val="18"/>
                <w:szCs w:val="18"/>
              </w:rPr>
            </w:pPr>
            <w:r w:rsidRPr="003E2D55">
              <w:rPr>
                <w:rFonts w:cs="Arial"/>
                <w:sz w:val="18"/>
                <w:szCs w:val="18"/>
              </w:rPr>
              <w:t>Frankston C</w:t>
            </w:r>
          </w:p>
        </w:tc>
        <w:tc>
          <w:tcPr>
            <w:tcW w:w="1021" w:type="dxa"/>
            <w:tcBorders>
              <w:top w:val="nil"/>
              <w:left w:val="single" w:sz="18" w:space="0" w:color="5F497A" w:themeColor="accent4" w:themeShade="BF"/>
              <w:bottom w:val="nil"/>
              <w:right w:val="nil"/>
            </w:tcBorders>
            <w:shd w:val="clear" w:color="auto" w:fill="auto"/>
            <w:vAlign w:val="bottom"/>
          </w:tcPr>
          <w:p w14:paraId="1E742E46" w14:textId="4D21D7D5"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6A1FF1B1" w14:textId="11E6CCE9" w:rsidR="00DC5BE9" w:rsidRPr="003E2D55" w:rsidRDefault="00DC5BE9" w:rsidP="003E2D55">
            <w:pPr>
              <w:spacing w:before="40" w:after="40"/>
              <w:jc w:val="center"/>
              <w:rPr>
                <w:rFonts w:cs="Arial"/>
                <w:sz w:val="18"/>
                <w:szCs w:val="18"/>
              </w:rPr>
            </w:pPr>
            <w:r w:rsidRPr="003E2D55">
              <w:rPr>
                <w:rFonts w:cs="Arial"/>
                <w:sz w:val="18"/>
                <w:szCs w:val="18"/>
              </w:rPr>
              <w:t>1.02</w:t>
            </w:r>
          </w:p>
        </w:tc>
        <w:tc>
          <w:tcPr>
            <w:tcW w:w="907" w:type="dxa"/>
            <w:tcBorders>
              <w:top w:val="nil"/>
              <w:left w:val="nil"/>
              <w:bottom w:val="nil"/>
              <w:right w:val="nil"/>
            </w:tcBorders>
            <w:vAlign w:val="bottom"/>
          </w:tcPr>
          <w:p w14:paraId="66881154" w14:textId="33A6E8CE" w:rsidR="00DC5BE9" w:rsidRPr="003E2D55" w:rsidRDefault="00DC5BE9" w:rsidP="003E2D55">
            <w:pPr>
              <w:spacing w:before="40" w:after="40"/>
              <w:jc w:val="center"/>
              <w:rPr>
                <w:rFonts w:cs="Arial"/>
                <w:sz w:val="18"/>
                <w:szCs w:val="18"/>
              </w:rPr>
            </w:pPr>
            <w:r w:rsidRPr="003E2D55">
              <w:rPr>
                <w:rFonts w:cs="Arial"/>
                <w:sz w:val="18"/>
                <w:szCs w:val="18"/>
              </w:rPr>
              <w:t>0.98</w:t>
            </w:r>
          </w:p>
        </w:tc>
        <w:tc>
          <w:tcPr>
            <w:tcW w:w="170" w:type="dxa"/>
            <w:tcBorders>
              <w:top w:val="nil"/>
              <w:left w:val="nil"/>
              <w:bottom w:val="nil"/>
              <w:right w:val="nil"/>
            </w:tcBorders>
            <w:vAlign w:val="bottom"/>
          </w:tcPr>
          <w:p w14:paraId="0D0DB14A" w14:textId="45FF4D23"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61571B54" w14:textId="78AFEC37"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65C04F3D" w14:textId="4FD4ABE7"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1DACBC51" w14:textId="4C318350" w:rsidR="00DC5BE9" w:rsidRPr="003E2D55" w:rsidRDefault="00DC5BE9" w:rsidP="003E2D55">
            <w:pPr>
              <w:spacing w:before="40" w:after="4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06C12B26" w14:textId="22876C2E" w:rsidR="00DC5BE9" w:rsidRPr="003E2D55" w:rsidRDefault="00DC5BE9" w:rsidP="003E2D55">
            <w:pPr>
              <w:spacing w:before="40" w:after="40"/>
              <w:jc w:val="center"/>
              <w:rPr>
                <w:rFonts w:cs="Arial"/>
                <w:sz w:val="18"/>
                <w:szCs w:val="18"/>
              </w:rPr>
            </w:pPr>
            <w:r w:rsidRPr="003E2D55">
              <w:rPr>
                <w:rFonts w:cs="Arial"/>
                <w:sz w:val="18"/>
                <w:szCs w:val="18"/>
              </w:rPr>
              <w:t>14.8</w:t>
            </w:r>
          </w:p>
        </w:tc>
      </w:tr>
      <w:tr w:rsidR="00DC5BE9" w:rsidRPr="003E2D55" w14:paraId="7940DC01"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29D7FF38" w14:textId="77777777" w:rsidR="00DC5BE9" w:rsidRPr="003E2D55" w:rsidRDefault="00DC5BE9" w:rsidP="003E2D55">
            <w:pPr>
              <w:spacing w:before="40" w:after="40"/>
              <w:rPr>
                <w:rFonts w:cs="Arial"/>
                <w:sz w:val="18"/>
                <w:szCs w:val="18"/>
              </w:rPr>
            </w:pPr>
            <w:r w:rsidRPr="003E2D55">
              <w:rPr>
                <w:rFonts w:cs="Arial"/>
                <w:sz w:val="18"/>
                <w:szCs w:val="18"/>
              </w:rPr>
              <w:t>Gannawarra S</w:t>
            </w:r>
          </w:p>
        </w:tc>
        <w:tc>
          <w:tcPr>
            <w:tcW w:w="1021" w:type="dxa"/>
            <w:tcBorders>
              <w:top w:val="nil"/>
              <w:left w:val="single" w:sz="18" w:space="0" w:color="5F497A" w:themeColor="accent4" w:themeShade="BF"/>
              <w:bottom w:val="nil"/>
              <w:right w:val="nil"/>
            </w:tcBorders>
            <w:shd w:val="clear" w:color="auto" w:fill="auto"/>
            <w:vAlign w:val="bottom"/>
          </w:tcPr>
          <w:p w14:paraId="5E66D86A" w14:textId="55FD6668" w:rsidR="00DC5BE9" w:rsidRPr="003E2D55" w:rsidRDefault="00DC5BE9" w:rsidP="003E2D55">
            <w:pPr>
              <w:spacing w:before="40" w:after="40"/>
              <w:jc w:val="center"/>
              <w:rPr>
                <w:rFonts w:cs="Arial"/>
                <w:sz w:val="18"/>
                <w:szCs w:val="18"/>
              </w:rPr>
            </w:pPr>
            <w:r w:rsidRPr="003E2D55">
              <w:rPr>
                <w:rFonts w:cs="Arial"/>
                <w:sz w:val="18"/>
                <w:szCs w:val="18"/>
              </w:rPr>
              <w:t>1.04</w:t>
            </w:r>
          </w:p>
        </w:tc>
        <w:tc>
          <w:tcPr>
            <w:tcW w:w="907" w:type="dxa"/>
            <w:tcBorders>
              <w:top w:val="nil"/>
              <w:left w:val="nil"/>
              <w:bottom w:val="nil"/>
              <w:right w:val="nil"/>
            </w:tcBorders>
            <w:shd w:val="clear" w:color="auto" w:fill="auto"/>
            <w:vAlign w:val="bottom"/>
          </w:tcPr>
          <w:p w14:paraId="2A8948E1" w14:textId="62524A9C" w:rsidR="00DC5BE9" w:rsidRPr="003E2D55" w:rsidRDefault="00DC5BE9" w:rsidP="003E2D55">
            <w:pPr>
              <w:spacing w:before="40" w:after="40"/>
              <w:jc w:val="center"/>
              <w:rPr>
                <w:rFonts w:cs="Arial"/>
                <w:sz w:val="18"/>
                <w:szCs w:val="18"/>
              </w:rPr>
            </w:pPr>
            <w:r w:rsidRPr="003E2D55">
              <w:rPr>
                <w:rFonts w:cs="Arial"/>
                <w:sz w:val="18"/>
                <w:szCs w:val="18"/>
              </w:rPr>
              <w:t>0.95</w:t>
            </w:r>
          </w:p>
        </w:tc>
        <w:tc>
          <w:tcPr>
            <w:tcW w:w="907" w:type="dxa"/>
            <w:tcBorders>
              <w:top w:val="nil"/>
              <w:left w:val="nil"/>
              <w:bottom w:val="nil"/>
              <w:right w:val="nil"/>
            </w:tcBorders>
            <w:vAlign w:val="bottom"/>
          </w:tcPr>
          <w:p w14:paraId="6FBDA891" w14:textId="027C8FBF" w:rsidR="00DC5BE9" w:rsidRPr="003E2D55" w:rsidRDefault="00DC5BE9" w:rsidP="003E2D55">
            <w:pPr>
              <w:spacing w:before="40" w:after="40"/>
              <w:jc w:val="center"/>
              <w:rPr>
                <w:rFonts w:cs="Arial"/>
                <w:sz w:val="18"/>
                <w:szCs w:val="18"/>
              </w:rPr>
            </w:pPr>
            <w:r w:rsidRPr="003E2D55">
              <w:rPr>
                <w:rFonts w:cs="Arial"/>
                <w:sz w:val="18"/>
                <w:szCs w:val="18"/>
              </w:rPr>
              <w:t>0.75</w:t>
            </w:r>
          </w:p>
        </w:tc>
        <w:tc>
          <w:tcPr>
            <w:tcW w:w="170" w:type="dxa"/>
            <w:tcBorders>
              <w:top w:val="nil"/>
              <w:left w:val="nil"/>
              <w:bottom w:val="nil"/>
              <w:right w:val="nil"/>
            </w:tcBorders>
            <w:vAlign w:val="bottom"/>
          </w:tcPr>
          <w:p w14:paraId="59F8B1CB" w14:textId="6E3F0EB4"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34C9A0F9" w14:textId="0852DEC3" w:rsidR="00DC5BE9" w:rsidRPr="003E2D55" w:rsidRDefault="00DC5BE9" w:rsidP="003E2D55">
            <w:pPr>
              <w:spacing w:before="40" w:after="40"/>
              <w:jc w:val="center"/>
              <w:rPr>
                <w:rFonts w:cs="Arial"/>
                <w:sz w:val="18"/>
                <w:szCs w:val="18"/>
              </w:rPr>
            </w:pPr>
            <w:r w:rsidRPr="003E2D55">
              <w:rPr>
                <w:rFonts w:cs="Arial"/>
                <w:sz w:val="18"/>
                <w:szCs w:val="18"/>
              </w:rPr>
              <w:t>1.06</w:t>
            </w:r>
          </w:p>
        </w:tc>
        <w:tc>
          <w:tcPr>
            <w:tcW w:w="907" w:type="dxa"/>
            <w:tcBorders>
              <w:top w:val="nil"/>
              <w:left w:val="nil"/>
              <w:bottom w:val="nil"/>
              <w:right w:val="nil"/>
            </w:tcBorders>
            <w:shd w:val="clear" w:color="auto" w:fill="auto"/>
            <w:vAlign w:val="bottom"/>
          </w:tcPr>
          <w:p w14:paraId="36313D56" w14:textId="0E099FCE" w:rsidR="00DC5BE9" w:rsidRPr="003E2D55" w:rsidRDefault="00DC5BE9" w:rsidP="003E2D55">
            <w:pPr>
              <w:spacing w:before="40" w:after="40"/>
              <w:jc w:val="center"/>
              <w:rPr>
                <w:rFonts w:cs="Arial"/>
                <w:sz w:val="18"/>
                <w:szCs w:val="18"/>
              </w:rPr>
            </w:pPr>
            <w:r w:rsidRPr="003E2D55">
              <w:rPr>
                <w:rFonts w:cs="Arial"/>
                <w:sz w:val="18"/>
                <w:szCs w:val="18"/>
              </w:rPr>
              <w:t>1.06</w:t>
            </w:r>
          </w:p>
        </w:tc>
        <w:tc>
          <w:tcPr>
            <w:tcW w:w="1021" w:type="dxa"/>
            <w:tcBorders>
              <w:top w:val="nil"/>
              <w:left w:val="nil"/>
              <w:bottom w:val="nil"/>
              <w:right w:val="nil"/>
            </w:tcBorders>
            <w:shd w:val="clear" w:color="auto" w:fill="auto"/>
            <w:vAlign w:val="bottom"/>
          </w:tcPr>
          <w:p w14:paraId="1A0ACDA8" w14:textId="327E3041" w:rsidR="00DC5BE9" w:rsidRPr="003E2D55" w:rsidRDefault="00DC5BE9" w:rsidP="003E2D55">
            <w:pPr>
              <w:spacing w:before="40" w:after="40"/>
              <w:jc w:val="center"/>
              <w:rPr>
                <w:rFonts w:cs="Arial"/>
                <w:sz w:val="18"/>
                <w:szCs w:val="18"/>
              </w:rPr>
            </w:pPr>
            <w:r w:rsidRPr="003E2D55">
              <w:rPr>
                <w:rFonts w:cs="Arial"/>
                <w:sz w:val="18"/>
                <w:szCs w:val="18"/>
              </w:rPr>
              <w:t>0.99</w:t>
            </w:r>
          </w:p>
        </w:tc>
        <w:tc>
          <w:tcPr>
            <w:tcW w:w="1021" w:type="dxa"/>
            <w:tcBorders>
              <w:top w:val="nil"/>
              <w:left w:val="nil"/>
              <w:bottom w:val="nil"/>
              <w:right w:val="nil"/>
            </w:tcBorders>
            <w:shd w:val="clear" w:color="auto" w:fill="auto"/>
            <w:vAlign w:val="bottom"/>
          </w:tcPr>
          <w:p w14:paraId="2B806F76" w14:textId="2E0DF120" w:rsidR="00DC5BE9" w:rsidRPr="003E2D55" w:rsidRDefault="00DC5BE9" w:rsidP="003E2D55">
            <w:pPr>
              <w:spacing w:before="40" w:after="40"/>
              <w:jc w:val="center"/>
              <w:rPr>
                <w:rFonts w:cs="Arial"/>
                <w:sz w:val="18"/>
                <w:szCs w:val="18"/>
              </w:rPr>
            </w:pPr>
            <w:r w:rsidRPr="003E2D55">
              <w:rPr>
                <w:rFonts w:cs="Arial"/>
                <w:sz w:val="18"/>
                <w:szCs w:val="18"/>
              </w:rPr>
              <w:t>38.6</w:t>
            </w:r>
          </w:p>
        </w:tc>
      </w:tr>
      <w:tr w:rsidR="00DC5BE9" w:rsidRPr="003E2D55" w14:paraId="1BD0811F"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4844FFE9" w14:textId="77777777" w:rsidR="00DC5BE9" w:rsidRPr="003E2D55" w:rsidRDefault="00DC5BE9" w:rsidP="003E2D55">
            <w:pPr>
              <w:spacing w:before="40" w:after="40"/>
              <w:rPr>
                <w:rFonts w:cs="Arial"/>
                <w:sz w:val="18"/>
                <w:szCs w:val="18"/>
              </w:rPr>
            </w:pPr>
            <w:r w:rsidRPr="003E2D55">
              <w:rPr>
                <w:rFonts w:cs="Arial"/>
                <w:sz w:val="18"/>
                <w:szCs w:val="18"/>
              </w:rPr>
              <w:t>Glen Eira C</w:t>
            </w:r>
          </w:p>
        </w:tc>
        <w:tc>
          <w:tcPr>
            <w:tcW w:w="1021" w:type="dxa"/>
            <w:tcBorders>
              <w:top w:val="nil"/>
              <w:left w:val="single" w:sz="18" w:space="0" w:color="5F497A" w:themeColor="accent4" w:themeShade="BF"/>
              <w:bottom w:val="nil"/>
              <w:right w:val="nil"/>
            </w:tcBorders>
            <w:shd w:val="clear" w:color="auto" w:fill="auto"/>
            <w:vAlign w:val="bottom"/>
          </w:tcPr>
          <w:p w14:paraId="1A1A56B4" w14:textId="364BBA7E" w:rsidR="00DC5BE9" w:rsidRPr="003E2D55" w:rsidRDefault="00DC5BE9" w:rsidP="003E2D55">
            <w:pPr>
              <w:spacing w:before="40" w:after="40"/>
              <w:jc w:val="center"/>
              <w:rPr>
                <w:rFonts w:cs="Arial"/>
                <w:sz w:val="18"/>
                <w:szCs w:val="18"/>
              </w:rPr>
            </w:pPr>
            <w:r w:rsidRPr="003E2D55">
              <w:rPr>
                <w:rFonts w:cs="Arial"/>
                <w:sz w:val="18"/>
                <w:szCs w:val="18"/>
              </w:rPr>
              <w:t>0.95</w:t>
            </w:r>
          </w:p>
        </w:tc>
        <w:tc>
          <w:tcPr>
            <w:tcW w:w="907" w:type="dxa"/>
            <w:tcBorders>
              <w:top w:val="nil"/>
              <w:left w:val="nil"/>
              <w:bottom w:val="nil"/>
              <w:right w:val="nil"/>
            </w:tcBorders>
            <w:shd w:val="clear" w:color="auto" w:fill="auto"/>
            <w:vAlign w:val="bottom"/>
          </w:tcPr>
          <w:p w14:paraId="7F7CEEAF" w14:textId="7C764338" w:rsidR="00DC5BE9" w:rsidRPr="003E2D55" w:rsidRDefault="00DC5BE9" w:rsidP="003E2D55">
            <w:pPr>
              <w:spacing w:before="40" w:after="40"/>
              <w:jc w:val="center"/>
              <w:rPr>
                <w:rFonts w:cs="Arial"/>
                <w:sz w:val="18"/>
                <w:szCs w:val="18"/>
              </w:rPr>
            </w:pPr>
            <w:r w:rsidRPr="003E2D55">
              <w:rPr>
                <w:rFonts w:cs="Arial"/>
                <w:sz w:val="18"/>
                <w:szCs w:val="18"/>
              </w:rPr>
              <w:t>1.02</w:t>
            </w:r>
          </w:p>
        </w:tc>
        <w:tc>
          <w:tcPr>
            <w:tcW w:w="907" w:type="dxa"/>
            <w:tcBorders>
              <w:top w:val="nil"/>
              <w:left w:val="nil"/>
              <w:bottom w:val="nil"/>
              <w:right w:val="nil"/>
            </w:tcBorders>
            <w:vAlign w:val="bottom"/>
          </w:tcPr>
          <w:p w14:paraId="76DDB1B9" w14:textId="23D17E74" w:rsidR="00DC5BE9" w:rsidRPr="003E2D55" w:rsidRDefault="00DC5BE9" w:rsidP="003E2D55">
            <w:pPr>
              <w:spacing w:before="40" w:after="40"/>
              <w:jc w:val="center"/>
              <w:rPr>
                <w:rFonts w:cs="Arial"/>
                <w:sz w:val="18"/>
                <w:szCs w:val="18"/>
              </w:rPr>
            </w:pPr>
            <w:r w:rsidRPr="003E2D55">
              <w:rPr>
                <w:rFonts w:cs="Arial"/>
                <w:sz w:val="18"/>
                <w:szCs w:val="18"/>
              </w:rPr>
              <w:t>0.00</w:t>
            </w:r>
          </w:p>
        </w:tc>
        <w:tc>
          <w:tcPr>
            <w:tcW w:w="170" w:type="dxa"/>
            <w:tcBorders>
              <w:top w:val="nil"/>
              <w:left w:val="nil"/>
              <w:bottom w:val="nil"/>
              <w:right w:val="nil"/>
            </w:tcBorders>
            <w:vAlign w:val="bottom"/>
          </w:tcPr>
          <w:p w14:paraId="31F7F3AE" w14:textId="04240B2D"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104C1C3A" w14:textId="4FEDC789"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52E39185" w14:textId="300D5C71" w:rsidR="00DC5BE9" w:rsidRPr="003E2D55" w:rsidRDefault="00DC5BE9" w:rsidP="003E2D55">
            <w:pPr>
              <w:spacing w:before="40" w:after="40"/>
              <w:jc w:val="center"/>
              <w:rPr>
                <w:rFonts w:cs="Arial"/>
                <w:sz w:val="18"/>
                <w:szCs w:val="18"/>
              </w:rPr>
            </w:pPr>
            <w:r w:rsidRPr="003E2D55">
              <w:rPr>
                <w:rFonts w:cs="Arial"/>
                <w:sz w:val="18"/>
                <w:szCs w:val="18"/>
              </w:rPr>
              <w:t>0.00</w:t>
            </w:r>
          </w:p>
        </w:tc>
        <w:tc>
          <w:tcPr>
            <w:tcW w:w="1021" w:type="dxa"/>
            <w:tcBorders>
              <w:top w:val="nil"/>
              <w:left w:val="nil"/>
              <w:bottom w:val="nil"/>
              <w:right w:val="nil"/>
            </w:tcBorders>
            <w:shd w:val="clear" w:color="auto" w:fill="auto"/>
            <w:vAlign w:val="bottom"/>
          </w:tcPr>
          <w:p w14:paraId="7F527AD9" w14:textId="1A5F346B" w:rsidR="00DC5BE9" w:rsidRPr="003E2D55" w:rsidRDefault="00DC5BE9" w:rsidP="003E2D55">
            <w:pPr>
              <w:spacing w:before="40" w:after="4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1A3FC761" w14:textId="516AB4BA" w:rsidR="00DC5BE9" w:rsidRPr="003E2D55" w:rsidRDefault="00DC5BE9" w:rsidP="003E2D55">
            <w:pPr>
              <w:spacing w:before="40" w:after="40"/>
              <w:jc w:val="center"/>
              <w:rPr>
                <w:rFonts w:cs="Arial"/>
                <w:sz w:val="18"/>
                <w:szCs w:val="18"/>
              </w:rPr>
            </w:pPr>
            <w:r w:rsidRPr="003E2D55">
              <w:rPr>
                <w:rFonts w:cs="Arial"/>
                <w:sz w:val="18"/>
                <w:szCs w:val="18"/>
              </w:rPr>
              <w:t>11.5</w:t>
            </w:r>
          </w:p>
        </w:tc>
      </w:tr>
      <w:tr w:rsidR="00DC5BE9" w:rsidRPr="003E2D55" w14:paraId="2F40C018"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28F65489" w14:textId="77777777" w:rsidR="00DC5BE9" w:rsidRPr="003E2D55" w:rsidRDefault="00DC5BE9" w:rsidP="003E2D55">
            <w:pPr>
              <w:spacing w:before="40" w:after="40"/>
              <w:rPr>
                <w:rFonts w:cs="Arial"/>
                <w:sz w:val="18"/>
                <w:szCs w:val="18"/>
              </w:rPr>
            </w:pPr>
            <w:r w:rsidRPr="003E2D55">
              <w:rPr>
                <w:rFonts w:cs="Arial"/>
                <w:sz w:val="18"/>
                <w:szCs w:val="18"/>
              </w:rPr>
              <w:t>Glenelg S</w:t>
            </w:r>
          </w:p>
        </w:tc>
        <w:tc>
          <w:tcPr>
            <w:tcW w:w="1021" w:type="dxa"/>
            <w:tcBorders>
              <w:top w:val="nil"/>
              <w:left w:val="single" w:sz="18" w:space="0" w:color="5F497A" w:themeColor="accent4" w:themeShade="BF"/>
              <w:bottom w:val="nil"/>
              <w:right w:val="nil"/>
            </w:tcBorders>
            <w:shd w:val="clear" w:color="auto" w:fill="auto"/>
            <w:vAlign w:val="bottom"/>
          </w:tcPr>
          <w:p w14:paraId="0D15D02F" w14:textId="3AC2CAC4" w:rsidR="00DC5BE9" w:rsidRPr="003E2D55" w:rsidRDefault="00DC5BE9" w:rsidP="003E2D55">
            <w:pPr>
              <w:spacing w:before="40" w:after="40"/>
              <w:jc w:val="center"/>
              <w:rPr>
                <w:rFonts w:cs="Arial"/>
                <w:sz w:val="18"/>
                <w:szCs w:val="18"/>
              </w:rPr>
            </w:pPr>
            <w:r w:rsidRPr="003E2D55">
              <w:rPr>
                <w:rFonts w:cs="Arial"/>
                <w:sz w:val="18"/>
                <w:szCs w:val="18"/>
              </w:rPr>
              <w:t>1.03</w:t>
            </w:r>
          </w:p>
        </w:tc>
        <w:tc>
          <w:tcPr>
            <w:tcW w:w="907" w:type="dxa"/>
            <w:tcBorders>
              <w:top w:val="nil"/>
              <w:left w:val="nil"/>
              <w:bottom w:val="nil"/>
              <w:right w:val="nil"/>
            </w:tcBorders>
            <w:shd w:val="clear" w:color="auto" w:fill="auto"/>
            <w:vAlign w:val="bottom"/>
          </w:tcPr>
          <w:p w14:paraId="18E04855" w14:textId="63FC7D0A" w:rsidR="00DC5BE9" w:rsidRPr="003E2D55" w:rsidRDefault="00DC5BE9" w:rsidP="003E2D55">
            <w:pPr>
              <w:spacing w:before="40" w:after="40"/>
              <w:jc w:val="center"/>
              <w:rPr>
                <w:rFonts w:cs="Arial"/>
                <w:sz w:val="18"/>
                <w:szCs w:val="18"/>
              </w:rPr>
            </w:pPr>
            <w:r w:rsidRPr="003E2D55">
              <w:rPr>
                <w:rFonts w:cs="Arial"/>
                <w:sz w:val="18"/>
                <w:szCs w:val="18"/>
              </w:rPr>
              <w:t>1.08</w:t>
            </w:r>
          </w:p>
        </w:tc>
        <w:tc>
          <w:tcPr>
            <w:tcW w:w="907" w:type="dxa"/>
            <w:tcBorders>
              <w:top w:val="nil"/>
              <w:left w:val="nil"/>
              <w:bottom w:val="nil"/>
              <w:right w:val="nil"/>
            </w:tcBorders>
            <w:vAlign w:val="bottom"/>
          </w:tcPr>
          <w:p w14:paraId="6F43B3A0" w14:textId="405CA7BD" w:rsidR="00DC5BE9" w:rsidRPr="003E2D55" w:rsidRDefault="00DC5BE9" w:rsidP="003E2D55">
            <w:pPr>
              <w:spacing w:before="40" w:after="40"/>
              <w:jc w:val="center"/>
              <w:rPr>
                <w:rFonts w:cs="Arial"/>
                <w:sz w:val="18"/>
                <w:szCs w:val="18"/>
              </w:rPr>
            </w:pPr>
            <w:r w:rsidRPr="003E2D55">
              <w:rPr>
                <w:rFonts w:cs="Arial"/>
                <w:sz w:val="18"/>
                <w:szCs w:val="18"/>
              </w:rPr>
              <w:t>1.08</w:t>
            </w:r>
          </w:p>
        </w:tc>
        <w:tc>
          <w:tcPr>
            <w:tcW w:w="170" w:type="dxa"/>
            <w:tcBorders>
              <w:top w:val="nil"/>
              <w:left w:val="nil"/>
              <w:bottom w:val="nil"/>
              <w:right w:val="nil"/>
            </w:tcBorders>
            <w:vAlign w:val="bottom"/>
          </w:tcPr>
          <w:p w14:paraId="134EFDA9" w14:textId="75CD7385"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5865EBAC" w14:textId="0525AA04"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590F16ED" w14:textId="1969DABA"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32EF5C16" w14:textId="41CE2AF3" w:rsidR="00DC5BE9" w:rsidRPr="003E2D55" w:rsidRDefault="00DC5BE9" w:rsidP="003E2D55">
            <w:pPr>
              <w:spacing w:before="40" w:after="40"/>
              <w:jc w:val="center"/>
              <w:rPr>
                <w:rFonts w:cs="Arial"/>
                <w:sz w:val="18"/>
                <w:szCs w:val="18"/>
              </w:rPr>
            </w:pPr>
            <w:r w:rsidRPr="003E2D55">
              <w:rPr>
                <w:rFonts w:cs="Arial"/>
                <w:sz w:val="18"/>
                <w:szCs w:val="18"/>
              </w:rPr>
              <w:t>0.99</w:t>
            </w:r>
          </w:p>
        </w:tc>
        <w:tc>
          <w:tcPr>
            <w:tcW w:w="1021" w:type="dxa"/>
            <w:tcBorders>
              <w:top w:val="nil"/>
              <w:left w:val="nil"/>
              <w:bottom w:val="nil"/>
              <w:right w:val="nil"/>
            </w:tcBorders>
            <w:shd w:val="clear" w:color="auto" w:fill="auto"/>
            <w:vAlign w:val="bottom"/>
          </w:tcPr>
          <w:p w14:paraId="23AC979A" w14:textId="1D5286CB" w:rsidR="00DC5BE9" w:rsidRPr="003E2D55" w:rsidRDefault="00DC5BE9" w:rsidP="003E2D55">
            <w:pPr>
              <w:spacing w:before="40" w:after="40"/>
              <w:jc w:val="center"/>
              <w:rPr>
                <w:rFonts w:cs="Arial"/>
                <w:sz w:val="18"/>
                <w:szCs w:val="18"/>
              </w:rPr>
            </w:pPr>
            <w:r w:rsidRPr="003E2D55">
              <w:rPr>
                <w:rFonts w:cs="Arial"/>
                <w:sz w:val="18"/>
                <w:szCs w:val="18"/>
              </w:rPr>
              <w:t>31.9</w:t>
            </w:r>
          </w:p>
        </w:tc>
      </w:tr>
      <w:tr w:rsidR="00DC5BE9" w:rsidRPr="003E2D55" w14:paraId="5FE01B90"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621627B1" w14:textId="77777777" w:rsidR="00DC5BE9" w:rsidRPr="003E2D55" w:rsidRDefault="00DC5BE9" w:rsidP="003E2D55">
            <w:pPr>
              <w:spacing w:before="40" w:after="40"/>
              <w:rPr>
                <w:rFonts w:cs="Arial"/>
                <w:sz w:val="18"/>
                <w:szCs w:val="18"/>
              </w:rPr>
            </w:pPr>
            <w:r w:rsidRPr="003E2D55">
              <w:rPr>
                <w:rFonts w:cs="Arial"/>
                <w:sz w:val="18"/>
                <w:szCs w:val="18"/>
              </w:rPr>
              <w:t>Golden Plains S</w:t>
            </w:r>
          </w:p>
        </w:tc>
        <w:tc>
          <w:tcPr>
            <w:tcW w:w="1021" w:type="dxa"/>
            <w:tcBorders>
              <w:top w:val="nil"/>
              <w:left w:val="single" w:sz="18" w:space="0" w:color="5F497A" w:themeColor="accent4" w:themeShade="BF"/>
              <w:bottom w:val="nil"/>
              <w:right w:val="nil"/>
            </w:tcBorders>
            <w:shd w:val="clear" w:color="auto" w:fill="auto"/>
            <w:vAlign w:val="bottom"/>
          </w:tcPr>
          <w:p w14:paraId="06FD9C61" w14:textId="1BDB5B60"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4A64D801" w14:textId="33DA6E9D" w:rsidR="00DC5BE9" w:rsidRPr="003E2D55" w:rsidRDefault="00DC5BE9" w:rsidP="003E2D55">
            <w:pPr>
              <w:spacing w:before="40" w:after="40"/>
              <w:jc w:val="center"/>
              <w:rPr>
                <w:rFonts w:cs="Arial"/>
                <w:sz w:val="18"/>
                <w:szCs w:val="18"/>
              </w:rPr>
            </w:pPr>
            <w:r w:rsidRPr="003E2D55">
              <w:rPr>
                <w:rFonts w:cs="Arial"/>
                <w:sz w:val="18"/>
                <w:szCs w:val="18"/>
              </w:rPr>
              <w:t>0.98</w:t>
            </w:r>
          </w:p>
        </w:tc>
        <w:tc>
          <w:tcPr>
            <w:tcW w:w="907" w:type="dxa"/>
            <w:tcBorders>
              <w:top w:val="nil"/>
              <w:left w:val="nil"/>
              <w:bottom w:val="nil"/>
              <w:right w:val="nil"/>
            </w:tcBorders>
            <w:vAlign w:val="bottom"/>
          </w:tcPr>
          <w:p w14:paraId="19BF82FF" w14:textId="666D62CD" w:rsidR="00DC5BE9" w:rsidRPr="003E2D55" w:rsidRDefault="00DC5BE9" w:rsidP="003E2D55">
            <w:pPr>
              <w:spacing w:before="40" w:after="40"/>
              <w:jc w:val="center"/>
              <w:rPr>
                <w:rFonts w:cs="Arial"/>
                <w:sz w:val="18"/>
                <w:szCs w:val="18"/>
              </w:rPr>
            </w:pPr>
            <w:r w:rsidRPr="003E2D55">
              <w:rPr>
                <w:rFonts w:cs="Arial"/>
                <w:sz w:val="18"/>
                <w:szCs w:val="18"/>
              </w:rPr>
              <w:t>0.86</w:t>
            </w:r>
          </w:p>
        </w:tc>
        <w:tc>
          <w:tcPr>
            <w:tcW w:w="170" w:type="dxa"/>
            <w:tcBorders>
              <w:top w:val="nil"/>
              <w:left w:val="nil"/>
              <w:bottom w:val="nil"/>
              <w:right w:val="nil"/>
            </w:tcBorders>
            <w:vAlign w:val="bottom"/>
          </w:tcPr>
          <w:p w14:paraId="631121F0" w14:textId="65D59BAB"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234FE1F6" w14:textId="4F7FB972" w:rsidR="00DC5BE9" w:rsidRPr="003E2D55" w:rsidRDefault="00DC5BE9" w:rsidP="003E2D55">
            <w:pPr>
              <w:spacing w:before="40" w:after="40"/>
              <w:jc w:val="center"/>
              <w:rPr>
                <w:rFonts w:cs="Arial"/>
                <w:sz w:val="18"/>
                <w:szCs w:val="18"/>
              </w:rPr>
            </w:pPr>
            <w:r w:rsidRPr="003E2D55">
              <w:rPr>
                <w:rFonts w:cs="Arial"/>
                <w:sz w:val="18"/>
                <w:szCs w:val="18"/>
              </w:rPr>
              <w:t>1.07</w:t>
            </w:r>
          </w:p>
        </w:tc>
        <w:tc>
          <w:tcPr>
            <w:tcW w:w="907" w:type="dxa"/>
            <w:tcBorders>
              <w:top w:val="nil"/>
              <w:left w:val="nil"/>
              <w:bottom w:val="nil"/>
              <w:right w:val="nil"/>
            </w:tcBorders>
            <w:shd w:val="clear" w:color="auto" w:fill="auto"/>
            <w:vAlign w:val="bottom"/>
          </w:tcPr>
          <w:p w14:paraId="4A9C51D0" w14:textId="23118884" w:rsidR="00DC5BE9" w:rsidRPr="003E2D55" w:rsidRDefault="00DC5BE9" w:rsidP="003E2D55">
            <w:pPr>
              <w:spacing w:before="40" w:after="40"/>
              <w:jc w:val="center"/>
              <w:rPr>
                <w:rFonts w:cs="Arial"/>
                <w:sz w:val="18"/>
                <w:szCs w:val="18"/>
              </w:rPr>
            </w:pPr>
            <w:r w:rsidRPr="003E2D55">
              <w:rPr>
                <w:rFonts w:cs="Arial"/>
                <w:sz w:val="18"/>
                <w:szCs w:val="18"/>
              </w:rPr>
              <w:t>1.03</w:t>
            </w:r>
          </w:p>
        </w:tc>
        <w:tc>
          <w:tcPr>
            <w:tcW w:w="1021" w:type="dxa"/>
            <w:tcBorders>
              <w:top w:val="nil"/>
              <w:left w:val="nil"/>
              <w:bottom w:val="nil"/>
              <w:right w:val="nil"/>
            </w:tcBorders>
            <w:shd w:val="clear" w:color="auto" w:fill="auto"/>
            <w:vAlign w:val="bottom"/>
          </w:tcPr>
          <w:p w14:paraId="69FB8249" w14:textId="3D9F1EDF" w:rsidR="00DC5BE9" w:rsidRPr="003E2D55" w:rsidRDefault="00DC5BE9" w:rsidP="003E2D55">
            <w:pPr>
              <w:spacing w:before="40" w:after="40"/>
              <w:jc w:val="center"/>
              <w:rPr>
                <w:rFonts w:cs="Arial"/>
                <w:sz w:val="18"/>
                <w:szCs w:val="18"/>
              </w:rPr>
            </w:pPr>
            <w:r w:rsidRPr="003E2D55">
              <w:rPr>
                <w:rFonts w:cs="Arial"/>
                <w:sz w:val="18"/>
                <w:szCs w:val="18"/>
              </w:rPr>
              <w:t>1.02</w:t>
            </w:r>
          </w:p>
        </w:tc>
        <w:tc>
          <w:tcPr>
            <w:tcW w:w="1021" w:type="dxa"/>
            <w:tcBorders>
              <w:top w:val="nil"/>
              <w:left w:val="nil"/>
              <w:bottom w:val="nil"/>
              <w:right w:val="nil"/>
            </w:tcBorders>
            <w:shd w:val="clear" w:color="auto" w:fill="auto"/>
            <w:vAlign w:val="bottom"/>
          </w:tcPr>
          <w:p w14:paraId="70C20FAC" w14:textId="1C701C78" w:rsidR="00DC5BE9" w:rsidRPr="003E2D55" w:rsidRDefault="00DC5BE9" w:rsidP="003E2D55">
            <w:pPr>
              <w:spacing w:before="40" w:after="40"/>
              <w:jc w:val="center"/>
              <w:rPr>
                <w:rFonts w:cs="Arial"/>
                <w:sz w:val="18"/>
                <w:szCs w:val="18"/>
              </w:rPr>
            </w:pPr>
            <w:r w:rsidRPr="003E2D55">
              <w:rPr>
                <w:rFonts w:cs="Arial"/>
                <w:sz w:val="18"/>
                <w:szCs w:val="18"/>
              </w:rPr>
              <w:t>29.2</w:t>
            </w:r>
          </w:p>
        </w:tc>
      </w:tr>
      <w:tr w:rsidR="00DC5BE9" w:rsidRPr="003E2D55" w14:paraId="6F920F17"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338E5AAD" w14:textId="77777777" w:rsidR="00DC5BE9" w:rsidRPr="003E2D55" w:rsidRDefault="00DC5BE9" w:rsidP="003E2D55">
            <w:pPr>
              <w:spacing w:before="40" w:after="40"/>
              <w:rPr>
                <w:rFonts w:cs="Arial"/>
                <w:sz w:val="18"/>
                <w:szCs w:val="18"/>
              </w:rPr>
            </w:pPr>
            <w:r w:rsidRPr="003E2D55">
              <w:rPr>
                <w:rFonts w:cs="Arial"/>
                <w:sz w:val="18"/>
                <w:szCs w:val="18"/>
              </w:rPr>
              <w:t>Greater Bendigo C</w:t>
            </w:r>
          </w:p>
        </w:tc>
        <w:tc>
          <w:tcPr>
            <w:tcW w:w="1021" w:type="dxa"/>
            <w:tcBorders>
              <w:top w:val="nil"/>
              <w:left w:val="single" w:sz="18" w:space="0" w:color="5F497A" w:themeColor="accent4" w:themeShade="BF"/>
              <w:bottom w:val="nil"/>
              <w:right w:val="nil"/>
            </w:tcBorders>
            <w:shd w:val="clear" w:color="auto" w:fill="auto"/>
            <w:vAlign w:val="bottom"/>
          </w:tcPr>
          <w:p w14:paraId="77395FE2" w14:textId="3CFA290E" w:rsidR="00DC5BE9" w:rsidRPr="003E2D55" w:rsidRDefault="00DC5BE9" w:rsidP="003E2D55">
            <w:pPr>
              <w:spacing w:before="40" w:after="40"/>
              <w:jc w:val="center"/>
              <w:rPr>
                <w:rFonts w:cs="Arial"/>
                <w:sz w:val="18"/>
                <w:szCs w:val="18"/>
              </w:rPr>
            </w:pPr>
            <w:r w:rsidRPr="003E2D55">
              <w:rPr>
                <w:rFonts w:cs="Arial"/>
                <w:sz w:val="18"/>
                <w:szCs w:val="18"/>
              </w:rPr>
              <w:t>0.99</w:t>
            </w:r>
          </w:p>
        </w:tc>
        <w:tc>
          <w:tcPr>
            <w:tcW w:w="907" w:type="dxa"/>
            <w:tcBorders>
              <w:top w:val="nil"/>
              <w:left w:val="nil"/>
              <w:bottom w:val="nil"/>
              <w:right w:val="nil"/>
            </w:tcBorders>
            <w:shd w:val="clear" w:color="auto" w:fill="auto"/>
            <w:vAlign w:val="bottom"/>
          </w:tcPr>
          <w:p w14:paraId="6F20546A" w14:textId="4CE0ABCC"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907" w:type="dxa"/>
            <w:tcBorders>
              <w:top w:val="nil"/>
              <w:left w:val="nil"/>
              <w:bottom w:val="nil"/>
              <w:right w:val="nil"/>
            </w:tcBorders>
            <w:vAlign w:val="bottom"/>
          </w:tcPr>
          <w:p w14:paraId="46535554" w14:textId="3E0520DA" w:rsidR="00DC5BE9" w:rsidRPr="003E2D55" w:rsidRDefault="00DC5BE9" w:rsidP="003E2D55">
            <w:pPr>
              <w:spacing w:before="40" w:after="40"/>
              <w:jc w:val="center"/>
              <w:rPr>
                <w:rFonts w:cs="Arial"/>
                <w:sz w:val="18"/>
                <w:szCs w:val="18"/>
              </w:rPr>
            </w:pPr>
            <w:r w:rsidRPr="003E2D55">
              <w:rPr>
                <w:rFonts w:cs="Arial"/>
                <w:sz w:val="18"/>
                <w:szCs w:val="18"/>
              </w:rPr>
              <w:t>0.80</w:t>
            </w:r>
          </w:p>
        </w:tc>
        <w:tc>
          <w:tcPr>
            <w:tcW w:w="170" w:type="dxa"/>
            <w:tcBorders>
              <w:top w:val="nil"/>
              <w:left w:val="nil"/>
              <w:bottom w:val="nil"/>
              <w:right w:val="nil"/>
            </w:tcBorders>
            <w:vAlign w:val="bottom"/>
          </w:tcPr>
          <w:p w14:paraId="05FD43DF" w14:textId="4EC1CDC1"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60217902" w14:textId="7F5FB907" w:rsidR="00DC5BE9" w:rsidRPr="003E2D55" w:rsidRDefault="00DC5BE9" w:rsidP="003E2D55">
            <w:pPr>
              <w:spacing w:before="40" w:after="40"/>
              <w:jc w:val="center"/>
              <w:rPr>
                <w:rFonts w:cs="Arial"/>
                <w:sz w:val="18"/>
                <w:szCs w:val="18"/>
              </w:rPr>
            </w:pPr>
            <w:r w:rsidRPr="003E2D55">
              <w:rPr>
                <w:rFonts w:cs="Arial"/>
                <w:sz w:val="18"/>
                <w:szCs w:val="18"/>
              </w:rPr>
              <w:t>1.01</w:t>
            </w:r>
          </w:p>
        </w:tc>
        <w:tc>
          <w:tcPr>
            <w:tcW w:w="907" w:type="dxa"/>
            <w:tcBorders>
              <w:top w:val="nil"/>
              <w:left w:val="nil"/>
              <w:bottom w:val="nil"/>
              <w:right w:val="nil"/>
            </w:tcBorders>
            <w:shd w:val="clear" w:color="auto" w:fill="auto"/>
            <w:vAlign w:val="bottom"/>
          </w:tcPr>
          <w:p w14:paraId="7F2C2800" w14:textId="38C379D4" w:rsidR="00DC5BE9" w:rsidRPr="003E2D55" w:rsidRDefault="00DC5BE9" w:rsidP="003E2D55">
            <w:pPr>
              <w:spacing w:before="40" w:after="40"/>
              <w:jc w:val="center"/>
              <w:rPr>
                <w:rFonts w:cs="Arial"/>
                <w:sz w:val="18"/>
                <w:szCs w:val="18"/>
              </w:rPr>
            </w:pPr>
            <w:r w:rsidRPr="003E2D55">
              <w:rPr>
                <w:rFonts w:cs="Arial"/>
                <w:sz w:val="18"/>
                <w:szCs w:val="18"/>
              </w:rPr>
              <w:t>1.02</w:t>
            </w:r>
          </w:p>
        </w:tc>
        <w:tc>
          <w:tcPr>
            <w:tcW w:w="1021" w:type="dxa"/>
            <w:tcBorders>
              <w:top w:val="nil"/>
              <w:left w:val="nil"/>
              <w:bottom w:val="nil"/>
              <w:right w:val="nil"/>
            </w:tcBorders>
            <w:shd w:val="clear" w:color="auto" w:fill="auto"/>
            <w:vAlign w:val="bottom"/>
          </w:tcPr>
          <w:p w14:paraId="5C0785E1" w14:textId="414A39E1"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1021" w:type="dxa"/>
            <w:tcBorders>
              <w:top w:val="nil"/>
              <w:left w:val="nil"/>
              <w:bottom w:val="nil"/>
              <w:right w:val="nil"/>
            </w:tcBorders>
            <w:shd w:val="clear" w:color="auto" w:fill="auto"/>
            <w:vAlign w:val="bottom"/>
          </w:tcPr>
          <w:p w14:paraId="27A7E893" w14:textId="579B460D" w:rsidR="00DC5BE9" w:rsidRPr="003E2D55" w:rsidRDefault="00DC5BE9" w:rsidP="003E2D55">
            <w:pPr>
              <w:spacing w:before="40" w:after="40"/>
              <w:jc w:val="center"/>
              <w:rPr>
                <w:rFonts w:cs="Arial"/>
                <w:sz w:val="18"/>
                <w:szCs w:val="18"/>
              </w:rPr>
            </w:pPr>
            <w:r w:rsidRPr="003E2D55">
              <w:rPr>
                <w:rFonts w:cs="Arial"/>
                <w:sz w:val="18"/>
                <w:szCs w:val="18"/>
              </w:rPr>
              <w:t>19.5</w:t>
            </w:r>
          </w:p>
        </w:tc>
      </w:tr>
      <w:tr w:rsidR="00DC5BE9" w:rsidRPr="003E2D55" w14:paraId="56078019"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5159CE54" w14:textId="77777777" w:rsidR="00DC5BE9" w:rsidRPr="003E2D55" w:rsidRDefault="00DC5BE9" w:rsidP="003E2D55">
            <w:pPr>
              <w:spacing w:before="40" w:after="40"/>
              <w:rPr>
                <w:rFonts w:cs="Arial"/>
                <w:sz w:val="18"/>
                <w:szCs w:val="18"/>
              </w:rPr>
            </w:pPr>
            <w:r w:rsidRPr="003E2D55">
              <w:rPr>
                <w:rFonts w:cs="Arial"/>
                <w:sz w:val="18"/>
                <w:szCs w:val="18"/>
              </w:rPr>
              <w:t>Greater Dandenong C</w:t>
            </w:r>
          </w:p>
        </w:tc>
        <w:tc>
          <w:tcPr>
            <w:tcW w:w="1021" w:type="dxa"/>
            <w:tcBorders>
              <w:top w:val="nil"/>
              <w:left w:val="single" w:sz="18" w:space="0" w:color="5F497A" w:themeColor="accent4" w:themeShade="BF"/>
              <w:bottom w:val="nil"/>
              <w:right w:val="nil"/>
            </w:tcBorders>
            <w:shd w:val="clear" w:color="auto" w:fill="auto"/>
            <w:vAlign w:val="bottom"/>
          </w:tcPr>
          <w:p w14:paraId="7D4D58C9" w14:textId="15F047F9" w:rsidR="00DC5BE9" w:rsidRPr="003E2D55" w:rsidRDefault="00DC5BE9" w:rsidP="003E2D55">
            <w:pPr>
              <w:spacing w:before="40" w:after="40"/>
              <w:jc w:val="center"/>
              <w:rPr>
                <w:rFonts w:cs="Arial"/>
                <w:sz w:val="18"/>
                <w:szCs w:val="18"/>
              </w:rPr>
            </w:pPr>
            <w:r w:rsidRPr="003E2D55">
              <w:rPr>
                <w:rFonts w:cs="Arial"/>
                <w:sz w:val="18"/>
                <w:szCs w:val="18"/>
              </w:rPr>
              <w:t>1.10</w:t>
            </w:r>
          </w:p>
        </w:tc>
        <w:tc>
          <w:tcPr>
            <w:tcW w:w="907" w:type="dxa"/>
            <w:tcBorders>
              <w:top w:val="nil"/>
              <w:left w:val="nil"/>
              <w:bottom w:val="nil"/>
              <w:right w:val="nil"/>
            </w:tcBorders>
            <w:shd w:val="clear" w:color="auto" w:fill="auto"/>
            <w:vAlign w:val="bottom"/>
          </w:tcPr>
          <w:p w14:paraId="1B5402EB" w14:textId="7FC0D9EA" w:rsidR="00DC5BE9" w:rsidRPr="003E2D55" w:rsidRDefault="00DC5BE9" w:rsidP="003E2D55">
            <w:pPr>
              <w:spacing w:before="40" w:after="40"/>
              <w:jc w:val="center"/>
              <w:rPr>
                <w:rFonts w:cs="Arial"/>
                <w:sz w:val="18"/>
                <w:szCs w:val="18"/>
              </w:rPr>
            </w:pPr>
            <w:r w:rsidRPr="003E2D55">
              <w:rPr>
                <w:rFonts w:cs="Arial"/>
                <w:sz w:val="18"/>
                <w:szCs w:val="18"/>
              </w:rPr>
              <w:t>1.02</w:t>
            </w:r>
          </w:p>
        </w:tc>
        <w:tc>
          <w:tcPr>
            <w:tcW w:w="907" w:type="dxa"/>
            <w:tcBorders>
              <w:top w:val="nil"/>
              <w:left w:val="nil"/>
              <w:bottom w:val="nil"/>
              <w:right w:val="nil"/>
            </w:tcBorders>
            <w:vAlign w:val="bottom"/>
          </w:tcPr>
          <w:p w14:paraId="0100BA6E" w14:textId="34AA8C30" w:rsidR="00DC5BE9" w:rsidRPr="003E2D55" w:rsidRDefault="00DC5BE9" w:rsidP="003E2D55">
            <w:pPr>
              <w:spacing w:before="40" w:after="40"/>
              <w:jc w:val="center"/>
              <w:rPr>
                <w:rFonts w:cs="Arial"/>
                <w:sz w:val="18"/>
                <w:szCs w:val="18"/>
              </w:rPr>
            </w:pPr>
            <w:r w:rsidRPr="003E2D55">
              <w:rPr>
                <w:rFonts w:cs="Arial"/>
                <w:sz w:val="18"/>
                <w:szCs w:val="18"/>
              </w:rPr>
              <w:t>0.98</w:t>
            </w:r>
          </w:p>
        </w:tc>
        <w:tc>
          <w:tcPr>
            <w:tcW w:w="170" w:type="dxa"/>
            <w:tcBorders>
              <w:top w:val="nil"/>
              <w:left w:val="nil"/>
              <w:bottom w:val="nil"/>
              <w:right w:val="nil"/>
            </w:tcBorders>
            <w:vAlign w:val="bottom"/>
          </w:tcPr>
          <w:p w14:paraId="13FCC543" w14:textId="7BFF4EC2"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632850C3" w14:textId="4A5955D8"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1CAF41BD" w14:textId="6D9E55AF"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0A79B93E" w14:textId="27408C1A" w:rsidR="00DC5BE9" w:rsidRPr="003E2D55" w:rsidRDefault="00DC5BE9" w:rsidP="003E2D55">
            <w:pPr>
              <w:spacing w:before="40" w:after="4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7AC4413B" w14:textId="724B77C4" w:rsidR="00DC5BE9" w:rsidRPr="003E2D55" w:rsidRDefault="00DC5BE9" w:rsidP="003E2D55">
            <w:pPr>
              <w:spacing w:before="40" w:after="40"/>
              <w:jc w:val="center"/>
              <w:rPr>
                <w:rFonts w:cs="Arial"/>
                <w:sz w:val="18"/>
                <w:szCs w:val="18"/>
              </w:rPr>
            </w:pPr>
            <w:r w:rsidRPr="003E2D55">
              <w:rPr>
                <w:rFonts w:cs="Arial"/>
                <w:sz w:val="18"/>
                <w:szCs w:val="18"/>
              </w:rPr>
              <w:t>22.1</w:t>
            </w:r>
          </w:p>
        </w:tc>
      </w:tr>
      <w:tr w:rsidR="00DC5BE9" w:rsidRPr="003E2D55" w14:paraId="77514D8F"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78CA2F19" w14:textId="77777777" w:rsidR="00DC5BE9" w:rsidRPr="003E2D55" w:rsidRDefault="00DC5BE9" w:rsidP="003E2D55">
            <w:pPr>
              <w:spacing w:before="40" w:after="40"/>
              <w:rPr>
                <w:rFonts w:cs="Arial"/>
                <w:sz w:val="18"/>
                <w:szCs w:val="18"/>
              </w:rPr>
            </w:pPr>
            <w:r w:rsidRPr="003E2D55">
              <w:rPr>
                <w:rFonts w:cs="Arial"/>
                <w:sz w:val="18"/>
                <w:szCs w:val="18"/>
              </w:rPr>
              <w:t>Greater Geelong C</w:t>
            </w:r>
          </w:p>
        </w:tc>
        <w:tc>
          <w:tcPr>
            <w:tcW w:w="1021" w:type="dxa"/>
            <w:tcBorders>
              <w:top w:val="nil"/>
              <w:left w:val="single" w:sz="18" w:space="0" w:color="5F497A" w:themeColor="accent4" w:themeShade="BF"/>
              <w:bottom w:val="nil"/>
              <w:right w:val="nil"/>
            </w:tcBorders>
            <w:shd w:val="clear" w:color="auto" w:fill="auto"/>
            <w:vAlign w:val="bottom"/>
          </w:tcPr>
          <w:p w14:paraId="7F7DC11F" w14:textId="224E0014" w:rsidR="00DC5BE9" w:rsidRPr="003E2D55" w:rsidRDefault="00DC5BE9" w:rsidP="003E2D55">
            <w:pPr>
              <w:spacing w:before="40" w:after="40"/>
              <w:jc w:val="center"/>
              <w:rPr>
                <w:rFonts w:cs="Arial"/>
                <w:sz w:val="18"/>
                <w:szCs w:val="18"/>
              </w:rPr>
            </w:pPr>
            <w:r w:rsidRPr="003E2D55">
              <w:rPr>
                <w:rFonts w:cs="Arial"/>
                <w:sz w:val="18"/>
                <w:szCs w:val="18"/>
              </w:rPr>
              <w:t>0.98</w:t>
            </w:r>
          </w:p>
        </w:tc>
        <w:tc>
          <w:tcPr>
            <w:tcW w:w="907" w:type="dxa"/>
            <w:tcBorders>
              <w:top w:val="nil"/>
              <w:left w:val="nil"/>
              <w:bottom w:val="nil"/>
              <w:right w:val="nil"/>
            </w:tcBorders>
            <w:shd w:val="clear" w:color="auto" w:fill="auto"/>
            <w:vAlign w:val="bottom"/>
          </w:tcPr>
          <w:p w14:paraId="1666C9F6" w14:textId="4D5B2898" w:rsidR="00DC5BE9" w:rsidRPr="003E2D55" w:rsidRDefault="00DC5BE9" w:rsidP="003E2D55">
            <w:pPr>
              <w:spacing w:before="40" w:after="40"/>
              <w:jc w:val="center"/>
              <w:rPr>
                <w:rFonts w:cs="Arial"/>
                <w:sz w:val="18"/>
                <w:szCs w:val="18"/>
              </w:rPr>
            </w:pPr>
            <w:r w:rsidRPr="003E2D55">
              <w:rPr>
                <w:rFonts w:cs="Arial"/>
                <w:sz w:val="18"/>
                <w:szCs w:val="18"/>
              </w:rPr>
              <w:t>1.00</w:t>
            </w:r>
          </w:p>
        </w:tc>
        <w:tc>
          <w:tcPr>
            <w:tcW w:w="907" w:type="dxa"/>
            <w:tcBorders>
              <w:top w:val="nil"/>
              <w:left w:val="nil"/>
              <w:bottom w:val="nil"/>
              <w:right w:val="nil"/>
            </w:tcBorders>
            <w:vAlign w:val="bottom"/>
          </w:tcPr>
          <w:p w14:paraId="005E940D" w14:textId="240EFE75" w:rsidR="00DC5BE9" w:rsidRPr="003E2D55" w:rsidRDefault="00DC5BE9" w:rsidP="003E2D55">
            <w:pPr>
              <w:spacing w:before="40" w:after="40"/>
              <w:jc w:val="center"/>
              <w:rPr>
                <w:rFonts w:cs="Arial"/>
                <w:sz w:val="18"/>
                <w:szCs w:val="18"/>
              </w:rPr>
            </w:pPr>
            <w:r w:rsidRPr="003E2D55">
              <w:rPr>
                <w:rFonts w:cs="Arial"/>
                <w:sz w:val="18"/>
                <w:szCs w:val="18"/>
              </w:rPr>
              <w:t>0.91</w:t>
            </w:r>
          </w:p>
        </w:tc>
        <w:tc>
          <w:tcPr>
            <w:tcW w:w="170" w:type="dxa"/>
            <w:tcBorders>
              <w:top w:val="nil"/>
              <w:left w:val="nil"/>
              <w:bottom w:val="nil"/>
              <w:right w:val="nil"/>
            </w:tcBorders>
            <w:vAlign w:val="bottom"/>
          </w:tcPr>
          <w:p w14:paraId="4762543F" w14:textId="0C7D6D07"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2246BE18" w14:textId="7EED4E03" w:rsidR="00DC5BE9" w:rsidRPr="003E2D55" w:rsidRDefault="00DC5BE9" w:rsidP="003E2D55">
            <w:pPr>
              <w:spacing w:before="40" w:after="40"/>
              <w:jc w:val="center"/>
              <w:rPr>
                <w:rFonts w:cs="Arial"/>
                <w:sz w:val="18"/>
                <w:szCs w:val="18"/>
              </w:rPr>
            </w:pPr>
            <w:r w:rsidRPr="003E2D55">
              <w:rPr>
                <w:rFonts w:cs="Arial"/>
                <w:sz w:val="18"/>
                <w:szCs w:val="18"/>
              </w:rPr>
              <w:t>1.01</w:t>
            </w:r>
          </w:p>
        </w:tc>
        <w:tc>
          <w:tcPr>
            <w:tcW w:w="907" w:type="dxa"/>
            <w:tcBorders>
              <w:top w:val="nil"/>
              <w:left w:val="nil"/>
              <w:bottom w:val="nil"/>
              <w:right w:val="nil"/>
            </w:tcBorders>
            <w:shd w:val="clear" w:color="auto" w:fill="auto"/>
            <w:vAlign w:val="bottom"/>
          </w:tcPr>
          <w:p w14:paraId="0EF77258" w14:textId="7B59AF8A" w:rsidR="00DC5BE9" w:rsidRPr="003E2D55" w:rsidRDefault="00DC5BE9" w:rsidP="003E2D55">
            <w:pPr>
              <w:spacing w:before="40" w:after="40"/>
              <w:jc w:val="center"/>
              <w:rPr>
                <w:rFonts w:cs="Arial"/>
                <w:sz w:val="18"/>
                <w:szCs w:val="18"/>
              </w:rPr>
            </w:pPr>
            <w:r w:rsidRPr="003E2D55">
              <w:rPr>
                <w:rFonts w:cs="Arial"/>
                <w:sz w:val="18"/>
                <w:szCs w:val="18"/>
              </w:rPr>
              <w:t>1.03</w:t>
            </w:r>
          </w:p>
        </w:tc>
        <w:tc>
          <w:tcPr>
            <w:tcW w:w="1021" w:type="dxa"/>
            <w:tcBorders>
              <w:top w:val="nil"/>
              <w:left w:val="nil"/>
              <w:bottom w:val="nil"/>
              <w:right w:val="nil"/>
            </w:tcBorders>
            <w:shd w:val="clear" w:color="auto" w:fill="auto"/>
            <w:vAlign w:val="bottom"/>
          </w:tcPr>
          <w:p w14:paraId="45EA425B" w14:textId="14716CE4"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4700733A" w14:textId="5E6B2E02" w:rsidR="00DC5BE9" w:rsidRPr="003E2D55" w:rsidRDefault="00DC5BE9" w:rsidP="003E2D55">
            <w:pPr>
              <w:spacing w:before="40" w:after="40"/>
              <w:jc w:val="center"/>
              <w:rPr>
                <w:rFonts w:cs="Arial"/>
                <w:sz w:val="18"/>
                <w:szCs w:val="18"/>
              </w:rPr>
            </w:pPr>
            <w:r w:rsidRPr="003E2D55">
              <w:rPr>
                <w:rFonts w:cs="Arial"/>
                <w:sz w:val="18"/>
                <w:szCs w:val="18"/>
              </w:rPr>
              <w:t>33.8</w:t>
            </w:r>
          </w:p>
        </w:tc>
      </w:tr>
      <w:tr w:rsidR="00DC5BE9" w:rsidRPr="003E2D55" w14:paraId="50C5F3FD"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051970D2" w14:textId="77777777" w:rsidR="00DC5BE9" w:rsidRPr="003E2D55" w:rsidRDefault="00DC5BE9" w:rsidP="003E2D55">
            <w:pPr>
              <w:spacing w:before="40" w:after="40"/>
              <w:rPr>
                <w:rFonts w:cs="Arial"/>
                <w:sz w:val="18"/>
                <w:szCs w:val="18"/>
              </w:rPr>
            </w:pPr>
            <w:r w:rsidRPr="003E2D55">
              <w:rPr>
                <w:rFonts w:cs="Arial"/>
                <w:sz w:val="18"/>
                <w:szCs w:val="18"/>
              </w:rPr>
              <w:t>Greater Shepparton C</w:t>
            </w:r>
          </w:p>
        </w:tc>
        <w:tc>
          <w:tcPr>
            <w:tcW w:w="1021" w:type="dxa"/>
            <w:tcBorders>
              <w:top w:val="nil"/>
              <w:left w:val="single" w:sz="18" w:space="0" w:color="5F497A" w:themeColor="accent4" w:themeShade="BF"/>
              <w:bottom w:val="nil"/>
              <w:right w:val="nil"/>
            </w:tcBorders>
            <w:shd w:val="clear" w:color="auto" w:fill="auto"/>
            <w:vAlign w:val="bottom"/>
          </w:tcPr>
          <w:p w14:paraId="3C09E428" w14:textId="57211600" w:rsidR="00DC5BE9" w:rsidRPr="003E2D55" w:rsidRDefault="00DC5BE9" w:rsidP="003E2D55">
            <w:pPr>
              <w:spacing w:before="40" w:after="40"/>
              <w:jc w:val="center"/>
              <w:rPr>
                <w:rFonts w:cs="Arial"/>
                <w:sz w:val="18"/>
                <w:szCs w:val="18"/>
              </w:rPr>
            </w:pPr>
            <w:r w:rsidRPr="003E2D55">
              <w:rPr>
                <w:rFonts w:cs="Arial"/>
                <w:sz w:val="18"/>
                <w:szCs w:val="18"/>
              </w:rPr>
              <w:t>1.01</w:t>
            </w:r>
          </w:p>
        </w:tc>
        <w:tc>
          <w:tcPr>
            <w:tcW w:w="907" w:type="dxa"/>
            <w:tcBorders>
              <w:top w:val="nil"/>
              <w:left w:val="nil"/>
              <w:bottom w:val="nil"/>
              <w:right w:val="nil"/>
            </w:tcBorders>
            <w:shd w:val="clear" w:color="auto" w:fill="auto"/>
            <w:vAlign w:val="bottom"/>
          </w:tcPr>
          <w:p w14:paraId="6282B164" w14:textId="1654AFA5"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907" w:type="dxa"/>
            <w:tcBorders>
              <w:top w:val="nil"/>
              <w:left w:val="nil"/>
              <w:bottom w:val="nil"/>
              <w:right w:val="nil"/>
            </w:tcBorders>
            <w:vAlign w:val="bottom"/>
          </w:tcPr>
          <w:p w14:paraId="4ADC2185" w14:textId="24A519C5" w:rsidR="00DC5BE9" w:rsidRPr="003E2D55" w:rsidRDefault="00DC5BE9" w:rsidP="003E2D55">
            <w:pPr>
              <w:spacing w:before="40" w:after="40"/>
              <w:jc w:val="center"/>
              <w:rPr>
                <w:rFonts w:cs="Arial"/>
                <w:sz w:val="18"/>
                <w:szCs w:val="18"/>
              </w:rPr>
            </w:pPr>
            <w:r w:rsidRPr="003E2D55">
              <w:rPr>
                <w:rFonts w:cs="Arial"/>
                <w:sz w:val="18"/>
                <w:szCs w:val="18"/>
              </w:rPr>
              <w:t>0.80</w:t>
            </w:r>
          </w:p>
        </w:tc>
        <w:tc>
          <w:tcPr>
            <w:tcW w:w="170" w:type="dxa"/>
            <w:tcBorders>
              <w:top w:val="nil"/>
              <w:left w:val="nil"/>
              <w:bottom w:val="nil"/>
              <w:right w:val="nil"/>
            </w:tcBorders>
            <w:vAlign w:val="bottom"/>
          </w:tcPr>
          <w:p w14:paraId="79FEBD23" w14:textId="42CC6575"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3CAACF0B" w14:textId="7AE0935B" w:rsidR="00DC5BE9" w:rsidRPr="003E2D55" w:rsidRDefault="00DC5BE9" w:rsidP="003E2D55">
            <w:pPr>
              <w:spacing w:before="40" w:after="40"/>
              <w:jc w:val="center"/>
              <w:rPr>
                <w:rFonts w:cs="Arial"/>
                <w:sz w:val="18"/>
                <w:szCs w:val="18"/>
              </w:rPr>
            </w:pPr>
            <w:r w:rsidRPr="003E2D55">
              <w:rPr>
                <w:rFonts w:cs="Arial"/>
                <w:sz w:val="18"/>
                <w:szCs w:val="18"/>
              </w:rPr>
              <w:t>1.06</w:t>
            </w:r>
          </w:p>
        </w:tc>
        <w:tc>
          <w:tcPr>
            <w:tcW w:w="907" w:type="dxa"/>
            <w:tcBorders>
              <w:top w:val="nil"/>
              <w:left w:val="nil"/>
              <w:bottom w:val="nil"/>
              <w:right w:val="nil"/>
            </w:tcBorders>
            <w:shd w:val="clear" w:color="auto" w:fill="auto"/>
            <w:vAlign w:val="bottom"/>
          </w:tcPr>
          <w:p w14:paraId="7FD59F0D" w14:textId="5D576C7F" w:rsidR="00DC5BE9" w:rsidRPr="003E2D55" w:rsidRDefault="00DC5BE9" w:rsidP="003E2D55">
            <w:pPr>
              <w:spacing w:before="40" w:after="40"/>
              <w:jc w:val="center"/>
              <w:rPr>
                <w:rFonts w:cs="Arial"/>
                <w:sz w:val="18"/>
                <w:szCs w:val="18"/>
              </w:rPr>
            </w:pPr>
            <w:r w:rsidRPr="003E2D55">
              <w:rPr>
                <w:rFonts w:cs="Arial"/>
                <w:sz w:val="18"/>
                <w:szCs w:val="18"/>
              </w:rPr>
              <w:t>1.05</w:t>
            </w:r>
          </w:p>
        </w:tc>
        <w:tc>
          <w:tcPr>
            <w:tcW w:w="1021" w:type="dxa"/>
            <w:tcBorders>
              <w:top w:val="nil"/>
              <w:left w:val="nil"/>
              <w:bottom w:val="nil"/>
              <w:right w:val="nil"/>
            </w:tcBorders>
            <w:shd w:val="clear" w:color="auto" w:fill="auto"/>
            <w:vAlign w:val="bottom"/>
          </w:tcPr>
          <w:p w14:paraId="4143AF8E" w14:textId="1CC5CC61"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1021" w:type="dxa"/>
            <w:tcBorders>
              <w:top w:val="nil"/>
              <w:left w:val="nil"/>
              <w:bottom w:val="nil"/>
              <w:right w:val="nil"/>
            </w:tcBorders>
            <w:shd w:val="clear" w:color="auto" w:fill="auto"/>
            <w:vAlign w:val="bottom"/>
          </w:tcPr>
          <w:p w14:paraId="5CB2C1E9" w14:textId="6B3E5EDB" w:rsidR="00DC5BE9" w:rsidRPr="003E2D55" w:rsidRDefault="00DC5BE9" w:rsidP="003E2D55">
            <w:pPr>
              <w:spacing w:before="40" w:after="40"/>
              <w:jc w:val="center"/>
              <w:rPr>
                <w:rFonts w:cs="Arial"/>
                <w:sz w:val="18"/>
                <w:szCs w:val="18"/>
              </w:rPr>
            </w:pPr>
            <w:r w:rsidRPr="003E2D55">
              <w:rPr>
                <w:rFonts w:cs="Arial"/>
                <w:sz w:val="18"/>
                <w:szCs w:val="18"/>
              </w:rPr>
              <w:t>51.8</w:t>
            </w:r>
          </w:p>
        </w:tc>
      </w:tr>
      <w:tr w:rsidR="00DC5BE9" w:rsidRPr="003E2D55" w14:paraId="2B005B37"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552E23C6" w14:textId="77777777" w:rsidR="00DC5BE9" w:rsidRPr="003E2D55" w:rsidRDefault="00DC5BE9" w:rsidP="003E2D55">
            <w:pPr>
              <w:spacing w:before="40" w:after="40"/>
              <w:rPr>
                <w:rFonts w:cs="Arial"/>
                <w:sz w:val="18"/>
                <w:szCs w:val="18"/>
              </w:rPr>
            </w:pPr>
            <w:r w:rsidRPr="003E2D55">
              <w:rPr>
                <w:rFonts w:cs="Arial"/>
                <w:sz w:val="18"/>
                <w:szCs w:val="18"/>
              </w:rPr>
              <w:t>Hepburn S</w:t>
            </w:r>
          </w:p>
        </w:tc>
        <w:tc>
          <w:tcPr>
            <w:tcW w:w="1021" w:type="dxa"/>
            <w:tcBorders>
              <w:top w:val="nil"/>
              <w:left w:val="single" w:sz="18" w:space="0" w:color="5F497A" w:themeColor="accent4" w:themeShade="BF"/>
              <w:bottom w:val="nil"/>
              <w:right w:val="nil"/>
            </w:tcBorders>
            <w:shd w:val="clear" w:color="auto" w:fill="auto"/>
            <w:vAlign w:val="bottom"/>
          </w:tcPr>
          <w:p w14:paraId="661F4E3A" w14:textId="0FEAB6E9" w:rsidR="00DC5BE9" w:rsidRPr="003E2D55" w:rsidRDefault="00DC5BE9" w:rsidP="003E2D55">
            <w:pPr>
              <w:spacing w:before="40" w:after="40"/>
              <w:jc w:val="center"/>
              <w:rPr>
                <w:rFonts w:cs="Arial"/>
                <w:sz w:val="18"/>
                <w:szCs w:val="18"/>
              </w:rPr>
            </w:pPr>
            <w:r w:rsidRPr="003E2D55">
              <w:rPr>
                <w:rFonts w:cs="Arial"/>
                <w:sz w:val="18"/>
                <w:szCs w:val="18"/>
              </w:rPr>
              <w:t>0.98</w:t>
            </w:r>
          </w:p>
        </w:tc>
        <w:tc>
          <w:tcPr>
            <w:tcW w:w="907" w:type="dxa"/>
            <w:tcBorders>
              <w:top w:val="nil"/>
              <w:left w:val="nil"/>
              <w:bottom w:val="nil"/>
              <w:right w:val="nil"/>
            </w:tcBorders>
            <w:shd w:val="clear" w:color="auto" w:fill="auto"/>
            <w:vAlign w:val="bottom"/>
          </w:tcPr>
          <w:p w14:paraId="5A08E51B" w14:textId="1EF73D3F" w:rsidR="00DC5BE9" w:rsidRPr="003E2D55" w:rsidRDefault="00DC5BE9" w:rsidP="003E2D55">
            <w:pPr>
              <w:spacing w:before="40" w:after="40"/>
              <w:jc w:val="center"/>
              <w:rPr>
                <w:rFonts w:cs="Arial"/>
                <w:sz w:val="18"/>
                <w:szCs w:val="18"/>
              </w:rPr>
            </w:pPr>
            <w:r w:rsidRPr="003E2D55">
              <w:rPr>
                <w:rFonts w:cs="Arial"/>
                <w:sz w:val="18"/>
                <w:szCs w:val="18"/>
              </w:rPr>
              <w:t>1.01</w:t>
            </w:r>
          </w:p>
        </w:tc>
        <w:tc>
          <w:tcPr>
            <w:tcW w:w="907" w:type="dxa"/>
            <w:tcBorders>
              <w:top w:val="nil"/>
              <w:left w:val="nil"/>
              <w:bottom w:val="nil"/>
              <w:right w:val="nil"/>
            </w:tcBorders>
            <w:vAlign w:val="bottom"/>
          </w:tcPr>
          <w:p w14:paraId="224A1514" w14:textId="1826E921" w:rsidR="00DC5BE9" w:rsidRPr="003E2D55" w:rsidRDefault="00DC5BE9" w:rsidP="003E2D55">
            <w:pPr>
              <w:spacing w:before="40" w:after="40"/>
              <w:jc w:val="center"/>
              <w:rPr>
                <w:rFonts w:cs="Arial"/>
                <w:sz w:val="18"/>
                <w:szCs w:val="18"/>
              </w:rPr>
            </w:pPr>
            <w:r w:rsidRPr="003E2D55">
              <w:rPr>
                <w:rFonts w:cs="Arial"/>
                <w:sz w:val="18"/>
                <w:szCs w:val="18"/>
              </w:rPr>
              <w:t>0.95</w:t>
            </w:r>
          </w:p>
        </w:tc>
        <w:tc>
          <w:tcPr>
            <w:tcW w:w="170" w:type="dxa"/>
            <w:tcBorders>
              <w:top w:val="nil"/>
              <w:left w:val="nil"/>
              <w:bottom w:val="nil"/>
              <w:right w:val="nil"/>
            </w:tcBorders>
            <w:vAlign w:val="bottom"/>
          </w:tcPr>
          <w:p w14:paraId="0F1752B2" w14:textId="365D1105"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0CCC3382" w14:textId="275E3A98" w:rsidR="00DC5BE9" w:rsidRPr="003E2D55" w:rsidRDefault="00DC5BE9" w:rsidP="003E2D55">
            <w:pPr>
              <w:spacing w:before="40" w:after="40"/>
              <w:jc w:val="center"/>
              <w:rPr>
                <w:rFonts w:cs="Arial"/>
                <w:sz w:val="18"/>
                <w:szCs w:val="18"/>
              </w:rPr>
            </w:pPr>
            <w:r w:rsidRPr="003E2D55">
              <w:rPr>
                <w:rFonts w:cs="Arial"/>
                <w:sz w:val="18"/>
                <w:szCs w:val="18"/>
              </w:rPr>
              <w:t>1.00</w:t>
            </w:r>
          </w:p>
        </w:tc>
        <w:tc>
          <w:tcPr>
            <w:tcW w:w="907" w:type="dxa"/>
            <w:tcBorders>
              <w:top w:val="nil"/>
              <w:left w:val="nil"/>
              <w:bottom w:val="nil"/>
              <w:right w:val="nil"/>
            </w:tcBorders>
            <w:shd w:val="clear" w:color="auto" w:fill="auto"/>
            <w:vAlign w:val="bottom"/>
          </w:tcPr>
          <w:p w14:paraId="10E0C896" w14:textId="7DD1595B" w:rsidR="00DC5BE9" w:rsidRPr="003E2D55" w:rsidRDefault="00DC5BE9" w:rsidP="003E2D55">
            <w:pPr>
              <w:spacing w:before="40" w:after="40"/>
              <w:jc w:val="center"/>
              <w:rPr>
                <w:rFonts w:cs="Arial"/>
                <w:sz w:val="18"/>
                <w:szCs w:val="18"/>
              </w:rPr>
            </w:pPr>
            <w:r w:rsidRPr="003E2D55">
              <w:rPr>
                <w:rFonts w:cs="Arial"/>
                <w:sz w:val="18"/>
                <w:szCs w:val="18"/>
              </w:rPr>
              <w:t>1.01</w:t>
            </w:r>
          </w:p>
        </w:tc>
        <w:tc>
          <w:tcPr>
            <w:tcW w:w="1021" w:type="dxa"/>
            <w:tcBorders>
              <w:top w:val="nil"/>
              <w:left w:val="nil"/>
              <w:bottom w:val="nil"/>
              <w:right w:val="nil"/>
            </w:tcBorders>
            <w:shd w:val="clear" w:color="auto" w:fill="auto"/>
            <w:vAlign w:val="bottom"/>
          </w:tcPr>
          <w:p w14:paraId="1A7BEB7A" w14:textId="24B6EEC9"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1021" w:type="dxa"/>
            <w:tcBorders>
              <w:top w:val="nil"/>
              <w:left w:val="nil"/>
              <w:bottom w:val="nil"/>
              <w:right w:val="nil"/>
            </w:tcBorders>
            <w:shd w:val="clear" w:color="auto" w:fill="auto"/>
            <w:vAlign w:val="bottom"/>
          </w:tcPr>
          <w:p w14:paraId="1F0557A7" w14:textId="18F3511D" w:rsidR="00DC5BE9" w:rsidRPr="003E2D55" w:rsidRDefault="00DC5BE9" w:rsidP="003E2D55">
            <w:pPr>
              <w:spacing w:before="40" w:after="40"/>
              <w:jc w:val="center"/>
              <w:rPr>
                <w:rFonts w:cs="Arial"/>
                <w:sz w:val="18"/>
                <w:szCs w:val="18"/>
              </w:rPr>
            </w:pPr>
            <w:r w:rsidRPr="003E2D55">
              <w:rPr>
                <w:rFonts w:cs="Arial"/>
                <w:sz w:val="18"/>
                <w:szCs w:val="18"/>
              </w:rPr>
              <w:t>13.9</w:t>
            </w:r>
          </w:p>
        </w:tc>
      </w:tr>
      <w:tr w:rsidR="00DC5BE9" w:rsidRPr="003E2D55" w14:paraId="33E43FAA"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47B813A3" w14:textId="77777777" w:rsidR="00DC5BE9" w:rsidRPr="003E2D55" w:rsidRDefault="00DC5BE9" w:rsidP="003E2D55">
            <w:pPr>
              <w:spacing w:before="40" w:after="40"/>
              <w:rPr>
                <w:rFonts w:cs="Arial"/>
                <w:sz w:val="18"/>
                <w:szCs w:val="18"/>
              </w:rPr>
            </w:pPr>
            <w:r w:rsidRPr="003E2D55">
              <w:rPr>
                <w:rFonts w:cs="Arial"/>
                <w:sz w:val="18"/>
                <w:szCs w:val="18"/>
              </w:rPr>
              <w:t>Hindmarsh S</w:t>
            </w:r>
          </w:p>
        </w:tc>
        <w:tc>
          <w:tcPr>
            <w:tcW w:w="1021" w:type="dxa"/>
            <w:tcBorders>
              <w:top w:val="nil"/>
              <w:left w:val="single" w:sz="18" w:space="0" w:color="5F497A" w:themeColor="accent4" w:themeShade="BF"/>
              <w:bottom w:val="nil"/>
              <w:right w:val="nil"/>
            </w:tcBorders>
            <w:shd w:val="clear" w:color="auto" w:fill="auto"/>
            <w:vAlign w:val="bottom"/>
          </w:tcPr>
          <w:p w14:paraId="7BD63911" w14:textId="1A016197" w:rsidR="00DC5BE9" w:rsidRPr="003E2D55" w:rsidRDefault="00DC5BE9" w:rsidP="003E2D55">
            <w:pPr>
              <w:spacing w:before="40" w:after="40"/>
              <w:jc w:val="center"/>
              <w:rPr>
                <w:rFonts w:cs="Arial"/>
                <w:sz w:val="18"/>
                <w:szCs w:val="18"/>
              </w:rPr>
            </w:pPr>
            <w:r w:rsidRPr="003E2D55">
              <w:rPr>
                <w:rFonts w:cs="Arial"/>
                <w:sz w:val="18"/>
                <w:szCs w:val="18"/>
              </w:rPr>
              <w:t>1.04</w:t>
            </w:r>
          </w:p>
        </w:tc>
        <w:tc>
          <w:tcPr>
            <w:tcW w:w="907" w:type="dxa"/>
            <w:tcBorders>
              <w:top w:val="nil"/>
              <w:left w:val="nil"/>
              <w:bottom w:val="nil"/>
              <w:right w:val="nil"/>
            </w:tcBorders>
            <w:shd w:val="clear" w:color="auto" w:fill="auto"/>
            <w:vAlign w:val="bottom"/>
          </w:tcPr>
          <w:p w14:paraId="64582DBF" w14:textId="0601E592" w:rsidR="00DC5BE9" w:rsidRPr="003E2D55" w:rsidRDefault="00DC5BE9" w:rsidP="003E2D55">
            <w:pPr>
              <w:spacing w:before="40" w:after="40"/>
              <w:jc w:val="center"/>
              <w:rPr>
                <w:rFonts w:cs="Arial"/>
                <w:sz w:val="18"/>
                <w:szCs w:val="18"/>
              </w:rPr>
            </w:pPr>
            <w:r w:rsidRPr="003E2D55">
              <w:rPr>
                <w:rFonts w:cs="Arial"/>
                <w:sz w:val="18"/>
                <w:szCs w:val="18"/>
              </w:rPr>
              <w:t>0.95</w:t>
            </w:r>
          </w:p>
        </w:tc>
        <w:tc>
          <w:tcPr>
            <w:tcW w:w="907" w:type="dxa"/>
            <w:tcBorders>
              <w:top w:val="nil"/>
              <w:left w:val="nil"/>
              <w:bottom w:val="nil"/>
              <w:right w:val="nil"/>
            </w:tcBorders>
            <w:vAlign w:val="bottom"/>
          </w:tcPr>
          <w:p w14:paraId="25DFD9DF" w14:textId="0FA3BCBC" w:rsidR="00DC5BE9" w:rsidRPr="003E2D55" w:rsidRDefault="00DC5BE9" w:rsidP="003E2D55">
            <w:pPr>
              <w:spacing w:before="40" w:after="40"/>
              <w:jc w:val="center"/>
              <w:rPr>
                <w:rFonts w:cs="Arial"/>
                <w:sz w:val="18"/>
                <w:szCs w:val="18"/>
              </w:rPr>
            </w:pPr>
            <w:r w:rsidRPr="003E2D55">
              <w:rPr>
                <w:rFonts w:cs="Arial"/>
                <w:sz w:val="18"/>
                <w:szCs w:val="18"/>
              </w:rPr>
              <w:t>0.76</w:t>
            </w:r>
          </w:p>
        </w:tc>
        <w:tc>
          <w:tcPr>
            <w:tcW w:w="170" w:type="dxa"/>
            <w:tcBorders>
              <w:top w:val="nil"/>
              <w:left w:val="nil"/>
              <w:bottom w:val="nil"/>
              <w:right w:val="nil"/>
            </w:tcBorders>
            <w:vAlign w:val="bottom"/>
          </w:tcPr>
          <w:p w14:paraId="17B5FF8E" w14:textId="2B62CCA7"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3C199F43" w14:textId="24C0CD04" w:rsidR="00DC5BE9" w:rsidRPr="003E2D55" w:rsidRDefault="00DC5BE9" w:rsidP="003E2D55">
            <w:pPr>
              <w:spacing w:before="40" w:after="40"/>
              <w:jc w:val="center"/>
              <w:rPr>
                <w:rFonts w:cs="Arial"/>
                <w:sz w:val="18"/>
                <w:szCs w:val="18"/>
              </w:rPr>
            </w:pPr>
            <w:r w:rsidRPr="003E2D55">
              <w:rPr>
                <w:rFonts w:cs="Arial"/>
                <w:sz w:val="18"/>
                <w:szCs w:val="18"/>
              </w:rPr>
              <w:t>1.06</w:t>
            </w:r>
          </w:p>
        </w:tc>
        <w:tc>
          <w:tcPr>
            <w:tcW w:w="907" w:type="dxa"/>
            <w:tcBorders>
              <w:top w:val="nil"/>
              <w:left w:val="nil"/>
              <w:bottom w:val="nil"/>
              <w:right w:val="nil"/>
            </w:tcBorders>
            <w:shd w:val="clear" w:color="auto" w:fill="auto"/>
            <w:vAlign w:val="bottom"/>
          </w:tcPr>
          <w:p w14:paraId="3DFF9B6A" w14:textId="12BE56D2" w:rsidR="00DC5BE9" w:rsidRPr="003E2D55" w:rsidRDefault="00DC5BE9" w:rsidP="003E2D55">
            <w:pPr>
              <w:spacing w:before="40" w:after="40"/>
              <w:jc w:val="center"/>
              <w:rPr>
                <w:rFonts w:cs="Arial"/>
                <w:sz w:val="18"/>
                <w:szCs w:val="18"/>
              </w:rPr>
            </w:pPr>
            <w:r w:rsidRPr="003E2D55">
              <w:rPr>
                <w:rFonts w:cs="Arial"/>
                <w:sz w:val="18"/>
                <w:szCs w:val="18"/>
              </w:rPr>
              <w:t>1.06</w:t>
            </w:r>
          </w:p>
        </w:tc>
        <w:tc>
          <w:tcPr>
            <w:tcW w:w="1021" w:type="dxa"/>
            <w:tcBorders>
              <w:top w:val="nil"/>
              <w:left w:val="nil"/>
              <w:bottom w:val="nil"/>
              <w:right w:val="nil"/>
            </w:tcBorders>
            <w:shd w:val="clear" w:color="auto" w:fill="auto"/>
            <w:vAlign w:val="bottom"/>
          </w:tcPr>
          <w:p w14:paraId="11FA15B1" w14:textId="6EC99E68" w:rsidR="00DC5BE9" w:rsidRPr="003E2D55" w:rsidRDefault="00DC5BE9" w:rsidP="003E2D55">
            <w:pPr>
              <w:spacing w:before="40" w:after="40"/>
              <w:jc w:val="center"/>
              <w:rPr>
                <w:rFonts w:cs="Arial"/>
                <w:sz w:val="18"/>
                <w:szCs w:val="18"/>
              </w:rPr>
            </w:pPr>
            <w:r w:rsidRPr="003E2D55">
              <w:rPr>
                <w:rFonts w:cs="Arial"/>
                <w:sz w:val="18"/>
                <w:szCs w:val="18"/>
              </w:rPr>
              <w:t>0.98</w:t>
            </w:r>
          </w:p>
        </w:tc>
        <w:tc>
          <w:tcPr>
            <w:tcW w:w="1021" w:type="dxa"/>
            <w:tcBorders>
              <w:top w:val="nil"/>
              <w:left w:val="nil"/>
              <w:bottom w:val="nil"/>
              <w:right w:val="nil"/>
            </w:tcBorders>
            <w:shd w:val="clear" w:color="auto" w:fill="auto"/>
            <w:vAlign w:val="bottom"/>
          </w:tcPr>
          <w:p w14:paraId="421ED528" w14:textId="47CEFEFB" w:rsidR="00DC5BE9" w:rsidRPr="003E2D55" w:rsidRDefault="00DC5BE9" w:rsidP="003E2D55">
            <w:pPr>
              <w:spacing w:before="40" w:after="40"/>
              <w:jc w:val="center"/>
              <w:rPr>
                <w:rFonts w:cs="Arial"/>
                <w:sz w:val="18"/>
                <w:szCs w:val="18"/>
              </w:rPr>
            </w:pPr>
            <w:r w:rsidRPr="003E2D55">
              <w:rPr>
                <w:rFonts w:cs="Arial"/>
                <w:sz w:val="18"/>
                <w:szCs w:val="18"/>
              </w:rPr>
              <w:t>10.5</w:t>
            </w:r>
          </w:p>
        </w:tc>
      </w:tr>
      <w:tr w:rsidR="00DC5BE9" w:rsidRPr="003E2D55" w14:paraId="665B7739"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566B3852" w14:textId="77777777" w:rsidR="00DC5BE9" w:rsidRPr="003E2D55" w:rsidRDefault="00DC5BE9" w:rsidP="003E2D55">
            <w:pPr>
              <w:spacing w:before="40" w:after="40"/>
              <w:rPr>
                <w:rFonts w:cs="Arial"/>
                <w:sz w:val="18"/>
                <w:szCs w:val="18"/>
              </w:rPr>
            </w:pPr>
            <w:r w:rsidRPr="003E2D55">
              <w:rPr>
                <w:rFonts w:cs="Arial"/>
                <w:sz w:val="18"/>
                <w:szCs w:val="18"/>
              </w:rPr>
              <w:t>Hobsons Bay C</w:t>
            </w:r>
          </w:p>
        </w:tc>
        <w:tc>
          <w:tcPr>
            <w:tcW w:w="1021" w:type="dxa"/>
            <w:tcBorders>
              <w:top w:val="nil"/>
              <w:left w:val="single" w:sz="18" w:space="0" w:color="5F497A" w:themeColor="accent4" w:themeShade="BF"/>
              <w:bottom w:val="nil"/>
              <w:right w:val="nil"/>
            </w:tcBorders>
            <w:shd w:val="clear" w:color="auto" w:fill="auto"/>
            <w:vAlign w:val="bottom"/>
          </w:tcPr>
          <w:p w14:paraId="6A5C7A47" w14:textId="77A05ACA" w:rsidR="00DC5BE9" w:rsidRPr="003E2D55" w:rsidRDefault="00DC5BE9" w:rsidP="003E2D55">
            <w:pPr>
              <w:spacing w:before="40" w:after="40"/>
              <w:jc w:val="center"/>
              <w:rPr>
                <w:rFonts w:cs="Arial"/>
                <w:sz w:val="18"/>
                <w:szCs w:val="18"/>
              </w:rPr>
            </w:pPr>
            <w:r w:rsidRPr="003E2D55">
              <w:rPr>
                <w:rFonts w:cs="Arial"/>
                <w:sz w:val="18"/>
                <w:szCs w:val="18"/>
              </w:rPr>
              <w:t>1.03</w:t>
            </w:r>
          </w:p>
        </w:tc>
        <w:tc>
          <w:tcPr>
            <w:tcW w:w="907" w:type="dxa"/>
            <w:tcBorders>
              <w:top w:val="nil"/>
              <w:left w:val="nil"/>
              <w:bottom w:val="nil"/>
              <w:right w:val="nil"/>
            </w:tcBorders>
            <w:shd w:val="clear" w:color="auto" w:fill="auto"/>
            <w:vAlign w:val="bottom"/>
          </w:tcPr>
          <w:p w14:paraId="78CBE37C" w14:textId="587B2961" w:rsidR="00DC5BE9" w:rsidRPr="003E2D55" w:rsidRDefault="00DC5BE9" w:rsidP="003E2D55">
            <w:pPr>
              <w:spacing w:before="40" w:after="40"/>
              <w:jc w:val="center"/>
              <w:rPr>
                <w:rFonts w:cs="Arial"/>
                <w:sz w:val="18"/>
                <w:szCs w:val="18"/>
              </w:rPr>
            </w:pPr>
            <w:r w:rsidRPr="003E2D55">
              <w:rPr>
                <w:rFonts w:cs="Arial"/>
                <w:sz w:val="18"/>
                <w:szCs w:val="18"/>
              </w:rPr>
              <w:t>0.98</w:t>
            </w:r>
          </w:p>
        </w:tc>
        <w:tc>
          <w:tcPr>
            <w:tcW w:w="907" w:type="dxa"/>
            <w:tcBorders>
              <w:top w:val="nil"/>
              <w:left w:val="nil"/>
              <w:bottom w:val="nil"/>
              <w:right w:val="nil"/>
            </w:tcBorders>
            <w:vAlign w:val="bottom"/>
          </w:tcPr>
          <w:p w14:paraId="40E30941" w14:textId="04B7F5E5" w:rsidR="00DC5BE9" w:rsidRPr="003E2D55" w:rsidRDefault="00DC5BE9" w:rsidP="003E2D55">
            <w:pPr>
              <w:spacing w:before="40" w:after="40"/>
              <w:jc w:val="center"/>
              <w:rPr>
                <w:rFonts w:cs="Arial"/>
                <w:sz w:val="18"/>
                <w:szCs w:val="18"/>
              </w:rPr>
            </w:pPr>
            <w:r w:rsidRPr="003E2D55">
              <w:rPr>
                <w:rFonts w:cs="Arial"/>
                <w:sz w:val="18"/>
                <w:szCs w:val="18"/>
              </w:rPr>
              <w:t>0.84</w:t>
            </w:r>
          </w:p>
        </w:tc>
        <w:tc>
          <w:tcPr>
            <w:tcW w:w="170" w:type="dxa"/>
            <w:tcBorders>
              <w:top w:val="nil"/>
              <w:left w:val="nil"/>
              <w:bottom w:val="nil"/>
              <w:right w:val="nil"/>
            </w:tcBorders>
            <w:vAlign w:val="bottom"/>
          </w:tcPr>
          <w:p w14:paraId="60E6CA2B" w14:textId="0851E25C"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10E6BF5F" w14:textId="2F68DD3B" w:rsidR="00DC5BE9" w:rsidRPr="003E2D55" w:rsidRDefault="00DC5BE9" w:rsidP="003E2D55">
            <w:pPr>
              <w:spacing w:before="40" w:after="40"/>
              <w:jc w:val="center"/>
              <w:rPr>
                <w:rFonts w:cs="Arial"/>
                <w:sz w:val="18"/>
                <w:szCs w:val="18"/>
              </w:rPr>
            </w:pPr>
            <w:r w:rsidRPr="003E2D55">
              <w:rPr>
                <w:rFonts w:cs="Arial"/>
                <w:sz w:val="18"/>
                <w:szCs w:val="18"/>
              </w:rPr>
              <w:t>1.08</w:t>
            </w:r>
          </w:p>
        </w:tc>
        <w:tc>
          <w:tcPr>
            <w:tcW w:w="907" w:type="dxa"/>
            <w:tcBorders>
              <w:top w:val="nil"/>
              <w:left w:val="nil"/>
              <w:bottom w:val="nil"/>
              <w:right w:val="nil"/>
            </w:tcBorders>
            <w:shd w:val="clear" w:color="auto" w:fill="auto"/>
            <w:vAlign w:val="bottom"/>
          </w:tcPr>
          <w:p w14:paraId="7F485AA0" w14:textId="31A62223" w:rsidR="00DC5BE9" w:rsidRPr="003E2D55" w:rsidRDefault="00DC5BE9" w:rsidP="003E2D55">
            <w:pPr>
              <w:spacing w:before="40" w:after="40"/>
              <w:jc w:val="center"/>
              <w:rPr>
                <w:rFonts w:cs="Arial"/>
                <w:sz w:val="18"/>
                <w:szCs w:val="18"/>
              </w:rPr>
            </w:pPr>
            <w:r w:rsidRPr="003E2D55">
              <w:rPr>
                <w:rFonts w:cs="Arial"/>
                <w:sz w:val="18"/>
                <w:szCs w:val="18"/>
              </w:rPr>
              <w:t>1.07</w:t>
            </w:r>
          </w:p>
        </w:tc>
        <w:tc>
          <w:tcPr>
            <w:tcW w:w="1021" w:type="dxa"/>
            <w:tcBorders>
              <w:top w:val="nil"/>
              <w:left w:val="nil"/>
              <w:bottom w:val="nil"/>
              <w:right w:val="nil"/>
            </w:tcBorders>
            <w:shd w:val="clear" w:color="auto" w:fill="auto"/>
            <w:vAlign w:val="bottom"/>
          </w:tcPr>
          <w:p w14:paraId="15C9B865" w14:textId="1FEF4D59" w:rsidR="00DC5BE9" w:rsidRPr="003E2D55" w:rsidRDefault="00DC5BE9" w:rsidP="003E2D55">
            <w:pPr>
              <w:spacing w:before="40" w:after="4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76B3AF5D" w14:textId="3A7710E5" w:rsidR="00DC5BE9" w:rsidRPr="003E2D55" w:rsidRDefault="00DC5BE9" w:rsidP="003E2D55">
            <w:pPr>
              <w:spacing w:before="40" w:after="40"/>
              <w:jc w:val="center"/>
              <w:rPr>
                <w:rFonts w:cs="Arial"/>
                <w:sz w:val="18"/>
                <w:szCs w:val="18"/>
              </w:rPr>
            </w:pPr>
            <w:r w:rsidRPr="003E2D55">
              <w:rPr>
                <w:rFonts w:cs="Arial"/>
                <w:sz w:val="18"/>
                <w:szCs w:val="18"/>
              </w:rPr>
              <w:t>15.3</w:t>
            </w:r>
          </w:p>
        </w:tc>
      </w:tr>
      <w:tr w:rsidR="00DC5BE9" w:rsidRPr="003E2D55" w14:paraId="13F42E98"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5DF9AA09" w14:textId="77777777" w:rsidR="00DC5BE9" w:rsidRPr="003E2D55" w:rsidRDefault="00DC5BE9" w:rsidP="003E2D55">
            <w:pPr>
              <w:spacing w:before="40" w:after="40"/>
              <w:rPr>
                <w:rFonts w:cs="Arial"/>
                <w:sz w:val="18"/>
                <w:szCs w:val="18"/>
              </w:rPr>
            </w:pPr>
            <w:r w:rsidRPr="003E2D55">
              <w:rPr>
                <w:rFonts w:cs="Arial"/>
                <w:sz w:val="18"/>
                <w:szCs w:val="18"/>
              </w:rPr>
              <w:t>Horsham RC</w:t>
            </w:r>
          </w:p>
        </w:tc>
        <w:tc>
          <w:tcPr>
            <w:tcW w:w="1021" w:type="dxa"/>
            <w:tcBorders>
              <w:top w:val="nil"/>
              <w:left w:val="single" w:sz="18" w:space="0" w:color="5F497A" w:themeColor="accent4" w:themeShade="BF"/>
              <w:bottom w:val="nil"/>
              <w:right w:val="nil"/>
            </w:tcBorders>
            <w:shd w:val="clear" w:color="auto" w:fill="auto"/>
            <w:vAlign w:val="bottom"/>
          </w:tcPr>
          <w:p w14:paraId="4DFCFD6D" w14:textId="446E2AF1" w:rsidR="00DC5BE9" w:rsidRPr="003E2D55" w:rsidRDefault="00DC5BE9" w:rsidP="003E2D55">
            <w:pPr>
              <w:spacing w:before="40" w:after="40"/>
              <w:jc w:val="center"/>
              <w:rPr>
                <w:rFonts w:cs="Arial"/>
                <w:sz w:val="18"/>
                <w:szCs w:val="18"/>
              </w:rPr>
            </w:pPr>
            <w:r w:rsidRPr="003E2D55">
              <w:rPr>
                <w:rFonts w:cs="Arial"/>
                <w:sz w:val="18"/>
                <w:szCs w:val="18"/>
              </w:rPr>
              <w:t>1.00</w:t>
            </w:r>
          </w:p>
        </w:tc>
        <w:tc>
          <w:tcPr>
            <w:tcW w:w="907" w:type="dxa"/>
            <w:tcBorders>
              <w:top w:val="nil"/>
              <w:left w:val="nil"/>
              <w:bottom w:val="nil"/>
              <w:right w:val="nil"/>
            </w:tcBorders>
            <w:shd w:val="clear" w:color="auto" w:fill="auto"/>
            <w:vAlign w:val="bottom"/>
          </w:tcPr>
          <w:p w14:paraId="7D93167C" w14:textId="24A9332B"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907" w:type="dxa"/>
            <w:tcBorders>
              <w:top w:val="nil"/>
              <w:left w:val="nil"/>
              <w:bottom w:val="nil"/>
              <w:right w:val="nil"/>
            </w:tcBorders>
            <w:vAlign w:val="bottom"/>
          </w:tcPr>
          <w:p w14:paraId="0ED295BA" w14:textId="0B675136" w:rsidR="00DC5BE9" w:rsidRPr="003E2D55" w:rsidRDefault="00DC5BE9" w:rsidP="003E2D55">
            <w:pPr>
              <w:spacing w:before="40" w:after="40"/>
              <w:jc w:val="center"/>
              <w:rPr>
                <w:rFonts w:cs="Arial"/>
                <w:sz w:val="18"/>
                <w:szCs w:val="18"/>
              </w:rPr>
            </w:pPr>
            <w:r w:rsidRPr="003E2D55">
              <w:rPr>
                <w:rFonts w:cs="Arial"/>
                <w:sz w:val="18"/>
                <w:szCs w:val="18"/>
              </w:rPr>
              <w:t>0.81</w:t>
            </w:r>
          </w:p>
        </w:tc>
        <w:tc>
          <w:tcPr>
            <w:tcW w:w="170" w:type="dxa"/>
            <w:tcBorders>
              <w:top w:val="nil"/>
              <w:left w:val="nil"/>
              <w:bottom w:val="nil"/>
              <w:right w:val="nil"/>
            </w:tcBorders>
            <w:vAlign w:val="bottom"/>
          </w:tcPr>
          <w:p w14:paraId="3FC6ABA8" w14:textId="4865A608"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43B41084" w14:textId="397F57D9" w:rsidR="00DC5BE9" w:rsidRPr="003E2D55" w:rsidRDefault="00DC5BE9" w:rsidP="003E2D55">
            <w:pPr>
              <w:spacing w:before="40" w:after="40"/>
              <w:jc w:val="center"/>
              <w:rPr>
                <w:rFonts w:cs="Arial"/>
                <w:sz w:val="18"/>
                <w:szCs w:val="18"/>
              </w:rPr>
            </w:pPr>
            <w:r w:rsidRPr="003E2D55">
              <w:rPr>
                <w:rFonts w:cs="Arial"/>
                <w:sz w:val="18"/>
                <w:szCs w:val="18"/>
              </w:rPr>
              <w:t>1.06</w:t>
            </w:r>
          </w:p>
        </w:tc>
        <w:tc>
          <w:tcPr>
            <w:tcW w:w="907" w:type="dxa"/>
            <w:tcBorders>
              <w:top w:val="nil"/>
              <w:left w:val="nil"/>
              <w:bottom w:val="nil"/>
              <w:right w:val="nil"/>
            </w:tcBorders>
            <w:shd w:val="clear" w:color="auto" w:fill="auto"/>
            <w:vAlign w:val="bottom"/>
          </w:tcPr>
          <w:p w14:paraId="6DEA728A" w14:textId="451D0C11" w:rsidR="00DC5BE9" w:rsidRPr="003E2D55" w:rsidRDefault="00DC5BE9" w:rsidP="003E2D55">
            <w:pPr>
              <w:spacing w:before="40" w:after="40"/>
              <w:jc w:val="center"/>
              <w:rPr>
                <w:rFonts w:cs="Arial"/>
                <w:sz w:val="18"/>
                <w:szCs w:val="18"/>
              </w:rPr>
            </w:pPr>
            <w:r w:rsidRPr="003E2D55">
              <w:rPr>
                <w:rFonts w:cs="Arial"/>
                <w:sz w:val="18"/>
                <w:szCs w:val="18"/>
              </w:rPr>
              <w:t>1.05</w:t>
            </w:r>
          </w:p>
        </w:tc>
        <w:tc>
          <w:tcPr>
            <w:tcW w:w="1021" w:type="dxa"/>
            <w:tcBorders>
              <w:top w:val="nil"/>
              <w:left w:val="nil"/>
              <w:bottom w:val="nil"/>
              <w:right w:val="nil"/>
            </w:tcBorders>
            <w:shd w:val="clear" w:color="auto" w:fill="auto"/>
            <w:vAlign w:val="bottom"/>
          </w:tcPr>
          <w:p w14:paraId="56390920" w14:textId="60829B7F" w:rsidR="00DC5BE9" w:rsidRPr="003E2D55" w:rsidRDefault="00DC5BE9" w:rsidP="003E2D55">
            <w:pPr>
              <w:spacing w:before="40" w:after="40"/>
              <w:jc w:val="center"/>
              <w:rPr>
                <w:rFonts w:cs="Arial"/>
                <w:sz w:val="18"/>
                <w:szCs w:val="18"/>
              </w:rPr>
            </w:pPr>
            <w:r w:rsidRPr="003E2D55">
              <w:rPr>
                <w:rFonts w:cs="Arial"/>
                <w:sz w:val="18"/>
                <w:szCs w:val="18"/>
              </w:rPr>
              <w:t>1.00</w:t>
            </w:r>
          </w:p>
        </w:tc>
        <w:tc>
          <w:tcPr>
            <w:tcW w:w="1021" w:type="dxa"/>
            <w:tcBorders>
              <w:top w:val="nil"/>
              <w:left w:val="nil"/>
              <w:bottom w:val="nil"/>
              <w:right w:val="nil"/>
            </w:tcBorders>
            <w:shd w:val="clear" w:color="auto" w:fill="auto"/>
            <w:vAlign w:val="bottom"/>
          </w:tcPr>
          <w:p w14:paraId="651FE72A" w14:textId="0D9446EF" w:rsidR="00DC5BE9" w:rsidRPr="003E2D55" w:rsidRDefault="00DC5BE9" w:rsidP="003E2D55">
            <w:pPr>
              <w:spacing w:before="40" w:after="40"/>
              <w:jc w:val="center"/>
              <w:rPr>
                <w:rFonts w:cs="Arial"/>
                <w:sz w:val="18"/>
                <w:szCs w:val="18"/>
              </w:rPr>
            </w:pPr>
            <w:r w:rsidRPr="003E2D55">
              <w:rPr>
                <w:rFonts w:cs="Arial"/>
                <w:sz w:val="18"/>
                <w:szCs w:val="18"/>
              </w:rPr>
              <w:t>17.4</w:t>
            </w:r>
          </w:p>
        </w:tc>
      </w:tr>
      <w:tr w:rsidR="00DC5BE9" w:rsidRPr="003E2D55" w14:paraId="4D746DD0"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19AC4C1F" w14:textId="77777777" w:rsidR="00DC5BE9" w:rsidRPr="003E2D55" w:rsidRDefault="00DC5BE9" w:rsidP="003E2D55">
            <w:pPr>
              <w:spacing w:before="40" w:after="40"/>
              <w:rPr>
                <w:rFonts w:cs="Arial"/>
                <w:sz w:val="18"/>
                <w:szCs w:val="18"/>
              </w:rPr>
            </w:pPr>
            <w:r w:rsidRPr="003E2D55">
              <w:rPr>
                <w:rFonts w:cs="Arial"/>
                <w:sz w:val="18"/>
                <w:szCs w:val="18"/>
              </w:rPr>
              <w:t>Hume C</w:t>
            </w:r>
          </w:p>
        </w:tc>
        <w:tc>
          <w:tcPr>
            <w:tcW w:w="1021" w:type="dxa"/>
            <w:tcBorders>
              <w:top w:val="nil"/>
              <w:left w:val="single" w:sz="18" w:space="0" w:color="5F497A" w:themeColor="accent4" w:themeShade="BF"/>
              <w:bottom w:val="nil"/>
              <w:right w:val="nil"/>
            </w:tcBorders>
            <w:shd w:val="clear" w:color="auto" w:fill="auto"/>
            <w:vAlign w:val="bottom"/>
          </w:tcPr>
          <w:p w14:paraId="01F0FF02" w14:textId="3249DB47" w:rsidR="00DC5BE9" w:rsidRPr="003E2D55" w:rsidRDefault="00DC5BE9" w:rsidP="003E2D55">
            <w:pPr>
              <w:spacing w:before="40" w:after="40"/>
              <w:jc w:val="center"/>
              <w:rPr>
                <w:rFonts w:cs="Arial"/>
                <w:sz w:val="18"/>
                <w:szCs w:val="18"/>
              </w:rPr>
            </w:pPr>
            <w:r w:rsidRPr="003E2D55">
              <w:rPr>
                <w:rFonts w:cs="Arial"/>
                <w:sz w:val="18"/>
                <w:szCs w:val="18"/>
              </w:rPr>
              <w:t>1.06</w:t>
            </w:r>
          </w:p>
        </w:tc>
        <w:tc>
          <w:tcPr>
            <w:tcW w:w="907" w:type="dxa"/>
            <w:tcBorders>
              <w:top w:val="nil"/>
              <w:left w:val="nil"/>
              <w:bottom w:val="nil"/>
              <w:right w:val="nil"/>
            </w:tcBorders>
            <w:shd w:val="clear" w:color="auto" w:fill="auto"/>
            <w:vAlign w:val="bottom"/>
          </w:tcPr>
          <w:p w14:paraId="1573969E" w14:textId="575D4F38" w:rsidR="00DC5BE9" w:rsidRPr="003E2D55" w:rsidRDefault="00DC5BE9" w:rsidP="003E2D55">
            <w:pPr>
              <w:spacing w:before="40" w:after="40"/>
              <w:jc w:val="center"/>
              <w:rPr>
                <w:rFonts w:cs="Arial"/>
                <w:sz w:val="18"/>
                <w:szCs w:val="18"/>
              </w:rPr>
            </w:pPr>
            <w:r w:rsidRPr="003E2D55">
              <w:rPr>
                <w:rFonts w:cs="Arial"/>
                <w:sz w:val="18"/>
                <w:szCs w:val="18"/>
              </w:rPr>
              <w:t>0.98</w:t>
            </w:r>
          </w:p>
        </w:tc>
        <w:tc>
          <w:tcPr>
            <w:tcW w:w="907" w:type="dxa"/>
            <w:tcBorders>
              <w:top w:val="nil"/>
              <w:left w:val="nil"/>
              <w:bottom w:val="nil"/>
              <w:right w:val="nil"/>
            </w:tcBorders>
            <w:vAlign w:val="bottom"/>
          </w:tcPr>
          <w:p w14:paraId="0E65E94B" w14:textId="08F0E315" w:rsidR="00DC5BE9" w:rsidRPr="003E2D55" w:rsidRDefault="00DC5BE9" w:rsidP="003E2D55">
            <w:pPr>
              <w:spacing w:before="40" w:after="40"/>
              <w:jc w:val="center"/>
              <w:rPr>
                <w:rFonts w:cs="Arial"/>
                <w:sz w:val="18"/>
                <w:szCs w:val="18"/>
              </w:rPr>
            </w:pPr>
            <w:r w:rsidRPr="003E2D55">
              <w:rPr>
                <w:rFonts w:cs="Arial"/>
                <w:sz w:val="18"/>
                <w:szCs w:val="18"/>
              </w:rPr>
              <w:t>0.84</w:t>
            </w:r>
          </w:p>
        </w:tc>
        <w:tc>
          <w:tcPr>
            <w:tcW w:w="170" w:type="dxa"/>
            <w:tcBorders>
              <w:top w:val="nil"/>
              <w:left w:val="nil"/>
              <w:bottom w:val="nil"/>
              <w:right w:val="nil"/>
            </w:tcBorders>
            <w:vAlign w:val="bottom"/>
          </w:tcPr>
          <w:p w14:paraId="76B3AE12" w14:textId="7E9F6D19"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6629E1D9" w14:textId="0A74C521" w:rsidR="00DC5BE9" w:rsidRPr="003E2D55" w:rsidRDefault="00DC5BE9" w:rsidP="003E2D55">
            <w:pPr>
              <w:spacing w:before="40" w:after="40"/>
              <w:jc w:val="center"/>
              <w:rPr>
                <w:rFonts w:cs="Arial"/>
                <w:sz w:val="18"/>
                <w:szCs w:val="18"/>
              </w:rPr>
            </w:pPr>
            <w:r w:rsidRPr="003E2D55">
              <w:rPr>
                <w:rFonts w:cs="Arial"/>
                <w:sz w:val="18"/>
                <w:szCs w:val="18"/>
              </w:rPr>
              <w:t>1.08</w:t>
            </w:r>
          </w:p>
        </w:tc>
        <w:tc>
          <w:tcPr>
            <w:tcW w:w="907" w:type="dxa"/>
            <w:tcBorders>
              <w:top w:val="nil"/>
              <w:left w:val="nil"/>
              <w:bottom w:val="nil"/>
              <w:right w:val="nil"/>
            </w:tcBorders>
            <w:shd w:val="clear" w:color="auto" w:fill="auto"/>
            <w:vAlign w:val="bottom"/>
          </w:tcPr>
          <w:p w14:paraId="6FCA1EAA" w14:textId="785B5FE9" w:rsidR="00DC5BE9" w:rsidRPr="003E2D55" w:rsidRDefault="00DC5BE9" w:rsidP="003E2D55">
            <w:pPr>
              <w:spacing w:before="40" w:after="40"/>
              <w:jc w:val="center"/>
              <w:rPr>
                <w:rFonts w:cs="Arial"/>
                <w:sz w:val="18"/>
                <w:szCs w:val="18"/>
              </w:rPr>
            </w:pPr>
            <w:r w:rsidRPr="003E2D55">
              <w:rPr>
                <w:rFonts w:cs="Arial"/>
                <w:sz w:val="18"/>
                <w:szCs w:val="18"/>
              </w:rPr>
              <w:t>1.08</w:t>
            </w:r>
          </w:p>
        </w:tc>
        <w:tc>
          <w:tcPr>
            <w:tcW w:w="1021" w:type="dxa"/>
            <w:tcBorders>
              <w:top w:val="nil"/>
              <w:left w:val="nil"/>
              <w:bottom w:val="nil"/>
              <w:right w:val="nil"/>
            </w:tcBorders>
            <w:shd w:val="clear" w:color="auto" w:fill="auto"/>
            <w:vAlign w:val="bottom"/>
          </w:tcPr>
          <w:p w14:paraId="380761FC" w14:textId="6FB8DDFD"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0E46CEB3" w14:textId="22292241" w:rsidR="00DC5BE9" w:rsidRPr="003E2D55" w:rsidRDefault="00DC5BE9" w:rsidP="003E2D55">
            <w:pPr>
              <w:spacing w:before="40" w:after="40"/>
              <w:jc w:val="center"/>
              <w:rPr>
                <w:rFonts w:cs="Arial"/>
                <w:sz w:val="18"/>
                <w:szCs w:val="18"/>
              </w:rPr>
            </w:pPr>
            <w:r w:rsidRPr="003E2D55">
              <w:rPr>
                <w:rFonts w:cs="Arial"/>
                <w:sz w:val="18"/>
                <w:szCs w:val="18"/>
              </w:rPr>
              <w:t>13.0</w:t>
            </w:r>
          </w:p>
        </w:tc>
      </w:tr>
      <w:tr w:rsidR="00DC5BE9" w:rsidRPr="003E2D55" w14:paraId="1818FF2B"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06A594AA" w14:textId="77777777" w:rsidR="00DC5BE9" w:rsidRPr="003E2D55" w:rsidRDefault="00DC5BE9" w:rsidP="003E2D55">
            <w:pPr>
              <w:spacing w:before="40" w:after="40"/>
              <w:rPr>
                <w:rFonts w:cs="Arial"/>
                <w:sz w:val="18"/>
                <w:szCs w:val="18"/>
              </w:rPr>
            </w:pPr>
            <w:r w:rsidRPr="003E2D55">
              <w:rPr>
                <w:rFonts w:cs="Arial"/>
                <w:sz w:val="18"/>
                <w:szCs w:val="18"/>
              </w:rPr>
              <w:t>Indigo S</w:t>
            </w:r>
          </w:p>
        </w:tc>
        <w:tc>
          <w:tcPr>
            <w:tcW w:w="1021" w:type="dxa"/>
            <w:tcBorders>
              <w:top w:val="nil"/>
              <w:left w:val="single" w:sz="18" w:space="0" w:color="5F497A" w:themeColor="accent4" w:themeShade="BF"/>
              <w:bottom w:val="nil"/>
              <w:right w:val="nil"/>
            </w:tcBorders>
            <w:shd w:val="clear" w:color="auto" w:fill="auto"/>
            <w:vAlign w:val="bottom"/>
          </w:tcPr>
          <w:p w14:paraId="1944F7E8" w14:textId="03015626" w:rsidR="00DC5BE9" w:rsidRPr="003E2D55" w:rsidRDefault="00DC5BE9" w:rsidP="003E2D55">
            <w:pPr>
              <w:spacing w:before="40" w:after="40"/>
              <w:jc w:val="center"/>
              <w:rPr>
                <w:rFonts w:cs="Arial"/>
                <w:sz w:val="18"/>
                <w:szCs w:val="18"/>
              </w:rPr>
            </w:pPr>
            <w:r w:rsidRPr="003E2D55">
              <w:rPr>
                <w:rFonts w:cs="Arial"/>
                <w:sz w:val="18"/>
                <w:szCs w:val="18"/>
              </w:rPr>
              <w:t>1.01</w:t>
            </w:r>
          </w:p>
        </w:tc>
        <w:tc>
          <w:tcPr>
            <w:tcW w:w="907" w:type="dxa"/>
            <w:tcBorders>
              <w:top w:val="nil"/>
              <w:left w:val="nil"/>
              <w:bottom w:val="nil"/>
              <w:right w:val="nil"/>
            </w:tcBorders>
            <w:shd w:val="clear" w:color="auto" w:fill="auto"/>
            <w:vAlign w:val="bottom"/>
          </w:tcPr>
          <w:p w14:paraId="05E730F6" w14:textId="2F5FE68C" w:rsidR="00DC5BE9" w:rsidRPr="003E2D55" w:rsidRDefault="00DC5BE9" w:rsidP="003E2D55">
            <w:pPr>
              <w:spacing w:before="40" w:after="40"/>
              <w:jc w:val="center"/>
              <w:rPr>
                <w:rFonts w:cs="Arial"/>
                <w:sz w:val="18"/>
                <w:szCs w:val="18"/>
              </w:rPr>
            </w:pPr>
            <w:r w:rsidRPr="003E2D55">
              <w:rPr>
                <w:rFonts w:cs="Arial"/>
                <w:sz w:val="18"/>
                <w:szCs w:val="18"/>
              </w:rPr>
              <w:t>0.99</w:t>
            </w:r>
          </w:p>
        </w:tc>
        <w:tc>
          <w:tcPr>
            <w:tcW w:w="907" w:type="dxa"/>
            <w:tcBorders>
              <w:top w:val="nil"/>
              <w:left w:val="nil"/>
              <w:bottom w:val="nil"/>
              <w:right w:val="nil"/>
            </w:tcBorders>
            <w:vAlign w:val="bottom"/>
          </w:tcPr>
          <w:p w14:paraId="114E1141" w14:textId="1176E792" w:rsidR="00DC5BE9" w:rsidRPr="003E2D55" w:rsidRDefault="00DC5BE9" w:rsidP="003E2D55">
            <w:pPr>
              <w:spacing w:before="40" w:after="40"/>
              <w:jc w:val="center"/>
              <w:rPr>
                <w:rFonts w:cs="Arial"/>
                <w:sz w:val="18"/>
                <w:szCs w:val="18"/>
              </w:rPr>
            </w:pPr>
            <w:r w:rsidRPr="003E2D55">
              <w:rPr>
                <w:rFonts w:cs="Arial"/>
                <w:sz w:val="18"/>
                <w:szCs w:val="18"/>
              </w:rPr>
              <w:t>0.92</w:t>
            </w:r>
          </w:p>
        </w:tc>
        <w:tc>
          <w:tcPr>
            <w:tcW w:w="170" w:type="dxa"/>
            <w:tcBorders>
              <w:top w:val="nil"/>
              <w:left w:val="nil"/>
              <w:bottom w:val="nil"/>
              <w:right w:val="nil"/>
            </w:tcBorders>
            <w:vAlign w:val="bottom"/>
          </w:tcPr>
          <w:p w14:paraId="7AF8B3D1" w14:textId="45296360"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32174486" w14:textId="5AAFC5FC" w:rsidR="00DC5BE9" w:rsidRPr="003E2D55" w:rsidRDefault="00DC5BE9" w:rsidP="003E2D55">
            <w:pPr>
              <w:spacing w:before="40" w:after="40"/>
              <w:jc w:val="center"/>
              <w:rPr>
                <w:rFonts w:cs="Arial"/>
                <w:sz w:val="18"/>
                <w:szCs w:val="18"/>
              </w:rPr>
            </w:pPr>
            <w:r w:rsidRPr="003E2D55">
              <w:rPr>
                <w:rFonts w:cs="Arial"/>
                <w:sz w:val="18"/>
                <w:szCs w:val="18"/>
              </w:rPr>
              <w:t>1.00</w:t>
            </w:r>
          </w:p>
        </w:tc>
        <w:tc>
          <w:tcPr>
            <w:tcW w:w="907" w:type="dxa"/>
            <w:tcBorders>
              <w:top w:val="nil"/>
              <w:left w:val="nil"/>
              <w:bottom w:val="nil"/>
              <w:right w:val="nil"/>
            </w:tcBorders>
            <w:shd w:val="clear" w:color="auto" w:fill="auto"/>
            <w:vAlign w:val="bottom"/>
          </w:tcPr>
          <w:p w14:paraId="41AC9C3A" w14:textId="74E30AC1" w:rsidR="00DC5BE9" w:rsidRPr="003E2D55" w:rsidRDefault="00DC5BE9" w:rsidP="003E2D55">
            <w:pPr>
              <w:spacing w:before="40" w:after="40"/>
              <w:jc w:val="center"/>
              <w:rPr>
                <w:rFonts w:cs="Arial"/>
                <w:sz w:val="18"/>
                <w:szCs w:val="18"/>
              </w:rPr>
            </w:pPr>
            <w:r w:rsidRPr="003E2D55">
              <w:rPr>
                <w:rFonts w:cs="Arial"/>
                <w:sz w:val="18"/>
                <w:szCs w:val="18"/>
              </w:rPr>
              <w:t>1.02</w:t>
            </w:r>
          </w:p>
        </w:tc>
        <w:tc>
          <w:tcPr>
            <w:tcW w:w="1021" w:type="dxa"/>
            <w:tcBorders>
              <w:top w:val="nil"/>
              <w:left w:val="nil"/>
              <w:bottom w:val="nil"/>
              <w:right w:val="nil"/>
            </w:tcBorders>
            <w:shd w:val="clear" w:color="auto" w:fill="auto"/>
            <w:vAlign w:val="bottom"/>
          </w:tcPr>
          <w:p w14:paraId="15F224DB" w14:textId="09013937" w:rsidR="00DC5BE9" w:rsidRPr="003E2D55" w:rsidRDefault="00DC5BE9" w:rsidP="003E2D55">
            <w:pPr>
              <w:spacing w:before="40" w:after="40"/>
              <w:jc w:val="center"/>
              <w:rPr>
                <w:rFonts w:cs="Arial"/>
                <w:sz w:val="18"/>
                <w:szCs w:val="18"/>
              </w:rPr>
            </w:pPr>
            <w:r w:rsidRPr="003E2D55">
              <w:rPr>
                <w:rFonts w:cs="Arial"/>
                <w:sz w:val="18"/>
                <w:szCs w:val="18"/>
              </w:rPr>
              <w:t>0.99</w:t>
            </w:r>
          </w:p>
        </w:tc>
        <w:tc>
          <w:tcPr>
            <w:tcW w:w="1021" w:type="dxa"/>
            <w:tcBorders>
              <w:top w:val="nil"/>
              <w:left w:val="nil"/>
              <w:bottom w:val="nil"/>
              <w:right w:val="nil"/>
            </w:tcBorders>
            <w:shd w:val="clear" w:color="auto" w:fill="auto"/>
            <w:vAlign w:val="bottom"/>
          </w:tcPr>
          <w:p w14:paraId="057C997D" w14:textId="0EFCB645" w:rsidR="00DC5BE9" w:rsidRPr="003E2D55" w:rsidRDefault="00DC5BE9" w:rsidP="003E2D55">
            <w:pPr>
              <w:spacing w:before="40" w:after="40"/>
              <w:jc w:val="center"/>
              <w:rPr>
                <w:rFonts w:cs="Arial"/>
                <w:sz w:val="18"/>
                <w:szCs w:val="18"/>
              </w:rPr>
            </w:pPr>
            <w:r w:rsidRPr="003E2D55">
              <w:rPr>
                <w:rFonts w:cs="Arial"/>
                <w:sz w:val="18"/>
                <w:szCs w:val="18"/>
              </w:rPr>
              <w:t>27.5</w:t>
            </w:r>
          </w:p>
        </w:tc>
      </w:tr>
      <w:tr w:rsidR="00DC5BE9" w:rsidRPr="003E2D55" w14:paraId="4EE57DFB"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1201D54A" w14:textId="77777777" w:rsidR="00DC5BE9" w:rsidRPr="003E2D55" w:rsidRDefault="00DC5BE9" w:rsidP="003E2D55">
            <w:pPr>
              <w:spacing w:before="40" w:after="40"/>
              <w:rPr>
                <w:rFonts w:cs="Arial"/>
                <w:sz w:val="18"/>
                <w:szCs w:val="18"/>
              </w:rPr>
            </w:pPr>
            <w:r w:rsidRPr="003E2D55">
              <w:rPr>
                <w:rFonts w:cs="Arial"/>
                <w:sz w:val="18"/>
                <w:szCs w:val="18"/>
              </w:rPr>
              <w:t>Kingston C</w:t>
            </w:r>
          </w:p>
        </w:tc>
        <w:tc>
          <w:tcPr>
            <w:tcW w:w="1021" w:type="dxa"/>
            <w:tcBorders>
              <w:top w:val="nil"/>
              <w:left w:val="single" w:sz="18" w:space="0" w:color="5F497A" w:themeColor="accent4" w:themeShade="BF"/>
              <w:bottom w:val="nil"/>
              <w:right w:val="nil"/>
            </w:tcBorders>
            <w:shd w:val="clear" w:color="auto" w:fill="auto"/>
            <w:vAlign w:val="bottom"/>
          </w:tcPr>
          <w:p w14:paraId="6B6021FD" w14:textId="702D0105" w:rsidR="00DC5BE9" w:rsidRPr="003E2D55" w:rsidRDefault="00DC5BE9" w:rsidP="003E2D55">
            <w:pPr>
              <w:spacing w:before="40" w:after="40"/>
              <w:jc w:val="center"/>
              <w:rPr>
                <w:rFonts w:cs="Arial"/>
                <w:sz w:val="18"/>
                <w:szCs w:val="18"/>
              </w:rPr>
            </w:pPr>
            <w:r w:rsidRPr="003E2D55">
              <w:rPr>
                <w:rFonts w:cs="Arial"/>
                <w:sz w:val="18"/>
                <w:szCs w:val="18"/>
              </w:rPr>
              <w:t>1.04</w:t>
            </w:r>
          </w:p>
        </w:tc>
        <w:tc>
          <w:tcPr>
            <w:tcW w:w="907" w:type="dxa"/>
            <w:tcBorders>
              <w:top w:val="nil"/>
              <w:left w:val="nil"/>
              <w:bottom w:val="nil"/>
              <w:right w:val="nil"/>
            </w:tcBorders>
            <w:shd w:val="clear" w:color="auto" w:fill="auto"/>
            <w:vAlign w:val="bottom"/>
          </w:tcPr>
          <w:p w14:paraId="6204EA42" w14:textId="038E325D" w:rsidR="00DC5BE9" w:rsidRPr="003E2D55" w:rsidRDefault="00DC5BE9" w:rsidP="003E2D55">
            <w:pPr>
              <w:spacing w:before="40" w:after="40"/>
              <w:jc w:val="center"/>
              <w:rPr>
                <w:rFonts w:cs="Arial"/>
                <w:sz w:val="18"/>
                <w:szCs w:val="18"/>
              </w:rPr>
            </w:pPr>
            <w:r w:rsidRPr="003E2D55">
              <w:rPr>
                <w:rFonts w:cs="Arial"/>
                <w:sz w:val="18"/>
                <w:szCs w:val="18"/>
              </w:rPr>
              <w:t>1.02</w:t>
            </w:r>
          </w:p>
        </w:tc>
        <w:tc>
          <w:tcPr>
            <w:tcW w:w="907" w:type="dxa"/>
            <w:tcBorders>
              <w:top w:val="nil"/>
              <w:left w:val="nil"/>
              <w:bottom w:val="nil"/>
              <w:right w:val="nil"/>
            </w:tcBorders>
            <w:vAlign w:val="bottom"/>
          </w:tcPr>
          <w:p w14:paraId="719BCFD9" w14:textId="7B267947" w:rsidR="00DC5BE9" w:rsidRPr="003E2D55" w:rsidRDefault="00DC5BE9" w:rsidP="003E2D55">
            <w:pPr>
              <w:spacing w:before="40" w:after="40"/>
              <w:jc w:val="center"/>
              <w:rPr>
                <w:rFonts w:cs="Arial"/>
                <w:sz w:val="18"/>
                <w:szCs w:val="18"/>
              </w:rPr>
            </w:pPr>
            <w:r w:rsidRPr="003E2D55">
              <w:rPr>
                <w:rFonts w:cs="Arial"/>
                <w:sz w:val="18"/>
                <w:szCs w:val="18"/>
              </w:rPr>
              <w:t>0.98</w:t>
            </w:r>
          </w:p>
        </w:tc>
        <w:tc>
          <w:tcPr>
            <w:tcW w:w="170" w:type="dxa"/>
            <w:tcBorders>
              <w:top w:val="nil"/>
              <w:left w:val="nil"/>
              <w:bottom w:val="nil"/>
              <w:right w:val="nil"/>
            </w:tcBorders>
            <w:vAlign w:val="bottom"/>
          </w:tcPr>
          <w:p w14:paraId="0181AAED" w14:textId="5FD62720"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6686F992" w14:textId="7F6BE6AA"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63214E13" w14:textId="7B42CA26"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0FBD13C2" w14:textId="00E8244E" w:rsidR="00DC5BE9" w:rsidRPr="003E2D55" w:rsidRDefault="00DC5BE9" w:rsidP="003E2D55">
            <w:pPr>
              <w:spacing w:before="40" w:after="4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63ABBFAF" w14:textId="64C586B8" w:rsidR="00DC5BE9" w:rsidRPr="003E2D55" w:rsidRDefault="00DC5BE9" w:rsidP="003E2D55">
            <w:pPr>
              <w:spacing w:before="40" w:after="40"/>
              <w:jc w:val="center"/>
              <w:rPr>
                <w:rFonts w:cs="Arial"/>
                <w:sz w:val="18"/>
                <w:szCs w:val="18"/>
              </w:rPr>
            </w:pPr>
            <w:r w:rsidRPr="003E2D55">
              <w:rPr>
                <w:rFonts w:cs="Arial"/>
                <w:sz w:val="18"/>
                <w:szCs w:val="18"/>
              </w:rPr>
              <w:t>10.0</w:t>
            </w:r>
          </w:p>
        </w:tc>
      </w:tr>
      <w:tr w:rsidR="00DC5BE9" w:rsidRPr="003E2D55" w14:paraId="1AFD4F2D"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551EE51E" w14:textId="77777777" w:rsidR="00DC5BE9" w:rsidRPr="003E2D55" w:rsidRDefault="00DC5BE9" w:rsidP="003E2D55">
            <w:pPr>
              <w:spacing w:before="40" w:after="40"/>
              <w:rPr>
                <w:rFonts w:cs="Arial"/>
                <w:sz w:val="18"/>
                <w:szCs w:val="18"/>
              </w:rPr>
            </w:pPr>
            <w:r w:rsidRPr="003E2D55">
              <w:rPr>
                <w:rFonts w:cs="Arial"/>
                <w:sz w:val="18"/>
                <w:szCs w:val="18"/>
              </w:rPr>
              <w:t>Knox C</w:t>
            </w:r>
          </w:p>
        </w:tc>
        <w:tc>
          <w:tcPr>
            <w:tcW w:w="1021" w:type="dxa"/>
            <w:tcBorders>
              <w:top w:val="nil"/>
              <w:left w:val="single" w:sz="18" w:space="0" w:color="5F497A" w:themeColor="accent4" w:themeShade="BF"/>
              <w:bottom w:val="nil"/>
              <w:right w:val="nil"/>
            </w:tcBorders>
            <w:shd w:val="clear" w:color="auto" w:fill="auto"/>
            <w:vAlign w:val="bottom"/>
          </w:tcPr>
          <w:p w14:paraId="1D488F0F" w14:textId="51D64AC1" w:rsidR="00DC5BE9" w:rsidRPr="003E2D55" w:rsidRDefault="00DC5BE9" w:rsidP="003E2D55">
            <w:pPr>
              <w:spacing w:before="40" w:after="40"/>
              <w:jc w:val="center"/>
              <w:rPr>
                <w:rFonts w:cs="Arial"/>
                <w:sz w:val="18"/>
                <w:szCs w:val="18"/>
              </w:rPr>
            </w:pPr>
            <w:r w:rsidRPr="003E2D55">
              <w:rPr>
                <w:rFonts w:cs="Arial"/>
                <w:sz w:val="18"/>
                <w:szCs w:val="18"/>
              </w:rPr>
              <w:t>1.02</w:t>
            </w:r>
          </w:p>
        </w:tc>
        <w:tc>
          <w:tcPr>
            <w:tcW w:w="907" w:type="dxa"/>
            <w:tcBorders>
              <w:top w:val="nil"/>
              <w:left w:val="nil"/>
              <w:bottom w:val="nil"/>
              <w:right w:val="nil"/>
            </w:tcBorders>
            <w:shd w:val="clear" w:color="auto" w:fill="auto"/>
            <w:vAlign w:val="bottom"/>
          </w:tcPr>
          <w:p w14:paraId="03A50027" w14:textId="5C244348" w:rsidR="00DC5BE9" w:rsidRPr="003E2D55" w:rsidRDefault="00DC5BE9" w:rsidP="003E2D55">
            <w:pPr>
              <w:spacing w:before="40" w:after="40"/>
              <w:jc w:val="center"/>
              <w:rPr>
                <w:rFonts w:cs="Arial"/>
                <w:sz w:val="18"/>
                <w:szCs w:val="18"/>
              </w:rPr>
            </w:pPr>
            <w:r w:rsidRPr="003E2D55">
              <w:rPr>
                <w:rFonts w:cs="Arial"/>
                <w:sz w:val="18"/>
                <w:szCs w:val="18"/>
              </w:rPr>
              <w:t>1.02</w:t>
            </w:r>
          </w:p>
        </w:tc>
        <w:tc>
          <w:tcPr>
            <w:tcW w:w="907" w:type="dxa"/>
            <w:tcBorders>
              <w:top w:val="nil"/>
              <w:left w:val="nil"/>
              <w:bottom w:val="nil"/>
              <w:right w:val="nil"/>
            </w:tcBorders>
            <w:vAlign w:val="bottom"/>
          </w:tcPr>
          <w:p w14:paraId="6C039981" w14:textId="105AF545" w:rsidR="00DC5BE9" w:rsidRPr="003E2D55" w:rsidRDefault="00DC5BE9" w:rsidP="003E2D55">
            <w:pPr>
              <w:spacing w:before="40" w:after="40"/>
              <w:jc w:val="center"/>
              <w:rPr>
                <w:rFonts w:cs="Arial"/>
                <w:sz w:val="18"/>
                <w:szCs w:val="18"/>
              </w:rPr>
            </w:pPr>
            <w:r w:rsidRPr="003E2D55">
              <w:rPr>
                <w:rFonts w:cs="Arial"/>
                <w:sz w:val="18"/>
                <w:szCs w:val="18"/>
              </w:rPr>
              <w:t>0.98</w:t>
            </w:r>
          </w:p>
        </w:tc>
        <w:tc>
          <w:tcPr>
            <w:tcW w:w="170" w:type="dxa"/>
            <w:tcBorders>
              <w:top w:val="nil"/>
              <w:left w:val="nil"/>
              <w:bottom w:val="nil"/>
              <w:right w:val="nil"/>
            </w:tcBorders>
            <w:vAlign w:val="bottom"/>
          </w:tcPr>
          <w:p w14:paraId="6124D2B0" w14:textId="35A7DAE1"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5CB38845" w14:textId="6B408AE4" w:rsidR="00DC5BE9" w:rsidRPr="003E2D55" w:rsidRDefault="00DC5BE9" w:rsidP="003E2D55">
            <w:pPr>
              <w:spacing w:before="40" w:after="4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6E7FB334" w14:textId="49DC8336"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340AC090" w14:textId="16C6D1C1" w:rsidR="00DC5BE9" w:rsidRPr="003E2D55" w:rsidRDefault="00DC5BE9" w:rsidP="003E2D55">
            <w:pPr>
              <w:spacing w:before="40" w:after="4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1B8A12BB" w14:textId="646999D9" w:rsidR="00DC5BE9" w:rsidRPr="003E2D55" w:rsidRDefault="00DC5BE9" w:rsidP="003E2D55">
            <w:pPr>
              <w:spacing w:before="40" w:after="40"/>
              <w:jc w:val="center"/>
              <w:rPr>
                <w:rFonts w:cs="Arial"/>
                <w:sz w:val="18"/>
                <w:szCs w:val="18"/>
              </w:rPr>
            </w:pPr>
            <w:r w:rsidRPr="003E2D55">
              <w:rPr>
                <w:rFonts w:cs="Arial"/>
                <w:sz w:val="18"/>
                <w:szCs w:val="18"/>
              </w:rPr>
              <w:t>11.4</w:t>
            </w:r>
          </w:p>
        </w:tc>
      </w:tr>
      <w:tr w:rsidR="00DC5BE9" w:rsidRPr="003E2D55" w14:paraId="10F06D80"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02D33084" w14:textId="77777777" w:rsidR="00DC5BE9" w:rsidRPr="003E2D55" w:rsidRDefault="00DC5BE9" w:rsidP="003E2D55">
            <w:pPr>
              <w:spacing w:before="40" w:after="40"/>
              <w:rPr>
                <w:rFonts w:cs="Arial"/>
                <w:sz w:val="18"/>
                <w:szCs w:val="18"/>
              </w:rPr>
            </w:pPr>
            <w:r w:rsidRPr="003E2D55">
              <w:rPr>
                <w:rFonts w:cs="Arial"/>
                <w:sz w:val="18"/>
                <w:szCs w:val="18"/>
              </w:rPr>
              <w:t>Latrobe C</w:t>
            </w:r>
          </w:p>
        </w:tc>
        <w:tc>
          <w:tcPr>
            <w:tcW w:w="1021" w:type="dxa"/>
            <w:tcBorders>
              <w:top w:val="nil"/>
              <w:left w:val="single" w:sz="18" w:space="0" w:color="5F497A" w:themeColor="accent4" w:themeShade="BF"/>
              <w:bottom w:val="nil"/>
              <w:right w:val="nil"/>
            </w:tcBorders>
            <w:shd w:val="clear" w:color="auto" w:fill="auto"/>
            <w:vAlign w:val="bottom"/>
          </w:tcPr>
          <w:p w14:paraId="7AF8F025" w14:textId="2622725C" w:rsidR="00DC5BE9" w:rsidRPr="003E2D55" w:rsidRDefault="00DC5BE9" w:rsidP="003E2D55">
            <w:pPr>
              <w:spacing w:before="40" w:after="40"/>
              <w:jc w:val="center"/>
              <w:rPr>
                <w:rFonts w:cs="Arial"/>
                <w:sz w:val="18"/>
                <w:szCs w:val="18"/>
              </w:rPr>
            </w:pPr>
            <w:r w:rsidRPr="003E2D55">
              <w:rPr>
                <w:rFonts w:cs="Arial"/>
                <w:sz w:val="18"/>
                <w:szCs w:val="18"/>
              </w:rPr>
              <w:t>1.00</w:t>
            </w:r>
          </w:p>
        </w:tc>
        <w:tc>
          <w:tcPr>
            <w:tcW w:w="907" w:type="dxa"/>
            <w:tcBorders>
              <w:top w:val="nil"/>
              <w:left w:val="nil"/>
              <w:bottom w:val="nil"/>
              <w:right w:val="nil"/>
            </w:tcBorders>
            <w:shd w:val="clear" w:color="auto" w:fill="auto"/>
            <w:vAlign w:val="bottom"/>
          </w:tcPr>
          <w:p w14:paraId="3B21C47D" w14:textId="54DB18A2" w:rsidR="00DC5BE9" w:rsidRPr="003E2D55" w:rsidRDefault="00DC5BE9" w:rsidP="003E2D55">
            <w:pPr>
              <w:spacing w:before="40" w:after="40"/>
              <w:jc w:val="center"/>
              <w:rPr>
                <w:rFonts w:cs="Arial"/>
                <w:sz w:val="18"/>
                <w:szCs w:val="18"/>
              </w:rPr>
            </w:pPr>
            <w:r w:rsidRPr="003E2D55">
              <w:rPr>
                <w:rFonts w:cs="Arial"/>
                <w:sz w:val="18"/>
                <w:szCs w:val="18"/>
              </w:rPr>
              <w:t>1.06</w:t>
            </w:r>
          </w:p>
        </w:tc>
        <w:tc>
          <w:tcPr>
            <w:tcW w:w="907" w:type="dxa"/>
            <w:tcBorders>
              <w:top w:val="nil"/>
              <w:left w:val="nil"/>
              <w:bottom w:val="nil"/>
              <w:right w:val="nil"/>
            </w:tcBorders>
            <w:vAlign w:val="bottom"/>
          </w:tcPr>
          <w:p w14:paraId="197BC25C" w14:textId="431C103B" w:rsidR="00DC5BE9" w:rsidRPr="003E2D55" w:rsidRDefault="00DC5BE9" w:rsidP="003E2D55">
            <w:pPr>
              <w:spacing w:before="40" w:after="40"/>
              <w:jc w:val="center"/>
              <w:rPr>
                <w:rFonts w:cs="Arial"/>
                <w:sz w:val="18"/>
                <w:szCs w:val="18"/>
              </w:rPr>
            </w:pPr>
            <w:r w:rsidRPr="003E2D55">
              <w:rPr>
                <w:rFonts w:cs="Arial"/>
                <w:sz w:val="18"/>
                <w:szCs w:val="18"/>
              </w:rPr>
              <w:t>1.15</w:t>
            </w:r>
          </w:p>
        </w:tc>
        <w:tc>
          <w:tcPr>
            <w:tcW w:w="170" w:type="dxa"/>
            <w:tcBorders>
              <w:top w:val="nil"/>
              <w:left w:val="nil"/>
              <w:bottom w:val="nil"/>
              <w:right w:val="nil"/>
            </w:tcBorders>
            <w:vAlign w:val="bottom"/>
          </w:tcPr>
          <w:p w14:paraId="3BDBF9D2" w14:textId="0384C4EE"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010BC230" w14:textId="2FD7A115"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907" w:type="dxa"/>
            <w:tcBorders>
              <w:top w:val="nil"/>
              <w:left w:val="nil"/>
              <w:bottom w:val="nil"/>
              <w:right w:val="nil"/>
            </w:tcBorders>
            <w:shd w:val="clear" w:color="auto" w:fill="auto"/>
            <w:vAlign w:val="bottom"/>
          </w:tcPr>
          <w:p w14:paraId="3B255732" w14:textId="2DA5BF4A"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228EF601" w14:textId="34284E55"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61804553" w14:textId="0951DE2F" w:rsidR="00DC5BE9" w:rsidRPr="003E2D55" w:rsidRDefault="00DC5BE9" w:rsidP="003E2D55">
            <w:pPr>
              <w:spacing w:before="40" w:after="40"/>
              <w:jc w:val="center"/>
              <w:rPr>
                <w:rFonts w:cs="Arial"/>
                <w:sz w:val="18"/>
                <w:szCs w:val="18"/>
              </w:rPr>
            </w:pPr>
            <w:r w:rsidRPr="003E2D55">
              <w:rPr>
                <w:rFonts w:cs="Arial"/>
                <w:sz w:val="18"/>
                <w:szCs w:val="18"/>
              </w:rPr>
              <w:t>30.9</w:t>
            </w:r>
          </w:p>
        </w:tc>
      </w:tr>
      <w:tr w:rsidR="00DC5BE9" w:rsidRPr="003E2D55" w14:paraId="60F2AE89"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72A59400" w14:textId="77777777" w:rsidR="00DC5BE9" w:rsidRPr="003E2D55" w:rsidRDefault="00DC5BE9" w:rsidP="003E2D55">
            <w:pPr>
              <w:spacing w:before="40" w:after="40"/>
              <w:rPr>
                <w:rFonts w:cs="Arial"/>
                <w:sz w:val="18"/>
                <w:szCs w:val="18"/>
              </w:rPr>
            </w:pPr>
            <w:r w:rsidRPr="003E2D55">
              <w:rPr>
                <w:rFonts w:cs="Arial"/>
                <w:sz w:val="18"/>
                <w:szCs w:val="18"/>
              </w:rPr>
              <w:t>Loddon S</w:t>
            </w:r>
          </w:p>
        </w:tc>
        <w:tc>
          <w:tcPr>
            <w:tcW w:w="1021" w:type="dxa"/>
            <w:tcBorders>
              <w:top w:val="nil"/>
              <w:left w:val="single" w:sz="18" w:space="0" w:color="5F497A" w:themeColor="accent4" w:themeShade="BF"/>
              <w:bottom w:val="nil"/>
              <w:right w:val="nil"/>
            </w:tcBorders>
            <w:shd w:val="clear" w:color="auto" w:fill="auto"/>
            <w:vAlign w:val="bottom"/>
          </w:tcPr>
          <w:p w14:paraId="552BAF4C" w14:textId="04421EA8" w:rsidR="00DC5BE9" w:rsidRPr="003E2D55" w:rsidRDefault="00DC5BE9" w:rsidP="003E2D55">
            <w:pPr>
              <w:spacing w:before="40" w:after="40"/>
              <w:jc w:val="center"/>
              <w:rPr>
                <w:rFonts w:cs="Arial"/>
                <w:sz w:val="18"/>
                <w:szCs w:val="18"/>
              </w:rPr>
            </w:pPr>
            <w:r w:rsidRPr="003E2D55">
              <w:rPr>
                <w:rFonts w:cs="Arial"/>
                <w:sz w:val="18"/>
                <w:szCs w:val="18"/>
              </w:rPr>
              <w:t>1.07</w:t>
            </w:r>
          </w:p>
        </w:tc>
        <w:tc>
          <w:tcPr>
            <w:tcW w:w="907" w:type="dxa"/>
            <w:tcBorders>
              <w:top w:val="nil"/>
              <w:left w:val="nil"/>
              <w:bottom w:val="nil"/>
              <w:right w:val="nil"/>
            </w:tcBorders>
            <w:shd w:val="clear" w:color="auto" w:fill="auto"/>
            <w:vAlign w:val="bottom"/>
          </w:tcPr>
          <w:p w14:paraId="07F0D4A6" w14:textId="2024070F" w:rsidR="00DC5BE9" w:rsidRPr="003E2D55" w:rsidRDefault="00DC5BE9" w:rsidP="003E2D55">
            <w:pPr>
              <w:spacing w:before="40" w:after="40"/>
              <w:jc w:val="center"/>
              <w:rPr>
                <w:rFonts w:cs="Arial"/>
                <w:sz w:val="18"/>
                <w:szCs w:val="18"/>
              </w:rPr>
            </w:pPr>
            <w:r w:rsidRPr="003E2D55">
              <w:rPr>
                <w:rFonts w:cs="Arial"/>
                <w:sz w:val="18"/>
                <w:szCs w:val="18"/>
              </w:rPr>
              <w:t>0.96</w:t>
            </w:r>
          </w:p>
        </w:tc>
        <w:tc>
          <w:tcPr>
            <w:tcW w:w="907" w:type="dxa"/>
            <w:tcBorders>
              <w:top w:val="nil"/>
              <w:left w:val="nil"/>
              <w:bottom w:val="nil"/>
              <w:right w:val="nil"/>
            </w:tcBorders>
            <w:vAlign w:val="bottom"/>
          </w:tcPr>
          <w:p w14:paraId="3D1A9635" w14:textId="367D3914" w:rsidR="00DC5BE9" w:rsidRPr="003E2D55" w:rsidRDefault="00DC5BE9" w:rsidP="003E2D55">
            <w:pPr>
              <w:spacing w:before="40" w:after="40"/>
              <w:jc w:val="center"/>
              <w:rPr>
                <w:rFonts w:cs="Arial"/>
                <w:sz w:val="18"/>
                <w:szCs w:val="18"/>
              </w:rPr>
            </w:pPr>
            <w:r w:rsidRPr="003E2D55">
              <w:rPr>
                <w:rFonts w:cs="Arial"/>
                <w:sz w:val="18"/>
                <w:szCs w:val="18"/>
              </w:rPr>
              <w:t>0.79</w:t>
            </w:r>
          </w:p>
        </w:tc>
        <w:tc>
          <w:tcPr>
            <w:tcW w:w="170" w:type="dxa"/>
            <w:tcBorders>
              <w:top w:val="nil"/>
              <w:left w:val="nil"/>
              <w:bottom w:val="nil"/>
              <w:right w:val="nil"/>
            </w:tcBorders>
            <w:vAlign w:val="bottom"/>
          </w:tcPr>
          <w:p w14:paraId="4001480B" w14:textId="1783941D" w:rsidR="00DC5BE9" w:rsidRPr="003E2D55" w:rsidRDefault="00DC5BE9" w:rsidP="003E2D55">
            <w:pPr>
              <w:spacing w:before="40" w:after="40"/>
              <w:jc w:val="center"/>
              <w:rPr>
                <w:rFonts w:cs="Arial"/>
                <w:sz w:val="18"/>
                <w:szCs w:val="18"/>
              </w:rPr>
            </w:pPr>
          </w:p>
        </w:tc>
        <w:tc>
          <w:tcPr>
            <w:tcW w:w="907" w:type="dxa"/>
            <w:tcBorders>
              <w:top w:val="nil"/>
              <w:left w:val="nil"/>
              <w:bottom w:val="nil"/>
              <w:right w:val="nil"/>
            </w:tcBorders>
            <w:vAlign w:val="bottom"/>
          </w:tcPr>
          <w:p w14:paraId="0C35B134" w14:textId="46D7028E" w:rsidR="00DC5BE9" w:rsidRPr="003E2D55" w:rsidRDefault="00DC5BE9" w:rsidP="003E2D55">
            <w:pPr>
              <w:spacing w:before="40" w:after="40"/>
              <w:jc w:val="center"/>
              <w:rPr>
                <w:rFonts w:cs="Arial"/>
                <w:sz w:val="18"/>
                <w:szCs w:val="18"/>
              </w:rPr>
            </w:pPr>
            <w:r w:rsidRPr="003E2D55">
              <w:rPr>
                <w:rFonts w:cs="Arial"/>
                <w:sz w:val="18"/>
                <w:szCs w:val="18"/>
              </w:rPr>
              <w:t>1.05</w:t>
            </w:r>
          </w:p>
        </w:tc>
        <w:tc>
          <w:tcPr>
            <w:tcW w:w="907" w:type="dxa"/>
            <w:tcBorders>
              <w:top w:val="nil"/>
              <w:left w:val="nil"/>
              <w:bottom w:val="nil"/>
              <w:right w:val="nil"/>
            </w:tcBorders>
            <w:shd w:val="clear" w:color="auto" w:fill="auto"/>
            <w:vAlign w:val="bottom"/>
          </w:tcPr>
          <w:p w14:paraId="02DBDE41" w14:textId="5F916354" w:rsidR="00DC5BE9" w:rsidRPr="003E2D55" w:rsidRDefault="00DC5BE9" w:rsidP="003E2D55">
            <w:pPr>
              <w:spacing w:before="40" w:after="40"/>
              <w:jc w:val="center"/>
              <w:rPr>
                <w:rFonts w:cs="Arial"/>
                <w:sz w:val="18"/>
                <w:szCs w:val="18"/>
              </w:rPr>
            </w:pPr>
            <w:r w:rsidRPr="003E2D55">
              <w:rPr>
                <w:rFonts w:cs="Arial"/>
                <w:sz w:val="18"/>
                <w:szCs w:val="18"/>
              </w:rPr>
              <w:t>1.05</w:t>
            </w:r>
          </w:p>
        </w:tc>
        <w:tc>
          <w:tcPr>
            <w:tcW w:w="1021" w:type="dxa"/>
            <w:tcBorders>
              <w:top w:val="nil"/>
              <w:left w:val="nil"/>
              <w:bottom w:val="nil"/>
              <w:right w:val="nil"/>
            </w:tcBorders>
            <w:shd w:val="clear" w:color="auto" w:fill="auto"/>
            <w:vAlign w:val="bottom"/>
          </w:tcPr>
          <w:p w14:paraId="47EA063B" w14:textId="7B07083F" w:rsidR="00DC5BE9" w:rsidRPr="003E2D55" w:rsidRDefault="00DC5BE9" w:rsidP="003E2D55">
            <w:pPr>
              <w:spacing w:before="40" w:after="40"/>
              <w:jc w:val="center"/>
              <w:rPr>
                <w:rFonts w:cs="Arial"/>
                <w:sz w:val="18"/>
                <w:szCs w:val="18"/>
              </w:rPr>
            </w:pPr>
            <w:r w:rsidRPr="003E2D55">
              <w:rPr>
                <w:rFonts w:cs="Arial"/>
                <w:sz w:val="18"/>
                <w:szCs w:val="18"/>
              </w:rPr>
              <w:t>0.99</w:t>
            </w:r>
          </w:p>
        </w:tc>
        <w:tc>
          <w:tcPr>
            <w:tcW w:w="1021" w:type="dxa"/>
            <w:tcBorders>
              <w:top w:val="nil"/>
              <w:left w:val="nil"/>
              <w:bottom w:val="nil"/>
              <w:right w:val="nil"/>
            </w:tcBorders>
            <w:shd w:val="clear" w:color="auto" w:fill="auto"/>
            <w:vAlign w:val="bottom"/>
          </w:tcPr>
          <w:p w14:paraId="77FDDC20" w14:textId="57D4556B" w:rsidR="00DC5BE9" w:rsidRPr="003E2D55" w:rsidRDefault="00DC5BE9" w:rsidP="003E2D55">
            <w:pPr>
              <w:spacing w:before="40" w:after="40"/>
              <w:jc w:val="center"/>
              <w:rPr>
                <w:rFonts w:cs="Arial"/>
                <w:sz w:val="18"/>
                <w:szCs w:val="18"/>
              </w:rPr>
            </w:pPr>
            <w:r w:rsidRPr="003E2D55">
              <w:rPr>
                <w:rFonts w:cs="Arial"/>
                <w:sz w:val="18"/>
                <w:szCs w:val="18"/>
              </w:rPr>
              <w:t>21.7</w:t>
            </w:r>
          </w:p>
        </w:tc>
      </w:tr>
    </w:tbl>
    <w:p w14:paraId="591EA1CC" w14:textId="77777777" w:rsidR="00EB2E62" w:rsidRPr="00A44829" w:rsidRDefault="00EB2E62" w:rsidP="00FF36E8">
      <w:pPr>
        <w:spacing w:before="40" w:after="20"/>
        <w:rPr>
          <w:rFonts w:cs="Arial"/>
          <w:sz w:val="18"/>
          <w:szCs w:val="18"/>
        </w:rPr>
      </w:pPr>
    </w:p>
    <w:p w14:paraId="0731FBC2" w14:textId="77777777" w:rsidR="00640E8B" w:rsidRPr="00A44829" w:rsidRDefault="00A424B1" w:rsidP="00FF36E8">
      <w:pPr>
        <w:spacing w:before="40" w:after="20"/>
        <w:rPr>
          <w:rFonts w:cs="Arial"/>
          <w:sz w:val="18"/>
          <w:szCs w:val="18"/>
        </w:rPr>
      </w:pPr>
      <w:r w:rsidRPr="00A44829">
        <w:rPr>
          <w:rFonts w:cs="Arial"/>
          <w:sz w:val="18"/>
          <w:szCs w:val="18"/>
        </w:rPr>
        <w:br w:type="page"/>
      </w:r>
    </w:p>
    <w:p w14:paraId="2394037E" w14:textId="44548225" w:rsidR="004C42D3" w:rsidRPr="00A44829" w:rsidRDefault="00EE4593" w:rsidP="00C33713">
      <w:pPr>
        <w:pStyle w:val="VGC-Head10"/>
      </w:pPr>
      <w:r w:rsidRPr="00A44829">
        <w:lastRenderedPageBreak/>
        <w:t>2019-20</w:t>
      </w:r>
      <w:r w:rsidR="00A97ABE" w:rsidRPr="00A44829">
        <w:t xml:space="preserve"> </w:t>
      </w:r>
      <w:r w:rsidR="004C42D3" w:rsidRPr="00A44829">
        <w:t>Local Roads Grants</w:t>
      </w:r>
      <w:r w:rsidR="00CE4507" w:rsidRPr="00A44829">
        <w:tab/>
        <w:t>Appendix 5</w:t>
      </w:r>
    </w:p>
    <w:p w14:paraId="0056AD3A" w14:textId="77777777" w:rsidR="004C42D3" w:rsidRPr="00A44829" w:rsidRDefault="004F1184" w:rsidP="008C1A28">
      <w:pPr>
        <w:pStyle w:val="VGC-Head2"/>
      </w:pPr>
      <w:r w:rsidRPr="00A44829">
        <w:tab/>
      </w:r>
      <w:r w:rsidR="00A6042C" w:rsidRPr="00A44829">
        <w:t>D.  Cost Modifiers</w:t>
      </w:r>
    </w:p>
    <w:p w14:paraId="1840433E" w14:textId="77777777" w:rsidR="004C42D3" w:rsidRPr="00A44829" w:rsidRDefault="004C42D3" w:rsidP="00FF36E8">
      <w:pPr>
        <w:spacing w:before="40" w:after="20"/>
        <w:rPr>
          <w:rFonts w:cs="Arial"/>
          <w:sz w:val="18"/>
          <w:szCs w:val="18"/>
        </w:rPr>
      </w:pPr>
    </w:p>
    <w:tbl>
      <w:tblPr>
        <w:tblW w:w="0" w:type="auto"/>
        <w:tblLayout w:type="fixed"/>
        <w:tblCellMar>
          <w:left w:w="57" w:type="dxa"/>
          <w:right w:w="57" w:type="dxa"/>
        </w:tblCellMar>
        <w:tblLook w:val="0000" w:firstRow="0" w:lastRow="0" w:firstColumn="0" w:lastColumn="0" w:noHBand="0" w:noVBand="0"/>
      </w:tblPr>
      <w:tblGrid>
        <w:gridCol w:w="2268"/>
        <w:gridCol w:w="1021"/>
        <w:gridCol w:w="907"/>
        <w:gridCol w:w="908"/>
        <w:gridCol w:w="170"/>
        <w:gridCol w:w="907"/>
        <w:gridCol w:w="908"/>
        <w:gridCol w:w="1021"/>
        <w:gridCol w:w="1021"/>
      </w:tblGrid>
      <w:tr w:rsidR="00BA4059" w:rsidRPr="00A44829" w14:paraId="46B6CDF7" w14:textId="77777777" w:rsidTr="00B44BBE">
        <w:trPr>
          <w:tblHeader/>
        </w:trPr>
        <w:tc>
          <w:tcPr>
            <w:tcW w:w="2268" w:type="dxa"/>
            <w:tcBorders>
              <w:top w:val="nil"/>
              <w:left w:val="nil"/>
              <w:right w:val="single" w:sz="18" w:space="0" w:color="5F497A" w:themeColor="accent4" w:themeShade="BF"/>
            </w:tcBorders>
            <w:shd w:val="clear" w:color="auto" w:fill="auto"/>
            <w:vAlign w:val="bottom"/>
          </w:tcPr>
          <w:p w14:paraId="74606BB3" w14:textId="77777777" w:rsidR="00BA4059" w:rsidRPr="00A44829" w:rsidRDefault="00BA4059" w:rsidP="0038375E">
            <w:pPr>
              <w:spacing w:before="40" w:after="20"/>
              <w:jc w:val="center"/>
              <w:rPr>
                <w:rFonts w:cs="Arial"/>
                <w:sz w:val="18"/>
                <w:szCs w:val="18"/>
              </w:rPr>
            </w:pPr>
          </w:p>
        </w:tc>
        <w:tc>
          <w:tcPr>
            <w:tcW w:w="6863" w:type="dxa"/>
            <w:gridSpan w:val="8"/>
            <w:tcBorders>
              <w:top w:val="nil"/>
              <w:left w:val="single" w:sz="18" w:space="0" w:color="5F497A" w:themeColor="accent4" w:themeShade="BF"/>
              <w:bottom w:val="single" w:sz="8" w:space="0" w:color="5F497A" w:themeColor="accent4" w:themeShade="BF"/>
              <w:right w:val="nil"/>
            </w:tcBorders>
            <w:shd w:val="clear" w:color="auto" w:fill="auto"/>
            <w:vAlign w:val="bottom"/>
          </w:tcPr>
          <w:p w14:paraId="3210B9DB" w14:textId="77777777" w:rsidR="00BA4059" w:rsidRPr="00A44829" w:rsidRDefault="00BA4059" w:rsidP="0038375E">
            <w:pPr>
              <w:spacing w:before="40" w:after="20"/>
              <w:jc w:val="center"/>
              <w:rPr>
                <w:rFonts w:cs="Arial"/>
                <w:b/>
                <w:sz w:val="18"/>
                <w:szCs w:val="18"/>
              </w:rPr>
            </w:pPr>
            <w:r w:rsidRPr="00A44829">
              <w:rPr>
                <w:rFonts w:cs="Arial"/>
                <w:b/>
                <w:sz w:val="18"/>
                <w:szCs w:val="18"/>
              </w:rPr>
              <w:t>Cost Modifier</w:t>
            </w:r>
            <w:r w:rsidR="00A6042C" w:rsidRPr="00A44829">
              <w:rPr>
                <w:rFonts w:cs="Arial"/>
                <w:b/>
                <w:sz w:val="18"/>
                <w:szCs w:val="18"/>
              </w:rPr>
              <w:t>s</w:t>
            </w:r>
          </w:p>
        </w:tc>
      </w:tr>
      <w:tr w:rsidR="00782715" w:rsidRPr="00A44829" w14:paraId="70FB6536" w14:textId="77777777" w:rsidTr="00B44BBE">
        <w:trPr>
          <w:tblHeader/>
        </w:trPr>
        <w:tc>
          <w:tcPr>
            <w:tcW w:w="2268" w:type="dxa"/>
            <w:tcBorders>
              <w:top w:val="nil"/>
              <w:left w:val="nil"/>
              <w:right w:val="single" w:sz="18" w:space="0" w:color="5F497A" w:themeColor="accent4" w:themeShade="BF"/>
            </w:tcBorders>
            <w:shd w:val="clear" w:color="auto" w:fill="auto"/>
            <w:vAlign w:val="bottom"/>
          </w:tcPr>
          <w:p w14:paraId="6E085A8A" w14:textId="77777777" w:rsidR="00782715" w:rsidRPr="00A44829" w:rsidRDefault="00782715" w:rsidP="0038375E">
            <w:pPr>
              <w:spacing w:before="40" w:after="20"/>
              <w:jc w:val="center"/>
              <w:rPr>
                <w:rFonts w:cs="Arial"/>
                <w:sz w:val="18"/>
                <w:szCs w:val="18"/>
              </w:rPr>
            </w:pPr>
          </w:p>
        </w:tc>
        <w:tc>
          <w:tcPr>
            <w:tcW w:w="1021" w:type="dxa"/>
            <w:vMerge w:val="restart"/>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518649DB" w14:textId="77777777" w:rsidR="00782715" w:rsidRPr="00A44829" w:rsidRDefault="00782715" w:rsidP="0038375E">
            <w:pPr>
              <w:spacing w:before="40" w:after="20"/>
              <w:jc w:val="center"/>
              <w:rPr>
                <w:rFonts w:cs="Arial"/>
                <w:b/>
                <w:sz w:val="18"/>
                <w:szCs w:val="18"/>
              </w:rPr>
            </w:pPr>
            <w:r w:rsidRPr="00A44829">
              <w:rPr>
                <w:rFonts w:cs="Arial"/>
                <w:b/>
                <w:sz w:val="18"/>
                <w:szCs w:val="18"/>
              </w:rPr>
              <w:t xml:space="preserve">Freight </w:t>
            </w:r>
            <w:r w:rsidRPr="00A44829">
              <w:rPr>
                <w:rFonts w:cs="Arial"/>
                <w:b/>
                <w:sz w:val="18"/>
                <w:szCs w:val="18"/>
              </w:rPr>
              <w:br/>
            </w:r>
          </w:p>
        </w:tc>
        <w:tc>
          <w:tcPr>
            <w:tcW w:w="1815" w:type="dxa"/>
            <w:gridSpan w:val="2"/>
            <w:tcBorders>
              <w:top w:val="single" w:sz="8" w:space="0" w:color="5F497A" w:themeColor="accent4" w:themeShade="BF"/>
              <w:left w:val="nil"/>
              <w:bottom w:val="single" w:sz="8" w:space="0" w:color="5F497A" w:themeColor="accent4" w:themeShade="BF"/>
              <w:right w:val="nil"/>
            </w:tcBorders>
            <w:shd w:val="clear" w:color="auto" w:fill="auto"/>
            <w:vAlign w:val="bottom"/>
          </w:tcPr>
          <w:p w14:paraId="27CC3BCA" w14:textId="77777777" w:rsidR="00782715" w:rsidRPr="00A44829" w:rsidRDefault="00782715" w:rsidP="0038375E">
            <w:pPr>
              <w:spacing w:before="40" w:after="20"/>
              <w:jc w:val="center"/>
              <w:rPr>
                <w:rFonts w:cs="Arial"/>
                <w:b/>
                <w:sz w:val="18"/>
                <w:szCs w:val="18"/>
              </w:rPr>
            </w:pPr>
            <w:r w:rsidRPr="00A44829">
              <w:rPr>
                <w:rFonts w:cs="Arial"/>
                <w:b/>
                <w:sz w:val="18"/>
                <w:szCs w:val="18"/>
              </w:rPr>
              <w:t>Climate</w:t>
            </w:r>
          </w:p>
        </w:tc>
        <w:tc>
          <w:tcPr>
            <w:tcW w:w="170" w:type="dxa"/>
            <w:vMerge w:val="restart"/>
            <w:tcBorders>
              <w:top w:val="single" w:sz="8" w:space="0" w:color="5F497A" w:themeColor="accent4" w:themeShade="BF"/>
              <w:left w:val="nil"/>
              <w:bottom w:val="single" w:sz="8" w:space="0" w:color="5F497A" w:themeColor="accent4" w:themeShade="BF"/>
              <w:right w:val="nil"/>
            </w:tcBorders>
            <w:vAlign w:val="bottom"/>
          </w:tcPr>
          <w:p w14:paraId="611E7711" w14:textId="77777777" w:rsidR="00782715" w:rsidRPr="00A44829" w:rsidRDefault="00782715" w:rsidP="0038375E">
            <w:pPr>
              <w:spacing w:before="40" w:after="20"/>
              <w:jc w:val="center"/>
              <w:rPr>
                <w:rFonts w:cs="Arial"/>
                <w:b/>
                <w:sz w:val="18"/>
                <w:szCs w:val="18"/>
              </w:rPr>
            </w:pPr>
          </w:p>
        </w:tc>
        <w:tc>
          <w:tcPr>
            <w:tcW w:w="1815" w:type="dxa"/>
            <w:gridSpan w:val="2"/>
            <w:tcBorders>
              <w:top w:val="single" w:sz="8" w:space="0" w:color="5F497A" w:themeColor="accent4" w:themeShade="BF"/>
              <w:left w:val="nil"/>
              <w:bottom w:val="single" w:sz="8" w:space="0" w:color="5F497A" w:themeColor="accent4" w:themeShade="BF"/>
              <w:right w:val="nil"/>
            </w:tcBorders>
            <w:vAlign w:val="bottom"/>
          </w:tcPr>
          <w:p w14:paraId="68CABA57" w14:textId="77777777" w:rsidR="00782715" w:rsidRPr="00A44829" w:rsidRDefault="00782715" w:rsidP="0038375E">
            <w:pPr>
              <w:spacing w:before="40" w:after="20"/>
              <w:jc w:val="center"/>
              <w:rPr>
                <w:rFonts w:cs="Arial"/>
                <w:b/>
                <w:sz w:val="18"/>
                <w:szCs w:val="18"/>
              </w:rPr>
            </w:pPr>
            <w:r w:rsidRPr="00A44829">
              <w:rPr>
                <w:rFonts w:cs="Arial"/>
                <w:b/>
                <w:sz w:val="18"/>
                <w:szCs w:val="18"/>
              </w:rPr>
              <w:t>Sub-Grades</w:t>
            </w:r>
          </w:p>
        </w:tc>
        <w:tc>
          <w:tcPr>
            <w:tcW w:w="1021"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445B7C6A" w14:textId="77777777" w:rsidR="00782715" w:rsidRPr="00A44829" w:rsidRDefault="00782715" w:rsidP="0038375E">
            <w:pPr>
              <w:spacing w:before="40" w:after="20"/>
              <w:jc w:val="center"/>
              <w:rPr>
                <w:rFonts w:cs="Arial"/>
                <w:b/>
                <w:sz w:val="18"/>
                <w:szCs w:val="18"/>
              </w:rPr>
            </w:pPr>
            <w:r w:rsidRPr="00A44829">
              <w:rPr>
                <w:rFonts w:cs="Arial"/>
                <w:b/>
                <w:sz w:val="18"/>
                <w:szCs w:val="18"/>
              </w:rPr>
              <w:t xml:space="preserve">Materials </w:t>
            </w:r>
            <w:r w:rsidRPr="00A44829">
              <w:rPr>
                <w:rFonts w:cs="Arial"/>
                <w:b/>
                <w:sz w:val="18"/>
                <w:szCs w:val="18"/>
              </w:rPr>
              <w:br/>
            </w:r>
          </w:p>
        </w:tc>
        <w:tc>
          <w:tcPr>
            <w:tcW w:w="1021"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04C0BC10" w14:textId="77777777" w:rsidR="00782715" w:rsidRPr="00A44829" w:rsidRDefault="00782715" w:rsidP="0038375E">
            <w:pPr>
              <w:spacing w:before="40" w:after="20"/>
              <w:jc w:val="center"/>
              <w:rPr>
                <w:rFonts w:cs="Arial"/>
                <w:sz w:val="18"/>
                <w:szCs w:val="18"/>
              </w:rPr>
            </w:pPr>
            <w:r w:rsidRPr="00A44829">
              <w:rPr>
                <w:rFonts w:cs="Arial"/>
                <w:b/>
                <w:sz w:val="18"/>
                <w:szCs w:val="18"/>
              </w:rPr>
              <w:t xml:space="preserve">Strategic Routes </w:t>
            </w:r>
            <w:r w:rsidRPr="00A44829">
              <w:rPr>
                <w:rFonts w:cs="Arial"/>
                <w:b/>
                <w:sz w:val="18"/>
                <w:szCs w:val="18"/>
              </w:rPr>
              <w:br/>
            </w:r>
            <w:r w:rsidRPr="00A44829">
              <w:rPr>
                <w:rFonts w:cs="Arial"/>
                <w:sz w:val="16"/>
                <w:szCs w:val="16"/>
              </w:rPr>
              <w:t>(average)</w:t>
            </w:r>
          </w:p>
        </w:tc>
      </w:tr>
      <w:tr w:rsidR="00782715" w:rsidRPr="00A44829" w14:paraId="1B0E4DFB" w14:textId="77777777" w:rsidTr="00B44BBE">
        <w:trPr>
          <w:tblHeader/>
        </w:trPr>
        <w:tc>
          <w:tcPr>
            <w:tcW w:w="2268" w:type="dxa"/>
            <w:tcBorders>
              <w:top w:val="nil"/>
              <w:left w:val="nil"/>
              <w:right w:val="single" w:sz="18" w:space="0" w:color="5F497A" w:themeColor="accent4" w:themeShade="BF"/>
            </w:tcBorders>
            <w:shd w:val="clear" w:color="auto" w:fill="auto"/>
            <w:vAlign w:val="bottom"/>
          </w:tcPr>
          <w:p w14:paraId="7766B9AE" w14:textId="77777777" w:rsidR="00782715" w:rsidRPr="00A44829" w:rsidRDefault="00782715" w:rsidP="0038375E">
            <w:pPr>
              <w:spacing w:before="40" w:after="20"/>
              <w:jc w:val="center"/>
              <w:rPr>
                <w:rFonts w:cs="Arial"/>
                <w:sz w:val="18"/>
                <w:szCs w:val="18"/>
              </w:rPr>
            </w:pPr>
          </w:p>
        </w:tc>
        <w:tc>
          <w:tcPr>
            <w:tcW w:w="1021" w:type="dxa"/>
            <w:vMerge/>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3AEE4C29" w14:textId="77777777" w:rsidR="00782715" w:rsidRPr="00A44829" w:rsidRDefault="00782715" w:rsidP="0038375E">
            <w:pPr>
              <w:spacing w:before="40" w:after="20"/>
              <w:jc w:val="center"/>
              <w:rPr>
                <w:rFonts w:cs="Arial"/>
                <w:b/>
                <w:sz w:val="18"/>
                <w:szCs w:val="18"/>
              </w:rPr>
            </w:pPr>
          </w:p>
        </w:tc>
        <w:tc>
          <w:tcPr>
            <w:tcW w:w="90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62EC95C9" w14:textId="77777777" w:rsidR="00782715" w:rsidRPr="00A44829" w:rsidRDefault="00782715" w:rsidP="0038375E">
            <w:pPr>
              <w:spacing w:before="40" w:after="20"/>
              <w:jc w:val="center"/>
              <w:rPr>
                <w:rFonts w:cs="Arial"/>
                <w:sz w:val="16"/>
                <w:szCs w:val="16"/>
              </w:rPr>
            </w:pPr>
            <w:r w:rsidRPr="00A44829">
              <w:rPr>
                <w:rFonts w:cs="Arial"/>
                <w:sz w:val="16"/>
                <w:szCs w:val="16"/>
              </w:rPr>
              <w:t>Urban</w:t>
            </w:r>
          </w:p>
        </w:tc>
        <w:tc>
          <w:tcPr>
            <w:tcW w:w="908" w:type="dxa"/>
            <w:tcBorders>
              <w:top w:val="single" w:sz="8" w:space="0" w:color="5F497A" w:themeColor="accent4" w:themeShade="BF"/>
              <w:left w:val="nil"/>
              <w:bottom w:val="single" w:sz="8" w:space="0" w:color="5F497A" w:themeColor="accent4" w:themeShade="BF"/>
              <w:right w:val="nil"/>
            </w:tcBorders>
            <w:vAlign w:val="bottom"/>
          </w:tcPr>
          <w:p w14:paraId="293B3882" w14:textId="77777777" w:rsidR="00782715" w:rsidRPr="00A44829" w:rsidRDefault="00782715" w:rsidP="0038375E">
            <w:pPr>
              <w:spacing w:before="40" w:after="20"/>
              <w:jc w:val="center"/>
              <w:rPr>
                <w:rFonts w:cs="Arial"/>
                <w:sz w:val="16"/>
                <w:szCs w:val="16"/>
              </w:rPr>
            </w:pPr>
            <w:r w:rsidRPr="00A44829">
              <w:rPr>
                <w:rFonts w:cs="Arial"/>
                <w:sz w:val="16"/>
                <w:szCs w:val="16"/>
              </w:rPr>
              <w:t>Rural</w:t>
            </w:r>
          </w:p>
        </w:tc>
        <w:tc>
          <w:tcPr>
            <w:tcW w:w="170" w:type="dxa"/>
            <w:vMerge/>
            <w:tcBorders>
              <w:top w:val="single" w:sz="8" w:space="0" w:color="5F497A" w:themeColor="accent4" w:themeShade="BF"/>
              <w:left w:val="nil"/>
              <w:bottom w:val="single" w:sz="8" w:space="0" w:color="5F497A" w:themeColor="accent4" w:themeShade="BF"/>
              <w:right w:val="nil"/>
            </w:tcBorders>
            <w:vAlign w:val="bottom"/>
          </w:tcPr>
          <w:p w14:paraId="5FF389B3" w14:textId="77777777" w:rsidR="00782715" w:rsidRPr="00A44829" w:rsidRDefault="00782715" w:rsidP="0038375E">
            <w:pPr>
              <w:spacing w:before="40" w:after="20"/>
              <w:jc w:val="center"/>
              <w:rPr>
                <w:rFonts w:cs="Arial"/>
                <w:sz w:val="16"/>
                <w:szCs w:val="16"/>
              </w:rPr>
            </w:pPr>
          </w:p>
        </w:tc>
        <w:tc>
          <w:tcPr>
            <w:tcW w:w="907" w:type="dxa"/>
            <w:tcBorders>
              <w:top w:val="single" w:sz="8" w:space="0" w:color="5F497A" w:themeColor="accent4" w:themeShade="BF"/>
              <w:left w:val="nil"/>
              <w:bottom w:val="single" w:sz="8" w:space="0" w:color="5F497A" w:themeColor="accent4" w:themeShade="BF"/>
              <w:right w:val="nil"/>
            </w:tcBorders>
            <w:vAlign w:val="bottom"/>
          </w:tcPr>
          <w:p w14:paraId="1CF673E4" w14:textId="77777777" w:rsidR="00782715" w:rsidRPr="00A44829" w:rsidRDefault="00782715" w:rsidP="0038375E">
            <w:pPr>
              <w:spacing w:before="40" w:after="20"/>
              <w:jc w:val="center"/>
              <w:rPr>
                <w:rFonts w:cs="Arial"/>
                <w:sz w:val="16"/>
                <w:szCs w:val="16"/>
              </w:rPr>
            </w:pPr>
            <w:r w:rsidRPr="00A44829">
              <w:rPr>
                <w:rFonts w:cs="Arial"/>
                <w:sz w:val="16"/>
                <w:szCs w:val="16"/>
              </w:rPr>
              <w:t>Urban</w:t>
            </w:r>
          </w:p>
        </w:tc>
        <w:tc>
          <w:tcPr>
            <w:tcW w:w="90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35C8BFD4" w14:textId="77777777" w:rsidR="00782715" w:rsidRPr="00A44829" w:rsidRDefault="00782715" w:rsidP="0038375E">
            <w:pPr>
              <w:spacing w:before="40" w:after="20"/>
              <w:jc w:val="center"/>
              <w:rPr>
                <w:rFonts w:cs="Arial"/>
                <w:sz w:val="16"/>
                <w:szCs w:val="16"/>
              </w:rPr>
            </w:pPr>
            <w:r w:rsidRPr="00A44829">
              <w:rPr>
                <w:rFonts w:cs="Arial"/>
                <w:sz w:val="16"/>
                <w:szCs w:val="16"/>
              </w:rPr>
              <w:t>Rural</w:t>
            </w:r>
          </w:p>
        </w:tc>
        <w:tc>
          <w:tcPr>
            <w:tcW w:w="1021"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71740539" w14:textId="77777777" w:rsidR="00782715" w:rsidRPr="00A44829" w:rsidRDefault="00782715" w:rsidP="0038375E">
            <w:pPr>
              <w:spacing w:before="40" w:after="20"/>
              <w:jc w:val="center"/>
              <w:rPr>
                <w:rFonts w:cs="Arial"/>
                <w:b/>
                <w:sz w:val="18"/>
                <w:szCs w:val="18"/>
              </w:rPr>
            </w:pPr>
          </w:p>
        </w:tc>
        <w:tc>
          <w:tcPr>
            <w:tcW w:w="1021"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0AF95A6A" w14:textId="77777777" w:rsidR="00782715" w:rsidRPr="00A44829" w:rsidRDefault="00782715" w:rsidP="0038375E">
            <w:pPr>
              <w:spacing w:before="40" w:after="20"/>
              <w:jc w:val="center"/>
              <w:rPr>
                <w:rFonts w:cs="Arial"/>
                <w:b/>
                <w:sz w:val="18"/>
                <w:szCs w:val="18"/>
              </w:rPr>
            </w:pPr>
          </w:p>
        </w:tc>
      </w:tr>
      <w:tr w:rsidR="00DC5BE9" w:rsidRPr="003E2D55" w14:paraId="28CB25E4" w14:textId="77777777" w:rsidTr="00B44BBE">
        <w:trPr>
          <w:trHeight w:val="240"/>
          <w:tblHeader/>
        </w:trPr>
        <w:tc>
          <w:tcPr>
            <w:tcW w:w="2268" w:type="dxa"/>
            <w:tcBorders>
              <w:left w:val="nil"/>
              <w:bottom w:val="nil"/>
              <w:right w:val="single" w:sz="18" w:space="0" w:color="5F497A" w:themeColor="accent4" w:themeShade="BF"/>
            </w:tcBorders>
            <w:shd w:val="clear" w:color="auto" w:fill="auto"/>
            <w:vAlign w:val="center"/>
          </w:tcPr>
          <w:p w14:paraId="0ED255E0" w14:textId="77777777" w:rsidR="00DC5BE9" w:rsidRPr="003E2D55" w:rsidRDefault="00DC5BE9" w:rsidP="003E2D55">
            <w:pPr>
              <w:spacing w:before="40" w:after="20"/>
              <w:rPr>
                <w:rFonts w:cs="Arial"/>
                <w:sz w:val="18"/>
                <w:szCs w:val="18"/>
              </w:rPr>
            </w:pPr>
          </w:p>
        </w:tc>
        <w:tc>
          <w:tcPr>
            <w:tcW w:w="102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363534FD" w14:textId="3FBEDCD3" w:rsidR="00DC5BE9" w:rsidRPr="003E2D55" w:rsidRDefault="00DC5BE9" w:rsidP="003E2D55">
            <w:pPr>
              <w:spacing w:before="40" w:after="20"/>
              <w:jc w:val="center"/>
              <w:rPr>
                <w:rFonts w:cs="Arial"/>
                <w:sz w:val="18"/>
                <w:szCs w:val="18"/>
              </w:rPr>
            </w:pPr>
            <w:r w:rsidRPr="003E2D55">
              <w:rPr>
                <w:rFonts w:cs="Arial"/>
                <w:sz w:val="18"/>
                <w:szCs w:val="18"/>
              </w:rPr>
              <w:t> </w:t>
            </w:r>
          </w:p>
        </w:tc>
        <w:tc>
          <w:tcPr>
            <w:tcW w:w="907" w:type="dxa"/>
            <w:tcBorders>
              <w:top w:val="single" w:sz="8" w:space="0" w:color="5F497A" w:themeColor="accent4" w:themeShade="BF"/>
              <w:left w:val="nil"/>
              <w:bottom w:val="nil"/>
              <w:right w:val="nil"/>
            </w:tcBorders>
            <w:shd w:val="clear" w:color="auto" w:fill="auto"/>
            <w:vAlign w:val="bottom"/>
          </w:tcPr>
          <w:p w14:paraId="323E93BF" w14:textId="77777777" w:rsidR="00DC5BE9" w:rsidRPr="003E2D55" w:rsidRDefault="00DC5BE9" w:rsidP="003E2D55">
            <w:pPr>
              <w:spacing w:before="40" w:after="20"/>
              <w:jc w:val="center"/>
              <w:rPr>
                <w:rFonts w:cs="Arial"/>
                <w:sz w:val="18"/>
                <w:szCs w:val="18"/>
              </w:rPr>
            </w:pPr>
          </w:p>
        </w:tc>
        <w:tc>
          <w:tcPr>
            <w:tcW w:w="908" w:type="dxa"/>
            <w:tcBorders>
              <w:top w:val="single" w:sz="8" w:space="0" w:color="5F497A" w:themeColor="accent4" w:themeShade="BF"/>
              <w:left w:val="nil"/>
              <w:bottom w:val="nil"/>
              <w:right w:val="nil"/>
            </w:tcBorders>
            <w:vAlign w:val="bottom"/>
          </w:tcPr>
          <w:p w14:paraId="25B6C4F4" w14:textId="77777777" w:rsidR="00DC5BE9" w:rsidRPr="003E2D55" w:rsidRDefault="00DC5BE9" w:rsidP="003E2D55">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6FAE91D0" w14:textId="298425A8" w:rsidR="00DC5BE9" w:rsidRPr="003E2D55" w:rsidRDefault="00DC5BE9" w:rsidP="003E2D55">
            <w:pPr>
              <w:spacing w:before="40" w:after="20"/>
              <w:jc w:val="center"/>
              <w:rPr>
                <w:rFonts w:cs="Arial"/>
                <w:sz w:val="18"/>
                <w:szCs w:val="18"/>
              </w:rPr>
            </w:pPr>
          </w:p>
        </w:tc>
        <w:tc>
          <w:tcPr>
            <w:tcW w:w="907" w:type="dxa"/>
            <w:tcBorders>
              <w:top w:val="single" w:sz="8" w:space="0" w:color="5F497A" w:themeColor="accent4" w:themeShade="BF"/>
              <w:left w:val="nil"/>
              <w:bottom w:val="nil"/>
              <w:right w:val="nil"/>
            </w:tcBorders>
            <w:vAlign w:val="bottom"/>
          </w:tcPr>
          <w:p w14:paraId="171CDC37" w14:textId="77777777" w:rsidR="00DC5BE9" w:rsidRPr="003E2D55" w:rsidRDefault="00DC5BE9" w:rsidP="003E2D55">
            <w:pPr>
              <w:spacing w:before="40" w:after="20"/>
              <w:jc w:val="center"/>
              <w:rPr>
                <w:rFonts w:cs="Arial"/>
                <w:sz w:val="18"/>
                <w:szCs w:val="18"/>
              </w:rPr>
            </w:pPr>
          </w:p>
        </w:tc>
        <w:tc>
          <w:tcPr>
            <w:tcW w:w="908" w:type="dxa"/>
            <w:tcBorders>
              <w:top w:val="single" w:sz="8" w:space="0" w:color="5F497A" w:themeColor="accent4" w:themeShade="BF"/>
              <w:left w:val="nil"/>
              <w:bottom w:val="nil"/>
              <w:right w:val="nil"/>
            </w:tcBorders>
            <w:shd w:val="clear" w:color="auto" w:fill="auto"/>
            <w:vAlign w:val="bottom"/>
          </w:tcPr>
          <w:p w14:paraId="4938E300" w14:textId="77777777" w:rsidR="00DC5BE9" w:rsidRPr="003E2D55" w:rsidRDefault="00DC5BE9" w:rsidP="003E2D55">
            <w:pPr>
              <w:spacing w:before="40" w:after="20"/>
              <w:jc w:val="center"/>
              <w:rPr>
                <w:rFonts w:cs="Arial"/>
                <w:sz w:val="18"/>
                <w:szCs w:val="18"/>
              </w:rPr>
            </w:pPr>
          </w:p>
        </w:tc>
        <w:tc>
          <w:tcPr>
            <w:tcW w:w="1021" w:type="dxa"/>
            <w:tcBorders>
              <w:top w:val="single" w:sz="8" w:space="0" w:color="5F497A" w:themeColor="accent4" w:themeShade="BF"/>
              <w:left w:val="nil"/>
              <w:bottom w:val="nil"/>
              <w:right w:val="nil"/>
            </w:tcBorders>
            <w:shd w:val="clear" w:color="auto" w:fill="auto"/>
            <w:vAlign w:val="bottom"/>
          </w:tcPr>
          <w:p w14:paraId="2669599C" w14:textId="77777777" w:rsidR="00DC5BE9" w:rsidRPr="003E2D55" w:rsidRDefault="00DC5BE9" w:rsidP="003E2D55">
            <w:pPr>
              <w:spacing w:before="40" w:after="20"/>
              <w:jc w:val="center"/>
              <w:rPr>
                <w:rFonts w:cs="Arial"/>
                <w:sz w:val="18"/>
                <w:szCs w:val="18"/>
              </w:rPr>
            </w:pPr>
          </w:p>
        </w:tc>
        <w:tc>
          <w:tcPr>
            <w:tcW w:w="1021" w:type="dxa"/>
            <w:tcBorders>
              <w:top w:val="single" w:sz="8" w:space="0" w:color="5F497A" w:themeColor="accent4" w:themeShade="BF"/>
              <w:left w:val="nil"/>
              <w:bottom w:val="nil"/>
              <w:right w:val="nil"/>
            </w:tcBorders>
            <w:shd w:val="clear" w:color="auto" w:fill="auto"/>
            <w:vAlign w:val="bottom"/>
          </w:tcPr>
          <w:p w14:paraId="329F6AA6" w14:textId="54FBC984" w:rsidR="00DC5BE9" w:rsidRPr="003E2D55" w:rsidRDefault="00DC5BE9" w:rsidP="003E2D55">
            <w:pPr>
              <w:spacing w:before="40" w:after="20"/>
              <w:jc w:val="center"/>
              <w:rPr>
                <w:rFonts w:cs="Arial"/>
                <w:sz w:val="18"/>
                <w:szCs w:val="18"/>
              </w:rPr>
            </w:pPr>
            <w:r w:rsidRPr="003E2D55">
              <w:rPr>
                <w:rFonts w:cs="Arial"/>
                <w:sz w:val="18"/>
                <w:szCs w:val="18"/>
              </w:rPr>
              <w:t> </w:t>
            </w:r>
          </w:p>
        </w:tc>
      </w:tr>
      <w:tr w:rsidR="00DC5BE9" w:rsidRPr="003E2D55" w14:paraId="307BD231"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14796F87" w14:textId="77777777" w:rsidR="00DC5BE9" w:rsidRPr="003E2D55" w:rsidRDefault="00DC5BE9" w:rsidP="003E2D55">
            <w:pPr>
              <w:spacing w:before="40" w:after="20"/>
              <w:rPr>
                <w:rFonts w:cs="Arial"/>
                <w:sz w:val="18"/>
                <w:szCs w:val="18"/>
              </w:rPr>
            </w:pPr>
            <w:r w:rsidRPr="003E2D55">
              <w:rPr>
                <w:rFonts w:cs="Arial"/>
                <w:sz w:val="18"/>
                <w:szCs w:val="18"/>
              </w:rPr>
              <w:t>Macedon Ranges S</w:t>
            </w:r>
          </w:p>
        </w:tc>
        <w:tc>
          <w:tcPr>
            <w:tcW w:w="1021" w:type="dxa"/>
            <w:tcBorders>
              <w:top w:val="nil"/>
              <w:left w:val="single" w:sz="18" w:space="0" w:color="5F497A" w:themeColor="accent4" w:themeShade="BF"/>
              <w:bottom w:val="nil"/>
              <w:right w:val="nil"/>
            </w:tcBorders>
            <w:shd w:val="clear" w:color="auto" w:fill="auto"/>
            <w:vAlign w:val="bottom"/>
          </w:tcPr>
          <w:p w14:paraId="11B83D67" w14:textId="2AD7448C"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64184419" w14:textId="434B2470" w:rsidR="00DC5BE9" w:rsidRPr="003E2D55" w:rsidRDefault="00DC5BE9" w:rsidP="003E2D55">
            <w:pPr>
              <w:spacing w:before="40" w:after="20"/>
              <w:jc w:val="center"/>
              <w:rPr>
                <w:rFonts w:cs="Arial"/>
                <w:sz w:val="18"/>
                <w:szCs w:val="18"/>
              </w:rPr>
            </w:pPr>
            <w:r w:rsidRPr="003E2D55">
              <w:rPr>
                <w:rFonts w:cs="Arial"/>
                <w:sz w:val="18"/>
                <w:szCs w:val="18"/>
              </w:rPr>
              <w:t>1.00</w:t>
            </w:r>
          </w:p>
        </w:tc>
        <w:tc>
          <w:tcPr>
            <w:tcW w:w="908" w:type="dxa"/>
            <w:tcBorders>
              <w:top w:val="nil"/>
              <w:left w:val="nil"/>
              <w:bottom w:val="nil"/>
              <w:right w:val="nil"/>
            </w:tcBorders>
            <w:vAlign w:val="bottom"/>
          </w:tcPr>
          <w:p w14:paraId="11F96F51" w14:textId="082AB7B5" w:rsidR="00DC5BE9" w:rsidRPr="003E2D55" w:rsidRDefault="00DC5BE9" w:rsidP="003E2D55">
            <w:pPr>
              <w:spacing w:before="40" w:after="20"/>
              <w:jc w:val="center"/>
              <w:rPr>
                <w:rFonts w:cs="Arial"/>
                <w:sz w:val="18"/>
                <w:szCs w:val="18"/>
              </w:rPr>
            </w:pPr>
            <w:r w:rsidRPr="003E2D55">
              <w:rPr>
                <w:rFonts w:cs="Arial"/>
                <w:sz w:val="18"/>
                <w:szCs w:val="18"/>
              </w:rPr>
              <w:t>0.94</w:t>
            </w:r>
          </w:p>
        </w:tc>
        <w:tc>
          <w:tcPr>
            <w:tcW w:w="170" w:type="dxa"/>
            <w:tcBorders>
              <w:top w:val="nil"/>
              <w:left w:val="nil"/>
              <w:bottom w:val="nil"/>
              <w:right w:val="nil"/>
            </w:tcBorders>
            <w:vAlign w:val="bottom"/>
          </w:tcPr>
          <w:p w14:paraId="2930300C" w14:textId="5EE363F8"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38B009FC" w14:textId="625AA768" w:rsidR="00DC5BE9" w:rsidRPr="003E2D55" w:rsidRDefault="00DC5BE9" w:rsidP="003E2D55">
            <w:pPr>
              <w:spacing w:before="40" w:after="20"/>
              <w:jc w:val="center"/>
              <w:rPr>
                <w:rFonts w:cs="Arial"/>
                <w:sz w:val="18"/>
                <w:szCs w:val="18"/>
              </w:rPr>
            </w:pPr>
            <w:r w:rsidRPr="003E2D55">
              <w:rPr>
                <w:rFonts w:cs="Arial"/>
                <w:sz w:val="18"/>
                <w:szCs w:val="18"/>
              </w:rPr>
              <w:t>1.02</w:t>
            </w:r>
          </w:p>
        </w:tc>
        <w:tc>
          <w:tcPr>
            <w:tcW w:w="908" w:type="dxa"/>
            <w:tcBorders>
              <w:top w:val="nil"/>
              <w:left w:val="nil"/>
              <w:bottom w:val="nil"/>
              <w:right w:val="nil"/>
            </w:tcBorders>
            <w:shd w:val="clear" w:color="auto" w:fill="auto"/>
            <w:vAlign w:val="bottom"/>
          </w:tcPr>
          <w:p w14:paraId="547BE947" w14:textId="7033CBD9" w:rsidR="00DC5BE9" w:rsidRPr="003E2D55" w:rsidRDefault="00DC5BE9" w:rsidP="003E2D55">
            <w:pPr>
              <w:spacing w:before="40" w:after="20"/>
              <w:jc w:val="center"/>
              <w:rPr>
                <w:rFonts w:cs="Arial"/>
                <w:sz w:val="18"/>
                <w:szCs w:val="18"/>
              </w:rPr>
            </w:pPr>
            <w:r w:rsidRPr="003E2D55">
              <w:rPr>
                <w:rFonts w:cs="Arial"/>
                <w:sz w:val="18"/>
                <w:szCs w:val="18"/>
              </w:rPr>
              <w:t>1.01</w:t>
            </w:r>
          </w:p>
        </w:tc>
        <w:tc>
          <w:tcPr>
            <w:tcW w:w="1021" w:type="dxa"/>
            <w:tcBorders>
              <w:top w:val="nil"/>
              <w:left w:val="nil"/>
              <w:bottom w:val="nil"/>
              <w:right w:val="nil"/>
            </w:tcBorders>
            <w:shd w:val="clear" w:color="auto" w:fill="auto"/>
            <w:vAlign w:val="bottom"/>
          </w:tcPr>
          <w:p w14:paraId="30B135BD" w14:textId="05A58D31"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1967718C" w14:textId="3B26469A" w:rsidR="00DC5BE9" w:rsidRPr="003E2D55" w:rsidRDefault="00DC5BE9" w:rsidP="003E2D55">
            <w:pPr>
              <w:spacing w:before="40" w:after="20"/>
              <w:jc w:val="center"/>
              <w:rPr>
                <w:rFonts w:cs="Arial"/>
                <w:sz w:val="18"/>
                <w:szCs w:val="18"/>
              </w:rPr>
            </w:pPr>
            <w:r w:rsidRPr="003E2D55">
              <w:rPr>
                <w:rFonts w:cs="Arial"/>
                <w:sz w:val="18"/>
                <w:szCs w:val="18"/>
              </w:rPr>
              <w:t>28.8</w:t>
            </w:r>
          </w:p>
        </w:tc>
      </w:tr>
      <w:tr w:rsidR="00DC5BE9" w:rsidRPr="003E2D55" w14:paraId="09B937E1"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193B5C79" w14:textId="77777777" w:rsidR="00DC5BE9" w:rsidRPr="003E2D55" w:rsidRDefault="00DC5BE9" w:rsidP="003E2D55">
            <w:pPr>
              <w:spacing w:before="40" w:after="20"/>
              <w:rPr>
                <w:rFonts w:cs="Arial"/>
                <w:sz w:val="18"/>
                <w:szCs w:val="18"/>
              </w:rPr>
            </w:pPr>
            <w:r w:rsidRPr="003E2D55">
              <w:rPr>
                <w:rFonts w:cs="Arial"/>
                <w:sz w:val="18"/>
                <w:szCs w:val="18"/>
              </w:rPr>
              <w:t>Manningham C</w:t>
            </w:r>
          </w:p>
        </w:tc>
        <w:tc>
          <w:tcPr>
            <w:tcW w:w="1021" w:type="dxa"/>
            <w:tcBorders>
              <w:top w:val="nil"/>
              <w:left w:val="single" w:sz="18" w:space="0" w:color="5F497A" w:themeColor="accent4" w:themeShade="BF"/>
              <w:bottom w:val="nil"/>
              <w:right w:val="nil"/>
            </w:tcBorders>
            <w:shd w:val="clear" w:color="auto" w:fill="auto"/>
            <w:vAlign w:val="bottom"/>
          </w:tcPr>
          <w:p w14:paraId="15574A0D" w14:textId="5EA6520B"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907" w:type="dxa"/>
            <w:tcBorders>
              <w:top w:val="nil"/>
              <w:left w:val="nil"/>
              <w:bottom w:val="nil"/>
              <w:right w:val="nil"/>
            </w:tcBorders>
            <w:shd w:val="clear" w:color="auto" w:fill="auto"/>
            <w:vAlign w:val="bottom"/>
          </w:tcPr>
          <w:p w14:paraId="50C0A21F" w14:textId="60377F3B" w:rsidR="00DC5BE9" w:rsidRPr="003E2D55" w:rsidRDefault="00DC5BE9" w:rsidP="003E2D55">
            <w:pPr>
              <w:spacing w:before="40" w:after="20"/>
              <w:jc w:val="center"/>
              <w:rPr>
                <w:rFonts w:cs="Arial"/>
                <w:sz w:val="18"/>
                <w:szCs w:val="18"/>
              </w:rPr>
            </w:pPr>
            <w:r w:rsidRPr="003E2D55">
              <w:rPr>
                <w:rFonts w:cs="Arial"/>
                <w:sz w:val="18"/>
                <w:szCs w:val="18"/>
              </w:rPr>
              <w:t>1.02</w:t>
            </w:r>
          </w:p>
        </w:tc>
        <w:tc>
          <w:tcPr>
            <w:tcW w:w="908" w:type="dxa"/>
            <w:tcBorders>
              <w:top w:val="nil"/>
              <w:left w:val="nil"/>
              <w:bottom w:val="nil"/>
              <w:right w:val="nil"/>
            </w:tcBorders>
            <w:vAlign w:val="bottom"/>
          </w:tcPr>
          <w:p w14:paraId="09187175" w14:textId="71A81B2C"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170" w:type="dxa"/>
            <w:tcBorders>
              <w:top w:val="nil"/>
              <w:left w:val="nil"/>
              <w:bottom w:val="nil"/>
              <w:right w:val="nil"/>
            </w:tcBorders>
            <w:vAlign w:val="bottom"/>
          </w:tcPr>
          <w:p w14:paraId="09C54217" w14:textId="547F025A"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6F8522C0" w14:textId="35C8663B"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8" w:type="dxa"/>
            <w:tcBorders>
              <w:top w:val="nil"/>
              <w:left w:val="nil"/>
              <w:bottom w:val="nil"/>
              <w:right w:val="nil"/>
            </w:tcBorders>
            <w:shd w:val="clear" w:color="auto" w:fill="auto"/>
            <w:vAlign w:val="bottom"/>
          </w:tcPr>
          <w:p w14:paraId="61931B01" w14:textId="71E4B219"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637FEDEC" w14:textId="7E6FA80A"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3DD75A8A" w14:textId="1C8E80CB" w:rsidR="00DC5BE9" w:rsidRPr="003E2D55" w:rsidRDefault="00DC5BE9" w:rsidP="003E2D55">
            <w:pPr>
              <w:spacing w:before="40" w:after="20"/>
              <w:jc w:val="center"/>
              <w:rPr>
                <w:rFonts w:cs="Arial"/>
                <w:sz w:val="18"/>
                <w:szCs w:val="18"/>
              </w:rPr>
            </w:pPr>
            <w:r w:rsidRPr="003E2D55">
              <w:rPr>
                <w:rFonts w:cs="Arial"/>
                <w:sz w:val="18"/>
                <w:szCs w:val="18"/>
              </w:rPr>
              <w:t>8.1</w:t>
            </w:r>
          </w:p>
        </w:tc>
      </w:tr>
      <w:tr w:rsidR="00DC5BE9" w:rsidRPr="003E2D55" w14:paraId="5A223F67"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21A15AC1" w14:textId="77777777" w:rsidR="00DC5BE9" w:rsidRPr="003E2D55" w:rsidRDefault="00DC5BE9" w:rsidP="003E2D55">
            <w:pPr>
              <w:spacing w:before="40" w:after="20"/>
              <w:rPr>
                <w:rFonts w:cs="Arial"/>
                <w:sz w:val="18"/>
                <w:szCs w:val="18"/>
              </w:rPr>
            </w:pPr>
            <w:r w:rsidRPr="003E2D55">
              <w:rPr>
                <w:rFonts w:cs="Arial"/>
                <w:sz w:val="18"/>
                <w:szCs w:val="18"/>
              </w:rPr>
              <w:t>Mansfield S</w:t>
            </w:r>
          </w:p>
        </w:tc>
        <w:tc>
          <w:tcPr>
            <w:tcW w:w="1021" w:type="dxa"/>
            <w:tcBorders>
              <w:top w:val="nil"/>
              <w:left w:val="single" w:sz="18" w:space="0" w:color="5F497A" w:themeColor="accent4" w:themeShade="BF"/>
              <w:bottom w:val="nil"/>
              <w:right w:val="nil"/>
            </w:tcBorders>
            <w:shd w:val="clear" w:color="auto" w:fill="auto"/>
            <w:vAlign w:val="bottom"/>
          </w:tcPr>
          <w:p w14:paraId="46235170" w14:textId="585806A1" w:rsidR="00DC5BE9" w:rsidRPr="003E2D55" w:rsidRDefault="00DC5BE9" w:rsidP="003E2D55">
            <w:pPr>
              <w:spacing w:before="40" w:after="20"/>
              <w:jc w:val="center"/>
              <w:rPr>
                <w:rFonts w:cs="Arial"/>
                <w:sz w:val="18"/>
                <w:szCs w:val="18"/>
              </w:rPr>
            </w:pPr>
            <w:r w:rsidRPr="003E2D55">
              <w:rPr>
                <w:rFonts w:cs="Arial"/>
                <w:sz w:val="18"/>
                <w:szCs w:val="18"/>
              </w:rPr>
              <w:t>1.00</w:t>
            </w:r>
          </w:p>
        </w:tc>
        <w:tc>
          <w:tcPr>
            <w:tcW w:w="907" w:type="dxa"/>
            <w:tcBorders>
              <w:top w:val="nil"/>
              <w:left w:val="nil"/>
              <w:bottom w:val="nil"/>
              <w:right w:val="nil"/>
            </w:tcBorders>
            <w:shd w:val="clear" w:color="auto" w:fill="auto"/>
            <w:vAlign w:val="bottom"/>
          </w:tcPr>
          <w:p w14:paraId="53F81FC9" w14:textId="48430F48"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908" w:type="dxa"/>
            <w:tcBorders>
              <w:top w:val="nil"/>
              <w:left w:val="nil"/>
              <w:bottom w:val="nil"/>
              <w:right w:val="nil"/>
            </w:tcBorders>
            <w:vAlign w:val="bottom"/>
          </w:tcPr>
          <w:p w14:paraId="70E843A6" w14:textId="6610D6A8" w:rsidR="00DC5BE9" w:rsidRPr="003E2D55" w:rsidRDefault="00DC5BE9" w:rsidP="003E2D55">
            <w:pPr>
              <w:spacing w:before="40" w:after="20"/>
              <w:jc w:val="center"/>
              <w:rPr>
                <w:rFonts w:cs="Arial"/>
                <w:sz w:val="18"/>
                <w:szCs w:val="18"/>
              </w:rPr>
            </w:pPr>
            <w:r w:rsidRPr="003E2D55">
              <w:rPr>
                <w:rFonts w:cs="Arial"/>
                <w:sz w:val="18"/>
                <w:szCs w:val="18"/>
              </w:rPr>
              <w:t>0.86</w:t>
            </w:r>
          </w:p>
        </w:tc>
        <w:tc>
          <w:tcPr>
            <w:tcW w:w="170" w:type="dxa"/>
            <w:tcBorders>
              <w:top w:val="nil"/>
              <w:left w:val="nil"/>
              <w:bottom w:val="nil"/>
              <w:right w:val="nil"/>
            </w:tcBorders>
            <w:vAlign w:val="bottom"/>
          </w:tcPr>
          <w:p w14:paraId="19782B26" w14:textId="278A07B2"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321BFD63" w14:textId="04D8300D" w:rsidR="00DC5BE9" w:rsidRPr="003E2D55" w:rsidRDefault="00DC5BE9" w:rsidP="003E2D55">
            <w:pPr>
              <w:spacing w:before="40" w:after="20"/>
              <w:jc w:val="center"/>
              <w:rPr>
                <w:rFonts w:cs="Arial"/>
                <w:sz w:val="18"/>
                <w:szCs w:val="18"/>
              </w:rPr>
            </w:pPr>
            <w:r w:rsidRPr="003E2D55">
              <w:rPr>
                <w:rFonts w:cs="Arial"/>
                <w:sz w:val="18"/>
                <w:szCs w:val="18"/>
              </w:rPr>
              <w:t>0.99</w:t>
            </w:r>
          </w:p>
        </w:tc>
        <w:tc>
          <w:tcPr>
            <w:tcW w:w="908" w:type="dxa"/>
            <w:tcBorders>
              <w:top w:val="nil"/>
              <w:left w:val="nil"/>
              <w:bottom w:val="nil"/>
              <w:right w:val="nil"/>
            </w:tcBorders>
            <w:shd w:val="clear" w:color="auto" w:fill="auto"/>
            <w:vAlign w:val="bottom"/>
          </w:tcPr>
          <w:p w14:paraId="76D49BB9" w14:textId="535589ED" w:rsidR="00DC5BE9" w:rsidRPr="003E2D55" w:rsidRDefault="00DC5BE9" w:rsidP="003E2D55">
            <w:pPr>
              <w:spacing w:before="40" w:after="20"/>
              <w:jc w:val="center"/>
              <w:rPr>
                <w:rFonts w:cs="Arial"/>
                <w:sz w:val="18"/>
                <w:szCs w:val="18"/>
              </w:rPr>
            </w:pPr>
            <w:r w:rsidRPr="003E2D55">
              <w:rPr>
                <w:rFonts w:cs="Arial"/>
                <w:sz w:val="18"/>
                <w:szCs w:val="18"/>
              </w:rPr>
              <w:t>0.99</w:t>
            </w:r>
          </w:p>
        </w:tc>
        <w:tc>
          <w:tcPr>
            <w:tcW w:w="1021" w:type="dxa"/>
            <w:tcBorders>
              <w:top w:val="nil"/>
              <w:left w:val="nil"/>
              <w:bottom w:val="nil"/>
              <w:right w:val="nil"/>
            </w:tcBorders>
            <w:shd w:val="clear" w:color="auto" w:fill="auto"/>
            <w:vAlign w:val="bottom"/>
          </w:tcPr>
          <w:p w14:paraId="55670377" w14:textId="7517A045"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1021" w:type="dxa"/>
            <w:tcBorders>
              <w:top w:val="nil"/>
              <w:left w:val="nil"/>
              <w:bottom w:val="nil"/>
              <w:right w:val="nil"/>
            </w:tcBorders>
            <w:shd w:val="clear" w:color="auto" w:fill="auto"/>
            <w:vAlign w:val="bottom"/>
          </w:tcPr>
          <w:p w14:paraId="6BFCBE6D" w14:textId="266C7120" w:rsidR="00DC5BE9" w:rsidRPr="003E2D55" w:rsidRDefault="00DC5BE9" w:rsidP="003E2D55">
            <w:pPr>
              <w:spacing w:before="40" w:after="20"/>
              <w:jc w:val="center"/>
              <w:rPr>
                <w:rFonts w:cs="Arial"/>
                <w:sz w:val="18"/>
                <w:szCs w:val="18"/>
              </w:rPr>
            </w:pPr>
            <w:r w:rsidRPr="003E2D55">
              <w:rPr>
                <w:rFonts w:cs="Arial"/>
                <w:sz w:val="18"/>
                <w:szCs w:val="18"/>
              </w:rPr>
              <w:t>25.1</w:t>
            </w:r>
          </w:p>
        </w:tc>
      </w:tr>
      <w:tr w:rsidR="00DC5BE9" w:rsidRPr="003E2D55" w14:paraId="0BB128E8"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6EE72A28" w14:textId="77777777" w:rsidR="00DC5BE9" w:rsidRPr="003E2D55" w:rsidRDefault="00DC5BE9" w:rsidP="003E2D55">
            <w:pPr>
              <w:spacing w:before="40" w:after="20"/>
              <w:rPr>
                <w:rFonts w:cs="Arial"/>
                <w:sz w:val="18"/>
                <w:szCs w:val="18"/>
              </w:rPr>
            </w:pPr>
            <w:r w:rsidRPr="003E2D55">
              <w:rPr>
                <w:rFonts w:cs="Arial"/>
                <w:sz w:val="18"/>
                <w:szCs w:val="18"/>
              </w:rPr>
              <w:t>Maribyrnong C</w:t>
            </w:r>
          </w:p>
        </w:tc>
        <w:tc>
          <w:tcPr>
            <w:tcW w:w="1021" w:type="dxa"/>
            <w:tcBorders>
              <w:top w:val="nil"/>
              <w:left w:val="single" w:sz="18" w:space="0" w:color="5F497A" w:themeColor="accent4" w:themeShade="BF"/>
              <w:bottom w:val="nil"/>
              <w:right w:val="nil"/>
            </w:tcBorders>
            <w:shd w:val="clear" w:color="auto" w:fill="auto"/>
            <w:vAlign w:val="bottom"/>
          </w:tcPr>
          <w:p w14:paraId="35493545" w14:textId="5DC9CF1D" w:rsidR="00DC5BE9" w:rsidRPr="003E2D55" w:rsidRDefault="00DC5BE9" w:rsidP="003E2D55">
            <w:pPr>
              <w:spacing w:before="40" w:after="20"/>
              <w:jc w:val="center"/>
              <w:rPr>
                <w:rFonts w:cs="Arial"/>
                <w:sz w:val="18"/>
                <w:szCs w:val="18"/>
              </w:rPr>
            </w:pPr>
            <w:r w:rsidRPr="003E2D55">
              <w:rPr>
                <w:rFonts w:cs="Arial"/>
                <w:sz w:val="18"/>
                <w:szCs w:val="18"/>
              </w:rPr>
              <w:t>0.99</w:t>
            </w:r>
          </w:p>
        </w:tc>
        <w:tc>
          <w:tcPr>
            <w:tcW w:w="907" w:type="dxa"/>
            <w:tcBorders>
              <w:top w:val="nil"/>
              <w:left w:val="nil"/>
              <w:bottom w:val="nil"/>
              <w:right w:val="nil"/>
            </w:tcBorders>
            <w:shd w:val="clear" w:color="auto" w:fill="auto"/>
            <w:vAlign w:val="bottom"/>
          </w:tcPr>
          <w:p w14:paraId="548D71E8" w14:textId="131222C3"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908" w:type="dxa"/>
            <w:tcBorders>
              <w:top w:val="nil"/>
              <w:left w:val="nil"/>
              <w:bottom w:val="nil"/>
              <w:right w:val="nil"/>
            </w:tcBorders>
            <w:vAlign w:val="bottom"/>
          </w:tcPr>
          <w:p w14:paraId="5157A2F4" w14:textId="6D397D04" w:rsidR="00DC5BE9" w:rsidRPr="003E2D55" w:rsidRDefault="00DC5BE9" w:rsidP="003E2D55">
            <w:pPr>
              <w:spacing w:before="40" w:after="20"/>
              <w:jc w:val="center"/>
              <w:rPr>
                <w:rFonts w:cs="Arial"/>
                <w:sz w:val="18"/>
                <w:szCs w:val="18"/>
              </w:rPr>
            </w:pPr>
            <w:r w:rsidRPr="003E2D55">
              <w:rPr>
                <w:rFonts w:cs="Arial"/>
                <w:sz w:val="18"/>
                <w:szCs w:val="18"/>
              </w:rPr>
              <w:t>0.00</w:t>
            </w:r>
          </w:p>
        </w:tc>
        <w:tc>
          <w:tcPr>
            <w:tcW w:w="170" w:type="dxa"/>
            <w:tcBorders>
              <w:top w:val="nil"/>
              <w:left w:val="nil"/>
              <w:bottom w:val="nil"/>
              <w:right w:val="nil"/>
            </w:tcBorders>
            <w:vAlign w:val="bottom"/>
          </w:tcPr>
          <w:p w14:paraId="2A134408" w14:textId="7555F8B3"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4025B522" w14:textId="17FC17E4" w:rsidR="00DC5BE9" w:rsidRPr="003E2D55" w:rsidRDefault="00DC5BE9" w:rsidP="003E2D55">
            <w:pPr>
              <w:spacing w:before="40" w:after="20"/>
              <w:jc w:val="center"/>
              <w:rPr>
                <w:rFonts w:cs="Arial"/>
                <w:sz w:val="18"/>
                <w:szCs w:val="18"/>
              </w:rPr>
            </w:pPr>
            <w:r w:rsidRPr="003E2D55">
              <w:rPr>
                <w:rFonts w:cs="Arial"/>
                <w:sz w:val="18"/>
                <w:szCs w:val="18"/>
              </w:rPr>
              <w:t>1.09</w:t>
            </w:r>
          </w:p>
        </w:tc>
        <w:tc>
          <w:tcPr>
            <w:tcW w:w="908" w:type="dxa"/>
            <w:tcBorders>
              <w:top w:val="nil"/>
              <w:left w:val="nil"/>
              <w:bottom w:val="nil"/>
              <w:right w:val="nil"/>
            </w:tcBorders>
            <w:shd w:val="clear" w:color="auto" w:fill="auto"/>
            <w:vAlign w:val="bottom"/>
          </w:tcPr>
          <w:p w14:paraId="01A2A51C" w14:textId="09C5C4FB" w:rsidR="00DC5BE9" w:rsidRPr="003E2D55" w:rsidRDefault="00DC5BE9" w:rsidP="003E2D55">
            <w:pPr>
              <w:spacing w:before="40" w:after="20"/>
              <w:jc w:val="center"/>
              <w:rPr>
                <w:rFonts w:cs="Arial"/>
                <w:sz w:val="18"/>
                <w:szCs w:val="18"/>
              </w:rPr>
            </w:pPr>
            <w:r w:rsidRPr="003E2D55">
              <w:rPr>
                <w:rFonts w:cs="Arial"/>
                <w:sz w:val="18"/>
                <w:szCs w:val="18"/>
              </w:rPr>
              <w:t>0.00</w:t>
            </w:r>
          </w:p>
        </w:tc>
        <w:tc>
          <w:tcPr>
            <w:tcW w:w="1021" w:type="dxa"/>
            <w:tcBorders>
              <w:top w:val="nil"/>
              <w:left w:val="nil"/>
              <w:bottom w:val="nil"/>
              <w:right w:val="nil"/>
            </w:tcBorders>
            <w:shd w:val="clear" w:color="auto" w:fill="auto"/>
            <w:vAlign w:val="bottom"/>
          </w:tcPr>
          <w:p w14:paraId="57A4C8C9" w14:textId="5BEC7439"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67B7A7E7" w14:textId="19339D88" w:rsidR="00DC5BE9" w:rsidRPr="003E2D55" w:rsidRDefault="00DC5BE9" w:rsidP="003E2D55">
            <w:pPr>
              <w:spacing w:before="40" w:after="20"/>
              <w:jc w:val="center"/>
              <w:rPr>
                <w:rFonts w:cs="Arial"/>
                <w:sz w:val="18"/>
                <w:szCs w:val="18"/>
              </w:rPr>
            </w:pPr>
            <w:r w:rsidRPr="003E2D55">
              <w:rPr>
                <w:rFonts w:cs="Arial"/>
                <w:sz w:val="18"/>
                <w:szCs w:val="18"/>
              </w:rPr>
              <w:t>14.4</w:t>
            </w:r>
          </w:p>
        </w:tc>
      </w:tr>
      <w:tr w:rsidR="00DC5BE9" w:rsidRPr="003E2D55" w14:paraId="2BEE14C8"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267AF38C" w14:textId="77777777" w:rsidR="00DC5BE9" w:rsidRPr="003E2D55" w:rsidRDefault="00DC5BE9" w:rsidP="003E2D55">
            <w:pPr>
              <w:spacing w:before="40" w:after="20"/>
              <w:rPr>
                <w:rFonts w:cs="Arial"/>
                <w:sz w:val="18"/>
                <w:szCs w:val="18"/>
              </w:rPr>
            </w:pPr>
            <w:r w:rsidRPr="003E2D55">
              <w:rPr>
                <w:rFonts w:cs="Arial"/>
                <w:sz w:val="18"/>
                <w:szCs w:val="18"/>
              </w:rPr>
              <w:t>Maroondah C</w:t>
            </w:r>
          </w:p>
        </w:tc>
        <w:tc>
          <w:tcPr>
            <w:tcW w:w="1021" w:type="dxa"/>
            <w:tcBorders>
              <w:top w:val="nil"/>
              <w:left w:val="single" w:sz="18" w:space="0" w:color="5F497A" w:themeColor="accent4" w:themeShade="BF"/>
              <w:bottom w:val="nil"/>
              <w:right w:val="nil"/>
            </w:tcBorders>
            <w:shd w:val="clear" w:color="auto" w:fill="auto"/>
            <w:vAlign w:val="bottom"/>
          </w:tcPr>
          <w:p w14:paraId="55DDFC3A" w14:textId="69DF9CB6" w:rsidR="00DC5BE9" w:rsidRPr="003E2D55" w:rsidRDefault="00DC5BE9" w:rsidP="003E2D55">
            <w:pPr>
              <w:spacing w:before="40" w:after="20"/>
              <w:jc w:val="center"/>
              <w:rPr>
                <w:rFonts w:cs="Arial"/>
                <w:sz w:val="18"/>
                <w:szCs w:val="18"/>
              </w:rPr>
            </w:pPr>
            <w:r w:rsidRPr="003E2D55">
              <w:rPr>
                <w:rFonts w:cs="Arial"/>
                <w:sz w:val="18"/>
                <w:szCs w:val="18"/>
              </w:rPr>
              <w:t>0.99</w:t>
            </w:r>
          </w:p>
        </w:tc>
        <w:tc>
          <w:tcPr>
            <w:tcW w:w="907" w:type="dxa"/>
            <w:tcBorders>
              <w:top w:val="nil"/>
              <w:left w:val="nil"/>
              <w:bottom w:val="nil"/>
              <w:right w:val="nil"/>
            </w:tcBorders>
            <w:shd w:val="clear" w:color="auto" w:fill="auto"/>
            <w:vAlign w:val="bottom"/>
          </w:tcPr>
          <w:p w14:paraId="40222A04" w14:textId="09F0D299" w:rsidR="00DC5BE9" w:rsidRPr="003E2D55" w:rsidRDefault="00DC5BE9" w:rsidP="003E2D55">
            <w:pPr>
              <w:spacing w:before="40" w:after="20"/>
              <w:jc w:val="center"/>
              <w:rPr>
                <w:rFonts w:cs="Arial"/>
                <w:sz w:val="18"/>
                <w:szCs w:val="18"/>
              </w:rPr>
            </w:pPr>
            <w:r w:rsidRPr="003E2D55">
              <w:rPr>
                <w:rFonts w:cs="Arial"/>
                <w:sz w:val="18"/>
                <w:szCs w:val="18"/>
              </w:rPr>
              <w:t>1.02</w:t>
            </w:r>
          </w:p>
        </w:tc>
        <w:tc>
          <w:tcPr>
            <w:tcW w:w="908" w:type="dxa"/>
            <w:tcBorders>
              <w:top w:val="nil"/>
              <w:left w:val="nil"/>
              <w:bottom w:val="nil"/>
              <w:right w:val="nil"/>
            </w:tcBorders>
            <w:vAlign w:val="bottom"/>
          </w:tcPr>
          <w:p w14:paraId="79B2B956" w14:textId="0AC5B071"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170" w:type="dxa"/>
            <w:tcBorders>
              <w:top w:val="nil"/>
              <w:left w:val="nil"/>
              <w:bottom w:val="nil"/>
              <w:right w:val="nil"/>
            </w:tcBorders>
            <w:vAlign w:val="bottom"/>
          </w:tcPr>
          <w:p w14:paraId="587D08EF" w14:textId="7E32DE57"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4FCC99DB" w14:textId="6804687A"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8" w:type="dxa"/>
            <w:tcBorders>
              <w:top w:val="nil"/>
              <w:left w:val="nil"/>
              <w:bottom w:val="nil"/>
              <w:right w:val="nil"/>
            </w:tcBorders>
            <w:shd w:val="clear" w:color="auto" w:fill="auto"/>
            <w:vAlign w:val="bottom"/>
          </w:tcPr>
          <w:p w14:paraId="77374903" w14:textId="1B46DA91"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1EF8EBDB" w14:textId="72DD8571"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4E7CFC76" w14:textId="375526C7" w:rsidR="00DC5BE9" w:rsidRPr="003E2D55" w:rsidRDefault="00DC5BE9" w:rsidP="003E2D55">
            <w:pPr>
              <w:spacing w:before="40" w:after="20"/>
              <w:jc w:val="center"/>
              <w:rPr>
                <w:rFonts w:cs="Arial"/>
                <w:sz w:val="18"/>
                <w:szCs w:val="18"/>
              </w:rPr>
            </w:pPr>
            <w:r w:rsidRPr="003E2D55">
              <w:rPr>
                <w:rFonts w:cs="Arial"/>
                <w:sz w:val="18"/>
                <w:szCs w:val="18"/>
              </w:rPr>
              <w:t>16.5</w:t>
            </w:r>
          </w:p>
        </w:tc>
      </w:tr>
      <w:tr w:rsidR="00DC5BE9" w:rsidRPr="003E2D55" w14:paraId="349CF115"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67A0154B" w14:textId="77777777" w:rsidR="00DC5BE9" w:rsidRPr="003E2D55" w:rsidRDefault="00DC5BE9" w:rsidP="003E2D55">
            <w:pPr>
              <w:spacing w:before="40" w:after="20"/>
              <w:rPr>
                <w:rFonts w:cs="Arial"/>
                <w:sz w:val="18"/>
                <w:szCs w:val="18"/>
              </w:rPr>
            </w:pPr>
            <w:r w:rsidRPr="003E2D55">
              <w:rPr>
                <w:rFonts w:cs="Arial"/>
                <w:sz w:val="18"/>
                <w:szCs w:val="18"/>
              </w:rPr>
              <w:t>Melbourne C</w:t>
            </w:r>
          </w:p>
        </w:tc>
        <w:tc>
          <w:tcPr>
            <w:tcW w:w="1021" w:type="dxa"/>
            <w:tcBorders>
              <w:top w:val="nil"/>
              <w:left w:val="single" w:sz="18" w:space="0" w:color="5F497A" w:themeColor="accent4" w:themeShade="BF"/>
              <w:bottom w:val="nil"/>
              <w:right w:val="nil"/>
            </w:tcBorders>
            <w:shd w:val="clear" w:color="auto" w:fill="auto"/>
            <w:vAlign w:val="bottom"/>
          </w:tcPr>
          <w:p w14:paraId="035DD9E2" w14:textId="11352C72" w:rsidR="00DC5BE9" w:rsidRPr="003E2D55" w:rsidRDefault="00DC5BE9" w:rsidP="003E2D55">
            <w:pPr>
              <w:spacing w:before="40" w:after="20"/>
              <w:jc w:val="center"/>
              <w:rPr>
                <w:rFonts w:cs="Arial"/>
                <w:sz w:val="18"/>
                <w:szCs w:val="18"/>
              </w:rPr>
            </w:pPr>
            <w:r w:rsidRPr="003E2D55">
              <w:rPr>
                <w:rFonts w:cs="Arial"/>
                <w:sz w:val="18"/>
                <w:szCs w:val="18"/>
              </w:rPr>
              <w:t>1.10</w:t>
            </w:r>
          </w:p>
        </w:tc>
        <w:tc>
          <w:tcPr>
            <w:tcW w:w="907" w:type="dxa"/>
            <w:tcBorders>
              <w:top w:val="nil"/>
              <w:left w:val="nil"/>
              <w:bottom w:val="nil"/>
              <w:right w:val="nil"/>
            </w:tcBorders>
            <w:shd w:val="clear" w:color="auto" w:fill="auto"/>
            <w:vAlign w:val="bottom"/>
          </w:tcPr>
          <w:p w14:paraId="427C5B57" w14:textId="791FEE2B" w:rsidR="00DC5BE9" w:rsidRPr="003E2D55" w:rsidRDefault="00DC5BE9" w:rsidP="003E2D55">
            <w:pPr>
              <w:spacing w:before="40" w:after="20"/>
              <w:jc w:val="center"/>
              <w:rPr>
                <w:rFonts w:cs="Arial"/>
                <w:sz w:val="18"/>
                <w:szCs w:val="18"/>
              </w:rPr>
            </w:pPr>
            <w:r w:rsidRPr="003E2D55">
              <w:rPr>
                <w:rFonts w:cs="Arial"/>
                <w:sz w:val="18"/>
                <w:szCs w:val="18"/>
              </w:rPr>
              <w:t>0.99</w:t>
            </w:r>
          </w:p>
        </w:tc>
        <w:tc>
          <w:tcPr>
            <w:tcW w:w="908" w:type="dxa"/>
            <w:tcBorders>
              <w:top w:val="nil"/>
              <w:left w:val="nil"/>
              <w:bottom w:val="nil"/>
              <w:right w:val="nil"/>
            </w:tcBorders>
            <w:vAlign w:val="bottom"/>
          </w:tcPr>
          <w:p w14:paraId="37C8E0D6" w14:textId="131AD7C8" w:rsidR="00DC5BE9" w:rsidRPr="003E2D55" w:rsidRDefault="00DC5BE9" w:rsidP="003E2D55">
            <w:pPr>
              <w:spacing w:before="40" w:after="20"/>
              <w:jc w:val="center"/>
              <w:rPr>
                <w:rFonts w:cs="Arial"/>
                <w:sz w:val="18"/>
                <w:szCs w:val="18"/>
              </w:rPr>
            </w:pPr>
            <w:r w:rsidRPr="003E2D55">
              <w:rPr>
                <w:rFonts w:cs="Arial"/>
                <w:sz w:val="18"/>
                <w:szCs w:val="18"/>
              </w:rPr>
              <w:t>0.00</w:t>
            </w:r>
          </w:p>
        </w:tc>
        <w:tc>
          <w:tcPr>
            <w:tcW w:w="170" w:type="dxa"/>
            <w:tcBorders>
              <w:top w:val="nil"/>
              <w:left w:val="nil"/>
              <w:bottom w:val="nil"/>
              <w:right w:val="nil"/>
            </w:tcBorders>
            <w:vAlign w:val="bottom"/>
          </w:tcPr>
          <w:p w14:paraId="30664F7B" w14:textId="00889E6E"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6003DE13" w14:textId="783139F3" w:rsidR="00DC5BE9" w:rsidRPr="003E2D55" w:rsidRDefault="00DC5BE9" w:rsidP="003E2D55">
            <w:pPr>
              <w:spacing w:before="40" w:after="20"/>
              <w:jc w:val="center"/>
              <w:rPr>
                <w:rFonts w:cs="Arial"/>
                <w:sz w:val="18"/>
                <w:szCs w:val="18"/>
              </w:rPr>
            </w:pPr>
            <w:r w:rsidRPr="003E2D55">
              <w:rPr>
                <w:rFonts w:cs="Arial"/>
                <w:sz w:val="18"/>
                <w:szCs w:val="18"/>
              </w:rPr>
              <w:t>1.01</w:t>
            </w:r>
          </w:p>
        </w:tc>
        <w:tc>
          <w:tcPr>
            <w:tcW w:w="908" w:type="dxa"/>
            <w:tcBorders>
              <w:top w:val="nil"/>
              <w:left w:val="nil"/>
              <w:bottom w:val="nil"/>
              <w:right w:val="nil"/>
            </w:tcBorders>
            <w:shd w:val="clear" w:color="auto" w:fill="auto"/>
            <w:vAlign w:val="bottom"/>
          </w:tcPr>
          <w:p w14:paraId="0F6B682E" w14:textId="10163196" w:rsidR="00DC5BE9" w:rsidRPr="003E2D55" w:rsidRDefault="00DC5BE9" w:rsidP="003E2D55">
            <w:pPr>
              <w:spacing w:before="40" w:after="20"/>
              <w:jc w:val="center"/>
              <w:rPr>
                <w:rFonts w:cs="Arial"/>
                <w:sz w:val="18"/>
                <w:szCs w:val="18"/>
              </w:rPr>
            </w:pPr>
            <w:r w:rsidRPr="003E2D55">
              <w:rPr>
                <w:rFonts w:cs="Arial"/>
                <w:sz w:val="18"/>
                <w:szCs w:val="18"/>
              </w:rPr>
              <w:t>0.00</w:t>
            </w:r>
          </w:p>
        </w:tc>
        <w:tc>
          <w:tcPr>
            <w:tcW w:w="1021" w:type="dxa"/>
            <w:tcBorders>
              <w:top w:val="nil"/>
              <w:left w:val="nil"/>
              <w:bottom w:val="nil"/>
              <w:right w:val="nil"/>
            </w:tcBorders>
            <w:shd w:val="clear" w:color="auto" w:fill="auto"/>
            <w:vAlign w:val="bottom"/>
          </w:tcPr>
          <w:p w14:paraId="2688680E" w14:textId="443D96E0"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5A0CB587" w14:textId="09D1E83E" w:rsidR="00DC5BE9" w:rsidRPr="003E2D55" w:rsidRDefault="00DC5BE9" w:rsidP="003E2D55">
            <w:pPr>
              <w:spacing w:before="40" w:after="20"/>
              <w:jc w:val="center"/>
              <w:rPr>
                <w:rFonts w:cs="Arial"/>
                <w:sz w:val="18"/>
                <w:szCs w:val="18"/>
              </w:rPr>
            </w:pPr>
            <w:r w:rsidRPr="003E2D55">
              <w:rPr>
                <w:rFonts w:cs="Arial"/>
                <w:sz w:val="18"/>
                <w:szCs w:val="18"/>
              </w:rPr>
              <w:t>15.5</w:t>
            </w:r>
          </w:p>
        </w:tc>
      </w:tr>
      <w:tr w:rsidR="00DC5BE9" w:rsidRPr="003E2D55" w14:paraId="65F8D098"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D981D5" w14:textId="77777777" w:rsidR="00DC5BE9" w:rsidRPr="003E2D55" w:rsidRDefault="00DC5BE9" w:rsidP="003E2D55">
            <w:pPr>
              <w:spacing w:before="40" w:after="20"/>
              <w:rPr>
                <w:rFonts w:cs="Arial"/>
                <w:sz w:val="18"/>
                <w:szCs w:val="18"/>
              </w:rPr>
            </w:pPr>
            <w:r w:rsidRPr="003E2D55">
              <w:rPr>
                <w:rFonts w:cs="Arial"/>
                <w:sz w:val="18"/>
                <w:szCs w:val="18"/>
              </w:rPr>
              <w:t>Melton C</w:t>
            </w:r>
          </w:p>
        </w:tc>
        <w:tc>
          <w:tcPr>
            <w:tcW w:w="1021" w:type="dxa"/>
            <w:tcBorders>
              <w:top w:val="nil"/>
              <w:left w:val="single" w:sz="18" w:space="0" w:color="5F497A" w:themeColor="accent4" w:themeShade="BF"/>
              <w:bottom w:val="nil"/>
              <w:right w:val="nil"/>
            </w:tcBorders>
            <w:shd w:val="clear" w:color="auto" w:fill="auto"/>
            <w:vAlign w:val="bottom"/>
          </w:tcPr>
          <w:p w14:paraId="4A567BA1" w14:textId="09D6CA4B"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907" w:type="dxa"/>
            <w:tcBorders>
              <w:top w:val="nil"/>
              <w:left w:val="nil"/>
              <w:bottom w:val="nil"/>
              <w:right w:val="nil"/>
            </w:tcBorders>
            <w:shd w:val="clear" w:color="auto" w:fill="auto"/>
            <w:vAlign w:val="bottom"/>
          </w:tcPr>
          <w:p w14:paraId="72D1B29E" w14:textId="03ABB019"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908" w:type="dxa"/>
            <w:tcBorders>
              <w:top w:val="nil"/>
              <w:left w:val="nil"/>
              <w:bottom w:val="nil"/>
              <w:right w:val="nil"/>
            </w:tcBorders>
            <w:vAlign w:val="bottom"/>
          </w:tcPr>
          <w:p w14:paraId="71BE3D26" w14:textId="53D8F8B7" w:rsidR="00DC5BE9" w:rsidRPr="003E2D55" w:rsidRDefault="00DC5BE9" w:rsidP="003E2D55">
            <w:pPr>
              <w:spacing w:before="40" w:after="20"/>
              <w:jc w:val="center"/>
              <w:rPr>
                <w:rFonts w:cs="Arial"/>
                <w:sz w:val="18"/>
                <w:szCs w:val="18"/>
              </w:rPr>
            </w:pPr>
            <w:r w:rsidRPr="003E2D55">
              <w:rPr>
                <w:rFonts w:cs="Arial"/>
                <w:sz w:val="18"/>
                <w:szCs w:val="18"/>
              </w:rPr>
              <w:t>0.84</w:t>
            </w:r>
          </w:p>
        </w:tc>
        <w:tc>
          <w:tcPr>
            <w:tcW w:w="170" w:type="dxa"/>
            <w:tcBorders>
              <w:top w:val="nil"/>
              <w:left w:val="nil"/>
              <w:bottom w:val="nil"/>
              <w:right w:val="nil"/>
            </w:tcBorders>
            <w:vAlign w:val="bottom"/>
          </w:tcPr>
          <w:p w14:paraId="2A3CCE6C" w14:textId="143287F4"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79C7C332" w14:textId="7E47E37A" w:rsidR="00DC5BE9" w:rsidRPr="003E2D55" w:rsidRDefault="00DC5BE9" w:rsidP="003E2D55">
            <w:pPr>
              <w:spacing w:before="40" w:after="20"/>
              <w:jc w:val="center"/>
              <w:rPr>
                <w:rFonts w:cs="Arial"/>
                <w:sz w:val="18"/>
                <w:szCs w:val="18"/>
              </w:rPr>
            </w:pPr>
            <w:r w:rsidRPr="003E2D55">
              <w:rPr>
                <w:rFonts w:cs="Arial"/>
                <w:sz w:val="18"/>
                <w:szCs w:val="18"/>
              </w:rPr>
              <w:t>1.10</w:t>
            </w:r>
          </w:p>
        </w:tc>
        <w:tc>
          <w:tcPr>
            <w:tcW w:w="908" w:type="dxa"/>
            <w:tcBorders>
              <w:top w:val="nil"/>
              <w:left w:val="nil"/>
              <w:bottom w:val="nil"/>
              <w:right w:val="nil"/>
            </w:tcBorders>
            <w:shd w:val="clear" w:color="auto" w:fill="auto"/>
            <w:vAlign w:val="bottom"/>
          </w:tcPr>
          <w:p w14:paraId="7F985DAE" w14:textId="2DBDE5E1" w:rsidR="00DC5BE9" w:rsidRPr="003E2D55" w:rsidRDefault="00DC5BE9" w:rsidP="003E2D55">
            <w:pPr>
              <w:spacing w:before="40" w:after="20"/>
              <w:jc w:val="center"/>
              <w:rPr>
                <w:rFonts w:cs="Arial"/>
                <w:sz w:val="18"/>
                <w:szCs w:val="18"/>
              </w:rPr>
            </w:pPr>
            <w:r w:rsidRPr="003E2D55">
              <w:rPr>
                <w:rFonts w:cs="Arial"/>
                <w:sz w:val="18"/>
                <w:szCs w:val="18"/>
              </w:rPr>
              <w:t>1.09</w:t>
            </w:r>
          </w:p>
        </w:tc>
        <w:tc>
          <w:tcPr>
            <w:tcW w:w="1021" w:type="dxa"/>
            <w:tcBorders>
              <w:top w:val="nil"/>
              <w:left w:val="nil"/>
              <w:bottom w:val="nil"/>
              <w:right w:val="nil"/>
            </w:tcBorders>
            <w:shd w:val="clear" w:color="auto" w:fill="auto"/>
            <w:vAlign w:val="bottom"/>
          </w:tcPr>
          <w:p w14:paraId="134EDA9E" w14:textId="5A9B2680"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5325A35C" w14:textId="0D20D020" w:rsidR="00DC5BE9" w:rsidRPr="003E2D55" w:rsidRDefault="00DC5BE9" w:rsidP="003E2D55">
            <w:pPr>
              <w:spacing w:before="40" w:after="20"/>
              <w:jc w:val="center"/>
              <w:rPr>
                <w:rFonts w:cs="Arial"/>
                <w:sz w:val="18"/>
                <w:szCs w:val="18"/>
              </w:rPr>
            </w:pPr>
            <w:r w:rsidRPr="003E2D55">
              <w:rPr>
                <w:rFonts w:cs="Arial"/>
                <w:sz w:val="18"/>
                <w:szCs w:val="18"/>
              </w:rPr>
              <w:t>17.1</w:t>
            </w:r>
          </w:p>
        </w:tc>
      </w:tr>
      <w:tr w:rsidR="00DC5BE9" w:rsidRPr="003E2D55" w14:paraId="22CA8F87"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15673EB3" w14:textId="77777777" w:rsidR="00DC5BE9" w:rsidRPr="003E2D55" w:rsidRDefault="00DC5BE9" w:rsidP="003E2D55">
            <w:pPr>
              <w:spacing w:before="40" w:after="20"/>
              <w:rPr>
                <w:rFonts w:cs="Arial"/>
                <w:sz w:val="18"/>
                <w:szCs w:val="18"/>
              </w:rPr>
            </w:pPr>
            <w:r w:rsidRPr="003E2D55">
              <w:rPr>
                <w:rFonts w:cs="Arial"/>
                <w:sz w:val="18"/>
                <w:szCs w:val="18"/>
              </w:rPr>
              <w:t>Mildura RC</w:t>
            </w:r>
          </w:p>
        </w:tc>
        <w:tc>
          <w:tcPr>
            <w:tcW w:w="1021" w:type="dxa"/>
            <w:tcBorders>
              <w:top w:val="nil"/>
              <w:left w:val="single" w:sz="18" w:space="0" w:color="5F497A" w:themeColor="accent4" w:themeShade="BF"/>
              <w:bottom w:val="nil"/>
              <w:right w:val="nil"/>
            </w:tcBorders>
            <w:shd w:val="clear" w:color="auto" w:fill="auto"/>
            <w:vAlign w:val="bottom"/>
          </w:tcPr>
          <w:p w14:paraId="34DD0696" w14:textId="00EFF1B0" w:rsidR="00DC5BE9" w:rsidRPr="003E2D55" w:rsidRDefault="00DC5BE9" w:rsidP="003E2D55">
            <w:pPr>
              <w:spacing w:before="40" w:after="20"/>
              <w:jc w:val="center"/>
              <w:rPr>
                <w:rFonts w:cs="Arial"/>
                <w:sz w:val="18"/>
                <w:szCs w:val="18"/>
              </w:rPr>
            </w:pPr>
            <w:r w:rsidRPr="003E2D55">
              <w:rPr>
                <w:rFonts w:cs="Arial"/>
                <w:sz w:val="18"/>
                <w:szCs w:val="18"/>
              </w:rPr>
              <w:t>1.00</w:t>
            </w:r>
          </w:p>
        </w:tc>
        <w:tc>
          <w:tcPr>
            <w:tcW w:w="907" w:type="dxa"/>
            <w:tcBorders>
              <w:top w:val="nil"/>
              <w:left w:val="nil"/>
              <w:bottom w:val="nil"/>
              <w:right w:val="nil"/>
            </w:tcBorders>
            <w:shd w:val="clear" w:color="auto" w:fill="auto"/>
            <w:vAlign w:val="bottom"/>
          </w:tcPr>
          <w:p w14:paraId="1E526CC1" w14:textId="74C55BF0"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908" w:type="dxa"/>
            <w:tcBorders>
              <w:top w:val="nil"/>
              <w:left w:val="nil"/>
              <w:bottom w:val="nil"/>
              <w:right w:val="nil"/>
            </w:tcBorders>
            <w:vAlign w:val="bottom"/>
          </w:tcPr>
          <w:p w14:paraId="5B22EDCC" w14:textId="072A9DC5" w:rsidR="00DC5BE9" w:rsidRPr="003E2D55" w:rsidRDefault="00DC5BE9" w:rsidP="003E2D55">
            <w:pPr>
              <w:spacing w:before="40" w:after="20"/>
              <w:jc w:val="center"/>
              <w:rPr>
                <w:rFonts w:cs="Arial"/>
                <w:sz w:val="18"/>
                <w:szCs w:val="18"/>
              </w:rPr>
            </w:pPr>
            <w:r w:rsidRPr="003E2D55">
              <w:rPr>
                <w:rFonts w:cs="Arial"/>
                <w:sz w:val="18"/>
                <w:szCs w:val="18"/>
              </w:rPr>
              <w:t>0.75</w:t>
            </w:r>
          </w:p>
        </w:tc>
        <w:tc>
          <w:tcPr>
            <w:tcW w:w="170" w:type="dxa"/>
            <w:tcBorders>
              <w:top w:val="nil"/>
              <w:left w:val="nil"/>
              <w:bottom w:val="nil"/>
              <w:right w:val="nil"/>
            </w:tcBorders>
            <w:vAlign w:val="bottom"/>
          </w:tcPr>
          <w:p w14:paraId="66098219" w14:textId="719652A3"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15D0F4DE" w14:textId="3FEFBD42" w:rsidR="00DC5BE9" w:rsidRPr="003E2D55" w:rsidRDefault="00DC5BE9" w:rsidP="003E2D55">
            <w:pPr>
              <w:spacing w:before="40" w:after="20"/>
              <w:jc w:val="center"/>
              <w:rPr>
                <w:rFonts w:cs="Arial"/>
                <w:sz w:val="18"/>
                <w:szCs w:val="18"/>
              </w:rPr>
            </w:pPr>
            <w:r w:rsidRPr="003E2D55">
              <w:rPr>
                <w:rFonts w:cs="Arial"/>
                <w:sz w:val="18"/>
                <w:szCs w:val="18"/>
              </w:rPr>
              <w:t>1.06</w:t>
            </w:r>
          </w:p>
        </w:tc>
        <w:tc>
          <w:tcPr>
            <w:tcW w:w="908" w:type="dxa"/>
            <w:tcBorders>
              <w:top w:val="nil"/>
              <w:left w:val="nil"/>
              <w:bottom w:val="nil"/>
              <w:right w:val="nil"/>
            </w:tcBorders>
            <w:shd w:val="clear" w:color="auto" w:fill="auto"/>
            <w:vAlign w:val="bottom"/>
          </w:tcPr>
          <w:p w14:paraId="0C4E9ED3" w14:textId="069A791A" w:rsidR="00DC5BE9" w:rsidRPr="003E2D55" w:rsidRDefault="00DC5BE9" w:rsidP="003E2D55">
            <w:pPr>
              <w:spacing w:before="40" w:after="20"/>
              <w:jc w:val="center"/>
              <w:rPr>
                <w:rFonts w:cs="Arial"/>
                <w:sz w:val="18"/>
                <w:szCs w:val="18"/>
              </w:rPr>
            </w:pPr>
            <w:r w:rsidRPr="003E2D55">
              <w:rPr>
                <w:rFonts w:cs="Arial"/>
                <w:sz w:val="18"/>
                <w:szCs w:val="18"/>
              </w:rPr>
              <w:t>1.06</w:t>
            </w:r>
          </w:p>
        </w:tc>
        <w:tc>
          <w:tcPr>
            <w:tcW w:w="1021" w:type="dxa"/>
            <w:tcBorders>
              <w:top w:val="nil"/>
              <w:left w:val="nil"/>
              <w:bottom w:val="nil"/>
              <w:right w:val="nil"/>
            </w:tcBorders>
            <w:shd w:val="clear" w:color="auto" w:fill="auto"/>
            <w:vAlign w:val="bottom"/>
          </w:tcPr>
          <w:p w14:paraId="3F2FC4A4" w14:textId="69A759EB" w:rsidR="00DC5BE9" w:rsidRPr="003E2D55" w:rsidRDefault="00DC5BE9" w:rsidP="003E2D55">
            <w:pPr>
              <w:spacing w:before="40" w:after="20"/>
              <w:jc w:val="center"/>
              <w:rPr>
                <w:rFonts w:cs="Arial"/>
                <w:sz w:val="18"/>
                <w:szCs w:val="18"/>
              </w:rPr>
            </w:pPr>
            <w:r w:rsidRPr="003E2D55">
              <w:rPr>
                <w:rFonts w:cs="Arial"/>
                <w:sz w:val="18"/>
                <w:szCs w:val="18"/>
              </w:rPr>
              <w:t>1.05</w:t>
            </w:r>
          </w:p>
        </w:tc>
        <w:tc>
          <w:tcPr>
            <w:tcW w:w="1021" w:type="dxa"/>
            <w:tcBorders>
              <w:top w:val="nil"/>
              <w:left w:val="nil"/>
              <w:bottom w:val="nil"/>
              <w:right w:val="nil"/>
            </w:tcBorders>
            <w:shd w:val="clear" w:color="auto" w:fill="auto"/>
            <w:vAlign w:val="bottom"/>
          </w:tcPr>
          <w:p w14:paraId="2697A611" w14:textId="54318B13" w:rsidR="00DC5BE9" w:rsidRPr="003E2D55" w:rsidRDefault="00DC5BE9" w:rsidP="003E2D55">
            <w:pPr>
              <w:spacing w:before="40" w:after="20"/>
              <w:jc w:val="center"/>
              <w:rPr>
                <w:rFonts w:cs="Arial"/>
                <w:sz w:val="18"/>
                <w:szCs w:val="18"/>
              </w:rPr>
            </w:pPr>
            <w:r w:rsidRPr="003E2D55">
              <w:rPr>
                <w:rFonts w:cs="Arial"/>
                <w:sz w:val="18"/>
                <w:szCs w:val="18"/>
              </w:rPr>
              <w:t>21.3</w:t>
            </w:r>
          </w:p>
        </w:tc>
      </w:tr>
      <w:tr w:rsidR="00DC5BE9" w:rsidRPr="003E2D55" w14:paraId="36589A7D"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4FF0EE1B" w14:textId="77777777" w:rsidR="00DC5BE9" w:rsidRPr="003E2D55" w:rsidRDefault="00DC5BE9" w:rsidP="003E2D55">
            <w:pPr>
              <w:spacing w:before="40" w:after="20"/>
              <w:rPr>
                <w:rFonts w:cs="Arial"/>
                <w:sz w:val="18"/>
                <w:szCs w:val="18"/>
              </w:rPr>
            </w:pPr>
            <w:r w:rsidRPr="003E2D55">
              <w:rPr>
                <w:rFonts w:cs="Arial"/>
                <w:sz w:val="18"/>
                <w:szCs w:val="18"/>
              </w:rPr>
              <w:t>Mitchell S</w:t>
            </w:r>
          </w:p>
        </w:tc>
        <w:tc>
          <w:tcPr>
            <w:tcW w:w="1021" w:type="dxa"/>
            <w:tcBorders>
              <w:top w:val="nil"/>
              <w:left w:val="single" w:sz="18" w:space="0" w:color="5F497A" w:themeColor="accent4" w:themeShade="BF"/>
              <w:bottom w:val="nil"/>
              <w:right w:val="nil"/>
            </w:tcBorders>
            <w:shd w:val="clear" w:color="auto" w:fill="auto"/>
            <w:vAlign w:val="bottom"/>
          </w:tcPr>
          <w:p w14:paraId="68EB6742" w14:textId="76C956B5"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29E54CEF" w14:textId="00F6E610" w:rsidR="00DC5BE9" w:rsidRPr="003E2D55" w:rsidRDefault="00DC5BE9" w:rsidP="003E2D55">
            <w:pPr>
              <w:spacing w:before="40" w:after="20"/>
              <w:jc w:val="center"/>
              <w:rPr>
                <w:rFonts w:cs="Arial"/>
                <w:sz w:val="18"/>
                <w:szCs w:val="18"/>
              </w:rPr>
            </w:pPr>
            <w:r w:rsidRPr="003E2D55">
              <w:rPr>
                <w:rFonts w:cs="Arial"/>
                <w:sz w:val="18"/>
                <w:szCs w:val="18"/>
              </w:rPr>
              <w:t>1.00</w:t>
            </w:r>
          </w:p>
        </w:tc>
        <w:tc>
          <w:tcPr>
            <w:tcW w:w="908" w:type="dxa"/>
            <w:tcBorders>
              <w:top w:val="nil"/>
              <w:left w:val="nil"/>
              <w:bottom w:val="nil"/>
              <w:right w:val="nil"/>
            </w:tcBorders>
            <w:vAlign w:val="bottom"/>
          </w:tcPr>
          <w:p w14:paraId="5CC52D43" w14:textId="4E82CF9E" w:rsidR="00DC5BE9" w:rsidRPr="003E2D55" w:rsidRDefault="00DC5BE9" w:rsidP="003E2D55">
            <w:pPr>
              <w:spacing w:before="40" w:after="20"/>
              <w:jc w:val="center"/>
              <w:rPr>
                <w:rFonts w:cs="Arial"/>
                <w:sz w:val="18"/>
                <w:szCs w:val="18"/>
              </w:rPr>
            </w:pPr>
            <w:r w:rsidRPr="003E2D55">
              <w:rPr>
                <w:rFonts w:cs="Arial"/>
                <w:sz w:val="18"/>
                <w:szCs w:val="18"/>
              </w:rPr>
              <w:t>0.92</w:t>
            </w:r>
          </w:p>
        </w:tc>
        <w:tc>
          <w:tcPr>
            <w:tcW w:w="170" w:type="dxa"/>
            <w:tcBorders>
              <w:top w:val="nil"/>
              <w:left w:val="nil"/>
              <w:bottom w:val="nil"/>
              <w:right w:val="nil"/>
            </w:tcBorders>
            <w:vAlign w:val="bottom"/>
          </w:tcPr>
          <w:p w14:paraId="13664546" w14:textId="2EED28FF"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557C516A" w14:textId="28B12D7B" w:rsidR="00DC5BE9" w:rsidRPr="003E2D55" w:rsidRDefault="00DC5BE9" w:rsidP="003E2D55">
            <w:pPr>
              <w:spacing w:before="40" w:after="20"/>
              <w:jc w:val="center"/>
              <w:rPr>
                <w:rFonts w:cs="Arial"/>
                <w:sz w:val="18"/>
                <w:szCs w:val="18"/>
              </w:rPr>
            </w:pPr>
            <w:r w:rsidRPr="003E2D55">
              <w:rPr>
                <w:rFonts w:cs="Arial"/>
                <w:sz w:val="18"/>
                <w:szCs w:val="18"/>
              </w:rPr>
              <w:t>0.99</w:t>
            </w:r>
          </w:p>
        </w:tc>
        <w:tc>
          <w:tcPr>
            <w:tcW w:w="908" w:type="dxa"/>
            <w:tcBorders>
              <w:top w:val="nil"/>
              <w:left w:val="nil"/>
              <w:bottom w:val="nil"/>
              <w:right w:val="nil"/>
            </w:tcBorders>
            <w:shd w:val="clear" w:color="auto" w:fill="auto"/>
            <w:vAlign w:val="bottom"/>
          </w:tcPr>
          <w:p w14:paraId="1D4C382F" w14:textId="6BA66454"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1021" w:type="dxa"/>
            <w:tcBorders>
              <w:top w:val="nil"/>
              <w:left w:val="nil"/>
              <w:bottom w:val="nil"/>
              <w:right w:val="nil"/>
            </w:tcBorders>
            <w:shd w:val="clear" w:color="auto" w:fill="auto"/>
            <w:vAlign w:val="bottom"/>
          </w:tcPr>
          <w:p w14:paraId="10143367" w14:textId="35A12FAA"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72049F1A" w14:textId="03AE4FBF" w:rsidR="00DC5BE9" w:rsidRPr="003E2D55" w:rsidRDefault="00DC5BE9" w:rsidP="003E2D55">
            <w:pPr>
              <w:spacing w:before="40" w:after="20"/>
              <w:jc w:val="center"/>
              <w:rPr>
                <w:rFonts w:cs="Arial"/>
                <w:sz w:val="18"/>
                <w:szCs w:val="18"/>
              </w:rPr>
            </w:pPr>
            <w:r w:rsidRPr="003E2D55">
              <w:rPr>
                <w:rFonts w:cs="Arial"/>
                <w:sz w:val="18"/>
                <w:szCs w:val="18"/>
              </w:rPr>
              <w:t>29.1</w:t>
            </w:r>
          </w:p>
        </w:tc>
      </w:tr>
      <w:tr w:rsidR="00DC5BE9" w:rsidRPr="003E2D55" w14:paraId="4205095E"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002B7293" w14:textId="77777777" w:rsidR="00DC5BE9" w:rsidRPr="003E2D55" w:rsidRDefault="00DC5BE9" w:rsidP="003E2D55">
            <w:pPr>
              <w:spacing w:before="40" w:after="20"/>
              <w:rPr>
                <w:rFonts w:cs="Arial"/>
                <w:sz w:val="18"/>
                <w:szCs w:val="18"/>
              </w:rPr>
            </w:pPr>
            <w:r w:rsidRPr="003E2D55">
              <w:rPr>
                <w:rFonts w:cs="Arial"/>
                <w:sz w:val="18"/>
                <w:szCs w:val="18"/>
              </w:rPr>
              <w:t>Moira S</w:t>
            </w:r>
          </w:p>
        </w:tc>
        <w:tc>
          <w:tcPr>
            <w:tcW w:w="1021" w:type="dxa"/>
            <w:tcBorders>
              <w:top w:val="nil"/>
              <w:left w:val="single" w:sz="18" w:space="0" w:color="5F497A" w:themeColor="accent4" w:themeShade="BF"/>
              <w:bottom w:val="nil"/>
              <w:right w:val="nil"/>
            </w:tcBorders>
            <w:shd w:val="clear" w:color="auto" w:fill="auto"/>
            <w:vAlign w:val="bottom"/>
          </w:tcPr>
          <w:p w14:paraId="1DD7179E" w14:textId="0F5D9029" w:rsidR="00DC5BE9" w:rsidRPr="003E2D55" w:rsidRDefault="00DC5BE9" w:rsidP="003E2D55">
            <w:pPr>
              <w:spacing w:before="40" w:after="20"/>
              <w:jc w:val="center"/>
              <w:rPr>
                <w:rFonts w:cs="Arial"/>
                <w:sz w:val="18"/>
                <w:szCs w:val="18"/>
              </w:rPr>
            </w:pPr>
            <w:r w:rsidRPr="003E2D55">
              <w:rPr>
                <w:rFonts w:cs="Arial"/>
                <w:sz w:val="18"/>
                <w:szCs w:val="18"/>
              </w:rPr>
              <w:t>1.03</w:t>
            </w:r>
          </w:p>
        </w:tc>
        <w:tc>
          <w:tcPr>
            <w:tcW w:w="907" w:type="dxa"/>
            <w:tcBorders>
              <w:top w:val="nil"/>
              <w:left w:val="nil"/>
              <w:bottom w:val="nil"/>
              <w:right w:val="nil"/>
            </w:tcBorders>
            <w:shd w:val="clear" w:color="auto" w:fill="auto"/>
            <w:vAlign w:val="bottom"/>
          </w:tcPr>
          <w:p w14:paraId="5FB1D44D" w14:textId="50A157FE"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908" w:type="dxa"/>
            <w:tcBorders>
              <w:top w:val="nil"/>
              <w:left w:val="nil"/>
              <w:bottom w:val="nil"/>
              <w:right w:val="nil"/>
            </w:tcBorders>
            <w:vAlign w:val="bottom"/>
          </w:tcPr>
          <w:p w14:paraId="442A7646" w14:textId="6308DA9D" w:rsidR="00DC5BE9" w:rsidRPr="003E2D55" w:rsidRDefault="00DC5BE9" w:rsidP="003E2D55">
            <w:pPr>
              <w:spacing w:before="40" w:after="20"/>
              <w:jc w:val="center"/>
              <w:rPr>
                <w:rFonts w:cs="Arial"/>
                <w:sz w:val="18"/>
                <w:szCs w:val="18"/>
              </w:rPr>
            </w:pPr>
            <w:r w:rsidRPr="003E2D55">
              <w:rPr>
                <w:rFonts w:cs="Arial"/>
                <w:sz w:val="18"/>
                <w:szCs w:val="18"/>
              </w:rPr>
              <w:t>0.79</w:t>
            </w:r>
          </w:p>
        </w:tc>
        <w:tc>
          <w:tcPr>
            <w:tcW w:w="170" w:type="dxa"/>
            <w:tcBorders>
              <w:top w:val="nil"/>
              <w:left w:val="nil"/>
              <w:bottom w:val="nil"/>
              <w:right w:val="nil"/>
            </w:tcBorders>
            <w:vAlign w:val="bottom"/>
          </w:tcPr>
          <w:p w14:paraId="2C082F47" w14:textId="5B4A7E8D"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510A7415" w14:textId="22C4E75A" w:rsidR="00DC5BE9" w:rsidRPr="003E2D55" w:rsidRDefault="00DC5BE9" w:rsidP="003E2D55">
            <w:pPr>
              <w:spacing w:before="40" w:after="20"/>
              <w:jc w:val="center"/>
              <w:rPr>
                <w:rFonts w:cs="Arial"/>
                <w:sz w:val="18"/>
                <w:szCs w:val="18"/>
              </w:rPr>
            </w:pPr>
            <w:r w:rsidRPr="003E2D55">
              <w:rPr>
                <w:rFonts w:cs="Arial"/>
                <w:sz w:val="18"/>
                <w:szCs w:val="18"/>
              </w:rPr>
              <w:t>1.06</w:t>
            </w:r>
          </w:p>
        </w:tc>
        <w:tc>
          <w:tcPr>
            <w:tcW w:w="908" w:type="dxa"/>
            <w:tcBorders>
              <w:top w:val="nil"/>
              <w:left w:val="nil"/>
              <w:bottom w:val="nil"/>
              <w:right w:val="nil"/>
            </w:tcBorders>
            <w:shd w:val="clear" w:color="auto" w:fill="auto"/>
            <w:vAlign w:val="bottom"/>
          </w:tcPr>
          <w:p w14:paraId="191439CD" w14:textId="5EFD0910" w:rsidR="00DC5BE9" w:rsidRPr="003E2D55" w:rsidRDefault="00DC5BE9" w:rsidP="003E2D55">
            <w:pPr>
              <w:spacing w:before="40" w:after="20"/>
              <w:jc w:val="center"/>
              <w:rPr>
                <w:rFonts w:cs="Arial"/>
                <w:sz w:val="18"/>
                <w:szCs w:val="18"/>
              </w:rPr>
            </w:pPr>
            <w:r w:rsidRPr="003E2D55">
              <w:rPr>
                <w:rFonts w:cs="Arial"/>
                <w:sz w:val="18"/>
                <w:szCs w:val="18"/>
              </w:rPr>
              <w:t>1.06</w:t>
            </w:r>
          </w:p>
        </w:tc>
        <w:tc>
          <w:tcPr>
            <w:tcW w:w="1021" w:type="dxa"/>
            <w:tcBorders>
              <w:top w:val="nil"/>
              <w:left w:val="nil"/>
              <w:bottom w:val="nil"/>
              <w:right w:val="nil"/>
            </w:tcBorders>
            <w:shd w:val="clear" w:color="auto" w:fill="auto"/>
            <w:vAlign w:val="bottom"/>
          </w:tcPr>
          <w:p w14:paraId="37FA1DBA" w14:textId="51012DD1"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1021" w:type="dxa"/>
            <w:tcBorders>
              <w:top w:val="nil"/>
              <w:left w:val="nil"/>
              <w:bottom w:val="nil"/>
              <w:right w:val="nil"/>
            </w:tcBorders>
            <w:shd w:val="clear" w:color="auto" w:fill="auto"/>
            <w:vAlign w:val="bottom"/>
          </w:tcPr>
          <w:p w14:paraId="11534183" w14:textId="35479D31" w:rsidR="00DC5BE9" w:rsidRPr="003E2D55" w:rsidRDefault="00DC5BE9" w:rsidP="003E2D55">
            <w:pPr>
              <w:spacing w:before="40" w:after="20"/>
              <w:jc w:val="center"/>
              <w:rPr>
                <w:rFonts w:cs="Arial"/>
                <w:sz w:val="18"/>
                <w:szCs w:val="18"/>
              </w:rPr>
            </w:pPr>
            <w:r w:rsidRPr="003E2D55">
              <w:rPr>
                <w:rFonts w:cs="Arial"/>
                <w:sz w:val="18"/>
                <w:szCs w:val="18"/>
              </w:rPr>
              <w:t>52.2</w:t>
            </w:r>
          </w:p>
        </w:tc>
      </w:tr>
      <w:tr w:rsidR="00DC5BE9" w:rsidRPr="003E2D55" w14:paraId="298AAF17"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56453FA0" w14:textId="77777777" w:rsidR="00DC5BE9" w:rsidRPr="003E2D55" w:rsidRDefault="00DC5BE9" w:rsidP="003E2D55">
            <w:pPr>
              <w:spacing w:before="40" w:after="20"/>
              <w:rPr>
                <w:rFonts w:cs="Arial"/>
                <w:sz w:val="18"/>
                <w:szCs w:val="18"/>
              </w:rPr>
            </w:pPr>
            <w:r w:rsidRPr="003E2D55">
              <w:rPr>
                <w:rFonts w:cs="Arial"/>
                <w:sz w:val="18"/>
                <w:szCs w:val="18"/>
              </w:rPr>
              <w:t>Monash C</w:t>
            </w:r>
          </w:p>
        </w:tc>
        <w:tc>
          <w:tcPr>
            <w:tcW w:w="1021" w:type="dxa"/>
            <w:tcBorders>
              <w:top w:val="nil"/>
              <w:left w:val="single" w:sz="18" w:space="0" w:color="5F497A" w:themeColor="accent4" w:themeShade="BF"/>
              <w:bottom w:val="nil"/>
              <w:right w:val="nil"/>
            </w:tcBorders>
            <w:shd w:val="clear" w:color="auto" w:fill="auto"/>
            <w:vAlign w:val="bottom"/>
          </w:tcPr>
          <w:p w14:paraId="39A6CD38" w14:textId="53D17043" w:rsidR="00DC5BE9" w:rsidRPr="003E2D55" w:rsidRDefault="00DC5BE9" w:rsidP="003E2D55">
            <w:pPr>
              <w:spacing w:before="40" w:after="20"/>
              <w:jc w:val="center"/>
              <w:rPr>
                <w:rFonts w:cs="Arial"/>
                <w:sz w:val="18"/>
                <w:szCs w:val="18"/>
              </w:rPr>
            </w:pPr>
            <w:r w:rsidRPr="003E2D55">
              <w:rPr>
                <w:rFonts w:cs="Arial"/>
                <w:sz w:val="18"/>
                <w:szCs w:val="18"/>
              </w:rPr>
              <w:t>1.02</w:t>
            </w:r>
          </w:p>
        </w:tc>
        <w:tc>
          <w:tcPr>
            <w:tcW w:w="907" w:type="dxa"/>
            <w:tcBorders>
              <w:top w:val="nil"/>
              <w:left w:val="nil"/>
              <w:bottom w:val="nil"/>
              <w:right w:val="nil"/>
            </w:tcBorders>
            <w:shd w:val="clear" w:color="auto" w:fill="auto"/>
            <w:vAlign w:val="bottom"/>
          </w:tcPr>
          <w:p w14:paraId="4F1BACFE" w14:textId="5A3D5946" w:rsidR="00DC5BE9" w:rsidRPr="003E2D55" w:rsidRDefault="00DC5BE9" w:rsidP="003E2D55">
            <w:pPr>
              <w:spacing w:before="40" w:after="20"/>
              <w:jc w:val="center"/>
              <w:rPr>
                <w:rFonts w:cs="Arial"/>
                <w:sz w:val="18"/>
                <w:szCs w:val="18"/>
              </w:rPr>
            </w:pPr>
            <w:r w:rsidRPr="003E2D55">
              <w:rPr>
                <w:rFonts w:cs="Arial"/>
                <w:sz w:val="18"/>
                <w:szCs w:val="18"/>
              </w:rPr>
              <w:t>1.02</w:t>
            </w:r>
          </w:p>
        </w:tc>
        <w:tc>
          <w:tcPr>
            <w:tcW w:w="908" w:type="dxa"/>
            <w:tcBorders>
              <w:top w:val="nil"/>
              <w:left w:val="nil"/>
              <w:bottom w:val="nil"/>
              <w:right w:val="nil"/>
            </w:tcBorders>
            <w:vAlign w:val="bottom"/>
          </w:tcPr>
          <w:p w14:paraId="73C86955" w14:textId="782A4467"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170" w:type="dxa"/>
            <w:tcBorders>
              <w:top w:val="nil"/>
              <w:left w:val="nil"/>
              <w:bottom w:val="nil"/>
              <w:right w:val="nil"/>
            </w:tcBorders>
            <w:vAlign w:val="bottom"/>
          </w:tcPr>
          <w:p w14:paraId="6A7DD2A5" w14:textId="53E5BEBD"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7806EC04" w14:textId="47E7571F"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8" w:type="dxa"/>
            <w:tcBorders>
              <w:top w:val="nil"/>
              <w:left w:val="nil"/>
              <w:bottom w:val="nil"/>
              <w:right w:val="nil"/>
            </w:tcBorders>
            <w:shd w:val="clear" w:color="auto" w:fill="auto"/>
            <w:vAlign w:val="bottom"/>
          </w:tcPr>
          <w:p w14:paraId="3C993AC2" w14:textId="3174D102"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5D6FEE21" w14:textId="61EEF1BD"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2A0F5709" w14:textId="26BCC26B" w:rsidR="00DC5BE9" w:rsidRPr="003E2D55" w:rsidRDefault="00DC5BE9" w:rsidP="003E2D55">
            <w:pPr>
              <w:spacing w:before="40" w:after="20"/>
              <w:jc w:val="center"/>
              <w:rPr>
                <w:rFonts w:cs="Arial"/>
                <w:sz w:val="18"/>
                <w:szCs w:val="18"/>
              </w:rPr>
            </w:pPr>
            <w:r w:rsidRPr="003E2D55">
              <w:rPr>
                <w:rFonts w:cs="Arial"/>
                <w:sz w:val="18"/>
                <w:szCs w:val="18"/>
              </w:rPr>
              <w:t>14.7</w:t>
            </w:r>
          </w:p>
        </w:tc>
      </w:tr>
      <w:tr w:rsidR="00DC5BE9" w:rsidRPr="003E2D55" w14:paraId="665C3AFE"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486BCF62" w14:textId="77777777" w:rsidR="00DC5BE9" w:rsidRPr="003E2D55" w:rsidRDefault="00DC5BE9" w:rsidP="003E2D55">
            <w:pPr>
              <w:spacing w:before="40" w:after="20"/>
              <w:rPr>
                <w:rFonts w:cs="Arial"/>
                <w:sz w:val="18"/>
                <w:szCs w:val="18"/>
              </w:rPr>
            </w:pPr>
            <w:r w:rsidRPr="003E2D55">
              <w:rPr>
                <w:rFonts w:cs="Arial"/>
                <w:sz w:val="18"/>
                <w:szCs w:val="18"/>
              </w:rPr>
              <w:t>Moonee Valley C</w:t>
            </w:r>
          </w:p>
        </w:tc>
        <w:tc>
          <w:tcPr>
            <w:tcW w:w="1021" w:type="dxa"/>
            <w:tcBorders>
              <w:top w:val="nil"/>
              <w:left w:val="single" w:sz="18" w:space="0" w:color="5F497A" w:themeColor="accent4" w:themeShade="BF"/>
              <w:bottom w:val="nil"/>
              <w:right w:val="nil"/>
            </w:tcBorders>
            <w:shd w:val="clear" w:color="auto" w:fill="auto"/>
            <w:vAlign w:val="bottom"/>
          </w:tcPr>
          <w:p w14:paraId="6AFFCE1F" w14:textId="7719D3B6"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907" w:type="dxa"/>
            <w:tcBorders>
              <w:top w:val="nil"/>
              <w:left w:val="nil"/>
              <w:bottom w:val="nil"/>
              <w:right w:val="nil"/>
            </w:tcBorders>
            <w:shd w:val="clear" w:color="auto" w:fill="auto"/>
            <w:vAlign w:val="bottom"/>
          </w:tcPr>
          <w:p w14:paraId="72936E33" w14:textId="7365DD88"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908" w:type="dxa"/>
            <w:tcBorders>
              <w:top w:val="nil"/>
              <w:left w:val="nil"/>
              <w:bottom w:val="nil"/>
              <w:right w:val="nil"/>
            </w:tcBorders>
            <w:vAlign w:val="bottom"/>
          </w:tcPr>
          <w:p w14:paraId="1CF78CF2" w14:textId="1B722425" w:rsidR="00DC5BE9" w:rsidRPr="003E2D55" w:rsidRDefault="00DC5BE9" w:rsidP="003E2D55">
            <w:pPr>
              <w:spacing w:before="40" w:after="20"/>
              <w:jc w:val="center"/>
              <w:rPr>
                <w:rFonts w:cs="Arial"/>
                <w:sz w:val="18"/>
                <w:szCs w:val="18"/>
              </w:rPr>
            </w:pPr>
            <w:r w:rsidRPr="003E2D55">
              <w:rPr>
                <w:rFonts w:cs="Arial"/>
                <w:sz w:val="18"/>
                <w:szCs w:val="18"/>
              </w:rPr>
              <w:t>0.84</w:t>
            </w:r>
          </w:p>
        </w:tc>
        <w:tc>
          <w:tcPr>
            <w:tcW w:w="170" w:type="dxa"/>
            <w:tcBorders>
              <w:top w:val="nil"/>
              <w:left w:val="nil"/>
              <w:bottom w:val="nil"/>
              <w:right w:val="nil"/>
            </w:tcBorders>
            <w:vAlign w:val="bottom"/>
          </w:tcPr>
          <w:p w14:paraId="5FE6E17A" w14:textId="2FD3387F"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3764DCB0" w14:textId="3E30EB5D" w:rsidR="00DC5BE9" w:rsidRPr="003E2D55" w:rsidRDefault="00DC5BE9" w:rsidP="003E2D55">
            <w:pPr>
              <w:spacing w:before="40" w:after="20"/>
              <w:jc w:val="center"/>
              <w:rPr>
                <w:rFonts w:cs="Arial"/>
                <w:sz w:val="18"/>
                <w:szCs w:val="18"/>
              </w:rPr>
            </w:pPr>
            <w:r w:rsidRPr="003E2D55">
              <w:rPr>
                <w:rFonts w:cs="Arial"/>
                <w:sz w:val="18"/>
                <w:szCs w:val="18"/>
              </w:rPr>
              <w:t>1.05</w:t>
            </w:r>
          </w:p>
        </w:tc>
        <w:tc>
          <w:tcPr>
            <w:tcW w:w="908" w:type="dxa"/>
            <w:tcBorders>
              <w:top w:val="nil"/>
              <w:left w:val="nil"/>
              <w:bottom w:val="nil"/>
              <w:right w:val="nil"/>
            </w:tcBorders>
            <w:shd w:val="clear" w:color="auto" w:fill="auto"/>
            <w:vAlign w:val="bottom"/>
          </w:tcPr>
          <w:p w14:paraId="33731DD6" w14:textId="33CE5D1C" w:rsidR="00DC5BE9" w:rsidRPr="003E2D55" w:rsidRDefault="00DC5BE9" w:rsidP="003E2D55">
            <w:pPr>
              <w:spacing w:before="40" w:after="20"/>
              <w:jc w:val="center"/>
              <w:rPr>
                <w:rFonts w:cs="Arial"/>
                <w:sz w:val="18"/>
                <w:szCs w:val="18"/>
              </w:rPr>
            </w:pPr>
            <w:r w:rsidRPr="003E2D55">
              <w:rPr>
                <w:rFonts w:cs="Arial"/>
                <w:sz w:val="18"/>
                <w:szCs w:val="18"/>
              </w:rPr>
              <w:t>0.99</w:t>
            </w:r>
          </w:p>
        </w:tc>
        <w:tc>
          <w:tcPr>
            <w:tcW w:w="1021" w:type="dxa"/>
            <w:tcBorders>
              <w:top w:val="nil"/>
              <w:left w:val="nil"/>
              <w:bottom w:val="nil"/>
              <w:right w:val="nil"/>
            </w:tcBorders>
            <w:shd w:val="clear" w:color="auto" w:fill="auto"/>
            <w:vAlign w:val="bottom"/>
          </w:tcPr>
          <w:p w14:paraId="624C62AC" w14:textId="612437DE"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277248B6" w14:textId="45801A89" w:rsidR="00DC5BE9" w:rsidRPr="003E2D55" w:rsidRDefault="00DC5BE9" w:rsidP="003E2D55">
            <w:pPr>
              <w:spacing w:before="40" w:after="20"/>
              <w:jc w:val="center"/>
              <w:rPr>
                <w:rFonts w:cs="Arial"/>
                <w:sz w:val="18"/>
                <w:szCs w:val="18"/>
              </w:rPr>
            </w:pPr>
            <w:r w:rsidRPr="003E2D55">
              <w:rPr>
                <w:rFonts w:cs="Arial"/>
                <w:sz w:val="18"/>
                <w:szCs w:val="18"/>
              </w:rPr>
              <w:t>11.3</w:t>
            </w:r>
          </w:p>
        </w:tc>
      </w:tr>
      <w:tr w:rsidR="00DC5BE9" w:rsidRPr="003E2D55" w14:paraId="605BBD13"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7B500A0C" w14:textId="77777777" w:rsidR="00DC5BE9" w:rsidRPr="003E2D55" w:rsidRDefault="00DC5BE9" w:rsidP="003E2D55">
            <w:pPr>
              <w:spacing w:before="40" w:after="20"/>
              <w:rPr>
                <w:rFonts w:cs="Arial"/>
                <w:sz w:val="18"/>
                <w:szCs w:val="18"/>
              </w:rPr>
            </w:pPr>
            <w:r w:rsidRPr="003E2D55">
              <w:rPr>
                <w:rFonts w:cs="Arial"/>
                <w:sz w:val="18"/>
                <w:szCs w:val="18"/>
              </w:rPr>
              <w:t>Moorabool S</w:t>
            </w:r>
          </w:p>
        </w:tc>
        <w:tc>
          <w:tcPr>
            <w:tcW w:w="1021" w:type="dxa"/>
            <w:tcBorders>
              <w:top w:val="nil"/>
              <w:left w:val="single" w:sz="18" w:space="0" w:color="5F497A" w:themeColor="accent4" w:themeShade="BF"/>
              <w:bottom w:val="nil"/>
              <w:right w:val="nil"/>
            </w:tcBorders>
            <w:shd w:val="clear" w:color="auto" w:fill="auto"/>
            <w:vAlign w:val="bottom"/>
          </w:tcPr>
          <w:p w14:paraId="489E5E27" w14:textId="55395BE5"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7E8ED84E" w14:textId="2168867D"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908" w:type="dxa"/>
            <w:tcBorders>
              <w:top w:val="nil"/>
              <w:left w:val="nil"/>
              <w:bottom w:val="nil"/>
              <w:right w:val="nil"/>
            </w:tcBorders>
            <w:vAlign w:val="bottom"/>
          </w:tcPr>
          <w:p w14:paraId="490D15E2" w14:textId="011514D2" w:rsidR="00DC5BE9" w:rsidRPr="003E2D55" w:rsidRDefault="00DC5BE9" w:rsidP="003E2D55">
            <w:pPr>
              <w:spacing w:before="40" w:after="20"/>
              <w:jc w:val="center"/>
              <w:rPr>
                <w:rFonts w:cs="Arial"/>
                <w:sz w:val="18"/>
                <w:szCs w:val="18"/>
              </w:rPr>
            </w:pPr>
            <w:r w:rsidRPr="003E2D55">
              <w:rPr>
                <w:rFonts w:cs="Arial"/>
                <w:sz w:val="18"/>
                <w:szCs w:val="18"/>
              </w:rPr>
              <w:t>0.90</w:t>
            </w:r>
          </w:p>
        </w:tc>
        <w:tc>
          <w:tcPr>
            <w:tcW w:w="170" w:type="dxa"/>
            <w:tcBorders>
              <w:top w:val="nil"/>
              <w:left w:val="nil"/>
              <w:bottom w:val="nil"/>
              <w:right w:val="nil"/>
            </w:tcBorders>
            <w:vAlign w:val="bottom"/>
          </w:tcPr>
          <w:p w14:paraId="160D4829" w14:textId="552B1FD3"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16960432" w14:textId="7756A37C" w:rsidR="00DC5BE9" w:rsidRPr="003E2D55" w:rsidRDefault="00DC5BE9" w:rsidP="003E2D55">
            <w:pPr>
              <w:spacing w:before="40" w:after="20"/>
              <w:jc w:val="center"/>
              <w:rPr>
                <w:rFonts w:cs="Arial"/>
                <w:sz w:val="18"/>
                <w:szCs w:val="18"/>
              </w:rPr>
            </w:pPr>
            <w:r w:rsidRPr="003E2D55">
              <w:rPr>
                <w:rFonts w:cs="Arial"/>
                <w:sz w:val="18"/>
                <w:szCs w:val="18"/>
              </w:rPr>
              <w:t>1.01</w:t>
            </w:r>
          </w:p>
        </w:tc>
        <w:tc>
          <w:tcPr>
            <w:tcW w:w="908" w:type="dxa"/>
            <w:tcBorders>
              <w:top w:val="nil"/>
              <w:left w:val="nil"/>
              <w:bottom w:val="nil"/>
              <w:right w:val="nil"/>
            </w:tcBorders>
            <w:shd w:val="clear" w:color="auto" w:fill="auto"/>
            <w:vAlign w:val="bottom"/>
          </w:tcPr>
          <w:p w14:paraId="142BA797" w14:textId="6B163010" w:rsidR="00DC5BE9" w:rsidRPr="003E2D55" w:rsidRDefault="00DC5BE9" w:rsidP="003E2D55">
            <w:pPr>
              <w:spacing w:before="40" w:after="20"/>
              <w:jc w:val="center"/>
              <w:rPr>
                <w:rFonts w:cs="Arial"/>
                <w:sz w:val="18"/>
                <w:szCs w:val="18"/>
              </w:rPr>
            </w:pPr>
            <w:r w:rsidRPr="003E2D55">
              <w:rPr>
                <w:rFonts w:cs="Arial"/>
                <w:sz w:val="18"/>
                <w:szCs w:val="18"/>
              </w:rPr>
              <w:t>1.04</w:t>
            </w:r>
          </w:p>
        </w:tc>
        <w:tc>
          <w:tcPr>
            <w:tcW w:w="1021" w:type="dxa"/>
            <w:tcBorders>
              <w:top w:val="nil"/>
              <w:left w:val="nil"/>
              <w:bottom w:val="nil"/>
              <w:right w:val="nil"/>
            </w:tcBorders>
            <w:shd w:val="clear" w:color="auto" w:fill="auto"/>
            <w:vAlign w:val="bottom"/>
          </w:tcPr>
          <w:p w14:paraId="69C912E3" w14:textId="7BAB6B8B"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1021" w:type="dxa"/>
            <w:tcBorders>
              <w:top w:val="nil"/>
              <w:left w:val="nil"/>
              <w:bottom w:val="nil"/>
              <w:right w:val="nil"/>
            </w:tcBorders>
            <w:shd w:val="clear" w:color="auto" w:fill="auto"/>
            <w:vAlign w:val="bottom"/>
          </w:tcPr>
          <w:p w14:paraId="61E66FCC" w14:textId="7A49ACBA" w:rsidR="00DC5BE9" w:rsidRPr="003E2D55" w:rsidRDefault="00DC5BE9" w:rsidP="003E2D55">
            <w:pPr>
              <w:spacing w:before="40" w:after="20"/>
              <w:jc w:val="center"/>
              <w:rPr>
                <w:rFonts w:cs="Arial"/>
                <w:sz w:val="18"/>
                <w:szCs w:val="18"/>
              </w:rPr>
            </w:pPr>
            <w:r w:rsidRPr="003E2D55">
              <w:rPr>
                <w:rFonts w:cs="Arial"/>
                <w:sz w:val="18"/>
                <w:szCs w:val="18"/>
              </w:rPr>
              <w:t>44.7</w:t>
            </w:r>
          </w:p>
        </w:tc>
      </w:tr>
      <w:tr w:rsidR="00DC5BE9" w:rsidRPr="003E2D55" w14:paraId="280FFE3E"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3A71652F" w14:textId="77777777" w:rsidR="00DC5BE9" w:rsidRPr="003E2D55" w:rsidRDefault="00DC5BE9" w:rsidP="003E2D55">
            <w:pPr>
              <w:spacing w:before="40" w:after="20"/>
              <w:rPr>
                <w:rFonts w:cs="Arial"/>
                <w:sz w:val="18"/>
                <w:szCs w:val="18"/>
              </w:rPr>
            </w:pPr>
            <w:r w:rsidRPr="003E2D55">
              <w:rPr>
                <w:rFonts w:cs="Arial"/>
                <w:sz w:val="18"/>
                <w:szCs w:val="18"/>
              </w:rPr>
              <w:t>Moreland C</w:t>
            </w:r>
          </w:p>
        </w:tc>
        <w:tc>
          <w:tcPr>
            <w:tcW w:w="1021" w:type="dxa"/>
            <w:tcBorders>
              <w:top w:val="nil"/>
              <w:left w:val="single" w:sz="18" w:space="0" w:color="5F497A" w:themeColor="accent4" w:themeShade="BF"/>
              <w:bottom w:val="nil"/>
              <w:right w:val="nil"/>
            </w:tcBorders>
            <w:shd w:val="clear" w:color="auto" w:fill="auto"/>
            <w:vAlign w:val="bottom"/>
          </w:tcPr>
          <w:p w14:paraId="2B438967" w14:textId="5D7868EB"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907" w:type="dxa"/>
            <w:tcBorders>
              <w:top w:val="nil"/>
              <w:left w:val="nil"/>
              <w:bottom w:val="nil"/>
              <w:right w:val="nil"/>
            </w:tcBorders>
            <w:shd w:val="clear" w:color="auto" w:fill="auto"/>
            <w:vAlign w:val="bottom"/>
          </w:tcPr>
          <w:p w14:paraId="58FAF947" w14:textId="01218EA3"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908" w:type="dxa"/>
            <w:tcBorders>
              <w:top w:val="nil"/>
              <w:left w:val="nil"/>
              <w:bottom w:val="nil"/>
              <w:right w:val="nil"/>
            </w:tcBorders>
            <w:vAlign w:val="bottom"/>
          </w:tcPr>
          <w:p w14:paraId="2F39EFDC" w14:textId="13760E4A" w:rsidR="00DC5BE9" w:rsidRPr="003E2D55" w:rsidRDefault="00DC5BE9" w:rsidP="003E2D55">
            <w:pPr>
              <w:spacing w:before="40" w:after="20"/>
              <w:jc w:val="center"/>
              <w:rPr>
                <w:rFonts w:cs="Arial"/>
                <w:sz w:val="18"/>
                <w:szCs w:val="18"/>
              </w:rPr>
            </w:pPr>
            <w:r w:rsidRPr="003E2D55">
              <w:rPr>
                <w:rFonts w:cs="Arial"/>
                <w:sz w:val="18"/>
                <w:szCs w:val="18"/>
              </w:rPr>
              <w:t>0.00</w:t>
            </w:r>
          </w:p>
        </w:tc>
        <w:tc>
          <w:tcPr>
            <w:tcW w:w="170" w:type="dxa"/>
            <w:tcBorders>
              <w:top w:val="nil"/>
              <w:left w:val="nil"/>
              <w:bottom w:val="nil"/>
              <w:right w:val="nil"/>
            </w:tcBorders>
            <w:vAlign w:val="bottom"/>
          </w:tcPr>
          <w:p w14:paraId="5CB3A74F" w14:textId="7270CAA0"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73265A1D" w14:textId="455C1367" w:rsidR="00DC5BE9" w:rsidRPr="003E2D55" w:rsidRDefault="00DC5BE9" w:rsidP="003E2D55">
            <w:pPr>
              <w:spacing w:before="40" w:after="20"/>
              <w:jc w:val="center"/>
              <w:rPr>
                <w:rFonts w:cs="Arial"/>
                <w:sz w:val="18"/>
                <w:szCs w:val="18"/>
              </w:rPr>
            </w:pPr>
            <w:r w:rsidRPr="003E2D55">
              <w:rPr>
                <w:rFonts w:cs="Arial"/>
                <w:sz w:val="18"/>
                <w:szCs w:val="18"/>
              </w:rPr>
              <w:t>1.06</w:t>
            </w:r>
          </w:p>
        </w:tc>
        <w:tc>
          <w:tcPr>
            <w:tcW w:w="908" w:type="dxa"/>
            <w:tcBorders>
              <w:top w:val="nil"/>
              <w:left w:val="nil"/>
              <w:bottom w:val="nil"/>
              <w:right w:val="nil"/>
            </w:tcBorders>
            <w:shd w:val="clear" w:color="auto" w:fill="auto"/>
            <w:vAlign w:val="bottom"/>
          </w:tcPr>
          <w:p w14:paraId="215BF144" w14:textId="4220B5AF" w:rsidR="00DC5BE9" w:rsidRPr="003E2D55" w:rsidRDefault="00DC5BE9" w:rsidP="003E2D55">
            <w:pPr>
              <w:spacing w:before="40" w:after="20"/>
              <w:jc w:val="center"/>
              <w:rPr>
                <w:rFonts w:cs="Arial"/>
                <w:sz w:val="18"/>
                <w:szCs w:val="18"/>
              </w:rPr>
            </w:pPr>
            <w:r w:rsidRPr="003E2D55">
              <w:rPr>
                <w:rFonts w:cs="Arial"/>
                <w:sz w:val="18"/>
                <w:szCs w:val="18"/>
              </w:rPr>
              <w:t>0.00</w:t>
            </w:r>
          </w:p>
        </w:tc>
        <w:tc>
          <w:tcPr>
            <w:tcW w:w="1021" w:type="dxa"/>
            <w:tcBorders>
              <w:top w:val="nil"/>
              <w:left w:val="nil"/>
              <w:bottom w:val="nil"/>
              <w:right w:val="nil"/>
            </w:tcBorders>
            <w:shd w:val="clear" w:color="auto" w:fill="auto"/>
            <w:vAlign w:val="bottom"/>
          </w:tcPr>
          <w:p w14:paraId="5F437260" w14:textId="633BA37C"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3987C150" w14:textId="01FBC4C3" w:rsidR="00DC5BE9" w:rsidRPr="003E2D55" w:rsidRDefault="00DC5BE9" w:rsidP="003E2D55">
            <w:pPr>
              <w:spacing w:before="40" w:after="20"/>
              <w:jc w:val="center"/>
              <w:rPr>
                <w:rFonts w:cs="Arial"/>
                <w:sz w:val="18"/>
                <w:szCs w:val="18"/>
              </w:rPr>
            </w:pPr>
            <w:r w:rsidRPr="003E2D55">
              <w:rPr>
                <w:rFonts w:cs="Arial"/>
                <w:sz w:val="18"/>
                <w:szCs w:val="18"/>
              </w:rPr>
              <w:t>19.0</w:t>
            </w:r>
          </w:p>
        </w:tc>
      </w:tr>
      <w:tr w:rsidR="00DC5BE9" w:rsidRPr="003E2D55" w14:paraId="06F6A35A"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089964BF" w14:textId="77777777" w:rsidR="00DC5BE9" w:rsidRPr="003E2D55" w:rsidRDefault="00DC5BE9" w:rsidP="003E2D55">
            <w:pPr>
              <w:spacing w:before="40" w:after="20"/>
              <w:rPr>
                <w:rFonts w:cs="Arial"/>
                <w:sz w:val="18"/>
                <w:szCs w:val="18"/>
              </w:rPr>
            </w:pPr>
            <w:r w:rsidRPr="003E2D55">
              <w:rPr>
                <w:rFonts w:cs="Arial"/>
                <w:sz w:val="18"/>
                <w:szCs w:val="18"/>
              </w:rPr>
              <w:t>Mornington Peninsula S</w:t>
            </w:r>
          </w:p>
        </w:tc>
        <w:tc>
          <w:tcPr>
            <w:tcW w:w="1021" w:type="dxa"/>
            <w:tcBorders>
              <w:top w:val="nil"/>
              <w:left w:val="single" w:sz="18" w:space="0" w:color="5F497A" w:themeColor="accent4" w:themeShade="BF"/>
              <w:bottom w:val="nil"/>
              <w:right w:val="nil"/>
            </w:tcBorders>
            <w:shd w:val="clear" w:color="auto" w:fill="auto"/>
            <w:vAlign w:val="bottom"/>
          </w:tcPr>
          <w:p w14:paraId="7FBAAD27" w14:textId="5F8ADB05"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907" w:type="dxa"/>
            <w:tcBorders>
              <w:top w:val="nil"/>
              <w:left w:val="nil"/>
              <w:bottom w:val="nil"/>
              <w:right w:val="nil"/>
            </w:tcBorders>
            <w:shd w:val="clear" w:color="auto" w:fill="auto"/>
            <w:vAlign w:val="bottom"/>
          </w:tcPr>
          <w:p w14:paraId="3791B318" w14:textId="62812FAE" w:rsidR="00DC5BE9" w:rsidRPr="003E2D55" w:rsidRDefault="00DC5BE9" w:rsidP="003E2D55">
            <w:pPr>
              <w:spacing w:before="40" w:after="20"/>
              <w:jc w:val="center"/>
              <w:rPr>
                <w:rFonts w:cs="Arial"/>
                <w:sz w:val="18"/>
                <w:szCs w:val="18"/>
              </w:rPr>
            </w:pPr>
            <w:r w:rsidRPr="003E2D55">
              <w:rPr>
                <w:rFonts w:cs="Arial"/>
                <w:sz w:val="18"/>
                <w:szCs w:val="18"/>
              </w:rPr>
              <w:t>1.02</w:t>
            </w:r>
          </w:p>
        </w:tc>
        <w:tc>
          <w:tcPr>
            <w:tcW w:w="908" w:type="dxa"/>
            <w:tcBorders>
              <w:top w:val="nil"/>
              <w:left w:val="nil"/>
              <w:bottom w:val="nil"/>
              <w:right w:val="nil"/>
            </w:tcBorders>
            <w:vAlign w:val="bottom"/>
          </w:tcPr>
          <w:p w14:paraId="6B90785B" w14:textId="0C7E0AFA"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170" w:type="dxa"/>
            <w:tcBorders>
              <w:top w:val="nil"/>
              <w:left w:val="nil"/>
              <w:bottom w:val="nil"/>
              <w:right w:val="nil"/>
            </w:tcBorders>
            <w:vAlign w:val="bottom"/>
          </w:tcPr>
          <w:p w14:paraId="206636B1" w14:textId="6C1A4852"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0C4CF30E" w14:textId="5A91CE0F"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8" w:type="dxa"/>
            <w:tcBorders>
              <w:top w:val="nil"/>
              <w:left w:val="nil"/>
              <w:bottom w:val="nil"/>
              <w:right w:val="nil"/>
            </w:tcBorders>
            <w:shd w:val="clear" w:color="auto" w:fill="auto"/>
            <w:vAlign w:val="bottom"/>
          </w:tcPr>
          <w:p w14:paraId="7F150FE3" w14:textId="22B22659"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1021" w:type="dxa"/>
            <w:tcBorders>
              <w:top w:val="nil"/>
              <w:left w:val="nil"/>
              <w:bottom w:val="nil"/>
              <w:right w:val="nil"/>
            </w:tcBorders>
            <w:shd w:val="clear" w:color="auto" w:fill="auto"/>
            <w:vAlign w:val="bottom"/>
          </w:tcPr>
          <w:p w14:paraId="660F7352" w14:textId="7107194C"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79C7F45E" w14:textId="386268A1" w:rsidR="00DC5BE9" w:rsidRPr="003E2D55" w:rsidRDefault="00DC5BE9" w:rsidP="003E2D55">
            <w:pPr>
              <w:spacing w:before="40" w:after="20"/>
              <w:jc w:val="center"/>
              <w:rPr>
                <w:rFonts w:cs="Arial"/>
                <w:sz w:val="18"/>
                <w:szCs w:val="18"/>
              </w:rPr>
            </w:pPr>
            <w:r w:rsidRPr="003E2D55">
              <w:rPr>
                <w:rFonts w:cs="Arial"/>
                <w:sz w:val="18"/>
                <w:szCs w:val="18"/>
              </w:rPr>
              <w:t>25.6</w:t>
            </w:r>
          </w:p>
        </w:tc>
      </w:tr>
      <w:tr w:rsidR="00DC5BE9" w:rsidRPr="003E2D55" w14:paraId="3637A725"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3EE56812" w14:textId="77777777" w:rsidR="00DC5BE9" w:rsidRPr="003E2D55" w:rsidRDefault="00DC5BE9" w:rsidP="003E2D55">
            <w:pPr>
              <w:spacing w:before="40" w:after="20"/>
              <w:rPr>
                <w:rFonts w:cs="Arial"/>
                <w:sz w:val="18"/>
                <w:szCs w:val="18"/>
              </w:rPr>
            </w:pPr>
            <w:r w:rsidRPr="003E2D55">
              <w:rPr>
                <w:rFonts w:cs="Arial"/>
                <w:sz w:val="18"/>
                <w:szCs w:val="18"/>
              </w:rPr>
              <w:t>Mount Alexander S</w:t>
            </w:r>
          </w:p>
        </w:tc>
        <w:tc>
          <w:tcPr>
            <w:tcW w:w="1021" w:type="dxa"/>
            <w:tcBorders>
              <w:top w:val="nil"/>
              <w:left w:val="single" w:sz="18" w:space="0" w:color="5F497A" w:themeColor="accent4" w:themeShade="BF"/>
              <w:bottom w:val="nil"/>
              <w:right w:val="nil"/>
            </w:tcBorders>
            <w:shd w:val="clear" w:color="auto" w:fill="auto"/>
            <w:vAlign w:val="bottom"/>
          </w:tcPr>
          <w:p w14:paraId="01D6531C" w14:textId="42947DE2" w:rsidR="00DC5BE9" w:rsidRPr="003E2D55" w:rsidRDefault="00DC5BE9" w:rsidP="003E2D55">
            <w:pPr>
              <w:spacing w:before="40" w:after="20"/>
              <w:jc w:val="center"/>
              <w:rPr>
                <w:rFonts w:cs="Arial"/>
                <w:sz w:val="18"/>
                <w:szCs w:val="18"/>
              </w:rPr>
            </w:pPr>
            <w:r w:rsidRPr="003E2D55">
              <w:rPr>
                <w:rFonts w:cs="Arial"/>
                <w:sz w:val="18"/>
                <w:szCs w:val="18"/>
              </w:rPr>
              <w:t>1.01</w:t>
            </w:r>
          </w:p>
        </w:tc>
        <w:tc>
          <w:tcPr>
            <w:tcW w:w="907" w:type="dxa"/>
            <w:tcBorders>
              <w:top w:val="nil"/>
              <w:left w:val="nil"/>
              <w:bottom w:val="nil"/>
              <w:right w:val="nil"/>
            </w:tcBorders>
            <w:shd w:val="clear" w:color="auto" w:fill="auto"/>
            <w:vAlign w:val="bottom"/>
          </w:tcPr>
          <w:p w14:paraId="163F011D" w14:textId="137A9781"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908" w:type="dxa"/>
            <w:tcBorders>
              <w:top w:val="nil"/>
              <w:left w:val="nil"/>
              <w:bottom w:val="nil"/>
              <w:right w:val="nil"/>
            </w:tcBorders>
            <w:vAlign w:val="bottom"/>
          </w:tcPr>
          <w:p w14:paraId="0A1A61E6" w14:textId="2BDF1B55" w:rsidR="00DC5BE9" w:rsidRPr="003E2D55" w:rsidRDefault="00DC5BE9" w:rsidP="003E2D55">
            <w:pPr>
              <w:spacing w:before="40" w:after="20"/>
              <w:jc w:val="center"/>
              <w:rPr>
                <w:rFonts w:cs="Arial"/>
                <w:sz w:val="18"/>
                <w:szCs w:val="18"/>
              </w:rPr>
            </w:pPr>
            <w:r w:rsidRPr="003E2D55">
              <w:rPr>
                <w:rFonts w:cs="Arial"/>
                <w:sz w:val="18"/>
                <w:szCs w:val="18"/>
              </w:rPr>
              <w:t>0.85</w:t>
            </w:r>
          </w:p>
        </w:tc>
        <w:tc>
          <w:tcPr>
            <w:tcW w:w="170" w:type="dxa"/>
            <w:tcBorders>
              <w:top w:val="nil"/>
              <w:left w:val="nil"/>
              <w:bottom w:val="nil"/>
              <w:right w:val="nil"/>
            </w:tcBorders>
            <w:vAlign w:val="bottom"/>
          </w:tcPr>
          <w:p w14:paraId="312A6D0D" w14:textId="475556B8"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43A663EA" w14:textId="76207FAC" w:rsidR="00DC5BE9" w:rsidRPr="003E2D55" w:rsidRDefault="00DC5BE9" w:rsidP="003E2D55">
            <w:pPr>
              <w:spacing w:before="40" w:after="20"/>
              <w:jc w:val="center"/>
              <w:rPr>
                <w:rFonts w:cs="Arial"/>
                <w:sz w:val="18"/>
                <w:szCs w:val="18"/>
              </w:rPr>
            </w:pPr>
            <w:r w:rsidRPr="003E2D55">
              <w:rPr>
                <w:rFonts w:cs="Arial"/>
                <w:sz w:val="18"/>
                <w:szCs w:val="18"/>
              </w:rPr>
              <w:t>0.99</w:t>
            </w:r>
          </w:p>
        </w:tc>
        <w:tc>
          <w:tcPr>
            <w:tcW w:w="908" w:type="dxa"/>
            <w:tcBorders>
              <w:top w:val="nil"/>
              <w:left w:val="nil"/>
              <w:bottom w:val="nil"/>
              <w:right w:val="nil"/>
            </w:tcBorders>
            <w:shd w:val="clear" w:color="auto" w:fill="auto"/>
            <w:vAlign w:val="bottom"/>
          </w:tcPr>
          <w:p w14:paraId="6153D9D4" w14:textId="34EB3916" w:rsidR="00DC5BE9" w:rsidRPr="003E2D55" w:rsidRDefault="00DC5BE9" w:rsidP="003E2D55">
            <w:pPr>
              <w:spacing w:before="40" w:after="20"/>
              <w:jc w:val="center"/>
              <w:rPr>
                <w:rFonts w:cs="Arial"/>
                <w:sz w:val="18"/>
                <w:szCs w:val="18"/>
              </w:rPr>
            </w:pPr>
            <w:r w:rsidRPr="003E2D55">
              <w:rPr>
                <w:rFonts w:cs="Arial"/>
                <w:sz w:val="18"/>
                <w:szCs w:val="18"/>
              </w:rPr>
              <w:t>1.00</w:t>
            </w:r>
          </w:p>
        </w:tc>
        <w:tc>
          <w:tcPr>
            <w:tcW w:w="1021" w:type="dxa"/>
            <w:tcBorders>
              <w:top w:val="nil"/>
              <w:left w:val="nil"/>
              <w:bottom w:val="nil"/>
              <w:right w:val="nil"/>
            </w:tcBorders>
            <w:shd w:val="clear" w:color="auto" w:fill="auto"/>
            <w:vAlign w:val="bottom"/>
          </w:tcPr>
          <w:p w14:paraId="68D88157" w14:textId="10D45FFF"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54E6D2F3" w14:textId="3E736F70" w:rsidR="00DC5BE9" w:rsidRPr="003E2D55" w:rsidRDefault="00DC5BE9" w:rsidP="003E2D55">
            <w:pPr>
              <w:spacing w:before="40" w:after="20"/>
              <w:jc w:val="center"/>
              <w:rPr>
                <w:rFonts w:cs="Arial"/>
                <w:sz w:val="18"/>
                <w:szCs w:val="18"/>
              </w:rPr>
            </w:pPr>
            <w:r w:rsidRPr="003E2D55">
              <w:rPr>
                <w:rFonts w:cs="Arial"/>
                <w:sz w:val="18"/>
                <w:szCs w:val="18"/>
              </w:rPr>
              <w:t>21.5</w:t>
            </w:r>
          </w:p>
        </w:tc>
      </w:tr>
      <w:tr w:rsidR="00DC5BE9" w:rsidRPr="003E2D55" w14:paraId="2AAE02FA"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1013FB61" w14:textId="77777777" w:rsidR="00DC5BE9" w:rsidRPr="003E2D55" w:rsidRDefault="00DC5BE9" w:rsidP="003E2D55">
            <w:pPr>
              <w:spacing w:before="40" w:after="20"/>
              <w:rPr>
                <w:rFonts w:cs="Arial"/>
                <w:sz w:val="18"/>
                <w:szCs w:val="18"/>
              </w:rPr>
            </w:pPr>
            <w:r w:rsidRPr="003E2D55">
              <w:rPr>
                <w:rFonts w:cs="Arial"/>
                <w:sz w:val="18"/>
                <w:szCs w:val="18"/>
              </w:rPr>
              <w:t>Moyne S</w:t>
            </w:r>
          </w:p>
        </w:tc>
        <w:tc>
          <w:tcPr>
            <w:tcW w:w="1021" w:type="dxa"/>
            <w:tcBorders>
              <w:top w:val="nil"/>
              <w:left w:val="single" w:sz="18" w:space="0" w:color="5F497A" w:themeColor="accent4" w:themeShade="BF"/>
              <w:bottom w:val="nil"/>
              <w:right w:val="nil"/>
            </w:tcBorders>
            <w:shd w:val="clear" w:color="auto" w:fill="auto"/>
            <w:vAlign w:val="bottom"/>
          </w:tcPr>
          <w:p w14:paraId="699F6FE8" w14:textId="0AFEB61C" w:rsidR="00DC5BE9" w:rsidRPr="003E2D55" w:rsidRDefault="00DC5BE9" w:rsidP="003E2D55">
            <w:pPr>
              <w:spacing w:before="40" w:after="20"/>
              <w:jc w:val="center"/>
              <w:rPr>
                <w:rFonts w:cs="Arial"/>
                <w:sz w:val="18"/>
                <w:szCs w:val="18"/>
              </w:rPr>
            </w:pPr>
            <w:r w:rsidRPr="003E2D55">
              <w:rPr>
                <w:rFonts w:cs="Arial"/>
                <w:sz w:val="18"/>
                <w:szCs w:val="18"/>
              </w:rPr>
              <w:t>1.08</w:t>
            </w:r>
          </w:p>
        </w:tc>
        <w:tc>
          <w:tcPr>
            <w:tcW w:w="907" w:type="dxa"/>
            <w:tcBorders>
              <w:top w:val="nil"/>
              <w:left w:val="nil"/>
              <w:bottom w:val="nil"/>
              <w:right w:val="nil"/>
            </w:tcBorders>
            <w:shd w:val="clear" w:color="auto" w:fill="auto"/>
            <w:vAlign w:val="bottom"/>
          </w:tcPr>
          <w:p w14:paraId="249515E9" w14:textId="6AF80518" w:rsidR="00DC5BE9" w:rsidRPr="003E2D55" w:rsidRDefault="00DC5BE9" w:rsidP="003E2D55">
            <w:pPr>
              <w:spacing w:before="40" w:after="20"/>
              <w:jc w:val="center"/>
              <w:rPr>
                <w:rFonts w:cs="Arial"/>
                <w:sz w:val="18"/>
                <w:szCs w:val="18"/>
              </w:rPr>
            </w:pPr>
            <w:r w:rsidRPr="003E2D55">
              <w:rPr>
                <w:rFonts w:cs="Arial"/>
                <w:sz w:val="18"/>
                <w:szCs w:val="18"/>
              </w:rPr>
              <w:t>1.07</w:t>
            </w:r>
          </w:p>
        </w:tc>
        <w:tc>
          <w:tcPr>
            <w:tcW w:w="908" w:type="dxa"/>
            <w:tcBorders>
              <w:top w:val="nil"/>
              <w:left w:val="nil"/>
              <w:bottom w:val="nil"/>
              <w:right w:val="nil"/>
            </w:tcBorders>
            <w:vAlign w:val="bottom"/>
          </w:tcPr>
          <w:p w14:paraId="06766470" w14:textId="38DB6400" w:rsidR="00DC5BE9" w:rsidRPr="003E2D55" w:rsidRDefault="00DC5BE9" w:rsidP="003E2D55">
            <w:pPr>
              <w:spacing w:before="40" w:after="20"/>
              <w:jc w:val="center"/>
              <w:rPr>
                <w:rFonts w:cs="Arial"/>
                <w:sz w:val="18"/>
                <w:szCs w:val="18"/>
              </w:rPr>
            </w:pPr>
            <w:r w:rsidRPr="003E2D55">
              <w:rPr>
                <w:rFonts w:cs="Arial"/>
                <w:sz w:val="18"/>
                <w:szCs w:val="18"/>
              </w:rPr>
              <w:t>1.05</w:t>
            </w:r>
          </w:p>
        </w:tc>
        <w:tc>
          <w:tcPr>
            <w:tcW w:w="170" w:type="dxa"/>
            <w:tcBorders>
              <w:top w:val="nil"/>
              <w:left w:val="nil"/>
              <w:bottom w:val="nil"/>
              <w:right w:val="nil"/>
            </w:tcBorders>
            <w:vAlign w:val="bottom"/>
          </w:tcPr>
          <w:p w14:paraId="06F7D988" w14:textId="2FEC9E19"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6D60FCC3" w14:textId="6A2D7440"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908" w:type="dxa"/>
            <w:tcBorders>
              <w:top w:val="nil"/>
              <w:left w:val="nil"/>
              <w:bottom w:val="nil"/>
              <w:right w:val="nil"/>
            </w:tcBorders>
            <w:shd w:val="clear" w:color="auto" w:fill="auto"/>
            <w:vAlign w:val="bottom"/>
          </w:tcPr>
          <w:p w14:paraId="3CCDB42F" w14:textId="451122D0" w:rsidR="00DC5BE9" w:rsidRPr="003E2D55" w:rsidRDefault="00DC5BE9" w:rsidP="003E2D55">
            <w:pPr>
              <w:spacing w:before="40" w:after="20"/>
              <w:jc w:val="center"/>
              <w:rPr>
                <w:rFonts w:cs="Arial"/>
                <w:sz w:val="18"/>
                <w:szCs w:val="18"/>
              </w:rPr>
            </w:pPr>
            <w:r w:rsidRPr="003E2D55">
              <w:rPr>
                <w:rFonts w:cs="Arial"/>
                <w:sz w:val="18"/>
                <w:szCs w:val="18"/>
              </w:rPr>
              <w:t>0.99</w:t>
            </w:r>
          </w:p>
        </w:tc>
        <w:tc>
          <w:tcPr>
            <w:tcW w:w="1021" w:type="dxa"/>
            <w:tcBorders>
              <w:top w:val="nil"/>
              <w:left w:val="nil"/>
              <w:bottom w:val="nil"/>
              <w:right w:val="nil"/>
            </w:tcBorders>
            <w:shd w:val="clear" w:color="auto" w:fill="auto"/>
            <w:vAlign w:val="bottom"/>
          </w:tcPr>
          <w:p w14:paraId="3A8645EB" w14:textId="415A449B" w:rsidR="00DC5BE9" w:rsidRPr="003E2D55" w:rsidRDefault="00DC5BE9" w:rsidP="003E2D55">
            <w:pPr>
              <w:spacing w:before="40" w:after="20"/>
              <w:jc w:val="center"/>
              <w:rPr>
                <w:rFonts w:cs="Arial"/>
                <w:sz w:val="18"/>
                <w:szCs w:val="18"/>
              </w:rPr>
            </w:pPr>
            <w:r w:rsidRPr="003E2D55">
              <w:rPr>
                <w:rFonts w:cs="Arial"/>
                <w:sz w:val="18"/>
                <w:szCs w:val="18"/>
              </w:rPr>
              <w:t>1.02</w:t>
            </w:r>
          </w:p>
        </w:tc>
        <w:tc>
          <w:tcPr>
            <w:tcW w:w="1021" w:type="dxa"/>
            <w:tcBorders>
              <w:top w:val="nil"/>
              <w:left w:val="nil"/>
              <w:bottom w:val="nil"/>
              <w:right w:val="nil"/>
            </w:tcBorders>
            <w:shd w:val="clear" w:color="auto" w:fill="auto"/>
            <w:vAlign w:val="bottom"/>
          </w:tcPr>
          <w:p w14:paraId="4C350FDA" w14:textId="3F06D82F" w:rsidR="00DC5BE9" w:rsidRPr="003E2D55" w:rsidRDefault="00DC5BE9" w:rsidP="003E2D55">
            <w:pPr>
              <w:spacing w:before="40" w:after="20"/>
              <w:jc w:val="center"/>
              <w:rPr>
                <w:rFonts w:cs="Arial"/>
                <w:sz w:val="18"/>
                <w:szCs w:val="18"/>
              </w:rPr>
            </w:pPr>
            <w:r w:rsidRPr="003E2D55">
              <w:rPr>
                <w:rFonts w:cs="Arial"/>
                <w:sz w:val="18"/>
                <w:szCs w:val="18"/>
              </w:rPr>
              <w:t>46.1</w:t>
            </w:r>
          </w:p>
        </w:tc>
      </w:tr>
      <w:tr w:rsidR="00DC5BE9" w:rsidRPr="003E2D55" w14:paraId="49656B3D"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70B4F00F" w14:textId="77777777" w:rsidR="00DC5BE9" w:rsidRPr="003E2D55" w:rsidRDefault="00DC5BE9" w:rsidP="003E2D55">
            <w:pPr>
              <w:spacing w:before="40" w:after="20"/>
              <w:rPr>
                <w:rFonts w:cs="Arial"/>
                <w:sz w:val="18"/>
                <w:szCs w:val="18"/>
              </w:rPr>
            </w:pPr>
            <w:r w:rsidRPr="003E2D55">
              <w:rPr>
                <w:rFonts w:cs="Arial"/>
                <w:sz w:val="18"/>
                <w:szCs w:val="18"/>
              </w:rPr>
              <w:t>Murrindindi S</w:t>
            </w:r>
          </w:p>
        </w:tc>
        <w:tc>
          <w:tcPr>
            <w:tcW w:w="1021" w:type="dxa"/>
            <w:tcBorders>
              <w:top w:val="nil"/>
              <w:left w:val="single" w:sz="18" w:space="0" w:color="5F497A" w:themeColor="accent4" w:themeShade="BF"/>
              <w:bottom w:val="nil"/>
              <w:right w:val="nil"/>
            </w:tcBorders>
            <w:shd w:val="clear" w:color="auto" w:fill="auto"/>
            <w:vAlign w:val="bottom"/>
          </w:tcPr>
          <w:p w14:paraId="686A54FA" w14:textId="107C7EC5" w:rsidR="00DC5BE9" w:rsidRPr="003E2D55" w:rsidRDefault="00DC5BE9" w:rsidP="003E2D55">
            <w:pPr>
              <w:spacing w:before="40" w:after="20"/>
              <w:jc w:val="center"/>
              <w:rPr>
                <w:rFonts w:cs="Arial"/>
                <w:sz w:val="18"/>
                <w:szCs w:val="18"/>
              </w:rPr>
            </w:pPr>
            <w:r w:rsidRPr="003E2D55">
              <w:rPr>
                <w:rFonts w:cs="Arial"/>
                <w:sz w:val="18"/>
                <w:szCs w:val="18"/>
              </w:rPr>
              <w:t>0.99</w:t>
            </w:r>
          </w:p>
        </w:tc>
        <w:tc>
          <w:tcPr>
            <w:tcW w:w="907" w:type="dxa"/>
            <w:tcBorders>
              <w:top w:val="nil"/>
              <w:left w:val="nil"/>
              <w:bottom w:val="nil"/>
              <w:right w:val="nil"/>
            </w:tcBorders>
            <w:shd w:val="clear" w:color="auto" w:fill="auto"/>
            <w:vAlign w:val="bottom"/>
          </w:tcPr>
          <w:p w14:paraId="524AD974" w14:textId="1E68CF16" w:rsidR="00DC5BE9" w:rsidRPr="003E2D55" w:rsidRDefault="00DC5BE9" w:rsidP="003E2D55">
            <w:pPr>
              <w:spacing w:before="40" w:after="20"/>
              <w:jc w:val="center"/>
              <w:rPr>
                <w:rFonts w:cs="Arial"/>
                <w:sz w:val="18"/>
                <w:szCs w:val="18"/>
              </w:rPr>
            </w:pPr>
            <w:r w:rsidRPr="003E2D55">
              <w:rPr>
                <w:rFonts w:cs="Arial"/>
                <w:sz w:val="18"/>
                <w:szCs w:val="18"/>
              </w:rPr>
              <w:t>1.01</w:t>
            </w:r>
          </w:p>
        </w:tc>
        <w:tc>
          <w:tcPr>
            <w:tcW w:w="908" w:type="dxa"/>
            <w:tcBorders>
              <w:top w:val="nil"/>
              <w:left w:val="nil"/>
              <w:bottom w:val="nil"/>
              <w:right w:val="nil"/>
            </w:tcBorders>
            <w:vAlign w:val="bottom"/>
          </w:tcPr>
          <w:p w14:paraId="1C8520CB" w14:textId="066C6327" w:rsidR="00DC5BE9" w:rsidRPr="003E2D55" w:rsidRDefault="00DC5BE9" w:rsidP="003E2D55">
            <w:pPr>
              <w:spacing w:before="40" w:after="20"/>
              <w:jc w:val="center"/>
              <w:rPr>
                <w:rFonts w:cs="Arial"/>
                <w:sz w:val="18"/>
                <w:szCs w:val="18"/>
              </w:rPr>
            </w:pPr>
            <w:r w:rsidRPr="003E2D55">
              <w:rPr>
                <w:rFonts w:cs="Arial"/>
                <w:sz w:val="18"/>
                <w:szCs w:val="18"/>
              </w:rPr>
              <w:t>1.00</w:t>
            </w:r>
          </w:p>
        </w:tc>
        <w:tc>
          <w:tcPr>
            <w:tcW w:w="170" w:type="dxa"/>
            <w:tcBorders>
              <w:top w:val="nil"/>
              <w:left w:val="nil"/>
              <w:bottom w:val="nil"/>
              <w:right w:val="nil"/>
            </w:tcBorders>
            <w:vAlign w:val="bottom"/>
          </w:tcPr>
          <w:p w14:paraId="3A47C391" w14:textId="2379E2FA"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6E2677E0" w14:textId="15224551"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908" w:type="dxa"/>
            <w:tcBorders>
              <w:top w:val="nil"/>
              <w:left w:val="nil"/>
              <w:bottom w:val="nil"/>
              <w:right w:val="nil"/>
            </w:tcBorders>
            <w:shd w:val="clear" w:color="auto" w:fill="auto"/>
            <w:vAlign w:val="bottom"/>
          </w:tcPr>
          <w:p w14:paraId="54D1C349" w14:textId="019908B1"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1021" w:type="dxa"/>
            <w:tcBorders>
              <w:top w:val="nil"/>
              <w:left w:val="nil"/>
              <w:bottom w:val="nil"/>
              <w:right w:val="nil"/>
            </w:tcBorders>
            <w:shd w:val="clear" w:color="auto" w:fill="auto"/>
            <w:vAlign w:val="bottom"/>
          </w:tcPr>
          <w:p w14:paraId="0E3DAB8D" w14:textId="7D321502" w:rsidR="00DC5BE9" w:rsidRPr="003E2D55" w:rsidRDefault="00DC5BE9" w:rsidP="003E2D55">
            <w:pPr>
              <w:spacing w:before="40" w:after="20"/>
              <w:jc w:val="center"/>
              <w:rPr>
                <w:rFonts w:cs="Arial"/>
                <w:sz w:val="18"/>
                <w:szCs w:val="18"/>
              </w:rPr>
            </w:pPr>
            <w:r w:rsidRPr="003E2D55">
              <w:rPr>
                <w:rFonts w:cs="Arial"/>
                <w:sz w:val="18"/>
                <w:szCs w:val="18"/>
              </w:rPr>
              <w:t>1.00</w:t>
            </w:r>
          </w:p>
        </w:tc>
        <w:tc>
          <w:tcPr>
            <w:tcW w:w="1021" w:type="dxa"/>
            <w:tcBorders>
              <w:top w:val="nil"/>
              <w:left w:val="nil"/>
              <w:bottom w:val="nil"/>
              <w:right w:val="nil"/>
            </w:tcBorders>
            <w:shd w:val="clear" w:color="auto" w:fill="auto"/>
            <w:vAlign w:val="bottom"/>
          </w:tcPr>
          <w:p w14:paraId="6EEB0681" w14:textId="055CEB89" w:rsidR="00DC5BE9" w:rsidRPr="003E2D55" w:rsidRDefault="00DC5BE9" w:rsidP="003E2D55">
            <w:pPr>
              <w:spacing w:before="40" w:after="20"/>
              <w:jc w:val="center"/>
              <w:rPr>
                <w:rFonts w:cs="Arial"/>
                <w:sz w:val="18"/>
                <w:szCs w:val="18"/>
              </w:rPr>
            </w:pPr>
            <w:r w:rsidRPr="003E2D55">
              <w:rPr>
                <w:rFonts w:cs="Arial"/>
                <w:sz w:val="18"/>
                <w:szCs w:val="18"/>
              </w:rPr>
              <w:t>20.3</w:t>
            </w:r>
          </w:p>
        </w:tc>
      </w:tr>
      <w:tr w:rsidR="00DC5BE9" w:rsidRPr="003E2D55" w14:paraId="3DDA6C55"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52CFDE0C" w14:textId="77777777" w:rsidR="00DC5BE9" w:rsidRPr="003E2D55" w:rsidRDefault="00DC5BE9" w:rsidP="003E2D55">
            <w:pPr>
              <w:spacing w:before="40" w:after="20"/>
              <w:rPr>
                <w:rFonts w:cs="Arial"/>
                <w:sz w:val="18"/>
                <w:szCs w:val="18"/>
              </w:rPr>
            </w:pPr>
            <w:r w:rsidRPr="003E2D55">
              <w:rPr>
                <w:rFonts w:cs="Arial"/>
                <w:sz w:val="18"/>
                <w:szCs w:val="18"/>
              </w:rPr>
              <w:t>Nillumbik S</w:t>
            </w:r>
          </w:p>
        </w:tc>
        <w:tc>
          <w:tcPr>
            <w:tcW w:w="1021" w:type="dxa"/>
            <w:tcBorders>
              <w:top w:val="nil"/>
              <w:left w:val="single" w:sz="18" w:space="0" w:color="5F497A" w:themeColor="accent4" w:themeShade="BF"/>
              <w:bottom w:val="nil"/>
              <w:right w:val="nil"/>
            </w:tcBorders>
            <w:shd w:val="clear" w:color="auto" w:fill="auto"/>
            <w:vAlign w:val="bottom"/>
          </w:tcPr>
          <w:p w14:paraId="0B8658DD" w14:textId="1CF739A9"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907" w:type="dxa"/>
            <w:tcBorders>
              <w:top w:val="nil"/>
              <w:left w:val="nil"/>
              <w:bottom w:val="nil"/>
              <w:right w:val="nil"/>
            </w:tcBorders>
            <w:shd w:val="clear" w:color="auto" w:fill="auto"/>
            <w:vAlign w:val="bottom"/>
          </w:tcPr>
          <w:p w14:paraId="3C0BDC58" w14:textId="6ABF2164" w:rsidR="00DC5BE9" w:rsidRPr="003E2D55" w:rsidRDefault="00DC5BE9" w:rsidP="003E2D55">
            <w:pPr>
              <w:spacing w:before="40" w:after="20"/>
              <w:jc w:val="center"/>
              <w:rPr>
                <w:rFonts w:cs="Arial"/>
                <w:sz w:val="18"/>
                <w:szCs w:val="18"/>
              </w:rPr>
            </w:pPr>
            <w:r w:rsidRPr="003E2D55">
              <w:rPr>
                <w:rFonts w:cs="Arial"/>
                <w:sz w:val="18"/>
                <w:szCs w:val="18"/>
              </w:rPr>
              <w:t>1.02</w:t>
            </w:r>
          </w:p>
        </w:tc>
        <w:tc>
          <w:tcPr>
            <w:tcW w:w="908" w:type="dxa"/>
            <w:tcBorders>
              <w:top w:val="nil"/>
              <w:left w:val="nil"/>
              <w:bottom w:val="nil"/>
              <w:right w:val="nil"/>
            </w:tcBorders>
            <w:vAlign w:val="bottom"/>
          </w:tcPr>
          <w:p w14:paraId="2E10EF71" w14:textId="25559143"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170" w:type="dxa"/>
            <w:tcBorders>
              <w:top w:val="nil"/>
              <w:left w:val="nil"/>
              <w:bottom w:val="nil"/>
              <w:right w:val="nil"/>
            </w:tcBorders>
            <w:vAlign w:val="bottom"/>
          </w:tcPr>
          <w:p w14:paraId="5ABE82DD" w14:textId="160545A6"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59AF36B2" w14:textId="093BB61D"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8" w:type="dxa"/>
            <w:tcBorders>
              <w:top w:val="nil"/>
              <w:left w:val="nil"/>
              <w:bottom w:val="nil"/>
              <w:right w:val="nil"/>
            </w:tcBorders>
            <w:shd w:val="clear" w:color="auto" w:fill="auto"/>
            <w:vAlign w:val="bottom"/>
          </w:tcPr>
          <w:p w14:paraId="31D21F69" w14:textId="18DEB466"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650BC354" w14:textId="5DABE273"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1021" w:type="dxa"/>
            <w:tcBorders>
              <w:top w:val="nil"/>
              <w:left w:val="nil"/>
              <w:bottom w:val="nil"/>
              <w:right w:val="nil"/>
            </w:tcBorders>
            <w:shd w:val="clear" w:color="auto" w:fill="auto"/>
            <w:vAlign w:val="bottom"/>
          </w:tcPr>
          <w:p w14:paraId="0F515299" w14:textId="261B468C" w:rsidR="00DC5BE9" w:rsidRPr="003E2D55" w:rsidRDefault="00DC5BE9" w:rsidP="003E2D55">
            <w:pPr>
              <w:spacing w:before="40" w:after="20"/>
              <w:jc w:val="center"/>
              <w:rPr>
                <w:rFonts w:cs="Arial"/>
                <w:sz w:val="18"/>
                <w:szCs w:val="18"/>
              </w:rPr>
            </w:pPr>
            <w:r w:rsidRPr="003E2D55">
              <w:rPr>
                <w:rFonts w:cs="Arial"/>
                <w:sz w:val="18"/>
                <w:szCs w:val="18"/>
              </w:rPr>
              <w:t>12.8</w:t>
            </w:r>
          </w:p>
        </w:tc>
      </w:tr>
      <w:tr w:rsidR="00DC5BE9" w:rsidRPr="003E2D55" w14:paraId="778F1DD4"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7F7ACDEB" w14:textId="77777777" w:rsidR="00DC5BE9" w:rsidRPr="003E2D55" w:rsidRDefault="00DC5BE9" w:rsidP="003E2D55">
            <w:pPr>
              <w:spacing w:before="40" w:after="20"/>
              <w:rPr>
                <w:rFonts w:cs="Arial"/>
                <w:sz w:val="18"/>
                <w:szCs w:val="18"/>
              </w:rPr>
            </w:pPr>
            <w:r w:rsidRPr="003E2D55">
              <w:rPr>
                <w:rFonts w:cs="Arial"/>
                <w:sz w:val="18"/>
                <w:szCs w:val="18"/>
              </w:rPr>
              <w:t>Northern Grampians S</w:t>
            </w:r>
          </w:p>
        </w:tc>
        <w:tc>
          <w:tcPr>
            <w:tcW w:w="1021" w:type="dxa"/>
            <w:tcBorders>
              <w:top w:val="nil"/>
              <w:left w:val="single" w:sz="18" w:space="0" w:color="5F497A" w:themeColor="accent4" w:themeShade="BF"/>
              <w:bottom w:val="nil"/>
              <w:right w:val="nil"/>
            </w:tcBorders>
            <w:shd w:val="clear" w:color="auto" w:fill="auto"/>
            <w:vAlign w:val="bottom"/>
          </w:tcPr>
          <w:p w14:paraId="253AB6CB" w14:textId="01421CDD" w:rsidR="00DC5BE9" w:rsidRPr="003E2D55" w:rsidRDefault="00DC5BE9" w:rsidP="003E2D55">
            <w:pPr>
              <w:spacing w:before="40" w:after="20"/>
              <w:jc w:val="center"/>
              <w:rPr>
                <w:rFonts w:cs="Arial"/>
                <w:sz w:val="18"/>
                <w:szCs w:val="18"/>
              </w:rPr>
            </w:pPr>
            <w:r w:rsidRPr="003E2D55">
              <w:rPr>
                <w:rFonts w:cs="Arial"/>
                <w:sz w:val="18"/>
                <w:szCs w:val="18"/>
              </w:rPr>
              <w:t>1.03</w:t>
            </w:r>
          </w:p>
        </w:tc>
        <w:tc>
          <w:tcPr>
            <w:tcW w:w="907" w:type="dxa"/>
            <w:tcBorders>
              <w:top w:val="nil"/>
              <w:left w:val="nil"/>
              <w:bottom w:val="nil"/>
              <w:right w:val="nil"/>
            </w:tcBorders>
            <w:shd w:val="clear" w:color="auto" w:fill="auto"/>
            <w:vAlign w:val="bottom"/>
          </w:tcPr>
          <w:p w14:paraId="58835E7D" w14:textId="7846498D"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8" w:type="dxa"/>
            <w:tcBorders>
              <w:top w:val="nil"/>
              <w:left w:val="nil"/>
              <w:bottom w:val="nil"/>
              <w:right w:val="nil"/>
            </w:tcBorders>
            <w:vAlign w:val="bottom"/>
          </w:tcPr>
          <w:p w14:paraId="42CCCBF5" w14:textId="5194744F" w:rsidR="00DC5BE9" w:rsidRPr="003E2D55" w:rsidRDefault="00DC5BE9" w:rsidP="003E2D55">
            <w:pPr>
              <w:spacing w:before="40" w:after="20"/>
              <w:jc w:val="center"/>
              <w:rPr>
                <w:rFonts w:cs="Arial"/>
                <w:sz w:val="18"/>
                <w:szCs w:val="18"/>
              </w:rPr>
            </w:pPr>
            <w:r w:rsidRPr="003E2D55">
              <w:rPr>
                <w:rFonts w:cs="Arial"/>
                <w:sz w:val="18"/>
                <w:szCs w:val="18"/>
              </w:rPr>
              <w:t>0.80</w:t>
            </w:r>
          </w:p>
        </w:tc>
        <w:tc>
          <w:tcPr>
            <w:tcW w:w="170" w:type="dxa"/>
            <w:tcBorders>
              <w:top w:val="nil"/>
              <w:left w:val="nil"/>
              <w:bottom w:val="nil"/>
              <w:right w:val="nil"/>
            </w:tcBorders>
            <w:vAlign w:val="bottom"/>
          </w:tcPr>
          <w:p w14:paraId="45B95B15" w14:textId="634DA6F4"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72E80FBD" w14:textId="40612879" w:rsidR="00DC5BE9" w:rsidRPr="003E2D55" w:rsidRDefault="00DC5BE9" w:rsidP="003E2D55">
            <w:pPr>
              <w:spacing w:before="40" w:after="20"/>
              <w:jc w:val="center"/>
              <w:rPr>
                <w:rFonts w:cs="Arial"/>
                <w:sz w:val="18"/>
                <w:szCs w:val="18"/>
              </w:rPr>
            </w:pPr>
            <w:r w:rsidRPr="003E2D55">
              <w:rPr>
                <w:rFonts w:cs="Arial"/>
                <w:sz w:val="18"/>
                <w:szCs w:val="18"/>
              </w:rPr>
              <w:t>0.99</w:t>
            </w:r>
          </w:p>
        </w:tc>
        <w:tc>
          <w:tcPr>
            <w:tcW w:w="908" w:type="dxa"/>
            <w:tcBorders>
              <w:top w:val="nil"/>
              <w:left w:val="nil"/>
              <w:bottom w:val="nil"/>
              <w:right w:val="nil"/>
            </w:tcBorders>
            <w:shd w:val="clear" w:color="auto" w:fill="auto"/>
            <w:vAlign w:val="bottom"/>
          </w:tcPr>
          <w:p w14:paraId="4BB0C111" w14:textId="2BB30F7A" w:rsidR="00DC5BE9" w:rsidRPr="003E2D55" w:rsidRDefault="00DC5BE9" w:rsidP="003E2D55">
            <w:pPr>
              <w:spacing w:before="40" w:after="20"/>
              <w:jc w:val="center"/>
              <w:rPr>
                <w:rFonts w:cs="Arial"/>
                <w:sz w:val="18"/>
                <w:szCs w:val="18"/>
              </w:rPr>
            </w:pPr>
            <w:r w:rsidRPr="003E2D55">
              <w:rPr>
                <w:rFonts w:cs="Arial"/>
                <w:sz w:val="18"/>
                <w:szCs w:val="18"/>
              </w:rPr>
              <w:t>1.04</w:t>
            </w:r>
          </w:p>
        </w:tc>
        <w:tc>
          <w:tcPr>
            <w:tcW w:w="1021" w:type="dxa"/>
            <w:tcBorders>
              <w:top w:val="nil"/>
              <w:left w:val="nil"/>
              <w:bottom w:val="nil"/>
              <w:right w:val="nil"/>
            </w:tcBorders>
            <w:shd w:val="clear" w:color="auto" w:fill="auto"/>
            <w:vAlign w:val="bottom"/>
          </w:tcPr>
          <w:p w14:paraId="56EB894F" w14:textId="425B0E24"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1021" w:type="dxa"/>
            <w:tcBorders>
              <w:top w:val="nil"/>
              <w:left w:val="nil"/>
              <w:bottom w:val="nil"/>
              <w:right w:val="nil"/>
            </w:tcBorders>
            <w:shd w:val="clear" w:color="auto" w:fill="auto"/>
            <w:vAlign w:val="bottom"/>
          </w:tcPr>
          <w:p w14:paraId="24FF7743" w14:textId="3A3A6135" w:rsidR="00DC5BE9" w:rsidRPr="003E2D55" w:rsidRDefault="00DC5BE9" w:rsidP="003E2D55">
            <w:pPr>
              <w:spacing w:before="40" w:after="20"/>
              <w:jc w:val="center"/>
              <w:rPr>
                <w:rFonts w:cs="Arial"/>
                <w:sz w:val="18"/>
                <w:szCs w:val="18"/>
              </w:rPr>
            </w:pPr>
            <w:r w:rsidRPr="003E2D55">
              <w:rPr>
                <w:rFonts w:cs="Arial"/>
                <w:sz w:val="18"/>
                <w:szCs w:val="18"/>
              </w:rPr>
              <w:t>16.9</w:t>
            </w:r>
          </w:p>
        </w:tc>
      </w:tr>
      <w:tr w:rsidR="00DC5BE9" w:rsidRPr="003E2D55" w14:paraId="67EFD84C"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48783BB6" w14:textId="77777777" w:rsidR="00DC5BE9" w:rsidRPr="003E2D55" w:rsidRDefault="00DC5BE9" w:rsidP="003E2D55">
            <w:pPr>
              <w:spacing w:before="40" w:after="20"/>
              <w:rPr>
                <w:rFonts w:cs="Arial"/>
                <w:sz w:val="18"/>
                <w:szCs w:val="18"/>
              </w:rPr>
            </w:pPr>
            <w:r w:rsidRPr="003E2D55">
              <w:rPr>
                <w:rFonts w:cs="Arial"/>
                <w:sz w:val="18"/>
                <w:szCs w:val="18"/>
              </w:rPr>
              <w:t>Port Phillip C</w:t>
            </w:r>
          </w:p>
        </w:tc>
        <w:tc>
          <w:tcPr>
            <w:tcW w:w="1021" w:type="dxa"/>
            <w:tcBorders>
              <w:top w:val="nil"/>
              <w:left w:val="single" w:sz="18" w:space="0" w:color="5F497A" w:themeColor="accent4" w:themeShade="BF"/>
              <w:bottom w:val="nil"/>
              <w:right w:val="nil"/>
            </w:tcBorders>
            <w:shd w:val="clear" w:color="auto" w:fill="auto"/>
            <w:vAlign w:val="bottom"/>
          </w:tcPr>
          <w:p w14:paraId="47978BF5" w14:textId="52358F3E" w:rsidR="00DC5BE9" w:rsidRPr="003E2D55" w:rsidRDefault="00DC5BE9" w:rsidP="003E2D55">
            <w:pPr>
              <w:spacing w:before="40" w:after="20"/>
              <w:jc w:val="center"/>
              <w:rPr>
                <w:rFonts w:cs="Arial"/>
                <w:sz w:val="18"/>
                <w:szCs w:val="18"/>
              </w:rPr>
            </w:pPr>
            <w:r w:rsidRPr="003E2D55">
              <w:rPr>
                <w:rFonts w:cs="Arial"/>
                <w:sz w:val="18"/>
                <w:szCs w:val="18"/>
              </w:rPr>
              <w:t>1.00</w:t>
            </w:r>
          </w:p>
        </w:tc>
        <w:tc>
          <w:tcPr>
            <w:tcW w:w="907" w:type="dxa"/>
            <w:tcBorders>
              <w:top w:val="nil"/>
              <w:left w:val="nil"/>
              <w:bottom w:val="nil"/>
              <w:right w:val="nil"/>
            </w:tcBorders>
            <w:shd w:val="clear" w:color="auto" w:fill="auto"/>
            <w:vAlign w:val="bottom"/>
          </w:tcPr>
          <w:p w14:paraId="1BE123DA" w14:textId="0297028A" w:rsidR="00DC5BE9" w:rsidRPr="003E2D55" w:rsidRDefault="00DC5BE9" w:rsidP="003E2D55">
            <w:pPr>
              <w:spacing w:before="40" w:after="20"/>
              <w:jc w:val="center"/>
              <w:rPr>
                <w:rFonts w:cs="Arial"/>
                <w:sz w:val="18"/>
                <w:szCs w:val="18"/>
              </w:rPr>
            </w:pPr>
            <w:r w:rsidRPr="003E2D55">
              <w:rPr>
                <w:rFonts w:cs="Arial"/>
                <w:sz w:val="18"/>
                <w:szCs w:val="18"/>
              </w:rPr>
              <w:t>1.00</w:t>
            </w:r>
          </w:p>
        </w:tc>
        <w:tc>
          <w:tcPr>
            <w:tcW w:w="908" w:type="dxa"/>
            <w:tcBorders>
              <w:top w:val="nil"/>
              <w:left w:val="nil"/>
              <w:bottom w:val="nil"/>
              <w:right w:val="nil"/>
            </w:tcBorders>
            <w:vAlign w:val="bottom"/>
          </w:tcPr>
          <w:p w14:paraId="2729209D" w14:textId="6DEE7EC2" w:rsidR="00DC5BE9" w:rsidRPr="003E2D55" w:rsidRDefault="00DC5BE9" w:rsidP="003E2D55">
            <w:pPr>
              <w:spacing w:before="40" w:after="20"/>
              <w:jc w:val="center"/>
              <w:rPr>
                <w:rFonts w:cs="Arial"/>
                <w:sz w:val="18"/>
                <w:szCs w:val="18"/>
              </w:rPr>
            </w:pPr>
            <w:r w:rsidRPr="003E2D55">
              <w:rPr>
                <w:rFonts w:cs="Arial"/>
                <w:sz w:val="18"/>
                <w:szCs w:val="18"/>
              </w:rPr>
              <w:t>0.00</w:t>
            </w:r>
          </w:p>
        </w:tc>
        <w:tc>
          <w:tcPr>
            <w:tcW w:w="170" w:type="dxa"/>
            <w:tcBorders>
              <w:top w:val="nil"/>
              <w:left w:val="nil"/>
              <w:bottom w:val="nil"/>
              <w:right w:val="nil"/>
            </w:tcBorders>
            <w:vAlign w:val="bottom"/>
          </w:tcPr>
          <w:p w14:paraId="6FD4E646" w14:textId="350ABA94"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5592F0F5" w14:textId="35C38E75"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908" w:type="dxa"/>
            <w:tcBorders>
              <w:top w:val="nil"/>
              <w:left w:val="nil"/>
              <w:bottom w:val="nil"/>
              <w:right w:val="nil"/>
            </w:tcBorders>
            <w:shd w:val="clear" w:color="auto" w:fill="auto"/>
            <w:vAlign w:val="bottom"/>
          </w:tcPr>
          <w:p w14:paraId="0132C5A4" w14:textId="7C0B07F0" w:rsidR="00DC5BE9" w:rsidRPr="003E2D55" w:rsidRDefault="00DC5BE9" w:rsidP="003E2D55">
            <w:pPr>
              <w:spacing w:before="40" w:after="20"/>
              <w:jc w:val="center"/>
              <w:rPr>
                <w:rFonts w:cs="Arial"/>
                <w:sz w:val="18"/>
                <w:szCs w:val="18"/>
              </w:rPr>
            </w:pPr>
            <w:r w:rsidRPr="003E2D55">
              <w:rPr>
                <w:rFonts w:cs="Arial"/>
                <w:sz w:val="18"/>
                <w:szCs w:val="18"/>
              </w:rPr>
              <w:t>0.00</w:t>
            </w:r>
          </w:p>
        </w:tc>
        <w:tc>
          <w:tcPr>
            <w:tcW w:w="1021" w:type="dxa"/>
            <w:tcBorders>
              <w:top w:val="nil"/>
              <w:left w:val="nil"/>
              <w:bottom w:val="nil"/>
              <w:right w:val="nil"/>
            </w:tcBorders>
            <w:shd w:val="clear" w:color="auto" w:fill="auto"/>
            <w:vAlign w:val="bottom"/>
          </w:tcPr>
          <w:p w14:paraId="13D4E7DE" w14:textId="7F32ACCD"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69CFE778" w14:textId="561C2850" w:rsidR="00DC5BE9" w:rsidRPr="003E2D55" w:rsidRDefault="00DC5BE9" w:rsidP="003E2D55">
            <w:pPr>
              <w:spacing w:before="40" w:after="20"/>
              <w:jc w:val="center"/>
              <w:rPr>
                <w:rFonts w:cs="Arial"/>
                <w:sz w:val="18"/>
                <w:szCs w:val="18"/>
              </w:rPr>
            </w:pPr>
            <w:r w:rsidRPr="003E2D55">
              <w:rPr>
                <w:rFonts w:cs="Arial"/>
                <w:sz w:val="18"/>
                <w:szCs w:val="18"/>
              </w:rPr>
              <w:t>21.4</w:t>
            </w:r>
          </w:p>
        </w:tc>
      </w:tr>
      <w:tr w:rsidR="00DC5BE9" w:rsidRPr="003E2D55" w14:paraId="6B0E9881"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7749BAC4" w14:textId="77777777" w:rsidR="00DC5BE9" w:rsidRPr="003E2D55" w:rsidRDefault="00DC5BE9" w:rsidP="003E2D55">
            <w:pPr>
              <w:spacing w:before="40" w:after="20"/>
              <w:rPr>
                <w:rFonts w:cs="Arial"/>
                <w:sz w:val="18"/>
                <w:szCs w:val="18"/>
              </w:rPr>
            </w:pPr>
            <w:r w:rsidRPr="003E2D55">
              <w:rPr>
                <w:rFonts w:cs="Arial"/>
                <w:sz w:val="18"/>
                <w:szCs w:val="18"/>
              </w:rPr>
              <w:t>Pyrenees S</w:t>
            </w:r>
          </w:p>
        </w:tc>
        <w:tc>
          <w:tcPr>
            <w:tcW w:w="1021" w:type="dxa"/>
            <w:tcBorders>
              <w:top w:val="nil"/>
              <w:left w:val="single" w:sz="18" w:space="0" w:color="5F497A" w:themeColor="accent4" w:themeShade="BF"/>
              <w:bottom w:val="nil"/>
              <w:right w:val="nil"/>
            </w:tcBorders>
            <w:shd w:val="clear" w:color="auto" w:fill="auto"/>
            <w:vAlign w:val="bottom"/>
          </w:tcPr>
          <w:p w14:paraId="628EE544" w14:textId="1A2C41F3" w:rsidR="00DC5BE9" w:rsidRPr="003E2D55" w:rsidRDefault="00DC5BE9" w:rsidP="003E2D55">
            <w:pPr>
              <w:spacing w:before="40" w:after="20"/>
              <w:jc w:val="center"/>
              <w:rPr>
                <w:rFonts w:cs="Arial"/>
                <w:sz w:val="18"/>
                <w:szCs w:val="18"/>
              </w:rPr>
            </w:pPr>
            <w:r w:rsidRPr="003E2D55">
              <w:rPr>
                <w:rFonts w:cs="Arial"/>
                <w:sz w:val="18"/>
                <w:szCs w:val="18"/>
              </w:rPr>
              <w:t>1.01</w:t>
            </w:r>
          </w:p>
        </w:tc>
        <w:tc>
          <w:tcPr>
            <w:tcW w:w="907" w:type="dxa"/>
            <w:tcBorders>
              <w:top w:val="nil"/>
              <w:left w:val="nil"/>
              <w:bottom w:val="nil"/>
              <w:right w:val="nil"/>
            </w:tcBorders>
            <w:shd w:val="clear" w:color="auto" w:fill="auto"/>
            <w:vAlign w:val="bottom"/>
          </w:tcPr>
          <w:p w14:paraId="1EFE497B" w14:textId="7D7016C4"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8" w:type="dxa"/>
            <w:tcBorders>
              <w:top w:val="nil"/>
              <w:left w:val="nil"/>
              <w:bottom w:val="nil"/>
              <w:right w:val="nil"/>
            </w:tcBorders>
            <w:vAlign w:val="bottom"/>
          </w:tcPr>
          <w:p w14:paraId="1C55BD1E" w14:textId="69A3BE7E" w:rsidR="00DC5BE9" w:rsidRPr="003E2D55" w:rsidRDefault="00DC5BE9" w:rsidP="003E2D55">
            <w:pPr>
              <w:spacing w:before="40" w:after="20"/>
              <w:jc w:val="center"/>
              <w:rPr>
                <w:rFonts w:cs="Arial"/>
                <w:sz w:val="18"/>
                <w:szCs w:val="18"/>
              </w:rPr>
            </w:pPr>
            <w:r w:rsidRPr="003E2D55">
              <w:rPr>
                <w:rFonts w:cs="Arial"/>
                <w:sz w:val="18"/>
                <w:szCs w:val="18"/>
              </w:rPr>
              <w:t>0.83</w:t>
            </w:r>
          </w:p>
        </w:tc>
        <w:tc>
          <w:tcPr>
            <w:tcW w:w="170" w:type="dxa"/>
            <w:tcBorders>
              <w:top w:val="nil"/>
              <w:left w:val="nil"/>
              <w:bottom w:val="nil"/>
              <w:right w:val="nil"/>
            </w:tcBorders>
            <w:vAlign w:val="bottom"/>
          </w:tcPr>
          <w:p w14:paraId="2044DBAD" w14:textId="77A494BB"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0CAC4308" w14:textId="5F94217C" w:rsidR="00DC5BE9" w:rsidRPr="003E2D55" w:rsidRDefault="00DC5BE9" w:rsidP="003E2D55">
            <w:pPr>
              <w:spacing w:before="40" w:after="20"/>
              <w:jc w:val="center"/>
              <w:rPr>
                <w:rFonts w:cs="Arial"/>
                <w:sz w:val="18"/>
                <w:szCs w:val="18"/>
              </w:rPr>
            </w:pPr>
            <w:r w:rsidRPr="003E2D55">
              <w:rPr>
                <w:rFonts w:cs="Arial"/>
                <w:sz w:val="18"/>
                <w:szCs w:val="18"/>
              </w:rPr>
              <w:t>1.00</w:t>
            </w:r>
          </w:p>
        </w:tc>
        <w:tc>
          <w:tcPr>
            <w:tcW w:w="908" w:type="dxa"/>
            <w:tcBorders>
              <w:top w:val="nil"/>
              <w:left w:val="nil"/>
              <w:bottom w:val="nil"/>
              <w:right w:val="nil"/>
            </w:tcBorders>
            <w:shd w:val="clear" w:color="auto" w:fill="auto"/>
            <w:vAlign w:val="bottom"/>
          </w:tcPr>
          <w:p w14:paraId="479452D0" w14:textId="2B9ABB75" w:rsidR="00DC5BE9" w:rsidRPr="003E2D55" w:rsidRDefault="00DC5BE9" w:rsidP="003E2D55">
            <w:pPr>
              <w:spacing w:before="40" w:after="20"/>
              <w:jc w:val="center"/>
              <w:rPr>
                <w:rFonts w:cs="Arial"/>
                <w:sz w:val="18"/>
                <w:szCs w:val="18"/>
              </w:rPr>
            </w:pPr>
            <w:r w:rsidRPr="003E2D55">
              <w:rPr>
                <w:rFonts w:cs="Arial"/>
                <w:sz w:val="18"/>
                <w:szCs w:val="18"/>
              </w:rPr>
              <w:t>1.04</w:t>
            </w:r>
          </w:p>
        </w:tc>
        <w:tc>
          <w:tcPr>
            <w:tcW w:w="1021" w:type="dxa"/>
            <w:tcBorders>
              <w:top w:val="nil"/>
              <w:left w:val="nil"/>
              <w:bottom w:val="nil"/>
              <w:right w:val="nil"/>
            </w:tcBorders>
            <w:shd w:val="clear" w:color="auto" w:fill="auto"/>
            <w:vAlign w:val="bottom"/>
          </w:tcPr>
          <w:p w14:paraId="2039C54A" w14:textId="75AE6977"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1021" w:type="dxa"/>
            <w:tcBorders>
              <w:top w:val="nil"/>
              <w:left w:val="nil"/>
              <w:bottom w:val="nil"/>
              <w:right w:val="nil"/>
            </w:tcBorders>
            <w:shd w:val="clear" w:color="auto" w:fill="auto"/>
            <w:vAlign w:val="bottom"/>
          </w:tcPr>
          <w:p w14:paraId="6352658C" w14:textId="3F10EE98" w:rsidR="00DC5BE9" w:rsidRPr="003E2D55" w:rsidRDefault="00DC5BE9" w:rsidP="003E2D55">
            <w:pPr>
              <w:spacing w:before="40" w:after="20"/>
              <w:jc w:val="center"/>
              <w:rPr>
                <w:rFonts w:cs="Arial"/>
                <w:sz w:val="18"/>
                <w:szCs w:val="18"/>
              </w:rPr>
            </w:pPr>
            <w:r w:rsidRPr="003E2D55">
              <w:rPr>
                <w:rFonts w:cs="Arial"/>
                <w:sz w:val="18"/>
                <w:szCs w:val="18"/>
              </w:rPr>
              <w:t>26.6</w:t>
            </w:r>
          </w:p>
        </w:tc>
      </w:tr>
      <w:tr w:rsidR="00DC5BE9" w:rsidRPr="003E2D55" w14:paraId="70CA9BCA"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29FD753D" w14:textId="77777777" w:rsidR="00DC5BE9" w:rsidRPr="003E2D55" w:rsidRDefault="00DC5BE9" w:rsidP="003E2D55">
            <w:pPr>
              <w:spacing w:before="40" w:after="20"/>
              <w:rPr>
                <w:rFonts w:cs="Arial"/>
                <w:sz w:val="18"/>
                <w:szCs w:val="18"/>
              </w:rPr>
            </w:pPr>
            <w:r w:rsidRPr="003E2D55">
              <w:rPr>
                <w:rFonts w:cs="Arial"/>
                <w:sz w:val="18"/>
                <w:szCs w:val="18"/>
              </w:rPr>
              <w:t>Queenscliffe B</w:t>
            </w:r>
          </w:p>
        </w:tc>
        <w:tc>
          <w:tcPr>
            <w:tcW w:w="1021" w:type="dxa"/>
            <w:tcBorders>
              <w:top w:val="nil"/>
              <w:left w:val="single" w:sz="18" w:space="0" w:color="5F497A" w:themeColor="accent4" w:themeShade="BF"/>
              <w:bottom w:val="nil"/>
              <w:right w:val="nil"/>
            </w:tcBorders>
            <w:shd w:val="clear" w:color="auto" w:fill="auto"/>
            <w:vAlign w:val="bottom"/>
          </w:tcPr>
          <w:p w14:paraId="7B87800B" w14:textId="46B2E2A0"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184832DD" w14:textId="1DA56BC3" w:rsidR="00DC5BE9" w:rsidRPr="003E2D55" w:rsidRDefault="00DC5BE9" w:rsidP="003E2D55">
            <w:pPr>
              <w:spacing w:before="40" w:after="20"/>
              <w:jc w:val="center"/>
              <w:rPr>
                <w:rFonts w:cs="Arial"/>
                <w:sz w:val="18"/>
                <w:szCs w:val="18"/>
              </w:rPr>
            </w:pPr>
            <w:r w:rsidRPr="003E2D55">
              <w:rPr>
                <w:rFonts w:cs="Arial"/>
                <w:sz w:val="18"/>
                <w:szCs w:val="18"/>
              </w:rPr>
              <w:t>1.02</w:t>
            </w:r>
          </w:p>
        </w:tc>
        <w:tc>
          <w:tcPr>
            <w:tcW w:w="908" w:type="dxa"/>
            <w:tcBorders>
              <w:top w:val="nil"/>
              <w:left w:val="nil"/>
              <w:bottom w:val="nil"/>
              <w:right w:val="nil"/>
            </w:tcBorders>
            <w:vAlign w:val="bottom"/>
          </w:tcPr>
          <w:p w14:paraId="24D40E58" w14:textId="7060BB65"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170" w:type="dxa"/>
            <w:tcBorders>
              <w:top w:val="nil"/>
              <w:left w:val="nil"/>
              <w:bottom w:val="nil"/>
              <w:right w:val="nil"/>
            </w:tcBorders>
            <w:vAlign w:val="bottom"/>
          </w:tcPr>
          <w:p w14:paraId="76371970" w14:textId="7FEAC962"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3AD7C4DD" w14:textId="576BA62C"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8" w:type="dxa"/>
            <w:tcBorders>
              <w:top w:val="nil"/>
              <w:left w:val="nil"/>
              <w:bottom w:val="nil"/>
              <w:right w:val="nil"/>
            </w:tcBorders>
            <w:shd w:val="clear" w:color="auto" w:fill="auto"/>
            <w:vAlign w:val="bottom"/>
          </w:tcPr>
          <w:p w14:paraId="02A830C6" w14:textId="4B5AD038"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0963D148" w14:textId="01385797"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1021" w:type="dxa"/>
            <w:tcBorders>
              <w:top w:val="nil"/>
              <w:left w:val="nil"/>
              <w:bottom w:val="nil"/>
              <w:right w:val="nil"/>
            </w:tcBorders>
            <w:shd w:val="clear" w:color="auto" w:fill="auto"/>
            <w:vAlign w:val="bottom"/>
          </w:tcPr>
          <w:p w14:paraId="55607739" w14:textId="6984FFD0" w:rsidR="00DC5BE9" w:rsidRPr="003E2D55" w:rsidRDefault="00DC5BE9" w:rsidP="003E2D55">
            <w:pPr>
              <w:spacing w:before="40" w:after="20"/>
              <w:jc w:val="center"/>
              <w:rPr>
                <w:rFonts w:cs="Arial"/>
                <w:sz w:val="18"/>
                <w:szCs w:val="18"/>
              </w:rPr>
            </w:pPr>
            <w:r w:rsidRPr="003E2D55">
              <w:rPr>
                <w:rFonts w:cs="Arial"/>
                <w:sz w:val="18"/>
                <w:szCs w:val="18"/>
              </w:rPr>
              <w:t>7.0</w:t>
            </w:r>
          </w:p>
        </w:tc>
      </w:tr>
      <w:tr w:rsidR="00DC5BE9" w:rsidRPr="003E2D55" w14:paraId="767D3913"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27C779FD" w14:textId="77777777" w:rsidR="00DC5BE9" w:rsidRPr="003E2D55" w:rsidRDefault="00DC5BE9" w:rsidP="003E2D55">
            <w:pPr>
              <w:spacing w:before="40" w:after="20"/>
              <w:rPr>
                <w:rFonts w:cs="Arial"/>
                <w:sz w:val="18"/>
                <w:szCs w:val="18"/>
              </w:rPr>
            </w:pPr>
            <w:r w:rsidRPr="003E2D55">
              <w:rPr>
                <w:rFonts w:cs="Arial"/>
                <w:sz w:val="18"/>
                <w:szCs w:val="18"/>
              </w:rPr>
              <w:t>South Gippsland S</w:t>
            </w:r>
          </w:p>
        </w:tc>
        <w:tc>
          <w:tcPr>
            <w:tcW w:w="1021" w:type="dxa"/>
            <w:tcBorders>
              <w:top w:val="nil"/>
              <w:left w:val="single" w:sz="18" w:space="0" w:color="5F497A" w:themeColor="accent4" w:themeShade="BF"/>
              <w:bottom w:val="nil"/>
              <w:right w:val="nil"/>
            </w:tcBorders>
            <w:shd w:val="clear" w:color="auto" w:fill="auto"/>
            <w:vAlign w:val="bottom"/>
          </w:tcPr>
          <w:p w14:paraId="2A9F9E14" w14:textId="496D32DB" w:rsidR="00DC5BE9" w:rsidRPr="003E2D55" w:rsidRDefault="00DC5BE9" w:rsidP="003E2D55">
            <w:pPr>
              <w:spacing w:before="40" w:after="20"/>
              <w:jc w:val="center"/>
              <w:rPr>
                <w:rFonts w:cs="Arial"/>
                <w:sz w:val="18"/>
                <w:szCs w:val="18"/>
              </w:rPr>
            </w:pPr>
            <w:r w:rsidRPr="003E2D55">
              <w:rPr>
                <w:rFonts w:cs="Arial"/>
                <w:sz w:val="18"/>
                <w:szCs w:val="18"/>
              </w:rPr>
              <w:t>1.03</w:t>
            </w:r>
          </w:p>
        </w:tc>
        <w:tc>
          <w:tcPr>
            <w:tcW w:w="907" w:type="dxa"/>
            <w:tcBorders>
              <w:top w:val="nil"/>
              <w:left w:val="nil"/>
              <w:bottom w:val="nil"/>
              <w:right w:val="nil"/>
            </w:tcBorders>
            <w:shd w:val="clear" w:color="auto" w:fill="auto"/>
            <w:vAlign w:val="bottom"/>
          </w:tcPr>
          <w:p w14:paraId="48801D76" w14:textId="55BB5037" w:rsidR="00DC5BE9" w:rsidRPr="003E2D55" w:rsidRDefault="00DC5BE9" w:rsidP="003E2D55">
            <w:pPr>
              <w:spacing w:before="40" w:after="20"/>
              <w:jc w:val="center"/>
              <w:rPr>
                <w:rFonts w:cs="Arial"/>
                <w:sz w:val="18"/>
                <w:szCs w:val="18"/>
              </w:rPr>
            </w:pPr>
            <w:r w:rsidRPr="003E2D55">
              <w:rPr>
                <w:rFonts w:cs="Arial"/>
                <w:sz w:val="18"/>
                <w:szCs w:val="18"/>
              </w:rPr>
              <w:t>1.09</w:t>
            </w:r>
          </w:p>
        </w:tc>
        <w:tc>
          <w:tcPr>
            <w:tcW w:w="908" w:type="dxa"/>
            <w:tcBorders>
              <w:top w:val="nil"/>
              <w:left w:val="nil"/>
              <w:bottom w:val="nil"/>
              <w:right w:val="nil"/>
            </w:tcBorders>
            <w:vAlign w:val="bottom"/>
          </w:tcPr>
          <w:p w14:paraId="75F71A8B" w14:textId="5FD9D882" w:rsidR="00DC5BE9" w:rsidRPr="003E2D55" w:rsidRDefault="00DC5BE9" w:rsidP="003E2D55">
            <w:pPr>
              <w:spacing w:before="40" w:after="20"/>
              <w:jc w:val="center"/>
              <w:rPr>
                <w:rFonts w:cs="Arial"/>
                <w:sz w:val="18"/>
                <w:szCs w:val="18"/>
              </w:rPr>
            </w:pPr>
            <w:r w:rsidRPr="003E2D55">
              <w:rPr>
                <w:rFonts w:cs="Arial"/>
                <w:sz w:val="18"/>
                <w:szCs w:val="18"/>
              </w:rPr>
              <w:t>1.23</w:t>
            </w:r>
          </w:p>
        </w:tc>
        <w:tc>
          <w:tcPr>
            <w:tcW w:w="170" w:type="dxa"/>
            <w:tcBorders>
              <w:top w:val="nil"/>
              <w:left w:val="nil"/>
              <w:bottom w:val="nil"/>
              <w:right w:val="nil"/>
            </w:tcBorders>
            <w:vAlign w:val="bottom"/>
          </w:tcPr>
          <w:p w14:paraId="23C24F2B" w14:textId="6D3CB3C1"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7063E415" w14:textId="51D44305"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908" w:type="dxa"/>
            <w:tcBorders>
              <w:top w:val="nil"/>
              <w:left w:val="nil"/>
              <w:bottom w:val="nil"/>
              <w:right w:val="nil"/>
            </w:tcBorders>
            <w:shd w:val="clear" w:color="auto" w:fill="auto"/>
            <w:vAlign w:val="bottom"/>
          </w:tcPr>
          <w:p w14:paraId="4331F410" w14:textId="6995448A"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6E6CDC28" w14:textId="4B6250FC"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6146DC45" w14:textId="15C9A226" w:rsidR="00DC5BE9" w:rsidRPr="003E2D55" w:rsidRDefault="00DC5BE9" w:rsidP="003E2D55">
            <w:pPr>
              <w:spacing w:before="40" w:after="20"/>
              <w:jc w:val="center"/>
              <w:rPr>
                <w:rFonts w:cs="Arial"/>
                <w:sz w:val="18"/>
                <w:szCs w:val="18"/>
              </w:rPr>
            </w:pPr>
            <w:r w:rsidRPr="003E2D55">
              <w:rPr>
                <w:rFonts w:cs="Arial"/>
                <w:sz w:val="18"/>
                <w:szCs w:val="18"/>
              </w:rPr>
              <w:t>61.3</w:t>
            </w:r>
          </w:p>
        </w:tc>
      </w:tr>
      <w:tr w:rsidR="00DC5BE9" w:rsidRPr="003E2D55" w14:paraId="46AF26CE"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3D039154" w14:textId="77777777" w:rsidR="00DC5BE9" w:rsidRPr="003E2D55" w:rsidRDefault="00DC5BE9" w:rsidP="003E2D55">
            <w:pPr>
              <w:spacing w:before="40" w:after="20"/>
              <w:rPr>
                <w:rFonts w:cs="Arial"/>
                <w:sz w:val="18"/>
                <w:szCs w:val="18"/>
              </w:rPr>
            </w:pPr>
            <w:r w:rsidRPr="003E2D55">
              <w:rPr>
                <w:rFonts w:cs="Arial"/>
                <w:sz w:val="18"/>
                <w:szCs w:val="18"/>
              </w:rPr>
              <w:t>Southern Grampians S</w:t>
            </w:r>
          </w:p>
        </w:tc>
        <w:tc>
          <w:tcPr>
            <w:tcW w:w="1021" w:type="dxa"/>
            <w:tcBorders>
              <w:top w:val="nil"/>
              <w:left w:val="single" w:sz="18" w:space="0" w:color="5F497A" w:themeColor="accent4" w:themeShade="BF"/>
              <w:bottom w:val="nil"/>
              <w:right w:val="nil"/>
            </w:tcBorders>
            <w:shd w:val="clear" w:color="auto" w:fill="auto"/>
            <w:vAlign w:val="bottom"/>
          </w:tcPr>
          <w:p w14:paraId="4CEB0E12" w14:textId="02F9FF50" w:rsidR="00DC5BE9" w:rsidRPr="003E2D55" w:rsidRDefault="00DC5BE9" w:rsidP="003E2D55">
            <w:pPr>
              <w:spacing w:before="40" w:after="20"/>
              <w:jc w:val="center"/>
              <w:rPr>
                <w:rFonts w:cs="Arial"/>
                <w:sz w:val="18"/>
                <w:szCs w:val="18"/>
              </w:rPr>
            </w:pPr>
            <w:r w:rsidRPr="003E2D55">
              <w:rPr>
                <w:rFonts w:cs="Arial"/>
                <w:sz w:val="18"/>
                <w:szCs w:val="18"/>
              </w:rPr>
              <w:t>1.03</w:t>
            </w:r>
          </w:p>
        </w:tc>
        <w:tc>
          <w:tcPr>
            <w:tcW w:w="907" w:type="dxa"/>
            <w:tcBorders>
              <w:top w:val="nil"/>
              <w:left w:val="nil"/>
              <w:bottom w:val="nil"/>
              <w:right w:val="nil"/>
            </w:tcBorders>
            <w:shd w:val="clear" w:color="auto" w:fill="auto"/>
            <w:vAlign w:val="bottom"/>
          </w:tcPr>
          <w:p w14:paraId="7087981C" w14:textId="484989D6" w:rsidR="00DC5BE9" w:rsidRPr="003E2D55" w:rsidRDefault="00DC5BE9" w:rsidP="003E2D55">
            <w:pPr>
              <w:spacing w:before="40" w:after="20"/>
              <w:jc w:val="center"/>
              <w:rPr>
                <w:rFonts w:cs="Arial"/>
                <w:sz w:val="18"/>
                <w:szCs w:val="18"/>
              </w:rPr>
            </w:pPr>
            <w:r w:rsidRPr="003E2D55">
              <w:rPr>
                <w:rFonts w:cs="Arial"/>
                <w:sz w:val="18"/>
                <w:szCs w:val="18"/>
              </w:rPr>
              <w:t>1.02</w:t>
            </w:r>
          </w:p>
        </w:tc>
        <w:tc>
          <w:tcPr>
            <w:tcW w:w="908" w:type="dxa"/>
            <w:tcBorders>
              <w:top w:val="nil"/>
              <w:left w:val="nil"/>
              <w:bottom w:val="nil"/>
              <w:right w:val="nil"/>
            </w:tcBorders>
            <w:vAlign w:val="bottom"/>
          </w:tcPr>
          <w:p w14:paraId="1CE366A1" w14:textId="6B3D5303" w:rsidR="00DC5BE9" w:rsidRPr="003E2D55" w:rsidRDefault="00DC5BE9" w:rsidP="003E2D55">
            <w:pPr>
              <w:spacing w:before="40" w:after="20"/>
              <w:jc w:val="center"/>
              <w:rPr>
                <w:rFonts w:cs="Arial"/>
                <w:sz w:val="18"/>
                <w:szCs w:val="18"/>
              </w:rPr>
            </w:pPr>
            <w:r w:rsidRPr="003E2D55">
              <w:rPr>
                <w:rFonts w:cs="Arial"/>
                <w:sz w:val="18"/>
                <w:szCs w:val="18"/>
              </w:rPr>
              <w:t>1.02</w:t>
            </w:r>
          </w:p>
        </w:tc>
        <w:tc>
          <w:tcPr>
            <w:tcW w:w="170" w:type="dxa"/>
            <w:tcBorders>
              <w:top w:val="nil"/>
              <w:left w:val="nil"/>
              <w:bottom w:val="nil"/>
              <w:right w:val="nil"/>
            </w:tcBorders>
            <w:vAlign w:val="bottom"/>
          </w:tcPr>
          <w:p w14:paraId="5AE4FD16" w14:textId="4CC8D665"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1DCE2397" w14:textId="04CABB02" w:rsidR="00DC5BE9" w:rsidRPr="003E2D55" w:rsidRDefault="00DC5BE9" w:rsidP="003E2D55">
            <w:pPr>
              <w:spacing w:before="40" w:after="20"/>
              <w:jc w:val="center"/>
              <w:rPr>
                <w:rFonts w:cs="Arial"/>
                <w:sz w:val="18"/>
                <w:szCs w:val="18"/>
              </w:rPr>
            </w:pPr>
            <w:r w:rsidRPr="003E2D55">
              <w:rPr>
                <w:rFonts w:cs="Arial"/>
                <w:sz w:val="18"/>
                <w:szCs w:val="18"/>
              </w:rPr>
              <w:t>1.00</w:t>
            </w:r>
          </w:p>
        </w:tc>
        <w:tc>
          <w:tcPr>
            <w:tcW w:w="908" w:type="dxa"/>
            <w:tcBorders>
              <w:top w:val="nil"/>
              <w:left w:val="nil"/>
              <w:bottom w:val="nil"/>
              <w:right w:val="nil"/>
            </w:tcBorders>
            <w:shd w:val="clear" w:color="auto" w:fill="auto"/>
            <w:vAlign w:val="bottom"/>
          </w:tcPr>
          <w:p w14:paraId="08380F3B" w14:textId="5262600B" w:rsidR="00DC5BE9" w:rsidRPr="003E2D55" w:rsidRDefault="00DC5BE9" w:rsidP="003E2D55">
            <w:pPr>
              <w:spacing w:before="40" w:after="20"/>
              <w:jc w:val="center"/>
              <w:rPr>
                <w:rFonts w:cs="Arial"/>
                <w:sz w:val="18"/>
                <w:szCs w:val="18"/>
              </w:rPr>
            </w:pPr>
            <w:r w:rsidRPr="003E2D55">
              <w:rPr>
                <w:rFonts w:cs="Arial"/>
                <w:sz w:val="18"/>
                <w:szCs w:val="18"/>
              </w:rPr>
              <w:t>0.99</w:t>
            </w:r>
          </w:p>
        </w:tc>
        <w:tc>
          <w:tcPr>
            <w:tcW w:w="1021" w:type="dxa"/>
            <w:tcBorders>
              <w:top w:val="nil"/>
              <w:left w:val="nil"/>
              <w:bottom w:val="nil"/>
              <w:right w:val="nil"/>
            </w:tcBorders>
            <w:shd w:val="clear" w:color="auto" w:fill="auto"/>
            <w:vAlign w:val="bottom"/>
          </w:tcPr>
          <w:p w14:paraId="69AD06D3" w14:textId="06FDDFB1"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1021" w:type="dxa"/>
            <w:tcBorders>
              <w:top w:val="nil"/>
              <w:left w:val="nil"/>
              <w:bottom w:val="nil"/>
              <w:right w:val="nil"/>
            </w:tcBorders>
            <w:shd w:val="clear" w:color="auto" w:fill="auto"/>
            <w:vAlign w:val="bottom"/>
          </w:tcPr>
          <w:p w14:paraId="2DEBB5EE" w14:textId="547B4C36" w:rsidR="00DC5BE9" w:rsidRPr="003E2D55" w:rsidRDefault="00DC5BE9" w:rsidP="003E2D55">
            <w:pPr>
              <w:spacing w:before="40" w:after="20"/>
              <w:jc w:val="center"/>
              <w:rPr>
                <w:rFonts w:cs="Arial"/>
                <w:sz w:val="18"/>
                <w:szCs w:val="18"/>
              </w:rPr>
            </w:pPr>
            <w:r w:rsidRPr="003E2D55">
              <w:rPr>
                <w:rFonts w:cs="Arial"/>
                <w:sz w:val="18"/>
                <w:szCs w:val="18"/>
              </w:rPr>
              <w:t>25.1</w:t>
            </w:r>
          </w:p>
        </w:tc>
      </w:tr>
      <w:tr w:rsidR="00DC5BE9" w:rsidRPr="003E2D55" w14:paraId="17644CFF"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48708148" w14:textId="77777777" w:rsidR="00DC5BE9" w:rsidRPr="003E2D55" w:rsidRDefault="00DC5BE9" w:rsidP="003E2D55">
            <w:pPr>
              <w:spacing w:before="40" w:after="20"/>
              <w:rPr>
                <w:rFonts w:cs="Arial"/>
                <w:sz w:val="18"/>
                <w:szCs w:val="18"/>
              </w:rPr>
            </w:pPr>
            <w:r w:rsidRPr="003E2D55">
              <w:rPr>
                <w:rFonts w:cs="Arial"/>
                <w:sz w:val="18"/>
                <w:szCs w:val="18"/>
              </w:rPr>
              <w:t>Stonnington C</w:t>
            </w:r>
          </w:p>
        </w:tc>
        <w:tc>
          <w:tcPr>
            <w:tcW w:w="1021" w:type="dxa"/>
            <w:tcBorders>
              <w:top w:val="nil"/>
              <w:left w:val="single" w:sz="18" w:space="0" w:color="5F497A" w:themeColor="accent4" w:themeShade="BF"/>
              <w:bottom w:val="nil"/>
              <w:right w:val="nil"/>
            </w:tcBorders>
            <w:shd w:val="clear" w:color="auto" w:fill="auto"/>
            <w:vAlign w:val="bottom"/>
          </w:tcPr>
          <w:p w14:paraId="1F1C75D5" w14:textId="4F415D34"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907" w:type="dxa"/>
            <w:tcBorders>
              <w:top w:val="nil"/>
              <w:left w:val="nil"/>
              <w:bottom w:val="nil"/>
              <w:right w:val="nil"/>
            </w:tcBorders>
            <w:shd w:val="clear" w:color="auto" w:fill="auto"/>
            <w:vAlign w:val="bottom"/>
          </w:tcPr>
          <w:p w14:paraId="21E13B95" w14:textId="62B8FC8F" w:rsidR="00DC5BE9" w:rsidRPr="003E2D55" w:rsidRDefault="00DC5BE9" w:rsidP="003E2D55">
            <w:pPr>
              <w:spacing w:before="40" w:after="20"/>
              <w:jc w:val="center"/>
              <w:rPr>
                <w:rFonts w:cs="Arial"/>
                <w:sz w:val="18"/>
                <w:szCs w:val="18"/>
              </w:rPr>
            </w:pPr>
            <w:r w:rsidRPr="003E2D55">
              <w:rPr>
                <w:rFonts w:cs="Arial"/>
                <w:sz w:val="18"/>
                <w:szCs w:val="18"/>
              </w:rPr>
              <w:t>1.02</w:t>
            </w:r>
          </w:p>
        </w:tc>
        <w:tc>
          <w:tcPr>
            <w:tcW w:w="908" w:type="dxa"/>
            <w:tcBorders>
              <w:top w:val="nil"/>
              <w:left w:val="nil"/>
              <w:bottom w:val="nil"/>
              <w:right w:val="nil"/>
            </w:tcBorders>
            <w:vAlign w:val="bottom"/>
          </w:tcPr>
          <w:p w14:paraId="58B77661" w14:textId="286407AF" w:rsidR="00DC5BE9" w:rsidRPr="003E2D55" w:rsidRDefault="00DC5BE9" w:rsidP="003E2D55">
            <w:pPr>
              <w:spacing w:before="40" w:after="20"/>
              <w:jc w:val="center"/>
              <w:rPr>
                <w:rFonts w:cs="Arial"/>
                <w:sz w:val="18"/>
                <w:szCs w:val="18"/>
              </w:rPr>
            </w:pPr>
            <w:r w:rsidRPr="003E2D55">
              <w:rPr>
                <w:rFonts w:cs="Arial"/>
                <w:sz w:val="18"/>
                <w:szCs w:val="18"/>
              </w:rPr>
              <w:t>0.00</w:t>
            </w:r>
          </w:p>
        </w:tc>
        <w:tc>
          <w:tcPr>
            <w:tcW w:w="170" w:type="dxa"/>
            <w:tcBorders>
              <w:top w:val="nil"/>
              <w:left w:val="nil"/>
              <w:bottom w:val="nil"/>
              <w:right w:val="nil"/>
            </w:tcBorders>
            <w:vAlign w:val="bottom"/>
          </w:tcPr>
          <w:p w14:paraId="11454A5F" w14:textId="4FD5AE17"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2A42DDE7" w14:textId="1E986599"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8" w:type="dxa"/>
            <w:tcBorders>
              <w:top w:val="nil"/>
              <w:left w:val="nil"/>
              <w:bottom w:val="nil"/>
              <w:right w:val="nil"/>
            </w:tcBorders>
            <w:shd w:val="clear" w:color="auto" w:fill="auto"/>
            <w:vAlign w:val="bottom"/>
          </w:tcPr>
          <w:p w14:paraId="6247B404" w14:textId="28324C2D" w:rsidR="00DC5BE9" w:rsidRPr="003E2D55" w:rsidRDefault="00DC5BE9" w:rsidP="003E2D55">
            <w:pPr>
              <w:spacing w:before="40" w:after="20"/>
              <w:jc w:val="center"/>
              <w:rPr>
                <w:rFonts w:cs="Arial"/>
                <w:sz w:val="18"/>
                <w:szCs w:val="18"/>
              </w:rPr>
            </w:pPr>
            <w:r w:rsidRPr="003E2D55">
              <w:rPr>
                <w:rFonts w:cs="Arial"/>
                <w:sz w:val="18"/>
                <w:szCs w:val="18"/>
              </w:rPr>
              <w:t>0.00</w:t>
            </w:r>
          </w:p>
        </w:tc>
        <w:tc>
          <w:tcPr>
            <w:tcW w:w="1021" w:type="dxa"/>
            <w:tcBorders>
              <w:top w:val="nil"/>
              <w:left w:val="nil"/>
              <w:bottom w:val="nil"/>
              <w:right w:val="nil"/>
            </w:tcBorders>
            <w:shd w:val="clear" w:color="auto" w:fill="auto"/>
            <w:vAlign w:val="bottom"/>
          </w:tcPr>
          <w:p w14:paraId="73D1FA22" w14:textId="3F53477F"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5975CDC8" w14:textId="78EAB8E3" w:rsidR="00DC5BE9" w:rsidRPr="003E2D55" w:rsidRDefault="00DC5BE9" w:rsidP="003E2D55">
            <w:pPr>
              <w:spacing w:before="40" w:after="20"/>
              <w:jc w:val="center"/>
              <w:rPr>
                <w:rFonts w:cs="Arial"/>
                <w:sz w:val="18"/>
                <w:szCs w:val="18"/>
              </w:rPr>
            </w:pPr>
            <w:r w:rsidRPr="003E2D55">
              <w:rPr>
                <w:rFonts w:cs="Arial"/>
                <w:sz w:val="18"/>
                <w:szCs w:val="18"/>
              </w:rPr>
              <w:t>18.2</w:t>
            </w:r>
          </w:p>
        </w:tc>
      </w:tr>
      <w:tr w:rsidR="00DC5BE9" w:rsidRPr="003E2D55" w14:paraId="0E30D9DE"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7DEA9638" w14:textId="77777777" w:rsidR="00DC5BE9" w:rsidRPr="003E2D55" w:rsidRDefault="00DC5BE9" w:rsidP="003E2D55">
            <w:pPr>
              <w:spacing w:before="40" w:after="20"/>
              <w:rPr>
                <w:rFonts w:cs="Arial"/>
                <w:sz w:val="18"/>
                <w:szCs w:val="18"/>
              </w:rPr>
            </w:pPr>
            <w:r w:rsidRPr="003E2D55">
              <w:rPr>
                <w:rFonts w:cs="Arial"/>
                <w:sz w:val="18"/>
                <w:szCs w:val="18"/>
              </w:rPr>
              <w:t>Strathbogie S</w:t>
            </w:r>
          </w:p>
        </w:tc>
        <w:tc>
          <w:tcPr>
            <w:tcW w:w="1021" w:type="dxa"/>
            <w:tcBorders>
              <w:top w:val="nil"/>
              <w:left w:val="single" w:sz="18" w:space="0" w:color="5F497A" w:themeColor="accent4" w:themeShade="BF"/>
              <w:bottom w:val="nil"/>
              <w:right w:val="nil"/>
            </w:tcBorders>
            <w:shd w:val="clear" w:color="auto" w:fill="auto"/>
            <w:vAlign w:val="bottom"/>
          </w:tcPr>
          <w:p w14:paraId="2B91DC67" w14:textId="0A6B4180" w:rsidR="00DC5BE9" w:rsidRPr="003E2D55" w:rsidRDefault="00DC5BE9" w:rsidP="003E2D55">
            <w:pPr>
              <w:spacing w:before="40" w:after="20"/>
              <w:jc w:val="center"/>
              <w:rPr>
                <w:rFonts w:cs="Arial"/>
                <w:sz w:val="18"/>
                <w:szCs w:val="18"/>
              </w:rPr>
            </w:pPr>
            <w:r w:rsidRPr="003E2D55">
              <w:rPr>
                <w:rFonts w:cs="Arial"/>
                <w:sz w:val="18"/>
                <w:szCs w:val="18"/>
              </w:rPr>
              <w:t>1.03</w:t>
            </w:r>
          </w:p>
        </w:tc>
        <w:tc>
          <w:tcPr>
            <w:tcW w:w="907" w:type="dxa"/>
            <w:tcBorders>
              <w:top w:val="nil"/>
              <w:left w:val="nil"/>
              <w:bottom w:val="nil"/>
              <w:right w:val="nil"/>
            </w:tcBorders>
            <w:shd w:val="clear" w:color="auto" w:fill="auto"/>
            <w:vAlign w:val="bottom"/>
          </w:tcPr>
          <w:p w14:paraId="15C13137" w14:textId="0B54E608"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908" w:type="dxa"/>
            <w:tcBorders>
              <w:top w:val="nil"/>
              <w:left w:val="nil"/>
              <w:bottom w:val="nil"/>
              <w:right w:val="nil"/>
            </w:tcBorders>
            <w:vAlign w:val="bottom"/>
          </w:tcPr>
          <w:p w14:paraId="2F89BDA2" w14:textId="2FDC0195" w:rsidR="00DC5BE9" w:rsidRPr="003E2D55" w:rsidRDefault="00DC5BE9" w:rsidP="003E2D55">
            <w:pPr>
              <w:spacing w:before="40" w:after="20"/>
              <w:jc w:val="center"/>
              <w:rPr>
                <w:rFonts w:cs="Arial"/>
                <w:sz w:val="18"/>
                <w:szCs w:val="18"/>
              </w:rPr>
            </w:pPr>
            <w:r w:rsidRPr="003E2D55">
              <w:rPr>
                <w:rFonts w:cs="Arial"/>
                <w:sz w:val="18"/>
                <w:szCs w:val="18"/>
              </w:rPr>
              <w:t>0.80</w:t>
            </w:r>
          </w:p>
        </w:tc>
        <w:tc>
          <w:tcPr>
            <w:tcW w:w="170" w:type="dxa"/>
            <w:tcBorders>
              <w:top w:val="nil"/>
              <w:left w:val="nil"/>
              <w:bottom w:val="nil"/>
              <w:right w:val="nil"/>
            </w:tcBorders>
            <w:vAlign w:val="bottom"/>
          </w:tcPr>
          <w:p w14:paraId="523CC199" w14:textId="53849A8C"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7FDBEAF0" w14:textId="760CB3DA" w:rsidR="00DC5BE9" w:rsidRPr="003E2D55" w:rsidRDefault="00DC5BE9" w:rsidP="003E2D55">
            <w:pPr>
              <w:spacing w:before="40" w:after="20"/>
              <w:jc w:val="center"/>
              <w:rPr>
                <w:rFonts w:cs="Arial"/>
                <w:sz w:val="18"/>
                <w:szCs w:val="18"/>
              </w:rPr>
            </w:pPr>
            <w:r w:rsidRPr="003E2D55">
              <w:rPr>
                <w:rFonts w:cs="Arial"/>
                <w:sz w:val="18"/>
                <w:szCs w:val="18"/>
              </w:rPr>
              <w:t>1.06</w:t>
            </w:r>
          </w:p>
        </w:tc>
        <w:tc>
          <w:tcPr>
            <w:tcW w:w="908" w:type="dxa"/>
            <w:tcBorders>
              <w:top w:val="nil"/>
              <w:left w:val="nil"/>
              <w:bottom w:val="nil"/>
              <w:right w:val="nil"/>
            </w:tcBorders>
            <w:shd w:val="clear" w:color="auto" w:fill="auto"/>
            <w:vAlign w:val="bottom"/>
          </w:tcPr>
          <w:p w14:paraId="32D0E9A8" w14:textId="5BF04A5C" w:rsidR="00DC5BE9" w:rsidRPr="003E2D55" w:rsidRDefault="00DC5BE9" w:rsidP="003E2D55">
            <w:pPr>
              <w:spacing w:before="40" w:after="20"/>
              <w:jc w:val="center"/>
              <w:rPr>
                <w:rFonts w:cs="Arial"/>
                <w:sz w:val="18"/>
                <w:szCs w:val="18"/>
              </w:rPr>
            </w:pPr>
            <w:r w:rsidRPr="003E2D55">
              <w:rPr>
                <w:rFonts w:cs="Arial"/>
                <w:sz w:val="18"/>
                <w:szCs w:val="18"/>
              </w:rPr>
              <w:t>1.03</w:t>
            </w:r>
          </w:p>
        </w:tc>
        <w:tc>
          <w:tcPr>
            <w:tcW w:w="1021" w:type="dxa"/>
            <w:tcBorders>
              <w:top w:val="nil"/>
              <w:left w:val="nil"/>
              <w:bottom w:val="nil"/>
              <w:right w:val="nil"/>
            </w:tcBorders>
            <w:shd w:val="clear" w:color="auto" w:fill="auto"/>
            <w:vAlign w:val="bottom"/>
          </w:tcPr>
          <w:p w14:paraId="13A09E3D" w14:textId="35AF3C97"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13E33339" w14:textId="1EB42D99" w:rsidR="00DC5BE9" w:rsidRPr="003E2D55" w:rsidRDefault="00DC5BE9" w:rsidP="003E2D55">
            <w:pPr>
              <w:spacing w:before="40" w:after="20"/>
              <w:jc w:val="center"/>
              <w:rPr>
                <w:rFonts w:cs="Arial"/>
                <w:sz w:val="18"/>
                <w:szCs w:val="18"/>
              </w:rPr>
            </w:pPr>
            <w:r w:rsidRPr="003E2D55">
              <w:rPr>
                <w:rFonts w:cs="Arial"/>
                <w:sz w:val="18"/>
                <w:szCs w:val="18"/>
              </w:rPr>
              <w:t>21.1</w:t>
            </w:r>
          </w:p>
        </w:tc>
      </w:tr>
      <w:tr w:rsidR="00DC5BE9" w:rsidRPr="003E2D55" w14:paraId="14C2B31E"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22CA0E" w14:textId="77777777" w:rsidR="00DC5BE9" w:rsidRPr="003E2D55" w:rsidRDefault="00DC5BE9" w:rsidP="003E2D55">
            <w:pPr>
              <w:spacing w:before="40" w:after="20"/>
              <w:rPr>
                <w:rFonts w:cs="Arial"/>
                <w:sz w:val="18"/>
                <w:szCs w:val="18"/>
              </w:rPr>
            </w:pPr>
            <w:r w:rsidRPr="003E2D55">
              <w:rPr>
                <w:rFonts w:cs="Arial"/>
                <w:sz w:val="18"/>
                <w:szCs w:val="18"/>
              </w:rPr>
              <w:t>Surf Coast S</w:t>
            </w:r>
          </w:p>
        </w:tc>
        <w:tc>
          <w:tcPr>
            <w:tcW w:w="1021" w:type="dxa"/>
            <w:tcBorders>
              <w:top w:val="nil"/>
              <w:left w:val="single" w:sz="18" w:space="0" w:color="5F497A" w:themeColor="accent4" w:themeShade="BF"/>
              <w:bottom w:val="nil"/>
              <w:right w:val="nil"/>
            </w:tcBorders>
            <w:shd w:val="clear" w:color="auto" w:fill="auto"/>
            <w:vAlign w:val="bottom"/>
          </w:tcPr>
          <w:p w14:paraId="68AE3B99" w14:textId="6B55897A"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7F31457B" w14:textId="3970CDFC" w:rsidR="00DC5BE9" w:rsidRPr="003E2D55" w:rsidRDefault="00DC5BE9" w:rsidP="003E2D55">
            <w:pPr>
              <w:spacing w:before="40" w:after="20"/>
              <w:jc w:val="center"/>
              <w:rPr>
                <w:rFonts w:cs="Arial"/>
                <w:sz w:val="18"/>
                <w:szCs w:val="18"/>
              </w:rPr>
            </w:pPr>
            <w:r w:rsidRPr="003E2D55">
              <w:rPr>
                <w:rFonts w:cs="Arial"/>
                <w:sz w:val="18"/>
                <w:szCs w:val="18"/>
              </w:rPr>
              <w:t>1.06</w:t>
            </w:r>
          </w:p>
        </w:tc>
        <w:tc>
          <w:tcPr>
            <w:tcW w:w="908" w:type="dxa"/>
            <w:tcBorders>
              <w:top w:val="nil"/>
              <w:left w:val="nil"/>
              <w:bottom w:val="nil"/>
              <w:right w:val="nil"/>
            </w:tcBorders>
            <w:vAlign w:val="bottom"/>
          </w:tcPr>
          <w:p w14:paraId="20437BEB" w14:textId="52CDD01C" w:rsidR="00DC5BE9" w:rsidRPr="003E2D55" w:rsidRDefault="00DC5BE9" w:rsidP="003E2D55">
            <w:pPr>
              <w:spacing w:before="40" w:after="20"/>
              <w:jc w:val="center"/>
              <w:rPr>
                <w:rFonts w:cs="Arial"/>
                <w:sz w:val="18"/>
                <w:szCs w:val="18"/>
              </w:rPr>
            </w:pPr>
            <w:r w:rsidRPr="003E2D55">
              <w:rPr>
                <w:rFonts w:cs="Arial"/>
                <w:sz w:val="18"/>
                <w:szCs w:val="18"/>
              </w:rPr>
              <w:t>1.12</w:t>
            </w:r>
          </w:p>
        </w:tc>
        <w:tc>
          <w:tcPr>
            <w:tcW w:w="170" w:type="dxa"/>
            <w:tcBorders>
              <w:top w:val="nil"/>
              <w:left w:val="nil"/>
              <w:bottom w:val="nil"/>
              <w:right w:val="nil"/>
            </w:tcBorders>
            <w:vAlign w:val="bottom"/>
          </w:tcPr>
          <w:p w14:paraId="57F5A024" w14:textId="2129BFCF"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050D60A5" w14:textId="743AE742"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8" w:type="dxa"/>
            <w:tcBorders>
              <w:top w:val="nil"/>
              <w:left w:val="nil"/>
              <w:bottom w:val="nil"/>
              <w:right w:val="nil"/>
            </w:tcBorders>
            <w:shd w:val="clear" w:color="auto" w:fill="auto"/>
            <w:vAlign w:val="bottom"/>
          </w:tcPr>
          <w:p w14:paraId="6D414C11" w14:textId="6CB9DB04"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7D1015DE" w14:textId="6BD33916"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6D23E2DA" w14:textId="2141EDF1" w:rsidR="00DC5BE9" w:rsidRPr="003E2D55" w:rsidRDefault="00DC5BE9" w:rsidP="003E2D55">
            <w:pPr>
              <w:spacing w:before="40" w:after="20"/>
              <w:jc w:val="center"/>
              <w:rPr>
                <w:rFonts w:cs="Arial"/>
                <w:sz w:val="18"/>
                <w:szCs w:val="18"/>
              </w:rPr>
            </w:pPr>
            <w:r w:rsidRPr="003E2D55">
              <w:rPr>
                <w:rFonts w:cs="Arial"/>
                <w:sz w:val="18"/>
                <w:szCs w:val="18"/>
              </w:rPr>
              <w:t>43.3</w:t>
            </w:r>
          </w:p>
        </w:tc>
      </w:tr>
      <w:tr w:rsidR="00DC5BE9" w:rsidRPr="003E2D55" w14:paraId="27610AA7"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0C5E4B5C" w14:textId="77777777" w:rsidR="00DC5BE9" w:rsidRPr="003E2D55" w:rsidRDefault="00DC5BE9" w:rsidP="003E2D55">
            <w:pPr>
              <w:spacing w:before="40" w:after="20"/>
              <w:rPr>
                <w:rFonts w:cs="Arial"/>
                <w:sz w:val="18"/>
                <w:szCs w:val="18"/>
              </w:rPr>
            </w:pPr>
            <w:r w:rsidRPr="003E2D55">
              <w:rPr>
                <w:rFonts w:cs="Arial"/>
                <w:sz w:val="18"/>
                <w:szCs w:val="18"/>
              </w:rPr>
              <w:t>Swan Hill RC</w:t>
            </w:r>
          </w:p>
        </w:tc>
        <w:tc>
          <w:tcPr>
            <w:tcW w:w="1021" w:type="dxa"/>
            <w:tcBorders>
              <w:top w:val="nil"/>
              <w:left w:val="single" w:sz="18" w:space="0" w:color="5F497A" w:themeColor="accent4" w:themeShade="BF"/>
              <w:bottom w:val="nil"/>
              <w:right w:val="nil"/>
            </w:tcBorders>
            <w:shd w:val="clear" w:color="auto" w:fill="auto"/>
            <w:vAlign w:val="bottom"/>
          </w:tcPr>
          <w:p w14:paraId="187DCA83" w14:textId="2225A31D" w:rsidR="00DC5BE9" w:rsidRPr="003E2D55" w:rsidRDefault="00DC5BE9" w:rsidP="003E2D55">
            <w:pPr>
              <w:spacing w:before="40" w:after="20"/>
              <w:jc w:val="center"/>
              <w:rPr>
                <w:rFonts w:cs="Arial"/>
                <w:sz w:val="18"/>
                <w:szCs w:val="18"/>
              </w:rPr>
            </w:pPr>
            <w:r w:rsidRPr="003E2D55">
              <w:rPr>
                <w:rFonts w:cs="Arial"/>
                <w:sz w:val="18"/>
                <w:szCs w:val="18"/>
              </w:rPr>
              <w:t>1.03</w:t>
            </w:r>
          </w:p>
        </w:tc>
        <w:tc>
          <w:tcPr>
            <w:tcW w:w="907" w:type="dxa"/>
            <w:tcBorders>
              <w:top w:val="nil"/>
              <w:left w:val="nil"/>
              <w:bottom w:val="nil"/>
              <w:right w:val="nil"/>
            </w:tcBorders>
            <w:shd w:val="clear" w:color="auto" w:fill="auto"/>
            <w:vAlign w:val="bottom"/>
          </w:tcPr>
          <w:p w14:paraId="2CCEBF02" w14:textId="2E4F373D"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908" w:type="dxa"/>
            <w:tcBorders>
              <w:top w:val="nil"/>
              <w:left w:val="nil"/>
              <w:bottom w:val="nil"/>
              <w:right w:val="nil"/>
            </w:tcBorders>
            <w:vAlign w:val="bottom"/>
          </w:tcPr>
          <w:p w14:paraId="12828B24" w14:textId="121BD9C2" w:rsidR="00DC5BE9" w:rsidRPr="003E2D55" w:rsidRDefault="00DC5BE9" w:rsidP="003E2D55">
            <w:pPr>
              <w:spacing w:before="40" w:after="20"/>
              <w:jc w:val="center"/>
              <w:rPr>
                <w:rFonts w:cs="Arial"/>
                <w:sz w:val="18"/>
                <w:szCs w:val="18"/>
              </w:rPr>
            </w:pPr>
            <w:r w:rsidRPr="003E2D55">
              <w:rPr>
                <w:rFonts w:cs="Arial"/>
                <w:sz w:val="18"/>
                <w:szCs w:val="18"/>
              </w:rPr>
              <w:t>0.75</w:t>
            </w:r>
          </w:p>
        </w:tc>
        <w:tc>
          <w:tcPr>
            <w:tcW w:w="170" w:type="dxa"/>
            <w:tcBorders>
              <w:top w:val="nil"/>
              <w:left w:val="nil"/>
              <w:bottom w:val="nil"/>
              <w:right w:val="nil"/>
            </w:tcBorders>
            <w:vAlign w:val="bottom"/>
          </w:tcPr>
          <w:p w14:paraId="3520AEA2" w14:textId="59B01E99"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41D84C6D" w14:textId="572CD8F9" w:rsidR="00DC5BE9" w:rsidRPr="003E2D55" w:rsidRDefault="00DC5BE9" w:rsidP="003E2D55">
            <w:pPr>
              <w:spacing w:before="40" w:after="20"/>
              <w:jc w:val="center"/>
              <w:rPr>
                <w:rFonts w:cs="Arial"/>
                <w:sz w:val="18"/>
                <w:szCs w:val="18"/>
              </w:rPr>
            </w:pPr>
            <w:r w:rsidRPr="003E2D55">
              <w:rPr>
                <w:rFonts w:cs="Arial"/>
                <w:sz w:val="18"/>
                <w:szCs w:val="18"/>
              </w:rPr>
              <w:t>1.06</w:t>
            </w:r>
          </w:p>
        </w:tc>
        <w:tc>
          <w:tcPr>
            <w:tcW w:w="908" w:type="dxa"/>
            <w:tcBorders>
              <w:top w:val="nil"/>
              <w:left w:val="nil"/>
              <w:bottom w:val="nil"/>
              <w:right w:val="nil"/>
            </w:tcBorders>
            <w:shd w:val="clear" w:color="auto" w:fill="auto"/>
            <w:vAlign w:val="bottom"/>
          </w:tcPr>
          <w:p w14:paraId="21F8C7B1" w14:textId="241890D6" w:rsidR="00DC5BE9" w:rsidRPr="003E2D55" w:rsidRDefault="00DC5BE9" w:rsidP="003E2D55">
            <w:pPr>
              <w:spacing w:before="40" w:after="20"/>
              <w:jc w:val="center"/>
              <w:rPr>
                <w:rFonts w:cs="Arial"/>
                <w:sz w:val="18"/>
                <w:szCs w:val="18"/>
              </w:rPr>
            </w:pPr>
            <w:r w:rsidRPr="003E2D55">
              <w:rPr>
                <w:rFonts w:cs="Arial"/>
                <w:sz w:val="18"/>
                <w:szCs w:val="18"/>
              </w:rPr>
              <w:t>1.06</w:t>
            </w:r>
          </w:p>
        </w:tc>
        <w:tc>
          <w:tcPr>
            <w:tcW w:w="1021" w:type="dxa"/>
            <w:tcBorders>
              <w:top w:val="nil"/>
              <w:left w:val="nil"/>
              <w:bottom w:val="nil"/>
              <w:right w:val="nil"/>
            </w:tcBorders>
            <w:shd w:val="clear" w:color="auto" w:fill="auto"/>
            <w:vAlign w:val="bottom"/>
          </w:tcPr>
          <w:p w14:paraId="60119FD3" w14:textId="0ACDC465"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1021" w:type="dxa"/>
            <w:tcBorders>
              <w:top w:val="nil"/>
              <w:left w:val="nil"/>
              <w:bottom w:val="nil"/>
              <w:right w:val="nil"/>
            </w:tcBorders>
            <w:shd w:val="clear" w:color="auto" w:fill="auto"/>
            <w:vAlign w:val="bottom"/>
          </w:tcPr>
          <w:p w14:paraId="1F2D4948" w14:textId="12F41E1A" w:rsidR="00DC5BE9" w:rsidRPr="003E2D55" w:rsidRDefault="00DC5BE9" w:rsidP="003E2D55">
            <w:pPr>
              <w:spacing w:before="40" w:after="20"/>
              <w:jc w:val="center"/>
              <w:rPr>
                <w:rFonts w:cs="Arial"/>
                <w:sz w:val="18"/>
                <w:szCs w:val="18"/>
              </w:rPr>
            </w:pPr>
            <w:r w:rsidRPr="003E2D55">
              <w:rPr>
                <w:rFonts w:cs="Arial"/>
                <w:sz w:val="18"/>
                <w:szCs w:val="18"/>
              </w:rPr>
              <w:t>23.7</w:t>
            </w:r>
          </w:p>
        </w:tc>
      </w:tr>
      <w:tr w:rsidR="00DC5BE9" w:rsidRPr="003E2D55" w14:paraId="599358F0"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50E264AF" w14:textId="77777777" w:rsidR="00DC5BE9" w:rsidRPr="003E2D55" w:rsidRDefault="00DC5BE9" w:rsidP="003E2D55">
            <w:pPr>
              <w:spacing w:before="40" w:after="20"/>
              <w:rPr>
                <w:rFonts w:cs="Arial"/>
                <w:sz w:val="18"/>
                <w:szCs w:val="18"/>
              </w:rPr>
            </w:pPr>
            <w:r w:rsidRPr="003E2D55">
              <w:rPr>
                <w:rFonts w:cs="Arial"/>
                <w:sz w:val="18"/>
                <w:szCs w:val="18"/>
              </w:rPr>
              <w:t>Towong S</w:t>
            </w:r>
          </w:p>
        </w:tc>
        <w:tc>
          <w:tcPr>
            <w:tcW w:w="1021" w:type="dxa"/>
            <w:tcBorders>
              <w:top w:val="nil"/>
              <w:left w:val="single" w:sz="18" w:space="0" w:color="5F497A" w:themeColor="accent4" w:themeShade="BF"/>
              <w:bottom w:val="nil"/>
              <w:right w:val="nil"/>
            </w:tcBorders>
            <w:shd w:val="clear" w:color="auto" w:fill="auto"/>
            <w:vAlign w:val="bottom"/>
          </w:tcPr>
          <w:p w14:paraId="183D7A5F" w14:textId="5D185882" w:rsidR="00DC5BE9" w:rsidRPr="003E2D55" w:rsidRDefault="00DC5BE9" w:rsidP="003E2D55">
            <w:pPr>
              <w:spacing w:before="40" w:after="20"/>
              <w:jc w:val="center"/>
              <w:rPr>
                <w:rFonts w:cs="Arial"/>
                <w:sz w:val="18"/>
                <w:szCs w:val="18"/>
              </w:rPr>
            </w:pPr>
            <w:r w:rsidRPr="003E2D55">
              <w:rPr>
                <w:rFonts w:cs="Arial"/>
                <w:sz w:val="18"/>
                <w:szCs w:val="18"/>
              </w:rPr>
              <w:t>1.03</w:t>
            </w:r>
          </w:p>
        </w:tc>
        <w:tc>
          <w:tcPr>
            <w:tcW w:w="907" w:type="dxa"/>
            <w:tcBorders>
              <w:top w:val="nil"/>
              <w:left w:val="nil"/>
              <w:bottom w:val="nil"/>
              <w:right w:val="nil"/>
            </w:tcBorders>
            <w:shd w:val="clear" w:color="auto" w:fill="auto"/>
            <w:vAlign w:val="bottom"/>
          </w:tcPr>
          <w:p w14:paraId="098C5E77" w14:textId="7AE33DF5" w:rsidR="00DC5BE9" w:rsidRPr="003E2D55" w:rsidRDefault="00DC5BE9" w:rsidP="003E2D55">
            <w:pPr>
              <w:spacing w:before="40" w:after="20"/>
              <w:jc w:val="center"/>
              <w:rPr>
                <w:rFonts w:cs="Arial"/>
                <w:sz w:val="18"/>
                <w:szCs w:val="18"/>
              </w:rPr>
            </w:pPr>
            <w:r w:rsidRPr="003E2D55">
              <w:rPr>
                <w:rFonts w:cs="Arial"/>
                <w:sz w:val="18"/>
                <w:szCs w:val="18"/>
              </w:rPr>
              <w:t>1.08</w:t>
            </w:r>
          </w:p>
        </w:tc>
        <w:tc>
          <w:tcPr>
            <w:tcW w:w="908" w:type="dxa"/>
            <w:tcBorders>
              <w:top w:val="nil"/>
              <w:left w:val="nil"/>
              <w:bottom w:val="nil"/>
              <w:right w:val="nil"/>
            </w:tcBorders>
            <w:vAlign w:val="bottom"/>
          </w:tcPr>
          <w:p w14:paraId="6910A770" w14:textId="2029C9EF" w:rsidR="00DC5BE9" w:rsidRPr="003E2D55" w:rsidRDefault="00DC5BE9" w:rsidP="003E2D55">
            <w:pPr>
              <w:spacing w:before="40" w:after="20"/>
              <w:jc w:val="center"/>
              <w:rPr>
                <w:rFonts w:cs="Arial"/>
                <w:sz w:val="18"/>
                <w:szCs w:val="18"/>
              </w:rPr>
            </w:pPr>
            <w:r w:rsidRPr="003E2D55">
              <w:rPr>
                <w:rFonts w:cs="Arial"/>
                <w:sz w:val="18"/>
                <w:szCs w:val="18"/>
              </w:rPr>
              <w:t>1.20</w:t>
            </w:r>
          </w:p>
        </w:tc>
        <w:tc>
          <w:tcPr>
            <w:tcW w:w="170" w:type="dxa"/>
            <w:tcBorders>
              <w:top w:val="nil"/>
              <w:left w:val="nil"/>
              <w:bottom w:val="nil"/>
              <w:right w:val="nil"/>
            </w:tcBorders>
            <w:vAlign w:val="bottom"/>
          </w:tcPr>
          <w:p w14:paraId="3EF453F9" w14:textId="5492A87A"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3E463A98" w14:textId="65314E8D"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908" w:type="dxa"/>
            <w:tcBorders>
              <w:top w:val="nil"/>
              <w:left w:val="nil"/>
              <w:bottom w:val="nil"/>
              <w:right w:val="nil"/>
            </w:tcBorders>
            <w:shd w:val="clear" w:color="auto" w:fill="auto"/>
            <w:vAlign w:val="bottom"/>
          </w:tcPr>
          <w:p w14:paraId="2742A978" w14:textId="0FA7B0F6"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436C28AD" w14:textId="3DD19F88" w:rsidR="00DC5BE9" w:rsidRPr="003E2D55" w:rsidRDefault="00DC5BE9" w:rsidP="003E2D55">
            <w:pPr>
              <w:spacing w:before="40" w:after="20"/>
              <w:jc w:val="center"/>
              <w:rPr>
                <w:rFonts w:cs="Arial"/>
                <w:sz w:val="18"/>
                <w:szCs w:val="18"/>
              </w:rPr>
            </w:pPr>
            <w:r w:rsidRPr="003E2D55">
              <w:rPr>
                <w:rFonts w:cs="Arial"/>
                <w:sz w:val="18"/>
                <w:szCs w:val="18"/>
              </w:rPr>
              <w:t>0.99</w:t>
            </w:r>
          </w:p>
        </w:tc>
        <w:tc>
          <w:tcPr>
            <w:tcW w:w="1021" w:type="dxa"/>
            <w:tcBorders>
              <w:top w:val="nil"/>
              <w:left w:val="nil"/>
              <w:bottom w:val="nil"/>
              <w:right w:val="nil"/>
            </w:tcBorders>
            <w:shd w:val="clear" w:color="auto" w:fill="auto"/>
            <w:vAlign w:val="bottom"/>
          </w:tcPr>
          <w:p w14:paraId="276144A6" w14:textId="2DE1F57B" w:rsidR="00DC5BE9" w:rsidRPr="003E2D55" w:rsidRDefault="00DC5BE9" w:rsidP="003E2D55">
            <w:pPr>
              <w:spacing w:before="40" w:after="20"/>
              <w:jc w:val="center"/>
              <w:rPr>
                <w:rFonts w:cs="Arial"/>
                <w:sz w:val="18"/>
                <w:szCs w:val="18"/>
              </w:rPr>
            </w:pPr>
            <w:r w:rsidRPr="003E2D55">
              <w:rPr>
                <w:rFonts w:cs="Arial"/>
                <w:sz w:val="18"/>
                <w:szCs w:val="18"/>
              </w:rPr>
              <w:t>32.1</w:t>
            </w:r>
          </w:p>
        </w:tc>
      </w:tr>
      <w:tr w:rsidR="00DC5BE9" w:rsidRPr="003E2D55" w14:paraId="61824E7F"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04C7D7B7" w14:textId="77777777" w:rsidR="00DC5BE9" w:rsidRPr="003E2D55" w:rsidRDefault="00DC5BE9" w:rsidP="003E2D55">
            <w:pPr>
              <w:spacing w:before="40" w:after="20"/>
              <w:rPr>
                <w:rFonts w:cs="Arial"/>
                <w:sz w:val="18"/>
                <w:szCs w:val="18"/>
              </w:rPr>
            </w:pPr>
            <w:r w:rsidRPr="003E2D55">
              <w:rPr>
                <w:rFonts w:cs="Arial"/>
                <w:sz w:val="18"/>
                <w:szCs w:val="18"/>
              </w:rPr>
              <w:t>Wangaratta RC</w:t>
            </w:r>
          </w:p>
        </w:tc>
        <w:tc>
          <w:tcPr>
            <w:tcW w:w="1021" w:type="dxa"/>
            <w:tcBorders>
              <w:top w:val="nil"/>
              <w:left w:val="single" w:sz="18" w:space="0" w:color="5F497A" w:themeColor="accent4" w:themeShade="BF"/>
              <w:bottom w:val="nil"/>
              <w:right w:val="nil"/>
            </w:tcBorders>
            <w:shd w:val="clear" w:color="auto" w:fill="auto"/>
            <w:vAlign w:val="bottom"/>
          </w:tcPr>
          <w:p w14:paraId="01AB49DF" w14:textId="40C91D8A" w:rsidR="00DC5BE9" w:rsidRPr="003E2D55" w:rsidRDefault="00DC5BE9" w:rsidP="003E2D55">
            <w:pPr>
              <w:spacing w:before="40" w:after="20"/>
              <w:jc w:val="center"/>
              <w:rPr>
                <w:rFonts w:cs="Arial"/>
                <w:sz w:val="18"/>
                <w:szCs w:val="18"/>
              </w:rPr>
            </w:pPr>
            <w:r w:rsidRPr="003E2D55">
              <w:rPr>
                <w:rFonts w:cs="Arial"/>
                <w:sz w:val="18"/>
                <w:szCs w:val="18"/>
              </w:rPr>
              <w:t>1.00</w:t>
            </w:r>
          </w:p>
        </w:tc>
        <w:tc>
          <w:tcPr>
            <w:tcW w:w="907" w:type="dxa"/>
            <w:tcBorders>
              <w:top w:val="nil"/>
              <w:left w:val="nil"/>
              <w:bottom w:val="nil"/>
              <w:right w:val="nil"/>
            </w:tcBorders>
            <w:shd w:val="clear" w:color="auto" w:fill="auto"/>
            <w:vAlign w:val="bottom"/>
          </w:tcPr>
          <w:p w14:paraId="233DA0F1" w14:textId="6E1C56B6"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8" w:type="dxa"/>
            <w:tcBorders>
              <w:top w:val="nil"/>
              <w:left w:val="nil"/>
              <w:bottom w:val="nil"/>
              <w:right w:val="nil"/>
            </w:tcBorders>
            <w:vAlign w:val="bottom"/>
          </w:tcPr>
          <w:p w14:paraId="0E54087C" w14:textId="785E4343" w:rsidR="00DC5BE9" w:rsidRPr="003E2D55" w:rsidRDefault="00DC5BE9" w:rsidP="003E2D55">
            <w:pPr>
              <w:spacing w:before="40" w:after="20"/>
              <w:jc w:val="center"/>
              <w:rPr>
                <w:rFonts w:cs="Arial"/>
                <w:sz w:val="18"/>
                <w:szCs w:val="18"/>
              </w:rPr>
            </w:pPr>
            <w:r w:rsidRPr="003E2D55">
              <w:rPr>
                <w:rFonts w:cs="Arial"/>
                <w:sz w:val="18"/>
                <w:szCs w:val="18"/>
              </w:rPr>
              <w:t>0.83</w:t>
            </w:r>
          </w:p>
        </w:tc>
        <w:tc>
          <w:tcPr>
            <w:tcW w:w="170" w:type="dxa"/>
            <w:tcBorders>
              <w:top w:val="nil"/>
              <w:left w:val="nil"/>
              <w:bottom w:val="nil"/>
              <w:right w:val="nil"/>
            </w:tcBorders>
            <w:vAlign w:val="bottom"/>
          </w:tcPr>
          <w:p w14:paraId="48D639BD" w14:textId="19562272"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5D71E671" w14:textId="3ACC4A22" w:rsidR="00DC5BE9" w:rsidRPr="003E2D55" w:rsidRDefault="00DC5BE9" w:rsidP="003E2D55">
            <w:pPr>
              <w:spacing w:before="40" w:after="20"/>
              <w:jc w:val="center"/>
              <w:rPr>
                <w:rFonts w:cs="Arial"/>
                <w:sz w:val="18"/>
                <w:szCs w:val="18"/>
              </w:rPr>
            </w:pPr>
            <w:r w:rsidRPr="003E2D55">
              <w:rPr>
                <w:rFonts w:cs="Arial"/>
                <w:sz w:val="18"/>
                <w:szCs w:val="18"/>
              </w:rPr>
              <w:t>1.05</w:t>
            </w:r>
          </w:p>
        </w:tc>
        <w:tc>
          <w:tcPr>
            <w:tcW w:w="908" w:type="dxa"/>
            <w:tcBorders>
              <w:top w:val="nil"/>
              <w:left w:val="nil"/>
              <w:bottom w:val="nil"/>
              <w:right w:val="nil"/>
            </w:tcBorders>
            <w:shd w:val="clear" w:color="auto" w:fill="auto"/>
            <w:vAlign w:val="bottom"/>
          </w:tcPr>
          <w:p w14:paraId="75A274A2" w14:textId="4AFDCAF5" w:rsidR="00DC5BE9" w:rsidRPr="003E2D55" w:rsidRDefault="00DC5BE9" w:rsidP="003E2D55">
            <w:pPr>
              <w:spacing w:before="40" w:after="20"/>
              <w:jc w:val="center"/>
              <w:rPr>
                <w:rFonts w:cs="Arial"/>
                <w:sz w:val="18"/>
                <w:szCs w:val="18"/>
              </w:rPr>
            </w:pPr>
            <w:r w:rsidRPr="003E2D55">
              <w:rPr>
                <w:rFonts w:cs="Arial"/>
                <w:sz w:val="18"/>
                <w:szCs w:val="18"/>
              </w:rPr>
              <w:t>1.02</w:t>
            </w:r>
          </w:p>
        </w:tc>
        <w:tc>
          <w:tcPr>
            <w:tcW w:w="1021" w:type="dxa"/>
            <w:tcBorders>
              <w:top w:val="nil"/>
              <w:left w:val="nil"/>
              <w:bottom w:val="nil"/>
              <w:right w:val="nil"/>
            </w:tcBorders>
            <w:shd w:val="clear" w:color="auto" w:fill="auto"/>
            <w:vAlign w:val="bottom"/>
          </w:tcPr>
          <w:p w14:paraId="74616728" w14:textId="4FB73A53"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57BF508E" w14:textId="43457192" w:rsidR="00DC5BE9" w:rsidRPr="003E2D55" w:rsidRDefault="00DC5BE9" w:rsidP="003E2D55">
            <w:pPr>
              <w:spacing w:before="40" w:after="20"/>
              <w:jc w:val="center"/>
              <w:rPr>
                <w:rFonts w:cs="Arial"/>
                <w:sz w:val="18"/>
                <w:szCs w:val="18"/>
              </w:rPr>
            </w:pPr>
            <w:r w:rsidRPr="003E2D55">
              <w:rPr>
                <w:rFonts w:cs="Arial"/>
                <w:sz w:val="18"/>
                <w:szCs w:val="18"/>
              </w:rPr>
              <w:t>33.9</w:t>
            </w:r>
          </w:p>
        </w:tc>
      </w:tr>
      <w:tr w:rsidR="00DC5BE9" w:rsidRPr="003E2D55" w14:paraId="1D81CDCD"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5F0A4217" w14:textId="77777777" w:rsidR="00DC5BE9" w:rsidRPr="003E2D55" w:rsidRDefault="00DC5BE9" w:rsidP="003E2D55">
            <w:pPr>
              <w:spacing w:before="40" w:after="20"/>
              <w:rPr>
                <w:rFonts w:cs="Arial"/>
                <w:sz w:val="18"/>
                <w:szCs w:val="18"/>
              </w:rPr>
            </w:pPr>
            <w:r w:rsidRPr="003E2D55">
              <w:rPr>
                <w:rFonts w:cs="Arial"/>
                <w:sz w:val="18"/>
                <w:szCs w:val="18"/>
              </w:rPr>
              <w:t>Warrnambool C</w:t>
            </w:r>
          </w:p>
        </w:tc>
        <w:tc>
          <w:tcPr>
            <w:tcW w:w="1021" w:type="dxa"/>
            <w:tcBorders>
              <w:top w:val="nil"/>
              <w:left w:val="single" w:sz="18" w:space="0" w:color="5F497A" w:themeColor="accent4" w:themeShade="BF"/>
              <w:bottom w:val="nil"/>
              <w:right w:val="nil"/>
            </w:tcBorders>
            <w:shd w:val="clear" w:color="auto" w:fill="auto"/>
            <w:vAlign w:val="bottom"/>
          </w:tcPr>
          <w:p w14:paraId="27965209" w14:textId="7541FA22"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907" w:type="dxa"/>
            <w:tcBorders>
              <w:top w:val="nil"/>
              <w:left w:val="nil"/>
              <w:bottom w:val="nil"/>
              <w:right w:val="nil"/>
            </w:tcBorders>
            <w:shd w:val="clear" w:color="auto" w:fill="auto"/>
            <w:vAlign w:val="bottom"/>
          </w:tcPr>
          <w:p w14:paraId="4CD5E967" w14:textId="6B0ECDA4" w:rsidR="00DC5BE9" w:rsidRPr="003E2D55" w:rsidRDefault="00DC5BE9" w:rsidP="003E2D55">
            <w:pPr>
              <w:spacing w:before="40" w:after="20"/>
              <w:jc w:val="center"/>
              <w:rPr>
                <w:rFonts w:cs="Arial"/>
                <w:sz w:val="18"/>
                <w:szCs w:val="18"/>
              </w:rPr>
            </w:pPr>
            <w:r w:rsidRPr="003E2D55">
              <w:rPr>
                <w:rFonts w:cs="Arial"/>
                <w:sz w:val="18"/>
                <w:szCs w:val="18"/>
              </w:rPr>
              <w:t>1.06</w:t>
            </w:r>
          </w:p>
        </w:tc>
        <w:tc>
          <w:tcPr>
            <w:tcW w:w="908" w:type="dxa"/>
            <w:tcBorders>
              <w:top w:val="nil"/>
              <w:left w:val="nil"/>
              <w:bottom w:val="nil"/>
              <w:right w:val="nil"/>
            </w:tcBorders>
            <w:vAlign w:val="bottom"/>
          </w:tcPr>
          <w:p w14:paraId="4567EEDB" w14:textId="77BB4782" w:rsidR="00DC5BE9" w:rsidRPr="003E2D55" w:rsidRDefault="00DC5BE9" w:rsidP="003E2D55">
            <w:pPr>
              <w:spacing w:before="40" w:after="20"/>
              <w:jc w:val="center"/>
              <w:rPr>
                <w:rFonts w:cs="Arial"/>
                <w:sz w:val="18"/>
                <w:szCs w:val="18"/>
              </w:rPr>
            </w:pPr>
            <w:r w:rsidRPr="003E2D55">
              <w:rPr>
                <w:rFonts w:cs="Arial"/>
                <w:sz w:val="18"/>
                <w:szCs w:val="18"/>
              </w:rPr>
              <w:t>1.12</w:t>
            </w:r>
          </w:p>
        </w:tc>
        <w:tc>
          <w:tcPr>
            <w:tcW w:w="170" w:type="dxa"/>
            <w:tcBorders>
              <w:top w:val="nil"/>
              <w:left w:val="nil"/>
              <w:bottom w:val="nil"/>
              <w:right w:val="nil"/>
            </w:tcBorders>
            <w:vAlign w:val="bottom"/>
          </w:tcPr>
          <w:p w14:paraId="3F432A9D" w14:textId="187425E4"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0EC6A7D3" w14:textId="03ED6DD2"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908" w:type="dxa"/>
            <w:tcBorders>
              <w:top w:val="nil"/>
              <w:left w:val="nil"/>
              <w:bottom w:val="nil"/>
              <w:right w:val="nil"/>
            </w:tcBorders>
            <w:shd w:val="clear" w:color="auto" w:fill="auto"/>
            <w:vAlign w:val="bottom"/>
          </w:tcPr>
          <w:p w14:paraId="7620F482" w14:textId="37A9E556" w:rsidR="00DC5BE9" w:rsidRPr="003E2D55" w:rsidRDefault="00DC5BE9" w:rsidP="003E2D55">
            <w:pPr>
              <w:spacing w:before="40" w:after="20"/>
              <w:jc w:val="center"/>
              <w:rPr>
                <w:rFonts w:cs="Arial"/>
                <w:sz w:val="18"/>
                <w:szCs w:val="18"/>
              </w:rPr>
            </w:pPr>
            <w:r w:rsidRPr="003E2D55">
              <w:rPr>
                <w:rFonts w:cs="Arial"/>
                <w:sz w:val="18"/>
                <w:szCs w:val="18"/>
              </w:rPr>
              <w:t>1.00</w:t>
            </w:r>
          </w:p>
        </w:tc>
        <w:tc>
          <w:tcPr>
            <w:tcW w:w="1021" w:type="dxa"/>
            <w:tcBorders>
              <w:top w:val="nil"/>
              <w:left w:val="nil"/>
              <w:bottom w:val="nil"/>
              <w:right w:val="nil"/>
            </w:tcBorders>
            <w:shd w:val="clear" w:color="auto" w:fill="auto"/>
            <w:vAlign w:val="bottom"/>
          </w:tcPr>
          <w:p w14:paraId="69511B88" w14:textId="42A59089"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1021" w:type="dxa"/>
            <w:tcBorders>
              <w:top w:val="nil"/>
              <w:left w:val="nil"/>
              <w:bottom w:val="nil"/>
              <w:right w:val="nil"/>
            </w:tcBorders>
            <w:shd w:val="clear" w:color="auto" w:fill="auto"/>
            <w:vAlign w:val="bottom"/>
          </w:tcPr>
          <w:p w14:paraId="679A176E" w14:textId="64A6A518" w:rsidR="00DC5BE9" w:rsidRPr="003E2D55" w:rsidRDefault="00DC5BE9" w:rsidP="003E2D55">
            <w:pPr>
              <w:spacing w:before="40" w:after="20"/>
              <w:jc w:val="center"/>
              <w:rPr>
                <w:rFonts w:cs="Arial"/>
                <w:sz w:val="18"/>
                <w:szCs w:val="18"/>
              </w:rPr>
            </w:pPr>
            <w:r w:rsidRPr="003E2D55">
              <w:rPr>
                <w:rFonts w:cs="Arial"/>
                <w:sz w:val="18"/>
                <w:szCs w:val="18"/>
              </w:rPr>
              <w:t>25.7</w:t>
            </w:r>
          </w:p>
        </w:tc>
      </w:tr>
      <w:tr w:rsidR="00DC5BE9" w:rsidRPr="003E2D55" w14:paraId="5904B309"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17C0E819" w14:textId="77777777" w:rsidR="00DC5BE9" w:rsidRPr="003E2D55" w:rsidRDefault="00DC5BE9" w:rsidP="003E2D55">
            <w:pPr>
              <w:spacing w:before="40" w:after="20"/>
              <w:rPr>
                <w:rFonts w:cs="Arial"/>
                <w:sz w:val="18"/>
                <w:szCs w:val="18"/>
              </w:rPr>
            </w:pPr>
            <w:r w:rsidRPr="003E2D55">
              <w:rPr>
                <w:rFonts w:cs="Arial"/>
                <w:sz w:val="18"/>
                <w:szCs w:val="18"/>
              </w:rPr>
              <w:t>Wellington S</w:t>
            </w:r>
          </w:p>
        </w:tc>
        <w:tc>
          <w:tcPr>
            <w:tcW w:w="1021" w:type="dxa"/>
            <w:tcBorders>
              <w:top w:val="nil"/>
              <w:left w:val="single" w:sz="18" w:space="0" w:color="5F497A" w:themeColor="accent4" w:themeShade="BF"/>
              <w:bottom w:val="nil"/>
              <w:right w:val="nil"/>
            </w:tcBorders>
            <w:shd w:val="clear" w:color="auto" w:fill="auto"/>
            <w:vAlign w:val="bottom"/>
          </w:tcPr>
          <w:p w14:paraId="5E94CA84" w14:textId="04BBF1A5" w:rsidR="00DC5BE9" w:rsidRPr="003E2D55" w:rsidRDefault="00DC5BE9" w:rsidP="003E2D55">
            <w:pPr>
              <w:spacing w:before="40" w:after="20"/>
              <w:jc w:val="center"/>
              <w:rPr>
                <w:rFonts w:cs="Arial"/>
                <w:sz w:val="18"/>
                <w:szCs w:val="18"/>
              </w:rPr>
            </w:pPr>
            <w:r w:rsidRPr="003E2D55">
              <w:rPr>
                <w:rFonts w:cs="Arial"/>
                <w:sz w:val="18"/>
                <w:szCs w:val="18"/>
              </w:rPr>
              <w:t>1.01</w:t>
            </w:r>
          </w:p>
        </w:tc>
        <w:tc>
          <w:tcPr>
            <w:tcW w:w="907" w:type="dxa"/>
            <w:tcBorders>
              <w:top w:val="nil"/>
              <w:left w:val="nil"/>
              <w:bottom w:val="nil"/>
              <w:right w:val="nil"/>
            </w:tcBorders>
            <w:shd w:val="clear" w:color="auto" w:fill="auto"/>
            <w:vAlign w:val="bottom"/>
          </w:tcPr>
          <w:p w14:paraId="0D2A1614" w14:textId="4A896D43" w:rsidR="00DC5BE9" w:rsidRPr="003E2D55" w:rsidRDefault="00DC5BE9" w:rsidP="003E2D55">
            <w:pPr>
              <w:spacing w:before="40" w:after="20"/>
              <w:jc w:val="center"/>
              <w:rPr>
                <w:rFonts w:cs="Arial"/>
                <w:sz w:val="18"/>
                <w:szCs w:val="18"/>
              </w:rPr>
            </w:pPr>
            <w:r w:rsidRPr="003E2D55">
              <w:rPr>
                <w:rFonts w:cs="Arial"/>
                <w:sz w:val="18"/>
                <w:szCs w:val="18"/>
              </w:rPr>
              <w:t>1.02</w:t>
            </w:r>
          </w:p>
        </w:tc>
        <w:tc>
          <w:tcPr>
            <w:tcW w:w="908" w:type="dxa"/>
            <w:tcBorders>
              <w:top w:val="nil"/>
              <w:left w:val="nil"/>
              <w:bottom w:val="nil"/>
              <w:right w:val="nil"/>
            </w:tcBorders>
            <w:vAlign w:val="bottom"/>
          </w:tcPr>
          <w:p w14:paraId="229DB4DD" w14:textId="27907464" w:rsidR="00DC5BE9" w:rsidRPr="003E2D55" w:rsidRDefault="00DC5BE9" w:rsidP="003E2D55">
            <w:pPr>
              <w:spacing w:before="40" w:after="20"/>
              <w:jc w:val="center"/>
              <w:rPr>
                <w:rFonts w:cs="Arial"/>
                <w:sz w:val="18"/>
                <w:szCs w:val="18"/>
              </w:rPr>
            </w:pPr>
            <w:r w:rsidRPr="003E2D55">
              <w:rPr>
                <w:rFonts w:cs="Arial"/>
                <w:sz w:val="18"/>
                <w:szCs w:val="18"/>
              </w:rPr>
              <w:t>1.00</w:t>
            </w:r>
          </w:p>
        </w:tc>
        <w:tc>
          <w:tcPr>
            <w:tcW w:w="170" w:type="dxa"/>
            <w:tcBorders>
              <w:top w:val="nil"/>
              <w:left w:val="nil"/>
              <w:bottom w:val="nil"/>
              <w:right w:val="nil"/>
            </w:tcBorders>
            <w:vAlign w:val="bottom"/>
          </w:tcPr>
          <w:p w14:paraId="17305396" w14:textId="3ADE5154"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3403580B" w14:textId="0D4B189F"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8" w:type="dxa"/>
            <w:tcBorders>
              <w:top w:val="nil"/>
              <w:left w:val="nil"/>
              <w:bottom w:val="nil"/>
              <w:right w:val="nil"/>
            </w:tcBorders>
            <w:shd w:val="clear" w:color="auto" w:fill="auto"/>
            <w:vAlign w:val="bottom"/>
          </w:tcPr>
          <w:p w14:paraId="7F555A76" w14:textId="2C749470"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087C511D" w14:textId="3BEBC6B0" w:rsidR="00DC5BE9" w:rsidRPr="003E2D55" w:rsidRDefault="00DC5BE9" w:rsidP="003E2D55">
            <w:pPr>
              <w:spacing w:before="40" w:after="20"/>
              <w:jc w:val="center"/>
              <w:rPr>
                <w:rFonts w:cs="Arial"/>
                <w:sz w:val="18"/>
                <w:szCs w:val="18"/>
              </w:rPr>
            </w:pPr>
            <w:r w:rsidRPr="003E2D55">
              <w:rPr>
                <w:rFonts w:cs="Arial"/>
                <w:sz w:val="18"/>
                <w:szCs w:val="18"/>
              </w:rPr>
              <w:t>1.01</w:t>
            </w:r>
          </w:p>
        </w:tc>
        <w:tc>
          <w:tcPr>
            <w:tcW w:w="1021" w:type="dxa"/>
            <w:tcBorders>
              <w:top w:val="nil"/>
              <w:left w:val="nil"/>
              <w:bottom w:val="nil"/>
              <w:right w:val="nil"/>
            </w:tcBorders>
            <w:shd w:val="clear" w:color="auto" w:fill="auto"/>
            <w:vAlign w:val="bottom"/>
          </w:tcPr>
          <w:p w14:paraId="24407CE9" w14:textId="5F32150B" w:rsidR="00DC5BE9" w:rsidRPr="003E2D55" w:rsidRDefault="00DC5BE9" w:rsidP="003E2D55">
            <w:pPr>
              <w:spacing w:before="40" w:after="20"/>
              <w:jc w:val="center"/>
              <w:rPr>
                <w:rFonts w:cs="Arial"/>
                <w:sz w:val="18"/>
                <w:szCs w:val="18"/>
              </w:rPr>
            </w:pPr>
            <w:r w:rsidRPr="003E2D55">
              <w:rPr>
                <w:rFonts w:cs="Arial"/>
                <w:sz w:val="18"/>
                <w:szCs w:val="18"/>
              </w:rPr>
              <w:t>48.4</w:t>
            </w:r>
          </w:p>
        </w:tc>
      </w:tr>
      <w:tr w:rsidR="00DC5BE9" w:rsidRPr="003E2D55" w14:paraId="7B6D9894"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2455498C" w14:textId="77777777" w:rsidR="00DC5BE9" w:rsidRPr="003E2D55" w:rsidRDefault="00DC5BE9" w:rsidP="003E2D55">
            <w:pPr>
              <w:spacing w:before="40" w:after="20"/>
              <w:rPr>
                <w:rFonts w:cs="Arial"/>
                <w:sz w:val="18"/>
                <w:szCs w:val="18"/>
              </w:rPr>
            </w:pPr>
            <w:r w:rsidRPr="003E2D55">
              <w:rPr>
                <w:rFonts w:cs="Arial"/>
                <w:sz w:val="18"/>
                <w:szCs w:val="18"/>
              </w:rPr>
              <w:t>West Wimmera S</w:t>
            </w:r>
          </w:p>
        </w:tc>
        <w:tc>
          <w:tcPr>
            <w:tcW w:w="1021" w:type="dxa"/>
            <w:tcBorders>
              <w:top w:val="nil"/>
              <w:left w:val="single" w:sz="18" w:space="0" w:color="5F497A" w:themeColor="accent4" w:themeShade="BF"/>
              <w:bottom w:val="nil"/>
              <w:right w:val="nil"/>
            </w:tcBorders>
            <w:shd w:val="clear" w:color="auto" w:fill="auto"/>
            <w:vAlign w:val="bottom"/>
          </w:tcPr>
          <w:p w14:paraId="76F33B33" w14:textId="57313EBC" w:rsidR="00DC5BE9" w:rsidRPr="003E2D55" w:rsidRDefault="00DC5BE9" w:rsidP="003E2D55">
            <w:pPr>
              <w:spacing w:before="40" w:after="20"/>
              <w:jc w:val="center"/>
              <w:rPr>
                <w:rFonts w:cs="Arial"/>
                <w:sz w:val="18"/>
                <w:szCs w:val="18"/>
              </w:rPr>
            </w:pPr>
            <w:r w:rsidRPr="003E2D55">
              <w:rPr>
                <w:rFonts w:cs="Arial"/>
                <w:sz w:val="18"/>
                <w:szCs w:val="18"/>
              </w:rPr>
              <w:t>1.09</w:t>
            </w:r>
          </w:p>
        </w:tc>
        <w:tc>
          <w:tcPr>
            <w:tcW w:w="907" w:type="dxa"/>
            <w:tcBorders>
              <w:top w:val="nil"/>
              <w:left w:val="nil"/>
              <w:bottom w:val="nil"/>
              <w:right w:val="nil"/>
            </w:tcBorders>
            <w:shd w:val="clear" w:color="auto" w:fill="auto"/>
            <w:vAlign w:val="bottom"/>
          </w:tcPr>
          <w:p w14:paraId="6C330E55" w14:textId="2155B783"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8" w:type="dxa"/>
            <w:tcBorders>
              <w:top w:val="nil"/>
              <w:left w:val="nil"/>
              <w:bottom w:val="nil"/>
              <w:right w:val="nil"/>
            </w:tcBorders>
            <w:vAlign w:val="bottom"/>
          </w:tcPr>
          <w:p w14:paraId="7DB9C7FD" w14:textId="41215ED9" w:rsidR="00DC5BE9" w:rsidRPr="003E2D55" w:rsidRDefault="00DC5BE9" w:rsidP="003E2D55">
            <w:pPr>
              <w:spacing w:before="40" w:after="20"/>
              <w:jc w:val="center"/>
              <w:rPr>
                <w:rFonts w:cs="Arial"/>
                <w:sz w:val="18"/>
                <w:szCs w:val="18"/>
              </w:rPr>
            </w:pPr>
            <w:r w:rsidRPr="003E2D55">
              <w:rPr>
                <w:rFonts w:cs="Arial"/>
                <w:sz w:val="18"/>
                <w:szCs w:val="18"/>
              </w:rPr>
              <w:t>0.83</w:t>
            </w:r>
          </w:p>
        </w:tc>
        <w:tc>
          <w:tcPr>
            <w:tcW w:w="170" w:type="dxa"/>
            <w:tcBorders>
              <w:top w:val="nil"/>
              <w:left w:val="nil"/>
              <w:bottom w:val="nil"/>
              <w:right w:val="nil"/>
            </w:tcBorders>
            <w:vAlign w:val="bottom"/>
          </w:tcPr>
          <w:p w14:paraId="5B3A3184" w14:textId="7DE2D183"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628A717D" w14:textId="7B494A73" w:rsidR="00DC5BE9" w:rsidRPr="003E2D55" w:rsidRDefault="00DC5BE9" w:rsidP="003E2D55">
            <w:pPr>
              <w:spacing w:before="40" w:after="20"/>
              <w:jc w:val="center"/>
              <w:rPr>
                <w:rFonts w:cs="Arial"/>
                <w:sz w:val="18"/>
                <w:szCs w:val="18"/>
              </w:rPr>
            </w:pPr>
            <w:r w:rsidRPr="003E2D55">
              <w:rPr>
                <w:rFonts w:cs="Arial"/>
                <w:sz w:val="18"/>
                <w:szCs w:val="18"/>
              </w:rPr>
              <w:t>1.03</w:t>
            </w:r>
          </w:p>
        </w:tc>
        <w:tc>
          <w:tcPr>
            <w:tcW w:w="908" w:type="dxa"/>
            <w:tcBorders>
              <w:top w:val="nil"/>
              <w:left w:val="nil"/>
              <w:bottom w:val="nil"/>
              <w:right w:val="nil"/>
            </w:tcBorders>
            <w:shd w:val="clear" w:color="auto" w:fill="auto"/>
            <w:vAlign w:val="bottom"/>
          </w:tcPr>
          <w:p w14:paraId="7430AEC2" w14:textId="11958711" w:rsidR="00DC5BE9" w:rsidRPr="003E2D55" w:rsidRDefault="00DC5BE9" w:rsidP="003E2D55">
            <w:pPr>
              <w:spacing w:before="40" w:after="20"/>
              <w:jc w:val="center"/>
              <w:rPr>
                <w:rFonts w:cs="Arial"/>
                <w:sz w:val="18"/>
                <w:szCs w:val="18"/>
              </w:rPr>
            </w:pPr>
            <w:r w:rsidRPr="003E2D55">
              <w:rPr>
                <w:rFonts w:cs="Arial"/>
                <w:sz w:val="18"/>
                <w:szCs w:val="18"/>
              </w:rPr>
              <w:t>1.02</w:t>
            </w:r>
          </w:p>
        </w:tc>
        <w:tc>
          <w:tcPr>
            <w:tcW w:w="1021" w:type="dxa"/>
            <w:tcBorders>
              <w:top w:val="nil"/>
              <w:left w:val="nil"/>
              <w:bottom w:val="nil"/>
              <w:right w:val="nil"/>
            </w:tcBorders>
            <w:shd w:val="clear" w:color="auto" w:fill="auto"/>
            <w:vAlign w:val="bottom"/>
          </w:tcPr>
          <w:p w14:paraId="0AAD4D54" w14:textId="20B6C7D9"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1021" w:type="dxa"/>
            <w:tcBorders>
              <w:top w:val="nil"/>
              <w:left w:val="nil"/>
              <w:bottom w:val="nil"/>
              <w:right w:val="nil"/>
            </w:tcBorders>
            <w:shd w:val="clear" w:color="auto" w:fill="auto"/>
            <w:vAlign w:val="bottom"/>
          </w:tcPr>
          <w:p w14:paraId="357C44F1" w14:textId="1F1D9B5D" w:rsidR="00DC5BE9" w:rsidRPr="003E2D55" w:rsidRDefault="00DC5BE9" w:rsidP="003E2D55">
            <w:pPr>
              <w:spacing w:before="40" w:after="20"/>
              <w:jc w:val="center"/>
              <w:rPr>
                <w:rFonts w:cs="Arial"/>
                <w:sz w:val="18"/>
                <w:szCs w:val="18"/>
              </w:rPr>
            </w:pPr>
            <w:r w:rsidRPr="003E2D55">
              <w:rPr>
                <w:rFonts w:cs="Arial"/>
                <w:sz w:val="18"/>
                <w:szCs w:val="18"/>
              </w:rPr>
              <w:t>31.9</w:t>
            </w:r>
          </w:p>
        </w:tc>
      </w:tr>
      <w:tr w:rsidR="00DC5BE9" w:rsidRPr="003E2D55" w14:paraId="021E5329"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36836D76" w14:textId="77777777" w:rsidR="00DC5BE9" w:rsidRPr="003E2D55" w:rsidRDefault="00DC5BE9" w:rsidP="003E2D55">
            <w:pPr>
              <w:spacing w:before="40" w:after="20"/>
              <w:rPr>
                <w:rFonts w:cs="Arial"/>
                <w:sz w:val="18"/>
                <w:szCs w:val="18"/>
              </w:rPr>
            </w:pPr>
            <w:r w:rsidRPr="003E2D55">
              <w:rPr>
                <w:rFonts w:cs="Arial"/>
                <w:sz w:val="18"/>
                <w:szCs w:val="18"/>
              </w:rPr>
              <w:t>Whitehorse C</w:t>
            </w:r>
          </w:p>
        </w:tc>
        <w:tc>
          <w:tcPr>
            <w:tcW w:w="1021" w:type="dxa"/>
            <w:tcBorders>
              <w:top w:val="nil"/>
              <w:left w:val="single" w:sz="18" w:space="0" w:color="5F497A" w:themeColor="accent4" w:themeShade="BF"/>
              <w:bottom w:val="nil"/>
              <w:right w:val="nil"/>
            </w:tcBorders>
            <w:shd w:val="clear" w:color="auto" w:fill="auto"/>
            <w:vAlign w:val="bottom"/>
          </w:tcPr>
          <w:p w14:paraId="6B0B1FE8" w14:textId="1B7CAB32"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24D3F188" w14:textId="294F024C" w:rsidR="00DC5BE9" w:rsidRPr="003E2D55" w:rsidRDefault="00DC5BE9" w:rsidP="003E2D55">
            <w:pPr>
              <w:spacing w:before="40" w:after="20"/>
              <w:jc w:val="center"/>
              <w:rPr>
                <w:rFonts w:cs="Arial"/>
                <w:sz w:val="18"/>
                <w:szCs w:val="18"/>
              </w:rPr>
            </w:pPr>
            <w:r w:rsidRPr="003E2D55">
              <w:rPr>
                <w:rFonts w:cs="Arial"/>
                <w:sz w:val="18"/>
                <w:szCs w:val="18"/>
              </w:rPr>
              <w:t>1.02</w:t>
            </w:r>
          </w:p>
        </w:tc>
        <w:tc>
          <w:tcPr>
            <w:tcW w:w="908" w:type="dxa"/>
            <w:tcBorders>
              <w:top w:val="nil"/>
              <w:left w:val="nil"/>
              <w:bottom w:val="nil"/>
              <w:right w:val="nil"/>
            </w:tcBorders>
            <w:vAlign w:val="bottom"/>
          </w:tcPr>
          <w:p w14:paraId="71E5B7C2" w14:textId="4B8E5EB1"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170" w:type="dxa"/>
            <w:tcBorders>
              <w:top w:val="nil"/>
              <w:left w:val="nil"/>
              <w:bottom w:val="nil"/>
              <w:right w:val="nil"/>
            </w:tcBorders>
            <w:vAlign w:val="bottom"/>
          </w:tcPr>
          <w:p w14:paraId="14C78703" w14:textId="018C922B"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4593498B" w14:textId="572DBFCE"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8" w:type="dxa"/>
            <w:tcBorders>
              <w:top w:val="nil"/>
              <w:left w:val="nil"/>
              <w:bottom w:val="nil"/>
              <w:right w:val="nil"/>
            </w:tcBorders>
            <w:shd w:val="clear" w:color="auto" w:fill="auto"/>
            <w:vAlign w:val="bottom"/>
          </w:tcPr>
          <w:p w14:paraId="3E792FF7" w14:textId="304F58A5"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4A31E1BC" w14:textId="3174FC8B"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76ADBC50" w14:textId="7009285A" w:rsidR="00DC5BE9" w:rsidRPr="003E2D55" w:rsidRDefault="00DC5BE9" w:rsidP="003E2D55">
            <w:pPr>
              <w:spacing w:before="40" w:after="20"/>
              <w:jc w:val="center"/>
              <w:rPr>
                <w:rFonts w:cs="Arial"/>
                <w:sz w:val="18"/>
                <w:szCs w:val="18"/>
              </w:rPr>
            </w:pPr>
            <w:r w:rsidRPr="003E2D55">
              <w:rPr>
                <w:rFonts w:cs="Arial"/>
                <w:sz w:val="18"/>
                <w:szCs w:val="18"/>
              </w:rPr>
              <w:t>11.3</w:t>
            </w:r>
          </w:p>
        </w:tc>
      </w:tr>
      <w:tr w:rsidR="00DC5BE9" w:rsidRPr="003E2D55" w14:paraId="751CF467"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6068F661" w14:textId="77777777" w:rsidR="00DC5BE9" w:rsidRPr="003E2D55" w:rsidRDefault="00DC5BE9" w:rsidP="003E2D55">
            <w:pPr>
              <w:spacing w:before="40" w:after="20"/>
              <w:rPr>
                <w:rFonts w:cs="Arial"/>
                <w:sz w:val="18"/>
                <w:szCs w:val="18"/>
              </w:rPr>
            </w:pPr>
            <w:r w:rsidRPr="003E2D55">
              <w:rPr>
                <w:rFonts w:cs="Arial"/>
                <w:sz w:val="18"/>
                <w:szCs w:val="18"/>
              </w:rPr>
              <w:t>Whittlesea C</w:t>
            </w:r>
          </w:p>
        </w:tc>
        <w:tc>
          <w:tcPr>
            <w:tcW w:w="1021" w:type="dxa"/>
            <w:tcBorders>
              <w:top w:val="nil"/>
              <w:left w:val="single" w:sz="18" w:space="0" w:color="5F497A" w:themeColor="accent4" w:themeShade="BF"/>
              <w:bottom w:val="nil"/>
              <w:right w:val="nil"/>
            </w:tcBorders>
            <w:shd w:val="clear" w:color="auto" w:fill="auto"/>
            <w:vAlign w:val="bottom"/>
          </w:tcPr>
          <w:p w14:paraId="35C0C0B5" w14:textId="637A05F8"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907" w:type="dxa"/>
            <w:tcBorders>
              <w:top w:val="nil"/>
              <w:left w:val="nil"/>
              <w:bottom w:val="nil"/>
              <w:right w:val="nil"/>
            </w:tcBorders>
            <w:shd w:val="clear" w:color="auto" w:fill="auto"/>
            <w:vAlign w:val="bottom"/>
          </w:tcPr>
          <w:p w14:paraId="3EADA596" w14:textId="56B98A90"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908" w:type="dxa"/>
            <w:tcBorders>
              <w:top w:val="nil"/>
              <w:left w:val="nil"/>
              <w:bottom w:val="nil"/>
              <w:right w:val="nil"/>
            </w:tcBorders>
            <w:vAlign w:val="bottom"/>
          </w:tcPr>
          <w:p w14:paraId="26B6506C" w14:textId="1A3BC811" w:rsidR="00DC5BE9" w:rsidRPr="003E2D55" w:rsidRDefault="00DC5BE9" w:rsidP="003E2D55">
            <w:pPr>
              <w:spacing w:before="40" w:after="20"/>
              <w:jc w:val="center"/>
              <w:rPr>
                <w:rFonts w:cs="Arial"/>
                <w:sz w:val="18"/>
                <w:szCs w:val="18"/>
              </w:rPr>
            </w:pPr>
            <w:r w:rsidRPr="003E2D55">
              <w:rPr>
                <w:rFonts w:cs="Arial"/>
                <w:sz w:val="18"/>
                <w:szCs w:val="18"/>
              </w:rPr>
              <w:t>0.90</w:t>
            </w:r>
          </w:p>
        </w:tc>
        <w:tc>
          <w:tcPr>
            <w:tcW w:w="170" w:type="dxa"/>
            <w:tcBorders>
              <w:top w:val="nil"/>
              <w:left w:val="nil"/>
              <w:bottom w:val="nil"/>
              <w:right w:val="nil"/>
            </w:tcBorders>
            <w:vAlign w:val="bottom"/>
          </w:tcPr>
          <w:p w14:paraId="3B380C69" w14:textId="08D02D9A"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7040F56D" w14:textId="6F4B92C9" w:rsidR="00DC5BE9" w:rsidRPr="003E2D55" w:rsidRDefault="00DC5BE9" w:rsidP="003E2D55">
            <w:pPr>
              <w:spacing w:before="40" w:after="20"/>
              <w:jc w:val="center"/>
              <w:rPr>
                <w:rFonts w:cs="Arial"/>
                <w:sz w:val="18"/>
                <w:szCs w:val="18"/>
              </w:rPr>
            </w:pPr>
            <w:r w:rsidRPr="003E2D55">
              <w:rPr>
                <w:rFonts w:cs="Arial"/>
                <w:sz w:val="18"/>
                <w:szCs w:val="18"/>
              </w:rPr>
              <w:t>1.06</w:t>
            </w:r>
          </w:p>
        </w:tc>
        <w:tc>
          <w:tcPr>
            <w:tcW w:w="908" w:type="dxa"/>
            <w:tcBorders>
              <w:top w:val="nil"/>
              <w:left w:val="nil"/>
              <w:bottom w:val="nil"/>
              <w:right w:val="nil"/>
            </w:tcBorders>
            <w:shd w:val="clear" w:color="auto" w:fill="auto"/>
            <w:vAlign w:val="bottom"/>
          </w:tcPr>
          <w:p w14:paraId="07145C46" w14:textId="79D87447" w:rsidR="00DC5BE9" w:rsidRPr="003E2D55" w:rsidRDefault="00DC5BE9" w:rsidP="003E2D55">
            <w:pPr>
              <w:spacing w:before="40" w:after="20"/>
              <w:jc w:val="center"/>
              <w:rPr>
                <w:rFonts w:cs="Arial"/>
                <w:sz w:val="18"/>
                <w:szCs w:val="18"/>
              </w:rPr>
            </w:pPr>
            <w:r w:rsidRPr="003E2D55">
              <w:rPr>
                <w:rFonts w:cs="Arial"/>
                <w:sz w:val="18"/>
                <w:szCs w:val="18"/>
              </w:rPr>
              <w:t>1.02</w:t>
            </w:r>
          </w:p>
        </w:tc>
        <w:tc>
          <w:tcPr>
            <w:tcW w:w="1021" w:type="dxa"/>
            <w:tcBorders>
              <w:top w:val="nil"/>
              <w:left w:val="nil"/>
              <w:bottom w:val="nil"/>
              <w:right w:val="nil"/>
            </w:tcBorders>
            <w:shd w:val="clear" w:color="auto" w:fill="auto"/>
            <w:vAlign w:val="bottom"/>
          </w:tcPr>
          <w:p w14:paraId="33249EB4" w14:textId="7927F83E"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1EE93EDA" w14:textId="0D6B48F4" w:rsidR="00DC5BE9" w:rsidRPr="003E2D55" w:rsidRDefault="00DC5BE9" w:rsidP="003E2D55">
            <w:pPr>
              <w:spacing w:before="40" w:after="20"/>
              <w:jc w:val="center"/>
              <w:rPr>
                <w:rFonts w:cs="Arial"/>
                <w:sz w:val="18"/>
                <w:szCs w:val="18"/>
              </w:rPr>
            </w:pPr>
            <w:r w:rsidRPr="003E2D55">
              <w:rPr>
                <w:rFonts w:cs="Arial"/>
                <w:sz w:val="18"/>
                <w:szCs w:val="18"/>
              </w:rPr>
              <w:t>18.3</w:t>
            </w:r>
          </w:p>
        </w:tc>
      </w:tr>
      <w:tr w:rsidR="00DC5BE9" w:rsidRPr="003E2D55" w14:paraId="058699B6"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72D910FF" w14:textId="77777777" w:rsidR="00DC5BE9" w:rsidRPr="003E2D55" w:rsidRDefault="00DC5BE9" w:rsidP="003E2D55">
            <w:pPr>
              <w:spacing w:before="40" w:after="20"/>
              <w:rPr>
                <w:rFonts w:cs="Arial"/>
                <w:sz w:val="18"/>
                <w:szCs w:val="18"/>
              </w:rPr>
            </w:pPr>
            <w:r w:rsidRPr="003E2D55">
              <w:rPr>
                <w:rFonts w:cs="Arial"/>
                <w:sz w:val="18"/>
                <w:szCs w:val="18"/>
              </w:rPr>
              <w:t>Wodonga C</w:t>
            </w:r>
          </w:p>
        </w:tc>
        <w:tc>
          <w:tcPr>
            <w:tcW w:w="1021" w:type="dxa"/>
            <w:tcBorders>
              <w:top w:val="nil"/>
              <w:left w:val="single" w:sz="18" w:space="0" w:color="5F497A" w:themeColor="accent4" w:themeShade="BF"/>
              <w:bottom w:val="nil"/>
              <w:right w:val="nil"/>
            </w:tcBorders>
            <w:shd w:val="clear" w:color="auto" w:fill="auto"/>
            <w:vAlign w:val="bottom"/>
          </w:tcPr>
          <w:p w14:paraId="0C6DF0F7" w14:textId="2B420E0F" w:rsidR="00DC5BE9" w:rsidRPr="003E2D55" w:rsidRDefault="00DC5BE9" w:rsidP="003E2D55">
            <w:pPr>
              <w:spacing w:before="40" w:after="20"/>
              <w:jc w:val="center"/>
              <w:rPr>
                <w:rFonts w:cs="Arial"/>
                <w:sz w:val="18"/>
                <w:szCs w:val="18"/>
              </w:rPr>
            </w:pPr>
            <w:r w:rsidRPr="003E2D55">
              <w:rPr>
                <w:rFonts w:cs="Arial"/>
                <w:sz w:val="18"/>
                <w:szCs w:val="18"/>
              </w:rPr>
              <w:t>1.01</w:t>
            </w:r>
          </w:p>
        </w:tc>
        <w:tc>
          <w:tcPr>
            <w:tcW w:w="907" w:type="dxa"/>
            <w:tcBorders>
              <w:top w:val="nil"/>
              <w:left w:val="nil"/>
              <w:bottom w:val="nil"/>
              <w:right w:val="nil"/>
            </w:tcBorders>
            <w:shd w:val="clear" w:color="auto" w:fill="auto"/>
            <w:vAlign w:val="bottom"/>
          </w:tcPr>
          <w:p w14:paraId="70C1DD9D" w14:textId="58F06467"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8" w:type="dxa"/>
            <w:tcBorders>
              <w:top w:val="nil"/>
              <w:left w:val="nil"/>
              <w:bottom w:val="nil"/>
              <w:right w:val="nil"/>
            </w:tcBorders>
            <w:vAlign w:val="bottom"/>
          </w:tcPr>
          <w:p w14:paraId="585FBE7A" w14:textId="1515B880" w:rsidR="00DC5BE9" w:rsidRPr="003E2D55" w:rsidRDefault="00DC5BE9" w:rsidP="003E2D55">
            <w:pPr>
              <w:spacing w:before="40" w:after="20"/>
              <w:jc w:val="center"/>
              <w:rPr>
                <w:rFonts w:cs="Arial"/>
                <w:sz w:val="18"/>
                <w:szCs w:val="18"/>
              </w:rPr>
            </w:pPr>
            <w:r w:rsidRPr="003E2D55">
              <w:rPr>
                <w:rFonts w:cs="Arial"/>
                <w:sz w:val="18"/>
                <w:szCs w:val="18"/>
              </w:rPr>
              <w:t>0.82</w:t>
            </w:r>
          </w:p>
        </w:tc>
        <w:tc>
          <w:tcPr>
            <w:tcW w:w="170" w:type="dxa"/>
            <w:tcBorders>
              <w:top w:val="nil"/>
              <w:left w:val="nil"/>
              <w:bottom w:val="nil"/>
              <w:right w:val="nil"/>
            </w:tcBorders>
            <w:vAlign w:val="bottom"/>
          </w:tcPr>
          <w:p w14:paraId="6C1B44A1" w14:textId="35722658"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6D24CD6C" w14:textId="4332F865" w:rsidR="00DC5BE9" w:rsidRPr="003E2D55" w:rsidRDefault="00DC5BE9" w:rsidP="003E2D55">
            <w:pPr>
              <w:spacing w:before="40" w:after="20"/>
              <w:jc w:val="center"/>
              <w:rPr>
                <w:rFonts w:cs="Arial"/>
                <w:sz w:val="18"/>
                <w:szCs w:val="18"/>
              </w:rPr>
            </w:pPr>
            <w:r w:rsidRPr="003E2D55">
              <w:rPr>
                <w:rFonts w:cs="Arial"/>
                <w:sz w:val="18"/>
                <w:szCs w:val="18"/>
              </w:rPr>
              <w:t>1.04</w:t>
            </w:r>
          </w:p>
        </w:tc>
        <w:tc>
          <w:tcPr>
            <w:tcW w:w="908" w:type="dxa"/>
            <w:tcBorders>
              <w:top w:val="nil"/>
              <w:left w:val="nil"/>
              <w:bottom w:val="nil"/>
              <w:right w:val="nil"/>
            </w:tcBorders>
            <w:shd w:val="clear" w:color="auto" w:fill="auto"/>
            <w:vAlign w:val="bottom"/>
          </w:tcPr>
          <w:p w14:paraId="37E988AB" w14:textId="0923A7D2" w:rsidR="00DC5BE9" w:rsidRPr="003E2D55" w:rsidRDefault="00DC5BE9" w:rsidP="003E2D55">
            <w:pPr>
              <w:spacing w:before="40" w:after="20"/>
              <w:jc w:val="center"/>
              <w:rPr>
                <w:rFonts w:cs="Arial"/>
                <w:sz w:val="18"/>
                <w:szCs w:val="18"/>
              </w:rPr>
            </w:pPr>
            <w:r w:rsidRPr="003E2D55">
              <w:rPr>
                <w:rFonts w:cs="Arial"/>
                <w:sz w:val="18"/>
                <w:szCs w:val="18"/>
              </w:rPr>
              <w:t>1.02</w:t>
            </w:r>
          </w:p>
        </w:tc>
        <w:tc>
          <w:tcPr>
            <w:tcW w:w="1021" w:type="dxa"/>
            <w:tcBorders>
              <w:top w:val="nil"/>
              <w:left w:val="nil"/>
              <w:bottom w:val="nil"/>
              <w:right w:val="nil"/>
            </w:tcBorders>
            <w:shd w:val="clear" w:color="auto" w:fill="auto"/>
            <w:vAlign w:val="bottom"/>
          </w:tcPr>
          <w:p w14:paraId="152CD945" w14:textId="22ACDA2F"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7497FB0A" w14:textId="5C3B0F45" w:rsidR="00DC5BE9" w:rsidRPr="003E2D55" w:rsidRDefault="00DC5BE9" w:rsidP="003E2D55">
            <w:pPr>
              <w:spacing w:before="40" w:after="20"/>
              <w:jc w:val="center"/>
              <w:rPr>
                <w:rFonts w:cs="Arial"/>
                <w:sz w:val="18"/>
                <w:szCs w:val="18"/>
              </w:rPr>
            </w:pPr>
            <w:r w:rsidRPr="003E2D55">
              <w:rPr>
                <w:rFonts w:cs="Arial"/>
                <w:sz w:val="18"/>
                <w:szCs w:val="18"/>
              </w:rPr>
              <w:t>25.5</w:t>
            </w:r>
          </w:p>
        </w:tc>
      </w:tr>
      <w:tr w:rsidR="00DC5BE9" w:rsidRPr="003E2D55" w14:paraId="3731E35B"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17C37DF6" w14:textId="77777777" w:rsidR="00DC5BE9" w:rsidRPr="003E2D55" w:rsidRDefault="00DC5BE9" w:rsidP="003E2D55">
            <w:pPr>
              <w:spacing w:before="40" w:after="20"/>
              <w:rPr>
                <w:rFonts w:cs="Arial"/>
                <w:sz w:val="18"/>
                <w:szCs w:val="18"/>
              </w:rPr>
            </w:pPr>
            <w:r w:rsidRPr="003E2D55">
              <w:rPr>
                <w:rFonts w:cs="Arial"/>
                <w:sz w:val="18"/>
                <w:szCs w:val="18"/>
              </w:rPr>
              <w:t>Wyndham C</w:t>
            </w:r>
          </w:p>
        </w:tc>
        <w:tc>
          <w:tcPr>
            <w:tcW w:w="1021" w:type="dxa"/>
            <w:tcBorders>
              <w:top w:val="nil"/>
              <w:left w:val="single" w:sz="18" w:space="0" w:color="5F497A" w:themeColor="accent4" w:themeShade="BF"/>
              <w:bottom w:val="nil"/>
              <w:right w:val="nil"/>
            </w:tcBorders>
            <w:shd w:val="clear" w:color="auto" w:fill="auto"/>
            <w:vAlign w:val="bottom"/>
          </w:tcPr>
          <w:p w14:paraId="41C40B9A" w14:textId="11CA49B5" w:rsidR="00DC5BE9" w:rsidRPr="003E2D55" w:rsidRDefault="00DC5BE9" w:rsidP="003E2D55">
            <w:pPr>
              <w:spacing w:before="40" w:after="20"/>
              <w:jc w:val="center"/>
              <w:rPr>
                <w:rFonts w:cs="Arial"/>
                <w:sz w:val="18"/>
                <w:szCs w:val="18"/>
              </w:rPr>
            </w:pPr>
            <w:r w:rsidRPr="003E2D55">
              <w:rPr>
                <w:rFonts w:cs="Arial"/>
                <w:sz w:val="18"/>
                <w:szCs w:val="18"/>
              </w:rPr>
              <w:t>0.99</w:t>
            </w:r>
          </w:p>
        </w:tc>
        <w:tc>
          <w:tcPr>
            <w:tcW w:w="907" w:type="dxa"/>
            <w:tcBorders>
              <w:top w:val="nil"/>
              <w:left w:val="nil"/>
              <w:bottom w:val="nil"/>
              <w:right w:val="nil"/>
            </w:tcBorders>
            <w:shd w:val="clear" w:color="auto" w:fill="auto"/>
            <w:vAlign w:val="bottom"/>
          </w:tcPr>
          <w:p w14:paraId="18FDE67E" w14:textId="2BC7FC61"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908" w:type="dxa"/>
            <w:tcBorders>
              <w:top w:val="nil"/>
              <w:left w:val="nil"/>
              <w:bottom w:val="nil"/>
              <w:right w:val="nil"/>
            </w:tcBorders>
            <w:vAlign w:val="bottom"/>
          </w:tcPr>
          <w:p w14:paraId="5F80378E" w14:textId="0AC90657" w:rsidR="00DC5BE9" w:rsidRPr="003E2D55" w:rsidRDefault="00DC5BE9" w:rsidP="003E2D55">
            <w:pPr>
              <w:spacing w:before="40" w:after="20"/>
              <w:jc w:val="center"/>
              <w:rPr>
                <w:rFonts w:cs="Arial"/>
                <w:sz w:val="18"/>
                <w:szCs w:val="18"/>
              </w:rPr>
            </w:pPr>
            <w:r w:rsidRPr="003E2D55">
              <w:rPr>
                <w:rFonts w:cs="Arial"/>
                <w:sz w:val="18"/>
                <w:szCs w:val="18"/>
              </w:rPr>
              <w:t>0.84</w:t>
            </w:r>
          </w:p>
        </w:tc>
        <w:tc>
          <w:tcPr>
            <w:tcW w:w="170" w:type="dxa"/>
            <w:tcBorders>
              <w:top w:val="nil"/>
              <w:left w:val="nil"/>
              <w:bottom w:val="nil"/>
              <w:right w:val="nil"/>
            </w:tcBorders>
            <w:vAlign w:val="bottom"/>
          </w:tcPr>
          <w:p w14:paraId="54E01CE0" w14:textId="7735C230"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34C0927F" w14:textId="1AAC1BC1" w:rsidR="00DC5BE9" w:rsidRPr="003E2D55" w:rsidRDefault="00DC5BE9" w:rsidP="003E2D55">
            <w:pPr>
              <w:spacing w:before="40" w:after="20"/>
              <w:jc w:val="center"/>
              <w:rPr>
                <w:rFonts w:cs="Arial"/>
                <w:sz w:val="18"/>
                <w:szCs w:val="18"/>
              </w:rPr>
            </w:pPr>
            <w:r w:rsidRPr="003E2D55">
              <w:rPr>
                <w:rFonts w:cs="Arial"/>
                <w:sz w:val="18"/>
                <w:szCs w:val="18"/>
              </w:rPr>
              <w:t>1.08</w:t>
            </w:r>
          </w:p>
        </w:tc>
        <w:tc>
          <w:tcPr>
            <w:tcW w:w="908" w:type="dxa"/>
            <w:tcBorders>
              <w:top w:val="nil"/>
              <w:left w:val="nil"/>
              <w:bottom w:val="nil"/>
              <w:right w:val="nil"/>
            </w:tcBorders>
            <w:shd w:val="clear" w:color="auto" w:fill="auto"/>
            <w:vAlign w:val="bottom"/>
          </w:tcPr>
          <w:p w14:paraId="5AC0D2CC" w14:textId="50F45A19" w:rsidR="00DC5BE9" w:rsidRPr="003E2D55" w:rsidRDefault="00DC5BE9" w:rsidP="003E2D55">
            <w:pPr>
              <w:spacing w:before="40" w:after="20"/>
              <w:jc w:val="center"/>
              <w:rPr>
                <w:rFonts w:cs="Arial"/>
                <w:sz w:val="18"/>
                <w:szCs w:val="18"/>
              </w:rPr>
            </w:pPr>
            <w:r w:rsidRPr="003E2D55">
              <w:rPr>
                <w:rFonts w:cs="Arial"/>
                <w:sz w:val="18"/>
                <w:szCs w:val="18"/>
              </w:rPr>
              <w:t>1.07</w:t>
            </w:r>
          </w:p>
        </w:tc>
        <w:tc>
          <w:tcPr>
            <w:tcW w:w="1021" w:type="dxa"/>
            <w:tcBorders>
              <w:top w:val="nil"/>
              <w:left w:val="nil"/>
              <w:bottom w:val="nil"/>
              <w:right w:val="nil"/>
            </w:tcBorders>
            <w:shd w:val="clear" w:color="auto" w:fill="auto"/>
            <w:vAlign w:val="bottom"/>
          </w:tcPr>
          <w:p w14:paraId="3263D2F2" w14:textId="0583D559"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3AA06AE7" w14:textId="2D9C5E72" w:rsidR="00DC5BE9" w:rsidRPr="003E2D55" w:rsidRDefault="00DC5BE9" w:rsidP="003E2D55">
            <w:pPr>
              <w:spacing w:before="40" w:after="20"/>
              <w:jc w:val="center"/>
              <w:rPr>
                <w:rFonts w:cs="Arial"/>
                <w:sz w:val="18"/>
                <w:szCs w:val="18"/>
              </w:rPr>
            </w:pPr>
            <w:r w:rsidRPr="003E2D55">
              <w:rPr>
                <w:rFonts w:cs="Arial"/>
                <w:sz w:val="18"/>
                <w:szCs w:val="18"/>
              </w:rPr>
              <w:t>14.3</w:t>
            </w:r>
          </w:p>
        </w:tc>
      </w:tr>
      <w:tr w:rsidR="00DC5BE9" w:rsidRPr="003E2D55" w14:paraId="206CEC93"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0FEBDFD2" w14:textId="77777777" w:rsidR="00DC5BE9" w:rsidRPr="003E2D55" w:rsidRDefault="00DC5BE9" w:rsidP="003E2D55">
            <w:pPr>
              <w:spacing w:before="40" w:after="20"/>
              <w:rPr>
                <w:rFonts w:cs="Arial"/>
                <w:sz w:val="18"/>
                <w:szCs w:val="18"/>
              </w:rPr>
            </w:pPr>
            <w:r w:rsidRPr="003E2D55">
              <w:rPr>
                <w:rFonts w:cs="Arial"/>
                <w:sz w:val="18"/>
                <w:szCs w:val="18"/>
              </w:rPr>
              <w:t>Yarra C</w:t>
            </w:r>
          </w:p>
        </w:tc>
        <w:tc>
          <w:tcPr>
            <w:tcW w:w="1021" w:type="dxa"/>
            <w:tcBorders>
              <w:top w:val="nil"/>
              <w:left w:val="single" w:sz="18" w:space="0" w:color="5F497A" w:themeColor="accent4" w:themeShade="BF"/>
              <w:bottom w:val="nil"/>
              <w:right w:val="nil"/>
            </w:tcBorders>
            <w:shd w:val="clear" w:color="auto" w:fill="auto"/>
            <w:vAlign w:val="bottom"/>
          </w:tcPr>
          <w:p w14:paraId="66F632E2" w14:textId="23F7310F" w:rsidR="00DC5BE9" w:rsidRPr="003E2D55" w:rsidRDefault="00DC5BE9" w:rsidP="003E2D55">
            <w:pPr>
              <w:spacing w:before="40" w:after="20"/>
              <w:jc w:val="center"/>
              <w:rPr>
                <w:rFonts w:cs="Arial"/>
                <w:sz w:val="18"/>
                <w:szCs w:val="18"/>
              </w:rPr>
            </w:pPr>
            <w:r w:rsidRPr="003E2D55">
              <w:rPr>
                <w:rFonts w:cs="Arial"/>
                <w:sz w:val="18"/>
                <w:szCs w:val="18"/>
              </w:rPr>
              <w:t>1.01</w:t>
            </w:r>
          </w:p>
        </w:tc>
        <w:tc>
          <w:tcPr>
            <w:tcW w:w="907" w:type="dxa"/>
            <w:tcBorders>
              <w:top w:val="nil"/>
              <w:left w:val="nil"/>
              <w:bottom w:val="nil"/>
              <w:right w:val="nil"/>
            </w:tcBorders>
            <w:shd w:val="clear" w:color="auto" w:fill="auto"/>
            <w:vAlign w:val="bottom"/>
          </w:tcPr>
          <w:p w14:paraId="0E0AFFC4" w14:textId="73177567" w:rsidR="00DC5BE9" w:rsidRPr="003E2D55" w:rsidRDefault="00DC5BE9" w:rsidP="003E2D55">
            <w:pPr>
              <w:spacing w:before="40" w:after="20"/>
              <w:jc w:val="center"/>
              <w:rPr>
                <w:rFonts w:cs="Arial"/>
                <w:sz w:val="18"/>
                <w:szCs w:val="18"/>
              </w:rPr>
            </w:pPr>
            <w:r w:rsidRPr="003E2D55">
              <w:rPr>
                <w:rFonts w:cs="Arial"/>
                <w:sz w:val="18"/>
                <w:szCs w:val="18"/>
              </w:rPr>
              <w:t>1.02</w:t>
            </w:r>
          </w:p>
        </w:tc>
        <w:tc>
          <w:tcPr>
            <w:tcW w:w="908" w:type="dxa"/>
            <w:tcBorders>
              <w:top w:val="nil"/>
              <w:left w:val="nil"/>
              <w:bottom w:val="nil"/>
              <w:right w:val="nil"/>
            </w:tcBorders>
            <w:vAlign w:val="bottom"/>
          </w:tcPr>
          <w:p w14:paraId="5702B8C0" w14:textId="27DE4894" w:rsidR="00DC5BE9" w:rsidRPr="003E2D55" w:rsidRDefault="00DC5BE9" w:rsidP="003E2D55">
            <w:pPr>
              <w:spacing w:before="40" w:after="20"/>
              <w:jc w:val="center"/>
              <w:rPr>
                <w:rFonts w:cs="Arial"/>
                <w:sz w:val="18"/>
                <w:szCs w:val="18"/>
              </w:rPr>
            </w:pPr>
            <w:r w:rsidRPr="003E2D55">
              <w:rPr>
                <w:rFonts w:cs="Arial"/>
                <w:sz w:val="18"/>
                <w:szCs w:val="18"/>
              </w:rPr>
              <w:t>0.98</w:t>
            </w:r>
          </w:p>
        </w:tc>
        <w:tc>
          <w:tcPr>
            <w:tcW w:w="170" w:type="dxa"/>
            <w:tcBorders>
              <w:top w:val="nil"/>
              <w:left w:val="nil"/>
              <w:bottom w:val="nil"/>
              <w:right w:val="nil"/>
            </w:tcBorders>
            <w:vAlign w:val="bottom"/>
          </w:tcPr>
          <w:p w14:paraId="1E768095" w14:textId="6467A738"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432F9E02" w14:textId="488DFC71" w:rsidR="00DC5BE9" w:rsidRPr="003E2D55" w:rsidRDefault="00DC5BE9" w:rsidP="003E2D55">
            <w:pPr>
              <w:spacing w:before="40" w:after="20"/>
              <w:jc w:val="center"/>
              <w:rPr>
                <w:rFonts w:cs="Arial"/>
                <w:sz w:val="18"/>
                <w:szCs w:val="18"/>
              </w:rPr>
            </w:pPr>
            <w:r w:rsidRPr="003E2D55">
              <w:rPr>
                <w:rFonts w:cs="Arial"/>
                <w:sz w:val="18"/>
                <w:szCs w:val="18"/>
              </w:rPr>
              <w:t>1.03</w:t>
            </w:r>
          </w:p>
        </w:tc>
        <w:tc>
          <w:tcPr>
            <w:tcW w:w="908" w:type="dxa"/>
            <w:tcBorders>
              <w:top w:val="nil"/>
              <w:left w:val="nil"/>
              <w:bottom w:val="nil"/>
              <w:right w:val="nil"/>
            </w:tcBorders>
            <w:shd w:val="clear" w:color="auto" w:fill="auto"/>
            <w:vAlign w:val="bottom"/>
          </w:tcPr>
          <w:p w14:paraId="14CD9051" w14:textId="2FB5FAD0" w:rsidR="00DC5BE9" w:rsidRPr="003E2D55" w:rsidRDefault="00DC5BE9" w:rsidP="003E2D55">
            <w:pPr>
              <w:spacing w:before="40" w:after="20"/>
              <w:jc w:val="center"/>
              <w:rPr>
                <w:rFonts w:cs="Arial"/>
                <w:sz w:val="18"/>
                <w:szCs w:val="18"/>
              </w:rPr>
            </w:pPr>
            <w:r w:rsidRPr="003E2D55">
              <w:rPr>
                <w:rFonts w:cs="Arial"/>
                <w:sz w:val="18"/>
                <w:szCs w:val="18"/>
              </w:rPr>
              <w:t>1.00</w:t>
            </w:r>
          </w:p>
        </w:tc>
        <w:tc>
          <w:tcPr>
            <w:tcW w:w="1021" w:type="dxa"/>
            <w:tcBorders>
              <w:top w:val="nil"/>
              <w:left w:val="nil"/>
              <w:bottom w:val="nil"/>
              <w:right w:val="nil"/>
            </w:tcBorders>
            <w:shd w:val="clear" w:color="auto" w:fill="auto"/>
            <w:vAlign w:val="bottom"/>
          </w:tcPr>
          <w:p w14:paraId="2D2621E2" w14:textId="540CCCF9"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1021" w:type="dxa"/>
            <w:tcBorders>
              <w:top w:val="nil"/>
              <w:left w:val="nil"/>
              <w:bottom w:val="nil"/>
              <w:right w:val="nil"/>
            </w:tcBorders>
            <w:shd w:val="clear" w:color="auto" w:fill="auto"/>
            <w:vAlign w:val="bottom"/>
          </w:tcPr>
          <w:p w14:paraId="2AEEA642" w14:textId="0A205D14" w:rsidR="00DC5BE9" w:rsidRPr="003E2D55" w:rsidRDefault="00DC5BE9" w:rsidP="003E2D55">
            <w:pPr>
              <w:spacing w:before="40" w:after="20"/>
              <w:jc w:val="center"/>
              <w:rPr>
                <w:rFonts w:cs="Arial"/>
                <w:sz w:val="18"/>
                <w:szCs w:val="18"/>
              </w:rPr>
            </w:pPr>
            <w:r w:rsidRPr="003E2D55">
              <w:rPr>
                <w:rFonts w:cs="Arial"/>
                <w:sz w:val="18"/>
                <w:szCs w:val="18"/>
              </w:rPr>
              <w:t>2.8</w:t>
            </w:r>
          </w:p>
        </w:tc>
      </w:tr>
      <w:tr w:rsidR="00DC5BE9" w:rsidRPr="003E2D55" w14:paraId="3C088B00"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0DBC7888" w14:textId="77777777" w:rsidR="00DC5BE9" w:rsidRPr="003E2D55" w:rsidRDefault="00DC5BE9" w:rsidP="003E2D55">
            <w:pPr>
              <w:spacing w:before="40" w:after="20"/>
              <w:rPr>
                <w:rFonts w:cs="Arial"/>
                <w:sz w:val="18"/>
                <w:szCs w:val="18"/>
              </w:rPr>
            </w:pPr>
            <w:r w:rsidRPr="003E2D55">
              <w:rPr>
                <w:rFonts w:cs="Arial"/>
                <w:sz w:val="18"/>
                <w:szCs w:val="18"/>
              </w:rPr>
              <w:t>Yarra Ranges S</w:t>
            </w:r>
          </w:p>
        </w:tc>
        <w:tc>
          <w:tcPr>
            <w:tcW w:w="1021" w:type="dxa"/>
            <w:tcBorders>
              <w:top w:val="nil"/>
              <w:left w:val="single" w:sz="18" w:space="0" w:color="5F497A" w:themeColor="accent4" w:themeShade="BF"/>
              <w:bottom w:val="nil"/>
              <w:right w:val="nil"/>
            </w:tcBorders>
            <w:shd w:val="clear" w:color="auto" w:fill="auto"/>
            <w:vAlign w:val="bottom"/>
          </w:tcPr>
          <w:p w14:paraId="1268A491" w14:textId="474BE4DF"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7" w:type="dxa"/>
            <w:tcBorders>
              <w:top w:val="nil"/>
              <w:left w:val="nil"/>
              <w:bottom w:val="nil"/>
              <w:right w:val="nil"/>
            </w:tcBorders>
            <w:shd w:val="clear" w:color="auto" w:fill="auto"/>
            <w:vAlign w:val="bottom"/>
          </w:tcPr>
          <w:p w14:paraId="537E1A21" w14:textId="79A77637" w:rsidR="00DC5BE9" w:rsidRPr="003E2D55" w:rsidRDefault="00DC5BE9" w:rsidP="003E2D55">
            <w:pPr>
              <w:spacing w:before="40" w:after="20"/>
              <w:jc w:val="center"/>
              <w:rPr>
                <w:rFonts w:cs="Arial"/>
                <w:sz w:val="18"/>
                <w:szCs w:val="18"/>
              </w:rPr>
            </w:pPr>
            <w:r w:rsidRPr="003E2D55">
              <w:rPr>
                <w:rFonts w:cs="Arial"/>
                <w:sz w:val="18"/>
                <w:szCs w:val="18"/>
              </w:rPr>
              <w:t>1.07</w:t>
            </w:r>
          </w:p>
        </w:tc>
        <w:tc>
          <w:tcPr>
            <w:tcW w:w="908" w:type="dxa"/>
            <w:tcBorders>
              <w:top w:val="nil"/>
              <w:left w:val="nil"/>
              <w:bottom w:val="nil"/>
              <w:right w:val="nil"/>
            </w:tcBorders>
            <w:vAlign w:val="bottom"/>
          </w:tcPr>
          <w:p w14:paraId="27BD3A75" w14:textId="46E44810" w:rsidR="00DC5BE9" w:rsidRPr="003E2D55" w:rsidRDefault="00DC5BE9" w:rsidP="003E2D55">
            <w:pPr>
              <w:spacing w:before="40" w:after="20"/>
              <w:jc w:val="center"/>
              <w:rPr>
                <w:rFonts w:cs="Arial"/>
                <w:sz w:val="18"/>
                <w:szCs w:val="18"/>
              </w:rPr>
            </w:pPr>
            <w:r w:rsidRPr="003E2D55">
              <w:rPr>
                <w:rFonts w:cs="Arial"/>
                <w:sz w:val="18"/>
                <w:szCs w:val="18"/>
              </w:rPr>
              <w:t>1.20</w:t>
            </w:r>
          </w:p>
        </w:tc>
        <w:tc>
          <w:tcPr>
            <w:tcW w:w="170" w:type="dxa"/>
            <w:tcBorders>
              <w:top w:val="nil"/>
              <w:left w:val="nil"/>
              <w:bottom w:val="nil"/>
              <w:right w:val="nil"/>
            </w:tcBorders>
            <w:vAlign w:val="bottom"/>
          </w:tcPr>
          <w:p w14:paraId="21786582" w14:textId="7786EBE1" w:rsidR="00DC5BE9" w:rsidRPr="003E2D55" w:rsidRDefault="00DC5BE9" w:rsidP="003E2D55">
            <w:pPr>
              <w:spacing w:before="40" w:after="20"/>
              <w:jc w:val="center"/>
              <w:rPr>
                <w:rFonts w:cs="Arial"/>
                <w:sz w:val="18"/>
                <w:szCs w:val="18"/>
              </w:rPr>
            </w:pPr>
          </w:p>
        </w:tc>
        <w:tc>
          <w:tcPr>
            <w:tcW w:w="907" w:type="dxa"/>
            <w:tcBorders>
              <w:top w:val="nil"/>
              <w:left w:val="nil"/>
              <w:bottom w:val="nil"/>
              <w:right w:val="nil"/>
            </w:tcBorders>
            <w:vAlign w:val="bottom"/>
          </w:tcPr>
          <w:p w14:paraId="22DAFF40" w14:textId="7F63994E"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908" w:type="dxa"/>
            <w:tcBorders>
              <w:top w:val="nil"/>
              <w:left w:val="nil"/>
              <w:bottom w:val="nil"/>
              <w:right w:val="nil"/>
            </w:tcBorders>
            <w:shd w:val="clear" w:color="auto" w:fill="auto"/>
            <w:vAlign w:val="bottom"/>
          </w:tcPr>
          <w:p w14:paraId="467EF79E" w14:textId="4F7606EB" w:rsidR="00DC5BE9" w:rsidRPr="003E2D55" w:rsidRDefault="00DC5BE9" w:rsidP="003E2D55">
            <w:pPr>
              <w:spacing w:before="40" w:after="20"/>
              <w:jc w:val="center"/>
              <w:rPr>
                <w:rFonts w:cs="Arial"/>
                <w:sz w:val="18"/>
                <w:szCs w:val="18"/>
              </w:rPr>
            </w:pPr>
            <w:r w:rsidRPr="003E2D55">
              <w:rPr>
                <w:rFonts w:cs="Arial"/>
                <w:sz w:val="18"/>
                <w:szCs w:val="18"/>
              </w:rPr>
              <w:t>0.96</w:t>
            </w:r>
          </w:p>
        </w:tc>
        <w:tc>
          <w:tcPr>
            <w:tcW w:w="1021" w:type="dxa"/>
            <w:tcBorders>
              <w:top w:val="nil"/>
              <w:left w:val="nil"/>
              <w:bottom w:val="nil"/>
              <w:right w:val="nil"/>
            </w:tcBorders>
            <w:shd w:val="clear" w:color="auto" w:fill="auto"/>
            <w:vAlign w:val="bottom"/>
          </w:tcPr>
          <w:p w14:paraId="0FEE392D" w14:textId="2037D4A0" w:rsidR="00DC5BE9" w:rsidRPr="003E2D55" w:rsidRDefault="00DC5BE9" w:rsidP="003E2D55">
            <w:pPr>
              <w:spacing w:before="40" w:after="20"/>
              <w:jc w:val="center"/>
              <w:rPr>
                <w:rFonts w:cs="Arial"/>
                <w:sz w:val="18"/>
                <w:szCs w:val="18"/>
              </w:rPr>
            </w:pPr>
            <w:r w:rsidRPr="003E2D55">
              <w:rPr>
                <w:rFonts w:cs="Arial"/>
                <w:sz w:val="18"/>
                <w:szCs w:val="18"/>
              </w:rPr>
              <w:t>0.97</w:t>
            </w:r>
          </w:p>
        </w:tc>
        <w:tc>
          <w:tcPr>
            <w:tcW w:w="1021" w:type="dxa"/>
            <w:tcBorders>
              <w:top w:val="nil"/>
              <w:left w:val="nil"/>
              <w:bottom w:val="nil"/>
              <w:right w:val="nil"/>
            </w:tcBorders>
            <w:shd w:val="clear" w:color="auto" w:fill="auto"/>
            <w:vAlign w:val="bottom"/>
          </w:tcPr>
          <w:p w14:paraId="41141F7B" w14:textId="18E4BE57" w:rsidR="00DC5BE9" w:rsidRPr="003E2D55" w:rsidRDefault="00DC5BE9" w:rsidP="003E2D55">
            <w:pPr>
              <w:spacing w:before="40" w:after="20"/>
              <w:jc w:val="center"/>
              <w:rPr>
                <w:rFonts w:cs="Arial"/>
                <w:sz w:val="18"/>
                <w:szCs w:val="18"/>
              </w:rPr>
            </w:pPr>
            <w:r w:rsidRPr="003E2D55">
              <w:rPr>
                <w:rFonts w:cs="Arial"/>
                <w:sz w:val="18"/>
                <w:szCs w:val="18"/>
              </w:rPr>
              <w:t>27.1</w:t>
            </w:r>
          </w:p>
        </w:tc>
      </w:tr>
      <w:tr w:rsidR="00DC5BE9" w:rsidRPr="003E2D55" w14:paraId="22D207E9" w14:textId="77777777" w:rsidTr="00DF175F">
        <w:trPr>
          <w:trHeight w:val="240"/>
        </w:trPr>
        <w:tc>
          <w:tcPr>
            <w:tcW w:w="2268" w:type="dxa"/>
            <w:tcBorders>
              <w:top w:val="nil"/>
              <w:left w:val="nil"/>
              <w:bottom w:val="nil"/>
              <w:right w:val="single" w:sz="18" w:space="0" w:color="5F497A" w:themeColor="accent4" w:themeShade="BF"/>
            </w:tcBorders>
            <w:shd w:val="clear" w:color="auto" w:fill="auto"/>
            <w:vAlign w:val="center"/>
          </w:tcPr>
          <w:p w14:paraId="2EC94642" w14:textId="77777777" w:rsidR="00DC5BE9" w:rsidRPr="003E2D55" w:rsidRDefault="00DC5BE9" w:rsidP="003E2D55">
            <w:pPr>
              <w:spacing w:before="40" w:after="20"/>
              <w:rPr>
                <w:rFonts w:cs="Arial"/>
                <w:sz w:val="18"/>
                <w:szCs w:val="18"/>
              </w:rPr>
            </w:pPr>
            <w:r w:rsidRPr="003E2D55">
              <w:rPr>
                <w:rFonts w:cs="Arial"/>
                <w:sz w:val="18"/>
                <w:szCs w:val="18"/>
              </w:rPr>
              <w:t>Yarriambiack S</w:t>
            </w:r>
          </w:p>
        </w:tc>
        <w:tc>
          <w:tcPr>
            <w:tcW w:w="1021" w:type="dxa"/>
            <w:tcBorders>
              <w:top w:val="nil"/>
              <w:left w:val="single" w:sz="18" w:space="0" w:color="5F497A" w:themeColor="accent4" w:themeShade="BF"/>
              <w:right w:val="nil"/>
            </w:tcBorders>
            <w:shd w:val="clear" w:color="auto" w:fill="auto"/>
            <w:vAlign w:val="bottom"/>
          </w:tcPr>
          <w:p w14:paraId="7A9921D9" w14:textId="1ECFD36F" w:rsidR="00DC5BE9" w:rsidRPr="003E2D55" w:rsidRDefault="00DC5BE9" w:rsidP="003E2D55">
            <w:pPr>
              <w:spacing w:before="40" w:after="20"/>
              <w:jc w:val="center"/>
              <w:rPr>
                <w:rFonts w:cs="Arial"/>
                <w:sz w:val="18"/>
                <w:szCs w:val="18"/>
              </w:rPr>
            </w:pPr>
            <w:r w:rsidRPr="003E2D55">
              <w:rPr>
                <w:rFonts w:cs="Arial"/>
                <w:sz w:val="18"/>
                <w:szCs w:val="18"/>
              </w:rPr>
              <w:t>1.04</w:t>
            </w:r>
          </w:p>
        </w:tc>
        <w:tc>
          <w:tcPr>
            <w:tcW w:w="907" w:type="dxa"/>
            <w:tcBorders>
              <w:top w:val="nil"/>
              <w:left w:val="nil"/>
              <w:right w:val="nil"/>
            </w:tcBorders>
            <w:shd w:val="clear" w:color="auto" w:fill="auto"/>
            <w:vAlign w:val="bottom"/>
          </w:tcPr>
          <w:p w14:paraId="5FB473CC" w14:textId="60DA42CD" w:rsidR="00DC5BE9" w:rsidRPr="003E2D55" w:rsidRDefault="00DC5BE9" w:rsidP="003E2D55">
            <w:pPr>
              <w:spacing w:before="40" w:after="20"/>
              <w:jc w:val="center"/>
              <w:rPr>
                <w:rFonts w:cs="Arial"/>
                <w:sz w:val="18"/>
                <w:szCs w:val="18"/>
              </w:rPr>
            </w:pPr>
            <w:r w:rsidRPr="003E2D55">
              <w:rPr>
                <w:rFonts w:cs="Arial"/>
                <w:sz w:val="18"/>
                <w:szCs w:val="18"/>
              </w:rPr>
              <w:t>0.95</w:t>
            </w:r>
          </w:p>
        </w:tc>
        <w:tc>
          <w:tcPr>
            <w:tcW w:w="908" w:type="dxa"/>
            <w:tcBorders>
              <w:top w:val="nil"/>
              <w:left w:val="nil"/>
              <w:right w:val="nil"/>
            </w:tcBorders>
            <w:vAlign w:val="bottom"/>
          </w:tcPr>
          <w:p w14:paraId="28CB3D97" w14:textId="5FA7B41A" w:rsidR="00DC5BE9" w:rsidRPr="003E2D55" w:rsidRDefault="00DC5BE9" w:rsidP="003E2D55">
            <w:pPr>
              <w:spacing w:before="40" w:after="20"/>
              <w:jc w:val="center"/>
              <w:rPr>
                <w:rFonts w:cs="Arial"/>
                <w:sz w:val="18"/>
                <w:szCs w:val="18"/>
              </w:rPr>
            </w:pPr>
            <w:r w:rsidRPr="003E2D55">
              <w:rPr>
                <w:rFonts w:cs="Arial"/>
                <w:sz w:val="18"/>
                <w:szCs w:val="18"/>
              </w:rPr>
              <w:t>0.77</w:t>
            </w:r>
          </w:p>
        </w:tc>
        <w:tc>
          <w:tcPr>
            <w:tcW w:w="170" w:type="dxa"/>
            <w:tcBorders>
              <w:top w:val="nil"/>
              <w:left w:val="nil"/>
              <w:right w:val="nil"/>
            </w:tcBorders>
            <w:vAlign w:val="bottom"/>
          </w:tcPr>
          <w:p w14:paraId="18069396" w14:textId="0E13FD18" w:rsidR="00DC5BE9" w:rsidRPr="003E2D55" w:rsidRDefault="00DC5BE9" w:rsidP="003E2D55">
            <w:pPr>
              <w:spacing w:before="40" w:after="20"/>
              <w:jc w:val="center"/>
              <w:rPr>
                <w:rFonts w:cs="Arial"/>
                <w:sz w:val="18"/>
                <w:szCs w:val="18"/>
              </w:rPr>
            </w:pPr>
          </w:p>
        </w:tc>
        <w:tc>
          <w:tcPr>
            <w:tcW w:w="907" w:type="dxa"/>
            <w:tcBorders>
              <w:top w:val="nil"/>
              <w:left w:val="nil"/>
              <w:right w:val="nil"/>
            </w:tcBorders>
            <w:vAlign w:val="bottom"/>
          </w:tcPr>
          <w:p w14:paraId="4F58B124" w14:textId="772B0233" w:rsidR="00DC5BE9" w:rsidRPr="003E2D55" w:rsidRDefault="00DC5BE9" w:rsidP="003E2D55">
            <w:pPr>
              <w:spacing w:before="40" w:after="20"/>
              <w:jc w:val="center"/>
              <w:rPr>
                <w:rFonts w:cs="Arial"/>
                <w:sz w:val="18"/>
                <w:szCs w:val="18"/>
              </w:rPr>
            </w:pPr>
            <w:r w:rsidRPr="003E2D55">
              <w:rPr>
                <w:rFonts w:cs="Arial"/>
                <w:sz w:val="18"/>
                <w:szCs w:val="18"/>
              </w:rPr>
              <w:t>1.06</w:t>
            </w:r>
          </w:p>
        </w:tc>
        <w:tc>
          <w:tcPr>
            <w:tcW w:w="908" w:type="dxa"/>
            <w:tcBorders>
              <w:top w:val="nil"/>
              <w:left w:val="nil"/>
              <w:right w:val="nil"/>
            </w:tcBorders>
            <w:shd w:val="clear" w:color="auto" w:fill="auto"/>
            <w:vAlign w:val="bottom"/>
          </w:tcPr>
          <w:p w14:paraId="18908F24" w14:textId="4D8D484E" w:rsidR="00DC5BE9" w:rsidRPr="003E2D55" w:rsidRDefault="00DC5BE9" w:rsidP="003E2D55">
            <w:pPr>
              <w:spacing w:before="40" w:after="20"/>
              <w:jc w:val="center"/>
              <w:rPr>
                <w:rFonts w:cs="Arial"/>
                <w:sz w:val="18"/>
                <w:szCs w:val="18"/>
              </w:rPr>
            </w:pPr>
            <w:r w:rsidRPr="003E2D55">
              <w:rPr>
                <w:rFonts w:cs="Arial"/>
                <w:sz w:val="18"/>
                <w:szCs w:val="18"/>
              </w:rPr>
              <w:t>1.06</w:t>
            </w:r>
          </w:p>
        </w:tc>
        <w:tc>
          <w:tcPr>
            <w:tcW w:w="1021" w:type="dxa"/>
            <w:tcBorders>
              <w:top w:val="nil"/>
              <w:left w:val="nil"/>
              <w:right w:val="nil"/>
            </w:tcBorders>
            <w:shd w:val="clear" w:color="auto" w:fill="auto"/>
            <w:vAlign w:val="bottom"/>
          </w:tcPr>
          <w:p w14:paraId="7CD0227B" w14:textId="7FCBEE52" w:rsidR="00DC5BE9" w:rsidRPr="003E2D55" w:rsidRDefault="00DC5BE9" w:rsidP="003E2D55">
            <w:pPr>
              <w:spacing w:before="40" w:after="20"/>
              <w:jc w:val="center"/>
              <w:rPr>
                <w:rFonts w:cs="Arial"/>
                <w:sz w:val="18"/>
                <w:szCs w:val="18"/>
              </w:rPr>
            </w:pPr>
            <w:r w:rsidRPr="003E2D55">
              <w:rPr>
                <w:rFonts w:cs="Arial"/>
                <w:sz w:val="18"/>
                <w:szCs w:val="18"/>
              </w:rPr>
              <w:t>1.00</w:t>
            </w:r>
          </w:p>
        </w:tc>
        <w:tc>
          <w:tcPr>
            <w:tcW w:w="1021" w:type="dxa"/>
            <w:tcBorders>
              <w:top w:val="nil"/>
              <w:left w:val="nil"/>
              <w:right w:val="nil"/>
            </w:tcBorders>
            <w:shd w:val="clear" w:color="auto" w:fill="auto"/>
            <w:vAlign w:val="bottom"/>
          </w:tcPr>
          <w:p w14:paraId="57C7B0AF" w14:textId="4D82BA5F" w:rsidR="00DC5BE9" w:rsidRPr="003E2D55" w:rsidRDefault="00DC5BE9" w:rsidP="003E2D55">
            <w:pPr>
              <w:spacing w:before="40" w:after="20"/>
              <w:jc w:val="center"/>
              <w:rPr>
                <w:rFonts w:cs="Arial"/>
                <w:sz w:val="18"/>
                <w:szCs w:val="18"/>
              </w:rPr>
            </w:pPr>
            <w:r w:rsidRPr="003E2D55">
              <w:rPr>
                <w:rFonts w:cs="Arial"/>
                <w:sz w:val="18"/>
                <w:szCs w:val="18"/>
              </w:rPr>
              <w:t>9.8</w:t>
            </w:r>
          </w:p>
        </w:tc>
      </w:tr>
      <w:tr w:rsidR="00C0655A" w:rsidRPr="003E2D55" w14:paraId="4CA57903" w14:textId="77777777" w:rsidTr="00B44BBE">
        <w:trPr>
          <w:trHeight w:val="240"/>
        </w:trPr>
        <w:tc>
          <w:tcPr>
            <w:tcW w:w="2268" w:type="dxa"/>
            <w:tcBorders>
              <w:top w:val="nil"/>
              <w:left w:val="nil"/>
              <w:bottom w:val="nil"/>
              <w:right w:val="single" w:sz="18" w:space="0" w:color="5F497A" w:themeColor="accent4" w:themeShade="BF"/>
            </w:tcBorders>
            <w:shd w:val="clear" w:color="auto" w:fill="auto"/>
            <w:vAlign w:val="center"/>
          </w:tcPr>
          <w:p w14:paraId="6E86436B" w14:textId="77777777" w:rsidR="00C0655A" w:rsidRPr="003E2D55" w:rsidRDefault="00C0655A" w:rsidP="003E2D55">
            <w:pPr>
              <w:spacing w:before="40" w:after="20"/>
              <w:rPr>
                <w:rFonts w:cs="Arial"/>
                <w:sz w:val="18"/>
                <w:szCs w:val="18"/>
              </w:rPr>
            </w:pPr>
          </w:p>
        </w:tc>
        <w:tc>
          <w:tcPr>
            <w:tcW w:w="1021" w:type="dxa"/>
            <w:tcBorders>
              <w:top w:val="nil"/>
              <w:left w:val="single" w:sz="18" w:space="0" w:color="5F497A" w:themeColor="accent4" w:themeShade="BF"/>
              <w:bottom w:val="single" w:sz="8" w:space="0" w:color="5F497A" w:themeColor="accent4" w:themeShade="BF"/>
              <w:right w:val="nil"/>
            </w:tcBorders>
            <w:shd w:val="clear" w:color="auto" w:fill="auto"/>
            <w:vAlign w:val="center"/>
          </w:tcPr>
          <w:p w14:paraId="2FD54E8B" w14:textId="77777777" w:rsidR="00C0655A" w:rsidRPr="003E2D55" w:rsidRDefault="00C0655A" w:rsidP="003E2D55">
            <w:pPr>
              <w:spacing w:before="40" w:after="20"/>
              <w:jc w:val="center"/>
              <w:rPr>
                <w:rFonts w:cs="Arial"/>
                <w:sz w:val="18"/>
                <w:szCs w:val="18"/>
              </w:rPr>
            </w:pPr>
          </w:p>
        </w:tc>
        <w:tc>
          <w:tcPr>
            <w:tcW w:w="907" w:type="dxa"/>
            <w:tcBorders>
              <w:top w:val="nil"/>
              <w:left w:val="nil"/>
              <w:bottom w:val="single" w:sz="8" w:space="0" w:color="5F497A" w:themeColor="accent4" w:themeShade="BF"/>
              <w:right w:val="nil"/>
            </w:tcBorders>
            <w:shd w:val="clear" w:color="auto" w:fill="auto"/>
            <w:vAlign w:val="center"/>
          </w:tcPr>
          <w:p w14:paraId="2532E8EA" w14:textId="77777777" w:rsidR="00C0655A" w:rsidRPr="003E2D55" w:rsidRDefault="00C0655A" w:rsidP="003E2D55">
            <w:pPr>
              <w:spacing w:before="40" w:after="20"/>
              <w:jc w:val="center"/>
              <w:rPr>
                <w:rFonts w:cs="Arial"/>
                <w:sz w:val="18"/>
                <w:szCs w:val="18"/>
              </w:rPr>
            </w:pPr>
          </w:p>
        </w:tc>
        <w:tc>
          <w:tcPr>
            <w:tcW w:w="908" w:type="dxa"/>
            <w:tcBorders>
              <w:top w:val="nil"/>
              <w:left w:val="nil"/>
              <w:bottom w:val="single" w:sz="8" w:space="0" w:color="5F497A" w:themeColor="accent4" w:themeShade="BF"/>
              <w:right w:val="nil"/>
            </w:tcBorders>
            <w:vAlign w:val="center"/>
          </w:tcPr>
          <w:p w14:paraId="2D1E1840" w14:textId="77777777" w:rsidR="00C0655A" w:rsidRPr="003E2D55" w:rsidRDefault="00C0655A" w:rsidP="003E2D55">
            <w:pPr>
              <w:spacing w:before="40" w:after="20"/>
              <w:jc w:val="center"/>
              <w:rPr>
                <w:rFonts w:cs="Arial"/>
                <w:sz w:val="18"/>
                <w:szCs w:val="18"/>
              </w:rPr>
            </w:pPr>
          </w:p>
        </w:tc>
        <w:tc>
          <w:tcPr>
            <w:tcW w:w="170" w:type="dxa"/>
            <w:tcBorders>
              <w:top w:val="nil"/>
              <w:left w:val="nil"/>
              <w:bottom w:val="single" w:sz="8" w:space="0" w:color="5F497A" w:themeColor="accent4" w:themeShade="BF"/>
              <w:right w:val="nil"/>
            </w:tcBorders>
            <w:vAlign w:val="center"/>
          </w:tcPr>
          <w:p w14:paraId="76950E69" w14:textId="77777777" w:rsidR="00C0655A" w:rsidRPr="003E2D55" w:rsidRDefault="00C0655A" w:rsidP="003E2D55">
            <w:pPr>
              <w:spacing w:before="40" w:after="20"/>
              <w:jc w:val="center"/>
              <w:rPr>
                <w:rFonts w:cs="Arial"/>
                <w:sz w:val="18"/>
                <w:szCs w:val="18"/>
              </w:rPr>
            </w:pPr>
          </w:p>
        </w:tc>
        <w:tc>
          <w:tcPr>
            <w:tcW w:w="907" w:type="dxa"/>
            <w:tcBorders>
              <w:top w:val="nil"/>
              <w:left w:val="nil"/>
              <w:bottom w:val="single" w:sz="8" w:space="0" w:color="5F497A" w:themeColor="accent4" w:themeShade="BF"/>
              <w:right w:val="nil"/>
            </w:tcBorders>
            <w:vAlign w:val="center"/>
          </w:tcPr>
          <w:p w14:paraId="4F56D711" w14:textId="77777777" w:rsidR="00C0655A" w:rsidRPr="003E2D55" w:rsidRDefault="00C0655A" w:rsidP="003E2D55">
            <w:pPr>
              <w:spacing w:before="40" w:after="20"/>
              <w:jc w:val="center"/>
              <w:rPr>
                <w:rFonts w:cs="Arial"/>
                <w:sz w:val="18"/>
                <w:szCs w:val="18"/>
              </w:rPr>
            </w:pPr>
          </w:p>
        </w:tc>
        <w:tc>
          <w:tcPr>
            <w:tcW w:w="908" w:type="dxa"/>
            <w:tcBorders>
              <w:top w:val="nil"/>
              <w:left w:val="nil"/>
              <w:bottom w:val="single" w:sz="8" w:space="0" w:color="5F497A" w:themeColor="accent4" w:themeShade="BF"/>
              <w:right w:val="nil"/>
            </w:tcBorders>
            <w:shd w:val="clear" w:color="auto" w:fill="auto"/>
            <w:vAlign w:val="center"/>
          </w:tcPr>
          <w:p w14:paraId="51858A01" w14:textId="77777777" w:rsidR="00C0655A" w:rsidRPr="003E2D55" w:rsidRDefault="00C0655A" w:rsidP="003E2D55">
            <w:pPr>
              <w:spacing w:before="40" w:after="20"/>
              <w:jc w:val="center"/>
              <w:rPr>
                <w:rFonts w:cs="Arial"/>
                <w:sz w:val="18"/>
                <w:szCs w:val="18"/>
              </w:rPr>
            </w:pPr>
          </w:p>
        </w:tc>
        <w:tc>
          <w:tcPr>
            <w:tcW w:w="1021" w:type="dxa"/>
            <w:tcBorders>
              <w:top w:val="nil"/>
              <w:left w:val="nil"/>
              <w:bottom w:val="single" w:sz="8" w:space="0" w:color="5F497A" w:themeColor="accent4" w:themeShade="BF"/>
              <w:right w:val="nil"/>
            </w:tcBorders>
            <w:shd w:val="clear" w:color="auto" w:fill="auto"/>
            <w:vAlign w:val="center"/>
          </w:tcPr>
          <w:p w14:paraId="0B0C389C" w14:textId="77777777" w:rsidR="00C0655A" w:rsidRPr="003E2D55" w:rsidRDefault="00C0655A" w:rsidP="003E2D55">
            <w:pPr>
              <w:spacing w:before="40" w:after="20"/>
              <w:jc w:val="center"/>
              <w:rPr>
                <w:rFonts w:cs="Arial"/>
                <w:sz w:val="18"/>
                <w:szCs w:val="18"/>
              </w:rPr>
            </w:pPr>
          </w:p>
        </w:tc>
        <w:tc>
          <w:tcPr>
            <w:tcW w:w="1021" w:type="dxa"/>
            <w:tcBorders>
              <w:top w:val="nil"/>
              <w:left w:val="nil"/>
              <w:bottom w:val="single" w:sz="8" w:space="0" w:color="5F497A" w:themeColor="accent4" w:themeShade="BF"/>
              <w:right w:val="nil"/>
            </w:tcBorders>
            <w:shd w:val="clear" w:color="auto" w:fill="auto"/>
            <w:vAlign w:val="center"/>
          </w:tcPr>
          <w:p w14:paraId="6EE46FE4" w14:textId="77777777" w:rsidR="00C0655A" w:rsidRPr="003E2D55" w:rsidRDefault="00C0655A" w:rsidP="003E2D55">
            <w:pPr>
              <w:spacing w:before="40" w:after="20"/>
              <w:jc w:val="center"/>
              <w:rPr>
                <w:rFonts w:cs="Arial"/>
                <w:sz w:val="18"/>
                <w:szCs w:val="18"/>
              </w:rPr>
            </w:pPr>
          </w:p>
        </w:tc>
      </w:tr>
      <w:tr w:rsidR="00C0655A" w:rsidRPr="003E2D55" w14:paraId="470FB34E" w14:textId="77777777" w:rsidTr="00B44BBE">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20333F" w14:textId="77777777" w:rsidR="00C0655A" w:rsidRPr="003E2D55" w:rsidRDefault="00C0655A" w:rsidP="003E2D55">
            <w:pPr>
              <w:spacing w:before="40" w:after="20"/>
              <w:rPr>
                <w:rFonts w:cs="Arial"/>
                <w:sz w:val="18"/>
                <w:szCs w:val="18"/>
              </w:rPr>
            </w:pPr>
          </w:p>
        </w:tc>
        <w:tc>
          <w:tcPr>
            <w:tcW w:w="1021" w:type="dxa"/>
            <w:tcBorders>
              <w:top w:val="single" w:sz="8" w:space="0" w:color="5F497A" w:themeColor="accent4" w:themeShade="BF"/>
              <w:left w:val="single" w:sz="18" w:space="0" w:color="5F497A" w:themeColor="accent4" w:themeShade="BF"/>
              <w:right w:val="nil"/>
            </w:tcBorders>
            <w:shd w:val="clear" w:color="auto" w:fill="auto"/>
            <w:vAlign w:val="center"/>
          </w:tcPr>
          <w:p w14:paraId="055AB27C" w14:textId="77777777" w:rsidR="00C0655A" w:rsidRPr="003E2D55" w:rsidRDefault="00C0655A" w:rsidP="003E2D55">
            <w:pPr>
              <w:spacing w:before="40" w:after="20"/>
              <w:jc w:val="center"/>
              <w:rPr>
                <w:rFonts w:cs="Arial"/>
                <w:b/>
                <w:sz w:val="18"/>
                <w:szCs w:val="18"/>
              </w:rPr>
            </w:pPr>
          </w:p>
        </w:tc>
        <w:tc>
          <w:tcPr>
            <w:tcW w:w="907" w:type="dxa"/>
            <w:tcBorders>
              <w:top w:val="single" w:sz="8" w:space="0" w:color="5F497A" w:themeColor="accent4" w:themeShade="BF"/>
              <w:left w:val="nil"/>
              <w:right w:val="nil"/>
            </w:tcBorders>
            <w:shd w:val="clear" w:color="auto" w:fill="auto"/>
            <w:vAlign w:val="center"/>
          </w:tcPr>
          <w:p w14:paraId="037DF42D" w14:textId="77777777" w:rsidR="00C0655A" w:rsidRPr="003E2D55" w:rsidRDefault="00C0655A" w:rsidP="003E2D55">
            <w:pPr>
              <w:spacing w:before="40" w:after="20"/>
              <w:jc w:val="center"/>
              <w:rPr>
                <w:rFonts w:cs="Arial"/>
                <w:b/>
                <w:sz w:val="18"/>
                <w:szCs w:val="18"/>
              </w:rPr>
            </w:pPr>
          </w:p>
        </w:tc>
        <w:tc>
          <w:tcPr>
            <w:tcW w:w="908" w:type="dxa"/>
            <w:tcBorders>
              <w:top w:val="single" w:sz="8" w:space="0" w:color="5F497A" w:themeColor="accent4" w:themeShade="BF"/>
              <w:left w:val="nil"/>
              <w:right w:val="nil"/>
            </w:tcBorders>
            <w:vAlign w:val="center"/>
          </w:tcPr>
          <w:p w14:paraId="120D2481" w14:textId="77777777" w:rsidR="00C0655A" w:rsidRPr="003E2D55" w:rsidRDefault="00C0655A" w:rsidP="003E2D55">
            <w:pPr>
              <w:spacing w:before="40" w:after="20"/>
              <w:jc w:val="center"/>
              <w:rPr>
                <w:rFonts w:cs="Arial"/>
                <w:b/>
                <w:sz w:val="18"/>
                <w:szCs w:val="18"/>
              </w:rPr>
            </w:pPr>
          </w:p>
        </w:tc>
        <w:tc>
          <w:tcPr>
            <w:tcW w:w="170" w:type="dxa"/>
            <w:tcBorders>
              <w:top w:val="single" w:sz="8" w:space="0" w:color="5F497A" w:themeColor="accent4" w:themeShade="BF"/>
              <w:left w:val="nil"/>
              <w:right w:val="nil"/>
            </w:tcBorders>
            <w:vAlign w:val="center"/>
          </w:tcPr>
          <w:p w14:paraId="1D3E1BFF" w14:textId="77777777" w:rsidR="00C0655A" w:rsidRPr="003E2D55" w:rsidRDefault="00C0655A" w:rsidP="003E2D55">
            <w:pPr>
              <w:spacing w:before="40" w:after="20"/>
              <w:jc w:val="center"/>
              <w:rPr>
                <w:rFonts w:cs="Arial"/>
                <w:sz w:val="18"/>
                <w:szCs w:val="18"/>
              </w:rPr>
            </w:pPr>
          </w:p>
        </w:tc>
        <w:tc>
          <w:tcPr>
            <w:tcW w:w="907" w:type="dxa"/>
            <w:tcBorders>
              <w:top w:val="single" w:sz="8" w:space="0" w:color="5F497A" w:themeColor="accent4" w:themeShade="BF"/>
              <w:left w:val="nil"/>
              <w:right w:val="nil"/>
            </w:tcBorders>
            <w:vAlign w:val="center"/>
          </w:tcPr>
          <w:p w14:paraId="72C4BBE2" w14:textId="77777777" w:rsidR="00C0655A" w:rsidRPr="003E2D55" w:rsidRDefault="00C0655A" w:rsidP="003E2D55">
            <w:pPr>
              <w:spacing w:before="40" w:after="20"/>
              <w:jc w:val="center"/>
              <w:rPr>
                <w:rFonts w:cs="Arial"/>
                <w:b/>
                <w:sz w:val="18"/>
                <w:szCs w:val="18"/>
              </w:rPr>
            </w:pPr>
          </w:p>
        </w:tc>
        <w:tc>
          <w:tcPr>
            <w:tcW w:w="908" w:type="dxa"/>
            <w:tcBorders>
              <w:top w:val="single" w:sz="8" w:space="0" w:color="5F497A" w:themeColor="accent4" w:themeShade="BF"/>
              <w:left w:val="nil"/>
              <w:right w:val="nil"/>
            </w:tcBorders>
            <w:shd w:val="clear" w:color="auto" w:fill="auto"/>
            <w:vAlign w:val="center"/>
          </w:tcPr>
          <w:p w14:paraId="0068BA6D" w14:textId="77777777" w:rsidR="00C0655A" w:rsidRPr="003E2D55" w:rsidRDefault="00C0655A" w:rsidP="003E2D55">
            <w:pPr>
              <w:spacing w:before="40" w:after="20"/>
              <w:jc w:val="center"/>
              <w:rPr>
                <w:rFonts w:cs="Arial"/>
                <w:b/>
                <w:sz w:val="18"/>
                <w:szCs w:val="18"/>
              </w:rPr>
            </w:pPr>
          </w:p>
        </w:tc>
        <w:tc>
          <w:tcPr>
            <w:tcW w:w="1021" w:type="dxa"/>
            <w:tcBorders>
              <w:top w:val="single" w:sz="8" w:space="0" w:color="5F497A" w:themeColor="accent4" w:themeShade="BF"/>
              <w:left w:val="nil"/>
              <w:right w:val="nil"/>
            </w:tcBorders>
            <w:shd w:val="clear" w:color="auto" w:fill="auto"/>
            <w:vAlign w:val="center"/>
          </w:tcPr>
          <w:p w14:paraId="4CC49BAC" w14:textId="77777777" w:rsidR="00C0655A" w:rsidRPr="003E2D55" w:rsidRDefault="00C0655A" w:rsidP="003E2D55">
            <w:pPr>
              <w:spacing w:before="40" w:after="20"/>
              <w:jc w:val="center"/>
              <w:rPr>
                <w:rFonts w:cs="Arial"/>
                <w:b/>
                <w:sz w:val="18"/>
                <w:szCs w:val="18"/>
              </w:rPr>
            </w:pPr>
          </w:p>
        </w:tc>
        <w:tc>
          <w:tcPr>
            <w:tcW w:w="1021" w:type="dxa"/>
            <w:tcBorders>
              <w:top w:val="single" w:sz="8" w:space="0" w:color="5F497A" w:themeColor="accent4" w:themeShade="BF"/>
              <w:left w:val="nil"/>
              <w:right w:val="nil"/>
            </w:tcBorders>
            <w:shd w:val="clear" w:color="auto" w:fill="auto"/>
            <w:vAlign w:val="center"/>
          </w:tcPr>
          <w:p w14:paraId="2D94F88B" w14:textId="77777777" w:rsidR="00C0655A" w:rsidRPr="003E2D55" w:rsidRDefault="00C0655A" w:rsidP="003E2D55">
            <w:pPr>
              <w:spacing w:before="40" w:after="20"/>
              <w:jc w:val="center"/>
              <w:rPr>
                <w:rFonts w:cs="Arial"/>
                <w:b/>
                <w:sz w:val="18"/>
                <w:szCs w:val="18"/>
              </w:rPr>
            </w:pPr>
          </w:p>
        </w:tc>
      </w:tr>
    </w:tbl>
    <w:p w14:paraId="405E83C3" w14:textId="77777777" w:rsidR="00734A5D" w:rsidRPr="00A44829" w:rsidRDefault="00734A5D" w:rsidP="00FF36E8">
      <w:pPr>
        <w:spacing w:before="40" w:after="20"/>
        <w:rPr>
          <w:rFonts w:cs="Arial"/>
          <w:sz w:val="18"/>
          <w:szCs w:val="18"/>
        </w:rPr>
      </w:pPr>
      <w:r w:rsidRPr="00A44829">
        <w:rPr>
          <w:rFonts w:cs="Arial"/>
          <w:sz w:val="18"/>
          <w:szCs w:val="18"/>
        </w:rPr>
        <w:br w:type="page"/>
      </w:r>
    </w:p>
    <w:p w14:paraId="04F1B42C" w14:textId="7911A772" w:rsidR="00734A5D" w:rsidRPr="00A44829" w:rsidRDefault="00734A5D" w:rsidP="00C33713">
      <w:pPr>
        <w:pStyle w:val="VGC-Head10"/>
      </w:pPr>
      <w:r w:rsidRPr="00A44829">
        <w:lastRenderedPageBreak/>
        <w:t>Appendix 5</w:t>
      </w:r>
      <w:r w:rsidRPr="00A44829">
        <w:tab/>
      </w:r>
      <w:r w:rsidR="00EE4593" w:rsidRPr="00A44829">
        <w:t>2019-20</w:t>
      </w:r>
      <w:r w:rsidR="00A97ABE" w:rsidRPr="00A44829">
        <w:t xml:space="preserve"> </w:t>
      </w:r>
      <w:r w:rsidRPr="00A44829">
        <w:t xml:space="preserve">Local Roads Grants </w:t>
      </w:r>
    </w:p>
    <w:p w14:paraId="4799B7C7" w14:textId="77777777" w:rsidR="00734A5D" w:rsidRPr="00A44829" w:rsidRDefault="00A6042C" w:rsidP="008C1A28">
      <w:pPr>
        <w:pStyle w:val="VGC-Head2"/>
      </w:pPr>
      <w:r w:rsidRPr="00A44829">
        <w:t>E</w:t>
      </w:r>
      <w:r w:rsidR="00734A5D" w:rsidRPr="00A44829">
        <w:t>.  Network Costs</w:t>
      </w:r>
    </w:p>
    <w:p w14:paraId="6F2C252E" w14:textId="77777777" w:rsidR="00734A5D" w:rsidRPr="00A44829"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418"/>
      </w:tblGrid>
      <w:tr w:rsidR="00F65645" w:rsidRPr="00A44829" w14:paraId="03E269FF"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0B9B5864" w14:textId="77777777" w:rsidR="00F65645" w:rsidRPr="00A44829" w:rsidRDefault="00F65645" w:rsidP="0038375E">
            <w:pPr>
              <w:spacing w:before="40" w:after="20"/>
              <w:jc w:val="center"/>
              <w:rPr>
                <w:rFonts w:cs="Arial"/>
                <w:sz w:val="18"/>
                <w:szCs w:val="18"/>
              </w:rPr>
            </w:pPr>
          </w:p>
        </w:tc>
        <w:tc>
          <w:tcPr>
            <w:tcW w:w="5501" w:type="dxa"/>
            <w:gridSpan w:val="4"/>
            <w:tcBorders>
              <w:left w:val="single" w:sz="18" w:space="0" w:color="5F497A" w:themeColor="accent4" w:themeShade="BF"/>
              <w:bottom w:val="single" w:sz="8" w:space="0" w:color="5F497A" w:themeColor="accent4" w:themeShade="BF"/>
              <w:right w:val="nil"/>
            </w:tcBorders>
            <w:shd w:val="clear" w:color="auto" w:fill="auto"/>
            <w:vAlign w:val="bottom"/>
          </w:tcPr>
          <w:p w14:paraId="619A9F69" w14:textId="77777777" w:rsidR="00F65645" w:rsidRPr="00A44829" w:rsidRDefault="00A131F3" w:rsidP="0038375E">
            <w:pPr>
              <w:spacing w:before="40" w:after="20"/>
              <w:ind w:right="-57"/>
              <w:jc w:val="center"/>
              <w:rPr>
                <w:rFonts w:cs="Arial"/>
                <w:b/>
                <w:sz w:val="18"/>
                <w:szCs w:val="18"/>
              </w:rPr>
            </w:pPr>
            <w:r w:rsidRPr="00A44829">
              <w:rPr>
                <w:rFonts w:cs="Arial"/>
                <w:b/>
                <w:sz w:val="18"/>
                <w:szCs w:val="18"/>
              </w:rPr>
              <w:t>Urban Local Roads ($</w:t>
            </w:r>
            <w:r w:rsidR="00F65645" w:rsidRPr="00A44829">
              <w:rPr>
                <w:rFonts w:cs="Arial"/>
                <w:b/>
                <w:sz w:val="18"/>
                <w:szCs w:val="18"/>
              </w:rPr>
              <w:t>)</w:t>
            </w:r>
          </w:p>
        </w:tc>
      </w:tr>
      <w:tr w:rsidR="00F65645" w:rsidRPr="00A44829" w14:paraId="238CDBFE"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20090FDD" w14:textId="77777777" w:rsidR="00F65645" w:rsidRPr="00A44829" w:rsidRDefault="00F65645" w:rsidP="0038375E">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16B25BEB" w14:textId="77777777" w:rsidR="00F65645" w:rsidRPr="00A44829" w:rsidRDefault="00F65645" w:rsidP="0038375E">
            <w:pPr>
              <w:spacing w:before="40" w:after="20"/>
              <w:jc w:val="center"/>
              <w:rPr>
                <w:rFonts w:cs="Arial"/>
                <w:sz w:val="16"/>
                <w:szCs w:val="16"/>
              </w:rPr>
            </w:pPr>
            <w:r w:rsidRPr="00A44829">
              <w:rPr>
                <w:rFonts w:cs="Arial"/>
                <w:sz w:val="16"/>
                <w:szCs w:val="16"/>
              </w:rPr>
              <w:t>&lt;500 vpd</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37CF68D" w14:textId="77777777" w:rsidR="00F65645" w:rsidRPr="00A44829" w:rsidRDefault="00F65645" w:rsidP="0038375E">
            <w:pPr>
              <w:spacing w:before="40" w:after="20"/>
              <w:jc w:val="center"/>
              <w:rPr>
                <w:rFonts w:cs="Arial"/>
                <w:sz w:val="16"/>
                <w:szCs w:val="16"/>
              </w:rPr>
            </w:pPr>
            <w:r w:rsidRPr="00A44829">
              <w:rPr>
                <w:rFonts w:cs="Arial"/>
                <w:sz w:val="16"/>
                <w:szCs w:val="16"/>
              </w:rPr>
              <w:t xml:space="preserve">500 to </w:t>
            </w:r>
            <w:r w:rsidR="00A61C23" w:rsidRPr="00A44829">
              <w:rPr>
                <w:rFonts w:cs="Arial"/>
                <w:sz w:val="16"/>
                <w:szCs w:val="16"/>
              </w:rPr>
              <w:br/>
            </w:r>
            <w:r w:rsidRPr="00A44829">
              <w:rPr>
                <w:rFonts w:cs="Arial"/>
                <w:sz w:val="16"/>
                <w:szCs w:val="16"/>
              </w:rPr>
              <w:t>&lt;1000 vpd</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7C0B5131" w14:textId="77777777" w:rsidR="00F65645" w:rsidRPr="00A44829" w:rsidRDefault="00F65645" w:rsidP="0038375E">
            <w:pPr>
              <w:spacing w:before="40" w:after="20"/>
              <w:jc w:val="center"/>
              <w:rPr>
                <w:rFonts w:cs="Arial"/>
                <w:sz w:val="16"/>
                <w:szCs w:val="16"/>
              </w:rPr>
            </w:pPr>
            <w:r w:rsidRPr="00A44829">
              <w:rPr>
                <w:rFonts w:cs="Arial"/>
                <w:sz w:val="16"/>
                <w:szCs w:val="16"/>
              </w:rPr>
              <w:t xml:space="preserve">1000 to </w:t>
            </w:r>
            <w:r w:rsidR="00A61C23" w:rsidRPr="00A44829">
              <w:rPr>
                <w:rFonts w:cs="Arial"/>
                <w:sz w:val="16"/>
                <w:szCs w:val="16"/>
              </w:rPr>
              <w:br/>
            </w:r>
            <w:r w:rsidRPr="00A44829">
              <w:rPr>
                <w:rFonts w:cs="Arial"/>
                <w:sz w:val="16"/>
                <w:szCs w:val="16"/>
              </w:rPr>
              <w:t>&lt;5000 vpd</w:t>
            </w: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936BA10" w14:textId="77777777" w:rsidR="00F65645" w:rsidRPr="00A44829" w:rsidRDefault="00F65645" w:rsidP="0038375E">
            <w:pPr>
              <w:spacing w:before="40" w:after="20"/>
              <w:jc w:val="center"/>
              <w:rPr>
                <w:rFonts w:cs="Arial"/>
                <w:sz w:val="16"/>
                <w:szCs w:val="16"/>
              </w:rPr>
            </w:pPr>
            <w:r w:rsidRPr="00A44829">
              <w:rPr>
                <w:rFonts w:cs="Arial"/>
                <w:sz w:val="16"/>
                <w:szCs w:val="16"/>
              </w:rPr>
              <w:t>&gt;5000 vpd</w:t>
            </w:r>
          </w:p>
        </w:tc>
      </w:tr>
      <w:tr w:rsidR="00DC5BE9" w:rsidRPr="003E2D55" w14:paraId="6B2FD6D0" w14:textId="77777777" w:rsidTr="00B44BBE">
        <w:trPr>
          <w:trHeight w:val="20"/>
          <w:tblHeader/>
        </w:trPr>
        <w:tc>
          <w:tcPr>
            <w:tcW w:w="2268" w:type="dxa"/>
            <w:tcBorders>
              <w:left w:val="nil"/>
              <w:bottom w:val="nil"/>
              <w:right w:val="single" w:sz="18" w:space="0" w:color="5F497A" w:themeColor="accent4" w:themeShade="BF"/>
            </w:tcBorders>
            <w:shd w:val="clear" w:color="auto" w:fill="auto"/>
            <w:vAlign w:val="center"/>
          </w:tcPr>
          <w:p w14:paraId="6DE0737E" w14:textId="77777777" w:rsidR="00DC5BE9" w:rsidRPr="003E2D55" w:rsidRDefault="00DC5BE9" w:rsidP="003E2D55">
            <w:pPr>
              <w:spacing w:before="40" w:after="4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6BB88E8" w14:textId="61223269" w:rsidR="00DC5BE9" w:rsidRPr="003E2D55" w:rsidRDefault="00DC5BE9" w:rsidP="003E2D55">
            <w:pPr>
              <w:spacing w:before="40" w:after="40"/>
              <w:jc w:val="right"/>
              <w:rPr>
                <w:rFonts w:cs="Arial"/>
                <w:sz w:val="18"/>
                <w:szCs w:val="18"/>
              </w:rPr>
            </w:pPr>
            <w:r w:rsidRPr="003E2D55">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738007EA" w14:textId="77777777" w:rsidR="00DC5BE9" w:rsidRPr="003E2D55" w:rsidRDefault="00DC5BE9" w:rsidP="003E2D55">
            <w:pPr>
              <w:spacing w:before="40" w:after="4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11BCA1D5" w14:textId="77777777" w:rsidR="00DC5BE9" w:rsidRPr="003E2D55" w:rsidRDefault="00DC5BE9" w:rsidP="003E2D55">
            <w:pPr>
              <w:spacing w:before="40" w:after="40"/>
              <w:jc w:val="right"/>
              <w:rPr>
                <w:rFonts w:cs="Arial"/>
                <w:sz w:val="18"/>
                <w:szCs w:val="18"/>
              </w:rPr>
            </w:pPr>
          </w:p>
        </w:tc>
        <w:tc>
          <w:tcPr>
            <w:tcW w:w="1418" w:type="dxa"/>
            <w:tcBorders>
              <w:top w:val="single" w:sz="8" w:space="0" w:color="5F497A" w:themeColor="accent4" w:themeShade="BF"/>
              <w:left w:val="nil"/>
              <w:bottom w:val="nil"/>
              <w:right w:val="nil"/>
            </w:tcBorders>
            <w:shd w:val="clear" w:color="auto" w:fill="auto"/>
            <w:vAlign w:val="bottom"/>
          </w:tcPr>
          <w:p w14:paraId="0C992BBE" w14:textId="03C6749A" w:rsidR="00DC5BE9" w:rsidRPr="003E2D55" w:rsidRDefault="00DC5BE9" w:rsidP="003E2D55">
            <w:pPr>
              <w:spacing w:before="40" w:after="40"/>
              <w:jc w:val="right"/>
              <w:rPr>
                <w:rFonts w:cs="Arial"/>
                <w:sz w:val="18"/>
                <w:szCs w:val="18"/>
              </w:rPr>
            </w:pPr>
            <w:r w:rsidRPr="003E2D55">
              <w:rPr>
                <w:rFonts w:cs="Arial"/>
                <w:sz w:val="18"/>
                <w:szCs w:val="18"/>
              </w:rPr>
              <w:t> </w:t>
            </w:r>
          </w:p>
        </w:tc>
      </w:tr>
      <w:tr w:rsidR="00DC5BE9" w:rsidRPr="003E2D55" w14:paraId="5236F64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550CBA5" w14:textId="77777777" w:rsidR="00DC5BE9" w:rsidRPr="003E2D55" w:rsidRDefault="00DC5BE9" w:rsidP="003E2D55">
            <w:pPr>
              <w:spacing w:before="40" w:after="40"/>
              <w:rPr>
                <w:rFonts w:cs="Arial"/>
                <w:sz w:val="18"/>
                <w:szCs w:val="18"/>
              </w:rPr>
            </w:pPr>
            <w:r w:rsidRPr="003E2D55">
              <w:rPr>
                <w:rFonts w:cs="Arial"/>
                <w:sz w:val="18"/>
                <w:szCs w:val="18"/>
              </w:rPr>
              <w:t>Alpine S</w:t>
            </w:r>
          </w:p>
        </w:tc>
        <w:tc>
          <w:tcPr>
            <w:tcW w:w="1361" w:type="dxa"/>
            <w:tcBorders>
              <w:top w:val="nil"/>
              <w:left w:val="single" w:sz="18" w:space="0" w:color="5F497A" w:themeColor="accent4" w:themeShade="BF"/>
              <w:bottom w:val="nil"/>
              <w:right w:val="nil"/>
            </w:tcBorders>
            <w:shd w:val="clear" w:color="auto" w:fill="auto"/>
            <w:vAlign w:val="bottom"/>
          </w:tcPr>
          <w:p w14:paraId="27A149F1" w14:textId="6F73EAD2" w:rsidR="00DC5BE9" w:rsidRPr="003E2D55" w:rsidRDefault="00DC5BE9" w:rsidP="003E2D55">
            <w:pPr>
              <w:spacing w:before="40" w:after="40"/>
              <w:jc w:val="right"/>
              <w:rPr>
                <w:rFonts w:cs="Arial"/>
                <w:sz w:val="18"/>
                <w:szCs w:val="18"/>
              </w:rPr>
            </w:pPr>
            <w:r w:rsidRPr="003E2D55">
              <w:rPr>
                <w:rFonts w:cs="Arial"/>
                <w:sz w:val="18"/>
                <w:szCs w:val="18"/>
              </w:rPr>
              <w:t>815,258</w:t>
            </w:r>
          </w:p>
        </w:tc>
        <w:tc>
          <w:tcPr>
            <w:tcW w:w="1361" w:type="dxa"/>
            <w:tcBorders>
              <w:top w:val="nil"/>
              <w:left w:val="nil"/>
              <w:bottom w:val="nil"/>
              <w:right w:val="nil"/>
            </w:tcBorders>
            <w:shd w:val="clear" w:color="auto" w:fill="auto"/>
            <w:vAlign w:val="bottom"/>
          </w:tcPr>
          <w:p w14:paraId="719E6396" w14:textId="4D0460F1" w:rsidR="00DC5BE9" w:rsidRPr="003E2D55" w:rsidRDefault="00DC5BE9" w:rsidP="003E2D55">
            <w:pPr>
              <w:spacing w:before="40" w:after="40"/>
              <w:jc w:val="right"/>
              <w:rPr>
                <w:rFonts w:cs="Arial"/>
                <w:sz w:val="18"/>
                <w:szCs w:val="18"/>
              </w:rPr>
            </w:pPr>
            <w:r w:rsidRPr="003E2D55">
              <w:rPr>
                <w:rFonts w:cs="Arial"/>
                <w:sz w:val="18"/>
                <w:szCs w:val="18"/>
              </w:rPr>
              <w:t>180,443</w:t>
            </w:r>
          </w:p>
        </w:tc>
        <w:tc>
          <w:tcPr>
            <w:tcW w:w="1361" w:type="dxa"/>
            <w:tcBorders>
              <w:top w:val="nil"/>
              <w:left w:val="nil"/>
              <w:bottom w:val="nil"/>
              <w:right w:val="nil"/>
            </w:tcBorders>
            <w:shd w:val="clear" w:color="auto" w:fill="auto"/>
            <w:vAlign w:val="bottom"/>
          </w:tcPr>
          <w:p w14:paraId="645F64CE" w14:textId="3C07D1B2" w:rsidR="00DC5BE9" w:rsidRPr="003E2D55" w:rsidRDefault="00DC5BE9" w:rsidP="003E2D55">
            <w:pPr>
              <w:spacing w:before="40" w:after="40"/>
              <w:jc w:val="right"/>
              <w:rPr>
                <w:rFonts w:cs="Arial"/>
                <w:sz w:val="18"/>
                <w:szCs w:val="18"/>
              </w:rPr>
            </w:pPr>
            <w:r w:rsidRPr="003E2D55">
              <w:rPr>
                <w:rFonts w:cs="Arial"/>
                <w:sz w:val="18"/>
                <w:szCs w:val="18"/>
              </w:rPr>
              <w:t>276,922</w:t>
            </w:r>
          </w:p>
        </w:tc>
        <w:tc>
          <w:tcPr>
            <w:tcW w:w="1418" w:type="dxa"/>
            <w:tcBorders>
              <w:top w:val="nil"/>
              <w:left w:val="nil"/>
              <w:bottom w:val="nil"/>
              <w:right w:val="nil"/>
            </w:tcBorders>
            <w:shd w:val="clear" w:color="auto" w:fill="auto"/>
            <w:vAlign w:val="bottom"/>
          </w:tcPr>
          <w:p w14:paraId="3AAB21A8" w14:textId="130472D5"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1786BD1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1940B18" w14:textId="77777777" w:rsidR="00DC5BE9" w:rsidRPr="003E2D55" w:rsidRDefault="00DC5BE9" w:rsidP="003E2D55">
            <w:pPr>
              <w:spacing w:before="40" w:after="40"/>
              <w:rPr>
                <w:rFonts w:cs="Arial"/>
                <w:sz w:val="18"/>
                <w:szCs w:val="18"/>
              </w:rPr>
            </w:pPr>
            <w:r w:rsidRPr="003E2D55">
              <w:rPr>
                <w:rFonts w:cs="Arial"/>
                <w:sz w:val="18"/>
                <w:szCs w:val="18"/>
              </w:rPr>
              <w:t>Ararat RC</w:t>
            </w:r>
          </w:p>
        </w:tc>
        <w:tc>
          <w:tcPr>
            <w:tcW w:w="1361" w:type="dxa"/>
            <w:tcBorders>
              <w:top w:val="nil"/>
              <w:left w:val="single" w:sz="18" w:space="0" w:color="5F497A" w:themeColor="accent4" w:themeShade="BF"/>
              <w:bottom w:val="nil"/>
              <w:right w:val="nil"/>
            </w:tcBorders>
            <w:shd w:val="clear" w:color="auto" w:fill="auto"/>
            <w:vAlign w:val="bottom"/>
          </w:tcPr>
          <w:p w14:paraId="477A5BC1" w14:textId="2CB60EB3" w:rsidR="00DC5BE9" w:rsidRPr="003E2D55" w:rsidRDefault="00DC5BE9" w:rsidP="003E2D55">
            <w:pPr>
              <w:spacing w:before="40" w:after="40"/>
              <w:jc w:val="right"/>
              <w:rPr>
                <w:rFonts w:cs="Arial"/>
                <w:sz w:val="18"/>
                <w:szCs w:val="18"/>
              </w:rPr>
            </w:pPr>
            <w:r w:rsidRPr="003E2D55">
              <w:rPr>
                <w:rFonts w:cs="Arial"/>
                <w:sz w:val="18"/>
                <w:szCs w:val="18"/>
              </w:rPr>
              <w:t>933,716</w:t>
            </w:r>
          </w:p>
        </w:tc>
        <w:tc>
          <w:tcPr>
            <w:tcW w:w="1361" w:type="dxa"/>
            <w:tcBorders>
              <w:top w:val="nil"/>
              <w:left w:val="nil"/>
              <w:bottom w:val="nil"/>
              <w:right w:val="nil"/>
            </w:tcBorders>
            <w:shd w:val="clear" w:color="auto" w:fill="auto"/>
            <w:vAlign w:val="bottom"/>
          </w:tcPr>
          <w:p w14:paraId="3C1ED241" w14:textId="5F5EC124" w:rsidR="00DC5BE9" w:rsidRPr="003E2D55" w:rsidRDefault="00DC5BE9" w:rsidP="003E2D55">
            <w:pPr>
              <w:spacing w:before="40" w:after="40"/>
              <w:jc w:val="right"/>
              <w:rPr>
                <w:rFonts w:cs="Arial"/>
                <w:sz w:val="18"/>
                <w:szCs w:val="18"/>
              </w:rPr>
            </w:pPr>
            <w:r w:rsidRPr="003E2D55">
              <w:rPr>
                <w:rFonts w:cs="Arial"/>
                <w:sz w:val="18"/>
                <w:szCs w:val="18"/>
              </w:rPr>
              <w:t>94,963</w:t>
            </w:r>
          </w:p>
        </w:tc>
        <w:tc>
          <w:tcPr>
            <w:tcW w:w="1361" w:type="dxa"/>
            <w:tcBorders>
              <w:top w:val="nil"/>
              <w:left w:val="nil"/>
              <w:bottom w:val="nil"/>
              <w:right w:val="nil"/>
            </w:tcBorders>
            <w:shd w:val="clear" w:color="auto" w:fill="auto"/>
            <w:vAlign w:val="bottom"/>
          </w:tcPr>
          <w:p w14:paraId="0574EAF9" w14:textId="5124734B" w:rsidR="00DC5BE9" w:rsidRPr="003E2D55" w:rsidRDefault="00DC5BE9" w:rsidP="003E2D55">
            <w:pPr>
              <w:spacing w:before="40" w:after="40"/>
              <w:jc w:val="right"/>
              <w:rPr>
                <w:rFonts w:cs="Arial"/>
                <w:sz w:val="18"/>
                <w:szCs w:val="18"/>
              </w:rPr>
            </w:pPr>
            <w:r w:rsidRPr="003E2D55">
              <w:rPr>
                <w:rFonts w:cs="Arial"/>
                <w:sz w:val="18"/>
                <w:szCs w:val="18"/>
              </w:rPr>
              <w:t>186,454</w:t>
            </w:r>
          </w:p>
        </w:tc>
        <w:tc>
          <w:tcPr>
            <w:tcW w:w="1418" w:type="dxa"/>
            <w:tcBorders>
              <w:top w:val="nil"/>
              <w:left w:val="nil"/>
              <w:bottom w:val="nil"/>
              <w:right w:val="nil"/>
            </w:tcBorders>
            <w:shd w:val="clear" w:color="auto" w:fill="auto"/>
            <w:vAlign w:val="bottom"/>
          </w:tcPr>
          <w:p w14:paraId="71670063" w14:textId="7E67EFB1"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7E306EB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7100C9E" w14:textId="77777777" w:rsidR="00DC5BE9" w:rsidRPr="003E2D55" w:rsidRDefault="00DC5BE9" w:rsidP="003E2D55">
            <w:pPr>
              <w:spacing w:before="40" w:after="40"/>
              <w:rPr>
                <w:rFonts w:cs="Arial"/>
                <w:sz w:val="18"/>
                <w:szCs w:val="18"/>
              </w:rPr>
            </w:pPr>
            <w:r w:rsidRPr="003E2D55">
              <w:rPr>
                <w:rFonts w:cs="Arial"/>
                <w:sz w:val="18"/>
                <w:szCs w:val="18"/>
              </w:rPr>
              <w:t xml:space="preserve">Ballarat C </w:t>
            </w:r>
          </w:p>
        </w:tc>
        <w:tc>
          <w:tcPr>
            <w:tcW w:w="1361" w:type="dxa"/>
            <w:tcBorders>
              <w:top w:val="nil"/>
              <w:left w:val="single" w:sz="18" w:space="0" w:color="5F497A" w:themeColor="accent4" w:themeShade="BF"/>
              <w:bottom w:val="nil"/>
              <w:right w:val="nil"/>
            </w:tcBorders>
            <w:shd w:val="clear" w:color="auto" w:fill="auto"/>
            <w:vAlign w:val="bottom"/>
          </w:tcPr>
          <w:p w14:paraId="2DC0E244" w14:textId="74634545" w:rsidR="00DC5BE9" w:rsidRPr="003E2D55" w:rsidRDefault="00DC5BE9" w:rsidP="003E2D55">
            <w:pPr>
              <w:spacing w:before="40" w:after="40"/>
              <w:jc w:val="right"/>
              <w:rPr>
                <w:rFonts w:cs="Arial"/>
                <w:sz w:val="18"/>
                <w:szCs w:val="18"/>
              </w:rPr>
            </w:pPr>
            <w:r w:rsidRPr="003E2D55">
              <w:rPr>
                <w:rFonts w:cs="Arial"/>
                <w:sz w:val="18"/>
                <w:szCs w:val="18"/>
              </w:rPr>
              <w:t>2,220,037</w:t>
            </w:r>
          </w:p>
        </w:tc>
        <w:tc>
          <w:tcPr>
            <w:tcW w:w="1361" w:type="dxa"/>
            <w:tcBorders>
              <w:top w:val="nil"/>
              <w:left w:val="nil"/>
              <w:bottom w:val="nil"/>
              <w:right w:val="nil"/>
            </w:tcBorders>
            <w:shd w:val="clear" w:color="auto" w:fill="auto"/>
            <w:vAlign w:val="bottom"/>
          </w:tcPr>
          <w:p w14:paraId="5BB50E83" w14:textId="1F655E88" w:rsidR="00DC5BE9" w:rsidRPr="003E2D55" w:rsidRDefault="00DC5BE9" w:rsidP="003E2D55">
            <w:pPr>
              <w:spacing w:before="40" w:after="40"/>
              <w:jc w:val="right"/>
              <w:rPr>
                <w:rFonts w:cs="Arial"/>
                <w:sz w:val="18"/>
                <w:szCs w:val="18"/>
              </w:rPr>
            </w:pPr>
            <w:r w:rsidRPr="003E2D55">
              <w:rPr>
                <w:rFonts w:cs="Arial"/>
                <w:sz w:val="18"/>
                <w:szCs w:val="18"/>
              </w:rPr>
              <w:t>1,104,522</w:t>
            </w:r>
          </w:p>
        </w:tc>
        <w:tc>
          <w:tcPr>
            <w:tcW w:w="1361" w:type="dxa"/>
            <w:tcBorders>
              <w:top w:val="nil"/>
              <w:left w:val="nil"/>
              <w:bottom w:val="nil"/>
              <w:right w:val="nil"/>
            </w:tcBorders>
            <w:shd w:val="clear" w:color="auto" w:fill="auto"/>
            <w:vAlign w:val="bottom"/>
          </w:tcPr>
          <w:p w14:paraId="4BFAA030" w14:textId="0EE841A1" w:rsidR="00DC5BE9" w:rsidRPr="003E2D55" w:rsidRDefault="00DC5BE9" w:rsidP="003E2D55">
            <w:pPr>
              <w:spacing w:before="40" w:after="40"/>
              <w:jc w:val="right"/>
              <w:rPr>
                <w:rFonts w:cs="Arial"/>
                <w:sz w:val="18"/>
                <w:szCs w:val="18"/>
              </w:rPr>
            </w:pPr>
            <w:r w:rsidRPr="003E2D55">
              <w:rPr>
                <w:rFonts w:cs="Arial"/>
                <w:sz w:val="18"/>
                <w:szCs w:val="18"/>
              </w:rPr>
              <w:t>3,104,374</w:t>
            </w:r>
          </w:p>
        </w:tc>
        <w:tc>
          <w:tcPr>
            <w:tcW w:w="1418" w:type="dxa"/>
            <w:tcBorders>
              <w:top w:val="nil"/>
              <w:left w:val="nil"/>
              <w:bottom w:val="nil"/>
              <w:right w:val="nil"/>
            </w:tcBorders>
            <w:shd w:val="clear" w:color="auto" w:fill="auto"/>
            <w:vAlign w:val="bottom"/>
          </w:tcPr>
          <w:p w14:paraId="68E04127" w14:textId="7F2A7621" w:rsidR="00DC5BE9" w:rsidRPr="003E2D55" w:rsidRDefault="00DC5BE9" w:rsidP="003E2D55">
            <w:pPr>
              <w:spacing w:before="40" w:after="40"/>
              <w:jc w:val="right"/>
              <w:rPr>
                <w:rFonts w:cs="Arial"/>
                <w:sz w:val="18"/>
                <w:szCs w:val="18"/>
              </w:rPr>
            </w:pPr>
            <w:r w:rsidRPr="003E2D55">
              <w:rPr>
                <w:rFonts w:cs="Arial"/>
                <w:sz w:val="18"/>
                <w:szCs w:val="18"/>
              </w:rPr>
              <w:t>1,549,199</w:t>
            </w:r>
          </w:p>
        </w:tc>
      </w:tr>
      <w:tr w:rsidR="00DC5BE9" w:rsidRPr="003E2D55" w14:paraId="48B0B82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313BAB2" w14:textId="77777777" w:rsidR="00DC5BE9" w:rsidRPr="003E2D55" w:rsidRDefault="00DC5BE9" w:rsidP="003E2D55">
            <w:pPr>
              <w:spacing w:before="40" w:after="40"/>
              <w:rPr>
                <w:rFonts w:cs="Arial"/>
                <w:sz w:val="18"/>
                <w:szCs w:val="18"/>
              </w:rPr>
            </w:pPr>
            <w:r w:rsidRPr="003E2D55">
              <w:rPr>
                <w:rFonts w:cs="Arial"/>
                <w:sz w:val="18"/>
                <w:szCs w:val="18"/>
              </w:rPr>
              <w:t>Banyule C</w:t>
            </w:r>
          </w:p>
        </w:tc>
        <w:tc>
          <w:tcPr>
            <w:tcW w:w="1361" w:type="dxa"/>
            <w:tcBorders>
              <w:top w:val="nil"/>
              <w:left w:val="single" w:sz="18" w:space="0" w:color="5F497A" w:themeColor="accent4" w:themeShade="BF"/>
              <w:bottom w:val="nil"/>
              <w:right w:val="nil"/>
            </w:tcBorders>
            <w:shd w:val="clear" w:color="auto" w:fill="auto"/>
            <w:vAlign w:val="bottom"/>
          </w:tcPr>
          <w:p w14:paraId="46EE0745" w14:textId="1B02DC7B" w:rsidR="00DC5BE9" w:rsidRPr="003E2D55" w:rsidRDefault="00DC5BE9" w:rsidP="003E2D55">
            <w:pPr>
              <w:spacing w:before="40" w:after="40"/>
              <w:jc w:val="right"/>
              <w:rPr>
                <w:rFonts w:cs="Arial"/>
                <w:sz w:val="18"/>
                <w:szCs w:val="18"/>
              </w:rPr>
            </w:pPr>
            <w:r w:rsidRPr="003E2D55">
              <w:rPr>
                <w:rFonts w:cs="Arial"/>
                <w:sz w:val="18"/>
                <w:szCs w:val="18"/>
              </w:rPr>
              <w:t>1,016,061</w:t>
            </w:r>
          </w:p>
        </w:tc>
        <w:tc>
          <w:tcPr>
            <w:tcW w:w="1361" w:type="dxa"/>
            <w:tcBorders>
              <w:top w:val="nil"/>
              <w:left w:val="nil"/>
              <w:bottom w:val="nil"/>
              <w:right w:val="nil"/>
            </w:tcBorders>
            <w:shd w:val="clear" w:color="auto" w:fill="auto"/>
            <w:vAlign w:val="bottom"/>
          </w:tcPr>
          <w:p w14:paraId="3499BC48" w14:textId="57D12456" w:rsidR="00DC5BE9" w:rsidRPr="003E2D55" w:rsidRDefault="00DC5BE9" w:rsidP="003E2D55">
            <w:pPr>
              <w:spacing w:before="40" w:after="40"/>
              <w:jc w:val="right"/>
              <w:rPr>
                <w:rFonts w:cs="Arial"/>
                <w:sz w:val="18"/>
                <w:szCs w:val="18"/>
              </w:rPr>
            </w:pPr>
            <w:r w:rsidRPr="003E2D55">
              <w:rPr>
                <w:rFonts w:cs="Arial"/>
                <w:sz w:val="18"/>
                <w:szCs w:val="18"/>
              </w:rPr>
              <w:t>1,797,466</w:t>
            </w:r>
          </w:p>
        </w:tc>
        <w:tc>
          <w:tcPr>
            <w:tcW w:w="1361" w:type="dxa"/>
            <w:tcBorders>
              <w:top w:val="nil"/>
              <w:left w:val="nil"/>
              <w:bottom w:val="nil"/>
              <w:right w:val="nil"/>
            </w:tcBorders>
            <w:shd w:val="clear" w:color="auto" w:fill="auto"/>
            <w:vAlign w:val="bottom"/>
          </w:tcPr>
          <w:p w14:paraId="08D8E44F" w14:textId="0D6BE64A" w:rsidR="00DC5BE9" w:rsidRPr="003E2D55" w:rsidRDefault="00DC5BE9" w:rsidP="003E2D55">
            <w:pPr>
              <w:spacing w:before="40" w:after="40"/>
              <w:jc w:val="right"/>
              <w:rPr>
                <w:rFonts w:cs="Arial"/>
                <w:sz w:val="18"/>
                <w:szCs w:val="18"/>
              </w:rPr>
            </w:pPr>
            <w:r w:rsidRPr="003E2D55">
              <w:rPr>
                <w:rFonts w:cs="Arial"/>
                <w:sz w:val="18"/>
                <w:szCs w:val="18"/>
              </w:rPr>
              <w:t>1,801,538</w:t>
            </w:r>
          </w:p>
        </w:tc>
        <w:tc>
          <w:tcPr>
            <w:tcW w:w="1418" w:type="dxa"/>
            <w:tcBorders>
              <w:top w:val="nil"/>
              <w:left w:val="nil"/>
              <w:bottom w:val="nil"/>
              <w:right w:val="nil"/>
            </w:tcBorders>
            <w:shd w:val="clear" w:color="auto" w:fill="auto"/>
            <w:vAlign w:val="bottom"/>
          </w:tcPr>
          <w:p w14:paraId="03BB6F7D" w14:textId="7F6E5FB3" w:rsidR="00DC5BE9" w:rsidRPr="003E2D55" w:rsidRDefault="00DC5BE9" w:rsidP="003E2D55">
            <w:pPr>
              <w:spacing w:before="40" w:after="40"/>
              <w:jc w:val="right"/>
              <w:rPr>
                <w:rFonts w:cs="Arial"/>
                <w:sz w:val="18"/>
                <w:szCs w:val="18"/>
              </w:rPr>
            </w:pPr>
            <w:r w:rsidRPr="003E2D55">
              <w:rPr>
                <w:rFonts w:cs="Arial"/>
                <w:sz w:val="18"/>
                <w:szCs w:val="18"/>
              </w:rPr>
              <w:t>902,228</w:t>
            </w:r>
          </w:p>
        </w:tc>
      </w:tr>
      <w:tr w:rsidR="00DC5BE9" w:rsidRPr="003E2D55" w14:paraId="5D90A71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E9543F3" w14:textId="77777777" w:rsidR="00DC5BE9" w:rsidRPr="003E2D55" w:rsidRDefault="00DC5BE9" w:rsidP="003E2D55">
            <w:pPr>
              <w:spacing w:before="40" w:after="40"/>
              <w:rPr>
                <w:rFonts w:cs="Arial"/>
                <w:sz w:val="18"/>
                <w:szCs w:val="18"/>
              </w:rPr>
            </w:pPr>
            <w:r w:rsidRPr="003E2D55">
              <w:rPr>
                <w:rFonts w:cs="Arial"/>
                <w:sz w:val="18"/>
                <w:szCs w:val="18"/>
              </w:rPr>
              <w:t>Bass Coast S</w:t>
            </w:r>
          </w:p>
        </w:tc>
        <w:tc>
          <w:tcPr>
            <w:tcW w:w="1361" w:type="dxa"/>
            <w:tcBorders>
              <w:top w:val="nil"/>
              <w:left w:val="single" w:sz="18" w:space="0" w:color="5F497A" w:themeColor="accent4" w:themeShade="BF"/>
              <w:bottom w:val="nil"/>
              <w:right w:val="nil"/>
            </w:tcBorders>
            <w:shd w:val="clear" w:color="auto" w:fill="auto"/>
            <w:vAlign w:val="bottom"/>
          </w:tcPr>
          <w:p w14:paraId="7F5C9951" w14:textId="485A466B" w:rsidR="00DC5BE9" w:rsidRPr="003E2D55" w:rsidRDefault="00DC5BE9" w:rsidP="003E2D55">
            <w:pPr>
              <w:spacing w:before="40" w:after="40"/>
              <w:jc w:val="right"/>
              <w:rPr>
                <w:rFonts w:cs="Arial"/>
                <w:sz w:val="18"/>
                <w:szCs w:val="18"/>
              </w:rPr>
            </w:pPr>
            <w:r w:rsidRPr="003E2D55">
              <w:rPr>
                <w:rFonts w:cs="Arial"/>
                <w:sz w:val="18"/>
                <w:szCs w:val="18"/>
              </w:rPr>
              <w:t>2,623,117</w:t>
            </w:r>
          </w:p>
        </w:tc>
        <w:tc>
          <w:tcPr>
            <w:tcW w:w="1361" w:type="dxa"/>
            <w:tcBorders>
              <w:top w:val="nil"/>
              <w:left w:val="nil"/>
              <w:bottom w:val="nil"/>
              <w:right w:val="nil"/>
            </w:tcBorders>
            <w:shd w:val="clear" w:color="auto" w:fill="auto"/>
            <w:vAlign w:val="bottom"/>
          </w:tcPr>
          <w:p w14:paraId="1E72A2AD" w14:textId="4A4C6265" w:rsidR="00DC5BE9" w:rsidRPr="003E2D55" w:rsidRDefault="00DC5BE9" w:rsidP="003E2D55">
            <w:pPr>
              <w:spacing w:before="40" w:after="40"/>
              <w:jc w:val="right"/>
              <w:rPr>
                <w:rFonts w:cs="Arial"/>
                <w:sz w:val="18"/>
                <w:szCs w:val="18"/>
              </w:rPr>
            </w:pPr>
            <w:r w:rsidRPr="003E2D55">
              <w:rPr>
                <w:rFonts w:cs="Arial"/>
                <w:sz w:val="18"/>
                <w:szCs w:val="18"/>
              </w:rPr>
              <w:t>312,574</w:t>
            </w:r>
          </w:p>
        </w:tc>
        <w:tc>
          <w:tcPr>
            <w:tcW w:w="1361" w:type="dxa"/>
            <w:tcBorders>
              <w:top w:val="nil"/>
              <w:left w:val="nil"/>
              <w:bottom w:val="nil"/>
              <w:right w:val="nil"/>
            </w:tcBorders>
            <w:shd w:val="clear" w:color="auto" w:fill="auto"/>
            <w:vAlign w:val="bottom"/>
          </w:tcPr>
          <w:p w14:paraId="2ED79034" w14:textId="6F678944" w:rsidR="00DC5BE9" w:rsidRPr="003E2D55" w:rsidRDefault="00DC5BE9" w:rsidP="003E2D55">
            <w:pPr>
              <w:spacing w:before="40" w:after="40"/>
              <w:jc w:val="right"/>
              <w:rPr>
                <w:rFonts w:cs="Arial"/>
                <w:sz w:val="18"/>
                <w:szCs w:val="18"/>
              </w:rPr>
            </w:pPr>
            <w:r w:rsidRPr="003E2D55">
              <w:rPr>
                <w:rFonts w:cs="Arial"/>
                <w:sz w:val="18"/>
                <w:szCs w:val="18"/>
              </w:rPr>
              <w:t>585,286</w:t>
            </w:r>
          </w:p>
        </w:tc>
        <w:tc>
          <w:tcPr>
            <w:tcW w:w="1418" w:type="dxa"/>
            <w:tcBorders>
              <w:top w:val="nil"/>
              <w:left w:val="nil"/>
              <w:bottom w:val="nil"/>
              <w:right w:val="nil"/>
            </w:tcBorders>
            <w:shd w:val="clear" w:color="auto" w:fill="auto"/>
            <w:vAlign w:val="bottom"/>
          </w:tcPr>
          <w:p w14:paraId="1EC3EE10" w14:textId="7209E7F7" w:rsidR="00DC5BE9" w:rsidRPr="003E2D55" w:rsidRDefault="00DC5BE9" w:rsidP="003E2D55">
            <w:pPr>
              <w:spacing w:before="40" w:after="40"/>
              <w:jc w:val="right"/>
              <w:rPr>
                <w:rFonts w:cs="Arial"/>
                <w:sz w:val="18"/>
                <w:szCs w:val="18"/>
              </w:rPr>
            </w:pPr>
            <w:r w:rsidRPr="003E2D55">
              <w:rPr>
                <w:rFonts w:cs="Arial"/>
                <w:sz w:val="18"/>
                <w:szCs w:val="18"/>
              </w:rPr>
              <w:t>72,345</w:t>
            </w:r>
          </w:p>
        </w:tc>
      </w:tr>
      <w:tr w:rsidR="00DC5BE9" w:rsidRPr="003E2D55" w14:paraId="1095D79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167F26F" w14:textId="77777777" w:rsidR="00DC5BE9" w:rsidRPr="003E2D55" w:rsidRDefault="00DC5BE9" w:rsidP="003E2D55">
            <w:pPr>
              <w:spacing w:before="40" w:after="40"/>
              <w:rPr>
                <w:rFonts w:cs="Arial"/>
                <w:sz w:val="18"/>
                <w:szCs w:val="18"/>
              </w:rPr>
            </w:pPr>
            <w:r w:rsidRPr="003E2D55">
              <w:rPr>
                <w:rFonts w:cs="Arial"/>
                <w:sz w:val="18"/>
                <w:szCs w:val="18"/>
              </w:rPr>
              <w:t>Baw Baw S</w:t>
            </w:r>
          </w:p>
        </w:tc>
        <w:tc>
          <w:tcPr>
            <w:tcW w:w="1361" w:type="dxa"/>
            <w:tcBorders>
              <w:top w:val="nil"/>
              <w:left w:val="single" w:sz="18" w:space="0" w:color="5F497A" w:themeColor="accent4" w:themeShade="BF"/>
              <w:bottom w:val="nil"/>
              <w:right w:val="nil"/>
            </w:tcBorders>
            <w:shd w:val="clear" w:color="auto" w:fill="auto"/>
            <w:vAlign w:val="bottom"/>
          </w:tcPr>
          <w:p w14:paraId="5BCC3934" w14:textId="0114EF16" w:rsidR="00DC5BE9" w:rsidRPr="003E2D55" w:rsidRDefault="00DC5BE9" w:rsidP="003E2D55">
            <w:pPr>
              <w:spacing w:before="40" w:after="40"/>
              <w:jc w:val="right"/>
              <w:rPr>
                <w:rFonts w:cs="Arial"/>
                <w:sz w:val="18"/>
                <w:szCs w:val="18"/>
              </w:rPr>
            </w:pPr>
            <w:r w:rsidRPr="003E2D55">
              <w:rPr>
                <w:rFonts w:cs="Arial"/>
                <w:sz w:val="18"/>
                <w:szCs w:val="18"/>
              </w:rPr>
              <w:t>2,050,061</w:t>
            </w:r>
          </w:p>
        </w:tc>
        <w:tc>
          <w:tcPr>
            <w:tcW w:w="1361" w:type="dxa"/>
            <w:tcBorders>
              <w:top w:val="nil"/>
              <w:left w:val="nil"/>
              <w:bottom w:val="nil"/>
              <w:right w:val="nil"/>
            </w:tcBorders>
            <w:shd w:val="clear" w:color="auto" w:fill="auto"/>
            <w:vAlign w:val="bottom"/>
          </w:tcPr>
          <w:p w14:paraId="44BB7886" w14:textId="1B24D851" w:rsidR="00DC5BE9" w:rsidRPr="003E2D55" w:rsidRDefault="00DC5BE9" w:rsidP="003E2D55">
            <w:pPr>
              <w:spacing w:before="40" w:after="40"/>
              <w:jc w:val="right"/>
              <w:rPr>
                <w:rFonts w:cs="Arial"/>
                <w:sz w:val="18"/>
                <w:szCs w:val="18"/>
              </w:rPr>
            </w:pPr>
            <w:r w:rsidRPr="003E2D55">
              <w:rPr>
                <w:rFonts w:cs="Arial"/>
                <w:sz w:val="18"/>
                <w:szCs w:val="18"/>
              </w:rPr>
              <w:t>290,479</w:t>
            </w:r>
          </w:p>
        </w:tc>
        <w:tc>
          <w:tcPr>
            <w:tcW w:w="1361" w:type="dxa"/>
            <w:tcBorders>
              <w:top w:val="nil"/>
              <w:left w:val="nil"/>
              <w:bottom w:val="nil"/>
              <w:right w:val="nil"/>
            </w:tcBorders>
            <w:shd w:val="clear" w:color="auto" w:fill="auto"/>
            <w:vAlign w:val="bottom"/>
          </w:tcPr>
          <w:p w14:paraId="670B9773" w14:textId="6F8B4D2D" w:rsidR="00DC5BE9" w:rsidRPr="003E2D55" w:rsidRDefault="00DC5BE9" w:rsidP="003E2D55">
            <w:pPr>
              <w:spacing w:before="40" w:after="40"/>
              <w:jc w:val="right"/>
              <w:rPr>
                <w:rFonts w:cs="Arial"/>
                <w:sz w:val="18"/>
                <w:szCs w:val="18"/>
              </w:rPr>
            </w:pPr>
            <w:r w:rsidRPr="003E2D55">
              <w:rPr>
                <w:rFonts w:cs="Arial"/>
                <w:sz w:val="18"/>
                <w:szCs w:val="18"/>
              </w:rPr>
              <w:t>467,006</w:t>
            </w:r>
          </w:p>
        </w:tc>
        <w:tc>
          <w:tcPr>
            <w:tcW w:w="1418" w:type="dxa"/>
            <w:tcBorders>
              <w:top w:val="nil"/>
              <w:left w:val="nil"/>
              <w:bottom w:val="nil"/>
              <w:right w:val="nil"/>
            </w:tcBorders>
            <w:shd w:val="clear" w:color="auto" w:fill="auto"/>
            <w:vAlign w:val="bottom"/>
          </w:tcPr>
          <w:p w14:paraId="42BE10C3" w14:textId="4E1CB411" w:rsidR="00DC5BE9" w:rsidRPr="003E2D55" w:rsidRDefault="00DC5BE9" w:rsidP="003E2D55">
            <w:pPr>
              <w:spacing w:before="40" w:after="40"/>
              <w:jc w:val="right"/>
              <w:rPr>
                <w:rFonts w:cs="Arial"/>
                <w:sz w:val="18"/>
                <w:szCs w:val="18"/>
              </w:rPr>
            </w:pPr>
            <w:r w:rsidRPr="003E2D55">
              <w:rPr>
                <w:rFonts w:cs="Arial"/>
                <w:sz w:val="18"/>
                <w:szCs w:val="18"/>
              </w:rPr>
              <w:t>49,122</w:t>
            </w:r>
          </w:p>
        </w:tc>
      </w:tr>
      <w:tr w:rsidR="00DC5BE9" w:rsidRPr="003E2D55" w14:paraId="570A746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F7C9205" w14:textId="77777777" w:rsidR="00DC5BE9" w:rsidRPr="003E2D55" w:rsidRDefault="00DC5BE9" w:rsidP="003E2D55">
            <w:pPr>
              <w:spacing w:before="40" w:after="40"/>
              <w:rPr>
                <w:rFonts w:cs="Arial"/>
                <w:sz w:val="18"/>
                <w:szCs w:val="18"/>
              </w:rPr>
            </w:pPr>
            <w:r w:rsidRPr="003E2D55">
              <w:rPr>
                <w:rFonts w:cs="Arial"/>
                <w:sz w:val="18"/>
                <w:szCs w:val="18"/>
              </w:rPr>
              <w:t>Bayside C</w:t>
            </w:r>
          </w:p>
        </w:tc>
        <w:tc>
          <w:tcPr>
            <w:tcW w:w="1361" w:type="dxa"/>
            <w:tcBorders>
              <w:top w:val="nil"/>
              <w:left w:val="single" w:sz="18" w:space="0" w:color="5F497A" w:themeColor="accent4" w:themeShade="BF"/>
              <w:bottom w:val="nil"/>
              <w:right w:val="nil"/>
            </w:tcBorders>
            <w:shd w:val="clear" w:color="auto" w:fill="auto"/>
            <w:vAlign w:val="bottom"/>
          </w:tcPr>
          <w:p w14:paraId="48FAC5AC" w14:textId="3E34C405" w:rsidR="00DC5BE9" w:rsidRPr="003E2D55" w:rsidRDefault="00DC5BE9" w:rsidP="003E2D55">
            <w:pPr>
              <w:spacing w:before="40" w:after="40"/>
              <w:jc w:val="right"/>
              <w:rPr>
                <w:rFonts w:cs="Arial"/>
                <w:sz w:val="18"/>
                <w:szCs w:val="18"/>
              </w:rPr>
            </w:pPr>
            <w:r w:rsidRPr="003E2D55">
              <w:rPr>
                <w:rFonts w:cs="Arial"/>
                <w:sz w:val="18"/>
                <w:szCs w:val="18"/>
              </w:rPr>
              <w:t>1,159,103</w:t>
            </w:r>
          </w:p>
        </w:tc>
        <w:tc>
          <w:tcPr>
            <w:tcW w:w="1361" w:type="dxa"/>
            <w:tcBorders>
              <w:top w:val="nil"/>
              <w:left w:val="nil"/>
              <w:bottom w:val="nil"/>
              <w:right w:val="nil"/>
            </w:tcBorders>
            <w:shd w:val="clear" w:color="auto" w:fill="auto"/>
            <w:vAlign w:val="bottom"/>
          </w:tcPr>
          <w:p w14:paraId="577E3AFD" w14:textId="0950D77A" w:rsidR="00DC5BE9" w:rsidRPr="003E2D55" w:rsidRDefault="00DC5BE9" w:rsidP="003E2D55">
            <w:pPr>
              <w:spacing w:before="40" w:after="40"/>
              <w:jc w:val="right"/>
              <w:rPr>
                <w:rFonts w:cs="Arial"/>
                <w:sz w:val="18"/>
                <w:szCs w:val="18"/>
              </w:rPr>
            </w:pPr>
            <w:r w:rsidRPr="003E2D55">
              <w:rPr>
                <w:rFonts w:cs="Arial"/>
                <w:sz w:val="18"/>
                <w:szCs w:val="18"/>
              </w:rPr>
              <w:t>642,462</w:t>
            </w:r>
          </w:p>
        </w:tc>
        <w:tc>
          <w:tcPr>
            <w:tcW w:w="1361" w:type="dxa"/>
            <w:tcBorders>
              <w:top w:val="nil"/>
              <w:left w:val="nil"/>
              <w:bottom w:val="nil"/>
              <w:right w:val="nil"/>
            </w:tcBorders>
            <w:shd w:val="clear" w:color="auto" w:fill="auto"/>
            <w:vAlign w:val="bottom"/>
          </w:tcPr>
          <w:p w14:paraId="20A9DE25" w14:textId="7D6706C2" w:rsidR="00DC5BE9" w:rsidRPr="003E2D55" w:rsidRDefault="00DC5BE9" w:rsidP="003E2D55">
            <w:pPr>
              <w:spacing w:before="40" w:after="40"/>
              <w:jc w:val="right"/>
              <w:rPr>
                <w:rFonts w:cs="Arial"/>
                <w:sz w:val="18"/>
                <w:szCs w:val="18"/>
              </w:rPr>
            </w:pPr>
            <w:r w:rsidRPr="003E2D55">
              <w:rPr>
                <w:rFonts w:cs="Arial"/>
                <w:sz w:val="18"/>
                <w:szCs w:val="18"/>
              </w:rPr>
              <w:t>891,919</w:t>
            </w:r>
          </w:p>
        </w:tc>
        <w:tc>
          <w:tcPr>
            <w:tcW w:w="1418" w:type="dxa"/>
            <w:tcBorders>
              <w:top w:val="nil"/>
              <w:left w:val="nil"/>
              <w:bottom w:val="nil"/>
              <w:right w:val="nil"/>
            </w:tcBorders>
            <w:shd w:val="clear" w:color="auto" w:fill="auto"/>
            <w:vAlign w:val="bottom"/>
          </w:tcPr>
          <w:p w14:paraId="2FBBE9F0" w14:textId="747B3D74" w:rsidR="00DC5BE9" w:rsidRPr="003E2D55" w:rsidRDefault="00DC5BE9" w:rsidP="003E2D55">
            <w:pPr>
              <w:spacing w:before="40" w:after="40"/>
              <w:jc w:val="right"/>
              <w:rPr>
                <w:rFonts w:cs="Arial"/>
                <w:sz w:val="18"/>
                <w:szCs w:val="18"/>
              </w:rPr>
            </w:pPr>
            <w:r w:rsidRPr="003E2D55">
              <w:rPr>
                <w:rFonts w:cs="Arial"/>
                <w:sz w:val="18"/>
                <w:szCs w:val="18"/>
              </w:rPr>
              <w:t>635,432</w:t>
            </w:r>
          </w:p>
        </w:tc>
      </w:tr>
      <w:tr w:rsidR="00DC5BE9" w:rsidRPr="003E2D55" w14:paraId="7D98BB8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71F7F0F" w14:textId="77777777" w:rsidR="00DC5BE9" w:rsidRPr="003E2D55" w:rsidRDefault="00DC5BE9" w:rsidP="003E2D55">
            <w:pPr>
              <w:spacing w:before="40" w:after="40"/>
              <w:rPr>
                <w:rFonts w:cs="Arial"/>
                <w:sz w:val="18"/>
                <w:szCs w:val="18"/>
              </w:rPr>
            </w:pPr>
            <w:r w:rsidRPr="003E2D55">
              <w:rPr>
                <w:rFonts w:cs="Arial"/>
                <w:sz w:val="18"/>
                <w:szCs w:val="18"/>
              </w:rPr>
              <w:t>Benalla RC</w:t>
            </w:r>
          </w:p>
        </w:tc>
        <w:tc>
          <w:tcPr>
            <w:tcW w:w="1361" w:type="dxa"/>
            <w:tcBorders>
              <w:top w:val="nil"/>
              <w:left w:val="single" w:sz="18" w:space="0" w:color="5F497A" w:themeColor="accent4" w:themeShade="BF"/>
              <w:bottom w:val="nil"/>
              <w:right w:val="nil"/>
            </w:tcBorders>
            <w:shd w:val="clear" w:color="auto" w:fill="auto"/>
            <w:vAlign w:val="bottom"/>
          </w:tcPr>
          <w:p w14:paraId="1E5A49C7" w14:textId="36F18A72" w:rsidR="00DC5BE9" w:rsidRPr="003E2D55" w:rsidRDefault="00DC5BE9" w:rsidP="003E2D55">
            <w:pPr>
              <w:spacing w:before="40" w:after="40"/>
              <w:jc w:val="right"/>
              <w:rPr>
                <w:rFonts w:cs="Arial"/>
                <w:sz w:val="18"/>
                <w:szCs w:val="18"/>
              </w:rPr>
            </w:pPr>
            <w:r w:rsidRPr="003E2D55">
              <w:rPr>
                <w:rFonts w:cs="Arial"/>
                <w:sz w:val="18"/>
                <w:szCs w:val="18"/>
              </w:rPr>
              <w:t>569,044</w:t>
            </w:r>
          </w:p>
        </w:tc>
        <w:tc>
          <w:tcPr>
            <w:tcW w:w="1361" w:type="dxa"/>
            <w:tcBorders>
              <w:top w:val="nil"/>
              <w:left w:val="nil"/>
              <w:bottom w:val="nil"/>
              <w:right w:val="nil"/>
            </w:tcBorders>
            <w:shd w:val="clear" w:color="auto" w:fill="auto"/>
            <w:vAlign w:val="bottom"/>
          </w:tcPr>
          <w:p w14:paraId="08CD1D48" w14:textId="6B590244" w:rsidR="00DC5BE9" w:rsidRPr="003E2D55" w:rsidRDefault="00DC5BE9" w:rsidP="003E2D55">
            <w:pPr>
              <w:spacing w:before="40" w:after="40"/>
              <w:jc w:val="right"/>
              <w:rPr>
                <w:rFonts w:cs="Arial"/>
                <w:sz w:val="18"/>
                <w:szCs w:val="18"/>
              </w:rPr>
            </w:pPr>
            <w:r w:rsidRPr="003E2D55">
              <w:rPr>
                <w:rFonts w:cs="Arial"/>
                <w:sz w:val="18"/>
                <w:szCs w:val="18"/>
              </w:rPr>
              <w:t>187,076</w:t>
            </w:r>
          </w:p>
        </w:tc>
        <w:tc>
          <w:tcPr>
            <w:tcW w:w="1361" w:type="dxa"/>
            <w:tcBorders>
              <w:top w:val="nil"/>
              <w:left w:val="nil"/>
              <w:bottom w:val="nil"/>
              <w:right w:val="nil"/>
            </w:tcBorders>
            <w:shd w:val="clear" w:color="auto" w:fill="auto"/>
            <w:vAlign w:val="bottom"/>
          </w:tcPr>
          <w:p w14:paraId="3FE8F94C" w14:textId="50B8D626" w:rsidR="00DC5BE9" w:rsidRPr="003E2D55" w:rsidRDefault="00DC5BE9" w:rsidP="003E2D55">
            <w:pPr>
              <w:spacing w:before="40" w:after="40"/>
              <w:jc w:val="right"/>
              <w:rPr>
                <w:rFonts w:cs="Arial"/>
                <w:sz w:val="18"/>
                <w:szCs w:val="18"/>
              </w:rPr>
            </w:pPr>
            <w:r w:rsidRPr="003E2D55">
              <w:rPr>
                <w:rFonts w:cs="Arial"/>
                <w:sz w:val="18"/>
                <w:szCs w:val="18"/>
              </w:rPr>
              <w:t>221,404</w:t>
            </w:r>
          </w:p>
        </w:tc>
        <w:tc>
          <w:tcPr>
            <w:tcW w:w="1418" w:type="dxa"/>
            <w:tcBorders>
              <w:top w:val="nil"/>
              <w:left w:val="nil"/>
              <w:bottom w:val="nil"/>
              <w:right w:val="nil"/>
            </w:tcBorders>
            <w:shd w:val="clear" w:color="auto" w:fill="auto"/>
            <w:vAlign w:val="bottom"/>
          </w:tcPr>
          <w:p w14:paraId="67B09D8B" w14:textId="5DFC5BED"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462F66E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75F28AB" w14:textId="77777777" w:rsidR="00DC5BE9" w:rsidRPr="003E2D55" w:rsidRDefault="00DC5BE9" w:rsidP="003E2D55">
            <w:pPr>
              <w:spacing w:before="40" w:after="40"/>
              <w:rPr>
                <w:rFonts w:cs="Arial"/>
                <w:sz w:val="18"/>
                <w:szCs w:val="18"/>
              </w:rPr>
            </w:pPr>
            <w:r w:rsidRPr="003E2D55">
              <w:rPr>
                <w:rFonts w:cs="Arial"/>
                <w:sz w:val="18"/>
                <w:szCs w:val="18"/>
              </w:rPr>
              <w:t>Boroondara C</w:t>
            </w:r>
          </w:p>
        </w:tc>
        <w:tc>
          <w:tcPr>
            <w:tcW w:w="1361" w:type="dxa"/>
            <w:tcBorders>
              <w:top w:val="nil"/>
              <w:left w:val="single" w:sz="18" w:space="0" w:color="5F497A" w:themeColor="accent4" w:themeShade="BF"/>
              <w:bottom w:val="nil"/>
              <w:right w:val="nil"/>
            </w:tcBorders>
            <w:shd w:val="clear" w:color="auto" w:fill="auto"/>
            <w:vAlign w:val="bottom"/>
          </w:tcPr>
          <w:p w14:paraId="48A8276D" w14:textId="355F710F" w:rsidR="00DC5BE9" w:rsidRPr="003E2D55" w:rsidRDefault="00DC5BE9" w:rsidP="003E2D55">
            <w:pPr>
              <w:spacing w:before="40" w:after="40"/>
              <w:jc w:val="right"/>
              <w:rPr>
                <w:rFonts w:cs="Arial"/>
                <w:sz w:val="18"/>
                <w:szCs w:val="18"/>
              </w:rPr>
            </w:pPr>
            <w:r w:rsidRPr="003E2D55">
              <w:rPr>
                <w:rFonts w:cs="Arial"/>
                <w:sz w:val="18"/>
                <w:szCs w:val="18"/>
              </w:rPr>
              <w:t>1,536,731</w:t>
            </w:r>
          </w:p>
        </w:tc>
        <w:tc>
          <w:tcPr>
            <w:tcW w:w="1361" w:type="dxa"/>
            <w:tcBorders>
              <w:top w:val="nil"/>
              <w:left w:val="nil"/>
              <w:bottom w:val="nil"/>
              <w:right w:val="nil"/>
            </w:tcBorders>
            <w:shd w:val="clear" w:color="auto" w:fill="auto"/>
            <w:vAlign w:val="bottom"/>
          </w:tcPr>
          <w:p w14:paraId="75FD4B60" w14:textId="29811DC0" w:rsidR="00DC5BE9" w:rsidRPr="003E2D55" w:rsidRDefault="00DC5BE9" w:rsidP="003E2D55">
            <w:pPr>
              <w:spacing w:before="40" w:after="40"/>
              <w:jc w:val="right"/>
              <w:rPr>
                <w:rFonts w:cs="Arial"/>
                <w:sz w:val="18"/>
                <w:szCs w:val="18"/>
              </w:rPr>
            </w:pPr>
            <w:r w:rsidRPr="003E2D55">
              <w:rPr>
                <w:rFonts w:cs="Arial"/>
                <w:sz w:val="18"/>
                <w:szCs w:val="18"/>
              </w:rPr>
              <w:t>1,254,292</w:t>
            </w:r>
          </w:p>
        </w:tc>
        <w:tc>
          <w:tcPr>
            <w:tcW w:w="1361" w:type="dxa"/>
            <w:tcBorders>
              <w:top w:val="nil"/>
              <w:left w:val="nil"/>
              <w:bottom w:val="nil"/>
              <w:right w:val="nil"/>
            </w:tcBorders>
            <w:shd w:val="clear" w:color="auto" w:fill="auto"/>
            <w:vAlign w:val="bottom"/>
          </w:tcPr>
          <w:p w14:paraId="1141865B" w14:textId="595F054C" w:rsidR="00DC5BE9" w:rsidRPr="003E2D55" w:rsidRDefault="00DC5BE9" w:rsidP="003E2D55">
            <w:pPr>
              <w:spacing w:before="40" w:after="40"/>
              <w:jc w:val="right"/>
              <w:rPr>
                <w:rFonts w:cs="Arial"/>
                <w:sz w:val="18"/>
                <w:szCs w:val="18"/>
              </w:rPr>
            </w:pPr>
            <w:r w:rsidRPr="003E2D55">
              <w:rPr>
                <w:rFonts w:cs="Arial"/>
                <w:sz w:val="18"/>
                <w:szCs w:val="18"/>
              </w:rPr>
              <w:t>1,786,808</w:t>
            </w:r>
          </w:p>
        </w:tc>
        <w:tc>
          <w:tcPr>
            <w:tcW w:w="1418" w:type="dxa"/>
            <w:tcBorders>
              <w:top w:val="nil"/>
              <w:left w:val="nil"/>
              <w:bottom w:val="nil"/>
              <w:right w:val="nil"/>
            </w:tcBorders>
            <w:shd w:val="clear" w:color="auto" w:fill="auto"/>
            <w:vAlign w:val="bottom"/>
          </w:tcPr>
          <w:p w14:paraId="19CC1ADE" w14:textId="2D5B1771" w:rsidR="00DC5BE9" w:rsidRPr="003E2D55" w:rsidRDefault="00DC5BE9" w:rsidP="003E2D55">
            <w:pPr>
              <w:spacing w:before="40" w:after="40"/>
              <w:jc w:val="right"/>
              <w:rPr>
                <w:rFonts w:cs="Arial"/>
                <w:sz w:val="18"/>
                <w:szCs w:val="18"/>
              </w:rPr>
            </w:pPr>
            <w:r w:rsidRPr="003E2D55">
              <w:rPr>
                <w:rFonts w:cs="Arial"/>
                <w:sz w:val="18"/>
                <w:szCs w:val="18"/>
              </w:rPr>
              <w:t>706,395</w:t>
            </w:r>
          </w:p>
        </w:tc>
      </w:tr>
      <w:tr w:rsidR="00DC5BE9" w:rsidRPr="003E2D55" w14:paraId="02D21EB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38B84DC" w14:textId="77777777" w:rsidR="00DC5BE9" w:rsidRPr="003E2D55" w:rsidRDefault="00DC5BE9" w:rsidP="003E2D55">
            <w:pPr>
              <w:spacing w:before="40" w:after="40"/>
              <w:rPr>
                <w:rFonts w:cs="Arial"/>
                <w:sz w:val="18"/>
                <w:szCs w:val="18"/>
              </w:rPr>
            </w:pPr>
            <w:r w:rsidRPr="003E2D55">
              <w:rPr>
                <w:rFonts w:cs="Arial"/>
                <w:sz w:val="18"/>
                <w:szCs w:val="18"/>
              </w:rPr>
              <w:t>Brimbank C</w:t>
            </w:r>
          </w:p>
        </w:tc>
        <w:tc>
          <w:tcPr>
            <w:tcW w:w="1361" w:type="dxa"/>
            <w:tcBorders>
              <w:top w:val="nil"/>
              <w:left w:val="single" w:sz="18" w:space="0" w:color="5F497A" w:themeColor="accent4" w:themeShade="BF"/>
              <w:bottom w:val="nil"/>
              <w:right w:val="nil"/>
            </w:tcBorders>
            <w:shd w:val="clear" w:color="auto" w:fill="auto"/>
            <w:vAlign w:val="bottom"/>
          </w:tcPr>
          <w:p w14:paraId="3A74B6B3" w14:textId="1A9F13EF" w:rsidR="00DC5BE9" w:rsidRPr="003E2D55" w:rsidRDefault="00DC5BE9" w:rsidP="003E2D55">
            <w:pPr>
              <w:spacing w:before="40" w:after="40"/>
              <w:jc w:val="right"/>
              <w:rPr>
                <w:rFonts w:cs="Arial"/>
                <w:sz w:val="18"/>
                <w:szCs w:val="18"/>
              </w:rPr>
            </w:pPr>
            <w:r w:rsidRPr="003E2D55">
              <w:rPr>
                <w:rFonts w:cs="Arial"/>
                <w:sz w:val="18"/>
                <w:szCs w:val="18"/>
              </w:rPr>
              <w:t>2,794,212</w:t>
            </w:r>
          </w:p>
        </w:tc>
        <w:tc>
          <w:tcPr>
            <w:tcW w:w="1361" w:type="dxa"/>
            <w:tcBorders>
              <w:top w:val="nil"/>
              <w:left w:val="nil"/>
              <w:bottom w:val="nil"/>
              <w:right w:val="nil"/>
            </w:tcBorders>
            <w:shd w:val="clear" w:color="auto" w:fill="auto"/>
            <w:vAlign w:val="bottom"/>
          </w:tcPr>
          <w:p w14:paraId="2A91D582" w14:textId="63CC6F0B" w:rsidR="00DC5BE9" w:rsidRPr="003E2D55" w:rsidRDefault="00DC5BE9" w:rsidP="003E2D55">
            <w:pPr>
              <w:spacing w:before="40" w:after="40"/>
              <w:jc w:val="right"/>
              <w:rPr>
                <w:rFonts w:cs="Arial"/>
                <w:sz w:val="18"/>
                <w:szCs w:val="18"/>
              </w:rPr>
            </w:pPr>
            <w:r w:rsidRPr="003E2D55">
              <w:rPr>
                <w:rFonts w:cs="Arial"/>
                <w:sz w:val="18"/>
                <w:szCs w:val="18"/>
              </w:rPr>
              <w:t>2,636,895</w:t>
            </w:r>
          </w:p>
        </w:tc>
        <w:tc>
          <w:tcPr>
            <w:tcW w:w="1361" w:type="dxa"/>
            <w:tcBorders>
              <w:top w:val="nil"/>
              <w:left w:val="nil"/>
              <w:bottom w:val="nil"/>
              <w:right w:val="nil"/>
            </w:tcBorders>
            <w:shd w:val="clear" w:color="auto" w:fill="auto"/>
            <w:vAlign w:val="bottom"/>
          </w:tcPr>
          <w:p w14:paraId="37B8A5F5" w14:textId="34CCF42E" w:rsidR="00DC5BE9" w:rsidRPr="003E2D55" w:rsidRDefault="00DC5BE9" w:rsidP="003E2D55">
            <w:pPr>
              <w:spacing w:before="40" w:after="40"/>
              <w:jc w:val="right"/>
              <w:rPr>
                <w:rFonts w:cs="Arial"/>
                <w:sz w:val="18"/>
                <w:szCs w:val="18"/>
              </w:rPr>
            </w:pPr>
            <w:r w:rsidRPr="003E2D55">
              <w:rPr>
                <w:rFonts w:cs="Arial"/>
                <w:sz w:val="18"/>
                <w:szCs w:val="18"/>
              </w:rPr>
              <w:t>2,476,958</w:t>
            </w:r>
          </w:p>
        </w:tc>
        <w:tc>
          <w:tcPr>
            <w:tcW w:w="1418" w:type="dxa"/>
            <w:tcBorders>
              <w:top w:val="nil"/>
              <w:left w:val="nil"/>
              <w:bottom w:val="nil"/>
              <w:right w:val="nil"/>
            </w:tcBorders>
            <w:shd w:val="clear" w:color="auto" w:fill="auto"/>
            <w:vAlign w:val="bottom"/>
          </w:tcPr>
          <w:p w14:paraId="41C377A7" w14:textId="35C053DD" w:rsidR="00DC5BE9" w:rsidRPr="003E2D55" w:rsidRDefault="00DC5BE9" w:rsidP="003E2D55">
            <w:pPr>
              <w:spacing w:before="40" w:after="40"/>
              <w:jc w:val="right"/>
              <w:rPr>
                <w:rFonts w:cs="Arial"/>
                <w:sz w:val="18"/>
                <w:szCs w:val="18"/>
              </w:rPr>
            </w:pPr>
            <w:r w:rsidRPr="003E2D55">
              <w:rPr>
                <w:rFonts w:cs="Arial"/>
                <w:sz w:val="18"/>
                <w:szCs w:val="18"/>
              </w:rPr>
              <w:t>1,881,485</w:t>
            </w:r>
          </w:p>
        </w:tc>
      </w:tr>
      <w:tr w:rsidR="00DC5BE9" w:rsidRPr="003E2D55" w14:paraId="2C3BCCD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1F1B656" w14:textId="77777777" w:rsidR="00DC5BE9" w:rsidRPr="003E2D55" w:rsidRDefault="00DC5BE9" w:rsidP="003E2D55">
            <w:pPr>
              <w:spacing w:before="40" w:after="40"/>
              <w:rPr>
                <w:rFonts w:cs="Arial"/>
                <w:sz w:val="18"/>
                <w:szCs w:val="18"/>
              </w:rPr>
            </w:pPr>
            <w:r w:rsidRPr="003E2D55">
              <w:rPr>
                <w:rFonts w:cs="Arial"/>
                <w:sz w:val="18"/>
                <w:szCs w:val="18"/>
              </w:rPr>
              <w:t>Buloke S</w:t>
            </w:r>
          </w:p>
        </w:tc>
        <w:tc>
          <w:tcPr>
            <w:tcW w:w="1361" w:type="dxa"/>
            <w:tcBorders>
              <w:top w:val="nil"/>
              <w:left w:val="single" w:sz="18" w:space="0" w:color="5F497A" w:themeColor="accent4" w:themeShade="BF"/>
              <w:bottom w:val="nil"/>
              <w:right w:val="nil"/>
            </w:tcBorders>
            <w:shd w:val="clear" w:color="auto" w:fill="auto"/>
            <w:vAlign w:val="bottom"/>
          </w:tcPr>
          <w:p w14:paraId="40ECE93F" w14:textId="2E5E263E" w:rsidR="00DC5BE9" w:rsidRPr="003E2D55" w:rsidRDefault="00DC5BE9" w:rsidP="003E2D55">
            <w:pPr>
              <w:spacing w:before="40" w:after="40"/>
              <w:jc w:val="right"/>
              <w:rPr>
                <w:rFonts w:cs="Arial"/>
                <w:sz w:val="18"/>
                <w:szCs w:val="18"/>
              </w:rPr>
            </w:pPr>
            <w:r w:rsidRPr="003E2D55">
              <w:rPr>
                <w:rFonts w:cs="Arial"/>
                <w:sz w:val="18"/>
                <w:szCs w:val="18"/>
              </w:rPr>
              <w:t>985,176</w:t>
            </w:r>
          </w:p>
        </w:tc>
        <w:tc>
          <w:tcPr>
            <w:tcW w:w="1361" w:type="dxa"/>
            <w:tcBorders>
              <w:top w:val="nil"/>
              <w:left w:val="nil"/>
              <w:bottom w:val="nil"/>
              <w:right w:val="nil"/>
            </w:tcBorders>
            <w:shd w:val="clear" w:color="auto" w:fill="auto"/>
            <w:vAlign w:val="bottom"/>
          </w:tcPr>
          <w:p w14:paraId="5BBCE4DC" w14:textId="6CEDF402"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78A4B6FE" w14:textId="7FB6E89C" w:rsidR="00DC5BE9" w:rsidRPr="003E2D55" w:rsidRDefault="00DC5BE9" w:rsidP="003E2D55">
            <w:pPr>
              <w:spacing w:before="40" w:after="40"/>
              <w:jc w:val="right"/>
              <w:rPr>
                <w:rFonts w:cs="Arial"/>
                <w:sz w:val="18"/>
                <w:szCs w:val="18"/>
              </w:rPr>
            </w:pPr>
            <w:r w:rsidRPr="003E2D55">
              <w:rPr>
                <w:rFonts w:cs="Arial"/>
                <w:sz w:val="18"/>
                <w:szCs w:val="18"/>
              </w:rPr>
              <w:t>0</w:t>
            </w:r>
          </w:p>
        </w:tc>
        <w:tc>
          <w:tcPr>
            <w:tcW w:w="1418" w:type="dxa"/>
            <w:tcBorders>
              <w:top w:val="nil"/>
              <w:left w:val="nil"/>
              <w:bottom w:val="nil"/>
              <w:right w:val="nil"/>
            </w:tcBorders>
            <w:shd w:val="clear" w:color="auto" w:fill="auto"/>
            <w:vAlign w:val="bottom"/>
          </w:tcPr>
          <w:p w14:paraId="620D1DC4" w14:textId="27069A7D"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5AB5018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D2DDF0C" w14:textId="77777777" w:rsidR="00DC5BE9" w:rsidRPr="003E2D55" w:rsidRDefault="00DC5BE9" w:rsidP="003E2D55">
            <w:pPr>
              <w:spacing w:before="40" w:after="40"/>
              <w:rPr>
                <w:rFonts w:cs="Arial"/>
                <w:sz w:val="18"/>
                <w:szCs w:val="18"/>
              </w:rPr>
            </w:pPr>
            <w:r w:rsidRPr="003E2D55">
              <w:rPr>
                <w:rFonts w:cs="Arial"/>
                <w:sz w:val="18"/>
                <w:szCs w:val="18"/>
              </w:rPr>
              <w:t>Campaspe S</w:t>
            </w:r>
          </w:p>
        </w:tc>
        <w:tc>
          <w:tcPr>
            <w:tcW w:w="1361" w:type="dxa"/>
            <w:tcBorders>
              <w:top w:val="nil"/>
              <w:left w:val="single" w:sz="18" w:space="0" w:color="5F497A" w:themeColor="accent4" w:themeShade="BF"/>
              <w:bottom w:val="nil"/>
              <w:right w:val="nil"/>
            </w:tcBorders>
            <w:shd w:val="clear" w:color="auto" w:fill="auto"/>
            <w:vAlign w:val="bottom"/>
          </w:tcPr>
          <w:p w14:paraId="33D296C4" w14:textId="436183F4" w:rsidR="00DC5BE9" w:rsidRPr="003E2D55" w:rsidRDefault="00DC5BE9" w:rsidP="003E2D55">
            <w:pPr>
              <w:spacing w:before="40" w:after="40"/>
              <w:jc w:val="right"/>
              <w:rPr>
                <w:rFonts w:cs="Arial"/>
                <w:sz w:val="18"/>
                <w:szCs w:val="18"/>
              </w:rPr>
            </w:pPr>
            <w:r w:rsidRPr="003E2D55">
              <w:rPr>
                <w:rFonts w:cs="Arial"/>
                <w:sz w:val="18"/>
                <w:szCs w:val="18"/>
              </w:rPr>
              <w:t>1,591,318</w:t>
            </w:r>
          </w:p>
        </w:tc>
        <w:tc>
          <w:tcPr>
            <w:tcW w:w="1361" w:type="dxa"/>
            <w:tcBorders>
              <w:top w:val="nil"/>
              <w:left w:val="nil"/>
              <w:bottom w:val="nil"/>
              <w:right w:val="nil"/>
            </w:tcBorders>
            <w:shd w:val="clear" w:color="auto" w:fill="auto"/>
            <w:vAlign w:val="bottom"/>
          </w:tcPr>
          <w:p w14:paraId="30EEBB04" w14:textId="0F0FF99E" w:rsidR="00DC5BE9" w:rsidRPr="003E2D55" w:rsidRDefault="00DC5BE9" w:rsidP="003E2D55">
            <w:pPr>
              <w:spacing w:before="40" w:after="40"/>
              <w:jc w:val="right"/>
              <w:rPr>
                <w:rFonts w:cs="Arial"/>
                <w:sz w:val="18"/>
                <w:szCs w:val="18"/>
              </w:rPr>
            </w:pPr>
            <w:r w:rsidRPr="003E2D55">
              <w:rPr>
                <w:rFonts w:cs="Arial"/>
                <w:sz w:val="18"/>
                <w:szCs w:val="18"/>
              </w:rPr>
              <w:t>527,032</w:t>
            </w:r>
          </w:p>
        </w:tc>
        <w:tc>
          <w:tcPr>
            <w:tcW w:w="1361" w:type="dxa"/>
            <w:tcBorders>
              <w:top w:val="nil"/>
              <w:left w:val="nil"/>
              <w:bottom w:val="nil"/>
              <w:right w:val="nil"/>
            </w:tcBorders>
            <w:shd w:val="clear" w:color="auto" w:fill="auto"/>
            <w:vAlign w:val="bottom"/>
          </w:tcPr>
          <w:p w14:paraId="51894BD0" w14:textId="72E7CAEF" w:rsidR="00DC5BE9" w:rsidRPr="003E2D55" w:rsidRDefault="00DC5BE9" w:rsidP="003E2D55">
            <w:pPr>
              <w:spacing w:before="40" w:after="40"/>
              <w:jc w:val="right"/>
              <w:rPr>
                <w:rFonts w:cs="Arial"/>
                <w:sz w:val="18"/>
                <w:szCs w:val="18"/>
              </w:rPr>
            </w:pPr>
            <w:r w:rsidRPr="003E2D55">
              <w:rPr>
                <w:rFonts w:cs="Arial"/>
                <w:sz w:val="18"/>
                <w:szCs w:val="18"/>
              </w:rPr>
              <w:t>673,979</w:t>
            </w:r>
          </w:p>
        </w:tc>
        <w:tc>
          <w:tcPr>
            <w:tcW w:w="1418" w:type="dxa"/>
            <w:tcBorders>
              <w:top w:val="nil"/>
              <w:left w:val="nil"/>
              <w:bottom w:val="nil"/>
              <w:right w:val="nil"/>
            </w:tcBorders>
            <w:shd w:val="clear" w:color="auto" w:fill="auto"/>
            <w:vAlign w:val="bottom"/>
          </w:tcPr>
          <w:p w14:paraId="1B2E4FB8" w14:textId="416116EE" w:rsidR="00DC5BE9" w:rsidRPr="003E2D55" w:rsidRDefault="00DC5BE9" w:rsidP="003E2D55">
            <w:pPr>
              <w:spacing w:before="40" w:after="40"/>
              <w:jc w:val="right"/>
              <w:rPr>
                <w:rFonts w:cs="Arial"/>
                <w:sz w:val="18"/>
                <w:szCs w:val="18"/>
              </w:rPr>
            </w:pPr>
            <w:r w:rsidRPr="003E2D55">
              <w:rPr>
                <w:rFonts w:cs="Arial"/>
                <w:sz w:val="18"/>
                <w:szCs w:val="18"/>
              </w:rPr>
              <w:t>122,993</w:t>
            </w:r>
          </w:p>
        </w:tc>
      </w:tr>
      <w:tr w:rsidR="00DC5BE9" w:rsidRPr="003E2D55" w14:paraId="57E2E27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D09C23C" w14:textId="77777777" w:rsidR="00DC5BE9" w:rsidRPr="003E2D55" w:rsidRDefault="00DC5BE9" w:rsidP="003E2D55">
            <w:pPr>
              <w:spacing w:before="40" w:after="40"/>
              <w:rPr>
                <w:rFonts w:cs="Arial"/>
                <w:sz w:val="18"/>
                <w:szCs w:val="18"/>
              </w:rPr>
            </w:pPr>
            <w:r w:rsidRPr="003E2D55">
              <w:rPr>
                <w:rFonts w:cs="Arial"/>
                <w:sz w:val="18"/>
                <w:szCs w:val="18"/>
              </w:rPr>
              <w:t>Cardinia S</w:t>
            </w:r>
          </w:p>
        </w:tc>
        <w:tc>
          <w:tcPr>
            <w:tcW w:w="1361" w:type="dxa"/>
            <w:tcBorders>
              <w:top w:val="nil"/>
              <w:left w:val="single" w:sz="18" w:space="0" w:color="5F497A" w:themeColor="accent4" w:themeShade="BF"/>
              <w:bottom w:val="nil"/>
              <w:right w:val="nil"/>
            </w:tcBorders>
            <w:shd w:val="clear" w:color="auto" w:fill="auto"/>
            <w:vAlign w:val="bottom"/>
          </w:tcPr>
          <w:p w14:paraId="2A6D583B" w14:textId="44B975B6" w:rsidR="00DC5BE9" w:rsidRPr="003E2D55" w:rsidRDefault="00DC5BE9" w:rsidP="003E2D55">
            <w:pPr>
              <w:spacing w:before="40" w:after="40"/>
              <w:jc w:val="right"/>
              <w:rPr>
                <w:rFonts w:cs="Arial"/>
                <w:sz w:val="18"/>
                <w:szCs w:val="18"/>
              </w:rPr>
            </w:pPr>
            <w:r w:rsidRPr="003E2D55">
              <w:rPr>
                <w:rFonts w:cs="Arial"/>
                <w:sz w:val="18"/>
                <w:szCs w:val="18"/>
              </w:rPr>
              <w:t>3,111,908</w:t>
            </w:r>
          </w:p>
        </w:tc>
        <w:tc>
          <w:tcPr>
            <w:tcW w:w="1361" w:type="dxa"/>
            <w:tcBorders>
              <w:top w:val="nil"/>
              <w:left w:val="nil"/>
              <w:bottom w:val="nil"/>
              <w:right w:val="nil"/>
            </w:tcBorders>
            <w:shd w:val="clear" w:color="auto" w:fill="auto"/>
            <w:vAlign w:val="bottom"/>
          </w:tcPr>
          <w:p w14:paraId="3FDEA095" w14:textId="19E5AB60" w:rsidR="00DC5BE9" w:rsidRPr="003E2D55" w:rsidRDefault="00DC5BE9" w:rsidP="003E2D55">
            <w:pPr>
              <w:spacing w:before="40" w:after="40"/>
              <w:jc w:val="right"/>
              <w:rPr>
                <w:rFonts w:cs="Arial"/>
                <w:sz w:val="18"/>
                <w:szCs w:val="18"/>
              </w:rPr>
            </w:pPr>
            <w:r w:rsidRPr="003E2D55">
              <w:rPr>
                <w:rFonts w:cs="Arial"/>
                <w:sz w:val="18"/>
                <w:szCs w:val="18"/>
              </w:rPr>
              <w:t>382,856</w:t>
            </w:r>
          </w:p>
        </w:tc>
        <w:tc>
          <w:tcPr>
            <w:tcW w:w="1361" w:type="dxa"/>
            <w:tcBorders>
              <w:top w:val="nil"/>
              <w:left w:val="nil"/>
              <w:bottom w:val="nil"/>
              <w:right w:val="nil"/>
            </w:tcBorders>
            <w:shd w:val="clear" w:color="auto" w:fill="auto"/>
            <w:vAlign w:val="bottom"/>
          </w:tcPr>
          <w:p w14:paraId="5AC3431A" w14:textId="1AEC36B4" w:rsidR="00DC5BE9" w:rsidRPr="003E2D55" w:rsidRDefault="00DC5BE9" w:rsidP="003E2D55">
            <w:pPr>
              <w:spacing w:before="40" w:after="40"/>
              <w:jc w:val="right"/>
              <w:rPr>
                <w:rFonts w:cs="Arial"/>
                <w:sz w:val="18"/>
                <w:szCs w:val="18"/>
              </w:rPr>
            </w:pPr>
            <w:r w:rsidRPr="003E2D55">
              <w:rPr>
                <w:rFonts w:cs="Arial"/>
                <w:sz w:val="18"/>
                <w:szCs w:val="18"/>
              </w:rPr>
              <w:t>1,398,935</w:t>
            </w:r>
          </w:p>
        </w:tc>
        <w:tc>
          <w:tcPr>
            <w:tcW w:w="1418" w:type="dxa"/>
            <w:tcBorders>
              <w:top w:val="nil"/>
              <w:left w:val="nil"/>
              <w:bottom w:val="nil"/>
              <w:right w:val="nil"/>
            </w:tcBorders>
            <w:shd w:val="clear" w:color="auto" w:fill="auto"/>
            <w:vAlign w:val="bottom"/>
          </w:tcPr>
          <w:p w14:paraId="0FF22785" w14:textId="72FB4D09" w:rsidR="00DC5BE9" w:rsidRPr="003E2D55" w:rsidRDefault="00DC5BE9" w:rsidP="003E2D55">
            <w:pPr>
              <w:spacing w:before="40" w:after="40"/>
              <w:jc w:val="right"/>
              <w:rPr>
                <w:rFonts w:cs="Arial"/>
                <w:sz w:val="18"/>
                <w:szCs w:val="18"/>
              </w:rPr>
            </w:pPr>
            <w:r w:rsidRPr="003E2D55">
              <w:rPr>
                <w:rFonts w:cs="Arial"/>
                <w:sz w:val="18"/>
                <w:szCs w:val="18"/>
              </w:rPr>
              <w:t>225,425</w:t>
            </w:r>
          </w:p>
        </w:tc>
      </w:tr>
      <w:tr w:rsidR="00DC5BE9" w:rsidRPr="003E2D55" w14:paraId="2341E4B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616140B" w14:textId="77777777" w:rsidR="00DC5BE9" w:rsidRPr="003E2D55" w:rsidRDefault="00DC5BE9" w:rsidP="003E2D55">
            <w:pPr>
              <w:spacing w:before="40" w:after="40"/>
              <w:rPr>
                <w:rFonts w:cs="Arial"/>
                <w:sz w:val="18"/>
                <w:szCs w:val="18"/>
              </w:rPr>
            </w:pPr>
            <w:r w:rsidRPr="003E2D55">
              <w:rPr>
                <w:rFonts w:cs="Arial"/>
                <w:sz w:val="18"/>
                <w:szCs w:val="18"/>
              </w:rPr>
              <w:t>Casey C</w:t>
            </w:r>
          </w:p>
        </w:tc>
        <w:tc>
          <w:tcPr>
            <w:tcW w:w="1361" w:type="dxa"/>
            <w:tcBorders>
              <w:top w:val="nil"/>
              <w:left w:val="single" w:sz="18" w:space="0" w:color="5F497A" w:themeColor="accent4" w:themeShade="BF"/>
              <w:bottom w:val="nil"/>
              <w:right w:val="nil"/>
            </w:tcBorders>
            <w:shd w:val="clear" w:color="auto" w:fill="auto"/>
            <w:vAlign w:val="bottom"/>
          </w:tcPr>
          <w:p w14:paraId="080BC1AA" w14:textId="2DC75492" w:rsidR="00DC5BE9" w:rsidRPr="003E2D55" w:rsidRDefault="00DC5BE9" w:rsidP="003E2D55">
            <w:pPr>
              <w:spacing w:before="40" w:after="40"/>
              <w:jc w:val="right"/>
              <w:rPr>
                <w:rFonts w:cs="Arial"/>
                <w:sz w:val="18"/>
                <w:szCs w:val="18"/>
              </w:rPr>
            </w:pPr>
            <w:r w:rsidRPr="003E2D55">
              <w:rPr>
                <w:rFonts w:cs="Arial"/>
                <w:sz w:val="18"/>
                <w:szCs w:val="18"/>
              </w:rPr>
              <w:t>5,984,330</w:t>
            </w:r>
          </w:p>
        </w:tc>
        <w:tc>
          <w:tcPr>
            <w:tcW w:w="1361" w:type="dxa"/>
            <w:tcBorders>
              <w:top w:val="nil"/>
              <w:left w:val="nil"/>
              <w:bottom w:val="nil"/>
              <w:right w:val="nil"/>
            </w:tcBorders>
            <w:shd w:val="clear" w:color="auto" w:fill="auto"/>
            <w:vAlign w:val="bottom"/>
          </w:tcPr>
          <w:p w14:paraId="46115E2A" w14:textId="53043A15" w:rsidR="00DC5BE9" w:rsidRPr="003E2D55" w:rsidRDefault="00DC5BE9" w:rsidP="003E2D55">
            <w:pPr>
              <w:spacing w:before="40" w:after="40"/>
              <w:jc w:val="right"/>
              <w:rPr>
                <w:rFonts w:cs="Arial"/>
                <w:sz w:val="18"/>
                <w:szCs w:val="18"/>
              </w:rPr>
            </w:pPr>
            <w:r w:rsidRPr="003E2D55">
              <w:rPr>
                <w:rFonts w:cs="Arial"/>
                <w:sz w:val="18"/>
                <w:szCs w:val="18"/>
              </w:rPr>
              <w:t>1,335,699</w:t>
            </w:r>
          </w:p>
        </w:tc>
        <w:tc>
          <w:tcPr>
            <w:tcW w:w="1361" w:type="dxa"/>
            <w:tcBorders>
              <w:top w:val="nil"/>
              <w:left w:val="nil"/>
              <w:bottom w:val="nil"/>
              <w:right w:val="nil"/>
            </w:tcBorders>
            <w:shd w:val="clear" w:color="auto" w:fill="auto"/>
            <w:vAlign w:val="bottom"/>
          </w:tcPr>
          <w:p w14:paraId="23564F12" w14:textId="643517AF" w:rsidR="00DC5BE9" w:rsidRPr="003E2D55" w:rsidRDefault="00DC5BE9" w:rsidP="003E2D55">
            <w:pPr>
              <w:spacing w:before="40" w:after="40"/>
              <w:jc w:val="right"/>
              <w:rPr>
                <w:rFonts w:cs="Arial"/>
                <w:sz w:val="18"/>
                <w:szCs w:val="18"/>
              </w:rPr>
            </w:pPr>
            <w:r w:rsidRPr="003E2D55">
              <w:rPr>
                <w:rFonts w:cs="Arial"/>
                <w:sz w:val="18"/>
                <w:szCs w:val="18"/>
              </w:rPr>
              <w:t>3,355,881</w:t>
            </w:r>
          </w:p>
        </w:tc>
        <w:tc>
          <w:tcPr>
            <w:tcW w:w="1418" w:type="dxa"/>
            <w:tcBorders>
              <w:top w:val="nil"/>
              <w:left w:val="nil"/>
              <w:bottom w:val="nil"/>
              <w:right w:val="nil"/>
            </w:tcBorders>
            <w:shd w:val="clear" w:color="auto" w:fill="auto"/>
            <w:vAlign w:val="bottom"/>
          </w:tcPr>
          <w:p w14:paraId="412428E6" w14:textId="63DA8F88" w:rsidR="00DC5BE9" w:rsidRPr="003E2D55" w:rsidRDefault="00DC5BE9" w:rsidP="003E2D55">
            <w:pPr>
              <w:spacing w:before="40" w:after="40"/>
              <w:jc w:val="right"/>
              <w:rPr>
                <w:rFonts w:cs="Arial"/>
                <w:sz w:val="18"/>
                <w:szCs w:val="18"/>
              </w:rPr>
            </w:pPr>
            <w:r w:rsidRPr="003E2D55">
              <w:rPr>
                <w:rFonts w:cs="Arial"/>
                <w:sz w:val="18"/>
                <w:szCs w:val="18"/>
              </w:rPr>
              <w:t>1,949,376</w:t>
            </w:r>
          </w:p>
        </w:tc>
      </w:tr>
      <w:tr w:rsidR="00DC5BE9" w:rsidRPr="003E2D55" w14:paraId="2499AA6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1EFD5D6" w14:textId="77777777" w:rsidR="00DC5BE9" w:rsidRPr="003E2D55" w:rsidRDefault="00DC5BE9" w:rsidP="003E2D55">
            <w:pPr>
              <w:spacing w:before="40" w:after="40"/>
              <w:rPr>
                <w:rFonts w:cs="Arial"/>
                <w:sz w:val="18"/>
                <w:szCs w:val="18"/>
              </w:rPr>
            </w:pPr>
            <w:r w:rsidRPr="003E2D55">
              <w:rPr>
                <w:rFonts w:cs="Arial"/>
                <w:sz w:val="18"/>
                <w:szCs w:val="18"/>
              </w:rPr>
              <w:t>Central Goldfields S</w:t>
            </w:r>
          </w:p>
        </w:tc>
        <w:tc>
          <w:tcPr>
            <w:tcW w:w="1361" w:type="dxa"/>
            <w:tcBorders>
              <w:top w:val="nil"/>
              <w:left w:val="single" w:sz="18" w:space="0" w:color="5F497A" w:themeColor="accent4" w:themeShade="BF"/>
              <w:bottom w:val="nil"/>
              <w:right w:val="nil"/>
            </w:tcBorders>
            <w:shd w:val="clear" w:color="auto" w:fill="auto"/>
            <w:vAlign w:val="bottom"/>
          </w:tcPr>
          <w:p w14:paraId="58EB43AA" w14:textId="52C13104" w:rsidR="00DC5BE9" w:rsidRPr="003E2D55" w:rsidRDefault="00DC5BE9" w:rsidP="003E2D55">
            <w:pPr>
              <w:spacing w:before="40" w:after="40"/>
              <w:jc w:val="right"/>
              <w:rPr>
                <w:rFonts w:cs="Arial"/>
                <w:sz w:val="18"/>
                <w:szCs w:val="18"/>
              </w:rPr>
            </w:pPr>
            <w:r w:rsidRPr="003E2D55">
              <w:rPr>
                <w:rFonts w:cs="Arial"/>
                <w:sz w:val="18"/>
                <w:szCs w:val="18"/>
              </w:rPr>
              <w:t>739,355</w:t>
            </w:r>
          </w:p>
        </w:tc>
        <w:tc>
          <w:tcPr>
            <w:tcW w:w="1361" w:type="dxa"/>
            <w:tcBorders>
              <w:top w:val="nil"/>
              <w:left w:val="nil"/>
              <w:bottom w:val="nil"/>
              <w:right w:val="nil"/>
            </w:tcBorders>
            <w:shd w:val="clear" w:color="auto" w:fill="auto"/>
            <w:vAlign w:val="bottom"/>
          </w:tcPr>
          <w:p w14:paraId="548FB131" w14:textId="588253C6" w:rsidR="00DC5BE9" w:rsidRPr="003E2D55" w:rsidRDefault="00DC5BE9" w:rsidP="003E2D55">
            <w:pPr>
              <w:spacing w:before="40" w:after="40"/>
              <w:jc w:val="right"/>
              <w:rPr>
                <w:rFonts w:cs="Arial"/>
                <w:sz w:val="18"/>
                <w:szCs w:val="18"/>
              </w:rPr>
            </w:pPr>
            <w:r w:rsidRPr="003E2D55">
              <w:rPr>
                <w:rFonts w:cs="Arial"/>
                <w:sz w:val="18"/>
                <w:szCs w:val="18"/>
              </w:rPr>
              <w:t>147,236</w:t>
            </w:r>
          </w:p>
        </w:tc>
        <w:tc>
          <w:tcPr>
            <w:tcW w:w="1361" w:type="dxa"/>
            <w:tcBorders>
              <w:top w:val="nil"/>
              <w:left w:val="nil"/>
              <w:bottom w:val="nil"/>
              <w:right w:val="nil"/>
            </w:tcBorders>
            <w:shd w:val="clear" w:color="auto" w:fill="auto"/>
            <w:vAlign w:val="bottom"/>
          </w:tcPr>
          <w:p w14:paraId="278D75E0" w14:textId="1AD4AD4C" w:rsidR="00DC5BE9" w:rsidRPr="003E2D55" w:rsidRDefault="00DC5BE9" w:rsidP="003E2D55">
            <w:pPr>
              <w:spacing w:before="40" w:after="40"/>
              <w:jc w:val="right"/>
              <w:rPr>
                <w:rFonts w:cs="Arial"/>
                <w:sz w:val="18"/>
                <w:szCs w:val="18"/>
              </w:rPr>
            </w:pPr>
            <w:r w:rsidRPr="003E2D55">
              <w:rPr>
                <w:rFonts w:cs="Arial"/>
                <w:sz w:val="18"/>
                <w:szCs w:val="18"/>
              </w:rPr>
              <w:t>184,109</w:t>
            </w:r>
          </w:p>
        </w:tc>
        <w:tc>
          <w:tcPr>
            <w:tcW w:w="1418" w:type="dxa"/>
            <w:tcBorders>
              <w:top w:val="nil"/>
              <w:left w:val="nil"/>
              <w:bottom w:val="nil"/>
              <w:right w:val="nil"/>
            </w:tcBorders>
            <w:shd w:val="clear" w:color="auto" w:fill="auto"/>
            <w:vAlign w:val="bottom"/>
          </w:tcPr>
          <w:p w14:paraId="78EFDA61" w14:textId="6C08F255" w:rsidR="00DC5BE9" w:rsidRPr="003E2D55" w:rsidRDefault="00DC5BE9" w:rsidP="003E2D55">
            <w:pPr>
              <w:spacing w:before="40" w:after="40"/>
              <w:jc w:val="right"/>
              <w:rPr>
                <w:rFonts w:cs="Arial"/>
                <w:sz w:val="18"/>
                <w:szCs w:val="18"/>
              </w:rPr>
            </w:pPr>
            <w:r w:rsidRPr="003E2D55">
              <w:rPr>
                <w:rFonts w:cs="Arial"/>
                <w:sz w:val="18"/>
                <w:szCs w:val="18"/>
              </w:rPr>
              <w:t>23,037</w:t>
            </w:r>
          </w:p>
        </w:tc>
      </w:tr>
      <w:tr w:rsidR="00DC5BE9" w:rsidRPr="003E2D55" w14:paraId="7170C33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62C2D15" w14:textId="77777777" w:rsidR="00DC5BE9" w:rsidRPr="003E2D55" w:rsidRDefault="00DC5BE9" w:rsidP="003E2D55">
            <w:pPr>
              <w:spacing w:before="40" w:after="40"/>
              <w:rPr>
                <w:rFonts w:cs="Arial"/>
                <w:sz w:val="18"/>
                <w:szCs w:val="18"/>
              </w:rPr>
            </w:pPr>
            <w:r w:rsidRPr="003E2D55">
              <w:rPr>
                <w:rFonts w:cs="Arial"/>
                <w:sz w:val="18"/>
                <w:szCs w:val="18"/>
              </w:rPr>
              <w:t>Colac Otway S</w:t>
            </w:r>
          </w:p>
        </w:tc>
        <w:tc>
          <w:tcPr>
            <w:tcW w:w="1361" w:type="dxa"/>
            <w:tcBorders>
              <w:top w:val="nil"/>
              <w:left w:val="single" w:sz="18" w:space="0" w:color="5F497A" w:themeColor="accent4" w:themeShade="BF"/>
              <w:bottom w:val="nil"/>
              <w:right w:val="nil"/>
            </w:tcBorders>
            <w:shd w:val="clear" w:color="auto" w:fill="auto"/>
            <w:vAlign w:val="bottom"/>
          </w:tcPr>
          <w:p w14:paraId="57CA406A" w14:textId="2E4589C9" w:rsidR="00DC5BE9" w:rsidRPr="003E2D55" w:rsidRDefault="00DC5BE9" w:rsidP="003E2D55">
            <w:pPr>
              <w:spacing w:before="40" w:after="40"/>
              <w:jc w:val="right"/>
              <w:rPr>
                <w:rFonts w:cs="Arial"/>
                <w:sz w:val="18"/>
                <w:szCs w:val="18"/>
              </w:rPr>
            </w:pPr>
            <w:r w:rsidRPr="003E2D55">
              <w:rPr>
                <w:rFonts w:cs="Arial"/>
                <w:sz w:val="18"/>
                <w:szCs w:val="18"/>
              </w:rPr>
              <w:t>1,278,620</w:t>
            </w:r>
          </w:p>
        </w:tc>
        <w:tc>
          <w:tcPr>
            <w:tcW w:w="1361" w:type="dxa"/>
            <w:tcBorders>
              <w:top w:val="nil"/>
              <w:left w:val="nil"/>
              <w:bottom w:val="nil"/>
              <w:right w:val="nil"/>
            </w:tcBorders>
            <w:shd w:val="clear" w:color="auto" w:fill="auto"/>
            <w:vAlign w:val="bottom"/>
          </w:tcPr>
          <w:p w14:paraId="05160EC8" w14:textId="3CC3B4DE" w:rsidR="00DC5BE9" w:rsidRPr="003E2D55" w:rsidRDefault="00DC5BE9" w:rsidP="003E2D55">
            <w:pPr>
              <w:spacing w:before="40" w:after="40"/>
              <w:jc w:val="right"/>
              <w:rPr>
                <w:rFonts w:cs="Arial"/>
                <w:sz w:val="18"/>
                <w:szCs w:val="18"/>
              </w:rPr>
            </w:pPr>
            <w:r w:rsidRPr="003E2D55">
              <w:rPr>
                <w:rFonts w:cs="Arial"/>
                <w:sz w:val="18"/>
                <w:szCs w:val="18"/>
              </w:rPr>
              <w:t>175,411</w:t>
            </w:r>
          </w:p>
        </w:tc>
        <w:tc>
          <w:tcPr>
            <w:tcW w:w="1361" w:type="dxa"/>
            <w:tcBorders>
              <w:top w:val="nil"/>
              <w:left w:val="nil"/>
              <w:bottom w:val="nil"/>
              <w:right w:val="nil"/>
            </w:tcBorders>
            <w:shd w:val="clear" w:color="auto" w:fill="auto"/>
            <w:vAlign w:val="bottom"/>
          </w:tcPr>
          <w:p w14:paraId="3A41D431" w14:textId="3AFE821D" w:rsidR="00DC5BE9" w:rsidRPr="003E2D55" w:rsidRDefault="00DC5BE9" w:rsidP="003E2D55">
            <w:pPr>
              <w:spacing w:before="40" w:after="40"/>
              <w:jc w:val="right"/>
              <w:rPr>
                <w:rFonts w:cs="Arial"/>
                <w:sz w:val="18"/>
                <w:szCs w:val="18"/>
              </w:rPr>
            </w:pPr>
            <w:r w:rsidRPr="003E2D55">
              <w:rPr>
                <w:rFonts w:cs="Arial"/>
                <w:sz w:val="18"/>
                <w:szCs w:val="18"/>
              </w:rPr>
              <w:t>318,000</w:t>
            </w:r>
          </w:p>
        </w:tc>
        <w:tc>
          <w:tcPr>
            <w:tcW w:w="1418" w:type="dxa"/>
            <w:tcBorders>
              <w:top w:val="nil"/>
              <w:left w:val="nil"/>
              <w:bottom w:val="nil"/>
              <w:right w:val="nil"/>
            </w:tcBorders>
            <w:shd w:val="clear" w:color="auto" w:fill="auto"/>
            <w:vAlign w:val="bottom"/>
          </w:tcPr>
          <w:p w14:paraId="0A7624DC" w14:textId="50D267BA"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1F19B87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DFE1722" w14:textId="77777777" w:rsidR="00DC5BE9" w:rsidRPr="003E2D55" w:rsidRDefault="00DC5BE9" w:rsidP="003E2D55">
            <w:pPr>
              <w:spacing w:before="40" w:after="40"/>
              <w:rPr>
                <w:rFonts w:cs="Arial"/>
                <w:sz w:val="18"/>
                <w:szCs w:val="18"/>
              </w:rPr>
            </w:pPr>
            <w:r w:rsidRPr="003E2D55">
              <w:rPr>
                <w:rFonts w:cs="Arial"/>
                <w:sz w:val="18"/>
                <w:szCs w:val="18"/>
              </w:rPr>
              <w:t>Corangamite S</w:t>
            </w:r>
          </w:p>
        </w:tc>
        <w:tc>
          <w:tcPr>
            <w:tcW w:w="1361" w:type="dxa"/>
            <w:tcBorders>
              <w:top w:val="nil"/>
              <w:left w:val="single" w:sz="18" w:space="0" w:color="5F497A" w:themeColor="accent4" w:themeShade="BF"/>
              <w:bottom w:val="nil"/>
              <w:right w:val="nil"/>
            </w:tcBorders>
            <w:shd w:val="clear" w:color="auto" w:fill="auto"/>
            <w:vAlign w:val="bottom"/>
          </w:tcPr>
          <w:p w14:paraId="67CA3A75" w14:textId="32E23891" w:rsidR="00DC5BE9" w:rsidRPr="003E2D55" w:rsidRDefault="00DC5BE9" w:rsidP="003E2D55">
            <w:pPr>
              <w:spacing w:before="40" w:after="40"/>
              <w:jc w:val="right"/>
              <w:rPr>
                <w:rFonts w:cs="Arial"/>
                <w:sz w:val="18"/>
                <w:szCs w:val="18"/>
              </w:rPr>
            </w:pPr>
            <w:r w:rsidRPr="003E2D55">
              <w:rPr>
                <w:rFonts w:cs="Arial"/>
                <w:sz w:val="18"/>
                <w:szCs w:val="18"/>
              </w:rPr>
              <w:t>1,481,213</w:t>
            </w:r>
          </w:p>
        </w:tc>
        <w:tc>
          <w:tcPr>
            <w:tcW w:w="1361" w:type="dxa"/>
            <w:tcBorders>
              <w:top w:val="nil"/>
              <w:left w:val="nil"/>
              <w:bottom w:val="nil"/>
              <w:right w:val="nil"/>
            </w:tcBorders>
            <w:shd w:val="clear" w:color="auto" w:fill="auto"/>
            <w:vAlign w:val="bottom"/>
          </w:tcPr>
          <w:p w14:paraId="543182CE" w14:textId="2BA0DF07" w:rsidR="00DC5BE9" w:rsidRPr="003E2D55" w:rsidRDefault="00DC5BE9" w:rsidP="003E2D55">
            <w:pPr>
              <w:spacing w:before="40" w:after="40"/>
              <w:jc w:val="right"/>
              <w:rPr>
                <w:rFonts w:cs="Arial"/>
                <w:sz w:val="18"/>
                <w:szCs w:val="18"/>
              </w:rPr>
            </w:pPr>
            <w:r w:rsidRPr="003E2D55">
              <w:rPr>
                <w:rFonts w:cs="Arial"/>
                <w:sz w:val="18"/>
                <w:szCs w:val="18"/>
              </w:rPr>
              <w:t>183,281</w:t>
            </w:r>
          </w:p>
        </w:tc>
        <w:tc>
          <w:tcPr>
            <w:tcW w:w="1361" w:type="dxa"/>
            <w:tcBorders>
              <w:top w:val="nil"/>
              <w:left w:val="nil"/>
              <w:bottom w:val="nil"/>
              <w:right w:val="nil"/>
            </w:tcBorders>
            <w:shd w:val="clear" w:color="auto" w:fill="auto"/>
            <w:vAlign w:val="bottom"/>
          </w:tcPr>
          <w:p w14:paraId="0A73ECAF" w14:textId="5598ECE7" w:rsidR="00DC5BE9" w:rsidRPr="003E2D55" w:rsidRDefault="00DC5BE9" w:rsidP="003E2D55">
            <w:pPr>
              <w:spacing w:before="40" w:after="40"/>
              <w:jc w:val="right"/>
              <w:rPr>
                <w:rFonts w:cs="Arial"/>
                <w:sz w:val="18"/>
                <w:szCs w:val="18"/>
              </w:rPr>
            </w:pPr>
            <w:r w:rsidRPr="003E2D55">
              <w:rPr>
                <w:rFonts w:cs="Arial"/>
                <w:sz w:val="18"/>
                <w:szCs w:val="18"/>
              </w:rPr>
              <w:t>153,459</w:t>
            </w:r>
          </w:p>
        </w:tc>
        <w:tc>
          <w:tcPr>
            <w:tcW w:w="1418" w:type="dxa"/>
            <w:tcBorders>
              <w:top w:val="nil"/>
              <w:left w:val="nil"/>
              <w:bottom w:val="nil"/>
              <w:right w:val="nil"/>
            </w:tcBorders>
            <w:shd w:val="clear" w:color="auto" w:fill="auto"/>
            <w:vAlign w:val="bottom"/>
          </w:tcPr>
          <w:p w14:paraId="1C4BB2DE" w14:textId="66C54031"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09D86B4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8C610C2" w14:textId="77777777" w:rsidR="00DC5BE9" w:rsidRPr="003E2D55" w:rsidRDefault="00DC5BE9" w:rsidP="003E2D55">
            <w:pPr>
              <w:spacing w:before="40" w:after="40"/>
              <w:rPr>
                <w:rFonts w:cs="Arial"/>
                <w:sz w:val="18"/>
                <w:szCs w:val="18"/>
              </w:rPr>
            </w:pPr>
            <w:r w:rsidRPr="003E2D55">
              <w:rPr>
                <w:rFonts w:cs="Arial"/>
                <w:sz w:val="18"/>
                <w:szCs w:val="18"/>
              </w:rPr>
              <w:t>Darebin C</w:t>
            </w:r>
          </w:p>
        </w:tc>
        <w:tc>
          <w:tcPr>
            <w:tcW w:w="1361" w:type="dxa"/>
            <w:tcBorders>
              <w:top w:val="nil"/>
              <w:left w:val="single" w:sz="18" w:space="0" w:color="5F497A" w:themeColor="accent4" w:themeShade="BF"/>
              <w:bottom w:val="nil"/>
              <w:right w:val="nil"/>
            </w:tcBorders>
            <w:shd w:val="clear" w:color="auto" w:fill="auto"/>
            <w:vAlign w:val="bottom"/>
          </w:tcPr>
          <w:p w14:paraId="217DBB6B" w14:textId="383C95AE" w:rsidR="00DC5BE9" w:rsidRPr="003E2D55" w:rsidRDefault="00DC5BE9" w:rsidP="003E2D55">
            <w:pPr>
              <w:spacing w:before="40" w:after="40"/>
              <w:jc w:val="right"/>
              <w:rPr>
                <w:rFonts w:cs="Arial"/>
                <w:sz w:val="18"/>
                <w:szCs w:val="18"/>
              </w:rPr>
            </w:pPr>
            <w:r w:rsidRPr="003E2D55">
              <w:rPr>
                <w:rFonts w:cs="Arial"/>
                <w:sz w:val="18"/>
                <w:szCs w:val="18"/>
              </w:rPr>
              <w:t>1,749,928</w:t>
            </w:r>
          </w:p>
        </w:tc>
        <w:tc>
          <w:tcPr>
            <w:tcW w:w="1361" w:type="dxa"/>
            <w:tcBorders>
              <w:top w:val="nil"/>
              <w:left w:val="nil"/>
              <w:bottom w:val="nil"/>
              <w:right w:val="nil"/>
            </w:tcBorders>
            <w:shd w:val="clear" w:color="auto" w:fill="auto"/>
            <w:vAlign w:val="bottom"/>
          </w:tcPr>
          <w:p w14:paraId="6F8BC2A6" w14:textId="0747140C" w:rsidR="00DC5BE9" w:rsidRPr="003E2D55" w:rsidRDefault="00DC5BE9" w:rsidP="003E2D55">
            <w:pPr>
              <w:spacing w:before="40" w:after="40"/>
              <w:jc w:val="right"/>
              <w:rPr>
                <w:rFonts w:cs="Arial"/>
                <w:sz w:val="18"/>
                <w:szCs w:val="18"/>
              </w:rPr>
            </w:pPr>
            <w:r w:rsidRPr="003E2D55">
              <w:rPr>
                <w:rFonts w:cs="Arial"/>
                <w:sz w:val="18"/>
                <w:szCs w:val="18"/>
              </w:rPr>
              <w:t>1,007,217</w:t>
            </w:r>
          </w:p>
        </w:tc>
        <w:tc>
          <w:tcPr>
            <w:tcW w:w="1361" w:type="dxa"/>
            <w:tcBorders>
              <w:top w:val="nil"/>
              <w:left w:val="nil"/>
              <w:bottom w:val="nil"/>
              <w:right w:val="nil"/>
            </w:tcBorders>
            <w:shd w:val="clear" w:color="auto" w:fill="auto"/>
            <w:vAlign w:val="bottom"/>
          </w:tcPr>
          <w:p w14:paraId="5FB73EC8" w14:textId="4CD8D00C" w:rsidR="00DC5BE9" w:rsidRPr="003E2D55" w:rsidRDefault="00DC5BE9" w:rsidP="003E2D55">
            <w:pPr>
              <w:spacing w:before="40" w:after="40"/>
              <w:jc w:val="right"/>
              <w:rPr>
                <w:rFonts w:cs="Arial"/>
                <w:sz w:val="18"/>
                <w:szCs w:val="18"/>
              </w:rPr>
            </w:pPr>
            <w:r w:rsidRPr="003E2D55">
              <w:rPr>
                <w:rFonts w:cs="Arial"/>
                <w:sz w:val="18"/>
                <w:szCs w:val="18"/>
              </w:rPr>
              <w:t>1,376,170</w:t>
            </w:r>
          </w:p>
        </w:tc>
        <w:tc>
          <w:tcPr>
            <w:tcW w:w="1418" w:type="dxa"/>
            <w:tcBorders>
              <w:top w:val="nil"/>
              <w:left w:val="nil"/>
              <w:bottom w:val="nil"/>
              <w:right w:val="nil"/>
            </w:tcBorders>
            <w:shd w:val="clear" w:color="auto" w:fill="auto"/>
            <w:vAlign w:val="bottom"/>
          </w:tcPr>
          <w:p w14:paraId="13F06ED4" w14:textId="34B24556" w:rsidR="00DC5BE9" w:rsidRPr="003E2D55" w:rsidRDefault="00DC5BE9" w:rsidP="003E2D55">
            <w:pPr>
              <w:spacing w:before="40" w:after="40"/>
              <w:jc w:val="right"/>
              <w:rPr>
                <w:rFonts w:cs="Arial"/>
                <w:sz w:val="18"/>
                <w:szCs w:val="18"/>
              </w:rPr>
            </w:pPr>
            <w:r w:rsidRPr="003E2D55">
              <w:rPr>
                <w:rFonts w:cs="Arial"/>
                <w:sz w:val="18"/>
                <w:szCs w:val="18"/>
              </w:rPr>
              <w:t>1,031,482</w:t>
            </w:r>
          </w:p>
        </w:tc>
      </w:tr>
      <w:tr w:rsidR="00DC5BE9" w:rsidRPr="003E2D55" w14:paraId="1EB5EBE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E980F01" w14:textId="77777777" w:rsidR="00DC5BE9" w:rsidRPr="003E2D55" w:rsidRDefault="00DC5BE9" w:rsidP="003E2D55">
            <w:pPr>
              <w:spacing w:before="40" w:after="40"/>
              <w:rPr>
                <w:rFonts w:cs="Arial"/>
                <w:sz w:val="18"/>
                <w:szCs w:val="18"/>
              </w:rPr>
            </w:pPr>
            <w:r w:rsidRPr="003E2D55">
              <w:rPr>
                <w:rFonts w:cs="Arial"/>
                <w:sz w:val="18"/>
                <w:szCs w:val="18"/>
              </w:rPr>
              <w:t>East Gippsland S</w:t>
            </w:r>
          </w:p>
        </w:tc>
        <w:tc>
          <w:tcPr>
            <w:tcW w:w="1361" w:type="dxa"/>
            <w:tcBorders>
              <w:top w:val="nil"/>
              <w:left w:val="single" w:sz="18" w:space="0" w:color="5F497A" w:themeColor="accent4" w:themeShade="BF"/>
              <w:bottom w:val="nil"/>
              <w:right w:val="nil"/>
            </w:tcBorders>
            <w:shd w:val="clear" w:color="auto" w:fill="auto"/>
            <w:vAlign w:val="bottom"/>
          </w:tcPr>
          <w:p w14:paraId="3A848A81" w14:textId="361ABA14" w:rsidR="00DC5BE9" w:rsidRPr="003E2D55" w:rsidRDefault="00DC5BE9" w:rsidP="003E2D55">
            <w:pPr>
              <w:spacing w:before="40" w:after="40"/>
              <w:jc w:val="right"/>
              <w:rPr>
                <w:rFonts w:cs="Arial"/>
                <w:sz w:val="18"/>
                <w:szCs w:val="18"/>
              </w:rPr>
            </w:pPr>
            <w:r w:rsidRPr="003E2D55">
              <w:rPr>
                <w:rFonts w:cs="Arial"/>
                <w:sz w:val="18"/>
                <w:szCs w:val="18"/>
              </w:rPr>
              <w:t>3,298,239</w:t>
            </w:r>
          </w:p>
        </w:tc>
        <w:tc>
          <w:tcPr>
            <w:tcW w:w="1361" w:type="dxa"/>
            <w:tcBorders>
              <w:top w:val="nil"/>
              <w:left w:val="nil"/>
              <w:bottom w:val="nil"/>
              <w:right w:val="nil"/>
            </w:tcBorders>
            <w:shd w:val="clear" w:color="auto" w:fill="auto"/>
            <w:vAlign w:val="bottom"/>
          </w:tcPr>
          <w:p w14:paraId="09C25B59" w14:textId="3A614FD5" w:rsidR="00DC5BE9" w:rsidRPr="003E2D55" w:rsidRDefault="00DC5BE9" w:rsidP="003E2D55">
            <w:pPr>
              <w:spacing w:before="40" w:after="40"/>
              <w:jc w:val="right"/>
              <w:rPr>
                <w:rFonts w:cs="Arial"/>
                <w:sz w:val="18"/>
                <w:szCs w:val="18"/>
              </w:rPr>
            </w:pPr>
            <w:r w:rsidRPr="003E2D55">
              <w:rPr>
                <w:rFonts w:cs="Arial"/>
                <w:sz w:val="18"/>
                <w:szCs w:val="18"/>
              </w:rPr>
              <w:t>639,940</w:t>
            </w:r>
          </w:p>
        </w:tc>
        <w:tc>
          <w:tcPr>
            <w:tcW w:w="1361" w:type="dxa"/>
            <w:tcBorders>
              <w:top w:val="nil"/>
              <w:left w:val="nil"/>
              <w:bottom w:val="nil"/>
              <w:right w:val="nil"/>
            </w:tcBorders>
            <w:shd w:val="clear" w:color="auto" w:fill="auto"/>
            <w:vAlign w:val="bottom"/>
          </w:tcPr>
          <w:p w14:paraId="003708B4" w14:textId="42406B8E" w:rsidR="00DC5BE9" w:rsidRPr="003E2D55" w:rsidRDefault="00DC5BE9" w:rsidP="003E2D55">
            <w:pPr>
              <w:spacing w:before="40" w:after="40"/>
              <w:jc w:val="right"/>
              <w:rPr>
                <w:rFonts w:cs="Arial"/>
                <w:sz w:val="18"/>
                <w:szCs w:val="18"/>
              </w:rPr>
            </w:pPr>
            <w:r w:rsidRPr="003E2D55">
              <w:rPr>
                <w:rFonts w:cs="Arial"/>
                <w:sz w:val="18"/>
                <w:szCs w:val="18"/>
              </w:rPr>
              <w:t>821,438</w:t>
            </w:r>
          </w:p>
        </w:tc>
        <w:tc>
          <w:tcPr>
            <w:tcW w:w="1418" w:type="dxa"/>
            <w:tcBorders>
              <w:top w:val="nil"/>
              <w:left w:val="nil"/>
              <w:bottom w:val="nil"/>
              <w:right w:val="nil"/>
            </w:tcBorders>
            <w:shd w:val="clear" w:color="auto" w:fill="auto"/>
            <w:vAlign w:val="bottom"/>
          </w:tcPr>
          <w:p w14:paraId="5A558AAD" w14:textId="3C6B03DF" w:rsidR="00DC5BE9" w:rsidRPr="003E2D55" w:rsidRDefault="00DC5BE9" w:rsidP="003E2D55">
            <w:pPr>
              <w:spacing w:before="40" w:after="40"/>
              <w:jc w:val="right"/>
              <w:rPr>
                <w:rFonts w:cs="Arial"/>
                <w:sz w:val="18"/>
                <w:szCs w:val="18"/>
              </w:rPr>
            </w:pPr>
            <w:r w:rsidRPr="003E2D55">
              <w:rPr>
                <w:rFonts w:cs="Arial"/>
                <w:sz w:val="18"/>
                <w:szCs w:val="18"/>
              </w:rPr>
              <w:t>76,830</w:t>
            </w:r>
          </w:p>
        </w:tc>
      </w:tr>
      <w:tr w:rsidR="00DC5BE9" w:rsidRPr="003E2D55" w14:paraId="1544361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428226F" w14:textId="77777777" w:rsidR="00DC5BE9" w:rsidRPr="003E2D55" w:rsidRDefault="00DC5BE9" w:rsidP="003E2D55">
            <w:pPr>
              <w:spacing w:before="40" w:after="40"/>
              <w:rPr>
                <w:rFonts w:cs="Arial"/>
                <w:sz w:val="18"/>
                <w:szCs w:val="18"/>
              </w:rPr>
            </w:pPr>
            <w:r w:rsidRPr="003E2D55">
              <w:rPr>
                <w:rFonts w:cs="Arial"/>
                <w:sz w:val="18"/>
                <w:szCs w:val="18"/>
              </w:rPr>
              <w:t>Frankston C</w:t>
            </w:r>
          </w:p>
        </w:tc>
        <w:tc>
          <w:tcPr>
            <w:tcW w:w="1361" w:type="dxa"/>
            <w:tcBorders>
              <w:top w:val="nil"/>
              <w:left w:val="single" w:sz="18" w:space="0" w:color="5F497A" w:themeColor="accent4" w:themeShade="BF"/>
              <w:bottom w:val="nil"/>
              <w:right w:val="nil"/>
            </w:tcBorders>
            <w:shd w:val="clear" w:color="auto" w:fill="auto"/>
            <w:vAlign w:val="bottom"/>
          </w:tcPr>
          <w:p w14:paraId="52BDDF87" w14:textId="70806151" w:rsidR="00DC5BE9" w:rsidRPr="003E2D55" w:rsidRDefault="00DC5BE9" w:rsidP="003E2D55">
            <w:pPr>
              <w:spacing w:before="40" w:after="40"/>
              <w:jc w:val="right"/>
              <w:rPr>
                <w:rFonts w:cs="Arial"/>
                <w:sz w:val="18"/>
                <w:szCs w:val="18"/>
              </w:rPr>
            </w:pPr>
            <w:r w:rsidRPr="003E2D55">
              <w:rPr>
                <w:rFonts w:cs="Arial"/>
                <w:sz w:val="18"/>
                <w:szCs w:val="18"/>
              </w:rPr>
              <w:t>2,577,445</w:t>
            </w:r>
          </w:p>
        </w:tc>
        <w:tc>
          <w:tcPr>
            <w:tcW w:w="1361" w:type="dxa"/>
            <w:tcBorders>
              <w:top w:val="nil"/>
              <w:left w:val="nil"/>
              <w:bottom w:val="nil"/>
              <w:right w:val="nil"/>
            </w:tcBorders>
            <w:shd w:val="clear" w:color="auto" w:fill="auto"/>
            <w:vAlign w:val="bottom"/>
          </w:tcPr>
          <w:p w14:paraId="59352AC3" w14:textId="0822626E" w:rsidR="00DC5BE9" w:rsidRPr="003E2D55" w:rsidRDefault="00DC5BE9" w:rsidP="003E2D55">
            <w:pPr>
              <w:spacing w:before="40" w:after="40"/>
              <w:jc w:val="right"/>
              <w:rPr>
                <w:rFonts w:cs="Arial"/>
                <w:sz w:val="18"/>
                <w:szCs w:val="18"/>
              </w:rPr>
            </w:pPr>
            <w:r w:rsidRPr="003E2D55">
              <w:rPr>
                <w:rFonts w:cs="Arial"/>
                <w:sz w:val="18"/>
                <w:szCs w:val="18"/>
              </w:rPr>
              <w:t>700,927</w:t>
            </w:r>
          </w:p>
        </w:tc>
        <w:tc>
          <w:tcPr>
            <w:tcW w:w="1361" w:type="dxa"/>
            <w:tcBorders>
              <w:top w:val="nil"/>
              <w:left w:val="nil"/>
              <w:bottom w:val="nil"/>
              <w:right w:val="nil"/>
            </w:tcBorders>
            <w:shd w:val="clear" w:color="auto" w:fill="auto"/>
            <w:vAlign w:val="bottom"/>
          </w:tcPr>
          <w:p w14:paraId="67B66A2E" w14:textId="2A26CF22" w:rsidR="00DC5BE9" w:rsidRPr="003E2D55" w:rsidRDefault="00DC5BE9" w:rsidP="003E2D55">
            <w:pPr>
              <w:spacing w:before="40" w:after="40"/>
              <w:jc w:val="right"/>
              <w:rPr>
                <w:rFonts w:cs="Arial"/>
                <w:sz w:val="18"/>
                <w:szCs w:val="18"/>
              </w:rPr>
            </w:pPr>
            <w:r w:rsidRPr="003E2D55">
              <w:rPr>
                <w:rFonts w:cs="Arial"/>
                <w:sz w:val="18"/>
                <w:szCs w:val="18"/>
              </w:rPr>
              <w:t>1,251,030</w:t>
            </w:r>
          </w:p>
        </w:tc>
        <w:tc>
          <w:tcPr>
            <w:tcW w:w="1418" w:type="dxa"/>
            <w:tcBorders>
              <w:top w:val="nil"/>
              <w:left w:val="nil"/>
              <w:bottom w:val="nil"/>
              <w:right w:val="nil"/>
            </w:tcBorders>
            <w:shd w:val="clear" w:color="auto" w:fill="auto"/>
            <w:vAlign w:val="bottom"/>
          </w:tcPr>
          <w:p w14:paraId="5C1463C4" w14:textId="2DE51588" w:rsidR="00DC5BE9" w:rsidRPr="003E2D55" w:rsidRDefault="00DC5BE9" w:rsidP="003E2D55">
            <w:pPr>
              <w:spacing w:before="40" w:after="40"/>
              <w:jc w:val="right"/>
              <w:rPr>
                <w:rFonts w:cs="Arial"/>
                <w:sz w:val="18"/>
                <w:szCs w:val="18"/>
              </w:rPr>
            </w:pPr>
            <w:r w:rsidRPr="003E2D55">
              <w:rPr>
                <w:rFonts w:cs="Arial"/>
                <w:sz w:val="18"/>
                <w:szCs w:val="18"/>
              </w:rPr>
              <w:t>1,294,896</w:t>
            </w:r>
          </w:p>
        </w:tc>
      </w:tr>
      <w:tr w:rsidR="00DC5BE9" w:rsidRPr="003E2D55" w14:paraId="5865163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4DCBD31" w14:textId="77777777" w:rsidR="00DC5BE9" w:rsidRPr="003E2D55" w:rsidRDefault="00DC5BE9" w:rsidP="003E2D55">
            <w:pPr>
              <w:spacing w:before="40" w:after="40"/>
              <w:rPr>
                <w:rFonts w:cs="Arial"/>
                <w:sz w:val="18"/>
                <w:szCs w:val="18"/>
              </w:rPr>
            </w:pPr>
            <w:r w:rsidRPr="003E2D55">
              <w:rPr>
                <w:rFonts w:cs="Arial"/>
                <w:sz w:val="18"/>
                <w:szCs w:val="18"/>
              </w:rPr>
              <w:t>Gannawarra S</w:t>
            </w:r>
          </w:p>
        </w:tc>
        <w:tc>
          <w:tcPr>
            <w:tcW w:w="1361" w:type="dxa"/>
            <w:tcBorders>
              <w:top w:val="nil"/>
              <w:left w:val="single" w:sz="18" w:space="0" w:color="5F497A" w:themeColor="accent4" w:themeShade="BF"/>
              <w:bottom w:val="nil"/>
              <w:right w:val="nil"/>
            </w:tcBorders>
            <w:shd w:val="clear" w:color="auto" w:fill="auto"/>
            <w:vAlign w:val="bottom"/>
          </w:tcPr>
          <w:p w14:paraId="5352E5A7" w14:textId="4877D580" w:rsidR="00DC5BE9" w:rsidRPr="003E2D55" w:rsidRDefault="00DC5BE9" w:rsidP="003E2D55">
            <w:pPr>
              <w:spacing w:before="40" w:after="40"/>
              <w:jc w:val="right"/>
              <w:rPr>
                <w:rFonts w:cs="Arial"/>
                <w:sz w:val="18"/>
                <w:szCs w:val="18"/>
              </w:rPr>
            </w:pPr>
            <w:r w:rsidRPr="003E2D55">
              <w:rPr>
                <w:rFonts w:cs="Arial"/>
                <w:sz w:val="18"/>
                <w:szCs w:val="18"/>
              </w:rPr>
              <w:t>641,773</w:t>
            </w:r>
          </w:p>
        </w:tc>
        <w:tc>
          <w:tcPr>
            <w:tcW w:w="1361" w:type="dxa"/>
            <w:tcBorders>
              <w:top w:val="nil"/>
              <w:left w:val="nil"/>
              <w:bottom w:val="nil"/>
              <w:right w:val="nil"/>
            </w:tcBorders>
            <w:shd w:val="clear" w:color="auto" w:fill="auto"/>
            <w:vAlign w:val="bottom"/>
          </w:tcPr>
          <w:p w14:paraId="2E412464" w14:textId="38467A33" w:rsidR="00DC5BE9" w:rsidRPr="003E2D55" w:rsidRDefault="00DC5BE9" w:rsidP="003E2D55">
            <w:pPr>
              <w:spacing w:before="40" w:after="40"/>
              <w:jc w:val="right"/>
              <w:rPr>
                <w:rFonts w:cs="Arial"/>
                <w:sz w:val="18"/>
                <w:szCs w:val="18"/>
              </w:rPr>
            </w:pPr>
            <w:r w:rsidRPr="003E2D55">
              <w:rPr>
                <w:rFonts w:cs="Arial"/>
                <w:sz w:val="18"/>
                <w:szCs w:val="18"/>
              </w:rPr>
              <w:t>230,961</w:t>
            </w:r>
          </w:p>
        </w:tc>
        <w:tc>
          <w:tcPr>
            <w:tcW w:w="1361" w:type="dxa"/>
            <w:tcBorders>
              <w:top w:val="nil"/>
              <w:left w:val="nil"/>
              <w:bottom w:val="nil"/>
              <w:right w:val="nil"/>
            </w:tcBorders>
            <w:shd w:val="clear" w:color="auto" w:fill="auto"/>
            <w:vAlign w:val="bottom"/>
          </w:tcPr>
          <w:p w14:paraId="141DD950" w14:textId="02CAC32F" w:rsidR="00DC5BE9" w:rsidRPr="003E2D55" w:rsidRDefault="00DC5BE9" w:rsidP="003E2D55">
            <w:pPr>
              <w:spacing w:before="40" w:after="40"/>
              <w:jc w:val="right"/>
              <w:rPr>
                <w:rFonts w:cs="Arial"/>
                <w:sz w:val="18"/>
                <w:szCs w:val="18"/>
              </w:rPr>
            </w:pPr>
            <w:r w:rsidRPr="003E2D55">
              <w:rPr>
                <w:rFonts w:cs="Arial"/>
                <w:sz w:val="18"/>
                <w:szCs w:val="18"/>
              </w:rPr>
              <w:t>83,364</w:t>
            </w:r>
          </w:p>
        </w:tc>
        <w:tc>
          <w:tcPr>
            <w:tcW w:w="1418" w:type="dxa"/>
            <w:tcBorders>
              <w:top w:val="nil"/>
              <w:left w:val="nil"/>
              <w:bottom w:val="nil"/>
              <w:right w:val="nil"/>
            </w:tcBorders>
            <w:shd w:val="clear" w:color="auto" w:fill="auto"/>
            <w:vAlign w:val="bottom"/>
          </w:tcPr>
          <w:p w14:paraId="58268264" w14:textId="37AE8E95" w:rsidR="00DC5BE9" w:rsidRPr="003E2D55" w:rsidRDefault="00DC5BE9" w:rsidP="003E2D55">
            <w:pPr>
              <w:spacing w:before="40" w:after="40"/>
              <w:jc w:val="right"/>
              <w:rPr>
                <w:rFonts w:cs="Arial"/>
                <w:sz w:val="18"/>
                <w:szCs w:val="18"/>
              </w:rPr>
            </w:pPr>
            <w:r w:rsidRPr="003E2D55">
              <w:rPr>
                <w:rFonts w:cs="Arial"/>
                <w:sz w:val="18"/>
                <w:szCs w:val="18"/>
              </w:rPr>
              <w:t>25,272</w:t>
            </w:r>
          </w:p>
        </w:tc>
      </w:tr>
      <w:tr w:rsidR="00DC5BE9" w:rsidRPr="003E2D55" w14:paraId="06BC58F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912E8D1" w14:textId="77777777" w:rsidR="00DC5BE9" w:rsidRPr="003E2D55" w:rsidRDefault="00DC5BE9" w:rsidP="003E2D55">
            <w:pPr>
              <w:spacing w:before="40" w:after="40"/>
              <w:rPr>
                <w:rFonts w:cs="Arial"/>
                <w:sz w:val="18"/>
                <w:szCs w:val="18"/>
              </w:rPr>
            </w:pPr>
            <w:r w:rsidRPr="003E2D55">
              <w:rPr>
                <w:rFonts w:cs="Arial"/>
                <w:sz w:val="18"/>
                <w:szCs w:val="18"/>
              </w:rPr>
              <w:t>Glen Eira C</w:t>
            </w:r>
          </w:p>
        </w:tc>
        <w:tc>
          <w:tcPr>
            <w:tcW w:w="1361" w:type="dxa"/>
            <w:tcBorders>
              <w:top w:val="nil"/>
              <w:left w:val="single" w:sz="18" w:space="0" w:color="5F497A" w:themeColor="accent4" w:themeShade="BF"/>
              <w:bottom w:val="nil"/>
              <w:right w:val="nil"/>
            </w:tcBorders>
            <w:shd w:val="clear" w:color="auto" w:fill="auto"/>
            <w:vAlign w:val="bottom"/>
          </w:tcPr>
          <w:p w14:paraId="257A7EC8" w14:textId="3EA0BFED" w:rsidR="00DC5BE9" w:rsidRPr="003E2D55" w:rsidRDefault="00DC5BE9" w:rsidP="003E2D55">
            <w:pPr>
              <w:spacing w:before="40" w:after="40"/>
              <w:jc w:val="right"/>
              <w:rPr>
                <w:rFonts w:cs="Arial"/>
                <w:sz w:val="18"/>
                <w:szCs w:val="18"/>
              </w:rPr>
            </w:pPr>
            <w:r w:rsidRPr="003E2D55">
              <w:rPr>
                <w:rFonts w:cs="Arial"/>
                <w:sz w:val="18"/>
                <w:szCs w:val="18"/>
              </w:rPr>
              <w:t>1,547,393</w:t>
            </w:r>
          </w:p>
        </w:tc>
        <w:tc>
          <w:tcPr>
            <w:tcW w:w="1361" w:type="dxa"/>
            <w:tcBorders>
              <w:top w:val="nil"/>
              <w:left w:val="nil"/>
              <w:bottom w:val="nil"/>
              <w:right w:val="nil"/>
            </w:tcBorders>
            <w:shd w:val="clear" w:color="auto" w:fill="auto"/>
            <w:vAlign w:val="bottom"/>
          </w:tcPr>
          <w:p w14:paraId="675E84DD" w14:textId="37EFB0C1" w:rsidR="00DC5BE9" w:rsidRPr="003E2D55" w:rsidRDefault="00DC5BE9" w:rsidP="003E2D55">
            <w:pPr>
              <w:spacing w:before="40" w:after="40"/>
              <w:jc w:val="right"/>
              <w:rPr>
                <w:rFonts w:cs="Arial"/>
                <w:sz w:val="18"/>
                <w:szCs w:val="18"/>
              </w:rPr>
            </w:pPr>
            <w:r w:rsidRPr="003E2D55">
              <w:rPr>
                <w:rFonts w:cs="Arial"/>
                <w:sz w:val="18"/>
                <w:szCs w:val="18"/>
              </w:rPr>
              <w:t>876,482</w:t>
            </w:r>
          </w:p>
        </w:tc>
        <w:tc>
          <w:tcPr>
            <w:tcW w:w="1361" w:type="dxa"/>
            <w:tcBorders>
              <w:top w:val="nil"/>
              <w:left w:val="nil"/>
              <w:bottom w:val="nil"/>
              <w:right w:val="nil"/>
            </w:tcBorders>
            <w:shd w:val="clear" w:color="auto" w:fill="auto"/>
            <w:vAlign w:val="bottom"/>
          </w:tcPr>
          <w:p w14:paraId="301BF3B1" w14:textId="015CA4CC" w:rsidR="00DC5BE9" w:rsidRPr="003E2D55" w:rsidRDefault="00DC5BE9" w:rsidP="003E2D55">
            <w:pPr>
              <w:spacing w:before="40" w:after="40"/>
              <w:jc w:val="right"/>
              <w:rPr>
                <w:rFonts w:cs="Arial"/>
                <w:sz w:val="18"/>
                <w:szCs w:val="18"/>
              </w:rPr>
            </w:pPr>
            <w:r w:rsidRPr="003E2D55">
              <w:rPr>
                <w:rFonts w:cs="Arial"/>
                <w:sz w:val="18"/>
                <w:szCs w:val="18"/>
              </w:rPr>
              <w:t>734,184</w:t>
            </w:r>
          </w:p>
        </w:tc>
        <w:tc>
          <w:tcPr>
            <w:tcW w:w="1418" w:type="dxa"/>
            <w:tcBorders>
              <w:top w:val="nil"/>
              <w:left w:val="nil"/>
              <w:bottom w:val="nil"/>
              <w:right w:val="nil"/>
            </w:tcBorders>
            <w:shd w:val="clear" w:color="auto" w:fill="auto"/>
            <w:vAlign w:val="bottom"/>
          </w:tcPr>
          <w:p w14:paraId="3B60AC3C" w14:textId="5A2AE0ED" w:rsidR="00DC5BE9" w:rsidRPr="003E2D55" w:rsidRDefault="00DC5BE9" w:rsidP="003E2D55">
            <w:pPr>
              <w:spacing w:before="40" w:after="40"/>
              <w:jc w:val="right"/>
              <w:rPr>
                <w:rFonts w:cs="Arial"/>
                <w:sz w:val="18"/>
                <w:szCs w:val="18"/>
              </w:rPr>
            </w:pPr>
            <w:r w:rsidRPr="003E2D55">
              <w:rPr>
                <w:rFonts w:cs="Arial"/>
                <w:sz w:val="18"/>
                <w:szCs w:val="18"/>
              </w:rPr>
              <w:t>780,816</w:t>
            </w:r>
          </w:p>
        </w:tc>
      </w:tr>
      <w:tr w:rsidR="00DC5BE9" w:rsidRPr="003E2D55" w14:paraId="110CEA9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2AD7CB5" w14:textId="77777777" w:rsidR="00DC5BE9" w:rsidRPr="003E2D55" w:rsidRDefault="00DC5BE9" w:rsidP="003E2D55">
            <w:pPr>
              <w:spacing w:before="40" w:after="40"/>
              <w:rPr>
                <w:rFonts w:cs="Arial"/>
                <w:sz w:val="18"/>
                <w:szCs w:val="18"/>
              </w:rPr>
            </w:pPr>
            <w:r w:rsidRPr="003E2D55">
              <w:rPr>
                <w:rFonts w:cs="Arial"/>
                <w:sz w:val="18"/>
                <w:szCs w:val="18"/>
              </w:rPr>
              <w:t>Glenelg S</w:t>
            </w:r>
          </w:p>
        </w:tc>
        <w:tc>
          <w:tcPr>
            <w:tcW w:w="1361" w:type="dxa"/>
            <w:tcBorders>
              <w:top w:val="nil"/>
              <w:left w:val="single" w:sz="18" w:space="0" w:color="5F497A" w:themeColor="accent4" w:themeShade="BF"/>
              <w:bottom w:val="nil"/>
              <w:right w:val="nil"/>
            </w:tcBorders>
            <w:shd w:val="clear" w:color="auto" w:fill="auto"/>
            <w:vAlign w:val="bottom"/>
          </w:tcPr>
          <w:p w14:paraId="5495ED17" w14:textId="3A03D47E" w:rsidR="00DC5BE9" w:rsidRPr="003E2D55" w:rsidRDefault="00DC5BE9" w:rsidP="003E2D55">
            <w:pPr>
              <w:spacing w:before="40" w:after="40"/>
              <w:jc w:val="right"/>
              <w:rPr>
                <w:rFonts w:cs="Arial"/>
                <w:sz w:val="18"/>
                <w:szCs w:val="18"/>
              </w:rPr>
            </w:pPr>
            <w:r w:rsidRPr="003E2D55">
              <w:rPr>
                <w:rFonts w:cs="Arial"/>
                <w:sz w:val="18"/>
                <w:szCs w:val="18"/>
              </w:rPr>
              <w:t>1,162,923</w:t>
            </w:r>
          </w:p>
        </w:tc>
        <w:tc>
          <w:tcPr>
            <w:tcW w:w="1361" w:type="dxa"/>
            <w:tcBorders>
              <w:top w:val="nil"/>
              <w:left w:val="nil"/>
              <w:bottom w:val="nil"/>
              <w:right w:val="nil"/>
            </w:tcBorders>
            <w:shd w:val="clear" w:color="auto" w:fill="auto"/>
            <w:vAlign w:val="bottom"/>
          </w:tcPr>
          <w:p w14:paraId="16B5742F" w14:textId="3FFBB666" w:rsidR="00DC5BE9" w:rsidRPr="003E2D55" w:rsidRDefault="00DC5BE9" w:rsidP="003E2D55">
            <w:pPr>
              <w:spacing w:before="40" w:after="40"/>
              <w:jc w:val="right"/>
              <w:rPr>
                <w:rFonts w:cs="Arial"/>
                <w:sz w:val="18"/>
                <w:szCs w:val="18"/>
              </w:rPr>
            </w:pPr>
            <w:r w:rsidRPr="003E2D55">
              <w:rPr>
                <w:rFonts w:cs="Arial"/>
                <w:sz w:val="18"/>
                <w:szCs w:val="18"/>
              </w:rPr>
              <w:t>205,370</w:t>
            </w:r>
          </w:p>
        </w:tc>
        <w:tc>
          <w:tcPr>
            <w:tcW w:w="1361" w:type="dxa"/>
            <w:tcBorders>
              <w:top w:val="nil"/>
              <w:left w:val="nil"/>
              <w:bottom w:val="nil"/>
              <w:right w:val="nil"/>
            </w:tcBorders>
            <w:shd w:val="clear" w:color="auto" w:fill="auto"/>
            <w:vAlign w:val="bottom"/>
          </w:tcPr>
          <w:p w14:paraId="4A36FDF9" w14:textId="36912B9D" w:rsidR="00DC5BE9" w:rsidRPr="003E2D55" w:rsidRDefault="00DC5BE9" w:rsidP="003E2D55">
            <w:pPr>
              <w:spacing w:before="40" w:after="40"/>
              <w:jc w:val="right"/>
              <w:rPr>
                <w:rFonts w:cs="Arial"/>
                <w:sz w:val="18"/>
                <w:szCs w:val="18"/>
              </w:rPr>
            </w:pPr>
            <w:r w:rsidRPr="003E2D55">
              <w:rPr>
                <w:rFonts w:cs="Arial"/>
                <w:sz w:val="18"/>
                <w:szCs w:val="18"/>
              </w:rPr>
              <w:t>436,400</w:t>
            </w:r>
          </w:p>
        </w:tc>
        <w:tc>
          <w:tcPr>
            <w:tcW w:w="1418" w:type="dxa"/>
            <w:tcBorders>
              <w:top w:val="nil"/>
              <w:left w:val="nil"/>
              <w:bottom w:val="nil"/>
              <w:right w:val="nil"/>
            </w:tcBorders>
            <w:shd w:val="clear" w:color="auto" w:fill="auto"/>
            <w:vAlign w:val="bottom"/>
          </w:tcPr>
          <w:p w14:paraId="3ABA1D90" w14:textId="7A430797" w:rsidR="00DC5BE9" w:rsidRPr="003E2D55" w:rsidRDefault="00DC5BE9" w:rsidP="003E2D55">
            <w:pPr>
              <w:spacing w:before="40" w:after="40"/>
              <w:jc w:val="right"/>
              <w:rPr>
                <w:rFonts w:cs="Arial"/>
                <w:sz w:val="18"/>
                <w:szCs w:val="18"/>
              </w:rPr>
            </w:pPr>
            <w:r w:rsidRPr="003E2D55">
              <w:rPr>
                <w:rFonts w:cs="Arial"/>
                <w:sz w:val="18"/>
                <w:szCs w:val="18"/>
              </w:rPr>
              <w:t>317,233</w:t>
            </w:r>
          </w:p>
        </w:tc>
      </w:tr>
      <w:tr w:rsidR="00DC5BE9" w:rsidRPr="003E2D55" w14:paraId="148BC11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78F7A91" w14:textId="77777777" w:rsidR="00DC5BE9" w:rsidRPr="003E2D55" w:rsidRDefault="00DC5BE9" w:rsidP="003E2D55">
            <w:pPr>
              <w:spacing w:before="40" w:after="40"/>
              <w:rPr>
                <w:rFonts w:cs="Arial"/>
                <w:sz w:val="18"/>
                <w:szCs w:val="18"/>
              </w:rPr>
            </w:pPr>
            <w:r w:rsidRPr="003E2D55">
              <w:rPr>
                <w:rFonts w:cs="Arial"/>
                <w:sz w:val="18"/>
                <w:szCs w:val="18"/>
              </w:rPr>
              <w:t>Golden Plains S</w:t>
            </w:r>
          </w:p>
        </w:tc>
        <w:tc>
          <w:tcPr>
            <w:tcW w:w="1361" w:type="dxa"/>
            <w:tcBorders>
              <w:top w:val="nil"/>
              <w:left w:val="single" w:sz="18" w:space="0" w:color="5F497A" w:themeColor="accent4" w:themeShade="BF"/>
              <w:bottom w:val="nil"/>
              <w:right w:val="nil"/>
            </w:tcBorders>
            <w:shd w:val="clear" w:color="auto" w:fill="auto"/>
            <w:vAlign w:val="bottom"/>
          </w:tcPr>
          <w:p w14:paraId="165DE7DE" w14:textId="788718B9" w:rsidR="00DC5BE9" w:rsidRPr="003E2D55" w:rsidRDefault="00DC5BE9" w:rsidP="003E2D55">
            <w:pPr>
              <w:spacing w:before="40" w:after="40"/>
              <w:jc w:val="right"/>
              <w:rPr>
                <w:rFonts w:cs="Arial"/>
                <w:sz w:val="18"/>
                <w:szCs w:val="18"/>
              </w:rPr>
            </w:pPr>
            <w:r w:rsidRPr="003E2D55">
              <w:rPr>
                <w:rFonts w:cs="Arial"/>
                <w:sz w:val="18"/>
                <w:szCs w:val="18"/>
              </w:rPr>
              <w:t>1,840,817</w:t>
            </w:r>
          </w:p>
        </w:tc>
        <w:tc>
          <w:tcPr>
            <w:tcW w:w="1361" w:type="dxa"/>
            <w:tcBorders>
              <w:top w:val="nil"/>
              <w:left w:val="nil"/>
              <w:bottom w:val="nil"/>
              <w:right w:val="nil"/>
            </w:tcBorders>
            <w:shd w:val="clear" w:color="auto" w:fill="auto"/>
            <w:vAlign w:val="bottom"/>
          </w:tcPr>
          <w:p w14:paraId="2B94E54C" w14:textId="71CC6E8F" w:rsidR="00DC5BE9" w:rsidRPr="003E2D55" w:rsidRDefault="00DC5BE9" w:rsidP="003E2D55">
            <w:pPr>
              <w:spacing w:before="40" w:after="40"/>
              <w:jc w:val="right"/>
              <w:rPr>
                <w:rFonts w:cs="Arial"/>
                <w:sz w:val="18"/>
                <w:szCs w:val="18"/>
              </w:rPr>
            </w:pPr>
            <w:r w:rsidRPr="003E2D55">
              <w:rPr>
                <w:rFonts w:cs="Arial"/>
                <w:sz w:val="18"/>
                <w:szCs w:val="18"/>
              </w:rPr>
              <w:t>99,670</w:t>
            </w:r>
          </w:p>
        </w:tc>
        <w:tc>
          <w:tcPr>
            <w:tcW w:w="1361" w:type="dxa"/>
            <w:tcBorders>
              <w:top w:val="nil"/>
              <w:left w:val="nil"/>
              <w:bottom w:val="nil"/>
              <w:right w:val="nil"/>
            </w:tcBorders>
            <w:shd w:val="clear" w:color="auto" w:fill="auto"/>
            <w:vAlign w:val="bottom"/>
          </w:tcPr>
          <w:p w14:paraId="0A2D708D" w14:textId="4ABA5FCE" w:rsidR="00DC5BE9" w:rsidRPr="003E2D55" w:rsidRDefault="00DC5BE9" w:rsidP="003E2D55">
            <w:pPr>
              <w:spacing w:before="40" w:after="40"/>
              <w:jc w:val="right"/>
              <w:rPr>
                <w:rFonts w:cs="Arial"/>
                <w:sz w:val="18"/>
                <w:szCs w:val="18"/>
              </w:rPr>
            </w:pPr>
            <w:r w:rsidRPr="003E2D55">
              <w:rPr>
                <w:rFonts w:cs="Arial"/>
                <w:sz w:val="18"/>
                <w:szCs w:val="18"/>
              </w:rPr>
              <w:t>61,273</w:t>
            </w:r>
          </w:p>
        </w:tc>
        <w:tc>
          <w:tcPr>
            <w:tcW w:w="1418" w:type="dxa"/>
            <w:tcBorders>
              <w:top w:val="nil"/>
              <w:left w:val="nil"/>
              <w:bottom w:val="nil"/>
              <w:right w:val="nil"/>
            </w:tcBorders>
            <w:shd w:val="clear" w:color="auto" w:fill="auto"/>
            <w:vAlign w:val="bottom"/>
          </w:tcPr>
          <w:p w14:paraId="0C437FD5" w14:textId="6AFA456A"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26F2651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07C0186" w14:textId="77777777" w:rsidR="00DC5BE9" w:rsidRPr="003E2D55" w:rsidRDefault="00DC5BE9" w:rsidP="003E2D55">
            <w:pPr>
              <w:spacing w:before="40" w:after="40"/>
              <w:rPr>
                <w:rFonts w:cs="Arial"/>
                <w:sz w:val="18"/>
                <w:szCs w:val="18"/>
              </w:rPr>
            </w:pPr>
            <w:r w:rsidRPr="003E2D55">
              <w:rPr>
                <w:rFonts w:cs="Arial"/>
                <w:sz w:val="18"/>
                <w:szCs w:val="18"/>
              </w:rPr>
              <w:t>Greater Bendigo C</w:t>
            </w:r>
          </w:p>
        </w:tc>
        <w:tc>
          <w:tcPr>
            <w:tcW w:w="1361" w:type="dxa"/>
            <w:tcBorders>
              <w:top w:val="nil"/>
              <w:left w:val="single" w:sz="18" w:space="0" w:color="5F497A" w:themeColor="accent4" w:themeShade="BF"/>
              <w:bottom w:val="nil"/>
              <w:right w:val="nil"/>
            </w:tcBorders>
            <w:shd w:val="clear" w:color="auto" w:fill="auto"/>
            <w:vAlign w:val="bottom"/>
          </w:tcPr>
          <w:p w14:paraId="40534DEB" w14:textId="1E45DCB6" w:rsidR="00DC5BE9" w:rsidRPr="003E2D55" w:rsidRDefault="00DC5BE9" w:rsidP="003E2D55">
            <w:pPr>
              <w:spacing w:before="40" w:after="40"/>
              <w:jc w:val="right"/>
              <w:rPr>
                <w:rFonts w:cs="Arial"/>
                <w:sz w:val="18"/>
                <w:szCs w:val="18"/>
              </w:rPr>
            </w:pPr>
            <w:r w:rsidRPr="003E2D55">
              <w:rPr>
                <w:rFonts w:cs="Arial"/>
                <w:sz w:val="18"/>
                <w:szCs w:val="18"/>
              </w:rPr>
              <w:t>4,137,639</w:t>
            </w:r>
          </w:p>
        </w:tc>
        <w:tc>
          <w:tcPr>
            <w:tcW w:w="1361" w:type="dxa"/>
            <w:tcBorders>
              <w:top w:val="nil"/>
              <w:left w:val="nil"/>
              <w:bottom w:val="nil"/>
              <w:right w:val="nil"/>
            </w:tcBorders>
            <w:shd w:val="clear" w:color="auto" w:fill="auto"/>
            <w:vAlign w:val="bottom"/>
          </w:tcPr>
          <w:p w14:paraId="56E0FAD9" w14:textId="7930E67D" w:rsidR="00DC5BE9" w:rsidRPr="003E2D55" w:rsidRDefault="00DC5BE9" w:rsidP="003E2D55">
            <w:pPr>
              <w:spacing w:before="40" w:after="40"/>
              <w:jc w:val="right"/>
              <w:rPr>
                <w:rFonts w:cs="Arial"/>
                <w:sz w:val="18"/>
                <w:szCs w:val="18"/>
              </w:rPr>
            </w:pPr>
            <w:r w:rsidRPr="003E2D55">
              <w:rPr>
                <w:rFonts w:cs="Arial"/>
                <w:sz w:val="18"/>
                <w:szCs w:val="18"/>
              </w:rPr>
              <w:t>811,247</w:t>
            </w:r>
          </w:p>
        </w:tc>
        <w:tc>
          <w:tcPr>
            <w:tcW w:w="1361" w:type="dxa"/>
            <w:tcBorders>
              <w:top w:val="nil"/>
              <w:left w:val="nil"/>
              <w:bottom w:val="nil"/>
              <w:right w:val="nil"/>
            </w:tcBorders>
            <w:shd w:val="clear" w:color="auto" w:fill="auto"/>
            <w:vAlign w:val="bottom"/>
          </w:tcPr>
          <w:p w14:paraId="100445CE" w14:textId="64074856" w:rsidR="00DC5BE9" w:rsidRPr="003E2D55" w:rsidRDefault="00DC5BE9" w:rsidP="003E2D55">
            <w:pPr>
              <w:spacing w:before="40" w:after="40"/>
              <w:jc w:val="right"/>
              <w:rPr>
                <w:rFonts w:cs="Arial"/>
                <w:sz w:val="18"/>
                <w:szCs w:val="18"/>
              </w:rPr>
            </w:pPr>
            <w:r w:rsidRPr="003E2D55">
              <w:rPr>
                <w:rFonts w:cs="Arial"/>
                <w:sz w:val="18"/>
                <w:szCs w:val="18"/>
              </w:rPr>
              <w:t>2,135,676</w:t>
            </w:r>
          </w:p>
        </w:tc>
        <w:tc>
          <w:tcPr>
            <w:tcW w:w="1418" w:type="dxa"/>
            <w:tcBorders>
              <w:top w:val="nil"/>
              <w:left w:val="nil"/>
              <w:bottom w:val="nil"/>
              <w:right w:val="nil"/>
            </w:tcBorders>
            <w:shd w:val="clear" w:color="auto" w:fill="auto"/>
            <w:vAlign w:val="bottom"/>
          </w:tcPr>
          <w:p w14:paraId="0EF6A3B1" w14:textId="066F000F" w:rsidR="00DC5BE9" w:rsidRPr="003E2D55" w:rsidRDefault="00DC5BE9" w:rsidP="003E2D55">
            <w:pPr>
              <w:spacing w:before="40" w:after="40"/>
              <w:jc w:val="right"/>
              <w:rPr>
                <w:rFonts w:cs="Arial"/>
                <w:sz w:val="18"/>
                <w:szCs w:val="18"/>
              </w:rPr>
            </w:pPr>
            <w:r w:rsidRPr="003E2D55">
              <w:rPr>
                <w:rFonts w:cs="Arial"/>
                <w:sz w:val="18"/>
                <w:szCs w:val="18"/>
              </w:rPr>
              <w:t>794,189</w:t>
            </w:r>
          </w:p>
        </w:tc>
      </w:tr>
      <w:tr w:rsidR="00DC5BE9" w:rsidRPr="003E2D55" w14:paraId="1FDFA39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C1CE824" w14:textId="77777777" w:rsidR="00DC5BE9" w:rsidRPr="003E2D55" w:rsidRDefault="00DC5BE9" w:rsidP="003E2D55">
            <w:pPr>
              <w:spacing w:before="40" w:after="40"/>
              <w:rPr>
                <w:rFonts w:cs="Arial"/>
                <w:sz w:val="18"/>
                <w:szCs w:val="18"/>
              </w:rPr>
            </w:pPr>
            <w:r w:rsidRPr="003E2D55">
              <w:rPr>
                <w:rFonts w:cs="Arial"/>
                <w:sz w:val="18"/>
                <w:szCs w:val="18"/>
              </w:rPr>
              <w:t>Greater Dandenong C</w:t>
            </w:r>
          </w:p>
        </w:tc>
        <w:tc>
          <w:tcPr>
            <w:tcW w:w="1361" w:type="dxa"/>
            <w:tcBorders>
              <w:top w:val="nil"/>
              <w:left w:val="single" w:sz="18" w:space="0" w:color="5F497A" w:themeColor="accent4" w:themeShade="BF"/>
              <w:bottom w:val="nil"/>
              <w:right w:val="nil"/>
            </w:tcBorders>
            <w:shd w:val="clear" w:color="auto" w:fill="auto"/>
            <w:vAlign w:val="bottom"/>
          </w:tcPr>
          <w:p w14:paraId="3C027D2D" w14:textId="6B61F9BE" w:rsidR="00DC5BE9" w:rsidRPr="003E2D55" w:rsidRDefault="00DC5BE9" w:rsidP="003E2D55">
            <w:pPr>
              <w:spacing w:before="40" w:after="40"/>
              <w:jc w:val="right"/>
              <w:rPr>
                <w:rFonts w:cs="Arial"/>
                <w:sz w:val="18"/>
                <w:szCs w:val="18"/>
              </w:rPr>
            </w:pPr>
            <w:r w:rsidRPr="003E2D55">
              <w:rPr>
                <w:rFonts w:cs="Arial"/>
                <w:sz w:val="18"/>
                <w:szCs w:val="18"/>
              </w:rPr>
              <w:t>1,842,375</w:t>
            </w:r>
          </w:p>
        </w:tc>
        <w:tc>
          <w:tcPr>
            <w:tcW w:w="1361" w:type="dxa"/>
            <w:tcBorders>
              <w:top w:val="nil"/>
              <w:left w:val="nil"/>
              <w:bottom w:val="nil"/>
              <w:right w:val="nil"/>
            </w:tcBorders>
            <w:shd w:val="clear" w:color="auto" w:fill="auto"/>
            <w:vAlign w:val="bottom"/>
          </w:tcPr>
          <w:p w14:paraId="468907DB" w14:textId="28B6D401" w:rsidR="00DC5BE9" w:rsidRPr="003E2D55" w:rsidRDefault="00DC5BE9" w:rsidP="003E2D55">
            <w:pPr>
              <w:spacing w:before="40" w:after="40"/>
              <w:jc w:val="right"/>
              <w:rPr>
                <w:rFonts w:cs="Arial"/>
                <w:sz w:val="18"/>
                <w:szCs w:val="18"/>
              </w:rPr>
            </w:pPr>
            <w:r w:rsidRPr="003E2D55">
              <w:rPr>
                <w:rFonts w:cs="Arial"/>
                <w:sz w:val="18"/>
                <w:szCs w:val="18"/>
              </w:rPr>
              <w:t>1,539,875</w:t>
            </w:r>
          </w:p>
        </w:tc>
        <w:tc>
          <w:tcPr>
            <w:tcW w:w="1361" w:type="dxa"/>
            <w:tcBorders>
              <w:top w:val="nil"/>
              <w:left w:val="nil"/>
              <w:bottom w:val="nil"/>
              <w:right w:val="nil"/>
            </w:tcBorders>
            <w:shd w:val="clear" w:color="auto" w:fill="auto"/>
            <w:vAlign w:val="bottom"/>
          </w:tcPr>
          <w:p w14:paraId="11FF349A" w14:textId="08EFE616" w:rsidR="00DC5BE9" w:rsidRPr="003E2D55" w:rsidRDefault="00DC5BE9" w:rsidP="003E2D55">
            <w:pPr>
              <w:spacing w:before="40" w:after="40"/>
              <w:jc w:val="right"/>
              <w:rPr>
                <w:rFonts w:cs="Arial"/>
                <w:sz w:val="18"/>
                <w:szCs w:val="18"/>
              </w:rPr>
            </w:pPr>
            <w:r w:rsidRPr="003E2D55">
              <w:rPr>
                <w:rFonts w:cs="Arial"/>
                <w:sz w:val="18"/>
                <w:szCs w:val="18"/>
              </w:rPr>
              <w:t>3,018,850</w:t>
            </w:r>
          </w:p>
        </w:tc>
        <w:tc>
          <w:tcPr>
            <w:tcW w:w="1418" w:type="dxa"/>
            <w:tcBorders>
              <w:top w:val="nil"/>
              <w:left w:val="nil"/>
              <w:bottom w:val="nil"/>
              <w:right w:val="nil"/>
            </w:tcBorders>
            <w:shd w:val="clear" w:color="auto" w:fill="auto"/>
            <w:vAlign w:val="bottom"/>
          </w:tcPr>
          <w:p w14:paraId="0691BBD6" w14:textId="765A848C" w:rsidR="00DC5BE9" w:rsidRPr="003E2D55" w:rsidRDefault="00DC5BE9" w:rsidP="003E2D55">
            <w:pPr>
              <w:spacing w:before="40" w:after="40"/>
              <w:jc w:val="right"/>
              <w:rPr>
                <w:rFonts w:cs="Arial"/>
                <w:sz w:val="18"/>
                <w:szCs w:val="18"/>
              </w:rPr>
            </w:pPr>
            <w:r w:rsidRPr="003E2D55">
              <w:rPr>
                <w:rFonts w:cs="Arial"/>
                <w:sz w:val="18"/>
                <w:szCs w:val="18"/>
              </w:rPr>
              <w:t>1,327,669</w:t>
            </w:r>
          </w:p>
        </w:tc>
      </w:tr>
      <w:tr w:rsidR="00DC5BE9" w:rsidRPr="003E2D55" w14:paraId="6CBF533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19376B9" w14:textId="77777777" w:rsidR="00DC5BE9" w:rsidRPr="003E2D55" w:rsidRDefault="00DC5BE9" w:rsidP="003E2D55">
            <w:pPr>
              <w:spacing w:before="40" w:after="40"/>
              <w:rPr>
                <w:rFonts w:cs="Arial"/>
                <w:sz w:val="18"/>
                <w:szCs w:val="18"/>
              </w:rPr>
            </w:pPr>
            <w:r w:rsidRPr="003E2D55">
              <w:rPr>
                <w:rFonts w:cs="Arial"/>
                <w:sz w:val="18"/>
                <w:szCs w:val="18"/>
              </w:rPr>
              <w:t>Greater Geelong C</w:t>
            </w:r>
          </w:p>
        </w:tc>
        <w:tc>
          <w:tcPr>
            <w:tcW w:w="1361" w:type="dxa"/>
            <w:tcBorders>
              <w:top w:val="nil"/>
              <w:left w:val="single" w:sz="18" w:space="0" w:color="5F497A" w:themeColor="accent4" w:themeShade="BF"/>
              <w:bottom w:val="nil"/>
              <w:right w:val="nil"/>
            </w:tcBorders>
            <w:shd w:val="clear" w:color="auto" w:fill="auto"/>
            <w:vAlign w:val="bottom"/>
          </w:tcPr>
          <w:p w14:paraId="713E911D" w14:textId="099BF5A9" w:rsidR="00DC5BE9" w:rsidRPr="003E2D55" w:rsidRDefault="00DC5BE9" w:rsidP="003E2D55">
            <w:pPr>
              <w:spacing w:before="40" w:after="40"/>
              <w:jc w:val="right"/>
              <w:rPr>
                <w:rFonts w:cs="Arial"/>
                <w:sz w:val="18"/>
                <w:szCs w:val="18"/>
              </w:rPr>
            </w:pPr>
            <w:r w:rsidRPr="003E2D55">
              <w:rPr>
                <w:rFonts w:cs="Arial"/>
                <w:sz w:val="18"/>
                <w:szCs w:val="18"/>
              </w:rPr>
              <w:t>7,388,340</w:t>
            </w:r>
          </w:p>
        </w:tc>
        <w:tc>
          <w:tcPr>
            <w:tcW w:w="1361" w:type="dxa"/>
            <w:tcBorders>
              <w:top w:val="nil"/>
              <w:left w:val="nil"/>
              <w:bottom w:val="nil"/>
              <w:right w:val="nil"/>
            </w:tcBorders>
            <w:shd w:val="clear" w:color="auto" w:fill="auto"/>
            <w:vAlign w:val="bottom"/>
          </w:tcPr>
          <w:p w14:paraId="0851F3AF" w14:textId="3F2BFF2E" w:rsidR="00DC5BE9" w:rsidRPr="003E2D55" w:rsidRDefault="00DC5BE9" w:rsidP="003E2D55">
            <w:pPr>
              <w:spacing w:before="40" w:after="40"/>
              <w:jc w:val="right"/>
              <w:rPr>
                <w:rFonts w:cs="Arial"/>
                <w:sz w:val="18"/>
                <w:szCs w:val="18"/>
              </w:rPr>
            </w:pPr>
            <w:r w:rsidRPr="003E2D55">
              <w:rPr>
                <w:rFonts w:cs="Arial"/>
                <w:sz w:val="18"/>
                <w:szCs w:val="18"/>
              </w:rPr>
              <w:t>2,099,621</w:t>
            </w:r>
          </w:p>
        </w:tc>
        <w:tc>
          <w:tcPr>
            <w:tcW w:w="1361" w:type="dxa"/>
            <w:tcBorders>
              <w:top w:val="nil"/>
              <w:left w:val="nil"/>
              <w:bottom w:val="nil"/>
              <w:right w:val="nil"/>
            </w:tcBorders>
            <w:shd w:val="clear" w:color="auto" w:fill="auto"/>
            <w:vAlign w:val="bottom"/>
          </w:tcPr>
          <w:p w14:paraId="4AFE34A6" w14:textId="15E956B0" w:rsidR="00DC5BE9" w:rsidRPr="003E2D55" w:rsidRDefault="00DC5BE9" w:rsidP="003E2D55">
            <w:pPr>
              <w:spacing w:before="40" w:after="40"/>
              <w:jc w:val="right"/>
              <w:rPr>
                <w:rFonts w:cs="Arial"/>
                <w:sz w:val="18"/>
                <w:szCs w:val="18"/>
              </w:rPr>
            </w:pPr>
            <w:r w:rsidRPr="003E2D55">
              <w:rPr>
                <w:rFonts w:cs="Arial"/>
                <w:sz w:val="18"/>
                <w:szCs w:val="18"/>
              </w:rPr>
              <w:t>3,424,964</w:t>
            </w:r>
          </w:p>
        </w:tc>
        <w:tc>
          <w:tcPr>
            <w:tcW w:w="1418" w:type="dxa"/>
            <w:tcBorders>
              <w:top w:val="nil"/>
              <w:left w:val="nil"/>
              <w:bottom w:val="nil"/>
              <w:right w:val="nil"/>
            </w:tcBorders>
            <w:shd w:val="clear" w:color="auto" w:fill="auto"/>
            <w:vAlign w:val="bottom"/>
          </w:tcPr>
          <w:p w14:paraId="1536A75D" w14:textId="33AF62A6" w:rsidR="00DC5BE9" w:rsidRPr="003E2D55" w:rsidRDefault="00DC5BE9" w:rsidP="003E2D55">
            <w:pPr>
              <w:spacing w:before="40" w:after="40"/>
              <w:jc w:val="right"/>
              <w:rPr>
                <w:rFonts w:cs="Arial"/>
                <w:sz w:val="18"/>
                <w:szCs w:val="18"/>
              </w:rPr>
            </w:pPr>
            <w:r w:rsidRPr="003E2D55">
              <w:rPr>
                <w:rFonts w:cs="Arial"/>
                <w:sz w:val="18"/>
                <w:szCs w:val="18"/>
              </w:rPr>
              <w:t>1,832,529</w:t>
            </w:r>
          </w:p>
        </w:tc>
      </w:tr>
      <w:tr w:rsidR="00DC5BE9" w:rsidRPr="003E2D55" w14:paraId="40B1A36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2E7E97B" w14:textId="77777777" w:rsidR="00DC5BE9" w:rsidRPr="003E2D55" w:rsidRDefault="00DC5BE9" w:rsidP="003E2D55">
            <w:pPr>
              <w:spacing w:before="40" w:after="40"/>
              <w:rPr>
                <w:rFonts w:cs="Arial"/>
                <w:sz w:val="18"/>
                <w:szCs w:val="18"/>
              </w:rPr>
            </w:pPr>
            <w:r w:rsidRPr="003E2D55">
              <w:rPr>
                <w:rFonts w:cs="Arial"/>
                <w:sz w:val="18"/>
                <w:szCs w:val="18"/>
              </w:rPr>
              <w:t>Greater Shepparton C</w:t>
            </w:r>
          </w:p>
        </w:tc>
        <w:tc>
          <w:tcPr>
            <w:tcW w:w="1361" w:type="dxa"/>
            <w:tcBorders>
              <w:top w:val="nil"/>
              <w:left w:val="single" w:sz="18" w:space="0" w:color="5F497A" w:themeColor="accent4" w:themeShade="BF"/>
              <w:bottom w:val="nil"/>
              <w:right w:val="nil"/>
            </w:tcBorders>
            <w:shd w:val="clear" w:color="auto" w:fill="auto"/>
            <w:vAlign w:val="bottom"/>
          </w:tcPr>
          <w:p w14:paraId="15F4C344" w14:textId="6A68436F" w:rsidR="00DC5BE9" w:rsidRPr="003E2D55" w:rsidRDefault="00DC5BE9" w:rsidP="003E2D55">
            <w:pPr>
              <w:spacing w:before="40" w:after="40"/>
              <w:jc w:val="right"/>
              <w:rPr>
                <w:rFonts w:cs="Arial"/>
                <w:sz w:val="18"/>
                <w:szCs w:val="18"/>
              </w:rPr>
            </w:pPr>
            <w:r w:rsidRPr="003E2D55">
              <w:rPr>
                <w:rFonts w:cs="Arial"/>
                <w:sz w:val="18"/>
                <w:szCs w:val="18"/>
              </w:rPr>
              <w:t>1,545,654</w:t>
            </w:r>
          </w:p>
        </w:tc>
        <w:tc>
          <w:tcPr>
            <w:tcW w:w="1361" w:type="dxa"/>
            <w:tcBorders>
              <w:top w:val="nil"/>
              <w:left w:val="nil"/>
              <w:bottom w:val="nil"/>
              <w:right w:val="nil"/>
            </w:tcBorders>
            <w:shd w:val="clear" w:color="auto" w:fill="auto"/>
            <w:vAlign w:val="bottom"/>
          </w:tcPr>
          <w:p w14:paraId="69F3C84B" w14:textId="3CEFDDF4" w:rsidR="00DC5BE9" w:rsidRPr="003E2D55" w:rsidRDefault="00DC5BE9" w:rsidP="003E2D55">
            <w:pPr>
              <w:spacing w:before="40" w:after="40"/>
              <w:jc w:val="right"/>
              <w:rPr>
                <w:rFonts w:cs="Arial"/>
                <w:sz w:val="18"/>
                <w:szCs w:val="18"/>
              </w:rPr>
            </w:pPr>
            <w:r w:rsidRPr="003E2D55">
              <w:rPr>
                <w:rFonts w:cs="Arial"/>
                <w:sz w:val="18"/>
                <w:szCs w:val="18"/>
              </w:rPr>
              <w:t>956,232</w:t>
            </w:r>
          </w:p>
        </w:tc>
        <w:tc>
          <w:tcPr>
            <w:tcW w:w="1361" w:type="dxa"/>
            <w:tcBorders>
              <w:top w:val="nil"/>
              <w:left w:val="nil"/>
              <w:bottom w:val="nil"/>
              <w:right w:val="nil"/>
            </w:tcBorders>
            <w:shd w:val="clear" w:color="auto" w:fill="auto"/>
            <w:vAlign w:val="bottom"/>
          </w:tcPr>
          <w:p w14:paraId="4857C5C1" w14:textId="5922B14E" w:rsidR="00DC5BE9" w:rsidRPr="003E2D55" w:rsidRDefault="00DC5BE9" w:rsidP="003E2D55">
            <w:pPr>
              <w:spacing w:before="40" w:after="40"/>
              <w:jc w:val="right"/>
              <w:rPr>
                <w:rFonts w:cs="Arial"/>
                <w:sz w:val="18"/>
                <w:szCs w:val="18"/>
              </w:rPr>
            </w:pPr>
            <w:r w:rsidRPr="003E2D55">
              <w:rPr>
                <w:rFonts w:cs="Arial"/>
                <w:sz w:val="18"/>
                <w:szCs w:val="18"/>
              </w:rPr>
              <w:t>1,495,619</w:t>
            </w:r>
          </w:p>
        </w:tc>
        <w:tc>
          <w:tcPr>
            <w:tcW w:w="1418" w:type="dxa"/>
            <w:tcBorders>
              <w:top w:val="nil"/>
              <w:left w:val="nil"/>
              <w:bottom w:val="nil"/>
              <w:right w:val="nil"/>
            </w:tcBorders>
            <w:shd w:val="clear" w:color="auto" w:fill="auto"/>
            <w:vAlign w:val="bottom"/>
          </w:tcPr>
          <w:p w14:paraId="6A4A5527" w14:textId="22F8EB1C" w:rsidR="00DC5BE9" w:rsidRPr="003E2D55" w:rsidRDefault="00DC5BE9" w:rsidP="003E2D55">
            <w:pPr>
              <w:spacing w:before="40" w:after="40"/>
              <w:jc w:val="right"/>
              <w:rPr>
                <w:rFonts w:cs="Arial"/>
                <w:sz w:val="18"/>
                <w:szCs w:val="18"/>
              </w:rPr>
            </w:pPr>
            <w:r w:rsidRPr="003E2D55">
              <w:rPr>
                <w:rFonts w:cs="Arial"/>
                <w:sz w:val="18"/>
                <w:szCs w:val="18"/>
              </w:rPr>
              <w:t>641,176</w:t>
            </w:r>
          </w:p>
        </w:tc>
      </w:tr>
      <w:tr w:rsidR="00DC5BE9" w:rsidRPr="003E2D55" w14:paraId="0766654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9D70913" w14:textId="77777777" w:rsidR="00DC5BE9" w:rsidRPr="003E2D55" w:rsidRDefault="00DC5BE9" w:rsidP="003E2D55">
            <w:pPr>
              <w:spacing w:before="40" w:after="40"/>
              <w:rPr>
                <w:rFonts w:cs="Arial"/>
                <w:sz w:val="18"/>
                <w:szCs w:val="18"/>
              </w:rPr>
            </w:pPr>
            <w:r w:rsidRPr="003E2D55">
              <w:rPr>
                <w:rFonts w:cs="Arial"/>
                <w:sz w:val="18"/>
                <w:szCs w:val="18"/>
              </w:rPr>
              <w:t>Hepburn S</w:t>
            </w:r>
          </w:p>
        </w:tc>
        <w:tc>
          <w:tcPr>
            <w:tcW w:w="1361" w:type="dxa"/>
            <w:tcBorders>
              <w:top w:val="nil"/>
              <w:left w:val="single" w:sz="18" w:space="0" w:color="5F497A" w:themeColor="accent4" w:themeShade="BF"/>
              <w:bottom w:val="nil"/>
              <w:right w:val="nil"/>
            </w:tcBorders>
            <w:shd w:val="clear" w:color="auto" w:fill="auto"/>
            <w:vAlign w:val="bottom"/>
          </w:tcPr>
          <w:p w14:paraId="49840980" w14:textId="4260489E" w:rsidR="00DC5BE9" w:rsidRPr="003E2D55" w:rsidRDefault="00DC5BE9" w:rsidP="003E2D55">
            <w:pPr>
              <w:spacing w:before="40" w:after="40"/>
              <w:jc w:val="right"/>
              <w:rPr>
                <w:rFonts w:cs="Arial"/>
                <w:sz w:val="18"/>
                <w:szCs w:val="18"/>
              </w:rPr>
            </w:pPr>
            <w:r w:rsidRPr="003E2D55">
              <w:rPr>
                <w:rFonts w:cs="Arial"/>
                <w:sz w:val="18"/>
                <w:szCs w:val="18"/>
              </w:rPr>
              <w:t>2,741,758</w:t>
            </w:r>
          </w:p>
        </w:tc>
        <w:tc>
          <w:tcPr>
            <w:tcW w:w="1361" w:type="dxa"/>
            <w:tcBorders>
              <w:top w:val="nil"/>
              <w:left w:val="nil"/>
              <w:bottom w:val="nil"/>
              <w:right w:val="nil"/>
            </w:tcBorders>
            <w:shd w:val="clear" w:color="auto" w:fill="auto"/>
            <w:vAlign w:val="bottom"/>
          </w:tcPr>
          <w:p w14:paraId="696D470B" w14:textId="02CEBF20" w:rsidR="00DC5BE9" w:rsidRPr="003E2D55" w:rsidRDefault="00DC5BE9" w:rsidP="003E2D55">
            <w:pPr>
              <w:spacing w:before="40" w:after="40"/>
              <w:jc w:val="right"/>
              <w:rPr>
                <w:rFonts w:cs="Arial"/>
                <w:sz w:val="18"/>
                <w:szCs w:val="18"/>
              </w:rPr>
            </w:pPr>
            <w:r w:rsidRPr="003E2D55">
              <w:rPr>
                <w:rFonts w:cs="Arial"/>
                <w:sz w:val="18"/>
                <w:szCs w:val="18"/>
              </w:rPr>
              <w:t>60,478</w:t>
            </w:r>
          </w:p>
        </w:tc>
        <w:tc>
          <w:tcPr>
            <w:tcW w:w="1361" w:type="dxa"/>
            <w:tcBorders>
              <w:top w:val="nil"/>
              <w:left w:val="nil"/>
              <w:bottom w:val="nil"/>
              <w:right w:val="nil"/>
            </w:tcBorders>
            <w:shd w:val="clear" w:color="auto" w:fill="auto"/>
            <w:vAlign w:val="bottom"/>
          </w:tcPr>
          <w:p w14:paraId="204B5F25" w14:textId="5086ED6A" w:rsidR="00DC5BE9" w:rsidRPr="003E2D55" w:rsidRDefault="00DC5BE9" w:rsidP="003E2D55">
            <w:pPr>
              <w:spacing w:before="40" w:after="40"/>
              <w:jc w:val="right"/>
              <w:rPr>
                <w:rFonts w:cs="Arial"/>
                <w:sz w:val="18"/>
                <w:szCs w:val="18"/>
              </w:rPr>
            </w:pPr>
            <w:r w:rsidRPr="003E2D55">
              <w:rPr>
                <w:rFonts w:cs="Arial"/>
                <w:sz w:val="18"/>
                <w:szCs w:val="18"/>
              </w:rPr>
              <w:t>37,889</w:t>
            </w:r>
          </w:p>
        </w:tc>
        <w:tc>
          <w:tcPr>
            <w:tcW w:w="1418" w:type="dxa"/>
            <w:tcBorders>
              <w:top w:val="nil"/>
              <w:left w:val="nil"/>
              <w:bottom w:val="nil"/>
              <w:right w:val="nil"/>
            </w:tcBorders>
            <w:shd w:val="clear" w:color="auto" w:fill="auto"/>
            <w:vAlign w:val="bottom"/>
          </w:tcPr>
          <w:p w14:paraId="068DC25F" w14:textId="634EDD97"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03DF48A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E47C8BA" w14:textId="77777777" w:rsidR="00DC5BE9" w:rsidRPr="003E2D55" w:rsidRDefault="00DC5BE9" w:rsidP="003E2D55">
            <w:pPr>
              <w:spacing w:before="40" w:after="40"/>
              <w:rPr>
                <w:rFonts w:cs="Arial"/>
                <w:sz w:val="18"/>
                <w:szCs w:val="18"/>
              </w:rPr>
            </w:pPr>
            <w:r w:rsidRPr="003E2D55">
              <w:rPr>
                <w:rFonts w:cs="Arial"/>
                <w:sz w:val="18"/>
                <w:szCs w:val="18"/>
              </w:rPr>
              <w:t>Hindmarsh S</w:t>
            </w:r>
          </w:p>
        </w:tc>
        <w:tc>
          <w:tcPr>
            <w:tcW w:w="1361" w:type="dxa"/>
            <w:tcBorders>
              <w:top w:val="nil"/>
              <w:left w:val="single" w:sz="18" w:space="0" w:color="5F497A" w:themeColor="accent4" w:themeShade="BF"/>
              <w:bottom w:val="nil"/>
              <w:right w:val="nil"/>
            </w:tcBorders>
            <w:shd w:val="clear" w:color="auto" w:fill="auto"/>
            <w:vAlign w:val="bottom"/>
          </w:tcPr>
          <w:p w14:paraId="22EC7E69" w14:textId="6397D1C7" w:rsidR="00DC5BE9" w:rsidRPr="003E2D55" w:rsidRDefault="00DC5BE9" w:rsidP="003E2D55">
            <w:pPr>
              <w:spacing w:before="40" w:after="40"/>
              <w:jc w:val="right"/>
              <w:rPr>
                <w:rFonts w:cs="Arial"/>
                <w:sz w:val="18"/>
                <w:szCs w:val="18"/>
              </w:rPr>
            </w:pPr>
            <w:r w:rsidRPr="003E2D55">
              <w:rPr>
                <w:rFonts w:cs="Arial"/>
                <w:sz w:val="18"/>
                <w:szCs w:val="18"/>
              </w:rPr>
              <w:t>874,489</w:t>
            </w:r>
          </w:p>
        </w:tc>
        <w:tc>
          <w:tcPr>
            <w:tcW w:w="1361" w:type="dxa"/>
            <w:tcBorders>
              <w:top w:val="nil"/>
              <w:left w:val="nil"/>
              <w:bottom w:val="nil"/>
              <w:right w:val="nil"/>
            </w:tcBorders>
            <w:shd w:val="clear" w:color="auto" w:fill="auto"/>
            <w:vAlign w:val="bottom"/>
          </w:tcPr>
          <w:p w14:paraId="65BA38EA" w14:textId="5257BD06" w:rsidR="00DC5BE9" w:rsidRPr="003E2D55" w:rsidRDefault="00DC5BE9" w:rsidP="003E2D55">
            <w:pPr>
              <w:spacing w:before="40" w:after="40"/>
              <w:jc w:val="right"/>
              <w:rPr>
                <w:rFonts w:cs="Arial"/>
                <w:sz w:val="18"/>
                <w:szCs w:val="18"/>
              </w:rPr>
            </w:pPr>
            <w:r w:rsidRPr="003E2D55">
              <w:rPr>
                <w:rFonts w:cs="Arial"/>
                <w:sz w:val="18"/>
                <w:szCs w:val="18"/>
              </w:rPr>
              <w:t>31,707</w:t>
            </w:r>
          </w:p>
        </w:tc>
        <w:tc>
          <w:tcPr>
            <w:tcW w:w="1361" w:type="dxa"/>
            <w:tcBorders>
              <w:top w:val="nil"/>
              <w:left w:val="nil"/>
              <w:bottom w:val="nil"/>
              <w:right w:val="nil"/>
            </w:tcBorders>
            <w:shd w:val="clear" w:color="auto" w:fill="auto"/>
            <w:vAlign w:val="bottom"/>
          </w:tcPr>
          <w:p w14:paraId="342660BF" w14:textId="0AFB6114" w:rsidR="00DC5BE9" w:rsidRPr="003E2D55" w:rsidRDefault="00DC5BE9" w:rsidP="003E2D55">
            <w:pPr>
              <w:spacing w:before="40" w:after="40"/>
              <w:jc w:val="right"/>
              <w:rPr>
                <w:rFonts w:cs="Arial"/>
                <w:sz w:val="18"/>
                <w:szCs w:val="18"/>
              </w:rPr>
            </w:pPr>
            <w:r w:rsidRPr="003E2D55">
              <w:rPr>
                <w:rFonts w:cs="Arial"/>
                <w:sz w:val="18"/>
                <w:szCs w:val="18"/>
              </w:rPr>
              <w:t>13,558</w:t>
            </w:r>
          </w:p>
        </w:tc>
        <w:tc>
          <w:tcPr>
            <w:tcW w:w="1418" w:type="dxa"/>
            <w:tcBorders>
              <w:top w:val="nil"/>
              <w:left w:val="nil"/>
              <w:bottom w:val="nil"/>
              <w:right w:val="nil"/>
            </w:tcBorders>
            <w:shd w:val="clear" w:color="auto" w:fill="auto"/>
            <w:vAlign w:val="bottom"/>
          </w:tcPr>
          <w:p w14:paraId="3F5A3CE7" w14:textId="68C80432"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7FBD103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7F212BE" w14:textId="77777777" w:rsidR="00DC5BE9" w:rsidRPr="003E2D55" w:rsidRDefault="00DC5BE9" w:rsidP="003E2D55">
            <w:pPr>
              <w:spacing w:before="40" w:after="40"/>
              <w:rPr>
                <w:rFonts w:cs="Arial"/>
                <w:sz w:val="18"/>
                <w:szCs w:val="18"/>
              </w:rPr>
            </w:pPr>
            <w:r w:rsidRPr="003E2D55">
              <w:rPr>
                <w:rFonts w:cs="Arial"/>
                <w:sz w:val="18"/>
                <w:szCs w:val="18"/>
              </w:rPr>
              <w:t>Hobsons Bay C</w:t>
            </w:r>
          </w:p>
        </w:tc>
        <w:tc>
          <w:tcPr>
            <w:tcW w:w="1361" w:type="dxa"/>
            <w:tcBorders>
              <w:top w:val="nil"/>
              <w:left w:val="single" w:sz="18" w:space="0" w:color="5F497A" w:themeColor="accent4" w:themeShade="BF"/>
              <w:bottom w:val="nil"/>
              <w:right w:val="nil"/>
            </w:tcBorders>
            <w:shd w:val="clear" w:color="auto" w:fill="auto"/>
            <w:vAlign w:val="bottom"/>
          </w:tcPr>
          <w:p w14:paraId="0CC5DD17" w14:textId="5C55DA63" w:rsidR="00DC5BE9" w:rsidRPr="003E2D55" w:rsidRDefault="00DC5BE9" w:rsidP="003E2D55">
            <w:pPr>
              <w:spacing w:before="40" w:after="40"/>
              <w:jc w:val="right"/>
              <w:rPr>
                <w:rFonts w:cs="Arial"/>
                <w:sz w:val="18"/>
                <w:szCs w:val="18"/>
              </w:rPr>
            </w:pPr>
            <w:r w:rsidRPr="003E2D55">
              <w:rPr>
                <w:rFonts w:cs="Arial"/>
                <w:sz w:val="18"/>
                <w:szCs w:val="18"/>
              </w:rPr>
              <w:t>2,008,264</w:t>
            </w:r>
          </w:p>
        </w:tc>
        <w:tc>
          <w:tcPr>
            <w:tcW w:w="1361" w:type="dxa"/>
            <w:tcBorders>
              <w:top w:val="nil"/>
              <w:left w:val="nil"/>
              <w:bottom w:val="nil"/>
              <w:right w:val="nil"/>
            </w:tcBorders>
            <w:shd w:val="clear" w:color="auto" w:fill="auto"/>
            <w:vAlign w:val="bottom"/>
          </w:tcPr>
          <w:p w14:paraId="1DBF7B92" w14:textId="64A7FB34" w:rsidR="00DC5BE9" w:rsidRPr="003E2D55" w:rsidRDefault="00DC5BE9" w:rsidP="003E2D55">
            <w:pPr>
              <w:spacing w:before="40" w:after="40"/>
              <w:jc w:val="right"/>
              <w:rPr>
                <w:rFonts w:cs="Arial"/>
                <w:sz w:val="18"/>
                <w:szCs w:val="18"/>
              </w:rPr>
            </w:pPr>
            <w:r w:rsidRPr="003E2D55">
              <w:rPr>
                <w:rFonts w:cs="Arial"/>
                <w:sz w:val="18"/>
                <w:szCs w:val="18"/>
              </w:rPr>
              <w:t>607,042</w:t>
            </w:r>
          </w:p>
        </w:tc>
        <w:tc>
          <w:tcPr>
            <w:tcW w:w="1361" w:type="dxa"/>
            <w:tcBorders>
              <w:top w:val="nil"/>
              <w:left w:val="nil"/>
              <w:bottom w:val="nil"/>
              <w:right w:val="nil"/>
            </w:tcBorders>
            <w:shd w:val="clear" w:color="auto" w:fill="auto"/>
            <w:vAlign w:val="bottom"/>
          </w:tcPr>
          <w:p w14:paraId="55F45D10" w14:textId="1B5CE1AB" w:rsidR="00DC5BE9" w:rsidRPr="003E2D55" w:rsidRDefault="00DC5BE9" w:rsidP="003E2D55">
            <w:pPr>
              <w:spacing w:before="40" w:after="40"/>
              <w:jc w:val="right"/>
              <w:rPr>
                <w:rFonts w:cs="Arial"/>
                <w:sz w:val="18"/>
                <w:szCs w:val="18"/>
              </w:rPr>
            </w:pPr>
            <w:r w:rsidRPr="003E2D55">
              <w:rPr>
                <w:rFonts w:cs="Arial"/>
                <w:sz w:val="18"/>
                <w:szCs w:val="18"/>
              </w:rPr>
              <w:t>999,272</w:t>
            </w:r>
          </w:p>
        </w:tc>
        <w:tc>
          <w:tcPr>
            <w:tcW w:w="1418" w:type="dxa"/>
            <w:tcBorders>
              <w:top w:val="nil"/>
              <w:left w:val="nil"/>
              <w:bottom w:val="nil"/>
              <w:right w:val="nil"/>
            </w:tcBorders>
            <w:shd w:val="clear" w:color="auto" w:fill="auto"/>
            <w:vAlign w:val="bottom"/>
          </w:tcPr>
          <w:p w14:paraId="1AA32487" w14:textId="554A268D" w:rsidR="00DC5BE9" w:rsidRPr="003E2D55" w:rsidRDefault="00DC5BE9" w:rsidP="003E2D55">
            <w:pPr>
              <w:spacing w:before="40" w:after="40"/>
              <w:jc w:val="right"/>
              <w:rPr>
                <w:rFonts w:cs="Arial"/>
                <w:sz w:val="18"/>
                <w:szCs w:val="18"/>
              </w:rPr>
            </w:pPr>
            <w:r w:rsidRPr="003E2D55">
              <w:rPr>
                <w:rFonts w:cs="Arial"/>
                <w:sz w:val="18"/>
                <w:szCs w:val="18"/>
              </w:rPr>
              <w:t>791,127</w:t>
            </w:r>
          </w:p>
        </w:tc>
      </w:tr>
      <w:tr w:rsidR="00DC5BE9" w:rsidRPr="003E2D55" w14:paraId="04E38AD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3248253" w14:textId="77777777" w:rsidR="00DC5BE9" w:rsidRPr="003E2D55" w:rsidRDefault="00DC5BE9" w:rsidP="003E2D55">
            <w:pPr>
              <w:spacing w:before="40" w:after="40"/>
              <w:rPr>
                <w:rFonts w:cs="Arial"/>
                <w:sz w:val="18"/>
                <w:szCs w:val="18"/>
              </w:rPr>
            </w:pPr>
            <w:r w:rsidRPr="003E2D55">
              <w:rPr>
                <w:rFonts w:cs="Arial"/>
                <w:sz w:val="18"/>
                <w:szCs w:val="18"/>
              </w:rPr>
              <w:t>Horsham RC</w:t>
            </w:r>
          </w:p>
        </w:tc>
        <w:tc>
          <w:tcPr>
            <w:tcW w:w="1361" w:type="dxa"/>
            <w:tcBorders>
              <w:top w:val="nil"/>
              <w:left w:val="single" w:sz="18" w:space="0" w:color="5F497A" w:themeColor="accent4" w:themeShade="BF"/>
              <w:bottom w:val="nil"/>
              <w:right w:val="nil"/>
            </w:tcBorders>
            <w:shd w:val="clear" w:color="auto" w:fill="auto"/>
            <w:vAlign w:val="bottom"/>
          </w:tcPr>
          <w:p w14:paraId="7AA86A5D" w14:textId="18B5C95D" w:rsidR="00DC5BE9" w:rsidRPr="003E2D55" w:rsidRDefault="00DC5BE9" w:rsidP="003E2D55">
            <w:pPr>
              <w:spacing w:before="40" w:after="40"/>
              <w:jc w:val="right"/>
              <w:rPr>
                <w:rFonts w:cs="Arial"/>
                <w:sz w:val="18"/>
                <w:szCs w:val="18"/>
              </w:rPr>
            </w:pPr>
            <w:r w:rsidRPr="003E2D55">
              <w:rPr>
                <w:rFonts w:cs="Arial"/>
                <w:sz w:val="18"/>
                <w:szCs w:val="18"/>
              </w:rPr>
              <w:t>998,455</w:t>
            </w:r>
          </w:p>
        </w:tc>
        <w:tc>
          <w:tcPr>
            <w:tcW w:w="1361" w:type="dxa"/>
            <w:tcBorders>
              <w:top w:val="nil"/>
              <w:left w:val="nil"/>
              <w:bottom w:val="nil"/>
              <w:right w:val="nil"/>
            </w:tcBorders>
            <w:shd w:val="clear" w:color="auto" w:fill="auto"/>
            <w:vAlign w:val="bottom"/>
          </w:tcPr>
          <w:p w14:paraId="2A05652D" w14:textId="10FABBF8" w:rsidR="00DC5BE9" w:rsidRPr="003E2D55" w:rsidRDefault="00DC5BE9" w:rsidP="003E2D55">
            <w:pPr>
              <w:spacing w:before="40" w:after="40"/>
              <w:jc w:val="right"/>
              <w:rPr>
                <w:rFonts w:cs="Arial"/>
                <w:sz w:val="18"/>
                <w:szCs w:val="18"/>
              </w:rPr>
            </w:pPr>
            <w:r w:rsidRPr="003E2D55">
              <w:rPr>
                <w:rFonts w:cs="Arial"/>
                <w:sz w:val="18"/>
                <w:szCs w:val="18"/>
              </w:rPr>
              <w:t>393,044</w:t>
            </w:r>
          </w:p>
        </w:tc>
        <w:tc>
          <w:tcPr>
            <w:tcW w:w="1361" w:type="dxa"/>
            <w:tcBorders>
              <w:top w:val="nil"/>
              <w:left w:val="nil"/>
              <w:bottom w:val="nil"/>
              <w:right w:val="nil"/>
            </w:tcBorders>
            <w:shd w:val="clear" w:color="auto" w:fill="auto"/>
            <w:vAlign w:val="bottom"/>
          </w:tcPr>
          <w:p w14:paraId="2C073EB3" w14:textId="7E09E1FF" w:rsidR="00DC5BE9" w:rsidRPr="003E2D55" w:rsidRDefault="00DC5BE9" w:rsidP="003E2D55">
            <w:pPr>
              <w:spacing w:before="40" w:after="40"/>
              <w:jc w:val="right"/>
              <w:rPr>
                <w:rFonts w:cs="Arial"/>
                <w:sz w:val="18"/>
                <w:szCs w:val="18"/>
              </w:rPr>
            </w:pPr>
            <w:r w:rsidRPr="003E2D55">
              <w:rPr>
                <w:rFonts w:cs="Arial"/>
                <w:sz w:val="18"/>
                <w:szCs w:val="18"/>
              </w:rPr>
              <w:t>305,195</w:t>
            </w:r>
          </w:p>
        </w:tc>
        <w:tc>
          <w:tcPr>
            <w:tcW w:w="1418" w:type="dxa"/>
            <w:tcBorders>
              <w:top w:val="nil"/>
              <w:left w:val="nil"/>
              <w:bottom w:val="nil"/>
              <w:right w:val="nil"/>
            </w:tcBorders>
            <w:shd w:val="clear" w:color="auto" w:fill="auto"/>
            <w:vAlign w:val="bottom"/>
          </w:tcPr>
          <w:p w14:paraId="2CFD1A37" w14:textId="5C2FE9B9" w:rsidR="00DC5BE9" w:rsidRPr="003E2D55" w:rsidRDefault="00DC5BE9" w:rsidP="003E2D55">
            <w:pPr>
              <w:spacing w:before="40" w:after="40"/>
              <w:jc w:val="right"/>
              <w:rPr>
                <w:rFonts w:cs="Arial"/>
                <w:sz w:val="18"/>
                <w:szCs w:val="18"/>
              </w:rPr>
            </w:pPr>
            <w:r w:rsidRPr="003E2D55">
              <w:rPr>
                <w:rFonts w:cs="Arial"/>
                <w:sz w:val="18"/>
                <w:szCs w:val="18"/>
              </w:rPr>
              <w:t>146,483</w:t>
            </w:r>
          </w:p>
        </w:tc>
      </w:tr>
      <w:tr w:rsidR="00DC5BE9" w:rsidRPr="003E2D55" w14:paraId="33429FE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8534D27" w14:textId="77777777" w:rsidR="00DC5BE9" w:rsidRPr="003E2D55" w:rsidRDefault="00DC5BE9" w:rsidP="003E2D55">
            <w:pPr>
              <w:spacing w:before="40" w:after="40"/>
              <w:rPr>
                <w:rFonts w:cs="Arial"/>
                <w:sz w:val="18"/>
                <w:szCs w:val="18"/>
              </w:rPr>
            </w:pPr>
            <w:r w:rsidRPr="003E2D55">
              <w:rPr>
                <w:rFonts w:cs="Arial"/>
                <w:sz w:val="18"/>
                <w:szCs w:val="18"/>
              </w:rPr>
              <w:t>Hume C</w:t>
            </w:r>
          </w:p>
        </w:tc>
        <w:tc>
          <w:tcPr>
            <w:tcW w:w="1361" w:type="dxa"/>
            <w:tcBorders>
              <w:top w:val="nil"/>
              <w:left w:val="single" w:sz="18" w:space="0" w:color="5F497A" w:themeColor="accent4" w:themeShade="BF"/>
              <w:bottom w:val="nil"/>
              <w:right w:val="nil"/>
            </w:tcBorders>
            <w:shd w:val="clear" w:color="auto" w:fill="auto"/>
            <w:vAlign w:val="bottom"/>
          </w:tcPr>
          <w:p w14:paraId="1EC3973A" w14:textId="3526423D" w:rsidR="00DC5BE9" w:rsidRPr="003E2D55" w:rsidRDefault="00DC5BE9" w:rsidP="003E2D55">
            <w:pPr>
              <w:spacing w:before="40" w:after="40"/>
              <w:jc w:val="right"/>
              <w:rPr>
                <w:rFonts w:cs="Arial"/>
                <w:sz w:val="18"/>
                <w:szCs w:val="18"/>
              </w:rPr>
            </w:pPr>
            <w:r w:rsidRPr="003E2D55">
              <w:rPr>
                <w:rFonts w:cs="Arial"/>
                <w:sz w:val="18"/>
                <w:szCs w:val="18"/>
              </w:rPr>
              <w:t>4,197,505</w:t>
            </w:r>
          </w:p>
        </w:tc>
        <w:tc>
          <w:tcPr>
            <w:tcW w:w="1361" w:type="dxa"/>
            <w:tcBorders>
              <w:top w:val="nil"/>
              <w:left w:val="nil"/>
              <w:bottom w:val="nil"/>
              <w:right w:val="nil"/>
            </w:tcBorders>
            <w:shd w:val="clear" w:color="auto" w:fill="auto"/>
            <w:vAlign w:val="bottom"/>
          </w:tcPr>
          <w:p w14:paraId="508D5F8A" w14:textId="17C7E472" w:rsidR="00DC5BE9" w:rsidRPr="003E2D55" w:rsidRDefault="00DC5BE9" w:rsidP="003E2D55">
            <w:pPr>
              <w:spacing w:before="40" w:after="40"/>
              <w:jc w:val="right"/>
              <w:rPr>
                <w:rFonts w:cs="Arial"/>
                <w:sz w:val="18"/>
                <w:szCs w:val="18"/>
              </w:rPr>
            </w:pPr>
            <w:r w:rsidRPr="003E2D55">
              <w:rPr>
                <w:rFonts w:cs="Arial"/>
                <w:sz w:val="18"/>
                <w:szCs w:val="18"/>
              </w:rPr>
              <w:t>2,041,463</w:t>
            </w:r>
          </w:p>
        </w:tc>
        <w:tc>
          <w:tcPr>
            <w:tcW w:w="1361" w:type="dxa"/>
            <w:tcBorders>
              <w:top w:val="nil"/>
              <w:left w:val="nil"/>
              <w:bottom w:val="nil"/>
              <w:right w:val="nil"/>
            </w:tcBorders>
            <w:shd w:val="clear" w:color="auto" w:fill="auto"/>
            <w:vAlign w:val="bottom"/>
          </w:tcPr>
          <w:p w14:paraId="5A97184F" w14:textId="6A93AB6C" w:rsidR="00DC5BE9" w:rsidRPr="003E2D55" w:rsidRDefault="00DC5BE9" w:rsidP="003E2D55">
            <w:pPr>
              <w:spacing w:before="40" w:after="40"/>
              <w:jc w:val="right"/>
              <w:rPr>
                <w:rFonts w:cs="Arial"/>
                <w:sz w:val="18"/>
                <w:szCs w:val="18"/>
              </w:rPr>
            </w:pPr>
            <w:r w:rsidRPr="003E2D55">
              <w:rPr>
                <w:rFonts w:cs="Arial"/>
                <w:sz w:val="18"/>
                <w:szCs w:val="18"/>
              </w:rPr>
              <w:t>3,571,895</w:t>
            </w:r>
          </w:p>
        </w:tc>
        <w:tc>
          <w:tcPr>
            <w:tcW w:w="1418" w:type="dxa"/>
            <w:tcBorders>
              <w:top w:val="nil"/>
              <w:left w:val="nil"/>
              <w:bottom w:val="nil"/>
              <w:right w:val="nil"/>
            </w:tcBorders>
            <w:shd w:val="clear" w:color="auto" w:fill="auto"/>
            <w:vAlign w:val="bottom"/>
          </w:tcPr>
          <w:p w14:paraId="718C6D1B" w14:textId="3E244F69" w:rsidR="00DC5BE9" w:rsidRPr="003E2D55" w:rsidRDefault="00DC5BE9" w:rsidP="003E2D55">
            <w:pPr>
              <w:spacing w:before="40" w:after="40"/>
              <w:jc w:val="right"/>
              <w:rPr>
                <w:rFonts w:cs="Arial"/>
                <w:sz w:val="18"/>
                <w:szCs w:val="18"/>
              </w:rPr>
            </w:pPr>
            <w:r w:rsidRPr="003E2D55">
              <w:rPr>
                <w:rFonts w:cs="Arial"/>
                <w:sz w:val="18"/>
                <w:szCs w:val="18"/>
              </w:rPr>
              <w:t>2,272,918</w:t>
            </w:r>
          </w:p>
        </w:tc>
      </w:tr>
      <w:tr w:rsidR="00DC5BE9" w:rsidRPr="003E2D55" w14:paraId="08D9CE0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DFDBEA2" w14:textId="77777777" w:rsidR="00DC5BE9" w:rsidRPr="003E2D55" w:rsidRDefault="00DC5BE9" w:rsidP="003E2D55">
            <w:pPr>
              <w:spacing w:before="40" w:after="40"/>
              <w:rPr>
                <w:rFonts w:cs="Arial"/>
                <w:sz w:val="18"/>
                <w:szCs w:val="18"/>
              </w:rPr>
            </w:pPr>
            <w:r w:rsidRPr="003E2D55">
              <w:rPr>
                <w:rFonts w:cs="Arial"/>
                <w:sz w:val="18"/>
                <w:szCs w:val="18"/>
              </w:rPr>
              <w:t>Indigo S</w:t>
            </w:r>
          </w:p>
        </w:tc>
        <w:tc>
          <w:tcPr>
            <w:tcW w:w="1361" w:type="dxa"/>
            <w:tcBorders>
              <w:top w:val="nil"/>
              <w:left w:val="single" w:sz="18" w:space="0" w:color="5F497A" w:themeColor="accent4" w:themeShade="BF"/>
              <w:bottom w:val="nil"/>
              <w:right w:val="nil"/>
            </w:tcBorders>
            <w:shd w:val="clear" w:color="auto" w:fill="auto"/>
            <w:vAlign w:val="bottom"/>
          </w:tcPr>
          <w:p w14:paraId="2A871289" w14:textId="12074EAE" w:rsidR="00DC5BE9" w:rsidRPr="003E2D55" w:rsidRDefault="00DC5BE9" w:rsidP="003E2D55">
            <w:pPr>
              <w:spacing w:before="40" w:after="40"/>
              <w:jc w:val="right"/>
              <w:rPr>
                <w:rFonts w:cs="Arial"/>
                <w:sz w:val="18"/>
                <w:szCs w:val="18"/>
              </w:rPr>
            </w:pPr>
            <w:r w:rsidRPr="003E2D55">
              <w:rPr>
                <w:rFonts w:cs="Arial"/>
                <w:sz w:val="18"/>
                <w:szCs w:val="18"/>
              </w:rPr>
              <w:t>979,712</w:t>
            </w:r>
          </w:p>
        </w:tc>
        <w:tc>
          <w:tcPr>
            <w:tcW w:w="1361" w:type="dxa"/>
            <w:tcBorders>
              <w:top w:val="nil"/>
              <w:left w:val="nil"/>
              <w:bottom w:val="nil"/>
              <w:right w:val="nil"/>
            </w:tcBorders>
            <w:shd w:val="clear" w:color="auto" w:fill="auto"/>
            <w:vAlign w:val="bottom"/>
          </w:tcPr>
          <w:p w14:paraId="1ADEE8C4" w14:textId="3D623364" w:rsidR="00DC5BE9" w:rsidRPr="003E2D55" w:rsidRDefault="00DC5BE9" w:rsidP="003E2D55">
            <w:pPr>
              <w:spacing w:before="40" w:after="40"/>
              <w:jc w:val="right"/>
              <w:rPr>
                <w:rFonts w:cs="Arial"/>
                <w:sz w:val="18"/>
                <w:szCs w:val="18"/>
              </w:rPr>
            </w:pPr>
            <w:r w:rsidRPr="003E2D55">
              <w:rPr>
                <w:rFonts w:cs="Arial"/>
                <w:sz w:val="18"/>
                <w:szCs w:val="18"/>
              </w:rPr>
              <w:t>119,033</w:t>
            </w:r>
          </w:p>
        </w:tc>
        <w:tc>
          <w:tcPr>
            <w:tcW w:w="1361" w:type="dxa"/>
            <w:tcBorders>
              <w:top w:val="nil"/>
              <w:left w:val="nil"/>
              <w:bottom w:val="nil"/>
              <w:right w:val="nil"/>
            </w:tcBorders>
            <w:shd w:val="clear" w:color="auto" w:fill="auto"/>
            <w:vAlign w:val="bottom"/>
          </w:tcPr>
          <w:p w14:paraId="74945641" w14:textId="7B5A566C" w:rsidR="00DC5BE9" w:rsidRPr="003E2D55" w:rsidRDefault="00DC5BE9" w:rsidP="003E2D55">
            <w:pPr>
              <w:spacing w:before="40" w:after="40"/>
              <w:jc w:val="right"/>
              <w:rPr>
                <w:rFonts w:cs="Arial"/>
                <w:sz w:val="18"/>
                <w:szCs w:val="18"/>
              </w:rPr>
            </w:pPr>
            <w:r w:rsidRPr="003E2D55">
              <w:rPr>
                <w:rFonts w:cs="Arial"/>
                <w:sz w:val="18"/>
                <w:szCs w:val="18"/>
              </w:rPr>
              <w:t>169,323</w:t>
            </w:r>
          </w:p>
        </w:tc>
        <w:tc>
          <w:tcPr>
            <w:tcW w:w="1418" w:type="dxa"/>
            <w:tcBorders>
              <w:top w:val="nil"/>
              <w:left w:val="nil"/>
              <w:bottom w:val="nil"/>
              <w:right w:val="nil"/>
            </w:tcBorders>
            <w:shd w:val="clear" w:color="auto" w:fill="auto"/>
            <w:vAlign w:val="bottom"/>
          </w:tcPr>
          <w:p w14:paraId="79BDFE83" w14:textId="53B257EE" w:rsidR="00DC5BE9" w:rsidRPr="003E2D55" w:rsidRDefault="00DC5BE9" w:rsidP="003E2D55">
            <w:pPr>
              <w:spacing w:before="40" w:after="40"/>
              <w:jc w:val="right"/>
              <w:rPr>
                <w:rFonts w:cs="Arial"/>
                <w:sz w:val="18"/>
                <w:szCs w:val="18"/>
              </w:rPr>
            </w:pPr>
            <w:r w:rsidRPr="003E2D55">
              <w:rPr>
                <w:rFonts w:cs="Arial"/>
                <w:sz w:val="18"/>
                <w:szCs w:val="18"/>
              </w:rPr>
              <w:t>8,825</w:t>
            </w:r>
          </w:p>
        </w:tc>
      </w:tr>
      <w:tr w:rsidR="00DC5BE9" w:rsidRPr="003E2D55" w14:paraId="2A6AA8D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6C154FC" w14:textId="77777777" w:rsidR="00DC5BE9" w:rsidRPr="003E2D55" w:rsidRDefault="00DC5BE9" w:rsidP="003E2D55">
            <w:pPr>
              <w:spacing w:before="40" w:after="40"/>
              <w:rPr>
                <w:rFonts w:cs="Arial"/>
                <w:sz w:val="18"/>
                <w:szCs w:val="18"/>
              </w:rPr>
            </w:pPr>
            <w:r w:rsidRPr="003E2D55">
              <w:rPr>
                <w:rFonts w:cs="Arial"/>
                <w:sz w:val="18"/>
                <w:szCs w:val="18"/>
              </w:rPr>
              <w:t>Kingston C</w:t>
            </w:r>
          </w:p>
        </w:tc>
        <w:tc>
          <w:tcPr>
            <w:tcW w:w="1361" w:type="dxa"/>
            <w:tcBorders>
              <w:top w:val="nil"/>
              <w:left w:val="single" w:sz="18" w:space="0" w:color="5F497A" w:themeColor="accent4" w:themeShade="BF"/>
              <w:bottom w:val="nil"/>
              <w:right w:val="nil"/>
            </w:tcBorders>
            <w:shd w:val="clear" w:color="auto" w:fill="auto"/>
            <w:vAlign w:val="bottom"/>
          </w:tcPr>
          <w:p w14:paraId="61E5FFBE" w14:textId="7BE43879" w:rsidR="00DC5BE9" w:rsidRPr="003E2D55" w:rsidRDefault="00DC5BE9" w:rsidP="003E2D55">
            <w:pPr>
              <w:spacing w:before="40" w:after="40"/>
              <w:jc w:val="right"/>
              <w:rPr>
                <w:rFonts w:cs="Arial"/>
                <w:sz w:val="18"/>
                <w:szCs w:val="18"/>
              </w:rPr>
            </w:pPr>
            <w:r w:rsidRPr="003E2D55">
              <w:rPr>
                <w:rFonts w:cs="Arial"/>
                <w:sz w:val="18"/>
                <w:szCs w:val="18"/>
              </w:rPr>
              <w:t>2,616,044</w:t>
            </w:r>
          </w:p>
        </w:tc>
        <w:tc>
          <w:tcPr>
            <w:tcW w:w="1361" w:type="dxa"/>
            <w:tcBorders>
              <w:top w:val="nil"/>
              <w:left w:val="nil"/>
              <w:bottom w:val="nil"/>
              <w:right w:val="nil"/>
            </w:tcBorders>
            <w:shd w:val="clear" w:color="auto" w:fill="auto"/>
            <w:vAlign w:val="bottom"/>
          </w:tcPr>
          <w:p w14:paraId="4F90FEB4" w14:textId="7D577330" w:rsidR="00DC5BE9" w:rsidRPr="003E2D55" w:rsidRDefault="00DC5BE9" w:rsidP="003E2D55">
            <w:pPr>
              <w:spacing w:before="40" w:after="40"/>
              <w:jc w:val="right"/>
              <w:rPr>
                <w:rFonts w:cs="Arial"/>
                <w:sz w:val="18"/>
                <w:szCs w:val="18"/>
              </w:rPr>
            </w:pPr>
            <w:r w:rsidRPr="003E2D55">
              <w:rPr>
                <w:rFonts w:cs="Arial"/>
                <w:sz w:val="18"/>
                <w:szCs w:val="18"/>
              </w:rPr>
              <w:t>678,438</w:t>
            </w:r>
          </w:p>
        </w:tc>
        <w:tc>
          <w:tcPr>
            <w:tcW w:w="1361" w:type="dxa"/>
            <w:tcBorders>
              <w:top w:val="nil"/>
              <w:left w:val="nil"/>
              <w:bottom w:val="nil"/>
              <w:right w:val="nil"/>
            </w:tcBorders>
            <w:shd w:val="clear" w:color="auto" w:fill="auto"/>
            <w:vAlign w:val="bottom"/>
          </w:tcPr>
          <w:p w14:paraId="088821B3" w14:textId="1EEAF4BF" w:rsidR="00DC5BE9" w:rsidRPr="003E2D55" w:rsidRDefault="00DC5BE9" w:rsidP="003E2D55">
            <w:pPr>
              <w:spacing w:before="40" w:after="40"/>
              <w:jc w:val="right"/>
              <w:rPr>
                <w:rFonts w:cs="Arial"/>
                <w:sz w:val="18"/>
                <w:szCs w:val="18"/>
              </w:rPr>
            </w:pPr>
            <w:r w:rsidRPr="003E2D55">
              <w:rPr>
                <w:rFonts w:cs="Arial"/>
                <w:sz w:val="18"/>
                <w:szCs w:val="18"/>
              </w:rPr>
              <w:t>1,527,512</w:t>
            </w:r>
          </w:p>
        </w:tc>
        <w:tc>
          <w:tcPr>
            <w:tcW w:w="1418" w:type="dxa"/>
            <w:tcBorders>
              <w:top w:val="nil"/>
              <w:left w:val="nil"/>
              <w:bottom w:val="nil"/>
              <w:right w:val="nil"/>
            </w:tcBorders>
            <w:shd w:val="clear" w:color="auto" w:fill="auto"/>
            <w:vAlign w:val="bottom"/>
          </w:tcPr>
          <w:p w14:paraId="69818F7D" w14:textId="36BC040D" w:rsidR="00DC5BE9" w:rsidRPr="003E2D55" w:rsidRDefault="00DC5BE9" w:rsidP="003E2D55">
            <w:pPr>
              <w:spacing w:before="40" w:after="40"/>
              <w:jc w:val="right"/>
              <w:rPr>
                <w:rFonts w:cs="Arial"/>
                <w:sz w:val="18"/>
                <w:szCs w:val="18"/>
              </w:rPr>
            </w:pPr>
            <w:r w:rsidRPr="003E2D55">
              <w:rPr>
                <w:rFonts w:cs="Arial"/>
                <w:sz w:val="18"/>
                <w:szCs w:val="18"/>
              </w:rPr>
              <w:t>669,528</w:t>
            </w:r>
          </w:p>
        </w:tc>
      </w:tr>
      <w:tr w:rsidR="00DC5BE9" w:rsidRPr="003E2D55" w14:paraId="4C70D9A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8DC38AA" w14:textId="77777777" w:rsidR="00DC5BE9" w:rsidRPr="003E2D55" w:rsidRDefault="00DC5BE9" w:rsidP="003E2D55">
            <w:pPr>
              <w:spacing w:before="40" w:after="40"/>
              <w:rPr>
                <w:rFonts w:cs="Arial"/>
                <w:sz w:val="18"/>
                <w:szCs w:val="18"/>
              </w:rPr>
            </w:pPr>
            <w:r w:rsidRPr="003E2D55">
              <w:rPr>
                <w:rFonts w:cs="Arial"/>
                <w:sz w:val="18"/>
                <w:szCs w:val="18"/>
              </w:rPr>
              <w:t>Knox C</w:t>
            </w:r>
          </w:p>
        </w:tc>
        <w:tc>
          <w:tcPr>
            <w:tcW w:w="1361" w:type="dxa"/>
            <w:tcBorders>
              <w:top w:val="nil"/>
              <w:left w:val="single" w:sz="18" w:space="0" w:color="5F497A" w:themeColor="accent4" w:themeShade="BF"/>
              <w:bottom w:val="nil"/>
              <w:right w:val="nil"/>
            </w:tcBorders>
            <w:shd w:val="clear" w:color="auto" w:fill="auto"/>
            <w:vAlign w:val="bottom"/>
          </w:tcPr>
          <w:p w14:paraId="1376B591" w14:textId="65F43732" w:rsidR="00DC5BE9" w:rsidRPr="003E2D55" w:rsidRDefault="00DC5BE9" w:rsidP="003E2D55">
            <w:pPr>
              <w:spacing w:before="40" w:after="40"/>
              <w:jc w:val="right"/>
              <w:rPr>
                <w:rFonts w:cs="Arial"/>
                <w:sz w:val="18"/>
                <w:szCs w:val="18"/>
              </w:rPr>
            </w:pPr>
            <w:r w:rsidRPr="003E2D55">
              <w:rPr>
                <w:rFonts w:cs="Arial"/>
                <w:sz w:val="18"/>
                <w:szCs w:val="18"/>
              </w:rPr>
              <w:t>2,659,850</w:t>
            </w:r>
          </w:p>
        </w:tc>
        <w:tc>
          <w:tcPr>
            <w:tcW w:w="1361" w:type="dxa"/>
            <w:tcBorders>
              <w:top w:val="nil"/>
              <w:left w:val="nil"/>
              <w:bottom w:val="nil"/>
              <w:right w:val="nil"/>
            </w:tcBorders>
            <w:shd w:val="clear" w:color="auto" w:fill="auto"/>
            <w:vAlign w:val="bottom"/>
          </w:tcPr>
          <w:p w14:paraId="4C202D0E" w14:textId="64F65626" w:rsidR="00DC5BE9" w:rsidRPr="003E2D55" w:rsidRDefault="00DC5BE9" w:rsidP="003E2D55">
            <w:pPr>
              <w:spacing w:before="40" w:after="40"/>
              <w:jc w:val="right"/>
              <w:rPr>
                <w:rFonts w:cs="Arial"/>
                <w:sz w:val="18"/>
                <w:szCs w:val="18"/>
              </w:rPr>
            </w:pPr>
            <w:r w:rsidRPr="003E2D55">
              <w:rPr>
                <w:rFonts w:cs="Arial"/>
                <w:sz w:val="18"/>
                <w:szCs w:val="18"/>
              </w:rPr>
              <w:t>1,571,932</w:t>
            </w:r>
          </w:p>
        </w:tc>
        <w:tc>
          <w:tcPr>
            <w:tcW w:w="1361" w:type="dxa"/>
            <w:tcBorders>
              <w:top w:val="nil"/>
              <w:left w:val="nil"/>
              <w:bottom w:val="nil"/>
              <w:right w:val="nil"/>
            </w:tcBorders>
            <w:shd w:val="clear" w:color="auto" w:fill="auto"/>
            <w:vAlign w:val="bottom"/>
          </w:tcPr>
          <w:p w14:paraId="096D4077" w14:textId="5953D99A" w:rsidR="00DC5BE9" w:rsidRPr="003E2D55" w:rsidRDefault="00DC5BE9" w:rsidP="003E2D55">
            <w:pPr>
              <w:spacing w:before="40" w:after="40"/>
              <w:jc w:val="right"/>
              <w:rPr>
                <w:rFonts w:cs="Arial"/>
                <w:sz w:val="18"/>
                <w:szCs w:val="18"/>
              </w:rPr>
            </w:pPr>
            <w:r w:rsidRPr="003E2D55">
              <w:rPr>
                <w:rFonts w:cs="Arial"/>
                <w:sz w:val="18"/>
                <w:szCs w:val="18"/>
              </w:rPr>
              <w:t>1,856,892</w:t>
            </w:r>
          </w:p>
        </w:tc>
        <w:tc>
          <w:tcPr>
            <w:tcW w:w="1418" w:type="dxa"/>
            <w:tcBorders>
              <w:top w:val="nil"/>
              <w:left w:val="nil"/>
              <w:bottom w:val="nil"/>
              <w:right w:val="nil"/>
            </w:tcBorders>
            <w:shd w:val="clear" w:color="auto" w:fill="auto"/>
            <w:vAlign w:val="bottom"/>
          </w:tcPr>
          <w:p w14:paraId="3F4EC88F" w14:textId="00CFD512" w:rsidR="00DC5BE9" w:rsidRPr="003E2D55" w:rsidRDefault="00DC5BE9" w:rsidP="003E2D55">
            <w:pPr>
              <w:spacing w:before="40" w:after="40"/>
              <w:jc w:val="right"/>
              <w:rPr>
                <w:rFonts w:cs="Arial"/>
                <w:sz w:val="18"/>
                <w:szCs w:val="18"/>
              </w:rPr>
            </w:pPr>
            <w:r w:rsidRPr="003E2D55">
              <w:rPr>
                <w:rFonts w:cs="Arial"/>
                <w:sz w:val="18"/>
                <w:szCs w:val="18"/>
              </w:rPr>
              <w:t>558,277</w:t>
            </w:r>
          </w:p>
        </w:tc>
      </w:tr>
      <w:tr w:rsidR="00DC5BE9" w:rsidRPr="003E2D55" w14:paraId="20299DB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05BF035" w14:textId="77777777" w:rsidR="00DC5BE9" w:rsidRPr="003E2D55" w:rsidRDefault="00DC5BE9" w:rsidP="003E2D55">
            <w:pPr>
              <w:spacing w:before="40" w:after="40"/>
              <w:rPr>
                <w:rFonts w:cs="Arial"/>
                <w:sz w:val="18"/>
                <w:szCs w:val="18"/>
              </w:rPr>
            </w:pPr>
            <w:r w:rsidRPr="003E2D55">
              <w:rPr>
                <w:rFonts w:cs="Arial"/>
                <w:sz w:val="18"/>
                <w:szCs w:val="18"/>
              </w:rPr>
              <w:t>Latrobe C</w:t>
            </w:r>
          </w:p>
        </w:tc>
        <w:tc>
          <w:tcPr>
            <w:tcW w:w="1361" w:type="dxa"/>
            <w:tcBorders>
              <w:top w:val="nil"/>
              <w:left w:val="single" w:sz="18" w:space="0" w:color="5F497A" w:themeColor="accent4" w:themeShade="BF"/>
              <w:bottom w:val="nil"/>
              <w:right w:val="nil"/>
            </w:tcBorders>
            <w:shd w:val="clear" w:color="auto" w:fill="auto"/>
            <w:vAlign w:val="bottom"/>
          </w:tcPr>
          <w:p w14:paraId="021AEEBC" w14:textId="402DCB23" w:rsidR="00DC5BE9" w:rsidRPr="003E2D55" w:rsidRDefault="00DC5BE9" w:rsidP="003E2D55">
            <w:pPr>
              <w:spacing w:before="40" w:after="40"/>
              <w:jc w:val="right"/>
              <w:rPr>
                <w:rFonts w:cs="Arial"/>
                <w:sz w:val="18"/>
                <w:szCs w:val="18"/>
              </w:rPr>
            </w:pPr>
            <w:r w:rsidRPr="003E2D55">
              <w:rPr>
                <w:rFonts w:cs="Arial"/>
                <w:sz w:val="18"/>
                <w:szCs w:val="18"/>
              </w:rPr>
              <w:t>2,502,650</w:t>
            </w:r>
          </w:p>
        </w:tc>
        <w:tc>
          <w:tcPr>
            <w:tcW w:w="1361" w:type="dxa"/>
            <w:tcBorders>
              <w:top w:val="nil"/>
              <w:left w:val="nil"/>
              <w:bottom w:val="nil"/>
              <w:right w:val="nil"/>
            </w:tcBorders>
            <w:shd w:val="clear" w:color="auto" w:fill="auto"/>
            <w:vAlign w:val="bottom"/>
          </w:tcPr>
          <w:p w14:paraId="5E454EBA" w14:textId="37D6CF04" w:rsidR="00DC5BE9" w:rsidRPr="003E2D55" w:rsidRDefault="00DC5BE9" w:rsidP="003E2D55">
            <w:pPr>
              <w:spacing w:before="40" w:after="40"/>
              <w:jc w:val="right"/>
              <w:rPr>
                <w:rFonts w:cs="Arial"/>
                <w:sz w:val="18"/>
                <w:szCs w:val="18"/>
              </w:rPr>
            </w:pPr>
            <w:r w:rsidRPr="003E2D55">
              <w:rPr>
                <w:rFonts w:cs="Arial"/>
                <w:sz w:val="18"/>
                <w:szCs w:val="18"/>
              </w:rPr>
              <w:t>859,660</w:t>
            </w:r>
          </w:p>
        </w:tc>
        <w:tc>
          <w:tcPr>
            <w:tcW w:w="1361" w:type="dxa"/>
            <w:tcBorders>
              <w:top w:val="nil"/>
              <w:left w:val="nil"/>
              <w:bottom w:val="nil"/>
              <w:right w:val="nil"/>
            </w:tcBorders>
            <w:shd w:val="clear" w:color="auto" w:fill="auto"/>
            <w:vAlign w:val="bottom"/>
          </w:tcPr>
          <w:p w14:paraId="23EA2AC3" w14:textId="46D08E77" w:rsidR="00DC5BE9" w:rsidRPr="003E2D55" w:rsidRDefault="00DC5BE9" w:rsidP="003E2D55">
            <w:pPr>
              <w:spacing w:before="40" w:after="40"/>
              <w:jc w:val="right"/>
              <w:rPr>
                <w:rFonts w:cs="Arial"/>
                <w:sz w:val="18"/>
                <w:szCs w:val="18"/>
              </w:rPr>
            </w:pPr>
            <w:r w:rsidRPr="003E2D55">
              <w:rPr>
                <w:rFonts w:cs="Arial"/>
                <w:sz w:val="18"/>
                <w:szCs w:val="18"/>
              </w:rPr>
              <w:t>1,647,376</w:t>
            </w:r>
          </w:p>
        </w:tc>
        <w:tc>
          <w:tcPr>
            <w:tcW w:w="1418" w:type="dxa"/>
            <w:tcBorders>
              <w:top w:val="nil"/>
              <w:left w:val="nil"/>
              <w:bottom w:val="nil"/>
              <w:right w:val="nil"/>
            </w:tcBorders>
            <w:shd w:val="clear" w:color="auto" w:fill="auto"/>
            <w:vAlign w:val="bottom"/>
          </w:tcPr>
          <w:p w14:paraId="6977489D" w14:textId="49F6460B" w:rsidR="00DC5BE9" w:rsidRPr="003E2D55" w:rsidRDefault="00DC5BE9" w:rsidP="003E2D55">
            <w:pPr>
              <w:spacing w:before="40" w:after="40"/>
              <w:jc w:val="right"/>
              <w:rPr>
                <w:rFonts w:cs="Arial"/>
                <w:sz w:val="18"/>
                <w:szCs w:val="18"/>
              </w:rPr>
            </w:pPr>
            <w:r w:rsidRPr="003E2D55">
              <w:rPr>
                <w:rFonts w:cs="Arial"/>
                <w:sz w:val="18"/>
                <w:szCs w:val="18"/>
              </w:rPr>
              <w:t>462,366</w:t>
            </w:r>
          </w:p>
        </w:tc>
      </w:tr>
      <w:tr w:rsidR="00DC5BE9" w:rsidRPr="003E2D55" w14:paraId="595789B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793E717" w14:textId="77777777" w:rsidR="00DC5BE9" w:rsidRPr="003E2D55" w:rsidRDefault="00DC5BE9" w:rsidP="003E2D55">
            <w:pPr>
              <w:spacing w:before="40" w:after="40"/>
              <w:rPr>
                <w:rFonts w:cs="Arial"/>
                <w:sz w:val="18"/>
                <w:szCs w:val="18"/>
              </w:rPr>
            </w:pPr>
            <w:r w:rsidRPr="003E2D55">
              <w:rPr>
                <w:rFonts w:cs="Arial"/>
                <w:sz w:val="18"/>
                <w:szCs w:val="18"/>
              </w:rPr>
              <w:t>Loddon S</w:t>
            </w:r>
          </w:p>
        </w:tc>
        <w:tc>
          <w:tcPr>
            <w:tcW w:w="1361" w:type="dxa"/>
            <w:tcBorders>
              <w:top w:val="nil"/>
              <w:left w:val="single" w:sz="18" w:space="0" w:color="5F497A" w:themeColor="accent4" w:themeShade="BF"/>
              <w:bottom w:val="nil"/>
              <w:right w:val="nil"/>
            </w:tcBorders>
            <w:shd w:val="clear" w:color="auto" w:fill="auto"/>
            <w:vAlign w:val="bottom"/>
          </w:tcPr>
          <w:p w14:paraId="0015625B" w14:textId="07E9F389" w:rsidR="00DC5BE9" w:rsidRPr="003E2D55" w:rsidRDefault="00DC5BE9" w:rsidP="003E2D55">
            <w:pPr>
              <w:spacing w:before="40" w:after="40"/>
              <w:jc w:val="right"/>
              <w:rPr>
                <w:rFonts w:cs="Arial"/>
                <w:sz w:val="18"/>
                <w:szCs w:val="18"/>
              </w:rPr>
            </w:pPr>
            <w:r w:rsidRPr="003E2D55">
              <w:rPr>
                <w:rFonts w:cs="Arial"/>
                <w:sz w:val="18"/>
                <w:szCs w:val="18"/>
              </w:rPr>
              <w:t>984,868</w:t>
            </w:r>
          </w:p>
        </w:tc>
        <w:tc>
          <w:tcPr>
            <w:tcW w:w="1361" w:type="dxa"/>
            <w:tcBorders>
              <w:top w:val="nil"/>
              <w:left w:val="nil"/>
              <w:bottom w:val="nil"/>
              <w:right w:val="nil"/>
            </w:tcBorders>
            <w:shd w:val="clear" w:color="auto" w:fill="auto"/>
            <w:vAlign w:val="bottom"/>
          </w:tcPr>
          <w:p w14:paraId="4F6B006B" w14:textId="35307296" w:rsidR="00DC5BE9" w:rsidRPr="003E2D55" w:rsidRDefault="00DC5BE9" w:rsidP="003E2D55">
            <w:pPr>
              <w:spacing w:before="40" w:after="40"/>
              <w:jc w:val="right"/>
              <w:rPr>
                <w:rFonts w:cs="Arial"/>
                <w:sz w:val="18"/>
                <w:szCs w:val="18"/>
              </w:rPr>
            </w:pPr>
            <w:r w:rsidRPr="003E2D55">
              <w:rPr>
                <w:rFonts w:cs="Arial"/>
                <w:sz w:val="18"/>
                <w:szCs w:val="18"/>
              </w:rPr>
              <w:t>12,006</w:t>
            </w:r>
          </w:p>
        </w:tc>
        <w:tc>
          <w:tcPr>
            <w:tcW w:w="1361" w:type="dxa"/>
            <w:tcBorders>
              <w:top w:val="nil"/>
              <w:left w:val="nil"/>
              <w:bottom w:val="nil"/>
              <w:right w:val="nil"/>
            </w:tcBorders>
            <w:shd w:val="clear" w:color="auto" w:fill="auto"/>
            <w:vAlign w:val="bottom"/>
          </w:tcPr>
          <w:p w14:paraId="56FBEE06" w14:textId="1EA8B797" w:rsidR="00DC5BE9" w:rsidRPr="003E2D55" w:rsidRDefault="00DC5BE9" w:rsidP="003E2D55">
            <w:pPr>
              <w:spacing w:before="40" w:after="40"/>
              <w:jc w:val="right"/>
              <w:rPr>
                <w:rFonts w:cs="Arial"/>
                <w:sz w:val="18"/>
                <w:szCs w:val="18"/>
              </w:rPr>
            </w:pPr>
            <w:r w:rsidRPr="003E2D55">
              <w:rPr>
                <w:rFonts w:cs="Arial"/>
                <w:sz w:val="18"/>
                <w:szCs w:val="18"/>
              </w:rPr>
              <w:t>14,062</w:t>
            </w:r>
          </w:p>
        </w:tc>
        <w:tc>
          <w:tcPr>
            <w:tcW w:w="1418" w:type="dxa"/>
            <w:tcBorders>
              <w:top w:val="nil"/>
              <w:left w:val="nil"/>
              <w:bottom w:val="nil"/>
              <w:right w:val="nil"/>
            </w:tcBorders>
            <w:shd w:val="clear" w:color="auto" w:fill="auto"/>
            <w:vAlign w:val="bottom"/>
          </w:tcPr>
          <w:p w14:paraId="19E74BE7" w14:textId="4997E031" w:rsidR="00DC5BE9" w:rsidRPr="003E2D55" w:rsidRDefault="00DC5BE9" w:rsidP="003E2D55">
            <w:pPr>
              <w:spacing w:before="40" w:after="40"/>
              <w:jc w:val="right"/>
              <w:rPr>
                <w:rFonts w:cs="Arial"/>
                <w:sz w:val="18"/>
                <w:szCs w:val="18"/>
              </w:rPr>
            </w:pPr>
            <w:r w:rsidRPr="003E2D55">
              <w:rPr>
                <w:rFonts w:cs="Arial"/>
                <w:sz w:val="18"/>
                <w:szCs w:val="18"/>
              </w:rPr>
              <w:t>0</w:t>
            </w:r>
          </w:p>
        </w:tc>
      </w:tr>
    </w:tbl>
    <w:p w14:paraId="0E4B6FE0" w14:textId="77777777" w:rsidR="00734A5D" w:rsidRPr="00A44829" w:rsidRDefault="00734A5D" w:rsidP="00FF36E8">
      <w:pPr>
        <w:spacing w:before="40" w:after="20"/>
        <w:rPr>
          <w:rFonts w:cs="Arial"/>
          <w:sz w:val="18"/>
          <w:szCs w:val="18"/>
        </w:rPr>
      </w:pPr>
    </w:p>
    <w:p w14:paraId="7F0FACE7" w14:textId="77777777" w:rsidR="00F65645" w:rsidRPr="00A44829" w:rsidRDefault="00F65645" w:rsidP="00FF36E8">
      <w:pPr>
        <w:spacing w:before="40" w:after="20"/>
        <w:rPr>
          <w:rFonts w:cs="Arial"/>
          <w:sz w:val="18"/>
          <w:szCs w:val="18"/>
        </w:rPr>
      </w:pPr>
      <w:r w:rsidRPr="00A44829">
        <w:rPr>
          <w:rFonts w:cs="Arial"/>
          <w:sz w:val="18"/>
          <w:szCs w:val="18"/>
        </w:rPr>
        <w:br w:type="page"/>
      </w:r>
    </w:p>
    <w:p w14:paraId="17691388" w14:textId="3551B0BC" w:rsidR="00F65645" w:rsidRPr="00A44829" w:rsidRDefault="00EE4593" w:rsidP="00C33713">
      <w:pPr>
        <w:pStyle w:val="VGC-Head10"/>
      </w:pPr>
      <w:r w:rsidRPr="00A44829">
        <w:lastRenderedPageBreak/>
        <w:t>2019-20</w:t>
      </w:r>
      <w:r w:rsidR="00A97ABE" w:rsidRPr="00A44829">
        <w:t xml:space="preserve"> </w:t>
      </w:r>
      <w:r w:rsidR="00F65645" w:rsidRPr="00A44829">
        <w:t>Local Roads Grants</w:t>
      </w:r>
      <w:r w:rsidR="00F65645" w:rsidRPr="00A44829">
        <w:tab/>
        <w:t>Appendix 5</w:t>
      </w:r>
    </w:p>
    <w:p w14:paraId="351EF464" w14:textId="77777777" w:rsidR="00F65645" w:rsidRPr="00A44829" w:rsidRDefault="004F1184" w:rsidP="008C1A28">
      <w:pPr>
        <w:pStyle w:val="VGC-Head2"/>
      </w:pPr>
      <w:r w:rsidRPr="00A44829">
        <w:tab/>
      </w:r>
      <w:r w:rsidR="00A6042C" w:rsidRPr="00A44829">
        <w:t>E</w:t>
      </w:r>
      <w:r w:rsidR="00F65645" w:rsidRPr="00A44829">
        <w:t>.  Network Costs</w:t>
      </w:r>
    </w:p>
    <w:p w14:paraId="7F926BB4" w14:textId="77777777" w:rsidR="00F65645" w:rsidRPr="00A44829" w:rsidRDefault="00F65645" w:rsidP="00FF36E8">
      <w:pPr>
        <w:spacing w:before="40" w:after="20"/>
        <w:rPr>
          <w:rFonts w:cs="Arial"/>
          <w:sz w:val="18"/>
          <w:szCs w:val="18"/>
        </w:rPr>
      </w:pPr>
    </w:p>
    <w:tbl>
      <w:tblPr>
        <w:tblW w:w="9186"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474"/>
      </w:tblGrid>
      <w:tr w:rsidR="00F65645" w:rsidRPr="00A44829" w14:paraId="7C669F2C"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2F3ACE41" w14:textId="77777777" w:rsidR="00F65645" w:rsidRPr="00A44829" w:rsidRDefault="00F65645" w:rsidP="0038375E">
            <w:pPr>
              <w:spacing w:before="40" w:after="20"/>
              <w:jc w:val="center"/>
              <w:rPr>
                <w:rFonts w:cs="Arial"/>
                <w:sz w:val="18"/>
                <w:szCs w:val="18"/>
              </w:rPr>
            </w:pPr>
          </w:p>
        </w:tc>
        <w:tc>
          <w:tcPr>
            <w:tcW w:w="6918" w:type="dxa"/>
            <w:gridSpan w:val="5"/>
            <w:tcBorders>
              <w:left w:val="single" w:sz="18" w:space="0" w:color="5F497A" w:themeColor="accent4" w:themeShade="BF"/>
              <w:bottom w:val="single" w:sz="8" w:space="0" w:color="5F497A" w:themeColor="accent4" w:themeShade="BF"/>
            </w:tcBorders>
            <w:shd w:val="clear" w:color="auto" w:fill="auto"/>
            <w:vAlign w:val="bottom"/>
          </w:tcPr>
          <w:p w14:paraId="7E0762CF" w14:textId="77777777" w:rsidR="00F65645" w:rsidRPr="00A44829" w:rsidRDefault="00A131F3" w:rsidP="0038375E">
            <w:pPr>
              <w:spacing w:before="40" w:after="20"/>
              <w:jc w:val="center"/>
              <w:rPr>
                <w:rFonts w:cs="Arial"/>
                <w:b/>
                <w:sz w:val="18"/>
                <w:szCs w:val="18"/>
              </w:rPr>
            </w:pPr>
            <w:r w:rsidRPr="00A44829">
              <w:rPr>
                <w:rFonts w:cs="Arial"/>
                <w:b/>
                <w:sz w:val="18"/>
                <w:szCs w:val="18"/>
              </w:rPr>
              <w:t>Rural Local Roads ($</w:t>
            </w:r>
            <w:r w:rsidR="00F65645" w:rsidRPr="00A44829">
              <w:rPr>
                <w:rFonts w:cs="Arial"/>
                <w:b/>
                <w:sz w:val="18"/>
                <w:szCs w:val="18"/>
              </w:rPr>
              <w:t>)</w:t>
            </w:r>
          </w:p>
        </w:tc>
      </w:tr>
      <w:tr w:rsidR="00F65645" w:rsidRPr="00A44829" w14:paraId="59DBE665"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07F5647B" w14:textId="77777777" w:rsidR="00F65645" w:rsidRPr="00A44829" w:rsidRDefault="00F65645" w:rsidP="0038375E">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6C1C8225" w14:textId="77777777" w:rsidR="00F65645" w:rsidRPr="00A44829" w:rsidRDefault="00F65645" w:rsidP="0038375E">
            <w:pPr>
              <w:spacing w:before="40" w:after="20"/>
              <w:jc w:val="center"/>
              <w:rPr>
                <w:rFonts w:cs="Arial"/>
                <w:sz w:val="16"/>
                <w:szCs w:val="16"/>
              </w:rPr>
            </w:pPr>
            <w:r w:rsidRPr="00A44829">
              <w:rPr>
                <w:rFonts w:cs="Arial"/>
                <w:sz w:val="16"/>
                <w:szCs w:val="16"/>
              </w:rPr>
              <w:t xml:space="preserve">Natural </w:t>
            </w:r>
            <w:r w:rsidR="00A61C23" w:rsidRPr="00A44829">
              <w:rPr>
                <w:rFonts w:cs="Arial"/>
                <w:sz w:val="16"/>
                <w:szCs w:val="16"/>
              </w:rPr>
              <w:br/>
            </w:r>
            <w:r w:rsidR="005D04BF" w:rsidRPr="00A44829">
              <w:rPr>
                <w:rFonts w:cs="Arial"/>
                <w:sz w:val="16"/>
                <w:szCs w:val="16"/>
              </w:rPr>
              <w:t>Surface</w:t>
            </w:r>
            <w:r w:rsidRPr="00A44829">
              <w:rPr>
                <w:rFonts w:cs="Arial"/>
                <w:sz w:val="16"/>
                <w:szCs w:val="16"/>
              </w:rPr>
              <w:t xml:space="preserve"> </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1CB9BFE0" w14:textId="77777777" w:rsidR="00F65645" w:rsidRPr="00A44829" w:rsidRDefault="00F65645" w:rsidP="0038375E">
            <w:pPr>
              <w:spacing w:before="40" w:after="20"/>
              <w:jc w:val="center"/>
              <w:rPr>
                <w:rFonts w:cs="Arial"/>
                <w:sz w:val="16"/>
                <w:szCs w:val="16"/>
              </w:rPr>
            </w:pPr>
            <w:r w:rsidRPr="00A44829">
              <w:rPr>
                <w:rFonts w:cs="Arial"/>
                <w:sz w:val="16"/>
                <w:szCs w:val="16"/>
              </w:rPr>
              <w:t>&lt;100 vpd</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1D02C6B9" w14:textId="77777777" w:rsidR="00F65645" w:rsidRPr="00A44829" w:rsidRDefault="00F65645" w:rsidP="0038375E">
            <w:pPr>
              <w:spacing w:before="40" w:after="20"/>
              <w:jc w:val="center"/>
              <w:rPr>
                <w:rFonts w:cs="Arial"/>
                <w:sz w:val="16"/>
                <w:szCs w:val="16"/>
              </w:rPr>
            </w:pPr>
            <w:r w:rsidRPr="00A44829">
              <w:rPr>
                <w:rFonts w:cs="Arial"/>
                <w:sz w:val="16"/>
                <w:szCs w:val="16"/>
              </w:rPr>
              <w:t xml:space="preserve">100 to </w:t>
            </w:r>
            <w:r w:rsidR="00A61C23" w:rsidRPr="00A44829">
              <w:rPr>
                <w:rFonts w:cs="Arial"/>
                <w:sz w:val="16"/>
                <w:szCs w:val="16"/>
              </w:rPr>
              <w:br/>
            </w:r>
            <w:r w:rsidRPr="00A44829">
              <w:rPr>
                <w:rFonts w:cs="Arial"/>
                <w:sz w:val="16"/>
                <w:szCs w:val="16"/>
              </w:rPr>
              <w:t>&lt;500</w:t>
            </w:r>
            <w:r w:rsidR="00A61C23" w:rsidRPr="00A44829">
              <w:rPr>
                <w:rFonts w:cs="Arial"/>
                <w:sz w:val="16"/>
                <w:szCs w:val="16"/>
              </w:rPr>
              <w:t xml:space="preserve"> </w:t>
            </w:r>
            <w:r w:rsidRPr="00A44829">
              <w:rPr>
                <w:rFonts w:cs="Arial"/>
                <w:sz w:val="16"/>
                <w:szCs w:val="16"/>
              </w:rPr>
              <w:t>vpd</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E8E7297" w14:textId="77777777" w:rsidR="00F65645" w:rsidRPr="00A44829" w:rsidRDefault="00F65645" w:rsidP="0038375E">
            <w:pPr>
              <w:spacing w:before="40" w:after="20"/>
              <w:jc w:val="center"/>
              <w:rPr>
                <w:rFonts w:cs="Arial"/>
                <w:sz w:val="16"/>
                <w:szCs w:val="16"/>
              </w:rPr>
            </w:pPr>
            <w:r w:rsidRPr="00A44829">
              <w:rPr>
                <w:rFonts w:cs="Arial"/>
                <w:sz w:val="16"/>
                <w:szCs w:val="16"/>
              </w:rPr>
              <w:t xml:space="preserve">500 to </w:t>
            </w:r>
            <w:r w:rsidR="00A61C23" w:rsidRPr="00A44829">
              <w:rPr>
                <w:rFonts w:cs="Arial"/>
                <w:sz w:val="16"/>
                <w:szCs w:val="16"/>
              </w:rPr>
              <w:br/>
            </w:r>
            <w:r w:rsidRPr="00A44829">
              <w:rPr>
                <w:rFonts w:cs="Arial"/>
                <w:sz w:val="16"/>
                <w:szCs w:val="16"/>
              </w:rPr>
              <w:t>&lt;1000 vpd</w:t>
            </w:r>
          </w:p>
        </w:tc>
        <w:tc>
          <w:tcPr>
            <w:tcW w:w="147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9CEB3FF" w14:textId="77777777" w:rsidR="00F65645" w:rsidRPr="00A44829" w:rsidRDefault="00F65645" w:rsidP="0038375E">
            <w:pPr>
              <w:spacing w:before="40" w:after="20"/>
              <w:ind w:right="-28"/>
              <w:jc w:val="center"/>
              <w:rPr>
                <w:rFonts w:cs="Arial"/>
                <w:sz w:val="16"/>
                <w:szCs w:val="16"/>
              </w:rPr>
            </w:pPr>
            <w:r w:rsidRPr="00A44829">
              <w:rPr>
                <w:rFonts w:cs="Arial"/>
                <w:sz w:val="16"/>
                <w:szCs w:val="16"/>
              </w:rPr>
              <w:t>&gt;1000 vpd</w:t>
            </w:r>
          </w:p>
        </w:tc>
      </w:tr>
      <w:tr w:rsidR="00DC5BE9" w:rsidRPr="003E2D55" w14:paraId="5E214FC8" w14:textId="77777777" w:rsidTr="00B44BBE">
        <w:trPr>
          <w:trHeight w:val="20"/>
          <w:tblHeader/>
        </w:trPr>
        <w:tc>
          <w:tcPr>
            <w:tcW w:w="2268" w:type="dxa"/>
            <w:tcBorders>
              <w:left w:val="nil"/>
              <w:bottom w:val="nil"/>
              <w:right w:val="single" w:sz="18" w:space="0" w:color="5F497A" w:themeColor="accent4" w:themeShade="BF"/>
            </w:tcBorders>
            <w:shd w:val="clear" w:color="auto" w:fill="auto"/>
            <w:vAlign w:val="center"/>
          </w:tcPr>
          <w:p w14:paraId="6422A9B3" w14:textId="77777777" w:rsidR="00DC5BE9" w:rsidRPr="003E2D55" w:rsidRDefault="00DC5BE9" w:rsidP="003E2D55">
            <w:pPr>
              <w:spacing w:before="40" w:after="4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20D51F48" w14:textId="4E42FB15" w:rsidR="00DC5BE9" w:rsidRPr="003E2D55" w:rsidRDefault="00DC5BE9" w:rsidP="003E2D55">
            <w:pPr>
              <w:spacing w:before="40" w:after="40"/>
              <w:jc w:val="right"/>
              <w:rPr>
                <w:rFonts w:cs="Arial"/>
                <w:sz w:val="18"/>
                <w:szCs w:val="18"/>
              </w:rPr>
            </w:pPr>
            <w:r w:rsidRPr="003E2D55">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2B1DCC2C" w14:textId="77777777" w:rsidR="00DC5BE9" w:rsidRPr="003E2D55" w:rsidRDefault="00DC5BE9" w:rsidP="003E2D55">
            <w:pPr>
              <w:spacing w:before="40" w:after="4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312E849C" w14:textId="77777777" w:rsidR="00DC5BE9" w:rsidRPr="003E2D55" w:rsidRDefault="00DC5BE9" w:rsidP="003E2D55">
            <w:pPr>
              <w:spacing w:before="40" w:after="4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60A2193B" w14:textId="77777777" w:rsidR="00DC5BE9" w:rsidRPr="003E2D55" w:rsidRDefault="00DC5BE9" w:rsidP="003E2D55">
            <w:pPr>
              <w:spacing w:before="40" w:after="40"/>
              <w:jc w:val="right"/>
              <w:rPr>
                <w:rFonts w:cs="Arial"/>
                <w:sz w:val="18"/>
                <w:szCs w:val="18"/>
              </w:rPr>
            </w:pPr>
          </w:p>
        </w:tc>
        <w:tc>
          <w:tcPr>
            <w:tcW w:w="1474" w:type="dxa"/>
            <w:tcBorders>
              <w:top w:val="single" w:sz="8" w:space="0" w:color="5F497A" w:themeColor="accent4" w:themeShade="BF"/>
              <w:left w:val="nil"/>
              <w:bottom w:val="nil"/>
              <w:right w:val="nil"/>
            </w:tcBorders>
            <w:shd w:val="clear" w:color="auto" w:fill="auto"/>
            <w:vAlign w:val="bottom"/>
          </w:tcPr>
          <w:p w14:paraId="45AECDFD" w14:textId="7E4659E1" w:rsidR="00DC5BE9" w:rsidRPr="003E2D55" w:rsidRDefault="00DC5BE9" w:rsidP="003E2D55">
            <w:pPr>
              <w:spacing w:before="40" w:after="40"/>
              <w:jc w:val="right"/>
              <w:rPr>
                <w:rFonts w:cs="Arial"/>
                <w:sz w:val="18"/>
                <w:szCs w:val="18"/>
              </w:rPr>
            </w:pPr>
            <w:r w:rsidRPr="003E2D55">
              <w:rPr>
                <w:rFonts w:cs="Arial"/>
                <w:sz w:val="18"/>
                <w:szCs w:val="18"/>
              </w:rPr>
              <w:t> </w:t>
            </w:r>
          </w:p>
        </w:tc>
      </w:tr>
      <w:tr w:rsidR="00DC5BE9" w:rsidRPr="003E2D55" w14:paraId="5C3D658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EFE8293" w14:textId="77777777" w:rsidR="00DC5BE9" w:rsidRPr="003E2D55" w:rsidRDefault="00DC5BE9" w:rsidP="003E2D55">
            <w:pPr>
              <w:spacing w:before="40" w:after="40"/>
              <w:rPr>
                <w:rFonts w:cs="Arial"/>
                <w:sz w:val="18"/>
                <w:szCs w:val="18"/>
              </w:rPr>
            </w:pPr>
            <w:r w:rsidRPr="003E2D55">
              <w:rPr>
                <w:rFonts w:cs="Arial"/>
                <w:sz w:val="18"/>
                <w:szCs w:val="18"/>
              </w:rPr>
              <w:t>Alpine S</w:t>
            </w:r>
          </w:p>
        </w:tc>
        <w:tc>
          <w:tcPr>
            <w:tcW w:w="1361" w:type="dxa"/>
            <w:tcBorders>
              <w:top w:val="nil"/>
              <w:left w:val="single" w:sz="18" w:space="0" w:color="5F497A" w:themeColor="accent4" w:themeShade="BF"/>
              <w:bottom w:val="nil"/>
              <w:right w:val="nil"/>
            </w:tcBorders>
            <w:shd w:val="clear" w:color="auto" w:fill="auto"/>
            <w:vAlign w:val="bottom"/>
          </w:tcPr>
          <w:p w14:paraId="44E40FDA" w14:textId="6BF2FE41" w:rsidR="00DC5BE9" w:rsidRPr="003E2D55" w:rsidRDefault="00DC5BE9" w:rsidP="003E2D55">
            <w:pPr>
              <w:spacing w:before="40" w:after="40"/>
              <w:jc w:val="right"/>
              <w:rPr>
                <w:rFonts w:cs="Arial"/>
                <w:sz w:val="18"/>
                <w:szCs w:val="18"/>
              </w:rPr>
            </w:pPr>
            <w:r w:rsidRPr="003E2D55">
              <w:rPr>
                <w:rFonts w:cs="Arial"/>
                <w:sz w:val="18"/>
                <w:szCs w:val="18"/>
              </w:rPr>
              <w:t>180,429</w:t>
            </w:r>
          </w:p>
        </w:tc>
        <w:tc>
          <w:tcPr>
            <w:tcW w:w="1361" w:type="dxa"/>
            <w:tcBorders>
              <w:top w:val="nil"/>
              <w:left w:val="nil"/>
              <w:bottom w:val="nil"/>
              <w:right w:val="nil"/>
            </w:tcBorders>
            <w:shd w:val="clear" w:color="auto" w:fill="auto"/>
            <w:vAlign w:val="bottom"/>
          </w:tcPr>
          <w:p w14:paraId="7C40FED9" w14:textId="6410E4A5" w:rsidR="00DC5BE9" w:rsidRPr="003E2D55" w:rsidRDefault="00DC5BE9" w:rsidP="003E2D55">
            <w:pPr>
              <w:spacing w:before="40" w:after="40"/>
              <w:jc w:val="right"/>
              <w:rPr>
                <w:rFonts w:cs="Arial"/>
                <w:sz w:val="18"/>
                <w:szCs w:val="18"/>
              </w:rPr>
            </w:pPr>
            <w:r w:rsidRPr="003E2D55">
              <w:rPr>
                <w:rFonts w:cs="Arial"/>
                <w:sz w:val="18"/>
                <w:szCs w:val="18"/>
              </w:rPr>
              <w:t>1,936,676</w:t>
            </w:r>
          </w:p>
        </w:tc>
        <w:tc>
          <w:tcPr>
            <w:tcW w:w="1361" w:type="dxa"/>
            <w:tcBorders>
              <w:top w:val="nil"/>
              <w:left w:val="nil"/>
              <w:bottom w:val="nil"/>
              <w:right w:val="nil"/>
            </w:tcBorders>
            <w:shd w:val="clear" w:color="auto" w:fill="auto"/>
            <w:vAlign w:val="bottom"/>
          </w:tcPr>
          <w:p w14:paraId="647DD72C" w14:textId="77207078" w:rsidR="00DC5BE9" w:rsidRPr="003E2D55" w:rsidRDefault="00DC5BE9" w:rsidP="003E2D55">
            <w:pPr>
              <w:spacing w:before="40" w:after="40"/>
              <w:jc w:val="right"/>
              <w:rPr>
                <w:rFonts w:cs="Arial"/>
                <w:sz w:val="18"/>
                <w:szCs w:val="18"/>
              </w:rPr>
            </w:pPr>
            <w:r w:rsidRPr="003E2D55">
              <w:rPr>
                <w:rFonts w:cs="Arial"/>
                <w:sz w:val="18"/>
                <w:szCs w:val="18"/>
              </w:rPr>
              <w:t>1,978,216</w:t>
            </w:r>
          </w:p>
        </w:tc>
        <w:tc>
          <w:tcPr>
            <w:tcW w:w="1361" w:type="dxa"/>
            <w:tcBorders>
              <w:top w:val="nil"/>
              <w:left w:val="nil"/>
              <w:bottom w:val="nil"/>
              <w:right w:val="nil"/>
            </w:tcBorders>
            <w:shd w:val="clear" w:color="auto" w:fill="auto"/>
            <w:vAlign w:val="bottom"/>
          </w:tcPr>
          <w:p w14:paraId="4AB49511" w14:textId="3287A654" w:rsidR="00DC5BE9" w:rsidRPr="003E2D55" w:rsidRDefault="00DC5BE9" w:rsidP="003E2D55">
            <w:pPr>
              <w:spacing w:before="40" w:after="40"/>
              <w:jc w:val="right"/>
              <w:rPr>
                <w:rFonts w:cs="Arial"/>
                <w:sz w:val="18"/>
                <w:szCs w:val="18"/>
              </w:rPr>
            </w:pPr>
            <w:r w:rsidRPr="003E2D55">
              <w:rPr>
                <w:rFonts w:cs="Arial"/>
                <w:sz w:val="18"/>
                <w:szCs w:val="18"/>
              </w:rPr>
              <w:t>46,810</w:t>
            </w:r>
          </w:p>
        </w:tc>
        <w:tc>
          <w:tcPr>
            <w:tcW w:w="1474" w:type="dxa"/>
            <w:tcBorders>
              <w:top w:val="nil"/>
              <w:left w:val="nil"/>
              <w:bottom w:val="nil"/>
              <w:right w:val="nil"/>
            </w:tcBorders>
            <w:shd w:val="clear" w:color="auto" w:fill="auto"/>
            <w:vAlign w:val="bottom"/>
          </w:tcPr>
          <w:p w14:paraId="0CC77E1A" w14:textId="1904AC60" w:rsidR="00DC5BE9" w:rsidRPr="003E2D55" w:rsidRDefault="00DC5BE9" w:rsidP="003E2D55">
            <w:pPr>
              <w:spacing w:before="40" w:after="40"/>
              <w:jc w:val="right"/>
              <w:rPr>
                <w:rFonts w:cs="Arial"/>
                <w:sz w:val="18"/>
                <w:szCs w:val="18"/>
              </w:rPr>
            </w:pPr>
            <w:r w:rsidRPr="003E2D55">
              <w:rPr>
                <w:rFonts w:cs="Arial"/>
                <w:sz w:val="18"/>
                <w:szCs w:val="18"/>
              </w:rPr>
              <w:t>96,849</w:t>
            </w:r>
          </w:p>
        </w:tc>
      </w:tr>
      <w:tr w:rsidR="00DC5BE9" w:rsidRPr="003E2D55" w14:paraId="6AA73BF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A6C4A07" w14:textId="77777777" w:rsidR="00DC5BE9" w:rsidRPr="003E2D55" w:rsidRDefault="00DC5BE9" w:rsidP="003E2D55">
            <w:pPr>
              <w:spacing w:before="40" w:after="40"/>
              <w:rPr>
                <w:rFonts w:cs="Arial"/>
                <w:sz w:val="18"/>
                <w:szCs w:val="18"/>
              </w:rPr>
            </w:pPr>
            <w:r w:rsidRPr="003E2D55">
              <w:rPr>
                <w:rFonts w:cs="Arial"/>
                <w:sz w:val="18"/>
                <w:szCs w:val="18"/>
              </w:rPr>
              <w:t>Ararat RC</w:t>
            </w:r>
          </w:p>
        </w:tc>
        <w:tc>
          <w:tcPr>
            <w:tcW w:w="1361" w:type="dxa"/>
            <w:tcBorders>
              <w:top w:val="nil"/>
              <w:left w:val="single" w:sz="18" w:space="0" w:color="5F497A" w:themeColor="accent4" w:themeShade="BF"/>
              <w:bottom w:val="nil"/>
              <w:right w:val="nil"/>
            </w:tcBorders>
            <w:shd w:val="clear" w:color="auto" w:fill="auto"/>
            <w:vAlign w:val="bottom"/>
          </w:tcPr>
          <w:p w14:paraId="6760B68C" w14:textId="635599C4" w:rsidR="00DC5BE9" w:rsidRPr="003E2D55" w:rsidRDefault="00DC5BE9" w:rsidP="003E2D55">
            <w:pPr>
              <w:spacing w:before="40" w:after="40"/>
              <w:jc w:val="right"/>
              <w:rPr>
                <w:rFonts w:cs="Arial"/>
                <w:sz w:val="18"/>
                <w:szCs w:val="18"/>
              </w:rPr>
            </w:pPr>
            <w:r w:rsidRPr="003E2D55">
              <w:rPr>
                <w:rFonts w:cs="Arial"/>
                <w:sz w:val="18"/>
                <w:szCs w:val="18"/>
              </w:rPr>
              <w:t>223,593</w:t>
            </w:r>
          </w:p>
        </w:tc>
        <w:tc>
          <w:tcPr>
            <w:tcW w:w="1361" w:type="dxa"/>
            <w:tcBorders>
              <w:top w:val="nil"/>
              <w:left w:val="nil"/>
              <w:bottom w:val="nil"/>
              <w:right w:val="nil"/>
            </w:tcBorders>
            <w:shd w:val="clear" w:color="auto" w:fill="auto"/>
            <w:vAlign w:val="bottom"/>
          </w:tcPr>
          <w:p w14:paraId="0448080F" w14:textId="65F8EB90" w:rsidR="00DC5BE9" w:rsidRPr="003E2D55" w:rsidRDefault="00DC5BE9" w:rsidP="003E2D55">
            <w:pPr>
              <w:spacing w:before="40" w:after="40"/>
              <w:jc w:val="right"/>
              <w:rPr>
                <w:rFonts w:cs="Arial"/>
                <w:sz w:val="18"/>
                <w:szCs w:val="18"/>
              </w:rPr>
            </w:pPr>
            <w:r w:rsidRPr="003E2D55">
              <w:rPr>
                <w:rFonts w:cs="Arial"/>
                <w:sz w:val="18"/>
                <w:szCs w:val="18"/>
              </w:rPr>
              <w:t>8,974,497</w:t>
            </w:r>
          </w:p>
        </w:tc>
        <w:tc>
          <w:tcPr>
            <w:tcW w:w="1361" w:type="dxa"/>
            <w:tcBorders>
              <w:top w:val="nil"/>
              <w:left w:val="nil"/>
              <w:bottom w:val="nil"/>
              <w:right w:val="nil"/>
            </w:tcBorders>
            <w:shd w:val="clear" w:color="auto" w:fill="auto"/>
            <w:vAlign w:val="bottom"/>
          </w:tcPr>
          <w:p w14:paraId="5A69C9D7" w14:textId="1971DAB7" w:rsidR="00DC5BE9" w:rsidRPr="003E2D55" w:rsidRDefault="00DC5BE9" w:rsidP="003E2D55">
            <w:pPr>
              <w:spacing w:before="40" w:after="40"/>
              <w:jc w:val="right"/>
              <w:rPr>
                <w:rFonts w:cs="Arial"/>
                <w:sz w:val="18"/>
                <w:szCs w:val="18"/>
              </w:rPr>
            </w:pPr>
            <w:r w:rsidRPr="003E2D55">
              <w:rPr>
                <w:rFonts w:cs="Arial"/>
                <w:sz w:val="18"/>
                <w:szCs w:val="18"/>
              </w:rPr>
              <w:t>1,320,631</w:t>
            </w:r>
          </w:p>
        </w:tc>
        <w:tc>
          <w:tcPr>
            <w:tcW w:w="1361" w:type="dxa"/>
            <w:tcBorders>
              <w:top w:val="nil"/>
              <w:left w:val="nil"/>
              <w:bottom w:val="nil"/>
              <w:right w:val="nil"/>
            </w:tcBorders>
            <w:shd w:val="clear" w:color="auto" w:fill="auto"/>
            <w:vAlign w:val="bottom"/>
          </w:tcPr>
          <w:p w14:paraId="27712542" w14:textId="3FE06B6F" w:rsidR="00DC5BE9" w:rsidRPr="003E2D55" w:rsidRDefault="00DC5BE9" w:rsidP="003E2D55">
            <w:pPr>
              <w:spacing w:before="40" w:after="40"/>
              <w:jc w:val="right"/>
              <w:rPr>
                <w:rFonts w:cs="Arial"/>
                <w:sz w:val="18"/>
                <w:szCs w:val="18"/>
              </w:rPr>
            </w:pPr>
            <w:r w:rsidRPr="003E2D55">
              <w:rPr>
                <w:rFonts w:cs="Arial"/>
                <w:sz w:val="18"/>
                <w:szCs w:val="18"/>
              </w:rPr>
              <w:t>0</w:t>
            </w:r>
          </w:p>
        </w:tc>
        <w:tc>
          <w:tcPr>
            <w:tcW w:w="1474" w:type="dxa"/>
            <w:tcBorders>
              <w:top w:val="nil"/>
              <w:left w:val="nil"/>
              <w:bottom w:val="nil"/>
              <w:right w:val="nil"/>
            </w:tcBorders>
            <w:shd w:val="clear" w:color="auto" w:fill="auto"/>
            <w:vAlign w:val="bottom"/>
          </w:tcPr>
          <w:p w14:paraId="3AAF1AE3" w14:textId="1F8649B5"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6AD9D31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CB5950E" w14:textId="77777777" w:rsidR="00DC5BE9" w:rsidRPr="003E2D55" w:rsidRDefault="00DC5BE9" w:rsidP="003E2D55">
            <w:pPr>
              <w:spacing w:before="40" w:after="40"/>
              <w:rPr>
                <w:rFonts w:cs="Arial"/>
                <w:sz w:val="18"/>
                <w:szCs w:val="18"/>
              </w:rPr>
            </w:pPr>
            <w:r w:rsidRPr="003E2D55">
              <w:rPr>
                <w:rFonts w:cs="Arial"/>
                <w:sz w:val="18"/>
                <w:szCs w:val="18"/>
              </w:rPr>
              <w:t xml:space="preserve">Ballarat C </w:t>
            </w:r>
          </w:p>
        </w:tc>
        <w:tc>
          <w:tcPr>
            <w:tcW w:w="1361" w:type="dxa"/>
            <w:tcBorders>
              <w:top w:val="nil"/>
              <w:left w:val="single" w:sz="18" w:space="0" w:color="5F497A" w:themeColor="accent4" w:themeShade="BF"/>
              <w:bottom w:val="nil"/>
              <w:right w:val="nil"/>
            </w:tcBorders>
            <w:shd w:val="clear" w:color="auto" w:fill="auto"/>
            <w:vAlign w:val="bottom"/>
          </w:tcPr>
          <w:p w14:paraId="4D2417BF" w14:textId="7DC66A0F" w:rsidR="00DC5BE9" w:rsidRPr="003E2D55" w:rsidRDefault="00DC5BE9" w:rsidP="003E2D55">
            <w:pPr>
              <w:spacing w:before="40" w:after="40"/>
              <w:jc w:val="right"/>
              <w:rPr>
                <w:rFonts w:cs="Arial"/>
                <w:sz w:val="18"/>
                <w:szCs w:val="18"/>
              </w:rPr>
            </w:pPr>
            <w:r w:rsidRPr="003E2D55">
              <w:rPr>
                <w:rFonts w:cs="Arial"/>
                <w:sz w:val="18"/>
                <w:szCs w:val="18"/>
              </w:rPr>
              <w:t>24,622</w:t>
            </w:r>
          </w:p>
        </w:tc>
        <w:tc>
          <w:tcPr>
            <w:tcW w:w="1361" w:type="dxa"/>
            <w:tcBorders>
              <w:top w:val="nil"/>
              <w:left w:val="nil"/>
              <w:bottom w:val="nil"/>
              <w:right w:val="nil"/>
            </w:tcBorders>
            <w:shd w:val="clear" w:color="auto" w:fill="auto"/>
            <w:vAlign w:val="bottom"/>
          </w:tcPr>
          <w:p w14:paraId="7CAFD62C" w14:textId="3FDFC254" w:rsidR="00DC5BE9" w:rsidRPr="003E2D55" w:rsidRDefault="00DC5BE9" w:rsidP="003E2D55">
            <w:pPr>
              <w:spacing w:before="40" w:after="40"/>
              <w:jc w:val="right"/>
              <w:rPr>
                <w:rFonts w:cs="Arial"/>
                <w:sz w:val="18"/>
                <w:szCs w:val="18"/>
              </w:rPr>
            </w:pPr>
            <w:r w:rsidRPr="003E2D55">
              <w:rPr>
                <w:rFonts w:cs="Arial"/>
                <w:sz w:val="18"/>
                <w:szCs w:val="18"/>
              </w:rPr>
              <w:t>1,836,883</w:t>
            </w:r>
          </w:p>
        </w:tc>
        <w:tc>
          <w:tcPr>
            <w:tcW w:w="1361" w:type="dxa"/>
            <w:tcBorders>
              <w:top w:val="nil"/>
              <w:left w:val="nil"/>
              <w:bottom w:val="nil"/>
              <w:right w:val="nil"/>
            </w:tcBorders>
            <w:shd w:val="clear" w:color="auto" w:fill="auto"/>
            <w:vAlign w:val="bottom"/>
          </w:tcPr>
          <w:p w14:paraId="00B84362" w14:textId="062ED42E" w:rsidR="00DC5BE9" w:rsidRPr="003E2D55" w:rsidRDefault="00DC5BE9" w:rsidP="003E2D55">
            <w:pPr>
              <w:spacing w:before="40" w:after="40"/>
              <w:jc w:val="right"/>
              <w:rPr>
                <w:rFonts w:cs="Arial"/>
                <w:sz w:val="18"/>
                <w:szCs w:val="18"/>
              </w:rPr>
            </w:pPr>
            <w:r w:rsidRPr="003E2D55">
              <w:rPr>
                <w:rFonts w:cs="Arial"/>
                <w:sz w:val="18"/>
                <w:szCs w:val="18"/>
              </w:rPr>
              <w:t>1,748,001</w:t>
            </w:r>
          </w:p>
        </w:tc>
        <w:tc>
          <w:tcPr>
            <w:tcW w:w="1361" w:type="dxa"/>
            <w:tcBorders>
              <w:top w:val="nil"/>
              <w:left w:val="nil"/>
              <w:bottom w:val="nil"/>
              <w:right w:val="nil"/>
            </w:tcBorders>
            <w:shd w:val="clear" w:color="auto" w:fill="auto"/>
            <w:vAlign w:val="bottom"/>
          </w:tcPr>
          <w:p w14:paraId="37FDC192" w14:textId="4D8E9D03" w:rsidR="00DC5BE9" w:rsidRPr="003E2D55" w:rsidRDefault="00DC5BE9" w:rsidP="003E2D55">
            <w:pPr>
              <w:spacing w:before="40" w:after="40"/>
              <w:jc w:val="right"/>
              <w:rPr>
                <w:rFonts w:cs="Arial"/>
                <w:sz w:val="18"/>
                <w:szCs w:val="18"/>
              </w:rPr>
            </w:pPr>
            <w:r w:rsidRPr="003E2D55">
              <w:rPr>
                <w:rFonts w:cs="Arial"/>
                <w:sz w:val="18"/>
                <w:szCs w:val="18"/>
              </w:rPr>
              <w:t>451,953</w:t>
            </w:r>
          </w:p>
        </w:tc>
        <w:tc>
          <w:tcPr>
            <w:tcW w:w="1474" w:type="dxa"/>
            <w:tcBorders>
              <w:top w:val="nil"/>
              <w:left w:val="nil"/>
              <w:bottom w:val="nil"/>
              <w:right w:val="nil"/>
            </w:tcBorders>
            <w:shd w:val="clear" w:color="auto" w:fill="auto"/>
            <w:vAlign w:val="bottom"/>
          </w:tcPr>
          <w:p w14:paraId="1CF7D602" w14:textId="732A4DAF" w:rsidR="00DC5BE9" w:rsidRPr="003E2D55" w:rsidRDefault="00DC5BE9" w:rsidP="003E2D55">
            <w:pPr>
              <w:spacing w:before="40" w:after="40"/>
              <w:jc w:val="right"/>
              <w:rPr>
                <w:rFonts w:cs="Arial"/>
                <w:sz w:val="18"/>
                <w:szCs w:val="18"/>
              </w:rPr>
            </w:pPr>
            <w:r w:rsidRPr="003E2D55">
              <w:rPr>
                <w:rFonts w:cs="Arial"/>
                <w:sz w:val="18"/>
                <w:szCs w:val="18"/>
              </w:rPr>
              <w:t>199,611</w:t>
            </w:r>
          </w:p>
        </w:tc>
      </w:tr>
      <w:tr w:rsidR="00DC5BE9" w:rsidRPr="003E2D55" w14:paraId="53FA8C1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1849E7B" w14:textId="77777777" w:rsidR="00DC5BE9" w:rsidRPr="003E2D55" w:rsidRDefault="00DC5BE9" w:rsidP="003E2D55">
            <w:pPr>
              <w:spacing w:before="40" w:after="40"/>
              <w:rPr>
                <w:rFonts w:cs="Arial"/>
                <w:sz w:val="18"/>
                <w:szCs w:val="18"/>
              </w:rPr>
            </w:pPr>
            <w:r w:rsidRPr="003E2D55">
              <w:rPr>
                <w:rFonts w:cs="Arial"/>
                <w:sz w:val="18"/>
                <w:szCs w:val="18"/>
              </w:rPr>
              <w:t>Banyule C</w:t>
            </w:r>
          </w:p>
        </w:tc>
        <w:tc>
          <w:tcPr>
            <w:tcW w:w="1361" w:type="dxa"/>
            <w:tcBorders>
              <w:top w:val="nil"/>
              <w:left w:val="single" w:sz="18" w:space="0" w:color="5F497A" w:themeColor="accent4" w:themeShade="BF"/>
              <w:bottom w:val="nil"/>
              <w:right w:val="nil"/>
            </w:tcBorders>
            <w:shd w:val="clear" w:color="auto" w:fill="auto"/>
            <w:vAlign w:val="bottom"/>
          </w:tcPr>
          <w:p w14:paraId="17C0AF46" w14:textId="38F32B5C"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5610DB0F" w14:textId="63D33AC4"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5FB0A4FD" w14:textId="398262F2"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16B6763F" w14:textId="5A1AAD69" w:rsidR="00DC5BE9" w:rsidRPr="003E2D55" w:rsidRDefault="00DC5BE9" w:rsidP="003E2D55">
            <w:pPr>
              <w:spacing w:before="40" w:after="40"/>
              <w:jc w:val="right"/>
              <w:rPr>
                <w:rFonts w:cs="Arial"/>
                <w:sz w:val="18"/>
                <w:szCs w:val="18"/>
              </w:rPr>
            </w:pPr>
            <w:r w:rsidRPr="003E2D55">
              <w:rPr>
                <w:rFonts w:cs="Arial"/>
                <w:sz w:val="18"/>
                <w:szCs w:val="18"/>
              </w:rPr>
              <w:t>0</w:t>
            </w:r>
          </w:p>
        </w:tc>
        <w:tc>
          <w:tcPr>
            <w:tcW w:w="1474" w:type="dxa"/>
            <w:tcBorders>
              <w:top w:val="nil"/>
              <w:left w:val="nil"/>
              <w:bottom w:val="nil"/>
              <w:right w:val="nil"/>
            </w:tcBorders>
            <w:shd w:val="clear" w:color="auto" w:fill="auto"/>
            <w:vAlign w:val="bottom"/>
          </w:tcPr>
          <w:p w14:paraId="70E31DC9" w14:textId="4C7B8AA2"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60F3431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DDE74E0" w14:textId="77777777" w:rsidR="00DC5BE9" w:rsidRPr="003E2D55" w:rsidRDefault="00DC5BE9" w:rsidP="003E2D55">
            <w:pPr>
              <w:spacing w:before="40" w:after="40"/>
              <w:rPr>
                <w:rFonts w:cs="Arial"/>
                <w:sz w:val="18"/>
                <w:szCs w:val="18"/>
              </w:rPr>
            </w:pPr>
            <w:r w:rsidRPr="003E2D55">
              <w:rPr>
                <w:rFonts w:cs="Arial"/>
                <w:sz w:val="18"/>
                <w:szCs w:val="18"/>
              </w:rPr>
              <w:t>Bass Coast S</w:t>
            </w:r>
          </w:p>
        </w:tc>
        <w:tc>
          <w:tcPr>
            <w:tcW w:w="1361" w:type="dxa"/>
            <w:tcBorders>
              <w:top w:val="nil"/>
              <w:left w:val="single" w:sz="18" w:space="0" w:color="5F497A" w:themeColor="accent4" w:themeShade="BF"/>
              <w:bottom w:val="nil"/>
              <w:right w:val="nil"/>
            </w:tcBorders>
            <w:shd w:val="clear" w:color="auto" w:fill="auto"/>
            <w:vAlign w:val="bottom"/>
          </w:tcPr>
          <w:p w14:paraId="6A3699A0" w14:textId="3A823B80" w:rsidR="00DC5BE9" w:rsidRPr="003E2D55" w:rsidRDefault="00DC5BE9" w:rsidP="003E2D55">
            <w:pPr>
              <w:spacing w:before="40" w:after="40"/>
              <w:jc w:val="right"/>
              <w:rPr>
                <w:rFonts w:cs="Arial"/>
                <w:sz w:val="18"/>
                <w:szCs w:val="18"/>
              </w:rPr>
            </w:pPr>
            <w:r w:rsidRPr="003E2D55">
              <w:rPr>
                <w:rFonts w:cs="Arial"/>
                <w:sz w:val="18"/>
                <w:szCs w:val="18"/>
              </w:rPr>
              <w:t>728</w:t>
            </w:r>
          </w:p>
        </w:tc>
        <w:tc>
          <w:tcPr>
            <w:tcW w:w="1361" w:type="dxa"/>
            <w:tcBorders>
              <w:top w:val="nil"/>
              <w:left w:val="nil"/>
              <w:bottom w:val="nil"/>
              <w:right w:val="nil"/>
            </w:tcBorders>
            <w:shd w:val="clear" w:color="auto" w:fill="auto"/>
            <w:vAlign w:val="bottom"/>
          </w:tcPr>
          <w:p w14:paraId="4BB090AD" w14:textId="31315E64" w:rsidR="00DC5BE9" w:rsidRPr="003E2D55" w:rsidRDefault="00DC5BE9" w:rsidP="003E2D55">
            <w:pPr>
              <w:spacing w:before="40" w:after="40"/>
              <w:jc w:val="right"/>
              <w:rPr>
                <w:rFonts w:cs="Arial"/>
                <w:sz w:val="18"/>
                <w:szCs w:val="18"/>
              </w:rPr>
            </w:pPr>
            <w:r w:rsidRPr="003E2D55">
              <w:rPr>
                <w:rFonts w:cs="Arial"/>
                <w:sz w:val="18"/>
                <w:szCs w:val="18"/>
              </w:rPr>
              <w:t>1,259,298</w:t>
            </w:r>
          </w:p>
        </w:tc>
        <w:tc>
          <w:tcPr>
            <w:tcW w:w="1361" w:type="dxa"/>
            <w:tcBorders>
              <w:top w:val="nil"/>
              <w:left w:val="nil"/>
              <w:bottom w:val="nil"/>
              <w:right w:val="nil"/>
            </w:tcBorders>
            <w:shd w:val="clear" w:color="auto" w:fill="auto"/>
            <w:vAlign w:val="bottom"/>
          </w:tcPr>
          <w:p w14:paraId="4FAB18DC" w14:textId="4DFEE158" w:rsidR="00DC5BE9" w:rsidRPr="003E2D55" w:rsidRDefault="00DC5BE9" w:rsidP="003E2D55">
            <w:pPr>
              <w:spacing w:before="40" w:after="40"/>
              <w:jc w:val="right"/>
              <w:rPr>
                <w:rFonts w:cs="Arial"/>
                <w:sz w:val="18"/>
                <w:szCs w:val="18"/>
              </w:rPr>
            </w:pPr>
            <w:r w:rsidRPr="003E2D55">
              <w:rPr>
                <w:rFonts w:cs="Arial"/>
                <w:sz w:val="18"/>
                <w:szCs w:val="18"/>
              </w:rPr>
              <w:t>2,357,406</w:t>
            </w:r>
          </w:p>
        </w:tc>
        <w:tc>
          <w:tcPr>
            <w:tcW w:w="1361" w:type="dxa"/>
            <w:tcBorders>
              <w:top w:val="nil"/>
              <w:left w:val="nil"/>
              <w:bottom w:val="nil"/>
              <w:right w:val="nil"/>
            </w:tcBorders>
            <w:shd w:val="clear" w:color="auto" w:fill="auto"/>
            <w:vAlign w:val="bottom"/>
          </w:tcPr>
          <w:p w14:paraId="71E58BDB" w14:textId="4617BD97" w:rsidR="00DC5BE9" w:rsidRPr="003E2D55" w:rsidRDefault="00DC5BE9" w:rsidP="003E2D55">
            <w:pPr>
              <w:spacing w:before="40" w:after="40"/>
              <w:jc w:val="right"/>
              <w:rPr>
                <w:rFonts w:cs="Arial"/>
                <w:sz w:val="18"/>
                <w:szCs w:val="18"/>
              </w:rPr>
            </w:pPr>
            <w:r w:rsidRPr="003E2D55">
              <w:rPr>
                <w:rFonts w:cs="Arial"/>
                <w:sz w:val="18"/>
                <w:szCs w:val="18"/>
              </w:rPr>
              <w:t>578,424</w:t>
            </w:r>
          </w:p>
        </w:tc>
        <w:tc>
          <w:tcPr>
            <w:tcW w:w="1474" w:type="dxa"/>
            <w:tcBorders>
              <w:top w:val="nil"/>
              <w:left w:val="nil"/>
              <w:bottom w:val="nil"/>
              <w:right w:val="nil"/>
            </w:tcBorders>
            <w:shd w:val="clear" w:color="auto" w:fill="auto"/>
            <w:vAlign w:val="bottom"/>
          </w:tcPr>
          <w:p w14:paraId="0E334BE5" w14:textId="17D134C8" w:rsidR="00DC5BE9" w:rsidRPr="003E2D55" w:rsidRDefault="00DC5BE9" w:rsidP="003E2D55">
            <w:pPr>
              <w:spacing w:before="40" w:after="40"/>
              <w:jc w:val="right"/>
              <w:rPr>
                <w:rFonts w:cs="Arial"/>
                <w:sz w:val="18"/>
                <w:szCs w:val="18"/>
              </w:rPr>
            </w:pPr>
            <w:r w:rsidRPr="003E2D55">
              <w:rPr>
                <w:rFonts w:cs="Arial"/>
                <w:sz w:val="18"/>
                <w:szCs w:val="18"/>
              </w:rPr>
              <w:t>388,757</w:t>
            </w:r>
          </w:p>
        </w:tc>
      </w:tr>
      <w:tr w:rsidR="00DC5BE9" w:rsidRPr="003E2D55" w14:paraId="37FCA98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F60C9D3" w14:textId="77777777" w:rsidR="00DC5BE9" w:rsidRPr="003E2D55" w:rsidRDefault="00DC5BE9" w:rsidP="003E2D55">
            <w:pPr>
              <w:spacing w:before="40" w:after="40"/>
              <w:rPr>
                <w:rFonts w:cs="Arial"/>
                <w:sz w:val="18"/>
                <w:szCs w:val="18"/>
              </w:rPr>
            </w:pPr>
            <w:r w:rsidRPr="003E2D55">
              <w:rPr>
                <w:rFonts w:cs="Arial"/>
                <w:sz w:val="18"/>
                <w:szCs w:val="18"/>
              </w:rPr>
              <w:t>Baw Baw S</w:t>
            </w:r>
          </w:p>
        </w:tc>
        <w:tc>
          <w:tcPr>
            <w:tcW w:w="1361" w:type="dxa"/>
            <w:tcBorders>
              <w:top w:val="nil"/>
              <w:left w:val="single" w:sz="18" w:space="0" w:color="5F497A" w:themeColor="accent4" w:themeShade="BF"/>
              <w:bottom w:val="nil"/>
              <w:right w:val="nil"/>
            </w:tcBorders>
            <w:shd w:val="clear" w:color="auto" w:fill="auto"/>
            <w:vAlign w:val="bottom"/>
          </w:tcPr>
          <w:p w14:paraId="6F2B9E02" w14:textId="4FE297D9" w:rsidR="00DC5BE9" w:rsidRPr="003E2D55" w:rsidRDefault="00DC5BE9" w:rsidP="003E2D55">
            <w:pPr>
              <w:spacing w:before="40" w:after="40"/>
              <w:jc w:val="right"/>
              <w:rPr>
                <w:rFonts w:cs="Arial"/>
                <w:sz w:val="18"/>
                <w:szCs w:val="18"/>
              </w:rPr>
            </w:pPr>
            <w:r w:rsidRPr="003E2D55">
              <w:rPr>
                <w:rFonts w:cs="Arial"/>
                <w:sz w:val="18"/>
                <w:szCs w:val="18"/>
              </w:rPr>
              <w:t>143,504</w:t>
            </w:r>
          </w:p>
        </w:tc>
        <w:tc>
          <w:tcPr>
            <w:tcW w:w="1361" w:type="dxa"/>
            <w:tcBorders>
              <w:top w:val="nil"/>
              <w:left w:val="nil"/>
              <w:bottom w:val="nil"/>
              <w:right w:val="nil"/>
            </w:tcBorders>
            <w:shd w:val="clear" w:color="auto" w:fill="auto"/>
            <w:vAlign w:val="bottom"/>
          </w:tcPr>
          <w:p w14:paraId="7759A464" w14:textId="42E84CB4" w:rsidR="00DC5BE9" w:rsidRPr="003E2D55" w:rsidRDefault="00DC5BE9" w:rsidP="003E2D55">
            <w:pPr>
              <w:spacing w:before="40" w:after="40"/>
              <w:jc w:val="right"/>
              <w:rPr>
                <w:rFonts w:cs="Arial"/>
                <w:sz w:val="18"/>
                <w:szCs w:val="18"/>
              </w:rPr>
            </w:pPr>
            <w:r w:rsidRPr="003E2D55">
              <w:rPr>
                <w:rFonts w:cs="Arial"/>
                <w:sz w:val="18"/>
                <w:szCs w:val="18"/>
              </w:rPr>
              <w:t>6,444,483</w:t>
            </w:r>
          </w:p>
        </w:tc>
        <w:tc>
          <w:tcPr>
            <w:tcW w:w="1361" w:type="dxa"/>
            <w:tcBorders>
              <w:top w:val="nil"/>
              <w:left w:val="nil"/>
              <w:bottom w:val="nil"/>
              <w:right w:val="nil"/>
            </w:tcBorders>
            <w:shd w:val="clear" w:color="auto" w:fill="auto"/>
            <w:vAlign w:val="bottom"/>
          </w:tcPr>
          <w:p w14:paraId="45047F4C" w14:textId="64D36C4E" w:rsidR="00DC5BE9" w:rsidRPr="003E2D55" w:rsidRDefault="00DC5BE9" w:rsidP="003E2D55">
            <w:pPr>
              <w:spacing w:before="40" w:after="40"/>
              <w:jc w:val="right"/>
              <w:rPr>
                <w:rFonts w:cs="Arial"/>
                <w:sz w:val="18"/>
                <w:szCs w:val="18"/>
              </w:rPr>
            </w:pPr>
            <w:r w:rsidRPr="003E2D55">
              <w:rPr>
                <w:rFonts w:cs="Arial"/>
                <w:sz w:val="18"/>
                <w:szCs w:val="18"/>
              </w:rPr>
              <w:t>5,385,721</w:t>
            </w:r>
          </w:p>
        </w:tc>
        <w:tc>
          <w:tcPr>
            <w:tcW w:w="1361" w:type="dxa"/>
            <w:tcBorders>
              <w:top w:val="nil"/>
              <w:left w:val="nil"/>
              <w:bottom w:val="nil"/>
              <w:right w:val="nil"/>
            </w:tcBorders>
            <w:shd w:val="clear" w:color="auto" w:fill="auto"/>
            <w:vAlign w:val="bottom"/>
          </w:tcPr>
          <w:p w14:paraId="589460E6" w14:textId="1DEEE127" w:rsidR="00DC5BE9" w:rsidRPr="003E2D55" w:rsidRDefault="00DC5BE9" w:rsidP="003E2D55">
            <w:pPr>
              <w:spacing w:before="40" w:after="40"/>
              <w:jc w:val="right"/>
              <w:rPr>
                <w:rFonts w:cs="Arial"/>
                <w:sz w:val="18"/>
                <w:szCs w:val="18"/>
              </w:rPr>
            </w:pPr>
            <w:r w:rsidRPr="003E2D55">
              <w:rPr>
                <w:rFonts w:cs="Arial"/>
                <w:sz w:val="18"/>
                <w:szCs w:val="18"/>
              </w:rPr>
              <w:t>993,502</w:t>
            </w:r>
          </w:p>
        </w:tc>
        <w:tc>
          <w:tcPr>
            <w:tcW w:w="1474" w:type="dxa"/>
            <w:tcBorders>
              <w:top w:val="nil"/>
              <w:left w:val="nil"/>
              <w:bottom w:val="nil"/>
              <w:right w:val="nil"/>
            </w:tcBorders>
            <w:shd w:val="clear" w:color="auto" w:fill="auto"/>
            <w:vAlign w:val="bottom"/>
          </w:tcPr>
          <w:p w14:paraId="4F562CAC" w14:textId="70404F76" w:rsidR="00DC5BE9" w:rsidRPr="003E2D55" w:rsidRDefault="00DC5BE9" w:rsidP="003E2D55">
            <w:pPr>
              <w:spacing w:before="40" w:after="40"/>
              <w:jc w:val="right"/>
              <w:rPr>
                <w:rFonts w:cs="Arial"/>
                <w:sz w:val="18"/>
                <w:szCs w:val="18"/>
              </w:rPr>
            </w:pPr>
            <w:r w:rsidRPr="003E2D55">
              <w:rPr>
                <w:rFonts w:cs="Arial"/>
                <w:sz w:val="18"/>
                <w:szCs w:val="18"/>
              </w:rPr>
              <w:t>302,052</w:t>
            </w:r>
          </w:p>
        </w:tc>
      </w:tr>
      <w:tr w:rsidR="00DC5BE9" w:rsidRPr="003E2D55" w14:paraId="7BCE6E0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2FFD70F" w14:textId="77777777" w:rsidR="00DC5BE9" w:rsidRPr="003E2D55" w:rsidRDefault="00DC5BE9" w:rsidP="003E2D55">
            <w:pPr>
              <w:spacing w:before="40" w:after="40"/>
              <w:rPr>
                <w:rFonts w:cs="Arial"/>
                <w:sz w:val="18"/>
                <w:szCs w:val="18"/>
              </w:rPr>
            </w:pPr>
            <w:r w:rsidRPr="003E2D55">
              <w:rPr>
                <w:rFonts w:cs="Arial"/>
                <w:sz w:val="18"/>
                <w:szCs w:val="18"/>
              </w:rPr>
              <w:t>Bayside C</w:t>
            </w:r>
          </w:p>
        </w:tc>
        <w:tc>
          <w:tcPr>
            <w:tcW w:w="1361" w:type="dxa"/>
            <w:tcBorders>
              <w:top w:val="nil"/>
              <w:left w:val="single" w:sz="18" w:space="0" w:color="5F497A" w:themeColor="accent4" w:themeShade="BF"/>
              <w:bottom w:val="nil"/>
              <w:right w:val="nil"/>
            </w:tcBorders>
            <w:shd w:val="clear" w:color="auto" w:fill="auto"/>
            <w:vAlign w:val="bottom"/>
          </w:tcPr>
          <w:p w14:paraId="5BEA5DCC" w14:textId="6E3547D8"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491D44FC" w14:textId="0D120B8E"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02EC4447" w14:textId="0851F139"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3D040B45" w14:textId="4A9FD8BF" w:rsidR="00DC5BE9" w:rsidRPr="003E2D55" w:rsidRDefault="00DC5BE9" w:rsidP="003E2D55">
            <w:pPr>
              <w:spacing w:before="40" w:after="40"/>
              <w:jc w:val="right"/>
              <w:rPr>
                <w:rFonts w:cs="Arial"/>
                <w:sz w:val="18"/>
                <w:szCs w:val="18"/>
              </w:rPr>
            </w:pPr>
            <w:r w:rsidRPr="003E2D55">
              <w:rPr>
                <w:rFonts w:cs="Arial"/>
                <w:sz w:val="18"/>
                <w:szCs w:val="18"/>
              </w:rPr>
              <w:t>0</w:t>
            </w:r>
          </w:p>
        </w:tc>
        <w:tc>
          <w:tcPr>
            <w:tcW w:w="1474" w:type="dxa"/>
            <w:tcBorders>
              <w:top w:val="nil"/>
              <w:left w:val="nil"/>
              <w:bottom w:val="nil"/>
              <w:right w:val="nil"/>
            </w:tcBorders>
            <w:shd w:val="clear" w:color="auto" w:fill="auto"/>
            <w:vAlign w:val="bottom"/>
          </w:tcPr>
          <w:p w14:paraId="5F3127BD" w14:textId="714AE456"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66F8D98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960D43F" w14:textId="77777777" w:rsidR="00DC5BE9" w:rsidRPr="003E2D55" w:rsidRDefault="00DC5BE9" w:rsidP="003E2D55">
            <w:pPr>
              <w:spacing w:before="40" w:after="40"/>
              <w:rPr>
                <w:rFonts w:cs="Arial"/>
                <w:sz w:val="18"/>
                <w:szCs w:val="18"/>
              </w:rPr>
            </w:pPr>
            <w:r w:rsidRPr="003E2D55">
              <w:rPr>
                <w:rFonts w:cs="Arial"/>
                <w:sz w:val="18"/>
                <w:szCs w:val="18"/>
              </w:rPr>
              <w:t>Benalla RC</w:t>
            </w:r>
          </w:p>
        </w:tc>
        <w:tc>
          <w:tcPr>
            <w:tcW w:w="1361" w:type="dxa"/>
            <w:tcBorders>
              <w:top w:val="nil"/>
              <w:left w:val="single" w:sz="18" w:space="0" w:color="5F497A" w:themeColor="accent4" w:themeShade="BF"/>
              <w:bottom w:val="nil"/>
              <w:right w:val="nil"/>
            </w:tcBorders>
            <w:shd w:val="clear" w:color="auto" w:fill="auto"/>
            <w:vAlign w:val="bottom"/>
          </w:tcPr>
          <w:p w14:paraId="52BB418A" w14:textId="6126A5FC" w:rsidR="00DC5BE9" w:rsidRPr="003E2D55" w:rsidRDefault="00DC5BE9" w:rsidP="003E2D55">
            <w:pPr>
              <w:spacing w:before="40" w:after="40"/>
              <w:jc w:val="right"/>
              <w:rPr>
                <w:rFonts w:cs="Arial"/>
                <w:sz w:val="18"/>
                <w:szCs w:val="18"/>
              </w:rPr>
            </w:pPr>
            <w:r w:rsidRPr="003E2D55">
              <w:rPr>
                <w:rFonts w:cs="Arial"/>
                <w:sz w:val="18"/>
                <w:szCs w:val="18"/>
              </w:rPr>
              <w:t>45,810</w:t>
            </w:r>
          </w:p>
        </w:tc>
        <w:tc>
          <w:tcPr>
            <w:tcW w:w="1361" w:type="dxa"/>
            <w:tcBorders>
              <w:top w:val="nil"/>
              <w:left w:val="nil"/>
              <w:bottom w:val="nil"/>
              <w:right w:val="nil"/>
            </w:tcBorders>
            <w:shd w:val="clear" w:color="auto" w:fill="auto"/>
            <w:vAlign w:val="bottom"/>
          </w:tcPr>
          <w:p w14:paraId="74CE1E00" w14:textId="22BAA05F" w:rsidR="00DC5BE9" w:rsidRPr="003E2D55" w:rsidRDefault="00DC5BE9" w:rsidP="003E2D55">
            <w:pPr>
              <w:spacing w:before="40" w:after="40"/>
              <w:jc w:val="right"/>
              <w:rPr>
                <w:rFonts w:cs="Arial"/>
                <w:sz w:val="18"/>
                <w:szCs w:val="18"/>
              </w:rPr>
            </w:pPr>
            <w:r w:rsidRPr="003E2D55">
              <w:rPr>
                <w:rFonts w:cs="Arial"/>
                <w:sz w:val="18"/>
                <w:szCs w:val="18"/>
              </w:rPr>
              <w:t>3,819,547</w:t>
            </w:r>
          </w:p>
        </w:tc>
        <w:tc>
          <w:tcPr>
            <w:tcW w:w="1361" w:type="dxa"/>
            <w:tcBorders>
              <w:top w:val="nil"/>
              <w:left w:val="nil"/>
              <w:bottom w:val="nil"/>
              <w:right w:val="nil"/>
            </w:tcBorders>
            <w:shd w:val="clear" w:color="auto" w:fill="auto"/>
            <w:vAlign w:val="bottom"/>
          </w:tcPr>
          <w:p w14:paraId="2261E229" w14:textId="6CA71E99" w:rsidR="00DC5BE9" w:rsidRPr="003E2D55" w:rsidRDefault="00DC5BE9" w:rsidP="003E2D55">
            <w:pPr>
              <w:spacing w:before="40" w:after="40"/>
              <w:jc w:val="right"/>
              <w:rPr>
                <w:rFonts w:cs="Arial"/>
                <w:sz w:val="18"/>
                <w:szCs w:val="18"/>
              </w:rPr>
            </w:pPr>
            <w:r w:rsidRPr="003E2D55">
              <w:rPr>
                <w:rFonts w:cs="Arial"/>
                <w:sz w:val="18"/>
                <w:szCs w:val="18"/>
              </w:rPr>
              <w:t>2,768,902</w:t>
            </w:r>
          </w:p>
        </w:tc>
        <w:tc>
          <w:tcPr>
            <w:tcW w:w="1361" w:type="dxa"/>
            <w:tcBorders>
              <w:top w:val="nil"/>
              <w:left w:val="nil"/>
              <w:bottom w:val="nil"/>
              <w:right w:val="nil"/>
            </w:tcBorders>
            <w:shd w:val="clear" w:color="auto" w:fill="auto"/>
            <w:vAlign w:val="bottom"/>
          </w:tcPr>
          <w:p w14:paraId="202DF1A0" w14:textId="624DB55D" w:rsidR="00DC5BE9" w:rsidRPr="003E2D55" w:rsidRDefault="00DC5BE9" w:rsidP="003E2D55">
            <w:pPr>
              <w:spacing w:before="40" w:after="40"/>
              <w:jc w:val="right"/>
              <w:rPr>
                <w:rFonts w:cs="Arial"/>
                <w:sz w:val="18"/>
                <w:szCs w:val="18"/>
              </w:rPr>
            </w:pPr>
            <w:r w:rsidRPr="003E2D55">
              <w:rPr>
                <w:rFonts w:cs="Arial"/>
                <w:sz w:val="18"/>
                <w:szCs w:val="18"/>
              </w:rPr>
              <w:t>218,026</w:t>
            </w:r>
          </w:p>
        </w:tc>
        <w:tc>
          <w:tcPr>
            <w:tcW w:w="1474" w:type="dxa"/>
            <w:tcBorders>
              <w:top w:val="nil"/>
              <w:left w:val="nil"/>
              <w:bottom w:val="nil"/>
              <w:right w:val="nil"/>
            </w:tcBorders>
            <w:shd w:val="clear" w:color="auto" w:fill="auto"/>
            <w:vAlign w:val="bottom"/>
          </w:tcPr>
          <w:p w14:paraId="1D9B397B" w14:textId="5A338C45" w:rsidR="00DC5BE9" w:rsidRPr="003E2D55" w:rsidRDefault="00DC5BE9" w:rsidP="003E2D55">
            <w:pPr>
              <w:spacing w:before="40" w:after="40"/>
              <w:jc w:val="right"/>
              <w:rPr>
                <w:rFonts w:cs="Arial"/>
                <w:sz w:val="18"/>
                <w:szCs w:val="18"/>
              </w:rPr>
            </w:pPr>
            <w:r w:rsidRPr="003E2D55">
              <w:rPr>
                <w:rFonts w:cs="Arial"/>
                <w:sz w:val="18"/>
                <w:szCs w:val="18"/>
              </w:rPr>
              <w:t>215,738</w:t>
            </w:r>
          </w:p>
        </w:tc>
      </w:tr>
      <w:tr w:rsidR="00DC5BE9" w:rsidRPr="003E2D55" w14:paraId="24D8CF8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3BF0D6D" w14:textId="77777777" w:rsidR="00DC5BE9" w:rsidRPr="003E2D55" w:rsidRDefault="00DC5BE9" w:rsidP="003E2D55">
            <w:pPr>
              <w:spacing w:before="40" w:after="40"/>
              <w:rPr>
                <w:rFonts w:cs="Arial"/>
                <w:sz w:val="18"/>
                <w:szCs w:val="18"/>
              </w:rPr>
            </w:pPr>
            <w:r w:rsidRPr="003E2D55">
              <w:rPr>
                <w:rFonts w:cs="Arial"/>
                <w:sz w:val="18"/>
                <w:szCs w:val="18"/>
              </w:rPr>
              <w:t>Boroondara C</w:t>
            </w:r>
          </w:p>
        </w:tc>
        <w:tc>
          <w:tcPr>
            <w:tcW w:w="1361" w:type="dxa"/>
            <w:tcBorders>
              <w:top w:val="nil"/>
              <w:left w:val="single" w:sz="18" w:space="0" w:color="5F497A" w:themeColor="accent4" w:themeShade="BF"/>
              <w:bottom w:val="nil"/>
              <w:right w:val="nil"/>
            </w:tcBorders>
            <w:shd w:val="clear" w:color="auto" w:fill="auto"/>
            <w:vAlign w:val="bottom"/>
          </w:tcPr>
          <w:p w14:paraId="0372FD92" w14:textId="06992AF5"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6D767DF6" w14:textId="3D119E18"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75CB41D9" w14:textId="67EAD52F"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11AA08DD" w14:textId="37015D71" w:rsidR="00DC5BE9" w:rsidRPr="003E2D55" w:rsidRDefault="00DC5BE9" w:rsidP="003E2D55">
            <w:pPr>
              <w:spacing w:before="40" w:after="40"/>
              <w:jc w:val="right"/>
              <w:rPr>
                <w:rFonts w:cs="Arial"/>
                <w:sz w:val="18"/>
                <w:szCs w:val="18"/>
              </w:rPr>
            </w:pPr>
            <w:r w:rsidRPr="003E2D55">
              <w:rPr>
                <w:rFonts w:cs="Arial"/>
                <w:sz w:val="18"/>
                <w:szCs w:val="18"/>
              </w:rPr>
              <w:t>0</w:t>
            </w:r>
          </w:p>
        </w:tc>
        <w:tc>
          <w:tcPr>
            <w:tcW w:w="1474" w:type="dxa"/>
            <w:tcBorders>
              <w:top w:val="nil"/>
              <w:left w:val="nil"/>
              <w:bottom w:val="nil"/>
              <w:right w:val="nil"/>
            </w:tcBorders>
            <w:shd w:val="clear" w:color="auto" w:fill="auto"/>
            <w:vAlign w:val="bottom"/>
          </w:tcPr>
          <w:p w14:paraId="4322B078" w14:textId="4A6A8B12"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5BB6215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C9F138A" w14:textId="77777777" w:rsidR="00DC5BE9" w:rsidRPr="003E2D55" w:rsidRDefault="00DC5BE9" w:rsidP="003E2D55">
            <w:pPr>
              <w:spacing w:before="40" w:after="40"/>
              <w:rPr>
                <w:rFonts w:cs="Arial"/>
                <w:sz w:val="18"/>
                <w:szCs w:val="18"/>
              </w:rPr>
            </w:pPr>
            <w:r w:rsidRPr="003E2D55">
              <w:rPr>
                <w:rFonts w:cs="Arial"/>
                <w:sz w:val="18"/>
                <w:szCs w:val="18"/>
              </w:rPr>
              <w:t>Brimbank C</w:t>
            </w:r>
          </w:p>
        </w:tc>
        <w:tc>
          <w:tcPr>
            <w:tcW w:w="1361" w:type="dxa"/>
            <w:tcBorders>
              <w:top w:val="nil"/>
              <w:left w:val="single" w:sz="18" w:space="0" w:color="5F497A" w:themeColor="accent4" w:themeShade="BF"/>
              <w:bottom w:val="nil"/>
              <w:right w:val="nil"/>
            </w:tcBorders>
            <w:shd w:val="clear" w:color="auto" w:fill="auto"/>
            <w:vAlign w:val="bottom"/>
          </w:tcPr>
          <w:p w14:paraId="6DBD5B43" w14:textId="74661544"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14631A25" w14:textId="0B4AC8D8"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38EEBA36" w14:textId="4F07B2C0" w:rsidR="00DC5BE9" w:rsidRPr="003E2D55" w:rsidRDefault="00DC5BE9" w:rsidP="003E2D55">
            <w:pPr>
              <w:spacing w:before="40" w:after="40"/>
              <w:jc w:val="right"/>
              <w:rPr>
                <w:rFonts w:cs="Arial"/>
                <w:sz w:val="18"/>
                <w:szCs w:val="18"/>
              </w:rPr>
            </w:pPr>
            <w:r w:rsidRPr="003E2D55">
              <w:rPr>
                <w:rFonts w:cs="Arial"/>
                <w:sz w:val="18"/>
                <w:szCs w:val="18"/>
              </w:rPr>
              <w:t>27,710</w:t>
            </w:r>
          </w:p>
        </w:tc>
        <w:tc>
          <w:tcPr>
            <w:tcW w:w="1361" w:type="dxa"/>
            <w:tcBorders>
              <w:top w:val="nil"/>
              <w:left w:val="nil"/>
              <w:bottom w:val="nil"/>
              <w:right w:val="nil"/>
            </w:tcBorders>
            <w:shd w:val="clear" w:color="auto" w:fill="auto"/>
            <w:vAlign w:val="bottom"/>
          </w:tcPr>
          <w:p w14:paraId="396A6902" w14:textId="75615700" w:rsidR="00DC5BE9" w:rsidRPr="003E2D55" w:rsidRDefault="00DC5BE9" w:rsidP="003E2D55">
            <w:pPr>
              <w:spacing w:before="40" w:after="40"/>
              <w:jc w:val="right"/>
              <w:rPr>
                <w:rFonts w:cs="Arial"/>
                <w:sz w:val="18"/>
                <w:szCs w:val="18"/>
              </w:rPr>
            </w:pPr>
            <w:r w:rsidRPr="003E2D55">
              <w:rPr>
                <w:rFonts w:cs="Arial"/>
                <w:sz w:val="18"/>
                <w:szCs w:val="18"/>
              </w:rPr>
              <w:t>10,302</w:t>
            </w:r>
          </w:p>
        </w:tc>
        <w:tc>
          <w:tcPr>
            <w:tcW w:w="1474" w:type="dxa"/>
            <w:tcBorders>
              <w:top w:val="nil"/>
              <w:left w:val="nil"/>
              <w:bottom w:val="nil"/>
              <w:right w:val="nil"/>
            </w:tcBorders>
            <w:shd w:val="clear" w:color="auto" w:fill="auto"/>
            <w:vAlign w:val="bottom"/>
          </w:tcPr>
          <w:p w14:paraId="424B3ED4" w14:textId="32538061" w:rsidR="00DC5BE9" w:rsidRPr="003E2D55" w:rsidRDefault="00DC5BE9" w:rsidP="003E2D55">
            <w:pPr>
              <w:spacing w:before="40" w:after="40"/>
              <w:jc w:val="right"/>
              <w:rPr>
                <w:rFonts w:cs="Arial"/>
                <w:sz w:val="18"/>
                <w:szCs w:val="18"/>
              </w:rPr>
            </w:pPr>
            <w:r w:rsidRPr="003E2D55">
              <w:rPr>
                <w:rFonts w:cs="Arial"/>
                <w:sz w:val="18"/>
                <w:szCs w:val="18"/>
              </w:rPr>
              <w:t>11,723</w:t>
            </w:r>
          </w:p>
        </w:tc>
      </w:tr>
      <w:tr w:rsidR="00DC5BE9" w:rsidRPr="003E2D55" w14:paraId="37AE8B8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5299D4E" w14:textId="77777777" w:rsidR="00DC5BE9" w:rsidRPr="003E2D55" w:rsidRDefault="00DC5BE9" w:rsidP="003E2D55">
            <w:pPr>
              <w:spacing w:before="40" w:after="40"/>
              <w:rPr>
                <w:rFonts w:cs="Arial"/>
                <w:sz w:val="18"/>
                <w:szCs w:val="18"/>
              </w:rPr>
            </w:pPr>
            <w:r w:rsidRPr="003E2D55">
              <w:rPr>
                <w:rFonts w:cs="Arial"/>
                <w:sz w:val="18"/>
                <w:szCs w:val="18"/>
              </w:rPr>
              <w:t>Buloke S</w:t>
            </w:r>
          </w:p>
        </w:tc>
        <w:tc>
          <w:tcPr>
            <w:tcW w:w="1361" w:type="dxa"/>
            <w:tcBorders>
              <w:top w:val="nil"/>
              <w:left w:val="single" w:sz="18" w:space="0" w:color="5F497A" w:themeColor="accent4" w:themeShade="BF"/>
              <w:bottom w:val="nil"/>
              <w:right w:val="nil"/>
            </w:tcBorders>
            <w:shd w:val="clear" w:color="auto" w:fill="auto"/>
            <w:vAlign w:val="bottom"/>
          </w:tcPr>
          <w:p w14:paraId="5884BAF6" w14:textId="4870D9F0" w:rsidR="00DC5BE9" w:rsidRPr="003E2D55" w:rsidRDefault="00DC5BE9" w:rsidP="003E2D55">
            <w:pPr>
              <w:spacing w:before="40" w:after="40"/>
              <w:jc w:val="right"/>
              <w:rPr>
                <w:rFonts w:cs="Arial"/>
                <w:sz w:val="18"/>
                <w:szCs w:val="18"/>
              </w:rPr>
            </w:pPr>
            <w:r w:rsidRPr="003E2D55">
              <w:rPr>
                <w:rFonts w:cs="Arial"/>
                <w:sz w:val="18"/>
                <w:szCs w:val="18"/>
              </w:rPr>
              <w:t>1,745,191</w:t>
            </w:r>
          </w:p>
        </w:tc>
        <w:tc>
          <w:tcPr>
            <w:tcW w:w="1361" w:type="dxa"/>
            <w:tcBorders>
              <w:top w:val="nil"/>
              <w:left w:val="nil"/>
              <w:bottom w:val="nil"/>
              <w:right w:val="nil"/>
            </w:tcBorders>
            <w:shd w:val="clear" w:color="auto" w:fill="auto"/>
            <w:vAlign w:val="bottom"/>
          </w:tcPr>
          <w:p w14:paraId="7705527F" w14:textId="2C6597B7" w:rsidR="00DC5BE9" w:rsidRPr="003E2D55" w:rsidRDefault="00DC5BE9" w:rsidP="003E2D55">
            <w:pPr>
              <w:spacing w:before="40" w:after="40"/>
              <w:jc w:val="right"/>
              <w:rPr>
                <w:rFonts w:cs="Arial"/>
                <w:sz w:val="18"/>
                <w:szCs w:val="18"/>
              </w:rPr>
            </w:pPr>
            <w:r w:rsidRPr="003E2D55">
              <w:rPr>
                <w:rFonts w:cs="Arial"/>
                <w:sz w:val="18"/>
                <w:szCs w:val="18"/>
              </w:rPr>
              <w:t>10,470,373</w:t>
            </w:r>
          </w:p>
        </w:tc>
        <w:tc>
          <w:tcPr>
            <w:tcW w:w="1361" w:type="dxa"/>
            <w:tcBorders>
              <w:top w:val="nil"/>
              <w:left w:val="nil"/>
              <w:bottom w:val="nil"/>
              <w:right w:val="nil"/>
            </w:tcBorders>
            <w:shd w:val="clear" w:color="auto" w:fill="auto"/>
            <w:vAlign w:val="bottom"/>
          </w:tcPr>
          <w:p w14:paraId="223AB7E4" w14:textId="507A24EA" w:rsidR="00DC5BE9" w:rsidRPr="003E2D55" w:rsidRDefault="00DC5BE9" w:rsidP="003E2D55">
            <w:pPr>
              <w:spacing w:before="40" w:after="40"/>
              <w:jc w:val="right"/>
              <w:rPr>
                <w:rFonts w:cs="Arial"/>
                <w:sz w:val="18"/>
                <w:szCs w:val="18"/>
              </w:rPr>
            </w:pPr>
            <w:r w:rsidRPr="003E2D55">
              <w:rPr>
                <w:rFonts w:cs="Arial"/>
                <w:sz w:val="18"/>
                <w:szCs w:val="18"/>
              </w:rPr>
              <w:t>1,406,450</w:t>
            </w:r>
          </w:p>
        </w:tc>
        <w:tc>
          <w:tcPr>
            <w:tcW w:w="1361" w:type="dxa"/>
            <w:tcBorders>
              <w:top w:val="nil"/>
              <w:left w:val="nil"/>
              <w:bottom w:val="nil"/>
              <w:right w:val="nil"/>
            </w:tcBorders>
            <w:shd w:val="clear" w:color="auto" w:fill="auto"/>
            <w:vAlign w:val="bottom"/>
          </w:tcPr>
          <w:p w14:paraId="41AD7314" w14:textId="78E71240" w:rsidR="00DC5BE9" w:rsidRPr="003E2D55" w:rsidRDefault="00DC5BE9" w:rsidP="003E2D55">
            <w:pPr>
              <w:spacing w:before="40" w:after="40"/>
              <w:jc w:val="right"/>
              <w:rPr>
                <w:rFonts w:cs="Arial"/>
                <w:sz w:val="18"/>
                <w:szCs w:val="18"/>
              </w:rPr>
            </w:pPr>
            <w:r w:rsidRPr="003E2D55">
              <w:rPr>
                <w:rFonts w:cs="Arial"/>
                <w:sz w:val="18"/>
                <w:szCs w:val="18"/>
              </w:rPr>
              <w:t>0</w:t>
            </w:r>
          </w:p>
        </w:tc>
        <w:tc>
          <w:tcPr>
            <w:tcW w:w="1474" w:type="dxa"/>
            <w:tcBorders>
              <w:top w:val="nil"/>
              <w:left w:val="nil"/>
              <w:bottom w:val="nil"/>
              <w:right w:val="nil"/>
            </w:tcBorders>
            <w:shd w:val="clear" w:color="auto" w:fill="auto"/>
            <w:vAlign w:val="bottom"/>
          </w:tcPr>
          <w:p w14:paraId="3624AA85" w14:textId="53B41B02"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0AFE034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E2AAFE0" w14:textId="77777777" w:rsidR="00DC5BE9" w:rsidRPr="003E2D55" w:rsidRDefault="00DC5BE9" w:rsidP="003E2D55">
            <w:pPr>
              <w:spacing w:before="40" w:after="40"/>
              <w:rPr>
                <w:rFonts w:cs="Arial"/>
                <w:sz w:val="18"/>
                <w:szCs w:val="18"/>
              </w:rPr>
            </w:pPr>
            <w:r w:rsidRPr="003E2D55">
              <w:rPr>
                <w:rFonts w:cs="Arial"/>
                <w:sz w:val="18"/>
                <w:szCs w:val="18"/>
              </w:rPr>
              <w:t>Campaspe S</w:t>
            </w:r>
          </w:p>
        </w:tc>
        <w:tc>
          <w:tcPr>
            <w:tcW w:w="1361" w:type="dxa"/>
            <w:tcBorders>
              <w:top w:val="nil"/>
              <w:left w:val="single" w:sz="18" w:space="0" w:color="5F497A" w:themeColor="accent4" w:themeShade="BF"/>
              <w:bottom w:val="nil"/>
              <w:right w:val="nil"/>
            </w:tcBorders>
            <w:shd w:val="clear" w:color="auto" w:fill="auto"/>
            <w:vAlign w:val="bottom"/>
          </w:tcPr>
          <w:p w14:paraId="06AA0051" w14:textId="3F7CFC03" w:rsidR="00DC5BE9" w:rsidRPr="003E2D55" w:rsidRDefault="00DC5BE9" w:rsidP="003E2D55">
            <w:pPr>
              <w:spacing w:before="40" w:after="40"/>
              <w:jc w:val="right"/>
              <w:rPr>
                <w:rFonts w:cs="Arial"/>
                <w:sz w:val="18"/>
                <w:szCs w:val="18"/>
              </w:rPr>
            </w:pPr>
            <w:r w:rsidRPr="003E2D55">
              <w:rPr>
                <w:rFonts w:cs="Arial"/>
                <w:sz w:val="18"/>
                <w:szCs w:val="18"/>
              </w:rPr>
              <w:t>517,360</w:t>
            </w:r>
          </w:p>
        </w:tc>
        <w:tc>
          <w:tcPr>
            <w:tcW w:w="1361" w:type="dxa"/>
            <w:tcBorders>
              <w:top w:val="nil"/>
              <w:left w:val="nil"/>
              <w:bottom w:val="nil"/>
              <w:right w:val="nil"/>
            </w:tcBorders>
            <w:shd w:val="clear" w:color="auto" w:fill="auto"/>
            <w:vAlign w:val="bottom"/>
          </w:tcPr>
          <w:p w14:paraId="42DAD208" w14:textId="38DCC23A" w:rsidR="00DC5BE9" w:rsidRPr="003E2D55" w:rsidRDefault="00DC5BE9" w:rsidP="003E2D55">
            <w:pPr>
              <w:spacing w:before="40" w:after="40"/>
              <w:jc w:val="right"/>
              <w:rPr>
                <w:rFonts w:cs="Arial"/>
                <w:sz w:val="18"/>
                <w:szCs w:val="18"/>
              </w:rPr>
            </w:pPr>
            <w:r w:rsidRPr="003E2D55">
              <w:rPr>
                <w:rFonts w:cs="Arial"/>
                <w:sz w:val="18"/>
                <w:szCs w:val="18"/>
              </w:rPr>
              <w:t>13,392,097</w:t>
            </w:r>
          </w:p>
        </w:tc>
        <w:tc>
          <w:tcPr>
            <w:tcW w:w="1361" w:type="dxa"/>
            <w:tcBorders>
              <w:top w:val="nil"/>
              <w:left w:val="nil"/>
              <w:bottom w:val="nil"/>
              <w:right w:val="nil"/>
            </w:tcBorders>
            <w:shd w:val="clear" w:color="auto" w:fill="auto"/>
            <w:vAlign w:val="bottom"/>
          </w:tcPr>
          <w:p w14:paraId="5FB855FF" w14:textId="0813FB52" w:rsidR="00DC5BE9" w:rsidRPr="003E2D55" w:rsidRDefault="00DC5BE9" w:rsidP="003E2D55">
            <w:pPr>
              <w:spacing w:before="40" w:after="40"/>
              <w:jc w:val="right"/>
              <w:rPr>
                <w:rFonts w:cs="Arial"/>
                <w:sz w:val="18"/>
                <w:szCs w:val="18"/>
              </w:rPr>
            </w:pPr>
            <w:r w:rsidRPr="003E2D55">
              <w:rPr>
                <w:rFonts w:cs="Arial"/>
                <w:sz w:val="18"/>
                <w:szCs w:val="18"/>
              </w:rPr>
              <w:t>5,672,325</w:t>
            </w:r>
          </w:p>
        </w:tc>
        <w:tc>
          <w:tcPr>
            <w:tcW w:w="1361" w:type="dxa"/>
            <w:tcBorders>
              <w:top w:val="nil"/>
              <w:left w:val="nil"/>
              <w:bottom w:val="nil"/>
              <w:right w:val="nil"/>
            </w:tcBorders>
            <w:shd w:val="clear" w:color="auto" w:fill="auto"/>
            <w:vAlign w:val="bottom"/>
          </w:tcPr>
          <w:p w14:paraId="3DC7F05A" w14:textId="019D40E0" w:rsidR="00DC5BE9" w:rsidRPr="003E2D55" w:rsidRDefault="00DC5BE9" w:rsidP="003E2D55">
            <w:pPr>
              <w:spacing w:before="40" w:after="40"/>
              <w:jc w:val="right"/>
              <w:rPr>
                <w:rFonts w:cs="Arial"/>
                <w:sz w:val="18"/>
                <w:szCs w:val="18"/>
              </w:rPr>
            </w:pPr>
            <w:r w:rsidRPr="003E2D55">
              <w:rPr>
                <w:rFonts w:cs="Arial"/>
                <w:sz w:val="18"/>
                <w:szCs w:val="18"/>
              </w:rPr>
              <w:t>964,976</w:t>
            </w:r>
          </w:p>
        </w:tc>
        <w:tc>
          <w:tcPr>
            <w:tcW w:w="1474" w:type="dxa"/>
            <w:tcBorders>
              <w:top w:val="nil"/>
              <w:left w:val="nil"/>
              <w:bottom w:val="nil"/>
              <w:right w:val="nil"/>
            </w:tcBorders>
            <w:shd w:val="clear" w:color="auto" w:fill="auto"/>
            <w:vAlign w:val="bottom"/>
          </w:tcPr>
          <w:p w14:paraId="3A5C88EF" w14:textId="08CE7AD0" w:rsidR="00DC5BE9" w:rsidRPr="003E2D55" w:rsidRDefault="00DC5BE9" w:rsidP="003E2D55">
            <w:pPr>
              <w:spacing w:before="40" w:after="40"/>
              <w:jc w:val="right"/>
              <w:rPr>
                <w:rFonts w:cs="Arial"/>
                <w:sz w:val="18"/>
                <w:szCs w:val="18"/>
              </w:rPr>
            </w:pPr>
            <w:r w:rsidRPr="003E2D55">
              <w:rPr>
                <w:rFonts w:cs="Arial"/>
                <w:sz w:val="18"/>
                <w:szCs w:val="18"/>
              </w:rPr>
              <w:t>201,072</w:t>
            </w:r>
          </w:p>
        </w:tc>
      </w:tr>
      <w:tr w:rsidR="00DC5BE9" w:rsidRPr="003E2D55" w14:paraId="1F49026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DD18FF1" w14:textId="77777777" w:rsidR="00DC5BE9" w:rsidRPr="003E2D55" w:rsidRDefault="00DC5BE9" w:rsidP="003E2D55">
            <w:pPr>
              <w:spacing w:before="40" w:after="40"/>
              <w:rPr>
                <w:rFonts w:cs="Arial"/>
                <w:sz w:val="18"/>
                <w:szCs w:val="18"/>
              </w:rPr>
            </w:pPr>
            <w:r w:rsidRPr="003E2D55">
              <w:rPr>
                <w:rFonts w:cs="Arial"/>
                <w:sz w:val="18"/>
                <w:szCs w:val="18"/>
              </w:rPr>
              <w:t>Cardinia S</w:t>
            </w:r>
          </w:p>
        </w:tc>
        <w:tc>
          <w:tcPr>
            <w:tcW w:w="1361" w:type="dxa"/>
            <w:tcBorders>
              <w:top w:val="nil"/>
              <w:left w:val="single" w:sz="18" w:space="0" w:color="5F497A" w:themeColor="accent4" w:themeShade="BF"/>
              <w:bottom w:val="nil"/>
              <w:right w:val="nil"/>
            </w:tcBorders>
            <w:shd w:val="clear" w:color="auto" w:fill="auto"/>
            <w:vAlign w:val="bottom"/>
          </w:tcPr>
          <w:p w14:paraId="7B8BEAC3" w14:textId="744A4232" w:rsidR="00DC5BE9" w:rsidRPr="003E2D55" w:rsidRDefault="00DC5BE9" w:rsidP="003E2D55">
            <w:pPr>
              <w:spacing w:before="40" w:after="40"/>
              <w:jc w:val="right"/>
              <w:rPr>
                <w:rFonts w:cs="Arial"/>
                <w:sz w:val="18"/>
                <w:szCs w:val="18"/>
              </w:rPr>
            </w:pPr>
            <w:r w:rsidRPr="003E2D55">
              <w:rPr>
                <w:rFonts w:cs="Arial"/>
                <w:sz w:val="18"/>
                <w:szCs w:val="18"/>
              </w:rPr>
              <w:t>8,141</w:t>
            </w:r>
          </w:p>
        </w:tc>
        <w:tc>
          <w:tcPr>
            <w:tcW w:w="1361" w:type="dxa"/>
            <w:tcBorders>
              <w:top w:val="nil"/>
              <w:left w:val="nil"/>
              <w:bottom w:val="nil"/>
              <w:right w:val="nil"/>
            </w:tcBorders>
            <w:shd w:val="clear" w:color="auto" w:fill="auto"/>
            <w:vAlign w:val="bottom"/>
          </w:tcPr>
          <w:p w14:paraId="41BA2F5B" w14:textId="5FDA6C30" w:rsidR="00DC5BE9" w:rsidRPr="003E2D55" w:rsidRDefault="00DC5BE9" w:rsidP="003E2D55">
            <w:pPr>
              <w:spacing w:before="40" w:after="40"/>
              <w:jc w:val="right"/>
              <w:rPr>
                <w:rFonts w:cs="Arial"/>
                <w:sz w:val="18"/>
                <w:szCs w:val="18"/>
              </w:rPr>
            </w:pPr>
            <w:r w:rsidRPr="003E2D55">
              <w:rPr>
                <w:rFonts w:cs="Arial"/>
                <w:sz w:val="18"/>
                <w:szCs w:val="18"/>
              </w:rPr>
              <w:t>1,938,254</w:t>
            </w:r>
          </w:p>
        </w:tc>
        <w:tc>
          <w:tcPr>
            <w:tcW w:w="1361" w:type="dxa"/>
            <w:tcBorders>
              <w:top w:val="nil"/>
              <w:left w:val="nil"/>
              <w:bottom w:val="nil"/>
              <w:right w:val="nil"/>
            </w:tcBorders>
            <w:shd w:val="clear" w:color="auto" w:fill="auto"/>
            <w:vAlign w:val="bottom"/>
          </w:tcPr>
          <w:p w14:paraId="1EB77AEC" w14:textId="597564F2" w:rsidR="00DC5BE9" w:rsidRPr="003E2D55" w:rsidRDefault="00DC5BE9" w:rsidP="003E2D55">
            <w:pPr>
              <w:spacing w:before="40" w:after="40"/>
              <w:jc w:val="right"/>
              <w:rPr>
                <w:rFonts w:cs="Arial"/>
                <w:sz w:val="18"/>
                <w:szCs w:val="18"/>
              </w:rPr>
            </w:pPr>
            <w:r w:rsidRPr="003E2D55">
              <w:rPr>
                <w:rFonts w:cs="Arial"/>
                <w:sz w:val="18"/>
                <w:szCs w:val="18"/>
              </w:rPr>
              <w:t>5,595,499</w:t>
            </w:r>
          </w:p>
        </w:tc>
        <w:tc>
          <w:tcPr>
            <w:tcW w:w="1361" w:type="dxa"/>
            <w:tcBorders>
              <w:top w:val="nil"/>
              <w:left w:val="nil"/>
              <w:bottom w:val="nil"/>
              <w:right w:val="nil"/>
            </w:tcBorders>
            <w:shd w:val="clear" w:color="auto" w:fill="auto"/>
            <w:vAlign w:val="bottom"/>
          </w:tcPr>
          <w:p w14:paraId="7FF3606F" w14:textId="07AE8D41" w:rsidR="00DC5BE9" w:rsidRPr="003E2D55" w:rsidRDefault="00DC5BE9" w:rsidP="003E2D55">
            <w:pPr>
              <w:spacing w:before="40" w:after="40"/>
              <w:jc w:val="right"/>
              <w:rPr>
                <w:rFonts w:cs="Arial"/>
                <w:sz w:val="18"/>
                <w:szCs w:val="18"/>
              </w:rPr>
            </w:pPr>
            <w:r w:rsidRPr="003E2D55">
              <w:rPr>
                <w:rFonts w:cs="Arial"/>
                <w:sz w:val="18"/>
                <w:szCs w:val="18"/>
              </w:rPr>
              <w:t>700,864</w:t>
            </w:r>
          </w:p>
        </w:tc>
        <w:tc>
          <w:tcPr>
            <w:tcW w:w="1474" w:type="dxa"/>
            <w:tcBorders>
              <w:top w:val="nil"/>
              <w:left w:val="nil"/>
              <w:bottom w:val="nil"/>
              <w:right w:val="nil"/>
            </w:tcBorders>
            <w:shd w:val="clear" w:color="auto" w:fill="auto"/>
            <w:vAlign w:val="bottom"/>
          </w:tcPr>
          <w:p w14:paraId="36C78513" w14:textId="4E6DBB52" w:rsidR="00DC5BE9" w:rsidRPr="003E2D55" w:rsidRDefault="00DC5BE9" w:rsidP="003E2D55">
            <w:pPr>
              <w:spacing w:before="40" w:after="40"/>
              <w:jc w:val="right"/>
              <w:rPr>
                <w:rFonts w:cs="Arial"/>
                <w:sz w:val="18"/>
                <w:szCs w:val="18"/>
              </w:rPr>
            </w:pPr>
            <w:r w:rsidRPr="003E2D55">
              <w:rPr>
                <w:rFonts w:cs="Arial"/>
                <w:sz w:val="18"/>
                <w:szCs w:val="18"/>
              </w:rPr>
              <w:t>859,467</w:t>
            </w:r>
          </w:p>
        </w:tc>
      </w:tr>
      <w:tr w:rsidR="00DC5BE9" w:rsidRPr="003E2D55" w14:paraId="78FAF55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EEDA406" w14:textId="77777777" w:rsidR="00DC5BE9" w:rsidRPr="003E2D55" w:rsidRDefault="00DC5BE9" w:rsidP="003E2D55">
            <w:pPr>
              <w:spacing w:before="40" w:after="40"/>
              <w:rPr>
                <w:rFonts w:cs="Arial"/>
                <w:sz w:val="18"/>
                <w:szCs w:val="18"/>
              </w:rPr>
            </w:pPr>
            <w:r w:rsidRPr="003E2D55">
              <w:rPr>
                <w:rFonts w:cs="Arial"/>
                <w:sz w:val="18"/>
                <w:szCs w:val="18"/>
              </w:rPr>
              <w:t>Casey C</w:t>
            </w:r>
          </w:p>
        </w:tc>
        <w:tc>
          <w:tcPr>
            <w:tcW w:w="1361" w:type="dxa"/>
            <w:tcBorders>
              <w:top w:val="nil"/>
              <w:left w:val="single" w:sz="18" w:space="0" w:color="5F497A" w:themeColor="accent4" w:themeShade="BF"/>
              <w:bottom w:val="nil"/>
              <w:right w:val="nil"/>
            </w:tcBorders>
            <w:shd w:val="clear" w:color="auto" w:fill="auto"/>
            <w:vAlign w:val="bottom"/>
          </w:tcPr>
          <w:p w14:paraId="0DBA5106" w14:textId="62B82848"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3FC31AA9" w14:textId="4DEE36C9" w:rsidR="00DC5BE9" w:rsidRPr="003E2D55" w:rsidRDefault="00DC5BE9" w:rsidP="003E2D55">
            <w:pPr>
              <w:spacing w:before="40" w:after="40"/>
              <w:jc w:val="right"/>
              <w:rPr>
                <w:rFonts w:cs="Arial"/>
                <w:sz w:val="18"/>
                <w:szCs w:val="18"/>
              </w:rPr>
            </w:pPr>
            <w:r w:rsidRPr="003E2D55">
              <w:rPr>
                <w:rFonts w:cs="Arial"/>
                <w:sz w:val="18"/>
                <w:szCs w:val="18"/>
              </w:rPr>
              <w:t>243,128</w:t>
            </w:r>
          </w:p>
        </w:tc>
        <w:tc>
          <w:tcPr>
            <w:tcW w:w="1361" w:type="dxa"/>
            <w:tcBorders>
              <w:top w:val="nil"/>
              <w:left w:val="nil"/>
              <w:bottom w:val="nil"/>
              <w:right w:val="nil"/>
            </w:tcBorders>
            <w:shd w:val="clear" w:color="auto" w:fill="auto"/>
            <w:vAlign w:val="bottom"/>
          </w:tcPr>
          <w:p w14:paraId="3AE2AA2C" w14:textId="46B894B0" w:rsidR="00DC5BE9" w:rsidRPr="003E2D55" w:rsidRDefault="00DC5BE9" w:rsidP="003E2D55">
            <w:pPr>
              <w:spacing w:before="40" w:after="40"/>
              <w:jc w:val="right"/>
              <w:rPr>
                <w:rFonts w:cs="Arial"/>
                <w:sz w:val="18"/>
                <w:szCs w:val="18"/>
              </w:rPr>
            </w:pPr>
            <w:r w:rsidRPr="003E2D55">
              <w:rPr>
                <w:rFonts w:cs="Arial"/>
                <w:sz w:val="18"/>
                <w:szCs w:val="18"/>
              </w:rPr>
              <w:t>1,181,247</w:t>
            </w:r>
          </w:p>
        </w:tc>
        <w:tc>
          <w:tcPr>
            <w:tcW w:w="1361" w:type="dxa"/>
            <w:tcBorders>
              <w:top w:val="nil"/>
              <w:left w:val="nil"/>
              <w:bottom w:val="nil"/>
              <w:right w:val="nil"/>
            </w:tcBorders>
            <w:shd w:val="clear" w:color="auto" w:fill="auto"/>
            <w:vAlign w:val="bottom"/>
          </w:tcPr>
          <w:p w14:paraId="24A73F97" w14:textId="322CEB58" w:rsidR="00DC5BE9" w:rsidRPr="003E2D55" w:rsidRDefault="00DC5BE9" w:rsidP="003E2D55">
            <w:pPr>
              <w:spacing w:before="40" w:after="40"/>
              <w:jc w:val="right"/>
              <w:rPr>
                <w:rFonts w:cs="Arial"/>
                <w:sz w:val="18"/>
                <w:szCs w:val="18"/>
              </w:rPr>
            </w:pPr>
            <w:r w:rsidRPr="003E2D55">
              <w:rPr>
                <w:rFonts w:cs="Arial"/>
                <w:sz w:val="18"/>
                <w:szCs w:val="18"/>
              </w:rPr>
              <w:t>202,246</w:t>
            </w:r>
          </w:p>
        </w:tc>
        <w:tc>
          <w:tcPr>
            <w:tcW w:w="1474" w:type="dxa"/>
            <w:tcBorders>
              <w:top w:val="nil"/>
              <w:left w:val="nil"/>
              <w:bottom w:val="nil"/>
              <w:right w:val="nil"/>
            </w:tcBorders>
            <w:shd w:val="clear" w:color="auto" w:fill="auto"/>
            <w:vAlign w:val="bottom"/>
          </w:tcPr>
          <w:p w14:paraId="3F3F4305" w14:textId="004D6CC8" w:rsidR="00DC5BE9" w:rsidRPr="003E2D55" w:rsidRDefault="00DC5BE9" w:rsidP="003E2D55">
            <w:pPr>
              <w:spacing w:before="40" w:after="40"/>
              <w:jc w:val="right"/>
              <w:rPr>
                <w:rFonts w:cs="Arial"/>
                <w:sz w:val="18"/>
                <w:szCs w:val="18"/>
              </w:rPr>
            </w:pPr>
            <w:r w:rsidRPr="003E2D55">
              <w:rPr>
                <w:rFonts w:cs="Arial"/>
                <w:sz w:val="18"/>
                <w:szCs w:val="18"/>
              </w:rPr>
              <w:t>1,059,536</w:t>
            </w:r>
          </w:p>
        </w:tc>
      </w:tr>
      <w:tr w:rsidR="00DC5BE9" w:rsidRPr="003E2D55" w14:paraId="340B944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EA4468E" w14:textId="77777777" w:rsidR="00DC5BE9" w:rsidRPr="003E2D55" w:rsidRDefault="00DC5BE9" w:rsidP="003E2D55">
            <w:pPr>
              <w:spacing w:before="40" w:after="40"/>
              <w:rPr>
                <w:rFonts w:cs="Arial"/>
                <w:sz w:val="18"/>
                <w:szCs w:val="18"/>
              </w:rPr>
            </w:pPr>
            <w:r w:rsidRPr="003E2D55">
              <w:rPr>
                <w:rFonts w:cs="Arial"/>
                <w:sz w:val="18"/>
                <w:szCs w:val="18"/>
              </w:rPr>
              <w:t>Central Goldfields S</w:t>
            </w:r>
          </w:p>
        </w:tc>
        <w:tc>
          <w:tcPr>
            <w:tcW w:w="1361" w:type="dxa"/>
            <w:tcBorders>
              <w:top w:val="nil"/>
              <w:left w:val="single" w:sz="18" w:space="0" w:color="5F497A" w:themeColor="accent4" w:themeShade="BF"/>
              <w:bottom w:val="nil"/>
              <w:right w:val="nil"/>
            </w:tcBorders>
            <w:shd w:val="clear" w:color="auto" w:fill="auto"/>
            <w:vAlign w:val="bottom"/>
          </w:tcPr>
          <w:p w14:paraId="0F3397F8" w14:textId="3552F805" w:rsidR="00DC5BE9" w:rsidRPr="003E2D55" w:rsidRDefault="00DC5BE9" w:rsidP="003E2D55">
            <w:pPr>
              <w:spacing w:before="40" w:after="40"/>
              <w:jc w:val="right"/>
              <w:rPr>
                <w:rFonts w:cs="Arial"/>
                <w:sz w:val="18"/>
                <w:szCs w:val="18"/>
              </w:rPr>
            </w:pPr>
            <w:r w:rsidRPr="003E2D55">
              <w:rPr>
                <w:rFonts w:cs="Arial"/>
                <w:sz w:val="18"/>
                <w:szCs w:val="18"/>
              </w:rPr>
              <w:t>141,830</w:t>
            </w:r>
          </w:p>
        </w:tc>
        <w:tc>
          <w:tcPr>
            <w:tcW w:w="1361" w:type="dxa"/>
            <w:tcBorders>
              <w:top w:val="nil"/>
              <w:left w:val="nil"/>
              <w:bottom w:val="nil"/>
              <w:right w:val="nil"/>
            </w:tcBorders>
            <w:shd w:val="clear" w:color="auto" w:fill="auto"/>
            <w:vAlign w:val="bottom"/>
          </w:tcPr>
          <w:p w14:paraId="4959CB87" w14:textId="4B01969C" w:rsidR="00DC5BE9" w:rsidRPr="003E2D55" w:rsidRDefault="00DC5BE9" w:rsidP="003E2D55">
            <w:pPr>
              <w:spacing w:before="40" w:after="40"/>
              <w:jc w:val="right"/>
              <w:rPr>
                <w:rFonts w:cs="Arial"/>
                <w:sz w:val="18"/>
                <w:szCs w:val="18"/>
              </w:rPr>
            </w:pPr>
            <w:r w:rsidRPr="003E2D55">
              <w:rPr>
                <w:rFonts w:cs="Arial"/>
                <w:sz w:val="18"/>
                <w:szCs w:val="18"/>
              </w:rPr>
              <w:t>3,430,376</w:t>
            </w:r>
          </w:p>
        </w:tc>
        <w:tc>
          <w:tcPr>
            <w:tcW w:w="1361" w:type="dxa"/>
            <w:tcBorders>
              <w:top w:val="nil"/>
              <w:left w:val="nil"/>
              <w:bottom w:val="nil"/>
              <w:right w:val="nil"/>
            </w:tcBorders>
            <w:shd w:val="clear" w:color="auto" w:fill="auto"/>
            <w:vAlign w:val="bottom"/>
          </w:tcPr>
          <w:p w14:paraId="14E1C9FF" w14:textId="16FBA8C7" w:rsidR="00DC5BE9" w:rsidRPr="003E2D55" w:rsidRDefault="00DC5BE9" w:rsidP="003E2D55">
            <w:pPr>
              <w:spacing w:before="40" w:after="40"/>
              <w:jc w:val="right"/>
              <w:rPr>
                <w:rFonts w:cs="Arial"/>
                <w:sz w:val="18"/>
                <w:szCs w:val="18"/>
              </w:rPr>
            </w:pPr>
            <w:r w:rsidRPr="003E2D55">
              <w:rPr>
                <w:rFonts w:cs="Arial"/>
                <w:sz w:val="18"/>
                <w:szCs w:val="18"/>
              </w:rPr>
              <w:t>1,083,569</w:t>
            </w:r>
          </w:p>
        </w:tc>
        <w:tc>
          <w:tcPr>
            <w:tcW w:w="1361" w:type="dxa"/>
            <w:tcBorders>
              <w:top w:val="nil"/>
              <w:left w:val="nil"/>
              <w:bottom w:val="nil"/>
              <w:right w:val="nil"/>
            </w:tcBorders>
            <w:shd w:val="clear" w:color="auto" w:fill="auto"/>
            <w:vAlign w:val="bottom"/>
          </w:tcPr>
          <w:p w14:paraId="350EE7D8" w14:textId="4F86A66B" w:rsidR="00DC5BE9" w:rsidRPr="003E2D55" w:rsidRDefault="00DC5BE9" w:rsidP="003E2D55">
            <w:pPr>
              <w:spacing w:before="40" w:after="40"/>
              <w:jc w:val="right"/>
              <w:rPr>
                <w:rFonts w:cs="Arial"/>
                <w:sz w:val="18"/>
                <w:szCs w:val="18"/>
              </w:rPr>
            </w:pPr>
            <w:r w:rsidRPr="003E2D55">
              <w:rPr>
                <w:rFonts w:cs="Arial"/>
                <w:sz w:val="18"/>
                <w:szCs w:val="18"/>
              </w:rPr>
              <w:t>139,812</w:t>
            </w:r>
          </w:p>
        </w:tc>
        <w:tc>
          <w:tcPr>
            <w:tcW w:w="1474" w:type="dxa"/>
            <w:tcBorders>
              <w:top w:val="nil"/>
              <w:left w:val="nil"/>
              <w:bottom w:val="nil"/>
              <w:right w:val="nil"/>
            </w:tcBorders>
            <w:shd w:val="clear" w:color="auto" w:fill="auto"/>
            <w:vAlign w:val="bottom"/>
          </w:tcPr>
          <w:p w14:paraId="17E129C1" w14:textId="7BAB45B0" w:rsidR="00DC5BE9" w:rsidRPr="003E2D55" w:rsidRDefault="00DC5BE9" w:rsidP="003E2D55">
            <w:pPr>
              <w:spacing w:before="40" w:after="40"/>
              <w:jc w:val="right"/>
              <w:rPr>
                <w:rFonts w:cs="Arial"/>
                <w:sz w:val="18"/>
                <w:szCs w:val="18"/>
              </w:rPr>
            </w:pPr>
            <w:r w:rsidRPr="003E2D55">
              <w:rPr>
                <w:rFonts w:cs="Arial"/>
                <w:sz w:val="18"/>
                <w:szCs w:val="18"/>
              </w:rPr>
              <w:t>62,967</w:t>
            </w:r>
          </w:p>
        </w:tc>
      </w:tr>
      <w:tr w:rsidR="00DC5BE9" w:rsidRPr="003E2D55" w14:paraId="6F18D3B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B432B80" w14:textId="77777777" w:rsidR="00DC5BE9" w:rsidRPr="003E2D55" w:rsidRDefault="00DC5BE9" w:rsidP="003E2D55">
            <w:pPr>
              <w:spacing w:before="40" w:after="40"/>
              <w:rPr>
                <w:rFonts w:cs="Arial"/>
                <w:sz w:val="18"/>
                <w:szCs w:val="18"/>
              </w:rPr>
            </w:pPr>
            <w:r w:rsidRPr="003E2D55">
              <w:rPr>
                <w:rFonts w:cs="Arial"/>
                <w:sz w:val="18"/>
                <w:szCs w:val="18"/>
              </w:rPr>
              <w:t>Colac Otway S</w:t>
            </w:r>
          </w:p>
        </w:tc>
        <w:tc>
          <w:tcPr>
            <w:tcW w:w="1361" w:type="dxa"/>
            <w:tcBorders>
              <w:top w:val="nil"/>
              <w:left w:val="single" w:sz="18" w:space="0" w:color="5F497A" w:themeColor="accent4" w:themeShade="BF"/>
              <w:bottom w:val="nil"/>
              <w:right w:val="nil"/>
            </w:tcBorders>
            <w:shd w:val="clear" w:color="auto" w:fill="auto"/>
            <w:vAlign w:val="bottom"/>
          </w:tcPr>
          <w:p w14:paraId="1AE89595" w14:textId="749D6393" w:rsidR="00DC5BE9" w:rsidRPr="003E2D55" w:rsidRDefault="00DC5BE9" w:rsidP="003E2D55">
            <w:pPr>
              <w:spacing w:before="40" w:after="40"/>
              <w:jc w:val="right"/>
              <w:rPr>
                <w:rFonts w:cs="Arial"/>
                <w:sz w:val="18"/>
                <w:szCs w:val="18"/>
              </w:rPr>
            </w:pPr>
            <w:r w:rsidRPr="003E2D55">
              <w:rPr>
                <w:rFonts w:cs="Arial"/>
                <w:sz w:val="18"/>
                <w:szCs w:val="18"/>
              </w:rPr>
              <w:t>47,277</w:t>
            </w:r>
          </w:p>
        </w:tc>
        <w:tc>
          <w:tcPr>
            <w:tcW w:w="1361" w:type="dxa"/>
            <w:tcBorders>
              <w:top w:val="nil"/>
              <w:left w:val="nil"/>
              <w:bottom w:val="nil"/>
              <w:right w:val="nil"/>
            </w:tcBorders>
            <w:shd w:val="clear" w:color="auto" w:fill="auto"/>
            <w:vAlign w:val="bottom"/>
          </w:tcPr>
          <w:p w14:paraId="67BF44ED" w14:textId="5501FB4F" w:rsidR="00DC5BE9" w:rsidRPr="003E2D55" w:rsidRDefault="00DC5BE9" w:rsidP="003E2D55">
            <w:pPr>
              <w:spacing w:before="40" w:after="40"/>
              <w:jc w:val="right"/>
              <w:rPr>
                <w:rFonts w:cs="Arial"/>
                <w:sz w:val="18"/>
                <w:szCs w:val="18"/>
              </w:rPr>
            </w:pPr>
            <w:r w:rsidRPr="003E2D55">
              <w:rPr>
                <w:rFonts w:cs="Arial"/>
                <w:sz w:val="18"/>
                <w:szCs w:val="18"/>
              </w:rPr>
              <w:t>5,506,132</w:t>
            </w:r>
          </w:p>
        </w:tc>
        <w:tc>
          <w:tcPr>
            <w:tcW w:w="1361" w:type="dxa"/>
            <w:tcBorders>
              <w:top w:val="nil"/>
              <w:left w:val="nil"/>
              <w:bottom w:val="nil"/>
              <w:right w:val="nil"/>
            </w:tcBorders>
            <w:shd w:val="clear" w:color="auto" w:fill="auto"/>
            <w:vAlign w:val="bottom"/>
          </w:tcPr>
          <w:p w14:paraId="2FC42319" w14:textId="4812D7BF" w:rsidR="00DC5BE9" w:rsidRPr="003E2D55" w:rsidRDefault="00DC5BE9" w:rsidP="003E2D55">
            <w:pPr>
              <w:spacing w:before="40" w:after="40"/>
              <w:jc w:val="right"/>
              <w:rPr>
                <w:rFonts w:cs="Arial"/>
                <w:sz w:val="18"/>
                <w:szCs w:val="18"/>
              </w:rPr>
            </w:pPr>
            <w:r w:rsidRPr="003E2D55">
              <w:rPr>
                <w:rFonts w:cs="Arial"/>
                <w:sz w:val="18"/>
                <w:szCs w:val="18"/>
              </w:rPr>
              <w:t>7,521,922</w:t>
            </w:r>
          </w:p>
        </w:tc>
        <w:tc>
          <w:tcPr>
            <w:tcW w:w="1361" w:type="dxa"/>
            <w:tcBorders>
              <w:top w:val="nil"/>
              <w:left w:val="nil"/>
              <w:bottom w:val="nil"/>
              <w:right w:val="nil"/>
            </w:tcBorders>
            <w:shd w:val="clear" w:color="auto" w:fill="auto"/>
            <w:vAlign w:val="bottom"/>
          </w:tcPr>
          <w:p w14:paraId="1283383F" w14:textId="15EB9042" w:rsidR="00DC5BE9" w:rsidRPr="003E2D55" w:rsidRDefault="00DC5BE9" w:rsidP="003E2D55">
            <w:pPr>
              <w:spacing w:before="40" w:after="40"/>
              <w:jc w:val="right"/>
              <w:rPr>
                <w:rFonts w:cs="Arial"/>
                <w:sz w:val="18"/>
                <w:szCs w:val="18"/>
              </w:rPr>
            </w:pPr>
            <w:r w:rsidRPr="003E2D55">
              <w:rPr>
                <w:rFonts w:cs="Arial"/>
                <w:sz w:val="18"/>
                <w:szCs w:val="18"/>
              </w:rPr>
              <w:t>189,474</w:t>
            </w:r>
          </w:p>
        </w:tc>
        <w:tc>
          <w:tcPr>
            <w:tcW w:w="1474" w:type="dxa"/>
            <w:tcBorders>
              <w:top w:val="nil"/>
              <w:left w:val="nil"/>
              <w:bottom w:val="nil"/>
              <w:right w:val="nil"/>
            </w:tcBorders>
            <w:shd w:val="clear" w:color="auto" w:fill="auto"/>
            <w:vAlign w:val="bottom"/>
          </w:tcPr>
          <w:p w14:paraId="4F118B46" w14:textId="0909ED9A" w:rsidR="00DC5BE9" w:rsidRPr="003E2D55" w:rsidRDefault="00DC5BE9" w:rsidP="003E2D55">
            <w:pPr>
              <w:spacing w:before="40" w:after="40"/>
              <w:jc w:val="right"/>
              <w:rPr>
                <w:rFonts w:cs="Arial"/>
                <w:sz w:val="18"/>
                <w:szCs w:val="18"/>
              </w:rPr>
            </w:pPr>
            <w:r w:rsidRPr="003E2D55">
              <w:rPr>
                <w:rFonts w:cs="Arial"/>
                <w:sz w:val="18"/>
                <w:szCs w:val="18"/>
              </w:rPr>
              <w:t>45,232</w:t>
            </w:r>
          </w:p>
        </w:tc>
      </w:tr>
      <w:tr w:rsidR="00DC5BE9" w:rsidRPr="003E2D55" w14:paraId="5F1CB52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67F2B23" w14:textId="77777777" w:rsidR="00DC5BE9" w:rsidRPr="003E2D55" w:rsidRDefault="00DC5BE9" w:rsidP="003E2D55">
            <w:pPr>
              <w:spacing w:before="40" w:after="40"/>
              <w:rPr>
                <w:rFonts w:cs="Arial"/>
                <w:sz w:val="18"/>
                <w:szCs w:val="18"/>
              </w:rPr>
            </w:pPr>
            <w:r w:rsidRPr="003E2D55">
              <w:rPr>
                <w:rFonts w:cs="Arial"/>
                <w:sz w:val="18"/>
                <w:szCs w:val="18"/>
              </w:rPr>
              <w:t>Corangamite S</w:t>
            </w:r>
          </w:p>
        </w:tc>
        <w:tc>
          <w:tcPr>
            <w:tcW w:w="1361" w:type="dxa"/>
            <w:tcBorders>
              <w:top w:val="nil"/>
              <w:left w:val="single" w:sz="18" w:space="0" w:color="5F497A" w:themeColor="accent4" w:themeShade="BF"/>
              <w:bottom w:val="nil"/>
              <w:right w:val="nil"/>
            </w:tcBorders>
            <w:shd w:val="clear" w:color="auto" w:fill="auto"/>
            <w:vAlign w:val="bottom"/>
          </w:tcPr>
          <w:p w14:paraId="77A6A9C4" w14:textId="5CECD435" w:rsidR="00DC5BE9" w:rsidRPr="003E2D55" w:rsidRDefault="00DC5BE9" w:rsidP="003E2D55">
            <w:pPr>
              <w:spacing w:before="40" w:after="40"/>
              <w:jc w:val="right"/>
              <w:rPr>
                <w:rFonts w:cs="Arial"/>
                <w:sz w:val="18"/>
                <w:szCs w:val="18"/>
              </w:rPr>
            </w:pPr>
            <w:r w:rsidRPr="003E2D55">
              <w:rPr>
                <w:rFonts w:cs="Arial"/>
                <w:sz w:val="18"/>
                <w:szCs w:val="18"/>
              </w:rPr>
              <w:t>183,258</w:t>
            </w:r>
          </w:p>
        </w:tc>
        <w:tc>
          <w:tcPr>
            <w:tcW w:w="1361" w:type="dxa"/>
            <w:tcBorders>
              <w:top w:val="nil"/>
              <w:left w:val="nil"/>
              <w:bottom w:val="nil"/>
              <w:right w:val="nil"/>
            </w:tcBorders>
            <w:shd w:val="clear" w:color="auto" w:fill="auto"/>
            <w:vAlign w:val="bottom"/>
          </w:tcPr>
          <w:p w14:paraId="4FCBAC0E" w14:textId="0495D5FE" w:rsidR="00DC5BE9" w:rsidRPr="003E2D55" w:rsidRDefault="00DC5BE9" w:rsidP="003E2D55">
            <w:pPr>
              <w:spacing w:before="40" w:after="40"/>
              <w:jc w:val="right"/>
              <w:rPr>
                <w:rFonts w:cs="Arial"/>
                <w:sz w:val="18"/>
                <w:szCs w:val="18"/>
              </w:rPr>
            </w:pPr>
            <w:r w:rsidRPr="003E2D55">
              <w:rPr>
                <w:rFonts w:cs="Arial"/>
                <w:sz w:val="18"/>
                <w:szCs w:val="18"/>
              </w:rPr>
              <w:t>11,905,504</w:t>
            </w:r>
          </w:p>
        </w:tc>
        <w:tc>
          <w:tcPr>
            <w:tcW w:w="1361" w:type="dxa"/>
            <w:tcBorders>
              <w:top w:val="nil"/>
              <w:left w:val="nil"/>
              <w:bottom w:val="nil"/>
              <w:right w:val="nil"/>
            </w:tcBorders>
            <w:shd w:val="clear" w:color="auto" w:fill="auto"/>
            <w:vAlign w:val="bottom"/>
          </w:tcPr>
          <w:p w14:paraId="539465A2" w14:textId="033F117F" w:rsidR="00DC5BE9" w:rsidRPr="003E2D55" w:rsidRDefault="00DC5BE9" w:rsidP="003E2D55">
            <w:pPr>
              <w:spacing w:before="40" w:after="40"/>
              <w:jc w:val="right"/>
              <w:rPr>
                <w:rFonts w:cs="Arial"/>
                <w:sz w:val="18"/>
                <w:szCs w:val="18"/>
              </w:rPr>
            </w:pPr>
            <w:r w:rsidRPr="003E2D55">
              <w:rPr>
                <w:rFonts w:cs="Arial"/>
                <w:sz w:val="18"/>
                <w:szCs w:val="18"/>
              </w:rPr>
              <w:t>5,761,601</w:t>
            </w:r>
          </w:p>
        </w:tc>
        <w:tc>
          <w:tcPr>
            <w:tcW w:w="1361" w:type="dxa"/>
            <w:tcBorders>
              <w:top w:val="nil"/>
              <w:left w:val="nil"/>
              <w:bottom w:val="nil"/>
              <w:right w:val="nil"/>
            </w:tcBorders>
            <w:shd w:val="clear" w:color="auto" w:fill="auto"/>
            <w:vAlign w:val="bottom"/>
          </w:tcPr>
          <w:p w14:paraId="7F0BDBCD" w14:textId="258EECA9" w:rsidR="00DC5BE9" w:rsidRPr="003E2D55" w:rsidRDefault="00DC5BE9" w:rsidP="003E2D55">
            <w:pPr>
              <w:spacing w:before="40" w:after="40"/>
              <w:jc w:val="right"/>
              <w:rPr>
                <w:rFonts w:cs="Arial"/>
                <w:sz w:val="18"/>
                <w:szCs w:val="18"/>
              </w:rPr>
            </w:pPr>
            <w:r w:rsidRPr="003E2D55">
              <w:rPr>
                <w:rFonts w:cs="Arial"/>
                <w:sz w:val="18"/>
                <w:szCs w:val="18"/>
              </w:rPr>
              <w:t>679,505</w:t>
            </w:r>
          </w:p>
        </w:tc>
        <w:tc>
          <w:tcPr>
            <w:tcW w:w="1474" w:type="dxa"/>
            <w:tcBorders>
              <w:top w:val="nil"/>
              <w:left w:val="nil"/>
              <w:bottom w:val="nil"/>
              <w:right w:val="nil"/>
            </w:tcBorders>
            <w:shd w:val="clear" w:color="auto" w:fill="auto"/>
            <w:vAlign w:val="bottom"/>
          </w:tcPr>
          <w:p w14:paraId="04FC5384" w14:textId="7719D9B9"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2659289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B5EC74D" w14:textId="77777777" w:rsidR="00DC5BE9" w:rsidRPr="003E2D55" w:rsidRDefault="00DC5BE9" w:rsidP="003E2D55">
            <w:pPr>
              <w:spacing w:before="40" w:after="40"/>
              <w:rPr>
                <w:rFonts w:cs="Arial"/>
                <w:sz w:val="18"/>
                <w:szCs w:val="18"/>
              </w:rPr>
            </w:pPr>
            <w:r w:rsidRPr="003E2D55">
              <w:rPr>
                <w:rFonts w:cs="Arial"/>
                <w:sz w:val="18"/>
                <w:szCs w:val="18"/>
              </w:rPr>
              <w:t>Darebin C</w:t>
            </w:r>
          </w:p>
        </w:tc>
        <w:tc>
          <w:tcPr>
            <w:tcW w:w="1361" w:type="dxa"/>
            <w:tcBorders>
              <w:top w:val="nil"/>
              <w:left w:val="single" w:sz="18" w:space="0" w:color="5F497A" w:themeColor="accent4" w:themeShade="BF"/>
              <w:bottom w:val="nil"/>
              <w:right w:val="nil"/>
            </w:tcBorders>
            <w:shd w:val="clear" w:color="auto" w:fill="auto"/>
            <w:vAlign w:val="bottom"/>
          </w:tcPr>
          <w:p w14:paraId="2E10B3E9" w14:textId="35C2863E"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51D2AA84" w14:textId="02A4D211"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19E45EA0" w14:textId="081B8BFA"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690EDD57" w14:textId="23D5B956" w:rsidR="00DC5BE9" w:rsidRPr="003E2D55" w:rsidRDefault="00DC5BE9" w:rsidP="003E2D55">
            <w:pPr>
              <w:spacing w:before="40" w:after="40"/>
              <w:jc w:val="right"/>
              <w:rPr>
                <w:rFonts w:cs="Arial"/>
                <w:sz w:val="18"/>
                <w:szCs w:val="18"/>
              </w:rPr>
            </w:pPr>
            <w:r w:rsidRPr="003E2D55">
              <w:rPr>
                <w:rFonts w:cs="Arial"/>
                <w:sz w:val="18"/>
                <w:szCs w:val="18"/>
              </w:rPr>
              <w:t>0</w:t>
            </w:r>
          </w:p>
        </w:tc>
        <w:tc>
          <w:tcPr>
            <w:tcW w:w="1474" w:type="dxa"/>
            <w:tcBorders>
              <w:top w:val="nil"/>
              <w:left w:val="nil"/>
              <w:bottom w:val="nil"/>
              <w:right w:val="nil"/>
            </w:tcBorders>
            <w:shd w:val="clear" w:color="auto" w:fill="auto"/>
            <w:vAlign w:val="bottom"/>
          </w:tcPr>
          <w:p w14:paraId="7A4E3BCD" w14:textId="5933D599"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0DCFACD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576680B" w14:textId="77777777" w:rsidR="00DC5BE9" w:rsidRPr="003E2D55" w:rsidRDefault="00DC5BE9" w:rsidP="003E2D55">
            <w:pPr>
              <w:spacing w:before="40" w:after="40"/>
              <w:rPr>
                <w:rFonts w:cs="Arial"/>
                <w:sz w:val="18"/>
                <w:szCs w:val="18"/>
              </w:rPr>
            </w:pPr>
            <w:r w:rsidRPr="003E2D55">
              <w:rPr>
                <w:rFonts w:cs="Arial"/>
                <w:sz w:val="18"/>
                <w:szCs w:val="18"/>
              </w:rPr>
              <w:t>East Gippsland S</w:t>
            </w:r>
          </w:p>
        </w:tc>
        <w:tc>
          <w:tcPr>
            <w:tcW w:w="1361" w:type="dxa"/>
            <w:tcBorders>
              <w:top w:val="nil"/>
              <w:left w:val="single" w:sz="18" w:space="0" w:color="5F497A" w:themeColor="accent4" w:themeShade="BF"/>
              <w:bottom w:val="nil"/>
              <w:right w:val="nil"/>
            </w:tcBorders>
            <w:shd w:val="clear" w:color="auto" w:fill="auto"/>
            <w:vAlign w:val="bottom"/>
          </w:tcPr>
          <w:p w14:paraId="6A824343" w14:textId="34963679" w:rsidR="00DC5BE9" w:rsidRPr="003E2D55" w:rsidRDefault="00DC5BE9" w:rsidP="003E2D55">
            <w:pPr>
              <w:spacing w:before="40" w:after="40"/>
              <w:jc w:val="right"/>
              <w:rPr>
                <w:rFonts w:cs="Arial"/>
                <w:sz w:val="18"/>
                <w:szCs w:val="18"/>
              </w:rPr>
            </w:pPr>
            <w:r w:rsidRPr="003E2D55">
              <w:rPr>
                <w:rFonts w:cs="Arial"/>
                <w:sz w:val="18"/>
                <w:szCs w:val="18"/>
              </w:rPr>
              <w:t>32,399</w:t>
            </w:r>
          </w:p>
        </w:tc>
        <w:tc>
          <w:tcPr>
            <w:tcW w:w="1361" w:type="dxa"/>
            <w:tcBorders>
              <w:top w:val="nil"/>
              <w:left w:val="nil"/>
              <w:bottom w:val="nil"/>
              <w:right w:val="nil"/>
            </w:tcBorders>
            <w:shd w:val="clear" w:color="auto" w:fill="auto"/>
            <w:vAlign w:val="bottom"/>
          </w:tcPr>
          <w:p w14:paraId="225B564E" w14:textId="01B480B3" w:rsidR="00DC5BE9" w:rsidRPr="003E2D55" w:rsidRDefault="00DC5BE9" w:rsidP="003E2D55">
            <w:pPr>
              <w:spacing w:before="40" w:after="40"/>
              <w:jc w:val="right"/>
              <w:rPr>
                <w:rFonts w:cs="Arial"/>
                <w:sz w:val="18"/>
                <w:szCs w:val="18"/>
              </w:rPr>
            </w:pPr>
            <w:r w:rsidRPr="003E2D55">
              <w:rPr>
                <w:rFonts w:cs="Arial"/>
                <w:sz w:val="18"/>
                <w:szCs w:val="18"/>
              </w:rPr>
              <w:t>12,879,516</w:t>
            </w:r>
          </w:p>
        </w:tc>
        <w:tc>
          <w:tcPr>
            <w:tcW w:w="1361" w:type="dxa"/>
            <w:tcBorders>
              <w:top w:val="nil"/>
              <w:left w:val="nil"/>
              <w:bottom w:val="nil"/>
              <w:right w:val="nil"/>
            </w:tcBorders>
            <w:shd w:val="clear" w:color="auto" w:fill="auto"/>
            <w:vAlign w:val="bottom"/>
          </w:tcPr>
          <w:p w14:paraId="250AB692" w14:textId="04BA041C" w:rsidR="00DC5BE9" w:rsidRPr="003E2D55" w:rsidRDefault="00DC5BE9" w:rsidP="003E2D55">
            <w:pPr>
              <w:spacing w:before="40" w:after="40"/>
              <w:jc w:val="right"/>
              <w:rPr>
                <w:rFonts w:cs="Arial"/>
                <w:sz w:val="18"/>
                <w:szCs w:val="18"/>
              </w:rPr>
            </w:pPr>
            <w:r w:rsidRPr="003E2D55">
              <w:rPr>
                <w:rFonts w:cs="Arial"/>
                <w:sz w:val="18"/>
                <w:szCs w:val="18"/>
              </w:rPr>
              <w:t>6,140,815</w:t>
            </w:r>
          </w:p>
        </w:tc>
        <w:tc>
          <w:tcPr>
            <w:tcW w:w="1361" w:type="dxa"/>
            <w:tcBorders>
              <w:top w:val="nil"/>
              <w:left w:val="nil"/>
              <w:bottom w:val="nil"/>
              <w:right w:val="nil"/>
            </w:tcBorders>
            <w:shd w:val="clear" w:color="auto" w:fill="auto"/>
            <w:vAlign w:val="bottom"/>
          </w:tcPr>
          <w:p w14:paraId="270AB66A" w14:textId="6F3C58AC" w:rsidR="00DC5BE9" w:rsidRPr="003E2D55" w:rsidRDefault="00DC5BE9" w:rsidP="003E2D55">
            <w:pPr>
              <w:spacing w:before="40" w:after="40"/>
              <w:jc w:val="right"/>
              <w:rPr>
                <w:rFonts w:cs="Arial"/>
                <w:sz w:val="18"/>
                <w:szCs w:val="18"/>
              </w:rPr>
            </w:pPr>
            <w:r w:rsidRPr="003E2D55">
              <w:rPr>
                <w:rFonts w:cs="Arial"/>
                <w:sz w:val="18"/>
                <w:szCs w:val="18"/>
              </w:rPr>
              <w:t>606,014</w:t>
            </w:r>
          </w:p>
        </w:tc>
        <w:tc>
          <w:tcPr>
            <w:tcW w:w="1474" w:type="dxa"/>
            <w:tcBorders>
              <w:top w:val="nil"/>
              <w:left w:val="nil"/>
              <w:bottom w:val="nil"/>
              <w:right w:val="nil"/>
            </w:tcBorders>
            <w:shd w:val="clear" w:color="auto" w:fill="auto"/>
            <w:vAlign w:val="bottom"/>
          </w:tcPr>
          <w:p w14:paraId="6104BCE6" w14:textId="7922BFA6" w:rsidR="00DC5BE9" w:rsidRPr="003E2D55" w:rsidRDefault="00DC5BE9" w:rsidP="003E2D55">
            <w:pPr>
              <w:spacing w:before="40" w:after="40"/>
              <w:jc w:val="right"/>
              <w:rPr>
                <w:rFonts w:cs="Arial"/>
                <w:sz w:val="18"/>
                <w:szCs w:val="18"/>
              </w:rPr>
            </w:pPr>
            <w:r w:rsidRPr="003E2D55">
              <w:rPr>
                <w:rFonts w:cs="Arial"/>
                <w:sz w:val="18"/>
                <w:szCs w:val="18"/>
              </w:rPr>
              <w:t>218,690</w:t>
            </w:r>
          </w:p>
        </w:tc>
      </w:tr>
      <w:tr w:rsidR="00DC5BE9" w:rsidRPr="003E2D55" w14:paraId="36D5132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32622B8" w14:textId="77777777" w:rsidR="00DC5BE9" w:rsidRPr="003E2D55" w:rsidRDefault="00DC5BE9" w:rsidP="003E2D55">
            <w:pPr>
              <w:spacing w:before="40" w:after="40"/>
              <w:rPr>
                <w:rFonts w:cs="Arial"/>
                <w:sz w:val="18"/>
                <w:szCs w:val="18"/>
              </w:rPr>
            </w:pPr>
            <w:r w:rsidRPr="003E2D55">
              <w:rPr>
                <w:rFonts w:cs="Arial"/>
                <w:sz w:val="18"/>
                <w:szCs w:val="18"/>
              </w:rPr>
              <w:t>Frankston C</w:t>
            </w:r>
          </w:p>
        </w:tc>
        <w:tc>
          <w:tcPr>
            <w:tcW w:w="1361" w:type="dxa"/>
            <w:tcBorders>
              <w:top w:val="nil"/>
              <w:left w:val="single" w:sz="18" w:space="0" w:color="5F497A" w:themeColor="accent4" w:themeShade="BF"/>
              <w:bottom w:val="nil"/>
              <w:right w:val="nil"/>
            </w:tcBorders>
            <w:shd w:val="clear" w:color="auto" w:fill="auto"/>
            <w:vAlign w:val="bottom"/>
          </w:tcPr>
          <w:p w14:paraId="190EE7A7" w14:textId="451F3A11"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6BD9C06A" w14:textId="5A037444" w:rsidR="00DC5BE9" w:rsidRPr="003E2D55" w:rsidRDefault="00DC5BE9" w:rsidP="003E2D55">
            <w:pPr>
              <w:spacing w:before="40" w:after="40"/>
              <w:jc w:val="right"/>
              <w:rPr>
                <w:rFonts w:cs="Arial"/>
                <w:sz w:val="18"/>
                <w:szCs w:val="18"/>
              </w:rPr>
            </w:pPr>
            <w:r w:rsidRPr="003E2D55">
              <w:rPr>
                <w:rFonts w:cs="Arial"/>
                <w:sz w:val="18"/>
                <w:szCs w:val="18"/>
              </w:rPr>
              <w:t>30,344</w:t>
            </w:r>
          </w:p>
        </w:tc>
        <w:tc>
          <w:tcPr>
            <w:tcW w:w="1361" w:type="dxa"/>
            <w:tcBorders>
              <w:top w:val="nil"/>
              <w:left w:val="nil"/>
              <w:bottom w:val="nil"/>
              <w:right w:val="nil"/>
            </w:tcBorders>
            <w:shd w:val="clear" w:color="auto" w:fill="auto"/>
            <w:vAlign w:val="bottom"/>
          </w:tcPr>
          <w:p w14:paraId="1BB79F0B" w14:textId="51904997" w:rsidR="00DC5BE9" w:rsidRPr="003E2D55" w:rsidRDefault="00DC5BE9" w:rsidP="003E2D55">
            <w:pPr>
              <w:spacing w:before="40" w:after="40"/>
              <w:jc w:val="right"/>
              <w:rPr>
                <w:rFonts w:cs="Arial"/>
                <w:sz w:val="18"/>
                <w:szCs w:val="18"/>
              </w:rPr>
            </w:pPr>
            <w:r w:rsidRPr="003E2D55">
              <w:rPr>
                <w:rFonts w:cs="Arial"/>
                <w:sz w:val="18"/>
                <w:szCs w:val="18"/>
              </w:rPr>
              <w:t>324,592</w:t>
            </w:r>
          </w:p>
        </w:tc>
        <w:tc>
          <w:tcPr>
            <w:tcW w:w="1361" w:type="dxa"/>
            <w:tcBorders>
              <w:top w:val="nil"/>
              <w:left w:val="nil"/>
              <w:bottom w:val="nil"/>
              <w:right w:val="nil"/>
            </w:tcBorders>
            <w:shd w:val="clear" w:color="auto" w:fill="auto"/>
            <w:vAlign w:val="bottom"/>
          </w:tcPr>
          <w:p w14:paraId="6E5D1846" w14:textId="27640D7C" w:rsidR="00DC5BE9" w:rsidRPr="003E2D55" w:rsidRDefault="00DC5BE9" w:rsidP="003E2D55">
            <w:pPr>
              <w:spacing w:before="40" w:after="40"/>
              <w:jc w:val="right"/>
              <w:rPr>
                <w:rFonts w:cs="Arial"/>
                <w:sz w:val="18"/>
                <w:szCs w:val="18"/>
              </w:rPr>
            </w:pPr>
            <w:r w:rsidRPr="003E2D55">
              <w:rPr>
                <w:rFonts w:cs="Arial"/>
                <w:sz w:val="18"/>
                <w:szCs w:val="18"/>
              </w:rPr>
              <w:t>60,341</w:t>
            </w:r>
          </w:p>
        </w:tc>
        <w:tc>
          <w:tcPr>
            <w:tcW w:w="1474" w:type="dxa"/>
            <w:tcBorders>
              <w:top w:val="nil"/>
              <w:left w:val="nil"/>
              <w:bottom w:val="nil"/>
              <w:right w:val="nil"/>
            </w:tcBorders>
            <w:shd w:val="clear" w:color="auto" w:fill="auto"/>
            <w:vAlign w:val="bottom"/>
          </w:tcPr>
          <w:p w14:paraId="047926E0" w14:textId="4466098A" w:rsidR="00DC5BE9" w:rsidRPr="003E2D55" w:rsidRDefault="00DC5BE9" w:rsidP="003E2D55">
            <w:pPr>
              <w:spacing w:before="40" w:after="40"/>
              <w:jc w:val="right"/>
              <w:rPr>
                <w:rFonts w:cs="Arial"/>
                <w:sz w:val="18"/>
                <w:szCs w:val="18"/>
              </w:rPr>
            </w:pPr>
            <w:r w:rsidRPr="003E2D55">
              <w:rPr>
                <w:rFonts w:cs="Arial"/>
                <w:sz w:val="18"/>
                <w:szCs w:val="18"/>
              </w:rPr>
              <w:t>308,987</w:t>
            </w:r>
          </w:p>
        </w:tc>
      </w:tr>
      <w:tr w:rsidR="00DC5BE9" w:rsidRPr="003E2D55" w14:paraId="1D8072B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74C865A" w14:textId="77777777" w:rsidR="00DC5BE9" w:rsidRPr="003E2D55" w:rsidRDefault="00DC5BE9" w:rsidP="003E2D55">
            <w:pPr>
              <w:spacing w:before="40" w:after="40"/>
              <w:rPr>
                <w:rFonts w:cs="Arial"/>
                <w:sz w:val="18"/>
                <w:szCs w:val="18"/>
              </w:rPr>
            </w:pPr>
            <w:r w:rsidRPr="003E2D55">
              <w:rPr>
                <w:rFonts w:cs="Arial"/>
                <w:sz w:val="18"/>
                <w:szCs w:val="18"/>
              </w:rPr>
              <w:t>Gannawarra S</w:t>
            </w:r>
          </w:p>
        </w:tc>
        <w:tc>
          <w:tcPr>
            <w:tcW w:w="1361" w:type="dxa"/>
            <w:tcBorders>
              <w:top w:val="nil"/>
              <w:left w:val="single" w:sz="18" w:space="0" w:color="5F497A" w:themeColor="accent4" w:themeShade="BF"/>
              <w:bottom w:val="nil"/>
              <w:right w:val="nil"/>
            </w:tcBorders>
            <w:shd w:val="clear" w:color="auto" w:fill="auto"/>
            <w:vAlign w:val="bottom"/>
          </w:tcPr>
          <w:p w14:paraId="3DCAF39A" w14:textId="1988D584" w:rsidR="00DC5BE9" w:rsidRPr="003E2D55" w:rsidRDefault="00DC5BE9" w:rsidP="003E2D55">
            <w:pPr>
              <w:spacing w:before="40" w:after="40"/>
              <w:jc w:val="right"/>
              <w:rPr>
                <w:rFonts w:cs="Arial"/>
                <w:sz w:val="18"/>
                <w:szCs w:val="18"/>
              </w:rPr>
            </w:pPr>
            <w:r w:rsidRPr="003E2D55">
              <w:rPr>
                <w:rFonts w:cs="Arial"/>
                <w:sz w:val="18"/>
                <w:szCs w:val="18"/>
              </w:rPr>
              <w:t>471,921</w:t>
            </w:r>
          </w:p>
        </w:tc>
        <w:tc>
          <w:tcPr>
            <w:tcW w:w="1361" w:type="dxa"/>
            <w:tcBorders>
              <w:top w:val="nil"/>
              <w:left w:val="nil"/>
              <w:bottom w:val="nil"/>
              <w:right w:val="nil"/>
            </w:tcBorders>
            <w:shd w:val="clear" w:color="auto" w:fill="auto"/>
            <w:vAlign w:val="bottom"/>
          </w:tcPr>
          <w:p w14:paraId="2DF02AAC" w14:textId="3173EF63" w:rsidR="00DC5BE9" w:rsidRPr="003E2D55" w:rsidRDefault="00DC5BE9" w:rsidP="003E2D55">
            <w:pPr>
              <w:spacing w:before="40" w:after="40"/>
              <w:jc w:val="right"/>
              <w:rPr>
                <w:rFonts w:cs="Arial"/>
                <w:sz w:val="18"/>
                <w:szCs w:val="18"/>
              </w:rPr>
            </w:pPr>
            <w:r w:rsidRPr="003E2D55">
              <w:rPr>
                <w:rFonts w:cs="Arial"/>
                <w:sz w:val="18"/>
                <w:szCs w:val="18"/>
              </w:rPr>
              <w:t>4,676,167</w:t>
            </w:r>
          </w:p>
        </w:tc>
        <w:tc>
          <w:tcPr>
            <w:tcW w:w="1361" w:type="dxa"/>
            <w:tcBorders>
              <w:top w:val="nil"/>
              <w:left w:val="nil"/>
              <w:bottom w:val="nil"/>
              <w:right w:val="nil"/>
            </w:tcBorders>
            <w:shd w:val="clear" w:color="auto" w:fill="auto"/>
            <w:vAlign w:val="bottom"/>
          </w:tcPr>
          <w:p w14:paraId="71A1C626" w14:textId="47B378EA" w:rsidR="00DC5BE9" w:rsidRPr="003E2D55" w:rsidRDefault="00DC5BE9" w:rsidP="003E2D55">
            <w:pPr>
              <w:spacing w:before="40" w:after="40"/>
              <w:jc w:val="right"/>
              <w:rPr>
                <w:rFonts w:cs="Arial"/>
                <w:sz w:val="18"/>
                <w:szCs w:val="18"/>
              </w:rPr>
            </w:pPr>
            <w:r w:rsidRPr="003E2D55">
              <w:rPr>
                <w:rFonts w:cs="Arial"/>
                <w:sz w:val="18"/>
                <w:szCs w:val="18"/>
              </w:rPr>
              <w:t>3,651,483</w:t>
            </w:r>
          </w:p>
        </w:tc>
        <w:tc>
          <w:tcPr>
            <w:tcW w:w="1361" w:type="dxa"/>
            <w:tcBorders>
              <w:top w:val="nil"/>
              <w:left w:val="nil"/>
              <w:bottom w:val="nil"/>
              <w:right w:val="nil"/>
            </w:tcBorders>
            <w:shd w:val="clear" w:color="auto" w:fill="auto"/>
            <w:vAlign w:val="bottom"/>
          </w:tcPr>
          <w:p w14:paraId="663B8C73" w14:textId="4B327B94" w:rsidR="00DC5BE9" w:rsidRPr="003E2D55" w:rsidRDefault="00DC5BE9" w:rsidP="003E2D55">
            <w:pPr>
              <w:spacing w:before="40" w:after="40"/>
              <w:jc w:val="right"/>
              <w:rPr>
                <w:rFonts w:cs="Arial"/>
                <w:sz w:val="18"/>
                <w:szCs w:val="18"/>
              </w:rPr>
            </w:pPr>
            <w:r w:rsidRPr="003E2D55">
              <w:rPr>
                <w:rFonts w:cs="Arial"/>
                <w:sz w:val="18"/>
                <w:szCs w:val="18"/>
              </w:rPr>
              <w:t>1,247,944</w:t>
            </w:r>
          </w:p>
        </w:tc>
        <w:tc>
          <w:tcPr>
            <w:tcW w:w="1474" w:type="dxa"/>
            <w:tcBorders>
              <w:top w:val="nil"/>
              <w:left w:val="nil"/>
              <w:bottom w:val="nil"/>
              <w:right w:val="nil"/>
            </w:tcBorders>
            <w:shd w:val="clear" w:color="auto" w:fill="auto"/>
            <w:vAlign w:val="bottom"/>
          </w:tcPr>
          <w:p w14:paraId="1588004E" w14:textId="6ABBBD0C" w:rsidR="00DC5BE9" w:rsidRPr="003E2D55" w:rsidRDefault="00DC5BE9" w:rsidP="003E2D55">
            <w:pPr>
              <w:spacing w:before="40" w:after="40"/>
              <w:jc w:val="right"/>
              <w:rPr>
                <w:rFonts w:cs="Arial"/>
                <w:sz w:val="18"/>
                <w:szCs w:val="18"/>
              </w:rPr>
            </w:pPr>
            <w:r w:rsidRPr="003E2D55">
              <w:rPr>
                <w:rFonts w:cs="Arial"/>
                <w:sz w:val="18"/>
                <w:szCs w:val="18"/>
              </w:rPr>
              <w:t>118,160</w:t>
            </w:r>
          </w:p>
        </w:tc>
      </w:tr>
      <w:tr w:rsidR="00DC5BE9" w:rsidRPr="003E2D55" w14:paraId="7574F92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3BDFA7F" w14:textId="77777777" w:rsidR="00DC5BE9" w:rsidRPr="003E2D55" w:rsidRDefault="00DC5BE9" w:rsidP="003E2D55">
            <w:pPr>
              <w:spacing w:before="40" w:after="40"/>
              <w:rPr>
                <w:rFonts w:cs="Arial"/>
                <w:sz w:val="18"/>
                <w:szCs w:val="18"/>
              </w:rPr>
            </w:pPr>
            <w:r w:rsidRPr="003E2D55">
              <w:rPr>
                <w:rFonts w:cs="Arial"/>
                <w:sz w:val="18"/>
                <w:szCs w:val="18"/>
              </w:rPr>
              <w:t>Glen Eira C</w:t>
            </w:r>
          </w:p>
        </w:tc>
        <w:tc>
          <w:tcPr>
            <w:tcW w:w="1361" w:type="dxa"/>
            <w:tcBorders>
              <w:top w:val="nil"/>
              <w:left w:val="single" w:sz="18" w:space="0" w:color="5F497A" w:themeColor="accent4" w:themeShade="BF"/>
              <w:bottom w:val="nil"/>
              <w:right w:val="nil"/>
            </w:tcBorders>
            <w:shd w:val="clear" w:color="auto" w:fill="auto"/>
            <w:vAlign w:val="bottom"/>
          </w:tcPr>
          <w:p w14:paraId="0A3FCB6F" w14:textId="3F505EDC"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4C6C0703" w14:textId="0953EE2C"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6755E5F0" w14:textId="73E4D610"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65631EF2" w14:textId="2CF519FA" w:rsidR="00DC5BE9" w:rsidRPr="003E2D55" w:rsidRDefault="00DC5BE9" w:rsidP="003E2D55">
            <w:pPr>
              <w:spacing w:before="40" w:after="40"/>
              <w:jc w:val="right"/>
              <w:rPr>
                <w:rFonts w:cs="Arial"/>
                <w:sz w:val="18"/>
                <w:szCs w:val="18"/>
              </w:rPr>
            </w:pPr>
            <w:r w:rsidRPr="003E2D55">
              <w:rPr>
                <w:rFonts w:cs="Arial"/>
                <w:sz w:val="18"/>
                <w:szCs w:val="18"/>
              </w:rPr>
              <w:t>0</w:t>
            </w:r>
          </w:p>
        </w:tc>
        <w:tc>
          <w:tcPr>
            <w:tcW w:w="1474" w:type="dxa"/>
            <w:tcBorders>
              <w:top w:val="nil"/>
              <w:left w:val="nil"/>
              <w:bottom w:val="nil"/>
              <w:right w:val="nil"/>
            </w:tcBorders>
            <w:shd w:val="clear" w:color="auto" w:fill="auto"/>
            <w:vAlign w:val="bottom"/>
          </w:tcPr>
          <w:p w14:paraId="26A7264C" w14:textId="51F25087"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456E4F6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387AC02" w14:textId="77777777" w:rsidR="00DC5BE9" w:rsidRPr="003E2D55" w:rsidRDefault="00DC5BE9" w:rsidP="003E2D55">
            <w:pPr>
              <w:spacing w:before="40" w:after="40"/>
              <w:rPr>
                <w:rFonts w:cs="Arial"/>
                <w:sz w:val="18"/>
                <w:szCs w:val="18"/>
              </w:rPr>
            </w:pPr>
            <w:r w:rsidRPr="003E2D55">
              <w:rPr>
                <w:rFonts w:cs="Arial"/>
                <w:sz w:val="18"/>
                <w:szCs w:val="18"/>
              </w:rPr>
              <w:t>Glenelg S</w:t>
            </w:r>
          </w:p>
        </w:tc>
        <w:tc>
          <w:tcPr>
            <w:tcW w:w="1361" w:type="dxa"/>
            <w:tcBorders>
              <w:top w:val="nil"/>
              <w:left w:val="single" w:sz="18" w:space="0" w:color="5F497A" w:themeColor="accent4" w:themeShade="BF"/>
              <w:bottom w:val="nil"/>
              <w:right w:val="nil"/>
            </w:tcBorders>
            <w:shd w:val="clear" w:color="auto" w:fill="auto"/>
            <w:vAlign w:val="bottom"/>
          </w:tcPr>
          <w:p w14:paraId="26DE83FF" w14:textId="58083A89" w:rsidR="00DC5BE9" w:rsidRPr="003E2D55" w:rsidRDefault="00DC5BE9" w:rsidP="003E2D55">
            <w:pPr>
              <w:spacing w:before="40" w:after="40"/>
              <w:jc w:val="right"/>
              <w:rPr>
                <w:rFonts w:cs="Arial"/>
                <w:sz w:val="18"/>
                <w:szCs w:val="18"/>
              </w:rPr>
            </w:pPr>
            <w:r w:rsidRPr="003E2D55">
              <w:rPr>
                <w:rFonts w:cs="Arial"/>
                <w:sz w:val="18"/>
                <w:szCs w:val="18"/>
              </w:rPr>
              <w:t>10,536</w:t>
            </w:r>
          </w:p>
        </w:tc>
        <w:tc>
          <w:tcPr>
            <w:tcW w:w="1361" w:type="dxa"/>
            <w:tcBorders>
              <w:top w:val="nil"/>
              <w:left w:val="nil"/>
              <w:bottom w:val="nil"/>
              <w:right w:val="nil"/>
            </w:tcBorders>
            <w:shd w:val="clear" w:color="auto" w:fill="auto"/>
            <w:vAlign w:val="bottom"/>
          </w:tcPr>
          <w:p w14:paraId="417A9B1D" w14:textId="4EBA7E66" w:rsidR="00DC5BE9" w:rsidRPr="003E2D55" w:rsidRDefault="00DC5BE9" w:rsidP="003E2D55">
            <w:pPr>
              <w:spacing w:before="40" w:after="40"/>
              <w:jc w:val="right"/>
              <w:rPr>
                <w:rFonts w:cs="Arial"/>
                <w:sz w:val="18"/>
                <w:szCs w:val="18"/>
              </w:rPr>
            </w:pPr>
            <w:r w:rsidRPr="003E2D55">
              <w:rPr>
                <w:rFonts w:cs="Arial"/>
                <w:sz w:val="18"/>
                <w:szCs w:val="18"/>
              </w:rPr>
              <w:t>11,600,675</w:t>
            </w:r>
          </w:p>
        </w:tc>
        <w:tc>
          <w:tcPr>
            <w:tcW w:w="1361" w:type="dxa"/>
            <w:tcBorders>
              <w:top w:val="nil"/>
              <w:left w:val="nil"/>
              <w:bottom w:val="nil"/>
              <w:right w:val="nil"/>
            </w:tcBorders>
            <w:shd w:val="clear" w:color="auto" w:fill="auto"/>
            <w:vAlign w:val="bottom"/>
          </w:tcPr>
          <w:p w14:paraId="179D7A55" w14:textId="638FE6B8" w:rsidR="00DC5BE9" w:rsidRPr="003E2D55" w:rsidRDefault="00DC5BE9" w:rsidP="003E2D55">
            <w:pPr>
              <w:spacing w:before="40" w:after="40"/>
              <w:jc w:val="right"/>
              <w:rPr>
                <w:rFonts w:cs="Arial"/>
                <w:sz w:val="18"/>
                <w:szCs w:val="18"/>
              </w:rPr>
            </w:pPr>
            <w:r w:rsidRPr="003E2D55">
              <w:rPr>
                <w:rFonts w:cs="Arial"/>
                <w:sz w:val="18"/>
                <w:szCs w:val="18"/>
              </w:rPr>
              <w:t>5,444,005</w:t>
            </w:r>
          </w:p>
        </w:tc>
        <w:tc>
          <w:tcPr>
            <w:tcW w:w="1361" w:type="dxa"/>
            <w:tcBorders>
              <w:top w:val="nil"/>
              <w:left w:val="nil"/>
              <w:bottom w:val="nil"/>
              <w:right w:val="nil"/>
            </w:tcBorders>
            <w:shd w:val="clear" w:color="auto" w:fill="auto"/>
            <w:vAlign w:val="bottom"/>
          </w:tcPr>
          <w:p w14:paraId="0F6ADDB5" w14:textId="22930E9E" w:rsidR="00DC5BE9" w:rsidRPr="003E2D55" w:rsidRDefault="00DC5BE9" w:rsidP="003E2D55">
            <w:pPr>
              <w:spacing w:before="40" w:after="40"/>
              <w:jc w:val="right"/>
              <w:rPr>
                <w:rFonts w:cs="Arial"/>
                <w:sz w:val="18"/>
                <w:szCs w:val="18"/>
              </w:rPr>
            </w:pPr>
            <w:r w:rsidRPr="003E2D55">
              <w:rPr>
                <w:rFonts w:cs="Arial"/>
                <w:sz w:val="18"/>
                <w:szCs w:val="18"/>
              </w:rPr>
              <w:t>581,535</w:t>
            </w:r>
          </w:p>
        </w:tc>
        <w:tc>
          <w:tcPr>
            <w:tcW w:w="1474" w:type="dxa"/>
            <w:tcBorders>
              <w:top w:val="nil"/>
              <w:left w:val="nil"/>
              <w:bottom w:val="nil"/>
              <w:right w:val="nil"/>
            </w:tcBorders>
            <w:shd w:val="clear" w:color="auto" w:fill="auto"/>
            <w:vAlign w:val="bottom"/>
          </w:tcPr>
          <w:p w14:paraId="11C81F88" w14:textId="7EA47AD8" w:rsidR="00DC5BE9" w:rsidRPr="003E2D55" w:rsidRDefault="00DC5BE9" w:rsidP="003E2D55">
            <w:pPr>
              <w:spacing w:before="40" w:after="40"/>
              <w:jc w:val="right"/>
              <w:rPr>
                <w:rFonts w:cs="Arial"/>
                <w:sz w:val="18"/>
                <w:szCs w:val="18"/>
              </w:rPr>
            </w:pPr>
            <w:r w:rsidRPr="003E2D55">
              <w:rPr>
                <w:rFonts w:cs="Arial"/>
                <w:sz w:val="18"/>
                <w:szCs w:val="18"/>
              </w:rPr>
              <w:t>323,146</w:t>
            </w:r>
          </w:p>
        </w:tc>
      </w:tr>
      <w:tr w:rsidR="00DC5BE9" w:rsidRPr="003E2D55" w14:paraId="76BDA06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3E97963" w14:textId="77777777" w:rsidR="00DC5BE9" w:rsidRPr="003E2D55" w:rsidRDefault="00DC5BE9" w:rsidP="003E2D55">
            <w:pPr>
              <w:spacing w:before="40" w:after="40"/>
              <w:rPr>
                <w:rFonts w:cs="Arial"/>
                <w:sz w:val="18"/>
                <w:szCs w:val="18"/>
              </w:rPr>
            </w:pPr>
            <w:r w:rsidRPr="003E2D55">
              <w:rPr>
                <w:rFonts w:cs="Arial"/>
                <w:sz w:val="18"/>
                <w:szCs w:val="18"/>
              </w:rPr>
              <w:t>Golden Plains S</w:t>
            </w:r>
          </w:p>
        </w:tc>
        <w:tc>
          <w:tcPr>
            <w:tcW w:w="1361" w:type="dxa"/>
            <w:tcBorders>
              <w:top w:val="nil"/>
              <w:left w:val="single" w:sz="18" w:space="0" w:color="5F497A" w:themeColor="accent4" w:themeShade="BF"/>
              <w:bottom w:val="nil"/>
              <w:right w:val="nil"/>
            </w:tcBorders>
            <w:shd w:val="clear" w:color="auto" w:fill="auto"/>
            <w:vAlign w:val="bottom"/>
          </w:tcPr>
          <w:p w14:paraId="1EE2A9AD" w14:textId="07099A32" w:rsidR="00DC5BE9" w:rsidRPr="003E2D55" w:rsidRDefault="00DC5BE9" w:rsidP="003E2D55">
            <w:pPr>
              <w:spacing w:before="40" w:after="40"/>
              <w:jc w:val="right"/>
              <w:rPr>
                <w:rFonts w:cs="Arial"/>
                <w:sz w:val="18"/>
                <w:szCs w:val="18"/>
              </w:rPr>
            </w:pPr>
            <w:r w:rsidRPr="003E2D55">
              <w:rPr>
                <w:rFonts w:cs="Arial"/>
                <w:sz w:val="18"/>
                <w:szCs w:val="18"/>
              </w:rPr>
              <w:t>88,379</w:t>
            </w:r>
          </w:p>
        </w:tc>
        <w:tc>
          <w:tcPr>
            <w:tcW w:w="1361" w:type="dxa"/>
            <w:tcBorders>
              <w:top w:val="nil"/>
              <w:left w:val="nil"/>
              <w:bottom w:val="nil"/>
              <w:right w:val="nil"/>
            </w:tcBorders>
            <w:shd w:val="clear" w:color="auto" w:fill="auto"/>
            <w:vAlign w:val="bottom"/>
          </w:tcPr>
          <w:p w14:paraId="78941C19" w14:textId="166D2F08" w:rsidR="00DC5BE9" w:rsidRPr="003E2D55" w:rsidRDefault="00DC5BE9" w:rsidP="003E2D55">
            <w:pPr>
              <w:spacing w:before="40" w:after="40"/>
              <w:jc w:val="right"/>
              <w:rPr>
                <w:rFonts w:cs="Arial"/>
                <w:sz w:val="18"/>
                <w:szCs w:val="18"/>
              </w:rPr>
            </w:pPr>
            <w:r w:rsidRPr="003E2D55">
              <w:rPr>
                <w:rFonts w:cs="Arial"/>
                <w:sz w:val="18"/>
                <w:szCs w:val="18"/>
              </w:rPr>
              <w:t>5,707,177</w:t>
            </w:r>
          </w:p>
        </w:tc>
        <w:tc>
          <w:tcPr>
            <w:tcW w:w="1361" w:type="dxa"/>
            <w:tcBorders>
              <w:top w:val="nil"/>
              <w:left w:val="nil"/>
              <w:bottom w:val="nil"/>
              <w:right w:val="nil"/>
            </w:tcBorders>
            <w:shd w:val="clear" w:color="auto" w:fill="auto"/>
            <w:vAlign w:val="bottom"/>
          </w:tcPr>
          <w:p w14:paraId="6506EB82" w14:textId="75B20897" w:rsidR="00DC5BE9" w:rsidRPr="003E2D55" w:rsidRDefault="00DC5BE9" w:rsidP="003E2D55">
            <w:pPr>
              <w:spacing w:before="40" w:after="40"/>
              <w:jc w:val="right"/>
              <w:rPr>
                <w:rFonts w:cs="Arial"/>
                <w:sz w:val="18"/>
                <w:szCs w:val="18"/>
              </w:rPr>
            </w:pPr>
            <w:r w:rsidRPr="003E2D55">
              <w:rPr>
                <w:rFonts w:cs="Arial"/>
                <w:sz w:val="18"/>
                <w:szCs w:val="18"/>
              </w:rPr>
              <w:t>3,000,642</w:t>
            </w:r>
          </w:p>
        </w:tc>
        <w:tc>
          <w:tcPr>
            <w:tcW w:w="1361" w:type="dxa"/>
            <w:tcBorders>
              <w:top w:val="nil"/>
              <w:left w:val="nil"/>
              <w:bottom w:val="nil"/>
              <w:right w:val="nil"/>
            </w:tcBorders>
            <w:shd w:val="clear" w:color="auto" w:fill="auto"/>
            <w:vAlign w:val="bottom"/>
          </w:tcPr>
          <w:p w14:paraId="5585C0F4" w14:textId="4A007C05" w:rsidR="00DC5BE9" w:rsidRPr="003E2D55" w:rsidRDefault="00DC5BE9" w:rsidP="003E2D55">
            <w:pPr>
              <w:spacing w:before="40" w:after="40"/>
              <w:jc w:val="right"/>
              <w:rPr>
                <w:rFonts w:cs="Arial"/>
                <w:sz w:val="18"/>
                <w:szCs w:val="18"/>
              </w:rPr>
            </w:pPr>
            <w:r w:rsidRPr="003E2D55">
              <w:rPr>
                <w:rFonts w:cs="Arial"/>
                <w:sz w:val="18"/>
                <w:szCs w:val="18"/>
              </w:rPr>
              <w:t>415,417</w:t>
            </w:r>
          </w:p>
        </w:tc>
        <w:tc>
          <w:tcPr>
            <w:tcW w:w="1474" w:type="dxa"/>
            <w:tcBorders>
              <w:top w:val="nil"/>
              <w:left w:val="nil"/>
              <w:bottom w:val="nil"/>
              <w:right w:val="nil"/>
            </w:tcBorders>
            <w:shd w:val="clear" w:color="auto" w:fill="auto"/>
            <w:vAlign w:val="bottom"/>
          </w:tcPr>
          <w:p w14:paraId="07482B9B" w14:textId="0FA2ACB4" w:rsidR="00DC5BE9" w:rsidRPr="003E2D55" w:rsidRDefault="00DC5BE9" w:rsidP="003E2D55">
            <w:pPr>
              <w:spacing w:before="40" w:after="40"/>
              <w:jc w:val="right"/>
              <w:rPr>
                <w:rFonts w:cs="Arial"/>
                <w:sz w:val="18"/>
                <w:szCs w:val="18"/>
              </w:rPr>
            </w:pPr>
            <w:r w:rsidRPr="003E2D55">
              <w:rPr>
                <w:rFonts w:cs="Arial"/>
                <w:sz w:val="18"/>
                <w:szCs w:val="18"/>
              </w:rPr>
              <w:t>174,649</w:t>
            </w:r>
          </w:p>
        </w:tc>
      </w:tr>
      <w:tr w:rsidR="00DC5BE9" w:rsidRPr="003E2D55" w14:paraId="7D79BAB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3BFEACE" w14:textId="77777777" w:rsidR="00DC5BE9" w:rsidRPr="003E2D55" w:rsidRDefault="00DC5BE9" w:rsidP="003E2D55">
            <w:pPr>
              <w:spacing w:before="40" w:after="40"/>
              <w:rPr>
                <w:rFonts w:cs="Arial"/>
                <w:sz w:val="18"/>
                <w:szCs w:val="18"/>
              </w:rPr>
            </w:pPr>
            <w:r w:rsidRPr="003E2D55">
              <w:rPr>
                <w:rFonts w:cs="Arial"/>
                <w:sz w:val="18"/>
                <w:szCs w:val="18"/>
              </w:rPr>
              <w:t>Greater Bendigo C</w:t>
            </w:r>
          </w:p>
        </w:tc>
        <w:tc>
          <w:tcPr>
            <w:tcW w:w="1361" w:type="dxa"/>
            <w:tcBorders>
              <w:top w:val="nil"/>
              <w:left w:val="single" w:sz="18" w:space="0" w:color="5F497A" w:themeColor="accent4" w:themeShade="BF"/>
              <w:bottom w:val="nil"/>
              <w:right w:val="nil"/>
            </w:tcBorders>
            <w:shd w:val="clear" w:color="auto" w:fill="auto"/>
            <w:vAlign w:val="bottom"/>
          </w:tcPr>
          <w:p w14:paraId="549FDB0B" w14:textId="6EC8238B" w:rsidR="00DC5BE9" w:rsidRPr="003E2D55" w:rsidRDefault="00DC5BE9" w:rsidP="003E2D55">
            <w:pPr>
              <w:spacing w:before="40" w:after="40"/>
              <w:jc w:val="right"/>
              <w:rPr>
                <w:rFonts w:cs="Arial"/>
                <w:sz w:val="18"/>
                <w:szCs w:val="18"/>
              </w:rPr>
            </w:pPr>
            <w:r w:rsidRPr="003E2D55">
              <w:rPr>
                <w:rFonts w:cs="Arial"/>
                <w:sz w:val="18"/>
                <w:szCs w:val="18"/>
              </w:rPr>
              <w:t>27,502</w:t>
            </w:r>
          </w:p>
        </w:tc>
        <w:tc>
          <w:tcPr>
            <w:tcW w:w="1361" w:type="dxa"/>
            <w:tcBorders>
              <w:top w:val="nil"/>
              <w:left w:val="nil"/>
              <w:bottom w:val="nil"/>
              <w:right w:val="nil"/>
            </w:tcBorders>
            <w:shd w:val="clear" w:color="auto" w:fill="auto"/>
            <w:vAlign w:val="bottom"/>
          </w:tcPr>
          <w:p w14:paraId="13A318A7" w14:textId="0F088781" w:rsidR="00DC5BE9" w:rsidRPr="003E2D55" w:rsidRDefault="00DC5BE9" w:rsidP="003E2D55">
            <w:pPr>
              <w:spacing w:before="40" w:after="40"/>
              <w:jc w:val="right"/>
              <w:rPr>
                <w:rFonts w:cs="Arial"/>
                <w:sz w:val="18"/>
                <w:szCs w:val="18"/>
              </w:rPr>
            </w:pPr>
            <w:r w:rsidRPr="003E2D55">
              <w:rPr>
                <w:rFonts w:cs="Arial"/>
                <w:sz w:val="18"/>
                <w:szCs w:val="18"/>
              </w:rPr>
              <w:t>6,911,543</w:t>
            </w:r>
          </w:p>
        </w:tc>
        <w:tc>
          <w:tcPr>
            <w:tcW w:w="1361" w:type="dxa"/>
            <w:tcBorders>
              <w:top w:val="nil"/>
              <w:left w:val="nil"/>
              <w:bottom w:val="nil"/>
              <w:right w:val="nil"/>
            </w:tcBorders>
            <w:shd w:val="clear" w:color="auto" w:fill="auto"/>
            <w:vAlign w:val="bottom"/>
          </w:tcPr>
          <w:p w14:paraId="72F58878" w14:textId="55432B04" w:rsidR="00DC5BE9" w:rsidRPr="003E2D55" w:rsidRDefault="00DC5BE9" w:rsidP="003E2D55">
            <w:pPr>
              <w:spacing w:before="40" w:after="40"/>
              <w:jc w:val="right"/>
              <w:rPr>
                <w:rFonts w:cs="Arial"/>
                <w:sz w:val="18"/>
                <w:szCs w:val="18"/>
              </w:rPr>
            </w:pPr>
            <w:r w:rsidRPr="003E2D55">
              <w:rPr>
                <w:rFonts w:cs="Arial"/>
                <w:sz w:val="18"/>
                <w:szCs w:val="18"/>
              </w:rPr>
              <w:t>3,132,682</w:t>
            </w:r>
          </w:p>
        </w:tc>
        <w:tc>
          <w:tcPr>
            <w:tcW w:w="1361" w:type="dxa"/>
            <w:tcBorders>
              <w:top w:val="nil"/>
              <w:left w:val="nil"/>
              <w:bottom w:val="nil"/>
              <w:right w:val="nil"/>
            </w:tcBorders>
            <w:shd w:val="clear" w:color="auto" w:fill="auto"/>
            <w:vAlign w:val="bottom"/>
          </w:tcPr>
          <w:p w14:paraId="50816093" w14:textId="0CD6196A" w:rsidR="00DC5BE9" w:rsidRPr="003E2D55" w:rsidRDefault="00DC5BE9" w:rsidP="003E2D55">
            <w:pPr>
              <w:spacing w:before="40" w:after="40"/>
              <w:jc w:val="right"/>
              <w:rPr>
                <w:rFonts w:cs="Arial"/>
                <w:sz w:val="18"/>
                <w:szCs w:val="18"/>
              </w:rPr>
            </w:pPr>
            <w:r w:rsidRPr="003E2D55">
              <w:rPr>
                <w:rFonts w:cs="Arial"/>
                <w:sz w:val="18"/>
                <w:szCs w:val="18"/>
              </w:rPr>
              <w:t>640,307</w:t>
            </w:r>
          </w:p>
        </w:tc>
        <w:tc>
          <w:tcPr>
            <w:tcW w:w="1474" w:type="dxa"/>
            <w:tcBorders>
              <w:top w:val="nil"/>
              <w:left w:val="nil"/>
              <w:bottom w:val="nil"/>
              <w:right w:val="nil"/>
            </w:tcBorders>
            <w:shd w:val="clear" w:color="auto" w:fill="auto"/>
            <w:vAlign w:val="bottom"/>
          </w:tcPr>
          <w:p w14:paraId="0E62C058" w14:textId="0C99ACA3" w:rsidR="00DC5BE9" w:rsidRPr="003E2D55" w:rsidRDefault="00DC5BE9" w:rsidP="003E2D55">
            <w:pPr>
              <w:spacing w:before="40" w:after="40"/>
              <w:jc w:val="right"/>
              <w:rPr>
                <w:rFonts w:cs="Arial"/>
                <w:sz w:val="18"/>
                <w:szCs w:val="18"/>
              </w:rPr>
            </w:pPr>
            <w:r w:rsidRPr="003E2D55">
              <w:rPr>
                <w:rFonts w:cs="Arial"/>
                <w:sz w:val="18"/>
                <w:szCs w:val="18"/>
              </w:rPr>
              <w:t>976,297</w:t>
            </w:r>
          </w:p>
        </w:tc>
      </w:tr>
      <w:tr w:rsidR="00DC5BE9" w:rsidRPr="003E2D55" w14:paraId="21CC19C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1FE15DE" w14:textId="77777777" w:rsidR="00DC5BE9" w:rsidRPr="003E2D55" w:rsidRDefault="00DC5BE9" w:rsidP="003E2D55">
            <w:pPr>
              <w:spacing w:before="40" w:after="40"/>
              <w:rPr>
                <w:rFonts w:cs="Arial"/>
                <w:sz w:val="18"/>
                <w:szCs w:val="18"/>
              </w:rPr>
            </w:pPr>
            <w:r w:rsidRPr="003E2D55">
              <w:rPr>
                <w:rFonts w:cs="Arial"/>
                <w:sz w:val="18"/>
                <w:szCs w:val="18"/>
              </w:rPr>
              <w:t>Greater Dandenong C</w:t>
            </w:r>
          </w:p>
        </w:tc>
        <w:tc>
          <w:tcPr>
            <w:tcW w:w="1361" w:type="dxa"/>
            <w:tcBorders>
              <w:top w:val="nil"/>
              <w:left w:val="single" w:sz="18" w:space="0" w:color="5F497A" w:themeColor="accent4" w:themeShade="BF"/>
              <w:bottom w:val="nil"/>
              <w:right w:val="nil"/>
            </w:tcBorders>
            <w:shd w:val="clear" w:color="auto" w:fill="auto"/>
            <w:vAlign w:val="bottom"/>
          </w:tcPr>
          <w:p w14:paraId="4B99AF74" w14:textId="7E80945F"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61ECCBC2" w14:textId="25C8F254" w:rsidR="00DC5BE9" w:rsidRPr="003E2D55" w:rsidRDefault="00DC5BE9" w:rsidP="003E2D55">
            <w:pPr>
              <w:spacing w:before="40" w:after="40"/>
              <w:jc w:val="right"/>
              <w:rPr>
                <w:rFonts w:cs="Arial"/>
                <w:sz w:val="18"/>
                <w:szCs w:val="18"/>
              </w:rPr>
            </w:pPr>
            <w:r w:rsidRPr="003E2D55">
              <w:rPr>
                <w:rFonts w:cs="Arial"/>
                <w:sz w:val="18"/>
                <w:szCs w:val="18"/>
              </w:rPr>
              <w:t>17,545</w:t>
            </w:r>
          </w:p>
        </w:tc>
        <w:tc>
          <w:tcPr>
            <w:tcW w:w="1361" w:type="dxa"/>
            <w:tcBorders>
              <w:top w:val="nil"/>
              <w:left w:val="nil"/>
              <w:bottom w:val="nil"/>
              <w:right w:val="nil"/>
            </w:tcBorders>
            <w:shd w:val="clear" w:color="auto" w:fill="auto"/>
            <w:vAlign w:val="bottom"/>
          </w:tcPr>
          <w:p w14:paraId="5451AA6A" w14:textId="2905570F" w:rsidR="00DC5BE9" w:rsidRPr="003E2D55" w:rsidRDefault="00DC5BE9" w:rsidP="003E2D55">
            <w:pPr>
              <w:spacing w:before="40" w:after="40"/>
              <w:jc w:val="right"/>
              <w:rPr>
                <w:rFonts w:cs="Arial"/>
                <w:sz w:val="18"/>
                <w:szCs w:val="18"/>
              </w:rPr>
            </w:pPr>
            <w:r w:rsidRPr="003E2D55">
              <w:rPr>
                <w:rFonts w:cs="Arial"/>
                <w:sz w:val="18"/>
                <w:szCs w:val="18"/>
              </w:rPr>
              <w:t>111,631</w:t>
            </w:r>
          </w:p>
        </w:tc>
        <w:tc>
          <w:tcPr>
            <w:tcW w:w="1361" w:type="dxa"/>
            <w:tcBorders>
              <w:top w:val="nil"/>
              <w:left w:val="nil"/>
              <w:bottom w:val="nil"/>
              <w:right w:val="nil"/>
            </w:tcBorders>
            <w:shd w:val="clear" w:color="auto" w:fill="auto"/>
            <w:vAlign w:val="bottom"/>
          </w:tcPr>
          <w:p w14:paraId="5C0395A6" w14:textId="4CE9AC6C" w:rsidR="00DC5BE9" w:rsidRPr="003E2D55" w:rsidRDefault="00DC5BE9" w:rsidP="003E2D55">
            <w:pPr>
              <w:spacing w:before="40" w:after="40"/>
              <w:jc w:val="right"/>
              <w:rPr>
                <w:rFonts w:cs="Arial"/>
                <w:sz w:val="18"/>
                <w:szCs w:val="18"/>
              </w:rPr>
            </w:pPr>
            <w:r w:rsidRPr="003E2D55">
              <w:rPr>
                <w:rFonts w:cs="Arial"/>
                <w:sz w:val="18"/>
                <w:szCs w:val="18"/>
              </w:rPr>
              <w:t>115,293</w:t>
            </w:r>
          </w:p>
        </w:tc>
        <w:tc>
          <w:tcPr>
            <w:tcW w:w="1474" w:type="dxa"/>
            <w:tcBorders>
              <w:top w:val="nil"/>
              <w:left w:val="nil"/>
              <w:bottom w:val="nil"/>
              <w:right w:val="nil"/>
            </w:tcBorders>
            <w:shd w:val="clear" w:color="auto" w:fill="auto"/>
            <w:vAlign w:val="bottom"/>
          </w:tcPr>
          <w:p w14:paraId="1090E5C9" w14:textId="3B887A22" w:rsidR="00DC5BE9" w:rsidRPr="003E2D55" w:rsidRDefault="00DC5BE9" w:rsidP="003E2D55">
            <w:pPr>
              <w:spacing w:before="40" w:after="40"/>
              <w:jc w:val="right"/>
              <w:rPr>
                <w:rFonts w:cs="Arial"/>
                <w:sz w:val="18"/>
                <w:szCs w:val="18"/>
              </w:rPr>
            </w:pPr>
            <w:r w:rsidRPr="003E2D55">
              <w:rPr>
                <w:rFonts w:cs="Arial"/>
                <w:sz w:val="18"/>
                <w:szCs w:val="18"/>
              </w:rPr>
              <w:t>356,418</w:t>
            </w:r>
          </w:p>
        </w:tc>
      </w:tr>
      <w:tr w:rsidR="00DC5BE9" w:rsidRPr="003E2D55" w14:paraId="407045F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E04AA66" w14:textId="77777777" w:rsidR="00DC5BE9" w:rsidRPr="003E2D55" w:rsidRDefault="00DC5BE9" w:rsidP="003E2D55">
            <w:pPr>
              <w:spacing w:before="40" w:after="40"/>
              <w:rPr>
                <w:rFonts w:cs="Arial"/>
                <w:sz w:val="18"/>
                <w:szCs w:val="18"/>
              </w:rPr>
            </w:pPr>
            <w:r w:rsidRPr="003E2D55">
              <w:rPr>
                <w:rFonts w:cs="Arial"/>
                <w:sz w:val="18"/>
                <w:szCs w:val="18"/>
              </w:rPr>
              <w:t>Greater Geelong C</w:t>
            </w:r>
          </w:p>
        </w:tc>
        <w:tc>
          <w:tcPr>
            <w:tcW w:w="1361" w:type="dxa"/>
            <w:tcBorders>
              <w:top w:val="nil"/>
              <w:left w:val="single" w:sz="18" w:space="0" w:color="5F497A" w:themeColor="accent4" w:themeShade="BF"/>
              <w:bottom w:val="nil"/>
              <w:right w:val="nil"/>
            </w:tcBorders>
            <w:shd w:val="clear" w:color="auto" w:fill="auto"/>
            <w:vAlign w:val="bottom"/>
          </w:tcPr>
          <w:p w14:paraId="0409E81F" w14:textId="7DC24E74" w:rsidR="00DC5BE9" w:rsidRPr="003E2D55" w:rsidRDefault="00DC5BE9" w:rsidP="003E2D55">
            <w:pPr>
              <w:spacing w:before="40" w:after="40"/>
              <w:jc w:val="right"/>
              <w:rPr>
                <w:rFonts w:cs="Arial"/>
                <w:sz w:val="18"/>
                <w:szCs w:val="18"/>
              </w:rPr>
            </w:pPr>
            <w:r w:rsidRPr="003E2D55">
              <w:rPr>
                <w:rFonts w:cs="Arial"/>
                <w:sz w:val="18"/>
                <w:szCs w:val="18"/>
              </w:rPr>
              <w:t>19,131</w:t>
            </w:r>
          </w:p>
        </w:tc>
        <w:tc>
          <w:tcPr>
            <w:tcW w:w="1361" w:type="dxa"/>
            <w:tcBorders>
              <w:top w:val="nil"/>
              <w:left w:val="nil"/>
              <w:bottom w:val="nil"/>
              <w:right w:val="nil"/>
            </w:tcBorders>
            <w:shd w:val="clear" w:color="auto" w:fill="auto"/>
            <w:vAlign w:val="bottom"/>
          </w:tcPr>
          <w:p w14:paraId="0B1A914E" w14:textId="2248ABC2" w:rsidR="00DC5BE9" w:rsidRPr="003E2D55" w:rsidRDefault="00DC5BE9" w:rsidP="003E2D55">
            <w:pPr>
              <w:spacing w:before="40" w:after="40"/>
              <w:jc w:val="right"/>
              <w:rPr>
                <w:rFonts w:cs="Arial"/>
                <w:sz w:val="18"/>
                <w:szCs w:val="18"/>
              </w:rPr>
            </w:pPr>
            <w:r w:rsidRPr="003E2D55">
              <w:rPr>
                <w:rFonts w:cs="Arial"/>
                <w:sz w:val="18"/>
                <w:szCs w:val="18"/>
              </w:rPr>
              <w:t>1,133,362</w:t>
            </w:r>
          </w:p>
        </w:tc>
        <w:tc>
          <w:tcPr>
            <w:tcW w:w="1361" w:type="dxa"/>
            <w:tcBorders>
              <w:top w:val="nil"/>
              <w:left w:val="nil"/>
              <w:bottom w:val="nil"/>
              <w:right w:val="nil"/>
            </w:tcBorders>
            <w:shd w:val="clear" w:color="auto" w:fill="auto"/>
            <w:vAlign w:val="bottom"/>
          </w:tcPr>
          <w:p w14:paraId="15451EFA" w14:textId="58F1EF71" w:rsidR="00DC5BE9" w:rsidRPr="003E2D55" w:rsidRDefault="00DC5BE9" w:rsidP="003E2D55">
            <w:pPr>
              <w:spacing w:before="40" w:after="40"/>
              <w:jc w:val="right"/>
              <w:rPr>
                <w:rFonts w:cs="Arial"/>
                <w:sz w:val="18"/>
                <w:szCs w:val="18"/>
              </w:rPr>
            </w:pPr>
            <w:r w:rsidRPr="003E2D55">
              <w:rPr>
                <w:rFonts w:cs="Arial"/>
                <w:sz w:val="18"/>
                <w:szCs w:val="18"/>
              </w:rPr>
              <w:t>2,415,420</w:t>
            </w:r>
          </w:p>
        </w:tc>
        <w:tc>
          <w:tcPr>
            <w:tcW w:w="1361" w:type="dxa"/>
            <w:tcBorders>
              <w:top w:val="nil"/>
              <w:left w:val="nil"/>
              <w:bottom w:val="nil"/>
              <w:right w:val="nil"/>
            </w:tcBorders>
            <w:shd w:val="clear" w:color="auto" w:fill="auto"/>
            <w:vAlign w:val="bottom"/>
          </w:tcPr>
          <w:p w14:paraId="17C214CB" w14:textId="547BA435" w:rsidR="00DC5BE9" w:rsidRPr="003E2D55" w:rsidRDefault="00DC5BE9" w:rsidP="003E2D55">
            <w:pPr>
              <w:spacing w:before="40" w:after="40"/>
              <w:jc w:val="right"/>
              <w:rPr>
                <w:rFonts w:cs="Arial"/>
                <w:sz w:val="18"/>
                <w:szCs w:val="18"/>
              </w:rPr>
            </w:pPr>
            <w:r w:rsidRPr="003E2D55">
              <w:rPr>
                <w:rFonts w:cs="Arial"/>
                <w:sz w:val="18"/>
                <w:szCs w:val="18"/>
              </w:rPr>
              <w:t>680,610</w:t>
            </w:r>
          </w:p>
        </w:tc>
        <w:tc>
          <w:tcPr>
            <w:tcW w:w="1474" w:type="dxa"/>
            <w:tcBorders>
              <w:top w:val="nil"/>
              <w:left w:val="nil"/>
              <w:bottom w:val="nil"/>
              <w:right w:val="nil"/>
            </w:tcBorders>
            <w:shd w:val="clear" w:color="auto" w:fill="auto"/>
            <w:vAlign w:val="bottom"/>
          </w:tcPr>
          <w:p w14:paraId="0BA47D86" w14:textId="26575D26" w:rsidR="00DC5BE9" w:rsidRPr="003E2D55" w:rsidRDefault="00DC5BE9" w:rsidP="003E2D55">
            <w:pPr>
              <w:spacing w:before="40" w:after="40"/>
              <w:jc w:val="right"/>
              <w:rPr>
                <w:rFonts w:cs="Arial"/>
                <w:sz w:val="18"/>
                <w:szCs w:val="18"/>
              </w:rPr>
            </w:pPr>
            <w:r w:rsidRPr="003E2D55">
              <w:rPr>
                <w:rFonts w:cs="Arial"/>
                <w:sz w:val="18"/>
                <w:szCs w:val="18"/>
              </w:rPr>
              <w:t>1,173,814</w:t>
            </w:r>
          </w:p>
        </w:tc>
      </w:tr>
      <w:tr w:rsidR="00DC5BE9" w:rsidRPr="003E2D55" w14:paraId="47EDF6B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E39B940" w14:textId="77777777" w:rsidR="00DC5BE9" w:rsidRPr="003E2D55" w:rsidRDefault="00DC5BE9" w:rsidP="003E2D55">
            <w:pPr>
              <w:spacing w:before="40" w:after="40"/>
              <w:rPr>
                <w:rFonts w:cs="Arial"/>
                <w:sz w:val="18"/>
                <w:szCs w:val="18"/>
              </w:rPr>
            </w:pPr>
            <w:r w:rsidRPr="003E2D55">
              <w:rPr>
                <w:rFonts w:cs="Arial"/>
                <w:sz w:val="18"/>
                <w:szCs w:val="18"/>
              </w:rPr>
              <w:t>Greater Shepparton C</w:t>
            </w:r>
          </w:p>
        </w:tc>
        <w:tc>
          <w:tcPr>
            <w:tcW w:w="1361" w:type="dxa"/>
            <w:tcBorders>
              <w:top w:val="nil"/>
              <w:left w:val="single" w:sz="18" w:space="0" w:color="5F497A" w:themeColor="accent4" w:themeShade="BF"/>
              <w:bottom w:val="nil"/>
              <w:right w:val="nil"/>
            </w:tcBorders>
            <w:shd w:val="clear" w:color="auto" w:fill="auto"/>
            <w:vAlign w:val="bottom"/>
          </w:tcPr>
          <w:p w14:paraId="7784AAE2" w14:textId="009D30C2" w:rsidR="00DC5BE9" w:rsidRPr="003E2D55" w:rsidRDefault="00DC5BE9" w:rsidP="003E2D55">
            <w:pPr>
              <w:spacing w:before="40" w:after="40"/>
              <w:jc w:val="right"/>
              <w:rPr>
                <w:rFonts w:cs="Arial"/>
                <w:sz w:val="18"/>
                <w:szCs w:val="18"/>
              </w:rPr>
            </w:pPr>
            <w:r w:rsidRPr="003E2D55">
              <w:rPr>
                <w:rFonts w:cs="Arial"/>
                <w:sz w:val="18"/>
                <w:szCs w:val="18"/>
              </w:rPr>
              <w:t>129,184</w:t>
            </w:r>
          </w:p>
        </w:tc>
        <w:tc>
          <w:tcPr>
            <w:tcW w:w="1361" w:type="dxa"/>
            <w:tcBorders>
              <w:top w:val="nil"/>
              <w:left w:val="nil"/>
              <w:bottom w:val="nil"/>
              <w:right w:val="nil"/>
            </w:tcBorders>
            <w:shd w:val="clear" w:color="auto" w:fill="auto"/>
            <w:vAlign w:val="bottom"/>
          </w:tcPr>
          <w:p w14:paraId="379C89C0" w14:textId="29642D90" w:rsidR="00DC5BE9" w:rsidRPr="003E2D55" w:rsidRDefault="00DC5BE9" w:rsidP="003E2D55">
            <w:pPr>
              <w:spacing w:before="40" w:after="40"/>
              <w:jc w:val="right"/>
              <w:rPr>
                <w:rFonts w:cs="Arial"/>
                <w:sz w:val="18"/>
                <w:szCs w:val="18"/>
              </w:rPr>
            </w:pPr>
            <w:r w:rsidRPr="003E2D55">
              <w:rPr>
                <w:rFonts w:cs="Arial"/>
                <w:sz w:val="18"/>
                <w:szCs w:val="18"/>
              </w:rPr>
              <w:t>7,675,686</w:t>
            </w:r>
          </w:p>
        </w:tc>
        <w:tc>
          <w:tcPr>
            <w:tcW w:w="1361" w:type="dxa"/>
            <w:tcBorders>
              <w:top w:val="nil"/>
              <w:left w:val="nil"/>
              <w:bottom w:val="nil"/>
              <w:right w:val="nil"/>
            </w:tcBorders>
            <w:shd w:val="clear" w:color="auto" w:fill="auto"/>
            <w:vAlign w:val="bottom"/>
          </w:tcPr>
          <w:p w14:paraId="0B5D6917" w14:textId="0334B1CD" w:rsidR="00DC5BE9" w:rsidRPr="003E2D55" w:rsidRDefault="00DC5BE9" w:rsidP="003E2D55">
            <w:pPr>
              <w:spacing w:before="40" w:after="40"/>
              <w:jc w:val="right"/>
              <w:rPr>
                <w:rFonts w:cs="Arial"/>
                <w:sz w:val="18"/>
                <w:szCs w:val="18"/>
              </w:rPr>
            </w:pPr>
            <w:r w:rsidRPr="003E2D55">
              <w:rPr>
                <w:rFonts w:cs="Arial"/>
                <w:sz w:val="18"/>
                <w:szCs w:val="18"/>
              </w:rPr>
              <w:t>4,478,196</w:t>
            </w:r>
          </w:p>
        </w:tc>
        <w:tc>
          <w:tcPr>
            <w:tcW w:w="1361" w:type="dxa"/>
            <w:tcBorders>
              <w:top w:val="nil"/>
              <w:left w:val="nil"/>
              <w:bottom w:val="nil"/>
              <w:right w:val="nil"/>
            </w:tcBorders>
            <w:shd w:val="clear" w:color="auto" w:fill="auto"/>
            <w:vAlign w:val="bottom"/>
          </w:tcPr>
          <w:p w14:paraId="19953EC5" w14:textId="1795C534" w:rsidR="00DC5BE9" w:rsidRPr="003E2D55" w:rsidRDefault="00DC5BE9" w:rsidP="003E2D55">
            <w:pPr>
              <w:spacing w:before="40" w:after="40"/>
              <w:jc w:val="right"/>
              <w:rPr>
                <w:rFonts w:cs="Arial"/>
                <w:sz w:val="18"/>
                <w:szCs w:val="18"/>
              </w:rPr>
            </w:pPr>
            <w:r w:rsidRPr="003E2D55">
              <w:rPr>
                <w:rFonts w:cs="Arial"/>
                <w:sz w:val="18"/>
                <w:szCs w:val="18"/>
              </w:rPr>
              <w:t>772,562</w:t>
            </w:r>
          </w:p>
        </w:tc>
        <w:tc>
          <w:tcPr>
            <w:tcW w:w="1474" w:type="dxa"/>
            <w:tcBorders>
              <w:top w:val="nil"/>
              <w:left w:val="nil"/>
              <w:bottom w:val="nil"/>
              <w:right w:val="nil"/>
            </w:tcBorders>
            <w:shd w:val="clear" w:color="auto" w:fill="auto"/>
            <w:vAlign w:val="bottom"/>
          </w:tcPr>
          <w:p w14:paraId="0D95D3E0" w14:textId="67BB0ECE" w:rsidR="00DC5BE9" w:rsidRPr="003E2D55" w:rsidRDefault="00DC5BE9" w:rsidP="003E2D55">
            <w:pPr>
              <w:spacing w:before="40" w:after="40"/>
              <w:jc w:val="right"/>
              <w:rPr>
                <w:rFonts w:cs="Arial"/>
                <w:sz w:val="18"/>
                <w:szCs w:val="18"/>
              </w:rPr>
            </w:pPr>
            <w:r w:rsidRPr="003E2D55">
              <w:rPr>
                <w:rFonts w:cs="Arial"/>
                <w:sz w:val="18"/>
                <w:szCs w:val="18"/>
              </w:rPr>
              <w:t>478,138</w:t>
            </w:r>
          </w:p>
        </w:tc>
      </w:tr>
      <w:tr w:rsidR="00DC5BE9" w:rsidRPr="003E2D55" w14:paraId="071DBE2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F1EA91E" w14:textId="77777777" w:rsidR="00DC5BE9" w:rsidRPr="003E2D55" w:rsidRDefault="00DC5BE9" w:rsidP="003E2D55">
            <w:pPr>
              <w:spacing w:before="40" w:after="40"/>
              <w:rPr>
                <w:rFonts w:cs="Arial"/>
                <w:sz w:val="18"/>
                <w:szCs w:val="18"/>
              </w:rPr>
            </w:pPr>
            <w:r w:rsidRPr="003E2D55">
              <w:rPr>
                <w:rFonts w:cs="Arial"/>
                <w:sz w:val="18"/>
                <w:szCs w:val="18"/>
              </w:rPr>
              <w:t>Hepburn S</w:t>
            </w:r>
          </w:p>
        </w:tc>
        <w:tc>
          <w:tcPr>
            <w:tcW w:w="1361" w:type="dxa"/>
            <w:tcBorders>
              <w:top w:val="nil"/>
              <w:left w:val="single" w:sz="18" w:space="0" w:color="5F497A" w:themeColor="accent4" w:themeShade="BF"/>
              <w:bottom w:val="nil"/>
              <w:right w:val="nil"/>
            </w:tcBorders>
            <w:shd w:val="clear" w:color="auto" w:fill="auto"/>
            <w:vAlign w:val="bottom"/>
          </w:tcPr>
          <w:p w14:paraId="264AA730" w14:textId="0E33E2CC" w:rsidR="00DC5BE9" w:rsidRPr="003E2D55" w:rsidRDefault="00DC5BE9" w:rsidP="003E2D55">
            <w:pPr>
              <w:spacing w:before="40" w:after="40"/>
              <w:jc w:val="right"/>
              <w:rPr>
                <w:rFonts w:cs="Arial"/>
                <w:sz w:val="18"/>
                <w:szCs w:val="18"/>
              </w:rPr>
            </w:pPr>
            <w:r w:rsidRPr="003E2D55">
              <w:rPr>
                <w:rFonts w:cs="Arial"/>
                <w:sz w:val="18"/>
                <w:szCs w:val="18"/>
              </w:rPr>
              <w:t>656</w:t>
            </w:r>
          </w:p>
        </w:tc>
        <w:tc>
          <w:tcPr>
            <w:tcW w:w="1361" w:type="dxa"/>
            <w:tcBorders>
              <w:top w:val="nil"/>
              <w:left w:val="nil"/>
              <w:bottom w:val="nil"/>
              <w:right w:val="nil"/>
            </w:tcBorders>
            <w:shd w:val="clear" w:color="auto" w:fill="auto"/>
            <w:vAlign w:val="bottom"/>
          </w:tcPr>
          <w:p w14:paraId="18FC9443" w14:textId="779061C1" w:rsidR="00DC5BE9" w:rsidRPr="003E2D55" w:rsidRDefault="00DC5BE9" w:rsidP="003E2D55">
            <w:pPr>
              <w:spacing w:before="40" w:after="40"/>
              <w:jc w:val="right"/>
              <w:rPr>
                <w:rFonts w:cs="Arial"/>
                <w:sz w:val="18"/>
                <w:szCs w:val="18"/>
              </w:rPr>
            </w:pPr>
            <w:r w:rsidRPr="003E2D55">
              <w:rPr>
                <w:rFonts w:cs="Arial"/>
                <w:sz w:val="18"/>
                <w:szCs w:val="18"/>
              </w:rPr>
              <w:t>5,137,802</w:t>
            </w:r>
          </w:p>
        </w:tc>
        <w:tc>
          <w:tcPr>
            <w:tcW w:w="1361" w:type="dxa"/>
            <w:tcBorders>
              <w:top w:val="nil"/>
              <w:left w:val="nil"/>
              <w:bottom w:val="nil"/>
              <w:right w:val="nil"/>
            </w:tcBorders>
            <w:shd w:val="clear" w:color="auto" w:fill="auto"/>
            <w:vAlign w:val="bottom"/>
          </w:tcPr>
          <w:p w14:paraId="2CD08E2E" w14:textId="79032B69" w:rsidR="00DC5BE9" w:rsidRPr="003E2D55" w:rsidRDefault="00DC5BE9" w:rsidP="003E2D55">
            <w:pPr>
              <w:spacing w:before="40" w:after="40"/>
              <w:jc w:val="right"/>
              <w:rPr>
                <w:rFonts w:cs="Arial"/>
                <w:sz w:val="18"/>
                <w:szCs w:val="18"/>
              </w:rPr>
            </w:pPr>
            <w:r w:rsidRPr="003E2D55">
              <w:rPr>
                <w:rFonts w:cs="Arial"/>
                <w:sz w:val="18"/>
                <w:szCs w:val="18"/>
              </w:rPr>
              <w:t>708,344</w:t>
            </w:r>
          </w:p>
        </w:tc>
        <w:tc>
          <w:tcPr>
            <w:tcW w:w="1361" w:type="dxa"/>
            <w:tcBorders>
              <w:top w:val="nil"/>
              <w:left w:val="nil"/>
              <w:bottom w:val="nil"/>
              <w:right w:val="nil"/>
            </w:tcBorders>
            <w:shd w:val="clear" w:color="auto" w:fill="auto"/>
            <w:vAlign w:val="bottom"/>
          </w:tcPr>
          <w:p w14:paraId="57EB4B42" w14:textId="09A5568E" w:rsidR="00DC5BE9" w:rsidRPr="003E2D55" w:rsidRDefault="00DC5BE9" w:rsidP="003E2D55">
            <w:pPr>
              <w:spacing w:before="40" w:after="40"/>
              <w:jc w:val="right"/>
              <w:rPr>
                <w:rFonts w:cs="Arial"/>
                <w:sz w:val="18"/>
                <w:szCs w:val="18"/>
              </w:rPr>
            </w:pPr>
            <w:r w:rsidRPr="003E2D55">
              <w:rPr>
                <w:rFonts w:cs="Arial"/>
                <w:sz w:val="18"/>
                <w:szCs w:val="18"/>
              </w:rPr>
              <w:t>10,548</w:t>
            </w:r>
          </w:p>
        </w:tc>
        <w:tc>
          <w:tcPr>
            <w:tcW w:w="1474" w:type="dxa"/>
            <w:tcBorders>
              <w:top w:val="nil"/>
              <w:left w:val="nil"/>
              <w:bottom w:val="nil"/>
              <w:right w:val="nil"/>
            </w:tcBorders>
            <w:shd w:val="clear" w:color="auto" w:fill="auto"/>
            <w:vAlign w:val="bottom"/>
          </w:tcPr>
          <w:p w14:paraId="78B306EE" w14:textId="26F63F5C"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66F35AE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B14314A" w14:textId="77777777" w:rsidR="00DC5BE9" w:rsidRPr="003E2D55" w:rsidRDefault="00DC5BE9" w:rsidP="003E2D55">
            <w:pPr>
              <w:spacing w:before="40" w:after="40"/>
              <w:rPr>
                <w:rFonts w:cs="Arial"/>
                <w:sz w:val="18"/>
                <w:szCs w:val="18"/>
              </w:rPr>
            </w:pPr>
            <w:r w:rsidRPr="003E2D55">
              <w:rPr>
                <w:rFonts w:cs="Arial"/>
                <w:sz w:val="18"/>
                <w:szCs w:val="18"/>
              </w:rPr>
              <w:t>Hindmarsh S</w:t>
            </w:r>
          </w:p>
        </w:tc>
        <w:tc>
          <w:tcPr>
            <w:tcW w:w="1361" w:type="dxa"/>
            <w:tcBorders>
              <w:top w:val="nil"/>
              <w:left w:val="single" w:sz="18" w:space="0" w:color="5F497A" w:themeColor="accent4" w:themeShade="BF"/>
              <w:bottom w:val="nil"/>
              <w:right w:val="nil"/>
            </w:tcBorders>
            <w:shd w:val="clear" w:color="auto" w:fill="auto"/>
            <w:vAlign w:val="bottom"/>
          </w:tcPr>
          <w:p w14:paraId="70B39EEC" w14:textId="4FE9619F" w:rsidR="00DC5BE9" w:rsidRPr="003E2D55" w:rsidRDefault="00DC5BE9" w:rsidP="003E2D55">
            <w:pPr>
              <w:spacing w:before="40" w:after="40"/>
              <w:jc w:val="right"/>
              <w:rPr>
                <w:rFonts w:cs="Arial"/>
                <w:sz w:val="18"/>
                <w:szCs w:val="18"/>
              </w:rPr>
            </w:pPr>
            <w:r w:rsidRPr="003E2D55">
              <w:rPr>
                <w:rFonts w:cs="Arial"/>
                <w:sz w:val="18"/>
                <w:szCs w:val="18"/>
              </w:rPr>
              <w:t>868,811</w:t>
            </w:r>
          </w:p>
        </w:tc>
        <w:tc>
          <w:tcPr>
            <w:tcW w:w="1361" w:type="dxa"/>
            <w:tcBorders>
              <w:top w:val="nil"/>
              <w:left w:val="nil"/>
              <w:bottom w:val="nil"/>
              <w:right w:val="nil"/>
            </w:tcBorders>
            <w:shd w:val="clear" w:color="auto" w:fill="auto"/>
            <w:vAlign w:val="bottom"/>
          </w:tcPr>
          <w:p w14:paraId="35E4C908" w14:textId="4752E940" w:rsidR="00DC5BE9" w:rsidRPr="003E2D55" w:rsidRDefault="00DC5BE9" w:rsidP="003E2D55">
            <w:pPr>
              <w:spacing w:before="40" w:after="40"/>
              <w:jc w:val="right"/>
              <w:rPr>
                <w:rFonts w:cs="Arial"/>
                <w:sz w:val="18"/>
                <w:szCs w:val="18"/>
              </w:rPr>
            </w:pPr>
            <w:r w:rsidRPr="003E2D55">
              <w:rPr>
                <w:rFonts w:cs="Arial"/>
                <w:sz w:val="18"/>
                <w:szCs w:val="18"/>
              </w:rPr>
              <w:t>6,321,685</w:t>
            </w:r>
          </w:p>
        </w:tc>
        <w:tc>
          <w:tcPr>
            <w:tcW w:w="1361" w:type="dxa"/>
            <w:tcBorders>
              <w:top w:val="nil"/>
              <w:left w:val="nil"/>
              <w:bottom w:val="nil"/>
              <w:right w:val="nil"/>
            </w:tcBorders>
            <w:shd w:val="clear" w:color="auto" w:fill="auto"/>
            <w:vAlign w:val="bottom"/>
          </w:tcPr>
          <w:p w14:paraId="25011724" w14:textId="52CB29F2" w:rsidR="00DC5BE9" w:rsidRPr="003E2D55" w:rsidRDefault="00DC5BE9" w:rsidP="003E2D55">
            <w:pPr>
              <w:spacing w:before="40" w:after="40"/>
              <w:jc w:val="right"/>
              <w:rPr>
                <w:rFonts w:cs="Arial"/>
                <w:sz w:val="18"/>
                <w:szCs w:val="18"/>
              </w:rPr>
            </w:pPr>
            <w:r w:rsidRPr="003E2D55">
              <w:rPr>
                <w:rFonts w:cs="Arial"/>
                <w:sz w:val="18"/>
                <w:szCs w:val="18"/>
              </w:rPr>
              <w:t>1,764,097</w:t>
            </w:r>
          </w:p>
        </w:tc>
        <w:tc>
          <w:tcPr>
            <w:tcW w:w="1361" w:type="dxa"/>
            <w:tcBorders>
              <w:top w:val="nil"/>
              <w:left w:val="nil"/>
              <w:bottom w:val="nil"/>
              <w:right w:val="nil"/>
            </w:tcBorders>
            <w:shd w:val="clear" w:color="auto" w:fill="auto"/>
            <w:vAlign w:val="bottom"/>
          </w:tcPr>
          <w:p w14:paraId="35E194BF" w14:textId="5714FFC1" w:rsidR="00DC5BE9" w:rsidRPr="003E2D55" w:rsidRDefault="00DC5BE9" w:rsidP="003E2D55">
            <w:pPr>
              <w:spacing w:before="40" w:after="40"/>
              <w:jc w:val="right"/>
              <w:rPr>
                <w:rFonts w:cs="Arial"/>
                <w:sz w:val="18"/>
                <w:szCs w:val="18"/>
              </w:rPr>
            </w:pPr>
            <w:r w:rsidRPr="003E2D55">
              <w:rPr>
                <w:rFonts w:cs="Arial"/>
                <w:sz w:val="18"/>
                <w:szCs w:val="18"/>
              </w:rPr>
              <w:t>0</w:t>
            </w:r>
          </w:p>
        </w:tc>
        <w:tc>
          <w:tcPr>
            <w:tcW w:w="1474" w:type="dxa"/>
            <w:tcBorders>
              <w:top w:val="nil"/>
              <w:left w:val="nil"/>
              <w:bottom w:val="nil"/>
              <w:right w:val="nil"/>
            </w:tcBorders>
            <w:shd w:val="clear" w:color="auto" w:fill="auto"/>
            <w:vAlign w:val="bottom"/>
          </w:tcPr>
          <w:p w14:paraId="2A1446F8" w14:textId="5BA47CF5"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26C4E79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0F43734" w14:textId="77777777" w:rsidR="00DC5BE9" w:rsidRPr="003E2D55" w:rsidRDefault="00DC5BE9" w:rsidP="003E2D55">
            <w:pPr>
              <w:spacing w:before="40" w:after="40"/>
              <w:rPr>
                <w:rFonts w:cs="Arial"/>
                <w:sz w:val="18"/>
                <w:szCs w:val="18"/>
              </w:rPr>
            </w:pPr>
            <w:r w:rsidRPr="003E2D55">
              <w:rPr>
                <w:rFonts w:cs="Arial"/>
                <w:sz w:val="18"/>
                <w:szCs w:val="18"/>
              </w:rPr>
              <w:t>Hobsons Bay C</w:t>
            </w:r>
          </w:p>
        </w:tc>
        <w:tc>
          <w:tcPr>
            <w:tcW w:w="1361" w:type="dxa"/>
            <w:tcBorders>
              <w:top w:val="nil"/>
              <w:left w:val="single" w:sz="18" w:space="0" w:color="5F497A" w:themeColor="accent4" w:themeShade="BF"/>
              <w:bottom w:val="nil"/>
              <w:right w:val="nil"/>
            </w:tcBorders>
            <w:shd w:val="clear" w:color="auto" w:fill="auto"/>
            <w:vAlign w:val="bottom"/>
          </w:tcPr>
          <w:p w14:paraId="53F67817" w14:textId="505AA7C8"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3169FF05" w14:textId="40E38942"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4A693589" w14:textId="74158E80"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4137B6FD" w14:textId="7A08C96B" w:rsidR="00DC5BE9" w:rsidRPr="003E2D55" w:rsidRDefault="00DC5BE9" w:rsidP="003E2D55">
            <w:pPr>
              <w:spacing w:before="40" w:after="40"/>
              <w:jc w:val="right"/>
              <w:rPr>
                <w:rFonts w:cs="Arial"/>
                <w:sz w:val="18"/>
                <w:szCs w:val="18"/>
              </w:rPr>
            </w:pPr>
            <w:r w:rsidRPr="003E2D55">
              <w:rPr>
                <w:rFonts w:cs="Arial"/>
                <w:sz w:val="18"/>
                <w:szCs w:val="18"/>
              </w:rPr>
              <w:t>0</w:t>
            </w:r>
          </w:p>
        </w:tc>
        <w:tc>
          <w:tcPr>
            <w:tcW w:w="1474" w:type="dxa"/>
            <w:tcBorders>
              <w:top w:val="nil"/>
              <w:left w:val="nil"/>
              <w:bottom w:val="nil"/>
              <w:right w:val="nil"/>
            </w:tcBorders>
            <w:shd w:val="clear" w:color="auto" w:fill="auto"/>
            <w:vAlign w:val="bottom"/>
          </w:tcPr>
          <w:p w14:paraId="1173E92C" w14:textId="3E241711"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5CB3738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AF67FCC" w14:textId="77777777" w:rsidR="00DC5BE9" w:rsidRPr="003E2D55" w:rsidRDefault="00DC5BE9" w:rsidP="003E2D55">
            <w:pPr>
              <w:spacing w:before="40" w:after="40"/>
              <w:rPr>
                <w:rFonts w:cs="Arial"/>
                <w:sz w:val="18"/>
                <w:szCs w:val="18"/>
              </w:rPr>
            </w:pPr>
            <w:r w:rsidRPr="003E2D55">
              <w:rPr>
                <w:rFonts w:cs="Arial"/>
                <w:sz w:val="18"/>
                <w:szCs w:val="18"/>
              </w:rPr>
              <w:t>Horsham RC</w:t>
            </w:r>
          </w:p>
        </w:tc>
        <w:tc>
          <w:tcPr>
            <w:tcW w:w="1361" w:type="dxa"/>
            <w:tcBorders>
              <w:top w:val="nil"/>
              <w:left w:val="single" w:sz="18" w:space="0" w:color="5F497A" w:themeColor="accent4" w:themeShade="BF"/>
              <w:bottom w:val="nil"/>
              <w:right w:val="nil"/>
            </w:tcBorders>
            <w:shd w:val="clear" w:color="auto" w:fill="auto"/>
            <w:vAlign w:val="bottom"/>
          </w:tcPr>
          <w:p w14:paraId="0D91A86D" w14:textId="0995B122" w:rsidR="00DC5BE9" w:rsidRPr="003E2D55" w:rsidRDefault="00DC5BE9" w:rsidP="003E2D55">
            <w:pPr>
              <w:spacing w:before="40" w:after="40"/>
              <w:jc w:val="right"/>
              <w:rPr>
                <w:rFonts w:cs="Arial"/>
                <w:sz w:val="18"/>
                <w:szCs w:val="18"/>
              </w:rPr>
            </w:pPr>
            <w:r w:rsidRPr="003E2D55">
              <w:rPr>
                <w:rFonts w:cs="Arial"/>
                <w:sz w:val="18"/>
                <w:szCs w:val="18"/>
              </w:rPr>
              <w:t>595,014</w:t>
            </w:r>
          </w:p>
        </w:tc>
        <w:tc>
          <w:tcPr>
            <w:tcW w:w="1361" w:type="dxa"/>
            <w:tcBorders>
              <w:top w:val="nil"/>
              <w:left w:val="nil"/>
              <w:bottom w:val="nil"/>
              <w:right w:val="nil"/>
            </w:tcBorders>
            <w:shd w:val="clear" w:color="auto" w:fill="auto"/>
            <w:vAlign w:val="bottom"/>
          </w:tcPr>
          <w:p w14:paraId="27F7260E" w14:textId="4EB9238B" w:rsidR="00DC5BE9" w:rsidRPr="003E2D55" w:rsidRDefault="00DC5BE9" w:rsidP="003E2D55">
            <w:pPr>
              <w:spacing w:before="40" w:after="40"/>
              <w:jc w:val="right"/>
              <w:rPr>
                <w:rFonts w:cs="Arial"/>
                <w:sz w:val="18"/>
                <w:szCs w:val="18"/>
              </w:rPr>
            </w:pPr>
            <w:r w:rsidRPr="003E2D55">
              <w:rPr>
                <w:rFonts w:cs="Arial"/>
                <w:sz w:val="18"/>
                <w:szCs w:val="18"/>
              </w:rPr>
              <w:t>6,781,685</w:t>
            </w:r>
          </w:p>
        </w:tc>
        <w:tc>
          <w:tcPr>
            <w:tcW w:w="1361" w:type="dxa"/>
            <w:tcBorders>
              <w:top w:val="nil"/>
              <w:left w:val="nil"/>
              <w:bottom w:val="nil"/>
              <w:right w:val="nil"/>
            </w:tcBorders>
            <w:shd w:val="clear" w:color="auto" w:fill="auto"/>
            <w:vAlign w:val="bottom"/>
          </w:tcPr>
          <w:p w14:paraId="4F7BB35D" w14:textId="2F955C32" w:rsidR="00DC5BE9" w:rsidRPr="003E2D55" w:rsidRDefault="00DC5BE9" w:rsidP="003E2D55">
            <w:pPr>
              <w:spacing w:before="40" w:after="40"/>
              <w:jc w:val="right"/>
              <w:rPr>
                <w:rFonts w:cs="Arial"/>
                <w:sz w:val="18"/>
                <w:szCs w:val="18"/>
              </w:rPr>
            </w:pPr>
            <w:r w:rsidRPr="003E2D55">
              <w:rPr>
                <w:rFonts w:cs="Arial"/>
                <w:sz w:val="18"/>
                <w:szCs w:val="18"/>
              </w:rPr>
              <w:t>2,967,531</w:t>
            </w:r>
          </w:p>
        </w:tc>
        <w:tc>
          <w:tcPr>
            <w:tcW w:w="1361" w:type="dxa"/>
            <w:tcBorders>
              <w:top w:val="nil"/>
              <w:left w:val="nil"/>
              <w:bottom w:val="nil"/>
              <w:right w:val="nil"/>
            </w:tcBorders>
            <w:shd w:val="clear" w:color="auto" w:fill="auto"/>
            <w:vAlign w:val="bottom"/>
          </w:tcPr>
          <w:p w14:paraId="579CCD2D" w14:textId="0FFEB5B2" w:rsidR="00DC5BE9" w:rsidRPr="003E2D55" w:rsidRDefault="00DC5BE9" w:rsidP="003E2D55">
            <w:pPr>
              <w:spacing w:before="40" w:after="40"/>
              <w:jc w:val="right"/>
              <w:rPr>
                <w:rFonts w:cs="Arial"/>
                <w:sz w:val="18"/>
                <w:szCs w:val="18"/>
              </w:rPr>
            </w:pPr>
            <w:r w:rsidRPr="003E2D55">
              <w:rPr>
                <w:rFonts w:cs="Arial"/>
                <w:sz w:val="18"/>
                <w:szCs w:val="18"/>
              </w:rPr>
              <w:t>164,306</w:t>
            </w:r>
          </w:p>
        </w:tc>
        <w:tc>
          <w:tcPr>
            <w:tcW w:w="1474" w:type="dxa"/>
            <w:tcBorders>
              <w:top w:val="nil"/>
              <w:left w:val="nil"/>
              <w:bottom w:val="nil"/>
              <w:right w:val="nil"/>
            </w:tcBorders>
            <w:shd w:val="clear" w:color="auto" w:fill="auto"/>
            <w:vAlign w:val="bottom"/>
          </w:tcPr>
          <w:p w14:paraId="357821BF" w14:textId="398D24BD" w:rsidR="00DC5BE9" w:rsidRPr="003E2D55" w:rsidRDefault="00DC5BE9" w:rsidP="003E2D55">
            <w:pPr>
              <w:spacing w:before="40" w:after="40"/>
              <w:jc w:val="right"/>
              <w:rPr>
                <w:rFonts w:cs="Arial"/>
                <w:sz w:val="18"/>
                <w:szCs w:val="18"/>
              </w:rPr>
            </w:pPr>
            <w:r w:rsidRPr="003E2D55">
              <w:rPr>
                <w:rFonts w:cs="Arial"/>
                <w:sz w:val="18"/>
                <w:szCs w:val="18"/>
              </w:rPr>
              <w:t>22,126</w:t>
            </w:r>
          </w:p>
        </w:tc>
      </w:tr>
      <w:tr w:rsidR="00DC5BE9" w:rsidRPr="003E2D55" w14:paraId="38DD9C8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B63E565" w14:textId="77777777" w:rsidR="00DC5BE9" w:rsidRPr="003E2D55" w:rsidRDefault="00DC5BE9" w:rsidP="003E2D55">
            <w:pPr>
              <w:spacing w:before="40" w:after="40"/>
              <w:rPr>
                <w:rFonts w:cs="Arial"/>
                <w:sz w:val="18"/>
                <w:szCs w:val="18"/>
              </w:rPr>
            </w:pPr>
            <w:r w:rsidRPr="003E2D55">
              <w:rPr>
                <w:rFonts w:cs="Arial"/>
                <w:sz w:val="18"/>
                <w:szCs w:val="18"/>
              </w:rPr>
              <w:t>Hume C</w:t>
            </w:r>
          </w:p>
        </w:tc>
        <w:tc>
          <w:tcPr>
            <w:tcW w:w="1361" w:type="dxa"/>
            <w:tcBorders>
              <w:top w:val="nil"/>
              <w:left w:val="single" w:sz="18" w:space="0" w:color="5F497A" w:themeColor="accent4" w:themeShade="BF"/>
              <w:bottom w:val="nil"/>
              <w:right w:val="nil"/>
            </w:tcBorders>
            <w:shd w:val="clear" w:color="auto" w:fill="auto"/>
            <w:vAlign w:val="bottom"/>
          </w:tcPr>
          <w:p w14:paraId="72644E59" w14:textId="76C72D8A" w:rsidR="00DC5BE9" w:rsidRPr="003E2D55" w:rsidRDefault="00DC5BE9" w:rsidP="003E2D55">
            <w:pPr>
              <w:spacing w:before="40" w:after="40"/>
              <w:jc w:val="right"/>
              <w:rPr>
                <w:rFonts w:cs="Arial"/>
                <w:sz w:val="18"/>
                <w:szCs w:val="18"/>
              </w:rPr>
            </w:pPr>
            <w:r w:rsidRPr="003E2D55">
              <w:rPr>
                <w:rFonts w:cs="Arial"/>
                <w:sz w:val="18"/>
                <w:szCs w:val="18"/>
              </w:rPr>
              <w:t>3,391</w:t>
            </w:r>
          </w:p>
        </w:tc>
        <w:tc>
          <w:tcPr>
            <w:tcW w:w="1361" w:type="dxa"/>
            <w:tcBorders>
              <w:top w:val="nil"/>
              <w:left w:val="nil"/>
              <w:bottom w:val="nil"/>
              <w:right w:val="nil"/>
            </w:tcBorders>
            <w:shd w:val="clear" w:color="auto" w:fill="auto"/>
            <w:vAlign w:val="bottom"/>
          </w:tcPr>
          <w:p w14:paraId="0D1E9383" w14:textId="522B00E4" w:rsidR="00DC5BE9" w:rsidRPr="003E2D55" w:rsidRDefault="00DC5BE9" w:rsidP="003E2D55">
            <w:pPr>
              <w:spacing w:before="40" w:after="40"/>
              <w:jc w:val="right"/>
              <w:rPr>
                <w:rFonts w:cs="Arial"/>
                <w:sz w:val="18"/>
                <w:szCs w:val="18"/>
              </w:rPr>
            </w:pPr>
            <w:r w:rsidRPr="003E2D55">
              <w:rPr>
                <w:rFonts w:cs="Arial"/>
                <w:sz w:val="18"/>
                <w:szCs w:val="18"/>
              </w:rPr>
              <w:t>83,365</w:t>
            </w:r>
          </w:p>
        </w:tc>
        <w:tc>
          <w:tcPr>
            <w:tcW w:w="1361" w:type="dxa"/>
            <w:tcBorders>
              <w:top w:val="nil"/>
              <w:left w:val="nil"/>
              <w:bottom w:val="nil"/>
              <w:right w:val="nil"/>
            </w:tcBorders>
            <w:shd w:val="clear" w:color="auto" w:fill="auto"/>
            <w:vAlign w:val="bottom"/>
          </w:tcPr>
          <w:p w14:paraId="690DC0B5" w14:textId="56CE0B1C" w:rsidR="00DC5BE9" w:rsidRPr="003E2D55" w:rsidRDefault="00DC5BE9" w:rsidP="003E2D55">
            <w:pPr>
              <w:spacing w:before="40" w:after="40"/>
              <w:jc w:val="right"/>
              <w:rPr>
                <w:rFonts w:cs="Arial"/>
                <w:sz w:val="18"/>
                <w:szCs w:val="18"/>
              </w:rPr>
            </w:pPr>
            <w:r w:rsidRPr="003E2D55">
              <w:rPr>
                <w:rFonts w:cs="Arial"/>
                <w:sz w:val="18"/>
                <w:szCs w:val="18"/>
              </w:rPr>
              <w:t>1,283,158</w:t>
            </w:r>
          </w:p>
        </w:tc>
        <w:tc>
          <w:tcPr>
            <w:tcW w:w="1361" w:type="dxa"/>
            <w:tcBorders>
              <w:top w:val="nil"/>
              <w:left w:val="nil"/>
              <w:bottom w:val="nil"/>
              <w:right w:val="nil"/>
            </w:tcBorders>
            <w:shd w:val="clear" w:color="auto" w:fill="auto"/>
            <w:vAlign w:val="bottom"/>
          </w:tcPr>
          <w:p w14:paraId="4FA6E1D4" w14:textId="398D1AAC" w:rsidR="00DC5BE9" w:rsidRPr="003E2D55" w:rsidRDefault="00DC5BE9" w:rsidP="003E2D55">
            <w:pPr>
              <w:spacing w:before="40" w:after="40"/>
              <w:jc w:val="right"/>
              <w:rPr>
                <w:rFonts w:cs="Arial"/>
                <w:sz w:val="18"/>
                <w:szCs w:val="18"/>
              </w:rPr>
            </w:pPr>
            <w:r w:rsidRPr="003E2D55">
              <w:rPr>
                <w:rFonts w:cs="Arial"/>
                <w:sz w:val="18"/>
                <w:szCs w:val="18"/>
              </w:rPr>
              <w:t>290,111</w:t>
            </w:r>
          </w:p>
        </w:tc>
        <w:tc>
          <w:tcPr>
            <w:tcW w:w="1474" w:type="dxa"/>
            <w:tcBorders>
              <w:top w:val="nil"/>
              <w:left w:val="nil"/>
              <w:bottom w:val="nil"/>
              <w:right w:val="nil"/>
            </w:tcBorders>
            <w:shd w:val="clear" w:color="auto" w:fill="auto"/>
            <w:vAlign w:val="bottom"/>
          </w:tcPr>
          <w:p w14:paraId="50326871" w14:textId="754508BB" w:rsidR="00DC5BE9" w:rsidRPr="003E2D55" w:rsidRDefault="00DC5BE9" w:rsidP="003E2D55">
            <w:pPr>
              <w:spacing w:before="40" w:after="40"/>
              <w:jc w:val="right"/>
              <w:rPr>
                <w:rFonts w:cs="Arial"/>
                <w:sz w:val="18"/>
                <w:szCs w:val="18"/>
              </w:rPr>
            </w:pPr>
            <w:r w:rsidRPr="003E2D55">
              <w:rPr>
                <w:rFonts w:cs="Arial"/>
                <w:sz w:val="18"/>
                <w:szCs w:val="18"/>
              </w:rPr>
              <w:t>782,522</w:t>
            </w:r>
          </w:p>
        </w:tc>
      </w:tr>
      <w:tr w:rsidR="00DC5BE9" w:rsidRPr="003E2D55" w14:paraId="4C511F3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8C9D875" w14:textId="77777777" w:rsidR="00DC5BE9" w:rsidRPr="003E2D55" w:rsidRDefault="00DC5BE9" w:rsidP="003E2D55">
            <w:pPr>
              <w:spacing w:before="40" w:after="40"/>
              <w:rPr>
                <w:rFonts w:cs="Arial"/>
                <w:sz w:val="18"/>
                <w:szCs w:val="18"/>
              </w:rPr>
            </w:pPr>
            <w:r w:rsidRPr="003E2D55">
              <w:rPr>
                <w:rFonts w:cs="Arial"/>
                <w:sz w:val="18"/>
                <w:szCs w:val="18"/>
              </w:rPr>
              <w:t>Indigo S</w:t>
            </w:r>
          </w:p>
        </w:tc>
        <w:tc>
          <w:tcPr>
            <w:tcW w:w="1361" w:type="dxa"/>
            <w:tcBorders>
              <w:top w:val="nil"/>
              <w:left w:val="single" w:sz="18" w:space="0" w:color="5F497A" w:themeColor="accent4" w:themeShade="BF"/>
              <w:bottom w:val="nil"/>
              <w:right w:val="nil"/>
            </w:tcBorders>
            <w:shd w:val="clear" w:color="auto" w:fill="auto"/>
            <w:vAlign w:val="bottom"/>
          </w:tcPr>
          <w:p w14:paraId="6281C0F1" w14:textId="746CDC60" w:rsidR="00DC5BE9" w:rsidRPr="003E2D55" w:rsidRDefault="00DC5BE9" w:rsidP="003E2D55">
            <w:pPr>
              <w:spacing w:before="40" w:after="40"/>
              <w:jc w:val="right"/>
              <w:rPr>
                <w:rFonts w:cs="Arial"/>
                <w:sz w:val="18"/>
                <w:szCs w:val="18"/>
              </w:rPr>
            </w:pPr>
            <w:r w:rsidRPr="003E2D55">
              <w:rPr>
                <w:rFonts w:cs="Arial"/>
                <w:sz w:val="18"/>
                <w:szCs w:val="18"/>
              </w:rPr>
              <w:t>170,885</w:t>
            </w:r>
          </w:p>
        </w:tc>
        <w:tc>
          <w:tcPr>
            <w:tcW w:w="1361" w:type="dxa"/>
            <w:tcBorders>
              <w:top w:val="nil"/>
              <w:left w:val="nil"/>
              <w:bottom w:val="nil"/>
              <w:right w:val="nil"/>
            </w:tcBorders>
            <w:shd w:val="clear" w:color="auto" w:fill="auto"/>
            <w:vAlign w:val="bottom"/>
          </w:tcPr>
          <w:p w14:paraId="26D3BF7C" w14:textId="0F4F4531" w:rsidR="00DC5BE9" w:rsidRPr="003E2D55" w:rsidRDefault="00DC5BE9" w:rsidP="003E2D55">
            <w:pPr>
              <w:spacing w:before="40" w:after="40"/>
              <w:jc w:val="right"/>
              <w:rPr>
                <w:rFonts w:cs="Arial"/>
                <w:sz w:val="18"/>
                <w:szCs w:val="18"/>
              </w:rPr>
            </w:pPr>
            <w:r w:rsidRPr="003E2D55">
              <w:rPr>
                <w:rFonts w:cs="Arial"/>
                <w:sz w:val="18"/>
                <w:szCs w:val="18"/>
              </w:rPr>
              <w:t>4,724,924</w:t>
            </w:r>
          </w:p>
        </w:tc>
        <w:tc>
          <w:tcPr>
            <w:tcW w:w="1361" w:type="dxa"/>
            <w:tcBorders>
              <w:top w:val="nil"/>
              <w:left w:val="nil"/>
              <w:bottom w:val="nil"/>
              <w:right w:val="nil"/>
            </w:tcBorders>
            <w:shd w:val="clear" w:color="auto" w:fill="auto"/>
            <w:vAlign w:val="bottom"/>
          </w:tcPr>
          <w:p w14:paraId="2465BB09" w14:textId="6F1E1515" w:rsidR="00DC5BE9" w:rsidRPr="003E2D55" w:rsidRDefault="00DC5BE9" w:rsidP="003E2D55">
            <w:pPr>
              <w:spacing w:before="40" w:after="40"/>
              <w:jc w:val="right"/>
              <w:rPr>
                <w:rFonts w:cs="Arial"/>
                <w:sz w:val="18"/>
                <w:szCs w:val="18"/>
              </w:rPr>
            </w:pPr>
            <w:r w:rsidRPr="003E2D55">
              <w:rPr>
                <w:rFonts w:cs="Arial"/>
                <w:sz w:val="18"/>
                <w:szCs w:val="18"/>
              </w:rPr>
              <w:t>2,404,158</w:t>
            </w:r>
          </w:p>
        </w:tc>
        <w:tc>
          <w:tcPr>
            <w:tcW w:w="1361" w:type="dxa"/>
            <w:tcBorders>
              <w:top w:val="nil"/>
              <w:left w:val="nil"/>
              <w:bottom w:val="nil"/>
              <w:right w:val="nil"/>
            </w:tcBorders>
            <w:shd w:val="clear" w:color="auto" w:fill="auto"/>
            <w:vAlign w:val="bottom"/>
          </w:tcPr>
          <w:p w14:paraId="6DC50A94" w14:textId="701BADE1" w:rsidR="00DC5BE9" w:rsidRPr="003E2D55" w:rsidRDefault="00DC5BE9" w:rsidP="003E2D55">
            <w:pPr>
              <w:spacing w:before="40" w:after="40"/>
              <w:jc w:val="right"/>
              <w:rPr>
                <w:rFonts w:cs="Arial"/>
                <w:sz w:val="18"/>
                <w:szCs w:val="18"/>
              </w:rPr>
            </w:pPr>
            <w:r w:rsidRPr="003E2D55">
              <w:rPr>
                <w:rFonts w:cs="Arial"/>
                <w:sz w:val="18"/>
                <w:szCs w:val="18"/>
              </w:rPr>
              <w:t>281,035</w:t>
            </w:r>
          </w:p>
        </w:tc>
        <w:tc>
          <w:tcPr>
            <w:tcW w:w="1474" w:type="dxa"/>
            <w:tcBorders>
              <w:top w:val="nil"/>
              <w:left w:val="nil"/>
              <w:bottom w:val="nil"/>
              <w:right w:val="nil"/>
            </w:tcBorders>
            <w:shd w:val="clear" w:color="auto" w:fill="auto"/>
            <w:vAlign w:val="bottom"/>
          </w:tcPr>
          <w:p w14:paraId="3B33C674" w14:textId="70EA7643" w:rsidR="00DC5BE9" w:rsidRPr="003E2D55" w:rsidRDefault="00DC5BE9" w:rsidP="003E2D55">
            <w:pPr>
              <w:spacing w:before="40" w:after="40"/>
              <w:jc w:val="right"/>
              <w:rPr>
                <w:rFonts w:cs="Arial"/>
                <w:sz w:val="18"/>
                <w:szCs w:val="18"/>
              </w:rPr>
            </w:pPr>
            <w:r w:rsidRPr="003E2D55">
              <w:rPr>
                <w:rFonts w:cs="Arial"/>
                <w:sz w:val="18"/>
                <w:szCs w:val="18"/>
              </w:rPr>
              <w:t>182,517</w:t>
            </w:r>
          </w:p>
        </w:tc>
      </w:tr>
      <w:tr w:rsidR="00DC5BE9" w:rsidRPr="003E2D55" w14:paraId="203BCF1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F26667A" w14:textId="77777777" w:rsidR="00DC5BE9" w:rsidRPr="003E2D55" w:rsidRDefault="00DC5BE9" w:rsidP="003E2D55">
            <w:pPr>
              <w:spacing w:before="40" w:after="40"/>
              <w:rPr>
                <w:rFonts w:cs="Arial"/>
                <w:sz w:val="18"/>
                <w:szCs w:val="18"/>
              </w:rPr>
            </w:pPr>
            <w:r w:rsidRPr="003E2D55">
              <w:rPr>
                <w:rFonts w:cs="Arial"/>
                <w:sz w:val="18"/>
                <w:szCs w:val="18"/>
              </w:rPr>
              <w:t>Kingston C</w:t>
            </w:r>
          </w:p>
        </w:tc>
        <w:tc>
          <w:tcPr>
            <w:tcW w:w="1361" w:type="dxa"/>
            <w:tcBorders>
              <w:top w:val="nil"/>
              <w:left w:val="single" w:sz="18" w:space="0" w:color="5F497A" w:themeColor="accent4" w:themeShade="BF"/>
              <w:bottom w:val="nil"/>
              <w:right w:val="nil"/>
            </w:tcBorders>
            <w:shd w:val="clear" w:color="auto" w:fill="auto"/>
            <w:vAlign w:val="bottom"/>
          </w:tcPr>
          <w:p w14:paraId="5F3641B1" w14:textId="6DC7ED56"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3F83084E" w14:textId="29E8E5F8" w:rsidR="00DC5BE9" w:rsidRPr="003E2D55" w:rsidRDefault="00DC5BE9" w:rsidP="003E2D55">
            <w:pPr>
              <w:spacing w:before="40" w:after="40"/>
              <w:jc w:val="right"/>
              <w:rPr>
                <w:rFonts w:cs="Arial"/>
                <w:sz w:val="18"/>
                <w:szCs w:val="18"/>
              </w:rPr>
            </w:pPr>
            <w:r w:rsidRPr="003E2D55">
              <w:rPr>
                <w:rFonts w:cs="Arial"/>
                <w:sz w:val="18"/>
                <w:szCs w:val="18"/>
              </w:rPr>
              <w:t>37,165</w:t>
            </w:r>
          </w:p>
        </w:tc>
        <w:tc>
          <w:tcPr>
            <w:tcW w:w="1361" w:type="dxa"/>
            <w:tcBorders>
              <w:top w:val="nil"/>
              <w:left w:val="nil"/>
              <w:bottom w:val="nil"/>
              <w:right w:val="nil"/>
            </w:tcBorders>
            <w:shd w:val="clear" w:color="auto" w:fill="auto"/>
            <w:vAlign w:val="bottom"/>
          </w:tcPr>
          <w:p w14:paraId="20E26C7C" w14:textId="66CB19F5" w:rsidR="00DC5BE9" w:rsidRPr="003E2D55" w:rsidRDefault="00DC5BE9" w:rsidP="003E2D55">
            <w:pPr>
              <w:spacing w:before="40" w:after="40"/>
              <w:jc w:val="right"/>
              <w:rPr>
                <w:rFonts w:cs="Arial"/>
                <w:sz w:val="18"/>
                <w:szCs w:val="18"/>
              </w:rPr>
            </w:pPr>
            <w:r w:rsidRPr="003E2D55">
              <w:rPr>
                <w:rFonts w:cs="Arial"/>
                <w:sz w:val="18"/>
                <w:szCs w:val="18"/>
              </w:rPr>
              <w:t>77,303</w:t>
            </w:r>
          </w:p>
        </w:tc>
        <w:tc>
          <w:tcPr>
            <w:tcW w:w="1361" w:type="dxa"/>
            <w:tcBorders>
              <w:top w:val="nil"/>
              <w:left w:val="nil"/>
              <w:bottom w:val="nil"/>
              <w:right w:val="nil"/>
            </w:tcBorders>
            <w:shd w:val="clear" w:color="auto" w:fill="auto"/>
            <w:vAlign w:val="bottom"/>
          </w:tcPr>
          <w:p w14:paraId="296883DA" w14:textId="18AFB50E" w:rsidR="00DC5BE9" w:rsidRPr="003E2D55" w:rsidRDefault="00DC5BE9" w:rsidP="003E2D55">
            <w:pPr>
              <w:spacing w:before="40" w:after="40"/>
              <w:jc w:val="right"/>
              <w:rPr>
                <w:rFonts w:cs="Arial"/>
                <w:sz w:val="18"/>
                <w:szCs w:val="18"/>
              </w:rPr>
            </w:pPr>
            <w:r w:rsidRPr="003E2D55">
              <w:rPr>
                <w:rFonts w:cs="Arial"/>
                <w:sz w:val="18"/>
                <w:szCs w:val="18"/>
              </w:rPr>
              <w:t>0</w:t>
            </w:r>
          </w:p>
        </w:tc>
        <w:tc>
          <w:tcPr>
            <w:tcW w:w="1474" w:type="dxa"/>
            <w:tcBorders>
              <w:top w:val="nil"/>
              <w:left w:val="nil"/>
              <w:bottom w:val="nil"/>
              <w:right w:val="nil"/>
            </w:tcBorders>
            <w:shd w:val="clear" w:color="auto" w:fill="auto"/>
            <w:vAlign w:val="bottom"/>
          </w:tcPr>
          <w:p w14:paraId="2996FB84" w14:textId="27C1A6E4" w:rsidR="00DC5BE9" w:rsidRPr="003E2D55" w:rsidRDefault="00DC5BE9" w:rsidP="003E2D55">
            <w:pPr>
              <w:spacing w:before="40" w:after="40"/>
              <w:jc w:val="right"/>
              <w:rPr>
                <w:rFonts w:cs="Arial"/>
                <w:sz w:val="18"/>
                <w:szCs w:val="18"/>
              </w:rPr>
            </w:pPr>
            <w:r w:rsidRPr="003E2D55">
              <w:rPr>
                <w:rFonts w:cs="Arial"/>
                <w:sz w:val="18"/>
                <w:szCs w:val="18"/>
              </w:rPr>
              <w:t>0</w:t>
            </w:r>
          </w:p>
        </w:tc>
      </w:tr>
      <w:tr w:rsidR="00DC5BE9" w:rsidRPr="003E2D55" w14:paraId="21D0E22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183B065" w14:textId="77777777" w:rsidR="00DC5BE9" w:rsidRPr="003E2D55" w:rsidRDefault="00DC5BE9" w:rsidP="003E2D55">
            <w:pPr>
              <w:spacing w:before="40" w:after="40"/>
              <w:rPr>
                <w:rFonts w:cs="Arial"/>
                <w:sz w:val="18"/>
                <w:szCs w:val="18"/>
              </w:rPr>
            </w:pPr>
            <w:r w:rsidRPr="003E2D55">
              <w:rPr>
                <w:rFonts w:cs="Arial"/>
                <w:sz w:val="18"/>
                <w:szCs w:val="18"/>
              </w:rPr>
              <w:t>Knox C</w:t>
            </w:r>
          </w:p>
        </w:tc>
        <w:tc>
          <w:tcPr>
            <w:tcW w:w="1361" w:type="dxa"/>
            <w:tcBorders>
              <w:top w:val="nil"/>
              <w:left w:val="single" w:sz="18" w:space="0" w:color="5F497A" w:themeColor="accent4" w:themeShade="BF"/>
              <w:bottom w:val="nil"/>
              <w:right w:val="nil"/>
            </w:tcBorders>
            <w:shd w:val="clear" w:color="auto" w:fill="auto"/>
            <w:vAlign w:val="bottom"/>
          </w:tcPr>
          <w:p w14:paraId="2412D7C7" w14:textId="4B2C3346"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01ECB2E8" w14:textId="79B7D1FA" w:rsidR="00DC5BE9" w:rsidRPr="003E2D55" w:rsidRDefault="00DC5BE9" w:rsidP="003E2D55">
            <w:pPr>
              <w:spacing w:before="40" w:after="40"/>
              <w:jc w:val="right"/>
              <w:rPr>
                <w:rFonts w:cs="Arial"/>
                <w:sz w:val="18"/>
                <w:szCs w:val="18"/>
              </w:rPr>
            </w:pPr>
            <w:r w:rsidRPr="003E2D55">
              <w:rPr>
                <w:rFonts w:cs="Arial"/>
                <w:sz w:val="18"/>
                <w:szCs w:val="18"/>
              </w:rPr>
              <w:t>13,657</w:t>
            </w:r>
          </w:p>
        </w:tc>
        <w:tc>
          <w:tcPr>
            <w:tcW w:w="1361" w:type="dxa"/>
            <w:tcBorders>
              <w:top w:val="nil"/>
              <w:left w:val="nil"/>
              <w:bottom w:val="nil"/>
              <w:right w:val="nil"/>
            </w:tcBorders>
            <w:shd w:val="clear" w:color="auto" w:fill="auto"/>
            <w:vAlign w:val="bottom"/>
          </w:tcPr>
          <w:p w14:paraId="709817F0" w14:textId="1BFF63F3" w:rsidR="00DC5BE9" w:rsidRPr="003E2D55" w:rsidRDefault="00DC5BE9" w:rsidP="003E2D55">
            <w:pPr>
              <w:spacing w:before="40" w:after="40"/>
              <w:jc w:val="right"/>
              <w:rPr>
                <w:rFonts w:cs="Arial"/>
                <w:sz w:val="18"/>
                <w:szCs w:val="18"/>
              </w:rPr>
            </w:pPr>
            <w:r w:rsidRPr="003E2D55">
              <w:rPr>
                <w:rFonts w:cs="Arial"/>
                <w:sz w:val="18"/>
                <w:szCs w:val="18"/>
              </w:rPr>
              <w:t>29,117</w:t>
            </w:r>
          </w:p>
        </w:tc>
        <w:tc>
          <w:tcPr>
            <w:tcW w:w="1361" w:type="dxa"/>
            <w:tcBorders>
              <w:top w:val="nil"/>
              <w:left w:val="nil"/>
              <w:bottom w:val="nil"/>
              <w:right w:val="nil"/>
            </w:tcBorders>
            <w:shd w:val="clear" w:color="auto" w:fill="auto"/>
            <w:vAlign w:val="bottom"/>
          </w:tcPr>
          <w:p w14:paraId="15DB5218" w14:textId="2FAA2C22" w:rsidR="00DC5BE9" w:rsidRPr="003E2D55" w:rsidRDefault="00DC5BE9" w:rsidP="003E2D55">
            <w:pPr>
              <w:spacing w:before="40" w:after="40"/>
              <w:jc w:val="right"/>
              <w:rPr>
                <w:rFonts w:cs="Arial"/>
                <w:sz w:val="18"/>
                <w:szCs w:val="18"/>
              </w:rPr>
            </w:pPr>
            <w:r w:rsidRPr="003E2D55">
              <w:rPr>
                <w:rFonts w:cs="Arial"/>
                <w:sz w:val="18"/>
                <w:szCs w:val="18"/>
              </w:rPr>
              <w:t>10,561</w:t>
            </w:r>
          </w:p>
        </w:tc>
        <w:tc>
          <w:tcPr>
            <w:tcW w:w="1474" w:type="dxa"/>
            <w:tcBorders>
              <w:top w:val="nil"/>
              <w:left w:val="nil"/>
              <w:bottom w:val="nil"/>
              <w:right w:val="nil"/>
            </w:tcBorders>
            <w:shd w:val="clear" w:color="auto" w:fill="auto"/>
            <w:vAlign w:val="bottom"/>
          </w:tcPr>
          <w:p w14:paraId="19E92F86" w14:textId="2E6BD970" w:rsidR="00DC5BE9" w:rsidRPr="003E2D55" w:rsidRDefault="00DC5BE9" w:rsidP="003E2D55">
            <w:pPr>
              <w:spacing w:before="40" w:after="40"/>
              <w:jc w:val="right"/>
              <w:rPr>
                <w:rFonts w:cs="Arial"/>
                <w:sz w:val="18"/>
                <w:szCs w:val="18"/>
              </w:rPr>
            </w:pPr>
            <w:r w:rsidRPr="003E2D55">
              <w:rPr>
                <w:rFonts w:cs="Arial"/>
                <w:sz w:val="18"/>
                <w:szCs w:val="18"/>
              </w:rPr>
              <w:t>36,054</w:t>
            </w:r>
          </w:p>
        </w:tc>
      </w:tr>
      <w:tr w:rsidR="00DC5BE9" w:rsidRPr="003E2D55" w14:paraId="57B1A1D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57FB32C" w14:textId="77777777" w:rsidR="00DC5BE9" w:rsidRPr="003E2D55" w:rsidRDefault="00DC5BE9" w:rsidP="003E2D55">
            <w:pPr>
              <w:spacing w:before="40" w:after="40"/>
              <w:rPr>
                <w:rFonts w:cs="Arial"/>
                <w:sz w:val="18"/>
                <w:szCs w:val="18"/>
              </w:rPr>
            </w:pPr>
            <w:r w:rsidRPr="003E2D55">
              <w:rPr>
                <w:rFonts w:cs="Arial"/>
                <w:sz w:val="18"/>
                <w:szCs w:val="18"/>
              </w:rPr>
              <w:t>Latrobe C</w:t>
            </w:r>
          </w:p>
        </w:tc>
        <w:tc>
          <w:tcPr>
            <w:tcW w:w="1361" w:type="dxa"/>
            <w:tcBorders>
              <w:top w:val="nil"/>
              <w:left w:val="single" w:sz="18" w:space="0" w:color="5F497A" w:themeColor="accent4" w:themeShade="BF"/>
              <w:bottom w:val="nil"/>
              <w:right w:val="nil"/>
            </w:tcBorders>
            <w:shd w:val="clear" w:color="auto" w:fill="auto"/>
            <w:vAlign w:val="bottom"/>
          </w:tcPr>
          <w:p w14:paraId="6F099F1C" w14:textId="7A81634B" w:rsidR="00DC5BE9" w:rsidRPr="003E2D55" w:rsidRDefault="00DC5BE9" w:rsidP="003E2D55">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5F29E63D" w14:textId="50CB2AA2" w:rsidR="00DC5BE9" w:rsidRPr="003E2D55" w:rsidRDefault="00DC5BE9" w:rsidP="003E2D55">
            <w:pPr>
              <w:spacing w:before="40" w:after="40"/>
              <w:jc w:val="right"/>
              <w:rPr>
                <w:rFonts w:cs="Arial"/>
                <w:sz w:val="18"/>
                <w:szCs w:val="18"/>
              </w:rPr>
            </w:pPr>
            <w:r w:rsidRPr="003E2D55">
              <w:rPr>
                <w:rFonts w:cs="Arial"/>
                <w:sz w:val="18"/>
                <w:szCs w:val="18"/>
              </w:rPr>
              <w:t>3,097,862</w:t>
            </w:r>
          </w:p>
        </w:tc>
        <w:tc>
          <w:tcPr>
            <w:tcW w:w="1361" w:type="dxa"/>
            <w:tcBorders>
              <w:top w:val="nil"/>
              <w:left w:val="nil"/>
              <w:bottom w:val="nil"/>
              <w:right w:val="nil"/>
            </w:tcBorders>
            <w:shd w:val="clear" w:color="auto" w:fill="auto"/>
            <w:vAlign w:val="bottom"/>
          </w:tcPr>
          <w:p w14:paraId="65728FBE" w14:textId="1D2F6265" w:rsidR="00DC5BE9" w:rsidRPr="003E2D55" w:rsidRDefault="00DC5BE9" w:rsidP="003E2D55">
            <w:pPr>
              <w:spacing w:before="40" w:after="40"/>
              <w:jc w:val="right"/>
              <w:rPr>
                <w:rFonts w:cs="Arial"/>
                <w:sz w:val="18"/>
                <w:szCs w:val="18"/>
              </w:rPr>
            </w:pPr>
            <w:r w:rsidRPr="003E2D55">
              <w:rPr>
                <w:rFonts w:cs="Arial"/>
                <w:sz w:val="18"/>
                <w:szCs w:val="18"/>
              </w:rPr>
              <w:t>4,474,120</w:t>
            </w:r>
          </w:p>
        </w:tc>
        <w:tc>
          <w:tcPr>
            <w:tcW w:w="1361" w:type="dxa"/>
            <w:tcBorders>
              <w:top w:val="nil"/>
              <w:left w:val="nil"/>
              <w:bottom w:val="nil"/>
              <w:right w:val="nil"/>
            </w:tcBorders>
            <w:shd w:val="clear" w:color="auto" w:fill="auto"/>
            <w:vAlign w:val="bottom"/>
          </w:tcPr>
          <w:p w14:paraId="77016734" w14:textId="3DDE727E" w:rsidR="00DC5BE9" w:rsidRPr="003E2D55" w:rsidRDefault="00DC5BE9" w:rsidP="003E2D55">
            <w:pPr>
              <w:spacing w:before="40" w:after="40"/>
              <w:jc w:val="right"/>
              <w:rPr>
                <w:rFonts w:cs="Arial"/>
                <w:sz w:val="18"/>
                <w:szCs w:val="18"/>
              </w:rPr>
            </w:pPr>
            <w:r w:rsidRPr="003E2D55">
              <w:rPr>
                <w:rFonts w:cs="Arial"/>
                <w:sz w:val="18"/>
                <w:szCs w:val="18"/>
              </w:rPr>
              <w:t>971,291</w:t>
            </w:r>
          </w:p>
        </w:tc>
        <w:tc>
          <w:tcPr>
            <w:tcW w:w="1474" w:type="dxa"/>
            <w:tcBorders>
              <w:top w:val="nil"/>
              <w:left w:val="nil"/>
              <w:bottom w:val="nil"/>
              <w:right w:val="nil"/>
            </w:tcBorders>
            <w:shd w:val="clear" w:color="auto" w:fill="auto"/>
            <w:vAlign w:val="bottom"/>
          </w:tcPr>
          <w:p w14:paraId="0BE12769" w14:textId="19DB0F49" w:rsidR="00DC5BE9" w:rsidRPr="003E2D55" w:rsidRDefault="00DC5BE9" w:rsidP="003E2D55">
            <w:pPr>
              <w:spacing w:before="40" w:after="40"/>
              <w:jc w:val="right"/>
              <w:rPr>
                <w:rFonts w:cs="Arial"/>
                <w:sz w:val="18"/>
                <w:szCs w:val="18"/>
              </w:rPr>
            </w:pPr>
            <w:r w:rsidRPr="003E2D55">
              <w:rPr>
                <w:rFonts w:cs="Arial"/>
                <w:sz w:val="18"/>
                <w:szCs w:val="18"/>
              </w:rPr>
              <w:t>861,291</w:t>
            </w:r>
          </w:p>
        </w:tc>
      </w:tr>
      <w:tr w:rsidR="00DC5BE9" w:rsidRPr="003E2D55" w14:paraId="34E02FF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4998B04" w14:textId="77777777" w:rsidR="00DC5BE9" w:rsidRPr="003E2D55" w:rsidRDefault="00DC5BE9" w:rsidP="003E2D55">
            <w:pPr>
              <w:spacing w:before="40" w:after="40"/>
              <w:rPr>
                <w:rFonts w:cs="Arial"/>
                <w:sz w:val="18"/>
                <w:szCs w:val="18"/>
              </w:rPr>
            </w:pPr>
            <w:r w:rsidRPr="003E2D55">
              <w:rPr>
                <w:rFonts w:cs="Arial"/>
                <w:sz w:val="18"/>
                <w:szCs w:val="18"/>
              </w:rPr>
              <w:t>Loddon S</w:t>
            </w:r>
          </w:p>
        </w:tc>
        <w:tc>
          <w:tcPr>
            <w:tcW w:w="1361" w:type="dxa"/>
            <w:tcBorders>
              <w:top w:val="nil"/>
              <w:left w:val="single" w:sz="18" w:space="0" w:color="5F497A" w:themeColor="accent4" w:themeShade="BF"/>
              <w:bottom w:val="nil"/>
              <w:right w:val="nil"/>
            </w:tcBorders>
            <w:shd w:val="clear" w:color="auto" w:fill="auto"/>
            <w:vAlign w:val="bottom"/>
          </w:tcPr>
          <w:p w14:paraId="21770C38" w14:textId="03E63040" w:rsidR="00DC5BE9" w:rsidRPr="003E2D55" w:rsidRDefault="00DC5BE9" w:rsidP="003E2D55">
            <w:pPr>
              <w:spacing w:before="40" w:after="40"/>
              <w:jc w:val="right"/>
              <w:rPr>
                <w:rFonts w:cs="Arial"/>
                <w:sz w:val="18"/>
                <w:szCs w:val="18"/>
              </w:rPr>
            </w:pPr>
            <w:r w:rsidRPr="003E2D55">
              <w:rPr>
                <w:rFonts w:cs="Arial"/>
                <w:sz w:val="18"/>
                <w:szCs w:val="18"/>
              </w:rPr>
              <w:t>752,980</w:t>
            </w:r>
          </w:p>
        </w:tc>
        <w:tc>
          <w:tcPr>
            <w:tcW w:w="1361" w:type="dxa"/>
            <w:tcBorders>
              <w:top w:val="nil"/>
              <w:left w:val="nil"/>
              <w:bottom w:val="nil"/>
              <w:right w:val="nil"/>
            </w:tcBorders>
            <w:shd w:val="clear" w:color="auto" w:fill="auto"/>
            <w:vAlign w:val="bottom"/>
          </w:tcPr>
          <w:p w14:paraId="6F1C8C2B" w14:textId="30D5BABA" w:rsidR="00DC5BE9" w:rsidRPr="003E2D55" w:rsidRDefault="00DC5BE9" w:rsidP="003E2D55">
            <w:pPr>
              <w:spacing w:before="40" w:after="40"/>
              <w:jc w:val="right"/>
              <w:rPr>
                <w:rFonts w:cs="Arial"/>
                <w:sz w:val="18"/>
                <w:szCs w:val="18"/>
              </w:rPr>
            </w:pPr>
            <w:r w:rsidRPr="003E2D55">
              <w:rPr>
                <w:rFonts w:cs="Arial"/>
                <w:sz w:val="18"/>
                <w:szCs w:val="18"/>
              </w:rPr>
              <w:t>15,631,189</w:t>
            </w:r>
          </w:p>
        </w:tc>
        <w:tc>
          <w:tcPr>
            <w:tcW w:w="1361" w:type="dxa"/>
            <w:tcBorders>
              <w:top w:val="nil"/>
              <w:left w:val="nil"/>
              <w:bottom w:val="nil"/>
              <w:right w:val="nil"/>
            </w:tcBorders>
            <w:shd w:val="clear" w:color="auto" w:fill="auto"/>
            <w:vAlign w:val="bottom"/>
          </w:tcPr>
          <w:p w14:paraId="353A46EE" w14:textId="1269433F" w:rsidR="00DC5BE9" w:rsidRPr="003E2D55" w:rsidRDefault="00DC5BE9" w:rsidP="003E2D55">
            <w:pPr>
              <w:spacing w:before="40" w:after="40"/>
              <w:jc w:val="right"/>
              <w:rPr>
                <w:rFonts w:cs="Arial"/>
                <w:sz w:val="18"/>
                <w:szCs w:val="18"/>
              </w:rPr>
            </w:pPr>
            <w:r w:rsidRPr="003E2D55">
              <w:rPr>
                <w:rFonts w:cs="Arial"/>
                <w:sz w:val="18"/>
                <w:szCs w:val="18"/>
              </w:rPr>
              <w:t>2,883,949</w:t>
            </w:r>
          </w:p>
        </w:tc>
        <w:tc>
          <w:tcPr>
            <w:tcW w:w="1361" w:type="dxa"/>
            <w:tcBorders>
              <w:top w:val="nil"/>
              <w:left w:val="nil"/>
              <w:bottom w:val="nil"/>
              <w:right w:val="nil"/>
            </w:tcBorders>
            <w:shd w:val="clear" w:color="auto" w:fill="auto"/>
            <w:vAlign w:val="bottom"/>
          </w:tcPr>
          <w:p w14:paraId="17BFF54D" w14:textId="6B457AE9" w:rsidR="00DC5BE9" w:rsidRPr="003E2D55" w:rsidRDefault="00DC5BE9" w:rsidP="003E2D55">
            <w:pPr>
              <w:spacing w:before="40" w:after="40"/>
              <w:jc w:val="right"/>
              <w:rPr>
                <w:rFonts w:cs="Arial"/>
                <w:sz w:val="18"/>
                <w:szCs w:val="18"/>
              </w:rPr>
            </w:pPr>
            <w:r w:rsidRPr="003E2D55">
              <w:rPr>
                <w:rFonts w:cs="Arial"/>
                <w:sz w:val="18"/>
                <w:szCs w:val="18"/>
              </w:rPr>
              <w:t>366,840</w:t>
            </w:r>
          </w:p>
        </w:tc>
        <w:tc>
          <w:tcPr>
            <w:tcW w:w="1474" w:type="dxa"/>
            <w:tcBorders>
              <w:top w:val="nil"/>
              <w:left w:val="nil"/>
              <w:bottom w:val="nil"/>
              <w:right w:val="nil"/>
            </w:tcBorders>
            <w:shd w:val="clear" w:color="auto" w:fill="auto"/>
            <w:vAlign w:val="bottom"/>
          </w:tcPr>
          <w:p w14:paraId="3A324079" w14:textId="6389313B" w:rsidR="00DC5BE9" w:rsidRPr="003E2D55" w:rsidRDefault="00DC5BE9" w:rsidP="003E2D55">
            <w:pPr>
              <w:spacing w:before="40" w:after="40"/>
              <w:jc w:val="right"/>
              <w:rPr>
                <w:rFonts w:cs="Arial"/>
                <w:sz w:val="18"/>
                <w:szCs w:val="18"/>
              </w:rPr>
            </w:pPr>
            <w:r w:rsidRPr="003E2D55">
              <w:rPr>
                <w:rFonts w:cs="Arial"/>
                <w:sz w:val="18"/>
                <w:szCs w:val="18"/>
              </w:rPr>
              <w:t>0</w:t>
            </w:r>
          </w:p>
        </w:tc>
      </w:tr>
    </w:tbl>
    <w:p w14:paraId="179CA738" w14:textId="77777777" w:rsidR="00734A5D" w:rsidRPr="00A44829" w:rsidRDefault="00734A5D" w:rsidP="00FF36E8">
      <w:pPr>
        <w:spacing w:before="40" w:after="20"/>
        <w:rPr>
          <w:rFonts w:cs="Arial"/>
          <w:sz w:val="18"/>
          <w:szCs w:val="18"/>
        </w:rPr>
      </w:pPr>
    </w:p>
    <w:p w14:paraId="6FC7C151" w14:textId="77777777" w:rsidR="00734A5D" w:rsidRPr="00A44829" w:rsidRDefault="00734A5D" w:rsidP="00FF36E8">
      <w:pPr>
        <w:spacing w:before="40" w:after="20"/>
        <w:rPr>
          <w:rFonts w:cs="Arial"/>
          <w:sz w:val="18"/>
          <w:szCs w:val="18"/>
        </w:rPr>
      </w:pPr>
      <w:r w:rsidRPr="00A44829">
        <w:rPr>
          <w:rFonts w:cs="Arial"/>
          <w:sz w:val="18"/>
          <w:szCs w:val="18"/>
        </w:rPr>
        <w:br w:type="page"/>
      </w:r>
    </w:p>
    <w:p w14:paraId="5D50468C" w14:textId="19F5DA91" w:rsidR="00F65645" w:rsidRPr="00A44829" w:rsidRDefault="00F65645" w:rsidP="00C33713">
      <w:pPr>
        <w:pStyle w:val="VGC-Head10"/>
      </w:pPr>
      <w:r w:rsidRPr="00A44829">
        <w:lastRenderedPageBreak/>
        <w:t>Appendix 5</w:t>
      </w:r>
      <w:r w:rsidRPr="00A44829">
        <w:tab/>
      </w:r>
      <w:r w:rsidR="00EE4593" w:rsidRPr="00A44829">
        <w:t>2019-20</w:t>
      </w:r>
      <w:r w:rsidR="00A97ABE" w:rsidRPr="00A44829">
        <w:t xml:space="preserve"> </w:t>
      </w:r>
      <w:r w:rsidRPr="00A44829">
        <w:t xml:space="preserve">Local Roads Grants </w:t>
      </w:r>
    </w:p>
    <w:p w14:paraId="6BAF4817" w14:textId="77777777" w:rsidR="00F65645" w:rsidRPr="00A44829" w:rsidRDefault="00A6042C" w:rsidP="008C1A28">
      <w:pPr>
        <w:pStyle w:val="VGC-Head2"/>
      </w:pPr>
      <w:r w:rsidRPr="00A44829">
        <w:t>E</w:t>
      </w:r>
      <w:r w:rsidR="00F65645" w:rsidRPr="00A44829">
        <w:t>.  Network Costs</w:t>
      </w:r>
    </w:p>
    <w:p w14:paraId="3E6D9563" w14:textId="77777777" w:rsidR="00734A5D" w:rsidRPr="00A44829"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701"/>
        <w:gridCol w:w="284"/>
        <w:gridCol w:w="1418"/>
      </w:tblGrid>
      <w:tr w:rsidR="00277761" w:rsidRPr="00A44829" w14:paraId="0C38B597"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0D08DAB3" w14:textId="77777777" w:rsidR="00277761" w:rsidRPr="00A44829" w:rsidRDefault="00277761" w:rsidP="0038375E">
            <w:pPr>
              <w:spacing w:before="40" w:after="20"/>
              <w:jc w:val="center"/>
              <w:rPr>
                <w:rFonts w:cs="Arial"/>
                <w:sz w:val="18"/>
                <w:szCs w:val="18"/>
              </w:rPr>
            </w:pPr>
          </w:p>
        </w:tc>
        <w:tc>
          <w:tcPr>
            <w:tcW w:w="2722" w:type="dxa"/>
            <w:gridSpan w:val="2"/>
            <w:tcBorders>
              <w:left w:val="single" w:sz="18" w:space="0" w:color="5F497A" w:themeColor="accent4" w:themeShade="BF"/>
              <w:bottom w:val="single" w:sz="8" w:space="0" w:color="5F497A" w:themeColor="accent4" w:themeShade="BF"/>
              <w:right w:val="nil"/>
            </w:tcBorders>
            <w:vAlign w:val="bottom"/>
          </w:tcPr>
          <w:p w14:paraId="27BAAF70" w14:textId="77777777" w:rsidR="00277761" w:rsidRPr="00A44829" w:rsidRDefault="00277761" w:rsidP="0038375E">
            <w:pPr>
              <w:spacing w:before="40" w:after="20"/>
              <w:jc w:val="center"/>
              <w:rPr>
                <w:rFonts w:cs="Arial"/>
                <w:b/>
                <w:sz w:val="18"/>
                <w:szCs w:val="18"/>
              </w:rPr>
            </w:pPr>
            <w:r w:rsidRPr="00A44829">
              <w:rPr>
                <w:rFonts w:cs="Arial"/>
                <w:b/>
                <w:sz w:val="18"/>
                <w:szCs w:val="18"/>
              </w:rPr>
              <w:t>Bridges</w:t>
            </w:r>
          </w:p>
        </w:tc>
        <w:tc>
          <w:tcPr>
            <w:tcW w:w="1701" w:type="dxa"/>
            <w:vMerge w:val="restart"/>
            <w:tcBorders>
              <w:left w:val="nil"/>
              <w:bottom w:val="single" w:sz="8" w:space="0" w:color="5F497A" w:themeColor="accent4" w:themeShade="BF"/>
              <w:right w:val="nil"/>
            </w:tcBorders>
            <w:shd w:val="clear" w:color="auto" w:fill="auto"/>
            <w:vAlign w:val="bottom"/>
          </w:tcPr>
          <w:p w14:paraId="3FE92E2F" w14:textId="77777777" w:rsidR="00277761" w:rsidRPr="00A44829" w:rsidRDefault="00277761" w:rsidP="0038375E">
            <w:pPr>
              <w:spacing w:before="40" w:after="20"/>
              <w:jc w:val="center"/>
              <w:rPr>
                <w:rFonts w:cs="Arial"/>
                <w:b/>
                <w:sz w:val="18"/>
                <w:szCs w:val="18"/>
              </w:rPr>
            </w:pPr>
            <w:r w:rsidRPr="00A44829">
              <w:rPr>
                <w:rFonts w:cs="Arial"/>
                <w:b/>
                <w:sz w:val="18"/>
                <w:szCs w:val="18"/>
              </w:rPr>
              <w:t xml:space="preserve">Total </w:t>
            </w:r>
            <w:r w:rsidRPr="00A44829">
              <w:rPr>
                <w:rFonts w:cs="Arial"/>
                <w:b/>
                <w:sz w:val="18"/>
                <w:szCs w:val="18"/>
              </w:rPr>
              <w:br/>
              <w:t xml:space="preserve">Network Costs </w:t>
            </w:r>
            <w:r w:rsidRPr="00A44829">
              <w:rPr>
                <w:rFonts w:cs="Arial"/>
                <w:b/>
                <w:sz w:val="18"/>
                <w:szCs w:val="18"/>
              </w:rPr>
              <w:br/>
              <w:t>($)</w:t>
            </w:r>
          </w:p>
        </w:tc>
        <w:tc>
          <w:tcPr>
            <w:tcW w:w="284" w:type="dxa"/>
            <w:vMerge w:val="restart"/>
            <w:tcBorders>
              <w:left w:val="nil"/>
              <w:bottom w:val="single" w:sz="8" w:space="0" w:color="5F497A" w:themeColor="accent4" w:themeShade="BF"/>
              <w:right w:val="nil"/>
            </w:tcBorders>
            <w:vAlign w:val="bottom"/>
          </w:tcPr>
          <w:p w14:paraId="6842E0E5" w14:textId="77777777" w:rsidR="00277761" w:rsidRPr="00A44829" w:rsidRDefault="00277761" w:rsidP="00D44471">
            <w:pPr>
              <w:spacing w:before="40" w:after="20"/>
              <w:jc w:val="center"/>
              <w:rPr>
                <w:rFonts w:cs="Arial"/>
                <w:b/>
                <w:sz w:val="18"/>
                <w:szCs w:val="18"/>
              </w:rPr>
            </w:pPr>
          </w:p>
        </w:tc>
        <w:tc>
          <w:tcPr>
            <w:tcW w:w="1418" w:type="dxa"/>
            <w:vMerge w:val="restart"/>
            <w:tcBorders>
              <w:left w:val="nil"/>
              <w:bottom w:val="single" w:sz="8" w:space="0" w:color="5F497A" w:themeColor="accent4" w:themeShade="BF"/>
              <w:right w:val="nil"/>
            </w:tcBorders>
            <w:vAlign w:val="bottom"/>
          </w:tcPr>
          <w:p w14:paraId="6F9D9A63" w14:textId="3B6BF8A4" w:rsidR="00277761" w:rsidRPr="00A44829" w:rsidRDefault="00277761" w:rsidP="00D44471">
            <w:pPr>
              <w:spacing w:before="40" w:after="20"/>
              <w:jc w:val="center"/>
              <w:rPr>
                <w:rFonts w:cs="Arial"/>
                <w:b/>
                <w:sz w:val="18"/>
                <w:szCs w:val="18"/>
              </w:rPr>
            </w:pPr>
            <w:r w:rsidRPr="00A44829">
              <w:rPr>
                <w:rFonts w:cs="Arial"/>
                <w:b/>
                <w:sz w:val="18"/>
                <w:szCs w:val="18"/>
              </w:rPr>
              <w:t xml:space="preserve">Actual </w:t>
            </w:r>
            <w:r w:rsidR="002C70F6" w:rsidRPr="00A44829">
              <w:rPr>
                <w:rFonts w:cs="Arial"/>
                <w:b/>
                <w:sz w:val="18"/>
                <w:szCs w:val="18"/>
              </w:rPr>
              <w:br/>
            </w:r>
            <w:r w:rsidRPr="00A44829">
              <w:rPr>
                <w:rFonts w:cs="Arial"/>
                <w:b/>
                <w:sz w:val="18"/>
                <w:szCs w:val="18"/>
              </w:rPr>
              <w:t xml:space="preserve">Grant </w:t>
            </w:r>
            <w:r w:rsidRPr="00A44829">
              <w:rPr>
                <w:rFonts w:cs="Arial"/>
                <w:b/>
                <w:sz w:val="18"/>
                <w:szCs w:val="18"/>
              </w:rPr>
              <w:br/>
              <w:t>($)</w:t>
            </w:r>
          </w:p>
        </w:tc>
      </w:tr>
      <w:tr w:rsidR="00277761" w:rsidRPr="00A44829" w14:paraId="553D4173"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769B0B70" w14:textId="77777777" w:rsidR="00277761" w:rsidRPr="00A44829" w:rsidRDefault="00277761" w:rsidP="0038375E">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right w:val="nil"/>
            </w:tcBorders>
            <w:vAlign w:val="bottom"/>
          </w:tcPr>
          <w:p w14:paraId="3512C09F" w14:textId="77777777" w:rsidR="00277761" w:rsidRPr="00A44829" w:rsidRDefault="00277761" w:rsidP="0038375E">
            <w:pPr>
              <w:spacing w:before="40" w:after="20"/>
              <w:jc w:val="center"/>
              <w:rPr>
                <w:rFonts w:cs="Arial"/>
                <w:sz w:val="16"/>
                <w:szCs w:val="16"/>
              </w:rPr>
            </w:pPr>
            <w:r w:rsidRPr="00A44829">
              <w:rPr>
                <w:rFonts w:cs="Arial"/>
                <w:sz w:val="16"/>
                <w:szCs w:val="16"/>
              </w:rPr>
              <w:t xml:space="preserve">Timber </w:t>
            </w:r>
            <w:r w:rsidRPr="00A44829">
              <w:rPr>
                <w:rFonts w:cs="Arial"/>
                <w:sz w:val="16"/>
                <w:szCs w:val="16"/>
              </w:rPr>
              <w:br/>
              <w:t>(sq. m)</w:t>
            </w:r>
          </w:p>
        </w:tc>
        <w:tc>
          <w:tcPr>
            <w:tcW w:w="1361" w:type="dxa"/>
            <w:tcBorders>
              <w:top w:val="single" w:sz="8" w:space="0" w:color="5F497A" w:themeColor="accent4" w:themeShade="BF"/>
              <w:left w:val="nil"/>
              <w:bottom w:val="single" w:sz="8" w:space="0" w:color="5F497A" w:themeColor="accent4" w:themeShade="BF"/>
              <w:right w:val="nil"/>
            </w:tcBorders>
            <w:vAlign w:val="bottom"/>
          </w:tcPr>
          <w:p w14:paraId="2B747432" w14:textId="77777777" w:rsidR="00277761" w:rsidRPr="00A44829" w:rsidRDefault="00277761" w:rsidP="0038375E">
            <w:pPr>
              <w:spacing w:before="40" w:after="20"/>
              <w:jc w:val="center"/>
              <w:rPr>
                <w:rFonts w:cs="Arial"/>
                <w:sz w:val="16"/>
                <w:szCs w:val="16"/>
              </w:rPr>
            </w:pPr>
            <w:r w:rsidRPr="00A44829">
              <w:rPr>
                <w:rFonts w:cs="Arial"/>
                <w:sz w:val="16"/>
                <w:szCs w:val="16"/>
              </w:rPr>
              <w:t xml:space="preserve">Concrete </w:t>
            </w:r>
            <w:r w:rsidRPr="00A44829">
              <w:rPr>
                <w:rFonts w:cs="Arial"/>
                <w:sz w:val="16"/>
                <w:szCs w:val="16"/>
              </w:rPr>
              <w:br/>
              <w:t>(sq. m)</w:t>
            </w:r>
          </w:p>
        </w:tc>
        <w:tc>
          <w:tcPr>
            <w:tcW w:w="1701"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2D9A733D" w14:textId="77777777" w:rsidR="00277761" w:rsidRPr="00A44829" w:rsidRDefault="00277761" w:rsidP="0038375E">
            <w:pPr>
              <w:spacing w:before="40" w:after="20"/>
              <w:jc w:val="center"/>
              <w:rPr>
                <w:rFonts w:cs="Arial"/>
                <w:b/>
                <w:sz w:val="18"/>
                <w:szCs w:val="18"/>
              </w:rPr>
            </w:pPr>
          </w:p>
        </w:tc>
        <w:tc>
          <w:tcPr>
            <w:tcW w:w="284" w:type="dxa"/>
            <w:vMerge/>
            <w:tcBorders>
              <w:top w:val="single" w:sz="8" w:space="0" w:color="5F497A" w:themeColor="accent4" w:themeShade="BF"/>
              <w:left w:val="nil"/>
              <w:bottom w:val="single" w:sz="8" w:space="0" w:color="5F497A" w:themeColor="accent4" w:themeShade="BF"/>
              <w:right w:val="nil"/>
            </w:tcBorders>
          </w:tcPr>
          <w:p w14:paraId="5AAA9E97" w14:textId="77777777" w:rsidR="00277761" w:rsidRPr="00A44829" w:rsidRDefault="00277761" w:rsidP="0038375E">
            <w:pPr>
              <w:spacing w:before="40" w:after="20"/>
              <w:jc w:val="center"/>
              <w:rPr>
                <w:rFonts w:cs="Arial"/>
                <w:b/>
                <w:sz w:val="18"/>
                <w:szCs w:val="18"/>
              </w:rPr>
            </w:pPr>
          </w:p>
        </w:tc>
        <w:tc>
          <w:tcPr>
            <w:tcW w:w="1418" w:type="dxa"/>
            <w:vMerge/>
            <w:tcBorders>
              <w:top w:val="single" w:sz="8" w:space="0" w:color="5F497A" w:themeColor="accent4" w:themeShade="BF"/>
              <w:left w:val="nil"/>
              <w:bottom w:val="single" w:sz="8" w:space="0" w:color="5F497A" w:themeColor="accent4" w:themeShade="BF"/>
              <w:right w:val="nil"/>
            </w:tcBorders>
            <w:vAlign w:val="bottom"/>
          </w:tcPr>
          <w:p w14:paraId="1943B32B" w14:textId="68BAA075" w:rsidR="00277761" w:rsidRPr="00A44829" w:rsidRDefault="00277761" w:rsidP="0038375E">
            <w:pPr>
              <w:spacing w:before="40" w:after="20"/>
              <w:jc w:val="center"/>
              <w:rPr>
                <w:rFonts w:cs="Arial"/>
                <w:b/>
                <w:sz w:val="18"/>
                <w:szCs w:val="18"/>
              </w:rPr>
            </w:pPr>
          </w:p>
        </w:tc>
      </w:tr>
      <w:tr w:rsidR="00DC5BE9" w:rsidRPr="003E2D55" w14:paraId="0DB792B6" w14:textId="77777777" w:rsidTr="00B44BBE">
        <w:trPr>
          <w:trHeight w:val="20"/>
          <w:tblHeader/>
        </w:trPr>
        <w:tc>
          <w:tcPr>
            <w:tcW w:w="2268" w:type="dxa"/>
            <w:tcBorders>
              <w:left w:val="nil"/>
              <w:bottom w:val="nil"/>
              <w:right w:val="single" w:sz="18" w:space="0" w:color="5F497A" w:themeColor="accent4" w:themeShade="BF"/>
            </w:tcBorders>
            <w:shd w:val="clear" w:color="auto" w:fill="auto"/>
            <w:vAlign w:val="center"/>
          </w:tcPr>
          <w:p w14:paraId="2A04C7E6" w14:textId="77777777" w:rsidR="00DC5BE9" w:rsidRPr="003E2D55" w:rsidRDefault="00DC5BE9" w:rsidP="00DC5BE9">
            <w:pPr>
              <w:spacing w:before="40" w:after="4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vAlign w:val="bottom"/>
          </w:tcPr>
          <w:p w14:paraId="14758458" w14:textId="7FB17C0B" w:rsidR="00DC5BE9" w:rsidRPr="003E2D55" w:rsidRDefault="00DC5BE9" w:rsidP="00DC5BE9">
            <w:pPr>
              <w:spacing w:before="40" w:after="40"/>
              <w:jc w:val="right"/>
              <w:rPr>
                <w:rFonts w:cs="Arial"/>
                <w:sz w:val="18"/>
                <w:szCs w:val="18"/>
              </w:rPr>
            </w:pPr>
            <w:r w:rsidRPr="003E2D55">
              <w:rPr>
                <w:rFonts w:cs="Arial"/>
                <w:sz w:val="18"/>
                <w:szCs w:val="18"/>
              </w:rPr>
              <w:t> </w:t>
            </w:r>
          </w:p>
        </w:tc>
        <w:tc>
          <w:tcPr>
            <w:tcW w:w="1361" w:type="dxa"/>
            <w:tcBorders>
              <w:top w:val="single" w:sz="8" w:space="0" w:color="5F497A" w:themeColor="accent4" w:themeShade="BF"/>
              <w:left w:val="nil"/>
              <w:bottom w:val="nil"/>
              <w:right w:val="nil"/>
            </w:tcBorders>
            <w:vAlign w:val="bottom"/>
          </w:tcPr>
          <w:p w14:paraId="7B62E9E0" w14:textId="5B9AE8F1" w:rsidR="00DC5BE9" w:rsidRPr="003E2D55" w:rsidRDefault="00DC5BE9" w:rsidP="00DC5BE9">
            <w:pPr>
              <w:spacing w:before="40" w:after="40"/>
              <w:jc w:val="right"/>
              <w:rPr>
                <w:rFonts w:cs="Arial"/>
                <w:sz w:val="18"/>
                <w:szCs w:val="18"/>
              </w:rPr>
            </w:pPr>
          </w:p>
        </w:tc>
        <w:tc>
          <w:tcPr>
            <w:tcW w:w="1701" w:type="dxa"/>
            <w:tcBorders>
              <w:top w:val="single" w:sz="8" w:space="0" w:color="5F497A" w:themeColor="accent4" w:themeShade="BF"/>
              <w:left w:val="nil"/>
              <w:bottom w:val="nil"/>
              <w:right w:val="nil"/>
            </w:tcBorders>
            <w:shd w:val="clear" w:color="auto" w:fill="auto"/>
            <w:vAlign w:val="bottom"/>
          </w:tcPr>
          <w:p w14:paraId="1CB32246" w14:textId="69B4EE7F" w:rsidR="00DC5BE9" w:rsidRPr="003E2D55" w:rsidRDefault="00DC5BE9" w:rsidP="00DC5BE9">
            <w:pPr>
              <w:spacing w:before="40" w:after="40"/>
              <w:jc w:val="right"/>
              <w:rPr>
                <w:rFonts w:cs="Arial"/>
                <w:sz w:val="18"/>
                <w:szCs w:val="18"/>
              </w:rPr>
            </w:pPr>
            <w:r w:rsidRPr="003E2D55">
              <w:rPr>
                <w:rFonts w:cs="Arial"/>
                <w:sz w:val="18"/>
                <w:szCs w:val="18"/>
              </w:rPr>
              <w:t> </w:t>
            </w:r>
          </w:p>
        </w:tc>
        <w:tc>
          <w:tcPr>
            <w:tcW w:w="284" w:type="dxa"/>
            <w:tcBorders>
              <w:top w:val="single" w:sz="8" w:space="0" w:color="5F497A" w:themeColor="accent4" w:themeShade="BF"/>
              <w:left w:val="nil"/>
              <w:bottom w:val="nil"/>
              <w:right w:val="nil"/>
            </w:tcBorders>
            <w:vAlign w:val="bottom"/>
          </w:tcPr>
          <w:p w14:paraId="4549CCBF" w14:textId="5B9D822E"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single" w:sz="8" w:space="0" w:color="5F497A" w:themeColor="accent4" w:themeShade="BF"/>
              <w:left w:val="nil"/>
              <w:bottom w:val="nil"/>
              <w:right w:val="nil"/>
            </w:tcBorders>
            <w:vAlign w:val="bottom"/>
          </w:tcPr>
          <w:p w14:paraId="1F36A07D" w14:textId="5E92EAE2" w:rsidR="00DC5BE9" w:rsidRPr="003E2D55" w:rsidRDefault="00DC5BE9" w:rsidP="00DC5BE9">
            <w:pPr>
              <w:spacing w:before="40" w:after="40"/>
              <w:jc w:val="right"/>
              <w:rPr>
                <w:rFonts w:cs="Arial"/>
                <w:b/>
                <w:sz w:val="18"/>
                <w:szCs w:val="18"/>
              </w:rPr>
            </w:pPr>
          </w:p>
        </w:tc>
      </w:tr>
      <w:tr w:rsidR="00DC5BE9" w:rsidRPr="003E2D55" w14:paraId="4BE9B44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684058A" w14:textId="77777777" w:rsidR="00DC5BE9" w:rsidRPr="003E2D55" w:rsidRDefault="00DC5BE9" w:rsidP="00DC5BE9">
            <w:pPr>
              <w:spacing w:before="40" w:after="40"/>
              <w:rPr>
                <w:rFonts w:cs="Arial"/>
                <w:sz w:val="18"/>
                <w:szCs w:val="18"/>
              </w:rPr>
            </w:pPr>
            <w:r w:rsidRPr="003E2D55">
              <w:rPr>
                <w:rFonts w:cs="Arial"/>
                <w:sz w:val="18"/>
                <w:szCs w:val="18"/>
              </w:rPr>
              <w:t>Alpine S</w:t>
            </w:r>
          </w:p>
        </w:tc>
        <w:tc>
          <w:tcPr>
            <w:tcW w:w="1361" w:type="dxa"/>
            <w:tcBorders>
              <w:top w:val="nil"/>
              <w:left w:val="single" w:sz="18" w:space="0" w:color="5F497A" w:themeColor="accent4" w:themeShade="BF"/>
              <w:bottom w:val="nil"/>
              <w:right w:val="nil"/>
            </w:tcBorders>
            <w:vAlign w:val="bottom"/>
          </w:tcPr>
          <w:p w14:paraId="21D56C88" w14:textId="449814F3" w:rsidR="00DC5BE9" w:rsidRPr="003E2D55" w:rsidRDefault="00DC5BE9" w:rsidP="00DC5BE9">
            <w:pPr>
              <w:spacing w:before="40" w:after="40"/>
              <w:jc w:val="right"/>
              <w:rPr>
                <w:rFonts w:cs="Arial"/>
                <w:sz w:val="18"/>
                <w:szCs w:val="18"/>
              </w:rPr>
            </w:pPr>
            <w:r w:rsidRPr="003E2D55">
              <w:rPr>
                <w:rFonts w:cs="Arial"/>
                <w:sz w:val="18"/>
                <w:szCs w:val="18"/>
              </w:rPr>
              <w:t>112,000</w:t>
            </w:r>
          </w:p>
        </w:tc>
        <w:tc>
          <w:tcPr>
            <w:tcW w:w="1361" w:type="dxa"/>
            <w:tcBorders>
              <w:top w:val="nil"/>
              <w:left w:val="nil"/>
              <w:bottom w:val="nil"/>
              <w:right w:val="nil"/>
            </w:tcBorders>
            <w:vAlign w:val="bottom"/>
          </w:tcPr>
          <w:p w14:paraId="13B15861" w14:textId="196879E2" w:rsidR="00DC5BE9" w:rsidRPr="003E2D55" w:rsidRDefault="00DC5BE9" w:rsidP="00DC5BE9">
            <w:pPr>
              <w:spacing w:before="40" w:after="40"/>
              <w:jc w:val="right"/>
              <w:rPr>
                <w:rFonts w:cs="Arial"/>
                <w:sz w:val="18"/>
                <w:szCs w:val="18"/>
              </w:rPr>
            </w:pPr>
            <w:r w:rsidRPr="003E2D55">
              <w:rPr>
                <w:rFonts w:cs="Arial"/>
                <w:sz w:val="18"/>
                <w:szCs w:val="18"/>
              </w:rPr>
              <w:t>1,000,800</w:t>
            </w:r>
          </w:p>
        </w:tc>
        <w:tc>
          <w:tcPr>
            <w:tcW w:w="1701" w:type="dxa"/>
            <w:tcBorders>
              <w:top w:val="nil"/>
              <w:left w:val="nil"/>
              <w:bottom w:val="nil"/>
              <w:right w:val="nil"/>
            </w:tcBorders>
            <w:shd w:val="clear" w:color="auto" w:fill="auto"/>
            <w:vAlign w:val="bottom"/>
          </w:tcPr>
          <w:p w14:paraId="159832D8" w14:textId="58189124" w:rsidR="00DC5BE9" w:rsidRPr="003E2D55" w:rsidRDefault="00DC5BE9" w:rsidP="00DC5BE9">
            <w:pPr>
              <w:spacing w:before="40" w:after="40"/>
              <w:jc w:val="right"/>
              <w:rPr>
                <w:rFonts w:cs="Arial"/>
                <w:sz w:val="18"/>
                <w:szCs w:val="18"/>
              </w:rPr>
            </w:pPr>
            <w:r w:rsidRPr="003E2D55">
              <w:rPr>
                <w:rFonts w:cs="Arial"/>
                <w:sz w:val="18"/>
                <w:szCs w:val="18"/>
              </w:rPr>
              <w:t>6,624,404</w:t>
            </w:r>
          </w:p>
        </w:tc>
        <w:tc>
          <w:tcPr>
            <w:tcW w:w="284" w:type="dxa"/>
            <w:tcBorders>
              <w:top w:val="nil"/>
              <w:left w:val="nil"/>
              <w:bottom w:val="nil"/>
              <w:right w:val="nil"/>
            </w:tcBorders>
            <w:vAlign w:val="bottom"/>
          </w:tcPr>
          <w:p w14:paraId="39D74AA7" w14:textId="4184FB34"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0AE34564" w14:textId="25A5CDAA" w:rsidR="00DC5BE9" w:rsidRPr="003E2D55" w:rsidRDefault="00DC5BE9" w:rsidP="00DC5BE9">
            <w:pPr>
              <w:spacing w:before="40" w:after="40"/>
              <w:jc w:val="right"/>
              <w:rPr>
                <w:rFonts w:cs="Arial"/>
                <w:b/>
                <w:sz w:val="18"/>
                <w:szCs w:val="18"/>
              </w:rPr>
            </w:pPr>
            <w:r w:rsidRPr="003E2D55">
              <w:rPr>
                <w:rFonts w:cs="Arial"/>
                <w:b/>
                <w:sz w:val="18"/>
                <w:szCs w:val="18"/>
              </w:rPr>
              <w:t>1,117,399</w:t>
            </w:r>
          </w:p>
        </w:tc>
      </w:tr>
      <w:tr w:rsidR="00DC5BE9" w:rsidRPr="003E2D55" w14:paraId="79114C7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FB6661B" w14:textId="77777777" w:rsidR="00DC5BE9" w:rsidRPr="003E2D55" w:rsidRDefault="00DC5BE9" w:rsidP="00DC5BE9">
            <w:pPr>
              <w:spacing w:before="40" w:after="40"/>
              <w:rPr>
                <w:rFonts w:cs="Arial"/>
                <w:sz w:val="18"/>
                <w:szCs w:val="18"/>
              </w:rPr>
            </w:pPr>
            <w:r w:rsidRPr="003E2D55">
              <w:rPr>
                <w:rFonts w:cs="Arial"/>
                <w:sz w:val="18"/>
                <w:szCs w:val="18"/>
              </w:rPr>
              <w:t>Ararat RC</w:t>
            </w:r>
          </w:p>
        </w:tc>
        <w:tc>
          <w:tcPr>
            <w:tcW w:w="1361" w:type="dxa"/>
            <w:tcBorders>
              <w:top w:val="nil"/>
              <w:left w:val="single" w:sz="18" w:space="0" w:color="5F497A" w:themeColor="accent4" w:themeShade="BF"/>
              <w:bottom w:val="nil"/>
              <w:right w:val="nil"/>
            </w:tcBorders>
            <w:vAlign w:val="bottom"/>
          </w:tcPr>
          <w:p w14:paraId="7377F0DF" w14:textId="64CFA914" w:rsidR="00DC5BE9" w:rsidRPr="003E2D55" w:rsidRDefault="00DC5BE9" w:rsidP="00DC5BE9">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5B609DC3" w14:textId="0D96588F" w:rsidR="00DC5BE9" w:rsidRPr="003E2D55" w:rsidRDefault="00DC5BE9" w:rsidP="00DC5BE9">
            <w:pPr>
              <w:spacing w:before="40" w:after="40"/>
              <w:jc w:val="right"/>
              <w:rPr>
                <w:rFonts w:cs="Arial"/>
                <w:sz w:val="18"/>
                <w:szCs w:val="18"/>
              </w:rPr>
            </w:pPr>
            <w:r w:rsidRPr="003E2D55">
              <w:rPr>
                <w:rFonts w:cs="Arial"/>
                <w:sz w:val="18"/>
                <w:szCs w:val="18"/>
              </w:rPr>
              <w:t>1,854,720</w:t>
            </w:r>
          </w:p>
        </w:tc>
        <w:tc>
          <w:tcPr>
            <w:tcW w:w="1701" w:type="dxa"/>
            <w:tcBorders>
              <w:top w:val="nil"/>
              <w:left w:val="nil"/>
              <w:bottom w:val="nil"/>
              <w:right w:val="nil"/>
            </w:tcBorders>
            <w:shd w:val="clear" w:color="auto" w:fill="auto"/>
            <w:vAlign w:val="bottom"/>
          </w:tcPr>
          <w:p w14:paraId="24911A55" w14:textId="5BD015D4" w:rsidR="00DC5BE9" w:rsidRPr="003E2D55" w:rsidRDefault="00DC5BE9" w:rsidP="00DC5BE9">
            <w:pPr>
              <w:spacing w:before="40" w:after="40"/>
              <w:jc w:val="right"/>
              <w:rPr>
                <w:rFonts w:cs="Arial"/>
                <w:sz w:val="18"/>
                <w:szCs w:val="18"/>
              </w:rPr>
            </w:pPr>
            <w:r w:rsidRPr="003E2D55">
              <w:rPr>
                <w:rFonts w:cs="Arial"/>
                <w:sz w:val="18"/>
                <w:szCs w:val="18"/>
              </w:rPr>
              <w:t>13,588,574</w:t>
            </w:r>
          </w:p>
        </w:tc>
        <w:tc>
          <w:tcPr>
            <w:tcW w:w="284" w:type="dxa"/>
            <w:tcBorders>
              <w:top w:val="nil"/>
              <w:left w:val="nil"/>
              <w:bottom w:val="nil"/>
              <w:right w:val="nil"/>
            </w:tcBorders>
            <w:vAlign w:val="bottom"/>
          </w:tcPr>
          <w:p w14:paraId="29A83D12" w14:textId="58E2427A"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6DABF635" w14:textId="7B1D21B3" w:rsidR="00DC5BE9" w:rsidRPr="003E2D55" w:rsidRDefault="00DC5BE9" w:rsidP="00DC5BE9">
            <w:pPr>
              <w:spacing w:before="40" w:after="40"/>
              <w:jc w:val="right"/>
              <w:rPr>
                <w:rFonts w:cs="Arial"/>
                <w:b/>
                <w:sz w:val="18"/>
                <w:szCs w:val="18"/>
              </w:rPr>
            </w:pPr>
            <w:r w:rsidRPr="003E2D55">
              <w:rPr>
                <w:rFonts w:cs="Arial"/>
                <w:b/>
                <w:sz w:val="18"/>
                <w:szCs w:val="18"/>
              </w:rPr>
              <w:t>2,292,110</w:t>
            </w:r>
          </w:p>
        </w:tc>
      </w:tr>
      <w:tr w:rsidR="00DC5BE9" w:rsidRPr="003E2D55" w14:paraId="2A17672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7AF126D" w14:textId="77777777" w:rsidR="00DC5BE9" w:rsidRPr="003E2D55" w:rsidRDefault="00DC5BE9" w:rsidP="00DC5BE9">
            <w:pPr>
              <w:spacing w:before="40" w:after="40"/>
              <w:rPr>
                <w:rFonts w:cs="Arial"/>
                <w:sz w:val="18"/>
                <w:szCs w:val="18"/>
              </w:rPr>
            </w:pPr>
            <w:r w:rsidRPr="003E2D55">
              <w:rPr>
                <w:rFonts w:cs="Arial"/>
                <w:sz w:val="18"/>
                <w:szCs w:val="18"/>
              </w:rPr>
              <w:t xml:space="preserve">Ballarat C </w:t>
            </w:r>
          </w:p>
        </w:tc>
        <w:tc>
          <w:tcPr>
            <w:tcW w:w="1361" w:type="dxa"/>
            <w:tcBorders>
              <w:top w:val="nil"/>
              <w:left w:val="single" w:sz="18" w:space="0" w:color="5F497A" w:themeColor="accent4" w:themeShade="BF"/>
              <w:bottom w:val="nil"/>
              <w:right w:val="nil"/>
            </w:tcBorders>
            <w:vAlign w:val="bottom"/>
          </w:tcPr>
          <w:p w14:paraId="0262A50F" w14:textId="27A2D900" w:rsidR="00DC5BE9" w:rsidRPr="003E2D55" w:rsidRDefault="00DC5BE9" w:rsidP="00DC5BE9">
            <w:pPr>
              <w:spacing w:before="40" w:after="40"/>
              <w:jc w:val="right"/>
              <w:rPr>
                <w:rFonts w:cs="Arial"/>
                <w:sz w:val="18"/>
                <w:szCs w:val="18"/>
              </w:rPr>
            </w:pPr>
            <w:r w:rsidRPr="003E2D55">
              <w:rPr>
                <w:rFonts w:cs="Arial"/>
                <w:sz w:val="18"/>
                <w:szCs w:val="18"/>
              </w:rPr>
              <w:t>16,400</w:t>
            </w:r>
          </w:p>
        </w:tc>
        <w:tc>
          <w:tcPr>
            <w:tcW w:w="1361" w:type="dxa"/>
            <w:tcBorders>
              <w:top w:val="nil"/>
              <w:left w:val="nil"/>
              <w:bottom w:val="nil"/>
              <w:right w:val="nil"/>
            </w:tcBorders>
            <w:vAlign w:val="bottom"/>
          </w:tcPr>
          <w:p w14:paraId="1D62F28A" w14:textId="2D6B89FA" w:rsidR="00DC5BE9" w:rsidRPr="003E2D55" w:rsidRDefault="00DC5BE9" w:rsidP="00DC5BE9">
            <w:pPr>
              <w:spacing w:before="40" w:after="40"/>
              <w:jc w:val="right"/>
              <w:rPr>
                <w:rFonts w:cs="Arial"/>
                <w:sz w:val="18"/>
                <w:szCs w:val="18"/>
              </w:rPr>
            </w:pPr>
            <w:r w:rsidRPr="003E2D55">
              <w:rPr>
                <w:rFonts w:cs="Arial"/>
                <w:sz w:val="18"/>
                <w:szCs w:val="18"/>
              </w:rPr>
              <w:t>2,134,800</w:t>
            </w:r>
          </w:p>
        </w:tc>
        <w:tc>
          <w:tcPr>
            <w:tcW w:w="1701" w:type="dxa"/>
            <w:tcBorders>
              <w:top w:val="nil"/>
              <w:left w:val="nil"/>
              <w:bottom w:val="nil"/>
              <w:right w:val="nil"/>
            </w:tcBorders>
            <w:shd w:val="clear" w:color="auto" w:fill="auto"/>
            <w:vAlign w:val="bottom"/>
          </w:tcPr>
          <w:p w14:paraId="77FF538D" w14:textId="1198FF69" w:rsidR="00DC5BE9" w:rsidRPr="003E2D55" w:rsidRDefault="00DC5BE9" w:rsidP="00DC5BE9">
            <w:pPr>
              <w:spacing w:before="40" w:after="40"/>
              <w:jc w:val="right"/>
              <w:rPr>
                <w:rFonts w:cs="Arial"/>
                <w:sz w:val="18"/>
                <w:szCs w:val="18"/>
              </w:rPr>
            </w:pPr>
            <w:r w:rsidRPr="003E2D55">
              <w:rPr>
                <w:rFonts w:cs="Arial"/>
                <w:sz w:val="18"/>
                <w:szCs w:val="18"/>
              </w:rPr>
              <w:t>14,390,402</w:t>
            </w:r>
          </w:p>
        </w:tc>
        <w:tc>
          <w:tcPr>
            <w:tcW w:w="284" w:type="dxa"/>
            <w:tcBorders>
              <w:top w:val="nil"/>
              <w:left w:val="nil"/>
              <w:bottom w:val="nil"/>
              <w:right w:val="nil"/>
            </w:tcBorders>
            <w:vAlign w:val="bottom"/>
          </w:tcPr>
          <w:p w14:paraId="2AA7678D" w14:textId="358B0C7A"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19353AA4" w14:textId="326A7A0A" w:rsidR="00DC5BE9" w:rsidRPr="003E2D55" w:rsidRDefault="00DC5BE9" w:rsidP="00DC5BE9">
            <w:pPr>
              <w:spacing w:before="40" w:after="40"/>
              <w:jc w:val="right"/>
              <w:rPr>
                <w:rFonts w:cs="Arial"/>
                <w:b/>
                <w:sz w:val="18"/>
                <w:szCs w:val="18"/>
              </w:rPr>
            </w:pPr>
            <w:r w:rsidRPr="003E2D55">
              <w:rPr>
                <w:rFonts w:cs="Arial"/>
                <w:b/>
                <w:sz w:val="18"/>
                <w:szCs w:val="18"/>
              </w:rPr>
              <w:t>2,427,362</w:t>
            </w:r>
          </w:p>
        </w:tc>
      </w:tr>
      <w:tr w:rsidR="00DC5BE9" w:rsidRPr="003E2D55" w14:paraId="0FF937A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EDCA771" w14:textId="77777777" w:rsidR="00DC5BE9" w:rsidRPr="003E2D55" w:rsidRDefault="00DC5BE9" w:rsidP="00DC5BE9">
            <w:pPr>
              <w:spacing w:before="40" w:after="40"/>
              <w:rPr>
                <w:rFonts w:cs="Arial"/>
                <w:sz w:val="18"/>
                <w:szCs w:val="18"/>
              </w:rPr>
            </w:pPr>
            <w:r w:rsidRPr="003E2D55">
              <w:rPr>
                <w:rFonts w:cs="Arial"/>
                <w:sz w:val="18"/>
                <w:szCs w:val="18"/>
              </w:rPr>
              <w:t>Banyule C</w:t>
            </w:r>
          </w:p>
        </w:tc>
        <w:tc>
          <w:tcPr>
            <w:tcW w:w="1361" w:type="dxa"/>
            <w:tcBorders>
              <w:top w:val="nil"/>
              <w:left w:val="single" w:sz="18" w:space="0" w:color="5F497A" w:themeColor="accent4" w:themeShade="BF"/>
              <w:bottom w:val="nil"/>
              <w:right w:val="nil"/>
            </w:tcBorders>
            <w:vAlign w:val="bottom"/>
          </w:tcPr>
          <w:p w14:paraId="5210924F" w14:textId="39D8A3AE" w:rsidR="00DC5BE9" w:rsidRPr="003E2D55" w:rsidRDefault="00DC5BE9" w:rsidP="00DC5BE9">
            <w:pPr>
              <w:spacing w:before="40" w:after="40"/>
              <w:jc w:val="right"/>
              <w:rPr>
                <w:rFonts w:cs="Arial"/>
                <w:sz w:val="18"/>
                <w:szCs w:val="18"/>
              </w:rPr>
            </w:pPr>
            <w:r w:rsidRPr="003E2D55">
              <w:rPr>
                <w:rFonts w:cs="Arial"/>
                <w:sz w:val="18"/>
                <w:szCs w:val="18"/>
              </w:rPr>
              <w:t>68,800</w:t>
            </w:r>
          </w:p>
        </w:tc>
        <w:tc>
          <w:tcPr>
            <w:tcW w:w="1361" w:type="dxa"/>
            <w:tcBorders>
              <w:top w:val="nil"/>
              <w:left w:val="nil"/>
              <w:bottom w:val="nil"/>
              <w:right w:val="nil"/>
            </w:tcBorders>
            <w:vAlign w:val="bottom"/>
          </w:tcPr>
          <w:p w14:paraId="60C9CEFE" w14:textId="470C2014" w:rsidR="00DC5BE9" w:rsidRPr="003E2D55" w:rsidRDefault="00DC5BE9" w:rsidP="00DC5BE9">
            <w:pPr>
              <w:spacing w:before="40" w:after="40"/>
              <w:jc w:val="right"/>
              <w:rPr>
                <w:rFonts w:cs="Arial"/>
                <w:sz w:val="18"/>
                <w:szCs w:val="18"/>
              </w:rPr>
            </w:pPr>
            <w:r w:rsidRPr="003E2D55">
              <w:rPr>
                <w:rFonts w:cs="Arial"/>
                <w:sz w:val="18"/>
                <w:szCs w:val="18"/>
              </w:rPr>
              <w:t>168,840</w:t>
            </w:r>
          </w:p>
        </w:tc>
        <w:tc>
          <w:tcPr>
            <w:tcW w:w="1701" w:type="dxa"/>
            <w:tcBorders>
              <w:top w:val="nil"/>
              <w:left w:val="nil"/>
              <w:bottom w:val="nil"/>
              <w:right w:val="nil"/>
            </w:tcBorders>
            <w:shd w:val="clear" w:color="auto" w:fill="auto"/>
            <w:vAlign w:val="bottom"/>
          </w:tcPr>
          <w:p w14:paraId="3916CE80" w14:textId="37377F40" w:rsidR="00DC5BE9" w:rsidRPr="003E2D55" w:rsidRDefault="00DC5BE9" w:rsidP="00DC5BE9">
            <w:pPr>
              <w:spacing w:before="40" w:after="40"/>
              <w:jc w:val="right"/>
              <w:rPr>
                <w:rFonts w:cs="Arial"/>
                <w:sz w:val="18"/>
                <w:szCs w:val="18"/>
              </w:rPr>
            </w:pPr>
            <w:r w:rsidRPr="003E2D55">
              <w:rPr>
                <w:rFonts w:cs="Arial"/>
                <w:sz w:val="18"/>
                <w:szCs w:val="18"/>
              </w:rPr>
              <w:t>5,754,932</w:t>
            </w:r>
          </w:p>
        </w:tc>
        <w:tc>
          <w:tcPr>
            <w:tcW w:w="284" w:type="dxa"/>
            <w:tcBorders>
              <w:top w:val="nil"/>
              <w:left w:val="nil"/>
              <w:bottom w:val="nil"/>
              <w:right w:val="nil"/>
            </w:tcBorders>
            <w:vAlign w:val="bottom"/>
          </w:tcPr>
          <w:p w14:paraId="6D2A5C3E" w14:textId="671987E0"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3AFCD161" w14:textId="597E7D1B" w:rsidR="00DC5BE9" w:rsidRPr="003E2D55" w:rsidRDefault="00DC5BE9" w:rsidP="00DC5BE9">
            <w:pPr>
              <w:spacing w:before="40" w:after="40"/>
              <w:jc w:val="right"/>
              <w:rPr>
                <w:rFonts w:cs="Arial"/>
                <w:b/>
                <w:sz w:val="18"/>
                <w:szCs w:val="18"/>
              </w:rPr>
            </w:pPr>
            <w:r w:rsidRPr="003E2D55">
              <w:rPr>
                <w:rFonts w:cs="Arial"/>
                <w:b/>
                <w:sz w:val="18"/>
                <w:szCs w:val="18"/>
              </w:rPr>
              <w:t>970,737</w:t>
            </w:r>
          </w:p>
        </w:tc>
      </w:tr>
      <w:tr w:rsidR="00DC5BE9" w:rsidRPr="003E2D55" w14:paraId="1A3367D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6D8CB18" w14:textId="77777777" w:rsidR="00DC5BE9" w:rsidRPr="003E2D55" w:rsidRDefault="00DC5BE9" w:rsidP="00DC5BE9">
            <w:pPr>
              <w:spacing w:before="40" w:after="40"/>
              <w:rPr>
                <w:rFonts w:cs="Arial"/>
                <w:sz w:val="18"/>
                <w:szCs w:val="18"/>
              </w:rPr>
            </w:pPr>
            <w:r w:rsidRPr="003E2D55">
              <w:rPr>
                <w:rFonts w:cs="Arial"/>
                <w:sz w:val="18"/>
                <w:szCs w:val="18"/>
              </w:rPr>
              <w:t>Bass Coast S</w:t>
            </w:r>
          </w:p>
        </w:tc>
        <w:tc>
          <w:tcPr>
            <w:tcW w:w="1361" w:type="dxa"/>
            <w:tcBorders>
              <w:top w:val="nil"/>
              <w:left w:val="single" w:sz="18" w:space="0" w:color="5F497A" w:themeColor="accent4" w:themeShade="BF"/>
              <w:bottom w:val="nil"/>
              <w:right w:val="nil"/>
            </w:tcBorders>
            <w:vAlign w:val="bottom"/>
          </w:tcPr>
          <w:p w14:paraId="25F45839" w14:textId="649261C1" w:rsidR="00DC5BE9" w:rsidRPr="003E2D55" w:rsidRDefault="00DC5BE9" w:rsidP="00DC5BE9">
            <w:pPr>
              <w:spacing w:before="40" w:after="40"/>
              <w:jc w:val="right"/>
              <w:rPr>
                <w:rFonts w:cs="Arial"/>
                <w:sz w:val="18"/>
                <w:szCs w:val="18"/>
              </w:rPr>
            </w:pPr>
            <w:r w:rsidRPr="003E2D55">
              <w:rPr>
                <w:rFonts w:cs="Arial"/>
                <w:sz w:val="18"/>
                <w:szCs w:val="18"/>
              </w:rPr>
              <w:t>188,400</w:t>
            </w:r>
          </w:p>
        </w:tc>
        <w:tc>
          <w:tcPr>
            <w:tcW w:w="1361" w:type="dxa"/>
            <w:tcBorders>
              <w:top w:val="nil"/>
              <w:left w:val="nil"/>
              <w:bottom w:val="nil"/>
              <w:right w:val="nil"/>
            </w:tcBorders>
            <w:vAlign w:val="bottom"/>
          </w:tcPr>
          <w:p w14:paraId="29E949E4" w14:textId="5EBD06FF" w:rsidR="00DC5BE9" w:rsidRPr="003E2D55" w:rsidRDefault="00DC5BE9" w:rsidP="00DC5BE9">
            <w:pPr>
              <w:spacing w:before="40" w:after="40"/>
              <w:jc w:val="right"/>
              <w:rPr>
                <w:rFonts w:cs="Arial"/>
                <w:sz w:val="18"/>
                <w:szCs w:val="18"/>
              </w:rPr>
            </w:pPr>
            <w:r w:rsidRPr="003E2D55">
              <w:rPr>
                <w:rFonts w:cs="Arial"/>
                <w:sz w:val="18"/>
                <w:szCs w:val="18"/>
              </w:rPr>
              <w:t>288,600</w:t>
            </w:r>
          </w:p>
        </w:tc>
        <w:tc>
          <w:tcPr>
            <w:tcW w:w="1701" w:type="dxa"/>
            <w:tcBorders>
              <w:top w:val="nil"/>
              <w:left w:val="nil"/>
              <w:bottom w:val="nil"/>
              <w:right w:val="nil"/>
            </w:tcBorders>
            <w:shd w:val="clear" w:color="auto" w:fill="auto"/>
            <w:vAlign w:val="bottom"/>
          </w:tcPr>
          <w:p w14:paraId="75C478BB" w14:textId="14C25555" w:rsidR="00DC5BE9" w:rsidRPr="003E2D55" w:rsidRDefault="00DC5BE9" w:rsidP="00DC5BE9">
            <w:pPr>
              <w:spacing w:before="40" w:after="40"/>
              <w:jc w:val="right"/>
              <w:rPr>
                <w:rFonts w:cs="Arial"/>
                <w:sz w:val="18"/>
                <w:szCs w:val="18"/>
              </w:rPr>
            </w:pPr>
            <w:r w:rsidRPr="003E2D55">
              <w:rPr>
                <w:rFonts w:cs="Arial"/>
                <w:sz w:val="18"/>
                <w:szCs w:val="18"/>
              </w:rPr>
              <w:t>8,654,934</w:t>
            </w:r>
          </w:p>
        </w:tc>
        <w:tc>
          <w:tcPr>
            <w:tcW w:w="284" w:type="dxa"/>
            <w:tcBorders>
              <w:top w:val="nil"/>
              <w:left w:val="nil"/>
              <w:bottom w:val="nil"/>
              <w:right w:val="nil"/>
            </w:tcBorders>
            <w:vAlign w:val="bottom"/>
          </w:tcPr>
          <w:p w14:paraId="60D6560A" w14:textId="7E50588B"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0D589406" w14:textId="6B61D550" w:rsidR="00DC5BE9" w:rsidRPr="003E2D55" w:rsidRDefault="00DC5BE9" w:rsidP="00DC5BE9">
            <w:pPr>
              <w:spacing w:before="40" w:after="40"/>
              <w:jc w:val="right"/>
              <w:rPr>
                <w:rFonts w:cs="Arial"/>
                <w:b/>
                <w:sz w:val="18"/>
                <w:szCs w:val="18"/>
              </w:rPr>
            </w:pPr>
            <w:r w:rsidRPr="003E2D55">
              <w:rPr>
                <w:rFonts w:cs="Arial"/>
                <w:b/>
                <w:sz w:val="18"/>
                <w:szCs w:val="18"/>
              </w:rPr>
              <w:t>1,459,907</w:t>
            </w:r>
          </w:p>
        </w:tc>
      </w:tr>
      <w:tr w:rsidR="00DC5BE9" w:rsidRPr="003E2D55" w14:paraId="623DC2C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123B61D" w14:textId="77777777" w:rsidR="00DC5BE9" w:rsidRPr="003E2D55" w:rsidRDefault="00DC5BE9" w:rsidP="00DC5BE9">
            <w:pPr>
              <w:spacing w:before="40" w:after="40"/>
              <w:rPr>
                <w:rFonts w:cs="Arial"/>
                <w:sz w:val="18"/>
                <w:szCs w:val="18"/>
              </w:rPr>
            </w:pPr>
            <w:r w:rsidRPr="003E2D55">
              <w:rPr>
                <w:rFonts w:cs="Arial"/>
                <w:sz w:val="18"/>
                <w:szCs w:val="18"/>
              </w:rPr>
              <w:t>Baw Baw S</w:t>
            </w:r>
          </w:p>
        </w:tc>
        <w:tc>
          <w:tcPr>
            <w:tcW w:w="1361" w:type="dxa"/>
            <w:tcBorders>
              <w:top w:val="nil"/>
              <w:left w:val="single" w:sz="18" w:space="0" w:color="5F497A" w:themeColor="accent4" w:themeShade="BF"/>
              <w:bottom w:val="nil"/>
              <w:right w:val="nil"/>
            </w:tcBorders>
            <w:vAlign w:val="bottom"/>
          </w:tcPr>
          <w:p w14:paraId="120E5EEA" w14:textId="234151FB" w:rsidR="00DC5BE9" w:rsidRPr="003E2D55" w:rsidRDefault="00DC5BE9" w:rsidP="00DC5BE9">
            <w:pPr>
              <w:spacing w:before="40" w:after="40"/>
              <w:jc w:val="right"/>
              <w:rPr>
                <w:rFonts w:cs="Arial"/>
                <w:sz w:val="18"/>
                <w:szCs w:val="18"/>
              </w:rPr>
            </w:pPr>
            <w:r w:rsidRPr="003E2D55">
              <w:rPr>
                <w:rFonts w:cs="Arial"/>
                <w:sz w:val="18"/>
                <w:szCs w:val="18"/>
              </w:rPr>
              <w:t>101,000</w:t>
            </w:r>
          </w:p>
        </w:tc>
        <w:tc>
          <w:tcPr>
            <w:tcW w:w="1361" w:type="dxa"/>
            <w:tcBorders>
              <w:top w:val="nil"/>
              <w:left w:val="nil"/>
              <w:bottom w:val="nil"/>
              <w:right w:val="nil"/>
            </w:tcBorders>
            <w:vAlign w:val="bottom"/>
          </w:tcPr>
          <w:p w14:paraId="4C5BEB75" w14:textId="1BF2BDA9" w:rsidR="00DC5BE9" w:rsidRPr="003E2D55" w:rsidRDefault="00DC5BE9" w:rsidP="00DC5BE9">
            <w:pPr>
              <w:spacing w:before="40" w:after="40"/>
              <w:jc w:val="right"/>
              <w:rPr>
                <w:rFonts w:cs="Arial"/>
                <w:sz w:val="18"/>
                <w:szCs w:val="18"/>
              </w:rPr>
            </w:pPr>
            <w:r w:rsidRPr="003E2D55">
              <w:rPr>
                <w:rFonts w:cs="Arial"/>
                <w:sz w:val="18"/>
                <w:szCs w:val="18"/>
              </w:rPr>
              <w:t>618,000</w:t>
            </w:r>
          </w:p>
        </w:tc>
        <w:tc>
          <w:tcPr>
            <w:tcW w:w="1701" w:type="dxa"/>
            <w:tcBorders>
              <w:top w:val="nil"/>
              <w:left w:val="nil"/>
              <w:bottom w:val="nil"/>
              <w:right w:val="nil"/>
            </w:tcBorders>
            <w:shd w:val="clear" w:color="auto" w:fill="auto"/>
            <w:vAlign w:val="bottom"/>
          </w:tcPr>
          <w:p w14:paraId="7D64C709" w14:textId="4A62CE11" w:rsidR="00DC5BE9" w:rsidRPr="003E2D55" w:rsidRDefault="00DC5BE9" w:rsidP="00DC5BE9">
            <w:pPr>
              <w:spacing w:before="40" w:after="40"/>
              <w:jc w:val="right"/>
              <w:rPr>
                <w:rFonts w:cs="Arial"/>
                <w:sz w:val="18"/>
                <w:szCs w:val="18"/>
              </w:rPr>
            </w:pPr>
            <w:r w:rsidRPr="003E2D55">
              <w:rPr>
                <w:rFonts w:cs="Arial"/>
                <w:sz w:val="18"/>
                <w:szCs w:val="18"/>
              </w:rPr>
              <w:t>16,844,932</w:t>
            </w:r>
          </w:p>
        </w:tc>
        <w:tc>
          <w:tcPr>
            <w:tcW w:w="284" w:type="dxa"/>
            <w:tcBorders>
              <w:top w:val="nil"/>
              <w:left w:val="nil"/>
              <w:bottom w:val="nil"/>
              <w:right w:val="nil"/>
            </w:tcBorders>
            <w:vAlign w:val="bottom"/>
          </w:tcPr>
          <w:p w14:paraId="04AB3C95" w14:textId="4B883B91"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1E3494D0" w14:textId="4461F7E7" w:rsidR="00DC5BE9" w:rsidRPr="003E2D55" w:rsidRDefault="00DC5BE9" w:rsidP="00DC5BE9">
            <w:pPr>
              <w:spacing w:before="40" w:after="40"/>
              <w:jc w:val="right"/>
              <w:rPr>
                <w:rFonts w:cs="Arial"/>
                <w:b/>
                <w:sz w:val="18"/>
                <w:szCs w:val="18"/>
              </w:rPr>
            </w:pPr>
            <w:r w:rsidRPr="003E2D55">
              <w:rPr>
                <w:rFonts w:cs="Arial"/>
                <w:b/>
                <w:sz w:val="18"/>
                <w:szCs w:val="18"/>
              </w:rPr>
              <w:t>2,841,390</w:t>
            </w:r>
          </w:p>
        </w:tc>
      </w:tr>
      <w:tr w:rsidR="00DC5BE9" w:rsidRPr="003E2D55" w14:paraId="50730FC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6675178" w14:textId="77777777" w:rsidR="00DC5BE9" w:rsidRPr="003E2D55" w:rsidRDefault="00DC5BE9" w:rsidP="00DC5BE9">
            <w:pPr>
              <w:spacing w:before="40" w:after="40"/>
              <w:rPr>
                <w:rFonts w:cs="Arial"/>
                <w:sz w:val="18"/>
                <w:szCs w:val="18"/>
              </w:rPr>
            </w:pPr>
            <w:r w:rsidRPr="003E2D55">
              <w:rPr>
                <w:rFonts w:cs="Arial"/>
                <w:sz w:val="18"/>
                <w:szCs w:val="18"/>
              </w:rPr>
              <w:t>Bayside C</w:t>
            </w:r>
          </w:p>
        </w:tc>
        <w:tc>
          <w:tcPr>
            <w:tcW w:w="1361" w:type="dxa"/>
            <w:tcBorders>
              <w:top w:val="nil"/>
              <w:left w:val="single" w:sz="18" w:space="0" w:color="5F497A" w:themeColor="accent4" w:themeShade="BF"/>
              <w:bottom w:val="nil"/>
              <w:right w:val="nil"/>
            </w:tcBorders>
            <w:vAlign w:val="bottom"/>
          </w:tcPr>
          <w:p w14:paraId="74AD535D" w14:textId="7D7024AB" w:rsidR="00DC5BE9" w:rsidRPr="003E2D55" w:rsidRDefault="00DC5BE9" w:rsidP="00DC5BE9">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386410D8" w14:textId="523BA676" w:rsidR="00DC5BE9" w:rsidRPr="003E2D55" w:rsidRDefault="00DC5BE9" w:rsidP="00DC5BE9">
            <w:pPr>
              <w:spacing w:before="40" w:after="40"/>
              <w:jc w:val="right"/>
              <w:rPr>
                <w:rFonts w:cs="Arial"/>
                <w:sz w:val="18"/>
                <w:szCs w:val="18"/>
              </w:rPr>
            </w:pPr>
            <w:r w:rsidRPr="003E2D55">
              <w:rPr>
                <w:rFonts w:cs="Arial"/>
                <w:sz w:val="18"/>
                <w:szCs w:val="18"/>
              </w:rPr>
              <w:t>129,960</w:t>
            </w:r>
          </w:p>
        </w:tc>
        <w:tc>
          <w:tcPr>
            <w:tcW w:w="1701" w:type="dxa"/>
            <w:tcBorders>
              <w:top w:val="nil"/>
              <w:left w:val="nil"/>
              <w:bottom w:val="nil"/>
              <w:right w:val="nil"/>
            </w:tcBorders>
            <w:shd w:val="clear" w:color="auto" w:fill="auto"/>
            <w:vAlign w:val="bottom"/>
          </w:tcPr>
          <w:p w14:paraId="71E70442" w14:textId="556DDDE6" w:rsidR="00DC5BE9" w:rsidRPr="003E2D55" w:rsidRDefault="00DC5BE9" w:rsidP="00DC5BE9">
            <w:pPr>
              <w:spacing w:before="40" w:after="40"/>
              <w:jc w:val="right"/>
              <w:rPr>
                <w:rFonts w:cs="Arial"/>
                <w:sz w:val="18"/>
                <w:szCs w:val="18"/>
              </w:rPr>
            </w:pPr>
            <w:r w:rsidRPr="003E2D55">
              <w:rPr>
                <w:rFonts w:cs="Arial"/>
                <w:sz w:val="18"/>
                <w:szCs w:val="18"/>
              </w:rPr>
              <w:t>3,458,876</w:t>
            </w:r>
          </w:p>
        </w:tc>
        <w:tc>
          <w:tcPr>
            <w:tcW w:w="284" w:type="dxa"/>
            <w:tcBorders>
              <w:top w:val="nil"/>
              <w:left w:val="nil"/>
              <w:bottom w:val="nil"/>
              <w:right w:val="nil"/>
            </w:tcBorders>
            <w:vAlign w:val="bottom"/>
          </w:tcPr>
          <w:p w14:paraId="0609F770" w14:textId="72E6A302"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469B575B" w14:textId="1508777E" w:rsidR="00DC5BE9" w:rsidRPr="003E2D55" w:rsidRDefault="00DC5BE9" w:rsidP="00DC5BE9">
            <w:pPr>
              <w:spacing w:before="40" w:after="40"/>
              <w:jc w:val="right"/>
              <w:rPr>
                <w:rFonts w:cs="Arial"/>
                <w:b/>
                <w:sz w:val="18"/>
                <w:szCs w:val="18"/>
              </w:rPr>
            </w:pPr>
            <w:r w:rsidRPr="003E2D55">
              <w:rPr>
                <w:rFonts w:cs="Arial"/>
                <w:b/>
                <w:sz w:val="18"/>
                <w:szCs w:val="18"/>
              </w:rPr>
              <w:t>583,440</w:t>
            </w:r>
          </w:p>
        </w:tc>
      </w:tr>
      <w:tr w:rsidR="00DC5BE9" w:rsidRPr="003E2D55" w14:paraId="50382D0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9323231" w14:textId="77777777" w:rsidR="00DC5BE9" w:rsidRPr="003E2D55" w:rsidRDefault="00DC5BE9" w:rsidP="00DC5BE9">
            <w:pPr>
              <w:spacing w:before="40" w:after="40"/>
              <w:rPr>
                <w:rFonts w:cs="Arial"/>
                <w:sz w:val="18"/>
                <w:szCs w:val="18"/>
              </w:rPr>
            </w:pPr>
            <w:r w:rsidRPr="003E2D55">
              <w:rPr>
                <w:rFonts w:cs="Arial"/>
                <w:sz w:val="18"/>
                <w:szCs w:val="18"/>
              </w:rPr>
              <w:t>Benalla RC</w:t>
            </w:r>
          </w:p>
        </w:tc>
        <w:tc>
          <w:tcPr>
            <w:tcW w:w="1361" w:type="dxa"/>
            <w:tcBorders>
              <w:top w:val="nil"/>
              <w:left w:val="single" w:sz="18" w:space="0" w:color="5F497A" w:themeColor="accent4" w:themeShade="BF"/>
              <w:bottom w:val="nil"/>
              <w:right w:val="nil"/>
            </w:tcBorders>
            <w:vAlign w:val="bottom"/>
          </w:tcPr>
          <w:p w14:paraId="45BC7245" w14:textId="00DCE8AE" w:rsidR="00DC5BE9" w:rsidRPr="003E2D55" w:rsidRDefault="00DC5BE9" w:rsidP="00DC5BE9">
            <w:pPr>
              <w:spacing w:before="40" w:after="40"/>
              <w:jc w:val="right"/>
              <w:rPr>
                <w:rFonts w:cs="Arial"/>
                <w:sz w:val="18"/>
                <w:szCs w:val="18"/>
              </w:rPr>
            </w:pPr>
            <w:r w:rsidRPr="003E2D55">
              <w:rPr>
                <w:rFonts w:cs="Arial"/>
                <w:sz w:val="18"/>
                <w:szCs w:val="18"/>
              </w:rPr>
              <w:t>12,800</w:t>
            </w:r>
          </w:p>
        </w:tc>
        <w:tc>
          <w:tcPr>
            <w:tcW w:w="1361" w:type="dxa"/>
            <w:tcBorders>
              <w:top w:val="nil"/>
              <w:left w:val="nil"/>
              <w:bottom w:val="nil"/>
              <w:right w:val="nil"/>
            </w:tcBorders>
            <w:vAlign w:val="bottom"/>
          </w:tcPr>
          <w:p w14:paraId="69788D31" w14:textId="35D70EC3" w:rsidR="00DC5BE9" w:rsidRPr="003E2D55" w:rsidRDefault="00DC5BE9" w:rsidP="00DC5BE9">
            <w:pPr>
              <w:spacing w:before="40" w:after="40"/>
              <w:jc w:val="right"/>
              <w:rPr>
                <w:rFonts w:cs="Arial"/>
                <w:sz w:val="18"/>
                <w:szCs w:val="18"/>
              </w:rPr>
            </w:pPr>
            <w:r w:rsidRPr="003E2D55">
              <w:rPr>
                <w:rFonts w:cs="Arial"/>
                <w:sz w:val="18"/>
                <w:szCs w:val="18"/>
              </w:rPr>
              <w:t>909,120</w:t>
            </w:r>
          </w:p>
        </w:tc>
        <w:tc>
          <w:tcPr>
            <w:tcW w:w="1701" w:type="dxa"/>
            <w:tcBorders>
              <w:top w:val="nil"/>
              <w:left w:val="nil"/>
              <w:bottom w:val="nil"/>
              <w:right w:val="nil"/>
            </w:tcBorders>
            <w:shd w:val="clear" w:color="auto" w:fill="auto"/>
            <w:vAlign w:val="bottom"/>
          </w:tcPr>
          <w:p w14:paraId="50CD7F9E" w14:textId="165E277C" w:rsidR="00DC5BE9" w:rsidRPr="003E2D55" w:rsidRDefault="00DC5BE9" w:rsidP="00DC5BE9">
            <w:pPr>
              <w:spacing w:before="40" w:after="40"/>
              <w:jc w:val="right"/>
              <w:rPr>
                <w:rFonts w:cs="Arial"/>
                <w:sz w:val="18"/>
                <w:szCs w:val="18"/>
              </w:rPr>
            </w:pPr>
            <w:r w:rsidRPr="003E2D55">
              <w:rPr>
                <w:rFonts w:cs="Arial"/>
                <w:sz w:val="18"/>
                <w:szCs w:val="18"/>
              </w:rPr>
              <w:t>8,967,468</w:t>
            </w:r>
          </w:p>
        </w:tc>
        <w:tc>
          <w:tcPr>
            <w:tcW w:w="284" w:type="dxa"/>
            <w:tcBorders>
              <w:top w:val="nil"/>
              <w:left w:val="nil"/>
              <w:bottom w:val="nil"/>
              <w:right w:val="nil"/>
            </w:tcBorders>
            <w:vAlign w:val="bottom"/>
          </w:tcPr>
          <w:p w14:paraId="37FD30D1" w14:textId="351D7A6B"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76A5C309" w14:textId="46EE2174" w:rsidR="00DC5BE9" w:rsidRPr="003E2D55" w:rsidRDefault="00DC5BE9" w:rsidP="00DC5BE9">
            <w:pPr>
              <w:spacing w:before="40" w:after="40"/>
              <w:jc w:val="right"/>
              <w:rPr>
                <w:rFonts w:cs="Arial"/>
                <w:b/>
                <w:sz w:val="18"/>
                <w:szCs w:val="18"/>
              </w:rPr>
            </w:pPr>
            <w:r w:rsidRPr="003E2D55">
              <w:rPr>
                <w:rFonts w:cs="Arial"/>
                <w:b/>
                <w:sz w:val="18"/>
                <w:szCs w:val="18"/>
              </w:rPr>
              <w:t>1,512,625</w:t>
            </w:r>
          </w:p>
        </w:tc>
      </w:tr>
      <w:tr w:rsidR="00DC5BE9" w:rsidRPr="003E2D55" w14:paraId="6E3ACFD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62429A8" w14:textId="77777777" w:rsidR="00DC5BE9" w:rsidRPr="003E2D55" w:rsidRDefault="00DC5BE9" w:rsidP="00DC5BE9">
            <w:pPr>
              <w:spacing w:before="40" w:after="40"/>
              <w:rPr>
                <w:rFonts w:cs="Arial"/>
                <w:sz w:val="18"/>
                <w:szCs w:val="18"/>
              </w:rPr>
            </w:pPr>
            <w:r w:rsidRPr="003E2D55">
              <w:rPr>
                <w:rFonts w:cs="Arial"/>
                <w:sz w:val="18"/>
                <w:szCs w:val="18"/>
              </w:rPr>
              <w:t>Boroondara C</w:t>
            </w:r>
          </w:p>
        </w:tc>
        <w:tc>
          <w:tcPr>
            <w:tcW w:w="1361" w:type="dxa"/>
            <w:tcBorders>
              <w:top w:val="nil"/>
              <w:left w:val="single" w:sz="18" w:space="0" w:color="5F497A" w:themeColor="accent4" w:themeShade="BF"/>
              <w:bottom w:val="nil"/>
              <w:right w:val="nil"/>
            </w:tcBorders>
            <w:vAlign w:val="bottom"/>
          </w:tcPr>
          <w:p w14:paraId="045EC9C8" w14:textId="38863D07" w:rsidR="00DC5BE9" w:rsidRPr="003E2D55" w:rsidRDefault="00DC5BE9" w:rsidP="00DC5BE9">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436FB687" w14:textId="10DFFFE0" w:rsidR="00DC5BE9" w:rsidRPr="003E2D55" w:rsidRDefault="00DC5BE9" w:rsidP="00DC5BE9">
            <w:pPr>
              <w:spacing w:before="40" w:after="40"/>
              <w:jc w:val="right"/>
              <w:rPr>
                <w:rFonts w:cs="Arial"/>
                <w:sz w:val="18"/>
                <w:szCs w:val="18"/>
              </w:rPr>
            </w:pPr>
            <w:r w:rsidRPr="003E2D55">
              <w:rPr>
                <w:rFonts w:cs="Arial"/>
                <w:sz w:val="18"/>
                <w:szCs w:val="18"/>
              </w:rPr>
              <w:t>252,960</w:t>
            </w:r>
          </w:p>
        </w:tc>
        <w:tc>
          <w:tcPr>
            <w:tcW w:w="1701" w:type="dxa"/>
            <w:tcBorders>
              <w:top w:val="nil"/>
              <w:left w:val="nil"/>
              <w:bottom w:val="nil"/>
              <w:right w:val="nil"/>
            </w:tcBorders>
            <w:shd w:val="clear" w:color="auto" w:fill="auto"/>
            <w:vAlign w:val="bottom"/>
          </w:tcPr>
          <w:p w14:paraId="2FBA2DB7" w14:textId="7C67EF0A" w:rsidR="00DC5BE9" w:rsidRPr="003E2D55" w:rsidRDefault="00DC5BE9" w:rsidP="00DC5BE9">
            <w:pPr>
              <w:spacing w:before="40" w:after="40"/>
              <w:jc w:val="right"/>
              <w:rPr>
                <w:rFonts w:cs="Arial"/>
                <w:sz w:val="18"/>
                <w:szCs w:val="18"/>
              </w:rPr>
            </w:pPr>
            <w:r w:rsidRPr="003E2D55">
              <w:rPr>
                <w:rFonts w:cs="Arial"/>
                <w:sz w:val="18"/>
                <w:szCs w:val="18"/>
              </w:rPr>
              <w:t>5,537,185</w:t>
            </w:r>
          </w:p>
        </w:tc>
        <w:tc>
          <w:tcPr>
            <w:tcW w:w="284" w:type="dxa"/>
            <w:tcBorders>
              <w:top w:val="nil"/>
              <w:left w:val="nil"/>
              <w:bottom w:val="nil"/>
              <w:right w:val="nil"/>
            </w:tcBorders>
            <w:vAlign w:val="bottom"/>
          </w:tcPr>
          <w:p w14:paraId="3B485A93" w14:textId="3A4A5B74"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147882B3" w14:textId="51A33EB1" w:rsidR="00DC5BE9" w:rsidRPr="003E2D55" w:rsidRDefault="00DC5BE9" w:rsidP="00DC5BE9">
            <w:pPr>
              <w:spacing w:before="40" w:after="40"/>
              <w:jc w:val="right"/>
              <w:rPr>
                <w:rFonts w:cs="Arial"/>
                <w:b/>
                <w:sz w:val="18"/>
                <w:szCs w:val="18"/>
              </w:rPr>
            </w:pPr>
            <w:r w:rsidRPr="003E2D55">
              <w:rPr>
                <w:rFonts w:cs="Arial"/>
                <w:b/>
                <w:sz w:val="18"/>
                <w:szCs w:val="18"/>
              </w:rPr>
              <w:t>934,008</w:t>
            </w:r>
          </w:p>
        </w:tc>
      </w:tr>
      <w:tr w:rsidR="00DC5BE9" w:rsidRPr="003E2D55" w14:paraId="113C5BE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1452C06" w14:textId="77777777" w:rsidR="00DC5BE9" w:rsidRPr="003E2D55" w:rsidRDefault="00DC5BE9" w:rsidP="00DC5BE9">
            <w:pPr>
              <w:spacing w:before="40" w:after="40"/>
              <w:rPr>
                <w:rFonts w:cs="Arial"/>
                <w:sz w:val="18"/>
                <w:szCs w:val="18"/>
              </w:rPr>
            </w:pPr>
            <w:r w:rsidRPr="003E2D55">
              <w:rPr>
                <w:rFonts w:cs="Arial"/>
                <w:sz w:val="18"/>
                <w:szCs w:val="18"/>
              </w:rPr>
              <w:t>Brimbank C</w:t>
            </w:r>
          </w:p>
        </w:tc>
        <w:tc>
          <w:tcPr>
            <w:tcW w:w="1361" w:type="dxa"/>
            <w:tcBorders>
              <w:top w:val="nil"/>
              <w:left w:val="single" w:sz="18" w:space="0" w:color="5F497A" w:themeColor="accent4" w:themeShade="BF"/>
              <w:bottom w:val="nil"/>
              <w:right w:val="nil"/>
            </w:tcBorders>
            <w:vAlign w:val="bottom"/>
          </w:tcPr>
          <w:p w14:paraId="35B6BAD2" w14:textId="7EA8E610" w:rsidR="00DC5BE9" w:rsidRPr="003E2D55" w:rsidRDefault="00DC5BE9" w:rsidP="00DC5BE9">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3E29DF8F" w14:textId="308EE4E1" w:rsidR="00DC5BE9" w:rsidRPr="003E2D55" w:rsidRDefault="00DC5BE9" w:rsidP="00DC5BE9">
            <w:pPr>
              <w:spacing w:before="40" w:after="40"/>
              <w:jc w:val="right"/>
              <w:rPr>
                <w:rFonts w:cs="Arial"/>
                <w:sz w:val="18"/>
                <w:szCs w:val="18"/>
              </w:rPr>
            </w:pPr>
            <w:r w:rsidRPr="003E2D55">
              <w:rPr>
                <w:rFonts w:cs="Arial"/>
                <w:sz w:val="18"/>
                <w:szCs w:val="18"/>
              </w:rPr>
              <w:t>722,160</w:t>
            </w:r>
          </w:p>
        </w:tc>
        <w:tc>
          <w:tcPr>
            <w:tcW w:w="1701" w:type="dxa"/>
            <w:tcBorders>
              <w:top w:val="nil"/>
              <w:left w:val="nil"/>
              <w:bottom w:val="nil"/>
              <w:right w:val="nil"/>
            </w:tcBorders>
            <w:shd w:val="clear" w:color="auto" w:fill="auto"/>
            <w:vAlign w:val="bottom"/>
          </w:tcPr>
          <w:p w14:paraId="67723F8C" w14:textId="74EF6952" w:rsidR="00DC5BE9" w:rsidRPr="003E2D55" w:rsidRDefault="00DC5BE9" w:rsidP="00DC5BE9">
            <w:pPr>
              <w:spacing w:before="40" w:after="40"/>
              <w:jc w:val="right"/>
              <w:rPr>
                <w:rFonts w:cs="Arial"/>
                <w:sz w:val="18"/>
                <w:szCs w:val="18"/>
              </w:rPr>
            </w:pPr>
            <w:r w:rsidRPr="003E2D55">
              <w:rPr>
                <w:rFonts w:cs="Arial"/>
                <w:sz w:val="18"/>
                <w:szCs w:val="18"/>
              </w:rPr>
              <w:t>10,561,446</w:t>
            </w:r>
          </w:p>
        </w:tc>
        <w:tc>
          <w:tcPr>
            <w:tcW w:w="284" w:type="dxa"/>
            <w:tcBorders>
              <w:top w:val="nil"/>
              <w:left w:val="nil"/>
              <w:bottom w:val="nil"/>
              <w:right w:val="nil"/>
            </w:tcBorders>
            <w:vAlign w:val="bottom"/>
          </w:tcPr>
          <w:p w14:paraId="3E043EBE" w14:textId="1FA869F9"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24FCCC75" w14:textId="1AF6409D" w:rsidR="00DC5BE9" w:rsidRPr="003E2D55" w:rsidRDefault="00DC5BE9" w:rsidP="00DC5BE9">
            <w:pPr>
              <w:spacing w:before="40" w:after="40"/>
              <w:jc w:val="right"/>
              <w:rPr>
                <w:rFonts w:cs="Arial"/>
                <w:b/>
                <w:sz w:val="18"/>
                <w:szCs w:val="18"/>
              </w:rPr>
            </w:pPr>
            <w:r w:rsidRPr="003E2D55">
              <w:rPr>
                <w:rFonts w:cs="Arial"/>
                <w:b/>
                <w:sz w:val="18"/>
                <w:szCs w:val="18"/>
              </w:rPr>
              <w:t>1,781,496</w:t>
            </w:r>
          </w:p>
        </w:tc>
      </w:tr>
      <w:tr w:rsidR="00DC5BE9" w:rsidRPr="003E2D55" w14:paraId="1BD197C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39D8321" w14:textId="77777777" w:rsidR="00DC5BE9" w:rsidRPr="003E2D55" w:rsidRDefault="00DC5BE9" w:rsidP="00DC5BE9">
            <w:pPr>
              <w:spacing w:before="40" w:after="40"/>
              <w:rPr>
                <w:rFonts w:cs="Arial"/>
                <w:sz w:val="18"/>
                <w:szCs w:val="18"/>
              </w:rPr>
            </w:pPr>
            <w:r w:rsidRPr="003E2D55">
              <w:rPr>
                <w:rFonts w:cs="Arial"/>
                <w:sz w:val="18"/>
                <w:szCs w:val="18"/>
              </w:rPr>
              <w:t>Buloke S</w:t>
            </w:r>
          </w:p>
        </w:tc>
        <w:tc>
          <w:tcPr>
            <w:tcW w:w="1361" w:type="dxa"/>
            <w:tcBorders>
              <w:top w:val="nil"/>
              <w:left w:val="single" w:sz="18" w:space="0" w:color="5F497A" w:themeColor="accent4" w:themeShade="BF"/>
              <w:bottom w:val="nil"/>
              <w:right w:val="nil"/>
            </w:tcBorders>
            <w:vAlign w:val="bottom"/>
          </w:tcPr>
          <w:p w14:paraId="5CBC7243" w14:textId="741981A0" w:rsidR="00DC5BE9" w:rsidRPr="003E2D55" w:rsidRDefault="00DC5BE9" w:rsidP="00DC5BE9">
            <w:pPr>
              <w:spacing w:before="40" w:after="40"/>
              <w:jc w:val="right"/>
              <w:rPr>
                <w:rFonts w:cs="Arial"/>
                <w:sz w:val="18"/>
                <w:szCs w:val="18"/>
              </w:rPr>
            </w:pPr>
            <w:r w:rsidRPr="003E2D55">
              <w:rPr>
                <w:rFonts w:cs="Arial"/>
                <w:sz w:val="18"/>
                <w:szCs w:val="18"/>
              </w:rPr>
              <w:t>9,600</w:t>
            </w:r>
          </w:p>
        </w:tc>
        <w:tc>
          <w:tcPr>
            <w:tcW w:w="1361" w:type="dxa"/>
            <w:tcBorders>
              <w:top w:val="nil"/>
              <w:left w:val="nil"/>
              <w:bottom w:val="nil"/>
              <w:right w:val="nil"/>
            </w:tcBorders>
            <w:vAlign w:val="bottom"/>
          </w:tcPr>
          <w:p w14:paraId="4478560C" w14:textId="118ED8FB" w:rsidR="00DC5BE9" w:rsidRPr="003E2D55" w:rsidRDefault="00DC5BE9" w:rsidP="00DC5BE9">
            <w:pPr>
              <w:spacing w:before="40" w:after="40"/>
              <w:jc w:val="right"/>
              <w:rPr>
                <w:rFonts w:cs="Arial"/>
                <w:sz w:val="18"/>
                <w:szCs w:val="18"/>
              </w:rPr>
            </w:pPr>
            <w:r w:rsidRPr="003E2D55">
              <w:rPr>
                <w:rFonts w:cs="Arial"/>
                <w:sz w:val="18"/>
                <w:szCs w:val="18"/>
              </w:rPr>
              <w:t>300,720</w:t>
            </w:r>
          </w:p>
        </w:tc>
        <w:tc>
          <w:tcPr>
            <w:tcW w:w="1701" w:type="dxa"/>
            <w:tcBorders>
              <w:top w:val="nil"/>
              <w:left w:val="nil"/>
              <w:bottom w:val="nil"/>
              <w:right w:val="nil"/>
            </w:tcBorders>
            <w:shd w:val="clear" w:color="auto" w:fill="auto"/>
            <w:vAlign w:val="bottom"/>
          </w:tcPr>
          <w:p w14:paraId="5789DECD" w14:textId="3026C06B" w:rsidR="00DC5BE9" w:rsidRPr="003E2D55" w:rsidRDefault="00DC5BE9" w:rsidP="00DC5BE9">
            <w:pPr>
              <w:spacing w:before="40" w:after="40"/>
              <w:jc w:val="right"/>
              <w:rPr>
                <w:rFonts w:cs="Arial"/>
                <w:sz w:val="18"/>
                <w:szCs w:val="18"/>
              </w:rPr>
            </w:pPr>
            <w:r w:rsidRPr="003E2D55">
              <w:rPr>
                <w:rFonts w:cs="Arial"/>
                <w:sz w:val="18"/>
                <w:szCs w:val="18"/>
              </w:rPr>
              <w:t>14,917,508</w:t>
            </w:r>
          </w:p>
        </w:tc>
        <w:tc>
          <w:tcPr>
            <w:tcW w:w="284" w:type="dxa"/>
            <w:tcBorders>
              <w:top w:val="nil"/>
              <w:left w:val="nil"/>
              <w:bottom w:val="nil"/>
              <w:right w:val="nil"/>
            </w:tcBorders>
            <w:vAlign w:val="bottom"/>
          </w:tcPr>
          <w:p w14:paraId="2FB6D0A0" w14:textId="59B09B4A"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5F355382" w14:textId="67425E97" w:rsidR="00DC5BE9" w:rsidRPr="003E2D55" w:rsidRDefault="00DC5BE9" w:rsidP="00DC5BE9">
            <w:pPr>
              <w:spacing w:before="40" w:after="40"/>
              <w:jc w:val="right"/>
              <w:rPr>
                <w:rFonts w:cs="Arial"/>
                <w:b/>
                <w:sz w:val="18"/>
                <w:szCs w:val="18"/>
              </w:rPr>
            </w:pPr>
            <w:r w:rsidRPr="003E2D55">
              <w:rPr>
                <w:rFonts w:cs="Arial"/>
                <w:b/>
                <w:sz w:val="18"/>
                <w:szCs w:val="18"/>
              </w:rPr>
              <w:t>2,516,273</w:t>
            </w:r>
          </w:p>
        </w:tc>
      </w:tr>
      <w:tr w:rsidR="00DC5BE9" w:rsidRPr="003E2D55" w14:paraId="7CE8AF0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2B8F9FF" w14:textId="77777777" w:rsidR="00DC5BE9" w:rsidRPr="003E2D55" w:rsidRDefault="00DC5BE9" w:rsidP="00DC5BE9">
            <w:pPr>
              <w:spacing w:before="40" w:after="40"/>
              <w:rPr>
                <w:rFonts w:cs="Arial"/>
                <w:sz w:val="18"/>
                <w:szCs w:val="18"/>
              </w:rPr>
            </w:pPr>
            <w:r w:rsidRPr="003E2D55">
              <w:rPr>
                <w:rFonts w:cs="Arial"/>
                <w:sz w:val="18"/>
                <w:szCs w:val="18"/>
              </w:rPr>
              <w:t>Campaspe S</w:t>
            </w:r>
          </w:p>
        </w:tc>
        <w:tc>
          <w:tcPr>
            <w:tcW w:w="1361" w:type="dxa"/>
            <w:tcBorders>
              <w:top w:val="nil"/>
              <w:left w:val="single" w:sz="18" w:space="0" w:color="5F497A" w:themeColor="accent4" w:themeShade="BF"/>
              <w:bottom w:val="nil"/>
              <w:right w:val="nil"/>
            </w:tcBorders>
            <w:vAlign w:val="bottom"/>
          </w:tcPr>
          <w:p w14:paraId="1D5B8EC5" w14:textId="7833B898" w:rsidR="00DC5BE9" w:rsidRPr="003E2D55" w:rsidRDefault="00DC5BE9" w:rsidP="00DC5BE9">
            <w:pPr>
              <w:spacing w:before="40" w:after="40"/>
              <w:jc w:val="right"/>
              <w:rPr>
                <w:rFonts w:cs="Arial"/>
                <w:sz w:val="18"/>
                <w:szCs w:val="18"/>
              </w:rPr>
            </w:pPr>
            <w:r w:rsidRPr="003E2D55">
              <w:rPr>
                <w:rFonts w:cs="Arial"/>
                <w:sz w:val="18"/>
                <w:szCs w:val="18"/>
              </w:rPr>
              <w:t>87,600</w:t>
            </w:r>
          </w:p>
        </w:tc>
        <w:tc>
          <w:tcPr>
            <w:tcW w:w="1361" w:type="dxa"/>
            <w:tcBorders>
              <w:top w:val="nil"/>
              <w:left w:val="nil"/>
              <w:bottom w:val="nil"/>
              <w:right w:val="nil"/>
            </w:tcBorders>
            <w:vAlign w:val="bottom"/>
          </w:tcPr>
          <w:p w14:paraId="5C80DAF4" w14:textId="733D9514" w:rsidR="00DC5BE9" w:rsidRPr="003E2D55" w:rsidRDefault="00DC5BE9" w:rsidP="00DC5BE9">
            <w:pPr>
              <w:spacing w:before="40" w:after="40"/>
              <w:jc w:val="right"/>
              <w:rPr>
                <w:rFonts w:cs="Arial"/>
                <w:sz w:val="18"/>
                <w:szCs w:val="18"/>
              </w:rPr>
            </w:pPr>
            <w:r w:rsidRPr="003E2D55">
              <w:rPr>
                <w:rFonts w:cs="Arial"/>
                <w:sz w:val="18"/>
                <w:szCs w:val="18"/>
              </w:rPr>
              <w:t>846,360</w:t>
            </w:r>
          </w:p>
        </w:tc>
        <w:tc>
          <w:tcPr>
            <w:tcW w:w="1701" w:type="dxa"/>
            <w:tcBorders>
              <w:top w:val="nil"/>
              <w:left w:val="nil"/>
              <w:bottom w:val="nil"/>
              <w:right w:val="nil"/>
            </w:tcBorders>
            <w:shd w:val="clear" w:color="auto" w:fill="auto"/>
            <w:vAlign w:val="bottom"/>
          </w:tcPr>
          <w:p w14:paraId="565CB61B" w14:textId="1C8D15D5" w:rsidR="00DC5BE9" w:rsidRPr="003E2D55" w:rsidRDefault="00DC5BE9" w:rsidP="00DC5BE9">
            <w:pPr>
              <w:spacing w:before="40" w:after="40"/>
              <w:jc w:val="right"/>
              <w:rPr>
                <w:rFonts w:cs="Arial"/>
                <w:sz w:val="18"/>
                <w:szCs w:val="18"/>
              </w:rPr>
            </w:pPr>
            <w:r w:rsidRPr="003E2D55">
              <w:rPr>
                <w:rFonts w:cs="Arial"/>
                <w:sz w:val="18"/>
                <w:szCs w:val="18"/>
              </w:rPr>
              <w:t>24,597,113</w:t>
            </w:r>
          </w:p>
        </w:tc>
        <w:tc>
          <w:tcPr>
            <w:tcW w:w="284" w:type="dxa"/>
            <w:tcBorders>
              <w:top w:val="nil"/>
              <w:left w:val="nil"/>
              <w:bottom w:val="nil"/>
              <w:right w:val="nil"/>
            </w:tcBorders>
            <w:vAlign w:val="bottom"/>
          </w:tcPr>
          <w:p w14:paraId="084F2256" w14:textId="6B8B3FB4"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3DC30020" w14:textId="5817C67D" w:rsidR="00DC5BE9" w:rsidRPr="003E2D55" w:rsidRDefault="00DC5BE9" w:rsidP="00DC5BE9">
            <w:pPr>
              <w:spacing w:before="40" w:after="40"/>
              <w:jc w:val="right"/>
              <w:rPr>
                <w:rFonts w:cs="Arial"/>
                <w:b/>
                <w:sz w:val="18"/>
                <w:szCs w:val="18"/>
              </w:rPr>
            </w:pPr>
            <w:r w:rsidRPr="003E2D55">
              <w:rPr>
                <w:rFonts w:cs="Arial"/>
                <w:b/>
                <w:sz w:val="18"/>
                <w:szCs w:val="18"/>
              </w:rPr>
              <w:t>4,149,021</w:t>
            </w:r>
          </w:p>
        </w:tc>
      </w:tr>
      <w:tr w:rsidR="00DC5BE9" w:rsidRPr="003E2D55" w14:paraId="4770A36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590875A" w14:textId="77777777" w:rsidR="00DC5BE9" w:rsidRPr="003E2D55" w:rsidRDefault="00DC5BE9" w:rsidP="00DC5BE9">
            <w:pPr>
              <w:spacing w:before="40" w:after="40"/>
              <w:rPr>
                <w:rFonts w:cs="Arial"/>
                <w:sz w:val="18"/>
                <w:szCs w:val="18"/>
              </w:rPr>
            </w:pPr>
            <w:r w:rsidRPr="003E2D55">
              <w:rPr>
                <w:rFonts w:cs="Arial"/>
                <w:sz w:val="18"/>
                <w:szCs w:val="18"/>
              </w:rPr>
              <w:t>Cardinia S</w:t>
            </w:r>
          </w:p>
        </w:tc>
        <w:tc>
          <w:tcPr>
            <w:tcW w:w="1361" w:type="dxa"/>
            <w:tcBorders>
              <w:top w:val="nil"/>
              <w:left w:val="single" w:sz="18" w:space="0" w:color="5F497A" w:themeColor="accent4" w:themeShade="BF"/>
              <w:bottom w:val="nil"/>
              <w:right w:val="nil"/>
            </w:tcBorders>
            <w:vAlign w:val="bottom"/>
          </w:tcPr>
          <w:p w14:paraId="14A54477" w14:textId="23268B0B" w:rsidR="00DC5BE9" w:rsidRPr="003E2D55" w:rsidRDefault="00DC5BE9" w:rsidP="00DC5BE9">
            <w:pPr>
              <w:spacing w:before="40" w:after="40"/>
              <w:jc w:val="right"/>
              <w:rPr>
                <w:rFonts w:cs="Arial"/>
                <w:sz w:val="18"/>
                <w:szCs w:val="18"/>
              </w:rPr>
            </w:pPr>
            <w:r w:rsidRPr="003E2D55">
              <w:rPr>
                <w:rFonts w:cs="Arial"/>
                <w:sz w:val="18"/>
                <w:szCs w:val="18"/>
              </w:rPr>
              <w:t>79,800</w:t>
            </w:r>
          </w:p>
        </w:tc>
        <w:tc>
          <w:tcPr>
            <w:tcW w:w="1361" w:type="dxa"/>
            <w:tcBorders>
              <w:top w:val="nil"/>
              <w:left w:val="nil"/>
              <w:bottom w:val="nil"/>
              <w:right w:val="nil"/>
            </w:tcBorders>
            <w:vAlign w:val="bottom"/>
          </w:tcPr>
          <w:p w14:paraId="2340489F" w14:textId="18B0F27A" w:rsidR="00DC5BE9" w:rsidRPr="003E2D55" w:rsidRDefault="00DC5BE9" w:rsidP="00DC5BE9">
            <w:pPr>
              <w:spacing w:before="40" w:after="40"/>
              <w:jc w:val="right"/>
              <w:rPr>
                <w:rFonts w:cs="Arial"/>
                <w:sz w:val="18"/>
                <w:szCs w:val="18"/>
              </w:rPr>
            </w:pPr>
            <w:r w:rsidRPr="003E2D55">
              <w:rPr>
                <w:rFonts w:cs="Arial"/>
                <w:sz w:val="18"/>
                <w:szCs w:val="18"/>
              </w:rPr>
              <w:t>1,625,520</w:t>
            </w:r>
          </w:p>
        </w:tc>
        <w:tc>
          <w:tcPr>
            <w:tcW w:w="1701" w:type="dxa"/>
            <w:tcBorders>
              <w:top w:val="nil"/>
              <w:left w:val="nil"/>
              <w:bottom w:val="nil"/>
              <w:right w:val="nil"/>
            </w:tcBorders>
            <w:shd w:val="clear" w:color="auto" w:fill="auto"/>
            <w:vAlign w:val="bottom"/>
          </w:tcPr>
          <w:p w14:paraId="742EC8DC" w14:textId="5752DEC0" w:rsidR="00DC5BE9" w:rsidRPr="003E2D55" w:rsidRDefault="00DC5BE9" w:rsidP="00DC5BE9">
            <w:pPr>
              <w:spacing w:before="40" w:after="40"/>
              <w:jc w:val="right"/>
              <w:rPr>
                <w:rFonts w:cs="Arial"/>
                <w:sz w:val="18"/>
                <w:szCs w:val="18"/>
              </w:rPr>
            </w:pPr>
            <w:r w:rsidRPr="003E2D55">
              <w:rPr>
                <w:rFonts w:cs="Arial"/>
                <w:sz w:val="18"/>
                <w:szCs w:val="18"/>
              </w:rPr>
              <w:t>15,926,670</w:t>
            </w:r>
          </w:p>
        </w:tc>
        <w:tc>
          <w:tcPr>
            <w:tcW w:w="284" w:type="dxa"/>
            <w:tcBorders>
              <w:top w:val="nil"/>
              <w:left w:val="nil"/>
              <w:bottom w:val="nil"/>
              <w:right w:val="nil"/>
            </w:tcBorders>
            <w:vAlign w:val="bottom"/>
          </w:tcPr>
          <w:p w14:paraId="0EB482E0" w14:textId="213860F1"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41DC9C9A" w14:textId="0AEBB454" w:rsidR="00DC5BE9" w:rsidRPr="003E2D55" w:rsidRDefault="00DC5BE9" w:rsidP="00DC5BE9">
            <w:pPr>
              <w:spacing w:before="40" w:after="40"/>
              <w:jc w:val="right"/>
              <w:rPr>
                <w:rFonts w:cs="Arial"/>
                <w:b/>
                <w:sz w:val="18"/>
                <w:szCs w:val="18"/>
              </w:rPr>
            </w:pPr>
            <w:r w:rsidRPr="003E2D55">
              <w:rPr>
                <w:rFonts w:cs="Arial"/>
                <w:b/>
                <w:sz w:val="18"/>
                <w:szCs w:val="18"/>
              </w:rPr>
              <w:t>2,686,498</w:t>
            </w:r>
          </w:p>
        </w:tc>
      </w:tr>
      <w:tr w:rsidR="00DC5BE9" w:rsidRPr="003E2D55" w14:paraId="3E9270A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7387523" w14:textId="77777777" w:rsidR="00DC5BE9" w:rsidRPr="003E2D55" w:rsidRDefault="00DC5BE9" w:rsidP="00DC5BE9">
            <w:pPr>
              <w:spacing w:before="40" w:after="40"/>
              <w:rPr>
                <w:rFonts w:cs="Arial"/>
                <w:sz w:val="18"/>
                <w:szCs w:val="18"/>
              </w:rPr>
            </w:pPr>
            <w:r w:rsidRPr="003E2D55">
              <w:rPr>
                <w:rFonts w:cs="Arial"/>
                <w:sz w:val="18"/>
                <w:szCs w:val="18"/>
              </w:rPr>
              <w:t>Casey C</w:t>
            </w:r>
          </w:p>
        </w:tc>
        <w:tc>
          <w:tcPr>
            <w:tcW w:w="1361" w:type="dxa"/>
            <w:tcBorders>
              <w:top w:val="nil"/>
              <w:left w:val="single" w:sz="18" w:space="0" w:color="5F497A" w:themeColor="accent4" w:themeShade="BF"/>
              <w:bottom w:val="nil"/>
              <w:right w:val="nil"/>
            </w:tcBorders>
            <w:vAlign w:val="bottom"/>
          </w:tcPr>
          <w:p w14:paraId="5BF2A2B2" w14:textId="0F71A587" w:rsidR="00DC5BE9" w:rsidRPr="003E2D55" w:rsidRDefault="00DC5BE9" w:rsidP="00DC5BE9">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06585E7C" w14:textId="15E7E990" w:rsidR="00DC5BE9" w:rsidRPr="003E2D55" w:rsidRDefault="00DC5BE9" w:rsidP="00DC5BE9">
            <w:pPr>
              <w:spacing w:before="40" w:after="40"/>
              <w:jc w:val="right"/>
              <w:rPr>
                <w:rFonts w:cs="Arial"/>
                <w:sz w:val="18"/>
                <w:szCs w:val="18"/>
              </w:rPr>
            </w:pPr>
            <w:r w:rsidRPr="003E2D55">
              <w:rPr>
                <w:rFonts w:cs="Arial"/>
                <w:sz w:val="18"/>
                <w:szCs w:val="18"/>
              </w:rPr>
              <w:t>457,320</w:t>
            </w:r>
          </w:p>
        </w:tc>
        <w:tc>
          <w:tcPr>
            <w:tcW w:w="1701" w:type="dxa"/>
            <w:tcBorders>
              <w:top w:val="nil"/>
              <w:left w:val="nil"/>
              <w:bottom w:val="nil"/>
              <w:right w:val="nil"/>
            </w:tcBorders>
            <w:shd w:val="clear" w:color="auto" w:fill="auto"/>
            <w:vAlign w:val="bottom"/>
          </w:tcPr>
          <w:p w14:paraId="072D6A08" w14:textId="7CF7F1A8" w:rsidR="00DC5BE9" w:rsidRPr="003E2D55" w:rsidRDefault="00DC5BE9" w:rsidP="00DC5BE9">
            <w:pPr>
              <w:spacing w:before="40" w:after="40"/>
              <w:jc w:val="right"/>
              <w:rPr>
                <w:rFonts w:cs="Arial"/>
                <w:sz w:val="18"/>
                <w:szCs w:val="18"/>
              </w:rPr>
            </w:pPr>
            <w:r w:rsidRPr="003E2D55">
              <w:rPr>
                <w:rFonts w:cs="Arial"/>
                <w:sz w:val="18"/>
                <w:szCs w:val="18"/>
              </w:rPr>
              <w:t>15,768,763</w:t>
            </w:r>
          </w:p>
        </w:tc>
        <w:tc>
          <w:tcPr>
            <w:tcW w:w="284" w:type="dxa"/>
            <w:tcBorders>
              <w:top w:val="nil"/>
              <w:left w:val="nil"/>
              <w:bottom w:val="nil"/>
              <w:right w:val="nil"/>
            </w:tcBorders>
            <w:vAlign w:val="bottom"/>
          </w:tcPr>
          <w:p w14:paraId="2646E8B0" w14:textId="4EFEAAA6"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7449641C" w14:textId="1AE57C72" w:rsidR="00DC5BE9" w:rsidRPr="003E2D55" w:rsidRDefault="00DC5BE9" w:rsidP="00DC5BE9">
            <w:pPr>
              <w:spacing w:before="40" w:after="40"/>
              <w:jc w:val="right"/>
              <w:rPr>
                <w:rFonts w:cs="Arial"/>
                <w:b/>
                <w:sz w:val="18"/>
                <w:szCs w:val="18"/>
              </w:rPr>
            </w:pPr>
            <w:r w:rsidRPr="003E2D55">
              <w:rPr>
                <w:rFonts w:cs="Arial"/>
                <w:b/>
                <w:sz w:val="18"/>
                <w:szCs w:val="18"/>
              </w:rPr>
              <w:t>2,659,862</w:t>
            </w:r>
          </w:p>
        </w:tc>
      </w:tr>
      <w:tr w:rsidR="00DC5BE9" w:rsidRPr="003E2D55" w14:paraId="001A7D7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2F84821" w14:textId="77777777" w:rsidR="00DC5BE9" w:rsidRPr="003E2D55" w:rsidRDefault="00DC5BE9" w:rsidP="00DC5BE9">
            <w:pPr>
              <w:spacing w:before="40" w:after="40"/>
              <w:rPr>
                <w:rFonts w:cs="Arial"/>
                <w:sz w:val="18"/>
                <w:szCs w:val="18"/>
              </w:rPr>
            </w:pPr>
            <w:r w:rsidRPr="003E2D55">
              <w:rPr>
                <w:rFonts w:cs="Arial"/>
                <w:sz w:val="18"/>
                <w:szCs w:val="18"/>
              </w:rPr>
              <w:t>Central Goldfields S</w:t>
            </w:r>
          </w:p>
        </w:tc>
        <w:tc>
          <w:tcPr>
            <w:tcW w:w="1361" w:type="dxa"/>
            <w:tcBorders>
              <w:top w:val="nil"/>
              <w:left w:val="single" w:sz="18" w:space="0" w:color="5F497A" w:themeColor="accent4" w:themeShade="BF"/>
              <w:bottom w:val="nil"/>
              <w:right w:val="nil"/>
            </w:tcBorders>
            <w:vAlign w:val="bottom"/>
          </w:tcPr>
          <w:p w14:paraId="59F3D9D3" w14:textId="70E3E898" w:rsidR="00DC5BE9" w:rsidRPr="003E2D55" w:rsidRDefault="00DC5BE9" w:rsidP="00DC5BE9">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7AF86A8F" w14:textId="725EFE7C" w:rsidR="00DC5BE9" w:rsidRPr="003E2D55" w:rsidRDefault="00DC5BE9" w:rsidP="00DC5BE9">
            <w:pPr>
              <w:spacing w:before="40" w:after="40"/>
              <w:jc w:val="right"/>
              <w:rPr>
                <w:rFonts w:cs="Arial"/>
                <w:sz w:val="18"/>
                <w:szCs w:val="18"/>
              </w:rPr>
            </w:pPr>
            <w:r w:rsidRPr="003E2D55">
              <w:rPr>
                <w:rFonts w:cs="Arial"/>
                <w:sz w:val="18"/>
                <w:szCs w:val="18"/>
              </w:rPr>
              <w:t>1,418,536</w:t>
            </w:r>
          </w:p>
        </w:tc>
        <w:tc>
          <w:tcPr>
            <w:tcW w:w="1701" w:type="dxa"/>
            <w:tcBorders>
              <w:top w:val="nil"/>
              <w:left w:val="nil"/>
              <w:bottom w:val="nil"/>
              <w:right w:val="nil"/>
            </w:tcBorders>
            <w:shd w:val="clear" w:color="auto" w:fill="auto"/>
            <w:vAlign w:val="bottom"/>
          </w:tcPr>
          <w:p w14:paraId="271CFA45" w14:textId="4155D136" w:rsidR="00DC5BE9" w:rsidRPr="003E2D55" w:rsidRDefault="00DC5BE9" w:rsidP="00DC5BE9">
            <w:pPr>
              <w:spacing w:before="40" w:after="40"/>
              <w:jc w:val="right"/>
              <w:rPr>
                <w:rFonts w:cs="Arial"/>
                <w:sz w:val="18"/>
                <w:szCs w:val="18"/>
              </w:rPr>
            </w:pPr>
            <w:r w:rsidRPr="003E2D55">
              <w:rPr>
                <w:rFonts w:cs="Arial"/>
                <w:sz w:val="18"/>
                <w:szCs w:val="18"/>
              </w:rPr>
              <w:t>7,370,826</w:t>
            </w:r>
          </w:p>
        </w:tc>
        <w:tc>
          <w:tcPr>
            <w:tcW w:w="284" w:type="dxa"/>
            <w:tcBorders>
              <w:top w:val="nil"/>
              <w:left w:val="nil"/>
              <w:bottom w:val="nil"/>
              <w:right w:val="nil"/>
            </w:tcBorders>
            <w:vAlign w:val="bottom"/>
          </w:tcPr>
          <w:p w14:paraId="48CEECBC" w14:textId="1447C954"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1DB9E888" w14:textId="210364A6" w:rsidR="00DC5BE9" w:rsidRPr="003E2D55" w:rsidRDefault="00DC5BE9" w:rsidP="00DC5BE9">
            <w:pPr>
              <w:spacing w:before="40" w:after="40"/>
              <w:jc w:val="right"/>
              <w:rPr>
                <w:rFonts w:cs="Arial"/>
                <w:b/>
                <w:sz w:val="18"/>
                <w:szCs w:val="18"/>
              </w:rPr>
            </w:pPr>
            <w:r w:rsidRPr="003E2D55">
              <w:rPr>
                <w:rFonts w:cs="Arial"/>
                <w:b/>
                <w:sz w:val="18"/>
                <w:szCs w:val="18"/>
              </w:rPr>
              <w:t>1,243,305</w:t>
            </w:r>
          </w:p>
        </w:tc>
      </w:tr>
      <w:tr w:rsidR="00DC5BE9" w:rsidRPr="003E2D55" w14:paraId="0B84EAD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34C8385" w14:textId="77777777" w:rsidR="00DC5BE9" w:rsidRPr="003E2D55" w:rsidRDefault="00DC5BE9" w:rsidP="00DC5BE9">
            <w:pPr>
              <w:spacing w:before="40" w:after="40"/>
              <w:rPr>
                <w:rFonts w:cs="Arial"/>
                <w:sz w:val="18"/>
                <w:szCs w:val="18"/>
              </w:rPr>
            </w:pPr>
            <w:r w:rsidRPr="003E2D55">
              <w:rPr>
                <w:rFonts w:cs="Arial"/>
                <w:sz w:val="18"/>
                <w:szCs w:val="18"/>
              </w:rPr>
              <w:t>Colac Otway S</w:t>
            </w:r>
          </w:p>
        </w:tc>
        <w:tc>
          <w:tcPr>
            <w:tcW w:w="1361" w:type="dxa"/>
            <w:tcBorders>
              <w:top w:val="nil"/>
              <w:left w:val="single" w:sz="18" w:space="0" w:color="5F497A" w:themeColor="accent4" w:themeShade="BF"/>
              <w:bottom w:val="nil"/>
              <w:right w:val="nil"/>
            </w:tcBorders>
            <w:vAlign w:val="bottom"/>
          </w:tcPr>
          <w:p w14:paraId="795E42C2" w14:textId="1A38F293" w:rsidR="00DC5BE9" w:rsidRPr="003E2D55" w:rsidRDefault="00DC5BE9" w:rsidP="00DC5BE9">
            <w:pPr>
              <w:spacing w:before="40" w:after="40"/>
              <w:jc w:val="right"/>
              <w:rPr>
                <w:rFonts w:cs="Arial"/>
                <w:sz w:val="18"/>
                <w:szCs w:val="18"/>
              </w:rPr>
            </w:pPr>
            <w:r w:rsidRPr="003E2D55">
              <w:rPr>
                <w:rFonts w:cs="Arial"/>
                <w:sz w:val="18"/>
                <w:szCs w:val="18"/>
              </w:rPr>
              <w:t>197,940</w:t>
            </w:r>
          </w:p>
        </w:tc>
        <w:tc>
          <w:tcPr>
            <w:tcW w:w="1361" w:type="dxa"/>
            <w:tcBorders>
              <w:top w:val="nil"/>
              <w:left w:val="nil"/>
              <w:bottom w:val="nil"/>
              <w:right w:val="nil"/>
            </w:tcBorders>
            <w:vAlign w:val="bottom"/>
          </w:tcPr>
          <w:p w14:paraId="3033F296" w14:textId="15BEA2B5" w:rsidR="00DC5BE9" w:rsidRPr="003E2D55" w:rsidRDefault="00DC5BE9" w:rsidP="00DC5BE9">
            <w:pPr>
              <w:spacing w:before="40" w:after="40"/>
              <w:jc w:val="right"/>
              <w:rPr>
                <w:rFonts w:cs="Arial"/>
                <w:sz w:val="18"/>
                <w:szCs w:val="18"/>
              </w:rPr>
            </w:pPr>
            <w:r w:rsidRPr="003E2D55">
              <w:rPr>
                <w:rFonts w:cs="Arial"/>
                <w:sz w:val="18"/>
                <w:szCs w:val="18"/>
              </w:rPr>
              <w:t>692,520</w:t>
            </w:r>
          </w:p>
        </w:tc>
        <w:tc>
          <w:tcPr>
            <w:tcW w:w="1701" w:type="dxa"/>
            <w:tcBorders>
              <w:top w:val="nil"/>
              <w:left w:val="nil"/>
              <w:bottom w:val="nil"/>
              <w:right w:val="nil"/>
            </w:tcBorders>
            <w:shd w:val="clear" w:color="auto" w:fill="auto"/>
            <w:vAlign w:val="bottom"/>
          </w:tcPr>
          <w:p w14:paraId="53EE35F0" w14:textId="4D74C129" w:rsidR="00DC5BE9" w:rsidRPr="003E2D55" w:rsidRDefault="00DC5BE9" w:rsidP="00DC5BE9">
            <w:pPr>
              <w:spacing w:before="40" w:after="40"/>
              <w:jc w:val="right"/>
              <w:rPr>
                <w:rFonts w:cs="Arial"/>
                <w:sz w:val="18"/>
                <w:szCs w:val="18"/>
              </w:rPr>
            </w:pPr>
            <w:r w:rsidRPr="003E2D55">
              <w:rPr>
                <w:rFonts w:cs="Arial"/>
                <w:sz w:val="18"/>
                <w:szCs w:val="18"/>
              </w:rPr>
              <w:t>15,972,528</w:t>
            </w:r>
          </w:p>
        </w:tc>
        <w:tc>
          <w:tcPr>
            <w:tcW w:w="284" w:type="dxa"/>
            <w:tcBorders>
              <w:top w:val="nil"/>
              <w:left w:val="nil"/>
              <w:bottom w:val="nil"/>
              <w:right w:val="nil"/>
            </w:tcBorders>
            <w:vAlign w:val="bottom"/>
          </w:tcPr>
          <w:p w14:paraId="1134BA0A" w14:textId="13231FB5"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74982308" w14:textId="4584261D" w:rsidR="00DC5BE9" w:rsidRPr="003E2D55" w:rsidRDefault="00DC5BE9" w:rsidP="00DC5BE9">
            <w:pPr>
              <w:spacing w:before="40" w:after="40"/>
              <w:jc w:val="right"/>
              <w:rPr>
                <w:rFonts w:cs="Arial"/>
                <w:b/>
                <w:sz w:val="18"/>
                <w:szCs w:val="18"/>
              </w:rPr>
            </w:pPr>
            <w:r w:rsidRPr="003E2D55">
              <w:rPr>
                <w:rFonts w:cs="Arial"/>
                <w:b/>
                <w:sz w:val="18"/>
                <w:szCs w:val="18"/>
              </w:rPr>
              <w:t>2,694,233</w:t>
            </w:r>
          </w:p>
        </w:tc>
      </w:tr>
      <w:tr w:rsidR="00DC5BE9" w:rsidRPr="003E2D55" w14:paraId="51C6696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532C4A1" w14:textId="77777777" w:rsidR="00DC5BE9" w:rsidRPr="003E2D55" w:rsidRDefault="00DC5BE9" w:rsidP="00DC5BE9">
            <w:pPr>
              <w:spacing w:before="40" w:after="40"/>
              <w:rPr>
                <w:rFonts w:cs="Arial"/>
                <w:sz w:val="18"/>
                <w:szCs w:val="18"/>
              </w:rPr>
            </w:pPr>
            <w:r w:rsidRPr="003E2D55">
              <w:rPr>
                <w:rFonts w:cs="Arial"/>
                <w:sz w:val="18"/>
                <w:szCs w:val="18"/>
              </w:rPr>
              <w:t>Corangamite S</w:t>
            </w:r>
          </w:p>
        </w:tc>
        <w:tc>
          <w:tcPr>
            <w:tcW w:w="1361" w:type="dxa"/>
            <w:tcBorders>
              <w:top w:val="nil"/>
              <w:left w:val="single" w:sz="18" w:space="0" w:color="5F497A" w:themeColor="accent4" w:themeShade="BF"/>
              <w:bottom w:val="nil"/>
              <w:right w:val="nil"/>
            </w:tcBorders>
            <w:vAlign w:val="bottom"/>
          </w:tcPr>
          <w:p w14:paraId="07AE0BA4" w14:textId="79B70BAF" w:rsidR="00DC5BE9" w:rsidRPr="003E2D55" w:rsidRDefault="00DC5BE9" w:rsidP="00DC5BE9">
            <w:pPr>
              <w:spacing w:before="40" w:after="40"/>
              <w:jc w:val="right"/>
              <w:rPr>
                <w:rFonts w:cs="Arial"/>
                <w:sz w:val="18"/>
                <w:szCs w:val="18"/>
              </w:rPr>
            </w:pPr>
            <w:r w:rsidRPr="003E2D55">
              <w:rPr>
                <w:rFonts w:cs="Arial"/>
                <w:sz w:val="18"/>
                <w:szCs w:val="18"/>
              </w:rPr>
              <w:t>290,800</w:t>
            </w:r>
          </w:p>
        </w:tc>
        <w:tc>
          <w:tcPr>
            <w:tcW w:w="1361" w:type="dxa"/>
            <w:tcBorders>
              <w:top w:val="nil"/>
              <w:left w:val="nil"/>
              <w:bottom w:val="nil"/>
              <w:right w:val="nil"/>
            </w:tcBorders>
            <w:vAlign w:val="bottom"/>
          </w:tcPr>
          <w:p w14:paraId="3B013A11" w14:textId="7E484104" w:rsidR="00DC5BE9" w:rsidRPr="003E2D55" w:rsidRDefault="00DC5BE9" w:rsidP="00DC5BE9">
            <w:pPr>
              <w:spacing w:before="40" w:after="40"/>
              <w:jc w:val="right"/>
              <w:rPr>
                <w:rFonts w:cs="Arial"/>
                <w:sz w:val="18"/>
                <w:szCs w:val="18"/>
              </w:rPr>
            </w:pPr>
            <w:r w:rsidRPr="003E2D55">
              <w:rPr>
                <w:rFonts w:cs="Arial"/>
                <w:sz w:val="18"/>
                <w:szCs w:val="18"/>
              </w:rPr>
              <w:t>708,840</w:t>
            </w:r>
          </w:p>
        </w:tc>
        <w:tc>
          <w:tcPr>
            <w:tcW w:w="1701" w:type="dxa"/>
            <w:tcBorders>
              <w:top w:val="nil"/>
              <w:left w:val="nil"/>
              <w:bottom w:val="nil"/>
              <w:right w:val="nil"/>
            </w:tcBorders>
            <w:shd w:val="clear" w:color="auto" w:fill="auto"/>
            <w:vAlign w:val="bottom"/>
          </w:tcPr>
          <w:p w14:paraId="391D6D73" w14:textId="34F32DD1" w:rsidR="00DC5BE9" w:rsidRPr="003E2D55" w:rsidRDefault="00DC5BE9" w:rsidP="00DC5BE9">
            <w:pPr>
              <w:spacing w:before="40" w:after="40"/>
              <w:jc w:val="right"/>
              <w:rPr>
                <w:rFonts w:cs="Arial"/>
                <w:sz w:val="18"/>
                <w:szCs w:val="18"/>
              </w:rPr>
            </w:pPr>
            <w:r w:rsidRPr="003E2D55">
              <w:rPr>
                <w:rFonts w:cs="Arial"/>
                <w:sz w:val="18"/>
                <w:szCs w:val="18"/>
              </w:rPr>
              <w:t>21,347,461</w:t>
            </w:r>
          </w:p>
        </w:tc>
        <w:tc>
          <w:tcPr>
            <w:tcW w:w="284" w:type="dxa"/>
            <w:tcBorders>
              <w:top w:val="nil"/>
              <w:left w:val="nil"/>
              <w:bottom w:val="nil"/>
              <w:right w:val="nil"/>
            </w:tcBorders>
            <w:vAlign w:val="bottom"/>
          </w:tcPr>
          <w:p w14:paraId="406F75C0" w14:textId="70316C09"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38FCB55C" w14:textId="330A8F8E" w:rsidR="00DC5BE9" w:rsidRPr="003E2D55" w:rsidRDefault="00DC5BE9" w:rsidP="00DC5BE9">
            <w:pPr>
              <w:spacing w:before="40" w:after="40"/>
              <w:jc w:val="right"/>
              <w:rPr>
                <w:rFonts w:cs="Arial"/>
                <w:b/>
                <w:sz w:val="18"/>
                <w:szCs w:val="18"/>
              </w:rPr>
            </w:pPr>
            <w:r w:rsidRPr="003E2D55">
              <w:rPr>
                <w:rFonts w:cs="Arial"/>
                <w:b/>
                <w:sz w:val="18"/>
                <w:szCs w:val="18"/>
              </w:rPr>
              <w:t>3,600,873</w:t>
            </w:r>
          </w:p>
        </w:tc>
      </w:tr>
      <w:tr w:rsidR="00DC5BE9" w:rsidRPr="003E2D55" w14:paraId="01100D8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3C78717" w14:textId="77777777" w:rsidR="00DC5BE9" w:rsidRPr="003E2D55" w:rsidRDefault="00DC5BE9" w:rsidP="00DC5BE9">
            <w:pPr>
              <w:spacing w:before="40" w:after="40"/>
              <w:rPr>
                <w:rFonts w:cs="Arial"/>
                <w:sz w:val="18"/>
                <w:szCs w:val="18"/>
              </w:rPr>
            </w:pPr>
            <w:r w:rsidRPr="003E2D55">
              <w:rPr>
                <w:rFonts w:cs="Arial"/>
                <w:sz w:val="18"/>
                <w:szCs w:val="18"/>
              </w:rPr>
              <w:t>Darebin C</w:t>
            </w:r>
          </w:p>
        </w:tc>
        <w:tc>
          <w:tcPr>
            <w:tcW w:w="1361" w:type="dxa"/>
            <w:tcBorders>
              <w:top w:val="nil"/>
              <w:left w:val="single" w:sz="18" w:space="0" w:color="5F497A" w:themeColor="accent4" w:themeShade="BF"/>
              <w:bottom w:val="nil"/>
              <w:right w:val="nil"/>
            </w:tcBorders>
            <w:vAlign w:val="bottom"/>
          </w:tcPr>
          <w:p w14:paraId="589646EF" w14:textId="3731FED9" w:rsidR="00DC5BE9" w:rsidRPr="003E2D55" w:rsidRDefault="00DC5BE9" w:rsidP="00DC5BE9">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182C26E7" w14:textId="140A9085" w:rsidR="00DC5BE9" w:rsidRPr="003E2D55" w:rsidRDefault="00DC5BE9" w:rsidP="00DC5BE9">
            <w:pPr>
              <w:spacing w:before="40" w:after="40"/>
              <w:jc w:val="right"/>
              <w:rPr>
                <w:rFonts w:cs="Arial"/>
                <w:sz w:val="18"/>
                <w:szCs w:val="18"/>
              </w:rPr>
            </w:pPr>
            <w:r w:rsidRPr="003E2D55">
              <w:rPr>
                <w:rFonts w:cs="Arial"/>
                <w:sz w:val="18"/>
                <w:szCs w:val="18"/>
              </w:rPr>
              <w:t>210,480</w:t>
            </w:r>
          </w:p>
        </w:tc>
        <w:tc>
          <w:tcPr>
            <w:tcW w:w="1701" w:type="dxa"/>
            <w:tcBorders>
              <w:top w:val="nil"/>
              <w:left w:val="nil"/>
              <w:bottom w:val="nil"/>
              <w:right w:val="nil"/>
            </w:tcBorders>
            <w:shd w:val="clear" w:color="auto" w:fill="auto"/>
            <w:vAlign w:val="bottom"/>
          </w:tcPr>
          <w:p w14:paraId="70DD2ADB" w14:textId="7456EEF1" w:rsidR="00DC5BE9" w:rsidRPr="003E2D55" w:rsidRDefault="00DC5BE9" w:rsidP="00DC5BE9">
            <w:pPr>
              <w:spacing w:before="40" w:after="40"/>
              <w:jc w:val="right"/>
              <w:rPr>
                <w:rFonts w:cs="Arial"/>
                <w:sz w:val="18"/>
                <w:szCs w:val="18"/>
              </w:rPr>
            </w:pPr>
            <w:r w:rsidRPr="003E2D55">
              <w:rPr>
                <w:rFonts w:cs="Arial"/>
                <w:sz w:val="18"/>
                <w:szCs w:val="18"/>
              </w:rPr>
              <w:t>5,375,277</w:t>
            </w:r>
          </w:p>
        </w:tc>
        <w:tc>
          <w:tcPr>
            <w:tcW w:w="284" w:type="dxa"/>
            <w:tcBorders>
              <w:top w:val="nil"/>
              <w:left w:val="nil"/>
              <w:bottom w:val="nil"/>
              <w:right w:val="nil"/>
            </w:tcBorders>
            <w:vAlign w:val="bottom"/>
          </w:tcPr>
          <w:p w14:paraId="5141C3BA" w14:textId="46198F55"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6FC20393" w14:textId="5D9C8C6A" w:rsidR="00DC5BE9" w:rsidRPr="003E2D55" w:rsidRDefault="00DC5BE9" w:rsidP="00DC5BE9">
            <w:pPr>
              <w:spacing w:before="40" w:after="40"/>
              <w:jc w:val="right"/>
              <w:rPr>
                <w:rFonts w:cs="Arial"/>
                <w:b/>
                <w:sz w:val="18"/>
                <w:szCs w:val="18"/>
              </w:rPr>
            </w:pPr>
            <w:r w:rsidRPr="003E2D55">
              <w:rPr>
                <w:rFonts w:cs="Arial"/>
                <w:b/>
                <w:sz w:val="18"/>
                <w:szCs w:val="18"/>
              </w:rPr>
              <w:t>906,697</w:t>
            </w:r>
          </w:p>
        </w:tc>
      </w:tr>
      <w:tr w:rsidR="00DC5BE9" w:rsidRPr="003E2D55" w14:paraId="6C54E3F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FE38F8A" w14:textId="77777777" w:rsidR="00DC5BE9" w:rsidRPr="003E2D55" w:rsidRDefault="00DC5BE9" w:rsidP="00DC5BE9">
            <w:pPr>
              <w:spacing w:before="40" w:after="40"/>
              <w:rPr>
                <w:rFonts w:cs="Arial"/>
                <w:sz w:val="18"/>
                <w:szCs w:val="18"/>
              </w:rPr>
            </w:pPr>
            <w:r w:rsidRPr="003E2D55">
              <w:rPr>
                <w:rFonts w:cs="Arial"/>
                <w:sz w:val="18"/>
                <w:szCs w:val="18"/>
              </w:rPr>
              <w:t>East Gippsland S</w:t>
            </w:r>
          </w:p>
        </w:tc>
        <w:tc>
          <w:tcPr>
            <w:tcW w:w="1361" w:type="dxa"/>
            <w:tcBorders>
              <w:top w:val="nil"/>
              <w:left w:val="single" w:sz="18" w:space="0" w:color="5F497A" w:themeColor="accent4" w:themeShade="BF"/>
              <w:bottom w:val="nil"/>
              <w:right w:val="nil"/>
            </w:tcBorders>
            <w:vAlign w:val="bottom"/>
          </w:tcPr>
          <w:p w14:paraId="38069460" w14:textId="59C3A4DC" w:rsidR="00DC5BE9" w:rsidRPr="003E2D55" w:rsidRDefault="00DC5BE9" w:rsidP="00DC5BE9">
            <w:pPr>
              <w:spacing w:before="40" w:after="40"/>
              <w:jc w:val="right"/>
              <w:rPr>
                <w:rFonts w:cs="Arial"/>
                <w:sz w:val="18"/>
                <w:szCs w:val="18"/>
              </w:rPr>
            </w:pPr>
            <w:r w:rsidRPr="003E2D55">
              <w:rPr>
                <w:rFonts w:cs="Arial"/>
                <w:sz w:val="18"/>
                <w:szCs w:val="18"/>
              </w:rPr>
              <w:t>787,000</w:t>
            </w:r>
          </w:p>
        </w:tc>
        <w:tc>
          <w:tcPr>
            <w:tcW w:w="1361" w:type="dxa"/>
            <w:tcBorders>
              <w:top w:val="nil"/>
              <w:left w:val="nil"/>
              <w:bottom w:val="nil"/>
              <w:right w:val="nil"/>
            </w:tcBorders>
            <w:vAlign w:val="bottom"/>
          </w:tcPr>
          <w:p w14:paraId="6F76F3C0" w14:textId="41986A68" w:rsidR="00DC5BE9" w:rsidRPr="003E2D55" w:rsidRDefault="00DC5BE9" w:rsidP="00DC5BE9">
            <w:pPr>
              <w:spacing w:before="40" w:after="40"/>
              <w:jc w:val="right"/>
              <w:rPr>
                <w:rFonts w:cs="Arial"/>
                <w:sz w:val="18"/>
                <w:szCs w:val="18"/>
              </w:rPr>
            </w:pPr>
            <w:r w:rsidRPr="003E2D55">
              <w:rPr>
                <w:rFonts w:cs="Arial"/>
                <w:sz w:val="18"/>
                <w:szCs w:val="18"/>
              </w:rPr>
              <w:t>2,381,400</w:t>
            </w:r>
          </w:p>
        </w:tc>
        <w:tc>
          <w:tcPr>
            <w:tcW w:w="1701" w:type="dxa"/>
            <w:tcBorders>
              <w:top w:val="nil"/>
              <w:left w:val="nil"/>
              <w:bottom w:val="nil"/>
              <w:right w:val="nil"/>
            </w:tcBorders>
            <w:shd w:val="clear" w:color="auto" w:fill="auto"/>
            <w:vAlign w:val="bottom"/>
          </w:tcPr>
          <w:p w14:paraId="4171F487" w14:textId="0F36F37F" w:rsidR="00DC5BE9" w:rsidRPr="003E2D55" w:rsidRDefault="00DC5BE9" w:rsidP="00DC5BE9">
            <w:pPr>
              <w:spacing w:before="40" w:after="40"/>
              <w:jc w:val="right"/>
              <w:rPr>
                <w:rFonts w:cs="Arial"/>
                <w:sz w:val="18"/>
                <w:szCs w:val="18"/>
              </w:rPr>
            </w:pPr>
            <w:r w:rsidRPr="003E2D55">
              <w:rPr>
                <w:rFonts w:cs="Arial"/>
                <w:sz w:val="18"/>
                <w:szCs w:val="18"/>
              </w:rPr>
              <w:t>27,882,281</w:t>
            </w:r>
          </w:p>
        </w:tc>
        <w:tc>
          <w:tcPr>
            <w:tcW w:w="284" w:type="dxa"/>
            <w:tcBorders>
              <w:top w:val="nil"/>
              <w:left w:val="nil"/>
              <w:bottom w:val="nil"/>
              <w:right w:val="nil"/>
            </w:tcBorders>
            <w:vAlign w:val="bottom"/>
          </w:tcPr>
          <w:p w14:paraId="5C8C2B94" w14:textId="4A280F33"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4BBEA88C" w14:textId="7DDBFCFA" w:rsidR="00DC5BE9" w:rsidRPr="003E2D55" w:rsidRDefault="00DC5BE9" w:rsidP="00DC5BE9">
            <w:pPr>
              <w:spacing w:before="40" w:after="40"/>
              <w:jc w:val="right"/>
              <w:rPr>
                <w:rFonts w:cs="Arial"/>
                <w:b/>
                <w:sz w:val="18"/>
                <w:szCs w:val="18"/>
              </w:rPr>
            </w:pPr>
            <w:r w:rsidRPr="003E2D55">
              <w:rPr>
                <w:rFonts w:cs="Arial"/>
                <w:b/>
                <w:sz w:val="18"/>
                <w:szCs w:val="18"/>
              </w:rPr>
              <w:t>4,703,161</w:t>
            </w:r>
          </w:p>
        </w:tc>
      </w:tr>
      <w:tr w:rsidR="00DC5BE9" w:rsidRPr="003E2D55" w14:paraId="06777FD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FBA6428" w14:textId="77777777" w:rsidR="00DC5BE9" w:rsidRPr="003E2D55" w:rsidRDefault="00DC5BE9" w:rsidP="00DC5BE9">
            <w:pPr>
              <w:spacing w:before="40" w:after="40"/>
              <w:rPr>
                <w:rFonts w:cs="Arial"/>
                <w:sz w:val="18"/>
                <w:szCs w:val="18"/>
              </w:rPr>
            </w:pPr>
            <w:r w:rsidRPr="003E2D55">
              <w:rPr>
                <w:rFonts w:cs="Arial"/>
                <w:sz w:val="18"/>
                <w:szCs w:val="18"/>
              </w:rPr>
              <w:t>Frankston C</w:t>
            </w:r>
          </w:p>
        </w:tc>
        <w:tc>
          <w:tcPr>
            <w:tcW w:w="1361" w:type="dxa"/>
            <w:tcBorders>
              <w:top w:val="nil"/>
              <w:left w:val="single" w:sz="18" w:space="0" w:color="5F497A" w:themeColor="accent4" w:themeShade="BF"/>
              <w:bottom w:val="nil"/>
              <w:right w:val="nil"/>
            </w:tcBorders>
            <w:vAlign w:val="bottom"/>
          </w:tcPr>
          <w:p w14:paraId="7CA11BE2" w14:textId="7B8500C5" w:rsidR="00DC5BE9" w:rsidRPr="003E2D55" w:rsidRDefault="00DC5BE9" w:rsidP="00DC5BE9">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4BB7A6A3" w14:textId="387B92CF" w:rsidR="00DC5BE9" w:rsidRPr="003E2D55" w:rsidRDefault="00DC5BE9" w:rsidP="00DC5BE9">
            <w:pPr>
              <w:spacing w:before="40" w:after="40"/>
              <w:jc w:val="right"/>
              <w:rPr>
                <w:rFonts w:cs="Arial"/>
                <w:sz w:val="18"/>
                <w:szCs w:val="18"/>
              </w:rPr>
            </w:pPr>
            <w:r w:rsidRPr="003E2D55">
              <w:rPr>
                <w:rFonts w:cs="Arial"/>
                <w:sz w:val="18"/>
                <w:szCs w:val="18"/>
              </w:rPr>
              <w:t>355,800</w:t>
            </w:r>
          </w:p>
        </w:tc>
        <w:tc>
          <w:tcPr>
            <w:tcW w:w="1701" w:type="dxa"/>
            <w:tcBorders>
              <w:top w:val="nil"/>
              <w:left w:val="nil"/>
              <w:bottom w:val="nil"/>
              <w:right w:val="nil"/>
            </w:tcBorders>
            <w:shd w:val="clear" w:color="auto" w:fill="auto"/>
            <w:vAlign w:val="bottom"/>
          </w:tcPr>
          <w:p w14:paraId="5F8086AB" w14:textId="77BBD1CF" w:rsidR="00DC5BE9" w:rsidRPr="003E2D55" w:rsidRDefault="00DC5BE9" w:rsidP="00DC5BE9">
            <w:pPr>
              <w:spacing w:before="40" w:after="40"/>
              <w:jc w:val="right"/>
              <w:rPr>
                <w:rFonts w:cs="Arial"/>
                <w:sz w:val="18"/>
                <w:szCs w:val="18"/>
              </w:rPr>
            </w:pPr>
            <w:r w:rsidRPr="003E2D55">
              <w:rPr>
                <w:rFonts w:cs="Arial"/>
                <w:sz w:val="18"/>
                <w:szCs w:val="18"/>
              </w:rPr>
              <w:t>6,904,363</w:t>
            </w:r>
          </w:p>
        </w:tc>
        <w:tc>
          <w:tcPr>
            <w:tcW w:w="284" w:type="dxa"/>
            <w:tcBorders>
              <w:top w:val="nil"/>
              <w:left w:val="nil"/>
              <w:bottom w:val="nil"/>
              <w:right w:val="nil"/>
            </w:tcBorders>
            <w:vAlign w:val="bottom"/>
          </w:tcPr>
          <w:p w14:paraId="698B423D" w14:textId="7B6CDE64"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60BB2496" w14:textId="1A9CAD9F" w:rsidR="00DC5BE9" w:rsidRPr="003E2D55" w:rsidRDefault="00DC5BE9" w:rsidP="00DC5BE9">
            <w:pPr>
              <w:spacing w:before="40" w:after="40"/>
              <w:jc w:val="right"/>
              <w:rPr>
                <w:rFonts w:cs="Arial"/>
                <w:b/>
                <w:sz w:val="18"/>
                <w:szCs w:val="18"/>
              </w:rPr>
            </w:pPr>
            <w:r w:rsidRPr="003E2D55">
              <w:rPr>
                <w:rFonts w:cs="Arial"/>
                <w:b/>
                <w:sz w:val="18"/>
                <w:szCs w:val="18"/>
              </w:rPr>
              <w:t>1,164,622</w:t>
            </w:r>
          </w:p>
        </w:tc>
      </w:tr>
      <w:tr w:rsidR="00DC5BE9" w:rsidRPr="003E2D55" w14:paraId="39DDF90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170EDF2" w14:textId="77777777" w:rsidR="00DC5BE9" w:rsidRPr="003E2D55" w:rsidRDefault="00DC5BE9" w:rsidP="00DC5BE9">
            <w:pPr>
              <w:spacing w:before="40" w:after="40"/>
              <w:rPr>
                <w:rFonts w:cs="Arial"/>
                <w:sz w:val="18"/>
                <w:szCs w:val="18"/>
              </w:rPr>
            </w:pPr>
            <w:r w:rsidRPr="003E2D55">
              <w:rPr>
                <w:rFonts w:cs="Arial"/>
                <w:sz w:val="18"/>
                <w:szCs w:val="18"/>
              </w:rPr>
              <w:t>Gannawarra S</w:t>
            </w:r>
          </w:p>
        </w:tc>
        <w:tc>
          <w:tcPr>
            <w:tcW w:w="1361" w:type="dxa"/>
            <w:tcBorders>
              <w:top w:val="nil"/>
              <w:left w:val="single" w:sz="18" w:space="0" w:color="5F497A" w:themeColor="accent4" w:themeShade="BF"/>
              <w:bottom w:val="nil"/>
              <w:right w:val="nil"/>
            </w:tcBorders>
            <w:vAlign w:val="bottom"/>
          </w:tcPr>
          <w:p w14:paraId="54651A48" w14:textId="07BD7A04" w:rsidR="00DC5BE9" w:rsidRPr="003E2D55" w:rsidRDefault="00DC5BE9" w:rsidP="00DC5BE9">
            <w:pPr>
              <w:spacing w:before="40" w:after="40"/>
              <w:jc w:val="right"/>
              <w:rPr>
                <w:rFonts w:cs="Arial"/>
                <w:sz w:val="18"/>
                <w:szCs w:val="18"/>
              </w:rPr>
            </w:pPr>
            <w:r w:rsidRPr="003E2D55">
              <w:rPr>
                <w:rFonts w:cs="Arial"/>
                <w:sz w:val="18"/>
                <w:szCs w:val="18"/>
              </w:rPr>
              <w:t>330,800</w:t>
            </w:r>
          </w:p>
        </w:tc>
        <w:tc>
          <w:tcPr>
            <w:tcW w:w="1361" w:type="dxa"/>
            <w:tcBorders>
              <w:top w:val="nil"/>
              <w:left w:val="nil"/>
              <w:bottom w:val="nil"/>
              <w:right w:val="nil"/>
            </w:tcBorders>
            <w:vAlign w:val="bottom"/>
          </w:tcPr>
          <w:p w14:paraId="45AE0CEE" w14:textId="0AFEA959" w:rsidR="00DC5BE9" w:rsidRPr="003E2D55" w:rsidRDefault="00DC5BE9" w:rsidP="00DC5BE9">
            <w:pPr>
              <w:spacing w:before="40" w:after="40"/>
              <w:jc w:val="right"/>
              <w:rPr>
                <w:rFonts w:cs="Arial"/>
                <w:sz w:val="18"/>
                <w:szCs w:val="18"/>
              </w:rPr>
            </w:pPr>
            <w:r w:rsidRPr="003E2D55">
              <w:rPr>
                <w:rFonts w:cs="Arial"/>
                <w:sz w:val="18"/>
                <w:szCs w:val="18"/>
              </w:rPr>
              <w:t>860,280</w:t>
            </w:r>
          </w:p>
        </w:tc>
        <w:tc>
          <w:tcPr>
            <w:tcW w:w="1701" w:type="dxa"/>
            <w:tcBorders>
              <w:top w:val="nil"/>
              <w:left w:val="nil"/>
              <w:bottom w:val="nil"/>
              <w:right w:val="nil"/>
            </w:tcBorders>
            <w:shd w:val="clear" w:color="auto" w:fill="auto"/>
            <w:vAlign w:val="bottom"/>
          </w:tcPr>
          <w:p w14:paraId="4132D8F5" w14:textId="66B37028" w:rsidR="00DC5BE9" w:rsidRPr="003E2D55" w:rsidRDefault="00DC5BE9" w:rsidP="00DC5BE9">
            <w:pPr>
              <w:spacing w:before="40" w:after="40"/>
              <w:jc w:val="right"/>
              <w:rPr>
                <w:rFonts w:cs="Arial"/>
                <w:sz w:val="18"/>
                <w:szCs w:val="18"/>
              </w:rPr>
            </w:pPr>
            <w:r w:rsidRPr="003E2D55">
              <w:rPr>
                <w:rFonts w:cs="Arial"/>
                <w:sz w:val="18"/>
                <w:szCs w:val="18"/>
              </w:rPr>
              <w:t>12,338,126</w:t>
            </w:r>
          </w:p>
        </w:tc>
        <w:tc>
          <w:tcPr>
            <w:tcW w:w="284" w:type="dxa"/>
            <w:tcBorders>
              <w:top w:val="nil"/>
              <w:left w:val="nil"/>
              <w:bottom w:val="nil"/>
              <w:right w:val="nil"/>
            </w:tcBorders>
            <w:vAlign w:val="bottom"/>
          </w:tcPr>
          <w:p w14:paraId="25C59C06" w14:textId="0CE28A8C"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56BA0851" w14:textId="69E9D26E" w:rsidR="00DC5BE9" w:rsidRPr="003E2D55" w:rsidRDefault="00DC5BE9" w:rsidP="00DC5BE9">
            <w:pPr>
              <w:spacing w:before="40" w:after="40"/>
              <w:jc w:val="right"/>
              <w:rPr>
                <w:rFonts w:cs="Arial"/>
                <w:b/>
                <w:sz w:val="18"/>
                <w:szCs w:val="18"/>
              </w:rPr>
            </w:pPr>
            <w:r w:rsidRPr="003E2D55">
              <w:rPr>
                <w:rFonts w:cs="Arial"/>
                <w:b/>
                <w:sz w:val="18"/>
                <w:szCs w:val="18"/>
              </w:rPr>
              <w:t>2,081,185</w:t>
            </w:r>
          </w:p>
        </w:tc>
      </w:tr>
      <w:tr w:rsidR="00DC5BE9" w:rsidRPr="003E2D55" w14:paraId="567FD4A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3A8113C" w14:textId="77777777" w:rsidR="00DC5BE9" w:rsidRPr="003E2D55" w:rsidRDefault="00DC5BE9" w:rsidP="00DC5BE9">
            <w:pPr>
              <w:spacing w:before="40" w:after="40"/>
              <w:rPr>
                <w:rFonts w:cs="Arial"/>
                <w:sz w:val="18"/>
                <w:szCs w:val="18"/>
              </w:rPr>
            </w:pPr>
            <w:r w:rsidRPr="003E2D55">
              <w:rPr>
                <w:rFonts w:cs="Arial"/>
                <w:sz w:val="18"/>
                <w:szCs w:val="18"/>
              </w:rPr>
              <w:t>Glen Eira C</w:t>
            </w:r>
          </w:p>
        </w:tc>
        <w:tc>
          <w:tcPr>
            <w:tcW w:w="1361" w:type="dxa"/>
            <w:tcBorders>
              <w:top w:val="nil"/>
              <w:left w:val="single" w:sz="18" w:space="0" w:color="5F497A" w:themeColor="accent4" w:themeShade="BF"/>
              <w:bottom w:val="nil"/>
              <w:right w:val="nil"/>
            </w:tcBorders>
            <w:vAlign w:val="bottom"/>
          </w:tcPr>
          <w:p w14:paraId="31A9F667" w14:textId="4A3AC14B" w:rsidR="00DC5BE9" w:rsidRPr="003E2D55" w:rsidRDefault="00DC5BE9" w:rsidP="00DC5BE9">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605E8B75" w14:textId="4B163356" w:rsidR="00DC5BE9" w:rsidRPr="003E2D55" w:rsidRDefault="00DC5BE9" w:rsidP="00DC5BE9">
            <w:pPr>
              <w:spacing w:before="40" w:after="40"/>
              <w:jc w:val="right"/>
              <w:rPr>
                <w:rFonts w:cs="Arial"/>
                <w:sz w:val="18"/>
                <w:szCs w:val="18"/>
              </w:rPr>
            </w:pPr>
            <w:r w:rsidRPr="003E2D55">
              <w:rPr>
                <w:rFonts w:cs="Arial"/>
                <w:sz w:val="18"/>
                <w:szCs w:val="18"/>
              </w:rPr>
              <w:t>12,000</w:t>
            </w:r>
          </w:p>
        </w:tc>
        <w:tc>
          <w:tcPr>
            <w:tcW w:w="1701" w:type="dxa"/>
            <w:tcBorders>
              <w:top w:val="nil"/>
              <w:left w:val="nil"/>
              <w:bottom w:val="nil"/>
              <w:right w:val="nil"/>
            </w:tcBorders>
            <w:shd w:val="clear" w:color="auto" w:fill="auto"/>
            <w:vAlign w:val="bottom"/>
          </w:tcPr>
          <w:p w14:paraId="2618F0A1" w14:textId="2DBC42F5" w:rsidR="00DC5BE9" w:rsidRPr="003E2D55" w:rsidRDefault="00DC5BE9" w:rsidP="00DC5BE9">
            <w:pPr>
              <w:spacing w:before="40" w:after="40"/>
              <w:jc w:val="right"/>
              <w:rPr>
                <w:rFonts w:cs="Arial"/>
                <w:sz w:val="18"/>
                <w:szCs w:val="18"/>
              </w:rPr>
            </w:pPr>
            <w:r w:rsidRPr="003E2D55">
              <w:rPr>
                <w:rFonts w:cs="Arial"/>
                <w:sz w:val="18"/>
                <w:szCs w:val="18"/>
              </w:rPr>
              <w:t>3,950,874</w:t>
            </w:r>
          </w:p>
        </w:tc>
        <w:tc>
          <w:tcPr>
            <w:tcW w:w="284" w:type="dxa"/>
            <w:tcBorders>
              <w:top w:val="nil"/>
              <w:left w:val="nil"/>
              <w:bottom w:val="nil"/>
              <w:right w:val="nil"/>
            </w:tcBorders>
            <w:vAlign w:val="bottom"/>
          </w:tcPr>
          <w:p w14:paraId="6484AB2D" w14:textId="2A618D3E"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25D42443" w14:textId="7B744E00" w:rsidR="00DC5BE9" w:rsidRPr="003E2D55" w:rsidRDefault="00DC5BE9" w:rsidP="00DC5BE9">
            <w:pPr>
              <w:spacing w:before="40" w:after="40"/>
              <w:jc w:val="right"/>
              <w:rPr>
                <w:rFonts w:cs="Arial"/>
                <w:b/>
                <w:sz w:val="18"/>
                <w:szCs w:val="18"/>
              </w:rPr>
            </w:pPr>
            <w:r w:rsidRPr="003E2D55">
              <w:rPr>
                <w:rFonts w:cs="Arial"/>
                <w:b/>
                <w:sz w:val="18"/>
                <w:szCs w:val="18"/>
              </w:rPr>
              <w:t>666,430</w:t>
            </w:r>
          </w:p>
        </w:tc>
      </w:tr>
      <w:tr w:rsidR="00DC5BE9" w:rsidRPr="003E2D55" w14:paraId="6AAA59B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10E4BB0" w14:textId="77777777" w:rsidR="00DC5BE9" w:rsidRPr="003E2D55" w:rsidRDefault="00DC5BE9" w:rsidP="00DC5BE9">
            <w:pPr>
              <w:spacing w:before="40" w:after="40"/>
              <w:rPr>
                <w:rFonts w:cs="Arial"/>
                <w:sz w:val="18"/>
                <w:szCs w:val="18"/>
              </w:rPr>
            </w:pPr>
            <w:r w:rsidRPr="003E2D55">
              <w:rPr>
                <w:rFonts w:cs="Arial"/>
                <w:sz w:val="18"/>
                <w:szCs w:val="18"/>
              </w:rPr>
              <w:t>Glenelg S</w:t>
            </w:r>
          </w:p>
        </w:tc>
        <w:tc>
          <w:tcPr>
            <w:tcW w:w="1361" w:type="dxa"/>
            <w:tcBorders>
              <w:top w:val="nil"/>
              <w:left w:val="single" w:sz="18" w:space="0" w:color="5F497A" w:themeColor="accent4" w:themeShade="BF"/>
              <w:bottom w:val="nil"/>
              <w:right w:val="nil"/>
            </w:tcBorders>
            <w:vAlign w:val="bottom"/>
          </w:tcPr>
          <w:p w14:paraId="1C7A4ED2" w14:textId="37E144F8" w:rsidR="00DC5BE9" w:rsidRPr="003E2D55" w:rsidRDefault="00DC5BE9" w:rsidP="00DC5BE9">
            <w:pPr>
              <w:spacing w:before="40" w:after="40"/>
              <w:jc w:val="right"/>
              <w:rPr>
                <w:rFonts w:cs="Arial"/>
                <w:sz w:val="18"/>
                <w:szCs w:val="18"/>
              </w:rPr>
            </w:pPr>
            <w:r w:rsidRPr="003E2D55">
              <w:rPr>
                <w:rFonts w:cs="Arial"/>
                <w:sz w:val="18"/>
                <w:szCs w:val="18"/>
              </w:rPr>
              <w:t>76,600</w:t>
            </w:r>
          </w:p>
        </w:tc>
        <w:tc>
          <w:tcPr>
            <w:tcW w:w="1361" w:type="dxa"/>
            <w:tcBorders>
              <w:top w:val="nil"/>
              <w:left w:val="nil"/>
              <w:bottom w:val="nil"/>
              <w:right w:val="nil"/>
            </w:tcBorders>
            <w:vAlign w:val="bottom"/>
          </w:tcPr>
          <w:p w14:paraId="1B2E8464" w14:textId="581FB862" w:rsidR="00DC5BE9" w:rsidRPr="003E2D55" w:rsidRDefault="00DC5BE9" w:rsidP="00DC5BE9">
            <w:pPr>
              <w:spacing w:before="40" w:after="40"/>
              <w:jc w:val="right"/>
              <w:rPr>
                <w:rFonts w:cs="Arial"/>
                <w:sz w:val="18"/>
                <w:szCs w:val="18"/>
              </w:rPr>
            </w:pPr>
            <w:r w:rsidRPr="003E2D55">
              <w:rPr>
                <w:rFonts w:cs="Arial"/>
                <w:sz w:val="18"/>
                <w:szCs w:val="18"/>
              </w:rPr>
              <w:t>925,320</w:t>
            </w:r>
          </w:p>
        </w:tc>
        <w:tc>
          <w:tcPr>
            <w:tcW w:w="1701" w:type="dxa"/>
            <w:tcBorders>
              <w:top w:val="nil"/>
              <w:left w:val="nil"/>
              <w:bottom w:val="nil"/>
              <w:right w:val="nil"/>
            </w:tcBorders>
            <w:shd w:val="clear" w:color="auto" w:fill="auto"/>
            <w:vAlign w:val="bottom"/>
          </w:tcPr>
          <w:p w14:paraId="6299B4D9" w14:textId="53F15CB8" w:rsidR="00DC5BE9" w:rsidRPr="003E2D55" w:rsidRDefault="00DC5BE9" w:rsidP="00DC5BE9">
            <w:pPr>
              <w:spacing w:before="40" w:after="40"/>
              <w:jc w:val="right"/>
              <w:rPr>
                <w:rFonts w:cs="Arial"/>
                <w:sz w:val="18"/>
                <w:szCs w:val="18"/>
              </w:rPr>
            </w:pPr>
            <w:r w:rsidRPr="003E2D55">
              <w:rPr>
                <w:rFonts w:cs="Arial"/>
                <w:sz w:val="18"/>
                <w:szCs w:val="18"/>
              </w:rPr>
              <w:t>21,083,743</w:t>
            </w:r>
          </w:p>
        </w:tc>
        <w:tc>
          <w:tcPr>
            <w:tcW w:w="284" w:type="dxa"/>
            <w:tcBorders>
              <w:top w:val="nil"/>
              <w:left w:val="nil"/>
              <w:bottom w:val="nil"/>
              <w:right w:val="nil"/>
            </w:tcBorders>
            <w:vAlign w:val="bottom"/>
          </w:tcPr>
          <w:p w14:paraId="4E7BCEFA" w14:textId="6D7EE5DE"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3DBBDA16" w14:textId="38456C7C" w:rsidR="00DC5BE9" w:rsidRPr="003E2D55" w:rsidRDefault="00DC5BE9" w:rsidP="00DC5BE9">
            <w:pPr>
              <w:spacing w:before="40" w:after="40"/>
              <w:jc w:val="right"/>
              <w:rPr>
                <w:rFonts w:cs="Arial"/>
                <w:b/>
                <w:sz w:val="18"/>
                <w:szCs w:val="18"/>
              </w:rPr>
            </w:pPr>
            <w:r w:rsidRPr="003E2D55">
              <w:rPr>
                <w:rFonts w:cs="Arial"/>
                <w:b/>
                <w:sz w:val="18"/>
                <w:szCs w:val="18"/>
              </w:rPr>
              <w:t>3,556,389</w:t>
            </w:r>
          </w:p>
        </w:tc>
      </w:tr>
      <w:tr w:rsidR="00DC5BE9" w:rsidRPr="003E2D55" w14:paraId="60826FE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44034D2" w14:textId="77777777" w:rsidR="00DC5BE9" w:rsidRPr="003E2D55" w:rsidRDefault="00DC5BE9" w:rsidP="00DC5BE9">
            <w:pPr>
              <w:spacing w:before="40" w:after="40"/>
              <w:rPr>
                <w:rFonts w:cs="Arial"/>
                <w:sz w:val="18"/>
                <w:szCs w:val="18"/>
              </w:rPr>
            </w:pPr>
            <w:r w:rsidRPr="003E2D55">
              <w:rPr>
                <w:rFonts w:cs="Arial"/>
                <w:sz w:val="18"/>
                <w:szCs w:val="18"/>
              </w:rPr>
              <w:t>Golden Plains S</w:t>
            </w:r>
          </w:p>
        </w:tc>
        <w:tc>
          <w:tcPr>
            <w:tcW w:w="1361" w:type="dxa"/>
            <w:tcBorders>
              <w:top w:val="nil"/>
              <w:left w:val="single" w:sz="18" w:space="0" w:color="5F497A" w:themeColor="accent4" w:themeShade="BF"/>
              <w:bottom w:val="nil"/>
              <w:right w:val="nil"/>
            </w:tcBorders>
            <w:vAlign w:val="bottom"/>
          </w:tcPr>
          <w:p w14:paraId="4E371B61" w14:textId="5A5FAE2E" w:rsidR="00DC5BE9" w:rsidRPr="003E2D55" w:rsidRDefault="00DC5BE9" w:rsidP="00DC5BE9">
            <w:pPr>
              <w:spacing w:before="40" w:after="40"/>
              <w:jc w:val="right"/>
              <w:rPr>
                <w:rFonts w:cs="Arial"/>
                <w:sz w:val="18"/>
                <w:szCs w:val="18"/>
              </w:rPr>
            </w:pPr>
            <w:r w:rsidRPr="003E2D55">
              <w:rPr>
                <w:rFonts w:cs="Arial"/>
                <w:sz w:val="18"/>
                <w:szCs w:val="18"/>
              </w:rPr>
              <w:t>147,400</w:t>
            </w:r>
          </w:p>
        </w:tc>
        <w:tc>
          <w:tcPr>
            <w:tcW w:w="1361" w:type="dxa"/>
            <w:tcBorders>
              <w:top w:val="nil"/>
              <w:left w:val="nil"/>
              <w:bottom w:val="nil"/>
              <w:right w:val="nil"/>
            </w:tcBorders>
            <w:vAlign w:val="bottom"/>
          </w:tcPr>
          <w:p w14:paraId="33222FD5" w14:textId="23AA1273" w:rsidR="00DC5BE9" w:rsidRPr="003E2D55" w:rsidRDefault="00DC5BE9" w:rsidP="00DC5BE9">
            <w:pPr>
              <w:spacing w:before="40" w:after="40"/>
              <w:jc w:val="right"/>
              <w:rPr>
                <w:rFonts w:cs="Arial"/>
                <w:sz w:val="18"/>
                <w:szCs w:val="18"/>
              </w:rPr>
            </w:pPr>
            <w:r w:rsidRPr="003E2D55">
              <w:rPr>
                <w:rFonts w:cs="Arial"/>
                <w:sz w:val="18"/>
                <w:szCs w:val="18"/>
              </w:rPr>
              <w:t>926,280</w:t>
            </w:r>
          </w:p>
        </w:tc>
        <w:tc>
          <w:tcPr>
            <w:tcW w:w="1701" w:type="dxa"/>
            <w:tcBorders>
              <w:top w:val="nil"/>
              <w:left w:val="nil"/>
              <w:bottom w:val="nil"/>
              <w:right w:val="nil"/>
            </w:tcBorders>
            <w:shd w:val="clear" w:color="auto" w:fill="auto"/>
            <w:vAlign w:val="bottom"/>
          </w:tcPr>
          <w:p w14:paraId="4191BED1" w14:textId="4E92834B" w:rsidR="00DC5BE9" w:rsidRPr="003E2D55" w:rsidRDefault="00DC5BE9" w:rsidP="00DC5BE9">
            <w:pPr>
              <w:spacing w:before="40" w:after="40"/>
              <w:jc w:val="right"/>
              <w:rPr>
                <w:rFonts w:cs="Arial"/>
                <w:sz w:val="18"/>
                <w:szCs w:val="18"/>
              </w:rPr>
            </w:pPr>
            <w:r w:rsidRPr="003E2D55">
              <w:rPr>
                <w:rFonts w:cs="Arial"/>
                <w:sz w:val="18"/>
                <w:szCs w:val="18"/>
              </w:rPr>
              <w:t>12,461,705</w:t>
            </w:r>
          </w:p>
        </w:tc>
        <w:tc>
          <w:tcPr>
            <w:tcW w:w="284" w:type="dxa"/>
            <w:tcBorders>
              <w:top w:val="nil"/>
              <w:left w:val="nil"/>
              <w:bottom w:val="nil"/>
              <w:right w:val="nil"/>
            </w:tcBorders>
            <w:vAlign w:val="bottom"/>
          </w:tcPr>
          <w:p w14:paraId="2F01F743" w14:textId="65C3B2F4"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0F5239DC" w14:textId="1FB52B43" w:rsidR="00DC5BE9" w:rsidRPr="003E2D55" w:rsidRDefault="00DC5BE9" w:rsidP="00DC5BE9">
            <w:pPr>
              <w:spacing w:before="40" w:after="40"/>
              <w:jc w:val="right"/>
              <w:rPr>
                <w:rFonts w:cs="Arial"/>
                <w:b/>
                <w:sz w:val="18"/>
                <w:szCs w:val="18"/>
              </w:rPr>
            </w:pPr>
            <w:r w:rsidRPr="003E2D55">
              <w:rPr>
                <w:rFonts w:cs="Arial"/>
                <w:b/>
                <w:sz w:val="18"/>
                <w:szCs w:val="18"/>
              </w:rPr>
              <w:t>2,102,030</w:t>
            </w:r>
          </w:p>
        </w:tc>
      </w:tr>
      <w:tr w:rsidR="00DC5BE9" w:rsidRPr="003E2D55" w14:paraId="57EFFBF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70BFFF6" w14:textId="77777777" w:rsidR="00DC5BE9" w:rsidRPr="003E2D55" w:rsidRDefault="00DC5BE9" w:rsidP="00DC5BE9">
            <w:pPr>
              <w:spacing w:before="40" w:after="40"/>
              <w:rPr>
                <w:rFonts w:cs="Arial"/>
                <w:sz w:val="18"/>
                <w:szCs w:val="18"/>
              </w:rPr>
            </w:pPr>
            <w:r w:rsidRPr="003E2D55">
              <w:rPr>
                <w:rFonts w:cs="Arial"/>
                <w:sz w:val="18"/>
                <w:szCs w:val="18"/>
              </w:rPr>
              <w:t>Greater Bendigo C</w:t>
            </w:r>
          </w:p>
        </w:tc>
        <w:tc>
          <w:tcPr>
            <w:tcW w:w="1361" w:type="dxa"/>
            <w:tcBorders>
              <w:top w:val="nil"/>
              <w:left w:val="single" w:sz="18" w:space="0" w:color="5F497A" w:themeColor="accent4" w:themeShade="BF"/>
              <w:bottom w:val="nil"/>
              <w:right w:val="nil"/>
            </w:tcBorders>
            <w:vAlign w:val="bottom"/>
          </w:tcPr>
          <w:p w14:paraId="72672A53" w14:textId="04495D0B" w:rsidR="00DC5BE9" w:rsidRPr="003E2D55" w:rsidRDefault="00DC5BE9" w:rsidP="00DC5BE9">
            <w:pPr>
              <w:spacing w:before="40" w:after="40"/>
              <w:jc w:val="right"/>
              <w:rPr>
                <w:rFonts w:cs="Arial"/>
                <w:sz w:val="18"/>
                <w:szCs w:val="18"/>
              </w:rPr>
            </w:pPr>
            <w:r w:rsidRPr="003E2D55">
              <w:rPr>
                <w:rFonts w:cs="Arial"/>
                <w:sz w:val="18"/>
                <w:szCs w:val="18"/>
              </w:rPr>
              <w:t>62,600</w:t>
            </w:r>
          </w:p>
        </w:tc>
        <w:tc>
          <w:tcPr>
            <w:tcW w:w="1361" w:type="dxa"/>
            <w:tcBorders>
              <w:top w:val="nil"/>
              <w:left w:val="nil"/>
              <w:bottom w:val="nil"/>
              <w:right w:val="nil"/>
            </w:tcBorders>
            <w:vAlign w:val="bottom"/>
          </w:tcPr>
          <w:p w14:paraId="7ACFA790" w14:textId="0D832F37" w:rsidR="00DC5BE9" w:rsidRPr="003E2D55" w:rsidRDefault="00DC5BE9" w:rsidP="00DC5BE9">
            <w:pPr>
              <w:spacing w:before="40" w:after="40"/>
              <w:jc w:val="right"/>
              <w:rPr>
                <w:rFonts w:cs="Arial"/>
                <w:sz w:val="18"/>
                <w:szCs w:val="18"/>
              </w:rPr>
            </w:pPr>
            <w:r w:rsidRPr="003E2D55">
              <w:rPr>
                <w:rFonts w:cs="Arial"/>
                <w:sz w:val="18"/>
                <w:szCs w:val="18"/>
              </w:rPr>
              <w:t>1,431,840</w:t>
            </w:r>
          </w:p>
        </w:tc>
        <w:tc>
          <w:tcPr>
            <w:tcW w:w="1701" w:type="dxa"/>
            <w:tcBorders>
              <w:top w:val="nil"/>
              <w:left w:val="nil"/>
              <w:bottom w:val="nil"/>
              <w:right w:val="nil"/>
            </w:tcBorders>
            <w:shd w:val="clear" w:color="auto" w:fill="auto"/>
            <w:vAlign w:val="bottom"/>
          </w:tcPr>
          <w:p w14:paraId="0B5C316F" w14:textId="7CB6F7A4" w:rsidR="00DC5BE9" w:rsidRPr="003E2D55" w:rsidRDefault="00DC5BE9" w:rsidP="00DC5BE9">
            <w:pPr>
              <w:spacing w:before="40" w:after="40"/>
              <w:jc w:val="right"/>
              <w:rPr>
                <w:rFonts w:cs="Arial"/>
                <w:sz w:val="18"/>
                <w:szCs w:val="18"/>
              </w:rPr>
            </w:pPr>
            <w:r w:rsidRPr="003E2D55">
              <w:rPr>
                <w:rFonts w:cs="Arial"/>
                <w:sz w:val="18"/>
                <w:szCs w:val="18"/>
              </w:rPr>
              <w:t>21,061,522</w:t>
            </w:r>
          </w:p>
        </w:tc>
        <w:tc>
          <w:tcPr>
            <w:tcW w:w="284" w:type="dxa"/>
            <w:tcBorders>
              <w:top w:val="nil"/>
              <w:left w:val="nil"/>
              <w:bottom w:val="nil"/>
              <w:right w:val="nil"/>
            </w:tcBorders>
            <w:vAlign w:val="bottom"/>
          </w:tcPr>
          <w:p w14:paraId="7C87405D" w14:textId="1247444B"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6AE11503" w14:textId="5313B282" w:rsidR="00DC5BE9" w:rsidRPr="003E2D55" w:rsidRDefault="00DC5BE9" w:rsidP="00DC5BE9">
            <w:pPr>
              <w:spacing w:before="40" w:after="40"/>
              <w:jc w:val="right"/>
              <w:rPr>
                <w:rFonts w:cs="Arial"/>
                <w:b/>
                <w:sz w:val="18"/>
                <w:szCs w:val="18"/>
              </w:rPr>
            </w:pPr>
            <w:r w:rsidRPr="003E2D55">
              <w:rPr>
                <w:rFonts w:cs="Arial"/>
                <w:b/>
                <w:sz w:val="18"/>
                <w:szCs w:val="18"/>
              </w:rPr>
              <w:t>3,552,641</w:t>
            </w:r>
          </w:p>
        </w:tc>
      </w:tr>
      <w:tr w:rsidR="00DC5BE9" w:rsidRPr="003E2D55" w14:paraId="712D872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CA11D1A" w14:textId="77777777" w:rsidR="00DC5BE9" w:rsidRPr="003E2D55" w:rsidRDefault="00DC5BE9" w:rsidP="00DC5BE9">
            <w:pPr>
              <w:spacing w:before="40" w:after="40"/>
              <w:rPr>
                <w:rFonts w:cs="Arial"/>
                <w:sz w:val="18"/>
                <w:szCs w:val="18"/>
              </w:rPr>
            </w:pPr>
            <w:r w:rsidRPr="003E2D55">
              <w:rPr>
                <w:rFonts w:cs="Arial"/>
                <w:sz w:val="18"/>
                <w:szCs w:val="18"/>
              </w:rPr>
              <w:t>Greater Dandenong C</w:t>
            </w:r>
          </w:p>
        </w:tc>
        <w:tc>
          <w:tcPr>
            <w:tcW w:w="1361" w:type="dxa"/>
            <w:tcBorders>
              <w:top w:val="nil"/>
              <w:left w:val="single" w:sz="18" w:space="0" w:color="5F497A" w:themeColor="accent4" w:themeShade="BF"/>
              <w:bottom w:val="nil"/>
              <w:right w:val="nil"/>
            </w:tcBorders>
            <w:vAlign w:val="bottom"/>
          </w:tcPr>
          <w:p w14:paraId="3BE62C09" w14:textId="35B40715" w:rsidR="00DC5BE9" w:rsidRPr="003E2D55" w:rsidRDefault="00DC5BE9" w:rsidP="00DC5BE9">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08343AF3" w14:textId="56809302" w:rsidR="00DC5BE9" w:rsidRPr="003E2D55" w:rsidRDefault="00DC5BE9" w:rsidP="00DC5BE9">
            <w:pPr>
              <w:spacing w:before="40" w:after="40"/>
              <w:jc w:val="right"/>
              <w:rPr>
                <w:rFonts w:cs="Arial"/>
                <w:sz w:val="18"/>
                <w:szCs w:val="18"/>
              </w:rPr>
            </w:pPr>
            <w:r w:rsidRPr="003E2D55">
              <w:rPr>
                <w:rFonts w:cs="Arial"/>
                <w:sz w:val="18"/>
                <w:szCs w:val="18"/>
              </w:rPr>
              <w:t>1,212,000</w:t>
            </w:r>
          </w:p>
        </w:tc>
        <w:tc>
          <w:tcPr>
            <w:tcW w:w="1701" w:type="dxa"/>
            <w:tcBorders>
              <w:top w:val="nil"/>
              <w:left w:val="nil"/>
              <w:bottom w:val="nil"/>
              <w:right w:val="nil"/>
            </w:tcBorders>
            <w:shd w:val="clear" w:color="auto" w:fill="auto"/>
            <w:vAlign w:val="bottom"/>
          </w:tcPr>
          <w:p w14:paraId="56C64269" w14:textId="1D94A086" w:rsidR="00DC5BE9" w:rsidRPr="003E2D55" w:rsidRDefault="00DC5BE9" w:rsidP="00DC5BE9">
            <w:pPr>
              <w:spacing w:before="40" w:after="40"/>
              <w:jc w:val="right"/>
              <w:rPr>
                <w:rFonts w:cs="Arial"/>
                <w:sz w:val="18"/>
                <w:szCs w:val="18"/>
              </w:rPr>
            </w:pPr>
            <w:r w:rsidRPr="003E2D55">
              <w:rPr>
                <w:rFonts w:cs="Arial"/>
                <w:sz w:val="18"/>
                <w:szCs w:val="18"/>
              </w:rPr>
              <w:t>9,541,657</w:t>
            </w:r>
          </w:p>
        </w:tc>
        <w:tc>
          <w:tcPr>
            <w:tcW w:w="284" w:type="dxa"/>
            <w:tcBorders>
              <w:top w:val="nil"/>
              <w:left w:val="nil"/>
              <w:bottom w:val="nil"/>
              <w:right w:val="nil"/>
            </w:tcBorders>
            <w:vAlign w:val="bottom"/>
          </w:tcPr>
          <w:p w14:paraId="52B05CA0" w14:textId="69DF04A0"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0EEE9096" w14:textId="2BC16710" w:rsidR="00DC5BE9" w:rsidRPr="003E2D55" w:rsidRDefault="00DC5BE9" w:rsidP="00DC5BE9">
            <w:pPr>
              <w:spacing w:before="40" w:after="40"/>
              <w:jc w:val="right"/>
              <w:rPr>
                <w:rFonts w:cs="Arial"/>
                <w:b/>
                <w:sz w:val="18"/>
                <w:szCs w:val="18"/>
              </w:rPr>
            </w:pPr>
            <w:r w:rsidRPr="003E2D55">
              <w:rPr>
                <w:rFonts w:cs="Arial"/>
                <w:b/>
                <w:sz w:val="18"/>
                <w:szCs w:val="18"/>
              </w:rPr>
              <w:t>1,609,479</w:t>
            </w:r>
          </w:p>
        </w:tc>
      </w:tr>
      <w:tr w:rsidR="00DC5BE9" w:rsidRPr="003E2D55" w14:paraId="6E5B501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AA7F4DB" w14:textId="77777777" w:rsidR="00DC5BE9" w:rsidRPr="003E2D55" w:rsidRDefault="00DC5BE9" w:rsidP="00DC5BE9">
            <w:pPr>
              <w:spacing w:before="40" w:after="40"/>
              <w:rPr>
                <w:rFonts w:cs="Arial"/>
                <w:sz w:val="18"/>
                <w:szCs w:val="18"/>
              </w:rPr>
            </w:pPr>
            <w:r w:rsidRPr="003E2D55">
              <w:rPr>
                <w:rFonts w:cs="Arial"/>
                <w:sz w:val="18"/>
                <w:szCs w:val="18"/>
              </w:rPr>
              <w:t>Greater Geelong C</w:t>
            </w:r>
          </w:p>
        </w:tc>
        <w:tc>
          <w:tcPr>
            <w:tcW w:w="1361" w:type="dxa"/>
            <w:tcBorders>
              <w:top w:val="nil"/>
              <w:left w:val="single" w:sz="18" w:space="0" w:color="5F497A" w:themeColor="accent4" w:themeShade="BF"/>
              <w:bottom w:val="nil"/>
              <w:right w:val="nil"/>
            </w:tcBorders>
            <w:vAlign w:val="bottom"/>
          </w:tcPr>
          <w:p w14:paraId="18696D39" w14:textId="359B8ABC" w:rsidR="00DC5BE9" w:rsidRPr="003E2D55" w:rsidRDefault="00DC5BE9" w:rsidP="00DC5BE9">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1F8FDA55" w14:textId="2B26116F" w:rsidR="00DC5BE9" w:rsidRPr="003E2D55" w:rsidRDefault="00DC5BE9" w:rsidP="00DC5BE9">
            <w:pPr>
              <w:spacing w:before="40" w:after="40"/>
              <w:jc w:val="right"/>
              <w:rPr>
                <w:rFonts w:cs="Arial"/>
                <w:sz w:val="18"/>
                <w:szCs w:val="18"/>
              </w:rPr>
            </w:pPr>
            <w:r w:rsidRPr="003E2D55">
              <w:rPr>
                <w:rFonts w:cs="Arial"/>
                <w:sz w:val="18"/>
                <w:szCs w:val="18"/>
              </w:rPr>
              <w:t>507,960</w:t>
            </w:r>
          </w:p>
        </w:tc>
        <w:tc>
          <w:tcPr>
            <w:tcW w:w="1701" w:type="dxa"/>
            <w:tcBorders>
              <w:top w:val="nil"/>
              <w:left w:val="nil"/>
              <w:bottom w:val="nil"/>
              <w:right w:val="nil"/>
            </w:tcBorders>
            <w:shd w:val="clear" w:color="auto" w:fill="auto"/>
            <w:vAlign w:val="bottom"/>
          </w:tcPr>
          <w:p w14:paraId="6CB7B250" w14:textId="6E779F92" w:rsidR="00DC5BE9" w:rsidRPr="003E2D55" w:rsidRDefault="00DC5BE9" w:rsidP="00DC5BE9">
            <w:pPr>
              <w:spacing w:before="40" w:after="40"/>
              <w:jc w:val="right"/>
              <w:rPr>
                <w:rFonts w:cs="Arial"/>
                <w:sz w:val="18"/>
                <w:szCs w:val="18"/>
              </w:rPr>
            </w:pPr>
            <w:r w:rsidRPr="003E2D55">
              <w:rPr>
                <w:rFonts w:cs="Arial"/>
                <w:sz w:val="18"/>
                <w:szCs w:val="18"/>
              </w:rPr>
              <w:t>20,675,751</w:t>
            </w:r>
          </w:p>
        </w:tc>
        <w:tc>
          <w:tcPr>
            <w:tcW w:w="284" w:type="dxa"/>
            <w:tcBorders>
              <w:top w:val="nil"/>
              <w:left w:val="nil"/>
              <w:bottom w:val="nil"/>
              <w:right w:val="nil"/>
            </w:tcBorders>
            <w:vAlign w:val="bottom"/>
          </w:tcPr>
          <w:p w14:paraId="31FB4768" w14:textId="7E31927B"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5E40932F" w14:textId="4ECD6EFF" w:rsidR="00DC5BE9" w:rsidRPr="003E2D55" w:rsidRDefault="00DC5BE9" w:rsidP="00DC5BE9">
            <w:pPr>
              <w:spacing w:before="40" w:after="40"/>
              <w:jc w:val="right"/>
              <w:rPr>
                <w:rFonts w:cs="Arial"/>
                <w:b/>
                <w:sz w:val="18"/>
                <w:szCs w:val="18"/>
              </w:rPr>
            </w:pPr>
            <w:r w:rsidRPr="003E2D55">
              <w:rPr>
                <w:rFonts w:cs="Arial"/>
                <w:b/>
                <w:sz w:val="18"/>
                <w:szCs w:val="18"/>
              </w:rPr>
              <w:t>3,487,575</w:t>
            </w:r>
          </w:p>
        </w:tc>
      </w:tr>
      <w:tr w:rsidR="00DC5BE9" w:rsidRPr="003E2D55" w14:paraId="02C9497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01D1A70" w14:textId="77777777" w:rsidR="00DC5BE9" w:rsidRPr="003E2D55" w:rsidRDefault="00DC5BE9" w:rsidP="00DC5BE9">
            <w:pPr>
              <w:spacing w:before="40" w:after="40"/>
              <w:rPr>
                <w:rFonts w:cs="Arial"/>
                <w:sz w:val="18"/>
                <w:szCs w:val="18"/>
              </w:rPr>
            </w:pPr>
            <w:r w:rsidRPr="003E2D55">
              <w:rPr>
                <w:rFonts w:cs="Arial"/>
                <w:sz w:val="18"/>
                <w:szCs w:val="18"/>
              </w:rPr>
              <w:t>Greater Shepparton C</w:t>
            </w:r>
          </w:p>
        </w:tc>
        <w:tc>
          <w:tcPr>
            <w:tcW w:w="1361" w:type="dxa"/>
            <w:tcBorders>
              <w:top w:val="nil"/>
              <w:left w:val="single" w:sz="18" w:space="0" w:color="5F497A" w:themeColor="accent4" w:themeShade="BF"/>
              <w:bottom w:val="nil"/>
              <w:right w:val="nil"/>
            </w:tcBorders>
            <w:vAlign w:val="bottom"/>
          </w:tcPr>
          <w:p w14:paraId="378C13A1" w14:textId="3A27FF49" w:rsidR="00DC5BE9" w:rsidRPr="003E2D55" w:rsidRDefault="00DC5BE9" w:rsidP="00DC5BE9">
            <w:pPr>
              <w:spacing w:before="40" w:after="40"/>
              <w:jc w:val="right"/>
              <w:rPr>
                <w:rFonts w:cs="Arial"/>
                <w:sz w:val="18"/>
                <w:szCs w:val="18"/>
              </w:rPr>
            </w:pPr>
            <w:r w:rsidRPr="003E2D55">
              <w:rPr>
                <w:rFonts w:cs="Arial"/>
                <w:sz w:val="18"/>
                <w:szCs w:val="18"/>
              </w:rPr>
              <w:t>135,192</w:t>
            </w:r>
          </w:p>
        </w:tc>
        <w:tc>
          <w:tcPr>
            <w:tcW w:w="1361" w:type="dxa"/>
            <w:tcBorders>
              <w:top w:val="nil"/>
              <w:left w:val="nil"/>
              <w:bottom w:val="nil"/>
              <w:right w:val="nil"/>
            </w:tcBorders>
            <w:vAlign w:val="bottom"/>
          </w:tcPr>
          <w:p w14:paraId="13D9D245" w14:textId="2B795469" w:rsidR="00DC5BE9" w:rsidRPr="003E2D55" w:rsidRDefault="00DC5BE9" w:rsidP="00DC5BE9">
            <w:pPr>
              <w:spacing w:before="40" w:after="40"/>
              <w:jc w:val="right"/>
              <w:rPr>
                <w:rFonts w:cs="Arial"/>
                <w:sz w:val="18"/>
                <w:szCs w:val="18"/>
              </w:rPr>
            </w:pPr>
            <w:r w:rsidRPr="003E2D55">
              <w:rPr>
                <w:rFonts w:cs="Arial"/>
                <w:sz w:val="18"/>
                <w:szCs w:val="18"/>
              </w:rPr>
              <w:t>623,572</w:t>
            </w:r>
          </w:p>
        </w:tc>
        <w:tc>
          <w:tcPr>
            <w:tcW w:w="1701" w:type="dxa"/>
            <w:tcBorders>
              <w:top w:val="nil"/>
              <w:left w:val="nil"/>
              <w:bottom w:val="nil"/>
              <w:right w:val="nil"/>
            </w:tcBorders>
            <w:shd w:val="clear" w:color="auto" w:fill="auto"/>
            <w:vAlign w:val="bottom"/>
          </w:tcPr>
          <w:p w14:paraId="26645F2F" w14:textId="68A7FF28" w:rsidR="00DC5BE9" w:rsidRPr="003E2D55" w:rsidRDefault="00DC5BE9" w:rsidP="00DC5BE9">
            <w:pPr>
              <w:spacing w:before="40" w:after="40"/>
              <w:jc w:val="right"/>
              <w:rPr>
                <w:rFonts w:cs="Arial"/>
                <w:sz w:val="18"/>
                <w:szCs w:val="18"/>
              </w:rPr>
            </w:pPr>
            <w:r w:rsidRPr="003E2D55">
              <w:rPr>
                <w:rFonts w:cs="Arial"/>
                <w:sz w:val="18"/>
                <w:szCs w:val="18"/>
              </w:rPr>
              <w:t>18,931,210</w:t>
            </w:r>
          </w:p>
        </w:tc>
        <w:tc>
          <w:tcPr>
            <w:tcW w:w="284" w:type="dxa"/>
            <w:tcBorders>
              <w:top w:val="nil"/>
              <w:left w:val="nil"/>
              <w:bottom w:val="nil"/>
              <w:right w:val="nil"/>
            </w:tcBorders>
            <w:vAlign w:val="bottom"/>
          </w:tcPr>
          <w:p w14:paraId="647E1BE7" w14:textId="0FF49885"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73A457CD" w14:textId="358BEAE0" w:rsidR="00DC5BE9" w:rsidRPr="003E2D55" w:rsidRDefault="00DC5BE9" w:rsidP="00DC5BE9">
            <w:pPr>
              <w:spacing w:before="40" w:after="40"/>
              <w:jc w:val="right"/>
              <w:rPr>
                <w:rFonts w:cs="Arial"/>
                <w:b/>
                <w:sz w:val="18"/>
                <w:szCs w:val="18"/>
              </w:rPr>
            </w:pPr>
            <w:r w:rsidRPr="003E2D55">
              <w:rPr>
                <w:rFonts w:cs="Arial"/>
                <w:b/>
                <w:sz w:val="18"/>
                <w:szCs w:val="18"/>
              </w:rPr>
              <w:t>3,193,301</w:t>
            </w:r>
          </w:p>
        </w:tc>
      </w:tr>
      <w:tr w:rsidR="00DC5BE9" w:rsidRPr="003E2D55" w14:paraId="378A709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F14F72E" w14:textId="77777777" w:rsidR="00DC5BE9" w:rsidRPr="003E2D55" w:rsidRDefault="00DC5BE9" w:rsidP="00DC5BE9">
            <w:pPr>
              <w:spacing w:before="40" w:after="40"/>
              <w:rPr>
                <w:rFonts w:cs="Arial"/>
                <w:sz w:val="18"/>
                <w:szCs w:val="18"/>
              </w:rPr>
            </w:pPr>
            <w:r w:rsidRPr="003E2D55">
              <w:rPr>
                <w:rFonts w:cs="Arial"/>
                <w:sz w:val="18"/>
                <w:szCs w:val="18"/>
              </w:rPr>
              <w:t>Hepburn S</w:t>
            </w:r>
          </w:p>
        </w:tc>
        <w:tc>
          <w:tcPr>
            <w:tcW w:w="1361" w:type="dxa"/>
            <w:tcBorders>
              <w:top w:val="nil"/>
              <w:left w:val="single" w:sz="18" w:space="0" w:color="5F497A" w:themeColor="accent4" w:themeShade="BF"/>
              <w:bottom w:val="nil"/>
              <w:right w:val="nil"/>
            </w:tcBorders>
            <w:vAlign w:val="bottom"/>
          </w:tcPr>
          <w:p w14:paraId="625B9772" w14:textId="53BE74EE" w:rsidR="00DC5BE9" w:rsidRPr="003E2D55" w:rsidRDefault="00DC5BE9" w:rsidP="00DC5BE9">
            <w:pPr>
              <w:spacing w:before="40" w:after="40"/>
              <w:jc w:val="right"/>
              <w:rPr>
                <w:rFonts w:cs="Arial"/>
                <w:sz w:val="18"/>
                <w:szCs w:val="18"/>
              </w:rPr>
            </w:pPr>
            <w:r w:rsidRPr="003E2D55">
              <w:rPr>
                <w:rFonts w:cs="Arial"/>
                <w:sz w:val="18"/>
                <w:szCs w:val="18"/>
              </w:rPr>
              <w:t>70,600</w:t>
            </w:r>
          </w:p>
        </w:tc>
        <w:tc>
          <w:tcPr>
            <w:tcW w:w="1361" w:type="dxa"/>
            <w:tcBorders>
              <w:top w:val="nil"/>
              <w:left w:val="nil"/>
              <w:bottom w:val="nil"/>
              <w:right w:val="nil"/>
            </w:tcBorders>
            <w:vAlign w:val="bottom"/>
          </w:tcPr>
          <w:p w14:paraId="6ECDEB5E" w14:textId="4C98BB55" w:rsidR="00DC5BE9" w:rsidRPr="003E2D55" w:rsidRDefault="00DC5BE9" w:rsidP="00DC5BE9">
            <w:pPr>
              <w:spacing w:before="40" w:after="40"/>
              <w:jc w:val="right"/>
              <w:rPr>
                <w:rFonts w:cs="Arial"/>
                <w:sz w:val="18"/>
                <w:szCs w:val="18"/>
              </w:rPr>
            </w:pPr>
            <w:r w:rsidRPr="003E2D55">
              <w:rPr>
                <w:rFonts w:cs="Arial"/>
                <w:sz w:val="18"/>
                <w:szCs w:val="18"/>
              </w:rPr>
              <w:t>693,480</w:t>
            </w:r>
          </w:p>
        </w:tc>
        <w:tc>
          <w:tcPr>
            <w:tcW w:w="1701" w:type="dxa"/>
            <w:tcBorders>
              <w:top w:val="nil"/>
              <w:left w:val="nil"/>
              <w:bottom w:val="nil"/>
              <w:right w:val="nil"/>
            </w:tcBorders>
            <w:shd w:val="clear" w:color="auto" w:fill="auto"/>
            <w:vAlign w:val="bottom"/>
          </w:tcPr>
          <w:p w14:paraId="6CCB781F" w14:textId="1A5782CC" w:rsidR="00DC5BE9" w:rsidRPr="003E2D55" w:rsidRDefault="00DC5BE9" w:rsidP="00DC5BE9">
            <w:pPr>
              <w:spacing w:before="40" w:after="40"/>
              <w:jc w:val="right"/>
              <w:rPr>
                <w:rFonts w:cs="Arial"/>
                <w:sz w:val="18"/>
                <w:szCs w:val="18"/>
              </w:rPr>
            </w:pPr>
            <w:r w:rsidRPr="003E2D55">
              <w:rPr>
                <w:rFonts w:cs="Arial"/>
                <w:sz w:val="18"/>
                <w:szCs w:val="18"/>
              </w:rPr>
              <w:t>9,461,554</w:t>
            </w:r>
          </w:p>
        </w:tc>
        <w:tc>
          <w:tcPr>
            <w:tcW w:w="284" w:type="dxa"/>
            <w:tcBorders>
              <w:top w:val="nil"/>
              <w:left w:val="nil"/>
              <w:bottom w:val="nil"/>
              <w:right w:val="nil"/>
            </w:tcBorders>
            <w:vAlign w:val="bottom"/>
          </w:tcPr>
          <w:p w14:paraId="2EA23F87" w14:textId="2A419A90"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54CC2A95" w14:textId="31D3409C" w:rsidR="00DC5BE9" w:rsidRPr="003E2D55" w:rsidRDefault="00DC5BE9" w:rsidP="00DC5BE9">
            <w:pPr>
              <w:spacing w:before="40" w:after="40"/>
              <w:jc w:val="right"/>
              <w:rPr>
                <w:rFonts w:cs="Arial"/>
                <w:b/>
                <w:sz w:val="18"/>
                <w:szCs w:val="18"/>
              </w:rPr>
            </w:pPr>
            <w:r w:rsidRPr="003E2D55">
              <w:rPr>
                <w:rFonts w:cs="Arial"/>
                <w:b/>
                <w:sz w:val="18"/>
                <w:szCs w:val="18"/>
              </w:rPr>
              <w:t>1,595,967</w:t>
            </w:r>
          </w:p>
        </w:tc>
      </w:tr>
      <w:tr w:rsidR="00DC5BE9" w:rsidRPr="003E2D55" w14:paraId="37CF78B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50D4DBB" w14:textId="77777777" w:rsidR="00DC5BE9" w:rsidRPr="003E2D55" w:rsidRDefault="00DC5BE9" w:rsidP="00DC5BE9">
            <w:pPr>
              <w:spacing w:before="40" w:after="40"/>
              <w:rPr>
                <w:rFonts w:cs="Arial"/>
                <w:sz w:val="18"/>
                <w:szCs w:val="18"/>
              </w:rPr>
            </w:pPr>
            <w:r w:rsidRPr="003E2D55">
              <w:rPr>
                <w:rFonts w:cs="Arial"/>
                <w:sz w:val="18"/>
                <w:szCs w:val="18"/>
              </w:rPr>
              <w:t>Hindmarsh S</w:t>
            </w:r>
          </w:p>
        </w:tc>
        <w:tc>
          <w:tcPr>
            <w:tcW w:w="1361" w:type="dxa"/>
            <w:tcBorders>
              <w:top w:val="nil"/>
              <w:left w:val="single" w:sz="18" w:space="0" w:color="5F497A" w:themeColor="accent4" w:themeShade="BF"/>
              <w:bottom w:val="nil"/>
              <w:right w:val="nil"/>
            </w:tcBorders>
            <w:vAlign w:val="bottom"/>
          </w:tcPr>
          <w:p w14:paraId="7A6BDDB7" w14:textId="1062604A" w:rsidR="00DC5BE9" w:rsidRPr="003E2D55" w:rsidRDefault="00DC5BE9" w:rsidP="00DC5BE9">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1725AD12" w14:textId="2914B287" w:rsidR="00DC5BE9" w:rsidRPr="003E2D55" w:rsidRDefault="00DC5BE9" w:rsidP="00DC5BE9">
            <w:pPr>
              <w:spacing w:before="40" w:after="40"/>
              <w:jc w:val="right"/>
              <w:rPr>
                <w:rFonts w:cs="Arial"/>
                <w:sz w:val="18"/>
                <w:szCs w:val="18"/>
              </w:rPr>
            </w:pPr>
            <w:r w:rsidRPr="003E2D55">
              <w:rPr>
                <w:rFonts w:cs="Arial"/>
                <w:sz w:val="18"/>
                <w:szCs w:val="18"/>
              </w:rPr>
              <w:t>203,880</w:t>
            </w:r>
          </w:p>
        </w:tc>
        <w:tc>
          <w:tcPr>
            <w:tcW w:w="1701" w:type="dxa"/>
            <w:tcBorders>
              <w:top w:val="nil"/>
              <w:left w:val="nil"/>
              <w:bottom w:val="nil"/>
              <w:right w:val="nil"/>
            </w:tcBorders>
            <w:shd w:val="clear" w:color="auto" w:fill="auto"/>
            <w:vAlign w:val="bottom"/>
          </w:tcPr>
          <w:p w14:paraId="1B6D3B1F" w14:textId="1A11AF00" w:rsidR="00DC5BE9" w:rsidRPr="003E2D55" w:rsidRDefault="00DC5BE9" w:rsidP="00DC5BE9">
            <w:pPr>
              <w:spacing w:before="40" w:after="40"/>
              <w:jc w:val="right"/>
              <w:rPr>
                <w:rFonts w:cs="Arial"/>
                <w:sz w:val="18"/>
                <w:szCs w:val="18"/>
              </w:rPr>
            </w:pPr>
            <w:r w:rsidRPr="003E2D55">
              <w:rPr>
                <w:rFonts w:cs="Arial"/>
                <w:sz w:val="18"/>
                <w:szCs w:val="18"/>
              </w:rPr>
              <w:t>10,078,228</w:t>
            </w:r>
          </w:p>
        </w:tc>
        <w:tc>
          <w:tcPr>
            <w:tcW w:w="284" w:type="dxa"/>
            <w:tcBorders>
              <w:top w:val="nil"/>
              <w:left w:val="nil"/>
              <w:bottom w:val="nil"/>
              <w:right w:val="nil"/>
            </w:tcBorders>
            <w:vAlign w:val="bottom"/>
          </w:tcPr>
          <w:p w14:paraId="434E4A96" w14:textId="33735131"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4881D4DA" w14:textId="69FE957F" w:rsidR="00DC5BE9" w:rsidRPr="003E2D55" w:rsidRDefault="00DC5BE9" w:rsidP="00DC5BE9">
            <w:pPr>
              <w:spacing w:before="40" w:after="40"/>
              <w:jc w:val="right"/>
              <w:rPr>
                <w:rFonts w:cs="Arial"/>
                <w:b/>
                <w:sz w:val="18"/>
                <w:szCs w:val="18"/>
              </w:rPr>
            </w:pPr>
            <w:r w:rsidRPr="003E2D55">
              <w:rPr>
                <w:rFonts w:cs="Arial"/>
                <w:b/>
                <w:sz w:val="18"/>
                <w:szCs w:val="18"/>
              </w:rPr>
              <w:t>1,699,987</w:t>
            </w:r>
          </w:p>
        </w:tc>
      </w:tr>
      <w:tr w:rsidR="00DC5BE9" w:rsidRPr="003E2D55" w14:paraId="4C70187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D564C23" w14:textId="77777777" w:rsidR="00DC5BE9" w:rsidRPr="003E2D55" w:rsidRDefault="00DC5BE9" w:rsidP="00DC5BE9">
            <w:pPr>
              <w:spacing w:before="40" w:after="40"/>
              <w:rPr>
                <w:rFonts w:cs="Arial"/>
                <w:sz w:val="18"/>
                <w:szCs w:val="18"/>
              </w:rPr>
            </w:pPr>
            <w:r w:rsidRPr="003E2D55">
              <w:rPr>
                <w:rFonts w:cs="Arial"/>
                <w:sz w:val="18"/>
                <w:szCs w:val="18"/>
              </w:rPr>
              <w:t>Hobsons Bay C</w:t>
            </w:r>
          </w:p>
        </w:tc>
        <w:tc>
          <w:tcPr>
            <w:tcW w:w="1361" w:type="dxa"/>
            <w:tcBorders>
              <w:top w:val="nil"/>
              <w:left w:val="single" w:sz="18" w:space="0" w:color="5F497A" w:themeColor="accent4" w:themeShade="BF"/>
              <w:bottom w:val="nil"/>
              <w:right w:val="nil"/>
            </w:tcBorders>
            <w:vAlign w:val="bottom"/>
          </w:tcPr>
          <w:p w14:paraId="62B39DC6" w14:textId="66BA1B07" w:rsidR="00DC5BE9" w:rsidRPr="003E2D55" w:rsidRDefault="00DC5BE9" w:rsidP="00DC5BE9">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1FB8A493" w14:textId="0CABB8FB" w:rsidR="00DC5BE9" w:rsidRPr="003E2D55" w:rsidRDefault="00DC5BE9" w:rsidP="00DC5BE9">
            <w:pPr>
              <w:spacing w:before="40" w:after="40"/>
              <w:jc w:val="right"/>
              <w:rPr>
                <w:rFonts w:cs="Arial"/>
                <w:sz w:val="18"/>
                <w:szCs w:val="18"/>
              </w:rPr>
            </w:pPr>
            <w:r w:rsidRPr="003E2D55">
              <w:rPr>
                <w:rFonts w:cs="Arial"/>
                <w:sz w:val="18"/>
                <w:szCs w:val="18"/>
              </w:rPr>
              <w:t>43,800</w:t>
            </w:r>
          </w:p>
        </w:tc>
        <w:tc>
          <w:tcPr>
            <w:tcW w:w="1701" w:type="dxa"/>
            <w:tcBorders>
              <w:top w:val="nil"/>
              <w:left w:val="nil"/>
              <w:bottom w:val="nil"/>
              <w:right w:val="nil"/>
            </w:tcBorders>
            <w:shd w:val="clear" w:color="auto" w:fill="auto"/>
            <w:vAlign w:val="bottom"/>
          </w:tcPr>
          <w:p w14:paraId="098E679C" w14:textId="32E43C11" w:rsidR="00DC5BE9" w:rsidRPr="003E2D55" w:rsidRDefault="00DC5BE9" w:rsidP="00DC5BE9">
            <w:pPr>
              <w:spacing w:before="40" w:after="40"/>
              <w:jc w:val="right"/>
              <w:rPr>
                <w:rFonts w:cs="Arial"/>
                <w:sz w:val="18"/>
                <w:szCs w:val="18"/>
              </w:rPr>
            </w:pPr>
            <w:r w:rsidRPr="003E2D55">
              <w:rPr>
                <w:rFonts w:cs="Arial"/>
                <w:sz w:val="18"/>
                <w:szCs w:val="18"/>
              </w:rPr>
              <w:t>4,449,506</w:t>
            </w:r>
          </w:p>
        </w:tc>
        <w:tc>
          <w:tcPr>
            <w:tcW w:w="284" w:type="dxa"/>
            <w:tcBorders>
              <w:top w:val="nil"/>
              <w:left w:val="nil"/>
              <w:bottom w:val="nil"/>
              <w:right w:val="nil"/>
            </w:tcBorders>
            <w:vAlign w:val="bottom"/>
          </w:tcPr>
          <w:p w14:paraId="12E29123" w14:textId="78E12B91"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372974BC" w14:textId="7151603F" w:rsidR="00DC5BE9" w:rsidRPr="003E2D55" w:rsidRDefault="00DC5BE9" w:rsidP="00DC5BE9">
            <w:pPr>
              <w:spacing w:before="40" w:after="40"/>
              <w:jc w:val="right"/>
              <w:rPr>
                <w:rFonts w:cs="Arial"/>
                <w:b/>
                <w:sz w:val="18"/>
                <w:szCs w:val="18"/>
              </w:rPr>
            </w:pPr>
            <w:r w:rsidRPr="003E2D55">
              <w:rPr>
                <w:rFonts w:cs="Arial"/>
                <w:b/>
                <w:sz w:val="18"/>
                <w:szCs w:val="18"/>
              </w:rPr>
              <w:t>750,539</w:t>
            </w:r>
          </w:p>
        </w:tc>
      </w:tr>
      <w:tr w:rsidR="00DC5BE9" w:rsidRPr="003E2D55" w14:paraId="1611713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366F0E9" w14:textId="77777777" w:rsidR="00DC5BE9" w:rsidRPr="003E2D55" w:rsidRDefault="00DC5BE9" w:rsidP="00DC5BE9">
            <w:pPr>
              <w:spacing w:before="40" w:after="40"/>
              <w:rPr>
                <w:rFonts w:cs="Arial"/>
                <w:sz w:val="18"/>
                <w:szCs w:val="18"/>
              </w:rPr>
            </w:pPr>
            <w:r w:rsidRPr="003E2D55">
              <w:rPr>
                <w:rFonts w:cs="Arial"/>
                <w:sz w:val="18"/>
                <w:szCs w:val="18"/>
              </w:rPr>
              <w:t>Horsham RC</w:t>
            </w:r>
          </w:p>
        </w:tc>
        <w:tc>
          <w:tcPr>
            <w:tcW w:w="1361" w:type="dxa"/>
            <w:tcBorders>
              <w:top w:val="nil"/>
              <w:left w:val="single" w:sz="18" w:space="0" w:color="5F497A" w:themeColor="accent4" w:themeShade="BF"/>
              <w:bottom w:val="nil"/>
              <w:right w:val="nil"/>
            </w:tcBorders>
            <w:vAlign w:val="bottom"/>
          </w:tcPr>
          <w:p w14:paraId="1F34DB29" w14:textId="59E6336B" w:rsidR="00DC5BE9" w:rsidRPr="003E2D55" w:rsidRDefault="00DC5BE9" w:rsidP="00DC5BE9">
            <w:pPr>
              <w:spacing w:before="40" w:after="4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49C8766E" w14:textId="6F4F6450" w:rsidR="00DC5BE9" w:rsidRPr="003E2D55" w:rsidRDefault="00DC5BE9" w:rsidP="00DC5BE9">
            <w:pPr>
              <w:spacing w:before="40" w:after="40"/>
              <w:jc w:val="right"/>
              <w:rPr>
                <w:rFonts w:cs="Arial"/>
                <w:sz w:val="18"/>
                <w:szCs w:val="18"/>
              </w:rPr>
            </w:pPr>
            <w:r w:rsidRPr="003E2D55">
              <w:rPr>
                <w:rFonts w:cs="Arial"/>
                <w:sz w:val="18"/>
                <w:szCs w:val="18"/>
              </w:rPr>
              <w:t>934,440</w:t>
            </w:r>
          </w:p>
        </w:tc>
        <w:tc>
          <w:tcPr>
            <w:tcW w:w="1701" w:type="dxa"/>
            <w:tcBorders>
              <w:top w:val="nil"/>
              <w:left w:val="nil"/>
              <w:bottom w:val="nil"/>
              <w:right w:val="nil"/>
            </w:tcBorders>
            <w:shd w:val="clear" w:color="auto" w:fill="auto"/>
            <w:vAlign w:val="bottom"/>
          </w:tcPr>
          <w:p w14:paraId="2A743F31" w14:textId="53C8461A" w:rsidR="00DC5BE9" w:rsidRPr="003E2D55" w:rsidRDefault="00DC5BE9" w:rsidP="00DC5BE9">
            <w:pPr>
              <w:spacing w:before="40" w:after="40"/>
              <w:jc w:val="right"/>
              <w:rPr>
                <w:rFonts w:cs="Arial"/>
                <w:sz w:val="18"/>
                <w:szCs w:val="18"/>
              </w:rPr>
            </w:pPr>
            <w:r w:rsidRPr="003E2D55">
              <w:rPr>
                <w:rFonts w:cs="Arial"/>
                <w:sz w:val="18"/>
                <w:szCs w:val="18"/>
              </w:rPr>
              <w:t>13,308,279</w:t>
            </w:r>
          </w:p>
        </w:tc>
        <w:tc>
          <w:tcPr>
            <w:tcW w:w="284" w:type="dxa"/>
            <w:tcBorders>
              <w:top w:val="nil"/>
              <w:left w:val="nil"/>
              <w:bottom w:val="nil"/>
              <w:right w:val="nil"/>
            </w:tcBorders>
            <w:vAlign w:val="bottom"/>
          </w:tcPr>
          <w:p w14:paraId="63B21E3F" w14:textId="453622CB"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48A8FD7D" w14:textId="48E1AD4C" w:rsidR="00DC5BE9" w:rsidRPr="003E2D55" w:rsidRDefault="00DC5BE9" w:rsidP="00DC5BE9">
            <w:pPr>
              <w:spacing w:before="40" w:after="40"/>
              <w:jc w:val="right"/>
              <w:rPr>
                <w:rFonts w:cs="Arial"/>
                <w:b/>
                <w:sz w:val="18"/>
                <w:szCs w:val="18"/>
              </w:rPr>
            </w:pPr>
            <w:r w:rsidRPr="003E2D55">
              <w:rPr>
                <w:rFonts w:cs="Arial"/>
                <w:b/>
                <w:sz w:val="18"/>
                <w:szCs w:val="18"/>
              </w:rPr>
              <w:t>2,244,830</w:t>
            </w:r>
          </w:p>
        </w:tc>
      </w:tr>
      <w:tr w:rsidR="00DC5BE9" w:rsidRPr="003E2D55" w14:paraId="7941C19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631056D" w14:textId="77777777" w:rsidR="00DC5BE9" w:rsidRPr="003E2D55" w:rsidRDefault="00DC5BE9" w:rsidP="00DC5BE9">
            <w:pPr>
              <w:spacing w:before="40" w:after="40"/>
              <w:rPr>
                <w:rFonts w:cs="Arial"/>
                <w:sz w:val="18"/>
                <w:szCs w:val="18"/>
              </w:rPr>
            </w:pPr>
            <w:r w:rsidRPr="003E2D55">
              <w:rPr>
                <w:rFonts w:cs="Arial"/>
                <w:sz w:val="18"/>
                <w:szCs w:val="18"/>
              </w:rPr>
              <w:t>Hume C</w:t>
            </w:r>
          </w:p>
        </w:tc>
        <w:tc>
          <w:tcPr>
            <w:tcW w:w="1361" w:type="dxa"/>
            <w:tcBorders>
              <w:top w:val="nil"/>
              <w:left w:val="single" w:sz="18" w:space="0" w:color="5F497A" w:themeColor="accent4" w:themeShade="BF"/>
              <w:bottom w:val="nil"/>
              <w:right w:val="nil"/>
            </w:tcBorders>
            <w:vAlign w:val="bottom"/>
          </w:tcPr>
          <w:p w14:paraId="11A9F427" w14:textId="14C21780" w:rsidR="00DC5BE9" w:rsidRPr="003E2D55" w:rsidRDefault="00DC5BE9" w:rsidP="00DC5BE9">
            <w:pPr>
              <w:spacing w:before="40" w:after="40"/>
              <w:jc w:val="right"/>
              <w:rPr>
                <w:rFonts w:cs="Arial"/>
                <w:sz w:val="18"/>
                <w:szCs w:val="18"/>
              </w:rPr>
            </w:pPr>
            <w:r w:rsidRPr="003E2D55">
              <w:rPr>
                <w:rFonts w:cs="Arial"/>
                <w:sz w:val="18"/>
                <w:szCs w:val="18"/>
              </w:rPr>
              <w:t>12,000</w:t>
            </w:r>
          </w:p>
        </w:tc>
        <w:tc>
          <w:tcPr>
            <w:tcW w:w="1361" w:type="dxa"/>
            <w:tcBorders>
              <w:top w:val="nil"/>
              <w:left w:val="nil"/>
              <w:bottom w:val="nil"/>
              <w:right w:val="nil"/>
            </w:tcBorders>
            <w:vAlign w:val="bottom"/>
          </w:tcPr>
          <w:p w14:paraId="40082F92" w14:textId="750C49A3" w:rsidR="00DC5BE9" w:rsidRPr="003E2D55" w:rsidRDefault="00DC5BE9" w:rsidP="00DC5BE9">
            <w:pPr>
              <w:spacing w:before="40" w:after="40"/>
              <w:jc w:val="right"/>
              <w:rPr>
                <w:rFonts w:cs="Arial"/>
                <w:sz w:val="18"/>
                <w:szCs w:val="18"/>
              </w:rPr>
            </w:pPr>
            <w:r w:rsidRPr="003E2D55">
              <w:rPr>
                <w:rFonts w:cs="Arial"/>
                <w:sz w:val="18"/>
                <w:szCs w:val="18"/>
              </w:rPr>
              <w:t>935,160</w:t>
            </w:r>
          </w:p>
        </w:tc>
        <w:tc>
          <w:tcPr>
            <w:tcW w:w="1701" w:type="dxa"/>
            <w:tcBorders>
              <w:top w:val="nil"/>
              <w:left w:val="nil"/>
              <w:bottom w:val="nil"/>
              <w:right w:val="nil"/>
            </w:tcBorders>
            <w:shd w:val="clear" w:color="auto" w:fill="auto"/>
            <w:vAlign w:val="bottom"/>
          </w:tcPr>
          <w:p w14:paraId="1515BEBF" w14:textId="7371DEA2" w:rsidR="00DC5BE9" w:rsidRPr="003E2D55" w:rsidRDefault="00DC5BE9" w:rsidP="00DC5BE9">
            <w:pPr>
              <w:spacing w:before="40" w:after="40"/>
              <w:jc w:val="right"/>
              <w:rPr>
                <w:rFonts w:cs="Arial"/>
                <w:sz w:val="18"/>
                <w:szCs w:val="18"/>
              </w:rPr>
            </w:pPr>
            <w:r w:rsidRPr="003E2D55">
              <w:rPr>
                <w:rFonts w:cs="Arial"/>
                <w:sz w:val="18"/>
                <w:szCs w:val="18"/>
              </w:rPr>
              <w:t>15,473,490</w:t>
            </w:r>
          </w:p>
        </w:tc>
        <w:tc>
          <w:tcPr>
            <w:tcW w:w="284" w:type="dxa"/>
            <w:tcBorders>
              <w:top w:val="nil"/>
              <w:left w:val="nil"/>
              <w:bottom w:val="nil"/>
              <w:right w:val="nil"/>
            </w:tcBorders>
            <w:vAlign w:val="bottom"/>
          </w:tcPr>
          <w:p w14:paraId="6B3A15DC" w14:textId="7276E6C2"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7E435C88" w14:textId="567F8EB2" w:rsidR="00DC5BE9" w:rsidRPr="003E2D55" w:rsidRDefault="00DC5BE9" w:rsidP="00DC5BE9">
            <w:pPr>
              <w:spacing w:before="40" w:after="40"/>
              <w:jc w:val="right"/>
              <w:rPr>
                <w:rFonts w:cs="Arial"/>
                <w:b/>
                <w:sz w:val="18"/>
                <w:szCs w:val="18"/>
              </w:rPr>
            </w:pPr>
            <w:r w:rsidRPr="003E2D55">
              <w:rPr>
                <w:rFonts w:cs="Arial"/>
                <w:b/>
                <w:sz w:val="18"/>
                <w:szCs w:val="18"/>
              </w:rPr>
              <w:t>2,610,056</w:t>
            </w:r>
          </w:p>
        </w:tc>
      </w:tr>
      <w:tr w:rsidR="00DC5BE9" w:rsidRPr="003E2D55" w14:paraId="7E69DE0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AADC01C" w14:textId="77777777" w:rsidR="00DC5BE9" w:rsidRPr="003E2D55" w:rsidRDefault="00DC5BE9" w:rsidP="00DC5BE9">
            <w:pPr>
              <w:spacing w:before="40" w:after="40"/>
              <w:rPr>
                <w:rFonts w:cs="Arial"/>
                <w:sz w:val="18"/>
                <w:szCs w:val="18"/>
              </w:rPr>
            </w:pPr>
            <w:r w:rsidRPr="003E2D55">
              <w:rPr>
                <w:rFonts w:cs="Arial"/>
                <w:sz w:val="18"/>
                <w:szCs w:val="18"/>
              </w:rPr>
              <w:t>Indigo S</w:t>
            </w:r>
          </w:p>
        </w:tc>
        <w:tc>
          <w:tcPr>
            <w:tcW w:w="1361" w:type="dxa"/>
            <w:tcBorders>
              <w:top w:val="nil"/>
              <w:left w:val="single" w:sz="18" w:space="0" w:color="5F497A" w:themeColor="accent4" w:themeShade="BF"/>
              <w:bottom w:val="nil"/>
              <w:right w:val="nil"/>
            </w:tcBorders>
            <w:vAlign w:val="bottom"/>
          </w:tcPr>
          <w:p w14:paraId="26AFD9CD" w14:textId="769223FE" w:rsidR="00DC5BE9" w:rsidRPr="003E2D55" w:rsidRDefault="00DC5BE9" w:rsidP="00DC5BE9">
            <w:pPr>
              <w:spacing w:before="40" w:after="40"/>
              <w:jc w:val="right"/>
              <w:rPr>
                <w:rFonts w:cs="Arial"/>
                <w:sz w:val="18"/>
                <w:szCs w:val="18"/>
              </w:rPr>
            </w:pPr>
            <w:r w:rsidRPr="003E2D55">
              <w:rPr>
                <w:rFonts w:cs="Arial"/>
                <w:sz w:val="18"/>
                <w:szCs w:val="18"/>
              </w:rPr>
              <w:t>5,600</w:t>
            </w:r>
          </w:p>
        </w:tc>
        <w:tc>
          <w:tcPr>
            <w:tcW w:w="1361" w:type="dxa"/>
            <w:tcBorders>
              <w:top w:val="nil"/>
              <w:left w:val="nil"/>
              <w:bottom w:val="nil"/>
              <w:right w:val="nil"/>
            </w:tcBorders>
            <w:vAlign w:val="bottom"/>
          </w:tcPr>
          <w:p w14:paraId="434348F7" w14:textId="5F7BC59A" w:rsidR="00DC5BE9" w:rsidRPr="003E2D55" w:rsidRDefault="00DC5BE9" w:rsidP="00DC5BE9">
            <w:pPr>
              <w:spacing w:before="40" w:after="40"/>
              <w:jc w:val="right"/>
              <w:rPr>
                <w:rFonts w:cs="Arial"/>
                <w:sz w:val="18"/>
                <w:szCs w:val="18"/>
              </w:rPr>
            </w:pPr>
            <w:r w:rsidRPr="003E2D55">
              <w:rPr>
                <w:rFonts w:cs="Arial"/>
                <w:sz w:val="18"/>
                <w:szCs w:val="18"/>
              </w:rPr>
              <w:t>990,480</w:t>
            </w:r>
          </w:p>
        </w:tc>
        <w:tc>
          <w:tcPr>
            <w:tcW w:w="1701" w:type="dxa"/>
            <w:tcBorders>
              <w:top w:val="nil"/>
              <w:left w:val="nil"/>
              <w:bottom w:val="nil"/>
              <w:right w:val="nil"/>
            </w:tcBorders>
            <w:shd w:val="clear" w:color="auto" w:fill="auto"/>
            <w:vAlign w:val="bottom"/>
          </w:tcPr>
          <w:p w14:paraId="07530E1D" w14:textId="2A588860" w:rsidR="00DC5BE9" w:rsidRPr="003E2D55" w:rsidRDefault="00DC5BE9" w:rsidP="00DC5BE9">
            <w:pPr>
              <w:spacing w:before="40" w:after="40"/>
              <w:jc w:val="right"/>
              <w:rPr>
                <w:rFonts w:cs="Arial"/>
                <w:sz w:val="18"/>
                <w:szCs w:val="18"/>
              </w:rPr>
            </w:pPr>
            <w:r w:rsidRPr="003E2D55">
              <w:rPr>
                <w:rFonts w:cs="Arial"/>
                <w:sz w:val="18"/>
                <w:szCs w:val="18"/>
              </w:rPr>
              <w:t>10,036,493</w:t>
            </w:r>
          </w:p>
        </w:tc>
        <w:tc>
          <w:tcPr>
            <w:tcW w:w="284" w:type="dxa"/>
            <w:tcBorders>
              <w:top w:val="nil"/>
              <w:left w:val="nil"/>
              <w:bottom w:val="nil"/>
              <w:right w:val="nil"/>
            </w:tcBorders>
            <w:vAlign w:val="bottom"/>
          </w:tcPr>
          <w:p w14:paraId="08041128" w14:textId="2174A624"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185134F8" w14:textId="13166FB3" w:rsidR="00DC5BE9" w:rsidRPr="003E2D55" w:rsidRDefault="00DC5BE9" w:rsidP="00DC5BE9">
            <w:pPr>
              <w:spacing w:before="40" w:after="40"/>
              <w:jc w:val="right"/>
              <w:rPr>
                <w:rFonts w:cs="Arial"/>
                <w:b/>
                <w:sz w:val="18"/>
                <w:szCs w:val="18"/>
              </w:rPr>
            </w:pPr>
            <w:r w:rsidRPr="003E2D55">
              <w:rPr>
                <w:rFonts w:cs="Arial"/>
                <w:b/>
                <w:sz w:val="18"/>
                <w:szCs w:val="18"/>
              </w:rPr>
              <w:t>1,692,948</w:t>
            </w:r>
          </w:p>
        </w:tc>
      </w:tr>
      <w:tr w:rsidR="00DC5BE9" w:rsidRPr="003E2D55" w14:paraId="1A5678F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E781E91" w14:textId="77777777" w:rsidR="00DC5BE9" w:rsidRPr="003E2D55" w:rsidRDefault="00DC5BE9" w:rsidP="00DC5BE9">
            <w:pPr>
              <w:spacing w:before="40" w:after="40"/>
              <w:rPr>
                <w:rFonts w:cs="Arial"/>
                <w:sz w:val="18"/>
                <w:szCs w:val="18"/>
              </w:rPr>
            </w:pPr>
            <w:r w:rsidRPr="003E2D55">
              <w:rPr>
                <w:rFonts w:cs="Arial"/>
                <w:sz w:val="18"/>
                <w:szCs w:val="18"/>
              </w:rPr>
              <w:t>Kingston C</w:t>
            </w:r>
          </w:p>
        </w:tc>
        <w:tc>
          <w:tcPr>
            <w:tcW w:w="1361" w:type="dxa"/>
            <w:tcBorders>
              <w:top w:val="nil"/>
              <w:left w:val="single" w:sz="18" w:space="0" w:color="5F497A" w:themeColor="accent4" w:themeShade="BF"/>
              <w:bottom w:val="nil"/>
              <w:right w:val="nil"/>
            </w:tcBorders>
            <w:vAlign w:val="bottom"/>
          </w:tcPr>
          <w:p w14:paraId="2139811C" w14:textId="5EC7D77A" w:rsidR="00DC5BE9" w:rsidRPr="003E2D55" w:rsidRDefault="00DC5BE9" w:rsidP="00DC5BE9">
            <w:pPr>
              <w:spacing w:before="40" w:after="40"/>
              <w:jc w:val="right"/>
              <w:rPr>
                <w:rFonts w:cs="Arial"/>
                <w:sz w:val="18"/>
                <w:szCs w:val="18"/>
              </w:rPr>
            </w:pPr>
            <w:r w:rsidRPr="003E2D55">
              <w:rPr>
                <w:rFonts w:cs="Arial"/>
                <w:sz w:val="18"/>
                <w:szCs w:val="18"/>
              </w:rPr>
              <w:t>39,000</w:t>
            </w:r>
          </w:p>
        </w:tc>
        <w:tc>
          <w:tcPr>
            <w:tcW w:w="1361" w:type="dxa"/>
            <w:tcBorders>
              <w:top w:val="nil"/>
              <w:left w:val="nil"/>
              <w:bottom w:val="nil"/>
              <w:right w:val="nil"/>
            </w:tcBorders>
            <w:vAlign w:val="bottom"/>
          </w:tcPr>
          <w:p w14:paraId="361AE03F" w14:textId="33A25F07" w:rsidR="00DC5BE9" w:rsidRPr="003E2D55" w:rsidRDefault="00DC5BE9" w:rsidP="00DC5BE9">
            <w:pPr>
              <w:spacing w:before="40" w:after="40"/>
              <w:jc w:val="right"/>
              <w:rPr>
                <w:rFonts w:cs="Arial"/>
                <w:sz w:val="18"/>
                <w:szCs w:val="18"/>
              </w:rPr>
            </w:pPr>
            <w:r w:rsidRPr="003E2D55">
              <w:rPr>
                <w:rFonts w:cs="Arial"/>
                <w:sz w:val="18"/>
                <w:szCs w:val="18"/>
              </w:rPr>
              <w:t>789,600</w:t>
            </w:r>
          </w:p>
        </w:tc>
        <w:tc>
          <w:tcPr>
            <w:tcW w:w="1701" w:type="dxa"/>
            <w:tcBorders>
              <w:top w:val="nil"/>
              <w:left w:val="nil"/>
              <w:bottom w:val="nil"/>
              <w:right w:val="nil"/>
            </w:tcBorders>
            <w:shd w:val="clear" w:color="auto" w:fill="auto"/>
            <w:vAlign w:val="bottom"/>
          </w:tcPr>
          <w:p w14:paraId="401998E5" w14:textId="7724651C" w:rsidR="00DC5BE9" w:rsidRPr="003E2D55" w:rsidRDefault="00DC5BE9" w:rsidP="00DC5BE9">
            <w:pPr>
              <w:spacing w:before="40" w:after="40"/>
              <w:jc w:val="right"/>
              <w:rPr>
                <w:rFonts w:cs="Arial"/>
                <w:sz w:val="18"/>
                <w:szCs w:val="18"/>
              </w:rPr>
            </w:pPr>
            <w:r w:rsidRPr="003E2D55">
              <w:rPr>
                <w:rFonts w:cs="Arial"/>
                <w:sz w:val="18"/>
                <w:szCs w:val="18"/>
              </w:rPr>
              <w:t>6,434,590</w:t>
            </w:r>
          </w:p>
        </w:tc>
        <w:tc>
          <w:tcPr>
            <w:tcW w:w="284" w:type="dxa"/>
            <w:tcBorders>
              <w:top w:val="nil"/>
              <w:left w:val="nil"/>
              <w:bottom w:val="nil"/>
              <w:right w:val="nil"/>
            </w:tcBorders>
            <w:vAlign w:val="bottom"/>
          </w:tcPr>
          <w:p w14:paraId="307E12DC" w14:textId="4A47CDA5"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310B5206" w14:textId="3FA91120" w:rsidR="00DC5BE9" w:rsidRPr="003E2D55" w:rsidRDefault="00DC5BE9" w:rsidP="00DC5BE9">
            <w:pPr>
              <w:spacing w:before="40" w:after="40"/>
              <w:jc w:val="right"/>
              <w:rPr>
                <w:rFonts w:cs="Arial"/>
                <w:b/>
                <w:sz w:val="18"/>
                <w:szCs w:val="18"/>
              </w:rPr>
            </w:pPr>
            <w:r w:rsidRPr="003E2D55">
              <w:rPr>
                <w:rFonts w:cs="Arial"/>
                <w:b/>
                <w:sz w:val="18"/>
                <w:szCs w:val="18"/>
              </w:rPr>
              <w:t>1,085,382</w:t>
            </w:r>
          </w:p>
        </w:tc>
      </w:tr>
      <w:tr w:rsidR="00DC5BE9" w:rsidRPr="003E2D55" w14:paraId="5EF96BF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26A50FB" w14:textId="77777777" w:rsidR="00DC5BE9" w:rsidRPr="003E2D55" w:rsidRDefault="00DC5BE9" w:rsidP="00DC5BE9">
            <w:pPr>
              <w:spacing w:before="40" w:after="40"/>
              <w:rPr>
                <w:rFonts w:cs="Arial"/>
                <w:sz w:val="18"/>
                <w:szCs w:val="18"/>
              </w:rPr>
            </w:pPr>
            <w:r w:rsidRPr="003E2D55">
              <w:rPr>
                <w:rFonts w:cs="Arial"/>
                <w:sz w:val="18"/>
                <w:szCs w:val="18"/>
              </w:rPr>
              <w:t>Knox C</w:t>
            </w:r>
          </w:p>
        </w:tc>
        <w:tc>
          <w:tcPr>
            <w:tcW w:w="1361" w:type="dxa"/>
            <w:tcBorders>
              <w:top w:val="nil"/>
              <w:left w:val="single" w:sz="18" w:space="0" w:color="5F497A" w:themeColor="accent4" w:themeShade="BF"/>
              <w:bottom w:val="nil"/>
              <w:right w:val="nil"/>
            </w:tcBorders>
            <w:vAlign w:val="bottom"/>
          </w:tcPr>
          <w:p w14:paraId="43B14CBA" w14:textId="5402DED4" w:rsidR="00DC5BE9" w:rsidRPr="003E2D55" w:rsidRDefault="00DC5BE9" w:rsidP="00DC5BE9">
            <w:pPr>
              <w:spacing w:before="40" w:after="40"/>
              <w:jc w:val="right"/>
              <w:rPr>
                <w:rFonts w:cs="Arial"/>
                <w:sz w:val="18"/>
                <w:szCs w:val="18"/>
              </w:rPr>
            </w:pPr>
            <w:r w:rsidRPr="003E2D55">
              <w:rPr>
                <w:rFonts w:cs="Arial"/>
                <w:sz w:val="18"/>
                <w:szCs w:val="18"/>
              </w:rPr>
              <w:t>23,200</w:t>
            </w:r>
          </w:p>
        </w:tc>
        <w:tc>
          <w:tcPr>
            <w:tcW w:w="1361" w:type="dxa"/>
            <w:tcBorders>
              <w:top w:val="nil"/>
              <w:left w:val="nil"/>
              <w:bottom w:val="nil"/>
              <w:right w:val="nil"/>
            </w:tcBorders>
            <w:vAlign w:val="bottom"/>
          </w:tcPr>
          <w:p w14:paraId="03D96779" w14:textId="0D2B3B91" w:rsidR="00DC5BE9" w:rsidRPr="003E2D55" w:rsidRDefault="00DC5BE9" w:rsidP="00DC5BE9">
            <w:pPr>
              <w:spacing w:before="40" w:after="40"/>
              <w:jc w:val="right"/>
              <w:rPr>
                <w:rFonts w:cs="Arial"/>
                <w:sz w:val="18"/>
                <w:szCs w:val="18"/>
              </w:rPr>
            </w:pPr>
            <w:r w:rsidRPr="003E2D55">
              <w:rPr>
                <w:rFonts w:cs="Arial"/>
                <w:sz w:val="18"/>
                <w:szCs w:val="18"/>
              </w:rPr>
              <w:t>84,840</w:t>
            </w:r>
          </w:p>
        </w:tc>
        <w:tc>
          <w:tcPr>
            <w:tcW w:w="1701" w:type="dxa"/>
            <w:tcBorders>
              <w:top w:val="nil"/>
              <w:left w:val="nil"/>
              <w:bottom w:val="nil"/>
              <w:right w:val="nil"/>
            </w:tcBorders>
            <w:shd w:val="clear" w:color="auto" w:fill="auto"/>
            <w:vAlign w:val="bottom"/>
          </w:tcPr>
          <w:p w14:paraId="466346A7" w14:textId="4E98E744" w:rsidR="00DC5BE9" w:rsidRPr="003E2D55" w:rsidRDefault="00DC5BE9" w:rsidP="00DC5BE9">
            <w:pPr>
              <w:spacing w:before="40" w:after="40"/>
              <w:jc w:val="right"/>
              <w:rPr>
                <w:rFonts w:cs="Arial"/>
                <w:sz w:val="18"/>
                <w:szCs w:val="18"/>
              </w:rPr>
            </w:pPr>
            <w:r w:rsidRPr="003E2D55">
              <w:rPr>
                <w:rFonts w:cs="Arial"/>
                <w:sz w:val="18"/>
                <w:szCs w:val="18"/>
              </w:rPr>
              <w:t>6,844,380</w:t>
            </w:r>
          </w:p>
        </w:tc>
        <w:tc>
          <w:tcPr>
            <w:tcW w:w="284" w:type="dxa"/>
            <w:tcBorders>
              <w:top w:val="nil"/>
              <w:left w:val="nil"/>
              <w:bottom w:val="nil"/>
              <w:right w:val="nil"/>
            </w:tcBorders>
            <w:vAlign w:val="bottom"/>
          </w:tcPr>
          <w:p w14:paraId="592CDB44" w14:textId="5AED0161"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699A4943" w14:textId="515AD2BC" w:rsidR="00DC5BE9" w:rsidRPr="003E2D55" w:rsidRDefault="00DC5BE9" w:rsidP="00DC5BE9">
            <w:pPr>
              <w:spacing w:before="40" w:after="40"/>
              <w:jc w:val="right"/>
              <w:rPr>
                <w:rFonts w:cs="Arial"/>
                <w:b/>
                <w:sz w:val="18"/>
                <w:szCs w:val="18"/>
              </w:rPr>
            </w:pPr>
            <w:r w:rsidRPr="003E2D55">
              <w:rPr>
                <w:rFonts w:cs="Arial"/>
                <w:b/>
                <w:sz w:val="18"/>
                <w:szCs w:val="18"/>
              </w:rPr>
              <w:t>1,154,505</w:t>
            </w:r>
          </w:p>
        </w:tc>
      </w:tr>
      <w:tr w:rsidR="00DC5BE9" w:rsidRPr="003E2D55" w14:paraId="2E89737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1AF369A" w14:textId="77777777" w:rsidR="00DC5BE9" w:rsidRPr="003E2D55" w:rsidRDefault="00DC5BE9" w:rsidP="00DC5BE9">
            <w:pPr>
              <w:spacing w:before="40" w:after="40"/>
              <w:rPr>
                <w:rFonts w:cs="Arial"/>
                <w:sz w:val="18"/>
                <w:szCs w:val="18"/>
              </w:rPr>
            </w:pPr>
            <w:r w:rsidRPr="003E2D55">
              <w:rPr>
                <w:rFonts w:cs="Arial"/>
                <w:sz w:val="18"/>
                <w:szCs w:val="18"/>
              </w:rPr>
              <w:t>Latrobe C</w:t>
            </w:r>
          </w:p>
        </w:tc>
        <w:tc>
          <w:tcPr>
            <w:tcW w:w="1361" w:type="dxa"/>
            <w:tcBorders>
              <w:top w:val="nil"/>
              <w:left w:val="single" w:sz="18" w:space="0" w:color="5F497A" w:themeColor="accent4" w:themeShade="BF"/>
              <w:bottom w:val="nil"/>
              <w:right w:val="nil"/>
            </w:tcBorders>
            <w:vAlign w:val="bottom"/>
          </w:tcPr>
          <w:p w14:paraId="59CE65F2" w14:textId="245350BD" w:rsidR="00DC5BE9" w:rsidRPr="003E2D55" w:rsidRDefault="00DC5BE9" w:rsidP="00DC5BE9">
            <w:pPr>
              <w:spacing w:before="40" w:after="40"/>
              <w:jc w:val="right"/>
              <w:rPr>
                <w:rFonts w:cs="Arial"/>
                <w:sz w:val="18"/>
                <w:szCs w:val="18"/>
              </w:rPr>
            </w:pPr>
            <w:r w:rsidRPr="003E2D55">
              <w:rPr>
                <w:rFonts w:cs="Arial"/>
                <w:sz w:val="18"/>
                <w:szCs w:val="18"/>
              </w:rPr>
              <w:t>27,600</w:t>
            </w:r>
          </w:p>
        </w:tc>
        <w:tc>
          <w:tcPr>
            <w:tcW w:w="1361" w:type="dxa"/>
            <w:tcBorders>
              <w:top w:val="nil"/>
              <w:left w:val="nil"/>
              <w:bottom w:val="nil"/>
              <w:right w:val="nil"/>
            </w:tcBorders>
            <w:vAlign w:val="bottom"/>
          </w:tcPr>
          <w:p w14:paraId="5E29D100" w14:textId="2B4D1F5B" w:rsidR="00DC5BE9" w:rsidRPr="003E2D55" w:rsidRDefault="00DC5BE9" w:rsidP="00DC5BE9">
            <w:pPr>
              <w:spacing w:before="40" w:after="40"/>
              <w:jc w:val="right"/>
              <w:rPr>
                <w:rFonts w:cs="Arial"/>
                <w:sz w:val="18"/>
                <w:szCs w:val="18"/>
              </w:rPr>
            </w:pPr>
            <w:r w:rsidRPr="003E2D55">
              <w:rPr>
                <w:rFonts w:cs="Arial"/>
                <w:sz w:val="18"/>
                <w:szCs w:val="18"/>
              </w:rPr>
              <w:t>992,726</w:t>
            </w:r>
          </w:p>
        </w:tc>
        <w:tc>
          <w:tcPr>
            <w:tcW w:w="1701" w:type="dxa"/>
            <w:tcBorders>
              <w:top w:val="nil"/>
              <w:left w:val="nil"/>
              <w:bottom w:val="nil"/>
              <w:right w:val="nil"/>
            </w:tcBorders>
            <w:shd w:val="clear" w:color="auto" w:fill="auto"/>
            <w:vAlign w:val="bottom"/>
          </w:tcPr>
          <w:p w14:paraId="0543CFE9" w14:textId="48B89E7B" w:rsidR="00DC5BE9" w:rsidRPr="003E2D55" w:rsidRDefault="00DC5BE9" w:rsidP="00DC5BE9">
            <w:pPr>
              <w:spacing w:before="40" w:after="40"/>
              <w:jc w:val="right"/>
              <w:rPr>
                <w:rFonts w:cs="Arial"/>
                <w:sz w:val="18"/>
                <w:szCs w:val="18"/>
              </w:rPr>
            </w:pPr>
            <w:r w:rsidRPr="003E2D55">
              <w:rPr>
                <w:rFonts w:cs="Arial"/>
                <w:sz w:val="18"/>
                <w:szCs w:val="18"/>
              </w:rPr>
              <w:t>15,896,942</w:t>
            </w:r>
          </w:p>
        </w:tc>
        <w:tc>
          <w:tcPr>
            <w:tcW w:w="284" w:type="dxa"/>
            <w:tcBorders>
              <w:top w:val="nil"/>
              <w:left w:val="nil"/>
              <w:bottom w:val="nil"/>
              <w:right w:val="nil"/>
            </w:tcBorders>
            <w:vAlign w:val="bottom"/>
          </w:tcPr>
          <w:p w14:paraId="650B795B" w14:textId="6DA4A5E7"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158BC822" w14:textId="607D8B39" w:rsidR="00DC5BE9" w:rsidRPr="003E2D55" w:rsidRDefault="00DC5BE9" w:rsidP="00DC5BE9">
            <w:pPr>
              <w:spacing w:before="40" w:after="40"/>
              <w:jc w:val="right"/>
              <w:rPr>
                <w:rFonts w:cs="Arial"/>
                <w:b/>
                <w:sz w:val="18"/>
                <w:szCs w:val="18"/>
              </w:rPr>
            </w:pPr>
            <w:r w:rsidRPr="003E2D55">
              <w:rPr>
                <w:rFonts w:cs="Arial"/>
                <w:b/>
                <w:sz w:val="18"/>
                <w:szCs w:val="18"/>
              </w:rPr>
              <w:t>2,681,484</w:t>
            </w:r>
          </w:p>
        </w:tc>
      </w:tr>
      <w:tr w:rsidR="00DC5BE9" w:rsidRPr="003E2D55" w14:paraId="1B1D96E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A1EFE55" w14:textId="77777777" w:rsidR="00DC5BE9" w:rsidRPr="003E2D55" w:rsidRDefault="00DC5BE9" w:rsidP="00DC5BE9">
            <w:pPr>
              <w:spacing w:before="40" w:after="40"/>
              <w:rPr>
                <w:rFonts w:cs="Arial"/>
                <w:sz w:val="18"/>
                <w:szCs w:val="18"/>
              </w:rPr>
            </w:pPr>
            <w:r w:rsidRPr="003E2D55">
              <w:rPr>
                <w:rFonts w:cs="Arial"/>
                <w:sz w:val="18"/>
                <w:szCs w:val="18"/>
              </w:rPr>
              <w:t>Loddon S</w:t>
            </w:r>
          </w:p>
        </w:tc>
        <w:tc>
          <w:tcPr>
            <w:tcW w:w="1361" w:type="dxa"/>
            <w:tcBorders>
              <w:top w:val="nil"/>
              <w:left w:val="single" w:sz="18" w:space="0" w:color="5F497A" w:themeColor="accent4" w:themeShade="BF"/>
              <w:bottom w:val="nil"/>
              <w:right w:val="nil"/>
            </w:tcBorders>
            <w:vAlign w:val="bottom"/>
          </w:tcPr>
          <w:p w14:paraId="420FF0E0" w14:textId="4B52F0BC" w:rsidR="00DC5BE9" w:rsidRPr="003E2D55" w:rsidRDefault="00DC5BE9" w:rsidP="00DC5BE9">
            <w:pPr>
              <w:spacing w:before="40" w:after="40"/>
              <w:jc w:val="right"/>
              <w:rPr>
                <w:rFonts w:cs="Arial"/>
                <w:sz w:val="18"/>
                <w:szCs w:val="18"/>
              </w:rPr>
            </w:pPr>
            <w:r w:rsidRPr="003E2D55">
              <w:rPr>
                <w:rFonts w:cs="Arial"/>
                <w:sz w:val="18"/>
                <w:szCs w:val="18"/>
              </w:rPr>
              <w:t>239,400</w:t>
            </w:r>
          </w:p>
        </w:tc>
        <w:tc>
          <w:tcPr>
            <w:tcW w:w="1361" w:type="dxa"/>
            <w:tcBorders>
              <w:top w:val="nil"/>
              <w:left w:val="nil"/>
              <w:bottom w:val="nil"/>
              <w:right w:val="nil"/>
            </w:tcBorders>
            <w:vAlign w:val="bottom"/>
          </w:tcPr>
          <w:p w14:paraId="78988DB9" w14:textId="47EA2CC5" w:rsidR="00DC5BE9" w:rsidRPr="003E2D55" w:rsidRDefault="00DC5BE9" w:rsidP="00DC5BE9">
            <w:pPr>
              <w:spacing w:before="40" w:after="40"/>
              <w:jc w:val="right"/>
              <w:rPr>
                <w:rFonts w:cs="Arial"/>
                <w:sz w:val="18"/>
                <w:szCs w:val="18"/>
              </w:rPr>
            </w:pPr>
            <w:r w:rsidRPr="003E2D55">
              <w:rPr>
                <w:rFonts w:cs="Arial"/>
                <w:sz w:val="18"/>
                <w:szCs w:val="18"/>
              </w:rPr>
              <w:t>1,401,480</w:t>
            </w:r>
          </w:p>
        </w:tc>
        <w:tc>
          <w:tcPr>
            <w:tcW w:w="1701" w:type="dxa"/>
            <w:tcBorders>
              <w:top w:val="nil"/>
              <w:left w:val="nil"/>
              <w:bottom w:val="nil"/>
              <w:right w:val="nil"/>
            </w:tcBorders>
            <w:shd w:val="clear" w:color="auto" w:fill="auto"/>
            <w:vAlign w:val="bottom"/>
          </w:tcPr>
          <w:p w14:paraId="0F81F5EF" w14:textId="7DC45E8D" w:rsidR="00DC5BE9" w:rsidRPr="003E2D55" w:rsidRDefault="00DC5BE9" w:rsidP="00DC5BE9">
            <w:pPr>
              <w:spacing w:before="40" w:after="40"/>
              <w:jc w:val="right"/>
              <w:rPr>
                <w:rFonts w:cs="Arial"/>
                <w:sz w:val="18"/>
                <w:szCs w:val="18"/>
              </w:rPr>
            </w:pPr>
            <w:r w:rsidRPr="003E2D55">
              <w:rPr>
                <w:rFonts w:cs="Arial"/>
                <w:sz w:val="18"/>
                <w:szCs w:val="18"/>
              </w:rPr>
              <w:t>22,286,775</w:t>
            </w:r>
          </w:p>
        </w:tc>
        <w:tc>
          <w:tcPr>
            <w:tcW w:w="284" w:type="dxa"/>
            <w:tcBorders>
              <w:top w:val="nil"/>
              <w:left w:val="nil"/>
              <w:bottom w:val="nil"/>
              <w:right w:val="nil"/>
            </w:tcBorders>
            <w:vAlign w:val="bottom"/>
          </w:tcPr>
          <w:p w14:paraId="7A563627" w14:textId="716C3105" w:rsidR="00DC5BE9" w:rsidRPr="003E2D55" w:rsidRDefault="00DC5BE9" w:rsidP="00DC5BE9">
            <w:pPr>
              <w:spacing w:before="40" w:after="4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07C491E4" w14:textId="5EA178F0" w:rsidR="00DC5BE9" w:rsidRPr="003E2D55" w:rsidRDefault="00DC5BE9" w:rsidP="00DC5BE9">
            <w:pPr>
              <w:spacing w:before="40" w:after="40"/>
              <w:jc w:val="right"/>
              <w:rPr>
                <w:rFonts w:cs="Arial"/>
                <w:b/>
                <w:sz w:val="18"/>
                <w:szCs w:val="18"/>
              </w:rPr>
            </w:pPr>
            <w:r w:rsidRPr="003E2D55">
              <w:rPr>
                <w:rFonts w:cs="Arial"/>
                <w:b/>
                <w:sz w:val="18"/>
                <w:szCs w:val="18"/>
              </w:rPr>
              <w:t>3,759,315</w:t>
            </w:r>
          </w:p>
        </w:tc>
      </w:tr>
    </w:tbl>
    <w:p w14:paraId="59338CF6" w14:textId="77777777" w:rsidR="00734A5D" w:rsidRPr="00A44829" w:rsidRDefault="00734A5D" w:rsidP="00FF36E8">
      <w:pPr>
        <w:spacing w:before="40" w:after="20"/>
        <w:rPr>
          <w:rFonts w:cs="Arial"/>
          <w:sz w:val="18"/>
          <w:szCs w:val="18"/>
        </w:rPr>
      </w:pPr>
    </w:p>
    <w:p w14:paraId="29B3A02C" w14:textId="77777777" w:rsidR="00734A5D" w:rsidRPr="00A44829" w:rsidRDefault="00734A5D" w:rsidP="00FF36E8">
      <w:pPr>
        <w:spacing w:before="40" w:after="20"/>
        <w:rPr>
          <w:rFonts w:cs="Arial"/>
          <w:sz w:val="18"/>
          <w:szCs w:val="18"/>
        </w:rPr>
      </w:pPr>
      <w:r w:rsidRPr="00A44829">
        <w:rPr>
          <w:rFonts w:cs="Arial"/>
          <w:sz w:val="18"/>
          <w:szCs w:val="18"/>
        </w:rPr>
        <w:br w:type="page"/>
      </w:r>
    </w:p>
    <w:p w14:paraId="6B14738D" w14:textId="07CE9DFB" w:rsidR="00F65645" w:rsidRPr="00A44829" w:rsidRDefault="00EE4593" w:rsidP="00C33713">
      <w:pPr>
        <w:pStyle w:val="VGC-Head10"/>
      </w:pPr>
      <w:r w:rsidRPr="00A44829">
        <w:lastRenderedPageBreak/>
        <w:t>2019-20</w:t>
      </w:r>
      <w:r w:rsidR="00A97ABE" w:rsidRPr="00A44829">
        <w:t xml:space="preserve"> </w:t>
      </w:r>
      <w:r w:rsidR="00F65645" w:rsidRPr="00A44829">
        <w:t>Local Roads Grants</w:t>
      </w:r>
      <w:r w:rsidR="00F65645" w:rsidRPr="00A44829">
        <w:tab/>
        <w:t>Appendix 5</w:t>
      </w:r>
    </w:p>
    <w:p w14:paraId="0AA1D193" w14:textId="77777777" w:rsidR="00F65645" w:rsidRPr="00A44829" w:rsidRDefault="004F1184" w:rsidP="008C1A28">
      <w:pPr>
        <w:pStyle w:val="VGC-Head2"/>
      </w:pPr>
      <w:r w:rsidRPr="00A44829">
        <w:tab/>
      </w:r>
      <w:r w:rsidR="00A6042C" w:rsidRPr="00A44829">
        <w:t>E</w:t>
      </w:r>
      <w:r w:rsidR="00F65645" w:rsidRPr="00A44829">
        <w:t>.  Network Costs</w:t>
      </w:r>
    </w:p>
    <w:p w14:paraId="7CF1B6DC" w14:textId="77777777" w:rsidR="00734A5D" w:rsidRPr="00A44829"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tblGrid>
      <w:tr w:rsidR="00F65645" w:rsidRPr="00A44829" w14:paraId="1024B34B"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60011A8B" w14:textId="77777777" w:rsidR="00F65645" w:rsidRPr="00A44829" w:rsidRDefault="00F65645" w:rsidP="0038375E">
            <w:pPr>
              <w:spacing w:before="40" w:after="20"/>
              <w:jc w:val="center"/>
              <w:rPr>
                <w:rFonts w:cs="Arial"/>
                <w:sz w:val="18"/>
                <w:szCs w:val="18"/>
              </w:rPr>
            </w:pPr>
          </w:p>
        </w:tc>
        <w:tc>
          <w:tcPr>
            <w:tcW w:w="5444" w:type="dxa"/>
            <w:gridSpan w:val="4"/>
            <w:tcBorders>
              <w:left w:val="single" w:sz="18" w:space="0" w:color="5F497A" w:themeColor="accent4" w:themeShade="BF"/>
              <w:bottom w:val="single" w:sz="8" w:space="0" w:color="5F497A" w:themeColor="accent4" w:themeShade="BF"/>
              <w:right w:val="nil"/>
            </w:tcBorders>
            <w:shd w:val="clear" w:color="auto" w:fill="auto"/>
            <w:vAlign w:val="bottom"/>
          </w:tcPr>
          <w:p w14:paraId="256433D2" w14:textId="77777777" w:rsidR="00F65645" w:rsidRPr="00A44829" w:rsidRDefault="00F65645" w:rsidP="0038375E">
            <w:pPr>
              <w:spacing w:before="40" w:after="20"/>
              <w:jc w:val="center"/>
              <w:rPr>
                <w:rFonts w:cs="Arial"/>
                <w:b/>
                <w:sz w:val="18"/>
                <w:szCs w:val="18"/>
              </w:rPr>
            </w:pPr>
            <w:r w:rsidRPr="00A44829">
              <w:rPr>
                <w:rFonts w:cs="Arial"/>
                <w:b/>
                <w:sz w:val="18"/>
                <w:szCs w:val="18"/>
              </w:rPr>
              <w:t>Urban Local Roads (km)</w:t>
            </w:r>
          </w:p>
        </w:tc>
      </w:tr>
      <w:tr w:rsidR="00F65645" w:rsidRPr="00A44829" w14:paraId="7E12BE35"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6AFEF9F8" w14:textId="77777777" w:rsidR="00F65645" w:rsidRPr="00A44829" w:rsidRDefault="00F65645" w:rsidP="0038375E">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52C88200" w14:textId="77777777" w:rsidR="00F65645" w:rsidRPr="00A44829" w:rsidRDefault="00F65645" w:rsidP="0038375E">
            <w:pPr>
              <w:spacing w:before="40" w:after="20"/>
              <w:jc w:val="center"/>
              <w:rPr>
                <w:rFonts w:cs="Arial"/>
                <w:sz w:val="16"/>
                <w:szCs w:val="16"/>
              </w:rPr>
            </w:pPr>
            <w:r w:rsidRPr="00A44829">
              <w:rPr>
                <w:rFonts w:cs="Arial"/>
                <w:sz w:val="16"/>
                <w:szCs w:val="16"/>
              </w:rPr>
              <w:t>&lt;500 vpd</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71300AD8" w14:textId="77777777" w:rsidR="00F65645" w:rsidRPr="00A44829" w:rsidRDefault="00F65645" w:rsidP="0038375E">
            <w:pPr>
              <w:spacing w:before="40" w:after="20"/>
              <w:jc w:val="center"/>
              <w:rPr>
                <w:rFonts w:cs="Arial"/>
                <w:sz w:val="16"/>
                <w:szCs w:val="16"/>
              </w:rPr>
            </w:pPr>
            <w:r w:rsidRPr="00A44829">
              <w:rPr>
                <w:rFonts w:cs="Arial"/>
                <w:sz w:val="16"/>
                <w:szCs w:val="16"/>
              </w:rPr>
              <w:t xml:space="preserve">500 to </w:t>
            </w:r>
            <w:r w:rsidR="00A61C23" w:rsidRPr="00A44829">
              <w:rPr>
                <w:rFonts w:cs="Arial"/>
                <w:sz w:val="16"/>
                <w:szCs w:val="16"/>
              </w:rPr>
              <w:br/>
            </w:r>
            <w:r w:rsidRPr="00A44829">
              <w:rPr>
                <w:rFonts w:cs="Arial"/>
                <w:sz w:val="16"/>
                <w:szCs w:val="16"/>
              </w:rPr>
              <w:t>&lt;1000 vpd</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B1D004C" w14:textId="77777777" w:rsidR="00F65645" w:rsidRPr="00A44829" w:rsidRDefault="00F65645" w:rsidP="0038375E">
            <w:pPr>
              <w:spacing w:before="40" w:after="20"/>
              <w:jc w:val="center"/>
              <w:rPr>
                <w:rFonts w:cs="Arial"/>
                <w:sz w:val="16"/>
                <w:szCs w:val="16"/>
              </w:rPr>
            </w:pPr>
            <w:r w:rsidRPr="00A44829">
              <w:rPr>
                <w:rFonts w:cs="Arial"/>
                <w:sz w:val="16"/>
                <w:szCs w:val="16"/>
              </w:rPr>
              <w:t xml:space="preserve">1000 to </w:t>
            </w:r>
            <w:r w:rsidR="00A61C23" w:rsidRPr="00A44829">
              <w:rPr>
                <w:rFonts w:cs="Arial"/>
                <w:sz w:val="16"/>
                <w:szCs w:val="16"/>
              </w:rPr>
              <w:br/>
            </w:r>
            <w:r w:rsidRPr="00A44829">
              <w:rPr>
                <w:rFonts w:cs="Arial"/>
                <w:sz w:val="16"/>
                <w:szCs w:val="16"/>
              </w:rPr>
              <w:t>&lt;5000 vpd</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2A138F5" w14:textId="77777777" w:rsidR="00F65645" w:rsidRPr="00A44829" w:rsidRDefault="00F65645" w:rsidP="0038375E">
            <w:pPr>
              <w:spacing w:before="40" w:after="20"/>
              <w:jc w:val="center"/>
              <w:rPr>
                <w:rFonts w:cs="Arial"/>
                <w:sz w:val="16"/>
                <w:szCs w:val="16"/>
              </w:rPr>
            </w:pPr>
            <w:r w:rsidRPr="00A44829">
              <w:rPr>
                <w:rFonts w:cs="Arial"/>
                <w:sz w:val="16"/>
                <w:szCs w:val="16"/>
              </w:rPr>
              <w:t>&gt;5000 vpd</w:t>
            </w:r>
          </w:p>
        </w:tc>
      </w:tr>
      <w:tr w:rsidR="00DC5BE9" w:rsidRPr="003E2D55" w14:paraId="52D673BC" w14:textId="77777777" w:rsidTr="00B44BBE">
        <w:trPr>
          <w:trHeight w:val="20"/>
          <w:tblHeader/>
        </w:trPr>
        <w:tc>
          <w:tcPr>
            <w:tcW w:w="2268" w:type="dxa"/>
            <w:tcBorders>
              <w:left w:val="nil"/>
              <w:bottom w:val="nil"/>
              <w:right w:val="single" w:sz="18" w:space="0" w:color="5F497A" w:themeColor="accent4" w:themeShade="BF"/>
            </w:tcBorders>
            <w:shd w:val="clear" w:color="auto" w:fill="auto"/>
            <w:vAlign w:val="center"/>
          </w:tcPr>
          <w:p w14:paraId="3017E1BB" w14:textId="77777777" w:rsidR="00DC5BE9" w:rsidRPr="003E2D55" w:rsidRDefault="00DC5BE9" w:rsidP="003E2D55">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F3B91B0" w14:textId="4D873093" w:rsidR="00DC5BE9" w:rsidRPr="003E2D55" w:rsidRDefault="00DC5BE9" w:rsidP="003E2D55">
            <w:pPr>
              <w:spacing w:before="40" w:after="20"/>
              <w:jc w:val="right"/>
              <w:rPr>
                <w:rFonts w:cs="Arial"/>
                <w:sz w:val="18"/>
                <w:szCs w:val="18"/>
              </w:rPr>
            </w:pPr>
            <w:r w:rsidRPr="003E2D55">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4B50BCBE" w14:textId="77777777" w:rsidR="00DC5BE9" w:rsidRPr="003E2D55" w:rsidRDefault="00DC5BE9" w:rsidP="003E2D55">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73659A84" w14:textId="77777777" w:rsidR="00DC5BE9" w:rsidRPr="003E2D55" w:rsidRDefault="00DC5BE9" w:rsidP="003E2D55">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1BE59D76" w14:textId="237A1527" w:rsidR="00DC5BE9" w:rsidRPr="003E2D55" w:rsidRDefault="00DC5BE9" w:rsidP="003E2D55">
            <w:pPr>
              <w:spacing w:before="40" w:after="20"/>
              <w:jc w:val="right"/>
              <w:rPr>
                <w:rFonts w:cs="Arial"/>
                <w:sz w:val="18"/>
                <w:szCs w:val="18"/>
              </w:rPr>
            </w:pPr>
            <w:r w:rsidRPr="003E2D55">
              <w:rPr>
                <w:rFonts w:cs="Arial"/>
                <w:sz w:val="18"/>
                <w:szCs w:val="18"/>
              </w:rPr>
              <w:t> </w:t>
            </w:r>
          </w:p>
        </w:tc>
      </w:tr>
      <w:tr w:rsidR="00DC5BE9" w:rsidRPr="003E2D55" w14:paraId="37C72C2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822D229" w14:textId="77777777" w:rsidR="00DC5BE9" w:rsidRPr="003E2D55" w:rsidRDefault="00DC5BE9" w:rsidP="003E2D55">
            <w:pPr>
              <w:spacing w:before="40" w:after="20"/>
              <w:rPr>
                <w:rFonts w:cs="Arial"/>
                <w:sz w:val="18"/>
                <w:szCs w:val="18"/>
              </w:rPr>
            </w:pPr>
            <w:r w:rsidRPr="003E2D55">
              <w:rPr>
                <w:rFonts w:cs="Arial"/>
                <w:sz w:val="18"/>
                <w:szCs w:val="18"/>
              </w:rPr>
              <w:t>Macedon Ranges S</w:t>
            </w:r>
          </w:p>
        </w:tc>
        <w:tc>
          <w:tcPr>
            <w:tcW w:w="1361" w:type="dxa"/>
            <w:tcBorders>
              <w:top w:val="nil"/>
              <w:left w:val="single" w:sz="18" w:space="0" w:color="5F497A" w:themeColor="accent4" w:themeShade="BF"/>
              <w:bottom w:val="nil"/>
              <w:right w:val="nil"/>
            </w:tcBorders>
            <w:shd w:val="clear" w:color="auto" w:fill="auto"/>
            <w:vAlign w:val="bottom"/>
          </w:tcPr>
          <w:p w14:paraId="3AE520B9" w14:textId="1D8A399C" w:rsidR="00DC5BE9" w:rsidRPr="003E2D55" w:rsidRDefault="00DC5BE9" w:rsidP="003E2D55">
            <w:pPr>
              <w:spacing w:before="40" w:after="20"/>
              <w:jc w:val="right"/>
              <w:rPr>
                <w:rFonts w:cs="Arial"/>
                <w:sz w:val="18"/>
                <w:szCs w:val="18"/>
              </w:rPr>
            </w:pPr>
            <w:r w:rsidRPr="003E2D55">
              <w:rPr>
                <w:rFonts w:cs="Arial"/>
                <w:sz w:val="18"/>
                <w:szCs w:val="18"/>
              </w:rPr>
              <w:t>990,211</w:t>
            </w:r>
          </w:p>
        </w:tc>
        <w:tc>
          <w:tcPr>
            <w:tcW w:w="1361" w:type="dxa"/>
            <w:tcBorders>
              <w:top w:val="nil"/>
              <w:left w:val="nil"/>
              <w:bottom w:val="nil"/>
              <w:right w:val="nil"/>
            </w:tcBorders>
            <w:shd w:val="clear" w:color="auto" w:fill="auto"/>
            <w:vAlign w:val="bottom"/>
          </w:tcPr>
          <w:p w14:paraId="03252B08" w14:textId="5AD0D13D" w:rsidR="00DC5BE9" w:rsidRPr="003E2D55" w:rsidRDefault="00DC5BE9" w:rsidP="003E2D55">
            <w:pPr>
              <w:spacing w:before="40" w:after="20"/>
              <w:jc w:val="right"/>
              <w:rPr>
                <w:rFonts w:cs="Arial"/>
                <w:sz w:val="18"/>
                <w:szCs w:val="18"/>
              </w:rPr>
            </w:pPr>
            <w:r w:rsidRPr="003E2D55">
              <w:rPr>
                <w:rFonts w:cs="Arial"/>
                <w:sz w:val="18"/>
                <w:szCs w:val="18"/>
              </w:rPr>
              <w:t>1,422,509</w:t>
            </w:r>
          </w:p>
        </w:tc>
        <w:tc>
          <w:tcPr>
            <w:tcW w:w="1361" w:type="dxa"/>
            <w:tcBorders>
              <w:top w:val="nil"/>
              <w:left w:val="nil"/>
              <w:bottom w:val="nil"/>
              <w:right w:val="nil"/>
            </w:tcBorders>
            <w:shd w:val="clear" w:color="auto" w:fill="auto"/>
            <w:vAlign w:val="bottom"/>
          </w:tcPr>
          <w:p w14:paraId="43F092DF" w14:textId="17F7FA83" w:rsidR="00DC5BE9" w:rsidRPr="003E2D55" w:rsidRDefault="00DC5BE9" w:rsidP="003E2D55">
            <w:pPr>
              <w:spacing w:before="40" w:after="20"/>
              <w:jc w:val="right"/>
              <w:rPr>
                <w:rFonts w:cs="Arial"/>
                <w:sz w:val="18"/>
                <w:szCs w:val="18"/>
              </w:rPr>
            </w:pPr>
            <w:r w:rsidRPr="003E2D55">
              <w:rPr>
                <w:rFonts w:cs="Arial"/>
                <w:sz w:val="18"/>
                <w:szCs w:val="18"/>
              </w:rPr>
              <w:t>885,814</w:t>
            </w:r>
          </w:p>
        </w:tc>
        <w:tc>
          <w:tcPr>
            <w:tcW w:w="1361" w:type="dxa"/>
            <w:tcBorders>
              <w:top w:val="nil"/>
              <w:left w:val="nil"/>
              <w:bottom w:val="nil"/>
              <w:right w:val="nil"/>
            </w:tcBorders>
            <w:shd w:val="clear" w:color="auto" w:fill="auto"/>
            <w:vAlign w:val="bottom"/>
          </w:tcPr>
          <w:p w14:paraId="7F3F3AFE" w14:textId="1F5235E7" w:rsidR="00DC5BE9" w:rsidRPr="003E2D55" w:rsidRDefault="00DC5BE9" w:rsidP="003E2D55">
            <w:pPr>
              <w:spacing w:before="40" w:after="20"/>
              <w:jc w:val="right"/>
              <w:rPr>
                <w:rFonts w:cs="Arial"/>
                <w:sz w:val="18"/>
                <w:szCs w:val="18"/>
              </w:rPr>
            </w:pPr>
            <w:r w:rsidRPr="003E2D55">
              <w:rPr>
                <w:rFonts w:cs="Arial"/>
                <w:sz w:val="18"/>
                <w:szCs w:val="18"/>
              </w:rPr>
              <w:t>23,310</w:t>
            </w:r>
          </w:p>
        </w:tc>
      </w:tr>
      <w:tr w:rsidR="00DC5BE9" w:rsidRPr="003E2D55" w14:paraId="17B7FA7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EF5434E" w14:textId="77777777" w:rsidR="00DC5BE9" w:rsidRPr="003E2D55" w:rsidRDefault="00DC5BE9" w:rsidP="003E2D55">
            <w:pPr>
              <w:spacing w:before="40" w:after="20"/>
              <w:rPr>
                <w:rFonts w:cs="Arial"/>
                <w:sz w:val="18"/>
                <w:szCs w:val="18"/>
              </w:rPr>
            </w:pPr>
            <w:r w:rsidRPr="003E2D55">
              <w:rPr>
                <w:rFonts w:cs="Arial"/>
                <w:sz w:val="18"/>
                <w:szCs w:val="18"/>
              </w:rPr>
              <w:t>Manningham C</w:t>
            </w:r>
          </w:p>
        </w:tc>
        <w:tc>
          <w:tcPr>
            <w:tcW w:w="1361" w:type="dxa"/>
            <w:tcBorders>
              <w:top w:val="nil"/>
              <w:left w:val="single" w:sz="18" w:space="0" w:color="5F497A" w:themeColor="accent4" w:themeShade="BF"/>
              <w:bottom w:val="nil"/>
              <w:right w:val="nil"/>
            </w:tcBorders>
            <w:shd w:val="clear" w:color="auto" w:fill="auto"/>
            <w:vAlign w:val="bottom"/>
          </w:tcPr>
          <w:p w14:paraId="52240C8F" w14:textId="2FEAAF3E" w:rsidR="00DC5BE9" w:rsidRPr="003E2D55" w:rsidRDefault="00DC5BE9" w:rsidP="003E2D55">
            <w:pPr>
              <w:spacing w:before="40" w:after="20"/>
              <w:jc w:val="right"/>
              <w:rPr>
                <w:rFonts w:cs="Arial"/>
                <w:sz w:val="18"/>
                <w:szCs w:val="18"/>
              </w:rPr>
            </w:pPr>
            <w:r w:rsidRPr="003E2D55">
              <w:rPr>
                <w:rFonts w:cs="Arial"/>
                <w:sz w:val="18"/>
                <w:szCs w:val="18"/>
              </w:rPr>
              <w:t>1,839,578</w:t>
            </w:r>
          </w:p>
        </w:tc>
        <w:tc>
          <w:tcPr>
            <w:tcW w:w="1361" w:type="dxa"/>
            <w:tcBorders>
              <w:top w:val="nil"/>
              <w:left w:val="nil"/>
              <w:bottom w:val="nil"/>
              <w:right w:val="nil"/>
            </w:tcBorders>
            <w:shd w:val="clear" w:color="auto" w:fill="auto"/>
            <w:vAlign w:val="bottom"/>
          </w:tcPr>
          <w:p w14:paraId="4C02A24A" w14:textId="5951AC92" w:rsidR="00DC5BE9" w:rsidRPr="003E2D55" w:rsidRDefault="00DC5BE9" w:rsidP="003E2D55">
            <w:pPr>
              <w:spacing w:before="40" w:after="20"/>
              <w:jc w:val="right"/>
              <w:rPr>
                <w:rFonts w:cs="Arial"/>
                <w:sz w:val="18"/>
                <w:szCs w:val="18"/>
              </w:rPr>
            </w:pPr>
            <w:r w:rsidRPr="003E2D55">
              <w:rPr>
                <w:rFonts w:cs="Arial"/>
                <w:sz w:val="18"/>
                <w:szCs w:val="18"/>
              </w:rPr>
              <w:t>666,711</w:t>
            </w:r>
          </w:p>
        </w:tc>
        <w:tc>
          <w:tcPr>
            <w:tcW w:w="1361" w:type="dxa"/>
            <w:tcBorders>
              <w:top w:val="nil"/>
              <w:left w:val="nil"/>
              <w:bottom w:val="nil"/>
              <w:right w:val="nil"/>
            </w:tcBorders>
            <w:shd w:val="clear" w:color="auto" w:fill="auto"/>
            <w:vAlign w:val="bottom"/>
          </w:tcPr>
          <w:p w14:paraId="1C18D0A5" w14:textId="2D564F15" w:rsidR="00DC5BE9" w:rsidRPr="003E2D55" w:rsidRDefault="00DC5BE9" w:rsidP="003E2D55">
            <w:pPr>
              <w:spacing w:before="40" w:after="20"/>
              <w:jc w:val="right"/>
              <w:rPr>
                <w:rFonts w:cs="Arial"/>
                <w:sz w:val="18"/>
                <w:szCs w:val="18"/>
              </w:rPr>
            </w:pPr>
            <w:r w:rsidRPr="003E2D55">
              <w:rPr>
                <w:rFonts w:cs="Arial"/>
                <w:sz w:val="18"/>
                <w:szCs w:val="18"/>
              </w:rPr>
              <w:t>856,346</w:t>
            </w:r>
          </w:p>
        </w:tc>
        <w:tc>
          <w:tcPr>
            <w:tcW w:w="1361" w:type="dxa"/>
            <w:tcBorders>
              <w:top w:val="nil"/>
              <w:left w:val="nil"/>
              <w:bottom w:val="nil"/>
              <w:right w:val="nil"/>
            </w:tcBorders>
            <w:shd w:val="clear" w:color="auto" w:fill="auto"/>
            <w:vAlign w:val="bottom"/>
          </w:tcPr>
          <w:p w14:paraId="7F0902A9" w14:textId="63249DA3" w:rsidR="00DC5BE9" w:rsidRPr="003E2D55" w:rsidRDefault="00DC5BE9" w:rsidP="003E2D55">
            <w:pPr>
              <w:spacing w:before="40" w:after="20"/>
              <w:jc w:val="right"/>
              <w:rPr>
                <w:rFonts w:cs="Arial"/>
                <w:sz w:val="18"/>
                <w:szCs w:val="18"/>
              </w:rPr>
            </w:pPr>
            <w:r w:rsidRPr="003E2D55">
              <w:rPr>
                <w:rFonts w:cs="Arial"/>
                <w:sz w:val="18"/>
                <w:szCs w:val="18"/>
              </w:rPr>
              <w:t>65,657</w:t>
            </w:r>
          </w:p>
        </w:tc>
      </w:tr>
      <w:tr w:rsidR="00DC5BE9" w:rsidRPr="003E2D55" w14:paraId="6AAA44C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811793C" w14:textId="77777777" w:rsidR="00DC5BE9" w:rsidRPr="003E2D55" w:rsidRDefault="00DC5BE9" w:rsidP="003E2D55">
            <w:pPr>
              <w:spacing w:before="40" w:after="20"/>
              <w:rPr>
                <w:rFonts w:cs="Arial"/>
                <w:sz w:val="18"/>
                <w:szCs w:val="18"/>
              </w:rPr>
            </w:pPr>
            <w:r w:rsidRPr="003E2D55">
              <w:rPr>
                <w:rFonts w:cs="Arial"/>
                <w:sz w:val="18"/>
                <w:szCs w:val="18"/>
              </w:rPr>
              <w:t>Mansfield S</w:t>
            </w:r>
          </w:p>
        </w:tc>
        <w:tc>
          <w:tcPr>
            <w:tcW w:w="1361" w:type="dxa"/>
            <w:tcBorders>
              <w:top w:val="nil"/>
              <w:left w:val="single" w:sz="18" w:space="0" w:color="5F497A" w:themeColor="accent4" w:themeShade="BF"/>
              <w:bottom w:val="nil"/>
              <w:right w:val="nil"/>
            </w:tcBorders>
            <w:shd w:val="clear" w:color="auto" w:fill="auto"/>
            <w:vAlign w:val="bottom"/>
          </w:tcPr>
          <w:p w14:paraId="2164B4E3" w14:textId="0EC05B39" w:rsidR="00DC5BE9" w:rsidRPr="003E2D55" w:rsidRDefault="00DC5BE9" w:rsidP="003E2D55">
            <w:pPr>
              <w:spacing w:before="40" w:after="20"/>
              <w:jc w:val="right"/>
              <w:rPr>
                <w:rFonts w:cs="Arial"/>
                <w:sz w:val="18"/>
                <w:szCs w:val="18"/>
              </w:rPr>
            </w:pPr>
            <w:r w:rsidRPr="003E2D55">
              <w:rPr>
                <w:rFonts w:cs="Arial"/>
                <w:sz w:val="18"/>
                <w:szCs w:val="18"/>
              </w:rPr>
              <w:t>462,271</w:t>
            </w:r>
          </w:p>
        </w:tc>
        <w:tc>
          <w:tcPr>
            <w:tcW w:w="1361" w:type="dxa"/>
            <w:tcBorders>
              <w:top w:val="nil"/>
              <w:left w:val="nil"/>
              <w:bottom w:val="nil"/>
              <w:right w:val="nil"/>
            </w:tcBorders>
            <w:shd w:val="clear" w:color="auto" w:fill="auto"/>
            <w:vAlign w:val="bottom"/>
          </w:tcPr>
          <w:p w14:paraId="2F7C23E2" w14:textId="0478477E" w:rsidR="00DC5BE9" w:rsidRPr="003E2D55" w:rsidRDefault="00DC5BE9" w:rsidP="003E2D55">
            <w:pPr>
              <w:spacing w:before="40" w:after="20"/>
              <w:jc w:val="right"/>
              <w:rPr>
                <w:rFonts w:cs="Arial"/>
                <w:sz w:val="18"/>
                <w:szCs w:val="18"/>
              </w:rPr>
            </w:pPr>
            <w:r w:rsidRPr="003E2D55">
              <w:rPr>
                <w:rFonts w:cs="Arial"/>
                <w:sz w:val="18"/>
                <w:szCs w:val="18"/>
              </w:rPr>
              <w:t>86,912</w:t>
            </w:r>
          </w:p>
        </w:tc>
        <w:tc>
          <w:tcPr>
            <w:tcW w:w="1361" w:type="dxa"/>
            <w:tcBorders>
              <w:top w:val="nil"/>
              <w:left w:val="nil"/>
              <w:bottom w:val="nil"/>
              <w:right w:val="nil"/>
            </w:tcBorders>
            <w:shd w:val="clear" w:color="auto" w:fill="auto"/>
            <w:vAlign w:val="bottom"/>
          </w:tcPr>
          <w:p w14:paraId="48797084" w14:textId="155B5F94" w:rsidR="00DC5BE9" w:rsidRPr="003E2D55" w:rsidRDefault="00DC5BE9" w:rsidP="003E2D55">
            <w:pPr>
              <w:spacing w:before="40" w:after="20"/>
              <w:jc w:val="right"/>
              <w:rPr>
                <w:rFonts w:cs="Arial"/>
                <w:sz w:val="18"/>
                <w:szCs w:val="18"/>
              </w:rPr>
            </w:pPr>
            <w:r w:rsidRPr="003E2D55">
              <w:rPr>
                <w:rFonts w:cs="Arial"/>
                <w:sz w:val="18"/>
                <w:szCs w:val="18"/>
              </w:rPr>
              <w:t>64,027</w:t>
            </w:r>
          </w:p>
        </w:tc>
        <w:tc>
          <w:tcPr>
            <w:tcW w:w="1361" w:type="dxa"/>
            <w:tcBorders>
              <w:top w:val="nil"/>
              <w:left w:val="nil"/>
              <w:bottom w:val="nil"/>
              <w:right w:val="nil"/>
            </w:tcBorders>
            <w:shd w:val="clear" w:color="auto" w:fill="auto"/>
            <w:vAlign w:val="bottom"/>
          </w:tcPr>
          <w:p w14:paraId="75DE4281" w14:textId="6D6E6A15"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4939418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11E42B8" w14:textId="77777777" w:rsidR="00DC5BE9" w:rsidRPr="003E2D55" w:rsidRDefault="00DC5BE9" w:rsidP="003E2D55">
            <w:pPr>
              <w:spacing w:before="40" w:after="20"/>
              <w:rPr>
                <w:rFonts w:cs="Arial"/>
                <w:sz w:val="18"/>
                <w:szCs w:val="18"/>
              </w:rPr>
            </w:pPr>
            <w:r w:rsidRPr="003E2D55">
              <w:rPr>
                <w:rFonts w:cs="Arial"/>
                <w:sz w:val="18"/>
                <w:szCs w:val="18"/>
              </w:rPr>
              <w:t>Maribyrnong C</w:t>
            </w:r>
          </w:p>
        </w:tc>
        <w:tc>
          <w:tcPr>
            <w:tcW w:w="1361" w:type="dxa"/>
            <w:tcBorders>
              <w:top w:val="nil"/>
              <w:left w:val="single" w:sz="18" w:space="0" w:color="5F497A" w:themeColor="accent4" w:themeShade="BF"/>
              <w:bottom w:val="nil"/>
              <w:right w:val="nil"/>
            </w:tcBorders>
            <w:shd w:val="clear" w:color="auto" w:fill="auto"/>
            <w:vAlign w:val="bottom"/>
          </w:tcPr>
          <w:p w14:paraId="20F242F2" w14:textId="3FE8A61C" w:rsidR="00DC5BE9" w:rsidRPr="003E2D55" w:rsidRDefault="00DC5BE9" w:rsidP="003E2D55">
            <w:pPr>
              <w:spacing w:before="40" w:after="20"/>
              <w:jc w:val="right"/>
              <w:rPr>
                <w:rFonts w:cs="Arial"/>
                <w:sz w:val="18"/>
                <w:szCs w:val="18"/>
              </w:rPr>
            </w:pPr>
            <w:r w:rsidRPr="003E2D55">
              <w:rPr>
                <w:rFonts w:cs="Arial"/>
                <w:sz w:val="18"/>
                <w:szCs w:val="18"/>
              </w:rPr>
              <w:t>1,087,336</w:t>
            </w:r>
          </w:p>
        </w:tc>
        <w:tc>
          <w:tcPr>
            <w:tcW w:w="1361" w:type="dxa"/>
            <w:tcBorders>
              <w:top w:val="nil"/>
              <w:left w:val="nil"/>
              <w:bottom w:val="nil"/>
              <w:right w:val="nil"/>
            </w:tcBorders>
            <w:shd w:val="clear" w:color="auto" w:fill="auto"/>
            <w:vAlign w:val="bottom"/>
          </w:tcPr>
          <w:p w14:paraId="08FEF6F0" w14:textId="5B394B06" w:rsidR="00DC5BE9" w:rsidRPr="003E2D55" w:rsidRDefault="00DC5BE9" w:rsidP="003E2D55">
            <w:pPr>
              <w:spacing w:before="40" w:after="20"/>
              <w:jc w:val="right"/>
              <w:rPr>
                <w:rFonts w:cs="Arial"/>
                <w:sz w:val="18"/>
                <w:szCs w:val="18"/>
              </w:rPr>
            </w:pPr>
            <w:r w:rsidRPr="003E2D55">
              <w:rPr>
                <w:rFonts w:cs="Arial"/>
                <w:sz w:val="18"/>
                <w:szCs w:val="18"/>
              </w:rPr>
              <w:t>614,026</w:t>
            </w:r>
          </w:p>
        </w:tc>
        <w:tc>
          <w:tcPr>
            <w:tcW w:w="1361" w:type="dxa"/>
            <w:tcBorders>
              <w:top w:val="nil"/>
              <w:left w:val="nil"/>
              <w:bottom w:val="nil"/>
              <w:right w:val="nil"/>
            </w:tcBorders>
            <w:shd w:val="clear" w:color="auto" w:fill="auto"/>
            <w:vAlign w:val="bottom"/>
          </w:tcPr>
          <w:p w14:paraId="3854116E" w14:textId="400010A1" w:rsidR="00DC5BE9" w:rsidRPr="003E2D55" w:rsidRDefault="00DC5BE9" w:rsidP="003E2D55">
            <w:pPr>
              <w:spacing w:before="40" w:after="20"/>
              <w:jc w:val="right"/>
              <w:rPr>
                <w:rFonts w:cs="Arial"/>
                <w:sz w:val="18"/>
                <w:szCs w:val="18"/>
              </w:rPr>
            </w:pPr>
            <w:r w:rsidRPr="003E2D55">
              <w:rPr>
                <w:rFonts w:cs="Arial"/>
                <w:sz w:val="18"/>
                <w:szCs w:val="18"/>
              </w:rPr>
              <w:t>733,238</w:t>
            </w:r>
          </w:p>
        </w:tc>
        <w:tc>
          <w:tcPr>
            <w:tcW w:w="1361" w:type="dxa"/>
            <w:tcBorders>
              <w:top w:val="nil"/>
              <w:left w:val="nil"/>
              <w:bottom w:val="nil"/>
              <w:right w:val="nil"/>
            </w:tcBorders>
            <w:shd w:val="clear" w:color="auto" w:fill="auto"/>
            <w:vAlign w:val="bottom"/>
          </w:tcPr>
          <w:p w14:paraId="0C2D844D" w14:textId="5D8AB618" w:rsidR="00DC5BE9" w:rsidRPr="003E2D55" w:rsidRDefault="00DC5BE9" w:rsidP="003E2D55">
            <w:pPr>
              <w:spacing w:before="40" w:after="20"/>
              <w:jc w:val="right"/>
              <w:rPr>
                <w:rFonts w:cs="Arial"/>
                <w:sz w:val="18"/>
                <w:szCs w:val="18"/>
              </w:rPr>
            </w:pPr>
            <w:r w:rsidRPr="003E2D55">
              <w:rPr>
                <w:rFonts w:cs="Arial"/>
                <w:sz w:val="18"/>
                <w:szCs w:val="18"/>
              </w:rPr>
              <w:t>1,090,572</w:t>
            </w:r>
          </w:p>
        </w:tc>
      </w:tr>
      <w:tr w:rsidR="00DC5BE9" w:rsidRPr="003E2D55" w14:paraId="7DC2ADA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494DEA5" w14:textId="77777777" w:rsidR="00DC5BE9" w:rsidRPr="003E2D55" w:rsidRDefault="00DC5BE9" w:rsidP="003E2D55">
            <w:pPr>
              <w:spacing w:before="40" w:after="20"/>
              <w:rPr>
                <w:rFonts w:cs="Arial"/>
                <w:sz w:val="18"/>
                <w:szCs w:val="18"/>
              </w:rPr>
            </w:pPr>
            <w:r w:rsidRPr="003E2D55">
              <w:rPr>
                <w:rFonts w:cs="Arial"/>
                <w:sz w:val="18"/>
                <w:szCs w:val="18"/>
              </w:rPr>
              <w:t>Maroondah C</w:t>
            </w:r>
          </w:p>
        </w:tc>
        <w:tc>
          <w:tcPr>
            <w:tcW w:w="1361" w:type="dxa"/>
            <w:tcBorders>
              <w:top w:val="nil"/>
              <w:left w:val="single" w:sz="18" w:space="0" w:color="5F497A" w:themeColor="accent4" w:themeShade="BF"/>
              <w:bottom w:val="nil"/>
              <w:right w:val="nil"/>
            </w:tcBorders>
            <w:shd w:val="clear" w:color="auto" w:fill="auto"/>
            <w:vAlign w:val="bottom"/>
          </w:tcPr>
          <w:p w14:paraId="4E2E35A9" w14:textId="2D78AD1B" w:rsidR="00DC5BE9" w:rsidRPr="003E2D55" w:rsidRDefault="00DC5BE9" w:rsidP="003E2D55">
            <w:pPr>
              <w:spacing w:before="40" w:after="20"/>
              <w:jc w:val="right"/>
              <w:rPr>
                <w:rFonts w:cs="Arial"/>
                <w:sz w:val="18"/>
                <w:szCs w:val="18"/>
              </w:rPr>
            </w:pPr>
            <w:r w:rsidRPr="003E2D55">
              <w:rPr>
                <w:rFonts w:cs="Arial"/>
                <w:sz w:val="18"/>
                <w:szCs w:val="18"/>
              </w:rPr>
              <w:t>1,581,657</w:t>
            </w:r>
          </w:p>
        </w:tc>
        <w:tc>
          <w:tcPr>
            <w:tcW w:w="1361" w:type="dxa"/>
            <w:tcBorders>
              <w:top w:val="nil"/>
              <w:left w:val="nil"/>
              <w:bottom w:val="nil"/>
              <w:right w:val="nil"/>
            </w:tcBorders>
            <w:shd w:val="clear" w:color="auto" w:fill="auto"/>
            <w:vAlign w:val="bottom"/>
          </w:tcPr>
          <w:p w14:paraId="5DCD6671" w14:textId="0995BE5A" w:rsidR="00DC5BE9" w:rsidRPr="003E2D55" w:rsidRDefault="00DC5BE9" w:rsidP="003E2D55">
            <w:pPr>
              <w:spacing w:before="40" w:after="20"/>
              <w:jc w:val="right"/>
              <w:rPr>
                <w:rFonts w:cs="Arial"/>
                <w:sz w:val="18"/>
                <w:szCs w:val="18"/>
              </w:rPr>
            </w:pPr>
            <w:r w:rsidRPr="003E2D55">
              <w:rPr>
                <w:rFonts w:cs="Arial"/>
                <w:sz w:val="18"/>
                <w:szCs w:val="18"/>
              </w:rPr>
              <w:t>980,277</w:t>
            </w:r>
          </w:p>
        </w:tc>
        <w:tc>
          <w:tcPr>
            <w:tcW w:w="1361" w:type="dxa"/>
            <w:tcBorders>
              <w:top w:val="nil"/>
              <w:left w:val="nil"/>
              <w:bottom w:val="nil"/>
              <w:right w:val="nil"/>
            </w:tcBorders>
            <w:shd w:val="clear" w:color="auto" w:fill="auto"/>
            <w:vAlign w:val="bottom"/>
          </w:tcPr>
          <w:p w14:paraId="2BDFD2EC" w14:textId="50B4387E" w:rsidR="00DC5BE9" w:rsidRPr="003E2D55" w:rsidRDefault="00DC5BE9" w:rsidP="003E2D55">
            <w:pPr>
              <w:spacing w:before="40" w:after="20"/>
              <w:jc w:val="right"/>
              <w:rPr>
                <w:rFonts w:cs="Arial"/>
                <w:sz w:val="18"/>
                <w:szCs w:val="18"/>
              </w:rPr>
            </w:pPr>
            <w:r w:rsidRPr="003E2D55">
              <w:rPr>
                <w:rFonts w:cs="Arial"/>
                <w:sz w:val="18"/>
                <w:szCs w:val="18"/>
              </w:rPr>
              <w:t>1,333,169</w:t>
            </w:r>
          </w:p>
        </w:tc>
        <w:tc>
          <w:tcPr>
            <w:tcW w:w="1361" w:type="dxa"/>
            <w:tcBorders>
              <w:top w:val="nil"/>
              <w:left w:val="nil"/>
              <w:bottom w:val="nil"/>
              <w:right w:val="nil"/>
            </w:tcBorders>
            <w:shd w:val="clear" w:color="auto" w:fill="auto"/>
            <w:vAlign w:val="bottom"/>
          </w:tcPr>
          <w:p w14:paraId="44AB615B" w14:textId="2CE823A6" w:rsidR="00DC5BE9" w:rsidRPr="003E2D55" w:rsidRDefault="00DC5BE9" w:rsidP="003E2D55">
            <w:pPr>
              <w:spacing w:before="40" w:after="20"/>
              <w:jc w:val="right"/>
              <w:rPr>
                <w:rFonts w:cs="Arial"/>
                <w:sz w:val="18"/>
                <w:szCs w:val="18"/>
              </w:rPr>
            </w:pPr>
            <w:r w:rsidRPr="003E2D55">
              <w:rPr>
                <w:rFonts w:cs="Arial"/>
                <w:sz w:val="18"/>
                <w:szCs w:val="18"/>
              </w:rPr>
              <w:t>825,817</w:t>
            </w:r>
          </w:p>
        </w:tc>
      </w:tr>
      <w:tr w:rsidR="00DC5BE9" w:rsidRPr="003E2D55" w14:paraId="2FCA8DE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08DF34F" w14:textId="77777777" w:rsidR="00DC5BE9" w:rsidRPr="003E2D55" w:rsidRDefault="00DC5BE9" w:rsidP="003E2D55">
            <w:pPr>
              <w:spacing w:before="40" w:after="20"/>
              <w:rPr>
                <w:rFonts w:cs="Arial"/>
                <w:sz w:val="18"/>
                <w:szCs w:val="18"/>
              </w:rPr>
            </w:pPr>
            <w:r w:rsidRPr="003E2D55">
              <w:rPr>
                <w:rFonts w:cs="Arial"/>
                <w:sz w:val="18"/>
                <w:szCs w:val="18"/>
              </w:rPr>
              <w:t>Melbourne C</w:t>
            </w:r>
          </w:p>
        </w:tc>
        <w:tc>
          <w:tcPr>
            <w:tcW w:w="1361" w:type="dxa"/>
            <w:tcBorders>
              <w:top w:val="nil"/>
              <w:left w:val="single" w:sz="18" w:space="0" w:color="5F497A" w:themeColor="accent4" w:themeShade="BF"/>
              <w:bottom w:val="nil"/>
              <w:right w:val="nil"/>
            </w:tcBorders>
            <w:shd w:val="clear" w:color="auto" w:fill="auto"/>
            <w:vAlign w:val="bottom"/>
          </w:tcPr>
          <w:p w14:paraId="50BBE45B" w14:textId="60AC6408" w:rsidR="00DC5BE9" w:rsidRPr="003E2D55" w:rsidRDefault="00DC5BE9" w:rsidP="003E2D55">
            <w:pPr>
              <w:spacing w:before="40" w:after="20"/>
              <w:jc w:val="right"/>
              <w:rPr>
                <w:rFonts w:cs="Arial"/>
                <w:sz w:val="18"/>
                <w:szCs w:val="18"/>
              </w:rPr>
            </w:pPr>
            <w:r w:rsidRPr="003E2D55">
              <w:rPr>
                <w:rFonts w:cs="Arial"/>
                <w:sz w:val="18"/>
                <w:szCs w:val="18"/>
              </w:rPr>
              <w:t>708,718</w:t>
            </w:r>
          </w:p>
        </w:tc>
        <w:tc>
          <w:tcPr>
            <w:tcW w:w="1361" w:type="dxa"/>
            <w:tcBorders>
              <w:top w:val="nil"/>
              <w:left w:val="nil"/>
              <w:bottom w:val="nil"/>
              <w:right w:val="nil"/>
            </w:tcBorders>
            <w:shd w:val="clear" w:color="auto" w:fill="auto"/>
            <w:vAlign w:val="bottom"/>
          </w:tcPr>
          <w:p w14:paraId="53345BE9" w14:textId="508660BF" w:rsidR="00DC5BE9" w:rsidRPr="003E2D55" w:rsidRDefault="00DC5BE9" w:rsidP="003E2D55">
            <w:pPr>
              <w:spacing w:before="40" w:after="20"/>
              <w:jc w:val="right"/>
              <w:rPr>
                <w:rFonts w:cs="Arial"/>
                <w:sz w:val="18"/>
                <w:szCs w:val="18"/>
              </w:rPr>
            </w:pPr>
            <w:r w:rsidRPr="003E2D55">
              <w:rPr>
                <w:rFonts w:cs="Arial"/>
                <w:sz w:val="18"/>
                <w:szCs w:val="18"/>
              </w:rPr>
              <w:t>378,774</w:t>
            </w:r>
          </w:p>
        </w:tc>
        <w:tc>
          <w:tcPr>
            <w:tcW w:w="1361" w:type="dxa"/>
            <w:tcBorders>
              <w:top w:val="nil"/>
              <w:left w:val="nil"/>
              <w:bottom w:val="nil"/>
              <w:right w:val="nil"/>
            </w:tcBorders>
            <w:shd w:val="clear" w:color="auto" w:fill="auto"/>
            <w:vAlign w:val="bottom"/>
          </w:tcPr>
          <w:p w14:paraId="1AB6E638" w14:textId="4E3A510F" w:rsidR="00DC5BE9" w:rsidRPr="003E2D55" w:rsidRDefault="00DC5BE9" w:rsidP="003E2D55">
            <w:pPr>
              <w:spacing w:before="40" w:after="20"/>
              <w:jc w:val="right"/>
              <w:rPr>
                <w:rFonts w:cs="Arial"/>
                <w:sz w:val="18"/>
                <w:szCs w:val="18"/>
              </w:rPr>
            </w:pPr>
            <w:r w:rsidRPr="003E2D55">
              <w:rPr>
                <w:rFonts w:cs="Arial"/>
                <w:sz w:val="18"/>
                <w:szCs w:val="18"/>
              </w:rPr>
              <w:t>866,763</w:t>
            </w:r>
          </w:p>
        </w:tc>
        <w:tc>
          <w:tcPr>
            <w:tcW w:w="1361" w:type="dxa"/>
            <w:tcBorders>
              <w:top w:val="nil"/>
              <w:left w:val="nil"/>
              <w:bottom w:val="nil"/>
              <w:right w:val="nil"/>
            </w:tcBorders>
            <w:shd w:val="clear" w:color="auto" w:fill="auto"/>
            <w:vAlign w:val="bottom"/>
          </w:tcPr>
          <w:p w14:paraId="75AAAD62" w14:textId="2E4485D7" w:rsidR="00DC5BE9" w:rsidRPr="003E2D55" w:rsidRDefault="00DC5BE9" w:rsidP="003E2D55">
            <w:pPr>
              <w:spacing w:before="40" w:after="20"/>
              <w:jc w:val="right"/>
              <w:rPr>
                <w:rFonts w:cs="Arial"/>
                <w:sz w:val="18"/>
                <w:szCs w:val="18"/>
              </w:rPr>
            </w:pPr>
            <w:r w:rsidRPr="003E2D55">
              <w:rPr>
                <w:rFonts w:cs="Arial"/>
                <w:sz w:val="18"/>
                <w:szCs w:val="18"/>
              </w:rPr>
              <w:t>1,182,667</w:t>
            </w:r>
          </w:p>
        </w:tc>
      </w:tr>
      <w:tr w:rsidR="00DC5BE9" w:rsidRPr="003E2D55" w14:paraId="1AB111C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8B28FCB" w14:textId="77777777" w:rsidR="00DC5BE9" w:rsidRPr="003E2D55" w:rsidRDefault="00DC5BE9" w:rsidP="003E2D55">
            <w:pPr>
              <w:spacing w:before="40" w:after="20"/>
              <w:rPr>
                <w:rFonts w:cs="Arial"/>
                <w:sz w:val="18"/>
                <w:szCs w:val="18"/>
              </w:rPr>
            </w:pPr>
            <w:r w:rsidRPr="003E2D55">
              <w:rPr>
                <w:rFonts w:cs="Arial"/>
                <w:sz w:val="18"/>
                <w:szCs w:val="18"/>
              </w:rPr>
              <w:t>Melton C</w:t>
            </w:r>
          </w:p>
        </w:tc>
        <w:tc>
          <w:tcPr>
            <w:tcW w:w="1361" w:type="dxa"/>
            <w:tcBorders>
              <w:top w:val="nil"/>
              <w:left w:val="single" w:sz="18" w:space="0" w:color="5F497A" w:themeColor="accent4" w:themeShade="BF"/>
              <w:bottom w:val="nil"/>
              <w:right w:val="nil"/>
            </w:tcBorders>
            <w:shd w:val="clear" w:color="auto" w:fill="auto"/>
            <w:vAlign w:val="bottom"/>
          </w:tcPr>
          <w:p w14:paraId="45430D0D" w14:textId="15CF5755" w:rsidR="00DC5BE9" w:rsidRPr="003E2D55" w:rsidRDefault="00DC5BE9" w:rsidP="003E2D55">
            <w:pPr>
              <w:spacing w:before="40" w:after="20"/>
              <w:jc w:val="right"/>
              <w:rPr>
                <w:rFonts w:cs="Arial"/>
                <w:sz w:val="18"/>
                <w:szCs w:val="18"/>
              </w:rPr>
            </w:pPr>
            <w:r w:rsidRPr="003E2D55">
              <w:rPr>
                <w:rFonts w:cs="Arial"/>
                <w:sz w:val="18"/>
                <w:szCs w:val="18"/>
              </w:rPr>
              <w:t>1,721,353</w:t>
            </w:r>
          </w:p>
        </w:tc>
        <w:tc>
          <w:tcPr>
            <w:tcW w:w="1361" w:type="dxa"/>
            <w:tcBorders>
              <w:top w:val="nil"/>
              <w:left w:val="nil"/>
              <w:bottom w:val="nil"/>
              <w:right w:val="nil"/>
            </w:tcBorders>
            <w:shd w:val="clear" w:color="auto" w:fill="auto"/>
            <w:vAlign w:val="bottom"/>
          </w:tcPr>
          <w:p w14:paraId="38588F4E" w14:textId="4E5623A2" w:rsidR="00DC5BE9" w:rsidRPr="003E2D55" w:rsidRDefault="00DC5BE9" w:rsidP="003E2D55">
            <w:pPr>
              <w:spacing w:before="40" w:after="20"/>
              <w:jc w:val="right"/>
              <w:rPr>
                <w:rFonts w:cs="Arial"/>
                <w:sz w:val="18"/>
                <w:szCs w:val="18"/>
              </w:rPr>
            </w:pPr>
            <w:r w:rsidRPr="003E2D55">
              <w:rPr>
                <w:rFonts w:cs="Arial"/>
                <w:sz w:val="18"/>
                <w:szCs w:val="18"/>
              </w:rPr>
              <w:t>3,562,357</w:t>
            </w:r>
          </w:p>
        </w:tc>
        <w:tc>
          <w:tcPr>
            <w:tcW w:w="1361" w:type="dxa"/>
            <w:tcBorders>
              <w:top w:val="nil"/>
              <w:left w:val="nil"/>
              <w:bottom w:val="nil"/>
              <w:right w:val="nil"/>
            </w:tcBorders>
            <w:shd w:val="clear" w:color="auto" w:fill="auto"/>
            <w:vAlign w:val="bottom"/>
          </w:tcPr>
          <w:p w14:paraId="387E662C" w14:textId="59A1C9D4" w:rsidR="00DC5BE9" w:rsidRPr="003E2D55" w:rsidRDefault="00DC5BE9" w:rsidP="003E2D55">
            <w:pPr>
              <w:spacing w:before="40" w:after="20"/>
              <w:jc w:val="right"/>
              <w:rPr>
                <w:rFonts w:cs="Arial"/>
                <w:sz w:val="18"/>
                <w:szCs w:val="18"/>
              </w:rPr>
            </w:pPr>
            <w:r w:rsidRPr="003E2D55">
              <w:rPr>
                <w:rFonts w:cs="Arial"/>
                <w:sz w:val="18"/>
                <w:szCs w:val="18"/>
              </w:rPr>
              <w:t>1,898,234</w:t>
            </w:r>
          </w:p>
        </w:tc>
        <w:tc>
          <w:tcPr>
            <w:tcW w:w="1361" w:type="dxa"/>
            <w:tcBorders>
              <w:top w:val="nil"/>
              <w:left w:val="nil"/>
              <w:bottom w:val="nil"/>
              <w:right w:val="nil"/>
            </w:tcBorders>
            <w:shd w:val="clear" w:color="auto" w:fill="auto"/>
            <w:vAlign w:val="bottom"/>
          </w:tcPr>
          <w:p w14:paraId="642280B8" w14:textId="2EC8AAE6" w:rsidR="00DC5BE9" w:rsidRPr="003E2D55" w:rsidRDefault="00DC5BE9" w:rsidP="003E2D55">
            <w:pPr>
              <w:spacing w:before="40" w:after="20"/>
              <w:jc w:val="right"/>
              <w:rPr>
                <w:rFonts w:cs="Arial"/>
                <w:sz w:val="18"/>
                <w:szCs w:val="18"/>
              </w:rPr>
            </w:pPr>
            <w:r w:rsidRPr="003E2D55">
              <w:rPr>
                <w:rFonts w:cs="Arial"/>
                <w:sz w:val="18"/>
                <w:szCs w:val="18"/>
              </w:rPr>
              <w:t>2,225,187</w:t>
            </w:r>
          </w:p>
        </w:tc>
      </w:tr>
      <w:tr w:rsidR="00DC5BE9" w:rsidRPr="003E2D55" w14:paraId="6F72E1C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603A73C" w14:textId="77777777" w:rsidR="00DC5BE9" w:rsidRPr="003E2D55" w:rsidRDefault="00DC5BE9" w:rsidP="003E2D55">
            <w:pPr>
              <w:spacing w:before="40" w:after="20"/>
              <w:rPr>
                <w:rFonts w:cs="Arial"/>
                <w:sz w:val="18"/>
                <w:szCs w:val="18"/>
              </w:rPr>
            </w:pPr>
            <w:r w:rsidRPr="003E2D55">
              <w:rPr>
                <w:rFonts w:cs="Arial"/>
                <w:sz w:val="18"/>
                <w:szCs w:val="18"/>
              </w:rPr>
              <w:t>Mildura RC</w:t>
            </w:r>
          </w:p>
        </w:tc>
        <w:tc>
          <w:tcPr>
            <w:tcW w:w="1361" w:type="dxa"/>
            <w:tcBorders>
              <w:top w:val="nil"/>
              <w:left w:val="single" w:sz="18" w:space="0" w:color="5F497A" w:themeColor="accent4" w:themeShade="BF"/>
              <w:bottom w:val="nil"/>
              <w:right w:val="nil"/>
            </w:tcBorders>
            <w:shd w:val="clear" w:color="auto" w:fill="auto"/>
            <w:vAlign w:val="bottom"/>
          </w:tcPr>
          <w:p w14:paraId="25335528" w14:textId="63510E12" w:rsidR="00DC5BE9" w:rsidRPr="003E2D55" w:rsidRDefault="00DC5BE9" w:rsidP="003E2D55">
            <w:pPr>
              <w:spacing w:before="40" w:after="20"/>
              <w:jc w:val="right"/>
              <w:rPr>
                <w:rFonts w:cs="Arial"/>
                <w:sz w:val="18"/>
                <w:szCs w:val="18"/>
              </w:rPr>
            </w:pPr>
            <w:r w:rsidRPr="003E2D55">
              <w:rPr>
                <w:rFonts w:cs="Arial"/>
                <w:sz w:val="18"/>
                <w:szCs w:val="18"/>
              </w:rPr>
              <w:t>1,872,988</w:t>
            </w:r>
          </w:p>
        </w:tc>
        <w:tc>
          <w:tcPr>
            <w:tcW w:w="1361" w:type="dxa"/>
            <w:tcBorders>
              <w:top w:val="nil"/>
              <w:left w:val="nil"/>
              <w:bottom w:val="nil"/>
              <w:right w:val="nil"/>
            </w:tcBorders>
            <w:shd w:val="clear" w:color="auto" w:fill="auto"/>
            <w:vAlign w:val="bottom"/>
          </w:tcPr>
          <w:p w14:paraId="3D56A763" w14:textId="3795C48C" w:rsidR="00DC5BE9" w:rsidRPr="003E2D55" w:rsidRDefault="00DC5BE9" w:rsidP="003E2D55">
            <w:pPr>
              <w:spacing w:before="40" w:after="20"/>
              <w:jc w:val="right"/>
              <w:rPr>
                <w:rFonts w:cs="Arial"/>
                <w:sz w:val="18"/>
                <w:szCs w:val="18"/>
              </w:rPr>
            </w:pPr>
            <w:r w:rsidRPr="003E2D55">
              <w:rPr>
                <w:rFonts w:cs="Arial"/>
                <w:sz w:val="18"/>
                <w:szCs w:val="18"/>
              </w:rPr>
              <w:t>419,205</w:t>
            </w:r>
          </w:p>
        </w:tc>
        <w:tc>
          <w:tcPr>
            <w:tcW w:w="1361" w:type="dxa"/>
            <w:tcBorders>
              <w:top w:val="nil"/>
              <w:left w:val="nil"/>
              <w:bottom w:val="nil"/>
              <w:right w:val="nil"/>
            </w:tcBorders>
            <w:shd w:val="clear" w:color="auto" w:fill="auto"/>
            <w:vAlign w:val="bottom"/>
          </w:tcPr>
          <w:p w14:paraId="40606239" w14:textId="07A1F9F1" w:rsidR="00DC5BE9" w:rsidRPr="003E2D55" w:rsidRDefault="00DC5BE9" w:rsidP="003E2D55">
            <w:pPr>
              <w:spacing w:before="40" w:after="20"/>
              <w:jc w:val="right"/>
              <w:rPr>
                <w:rFonts w:cs="Arial"/>
                <w:sz w:val="18"/>
                <w:szCs w:val="18"/>
              </w:rPr>
            </w:pPr>
            <w:r w:rsidRPr="003E2D55">
              <w:rPr>
                <w:rFonts w:cs="Arial"/>
                <w:sz w:val="18"/>
                <w:szCs w:val="18"/>
              </w:rPr>
              <w:t>641,229</w:t>
            </w:r>
          </w:p>
        </w:tc>
        <w:tc>
          <w:tcPr>
            <w:tcW w:w="1361" w:type="dxa"/>
            <w:tcBorders>
              <w:top w:val="nil"/>
              <w:left w:val="nil"/>
              <w:bottom w:val="nil"/>
              <w:right w:val="nil"/>
            </w:tcBorders>
            <w:shd w:val="clear" w:color="auto" w:fill="auto"/>
            <w:vAlign w:val="bottom"/>
          </w:tcPr>
          <w:p w14:paraId="4CA4F5B4" w14:textId="6BFE462D" w:rsidR="00DC5BE9" w:rsidRPr="003E2D55" w:rsidRDefault="00DC5BE9" w:rsidP="003E2D55">
            <w:pPr>
              <w:spacing w:before="40" w:after="20"/>
              <w:jc w:val="right"/>
              <w:rPr>
                <w:rFonts w:cs="Arial"/>
                <w:sz w:val="18"/>
                <w:szCs w:val="18"/>
              </w:rPr>
            </w:pPr>
            <w:r w:rsidRPr="003E2D55">
              <w:rPr>
                <w:rFonts w:cs="Arial"/>
                <w:sz w:val="18"/>
                <w:szCs w:val="18"/>
              </w:rPr>
              <w:t>560,983</w:t>
            </w:r>
          </w:p>
        </w:tc>
      </w:tr>
      <w:tr w:rsidR="00DC5BE9" w:rsidRPr="003E2D55" w14:paraId="2D6D655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54CF5B3" w14:textId="77777777" w:rsidR="00DC5BE9" w:rsidRPr="003E2D55" w:rsidRDefault="00DC5BE9" w:rsidP="003E2D55">
            <w:pPr>
              <w:spacing w:before="40" w:after="20"/>
              <w:rPr>
                <w:rFonts w:cs="Arial"/>
                <w:sz w:val="18"/>
                <w:szCs w:val="18"/>
              </w:rPr>
            </w:pPr>
            <w:r w:rsidRPr="003E2D55">
              <w:rPr>
                <w:rFonts w:cs="Arial"/>
                <w:sz w:val="18"/>
                <w:szCs w:val="18"/>
              </w:rPr>
              <w:t>Mitchell S</w:t>
            </w:r>
          </w:p>
        </w:tc>
        <w:tc>
          <w:tcPr>
            <w:tcW w:w="1361" w:type="dxa"/>
            <w:tcBorders>
              <w:top w:val="nil"/>
              <w:left w:val="single" w:sz="18" w:space="0" w:color="5F497A" w:themeColor="accent4" w:themeShade="BF"/>
              <w:bottom w:val="nil"/>
              <w:right w:val="nil"/>
            </w:tcBorders>
            <w:shd w:val="clear" w:color="auto" w:fill="auto"/>
            <w:vAlign w:val="bottom"/>
          </w:tcPr>
          <w:p w14:paraId="147A9C7C" w14:textId="14D70BF6" w:rsidR="00DC5BE9" w:rsidRPr="003E2D55" w:rsidRDefault="00DC5BE9" w:rsidP="003E2D55">
            <w:pPr>
              <w:spacing w:before="40" w:after="20"/>
              <w:jc w:val="right"/>
              <w:rPr>
                <w:rFonts w:cs="Arial"/>
                <w:sz w:val="18"/>
                <w:szCs w:val="18"/>
              </w:rPr>
            </w:pPr>
            <w:r w:rsidRPr="003E2D55">
              <w:rPr>
                <w:rFonts w:cs="Arial"/>
                <w:sz w:val="18"/>
                <w:szCs w:val="18"/>
              </w:rPr>
              <w:t>1,472,444</w:t>
            </w:r>
          </w:p>
        </w:tc>
        <w:tc>
          <w:tcPr>
            <w:tcW w:w="1361" w:type="dxa"/>
            <w:tcBorders>
              <w:top w:val="nil"/>
              <w:left w:val="nil"/>
              <w:bottom w:val="nil"/>
              <w:right w:val="nil"/>
            </w:tcBorders>
            <w:shd w:val="clear" w:color="auto" w:fill="auto"/>
            <w:vAlign w:val="bottom"/>
          </w:tcPr>
          <w:p w14:paraId="3ED20D53" w14:textId="18F28727" w:rsidR="00DC5BE9" w:rsidRPr="003E2D55" w:rsidRDefault="00DC5BE9" w:rsidP="003E2D55">
            <w:pPr>
              <w:spacing w:before="40" w:after="20"/>
              <w:jc w:val="right"/>
              <w:rPr>
                <w:rFonts w:cs="Arial"/>
                <w:sz w:val="18"/>
                <w:szCs w:val="18"/>
              </w:rPr>
            </w:pPr>
            <w:r w:rsidRPr="003E2D55">
              <w:rPr>
                <w:rFonts w:cs="Arial"/>
                <w:sz w:val="18"/>
                <w:szCs w:val="18"/>
              </w:rPr>
              <w:t>517,926</w:t>
            </w:r>
          </w:p>
        </w:tc>
        <w:tc>
          <w:tcPr>
            <w:tcW w:w="1361" w:type="dxa"/>
            <w:tcBorders>
              <w:top w:val="nil"/>
              <w:left w:val="nil"/>
              <w:bottom w:val="nil"/>
              <w:right w:val="nil"/>
            </w:tcBorders>
            <w:shd w:val="clear" w:color="auto" w:fill="auto"/>
            <w:vAlign w:val="bottom"/>
          </w:tcPr>
          <w:p w14:paraId="1B55FF8C" w14:textId="2B37B225" w:rsidR="00DC5BE9" w:rsidRPr="003E2D55" w:rsidRDefault="00DC5BE9" w:rsidP="003E2D55">
            <w:pPr>
              <w:spacing w:before="40" w:after="20"/>
              <w:jc w:val="right"/>
              <w:rPr>
                <w:rFonts w:cs="Arial"/>
                <w:sz w:val="18"/>
                <w:szCs w:val="18"/>
              </w:rPr>
            </w:pPr>
            <w:r w:rsidRPr="003E2D55">
              <w:rPr>
                <w:rFonts w:cs="Arial"/>
                <w:sz w:val="18"/>
                <w:szCs w:val="18"/>
              </w:rPr>
              <w:t>1,102,454</w:t>
            </w:r>
          </w:p>
        </w:tc>
        <w:tc>
          <w:tcPr>
            <w:tcW w:w="1361" w:type="dxa"/>
            <w:tcBorders>
              <w:top w:val="nil"/>
              <w:left w:val="nil"/>
              <w:bottom w:val="nil"/>
              <w:right w:val="nil"/>
            </w:tcBorders>
            <w:shd w:val="clear" w:color="auto" w:fill="auto"/>
            <w:vAlign w:val="bottom"/>
          </w:tcPr>
          <w:p w14:paraId="4D3961E5" w14:textId="12B9FA27" w:rsidR="00DC5BE9" w:rsidRPr="003E2D55" w:rsidRDefault="00DC5BE9" w:rsidP="003E2D55">
            <w:pPr>
              <w:spacing w:before="40" w:after="20"/>
              <w:jc w:val="right"/>
              <w:rPr>
                <w:rFonts w:cs="Arial"/>
                <w:sz w:val="18"/>
                <w:szCs w:val="18"/>
              </w:rPr>
            </w:pPr>
            <w:r w:rsidRPr="003E2D55">
              <w:rPr>
                <w:rFonts w:cs="Arial"/>
                <w:sz w:val="18"/>
                <w:szCs w:val="18"/>
              </w:rPr>
              <w:t>9,550</w:t>
            </w:r>
          </w:p>
        </w:tc>
      </w:tr>
      <w:tr w:rsidR="00DC5BE9" w:rsidRPr="003E2D55" w14:paraId="1D45AB7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8D5513C" w14:textId="77777777" w:rsidR="00DC5BE9" w:rsidRPr="003E2D55" w:rsidRDefault="00DC5BE9" w:rsidP="003E2D55">
            <w:pPr>
              <w:spacing w:before="40" w:after="20"/>
              <w:rPr>
                <w:rFonts w:cs="Arial"/>
                <w:sz w:val="18"/>
                <w:szCs w:val="18"/>
              </w:rPr>
            </w:pPr>
            <w:r w:rsidRPr="003E2D55">
              <w:rPr>
                <w:rFonts w:cs="Arial"/>
                <w:sz w:val="18"/>
                <w:szCs w:val="18"/>
              </w:rPr>
              <w:t>Moira S</w:t>
            </w:r>
          </w:p>
        </w:tc>
        <w:tc>
          <w:tcPr>
            <w:tcW w:w="1361" w:type="dxa"/>
            <w:tcBorders>
              <w:top w:val="nil"/>
              <w:left w:val="single" w:sz="18" w:space="0" w:color="5F497A" w:themeColor="accent4" w:themeShade="BF"/>
              <w:bottom w:val="nil"/>
              <w:right w:val="nil"/>
            </w:tcBorders>
            <w:shd w:val="clear" w:color="auto" w:fill="auto"/>
            <w:vAlign w:val="bottom"/>
          </w:tcPr>
          <w:p w14:paraId="0A9A3F18" w14:textId="03BE734D" w:rsidR="00DC5BE9" w:rsidRPr="003E2D55" w:rsidRDefault="00DC5BE9" w:rsidP="003E2D55">
            <w:pPr>
              <w:spacing w:before="40" w:after="20"/>
              <w:jc w:val="right"/>
              <w:rPr>
                <w:rFonts w:cs="Arial"/>
                <w:sz w:val="18"/>
                <w:szCs w:val="18"/>
              </w:rPr>
            </w:pPr>
            <w:r w:rsidRPr="003E2D55">
              <w:rPr>
                <w:rFonts w:cs="Arial"/>
                <w:sz w:val="18"/>
                <w:szCs w:val="18"/>
              </w:rPr>
              <w:t>2,087,433</w:t>
            </w:r>
          </w:p>
        </w:tc>
        <w:tc>
          <w:tcPr>
            <w:tcW w:w="1361" w:type="dxa"/>
            <w:tcBorders>
              <w:top w:val="nil"/>
              <w:left w:val="nil"/>
              <w:bottom w:val="nil"/>
              <w:right w:val="nil"/>
            </w:tcBorders>
            <w:shd w:val="clear" w:color="auto" w:fill="auto"/>
            <w:vAlign w:val="bottom"/>
          </w:tcPr>
          <w:p w14:paraId="5A733C75" w14:textId="3C5A0F3D" w:rsidR="00DC5BE9" w:rsidRPr="003E2D55" w:rsidRDefault="00DC5BE9" w:rsidP="003E2D55">
            <w:pPr>
              <w:spacing w:before="40" w:after="20"/>
              <w:jc w:val="right"/>
              <w:rPr>
                <w:rFonts w:cs="Arial"/>
                <w:sz w:val="18"/>
                <w:szCs w:val="18"/>
              </w:rPr>
            </w:pPr>
            <w:r w:rsidRPr="003E2D55">
              <w:rPr>
                <w:rFonts w:cs="Arial"/>
                <w:sz w:val="18"/>
                <w:szCs w:val="18"/>
              </w:rPr>
              <w:t>167,842</w:t>
            </w:r>
          </w:p>
        </w:tc>
        <w:tc>
          <w:tcPr>
            <w:tcW w:w="1361" w:type="dxa"/>
            <w:tcBorders>
              <w:top w:val="nil"/>
              <w:left w:val="nil"/>
              <w:bottom w:val="nil"/>
              <w:right w:val="nil"/>
            </w:tcBorders>
            <w:shd w:val="clear" w:color="auto" w:fill="auto"/>
            <w:vAlign w:val="bottom"/>
          </w:tcPr>
          <w:p w14:paraId="11E32BF3" w14:textId="66076ED3" w:rsidR="00DC5BE9" w:rsidRPr="003E2D55" w:rsidRDefault="00DC5BE9" w:rsidP="003E2D55">
            <w:pPr>
              <w:spacing w:before="40" w:after="20"/>
              <w:jc w:val="right"/>
              <w:rPr>
                <w:rFonts w:cs="Arial"/>
                <w:sz w:val="18"/>
                <w:szCs w:val="18"/>
              </w:rPr>
            </w:pPr>
            <w:r w:rsidRPr="003E2D55">
              <w:rPr>
                <w:rFonts w:cs="Arial"/>
                <w:sz w:val="18"/>
                <w:szCs w:val="18"/>
              </w:rPr>
              <w:t>139,842</w:t>
            </w:r>
          </w:p>
        </w:tc>
        <w:tc>
          <w:tcPr>
            <w:tcW w:w="1361" w:type="dxa"/>
            <w:tcBorders>
              <w:top w:val="nil"/>
              <w:left w:val="nil"/>
              <w:bottom w:val="nil"/>
              <w:right w:val="nil"/>
            </w:tcBorders>
            <w:shd w:val="clear" w:color="auto" w:fill="auto"/>
            <w:vAlign w:val="bottom"/>
          </w:tcPr>
          <w:p w14:paraId="5319BBC7" w14:textId="4633826C"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1600703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4CFDCD5" w14:textId="77777777" w:rsidR="00DC5BE9" w:rsidRPr="003E2D55" w:rsidRDefault="00DC5BE9" w:rsidP="003E2D55">
            <w:pPr>
              <w:spacing w:before="40" w:after="20"/>
              <w:rPr>
                <w:rFonts w:cs="Arial"/>
                <w:sz w:val="18"/>
                <w:szCs w:val="18"/>
              </w:rPr>
            </w:pPr>
            <w:r w:rsidRPr="003E2D55">
              <w:rPr>
                <w:rFonts w:cs="Arial"/>
                <w:sz w:val="18"/>
                <w:szCs w:val="18"/>
              </w:rPr>
              <w:t>Monash C</w:t>
            </w:r>
          </w:p>
        </w:tc>
        <w:tc>
          <w:tcPr>
            <w:tcW w:w="1361" w:type="dxa"/>
            <w:tcBorders>
              <w:top w:val="nil"/>
              <w:left w:val="single" w:sz="18" w:space="0" w:color="5F497A" w:themeColor="accent4" w:themeShade="BF"/>
              <w:bottom w:val="nil"/>
              <w:right w:val="nil"/>
            </w:tcBorders>
            <w:shd w:val="clear" w:color="auto" w:fill="auto"/>
            <w:vAlign w:val="bottom"/>
          </w:tcPr>
          <w:p w14:paraId="0557A0BD" w14:textId="411F470B" w:rsidR="00DC5BE9" w:rsidRPr="003E2D55" w:rsidRDefault="00DC5BE9" w:rsidP="003E2D55">
            <w:pPr>
              <w:spacing w:before="40" w:after="20"/>
              <w:jc w:val="right"/>
              <w:rPr>
                <w:rFonts w:cs="Arial"/>
                <w:sz w:val="18"/>
                <w:szCs w:val="18"/>
              </w:rPr>
            </w:pPr>
            <w:r w:rsidRPr="003E2D55">
              <w:rPr>
                <w:rFonts w:cs="Arial"/>
                <w:sz w:val="18"/>
                <w:szCs w:val="18"/>
              </w:rPr>
              <w:t>826,898</w:t>
            </w:r>
          </w:p>
        </w:tc>
        <w:tc>
          <w:tcPr>
            <w:tcW w:w="1361" w:type="dxa"/>
            <w:tcBorders>
              <w:top w:val="nil"/>
              <w:left w:val="nil"/>
              <w:bottom w:val="nil"/>
              <w:right w:val="nil"/>
            </w:tcBorders>
            <w:shd w:val="clear" w:color="auto" w:fill="auto"/>
            <w:vAlign w:val="bottom"/>
          </w:tcPr>
          <w:p w14:paraId="0DBE1F78" w14:textId="67F55AB8" w:rsidR="00DC5BE9" w:rsidRPr="003E2D55" w:rsidRDefault="00DC5BE9" w:rsidP="003E2D55">
            <w:pPr>
              <w:spacing w:before="40" w:after="20"/>
              <w:jc w:val="right"/>
              <w:rPr>
                <w:rFonts w:cs="Arial"/>
                <w:sz w:val="18"/>
                <w:szCs w:val="18"/>
              </w:rPr>
            </w:pPr>
            <w:r w:rsidRPr="003E2D55">
              <w:rPr>
                <w:rFonts w:cs="Arial"/>
                <w:sz w:val="18"/>
                <w:szCs w:val="18"/>
              </w:rPr>
              <w:t>4,869,691</w:t>
            </w:r>
          </w:p>
        </w:tc>
        <w:tc>
          <w:tcPr>
            <w:tcW w:w="1361" w:type="dxa"/>
            <w:tcBorders>
              <w:top w:val="nil"/>
              <w:left w:val="nil"/>
              <w:bottom w:val="nil"/>
              <w:right w:val="nil"/>
            </w:tcBorders>
            <w:shd w:val="clear" w:color="auto" w:fill="auto"/>
            <w:vAlign w:val="bottom"/>
          </w:tcPr>
          <w:p w14:paraId="51CA09E5" w14:textId="4AA629FF" w:rsidR="00DC5BE9" w:rsidRPr="003E2D55" w:rsidRDefault="00DC5BE9" w:rsidP="003E2D55">
            <w:pPr>
              <w:spacing w:before="40" w:after="20"/>
              <w:jc w:val="right"/>
              <w:rPr>
                <w:rFonts w:cs="Arial"/>
                <w:sz w:val="18"/>
                <w:szCs w:val="18"/>
              </w:rPr>
            </w:pPr>
            <w:r w:rsidRPr="003E2D55">
              <w:rPr>
                <w:rFonts w:cs="Arial"/>
                <w:sz w:val="18"/>
                <w:szCs w:val="18"/>
              </w:rPr>
              <w:t>960,309</w:t>
            </w:r>
          </w:p>
        </w:tc>
        <w:tc>
          <w:tcPr>
            <w:tcW w:w="1361" w:type="dxa"/>
            <w:tcBorders>
              <w:top w:val="nil"/>
              <w:left w:val="nil"/>
              <w:bottom w:val="nil"/>
              <w:right w:val="nil"/>
            </w:tcBorders>
            <w:shd w:val="clear" w:color="auto" w:fill="auto"/>
            <w:vAlign w:val="bottom"/>
          </w:tcPr>
          <w:p w14:paraId="4EEA8516" w14:textId="63A5FDB7" w:rsidR="00DC5BE9" w:rsidRPr="003E2D55" w:rsidRDefault="00DC5BE9" w:rsidP="003E2D55">
            <w:pPr>
              <w:spacing w:before="40" w:after="20"/>
              <w:jc w:val="right"/>
              <w:rPr>
                <w:rFonts w:cs="Arial"/>
                <w:sz w:val="18"/>
                <w:szCs w:val="18"/>
              </w:rPr>
            </w:pPr>
            <w:r w:rsidRPr="003E2D55">
              <w:rPr>
                <w:rFonts w:cs="Arial"/>
                <w:sz w:val="18"/>
                <w:szCs w:val="18"/>
              </w:rPr>
              <w:t>832,504</w:t>
            </w:r>
          </w:p>
        </w:tc>
      </w:tr>
      <w:tr w:rsidR="00DC5BE9" w:rsidRPr="003E2D55" w14:paraId="5BF5855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9DEA66F" w14:textId="77777777" w:rsidR="00DC5BE9" w:rsidRPr="003E2D55" w:rsidRDefault="00DC5BE9" w:rsidP="003E2D55">
            <w:pPr>
              <w:spacing w:before="40" w:after="20"/>
              <w:rPr>
                <w:rFonts w:cs="Arial"/>
                <w:sz w:val="18"/>
                <w:szCs w:val="18"/>
              </w:rPr>
            </w:pPr>
            <w:r w:rsidRPr="003E2D55">
              <w:rPr>
                <w:rFonts w:cs="Arial"/>
                <w:sz w:val="18"/>
                <w:szCs w:val="18"/>
              </w:rPr>
              <w:t>Moonee Valley C</w:t>
            </w:r>
          </w:p>
        </w:tc>
        <w:tc>
          <w:tcPr>
            <w:tcW w:w="1361" w:type="dxa"/>
            <w:tcBorders>
              <w:top w:val="nil"/>
              <w:left w:val="single" w:sz="18" w:space="0" w:color="5F497A" w:themeColor="accent4" w:themeShade="BF"/>
              <w:bottom w:val="nil"/>
              <w:right w:val="nil"/>
            </w:tcBorders>
            <w:shd w:val="clear" w:color="auto" w:fill="auto"/>
            <w:vAlign w:val="bottom"/>
          </w:tcPr>
          <w:p w14:paraId="5DA3B4BB" w14:textId="72034CC3" w:rsidR="00DC5BE9" w:rsidRPr="003E2D55" w:rsidRDefault="00DC5BE9" w:rsidP="003E2D55">
            <w:pPr>
              <w:spacing w:before="40" w:after="20"/>
              <w:jc w:val="right"/>
              <w:rPr>
                <w:rFonts w:cs="Arial"/>
                <w:sz w:val="18"/>
                <w:szCs w:val="18"/>
              </w:rPr>
            </w:pPr>
            <w:r w:rsidRPr="003E2D55">
              <w:rPr>
                <w:rFonts w:cs="Arial"/>
                <w:sz w:val="18"/>
                <w:szCs w:val="18"/>
              </w:rPr>
              <w:t>1,336,606</w:t>
            </w:r>
          </w:p>
        </w:tc>
        <w:tc>
          <w:tcPr>
            <w:tcW w:w="1361" w:type="dxa"/>
            <w:tcBorders>
              <w:top w:val="nil"/>
              <w:left w:val="nil"/>
              <w:bottom w:val="nil"/>
              <w:right w:val="nil"/>
            </w:tcBorders>
            <w:shd w:val="clear" w:color="auto" w:fill="auto"/>
            <w:vAlign w:val="bottom"/>
          </w:tcPr>
          <w:p w14:paraId="6C5963EA" w14:textId="03A4DBA4" w:rsidR="00DC5BE9" w:rsidRPr="003E2D55" w:rsidRDefault="00DC5BE9" w:rsidP="003E2D55">
            <w:pPr>
              <w:spacing w:before="40" w:after="20"/>
              <w:jc w:val="right"/>
              <w:rPr>
                <w:rFonts w:cs="Arial"/>
                <w:sz w:val="18"/>
                <w:szCs w:val="18"/>
              </w:rPr>
            </w:pPr>
            <w:r w:rsidRPr="003E2D55">
              <w:rPr>
                <w:rFonts w:cs="Arial"/>
                <w:sz w:val="18"/>
                <w:szCs w:val="18"/>
              </w:rPr>
              <w:t>785,487</w:t>
            </w:r>
          </w:p>
        </w:tc>
        <w:tc>
          <w:tcPr>
            <w:tcW w:w="1361" w:type="dxa"/>
            <w:tcBorders>
              <w:top w:val="nil"/>
              <w:left w:val="nil"/>
              <w:bottom w:val="nil"/>
              <w:right w:val="nil"/>
            </w:tcBorders>
            <w:shd w:val="clear" w:color="auto" w:fill="auto"/>
            <w:vAlign w:val="bottom"/>
          </w:tcPr>
          <w:p w14:paraId="3C5AFD1F" w14:textId="668ACD5C" w:rsidR="00DC5BE9" w:rsidRPr="003E2D55" w:rsidRDefault="00DC5BE9" w:rsidP="003E2D55">
            <w:pPr>
              <w:spacing w:before="40" w:after="20"/>
              <w:jc w:val="right"/>
              <w:rPr>
                <w:rFonts w:cs="Arial"/>
                <w:sz w:val="18"/>
                <w:szCs w:val="18"/>
              </w:rPr>
            </w:pPr>
            <w:r w:rsidRPr="003E2D55">
              <w:rPr>
                <w:rFonts w:cs="Arial"/>
                <w:sz w:val="18"/>
                <w:szCs w:val="18"/>
              </w:rPr>
              <w:t>1,503,713</w:t>
            </w:r>
          </w:p>
        </w:tc>
        <w:tc>
          <w:tcPr>
            <w:tcW w:w="1361" w:type="dxa"/>
            <w:tcBorders>
              <w:top w:val="nil"/>
              <w:left w:val="nil"/>
              <w:bottom w:val="nil"/>
              <w:right w:val="nil"/>
            </w:tcBorders>
            <w:shd w:val="clear" w:color="auto" w:fill="auto"/>
            <w:vAlign w:val="bottom"/>
          </w:tcPr>
          <w:p w14:paraId="09AD6482" w14:textId="75F537C2" w:rsidR="00DC5BE9" w:rsidRPr="003E2D55" w:rsidRDefault="00DC5BE9" w:rsidP="003E2D55">
            <w:pPr>
              <w:spacing w:before="40" w:after="20"/>
              <w:jc w:val="right"/>
              <w:rPr>
                <w:rFonts w:cs="Arial"/>
                <w:sz w:val="18"/>
                <w:szCs w:val="18"/>
              </w:rPr>
            </w:pPr>
            <w:r w:rsidRPr="003E2D55">
              <w:rPr>
                <w:rFonts w:cs="Arial"/>
                <w:sz w:val="18"/>
                <w:szCs w:val="18"/>
              </w:rPr>
              <w:t>538,465</w:t>
            </w:r>
          </w:p>
        </w:tc>
      </w:tr>
      <w:tr w:rsidR="00DC5BE9" w:rsidRPr="003E2D55" w14:paraId="4C59514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508A088" w14:textId="77777777" w:rsidR="00DC5BE9" w:rsidRPr="003E2D55" w:rsidRDefault="00DC5BE9" w:rsidP="003E2D55">
            <w:pPr>
              <w:spacing w:before="40" w:after="20"/>
              <w:rPr>
                <w:rFonts w:cs="Arial"/>
                <w:sz w:val="18"/>
                <w:szCs w:val="18"/>
              </w:rPr>
            </w:pPr>
            <w:r w:rsidRPr="003E2D55">
              <w:rPr>
                <w:rFonts w:cs="Arial"/>
                <w:sz w:val="18"/>
                <w:szCs w:val="18"/>
              </w:rPr>
              <w:t>Moorabool S</w:t>
            </w:r>
          </w:p>
        </w:tc>
        <w:tc>
          <w:tcPr>
            <w:tcW w:w="1361" w:type="dxa"/>
            <w:tcBorders>
              <w:top w:val="nil"/>
              <w:left w:val="single" w:sz="18" w:space="0" w:color="5F497A" w:themeColor="accent4" w:themeShade="BF"/>
              <w:bottom w:val="nil"/>
              <w:right w:val="nil"/>
            </w:tcBorders>
            <w:shd w:val="clear" w:color="auto" w:fill="auto"/>
            <w:vAlign w:val="bottom"/>
          </w:tcPr>
          <w:p w14:paraId="67038A60" w14:textId="5B68F88C" w:rsidR="00DC5BE9" w:rsidRPr="003E2D55" w:rsidRDefault="00DC5BE9" w:rsidP="003E2D55">
            <w:pPr>
              <w:spacing w:before="40" w:after="20"/>
              <w:jc w:val="right"/>
              <w:rPr>
                <w:rFonts w:cs="Arial"/>
                <w:sz w:val="18"/>
                <w:szCs w:val="18"/>
              </w:rPr>
            </w:pPr>
            <w:r w:rsidRPr="003E2D55">
              <w:rPr>
                <w:rFonts w:cs="Arial"/>
                <w:sz w:val="18"/>
                <w:szCs w:val="18"/>
              </w:rPr>
              <w:t>834,389</w:t>
            </w:r>
          </w:p>
        </w:tc>
        <w:tc>
          <w:tcPr>
            <w:tcW w:w="1361" w:type="dxa"/>
            <w:tcBorders>
              <w:top w:val="nil"/>
              <w:left w:val="nil"/>
              <w:bottom w:val="nil"/>
              <w:right w:val="nil"/>
            </w:tcBorders>
            <w:shd w:val="clear" w:color="auto" w:fill="auto"/>
            <w:vAlign w:val="bottom"/>
          </w:tcPr>
          <w:p w14:paraId="0DE06037" w14:textId="6514026D" w:rsidR="00DC5BE9" w:rsidRPr="003E2D55" w:rsidRDefault="00DC5BE9" w:rsidP="003E2D55">
            <w:pPr>
              <w:spacing w:before="40" w:after="20"/>
              <w:jc w:val="right"/>
              <w:rPr>
                <w:rFonts w:cs="Arial"/>
                <w:sz w:val="18"/>
                <w:szCs w:val="18"/>
              </w:rPr>
            </w:pPr>
            <w:r w:rsidRPr="003E2D55">
              <w:rPr>
                <w:rFonts w:cs="Arial"/>
                <w:sz w:val="18"/>
                <w:szCs w:val="18"/>
              </w:rPr>
              <w:t>261,183</w:t>
            </w:r>
          </w:p>
        </w:tc>
        <w:tc>
          <w:tcPr>
            <w:tcW w:w="1361" w:type="dxa"/>
            <w:tcBorders>
              <w:top w:val="nil"/>
              <w:left w:val="nil"/>
              <w:bottom w:val="nil"/>
              <w:right w:val="nil"/>
            </w:tcBorders>
            <w:shd w:val="clear" w:color="auto" w:fill="auto"/>
            <w:vAlign w:val="bottom"/>
          </w:tcPr>
          <w:p w14:paraId="73D7E190" w14:textId="4BADFB32" w:rsidR="00DC5BE9" w:rsidRPr="003E2D55" w:rsidRDefault="00DC5BE9" w:rsidP="003E2D55">
            <w:pPr>
              <w:spacing w:before="40" w:after="20"/>
              <w:jc w:val="right"/>
              <w:rPr>
                <w:rFonts w:cs="Arial"/>
                <w:sz w:val="18"/>
                <w:szCs w:val="18"/>
              </w:rPr>
            </w:pPr>
            <w:r w:rsidRPr="003E2D55">
              <w:rPr>
                <w:rFonts w:cs="Arial"/>
                <w:sz w:val="18"/>
                <w:szCs w:val="18"/>
              </w:rPr>
              <w:t>308,447</w:t>
            </w:r>
          </w:p>
        </w:tc>
        <w:tc>
          <w:tcPr>
            <w:tcW w:w="1361" w:type="dxa"/>
            <w:tcBorders>
              <w:top w:val="nil"/>
              <w:left w:val="nil"/>
              <w:bottom w:val="nil"/>
              <w:right w:val="nil"/>
            </w:tcBorders>
            <w:shd w:val="clear" w:color="auto" w:fill="auto"/>
            <w:vAlign w:val="bottom"/>
          </w:tcPr>
          <w:p w14:paraId="3BF54B5F" w14:textId="6C8A80B5" w:rsidR="00DC5BE9" w:rsidRPr="003E2D55" w:rsidRDefault="00DC5BE9" w:rsidP="003E2D55">
            <w:pPr>
              <w:spacing w:before="40" w:after="20"/>
              <w:jc w:val="right"/>
              <w:rPr>
                <w:rFonts w:cs="Arial"/>
                <w:sz w:val="18"/>
                <w:szCs w:val="18"/>
              </w:rPr>
            </w:pPr>
            <w:r w:rsidRPr="003E2D55">
              <w:rPr>
                <w:rFonts w:cs="Arial"/>
                <w:sz w:val="18"/>
                <w:szCs w:val="18"/>
              </w:rPr>
              <w:t>44,937</w:t>
            </w:r>
          </w:p>
        </w:tc>
      </w:tr>
      <w:tr w:rsidR="00DC5BE9" w:rsidRPr="003E2D55" w14:paraId="4F49D59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990F65A" w14:textId="77777777" w:rsidR="00DC5BE9" w:rsidRPr="003E2D55" w:rsidRDefault="00DC5BE9" w:rsidP="003E2D55">
            <w:pPr>
              <w:spacing w:before="40" w:after="20"/>
              <w:rPr>
                <w:rFonts w:cs="Arial"/>
                <w:sz w:val="18"/>
                <w:szCs w:val="18"/>
              </w:rPr>
            </w:pPr>
            <w:r w:rsidRPr="003E2D55">
              <w:rPr>
                <w:rFonts w:cs="Arial"/>
                <w:sz w:val="18"/>
                <w:szCs w:val="18"/>
              </w:rPr>
              <w:t>Moreland C</w:t>
            </w:r>
          </w:p>
        </w:tc>
        <w:tc>
          <w:tcPr>
            <w:tcW w:w="1361" w:type="dxa"/>
            <w:tcBorders>
              <w:top w:val="nil"/>
              <w:left w:val="single" w:sz="18" w:space="0" w:color="5F497A" w:themeColor="accent4" w:themeShade="BF"/>
              <w:bottom w:val="nil"/>
              <w:right w:val="nil"/>
            </w:tcBorders>
            <w:shd w:val="clear" w:color="auto" w:fill="auto"/>
            <w:vAlign w:val="bottom"/>
          </w:tcPr>
          <w:p w14:paraId="6947AC71" w14:textId="18788DE7" w:rsidR="00DC5BE9" w:rsidRPr="003E2D55" w:rsidRDefault="00DC5BE9" w:rsidP="003E2D55">
            <w:pPr>
              <w:spacing w:before="40" w:after="20"/>
              <w:jc w:val="right"/>
              <w:rPr>
                <w:rFonts w:cs="Arial"/>
                <w:sz w:val="18"/>
                <w:szCs w:val="18"/>
              </w:rPr>
            </w:pPr>
            <w:r w:rsidRPr="003E2D55">
              <w:rPr>
                <w:rFonts w:cs="Arial"/>
                <w:sz w:val="18"/>
                <w:szCs w:val="18"/>
              </w:rPr>
              <w:t>1,496,464</w:t>
            </w:r>
          </w:p>
        </w:tc>
        <w:tc>
          <w:tcPr>
            <w:tcW w:w="1361" w:type="dxa"/>
            <w:tcBorders>
              <w:top w:val="nil"/>
              <w:left w:val="nil"/>
              <w:bottom w:val="nil"/>
              <w:right w:val="nil"/>
            </w:tcBorders>
            <w:shd w:val="clear" w:color="auto" w:fill="auto"/>
            <w:vAlign w:val="bottom"/>
          </w:tcPr>
          <w:p w14:paraId="7DAF4B68" w14:textId="63E88AFE" w:rsidR="00DC5BE9" w:rsidRPr="003E2D55" w:rsidRDefault="00DC5BE9" w:rsidP="003E2D55">
            <w:pPr>
              <w:spacing w:before="40" w:after="20"/>
              <w:jc w:val="right"/>
              <w:rPr>
                <w:rFonts w:cs="Arial"/>
                <w:sz w:val="18"/>
                <w:szCs w:val="18"/>
              </w:rPr>
            </w:pPr>
            <w:r w:rsidRPr="003E2D55">
              <w:rPr>
                <w:rFonts w:cs="Arial"/>
                <w:sz w:val="18"/>
                <w:szCs w:val="18"/>
              </w:rPr>
              <w:t>1,046,968</w:t>
            </w:r>
          </w:p>
        </w:tc>
        <w:tc>
          <w:tcPr>
            <w:tcW w:w="1361" w:type="dxa"/>
            <w:tcBorders>
              <w:top w:val="nil"/>
              <w:left w:val="nil"/>
              <w:bottom w:val="nil"/>
              <w:right w:val="nil"/>
            </w:tcBorders>
            <w:shd w:val="clear" w:color="auto" w:fill="auto"/>
            <w:vAlign w:val="bottom"/>
          </w:tcPr>
          <w:p w14:paraId="48ECC540" w14:textId="6B291554" w:rsidR="00DC5BE9" w:rsidRPr="003E2D55" w:rsidRDefault="00DC5BE9" w:rsidP="003E2D55">
            <w:pPr>
              <w:spacing w:before="40" w:after="20"/>
              <w:jc w:val="right"/>
              <w:rPr>
                <w:rFonts w:cs="Arial"/>
                <w:sz w:val="18"/>
                <w:szCs w:val="18"/>
              </w:rPr>
            </w:pPr>
            <w:r w:rsidRPr="003E2D55">
              <w:rPr>
                <w:rFonts w:cs="Arial"/>
                <w:sz w:val="18"/>
                <w:szCs w:val="18"/>
              </w:rPr>
              <w:t>1,984,034</w:t>
            </w:r>
          </w:p>
        </w:tc>
        <w:tc>
          <w:tcPr>
            <w:tcW w:w="1361" w:type="dxa"/>
            <w:tcBorders>
              <w:top w:val="nil"/>
              <w:left w:val="nil"/>
              <w:bottom w:val="nil"/>
              <w:right w:val="nil"/>
            </w:tcBorders>
            <w:shd w:val="clear" w:color="auto" w:fill="auto"/>
            <w:vAlign w:val="bottom"/>
          </w:tcPr>
          <w:p w14:paraId="3E57F474" w14:textId="2224164D" w:rsidR="00DC5BE9" w:rsidRPr="003E2D55" w:rsidRDefault="00DC5BE9" w:rsidP="003E2D55">
            <w:pPr>
              <w:spacing w:before="40" w:after="20"/>
              <w:jc w:val="right"/>
              <w:rPr>
                <w:rFonts w:cs="Arial"/>
                <w:sz w:val="18"/>
                <w:szCs w:val="18"/>
              </w:rPr>
            </w:pPr>
            <w:r w:rsidRPr="003E2D55">
              <w:rPr>
                <w:rFonts w:cs="Arial"/>
                <w:sz w:val="18"/>
                <w:szCs w:val="18"/>
              </w:rPr>
              <w:t>1,041,778</w:t>
            </w:r>
          </w:p>
        </w:tc>
      </w:tr>
      <w:tr w:rsidR="00DC5BE9" w:rsidRPr="003E2D55" w14:paraId="7D28824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E92E3D5" w14:textId="77777777" w:rsidR="00DC5BE9" w:rsidRPr="003E2D55" w:rsidRDefault="00DC5BE9" w:rsidP="003E2D55">
            <w:pPr>
              <w:spacing w:before="40" w:after="20"/>
              <w:rPr>
                <w:rFonts w:cs="Arial"/>
                <w:sz w:val="18"/>
                <w:szCs w:val="18"/>
              </w:rPr>
            </w:pPr>
            <w:r w:rsidRPr="003E2D55">
              <w:rPr>
                <w:rFonts w:cs="Arial"/>
                <w:sz w:val="18"/>
                <w:szCs w:val="18"/>
              </w:rPr>
              <w:t>Mornington Peninsula</w:t>
            </w:r>
          </w:p>
        </w:tc>
        <w:tc>
          <w:tcPr>
            <w:tcW w:w="1361" w:type="dxa"/>
            <w:tcBorders>
              <w:top w:val="nil"/>
              <w:left w:val="single" w:sz="18" w:space="0" w:color="5F497A" w:themeColor="accent4" w:themeShade="BF"/>
              <w:bottom w:val="nil"/>
              <w:right w:val="nil"/>
            </w:tcBorders>
            <w:shd w:val="clear" w:color="auto" w:fill="auto"/>
            <w:vAlign w:val="bottom"/>
          </w:tcPr>
          <w:p w14:paraId="443B3925" w14:textId="5D785945" w:rsidR="00DC5BE9" w:rsidRPr="003E2D55" w:rsidRDefault="00DC5BE9" w:rsidP="003E2D55">
            <w:pPr>
              <w:spacing w:before="40" w:after="20"/>
              <w:jc w:val="right"/>
              <w:rPr>
                <w:rFonts w:cs="Arial"/>
                <w:sz w:val="18"/>
                <w:szCs w:val="18"/>
              </w:rPr>
            </w:pPr>
            <w:r w:rsidRPr="003E2D55">
              <w:rPr>
                <w:rFonts w:cs="Arial"/>
                <w:sz w:val="18"/>
                <w:szCs w:val="18"/>
              </w:rPr>
              <w:t>5,900,442</w:t>
            </w:r>
          </w:p>
        </w:tc>
        <w:tc>
          <w:tcPr>
            <w:tcW w:w="1361" w:type="dxa"/>
            <w:tcBorders>
              <w:top w:val="nil"/>
              <w:left w:val="nil"/>
              <w:bottom w:val="nil"/>
              <w:right w:val="nil"/>
            </w:tcBorders>
            <w:shd w:val="clear" w:color="auto" w:fill="auto"/>
            <w:vAlign w:val="bottom"/>
          </w:tcPr>
          <w:p w14:paraId="2F0C2752" w14:textId="6D0588FA" w:rsidR="00DC5BE9" w:rsidRPr="003E2D55" w:rsidRDefault="00DC5BE9" w:rsidP="003E2D55">
            <w:pPr>
              <w:spacing w:before="40" w:after="20"/>
              <w:jc w:val="right"/>
              <w:rPr>
                <w:rFonts w:cs="Arial"/>
                <w:sz w:val="18"/>
                <w:szCs w:val="18"/>
              </w:rPr>
            </w:pPr>
            <w:r w:rsidRPr="003E2D55">
              <w:rPr>
                <w:rFonts w:cs="Arial"/>
                <w:sz w:val="18"/>
                <w:szCs w:val="18"/>
              </w:rPr>
              <w:t>1,474,856</w:t>
            </w:r>
          </w:p>
        </w:tc>
        <w:tc>
          <w:tcPr>
            <w:tcW w:w="1361" w:type="dxa"/>
            <w:tcBorders>
              <w:top w:val="nil"/>
              <w:left w:val="nil"/>
              <w:bottom w:val="nil"/>
              <w:right w:val="nil"/>
            </w:tcBorders>
            <w:shd w:val="clear" w:color="auto" w:fill="auto"/>
            <w:vAlign w:val="bottom"/>
          </w:tcPr>
          <w:p w14:paraId="004D3754" w14:textId="0864C1A8" w:rsidR="00DC5BE9" w:rsidRPr="003E2D55" w:rsidRDefault="00DC5BE9" w:rsidP="003E2D55">
            <w:pPr>
              <w:spacing w:before="40" w:after="20"/>
              <w:jc w:val="right"/>
              <w:rPr>
                <w:rFonts w:cs="Arial"/>
                <w:sz w:val="18"/>
                <w:szCs w:val="18"/>
              </w:rPr>
            </w:pPr>
            <w:r w:rsidRPr="003E2D55">
              <w:rPr>
                <w:rFonts w:cs="Arial"/>
                <w:sz w:val="18"/>
                <w:szCs w:val="18"/>
              </w:rPr>
              <w:t>2,473,286</w:t>
            </w:r>
          </w:p>
        </w:tc>
        <w:tc>
          <w:tcPr>
            <w:tcW w:w="1361" w:type="dxa"/>
            <w:tcBorders>
              <w:top w:val="nil"/>
              <w:left w:val="nil"/>
              <w:bottom w:val="nil"/>
              <w:right w:val="nil"/>
            </w:tcBorders>
            <w:shd w:val="clear" w:color="auto" w:fill="auto"/>
            <w:vAlign w:val="bottom"/>
          </w:tcPr>
          <w:p w14:paraId="2D505062" w14:textId="1C65EDA0" w:rsidR="00DC5BE9" w:rsidRPr="003E2D55" w:rsidRDefault="00DC5BE9" w:rsidP="003E2D55">
            <w:pPr>
              <w:spacing w:before="40" w:after="20"/>
              <w:jc w:val="right"/>
              <w:rPr>
                <w:rFonts w:cs="Arial"/>
                <w:sz w:val="18"/>
                <w:szCs w:val="18"/>
              </w:rPr>
            </w:pPr>
            <w:r w:rsidRPr="003E2D55">
              <w:rPr>
                <w:rFonts w:cs="Arial"/>
                <w:sz w:val="18"/>
                <w:szCs w:val="18"/>
              </w:rPr>
              <w:t>1,399,418</w:t>
            </w:r>
          </w:p>
        </w:tc>
      </w:tr>
      <w:tr w:rsidR="00DC5BE9" w:rsidRPr="003E2D55" w14:paraId="6874C9D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61B2C13" w14:textId="77777777" w:rsidR="00DC5BE9" w:rsidRPr="003E2D55" w:rsidRDefault="00DC5BE9" w:rsidP="003E2D55">
            <w:pPr>
              <w:spacing w:before="40" w:after="20"/>
              <w:rPr>
                <w:rFonts w:cs="Arial"/>
                <w:sz w:val="18"/>
                <w:szCs w:val="18"/>
              </w:rPr>
            </w:pPr>
            <w:r w:rsidRPr="003E2D55">
              <w:rPr>
                <w:rFonts w:cs="Arial"/>
                <w:sz w:val="18"/>
                <w:szCs w:val="18"/>
              </w:rPr>
              <w:t>Mount Alexander S</w:t>
            </w:r>
          </w:p>
        </w:tc>
        <w:tc>
          <w:tcPr>
            <w:tcW w:w="1361" w:type="dxa"/>
            <w:tcBorders>
              <w:top w:val="nil"/>
              <w:left w:val="single" w:sz="18" w:space="0" w:color="5F497A" w:themeColor="accent4" w:themeShade="BF"/>
              <w:bottom w:val="nil"/>
              <w:right w:val="nil"/>
            </w:tcBorders>
            <w:shd w:val="clear" w:color="auto" w:fill="auto"/>
            <w:vAlign w:val="bottom"/>
          </w:tcPr>
          <w:p w14:paraId="2B768AA1" w14:textId="0D59D152" w:rsidR="00DC5BE9" w:rsidRPr="003E2D55" w:rsidRDefault="00DC5BE9" w:rsidP="003E2D55">
            <w:pPr>
              <w:spacing w:before="40" w:after="20"/>
              <w:jc w:val="right"/>
              <w:rPr>
                <w:rFonts w:cs="Arial"/>
                <w:sz w:val="18"/>
                <w:szCs w:val="18"/>
              </w:rPr>
            </w:pPr>
            <w:r w:rsidRPr="003E2D55">
              <w:rPr>
                <w:rFonts w:cs="Arial"/>
                <w:sz w:val="18"/>
                <w:szCs w:val="18"/>
              </w:rPr>
              <w:t>1,538,979</w:t>
            </w:r>
          </w:p>
        </w:tc>
        <w:tc>
          <w:tcPr>
            <w:tcW w:w="1361" w:type="dxa"/>
            <w:tcBorders>
              <w:top w:val="nil"/>
              <w:left w:val="nil"/>
              <w:bottom w:val="nil"/>
              <w:right w:val="nil"/>
            </w:tcBorders>
            <w:shd w:val="clear" w:color="auto" w:fill="auto"/>
            <w:vAlign w:val="bottom"/>
          </w:tcPr>
          <w:p w14:paraId="7DB0FF07" w14:textId="49BFE120" w:rsidR="00DC5BE9" w:rsidRPr="003E2D55" w:rsidRDefault="00DC5BE9" w:rsidP="003E2D55">
            <w:pPr>
              <w:spacing w:before="40" w:after="20"/>
              <w:jc w:val="right"/>
              <w:rPr>
                <w:rFonts w:cs="Arial"/>
                <w:sz w:val="18"/>
                <w:szCs w:val="18"/>
              </w:rPr>
            </w:pPr>
            <w:r w:rsidRPr="003E2D55">
              <w:rPr>
                <w:rFonts w:cs="Arial"/>
                <w:sz w:val="18"/>
                <w:szCs w:val="18"/>
              </w:rPr>
              <w:t>173,749</w:t>
            </w:r>
          </w:p>
        </w:tc>
        <w:tc>
          <w:tcPr>
            <w:tcW w:w="1361" w:type="dxa"/>
            <w:tcBorders>
              <w:top w:val="nil"/>
              <w:left w:val="nil"/>
              <w:bottom w:val="nil"/>
              <w:right w:val="nil"/>
            </w:tcBorders>
            <w:shd w:val="clear" w:color="auto" w:fill="auto"/>
            <w:vAlign w:val="bottom"/>
          </w:tcPr>
          <w:p w14:paraId="0A34A6C2" w14:textId="612C5427" w:rsidR="00DC5BE9" w:rsidRPr="003E2D55" w:rsidRDefault="00DC5BE9" w:rsidP="003E2D55">
            <w:pPr>
              <w:spacing w:before="40" w:after="20"/>
              <w:jc w:val="right"/>
              <w:rPr>
                <w:rFonts w:cs="Arial"/>
                <w:sz w:val="18"/>
                <w:szCs w:val="18"/>
              </w:rPr>
            </w:pPr>
            <w:r w:rsidRPr="003E2D55">
              <w:rPr>
                <w:rFonts w:cs="Arial"/>
                <w:sz w:val="18"/>
                <w:szCs w:val="18"/>
              </w:rPr>
              <w:t>243,391</w:t>
            </w:r>
          </w:p>
        </w:tc>
        <w:tc>
          <w:tcPr>
            <w:tcW w:w="1361" w:type="dxa"/>
            <w:tcBorders>
              <w:top w:val="nil"/>
              <w:left w:val="nil"/>
              <w:bottom w:val="nil"/>
              <w:right w:val="nil"/>
            </w:tcBorders>
            <w:shd w:val="clear" w:color="auto" w:fill="auto"/>
            <w:vAlign w:val="bottom"/>
          </w:tcPr>
          <w:p w14:paraId="20EE13A8" w14:textId="7CA5399A" w:rsidR="00DC5BE9" w:rsidRPr="003E2D55" w:rsidRDefault="00DC5BE9" w:rsidP="003E2D55">
            <w:pPr>
              <w:spacing w:before="40" w:after="20"/>
              <w:jc w:val="right"/>
              <w:rPr>
                <w:rFonts w:cs="Arial"/>
                <w:sz w:val="18"/>
                <w:szCs w:val="18"/>
              </w:rPr>
            </w:pPr>
            <w:r w:rsidRPr="003E2D55">
              <w:rPr>
                <w:rFonts w:cs="Arial"/>
                <w:sz w:val="18"/>
                <w:szCs w:val="18"/>
              </w:rPr>
              <w:t>83,976</w:t>
            </w:r>
          </w:p>
        </w:tc>
      </w:tr>
      <w:tr w:rsidR="00DC5BE9" w:rsidRPr="003E2D55" w14:paraId="676168B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36FB3E3" w14:textId="77777777" w:rsidR="00DC5BE9" w:rsidRPr="003E2D55" w:rsidRDefault="00DC5BE9" w:rsidP="003E2D55">
            <w:pPr>
              <w:spacing w:before="40" w:after="20"/>
              <w:rPr>
                <w:rFonts w:cs="Arial"/>
                <w:sz w:val="18"/>
                <w:szCs w:val="18"/>
              </w:rPr>
            </w:pPr>
            <w:r w:rsidRPr="003E2D55">
              <w:rPr>
                <w:rFonts w:cs="Arial"/>
                <w:sz w:val="18"/>
                <w:szCs w:val="18"/>
              </w:rPr>
              <w:t>Moyne S</w:t>
            </w:r>
          </w:p>
        </w:tc>
        <w:tc>
          <w:tcPr>
            <w:tcW w:w="1361" w:type="dxa"/>
            <w:tcBorders>
              <w:top w:val="nil"/>
              <w:left w:val="single" w:sz="18" w:space="0" w:color="5F497A" w:themeColor="accent4" w:themeShade="BF"/>
              <w:bottom w:val="nil"/>
              <w:right w:val="nil"/>
            </w:tcBorders>
            <w:shd w:val="clear" w:color="auto" w:fill="auto"/>
            <w:vAlign w:val="bottom"/>
          </w:tcPr>
          <w:p w14:paraId="4F54FE8E" w14:textId="699FB630" w:rsidR="00DC5BE9" w:rsidRPr="003E2D55" w:rsidRDefault="00DC5BE9" w:rsidP="003E2D55">
            <w:pPr>
              <w:spacing w:before="40" w:after="20"/>
              <w:jc w:val="right"/>
              <w:rPr>
                <w:rFonts w:cs="Arial"/>
                <w:sz w:val="18"/>
                <w:szCs w:val="18"/>
              </w:rPr>
            </w:pPr>
            <w:r w:rsidRPr="003E2D55">
              <w:rPr>
                <w:rFonts w:cs="Arial"/>
                <w:sz w:val="18"/>
                <w:szCs w:val="18"/>
              </w:rPr>
              <w:t>1,331,239</w:t>
            </w:r>
          </w:p>
        </w:tc>
        <w:tc>
          <w:tcPr>
            <w:tcW w:w="1361" w:type="dxa"/>
            <w:tcBorders>
              <w:top w:val="nil"/>
              <w:left w:val="nil"/>
              <w:bottom w:val="nil"/>
              <w:right w:val="nil"/>
            </w:tcBorders>
            <w:shd w:val="clear" w:color="auto" w:fill="auto"/>
            <w:vAlign w:val="bottom"/>
          </w:tcPr>
          <w:p w14:paraId="0AB6676E" w14:textId="2F1D4959" w:rsidR="00DC5BE9" w:rsidRPr="003E2D55" w:rsidRDefault="00DC5BE9" w:rsidP="003E2D55">
            <w:pPr>
              <w:spacing w:before="40" w:after="20"/>
              <w:jc w:val="right"/>
              <w:rPr>
                <w:rFonts w:cs="Arial"/>
                <w:sz w:val="18"/>
                <w:szCs w:val="18"/>
              </w:rPr>
            </w:pPr>
            <w:r w:rsidRPr="003E2D55">
              <w:rPr>
                <w:rFonts w:cs="Arial"/>
                <w:sz w:val="18"/>
                <w:szCs w:val="18"/>
              </w:rPr>
              <w:t>81,986</w:t>
            </w:r>
          </w:p>
        </w:tc>
        <w:tc>
          <w:tcPr>
            <w:tcW w:w="1361" w:type="dxa"/>
            <w:tcBorders>
              <w:top w:val="nil"/>
              <w:left w:val="nil"/>
              <w:bottom w:val="nil"/>
              <w:right w:val="nil"/>
            </w:tcBorders>
            <w:shd w:val="clear" w:color="auto" w:fill="auto"/>
            <w:vAlign w:val="bottom"/>
          </w:tcPr>
          <w:p w14:paraId="12AA9246" w14:textId="1193A31E" w:rsidR="00DC5BE9" w:rsidRPr="003E2D55" w:rsidRDefault="00DC5BE9" w:rsidP="003E2D55">
            <w:pPr>
              <w:spacing w:before="40" w:after="20"/>
              <w:jc w:val="right"/>
              <w:rPr>
                <w:rFonts w:cs="Arial"/>
                <w:sz w:val="18"/>
                <w:szCs w:val="18"/>
              </w:rPr>
            </w:pPr>
            <w:r w:rsidRPr="003E2D55">
              <w:rPr>
                <w:rFonts w:cs="Arial"/>
                <w:sz w:val="18"/>
                <w:szCs w:val="18"/>
              </w:rPr>
              <w:t>227,500</w:t>
            </w:r>
          </w:p>
        </w:tc>
        <w:tc>
          <w:tcPr>
            <w:tcW w:w="1361" w:type="dxa"/>
            <w:tcBorders>
              <w:top w:val="nil"/>
              <w:left w:val="nil"/>
              <w:bottom w:val="nil"/>
              <w:right w:val="nil"/>
            </w:tcBorders>
            <w:shd w:val="clear" w:color="auto" w:fill="auto"/>
            <w:vAlign w:val="bottom"/>
          </w:tcPr>
          <w:p w14:paraId="34BA3A75" w14:textId="67E569D2"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7F06A3E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EFB99B0" w14:textId="77777777" w:rsidR="00DC5BE9" w:rsidRPr="003E2D55" w:rsidRDefault="00DC5BE9" w:rsidP="003E2D55">
            <w:pPr>
              <w:spacing w:before="40" w:after="20"/>
              <w:rPr>
                <w:rFonts w:cs="Arial"/>
                <w:sz w:val="18"/>
                <w:szCs w:val="18"/>
              </w:rPr>
            </w:pPr>
            <w:r w:rsidRPr="003E2D55">
              <w:rPr>
                <w:rFonts w:cs="Arial"/>
                <w:sz w:val="18"/>
                <w:szCs w:val="18"/>
              </w:rPr>
              <w:t>Murrindindi S</w:t>
            </w:r>
          </w:p>
        </w:tc>
        <w:tc>
          <w:tcPr>
            <w:tcW w:w="1361" w:type="dxa"/>
            <w:tcBorders>
              <w:top w:val="nil"/>
              <w:left w:val="single" w:sz="18" w:space="0" w:color="5F497A" w:themeColor="accent4" w:themeShade="BF"/>
              <w:bottom w:val="nil"/>
              <w:right w:val="nil"/>
            </w:tcBorders>
            <w:shd w:val="clear" w:color="auto" w:fill="auto"/>
            <w:vAlign w:val="bottom"/>
          </w:tcPr>
          <w:p w14:paraId="3543C0EA" w14:textId="671998C5" w:rsidR="00DC5BE9" w:rsidRPr="003E2D55" w:rsidRDefault="00DC5BE9" w:rsidP="003E2D55">
            <w:pPr>
              <w:spacing w:before="40" w:after="20"/>
              <w:jc w:val="right"/>
              <w:rPr>
                <w:rFonts w:cs="Arial"/>
                <w:sz w:val="18"/>
                <w:szCs w:val="18"/>
              </w:rPr>
            </w:pPr>
            <w:r w:rsidRPr="003E2D55">
              <w:rPr>
                <w:rFonts w:cs="Arial"/>
                <w:sz w:val="18"/>
                <w:szCs w:val="18"/>
              </w:rPr>
              <w:t>887,472</w:t>
            </w:r>
          </w:p>
        </w:tc>
        <w:tc>
          <w:tcPr>
            <w:tcW w:w="1361" w:type="dxa"/>
            <w:tcBorders>
              <w:top w:val="nil"/>
              <w:left w:val="nil"/>
              <w:bottom w:val="nil"/>
              <w:right w:val="nil"/>
            </w:tcBorders>
            <w:shd w:val="clear" w:color="auto" w:fill="auto"/>
            <w:vAlign w:val="bottom"/>
          </w:tcPr>
          <w:p w14:paraId="034CB1E5" w14:textId="5C06A497" w:rsidR="00DC5BE9" w:rsidRPr="003E2D55" w:rsidRDefault="00DC5BE9" w:rsidP="003E2D55">
            <w:pPr>
              <w:spacing w:before="40" w:after="20"/>
              <w:jc w:val="right"/>
              <w:rPr>
                <w:rFonts w:cs="Arial"/>
                <w:sz w:val="18"/>
                <w:szCs w:val="18"/>
              </w:rPr>
            </w:pPr>
            <w:r w:rsidRPr="003E2D55">
              <w:rPr>
                <w:rFonts w:cs="Arial"/>
                <w:sz w:val="18"/>
                <w:szCs w:val="18"/>
              </w:rPr>
              <w:t>121,931</w:t>
            </w:r>
          </w:p>
        </w:tc>
        <w:tc>
          <w:tcPr>
            <w:tcW w:w="1361" w:type="dxa"/>
            <w:tcBorders>
              <w:top w:val="nil"/>
              <w:left w:val="nil"/>
              <w:bottom w:val="nil"/>
              <w:right w:val="nil"/>
            </w:tcBorders>
            <w:shd w:val="clear" w:color="auto" w:fill="auto"/>
            <w:vAlign w:val="bottom"/>
          </w:tcPr>
          <w:p w14:paraId="30514C59" w14:textId="05E52BB2" w:rsidR="00DC5BE9" w:rsidRPr="003E2D55" w:rsidRDefault="00DC5BE9" w:rsidP="003E2D55">
            <w:pPr>
              <w:spacing w:before="40" w:after="20"/>
              <w:jc w:val="right"/>
              <w:rPr>
                <w:rFonts w:cs="Arial"/>
                <w:sz w:val="18"/>
                <w:szCs w:val="18"/>
              </w:rPr>
            </w:pPr>
            <w:r w:rsidRPr="003E2D55">
              <w:rPr>
                <w:rFonts w:cs="Arial"/>
                <w:sz w:val="18"/>
                <w:szCs w:val="18"/>
              </w:rPr>
              <w:t>77,288</w:t>
            </w:r>
          </w:p>
        </w:tc>
        <w:tc>
          <w:tcPr>
            <w:tcW w:w="1361" w:type="dxa"/>
            <w:tcBorders>
              <w:top w:val="nil"/>
              <w:left w:val="nil"/>
              <w:bottom w:val="nil"/>
              <w:right w:val="nil"/>
            </w:tcBorders>
            <w:shd w:val="clear" w:color="auto" w:fill="auto"/>
            <w:vAlign w:val="bottom"/>
          </w:tcPr>
          <w:p w14:paraId="39EAC7FA" w14:textId="43CA0249"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5FA91CB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CCAA5D7" w14:textId="77777777" w:rsidR="00DC5BE9" w:rsidRPr="003E2D55" w:rsidRDefault="00DC5BE9" w:rsidP="003E2D55">
            <w:pPr>
              <w:spacing w:before="40" w:after="20"/>
              <w:rPr>
                <w:rFonts w:cs="Arial"/>
                <w:sz w:val="18"/>
                <w:szCs w:val="18"/>
              </w:rPr>
            </w:pPr>
            <w:r w:rsidRPr="003E2D55">
              <w:rPr>
                <w:rFonts w:cs="Arial"/>
                <w:sz w:val="18"/>
                <w:szCs w:val="18"/>
              </w:rPr>
              <w:t>Nillumbik S</w:t>
            </w:r>
          </w:p>
        </w:tc>
        <w:tc>
          <w:tcPr>
            <w:tcW w:w="1361" w:type="dxa"/>
            <w:tcBorders>
              <w:top w:val="nil"/>
              <w:left w:val="single" w:sz="18" w:space="0" w:color="5F497A" w:themeColor="accent4" w:themeShade="BF"/>
              <w:bottom w:val="nil"/>
              <w:right w:val="nil"/>
            </w:tcBorders>
            <w:shd w:val="clear" w:color="auto" w:fill="auto"/>
            <w:vAlign w:val="bottom"/>
          </w:tcPr>
          <w:p w14:paraId="4549098A" w14:textId="37C69452" w:rsidR="00DC5BE9" w:rsidRPr="003E2D55" w:rsidRDefault="00DC5BE9" w:rsidP="003E2D55">
            <w:pPr>
              <w:spacing w:before="40" w:after="20"/>
              <w:jc w:val="right"/>
              <w:rPr>
                <w:rFonts w:cs="Arial"/>
                <w:sz w:val="18"/>
                <w:szCs w:val="18"/>
              </w:rPr>
            </w:pPr>
            <w:r w:rsidRPr="003E2D55">
              <w:rPr>
                <w:rFonts w:cs="Arial"/>
                <w:sz w:val="18"/>
                <w:szCs w:val="18"/>
              </w:rPr>
              <w:t>1,434,758</w:t>
            </w:r>
          </w:p>
        </w:tc>
        <w:tc>
          <w:tcPr>
            <w:tcW w:w="1361" w:type="dxa"/>
            <w:tcBorders>
              <w:top w:val="nil"/>
              <w:left w:val="nil"/>
              <w:bottom w:val="nil"/>
              <w:right w:val="nil"/>
            </w:tcBorders>
            <w:shd w:val="clear" w:color="auto" w:fill="auto"/>
            <w:vAlign w:val="bottom"/>
          </w:tcPr>
          <w:p w14:paraId="1DFFC435" w14:textId="5834D38C" w:rsidR="00DC5BE9" w:rsidRPr="003E2D55" w:rsidRDefault="00DC5BE9" w:rsidP="003E2D55">
            <w:pPr>
              <w:spacing w:before="40" w:after="20"/>
              <w:jc w:val="right"/>
              <w:rPr>
                <w:rFonts w:cs="Arial"/>
                <w:sz w:val="18"/>
                <w:szCs w:val="18"/>
              </w:rPr>
            </w:pPr>
            <w:r w:rsidRPr="003E2D55">
              <w:rPr>
                <w:rFonts w:cs="Arial"/>
                <w:sz w:val="18"/>
                <w:szCs w:val="18"/>
              </w:rPr>
              <w:t>338,118</w:t>
            </w:r>
          </w:p>
        </w:tc>
        <w:tc>
          <w:tcPr>
            <w:tcW w:w="1361" w:type="dxa"/>
            <w:tcBorders>
              <w:top w:val="nil"/>
              <w:left w:val="nil"/>
              <w:bottom w:val="nil"/>
              <w:right w:val="nil"/>
            </w:tcBorders>
            <w:shd w:val="clear" w:color="auto" w:fill="auto"/>
            <w:vAlign w:val="bottom"/>
          </w:tcPr>
          <w:p w14:paraId="7816ED42" w14:textId="7DA47FD1" w:rsidR="00DC5BE9" w:rsidRPr="003E2D55" w:rsidRDefault="00DC5BE9" w:rsidP="003E2D55">
            <w:pPr>
              <w:spacing w:before="40" w:after="20"/>
              <w:jc w:val="right"/>
              <w:rPr>
                <w:rFonts w:cs="Arial"/>
                <w:sz w:val="18"/>
                <w:szCs w:val="18"/>
              </w:rPr>
            </w:pPr>
            <w:r w:rsidRPr="003E2D55">
              <w:rPr>
                <w:rFonts w:cs="Arial"/>
                <w:sz w:val="18"/>
                <w:szCs w:val="18"/>
              </w:rPr>
              <w:t>806,872</w:t>
            </w:r>
          </w:p>
        </w:tc>
        <w:tc>
          <w:tcPr>
            <w:tcW w:w="1361" w:type="dxa"/>
            <w:tcBorders>
              <w:top w:val="nil"/>
              <w:left w:val="nil"/>
              <w:bottom w:val="nil"/>
              <w:right w:val="nil"/>
            </w:tcBorders>
            <w:shd w:val="clear" w:color="auto" w:fill="auto"/>
            <w:vAlign w:val="bottom"/>
          </w:tcPr>
          <w:p w14:paraId="2298EC2C" w14:textId="2AC86C96" w:rsidR="00DC5BE9" w:rsidRPr="003E2D55" w:rsidRDefault="00DC5BE9" w:rsidP="003E2D55">
            <w:pPr>
              <w:spacing w:before="40" w:after="20"/>
              <w:jc w:val="right"/>
              <w:rPr>
                <w:rFonts w:cs="Arial"/>
                <w:sz w:val="18"/>
                <w:szCs w:val="18"/>
              </w:rPr>
            </w:pPr>
            <w:r w:rsidRPr="003E2D55">
              <w:rPr>
                <w:rFonts w:cs="Arial"/>
                <w:sz w:val="18"/>
                <w:szCs w:val="18"/>
              </w:rPr>
              <w:t>130,121</w:t>
            </w:r>
          </w:p>
        </w:tc>
      </w:tr>
      <w:tr w:rsidR="00DC5BE9" w:rsidRPr="003E2D55" w14:paraId="3E4A88B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5C066CF" w14:textId="77777777" w:rsidR="00DC5BE9" w:rsidRPr="003E2D55" w:rsidRDefault="00DC5BE9" w:rsidP="003E2D55">
            <w:pPr>
              <w:spacing w:before="40" w:after="20"/>
              <w:rPr>
                <w:rFonts w:cs="Arial"/>
                <w:sz w:val="18"/>
                <w:szCs w:val="18"/>
              </w:rPr>
            </w:pPr>
            <w:r w:rsidRPr="003E2D55">
              <w:rPr>
                <w:rFonts w:cs="Arial"/>
                <w:sz w:val="18"/>
                <w:szCs w:val="18"/>
              </w:rPr>
              <w:t>Northern Grampians S</w:t>
            </w:r>
          </w:p>
        </w:tc>
        <w:tc>
          <w:tcPr>
            <w:tcW w:w="1361" w:type="dxa"/>
            <w:tcBorders>
              <w:top w:val="nil"/>
              <w:left w:val="single" w:sz="18" w:space="0" w:color="5F497A" w:themeColor="accent4" w:themeShade="BF"/>
              <w:bottom w:val="nil"/>
              <w:right w:val="nil"/>
            </w:tcBorders>
            <w:shd w:val="clear" w:color="auto" w:fill="auto"/>
            <w:vAlign w:val="bottom"/>
          </w:tcPr>
          <w:p w14:paraId="7134FF78" w14:textId="65FA937A" w:rsidR="00DC5BE9" w:rsidRPr="003E2D55" w:rsidRDefault="00DC5BE9" w:rsidP="003E2D55">
            <w:pPr>
              <w:spacing w:before="40" w:after="20"/>
              <w:jc w:val="right"/>
              <w:rPr>
                <w:rFonts w:cs="Arial"/>
                <w:sz w:val="18"/>
                <w:szCs w:val="18"/>
              </w:rPr>
            </w:pPr>
            <w:r w:rsidRPr="003E2D55">
              <w:rPr>
                <w:rFonts w:cs="Arial"/>
                <w:sz w:val="18"/>
                <w:szCs w:val="18"/>
              </w:rPr>
              <w:t>907,557</w:t>
            </w:r>
          </w:p>
        </w:tc>
        <w:tc>
          <w:tcPr>
            <w:tcW w:w="1361" w:type="dxa"/>
            <w:tcBorders>
              <w:top w:val="nil"/>
              <w:left w:val="nil"/>
              <w:bottom w:val="nil"/>
              <w:right w:val="nil"/>
            </w:tcBorders>
            <w:shd w:val="clear" w:color="auto" w:fill="auto"/>
            <w:vAlign w:val="bottom"/>
          </w:tcPr>
          <w:p w14:paraId="19398A91" w14:textId="58F8991E" w:rsidR="00DC5BE9" w:rsidRPr="003E2D55" w:rsidRDefault="00DC5BE9" w:rsidP="003E2D55">
            <w:pPr>
              <w:spacing w:before="40" w:after="20"/>
              <w:jc w:val="right"/>
              <w:rPr>
                <w:rFonts w:cs="Arial"/>
                <w:sz w:val="18"/>
                <w:szCs w:val="18"/>
              </w:rPr>
            </w:pPr>
            <w:r w:rsidRPr="003E2D55">
              <w:rPr>
                <w:rFonts w:cs="Arial"/>
                <w:sz w:val="18"/>
                <w:szCs w:val="18"/>
              </w:rPr>
              <w:t>96,429</w:t>
            </w:r>
          </w:p>
        </w:tc>
        <w:tc>
          <w:tcPr>
            <w:tcW w:w="1361" w:type="dxa"/>
            <w:tcBorders>
              <w:top w:val="nil"/>
              <w:left w:val="nil"/>
              <w:bottom w:val="nil"/>
              <w:right w:val="nil"/>
            </w:tcBorders>
            <w:shd w:val="clear" w:color="auto" w:fill="auto"/>
            <w:vAlign w:val="bottom"/>
          </w:tcPr>
          <w:p w14:paraId="4F85ACC6" w14:textId="54170005" w:rsidR="00DC5BE9" w:rsidRPr="003E2D55" w:rsidRDefault="00DC5BE9" w:rsidP="003E2D55">
            <w:pPr>
              <w:spacing w:before="40" w:after="20"/>
              <w:jc w:val="right"/>
              <w:rPr>
                <w:rFonts w:cs="Arial"/>
                <w:sz w:val="18"/>
                <w:szCs w:val="18"/>
              </w:rPr>
            </w:pPr>
            <w:r w:rsidRPr="003E2D55">
              <w:rPr>
                <w:rFonts w:cs="Arial"/>
                <w:sz w:val="18"/>
                <w:szCs w:val="18"/>
              </w:rPr>
              <w:t>115,453</w:t>
            </w:r>
          </w:p>
        </w:tc>
        <w:tc>
          <w:tcPr>
            <w:tcW w:w="1361" w:type="dxa"/>
            <w:tcBorders>
              <w:top w:val="nil"/>
              <w:left w:val="nil"/>
              <w:bottom w:val="nil"/>
              <w:right w:val="nil"/>
            </w:tcBorders>
            <w:shd w:val="clear" w:color="auto" w:fill="auto"/>
            <w:vAlign w:val="bottom"/>
          </w:tcPr>
          <w:p w14:paraId="56420870" w14:textId="11689DC8"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53DC1B9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C6C31D1" w14:textId="77777777" w:rsidR="00DC5BE9" w:rsidRPr="003E2D55" w:rsidRDefault="00DC5BE9" w:rsidP="003E2D55">
            <w:pPr>
              <w:spacing w:before="40" w:after="20"/>
              <w:rPr>
                <w:rFonts w:cs="Arial"/>
                <w:sz w:val="18"/>
                <w:szCs w:val="18"/>
              </w:rPr>
            </w:pPr>
            <w:r w:rsidRPr="003E2D55">
              <w:rPr>
                <w:rFonts w:cs="Arial"/>
                <w:sz w:val="18"/>
                <w:szCs w:val="18"/>
              </w:rPr>
              <w:t>Port Phillip C</w:t>
            </w:r>
          </w:p>
        </w:tc>
        <w:tc>
          <w:tcPr>
            <w:tcW w:w="1361" w:type="dxa"/>
            <w:tcBorders>
              <w:top w:val="nil"/>
              <w:left w:val="single" w:sz="18" w:space="0" w:color="5F497A" w:themeColor="accent4" w:themeShade="BF"/>
              <w:bottom w:val="nil"/>
              <w:right w:val="nil"/>
            </w:tcBorders>
            <w:shd w:val="clear" w:color="auto" w:fill="auto"/>
            <w:vAlign w:val="bottom"/>
          </w:tcPr>
          <w:p w14:paraId="6DC00E7E" w14:textId="7579AC96" w:rsidR="00DC5BE9" w:rsidRPr="003E2D55" w:rsidRDefault="00DC5BE9" w:rsidP="003E2D55">
            <w:pPr>
              <w:spacing w:before="40" w:after="20"/>
              <w:jc w:val="right"/>
              <w:rPr>
                <w:rFonts w:cs="Arial"/>
                <w:sz w:val="18"/>
                <w:szCs w:val="18"/>
              </w:rPr>
            </w:pPr>
            <w:r w:rsidRPr="003E2D55">
              <w:rPr>
                <w:rFonts w:cs="Arial"/>
                <w:sz w:val="18"/>
                <w:szCs w:val="18"/>
              </w:rPr>
              <w:t>362,235</w:t>
            </w:r>
          </w:p>
        </w:tc>
        <w:tc>
          <w:tcPr>
            <w:tcW w:w="1361" w:type="dxa"/>
            <w:tcBorders>
              <w:top w:val="nil"/>
              <w:left w:val="nil"/>
              <w:bottom w:val="nil"/>
              <w:right w:val="nil"/>
            </w:tcBorders>
            <w:shd w:val="clear" w:color="auto" w:fill="auto"/>
            <w:vAlign w:val="bottom"/>
          </w:tcPr>
          <w:p w14:paraId="7BF8E35E" w14:textId="57DEF9C4" w:rsidR="00DC5BE9" w:rsidRPr="003E2D55" w:rsidRDefault="00DC5BE9" w:rsidP="003E2D55">
            <w:pPr>
              <w:spacing w:before="40" w:after="20"/>
              <w:jc w:val="right"/>
              <w:rPr>
                <w:rFonts w:cs="Arial"/>
                <w:sz w:val="18"/>
                <w:szCs w:val="18"/>
              </w:rPr>
            </w:pPr>
            <w:r w:rsidRPr="003E2D55">
              <w:rPr>
                <w:rFonts w:cs="Arial"/>
                <w:sz w:val="18"/>
                <w:szCs w:val="18"/>
              </w:rPr>
              <w:t>961,730</w:t>
            </w:r>
          </w:p>
        </w:tc>
        <w:tc>
          <w:tcPr>
            <w:tcW w:w="1361" w:type="dxa"/>
            <w:tcBorders>
              <w:top w:val="nil"/>
              <w:left w:val="nil"/>
              <w:bottom w:val="nil"/>
              <w:right w:val="nil"/>
            </w:tcBorders>
            <w:shd w:val="clear" w:color="auto" w:fill="auto"/>
            <w:vAlign w:val="bottom"/>
          </w:tcPr>
          <w:p w14:paraId="1637870F" w14:textId="2020B709" w:rsidR="00DC5BE9" w:rsidRPr="003E2D55" w:rsidRDefault="00DC5BE9" w:rsidP="003E2D55">
            <w:pPr>
              <w:spacing w:before="40" w:after="20"/>
              <w:jc w:val="right"/>
              <w:rPr>
                <w:rFonts w:cs="Arial"/>
                <w:sz w:val="18"/>
                <w:szCs w:val="18"/>
              </w:rPr>
            </w:pPr>
            <w:r w:rsidRPr="003E2D55">
              <w:rPr>
                <w:rFonts w:cs="Arial"/>
                <w:sz w:val="18"/>
                <w:szCs w:val="18"/>
              </w:rPr>
              <w:t>303,269</w:t>
            </w:r>
          </w:p>
        </w:tc>
        <w:tc>
          <w:tcPr>
            <w:tcW w:w="1361" w:type="dxa"/>
            <w:tcBorders>
              <w:top w:val="nil"/>
              <w:left w:val="nil"/>
              <w:bottom w:val="nil"/>
              <w:right w:val="nil"/>
            </w:tcBorders>
            <w:shd w:val="clear" w:color="auto" w:fill="auto"/>
            <w:vAlign w:val="bottom"/>
          </w:tcPr>
          <w:p w14:paraId="6B45124E" w14:textId="221A9E27" w:rsidR="00DC5BE9" w:rsidRPr="003E2D55" w:rsidRDefault="00DC5BE9" w:rsidP="003E2D55">
            <w:pPr>
              <w:spacing w:before="40" w:after="20"/>
              <w:jc w:val="right"/>
              <w:rPr>
                <w:rFonts w:cs="Arial"/>
                <w:sz w:val="18"/>
                <w:szCs w:val="18"/>
              </w:rPr>
            </w:pPr>
            <w:r w:rsidRPr="003E2D55">
              <w:rPr>
                <w:rFonts w:cs="Arial"/>
                <w:sz w:val="18"/>
                <w:szCs w:val="18"/>
              </w:rPr>
              <w:t>794,688</w:t>
            </w:r>
          </w:p>
        </w:tc>
      </w:tr>
      <w:tr w:rsidR="00DC5BE9" w:rsidRPr="003E2D55" w14:paraId="2DE965B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E1B675E" w14:textId="77777777" w:rsidR="00DC5BE9" w:rsidRPr="003E2D55" w:rsidRDefault="00DC5BE9" w:rsidP="003E2D55">
            <w:pPr>
              <w:spacing w:before="40" w:after="20"/>
              <w:rPr>
                <w:rFonts w:cs="Arial"/>
                <w:sz w:val="18"/>
                <w:szCs w:val="18"/>
              </w:rPr>
            </w:pPr>
            <w:r w:rsidRPr="003E2D55">
              <w:rPr>
                <w:rFonts w:cs="Arial"/>
                <w:sz w:val="18"/>
                <w:szCs w:val="18"/>
              </w:rPr>
              <w:t>Pyrenees S</w:t>
            </w:r>
          </w:p>
        </w:tc>
        <w:tc>
          <w:tcPr>
            <w:tcW w:w="1361" w:type="dxa"/>
            <w:tcBorders>
              <w:top w:val="nil"/>
              <w:left w:val="single" w:sz="18" w:space="0" w:color="5F497A" w:themeColor="accent4" w:themeShade="BF"/>
              <w:bottom w:val="nil"/>
              <w:right w:val="nil"/>
            </w:tcBorders>
            <w:shd w:val="clear" w:color="auto" w:fill="auto"/>
            <w:vAlign w:val="bottom"/>
          </w:tcPr>
          <w:p w14:paraId="3C595020" w14:textId="7231F563" w:rsidR="00DC5BE9" w:rsidRPr="003E2D55" w:rsidRDefault="00DC5BE9" w:rsidP="003E2D55">
            <w:pPr>
              <w:spacing w:before="40" w:after="20"/>
              <w:jc w:val="right"/>
              <w:rPr>
                <w:rFonts w:cs="Arial"/>
                <w:sz w:val="18"/>
                <w:szCs w:val="18"/>
              </w:rPr>
            </w:pPr>
            <w:r w:rsidRPr="003E2D55">
              <w:rPr>
                <w:rFonts w:cs="Arial"/>
                <w:sz w:val="18"/>
                <w:szCs w:val="18"/>
              </w:rPr>
              <w:t>776,701</w:t>
            </w:r>
          </w:p>
        </w:tc>
        <w:tc>
          <w:tcPr>
            <w:tcW w:w="1361" w:type="dxa"/>
            <w:tcBorders>
              <w:top w:val="nil"/>
              <w:left w:val="nil"/>
              <w:bottom w:val="nil"/>
              <w:right w:val="nil"/>
            </w:tcBorders>
            <w:shd w:val="clear" w:color="auto" w:fill="auto"/>
            <w:vAlign w:val="bottom"/>
          </w:tcPr>
          <w:p w14:paraId="4963A056" w14:textId="019FD227" w:rsidR="00DC5BE9" w:rsidRPr="003E2D55" w:rsidRDefault="00DC5BE9" w:rsidP="003E2D55">
            <w:pPr>
              <w:spacing w:before="40" w:after="20"/>
              <w:jc w:val="right"/>
              <w:rPr>
                <w:rFonts w:cs="Arial"/>
                <w:sz w:val="18"/>
                <w:szCs w:val="18"/>
              </w:rPr>
            </w:pPr>
            <w:r w:rsidRPr="003E2D55">
              <w:rPr>
                <w:rFonts w:cs="Arial"/>
                <w:sz w:val="18"/>
                <w:szCs w:val="18"/>
              </w:rPr>
              <w:t>10,894</w:t>
            </w:r>
          </w:p>
        </w:tc>
        <w:tc>
          <w:tcPr>
            <w:tcW w:w="1361" w:type="dxa"/>
            <w:tcBorders>
              <w:top w:val="nil"/>
              <w:left w:val="nil"/>
              <w:bottom w:val="nil"/>
              <w:right w:val="nil"/>
            </w:tcBorders>
            <w:shd w:val="clear" w:color="auto" w:fill="auto"/>
            <w:vAlign w:val="bottom"/>
          </w:tcPr>
          <w:p w14:paraId="0E0ACC60" w14:textId="6B4DC6F5"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4F4F3D24" w14:textId="21D685F7"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1BCA59B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DF117CA" w14:textId="77777777" w:rsidR="00DC5BE9" w:rsidRPr="003E2D55" w:rsidRDefault="00DC5BE9" w:rsidP="003E2D55">
            <w:pPr>
              <w:spacing w:before="40" w:after="20"/>
              <w:rPr>
                <w:rFonts w:cs="Arial"/>
                <w:sz w:val="18"/>
                <w:szCs w:val="18"/>
              </w:rPr>
            </w:pPr>
            <w:r w:rsidRPr="003E2D55">
              <w:rPr>
                <w:rFonts w:cs="Arial"/>
                <w:sz w:val="18"/>
                <w:szCs w:val="18"/>
              </w:rPr>
              <w:t>Queenscliffe B</w:t>
            </w:r>
          </w:p>
        </w:tc>
        <w:tc>
          <w:tcPr>
            <w:tcW w:w="1361" w:type="dxa"/>
            <w:tcBorders>
              <w:top w:val="nil"/>
              <w:left w:val="single" w:sz="18" w:space="0" w:color="5F497A" w:themeColor="accent4" w:themeShade="BF"/>
              <w:bottom w:val="nil"/>
              <w:right w:val="nil"/>
            </w:tcBorders>
            <w:shd w:val="clear" w:color="auto" w:fill="auto"/>
            <w:vAlign w:val="bottom"/>
          </w:tcPr>
          <w:p w14:paraId="552AA48E" w14:textId="3DDE1565" w:rsidR="00DC5BE9" w:rsidRPr="003E2D55" w:rsidRDefault="00DC5BE9" w:rsidP="003E2D55">
            <w:pPr>
              <w:spacing w:before="40" w:after="20"/>
              <w:jc w:val="right"/>
              <w:rPr>
                <w:rFonts w:cs="Arial"/>
                <w:sz w:val="18"/>
                <w:szCs w:val="18"/>
              </w:rPr>
            </w:pPr>
            <w:r w:rsidRPr="003E2D55">
              <w:rPr>
                <w:rFonts w:cs="Arial"/>
                <w:sz w:val="18"/>
                <w:szCs w:val="18"/>
              </w:rPr>
              <w:t>197,463</w:t>
            </w:r>
          </w:p>
        </w:tc>
        <w:tc>
          <w:tcPr>
            <w:tcW w:w="1361" w:type="dxa"/>
            <w:tcBorders>
              <w:top w:val="nil"/>
              <w:left w:val="nil"/>
              <w:bottom w:val="nil"/>
              <w:right w:val="nil"/>
            </w:tcBorders>
            <w:shd w:val="clear" w:color="auto" w:fill="auto"/>
            <w:vAlign w:val="bottom"/>
          </w:tcPr>
          <w:p w14:paraId="5FF7C54F" w14:textId="0BE7942B" w:rsidR="00DC5BE9" w:rsidRPr="003E2D55" w:rsidRDefault="00DC5BE9" w:rsidP="003E2D55">
            <w:pPr>
              <w:spacing w:before="40" w:after="20"/>
              <w:jc w:val="right"/>
              <w:rPr>
                <w:rFonts w:cs="Arial"/>
                <w:sz w:val="18"/>
                <w:szCs w:val="18"/>
              </w:rPr>
            </w:pPr>
            <w:r w:rsidRPr="003E2D55">
              <w:rPr>
                <w:rFonts w:cs="Arial"/>
                <w:sz w:val="18"/>
                <w:szCs w:val="18"/>
              </w:rPr>
              <w:t>82,557</w:t>
            </w:r>
          </w:p>
        </w:tc>
        <w:tc>
          <w:tcPr>
            <w:tcW w:w="1361" w:type="dxa"/>
            <w:tcBorders>
              <w:top w:val="nil"/>
              <w:left w:val="nil"/>
              <w:bottom w:val="nil"/>
              <w:right w:val="nil"/>
            </w:tcBorders>
            <w:shd w:val="clear" w:color="auto" w:fill="auto"/>
            <w:vAlign w:val="bottom"/>
          </w:tcPr>
          <w:p w14:paraId="3F594CDA" w14:textId="4E2BEC3E" w:rsidR="00DC5BE9" w:rsidRPr="003E2D55" w:rsidRDefault="00DC5BE9" w:rsidP="003E2D55">
            <w:pPr>
              <w:spacing w:before="40" w:after="20"/>
              <w:jc w:val="right"/>
              <w:rPr>
                <w:rFonts w:cs="Arial"/>
                <w:sz w:val="18"/>
                <w:szCs w:val="18"/>
              </w:rPr>
            </w:pPr>
            <w:r w:rsidRPr="003E2D55">
              <w:rPr>
                <w:rFonts w:cs="Arial"/>
                <w:sz w:val="18"/>
                <w:szCs w:val="18"/>
              </w:rPr>
              <w:t>75,986</w:t>
            </w:r>
          </w:p>
        </w:tc>
        <w:tc>
          <w:tcPr>
            <w:tcW w:w="1361" w:type="dxa"/>
            <w:tcBorders>
              <w:top w:val="nil"/>
              <w:left w:val="nil"/>
              <w:bottom w:val="nil"/>
              <w:right w:val="nil"/>
            </w:tcBorders>
            <w:shd w:val="clear" w:color="auto" w:fill="auto"/>
            <w:vAlign w:val="bottom"/>
          </w:tcPr>
          <w:p w14:paraId="5FE62946" w14:textId="0612F053"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723EF7C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CE0A1EA" w14:textId="77777777" w:rsidR="00DC5BE9" w:rsidRPr="003E2D55" w:rsidRDefault="00DC5BE9" w:rsidP="003E2D55">
            <w:pPr>
              <w:spacing w:before="40" w:after="20"/>
              <w:rPr>
                <w:rFonts w:cs="Arial"/>
                <w:sz w:val="18"/>
                <w:szCs w:val="18"/>
              </w:rPr>
            </w:pPr>
            <w:r w:rsidRPr="003E2D55">
              <w:rPr>
                <w:rFonts w:cs="Arial"/>
                <w:sz w:val="18"/>
                <w:szCs w:val="18"/>
              </w:rPr>
              <w:t>South Gippsland S</w:t>
            </w:r>
          </w:p>
        </w:tc>
        <w:tc>
          <w:tcPr>
            <w:tcW w:w="1361" w:type="dxa"/>
            <w:tcBorders>
              <w:top w:val="nil"/>
              <w:left w:val="single" w:sz="18" w:space="0" w:color="5F497A" w:themeColor="accent4" w:themeShade="BF"/>
              <w:bottom w:val="nil"/>
              <w:right w:val="nil"/>
            </w:tcBorders>
            <w:shd w:val="clear" w:color="auto" w:fill="auto"/>
            <w:vAlign w:val="bottom"/>
          </w:tcPr>
          <w:p w14:paraId="10B05F15" w14:textId="1F9A65EA" w:rsidR="00DC5BE9" w:rsidRPr="003E2D55" w:rsidRDefault="00DC5BE9" w:rsidP="003E2D55">
            <w:pPr>
              <w:spacing w:before="40" w:after="20"/>
              <w:jc w:val="right"/>
              <w:rPr>
                <w:rFonts w:cs="Arial"/>
                <w:sz w:val="18"/>
                <w:szCs w:val="18"/>
              </w:rPr>
            </w:pPr>
            <w:r w:rsidRPr="003E2D55">
              <w:rPr>
                <w:rFonts w:cs="Arial"/>
                <w:sz w:val="18"/>
                <w:szCs w:val="18"/>
              </w:rPr>
              <w:t>2,028,812</w:t>
            </w:r>
          </w:p>
        </w:tc>
        <w:tc>
          <w:tcPr>
            <w:tcW w:w="1361" w:type="dxa"/>
            <w:tcBorders>
              <w:top w:val="nil"/>
              <w:left w:val="nil"/>
              <w:bottom w:val="nil"/>
              <w:right w:val="nil"/>
            </w:tcBorders>
            <w:shd w:val="clear" w:color="auto" w:fill="auto"/>
            <w:vAlign w:val="bottom"/>
          </w:tcPr>
          <w:p w14:paraId="593C70A2" w14:textId="0144799C" w:rsidR="00DC5BE9" w:rsidRPr="003E2D55" w:rsidRDefault="00DC5BE9" w:rsidP="003E2D55">
            <w:pPr>
              <w:spacing w:before="40" w:after="20"/>
              <w:jc w:val="right"/>
              <w:rPr>
                <w:rFonts w:cs="Arial"/>
                <w:sz w:val="18"/>
                <w:szCs w:val="18"/>
              </w:rPr>
            </w:pPr>
            <w:r w:rsidRPr="003E2D55">
              <w:rPr>
                <w:rFonts w:cs="Arial"/>
                <w:sz w:val="18"/>
                <w:szCs w:val="18"/>
              </w:rPr>
              <w:t>299,513</w:t>
            </w:r>
          </w:p>
        </w:tc>
        <w:tc>
          <w:tcPr>
            <w:tcW w:w="1361" w:type="dxa"/>
            <w:tcBorders>
              <w:top w:val="nil"/>
              <w:left w:val="nil"/>
              <w:bottom w:val="nil"/>
              <w:right w:val="nil"/>
            </w:tcBorders>
            <w:shd w:val="clear" w:color="auto" w:fill="auto"/>
            <w:vAlign w:val="bottom"/>
          </w:tcPr>
          <w:p w14:paraId="7EB9E60B" w14:textId="3AFA009B" w:rsidR="00DC5BE9" w:rsidRPr="003E2D55" w:rsidRDefault="00DC5BE9" w:rsidP="003E2D55">
            <w:pPr>
              <w:spacing w:before="40" w:after="20"/>
              <w:jc w:val="right"/>
              <w:rPr>
                <w:rFonts w:cs="Arial"/>
                <w:sz w:val="18"/>
                <w:szCs w:val="18"/>
              </w:rPr>
            </w:pPr>
            <w:r w:rsidRPr="003E2D55">
              <w:rPr>
                <w:rFonts w:cs="Arial"/>
                <w:sz w:val="18"/>
                <w:szCs w:val="18"/>
              </w:rPr>
              <w:t>301,710</w:t>
            </w:r>
          </w:p>
        </w:tc>
        <w:tc>
          <w:tcPr>
            <w:tcW w:w="1361" w:type="dxa"/>
            <w:tcBorders>
              <w:top w:val="nil"/>
              <w:left w:val="nil"/>
              <w:bottom w:val="nil"/>
              <w:right w:val="nil"/>
            </w:tcBorders>
            <w:shd w:val="clear" w:color="auto" w:fill="auto"/>
            <w:vAlign w:val="bottom"/>
          </w:tcPr>
          <w:p w14:paraId="3CBB231E" w14:textId="23F61739"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1093EF3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4B3C0B7" w14:textId="77777777" w:rsidR="00DC5BE9" w:rsidRPr="003E2D55" w:rsidRDefault="00DC5BE9" w:rsidP="003E2D55">
            <w:pPr>
              <w:spacing w:before="40" w:after="20"/>
              <w:rPr>
                <w:rFonts w:cs="Arial"/>
                <w:sz w:val="18"/>
                <w:szCs w:val="18"/>
              </w:rPr>
            </w:pPr>
            <w:r w:rsidRPr="003E2D55">
              <w:rPr>
                <w:rFonts w:cs="Arial"/>
                <w:sz w:val="18"/>
                <w:szCs w:val="18"/>
              </w:rPr>
              <w:t>Southern Grampians</w:t>
            </w:r>
          </w:p>
        </w:tc>
        <w:tc>
          <w:tcPr>
            <w:tcW w:w="1361" w:type="dxa"/>
            <w:tcBorders>
              <w:top w:val="nil"/>
              <w:left w:val="single" w:sz="18" w:space="0" w:color="5F497A" w:themeColor="accent4" w:themeShade="BF"/>
              <w:bottom w:val="nil"/>
              <w:right w:val="nil"/>
            </w:tcBorders>
            <w:shd w:val="clear" w:color="auto" w:fill="auto"/>
            <w:vAlign w:val="bottom"/>
          </w:tcPr>
          <w:p w14:paraId="2EF51468" w14:textId="32E5ADA4" w:rsidR="00DC5BE9" w:rsidRPr="003E2D55" w:rsidRDefault="00DC5BE9" w:rsidP="003E2D55">
            <w:pPr>
              <w:spacing w:before="40" w:after="20"/>
              <w:jc w:val="right"/>
              <w:rPr>
                <w:rFonts w:cs="Arial"/>
                <w:sz w:val="18"/>
                <w:szCs w:val="18"/>
              </w:rPr>
            </w:pPr>
            <w:r w:rsidRPr="003E2D55">
              <w:rPr>
                <w:rFonts w:cs="Arial"/>
                <w:sz w:val="18"/>
                <w:szCs w:val="18"/>
              </w:rPr>
              <w:t>1,203,809</w:t>
            </w:r>
          </w:p>
        </w:tc>
        <w:tc>
          <w:tcPr>
            <w:tcW w:w="1361" w:type="dxa"/>
            <w:tcBorders>
              <w:top w:val="nil"/>
              <w:left w:val="nil"/>
              <w:bottom w:val="nil"/>
              <w:right w:val="nil"/>
            </w:tcBorders>
            <w:shd w:val="clear" w:color="auto" w:fill="auto"/>
            <w:vAlign w:val="bottom"/>
          </w:tcPr>
          <w:p w14:paraId="0B1CB13A" w14:textId="30432E71" w:rsidR="00DC5BE9" w:rsidRPr="003E2D55" w:rsidRDefault="00DC5BE9" w:rsidP="003E2D55">
            <w:pPr>
              <w:spacing w:before="40" w:after="20"/>
              <w:jc w:val="right"/>
              <w:rPr>
                <w:rFonts w:cs="Arial"/>
                <w:sz w:val="18"/>
                <w:szCs w:val="18"/>
              </w:rPr>
            </w:pPr>
            <w:r w:rsidRPr="003E2D55">
              <w:rPr>
                <w:rFonts w:cs="Arial"/>
                <w:sz w:val="18"/>
                <w:szCs w:val="18"/>
              </w:rPr>
              <w:t>252,845</w:t>
            </w:r>
          </w:p>
        </w:tc>
        <w:tc>
          <w:tcPr>
            <w:tcW w:w="1361" w:type="dxa"/>
            <w:tcBorders>
              <w:top w:val="nil"/>
              <w:left w:val="nil"/>
              <w:bottom w:val="nil"/>
              <w:right w:val="nil"/>
            </w:tcBorders>
            <w:shd w:val="clear" w:color="auto" w:fill="auto"/>
            <w:vAlign w:val="bottom"/>
          </w:tcPr>
          <w:p w14:paraId="66C7B092" w14:textId="1C5971EE" w:rsidR="00DC5BE9" w:rsidRPr="003E2D55" w:rsidRDefault="00DC5BE9" w:rsidP="003E2D55">
            <w:pPr>
              <w:spacing w:before="40" w:after="20"/>
              <w:jc w:val="right"/>
              <w:rPr>
                <w:rFonts w:cs="Arial"/>
                <w:sz w:val="18"/>
                <w:szCs w:val="18"/>
              </w:rPr>
            </w:pPr>
            <w:r w:rsidRPr="003E2D55">
              <w:rPr>
                <w:rFonts w:cs="Arial"/>
                <w:sz w:val="18"/>
                <w:szCs w:val="18"/>
              </w:rPr>
              <w:t>311,740</w:t>
            </w:r>
          </w:p>
        </w:tc>
        <w:tc>
          <w:tcPr>
            <w:tcW w:w="1361" w:type="dxa"/>
            <w:tcBorders>
              <w:top w:val="nil"/>
              <w:left w:val="nil"/>
              <w:bottom w:val="nil"/>
              <w:right w:val="nil"/>
            </w:tcBorders>
            <w:shd w:val="clear" w:color="auto" w:fill="auto"/>
            <w:vAlign w:val="bottom"/>
          </w:tcPr>
          <w:p w14:paraId="15CDBB37" w14:textId="2E7478E0" w:rsidR="00DC5BE9" w:rsidRPr="003E2D55" w:rsidRDefault="00DC5BE9" w:rsidP="003E2D55">
            <w:pPr>
              <w:spacing w:before="40" w:after="20"/>
              <w:jc w:val="right"/>
              <w:rPr>
                <w:rFonts w:cs="Arial"/>
                <w:sz w:val="18"/>
                <w:szCs w:val="18"/>
              </w:rPr>
            </w:pPr>
            <w:r w:rsidRPr="003E2D55">
              <w:rPr>
                <w:rFonts w:cs="Arial"/>
                <w:sz w:val="18"/>
                <w:szCs w:val="18"/>
              </w:rPr>
              <w:t>24,998</w:t>
            </w:r>
          </w:p>
        </w:tc>
      </w:tr>
      <w:tr w:rsidR="00DC5BE9" w:rsidRPr="003E2D55" w14:paraId="0063E21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64D00B4" w14:textId="77777777" w:rsidR="00DC5BE9" w:rsidRPr="003E2D55" w:rsidRDefault="00DC5BE9" w:rsidP="003E2D55">
            <w:pPr>
              <w:spacing w:before="40" w:after="20"/>
              <w:rPr>
                <w:rFonts w:cs="Arial"/>
                <w:sz w:val="18"/>
                <w:szCs w:val="18"/>
              </w:rPr>
            </w:pPr>
            <w:r w:rsidRPr="003E2D55">
              <w:rPr>
                <w:rFonts w:cs="Arial"/>
                <w:sz w:val="18"/>
                <w:szCs w:val="18"/>
              </w:rPr>
              <w:t>Stonnington C</w:t>
            </w:r>
          </w:p>
        </w:tc>
        <w:tc>
          <w:tcPr>
            <w:tcW w:w="1361" w:type="dxa"/>
            <w:tcBorders>
              <w:top w:val="nil"/>
              <w:left w:val="single" w:sz="18" w:space="0" w:color="5F497A" w:themeColor="accent4" w:themeShade="BF"/>
              <w:bottom w:val="nil"/>
              <w:right w:val="nil"/>
            </w:tcBorders>
            <w:shd w:val="clear" w:color="auto" w:fill="auto"/>
            <w:vAlign w:val="bottom"/>
          </w:tcPr>
          <w:p w14:paraId="2320A633" w14:textId="454DF2CE" w:rsidR="00DC5BE9" w:rsidRPr="003E2D55" w:rsidRDefault="00DC5BE9" w:rsidP="003E2D55">
            <w:pPr>
              <w:spacing w:before="40" w:after="20"/>
              <w:jc w:val="right"/>
              <w:rPr>
                <w:rFonts w:cs="Arial"/>
                <w:sz w:val="18"/>
                <w:szCs w:val="18"/>
              </w:rPr>
            </w:pPr>
            <w:r w:rsidRPr="003E2D55">
              <w:rPr>
                <w:rFonts w:cs="Arial"/>
                <w:sz w:val="18"/>
                <w:szCs w:val="18"/>
              </w:rPr>
              <w:t>829,828</w:t>
            </w:r>
          </w:p>
        </w:tc>
        <w:tc>
          <w:tcPr>
            <w:tcW w:w="1361" w:type="dxa"/>
            <w:tcBorders>
              <w:top w:val="nil"/>
              <w:left w:val="nil"/>
              <w:bottom w:val="nil"/>
              <w:right w:val="nil"/>
            </w:tcBorders>
            <w:shd w:val="clear" w:color="auto" w:fill="auto"/>
            <w:vAlign w:val="bottom"/>
          </w:tcPr>
          <w:p w14:paraId="3694BDD5" w14:textId="5A68A2F9" w:rsidR="00DC5BE9" w:rsidRPr="003E2D55" w:rsidRDefault="00DC5BE9" w:rsidP="003E2D55">
            <w:pPr>
              <w:spacing w:before="40" w:after="20"/>
              <w:jc w:val="right"/>
              <w:rPr>
                <w:rFonts w:cs="Arial"/>
                <w:sz w:val="18"/>
                <w:szCs w:val="18"/>
              </w:rPr>
            </w:pPr>
            <w:r w:rsidRPr="003E2D55">
              <w:rPr>
                <w:rFonts w:cs="Arial"/>
                <w:sz w:val="18"/>
                <w:szCs w:val="18"/>
              </w:rPr>
              <w:t>431,299</w:t>
            </w:r>
          </w:p>
        </w:tc>
        <w:tc>
          <w:tcPr>
            <w:tcW w:w="1361" w:type="dxa"/>
            <w:tcBorders>
              <w:top w:val="nil"/>
              <w:left w:val="nil"/>
              <w:bottom w:val="nil"/>
              <w:right w:val="nil"/>
            </w:tcBorders>
            <w:shd w:val="clear" w:color="auto" w:fill="auto"/>
            <w:vAlign w:val="bottom"/>
          </w:tcPr>
          <w:p w14:paraId="03435CEA" w14:textId="7B411800" w:rsidR="00DC5BE9" w:rsidRPr="003E2D55" w:rsidRDefault="00DC5BE9" w:rsidP="003E2D55">
            <w:pPr>
              <w:spacing w:before="40" w:after="20"/>
              <w:jc w:val="right"/>
              <w:rPr>
                <w:rFonts w:cs="Arial"/>
                <w:sz w:val="18"/>
                <w:szCs w:val="18"/>
              </w:rPr>
            </w:pPr>
            <w:r w:rsidRPr="003E2D55">
              <w:rPr>
                <w:rFonts w:cs="Arial"/>
                <w:sz w:val="18"/>
                <w:szCs w:val="18"/>
              </w:rPr>
              <w:t>861,844</w:t>
            </w:r>
          </w:p>
        </w:tc>
        <w:tc>
          <w:tcPr>
            <w:tcW w:w="1361" w:type="dxa"/>
            <w:tcBorders>
              <w:top w:val="nil"/>
              <w:left w:val="nil"/>
              <w:bottom w:val="nil"/>
              <w:right w:val="nil"/>
            </w:tcBorders>
            <w:shd w:val="clear" w:color="auto" w:fill="auto"/>
            <w:vAlign w:val="bottom"/>
          </w:tcPr>
          <w:p w14:paraId="4A5029E4" w14:textId="0B42A746" w:rsidR="00DC5BE9" w:rsidRPr="003E2D55" w:rsidRDefault="00DC5BE9" w:rsidP="003E2D55">
            <w:pPr>
              <w:spacing w:before="40" w:after="20"/>
              <w:jc w:val="right"/>
              <w:rPr>
                <w:rFonts w:cs="Arial"/>
                <w:sz w:val="18"/>
                <w:szCs w:val="18"/>
              </w:rPr>
            </w:pPr>
            <w:r w:rsidRPr="003E2D55">
              <w:rPr>
                <w:rFonts w:cs="Arial"/>
                <w:sz w:val="18"/>
                <w:szCs w:val="18"/>
              </w:rPr>
              <w:t>351,938</w:t>
            </w:r>
          </w:p>
        </w:tc>
      </w:tr>
      <w:tr w:rsidR="00DC5BE9" w:rsidRPr="003E2D55" w14:paraId="2925E15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2E5DADC" w14:textId="77777777" w:rsidR="00DC5BE9" w:rsidRPr="003E2D55" w:rsidRDefault="00DC5BE9" w:rsidP="003E2D55">
            <w:pPr>
              <w:spacing w:before="40" w:after="20"/>
              <w:rPr>
                <w:rFonts w:cs="Arial"/>
                <w:sz w:val="18"/>
                <w:szCs w:val="18"/>
              </w:rPr>
            </w:pPr>
            <w:r w:rsidRPr="003E2D55">
              <w:rPr>
                <w:rFonts w:cs="Arial"/>
                <w:sz w:val="18"/>
                <w:szCs w:val="18"/>
              </w:rPr>
              <w:t>Strathbogie S</w:t>
            </w:r>
          </w:p>
        </w:tc>
        <w:tc>
          <w:tcPr>
            <w:tcW w:w="1361" w:type="dxa"/>
            <w:tcBorders>
              <w:top w:val="nil"/>
              <w:left w:val="single" w:sz="18" w:space="0" w:color="5F497A" w:themeColor="accent4" w:themeShade="BF"/>
              <w:bottom w:val="nil"/>
              <w:right w:val="nil"/>
            </w:tcBorders>
            <w:shd w:val="clear" w:color="auto" w:fill="auto"/>
            <w:vAlign w:val="bottom"/>
          </w:tcPr>
          <w:p w14:paraId="1709F47B" w14:textId="1717D1DE" w:rsidR="00DC5BE9" w:rsidRPr="003E2D55" w:rsidRDefault="00DC5BE9" w:rsidP="003E2D55">
            <w:pPr>
              <w:spacing w:before="40" w:after="20"/>
              <w:jc w:val="right"/>
              <w:rPr>
                <w:rFonts w:cs="Arial"/>
                <w:sz w:val="18"/>
                <w:szCs w:val="18"/>
              </w:rPr>
            </w:pPr>
            <w:r w:rsidRPr="003E2D55">
              <w:rPr>
                <w:rFonts w:cs="Arial"/>
                <w:sz w:val="18"/>
                <w:szCs w:val="18"/>
              </w:rPr>
              <w:t>701,117</w:t>
            </w:r>
          </w:p>
        </w:tc>
        <w:tc>
          <w:tcPr>
            <w:tcW w:w="1361" w:type="dxa"/>
            <w:tcBorders>
              <w:top w:val="nil"/>
              <w:left w:val="nil"/>
              <w:bottom w:val="nil"/>
              <w:right w:val="nil"/>
            </w:tcBorders>
            <w:shd w:val="clear" w:color="auto" w:fill="auto"/>
            <w:vAlign w:val="bottom"/>
          </w:tcPr>
          <w:p w14:paraId="73F4CA42" w14:textId="07DAF649" w:rsidR="00DC5BE9" w:rsidRPr="003E2D55" w:rsidRDefault="00DC5BE9" w:rsidP="003E2D55">
            <w:pPr>
              <w:spacing w:before="40" w:after="20"/>
              <w:jc w:val="right"/>
              <w:rPr>
                <w:rFonts w:cs="Arial"/>
                <w:sz w:val="18"/>
                <w:szCs w:val="18"/>
              </w:rPr>
            </w:pPr>
            <w:r w:rsidRPr="003E2D55">
              <w:rPr>
                <w:rFonts w:cs="Arial"/>
                <w:sz w:val="18"/>
                <w:szCs w:val="18"/>
              </w:rPr>
              <w:t>77,521</w:t>
            </w:r>
          </w:p>
        </w:tc>
        <w:tc>
          <w:tcPr>
            <w:tcW w:w="1361" w:type="dxa"/>
            <w:tcBorders>
              <w:top w:val="nil"/>
              <w:left w:val="nil"/>
              <w:bottom w:val="nil"/>
              <w:right w:val="nil"/>
            </w:tcBorders>
            <w:shd w:val="clear" w:color="auto" w:fill="auto"/>
            <w:vAlign w:val="bottom"/>
          </w:tcPr>
          <w:p w14:paraId="1100457D" w14:textId="762710AE" w:rsidR="00DC5BE9" w:rsidRPr="003E2D55" w:rsidRDefault="00DC5BE9" w:rsidP="003E2D55">
            <w:pPr>
              <w:spacing w:before="40" w:after="20"/>
              <w:jc w:val="right"/>
              <w:rPr>
                <w:rFonts w:cs="Arial"/>
                <w:sz w:val="18"/>
                <w:szCs w:val="18"/>
              </w:rPr>
            </w:pPr>
            <w:r w:rsidRPr="003E2D55">
              <w:rPr>
                <w:rFonts w:cs="Arial"/>
                <w:sz w:val="18"/>
                <w:szCs w:val="18"/>
              </w:rPr>
              <w:t>74,017</w:t>
            </w:r>
          </w:p>
        </w:tc>
        <w:tc>
          <w:tcPr>
            <w:tcW w:w="1361" w:type="dxa"/>
            <w:tcBorders>
              <w:top w:val="nil"/>
              <w:left w:val="nil"/>
              <w:bottom w:val="nil"/>
              <w:right w:val="nil"/>
            </w:tcBorders>
            <w:shd w:val="clear" w:color="auto" w:fill="auto"/>
            <w:vAlign w:val="bottom"/>
          </w:tcPr>
          <w:p w14:paraId="52768DAC" w14:textId="53B7CBF6"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5D2A6BC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D42A8FD" w14:textId="77777777" w:rsidR="00DC5BE9" w:rsidRPr="003E2D55" w:rsidRDefault="00DC5BE9" w:rsidP="003E2D55">
            <w:pPr>
              <w:spacing w:before="40" w:after="20"/>
              <w:rPr>
                <w:rFonts w:cs="Arial"/>
                <w:sz w:val="18"/>
                <w:szCs w:val="18"/>
              </w:rPr>
            </w:pPr>
            <w:r w:rsidRPr="003E2D55">
              <w:rPr>
                <w:rFonts w:cs="Arial"/>
                <w:sz w:val="18"/>
                <w:szCs w:val="18"/>
              </w:rPr>
              <w:t>Surf Coast S</w:t>
            </w:r>
          </w:p>
        </w:tc>
        <w:tc>
          <w:tcPr>
            <w:tcW w:w="1361" w:type="dxa"/>
            <w:tcBorders>
              <w:top w:val="nil"/>
              <w:left w:val="single" w:sz="18" w:space="0" w:color="5F497A" w:themeColor="accent4" w:themeShade="BF"/>
              <w:bottom w:val="nil"/>
              <w:right w:val="nil"/>
            </w:tcBorders>
            <w:shd w:val="clear" w:color="auto" w:fill="auto"/>
            <w:vAlign w:val="bottom"/>
          </w:tcPr>
          <w:p w14:paraId="7159B857" w14:textId="4D1873CF" w:rsidR="00DC5BE9" w:rsidRPr="003E2D55" w:rsidRDefault="00DC5BE9" w:rsidP="003E2D55">
            <w:pPr>
              <w:spacing w:before="40" w:after="20"/>
              <w:jc w:val="right"/>
              <w:rPr>
                <w:rFonts w:cs="Arial"/>
                <w:sz w:val="18"/>
                <w:szCs w:val="18"/>
              </w:rPr>
            </w:pPr>
            <w:r w:rsidRPr="003E2D55">
              <w:rPr>
                <w:rFonts w:cs="Arial"/>
                <w:sz w:val="18"/>
                <w:szCs w:val="18"/>
              </w:rPr>
              <w:t>1,556,132</w:t>
            </w:r>
          </w:p>
        </w:tc>
        <w:tc>
          <w:tcPr>
            <w:tcW w:w="1361" w:type="dxa"/>
            <w:tcBorders>
              <w:top w:val="nil"/>
              <w:left w:val="nil"/>
              <w:bottom w:val="nil"/>
              <w:right w:val="nil"/>
            </w:tcBorders>
            <w:shd w:val="clear" w:color="auto" w:fill="auto"/>
            <w:vAlign w:val="bottom"/>
          </w:tcPr>
          <w:p w14:paraId="1A01D7EB" w14:textId="3E1FA511" w:rsidR="00DC5BE9" w:rsidRPr="003E2D55" w:rsidRDefault="00DC5BE9" w:rsidP="003E2D55">
            <w:pPr>
              <w:spacing w:before="40" w:after="20"/>
              <w:jc w:val="right"/>
              <w:rPr>
                <w:rFonts w:cs="Arial"/>
                <w:sz w:val="18"/>
                <w:szCs w:val="18"/>
              </w:rPr>
            </w:pPr>
            <w:r w:rsidRPr="003E2D55">
              <w:rPr>
                <w:rFonts w:cs="Arial"/>
                <w:sz w:val="18"/>
                <w:szCs w:val="18"/>
              </w:rPr>
              <w:t>342,988</w:t>
            </w:r>
          </w:p>
        </w:tc>
        <w:tc>
          <w:tcPr>
            <w:tcW w:w="1361" w:type="dxa"/>
            <w:tcBorders>
              <w:top w:val="nil"/>
              <w:left w:val="nil"/>
              <w:bottom w:val="nil"/>
              <w:right w:val="nil"/>
            </w:tcBorders>
            <w:shd w:val="clear" w:color="auto" w:fill="auto"/>
            <w:vAlign w:val="bottom"/>
          </w:tcPr>
          <w:p w14:paraId="53C52504" w14:textId="5F0C40FC" w:rsidR="00DC5BE9" w:rsidRPr="003E2D55" w:rsidRDefault="00DC5BE9" w:rsidP="003E2D55">
            <w:pPr>
              <w:spacing w:before="40" w:after="20"/>
              <w:jc w:val="right"/>
              <w:rPr>
                <w:rFonts w:cs="Arial"/>
                <w:sz w:val="18"/>
                <w:szCs w:val="18"/>
              </w:rPr>
            </w:pPr>
            <w:r w:rsidRPr="003E2D55">
              <w:rPr>
                <w:rFonts w:cs="Arial"/>
                <w:sz w:val="18"/>
                <w:szCs w:val="18"/>
              </w:rPr>
              <w:t>593,618</w:t>
            </w:r>
          </w:p>
        </w:tc>
        <w:tc>
          <w:tcPr>
            <w:tcW w:w="1361" w:type="dxa"/>
            <w:tcBorders>
              <w:top w:val="nil"/>
              <w:left w:val="nil"/>
              <w:bottom w:val="nil"/>
              <w:right w:val="nil"/>
            </w:tcBorders>
            <w:shd w:val="clear" w:color="auto" w:fill="auto"/>
            <w:vAlign w:val="bottom"/>
          </w:tcPr>
          <w:p w14:paraId="4D29F1B4" w14:textId="7425EC25" w:rsidR="00DC5BE9" w:rsidRPr="003E2D55" w:rsidRDefault="00DC5BE9" w:rsidP="003E2D55">
            <w:pPr>
              <w:spacing w:before="40" w:after="20"/>
              <w:jc w:val="right"/>
              <w:rPr>
                <w:rFonts w:cs="Arial"/>
                <w:sz w:val="18"/>
                <w:szCs w:val="18"/>
              </w:rPr>
            </w:pPr>
            <w:r w:rsidRPr="003E2D55">
              <w:rPr>
                <w:rFonts w:cs="Arial"/>
                <w:sz w:val="18"/>
                <w:szCs w:val="18"/>
              </w:rPr>
              <w:t>206,224</w:t>
            </w:r>
          </w:p>
        </w:tc>
      </w:tr>
      <w:tr w:rsidR="00DC5BE9" w:rsidRPr="003E2D55" w14:paraId="4048F5C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F753531" w14:textId="77777777" w:rsidR="00DC5BE9" w:rsidRPr="003E2D55" w:rsidRDefault="00DC5BE9" w:rsidP="003E2D55">
            <w:pPr>
              <w:spacing w:before="40" w:after="20"/>
              <w:rPr>
                <w:rFonts w:cs="Arial"/>
                <w:sz w:val="18"/>
                <w:szCs w:val="18"/>
              </w:rPr>
            </w:pPr>
            <w:r w:rsidRPr="003E2D55">
              <w:rPr>
                <w:rFonts w:cs="Arial"/>
                <w:sz w:val="18"/>
                <w:szCs w:val="18"/>
              </w:rPr>
              <w:t>Swan Hill RC</w:t>
            </w:r>
          </w:p>
        </w:tc>
        <w:tc>
          <w:tcPr>
            <w:tcW w:w="1361" w:type="dxa"/>
            <w:tcBorders>
              <w:top w:val="nil"/>
              <w:left w:val="single" w:sz="18" w:space="0" w:color="5F497A" w:themeColor="accent4" w:themeShade="BF"/>
              <w:bottom w:val="nil"/>
              <w:right w:val="nil"/>
            </w:tcBorders>
            <w:shd w:val="clear" w:color="auto" w:fill="auto"/>
            <w:vAlign w:val="bottom"/>
          </w:tcPr>
          <w:p w14:paraId="0E865D5D" w14:textId="6DE13728" w:rsidR="00DC5BE9" w:rsidRPr="003E2D55" w:rsidRDefault="00DC5BE9" w:rsidP="003E2D55">
            <w:pPr>
              <w:spacing w:before="40" w:after="20"/>
              <w:jc w:val="right"/>
              <w:rPr>
                <w:rFonts w:cs="Arial"/>
                <w:sz w:val="18"/>
                <w:szCs w:val="18"/>
              </w:rPr>
            </w:pPr>
            <w:r w:rsidRPr="003E2D55">
              <w:rPr>
                <w:rFonts w:cs="Arial"/>
                <w:sz w:val="18"/>
                <w:szCs w:val="18"/>
              </w:rPr>
              <w:t>862,724</w:t>
            </w:r>
          </w:p>
        </w:tc>
        <w:tc>
          <w:tcPr>
            <w:tcW w:w="1361" w:type="dxa"/>
            <w:tcBorders>
              <w:top w:val="nil"/>
              <w:left w:val="nil"/>
              <w:bottom w:val="nil"/>
              <w:right w:val="nil"/>
            </w:tcBorders>
            <w:shd w:val="clear" w:color="auto" w:fill="auto"/>
            <w:vAlign w:val="bottom"/>
          </w:tcPr>
          <w:p w14:paraId="53B873FA" w14:textId="740DF323" w:rsidR="00DC5BE9" w:rsidRPr="003E2D55" w:rsidRDefault="00DC5BE9" w:rsidP="003E2D55">
            <w:pPr>
              <w:spacing w:before="40" w:after="20"/>
              <w:jc w:val="right"/>
              <w:rPr>
                <w:rFonts w:cs="Arial"/>
                <w:sz w:val="18"/>
                <w:szCs w:val="18"/>
              </w:rPr>
            </w:pPr>
            <w:r w:rsidRPr="003E2D55">
              <w:rPr>
                <w:rFonts w:cs="Arial"/>
                <w:sz w:val="18"/>
                <w:szCs w:val="18"/>
              </w:rPr>
              <w:t>259,963</w:t>
            </w:r>
          </w:p>
        </w:tc>
        <w:tc>
          <w:tcPr>
            <w:tcW w:w="1361" w:type="dxa"/>
            <w:tcBorders>
              <w:top w:val="nil"/>
              <w:left w:val="nil"/>
              <w:bottom w:val="nil"/>
              <w:right w:val="nil"/>
            </w:tcBorders>
            <w:shd w:val="clear" w:color="auto" w:fill="auto"/>
            <w:vAlign w:val="bottom"/>
          </w:tcPr>
          <w:p w14:paraId="66462AB0" w14:textId="56357E6C" w:rsidR="00DC5BE9" w:rsidRPr="003E2D55" w:rsidRDefault="00DC5BE9" w:rsidP="003E2D55">
            <w:pPr>
              <w:spacing w:before="40" w:after="20"/>
              <w:jc w:val="right"/>
              <w:rPr>
                <w:rFonts w:cs="Arial"/>
                <w:sz w:val="18"/>
                <w:szCs w:val="18"/>
              </w:rPr>
            </w:pPr>
            <w:r w:rsidRPr="003E2D55">
              <w:rPr>
                <w:rFonts w:cs="Arial"/>
                <w:sz w:val="18"/>
                <w:szCs w:val="18"/>
              </w:rPr>
              <w:t>390,607</w:t>
            </w:r>
          </w:p>
        </w:tc>
        <w:tc>
          <w:tcPr>
            <w:tcW w:w="1361" w:type="dxa"/>
            <w:tcBorders>
              <w:top w:val="nil"/>
              <w:left w:val="nil"/>
              <w:bottom w:val="nil"/>
              <w:right w:val="nil"/>
            </w:tcBorders>
            <w:shd w:val="clear" w:color="auto" w:fill="auto"/>
            <w:vAlign w:val="bottom"/>
          </w:tcPr>
          <w:p w14:paraId="2CE09F38" w14:textId="5D3FE70D" w:rsidR="00DC5BE9" w:rsidRPr="003E2D55" w:rsidRDefault="00DC5BE9" w:rsidP="003E2D55">
            <w:pPr>
              <w:spacing w:before="40" w:after="20"/>
              <w:jc w:val="right"/>
              <w:rPr>
                <w:rFonts w:cs="Arial"/>
                <w:sz w:val="18"/>
                <w:szCs w:val="18"/>
              </w:rPr>
            </w:pPr>
            <w:r w:rsidRPr="003E2D55">
              <w:rPr>
                <w:rFonts w:cs="Arial"/>
                <w:sz w:val="18"/>
                <w:szCs w:val="18"/>
              </w:rPr>
              <w:t>49,456</w:t>
            </w:r>
          </w:p>
        </w:tc>
      </w:tr>
      <w:tr w:rsidR="00DC5BE9" w:rsidRPr="003E2D55" w14:paraId="41033E5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A0A4D67" w14:textId="77777777" w:rsidR="00DC5BE9" w:rsidRPr="003E2D55" w:rsidRDefault="00DC5BE9" w:rsidP="003E2D55">
            <w:pPr>
              <w:spacing w:before="40" w:after="20"/>
              <w:rPr>
                <w:rFonts w:cs="Arial"/>
                <w:sz w:val="18"/>
                <w:szCs w:val="18"/>
              </w:rPr>
            </w:pPr>
            <w:r w:rsidRPr="003E2D55">
              <w:rPr>
                <w:rFonts w:cs="Arial"/>
                <w:sz w:val="18"/>
                <w:szCs w:val="18"/>
              </w:rPr>
              <w:t>Towong S</w:t>
            </w:r>
          </w:p>
        </w:tc>
        <w:tc>
          <w:tcPr>
            <w:tcW w:w="1361" w:type="dxa"/>
            <w:tcBorders>
              <w:top w:val="nil"/>
              <w:left w:val="single" w:sz="18" w:space="0" w:color="5F497A" w:themeColor="accent4" w:themeShade="BF"/>
              <w:bottom w:val="nil"/>
              <w:right w:val="nil"/>
            </w:tcBorders>
            <w:shd w:val="clear" w:color="auto" w:fill="auto"/>
            <w:vAlign w:val="bottom"/>
          </w:tcPr>
          <w:p w14:paraId="08484E66" w14:textId="778FB430" w:rsidR="00DC5BE9" w:rsidRPr="003E2D55" w:rsidRDefault="00DC5BE9" w:rsidP="003E2D55">
            <w:pPr>
              <w:spacing w:before="40" w:after="20"/>
              <w:jc w:val="right"/>
              <w:rPr>
                <w:rFonts w:cs="Arial"/>
                <w:sz w:val="18"/>
                <w:szCs w:val="18"/>
              </w:rPr>
            </w:pPr>
            <w:r w:rsidRPr="003E2D55">
              <w:rPr>
                <w:rFonts w:cs="Arial"/>
                <w:sz w:val="18"/>
                <w:szCs w:val="18"/>
              </w:rPr>
              <w:t>684,483</w:t>
            </w:r>
          </w:p>
        </w:tc>
        <w:tc>
          <w:tcPr>
            <w:tcW w:w="1361" w:type="dxa"/>
            <w:tcBorders>
              <w:top w:val="nil"/>
              <w:left w:val="nil"/>
              <w:bottom w:val="nil"/>
              <w:right w:val="nil"/>
            </w:tcBorders>
            <w:shd w:val="clear" w:color="auto" w:fill="auto"/>
            <w:vAlign w:val="bottom"/>
          </w:tcPr>
          <w:p w14:paraId="58F45AB2" w14:textId="5F0086CD" w:rsidR="00DC5BE9" w:rsidRPr="003E2D55" w:rsidRDefault="00DC5BE9" w:rsidP="003E2D55">
            <w:pPr>
              <w:spacing w:before="40" w:after="20"/>
              <w:jc w:val="right"/>
              <w:rPr>
                <w:rFonts w:cs="Arial"/>
                <w:sz w:val="18"/>
                <w:szCs w:val="18"/>
              </w:rPr>
            </w:pPr>
            <w:r w:rsidRPr="003E2D55">
              <w:rPr>
                <w:rFonts w:cs="Arial"/>
                <w:sz w:val="18"/>
                <w:szCs w:val="18"/>
              </w:rPr>
              <w:t>10,300</w:t>
            </w:r>
          </w:p>
        </w:tc>
        <w:tc>
          <w:tcPr>
            <w:tcW w:w="1361" w:type="dxa"/>
            <w:tcBorders>
              <w:top w:val="nil"/>
              <w:left w:val="nil"/>
              <w:bottom w:val="nil"/>
              <w:right w:val="nil"/>
            </w:tcBorders>
            <w:shd w:val="clear" w:color="auto" w:fill="auto"/>
            <w:vAlign w:val="bottom"/>
          </w:tcPr>
          <w:p w14:paraId="31484EFC" w14:textId="32405FEF" w:rsidR="00DC5BE9" w:rsidRPr="003E2D55" w:rsidRDefault="00DC5BE9" w:rsidP="003E2D55">
            <w:pPr>
              <w:spacing w:before="40" w:after="20"/>
              <w:jc w:val="right"/>
              <w:rPr>
                <w:rFonts w:cs="Arial"/>
                <w:sz w:val="18"/>
                <w:szCs w:val="18"/>
              </w:rPr>
            </w:pPr>
            <w:r w:rsidRPr="003E2D55">
              <w:rPr>
                <w:rFonts w:cs="Arial"/>
                <w:sz w:val="18"/>
                <w:szCs w:val="18"/>
              </w:rPr>
              <w:t>31,910</w:t>
            </w:r>
          </w:p>
        </w:tc>
        <w:tc>
          <w:tcPr>
            <w:tcW w:w="1361" w:type="dxa"/>
            <w:tcBorders>
              <w:top w:val="nil"/>
              <w:left w:val="nil"/>
              <w:bottom w:val="nil"/>
              <w:right w:val="nil"/>
            </w:tcBorders>
            <w:shd w:val="clear" w:color="auto" w:fill="auto"/>
            <w:vAlign w:val="bottom"/>
          </w:tcPr>
          <w:p w14:paraId="3E0AD7BD" w14:textId="6AAD1828"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2CD970E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47C1AF3" w14:textId="77777777" w:rsidR="00DC5BE9" w:rsidRPr="003E2D55" w:rsidRDefault="00DC5BE9" w:rsidP="003E2D55">
            <w:pPr>
              <w:spacing w:before="40" w:after="20"/>
              <w:rPr>
                <w:rFonts w:cs="Arial"/>
                <w:sz w:val="18"/>
                <w:szCs w:val="18"/>
              </w:rPr>
            </w:pPr>
            <w:r w:rsidRPr="003E2D55">
              <w:rPr>
                <w:rFonts w:cs="Arial"/>
                <w:sz w:val="18"/>
                <w:szCs w:val="18"/>
              </w:rPr>
              <w:t>Wangaratta RC</w:t>
            </w:r>
          </w:p>
        </w:tc>
        <w:tc>
          <w:tcPr>
            <w:tcW w:w="1361" w:type="dxa"/>
            <w:tcBorders>
              <w:top w:val="nil"/>
              <w:left w:val="single" w:sz="18" w:space="0" w:color="5F497A" w:themeColor="accent4" w:themeShade="BF"/>
              <w:bottom w:val="nil"/>
              <w:right w:val="nil"/>
            </w:tcBorders>
            <w:shd w:val="clear" w:color="auto" w:fill="auto"/>
            <w:vAlign w:val="bottom"/>
          </w:tcPr>
          <w:p w14:paraId="1822B9B7" w14:textId="0D84A98D" w:rsidR="00DC5BE9" w:rsidRPr="003E2D55" w:rsidRDefault="00DC5BE9" w:rsidP="003E2D55">
            <w:pPr>
              <w:spacing w:before="40" w:after="20"/>
              <w:jc w:val="right"/>
              <w:rPr>
                <w:rFonts w:cs="Arial"/>
                <w:sz w:val="18"/>
                <w:szCs w:val="18"/>
              </w:rPr>
            </w:pPr>
            <w:r w:rsidRPr="003E2D55">
              <w:rPr>
                <w:rFonts w:cs="Arial"/>
                <w:sz w:val="18"/>
                <w:szCs w:val="18"/>
              </w:rPr>
              <w:t>1,128,834</w:t>
            </w:r>
          </w:p>
        </w:tc>
        <w:tc>
          <w:tcPr>
            <w:tcW w:w="1361" w:type="dxa"/>
            <w:tcBorders>
              <w:top w:val="nil"/>
              <w:left w:val="nil"/>
              <w:bottom w:val="nil"/>
              <w:right w:val="nil"/>
            </w:tcBorders>
            <w:shd w:val="clear" w:color="auto" w:fill="auto"/>
            <w:vAlign w:val="bottom"/>
          </w:tcPr>
          <w:p w14:paraId="073B685E" w14:textId="356932BB" w:rsidR="00DC5BE9" w:rsidRPr="003E2D55" w:rsidRDefault="00DC5BE9" w:rsidP="003E2D55">
            <w:pPr>
              <w:spacing w:before="40" w:after="20"/>
              <w:jc w:val="right"/>
              <w:rPr>
                <w:rFonts w:cs="Arial"/>
                <w:sz w:val="18"/>
                <w:szCs w:val="18"/>
              </w:rPr>
            </w:pPr>
            <w:r w:rsidRPr="003E2D55">
              <w:rPr>
                <w:rFonts w:cs="Arial"/>
                <w:sz w:val="18"/>
                <w:szCs w:val="18"/>
              </w:rPr>
              <w:t>130,518</w:t>
            </w:r>
          </w:p>
        </w:tc>
        <w:tc>
          <w:tcPr>
            <w:tcW w:w="1361" w:type="dxa"/>
            <w:tcBorders>
              <w:top w:val="nil"/>
              <w:left w:val="nil"/>
              <w:bottom w:val="nil"/>
              <w:right w:val="nil"/>
            </w:tcBorders>
            <w:shd w:val="clear" w:color="auto" w:fill="auto"/>
            <w:vAlign w:val="bottom"/>
          </w:tcPr>
          <w:p w14:paraId="0D1F8B2F" w14:textId="1FCC05BB" w:rsidR="00DC5BE9" w:rsidRPr="003E2D55" w:rsidRDefault="00DC5BE9" w:rsidP="003E2D55">
            <w:pPr>
              <w:spacing w:before="40" w:after="20"/>
              <w:jc w:val="right"/>
              <w:rPr>
                <w:rFonts w:cs="Arial"/>
                <w:sz w:val="18"/>
                <w:szCs w:val="18"/>
              </w:rPr>
            </w:pPr>
            <w:r w:rsidRPr="003E2D55">
              <w:rPr>
                <w:rFonts w:cs="Arial"/>
                <w:sz w:val="18"/>
                <w:szCs w:val="18"/>
              </w:rPr>
              <w:t>458,244</w:t>
            </w:r>
          </w:p>
        </w:tc>
        <w:tc>
          <w:tcPr>
            <w:tcW w:w="1361" w:type="dxa"/>
            <w:tcBorders>
              <w:top w:val="nil"/>
              <w:left w:val="nil"/>
              <w:bottom w:val="nil"/>
              <w:right w:val="nil"/>
            </w:tcBorders>
            <w:shd w:val="clear" w:color="auto" w:fill="auto"/>
            <w:vAlign w:val="bottom"/>
          </w:tcPr>
          <w:p w14:paraId="0E2B43EC" w14:textId="71048995" w:rsidR="00DC5BE9" w:rsidRPr="003E2D55" w:rsidRDefault="00DC5BE9" w:rsidP="003E2D55">
            <w:pPr>
              <w:spacing w:before="40" w:after="20"/>
              <w:jc w:val="right"/>
              <w:rPr>
                <w:rFonts w:cs="Arial"/>
                <w:sz w:val="18"/>
                <w:szCs w:val="18"/>
              </w:rPr>
            </w:pPr>
            <w:r w:rsidRPr="003E2D55">
              <w:rPr>
                <w:rFonts w:cs="Arial"/>
                <w:sz w:val="18"/>
                <w:szCs w:val="18"/>
              </w:rPr>
              <w:t>45,057</w:t>
            </w:r>
          </w:p>
        </w:tc>
      </w:tr>
      <w:tr w:rsidR="00DC5BE9" w:rsidRPr="003E2D55" w14:paraId="2332074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CCD224A" w14:textId="77777777" w:rsidR="00DC5BE9" w:rsidRPr="003E2D55" w:rsidRDefault="00DC5BE9" w:rsidP="003E2D55">
            <w:pPr>
              <w:spacing w:before="40" w:after="20"/>
              <w:rPr>
                <w:rFonts w:cs="Arial"/>
                <w:sz w:val="18"/>
                <w:szCs w:val="18"/>
              </w:rPr>
            </w:pPr>
            <w:r w:rsidRPr="003E2D55">
              <w:rPr>
                <w:rFonts w:cs="Arial"/>
                <w:sz w:val="18"/>
                <w:szCs w:val="18"/>
              </w:rPr>
              <w:t>Warrnambool C</w:t>
            </w:r>
          </w:p>
        </w:tc>
        <w:tc>
          <w:tcPr>
            <w:tcW w:w="1361" w:type="dxa"/>
            <w:tcBorders>
              <w:top w:val="nil"/>
              <w:left w:val="single" w:sz="18" w:space="0" w:color="5F497A" w:themeColor="accent4" w:themeShade="BF"/>
              <w:bottom w:val="nil"/>
              <w:right w:val="nil"/>
            </w:tcBorders>
            <w:shd w:val="clear" w:color="auto" w:fill="auto"/>
            <w:vAlign w:val="bottom"/>
          </w:tcPr>
          <w:p w14:paraId="54A93897" w14:textId="561F113D" w:rsidR="00DC5BE9" w:rsidRPr="003E2D55" w:rsidRDefault="00DC5BE9" w:rsidP="003E2D55">
            <w:pPr>
              <w:spacing w:before="40" w:after="20"/>
              <w:jc w:val="right"/>
              <w:rPr>
                <w:rFonts w:cs="Arial"/>
                <w:sz w:val="18"/>
                <w:szCs w:val="18"/>
              </w:rPr>
            </w:pPr>
            <w:r w:rsidRPr="003E2D55">
              <w:rPr>
                <w:rFonts w:cs="Arial"/>
                <w:sz w:val="18"/>
                <w:szCs w:val="18"/>
              </w:rPr>
              <w:t>1,177,535</w:t>
            </w:r>
          </w:p>
        </w:tc>
        <w:tc>
          <w:tcPr>
            <w:tcW w:w="1361" w:type="dxa"/>
            <w:tcBorders>
              <w:top w:val="nil"/>
              <w:left w:val="nil"/>
              <w:bottom w:val="nil"/>
              <w:right w:val="nil"/>
            </w:tcBorders>
            <w:shd w:val="clear" w:color="auto" w:fill="auto"/>
            <w:vAlign w:val="bottom"/>
          </w:tcPr>
          <w:p w14:paraId="7AECCC2C" w14:textId="00E53199" w:rsidR="00DC5BE9" w:rsidRPr="003E2D55" w:rsidRDefault="00DC5BE9" w:rsidP="003E2D55">
            <w:pPr>
              <w:spacing w:before="40" w:after="20"/>
              <w:jc w:val="right"/>
              <w:rPr>
                <w:rFonts w:cs="Arial"/>
                <w:sz w:val="18"/>
                <w:szCs w:val="18"/>
              </w:rPr>
            </w:pPr>
            <w:r w:rsidRPr="003E2D55">
              <w:rPr>
                <w:rFonts w:cs="Arial"/>
                <w:sz w:val="18"/>
                <w:szCs w:val="18"/>
              </w:rPr>
              <w:t>256,363</w:t>
            </w:r>
          </w:p>
        </w:tc>
        <w:tc>
          <w:tcPr>
            <w:tcW w:w="1361" w:type="dxa"/>
            <w:tcBorders>
              <w:top w:val="nil"/>
              <w:left w:val="nil"/>
              <w:bottom w:val="nil"/>
              <w:right w:val="nil"/>
            </w:tcBorders>
            <w:shd w:val="clear" w:color="auto" w:fill="auto"/>
            <w:vAlign w:val="bottom"/>
          </w:tcPr>
          <w:p w14:paraId="6961B396" w14:textId="73AC654A" w:rsidR="00DC5BE9" w:rsidRPr="003E2D55" w:rsidRDefault="00DC5BE9" w:rsidP="003E2D55">
            <w:pPr>
              <w:spacing w:before="40" w:after="20"/>
              <w:jc w:val="right"/>
              <w:rPr>
                <w:rFonts w:cs="Arial"/>
                <w:sz w:val="18"/>
                <w:szCs w:val="18"/>
              </w:rPr>
            </w:pPr>
            <w:r w:rsidRPr="003E2D55">
              <w:rPr>
                <w:rFonts w:cs="Arial"/>
                <w:sz w:val="18"/>
                <w:szCs w:val="18"/>
              </w:rPr>
              <w:t>1,037,892</w:t>
            </w:r>
          </w:p>
        </w:tc>
        <w:tc>
          <w:tcPr>
            <w:tcW w:w="1361" w:type="dxa"/>
            <w:tcBorders>
              <w:top w:val="nil"/>
              <w:left w:val="nil"/>
              <w:bottom w:val="nil"/>
              <w:right w:val="nil"/>
            </w:tcBorders>
            <w:shd w:val="clear" w:color="auto" w:fill="auto"/>
            <w:vAlign w:val="bottom"/>
          </w:tcPr>
          <w:p w14:paraId="64336838" w14:textId="37B6B641" w:rsidR="00DC5BE9" w:rsidRPr="003E2D55" w:rsidRDefault="00DC5BE9" w:rsidP="003E2D55">
            <w:pPr>
              <w:spacing w:before="40" w:after="20"/>
              <w:jc w:val="right"/>
              <w:rPr>
                <w:rFonts w:cs="Arial"/>
                <w:sz w:val="18"/>
                <w:szCs w:val="18"/>
              </w:rPr>
            </w:pPr>
            <w:r w:rsidRPr="003E2D55">
              <w:rPr>
                <w:rFonts w:cs="Arial"/>
                <w:sz w:val="18"/>
                <w:szCs w:val="18"/>
              </w:rPr>
              <w:t>263,881</w:t>
            </w:r>
          </w:p>
        </w:tc>
      </w:tr>
      <w:tr w:rsidR="00DC5BE9" w:rsidRPr="003E2D55" w14:paraId="215E152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14F28CE" w14:textId="77777777" w:rsidR="00DC5BE9" w:rsidRPr="003E2D55" w:rsidRDefault="00DC5BE9" w:rsidP="003E2D55">
            <w:pPr>
              <w:spacing w:before="40" w:after="20"/>
              <w:rPr>
                <w:rFonts w:cs="Arial"/>
                <w:sz w:val="18"/>
                <w:szCs w:val="18"/>
              </w:rPr>
            </w:pPr>
            <w:r w:rsidRPr="003E2D55">
              <w:rPr>
                <w:rFonts w:cs="Arial"/>
                <w:sz w:val="18"/>
                <w:szCs w:val="18"/>
              </w:rPr>
              <w:t>Wellington S</w:t>
            </w:r>
          </w:p>
        </w:tc>
        <w:tc>
          <w:tcPr>
            <w:tcW w:w="1361" w:type="dxa"/>
            <w:tcBorders>
              <w:top w:val="nil"/>
              <w:left w:val="single" w:sz="18" w:space="0" w:color="5F497A" w:themeColor="accent4" w:themeShade="BF"/>
              <w:bottom w:val="nil"/>
              <w:right w:val="nil"/>
            </w:tcBorders>
            <w:shd w:val="clear" w:color="auto" w:fill="auto"/>
            <w:vAlign w:val="bottom"/>
          </w:tcPr>
          <w:p w14:paraId="64DD4F22" w14:textId="777AB00E" w:rsidR="00DC5BE9" w:rsidRPr="003E2D55" w:rsidRDefault="00DC5BE9" w:rsidP="003E2D55">
            <w:pPr>
              <w:spacing w:before="40" w:after="20"/>
              <w:jc w:val="right"/>
              <w:rPr>
                <w:rFonts w:cs="Arial"/>
                <w:sz w:val="18"/>
                <w:szCs w:val="18"/>
              </w:rPr>
            </w:pPr>
            <w:r w:rsidRPr="003E2D55">
              <w:rPr>
                <w:rFonts w:cs="Arial"/>
                <w:sz w:val="18"/>
                <w:szCs w:val="18"/>
              </w:rPr>
              <w:t>780,410</w:t>
            </w:r>
          </w:p>
        </w:tc>
        <w:tc>
          <w:tcPr>
            <w:tcW w:w="1361" w:type="dxa"/>
            <w:tcBorders>
              <w:top w:val="nil"/>
              <w:left w:val="nil"/>
              <w:bottom w:val="nil"/>
              <w:right w:val="nil"/>
            </w:tcBorders>
            <w:shd w:val="clear" w:color="auto" w:fill="auto"/>
            <w:vAlign w:val="bottom"/>
          </w:tcPr>
          <w:p w14:paraId="1931C590" w14:textId="38C0FE20" w:rsidR="00DC5BE9" w:rsidRPr="003E2D55" w:rsidRDefault="00DC5BE9" w:rsidP="003E2D55">
            <w:pPr>
              <w:spacing w:before="40" w:after="20"/>
              <w:jc w:val="right"/>
              <w:rPr>
                <w:rFonts w:cs="Arial"/>
                <w:sz w:val="18"/>
                <w:szCs w:val="18"/>
              </w:rPr>
            </w:pPr>
            <w:r w:rsidRPr="003E2D55">
              <w:rPr>
                <w:rFonts w:cs="Arial"/>
                <w:sz w:val="18"/>
                <w:szCs w:val="18"/>
              </w:rPr>
              <w:t>509,003</w:t>
            </w:r>
          </w:p>
        </w:tc>
        <w:tc>
          <w:tcPr>
            <w:tcW w:w="1361" w:type="dxa"/>
            <w:tcBorders>
              <w:top w:val="nil"/>
              <w:left w:val="nil"/>
              <w:bottom w:val="nil"/>
              <w:right w:val="nil"/>
            </w:tcBorders>
            <w:shd w:val="clear" w:color="auto" w:fill="auto"/>
            <w:vAlign w:val="bottom"/>
          </w:tcPr>
          <w:p w14:paraId="2574E29B" w14:textId="5EE1E0F9" w:rsidR="00DC5BE9" w:rsidRPr="003E2D55" w:rsidRDefault="00DC5BE9" w:rsidP="003E2D55">
            <w:pPr>
              <w:spacing w:before="40" w:after="20"/>
              <w:jc w:val="right"/>
              <w:rPr>
                <w:rFonts w:cs="Arial"/>
                <w:sz w:val="18"/>
                <w:szCs w:val="18"/>
              </w:rPr>
            </w:pPr>
            <w:r w:rsidRPr="003E2D55">
              <w:rPr>
                <w:rFonts w:cs="Arial"/>
                <w:sz w:val="18"/>
                <w:szCs w:val="18"/>
              </w:rPr>
              <w:t>528,094</w:t>
            </w:r>
          </w:p>
        </w:tc>
        <w:tc>
          <w:tcPr>
            <w:tcW w:w="1361" w:type="dxa"/>
            <w:tcBorders>
              <w:top w:val="nil"/>
              <w:left w:val="nil"/>
              <w:bottom w:val="nil"/>
              <w:right w:val="nil"/>
            </w:tcBorders>
            <w:shd w:val="clear" w:color="auto" w:fill="auto"/>
            <w:vAlign w:val="bottom"/>
          </w:tcPr>
          <w:p w14:paraId="10261E1E" w14:textId="1A809803"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5F3522F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15E521C" w14:textId="77777777" w:rsidR="00DC5BE9" w:rsidRPr="003E2D55" w:rsidRDefault="00DC5BE9" w:rsidP="003E2D55">
            <w:pPr>
              <w:spacing w:before="40" w:after="20"/>
              <w:rPr>
                <w:rFonts w:cs="Arial"/>
                <w:sz w:val="18"/>
                <w:szCs w:val="18"/>
              </w:rPr>
            </w:pPr>
            <w:r w:rsidRPr="003E2D55">
              <w:rPr>
                <w:rFonts w:cs="Arial"/>
                <w:sz w:val="18"/>
                <w:szCs w:val="18"/>
              </w:rPr>
              <w:t>West Wimmera S</w:t>
            </w:r>
          </w:p>
        </w:tc>
        <w:tc>
          <w:tcPr>
            <w:tcW w:w="1361" w:type="dxa"/>
            <w:tcBorders>
              <w:top w:val="nil"/>
              <w:left w:val="single" w:sz="18" w:space="0" w:color="5F497A" w:themeColor="accent4" w:themeShade="BF"/>
              <w:bottom w:val="nil"/>
              <w:right w:val="nil"/>
            </w:tcBorders>
            <w:shd w:val="clear" w:color="auto" w:fill="auto"/>
            <w:vAlign w:val="bottom"/>
          </w:tcPr>
          <w:p w14:paraId="0A80C6F4" w14:textId="52545F9D" w:rsidR="00DC5BE9" w:rsidRPr="003E2D55" w:rsidRDefault="00DC5BE9" w:rsidP="003E2D55">
            <w:pPr>
              <w:spacing w:before="40" w:after="20"/>
              <w:jc w:val="right"/>
              <w:rPr>
                <w:rFonts w:cs="Arial"/>
                <w:sz w:val="18"/>
                <w:szCs w:val="18"/>
              </w:rPr>
            </w:pPr>
            <w:r w:rsidRPr="003E2D55">
              <w:rPr>
                <w:rFonts w:cs="Arial"/>
                <w:sz w:val="18"/>
                <w:szCs w:val="18"/>
              </w:rPr>
              <w:t>693,732</w:t>
            </w:r>
          </w:p>
        </w:tc>
        <w:tc>
          <w:tcPr>
            <w:tcW w:w="1361" w:type="dxa"/>
            <w:tcBorders>
              <w:top w:val="nil"/>
              <w:left w:val="nil"/>
              <w:bottom w:val="nil"/>
              <w:right w:val="nil"/>
            </w:tcBorders>
            <w:shd w:val="clear" w:color="auto" w:fill="auto"/>
            <w:vAlign w:val="bottom"/>
          </w:tcPr>
          <w:p w14:paraId="095D3CC3" w14:textId="09E4F08A" w:rsidR="00DC5BE9" w:rsidRPr="003E2D55" w:rsidRDefault="00DC5BE9" w:rsidP="003E2D55">
            <w:pPr>
              <w:spacing w:before="40" w:after="20"/>
              <w:jc w:val="right"/>
              <w:rPr>
                <w:rFonts w:cs="Arial"/>
                <w:sz w:val="18"/>
                <w:szCs w:val="18"/>
              </w:rPr>
            </w:pPr>
            <w:r w:rsidRPr="003E2D55">
              <w:rPr>
                <w:rFonts w:cs="Arial"/>
                <w:sz w:val="18"/>
                <w:szCs w:val="18"/>
              </w:rPr>
              <w:t>11,979</w:t>
            </w:r>
          </w:p>
        </w:tc>
        <w:tc>
          <w:tcPr>
            <w:tcW w:w="1361" w:type="dxa"/>
            <w:tcBorders>
              <w:top w:val="nil"/>
              <w:left w:val="nil"/>
              <w:bottom w:val="nil"/>
              <w:right w:val="nil"/>
            </w:tcBorders>
            <w:shd w:val="clear" w:color="auto" w:fill="auto"/>
            <w:vAlign w:val="bottom"/>
          </w:tcPr>
          <w:p w14:paraId="58F0A834" w14:textId="2EECA431"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2371C8E8" w14:textId="4763BF45"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661708D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48BC197" w14:textId="77777777" w:rsidR="00DC5BE9" w:rsidRPr="003E2D55" w:rsidRDefault="00DC5BE9" w:rsidP="003E2D55">
            <w:pPr>
              <w:spacing w:before="40" w:after="20"/>
              <w:rPr>
                <w:rFonts w:cs="Arial"/>
                <w:sz w:val="18"/>
                <w:szCs w:val="18"/>
              </w:rPr>
            </w:pPr>
            <w:r w:rsidRPr="003E2D55">
              <w:rPr>
                <w:rFonts w:cs="Arial"/>
                <w:sz w:val="18"/>
                <w:szCs w:val="18"/>
              </w:rPr>
              <w:t>Whitehorse C</w:t>
            </w:r>
          </w:p>
        </w:tc>
        <w:tc>
          <w:tcPr>
            <w:tcW w:w="1361" w:type="dxa"/>
            <w:tcBorders>
              <w:top w:val="nil"/>
              <w:left w:val="single" w:sz="18" w:space="0" w:color="5F497A" w:themeColor="accent4" w:themeShade="BF"/>
              <w:bottom w:val="nil"/>
              <w:right w:val="nil"/>
            </w:tcBorders>
            <w:shd w:val="clear" w:color="auto" w:fill="auto"/>
            <w:vAlign w:val="bottom"/>
          </w:tcPr>
          <w:p w14:paraId="508E7F7E" w14:textId="58ADA13E" w:rsidR="00DC5BE9" w:rsidRPr="003E2D55" w:rsidRDefault="00DC5BE9" w:rsidP="003E2D55">
            <w:pPr>
              <w:spacing w:before="40" w:after="20"/>
              <w:jc w:val="right"/>
              <w:rPr>
                <w:rFonts w:cs="Arial"/>
                <w:sz w:val="18"/>
                <w:szCs w:val="18"/>
              </w:rPr>
            </w:pPr>
            <w:r w:rsidRPr="003E2D55">
              <w:rPr>
                <w:rFonts w:cs="Arial"/>
                <w:sz w:val="18"/>
                <w:szCs w:val="18"/>
              </w:rPr>
              <w:t>1,594,537</w:t>
            </w:r>
          </w:p>
        </w:tc>
        <w:tc>
          <w:tcPr>
            <w:tcW w:w="1361" w:type="dxa"/>
            <w:tcBorders>
              <w:top w:val="nil"/>
              <w:left w:val="nil"/>
              <w:bottom w:val="nil"/>
              <w:right w:val="nil"/>
            </w:tcBorders>
            <w:shd w:val="clear" w:color="auto" w:fill="auto"/>
            <w:vAlign w:val="bottom"/>
          </w:tcPr>
          <w:p w14:paraId="05BDE31D" w14:textId="180FA5F0" w:rsidR="00DC5BE9" w:rsidRPr="003E2D55" w:rsidRDefault="00DC5BE9" w:rsidP="003E2D55">
            <w:pPr>
              <w:spacing w:before="40" w:after="20"/>
              <w:jc w:val="right"/>
              <w:rPr>
                <w:rFonts w:cs="Arial"/>
                <w:sz w:val="18"/>
                <w:szCs w:val="18"/>
              </w:rPr>
            </w:pPr>
            <w:r w:rsidRPr="003E2D55">
              <w:rPr>
                <w:rFonts w:cs="Arial"/>
                <w:sz w:val="18"/>
                <w:szCs w:val="18"/>
              </w:rPr>
              <w:t>1,612,751</w:t>
            </w:r>
          </w:p>
        </w:tc>
        <w:tc>
          <w:tcPr>
            <w:tcW w:w="1361" w:type="dxa"/>
            <w:tcBorders>
              <w:top w:val="nil"/>
              <w:left w:val="nil"/>
              <w:bottom w:val="nil"/>
              <w:right w:val="nil"/>
            </w:tcBorders>
            <w:shd w:val="clear" w:color="auto" w:fill="auto"/>
            <w:vAlign w:val="bottom"/>
          </w:tcPr>
          <w:p w14:paraId="60BE76F2" w14:textId="2B5D9692" w:rsidR="00DC5BE9" w:rsidRPr="003E2D55" w:rsidRDefault="00DC5BE9" w:rsidP="003E2D55">
            <w:pPr>
              <w:spacing w:before="40" w:after="20"/>
              <w:jc w:val="right"/>
              <w:rPr>
                <w:rFonts w:cs="Arial"/>
                <w:sz w:val="18"/>
                <w:szCs w:val="18"/>
              </w:rPr>
            </w:pPr>
            <w:r w:rsidRPr="003E2D55">
              <w:rPr>
                <w:rFonts w:cs="Arial"/>
                <w:sz w:val="18"/>
                <w:szCs w:val="18"/>
              </w:rPr>
              <w:t>2,084,571</w:t>
            </w:r>
          </w:p>
        </w:tc>
        <w:tc>
          <w:tcPr>
            <w:tcW w:w="1361" w:type="dxa"/>
            <w:tcBorders>
              <w:top w:val="nil"/>
              <w:left w:val="nil"/>
              <w:bottom w:val="nil"/>
              <w:right w:val="nil"/>
            </w:tcBorders>
            <w:shd w:val="clear" w:color="auto" w:fill="auto"/>
            <w:vAlign w:val="bottom"/>
          </w:tcPr>
          <w:p w14:paraId="05E61096" w14:textId="40662339" w:rsidR="00DC5BE9" w:rsidRPr="003E2D55" w:rsidRDefault="00DC5BE9" w:rsidP="003E2D55">
            <w:pPr>
              <w:spacing w:before="40" w:after="20"/>
              <w:jc w:val="right"/>
              <w:rPr>
                <w:rFonts w:cs="Arial"/>
                <w:sz w:val="18"/>
                <w:szCs w:val="18"/>
              </w:rPr>
            </w:pPr>
            <w:r w:rsidRPr="003E2D55">
              <w:rPr>
                <w:rFonts w:cs="Arial"/>
                <w:sz w:val="18"/>
                <w:szCs w:val="18"/>
              </w:rPr>
              <w:t>866,664</w:t>
            </w:r>
          </w:p>
        </w:tc>
      </w:tr>
      <w:tr w:rsidR="00DC5BE9" w:rsidRPr="003E2D55" w14:paraId="1B042BF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CBAB204" w14:textId="77777777" w:rsidR="00DC5BE9" w:rsidRPr="003E2D55" w:rsidRDefault="00DC5BE9" w:rsidP="003E2D55">
            <w:pPr>
              <w:spacing w:before="40" w:after="20"/>
              <w:rPr>
                <w:rFonts w:cs="Arial"/>
                <w:sz w:val="18"/>
                <w:szCs w:val="18"/>
              </w:rPr>
            </w:pPr>
            <w:r w:rsidRPr="003E2D55">
              <w:rPr>
                <w:rFonts w:cs="Arial"/>
                <w:sz w:val="18"/>
                <w:szCs w:val="18"/>
              </w:rPr>
              <w:t>Whittlesea C</w:t>
            </w:r>
          </w:p>
        </w:tc>
        <w:tc>
          <w:tcPr>
            <w:tcW w:w="1361" w:type="dxa"/>
            <w:tcBorders>
              <w:top w:val="nil"/>
              <w:left w:val="single" w:sz="18" w:space="0" w:color="5F497A" w:themeColor="accent4" w:themeShade="BF"/>
              <w:bottom w:val="nil"/>
              <w:right w:val="nil"/>
            </w:tcBorders>
            <w:shd w:val="clear" w:color="auto" w:fill="auto"/>
            <w:vAlign w:val="bottom"/>
          </w:tcPr>
          <w:p w14:paraId="414C06BD" w14:textId="296226C9" w:rsidR="00DC5BE9" w:rsidRPr="003E2D55" w:rsidRDefault="00DC5BE9" w:rsidP="003E2D55">
            <w:pPr>
              <w:spacing w:before="40" w:after="20"/>
              <w:jc w:val="right"/>
              <w:rPr>
                <w:rFonts w:cs="Arial"/>
                <w:sz w:val="18"/>
                <w:szCs w:val="18"/>
              </w:rPr>
            </w:pPr>
            <w:r w:rsidRPr="003E2D55">
              <w:rPr>
                <w:rFonts w:cs="Arial"/>
                <w:sz w:val="18"/>
                <w:szCs w:val="18"/>
              </w:rPr>
              <w:t>4,642,349</w:t>
            </w:r>
          </w:p>
        </w:tc>
        <w:tc>
          <w:tcPr>
            <w:tcW w:w="1361" w:type="dxa"/>
            <w:tcBorders>
              <w:top w:val="nil"/>
              <w:left w:val="nil"/>
              <w:bottom w:val="nil"/>
              <w:right w:val="nil"/>
            </w:tcBorders>
            <w:shd w:val="clear" w:color="auto" w:fill="auto"/>
            <w:vAlign w:val="bottom"/>
          </w:tcPr>
          <w:p w14:paraId="1CAB5ED9" w14:textId="3576C822" w:rsidR="00DC5BE9" w:rsidRPr="003E2D55" w:rsidRDefault="00DC5BE9" w:rsidP="003E2D55">
            <w:pPr>
              <w:spacing w:before="40" w:after="20"/>
              <w:jc w:val="right"/>
              <w:rPr>
                <w:rFonts w:cs="Arial"/>
                <w:sz w:val="18"/>
                <w:szCs w:val="18"/>
              </w:rPr>
            </w:pPr>
            <w:r w:rsidRPr="003E2D55">
              <w:rPr>
                <w:rFonts w:cs="Arial"/>
                <w:sz w:val="18"/>
                <w:szCs w:val="18"/>
              </w:rPr>
              <w:t>1,643,567</w:t>
            </w:r>
          </w:p>
        </w:tc>
        <w:tc>
          <w:tcPr>
            <w:tcW w:w="1361" w:type="dxa"/>
            <w:tcBorders>
              <w:top w:val="nil"/>
              <w:left w:val="nil"/>
              <w:bottom w:val="nil"/>
              <w:right w:val="nil"/>
            </w:tcBorders>
            <w:shd w:val="clear" w:color="auto" w:fill="auto"/>
            <w:vAlign w:val="bottom"/>
          </w:tcPr>
          <w:p w14:paraId="75626AAB" w14:textId="28E89566" w:rsidR="00DC5BE9" w:rsidRPr="003E2D55" w:rsidRDefault="00DC5BE9" w:rsidP="003E2D55">
            <w:pPr>
              <w:spacing w:before="40" w:after="20"/>
              <w:jc w:val="right"/>
              <w:rPr>
                <w:rFonts w:cs="Arial"/>
                <w:sz w:val="18"/>
                <w:szCs w:val="18"/>
              </w:rPr>
            </w:pPr>
            <w:r w:rsidRPr="003E2D55">
              <w:rPr>
                <w:rFonts w:cs="Arial"/>
                <w:sz w:val="18"/>
                <w:szCs w:val="18"/>
              </w:rPr>
              <w:t>2,369,047</w:t>
            </w:r>
          </w:p>
        </w:tc>
        <w:tc>
          <w:tcPr>
            <w:tcW w:w="1361" w:type="dxa"/>
            <w:tcBorders>
              <w:top w:val="nil"/>
              <w:left w:val="nil"/>
              <w:bottom w:val="nil"/>
              <w:right w:val="nil"/>
            </w:tcBorders>
            <w:shd w:val="clear" w:color="auto" w:fill="auto"/>
            <w:vAlign w:val="bottom"/>
          </w:tcPr>
          <w:p w14:paraId="5BA31908" w14:textId="7DB823BF" w:rsidR="00DC5BE9" w:rsidRPr="003E2D55" w:rsidRDefault="00DC5BE9" w:rsidP="003E2D55">
            <w:pPr>
              <w:spacing w:before="40" w:after="20"/>
              <w:jc w:val="right"/>
              <w:rPr>
                <w:rFonts w:cs="Arial"/>
                <w:sz w:val="18"/>
                <w:szCs w:val="18"/>
              </w:rPr>
            </w:pPr>
            <w:r w:rsidRPr="003E2D55">
              <w:rPr>
                <w:rFonts w:cs="Arial"/>
                <w:sz w:val="18"/>
                <w:szCs w:val="18"/>
              </w:rPr>
              <w:t>1,300,519</w:t>
            </w:r>
          </w:p>
        </w:tc>
      </w:tr>
      <w:tr w:rsidR="00DC5BE9" w:rsidRPr="003E2D55" w14:paraId="49E698E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A165C79" w14:textId="77777777" w:rsidR="00DC5BE9" w:rsidRPr="003E2D55" w:rsidRDefault="00DC5BE9" w:rsidP="003E2D55">
            <w:pPr>
              <w:spacing w:before="40" w:after="20"/>
              <w:rPr>
                <w:rFonts w:cs="Arial"/>
                <w:sz w:val="18"/>
                <w:szCs w:val="18"/>
              </w:rPr>
            </w:pPr>
            <w:r w:rsidRPr="003E2D55">
              <w:rPr>
                <w:rFonts w:cs="Arial"/>
                <w:sz w:val="18"/>
                <w:szCs w:val="18"/>
              </w:rPr>
              <w:t>Wodonga C</w:t>
            </w:r>
          </w:p>
        </w:tc>
        <w:tc>
          <w:tcPr>
            <w:tcW w:w="1361" w:type="dxa"/>
            <w:tcBorders>
              <w:top w:val="nil"/>
              <w:left w:val="single" w:sz="18" w:space="0" w:color="5F497A" w:themeColor="accent4" w:themeShade="BF"/>
              <w:bottom w:val="nil"/>
              <w:right w:val="nil"/>
            </w:tcBorders>
            <w:shd w:val="clear" w:color="auto" w:fill="auto"/>
            <w:vAlign w:val="bottom"/>
          </w:tcPr>
          <w:p w14:paraId="16E64FF9" w14:textId="1C405159" w:rsidR="00DC5BE9" w:rsidRPr="003E2D55" w:rsidRDefault="00DC5BE9" w:rsidP="003E2D55">
            <w:pPr>
              <w:spacing w:before="40" w:after="20"/>
              <w:jc w:val="right"/>
              <w:rPr>
                <w:rFonts w:cs="Arial"/>
                <w:sz w:val="18"/>
                <w:szCs w:val="18"/>
              </w:rPr>
            </w:pPr>
            <w:r w:rsidRPr="003E2D55">
              <w:rPr>
                <w:rFonts w:cs="Arial"/>
                <w:sz w:val="18"/>
                <w:szCs w:val="18"/>
              </w:rPr>
              <w:t>1,301,625</w:t>
            </w:r>
          </w:p>
        </w:tc>
        <w:tc>
          <w:tcPr>
            <w:tcW w:w="1361" w:type="dxa"/>
            <w:tcBorders>
              <w:top w:val="nil"/>
              <w:left w:val="nil"/>
              <w:bottom w:val="nil"/>
              <w:right w:val="nil"/>
            </w:tcBorders>
            <w:shd w:val="clear" w:color="auto" w:fill="auto"/>
            <w:vAlign w:val="bottom"/>
          </w:tcPr>
          <w:p w14:paraId="1C96B7E9" w14:textId="6A7D79A7" w:rsidR="00DC5BE9" w:rsidRPr="003E2D55" w:rsidRDefault="00DC5BE9" w:rsidP="003E2D55">
            <w:pPr>
              <w:spacing w:before="40" w:after="20"/>
              <w:jc w:val="right"/>
              <w:rPr>
                <w:rFonts w:cs="Arial"/>
                <w:sz w:val="18"/>
                <w:szCs w:val="18"/>
              </w:rPr>
            </w:pPr>
            <w:r w:rsidRPr="003E2D55">
              <w:rPr>
                <w:rFonts w:cs="Arial"/>
                <w:sz w:val="18"/>
                <w:szCs w:val="18"/>
              </w:rPr>
              <w:t>404,318</w:t>
            </w:r>
          </w:p>
        </w:tc>
        <w:tc>
          <w:tcPr>
            <w:tcW w:w="1361" w:type="dxa"/>
            <w:tcBorders>
              <w:top w:val="nil"/>
              <w:left w:val="nil"/>
              <w:bottom w:val="nil"/>
              <w:right w:val="nil"/>
            </w:tcBorders>
            <w:shd w:val="clear" w:color="auto" w:fill="auto"/>
            <w:vAlign w:val="bottom"/>
          </w:tcPr>
          <w:p w14:paraId="5D1A1ED0" w14:textId="6AB0EFF4" w:rsidR="00DC5BE9" w:rsidRPr="003E2D55" w:rsidRDefault="00DC5BE9" w:rsidP="003E2D55">
            <w:pPr>
              <w:spacing w:before="40" w:after="20"/>
              <w:jc w:val="right"/>
              <w:rPr>
                <w:rFonts w:cs="Arial"/>
                <w:sz w:val="18"/>
                <w:szCs w:val="18"/>
              </w:rPr>
            </w:pPr>
            <w:r w:rsidRPr="003E2D55">
              <w:rPr>
                <w:rFonts w:cs="Arial"/>
                <w:sz w:val="18"/>
                <w:szCs w:val="18"/>
              </w:rPr>
              <w:t>696,113</w:t>
            </w:r>
          </w:p>
        </w:tc>
        <w:tc>
          <w:tcPr>
            <w:tcW w:w="1361" w:type="dxa"/>
            <w:tcBorders>
              <w:top w:val="nil"/>
              <w:left w:val="nil"/>
              <w:bottom w:val="nil"/>
              <w:right w:val="nil"/>
            </w:tcBorders>
            <w:shd w:val="clear" w:color="auto" w:fill="auto"/>
            <w:vAlign w:val="bottom"/>
          </w:tcPr>
          <w:p w14:paraId="4E1D021B" w14:textId="20F26040" w:rsidR="00DC5BE9" w:rsidRPr="003E2D55" w:rsidRDefault="00DC5BE9" w:rsidP="003E2D55">
            <w:pPr>
              <w:spacing w:before="40" w:after="20"/>
              <w:jc w:val="right"/>
              <w:rPr>
                <w:rFonts w:cs="Arial"/>
                <w:sz w:val="18"/>
                <w:szCs w:val="18"/>
              </w:rPr>
            </w:pPr>
            <w:r w:rsidRPr="003E2D55">
              <w:rPr>
                <w:rFonts w:cs="Arial"/>
                <w:sz w:val="18"/>
                <w:szCs w:val="18"/>
              </w:rPr>
              <w:t>422,434</w:t>
            </w:r>
          </w:p>
        </w:tc>
      </w:tr>
      <w:tr w:rsidR="00DC5BE9" w:rsidRPr="003E2D55" w14:paraId="3901F18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E84C09E" w14:textId="77777777" w:rsidR="00DC5BE9" w:rsidRPr="003E2D55" w:rsidRDefault="00DC5BE9" w:rsidP="003E2D55">
            <w:pPr>
              <w:spacing w:before="40" w:after="20"/>
              <w:rPr>
                <w:rFonts w:cs="Arial"/>
                <w:sz w:val="18"/>
                <w:szCs w:val="18"/>
              </w:rPr>
            </w:pPr>
            <w:r w:rsidRPr="003E2D55">
              <w:rPr>
                <w:rFonts w:cs="Arial"/>
                <w:sz w:val="18"/>
                <w:szCs w:val="18"/>
              </w:rPr>
              <w:t>Wyndham C</w:t>
            </w:r>
          </w:p>
        </w:tc>
        <w:tc>
          <w:tcPr>
            <w:tcW w:w="1361" w:type="dxa"/>
            <w:tcBorders>
              <w:top w:val="nil"/>
              <w:left w:val="single" w:sz="18" w:space="0" w:color="5F497A" w:themeColor="accent4" w:themeShade="BF"/>
              <w:bottom w:val="nil"/>
              <w:right w:val="nil"/>
            </w:tcBorders>
            <w:shd w:val="clear" w:color="auto" w:fill="auto"/>
            <w:vAlign w:val="bottom"/>
          </w:tcPr>
          <w:p w14:paraId="35DE3A0D" w14:textId="0D632D5A" w:rsidR="00DC5BE9" w:rsidRPr="003E2D55" w:rsidRDefault="00DC5BE9" w:rsidP="003E2D55">
            <w:pPr>
              <w:spacing w:before="40" w:after="20"/>
              <w:jc w:val="right"/>
              <w:rPr>
                <w:rFonts w:cs="Arial"/>
                <w:sz w:val="18"/>
                <w:szCs w:val="18"/>
              </w:rPr>
            </w:pPr>
            <w:r w:rsidRPr="003E2D55">
              <w:rPr>
                <w:rFonts w:cs="Arial"/>
                <w:sz w:val="18"/>
                <w:szCs w:val="18"/>
              </w:rPr>
              <w:t>5,306,717</w:t>
            </w:r>
          </w:p>
        </w:tc>
        <w:tc>
          <w:tcPr>
            <w:tcW w:w="1361" w:type="dxa"/>
            <w:tcBorders>
              <w:top w:val="nil"/>
              <w:left w:val="nil"/>
              <w:bottom w:val="nil"/>
              <w:right w:val="nil"/>
            </w:tcBorders>
            <w:shd w:val="clear" w:color="auto" w:fill="auto"/>
            <w:vAlign w:val="bottom"/>
          </w:tcPr>
          <w:p w14:paraId="2965D798" w14:textId="30CF8EB8" w:rsidR="00DC5BE9" w:rsidRPr="003E2D55" w:rsidRDefault="00DC5BE9" w:rsidP="003E2D55">
            <w:pPr>
              <w:spacing w:before="40" w:after="20"/>
              <w:jc w:val="right"/>
              <w:rPr>
                <w:rFonts w:cs="Arial"/>
                <w:sz w:val="18"/>
                <w:szCs w:val="18"/>
              </w:rPr>
            </w:pPr>
            <w:r w:rsidRPr="003E2D55">
              <w:rPr>
                <w:rFonts w:cs="Arial"/>
                <w:sz w:val="18"/>
                <w:szCs w:val="18"/>
              </w:rPr>
              <w:t>2,922,303</w:t>
            </w:r>
          </w:p>
        </w:tc>
        <w:tc>
          <w:tcPr>
            <w:tcW w:w="1361" w:type="dxa"/>
            <w:tcBorders>
              <w:top w:val="nil"/>
              <w:left w:val="nil"/>
              <w:bottom w:val="nil"/>
              <w:right w:val="nil"/>
            </w:tcBorders>
            <w:shd w:val="clear" w:color="auto" w:fill="auto"/>
            <w:vAlign w:val="bottom"/>
          </w:tcPr>
          <w:p w14:paraId="430CB803" w14:textId="25A2E517" w:rsidR="00DC5BE9" w:rsidRPr="003E2D55" w:rsidRDefault="00DC5BE9" w:rsidP="003E2D55">
            <w:pPr>
              <w:spacing w:before="40" w:after="20"/>
              <w:jc w:val="right"/>
              <w:rPr>
                <w:rFonts w:cs="Arial"/>
                <w:sz w:val="18"/>
                <w:szCs w:val="18"/>
              </w:rPr>
            </w:pPr>
            <w:r w:rsidRPr="003E2D55">
              <w:rPr>
                <w:rFonts w:cs="Arial"/>
                <w:sz w:val="18"/>
                <w:szCs w:val="18"/>
              </w:rPr>
              <w:t>2,483,673</w:t>
            </w:r>
          </w:p>
        </w:tc>
        <w:tc>
          <w:tcPr>
            <w:tcW w:w="1361" w:type="dxa"/>
            <w:tcBorders>
              <w:top w:val="nil"/>
              <w:left w:val="nil"/>
              <w:bottom w:val="nil"/>
              <w:right w:val="nil"/>
            </w:tcBorders>
            <w:shd w:val="clear" w:color="auto" w:fill="auto"/>
            <w:vAlign w:val="bottom"/>
          </w:tcPr>
          <w:p w14:paraId="59FC241A" w14:textId="753B5854" w:rsidR="00DC5BE9" w:rsidRPr="003E2D55" w:rsidRDefault="00DC5BE9" w:rsidP="003E2D55">
            <w:pPr>
              <w:spacing w:before="40" w:after="20"/>
              <w:jc w:val="right"/>
              <w:rPr>
                <w:rFonts w:cs="Arial"/>
                <w:sz w:val="18"/>
                <w:szCs w:val="18"/>
              </w:rPr>
            </w:pPr>
            <w:r w:rsidRPr="003E2D55">
              <w:rPr>
                <w:rFonts w:cs="Arial"/>
                <w:sz w:val="18"/>
                <w:szCs w:val="18"/>
              </w:rPr>
              <w:t>1,787,207</w:t>
            </w:r>
          </w:p>
        </w:tc>
      </w:tr>
      <w:tr w:rsidR="00DC5BE9" w:rsidRPr="003E2D55" w14:paraId="665838C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A9CB4F2" w14:textId="77777777" w:rsidR="00DC5BE9" w:rsidRPr="003E2D55" w:rsidRDefault="00DC5BE9" w:rsidP="003E2D55">
            <w:pPr>
              <w:spacing w:before="40" w:after="20"/>
              <w:rPr>
                <w:rFonts w:cs="Arial"/>
                <w:sz w:val="18"/>
                <w:szCs w:val="18"/>
              </w:rPr>
            </w:pPr>
            <w:r w:rsidRPr="003E2D55">
              <w:rPr>
                <w:rFonts w:cs="Arial"/>
                <w:sz w:val="18"/>
                <w:szCs w:val="18"/>
              </w:rPr>
              <w:t>Yarra C</w:t>
            </w:r>
          </w:p>
        </w:tc>
        <w:tc>
          <w:tcPr>
            <w:tcW w:w="1361" w:type="dxa"/>
            <w:tcBorders>
              <w:top w:val="nil"/>
              <w:left w:val="single" w:sz="18" w:space="0" w:color="5F497A" w:themeColor="accent4" w:themeShade="BF"/>
              <w:bottom w:val="nil"/>
              <w:right w:val="nil"/>
            </w:tcBorders>
            <w:shd w:val="clear" w:color="auto" w:fill="auto"/>
            <w:vAlign w:val="bottom"/>
          </w:tcPr>
          <w:p w14:paraId="08D67206" w14:textId="00B87878" w:rsidR="00DC5BE9" w:rsidRPr="003E2D55" w:rsidRDefault="00DC5BE9" w:rsidP="003E2D55">
            <w:pPr>
              <w:spacing w:before="40" w:after="20"/>
              <w:jc w:val="right"/>
              <w:rPr>
                <w:rFonts w:cs="Arial"/>
                <w:sz w:val="18"/>
                <w:szCs w:val="18"/>
              </w:rPr>
            </w:pPr>
            <w:r w:rsidRPr="003E2D55">
              <w:rPr>
                <w:rFonts w:cs="Arial"/>
                <w:sz w:val="18"/>
                <w:szCs w:val="18"/>
              </w:rPr>
              <w:t>597,547</w:t>
            </w:r>
          </w:p>
        </w:tc>
        <w:tc>
          <w:tcPr>
            <w:tcW w:w="1361" w:type="dxa"/>
            <w:tcBorders>
              <w:top w:val="nil"/>
              <w:left w:val="nil"/>
              <w:bottom w:val="nil"/>
              <w:right w:val="nil"/>
            </w:tcBorders>
            <w:shd w:val="clear" w:color="auto" w:fill="auto"/>
            <w:vAlign w:val="bottom"/>
          </w:tcPr>
          <w:p w14:paraId="25E0F5F2" w14:textId="3FF24113" w:rsidR="00DC5BE9" w:rsidRPr="003E2D55" w:rsidRDefault="00DC5BE9" w:rsidP="003E2D55">
            <w:pPr>
              <w:spacing w:before="40" w:after="20"/>
              <w:jc w:val="right"/>
              <w:rPr>
                <w:rFonts w:cs="Arial"/>
                <w:sz w:val="18"/>
                <w:szCs w:val="18"/>
              </w:rPr>
            </w:pPr>
            <w:r w:rsidRPr="003E2D55">
              <w:rPr>
                <w:rFonts w:cs="Arial"/>
                <w:sz w:val="18"/>
                <w:szCs w:val="18"/>
              </w:rPr>
              <w:t>495,931</w:t>
            </w:r>
          </w:p>
        </w:tc>
        <w:tc>
          <w:tcPr>
            <w:tcW w:w="1361" w:type="dxa"/>
            <w:tcBorders>
              <w:top w:val="nil"/>
              <w:left w:val="nil"/>
              <w:bottom w:val="nil"/>
              <w:right w:val="nil"/>
            </w:tcBorders>
            <w:shd w:val="clear" w:color="auto" w:fill="auto"/>
            <w:vAlign w:val="bottom"/>
          </w:tcPr>
          <w:p w14:paraId="42480D5F" w14:textId="4BB7598F" w:rsidR="00DC5BE9" w:rsidRPr="003E2D55" w:rsidRDefault="00DC5BE9" w:rsidP="003E2D55">
            <w:pPr>
              <w:spacing w:before="40" w:after="20"/>
              <w:jc w:val="right"/>
              <w:rPr>
                <w:rFonts w:cs="Arial"/>
                <w:sz w:val="18"/>
                <w:szCs w:val="18"/>
              </w:rPr>
            </w:pPr>
            <w:r w:rsidRPr="003E2D55">
              <w:rPr>
                <w:rFonts w:cs="Arial"/>
                <w:sz w:val="18"/>
                <w:szCs w:val="18"/>
              </w:rPr>
              <w:t>792,235</w:t>
            </w:r>
          </w:p>
        </w:tc>
        <w:tc>
          <w:tcPr>
            <w:tcW w:w="1361" w:type="dxa"/>
            <w:tcBorders>
              <w:top w:val="nil"/>
              <w:left w:val="nil"/>
              <w:bottom w:val="nil"/>
              <w:right w:val="nil"/>
            </w:tcBorders>
            <w:shd w:val="clear" w:color="auto" w:fill="auto"/>
            <w:vAlign w:val="bottom"/>
          </w:tcPr>
          <w:p w14:paraId="6135C1C9" w14:textId="53F39837" w:rsidR="00DC5BE9" w:rsidRPr="003E2D55" w:rsidRDefault="00DC5BE9" w:rsidP="003E2D55">
            <w:pPr>
              <w:spacing w:before="40" w:after="20"/>
              <w:jc w:val="right"/>
              <w:rPr>
                <w:rFonts w:cs="Arial"/>
                <w:sz w:val="18"/>
                <w:szCs w:val="18"/>
              </w:rPr>
            </w:pPr>
            <w:r w:rsidRPr="003E2D55">
              <w:rPr>
                <w:rFonts w:cs="Arial"/>
                <w:sz w:val="18"/>
                <w:szCs w:val="18"/>
              </w:rPr>
              <w:t>532,813</w:t>
            </w:r>
          </w:p>
        </w:tc>
      </w:tr>
      <w:tr w:rsidR="00DC5BE9" w:rsidRPr="003E2D55" w14:paraId="734492A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186EE53" w14:textId="77777777" w:rsidR="00DC5BE9" w:rsidRPr="003E2D55" w:rsidRDefault="00DC5BE9" w:rsidP="003E2D55">
            <w:pPr>
              <w:spacing w:before="40" w:after="20"/>
              <w:rPr>
                <w:rFonts w:cs="Arial"/>
                <w:sz w:val="18"/>
                <w:szCs w:val="18"/>
              </w:rPr>
            </w:pPr>
            <w:r w:rsidRPr="003E2D55">
              <w:rPr>
                <w:rFonts w:cs="Arial"/>
                <w:sz w:val="18"/>
                <w:szCs w:val="18"/>
              </w:rPr>
              <w:t>Yarra Ranges S</w:t>
            </w:r>
          </w:p>
        </w:tc>
        <w:tc>
          <w:tcPr>
            <w:tcW w:w="1361" w:type="dxa"/>
            <w:tcBorders>
              <w:top w:val="nil"/>
              <w:left w:val="single" w:sz="18" w:space="0" w:color="5F497A" w:themeColor="accent4" w:themeShade="BF"/>
              <w:bottom w:val="nil"/>
              <w:right w:val="nil"/>
            </w:tcBorders>
            <w:shd w:val="clear" w:color="auto" w:fill="auto"/>
            <w:vAlign w:val="bottom"/>
          </w:tcPr>
          <w:p w14:paraId="1071E3A9" w14:textId="43236AF2" w:rsidR="00DC5BE9" w:rsidRPr="003E2D55" w:rsidRDefault="00DC5BE9" w:rsidP="003E2D55">
            <w:pPr>
              <w:spacing w:before="40" w:after="20"/>
              <w:jc w:val="right"/>
              <w:rPr>
                <w:rFonts w:cs="Arial"/>
                <w:sz w:val="18"/>
                <w:szCs w:val="18"/>
              </w:rPr>
            </w:pPr>
            <w:r w:rsidRPr="003E2D55">
              <w:rPr>
                <w:rFonts w:cs="Arial"/>
                <w:sz w:val="18"/>
                <w:szCs w:val="18"/>
              </w:rPr>
              <w:t>3,052,201</w:t>
            </w:r>
          </w:p>
        </w:tc>
        <w:tc>
          <w:tcPr>
            <w:tcW w:w="1361" w:type="dxa"/>
            <w:tcBorders>
              <w:top w:val="nil"/>
              <w:left w:val="nil"/>
              <w:bottom w:val="nil"/>
              <w:right w:val="nil"/>
            </w:tcBorders>
            <w:shd w:val="clear" w:color="auto" w:fill="auto"/>
            <w:vAlign w:val="bottom"/>
          </w:tcPr>
          <w:p w14:paraId="7C378762" w14:textId="40CA8E25" w:rsidR="00DC5BE9" w:rsidRPr="003E2D55" w:rsidRDefault="00DC5BE9" w:rsidP="003E2D55">
            <w:pPr>
              <w:spacing w:before="40" w:after="20"/>
              <w:jc w:val="right"/>
              <w:rPr>
                <w:rFonts w:cs="Arial"/>
                <w:sz w:val="18"/>
                <w:szCs w:val="18"/>
              </w:rPr>
            </w:pPr>
            <w:r w:rsidRPr="003E2D55">
              <w:rPr>
                <w:rFonts w:cs="Arial"/>
                <w:sz w:val="18"/>
                <w:szCs w:val="18"/>
              </w:rPr>
              <w:t>679,991</w:t>
            </w:r>
          </w:p>
        </w:tc>
        <w:tc>
          <w:tcPr>
            <w:tcW w:w="1361" w:type="dxa"/>
            <w:tcBorders>
              <w:top w:val="nil"/>
              <w:left w:val="nil"/>
              <w:bottom w:val="nil"/>
              <w:right w:val="nil"/>
            </w:tcBorders>
            <w:shd w:val="clear" w:color="auto" w:fill="auto"/>
            <w:vAlign w:val="bottom"/>
          </w:tcPr>
          <w:p w14:paraId="7951B542" w14:textId="35BBFF2D" w:rsidR="00DC5BE9" w:rsidRPr="003E2D55" w:rsidRDefault="00DC5BE9" w:rsidP="003E2D55">
            <w:pPr>
              <w:spacing w:before="40" w:after="20"/>
              <w:jc w:val="right"/>
              <w:rPr>
                <w:rFonts w:cs="Arial"/>
                <w:sz w:val="18"/>
                <w:szCs w:val="18"/>
              </w:rPr>
            </w:pPr>
            <w:r w:rsidRPr="003E2D55">
              <w:rPr>
                <w:rFonts w:cs="Arial"/>
                <w:sz w:val="18"/>
                <w:szCs w:val="18"/>
              </w:rPr>
              <w:t>1,153,077</w:t>
            </w:r>
          </w:p>
        </w:tc>
        <w:tc>
          <w:tcPr>
            <w:tcW w:w="1361" w:type="dxa"/>
            <w:tcBorders>
              <w:top w:val="nil"/>
              <w:left w:val="nil"/>
              <w:bottom w:val="nil"/>
              <w:right w:val="nil"/>
            </w:tcBorders>
            <w:shd w:val="clear" w:color="auto" w:fill="auto"/>
            <w:vAlign w:val="bottom"/>
          </w:tcPr>
          <w:p w14:paraId="4EA38C27" w14:textId="0839441B" w:rsidR="00DC5BE9" w:rsidRPr="003E2D55" w:rsidRDefault="00DC5BE9" w:rsidP="003E2D55">
            <w:pPr>
              <w:spacing w:before="40" w:after="20"/>
              <w:jc w:val="right"/>
              <w:rPr>
                <w:rFonts w:cs="Arial"/>
                <w:sz w:val="18"/>
                <w:szCs w:val="18"/>
              </w:rPr>
            </w:pPr>
            <w:r w:rsidRPr="003E2D55">
              <w:rPr>
                <w:rFonts w:cs="Arial"/>
                <w:sz w:val="18"/>
                <w:szCs w:val="18"/>
              </w:rPr>
              <w:t>787,767</w:t>
            </w:r>
          </w:p>
        </w:tc>
      </w:tr>
      <w:tr w:rsidR="00DC5BE9" w:rsidRPr="003E2D55" w14:paraId="4EF7100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8BAEC62" w14:textId="77777777" w:rsidR="00DC5BE9" w:rsidRPr="003E2D55" w:rsidRDefault="00DC5BE9" w:rsidP="003E2D55">
            <w:pPr>
              <w:spacing w:before="40" w:after="20"/>
              <w:rPr>
                <w:rFonts w:cs="Arial"/>
                <w:sz w:val="18"/>
                <w:szCs w:val="18"/>
              </w:rPr>
            </w:pPr>
            <w:r w:rsidRPr="003E2D55">
              <w:rPr>
                <w:rFonts w:cs="Arial"/>
                <w:sz w:val="18"/>
                <w:szCs w:val="18"/>
              </w:rPr>
              <w:t>Yarriambiack S</w:t>
            </w:r>
          </w:p>
        </w:tc>
        <w:tc>
          <w:tcPr>
            <w:tcW w:w="1361" w:type="dxa"/>
            <w:tcBorders>
              <w:top w:val="nil"/>
              <w:left w:val="single" w:sz="18" w:space="0" w:color="5F497A" w:themeColor="accent4" w:themeShade="BF"/>
              <w:right w:val="nil"/>
            </w:tcBorders>
            <w:shd w:val="clear" w:color="auto" w:fill="auto"/>
            <w:vAlign w:val="bottom"/>
          </w:tcPr>
          <w:p w14:paraId="260B2BAB" w14:textId="17F682B9" w:rsidR="00DC5BE9" w:rsidRPr="003E2D55" w:rsidRDefault="00DC5BE9" w:rsidP="003E2D55">
            <w:pPr>
              <w:spacing w:before="40" w:after="20"/>
              <w:jc w:val="right"/>
              <w:rPr>
                <w:rFonts w:cs="Arial"/>
                <w:sz w:val="18"/>
                <w:szCs w:val="18"/>
              </w:rPr>
            </w:pPr>
            <w:r w:rsidRPr="003E2D55">
              <w:rPr>
                <w:rFonts w:cs="Arial"/>
                <w:sz w:val="18"/>
                <w:szCs w:val="18"/>
              </w:rPr>
              <w:t>194,737</w:t>
            </w:r>
          </w:p>
        </w:tc>
        <w:tc>
          <w:tcPr>
            <w:tcW w:w="1361" w:type="dxa"/>
            <w:tcBorders>
              <w:top w:val="nil"/>
              <w:left w:val="nil"/>
              <w:right w:val="nil"/>
            </w:tcBorders>
            <w:shd w:val="clear" w:color="auto" w:fill="auto"/>
            <w:vAlign w:val="bottom"/>
          </w:tcPr>
          <w:p w14:paraId="1596FE37" w14:textId="6701AE8C" w:rsidR="00DC5BE9" w:rsidRPr="003E2D55" w:rsidRDefault="00DC5BE9" w:rsidP="003E2D55">
            <w:pPr>
              <w:spacing w:before="40" w:after="20"/>
              <w:jc w:val="right"/>
              <w:rPr>
                <w:rFonts w:cs="Arial"/>
                <w:sz w:val="18"/>
                <w:szCs w:val="18"/>
              </w:rPr>
            </w:pPr>
            <w:r w:rsidRPr="003E2D55">
              <w:rPr>
                <w:rFonts w:cs="Arial"/>
                <w:sz w:val="18"/>
                <w:szCs w:val="18"/>
              </w:rPr>
              <w:t>42,389</w:t>
            </w:r>
          </w:p>
        </w:tc>
        <w:tc>
          <w:tcPr>
            <w:tcW w:w="1361" w:type="dxa"/>
            <w:tcBorders>
              <w:top w:val="nil"/>
              <w:left w:val="nil"/>
              <w:right w:val="nil"/>
            </w:tcBorders>
            <w:shd w:val="clear" w:color="auto" w:fill="auto"/>
            <w:vAlign w:val="bottom"/>
          </w:tcPr>
          <w:p w14:paraId="5CA33535" w14:textId="46922BAB" w:rsidR="00DC5BE9" w:rsidRPr="003E2D55" w:rsidRDefault="00DC5BE9" w:rsidP="003E2D55">
            <w:pPr>
              <w:spacing w:before="40" w:after="20"/>
              <w:jc w:val="right"/>
              <w:rPr>
                <w:rFonts w:cs="Arial"/>
                <w:sz w:val="18"/>
                <w:szCs w:val="18"/>
              </w:rPr>
            </w:pPr>
            <w:r w:rsidRPr="003E2D55">
              <w:rPr>
                <w:rFonts w:cs="Arial"/>
                <w:sz w:val="18"/>
                <w:szCs w:val="18"/>
              </w:rPr>
              <w:t>15,822</w:t>
            </w:r>
          </w:p>
        </w:tc>
        <w:tc>
          <w:tcPr>
            <w:tcW w:w="1361" w:type="dxa"/>
            <w:tcBorders>
              <w:top w:val="nil"/>
              <w:left w:val="nil"/>
              <w:right w:val="nil"/>
            </w:tcBorders>
            <w:shd w:val="clear" w:color="auto" w:fill="auto"/>
            <w:vAlign w:val="bottom"/>
          </w:tcPr>
          <w:p w14:paraId="7C3D190D" w14:textId="70A20DCB"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4E445275" w14:textId="77777777" w:rsidTr="00B44BBE">
        <w:trPr>
          <w:trHeight w:val="20"/>
        </w:trPr>
        <w:tc>
          <w:tcPr>
            <w:tcW w:w="2268" w:type="dxa"/>
            <w:tcBorders>
              <w:top w:val="nil"/>
              <w:left w:val="nil"/>
              <w:right w:val="single" w:sz="18" w:space="0" w:color="5F497A" w:themeColor="accent4" w:themeShade="BF"/>
            </w:tcBorders>
            <w:shd w:val="clear" w:color="auto" w:fill="auto"/>
            <w:vAlign w:val="center"/>
          </w:tcPr>
          <w:p w14:paraId="772E52E0" w14:textId="77777777" w:rsidR="00DC5BE9" w:rsidRPr="003E2D55" w:rsidRDefault="00DC5BE9" w:rsidP="003E2D55">
            <w:pPr>
              <w:spacing w:before="40" w:after="20"/>
              <w:rPr>
                <w:rFonts w:cs="Arial"/>
                <w:sz w:val="18"/>
                <w:szCs w:val="18"/>
              </w:rPr>
            </w:pPr>
          </w:p>
        </w:tc>
        <w:tc>
          <w:tcPr>
            <w:tcW w:w="1361"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472E4B05" w14:textId="13F81A50" w:rsidR="00DC5BE9" w:rsidRPr="003E2D55" w:rsidRDefault="00DC5BE9" w:rsidP="003E2D55">
            <w:pPr>
              <w:spacing w:before="40" w:after="20"/>
              <w:jc w:val="right"/>
              <w:rPr>
                <w:rFonts w:cs="Arial"/>
                <w:sz w:val="18"/>
                <w:szCs w:val="18"/>
              </w:rPr>
            </w:pPr>
            <w:r w:rsidRPr="003E2D55">
              <w:rPr>
                <w:rFonts w:cs="Arial"/>
                <w:sz w:val="18"/>
                <w:szCs w:val="18"/>
              </w:rPr>
              <w:t> </w:t>
            </w:r>
          </w:p>
        </w:tc>
        <w:tc>
          <w:tcPr>
            <w:tcW w:w="1361" w:type="dxa"/>
            <w:tcBorders>
              <w:top w:val="nil"/>
              <w:left w:val="nil"/>
              <w:bottom w:val="single" w:sz="8" w:space="0" w:color="5F497A" w:themeColor="accent4" w:themeShade="BF"/>
              <w:right w:val="nil"/>
            </w:tcBorders>
            <w:shd w:val="clear" w:color="auto" w:fill="auto"/>
            <w:vAlign w:val="bottom"/>
          </w:tcPr>
          <w:p w14:paraId="5600CB2B" w14:textId="77777777" w:rsidR="00DC5BE9" w:rsidRPr="003E2D55" w:rsidRDefault="00DC5BE9" w:rsidP="003E2D55">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shd w:val="clear" w:color="auto" w:fill="auto"/>
            <w:vAlign w:val="bottom"/>
          </w:tcPr>
          <w:p w14:paraId="777F0DFB" w14:textId="77777777" w:rsidR="00DC5BE9" w:rsidRPr="003E2D55" w:rsidRDefault="00DC5BE9" w:rsidP="003E2D55">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shd w:val="clear" w:color="auto" w:fill="auto"/>
            <w:vAlign w:val="bottom"/>
          </w:tcPr>
          <w:p w14:paraId="60483C76" w14:textId="30162264" w:rsidR="00DC5BE9" w:rsidRPr="003E2D55" w:rsidRDefault="00DC5BE9" w:rsidP="003E2D55">
            <w:pPr>
              <w:spacing w:before="40" w:after="20"/>
              <w:jc w:val="right"/>
              <w:rPr>
                <w:rFonts w:cs="Arial"/>
                <w:sz w:val="18"/>
                <w:szCs w:val="18"/>
              </w:rPr>
            </w:pPr>
            <w:r w:rsidRPr="003E2D55">
              <w:rPr>
                <w:rFonts w:cs="Arial"/>
                <w:sz w:val="18"/>
                <w:szCs w:val="18"/>
              </w:rPr>
              <w:t> </w:t>
            </w:r>
          </w:p>
        </w:tc>
      </w:tr>
      <w:tr w:rsidR="00DC5BE9" w:rsidRPr="003E2D55" w14:paraId="26ECD94A" w14:textId="77777777" w:rsidTr="00B44BBE">
        <w:trPr>
          <w:trHeight w:val="20"/>
        </w:trPr>
        <w:tc>
          <w:tcPr>
            <w:tcW w:w="2268" w:type="dxa"/>
            <w:tcBorders>
              <w:top w:val="nil"/>
              <w:left w:val="nil"/>
              <w:right w:val="single" w:sz="18" w:space="0" w:color="5F497A" w:themeColor="accent4" w:themeShade="BF"/>
            </w:tcBorders>
            <w:shd w:val="clear" w:color="auto" w:fill="auto"/>
            <w:vAlign w:val="center"/>
          </w:tcPr>
          <w:p w14:paraId="2E1C394F" w14:textId="77777777" w:rsidR="00DC5BE9" w:rsidRPr="003E2D55" w:rsidRDefault="00DC5BE9" w:rsidP="003E2D55">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right w:val="nil"/>
            </w:tcBorders>
            <w:shd w:val="clear" w:color="auto" w:fill="auto"/>
            <w:vAlign w:val="bottom"/>
          </w:tcPr>
          <w:p w14:paraId="0BCF4745" w14:textId="5C321A10" w:rsidR="00DC5BE9" w:rsidRPr="003E2D55" w:rsidRDefault="00DC5BE9" w:rsidP="003E2D55">
            <w:pPr>
              <w:spacing w:before="40" w:after="20"/>
              <w:jc w:val="right"/>
              <w:rPr>
                <w:rFonts w:cs="Arial"/>
                <w:b/>
                <w:sz w:val="18"/>
                <w:szCs w:val="18"/>
              </w:rPr>
            </w:pPr>
            <w:r w:rsidRPr="003E2D55">
              <w:rPr>
                <w:rFonts w:cs="Arial"/>
                <w:b/>
                <w:sz w:val="18"/>
                <w:szCs w:val="18"/>
              </w:rPr>
              <w:t>139,177,703</w:t>
            </w:r>
          </w:p>
        </w:tc>
        <w:tc>
          <w:tcPr>
            <w:tcW w:w="1361" w:type="dxa"/>
            <w:tcBorders>
              <w:top w:val="single" w:sz="8" w:space="0" w:color="5F497A" w:themeColor="accent4" w:themeShade="BF"/>
              <w:left w:val="nil"/>
              <w:right w:val="nil"/>
            </w:tcBorders>
            <w:shd w:val="clear" w:color="auto" w:fill="auto"/>
            <w:vAlign w:val="bottom"/>
          </w:tcPr>
          <w:p w14:paraId="29EDE50E" w14:textId="091EB973" w:rsidR="00DC5BE9" w:rsidRPr="003E2D55" w:rsidRDefault="00DC5BE9" w:rsidP="003E2D55">
            <w:pPr>
              <w:spacing w:before="40" w:after="20"/>
              <w:jc w:val="right"/>
              <w:rPr>
                <w:rFonts w:cs="Arial"/>
                <w:b/>
                <w:sz w:val="18"/>
                <w:szCs w:val="18"/>
              </w:rPr>
            </w:pPr>
            <w:r w:rsidRPr="003E2D55">
              <w:rPr>
                <w:rFonts w:cs="Arial"/>
                <w:b/>
                <w:sz w:val="18"/>
                <w:szCs w:val="18"/>
              </w:rPr>
              <w:t>56,300,694</w:t>
            </w:r>
          </w:p>
        </w:tc>
        <w:tc>
          <w:tcPr>
            <w:tcW w:w="1361" w:type="dxa"/>
            <w:tcBorders>
              <w:top w:val="single" w:sz="8" w:space="0" w:color="5F497A" w:themeColor="accent4" w:themeShade="BF"/>
              <w:left w:val="nil"/>
              <w:right w:val="nil"/>
            </w:tcBorders>
            <w:shd w:val="clear" w:color="auto" w:fill="auto"/>
            <w:vAlign w:val="bottom"/>
          </w:tcPr>
          <w:p w14:paraId="26790C66" w14:textId="7ABD17E3" w:rsidR="00DC5BE9" w:rsidRPr="003E2D55" w:rsidRDefault="00DC5BE9" w:rsidP="003E2D55">
            <w:pPr>
              <w:spacing w:before="40" w:after="20"/>
              <w:jc w:val="right"/>
              <w:rPr>
                <w:rFonts w:cs="Arial"/>
                <w:b/>
                <w:sz w:val="18"/>
                <w:szCs w:val="18"/>
              </w:rPr>
            </w:pPr>
            <w:r w:rsidRPr="003E2D55">
              <w:rPr>
                <w:rFonts w:cs="Arial"/>
                <w:b/>
                <w:sz w:val="18"/>
                <w:szCs w:val="18"/>
              </w:rPr>
              <w:t>74,649,854</w:t>
            </w:r>
          </w:p>
        </w:tc>
        <w:tc>
          <w:tcPr>
            <w:tcW w:w="1361" w:type="dxa"/>
            <w:tcBorders>
              <w:top w:val="single" w:sz="8" w:space="0" w:color="5F497A" w:themeColor="accent4" w:themeShade="BF"/>
              <w:left w:val="nil"/>
              <w:right w:val="nil"/>
            </w:tcBorders>
            <w:shd w:val="clear" w:color="auto" w:fill="auto"/>
            <w:vAlign w:val="bottom"/>
          </w:tcPr>
          <w:p w14:paraId="0CDD7562" w14:textId="434A58A0" w:rsidR="00DC5BE9" w:rsidRPr="003E2D55" w:rsidRDefault="00DC5BE9" w:rsidP="003E2D55">
            <w:pPr>
              <w:spacing w:before="40" w:after="20"/>
              <w:jc w:val="right"/>
              <w:rPr>
                <w:rFonts w:cs="Arial"/>
                <w:b/>
                <w:sz w:val="18"/>
                <w:szCs w:val="18"/>
              </w:rPr>
            </w:pPr>
            <w:r w:rsidRPr="003E2D55">
              <w:rPr>
                <w:rFonts w:cs="Arial"/>
                <w:b/>
                <w:sz w:val="18"/>
                <w:szCs w:val="18"/>
              </w:rPr>
              <w:t>38,637,241</w:t>
            </w:r>
          </w:p>
        </w:tc>
      </w:tr>
    </w:tbl>
    <w:p w14:paraId="6758B78F" w14:textId="77777777" w:rsidR="00F65645" w:rsidRPr="00A44829" w:rsidRDefault="00F65645" w:rsidP="00FF36E8">
      <w:pPr>
        <w:spacing w:before="40" w:after="20"/>
        <w:rPr>
          <w:rFonts w:cs="Arial"/>
          <w:sz w:val="18"/>
          <w:szCs w:val="18"/>
        </w:rPr>
      </w:pPr>
      <w:r w:rsidRPr="00A44829">
        <w:rPr>
          <w:rFonts w:cs="Arial"/>
          <w:sz w:val="18"/>
          <w:szCs w:val="18"/>
        </w:rPr>
        <w:br w:type="page"/>
      </w:r>
    </w:p>
    <w:p w14:paraId="5186D452" w14:textId="1C8F6D98" w:rsidR="00F65645" w:rsidRPr="00A44829" w:rsidRDefault="00F65645" w:rsidP="00C33713">
      <w:pPr>
        <w:pStyle w:val="VGC-Head10"/>
      </w:pPr>
      <w:r w:rsidRPr="00A44829">
        <w:lastRenderedPageBreak/>
        <w:t>Appendix 5</w:t>
      </w:r>
      <w:r w:rsidRPr="00A44829">
        <w:tab/>
      </w:r>
      <w:r w:rsidR="00EE4593" w:rsidRPr="00A44829">
        <w:t>2019-20</w:t>
      </w:r>
      <w:r w:rsidR="00A97ABE" w:rsidRPr="00A44829">
        <w:t xml:space="preserve"> </w:t>
      </w:r>
      <w:r w:rsidRPr="00A44829">
        <w:t xml:space="preserve">Local Roads Grants </w:t>
      </w:r>
    </w:p>
    <w:p w14:paraId="3C8C32CB" w14:textId="77777777" w:rsidR="00F65645" w:rsidRPr="00A44829" w:rsidRDefault="00A6042C" w:rsidP="008C1A28">
      <w:pPr>
        <w:pStyle w:val="VGC-Head2"/>
      </w:pPr>
      <w:r w:rsidRPr="00A44829">
        <w:t>E</w:t>
      </w:r>
      <w:r w:rsidR="00F65645" w:rsidRPr="00A44829">
        <w:t>.  Network Costs</w:t>
      </w:r>
    </w:p>
    <w:p w14:paraId="698569E3" w14:textId="77777777" w:rsidR="00734A5D" w:rsidRPr="00A44829" w:rsidRDefault="00734A5D" w:rsidP="00FF36E8">
      <w:pPr>
        <w:spacing w:before="40" w:after="20"/>
        <w:rPr>
          <w:rFonts w:cs="Arial"/>
          <w:sz w:val="18"/>
          <w:szCs w:val="18"/>
        </w:rPr>
      </w:pPr>
    </w:p>
    <w:tbl>
      <w:tblPr>
        <w:tblW w:w="9044"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32"/>
      </w:tblGrid>
      <w:tr w:rsidR="00F65645" w:rsidRPr="00A44829" w14:paraId="2AEFCA1F"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3E3C28FE" w14:textId="77777777" w:rsidR="00F65645" w:rsidRPr="00A44829" w:rsidRDefault="00F65645" w:rsidP="0038375E">
            <w:pPr>
              <w:spacing w:before="40" w:after="20"/>
              <w:jc w:val="center"/>
              <w:rPr>
                <w:rFonts w:cs="Arial"/>
                <w:sz w:val="18"/>
                <w:szCs w:val="18"/>
              </w:rPr>
            </w:pPr>
          </w:p>
        </w:tc>
        <w:tc>
          <w:tcPr>
            <w:tcW w:w="6776" w:type="dxa"/>
            <w:gridSpan w:val="5"/>
            <w:tcBorders>
              <w:left w:val="single" w:sz="18" w:space="0" w:color="5F497A" w:themeColor="accent4" w:themeShade="BF"/>
              <w:bottom w:val="single" w:sz="8" w:space="0" w:color="5F497A" w:themeColor="accent4" w:themeShade="BF"/>
              <w:right w:val="nil"/>
            </w:tcBorders>
            <w:shd w:val="clear" w:color="auto" w:fill="auto"/>
            <w:vAlign w:val="bottom"/>
          </w:tcPr>
          <w:p w14:paraId="24FD77F5" w14:textId="77777777" w:rsidR="00F65645" w:rsidRPr="00A44829" w:rsidRDefault="00F65645" w:rsidP="0038375E">
            <w:pPr>
              <w:spacing w:before="40" w:after="20"/>
              <w:jc w:val="center"/>
              <w:rPr>
                <w:rFonts w:cs="Arial"/>
                <w:b/>
                <w:sz w:val="18"/>
                <w:szCs w:val="18"/>
              </w:rPr>
            </w:pPr>
            <w:r w:rsidRPr="00A44829">
              <w:rPr>
                <w:rFonts w:cs="Arial"/>
                <w:b/>
                <w:sz w:val="18"/>
                <w:szCs w:val="18"/>
              </w:rPr>
              <w:t>Rural Local Roads (km)</w:t>
            </w:r>
          </w:p>
        </w:tc>
      </w:tr>
      <w:tr w:rsidR="00F65645" w:rsidRPr="00A44829" w14:paraId="28675519"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4C29D21D" w14:textId="77777777" w:rsidR="00F65645" w:rsidRPr="00A44829" w:rsidRDefault="00F65645" w:rsidP="0038375E">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7B6E8DFB" w14:textId="77777777" w:rsidR="00F65645" w:rsidRPr="00A44829" w:rsidRDefault="00F65645" w:rsidP="0038375E">
            <w:pPr>
              <w:spacing w:before="40" w:after="20"/>
              <w:jc w:val="center"/>
              <w:rPr>
                <w:rFonts w:cs="Arial"/>
                <w:sz w:val="16"/>
                <w:szCs w:val="16"/>
              </w:rPr>
            </w:pPr>
            <w:r w:rsidRPr="00A44829">
              <w:rPr>
                <w:rFonts w:cs="Arial"/>
                <w:sz w:val="16"/>
                <w:szCs w:val="16"/>
              </w:rPr>
              <w:t xml:space="preserve">Natural </w:t>
            </w:r>
            <w:r w:rsidR="00A61C23" w:rsidRPr="00A44829">
              <w:rPr>
                <w:rFonts w:cs="Arial"/>
                <w:sz w:val="16"/>
                <w:szCs w:val="16"/>
              </w:rPr>
              <w:br/>
            </w:r>
            <w:r w:rsidR="005D04BF" w:rsidRPr="00A44829">
              <w:rPr>
                <w:rFonts w:cs="Arial"/>
                <w:sz w:val="16"/>
                <w:szCs w:val="16"/>
              </w:rPr>
              <w:t>Surface</w:t>
            </w:r>
            <w:r w:rsidRPr="00A44829">
              <w:rPr>
                <w:rFonts w:cs="Arial"/>
                <w:sz w:val="16"/>
                <w:szCs w:val="16"/>
              </w:rPr>
              <w:t xml:space="preserve"> </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B49C227" w14:textId="77777777" w:rsidR="00F65645" w:rsidRPr="00A44829" w:rsidRDefault="00F65645" w:rsidP="0038375E">
            <w:pPr>
              <w:spacing w:before="40" w:after="20"/>
              <w:jc w:val="center"/>
              <w:rPr>
                <w:rFonts w:cs="Arial"/>
                <w:sz w:val="16"/>
                <w:szCs w:val="16"/>
              </w:rPr>
            </w:pPr>
            <w:r w:rsidRPr="00A44829">
              <w:rPr>
                <w:rFonts w:cs="Arial"/>
                <w:sz w:val="16"/>
                <w:szCs w:val="16"/>
              </w:rPr>
              <w:t>&lt;100 vpd</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37AA48A1" w14:textId="77777777" w:rsidR="00F65645" w:rsidRPr="00A44829" w:rsidRDefault="00F65645" w:rsidP="0038375E">
            <w:pPr>
              <w:spacing w:before="40" w:after="20"/>
              <w:jc w:val="center"/>
              <w:rPr>
                <w:rFonts w:cs="Arial"/>
                <w:sz w:val="16"/>
                <w:szCs w:val="16"/>
              </w:rPr>
            </w:pPr>
            <w:r w:rsidRPr="00A44829">
              <w:rPr>
                <w:rFonts w:cs="Arial"/>
                <w:sz w:val="16"/>
                <w:szCs w:val="16"/>
              </w:rPr>
              <w:t xml:space="preserve">100 to </w:t>
            </w:r>
            <w:r w:rsidR="00A61C23" w:rsidRPr="00A44829">
              <w:rPr>
                <w:rFonts w:cs="Arial"/>
                <w:sz w:val="16"/>
                <w:szCs w:val="16"/>
              </w:rPr>
              <w:br/>
            </w:r>
            <w:r w:rsidRPr="00A44829">
              <w:rPr>
                <w:rFonts w:cs="Arial"/>
                <w:sz w:val="16"/>
                <w:szCs w:val="16"/>
              </w:rPr>
              <w:t>&lt;500</w:t>
            </w:r>
            <w:r w:rsidR="00A61C23" w:rsidRPr="00A44829">
              <w:rPr>
                <w:rFonts w:cs="Arial"/>
                <w:sz w:val="16"/>
                <w:szCs w:val="16"/>
              </w:rPr>
              <w:t xml:space="preserve"> </w:t>
            </w:r>
            <w:r w:rsidRPr="00A44829">
              <w:rPr>
                <w:rFonts w:cs="Arial"/>
                <w:sz w:val="16"/>
                <w:szCs w:val="16"/>
              </w:rPr>
              <w:t>vpd</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1AB12900" w14:textId="77777777" w:rsidR="00F65645" w:rsidRPr="00A44829" w:rsidRDefault="00F65645" w:rsidP="0038375E">
            <w:pPr>
              <w:spacing w:before="40" w:after="20"/>
              <w:jc w:val="center"/>
              <w:rPr>
                <w:rFonts w:cs="Arial"/>
                <w:sz w:val="16"/>
                <w:szCs w:val="16"/>
              </w:rPr>
            </w:pPr>
            <w:r w:rsidRPr="00A44829">
              <w:rPr>
                <w:rFonts w:cs="Arial"/>
                <w:sz w:val="16"/>
                <w:szCs w:val="16"/>
              </w:rPr>
              <w:t xml:space="preserve">500 to </w:t>
            </w:r>
            <w:r w:rsidR="00A61C23" w:rsidRPr="00A44829">
              <w:rPr>
                <w:rFonts w:cs="Arial"/>
                <w:sz w:val="16"/>
                <w:szCs w:val="16"/>
              </w:rPr>
              <w:br/>
            </w:r>
            <w:r w:rsidRPr="00A44829">
              <w:rPr>
                <w:rFonts w:cs="Arial"/>
                <w:sz w:val="16"/>
                <w:szCs w:val="16"/>
              </w:rPr>
              <w:t>&lt;1000 vpd</w:t>
            </w:r>
          </w:p>
        </w:tc>
        <w:tc>
          <w:tcPr>
            <w:tcW w:w="1332"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197E96AE" w14:textId="77777777" w:rsidR="00F65645" w:rsidRPr="00A44829" w:rsidRDefault="00F65645" w:rsidP="0038375E">
            <w:pPr>
              <w:spacing w:before="40" w:after="20"/>
              <w:jc w:val="center"/>
              <w:rPr>
                <w:rFonts w:cs="Arial"/>
                <w:sz w:val="16"/>
                <w:szCs w:val="16"/>
              </w:rPr>
            </w:pPr>
            <w:r w:rsidRPr="00A44829">
              <w:rPr>
                <w:rFonts w:cs="Arial"/>
                <w:sz w:val="16"/>
                <w:szCs w:val="16"/>
              </w:rPr>
              <w:t>&gt;1000 vpd</w:t>
            </w:r>
          </w:p>
        </w:tc>
      </w:tr>
      <w:tr w:rsidR="00DC5BE9" w:rsidRPr="003E2D55" w14:paraId="2390E1C9" w14:textId="77777777" w:rsidTr="00B44BBE">
        <w:trPr>
          <w:trHeight w:val="20"/>
          <w:tblHeader/>
        </w:trPr>
        <w:tc>
          <w:tcPr>
            <w:tcW w:w="2268" w:type="dxa"/>
            <w:tcBorders>
              <w:left w:val="nil"/>
              <w:bottom w:val="nil"/>
              <w:right w:val="single" w:sz="18" w:space="0" w:color="5F497A" w:themeColor="accent4" w:themeShade="BF"/>
            </w:tcBorders>
            <w:shd w:val="clear" w:color="auto" w:fill="auto"/>
            <w:vAlign w:val="center"/>
          </w:tcPr>
          <w:p w14:paraId="1F38694A" w14:textId="77777777" w:rsidR="00DC5BE9" w:rsidRPr="003E2D55" w:rsidRDefault="00DC5BE9" w:rsidP="003E2D55">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22C011E" w14:textId="00953254" w:rsidR="00DC5BE9" w:rsidRPr="003E2D55" w:rsidRDefault="00DC5BE9" w:rsidP="003E2D55">
            <w:pPr>
              <w:spacing w:before="40" w:after="20"/>
              <w:jc w:val="right"/>
              <w:rPr>
                <w:rFonts w:cs="Arial"/>
                <w:sz w:val="18"/>
                <w:szCs w:val="18"/>
              </w:rPr>
            </w:pPr>
            <w:r w:rsidRPr="003E2D55">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7D33AF71" w14:textId="77777777" w:rsidR="00DC5BE9" w:rsidRPr="003E2D55" w:rsidRDefault="00DC5BE9" w:rsidP="003E2D55">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42DE7032" w14:textId="77777777" w:rsidR="00DC5BE9" w:rsidRPr="003E2D55" w:rsidRDefault="00DC5BE9" w:rsidP="003E2D55">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6A83089A" w14:textId="77777777" w:rsidR="00DC5BE9" w:rsidRPr="003E2D55" w:rsidRDefault="00DC5BE9" w:rsidP="003E2D55">
            <w:pPr>
              <w:spacing w:before="40" w:after="20"/>
              <w:jc w:val="right"/>
              <w:rPr>
                <w:rFonts w:cs="Arial"/>
                <w:sz w:val="18"/>
                <w:szCs w:val="18"/>
              </w:rPr>
            </w:pPr>
          </w:p>
        </w:tc>
        <w:tc>
          <w:tcPr>
            <w:tcW w:w="1332" w:type="dxa"/>
            <w:tcBorders>
              <w:top w:val="single" w:sz="8" w:space="0" w:color="5F497A" w:themeColor="accent4" w:themeShade="BF"/>
              <w:left w:val="nil"/>
              <w:bottom w:val="nil"/>
              <w:right w:val="nil"/>
            </w:tcBorders>
            <w:shd w:val="clear" w:color="auto" w:fill="auto"/>
            <w:vAlign w:val="bottom"/>
          </w:tcPr>
          <w:p w14:paraId="3FEDDF00" w14:textId="1F0714C6" w:rsidR="00DC5BE9" w:rsidRPr="003E2D55" w:rsidRDefault="00DC5BE9" w:rsidP="003E2D55">
            <w:pPr>
              <w:spacing w:before="40" w:after="20"/>
              <w:jc w:val="right"/>
              <w:rPr>
                <w:rFonts w:cs="Arial"/>
                <w:sz w:val="18"/>
                <w:szCs w:val="18"/>
              </w:rPr>
            </w:pPr>
            <w:r w:rsidRPr="003E2D55">
              <w:rPr>
                <w:rFonts w:cs="Arial"/>
                <w:sz w:val="18"/>
                <w:szCs w:val="18"/>
              </w:rPr>
              <w:t> </w:t>
            </w:r>
          </w:p>
        </w:tc>
      </w:tr>
      <w:tr w:rsidR="00DC5BE9" w:rsidRPr="003E2D55" w14:paraId="2D8338F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832AD3F" w14:textId="77777777" w:rsidR="00DC5BE9" w:rsidRPr="003E2D55" w:rsidRDefault="00DC5BE9" w:rsidP="003E2D55">
            <w:pPr>
              <w:spacing w:before="40" w:after="20"/>
              <w:rPr>
                <w:rFonts w:cs="Arial"/>
                <w:sz w:val="18"/>
                <w:szCs w:val="18"/>
              </w:rPr>
            </w:pPr>
            <w:r w:rsidRPr="003E2D55">
              <w:rPr>
                <w:rFonts w:cs="Arial"/>
                <w:sz w:val="18"/>
                <w:szCs w:val="18"/>
              </w:rPr>
              <w:t>Macedon Ranges S</w:t>
            </w:r>
          </w:p>
        </w:tc>
        <w:tc>
          <w:tcPr>
            <w:tcW w:w="1361" w:type="dxa"/>
            <w:tcBorders>
              <w:top w:val="nil"/>
              <w:left w:val="single" w:sz="18" w:space="0" w:color="5F497A" w:themeColor="accent4" w:themeShade="BF"/>
              <w:bottom w:val="nil"/>
              <w:right w:val="nil"/>
            </w:tcBorders>
            <w:shd w:val="clear" w:color="auto" w:fill="auto"/>
            <w:vAlign w:val="bottom"/>
          </w:tcPr>
          <w:p w14:paraId="1B2CF978" w14:textId="6DB4B7C9" w:rsidR="00DC5BE9" w:rsidRPr="003E2D55" w:rsidRDefault="00DC5BE9" w:rsidP="003E2D55">
            <w:pPr>
              <w:spacing w:before="40" w:after="20"/>
              <w:jc w:val="right"/>
              <w:rPr>
                <w:rFonts w:cs="Arial"/>
                <w:sz w:val="18"/>
                <w:szCs w:val="18"/>
              </w:rPr>
            </w:pPr>
            <w:r w:rsidRPr="003E2D55">
              <w:rPr>
                <w:rFonts w:cs="Arial"/>
                <w:sz w:val="18"/>
                <w:szCs w:val="18"/>
              </w:rPr>
              <w:t>31,403</w:t>
            </w:r>
          </w:p>
        </w:tc>
        <w:tc>
          <w:tcPr>
            <w:tcW w:w="1361" w:type="dxa"/>
            <w:tcBorders>
              <w:top w:val="nil"/>
              <w:left w:val="nil"/>
              <w:bottom w:val="nil"/>
              <w:right w:val="nil"/>
            </w:tcBorders>
            <w:shd w:val="clear" w:color="auto" w:fill="auto"/>
            <w:vAlign w:val="bottom"/>
          </w:tcPr>
          <w:p w14:paraId="276B312F" w14:textId="48FB7B47" w:rsidR="00DC5BE9" w:rsidRPr="003E2D55" w:rsidRDefault="00DC5BE9" w:rsidP="003E2D55">
            <w:pPr>
              <w:spacing w:before="40" w:after="20"/>
              <w:jc w:val="right"/>
              <w:rPr>
                <w:rFonts w:cs="Arial"/>
                <w:sz w:val="18"/>
                <w:szCs w:val="18"/>
              </w:rPr>
            </w:pPr>
            <w:r w:rsidRPr="003E2D55">
              <w:rPr>
                <w:rFonts w:cs="Arial"/>
                <w:sz w:val="18"/>
                <w:szCs w:val="18"/>
              </w:rPr>
              <w:t>2,205,546</w:t>
            </w:r>
          </w:p>
        </w:tc>
        <w:tc>
          <w:tcPr>
            <w:tcW w:w="1361" w:type="dxa"/>
            <w:tcBorders>
              <w:top w:val="nil"/>
              <w:left w:val="nil"/>
              <w:bottom w:val="nil"/>
              <w:right w:val="nil"/>
            </w:tcBorders>
            <w:shd w:val="clear" w:color="auto" w:fill="auto"/>
            <w:vAlign w:val="bottom"/>
          </w:tcPr>
          <w:p w14:paraId="564AA194" w14:textId="72B523F0" w:rsidR="00DC5BE9" w:rsidRPr="003E2D55" w:rsidRDefault="00DC5BE9" w:rsidP="003E2D55">
            <w:pPr>
              <w:spacing w:before="40" w:after="20"/>
              <w:jc w:val="right"/>
              <w:rPr>
                <w:rFonts w:cs="Arial"/>
                <w:sz w:val="18"/>
                <w:szCs w:val="18"/>
              </w:rPr>
            </w:pPr>
            <w:r w:rsidRPr="003E2D55">
              <w:rPr>
                <w:rFonts w:cs="Arial"/>
                <w:sz w:val="18"/>
                <w:szCs w:val="18"/>
              </w:rPr>
              <w:t>5,225,316</w:t>
            </w:r>
          </w:p>
        </w:tc>
        <w:tc>
          <w:tcPr>
            <w:tcW w:w="1361" w:type="dxa"/>
            <w:tcBorders>
              <w:top w:val="nil"/>
              <w:left w:val="nil"/>
              <w:bottom w:val="nil"/>
              <w:right w:val="nil"/>
            </w:tcBorders>
            <w:shd w:val="clear" w:color="auto" w:fill="auto"/>
            <w:vAlign w:val="bottom"/>
          </w:tcPr>
          <w:p w14:paraId="08258BE0" w14:textId="2A30A387" w:rsidR="00DC5BE9" w:rsidRPr="003E2D55" w:rsidRDefault="00DC5BE9" w:rsidP="003E2D55">
            <w:pPr>
              <w:spacing w:before="40" w:after="20"/>
              <w:jc w:val="right"/>
              <w:rPr>
                <w:rFonts w:cs="Arial"/>
                <w:sz w:val="18"/>
                <w:szCs w:val="18"/>
              </w:rPr>
            </w:pPr>
            <w:r w:rsidRPr="003E2D55">
              <w:rPr>
                <w:rFonts w:cs="Arial"/>
                <w:sz w:val="18"/>
                <w:szCs w:val="18"/>
              </w:rPr>
              <w:t>1,719,741</w:t>
            </w:r>
          </w:p>
        </w:tc>
        <w:tc>
          <w:tcPr>
            <w:tcW w:w="1332" w:type="dxa"/>
            <w:tcBorders>
              <w:top w:val="nil"/>
              <w:left w:val="nil"/>
              <w:bottom w:val="nil"/>
              <w:right w:val="nil"/>
            </w:tcBorders>
            <w:shd w:val="clear" w:color="auto" w:fill="auto"/>
            <w:vAlign w:val="bottom"/>
          </w:tcPr>
          <w:p w14:paraId="2373D370" w14:textId="26FE36E7" w:rsidR="00DC5BE9" w:rsidRPr="003E2D55" w:rsidRDefault="00DC5BE9" w:rsidP="003E2D55">
            <w:pPr>
              <w:spacing w:before="40" w:after="20"/>
              <w:jc w:val="right"/>
              <w:rPr>
                <w:rFonts w:cs="Arial"/>
                <w:sz w:val="18"/>
                <w:szCs w:val="18"/>
              </w:rPr>
            </w:pPr>
            <w:r w:rsidRPr="003E2D55">
              <w:rPr>
                <w:rFonts w:cs="Arial"/>
                <w:sz w:val="18"/>
                <w:szCs w:val="18"/>
              </w:rPr>
              <w:t>650,380</w:t>
            </w:r>
          </w:p>
        </w:tc>
      </w:tr>
      <w:tr w:rsidR="00DC5BE9" w:rsidRPr="003E2D55" w14:paraId="2F60765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E2D4E4C" w14:textId="77777777" w:rsidR="00DC5BE9" w:rsidRPr="003E2D55" w:rsidRDefault="00DC5BE9" w:rsidP="003E2D55">
            <w:pPr>
              <w:spacing w:before="40" w:after="20"/>
              <w:rPr>
                <w:rFonts w:cs="Arial"/>
                <w:sz w:val="18"/>
                <w:szCs w:val="18"/>
              </w:rPr>
            </w:pPr>
            <w:r w:rsidRPr="003E2D55">
              <w:rPr>
                <w:rFonts w:cs="Arial"/>
                <w:sz w:val="18"/>
                <w:szCs w:val="18"/>
              </w:rPr>
              <w:t>Manningham C</w:t>
            </w:r>
          </w:p>
        </w:tc>
        <w:tc>
          <w:tcPr>
            <w:tcW w:w="1361" w:type="dxa"/>
            <w:tcBorders>
              <w:top w:val="nil"/>
              <w:left w:val="single" w:sz="18" w:space="0" w:color="5F497A" w:themeColor="accent4" w:themeShade="BF"/>
              <w:bottom w:val="nil"/>
              <w:right w:val="nil"/>
            </w:tcBorders>
            <w:shd w:val="clear" w:color="auto" w:fill="auto"/>
            <w:vAlign w:val="bottom"/>
          </w:tcPr>
          <w:p w14:paraId="4B218908" w14:textId="018D12FD"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6092E66C" w14:textId="1C1E29F0" w:rsidR="00DC5BE9" w:rsidRPr="003E2D55" w:rsidRDefault="00DC5BE9" w:rsidP="003E2D55">
            <w:pPr>
              <w:spacing w:before="40" w:after="20"/>
              <w:jc w:val="right"/>
              <w:rPr>
                <w:rFonts w:cs="Arial"/>
                <w:sz w:val="18"/>
                <w:szCs w:val="18"/>
              </w:rPr>
            </w:pPr>
            <w:r w:rsidRPr="003E2D55">
              <w:rPr>
                <w:rFonts w:cs="Arial"/>
                <w:sz w:val="18"/>
                <w:szCs w:val="18"/>
              </w:rPr>
              <w:t>238,964</w:t>
            </w:r>
          </w:p>
        </w:tc>
        <w:tc>
          <w:tcPr>
            <w:tcW w:w="1361" w:type="dxa"/>
            <w:tcBorders>
              <w:top w:val="nil"/>
              <w:left w:val="nil"/>
              <w:bottom w:val="nil"/>
              <w:right w:val="nil"/>
            </w:tcBorders>
            <w:shd w:val="clear" w:color="auto" w:fill="auto"/>
            <w:vAlign w:val="bottom"/>
          </w:tcPr>
          <w:p w14:paraId="7E9EBA5C" w14:textId="4C3B8E3E" w:rsidR="00DC5BE9" w:rsidRPr="003E2D55" w:rsidRDefault="00DC5BE9" w:rsidP="003E2D55">
            <w:pPr>
              <w:spacing w:before="40" w:after="20"/>
              <w:jc w:val="right"/>
              <w:rPr>
                <w:rFonts w:cs="Arial"/>
                <w:sz w:val="18"/>
                <w:szCs w:val="18"/>
              </w:rPr>
            </w:pPr>
            <w:r w:rsidRPr="003E2D55">
              <w:rPr>
                <w:rFonts w:cs="Arial"/>
                <w:sz w:val="18"/>
                <w:szCs w:val="18"/>
              </w:rPr>
              <w:t>681,006</w:t>
            </w:r>
          </w:p>
        </w:tc>
        <w:tc>
          <w:tcPr>
            <w:tcW w:w="1361" w:type="dxa"/>
            <w:tcBorders>
              <w:top w:val="nil"/>
              <w:left w:val="nil"/>
              <w:bottom w:val="nil"/>
              <w:right w:val="nil"/>
            </w:tcBorders>
            <w:shd w:val="clear" w:color="auto" w:fill="auto"/>
            <w:vAlign w:val="bottom"/>
          </w:tcPr>
          <w:p w14:paraId="2A6068AA" w14:textId="23CCAC64" w:rsidR="00DC5BE9" w:rsidRPr="003E2D55" w:rsidRDefault="00DC5BE9" w:rsidP="003E2D55">
            <w:pPr>
              <w:spacing w:before="40" w:after="20"/>
              <w:jc w:val="right"/>
              <w:rPr>
                <w:rFonts w:cs="Arial"/>
                <w:sz w:val="18"/>
                <w:szCs w:val="18"/>
              </w:rPr>
            </w:pPr>
            <w:r w:rsidRPr="003E2D55">
              <w:rPr>
                <w:rFonts w:cs="Arial"/>
                <w:sz w:val="18"/>
                <w:szCs w:val="18"/>
              </w:rPr>
              <w:t>138,106</w:t>
            </w:r>
          </w:p>
        </w:tc>
        <w:tc>
          <w:tcPr>
            <w:tcW w:w="1332" w:type="dxa"/>
            <w:tcBorders>
              <w:top w:val="nil"/>
              <w:left w:val="nil"/>
              <w:bottom w:val="nil"/>
              <w:right w:val="nil"/>
            </w:tcBorders>
            <w:shd w:val="clear" w:color="auto" w:fill="auto"/>
            <w:vAlign w:val="bottom"/>
          </w:tcPr>
          <w:p w14:paraId="4F9C045E" w14:textId="7DFE3B9C" w:rsidR="00DC5BE9" w:rsidRPr="003E2D55" w:rsidRDefault="00DC5BE9" w:rsidP="003E2D55">
            <w:pPr>
              <w:spacing w:before="40" w:after="20"/>
              <w:jc w:val="right"/>
              <w:rPr>
                <w:rFonts w:cs="Arial"/>
                <w:sz w:val="18"/>
                <w:szCs w:val="18"/>
              </w:rPr>
            </w:pPr>
            <w:r w:rsidRPr="003E2D55">
              <w:rPr>
                <w:rFonts w:cs="Arial"/>
                <w:sz w:val="18"/>
                <w:szCs w:val="18"/>
              </w:rPr>
              <w:t>314,310</w:t>
            </w:r>
          </w:p>
        </w:tc>
      </w:tr>
      <w:tr w:rsidR="00DC5BE9" w:rsidRPr="003E2D55" w14:paraId="5533F27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2A8F2E6" w14:textId="77777777" w:rsidR="00DC5BE9" w:rsidRPr="003E2D55" w:rsidRDefault="00DC5BE9" w:rsidP="003E2D55">
            <w:pPr>
              <w:spacing w:before="40" w:after="20"/>
              <w:rPr>
                <w:rFonts w:cs="Arial"/>
                <w:sz w:val="18"/>
                <w:szCs w:val="18"/>
              </w:rPr>
            </w:pPr>
            <w:r w:rsidRPr="003E2D55">
              <w:rPr>
                <w:rFonts w:cs="Arial"/>
                <w:sz w:val="18"/>
                <w:szCs w:val="18"/>
              </w:rPr>
              <w:t>Mansfield S</w:t>
            </w:r>
          </w:p>
        </w:tc>
        <w:tc>
          <w:tcPr>
            <w:tcW w:w="1361" w:type="dxa"/>
            <w:tcBorders>
              <w:top w:val="nil"/>
              <w:left w:val="single" w:sz="18" w:space="0" w:color="5F497A" w:themeColor="accent4" w:themeShade="BF"/>
              <w:bottom w:val="nil"/>
              <w:right w:val="nil"/>
            </w:tcBorders>
            <w:shd w:val="clear" w:color="auto" w:fill="auto"/>
            <w:vAlign w:val="bottom"/>
          </w:tcPr>
          <w:p w14:paraId="467B2EBB" w14:textId="1D41D439" w:rsidR="00DC5BE9" w:rsidRPr="003E2D55" w:rsidRDefault="00DC5BE9" w:rsidP="003E2D55">
            <w:pPr>
              <w:spacing w:before="40" w:after="20"/>
              <w:jc w:val="right"/>
              <w:rPr>
                <w:rFonts w:cs="Arial"/>
                <w:sz w:val="18"/>
                <w:szCs w:val="18"/>
              </w:rPr>
            </w:pPr>
            <w:r w:rsidRPr="003E2D55">
              <w:rPr>
                <w:rFonts w:cs="Arial"/>
                <w:sz w:val="18"/>
                <w:szCs w:val="18"/>
              </w:rPr>
              <w:t>26,031</w:t>
            </w:r>
          </w:p>
        </w:tc>
        <w:tc>
          <w:tcPr>
            <w:tcW w:w="1361" w:type="dxa"/>
            <w:tcBorders>
              <w:top w:val="nil"/>
              <w:left w:val="nil"/>
              <w:bottom w:val="nil"/>
              <w:right w:val="nil"/>
            </w:tcBorders>
            <w:shd w:val="clear" w:color="auto" w:fill="auto"/>
            <w:vAlign w:val="bottom"/>
          </w:tcPr>
          <w:p w14:paraId="7EBC9937" w14:textId="01774EA0" w:rsidR="00DC5BE9" w:rsidRPr="003E2D55" w:rsidRDefault="00DC5BE9" w:rsidP="003E2D55">
            <w:pPr>
              <w:spacing w:before="40" w:after="20"/>
              <w:jc w:val="right"/>
              <w:rPr>
                <w:rFonts w:cs="Arial"/>
                <w:sz w:val="18"/>
                <w:szCs w:val="18"/>
              </w:rPr>
            </w:pPr>
            <w:r w:rsidRPr="003E2D55">
              <w:rPr>
                <w:rFonts w:cs="Arial"/>
                <w:sz w:val="18"/>
                <w:szCs w:val="18"/>
              </w:rPr>
              <w:t>2,512,491</w:t>
            </w:r>
          </w:p>
        </w:tc>
        <w:tc>
          <w:tcPr>
            <w:tcW w:w="1361" w:type="dxa"/>
            <w:tcBorders>
              <w:top w:val="nil"/>
              <w:left w:val="nil"/>
              <w:bottom w:val="nil"/>
              <w:right w:val="nil"/>
            </w:tcBorders>
            <w:shd w:val="clear" w:color="auto" w:fill="auto"/>
            <w:vAlign w:val="bottom"/>
          </w:tcPr>
          <w:p w14:paraId="244ED8A8" w14:textId="59100147" w:rsidR="00DC5BE9" w:rsidRPr="003E2D55" w:rsidRDefault="00DC5BE9" w:rsidP="003E2D55">
            <w:pPr>
              <w:spacing w:before="40" w:after="20"/>
              <w:jc w:val="right"/>
              <w:rPr>
                <w:rFonts w:cs="Arial"/>
                <w:sz w:val="18"/>
                <w:szCs w:val="18"/>
              </w:rPr>
            </w:pPr>
            <w:r w:rsidRPr="003E2D55">
              <w:rPr>
                <w:rFonts w:cs="Arial"/>
                <w:sz w:val="18"/>
                <w:szCs w:val="18"/>
              </w:rPr>
              <w:t>1,320,958</w:t>
            </w:r>
          </w:p>
        </w:tc>
        <w:tc>
          <w:tcPr>
            <w:tcW w:w="1361" w:type="dxa"/>
            <w:tcBorders>
              <w:top w:val="nil"/>
              <w:left w:val="nil"/>
              <w:bottom w:val="nil"/>
              <w:right w:val="nil"/>
            </w:tcBorders>
            <w:shd w:val="clear" w:color="auto" w:fill="auto"/>
            <w:vAlign w:val="bottom"/>
          </w:tcPr>
          <w:p w14:paraId="7FDA5A4D" w14:textId="560DE0A0" w:rsidR="00DC5BE9" w:rsidRPr="003E2D55" w:rsidRDefault="00DC5BE9" w:rsidP="003E2D55">
            <w:pPr>
              <w:spacing w:before="40" w:after="20"/>
              <w:jc w:val="right"/>
              <w:rPr>
                <w:rFonts w:cs="Arial"/>
                <w:sz w:val="18"/>
                <w:szCs w:val="18"/>
              </w:rPr>
            </w:pPr>
            <w:r w:rsidRPr="003E2D55">
              <w:rPr>
                <w:rFonts w:cs="Arial"/>
                <w:sz w:val="18"/>
                <w:szCs w:val="18"/>
              </w:rPr>
              <w:t>191,002</w:t>
            </w:r>
          </w:p>
        </w:tc>
        <w:tc>
          <w:tcPr>
            <w:tcW w:w="1332" w:type="dxa"/>
            <w:tcBorders>
              <w:top w:val="nil"/>
              <w:left w:val="nil"/>
              <w:bottom w:val="nil"/>
              <w:right w:val="nil"/>
            </w:tcBorders>
            <w:shd w:val="clear" w:color="auto" w:fill="auto"/>
            <w:vAlign w:val="bottom"/>
          </w:tcPr>
          <w:p w14:paraId="76C741CB" w14:textId="6D6F4BA4" w:rsidR="00DC5BE9" w:rsidRPr="003E2D55" w:rsidRDefault="00DC5BE9" w:rsidP="003E2D55">
            <w:pPr>
              <w:spacing w:before="40" w:after="20"/>
              <w:jc w:val="right"/>
              <w:rPr>
                <w:rFonts w:cs="Arial"/>
                <w:sz w:val="18"/>
                <w:szCs w:val="18"/>
              </w:rPr>
            </w:pPr>
            <w:r w:rsidRPr="003E2D55">
              <w:rPr>
                <w:rFonts w:cs="Arial"/>
                <w:sz w:val="18"/>
                <w:szCs w:val="18"/>
              </w:rPr>
              <w:t>119,180</w:t>
            </w:r>
          </w:p>
        </w:tc>
      </w:tr>
      <w:tr w:rsidR="00DC5BE9" w:rsidRPr="003E2D55" w14:paraId="4F2E01B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4E9CAD2" w14:textId="77777777" w:rsidR="00DC5BE9" w:rsidRPr="003E2D55" w:rsidRDefault="00DC5BE9" w:rsidP="003E2D55">
            <w:pPr>
              <w:spacing w:before="40" w:after="20"/>
              <w:rPr>
                <w:rFonts w:cs="Arial"/>
                <w:sz w:val="18"/>
                <w:szCs w:val="18"/>
              </w:rPr>
            </w:pPr>
            <w:r w:rsidRPr="003E2D55">
              <w:rPr>
                <w:rFonts w:cs="Arial"/>
                <w:sz w:val="18"/>
                <w:szCs w:val="18"/>
              </w:rPr>
              <w:t>Maribyrnong C</w:t>
            </w:r>
          </w:p>
        </w:tc>
        <w:tc>
          <w:tcPr>
            <w:tcW w:w="1361" w:type="dxa"/>
            <w:tcBorders>
              <w:top w:val="nil"/>
              <w:left w:val="single" w:sz="18" w:space="0" w:color="5F497A" w:themeColor="accent4" w:themeShade="BF"/>
              <w:bottom w:val="nil"/>
              <w:right w:val="nil"/>
            </w:tcBorders>
            <w:shd w:val="clear" w:color="auto" w:fill="auto"/>
            <w:vAlign w:val="bottom"/>
          </w:tcPr>
          <w:p w14:paraId="5816C356" w14:textId="61B5B389"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7C50AD67" w14:textId="12B56A69"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3E194F97" w14:textId="54BFF73D"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6C0F2167" w14:textId="637CC8BB" w:rsidR="00DC5BE9" w:rsidRPr="003E2D55" w:rsidRDefault="00DC5BE9" w:rsidP="003E2D55">
            <w:pPr>
              <w:spacing w:before="40" w:after="20"/>
              <w:jc w:val="right"/>
              <w:rPr>
                <w:rFonts w:cs="Arial"/>
                <w:sz w:val="18"/>
                <w:szCs w:val="18"/>
              </w:rPr>
            </w:pPr>
            <w:r w:rsidRPr="003E2D55">
              <w:rPr>
                <w:rFonts w:cs="Arial"/>
                <w:sz w:val="18"/>
                <w:szCs w:val="18"/>
              </w:rPr>
              <w:t>0</w:t>
            </w:r>
          </w:p>
        </w:tc>
        <w:tc>
          <w:tcPr>
            <w:tcW w:w="1332" w:type="dxa"/>
            <w:tcBorders>
              <w:top w:val="nil"/>
              <w:left w:val="nil"/>
              <w:bottom w:val="nil"/>
              <w:right w:val="nil"/>
            </w:tcBorders>
            <w:shd w:val="clear" w:color="auto" w:fill="auto"/>
            <w:vAlign w:val="bottom"/>
          </w:tcPr>
          <w:p w14:paraId="1B816C8C" w14:textId="452DAB83"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5E661A5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3048E91" w14:textId="77777777" w:rsidR="00DC5BE9" w:rsidRPr="003E2D55" w:rsidRDefault="00DC5BE9" w:rsidP="003E2D55">
            <w:pPr>
              <w:spacing w:before="40" w:after="20"/>
              <w:rPr>
                <w:rFonts w:cs="Arial"/>
                <w:sz w:val="18"/>
                <w:szCs w:val="18"/>
              </w:rPr>
            </w:pPr>
            <w:r w:rsidRPr="003E2D55">
              <w:rPr>
                <w:rFonts w:cs="Arial"/>
                <w:sz w:val="18"/>
                <w:szCs w:val="18"/>
              </w:rPr>
              <w:t>Maroondah C</w:t>
            </w:r>
          </w:p>
        </w:tc>
        <w:tc>
          <w:tcPr>
            <w:tcW w:w="1361" w:type="dxa"/>
            <w:tcBorders>
              <w:top w:val="nil"/>
              <w:left w:val="single" w:sz="18" w:space="0" w:color="5F497A" w:themeColor="accent4" w:themeShade="BF"/>
              <w:bottom w:val="nil"/>
              <w:right w:val="nil"/>
            </w:tcBorders>
            <w:shd w:val="clear" w:color="auto" w:fill="auto"/>
            <w:vAlign w:val="bottom"/>
          </w:tcPr>
          <w:p w14:paraId="50DE1649" w14:textId="0419AAEB"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7309BE8A" w14:textId="67BEA32E"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57DFB409" w14:textId="17870331"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3C0A9982" w14:textId="31921C5C" w:rsidR="00DC5BE9" w:rsidRPr="003E2D55" w:rsidRDefault="00DC5BE9" w:rsidP="003E2D55">
            <w:pPr>
              <w:spacing w:before="40" w:after="20"/>
              <w:jc w:val="right"/>
              <w:rPr>
                <w:rFonts w:cs="Arial"/>
                <w:sz w:val="18"/>
                <w:szCs w:val="18"/>
              </w:rPr>
            </w:pPr>
            <w:r w:rsidRPr="003E2D55">
              <w:rPr>
                <w:rFonts w:cs="Arial"/>
                <w:sz w:val="18"/>
                <w:szCs w:val="18"/>
              </w:rPr>
              <w:t>0</w:t>
            </w:r>
          </w:p>
        </w:tc>
        <w:tc>
          <w:tcPr>
            <w:tcW w:w="1332" w:type="dxa"/>
            <w:tcBorders>
              <w:top w:val="nil"/>
              <w:left w:val="nil"/>
              <w:bottom w:val="nil"/>
              <w:right w:val="nil"/>
            </w:tcBorders>
            <w:shd w:val="clear" w:color="auto" w:fill="auto"/>
            <w:vAlign w:val="bottom"/>
          </w:tcPr>
          <w:p w14:paraId="7DAFDAB4" w14:textId="4D56B9AE"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4EC50CB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E0E15B7" w14:textId="77777777" w:rsidR="00DC5BE9" w:rsidRPr="003E2D55" w:rsidRDefault="00DC5BE9" w:rsidP="003E2D55">
            <w:pPr>
              <w:spacing w:before="40" w:after="20"/>
              <w:rPr>
                <w:rFonts w:cs="Arial"/>
                <w:sz w:val="18"/>
                <w:szCs w:val="18"/>
              </w:rPr>
            </w:pPr>
            <w:r w:rsidRPr="003E2D55">
              <w:rPr>
                <w:rFonts w:cs="Arial"/>
                <w:sz w:val="18"/>
                <w:szCs w:val="18"/>
              </w:rPr>
              <w:t>Melbourne C</w:t>
            </w:r>
          </w:p>
        </w:tc>
        <w:tc>
          <w:tcPr>
            <w:tcW w:w="1361" w:type="dxa"/>
            <w:tcBorders>
              <w:top w:val="nil"/>
              <w:left w:val="single" w:sz="18" w:space="0" w:color="5F497A" w:themeColor="accent4" w:themeShade="BF"/>
              <w:bottom w:val="nil"/>
              <w:right w:val="nil"/>
            </w:tcBorders>
            <w:shd w:val="clear" w:color="auto" w:fill="auto"/>
            <w:vAlign w:val="bottom"/>
          </w:tcPr>
          <w:p w14:paraId="4D63BC3C" w14:textId="131E3443"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063930D4" w14:textId="08C79EF9"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5B12DF20" w14:textId="6D2A6582"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7E06AB9C" w14:textId="0E852F21" w:rsidR="00DC5BE9" w:rsidRPr="003E2D55" w:rsidRDefault="00DC5BE9" w:rsidP="003E2D55">
            <w:pPr>
              <w:spacing w:before="40" w:after="20"/>
              <w:jc w:val="right"/>
              <w:rPr>
                <w:rFonts w:cs="Arial"/>
                <w:sz w:val="18"/>
                <w:szCs w:val="18"/>
              </w:rPr>
            </w:pPr>
            <w:r w:rsidRPr="003E2D55">
              <w:rPr>
                <w:rFonts w:cs="Arial"/>
                <w:sz w:val="18"/>
                <w:szCs w:val="18"/>
              </w:rPr>
              <w:t>0</w:t>
            </w:r>
          </w:p>
        </w:tc>
        <w:tc>
          <w:tcPr>
            <w:tcW w:w="1332" w:type="dxa"/>
            <w:tcBorders>
              <w:top w:val="nil"/>
              <w:left w:val="nil"/>
              <w:bottom w:val="nil"/>
              <w:right w:val="nil"/>
            </w:tcBorders>
            <w:shd w:val="clear" w:color="auto" w:fill="auto"/>
            <w:vAlign w:val="bottom"/>
          </w:tcPr>
          <w:p w14:paraId="60F26978" w14:textId="266DC50E"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297581F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885A670" w14:textId="77777777" w:rsidR="00DC5BE9" w:rsidRPr="003E2D55" w:rsidRDefault="00DC5BE9" w:rsidP="003E2D55">
            <w:pPr>
              <w:spacing w:before="40" w:after="20"/>
              <w:rPr>
                <w:rFonts w:cs="Arial"/>
                <w:sz w:val="18"/>
                <w:szCs w:val="18"/>
              </w:rPr>
            </w:pPr>
            <w:r w:rsidRPr="003E2D55">
              <w:rPr>
                <w:rFonts w:cs="Arial"/>
                <w:sz w:val="18"/>
                <w:szCs w:val="18"/>
              </w:rPr>
              <w:t>Melton C</w:t>
            </w:r>
          </w:p>
        </w:tc>
        <w:tc>
          <w:tcPr>
            <w:tcW w:w="1361" w:type="dxa"/>
            <w:tcBorders>
              <w:top w:val="nil"/>
              <w:left w:val="single" w:sz="18" w:space="0" w:color="5F497A" w:themeColor="accent4" w:themeShade="BF"/>
              <w:bottom w:val="nil"/>
              <w:right w:val="nil"/>
            </w:tcBorders>
            <w:shd w:val="clear" w:color="auto" w:fill="auto"/>
            <w:vAlign w:val="bottom"/>
          </w:tcPr>
          <w:p w14:paraId="3A4F0E59" w14:textId="5C2D692D" w:rsidR="00DC5BE9" w:rsidRPr="003E2D55" w:rsidRDefault="00DC5BE9" w:rsidP="003E2D55">
            <w:pPr>
              <w:spacing w:before="40" w:after="20"/>
              <w:jc w:val="right"/>
              <w:rPr>
                <w:rFonts w:cs="Arial"/>
                <w:sz w:val="18"/>
                <w:szCs w:val="18"/>
              </w:rPr>
            </w:pPr>
            <w:r w:rsidRPr="003E2D55">
              <w:rPr>
                <w:rFonts w:cs="Arial"/>
                <w:sz w:val="18"/>
                <w:szCs w:val="18"/>
              </w:rPr>
              <w:t>2,455</w:t>
            </w:r>
          </w:p>
        </w:tc>
        <w:tc>
          <w:tcPr>
            <w:tcW w:w="1361" w:type="dxa"/>
            <w:tcBorders>
              <w:top w:val="nil"/>
              <w:left w:val="nil"/>
              <w:bottom w:val="nil"/>
              <w:right w:val="nil"/>
            </w:tcBorders>
            <w:shd w:val="clear" w:color="auto" w:fill="auto"/>
            <w:vAlign w:val="bottom"/>
          </w:tcPr>
          <w:p w14:paraId="05E64952" w14:textId="5528BAF0" w:rsidR="00DC5BE9" w:rsidRPr="003E2D55" w:rsidRDefault="00DC5BE9" w:rsidP="003E2D55">
            <w:pPr>
              <w:spacing w:before="40" w:after="20"/>
              <w:jc w:val="right"/>
              <w:rPr>
                <w:rFonts w:cs="Arial"/>
                <w:sz w:val="18"/>
                <w:szCs w:val="18"/>
              </w:rPr>
            </w:pPr>
            <w:r w:rsidRPr="003E2D55">
              <w:rPr>
                <w:rFonts w:cs="Arial"/>
                <w:sz w:val="18"/>
                <w:szCs w:val="18"/>
              </w:rPr>
              <w:t>67,388</w:t>
            </w:r>
          </w:p>
        </w:tc>
        <w:tc>
          <w:tcPr>
            <w:tcW w:w="1361" w:type="dxa"/>
            <w:tcBorders>
              <w:top w:val="nil"/>
              <w:left w:val="nil"/>
              <w:bottom w:val="nil"/>
              <w:right w:val="nil"/>
            </w:tcBorders>
            <w:shd w:val="clear" w:color="auto" w:fill="auto"/>
            <w:vAlign w:val="bottom"/>
          </w:tcPr>
          <w:p w14:paraId="6E979239" w14:textId="16986FFE" w:rsidR="00DC5BE9" w:rsidRPr="003E2D55" w:rsidRDefault="00DC5BE9" w:rsidP="003E2D55">
            <w:pPr>
              <w:spacing w:before="40" w:after="20"/>
              <w:jc w:val="right"/>
              <w:rPr>
                <w:rFonts w:cs="Arial"/>
                <w:sz w:val="18"/>
                <w:szCs w:val="18"/>
              </w:rPr>
            </w:pPr>
            <w:r w:rsidRPr="003E2D55">
              <w:rPr>
                <w:rFonts w:cs="Arial"/>
                <w:sz w:val="18"/>
                <w:szCs w:val="18"/>
              </w:rPr>
              <w:t>1,385,295</w:t>
            </w:r>
          </w:p>
        </w:tc>
        <w:tc>
          <w:tcPr>
            <w:tcW w:w="1361" w:type="dxa"/>
            <w:tcBorders>
              <w:top w:val="nil"/>
              <w:left w:val="nil"/>
              <w:bottom w:val="nil"/>
              <w:right w:val="nil"/>
            </w:tcBorders>
            <w:shd w:val="clear" w:color="auto" w:fill="auto"/>
            <w:vAlign w:val="bottom"/>
          </w:tcPr>
          <w:p w14:paraId="47D180D4" w14:textId="710D1ED7" w:rsidR="00DC5BE9" w:rsidRPr="003E2D55" w:rsidRDefault="00DC5BE9" w:rsidP="003E2D55">
            <w:pPr>
              <w:spacing w:before="40" w:after="20"/>
              <w:jc w:val="right"/>
              <w:rPr>
                <w:rFonts w:cs="Arial"/>
                <w:sz w:val="18"/>
                <w:szCs w:val="18"/>
              </w:rPr>
            </w:pPr>
            <w:r w:rsidRPr="003E2D55">
              <w:rPr>
                <w:rFonts w:cs="Arial"/>
                <w:sz w:val="18"/>
                <w:szCs w:val="18"/>
              </w:rPr>
              <w:t>375,825</w:t>
            </w:r>
          </w:p>
        </w:tc>
        <w:tc>
          <w:tcPr>
            <w:tcW w:w="1332" w:type="dxa"/>
            <w:tcBorders>
              <w:top w:val="nil"/>
              <w:left w:val="nil"/>
              <w:bottom w:val="nil"/>
              <w:right w:val="nil"/>
            </w:tcBorders>
            <w:shd w:val="clear" w:color="auto" w:fill="auto"/>
            <w:vAlign w:val="bottom"/>
          </w:tcPr>
          <w:p w14:paraId="4B48230D" w14:textId="1F650775" w:rsidR="00DC5BE9" w:rsidRPr="003E2D55" w:rsidRDefault="00DC5BE9" w:rsidP="003E2D55">
            <w:pPr>
              <w:spacing w:before="40" w:after="20"/>
              <w:jc w:val="right"/>
              <w:rPr>
                <w:rFonts w:cs="Arial"/>
                <w:sz w:val="18"/>
                <w:szCs w:val="18"/>
              </w:rPr>
            </w:pPr>
            <w:r w:rsidRPr="003E2D55">
              <w:rPr>
                <w:rFonts w:cs="Arial"/>
                <w:sz w:val="18"/>
                <w:szCs w:val="18"/>
              </w:rPr>
              <w:t>713,737</w:t>
            </w:r>
          </w:p>
        </w:tc>
      </w:tr>
      <w:tr w:rsidR="00DC5BE9" w:rsidRPr="003E2D55" w14:paraId="33E718B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C089FB4" w14:textId="77777777" w:rsidR="00DC5BE9" w:rsidRPr="003E2D55" w:rsidRDefault="00DC5BE9" w:rsidP="003E2D55">
            <w:pPr>
              <w:spacing w:before="40" w:after="20"/>
              <w:rPr>
                <w:rFonts w:cs="Arial"/>
                <w:sz w:val="18"/>
                <w:szCs w:val="18"/>
              </w:rPr>
            </w:pPr>
            <w:r w:rsidRPr="003E2D55">
              <w:rPr>
                <w:rFonts w:cs="Arial"/>
                <w:sz w:val="18"/>
                <w:szCs w:val="18"/>
              </w:rPr>
              <w:t>Mildura RC</w:t>
            </w:r>
          </w:p>
        </w:tc>
        <w:tc>
          <w:tcPr>
            <w:tcW w:w="1361" w:type="dxa"/>
            <w:tcBorders>
              <w:top w:val="nil"/>
              <w:left w:val="single" w:sz="18" w:space="0" w:color="5F497A" w:themeColor="accent4" w:themeShade="BF"/>
              <w:bottom w:val="nil"/>
              <w:right w:val="nil"/>
            </w:tcBorders>
            <w:shd w:val="clear" w:color="auto" w:fill="auto"/>
            <w:vAlign w:val="bottom"/>
          </w:tcPr>
          <w:p w14:paraId="11E3793C" w14:textId="01DBD5F8" w:rsidR="00DC5BE9" w:rsidRPr="003E2D55" w:rsidRDefault="00DC5BE9" w:rsidP="003E2D55">
            <w:pPr>
              <w:spacing w:before="40" w:after="20"/>
              <w:jc w:val="right"/>
              <w:rPr>
                <w:rFonts w:cs="Arial"/>
                <w:sz w:val="18"/>
                <w:szCs w:val="18"/>
              </w:rPr>
            </w:pPr>
            <w:r w:rsidRPr="003E2D55">
              <w:rPr>
                <w:rFonts w:cs="Arial"/>
                <w:sz w:val="18"/>
                <w:szCs w:val="18"/>
              </w:rPr>
              <w:t>711,578</w:t>
            </w:r>
          </w:p>
        </w:tc>
        <w:tc>
          <w:tcPr>
            <w:tcW w:w="1361" w:type="dxa"/>
            <w:tcBorders>
              <w:top w:val="nil"/>
              <w:left w:val="nil"/>
              <w:bottom w:val="nil"/>
              <w:right w:val="nil"/>
            </w:tcBorders>
            <w:shd w:val="clear" w:color="auto" w:fill="auto"/>
            <w:vAlign w:val="bottom"/>
          </w:tcPr>
          <w:p w14:paraId="5EAEB927" w14:textId="69AC42FD" w:rsidR="00DC5BE9" w:rsidRPr="003E2D55" w:rsidRDefault="00DC5BE9" w:rsidP="003E2D55">
            <w:pPr>
              <w:spacing w:before="40" w:after="20"/>
              <w:jc w:val="right"/>
              <w:rPr>
                <w:rFonts w:cs="Arial"/>
                <w:sz w:val="18"/>
                <w:szCs w:val="18"/>
              </w:rPr>
            </w:pPr>
            <w:r w:rsidRPr="003E2D55">
              <w:rPr>
                <w:rFonts w:cs="Arial"/>
                <w:sz w:val="18"/>
                <w:szCs w:val="18"/>
              </w:rPr>
              <w:t>13,560,425</w:t>
            </w:r>
          </w:p>
        </w:tc>
        <w:tc>
          <w:tcPr>
            <w:tcW w:w="1361" w:type="dxa"/>
            <w:tcBorders>
              <w:top w:val="nil"/>
              <w:left w:val="nil"/>
              <w:bottom w:val="nil"/>
              <w:right w:val="nil"/>
            </w:tcBorders>
            <w:shd w:val="clear" w:color="auto" w:fill="auto"/>
            <w:vAlign w:val="bottom"/>
          </w:tcPr>
          <w:p w14:paraId="7001FC82" w14:textId="1092D116" w:rsidR="00DC5BE9" w:rsidRPr="003E2D55" w:rsidRDefault="00DC5BE9" w:rsidP="003E2D55">
            <w:pPr>
              <w:spacing w:before="40" w:after="20"/>
              <w:jc w:val="right"/>
              <w:rPr>
                <w:rFonts w:cs="Arial"/>
                <w:sz w:val="18"/>
                <w:szCs w:val="18"/>
              </w:rPr>
            </w:pPr>
            <w:r w:rsidRPr="003E2D55">
              <w:rPr>
                <w:rFonts w:cs="Arial"/>
                <w:sz w:val="18"/>
                <w:szCs w:val="18"/>
              </w:rPr>
              <w:t>5,614,006</w:t>
            </w:r>
          </w:p>
        </w:tc>
        <w:tc>
          <w:tcPr>
            <w:tcW w:w="1361" w:type="dxa"/>
            <w:tcBorders>
              <w:top w:val="nil"/>
              <w:left w:val="nil"/>
              <w:bottom w:val="nil"/>
              <w:right w:val="nil"/>
            </w:tcBorders>
            <w:shd w:val="clear" w:color="auto" w:fill="auto"/>
            <w:vAlign w:val="bottom"/>
          </w:tcPr>
          <w:p w14:paraId="17410449" w14:textId="6B6BF60E" w:rsidR="00DC5BE9" w:rsidRPr="003E2D55" w:rsidRDefault="00DC5BE9" w:rsidP="003E2D55">
            <w:pPr>
              <w:spacing w:before="40" w:after="20"/>
              <w:jc w:val="right"/>
              <w:rPr>
                <w:rFonts w:cs="Arial"/>
                <w:sz w:val="18"/>
                <w:szCs w:val="18"/>
              </w:rPr>
            </w:pPr>
            <w:r w:rsidRPr="003E2D55">
              <w:rPr>
                <w:rFonts w:cs="Arial"/>
                <w:sz w:val="18"/>
                <w:szCs w:val="18"/>
              </w:rPr>
              <w:t>1,089,215</w:t>
            </w:r>
          </w:p>
        </w:tc>
        <w:tc>
          <w:tcPr>
            <w:tcW w:w="1332" w:type="dxa"/>
            <w:tcBorders>
              <w:top w:val="nil"/>
              <w:left w:val="nil"/>
              <w:bottom w:val="nil"/>
              <w:right w:val="nil"/>
            </w:tcBorders>
            <w:shd w:val="clear" w:color="auto" w:fill="auto"/>
            <w:vAlign w:val="bottom"/>
          </w:tcPr>
          <w:p w14:paraId="344E1E24" w14:textId="27CB78B7" w:rsidR="00DC5BE9" w:rsidRPr="003E2D55" w:rsidRDefault="00DC5BE9" w:rsidP="003E2D55">
            <w:pPr>
              <w:spacing w:before="40" w:after="20"/>
              <w:jc w:val="right"/>
              <w:rPr>
                <w:rFonts w:cs="Arial"/>
                <w:sz w:val="18"/>
                <w:szCs w:val="18"/>
              </w:rPr>
            </w:pPr>
            <w:r w:rsidRPr="003E2D55">
              <w:rPr>
                <w:rFonts w:cs="Arial"/>
                <w:sz w:val="18"/>
                <w:szCs w:val="18"/>
              </w:rPr>
              <w:t>706,366</w:t>
            </w:r>
          </w:p>
        </w:tc>
      </w:tr>
      <w:tr w:rsidR="00DC5BE9" w:rsidRPr="003E2D55" w14:paraId="3DCF9F3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3AB9220" w14:textId="77777777" w:rsidR="00DC5BE9" w:rsidRPr="003E2D55" w:rsidRDefault="00DC5BE9" w:rsidP="003E2D55">
            <w:pPr>
              <w:spacing w:before="40" w:after="20"/>
              <w:rPr>
                <w:rFonts w:cs="Arial"/>
                <w:sz w:val="18"/>
                <w:szCs w:val="18"/>
              </w:rPr>
            </w:pPr>
            <w:r w:rsidRPr="003E2D55">
              <w:rPr>
                <w:rFonts w:cs="Arial"/>
                <w:sz w:val="18"/>
                <w:szCs w:val="18"/>
              </w:rPr>
              <w:t>Mitchell S</w:t>
            </w:r>
          </w:p>
        </w:tc>
        <w:tc>
          <w:tcPr>
            <w:tcW w:w="1361" w:type="dxa"/>
            <w:tcBorders>
              <w:top w:val="nil"/>
              <w:left w:val="single" w:sz="18" w:space="0" w:color="5F497A" w:themeColor="accent4" w:themeShade="BF"/>
              <w:bottom w:val="nil"/>
              <w:right w:val="nil"/>
            </w:tcBorders>
            <w:shd w:val="clear" w:color="auto" w:fill="auto"/>
            <w:vAlign w:val="bottom"/>
          </w:tcPr>
          <w:p w14:paraId="28119C36" w14:textId="43E2C13F" w:rsidR="00DC5BE9" w:rsidRPr="003E2D55" w:rsidRDefault="00DC5BE9" w:rsidP="003E2D55">
            <w:pPr>
              <w:spacing w:before="40" w:after="20"/>
              <w:jc w:val="right"/>
              <w:rPr>
                <w:rFonts w:cs="Arial"/>
                <w:sz w:val="18"/>
                <w:szCs w:val="18"/>
              </w:rPr>
            </w:pPr>
            <w:r w:rsidRPr="003E2D55">
              <w:rPr>
                <w:rFonts w:cs="Arial"/>
                <w:sz w:val="18"/>
                <w:szCs w:val="18"/>
              </w:rPr>
              <w:t>56,028</w:t>
            </w:r>
          </w:p>
        </w:tc>
        <w:tc>
          <w:tcPr>
            <w:tcW w:w="1361" w:type="dxa"/>
            <w:tcBorders>
              <w:top w:val="nil"/>
              <w:left w:val="nil"/>
              <w:bottom w:val="nil"/>
              <w:right w:val="nil"/>
            </w:tcBorders>
            <w:shd w:val="clear" w:color="auto" w:fill="auto"/>
            <w:vAlign w:val="bottom"/>
          </w:tcPr>
          <w:p w14:paraId="46A27B24" w14:textId="6D1C73A3" w:rsidR="00DC5BE9" w:rsidRPr="003E2D55" w:rsidRDefault="00DC5BE9" w:rsidP="003E2D55">
            <w:pPr>
              <w:spacing w:before="40" w:after="20"/>
              <w:jc w:val="right"/>
              <w:rPr>
                <w:rFonts w:cs="Arial"/>
                <w:sz w:val="18"/>
                <w:szCs w:val="18"/>
              </w:rPr>
            </w:pPr>
            <w:r w:rsidRPr="003E2D55">
              <w:rPr>
                <w:rFonts w:cs="Arial"/>
                <w:sz w:val="18"/>
                <w:szCs w:val="18"/>
              </w:rPr>
              <w:t>2,551,960</w:t>
            </w:r>
          </w:p>
        </w:tc>
        <w:tc>
          <w:tcPr>
            <w:tcW w:w="1361" w:type="dxa"/>
            <w:tcBorders>
              <w:top w:val="nil"/>
              <w:left w:val="nil"/>
              <w:bottom w:val="nil"/>
              <w:right w:val="nil"/>
            </w:tcBorders>
            <w:shd w:val="clear" w:color="auto" w:fill="auto"/>
            <w:vAlign w:val="bottom"/>
          </w:tcPr>
          <w:p w14:paraId="625ADE68" w14:textId="778D27AD" w:rsidR="00DC5BE9" w:rsidRPr="003E2D55" w:rsidRDefault="00DC5BE9" w:rsidP="003E2D55">
            <w:pPr>
              <w:spacing w:before="40" w:after="20"/>
              <w:jc w:val="right"/>
              <w:rPr>
                <w:rFonts w:cs="Arial"/>
                <w:sz w:val="18"/>
                <w:szCs w:val="18"/>
              </w:rPr>
            </w:pPr>
            <w:r w:rsidRPr="003E2D55">
              <w:rPr>
                <w:rFonts w:cs="Arial"/>
                <w:sz w:val="18"/>
                <w:szCs w:val="18"/>
              </w:rPr>
              <w:t>3,001,472</w:t>
            </w:r>
          </w:p>
        </w:tc>
        <w:tc>
          <w:tcPr>
            <w:tcW w:w="1361" w:type="dxa"/>
            <w:tcBorders>
              <w:top w:val="nil"/>
              <w:left w:val="nil"/>
              <w:bottom w:val="nil"/>
              <w:right w:val="nil"/>
            </w:tcBorders>
            <w:shd w:val="clear" w:color="auto" w:fill="auto"/>
            <w:vAlign w:val="bottom"/>
          </w:tcPr>
          <w:p w14:paraId="53131CD0" w14:textId="7D38149A" w:rsidR="00DC5BE9" w:rsidRPr="003E2D55" w:rsidRDefault="00DC5BE9" w:rsidP="003E2D55">
            <w:pPr>
              <w:spacing w:before="40" w:after="20"/>
              <w:jc w:val="right"/>
              <w:rPr>
                <w:rFonts w:cs="Arial"/>
                <w:sz w:val="18"/>
                <w:szCs w:val="18"/>
              </w:rPr>
            </w:pPr>
            <w:r w:rsidRPr="003E2D55">
              <w:rPr>
                <w:rFonts w:cs="Arial"/>
                <w:sz w:val="18"/>
                <w:szCs w:val="18"/>
              </w:rPr>
              <w:t>1,175,188</w:t>
            </w:r>
          </w:p>
        </w:tc>
        <w:tc>
          <w:tcPr>
            <w:tcW w:w="1332" w:type="dxa"/>
            <w:tcBorders>
              <w:top w:val="nil"/>
              <w:left w:val="nil"/>
              <w:bottom w:val="nil"/>
              <w:right w:val="nil"/>
            </w:tcBorders>
            <w:shd w:val="clear" w:color="auto" w:fill="auto"/>
            <w:vAlign w:val="bottom"/>
          </w:tcPr>
          <w:p w14:paraId="1F453A05" w14:textId="6B7B426B" w:rsidR="00DC5BE9" w:rsidRPr="003E2D55" w:rsidRDefault="00DC5BE9" w:rsidP="003E2D55">
            <w:pPr>
              <w:spacing w:before="40" w:after="20"/>
              <w:jc w:val="right"/>
              <w:rPr>
                <w:rFonts w:cs="Arial"/>
                <w:sz w:val="18"/>
                <w:szCs w:val="18"/>
              </w:rPr>
            </w:pPr>
            <w:r w:rsidRPr="003E2D55">
              <w:rPr>
                <w:rFonts w:cs="Arial"/>
                <w:sz w:val="18"/>
                <w:szCs w:val="18"/>
              </w:rPr>
              <w:t>732,434</w:t>
            </w:r>
          </w:p>
        </w:tc>
      </w:tr>
      <w:tr w:rsidR="00DC5BE9" w:rsidRPr="003E2D55" w14:paraId="137FC52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11BF32B" w14:textId="77777777" w:rsidR="00DC5BE9" w:rsidRPr="003E2D55" w:rsidRDefault="00DC5BE9" w:rsidP="003E2D55">
            <w:pPr>
              <w:spacing w:before="40" w:after="20"/>
              <w:rPr>
                <w:rFonts w:cs="Arial"/>
                <w:sz w:val="18"/>
                <w:szCs w:val="18"/>
              </w:rPr>
            </w:pPr>
            <w:r w:rsidRPr="003E2D55">
              <w:rPr>
                <w:rFonts w:cs="Arial"/>
                <w:sz w:val="18"/>
                <w:szCs w:val="18"/>
              </w:rPr>
              <w:t>Moira S</w:t>
            </w:r>
          </w:p>
        </w:tc>
        <w:tc>
          <w:tcPr>
            <w:tcW w:w="1361" w:type="dxa"/>
            <w:tcBorders>
              <w:top w:val="nil"/>
              <w:left w:val="single" w:sz="18" w:space="0" w:color="5F497A" w:themeColor="accent4" w:themeShade="BF"/>
              <w:bottom w:val="nil"/>
              <w:right w:val="nil"/>
            </w:tcBorders>
            <w:shd w:val="clear" w:color="auto" w:fill="auto"/>
            <w:vAlign w:val="bottom"/>
          </w:tcPr>
          <w:p w14:paraId="084CB1EF" w14:textId="72AFE10E" w:rsidR="00DC5BE9" w:rsidRPr="003E2D55" w:rsidRDefault="00DC5BE9" w:rsidP="003E2D55">
            <w:pPr>
              <w:spacing w:before="40" w:after="20"/>
              <w:jc w:val="right"/>
              <w:rPr>
                <w:rFonts w:cs="Arial"/>
                <w:sz w:val="18"/>
                <w:szCs w:val="18"/>
              </w:rPr>
            </w:pPr>
            <w:r w:rsidRPr="003E2D55">
              <w:rPr>
                <w:rFonts w:cs="Arial"/>
                <w:sz w:val="18"/>
                <w:szCs w:val="18"/>
              </w:rPr>
              <w:t>542,262</w:t>
            </w:r>
          </w:p>
        </w:tc>
        <w:tc>
          <w:tcPr>
            <w:tcW w:w="1361" w:type="dxa"/>
            <w:tcBorders>
              <w:top w:val="nil"/>
              <w:left w:val="nil"/>
              <w:bottom w:val="nil"/>
              <w:right w:val="nil"/>
            </w:tcBorders>
            <w:shd w:val="clear" w:color="auto" w:fill="auto"/>
            <w:vAlign w:val="bottom"/>
          </w:tcPr>
          <w:p w14:paraId="0152D43A" w14:textId="6059BC5D" w:rsidR="00DC5BE9" w:rsidRPr="003E2D55" w:rsidRDefault="00DC5BE9" w:rsidP="003E2D55">
            <w:pPr>
              <w:spacing w:before="40" w:after="20"/>
              <w:jc w:val="right"/>
              <w:rPr>
                <w:rFonts w:cs="Arial"/>
                <w:sz w:val="18"/>
                <w:szCs w:val="18"/>
              </w:rPr>
            </w:pPr>
            <w:r w:rsidRPr="003E2D55">
              <w:rPr>
                <w:rFonts w:cs="Arial"/>
                <w:sz w:val="18"/>
                <w:szCs w:val="18"/>
              </w:rPr>
              <w:t>8,507,005</w:t>
            </w:r>
          </w:p>
        </w:tc>
        <w:tc>
          <w:tcPr>
            <w:tcW w:w="1361" w:type="dxa"/>
            <w:tcBorders>
              <w:top w:val="nil"/>
              <w:left w:val="nil"/>
              <w:bottom w:val="nil"/>
              <w:right w:val="nil"/>
            </w:tcBorders>
            <w:shd w:val="clear" w:color="auto" w:fill="auto"/>
            <w:vAlign w:val="bottom"/>
          </w:tcPr>
          <w:p w14:paraId="61A46399" w14:textId="6D9C1360" w:rsidR="00DC5BE9" w:rsidRPr="003E2D55" w:rsidRDefault="00DC5BE9" w:rsidP="003E2D55">
            <w:pPr>
              <w:spacing w:before="40" w:after="20"/>
              <w:jc w:val="right"/>
              <w:rPr>
                <w:rFonts w:cs="Arial"/>
                <w:sz w:val="18"/>
                <w:szCs w:val="18"/>
              </w:rPr>
            </w:pPr>
            <w:r w:rsidRPr="003E2D55">
              <w:rPr>
                <w:rFonts w:cs="Arial"/>
                <w:sz w:val="18"/>
                <w:szCs w:val="18"/>
              </w:rPr>
              <w:t>6,447,457</w:t>
            </w:r>
          </w:p>
        </w:tc>
        <w:tc>
          <w:tcPr>
            <w:tcW w:w="1361" w:type="dxa"/>
            <w:tcBorders>
              <w:top w:val="nil"/>
              <w:left w:val="nil"/>
              <w:bottom w:val="nil"/>
              <w:right w:val="nil"/>
            </w:tcBorders>
            <w:shd w:val="clear" w:color="auto" w:fill="auto"/>
            <w:vAlign w:val="bottom"/>
          </w:tcPr>
          <w:p w14:paraId="7A8DDD11" w14:textId="17A030AE" w:rsidR="00DC5BE9" w:rsidRPr="003E2D55" w:rsidRDefault="00DC5BE9" w:rsidP="003E2D55">
            <w:pPr>
              <w:spacing w:before="40" w:after="20"/>
              <w:jc w:val="right"/>
              <w:rPr>
                <w:rFonts w:cs="Arial"/>
                <w:sz w:val="18"/>
                <w:szCs w:val="18"/>
              </w:rPr>
            </w:pPr>
            <w:r w:rsidRPr="003E2D55">
              <w:rPr>
                <w:rFonts w:cs="Arial"/>
                <w:sz w:val="18"/>
                <w:szCs w:val="18"/>
              </w:rPr>
              <w:t>4,432,174</w:t>
            </w:r>
          </w:p>
        </w:tc>
        <w:tc>
          <w:tcPr>
            <w:tcW w:w="1332" w:type="dxa"/>
            <w:tcBorders>
              <w:top w:val="nil"/>
              <w:left w:val="nil"/>
              <w:bottom w:val="nil"/>
              <w:right w:val="nil"/>
            </w:tcBorders>
            <w:shd w:val="clear" w:color="auto" w:fill="auto"/>
            <w:vAlign w:val="bottom"/>
          </w:tcPr>
          <w:p w14:paraId="2F66BD7A" w14:textId="77783EC7"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13B774E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7BBBFEA" w14:textId="77777777" w:rsidR="00DC5BE9" w:rsidRPr="003E2D55" w:rsidRDefault="00DC5BE9" w:rsidP="003E2D55">
            <w:pPr>
              <w:spacing w:before="40" w:after="20"/>
              <w:rPr>
                <w:rFonts w:cs="Arial"/>
                <w:sz w:val="18"/>
                <w:szCs w:val="18"/>
              </w:rPr>
            </w:pPr>
            <w:r w:rsidRPr="003E2D55">
              <w:rPr>
                <w:rFonts w:cs="Arial"/>
                <w:sz w:val="18"/>
                <w:szCs w:val="18"/>
              </w:rPr>
              <w:t>Monash C</w:t>
            </w:r>
          </w:p>
        </w:tc>
        <w:tc>
          <w:tcPr>
            <w:tcW w:w="1361" w:type="dxa"/>
            <w:tcBorders>
              <w:top w:val="nil"/>
              <w:left w:val="single" w:sz="18" w:space="0" w:color="5F497A" w:themeColor="accent4" w:themeShade="BF"/>
              <w:bottom w:val="nil"/>
              <w:right w:val="nil"/>
            </w:tcBorders>
            <w:shd w:val="clear" w:color="auto" w:fill="auto"/>
            <w:vAlign w:val="bottom"/>
          </w:tcPr>
          <w:p w14:paraId="68BE3DCF" w14:textId="5B0D41A4"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65562B2D" w14:textId="269C1968"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35C35CA7" w14:textId="4D8762AD"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22C63D73" w14:textId="5DE17404" w:rsidR="00DC5BE9" w:rsidRPr="003E2D55" w:rsidRDefault="00DC5BE9" w:rsidP="003E2D55">
            <w:pPr>
              <w:spacing w:before="40" w:after="20"/>
              <w:jc w:val="right"/>
              <w:rPr>
                <w:rFonts w:cs="Arial"/>
                <w:sz w:val="18"/>
                <w:szCs w:val="18"/>
              </w:rPr>
            </w:pPr>
            <w:r w:rsidRPr="003E2D55">
              <w:rPr>
                <w:rFonts w:cs="Arial"/>
                <w:sz w:val="18"/>
                <w:szCs w:val="18"/>
              </w:rPr>
              <w:t>0</w:t>
            </w:r>
          </w:p>
        </w:tc>
        <w:tc>
          <w:tcPr>
            <w:tcW w:w="1332" w:type="dxa"/>
            <w:tcBorders>
              <w:top w:val="nil"/>
              <w:left w:val="nil"/>
              <w:bottom w:val="nil"/>
              <w:right w:val="nil"/>
            </w:tcBorders>
            <w:shd w:val="clear" w:color="auto" w:fill="auto"/>
            <w:vAlign w:val="bottom"/>
          </w:tcPr>
          <w:p w14:paraId="2A3022E5" w14:textId="2D2CB03F"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3963D31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00D5163" w14:textId="77777777" w:rsidR="00DC5BE9" w:rsidRPr="003E2D55" w:rsidRDefault="00DC5BE9" w:rsidP="003E2D55">
            <w:pPr>
              <w:spacing w:before="40" w:after="20"/>
              <w:rPr>
                <w:rFonts w:cs="Arial"/>
                <w:sz w:val="18"/>
                <w:szCs w:val="18"/>
              </w:rPr>
            </w:pPr>
            <w:r w:rsidRPr="003E2D55">
              <w:rPr>
                <w:rFonts w:cs="Arial"/>
                <w:sz w:val="18"/>
                <w:szCs w:val="18"/>
              </w:rPr>
              <w:t>Moonee Valley C</w:t>
            </w:r>
          </w:p>
        </w:tc>
        <w:tc>
          <w:tcPr>
            <w:tcW w:w="1361" w:type="dxa"/>
            <w:tcBorders>
              <w:top w:val="nil"/>
              <w:left w:val="single" w:sz="18" w:space="0" w:color="5F497A" w:themeColor="accent4" w:themeShade="BF"/>
              <w:bottom w:val="nil"/>
              <w:right w:val="nil"/>
            </w:tcBorders>
            <w:shd w:val="clear" w:color="auto" w:fill="auto"/>
            <w:vAlign w:val="bottom"/>
          </w:tcPr>
          <w:p w14:paraId="19F7F9AA" w14:textId="26721EDB"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5931B929" w14:textId="0316735B"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63994F8D" w14:textId="0F541B97"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0B8DACF1" w14:textId="28B325CF" w:rsidR="00DC5BE9" w:rsidRPr="003E2D55" w:rsidRDefault="00DC5BE9" w:rsidP="003E2D55">
            <w:pPr>
              <w:spacing w:before="40" w:after="20"/>
              <w:jc w:val="right"/>
              <w:rPr>
                <w:rFonts w:cs="Arial"/>
                <w:sz w:val="18"/>
                <w:szCs w:val="18"/>
              </w:rPr>
            </w:pPr>
            <w:r w:rsidRPr="003E2D55">
              <w:rPr>
                <w:rFonts w:cs="Arial"/>
                <w:sz w:val="18"/>
                <w:szCs w:val="18"/>
              </w:rPr>
              <w:t>0</w:t>
            </w:r>
          </w:p>
        </w:tc>
        <w:tc>
          <w:tcPr>
            <w:tcW w:w="1332" w:type="dxa"/>
            <w:tcBorders>
              <w:top w:val="nil"/>
              <w:left w:val="nil"/>
              <w:bottom w:val="nil"/>
              <w:right w:val="nil"/>
            </w:tcBorders>
            <w:shd w:val="clear" w:color="auto" w:fill="auto"/>
            <w:vAlign w:val="bottom"/>
          </w:tcPr>
          <w:p w14:paraId="55304F6C" w14:textId="7BBE3848"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71C1278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5A56EDF" w14:textId="77777777" w:rsidR="00DC5BE9" w:rsidRPr="003E2D55" w:rsidRDefault="00DC5BE9" w:rsidP="003E2D55">
            <w:pPr>
              <w:spacing w:before="40" w:after="20"/>
              <w:rPr>
                <w:rFonts w:cs="Arial"/>
                <w:sz w:val="18"/>
                <w:szCs w:val="18"/>
              </w:rPr>
            </w:pPr>
            <w:r w:rsidRPr="003E2D55">
              <w:rPr>
                <w:rFonts w:cs="Arial"/>
                <w:sz w:val="18"/>
                <w:szCs w:val="18"/>
              </w:rPr>
              <w:t>Moorabool S</w:t>
            </w:r>
          </w:p>
        </w:tc>
        <w:tc>
          <w:tcPr>
            <w:tcW w:w="1361" w:type="dxa"/>
            <w:tcBorders>
              <w:top w:val="nil"/>
              <w:left w:val="single" w:sz="18" w:space="0" w:color="5F497A" w:themeColor="accent4" w:themeShade="BF"/>
              <w:bottom w:val="nil"/>
              <w:right w:val="nil"/>
            </w:tcBorders>
            <w:shd w:val="clear" w:color="auto" w:fill="auto"/>
            <w:vAlign w:val="bottom"/>
          </w:tcPr>
          <w:p w14:paraId="769B3B39" w14:textId="4B822A4D" w:rsidR="00DC5BE9" w:rsidRPr="003E2D55" w:rsidRDefault="00DC5BE9" w:rsidP="003E2D55">
            <w:pPr>
              <w:spacing w:before="40" w:after="20"/>
              <w:jc w:val="right"/>
              <w:rPr>
                <w:rFonts w:cs="Arial"/>
                <w:sz w:val="18"/>
                <w:szCs w:val="18"/>
              </w:rPr>
            </w:pPr>
            <w:r w:rsidRPr="003E2D55">
              <w:rPr>
                <w:rFonts w:cs="Arial"/>
                <w:sz w:val="18"/>
                <w:szCs w:val="18"/>
              </w:rPr>
              <w:t>36,836</w:t>
            </w:r>
          </w:p>
        </w:tc>
        <w:tc>
          <w:tcPr>
            <w:tcW w:w="1361" w:type="dxa"/>
            <w:tcBorders>
              <w:top w:val="nil"/>
              <w:left w:val="nil"/>
              <w:bottom w:val="nil"/>
              <w:right w:val="nil"/>
            </w:tcBorders>
            <w:shd w:val="clear" w:color="auto" w:fill="auto"/>
            <w:vAlign w:val="bottom"/>
          </w:tcPr>
          <w:p w14:paraId="3C3BEE39" w14:textId="5B9DA775" w:rsidR="00DC5BE9" w:rsidRPr="003E2D55" w:rsidRDefault="00DC5BE9" w:rsidP="003E2D55">
            <w:pPr>
              <w:spacing w:before="40" w:after="20"/>
              <w:jc w:val="right"/>
              <w:rPr>
                <w:rFonts w:cs="Arial"/>
                <w:sz w:val="18"/>
                <w:szCs w:val="18"/>
              </w:rPr>
            </w:pPr>
            <w:r w:rsidRPr="003E2D55">
              <w:rPr>
                <w:rFonts w:cs="Arial"/>
                <w:sz w:val="18"/>
                <w:szCs w:val="18"/>
              </w:rPr>
              <w:t>4,567,968</w:t>
            </w:r>
          </w:p>
        </w:tc>
        <w:tc>
          <w:tcPr>
            <w:tcW w:w="1361" w:type="dxa"/>
            <w:tcBorders>
              <w:top w:val="nil"/>
              <w:left w:val="nil"/>
              <w:bottom w:val="nil"/>
              <w:right w:val="nil"/>
            </w:tcBorders>
            <w:shd w:val="clear" w:color="auto" w:fill="auto"/>
            <w:vAlign w:val="bottom"/>
          </w:tcPr>
          <w:p w14:paraId="622EC590" w14:textId="4A2E2B64" w:rsidR="00DC5BE9" w:rsidRPr="003E2D55" w:rsidRDefault="00DC5BE9" w:rsidP="003E2D55">
            <w:pPr>
              <w:spacing w:before="40" w:after="20"/>
              <w:jc w:val="right"/>
              <w:rPr>
                <w:rFonts w:cs="Arial"/>
                <w:sz w:val="18"/>
                <w:szCs w:val="18"/>
              </w:rPr>
            </w:pPr>
            <w:r w:rsidRPr="003E2D55">
              <w:rPr>
                <w:rFonts w:cs="Arial"/>
                <w:sz w:val="18"/>
                <w:szCs w:val="18"/>
              </w:rPr>
              <w:t>3,612,668</w:t>
            </w:r>
          </w:p>
        </w:tc>
        <w:tc>
          <w:tcPr>
            <w:tcW w:w="1361" w:type="dxa"/>
            <w:tcBorders>
              <w:top w:val="nil"/>
              <w:left w:val="nil"/>
              <w:bottom w:val="nil"/>
              <w:right w:val="nil"/>
            </w:tcBorders>
            <w:shd w:val="clear" w:color="auto" w:fill="auto"/>
            <w:vAlign w:val="bottom"/>
          </w:tcPr>
          <w:p w14:paraId="375E22BE" w14:textId="684366C7" w:rsidR="00DC5BE9" w:rsidRPr="003E2D55" w:rsidRDefault="00DC5BE9" w:rsidP="003E2D55">
            <w:pPr>
              <w:spacing w:before="40" w:after="20"/>
              <w:jc w:val="right"/>
              <w:rPr>
                <w:rFonts w:cs="Arial"/>
                <w:sz w:val="18"/>
                <w:szCs w:val="18"/>
              </w:rPr>
            </w:pPr>
            <w:r w:rsidRPr="003E2D55">
              <w:rPr>
                <w:rFonts w:cs="Arial"/>
                <w:sz w:val="18"/>
                <w:szCs w:val="18"/>
              </w:rPr>
              <w:t>1,060,137</w:t>
            </w:r>
          </w:p>
        </w:tc>
        <w:tc>
          <w:tcPr>
            <w:tcW w:w="1332" w:type="dxa"/>
            <w:tcBorders>
              <w:top w:val="nil"/>
              <w:left w:val="nil"/>
              <w:bottom w:val="nil"/>
              <w:right w:val="nil"/>
            </w:tcBorders>
            <w:shd w:val="clear" w:color="auto" w:fill="auto"/>
            <w:vAlign w:val="bottom"/>
          </w:tcPr>
          <w:p w14:paraId="3167AF69" w14:textId="7CCADD1F" w:rsidR="00DC5BE9" w:rsidRPr="003E2D55" w:rsidRDefault="00DC5BE9" w:rsidP="003E2D55">
            <w:pPr>
              <w:spacing w:before="40" w:after="20"/>
              <w:jc w:val="right"/>
              <w:rPr>
                <w:rFonts w:cs="Arial"/>
                <w:sz w:val="18"/>
                <w:szCs w:val="18"/>
              </w:rPr>
            </w:pPr>
            <w:r w:rsidRPr="003E2D55">
              <w:rPr>
                <w:rFonts w:cs="Arial"/>
                <w:sz w:val="18"/>
                <w:szCs w:val="18"/>
              </w:rPr>
              <w:t>225,836</w:t>
            </w:r>
          </w:p>
        </w:tc>
      </w:tr>
      <w:tr w:rsidR="00DC5BE9" w:rsidRPr="003E2D55" w14:paraId="5AAABB7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A177FAE" w14:textId="77777777" w:rsidR="00DC5BE9" w:rsidRPr="003E2D55" w:rsidRDefault="00DC5BE9" w:rsidP="003E2D55">
            <w:pPr>
              <w:spacing w:before="40" w:after="20"/>
              <w:rPr>
                <w:rFonts w:cs="Arial"/>
                <w:sz w:val="18"/>
                <w:szCs w:val="18"/>
              </w:rPr>
            </w:pPr>
            <w:r w:rsidRPr="003E2D55">
              <w:rPr>
                <w:rFonts w:cs="Arial"/>
                <w:sz w:val="18"/>
                <w:szCs w:val="18"/>
              </w:rPr>
              <w:t>Moreland C</w:t>
            </w:r>
          </w:p>
        </w:tc>
        <w:tc>
          <w:tcPr>
            <w:tcW w:w="1361" w:type="dxa"/>
            <w:tcBorders>
              <w:top w:val="nil"/>
              <w:left w:val="single" w:sz="18" w:space="0" w:color="5F497A" w:themeColor="accent4" w:themeShade="BF"/>
              <w:bottom w:val="nil"/>
              <w:right w:val="nil"/>
            </w:tcBorders>
            <w:shd w:val="clear" w:color="auto" w:fill="auto"/>
            <w:vAlign w:val="bottom"/>
          </w:tcPr>
          <w:p w14:paraId="1289EAE3" w14:textId="0D91DFA2"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5004D48A" w14:textId="303CF696"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645A964F" w14:textId="2DCC9CD4"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02454F49" w14:textId="1DA93DAB" w:rsidR="00DC5BE9" w:rsidRPr="003E2D55" w:rsidRDefault="00DC5BE9" w:rsidP="003E2D55">
            <w:pPr>
              <w:spacing w:before="40" w:after="20"/>
              <w:jc w:val="right"/>
              <w:rPr>
                <w:rFonts w:cs="Arial"/>
                <w:sz w:val="18"/>
                <w:szCs w:val="18"/>
              </w:rPr>
            </w:pPr>
            <w:r w:rsidRPr="003E2D55">
              <w:rPr>
                <w:rFonts w:cs="Arial"/>
                <w:sz w:val="18"/>
                <w:szCs w:val="18"/>
              </w:rPr>
              <w:t>0</w:t>
            </w:r>
          </w:p>
        </w:tc>
        <w:tc>
          <w:tcPr>
            <w:tcW w:w="1332" w:type="dxa"/>
            <w:tcBorders>
              <w:top w:val="nil"/>
              <w:left w:val="nil"/>
              <w:bottom w:val="nil"/>
              <w:right w:val="nil"/>
            </w:tcBorders>
            <w:shd w:val="clear" w:color="auto" w:fill="auto"/>
            <w:vAlign w:val="bottom"/>
          </w:tcPr>
          <w:p w14:paraId="37FF5D4A" w14:textId="00AF9BFF"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4F0C793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2E5F3E8" w14:textId="77777777" w:rsidR="00DC5BE9" w:rsidRPr="003E2D55" w:rsidRDefault="00DC5BE9" w:rsidP="003E2D55">
            <w:pPr>
              <w:spacing w:before="40" w:after="20"/>
              <w:rPr>
                <w:rFonts w:cs="Arial"/>
                <w:sz w:val="18"/>
                <w:szCs w:val="18"/>
              </w:rPr>
            </w:pPr>
            <w:r w:rsidRPr="003E2D55">
              <w:rPr>
                <w:rFonts w:cs="Arial"/>
                <w:sz w:val="18"/>
                <w:szCs w:val="18"/>
              </w:rPr>
              <w:t>Mornington Peninsula</w:t>
            </w:r>
          </w:p>
        </w:tc>
        <w:tc>
          <w:tcPr>
            <w:tcW w:w="1361" w:type="dxa"/>
            <w:tcBorders>
              <w:top w:val="nil"/>
              <w:left w:val="single" w:sz="18" w:space="0" w:color="5F497A" w:themeColor="accent4" w:themeShade="BF"/>
              <w:bottom w:val="nil"/>
              <w:right w:val="nil"/>
            </w:tcBorders>
            <w:shd w:val="clear" w:color="auto" w:fill="auto"/>
            <w:vAlign w:val="bottom"/>
          </w:tcPr>
          <w:p w14:paraId="2ACAEFE9" w14:textId="6C003510" w:rsidR="00DC5BE9" w:rsidRPr="003E2D55" w:rsidRDefault="00DC5BE9" w:rsidP="003E2D55">
            <w:pPr>
              <w:spacing w:before="40" w:after="20"/>
              <w:jc w:val="right"/>
              <w:rPr>
                <w:rFonts w:cs="Arial"/>
                <w:sz w:val="18"/>
                <w:szCs w:val="18"/>
              </w:rPr>
            </w:pPr>
            <w:r w:rsidRPr="003E2D55">
              <w:rPr>
                <w:rFonts w:cs="Arial"/>
                <w:sz w:val="18"/>
                <w:szCs w:val="18"/>
              </w:rPr>
              <w:t>1,932</w:t>
            </w:r>
          </w:p>
        </w:tc>
        <w:tc>
          <w:tcPr>
            <w:tcW w:w="1361" w:type="dxa"/>
            <w:tcBorders>
              <w:top w:val="nil"/>
              <w:left w:val="nil"/>
              <w:bottom w:val="nil"/>
              <w:right w:val="nil"/>
            </w:tcBorders>
            <w:shd w:val="clear" w:color="auto" w:fill="auto"/>
            <w:vAlign w:val="bottom"/>
          </w:tcPr>
          <w:p w14:paraId="46629550" w14:textId="5F00A631" w:rsidR="00DC5BE9" w:rsidRPr="003E2D55" w:rsidRDefault="00DC5BE9" w:rsidP="003E2D55">
            <w:pPr>
              <w:spacing w:before="40" w:after="20"/>
              <w:jc w:val="right"/>
              <w:rPr>
                <w:rFonts w:cs="Arial"/>
                <w:sz w:val="18"/>
                <w:szCs w:val="18"/>
              </w:rPr>
            </w:pPr>
            <w:r w:rsidRPr="003E2D55">
              <w:rPr>
                <w:rFonts w:cs="Arial"/>
                <w:sz w:val="18"/>
                <w:szCs w:val="18"/>
              </w:rPr>
              <w:t>515,413</w:t>
            </w:r>
          </w:p>
        </w:tc>
        <w:tc>
          <w:tcPr>
            <w:tcW w:w="1361" w:type="dxa"/>
            <w:tcBorders>
              <w:top w:val="nil"/>
              <w:left w:val="nil"/>
              <w:bottom w:val="nil"/>
              <w:right w:val="nil"/>
            </w:tcBorders>
            <w:shd w:val="clear" w:color="auto" w:fill="auto"/>
            <w:vAlign w:val="bottom"/>
          </w:tcPr>
          <w:p w14:paraId="4F06E578" w14:textId="36F48316" w:rsidR="00DC5BE9" w:rsidRPr="003E2D55" w:rsidRDefault="00DC5BE9" w:rsidP="003E2D55">
            <w:pPr>
              <w:spacing w:before="40" w:after="20"/>
              <w:jc w:val="right"/>
              <w:rPr>
                <w:rFonts w:cs="Arial"/>
                <w:sz w:val="18"/>
                <w:szCs w:val="18"/>
              </w:rPr>
            </w:pPr>
            <w:r w:rsidRPr="003E2D55">
              <w:rPr>
                <w:rFonts w:cs="Arial"/>
                <w:sz w:val="18"/>
                <w:szCs w:val="18"/>
              </w:rPr>
              <w:t>1,056,998</w:t>
            </w:r>
          </w:p>
        </w:tc>
        <w:tc>
          <w:tcPr>
            <w:tcW w:w="1361" w:type="dxa"/>
            <w:tcBorders>
              <w:top w:val="nil"/>
              <w:left w:val="nil"/>
              <w:bottom w:val="nil"/>
              <w:right w:val="nil"/>
            </w:tcBorders>
            <w:shd w:val="clear" w:color="auto" w:fill="auto"/>
            <w:vAlign w:val="bottom"/>
          </w:tcPr>
          <w:p w14:paraId="569E0A67" w14:textId="5D55C24D" w:rsidR="00DC5BE9" w:rsidRPr="003E2D55" w:rsidRDefault="00DC5BE9" w:rsidP="003E2D55">
            <w:pPr>
              <w:spacing w:before="40" w:after="20"/>
              <w:jc w:val="right"/>
              <w:rPr>
                <w:rFonts w:cs="Arial"/>
                <w:sz w:val="18"/>
                <w:szCs w:val="18"/>
              </w:rPr>
            </w:pPr>
            <w:r w:rsidRPr="003E2D55">
              <w:rPr>
                <w:rFonts w:cs="Arial"/>
                <w:sz w:val="18"/>
                <w:szCs w:val="18"/>
              </w:rPr>
              <w:t>656,674</w:t>
            </w:r>
          </w:p>
        </w:tc>
        <w:tc>
          <w:tcPr>
            <w:tcW w:w="1332" w:type="dxa"/>
            <w:tcBorders>
              <w:top w:val="nil"/>
              <w:left w:val="nil"/>
              <w:bottom w:val="nil"/>
              <w:right w:val="nil"/>
            </w:tcBorders>
            <w:shd w:val="clear" w:color="auto" w:fill="auto"/>
            <w:vAlign w:val="bottom"/>
          </w:tcPr>
          <w:p w14:paraId="0801FB25" w14:textId="3E0BDF9C" w:rsidR="00DC5BE9" w:rsidRPr="003E2D55" w:rsidRDefault="00DC5BE9" w:rsidP="003E2D55">
            <w:pPr>
              <w:spacing w:before="40" w:after="20"/>
              <w:jc w:val="right"/>
              <w:rPr>
                <w:rFonts w:cs="Arial"/>
                <w:sz w:val="18"/>
                <w:szCs w:val="18"/>
              </w:rPr>
            </w:pPr>
            <w:r w:rsidRPr="003E2D55">
              <w:rPr>
                <w:rFonts w:cs="Arial"/>
                <w:sz w:val="18"/>
                <w:szCs w:val="18"/>
              </w:rPr>
              <w:t>1,494,500</w:t>
            </w:r>
          </w:p>
        </w:tc>
      </w:tr>
      <w:tr w:rsidR="00DC5BE9" w:rsidRPr="003E2D55" w14:paraId="0A9FB61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C93AE84" w14:textId="77777777" w:rsidR="00DC5BE9" w:rsidRPr="003E2D55" w:rsidRDefault="00DC5BE9" w:rsidP="003E2D55">
            <w:pPr>
              <w:spacing w:before="40" w:after="20"/>
              <w:rPr>
                <w:rFonts w:cs="Arial"/>
                <w:sz w:val="18"/>
                <w:szCs w:val="18"/>
              </w:rPr>
            </w:pPr>
            <w:r w:rsidRPr="003E2D55">
              <w:rPr>
                <w:rFonts w:cs="Arial"/>
                <w:sz w:val="18"/>
                <w:szCs w:val="18"/>
              </w:rPr>
              <w:t>Mount Alexander S</w:t>
            </w:r>
          </w:p>
        </w:tc>
        <w:tc>
          <w:tcPr>
            <w:tcW w:w="1361" w:type="dxa"/>
            <w:tcBorders>
              <w:top w:val="nil"/>
              <w:left w:val="single" w:sz="18" w:space="0" w:color="5F497A" w:themeColor="accent4" w:themeShade="BF"/>
              <w:bottom w:val="nil"/>
              <w:right w:val="nil"/>
            </w:tcBorders>
            <w:shd w:val="clear" w:color="auto" w:fill="auto"/>
            <w:vAlign w:val="bottom"/>
          </w:tcPr>
          <w:p w14:paraId="389ACEE0" w14:textId="688E4321" w:rsidR="00DC5BE9" w:rsidRPr="003E2D55" w:rsidRDefault="00DC5BE9" w:rsidP="003E2D55">
            <w:pPr>
              <w:spacing w:before="40" w:after="20"/>
              <w:jc w:val="right"/>
              <w:rPr>
                <w:rFonts w:cs="Arial"/>
                <w:sz w:val="18"/>
                <w:szCs w:val="18"/>
              </w:rPr>
            </w:pPr>
            <w:r w:rsidRPr="003E2D55">
              <w:rPr>
                <w:rFonts w:cs="Arial"/>
                <w:sz w:val="18"/>
                <w:szCs w:val="18"/>
              </w:rPr>
              <w:t>3,614</w:t>
            </w:r>
          </w:p>
        </w:tc>
        <w:tc>
          <w:tcPr>
            <w:tcW w:w="1361" w:type="dxa"/>
            <w:tcBorders>
              <w:top w:val="nil"/>
              <w:left w:val="nil"/>
              <w:bottom w:val="nil"/>
              <w:right w:val="nil"/>
            </w:tcBorders>
            <w:shd w:val="clear" w:color="auto" w:fill="auto"/>
            <w:vAlign w:val="bottom"/>
          </w:tcPr>
          <w:p w14:paraId="25FF47CF" w14:textId="34B23290" w:rsidR="00DC5BE9" w:rsidRPr="003E2D55" w:rsidRDefault="00DC5BE9" w:rsidP="003E2D55">
            <w:pPr>
              <w:spacing w:before="40" w:after="20"/>
              <w:jc w:val="right"/>
              <w:rPr>
                <w:rFonts w:cs="Arial"/>
                <w:sz w:val="18"/>
                <w:szCs w:val="18"/>
              </w:rPr>
            </w:pPr>
            <w:r w:rsidRPr="003E2D55">
              <w:rPr>
                <w:rFonts w:cs="Arial"/>
                <w:sz w:val="18"/>
                <w:szCs w:val="18"/>
              </w:rPr>
              <w:t>4,100,057</w:t>
            </w:r>
          </w:p>
        </w:tc>
        <w:tc>
          <w:tcPr>
            <w:tcW w:w="1361" w:type="dxa"/>
            <w:tcBorders>
              <w:top w:val="nil"/>
              <w:left w:val="nil"/>
              <w:bottom w:val="nil"/>
              <w:right w:val="nil"/>
            </w:tcBorders>
            <w:shd w:val="clear" w:color="auto" w:fill="auto"/>
            <w:vAlign w:val="bottom"/>
          </w:tcPr>
          <w:p w14:paraId="4D72A145" w14:textId="334A9588" w:rsidR="00DC5BE9" w:rsidRPr="003E2D55" w:rsidRDefault="00DC5BE9" w:rsidP="003E2D55">
            <w:pPr>
              <w:spacing w:before="40" w:after="20"/>
              <w:jc w:val="right"/>
              <w:rPr>
                <w:rFonts w:cs="Arial"/>
                <w:sz w:val="18"/>
                <w:szCs w:val="18"/>
              </w:rPr>
            </w:pPr>
            <w:r w:rsidRPr="003E2D55">
              <w:rPr>
                <w:rFonts w:cs="Arial"/>
                <w:sz w:val="18"/>
                <w:szCs w:val="18"/>
              </w:rPr>
              <w:t>1,934,554</w:t>
            </w:r>
          </w:p>
        </w:tc>
        <w:tc>
          <w:tcPr>
            <w:tcW w:w="1361" w:type="dxa"/>
            <w:tcBorders>
              <w:top w:val="nil"/>
              <w:left w:val="nil"/>
              <w:bottom w:val="nil"/>
              <w:right w:val="nil"/>
            </w:tcBorders>
            <w:shd w:val="clear" w:color="auto" w:fill="auto"/>
            <w:vAlign w:val="bottom"/>
          </w:tcPr>
          <w:p w14:paraId="41A1C270" w14:textId="4F57465E" w:rsidR="00DC5BE9" w:rsidRPr="003E2D55" w:rsidRDefault="00DC5BE9" w:rsidP="003E2D55">
            <w:pPr>
              <w:spacing w:before="40" w:after="20"/>
              <w:jc w:val="right"/>
              <w:rPr>
                <w:rFonts w:cs="Arial"/>
                <w:sz w:val="18"/>
                <w:szCs w:val="18"/>
              </w:rPr>
            </w:pPr>
            <w:r w:rsidRPr="003E2D55">
              <w:rPr>
                <w:rFonts w:cs="Arial"/>
                <w:sz w:val="18"/>
                <w:szCs w:val="18"/>
              </w:rPr>
              <w:t>674,334</w:t>
            </w:r>
          </w:p>
        </w:tc>
        <w:tc>
          <w:tcPr>
            <w:tcW w:w="1332" w:type="dxa"/>
            <w:tcBorders>
              <w:top w:val="nil"/>
              <w:left w:val="nil"/>
              <w:bottom w:val="nil"/>
              <w:right w:val="nil"/>
            </w:tcBorders>
            <w:shd w:val="clear" w:color="auto" w:fill="auto"/>
            <w:vAlign w:val="bottom"/>
          </w:tcPr>
          <w:p w14:paraId="75AD0B84" w14:textId="62335452" w:rsidR="00DC5BE9" w:rsidRPr="003E2D55" w:rsidRDefault="00DC5BE9" w:rsidP="003E2D55">
            <w:pPr>
              <w:spacing w:before="40" w:after="20"/>
              <w:jc w:val="right"/>
              <w:rPr>
                <w:rFonts w:cs="Arial"/>
                <w:sz w:val="18"/>
                <w:szCs w:val="18"/>
              </w:rPr>
            </w:pPr>
            <w:r w:rsidRPr="003E2D55">
              <w:rPr>
                <w:rFonts w:cs="Arial"/>
                <w:sz w:val="18"/>
                <w:szCs w:val="18"/>
              </w:rPr>
              <w:t>109,153</w:t>
            </w:r>
          </w:p>
        </w:tc>
      </w:tr>
      <w:tr w:rsidR="00DC5BE9" w:rsidRPr="003E2D55" w14:paraId="24A2793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C18B8C4" w14:textId="77777777" w:rsidR="00DC5BE9" w:rsidRPr="003E2D55" w:rsidRDefault="00DC5BE9" w:rsidP="003E2D55">
            <w:pPr>
              <w:spacing w:before="40" w:after="20"/>
              <w:rPr>
                <w:rFonts w:cs="Arial"/>
                <w:sz w:val="18"/>
                <w:szCs w:val="18"/>
              </w:rPr>
            </w:pPr>
            <w:r w:rsidRPr="003E2D55">
              <w:rPr>
                <w:rFonts w:cs="Arial"/>
                <w:sz w:val="18"/>
                <w:szCs w:val="18"/>
              </w:rPr>
              <w:t>Moyne S</w:t>
            </w:r>
          </w:p>
        </w:tc>
        <w:tc>
          <w:tcPr>
            <w:tcW w:w="1361" w:type="dxa"/>
            <w:tcBorders>
              <w:top w:val="nil"/>
              <w:left w:val="single" w:sz="18" w:space="0" w:color="5F497A" w:themeColor="accent4" w:themeShade="BF"/>
              <w:bottom w:val="nil"/>
              <w:right w:val="nil"/>
            </w:tcBorders>
            <w:shd w:val="clear" w:color="auto" w:fill="auto"/>
            <w:vAlign w:val="bottom"/>
          </w:tcPr>
          <w:p w14:paraId="4B750414" w14:textId="6636B543" w:rsidR="00DC5BE9" w:rsidRPr="003E2D55" w:rsidRDefault="00DC5BE9" w:rsidP="003E2D55">
            <w:pPr>
              <w:spacing w:before="40" w:after="20"/>
              <w:jc w:val="right"/>
              <w:rPr>
                <w:rFonts w:cs="Arial"/>
                <w:sz w:val="18"/>
                <w:szCs w:val="18"/>
              </w:rPr>
            </w:pPr>
            <w:r w:rsidRPr="003E2D55">
              <w:rPr>
                <w:rFonts w:cs="Arial"/>
                <w:sz w:val="18"/>
                <w:szCs w:val="18"/>
              </w:rPr>
              <w:t>62,265</w:t>
            </w:r>
          </w:p>
        </w:tc>
        <w:tc>
          <w:tcPr>
            <w:tcW w:w="1361" w:type="dxa"/>
            <w:tcBorders>
              <w:top w:val="nil"/>
              <w:left w:val="nil"/>
              <w:bottom w:val="nil"/>
              <w:right w:val="nil"/>
            </w:tcBorders>
            <w:shd w:val="clear" w:color="auto" w:fill="auto"/>
            <w:vAlign w:val="bottom"/>
          </w:tcPr>
          <w:p w14:paraId="632A5B0A" w14:textId="5BD4C59F" w:rsidR="00DC5BE9" w:rsidRPr="003E2D55" w:rsidRDefault="00DC5BE9" w:rsidP="003E2D55">
            <w:pPr>
              <w:spacing w:before="40" w:after="20"/>
              <w:jc w:val="right"/>
              <w:rPr>
                <w:rFonts w:cs="Arial"/>
                <w:sz w:val="18"/>
                <w:szCs w:val="18"/>
              </w:rPr>
            </w:pPr>
            <w:r w:rsidRPr="003E2D55">
              <w:rPr>
                <w:rFonts w:cs="Arial"/>
                <w:sz w:val="18"/>
                <w:szCs w:val="18"/>
              </w:rPr>
              <w:t>13,774,271</w:t>
            </w:r>
          </w:p>
        </w:tc>
        <w:tc>
          <w:tcPr>
            <w:tcW w:w="1361" w:type="dxa"/>
            <w:tcBorders>
              <w:top w:val="nil"/>
              <w:left w:val="nil"/>
              <w:bottom w:val="nil"/>
              <w:right w:val="nil"/>
            </w:tcBorders>
            <w:shd w:val="clear" w:color="auto" w:fill="auto"/>
            <w:vAlign w:val="bottom"/>
          </w:tcPr>
          <w:p w14:paraId="6AF37E6C" w14:textId="0CAE4F63" w:rsidR="00DC5BE9" w:rsidRPr="003E2D55" w:rsidRDefault="00DC5BE9" w:rsidP="003E2D55">
            <w:pPr>
              <w:spacing w:before="40" w:after="20"/>
              <w:jc w:val="right"/>
              <w:rPr>
                <w:rFonts w:cs="Arial"/>
                <w:sz w:val="18"/>
                <w:szCs w:val="18"/>
              </w:rPr>
            </w:pPr>
            <w:r w:rsidRPr="003E2D55">
              <w:rPr>
                <w:rFonts w:cs="Arial"/>
                <w:sz w:val="18"/>
                <w:szCs w:val="18"/>
              </w:rPr>
              <w:t>7,408,955</w:t>
            </w:r>
          </w:p>
        </w:tc>
        <w:tc>
          <w:tcPr>
            <w:tcW w:w="1361" w:type="dxa"/>
            <w:tcBorders>
              <w:top w:val="nil"/>
              <w:left w:val="nil"/>
              <w:bottom w:val="nil"/>
              <w:right w:val="nil"/>
            </w:tcBorders>
            <w:shd w:val="clear" w:color="auto" w:fill="auto"/>
            <w:vAlign w:val="bottom"/>
          </w:tcPr>
          <w:p w14:paraId="1A45F5BD" w14:textId="16284EA7" w:rsidR="00DC5BE9" w:rsidRPr="003E2D55" w:rsidRDefault="00DC5BE9" w:rsidP="003E2D55">
            <w:pPr>
              <w:spacing w:before="40" w:after="20"/>
              <w:jc w:val="right"/>
              <w:rPr>
                <w:rFonts w:cs="Arial"/>
                <w:sz w:val="18"/>
                <w:szCs w:val="18"/>
              </w:rPr>
            </w:pPr>
            <w:r w:rsidRPr="003E2D55">
              <w:rPr>
                <w:rFonts w:cs="Arial"/>
                <w:sz w:val="18"/>
                <w:szCs w:val="18"/>
              </w:rPr>
              <w:t>360,219</w:t>
            </w:r>
          </w:p>
        </w:tc>
        <w:tc>
          <w:tcPr>
            <w:tcW w:w="1332" w:type="dxa"/>
            <w:tcBorders>
              <w:top w:val="nil"/>
              <w:left w:val="nil"/>
              <w:bottom w:val="nil"/>
              <w:right w:val="nil"/>
            </w:tcBorders>
            <w:shd w:val="clear" w:color="auto" w:fill="auto"/>
            <w:vAlign w:val="bottom"/>
          </w:tcPr>
          <w:p w14:paraId="08F11AEC" w14:textId="235E0D4C" w:rsidR="00DC5BE9" w:rsidRPr="003E2D55" w:rsidRDefault="00DC5BE9" w:rsidP="003E2D55">
            <w:pPr>
              <w:spacing w:before="40" w:after="20"/>
              <w:jc w:val="right"/>
              <w:rPr>
                <w:rFonts w:cs="Arial"/>
                <w:sz w:val="18"/>
                <w:szCs w:val="18"/>
              </w:rPr>
            </w:pPr>
            <w:r w:rsidRPr="003E2D55">
              <w:rPr>
                <w:rFonts w:cs="Arial"/>
                <w:sz w:val="18"/>
                <w:szCs w:val="18"/>
              </w:rPr>
              <w:t>200,624</w:t>
            </w:r>
          </w:p>
        </w:tc>
      </w:tr>
      <w:tr w:rsidR="00DC5BE9" w:rsidRPr="003E2D55" w14:paraId="202A97D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812317E" w14:textId="77777777" w:rsidR="00DC5BE9" w:rsidRPr="003E2D55" w:rsidRDefault="00DC5BE9" w:rsidP="003E2D55">
            <w:pPr>
              <w:spacing w:before="40" w:after="20"/>
              <w:rPr>
                <w:rFonts w:cs="Arial"/>
                <w:sz w:val="18"/>
                <w:szCs w:val="18"/>
              </w:rPr>
            </w:pPr>
            <w:r w:rsidRPr="003E2D55">
              <w:rPr>
                <w:rFonts w:cs="Arial"/>
                <w:sz w:val="18"/>
                <w:szCs w:val="18"/>
              </w:rPr>
              <w:t>Murrindindi S</w:t>
            </w:r>
          </w:p>
        </w:tc>
        <w:tc>
          <w:tcPr>
            <w:tcW w:w="1361" w:type="dxa"/>
            <w:tcBorders>
              <w:top w:val="nil"/>
              <w:left w:val="single" w:sz="18" w:space="0" w:color="5F497A" w:themeColor="accent4" w:themeShade="BF"/>
              <w:bottom w:val="nil"/>
              <w:right w:val="nil"/>
            </w:tcBorders>
            <w:shd w:val="clear" w:color="auto" w:fill="auto"/>
            <w:vAlign w:val="bottom"/>
          </w:tcPr>
          <w:p w14:paraId="3D016CD1" w14:textId="6A30F206" w:rsidR="00DC5BE9" w:rsidRPr="003E2D55" w:rsidRDefault="00DC5BE9" w:rsidP="003E2D55">
            <w:pPr>
              <w:spacing w:before="40" w:after="20"/>
              <w:jc w:val="right"/>
              <w:rPr>
                <w:rFonts w:cs="Arial"/>
                <w:sz w:val="18"/>
                <w:szCs w:val="18"/>
              </w:rPr>
            </w:pPr>
            <w:r w:rsidRPr="003E2D55">
              <w:rPr>
                <w:rFonts w:cs="Arial"/>
                <w:sz w:val="18"/>
                <w:szCs w:val="18"/>
              </w:rPr>
              <w:t>27,637</w:t>
            </w:r>
          </w:p>
        </w:tc>
        <w:tc>
          <w:tcPr>
            <w:tcW w:w="1361" w:type="dxa"/>
            <w:tcBorders>
              <w:top w:val="nil"/>
              <w:left w:val="nil"/>
              <w:bottom w:val="nil"/>
              <w:right w:val="nil"/>
            </w:tcBorders>
            <w:shd w:val="clear" w:color="auto" w:fill="auto"/>
            <w:vAlign w:val="bottom"/>
          </w:tcPr>
          <w:p w14:paraId="7AB850AF" w14:textId="72C1D314" w:rsidR="00DC5BE9" w:rsidRPr="003E2D55" w:rsidRDefault="00DC5BE9" w:rsidP="003E2D55">
            <w:pPr>
              <w:spacing w:before="40" w:after="20"/>
              <w:jc w:val="right"/>
              <w:rPr>
                <w:rFonts w:cs="Arial"/>
                <w:sz w:val="18"/>
                <w:szCs w:val="18"/>
              </w:rPr>
            </w:pPr>
            <w:r w:rsidRPr="003E2D55">
              <w:rPr>
                <w:rFonts w:cs="Arial"/>
                <w:sz w:val="18"/>
                <w:szCs w:val="18"/>
              </w:rPr>
              <w:t>3,098,938</w:t>
            </w:r>
          </w:p>
        </w:tc>
        <w:tc>
          <w:tcPr>
            <w:tcW w:w="1361" w:type="dxa"/>
            <w:tcBorders>
              <w:top w:val="nil"/>
              <w:left w:val="nil"/>
              <w:bottom w:val="nil"/>
              <w:right w:val="nil"/>
            </w:tcBorders>
            <w:shd w:val="clear" w:color="auto" w:fill="auto"/>
            <w:vAlign w:val="bottom"/>
          </w:tcPr>
          <w:p w14:paraId="0BFC43B6" w14:textId="10CB8C9F" w:rsidR="00DC5BE9" w:rsidRPr="003E2D55" w:rsidRDefault="00DC5BE9" w:rsidP="003E2D55">
            <w:pPr>
              <w:spacing w:before="40" w:after="20"/>
              <w:jc w:val="right"/>
              <w:rPr>
                <w:rFonts w:cs="Arial"/>
                <w:sz w:val="18"/>
                <w:szCs w:val="18"/>
              </w:rPr>
            </w:pPr>
            <w:r w:rsidRPr="003E2D55">
              <w:rPr>
                <w:rFonts w:cs="Arial"/>
                <w:sz w:val="18"/>
                <w:szCs w:val="18"/>
              </w:rPr>
              <w:t>3,717,706</w:t>
            </w:r>
          </w:p>
        </w:tc>
        <w:tc>
          <w:tcPr>
            <w:tcW w:w="1361" w:type="dxa"/>
            <w:tcBorders>
              <w:top w:val="nil"/>
              <w:left w:val="nil"/>
              <w:bottom w:val="nil"/>
              <w:right w:val="nil"/>
            </w:tcBorders>
            <w:shd w:val="clear" w:color="auto" w:fill="auto"/>
            <w:vAlign w:val="bottom"/>
          </w:tcPr>
          <w:p w14:paraId="67BE5397" w14:textId="6BDE6808" w:rsidR="00DC5BE9" w:rsidRPr="003E2D55" w:rsidRDefault="00DC5BE9" w:rsidP="003E2D55">
            <w:pPr>
              <w:spacing w:before="40" w:after="20"/>
              <w:jc w:val="right"/>
              <w:rPr>
                <w:rFonts w:cs="Arial"/>
                <w:sz w:val="18"/>
                <w:szCs w:val="18"/>
              </w:rPr>
            </w:pPr>
            <w:r w:rsidRPr="003E2D55">
              <w:rPr>
                <w:rFonts w:cs="Arial"/>
                <w:sz w:val="18"/>
                <w:szCs w:val="18"/>
              </w:rPr>
              <w:t>379,924</w:t>
            </w:r>
          </w:p>
        </w:tc>
        <w:tc>
          <w:tcPr>
            <w:tcW w:w="1332" w:type="dxa"/>
            <w:tcBorders>
              <w:top w:val="nil"/>
              <w:left w:val="nil"/>
              <w:bottom w:val="nil"/>
              <w:right w:val="nil"/>
            </w:tcBorders>
            <w:shd w:val="clear" w:color="auto" w:fill="auto"/>
            <w:vAlign w:val="bottom"/>
          </w:tcPr>
          <w:p w14:paraId="0B99A3B9" w14:textId="4E49E48E" w:rsidR="00DC5BE9" w:rsidRPr="003E2D55" w:rsidRDefault="00DC5BE9" w:rsidP="003E2D55">
            <w:pPr>
              <w:spacing w:before="40" w:after="20"/>
              <w:jc w:val="right"/>
              <w:rPr>
                <w:rFonts w:cs="Arial"/>
                <w:sz w:val="18"/>
                <w:szCs w:val="18"/>
              </w:rPr>
            </w:pPr>
            <w:r w:rsidRPr="003E2D55">
              <w:rPr>
                <w:rFonts w:cs="Arial"/>
                <w:sz w:val="18"/>
                <w:szCs w:val="18"/>
              </w:rPr>
              <w:t>211,843</w:t>
            </w:r>
          </w:p>
        </w:tc>
      </w:tr>
      <w:tr w:rsidR="00DC5BE9" w:rsidRPr="003E2D55" w14:paraId="30C5E1F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D1016AF" w14:textId="77777777" w:rsidR="00DC5BE9" w:rsidRPr="003E2D55" w:rsidRDefault="00DC5BE9" w:rsidP="003E2D55">
            <w:pPr>
              <w:spacing w:before="40" w:after="20"/>
              <w:rPr>
                <w:rFonts w:cs="Arial"/>
                <w:sz w:val="18"/>
                <w:szCs w:val="18"/>
              </w:rPr>
            </w:pPr>
            <w:r w:rsidRPr="003E2D55">
              <w:rPr>
                <w:rFonts w:cs="Arial"/>
                <w:sz w:val="18"/>
                <w:szCs w:val="18"/>
              </w:rPr>
              <w:t>Nillumbik S</w:t>
            </w:r>
          </w:p>
        </w:tc>
        <w:tc>
          <w:tcPr>
            <w:tcW w:w="1361" w:type="dxa"/>
            <w:tcBorders>
              <w:top w:val="nil"/>
              <w:left w:val="single" w:sz="18" w:space="0" w:color="5F497A" w:themeColor="accent4" w:themeShade="BF"/>
              <w:bottom w:val="nil"/>
              <w:right w:val="nil"/>
            </w:tcBorders>
            <w:shd w:val="clear" w:color="auto" w:fill="auto"/>
            <w:vAlign w:val="bottom"/>
          </w:tcPr>
          <w:p w14:paraId="0D42E98E" w14:textId="03D1F9ED"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5B06A5FB" w14:textId="296DA083" w:rsidR="00DC5BE9" w:rsidRPr="003E2D55" w:rsidRDefault="00DC5BE9" w:rsidP="003E2D55">
            <w:pPr>
              <w:spacing w:before="40" w:after="20"/>
              <w:jc w:val="right"/>
              <w:rPr>
                <w:rFonts w:cs="Arial"/>
                <w:sz w:val="18"/>
                <w:szCs w:val="18"/>
              </w:rPr>
            </w:pPr>
            <w:r w:rsidRPr="003E2D55">
              <w:rPr>
                <w:rFonts w:cs="Arial"/>
                <w:sz w:val="18"/>
                <w:szCs w:val="18"/>
              </w:rPr>
              <w:t>586,688</w:t>
            </w:r>
          </w:p>
        </w:tc>
        <w:tc>
          <w:tcPr>
            <w:tcW w:w="1361" w:type="dxa"/>
            <w:tcBorders>
              <w:top w:val="nil"/>
              <w:left w:val="nil"/>
              <w:bottom w:val="nil"/>
              <w:right w:val="nil"/>
            </w:tcBorders>
            <w:shd w:val="clear" w:color="auto" w:fill="auto"/>
            <w:vAlign w:val="bottom"/>
          </w:tcPr>
          <w:p w14:paraId="291A6D45" w14:textId="6DB389E5" w:rsidR="00DC5BE9" w:rsidRPr="003E2D55" w:rsidRDefault="00DC5BE9" w:rsidP="003E2D55">
            <w:pPr>
              <w:spacing w:before="40" w:after="20"/>
              <w:jc w:val="right"/>
              <w:rPr>
                <w:rFonts w:cs="Arial"/>
                <w:sz w:val="18"/>
                <w:szCs w:val="18"/>
              </w:rPr>
            </w:pPr>
            <w:r w:rsidRPr="003E2D55">
              <w:rPr>
                <w:rFonts w:cs="Arial"/>
                <w:sz w:val="18"/>
                <w:szCs w:val="18"/>
              </w:rPr>
              <w:t>2,727,270</w:t>
            </w:r>
          </w:p>
        </w:tc>
        <w:tc>
          <w:tcPr>
            <w:tcW w:w="1361" w:type="dxa"/>
            <w:tcBorders>
              <w:top w:val="nil"/>
              <w:left w:val="nil"/>
              <w:bottom w:val="nil"/>
              <w:right w:val="nil"/>
            </w:tcBorders>
            <w:shd w:val="clear" w:color="auto" w:fill="auto"/>
            <w:vAlign w:val="bottom"/>
          </w:tcPr>
          <w:p w14:paraId="75DEB6CC" w14:textId="1BBDFAE6" w:rsidR="00DC5BE9" w:rsidRPr="003E2D55" w:rsidRDefault="00DC5BE9" w:rsidP="003E2D55">
            <w:pPr>
              <w:spacing w:before="40" w:after="20"/>
              <w:jc w:val="right"/>
              <w:rPr>
                <w:rFonts w:cs="Arial"/>
                <w:sz w:val="18"/>
                <w:szCs w:val="18"/>
              </w:rPr>
            </w:pPr>
            <w:r w:rsidRPr="003E2D55">
              <w:rPr>
                <w:rFonts w:cs="Arial"/>
                <w:sz w:val="18"/>
                <w:szCs w:val="18"/>
              </w:rPr>
              <w:t>196,123</w:t>
            </w:r>
          </w:p>
        </w:tc>
        <w:tc>
          <w:tcPr>
            <w:tcW w:w="1332" w:type="dxa"/>
            <w:tcBorders>
              <w:top w:val="nil"/>
              <w:left w:val="nil"/>
              <w:bottom w:val="nil"/>
              <w:right w:val="nil"/>
            </w:tcBorders>
            <w:shd w:val="clear" w:color="auto" w:fill="auto"/>
            <w:vAlign w:val="bottom"/>
          </w:tcPr>
          <w:p w14:paraId="7C179BEE" w14:textId="624F01D3" w:rsidR="00DC5BE9" w:rsidRPr="003E2D55" w:rsidRDefault="00DC5BE9" w:rsidP="003E2D55">
            <w:pPr>
              <w:spacing w:before="40" w:after="20"/>
              <w:jc w:val="right"/>
              <w:rPr>
                <w:rFonts w:cs="Arial"/>
                <w:sz w:val="18"/>
                <w:szCs w:val="18"/>
              </w:rPr>
            </w:pPr>
            <w:r w:rsidRPr="003E2D55">
              <w:rPr>
                <w:rFonts w:cs="Arial"/>
                <w:sz w:val="18"/>
                <w:szCs w:val="18"/>
              </w:rPr>
              <w:t>151,108</w:t>
            </w:r>
          </w:p>
        </w:tc>
      </w:tr>
      <w:tr w:rsidR="00DC5BE9" w:rsidRPr="003E2D55" w14:paraId="54F46AF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27B695F" w14:textId="77777777" w:rsidR="00DC5BE9" w:rsidRPr="003E2D55" w:rsidRDefault="00DC5BE9" w:rsidP="003E2D55">
            <w:pPr>
              <w:spacing w:before="40" w:after="20"/>
              <w:rPr>
                <w:rFonts w:cs="Arial"/>
                <w:sz w:val="18"/>
                <w:szCs w:val="18"/>
              </w:rPr>
            </w:pPr>
            <w:r w:rsidRPr="003E2D55">
              <w:rPr>
                <w:rFonts w:cs="Arial"/>
                <w:sz w:val="18"/>
                <w:szCs w:val="18"/>
              </w:rPr>
              <w:t>Northern Grampians S</w:t>
            </w:r>
          </w:p>
        </w:tc>
        <w:tc>
          <w:tcPr>
            <w:tcW w:w="1361" w:type="dxa"/>
            <w:tcBorders>
              <w:top w:val="nil"/>
              <w:left w:val="single" w:sz="18" w:space="0" w:color="5F497A" w:themeColor="accent4" w:themeShade="BF"/>
              <w:bottom w:val="nil"/>
              <w:right w:val="nil"/>
            </w:tcBorders>
            <w:shd w:val="clear" w:color="auto" w:fill="auto"/>
            <w:vAlign w:val="bottom"/>
          </w:tcPr>
          <w:p w14:paraId="43863FC6" w14:textId="0C05E54E" w:rsidR="00DC5BE9" w:rsidRPr="003E2D55" w:rsidRDefault="00DC5BE9" w:rsidP="003E2D55">
            <w:pPr>
              <w:spacing w:before="40" w:after="20"/>
              <w:jc w:val="right"/>
              <w:rPr>
                <w:rFonts w:cs="Arial"/>
                <w:sz w:val="18"/>
                <w:szCs w:val="18"/>
              </w:rPr>
            </w:pPr>
            <w:r w:rsidRPr="003E2D55">
              <w:rPr>
                <w:rFonts w:cs="Arial"/>
                <w:sz w:val="18"/>
                <w:szCs w:val="18"/>
              </w:rPr>
              <w:t>259,250</w:t>
            </w:r>
          </w:p>
        </w:tc>
        <w:tc>
          <w:tcPr>
            <w:tcW w:w="1361" w:type="dxa"/>
            <w:tcBorders>
              <w:top w:val="nil"/>
              <w:left w:val="nil"/>
              <w:bottom w:val="nil"/>
              <w:right w:val="nil"/>
            </w:tcBorders>
            <w:shd w:val="clear" w:color="auto" w:fill="auto"/>
            <w:vAlign w:val="bottom"/>
          </w:tcPr>
          <w:p w14:paraId="104955BD" w14:textId="593A9928" w:rsidR="00DC5BE9" w:rsidRPr="003E2D55" w:rsidRDefault="00DC5BE9" w:rsidP="003E2D55">
            <w:pPr>
              <w:spacing w:before="40" w:after="20"/>
              <w:jc w:val="right"/>
              <w:rPr>
                <w:rFonts w:cs="Arial"/>
                <w:sz w:val="18"/>
                <w:szCs w:val="18"/>
              </w:rPr>
            </w:pPr>
            <w:r w:rsidRPr="003E2D55">
              <w:rPr>
                <w:rFonts w:cs="Arial"/>
                <w:sz w:val="18"/>
                <w:szCs w:val="18"/>
              </w:rPr>
              <w:t>11,524,299</w:t>
            </w:r>
          </w:p>
        </w:tc>
        <w:tc>
          <w:tcPr>
            <w:tcW w:w="1361" w:type="dxa"/>
            <w:tcBorders>
              <w:top w:val="nil"/>
              <w:left w:val="nil"/>
              <w:bottom w:val="nil"/>
              <w:right w:val="nil"/>
            </w:tcBorders>
            <w:shd w:val="clear" w:color="auto" w:fill="auto"/>
            <w:vAlign w:val="bottom"/>
          </w:tcPr>
          <w:p w14:paraId="686B0016" w14:textId="381279BC" w:rsidR="00DC5BE9" w:rsidRPr="003E2D55" w:rsidRDefault="00DC5BE9" w:rsidP="003E2D55">
            <w:pPr>
              <w:spacing w:before="40" w:after="20"/>
              <w:jc w:val="right"/>
              <w:rPr>
                <w:rFonts w:cs="Arial"/>
                <w:sz w:val="18"/>
                <w:szCs w:val="18"/>
              </w:rPr>
            </w:pPr>
            <w:r w:rsidRPr="003E2D55">
              <w:rPr>
                <w:rFonts w:cs="Arial"/>
                <w:sz w:val="18"/>
                <w:szCs w:val="18"/>
              </w:rPr>
              <w:t>2,457,020</w:t>
            </w:r>
          </w:p>
        </w:tc>
        <w:tc>
          <w:tcPr>
            <w:tcW w:w="1361" w:type="dxa"/>
            <w:tcBorders>
              <w:top w:val="nil"/>
              <w:left w:val="nil"/>
              <w:bottom w:val="nil"/>
              <w:right w:val="nil"/>
            </w:tcBorders>
            <w:shd w:val="clear" w:color="auto" w:fill="auto"/>
            <w:vAlign w:val="bottom"/>
          </w:tcPr>
          <w:p w14:paraId="6BEF3052" w14:textId="37D4F1D8" w:rsidR="00DC5BE9" w:rsidRPr="003E2D55" w:rsidRDefault="00DC5BE9" w:rsidP="003E2D55">
            <w:pPr>
              <w:spacing w:before="40" w:after="20"/>
              <w:jc w:val="right"/>
              <w:rPr>
                <w:rFonts w:cs="Arial"/>
                <w:sz w:val="18"/>
                <w:szCs w:val="18"/>
              </w:rPr>
            </w:pPr>
            <w:r w:rsidRPr="003E2D55">
              <w:rPr>
                <w:rFonts w:cs="Arial"/>
                <w:sz w:val="18"/>
                <w:szCs w:val="18"/>
              </w:rPr>
              <w:t>0</w:t>
            </w:r>
          </w:p>
        </w:tc>
        <w:tc>
          <w:tcPr>
            <w:tcW w:w="1332" w:type="dxa"/>
            <w:tcBorders>
              <w:top w:val="nil"/>
              <w:left w:val="nil"/>
              <w:bottom w:val="nil"/>
              <w:right w:val="nil"/>
            </w:tcBorders>
            <w:shd w:val="clear" w:color="auto" w:fill="auto"/>
            <w:vAlign w:val="bottom"/>
          </w:tcPr>
          <w:p w14:paraId="521D9BF2" w14:textId="7F4ECF6B"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7F94721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FB7FCE4" w14:textId="77777777" w:rsidR="00DC5BE9" w:rsidRPr="003E2D55" w:rsidRDefault="00DC5BE9" w:rsidP="003E2D55">
            <w:pPr>
              <w:spacing w:before="40" w:after="20"/>
              <w:rPr>
                <w:rFonts w:cs="Arial"/>
                <w:sz w:val="18"/>
                <w:szCs w:val="18"/>
              </w:rPr>
            </w:pPr>
            <w:r w:rsidRPr="003E2D55">
              <w:rPr>
                <w:rFonts w:cs="Arial"/>
                <w:sz w:val="18"/>
                <w:szCs w:val="18"/>
              </w:rPr>
              <w:t>Port Phillip C</w:t>
            </w:r>
          </w:p>
        </w:tc>
        <w:tc>
          <w:tcPr>
            <w:tcW w:w="1361" w:type="dxa"/>
            <w:tcBorders>
              <w:top w:val="nil"/>
              <w:left w:val="single" w:sz="18" w:space="0" w:color="5F497A" w:themeColor="accent4" w:themeShade="BF"/>
              <w:bottom w:val="nil"/>
              <w:right w:val="nil"/>
            </w:tcBorders>
            <w:shd w:val="clear" w:color="auto" w:fill="auto"/>
            <w:vAlign w:val="bottom"/>
          </w:tcPr>
          <w:p w14:paraId="106D8009" w14:textId="0D7847EA"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53D59E81" w14:textId="5A6BA237"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452E8E69" w14:textId="6E3AF962"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261A19EE" w14:textId="677E29E6" w:rsidR="00DC5BE9" w:rsidRPr="003E2D55" w:rsidRDefault="00DC5BE9" w:rsidP="003E2D55">
            <w:pPr>
              <w:spacing w:before="40" w:after="20"/>
              <w:jc w:val="right"/>
              <w:rPr>
                <w:rFonts w:cs="Arial"/>
                <w:sz w:val="18"/>
                <w:szCs w:val="18"/>
              </w:rPr>
            </w:pPr>
            <w:r w:rsidRPr="003E2D55">
              <w:rPr>
                <w:rFonts w:cs="Arial"/>
                <w:sz w:val="18"/>
                <w:szCs w:val="18"/>
              </w:rPr>
              <w:t>0</w:t>
            </w:r>
          </w:p>
        </w:tc>
        <w:tc>
          <w:tcPr>
            <w:tcW w:w="1332" w:type="dxa"/>
            <w:tcBorders>
              <w:top w:val="nil"/>
              <w:left w:val="nil"/>
              <w:bottom w:val="nil"/>
              <w:right w:val="nil"/>
            </w:tcBorders>
            <w:shd w:val="clear" w:color="auto" w:fill="auto"/>
            <w:vAlign w:val="bottom"/>
          </w:tcPr>
          <w:p w14:paraId="52617363" w14:textId="6E1A3BC9"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5CF30A6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CE976A7" w14:textId="77777777" w:rsidR="00DC5BE9" w:rsidRPr="003E2D55" w:rsidRDefault="00DC5BE9" w:rsidP="003E2D55">
            <w:pPr>
              <w:spacing w:before="40" w:after="20"/>
              <w:rPr>
                <w:rFonts w:cs="Arial"/>
                <w:sz w:val="18"/>
                <w:szCs w:val="18"/>
              </w:rPr>
            </w:pPr>
            <w:r w:rsidRPr="003E2D55">
              <w:rPr>
                <w:rFonts w:cs="Arial"/>
                <w:sz w:val="18"/>
                <w:szCs w:val="18"/>
              </w:rPr>
              <w:t>Pyrenees S</w:t>
            </w:r>
          </w:p>
        </w:tc>
        <w:tc>
          <w:tcPr>
            <w:tcW w:w="1361" w:type="dxa"/>
            <w:tcBorders>
              <w:top w:val="nil"/>
              <w:left w:val="single" w:sz="18" w:space="0" w:color="5F497A" w:themeColor="accent4" w:themeShade="BF"/>
              <w:bottom w:val="nil"/>
              <w:right w:val="nil"/>
            </w:tcBorders>
            <w:shd w:val="clear" w:color="auto" w:fill="auto"/>
            <w:vAlign w:val="bottom"/>
          </w:tcPr>
          <w:p w14:paraId="2379DB95" w14:textId="7F74890C" w:rsidR="00DC5BE9" w:rsidRPr="003E2D55" w:rsidRDefault="00DC5BE9" w:rsidP="003E2D55">
            <w:pPr>
              <w:spacing w:before="40" w:after="20"/>
              <w:jc w:val="right"/>
              <w:rPr>
                <w:rFonts w:cs="Arial"/>
                <w:sz w:val="18"/>
                <w:szCs w:val="18"/>
              </w:rPr>
            </w:pPr>
            <w:r w:rsidRPr="003E2D55">
              <w:rPr>
                <w:rFonts w:cs="Arial"/>
                <w:sz w:val="18"/>
                <w:szCs w:val="18"/>
              </w:rPr>
              <w:t>37,210</w:t>
            </w:r>
          </w:p>
        </w:tc>
        <w:tc>
          <w:tcPr>
            <w:tcW w:w="1361" w:type="dxa"/>
            <w:tcBorders>
              <w:top w:val="nil"/>
              <w:left w:val="nil"/>
              <w:bottom w:val="nil"/>
              <w:right w:val="nil"/>
            </w:tcBorders>
            <w:shd w:val="clear" w:color="auto" w:fill="auto"/>
            <w:vAlign w:val="bottom"/>
          </w:tcPr>
          <w:p w14:paraId="14E9A0CC" w14:textId="34BA9B74" w:rsidR="00DC5BE9" w:rsidRPr="003E2D55" w:rsidRDefault="00DC5BE9" w:rsidP="003E2D55">
            <w:pPr>
              <w:spacing w:before="40" w:after="20"/>
              <w:jc w:val="right"/>
              <w:rPr>
                <w:rFonts w:cs="Arial"/>
                <w:sz w:val="18"/>
                <w:szCs w:val="18"/>
              </w:rPr>
            </w:pPr>
            <w:r w:rsidRPr="003E2D55">
              <w:rPr>
                <w:rFonts w:cs="Arial"/>
                <w:sz w:val="18"/>
                <w:szCs w:val="18"/>
              </w:rPr>
              <w:t>7,097,636</w:t>
            </w:r>
          </w:p>
        </w:tc>
        <w:tc>
          <w:tcPr>
            <w:tcW w:w="1361" w:type="dxa"/>
            <w:tcBorders>
              <w:top w:val="nil"/>
              <w:left w:val="nil"/>
              <w:bottom w:val="nil"/>
              <w:right w:val="nil"/>
            </w:tcBorders>
            <w:shd w:val="clear" w:color="auto" w:fill="auto"/>
            <w:vAlign w:val="bottom"/>
          </w:tcPr>
          <w:p w14:paraId="61CA7864" w14:textId="75EA81FC" w:rsidR="00DC5BE9" w:rsidRPr="003E2D55" w:rsidRDefault="00DC5BE9" w:rsidP="003E2D55">
            <w:pPr>
              <w:spacing w:before="40" w:after="20"/>
              <w:jc w:val="right"/>
              <w:rPr>
                <w:rFonts w:cs="Arial"/>
                <w:sz w:val="18"/>
                <w:szCs w:val="18"/>
              </w:rPr>
            </w:pPr>
            <w:r w:rsidRPr="003E2D55">
              <w:rPr>
                <w:rFonts w:cs="Arial"/>
                <w:sz w:val="18"/>
                <w:szCs w:val="18"/>
              </w:rPr>
              <w:t>3,538,961</w:t>
            </w:r>
          </w:p>
        </w:tc>
        <w:tc>
          <w:tcPr>
            <w:tcW w:w="1361" w:type="dxa"/>
            <w:tcBorders>
              <w:top w:val="nil"/>
              <w:left w:val="nil"/>
              <w:bottom w:val="nil"/>
              <w:right w:val="nil"/>
            </w:tcBorders>
            <w:shd w:val="clear" w:color="auto" w:fill="auto"/>
            <w:vAlign w:val="bottom"/>
          </w:tcPr>
          <w:p w14:paraId="2F797CB4" w14:textId="4089A060" w:rsidR="00DC5BE9" w:rsidRPr="003E2D55" w:rsidRDefault="00DC5BE9" w:rsidP="003E2D55">
            <w:pPr>
              <w:spacing w:before="40" w:after="20"/>
              <w:jc w:val="right"/>
              <w:rPr>
                <w:rFonts w:cs="Arial"/>
                <w:sz w:val="18"/>
                <w:szCs w:val="18"/>
              </w:rPr>
            </w:pPr>
            <w:r w:rsidRPr="003E2D55">
              <w:rPr>
                <w:rFonts w:cs="Arial"/>
                <w:sz w:val="18"/>
                <w:szCs w:val="18"/>
              </w:rPr>
              <w:t>207,257</w:t>
            </w:r>
          </w:p>
        </w:tc>
        <w:tc>
          <w:tcPr>
            <w:tcW w:w="1332" w:type="dxa"/>
            <w:tcBorders>
              <w:top w:val="nil"/>
              <w:left w:val="nil"/>
              <w:bottom w:val="nil"/>
              <w:right w:val="nil"/>
            </w:tcBorders>
            <w:shd w:val="clear" w:color="auto" w:fill="auto"/>
            <w:vAlign w:val="bottom"/>
          </w:tcPr>
          <w:p w14:paraId="62B1E034" w14:textId="7ADA5837"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181D734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2E3C1C6" w14:textId="77777777" w:rsidR="00DC5BE9" w:rsidRPr="003E2D55" w:rsidRDefault="00DC5BE9" w:rsidP="003E2D55">
            <w:pPr>
              <w:spacing w:before="40" w:after="20"/>
              <w:rPr>
                <w:rFonts w:cs="Arial"/>
                <w:sz w:val="18"/>
                <w:szCs w:val="18"/>
              </w:rPr>
            </w:pPr>
            <w:r w:rsidRPr="003E2D55">
              <w:rPr>
                <w:rFonts w:cs="Arial"/>
                <w:sz w:val="18"/>
                <w:szCs w:val="18"/>
              </w:rPr>
              <w:t>Queenscliffe B</w:t>
            </w:r>
          </w:p>
        </w:tc>
        <w:tc>
          <w:tcPr>
            <w:tcW w:w="1361" w:type="dxa"/>
            <w:tcBorders>
              <w:top w:val="nil"/>
              <w:left w:val="single" w:sz="18" w:space="0" w:color="5F497A" w:themeColor="accent4" w:themeShade="BF"/>
              <w:bottom w:val="nil"/>
              <w:right w:val="nil"/>
            </w:tcBorders>
            <w:shd w:val="clear" w:color="auto" w:fill="auto"/>
            <w:vAlign w:val="bottom"/>
          </w:tcPr>
          <w:p w14:paraId="268DC264" w14:textId="257731EA"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27673ABD" w14:textId="68C2A244"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3E453848" w14:textId="0DD7F6C1"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008CF0E9" w14:textId="3121FABE" w:rsidR="00DC5BE9" w:rsidRPr="003E2D55" w:rsidRDefault="00DC5BE9" w:rsidP="003E2D55">
            <w:pPr>
              <w:spacing w:before="40" w:after="20"/>
              <w:jc w:val="right"/>
              <w:rPr>
                <w:rFonts w:cs="Arial"/>
                <w:sz w:val="18"/>
                <w:szCs w:val="18"/>
              </w:rPr>
            </w:pPr>
            <w:r w:rsidRPr="003E2D55">
              <w:rPr>
                <w:rFonts w:cs="Arial"/>
                <w:sz w:val="18"/>
                <w:szCs w:val="18"/>
              </w:rPr>
              <w:t>0</w:t>
            </w:r>
          </w:p>
        </w:tc>
        <w:tc>
          <w:tcPr>
            <w:tcW w:w="1332" w:type="dxa"/>
            <w:tcBorders>
              <w:top w:val="nil"/>
              <w:left w:val="nil"/>
              <w:bottom w:val="nil"/>
              <w:right w:val="nil"/>
            </w:tcBorders>
            <w:shd w:val="clear" w:color="auto" w:fill="auto"/>
            <w:vAlign w:val="bottom"/>
          </w:tcPr>
          <w:p w14:paraId="3A02CA73" w14:textId="7F9D2070"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73AB3D3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CDC0D09" w14:textId="77777777" w:rsidR="00DC5BE9" w:rsidRPr="003E2D55" w:rsidRDefault="00DC5BE9" w:rsidP="003E2D55">
            <w:pPr>
              <w:spacing w:before="40" w:after="20"/>
              <w:rPr>
                <w:rFonts w:cs="Arial"/>
                <w:sz w:val="18"/>
                <w:szCs w:val="18"/>
              </w:rPr>
            </w:pPr>
            <w:r w:rsidRPr="003E2D55">
              <w:rPr>
                <w:rFonts w:cs="Arial"/>
                <w:sz w:val="18"/>
                <w:szCs w:val="18"/>
              </w:rPr>
              <w:t>South Gippsland S</w:t>
            </w:r>
          </w:p>
        </w:tc>
        <w:tc>
          <w:tcPr>
            <w:tcW w:w="1361" w:type="dxa"/>
            <w:tcBorders>
              <w:top w:val="nil"/>
              <w:left w:val="single" w:sz="18" w:space="0" w:color="5F497A" w:themeColor="accent4" w:themeShade="BF"/>
              <w:bottom w:val="nil"/>
              <w:right w:val="nil"/>
            </w:tcBorders>
            <w:shd w:val="clear" w:color="auto" w:fill="auto"/>
            <w:vAlign w:val="bottom"/>
          </w:tcPr>
          <w:p w14:paraId="60ECEC7B" w14:textId="49F26B96"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7C391F32" w14:textId="74163FEB" w:rsidR="00DC5BE9" w:rsidRPr="003E2D55" w:rsidRDefault="00DC5BE9" w:rsidP="003E2D55">
            <w:pPr>
              <w:spacing w:before="40" w:after="20"/>
              <w:jc w:val="right"/>
              <w:rPr>
                <w:rFonts w:cs="Arial"/>
                <w:sz w:val="18"/>
                <w:szCs w:val="18"/>
              </w:rPr>
            </w:pPr>
            <w:r w:rsidRPr="003E2D55">
              <w:rPr>
                <w:rFonts w:cs="Arial"/>
                <w:sz w:val="18"/>
                <w:szCs w:val="18"/>
              </w:rPr>
              <w:t>9,335,082</w:t>
            </w:r>
          </w:p>
        </w:tc>
        <w:tc>
          <w:tcPr>
            <w:tcW w:w="1361" w:type="dxa"/>
            <w:tcBorders>
              <w:top w:val="nil"/>
              <w:left w:val="nil"/>
              <w:bottom w:val="nil"/>
              <w:right w:val="nil"/>
            </w:tcBorders>
            <w:shd w:val="clear" w:color="auto" w:fill="auto"/>
            <w:vAlign w:val="bottom"/>
          </w:tcPr>
          <w:p w14:paraId="366EAC50" w14:textId="149EFFD4" w:rsidR="00DC5BE9" w:rsidRPr="003E2D55" w:rsidRDefault="00DC5BE9" w:rsidP="003E2D55">
            <w:pPr>
              <w:spacing w:before="40" w:after="20"/>
              <w:jc w:val="right"/>
              <w:rPr>
                <w:rFonts w:cs="Arial"/>
                <w:sz w:val="18"/>
                <w:szCs w:val="18"/>
              </w:rPr>
            </w:pPr>
            <w:r w:rsidRPr="003E2D55">
              <w:rPr>
                <w:rFonts w:cs="Arial"/>
                <w:sz w:val="18"/>
                <w:szCs w:val="18"/>
              </w:rPr>
              <w:t>7,922,299</w:t>
            </w:r>
          </w:p>
        </w:tc>
        <w:tc>
          <w:tcPr>
            <w:tcW w:w="1361" w:type="dxa"/>
            <w:tcBorders>
              <w:top w:val="nil"/>
              <w:left w:val="nil"/>
              <w:bottom w:val="nil"/>
              <w:right w:val="nil"/>
            </w:tcBorders>
            <w:shd w:val="clear" w:color="auto" w:fill="auto"/>
            <w:vAlign w:val="bottom"/>
          </w:tcPr>
          <w:p w14:paraId="4ED5494F" w14:textId="32C91965" w:rsidR="00DC5BE9" w:rsidRPr="003E2D55" w:rsidRDefault="00DC5BE9" w:rsidP="003E2D55">
            <w:pPr>
              <w:spacing w:before="40" w:after="20"/>
              <w:jc w:val="right"/>
              <w:rPr>
                <w:rFonts w:cs="Arial"/>
                <w:sz w:val="18"/>
                <w:szCs w:val="18"/>
              </w:rPr>
            </w:pPr>
            <w:r w:rsidRPr="003E2D55">
              <w:rPr>
                <w:rFonts w:cs="Arial"/>
                <w:sz w:val="18"/>
                <w:szCs w:val="18"/>
              </w:rPr>
              <w:t>648,085</w:t>
            </w:r>
          </w:p>
        </w:tc>
        <w:tc>
          <w:tcPr>
            <w:tcW w:w="1332" w:type="dxa"/>
            <w:tcBorders>
              <w:top w:val="nil"/>
              <w:left w:val="nil"/>
              <w:bottom w:val="nil"/>
              <w:right w:val="nil"/>
            </w:tcBorders>
            <w:shd w:val="clear" w:color="auto" w:fill="auto"/>
            <w:vAlign w:val="bottom"/>
          </w:tcPr>
          <w:p w14:paraId="676A4A24" w14:textId="67E00610" w:rsidR="00DC5BE9" w:rsidRPr="003E2D55" w:rsidRDefault="00DC5BE9" w:rsidP="003E2D55">
            <w:pPr>
              <w:spacing w:before="40" w:after="20"/>
              <w:jc w:val="right"/>
              <w:rPr>
                <w:rFonts w:cs="Arial"/>
                <w:sz w:val="18"/>
                <w:szCs w:val="18"/>
              </w:rPr>
            </w:pPr>
            <w:r w:rsidRPr="003E2D55">
              <w:rPr>
                <w:rFonts w:cs="Arial"/>
                <w:sz w:val="18"/>
                <w:szCs w:val="18"/>
              </w:rPr>
              <w:t>523,469</w:t>
            </w:r>
          </w:p>
        </w:tc>
      </w:tr>
      <w:tr w:rsidR="00DC5BE9" w:rsidRPr="003E2D55" w14:paraId="1A605B0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B593829" w14:textId="77777777" w:rsidR="00DC5BE9" w:rsidRPr="003E2D55" w:rsidRDefault="00DC5BE9" w:rsidP="003E2D55">
            <w:pPr>
              <w:spacing w:before="40" w:after="20"/>
              <w:rPr>
                <w:rFonts w:cs="Arial"/>
                <w:sz w:val="18"/>
                <w:szCs w:val="18"/>
              </w:rPr>
            </w:pPr>
            <w:r w:rsidRPr="003E2D55">
              <w:rPr>
                <w:rFonts w:cs="Arial"/>
                <w:sz w:val="18"/>
                <w:szCs w:val="18"/>
              </w:rPr>
              <w:t>Southern Grampians</w:t>
            </w:r>
          </w:p>
        </w:tc>
        <w:tc>
          <w:tcPr>
            <w:tcW w:w="1361" w:type="dxa"/>
            <w:tcBorders>
              <w:top w:val="nil"/>
              <w:left w:val="single" w:sz="18" w:space="0" w:color="5F497A" w:themeColor="accent4" w:themeShade="BF"/>
              <w:bottom w:val="nil"/>
              <w:right w:val="nil"/>
            </w:tcBorders>
            <w:shd w:val="clear" w:color="auto" w:fill="auto"/>
            <w:vAlign w:val="bottom"/>
          </w:tcPr>
          <w:p w14:paraId="78CC3F0E" w14:textId="185593DE" w:rsidR="00DC5BE9" w:rsidRPr="003E2D55" w:rsidRDefault="00DC5BE9" w:rsidP="003E2D55">
            <w:pPr>
              <w:spacing w:before="40" w:after="20"/>
              <w:jc w:val="right"/>
              <w:rPr>
                <w:rFonts w:cs="Arial"/>
                <w:sz w:val="18"/>
                <w:szCs w:val="18"/>
              </w:rPr>
            </w:pPr>
            <w:r w:rsidRPr="003E2D55">
              <w:rPr>
                <w:rFonts w:cs="Arial"/>
                <w:sz w:val="18"/>
                <w:szCs w:val="18"/>
              </w:rPr>
              <w:t>167,974</w:t>
            </w:r>
          </w:p>
        </w:tc>
        <w:tc>
          <w:tcPr>
            <w:tcW w:w="1361" w:type="dxa"/>
            <w:tcBorders>
              <w:top w:val="nil"/>
              <w:left w:val="nil"/>
              <w:bottom w:val="nil"/>
              <w:right w:val="nil"/>
            </w:tcBorders>
            <w:shd w:val="clear" w:color="auto" w:fill="auto"/>
            <w:vAlign w:val="bottom"/>
          </w:tcPr>
          <w:p w14:paraId="4E9BE4D6" w14:textId="26166F63" w:rsidR="00DC5BE9" w:rsidRPr="003E2D55" w:rsidRDefault="00DC5BE9" w:rsidP="003E2D55">
            <w:pPr>
              <w:spacing w:before="40" w:after="20"/>
              <w:jc w:val="right"/>
              <w:rPr>
                <w:rFonts w:cs="Arial"/>
                <w:sz w:val="18"/>
                <w:szCs w:val="18"/>
              </w:rPr>
            </w:pPr>
            <w:r w:rsidRPr="003E2D55">
              <w:rPr>
                <w:rFonts w:cs="Arial"/>
                <w:sz w:val="18"/>
                <w:szCs w:val="18"/>
              </w:rPr>
              <w:t>11,142,924</w:t>
            </w:r>
          </w:p>
        </w:tc>
        <w:tc>
          <w:tcPr>
            <w:tcW w:w="1361" w:type="dxa"/>
            <w:tcBorders>
              <w:top w:val="nil"/>
              <w:left w:val="nil"/>
              <w:bottom w:val="nil"/>
              <w:right w:val="nil"/>
            </w:tcBorders>
            <w:shd w:val="clear" w:color="auto" w:fill="auto"/>
            <w:vAlign w:val="bottom"/>
          </w:tcPr>
          <w:p w14:paraId="4DA6BD2F" w14:textId="45BBE43C" w:rsidR="00DC5BE9" w:rsidRPr="003E2D55" w:rsidRDefault="00DC5BE9" w:rsidP="003E2D55">
            <w:pPr>
              <w:spacing w:before="40" w:after="20"/>
              <w:jc w:val="right"/>
              <w:rPr>
                <w:rFonts w:cs="Arial"/>
                <w:sz w:val="18"/>
                <w:szCs w:val="18"/>
              </w:rPr>
            </w:pPr>
            <w:r w:rsidRPr="003E2D55">
              <w:rPr>
                <w:rFonts w:cs="Arial"/>
                <w:sz w:val="18"/>
                <w:szCs w:val="18"/>
              </w:rPr>
              <w:t>3,552,642</w:t>
            </w:r>
          </w:p>
        </w:tc>
        <w:tc>
          <w:tcPr>
            <w:tcW w:w="1361" w:type="dxa"/>
            <w:tcBorders>
              <w:top w:val="nil"/>
              <w:left w:val="nil"/>
              <w:bottom w:val="nil"/>
              <w:right w:val="nil"/>
            </w:tcBorders>
            <w:shd w:val="clear" w:color="auto" w:fill="auto"/>
            <w:vAlign w:val="bottom"/>
          </w:tcPr>
          <w:p w14:paraId="10B48CF1" w14:textId="542F9F46" w:rsidR="00DC5BE9" w:rsidRPr="003E2D55" w:rsidRDefault="00DC5BE9" w:rsidP="003E2D55">
            <w:pPr>
              <w:spacing w:before="40" w:after="20"/>
              <w:jc w:val="right"/>
              <w:rPr>
                <w:rFonts w:cs="Arial"/>
                <w:sz w:val="18"/>
                <w:szCs w:val="18"/>
              </w:rPr>
            </w:pPr>
            <w:r w:rsidRPr="003E2D55">
              <w:rPr>
                <w:rFonts w:cs="Arial"/>
                <w:sz w:val="18"/>
                <w:szCs w:val="18"/>
              </w:rPr>
              <w:t>547,558</w:t>
            </w:r>
          </w:p>
        </w:tc>
        <w:tc>
          <w:tcPr>
            <w:tcW w:w="1332" w:type="dxa"/>
            <w:tcBorders>
              <w:top w:val="nil"/>
              <w:left w:val="nil"/>
              <w:bottom w:val="nil"/>
              <w:right w:val="nil"/>
            </w:tcBorders>
            <w:shd w:val="clear" w:color="auto" w:fill="auto"/>
            <w:vAlign w:val="bottom"/>
          </w:tcPr>
          <w:p w14:paraId="798FBD5C" w14:textId="41FE133A"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6833BC6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D90BE88" w14:textId="77777777" w:rsidR="00DC5BE9" w:rsidRPr="003E2D55" w:rsidRDefault="00DC5BE9" w:rsidP="003E2D55">
            <w:pPr>
              <w:spacing w:before="40" w:after="20"/>
              <w:rPr>
                <w:rFonts w:cs="Arial"/>
                <w:sz w:val="18"/>
                <w:szCs w:val="18"/>
              </w:rPr>
            </w:pPr>
            <w:r w:rsidRPr="003E2D55">
              <w:rPr>
                <w:rFonts w:cs="Arial"/>
                <w:sz w:val="18"/>
                <w:szCs w:val="18"/>
              </w:rPr>
              <w:t>Stonnington C</w:t>
            </w:r>
          </w:p>
        </w:tc>
        <w:tc>
          <w:tcPr>
            <w:tcW w:w="1361" w:type="dxa"/>
            <w:tcBorders>
              <w:top w:val="nil"/>
              <w:left w:val="single" w:sz="18" w:space="0" w:color="5F497A" w:themeColor="accent4" w:themeShade="BF"/>
              <w:bottom w:val="nil"/>
              <w:right w:val="nil"/>
            </w:tcBorders>
            <w:shd w:val="clear" w:color="auto" w:fill="auto"/>
            <w:vAlign w:val="bottom"/>
          </w:tcPr>
          <w:p w14:paraId="34EA60F1" w14:textId="4B3466E5"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1E95C902" w14:textId="345C3C54"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734D01D4" w14:textId="518333E3"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6C4C1361" w14:textId="316A6F58" w:rsidR="00DC5BE9" w:rsidRPr="003E2D55" w:rsidRDefault="00DC5BE9" w:rsidP="003E2D55">
            <w:pPr>
              <w:spacing w:before="40" w:after="20"/>
              <w:jc w:val="right"/>
              <w:rPr>
                <w:rFonts w:cs="Arial"/>
                <w:sz w:val="18"/>
                <w:szCs w:val="18"/>
              </w:rPr>
            </w:pPr>
            <w:r w:rsidRPr="003E2D55">
              <w:rPr>
                <w:rFonts w:cs="Arial"/>
                <w:sz w:val="18"/>
                <w:szCs w:val="18"/>
              </w:rPr>
              <w:t>0</w:t>
            </w:r>
          </w:p>
        </w:tc>
        <w:tc>
          <w:tcPr>
            <w:tcW w:w="1332" w:type="dxa"/>
            <w:tcBorders>
              <w:top w:val="nil"/>
              <w:left w:val="nil"/>
              <w:bottom w:val="nil"/>
              <w:right w:val="nil"/>
            </w:tcBorders>
            <w:shd w:val="clear" w:color="auto" w:fill="auto"/>
            <w:vAlign w:val="bottom"/>
          </w:tcPr>
          <w:p w14:paraId="3D9069B3" w14:textId="5B3E61AD"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0570B69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3D0E84F" w14:textId="77777777" w:rsidR="00DC5BE9" w:rsidRPr="003E2D55" w:rsidRDefault="00DC5BE9" w:rsidP="003E2D55">
            <w:pPr>
              <w:spacing w:before="40" w:after="20"/>
              <w:rPr>
                <w:rFonts w:cs="Arial"/>
                <w:sz w:val="18"/>
                <w:szCs w:val="18"/>
              </w:rPr>
            </w:pPr>
            <w:r w:rsidRPr="003E2D55">
              <w:rPr>
                <w:rFonts w:cs="Arial"/>
                <w:sz w:val="18"/>
                <w:szCs w:val="18"/>
              </w:rPr>
              <w:t>Strathbogie S</w:t>
            </w:r>
          </w:p>
        </w:tc>
        <w:tc>
          <w:tcPr>
            <w:tcW w:w="1361" w:type="dxa"/>
            <w:tcBorders>
              <w:top w:val="nil"/>
              <w:left w:val="single" w:sz="18" w:space="0" w:color="5F497A" w:themeColor="accent4" w:themeShade="BF"/>
              <w:bottom w:val="nil"/>
              <w:right w:val="nil"/>
            </w:tcBorders>
            <w:shd w:val="clear" w:color="auto" w:fill="auto"/>
            <w:vAlign w:val="bottom"/>
          </w:tcPr>
          <w:p w14:paraId="206CED73" w14:textId="03361A78" w:rsidR="00DC5BE9" w:rsidRPr="003E2D55" w:rsidRDefault="00DC5BE9" w:rsidP="003E2D55">
            <w:pPr>
              <w:spacing w:before="40" w:after="20"/>
              <w:jc w:val="right"/>
              <w:rPr>
                <w:rFonts w:cs="Arial"/>
                <w:sz w:val="18"/>
                <w:szCs w:val="18"/>
              </w:rPr>
            </w:pPr>
            <w:r w:rsidRPr="003E2D55">
              <w:rPr>
                <w:rFonts w:cs="Arial"/>
                <w:sz w:val="18"/>
                <w:szCs w:val="18"/>
              </w:rPr>
              <w:t>100,356</w:t>
            </w:r>
          </w:p>
        </w:tc>
        <w:tc>
          <w:tcPr>
            <w:tcW w:w="1361" w:type="dxa"/>
            <w:tcBorders>
              <w:top w:val="nil"/>
              <w:left w:val="nil"/>
              <w:bottom w:val="nil"/>
              <w:right w:val="nil"/>
            </w:tcBorders>
            <w:shd w:val="clear" w:color="auto" w:fill="auto"/>
            <w:vAlign w:val="bottom"/>
          </w:tcPr>
          <w:p w14:paraId="0DDE2AF3" w14:textId="4DA2214B" w:rsidR="00DC5BE9" w:rsidRPr="003E2D55" w:rsidRDefault="00DC5BE9" w:rsidP="003E2D55">
            <w:pPr>
              <w:spacing w:before="40" w:after="20"/>
              <w:jc w:val="right"/>
              <w:rPr>
                <w:rFonts w:cs="Arial"/>
                <w:sz w:val="18"/>
                <w:szCs w:val="18"/>
              </w:rPr>
            </w:pPr>
            <w:r w:rsidRPr="003E2D55">
              <w:rPr>
                <w:rFonts w:cs="Arial"/>
                <w:sz w:val="18"/>
                <w:szCs w:val="18"/>
              </w:rPr>
              <w:t>7,132,074</w:t>
            </w:r>
          </w:p>
        </w:tc>
        <w:tc>
          <w:tcPr>
            <w:tcW w:w="1361" w:type="dxa"/>
            <w:tcBorders>
              <w:top w:val="nil"/>
              <w:left w:val="nil"/>
              <w:bottom w:val="nil"/>
              <w:right w:val="nil"/>
            </w:tcBorders>
            <w:shd w:val="clear" w:color="auto" w:fill="auto"/>
            <w:vAlign w:val="bottom"/>
          </w:tcPr>
          <w:p w14:paraId="1F225B69" w14:textId="5FE420D3" w:rsidR="00DC5BE9" w:rsidRPr="003E2D55" w:rsidRDefault="00DC5BE9" w:rsidP="003E2D55">
            <w:pPr>
              <w:spacing w:before="40" w:after="20"/>
              <w:jc w:val="right"/>
              <w:rPr>
                <w:rFonts w:cs="Arial"/>
                <w:sz w:val="18"/>
                <w:szCs w:val="18"/>
              </w:rPr>
            </w:pPr>
            <w:r w:rsidRPr="003E2D55">
              <w:rPr>
                <w:rFonts w:cs="Arial"/>
                <w:sz w:val="18"/>
                <w:szCs w:val="18"/>
              </w:rPr>
              <w:t>2,915,163</w:t>
            </w:r>
          </w:p>
        </w:tc>
        <w:tc>
          <w:tcPr>
            <w:tcW w:w="1361" w:type="dxa"/>
            <w:tcBorders>
              <w:top w:val="nil"/>
              <w:left w:val="nil"/>
              <w:bottom w:val="nil"/>
              <w:right w:val="nil"/>
            </w:tcBorders>
            <w:shd w:val="clear" w:color="auto" w:fill="auto"/>
            <w:vAlign w:val="bottom"/>
          </w:tcPr>
          <w:p w14:paraId="0419884A" w14:textId="4DCC22AE" w:rsidR="00DC5BE9" w:rsidRPr="003E2D55" w:rsidRDefault="00DC5BE9" w:rsidP="003E2D55">
            <w:pPr>
              <w:spacing w:before="40" w:after="20"/>
              <w:jc w:val="right"/>
              <w:rPr>
                <w:rFonts w:cs="Arial"/>
                <w:sz w:val="18"/>
                <w:szCs w:val="18"/>
              </w:rPr>
            </w:pPr>
            <w:r w:rsidRPr="003E2D55">
              <w:rPr>
                <w:rFonts w:cs="Arial"/>
                <w:sz w:val="18"/>
                <w:szCs w:val="18"/>
              </w:rPr>
              <w:t>113,244</w:t>
            </w:r>
          </w:p>
        </w:tc>
        <w:tc>
          <w:tcPr>
            <w:tcW w:w="1332" w:type="dxa"/>
            <w:tcBorders>
              <w:top w:val="nil"/>
              <w:left w:val="nil"/>
              <w:bottom w:val="nil"/>
              <w:right w:val="nil"/>
            </w:tcBorders>
            <w:shd w:val="clear" w:color="auto" w:fill="auto"/>
            <w:vAlign w:val="bottom"/>
          </w:tcPr>
          <w:p w14:paraId="628E3AC0" w14:textId="2B5B59DC" w:rsidR="00DC5BE9" w:rsidRPr="003E2D55" w:rsidRDefault="00DC5BE9" w:rsidP="003E2D55">
            <w:pPr>
              <w:spacing w:before="40" w:after="20"/>
              <w:jc w:val="right"/>
              <w:rPr>
                <w:rFonts w:cs="Arial"/>
                <w:sz w:val="18"/>
                <w:szCs w:val="18"/>
              </w:rPr>
            </w:pPr>
            <w:r w:rsidRPr="003E2D55">
              <w:rPr>
                <w:rFonts w:cs="Arial"/>
                <w:sz w:val="18"/>
                <w:szCs w:val="18"/>
              </w:rPr>
              <w:t>53,693</w:t>
            </w:r>
          </w:p>
        </w:tc>
      </w:tr>
      <w:tr w:rsidR="00DC5BE9" w:rsidRPr="003E2D55" w14:paraId="329699A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01A56DD" w14:textId="77777777" w:rsidR="00DC5BE9" w:rsidRPr="003E2D55" w:rsidRDefault="00DC5BE9" w:rsidP="003E2D55">
            <w:pPr>
              <w:spacing w:before="40" w:after="20"/>
              <w:rPr>
                <w:rFonts w:cs="Arial"/>
                <w:sz w:val="18"/>
                <w:szCs w:val="18"/>
              </w:rPr>
            </w:pPr>
            <w:r w:rsidRPr="003E2D55">
              <w:rPr>
                <w:rFonts w:cs="Arial"/>
                <w:sz w:val="18"/>
                <w:szCs w:val="18"/>
              </w:rPr>
              <w:t>Surf Coast S</w:t>
            </w:r>
          </w:p>
        </w:tc>
        <w:tc>
          <w:tcPr>
            <w:tcW w:w="1361" w:type="dxa"/>
            <w:tcBorders>
              <w:top w:val="nil"/>
              <w:left w:val="single" w:sz="18" w:space="0" w:color="5F497A" w:themeColor="accent4" w:themeShade="BF"/>
              <w:bottom w:val="nil"/>
              <w:right w:val="nil"/>
            </w:tcBorders>
            <w:shd w:val="clear" w:color="auto" w:fill="auto"/>
            <w:vAlign w:val="bottom"/>
          </w:tcPr>
          <w:p w14:paraId="1D832E1C" w14:textId="6A930EEE" w:rsidR="00DC5BE9" w:rsidRPr="003E2D55" w:rsidRDefault="00DC5BE9" w:rsidP="003E2D55">
            <w:pPr>
              <w:spacing w:before="40" w:after="20"/>
              <w:jc w:val="right"/>
              <w:rPr>
                <w:rFonts w:cs="Arial"/>
                <w:sz w:val="18"/>
                <w:szCs w:val="18"/>
              </w:rPr>
            </w:pPr>
            <w:r w:rsidRPr="003E2D55">
              <w:rPr>
                <w:rFonts w:cs="Arial"/>
                <w:sz w:val="18"/>
                <w:szCs w:val="18"/>
              </w:rPr>
              <w:t>33,621</w:t>
            </w:r>
          </w:p>
        </w:tc>
        <w:tc>
          <w:tcPr>
            <w:tcW w:w="1361" w:type="dxa"/>
            <w:tcBorders>
              <w:top w:val="nil"/>
              <w:left w:val="nil"/>
              <w:bottom w:val="nil"/>
              <w:right w:val="nil"/>
            </w:tcBorders>
            <w:shd w:val="clear" w:color="auto" w:fill="auto"/>
            <w:vAlign w:val="bottom"/>
          </w:tcPr>
          <w:p w14:paraId="4C8CA922" w14:textId="26B0C1A4" w:rsidR="00DC5BE9" w:rsidRPr="003E2D55" w:rsidRDefault="00DC5BE9" w:rsidP="003E2D55">
            <w:pPr>
              <w:spacing w:before="40" w:after="20"/>
              <w:jc w:val="right"/>
              <w:rPr>
                <w:rFonts w:cs="Arial"/>
                <w:sz w:val="18"/>
                <w:szCs w:val="18"/>
              </w:rPr>
            </w:pPr>
            <w:r w:rsidRPr="003E2D55">
              <w:rPr>
                <w:rFonts w:cs="Arial"/>
                <w:sz w:val="18"/>
                <w:szCs w:val="18"/>
              </w:rPr>
              <w:t>2,973,400</w:t>
            </w:r>
          </w:p>
        </w:tc>
        <w:tc>
          <w:tcPr>
            <w:tcW w:w="1361" w:type="dxa"/>
            <w:tcBorders>
              <w:top w:val="nil"/>
              <w:left w:val="nil"/>
              <w:bottom w:val="nil"/>
              <w:right w:val="nil"/>
            </w:tcBorders>
            <w:shd w:val="clear" w:color="auto" w:fill="auto"/>
            <w:vAlign w:val="bottom"/>
          </w:tcPr>
          <w:p w14:paraId="4B4169B3" w14:textId="660169BF" w:rsidR="00DC5BE9" w:rsidRPr="003E2D55" w:rsidRDefault="00DC5BE9" w:rsidP="003E2D55">
            <w:pPr>
              <w:spacing w:before="40" w:after="20"/>
              <w:jc w:val="right"/>
              <w:rPr>
                <w:rFonts w:cs="Arial"/>
                <w:sz w:val="18"/>
                <w:szCs w:val="18"/>
              </w:rPr>
            </w:pPr>
            <w:r w:rsidRPr="003E2D55">
              <w:rPr>
                <w:rFonts w:cs="Arial"/>
                <w:sz w:val="18"/>
                <w:szCs w:val="18"/>
              </w:rPr>
              <w:t>2,300,253</w:t>
            </w:r>
          </w:p>
        </w:tc>
        <w:tc>
          <w:tcPr>
            <w:tcW w:w="1361" w:type="dxa"/>
            <w:tcBorders>
              <w:top w:val="nil"/>
              <w:left w:val="nil"/>
              <w:bottom w:val="nil"/>
              <w:right w:val="nil"/>
            </w:tcBorders>
            <w:shd w:val="clear" w:color="auto" w:fill="auto"/>
            <w:vAlign w:val="bottom"/>
          </w:tcPr>
          <w:p w14:paraId="2780C488" w14:textId="5F42B4ED" w:rsidR="00DC5BE9" w:rsidRPr="003E2D55" w:rsidRDefault="00DC5BE9" w:rsidP="003E2D55">
            <w:pPr>
              <w:spacing w:before="40" w:after="20"/>
              <w:jc w:val="right"/>
              <w:rPr>
                <w:rFonts w:cs="Arial"/>
                <w:sz w:val="18"/>
                <w:szCs w:val="18"/>
              </w:rPr>
            </w:pPr>
            <w:r w:rsidRPr="003E2D55">
              <w:rPr>
                <w:rFonts w:cs="Arial"/>
                <w:sz w:val="18"/>
                <w:szCs w:val="18"/>
              </w:rPr>
              <w:t>730,551</w:t>
            </w:r>
          </w:p>
        </w:tc>
        <w:tc>
          <w:tcPr>
            <w:tcW w:w="1332" w:type="dxa"/>
            <w:tcBorders>
              <w:top w:val="nil"/>
              <w:left w:val="nil"/>
              <w:bottom w:val="nil"/>
              <w:right w:val="nil"/>
            </w:tcBorders>
            <w:shd w:val="clear" w:color="auto" w:fill="auto"/>
            <w:vAlign w:val="bottom"/>
          </w:tcPr>
          <w:p w14:paraId="12005A58" w14:textId="1D23E18F" w:rsidR="00DC5BE9" w:rsidRPr="003E2D55" w:rsidRDefault="00DC5BE9" w:rsidP="003E2D55">
            <w:pPr>
              <w:spacing w:before="40" w:after="20"/>
              <w:jc w:val="right"/>
              <w:rPr>
                <w:rFonts w:cs="Arial"/>
                <w:sz w:val="18"/>
                <w:szCs w:val="18"/>
              </w:rPr>
            </w:pPr>
            <w:r w:rsidRPr="003E2D55">
              <w:rPr>
                <w:rFonts w:cs="Arial"/>
                <w:sz w:val="18"/>
                <w:szCs w:val="18"/>
              </w:rPr>
              <w:t>861,811</w:t>
            </w:r>
          </w:p>
        </w:tc>
      </w:tr>
      <w:tr w:rsidR="00DC5BE9" w:rsidRPr="003E2D55" w14:paraId="5ED6717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69100D8" w14:textId="77777777" w:rsidR="00DC5BE9" w:rsidRPr="003E2D55" w:rsidRDefault="00DC5BE9" w:rsidP="003E2D55">
            <w:pPr>
              <w:spacing w:before="40" w:after="20"/>
              <w:rPr>
                <w:rFonts w:cs="Arial"/>
                <w:sz w:val="18"/>
                <w:szCs w:val="18"/>
              </w:rPr>
            </w:pPr>
            <w:r w:rsidRPr="003E2D55">
              <w:rPr>
                <w:rFonts w:cs="Arial"/>
                <w:sz w:val="18"/>
                <w:szCs w:val="18"/>
              </w:rPr>
              <w:t>Swan Hill RC</w:t>
            </w:r>
          </w:p>
        </w:tc>
        <w:tc>
          <w:tcPr>
            <w:tcW w:w="1361" w:type="dxa"/>
            <w:tcBorders>
              <w:top w:val="nil"/>
              <w:left w:val="single" w:sz="18" w:space="0" w:color="5F497A" w:themeColor="accent4" w:themeShade="BF"/>
              <w:bottom w:val="nil"/>
              <w:right w:val="nil"/>
            </w:tcBorders>
            <w:shd w:val="clear" w:color="auto" w:fill="auto"/>
            <w:vAlign w:val="bottom"/>
          </w:tcPr>
          <w:p w14:paraId="13DA3743" w14:textId="0490EF4A" w:rsidR="00DC5BE9" w:rsidRPr="003E2D55" w:rsidRDefault="00DC5BE9" w:rsidP="003E2D55">
            <w:pPr>
              <w:spacing w:before="40" w:after="20"/>
              <w:jc w:val="right"/>
              <w:rPr>
                <w:rFonts w:cs="Arial"/>
                <w:sz w:val="18"/>
                <w:szCs w:val="18"/>
              </w:rPr>
            </w:pPr>
            <w:r w:rsidRPr="003E2D55">
              <w:rPr>
                <w:rFonts w:cs="Arial"/>
                <w:sz w:val="18"/>
                <w:szCs w:val="18"/>
              </w:rPr>
              <w:t>865,302</w:t>
            </w:r>
          </w:p>
        </w:tc>
        <w:tc>
          <w:tcPr>
            <w:tcW w:w="1361" w:type="dxa"/>
            <w:tcBorders>
              <w:top w:val="nil"/>
              <w:left w:val="nil"/>
              <w:bottom w:val="nil"/>
              <w:right w:val="nil"/>
            </w:tcBorders>
            <w:shd w:val="clear" w:color="auto" w:fill="auto"/>
            <w:vAlign w:val="bottom"/>
          </w:tcPr>
          <w:p w14:paraId="3586C22F" w14:textId="4738902C" w:rsidR="00DC5BE9" w:rsidRPr="003E2D55" w:rsidRDefault="00DC5BE9" w:rsidP="003E2D55">
            <w:pPr>
              <w:spacing w:before="40" w:after="20"/>
              <w:jc w:val="right"/>
              <w:rPr>
                <w:rFonts w:cs="Arial"/>
                <w:sz w:val="18"/>
                <w:szCs w:val="18"/>
              </w:rPr>
            </w:pPr>
            <w:r w:rsidRPr="003E2D55">
              <w:rPr>
                <w:rFonts w:cs="Arial"/>
                <w:sz w:val="18"/>
                <w:szCs w:val="18"/>
              </w:rPr>
              <w:t>6,919,859</w:t>
            </w:r>
          </w:p>
        </w:tc>
        <w:tc>
          <w:tcPr>
            <w:tcW w:w="1361" w:type="dxa"/>
            <w:tcBorders>
              <w:top w:val="nil"/>
              <w:left w:val="nil"/>
              <w:bottom w:val="nil"/>
              <w:right w:val="nil"/>
            </w:tcBorders>
            <w:shd w:val="clear" w:color="auto" w:fill="auto"/>
            <w:vAlign w:val="bottom"/>
          </w:tcPr>
          <w:p w14:paraId="0DD44B6F" w14:textId="5FFFBADA" w:rsidR="00DC5BE9" w:rsidRPr="003E2D55" w:rsidRDefault="00DC5BE9" w:rsidP="003E2D55">
            <w:pPr>
              <w:spacing w:before="40" w:after="20"/>
              <w:jc w:val="right"/>
              <w:rPr>
                <w:rFonts w:cs="Arial"/>
                <w:sz w:val="18"/>
                <w:szCs w:val="18"/>
              </w:rPr>
            </w:pPr>
            <w:r w:rsidRPr="003E2D55">
              <w:rPr>
                <w:rFonts w:cs="Arial"/>
                <w:sz w:val="18"/>
                <w:szCs w:val="18"/>
              </w:rPr>
              <w:t>3,540,350</w:t>
            </w:r>
          </w:p>
        </w:tc>
        <w:tc>
          <w:tcPr>
            <w:tcW w:w="1361" w:type="dxa"/>
            <w:tcBorders>
              <w:top w:val="nil"/>
              <w:left w:val="nil"/>
              <w:bottom w:val="nil"/>
              <w:right w:val="nil"/>
            </w:tcBorders>
            <w:shd w:val="clear" w:color="auto" w:fill="auto"/>
            <w:vAlign w:val="bottom"/>
          </w:tcPr>
          <w:p w14:paraId="245EAA4E" w14:textId="70B03959" w:rsidR="00DC5BE9" w:rsidRPr="003E2D55" w:rsidRDefault="00DC5BE9" w:rsidP="003E2D55">
            <w:pPr>
              <w:spacing w:before="40" w:after="20"/>
              <w:jc w:val="right"/>
              <w:rPr>
                <w:rFonts w:cs="Arial"/>
                <w:sz w:val="18"/>
                <w:szCs w:val="18"/>
              </w:rPr>
            </w:pPr>
            <w:r w:rsidRPr="003E2D55">
              <w:rPr>
                <w:rFonts w:cs="Arial"/>
                <w:sz w:val="18"/>
                <w:szCs w:val="18"/>
              </w:rPr>
              <w:t>242,019</w:t>
            </w:r>
          </w:p>
        </w:tc>
        <w:tc>
          <w:tcPr>
            <w:tcW w:w="1332" w:type="dxa"/>
            <w:tcBorders>
              <w:top w:val="nil"/>
              <w:left w:val="nil"/>
              <w:bottom w:val="nil"/>
              <w:right w:val="nil"/>
            </w:tcBorders>
            <w:shd w:val="clear" w:color="auto" w:fill="auto"/>
            <w:vAlign w:val="bottom"/>
          </w:tcPr>
          <w:p w14:paraId="5EB84907" w14:textId="33950AB6" w:rsidR="00DC5BE9" w:rsidRPr="003E2D55" w:rsidRDefault="00DC5BE9" w:rsidP="003E2D55">
            <w:pPr>
              <w:spacing w:before="40" w:after="20"/>
              <w:jc w:val="right"/>
              <w:rPr>
                <w:rFonts w:cs="Arial"/>
                <w:sz w:val="18"/>
                <w:szCs w:val="18"/>
              </w:rPr>
            </w:pPr>
            <w:r w:rsidRPr="003E2D55">
              <w:rPr>
                <w:rFonts w:cs="Arial"/>
                <w:sz w:val="18"/>
                <w:szCs w:val="18"/>
              </w:rPr>
              <w:t>115,626</w:t>
            </w:r>
          </w:p>
        </w:tc>
      </w:tr>
      <w:tr w:rsidR="00DC5BE9" w:rsidRPr="003E2D55" w14:paraId="6F9FF13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3CB35CC" w14:textId="77777777" w:rsidR="00DC5BE9" w:rsidRPr="003E2D55" w:rsidRDefault="00DC5BE9" w:rsidP="003E2D55">
            <w:pPr>
              <w:spacing w:before="40" w:after="20"/>
              <w:rPr>
                <w:rFonts w:cs="Arial"/>
                <w:sz w:val="18"/>
                <w:szCs w:val="18"/>
              </w:rPr>
            </w:pPr>
            <w:r w:rsidRPr="003E2D55">
              <w:rPr>
                <w:rFonts w:cs="Arial"/>
                <w:sz w:val="18"/>
                <w:szCs w:val="18"/>
              </w:rPr>
              <w:t>Towong S</w:t>
            </w:r>
          </w:p>
        </w:tc>
        <w:tc>
          <w:tcPr>
            <w:tcW w:w="1361" w:type="dxa"/>
            <w:tcBorders>
              <w:top w:val="nil"/>
              <w:left w:val="single" w:sz="18" w:space="0" w:color="5F497A" w:themeColor="accent4" w:themeShade="BF"/>
              <w:bottom w:val="nil"/>
              <w:right w:val="nil"/>
            </w:tcBorders>
            <w:shd w:val="clear" w:color="auto" w:fill="auto"/>
            <w:vAlign w:val="bottom"/>
          </w:tcPr>
          <w:p w14:paraId="05DBB7F7" w14:textId="77C8B9DC" w:rsidR="00DC5BE9" w:rsidRPr="003E2D55" w:rsidRDefault="00DC5BE9" w:rsidP="003E2D55">
            <w:pPr>
              <w:spacing w:before="40" w:after="20"/>
              <w:jc w:val="right"/>
              <w:rPr>
                <w:rFonts w:cs="Arial"/>
                <w:sz w:val="18"/>
                <w:szCs w:val="18"/>
              </w:rPr>
            </w:pPr>
            <w:r w:rsidRPr="003E2D55">
              <w:rPr>
                <w:rFonts w:cs="Arial"/>
                <w:sz w:val="18"/>
                <w:szCs w:val="18"/>
              </w:rPr>
              <w:t>5,761</w:t>
            </w:r>
          </w:p>
        </w:tc>
        <w:tc>
          <w:tcPr>
            <w:tcW w:w="1361" w:type="dxa"/>
            <w:tcBorders>
              <w:top w:val="nil"/>
              <w:left w:val="nil"/>
              <w:bottom w:val="nil"/>
              <w:right w:val="nil"/>
            </w:tcBorders>
            <w:shd w:val="clear" w:color="auto" w:fill="auto"/>
            <w:vAlign w:val="bottom"/>
          </w:tcPr>
          <w:p w14:paraId="592D44F0" w14:textId="6A8F33A4" w:rsidR="00DC5BE9" w:rsidRPr="003E2D55" w:rsidRDefault="00DC5BE9" w:rsidP="003E2D55">
            <w:pPr>
              <w:spacing w:before="40" w:after="20"/>
              <w:jc w:val="right"/>
              <w:rPr>
                <w:rFonts w:cs="Arial"/>
                <w:sz w:val="18"/>
                <w:szCs w:val="18"/>
              </w:rPr>
            </w:pPr>
            <w:r w:rsidRPr="003E2D55">
              <w:rPr>
                <w:rFonts w:cs="Arial"/>
                <w:sz w:val="18"/>
                <w:szCs w:val="18"/>
              </w:rPr>
              <w:t>5,808,631</w:t>
            </w:r>
          </w:p>
        </w:tc>
        <w:tc>
          <w:tcPr>
            <w:tcW w:w="1361" w:type="dxa"/>
            <w:tcBorders>
              <w:top w:val="nil"/>
              <w:left w:val="nil"/>
              <w:bottom w:val="nil"/>
              <w:right w:val="nil"/>
            </w:tcBorders>
            <w:shd w:val="clear" w:color="auto" w:fill="auto"/>
            <w:vAlign w:val="bottom"/>
          </w:tcPr>
          <w:p w14:paraId="38BA8C98" w14:textId="12BD0B33" w:rsidR="00DC5BE9" w:rsidRPr="003E2D55" w:rsidRDefault="00DC5BE9" w:rsidP="003E2D55">
            <w:pPr>
              <w:spacing w:before="40" w:after="20"/>
              <w:jc w:val="right"/>
              <w:rPr>
                <w:rFonts w:cs="Arial"/>
                <w:sz w:val="18"/>
                <w:szCs w:val="18"/>
              </w:rPr>
            </w:pPr>
            <w:r w:rsidRPr="003E2D55">
              <w:rPr>
                <w:rFonts w:cs="Arial"/>
                <w:sz w:val="18"/>
                <w:szCs w:val="18"/>
              </w:rPr>
              <w:t>2,855,393</w:t>
            </w:r>
          </w:p>
        </w:tc>
        <w:tc>
          <w:tcPr>
            <w:tcW w:w="1361" w:type="dxa"/>
            <w:tcBorders>
              <w:top w:val="nil"/>
              <w:left w:val="nil"/>
              <w:bottom w:val="nil"/>
              <w:right w:val="nil"/>
            </w:tcBorders>
            <w:shd w:val="clear" w:color="auto" w:fill="auto"/>
            <w:vAlign w:val="bottom"/>
          </w:tcPr>
          <w:p w14:paraId="67B08227" w14:textId="7963573A" w:rsidR="00DC5BE9" w:rsidRPr="003E2D55" w:rsidRDefault="00DC5BE9" w:rsidP="003E2D55">
            <w:pPr>
              <w:spacing w:before="40" w:after="20"/>
              <w:jc w:val="right"/>
              <w:rPr>
                <w:rFonts w:cs="Arial"/>
                <w:sz w:val="18"/>
                <w:szCs w:val="18"/>
              </w:rPr>
            </w:pPr>
            <w:r w:rsidRPr="003E2D55">
              <w:rPr>
                <w:rFonts w:cs="Arial"/>
                <w:sz w:val="18"/>
                <w:szCs w:val="18"/>
              </w:rPr>
              <w:t>0</w:t>
            </w:r>
          </w:p>
        </w:tc>
        <w:tc>
          <w:tcPr>
            <w:tcW w:w="1332" w:type="dxa"/>
            <w:tcBorders>
              <w:top w:val="nil"/>
              <w:left w:val="nil"/>
              <w:bottom w:val="nil"/>
              <w:right w:val="nil"/>
            </w:tcBorders>
            <w:shd w:val="clear" w:color="auto" w:fill="auto"/>
            <w:vAlign w:val="bottom"/>
          </w:tcPr>
          <w:p w14:paraId="797DF153" w14:textId="731632A5"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53950A4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5F5B2C1" w14:textId="77777777" w:rsidR="00DC5BE9" w:rsidRPr="003E2D55" w:rsidRDefault="00DC5BE9" w:rsidP="003E2D55">
            <w:pPr>
              <w:spacing w:before="40" w:after="20"/>
              <w:rPr>
                <w:rFonts w:cs="Arial"/>
                <w:sz w:val="18"/>
                <w:szCs w:val="18"/>
              </w:rPr>
            </w:pPr>
            <w:r w:rsidRPr="003E2D55">
              <w:rPr>
                <w:rFonts w:cs="Arial"/>
                <w:sz w:val="18"/>
                <w:szCs w:val="18"/>
              </w:rPr>
              <w:t>Wangaratta RC</w:t>
            </w:r>
          </w:p>
        </w:tc>
        <w:tc>
          <w:tcPr>
            <w:tcW w:w="1361" w:type="dxa"/>
            <w:tcBorders>
              <w:top w:val="nil"/>
              <w:left w:val="single" w:sz="18" w:space="0" w:color="5F497A" w:themeColor="accent4" w:themeShade="BF"/>
              <w:bottom w:val="nil"/>
              <w:right w:val="nil"/>
            </w:tcBorders>
            <w:shd w:val="clear" w:color="auto" w:fill="auto"/>
            <w:vAlign w:val="bottom"/>
          </w:tcPr>
          <w:p w14:paraId="1DD785FC" w14:textId="35A1D768" w:rsidR="00DC5BE9" w:rsidRPr="003E2D55" w:rsidRDefault="00DC5BE9" w:rsidP="003E2D55">
            <w:pPr>
              <w:spacing w:before="40" w:after="20"/>
              <w:jc w:val="right"/>
              <w:rPr>
                <w:rFonts w:cs="Arial"/>
                <w:sz w:val="18"/>
                <w:szCs w:val="18"/>
              </w:rPr>
            </w:pPr>
            <w:r w:rsidRPr="003E2D55">
              <w:rPr>
                <w:rFonts w:cs="Arial"/>
                <w:sz w:val="18"/>
                <w:szCs w:val="18"/>
              </w:rPr>
              <w:t>69,165</w:t>
            </w:r>
          </w:p>
        </w:tc>
        <w:tc>
          <w:tcPr>
            <w:tcW w:w="1361" w:type="dxa"/>
            <w:tcBorders>
              <w:top w:val="nil"/>
              <w:left w:val="nil"/>
              <w:bottom w:val="nil"/>
              <w:right w:val="nil"/>
            </w:tcBorders>
            <w:shd w:val="clear" w:color="auto" w:fill="auto"/>
            <w:vAlign w:val="bottom"/>
          </w:tcPr>
          <w:p w14:paraId="703BCF4A" w14:textId="1CD1872D" w:rsidR="00DC5BE9" w:rsidRPr="003E2D55" w:rsidRDefault="00DC5BE9" w:rsidP="003E2D55">
            <w:pPr>
              <w:spacing w:before="40" w:after="20"/>
              <w:jc w:val="right"/>
              <w:rPr>
                <w:rFonts w:cs="Arial"/>
                <w:sz w:val="18"/>
                <w:szCs w:val="18"/>
              </w:rPr>
            </w:pPr>
            <w:r w:rsidRPr="003E2D55">
              <w:rPr>
                <w:rFonts w:cs="Arial"/>
                <w:sz w:val="18"/>
                <w:szCs w:val="18"/>
              </w:rPr>
              <w:t>6,036,805</w:t>
            </w:r>
          </w:p>
        </w:tc>
        <w:tc>
          <w:tcPr>
            <w:tcW w:w="1361" w:type="dxa"/>
            <w:tcBorders>
              <w:top w:val="nil"/>
              <w:left w:val="nil"/>
              <w:bottom w:val="nil"/>
              <w:right w:val="nil"/>
            </w:tcBorders>
            <w:shd w:val="clear" w:color="auto" w:fill="auto"/>
            <w:vAlign w:val="bottom"/>
          </w:tcPr>
          <w:p w14:paraId="418C334F" w14:textId="2D3B8D62" w:rsidR="00DC5BE9" w:rsidRPr="003E2D55" w:rsidRDefault="00DC5BE9" w:rsidP="003E2D55">
            <w:pPr>
              <w:spacing w:before="40" w:after="20"/>
              <w:jc w:val="right"/>
              <w:rPr>
                <w:rFonts w:cs="Arial"/>
                <w:sz w:val="18"/>
                <w:szCs w:val="18"/>
              </w:rPr>
            </w:pPr>
            <w:r w:rsidRPr="003E2D55">
              <w:rPr>
                <w:rFonts w:cs="Arial"/>
                <w:sz w:val="18"/>
                <w:szCs w:val="18"/>
              </w:rPr>
              <w:t>3,228,926</w:t>
            </w:r>
          </w:p>
        </w:tc>
        <w:tc>
          <w:tcPr>
            <w:tcW w:w="1361" w:type="dxa"/>
            <w:tcBorders>
              <w:top w:val="nil"/>
              <w:left w:val="nil"/>
              <w:bottom w:val="nil"/>
              <w:right w:val="nil"/>
            </w:tcBorders>
            <w:shd w:val="clear" w:color="auto" w:fill="auto"/>
            <w:vAlign w:val="bottom"/>
          </w:tcPr>
          <w:p w14:paraId="3A99270E" w14:textId="60ABBFBE" w:rsidR="00DC5BE9" w:rsidRPr="003E2D55" w:rsidRDefault="00DC5BE9" w:rsidP="003E2D55">
            <w:pPr>
              <w:spacing w:before="40" w:after="20"/>
              <w:jc w:val="right"/>
              <w:rPr>
                <w:rFonts w:cs="Arial"/>
                <w:sz w:val="18"/>
                <w:szCs w:val="18"/>
              </w:rPr>
            </w:pPr>
            <w:r w:rsidRPr="003E2D55">
              <w:rPr>
                <w:rFonts w:cs="Arial"/>
                <w:sz w:val="18"/>
                <w:szCs w:val="18"/>
              </w:rPr>
              <w:t>302,583</w:t>
            </w:r>
          </w:p>
        </w:tc>
        <w:tc>
          <w:tcPr>
            <w:tcW w:w="1332" w:type="dxa"/>
            <w:tcBorders>
              <w:top w:val="nil"/>
              <w:left w:val="nil"/>
              <w:bottom w:val="nil"/>
              <w:right w:val="nil"/>
            </w:tcBorders>
            <w:shd w:val="clear" w:color="auto" w:fill="auto"/>
            <w:vAlign w:val="bottom"/>
          </w:tcPr>
          <w:p w14:paraId="207C1742" w14:textId="37E7BF61" w:rsidR="00DC5BE9" w:rsidRPr="003E2D55" w:rsidRDefault="00DC5BE9" w:rsidP="003E2D55">
            <w:pPr>
              <w:spacing w:before="40" w:after="20"/>
              <w:jc w:val="right"/>
              <w:rPr>
                <w:rFonts w:cs="Arial"/>
                <w:sz w:val="18"/>
                <w:szCs w:val="18"/>
              </w:rPr>
            </w:pPr>
            <w:r w:rsidRPr="003E2D55">
              <w:rPr>
                <w:rFonts w:cs="Arial"/>
                <w:sz w:val="18"/>
                <w:szCs w:val="18"/>
              </w:rPr>
              <w:t>108,276</w:t>
            </w:r>
          </w:p>
        </w:tc>
      </w:tr>
      <w:tr w:rsidR="00DC5BE9" w:rsidRPr="003E2D55" w14:paraId="3772AA7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7B834B1" w14:textId="77777777" w:rsidR="00DC5BE9" w:rsidRPr="003E2D55" w:rsidRDefault="00DC5BE9" w:rsidP="003E2D55">
            <w:pPr>
              <w:spacing w:before="40" w:after="20"/>
              <w:rPr>
                <w:rFonts w:cs="Arial"/>
                <w:sz w:val="18"/>
                <w:szCs w:val="18"/>
              </w:rPr>
            </w:pPr>
            <w:r w:rsidRPr="003E2D55">
              <w:rPr>
                <w:rFonts w:cs="Arial"/>
                <w:sz w:val="18"/>
                <w:szCs w:val="18"/>
              </w:rPr>
              <w:t>Warrnambool C</w:t>
            </w:r>
          </w:p>
        </w:tc>
        <w:tc>
          <w:tcPr>
            <w:tcW w:w="1361" w:type="dxa"/>
            <w:tcBorders>
              <w:top w:val="nil"/>
              <w:left w:val="single" w:sz="18" w:space="0" w:color="5F497A" w:themeColor="accent4" w:themeShade="BF"/>
              <w:bottom w:val="nil"/>
              <w:right w:val="nil"/>
            </w:tcBorders>
            <w:shd w:val="clear" w:color="auto" w:fill="auto"/>
            <w:vAlign w:val="bottom"/>
          </w:tcPr>
          <w:p w14:paraId="10CA1730" w14:textId="50A5C088" w:rsidR="00DC5BE9" w:rsidRPr="003E2D55" w:rsidRDefault="00DC5BE9" w:rsidP="003E2D55">
            <w:pPr>
              <w:spacing w:before="40" w:after="20"/>
              <w:jc w:val="right"/>
              <w:rPr>
                <w:rFonts w:cs="Arial"/>
                <w:sz w:val="18"/>
                <w:szCs w:val="18"/>
              </w:rPr>
            </w:pPr>
            <w:r w:rsidRPr="003E2D55">
              <w:rPr>
                <w:rFonts w:cs="Arial"/>
                <w:sz w:val="18"/>
                <w:szCs w:val="18"/>
              </w:rPr>
              <w:t>4,597</w:t>
            </w:r>
          </w:p>
        </w:tc>
        <w:tc>
          <w:tcPr>
            <w:tcW w:w="1361" w:type="dxa"/>
            <w:tcBorders>
              <w:top w:val="nil"/>
              <w:left w:val="nil"/>
              <w:bottom w:val="nil"/>
              <w:right w:val="nil"/>
            </w:tcBorders>
            <w:shd w:val="clear" w:color="auto" w:fill="auto"/>
            <w:vAlign w:val="bottom"/>
          </w:tcPr>
          <w:p w14:paraId="33E83859" w14:textId="01D80883" w:rsidR="00DC5BE9" w:rsidRPr="003E2D55" w:rsidRDefault="00DC5BE9" w:rsidP="003E2D55">
            <w:pPr>
              <w:spacing w:before="40" w:after="20"/>
              <w:jc w:val="right"/>
              <w:rPr>
                <w:rFonts w:cs="Arial"/>
                <w:sz w:val="18"/>
                <w:szCs w:val="18"/>
              </w:rPr>
            </w:pPr>
            <w:r w:rsidRPr="003E2D55">
              <w:rPr>
                <w:rFonts w:cs="Arial"/>
                <w:sz w:val="18"/>
                <w:szCs w:val="18"/>
              </w:rPr>
              <w:t>135,424</w:t>
            </w:r>
          </w:p>
        </w:tc>
        <w:tc>
          <w:tcPr>
            <w:tcW w:w="1361" w:type="dxa"/>
            <w:tcBorders>
              <w:top w:val="nil"/>
              <w:left w:val="nil"/>
              <w:bottom w:val="nil"/>
              <w:right w:val="nil"/>
            </w:tcBorders>
            <w:shd w:val="clear" w:color="auto" w:fill="auto"/>
            <w:vAlign w:val="bottom"/>
          </w:tcPr>
          <w:p w14:paraId="6EC672BD" w14:textId="57CB3AAB" w:rsidR="00DC5BE9" w:rsidRPr="003E2D55" w:rsidRDefault="00DC5BE9" w:rsidP="003E2D55">
            <w:pPr>
              <w:spacing w:before="40" w:after="20"/>
              <w:jc w:val="right"/>
              <w:rPr>
                <w:rFonts w:cs="Arial"/>
                <w:sz w:val="18"/>
                <w:szCs w:val="18"/>
              </w:rPr>
            </w:pPr>
            <w:r w:rsidRPr="003E2D55">
              <w:rPr>
                <w:rFonts w:cs="Arial"/>
                <w:sz w:val="18"/>
                <w:szCs w:val="18"/>
              </w:rPr>
              <w:t>395,470</w:t>
            </w:r>
          </w:p>
        </w:tc>
        <w:tc>
          <w:tcPr>
            <w:tcW w:w="1361" w:type="dxa"/>
            <w:tcBorders>
              <w:top w:val="nil"/>
              <w:left w:val="nil"/>
              <w:bottom w:val="nil"/>
              <w:right w:val="nil"/>
            </w:tcBorders>
            <w:shd w:val="clear" w:color="auto" w:fill="auto"/>
            <w:vAlign w:val="bottom"/>
          </w:tcPr>
          <w:p w14:paraId="4E2CB6A5" w14:textId="2A968AFD" w:rsidR="00DC5BE9" w:rsidRPr="003E2D55" w:rsidRDefault="00DC5BE9" w:rsidP="003E2D55">
            <w:pPr>
              <w:spacing w:before="40" w:after="20"/>
              <w:jc w:val="right"/>
              <w:rPr>
                <w:rFonts w:cs="Arial"/>
                <w:sz w:val="18"/>
                <w:szCs w:val="18"/>
              </w:rPr>
            </w:pPr>
            <w:r w:rsidRPr="003E2D55">
              <w:rPr>
                <w:rFonts w:cs="Arial"/>
                <w:sz w:val="18"/>
                <w:szCs w:val="18"/>
              </w:rPr>
              <w:t>37,329</w:t>
            </w:r>
          </w:p>
        </w:tc>
        <w:tc>
          <w:tcPr>
            <w:tcW w:w="1332" w:type="dxa"/>
            <w:tcBorders>
              <w:top w:val="nil"/>
              <w:left w:val="nil"/>
              <w:bottom w:val="nil"/>
              <w:right w:val="nil"/>
            </w:tcBorders>
            <w:shd w:val="clear" w:color="auto" w:fill="auto"/>
            <w:vAlign w:val="bottom"/>
          </w:tcPr>
          <w:p w14:paraId="2467A6B1" w14:textId="6C5EE6B9" w:rsidR="00DC5BE9" w:rsidRPr="003E2D55" w:rsidRDefault="00DC5BE9" w:rsidP="003E2D55">
            <w:pPr>
              <w:spacing w:before="40" w:after="20"/>
              <w:jc w:val="right"/>
              <w:rPr>
                <w:rFonts w:cs="Arial"/>
                <w:sz w:val="18"/>
                <w:szCs w:val="18"/>
              </w:rPr>
            </w:pPr>
            <w:r w:rsidRPr="003E2D55">
              <w:rPr>
                <w:rFonts w:cs="Arial"/>
                <w:sz w:val="18"/>
                <w:szCs w:val="18"/>
              </w:rPr>
              <w:t>70,796</w:t>
            </w:r>
          </w:p>
        </w:tc>
      </w:tr>
      <w:tr w:rsidR="00DC5BE9" w:rsidRPr="003E2D55" w14:paraId="421858F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5029316" w14:textId="77777777" w:rsidR="00DC5BE9" w:rsidRPr="003E2D55" w:rsidRDefault="00DC5BE9" w:rsidP="003E2D55">
            <w:pPr>
              <w:spacing w:before="40" w:after="20"/>
              <w:rPr>
                <w:rFonts w:cs="Arial"/>
                <w:sz w:val="18"/>
                <w:szCs w:val="18"/>
              </w:rPr>
            </w:pPr>
            <w:r w:rsidRPr="003E2D55">
              <w:rPr>
                <w:rFonts w:cs="Arial"/>
                <w:sz w:val="18"/>
                <w:szCs w:val="18"/>
              </w:rPr>
              <w:t>Wellington S</w:t>
            </w:r>
          </w:p>
        </w:tc>
        <w:tc>
          <w:tcPr>
            <w:tcW w:w="1361" w:type="dxa"/>
            <w:tcBorders>
              <w:top w:val="nil"/>
              <w:left w:val="single" w:sz="18" w:space="0" w:color="5F497A" w:themeColor="accent4" w:themeShade="BF"/>
              <w:bottom w:val="nil"/>
              <w:right w:val="nil"/>
            </w:tcBorders>
            <w:shd w:val="clear" w:color="auto" w:fill="auto"/>
            <w:vAlign w:val="bottom"/>
          </w:tcPr>
          <w:p w14:paraId="0ED19680" w14:textId="0FC626BE"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1987685F" w14:textId="3FC91147" w:rsidR="00DC5BE9" w:rsidRPr="003E2D55" w:rsidRDefault="00DC5BE9" w:rsidP="003E2D55">
            <w:pPr>
              <w:spacing w:before="40" w:after="20"/>
              <w:jc w:val="right"/>
              <w:rPr>
                <w:rFonts w:cs="Arial"/>
                <w:sz w:val="18"/>
                <w:szCs w:val="18"/>
              </w:rPr>
            </w:pPr>
            <w:r w:rsidRPr="003E2D55">
              <w:rPr>
                <w:rFonts w:cs="Arial"/>
                <w:sz w:val="18"/>
                <w:szCs w:val="18"/>
              </w:rPr>
              <w:t>7,782,313</w:t>
            </w:r>
          </w:p>
        </w:tc>
        <w:tc>
          <w:tcPr>
            <w:tcW w:w="1361" w:type="dxa"/>
            <w:tcBorders>
              <w:top w:val="nil"/>
              <w:left w:val="nil"/>
              <w:bottom w:val="nil"/>
              <w:right w:val="nil"/>
            </w:tcBorders>
            <w:shd w:val="clear" w:color="auto" w:fill="auto"/>
            <w:vAlign w:val="bottom"/>
          </w:tcPr>
          <w:p w14:paraId="7ABBBD01" w14:textId="1FA8AADC" w:rsidR="00DC5BE9" w:rsidRPr="003E2D55" w:rsidRDefault="00DC5BE9" w:rsidP="003E2D55">
            <w:pPr>
              <w:spacing w:before="40" w:after="20"/>
              <w:jc w:val="right"/>
              <w:rPr>
                <w:rFonts w:cs="Arial"/>
                <w:sz w:val="18"/>
                <w:szCs w:val="18"/>
              </w:rPr>
            </w:pPr>
            <w:r w:rsidRPr="003E2D55">
              <w:rPr>
                <w:rFonts w:cs="Arial"/>
                <w:sz w:val="18"/>
                <w:szCs w:val="18"/>
              </w:rPr>
              <w:t>11,726,164</w:t>
            </w:r>
          </w:p>
        </w:tc>
        <w:tc>
          <w:tcPr>
            <w:tcW w:w="1361" w:type="dxa"/>
            <w:tcBorders>
              <w:top w:val="nil"/>
              <w:left w:val="nil"/>
              <w:bottom w:val="nil"/>
              <w:right w:val="nil"/>
            </w:tcBorders>
            <w:shd w:val="clear" w:color="auto" w:fill="auto"/>
            <w:vAlign w:val="bottom"/>
          </w:tcPr>
          <w:p w14:paraId="0F4ECDEC" w14:textId="24AF7A23" w:rsidR="00DC5BE9" w:rsidRPr="003E2D55" w:rsidRDefault="00DC5BE9" w:rsidP="003E2D55">
            <w:pPr>
              <w:spacing w:before="40" w:after="20"/>
              <w:jc w:val="right"/>
              <w:rPr>
                <w:rFonts w:cs="Arial"/>
                <w:sz w:val="18"/>
                <w:szCs w:val="18"/>
              </w:rPr>
            </w:pPr>
            <w:r w:rsidRPr="003E2D55">
              <w:rPr>
                <w:rFonts w:cs="Arial"/>
                <w:sz w:val="18"/>
                <w:szCs w:val="18"/>
              </w:rPr>
              <w:t>3,844,045</w:t>
            </w:r>
          </w:p>
        </w:tc>
        <w:tc>
          <w:tcPr>
            <w:tcW w:w="1332" w:type="dxa"/>
            <w:tcBorders>
              <w:top w:val="nil"/>
              <w:left w:val="nil"/>
              <w:bottom w:val="nil"/>
              <w:right w:val="nil"/>
            </w:tcBorders>
            <w:shd w:val="clear" w:color="auto" w:fill="auto"/>
            <w:vAlign w:val="bottom"/>
          </w:tcPr>
          <w:p w14:paraId="5D3E8244" w14:textId="7AED5DBD" w:rsidR="00DC5BE9" w:rsidRPr="003E2D55" w:rsidRDefault="00DC5BE9" w:rsidP="003E2D55">
            <w:pPr>
              <w:spacing w:before="40" w:after="20"/>
              <w:jc w:val="right"/>
              <w:rPr>
                <w:rFonts w:cs="Arial"/>
                <w:sz w:val="18"/>
                <w:szCs w:val="18"/>
              </w:rPr>
            </w:pPr>
            <w:r w:rsidRPr="003E2D55">
              <w:rPr>
                <w:rFonts w:cs="Arial"/>
                <w:sz w:val="18"/>
                <w:szCs w:val="18"/>
              </w:rPr>
              <w:t>1,448,173</w:t>
            </w:r>
          </w:p>
        </w:tc>
      </w:tr>
      <w:tr w:rsidR="00DC5BE9" w:rsidRPr="003E2D55" w14:paraId="574C19F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B1B16DD" w14:textId="77777777" w:rsidR="00DC5BE9" w:rsidRPr="003E2D55" w:rsidRDefault="00DC5BE9" w:rsidP="003E2D55">
            <w:pPr>
              <w:spacing w:before="40" w:after="20"/>
              <w:rPr>
                <w:rFonts w:cs="Arial"/>
                <w:sz w:val="18"/>
                <w:szCs w:val="18"/>
              </w:rPr>
            </w:pPr>
            <w:r w:rsidRPr="003E2D55">
              <w:rPr>
                <w:rFonts w:cs="Arial"/>
                <w:sz w:val="18"/>
                <w:szCs w:val="18"/>
              </w:rPr>
              <w:t>West Wimmera S</w:t>
            </w:r>
          </w:p>
        </w:tc>
        <w:tc>
          <w:tcPr>
            <w:tcW w:w="1361" w:type="dxa"/>
            <w:tcBorders>
              <w:top w:val="nil"/>
              <w:left w:val="single" w:sz="18" w:space="0" w:color="5F497A" w:themeColor="accent4" w:themeShade="BF"/>
              <w:bottom w:val="nil"/>
              <w:right w:val="nil"/>
            </w:tcBorders>
            <w:shd w:val="clear" w:color="auto" w:fill="auto"/>
            <w:vAlign w:val="bottom"/>
          </w:tcPr>
          <w:p w14:paraId="1948E92A" w14:textId="7F32115E" w:rsidR="00DC5BE9" w:rsidRPr="003E2D55" w:rsidRDefault="00DC5BE9" w:rsidP="003E2D55">
            <w:pPr>
              <w:spacing w:before="40" w:after="20"/>
              <w:jc w:val="right"/>
              <w:rPr>
                <w:rFonts w:cs="Arial"/>
                <w:sz w:val="18"/>
                <w:szCs w:val="18"/>
              </w:rPr>
            </w:pPr>
            <w:r w:rsidRPr="003E2D55">
              <w:rPr>
                <w:rFonts w:cs="Arial"/>
                <w:sz w:val="18"/>
                <w:szCs w:val="18"/>
              </w:rPr>
              <w:t>344,197</w:t>
            </w:r>
          </w:p>
        </w:tc>
        <w:tc>
          <w:tcPr>
            <w:tcW w:w="1361" w:type="dxa"/>
            <w:tcBorders>
              <w:top w:val="nil"/>
              <w:left w:val="nil"/>
              <w:bottom w:val="nil"/>
              <w:right w:val="nil"/>
            </w:tcBorders>
            <w:shd w:val="clear" w:color="auto" w:fill="auto"/>
            <w:vAlign w:val="bottom"/>
          </w:tcPr>
          <w:p w14:paraId="1D25B1AC" w14:textId="3ED15123" w:rsidR="00DC5BE9" w:rsidRPr="003E2D55" w:rsidRDefault="00DC5BE9" w:rsidP="003E2D55">
            <w:pPr>
              <w:spacing w:before="40" w:after="20"/>
              <w:jc w:val="right"/>
              <w:rPr>
                <w:rFonts w:cs="Arial"/>
                <w:sz w:val="18"/>
                <w:szCs w:val="18"/>
              </w:rPr>
            </w:pPr>
            <w:r w:rsidRPr="003E2D55">
              <w:rPr>
                <w:rFonts w:cs="Arial"/>
                <w:sz w:val="18"/>
                <w:szCs w:val="18"/>
              </w:rPr>
              <w:t>11,595,803</w:t>
            </w:r>
          </w:p>
        </w:tc>
        <w:tc>
          <w:tcPr>
            <w:tcW w:w="1361" w:type="dxa"/>
            <w:tcBorders>
              <w:top w:val="nil"/>
              <w:left w:val="nil"/>
              <w:bottom w:val="nil"/>
              <w:right w:val="nil"/>
            </w:tcBorders>
            <w:shd w:val="clear" w:color="auto" w:fill="auto"/>
            <w:vAlign w:val="bottom"/>
          </w:tcPr>
          <w:p w14:paraId="4A1DDCEA" w14:textId="7F228DA5" w:rsidR="00DC5BE9" w:rsidRPr="003E2D55" w:rsidRDefault="00DC5BE9" w:rsidP="003E2D55">
            <w:pPr>
              <w:spacing w:before="40" w:after="20"/>
              <w:jc w:val="right"/>
              <w:rPr>
                <w:rFonts w:cs="Arial"/>
                <w:sz w:val="18"/>
                <w:szCs w:val="18"/>
              </w:rPr>
            </w:pPr>
            <w:r w:rsidRPr="003E2D55">
              <w:rPr>
                <w:rFonts w:cs="Arial"/>
                <w:sz w:val="18"/>
                <w:szCs w:val="18"/>
              </w:rPr>
              <w:t>1,341,501</w:t>
            </w:r>
          </w:p>
        </w:tc>
        <w:tc>
          <w:tcPr>
            <w:tcW w:w="1361" w:type="dxa"/>
            <w:tcBorders>
              <w:top w:val="nil"/>
              <w:left w:val="nil"/>
              <w:bottom w:val="nil"/>
              <w:right w:val="nil"/>
            </w:tcBorders>
            <w:shd w:val="clear" w:color="auto" w:fill="auto"/>
            <w:vAlign w:val="bottom"/>
          </w:tcPr>
          <w:p w14:paraId="76B0D725" w14:textId="6BA0DC4A" w:rsidR="00DC5BE9" w:rsidRPr="003E2D55" w:rsidRDefault="00DC5BE9" w:rsidP="003E2D55">
            <w:pPr>
              <w:spacing w:before="40" w:after="20"/>
              <w:jc w:val="right"/>
              <w:rPr>
                <w:rFonts w:cs="Arial"/>
                <w:sz w:val="18"/>
                <w:szCs w:val="18"/>
              </w:rPr>
            </w:pPr>
            <w:r w:rsidRPr="003E2D55">
              <w:rPr>
                <w:rFonts w:cs="Arial"/>
                <w:sz w:val="18"/>
                <w:szCs w:val="18"/>
              </w:rPr>
              <w:t>0</w:t>
            </w:r>
          </w:p>
        </w:tc>
        <w:tc>
          <w:tcPr>
            <w:tcW w:w="1332" w:type="dxa"/>
            <w:tcBorders>
              <w:top w:val="nil"/>
              <w:left w:val="nil"/>
              <w:bottom w:val="nil"/>
              <w:right w:val="nil"/>
            </w:tcBorders>
            <w:shd w:val="clear" w:color="auto" w:fill="auto"/>
            <w:vAlign w:val="bottom"/>
          </w:tcPr>
          <w:p w14:paraId="793A93FC" w14:textId="152FEBB6"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71C1406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D8CF678" w14:textId="77777777" w:rsidR="00DC5BE9" w:rsidRPr="003E2D55" w:rsidRDefault="00DC5BE9" w:rsidP="003E2D55">
            <w:pPr>
              <w:spacing w:before="40" w:after="20"/>
              <w:rPr>
                <w:rFonts w:cs="Arial"/>
                <w:sz w:val="18"/>
                <w:szCs w:val="18"/>
              </w:rPr>
            </w:pPr>
            <w:r w:rsidRPr="003E2D55">
              <w:rPr>
                <w:rFonts w:cs="Arial"/>
                <w:sz w:val="18"/>
                <w:szCs w:val="18"/>
              </w:rPr>
              <w:t>Whitehorse C</w:t>
            </w:r>
          </w:p>
        </w:tc>
        <w:tc>
          <w:tcPr>
            <w:tcW w:w="1361" w:type="dxa"/>
            <w:tcBorders>
              <w:top w:val="nil"/>
              <w:left w:val="single" w:sz="18" w:space="0" w:color="5F497A" w:themeColor="accent4" w:themeShade="BF"/>
              <w:bottom w:val="nil"/>
              <w:right w:val="nil"/>
            </w:tcBorders>
            <w:shd w:val="clear" w:color="auto" w:fill="auto"/>
            <w:vAlign w:val="bottom"/>
          </w:tcPr>
          <w:p w14:paraId="43D815FC" w14:textId="6A725D16"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53D04DD2" w14:textId="406A0922"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794652FE" w14:textId="3EED25A8"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19EAD515" w14:textId="2ACA82BD" w:rsidR="00DC5BE9" w:rsidRPr="003E2D55" w:rsidRDefault="00DC5BE9" w:rsidP="003E2D55">
            <w:pPr>
              <w:spacing w:before="40" w:after="20"/>
              <w:jc w:val="right"/>
              <w:rPr>
                <w:rFonts w:cs="Arial"/>
                <w:sz w:val="18"/>
                <w:szCs w:val="18"/>
              </w:rPr>
            </w:pPr>
            <w:r w:rsidRPr="003E2D55">
              <w:rPr>
                <w:rFonts w:cs="Arial"/>
                <w:sz w:val="18"/>
                <w:szCs w:val="18"/>
              </w:rPr>
              <w:t>0</w:t>
            </w:r>
          </w:p>
        </w:tc>
        <w:tc>
          <w:tcPr>
            <w:tcW w:w="1332" w:type="dxa"/>
            <w:tcBorders>
              <w:top w:val="nil"/>
              <w:left w:val="nil"/>
              <w:bottom w:val="nil"/>
              <w:right w:val="nil"/>
            </w:tcBorders>
            <w:shd w:val="clear" w:color="auto" w:fill="auto"/>
            <w:vAlign w:val="bottom"/>
          </w:tcPr>
          <w:p w14:paraId="60FD5560" w14:textId="360644EF"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6979829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DD0AB47" w14:textId="77777777" w:rsidR="00DC5BE9" w:rsidRPr="003E2D55" w:rsidRDefault="00DC5BE9" w:rsidP="003E2D55">
            <w:pPr>
              <w:spacing w:before="40" w:after="20"/>
              <w:rPr>
                <w:rFonts w:cs="Arial"/>
                <w:sz w:val="18"/>
                <w:szCs w:val="18"/>
              </w:rPr>
            </w:pPr>
            <w:r w:rsidRPr="003E2D55">
              <w:rPr>
                <w:rFonts w:cs="Arial"/>
                <w:sz w:val="18"/>
                <w:szCs w:val="18"/>
              </w:rPr>
              <w:t>Whittlesea C</w:t>
            </w:r>
          </w:p>
        </w:tc>
        <w:tc>
          <w:tcPr>
            <w:tcW w:w="1361" w:type="dxa"/>
            <w:tcBorders>
              <w:top w:val="nil"/>
              <w:left w:val="single" w:sz="18" w:space="0" w:color="5F497A" w:themeColor="accent4" w:themeShade="BF"/>
              <w:bottom w:val="nil"/>
              <w:right w:val="nil"/>
            </w:tcBorders>
            <w:shd w:val="clear" w:color="auto" w:fill="auto"/>
            <w:vAlign w:val="bottom"/>
          </w:tcPr>
          <w:p w14:paraId="69478002" w14:textId="298F481D"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7706B5EC" w14:textId="78CE385B" w:rsidR="00DC5BE9" w:rsidRPr="003E2D55" w:rsidRDefault="00DC5BE9" w:rsidP="003E2D55">
            <w:pPr>
              <w:spacing w:before="40" w:after="20"/>
              <w:jc w:val="right"/>
              <w:rPr>
                <w:rFonts w:cs="Arial"/>
                <w:sz w:val="18"/>
                <w:szCs w:val="18"/>
              </w:rPr>
            </w:pPr>
            <w:r w:rsidRPr="003E2D55">
              <w:rPr>
                <w:rFonts w:cs="Arial"/>
                <w:sz w:val="18"/>
                <w:szCs w:val="18"/>
              </w:rPr>
              <w:t>237,627</w:t>
            </w:r>
          </w:p>
        </w:tc>
        <w:tc>
          <w:tcPr>
            <w:tcW w:w="1361" w:type="dxa"/>
            <w:tcBorders>
              <w:top w:val="nil"/>
              <w:left w:val="nil"/>
              <w:bottom w:val="nil"/>
              <w:right w:val="nil"/>
            </w:tcBorders>
            <w:shd w:val="clear" w:color="auto" w:fill="auto"/>
            <w:vAlign w:val="bottom"/>
          </w:tcPr>
          <w:p w14:paraId="577E1FD6" w14:textId="1A54E143" w:rsidR="00DC5BE9" w:rsidRPr="003E2D55" w:rsidRDefault="00DC5BE9" w:rsidP="003E2D55">
            <w:pPr>
              <w:spacing w:before="40" w:after="20"/>
              <w:jc w:val="right"/>
              <w:rPr>
                <w:rFonts w:cs="Arial"/>
                <w:sz w:val="18"/>
                <w:szCs w:val="18"/>
              </w:rPr>
            </w:pPr>
            <w:r w:rsidRPr="003E2D55">
              <w:rPr>
                <w:rFonts w:cs="Arial"/>
                <w:sz w:val="18"/>
                <w:szCs w:val="18"/>
              </w:rPr>
              <w:t>835,966</w:t>
            </w:r>
          </w:p>
        </w:tc>
        <w:tc>
          <w:tcPr>
            <w:tcW w:w="1361" w:type="dxa"/>
            <w:tcBorders>
              <w:top w:val="nil"/>
              <w:left w:val="nil"/>
              <w:bottom w:val="nil"/>
              <w:right w:val="nil"/>
            </w:tcBorders>
            <w:shd w:val="clear" w:color="auto" w:fill="auto"/>
            <w:vAlign w:val="bottom"/>
          </w:tcPr>
          <w:p w14:paraId="1C982D63" w14:textId="455297E3" w:rsidR="00DC5BE9" w:rsidRPr="003E2D55" w:rsidRDefault="00DC5BE9" w:rsidP="003E2D55">
            <w:pPr>
              <w:spacing w:before="40" w:after="20"/>
              <w:jc w:val="right"/>
              <w:rPr>
                <w:rFonts w:cs="Arial"/>
                <w:sz w:val="18"/>
                <w:szCs w:val="18"/>
              </w:rPr>
            </w:pPr>
            <w:r w:rsidRPr="003E2D55">
              <w:rPr>
                <w:rFonts w:cs="Arial"/>
                <w:sz w:val="18"/>
                <w:szCs w:val="18"/>
              </w:rPr>
              <w:t>246,789</w:t>
            </w:r>
          </w:p>
        </w:tc>
        <w:tc>
          <w:tcPr>
            <w:tcW w:w="1332" w:type="dxa"/>
            <w:tcBorders>
              <w:top w:val="nil"/>
              <w:left w:val="nil"/>
              <w:bottom w:val="nil"/>
              <w:right w:val="nil"/>
            </w:tcBorders>
            <w:shd w:val="clear" w:color="auto" w:fill="auto"/>
            <w:vAlign w:val="bottom"/>
          </w:tcPr>
          <w:p w14:paraId="1511DDDF" w14:textId="0C99C36C" w:rsidR="00DC5BE9" w:rsidRPr="003E2D55" w:rsidRDefault="00DC5BE9" w:rsidP="003E2D55">
            <w:pPr>
              <w:spacing w:before="40" w:after="20"/>
              <w:jc w:val="right"/>
              <w:rPr>
                <w:rFonts w:cs="Arial"/>
                <w:sz w:val="18"/>
                <w:szCs w:val="18"/>
              </w:rPr>
            </w:pPr>
            <w:r w:rsidRPr="003E2D55">
              <w:rPr>
                <w:rFonts w:cs="Arial"/>
                <w:sz w:val="18"/>
                <w:szCs w:val="18"/>
              </w:rPr>
              <w:t>181,180</w:t>
            </w:r>
          </w:p>
        </w:tc>
      </w:tr>
      <w:tr w:rsidR="00DC5BE9" w:rsidRPr="003E2D55" w14:paraId="66209B3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5948943" w14:textId="77777777" w:rsidR="00DC5BE9" w:rsidRPr="003E2D55" w:rsidRDefault="00DC5BE9" w:rsidP="003E2D55">
            <w:pPr>
              <w:spacing w:before="40" w:after="20"/>
              <w:rPr>
                <w:rFonts w:cs="Arial"/>
                <w:sz w:val="18"/>
                <w:szCs w:val="18"/>
              </w:rPr>
            </w:pPr>
            <w:r w:rsidRPr="003E2D55">
              <w:rPr>
                <w:rFonts w:cs="Arial"/>
                <w:sz w:val="18"/>
                <w:szCs w:val="18"/>
              </w:rPr>
              <w:t>Wodonga C</w:t>
            </w:r>
          </w:p>
        </w:tc>
        <w:tc>
          <w:tcPr>
            <w:tcW w:w="1361" w:type="dxa"/>
            <w:tcBorders>
              <w:top w:val="nil"/>
              <w:left w:val="single" w:sz="18" w:space="0" w:color="5F497A" w:themeColor="accent4" w:themeShade="BF"/>
              <w:bottom w:val="nil"/>
              <w:right w:val="nil"/>
            </w:tcBorders>
            <w:shd w:val="clear" w:color="auto" w:fill="auto"/>
            <w:vAlign w:val="bottom"/>
          </w:tcPr>
          <w:p w14:paraId="5E62D370" w14:textId="01EAC58E"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10565285" w14:textId="26A9785B" w:rsidR="00DC5BE9" w:rsidRPr="003E2D55" w:rsidRDefault="00DC5BE9" w:rsidP="003E2D55">
            <w:pPr>
              <w:spacing w:before="40" w:after="20"/>
              <w:jc w:val="right"/>
              <w:rPr>
                <w:rFonts w:cs="Arial"/>
                <w:sz w:val="18"/>
                <w:szCs w:val="18"/>
              </w:rPr>
            </w:pPr>
            <w:r w:rsidRPr="003E2D55">
              <w:rPr>
                <w:rFonts w:cs="Arial"/>
                <w:sz w:val="18"/>
                <w:szCs w:val="18"/>
              </w:rPr>
              <w:t>381,391</w:t>
            </w:r>
          </w:p>
        </w:tc>
        <w:tc>
          <w:tcPr>
            <w:tcW w:w="1361" w:type="dxa"/>
            <w:tcBorders>
              <w:top w:val="nil"/>
              <w:left w:val="nil"/>
              <w:bottom w:val="nil"/>
              <w:right w:val="nil"/>
            </w:tcBorders>
            <w:shd w:val="clear" w:color="auto" w:fill="auto"/>
            <w:vAlign w:val="bottom"/>
          </w:tcPr>
          <w:p w14:paraId="5AA88232" w14:textId="4E7B1580" w:rsidR="00DC5BE9" w:rsidRPr="003E2D55" w:rsidRDefault="00DC5BE9" w:rsidP="003E2D55">
            <w:pPr>
              <w:spacing w:before="40" w:after="20"/>
              <w:jc w:val="right"/>
              <w:rPr>
                <w:rFonts w:cs="Arial"/>
                <w:sz w:val="18"/>
                <w:szCs w:val="18"/>
              </w:rPr>
            </w:pPr>
            <w:r w:rsidRPr="003E2D55">
              <w:rPr>
                <w:rFonts w:cs="Arial"/>
                <w:sz w:val="18"/>
                <w:szCs w:val="18"/>
              </w:rPr>
              <w:t>823,324</w:t>
            </w:r>
          </w:p>
        </w:tc>
        <w:tc>
          <w:tcPr>
            <w:tcW w:w="1361" w:type="dxa"/>
            <w:tcBorders>
              <w:top w:val="nil"/>
              <w:left w:val="nil"/>
              <w:bottom w:val="nil"/>
              <w:right w:val="nil"/>
            </w:tcBorders>
            <w:shd w:val="clear" w:color="auto" w:fill="auto"/>
            <w:vAlign w:val="bottom"/>
          </w:tcPr>
          <w:p w14:paraId="0D9795C1" w14:textId="62F4A331" w:rsidR="00DC5BE9" w:rsidRPr="003E2D55" w:rsidRDefault="00DC5BE9" w:rsidP="003E2D55">
            <w:pPr>
              <w:spacing w:before="40" w:after="20"/>
              <w:jc w:val="right"/>
              <w:rPr>
                <w:rFonts w:cs="Arial"/>
                <w:sz w:val="18"/>
                <w:szCs w:val="18"/>
              </w:rPr>
            </w:pPr>
            <w:r w:rsidRPr="003E2D55">
              <w:rPr>
                <w:rFonts w:cs="Arial"/>
                <w:sz w:val="18"/>
                <w:szCs w:val="18"/>
              </w:rPr>
              <w:t>39,078</w:t>
            </w:r>
          </w:p>
        </w:tc>
        <w:tc>
          <w:tcPr>
            <w:tcW w:w="1332" w:type="dxa"/>
            <w:tcBorders>
              <w:top w:val="nil"/>
              <w:left w:val="nil"/>
              <w:bottom w:val="nil"/>
              <w:right w:val="nil"/>
            </w:tcBorders>
            <w:shd w:val="clear" w:color="auto" w:fill="auto"/>
            <w:vAlign w:val="bottom"/>
          </w:tcPr>
          <w:p w14:paraId="0B58BB93" w14:textId="5E258AE1" w:rsidR="00DC5BE9" w:rsidRPr="003E2D55" w:rsidRDefault="00DC5BE9" w:rsidP="003E2D55">
            <w:pPr>
              <w:spacing w:before="40" w:after="20"/>
              <w:jc w:val="right"/>
              <w:rPr>
                <w:rFonts w:cs="Arial"/>
                <w:sz w:val="18"/>
                <w:szCs w:val="18"/>
              </w:rPr>
            </w:pPr>
            <w:r w:rsidRPr="003E2D55">
              <w:rPr>
                <w:rFonts w:cs="Arial"/>
                <w:sz w:val="18"/>
                <w:szCs w:val="18"/>
              </w:rPr>
              <w:t>74,113</w:t>
            </w:r>
          </w:p>
        </w:tc>
      </w:tr>
      <w:tr w:rsidR="00DC5BE9" w:rsidRPr="003E2D55" w14:paraId="508A26E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BEE87C3" w14:textId="77777777" w:rsidR="00DC5BE9" w:rsidRPr="003E2D55" w:rsidRDefault="00DC5BE9" w:rsidP="003E2D55">
            <w:pPr>
              <w:spacing w:before="40" w:after="20"/>
              <w:rPr>
                <w:rFonts w:cs="Arial"/>
                <w:sz w:val="18"/>
                <w:szCs w:val="18"/>
              </w:rPr>
            </w:pPr>
            <w:r w:rsidRPr="003E2D55">
              <w:rPr>
                <w:rFonts w:cs="Arial"/>
                <w:sz w:val="18"/>
                <w:szCs w:val="18"/>
              </w:rPr>
              <w:t>Wyndham C</w:t>
            </w:r>
          </w:p>
        </w:tc>
        <w:tc>
          <w:tcPr>
            <w:tcW w:w="1361" w:type="dxa"/>
            <w:tcBorders>
              <w:top w:val="nil"/>
              <w:left w:val="single" w:sz="18" w:space="0" w:color="5F497A" w:themeColor="accent4" w:themeShade="BF"/>
              <w:bottom w:val="nil"/>
              <w:right w:val="nil"/>
            </w:tcBorders>
            <w:shd w:val="clear" w:color="auto" w:fill="auto"/>
            <w:vAlign w:val="bottom"/>
          </w:tcPr>
          <w:p w14:paraId="58DAF8F6" w14:textId="614DD225" w:rsidR="00DC5BE9" w:rsidRPr="003E2D55" w:rsidRDefault="00DC5BE9" w:rsidP="003E2D55">
            <w:pPr>
              <w:spacing w:before="40" w:after="20"/>
              <w:jc w:val="right"/>
              <w:rPr>
                <w:rFonts w:cs="Arial"/>
                <w:sz w:val="18"/>
                <w:szCs w:val="18"/>
              </w:rPr>
            </w:pPr>
            <w:r w:rsidRPr="003E2D55">
              <w:rPr>
                <w:rFonts w:cs="Arial"/>
                <w:sz w:val="18"/>
                <w:szCs w:val="18"/>
              </w:rPr>
              <w:t>18,807</w:t>
            </w:r>
          </w:p>
        </w:tc>
        <w:tc>
          <w:tcPr>
            <w:tcW w:w="1361" w:type="dxa"/>
            <w:tcBorders>
              <w:top w:val="nil"/>
              <w:left w:val="nil"/>
              <w:bottom w:val="nil"/>
              <w:right w:val="nil"/>
            </w:tcBorders>
            <w:shd w:val="clear" w:color="auto" w:fill="auto"/>
            <w:vAlign w:val="bottom"/>
          </w:tcPr>
          <w:p w14:paraId="638DED40" w14:textId="0183D1AD" w:rsidR="00DC5BE9" w:rsidRPr="003E2D55" w:rsidRDefault="00DC5BE9" w:rsidP="003E2D55">
            <w:pPr>
              <w:spacing w:before="40" w:after="20"/>
              <w:jc w:val="right"/>
              <w:rPr>
                <w:rFonts w:cs="Arial"/>
                <w:sz w:val="18"/>
                <w:szCs w:val="18"/>
              </w:rPr>
            </w:pPr>
            <w:r w:rsidRPr="003E2D55">
              <w:rPr>
                <w:rFonts w:cs="Arial"/>
                <w:sz w:val="18"/>
                <w:szCs w:val="18"/>
              </w:rPr>
              <w:t>264,397</w:t>
            </w:r>
          </w:p>
        </w:tc>
        <w:tc>
          <w:tcPr>
            <w:tcW w:w="1361" w:type="dxa"/>
            <w:tcBorders>
              <w:top w:val="nil"/>
              <w:left w:val="nil"/>
              <w:bottom w:val="nil"/>
              <w:right w:val="nil"/>
            </w:tcBorders>
            <w:shd w:val="clear" w:color="auto" w:fill="auto"/>
            <w:vAlign w:val="bottom"/>
          </w:tcPr>
          <w:p w14:paraId="56D3A211" w14:textId="390F9378" w:rsidR="00DC5BE9" w:rsidRPr="003E2D55" w:rsidRDefault="00DC5BE9" w:rsidP="003E2D55">
            <w:pPr>
              <w:spacing w:before="40" w:after="20"/>
              <w:jc w:val="right"/>
              <w:rPr>
                <w:rFonts w:cs="Arial"/>
                <w:sz w:val="18"/>
                <w:szCs w:val="18"/>
              </w:rPr>
            </w:pPr>
            <w:r w:rsidRPr="003E2D55">
              <w:rPr>
                <w:rFonts w:cs="Arial"/>
                <w:sz w:val="18"/>
                <w:szCs w:val="18"/>
              </w:rPr>
              <w:t>497,357</w:t>
            </w:r>
          </w:p>
        </w:tc>
        <w:tc>
          <w:tcPr>
            <w:tcW w:w="1361" w:type="dxa"/>
            <w:tcBorders>
              <w:top w:val="nil"/>
              <w:left w:val="nil"/>
              <w:bottom w:val="nil"/>
              <w:right w:val="nil"/>
            </w:tcBorders>
            <w:shd w:val="clear" w:color="auto" w:fill="auto"/>
            <w:vAlign w:val="bottom"/>
          </w:tcPr>
          <w:p w14:paraId="0FFD3CA5" w14:textId="25993039" w:rsidR="00DC5BE9" w:rsidRPr="003E2D55" w:rsidRDefault="00DC5BE9" w:rsidP="003E2D55">
            <w:pPr>
              <w:spacing w:before="40" w:after="20"/>
              <w:jc w:val="right"/>
              <w:rPr>
                <w:rFonts w:cs="Arial"/>
                <w:sz w:val="18"/>
                <w:szCs w:val="18"/>
              </w:rPr>
            </w:pPr>
            <w:r w:rsidRPr="003E2D55">
              <w:rPr>
                <w:rFonts w:cs="Arial"/>
                <w:sz w:val="18"/>
                <w:szCs w:val="18"/>
              </w:rPr>
              <w:t>312,168</w:t>
            </w:r>
          </w:p>
        </w:tc>
        <w:tc>
          <w:tcPr>
            <w:tcW w:w="1332" w:type="dxa"/>
            <w:tcBorders>
              <w:top w:val="nil"/>
              <w:left w:val="nil"/>
              <w:bottom w:val="nil"/>
              <w:right w:val="nil"/>
            </w:tcBorders>
            <w:shd w:val="clear" w:color="auto" w:fill="auto"/>
            <w:vAlign w:val="bottom"/>
          </w:tcPr>
          <w:p w14:paraId="010C50F3" w14:textId="00DBC08B" w:rsidR="00DC5BE9" w:rsidRPr="003E2D55" w:rsidRDefault="00DC5BE9" w:rsidP="003E2D55">
            <w:pPr>
              <w:spacing w:before="40" w:after="20"/>
              <w:jc w:val="right"/>
              <w:rPr>
                <w:rFonts w:cs="Arial"/>
                <w:sz w:val="18"/>
                <w:szCs w:val="18"/>
              </w:rPr>
            </w:pPr>
            <w:r w:rsidRPr="003E2D55">
              <w:rPr>
                <w:rFonts w:cs="Arial"/>
                <w:sz w:val="18"/>
                <w:szCs w:val="18"/>
              </w:rPr>
              <w:t>780,591</w:t>
            </w:r>
          </w:p>
        </w:tc>
      </w:tr>
      <w:tr w:rsidR="00DC5BE9" w:rsidRPr="003E2D55" w14:paraId="67B66BC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F04828E" w14:textId="77777777" w:rsidR="00DC5BE9" w:rsidRPr="003E2D55" w:rsidRDefault="00DC5BE9" w:rsidP="003E2D55">
            <w:pPr>
              <w:spacing w:before="40" w:after="20"/>
              <w:rPr>
                <w:rFonts w:cs="Arial"/>
                <w:sz w:val="18"/>
                <w:szCs w:val="18"/>
              </w:rPr>
            </w:pPr>
            <w:r w:rsidRPr="003E2D55">
              <w:rPr>
                <w:rFonts w:cs="Arial"/>
                <w:sz w:val="18"/>
                <w:szCs w:val="18"/>
              </w:rPr>
              <w:t>Yarra C</w:t>
            </w:r>
          </w:p>
        </w:tc>
        <w:tc>
          <w:tcPr>
            <w:tcW w:w="1361" w:type="dxa"/>
            <w:tcBorders>
              <w:top w:val="nil"/>
              <w:left w:val="single" w:sz="18" w:space="0" w:color="5F497A" w:themeColor="accent4" w:themeShade="BF"/>
              <w:bottom w:val="nil"/>
              <w:right w:val="nil"/>
            </w:tcBorders>
            <w:shd w:val="clear" w:color="auto" w:fill="auto"/>
            <w:vAlign w:val="bottom"/>
          </w:tcPr>
          <w:p w14:paraId="4B115DD3" w14:textId="09765311"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74493221" w14:textId="1B5D59FE"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37150AF5" w14:textId="675227B2"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shd w:val="clear" w:color="auto" w:fill="auto"/>
            <w:vAlign w:val="bottom"/>
          </w:tcPr>
          <w:p w14:paraId="3D52334B" w14:textId="55C9C59F" w:rsidR="00DC5BE9" w:rsidRPr="003E2D55" w:rsidRDefault="00DC5BE9" w:rsidP="003E2D55">
            <w:pPr>
              <w:spacing w:before="40" w:after="20"/>
              <w:jc w:val="right"/>
              <w:rPr>
                <w:rFonts w:cs="Arial"/>
                <w:sz w:val="18"/>
                <w:szCs w:val="18"/>
              </w:rPr>
            </w:pPr>
            <w:r w:rsidRPr="003E2D55">
              <w:rPr>
                <w:rFonts w:cs="Arial"/>
                <w:sz w:val="18"/>
                <w:szCs w:val="18"/>
              </w:rPr>
              <w:t>0</w:t>
            </w:r>
          </w:p>
        </w:tc>
        <w:tc>
          <w:tcPr>
            <w:tcW w:w="1332" w:type="dxa"/>
            <w:tcBorders>
              <w:top w:val="nil"/>
              <w:left w:val="nil"/>
              <w:bottom w:val="nil"/>
              <w:right w:val="nil"/>
            </w:tcBorders>
            <w:shd w:val="clear" w:color="auto" w:fill="auto"/>
            <w:vAlign w:val="bottom"/>
          </w:tcPr>
          <w:p w14:paraId="1586995E" w14:textId="38AF40C6"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2DE0330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C52DB09" w14:textId="77777777" w:rsidR="00DC5BE9" w:rsidRPr="003E2D55" w:rsidRDefault="00DC5BE9" w:rsidP="003E2D55">
            <w:pPr>
              <w:spacing w:before="40" w:after="20"/>
              <w:rPr>
                <w:rFonts w:cs="Arial"/>
                <w:sz w:val="18"/>
                <w:szCs w:val="18"/>
              </w:rPr>
            </w:pPr>
            <w:r w:rsidRPr="003E2D55">
              <w:rPr>
                <w:rFonts w:cs="Arial"/>
                <w:sz w:val="18"/>
                <w:szCs w:val="18"/>
              </w:rPr>
              <w:t>Yarra Ranges S</w:t>
            </w:r>
          </w:p>
        </w:tc>
        <w:tc>
          <w:tcPr>
            <w:tcW w:w="1361" w:type="dxa"/>
            <w:tcBorders>
              <w:top w:val="nil"/>
              <w:left w:val="single" w:sz="18" w:space="0" w:color="5F497A" w:themeColor="accent4" w:themeShade="BF"/>
              <w:bottom w:val="nil"/>
              <w:right w:val="nil"/>
            </w:tcBorders>
            <w:shd w:val="clear" w:color="auto" w:fill="auto"/>
            <w:vAlign w:val="bottom"/>
          </w:tcPr>
          <w:p w14:paraId="71A9C541" w14:textId="3654C7DE" w:rsidR="00DC5BE9" w:rsidRPr="003E2D55" w:rsidRDefault="00DC5BE9" w:rsidP="003E2D55">
            <w:pPr>
              <w:spacing w:before="40" w:after="20"/>
              <w:jc w:val="right"/>
              <w:rPr>
                <w:rFonts w:cs="Arial"/>
                <w:sz w:val="18"/>
                <w:szCs w:val="18"/>
              </w:rPr>
            </w:pPr>
            <w:r w:rsidRPr="003E2D55">
              <w:rPr>
                <w:rFonts w:cs="Arial"/>
                <w:sz w:val="18"/>
                <w:szCs w:val="18"/>
              </w:rPr>
              <w:t>3,149</w:t>
            </w:r>
          </w:p>
        </w:tc>
        <w:tc>
          <w:tcPr>
            <w:tcW w:w="1361" w:type="dxa"/>
            <w:tcBorders>
              <w:top w:val="nil"/>
              <w:left w:val="nil"/>
              <w:bottom w:val="nil"/>
              <w:right w:val="nil"/>
            </w:tcBorders>
            <w:shd w:val="clear" w:color="auto" w:fill="auto"/>
            <w:vAlign w:val="bottom"/>
          </w:tcPr>
          <w:p w14:paraId="1901386A" w14:textId="6D84649D" w:rsidR="00DC5BE9" w:rsidRPr="003E2D55" w:rsidRDefault="00DC5BE9" w:rsidP="003E2D55">
            <w:pPr>
              <w:spacing w:before="40" w:after="20"/>
              <w:jc w:val="right"/>
              <w:rPr>
                <w:rFonts w:cs="Arial"/>
                <w:sz w:val="18"/>
                <w:szCs w:val="18"/>
              </w:rPr>
            </w:pPr>
            <w:r w:rsidRPr="003E2D55">
              <w:rPr>
                <w:rFonts w:cs="Arial"/>
                <w:sz w:val="18"/>
                <w:szCs w:val="18"/>
              </w:rPr>
              <w:t>866,188</w:t>
            </w:r>
          </w:p>
        </w:tc>
        <w:tc>
          <w:tcPr>
            <w:tcW w:w="1361" w:type="dxa"/>
            <w:tcBorders>
              <w:top w:val="nil"/>
              <w:left w:val="nil"/>
              <w:bottom w:val="nil"/>
              <w:right w:val="nil"/>
            </w:tcBorders>
            <w:shd w:val="clear" w:color="auto" w:fill="auto"/>
            <w:vAlign w:val="bottom"/>
          </w:tcPr>
          <w:p w14:paraId="5EDE0044" w14:textId="0B14DA7E" w:rsidR="00DC5BE9" w:rsidRPr="003E2D55" w:rsidRDefault="00DC5BE9" w:rsidP="003E2D55">
            <w:pPr>
              <w:spacing w:before="40" w:after="20"/>
              <w:jc w:val="right"/>
              <w:rPr>
                <w:rFonts w:cs="Arial"/>
                <w:sz w:val="18"/>
                <w:szCs w:val="18"/>
              </w:rPr>
            </w:pPr>
            <w:r w:rsidRPr="003E2D55">
              <w:rPr>
                <w:rFonts w:cs="Arial"/>
                <w:sz w:val="18"/>
                <w:szCs w:val="18"/>
              </w:rPr>
              <w:t>9,354,200</w:t>
            </w:r>
          </w:p>
        </w:tc>
        <w:tc>
          <w:tcPr>
            <w:tcW w:w="1361" w:type="dxa"/>
            <w:tcBorders>
              <w:top w:val="nil"/>
              <w:left w:val="nil"/>
              <w:bottom w:val="nil"/>
              <w:right w:val="nil"/>
            </w:tcBorders>
            <w:shd w:val="clear" w:color="auto" w:fill="auto"/>
            <w:vAlign w:val="bottom"/>
          </w:tcPr>
          <w:p w14:paraId="05BD0EAB" w14:textId="3A0EC633" w:rsidR="00DC5BE9" w:rsidRPr="003E2D55" w:rsidRDefault="00DC5BE9" w:rsidP="003E2D55">
            <w:pPr>
              <w:spacing w:before="40" w:after="20"/>
              <w:jc w:val="right"/>
              <w:rPr>
                <w:rFonts w:cs="Arial"/>
                <w:sz w:val="18"/>
                <w:szCs w:val="18"/>
              </w:rPr>
            </w:pPr>
            <w:r w:rsidRPr="003E2D55">
              <w:rPr>
                <w:rFonts w:cs="Arial"/>
                <w:sz w:val="18"/>
                <w:szCs w:val="18"/>
              </w:rPr>
              <w:t>1,680,628</w:t>
            </w:r>
          </w:p>
        </w:tc>
        <w:tc>
          <w:tcPr>
            <w:tcW w:w="1332" w:type="dxa"/>
            <w:tcBorders>
              <w:top w:val="nil"/>
              <w:left w:val="nil"/>
              <w:bottom w:val="nil"/>
              <w:right w:val="nil"/>
            </w:tcBorders>
            <w:shd w:val="clear" w:color="auto" w:fill="auto"/>
            <w:vAlign w:val="bottom"/>
          </w:tcPr>
          <w:p w14:paraId="40E8610E" w14:textId="63D675BB" w:rsidR="00DC5BE9" w:rsidRPr="003E2D55" w:rsidRDefault="00DC5BE9" w:rsidP="003E2D55">
            <w:pPr>
              <w:spacing w:before="40" w:after="20"/>
              <w:jc w:val="right"/>
              <w:rPr>
                <w:rFonts w:cs="Arial"/>
                <w:sz w:val="18"/>
                <w:szCs w:val="18"/>
              </w:rPr>
            </w:pPr>
            <w:r w:rsidRPr="003E2D55">
              <w:rPr>
                <w:rFonts w:cs="Arial"/>
                <w:sz w:val="18"/>
                <w:szCs w:val="18"/>
              </w:rPr>
              <w:t>1,652,370</w:t>
            </w:r>
          </w:p>
        </w:tc>
      </w:tr>
      <w:tr w:rsidR="00DC5BE9" w:rsidRPr="003E2D55" w14:paraId="3D20F0B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D114378" w14:textId="77777777" w:rsidR="00DC5BE9" w:rsidRPr="003E2D55" w:rsidRDefault="00DC5BE9" w:rsidP="003E2D55">
            <w:pPr>
              <w:spacing w:before="40" w:after="20"/>
              <w:rPr>
                <w:rFonts w:cs="Arial"/>
                <w:sz w:val="18"/>
                <w:szCs w:val="18"/>
              </w:rPr>
            </w:pPr>
            <w:r w:rsidRPr="003E2D55">
              <w:rPr>
                <w:rFonts w:cs="Arial"/>
                <w:sz w:val="18"/>
                <w:szCs w:val="18"/>
              </w:rPr>
              <w:t>Yarriambiack S</w:t>
            </w:r>
          </w:p>
        </w:tc>
        <w:tc>
          <w:tcPr>
            <w:tcW w:w="1361" w:type="dxa"/>
            <w:tcBorders>
              <w:top w:val="nil"/>
              <w:left w:val="single" w:sz="18" w:space="0" w:color="5F497A" w:themeColor="accent4" w:themeShade="BF"/>
              <w:right w:val="nil"/>
            </w:tcBorders>
            <w:shd w:val="clear" w:color="auto" w:fill="auto"/>
            <w:vAlign w:val="bottom"/>
          </w:tcPr>
          <w:p w14:paraId="6A561C79" w14:textId="356F73A8" w:rsidR="00DC5BE9" w:rsidRPr="003E2D55" w:rsidRDefault="00DC5BE9" w:rsidP="003E2D55">
            <w:pPr>
              <w:spacing w:before="40" w:after="20"/>
              <w:jc w:val="right"/>
              <w:rPr>
                <w:rFonts w:cs="Arial"/>
                <w:sz w:val="18"/>
                <w:szCs w:val="18"/>
              </w:rPr>
            </w:pPr>
            <w:r w:rsidRPr="003E2D55">
              <w:rPr>
                <w:rFonts w:cs="Arial"/>
                <w:sz w:val="18"/>
                <w:szCs w:val="18"/>
              </w:rPr>
              <w:t>1,586,096</w:t>
            </w:r>
          </w:p>
        </w:tc>
        <w:tc>
          <w:tcPr>
            <w:tcW w:w="1361" w:type="dxa"/>
            <w:tcBorders>
              <w:top w:val="nil"/>
              <w:left w:val="nil"/>
              <w:right w:val="nil"/>
            </w:tcBorders>
            <w:shd w:val="clear" w:color="auto" w:fill="auto"/>
            <w:vAlign w:val="bottom"/>
          </w:tcPr>
          <w:p w14:paraId="048F2B8C" w14:textId="0FB4BD04" w:rsidR="00DC5BE9" w:rsidRPr="003E2D55" w:rsidRDefault="00DC5BE9" w:rsidP="003E2D55">
            <w:pPr>
              <w:spacing w:before="40" w:after="20"/>
              <w:jc w:val="right"/>
              <w:rPr>
                <w:rFonts w:cs="Arial"/>
                <w:sz w:val="18"/>
                <w:szCs w:val="18"/>
              </w:rPr>
            </w:pPr>
            <w:r w:rsidRPr="003E2D55">
              <w:rPr>
                <w:rFonts w:cs="Arial"/>
                <w:sz w:val="18"/>
                <w:szCs w:val="18"/>
              </w:rPr>
              <w:t>9,129,934</w:t>
            </w:r>
          </w:p>
        </w:tc>
        <w:tc>
          <w:tcPr>
            <w:tcW w:w="1361" w:type="dxa"/>
            <w:tcBorders>
              <w:top w:val="nil"/>
              <w:left w:val="nil"/>
              <w:right w:val="nil"/>
            </w:tcBorders>
            <w:shd w:val="clear" w:color="auto" w:fill="auto"/>
            <w:vAlign w:val="bottom"/>
          </w:tcPr>
          <w:p w14:paraId="03864852" w14:textId="23C3F2C9" w:rsidR="00DC5BE9" w:rsidRPr="003E2D55" w:rsidRDefault="00DC5BE9" w:rsidP="003E2D55">
            <w:pPr>
              <w:spacing w:before="40" w:after="20"/>
              <w:jc w:val="right"/>
              <w:rPr>
                <w:rFonts w:cs="Arial"/>
                <w:sz w:val="18"/>
                <w:szCs w:val="18"/>
              </w:rPr>
            </w:pPr>
            <w:r w:rsidRPr="003E2D55">
              <w:rPr>
                <w:rFonts w:cs="Arial"/>
                <w:sz w:val="18"/>
                <w:szCs w:val="18"/>
              </w:rPr>
              <w:t>1,250,043</w:t>
            </w:r>
          </w:p>
        </w:tc>
        <w:tc>
          <w:tcPr>
            <w:tcW w:w="1361" w:type="dxa"/>
            <w:tcBorders>
              <w:top w:val="nil"/>
              <w:left w:val="nil"/>
              <w:right w:val="nil"/>
            </w:tcBorders>
            <w:shd w:val="clear" w:color="auto" w:fill="auto"/>
            <w:vAlign w:val="bottom"/>
          </w:tcPr>
          <w:p w14:paraId="51911694" w14:textId="2F45C291" w:rsidR="00DC5BE9" w:rsidRPr="003E2D55" w:rsidRDefault="00DC5BE9" w:rsidP="003E2D55">
            <w:pPr>
              <w:spacing w:before="40" w:after="20"/>
              <w:jc w:val="right"/>
              <w:rPr>
                <w:rFonts w:cs="Arial"/>
                <w:sz w:val="18"/>
                <w:szCs w:val="18"/>
              </w:rPr>
            </w:pPr>
            <w:r w:rsidRPr="003E2D55">
              <w:rPr>
                <w:rFonts w:cs="Arial"/>
                <w:sz w:val="18"/>
                <w:szCs w:val="18"/>
              </w:rPr>
              <w:t>32,131</w:t>
            </w:r>
          </w:p>
        </w:tc>
        <w:tc>
          <w:tcPr>
            <w:tcW w:w="1332" w:type="dxa"/>
            <w:tcBorders>
              <w:top w:val="nil"/>
              <w:left w:val="nil"/>
              <w:right w:val="nil"/>
            </w:tcBorders>
            <w:shd w:val="clear" w:color="auto" w:fill="auto"/>
            <w:vAlign w:val="bottom"/>
          </w:tcPr>
          <w:p w14:paraId="461C0CB9" w14:textId="2245FB56" w:rsidR="00DC5BE9" w:rsidRPr="003E2D55" w:rsidRDefault="00DC5BE9" w:rsidP="003E2D55">
            <w:pPr>
              <w:spacing w:before="40" w:after="20"/>
              <w:jc w:val="right"/>
              <w:rPr>
                <w:rFonts w:cs="Arial"/>
                <w:sz w:val="18"/>
                <w:szCs w:val="18"/>
              </w:rPr>
            </w:pPr>
            <w:r w:rsidRPr="003E2D55">
              <w:rPr>
                <w:rFonts w:cs="Arial"/>
                <w:sz w:val="18"/>
                <w:szCs w:val="18"/>
              </w:rPr>
              <w:t>0</w:t>
            </w:r>
          </w:p>
        </w:tc>
      </w:tr>
      <w:tr w:rsidR="00DC5BE9" w:rsidRPr="003E2D55" w14:paraId="6CC159B2" w14:textId="77777777" w:rsidTr="00B44BBE">
        <w:trPr>
          <w:trHeight w:val="20"/>
        </w:trPr>
        <w:tc>
          <w:tcPr>
            <w:tcW w:w="2268" w:type="dxa"/>
            <w:tcBorders>
              <w:top w:val="nil"/>
              <w:left w:val="nil"/>
              <w:right w:val="single" w:sz="18" w:space="0" w:color="5F497A" w:themeColor="accent4" w:themeShade="BF"/>
            </w:tcBorders>
            <w:shd w:val="clear" w:color="auto" w:fill="auto"/>
            <w:vAlign w:val="center"/>
          </w:tcPr>
          <w:p w14:paraId="33BEAE30" w14:textId="77777777" w:rsidR="00DC5BE9" w:rsidRPr="003E2D55" w:rsidRDefault="00DC5BE9" w:rsidP="003E2D55">
            <w:pPr>
              <w:spacing w:before="40" w:after="20"/>
              <w:rPr>
                <w:rFonts w:cs="Arial"/>
                <w:sz w:val="18"/>
                <w:szCs w:val="18"/>
              </w:rPr>
            </w:pPr>
          </w:p>
        </w:tc>
        <w:tc>
          <w:tcPr>
            <w:tcW w:w="1361"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352D32E4" w14:textId="71C7D0BB" w:rsidR="00DC5BE9" w:rsidRPr="003E2D55" w:rsidRDefault="00DC5BE9" w:rsidP="003E2D55">
            <w:pPr>
              <w:spacing w:before="40" w:after="20"/>
              <w:jc w:val="right"/>
              <w:rPr>
                <w:rFonts w:cs="Arial"/>
                <w:sz w:val="18"/>
                <w:szCs w:val="18"/>
              </w:rPr>
            </w:pPr>
            <w:r w:rsidRPr="003E2D55">
              <w:rPr>
                <w:rFonts w:cs="Arial"/>
                <w:sz w:val="18"/>
                <w:szCs w:val="18"/>
              </w:rPr>
              <w:t> </w:t>
            </w:r>
          </w:p>
        </w:tc>
        <w:tc>
          <w:tcPr>
            <w:tcW w:w="1361" w:type="dxa"/>
            <w:tcBorders>
              <w:top w:val="nil"/>
              <w:left w:val="nil"/>
              <w:bottom w:val="single" w:sz="8" w:space="0" w:color="5F497A" w:themeColor="accent4" w:themeShade="BF"/>
              <w:right w:val="nil"/>
            </w:tcBorders>
            <w:shd w:val="clear" w:color="auto" w:fill="auto"/>
            <w:vAlign w:val="bottom"/>
          </w:tcPr>
          <w:p w14:paraId="22062B4C" w14:textId="77777777" w:rsidR="00DC5BE9" w:rsidRPr="003E2D55" w:rsidRDefault="00DC5BE9" w:rsidP="003E2D55">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shd w:val="clear" w:color="auto" w:fill="auto"/>
            <w:vAlign w:val="bottom"/>
          </w:tcPr>
          <w:p w14:paraId="61B7CD9C" w14:textId="77777777" w:rsidR="00DC5BE9" w:rsidRPr="003E2D55" w:rsidRDefault="00DC5BE9" w:rsidP="003E2D55">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shd w:val="clear" w:color="auto" w:fill="auto"/>
            <w:vAlign w:val="bottom"/>
          </w:tcPr>
          <w:p w14:paraId="6357D30E" w14:textId="77777777" w:rsidR="00DC5BE9" w:rsidRPr="003E2D55" w:rsidRDefault="00DC5BE9" w:rsidP="003E2D55">
            <w:pPr>
              <w:spacing w:before="40" w:after="20"/>
              <w:jc w:val="right"/>
              <w:rPr>
                <w:rFonts w:cs="Arial"/>
                <w:sz w:val="18"/>
                <w:szCs w:val="18"/>
              </w:rPr>
            </w:pPr>
          </w:p>
        </w:tc>
        <w:tc>
          <w:tcPr>
            <w:tcW w:w="1332" w:type="dxa"/>
            <w:tcBorders>
              <w:top w:val="nil"/>
              <w:left w:val="nil"/>
              <w:bottom w:val="single" w:sz="8" w:space="0" w:color="5F497A" w:themeColor="accent4" w:themeShade="BF"/>
              <w:right w:val="nil"/>
            </w:tcBorders>
            <w:shd w:val="clear" w:color="auto" w:fill="auto"/>
            <w:vAlign w:val="bottom"/>
          </w:tcPr>
          <w:p w14:paraId="3B48A3D1" w14:textId="199F8282" w:rsidR="00DC5BE9" w:rsidRPr="003E2D55" w:rsidRDefault="00DC5BE9" w:rsidP="003E2D55">
            <w:pPr>
              <w:spacing w:before="40" w:after="20"/>
              <w:jc w:val="right"/>
              <w:rPr>
                <w:rFonts w:cs="Arial"/>
                <w:sz w:val="18"/>
                <w:szCs w:val="18"/>
              </w:rPr>
            </w:pPr>
            <w:r w:rsidRPr="003E2D55">
              <w:rPr>
                <w:rFonts w:cs="Arial"/>
                <w:sz w:val="18"/>
                <w:szCs w:val="18"/>
              </w:rPr>
              <w:t> </w:t>
            </w:r>
          </w:p>
        </w:tc>
      </w:tr>
      <w:tr w:rsidR="00DC5BE9" w:rsidRPr="003E2D55" w14:paraId="07454AB3" w14:textId="77777777" w:rsidTr="00B44BBE">
        <w:trPr>
          <w:trHeight w:val="20"/>
        </w:trPr>
        <w:tc>
          <w:tcPr>
            <w:tcW w:w="2268" w:type="dxa"/>
            <w:tcBorders>
              <w:top w:val="nil"/>
              <w:left w:val="nil"/>
              <w:right w:val="single" w:sz="18" w:space="0" w:color="5F497A" w:themeColor="accent4" w:themeShade="BF"/>
            </w:tcBorders>
            <w:shd w:val="clear" w:color="auto" w:fill="auto"/>
            <w:vAlign w:val="center"/>
          </w:tcPr>
          <w:p w14:paraId="509AFA86" w14:textId="77777777" w:rsidR="00DC5BE9" w:rsidRPr="003E2D55" w:rsidRDefault="00DC5BE9" w:rsidP="003E2D55">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right w:val="nil"/>
            </w:tcBorders>
            <w:shd w:val="clear" w:color="auto" w:fill="auto"/>
            <w:vAlign w:val="bottom"/>
          </w:tcPr>
          <w:p w14:paraId="6489C011" w14:textId="175E7059" w:rsidR="00DC5BE9" w:rsidRPr="003E2D55" w:rsidRDefault="00DC5BE9" w:rsidP="003E2D55">
            <w:pPr>
              <w:spacing w:before="40" w:after="20"/>
              <w:jc w:val="right"/>
              <w:rPr>
                <w:rFonts w:cs="Arial"/>
                <w:b/>
                <w:sz w:val="18"/>
                <w:szCs w:val="18"/>
              </w:rPr>
            </w:pPr>
            <w:r w:rsidRPr="003E2D55">
              <w:rPr>
                <w:rFonts w:cs="Arial"/>
                <w:b/>
                <w:sz w:val="18"/>
                <w:szCs w:val="18"/>
              </w:rPr>
              <w:t>11,430,057</w:t>
            </w:r>
          </w:p>
        </w:tc>
        <w:tc>
          <w:tcPr>
            <w:tcW w:w="1361" w:type="dxa"/>
            <w:tcBorders>
              <w:top w:val="single" w:sz="8" w:space="0" w:color="5F497A" w:themeColor="accent4" w:themeShade="BF"/>
              <w:left w:val="nil"/>
              <w:right w:val="nil"/>
            </w:tcBorders>
            <w:shd w:val="clear" w:color="auto" w:fill="auto"/>
            <w:vAlign w:val="bottom"/>
          </w:tcPr>
          <w:p w14:paraId="139A40C4" w14:textId="1D08C5E0" w:rsidR="00DC5BE9" w:rsidRPr="003E2D55" w:rsidRDefault="00DC5BE9" w:rsidP="003E2D55">
            <w:pPr>
              <w:spacing w:before="40" w:after="20"/>
              <w:jc w:val="right"/>
              <w:rPr>
                <w:rFonts w:cs="Arial"/>
                <w:b/>
                <w:sz w:val="18"/>
                <w:szCs w:val="18"/>
              </w:rPr>
            </w:pPr>
            <w:r w:rsidRPr="003E2D55">
              <w:rPr>
                <w:rFonts w:cs="Arial"/>
                <w:b/>
                <w:sz w:val="18"/>
                <w:szCs w:val="18"/>
              </w:rPr>
              <w:t>318,269,499</w:t>
            </w:r>
          </w:p>
        </w:tc>
        <w:tc>
          <w:tcPr>
            <w:tcW w:w="1361" w:type="dxa"/>
            <w:tcBorders>
              <w:top w:val="single" w:sz="8" w:space="0" w:color="5F497A" w:themeColor="accent4" w:themeShade="BF"/>
              <w:left w:val="nil"/>
              <w:right w:val="nil"/>
            </w:tcBorders>
            <w:shd w:val="clear" w:color="auto" w:fill="auto"/>
            <w:vAlign w:val="bottom"/>
          </w:tcPr>
          <w:p w14:paraId="1FB36AF5" w14:textId="749BD70C" w:rsidR="00DC5BE9" w:rsidRPr="003E2D55" w:rsidRDefault="00DC5BE9" w:rsidP="003E2D55">
            <w:pPr>
              <w:spacing w:before="40" w:after="20"/>
              <w:jc w:val="right"/>
              <w:rPr>
                <w:rFonts w:cs="Arial"/>
                <w:b/>
                <w:sz w:val="18"/>
                <w:szCs w:val="18"/>
              </w:rPr>
            </w:pPr>
            <w:r w:rsidRPr="003E2D55">
              <w:rPr>
                <w:rFonts w:cs="Arial"/>
                <w:b/>
                <w:sz w:val="18"/>
                <w:szCs w:val="18"/>
              </w:rPr>
              <w:t>191,769,140</w:t>
            </w:r>
          </w:p>
        </w:tc>
        <w:tc>
          <w:tcPr>
            <w:tcW w:w="1361" w:type="dxa"/>
            <w:tcBorders>
              <w:top w:val="single" w:sz="8" w:space="0" w:color="5F497A" w:themeColor="accent4" w:themeShade="BF"/>
              <w:left w:val="nil"/>
              <w:right w:val="nil"/>
            </w:tcBorders>
            <w:shd w:val="clear" w:color="auto" w:fill="auto"/>
            <w:vAlign w:val="bottom"/>
          </w:tcPr>
          <w:p w14:paraId="411B04FB" w14:textId="1995DBCD" w:rsidR="00DC5BE9" w:rsidRPr="003E2D55" w:rsidRDefault="00DC5BE9" w:rsidP="003E2D55">
            <w:pPr>
              <w:spacing w:before="40" w:after="20"/>
              <w:jc w:val="right"/>
              <w:rPr>
                <w:rFonts w:cs="Arial"/>
                <w:b/>
                <w:sz w:val="18"/>
                <w:szCs w:val="18"/>
              </w:rPr>
            </w:pPr>
            <w:r w:rsidRPr="003E2D55">
              <w:rPr>
                <w:rFonts w:cs="Arial"/>
                <w:b/>
                <w:sz w:val="18"/>
                <w:szCs w:val="18"/>
              </w:rPr>
              <w:t>33,822,736</w:t>
            </w:r>
          </w:p>
        </w:tc>
        <w:tc>
          <w:tcPr>
            <w:tcW w:w="1332" w:type="dxa"/>
            <w:tcBorders>
              <w:top w:val="single" w:sz="8" w:space="0" w:color="5F497A" w:themeColor="accent4" w:themeShade="BF"/>
              <w:left w:val="nil"/>
              <w:right w:val="nil"/>
            </w:tcBorders>
            <w:shd w:val="clear" w:color="auto" w:fill="auto"/>
            <w:vAlign w:val="bottom"/>
          </w:tcPr>
          <w:p w14:paraId="449AF211" w14:textId="251E0571" w:rsidR="00DC5BE9" w:rsidRPr="003E2D55" w:rsidRDefault="00DC5BE9" w:rsidP="003E2D55">
            <w:pPr>
              <w:spacing w:before="40" w:after="20"/>
              <w:jc w:val="right"/>
              <w:rPr>
                <w:rFonts w:cs="Arial"/>
                <w:b/>
                <w:sz w:val="18"/>
                <w:szCs w:val="18"/>
              </w:rPr>
            </w:pPr>
            <w:r w:rsidRPr="003E2D55">
              <w:rPr>
                <w:rFonts w:cs="Arial"/>
                <w:b/>
                <w:sz w:val="18"/>
                <w:szCs w:val="18"/>
              </w:rPr>
              <w:t>20,955,383</w:t>
            </w:r>
          </w:p>
        </w:tc>
      </w:tr>
    </w:tbl>
    <w:p w14:paraId="084F6450" w14:textId="77777777" w:rsidR="00734A5D" w:rsidRPr="00A44829" w:rsidRDefault="00734A5D" w:rsidP="00FF36E8">
      <w:pPr>
        <w:spacing w:before="40" w:after="20"/>
        <w:rPr>
          <w:rFonts w:cs="Arial"/>
          <w:sz w:val="18"/>
          <w:szCs w:val="18"/>
        </w:rPr>
      </w:pPr>
      <w:r w:rsidRPr="00A44829">
        <w:rPr>
          <w:rFonts w:cs="Arial"/>
          <w:sz w:val="18"/>
          <w:szCs w:val="18"/>
        </w:rPr>
        <w:br w:type="page"/>
      </w:r>
    </w:p>
    <w:p w14:paraId="68C7F5C6" w14:textId="456C17AA" w:rsidR="00734A5D" w:rsidRPr="00A44829" w:rsidRDefault="00EE4593" w:rsidP="00C33713">
      <w:pPr>
        <w:pStyle w:val="VGC-Head10"/>
      </w:pPr>
      <w:r w:rsidRPr="00A44829">
        <w:lastRenderedPageBreak/>
        <w:t>2019-20</w:t>
      </w:r>
      <w:r w:rsidR="00A97ABE" w:rsidRPr="00A44829">
        <w:t xml:space="preserve"> </w:t>
      </w:r>
      <w:r w:rsidR="00734A5D" w:rsidRPr="00A44829">
        <w:t>Local Roads Grants</w:t>
      </w:r>
      <w:r w:rsidR="00734A5D" w:rsidRPr="00A44829">
        <w:tab/>
        <w:t>Appendix 5</w:t>
      </w:r>
    </w:p>
    <w:p w14:paraId="5A2CAD48" w14:textId="77777777" w:rsidR="00734A5D" w:rsidRPr="00A44829" w:rsidRDefault="004F1184" w:rsidP="008C1A28">
      <w:pPr>
        <w:pStyle w:val="VGC-Head2"/>
      </w:pPr>
      <w:r w:rsidRPr="00A44829">
        <w:tab/>
      </w:r>
      <w:r w:rsidR="00A6042C" w:rsidRPr="00A44829">
        <w:t>E</w:t>
      </w:r>
      <w:r w:rsidR="00734A5D" w:rsidRPr="00A44829">
        <w:t>.  Network Costs</w:t>
      </w:r>
    </w:p>
    <w:p w14:paraId="7F0082C3" w14:textId="77777777" w:rsidR="00734A5D" w:rsidRPr="00A44829"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701"/>
        <w:gridCol w:w="284"/>
        <w:gridCol w:w="1418"/>
      </w:tblGrid>
      <w:tr w:rsidR="00277761" w:rsidRPr="00A44829" w14:paraId="4AFB6114"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51A56A5A" w14:textId="77777777" w:rsidR="00277761" w:rsidRPr="00A44829" w:rsidRDefault="00277761" w:rsidP="0038375E">
            <w:pPr>
              <w:spacing w:before="40" w:after="20"/>
              <w:jc w:val="center"/>
              <w:rPr>
                <w:rFonts w:cs="Arial"/>
                <w:sz w:val="18"/>
                <w:szCs w:val="18"/>
              </w:rPr>
            </w:pPr>
          </w:p>
        </w:tc>
        <w:tc>
          <w:tcPr>
            <w:tcW w:w="2722" w:type="dxa"/>
            <w:gridSpan w:val="2"/>
            <w:tcBorders>
              <w:left w:val="single" w:sz="18" w:space="0" w:color="5F497A" w:themeColor="accent4" w:themeShade="BF"/>
              <w:bottom w:val="single" w:sz="8" w:space="0" w:color="5F497A" w:themeColor="accent4" w:themeShade="BF"/>
              <w:right w:val="nil"/>
            </w:tcBorders>
            <w:vAlign w:val="bottom"/>
          </w:tcPr>
          <w:p w14:paraId="51EDCDBE" w14:textId="77777777" w:rsidR="00277761" w:rsidRPr="00A44829" w:rsidRDefault="00277761" w:rsidP="0038375E">
            <w:pPr>
              <w:spacing w:before="40" w:after="20"/>
              <w:jc w:val="center"/>
              <w:rPr>
                <w:rFonts w:cs="Arial"/>
                <w:b/>
                <w:sz w:val="18"/>
                <w:szCs w:val="18"/>
              </w:rPr>
            </w:pPr>
            <w:r w:rsidRPr="00A44829">
              <w:rPr>
                <w:rFonts w:cs="Arial"/>
                <w:b/>
                <w:sz w:val="18"/>
                <w:szCs w:val="18"/>
              </w:rPr>
              <w:t>Bridges</w:t>
            </w:r>
          </w:p>
        </w:tc>
        <w:tc>
          <w:tcPr>
            <w:tcW w:w="1701" w:type="dxa"/>
            <w:vMerge w:val="restart"/>
            <w:tcBorders>
              <w:left w:val="nil"/>
              <w:bottom w:val="single" w:sz="8" w:space="0" w:color="5F497A" w:themeColor="accent4" w:themeShade="BF"/>
              <w:right w:val="nil"/>
            </w:tcBorders>
            <w:shd w:val="clear" w:color="auto" w:fill="auto"/>
            <w:vAlign w:val="bottom"/>
          </w:tcPr>
          <w:p w14:paraId="2AFAE411" w14:textId="77777777" w:rsidR="00277761" w:rsidRPr="00A44829" w:rsidRDefault="00277761" w:rsidP="0038375E">
            <w:pPr>
              <w:spacing w:before="40" w:after="20"/>
              <w:jc w:val="center"/>
              <w:rPr>
                <w:rFonts w:cs="Arial"/>
                <w:b/>
                <w:sz w:val="18"/>
                <w:szCs w:val="18"/>
              </w:rPr>
            </w:pPr>
            <w:r w:rsidRPr="00A44829">
              <w:rPr>
                <w:rFonts w:cs="Arial"/>
                <w:b/>
                <w:sz w:val="18"/>
                <w:szCs w:val="18"/>
              </w:rPr>
              <w:t xml:space="preserve">Total </w:t>
            </w:r>
            <w:r w:rsidRPr="00A44829">
              <w:rPr>
                <w:rFonts w:cs="Arial"/>
                <w:b/>
                <w:sz w:val="18"/>
                <w:szCs w:val="18"/>
              </w:rPr>
              <w:br/>
              <w:t xml:space="preserve">Network Costs </w:t>
            </w:r>
            <w:r w:rsidRPr="00A44829">
              <w:rPr>
                <w:rFonts w:cs="Arial"/>
                <w:b/>
                <w:sz w:val="18"/>
                <w:szCs w:val="18"/>
              </w:rPr>
              <w:br/>
              <w:t>($)</w:t>
            </w:r>
          </w:p>
        </w:tc>
        <w:tc>
          <w:tcPr>
            <w:tcW w:w="284" w:type="dxa"/>
            <w:vMerge w:val="restart"/>
            <w:tcBorders>
              <w:left w:val="nil"/>
              <w:bottom w:val="single" w:sz="8" w:space="0" w:color="5F497A" w:themeColor="accent4" w:themeShade="BF"/>
              <w:right w:val="nil"/>
            </w:tcBorders>
            <w:vAlign w:val="bottom"/>
          </w:tcPr>
          <w:p w14:paraId="3BAC53AB" w14:textId="77777777" w:rsidR="00277761" w:rsidRPr="00A44829" w:rsidRDefault="00277761" w:rsidP="00D44471">
            <w:pPr>
              <w:spacing w:before="40" w:after="20"/>
              <w:jc w:val="center"/>
              <w:rPr>
                <w:rFonts w:cs="Arial"/>
                <w:b/>
                <w:sz w:val="18"/>
                <w:szCs w:val="18"/>
              </w:rPr>
            </w:pPr>
          </w:p>
        </w:tc>
        <w:tc>
          <w:tcPr>
            <w:tcW w:w="1418" w:type="dxa"/>
            <w:vMerge w:val="restart"/>
            <w:tcBorders>
              <w:left w:val="nil"/>
              <w:bottom w:val="single" w:sz="8" w:space="0" w:color="5F497A" w:themeColor="accent4" w:themeShade="BF"/>
              <w:right w:val="nil"/>
            </w:tcBorders>
            <w:vAlign w:val="bottom"/>
          </w:tcPr>
          <w:p w14:paraId="760C252F" w14:textId="684613A2" w:rsidR="00277761" w:rsidRPr="00A44829" w:rsidRDefault="00277761" w:rsidP="00D44471">
            <w:pPr>
              <w:spacing w:before="40" w:after="20"/>
              <w:jc w:val="center"/>
              <w:rPr>
                <w:rFonts w:cs="Arial"/>
                <w:b/>
                <w:sz w:val="18"/>
                <w:szCs w:val="18"/>
              </w:rPr>
            </w:pPr>
            <w:r w:rsidRPr="00A44829">
              <w:rPr>
                <w:rFonts w:cs="Arial"/>
                <w:b/>
                <w:sz w:val="18"/>
                <w:szCs w:val="18"/>
              </w:rPr>
              <w:t xml:space="preserve">Actual </w:t>
            </w:r>
            <w:r w:rsidR="002C70F6" w:rsidRPr="00A44829">
              <w:rPr>
                <w:rFonts w:cs="Arial"/>
                <w:b/>
                <w:sz w:val="18"/>
                <w:szCs w:val="18"/>
              </w:rPr>
              <w:br/>
            </w:r>
            <w:r w:rsidRPr="00A44829">
              <w:rPr>
                <w:rFonts w:cs="Arial"/>
                <w:b/>
                <w:sz w:val="18"/>
                <w:szCs w:val="18"/>
              </w:rPr>
              <w:t xml:space="preserve">Grant </w:t>
            </w:r>
            <w:r w:rsidR="002C70F6" w:rsidRPr="00A44829">
              <w:rPr>
                <w:rFonts w:cs="Arial"/>
                <w:b/>
                <w:sz w:val="18"/>
                <w:szCs w:val="18"/>
              </w:rPr>
              <w:br/>
            </w:r>
            <w:r w:rsidRPr="00A44829">
              <w:rPr>
                <w:rFonts w:cs="Arial"/>
                <w:b/>
                <w:sz w:val="18"/>
                <w:szCs w:val="18"/>
              </w:rPr>
              <w:t>($)</w:t>
            </w:r>
          </w:p>
        </w:tc>
      </w:tr>
      <w:tr w:rsidR="00277761" w:rsidRPr="00A44829" w14:paraId="71D2632F" w14:textId="77777777" w:rsidTr="00B44BBE">
        <w:trPr>
          <w:trHeight w:val="20"/>
          <w:tblHeader/>
        </w:trPr>
        <w:tc>
          <w:tcPr>
            <w:tcW w:w="2268" w:type="dxa"/>
            <w:tcBorders>
              <w:top w:val="nil"/>
              <w:left w:val="nil"/>
              <w:right w:val="single" w:sz="18" w:space="0" w:color="5F497A" w:themeColor="accent4" w:themeShade="BF"/>
            </w:tcBorders>
            <w:shd w:val="clear" w:color="auto" w:fill="auto"/>
            <w:vAlign w:val="bottom"/>
          </w:tcPr>
          <w:p w14:paraId="28C81069" w14:textId="77777777" w:rsidR="00277761" w:rsidRPr="00A44829" w:rsidRDefault="00277761" w:rsidP="0038375E">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right w:val="nil"/>
            </w:tcBorders>
            <w:vAlign w:val="bottom"/>
          </w:tcPr>
          <w:p w14:paraId="1E2A6550" w14:textId="77777777" w:rsidR="00277761" w:rsidRPr="00A44829" w:rsidRDefault="00277761" w:rsidP="0038375E">
            <w:pPr>
              <w:spacing w:before="40" w:after="20"/>
              <w:jc w:val="center"/>
              <w:rPr>
                <w:rFonts w:cs="Arial"/>
                <w:sz w:val="16"/>
                <w:szCs w:val="16"/>
              </w:rPr>
            </w:pPr>
            <w:r w:rsidRPr="00A44829">
              <w:rPr>
                <w:rFonts w:cs="Arial"/>
                <w:sz w:val="16"/>
                <w:szCs w:val="16"/>
              </w:rPr>
              <w:t xml:space="preserve">Timber </w:t>
            </w:r>
            <w:r w:rsidRPr="00A44829">
              <w:rPr>
                <w:rFonts w:cs="Arial"/>
                <w:sz w:val="16"/>
                <w:szCs w:val="16"/>
              </w:rPr>
              <w:br/>
              <w:t>(sq. m)</w:t>
            </w:r>
          </w:p>
        </w:tc>
        <w:tc>
          <w:tcPr>
            <w:tcW w:w="1361" w:type="dxa"/>
            <w:tcBorders>
              <w:top w:val="single" w:sz="8" w:space="0" w:color="5F497A" w:themeColor="accent4" w:themeShade="BF"/>
              <w:left w:val="nil"/>
              <w:bottom w:val="single" w:sz="8" w:space="0" w:color="5F497A" w:themeColor="accent4" w:themeShade="BF"/>
              <w:right w:val="nil"/>
            </w:tcBorders>
            <w:vAlign w:val="bottom"/>
          </w:tcPr>
          <w:p w14:paraId="5B7D6762" w14:textId="77777777" w:rsidR="00277761" w:rsidRPr="00A44829" w:rsidRDefault="00277761" w:rsidP="0038375E">
            <w:pPr>
              <w:spacing w:before="40" w:after="20"/>
              <w:jc w:val="center"/>
              <w:rPr>
                <w:rFonts w:cs="Arial"/>
                <w:sz w:val="16"/>
                <w:szCs w:val="16"/>
              </w:rPr>
            </w:pPr>
            <w:r w:rsidRPr="00A44829">
              <w:rPr>
                <w:rFonts w:cs="Arial"/>
                <w:sz w:val="16"/>
                <w:szCs w:val="16"/>
              </w:rPr>
              <w:t xml:space="preserve">Concrete </w:t>
            </w:r>
            <w:r w:rsidRPr="00A44829">
              <w:rPr>
                <w:rFonts w:cs="Arial"/>
                <w:sz w:val="16"/>
                <w:szCs w:val="16"/>
              </w:rPr>
              <w:br/>
              <w:t>(sq. m)</w:t>
            </w:r>
          </w:p>
        </w:tc>
        <w:tc>
          <w:tcPr>
            <w:tcW w:w="1701"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74F3F2B7" w14:textId="77777777" w:rsidR="00277761" w:rsidRPr="00A44829" w:rsidRDefault="00277761" w:rsidP="0038375E">
            <w:pPr>
              <w:spacing w:before="40" w:after="20"/>
              <w:jc w:val="center"/>
              <w:rPr>
                <w:rFonts w:cs="Arial"/>
                <w:b/>
                <w:sz w:val="18"/>
                <w:szCs w:val="18"/>
              </w:rPr>
            </w:pPr>
          </w:p>
        </w:tc>
        <w:tc>
          <w:tcPr>
            <w:tcW w:w="284" w:type="dxa"/>
            <w:vMerge/>
            <w:tcBorders>
              <w:top w:val="single" w:sz="8" w:space="0" w:color="5F497A" w:themeColor="accent4" w:themeShade="BF"/>
              <w:left w:val="nil"/>
              <w:bottom w:val="single" w:sz="8" w:space="0" w:color="5F497A" w:themeColor="accent4" w:themeShade="BF"/>
              <w:right w:val="nil"/>
            </w:tcBorders>
          </w:tcPr>
          <w:p w14:paraId="2DDE38BD" w14:textId="77777777" w:rsidR="00277761" w:rsidRPr="00A44829" w:rsidRDefault="00277761" w:rsidP="0038375E">
            <w:pPr>
              <w:spacing w:before="40" w:after="20"/>
              <w:jc w:val="center"/>
              <w:rPr>
                <w:rFonts w:cs="Arial"/>
                <w:b/>
                <w:sz w:val="18"/>
                <w:szCs w:val="18"/>
              </w:rPr>
            </w:pPr>
          </w:p>
        </w:tc>
        <w:tc>
          <w:tcPr>
            <w:tcW w:w="1418" w:type="dxa"/>
            <w:vMerge/>
            <w:tcBorders>
              <w:top w:val="single" w:sz="8" w:space="0" w:color="5F497A" w:themeColor="accent4" w:themeShade="BF"/>
              <w:left w:val="nil"/>
              <w:bottom w:val="single" w:sz="8" w:space="0" w:color="5F497A" w:themeColor="accent4" w:themeShade="BF"/>
              <w:right w:val="nil"/>
            </w:tcBorders>
            <w:vAlign w:val="bottom"/>
          </w:tcPr>
          <w:p w14:paraId="4DB347B2" w14:textId="5D129B57" w:rsidR="00277761" w:rsidRPr="00A44829" w:rsidRDefault="00277761" w:rsidP="0038375E">
            <w:pPr>
              <w:spacing w:before="40" w:after="20"/>
              <w:jc w:val="center"/>
              <w:rPr>
                <w:rFonts w:cs="Arial"/>
                <w:b/>
                <w:sz w:val="18"/>
                <w:szCs w:val="18"/>
              </w:rPr>
            </w:pPr>
          </w:p>
        </w:tc>
      </w:tr>
      <w:tr w:rsidR="00DC5BE9" w:rsidRPr="003E2D55" w14:paraId="308A74D1" w14:textId="77777777" w:rsidTr="00B44BBE">
        <w:trPr>
          <w:trHeight w:val="20"/>
          <w:tblHeader/>
        </w:trPr>
        <w:tc>
          <w:tcPr>
            <w:tcW w:w="2268" w:type="dxa"/>
            <w:tcBorders>
              <w:left w:val="nil"/>
              <w:bottom w:val="nil"/>
              <w:right w:val="single" w:sz="18" w:space="0" w:color="5F497A" w:themeColor="accent4" w:themeShade="BF"/>
            </w:tcBorders>
            <w:shd w:val="clear" w:color="auto" w:fill="auto"/>
            <w:vAlign w:val="center"/>
          </w:tcPr>
          <w:p w14:paraId="2F33F504" w14:textId="77777777" w:rsidR="00DC5BE9" w:rsidRPr="003E2D55" w:rsidRDefault="00DC5BE9" w:rsidP="003E2D55">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vAlign w:val="bottom"/>
          </w:tcPr>
          <w:p w14:paraId="774B6681" w14:textId="162B2A28" w:rsidR="00DC5BE9" w:rsidRPr="003E2D55" w:rsidRDefault="00DC5BE9" w:rsidP="003E2D55">
            <w:pPr>
              <w:spacing w:before="40" w:after="20"/>
              <w:jc w:val="right"/>
              <w:rPr>
                <w:rFonts w:cs="Arial"/>
                <w:sz w:val="18"/>
                <w:szCs w:val="18"/>
              </w:rPr>
            </w:pPr>
            <w:r w:rsidRPr="003E2D55">
              <w:rPr>
                <w:rFonts w:cs="Arial"/>
                <w:sz w:val="18"/>
                <w:szCs w:val="18"/>
              </w:rPr>
              <w:t> </w:t>
            </w:r>
          </w:p>
        </w:tc>
        <w:tc>
          <w:tcPr>
            <w:tcW w:w="1361" w:type="dxa"/>
            <w:tcBorders>
              <w:top w:val="single" w:sz="8" w:space="0" w:color="5F497A" w:themeColor="accent4" w:themeShade="BF"/>
              <w:left w:val="nil"/>
              <w:bottom w:val="nil"/>
              <w:right w:val="nil"/>
            </w:tcBorders>
            <w:vAlign w:val="bottom"/>
          </w:tcPr>
          <w:p w14:paraId="22A84AB7" w14:textId="26C71EB3" w:rsidR="00DC5BE9" w:rsidRPr="003E2D55" w:rsidRDefault="00DC5BE9" w:rsidP="003E2D55">
            <w:pPr>
              <w:spacing w:before="40" w:after="20"/>
              <w:jc w:val="right"/>
              <w:rPr>
                <w:rFonts w:cs="Arial"/>
                <w:sz w:val="18"/>
                <w:szCs w:val="18"/>
              </w:rPr>
            </w:pPr>
          </w:p>
        </w:tc>
        <w:tc>
          <w:tcPr>
            <w:tcW w:w="1701" w:type="dxa"/>
            <w:tcBorders>
              <w:top w:val="single" w:sz="8" w:space="0" w:color="5F497A" w:themeColor="accent4" w:themeShade="BF"/>
              <w:left w:val="nil"/>
              <w:bottom w:val="nil"/>
              <w:right w:val="nil"/>
            </w:tcBorders>
            <w:shd w:val="clear" w:color="auto" w:fill="auto"/>
            <w:vAlign w:val="bottom"/>
          </w:tcPr>
          <w:p w14:paraId="2D471F08" w14:textId="5243D83F" w:rsidR="00DC5BE9" w:rsidRPr="003E2D55" w:rsidRDefault="00DC5BE9" w:rsidP="003E2D55">
            <w:pPr>
              <w:spacing w:before="40" w:after="20"/>
              <w:jc w:val="right"/>
              <w:rPr>
                <w:rFonts w:cs="Arial"/>
                <w:sz w:val="18"/>
                <w:szCs w:val="18"/>
              </w:rPr>
            </w:pPr>
            <w:r w:rsidRPr="003E2D55">
              <w:rPr>
                <w:rFonts w:cs="Arial"/>
                <w:sz w:val="18"/>
                <w:szCs w:val="18"/>
              </w:rPr>
              <w:t> </w:t>
            </w:r>
          </w:p>
        </w:tc>
        <w:tc>
          <w:tcPr>
            <w:tcW w:w="284" w:type="dxa"/>
            <w:tcBorders>
              <w:top w:val="single" w:sz="8" w:space="0" w:color="5F497A" w:themeColor="accent4" w:themeShade="BF"/>
              <w:left w:val="nil"/>
              <w:bottom w:val="nil"/>
              <w:right w:val="nil"/>
            </w:tcBorders>
            <w:vAlign w:val="bottom"/>
          </w:tcPr>
          <w:p w14:paraId="70B11132" w14:textId="16C4FDAD"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single" w:sz="8" w:space="0" w:color="5F497A" w:themeColor="accent4" w:themeShade="BF"/>
              <w:left w:val="nil"/>
              <w:bottom w:val="nil"/>
              <w:right w:val="nil"/>
            </w:tcBorders>
            <w:vAlign w:val="bottom"/>
          </w:tcPr>
          <w:p w14:paraId="1C7E3380" w14:textId="41338639" w:rsidR="00DC5BE9" w:rsidRPr="003E2D55" w:rsidRDefault="00DC5BE9" w:rsidP="003E2D55">
            <w:pPr>
              <w:spacing w:before="40" w:after="20"/>
              <w:jc w:val="right"/>
              <w:rPr>
                <w:rFonts w:cs="Arial"/>
                <w:b/>
                <w:sz w:val="18"/>
                <w:szCs w:val="18"/>
              </w:rPr>
            </w:pPr>
          </w:p>
        </w:tc>
      </w:tr>
      <w:tr w:rsidR="00DC5BE9" w:rsidRPr="003E2D55" w14:paraId="1753011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AB03C0F" w14:textId="77777777" w:rsidR="00DC5BE9" w:rsidRPr="003E2D55" w:rsidRDefault="00DC5BE9" w:rsidP="003E2D55">
            <w:pPr>
              <w:spacing w:before="40" w:after="20"/>
              <w:rPr>
                <w:rFonts w:cs="Arial"/>
                <w:sz w:val="18"/>
                <w:szCs w:val="18"/>
              </w:rPr>
            </w:pPr>
            <w:r w:rsidRPr="003E2D55">
              <w:rPr>
                <w:rFonts w:cs="Arial"/>
                <w:sz w:val="18"/>
                <w:szCs w:val="18"/>
              </w:rPr>
              <w:t>Macedon Ranges S</w:t>
            </w:r>
          </w:p>
        </w:tc>
        <w:tc>
          <w:tcPr>
            <w:tcW w:w="1361" w:type="dxa"/>
            <w:tcBorders>
              <w:top w:val="nil"/>
              <w:left w:val="single" w:sz="18" w:space="0" w:color="5F497A" w:themeColor="accent4" w:themeShade="BF"/>
              <w:bottom w:val="nil"/>
              <w:right w:val="nil"/>
            </w:tcBorders>
            <w:vAlign w:val="bottom"/>
          </w:tcPr>
          <w:p w14:paraId="65FCE5E3" w14:textId="1E448BE0" w:rsidR="00DC5BE9" w:rsidRPr="003E2D55" w:rsidRDefault="00DC5BE9" w:rsidP="003E2D55">
            <w:pPr>
              <w:spacing w:before="40" w:after="20"/>
              <w:jc w:val="right"/>
              <w:rPr>
                <w:rFonts w:cs="Arial"/>
                <w:sz w:val="18"/>
                <w:szCs w:val="18"/>
              </w:rPr>
            </w:pPr>
            <w:r w:rsidRPr="003E2D55">
              <w:rPr>
                <w:rFonts w:cs="Arial"/>
                <w:sz w:val="18"/>
                <w:szCs w:val="18"/>
              </w:rPr>
              <w:t>39,400</w:t>
            </w:r>
          </w:p>
        </w:tc>
        <w:tc>
          <w:tcPr>
            <w:tcW w:w="1361" w:type="dxa"/>
            <w:tcBorders>
              <w:top w:val="nil"/>
              <w:left w:val="nil"/>
              <w:bottom w:val="nil"/>
              <w:right w:val="nil"/>
            </w:tcBorders>
            <w:vAlign w:val="bottom"/>
          </w:tcPr>
          <w:p w14:paraId="320C1885" w14:textId="46B6C26D" w:rsidR="00DC5BE9" w:rsidRPr="003E2D55" w:rsidRDefault="00DC5BE9" w:rsidP="003E2D55">
            <w:pPr>
              <w:spacing w:before="40" w:after="20"/>
              <w:jc w:val="right"/>
              <w:rPr>
                <w:rFonts w:cs="Arial"/>
                <w:sz w:val="18"/>
                <w:szCs w:val="18"/>
              </w:rPr>
            </w:pPr>
            <w:r w:rsidRPr="003E2D55">
              <w:rPr>
                <w:rFonts w:cs="Arial"/>
                <w:sz w:val="18"/>
                <w:szCs w:val="18"/>
              </w:rPr>
              <w:t>894,360</w:t>
            </w:r>
          </w:p>
        </w:tc>
        <w:tc>
          <w:tcPr>
            <w:tcW w:w="1701" w:type="dxa"/>
            <w:tcBorders>
              <w:top w:val="nil"/>
              <w:left w:val="nil"/>
              <w:bottom w:val="nil"/>
              <w:right w:val="nil"/>
            </w:tcBorders>
            <w:shd w:val="clear" w:color="auto" w:fill="auto"/>
            <w:vAlign w:val="bottom"/>
          </w:tcPr>
          <w:p w14:paraId="1515851B" w14:textId="6C4DB652" w:rsidR="00DC5BE9" w:rsidRPr="003E2D55" w:rsidRDefault="00DC5BE9" w:rsidP="003E2D55">
            <w:pPr>
              <w:spacing w:before="40" w:after="20"/>
              <w:jc w:val="right"/>
              <w:rPr>
                <w:rFonts w:cs="Arial"/>
                <w:sz w:val="18"/>
                <w:szCs w:val="18"/>
              </w:rPr>
            </w:pPr>
            <w:r w:rsidRPr="003E2D55">
              <w:rPr>
                <w:rFonts w:cs="Arial"/>
                <w:sz w:val="18"/>
                <w:szCs w:val="18"/>
              </w:rPr>
              <w:t>14,087,990</w:t>
            </w:r>
          </w:p>
        </w:tc>
        <w:tc>
          <w:tcPr>
            <w:tcW w:w="284" w:type="dxa"/>
            <w:tcBorders>
              <w:top w:val="nil"/>
              <w:left w:val="nil"/>
              <w:bottom w:val="nil"/>
              <w:right w:val="nil"/>
            </w:tcBorders>
            <w:vAlign w:val="bottom"/>
          </w:tcPr>
          <w:p w14:paraId="5D0E06C3" w14:textId="7C58691D"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75A007AA" w14:textId="66C56B27" w:rsidR="00DC5BE9" w:rsidRPr="003E2D55" w:rsidRDefault="00DC5BE9" w:rsidP="003E2D55">
            <w:pPr>
              <w:spacing w:before="40" w:after="20"/>
              <w:jc w:val="right"/>
              <w:rPr>
                <w:rFonts w:cs="Arial"/>
                <w:b/>
                <w:sz w:val="18"/>
                <w:szCs w:val="18"/>
              </w:rPr>
            </w:pPr>
            <w:r w:rsidRPr="003E2D55">
              <w:rPr>
                <w:rFonts w:cs="Arial"/>
                <w:b/>
                <w:sz w:val="18"/>
                <w:szCs w:val="18"/>
              </w:rPr>
              <w:t>2,376,351</w:t>
            </w:r>
          </w:p>
        </w:tc>
      </w:tr>
      <w:tr w:rsidR="00DC5BE9" w:rsidRPr="003E2D55" w14:paraId="4AF39F2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65CA9D6" w14:textId="77777777" w:rsidR="00DC5BE9" w:rsidRPr="003E2D55" w:rsidRDefault="00DC5BE9" w:rsidP="003E2D55">
            <w:pPr>
              <w:spacing w:before="40" w:after="20"/>
              <w:rPr>
                <w:rFonts w:cs="Arial"/>
                <w:sz w:val="18"/>
                <w:szCs w:val="18"/>
              </w:rPr>
            </w:pPr>
            <w:r w:rsidRPr="003E2D55">
              <w:rPr>
                <w:rFonts w:cs="Arial"/>
                <w:sz w:val="18"/>
                <w:szCs w:val="18"/>
              </w:rPr>
              <w:t>Manningham C</w:t>
            </w:r>
          </w:p>
        </w:tc>
        <w:tc>
          <w:tcPr>
            <w:tcW w:w="1361" w:type="dxa"/>
            <w:tcBorders>
              <w:top w:val="nil"/>
              <w:left w:val="single" w:sz="18" w:space="0" w:color="5F497A" w:themeColor="accent4" w:themeShade="BF"/>
              <w:bottom w:val="nil"/>
              <w:right w:val="nil"/>
            </w:tcBorders>
            <w:vAlign w:val="bottom"/>
          </w:tcPr>
          <w:p w14:paraId="0BEC6D95" w14:textId="3EACAD7B"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0834A3C1" w14:textId="01881A42" w:rsidR="00DC5BE9" w:rsidRPr="003E2D55" w:rsidRDefault="00DC5BE9" w:rsidP="003E2D55">
            <w:pPr>
              <w:spacing w:before="40" w:after="20"/>
              <w:jc w:val="right"/>
              <w:rPr>
                <w:rFonts w:cs="Arial"/>
                <w:sz w:val="18"/>
                <w:szCs w:val="18"/>
              </w:rPr>
            </w:pPr>
            <w:r w:rsidRPr="003E2D55">
              <w:rPr>
                <w:rFonts w:cs="Arial"/>
                <w:sz w:val="18"/>
                <w:szCs w:val="18"/>
              </w:rPr>
              <w:t>246,000</w:t>
            </w:r>
          </w:p>
        </w:tc>
        <w:tc>
          <w:tcPr>
            <w:tcW w:w="1701" w:type="dxa"/>
            <w:tcBorders>
              <w:top w:val="nil"/>
              <w:left w:val="nil"/>
              <w:bottom w:val="nil"/>
              <w:right w:val="nil"/>
            </w:tcBorders>
            <w:shd w:val="clear" w:color="auto" w:fill="auto"/>
            <w:vAlign w:val="bottom"/>
          </w:tcPr>
          <w:p w14:paraId="667AE68C" w14:textId="5D640FE5" w:rsidR="00DC5BE9" w:rsidRPr="003E2D55" w:rsidRDefault="00DC5BE9" w:rsidP="003E2D55">
            <w:pPr>
              <w:spacing w:before="40" w:after="20"/>
              <w:jc w:val="right"/>
              <w:rPr>
                <w:rFonts w:cs="Arial"/>
                <w:sz w:val="18"/>
                <w:szCs w:val="18"/>
              </w:rPr>
            </w:pPr>
            <w:r w:rsidRPr="003E2D55">
              <w:rPr>
                <w:rFonts w:cs="Arial"/>
                <w:sz w:val="18"/>
                <w:szCs w:val="18"/>
              </w:rPr>
              <w:t>5,046,678</w:t>
            </w:r>
          </w:p>
        </w:tc>
        <w:tc>
          <w:tcPr>
            <w:tcW w:w="284" w:type="dxa"/>
            <w:tcBorders>
              <w:top w:val="nil"/>
              <w:left w:val="nil"/>
              <w:bottom w:val="nil"/>
              <w:right w:val="nil"/>
            </w:tcBorders>
            <w:vAlign w:val="bottom"/>
          </w:tcPr>
          <w:p w14:paraId="1F8BA25B" w14:textId="62C2ADB1"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13EB74FC" w14:textId="618E3B03" w:rsidR="00DC5BE9" w:rsidRPr="003E2D55" w:rsidRDefault="00DC5BE9" w:rsidP="003E2D55">
            <w:pPr>
              <w:spacing w:before="40" w:after="20"/>
              <w:jc w:val="right"/>
              <w:rPr>
                <w:rFonts w:cs="Arial"/>
                <w:b/>
                <w:sz w:val="18"/>
                <w:szCs w:val="18"/>
              </w:rPr>
            </w:pPr>
            <w:r w:rsidRPr="003E2D55">
              <w:rPr>
                <w:rFonts w:cs="Arial"/>
                <w:b/>
                <w:sz w:val="18"/>
                <w:szCs w:val="18"/>
              </w:rPr>
              <w:t>851,270</w:t>
            </w:r>
          </w:p>
        </w:tc>
      </w:tr>
      <w:tr w:rsidR="00DC5BE9" w:rsidRPr="003E2D55" w14:paraId="30DD208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F2D1FBC" w14:textId="77777777" w:rsidR="00DC5BE9" w:rsidRPr="003E2D55" w:rsidRDefault="00DC5BE9" w:rsidP="003E2D55">
            <w:pPr>
              <w:spacing w:before="40" w:after="20"/>
              <w:rPr>
                <w:rFonts w:cs="Arial"/>
                <w:sz w:val="18"/>
                <w:szCs w:val="18"/>
              </w:rPr>
            </w:pPr>
            <w:r w:rsidRPr="003E2D55">
              <w:rPr>
                <w:rFonts w:cs="Arial"/>
                <w:sz w:val="18"/>
                <w:szCs w:val="18"/>
              </w:rPr>
              <w:t>Mansfield S</w:t>
            </w:r>
          </w:p>
        </w:tc>
        <w:tc>
          <w:tcPr>
            <w:tcW w:w="1361" w:type="dxa"/>
            <w:tcBorders>
              <w:top w:val="nil"/>
              <w:left w:val="single" w:sz="18" w:space="0" w:color="5F497A" w:themeColor="accent4" w:themeShade="BF"/>
              <w:bottom w:val="nil"/>
              <w:right w:val="nil"/>
            </w:tcBorders>
            <w:vAlign w:val="bottom"/>
          </w:tcPr>
          <w:p w14:paraId="01277293" w14:textId="287AC885" w:rsidR="00DC5BE9" w:rsidRPr="003E2D55" w:rsidRDefault="00DC5BE9" w:rsidP="003E2D55">
            <w:pPr>
              <w:spacing w:before="40" w:after="20"/>
              <w:jc w:val="right"/>
              <w:rPr>
                <w:rFonts w:cs="Arial"/>
                <w:sz w:val="18"/>
                <w:szCs w:val="18"/>
              </w:rPr>
            </w:pPr>
            <w:r w:rsidRPr="003E2D55">
              <w:rPr>
                <w:rFonts w:cs="Arial"/>
                <w:sz w:val="18"/>
                <w:szCs w:val="18"/>
              </w:rPr>
              <w:t>28,000</w:t>
            </w:r>
          </w:p>
        </w:tc>
        <w:tc>
          <w:tcPr>
            <w:tcW w:w="1361" w:type="dxa"/>
            <w:tcBorders>
              <w:top w:val="nil"/>
              <w:left w:val="nil"/>
              <w:bottom w:val="nil"/>
              <w:right w:val="nil"/>
            </w:tcBorders>
            <w:vAlign w:val="bottom"/>
          </w:tcPr>
          <w:p w14:paraId="61632DDE" w14:textId="096B5569" w:rsidR="00DC5BE9" w:rsidRPr="003E2D55" w:rsidRDefault="00DC5BE9" w:rsidP="003E2D55">
            <w:pPr>
              <w:spacing w:before="40" w:after="20"/>
              <w:jc w:val="right"/>
              <w:rPr>
                <w:rFonts w:cs="Arial"/>
                <w:sz w:val="18"/>
                <w:szCs w:val="18"/>
              </w:rPr>
            </w:pPr>
            <w:r w:rsidRPr="003E2D55">
              <w:rPr>
                <w:rFonts w:cs="Arial"/>
                <w:sz w:val="18"/>
                <w:szCs w:val="18"/>
              </w:rPr>
              <w:t>724,670</w:t>
            </w:r>
          </w:p>
        </w:tc>
        <w:tc>
          <w:tcPr>
            <w:tcW w:w="1701" w:type="dxa"/>
            <w:tcBorders>
              <w:top w:val="nil"/>
              <w:left w:val="nil"/>
              <w:bottom w:val="nil"/>
              <w:right w:val="nil"/>
            </w:tcBorders>
            <w:shd w:val="clear" w:color="auto" w:fill="auto"/>
            <w:vAlign w:val="bottom"/>
          </w:tcPr>
          <w:p w14:paraId="34E38DE5" w14:textId="75B84E5F" w:rsidR="00DC5BE9" w:rsidRPr="003E2D55" w:rsidRDefault="00DC5BE9" w:rsidP="003E2D55">
            <w:pPr>
              <w:spacing w:before="40" w:after="20"/>
              <w:jc w:val="right"/>
              <w:rPr>
                <w:rFonts w:cs="Arial"/>
                <w:sz w:val="18"/>
                <w:szCs w:val="18"/>
              </w:rPr>
            </w:pPr>
            <w:r w:rsidRPr="003E2D55">
              <w:rPr>
                <w:rFonts w:cs="Arial"/>
                <w:sz w:val="18"/>
                <w:szCs w:val="18"/>
              </w:rPr>
              <w:t>5,535,542</w:t>
            </w:r>
          </w:p>
        </w:tc>
        <w:tc>
          <w:tcPr>
            <w:tcW w:w="284" w:type="dxa"/>
            <w:tcBorders>
              <w:top w:val="nil"/>
              <w:left w:val="nil"/>
              <w:bottom w:val="nil"/>
              <w:right w:val="nil"/>
            </w:tcBorders>
            <w:vAlign w:val="bottom"/>
          </w:tcPr>
          <w:p w14:paraId="1778F503" w14:textId="3AA37950"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18C74CE1" w14:textId="2C71D3FF" w:rsidR="00DC5BE9" w:rsidRPr="003E2D55" w:rsidRDefault="00DC5BE9" w:rsidP="003E2D55">
            <w:pPr>
              <w:spacing w:before="40" w:after="20"/>
              <w:jc w:val="right"/>
              <w:rPr>
                <w:rFonts w:cs="Arial"/>
                <w:b/>
                <w:sz w:val="18"/>
                <w:szCs w:val="18"/>
              </w:rPr>
            </w:pPr>
            <w:r w:rsidRPr="003E2D55">
              <w:rPr>
                <w:rFonts w:cs="Arial"/>
                <w:b/>
                <w:sz w:val="18"/>
                <w:szCs w:val="18"/>
              </w:rPr>
              <w:t>933,731</w:t>
            </w:r>
          </w:p>
        </w:tc>
      </w:tr>
      <w:tr w:rsidR="00DC5BE9" w:rsidRPr="003E2D55" w14:paraId="78CAF49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E362EF1" w14:textId="77777777" w:rsidR="00DC5BE9" w:rsidRPr="003E2D55" w:rsidRDefault="00DC5BE9" w:rsidP="003E2D55">
            <w:pPr>
              <w:spacing w:before="40" w:after="20"/>
              <w:rPr>
                <w:rFonts w:cs="Arial"/>
                <w:sz w:val="18"/>
                <w:szCs w:val="18"/>
              </w:rPr>
            </w:pPr>
            <w:r w:rsidRPr="003E2D55">
              <w:rPr>
                <w:rFonts w:cs="Arial"/>
                <w:sz w:val="18"/>
                <w:szCs w:val="18"/>
              </w:rPr>
              <w:t>Maribyrnong C</w:t>
            </w:r>
          </w:p>
        </w:tc>
        <w:tc>
          <w:tcPr>
            <w:tcW w:w="1361" w:type="dxa"/>
            <w:tcBorders>
              <w:top w:val="nil"/>
              <w:left w:val="single" w:sz="18" w:space="0" w:color="5F497A" w:themeColor="accent4" w:themeShade="BF"/>
              <w:bottom w:val="nil"/>
              <w:right w:val="nil"/>
            </w:tcBorders>
            <w:vAlign w:val="bottom"/>
          </w:tcPr>
          <w:p w14:paraId="6FB3A119" w14:textId="25DEA0A0"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59383C35" w14:textId="68C4DC6F" w:rsidR="00DC5BE9" w:rsidRPr="003E2D55" w:rsidRDefault="00DC5BE9" w:rsidP="003E2D55">
            <w:pPr>
              <w:spacing w:before="40" w:after="20"/>
              <w:jc w:val="right"/>
              <w:rPr>
                <w:rFonts w:cs="Arial"/>
                <w:sz w:val="18"/>
                <w:szCs w:val="18"/>
              </w:rPr>
            </w:pPr>
            <w:r w:rsidRPr="003E2D55">
              <w:rPr>
                <w:rFonts w:cs="Arial"/>
                <w:sz w:val="18"/>
                <w:szCs w:val="18"/>
              </w:rPr>
              <w:t>45,600</w:t>
            </w:r>
          </w:p>
        </w:tc>
        <w:tc>
          <w:tcPr>
            <w:tcW w:w="1701" w:type="dxa"/>
            <w:tcBorders>
              <w:top w:val="nil"/>
              <w:left w:val="nil"/>
              <w:bottom w:val="nil"/>
              <w:right w:val="nil"/>
            </w:tcBorders>
            <w:shd w:val="clear" w:color="auto" w:fill="auto"/>
            <w:vAlign w:val="bottom"/>
          </w:tcPr>
          <w:p w14:paraId="5D6AAE78" w14:textId="63498502" w:rsidR="00DC5BE9" w:rsidRPr="003E2D55" w:rsidRDefault="00DC5BE9" w:rsidP="003E2D55">
            <w:pPr>
              <w:spacing w:before="40" w:after="20"/>
              <w:jc w:val="right"/>
              <w:rPr>
                <w:rFonts w:cs="Arial"/>
                <w:sz w:val="18"/>
                <w:szCs w:val="18"/>
              </w:rPr>
            </w:pPr>
            <w:r w:rsidRPr="003E2D55">
              <w:rPr>
                <w:rFonts w:cs="Arial"/>
                <w:sz w:val="18"/>
                <w:szCs w:val="18"/>
              </w:rPr>
              <w:t>3,570,773</w:t>
            </w:r>
          </w:p>
        </w:tc>
        <w:tc>
          <w:tcPr>
            <w:tcW w:w="284" w:type="dxa"/>
            <w:tcBorders>
              <w:top w:val="nil"/>
              <w:left w:val="nil"/>
              <w:bottom w:val="nil"/>
              <w:right w:val="nil"/>
            </w:tcBorders>
            <w:vAlign w:val="bottom"/>
          </w:tcPr>
          <w:p w14:paraId="687DB650" w14:textId="16809324"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60B41D0A" w14:textId="5D9997C1" w:rsidR="00DC5BE9" w:rsidRPr="003E2D55" w:rsidRDefault="00DC5BE9" w:rsidP="003E2D55">
            <w:pPr>
              <w:spacing w:before="40" w:after="20"/>
              <w:jc w:val="right"/>
              <w:rPr>
                <w:rFonts w:cs="Arial"/>
                <w:b/>
                <w:sz w:val="18"/>
                <w:szCs w:val="18"/>
              </w:rPr>
            </w:pPr>
            <w:r w:rsidRPr="003E2D55">
              <w:rPr>
                <w:rFonts w:cs="Arial"/>
                <w:b/>
                <w:sz w:val="18"/>
                <w:szCs w:val="18"/>
              </w:rPr>
              <w:t>602,315</w:t>
            </w:r>
          </w:p>
        </w:tc>
      </w:tr>
      <w:tr w:rsidR="00DC5BE9" w:rsidRPr="003E2D55" w14:paraId="3E201B7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D16AE56" w14:textId="77777777" w:rsidR="00DC5BE9" w:rsidRPr="003E2D55" w:rsidRDefault="00DC5BE9" w:rsidP="003E2D55">
            <w:pPr>
              <w:spacing w:before="40" w:after="20"/>
              <w:rPr>
                <w:rFonts w:cs="Arial"/>
                <w:sz w:val="18"/>
                <w:szCs w:val="18"/>
              </w:rPr>
            </w:pPr>
            <w:r w:rsidRPr="003E2D55">
              <w:rPr>
                <w:rFonts w:cs="Arial"/>
                <w:sz w:val="18"/>
                <w:szCs w:val="18"/>
              </w:rPr>
              <w:t>Maroondah C</w:t>
            </w:r>
          </w:p>
        </w:tc>
        <w:tc>
          <w:tcPr>
            <w:tcW w:w="1361" w:type="dxa"/>
            <w:tcBorders>
              <w:top w:val="nil"/>
              <w:left w:val="single" w:sz="18" w:space="0" w:color="5F497A" w:themeColor="accent4" w:themeShade="BF"/>
              <w:bottom w:val="nil"/>
              <w:right w:val="nil"/>
            </w:tcBorders>
            <w:vAlign w:val="bottom"/>
          </w:tcPr>
          <w:p w14:paraId="0A2ACC6C" w14:textId="685FB27C"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26F10109" w14:textId="3A4F240D" w:rsidR="00DC5BE9" w:rsidRPr="003E2D55" w:rsidRDefault="00DC5BE9" w:rsidP="003E2D55">
            <w:pPr>
              <w:spacing w:before="40" w:after="20"/>
              <w:jc w:val="right"/>
              <w:rPr>
                <w:rFonts w:cs="Arial"/>
                <w:sz w:val="18"/>
                <w:szCs w:val="18"/>
              </w:rPr>
            </w:pPr>
            <w:r w:rsidRPr="003E2D55">
              <w:rPr>
                <w:rFonts w:cs="Arial"/>
                <w:sz w:val="18"/>
                <w:szCs w:val="18"/>
              </w:rPr>
              <w:t>18,000</w:t>
            </w:r>
          </w:p>
        </w:tc>
        <w:tc>
          <w:tcPr>
            <w:tcW w:w="1701" w:type="dxa"/>
            <w:tcBorders>
              <w:top w:val="nil"/>
              <w:left w:val="nil"/>
              <w:bottom w:val="nil"/>
              <w:right w:val="nil"/>
            </w:tcBorders>
            <w:shd w:val="clear" w:color="auto" w:fill="auto"/>
            <w:vAlign w:val="bottom"/>
          </w:tcPr>
          <w:p w14:paraId="06C179C9" w14:textId="0926DADF" w:rsidR="00DC5BE9" w:rsidRPr="003E2D55" w:rsidRDefault="00DC5BE9" w:rsidP="003E2D55">
            <w:pPr>
              <w:spacing w:before="40" w:after="20"/>
              <w:jc w:val="right"/>
              <w:rPr>
                <w:rFonts w:cs="Arial"/>
                <w:sz w:val="18"/>
                <w:szCs w:val="18"/>
              </w:rPr>
            </w:pPr>
            <w:r w:rsidRPr="003E2D55">
              <w:rPr>
                <w:rFonts w:cs="Arial"/>
                <w:sz w:val="18"/>
                <w:szCs w:val="18"/>
              </w:rPr>
              <w:t>4,738,921</w:t>
            </w:r>
          </w:p>
        </w:tc>
        <w:tc>
          <w:tcPr>
            <w:tcW w:w="284" w:type="dxa"/>
            <w:tcBorders>
              <w:top w:val="nil"/>
              <w:left w:val="nil"/>
              <w:bottom w:val="nil"/>
              <w:right w:val="nil"/>
            </w:tcBorders>
            <w:vAlign w:val="bottom"/>
          </w:tcPr>
          <w:p w14:paraId="47C8CB0E" w14:textId="32A74FD0"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4769BA62" w14:textId="57ADBE3F" w:rsidR="00DC5BE9" w:rsidRPr="003E2D55" w:rsidRDefault="00DC5BE9" w:rsidP="003E2D55">
            <w:pPr>
              <w:spacing w:before="40" w:after="20"/>
              <w:jc w:val="right"/>
              <w:rPr>
                <w:rFonts w:cs="Arial"/>
                <w:b/>
                <w:sz w:val="18"/>
                <w:szCs w:val="18"/>
              </w:rPr>
            </w:pPr>
            <w:r w:rsidRPr="003E2D55">
              <w:rPr>
                <w:rFonts w:cs="Arial"/>
                <w:b/>
                <w:sz w:val="18"/>
                <w:szCs w:val="18"/>
              </w:rPr>
              <w:t>799,357</w:t>
            </w:r>
          </w:p>
        </w:tc>
      </w:tr>
      <w:tr w:rsidR="00DC5BE9" w:rsidRPr="003E2D55" w14:paraId="1289406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0C98FB8" w14:textId="77777777" w:rsidR="00DC5BE9" w:rsidRPr="003E2D55" w:rsidRDefault="00DC5BE9" w:rsidP="003E2D55">
            <w:pPr>
              <w:spacing w:before="40" w:after="20"/>
              <w:rPr>
                <w:rFonts w:cs="Arial"/>
                <w:sz w:val="18"/>
                <w:szCs w:val="18"/>
              </w:rPr>
            </w:pPr>
            <w:r w:rsidRPr="003E2D55">
              <w:rPr>
                <w:rFonts w:cs="Arial"/>
                <w:sz w:val="18"/>
                <w:szCs w:val="18"/>
              </w:rPr>
              <w:t>Melbourne C</w:t>
            </w:r>
          </w:p>
        </w:tc>
        <w:tc>
          <w:tcPr>
            <w:tcW w:w="1361" w:type="dxa"/>
            <w:tcBorders>
              <w:top w:val="nil"/>
              <w:left w:val="single" w:sz="18" w:space="0" w:color="5F497A" w:themeColor="accent4" w:themeShade="BF"/>
              <w:bottom w:val="nil"/>
              <w:right w:val="nil"/>
            </w:tcBorders>
            <w:vAlign w:val="bottom"/>
          </w:tcPr>
          <w:p w14:paraId="7F9B8598" w14:textId="3F684F01"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0C610CE3" w14:textId="1FABA438" w:rsidR="00DC5BE9" w:rsidRPr="003E2D55" w:rsidRDefault="00DC5BE9" w:rsidP="003E2D55">
            <w:pPr>
              <w:spacing w:before="40" w:after="20"/>
              <w:jc w:val="right"/>
              <w:rPr>
                <w:rFonts w:cs="Arial"/>
                <w:sz w:val="18"/>
                <w:szCs w:val="18"/>
              </w:rPr>
            </w:pPr>
            <w:r w:rsidRPr="003E2D55">
              <w:rPr>
                <w:rFonts w:cs="Arial"/>
                <w:sz w:val="18"/>
                <w:szCs w:val="18"/>
              </w:rPr>
              <w:t>1,233,600</w:t>
            </w:r>
          </w:p>
        </w:tc>
        <w:tc>
          <w:tcPr>
            <w:tcW w:w="1701" w:type="dxa"/>
            <w:tcBorders>
              <w:top w:val="nil"/>
              <w:left w:val="nil"/>
              <w:bottom w:val="nil"/>
              <w:right w:val="nil"/>
            </w:tcBorders>
            <w:shd w:val="clear" w:color="auto" w:fill="auto"/>
            <w:vAlign w:val="bottom"/>
          </w:tcPr>
          <w:p w14:paraId="02380CE7" w14:textId="16C7BD6E" w:rsidR="00DC5BE9" w:rsidRPr="003E2D55" w:rsidRDefault="00DC5BE9" w:rsidP="003E2D55">
            <w:pPr>
              <w:spacing w:before="40" w:after="20"/>
              <w:jc w:val="right"/>
              <w:rPr>
                <w:rFonts w:cs="Arial"/>
                <w:sz w:val="18"/>
                <w:szCs w:val="18"/>
              </w:rPr>
            </w:pPr>
            <w:r w:rsidRPr="003E2D55">
              <w:rPr>
                <w:rFonts w:cs="Arial"/>
                <w:sz w:val="18"/>
                <w:szCs w:val="18"/>
              </w:rPr>
              <w:t>4,370,521</w:t>
            </w:r>
          </w:p>
        </w:tc>
        <w:tc>
          <w:tcPr>
            <w:tcW w:w="284" w:type="dxa"/>
            <w:tcBorders>
              <w:top w:val="nil"/>
              <w:left w:val="nil"/>
              <w:bottom w:val="nil"/>
              <w:right w:val="nil"/>
            </w:tcBorders>
            <w:vAlign w:val="bottom"/>
          </w:tcPr>
          <w:p w14:paraId="367B297F" w14:textId="07BAEA93"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3B53A261" w14:textId="28C5B310" w:rsidR="00DC5BE9" w:rsidRPr="003E2D55" w:rsidRDefault="00DC5BE9" w:rsidP="003E2D55">
            <w:pPr>
              <w:spacing w:before="40" w:after="20"/>
              <w:jc w:val="right"/>
              <w:rPr>
                <w:rFonts w:cs="Arial"/>
                <w:b/>
                <w:sz w:val="18"/>
                <w:szCs w:val="18"/>
              </w:rPr>
            </w:pPr>
            <w:r w:rsidRPr="003E2D55">
              <w:rPr>
                <w:rFonts w:cs="Arial"/>
                <w:b/>
                <w:sz w:val="18"/>
                <w:szCs w:val="18"/>
              </w:rPr>
              <w:t>737,216</w:t>
            </w:r>
          </w:p>
        </w:tc>
      </w:tr>
      <w:tr w:rsidR="00DC5BE9" w:rsidRPr="003E2D55" w14:paraId="22718DC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6778B40" w14:textId="77777777" w:rsidR="00DC5BE9" w:rsidRPr="003E2D55" w:rsidRDefault="00DC5BE9" w:rsidP="003E2D55">
            <w:pPr>
              <w:spacing w:before="40" w:after="20"/>
              <w:rPr>
                <w:rFonts w:cs="Arial"/>
                <w:sz w:val="18"/>
                <w:szCs w:val="18"/>
              </w:rPr>
            </w:pPr>
            <w:r w:rsidRPr="003E2D55">
              <w:rPr>
                <w:rFonts w:cs="Arial"/>
                <w:sz w:val="18"/>
                <w:szCs w:val="18"/>
              </w:rPr>
              <w:t>Melton C</w:t>
            </w:r>
          </w:p>
        </w:tc>
        <w:tc>
          <w:tcPr>
            <w:tcW w:w="1361" w:type="dxa"/>
            <w:tcBorders>
              <w:top w:val="nil"/>
              <w:left w:val="single" w:sz="18" w:space="0" w:color="5F497A" w:themeColor="accent4" w:themeShade="BF"/>
              <w:bottom w:val="nil"/>
              <w:right w:val="nil"/>
            </w:tcBorders>
            <w:vAlign w:val="bottom"/>
          </w:tcPr>
          <w:p w14:paraId="2325F111" w14:textId="4373465A"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019DD25A" w14:textId="385EC6DC" w:rsidR="00DC5BE9" w:rsidRPr="003E2D55" w:rsidRDefault="00DC5BE9" w:rsidP="003E2D55">
            <w:pPr>
              <w:spacing w:before="40" w:after="20"/>
              <w:jc w:val="right"/>
              <w:rPr>
                <w:rFonts w:cs="Arial"/>
                <w:sz w:val="18"/>
                <w:szCs w:val="18"/>
              </w:rPr>
            </w:pPr>
            <w:r w:rsidRPr="003E2D55">
              <w:rPr>
                <w:rFonts w:cs="Arial"/>
                <w:sz w:val="18"/>
                <w:szCs w:val="18"/>
              </w:rPr>
              <w:t>693,960</w:t>
            </w:r>
          </w:p>
        </w:tc>
        <w:tc>
          <w:tcPr>
            <w:tcW w:w="1701" w:type="dxa"/>
            <w:tcBorders>
              <w:top w:val="nil"/>
              <w:left w:val="nil"/>
              <w:bottom w:val="nil"/>
              <w:right w:val="nil"/>
            </w:tcBorders>
            <w:shd w:val="clear" w:color="auto" w:fill="auto"/>
            <w:vAlign w:val="bottom"/>
          </w:tcPr>
          <w:p w14:paraId="1E9B6A83" w14:textId="26FFA96F" w:rsidR="00DC5BE9" w:rsidRPr="003E2D55" w:rsidRDefault="00DC5BE9" w:rsidP="003E2D55">
            <w:pPr>
              <w:spacing w:before="40" w:after="20"/>
              <w:jc w:val="right"/>
              <w:rPr>
                <w:rFonts w:cs="Arial"/>
                <w:sz w:val="18"/>
                <w:szCs w:val="18"/>
              </w:rPr>
            </w:pPr>
            <w:r w:rsidRPr="003E2D55">
              <w:rPr>
                <w:rFonts w:cs="Arial"/>
                <w:sz w:val="18"/>
                <w:szCs w:val="18"/>
              </w:rPr>
              <w:t>12,645,792</w:t>
            </w:r>
          </w:p>
        </w:tc>
        <w:tc>
          <w:tcPr>
            <w:tcW w:w="284" w:type="dxa"/>
            <w:tcBorders>
              <w:top w:val="nil"/>
              <w:left w:val="nil"/>
              <w:bottom w:val="nil"/>
              <w:right w:val="nil"/>
            </w:tcBorders>
            <w:vAlign w:val="bottom"/>
          </w:tcPr>
          <w:p w14:paraId="79B8526C" w14:textId="3913D40D"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4B51F6B0" w14:textId="48BAD090" w:rsidR="00DC5BE9" w:rsidRPr="003E2D55" w:rsidRDefault="00DC5BE9" w:rsidP="003E2D55">
            <w:pPr>
              <w:spacing w:before="40" w:after="20"/>
              <w:jc w:val="right"/>
              <w:rPr>
                <w:rFonts w:cs="Arial"/>
                <w:b/>
                <w:sz w:val="18"/>
                <w:szCs w:val="18"/>
              </w:rPr>
            </w:pPr>
            <w:r w:rsidRPr="003E2D55">
              <w:rPr>
                <w:rFonts w:cs="Arial"/>
                <w:b/>
                <w:sz w:val="18"/>
                <w:szCs w:val="18"/>
              </w:rPr>
              <w:t>2,133,082</w:t>
            </w:r>
          </w:p>
        </w:tc>
      </w:tr>
      <w:tr w:rsidR="00DC5BE9" w:rsidRPr="003E2D55" w14:paraId="726684C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958C030" w14:textId="77777777" w:rsidR="00DC5BE9" w:rsidRPr="003E2D55" w:rsidRDefault="00DC5BE9" w:rsidP="003E2D55">
            <w:pPr>
              <w:spacing w:before="40" w:after="20"/>
              <w:rPr>
                <w:rFonts w:cs="Arial"/>
                <w:sz w:val="18"/>
                <w:szCs w:val="18"/>
              </w:rPr>
            </w:pPr>
            <w:r w:rsidRPr="003E2D55">
              <w:rPr>
                <w:rFonts w:cs="Arial"/>
                <w:sz w:val="18"/>
                <w:szCs w:val="18"/>
              </w:rPr>
              <w:t>Mildura RC</w:t>
            </w:r>
          </w:p>
        </w:tc>
        <w:tc>
          <w:tcPr>
            <w:tcW w:w="1361" w:type="dxa"/>
            <w:tcBorders>
              <w:top w:val="nil"/>
              <w:left w:val="single" w:sz="18" w:space="0" w:color="5F497A" w:themeColor="accent4" w:themeShade="BF"/>
              <w:bottom w:val="nil"/>
              <w:right w:val="nil"/>
            </w:tcBorders>
            <w:vAlign w:val="bottom"/>
          </w:tcPr>
          <w:p w14:paraId="5CD1FAC8" w14:textId="41DFF5FC"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7E8EA28B" w14:textId="47EC9DF0" w:rsidR="00DC5BE9" w:rsidRPr="003E2D55" w:rsidRDefault="00DC5BE9" w:rsidP="003E2D55">
            <w:pPr>
              <w:spacing w:before="40" w:after="20"/>
              <w:jc w:val="right"/>
              <w:rPr>
                <w:rFonts w:cs="Arial"/>
                <w:sz w:val="18"/>
                <w:szCs w:val="18"/>
              </w:rPr>
            </w:pPr>
            <w:r w:rsidRPr="003E2D55">
              <w:rPr>
                <w:rFonts w:cs="Arial"/>
                <w:sz w:val="18"/>
                <w:szCs w:val="18"/>
              </w:rPr>
              <w:t>72,000</w:t>
            </w:r>
          </w:p>
        </w:tc>
        <w:tc>
          <w:tcPr>
            <w:tcW w:w="1701" w:type="dxa"/>
            <w:tcBorders>
              <w:top w:val="nil"/>
              <w:left w:val="nil"/>
              <w:bottom w:val="nil"/>
              <w:right w:val="nil"/>
            </w:tcBorders>
            <w:shd w:val="clear" w:color="auto" w:fill="auto"/>
            <w:vAlign w:val="bottom"/>
          </w:tcPr>
          <w:p w14:paraId="40FEB12C" w14:textId="5B73CE69" w:rsidR="00DC5BE9" w:rsidRPr="003E2D55" w:rsidRDefault="00DC5BE9" w:rsidP="003E2D55">
            <w:pPr>
              <w:spacing w:before="40" w:after="20"/>
              <w:jc w:val="right"/>
              <w:rPr>
                <w:rFonts w:cs="Arial"/>
                <w:sz w:val="18"/>
                <w:szCs w:val="18"/>
              </w:rPr>
            </w:pPr>
            <w:r w:rsidRPr="003E2D55">
              <w:rPr>
                <w:rFonts w:cs="Arial"/>
                <w:sz w:val="18"/>
                <w:szCs w:val="18"/>
              </w:rPr>
              <w:t>25,247,995</w:t>
            </w:r>
          </w:p>
        </w:tc>
        <w:tc>
          <w:tcPr>
            <w:tcW w:w="284" w:type="dxa"/>
            <w:tcBorders>
              <w:top w:val="nil"/>
              <w:left w:val="nil"/>
              <w:bottom w:val="nil"/>
              <w:right w:val="nil"/>
            </w:tcBorders>
            <w:vAlign w:val="bottom"/>
          </w:tcPr>
          <w:p w14:paraId="1F0DC2C3" w14:textId="04C28444"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05DFB66F" w14:textId="3558CA51" w:rsidR="00DC5BE9" w:rsidRPr="003E2D55" w:rsidRDefault="00DC5BE9" w:rsidP="003E2D55">
            <w:pPr>
              <w:spacing w:before="40" w:after="20"/>
              <w:jc w:val="right"/>
              <w:rPr>
                <w:rFonts w:cs="Arial"/>
                <w:b/>
                <w:sz w:val="18"/>
                <w:szCs w:val="18"/>
              </w:rPr>
            </w:pPr>
            <w:r w:rsidRPr="003E2D55">
              <w:rPr>
                <w:rFonts w:cs="Arial"/>
                <w:b/>
                <w:sz w:val="18"/>
                <w:szCs w:val="18"/>
              </w:rPr>
              <w:t>4,258,812</w:t>
            </w:r>
          </w:p>
        </w:tc>
      </w:tr>
      <w:tr w:rsidR="00DC5BE9" w:rsidRPr="003E2D55" w14:paraId="457321B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201D3C9" w14:textId="77777777" w:rsidR="00DC5BE9" w:rsidRPr="003E2D55" w:rsidRDefault="00DC5BE9" w:rsidP="003E2D55">
            <w:pPr>
              <w:spacing w:before="40" w:after="20"/>
              <w:rPr>
                <w:rFonts w:cs="Arial"/>
                <w:sz w:val="18"/>
                <w:szCs w:val="18"/>
              </w:rPr>
            </w:pPr>
            <w:r w:rsidRPr="003E2D55">
              <w:rPr>
                <w:rFonts w:cs="Arial"/>
                <w:sz w:val="18"/>
                <w:szCs w:val="18"/>
              </w:rPr>
              <w:t>Mitchell S</w:t>
            </w:r>
          </w:p>
        </w:tc>
        <w:tc>
          <w:tcPr>
            <w:tcW w:w="1361" w:type="dxa"/>
            <w:tcBorders>
              <w:top w:val="nil"/>
              <w:left w:val="single" w:sz="18" w:space="0" w:color="5F497A" w:themeColor="accent4" w:themeShade="BF"/>
              <w:bottom w:val="nil"/>
              <w:right w:val="nil"/>
            </w:tcBorders>
            <w:vAlign w:val="bottom"/>
          </w:tcPr>
          <w:p w14:paraId="7B26B715" w14:textId="2A56664F" w:rsidR="00DC5BE9" w:rsidRPr="003E2D55" w:rsidRDefault="00DC5BE9" w:rsidP="003E2D55">
            <w:pPr>
              <w:spacing w:before="40" w:after="20"/>
              <w:jc w:val="right"/>
              <w:rPr>
                <w:rFonts w:cs="Arial"/>
                <w:sz w:val="18"/>
                <w:szCs w:val="18"/>
              </w:rPr>
            </w:pPr>
            <w:r w:rsidRPr="003E2D55">
              <w:rPr>
                <w:rFonts w:cs="Arial"/>
                <w:sz w:val="18"/>
                <w:szCs w:val="18"/>
              </w:rPr>
              <w:t>80,860</w:t>
            </w:r>
          </w:p>
        </w:tc>
        <w:tc>
          <w:tcPr>
            <w:tcW w:w="1361" w:type="dxa"/>
            <w:tcBorders>
              <w:top w:val="nil"/>
              <w:left w:val="nil"/>
              <w:bottom w:val="nil"/>
              <w:right w:val="nil"/>
            </w:tcBorders>
            <w:vAlign w:val="bottom"/>
          </w:tcPr>
          <w:p w14:paraId="174AA481" w14:textId="4F9FB938" w:rsidR="00DC5BE9" w:rsidRPr="003E2D55" w:rsidRDefault="00DC5BE9" w:rsidP="003E2D55">
            <w:pPr>
              <w:spacing w:before="40" w:after="20"/>
              <w:jc w:val="right"/>
              <w:rPr>
                <w:rFonts w:cs="Arial"/>
                <w:sz w:val="18"/>
                <w:szCs w:val="18"/>
              </w:rPr>
            </w:pPr>
            <w:r w:rsidRPr="003E2D55">
              <w:rPr>
                <w:rFonts w:cs="Arial"/>
                <w:sz w:val="18"/>
                <w:szCs w:val="18"/>
              </w:rPr>
              <w:t>883,587</w:t>
            </w:r>
          </w:p>
        </w:tc>
        <w:tc>
          <w:tcPr>
            <w:tcW w:w="1701" w:type="dxa"/>
            <w:tcBorders>
              <w:top w:val="nil"/>
              <w:left w:val="nil"/>
              <w:bottom w:val="nil"/>
              <w:right w:val="nil"/>
            </w:tcBorders>
            <w:shd w:val="clear" w:color="auto" w:fill="auto"/>
            <w:vAlign w:val="bottom"/>
          </w:tcPr>
          <w:p w14:paraId="2595B6B7" w14:textId="3D916EFD" w:rsidR="00DC5BE9" w:rsidRPr="003E2D55" w:rsidRDefault="00DC5BE9" w:rsidP="003E2D55">
            <w:pPr>
              <w:spacing w:before="40" w:after="20"/>
              <w:jc w:val="right"/>
              <w:rPr>
                <w:rFonts w:cs="Arial"/>
                <w:sz w:val="18"/>
                <w:szCs w:val="18"/>
              </w:rPr>
            </w:pPr>
            <w:r w:rsidRPr="003E2D55">
              <w:rPr>
                <w:rFonts w:cs="Arial"/>
                <w:sz w:val="18"/>
                <w:szCs w:val="18"/>
              </w:rPr>
              <w:t>11,583,904</w:t>
            </w:r>
          </w:p>
        </w:tc>
        <w:tc>
          <w:tcPr>
            <w:tcW w:w="284" w:type="dxa"/>
            <w:tcBorders>
              <w:top w:val="nil"/>
              <w:left w:val="nil"/>
              <w:bottom w:val="nil"/>
              <w:right w:val="nil"/>
            </w:tcBorders>
            <w:vAlign w:val="bottom"/>
          </w:tcPr>
          <w:p w14:paraId="7E14B88C" w14:textId="0F5BAAFE"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7B8F59C0" w14:textId="4ABB85E6" w:rsidR="00DC5BE9" w:rsidRPr="003E2D55" w:rsidRDefault="00DC5BE9" w:rsidP="003E2D55">
            <w:pPr>
              <w:spacing w:before="40" w:after="20"/>
              <w:jc w:val="right"/>
              <w:rPr>
                <w:rFonts w:cs="Arial"/>
                <w:b/>
                <w:sz w:val="18"/>
                <w:szCs w:val="18"/>
              </w:rPr>
            </w:pPr>
            <w:r w:rsidRPr="003E2D55">
              <w:rPr>
                <w:rFonts w:cs="Arial"/>
                <w:b/>
                <w:sz w:val="18"/>
                <w:szCs w:val="18"/>
              </w:rPr>
              <w:t>1,953,964</w:t>
            </w:r>
          </w:p>
        </w:tc>
      </w:tr>
      <w:tr w:rsidR="00DC5BE9" w:rsidRPr="003E2D55" w14:paraId="66B324C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CE088BF" w14:textId="77777777" w:rsidR="00DC5BE9" w:rsidRPr="003E2D55" w:rsidRDefault="00DC5BE9" w:rsidP="003E2D55">
            <w:pPr>
              <w:spacing w:before="40" w:after="20"/>
              <w:rPr>
                <w:rFonts w:cs="Arial"/>
                <w:sz w:val="18"/>
                <w:szCs w:val="18"/>
              </w:rPr>
            </w:pPr>
            <w:r w:rsidRPr="003E2D55">
              <w:rPr>
                <w:rFonts w:cs="Arial"/>
                <w:sz w:val="18"/>
                <w:szCs w:val="18"/>
              </w:rPr>
              <w:t>Moira S</w:t>
            </w:r>
          </w:p>
        </w:tc>
        <w:tc>
          <w:tcPr>
            <w:tcW w:w="1361" w:type="dxa"/>
            <w:tcBorders>
              <w:top w:val="nil"/>
              <w:left w:val="single" w:sz="18" w:space="0" w:color="5F497A" w:themeColor="accent4" w:themeShade="BF"/>
              <w:bottom w:val="nil"/>
              <w:right w:val="nil"/>
            </w:tcBorders>
            <w:vAlign w:val="bottom"/>
          </w:tcPr>
          <w:p w14:paraId="7CEAF47B" w14:textId="170CA82A" w:rsidR="00DC5BE9" w:rsidRPr="003E2D55" w:rsidRDefault="00DC5BE9" w:rsidP="003E2D55">
            <w:pPr>
              <w:spacing w:before="40" w:after="20"/>
              <w:jc w:val="right"/>
              <w:rPr>
                <w:rFonts w:cs="Arial"/>
                <w:sz w:val="18"/>
                <w:szCs w:val="18"/>
              </w:rPr>
            </w:pPr>
            <w:r w:rsidRPr="003E2D55">
              <w:rPr>
                <w:rFonts w:cs="Arial"/>
                <w:sz w:val="18"/>
                <w:szCs w:val="18"/>
              </w:rPr>
              <w:t>305,254</w:t>
            </w:r>
          </w:p>
        </w:tc>
        <w:tc>
          <w:tcPr>
            <w:tcW w:w="1361" w:type="dxa"/>
            <w:tcBorders>
              <w:top w:val="nil"/>
              <w:left w:val="nil"/>
              <w:bottom w:val="nil"/>
              <w:right w:val="nil"/>
            </w:tcBorders>
            <w:vAlign w:val="bottom"/>
          </w:tcPr>
          <w:p w14:paraId="5CB1FE81" w14:textId="5B9C2467" w:rsidR="00DC5BE9" w:rsidRPr="003E2D55" w:rsidRDefault="00DC5BE9" w:rsidP="003E2D55">
            <w:pPr>
              <w:spacing w:before="40" w:after="20"/>
              <w:jc w:val="right"/>
              <w:rPr>
                <w:rFonts w:cs="Arial"/>
                <w:sz w:val="18"/>
                <w:szCs w:val="18"/>
              </w:rPr>
            </w:pPr>
            <w:r w:rsidRPr="003E2D55">
              <w:rPr>
                <w:rFonts w:cs="Arial"/>
                <w:sz w:val="18"/>
                <w:szCs w:val="18"/>
              </w:rPr>
              <w:t>1,068,840</w:t>
            </w:r>
          </w:p>
        </w:tc>
        <w:tc>
          <w:tcPr>
            <w:tcW w:w="1701" w:type="dxa"/>
            <w:tcBorders>
              <w:top w:val="nil"/>
              <w:left w:val="nil"/>
              <w:bottom w:val="nil"/>
              <w:right w:val="nil"/>
            </w:tcBorders>
            <w:shd w:val="clear" w:color="auto" w:fill="auto"/>
            <w:vAlign w:val="bottom"/>
          </w:tcPr>
          <w:p w14:paraId="337D8364" w14:textId="102D78C2" w:rsidR="00DC5BE9" w:rsidRPr="003E2D55" w:rsidRDefault="00DC5BE9" w:rsidP="003E2D55">
            <w:pPr>
              <w:spacing w:before="40" w:after="20"/>
              <w:jc w:val="right"/>
              <w:rPr>
                <w:rFonts w:cs="Arial"/>
                <w:sz w:val="18"/>
                <w:szCs w:val="18"/>
              </w:rPr>
            </w:pPr>
            <w:r w:rsidRPr="003E2D55">
              <w:rPr>
                <w:rFonts w:cs="Arial"/>
                <w:sz w:val="18"/>
                <w:szCs w:val="18"/>
              </w:rPr>
              <w:t>23,698,108</w:t>
            </w:r>
          </w:p>
        </w:tc>
        <w:tc>
          <w:tcPr>
            <w:tcW w:w="284" w:type="dxa"/>
            <w:tcBorders>
              <w:top w:val="nil"/>
              <w:left w:val="nil"/>
              <w:bottom w:val="nil"/>
              <w:right w:val="nil"/>
            </w:tcBorders>
            <w:vAlign w:val="bottom"/>
          </w:tcPr>
          <w:p w14:paraId="11C075D7" w14:textId="3B7E6F30"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712655B6" w14:textId="7C7C4D90" w:rsidR="00DC5BE9" w:rsidRPr="003E2D55" w:rsidRDefault="00DC5BE9" w:rsidP="003E2D55">
            <w:pPr>
              <w:spacing w:before="40" w:after="20"/>
              <w:jc w:val="right"/>
              <w:rPr>
                <w:rFonts w:cs="Arial"/>
                <w:b/>
                <w:sz w:val="18"/>
                <w:szCs w:val="18"/>
              </w:rPr>
            </w:pPr>
            <w:r w:rsidRPr="003E2D55">
              <w:rPr>
                <w:rFonts w:cs="Arial"/>
                <w:b/>
                <w:sz w:val="18"/>
                <w:szCs w:val="18"/>
              </w:rPr>
              <w:t>3,997,378</w:t>
            </w:r>
          </w:p>
        </w:tc>
      </w:tr>
      <w:tr w:rsidR="00DC5BE9" w:rsidRPr="003E2D55" w14:paraId="17BBBB3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1968AF0" w14:textId="77777777" w:rsidR="00DC5BE9" w:rsidRPr="003E2D55" w:rsidRDefault="00DC5BE9" w:rsidP="003E2D55">
            <w:pPr>
              <w:spacing w:before="40" w:after="20"/>
              <w:rPr>
                <w:rFonts w:cs="Arial"/>
                <w:sz w:val="18"/>
                <w:szCs w:val="18"/>
              </w:rPr>
            </w:pPr>
            <w:r w:rsidRPr="003E2D55">
              <w:rPr>
                <w:rFonts w:cs="Arial"/>
                <w:sz w:val="18"/>
                <w:szCs w:val="18"/>
              </w:rPr>
              <w:t>Monash C</w:t>
            </w:r>
          </w:p>
        </w:tc>
        <w:tc>
          <w:tcPr>
            <w:tcW w:w="1361" w:type="dxa"/>
            <w:tcBorders>
              <w:top w:val="nil"/>
              <w:left w:val="single" w:sz="18" w:space="0" w:color="5F497A" w:themeColor="accent4" w:themeShade="BF"/>
              <w:bottom w:val="nil"/>
              <w:right w:val="nil"/>
            </w:tcBorders>
            <w:vAlign w:val="bottom"/>
          </w:tcPr>
          <w:p w14:paraId="075CC5D9" w14:textId="47B8984E"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0D1ED334" w14:textId="0FB7C015" w:rsidR="00DC5BE9" w:rsidRPr="003E2D55" w:rsidRDefault="00DC5BE9" w:rsidP="003E2D55">
            <w:pPr>
              <w:spacing w:before="40" w:after="20"/>
              <w:jc w:val="right"/>
              <w:rPr>
                <w:rFonts w:cs="Arial"/>
                <w:sz w:val="18"/>
                <w:szCs w:val="18"/>
              </w:rPr>
            </w:pPr>
            <w:r w:rsidRPr="003E2D55">
              <w:rPr>
                <w:rFonts w:cs="Arial"/>
                <w:sz w:val="18"/>
                <w:szCs w:val="18"/>
              </w:rPr>
              <w:t>31,200</w:t>
            </w:r>
          </w:p>
        </w:tc>
        <w:tc>
          <w:tcPr>
            <w:tcW w:w="1701" w:type="dxa"/>
            <w:tcBorders>
              <w:top w:val="nil"/>
              <w:left w:val="nil"/>
              <w:bottom w:val="nil"/>
              <w:right w:val="nil"/>
            </w:tcBorders>
            <w:shd w:val="clear" w:color="auto" w:fill="auto"/>
            <w:vAlign w:val="bottom"/>
          </w:tcPr>
          <w:p w14:paraId="729927CC" w14:textId="17508DA5" w:rsidR="00DC5BE9" w:rsidRPr="003E2D55" w:rsidRDefault="00DC5BE9" w:rsidP="003E2D55">
            <w:pPr>
              <w:spacing w:before="40" w:after="20"/>
              <w:jc w:val="right"/>
              <w:rPr>
                <w:rFonts w:cs="Arial"/>
                <w:sz w:val="18"/>
                <w:szCs w:val="18"/>
              </w:rPr>
            </w:pPr>
            <w:r w:rsidRPr="003E2D55">
              <w:rPr>
                <w:rFonts w:cs="Arial"/>
                <w:sz w:val="18"/>
                <w:szCs w:val="18"/>
              </w:rPr>
              <w:t>7,520,602</w:t>
            </w:r>
          </w:p>
        </w:tc>
        <w:tc>
          <w:tcPr>
            <w:tcW w:w="284" w:type="dxa"/>
            <w:tcBorders>
              <w:top w:val="nil"/>
              <w:left w:val="nil"/>
              <w:bottom w:val="nil"/>
              <w:right w:val="nil"/>
            </w:tcBorders>
            <w:vAlign w:val="bottom"/>
          </w:tcPr>
          <w:p w14:paraId="79BEC02C" w14:textId="0856A645"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7898C49D" w14:textId="7F3568CC" w:rsidR="00DC5BE9" w:rsidRPr="003E2D55" w:rsidRDefault="00DC5BE9" w:rsidP="003E2D55">
            <w:pPr>
              <w:spacing w:before="40" w:after="20"/>
              <w:jc w:val="right"/>
              <w:rPr>
                <w:rFonts w:cs="Arial"/>
                <w:b/>
                <w:sz w:val="18"/>
                <w:szCs w:val="18"/>
              </w:rPr>
            </w:pPr>
            <w:r w:rsidRPr="003E2D55">
              <w:rPr>
                <w:rFonts w:cs="Arial"/>
                <w:b/>
                <w:sz w:val="18"/>
                <w:szCs w:val="18"/>
              </w:rPr>
              <w:t>1,268,569</w:t>
            </w:r>
          </w:p>
        </w:tc>
      </w:tr>
      <w:tr w:rsidR="00DC5BE9" w:rsidRPr="003E2D55" w14:paraId="1EA78E0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80AE4E9" w14:textId="77777777" w:rsidR="00DC5BE9" w:rsidRPr="003E2D55" w:rsidRDefault="00DC5BE9" w:rsidP="003E2D55">
            <w:pPr>
              <w:spacing w:before="40" w:after="20"/>
              <w:rPr>
                <w:rFonts w:cs="Arial"/>
                <w:sz w:val="18"/>
                <w:szCs w:val="18"/>
              </w:rPr>
            </w:pPr>
            <w:r w:rsidRPr="003E2D55">
              <w:rPr>
                <w:rFonts w:cs="Arial"/>
                <w:sz w:val="18"/>
                <w:szCs w:val="18"/>
              </w:rPr>
              <w:t>Moonee Valley C</w:t>
            </w:r>
          </w:p>
        </w:tc>
        <w:tc>
          <w:tcPr>
            <w:tcW w:w="1361" w:type="dxa"/>
            <w:tcBorders>
              <w:top w:val="nil"/>
              <w:left w:val="single" w:sz="18" w:space="0" w:color="5F497A" w:themeColor="accent4" w:themeShade="BF"/>
              <w:bottom w:val="nil"/>
              <w:right w:val="nil"/>
            </w:tcBorders>
            <w:vAlign w:val="bottom"/>
          </w:tcPr>
          <w:p w14:paraId="74FC78A3" w14:textId="3F02621B"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14ACF5AF" w14:textId="597A735C" w:rsidR="00DC5BE9" w:rsidRPr="003E2D55" w:rsidRDefault="00DC5BE9" w:rsidP="003E2D55">
            <w:pPr>
              <w:spacing w:before="40" w:after="20"/>
              <w:jc w:val="right"/>
              <w:rPr>
                <w:rFonts w:cs="Arial"/>
                <w:sz w:val="18"/>
                <w:szCs w:val="18"/>
              </w:rPr>
            </w:pPr>
            <w:r w:rsidRPr="003E2D55">
              <w:rPr>
                <w:rFonts w:cs="Arial"/>
                <w:sz w:val="18"/>
                <w:szCs w:val="18"/>
              </w:rPr>
              <w:t>135,240</w:t>
            </w:r>
          </w:p>
        </w:tc>
        <w:tc>
          <w:tcPr>
            <w:tcW w:w="1701" w:type="dxa"/>
            <w:tcBorders>
              <w:top w:val="nil"/>
              <w:left w:val="nil"/>
              <w:bottom w:val="nil"/>
              <w:right w:val="nil"/>
            </w:tcBorders>
            <w:shd w:val="clear" w:color="auto" w:fill="auto"/>
            <w:vAlign w:val="bottom"/>
          </w:tcPr>
          <w:p w14:paraId="4A5A06C7" w14:textId="49A86A30" w:rsidR="00DC5BE9" w:rsidRPr="003E2D55" w:rsidRDefault="00DC5BE9" w:rsidP="003E2D55">
            <w:pPr>
              <w:spacing w:before="40" w:after="20"/>
              <w:jc w:val="right"/>
              <w:rPr>
                <w:rFonts w:cs="Arial"/>
                <w:sz w:val="18"/>
                <w:szCs w:val="18"/>
              </w:rPr>
            </w:pPr>
            <w:r w:rsidRPr="003E2D55">
              <w:rPr>
                <w:rFonts w:cs="Arial"/>
                <w:sz w:val="18"/>
                <w:szCs w:val="18"/>
              </w:rPr>
              <w:t>4,299,511</w:t>
            </w:r>
          </w:p>
        </w:tc>
        <w:tc>
          <w:tcPr>
            <w:tcW w:w="284" w:type="dxa"/>
            <w:tcBorders>
              <w:top w:val="nil"/>
              <w:left w:val="nil"/>
              <w:bottom w:val="nil"/>
              <w:right w:val="nil"/>
            </w:tcBorders>
            <w:vAlign w:val="bottom"/>
          </w:tcPr>
          <w:p w14:paraId="049D374F" w14:textId="5CFE7E24"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7AC2CFB7" w14:textId="2A3A0897" w:rsidR="00DC5BE9" w:rsidRPr="003E2D55" w:rsidRDefault="00DC5BE9" w:rsidP="003E2D55">
            <w:pPr>
              <w:spacing w:before="40" w:after="20"/>
              <w:jc w:val="right"/>
              <w:rPr>
                <w:rFonts w:cs="Arial"/>
                <w:b/>
                <w:sz w:val="18"/>
                <w:szCs w:val="18"/>
              </w:rPr>
            </w:pPr>
            <w:r w:rsidRPr="003E2D55">
              <w:rPr>
                <w:rFonts w:cs="Arial"/>
                <w:b/>
                <w:sz w:val="18"/>
                <w:szCs w:val="18"/>
              </w:rPr>
              <w:t>725,238</w:t>
            </w:r>
          </w:p>
        </w:tc>
      </w:tr>
      <w:tr w:rsidR="00DC5BE9" w:rsidRPr="003E2D55" w14:paraId="171FEEC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CFF6CD8" w14:textId="77777777" w:rsidR="00DC5BE9" w:rsidRPr="003E2D55" w:rsidRDefault="00DC5BE9" w:rsidP="003E2D55">
            <w:pPr>
              <w:spacing w:before="40" w:after="20"/>
              <w:rPr>
                <w:rFonts w:cs="Arial"/>
                <w:sz w:val="18"/>
                <w:szCs w:val="18"/>
              </w:rPr>
            </w:pPr>
            <w:r w:rsidRPr="003E2D55">
              <w:rPr>
                <w:rFonts w:cs="Arial"/>
                <w:sz w:val="18"/>
                <w:szCs w:val="18"/>
              </w:rPr>
              <w:t>Moorabool S</w:t>
            </w:r>
          </w:p>
        </w:tc>
        <w:tc>
          <w:tcPr>
            <w:tcW w:w="1361" w:type="dxa"/>
            <w:tcBorders>
              <w:top w:val="nil"/>
              <w:left w:val="single" w:sz="18" w:space="0" w:color="5F497A" w:themeColor="accent4" w:themeShade="BF"/>
              <w:bottom w:val="nil"/>
              <w:right w:val="nil"/>
            </w:tcBorders>
            <w:vAlign w:val="bottom"/>
          </w:tcPr>
          <w:p w14:paraId="0DFF61F4" w14:textId="0F6856B6" w:rsidR="00DC5BE9" w:rsidRPr="003E2D55" w:rsidRDefault="00DC5BE9" w:rsidP="003E2D55">
            <w:pPr>
              <w:spacing w:before="40" w:after="20"/>
              <w:jc w:val="right"/>
              <w:rPr>
                <w:rFonts w:cs="Arial"/>
                <w:sz w:val="18"/>
                <w:szCs w:val="18"/>
              </w:rPr>
            </w:pPr>
            <w:r w:rsidRPr="003E2D55">
              <w:rPr>
                <w:rFonts w:cs="Arial"/>
                <w:sz w:val="18"/>
                <w:szCs w:val="18"/>
              </w:rPr>
              <w:t>8,000</w:t>
            </w:r>
          </w:p>
        </w:tc>
        <w:tc>
          <w:tcPr>
            <w:tcW w:w="1361" w:type="dxa"/>
            <w:tcBorders>
              <w:top w:val="nil"/>
              <w:left w:val="nil"/>
              <w:bottom w:val="nil"/>
              <w:right w:val="nil"/>
            </w:tcBorders>
            <w:vAlign w:val="bottom"/>
          </w:tcPr>
          <w:p w14:paraId="195D8C0F" w14:textId="30D32D07" w:rsidR="00DC5BE9" w:rsidRPr="003E2D55" w:rsidRDefault="00DC5BE9" w:rsidP="003E2D55">
            <w:pPr>
              <w:spacing w:before="40" w:after="20"/>
              <w:jc w:val="right"/>
              <w:rPr>
                <w:rFonts w:cs="Arial"/>
                <w:sz w:val="18"/>
                <w:szCs w:val="18"/>
              </w:rPr>
            </w:pPr>
            <w:r w:rsidRPr="003E2D55">
              <w:rPr>
                <w:rFonts w:cs="Arial"/>
                <w:sz w:val="18"/>
                <w:szCs w:val="18"/>
              </w:rPr>
              <w:t>953,280</w:t>
            </w:r>
          </w:p>
        </w:tc>
        <w:tc>
          <w:tcPr>
            <w:tcW w:w="1701" w:type="dxa"/>
            <w:tcBorders>
              <w:top w:val="nil"/>
              <w:left w:val="nil"/>
              <w:bottom w:val="nil"/>
              <w:right w:val="nil"/>
            </w:tcBorders>
            <w:shd w:val="clear" w:color="auto" w:fill="auto"/>
            <w:vAlign w:val="bottom"/>
          </w:tcPr>
          <w:p w14:paraId="34D2DAB1" w14:textId="30734620" w:rsidR="00DC5BE9" w:rsidRPr="003E2D55" w:rsidRDefault="00DC5BE9" w:rsidP="003E2D55">
            <w:pPr>
              <w:spacing w:before="40" w:after="20"/>
              <w:jc w:val="right"/>
              <w:rPr>
                <w:rFonts w:cs="Arial"/>
                <w:sz w:val="18"/>
                <w:szCs w:val="18"/>
              </w:rPr>
            </w:pPr>
            <w:r w:rsidRPr="003E2D55">
              <w:rPr>
                <w:rFonts w:cs="Arial"/>
                <w:sz w:val="18"/>
                <w:szCs w:val="18"/>
              </w:rPr>
              <w:t>11,913,681</w:t>
            </w:r>
          </w:p>
        </w:tc>
        <w:tc>
          <w:tcPr>
            <w:tcW w:w="284" w:type="dxa"/>
            <w:tcBorders>
              <w:top w:val="nil"/>
              <w:left w:val="nil"/>
              <w:bottom w:val="nil"/>
              <w:right w:val="nil"/>
            </w:tcBorders>
            <w:vAlign w:val="bottom"/>
          </w:tcPr>
          <w:p w14:paraId="51374483" w14:textId="515618A2"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181C7778" w14:textId="6EFBE4FA" w:rsidR="00DC5BE9" w:rsidRPr="003E2D55" w:rsidRDefault="00DC5BE9" w:rsidP="003E2D55">
            <w:pPr>
              <w:spacing w:before="40" w:after="20"/>
              <w:jc w:val="right"/>
              <w:rPr>
                <w:rFonts w:cs="Arial"/>
                <w:b/>
                <w:sz w:val="18"/>
                <w:szCs w:val="18"/>
              </w:rPr>
            </w:pPr>
            <w:r w:rsidRPr="003E2D55">
              <w:rPr>
                <w:rFonts w:cs="Arial"/>
                <w:b/>
                <w:sz w:val="18"/>
                <w:szCs w:val="18"/>
              </w:rPr>
              <w:t>2,009,590</w:t>
            </w:r>
          </w:p>
        </w:tc>
      </w:tr>
      <w:tr w:rsidR="00DC5BE9" w:rsidRPr="003E2D55" w14:paraId="1994CDD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F189E10" w14:textId="77777777" w:rsidR="00DC5BE9" w:rsidRPr="003E2D55" w:rsidRDefault="00DC5BE9" w:rsidP="003E2D55">
            <w:pPr>
              <w:spacing w:before="40" w:after="20"/>
              <w:rPr>
                <w:rFonts w:cs="Arial"/>
                <w:sz w:val="18"/>
                <w:szCs w:val="18"/>
              </w:rPr>
            </w:pPr>
            <w:r w:rsidRPr="003E2D55">
              <w:rPr>
                <w:rFonts w:cs="Arial"/>
                <w:sz w:val="18"/>
                <w:szCs w:val="18"/>
              </w:rPr>
              <w:t>Moreland C</w:t>
            </w:r>
          </w:p>
        </w:tc>
        <w:tc>
          <w:tcPr>
            <w:tcW w:w="1361" w:type="dxa"/>
            <w:tcBorders>
              <w:top w:val="nil"/>
              <w:left w:val="single" w:sz="18" w:space="0" w:color="5F497A" w:themeColor="accent4" w:themeShade="BF"/>
              <w:bottom w:val="nil"/>
              <w:right w:val="nil"/>
            </w:tcBorders>
            <w:vAlign w:val="bottom"/>
          </w:tcPr>
          <w:p w14:paraId="2E74AE1F" w14:textId="508C3AC3"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4D489ABA" w14:textId="2EB73311" w:rsidR="00DC5BE9" w:rsidRPr="003E2D55" w:rsidRDefault="00DC5BE9" w:rsidP="003E2D55">
            <w:pPr>
              <w:spacing w:before="40" w:after="20"/>
              <w:jc w:val="right"/>
              <w:rPr>
                <w:rFonts w:cs="Arial"/>
                <w:sz w:val="18"/>
                <w:szCs w:val="18"/>
              </w:rPr>
            </w:pPr>
            <w:r w:rsidRPr="003E2D55">
              <w:rPr>
                <w:rFonts w:cs="Arial"/>
                <w:sz w:val="18"/>
                <w:szCs w:val="18"/>
              </w:rPr>
              <w:t>107,280</w:t>
            </w:r>
          </w:p>
        </w:tc>
        <w:tc>
          <w:tcPr>
            <w:tcW w:w="1701" w:type="dxa"/>
            <w:tcBorders>
              <w:top w:val="nil"/>
              <w:left w:val="nil"/>
              <w:bottom w:val="nil"/>
              <w:right w:val="nil"/>
            </w:tcBorders>
            <w:shd w:val="clear" w:color="auto" w:fill="auto"/>
            <w:vAlign w:val="bottom"/>
          </w:tcPr>
          <w:p w14:paraId="7564A5A3" w14:textId="452EE00D" w:rsidR="00DC5BE9" w:rsidRPr="003E2D55" w:rsidRDefault="00DC5BE9" w:rsidP="003E2D55">
            <w:pPr>
              <w:spacing w:before="40" w:after="20"/>
              <w:jc w:val="right"/>
              <w:rPr>
                <w:rFonts w:cs="Arial"/>
                <w:sz w:val="18"/>
                <w:szCs w:val="18"/>
              </w:rPr>
            </w:pPr>
            <w:r w:rsidRPr="003E2D55">
              <w:rPr>
                <w:rFonts w:cs="Arial"/>
                <w:sz w:val="18"/>
                <w:szCs w:val="18"/>
              </w:rPr>
              <w:t>5,676,523</w:t>
            </w:r>
          </w:p>
        </w:tc>
        <w:tc>
          <w:tcPr>
            <w:tcW w:w="284" w:type="dxa"/>
            <w:tcBorders>
              <w:top w:val="nil"/>
              <w:left w:val="nil"/>
              <w:bottom w:val="nil"/>
              <w:right w:val="nil"/>
            </w:tcBorders>
            <w:vAlign w:val="bottom"/>
          </w:tcPr>
          <w:p w14:paraId="15208802" w14:textId="32563A80"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313356C7" w14:textId="310F09EE" w:rsidR="00DC5BE9" w:rsidRPr="003E2D55" w:rsidRDefault="00DC5BE9" w:rsidP="003E2D55">
            <w:pPr>
              <w:spacing w:before="40" w:after="20"/>
              <w:jc w:val="right"/>
              <w:rPr>
                <w:rFonts w:cs="Arial"/>
                <w:b/>
                <w:sz w:val="18"/>
                <w:szCs w:val="18"/>
              </w:rPr>
            </w:pPr>
            <w:r w:rsidRPr="003E2D55">
              <w:rPr>
                <w:rFonts w:cs="Arial"/>
                <w:b/>
                <w:sz w:val="18"/>
                <w:szCs w:val="18"/>
              </w:rPr>
              <w:t>957,511</w:t>
            </w:r>
          </w:p>
        </w:tc>
      </w:tr>
      <w:tr w:rsidR="00DC5BE9" w:rsidRPr="003E2D55" w14:paraId="2BEC1B63"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CA85CE8" w14:textId="77777777" w:rsidR="00DC5BE9" w:rsidRPr="003E2D55" w:rsidRDefault="00DC5BE9" w:rsidP="003E2D55">
            <w:pPr>
              <w:spacing w:before="40" w:after="20"/>
              <w:rPr>
                <w:rFonts w:cs="Arial"/>
                <w:sz w:val="18"/>
                <w:szCs w:val="18"/>
              </w:rPr>
            </w:pPr>
            <w:r w:rsidRPr="003E2D55">
              <w:rPr>
                <w:rFonts w:cs="Arial"/>
                <w:sz w:val="18"/>
                <w:szCs w:val="18"/>
              </w:rPr>
              <w:t>Mornington Peninsula S</w:t>
            </w:r>
          </w:p>
        </w:tc>
        <w:tc>
          <w:tcPr>
            <w:tcW w:w="1361" w:type="dxa"/>
            <w:tcBorders>
              <w:top w:val="nil"/>
              <w:left w:val="single" w:sz="18" w:space="0" w:color="5F497A" w:themeColor="accent4" w:themeShade="BF"/>
              <w:bottom w:val="nil"/>
              <w:right w:val="nil"/>
            </w:tcBorders>
            <w:vAlign w:val="bottom"/>
          </w:tcPr>
          <w:p w14:paraId="620120E6" w14:textId="28FCC99A"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6057F1B1" w14:textId="04CEE022" w:rsidR="00DC5BE9" w:rsidRPr="003E2D55" w:rsidRDefault="00DC5BE9" w:rsidP="003E2D55">
            <w:pPr>
              <w:spacing w:before="40" w:after="20"/>
              <w:jc w:val="right"/>
              <w:rPr>
                <w:rFonts w:cs="Arial"/>
                <w:sz w:val="18"/>
                <w:szCs w:val="18"/>
              </w:rPr>
            </w:pPr>
            <w:r w:rsidRPr="003E2D55">
              <w:rPr>
                <w:rFonts w:cs="Arial"/>
                <w:sz w:val="18"/>
                <w:szCs w:val="18"/>
              </w:rPr>
              <w:t>70,800</w:t>
            </w:r>
          </w:p>
        </w:tc>
        <w:tc>
          <w:tcPr>
            <w:tcW w:w="1701" w:type="dxa"/>
            <w:tcBorders>
              <w:top w:val="nil"/>
              <w:left w:val="nil"/>
              <w:bottom w:val="nil"/>
              <w:right w:val="nil"/>
            </w:tcBorders>
            <w:shd w:val="clear" w:color="auto" w:fill="auto"/>
            <w:vAlign w:val="bottom"/>
          </w:tcPr>
          <w:p w14:paraId="28E000D9" w14:textId="0F791AE6" w:rsidR="00DC5BE9" w:rsidRPr="003E2D55" w:rsidRDefault="00DC5BE9" w:rsidP="003E2D55">
            <w:pPr>
              <w:spacing w:before="40" w:after="20"/>
              <w:jc w:val="right"/>
              <w:rPr>
                <w:rFonts w:cs="Arial"/>
                <w:sz w:val="18"/>
                <w:szCs w:val="18"/>
              </w:rPr>
            </w:pPr>
            <w:r w:rsidRPr="003E2D55">
              <w:rPr>
                <w:rFonts w:cs="Arial"/>
                <w:sz w:val="18"/>
                <w:szCs w:val="18"/>
              </w:rPr>
              <w:t>15,044,318</w:t>
            </w:r>
          </w:p>
        </w:tc>
        <w:tc>
          <w:tcPr>
            <w:tcW w:w="284" w:type="dxa"/>
            <w:tcBorders>
              <w:top w:val="nil"/>
              <w:left w:val="nil"/>
              <w:bottom w:val="nil"/>
              <w:right w:val="nil"/>
            </w:tcBorders>
            <w:vAlign w:val="bottom"/>
          </w:tcPr>
          <w:p w14:paraId="70643D30" w14:textId="340992EB"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348D4DBD" w14:textId="6E55FF09" w:rsidR="00DC5BE9" w:rsidRPr="003E2D55" w:rsidRDefault="00DC5BE9" w:rsidP="003E2D55">
            <w:pPr>
              <w:spacing w:before="40" w:after="20"/>
              <w:jc w:val="right"/>
              <w:rPr>
                <w:rFonts w:cs="Arial"/>
                <w:b/>
                <w:sz w:val="18"/>
                <w:szCs w:val="18"/>
              </w:rPr>
            </w:pPr>
            <w:r w:rsidRPr="003E2D55">
              <w:rPr>
                <w:rFonts w:cs="Arial"/>
                <w:b/>
                <w:sz w:val="18"/>
                <w:szCs w:val="18"/>
              </w:rPr>
              <w:t>2,537,664</w:t>
            </w:r>
          </w:p>
        </w:tc>
      </w:tr>
      <w:tr w:rsidR="00DC5BE9" w:rsidRPr="003E2D55" w14:paraId="562FC6C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BE362A2" w14:textId="77777777" w:rsidR="00DC5BE9" w:rsidRPr="003E2D55" w:rsidRDefault="00DC5BE9" w:rsidP="003E2D55">
            <w:pPr>
              <w:spacing w:before="40" w:after="20"/>
              <w:rPr>
                <w:rFonts w:cs="Arial"/>
                <w:sz w:val="18"/>
                <w:szCs w:val="18"/>
              </w:rPr>
            </w:pPr>
            <w:r w:rsidRPr="003E2D55">
              <w:rPr>
                <w:rFonts w:cs="Arial"/>
                <w:sz w:val="18"/>
                <w:szCs w:val="18"/>
              </w:rPr>
              <w:t>Mount Alexander S</w:t>
            </w:r>
          </w:p>
        </w:tc>
        <w:tc>
          <w:tcPr>
            <w:tcW w:w="1361" w:type="dxa"/>
            <w:tcBorders>
              <w:top w:val="nil"/>
              <w:left w:val="single" w:sz="18" w:space="0" w:color="5F497A" w:themeColor="accent4" w:themeShade="BF"/>
              <w:bottom w:val="nil"/>
              <w:right w:val="nil"/>
            </w:tcBorders>
            <w:vAlign w:val="bottom"/>
          </w:tcPr>
          <w:p w14:paraId="7D4BA722" w14:textId="7425E8EA" w:rsidR="00DC5BE9" w:rsidRPr="003E2D55" w:rsidRDefault="00DC5BE9" w:rsidP="003E2D55">
            <w:pPr>
              <w:spacing w:before="40" w:after="20"/>
              <w:jc w:val="right"/>
              <w:rPr>
                <w:rFonts w:cs="Arial"/>
                <w:sz w:val="18"/>
                <w:szCs w:val="18"/>
              </w:rPr>
            </w:pPr>
            <w:r w:rsidRPr="003E2D55">
              <w:rPr>
                <w:rFonts w:cs="Arial"/>
                <w:sz w:val="18"/>
                <w:szCs w:val="18"/>
              </w:rPr>
              <w:t>281,400</w:t>
            </w:r>
          </w:p>
        </w:tc>
        <w:tc>
          <w:tcPr>
            <w:tcW w:w="1361" w:type="dxa"/>
            <w:tcBorders>
              <w:top w:val="nil"/>
              <w:left w:val="nil"/>
              <w:bottom w:val="nil"/>
              <w:right w:val="nil"/>
            </w:tcBorders>
            <w:vAlign w:val="bottom"/>
          </w:tcPr>
          <w:p w14:paraId="5A57ABBA" w14:textId="6D654188" w:rsidR="00DC5BE9" w:rsidRPr="003E2D55" w:rsidRDefault="00DC5BE9" w:rsidP="003E2D55">
            <w:pPr>
              <w:spacing w:before="40" w:after="20"/>
              <w:jc w:val="right"/>
              <w:rPr>
                <w:rFonts w:cs="Arial"/>
                <w:sz w:val="18"/>
                <w:szCs w:val="18"/>
              </w:rPr>
            </w:pPr>
            <w:r w:rsidRPr="003E2D55">
              <w:rPr>
                <w:rFonts w:cs="Arial"/>
                <w:sz w:val="18"/>
                <w:szCs w:val="18"/>
              </w:rPr>
              <w:t>1,271,400</w:t>
            </w:r>
          </w:p>
        </w:tc>
        <w:tc>
          <w:tcPr>
            <w:tcW w:w="1701" w:type="dxa"/>
            <w:tcBorders>
              <w:top w:val="nil"/>
              <w:left w:val="nil"/>
              <w:bottom w:val="nil"/>
              <w:right w:val="nil"/>
            </w:tcBorders>
            <w:shd w:val="clear" w:color="auto" w:fill="auto"/>
            <w:vAlign w:val="bottom"/>
          </w:tcPr>
          <w:p w14:paraId="7063D975" w14:textId="608FE73B" w:rsidR="00DC5BE9" w:rsidRPr="003E2D55" w:rsidRDefault="00DC5BE9" w:rsidP="003E2D55">
            <w:pPr>
              <w:spacing w:before="40" w:after="20"/>
              <w:jc w:val="right"/>
              <w:rPr>
                <w:rFonts w:cs="Arial"/>
                <w:sz w:val="18"/>
                <w:szCs w:val="18"/>
              </w:rPr>
            </w:pPr>
            <w:r w:rsidRPr="003E2D55">
              <w:rPr>
                <w:rFonts w:cs="Arial"/>
                <w:sz w:val="18"/>
                <w:szCs w:val="18"/>
              </w:rPr>
              <w:t>10,414,607</w:t>
            </w:r>
          </w:p>
        </w:tc>
        <w:tc>
          <w:tcPr>
            <w:tcW w:w="284" w:type="dxa"/>
            <w:tcBorders>
              <w:top w:val="nil"/>
              <w:left w:val="nil"/>
              <w:bottom w:val="nil"/>
              <w:right w:val="nil"/>
            </w:tcBorders>
            <w:vAlign w:val="bottom"/>
          </w:tcPr>
          <w:p w14:paraId="32B7C053" w14:textId="0BA6A0C6"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419A4402" w14:textId="12727358" w:rsidR="00DC5BE9" w:rsidRPr="003E2D55" w:rsidRDefault="00DC5BE9" w:rsidP="003E2D55">
            <w:pPr>
              <w:spacing w:before="40" w:after="20"/>
              <w:jc w:val="right"/>
              <w:rPr>
                <w:rFonts w:cs="Arial"/>
                <w:b/>
                <w:sz w:val="18"/>
                <w:szCs w:val="18"/>
              </w:rPr>
            </w:pPr>
            <w:r w:rsidRPr="003E2D55">
              <w:rPr>
                <w:rFonts w:cs="Arial"/>
                <w:b/>
                <w:sz w:val="18"/>
                <w:szCs w:val="18"/>
              </w:rPr>
              <w:t>1,756,728</w:t>
            </w:r>
          </w:p>
        </w:tc>
      </w:tr>
      <w:tr w:rsidR="00DC5BE9" w:rsidRPr="003E2D55" w14:paraId="54B0E29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1E9E07E" w14:textId="77777777" w:rsidR="00DC5BE9" w:rsidRPr="003E2D55" w:rsidRDefault="00DC5BE9" w:rsidP="003E2D55">
            <w:pPr>
              <w:spacing w:before="40" w:after="20"/>
              <w:rPr>
                <w:rFonts w:cs="Arial"/>
                <w:sz w:val="18"/>
                <w:szCs w:val="18"/>
              </w:rPr>
            </w:pPr>
            <w:r w:rsidRPr="003E2D55">
              <w:rPr>
                <w:rFonts w:cs="Arial"/>
                <w:sz w:val="18"/>
                <w:szCs w:val="18"/>
              </w:rPr>
              <w:t>Moyne S</w:t>
            </w:r>
          </w:p>
        </w:tc>
        <w:tc>
          <w:tcPr>
            <w:tcW w:w="1361" w:type="dxa"/>
            <w:tcBorders>
              <w:top w:val="nil"/>
              <w:left w:val="single" w:sz="18" w:space="0" w:color="5F497A" w:themeColor="accent4" w:themeShade="BF"/>
              <w:bottom w:val="nil"/>
              <w:right w:val="nil"/>
            </w:tcBorders>
            <w:vAlign w:val="bottom"/>
          </w:tcPr>
          <w:p w14:paraId="04560297" w14:textId="4BBFBF46" w:rsidR="00DC5BE9" w:rsidRPr="003E2D55" w:rsidRDefault="00DC5BE9" w:rsidP="003E2D55">
            <w:pPr>
              <w:spacing w:before="40" w:after="20"/>
              <w:jc w:val="right"/>
              <w:rPr>
                <w:rFonts w:cs="Arial"/>
                <w:sz w:val="18"/>
                <w:szCs w:val="18"/>
              </w:rPr>
            </w:pPr>
            <w:r w:rsidRPr="003E2D55">
              <w:rPr>
                <w:rFonts w:cs="Arial"/>
                <w:sz w:val="18"/>
                <w:szCs w:val="18"/>
              </w:rPr>
              <w:t>137,800</w:t>
            </w:r>
          </w:p>
        </w:tc>
        <w:tc>
          <w:tcPr>
            <w:tcW w:w="1361" w:type="dxa"/>
            <w:tcBorders>
              <w:top w:val="nil"/>
              <w:left w:val="nil"/>
              <w:bottom w:val="nil"/>
              <w:right w:val="nil"/>
            </w:tcBorders>
            <w:vAlign w:val="bottom"/>
          </w:tcPr>
          <w:p w14:paraId="72AE12E7" w14:textId="1619C523" w:rsidR="00DC5BE9" w:rsidRPr="003E2D55" w:rsidRDefault="00DC5BE9" w:rsidP="003E2D55">
            <w:pPr>
              <w:spacing w:before="40" w:after="20"/>
              <w:jc w:val="right"/>
              <w:rPr>
                <w:rFonts w:cs="Arial"/>
                <w:sz w:val="18"/>
                <w:szCs w:val="18"/>
              </w:rPr>
            </w:pPr>
            <w:r w:rsidRPr="003E2D55">
              <w:rPr>
                <w:rFonts w:cs="Arial"/>
                <w:sz w:val="18"/>
                <w:szCs w:val="18"/>
              </w:rPr>
              <w:t>1,468,680</w:t>
            </w:r>
          </w:p>
        </w:tc>
        <w:tc>
          <w:tcPr>
            <w:tcW w:w="1701" w:type="dxa"/>
            <w:tcBorders>
              <w:top w:val="nil"/>
              <w:left w:val="nil"/>
              <w:bottom w:val="nil"/>
              <w:right w:val="nil"/>
            </w:tcBorders>
            <w:shd w:val="clear" w:color="auto" w:fill="auto"/>
            <w:vAlign w:val="bottom"/>
          </w:tcPr>
          <w:p w14:paraId="1B1813A8" w14:textId="75AC87FC" w:rsidR="00DC5BE9" w:rsidRPr="003E2D55" w:rsidRDefault="00DC5BE9" w:rsidP="003E2D55">
            <w:pPr>
              <w:spacing w:before="40" w:after="20"/>
              <w:jc w:val="right"/>
              <w:rPr>
                <w:rFonts w:cs="Arial"/>
                <w:sz w:val="18"/>
                <w:szCs w:val="18"/>
              </w:rPr>
            </w:pPr>
            <w:r w:rsidRPr="003E2D55">
              <w:rPr>
                <w:rFonts w:cs="Arial"/>
                <w:sz w:val="18"/>
                <w:szCs w:val="18"/>
              </w:rPr>
              <w:t>25,053,539</w:t>
            </w:r>
          </w:p>
        </w:tc>
        <w:tc>
          <w:tcPr>
            <w:tcW w:w="284" w:type="dxa"/>
            <w:tcBorders>
              <w:top w:val="nil"/>
              <w:left w:val="nil"/>
              <w:bottom w:val="nil"/>
              <w:right w:val="nil"/>
            </w:tcBorders>
            <w:vAlign w:val="bottom"/>
          </w:tcPr>
          <w:p w14:paraId="6DE25697" w14:textId="76E9B831"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05B6E662" w14:textId="7F4C347F" w:rsidR="00DC5BE9" w:rsidRPr="003E2D55" w:rsidRDefault="00DC5BE9" w:rsidP="003E2D55">
            <w:pPr>
              <w:spacing w:before="40" w:after="20"/>
              <w:jc w:val="right"/>
              <w:rPr>
                <w:rFonts w:cs="Arial"/>
                <w:b/>
                <w:sz w:val="18"/>
                <w:szCs w:val="18"/>
              </w:rPr>
            </w:pPr>
            <w:r w:rsidRPr="003E2D55">
              <w:rPr>
                <w:rFonts w:cs="Arial"/>
                <w:b/>
                <w:sz w:val="18"/>
                <w:szCs w:val="18"/>
              </w:rPr>
              <w:t>4,226,011</w:t>
            </w:r>
          </w:p>
        </w:tc>
      </w:tr>
      <w:tr w:rsidR="00DC5BE9" w:rsidRPr="003E2D55" w14:paraId="19B9F565"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0F296E6" w14:textId="77777777" w:rsidR="00DC5BE9" w:rsidRPr="003E2D55" w:rsidRDefault="00DC5BE9" w:rsidP="003E2D55">
            <w:pPr>
              <w:spacing w:before="40" w:after="20"/>
              <w:rPr>
                <w:rFonts w:cs="Arial"/>
                <w:sz w:val="18"/>
                <w:szCs w:val="18"/>
              </w:rPr>
            </w:pPr>
            <w:r w:rsidRPr="003E2D55">
              <w:rPr>
                <w:rFonts w:cs="Arial"/>
                <w:sz w:val="18"/>
                <w:szCs w:val="18"/>
              </w:rPr>
              <w:t>Murrindindi S</w:t>
            </w:r>
          </w:p>
        </w:tc>
        <w:tc>
          <w:tcPr>
            <w:tcW w:w="1361" w:type="dxa"/>
            <w:tcBorders>
              <w:top w:val="nil"/>
              <w:left w:val="single" w:sz="18" w:space="0" w:color="5F497A" w:themeColor="accent4" w:themeShade="BF"/>
              <w:bottom w:val="nil"/>
              <w:right w:val="nil"/>
            </w:tcBorders>
            <w:vAlign w:val="bottom"/>
          </w:tcPr>
          <w:p w14:paraId="1593C4AF" w14:textId="2986E05A" w:rsidR="00DC5BE9" w:rsidRPr="003E2D55" w:rsidRDefault="00DC5BE9" w:rsidP="003E2D55">
            <w:pPr>
              <w:spacing w:before="40" w:after="20"/>
              <w:jc w:val="right"/>
              <w:rPr>
                <w:rFonts w:cs="Arial"/>
                <w:sz w:val="18"/>
                <w:szCs w:val="18"/>
              </w:rPr>
            </w:pPr>
            <w:r w:rsidRPr="003E2D55">
              <w:rPr>
                <w:rFonts w:cs="Arial"/>
                <w:sz w:val="18"/>
                <w:szCs w:val="18"/>
              </w:rPr>
              <w:t>314,200</w:t>
            </w:r>
          </w:p>
        </w:tc>
        <w:tc>
          <w:tcPr>
            <w:tcW w:w="1361" w:type="dxa"/>
            <w:tcBorders>
              <w:top w:val="nil"/>
              <w:left w:val="nil"/>
              <w:bottom w:val="nil"/>
              <w:right w:val="nil"/>
            </w:tcBorders>
            <w:vAlign w:val="bottom"/>
          </w:tcPr>
          <w:p w14:paraId="60ED19DB" w14:textId="3659AC0C" w:rsidR="00DC5BE9" w:rsidRPr="003E2D55" w:rsidRDefault="00DC5BE9" w:rsidP="003E2D55">
            <w:pPr>
              <w:spacing w:before="40" w:after="20"/>
              <w:jc w:val="right"/>
              <w:rPr>
                <w:rFonts w:cs="Arial"/>
                <w:sz w:val="18"/>
                <w:szCs w:val="18"/>
              </w:rPr>
            </w:pPr>
            <w:r w:rsidRPr="003E2D55">
              <w:rPr>
                <w:rFonts w:cs="Arial"/>
                <w:sz w:val="18"/>
                <w:szCs w:val="18"/>
              </w:rPr>
              <w:t>1,334,760</w:t>
            </w:r>
          </w:p>
        </w:tc>
        <w:tc>
          <w:tcPr>
            <w:tcW w:w="1701" w:type="dxa"/>
            <w:tcBorders>
              <w:top w:val="nil"/>
              <w:left w:val="nil"/>
              <w:bottom w:val="nil"/>
              <w:right w:val="nil"/>
            </w:tcBorders>
            <w:shd w:val="clear" w:color="auto" w:fill="auto"/>
            <w:vAlign w:val="bottom"/>
          </w:tcPr>
          <w:p w14:paraId="0305CDD0" w14:textId="292A098C" w:rsidR="00DC5BE9" w:rsidRPr="003E2D55" w:rsidRDefault="00DC5BE9" w:rsidP="003E2D55">
            <w:pPr>
              <w:spacing w:before="40" w:after="20"/>
              <w:jc w:val="right"/>
              <w:rPr>
                <w:rFonts w:cs="Arial"/>
                <w:sz w:val="18"/>
                <w:szCs w:val="18"/>
              </w:rPr>
            </w:pPr>
            <w:r w:rsidRPr="003E2D55">
              <w:rPr>
                <w:rFonts w:cs="Arial"/>
                <w:sz w:val="18"/>
                <w:szCs w:val="18"/>
              </w:rPr>
              <w:t>10,171,699</w:t>
            </w:r>
          </w:p>
        </w:tc>
        <w:tc>
          <w:tcPr>
            <w:tcW w:w="284" w:type="dxa"/>
            <w:tcBorders>
              <w:top w:val="nil"/>
              <w:left w:val="nil"/>
              <w:bottom w:val="nil"/>
              <w:right w:val="nil"/>
            </w:tcBorders>
            <w:vAlign w:val="bottom"/>
          </w:tcPr>
          <w:p w14:paraId="4B05F507" w14:textId="4CBD1ABF"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10B56395" w14:textId="0DB7F7E4" w:rsidR="00DC5BE9" w:rsidRPr="003E2D55" w:rsidRDefault="00DC5BE9" w:rsidP="003E2D55">
            <w:pPr>
              <w:spacing w:before="40" w:after="20"/>
              <w:jc w:val="right"/>
              <w:rPr>
                <w:rFonts w:cs="Arial"/>
                <w:b/>
                <w:sz w:val="18"/>
                <w:szCs w:val="18"/>
              </w:rPr>
            </w:pPr>
            <w:r w:rsidRPr="003E2D55">
              <w:rPr>
                <w:rFonts w:cs="Arial"/>
                <w:b/>
                <w:sz w:val="18"/>
                <w:szCs w:val="18"/>
              </w:rPr>
              <w:t>1,715,754</w:t>
            </w:r>
          </w:p>
        </w:tc>
      </w:tr>
      <w:tr w:rsidR="00DC5BE9" w:rsidRPr="003E2D55" w14:paraId="480E9E8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E07D8E5" w14:textId="77777777" w:rsidR="00DC5BE9" w:rsidRPr="003E2D55" w:rsidRDefault="00DC5BE9" w:rsidP="003E2D55">
            <w:pPr>
              <w:spacing w:before="40" w:after="20"/>
              <w:rPr>
                <w:rFonts w:cs="Arial"/>
                <w:sz w:val="18"/>
                <w:szCs w:val="18"/>
              </w:rPr>
            </w:pPr>
            <w:r w:rsidRPr="003E2D55">
              <w:rPr>
                <w:rFonts w:cs="Arial"/>
                <w:sz w:val="18"/>
                <w:szCs w:val="18"/>
              </w:rPr>
              <w:t>Nillumbik S</w:t>
            </w:r>
          </w:p>
        </w:tc>
        <w:tc>
          <w:tcPr>
            <w:tcW w:w="1361" w:type="dxa"/>
            <w:tcBorders>
              <w:top w:val="nil"/>
              <w:left w:val="single" w:sz="18" w:space="0" w:color="5F497A" w:themeColor="accent4" w:themeShade="BF"/>
              <w:bottom w:val="nil"/>
              <w:right w:val="nil"/>
            </w:tcBorders>
            <w:vAlign w:val="bottom"/>
          </w:tcPr>
          <w:p w14:paraId="5E187B51" w14:textId="65ADABE2" w:rsidR="00DC5BE9" w:rsidRPr="003E2D55" w:rsidRDefault="00DC5BE9" w:rsidP="003E2D55">
            <w:pPr>
              <w:spacing w:before="40" w:after="20"/>
              <w:jc w:val="right"/>
              <w:rPr>
                <w:rFonts w:cs="Arial"/>
                <w:sz w:val="18"/>
                <w:szCs w:val="18"/>
              </w:rPr>
            </w:pPr>
            <w:r w:rsidRPr="003E2D55">
              <w:rPr>
                <w:rFonts w:cs="Arial"/>
                <w:sz w:val="18"/>
                <w:szCs w:val="18"/>
              </w:rPr>
              <w:t>93,800</w:t>
            </w:r>
          </w:p>
        </w:tc>
        <w:tc>
          <w:tcPr>
            <w:tcW w:w="1361" w:type="dxa"/>
            <w:tcBorders>
              <w:top w:val="nil"/>
              <w:left w:val="nil"/>
              <w:bottom w:val="nil"/>
              <w:right w:val="nil"/>
            </w:tcBorders>
            <w:vAlign w:val="bottom"/>
          </w:tcPr>
          <w:p w14:paraId="6C3FC01E" w14:textId="52A7F6EF" w:rsidR="00DC5BE9" w:rsidRPr="003E2D55" w:rsidRDefault="00DC5BE9" w:rsidP="003E2D55">
            <w:pPr>
              <w:spacing w:before="40" w:after="20"/>
              <w:jc w:val="right"/>
              <w:rPr>
                <w:rFonts w:cs="Arial"/>
                <w:sz w:val="18"/>
                <w:szCs w:val="18"/>
              </w:rPr>
            </w:pPr>
            <w:r w:rsidRPr="003E2D55">
              <w:rPr>
                <w:rFonts w:cs="Arial"/>
                <w:sz w:val="18"/>
                <w:szCs w:val="18"/>
              </w:rPr>
              <w:t>465,240</w:t>
            </w:r>
          </w:p>
        </w:tc>
        <w:tc>
          <w:tcPr>
            <w:tcW w:w="1701" w:type="dxa"/>
            <w:tcBorders>
              <w:top w:val="nil"/>
              <w:left w:val="nil"/>
              <w:bottom w:val="nil"/>
              <w:right w:val="nil"/>
            </w:tcBorders>
            <w:shd w:val="clear" w:color="auto" w:fill="auto"/>
            <w:vAlign w:val="bottom"/>
          </w:tcPr>
          <w:p w14:paraId="64BA3C1A" w14:textId="10B91601" w:rsidR="00DC5BE9" w:rsidRPr="003E2D55" w:rsidRDefault="00DC5BE9" w:rsidP="003E2D55">
            <w:pPr>
              <w:spacing w:before="40" w:after="20"/>
              <w:jc w:val="right"/>
              <w:rPr>
                <w:rFonts w:cs="Arial"/>
                <w:sz w:val="18"/>
                <w:szCs w:val="18"/>
              </w:rPr>
            </w:pPr>
            <w:r w:rsidRPr="003E2D55">
              <w:rPr>
                <w:rFonts w:cs="Arial"/>
                <w:sz w:val="18"/>
                <w:szCs w:val="18"/>
              </w:rPr>
              <w:t>6,930,099</w:t>
            </w:r>
          </w:p>
        </w:tc>
        <w:tc>
          <w:tcPr>
            <w:tcW w:w="284" w:type="dxa"/>
            <w:tcBorders>
              <w:top w:val="nil"/>
              <w:left w:val="nil"/>
              <w:bottom w:val="nil"/>
              <w:right w:val="nil"/>
            </w:tcBorders>
            <w:vAlign w:val="bottom"/>
          </w:tcPr>
          <w:p w14:paraId="165C1D7A" w14:textId="278DDC69"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57A09F5D" w14:textId="084D7CE4" w:rsidR="00DC5BE9" w:rsidRPr="003E2D55" w:rsidRDefault="00DC5BE9" w:rsidP="003E2D55">
            <w:pPr>
              <w:spacing w:before="40" w:after="20"/>
              <w:jc w:val="right"/>
              <w:rPr>
                <w:rFonts w:cs="Arial"/>
                <w:b/>
                <w:sz w:val="18"/>
                <w:szCs w:val="18"/>
              </w:rPr>
            </w:pPr>
            <w:r w:rsidRPr="003E2D55">
              <w:rPr>
                <w:rFonts w:cs="Arial"/>
                <w:b/>
                <w:sz w:val="18"/>
                <w:szCs w:val="18"/>
              </w:rPr>
              <w:t>1,168,964</w:t>
            </w:r>
          </w:p>
        </w:tc>
      </w:tr>
      <w:tr w:rsidR="00DC5BE9" w:rsidRPr="003E2D55" w14:paraId="7F0028C8"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3E4A8E3" w14:textId="77777777" w:rsidR="00DC5BE9" w:rsidRPr="003E2D55" w:rsidRDefault="00DC5BE9" w:rsidP="003E2D55">
            <w:pPr>
              <w:spacing w:before="40" w:after="20"/>
              <w:rPr>
                <w:rFonts w:cs="Arial"/>
                <w:sz w:val="18"/>
                <w:szCs w:val="18"/>
              </w:rPr>
            </w:pPr>
            <w:r w:rsidRPr="003E2D55">
              <w:rPr>
                <w:rFonts w:cs="Arial"/>
                <w:sz w:val="18"/>
                <w:szCs w:val="18"/>
              </w:rPr>
              <w:t>Northern Grampians S</w:t>
            </w:r>
          </w:p>
        </w:tc>
        <w:tc>
          <w:tcPr>
            <w:tcW w:w="1361" w:type="dxa"/>
            <w:tcBorders>
              <w:top w:val="nil"/>
              <w:left w:val="single" w:sz="18" w:space="0" w:color="5F497A" w:themeColor="accent4" w:themeShade="BF"/>
              <w:bottom w:val="nil"/>
              <w:right w:val="nil"/>
            </w:tcBorders>
            <w:vAlign w:val="bottom"/>
          </w:tcPr>
          <w:p w14:paraId="262FF25F" w14:textId="1FBCFB04"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1871DB30" w14:textId="2FF6872B" w:rsidR="00DC5BE9" w:rsidRPr="003E2D55" w:rsidRDefault="00DC5BE9" w:rsidP="003E2D55">
            <w:pPr>
              <w:spacing w:before="40" w:after="20"/>
              <w:jc w:val="right"/>
              <w:rPr>
                <w:rFonts w:cs="Arial"/>
                <w:sz w:val="18"/>
                <w:szCs w:val="18"/>
              </w:rPr>
            </w:pPr>
            <w:r w:rsidRPr="003E2D55">
              <w:rPr>
                <w:rFonts w:cs="Arial"/>
                <w:sz w:val="18"/>
                <w:szCs w:val="18"/>
              </w:rPr>
              <w:t>2,111,637</w:t>
            </w:r>
          </w:p>
        </w:tc>
        <w:tc>
          <w:tcPr>
            <w:tcW w:w="1701" w:type="dxa"/>
            <w:tcBorders>
              <w:top w:val="nil"/>
              <w:left w:val="nil"/>
              <w:bottom w:val="nil"/>
              <w:right w:val="nil"/>
            </w:tcBorders>
            <w:shd w:val="clear" w:color="auto" w:fill="auto"/>
            <w:vAlign w:val="bottom"/>
          </w:tcPr>
          <w:p w14:paraId="62F28E83" w14:textId="1FAC57BC" w:rsidR="00DC5BE9" w:rsidRPr="003E2D55" w:rsidRDefault="00DC5BE9" w:rsidP="003E2D55">
            <w:pPr>
              <w:spacing w:before="40" w:after="20"/>
              <w:jc w:val="right"/>
              <w:rPr>
                <w:rFonts w:cs="Arial"/>
                <w:sz w:val="18"/>
                <w:szCs w:val="18"/>
              </w:rPr>
            </w:pPr>
            <w:r w:rsidRPr="003E2D55">
              <w:rPr>
                <w:rFonts w:cs="Arial"/>
                <w:sz w:val="18"/>
                <w:szCs w:val="18"/>
              </w:rPr>
              <w:t>17,471,645</w:t>
            </w:r>
          </w:p>
        </w:tc>
        <w:tc>
          <w:tcPr>
            <w:tcW w:w="284" w:type="dxa"/>
            <w:tcBorders>
              <w:top w:val="nil"/>
              <w:left w:val="nil"/>
              <w:bottom w:val="nil"/>
              <w:right w:val="nil"/>
            </w:tcBorders>
            <w:vAlign w:val="bottom"/>
          </w:tcPr>
          <w:p w14:paraId="42FFA58C" w14:textId="31AE9C57"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0E521BC6" w14:textId="12B095AB" w:rsidR="00DC5BE9" w:rsidRPr="003E2D55" w:rsidRDefault="00DC5BE9" w:rsidP="003E2D55">
            <w:pPr>
              <w:spacing w:before="40" w:after="20"/>
              <w:jc w:val="right"/>
              <w:rPr>
                <w:rFonts w:cs="Arial"/>
                <w:b/>
                <w:sz w:val="18"/>
                <w:szCs w:val="18"/>
              </w:rPr>
            </w:pPr>
            <w:r w:rsidRPr="003E2D55">
              <w:rPr>
                <w:rFonts w:cs="Arial"/>
                <w:b/>
                <w:sz w:val="18"/>
                <w:szCs w:val="18"/>
              </w:rPr>
              <w:t>2,947,103</w:t>
            </w:r>
          </w:p>
        </w:tc>
      </w:tr>
      <w:tr w:rsidR="00DC5BE9" w:rsidRPr="003E2D55" w14:paraId="2C209C3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4298727" w14:textId="77777777" w:rsidR="00DC5BE9" w:rsidRPr="003E2D55" w:rsidRDefault="00DC5BE9" w:rsidP="003E2D55">
            <w:pPr>
              <w:spacing w:before="40" w:after="20"/>
              <w:rPr>
                <w:rFonts w:cs="Arial"/>
                <w:sz w:val="18"/>
                <w:szCs w:val="18"/>
              </w:rPr>
            </w:pPr>
            <w:r w:rsidRPr="003E2D55">
              <w:rPr>
                <w:rFonts w:cs="Arial"/>
                <w:sz w:val="18"/>
                <w:szCs w:val="18"/>
              </w:rPr>
              <w:t>Port Phillip C</w:t>
            </w:r>
          </w:p>
        </w:tc>
        <w:tc>
          <w:tcPr>
            <w:tcW w:w="1361" w:type="dxa"/>
            <w:tcBorders>
              <w:top w:val="nil"/>
              <w:left w:val="single" w:sz="18" w:space="0" w:color="5F497A" w:themeColor="accent4" w:themeShade="BF"/>
              <w:bottom w:val="nil"/>
              <w:right w:val="nil"/>
            </w:tcBorders>
            <w:vAlign w:val="bottom"/>
          </w:tcPr>
          <w:p w14:paraId="0832BECF" w14:textId="1B6A6F5B" w:rsidR="00DC5BE9" w:rsidRPr="003E2D55" w:rsidRDefault="00DC5BE9" w:rsidP="003E2D55">
            <w:pPr>
              <w:spacing w:before="40" w:after="20"/>
              <w:jc w:val="right"/>
              <w:rPr>
                <w:rFonts w:cs="Arial"/>
                <w:sz w:val="18"/>
                <w:szCs w:val="18"/>
              </w:rPr>
            </w:pPr>
            <w:r w:rsidRPr="003E2D55">
              <w:rPr>
                <w:rFonts w:cs="Arial"/>
                <w:sz w:val="18"/>
                <w:szCs w:val="18"/>
              </w:rPr>
              <w:t>65,600</w:t>
            </w:r>
          </w:p>
        </w:tc>
        <w:tc>
          <w:tcPr>
            <w:tcW w:w="1361" w:type="dxa"/>
            <w:tcBorders>
              <w:top w:val="nil"/>
              <w:left w:val="nil"/>
              <w:bottom w:val="nil"/>
              <w:right w:val="nil"/>
            </w:tcBorders>
            <w:vAlign w:val="bottom"/>
          </w:tcPr>
          <w:p w14:paraId="1DCEC44C" w14:textId="5D3EAC4E" w:rsidR="00DC5BE9" w:rsidRPr="003E2D55" w:rsidRDefault="00DC5BE9" w:rsidP="003E2D55">
            <w:pPr>
              <w:spacing w:before="40" w:after="20"/>
              <w:jc w:val="right"/>
              <w:rPr>
                <w:rFonts w:cs="Arial"/>
                <w:sz w:val="18"/>
                <w:szCs w:val="18"/>
              </w:rPr>
            </w:pPr>
            <w:r w:rsidRPr="003E2D55">
              <w:rPr>
                <w:rFonts w:cs="Arial"/>
                <w:sz w:val="18"/>
                <w:szCs w:val="18"/>
              </w:rPr>
              <w:t>108,600</w:t>
            </w:r>
          </w:p>
        </w:tc>
        <w:tc>
          <w:tcPr>
            <w:tcW w:w="1701" w:type="dxa"/>
            <w:tcBorders>
              <w:top w:val="nil"/>
              <w:left w:val="nil"/>
              <w:bottom w:val="nil"/>
              <w:right w:val="nil"/>
            </w:tcBorders>
            <w:shd w:val="clear" w:color="auto" w:fill="auto"/>
            <w:vAlign w:val="bottom"/>
          </w:tcPr>
          <w:p w14:paraId="204D5AD3" w14:textId="486519A8" w:rsidR="00DC5BE9" w:rsidRPr="003E2D55" w:rsidRDefault="00DC5BE9" w:rsidP="003E2D55">
            <w:pPr>
              <w:spacing w:before="40" w:after="20"/>
              <w:jc w:val="right"/>
              <w:rPr>
                <w:rFonts w:cs="Arial"/>
                <w:sz w:val="18"/>
                <w:szCs w:val="18"/>
              </w:rPr>
            </w:pPr>
            <w:r w:rsidRPr="003E2D55">
              <w:rPr>
                <w:rFonts w:cs="Arial"/>
                <w:sz w:val="18"/>
                <w:szCs w:val="18"/>
              </w:rPr>
              <w:t>2,596,122</w:t>
            </w:r>
          </w:p>
        </w:tc>
        <w:tc>
          <w:tcPr>
            <w:tcW w:w="284" w:type="dxa"/>
            <w:tcBorders>
              <w:top w:val="nil"/>
              <w:left w:val="nil"/>
              <w:bottom w:val="nil"/>
              <w:right w:val="nil"/>
            </w:tcBorders>
            <w:vAlign w:val="bottom"/>
          </w:tcPr>
          <w:p w14:paraId="6D8A602C" w14:textId="69961C64"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52A20181" w14:textId="3ECC2AC7" w:rsidR="00DC5BE9" w:rsidRPr="003E2D55" w:rsidRDefault="00DC5BE9" w:rsidP="003E2D55">
            <w:pPr>
              <w:spacing w:before="40" w:after="20"/>
              <w:jc w:val="right"/>
              <w:rPr>
                <w:rFonts w:cs="Arial"/>
                <w:b/>
                <w:sz w:val="18"/>
                <w:szCs w:val="18"/>
              </w:rPr>
            </w:pPr>
            <w:r w:rsidRPr="003E2D55">
              <w:rPr>
                <w:rFonts w:cs="Arial"/>
                <w:b/>
                <w:sz w:val="18"/>
                <w:szCs w:val="18"/>
              </w:rPr>
              <w:t>437,912</w:t>
            </w:r>
          </w:p>
        </w:tc>
      </w:tr>
      <w:tr w:rsidR="00DC5BE9" w:rsidRPr="003E2D55" w14:paraId="3A285F0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A14AD9C" w14:textId="77777777" w:rsidR="00DC5BE9" w:rsidRPr="003E2D55" w:rsidRDefault="00DC5BE9" w:rsidP="003E2D55">
            <w:pPr>
              <w:spacing w:before="40" w:after="20"/>
              <w:rPr>
                <w:rFonts w:cs="Arial"/>
                <w:sz w:val="18"/>
                <w:szCs w:val="18"/>
              </w:rPr>
            </w:pPr>
            <w:r w:rsidRPr="003E2D55">
              <w:rPr>
                <w:rFonts w:cs="Arial"/>
                <w:sz w:val="18"/>
                <w:szCs w:val="18"/>
              </w:rPr>
              <w:t>Pyrenees S</w:t>
            </w:r>
          </w:p>
        </w:tc>
        <w:tc>
          <w:tcPr>
            <w:tcW w:w="1361" w:type="dxa"/>
            <w:tcBorders>
              <w:top w:val="nil"/>
              <w:left w:val="single" w:sz="18" w:space="0" w:color="5F497A" w:themeColor="accent4" w:themeShade="BF"/>
              <w:bottom w:val="nil"/>
              <w:right w:val="nil"/>
            </w:tcBorders>
            <w:vAlign w:val="bottom"/>
          </w:tcPr>
          <w:p w14:paraId="06552127" w14:textId="3991F733"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0AE582CE" w14:textId="2FC53060" w:rsidR="00DC5BE9" w:rsidRPr="003E2D55" w:rsidRDefault="00DC5BE9" w:rsidP="003E2D55">
            <w:pPr>
              <w:spacing w:before="40" w:after="20"/>
              <w:jc w:val="right"/>
              <w:rPr>
                <w:rFonts w:cs="Arial"/>
                <w:sz w:val="18"/>
                <w:szCs w:val="18"/>
              </w:rPr>
            </w:pPr>
            <w:r w:rsidRPr="003E2D55">
              <w:rPr>
                <w:rFonts w:cs="Arial"/>
                <w:sz w:val="18"/>
                <w:szCs w:val="18"/>
              </w:rPr>
              <w:t>1,338,720</w:t>
            </w:r>
          </w:p>
        </w:tc>
        <w:tc>
          <w:tcPr>
            <w:tcW w:w="1701" w:type="dxa"/>
            <w:tcBorders>
              <w:top w:val="nil"/>
              <w:left w:val="nil"/>
              <w:bottom w:val="nil"/>
              <w:right w:val="nil"/>
            </w:tcBorders>
            <w:shd w:val="clear" w:color="auto" w:fill="auto"/>
            <w:vAlign w:val="bottom"/>
          </w:tcPr>
          <w:p w14:paraId="21D7BDB4" w14:textId="3ADDAC57" w:rsidR="00DC5BE9" w:rsidRPr="003E2D55" w:rsidRDefault="00DC5BE9" w:rsidP="003E2D55">
            <w:pPr>
              <w:spacing w:before="40" w:after="20"/>
              <w:jc w:val="right"/>
              <w:rPr>
                <w:rFonts w:cs="Arial"/>
                <w:sz w:val="18"/>
                <w:szCs w:val="18"/>
              </w:rPr>
            </w:pPr>
            <w:r w:rsidRPr="003E2D55">
              <w:rPr>
                <w:rFonts w:cs="Arial"/>
                <w:sz w:val="18"/>
                <w:szCs w:val="18"/>
              </w:rPr>
              <w:t>13,007,379</w:t>
            </w:r>
          </w:p>
        </w:tc>
        <w:tc>
          <w:tcPr>
            <w:tcW w:w="284" w:type="dxa"/>
            <w:tcBorders>
              <w:top w:val="nil"/>
              <w:left w:val="nil"/>
              <w:bottom w:val="nil"/>
              <w:right w:val="nil"/>
            </w:tcBorders>
            <w:vAlign w:val="bottom"/>
          </w:tcPr>
          <w:p w14:paraId="227E8FAD" w14:textId="65295ACC"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6C9563F3" w14:textId="7E8D321A" w:rsidR="00DC5BE9" w:rsidRPr="003E2D55" w:rsidRDefault="00DC5BE9" w:rsidP="003E2D55">
            <w:pPr>
              <w:spacing w:before="40" w:after="20"/>
              <w:jc w:val="right"/>
              <w:rPr>
                <w:rFonts w:cs="Arial"/>
                <w:b/>
                <w:sz w:val="18"/>
                <w:szCs w:val="18"/>
              </w:rPr>
            </w:pPr>
            <w:r w:rsidRPr="003E2D55">
              <w:rPr>
                <w:rFonts w:cs="Arial"/>
                <w:b/>
                <w:sz w:val="18"/>
                <w:szCs w:val="18"/>
              </w:rPr>
              <w:t>2,194,074</w:t>
            </w:r>
          </w:p>
        </w:tc>
      </w:tr>
      <w:tr w:rsidR="00DC5BE9" w:rsidRPr="003E2D55" w14:paraId="04FF3E0D"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9D1A1C6" w14:textId="77777777" w:rsidR="00DC5BE9" w:rsidRPr="003E2D55" w:rsidRDefault="00DC5BE9" w:rsidP="003E2D55">
            <w:pPr>
              <w:spacing w:before="40" w:after="20"/>
              <w:rPr>
                <w:rFonts w:cs="Arial"/>
                <w:sz w:val="18"/>
                <w:szCs w:val="18"/>
              </w:rPr>
            </w:pPr>
            <w:r w:rsidRPr="003E2D55">
              <w:rPr>
                <w:rFonts w:cs="Arial"/>
                <w:sz w:val="18"/>
                <w:szCs w:val="18"/>
              </w:rPr>
              <w:t>Queenscliffe B</w:t>
            </w:r>
          </w:p>
        </w:tc>
        <w:tc>
          <w:tcPr>
            <w:tcW w:w="1361" w:type="dxa"/>
            <w:tcBorders>
              <w:top w:val="nil"/>
              <w:left w:val="single" w:sz="18" w:space="0" w:color="5F497A" w:themeColor="accent4" w:themeShade="BF"/>
              <w:bottom w:val="nil"/>
              <w:right w:val="nil"/>
            </w:tcBorders>
            <w:vAlign w:val="bottom"/>
          </w:tcPr>
          <w:p w14:paraId="3A37FECC" w14:textId="09C8022A"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1136B818" w14:textId="5907BC54" w:rsidR="00DC5BE9" w:rsidRPr="003E2D55" w:rsidRDefault="00DC5BE9" w:rsidP="003E2D55">
            <w:pPr>
              <w:spacing w:before="40" w:after="20"/>
              <w:jc w:val="right"/>
              <w:rPr>
                <w:rFonts w:cs="Arial"/>
                <w:sz w:val="18"/>
                <w:szCs w:val="18"/>
              </w:rPr>
            </w:pPr>
            <w:r w:rsidRPr="003E2D55">
              <w:rPr>
                <w:rFonts w:cs="Arial"/>
                <w:sz w:val="18"/>
                <w:szCs w:val="18"/>
              </w:rPr>
              <w:t>0</w:t>
            </w:r>
          </w:p>
        </w:tc>
        <w:tc>
          <w:tcPr>
            <w:tcW w:w="1701" w:type="dxa"/>
            <w:tcBorders>
              <w:top w:val="nil"/>
              <w:left w:val="nil"/>
              <w:bottom w:val="nil"/>
              <w:right w:val="nil"/>
            </w:tcBorders>
            <w:shd w:val="clear" w:color="auto" w:fill="auto"/>
            <w:vAlign w:val="bottom"/>
          </w:tcPr>
          <w:p w14:paraId="7B413E57" w14:textId="18D0CFC4" w:rsidR="00DC5BE9" w:rsidRPr="003E2D55" w:rsidRDefault="00DC5BE9" w:rsidP="003E2D55">
            <w:pPr>
              <w:spacing w:before="40" w:after="20"/>
              <w:jc w:val="right"/>
              <w:rPr>
                <w:rFonts w:cs="Arial"/>
                <w:sz w:val="18"/>
                <w:szCs w:val="18"/>
              </w:rPr>
            </w:pPr>
            <w:r w:rsidRPr="003E2D55">
              <w:rPr>
                <w:rFonts w:cs="Arial"/>
                <w:sz w:val="18"/>
                <w:szCs w:val="18"/>
              </w:rPr>
              <w:t>356,007</w:t>
            </w:r>
          </w:p>
        </w:tc>
        <w:tc>
          <w:tcPr>
            <w:tcW w:w="284" w:type="dxa"/>
            <w:tcBorders>
              <w:top w:val="nil"/>
              <w:left w:val="nil"/>
              <w:bottom w:val="nil"/>
              <w:right w:val="nil"/>
            </w:tcBorders>
            <w:vAlign w:val="bottom"/>
          </w:tcPr>
          <w:p w14:paraId="6A3A242B" w14:textId="1DBF3F3D"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110196B4" w14:textId="4CE9C101" w:rsidR="00DC5BE9" w:rsidRPr="003E2D55" w:rsidRDefault="00DC5BE9" w:rsidP="003E2D55">
            <w:pPr>
              <w:spacing w:before="40" w:after="20"/>
              <w:jc w:val="right"/>
              <w:rPr>
                <w:rFonts w:cs="Arial"/>
                <w:b/>
                <w:sz w:val="18"/>
                <w:szCs w:val="18"/>
              </w:rPr>
            </w:pPr>
            <w:r w:rsidRPr="003E2D55">
              <w:rPr>
                <w:rFonts w:cs="Arial"/>
                <w:b/>
                <w:sz w:val="18"/>
                <w:szCs w:val="18"/>
              </w:rPr>
              <w:t>60,051</w:t>
            </w:r>
          </w:p>
        </w:tc>
      </w:tr>
      <w:tr w:rsidR="00DC5BE9" w:rsidRPr="003E2D55" w14:paraId="3DA8BF77"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EFC3736" w14:textId="77777777" w:rsidR="00DC5BE9" w:rsidRPr="003E2D55" w:rsidRDefault="00DC5BE9" w:rsidP="003E2D55">
            <w:pPr>
              <w:spacing w:before="40" w:after="20"/>
              <w:rPr>
                <w:rFonts w:cs="Arial"/>
                <w:sz w:val="18"/>
                <w:szCs w:val="18"/>
              </w:rPr>
            </w:pPr>
            <w:r w:rsidRPr="003E2D55">
              <w:rPr>
                <w:rFonts w:cs="Arial"/>
                <w:sz w:val="18"/>
                <w:szCs w:val="18"/>
              </w:rPr>
              <w:t>South Gippsland S</w:t>
            </w:r>
          </w:p>
        </w:tc>
        <w:tc>
          <w:tcPr>
            <w:tcW w:w="1361" w:type="dxa"/>
            <w:tcBorders>
              <w:top w:val="nil"/>
              <w:left w:val="single" w:sz="18" w:space="0" w:color="5F497A" w:themeColor="accent4" w:themeShade="BF"/>
              <w:bottom w:val="nil"/>
              <w:right w:val="nil"/>
            </w:tcBorders>
            <w:vAlign w:val="bottom"/>
          </w:tcPr>
          <w:p w14:paraId="3CDEFF30" w14:textId="3E9E25E5" w:rsidR="00DC5BE9" w:rsidRPr="003E2D55" w:rsidRDefault="00DC5BE9" w:rsidP="003E2D55">
            <w:pPr>
              <w:spacing w:before="40" w:after="20"/>
              <w:jc w:val="right"/>
              <w:rPr>
                <w:rFonts w:cs="Arial"/>
                <w:sz w:val="18"/>
                <w:szCs w:val="18"/>
              </w:rPr>
            </w:pPr>
            <w:r w:rsidRPr="003E2D55">
              <w:rPr>
                <w:rFonts w:cs="Arial"/>
                <w:sz w:val="18"/>
                <w:szCs w:val="18"/>
              </w:rPr>
              <w:t>60,400</w:t>
            </w:r>
          </w:p>
        </w:tc>
        <w:tc>
          <w:tcPr>
            <w:tcW w:w="1361" w:type="dxa"/>
            <w:tcBorders>
              <w:top w:val="nil"/>
              <w:left w:val="nil"/>
              <w:bottom w:val="nil"/>
              <w:right w:val="nil"/>
            </w:tcBorders>
            <w:vAlign w:val="bottom"/>
          </w:tcPr>
          <w:p w14:paraId="51F0B5D8" w14:textId="5420968F" w:rsidR="00DC5BE9" w:rsidRPr="003E2D55" w:rsidRDefault="00DC5BE9" w:rsidP="003E2D55">
            <w:pPr>
              <w:spacing w:before="40" w:after="20"/>
              <w:jc w:val="right"/>
              <w:rPr>
                <w:rFonts w:cs="Arial"/>
                <w:sz w:val="18"/>
                <w:szCs w:val="18"/>
              </w:rPr>
            </w:pPr>
            <w:r w:rsidRPr="003E2D55">
              <w:rPr>
                <w:rFonts w:cs="Arial"/>
                <w:sz w:val="18"/>
                <w:szCs w:val="18"/>
              </w:rPr>
              <w:t>1,705,800</w:t>
            </w:r>
          </w:p>
        </w:tc>
        <w:tc>
          <w:tcPr>
            <w:tcW w:w="1701" w:type="dxa"/>
            <w:tcBorders>
              <w:top w:val="nil"/>
              <w:left w:val="nil"/>
              <w:bottom w:val="nil"/>
              <w:right w:val="nil"/>
            </w:tcBorders>
            <w:shd w:val="clear" w:color="auto" w:fill="auto"/>
            <w:vAlign w:val="bottom"/>
          </w:tcPr>
          <w:p w14:paraId="1A7CFE68" w14:textId="013CDA06" w:rsidR="00DC5BE9" w:rsidRPr="003E2D55" w:rsidRDefault="00DC5BE9" w:rsidP="003E2D55">
            <w:pPr>
              <w:spacing w:before="40" w:after="20"/>
              <w:jc w:val="right"/>
              <w:rPr>
                <w:rFonts w:cs="Arial"/>
                <w:sz w:val="18"/>
                <w:szCs w:val="18"/>
              </w:rPr>
            </w:pPr>
            <w:r w:rsidRPr="003E2D55">
              <w:rPr>
                <w:rFonts w:cs="Arial"/>
                <w:sz w:val="18"/>
                <w:szCs w:val="18"/>
              </w:rPr>
              <w:t>22,825,171</w:t>
            </w:r>
          </w:p>
        </w:tc>
        <w:tc>
          <w:tcPr>
            <w:tcW w:w="284" w:type="dxa"/>
            <w:tcBorders>
              <w:top w:val="nil"/>
              <w:left w:val="nil"/>
              <w:bottom w:val="nil"/>
              <w:right w:val="nil"/>
            </w:tcBorders>
            <w:vAlign w:val="bottom"/>
          </w:tcPr>
          <w:p w14:paraId="7F34FB42" w14:textId="1684C524"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48389494" w14:textId="7E8BA8F4" w:rsidR="00DC5BE9" w:rsidRPr="003E2D55" w:rsidRDefault="00DC5BE9" w:rsidP="003E2D55">
            <w:pPr>
              <w:spacing w:before="40" w:after="20"/>
              <w:jc w:val="right"/>
              <w:rPr>
                <w:rFonts w:cs="Arial"/>
                <w:b/>
                <w:sz w:val="18"/>
                <w:szCs w:val="18"/>
              </w:rPr>
            </w:pPr>
            <w:r w:rsidRPr="003E2D55">
              <w:rPr>
                <w:rFonts w:cs="Arial"/>
                <w:b/>
                <w:sz w:val="18"/>
                <w:szCs w:val="18"/>
              </w:rPr>
              <w:t>3,850,132</w:t>
            </w:r>
          </w:p>
        </w:tc>
      </w:tr>
      <w:tr w:rsidR="00DC5BE9" w:rsidRPr="003E2D55" w14:paraId="3F22415C"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DC61FEF" w14:textId="77777777" w:rsidR="00DC5BE9" w:rsidRPr="003E2D55" w:rsidRDefault="00DC5BE9" w:rsidP="003E2D55">
            <w:pPr>
              <w:spacing w:before="40" w:after="20"/>
              <w:rPr>
                <w:rFonts w:cs="Arial"/>
                <w:sz w:val="18"/>
                <w:szCs w:val="18"/>
              </w:rPr>
            </w:pPr>
            <w:r w:rsidRPr="003E2D55">
              <w:rPr>
                <w:rFonts w:cs="Arial"/>
                <w:sz w:val="18"/>
                <w:szCs w:val="18"/>
              </w:rPr>
              <w:t>Southern Grampians S</w:t>
            </w:r>
          </w:p>
        </w:tc>
        <w:tc>
          <w:tcPr>
            <w:tcW w:w="1361" w:type="dxa"/>
            <w:tcBorders>
              <w:top w:val="nil"/>
              <w:left w:val="single" w:sz="18" w:space="0" w:color="5F497A" w:themeColor="accent4" w:themeShade="BF"/>
              <w:bottom w:val="nil"/>
              <w:right w:val="nil"/>
            </w:tcBorders>
            <w:vAlign w:val="bottom"/>
          </w:tcPr>
          <w:p w14:paraId="04C3D64A" w14:textId="4EDD8ACB" w:rsidR="00DC5BE9" w:rsidRPr="003E2D55" w:rsidRDefault="00DC5BE9" w:rsidP="003E2D55">
            <w:pPr>
              <w:spacing w:before="40" w:after="20"/>
              <w:jc w:val="right"/>
              <w:rPr>
                <w:rFonts w:cs="Arial"/>
                <w:sz w:val="18"/>
                <w:szCs w:val="18"/>
              </w:rPr>
            </w:pPr>
            <w:r w:rsidRPr="003E2D55">
              <w:rPr>
                <w:rFonts w:cs="Arial"/>
                <w:sz w:val="18"/>
                <w:szCs w:val="18"/>
              </w:rPr>
              <w:t>99,600</w:t>
            </w:r>
          </w:p>
        </w:tc>
        <w:tc>
          <w:tcPr>
            <w:tcW w:w="1361" w:type="dxa"/>
            <w:tcBorders>
              <w:top w:val="nil"/>
              <w:left w:val="nil"/>
              <w:bottom w:val="nil"/>
              <w:right w:val="nil"/>
            </w:tcBorders>
            <w:vAlign w:val="bottom"/>
          </w:tcPr>
          <w:p w14:paraId="68008CC7" w14:textId="2422706E" w:rsidR="00DC5BE9" w:rsidRPr="003E2D55" w:rsidRDefault="00DC5BE9" w:rsidP="003E2D55">
            <w:pPr>
              <w:spacing w:before="40" w:after="20"/>
              <w:jc w:val="right"/>
              <w:rPr>
                <w:rFonts w:cs="Arial"/>
                <w:sz w:val="18"/>
                <w:szCs w:val="18"/>
              </w:rPr>
            </w:pPr>
            <w:r w:rsidRPr="003E2D55">
              <w:rPr>
                <w:rFonts w:cs="Arial"/>
                <w:sz w:val="18"/>
                <w:szCs w:val="18"/>
              </w:rPr>
              <w:t>1,208,040</w:t>
            </w:r>
          </w:p>
        </w:tc>
        <w:tc>
          <w:tcPr>
            <w:tcW w:w="1701" w:type="dxa"/>
            <w:tcBorders>
              <w:top w:val="nil"/>
              <w:left w:val="nil"/>
              <w:bottom w:val="nil"/>
              <w:right w:val="nil"/>
            </w:tcBorders>
            <w:shd w:val="clear" w:color="auto" w:fill="auto"/>
            <w:vAlign w:val="bottom"/>
          </w:tcPr>
          <w:p w14:paraId="78259B76" w14:textId="583FE7E7" w:rsidR="00DC5BE9" w:rsidRPr="003E2D55" w:rsidRDefault="00DC5BE9" w:rsidP="003E2D55">
            <w:pPr>
              <w:spacing w:before="40" w:after="20"/>
              <w:jc w:val="right"/>
              <w:rPr>
                <w:rFonts w:cs="Arial"/>
                <w:sz w:val="18"/>
                <w:szCs w:val="18"/>
              </w:rPr>
            </w:pPr>
            <w:r w:rsidRPr="003E2D55">
              <w:rPr>
                <w:rFonts w:cs="Arial"/>
                <w:sz w:val="18"/>
                <w:szCs w:val="18"/>
              </w:rPr>
              <w:t>18,512,130</w:t>
            </w:r>
          </w:p>
        </w:tc>
        <w:tc>
          <w:tcPr>
            <w:tcW w:w="284" w:type="dxa"/>
            <w:tcBorders>
              <w:top w:val="nil"/>
              <w:left w:val="nil"/>
              <w:bottom w:val="nil"/>
              <w:right w:val="nil"/>
            </w:tcBorders>
            <w:vAlign w:val="bottom"/>
          </w:tcPr>
          <w:p w14:paraId="1BCB55F6" w14:textId="26B06EBF"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55C9F0A8" w14:textId="59956974" w:rsidR="00DC5BE9" w:rsidRPr="003E2D55" w:rsidRDefault="00DC5BE9" w:rsidP="003E2D55">
            <w:pPr>
              <w:spacing w:before="40" w:after="20"/>
              <w:jc w:val="right"/>
              <w:rPr>
                <w:rFonts w:cs="Arial"/>
                <w:b/>
                <w:sz w:val="18"/>
                <w:szCs w:val="18"/>
              </w:rPr>
            </w:pPr>
            <w:r w:rsidRPr="003E2D55">
              <w:rPr>
                <w:rFonts w:cs="Arial"/>
                <w:b/>
                <w:sz w:val="18"/>
                <w:szCs w:val="18"/>
              </w:rPr>
              <w:t>3,122,611</w:t>
            </w:r>
          </w:p>
        </w:tc>
      </w:tr>
      <w:tr w:rsidR="00DC5BE9" w:rsidRPr="003E2D55" w14:paraId="27F3A9A6"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0324895" w14:textId="77777777" w:rsidR="00DC5BE9" w:rsidRPr="003E2D55" w:rsidRDefault="00DC5BE9" w:rsidP="003E2D55">
            <w:pPr>
              <w:spacing w:before="40" w:after="20"/>
              <w:rPr>
                <w:rFonts w:cs="Arial"/>
                <w:sz w:val="18"/>
                <w:szCs w:val="18"/>
              </w:rPr>
            </w:pPr>
            <w:r w:rsidRPr="003E2D55">
              <w:rPr>
                <w:rFonts w:cs="Arial"/>
                <w:sz w:val="18"/>
                <w:szCs w:val="18"/>
              </w:rPr>
              <w:t>Stonnington C</w:t>
            </w:r>
          </w:p>
        </w:tc>
        <w:tc>
          <w:tcPr>
            <w:tcW w:w="1361" w:type="dxa"/>
            <w:tcBorders>
              <w:top w:val="nil"/>
              <w:left w:val="single" w:sz="18" w:space="0" w:color="5F497A" w:themeColor="accent4" w:themeShade="BF"/>
              <w:bottom w:val="nil"/>
              <w:right w:val="nil"/>
            </w:tcBorders>
            <w:vAlign w:val="bottom"/>
          </w:tcPr>
          <w:p w14:paraId="44172DA8" w14:textId="53FB7FB3" w:rsidR="00DC5BE9" w:rsidRPr="003E2D55" w:rsidRDefault="00DC5BE9" w:rsidP="003E2D55">
            <w:pPr>
              <w:spacing w:before="40" w:after="20"/>
              <w:jc w:val="right"/>
              <w:rPr>
                <w:rFonts w:cs="Arial"/>
                <w:sz w:val="18"/>
                <w:szCs w:val="18"/>
              </w:rPr>
            </w:pPr>
            <w:r w:rsidRPr="003E2D55">
              <w:rPr>
                <w:rFonts w:cs="Arial"/>
                <w:sz w:val="18"/>
                <w:szCs w:val="18"/>
              </w:rPr>
              <w:t>140,200</w:t>
            </w:r>
          </w:p>
        </w:tc>
        <w:tc>
          <w:tcPr>
            <w:tcW w:w="1361" w:type="dxa"/>
            <w:tcBorders>
              <w:top w:val="nil"/>
              <w:left w:val="nil"/>
              <w:bottom w:val="nil"/>
              <w:right w:val="nil"/>
            </w:tcBorders>
            <w:vAlign w:val="bottom"/>
          </w:tcPr>
          <w:p w14:paraId="483F6258" w14:textId="725ED9D4" w:rsidR="00DC5BE9" w:rsidRPr="003E2D55" w:rsidRDefault="00DC5BE9" w:rsidP="003E2D55">
            <w:pPr>
              <w:spacing w:before="40" w:after="20"/>
              <w:jc w:val="right"/>
              <w:rPr>
                <w:rFonts w:cs="Arial"/>
                <w:sz w:val="18"/>
                <w:szCs w:val="18"/>
              </w:rPr>
            </w:pPr>
            <w:r w:rsidRPr="003E2D55">
              <w:rPr>
                <w:rFonts w:cs="Arial"/>
                <w:sz w:val="18"/>
                <w:szCs w:val="18"/>
              </w:rPr>
              <w:t>159,120</w:t>
            </w:r>
          </w:p>
        </w:tc>
        <w:tc>
          <w:tcPr>
            <w:tcW w:w="1701" w:type="dxa"/>
            <w:tcBorders>
              <w:top w:val="nil"/>
              <w:left w:val="nil"/>
              <w:bottom w:val="nil"/>
              <w:right w:val="nil"/>
            </w:tcBorders>
            <w:shd w:val="clear" w:color="auto" w:fill="auto"/>
            <w:vAlign w:val="bottom"/>
          </w:tcPr>
          <w:p w14:paraId="42AC9B6A" w14:textId="3BD7981F" w:rsidR="00DC5BE9" w:rsidRPr="003E2D55" w:rsidRDefault="00DC5BE9" w:rsidP="003E2D55">
            <w:pPr>
              <w:spacing w:before="40" w:after="20"/>
              <w:jc w:val="right"/>
              <w:rPr>
                <w:rFonts w:cs="Arial"/>
                <w:sz w:val="18"/>
                <w:szCs w:val="18"/>
              </w:rPr>
            </w:pPr>
            <w:r w:rsidRPr="003E2D55">
              <w:rPr>
                <w:rFonts w:cs="Arial"/>
                <w:sz w:val="18"/>
                <w:szCs w:val="18"/>
              </w:rPr>
              <w:t>2,774,229</w:t>
            </w:r>
          </w:p>
        </w:tc>
        <w:tc>
          <w:tcPr>
            <w:tcW w:w="284" w:type="dxa"/>
            <w:tcBorders>
              <w:top w:val="nil"/>
              <w:left w:val="nil"/>
              <w:bottom w:val="nil"/>
              <w:right w:val="nil"/>
            </w:tcBorders>
            <w:vAlign w:val="bottom"/>
          </w:tcPr>
          <w:p w14:paraId="329C2127" w14:textId="58F3ABB6"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72D31C5A" w14:textId="170F45C7" w:rsidR="00DC5BE9" w:rsidRPr="003E2D55" w:rsidRDefault="00DC5BE9" w:rsidP="003E2D55">
            <w:pPr>
              <w:spacing w:before="40" w:after="20"/>
              <w:jc w:val="right"/>
              <w:rPr>
                <w:rFonts w:cs="Arial"/>
                <w:b/>
                <w:sz w:val="18"/>
                <w:szCs w:val="18"/>
              </w:rPr>
            </w:pPr>
            <w:r w:rsidRPr="003E2D55">
              <w:rPr>
                <w:rFonts w:cs="Arial"/>
                <w:b/>
                <w:sz w:val="18"/>
                <w:szCs w:val="18"/>
              </w:rPr>
              <w:t>467,955</w:t>
            </w:r>
          </w:p>
        </w:tc>
      </w:tr>
      <w:tr w:rsidR="00DC5BE9" w:rsidRPr="003E2D55" w14:paraId="2A8D2B2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9C01002" w14:textId="77777777" w:rsidR="00DC5BE9" w:rsidRPr="003E2D55" w:rsidRDefault="00DC5BE9" w:rsidP="003E2D55">
            <w:pPr>
              <w:spacing w:before="40" w:after="20"/>
              <w:rPr>
                <w:rFonts w:cs="Arial"/>
                <w:sz w:val="18"/>
                <w:szCs w:val="18"/>
              </w:rPr>
            </w:pPr>
            <w:r w:rsidRPr="003E2D55">
              <w:rPr>
                <w:rFonts w:cs="Arial"/>
                <w:sz w:val="18"/>
                <w:szCs w:val="18"/>
              </w:rPr>
              <w:t>Strathbogie S</w:t>
            </w:r>
          </w:p>
        </w:tc>
        <w:tc>
          <w:tcPr>
            <w:tcW w:w="1361" w:type="dxa"/>
            <w:tcBorders>
              <w:top w:val="nil"/>
              <w:left w:val="single" w:sz="18" w:space="0" w:color="5F497A" w:themeColor="accent4" w:themeShade="BF"/>
              <w:bottom w:val="nil"/>
              <w:right w:val="nil"/>
            </w:tcBorders>
            <w:vAlign w:val="bottom"/>
          </w:tcPr>
          <w:p w14:paraId="6832FA3C" w14:textId="3FF4A2E8" w:rsidR="00DC5BE9" w:rsidRPr="003E2D55" w:rsidRDefault="00DC5BE9" w:rsidP="003E2D55">
            <w:pPr>
              <w:spacing w:before="40" w:after="20"/>
              <w:jc w:val="right"/>
              <w:rPr>
                <w:rFonts w:cs="Arial"/>
                <w:sz w:val="18"/>
                <w:szCs w:val="18"/>
              </w:rPr>
            </w:pPr>
            <w:r w:rsidRPr="003E2D55">
              <w:rPr>
                <w:rFonts w:cs="Arial"/>
                <w:sz w:val="18"/>
                <w:szCs w:val="18"/>
              </w:rPr>
              <w:t>322,200</w:t>
            </w:r>
          </w:p>
        </w:tc>
        <w:tc>
          <w:tcPr>
            <w:tcW w:w="1361" w:type="dxa"/>
            <w:tcBorders>
              <w:top w:val="nil"/>
              <w:left w:val="nil"/>
              <w:bottom w:val="nil"/>
              <w:right w:val="nil"/>
            </w:tcBorders>
            <w:vAlign w:val="bottom"/>
          </w:tcPr>
          <w:p w14:paraId="06B6C404" w14:textId="271A804A" w:rsidR="00DC5BE9" w:rsidRPr="003E2D55" w:rsidRDefault="00DC5BE9" w:rsidP="003E2D55">
            <w:pPr>
              <w:spacing w:before="40" w:after="20"/>
              <w:jc w:val="right"/>
              <w:rPr>
                <w:rFonts w:cs="Arial"/>
                <w:sz w:val="18"/>
                <w:szCs w:val="18"/>
              </w:rPr>
            </w:pPr>
            <w:r w:rsidRPr="003E2D55">
              <w:rPr>
                <w:rFonts w:cs="Arial"/>
                <w:sz w:val="18"/>
                <w:szCs w:val="18"/>
              </w:rPr>
              <w:t>1,846,320</w:t>
            </w:r>
          </w:p>
        </w:tc>
        <w:tc>
          <w:tcPr>
            <w:tcW w:w="1701" w:type="dxa"/>
            <w:tcBorders>
              <w:top w:val="nil"/>
              <w:left w:val="nil"/>
              <w:bottom w:val="nil"/>
              <w:right w:val="nil"/>
            </w:tcBorders>
            <w:shd w:val="clear" w:color="auto" w:fill="auto"/>
            <w:vAlign w:val="bottom"/>
          </w:tcPr>
          <w:p w14:paraId="2C8A765E" w14:textId="3EB860D6" w:rsidR="00DC5BE9" w:rsidRPr="003E2D55" w:rsidRDefault="00DC5BE9" w:rsidP="003E2D55">
            <w:pPr>
              <w:spacing w:before="40" w:after="20"/>
              <w:jc w:val="right"/>
              <w:rPr>
                <w:rFonts w:cs="Arial"/>
                <w:sz w:val="18"/>
                <w:szCs w:val="18"/>
              </w:rPr>
            </w:pPr>
            <w:r w:rsidRPr="003E2D55">
              <w:rPr>
                <w:rFonts w:cs="Arial"/>
                <w:sz w:val="18"/>
                <w:szCs w:val="18"/>
              </w:rPr>
              <w:t>13,335,706</w:t>
            </w:r>
          </w:p>
        </w:tc>
        <w:tc>
          <w:tcPr>
            <w:tcW w:w="284" w:type="dxa"/>
            <w:tcBorders>
              <w:top w:val="nil"/>
              <w:left w:val="nil"/>
              <w:bottom w:val="nil"/>
              <w:right w:val="nil"/>
            </w:tcBorders>
            <w:vAlign w:val="bottom"/>
          </w:tcPr>
          <w:p w14:paraId="534B7E88" w14:textId="4267D64C"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56EBAE5E" w14:textId="2494F24F" w:rsidR="00DC5BE9" w:rsidRPr="003E2D55" w:rsidRDefault="00DC5BE9" w:rsidP="003E2D55">
            <w:pPr>
              <w:spacing w:before="40" w:after="20"/>
              <w:jc w:val="right"/>
              <w:rPr>
                <w:rFonts w:cs="Arial"/>
                <w:b/>
                <w:sz w:val="18"/>
                <w:szCs w:val="18"/>
              </w:rPr>
            </w:pPr>
            <w:r w:rsidRPr="003E2D55">
              <w:rPr>
                <w:rFonts w:cs="Arial"/>
                <w:b/>
                <w:sz w:val="18"/>
                <w:szCs w:val="18"/>
              </w:rPr>
              <w:t>2,249,456</w:t>
            </w:r>
          </w:p>
        </w:tc>
      </w:tr>
      <w:tr w:rsidR="00DC5BE9" w:rsidRPr="003E2D55" w14:paraId="75CB625E"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4BD83AA" w14:textId="77777777" w:rsidR="00DC5BE9" w:rsidRPr="003E2D55" w:rsidRDefault="00DC5BE9" w:rsidP="003E2D55">
            <w:pPr>
              <w:spacing w:before="40" w:after="20"/>
              <w:rPr>
                <w:rFonts w:cs="Arial"/>
                <w:sz w:val="18"/>
                <w:szCs w:val="18"/>
              </w:rPr>
            </w:pPr>
            <w:r w:rsidRPr="003E2D55">
              <w:rPr>
                <w:rFonts w:cs="Arial"/>
                <w:sz w:val="18"/>
                <w:szCs w:val="18"/>
              </w:rPr>
              <w:t>Surf Coast S</w:t>
            </w:r>
          </w:p>
        </w:tc>
        <w:tc>
          <w:tcPr>
            <w:tcW w:w="1361" w:type="dxa"/>
            <w:tcBorders>
              <w:top w:val="nil"/>
              <w:left w:val="single" w:sz="18" w:space="0" w:color="5F497A" w:themeColor="accent4" w:themeShade="BF"/>
              <w:bottom w:val="nil"/>
              <w:right w:val="nil"/>
            </w:tcBorders>
            <w:vAlign w:val="bottom"/>
          </w:tcPr>
          <w:p w14:paraId="7570B3F9" w14:textId="01208C3B" w:rsidR="00DC5BE9" w:rsidRPr="003E2D55" w:rsidRDefault="00DC5BE9" w:rsidP="003E2D55">
            <w:pPr>
              <w:spacing w:before="40" w:after="20"/>
              <w:jc w:val="right"/>
              <w:rPr>
                <w:rFonts w:cs="Arial"/>
                <w:sz w:val="18"/>
                <w:szCs w:val="18"/>
              </w:rPr>
            </w:pPr>
            <w:r w:rsidRPr="003E2D55">
              <w:rPr>
                <w:rFonts w:cs="Arial"/>
                <w:sz w:val="18"/>
                <w:szCs w:val="18"/>
              </w:rPr>
              <w:t>14,600</w:t>
            </w:r>
          </w:p>
        </w:tc>
        <w:tc>
          <w:tcPr>
            <w:tcW w:w="1361" w:type="dxa"/>
            <w:tcBorders>
              <w:top w:val="nil"/>
              <w:left w:val="nil"/>
              <w:bottom w:val="nil"/>
              <w:right w:val="nil"/>
            </w:tcBorders>
            <w:vAlign w:val="bottom"/>
          </w:tcPr>
          <w:p w14:paraId="7FB53F87" w14:textId="58B06A81" w:rsidR="00DC5BE9" w:rsidRPr="003E2D55" w:rsidRDefault="00DC5BE9" w:rsidP="003E2D55">
            <w:pPr>
              <w:spacing w:before="40" w:after="20"/>
              <w:jc w:val="right"/>
              <w:rPr>
                <w:rFonts w:cs="Arial"/>
                <w:sz w:val="18"/>
                <w:szCs w:val="18"/>
              </w:rPr>
            </w:pPr>
            <w:r w:rsidRPr="003E2D55">
              <w:rPr>
                <w:rFonts w:cs="Arial"/>
                <w:sz w:val="18"/>
                <w:szCs w:val="18"/>
              </w:rPr>
              <w:t>232,920</w:t>
            </w:r>
          </w:p>
        </w:tc>
        <w:tc>
          <w:tcPr>
            <w:tcW w:w="1701" w:type="dxa"/>
            <w:tcBorders>
              <w:top w:val="nil"/>
              <w:left w:val="nil"/>
              <w:bottom w:val="nil"/>
              <w:right w:val="nil"/>
            </w:tcBorders>
            <w:shd w:val="clear" w:color="auto" w:fill="auto"/>
            <w:vAlign w:val="bottom"/>
          </w:tcPr>
          <w:p w14:paraId="675329C8" w14:textId="02F2C41D" w:rsidR="00DC5BE9" w:rsidRPr="003E2D55" w:rsidRDefault="00DC5BE9" w:rsidP="003E2D55">
            <w:pPr>
              <w:spacing w:before="40" w:after="20"/>
              <w:jc w:val="right"/>
              <w:rPr>
                <w:rFonts w:cs="Arial"/>
                <w:sz w:val="18"/>
                <w:szCs w:val="18"/>
              </w:rPr>
            </w:pPr>
            <w:r w:rsidRPr="003E2D55">
              <w:rPr>
                <w:rFonts w:cs="Arial"/>
                <w:sz w:val="18"/>
                <w:szCs w:val="18"/>
              </w:rPr>
              <w:t>9,846,118</w:t>
            </w:r>
          </w:p>
        </w:tc>
        <w:tc>
          <w:tcPr>
            <w:tcW w:w="284" w:type="dxa"/>
            <w:tcBorders>
              <w:top w:val="nil"/>
              <w:left w:val="nil"/>
              <w:bottom w:val="nil"/>
              <w:right w:val="nil"/>
            </w:tcBorders>
            <w:vAlign w:val="bottom"/>
          </w:tcPr>
          <w:p w14:paraId="0BF6DFE1" w14:textId="365A4508"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7C76D4B7" w14:textId="40171C19" w:rsidR="00DC5BE9" w:rsidRPr="003E2D55" w:rsidRDefault="00DC5BE9" w:rsidP="003E2D55">
            <w:pPr>
              <w:spacing w:before="40" w:after="20"/>
              <w:jc w:val="right"/>
              <w:rPr>
                <w:rFonts w:cs="Arial"/>
                <w:b/>
                <w:sz w:val="18"/>
                <w:szCs w:val="18"/>
              </w:rPr>
            </w:pPr>
            <w:r w:rsidRPr="003E2D55">
              <w:rPr>
                <w:rFonts w:cs="Arial"/>
                <w:b/>
                <w:sz w:val="18"/>
                <w:szCs w:val="18"/>
              </w:rPr>
              <w:t>1,660,835</w:t>
            </w:r>
          </w:p>
        </w:tc>
      </w:tr>
      <w:tr w:rsidR="00DC5BE9" w:rsidRPr="003E2D55" w14:paraId="294FB33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689B3F3" w14:textId="77777777" w:rsidR="00DC5BE9" w:rsidRPr="003E2D55" w:rsidRDefault="00DC5BE9" w:rsidP="003E2D55">
            <w:pPr>
              <w:spacing w:before="40" w:after="20"/>
              <w:rPr>
                <w:rFonts w:cs="Arial"/>
                <w:sz w:val="18"/>
                <w:szCs w:val="18"/>
              </w:rPr>
            </w:pPr>
            <w:r w:rsidRPr="003E2D55">
              <w:rPr>
                <w:rFonts w:cs="Arial"/>
                <w:sz w:val="18"/>
                <w:szCs w:val="18"/>
              </w:rPr>
              <w:t>Swan Hill RC</w:t>
            </w:r>
          </w:p>
        </w:tc>
        <w:tc>
          <w:tcPr>
            <w:tcW w:w="1361" w:type="dxa"/>
            <w:tcBorders>
              <w:top w:val="nil"/>
              <w:left w:val="single" w:sz="18" w:space="0" w:color="5F497A" w:themeColor="accent4" w:themeShade="BF"/>
              <w:bottom w:val="nil"/>
              <w:right w:val="nil"/>
            </w:tcBorders>
            <w:vAlign w:val="bottom"/>
          </w:tcPr>
          <w:p w14:paraId="3BC9383C" w14:textId="519DD3E8"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317F3029" w14:textId="2ED7498B" w:rsidR="00DC5BE9" w:rsidRPr="003E2D55" w:rsidRDefault="00DC5BE9" w:rsidP="003E2D55">
            <w:pPr>
              <w:spacing w:before="40" w:after="20"/>
              <w:jc w:val="right"/>
              <w:rPr>
                <w:rFonts w:cs="Arial"/>
                <w:sz w:val="18"/>
                <w:szCs w:val="18"/>
              </w:rPr>
            </w:pPr>
            <w:r w:rsidRPr="003E2D55">
              <w:rPr>
                <w:rFonts w:cs="Arial"/>
                <w:sz w:val="18"/>
                <w:szCs w:val="18"/>
              </w:rPr>
              <w:t>138,120</w:t>
            </w:r>
          </w:p>
        </w:tc>
        <w:tc>
          <w:tcPr>
            <w:tcW w:w="1701" w:type="dxa"/>
            <w:tcBorders>
              <w:top w:val="nil"/>
              <w:left w:val="nil"/>
              <w:bottom w:val="nil"/>
              <w:right w:val="nil"/>
            </w:tcBorders>
            <w:shd w:val="clear" w:color="auto" w:fill="auto"/>
            <w:vAlign w:val="bottom"/>
          </w:tcPr>
          <w:p w14:paraId="776770FA" w14:textId="142D204E" w:rsidR="00DC5BE9" w:rsidRPr="003E2D55" w:rsidRDefault="00DC5BE9" w:rsidP="003E2D55">
            <w:pPr>
              <w:spacing w:before="40" w:after="20"/>
              <w:jc w:val="right"/>
              <w:rPr>
                <w:rFonts w:cs="Arial"/>
                <w:sz w:val="18"/>
                <w:szCs w:val="18"/>
              </w:rPr>
            </w:pPr>
            <w:r w:rsidRPr="003E2D55">
              <w:rPr>
                <w:rFonts w:cs="Arial"/>
                <w:sz w:val="18"/>
                <w:szCs w:val="18"/>
              </w:rPr>
              <w:t>13,384,027</w:t>
            </w:r>
          </w:p>
        </w:tc>
        <w:tc>
          <w:tcPr>
            <w:tcW w:w="284" w:type="dxa"/>
            <w:tcBorders>
              <w:top w:val="nil"/>
              <w:left w:val="nil"/>
              <w:bottom w:val="nil"/>
              <w:right w:val="nil"/>
            </w:tcBorders>
            <w:vAlign w:val="bottom"/>
          </w:tcPr>
          <w:p w14:paraId="65663B82" w14:textId="223D1CC4"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56663017" w14:textId="1D85492C" w:rsidR="00DC5BE9" w:rsidRPr="003E2D55" w:rsidRDefault="00DC5BE9" w:rsidP="003E2D55">
            <w:pPr>
              <w:spacing w:before="40" w:after="20"/>
              <w:jc w:val="right"/>
              <w:rPr>
                <w:rFonts w:cs="Arial"/>
                <w:b/>
                <w:sz w:val="18"/>
                <w:szCs w:val="18"/>
              </w:rPr>
            </w:pPr>
            <w:r w:rsidRPr="003E2D55">
              <w:rPr>
                <w:rFonts w:cs="Arial"/>
                <w:b/>
                <w:sz w:val="18"/>
                <w:szCs w:val="18"/>
              </w:rPr>
              <w:t>2,257,607</w:t>
            </w:r>
          </w:p>
        </w:tc>
      </w:tr>
      <w:tr w:rsidR="00DC5BE9" w:rsidRPr="003E2D55" w14:paraId="6D1146CB"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19AAB5A" w14:textId="77777777" w:rsidR="00DC5BE9" w:rsidRPr="003E2D55" w:rsidRDefault="00DC5BE9" w:rsidP="003E2D55">
            <w:pPr>
              <w:spacing w:before="40" w:after="20"/>
              <w:rPr>
                <w:rFonts w:cs="Arial"/>
                <w:sz w:val="18"/>
                <w:szCs w:val="18"/>
              </w:rPr>
            </w:pPr>
            <w:r w:rsidRPr="003E2D55">
              <w:rPr>
                <w:rFonts w:cs="Arial"/>
                <w:sz w:val="18"/>
                <w:szCs w:val="18"/>
              </w:rPr>
              <w:t>Towong S</w:t>
            </w:r>
          </w:p>
        </w:tc>
        <w:tc>
          <w:tcPr>
            <w:tcW w:w="1361" w:type="dxa"/>
            <w:tcBorders>
              <w:top w:val="nil"/>
              <w:left w:val="single" w:sz="18" w:space="0" w:color="5F497A" w:themeColor="accent4" w:themeShade="BF"/>
              <w:bottom w:val="nil"/>
              <w:right w:val="nil"/>
            </w:tcBorders>
            <w:vAlign w:val="bottom"/>
          </w:tcPr>
          <w:p w14:paraId="55AC9740" w14:textId="1D54D8C8" w:rsidR="00DC5BE9" w:rsidRPr="003E2D55" w:rsidRDefault="00DC5BE9" w:rsidP="003E2D55">
            <w:pPr>
              <w:spacing w:before="40" w:after="20"/>
              <w:jc w:val="right"/>
              <w:rPr>
                <w:rFonts w:cs="Arial"/>
                <w:sz w:val="18"/>
                <w:szCs w:val="18"/>
              </w:rPr>
            </w:pPr>
            <w:r w:rsidRPr="003E2D55">
              <w:rPr>
                <w:rFonts w:cs="Arial"/>
                <w:sz w:val="18"/>
                <w:szCs w:val="18"/>
              </w:rPr>
              <w:t>84,000</w:t>
            </w:r>
          </w:p>
        </w:tc>
        <w:tc>
          <w:tcPr>
            <w:tcW w:w="1361" w:type="dxa"/>
            <w:tcBorders>
              <w:top w:val="nil"/>
              <w:left w:val="nil"/>
              <w:bottom w:val="nil"/>
              <w:right w:val="nil"/>
            </w:tcBorders>
            <w:vAlign w:val="bottom"/>
          </w:tcPr>
          <w:p w14:paraId="59336052" w14:textId="5B0D222F" w:rsidR="00DC5BE9" w:rsidRPr="003E2D55" w:rsidRDefault="00DC5BE9" w:rsidP="003E2D55">
            <w:pPr>
              <w:spacing w:before="40" w:after="20"/>
              <w:jc w:val="right"/>
              <w:rPr>
                <w:rFonts w:cs="Arial"/>
                <w:sz w:val="18"/>
                <w:szCs w:val="18"/>
              </w:rPr>
            </w:pPr>
            <w:r w:rsidRPr="003E2D55">
              <w:rPr>
                <w:rFonts w:cs="Arial"/>
                <w:sz w:val="18"/>
                <w:szCs w:val="18"/>
              </w:rPr>
              <w:t>1,394,400</w:t>
            </w:r>
          </w:p>
        </w:tc>
        <w:tc>
          <w:tcPr>
            <w:tcW w:w="1701" w:type="dxa"/>
            <w:tcBorders>
              <w:top w:val="nil"/>
              <w:left w:val="nil"/>
              <w:bottom w:val="nil"/>
              <w:right w:val="nil"/>
            </w:tcBorders>
            <w:shd w:val="clear" w:color="auto" w:fill="auto"/>
            <w:vAlign w:val="bottom"/>
          </w:tcPr>
          <w:p w14:paraId="2302FD1D" w14:textId="21E54163" w:rsidR="00DC5BE9" w:rsidRPr="003E2D55" w:rsidRDefault="00DC5BE9" w:rsidP="003E2D55">
            <w:pPr>
              <w:spacing w:before="40" w:after="20"/>
              <w:jc w:val="right"/>
              <w:rPr>
                <w:rFonts w:cs="Arial"/>
                <w:sz w:val="18"/>
                <w:szCs w:val="18"/>
              </w:rPr>
            </w:pPr>
            <w:r w:rsidRPr="003E2D55">
              <w:rPr>
                <w:rFonts w:cs="Arial"/>
                <w:sz w:val="18"/>
                <w:szCs w:val="18"/>
              </w:rPr>
              <w:t>10,874,878</w:t>
            </w:r>
          </w:p>
        </w:tc>
        <w:tc>
          <w:tcPr>
            <w:tcW w:w="284" w:type="dxa"/>
            <w:tcBorders>
              <w:top w:val="nil"/>
              <w:left w:val="nil"/>
              <w:bottom w:val="nil"/>
              <w:right w:val="nil"/>
            </w:tcBorders>
            <w:vAlign w:val="bottom"/>
          </w:tcPr>
          <w:p w14:paraId="5F116868" w14:textId="730A4469"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44B4F469" w14:textId="6BEF5AFD" w:rsidR="00DC5BE9" w:rsidRPr="003E2D55" w:rsidRDefault="00DC5BE9" w:rsidP="003E2D55">
            <w:pPr>
              <w:spacing w:before="40" w:after="20"/>
              <w:jc w:val="right"/>
              <w:rPr>
                <w:rFonts w:cs="Arial"/>
                <w:b/>
                <w:sz w:val="18"/>
                <w:szCs w:val="18"/>
              </w:rPr>
            </w:pPr>
            <w:r w:rsidRPr="003E2D55">
              <w:rPr>
                <w:rFonts w:cs="Arial"/>
                <w:b/>
                <w:sz w:val="18"/>
                <w:szCs w:val="18"/>
              </w:rPr>
              <w:t>1,834,366</w:t>
            </w:r>
          </w:p>
        </w:tc>
      </w:tr>
      <w:tr w:rsidR="00DC5BE9" w:rsidRPr="003E2D55" w14:paraId="7F07A3A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AD5D41B" w14:textId="77777777" w:rsidR="00DC5BE9" w:rsidRPr="003E2D55" w:rsidRDefault="00DC5BE9" w:rsidP="003E2D55">
            <w:pPr>
              <w:spacing w:before="40" w:after="20"/>
              <w:rPr>
                <w:rFonts w:cs="Arial"/>
                <w:sz w:val="18"/>
                <w:szCs w:val="18"/>
              </w:rPr>
            </w:pPr>
            <w:r w:rsidRPr="003E2D55">
              <w:rPr>
                <w:rFonts w:cs="Arial"/>
                <w:sz w:val="18"/>
                <w:szCs w:val="18"/>
              </w:rPr>
              <w:t>Wangaratta RC</w:t>
            </w:r>
          </w:p>
        </w:tc>
        <w:tc>
          <w:tcPr>
            <w:tcW w:w="1361" w:type="dxa"/>
            <w:tcBorders>
              <w:top w:val="nil"/>
              <w:left w:val="single" w:sz="18" w:space="0" w:color="5F497A" w:themeColor="accent4" w:themeShade="BF"/>
              <w:bottom w:val="nil"/>
              <w:right w:val="nil"/>
            </w:tcBorders>
            <w:vAlign w:val="bottom"/>
          </w:tcPr>
          <w:p w14:paraId="0836DB1E" w14:textId="58829D03" w:rsidR="00DC5BE9" w:rsidRPr="003E2D55" w:rsidRDefault="00DC5BE9" w:rsidP="003E2D55">
            <w:pPr>
              <w:spacing w:before="40" w:after="20"/>
              <w:jc w:val="right"/>
              <w:rPr>
                <w:rFonts w:cs="Arial"/>
                <w:sz w:val="18"/>
                <w:szCs w:val="18"/>
              </w:rPr>
            </w:pPr>
            <w:r w:rsidRPr="003E2D55">
              <w:rPr>
                <w:rFonts w:cs="Arial"/>
                <w:sz w:val="18"/>
                <w:szCs w:val="18"/>
              </w:rPr>
              <w:t>160,400</w:t>
            </w:r>
          </w:p>
        </w:tc>
        <w:tc>
          <w:tcPr>
            <w:tcW w:w="1361" w:type="dxa"/>
            <w:tcBorders>
              <w:top w:val="nil"/>
              <w:left w:val="nil"/>
              <w:bottom w:val="nil"/>
              <w:right w:val="nil"/>
            </w:tcBorders>
            <w:vAlign w:val="bottom"/>
          </w:tcPr>
          <w:p w14:paraId="3B80B011" w14:textId="25CE54BB" w:rsidR="00DC5BE9" w:rsidRPr="003E2D55" w:rsidRDefault="00DC5BE9" w:rsidP="003E2D55">
            <w:pPr>
              <w:spacing w:before="40" w:after="20"/>
              <w:jc w:val="right"/>
              <w:rPr>
                <w:rFonts w:cs="Arial"/>
                <w:sz w:val="18"/>
                <w:szCs w:val="18"/>
              </w:rPr>
            </w:pPr>
            <w:r w:rsidRPr="003E2D55">
              <w:rPr>
                <w:rFonts w:cs="Arial"/>
                <w:sz w:val="18"/>
                <w:szCs w:val="18"/>
              </w:rPr>
              <w:t>2,887,080</w:t>
            </w:r>
          </w:p>
        </w:tc>
        <w:tc>
          <w:tcPr>
            <w:tcW w:w="1701" w:type="dxa"/>
            <w:tcBorders>
              <w:top w:val="nil"/>
              <w:left w:val="nil"/>
              <w:bottom w:val="nil"/>
              <w:right w:val="nil"/>
            </w:tcBorders>
            <w:shd w:val="clear" w:color="auto" w:fill="auto"/>
            <w:vAlign w:val="bottom"/>
          </w:tcPr>
          <w:p w14:paraId="52EF4F6C" w14:textId="77955F33" w:rsidR="00DC5BE9" w:rsidRPr="003E2D55" w:rsidRDefault="00DC5BE9" w:rsidP="003E2D55">
            <w:pPr>
              <w:spacing w:before="40" w:after="20"/>
              <w:jc w:val="right"/>
              <w:rPr>
                <w:rFonts w:cs="Arial"/>
                <w:sz w:val="18"/>
                <w:szCs w:val="18"/>
              </w:rPr>
            </w:pPr>
            <w:r w:rsidRPr="003E2D55">
              <w:rPr>
                <w:rFonts w:cs="Arial"/>
                <w:sz w:val="18"/>
                <w:szCs w:val="18"/>
              </w:rPr>
              <w:t>14,555,887</w:t>
            </w:r>
          </w:p>
        </w:tc>
        <w:tc>
          <w:tcPr>
            <w:tcW w:w="284" w:type="dxa"/>
            <w:tcBorders>
              <w:top w:val="nil"/>
              <w:left w:val="nil"/>
              <w:bottom w:val="nil"/>
              <w:right w:val="nil"/>
            </w:tcBorders>
            <w:vAlign w:val="bottom"/>
          </w:tcPr>
          <w:p w14:paraId="443D36BC" w14:textId="38721C7E"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41C6B481" w14:textId="0CBBD615" w:rsidR="00DC5BE9" w:rsidRPr="003E2D55" w:rsidRDefault="00DC5BE9" w:rsidP="003E2D55">
            <w:pPr>
              <w:spacing w:before="40" w:after="20"/>
              <w:jc w:val="right"/>
              <w:rPr>
                <w:rFonts w:cs="Arial"/>
                <w:b/>
                <w:sz w:val="18"/>
                <w:szCs w:val="18"/>
              </w:rPr>
            </w:pPr>
            <w:r w:rsidRPr="003E2D55">
              <w:rPr>
                <w:rFonts w:cs="Arial"/>
                <w:b/>
                <w:sz w:val="18"/>
                <w:szCs w:val="18"/>
              </w:rPr>
              <w:t>2,455,275</w:t>
            </w:r>
          </w:p>
        </w:tc>
      </w:tr>
      <w:tr w:rsidR="00DC5BE9" w:rsidRPr="003E2D55" w14:paraId="6727F26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31D77D5" w14:textId="77777777" w:rsidR="00DC5BE9" w:rsidRPr="003E2D55" w:rsidRDefault="00DC5BE9" w:rsidP="003E2D55">
            <w:pPr>
              <w:spacing w:before="40" w:after="20"/>
              <w:rPr>
                <w:rFonts w:cs="Arial"/>
                <w:sz w:val="18"/>
                <w:szCs w:val="18"/>
              </w:rPr>
            </w:pPr>
            <w:r w:rsidRPr="003E2D55">
              <w:rPr>
                <w:rFonts w:cs="Arial"/>
                <w:sz w:val="18"/>
                <w:szCs w:val="18"/>
              </w:rPr>
              <w:t>Warrnambool C</w:t>
            </w:r>
          </w:p>
        </w:tc>
        <w:tc>
          <w:tcPr>
            <w:tcW w:w="1361" w:type="dxa"/>
            <w:tcBorders>
              <w:top w:val="nil"/>
              <w:left w:val="single" w:sz="18" w:space="0" w:color="5F497A" w:themeColor="accent4" w:themeShade="BF"/>
              <w:bottom w:val="nil"/>
              <w:right w:val="nil"/>
            </w:tcBorders>
            <w:vAlign w:val="bottom"/>
          </w:tcPr>
          <w:p w14:paraId="7C8B1B7D" w14:textId="1D10A1F9" w:rsidR="00DC5BE9" w:rsidRPr="003E2D55" w:rsidRDefault="00DC5BE9" w:rsidP="003E2D55">
            <w:pPr>
              <w:spacing w:before="40" w:after="20"/>
              <w:jc w:val="right"/>
              <w:rPr>
                <w:rFonts w:cs="Arial"/>
                <w:sz w:val="18"/>
                <w:szCs w:val="18"/>
              </w:rPr>
            </w:pPr>
            <w:r w:rsidRPr="003E2D55">
              <w:rPr>
                <w:rFonts w:cs="Arial"/>
                <w:sz w:val="18"/>
                <w:szCs w:val="18"/>
              </w:rPr>
              <w:t>60,400</w:t>
            </w:r>
          </w:p>
        </w:tc>
        <w:tc>
          <w:tcPr>
            <w:tcW w:w="1361" w:type="dxa"/>
            <w:tcBorders>
              <w:top w:val="nil"/>
              <w:left w:val="nil"/>
              <w:bottom w:val="nil"/>
              <w:right w:val="nil"/>
            </w:tcBorders>
            <w:vAlign w:val="bottom"/>
          </w:tcPr>
          <w:p w14:paraId="7FAA86F0" w14:textId="222285BB" w:rsidR="00DC5BE9" w:rsidRPr="003E2D55" w:rsidRDefault="00DC5BE9" w:rsidP="003E2D55">
            <w:pPr>
              <w:spacing w:before="40" w:after="20"/>
              <w:jc w:val="right"/>
              <w:rPr>
                <w:rFonts w:cs="Arial"/>
                <w:sz w:val="18"/>
                <w:szCs w:val="18"/>
              </w:rPr>
            </w:pPr>
            <w:r w:rsidRPr="003E2D55">
              <w:rPr>
                <w:rFonts w:cs="Arial"/>
                <w:sz w:val="18"/>
                <w:szCs w:val="18"/>
              </w:rPr>
              <w:t>512,760</w:t>
            </w:r>
          </w:p>
        </w:tc>
        <w:tc>
          <w:tcPr>
            <w:tcW w:w="1701" w:type="dxa"/>
            <w:tcBorders>
              <w:top w:val="nil"/>
              <w:left w:val="nil"/>
              <w:bottom w:val="nil"/>
              <w:right w:val="nil"/>
            </w:tcBorders>
            <w:shd w:val="clear" w:color="auto" w:fill="auto"/>
            <w:vAlign w:val="bottom"/>
          </w:tcPr>
          <w:p w14:paraId="4C07A132" w14:textId="21711A39" w:rsidR="00DC5BE9" w:rsidRPr="003E2D55" w:rsidRDefault="00DC5BE9" w:rsidP="003E2D55">
            <w:pPr>
              <w:spacing w:before="40" w:after="20"/>
              <w:jc w:val="right"/>
              <w:rPr>
                <w:rFonts w:cs="Arial"/>
                <w:sz w:val="18"/>
                <w:szCs w:val="18"/>
              </w:rPr>
            </w:pPr>
            <w:r w:rsidRPr="003E2D55">
              <w:rPr>
                <w:rFonts w:cs="Arial"/>
                <w:sz w:val="18"/>
                <w:szCs w:val="18"/>
              </w:rPr>
              <w:t>3,952,446</w:t>
            </w:r>
          </w:p>
        </w:tc>
        <w:tc>
          <w:tcPr>
            <w:tcW w:w="284" w:type="dxa"/>
            <w:tcBorders>
              <w:top w:val="nil"/>
              <w:left w:val="nil"/>
              <w:bottom w:val="nil"/>
              <w:right w:val="nil"/>
            </w:tcBorders>
            <w:vAlign w:val="bottom"/>
          </w:tcPr>
          <w:p w14:paraId="1E6608EA" w14:textId="0B07B488"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5BBFC651" w14:textId="41A5853F" w:rsidR="00DC5BE9" w:rsidRPr="003E2D55" w:rsidRDefault="00DC5BE9" w:rsidP="003E2D55">
            <w:pPr>
              <w:spacing w:before="40" w:after="20"/>
              <w:jc w:val="right"/>
              <w:rPr>
                <w:rFonts w:cs="Arial"/>
                <w:b/>
                <w:sz w:val="18"/>
                <w:szCs w:val="18"/>
              </w:rPr>
            </w:pPr>
            <w:r w:rsidRPr="003E2D55">
              <w:rPr>
                <w:rFonts w:cs="Arial"/>
                <w:b/>
                <w:sz w:val="18"/>
                <w:szCs w:val="18"/>
              </w:rPr>
              <w:t>666,695</w:t>
            </w:r>
          </w:p>
        </w:tc>
      </w:tr>
      <w:tr w:rsidR="00DC5BE9" w:rsidRPr="003E2D55" w14:paraId="03588CFF"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028A7518" w14:textId="77777777" w:rsidR="00DC5BE9" w:rsidRPr="003E2D55" w:rsidRDefault="00DC5BE9" w:rsidP="003E2D55">
            <w:pPr>
              <w:spacing w:before="40" w:after="20"/>
              <w:rPr>
                <w:rFonts w:cs="Arial"/>
                <w:sz w:val="18"/>
                <w:szCs w:val="18"/>
              </w:rPr>
            </w:pPr>
            <w:r w:rsidRPr="003E2D55">
              <w:rPr>
                <w:rFonts w:cs="Arial"/>
                <w:sz w:val="18"/>
                <w:szCs w:val="18"/>
              </w:rPr>
              <w:t>Wellington S</w:t>
            </w:r>
          </w:p>
        </w:tc>
        <w:tc>
          <w:tcPr>
            <w:tcW w:w="1361" w:type="dxa"/>
            <w:tcBorders>
              <w:top w:val="nil"/>
              <w:left w:val="single" w:sz="18" w:space="0" w:color="5F497A" w:themeColor="accent4" w:themeShade="BF"/>
              <w:bottom w:val="nil"/>
              <w:right w:val="nil"/>
            </w:tcBorders>
            <w:vAlign w:val="bottom"/>
          </w:tcPr>
          <w:p w14:paraId="14BAC4E1" w14:textId="05F59270" w:rsidR="00DC5BE9" w:rsidRPr="003E2D55" w:rsidRDefault="00DC5BE9" w:rsidP="003E2D55">
            <w:pPr>
              <w:spacing w:before="40" w:after="20"/>
              <w:jc w:val="right"/>
              <w:rPr>
                <w:rFonts w:cs="Arial"/>
                <w:sz w:val="18"/>
                <w:szCs w:val="18"/>
              </w:rPr>
            </w:pPr>
            <w:r w:rsidRPr="003E2D55">
              <w:rPr>
                <w:rFonts w:cs="Arial"/>
                <w:sz w:val="18"/>
                <w:szCs w:val="18"/>
              </w:rPr>
              <w:t>95,318</w:t>
            </w:r>
          </w:p>
        </w:tc>
        <w:tc>
          <w:tcPr>
            <w:tcW w:w="1361" w:type="dxa"/>
            <w:tcBorders>
              <w:top w:val="nil"/>
              <w:left w:val="nil"/>
              <w:bottom w:val="nil"/>
              <w:right w:val="nil"/>
            </w:tcBorders>
            <w:vAlign w:val="bottom"/>
          </w:tcPr>
          <w:p w14:paraId="5C1FB731" w14:textId="38FF9048" w:rsidR="00DC5BE9" w:rsidRPr="003E2D55" w:rsidRDefault="00DC5BE9" w:rsidP="003E2D55">
            <w:pPr>
              <w:spacing w:before="40" w:after="20"/>
              <w:jc w:val="right"/>
              <w:rPr>
                <w:rFonts w:cs="Arial"/>
                <w:sz w:val="18"/>
                <w:szCs w:val="18"/>
              </w:rPr>
            </w:pPr>
            <w:r w:rsidRPr="003E2D55">
              <w:rPr>
                <w:rFonts w:cs="Arial"/>
                <w:sz w:val="18"/>
                <w:szCs w:val="18"/>
              </w:rPr>
              <w:t>2,747,221</w:t>
            </w:r>
          </w:p>
        </w:tc>
        <w:tc>
          <w:tcPr>
            <w:tcW w:w="1701" w:type="dxa"/>
            <w:tcBorders>
              <w:top w:val="nil"/>
              <w:left w:val="nil"/>
              <w:bottom w:val="nil"/>
              <w:right w:val="nil"/>
            </w:tcBorders>
            <w:shd w:val="clear" w:color="auto" w:fill="auto"/>
            <w:vAlign w:val="bottom"/>
          </w:tcPr>
          <w:p w14:paraId="47C3C045" w14:textId="3F4ED979" w:rsidR="00DC5BE9" w:rsidRPr="003E2D55" w:rsidRDefault="00DC5BE9" w:rsidP="003E2D55">
            <w:pPr>
              <w:spacing w:before="40" w:after="20"/>
              <w:jc w:val="right"/>
              <w:rPr>
                <w:rFonts w:cs="Arial"/>
                <w:sz w:val="18"/>
                <w:szCs w:val="18"/>
              </w:rPr>
            </w:pPr>
            <w:r w:rsidRPr="003E2D55">
              <w:rPr>
                <w:rFonts w:cs="Arial"/>
                <w:sz w:val="18"/>
                <w:szCs w:val="18"/>
              </w:rPr>
              <w:t>29,460,741</w:t>
            </w:r>
          </w:p>
        </w:tc>
        <w:tc>
          <w:tcPr>
            <w:tcW w:w="284" w:type="dxa"/>
            <w:tcBorders>
              <w:top w:val="nil"/>
              <w:left w:val="nil"/>
              <w:bottom w:val="nil"/>
              <w:right w:val="nil"/>
            </w:tcBorders>
            <w:vAlign w:val="bottom"/>
          </w:tcPr>
          <w:p w14:paraId="40E5B10F" w14:textId="4EF9BD17"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3BB3FF5E" w14:textId="5DD7F5CB" w:rsidR="00DC5BE9" w:rsidRPr="003E2D55" w:rsidRDefault="00DC5BE9" w:rsidP="003E2D55">
            <w:pPr>
              <w:spacing w:before="40" w:after="20"/>
              <w:jc w:val="right"/>
              <w:rPr>
                <w:rFonts w:cs="Arial"/>
                <w:b/>
                <w:sz w:val="18"/>
                <w:szCs w:val="18"/>
              </w:rPr>
            </w:pPr>
            <w:r w:rsidRPr="003E2D55">
              <w:rPr>
                <w:rFonts w:cs="Arial"/>
                <w:b/>
                <w:sz w:val="18"/>
                <w:szCs w:val="18"/>
              </w:rPr>
              <w:t>4,969,414</w:t>
            </w:r>
          </w:p>
        </w:tc>
      </w:tr>
      <w:tr w:rsidR="00DC5BE9" w:rsidRPr="003E2D55" w14:paraId="7EE172F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7725CFED" w14:textId="77777777" w:rsidR="00DC5BE9" w:rsidRPr="003E2D55" w:rsidRDefault="00DC5BE9" w:rsidP="003E2D55">
            <w:pPr>
              <w:spacing w:before="40" w:after="20"/>
              <w:rPr>
                <w:rFonts w:cs="Arial"/>
                <w:sz w:val="18"/>
                <w:szCs w:val="18"/>
              </w:rPr>
            </w:pPr>
            <w:r w:rsidRPr="003E2D55">
              <w:rPr>
                <w:rFonts w:cs="Arial"/>
                <w:sz w:val="18"/>
                <w:szCs w:val="18"/>
              </w:rPr>
              <w:t>West Wimmera S</w:t>
            </w:r>
          </w:p>
        </w:tc>
        <w:tc>
          <w:tcPr>
            <w:tcW w:w="1361" w:type="dxa"/>
            <w:tcBorders>
              <w:top w:val="nil"/>
              <w:left w:val="single" w:sz="18" w:space="0" w:color="5F497A" w:themeColor="accent4" w:themeShade="BF"/>
              <w:bottom w:val="nil"/>
              <w:right w:val="nil"/>
            </w:tcBorders>
            <w:vAlign w:val="bottom"/>
          </w:tcPr>
          <w:p w14:paraId="00A6A745" w14:textId="40FD4FCD" w:rsidR="00DC5BE9" w:rsidRPr="003E2D55" w:rsidRDefault="00DC5BE9" w:rsidP="003E2D55">
            <w:pPr>
              <w:spacing w:before="40" w:after="20"/>
              <w:jc w:val="right"/>
              <w:rPr>
                <w:rFonts w:cs="Arial"/>
                <w:sz w:val="18"/>
                <w:szCs w:val="18"/>
              </w:rPr>
            </w:pPr>
            <w:r w:rsidRPr="003E2D55">
              <w:rPr>
                <w:rFonts w:cs="Arial"/>
                <w:sz w:val="18"/>
                <w:szCs w:val="18"/>
              </w:rPr>
              <w:t>3,800</w:t>
            </w:r>
          </w:p>
        </w:tc>
        <w:tc>
          <w:tcPr>
            <w:tcW w:w="1361" w:type="dxa"/>
            <w:tcBorders>
              <w:top w:val="nil"/>
              <w:left w:val="nil"/>
              <w:bottom w:val="nil"/>
              <w:right w:val="nil"/>
            </w:tcBorders>
            <w:vAlign w:val="bottom"/>
          </w:tcPr>
          <w:p w14:paraId="146BB266" w14:textId="50EB4A42" w:rsidR="00DC5BE9" w:rsidRPr="003E2D55" w:rsidRDefault="00DC5BE9" w:rsidP="003E2D55">
            <w:pPr>
              <w:spacing w:before="40" w:after="20"/>
              <w:jc w:val="right"/>
              <w:rPr>
                <w:rFonts w:cs="Arial"/>
                <w:sz w:val="18"/>
                <w:szCs w:val="18"/>
              </w:rPr>
            </w:pPr>
            <w:r w:rsidRPr="003E2D55">
              <w:rPr>
                <w:rFonts w:cs="Arial"/>
                <w:sz w:val="18"/>
                <w:szCs w:val="18"/>
              </w:rPr>
              <w:t>257,400</w:t>
            </w:r>
          </w:p>
        </w:tc>
        <w:tc>
          <w:tcPr>
            <w:tcW w:w="1701" w:type="dxa"/>
            <w:tcBorders>
              <w:top w:val="nil"/>
              <w:left w:val="nil"/>
              <w:bottom w:val="nil"/>
              <w:right w:val="nil"/>
            </w:tcBorders>
            <w:shd w:val="clear" w:color="auto" w:fill="auto"/>
            <w:vAlign w:val="bottom"/>
          </w:tcPr>
          <w:p w14:paraId="02A7AC9B" w14:textId="6D8C9732" w:rsidR="00DC5BE9" w:rsidRPr="003E2D55" w:rsidRDefault="00DC5BE9" w:rsidP="003E2D55">
            <w:pPr>
              <w:spacing w:before="40" w:after="20"/>
              <w:jc w:val="right"/>
              <w:rPr>
                <w:rFonts w:cs="Arial"/>
                <w:sz w:val="18"/>
                <w:szCs w:val="18"/>
              </w:rPr>
            </w:pPr>
            <w:r w:rsidRPr="003E2D55">
              <w:rPr>
                <w:rFonts w:cs="Arial"/>
                <w:sz w:val="18"/>
                <w:szCs w:val="18"/>
              </w:rPr>
              <w:t>14,248,413</w:t>
            </w:r>
          </w:p>
        </w:tc>
        <w:tc>
          <w:tcPr>
            <w:tcW w:w="284" w:type="dxa"/>
            <w:tcBorders>
              <w:top w:val="nil"/>
              <w:left w:val="nil"/>
              <w:bottom w:val="nil"/>
              <w:right w:val="nil"/>
            </w:tcBorders>
            <w:vAlign w:val="bottom"/>
          </w:tcPr>
          <w:p w14:paraId="42CDC7E2" w14:textId="45915578"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7595621A" w14:textId="7388C39E" w:rsidR="00DC5BE9" w:rsidRPr="003E2D55" w:rsidRDefault="00DC5BE9" w:rsidP="003E2D55">
            <w:pPr>
              <w:spacing w:before="40" w:after="20"/>
              <w:jc w:val="right"/>
              <w:rPr>
                <w:rFonts w:cs="Arial"/>
                <w:b/>
                <w:sz w:val="18"/>
                <w:szCs w:val="18"/>
              </w:rPr>
            </w:pPr>
            <w:r w:rsidRPr="003E2D55">
              <w:rPr>
                <w:rFonts w:cs="Arial"/>
                <w:b/>
                <w:sz w:val="18"/>
                <w:szCs w:val="18"/>
              </w:rPr>
              <w:t>2,403,411</w:t>
            </w:r>
          </w:p>
        </w:tc>
      </w:tr>
      <w:tr w:rsidR="00DC5BE9" w:rsidRPr="003E2D55" w14:paraId="04FC50F0"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A03B204" w14:textId="77777777" w:rsidR="00DC5BE9" w:rsidRPr="003E2D55" w:rsidRDefault="00DC5BE9" w:rsidP="003E2D55">
            <w:pPr>
              <w:spacing w:before="40" w:after="20"/>
              <w:rPr>
                <w:rFonts w:cs="Arial"/>
                <w:sz w:val="18"/>
                <w:szCs w:val="18"/>
              </w:rPr>
            </w:pPr>
            <w:r w:rsidRPr="003E2D55">
              <w:rPr>
                <w:rFonts w:cs="Arial"/>
                <w:sz w:val="18"/>
                <w:szCs w:val="18"/>
              </w:rPr>
              <w:t>Whitehorse C</w:t>
            </w:r>
          </w:p>
        </w:tc>
        <w:tc>
          <w:tcPr>
            <w:tcW w:w="1361" w:type="dxa"/>
            <w:tcBorders>
              <w:top w:val="nil"/>
              <w:left w:val="single" w:sz="18" w:space="0" w:color="5F497A" w:themeColor="accent4" w:themeShade="BF"/>
              <w:bottom w:val="nil"/>
              <w:right w:val="nil"/>
            </w:tcBorders>
            <w:vAlign w:val="bottom"/>
          </w:tcPr>
          <w:p w14:paraId="6AD0FFEB" w14:textId="60C57B3C" w:rsidR="00DC5BE9" w:rsidRPr="003E2D55" w:rsidRDefault="00DC5BE9" w:rsidP="003E2D55">
            <w:pPr>
              <w:spacing w:before="40" w:after="20"/>
              <w:jc w:val="right"/>
              <w:rPr>
                <w:rFonts w:cs="Arial"/>
                <w:sz w:val="18"/>
                <w:szCs w:val="18"/>
              </w:rPr>
            </w:pPr>
            <w:r w:rsidRPr="003E2D55">
              <w:rPr>
                <w:rFonts w:cs="Arial"/>
                <w:sz w:val="18"/>
                <w:szCs w:val="18"/>
              </w:rPr>
              <w:t>5,000</w:t>
            </w:r>
          </w:p>
        </w:tc>
        <w:tc>
          <w:tcPr>
            <w:tcW w:w="1361" w:type="dxa"/>
            <w:tcBorders>
              <w:top w:val="nil"/>
              <w:left w:val="nil"/>
              <w:bottom w:val="nil"/>
              <w:right w:val="nil"/>
            </w:tcBorders>
            <w:vAlign w:val="bottom"/>
          </w:tcPr>
          <w:p w14:paraId="6EF6CA9C" w14:textId="131589F0" w:rsidR="00DC5BE9" w:rsidRPr="003E2D55" w:rsidRDefault="00DC5BE9" w:rsidP="003E2D55">
            <w:pPr>
              <w:spacing w:before="40" w:after="20"/>
              <w:jc w:val="right"/>
              <w:rPr>
                <w:rFonts w:cs="Arial"/>
                <w:sz w:val="18"/>
                <w:szCs w:val="18"/>
              </w:rPr>
            </w:pPr>
            <w:r w:rsidRPr="003E2D55">
              <w:rPr>
                <w:rFonts w:cs="Arial"/>
                <w:sz w:val="18"/>
                <w:szCs w:val="18"/>
              </w:rPr>
              <w:t>102,600</w:t>
            </w:r>
          </w:p>
        </w:tc>
        <w:tc>
          <w:tcPr>
            <w:tcW w:w="1701" w:type="dxa"/>
            <w:tcBorders>
              <w:top w:val="nil"/>
              <w:left w:val="nil"/>
              <w:bottom w:val="nil"/>
              <w:right w:val="nil"/>
            </w:tcBorders>
            <w:shd w:val="clear" w:color="auto" w:fill="auto"/>
            <w:vAlign w:val="bottom"/>
          </w:tcPr>
          <w:p w14:paraId="0CC7C6C6" w14:textId="3C596732" w:rsidR="00DC5BE9" w:rsidRPr="003E2D55" w:rsidRDefault="00DC5BE9" w:rsidP="003E2D55">
            <w:pPr>
              <w:spacing w:before="40" w:after="20"/>
              <w:jc w:val="right"/>
              <w:rPr>
                <w:rFonts w:cs="Arial"/>
                <w:sz w:val="18"/>
                <w:szCs w:val="18"/>
              </w:rPr>
            </w:pPr>
            <w:r w:rsidRPr="003E2D55">
              <w:rPr>
                <w:rFonts w:cs="Arial"/>
                <w:sz w:val="18"/>
                <w:szCs w:val="18"/>
              </w:rPr>
              <w:t>6,266,122</w:t>
            </w:r>
          </w:p>
        </w:tc>
        <w:tc>
          <w:tcPr>
            <w:tcW w:w="284" w:type="dxa"/>
            <w:tcBorders>
              <w:top w:val="nil"/>
              <w:left w:val="nil"/>
              <w:bottom w:val="nil"/>
              <w:right w:val="nil"/>
            </w:tcBorders>
            <w:vAlign w:val="bottom"/>
          </w:tcPr>
          <w:p w14:paraId="45030FE0" w14:textId="4CD8CD0B"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67215665" w14:textId="343EFDB5" w:rsidR="00DC5BE9" w:rsidRPr="003E2D55" w:rsidRDefault="00DC5BE9" w:rsidP="003E2D55">
            <w:pPr>
              <w:spacing w:before="40" w:after="20"/>
              <w:jc w:val="right"/>
              <w:rPr>
                <w:rFonts w:cs="Arial"/>
                <w:b/>
                <w:sz w:val="18"/>
                <w:szCs w:val="18"/>
              </w:rPr>
            </w:pPr>
            <w:r w:rsidRPr="003E2D55">
              <w:rPr>
                <w:rFonts w:cs="Arial"/>
                <w:b/>
                <w:sz w:val="18"/>
                <w:szCs w:val="18"/>
              </w:rPr>
              <w:t>1,056,965</w:t>
            </w:r>
          </w:p>
        </w:tc>
      </w:tr>
      <w:tr w:rsidR="00DC5BE9" w:rsidRPr="003E2D55" w14:paraId="21ED6D74"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5EB9BE68" w14:textId="77777777" w:rsidR="00DC5BE9" w:rsidRPr="003E2D55" w:rsidRDefault="00DC5BE9" w:rsidP="003E2D55">
            <w:pPr>
              <w:spacing w:before="40" w:after="20"/>
              <w:rPr>
                <w:rFonts w:cs="Arial"/>
                <w:sz w:val="18"/>
                <w:szCs w:val="18"/>
              </w:rPr>
            </w:pPr>
            <w:r w:rsidRPr="003E2D55">
              <w:rPr>
                <w:rFonts w:cs="Arial"/>
                <w:sz w:val="18"/>
                <w:szCs w:val="18"/>
              </w:rPr>
              <w:t>Whittlesea C</w:t>
            </w:r>
          </w:p>
        </w:tc>
        <w:tc>
          <w:tcPr>
            <w:tcW w:w="1361" w:type="dxa"/>
            <w:tcBorders>
              <w:top w:val="nil"/>
              <w:left w:val="single" w:sz="18" w:space="0" w:color="5F497A" w:themeColor="accent4" w:themeShade="BF"/>
              <w:bottom w:val="nil"/>
              <w:right w:val="nil"/>
            </w:tcBorders>
            <w:vAlign w:val="bottom"/>
          </w:tcPr>
          <w:p w14:paraId="16CA96F7" w14:textId="6F97D301"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750E4CE1" w14:textId="2E86CDCB" w:rsidR="00DC5BE9" w:rsidRPr="003E2D55" w:rsidRDefault="00DC5BE9" w:rsidP="003E2D55">
            <w:pPr>
              <w:spacing w:before="40" w:after="20"/>
              <w:jc w:val="right"/>
              <w:rPr>
                <w:rFonts w:cs="Arial"/>
                <w:sz w:val="18"/>
                <w:szCs w:val="18"/>
              </w:rPr>
            </w:pPr>
            <w:r w:rsidRPr="003E2D55">
              <w:rPr>
                <w:rFonts w:cs="Arial"/>
                <w:sz w:val="18"/>
                <w:szCs w:val="18"/>
              </w:rPr>
              <w:t>1,703,400</w:t>
            </w:r>
          </w:p>
        </w:tc>
        <w:tc>
          <w:tcPr>
            <w:tcW w:w="1701" w:type="dxa"/>
            <w:tcBorders>
              <w:top w:val="nil"/>
              <w:left w:val="nil"/>
              <w:bottom w:val="nil"/>
              <w:right w:val="nil"/>
            </w:tcBorders>
            <w:shd w:val="clear" w:color="auto" w:fill="auto"/>
            <w:vAlign w:val="bottom"/>
          </w:tcPr>
          <w:p w14:paraId="40A85B0F" w14:textId="0491A51D" w:rsidR="00DC5BE9" w:rsidRPr="003E2D55" w:rsidRDefault="00DC5BE9" w:rsidP="003E2D55">
            <w:pPr>
              <w:spacing w:before="40" w:after="20"/>
              <w:jc w:val="right"/>
              <w:rPr>
                <w:rFonts w:cs="Arial"/>
                <w:sz w:val="18"/>
                <w:szCs w:val="18"/>
              </w:rPr>
            </w:pPr>
            <w:r w:rsidRPr="003E2D55">
              <w:rPr>
                <w:rFonts w:cs="Arial"/>
                <w:sz w:val="18"/>
                <w:szCs w:val="18"/>
              </w:rPr>
              <w:t>13,160,443</w:t>
            </w:r>
          </w:p>
        </w:tc>
        <w:tc>
          <w:tcPr>
            <w:tcW w:w="284" w:type="dxa"/>
            <w:tcBorders>
              <w:top w:val="nil"/>
              <w:left w:val="nil"/>
              <w:bottom w:val="nil"/>
              <w:right w:val="nil"/>
            </w:tcBorders>
            <w:vAlign w:val="bottom"/>
          </w:tcPr>
          <w:p w14:paraId="00F1B9CB" w14:textId="6277FE22"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15BA2A17" w14:textId="305D4BD3" w:rsidR="00DC5BE9" w:rsidRPr="003E2D55" w:rsidRDefault="00DC5BE9" w:rsidP="003E2D55">
            <w:pPr>
              <w:spacing w:before="40" w:after="20"/>
              <w:jc w:val="right"/>
              <w:rPr>
                <w:rFonts w:cs="Arial"/>
                <w:b/>
                <w:sz w:val="18"/>
                <w:szCs w:val="18"/>
              </w:rPr>
            </w:pPr>
            <w:r w:rsidRPr="003E2D55">
              <w:rPr>
                <w:rFonts w:cs="Arial"/>
                <w:b/>
                <w:sz w:val="18"/>
                <w:szCs w:val="18"/>
              </w:rPr>
              <w:t>2,219,893</w:t>
            </w:r>
          </w:p>
        </w:tc>
      </w:tr>
      <w:tr w:rsidR="00DC5BE9" w:rsidRPr="003E2D55" w14:paraId="1D1C932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2C8CBE5A" w14:textId="77777777" w:rsidR="00DC5BE9" w:rsidRPr="003E2D55" w:rsidRDefault="00DC5BE9" w:rsidP="003E2D55">
            <w:pPr>
              <w:spacing w:before="40" w:after="20"/>
              <w:rPr>
                <w:rFonts w:cs="Arial"/>
                <w:sz w:val="18"/>
                <w:szCs w:val="18"/>
              </w:rPr>
            </w:pPr>
            <w:r w:rsidRPr="003E2D55">
              <w:rPr>
                <w:rFonts w:cs="Arial"/>
                <w:sz w:val="18"/>
                <w:szCs w:val="18"/>
              </w:rPr>
              <w:t>Wodonga C</w:t>
            </w:r>
          </w:p>
        </w:tc>
        <w:tc>
          <w:tcPr>
            <w:tcW w:w="1361" w:type="dxa"/>
            <w:tcBorders>
              <w:top w:val="nil"/>
              <w:left w:val="single" w:sz="18" w:space="0" w:color="5F497A" w:themeColor="accent4" w:themeShade="BF"/>
              <w:bottom w:val="nil"/>
              <w:right w:val="nil"/>
            </w:tcBorders>
            <w:vAlign w:val="bottom"/>
          </w:tcPr>
          <w:p w14:paraId="2E6F59EA" w14:textId="06329F98" w:rsidR="00DC5BE9" w:rsidRPr="003E2D55" w:rsidRDefault="00DC5BE9" w:rsidP="003E2D55">
            <w:pPr>
              <w:spacing w:before="40" w:after="20"/>
              <w:jc w:val="right"/>
              <w:rPr>
                <w:rFonts w:cs="Arial"/>
                <w:sz w:val="18"/>
                <w:szCs w:val="18"/>
              </w:rPr>
            </w:pPr>
            <w:r w:rsidRPr="003E2D55">
              <w:rPr>
                <w:rFonts w:cs="Arial"/>
                <w:sz w:val="18"/>
                <w:szCs w:val="18"/>
              </w:rPr>
              <w:t>7,200</w:t>
            </w:r>
          </w:p>
        </w:tc>
        <w:tc>
          <w:tcPr>
            <w:tcW w:w="1361" w:type="dxa"/>
            <w:tcBorders>
              <w:top w:val="nil"/>
              <w:left w:val="nil"/>
              <w:bottom w:val="nil"/>
              <w:right w:val="nil"/>
            </w:tcBorders>
            <w:vAlign w:val="bottom"/>
          </w:tcPr>
          <w:p w14:paraId="00D929F9" w14:textId="5F2137B3" w:rsidR="00DC5BE9" w:rsidRPr="003E2D55" w:rsidRDefault="00DC5BE9" w:rsidP="003E2D55">
            <w:pPr>
              <w:spacing w:before="40" w:after="20"/>
              <w:jc w:val="right"/>
              <w:rPr>
                <w:rFonts w:cs="Arial"/>
                <w:sz w:val="18"/>
                <w:szCs w:val="18"/>
              </w:rPr>
            </w:pPr>
            <w:r w:rsidRPr="003E2D55">
              <w:rPr>
                <w:rFonts w:cs="Arial"/>
                <w:sz w:val="18"/>
                <w:szCs w:val="18"/>
              </w:rPr>
              <w:t>451,560</w:t>
            </w:r>
          </w:p>
        </w:tc>
        <w:tc>
          <w:tcPr>
            <w:tcW w:w="1701" w:type="dxa"/>
            <w:tcBorders>
              <w:top w:val="nil"/>
              <w:left w:val="nil"/>
              <w:bottom w:val="nil"/>
              <w:right w:val="nil"/>
            </w:tcBorders>
            <w:shd w:val="clear" w:color="auto" w:fill="auto"/>
            <w:vAlign w:val="bottom"/>
          </w:tcPr>
          <w:p w14:paraId="262BDF45" w14:textId="1862B1AF" w:rsidR="00DC5BE9" w:rsidRPr="003E2D55" w:rsidRDefault="00DC5BE9" w:rsidP="003E2D55">
            <w:pPr>
              <w:spacing w:before="40" w:after="20"/>
              <w:jc w:val="right"/>
              <w:rPr>
                <w:rFonts w:cs="Arial"/>
                <w:sz w:val="18"/>
                <w:szCs w:val="18"/>
              </w:rPr>
            </w:pPr>
            <w:r w:rsidRPr="003E2D55">
              <w:rPr>
                <w:rFonts w:cs="Arial"/>
                <w:sz w:val="18"/>
                <w:szCs w:val="18"/>
              </w:rPr>
              <w:t>4,601,156</w:t>
            </w:r>
          </w:p>
        </w:tc>
        <w:tc>
          <w:tcPr>
            <w:tcW w:w="284" w:type="dxa"/>
            <w:tcBorders>
              <w:top w:val="nil"/>
              <w:left w:val="nil"/>
              <w:bottom w:val="nil"/>
              <w:right w:val="nil"/>
            </w:tcBorders>
            <w:vAlign w:val="bottom"/>
          </w:tcPr>
          <w:p w14:paraId="1D2B8430" w14:textId="1D475062"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7C211B2D" w14:textId="53E36FDB" w:rsidR="00DC5BE9" w:rsidRPr="003E2D55" w:rsidRDefault="00DC5BE9" w:rsidP="003E2D55">
            <w:pPr>
              <w:spacing w:before="40" w:after="20"/>
              <w:jc w:val="right"/>
              <w:rPr>
                <w:rFonts w:cs="Arial"/>
                <w:b/>
                <w:sz w:val="18"/>
                <w:szCs w:val="18"/>
              </w:rPr>
            </w:pPr>
            <w:r w:rsidRPr="003E2D55">
              <w:rPr>
                <w:rFonts w:cs="Arial"/>
                <w:b/>
                <w:sz w:val="18"/>
                <w:szCs w:val="18"/>
              </w:rPr>
              <w:t>776,119</w:t>
            </w:r>
          </w:p>
        </w:tc>
      </w:tr>
      <w:tr w:rsidR="00DC5BE9" w:rsidRPr="003E2D55" w14:paraId="19361862"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6C45524B" w14:textId="77777777" w:rsidR="00DC5BE9" w:rsidRPr="003E2D55" w:rsidRDefault="00DC5BE9" w:rsidP="003E2D55">
            <w:pPr>
              <w:spacing w:before="40" w:after="20"/>
              <w:rPr>
                <w:rFonts w:cs="Arial"/>
                <w:sz w:val="18"/>
                <w:szCs w:val="18"/>
              </w:rPr>
            </w:pPr>
            <w:r w:rsidRPr="003E2D55">
              <w:rPr>
                <w:rFonts w:cs="Arial"/>
                <w:sz w:val="18"/>
                <w:szCs w:val="18"/>
              </w:rPr>
              <w:t>Wyndham C</w:t>
            </w:r>
          </w:p>
        </w:tc>
        <w:tc>
          <w:tcPr>
            <w:tcW w:w="1361" w:type="dxa"/>
            <w:tcBorders>
              <w:top w:val="nil"/>
              <w:left w:val="single" w:sz="18" w:space="0" w:color="5F497A" w:themeColor="accent4" w:themeShade="BF"/>
              <w:bottom w:val="nil"/>
              <w:right w:val="nil"/>
            </w:tcBorders>
            <w:vAlign w:val="bottom"/>
          </w:tcPr>
          <w:p w14:paraId="3A730A5F" w14:textId="5746FD7F"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6A61B38E" w14:textId="5977E247" w:rsidR="00DC5BE9" w:rsidRPr="003E2D55" w:rsidRDefault="00DC5BE9" w:rsidP="003E2D55">
            <w:pPr>
              <w:spacing w:before="40" w:after="20"/>
              <w:jc w:val="right"/>
              <w:rPr>
                <w:rFonts w:cs="Arial"/>
                <w:sz w:val="18"/>
                <w:szCs w:val="18"/>
              </w:rPr>
            </w:pPr>
            <w:r w:rsidRPr="003E2D55">
              <w:rPr>
                <w:rFonts w:cs="Arial"/>
                <w:sz w:val="18"/>
                <w:szCs w:val="18"/>
              </w:rPr>
              <w:t>302,760</w:t>
            </w:r>
          </w:p>
        </w:tc>
        <w:tc>
          <w:tcPr>
            <w:tcW w:w="1701" w:type="dxa"/>
            <w:tcBorders>
              <w:top w:val="nil"/>
              <w:left w:val="nil"/>
              <w:bottom w:val="nil"/>
              <w:right w:val="nil"/>
            </w:tcBorders>
            <w:shd w:val="clear" w:color="auto" w:fill="auto"/>
            <w:vAlign w:val="bottom"/>
          </w:tcPr>
          <w:p w14:paraId="41322EA5" w14:textId="6730A245" w:rsidR="00DC5BE9" w:rsidRPr="003E2D55" w:rsidRDefault="00DC5BE9" w:rsidP="003E2D55">
            <w:pPr>
              <w:spacing w:before="40" w:after="20"/>
              <w:jc w:val="right"/>
              <w:rPr>
                <w:rFonts w:cs="Arial"/>
                <w:sz w:val="18"/>
                <w:szCs w:val="18"/>
              </w:rPr>
            </w:pPr>
            <w:r w:rsidRPr="003E2D55">
              <w:rPr>
                <w:rFonts w:cs="Arial"/>
                <w:sz w:val="18"/>
                <w:szCs w:val="18"/>
              </w:rPr>
              <w:t>14,675,979</w:t>
            </w:r>
          </w:p>
        </w:tc>
        <w:tc>
          <w:tcPr>
            <w:tcW w:w="284" w:type="dxa"/>
            <w:tcBorders>
              <w:top w:val="nil"/>
              <w:left w:val="nil"/>
              <w:bottom w:val="nil"/>
              <w:right w:val="nil"/>
            </w:tcBorders>
            <w:vAlign w:val="bottom"/>
          </w:tcPr>
          <w:p w14:paraId="6DDF8121" w14:textId="4FCE2129"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3D344489" w14:textId="31DAF18B" w:rsidR="00DC5BE9" w:rsidRPr="003E2D55" w:rsidRDefault="00DC5BE9" w:rsidP="003E2D55">
            <w:pPr>
              <w:spacing w:before="40" w:after="20"/>
              <w:jc w:val="right"/>
              <w:rPr>
                <w:rFonts w:cs="Arial"/>
                <w:b/>
                <w:sz w:val="18"/>
                <w:szCs w:val="18"/>
              </w:rPr>
            </w:pPr>
            <w:r w:rsidRPr="003E2D55">
              <w:rPr>
                <w:rFonts w:cs="Arial"/>
                <w:b/>
                <w:sz w:val="18"/>
                <w:szCs w:val="18"/>
              </w:rPr>
              <w:t>2,475,532</w:t>
            </w:r>
          </w:p>
        </w:tc>
      </w:tr>
      <w:tr w:rsidR="00DC5BE9" w:rsidRPr="003E2D55" w14:paraId="67B5AA31"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4B522E8F" w14:textId="77777777" w:rsidR="00DC5BE9" w:rsidRPr="003E2D55" w:rsidRDefault="00DC5BE9" w:rsidP="003E2D55">
            <w:pPr>
              <w:spacing w:before="40" w:after="20"/>
              <w:rPr>
                <w:rFonts w:cs="Arial"/>
                <w:sz w:val="18"/>
                <w:szCs w:val="18"/>
              </w:rPr>
            </w:pPr>
            <w:r w:rsidRPr="003E2D55">
              <w:rPr>
                <w:rFonts w:cs="Arial"/>
                <w:sz w:val="18"/>
                <w:szCs w:val="18"/>
              </w:rPr>
              <w:t>Yarra C</w:t>
            </w:r>
          </w:p>
        </w:tc>
        <w:tc>
          <w:tcPr>
            <w:tcW w:w="1361" w:type="dxa"/>
            <w:tcBorders>
              <w:top w:val="nil"/>
              <w:left w:val="single" w:sz="18" w:space="0" w:color="5F497A" w:themeColor="accent4" w:themeShade="BF"/>
              <w:bottom w:val="nil"/>
              <w:right w:val="nil"/>
            </w:tcBorders>
            <w:vAlign w:val="bottom"/>
          </w:tcPr>
          <w:p w14:paraId="2AD0FE50" w14:textId="37713E8F"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bottom w:val="nil"/>
              <w:right w:val="nil"/>
            </w:tcBorders>
            <w:vAlign w:val="bottom"/>
          </w:tcPr>
          <w:p w14:paraId="2EB91F27" w14:textId="0E79BE5B" w:rsidR="00DC5BE9" w:rsidRPr="003E2D55" w:rsidRDefault="00DC5BE9" w:rsidP="003E2D55">
            <w:pPr>
              <w:spacing w:before="40" w:after="20"/>
              <w:jc w:val="right"/>
              <w:rPr>
                <w:rFonts w:cs="Arial"/>
                <w:sz w:val="18"/>
                <w:szCs w:val="18"/>
              </w:rPr>
            </w:pPr>
            <w:r w:rsidRPr="003E2D55">
              <w:rPr>
                <w:rFonts w:cs="Arial"/>
                <w:sz w:val="18"/>
                <w:szCs w:val="18"/>
              </w:rPr>
              <w:t>0</w:t>
            </w:r>
          </w:p>
        </w:tc>
        <w:tc>
          <w:tcPr>
            <w:tcW w:w="1701" w:type="dxa"/>
            <w:tcBorders>
              <w:top w:val="nil"/>
              <w:left w:val="nil"/>
              <w:bottom w:val="nil"/>
              <w:right w:val="nil"/>
            </w:tcBorders>
            <w:shd w:val="clear" w:color="auto" w:fill="auto"/>
            <w:vAlign w:val="bottom"/>
          </w:tcPr>
          <w:p w14:paraId="0EECD7B7" w14:textId="6F886AB1" w:rsidR="00DC5BE9" w:rsidRPr="003E2D55" w:rsidRDefault="00DC5BE9" w:rsidP="003E2D55">
            <w:pPr>
              <w:spacing w:before="40" w:after="20"/>
              <w:jc w:val="right"/>
              <w:rPr>
                <w:rFonts w:cs="Arial"/>
                <w:sz w:val="18"/>
                <w:szCs w:val="18"/>
              </w:rPr>
            </w:pPr>
            <w:r w:rsidRPr="003E2D55">
              <w:rPr>
                <w:rFonts w:cs="Arial"/>
                <w:sz w:val="18"/>
                <w:szCs w:val="18"/>
              </w:rPr>
              <w:t>2,418,526</w:t>
            </w:r>
          </w:p>
        </w:tc>
        <w:tc>
          <w:tcPr>
            <w:tcW w:w="284" w:type="dxa"/>
            <w:tcBorders>
              <w:top w:val="nil"/>
              <w:left w:val="nil"/>
              <w:bottom w:val="nil"/>
              <w:right w:val="nil"/>
            </w:tcBorders>
            <w:vAlign w:val="bottom"/>
          </w:tcPr>
          <w:p w14:paraId="1B8FB28E" w14:textId="5F720CFF"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2F1C31F7" w14:textId="356986DA" w:rsidR="00DC5BE9" w:rsidRPr="003E2D55" w:rsidRDefault="00DC5BE9" w:rsidP="003E2D55">
            <w:pPr>
              <w:spacing w:before="40" w:after="20"/>
              <w:jc w:val="right"/>
              <w:rPr>
                <w:rFonts w:cs="Arial"/>
                <w:b/>
                <w:sz w:val="18"/>
                <w:szCs w:val="18"/>
              </w:rPr>
            </w:pPr>
            <w:r w:rsidRPr="003E2D55">
              <w:rPr>
                <w:rFonts w:cs="Arial"/>
                <w:b/>
                <w:sz w:val="18"/>
                <w:szCs w:val="18"/>
              </w:rPr>
              <w:t>407,955</w:t>
            </w:r>
          </w:p>
        </w:tc>
      </w:tr>
      <w:tr w:rsidR="00DC5BE9" w:rsidRPr="003E2D55" w14:paraId="75998FBA"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3F4F155C" w14:textId="77777777" w:rsidR="00DC5BE9" w:rsidRPr="003E2D55" w:rsidRDefault="00DC5BE9" w:rsidP="003E2D55">
            <w:pPr>
              <w:spacing w:before="40" w:after="20"/>
              <w:rPr>
                <w:rFonts w:cs="Arial"/>
                <w:sz w:val="18"/>
                <w:szCs w:val="18"/>
              </w:rPr>
            </w:pPr>
            <w:r w:rsidRPr="003E2D55">
              <w:rPr>
                <w:rFonts w:cs="Arial"/>
                <w:sz w:val="18"/>
                <w:szCs w:val="18"/>
              </w:rPr>
              <w:t>Yarra Ranges S</w:t>
            </w:r>
          </w:p>
        </w:tc>
        <w:tc>
          <w:tcPr>
            <w:tcW w:w="1361" w:type="dxa"/>
            <w:tcBorders>
              <w:top w:val="nil"/>
              <w:left w:val="single" w:sz="18" w:space="0" w:color="5F497A" w:themeColor="accent4" w:themeShade="BF"/>
              <w:bottom w:val="nil"/>
              <w:right w:val="nil"/>
            </w:tcBorders>
            <w:vAlign w:val="bottom"/>
          </w:tcPr>
          <w:p w14:paraId="57F3320D" w14:textId="2C672879" w:rsidR="00DC5BE9" w:rsidRPr="003E2D55" w:rsidRDefault="00DC5BE9" w:rsidP="003E2D55">
            <w:pPr>
              <w:spacing w:before="40" w:after="20"/>
              <w:jc w:val="right"/>
              <w:rPr>
                <w:rFonts w:cs="Arial"/>
                <w:sz w:val="18"/>
                <w:szCs w:val="18"/>
              </w:rPr>
            </w:pPr>
            <w:r w:rsidRPr="003E2D55">
              <w:rPr>
                <w:rFonts w:cs="Arial"/>
                <w:sz w:val="18"/>
                <w:szCs w:val="18"/>
              </w:rPr>
              <w:t>324,000</w:t>
            </w:r>
          </w:p>
        </w:tc>
        <w:tc>
          <w:tcPr>
            <w:tcW w:w="1361" w:type="dxa"/>
            <w:tcBorders>
              <w:top w:val="nil"/>
              <w:left w:val="nil"/>
              <w:bottom w:val="nil"/>
              <w:right w:val="nil"/>
            </w:tcBorders>
            <w:vAlign w:val="bottom"/>
          </w:tcPr>
          <w:p w14:paraId="27D40F71" w14:textId="0C88642E" w:rsidR="00DC5BE9" w:rsidRPr="003E2D55" w:rsidRDefault="00DC5BE9" w:rsidP="003E2D55">
            <w:pPr>
              <w:spacing w:before="40" w:after="20"/>
              <w:jc w:val="right"/>
              <w:rPr>
                <w:rFonts w:cs="Arial"/>
                <w:sz w:val="18"/>
                <w:szCs w:val="18"/>
              </w:rPr>
            </w:pPr>
            <w:r w:rsidRPr="003E2D55">
              <w:rPr>
                <w:rFonts w:cs="Arial"/>
                <w:sz w:val="18"/>
                <w:szCs w:val="18"/>
              </w:rPr>
              <w:t>386,040</w:t>
            </w:r>
          </w:p>
        </w:tc>
        <w:tc>
          <w:tcPr>
            <w:tcW w:w="1701" w:type="dxa"/>
            <w:tcBorders>
              <w:top w:val="nil"/>
              <w:left w:val="nil"/>
              <w:bottom w:val="nil"/>
              <w:right w:val="nil"/>
            </w:tcBorders>
            <w:shd w:val="clear" w:color="auto" w:fill="auto"/>
            <w:vAlign w:val="bottom"/>
          </w:tcPr>
          <w:p w14:paraId="0D61190D" w14:textId="6777F15B" w:rsidR="00DC5BE9" w:rsidRPr="003E2D55" w:rsidRDefault="00DC5BE9" w:rsidP="003E2D55">
            <w:pPr>
              <w:spacing w:before="40" w:after="20"/>
              <w:jc w:val="right"/>
              <w:rPr>
                <w:rFonts w:cs="Arial"/>
                <w:sz w:val="18"/>
                <w:szCs w:val="18"/>
              </w:rPr>
            </w:pPr>
            <w:r w:rsidRPr="003E2D55">
              <w:rPr>
                <w:rFonts w:cs="Arial"/>
                <w:sz w:val="18"/>
                <w:szCs w:val="18"/>
              </w:rPr>
              <w:t>19,939,611</w:t>
            </w:r>
          </w:p>
        </w:tc>
        <w:tc>
          <w:tcPr>
            <w:tcW w:w="284" w:type="dxa"/>
            <w:tcBorders>
              <w:top w:val="nil"/>
              <w:left w:val="nil"/>
              <w:bottom w:val="nil"/>
              <w:right w:val="nil"/>
            </w:tcBorders>
            <w:vAlign w:val="bottom"/>
          </w:tcPr>
          <w:p w14:paraId="0ABDBECA" w14:textId="7F73162F"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nil"/>
              <w:right w:val="nil"/>
            </w:tcBorders>
            <w:vAlign w:val="bottom"/>
          </w:tcPr>
          <w:p w14:paraId="610AC7A3" w14:textId="7D26F904" w:rsidR="00DC5BE9" w:rsidRPr="003E2D55" w:rsidRDefault="00DC5BE9" w:rsidP="003E2D55">
            <w:pPr>
              <w:spacing w:before="40" w:after="20"/>
              <w:jc w:val="right"/>
              <w:rPr>
                <w:rFonts w:cs="Arial"/>
                <w:b/>
                <w:sz w:val="18"/>
                <w:szCs w:val="18"/>
              </w:rPr>
            </w:pPr>
            <w:r w:rsidRPr="003E2D55">
              <w:rPr>
                <w:rFonts w:cs="Arial"/>
                <w:b/>
                <w:sz w:val="18"/>
                <w:szCs w:val="18"/>
              </w:rPr>
              <w:t>3,363,398</w:t>
            </w:r>
          </w:p>
        </w:tc>
      </w:tr>
      <w:tr w:rsidR="00DC5BE9" w:rsidRPr="003E2D55" w14:paraId="736E11F9" w14:textId="77777777" w:rsidTr="00DF175F">
        <w:trPr>
          <w:trHeight w:val="20"/>
        </w:trPr>
        <w:tc>
          <w:tcPr>
            <w:tcW w:w="2268" w:type="dxa"/>
            <w:tcBorders>
              <w:top w:val="nil"/>
              <w:left w:val="nil"/>
              <w:bottom w:val="nil"/>
              <w:right w:val="single" w:sz="18" w:space="0" w:color="5F497A" w:themeColor="accent4" w:themeShade="BF"/>
            </w:tcBorders>
            <w:shd w:val="clear" w:color="auto" w:fill="auto"/>
            <w:vAlign w:val="center"/>
          </w:tcPr>
          <w:p w14:paraId="1F2BD8C5" w14:textId="77777777" w:rsidR="00DC5BE9" w:rsidRPr="003E2D55" w:rsidRDefault="00DC5BE9" w:rsidP="003E2D55">
            <w:pPr>
              <w:spacing w:before="40" w:after="20"/>
              <w:rPr>
                <w:rFonts w:cs="Arial"/>
                <w:sz w:val="18"/>
                <w:szCs w:val="18"/>
              </w:rPr>
            </w:pPr>
            <w:r w:rsidRPr="003E2D55">
              <w:rPr>
                <w:rFonts w:cs="Arial"/>
                <w:sz w:val="18"/>
                <w:szCs w:val="18"/>
              </w:rPr>
              <w:t>Yarriambiack S</w:t>
            </w:r>
          </w:p>
        </w:tc>
        <w:tc>
          <w:tcPr>
            <w:tcW w:w="1361" w:type="dxa"/>
            <w:tcBorders>
              <w:top w:val="nil"/>
              <w:left w:val="single" w:sz="18" w:space="0" w:color="5F497A" w:themeColor="accent4" w:themeShade="BF"/>
              <w:right w:val="nil"/>
            </w:tcBorders>
            <w:vAlign w:val="bottom"/>
          </w:tcPr>
          <w:p w14:paraId="7027BD54" w14:textId="5B2BF6AD" w:rsidR="00DC5BE9" w:rsidRPr="003E2D55" w:rsidRDefault="00DC5BE9" w:rsidP="003E2D55">
            <w:pPr>
              <w:spacing w:before="40" w:after="20"/>
              <w:jc w:val="right"/>
              <w:rPr>
                <w:rFonts w:cs="Arial"/>
                <w:sz w:val="18"/>
                <w:szCs w:val="18"/>
              </w:rPr>
            </w:pPr>
            <w:r w:rsidRPr="003E2D55">
              <w:rPr>
                <w:rFonts w:cs="Arial"/>
                <w:sz w:val="18"/>
                <w:szCs w:val="18"/>
              </w:rPr>
              <w:t>0</w:t>
            </w:r>
          </w:p>
        </w:tc>
        <w:tc>
          <w:tcPr>
            <w:tcW w:w="1361" w:type="dxa"/>
            <w:tcBorders>
              <w:top w:val="nil"/>
              <w:left w:val="nil"/>
              <w:right w:val="nil"/>
            </w:tcBorders>
            <w:vAlign w:val="bottom"/>
          </w:tcPr>
          <w:p w14:paraId="3F972F75" w14:textId="40A33E2A" w:rsidR="00DC5BE9" w:rsidRPr="003E2D55" w:rsidRDefault="00DC5BE9" w:rsidP="003E2D55">
            <w:pPr>
              <w:spacing w:before="40" w:after="20"/>
              <w:jc w:val="right"/>
              <w:rPr>
                <w:rFonts w:cs="Arial"/>
                <w:sz w:val="18"/>
                <w:szCs w:val="18"/>
              </w:rPr>
            </w:pPr>
            <w:r w:rsidRPr="003E2D55">
              <w:rPr>
                <w:rFonts w:cs="Arial"/>
                <w:sz w:val="18"/>
                <w:szCs w:val="18"/>
              </w:rPr>
              <w:t>85,320</w:t>
            </w:r>
          </w:p>
        </w:tc>
        <w:tc>
          <w:tcPr>
            <w:tcW w:w="1701" w:type="dxa"/>
            <w:tcBorders>
              <w:top w:val="nil"/>
              <w:left w:val="nil"/>
              <w:right w:val="nil"/>
            </w:tcBorders>
            <w:shd w:val="clear" w:color="auto" w:fill="auto"/>
            <w:vAlign w:val="bottom"/>
          </w:tcPr>
          <w:p w14:paraId="260483BB" w14:textId="519499A3" w:rsidR="00DC5BE9" w:rsidRPr="003E2D55" w:rsidRDefault="00DC5BE9" w:rsidP="003E2D55">
            <w:pPr>
              <w:spacing w:before="40" w:after="20"/>
              <w:jc w:val="right"/>
              <w:rPr>
                <w:rFonts w:cs="Arial"/>
                <w:sz w:val="18"/>
                <w:szCs w:val="18"/>
              </w:rPr>
            </w:pPr>
            <w:r w:rsidRPr="003E2D55">
              <w:rPr>
                <w:rFonts w:cs="Arial"/>
                <w:sz w:val="18"/>
                <w:szCs w:val="18"/>
              </w:rPr>
              <w:t>12,336,471</w:t>
            </w:r>
          </w:p>
        </w:tc>
        <w:tc>
          <w:tcPr>
            <w:tcW w:w="284" w:type="dxa"/>
            <w:tcBorders>
              <w:top w:val="nil"/>
              <w:left w:val="nil"/>
              <w:right w:val="nil"/>
            </w:tcBorders>
            <w:vAlign w:val="bottom"/>
          </w:tcPr>
          <w:p w14:paraId="207853FE" w14:textId="4CD6EDE3"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right w:val="nil"/>
            </w:tcBorders>
            <w:vAlign w:val="bottom"/>
          </w:tcPr>
          <w:p w14:paraId="163E69D0" w14:textId="6C70F7FA" w:rsidR="00DC5BE9" w:rsidRPr="003E2D55" w:rsidRDefault="00DC5BE9" w:rsidP="003E2D55">
            <w:pPr>
              <w:spacing w:before="40" w:after="20"/>
              <w:jc w:val="right"/>
              <w:rPr>
                <w:rFonts w:cs="Arial"/>
                <w:b/>
                <w:sz w:val="18"/>
                <w:szCs w:val="18"/>
              </w:rPr>
            </w:pPr>
            <w:r w:rsidRPr="003E2D55">
              <w:rPr>
                <w:rFonts w:cs="Arial"/>
                <w:b/>
                <w:sz w:val="18"/>
                <w:szCs w:val="18"/>
              </w:rPr>
              <w:t>2,080,906</w:t>
            </w:r>
          </w:p>
        </w:tc>
      </w:tr>
      <w:tr w:rsidR="00DC5BE9" w:rsidRPr="003E2D55" w14:paraId="531F29F3" w14:textId="77777777" w:rsidTr="00B44BBE">
        <w:trPr>
          <w:trHeight w:val="20"/>
        </w:trPr>
        <w:tc>
          <w:tcPr>
            <w:tcW w:w="2268" w:type="dxa"/>
            <w:tcBorders>
              <w:top w:val="nil"/>
              <w:left w:val="nil"/>
              <w:right w:val="single" w:sz="18" w:space="0" w:color="5F497A" w:themeColor="accent4" w:themeShade="BF"/>
            </w:tcBorders>
            <w:shd w:val="clear" w:color="auto" w:fill="auto"/>
            <w:vAlign w:val="center"/>
          </w:tcPr>
          <w:p w14:paraId="60B46D40" w14:textId="77777777" w:rsidR="00DC5BE9" w:rsidRPr="003E2D55" w:rsidRDefault="00DC5BE9" w:rsidP="003E2D55">
            <w:pPr>
              <w:spacing w:before="40" w:after="20"/>
              <w:rPr>
                <w:rFonts w:cs="Arial"/>
                <w:sz w:val="18"/>
                <w:szCs w:val="18"/>
              </w:rPr>
            </w:pPr>
          </w:p>
        </w:tc>
        <w:tc>
          <w:tcPr>
            <w:tcW w:w="1361" w:type="dxa"/>
            <w:tcBorders>
              <w:top w:val="nil"/>
              <w:left w:val="single" w:sz="18" w:space="0" w:color="5F497A" w:themeColor="accent4" w:themeShade="BF"/>
              <w:bottom w:val="single" w:sz="8" w:space="0" w:color="5F497A" w:themeColor="accent4" w:themeShade="BF"/>
              <w:right w:val="nil"/>
            </w:tcBorders>
            <w:vAlign w:val="bottom"/>
          </w:tcPr>
          <w:p w14:paraId="04D00A65" w14:textId="44E61BD8" w:rsidR="00DC5BE9" w:rsidRPr="003E2D55" w:rsidRDefault="00DC5BE9" w:rsidP="003E2D55">
            <w:pPr>
              <w:spacing w:before="40" w:after="20"/>
              <w:jc w:val="right"/>
              <w:rPr>
                <w:rFonts w:cs="Arial"/>
                <w:sz w:val="18"/>
                <w:szCs w:val="18"/>
              </w:rPr>
            </w:pPr>
            <w:r w:rsidRPr="003E2D55">
              <w:rPr>
                <w:rFonts w:cs="Arial"/>
                <w:sz w:val="18"/>
                <w:szCs w:val="18"/>
              </w:rPr>
              <w:t> </w:t>
            </w:r>
          </w:p>
        </w:tc>
        <w:tc>
          <w:tcPr>
            <w:tcW w:w="1361" w:type="dxa"/>
            <w:tcBorders>
              <w:top w:val="nil"/>
              <w:left w:val="nil"/>
              <w:bottom w:val="single" w:sz="8" w:space="0" w:color="5F497A" w:themeColor="accent4" w:themeShade="BF"/>
              <w:right w:val="nil"/>
            </w:tcBorders>
            <w:vAlign w:val="bottom"/>
          </w:tcPr>
          <w:p w14:paraId="3C2B6583" w14:textId="69ECAC7A" w:rsidR="00DC5BE9" w:rsidRPr="003E2D55" w:rsidRDefault="00DC5BE9" w:rsidP="003E2D55">
            <w:pPr>
              <w:spacing w:before="40" w:after="20"/>
              <w:jc w:val="right"/>
              <w:rPr>
                <w:rFonts w:cs="Arial"/>
                <w:sz w:val="18"/>
                <w:szCs w:val="18"/>
              </w:rPr>
            </w:pPr>
          </w:p>
        </w:tc>
        <w:tc>
          <w:tcPr>
            <w:tcW w:w="1701" w:type="dxa"/>
            <w:tcBorders>
              <w:top w:val="nil"/>
              <w:left w:val="nil"/>
              <w:bottom w:val="single" w:sz="8" w:space="0" w:color="5F497A" w:themeColor="accent4" w:themeShade="BF"/>
              <w:right w:val="nil"/>
            </w:tcBorders>
            <w:shd w:val="clear" w:color="auto" w:fill="auto"/>
            <w:vAlign w:val="bottom"/>
          </w:tcPr>
          <w:p w14:paraId="67E21B7E" w14:textId="4AC70835" w:rsidR="00DC5BE9" w:rsidRPr="003E2D55" w:rsidRDefault="00DC5BE9" w:rsidP="003E2D55">
            <w:pPr>
              <w:spacing w:before="40" w:after="20"/>
              <w:jc w:val="right"/>
              <w:rPr>
                <w:rFonts w:cs="Arial"/>
                <w:sz w:val="18"/>
                <w:szCs w:val="18"/>
              </w:rPr>
            </w:pPr>
            <w:r w:rsidRPr="003E2D55">
              <w:rPr>
                <w:rFonts w:cs="Arial"/>
                <w:sz w:val="18"/>
                <w:szCs w:val="18"/>
              </w:rPr>
              <w:t> </w:t>
            </w:r>
          </w:p>
        </w:tc>
        <w:tc>
          <w:tcPr>
            <w:tcW w:w="284" w:type="dxa"/>
            <w:tcBorders>
              <w:top w:val="nil"/>
              <w:left w:val="nil"/>
              <w:bottom w:val="single" w:sz="8" w:space="0" w:color="5F497A" w:themeColor="accent4" w:themeShade="BF"/>
              <w:right w:val="nil"/>
            </w:tcBorders>
            <w:vAlign w:val="bottom"/>
          </w:tcPr>
          <w:p w14:paraId="49FB6F01" w14:textId="5092B1D2" w:rsidR="00DC5BE9" w:rsidRPr="003E2D55" w:rsidRDefault="00DC5BE9" w:rsidP="003E2D55">
            <w:pPr>
              <w:spacing w:before="40" w:after="20"/>
              <w:jc w:val="right"/>
              <w:rPr>
                <w:rFonts w:cs="Arial"/>
                <w:sz w:val="18"/>
                <w:szCs w:val="18"/>
              </w:rPr>
            </w:pPr>
            <w:r w:rsidRPr="003E2D55">
              <w:rPr>
                <w:rFonts w:cs="Arial"/>
                <w:sz w:val="18"/>
                <w:szCs w:val="18"/>
              </w:rPr>
              <w:t> </w:t>
            </w:r>
          </w:p>
        </w:tc>
        <w:tc>
          <w:tcPr>
            <w:tcW w:w="1418" w:type="dxa"/>
            <w:tcBorders>
              <w:top w:val="nil"/>
              <w:left w:val="nil"/>
              <w:bottom w:val="single" w:sz="8" w:space="0" w:color="5F497A" w:themeColor="accent4" w:themeShade="BF"/>
              <w:right w:val="nil"/>
            </w:tcBorders>
            <w:vAlign w:val="bottom"/>
          </w:tcPr>
          <w:p w14:paraId="6845A6DC" w14:textId="433B0353" w:rsidR="00DC5BE9" w:rsidRPr="003E2D55" w:rsidRDefault="00DC5BE9" w:rsidP="003E2D55">
            <w:pPr>
              <w:spacing w:before="40" w:after="20"/>
              <w:jc w:val="right"/>
              <w:rPr>
                <w:rFonts w:cs="Arial"/>
                <w:b/>
                <w:sz w:val="18"/>
                <w:szCs w:val="18"/>
              </w:rPr>
            </w:pPr>
          </w:p>
        </w:tc>
      </w:tr>
      <w:tr w:rsidR="00DC5BE9" w:rsidRPr="003E2D55" w14:paraId="5E4CF77F" w14:textId="77777777" w:rsidTr="00B44BBE">
        <w:trPr>
          <w:trHeight w:val="20"/>
        </w:trPr>
        <w:tc>
          <w:tcPr>
            <w:tcW w:w="2268" w:type="dxa"/>
            <w:tcBorders>
              <w:top w:val="nil"/>
              <w:left w:val="nil"/>
              <w:right w:val="single" w:sz="18" w:space="0" w:color="5F497A" w:themeColor="accent4" w:themeShade="BF"/>
            </w:tcBorders>
            <w:shd w:val="clear" w:color="auto" w:fill="auto"/>
            <w:vAlign w:val="center"/>
          </w:tcPr>
          <w:p w14:paraId="6D993BEC" w14:textId="77777777" w:rsidR="00DC5BE9" w:rsidRPr="003E2D55" w:rsidRDefault="00DC5BE9" w:rsidP="003E2D55">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right w:val="nil"/>
            </w:tcBorders>
            <w:vAlign w:val="bottom"/>
          </w:tcPr>
          <w:p w14:paraId="2A9CB51C" w14:textId="26BC9397" w:rsidR="00DC5BE9" w:rsidRPr="003E2D55" w:rsidRDefault="00DC5BE9" w:rsidP="003E2D55">
            <w:pPr>
              <w:spacing w:before="40" w:after="20"/>
              <w:jc w:val="right"/>
              <w:rPr>
                <w:rFonts w:cs="Arial"/>
                <w:b/>
                <w:sz w:val="18"/>
                <w:szCs w:val="18"/>
              </w:rPr>
            </w:pPr>
            <w:r w:rsidRPr="003E2D55">
              <w:rPr>
                <w:rFonts w:cs="Arial"/>
                <w:b/>
                <w:sz w:val="18"/>
                <w:szCs w:val="18"/>
              </w:rPr>
              <w:t>5,853,564</w:t>
            </w:r>
          </w:p>
        </w:tc>
        <w:tc>
          <w:tcPr>
            <w:tcW w:w="1361" w:type="dxa"/>
            <w:tcBorders>
              <w:top w:val="single" w:sz="8" w:space="0" w:color="5F497A" w:themeColor="accent4" w:themeShade="BF"/>
              <w:left w:val="nil"/>
              <w:right w:val="nil"/>
            </w:tcBorders>
            <w:vAlign w:val="bottom"/>
          </w:tcPr>
          <w:p w14:paraId="58DCCE0F" w14:textId="2B76DA94" w:rsidR="00DC5BE9" w:rsidRPr="003E2D55" w:rsidRDefault="00DC5BE9" w:rsidP="003E2D55">
            <w:pPr>
              <w:spacing w:before="40" w:after="20"/>
              <w:jc w:val="right"/>
              <w:rPr>
                <w:rFonts w:cs="Arial"/>
                <w:b/>
                <w:sz w:val="18"/>
                <w:szCs w:val="18"/>
              </w:rPr>
            </w:pPr>
            <w:r w:rsidRPr="003E2D55">
              <w:rPr>
                <w:rFonts w:cs="Arial"/>
                <w:b/>
                <w:sz w:val="18"/>
                <w:szCs w:val="18"/>
              </w:rPr>
              <w:t>62,044,908</w:t>
            </w:r>
          </w:p>
        </w:tc>
        <w:tc>
          <w:tcPr>
            <w:tcW w:w="1701" w:type="dxa"/>
            <w:tcBorders>
              <w:top w:val="single" w:sz="8" w:space="0" w:color="5F497A" w:themeColor="accent4" w:themeShade="BF"/>
              <w:left w:val="nil"/>
              <w:right w:val="nil"/>
            </w:tcBorders>
            <w:shd w:val="clear" w:color="auto" w:fill="auto"/>
            <w:vAlign w:val="bottom"/>
          </w:tcPr>
          <w:p w14:paraId="29D9FBF4" w14:textId="09AC27A0" w:rsidR="00DC5BE9" w:rsidRPr="003E2D55" w:rsidRDefault="00DC5BE9" w:rsidP="003E2D55">
            <w:pPr>
              <w:spacing w:before="40" w:after="20"/>
              <w:jc w:val="right"/>
              <w:rPr>
                <w:rFonts w:cs="Arial"/>
                <w:b/>
                <w:sz w:val="18"/>
                <w:szCs w:val="18"/>
              </w:rPr>
            </w:pPr>
            <w:r w:rsidRPr="003E2D55">
              <w:rPr>
                <w:rFonts w:cs="Arial"/>
                <w:b/>
                <w:sz w:val="18"/>
                <w:szCs w:val="18"/>
              </w:rPr>
              <w:t>952,910,779</w:t>
            </w:r>
          </w:p>
        </w:tc>
        <w:tc>
          <w:tcPr>
            <w:tcW w:w="284" w:type="dxa"/>
            <w:tcBorders>
              <w:top w:val="single" w:sz="8" w:space="0" w:color="5F497A" w:themeColor="accent4" w:themeShade="BF"/>
              <w:left w:val="nil"/>
              <w:right w:val="nil"/>
            </w:tcBorders>
            <w:vAlign w:val="bottom"/>
          </w:tcPr>
          <w:p w14:paraId="63C093DB" w14:textId="2C78E005" w:rsidR="00DC5BE9" w:rsidRPr="003E2D55" w:rsidRDefault="00DC5BE9" w:rsidP="003E2D55">
            <w:pPr>
              <w:spacing w:before="40" w:after="20"/>
              <w:jc w:val="right"/>
              <w:rPr>
                <w:rFonts w:cs="Arial"/>
                <w:b/>
                <w:sz w:val="18"/>
                <w:szCs w:val="18"/>
              </w:rPr>
            </w:pPr>
            <w:r w:rsidRPr="003E2D55">
              <w:rPr>
                <w:rFonts w:cs="Arial"/>
                <w:b/>
                <w:sz w:val="18"/>
                <w:szCs w:val="18"/>
              </w:rPr>
              <w:t> </w:t>
            </w:r>
          </w:p>
        </w:tc>
        <w:tc>
          <w:tcPr>
            <w:tcW w:w="1418" w:type="dxa"/>
            <w:tcBorders>
              <w:top w:val="single" w:sz="8" w:space="0" w:color="5F497A" w:themeColor="accent4" w:themeShade="BF"/>
              <w:left w:val="nil"/>
              <w:right w:val="nil"/>
            </w:tcBorders>
            <w:vAlign w:val="bottom"/>
          </w:tcPr>
          <w:p w14:paraId="2AA385B3" w14:textId="3436F0D1" w:rsidR="00DC5BE9" w:rsidRPr="003E2D55" w:rsidRDefault="00DC5BE9" w:rsidP="003E2D55">
            <w:pPr>
              <w:spacing w:before="40" w:after="20"/>
              <w:jc w:val="right"/>
              <w:rPr>
                <w:rFonts w:cs="Arial"/>
                <w:b/>
                <w:sz w:val="18"/>
                <w:szCs w:val="18"/>
              </w:rPr>
            </w:pPr>
            <w:r w:rsidRPr="003E2D55">
              <w:rPr>
                <w:rFonts w:cs="Arial"/>
                <w:b/>
                <w:sz w:val="18"/>
                <w:szCs w:val="18"/>
              </w:rPr>
              <w:t>160,736,232</w:t>
            </w:r>
          </w:p>
        </w:tc>
      </w:tr>
    </w:tbl>
    <w:p w14:paraId="49BFAA50" w14:textId="77777777" w:rsidR="00734A5D" w:rsidRPr="00A44829" w:rsidRDefault="00734A5D" w:rsidP="00FF36E8">
      <w:pPr>
        <w:spacing w:before="40" w:after="20"/>
        <w:rPr>
          <w:rFonts w:cs="Arial"/>
          <w:sz w:val="18"/>
          <w:szCs w:val="18"/>
        </w:rPr>
      </w:pPr>
      <w:r w:rsidRPr="00A44829">
        <w:rPr>
          <w:rFonts w:cs="Arial"/>
          <w:sz w:val="18"/>
          <w:szCs w:val="18"/>
        </w:rPr>
        <w:br w:type="page"/>
      </w:r>
    </w:p>
    <w:p w14:paraId="58F59D79" w14:textId="229C59D7" w:rsidR="00C94778" w:rsidRPr="00A44829" w:rsidRDefault="00CE4507" w:rsidP="00C33713">
      <w:pPr>
        <w:pStyle w:val="VGC-Head10"/>
      </w:pPr>
      <w:r w:rsidRPr="00A44829">
        <w:lastRenderedPageBreak/>
        <w:t>Appendix 5</w:t>
      </w:r>
      <w:r w:rsidR="00F3704A" w:rsidRPr="00A44829">
        <w:tab/>
      </w:r>
      <w:r w:rsidR="00EE4593" w:rsidRPr="00A44829">
        <w:t>2019-20</w:t>
      </w:r>
      <w:r w:rsidR="00A97ABE" w:rsidRPr="00A44829">
        <w:t xml:space="preserve"> </w:t>
      </w:r>
      <w:r w:rsidR="00C94778" w:rsidRPr="00A44829">
        <w:t xml:space="preserve">Local Roads Grants </w:t>
      </w:r>
    </w:p>
    <w:p w14:paraId="61A6FFB3" w14:textId="77777777" w:rsidR="00C94778" w:rsidRPr="00A44829" w:rsidRDefault="00A6042C" w:rsidP="008C1A28">
      <w:pPr>
        <w:pStyle w:val="VGC-Head2"/>
      </w:pPr>
      <w:r w:rsidRPr="00A44829">
        <w:t>F</w:t>
      </w:r>
      <w:r w:rsidR="00CE520A" w:rsidRPr="00A44829">
        <w:t xml:space="preserve">.  </w:t>
      </w:r>
      <w:r w:rsidR="00C94778" w:rsidRPr="00A44829">
        <w:t>Data Sources</w:t>
      </w:r>
    </w:p>
    <w:p w14:paraId="5EAC6093" w14:textId="77777777" w:rsidR="008C2184" w:rsidRPr="00A44829" w:rsidRDefault="008C2184" w:rsidP="00FF36E8">
      <w:pPr>
        <w:spacing w:before="40" w:after="20"/>
        <w:rPr>
          <w:rFonts w:cs="Arial"/>
          <w:sz w:val="18"/>
          <w:szCs w:val="18"/>
        </w:rPr>
      </w:pPr>
    </w:p>
    <w:p w14:paraId="1601CC7C" w14:textId="0D1B32BB" w:rsidR="00C50555" w:rsidRPr="00A44829" w:rsidRDefault="00C50555" w:rsidP="00FF36E8">
      <w:pPr>
        <w:spacing w:before="40" w:after="20"/>
        <w:rPr>
          <w:rFonts w:cs="Arial"/>
          <w:sz w:val="18"/>
          <w:szCs w:val="18"/>
        </w:rPr>
      </w:pPr>
    </w:p>
    <w:p w14:paraId="6775F457" w14:textId="77777777" w:rsidR="00462515" w:rsidRPr="00A44829" w:rsidRDefault="00462515" w:rsidP="00FF36E8">
      <w:pPr>
        <w:spacing w:before="40" w:after="20"/>
        <w:rPr>
          <w:rFonts w:cs="Arial"/>
          <w:sz w:val="18"/>
          <w:szCs w:val="18"/>
        </w:rPr>
      </w:pPr>
    </w:p>
    <w:p w14:paraId="635386B1" w14:textId="77777777" w:rsidR="0096697F" w:rsidRPr="00A44829" w:rsidRDefault="0096697F" w:rsidP="00FF36E8">
      <w:pPr>
        <w:spacing w:before="40" w:after="20"/>
        <w:rPr>
          <w:rFonts w:cs="Arial"/>
          <w:sz w:val="18"/>
          <w:szCs w:val="18"/>
        </w:rPr>
      </w:pPr>
    </w:p>
    <w:tbl>
      <w:tblPr>
        <w:tblW w:w="9197" w:type="dxa"/>
        <w:tblInd w:w="91" w:type="dxa"/>
        <w:tblLook w:val="0000" w:firstRow="0" w:lastRow="0" w:firstColumn="0" w:lastColumn="0" w:noHBand="0" w:noVBand="0"/>
      </w:tblPr>
      <w:tblGrid>
        <w:gridCol w:w="2250"/>
        <w:gridCol w:w="6947"/>
      </w:tblGrid>
      <w:tr w:rsidR="005A7F9F" w:rsidRPr="00A44829" w14:paraId="2A5FDE78"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5E0E65CB" w14:textId="77777777" w:rsidR="005A7F9F" w:rsidRPr="00A44829" w:rsidRDefault="005A7F9F" w:rsidP="00FF36E8">
            <w:pPr>
              <w:spacing w:before="40" w:after="20"/>
              <w:rPr>
                <w:rFonts w:cs="Arial"/>
                <w:b/>
                <w:sz w:val="18"/>
                <w:szCs w:val="18"/>
              </w:rPr>
            </w:pPr>
            <w:r w:rsidRPr="00A44829">
              <w:rPr>
                <w:rFonts w:cs="Arial"/>
                <w:b/>
                <w:sz w:val="18"/>
                <w:szCs w:val="18"/>
              </w:rPr>
              <w:t>Climate</w:t>
            </w:r>
          </w:p>
        </w:tc>
        <w:tc>
          <w:tcPr>
            <w:tcW w:w="6947" w:type="dxa"/>
            <w:tcBorders>
              <w:top w:val="nil"/>
              <w:left w:val="single" w:sz="18" w:space="0" w:color="5F497A" w:themeColor="accent4" w:themeShade="BF"/>
              <w:bottom w:val="nil"/>
            </w:tcBorders>
          </w:tcPr>
          <w:p w14:paraId="69641827" w14:textId="77777777" w:rsidR="005A7F9F" w:rsidRPr="00A44829" w:rsidRDefault="002B1641" w:rsidP="007F45D1">
            <w:pPr>
              <w:spacing w:before="40" w:after="20"/>
              <w:jc w:val="both"/>
              <w:rPr>
                <w:rFonts w:cs="Arial"/>
                <w:sz w:val="16"/>
                <w:szCs w:val="16"/>
              </w:rPr>
            </w:pPr>
            <w:r w:rsidRPr="00A44829">
              <w:rPr>
                <w:rFonts w:cs="Arial"/>
                <w:sz w:val="16"/>
                <w:szCs w:val="16"/>
              </w:rPr>
              <w:t>The climate cost modifier recognises that certain climatic conditions have an adverse impact on road durability and increase the costs to affected councils of asset preservation.  The climate index identifies the length of urban and rural roads that fall within the five climatic zones utilised by Standards Australia to produce an average climate rating for both rural and urban roads within each municipality.  These ratings are then spread across index ranges, the larger being for rural roads to reflect the relatively greater influence of climate on such surfaces.</w:t>
            </w:r>
          </w:p>
          <w:p w14:paraId="3FFF703A" w14:textId="77777777" w:rsidR="009335A6" w:rsidRPr="00A44829" w:rsidRDefault="009335A6" w:rsidP="007F45D1">
            <w:pPr>
              <w:spacing w:before="40" w:after="20"/>
              <w:jc w:val="both"/>
              <w:rPr>
                <w:rFonts w:cs="Arial"/>
                <w:sz w:val="16"/>
                <w:szCs w:val="16"/>
              </w:rPr>
            </w:pPr>
            <w:r w:rsidRPr="00A44829">
              <w:rPr>
                <w:rFonts w:cs="Arial"/>
                <w:sz w:val="16"/>
                <w:szCs w:val="16"/>
              </w:rPr>
              <w:t>The Commission has developed a climate index by identifying the length of urban and rural roads that fall within the five climatic zones utilised by Standards Australia to produce an average climate rating for both rural and urban roads within each municipality.</w:t>
            </w:r>
          </w:p>
          <w:p w14:paraId="458135AA" w14:textId="77777777" w:rsidR="007E5AC6" w:rsidRPr="00A44829" w:rsidRDefault="007E5AC6" w:rsidP="007F45D1">
            <w:pPr>
              <w:spacing w:before="40" w:after="20"/>
              <w:jc w:val="both"/>
              <w:rPr>
                <w:rFonts w:cs="Arial"/>
                <w:sz w:val="16"/>
                <w:szCs w:val="16"/>
              </w:rPr>
            </w:pPr>
          </w:p>
          <w:p w14:paraId="08F4975F" w14:textId="77777777" w:rsidR="005A7F9F" w:rsidRPr="00A44829" w:rsidRDefault="005A7F9F" w:rsidP="007F45D1">
            <w:pPr>
              <w:spacing w:before="40" w:after="20"/>
              <w:jc w:val="both"/>
              <w:rPr>
                <w:rFonts w:cs="Arial"/>
                <w:sz w:val="16"/>
                <w:szCs w:val="16"/>
              </w:rPr>
            </w:pPr>
          </w:p>
        </w:tc>
      </w:tr>
      <w:tr w:rsidR="005A7F9F" w:rsidRPr="00A44829" w14:paraId="369F931D"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3AE67BF5" w14:textId="77777777" w:rsidR="005A7F9F" w:rsidRPr="00A44829" w:rsidRDefault="005A7F9F" w:rsidP="00FF36E8">
            <w:pPr>
              <w:spacing w:before="40" w:after="20"/>
              <w:rPr>
                <w:rFonts w:cs="Arial"/>
                <w:b/>
                <w:sz w:val="18"/>
                <w:szCs w:val="18"/>
              </w:rPr>
            </w:pPr>
            <w:r w:rsidRPr="00A44829">
              <w:rPr>
                <w:rFonts w:cs="Arial"/>
                <w:b/>
                <w:sz w:val="18"/>
                <w:szCs w:val="18"/>
              </w:rPr>
              <w:t>Freight</w:t>
            </w:r>
          </w:p>
        </w:tc>
        <w:tc>
          <w:tcPr>
            <w:tcW w:w="6947" w:type="dxa"/>
            <w:tcBorders>
              <w:top w:val="nil"/>
              <w:left w:val="single" w:sz="18" w:space="0" w:color="5F497A" w:themeColor="accent4" w:themeShade="BF"/>
              <w:bottom w:val="nil"/>
            </w:tcBorders>
          </w:tcPr>
          <w:p w14:paraId="372E4217" w14:textId="77777777" w:rsidR="005A7F9F" w:rsidRPr="00A44829" w:rsidRDefault="009335A6" w:rsidP="007F45D1">
            <w:pPr>
              <w:spacing w:before="40" w:after="20"/>
              <w:jc w:val="both"/>
              <w:rPr>
                <w:rFonts w:cs="Arial"/>
                <w:sz w:val="16"/>
                <w:szCs w:val="16"/>
              </w:rPr>
            </w:pPr>
            <w:r w:rsidRPr="00A44829">
              <w:rPr>
                <w:rFonts w:cs="Arial"/>
                <w:sz w:val="16"/>
                <w:szCs w:val="16"/>
              </w:rPr>
              <w:t>The freight cost modifier recognises that local roads in some municipalities carry relatively high volumes of heavy vehicles compared to others, which impacts on the cost of asset preservation.  A freight loading ratio has been calculated for each municipality, based on the level of employment in freight-intensive industries within that municipality.  The cost modifier index infers that a higher level of employment in such industries will see relatively higher levels of freight carriage on their local roads network, leading to more rapid road surface deterioration and relatively higher road maintenance costs.</w:t>
            </w:r>
          </w:p>
          <w:p w14:paraId="04AA4F44" w14:textId="19EF7E32" w:rsidR="009335A6" w:rsidRPr="00A44829" w:rsidRDefault="009335A6" w:rsidP="007F45D1">
            <w:pPr>
              <w:spacing w:before="40" w:after="20"/>
              <w:jc w:val="both"/>
              <w:rPr>
                <w:rFonts w:cs="Arial"/>
                <w:sz w:val="16"/>
                <w:szCs w:val="16"/>
              </w:rPr>
            </w:pPr>
            <w:r w:rsidRPr="00A44829">
              <w:rPr>
                <w:rFonts w:cs="Arial"/>
                <w:sz w:val="16"/>
                <w:szCs w:val="16"/>
              </w:rPr>
              <w:t xml:space="preserve">The Commission has constructed a freight cost modifier index that utilises employment data from the </w:t>
            </w:r>
            <w:r w:rsidR="006D4C53" w:rsidRPr="00A44829">
              <w:rPr>
                <w:rFonts w:cs="Arial"/>
                <w:i/>
                <w:sz w:val="16"/>
                <w:szCs w:val="16"/>
              </w:rPr>
              <w:t>Census 2016</w:t>
            </w:r>
            <w:r w:rsidRPr="00A44829">
              <w:rPr>
                <w:rFonts w:cs="Arial"/>
                <w:sz w:val="16"/>
                <w:szCs w:val="16"/>
              </w:rPr>
              <w:t xml:space="preserve"> to identify industries assessed as being more freight-intensive.  This index is derived of total employment in these industries relative to the total resident population within the municipality.</w:t>
            </w:r>
          </w:p>
          <w:p w14:paraId="14AF8E31" w14:textId="77777777" w:rsidR="007E5AC6" w:rsidRPr="00A44829" w:rsidRDefault="007E5AC6" w:rsidP="007F45D1">
            <w:pPr>
              <w:spacing w:before="40" w:after="20"/>
              <w:jc w:val="both"/>
              <w:rPr>
                <w:rFonts w:cs="Arial"/>
                <w:sz w:val="16"/>
                <w:szCs w:val="16"/>
              </w:rPr>
            </w:pPr>
          </w:p>
          <w:p w14:paraId="2DEEA0E7" w14:textId="77777777" w:rsidR="005A7F9F" w:rsidRPr="00A44829" w:rsidRDefault="005A7F9F" w:rsidP="007F45D1">
            <w:pPr>
              <w:spacing w:before="40" w:after="20"/>
              <w:jc w:val="both"/>
              <w:rPr>
                <w:rFonts w:cs="Arial"/>
                <w:sz w:val="16"/>
                <w:szCs w:val="16"/>
              </w:rPr>
            </w:pPr>
          </w:p>
        </w:tc>
      </w:tr>
      <w:tr w:rsidR="005A7F9F" w:rsidRPr="00A44829" w14:paraId="4D7CD07C"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22DB872B" w14:textId="77777777" w:rsidR="005A7F9F" w:rsidRPr="00A44829" w:rsidRDefault="005A7F9F" w:rsidP="00FF36E8">
            <w:pPr>
              <w:spacing w:before="40" w:after="20"/>
              <w:rPr>
                <w:rFonts w:cs="Arial"/>
                <w:b/>
                <w:sz w:val="18"/>
                <w:szCs w:val="18"/>
              </w:rPr>
            </w:pPr>
            <w:r w:rsidRPr="00A44829">
              <w:rPr>
                <w:rFonts w:cs="Arial"/>
                <w:b/>
                <w:sz w:val="18"/>
                <w:szCs w:val="18"/>
              </w:rPr>
              <w:t>Materials</w:t>
            </w:r>
          </w:p>
        </w:tc>
        <w:tc>
          <w:tcPr>
            <w:tcW w:w="6947" w:type="dxa"/>
            <w:tcBorders>
              <w:top w:val="nil"/>
              <w:left w:val="single" w:sz="18" w:space="0" w:color="5F497A" w:themeColor="accent4" w:themeShade="BF"/>
              <w:bottom w:val="nil"/>
            </w:tcBorders>
          </w:tcPr>
          <w:p w14:paraId="5ADD48F9" w14:textId="77777777" w:rsidR="005A7F9F" w:rsidRPr="00A44829" w:rsidRDefault="002B1641" w:rsidP="007F45D1">
            <w:pPr>
              <w:spacing w:before="40" w:after="20"/>
              <w:jc w:val="both"/>
              <w:rPr>
                <w:rFonts w:cs="Arial"/>
                <w:sz w:val="16"/>
                <w:szCs w:val="16"/>
              </w:rPr>
            </w:pPr>
            <w:r w:rsidRPr="00A44829">
              <w:rPr>
                <w:rFonts w:cs="Arial"/>
                <w:sz w:val="16"/>
                <w:szCs w:val="16"/>
              </w:rPr>
              <w:t>The cost of maintaining local roads can be impacted by the local availability of suitable pavement materials.  The materials availability index has identifies the distance between the nearest quarry location containing high quality road making material and the council headquarters.  All metropolitan councils have had their indexes set at the minimum value, reflecting the availability of materials from a variety of sources.</w:t>
            </w:r>
          </w:p>
          <w:p w14:paraId="764555D1" w14:textId="77777777" w:rsidR="009335A6" w:rsidRPr="00A44829" w:rsidRDefault="009335A6" w:rsidP="007F45D1">
            <w:pPr>
              <w:spacing w:before="40" w:after="20"/>
              <w:jc w:val="both"/>
              <w:rPr>
                <w:rFonts w:cs="Arial"/>
                <w:sz w:val="16"/>
                <w:szCs w:val="16"/>
              </w:rPr>
            </w:pPr>
            <w:r w:rsidRPr="00A44829">
              <w:rPr>
                <w:rFonts w:cs="Arial"/>
                <w:sz w:val="16"/>
                <w:szCs w:val="16"/>
              </w:rPr>
              <w:t>The Commission has constructed a materials availability index by determining the distance between the nearest quarry location and the council headquarters.</w:t>
            </w:r>
          </w:p>
          <w:p w14:paraId="5CFA1934" w14:textId="77777777" w:rsidR="007E5AC6" w:rsidRPr="00A44829" w:rsidRDefault="007E5AC6" w:rsidP="007F45D1">
            <w:pPr>
              <w:spacing w:before="40" w:after="20"/>
              <w:jc w:val="both"/>
              <w:rPr>
                <w:rFonts w:cs="Arial"/>
                <w:sz w:val="16"/>
                <w:szCs w:val="16"/>
              </w:rPr>
            </w:pPr>
          </w:p>
          <w:p w14:paraId="01A5B77C" w14:textId="77777777" w:rsidR="005A7F9F" w:rsidRPr="00A44829" w:rsidRDefault="005A7F9F" w:rsidP="007F45D1">
            <w:pPr>
              <w:spacing w:before="40" w:after="20"/>
              <w:jc w:val="both"/>
              <w:rPr>
                <w:rFonts w:cs="Arial"/>
                <w:sz w:val="16"/>
                <w:szCs w:val="16"/>
              </w:rPr>
            </w:pPr>
          </w:p>
        </w:tc>
      </w:tr>
      <w:tr w:rsidR="005A7F9F" w:rsidRPr="00A44829" w14:paraId="1BA67262"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485706FB" w14:textId="77777777" w:rsidR="005A7F9F" w:rsidRPr="00A44829" w:rsidRDefault="005A7F9F" w:rsidP="00FF36E8">
            <w:pPr>
              <w:spacing w:before="40" w:after="20"/>
              <w:rPr>
                <w:rFonts w:cs="Arial"/>
                <w:b/>
                <w:sz w:val="18"/>
                <w:szCs w:val="18"/>
              </w:rPr>
            </w:pPr>
            <w:r w:rsidRPr="00A44829">
              <w:rPr>
                <w:rFonts w:cs="Arial"/>
                <w:b/>
                <w:sz w:val="18"/>
                <w:szCs w:val="18"/>
              </w:rPr>
              <w:t>Strategic Routes</w:t>
            </w:r>
          </w:p>
        </w:tc>
        <w:tc>
          <w:tcPr>
            <w:tcW w:w="6947" w:type="dxa"/>
            <w:tcBorders>
              <w:top w:val="nil"/>
              <w:left w:val="single" w:sz="18" w:space="0" w:color="5F497A" w:themeColor="accent4" w:themeShade="BF"/>
              <w:bottom w:val="nil"/>
            </w:tcBorders>
          </w:tcPr>
          <w:p w14:paraId="4DB399A2" w14:textId="77777777" w:rsidR="002B1641" w:rsidRPr="00A44829" w:rsidRDefault="002B1641" w:rsidP="007F45D1">
            <w:pPr>
              <w:spacing w:before="40" w:after="20"/>
              <w:jc w:val="both"/>
              <w:rPr>
                <w:rFonts w:cs="Arial"/>
                <w:sz w:val="16"/>
                <w:szCs w:val="16"/>
              </w:rPr>
            </w:pPr>
            <w:r w:rsidRPr="00A44829">
              <w:rPr>
                <w:rFonts w:cs="Arial"/>
                <w:sz w:val="16"/>
                <w:szCs w:val="16"/>
              </w:rPr>
              <w:t xml:space="preserve">The strategic route cost modifier recognises that certain local roads must be maintained to a higher standard than would normally be the case because of certain characteristics or functions they perform.  For all road categories, local roads that are tram or bus routes, including school bus routes, are considered to be strategic routes.  In addition, rural local roads that carry less than 100 vehicles a day, but carry at least 10 trucks, or carry less than 100 but more than 50 vehicles per day and are in steep terrain or irrigated areas, are considered strategic routes requiring higher annual levels of expenditure.  </w:t>
            </w:r>
          </w:p>
          <w:p w14:paraId="7E19BC81" w14:textId="77777777" w:rsidR="005A7F9F" w:rsidRPr="00A44829" w:rsidRDefault="002B1641" w:rsidP="007F45D1">
            <w:pPr>
              <w:spacing w:before="40" w:after="20"/>
              <w:jc w:val="both"/>
              <w:rPr>
                <w:rFonts w:cs="Arial"/>
                <w:sz w:val="16"/>
                <w:szCs w:val="16"/>
              </w:rPr>
            </w:pPr>
            <w:r w:rsidRPr="00A44829">
              <w:rPr>
                <w:rFonts w:cs="Arial"/>
                <w:sz w:val="16"/>
                <w:szCs w:val="16"/>
              </w:rPr>
              <w:t>Details on strategic routes are provided to the Commission by individual councils as part of their annual questionnaire.</w:t>
            </w:r>
          </w:p>
          <w:p w14:paraId="3C61AD34" w14:textId="77777777" w:rsidR="007E5AC6" w:rsidRPr="00A44829" w:rsidRDefault="007E5AC6" w:rsidP="007F45D1">
            <w:pPr>
              <w:spacing w:before="40" w:after="20"/>
              <w:jc w:val="both"/>
              <w:rPr>
                <w:rFonts w:cs="Arial"/>
                <w:sz w:val="16"/>
                <w:szCs w:val="16"/>
              </w:rPr>
            </w:pPr>
          </w:p>
          <w:p w14:paraId="0A3E85FA" w14:textId="77777777" w:rsidR="005A7F9F" w:rsidRPr="00A44829" w:rsidRDefault="005A7F9F" w:rsidP="007F45D1">
            <w:pPr>
              <w:spacing w:before="40" w:after="20"/>
              <w:jc w:val="both"/>
              <w:rPr>
                <w:rFonts w:cs="Arial"/>
                <w:sz w:val="16"/>
                <w:szCs w:val="16"/>
              </w:rPr>
            </w:pPr>
          </w:p>
        </w:tc>
      </w:tr>
      <w:tr w:rsidR="005A7F9F" w:rsidRPr="00A44829" w14:paraId="49D5FC94"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5B7ED3AB" w14:textId="77777777" w:rsidR="005A7F9F" w:rsidRPr="00A44829" w:rsidRDefault="005A7F9F" w:rsidP="00FF36E8">
            <w:pPr>
              <w:spacing w:before="40" w:after="20"/>
              <w:rPr>
                <w:rFonts w:cs="Arial"/>
                <w:b/>
                <w:sz w:val="18"/>
                <w:szCs w:val="18"/>
              </w:rPr>
            </w:pPr>
            <w:r w:rsidRPr="00A44829">
              <w:rPr>
                <w:rFonts w:cs="Arial"/>
                <w:b/>
                <w:sz w:val="18"/>
                <w:szCs w:val="18"/>
              </w:rPr>
              <w:t>Sub-grades</w:t>
            </w:r>
          </w:p>
        </w:tc>
        <w:tc>
          <w:tcPr>
            <w:tcW w:w="6947" w:type="dxa"/>
            <w:tcBorders>
              <w:top w:val="nil"/>
              <w:left w:val="single" w:sz="18" w:space="0" w:color="5F497A" w:themeColor="accent4" w:themeShade="BF"/>
              <w:bottom w:val="nil"/>
            </w:tcBorders>
          </w:tcPr>
          <w:p w14:paraId="2B8B3E8F" w14:textId="77777777" w:rsidR="005A7F9F" w:rsidRPr="00A44829" w:rsidRDefault="002B1641" w:rsidP="007F45D1">
            <w:pPr>
              <w:spacing w:before="40" w:after="20"/>
              <w:jc w:val="both"/>
              <w:rPr>
                <w:rFonts w:cs="Arial"/>
                <w:sz w:val="16"/>
                <w:szCs w:val="16"/>
              </w:rPr>
            </w:pPr>
            <w:r w:rsidRPr="00A44829">
              <w:rPr>
                <w:rFonts w:cs="Arial"/>
                <w:sz w:val="16"/>
                <w:szCs w:val="16"/>
              </w:rPr>
              <w:t>The performance life of road pavements is affected by seasonal swelling and shrinkage of the sub-grade, which accelerates the deterioration of the pavement and adds to asset preservation costs.  In Victoria, this is a particular issue in areas with expansive clay sub-grades, which occur predominantly in the western suburbs of Melbourne and western Victoria.  The Commission has identified the total length of urban and rural roads in each of the eight sub-grade categories utilised by Standards Australia, and constructed an index reflecting the relative road maintenance costs associated with having lengths of road built on relatively reactive soils.</w:t>
            </w:r>
          </w:p>
          <w:p w14:paraId="17EBBBF5" w14:textId="77777777" w:rsidR="009335A6" w:rsidRPr="00A44829" w:rsidRDefault="009335A6" w:rsidP="007F45D1">
            <w:pPr>
              <w:spacing w:before="40" w:after="20"/>
              <w:jc w:val="both"/>
              <w:rPr>
                <w:rFonts w:cs="Arial"/>
                <w:sz w:val="16"/>
                <w:szCs w:val="16"/>
              </w:rPr>
            </w:pPr>
            <w:r w:rsidRPr="00A44829">
              <w:rPr>
                <w:rFonts w:cs="Arial"/>
                <w:sz w:val="16"/>
                <w:szCs w:val="16"/>
              </w:rPr>
              <w:t>The Commission has developed a sub-grades index by identifying the total length of urban and rural roads in each municipality built on each of the eight sub-grade categories.</w:t>
            </w:r>
          </w:p>
          <w:p w14:paraId="49966ED5" w14:textId="77777777" w:rsidR="007E5AC6" w:rsidRPr="00A44829" w:rsidRDefault="007E5AC6" w:rsidP="007F45D1">
            <w:pPr>
              <w:spacing w:before="40" w:after="20"/>
              <w:jc w:val="both"/>
              <w:rPr>
                <w:rFonts w:cs="Arial"/>
                <w:sz w:val="16"/>
                <w:szCs w:val="16"/>
              </w:rPr>
            </w:pPr>
          </w:p>
          <w:p w14:paraId="0DB59C37" w14:textId="77777777" w:rsidR="00261079" w:rsidRPr="00A44829" w:rsidRDefault="00261079" w:rsidP="007F45D1">
            <w:pPr>
              <w:spacing w:before="40" w:after="20"/>
              <w:jc w:val="both"/>
              <w:rPr>
                <w:rFonts w:cs="Arial"/>
                <w:sz w:val="16"/>
                <w:szCs w:val="16"/>
              </w:rPr>
            </w:pPr>
          </w:p>
          <w:p w14:paraId="0B36A148" w14:textId="77777777" w:rsidR="005A7F9F" w:rsidRPr="00A44829" w:rsidRDefault="005A7F9F" w:rsidP="007F45D1">
            <w:pPr>
              <w:spacing w:before="40" w:after="20"/>
              <w:jc w:val="both"/>
              <w:rPr>
                <w:rFonts w:cs="Arial"/>
                <w:sz w:val="16"/>
                <w:szCs w:val="16"/>
              </w:rPr>
            </w:pPr>
          </w:p>
        </w:tc>
      </w:tr>
    </w:tbl>
    <w:p w14:paraId="3147A72A" w14:textId="77777777" w:rsidR="00C50555" w:rsidRPr="00A44829" w:rsidRDefault="00C50555" w:rsidP="00FF36E8">
      <w:pPr>
        <w:spacing w:before="40" w:after="20"/>
        <w:rPr>
          <w:rFonts w:cs="Arial"/>
          <w:sz w:val="18"/>
          <w:szCs w:val="18"/>
        </w:rPr>
      </w:pPr>
    </w:p>
    <w:sectPr w:rsidR="00C50555" w:rsidRPr="00A44829" w:rsidSect="00BA1A67">
      <w:footerReference w:type="even" r:id="rId22"/>
      <w:footerReference w:type="default" r:id="rId23"/>
      <w:pgSz w:w="11906" w:h="16838" w:code="9"/>
      <w:pgMar w:top="1474" w:right="1134" w:bottom="907" w:left="1134" w:header="567" w:footer="567" w:gutter="567"/>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900AC" w14:textId="77777777" w:rsidR="00143DD0" w:rsidRDefault="00143DD0">
      <w:r>
        <w:separator/>
      </w:r>
    </w:p>
  </w:endnote>
  <w:endnote w:type="continuationSeparator" w:id="0">
    <w:p w14:paraId="535C0058" w14:textId="77777777" w:rsidR="00143DD0" w:rsidRDefault="0014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7455F" w14:textId="4919F74D" w:rsidR="00143DD0" w:rsidRPr="00101FD1" w:rsidRDefault="00143DD0" w:rsidP="00FE415B">
    <w:pPr>
      <w:tabs>
        <w:tab w:val="right" w:pos="9000"/>
      </w:tabs>
      <w:rPr>
        <w:color w:val="5A6446"/>
        <w:sz w:val="14"/>
        <w:szCs w:val="14"/>
      </w:rPr>
    </w:pPr>
    <w:r w:rsidRPr="00101FD1">
      <w:rPr>
        <w:color w:val="5A6446"/>
        <w:sz w:val="14"/>
        <w:szCs w:val="14"/>
      </w:rPr>
      <w:t xml:space="preserve">Page </w:t>
    </w:r>
    <w:r w:rsidRPr="00101FD1">
      <w:rPr>
        <w:rStyle w:val="PageNumber"/>
        <w:color w:val="5A6446"/>
        <w:sz w:val="14"/>
        <w:szCs w:val="14"/>
      </w:rPr>
      <w:fldChar w:fldCharType="begin"/>
    </w:r>
    <w:r w:rsidRPr="00101FD1">
      <w:rPr>
        <w:rStyle w:val="PageNumber"/>
        <w:color w:val="5A6446"/>
        <w:sz w:val="14"/>
        <w:szCs w:val="14"/>
      </w:rPr>
      <w:instrText xml:space="preserve"> PAGE </w:instrText>
    </w:r>
    <w:r w:rsidRPr="00101FD1">
      <w:rPr>
        <w:rStyle w:val="PageNumber"/>
        <w:color w:val="5A6446"/>
        <w:sz w:val="14"/>
        <w:szCs w:val="14"/>
      </w:rPr>
      <w:fldChar w:fldCharType="separate"/>
    </w:r>
    <w:r>
      <w:rPr>
        <w:rStyle w:val="PageNumber"/>
        <w:noProof/>
        <w:color w:val="5A6446"/>
        <w:sz w:val="14"/>
        <w:szCs w:val="14"/>
      </w:rPr>
      <w:t>112</w:t>
    </w:r>
    <w:r w:rsidRPr="00101FD1">
      <w:rPr>
        <w:rStyle w:val="PageNumber"/>
        <w:color w:val="5A6446"/>
        <w:sz w:val="14"/>
        <w:szCs w:val="14"/>
      </w:rPr>
      <w:fldChar w:fldCharType="end"/>
    </w:r>
    <w:r w:rsidRPr="00101FD1">
      <w:rPr>
        <w:rStyle w:val="PageNumber"/>
        <w:color w:val="5A6446"/>
        <w:sz w:val="14"/>
        <w:szCs w:val="14"/>
      </w:rPr>
      <w:tab/>
    </w:r>
    <w:r w:rsidRPr="00101FD1">
      <w:rPr>
        <w:color w:val="5A6446"/>
        <w:sz w:val="14"/>
        <w:szCs w:val="14"/>
      </w:rPr>
      <w:t xml:space="preserve">Victoria Grants Commission – Annual Report </w:t>
    </w:r>
    <w:r>
      <w:rPr>
        <w:color w:val="5A6446"/>
        <w:sz w:val="14"/>
        <w:szCs w:val="14"/>
      </w:rPr>
      <w:t>2018-19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A7ED" w14:textId="698F3938" w:rsidR="00143DD0" w:rsidRPr="00101FD1" w:rsidRDefault="00143DD0" w:rsidP="00FE415B">
    <w:pPr>
      <w:tabs>
        <w:tab w:val="right" w:pos="9000"/>
      </w:tabs>
      <w:rPr>
        <w:color w:val="5A6446"/>
        <w:sz w:val="14"/>
        <w:szCs w:val="14"/>
      </w:rPr>
    </w:pPr>
    <w:r w:rsidRPr="00101FD1">
      <w:rPr>
        <w:color w:val="5A6446"/>
        <w:sz w:val="14"/>
        <w:szCs w:val="14"/>
      </w:rPr>
      <w:t xml:space="preserve">Victoria Grants Commission – Annual Report </w:t>
    </w:r>
    <w:r>
      <w:rPr>
        <w:color w:val="5A6446"/>
        <w:sz w:val="14"/>
        <w:szCs w:val="14"/>
      </w:rPr>
      <w:t>2018-19</w:t>
    </w:r>
    <w:r w:rsidRPr="00101FD1">
      <w:rPr>
        <w:color w:val="5A6446"/>
        <w:sz w:val="14"/>
        <w:szCs w:val="14"/>
      </w:rPr>
      <w:t xml:space="preserve"> </w:t>
    </w:r>
    <w:r w:rsidRPr="00101FD1">
      <w:rPr>
        <w:color w:val="5A6446"/>
        <w:sz w:val="14"/>
        <w:szCs w:val="14"/>
      </w:rPr>
      <w:tab/>
      <w:t xml:space="preserve">Page </w:t>
    </w:r>
    <w:r w:rsidRPr="00101FD1">
      <w:rPr>
        <w:color w:val="5A6446"/>
        <w:sz w:val="14"/>
        <w:szCs w:val="14"/>
      </w:rPr>
      <w:fldChar w:fldCharType="begin"/>
    </w:r>
    <w:r w:rsidRPr="00101FD1">
      <w:rPr>
        <w:color w:val="5A6446"/>
        <w:sz w:val="14"/>
        <w:szCs w:val="14"/>
      </w:rPr>
      <w:instrText xml:space="preserve"> PAGE </w:instrText>
    </w:r>
    <w:r w:rsidRPr="00101FD1">
      <w:rPr>
        <w:color w:val="5A6446"/>
        <w:sz w:val="14"/>
        <w:szCs w:val="14"/>
      </w:rPr>
      <w:fldChar w:fldCharType="separate"/>
    </w:r>
    <w:r>
      <w:rPr>
        <w:noProof/>
        <w:color w:val="5A6446"/>
        <w:sz w:val="14"/>
        <w:szCs w:val="14"/>
      </w:rPr>
      <w:t>111</w:t>
    </w:r>
    <w:r w:rsidRPr="00101FD1">
      <w:rPr>
        <w:color w:val="5A644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70513" w14:textId="77777777" w:rsidR="00143DD0" w:rsidRDefault="00143DD0">
      <w:r>
        <w:separator/>
      </w:r>
    </w:p>
  </w:footnote>
  <w:footnote w:type="continuationSeparator" w:id="0">
    <w:p w14:paraId="15D30903" w14:textId="77777777" w:rsidR="00143DD0" w:rsidRDefault="00143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E4D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3489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5E8E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C4D4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006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24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D23B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3C01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DAC9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E4B5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0693"/>
    <w:multiLevelType w:val="hybridMultilevel"/>
    <w:tmpl w:val="E25C9A14"/>
    <w:lvl w:ilvl="0" w:tplc="B70CF574">
      <w:start w:val="1"/>
      <w:numFmt w:val="upperLetter"/>
      <w:lvlText w:val="%1."/>
      <w:lvlJc w:val="left"/>
      <w:pPr>
        <w:tabs>
          <w:tab w:val="num" w:pos="803"/>
        </w:tabs>
        <w:ind w:left="803"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8322560"/>
    <w:multiLevelType w:val="hybridMultilevel"/>
    <w:tmpl w:val="B3F2E980"/>
    <w:lvl w:ilvl="0" w:tplc="3C0ACCB4">
      <w:start w:val="12"/>
      <w:numFmt w:val="bullet"/>
      <w:lvlText w:val="-"/>
      <w:lvlJc w:val="left"/>
      <w:pPr>
        <w:ind w:left="720" w:hanging="360"/>
      </w:pPr>
      <w:rPr>
        <w:rFonts w:ascii="Arial" w:eastAsia="Batang"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61953"/>
    <w:multiLevelType w:val="hybridMultilevel"/>
    <w:tmpl w:val="8850EFBC"/>
    <w:lvl w:ilvl="0" w:tplc="2552419C">
      <w:numFmt w:val="bullet"/>
      <w:lvlText w:val="-"/>
      <w:lvlJc w:val="left"/>
      <w:pPr>
        <w:tabs>
          <w:tab w:val="num" w:pos="720"/>
        </w:tabs>
        <w:ind w:left="720" w:hanging="360"/>
      </w:pPr>
      <w:rPr>
        <w:rFonts w:ascii="Arial" w:eastAsia="Batang"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C63A1"/>
    <w:multiLevelType w:val="hybridMultilevel"/>
    <w:tmpl w:val="AF1C4370"/>
    <w:lvl w:ilvl="0" w:tplc="A31A8BC6">
      <w:start w:val="1"/>
      <w:numFmt w:val="upperLetter"/>
      <w:lvlText w:val="%1."/>
      <w:lvlJc w:val="left"/>
      <w:pPr>
        <w:tabs>
          <w:tab w:val="num" w:pos="816"/>
        </w:tabs>
        <w:ind w:left="816" w:hanging="555"/>
      </w:pPr>
      <w:rPr>
        <w:rFonts w:hint="default"/>
      </w:rPr>
    </w:lvl>
    <w:lvl w:ilvl="1" w:tplc="0C090019" w:tentative="1">
      <w:start w:val="1"/>
      <w:numFmt w:val="lowerLetter"/>
      <w:lvlText w:val="%2."/>
      <w:lvlJc w:val="left"/>
      <w:pPr>
        <w:tabs>
          <w:tab w:val="num" w:pos="1341"/>
        </w:tabs>
        <w:ind w:left="1341" w:hanging="360"/>
      </w:pPr>
    </w:lvl>
    <w:lvl w:ilvl="2" w:tplc="0C09001B" w:tentative="1">
      <w:start w:val="1"/>
      <w:numFmt w:val="lowerRoman"/>
      <w:lvlText w:val="%3."/>
      <w:lvlJc w:val="right"/>
      <w:pPr>
        <w:tabs>
          <w:tab w:val="num" w:pos="2061"/>
        </w:tabs>
        <w:ind w:left="2061" w:hanging="180"/>
      </w:pPr>
    </w:lvl>
    <w:lvl w:ilvl="3" w:tplc="0C09000F" w:tentative="1">
      <w:start w:val="1"/>
      <w:numFmt w:val="decimal"/>
      <w:lvlText w:val="%4."/>
      <w:lvlJc w:val="left"/>
      <w:pPr>
        <w:tabs>
          <w:tab w:val="num" w:pos="2781"/>
        </w:tabs>
        <w:ind w:left="2781" w:hanging="360"/>
      </w:pPr>
    </w:lvl>
    <w:lvl w:ilvl="4" w:tplc="0C090019" w:tentative="1">
      <w:start w:val="1"/>
      <w:numFmt w:val="lowerLetter"/>
      <w:lvlText w:val="%5."/>
      <w:lvlJc w:val="left"/>
      <w:pPr>
        <w:tabs>
          <w:tab w:val="num" w:pos="3501"/>
        </w:tabs>
        <w:ind w:left="3501" w:hanging="360"/>
      </w:pPr>
    </w:lvl>
    <w:lvl w:ilvl="5" w:tplc="0C09001B" w:tentative="1">
      <w:start w:val="1"/>
      <w:numFmt w:val="lowerRoman"/>
      <w:lvlText w:val="%6."/>
      <w:lvlJc w:val="right"/>
      <w:pPr>
        <w:tabs>
          <w:tab w:val="num" w:pos="4221"/>
        </w:tabs>
        <w:ind w:left="4221" w:hanging="180"/>
      </w:pPr>
    </w:lvl>
    <w:lvl w:ilvl="6" w:tplc="0C09000F" w:tentative="1">
      <w:start w:val="1"/>
      <w:numFmt w:val="decimal"/>
      <w:lvlText w:val="%7."/>
      <w:lvlJc w:val="left"/>
      <w:pPr>
        <w:tabs>
          <w:tab w:val="num" w:pos="4941"/>
        </w:tabs>
        <w:ind w:left="4941" w:hanging="360"/>
      </w:pPr>
    </w:lvl>
    <w:lvl w:ilvl="7" w:tplc="0C090019" w:tentative="1">
      <w:start w:val="1"/>
      <w:numFmt w:val="lowerLetter"/>
      <w:lvlText w:val="%8."/>
      <w:lvlJc w:val="left"/>
      <w:pPr>
        <w:tabs>
          <w:tab w:val="num" w:pos="5661"/>
        </w:tabs>
        <w:ind w:left="5661" w:hanging="360"/>
      </w:pPr>
    </w:lvl>
    <w:lvl w:ilvl="8" w:tplc="0C09001B" w:tentative="1">
      <w:start w:val="1"/>
      <w:numFmt w:val="lowerRoman"/>
      <w:lvlText w:val="%9."/>
      <w:lvlJc w:val="right"/>
      <w:pPr>
        <w:tabs>
          <w:tab w:val="num" w:pos="6381"/>
        </w:tabs>
        <w:ind w:left="6381" w:hanging="180"/>
      </w:pPr>
    </w:lvl>
  </w:abstractNum>
  <w:abstractNum w:abstractNumId="14" w15:restartNumberingAfterBreak="0">
    <w:nsid w:val="1BA9522D"/>
    <w:multiLevelType w:val="hybridMultilevel"/>
    <w:tmpl w:val="C2223A14"/>
    <w:lvl w:ilvl="0" w:tplc="74D0DF4E">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237187"/>
    <w:multiLevelType w:val="hybridMultilevel"/>
    <w:tmpl w:val="42CAB154"/>
    <w:lvl w:ilvl="0" w:tplc="70B8D17E">
      <w:start w:val="1"/>
      <w:numFmt w:val="upperLetter"/>
      <w:lvlText w:val="%1."/>
      <w:lvlJc w:val="left"/>
      <w:pPr>
        <w:tabs>
          <w:tab w:val="num" w:pos="817"/>
        </w:tabs>
        <w:ind w:left="817" w:hanging="540"/>
      </w:pPr>
      <w:rPr>
        <w:rFonts w:hint="default"/>
        <w:sz w:val="18"/>
        <w:szCs w:val="18"/>
      </w:rPr>
    </w:lvl>
    <w:lvl w:ilvl="1" w:tplc="0C090019" w:tentative="1">
      <w:start w:val="1"/>
      <w:numFmt w:val="lowerLetter"/>
      <w:lvlText w:val="%2."/>
      <w:lvlJc w:val="left"/>
      <w:pPr>
        <w:tabs>
          <w:tab w:val="num" w:pos="1357"/>
        </w:tabs>
        <w:ind w:left="1357" w:hanging="360"/>
      </w:pPr>
    </w:lvl>
    <w:lvl w:ilvl="2" w:tplc="0C09001B" w:tentative="1">
      <w:start w:val="1"/>
      <w:numFmt w:val="lowerRoman"/>
      <w:lvlText w:val="%3."/>
      <w:lvlJc w:val="right"/>
      <w:pPr>
        <w:tabs>
          <w:tab w:val="num" w:pos="2077"/>
        </w:tabs>
        <w:ind w:left="2077" w:hanging="180"/>
      </w:pPr>
    </w:lvl>
    <w:lvl w:ilvl="3" w:tplc="0C09000F" w:tentative="1">
      <w:start w:val="1"/>
      <w:numFmt w:val="decimal"/>
      <w:lvlText w:val="%4."/>
      <w:lvlJc w:val="left"/>
      <w:pPr>
        <w:tabs>
          <w:tab w:val="num" w:pos="2797"/>
        </w:tabs>
        <w:ind w:left="2797" w:hanging="360"/>
      </w:pPr>
    </w:lvl>
    <w:lvl w:ilvl="4" w:tplc="0C090019" w:tentative="1">
      <w:start w:val="1"/>
      <w:numFmt w:val="lowerLetter"/>
      <w:lvlText w:val="%5."/>
      <w:lvlJc w:val="left"/>
      <w:pPr>
        <w:tabs>
          <w:tab w:val="num" w:pos="3517"/>
        </w:tabs>
        <w:ind w:left="3517" w:hanging="360"/>
      </w:pPr>
    </w:lvl>
    <w:lvl w:ilvl="5" w:tplc="0C09001B" w:tentative="1">
      <w:start w:val="1"/>
      <w:numFmt w:val="lowerRoman"/>
      <w:lvlText w:val="%6."/>
      <w:lvlJc w:val="right"/>
      <w:pPr>
        <w:tabs>
          <w:tab w:val="num" w:pos="4237"/>
        </w:tabs>
        <w:ind w:left="4237" w:hanging="180"/>
      </w:pPr>
    </w:lvl>
    <w:lvl w:ilvl="6" w:tplc="0C09000F" w:tentative="1">
      <w:start w:val="1"/>
      <w:numFmt w:val="decimal"/>
      <w:lvlText w:val="%7."/>
      <w:lvlJc w:val="left"/>
      <w:pPr>
        <w:tabs>
          <w:tab w:val="num" w:pos="4957"/>
        </w:tabs>
        <w:ind w:left="4957" w:hanging="360"/>
      </w:pPr>
    </w:lvl>
    <w:lvl w:ilvl="7" w:tplc="0C090019" w:tentative="1">
      <w:start w:val="1"/>
      <w:numFmt w:val="lowerLetter"/>
      <w:lvlText w:val="%8."/>
      <w:lvlJc w:val="left"/>
      <w:pPr>
        <w:tabs>
          <w:tab w:val="num" w:pos="5677"/>
        </w:tabs>
        <w:ind w:left="5677" w:hanging="360"/>
      </w:pPr>
    </w:lvl>
    <w:lvl w:ilvl="8" w:tplc="0C09001B" w:tentative="1">
      <w:start w:val="1"/>
      <w:numFmt w:val="lowerRoman"/>
      <w:lvlText w:val="%9."/>
      <w:lvlJc w:val="right"/>
      <w:pPr>
        <w:tabs>
          <w:tab w:val="num" w:pos="6397"/>
        </w:tabs>
        <w:ind w:left="6397" w:hanging="180"/>
      </w:pPr>
    </w:lvl>
  </w:abstractNum>
  <w:abstractNum w:abstractNumId="16" w15:restartNumberingAfterBreak="0">
    <w:nsid w:val="26FA014E"/>
    <w:multiLevelType w:val="hybridMultilevel"/>
    <w:tmpl w:val="5A3407E6"/>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27301A69"/>
    <w:multiLevelType w:val="multilevel"/>
    <w:tmpl w:val="C2223A1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826AF"/>
    <w:multiLevelType w:val="multilevel"/>
    <w:tmpl w:val="E2DCD59C"/>
    <w:lvl w:ilvl="0">
      <w:start w:val="1"/>
      <w:numFmt w:val="bullet"/>
      <w:lvlText w:val="-"/>
      <w:lvlJc w:val="left"/>
      <w:pPr>
        <w:tabs>
          <w:tab w:val="num" w:pos="0"/>
        </w:tabs>
        <w:ind w:left="1494"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112B9A"/>
    <w:multiLevelType w:val="hybridMultilevel"/>
    <w:tmpl w:val="C5749298"/>
    <w:lvl w:ilvl="0" w:tplc="19AAF952">
      <w:start w:val="1"/>
      <w:numFmt w:val="bullet"/>
      <w:lvlText w:val=""/>
      <w:lvlJc w:val="left"/>
      <w:pPr>
        <w:tabs>
          <w:tab w:val="num" w:pos="567"/>
        </w:tabs>
        <w:ind w:left="567" w:hanging="567"/>
      </w:pPr>
      <w:rPr>
        <w:rFonts w:ascii="Wingdings" w:hAnsi="Wingdings" w:hint="default"/>
        <w:b/>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2F7CE9"/>
    <w:multiLevelType w:val="hybridMultilevel"/>
    <w:tmpl w:val="A732D244"/>
    <w:lvl w:ilvl="0" w:tplc="F732CDEE">
      <w:start w:val="1"/>
      <w:numFmt w:val="bullet"/>
      <w:lvlText w:val="-"/>
      <w:lvlJc w:val="left"/>
      <w:pPr>
        <w:tabs>
          <w:tab w:val="num" w:pos="2160"/>
        </w:tabs>
        <w:ind w:left="3654" w:hanging="360"/>
      </w:pPr>
      <w:rPr>
        <w:rFonts w:ascii="Times New Roman" w:hAnsi="Times New Roman" w:cs="Times New Roman"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4287C04"/>
    <w:multiLevelType w:val="multilevel"/>
    <w:tmpl w:val="8258F24C"/>
    <w:lvl w:ilvl="0">
      <w:start w:val="1"/>
      <w:numFmt w:val="bullet"/>
      <w:lvlText w:val=""/>
      <w:lvlJc w:val="left"/>
      <w:pPr>
        <w:tabs>
          <w:tab w:val="num" w:pos="1494"/>
        </w:tabs>
        <w:ind w:left="1494"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9A0015"/>
    <w:multiLevelType w:val="hybridMultilevel"/>
    <w:tmpl w:val="8258F24C"/>
    <w:lvl w:ilvl="0" w:tplc="0C090001">
      <w:start w:val="1"/>
      <w:numFmt w:val="bullet"/>
      <w:lvlText w:val=""/>
      <w:lvlJc w:val="left"/>
      <w:pPr>
        <w:tabs>
          <w:tab w:val="num" w:pos="1494"/>
        </w:tabs>
        <w:ind w:left="149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096C76"/>
    <w:multiLevelType w:val="hybridMultilevel"/>
    <w:tmpl w:val="14D80C32"/>
    <w:lvl w:ilvl="0" w:tplc="F33AB0B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FDA2D7E"/>
    <w:multiLevelType w:val="multilevel"/>
    <w:tmpl w:val="F14EEBDA"/>
    <w:lvl w:ilvl="0">
      <w:start w:val="1"/>
      <w:numFmt w:val="upperLetter"/>
      <w:lvlText w:val="%1."/>
      <w:lvlJc w:val="left"/>
      <w:pPr>
        <w:tabs>
          <w:tab w:val="num" w:pos="803"/>
        </w:tabs>
        <w:ind w:left="803" w:hanging="540"/>
      </w:pPr>
      <w:rPr>
        <w:rFonts w:hint="default"/>
      </w:rPr>
    </w:lvl>
    <w:lvl w:ilvl="1">
      <w:start w:val="1"/>
      <w:numFmt w:val="lowerLetter"/>
      <w:lvlText w:val="%2."/>
      <w:lvlJc w:val="left"/>
      <w:pPr>
        <w:tabs>
          <w:tab w:val="num" w:pos="1343"/>
        </w:tabs>
        <w:ind w:left="1343" w:hanging="360"/>
      </w:pPr>
    </w:lvl>
    <w:lvl w:ilvl="2">
      <w:start w:val="1"/>
      <w:numFmt w:val="lowerRoman"/>
      <w:lvlText w:val="%3."/>
      <w:lvlJc w:val="right"/>
      <w:pPr>
        <w:tabs>
          <w:tab w:val="num" w:pos="2063"/>
        </w:tabs>
        <w:ind w:left="2063" w:hanging="180"/>
      </w:pPr>
    </w:lvl>
    <w:lvl w:ilvl="3">
      <w:start w:val="1"/>
      <w:numFmt w:val="decimal"/>
      <w:lvlText w:val="%4."/>
      <w:lvlJc w:val="left"/>
      <w:pPr>
        <w:tabs>
          <w:tab w:val="num" w:pos="2783"/>
        </w:tabs>
        <w:ind w:left="2783" w:hanging="360"/>
      </w:pPr>
    </w:lvl>
    <w:lvl w:ilvl="4">
      <w:start w:val="1"/>
      <w:numFmt w:val="lowerLetter"/>
      <w:lvlText w:val="%5."/>
      <w:lvlJc w:val="left"/>
      <w:pPr>
        <w:tabs>
          <w:tab w:val="num" w:pos="3503"/>
        </w:tabs>
        <w:ind w:left="3503" w:hanging="360"/>
      </w:pPr>
    </w:lvl>
    <w:lvl w:ilvl="5">
      <w:start w:val="1"/>
      <w:numFmt w:val="lowerRoman"/>
      <w:lvlText w:val="%6."/>
      <w:lvlJc w:val="right"/>
      <w:pPr>
        <w:tabs>
          <w:tab w:val="num" w:pos="4223"/>
        </w:tabs>
        <w:ind w:left="4223" w:hanging="180"/>
      </w:pPr>
    </w:lvl>
    <w:lvl w:ilvl="6">
      <w:start w:val="1"/>
      <w:numFmt w:val="decimal"/>
      <w:lvlText w:val="%7."/>
      <w:lvlJc w:val="left"/>
      <w:pPr>
        <w:tabs>
          <w:tab w:val="num" w:pos="4943"/>
        </w:tabs>
        <w:ind w:left="4943" w:hanging="360"/>
      </w:pPr>
    </w:lvl>
    <w:lvl w:ilvl="7">
      <w:start w:val="1"/>
      <w:numFmt w:val="lowerLetter"/>
      <w:lvlText w:val="%8."/>
      <w:lvlJc w:val="left"/>
      <w:pPr>
        <w:tabs>
          <w:tab w:val="num" w:pos="5663"/>
        </w:tabs>
        <w:ind w:left="5663" w:hanging="360"/>
      </w:pPr>
    </w:lvl>
    <w:lvl w:ilvl="8">
      <w:start w:val="1"/>
      <w:numFmt w:val="lowerRoman"/>
      <w:lvlText w:val="%9."/>
      <w:lvlJc w:val="right"/>
      <w:pPr>
        <w:tabs>
          <w:tab w:val="num" w:pos="6383"/>
        </w:tabs>
        <w:ind w:left="6383" w:hanging="180"/>
      </w:pPr>
    </w:lvl>
  </w:abstractNum>
  <w:abstractNum w:abstractNumId="25" w15:restartNumberingAfterBreak="0">
    <w:nsid w:val="542966A4"/>
    <w:multiLevelType w:val="hybridMultilevel"/>
    <w:tmpl w:val="FE78F092"/>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594C70AA"/>
    <w:multiLevelType w:val="hybridMultilevel"/>
    <w:tmpl w:val="E9641FC8"/>
    <w:lvl w:ilvl="0" w:tplc="F732CDEE">
      <w:start w:val="1"/>
      <w:numFmt w:val="bullet"/>
      <w:lvlText w:val="-"/>
      <w:lvlJc w:val="left"/>
      <w:pPr>
        <w:tabs>
          <w:tab w:val="num" w:pos="2220"/>
        </w:tabs>
        <w:ind w:left="3714" w:hanging="360"/>
      </w:pPr>
      <w:rPr>
        <w:rFonts w:ascii="Times New Roman" w:hAnsi="Times New Roman" w:cs="Times New Roman" w:hint="default"/>
      </w:rPr>
    </w:lvl>
    <w:lvl w:ilvl="1" w:tplc="0C090003" w:tentative="1">
      <w:start w:val="1"/>
      <w:numFmt w:val="bullet"/>
      <w:lvlText w:val="o"/>
      <w:lvlJc w:val="left"/>
      <w:pPr>
        <w:tabs>
          <w:tab w:val="num" w:pos="3660"/>
        </w:tabs>
        <w:ind w:left="3660" w:hanging="360"/>
      </w:pPr>
      <w:rPr>
        <w:rFonts w:ascii="Courier New" w:hAnsi="Courier New" w:cs="Courier New" w:hint="default"/>
      </w:rPr>
    </w:lvl>
    <w:lvl w:ilvl="2" w:tplc="0C090005" w:tentative="1">
      <w:start w:val="1"/>
      <w:numFmt w:val="bullet"/>
      <w:lvlText w:val=""/>
      <w:lvlJc w:val="left"/>
      <w:pPr>
        <w:tabs>
          <w:tab w:val="num" w:pos="4380"/>
        </w:tabs>
        <w:ind w:left="4380" w:hanging="360"/>
      </w:pPr>
      <w:rPr>
        <w:rFonts w:ascii="Wingdings" w:hAnsi="Wingdings" w:hint="default"/>
      </w:rPr>
    </w:lvl>
    <w:lvl w:ilvl="3" w:tplc="0C090001">
      <w:start w:val="1"/>
      <w:numFmt w:val="bullet"/>
      <w:lvlText w:val=""/>
      <w:lvlJc w:val="left"/>
      <w:pPr>
        <w:tabs>
          <w:tab w:val="num" w:pos="5100"/>
        </w:tabs>
        <w:ind w:left="5100" w:hanging="360"/>
      </w:pPr>
      <w:rPr>
        <w:rFonts w:ascii="Symbol" w:hAnsi="Symbol" w:hint="default"/>
      </w:rPr>
    </w:lvl>
    <w:lvl w:ilvl="4" w:tplc="0C090003" w:tentative="1">
      <w:start w:val="1"/>
      <w:numFmt w:val="bullet"/>
      <w:lvlText w:val="o"/>
      <w:lvlJc w:val="left"/>
      <w:pPr>
        <w:tabs>
          <w:tab w:val="num" w:pos="5820"/>
        </w:tabs>
        <w:ind w:left="5820" w:hanging="360"/>
      </w:pPr>
      <w:rPr>
        <w:rFonts w:ascii="Courier New" w:hAnsi="Courier New" w:cs="Courier New" w:hint="default"/>
      </w:rPr>
    </w:lvl>
    <w:lvl w:ilvl="5" w:tplc="0C090005" w:tentative="1">
      <w:start w:val="1"/>
      <w:numFmt w:val="bullet"/>
      <w:lvlText w:val=""/>
      <w:lvlJc w:val="left"/>
      <w:pPr>
        <w:tabs>
          <w:tab w:val="num" w:pos="6540"/>
        </w:tabs>
        <w:ind w:left="6540" w:hanging="360"/>
      </w:pPr>
      <w:rPr>
        <w:rFonts w:ascii="Wingdings" w:hAnsi="Wingdings" w:hint="default"/>
      </w:rPr>
    </w:lvl>
    <w:lvl w:ilvl="6" w:tplc="0C090001" w:tentative="1">
      <w:start w:val="1"/>
      <w:numFmt w:val="bullet"/>
      <w:lvlText w:val=""/>
      <w:lvlJc w:val="left"/>
      <w:pPr>
        <w:tabs>
          <w:tab w:val="num" w:pos="7260"/>
        </w:tabs>
        <w:ind w:left="7260" w:hanging="360"/>
      </w:pPr>
      <w:rPr>
        <w:rFonts w:ascii="Symbol" w:hAnsi="Symbol" w:hint="default"/>
      </w:rPr>
    </w:lvl>
    <w:lvl w:ilvl="7" w:tplc="0C090003" w:tentative="1">
      <w:start w:val="1"/>
      <w:numFmt w:val="bullet"/>
      <w:lvlText w:val="o"/>
      <w:lvlJc w:val="left"/>
      <w:pPr>
        <w:tabs>
          <w:tab w:val="num" w:pos="7980"/>
        </w:tabs>
        <w:ind w:left="7980" w:hanging="360"/>
      </w:pPr>
      <w:rPr>
        <w:rFonts w:ascii="Courier New" w:hAnsi="Courier New" w:cs="Courier New" w:hint="default"/>
      </w:rPr>
    </w:lvl>
    <w:lvl w:ilvl="8" w:tplc="0C090005" w:tentative="1">
      <w:start w:val="1"/>
      <w:numFmt w:val="bullet"/>
      <w:lvlText w:val=""/>
      <w:lvlJc w:val="left"/>
      <w:pPr>
        <w:tabs>
          <w:tab w:val="num" w:pos="8700"/>
        </w:tabs>
        <w:ind w:left="8700" w:hanging="360"/>
      </w:pPr>
      <w:rPr>
        <w:rFonts w:ascii="Wingdings" w:hAnsi="Wingdings" w:hint="default"/>
      </w:rPr>
    </w:lvl>
  </w:abstractNum>
  <w:abstractNum w:abstractNumId="27" w15:restartNumberingAfterBreak="0">
    <w:nsid w:val="59EA29E2"/>
    <w:multiLevelType w:val="hybridMultilevel"/>
    <w:tmpl w:val="178EF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E7D61"/>
    <w:multiLevelType w:val="hybridMultilevel"/>
    <w:tmpl w:val="8BE200D4"/>
    <w:lvl w:ilvl="0" w:tplc="F72A9C64">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873AC"/>
    <w:multiLevelType w:val="hybridMultilevel"/>
    <w:tmpl w:val="9B30EB20"/>
    <w:lvl w:ilvl="0" w:tplc="2BA0FA80">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52BF1"/>
    <w:multiLevelType w:val="hybridMultilevel"/>
    <w:tmpl w:val="E2DCD59C"/>
    <w:lvl w:ilvl="0" w:tplc="F732CDEE">
      <w:start w:val="1"/>
      <w:numFmt w:val="bullet"/>
      <w:lvlText w:val="-"/>
      <w:lvlJc w:val="left"/>
      <w:pPr>
        <w:tabs>
          <w:tab w:val="num" w:pos="0"/>
        </w:tabs>
        <w:ind w:left="1494"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9C1F6A"/>
    <w:multiLevelType w:val="hybridMultilevel"/>
    <w:tmpl w:val="BA6A118A"/>
    <w:lvl w:ilvl="0" w:tplc="460CC56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E4513"/>
    <w:multiLevelType w:val="hybridMultilevel"/>
    <w:tmpl w:val="A596E618"/>
    <w:lvl w:ilvl="0" w:tplc="BB88D960">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485C70"/>
    <w:multiLevelType w:val="multilevel"/>
    <w:tmpl w:val="8BE200D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0"/>
  </w:num>
  <w:num w:numId="3">
    <w:abstractNumId w:val="18"/>
  </w:num>
  <w:num w:numId="4">
    <w:abstractNumId w:val="22"/>
  </w:num>
  <w:num w:numId="5">
    <w:abstractNumId w:val="21"/>
  </w:num>
  <w:num w:numId="6">
    <w:abstractNumId w:val="27"/>
  </w:num>
  <w:num w:numId="7">
    <w:abstractNumId w:val="31"/>
  </w:num>
  <w:num w:numId="8">
    <w:abstractNumId w:val="26"/>
  </w:num>
  <w:num w:numId="9">
    <w:abstractNumId w:val="25"/>
  </w:num>
  <w:num w:numId="10">
    <w:abstractNumId w:val="16"/>
  </w:num>
  <w:num w:numId="11">
    <w:abstractNumId w:val="14"/>
  </w:num>
  <w:num w:numId="12">
    <w:abstractNumId w:val="17"/>
  </w:num>
  <w:num w:numId="13">
    <w:abstractNumId w:val="28"/>
  </w:num>
  <w:num w:numId="14">
    <w:abstractNumId w:val="33"/>
  </w:num>
  <w:num w:numId="15">
    <w:abstractNumId w:val="32"/>
  </w:num>
  <w:num w:numId="16">
    <w:abstractNumId w:val="19"/>
  </w:num>
  <w:num w:numId="17">
    <w:abstractNumId w:val="15"/>
  </w:num>
  <w:num w:numId="18">
    <w:abstractNumId w:val="13"/>
  </w:num>
  <w:num w:numId="19">
    <w:abstractNumId w:val="23"/>
  </w:num>
  <w:num w:numId="20">
    <w:abstractNumId w:val="24"/>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num>
  <w:num w:numId="33">
    <w:abstractNumId w:val="29"/>
  </w:num>
  <w:num w:numId="34">
    <w:abstractNumId w:val="1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evenAndOddHeaders/>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49A"/>
    <w:rsid w:val="00001703"/>
    <w:rsid w:val="00001707"/>
    <w:rsid w:val="0000255F"/>
    <w:rsid w:val="00005757"/>
    <w:rsid w:val="00006F76"/>
    <w:rsid w:val="00010EFE"/>
    <w:rsid w:val="0001399C"/>
    <w:rsid w:val="00016075"/>
    <w:rsid w:val="0001684D"/>
    <w:rsid w:val="00017106"/>
    <w:rsid w:val="0001736F"/>
    <w:rsid w:val="00023C41"/>
    <w:rsid w:val="00025F89"/>
    <w:rsid w:val="000261B4"/>
    <w:rsid w:val="00030785"/>
    <w:rsid w:val="0003149B"/>
    <w:rsid w:val="0003231A"/>
    <w:rsid w:val="00033B56"/>
    <w:rsid w:val="00034C68"/>
    <w:rsid w:val="000359E3"/>
    <w:rsid w:val="00036660"/>
    <w:rsid w:val="00037518"/>
    <w:rsid w:val="0004098F"/>
    <w:rsid w:val="000413B8"/>
    <w:rsid w:val="0004146D"/>
    <w:rsid w:val="00044A5B"/>
    <w:rsid w:val="00044F2E"/>
    <w:rsid w:val="000453DD"/>
    <w:rsid w:val="0004569E"/>
    <w:rsid w:val="00046894"/>
    <w:rsid w:val="0005079C"/>
    <w:rsid w:val="000530DA"/>
    <w:rsid w:val="0005587D"/>
    <w:rsid w:val="00055A57"/>
    <w:rsid w:val="000577D8"/>
    <w:rsid w:val="00057A27"/>
    <w:rsid w:val="00057EFC"/>
    <w:rsid w:val="00060707"/>
    <w:rsid w:val="00061F39"/>
    <w:rsid w:val="0006670B"/>
    <w:rsid w:val="00066C39"/>
    <w:rsid w:val="00067B02"/>
    <w:rsid w:val="00072141"/>
    <w:rsid w:val="000726CB"/>
    <w:rsid w:val="000734E9"/>
    <w:rsid w:val="00073C62"/>
    <w:rsid w:val="0007467F"/>
    <w:rsid w:val="00080522"/>
    <w:rsid w:val="000814A3"/>
    <w:rsid w:val="00082DE7"/>
    <w:rsid w:val="00082FC9"/>
    <w:rsid w:val="000837C9"/>
    <w:rsid w:val="00086DD7"/>
    <w:rsid w:val="00086FAA"/>
    <w:rsid w:val="000872CF"/>
    <w:rsid w:val="00087951"/>
    <w:rsid w:val="000907B0"/>
    <w:rsid w:val="00092500"/>
    <w:rsid w:val="00096A72"/>
    <w:rsid w:val="000973D1"/>
    <w:rsid w:val="000976F6"/>
    <w:rsid w:val="000A01F2"/>
    <w:rsid w:val="000A51B0"/>
    <w:rsid w:val="000A7A67"/>
    <w:rsid w:val="000B033D"/>
    <w:rsid w:val="000B10E8"/>
    <w:rsid w:val="000B12D6"/>
    <w:rsid w:val="000B1DC5"/>
    <w:rsid w:val="000B210A"/>
    <w:rsid w:val="000B2640"/>
    <w:rsid w:val="000B7032"/>
    <w:rsid w:val="000B7F4C"/>
    <w:rsid w:val="000C2C82"/>
    <w:rsid w:val="000C3956"/>
    <w:rsid w:val="000C3E35"/>
    <w:rsid w:val="000C7176"/>
    <w:rsid w:val="000C79E0"/>
    <w:rsid w:val="000C7A80"/>
    <w:rsid w:val="000D066F"/>
    <w:rsid w:val="000E069E"/>
    <w:rsid w:val="000E0F98"/>
    <w:rsid w:val="000E20EB"/>
    <w:rsid w:val="000E26E1"/>
    <w:rsid w:val="000E2CCB"/>
    <w:rsid w:val="000E3689"/>
    <w:rsid w:val="000E4A02"/>
    <w:rsid w:val="000E5563"/>
    <w:rsid w:val="000E5722"/>
    <w:rsid w:val="000E578B"/>
    <w:rsid w:val="000E59AF"/>
    <w:rsid w:val="000F1A84"/>
    <w:rsid w:val="000F1D1F"/>
    <w:rsid w:val="000F251C"/>
    <w:rsid w:val="000F2918"/>
    <w:rsid w:val="000F299C"/>
    <w:rsid w:val="000F3ACE"/>
    <w:rsid w:val="000F4458"/>
    <w:rsid w:val="000F4FDB"/>
    <w:rsid w:val="001009B0"/>
    <w:rsid w:val="00100D76"/>
    <w:rsid w:val="00100FCE"/>
    <w:rsid w:val="001010BD"/>
    <w:rsid w:val="001018EE"/>
    <w:rsid w:val="00101FD1"/>
    <w:rsid w:val="0010338A"/>
    <w:rsid w:val="0010350F"/>
    <w:rsid w:val="00103B31"/>
    <w:rsid w:val="00111F86"/>
    <w:rsid w:val="0011338B"/>
    <w:rsid w:val="00113B59"/>
    <w:rsid w:val="00117BD1"/>
    <w:rsid w:val="00117DEA"/>
    <w:rsid w:val="00120095"/>
    <w:rsid w:val="001235A7"/>
    <w:rsid w:val="001237EF"/>
    <w:rsid w:val="00123E86"/>
    <w:rsid w:val="00124CE1"/>
    <w:rsid w:val="00125838"/>
    <w:rsid w:val="001258EF"/>
    <w:rsid w:val="001268B4"/>
    <w:rsid w:val="00130117"/>
    <w:rsid w:val="00133AE4"/>
    <w:rsid w:val="001342F4"/>
    <w:rsid w:val="001357BA"/>
    <w:rsid w:val="00136678"/>
    <w:rsid w:val="00142B2C"/>
    <w:rsid w:val="001438F3"/>
    <w:rsid w:val="00143DD0"/>
    <w:rsid w:val="00145D59"/>
    <w:rsid w:val="00146654"/>
    <w:rsid w:val="00146FD1"/>
    <w:rsid w:val="00147515"/>
    <w:rsid w:val="001501BD"/>
    <w:rsid w:val="00152353"/>
    <w:rsid w:val="00152D43"/>
    <w:rsid w:val="00155A96"/>
    <w:rsid w:val="00156888"/>
    <w:rsid w:val="00157123"/>
    <w:rsid w:val="001614EA"/>
    <w:rsid w:val="0016240B"/>
    <w:rsid w:val="00162954"/>
    <w:rsid w:val="00162D2E"/>
    <w:rsid w:val="00162FEE"/>
    <w:rsid w:val="0016581E"/>
    <w:rsid w:val="001658EB"/>
    <w:rsid w:val="001700FF"/>
    <w:rsid w:val="00170246"/>
    <w:rsid w:val="00170F92"/>
    <w:rsid w:val="001715B5"/>
    <w:rsid w:val="001722F7"/>
    <w:rsid w:val="00172324"/>
    <w:rsid w:val="001724C2"/>
    <w:rsid w:val="00176270"/>
    <w:rsid w:val="00176BA4"/>
    <w:rsid w:val="00177105"/>
    <w:rsid w:val="0018176D"/>
    <w:rsid w:val="00183584"/>
    <w:rsid w:val="001839C2"/>
    <w:rsid w:val="00184417"/>
    <w:rsid w:val="00185DCF"/>
    <w:rsid w:val="00186717"/>
    <w:rsid w:val="00187471"/>
    <w:rsid w:val="0019656E"/>
    <w:rsid w:val="001A086B"/>
    <w:rsid w:val="001A0880"/>
    <w:rsid w:val="001A2027"/>
    <w:rsid w:val="001A2C11"/>
    <w:rsid w:val="001A2F0A"/>
    <w:rsid w:val="001A36F4"/>
    <w:rsid w:val="001A41DF"/>
    <w:rsid w:val="001A528D"/>
    <w:rsid w:val="001A6070"/>
    <w:rsid w:val="001A75E4"/>
    <w:rsid w:val="001B22BA"/>
    <w:rsid w:val="001B2AC2"/>
    <w:rsid w:val="001B2CC0"/>
    <w:rsid w:val="001B3871"/>
    <w:rsid w:val="001B3F39"/>
    <w:rsid w:val="001B68DB"/>
    <w:rsid w:val="001C1729"/>
    <w:rsid w:val="001C213A"/>
    <w:rsid w:val="001C347C"/>
    <w:rsid w:val="001C444F"/>
    <w:rsid w:val="001C500A"/>
    <w:rsid w:val="001C605C"/>
    <w:rsid w:val="001C652C"/>
    <w:rsid w:val="001C7123"/>
    <w:rsid w:val="001D19AD"/>
    <w:rsid w:val="001D41EA"/>
    <w:rsid w:val="001D4D83"/>
    <w:rsid w:val="001D77D1"/>
    <w:rsid w:val="001E1A90"/>
    <w:rsid w:val="001E3FAA"/>
    <w:rsid w:val="001E4220"/>
    <w:rsid w:val="001E60BB"/>
    <w:rsid w:val="001E77FA"/>
    <w:rsid w:val="001E79AC"/>
    <w:rsid w:val="001F0327"/>
    <w:rsid w:val="001F03CA"/>
    <w:rsid w:val="001F183A"/>
    <w:rsid w:val="001F1DB2"/>
    <w:rsid w:val="001F1FBB"/>
    <w:rsid w:val="001F1FDF"/>
    <w:rsid w:val="001F5657"/>
    <w:rsid w:val="001F66D0"/>
    <w:rsid w:val="001F6D63"/>
    <w:rsid w:val="001F733D"/>
    <w:rsid w:val="001F7569"/>
    <w:rsid w:val="00201155"/>
    <w:rsid w:val="0020502F"/>
    <w:rsid w:val="002065E1"/>
    <w:rsid w:val="0021156B"/>
    <w:rsid w:val="002126FB"/>
    <w:rsid w:val="0021363C"/>
    <w:rsid w:val="00214AB4"/>
    <w:rsid w:val="00217637"/>
    <w:rsid w:val="00220FF7"/>
    <w:rsid w:val="0022168A"/>
    <w:rsid w:val="00222545"/>
    <w:rsid w:val="00223608"/>
    <w:rsid w:val="0022365B"/>
    <w:rsid w:val="00224955"/>
    <w:rsid w:val="0022559D"/>
    <w:rsid w:val="002256FC"/>
    <w:rsid w:val="002278B8"/>
    <w:rsid w:val="00232634"/>
    <w:rsid w:val="00235988"/>
    <w:rsid w:val="00236934"/>
    <w:rsid w:val="002430AB"/>
    <w:rsid w:val="00244A4F"/>
    <w:rsid w:val="002451D9"/>
    <w:rsid w:val="00245E7C"/>
    <w:rsid w:val="002460C5"/>
    <w:rsid w:val="002469A6"/>
    <w:rsid w:val="002510E4"/>
    <w:rsid w:val="00252D4A"/>
    <w:rsid w:val="00261079"/>
    <w:rsid w:val="00263A88"/>
    <w:rsid w:val="00264EEC"/>
    <w:rsid w:val="00266F1B"/>
    <w:rsid w:val="0027003A"/>
    <w:rsid w:val="00270CE1"/>
    <w:rsid w:val="00272ED8"/>
    <w:rsid w:val="002734A2"/>
    <w:rsid w:val="002735A3"/>
    <w:rsid w:val="00275AB2"/>
    <w:rsid w:val="002760E1"/>
    <w:rsid w:val="00277761"/>
    <w:rsid w:val="002813F7"/>
    <w:rsid w:val="002822E1"/>
    <w:rsid w:val="002826C2"/>
    <w:rsid w:val="00282D8A"/>
    <w:rsid w:val="002869A5"/>
    <w:rsid w:val="00286A84"/>
    <w:rsid w:val="002902E4"/>
    <w:rsid w:val="00291FB8"/>
    <w:rsid w:val="0029259A"/>
    <w:rsid w:val="0029501B"/>
    <w:rsid w:val="00295861"/>
    <w:rsid w:val="00295E9C"/>
    <w:rsid w:val="0029610F"/>
    <w:rsid w:val="00296137"/>
    <w:rsid w:val="002A2397"/>
    <w:rsid w:val="002A7CA0"/>
    <w:rsid w:val="002B003C"/>
    <w:rsid w:val="002B1641"/>
    <w:rsid w:val="002B16AA"/>
    <w:rsid w:val="002B1DDC"/>
    <w:rsid w:val="002B296F"/>
    <w:rsid w:val="002B2DBE"/>
    <w:rsid w:val="002B63A0"/>
    <w:rsid w:val="002B721C"/>
    <w:rsid w:val="002C0DA0"/>
    <w:rsid w:val="002C327B"/>
    <w:rsid w:val="002C331E"/>
    <w:rsid w:val="002C5AE1"/>
    <w:rsid w:val="002C7095"/>
    <w:rsid w:val="002C70F6"/>
    <w:rsid w:val="002D0410"/>
    <w:rsid w:val="002D0A47"/>
    <w:rsid w:val="002D2EFA"/>
    <w:rsid w:val="002D2FDE"/>
    <w:rsid w:val="002D3957"/>
    <w:rsid w:val="002D3DE3"/>
    <w:rsid w:val="002E02CB"/>
    <w:rsid w:val="002E062A"/>
    <w:rsid w:val="002E2BBA"/>
    <w:rsid w:val="002E3B7A"/>
    <w:rsid w:val="002E4C02"/>
    <w:rsid w:val="002E57F7"/>
    <w:rsid w:val="002E7151"/>
    <w:rsid w:val="002F1DEC"/>
    <w:rsid w:val="002F28B5"/>
    <w:rsid w:val="002F35A5"/>
    <w:rsid w:val="002F37D0"/>
    <w:rsid w:val="002F4559"/>
    <w:rsid w:val="002F4DA8"/>
    <w:rsid w:val="002F6669"/>
    <w:rsid w:val="002F6DD5"/>
    <w:rsid w:val="0030541B"/>
    <w:rsid w:val="003059C7"/>
    <w:rsid w:val="003064A0"/>
    <w:rsid w:val="00310F42"/>
    <w:rsid w:val="00311A0C"/>
    <w:rsid w:val="00314AE6"/>
    <w:rsid w:val="003154CB"/>
    <w:rsid w:val="00315755"/>
    <w:rsid w:val="003179E1"/>
    <w:rsid w:val="00320040"/>
    <w:rsid w:val="003221E8"/>
    <w:rsid w:val="003224D5"/>
    <w:rsid w:val="00322BE9"/>
    <w:rsid w:val="00323194"/>
    <w:rsid w:val="00325560"/>
    <w:rsid w:val="00325929"/>
    <w:rsid w:val="0032646D"/>
    <w:rsid w:val="003269FD"/>
    <w:rsid w:val="00327701"/>
    <w:rsid w:val="00327AC7"/>
    <w:rsid w:val="00327C0E"/>
    <w:rsid w:val="00330D66"/>
    <w:rsid w:val="003317DB"/>
    <w:rsid w:val="00331C59"/>
    <w:rsid w:val="00333737"/>
    <w:rsid w:val="00340D03"/>
    <w:rsid w:val="00341944"/>
    <w:rsid w:val="003419AA"/>
    <w:rsid w:val="00341DE6"/>
    <w:rsid w:val="00342DB4"/>
    <w:rsid w:val="00342F17"/>
    <w:rsid w:val="00344450"/>
    <w:rsid w:val="00345F29"/>
    <w:rsid w:val="0034634F"/>
    <w:rsid w:val="00354DF1"/>
    <w:rsid w:val="0035789A"/>
    <w:rsid w:val="00357C69"/>
    <w:rsid w:val="00361C8B"/>
    <w:rsid w:val="003631DD"/>
    <w:rsid w:val="003638D5"/>
    <w:rsid w:val="00366E28"/>
    <w:rsid w:val="003723B7"/>
    <w:rsid w:val="003724F6"/>
    <w:rsid w:val="00374AF6"/>
    <w:rsid w:val="00376D27"/>
    <w:rsid w:val="00376DB8"/>
    <w:rsid w:val="00381A9F"/>
    <w:rsid w:val="00382150"/>
    <w:rsid w:val="00382B34"/>
    <w:rsid w:val="0038375E"/>
    <w:rsid w:val="003909B6"/>
    <w:rsid w:val="00390FA8"/>
    <w:rsid w:val="0039266A"/>
    <w:rsid w:val="003933A7"/>
    <w:rsid w:val="003935DB"/>
    <w:rsid w:val="00397BC9"/>
    <w:rsid w:val="003A0189"/>
    <w:rsid w:val="003A4654"/>
    <w:rsid w:val="003A59AA"/>
    <w:rsid w:val="003A65E3"/>
    <w:rsid w:val="003A796C"/>
    <w:rsid w:val="003B1CE6"/>
    <w:rsid w:val="003B1FF7"/>
    <w:rsid w:val="003B317F"/>
    <w:rsid w:val="003B6CEE"/>
    <w:rsid w:val="003C0374"/>
    <w:rsid w:val="003C0715"/>
    <w:rsid w:val="003C138B"/>
    <w:rsid w:val="003C2E13"/>
    <w:rsid w:val="003C3977"/>
    <w:rsid w:val="003C416E"/>
    <w:rsid w:val="003C47DB"/>
    <w:rsid w:val="003C5C9E"/>
    <w:rsid w:val="003C6AC0"/>
    <w:rsid w:val="003D43D7"/>
    <w:rsid w:val="003D649A"/>
    <w:rsid w:val="003D6925"/>
    <w:rsid w:val="003E006E"/>
    <w:rsid w:val="003E2D55"/>
    <w:rsid w:val="003E30A5"/>
    <w:rsid w:val="003E31EF"/>
    <w:rsid w:val="003E5CD9"/>
    <w:rsid w:val="003E71C0"/>
    <w:rsid w:val="003E7389"/>
    <w:rsid w:val="003F04DA"/>
    <w:rsid w:val="003F094A"/>
    <w:rsid w:val="003F2A07"/>
    <w:rsid w:val="003F4741"/>
    <w:rsid w:val="004002AF"/>
    <w:rsid w:val="00401057"/>
    <w:rsid w:val="0040527A"/>
    <w:rsid w:val="0040670F"/>
    <w:rsid w:val="004069D7"/>
    <w:rsid w:val="00406BD6"/>
    <w:rsid w:val="004123D2"/>
    <w:rsid w:val="0041340B"/>
    <w:rsid w:val="00413ACB"/>
    <w:rsid w:val="00414FD0"/>
    <w:rsid w:val="0042286A"/>
    <w:rsid w:val="00423151"/>
    <w:rsid w:val="00423889"/>
    <w:rsid w:val="00424772"/>
    <w:rsid w:val="00427A76"/>
    <w:rsid w:val="00431B7C"/>
    <w:rsid w:val="0043201E"/>
    <w:rsid w:val="00432225"/>
    <w:rsid w:val="00432458"/>
    <w:rsid w:val="004350BD"/>
    <w:rsid w:val="004421DD"/>
    <w:rsid w:val="004425AC"/>
    <w:rsid w:val="004434CD"/>
    <w:rsid w:val="00443882"/>
    <w:rsid w:val="00443A95"/>
    <w:rsid w:val="00447EA0"/>
    <w:rsid w:val="00451090"/>
    <w:rsid w:val="0045503C"/>
    <w:rsid w:val="004575A4"/>
    <w:rsid w:val="00460F05"/>
    <w:rsid w:val="00461005"/>
    <w:rsid w:val="004624F2"/>
    <w:rsid w:val="00462515"/>
    <w:rsid w:val="00467729"/>
    <w:rsid w:val="00467BDD"/>
    <w:rsid w:val="00467CB6"/>
    <w:rsid w:val="00470E34"/>
    <w:rsid w:val="0047114C"/>
    <w:rsid w:val="004717D1"/>
    <w:rsid w:val="004721E1"/>
    <w:rsid w:val="0047242D"/>
    <w:rsid w:val="0047350C"/>
    <w:rsid w:val="00474484"/>
    <w:rsid w:val="004756C2"/>
    <w:rsid w:val="00475A74"/>
    <w:rsid w:val="00476791"/>
    <w:rsid w:val="004778E8"/>
    <w:rsid w:val="00482335"/>
    <w:rsid w:val="00484E15"/>
    <w:rsid w:val="004850F2"/>
    <w:rsid w:val="00485767"/>
    <w:rsid w:val="00485FCB"/>
    <w:rsid w:val="00486B2A"/>
    <w:rsid w:val="004873B8"/>
    <w:rsid w:val="00487DF8"/>
    <w:rsid w:val="004906A2"/>
    <w:rsid w:val="00490A2F"/>
    <w:rsid w:val="0049237E"/>
    <w:rsid w:val="00493668"/>
    <w:rsid w:val="00493E7A"/>
    <w:rsid w:val="00496979"/>
    <w:rsid w:val="00497813"/>
    <w:rsid w:val="004A1945"/>
    <w:rsid w:val="004A27C3"/>
    <w:rsid w:val="004A2ABE"/>
    <w:rsid w:val="004A3EB5"/>
    <w:rsid w:val="004A3F14"/>
    <w:rsid w:val="004A41A8"/>
    <w:rsid w:val="004B0D5C"/>
    <w:rsid w:val="004B2933"/>
    <w:rsid w:val="004B380D"/>
    <w:rsid w:val="004B3BB1"/>
    <w:rsid w:val="004B42E0"/>
    <w:rsid w:val="004B5BDC"/>
    <w:rsid w:val="004B6040"/>
    <w:rsid w:val="004B7BF1"/>
    <w:rsid w:val="004C03DF"/>
    <w:rsid w:val="004C07A2"/>
    <w:rsid w:val="004C17D6"/>
    <w:rsid w:val="004C2CCF"/>
    <w:rsid w:val="004C3786"/>
    <w:rsid w:val="004C42D3"/>
    <w:rsid w:val="004C57AD"/>
    <w:rsid w:val="004C691F"/>
    <w:rsid w:val="004D03BF"/>
    <w:rsid w:val="004D1904"/>
    <w:rsid w:val="004D1F4F"/>
    <w:rsid w:val="004D308D"/>
    <w:rsid w:val="004D317E"/>
    <w:rsid w:val="004D33CE"/>
    <w:rsid w:val="004D3C86"/>
    <w:rsid w:val="004D3D01"/>
    <w:rsid w:val="004D477A"/>
    <w:rsid w:val="004D4916"/>
    <w:rsid w:val="004D4E3E"/>
    <w:rsid w:val="004D5573"/>
    <w:rsid w:val="004D56F3"/>
    <w:rsid w:val="004D6849"/>
    <w:rsid w:val="004D734C"/>
    <w:rsid w:val="004D7FBD"/>
    <w:rsid w:val="004E0917"/>
    <w:rsid w:val="004E2C7F"/>
    <w:rsid w:val="004E3345"/>
    <w:rsid w:val="004E6CD5"/>
    <w:rsid w:val="004E763F"/>
    <w:rsid w:val="004F1184"/>
    <w:rsid w:val="004F2BFF"/>
    <w:rsid w:val="004F3A79"/>
    <w:rsid w:val="004F4A60"/>
    <w:rsid w:val="004F4CAB"/>
    <w:rsid w:val="004F5432"/>
    <w:rsid w:val="004F67E6"/>
    <w:rsid w:val="004F6F8C"/>
    <w:rsid w:val="004F7B74"/>
    <w:rsid w:val="004F7F44"/>
    <w:rsid w:val="00501562"/>
    <w:rsid w:val="00502B4F"/>
    <w:rsid w:val="00502F32"/>
    <w:rsid w:val="005040D1"/>
    <w:rsid w:val="00505191"/>
    <w:rsid w:val="005066C0"/>
    <w:rsid w:val="0051124A"/>
    <w:rsid w:val="00514109"/>
    <w:rsid w:val="0051468E"/>
    <w:rsid w:val="005146A4"/>
    <w:rsid w:val="00517838"/>
    <w:rsid w:val="00517845"/>
    <w:rsid w:val="00520C7B"/>
    <w:rsid w:val="00524A0B"/>
    <w:rsid w:val="0053047B"/>
    <w:rsid w:val="0053278E"/>
    <w:rsid w:val="00532B0D"/>
    <w:rsid w:val="005330EB"/>
    <w:rsid w:val="00536506"/>
    <w:rsid w:val="00536E15"/>
    <w:rsid w:val="0053723D"/>
    <w:rsid w:val="005372AF"/>
    <w:rsid w:val="00540FD9"/>
    <w:rsid w:val="00542AC2"/>
    <w:rsid w:val="00553B83"/>
    <w:rsid w:val="0055421C"/>
    <w:rsid w:val="00557771"/>
    <w:rsid w:val="00557E97"/>
    <w:rsid w:val="0056299E"/>
    <w:rsid w:val="00566176"/>
    <w:rsid w:val="0056626B"/>
    <w:rsid w:val="0056685C"/>
    <w:rsid w:val="00566E37"/>
    <w:rsid w:val="00566EA9"/>
    <w:rsid w:val="00574C2F"/>
    <w:rsid w:val="00575DFA"/>
    <w:rsid w:val="00576338"/>
    <w:rsid w:val="00576403"/>
    <w:rsid w:val="00576EAC"/>
    <w:rsid w:val="00577D60"/>
    <w:rsid w:val="00581D4C"/>
    <w:rsid w:val="0058215B"/>
    <w:rsid w:val="00582D73"/>
    <w:rsid w:val="00583E8E"/>
    <w:rsid w:val="00583FEE"/>
    <w:rsid w:val="00583FEF"/>
    <w:rsid w:val="00584325"/>
    <w:rsid w:val="0058433A"/>
    <w:rsid w:val="00584EFA"/>
    <w:rsid w:val="005857EC"/>
    <w:rsid w:val="00586013"/>
    <w:rsid w:val="00586B26"/>
    <w:rsid w:val="00586CC7"/>
    <w:rsid w:val="00587B46"/>
    <w:rsid w:val="00590014"/>
    <w:rsid w:val="00590A25"/>
    <w:rsid w:val="005911C9"/>
    <w:rsid w:val="00591DA1"/>
    <w:rsid w:val="0059386B"/>
    <w:rsid w:val="00595BB5"/>
    <w:rsid w:val="005973A9"/>
    <w:rsid w:val="0059768F"/>
    <w:rsid w:val="00597B21"/>
    <w:rsid w:val="005A0DE9"/>
    <w:rsid w:val="005A1A83"/>
    <w:rsid w:val="005A3EDD"/>
    <w:rsid w:val="005A5555"/>
    <w:rsid w:val="005A7F9F"/>
    <w:rsid w:val="005B204C"/>
    <w:rsid w:val="005B4446"/>
    <w:rsid w:val="005B58BE"/>
    <w:rsid w:val="005B650A"/>
    <w:rsid w:val="005B704F"/>
    <w:rsid w:val="005B7A10"/>
    <w:rsid w:val="005C2FBC"/>
    <w:rsid w:val="005C373C"/>
    <w:rsid w:val="005C60A6"/>
    <w:rsid w:val="005C6C7A"/>
    <w:rsid w:val="005C6D2A"/>
    <w:rsid w:val="005C74C6"/>
    <w:rsid w:val="005C778E"/>
    <w:rsid w:val="005D0093"/>
    <w:rsid w:val="005D0376"/>
    <w:rsid w:val="005D04BF"/>
    <w:rsid w:val="005D0857"/>
    <w:rsid w:val="005D11B6"/>
    <w:rsid w:val="005D19CF"/>
    <w:rsid w:val="005D2954"/>
    <w:rsid w:val="005D2DF2"/>
    <w:rsid w:val="005D3746"/>
    <w:rsid w:val="005D4042"/>
    <w:rsid w:val="005D5358"/>
    <w:rsid w:val="005D5784"/>
    <w:rsid w:val="005E19B8"/>
    <w:rsid w:val="005E2CF4"/>
    <w:rsid w:val="005E2F1F"/>
    <w:rsid w:val="005E44F9"/>
    <w:rsid w:val="005E4D26"/>
    <w:rsid w:val="005E59CA"/>
    <w:rsid w:val="005E5C15"/>
    <w:rsid w:val="005E7BF1"/>
    <w:rsid w:val="005E7E9B"/>
    <w:rsid w:val="005E7FBD"/>
    <w:rsid w:val="005F1283"/>
    <w:rsid w:val="005F1B82"/>
    <w:rsid w:val="005F6231"/>
    <w:rsid w:val="00603955"/>
    <w:rsid w:val="00603E07"/>
    <w:rsid w:val="006050E2"/>
    <w:rsid w:val="00605C0D"/>
    <w:rsid w:val="006064C0"/>
    <w:rsid w:val="00606A75"/>
    <w:rsid w:val="00606C9D"/>
    <w:rsid w:val="00607621"/>
    <w:rsid w:val="006077A1"/>
    <w:rsid w:val="006112D6"/>
    <w:rsid w:val="00611AB9"/>
    <w:rsid w:val="00615E03"/>
    <w:rsid w:val="006166B8"/>
    <w:rsid w:val="006172CB"/>
    <w:rsid w:val="006175A5"/>
    <w:rsid w:val="00621118"/>
    <w:rsid w:val="0062165F"/>
    <w:rsid w:val="006255DD"/>
    <w:rsid w:val="00626080"/>
    <w:rsid w:val="00626246"/>
    <w:rsid w:val="00630373"/>
    <w:rsid w:val="00630664"/>
    <w:rsid w:val="00632855"/>
    <w:rsid w:val="00636814"/>
    <w:rsid w:val="00636848"/>
    <w:rsid w:val="00636D9D"/>
    <w:rsid w:val="00636EEC"/>
    <w:rsid w:val="00640E8B"/>
    <w:rsid w:val="006420B2"/>
    <w:rsid w:val="0064258A"/>
    <w:rsid w:val="00646DE7"/>
    <w:rsid w:val="00652D4E"/>
    <w:rsid w:val="0065634B"/>
    <w:rsid w:val="00660517"/>
    <w:rsid w:val="00662BE4"/>
    <w:rsid w:val="006649E4"/>
    <w:rsid w:val="00664AD1"/>
    <w:rsid w:val="00665D64"/>
    <w:rsid w:val="0066615A"/>
    <w:rsid w:val="00667624"/>
    <w:rsid w:val="00671258"/>
    <w:rsid w:val="006732E6"/>
    <w:rsid w:val="0067420E"/>
    <w:rsid w:val="00674746"/>
    <w:rsid w:val="00675E14"/>
    <w:rsid w:val="00676E1A"/>
    <w:rsid w:val="00680FF7"/>
    <w:rsid w:val="006819EE"/>
    <w:rsid w:val="006827DC"/>
    <w:rsid w:val="00682C76"/>
    <w:rsid w:val="00683627"/>
    <w:rsid w:val="006850FF"/>
    <w:rsid w:val="00687D22"/>
    <w:rsid w:val="00690087"/>
    <w:rsid w:val="006901FA"/>
    <w:rsid w:val="00690B23"/>
    <w:rsid w:val="00691992"/>
    <w:rsid w:val="00691DE3"/>
    <w:rsid w:val="00692375"/>
    <w:rsid w:val="006923D2"/>
    <w:rsid w:val="00692DB0"/>
    <w:rsid w:val="006960AE"/>
    <w:rsid w:val="006A06A6"/>
    <w:rsid w:val="006A0D47"/>
    <w:rsid w:val="006A225F"/>
    <w:rsid w:val="006A2900"/>
    <w:rsid w:val="006A3045"/>
    <w:rsid w:val="006A328B"/>
    <w:rsid w:val="006A35DF"/>
    <w:rsid w:val="006A7CDE"/>
    <w:rsid w:val="006B1550"/>
    <w:rsid w:val="006B354D"/>
    <w:rsid w:val="006B3AE6"/>
    <w:rsid w:val="006B4418"/>
    <w:rsid w:val="006B4642"/>
    <w:rsid w:val="006B46C6"/>
    <w:rsid w:val="006B55B8"/>
    <w:rsid w:val="006B574F"/>
    <w:rsid w:val="006B60D7"/>
    <w:rsid w:val="006B6A24"/>
    <w:rsid w:val="006C0ED1"/>
    <w:rsid w:val="006C1CBA"/>
    <w:rsid w:val="006C2108"/>
    <w:rsid w:val="006C375A"/>
    <w:rsid w:val="006C4781"/>
    <w:rsid w:val="006D0BAE"/>
    <w:rsid w:val="006D154A"/>
    <w:rsid w:val="006D3324"/>
    <w:rsid w:val="006D3AB7"/>
    <w:rsid w:val="006D4C53"/>
    <w:rsid w:val="006D563A"/>
    <w:rsid w:val="006D6379"/>
    <w:rsid w:val="006D721B"/>
    <w:rsid w:val="006D7E74"/>
    <w:rsid w:val="006E140B"/>
    <w:rsid w:val="006E39AD"/>
    <w:rsid w:val="006E3D6E"/>
    <w:rsid w:val="006E50A4"/>
    <w:rsid w:val="006E5A92"/>
    <w:rsid w:val="006E6C15"/>
    <w:rsid w:val="006E7617"/>
    <w:rsid w:val="006E7884"/>
    <w:rsid w:val="006F0DD2"/>
    <w:rsid w:val="006F1F84"/>
    <w:rsid w:val="006F7A4B"/>
    <w:rsid w:val="006F7FE8"/>
    <w:rsid w:val="00700430"/>
    <w:rsid w:val="00700C56"/>
    <w:rsid w:val="007016AE"/>
    <w:rsid w:val="00702204"/>
    <w:rsid w:val="00705457"/>
    <w:rsid w:val="0070609F"/>
    <w:rsid w:val="007074BA"/>
    <w:rsid w:val="00712E97"/>
    <w:rsid w:val="00712F97"/>
    <w:rsid w:val="0071334A"/>
    <w:rsid w:val="00713C86"/>
    <w:rsid w:val="007159A3"/>
    <w:rsid w:val="00720630"/>
    <w:rsid w:val="00720D59"/>
    <w:rsid w:val="0072144C"/>
    <w:rsid w:val="007215F4"/>
    <w:rsid w:val="0072532C"/>
    <w:rsid w:val="007303E1"/>
    <w:rsid w:val="00730EFE"/>
    <w:rsid w:val="00731E1A"/>
    <w:rsid w:val="007328C8"/>
    <w:rsid w:val="00734411"/>
    <w:rsid w:val="00734A5D"/>
    <w:rsid w:val="0073777E"/>
    <w:rsid w:val="0074471C"/>
    <w:rsid w:val="00745D13"/>
    <w:rsid w:val="007516D1"/>
    <w:rsid w:val="007517F1"/>
    <w:rsid w:val="00753F4C"/>
    <w:rsid w:val="007541A0"/>
    <w:rsid w:val="00754FF1"/>
    <w:rsid w:val="007613F5"/>
    <w:rsid w:val="00764B08"/>
    <w:rsid w:val="007712BA"/>
    <w:rsid w:val="007722CD"/>
    <w:rsid w:val="00772731"/>
    <w:rsid w:val="00772CA8"/>
    <w:rsid w:val="00777193"/>
    <w:rsid w:val="007806D4"/>
    <w:rsid w:val="00782715"/>
    <w:rsid w:val="007853A5"/>
    <w:rsid w:val="00790D04"/>
    <w:rsid w:val="007924A4"/>
    <w:rsid w:val="00793569"/>
    <w:rsid w:val="0079481A"/>
    <w:rsid w:val="00795BEC"/>
    <w:rsid w:val="00795FC0"/>
    <w:rsid w:val="007A27E1"/>
    <w:rsid w:val="007A29AE"/>
    <w:rsid w:val="007A4611"/>
    <w:rsid w:val="007A73FE"/>
    <w:rsid w:val="007A742D"/>
    <w:rsid w:val="007A7FCB"/>
    <w:rsid w:val="007B232D"/>
    <w:rsid w:val="007B29E5"/>
    <w:rsid w:val="007B2FF3"/>
    <w:rsid w:val="007B306F"/>
    <w:rsid w:val="007B50A4"/>
    <w:rsid w:val="007B5142"/>
    <w:rsid w:val="007B6FB7"/>
    <w:rsid w:val="007B7FEA"/>
    <w:rsid w:val="007C1C0B"/>
    <w:rsid w:val="007C68BD"/>
    <w:rsid w:val="007C6BFB"/>
    <w:rsid w:val="007C6D1F"/>
    <w:rsid w:val="007C7440"/>
    <w:rsid w:val="007C7C43"/>
    <w:rsid w:val="007D1D7A"/>
    <w:rsid w:val="007D1FF4"/>
    <w:rsid w:val="007D2EFE"/>
    <w:rsid w:val="007D3B07"/>
    <w:rsid w:val="007D41A6"/>
    <w:rsid w:val="007D5784"/>
    <w:rsid w:val="007D606E"/>
    <w:rsid w:val="007D713B"/>
    <w:rsid w:val="007E15CC"/>
    <w:rsid w:val="007E3FF3"/>
    <w:rsid w:val="007E5AC6"/>
    <w:rsid w:val="007E6AD4"/>
    <w:rsid w:val="007F0483"/>
    <w:rsid w:val="007F0765"/>
    <w:rsid w:val="007F1CB1"/>
    <w:rsid w:val="007F2170"/>
    <w:rsid w:val="007F34FF"/>
    <w:rsid w:val="007F35BA"/>
    <w:rsid w:val="007F3C02"/>
    <w:rsid w:val="007F3F07"/>
    <w:rsid w:val="007F45D1"/>
    <w:rsid w:val="007F61EF"/>
    <w:rsid w:val="007F70F1"/>
    <w:rsid w:val="007F759E"/>
    <w:rsid w:val="008000A4"/>
    <w:rsid w:val="0080012C"/>
    <w:rsid w:val="008001AD"/>
    <w:rsid w:val="0080094F"/>
    <w:rsid w:val="00811EF6"/>
    <w:rsid w:val="008137B5"/>
    <w:rsid w:val="00814CAE"/>
    <w:rsid w:val="00820737"/>
    <w:rsid w:val="008247E8"/>
    <w:rsid w:val="008264FF"/>
    <w:rsid w:val="00826731"/>
    <w:rsid w:val="00827775"/>
    <w:rsid w:val="00830528"/>
    <w:rsid w:val="0083118A"/>
    <w:rsid w:val="00832452"/>
    <w:rsid w:val="00833C15"/>
    <w:rsid w:val="00833FF5"/>
    <w:rsid w:val="00840775"/>
    <w:rsid w:val="00842FFB"/>
    <w:rsid w:val="00843094"/>
    <w:rsid w:val="00843411"/>
    <w:rsid w:val="008452D7"/>
    <w:rsid w:val="00845DEB"/>
    <w:rsid w:val="00846CCC"/>
    <w:rsid w:val="008475D6"/>
    <w:rsid w:val="00852588"/>
    <w:rsid w:val="00852D6D"/>
    <w:rsid w:val="008532AC"/>
    <w:rsid w:val="00854FE6"/>
    <w:rsid w:val="008572B1"/>
    <w:rsid w:val="00857305"/>
    <w:rsid w:val="00857396"/>
    <w:rsid w:val="00857E02"/>
    <w:rsid w:val="00860D76"/>
    <w:rsid w:val="00864055"/>
    <w:rsid w:val="008641C1"/>
    <w:rsid w:val="00864E0C"/>
    <w:rsid w:val="00866151"/>
    <w:rsid w:val="00867DC3"/>
    <w:rsid w:val="00867EFF"/>
    <w:rsid w:val="0087211A"/>
    <w:rsid w:val="008721A6"/>
    <w:rsid w:val="00872A0F"/>
    <w:rsid w:val="008756B4"/>
    <w:rsid w:val="00876CF1"/>
    <w:rsid w:val="00877011"/>
    <w:rsid w:val="00882DA8"/>
    <w:rsid w:val="00883C16"/>
    <w:rsid w:val="00883E17"/>
    <w:rsid w:val="00884B4D"/>
    <w:rsid w:val="008851C5"/>
    <w:rsid w:val="00885818"/>
    <w:rsid w:val="008902AC"/>
    <w:rsid w:val="00890DBC"/>
    <w:rsid w:val="008917F2"/>
    <w:rsid w:val="00893320"/>
    <w:rsid w:val="0089535D"/>
    <w:rsid w:val="008A23CC"/>
    <w:rsid w:val="008A2C4A"/>
    <w:rsid w:val="008A4365"/>
    <w:rsid w:val="008A6D23"/>
    <w:rsid w:val="008A7541"/>
    <w:rsid w:val="008B0503"/>
    <w:rsid w:val="008B06F5"/>
    <w:rsid w:val="008B189C"/>
    <w:rsid w:val="008B28E5"/>
    <w:rsid w:val="008B2FA4"/>
    <w:rsid w:val="008B4619"/>
    <w:rsid w:val="008B506A"/>
    <w:rsid w:val="008B77CF"/>
    <w:rsid w:val="008C0428"/>
    <w:rsid w:val="008C1933"/>
    <w:rsid w:val="008C1A17"/>
    <w:rsid w:val="008C1A28"/>
    <w:rsid w:val="008C1E21"/>
    <w:rsid w:val="008C2184"/>
    <w:rsid w:val="008C27F9"/>
    <w:rsid w:val="008C3788"/>
    <w:rsid w:val="008C3F37"/>
    <w:rsid w:val="008C5AD6"/>
    <w:rsid w:val="008C687E"/>
    <w:rsid w:val="008C68DC"/>
    <w:rsid w:val="008D2D64"/>
    <w:rsid w:val="008D3EF8"/>
    <w:rsid w:val="008D440D"/>
    <w:rsid w:val="008D48B4"/>
    <w:rsid w:val="008D59F3"/>
    <w:rsid w:val="008D6D15"/>
    <w:rsid w:val="008D7469"/>
    <w:rsid w:val="008D7B0C"/>
    <w:rsid w:val="008E2E19"/>
    <w:rsid w:val="008E4965"/>
    <w:rsid w:val="008E4FB2"/>
    <w:rsid w:val="008E50BA"/>
    <w:rsid w:val="008E6426"/>
    <w:rsid w:val="008E668F"/>
    <w:rsid w:val="008E66F5"/>
    <w:rsid w:val="008E76A3"/>
    <w:rsid w:val="008F00BC"/>
    <w:rsid w:val="008F0158"/>
    <w:rsid w:val="008F0C49"/>
    <w:rsid w:val="008F0C50"/>
    <w:rsid w:val="008F2938"/>
    <w:rsid w:val="008F4797"/>
    <w:rsid w:val="008F6635"/>
    <w:rsid w:val="008F73DF"/>
    <w:rsid w:val="00901B21"/>
    <w:rsid w:val="00903716"/>
    <w:rsid w:val="00903842"/>
    <w:rsid w:val="009051D6"/>
    <w:rsid w:val="009055D1"/>
    <w:rsid w:val="0090610C"/>
    <w:rsid w:val="00906120"/>
    <w:rsid w:val="009064B5"/>
    <w:rsid w:val="009130FE"/>
    <w:rsid w:val="00913262"/>
    <w:rsid w:val="00915B48"/>
    <w:rsid w:val="009207F1"/>
    <w:rsid w:val="00923A01"/>
    <w:rsid w:val="00923BDD"/>
    <w:rsid w:val="00927C59"/>
    <w:rsid w:val="009335A6"/>
    <w:rsid w:val="0093452D"/>
    <w:rsid w:val="0093671E"/>
    <w:rsid w:val="0093799D"/>
    <w:rsid w:val="009406FB"/>
    <w:rsid w:val="00940773"/>
    <w:rsid w:val="00943067"/>
    <w:rsid w:val="00943326"/>
    <w:rsid w:val="009440CC"/>
    <w:rsid w:val="009469AD"/>
    <w:rsid w:val="00947A2A"/>
    <w:rsid w:val="00947D4C"/>
    <w:rsid w:val="009528BC"/>
    <w:rsid w:val="00953130"/>
    <w:rsid w:val="00953422"/>
    <w:rsid w:val="0095375A"/>
    <w:rsid w:val="00953C32"/>
    <w:rsid w:val="009555AB"/>
    <w:rsid w:val="009556E8"/>
    <w:rsid w:val="00955945"/>
    <w:rsid w:val="00961063"/>
    <w:rsid w:val="00961833"/>
    <w:rsid w:val="00961975"/>
    <w:rsid w:val="009633CE"/>
    <w:rsid w:val="00963E1E"/>
    <w:rsid w:val="00964AAD"/>
    <w:rsid w:val="00965B4A"/>
    <w:rsid w:val="0096672B"/>
    <w:rsid w:val="0096697F"/>
    <w:rsid w:val="0096783F"/>
    <w:rsid w:val="00970B20"/>
    <w:rsid w:val="00970BFD"/>
    <w:rsid w:val="00970DC6"/>
    <w:rsid w:val="00971194"/>
    <w:rsid w:val="00973210"/>
    <w:rsid w:val="00974D75"/>
    <w:rsid w:val="00976C78"/>
    <w:rsid w:val="00977B6C"/>
    <w:rsid w:val="00980D4A"/>
    <w:rsid w:val="00982309"/>
    <w:rsid w:val="00982CF3"/>
    <w:rsid w:val="00982EB8"/>
    <w:rsid w:val="00982F1E"/>
    <w:rsid w:val="00983A8B"/>
    <w:rsid w:val="00984254"/>
    <w:rsid w:val="00984646"/>
    <w:rsid w:val="00985540"/>
    <w:rsid w:val="009868AA"/>
    <w:rsid w:val="00987F4C"/>
    <w:rsid w:val="0099382E"/>
    <w:rsid w:val="00996033"/>
    <w:rsid w:val="00997887"/>
    <w:rsid w:val="009A259D"/>
    <w:rsid w:val="009A291A"/>
    <w:rsid w:val="009A4CE0"/>
    <w:rsid w:val="009A63E9"/>
    <w:rsid w:val="009A6B1C"/>
    <w:rsid w:val="009A71C1"/>
    <w:rsid w:val="009B2982"/>
    <w:rsid w:val="009B7C8E"/>
    <w:rsid w:val="009C01B6"/>
    <w:rsid w:val="009C0CD5"/>
    <w:rsid w:val="009C1A73"/>
    <w:rsid w:val="009C1E3F"/>
    <w:rsid w:val="009C2110"/>
    <w:rsid w:val="009C25EE"/>
    <w:rsid w:val="009D131C"/>
    <w:rsid w:val="009D137A"/>
    <w:rsid w:val="009D1582"/>
    <w:rsid w:val="009D24AD"/>
    <w:rsid w:val="009D37C5"/>
    <w:rsid w:val="009D427D"/>
    <w:rsid w:val="009D713D"/>
    <w:rsid w:val="009E0F1D"/>
    <w:rsid w:val="009E2051"/>
    <w:rsid w:val="009E2479"/>
    <w:rsid w:val="009E2B93"/>
    <w:rsid w:val="009E2C60"/>
    <w:rsid w:val="009F0AF7"/>
    <w:rsid w:val="009F0E98"/>
    <w:rsid w:val="009F12C6"/>
    <w:rsid w:val="009F178A"/>
    <w:rsid w:val="009F1B36"/>
    <w:rsid w:val="009F1F3B"/>
    <w:rsid w:val="009F38AB"/>
    <w:rsid w:val="009F43BA"/>
    <w:rsid w:val="009F5050"/>
    <w:rsid w:val="009F569A"/>
    <w:rsid w:val="009F669C"/>
    <w:rsid w:val="009F66DE"/>
    <w:rsid w:val="009F6E32"/>
    <w:rsid w:val="009F7DAA"/>
    <w:rsid w:val="00A009D7"/>
    <w:rsid w:val="00A02A28"/>
    <w:rsid w:val="00A03324"/>
    <w:rsid w:val="00A04C27"/>
    <w:rsid w:val="00A06935"/>
    <w:rsid w:val="00A1154F"/>
    <w:rsid w:val="00A11911"/>
    <w:rsid w:val="00A12CFA"/>
    <w:rsid w:val="00A131F3"/>
    <w:rsid w:val="00A13704"/>
    <w:rsid w:val="00A13F87"/>
    <w:rsid w:val="00A145DA"/>
    <w:rsid w:val="00A148E9"/>
    <w:rsid w:val="00A14CDB"/>
    <w:rsid w:val="00A161A2"/>
    <w:rsid w:val="00A16BFC"/>
    <w:rsid w:val="00A17225"/>
    <w:rsid w:val="00A20A52"/>
    <w:rsid w:val="00A21513"/>
    <w:rsid w:val="00A235BF"/>
    <w:rsid w:val="00A24479"/>
    <w:rsid w:val="00A26814"/>
    <w:rsid w:val="00A26F85"/>
    <w:rsid w:val="00A303DD"/>
    <w:rsid w:val="00A325C0"/>
    <w:rsid w:val="00A32B54"/>
    <w:rsid w:val="00A3626E"/>
    <w:rsid w:val="00A405E8"/>
    <w:rsid w:val="00A424B1"/>
    <w:rsid w:val="00A42BC2"/>
    <w:rsid w:val="00A44829"/>
    <w:rsid w:val="00A466ED"/>
    <w:rsid w:val="00A46E9F"/>
    <w:rsid w:val="00A500DD"/>
    <w:rsid w:val="00A543B2"/>
    <w:rsid w:val="00A54EBA"/>
    <w:rsid w:val="00A55148"/>
    <w:rsid w:val="00A5597A"/>
    <w:rsid w:val="00A6042C"/>
    <w:rsid w:val="00A60C8B"/>
    <w:rsid w:val="00A61C23"/>
    <w:rsid w:val="00A62FE8"/>
    <w:rsid w:val="00A63606"/>
    <w:rsid w:val="00A637B1"/>
    <w:rsid w:val="00A64ED1"/>
    <w:rsid w:val="00A64F70"/>
    <w:rsid w:val="00A66703"/>
    <w:rsid w:val="00A67E97"/>
    <w:rsid w:val="00A7446B"/>
    <w:rsid w:val="00A75463"/>
    <w:rsid w:val="00A7589B"/>
    <w:rsid w:val="00A75B02"/>
    <w:rsid w:val="00A77B89"/>
    <w:rsid w:val="00A8162F"/>
    <w:rsid w:val="00A829B6"/>
    <w:rsid w:val="00A83106"/>
    <w:rsid w:val="00A83DD5"/>
    <w:rsid w:val="00A860DF"/>
    <w:rsid w:val="00A909C9"/>
    <w:rsid w:val="00A91F38"/>
    <w:rsid w:val="00A92299"/>
    <w:rsid w:val="00A928F0"/>
    <w:rsid w:val="00A95553"/>
    <w:rsid w:val="00A971B8"/>
    <w:rsid w:val="00A97ABE"/>
    <w:rsid w:val="00A97BAF"/>
    <w:rsid w:val="00A97FCE"/>
    <w:rsid w:val="00AA163C"/>
    <w:rsid w:val="00AA21ED"/>
    <w:rsid w:val="00AA4FFA"/>
    <w:rsid w:val="00AA673A"/>
    <w:rsid w:val="00AB1C88"/>
    <w:rsid w:val="00AB2D0B"/>
    <w:rsid w:val="00AB3106"/>
    <w:rsid w:val="00AB3ED4"/>
    <w:rsid w:val="00AB4813"/>
    <w:rsid w:val="00AB4BB2"/>
    <w:rsid w:val="00AB5C38"/>
    <w:rsid w:val="00AB6EE4"/>
    <w:rsid w:val="00AB7AEF"/>
    <w:rsid w:val="00AB7BF2"/>
    <w:rsid w:val="00AB7C5C"/>
    <w:rsid w:val="00AC00D5"/>
    <w:rsid w:val="00AC0D88"/>
    <w:rsid w:val="00AC18EF"/>
    <w:rsid w:val="00AC2DEE"/>
    <w:rsid w:val="00AC35AC"/>
    <w:rsid w:val="00AC6C09"/>
    <w:rsid w:val="00AD01B0"/>
    <w:rsid w:val="00AD05EC"/>
    <w:rsid w:val="00AD1E45"/>
    <w:rsid w:val="00AD3C39"/>
    <w:rsid w:val="00AD5F09"/>
    <w:rsid w:val="00AD63CE"/>
    <w:rsid w:val="00AD6517"/>
    <w:rsid w:val="00AD6B35"/>
    <w:rsid w:val="00AE0591"/>
    <w:rsid w:val="00AE06A1"/>
    <w:rsid w:val="00AE0C5B"/>
    <w:rsid w:val="00AE1098"/>
    <w:rsid w:val="00AE1FD7"/>
    <w:rsid w:val="00AE3DD1"/>
    <w:rsid w:val="00AE4ECD"/>
    <w:rsid w:val="00AE5DCB"/>
    <w:rsid w:val="00AE5E30"/>
    <w:rsid w:val="00AE6499"/>
    <w:rsid w:val="00AF2A2B"/>
    <w:rsid w:val="00AF4A35"/>
    <w:rsid w:val="00AF558D"/>
    <w:rsid w:val="00AF5B85"/>
    <w:rsid w:val="00AF628C"/>
    <w:rsid w:val="00AF710E"/>
    <w:rsid w:val="00AF7816"/>
    <w:rsid w:val="00AF7C89"/>
    <w:rsid w:val="00B02CB2"/>
    <w:rsid w:val="00B04DDA"/>
    <w:rsid w:val="00B06AF7"/>
    <w:rsid w:val="00B06F44"/>
    <w:rsid w:val="00B12432"/>
    <w:rsid w:val="00B12D41"/>
    <w:rsid w:val="00B13228"/>
    <w:rsid w:val="00B13E5C"/>
    <w:rsid w:val="00B143A0"/>
    <w:rsid w:val="00B1589E"/>
    <w:rsid w:val="00B17CA9"/>
    <w:rsid w:val="00B17FFD"/>
    <w:rsid w:val="00B23028"/>
    <w:rsid w:val="00B23A90"/>
    <w:rsid w:val="00B23C98"/>
    <w:rsid w:val="00B24318"/>
    <w:rsid w:val="00B24DCF"/>
    <w:rsid w:val="00B314AF"/>
    <w:rsid w:val="00B31C4B"/>
    <w:rsid w:val="00B32B56"/>
    <w:rsid w:val="00B32D92"/>
    <w:rsid w:val="00B33D8D"/>
    <w:rsid w:val="00B35932"/>
    <w:rsid w:val="00B37EE1"/>
    <w:rsid w:val="00B402A3"/>
    <w:rsid w:val="00B44BBE"/>
    <w:rsid w:val="00B464E0"/>
    <w:rsid w:val="00B46773"/>
    <w:rsid w:val="00B473A8"/>
    <w:rsid w:val="00B47D16"/>
    <w:rsid w:val="00B50957"/>
    <w:rsid w:val="00B528DC"/>
    <w:rsid w:val="00B53F1B"/>
    <w:rsid w:val="00B549EB"/>
    <w:rsid w:val="00B54A34"/>
    <w:rsid w:val="00B54BAA"/>
    <w:rsid w:val="00B56296"/>
    <w:rsid w:val="00B56EE5"/>
    <w:rsid w:val="00B6255C"/>
    <w:rsid w:val="00B67C42"/>
    <w:rsid w:val="00B7548E"/>
    <w:rsid w:val="00B764BC"/>
    <w:rsid w:val="00B8256A"/>
    <w:rsid w:val="00B82E5D"/>
    <w:rsid w:val="00B85B56"/>
    <w:rsid w:val="00B86210"/>
    <w:rsid w:val="00B86C55"/>
    <w:rsid w:val="00B9193A"/>
    <w:rsid w:val="00B91A2D"/>
    <w:rsid w:val="00B91E20"/>
    <w:rsid w:val="00B941A0"/>
    <w:rsid w:val="00B958D9"/>
    <w:rsid w:val="00BA00A5"/>
    <w:rsid w:val="00BA1A67"/>
    <w:rsid w:val="00BA2DED"/>
    <w:rsid w:val="00BA4059"/>
    <w:rsid w:val="00BA6871"/>
    <w:rsid w:val="00BA7CD0"/>
    <w:rsid w:val="00BB03B7"/>
    <w:rsid w:val="00BB03FD"/>
    <w:rsid w:val="00BB2137"/>
    <w:rsid w:val="00BB3FAA"/>
    <w:rsid w:val="00BB58CC"/>
    <w:rsid w:val="00BB5C23"/>
    <w:rsid w:val="00BB5E4B"/>
    <w:rsid w:val="00BB5FBF"/>
    <w:rsid w:val="00BB6F74"/>
    <w:rsid w:val="00BB7AB4"/>
    <w:rsid w:val="00BB7C9A"/>
    <w:rsid w:val="00BC2F8D"/>
    <w:rsid w:val="00BC7176"/>
    <w:rsid w:val="00BC7869"/>
    <w:rsid w:val="00BD1991"/>
    <w:rsid w:val="00BD3FED"/>
    <w:rsid w:val="00BD718E"/>
    <w:rsid w:val="00BE1819"/>
    <w:rsid w:val="00BE1A69"/>
    <w:rsid w:val="00BE1DED"/>
    <w:rsid w:val="00BE2B91"/>
    <w:rsid w:val="00BE2DA0"/>
    <w:rsid w:val="00BE3B95"/>
    <w:rsid w:val="00BE52C1"/>
    <w:rsid w:val="00BE7A13"/>
    <w:rsid w:val="00BE7ACF"/>
    <w:rsid w:val="00BF0A47"/>
    <w:rsid w:val="00BF173B"/>
    <w:rsid w:val="00BF21A3"/>
    <w:rsid w:val="00BF3EEF"/>
    <w:rsid w:val="00BF4614"/>
    <w:rsid w:val="00BF5197"/>
    <w:rsid w:val="00BF5D71"/>
    <w:rsid w:val="00BF64CC"/>
    <w:rsid w:val="00BF70D8"/>
    <w:rsid w:val="00BF734A"/>
    <w:rsid w:val="00BF7B93"/>
    <w:rsid w:val="00C03614"/>
    <w:rsid w:val="00C0485B"/>
    <w:rsid w:val="00C064BF"/>
    <w:rsid w:val="00C0655A"/>
    <w:rsid w:val="00C1003B"/>
    <w:rsid w:val="00C14DD0"/>
    <w:rsid w:val="00C157B6"/>
    <w:rsid w:val="00C21AA1"/>
    <w:rsid w:val="00C23834"/>
    <w:rsid w:val="00C24751"/>
    <w:rsid w:val="00C2515A"/>
    <w:rsid w:val="00C3144A"/>
    <w:rsid w:val="00C329C4"/>
    <w:rsid w:val="00C33713"/>
    <w:rsid w:val="00C35BB4"/>
    <w:rsid w:val="00C36692"/>
    <w:rsid w:val="00C37980"/>
    <w:rsid w:val="00C37C1E"/>
    <w:rsid w:val="00C42174"/>
    <w:rsid w:val="00C42C51"/>
    <w:rsid w:val="00C43704"/>
    <w:rsid w:val="00C45CB9"/>
    <w:rsid w:val="00C4707E"/>
    <w:rsid w:val="00C50555"/>
    <w:rsid w:val="00C525A4"/>
    <w:rsid w:val="00C533B5"/>
    <w:rsid w:val="00C541C7"/>
    <w:rsid w:val="00C55A9D"/>
    <w:rsid w:val="00C56708"/>
    <w:rsid w:val="00C60457"/>
    <w:rsid w:val="00C607C3"/>
    <w:rsid w:val="00C62895"/>
    <w:rsid w:val="00C63F25"/>
    <w:rsid w:val="00C64712"/>
    <w:rsid w:val="00C70561"/>
    <w:rsid w:val="00C736B8"/>
    <w:rsid w:val="00C75CC1"/>
    <w:rsid w:val="00C8161C"/>
    <w:rsid w:val="00C841BF"/>
    <w:rsid w:val="00C859EB"/>
    <w:rsid w:val="00C85FC1"/>
    <w:rsid w:val="00C8746A"/>
    <w:rsid w:val="00C91804"/>
    <w:rsid w:val="00C94778"/>
    <w:rsid w:val="00C96867"/>
    <w:rsid w:val="00CA09E3"/>
    <w:rsid w:val="00CA2318"/>
    <w:rsid w:val="00CA3643"/>
    <w:rsid w:val="00CA4C9C"/>
    <w:rsid w:val="00CA52B0"/>
    <w:rsid w:val="00CA6D54"/>
    <w:rsid w:val="00CA78C6"/>
    <w:rsid w:val="00CA7F17"/>
    <w:rsid w:val="00CB2117"/>
    <w:rsid w:val="00CB42DE"/>
    <w:rsid w:val="00CB4976"/>
    <w:rsid w:val="00CB510C"/>
    <w:rsid w:val="00CC0635"/>
    <w:rsid w:val="00CC093D"/>
    <w:rsid w:val="00CC21D8"/>
    <w:rsid w:val="00CC49B2"/>
    <w:rsid w:val="00CC538F"/>
    <w:rsid w:val="00CC550F"/>
    <w:rsid w:val="00CC632B"/>
    <w:rsid w:val="00CC674D"/>
    <w:rsid w:val="00CC6C13"/>
    <w:rsid w:val="00CD08BF"/>
    <w:rsid w:val="00CD095B"/>
    <w:rsid w:val="00CD0960"/>
    <w:rsid w:val="00CD20BD"/>
    <w:rsid w:val="00CD3381"/>
    <w:rsid w:val="00CD75DD"/>
    <w:rsid w:val="00CE1A0F"/>
    <w:rsid w:val="00CE1A13"/>
    <w:rsid w:val="00CE4507"/>
    <w:rsid w:val="00CE520A"/>
    <w:rsid w:val="00CE5E0B"/>
    <w:rsid w:val="00CE6B62"/>
    <w:rsid w:val="00CE76DA"/>
    <w:rsid w:val="00CF48CF"/>
    <w:rsid w:val="00CF4A9E"/>
    <w:rsid w:val="00CF6729"/>
    <w:rsid w:val="00CF7CC4"/>
    <w:rsid w:val="00D0033F"/>
    <w:rsid w:val="00D0190E"/>
    <w:rsid w:val="00D01C05"/>
    <w:rsid w:val="00D06377"/>
    <w:rsid w:val="00D076A2"/>
    <w:rsid w:val="00D14F57"/>
    <w:rsid w:val="00D15409"/>
    <w:rsid w:val="00D1592A"/>
    <w:rsid w:val="00D17B07"/>
    <w:rsid w:val="00D17F37"/>
    <w:rsid w:val="00D20948"/>
    <w:rsid w:val="00D21412"/>
    <w:rsid w:val="00D217A3"/>
    <w:rsid w:val="00D21884"/>
    <w:rsid w:val="00D21D97"/>
    <w:rsid w:val="00D2655A"/>
    <w:rsid w:val="00D27B85"/>
    <w:rsid w:val="00D27FCD"/>
    <w:rsid w:val="00D31DEA"/>
    <w:rsid w:val="00D34E0F"/>
    <w:rsid w:val="00D3551F"/>
    <w:rsid w:val="00D35D76"/>
    <w:rsid w:val="00D37255"/>
    <w:rsid w:val="00D41F15"/>
    <w:rsid w:val="00D43BFA"/>
    <w:rsid w:val="00D44471"/>
    <w:rsid w:val="00D44697"/>
    <w:rsid w:val="00D4650D"/>
    <w:rsid w:val="00D465FD"/>
    <w:rsid w:val="00D508F8"/>
    <w:rsid w:val="00D50E04"/>
    <w:rsid w:val="00D520B2"/>
    <w:rsid w:val="00D528B1"/>
    <w:rsid w:val="00D52C89"/>
    <w:rsid w:val="00D53470"/>
    <w:rsid w:val="00D624E6"/>
    <w:rsid w:val="00D62936"/>
    <w:rsid w:val="00D62C8B"/>
    <w:rsid w:val="00D6370E"/>
    <w:rsid w:val="00D63DBA"/>
    <w:rsid w:val="00D64088"/>
    <w:rsid w:val="00D64A67"/>
    <w:rsid w:val="00D65191"/>
    <w:rsid w:val="00D65A47"/>
    <w:rsid w:val="00D65D6E"/>
    <w:rsid w:val="00D66DC1"/>
    <w:rsid w:val="00D673B3"/>
    <w:rsid w:val="00D67755"/>
    <w:rsid w:val="00D67CC7"/>
    <w:rsid w:val="00D70336"/>
    <w:rsid w:val="00D70417"/>
    <w:rsid w:val="00D728B0"/>
    <w:rsid w:val="00D733DE"/>
    <w:rsid w:val="00D740BB"/>
    <w:rsid w:val="00D74C03"/>
    <w:rsid w:val="00D74D4E"/>
    <w:rsid w:val="00D80D42"/>
    <w:rsid w:val="00D818D2"/>
    <w:rsid w:val="00D818E6"/>
    <w:rsid w:val="00D81CD5"/>
    <w:rsid w:val="00D82A2F"/>
    <w:rsid w:val="00D830DB"/>
    <w:rsid w:val="00D830F4"/>
    <w:rsid w:val="00D84931"/>
    <w:rsid w:val="00D85001"/>
    <w:rsid w:val="00D85811"/>
    <w:rsid w:val="00D90D61"/>
    <w:rsid w:val="00D91858"/>
    <w:rsid w:val="00D927DF"/>
    <w:rsid w:val="00D928E3"/>
    <w:rsid w:val="00D95F07"/>
    <w:rsid w:val="00D96D79"/>
    <w:rsid w:val="00DA0E42"/>
    <w:rsid w:val="00DA14BB"/>
    <w:rsid w:val="00DA1990"/>
    <w:rsid w:val="00DA28AB"/>
    <w:rsid w:val="00DA2AE9"/>
    <w:rsid w:val="00DA3B35"/>
    <w:rsid w:val="00DA482B"/>
    <w:rsid w:val="00DA542E"/>
    <w:rsid w:val="00DA7001"/>
    <w:rsid w:val="00DA7F25"/>
    <w:rsid w:val="00DB13A9"/>
    <w:rsid w:val="00DB35CA"/>
    <w:rsid w:val="00DB3A19"/>
    <w:rsid w:val="00DB3B11"/>
    <w:rsid w:val="00DB43A2"/>
    <w:rsid w:val="00DB5B97"/>
    <w:rsid w:val="00DC23F5"/>
    <w:rsid w:val="00DC5BE9"/>
    <w:rsid w:val="00DD1673"/>
    <w:rsid w:val="00DD1CAA"/>
    <w:rsid w:val="00DD223B"/>
    <w:rsid w:val="00DD36E1"/>
    <w:rsid w:val="00DD3EF7"/>
    <w:rsid w:val="00DD5612"/>
    <w:rsid w:val="00DD73D2"/>
    <w:rsid w:val="00DE2031"/>
    <w:rsid w:val="00DE3366"/>
    <w:rsid w:val="00DE4828"/>
    <w:rsid w:val="00DE4F55"/>
    <w:rsid w:val="00DE517A"/>
    <w:rsid w:val="00DE6EC7"/>
    <w:rsid w:val="00DF175F"/>
    <w:rsid w:val="00DF4A09"/>
    <w:rsid w:val="00DF5CF8"/>
    <w:rsid w:val="00DF7642"/>
    <w:rsid w:val="00E00275"/>
    <w:rsid w:val="00E03544"/>
    <w:rsid w:val="00E07924"/>
    <w:rsid w:val="00E10B7F"/>
    <w:rsid w:val="00E116C9"/>
    <w:rsid w:val="00E11C28"/>
    <w:rsid w:val="00E12373"/>
    <w:rsid w:val="00E13207"/>
    <w:rsid w:val="00E13D70"/>
    <w:rsid w:val="00E1521B"/>
    <w:rsid w:val="00E16B0A"/>
    <w:rsid w:val="00E21B8F"/>
    <w:rsid w:val="00E2220F"/>
    <w:rsid w:val="00E24385"/>
    <w:rsid w:val="00E25AE0"/>
    <w:rsid w:val="00E26022"/>
    <w:rsid w:val="00E26D19"/>
    <w:rsid w:val="00E272E1"/>
    <w:rsid w:val="00E314D5"/>
    <w:rsid w:val="00E342C2"/>
    <w:rsid w:val="00E345C0"/>
    <w:rsid w:val="00E35D89"/>
    <w:rsid w:val="00E36AB7"/>
    <w:rsid w:val="00E36AC7"/>
    <w:rsid w:val="00E36D46"/>
    <w:rsid w:val="00E37866"/>
    <w:rsid w:val="00E3790D"/>
    <w:rsid w:val="00E40564"/>
    <w:rsid w:val="00E42F87"/>
    <w:rsid w:val="00E43B03"/>
    <w:rsid w:val="00E44481"/>
    <w:rsid w:val="00E46B6A"/>
    <w:rsid w:val="00E46BBA"/>
    <w:rsid w:val="00E50BD1"/>
    <w:rsid w:val="00E53754"/>
    <w:rsid w:val="00E62363"/>
    <w:rsid w:val="00E65E84"/>
    <w:rsid w:val="00E66145"/>
    <w:rsid w:val="00E711C1"/>
    <w:rsid w:val="00E72C10"/>
    <w:rsid w:val="00E73A50"/>
    <w:rsid w:val="00E77059"/>
    <w:rsid w:val="00E8096E"/>
    <w:rsid w:val="00E80C76"/>
    <w:rsid w:val="00E83AA9"/>
    <w:rsid w:val="00E843C0"/>
    <w:rsid w:val="00E8575B"/>
    <w:rsid w:val="00E86518"/>
    <w:rsid w:val="00E86A7B"/>
    <w:rsid w:val="00E909B7"/>
    <w:rsid w:val="00E912B2"/>
    <w:rsid w:val="00E9210C"/>
    <w:rsid w:val="00E92FA2"/>
    <w:rsid w:val="00E94802"/>
    <w:rsid w:val="00E95F68"/>
    <w:rsid w:val="00E96026"/>
    <w:rsid w:val="00E9715A"/>
    <w:rsid w:val="00EA1A5D"/>
    <w:rsid w:val="00EA1F42"/>
    <w:rsid w:val="00EA57FB"/>
    <w:rsid w:val="00EA79F5"/>
    <w:rsid w:val="00EB2E62"/>
    <w:rsid w:val="00EB407A"/>
    <w:rsid w:val="00EB69E3"/>
    <w:rsid w:val="00EB6B22"/>
    <w:rsid w:val="00EB794E"/>
    <w:rsid w:val="00EC2001"/>
    <w:rsid w:val="00EC4733"/>
    <w:rsid w:val="00EC5A9F"/>
    <w:rsid w:val="00ED3042"/>
    <w:rsid w:val="00ED5F47"/>
    <w:rsid w:val="00ED615D"/>
    <w:rsid w:val="00EE4593"/>
    <w:rsid w:val="00EE4A7E"/>
    <w:rsid w:val="00EE4FC3"/>
    <w:rsid w:val="00EE5CE2"/>
    <w:rsid w:val="00EF0D0A"/>
    <w:rsid w:val="00EF0DE3"/>
    <w:rsid w:val="00EF0F7F"/>
    <w:rsid w:val="00EF28D8"/>
    <w:rsid w:val="00EF4786"/>
    <w:rsid w:val="00EF5C39"/>
    <w:rsid w:val="00EF63D3"/>
    <w:rsid w:val="00EF6F01"/>
    <w:rsid w:val="00F022C4"/>
    <w:rsid w:val="00F02874"/>
    <w:rsid w:val="00F0411A"/>
    <w:rsid w:val="00F04730"/>
    <w:rsid w:val="00F04871"/>
    <w:rsid w:val="00F04ADE"/>
    <w:rsid w:val="00F112E7"/>
    <w:rsid w:val="00F13E7F"/>
    <w:rsid w:val="00F14BD8"/>
    <w:rsid w:val="00F1570F"/>
    <w:rsid w:val="00F17490"/>
    <w:rsid w:val="00F1796B"/>
    <w:rsid w:val="00F2214F"/>
    <w:rsid w:val="00F231DA"/>
    <w:rsid w:val="00F23D72"/>
    <w:rsid w:val="00F252EC"/>
    <w:rsid w:val="00F27956"/>
    <w:rsid w:val="00F30511"/>
    <w:rsid w:val="00F30A52"/>
    <w:rsid w:val="00F316AC"/>
    <w:rsid w:val="00F3306F"/>
    <w:rsid w:val="00F33162"/>
    <w:rsid w:val="00F3468C"/>
    <w:rsid w:val="00F3704A"/>
    <w:rsid w:val="00F37491"/>
    <w:rsid w:val="00F40209"/>
    <w:rsid w:val="00F43CA0"/>
    <w:rsid w:val="00F44D38"/>
    <w:rsid w:val="00F45570"/>
    <w:rsid w:val="00F4636D"/>
    <w:rsid w:val="00F4665B"/>
    <w:rsid w:val="00F4718C"/>
    <w:rsid w:val="00F47361"/>
    <w:rsid w:val="00F47AE8"/>
    <w:rsid w:val="00F50D49"/>
    <w:rsid w:val="00F52341"/>
    <w:rsid w:val="00F52D05"/>
    <w:rsid w:val="00F5582C"/>
    <w:rsid w:val="00F565CA"/>
    <w:rsid w:val="00F56919"/>
    <w:rsid w:val="00F57D43"/>
    <w:rsid w:val="00F608CC"/>
    <w:rsid w:val="00F62915"/>
    <w:rsid w:val="00F62D26"/>
    <w:rsid w:val="00F65645"/>
    <w:rsid w:val="00F65DC3"/>
    <w:rsid w:val="00F67658"/>
    <w:rsid w:val="00F70545"/>
    <w:rsid w:val="00F705DD"/>
    <w:rsid w:val="00F71396"/>
    <w:rsid w:val="00F719B1"/>
    <w:rsid w:val="00F72BDB"/>
    <w:rsid w:val="00F7397B"/>
    <w:rsid w:val="00F75B25"/>
    <w:rsid w:val="00F76770"/>
    <w:rsid w:val="00F80F58"/>
    <w:rsid w:val="00F83141"/>
    <w:rsid w:val="00F85AE2"/>
    <w:rsid w:val="00F85B64"/>
    <w:rsid w:val="00F963E6"/>
    <w:rsid w:val="00FA0764"/>
    <w:rsid w:val="00FA2D30"/>
    <w:rsid w:val="00FA41D2"/>
    <w:rsid w:val="00FA472A"/>
    <w:rsid w:val="00FA570F"/>
    <w:rsid w:val="00FA646C"/>
    <w:rsid w:val="00FA7469"/>
    <w:rsid w:val="00FB0FC6"/>
    <w:rsid w:val="00FB220A"/>
    <w:rsid w:val="00FB2691"/>
    <w:rsid w:val="00FB2E46"/>
    <w:rsid w:val="00FB381F"/>
    <w:rsid w:val="00FB5B66"/>
    <w:rsid w:val="00FB6639"/>
    <w:rsid w:val="00FB69B9"/>
    <w:rsid w:val="00FB710B"/>
    <w:rsid w:val="00FB7172"/>
    <w:rsid w:val="00FB7229"/>
    <w:rsid w:val="00FB7BAA"/>
    <w:rsid w:val="00FB7E10"/>
    <w:rsid w:val="00FB7F12"/>
    <w:rsid w:val="00FC129F"/>
    <w:rsid w:val="00FC5588"/>
    <w:rsid w:val="00FC7624"/>
    <w:rsid w:val="00FD0097"/>
    <w:rsid w:val="00FD2C82"/>
    <w:rsid w:val="00FD3F37"/>
    <w:rsid w:val="00FD418C"/>
    <w:rsid w:val="00FE0456"/>
    <w:rsid w:val="00FE2CB0"/>
    <w:rsid w:val="00FE415B"/>
    <w:rsid w:val="00FE42A2"/>
    <w:rsid w:val="00FE4C8F"/>
    <w:rsid w:val="00FF01DB"/>
    <w:rsid w:val="00FF0796"/>
    <w:rsid w:val="00FF0E4C"/>
    <w:rsid w:val="00FF30AB"/>
    <w:rsid w:val="00FF36E8"/>
    <w:rsid w:val="00FF5FF0"/>
    <w:rsid w:val="00FF6131"/>
    <w:rsid w:val="00FF7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3B573BD5"/>
  <w15:docId w15:val="{B8199E73-47C4-4080-9813-05FB64CF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581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0410"/>
    <w:rPr>
      <w:rFonts w:ascii="Tahoma" w:hAnsi="Tahoma" w:cs="Tahoma"/>
      <w:sz w:val="16"/>
      <w:szCs w:val="16"/>
    </w:rPr>
  </w:style>
  <w:style w:type="paragraph" w:styleId="Header">
    <w:name w:val="header"/>
    <w:basedOn w:val="Normal"/>
    <w:rsid w:val="00FE415B"/>
    <w:pPr>
      <w:tabs>
        <w:tab w:val="center" w:pos="4153"/>
        <w:tab w:val="right" w:pos="8306"/>
      </w:tabs>
    </w:pPr>
  </w:style>
  <w:style w:type="character" w:styleId="PageNumber">
    <w:name w:val="page number"/>
    <w:basedOn w:val="DefaultParagraphFont"/>
    <w:rsid w:val="00FE415B"/>
  </w:style>
  <w:style w:type="character" w:styleId="Strong">
    <w:name w:val="Strong"/>
    <w:basedOn w:val="DefaultParagraphFont"/>
    <w:qFormat/>
    <w:rsid w:val="00145D59"/>
    <w:rPr>
      <w:b/>
      <w:bCs/>
    </w:rPr>
  </w:style>
  <w:style w:type="paragraph" w:customStyle="1" w:styleId="StyleHeading123Auto">
    <w:name w:val="Style Heading 123 + Auto"/>
    <w:basedOn w:val="Normal"/>
    <w:link w:val="StyleHeading123AutoChar"/>
    <w:rsid w:val="0053278E"/>
    <w:pPr>
      <w:pBdr>
        <w:bottom w:val="single" w:sz="18" w:space="1" w:color="2D64BE"/>
      </w:pBdr>
      <w:tabs>
        <w:tab w:val="right" w:pos="9072"/>
      </w:tabs>
    </w:pPr>
    <w:rPr>
      <w:rFonts w:cs="Arial"/>
      <w:b/>
      <w:bCs/>
      <w:color w:val="2D64BE"/>
      <w:sz w:val="36"/>
      <w:szCs w:val="36"/>
    </w:rPr>
  </w:style>
  <w:style w:type="paragraph" w:styleId="Footer">
    <w:name w:val="footer"/>
    <w:basedOn w:val="Normal"/>
    <w:rsid w:val="00486B2A"/>
    <w:pPr>
      <w:tabs>
        <w:tab w:val="center" w:pos="4153"/>
        <w:tab w:val="right" w:pos="8306"/>
      </w:tabs>
    </w:pPr>
  </w:style>
  <w:style w:type="paragraph" w:customStyle="1" w:styleId="StyleStyleNo1HeadingBottomSinglesolidlineSeaGreen2">
    <w:name w:val="Style Style No 1. Heading + Bottom: (Single solid line Sea Green  2..."/>
    <w:basedOn w:val="Normal"/>
    <w:autoRedefine/>
    <w:rsid w:val="00C33713"/>
    <w:pPr>
      <w:tabs>
        <w:tab w:val="left" w:pos="851"/>
      </w:tabs>
      <w:spacing w:before="40" w:after="20"/>
      <w:ind w:left="851" w:hanging="851"/>
    </w:pPr>
    <w:rPr>
      <w:rFonts w:eastAsia="Times New Roman" w:cs="Arial"/>
      <w:b/>
      <w:bCs/>
      <w:color w:val="5F497A" w:themeColor="accent4" w:themeShade="BF"/>
      <w:sz w:val="48"/>
      <w:szCs w:val="48"/>
    </w:rPr>
  </w:style>
  <w:style w:type="paragraph" w:styleId="ListParagraph">
    <w:name w:val="List Paragraph"/>
    <w:basedOn w:val="Normal"/>
    <w:uiPriority w:val="34"/>
    <w:qFormat/>
    <w:rsid w:val="0003149B"/>
    <w:pPr>
      <w:ind w:left="720"/>
      <w:contextualSpacing/>
    </w:pPr>
  </w:style>
  <w:style w:type="paragraph" w:customStyle="1" w:styleId="AnnRptHEADING1">
    <w:name w:val="AnnRpt HEADING 1"/>
    <w:basedOn w:val="StyleHeading123Auto"/>
    <w:link w:val="AnnRptHEADING1Char"/>
    <w:qFormat/>
    <w:rsid w:val="00010EFE"/>
    <w:pPr>
      <w:pBdr>
        <w:bottom w:val="single" w:sz="18" w:space="1" w:color="E36C0A" w:themeColor="accent6" w:themeShade="BF"/>
      </w:pBdr>
      <w:spacing w:before="40" w:after="20"/>
    </w:pPr>
    <w:rPr>
      <w:color w:val="E36C0A" w:themeColor="accent6" w:themeShade="BF"/>
    </w:rPr>
  </w:style>
  <w:style w:type="paragraph" w:customStyle="1" w:styleId="AnnRptHEADING2">
    <w:name w:val="AnnRpt HEADING 2"/>
    <w:basedOn w:val="Normal"/>
    <w:link w:val="AnnRptHEADING2Char"/>
    <w:qFormat/>
    <w:rsid w:val="00010EFE"/>
    <w:pPr>
      <w:tabs>
        <w:tab w:val="right" w:pos="9072"/>
      </w:tabs>
      <w:spacing w:before="40" w:after="20"/>
    </w:pPr>
    <w:rPr>
      <w:rFonts w:cs="Arial"/>
      <w:b/>
      <w:color w:val="E36C0A" w:themeColor="accent6" w:themeShade="BF"/>
      <w:sz w:val="28"/>
      <w:szCs w:val="28"/>
    </w:rPr>
  </w:style>
  <w:style w:type="character" w:customStyle="1" w:styleId="StyleHeading123AutoChar">
    <w:name w:val="Style Heading 123 + Auto Char"/>
    <w:basedOn w:val="DefaultParagraphFont"/>
    <w:link w:val="StyleHeading123Auto"/>
    <w:rsid w:val="00976C78"/>
    <w:rPr>
      <w:rFonts w:ascii="Arial" w:hAnsi="Arial" w:cs="Arial"/>
      <w:b/>
      <w:bCs/>
      <w:color w:val="2D64BE"/>
      <w:sz w:val="36"/>
      <w:szCs w:val="36"/>
    </w:rPr>
  </w:style>
  <w:style w:type="character" w:customStyle="1" w:styleId="AnnRptHEADING1Char">
    <w:name w:val="AnnRpt HEADING 1 Char"/>
    <w:basedOn w:val="StyleHeading123AutoChar"/>
    <w:link w:val="AnnRptHEADING1"/>
    <w:rsid w:val="00010EFE"/>
    <w:rPr>
      <w:rFonts w:ascii="Arial" w:hAnsi="Arial" w:cs="Arial"/>
      <w:b/>
      <w:bCs/>
      <w:color w:val="E36C0A" w:themeColor="accent6" w:themeShade="BF"/>
      <w:sz w:val="36"/>
      <w:szCs w:val="36"/>
    </w:rPr>
  </w:style>
  <w:style w:type="character" w:customStyle="1" w:styleId="AnnRptHEADING2Char">
    <w:name w:val="AnnRpt HEADING 2 Char"/>
    <w:basedOn w:val="DefaultParagraphFont"/>
    <w:link w:val="AnnRptHEADING2"/>
    <w:rsid w:val="00010EFE"/>
    <w:rPr>
      <w:rFonts w:ascii="Arial" w:hAnsi="Arial" w:cs="Arial"/>
      <w:b/>
      <w:color w:val="E36C0A" w:themeColor="accent6" w:themeShade="BF"/>
      <w:sz w:val="28"/>
      <w:szCs w:val="28"/>
    </w:rPr>
  </w:style>
  <w:style w:type="paragraph" w:customStyle="1" w:styleId="VGC-Head1">
    <w:name w:val="VGC - Head1"/>
    <w:basedOn w:val="AnnRptHEADING1"/>
    <w:link w:val="VGC-Head1Char"/>
    <w:qFormat/>
    <w:rsid w:val="008C1A28"/>
    <w:pPr>
      <w:pBdr>
        <w:bottom w:val="single" w:sz="18" w:space="1" w:color="002060"/>
      </w:pBdr>
    </w:pPr>
    <w:rPr>
      <w:color w:val="002060"/>
    </w:rPr>
  </w:style>
  <w:style w:type="paragraph" w:customStyle="1" w:styleId="VGC-Head1even">
    <w:name w:val="VGC - Head 1 even"/>
    <w:basedOn w:val="VGC-Head1"/>
    <w:qFormat/>
    <w:rsid w:val="008C1A28"/>
  </w:style>
  <w:style w:type="character" w:customStyle="1" w:styleId="VGC-Head1Char">
    <w:name w:val="VGC - Head1 Char"/>
    <w:basedOn w:val="AnnRptHEADING1Char"/>
    <w:link w:val="VGC-Head1"/>
    <w:rsid w:val="008C1A28"/>
    <w:rPr>
      <w:rFonts w:ascii="Arial" w:hAnsi="Arial" w:cs="Arial"/>
      <w:b/>
      <w:bCs/>
      <w:color w:val="002060"/>
      <w:sz w:val="36"/>
      <w:szCs w:val="36"/>
    </w:rPr>
  </w:style>
  <w:style w:type="paragraph" w:customStyle="1" w:styleId="VGC-Head10">
    <w:name w:val="VGC - Head 1"/>
    <w:basedOn w:val="AnnRptHEADING1"/>
    <w:link w:val="VGC-Head1Char0"/>
    <w:autoRedefine/>
    <w:qFormat/>
    <w:rsid w:val="00C33713"/>
    <w:pPr>
      <w:pBdr>
        <w:bottom w:val="single" w:sz="18" w:space="1" w:color="5F497A" w:themeColor="accent4" w:themeShade="BF"/>
      </w:pBdr>
    </w:pPr>
    <w:rPr>
      <w:color w:val="5F497A" w:themeColor="accent4" w:themeShade="BF"/>
    </w:rPr>
  </w:style>
  <w:style w:type="paragraph" w:customStyle="1" w:styleId="VGC-Head2">
    <w:name w:val="VGC - Head 2"/>
    <w:basedOn w:val="AnnRptHEADING2"/>
    <w:link w:val="VGC-Head2Char"/>
    <w:autoRedefine/>
    <w:qFormat/>
    <w:rsid w:val="00C33713"/>
    <w:rPr>
      <w:color w:val="5F497A" w:themeColor="accent4" w:themeShade="BF"/>
    </w:rPr>
  </w:style>
  <w:style w:type="character" w:customStyle="1" w:styleId="VGC-Head1Char0">
    <w:name w:val="VGC - Head 1 Char"/>
    <w:basedOn w:val="AnnRptHEADING1Char"/>
    <w:link w:val="VGC-Head10"/>
    <w:rsid w:val="00C33713"/>
    <w:rPr>
      <w:rFonts w:ascii="Arial" w:hAnsi="Arial" w:cs="Arial"/>
      <w:b/>
      <w:bCs/>
      <w:color w:val="5F497A" w:themeColor="accent4" w:themeShade="BF"/>
      <w:sz w:val="36"/>
      <w:szCs w:val="36"/>
    </w:rPr>
  </w:style>
  <w:style w:type="character" w:customStyle="1" w:styleId="VGC-Head2Char">
    <w:name w:val="VGC - Head 2 Char"/>
    <w:basedOn w:val="AnnRptHEADING2Char"/>
    <w:link w:val="VGC-Head2"/>
    <w:rsid w:val="00C33713"/>
    <w:rPr>
      <w:rFonts w:ascii="Arial" w:hAnsi="Arial" w:cs="Arial"/>
      <w:b/>
      <w:color w:val="5F497A" w:themeColor="accent4" w:themeShade="BF"/>
      <w:sz w:val="28"/>
      <w:szCs w:val="28"/>
    </w:rPr>
  </w:style>
  <w:style w:type="character" w:styleId="CommentReference">
    <w:name w:val="annotation reference"/>
    <w:basedOn w:val="DefaultParagraphFont"/>
    <w:semiHidden/>
    <w:unhideWhenUsed/>
    <w:rsid w:val="00683627"/>
    <w:rPr>
      <w:sz w:val="16"/>
      <w:szCs w:val="16"/>
    </w:rPr>
  </w:style>
  <w:style w:type="paragraph" w:styleId="CommentText">
    <w:name w:val="annotation text"/>
    <w:basedOn w:val="Normal"/>
    <w:link w:val="CommentTextChar"/>
    <w:semiHidden/>
    <w:unhideWhenUsed/>
    <w:rsid w:val="00683627"/>
    <w:rPr>
      <w:sz w:val="20"/>
      <w:szCs w:val="20"/>
    </w:rPr>
  </w:style>
  <w:style w:type="character" w:customStyle="1" w:styleId="CommentTextChar">
    <w:name w:val="Comment Text Char"/>
    <w:basedOn w:val="DefaultParagraphFont"/>
    <w:link w:val="CommentText"/>
    <w:semiHidden/>
    <w:rsid w:val="00683627"/>
    <w:rPr>
      <w:rFonts w:ascii="Arial" w:hAnsi="Arial"/>
    </w:rPr>
  </w:style>
  <w:style w:type="paragraph" w:styleId="CommentSubject">
    <w:name w:val="annotation subject"/>
    <w:basedOn w:val="CommentText"/>
    <w:next w:val="CommentText"/>
    <w:link w:val="CommentSubjectChar"/>
    <w:semiHidden/>
    <w:unhideWhenUsed/>
    <w:rsid w:val="00683627"/>
    <w:rPr>
      <w:b/>
      <w:bCs/>
    </w:rPr>
  </w:style>
  <w:style w:type="character" w:customStyle="1" w:styleId="CommentSubjectChar">
    <w:name w:val="Comment Subject Char"/>
    <w:basedOn w:val="CommentTextChar"/>
    <w:link w:val="CommentSubject"/>
    <w:semiHidden/>
    <w:rsid w:val="00683627"/>
    <w:rPr>
      <w:rFonts w:ascii="Arial" w:hAnsi="Arial"/>
      <w:b/>
      <w:bCs/>
    </w:rPr>
  </w:style>
  <w:style w:type="paragraph" w:styleId="Revision">
    <w:name w:val="Revision"/>
    <w:hidden/>
    <w:uiPriority w:val="99"/>
    <w:semiHidden/>
    <w:rsid w:val="00683627"/>
    <w:rPr>
      <w:rFonts w:ascii="Arial" w:hAnsi="Arial"/>
      <w:sz w:val="22"/>
      <w:szCs w:val="24"/>
    </w:rPr>
  </w:style>
  <w:style w:type="character" w:styleId="Hyperlink">
    <w:name w:val="Hyperlink"/>
    <w:basedOn w:val="DefaultParagraphFont"/>
    <w:unhideWhenUsed/>
    <w:rsid w:val="00A16BFC"/>
    <w:rPr>
      <w:color w:val="0000FF" w:themeColor="hyperlink"/>
      <w:u w:val="single"/>
    </w:rPr>
  </w:style>
  <w:style w:type="character" w:styleId="UnresolvedMention">
    <w:name w:val="Unresolved Mention"/>
    <w:basedOn w:val="DefaultParagraphFont"/>
    <w:uiPriority w:val="99"/>
    <w:semiHidden/>
    <w:unhideWhenUsed/>
    <w:rsid w:val="003D69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31">
      <w:bodyDiv w:val="1"/>
      <w:marLeft w:val="0"/>
      <w:marRight w:val="0"/>
      <w:marTop w:val="0"/>
      <w:marBottom w:val="0"/>
      <w:divBdr>
        <w:top w:val="none" w:sz="0" w:space="0" w:color="auto"/>
        <w:left w:val="none" w:sz="0" w:space="0" w:color="auto"/>
        <w:bottom w:val="none" w:sz="0" w:space="0" w:color="auto"/>
        <w:right w:val="none" w:sz="0" w:space="0" w:color="auto"/>
      </w:divBdr>
    </w:div>
    <w:div w:id="9842881">
      <w:bodyDiv w:val="1"/>
      <w:marLeft w:val="0"/>
      <w:marRight w:val="0"/>
      <w:marTop w:val="0"/>
      <w:marBottom w:val="0"/>
      <w:divBdr>
        <w:top w:val="none" w:sz="0" w:space="0" w:color="auto"/>
        <w:left w:val="none" w:sz="0" w:space="0" w:color="auto"/>
        <w:bottom w:val="none" w:sz="0" w:space="0" w:color="auto"/>
        <w:right w:val="none" w:sz="0" w:space="0" w:color="auto"/>
      </w:divBdr>
    </w:div>
    <w:div w:id="35130644">
      <w:bodyDiv w:val="1"/>
      <w:marLeft w:val="0"/>
      <w:marRight w:val="0"/>
      <w:marTop w:val="0"/>
      <w:marBottom w:val="0"/>
      <w:divBdr>
        <w:top w:val="none" w:sz="0" w:space="0" w:color="auto"/>
        <w:left w:val="none" w:sz="0" w:space="0" w:color="auto"/>
        <w:bottom w:val="none" w:sz="0" w:space="0" w:color="auto"/>
        <w:right w:val="none" w:sz="0" w:space="0" w:color="auto"/>
      </w:divBdr>
    </w:div>
    <w:div w:id="104229563">
      <w:bodyDiv w:val="1"/>
      <w:marLeft w:val="0"/>
      <w:marRight w:val="0"/>
      <w:marTop w:val="0"/>
      <w:marBottom w:val="0"/>
      <w:divBdr>
        <w:top w:val="none" w:sz="0" w:space="0" w:color="auto"/>
        <w:left w:val="none" w:sz="0" w:space="0" w:color="auto"/>
        <w:bottom w:val="none" w:sz="0" w:space="0" w:color="auto"/>
        <w:right w:val="none" w:sz="0" w:space="0" w:color="auto"/>
      </w:divBdr>
    </w:div>
    <w:div w:id="128669153">
      <w:bodyDiv w:val="1"/>
      <w:marLeft w:val="0"/>
      <w:marRight w:val="0"/>
      <w:marTop w:val="0"/>
      <w:marBottom w:val="0"/>
      <w:divBdr>
        <w:top w:val="none" w:sz="0" w:space="0" w:color="auto"/>
        <w:left w:val="none" w:sz="0" w:space="0" w:color="auto"/>
        <w:bottom w:val="none" w:sz="0" w:space="0" w:color="auto"/>
        <w:right w:val="none" w:sz="0" w:space="0" w:color="auto"/>
      </w:divBdr>
    </w:div>
    <w:div w:id="148250795">
      <w:bodyDiv w:val="1"/>
      <w:marLeft w:val="0"/>
      <w:marRight w:val="0"/>
      <w:marTop w:val="0"/>
      <w:marBottom w:val="0"/>
      <w:divBdr>
        <w:top w:val="none" w:sz="0" w:space="0" w:color="auto"/>
        <w:left w:val="none" w:sz="0" w:space="0" w:color="auto"/>
        <w:bottom w:val="none" w:sz="0" w:space="0" w:color="auto"/>
        <w:right w:val="none" w:sz="0" w:space="0" w:color="auto"/>
      </w:divBdr>
    </w:div>
    <w:div w:id="174926681">
      <w:bodyDiv w:val="1"/>
      <w:marLeft w:val="0"/>
      <w:marRight w:val="0"/>
      <w:marTop w:val="0"/>
      <w:marBottom w:val="0"/>
      <w:divBdr>
        <w:top w:val="none" w:sz="0" w:space="0" w:color="auto"/>
        <w:left w:val="none" w:sz="0" w:space="0" w:color="auto"/>
        <w:bottom w:val="none" w:sz="0" w:space="0" w:color="auto"/>
        <w:right w:val="none" w:sz="0" w:space="0" w:color="auto"/>
      </w:divBdr>
    </w:div>
    <w:div w:id="175965056">
      <w:bodyDiv w:val="1"/>
      <w:marLeft w:val="0"/>
      <w:marRight w:val="0"/>
      <w:marTop w:val="0"/>
      <w:marBottom w:val="0"/>
      <w:divBdr>
        <w:top w:val="none" w:sz="0" w:space="0" w:color="auto"/>
        <w:left w:val="none" w:sz="0" w:space="0" w:color="auto"/>
        <w:bottom w:val="none" w:sz="0" w:space="0" w:color="auto"/>
        <w:right w:val="none" w:sz="0" w:space="0" w:color="auto"/>
      </w:divBdr>
    </w:div>
    <w:div w:id="178786148">
      <w:bodyDiv w:val="1"/>
      <w:marLeft w:val="0"/>
      <w:marRight w:val="0"/>
      <w:marTop w:val="0"/>
      <w:marBottom w:val="0"/>
      <w:divBdr>
        <w:top w:val="none" w:sz="0" w:space="0" w:color="auto"/>
        <w:left w:val="none" w:sz="0" w:space="0" w:color="auto"/>
        <w:bottom w:val="none" w:sz="0" w:space="0" w:color="auto"/>
        <w:right w:val="none" w:sz="0" w:space="0" w:color="auto"/>
      </w:divBdr>
    </w:div>
    <w:div w:id="179243612">
      <w:bodyDiv w:val="1"/>
      <w:marLeft w:val="0"/>
      <w:marRight w:val="0"/>
      <w:marTop w:val="0"/>
      <w:marBottom w:val="0"/>
      <w:divBdr>
        <w:top w:val="none" w:sz="0" w:space="0" w:color="auto"/>
        <w:left w:val="none" w:sz="0" w:space="0" w:color="auto"/>
        <w:bottom w:val="none" w:sz="0" w:space="0" w:color="auto"/>
        <w:right w:val="none" w:sz="0" w:space="0" w:color="auto"/>
      </w:divBdr>
    </w:div>
    <w:div w:id="184368309">
      <w:bodyDiv w:val="1"/>
      <w:marLeft w:val="0"/>
      <w:marRight w:val="0"/>
      <w:marTop w:val="0"/>
      <w:marBottom w:val="0"/>
      <w:divBdr>
        <w:top w:val="none" w:sz="0" w:space="0" w:color="auto"/>
        <w:left w:val="none" w:sz="0" w:space="0" w:color="auto"/>
        <w:bottom w:val="none" w:sz="0" w:space="0" w:color="auto"/>
        <w:right w:val="none" w:sz="0" w:space="0" w:color="auto"/>
      </w:divBdr>
    </w:div>
    <w:div w:id="188565503">
      <w:bodyDiv w:val="1"/>
      <w:marLeft w:val="0"/>
      <w:marRight w:val="0"/>
      <w:marTop w:val="0"/>
      <w:marBottom w:val="0"/>
      <w:divBdr>
        <w:top w:val="none" w:sz="0" w:space="0" w:color="auto"/>
        <w:left w:val="none" w:sz="0" w:space="0" w:color="auto"/>
        <w:bottom w:val="none" w:sz="0" w:space="0" w:color="auto"/>
        <w:right w:val="none" w:sz="0" w:space="0" w:color="auto"/>
      </w:divBdr>
    </w:div>
    <w:div w:id="191918235">
      <w:bodyDiv w:val="1"/>
      <w:marLeft w:val="0"/>
      <w:marRight w:val="0"/>
      <w:marTop w:val="0"/>
      <w:marBottom w:val="0"/>
      <w:divBdr>
        <w:top w:val="none" w:sz="0" w:space="0" w:color="auto"/>
        <w:left w:val="none" w:sz="0" w:space="0" w:color="auto"/>
        <w:bottom w:val="none" w:sz="0" w:space="0" w:color="auto"/>
        <w:right w:val="none" w:sz="0" w:space="0" w:color="auto"/>
      </w:divBdr>
    </w:div>
    <w:div w:id="194736617">
      <w:bodyDiv w:val="1"/>
      <w:marLeft w:val="0"/>
      <w:marRight w:val="0"/>
      <w:marTop w:val="0"/>
      <w:marBottom w:val="0"/>
      <w:divBdr>
        <w:top w:val="none" w:sz="0" w:space="0" w:color="auto"/>
        <w:left w:val="none" w:sz="0" w:space="0" w:color="auto"/>
        <w:bottom w:val="none" w:sz="0" w:space="0" w:color="auto"/>
        <w:right w:val="none" w:sz="0" w:space="0" w:color="auto"/>
      </w:divBdr>
    </w:div>
    <w:div w:id="199704262">
      <w:bodyDiv w:val="1"/>
      <w:marLeft w:val="0"/>
      <w:marRight w:val="0"/>
      <w:marTop w:val="0"/>
      <w:marBottom w:val="0"/>
      <w:divBdr>
        <w:top w:val="none" w:sz="0" w:space="0" w:color="auto"/>
        <w:left w:val="none" w:sz="0" w:space="0" w:color="auto"/>
        <w:bottom w:val="none" w:sz="0" w:space="0" w:color="auto"/>
        <w:right w:val="none" w:sz="0" w:space="0" w:color="auto"/>
      </w:divBdr>
    </w:div>
    <w:div w:id="265355627">
      <w:bodyDiv w:val="1"/>
      <w:marLeft w:val="0"/>
      <w:marRight w:val="0"/>
      <w:marTop w:val="0"/>
      <w:marBottom w:val="0"/>
      <w:divBdr>
        <w:top w:val="none" w:sz="0" w:space="0" w:color="auto"/>
        <w:left w:val="none" w:sz="0" w:space="0" w:color="auto"/>
        <w:bottom w:val="none" w:sz="0" w:space="0" w:color="auto"/>
        <w:right w:val="none" w:sz="0" w:space="0" w:color="auto"/>
      </w:divBdr>
    </w:div>
    <w:div w:id="347683962">
      <w:bodyDiv w:val="1"/>
      <w:marLeft w:val="0"/>
      <w:marRight w:val="0"/>
      <w:marTop w:val="0"/>
      <w:marBottom w:val="0"/>
      <w:divBdr>
        <w:top w:val="none" w:sz="0" w:space="0" w:color="auto"/>
        <w:left w:val="none" w:sz="0" w:space="0" w:color="auto"/>
        <w:bottom w:val="none" w:sz="0" w:space="0" w:color="auto"/>
        <w:right w:val="none" w:sz="0" w:space="0" w:color="auto"/>
      </w:divBdr>
    </w:div>
    <w:div w:id="380250453">
      <w:bodyDiv w:val="1"/>
      <w:marLeft w:val="0"/>
      <w:marRight w:val="0"/>
      <w:marTop w:val="0"/>
      <w:marBottom w:val="0"/>
      <w:divBdr>
        <w:top w:val="none" w:sz="0" w:space="0" w:color="auto"/>
        <w:left w:val="none" w:sz="0" w:space="0" w:color="auto"/>
        <w:bottom w:val="none" w:sz="0" w:space="0" w:color="auto"/>
        <w:right w:val="none" w:sz="0" w:space="0" w:color="auto"/>
      </w:divBdr>
    </w:div>
    <w:div w:id="407120883">
      <w:bodyDiv w:val="1"/>
      <w:marLeft w:val="0"/>
      <w:marRight w:val="0"/>
      <w:marTop w:val="0"/>
      <w:marBottom w:val="0"/>
      <w:divBdr>
        <w:top w:val="none" w:sz="0" w:space="0" w:color="auto"/>
        <w:left w:val="none" w:sz="0" w:space="0" w:color="auto"/>
        <w:bottom w:val="none" w:sz="0" w:space="0" w:color="auto"/>
        <w:right w:val="none" w:sz="0" w:space="0" w:color="auto"/>
      </w:divBdr>
    </w:div>
    <w:div w:id="416024465">
      <w:bodyDiv w:val="1"/>
      <w:marLeft w:val="0"/>
      <w:marRight w:val="0"/>
      <w:marTop w:val="0"/>
      <w:marBottom w:val="0"/>
      <w:divBdr>
        <w:top w:val="none" w:sz="0" w:space="0" w:color="auto"/>
        <w:left w:val="none" w:sz="0" w:space="0" w:color="auto"/>
        <w:bottom w:val="none" w:sz="0" w:space="0" w:color="auto"/>
        <w:right w:val="none" w:sz="0" w:space="0" w:color="auto"/>
      </w:divBdr>
    </w:div>
    <w:div w:id="436292782">
      <w:bodyDiv w:val="1"/>
      <w:marLeft w:val="0"/>
      <w:marRight w:val="0"/>
      <w:marTop w:val="0"/>
      <w:marBottom w:val="0"/>
      <w:divBdr>
        <w:top w:val="none" w:sz="0" w:space="0" w:color="auto"/>
        <w:left w:val="none" w:sz="0" w:space="0" w:color="auto"/>
        <w:bottom w:val="none" w:sz="0" w:space="0" w:color="auto"/>
        <w:right w:val="none" w:sz="0" w:space="0" w:color="auto"/>
      </w:divBdr>
    </w:div>
    <w:div w:id="452555381">
      <w:bodyDiv w:val="1"/>
      <w:marLeft w:val="0"/>
      <w:marRight w:val="0"/>
      <w:marTop w:val="0"/>
      <w:marBottom w:val="0"/>
      <w:divBdr>
        <w:top w:val="none" w:sz="0" w:space="0" w:color="auto"/>
        <w:left w:val="none" w:sz="0" w:space="0" w:color="auto"/>
        <w:bottom w:val="none" w:sz="0" w:space="0" w:color="auto"/>
        <w:right w:val="none" w:sz="0" w:space="0" w:color="auto"/>
      </w:divBdr>
    </w:div>
    <w:div w:id="458645673">
      <w:bodyDiv w:val="1"/>
      <w:marLeft w:val="0"/>
      <w:marRight w:val="0"/>
      <w:marTop w:val="0"/>
      <w:marBottom w:val="0"/>
      <w:divBdr>
        <w:top w:val="none" w:sz="0" w:space="0" w:color="auto"/>
        <w:left w:val="none" w:sz="0" w:space="0" w:color="auto"/>
        <w:bottom w:val="none" w:sz="0" w:space="0" w:color="auto"/>
        <w:right w:val="none" w:sz="0" w:space="0" w:color="auto"/>
      </w:divBdr>
    </w:div>
    <w:div w:id="468715999">
      <w:bodyDiv w:val="1"/>
      <w:marLeft w:val="0"/>
      <w:marRight w:val="0"/>
      <w:marTop w:val="0"/>
      <w:marBottom w:val="0"/>
      <w:divBdr>
        <w:top w:val="none" w:sz="0" w:space="0" w:color="auto"/>
        <w:left w:val="none" w:sz="0" w:space="0" w:color="auto"/>
        <w:bottom w:val="none" w:sz="0" w:space="0" w:color="auto"/>
        <w:right w:val="none" w:sz="0" w:space="0" w:color="auto"/>
      </w:divBdr>
    </w:div>
    <w:div w:id="526797218">
      <w:bodyDiv w:val="1"/>
      <w:marLeft w:val="0"/>
      <w:marRight w:val="0"/>
      <w:marTop w:val="0"/>
      <w:marBottom w:val="0"/>
      <w:divBdr>
        <w:top w:val="none" w:sz="0" w:space="0" w:color="auto"/>
        <w:left w:val="none" w:sz="0" w:space="0" w:color="auto"/>
        <w:bottom w:val="none" w:sz="0" w:space="0" w:color="auto"/>
        <w:right w:val="none" w:sz="0" w:space="0" w:color="auto"/>
      </w:divBdr>
    </w:div>
    <w:div w:id="528757287">
      <w:bodyDiv w:val="1"/>
      <w:marLeft w:val="0"/>
      <w:marRight w:val="0"/>
      <w:marTop w:val="0"/>
      <w:marBottom w:val="0"/>
      <w:divBdr>
        <w:top w:val="none" w:sz="0" w:space="0" w:color="auto"/>
        <w:left w:val="none" w:sz="0" w:space="0" w:color="auto"/>
        <w:bottom w:val="none" w:sz="0" w:space="0" w:color="auto"/>
        <w:right w:val="none" w:sz="0" w:space="0" w:color="auto"/>
      </w:divBdr>
    </w:div>
    <w:div w:id="532379578">
      <w:bodyDiv w:val="1"/>
      <w:marLeft w:val="0"/>
      <w:marRight w:val="0"/>
      <w:marTop w:val="0"/>
      <w:marBottom w:val="0"/>
      <w:divBdr>
        <w:top w:val="none" w:sz="0" w:space="0" w:color="auto"/>
        <w:left w:val="none" w:sz="0" w:space="0" w:color="auto"/>
        <w:bottom w:val="none" w:sz="0" w:space="0" w:color="auto"/>
        <w:right w:val="none" w:sz="0" w:space="0" w:color="auto"/>
      </w:divBdr>
    </w:div>
    <w:div w:id="556821929">
      <w:bodyDiv w:val="1"/>
      <w:marLeft w:val="0"/>
      <w:marRight w:val="0"/>
      <w:marTop w:val="0"/>
      <w:marBottom w:val="0"/>
      <w:divBdr>
        <w:top w:val="none" w:sz="0" w:space="0" w:color="auto"/>
        <w:left w:val="none" w:sz="0" w:space="0" w:color="auto"/>
        <w:bottom w:val="none" w:sz="0" w:space="0" w:color="auto"/>
        <w:right w:val="none" w:sz="0" w:space="0" w:color="auto"/>
      </w:divBdr>
    </w:div>
    <w:div w:id="569775565">
      <w:bodyDiv w:val="1"/>
      <w:marLeft w:val="0"/>
      <w:marRight w:val="0"/>
      <w:marTop w:val="0"/>
      <w:marBottom w:val="0"/>
      <w:divBdr>
        <w:top w:val="none" w:sz="0" w:space="0" w:color="auto"/>
        <w:left w:val="none" w:sz="0" w:space="0" w:color="auto"/>
        <w:bottom w:val="none" w:sz="0" w:space="0" w:color="auto"/>
        <w:right w:val="none" w:sz="0" w:space="0" w:color="auto"/>
      </w:divBdr>
    </w:div>
    <w:div w:id="622997479">
      <w:bodyDiv w:val="1"/>
      <w:marLeft w:val="0"/>
      <w:marRight w:val="0"/>
      <w:marTop w:val="0"/>
      <w:marBottom w:val="0"/>
      <w:divBdr>
        <w:top w:val="none" w:sz="0" w:space="0" w:color="auto"/>
        <w:left w:val="none" w:sz="0" w:space="0" w:color="auto"/>
        <w:bottom w:val="none" w:sz="0" w:space="0" w:color="auto"/>
        <w:right w:val="none" w:sz="0" w:space="0" w:color="auto"/>
      </w:divBdr>
    </w:div>
    <w:div w:id="636572614">
      <w:bodyDiv w:val="1"/>
      <w:marLeft w:val="0"/>
      <w:marRight w:val="0"/>
      <w:marTop w:val="0"/>
      <w:marBottom w:val="0"/>
      <w:divBdr>
        <w:top w:val="none" w:sz="0" w:space="0" w:color="auto"/>
        <w:left w:val="none" w:sz="0" w:space="0" w:color="auto"/>
        <w:bottom w:val="none" w:sz="0" w:space="0" w:color="auto"/>
        <w:right w:val="none" w:sz="0" w:space="0" w:color="auto"/>
      </w:divBdr>
    </w:div>
    <w:div w:id="637297472">
      <w:bodyDiv w:val="1"/>
      <w:marLeft w:val="0"/>
      <w:marRight w:val="0"/>
      <w:marTop w:val="0"/>
      <w:marBottom w:val="0"/>
      <w:divBdr>
        <w:top w:val="none" w:sz="0" w:space="0" w:color="auto"/>
        <w:left w:val="none" w:sz="0" w:space="0" w:color="auto"/>
        <w:bottom w:val="none" w:sz="0" w:space="0" w:color="auto"/>
        <w:right w:val="none" w:sz="0" w:space="0" w:color="auto"/>
      </w:divBdr>
    </w:div>
    <w:div w:id="637881534">
      <w:bodyDiv w:val="1"/>
      <w:marLeft w:val="0"/>
      <w:marRight w:val="0"/>
      <w:marTop w:val="0"/>
      <w:marBottom w:val="0"/>
      <w:divBdr>
        <w:top w:val="none" w:sz="0" w:space="0" w:color="auto"/>
        <w:left w:val="none" w:sz="0" w:space="0" w:color="auto"/>
        <w:bottom w:val="none" w:sz="0" w:space="0" w:color="auto"/>
        <w:right w:val="none" w:sz="0" w:space="0" w:color="auto"/>
      </w:divBdr>
    </w:div>
    <w:div w:id="658309137">
      <w:bodyDiv w:val="1"/>
      <w:marLeft w:val="0"/>
      <w:marRight w:val="0"/>
      <w:marTop w:val="0"/>
      <w:marBottom w:val="0"/>
      <w:divBdr>
        <w:top w:val="none" w:sz="0" w:space="0" w:color="auto"/>
        <w:left w:val="none" w:sz="0" w:space="0" w:color="auto"/>
        <w:bottom w:val="none" w:sz="0" w:space="0" w:color="auto"/>
        <w:right w:val="none" w:sz="0" w:space="0" w:color="auto"/>
      </w:divBdr>
    </w:div>
    <w:div w:id="664280480">
      <w:bodyDiv w:val="1"/>
      <w:marLeft w:val="0"/>
      <w:marRight w:val="0"/>
      <w:marTop w:val="0"/>
      <w:marBottom w:val="0"/>
      <w:divBdr>
        <w:top w:val="none" w:sz="0" w:space="0" w:color="auto"/>
        <w:left w:val="none" w:sz="0" w:space="0" w:color="auto"/>
        <w:bottom w:val="none" w:sz="0" w:space="0" w:color="auto"/>
        <w:right w:val="none" w:sz="0" w:space="0" w:color="auto"/>
      </w:divBdr>
    </w:div>
    <w:div w:id="679312809">
      <w:bodyDiv w:val="1"/>
      <w:marLeft w:val="0"/>
      <w:marRight w:val="0"/>
      <w:marTop w:val="0"/>
      <w:marBottom w:val="0"/>
      <w:divBdr>
        <w:top w:val="none" w:sz="0" w:space="0" w:color="auto"/>
        <w:left w:val="none" w:sz="0" w:space="0" w:color="auto"/>
        <w:bottom w:val="none" w:sz="0" w:space="0" w:color="auto"/>
        <w:right w:val="none" w:sz="0" w:space="0" w:color="auto"/>
      </w:divBdr>
    </w:div>
    <w:div w:id="686367123">
      <w:bodyDiv w:val="1"/>
      <w:marLeft w:val="0"/>
      <w:marRight w:val="0"/>
      <w:marTop w:val="0"/>
      <w:marBottom w:val="0"/>
      <w:divBdr>
        <w:top w:val="none" w:sz="0" w:space="0" w:color="auto"/>
        <w:left w:val="none" w:sz="0" w:space="0" w:color="auto"/>
        <w:bottom w:val="none" w:sz="0" w:space="0" w:color="auto"/>
        <w:right w:val="none" w:sz="0" w:space="0" w:color="auto"/>
      </w:divBdr>
    </w:div>
    <w:div w:id="707729209">
      <w:bodyDiv w:val="1"/>
      <w:marLeft w:val="0"/>
      <w:marRight w:val="0"/>
      <w:marTop w:val="0"/>
      <w:marBottom w:val="0"/>
      <w:divBdr>
        <w:top w:val="none" w:sz="0" w:space="0" w:color="auto"/>
        <w:left w:val="none" w:sz="0" w:space="0" w:color="auto"/>
        <w:bottom w:val="none" w:sz="0" w:space="0" w:color="auto"/>
        <w:right w:val="none" w:sz="0" w:space="0" w:color="auto"/>
      </w:divBdr>
    </w:div>
    <w:div w:id="731582461">
      <w:bodyDiv w:val="1"/>
      <w:marLeft w:val="0"/>
      <w:marRight w:val="0"/>
      <w:marTop w:val="0"/>
      <w:marBottom w:val="0"/>
      <w:divBdr>
        <w:top w:val="none" w:sz="0" w:space="0" w:color="auto"/>
        <w:left w:val="none" w:sz="0" w:space="0" w:color="auto"/>
        <w:bottom w:val="none" w:sz="0" w:space="0" w:color="auto"/>
        <w:right w:val="none" w:sz="0" w:space="0" w:color="auto"/>
      </w:divBdr>
    </w:div>
    <w:div w:id="747654580">
      <w:bodyDiv w:val="1"/>
      <w:marLeft w:val="0"/>
      <w:marRight w:val="0"/>
      <w:marTop w:val="0"/>
      <w:marBottom w:val="0"/>
      <w:divBdr>
        <w:top w:val="none" w:sz="0" w:space="0" w:color="auto"/>
        <w:left w:val="none" w:sz="0" w:space="0" w:color="auto"/>
        <w:bottom w:val="none" w:sz="0" w:space="0" w:color="auto"/>
        <w:right w:val="none" w:sz="0" w:space="0" w:color="auto"/>
      </w:divBdr>
    </w:div>
    <w:div w:id="761805283">
      <w:bodyDiv w:val="1"/>
      <w:marLeft w:val="0"/>
      <w:marRight w:val="0"/>
      <w:marTop w:val="0"/>
      <w:marBottom w:val="0"/>
      <w:divBdr>
        <w:top w:val="none" w:sz="0" w:space="0" w:color="auto"/>
        <w:left w:val="none" w:sz="0" w:space="0" w:color="auto"/>
        <w:bottom w:val="none" w:sz="0" w:space="0" w:color="auto"/>
        <w:right w:val="none" w:sz="0" w:space="0" w:color="auto"/>
      </w:divBdr>
    </w:div>
    <w:div w:id="770972968">
      <w:bodyDiv w:val="1"/>
      <w:marLeft w:val="0"/>
      <w:marRight w:val="0"/>
      <w:marTop w:val="0"/>
      <w:marBottom w:val="0"/>
      <w:divBdr>
        <w:top w:val="none" w:sz="0" w:space="0" w:color="auto"/>
        <w:left w:val="none" w:sz="0" w:space="0" w:color="auto"/>
        <w:bottom w:val="none" w:sz="0" w:space="0" w:color="auto"/>
        <w:right w:val="none" w:sz="0" w:space="0" w:color="auto"/>
      </w:divBdr>
    </w:div>
    <w:div w:id="793984369">
      <w:bodyDiv w:val="1"/>
      <w:marLeft w:val="0"/>
      <w:marRight w:val="0"/>
      <w:marTop w:val="0"/>
      <w:marBottom w:val="0"/>
      <w:divBdr>
        <w:top w:val="none" w:sz="0" w:space="0" w:color="auto"/>
        <w:left w:val="none" w:sz="0" w:space="0" w:color="auto"/>
        <w:bottom w:val="none" w:sz="0" w:space="0" w:color="auto"/>
        <w:right w:val="none" w:sz="0" w:space="0" w:color="auto"/>
      </w:divBdr>
    </w:div>
    <w:div w:id="804784925">
      <w:bodyDiv w:val="1"/>
      <w:marLeft w:val="0"/>
      <w:marRight w:val="0"/>
      <w:marTop w:val="0"/>
      <w:marBottom w:val="0"/>
      <w:divBdr>
        <w:top w:val="none" w:sz="0" w:space="0" w:color="auto"/>
        <w:left w:val="none" w:sz="0" w:space="0" w:color="auto"/>
        <w:bottom w:val="none" w:sz="0" w:space="0" w:color="auto"/>
        <w:right w:val="none" w:sz="0" w:space="0" w:color="auto"/>
      </w:divBdr>
    </w:div>
    <w:div w:id="823857226">
      <w:bodyDiv w:val="1"/>
      <w:marLeft w:val="0"/>
      <w:marRight w:val="0"/>
      <w:marTop w:val="0"/>
      <w:marBottom w:val="0"/>
      <w:divBdr>
        <w:top w:val="none" w:sz="0" w:space="0" w:color="auto"/>
        <w:left w:val="none" w:sz="0" w:space="0" w:color="auto"/>
        <w:bottom w:val="none" w:sz="0" w:space="0" w:color="auto"/>
        <w:right w:val="none" w:sz="0" w:space="0" w:color="auto"/>
      </w:divBdr>
    </w:div>
    <w:div w:id="839078517">
      <w:bodyDiv w:val="1"/>
      <w:marLeft w:val="0"/>
      <w:marRight w:val="0"/>
      <w:marTop w:val="0"/>
      <w:marBottom w:val="0"/>
      <w:divBdr>
        <w:top w:val="none" w:sz="0" w:space="0" w:color="auto"/>
        <w:left w:val="none" w:sz="0" w:space="0" w:color="auto"/>
        <w:bottom w:val="none" w:sz="0" w:space="0" w:color="auto"/>
        <w:right w:val="none" w:sz="0" w:space="0" w:color="auto"/>
      </w:divBdr>
    </w:div>
    <w:div w:id="860585311">
      <w:bodyDiv w:val="1"/>
      <w:marLeft w:val="0"/>
      <w:marRight w:val="0"/>
      <w:marTop w:val="0"/>
      <w:marBottom w:val="0"/>
      <w:divBdr>
        <w:top w:val="none" w:sz="0" w:space="0" w:color="auto"/>
        <w:left w:val="none" w:sz="0" w:space="0" w:color="auto"/>
        <w:bottom w:val="none" w:sz="0" w:space="0" w:color="auto"/>
        <w:right w:val="none" w:sz="0" w:space="0" w:color="auto"/>
      </w:divBdr>
    </w:div>
    <w:div w:id="878397234">
      <w:bodyDiv w:val="1"/>
      <w:marLeft w:val="0"/>
      <w:marRight w:val="0"/>
      <w:marTop w:val="0"/>
      <w:marBottom w:val="0"/>
      <w:divBdr>
        <w:top w:val="none" w:sz="0" w:space="0" w:color="auto"/>
        <w:left w:val="none" w:sz="0" w:space="0" w:color="auto"/>
        <w:bottom w:val="none" w:sz="0" w:space="0" w:color="auto"/>
        <w:right w:val="none" w:sz="0" w:space="0" w:color="auto"/>
      </w:divBdr>
    </w:div>
    <w:div w:id="883443132">
      <w:bodyDiv w:val="1"/>
      <w:marLeft w:val="0"/>
      <w:marRight w:val="0"/>
      <w:marTop w:val="0"/>
      <w:marBottom w:val="0"/>
      <w:divBdr>
        <w:top w:val="none" w:sz="0" w:space="0" w:color="auto"/>
        <w:left w:val="none" w:sz="0" w:space="0" w:color="auto"/>
        <w:bottom w:val="none" w:sz="0" w:space="0" w:color="auto"/>
        <w:right w:val="none" w:sz="0" w:space="0" w:color="auto"/>
      </w:divBdr>
    </w:div>
    <w:div w:id="892697508">
      <w:bodyDiv w:val="1"/>
      <w:marLeft w:val="0"/>
      <w:marRight w:val="0"/>
      <w:marTop w:val="0"/>
      <w:marBottom w:val="0"/>
      <w:divBdr>
        <w:top w:val="none" w:sz="0" w:space="0" w:color="auto"/>
        <w:left w:val="none" w:sz="0" w:space="0" w:color="auto"/>
        <w:bottom w:val="none" w:sz="0" w:space="0" w:color="auto"/>
        <w:right w:val="none" w:sz="0" w:space="0" w:color="auto"/>
      </w:divBdr>
    </w:div>
    <w:div w:id="933050328">
      <w:bodyDiv w:val="1"/>
      <w:marLeft w:val="0"/>
      <w:marRight w:val="0"/>
      <w:marTop w:val="0"/>
      <w:marBottom w:val="0"/>
      <w:divBdr>
        <w:top w:val="none" w:sz="0" w:space="0" w:color="auto"/>
        <w:left w:val="none" w:sz="0" w:space="0" w:color="auto"/>
        <w:bottom w:val="none" w:sz="0" w:space="0" w:color="auto"/>
        <w:right w:val="none" w:sz="0" w:space="0" w:color="auto"/>
      </w:divBdr>
    </w:div>
    <w:div w:id="998073266">
      <w:bodyDiv w:val="1"/>
      <w:marLeft w:val="0"/>
      <w:marRight w:val="0"/>
      <w:marTop w:val="0"/>
      <w:marBottom w:val="0"/>
      <w:divBdr>
        <w:top w:val="none" w:sz="0" w:space="0" w:color="auto"/>
        <w:left w:val="none" w:sz="0" w:space="0" w:color="auto"/>
        <w:bottom w:val="none" w:sz="0" w:space="0" w:color="auto"/>
        <w:right w:val="none" w:sz="0" w:space="0" w:color="auto"/>
      </w:divBdr>
    </w:div>
    <w:div w:id="1111776994">
      <w:bodyDiv w:val="1"/>
      <w:marLeft w:val="0"/>
      <w:marRight w:val="0"/>
      <w:marTop w:val="0"/>
      <w:marBottom w:val="0"/>
      <w:divBdr>
        <w:top w:val="none" w:sz="0" w:space="0" w:color="auto"/>
        <w:left w:val="none" w:sz="0" w:space="0" w:color="auto"/>
        <w:bottom w:val="none" w:sz="0" w:space="0" w:color="auto"/>
        <w:right w:val="none" w:sz="0" w:space="0" w:color="auto"/>
      </w:divBdr>
    </w:div>
    <w:div w:id="1137920378">
      <w:bodyDiv w:val="1"/>
      <w:marLeft w:val="0"/>
      <w:marRight w:val="0"/>
      <w:marTop w:val="0"/>
      <w:marBottom w:val="0"/>
      <w:divBdr>
        <w:top w:val="none" w:sz="0" w:space="0" w:color="auto"/>
        <w:left w:val="none" w:sz="0" w:space="0" w:color="auto"/>
        <w:bottom w:val="none" w:sz="0" w:space="0" w:color="auto"/>
        <w:right w:val="none" w:sz="0" w:space="0" w:color="auto"/>
      </w:divBdr>
    </w:div>
    <w:div w:id="1175537268">
      <w:bodyDiv w:val="1"/>
      <w:marLeft w:val="0"/>
      <w:marRight w:val="0"/>
      <w:marTop w:val="0"/>
      <w:marBottom w:val="0"/>
      <w:divBdr>
        <w:top w:val="none" w:sz="0" w:space="0" w:color="auto"/>
        <w:left w:val="none" w:sz="0" w:space="0" w:color="auto"/>
        <w:bottom w:val="none" w:sz="0" w:space="0" w:color="auto"/>
        <w:right w:val="none" w:sz="0" w:space="0" w:color="auto"/>
      </w:divBdr>
    </w:div>
    <w:div w:id="1194806772">
      <w:bodyDiv w:val="1"/>
      <w:marLeft w:val="0"/>
      <w:marRight w:val="0"/>
      <w:marTop w:val="0"/>
      <w:marBottom w:val="0"/>
      <w:divBdr>
        <w:top w:val="none" w:sz="0" w:space="0" w:color="auto"/>
        <w:left w:val="none" w:sz="0" w:space="0" w:color="auto"/>
        <w:bottom w:val="none" w:sz="0" w:space="0" w:color="auto"/>
        <w:right w:val="none" w:sz="0" w:space="0" w:color="auto"/>
      </w:divBdr>
    </w:div>
    <w:div w:id="1258562494">
      <w:bodyDiv w:val="1"/>
      <w:marLeft w:val="0"/>
      <w:marRight w:val="0"/>
      <w:marTop w:val="0"/>
      <w:marBottom w:val="0"/>
      <w:divBdr>
        <w:top w:val="none" w:sz="0" w:space="0" w:color="auto"/>
        <w:left w:val="none" w:sz="0" w:space="0" w:color="auto"/>
        <w:bottom w:val="none" w:sz="0" w:space="0" w:color="auto"/>
        <w:right w:val="none" w:sz="0" w:space="0" w:color="auto"/>
      </w:divBdr>
    </w:div>
    <w:div w:id="1260063057">
      <w:bodyDiv w:val="1"/>
      <w:marLeft w:val="0"/>
      <w:marRight w:val="0"/>
      <w:marTop w:val="0"/>
      <w:marBottom w:val="0"/>
      <w:divBdr>
        <w:top w:val="none" w:sz="0" w:space="0" w:color="auto"/>
        <w:left w:val="none" w:sz="0" w:space="0" w:color="auto"/>
        <w:bottom w:val="none" w:sz="0" w:space="0" w:color="auto"/>
        <w:right w:val="none" w:sz="0" w:space="0" w:color="auto"/>
      </w:divBdr>
    </w:div>
    <w:div w:id="1283000248">
      <w:bodyDiv w:val="1"/>
      <w:marLeft w:val="0"/>
      <w:marRight w:val="0"/>
      <w:marTop w:val="0"/>
      <w:marBottom w:val="0"/>
      <w:divBdr>
        <w:top w:val="none" w:sz="0" w:space="0" w:color="auto"/>
        <w:left w:val="none" w:sz="0" w:space="0" w:color="auto"/>
        <w:bottom w:val="none" w:sz="0" w:space="0" w:color="auto"/>
        <w:right w:val="none" w:sz="0" w:space="0" w:color="auto"/>
      </w:divBdr>
    </w:div>
    <w:div w:id="1293754763">
      <w:bodyDiv w:val="1"/>
      <w:marLeft w:val="0"/>
      <w:marRight w:val="0"/>
      <w:marTop w:val="0"/>
      <w:marBottom w:val="0"/>
      <w:divBdr>
        <w:top w:val="none" w:sz="0" w:space="0" w:color="auto"/>
        <w:left w:val="none" w:sz="0" w:space="0" w:color="auto"/>
        <w:bottom w:val="none" w:sz="0" w:space="0" w:color="auto"/>
        <w:right w:val="none" w:sz="0" w:space="0" w:color="auto"/>
      </w:divBdr>
    </w:div>
    <w:div w:id="1357079896">
      <w:bodyDiv w:val="1"/>
      <w:marLeft w:val="0"/>
      <w:marRight w:val="0"/>
      <w:marTop w:val="0"/>
      <w:marBottom w:val="0"/>
      <w:divBdr>
        <w:top w:val="none" w:sz="0" w:space="0" w:color="auto"/>
        <w:left w:val="none" w:sz="0" w:space="0" w:color="auto"/>
        <w:bottom w:val="none" w:sz="0" w:space="0" w:color="auto"/>
        <w:right w:val="none" w:sz="0" w:space="0" w:color="auto"/>
      </w:divBdr>
    </w:div>
    <w:div w:id="1363018488">
      <w:bodyDiv w:val="1"/>
      <w:marLeft w:val="0"/>
      <w:marRight w:val="0"/>
      <w:marTop w:val="0"/>
      <w:marBottom w:val="0"/>
      <w:divBdr>
        <w:top w:val="none" w:sz="0" w:space="0" w:color="auto"/>
        <w:left w:val="none" w:sz="0" w:space="0" w:color="auto"/>
        <w:bottom w:val="none" w:sz="0" w:space="0" w:color="auto"/>
        <w:right w:val="none" w:sz="0" w:space="0" w:color="auto"/>
      </w:divBdr>
    </w:div>
    <w:div w:id="1375497249">
      <w:bodyDiv w:val="1"/>
      <w:marLeft w:val="0"/>
      <w:marRight w:val="0"/>
      <w:marTop w:val="0"/>
      <w:marBottom w:val="0"/>
      <w:divBdr>
        <w:top w:val="none" w:sz="0" w:space="0" w:color="auto"/>
        <w:left w:val="none" w:sz="0" w:space="0" w:color="auto"/>
        <w:bottom w:val="none" w:sz="0" w:space="0" w:color="auto"/>
        <w:right w:val="none" w:sz="0" w:space="0" w:color="auto"/>
      </w:divBdr>
    </w:div>
    <w:div w:id="1381132485">
      <w:bodyDiv w:val="1"/>
      <w:marLeft w:val="0"/>
      <w:marRight w:val="0"/>
      <w:marTop w:val="0"/>
      <w:marBottom w:val="0"/>
      <w:divBdr>
        <w:top w:val="none" w:sz="0" w:space="0" w:color="auto"/>
        <w:left w:val="none" w:sz="0" w:space="0" w:color="auto"/>
        <w:bottom w:val="none" w:sz="0" w:space="0" w:color="auto"/>
        <w:right w:val="none" w:sz="0" w:space="0" w:color="auto"/>
      </w:divBdr>
    </w:div>
    <w:div w:id="1399552994">
      <w:bodyDiv w:val="1"/>
      <w:marLeft w:val="0"/>
      <w:marRight w:val="0"/>
      <w:marTop w:val="0"/>
      <w:marBottom w:val="0"/>
      <w:divBdr>
        <w:top w:val="none" w:sz="0" w:space="0" w:color="auto"/>
        <w:left w:val="none" w:sz="0" w:space="0" w:color="auto"/>
        <w:bottom w:val="none" w:sz="0" w:space="0" w:color="auto"/>
        <w:right w:val="none" w:sz="0" w:space="0" w:color="auto"/>
      </w:divBdr>
    </w:div>
    <w:div w:id="1453400005">
      <w:bodyDiv w:val="1"/>
      <w:marLeft w:val="0"/>
      <w:marRight w:val="0"/>
      <w:marTop w:val="0"/>
      <w:marBottom w:val="0"/>
      <w:divBdr>
        <w:top w:val="none" w:sz="0" w:space="0" w:color="auto"/>
        <w:left w:val="none" w:sz="0" w:space="0" w:color="auto"/>
        <w:bottom w:val="none" w:sz="0" w:space="0" w:color="auto"/>
        <w:right w:val="none" w:sz="0" w:space="0" w:color="auto"/>
      </w:divBdr>
    </w:div>
    <w:div w:id="1471704899">
      <w:bodyDiv w:val="1"/>
      <w:marLeft w:val="0"/>
      <w:marRight w:val="0"/>
      <w:marTop w:val="0"/>
      <w:marBottom w:val="0"/>
      <w:divBdr>
        <w:top w:val="none" w:sz="0" w:space="0" w:color="auto"/>
        <w:left w:val="none" w:sz="0" w:space="0" w:color="auto"/>
        <w:bottom w:val="none" w:sz="0" w:space="0" w:color="auto"/>
        <w:right w:val="none" w:sz="0" w:space="0" w:color="auto"/>
      </w:divBdr>
    </w:div>
    <w:div w:id="1480851715">
      <w:bodyDiv w:val="1"/>
      <w:marLeft w:val="0"/>
      <w:marRight w:val="0"/>
      <w:marTop w:val="0"/>
      <w:marBottom w:val="0"/>
      <w:divBdr>
        <w:top w:val="none" w:sz="0" w:space="0" w:color="auto"/>
        <w:left w:val="none" w:sz="0" w:space="0" w:color="auto"/>
        <w:bottom w:val="none" w:sz="0" w:space="0" w:color="auto"/>
        <w:right w:val="none" w:sz="0" w:space="0" w:color="auto"/>
      </w:divBdr>
    </w:div>
    <w:div w:id="1574465874">
      <w:bodyDiv w:val="1"/>
      <w:marLeft w:val="0"/>
      <w:marRight w:val="0"/>
      <w:marTop w:val="0"/>
      <w:marBottom w:val="0"/>
      <w:divBdr>
        <w:top w:val="none" w:sz="0" w:space="0" w:color="auto"/>
        <w:left w:val="none" w:sz="0" w:space="0" w:color="auto"/>
        <w:bottom w:val="none" w:sz="0" w:space="0" w:color="auto"/>
        <w:right w:val="none" w:sz="0" w:space="0" w:color="auto"/>
      </w:divBdr>
    </w:div>
    <w:div w:id="1580946644">
      <w:bodyDiv w:val="1"/>
      <w:marLeft w:val="0"/>
      <w:marRight w:val="0"/>
      <w:marTop w:val="0"/>
      <w:marBottom w:val="0"/>
      <w:divBdr>
        <w:top w:val="none" w:sz="0" w:space="0" w:color="auto"/>
        <w:left w:val="none" w:sz="0" w:space="0" w:color="auto"/>
        <w:bottom w:val="none" w:sz="0" w:space="0" w:color="auto"/>
        <w:right w:val="none" w:sz="0" w:space="0" w:color="auto"/>
      </w:divBdr>
    </w:div>
    <w:div w:id="1591309826">
      <w:bodyDiv w:val="1"/>
      <w:marLeft w:val="0"/>
      <w:marRight w:val="0"/>
      <w:marTop w:val="0"/>
      <w:marBottom w:val="0"/>
      <w:divBdr>
        <w:top w:val="none" w:sz="0" w:space="0" w:color="auto"/>
        <w:left w:val="none" w:sz="0" w:space="0" w:color="auto"/>
        <w:bottom w:val="none" w:sz="0" w:space="0" w:color="auto"/>
        <w:right w:val="none" w:sz="0" w:space="0" w:color="auto"/>
      </w:divBdr>
    </w:div>
    <w:div w:id="1592616167">
      <w:bodyDiv w:val="1"/>
      <w:marLeft w:val="0"/>
      <w:marRight w:val="0"/>
      <w:marTop w:val="0"/>
      <w:marBottom w:val="0"/>
      <w:divBdr>
        <w:top w:val="none" w:sz="0" w:space="0" w:color="auto"/>
        <w:left w:val="none" w:sz="0" w:space="0" w:color="auto"/>
        <w:bottom w:val="none" w:sz="0" w:space="0" w:color="auto"/>
        <w:right w:val="none" w:sz="0" w:space="0" w:color="auto"/>
      </w:divBdr>
    </w:div>
    <w:div w:id="1605305960">
      <w:bodyDiv w:val="1"/>
      <w:marLeft w:val="0"/>
      <w:marRight w:val="0"/>
      <w:marTop w:val="0"/>
      <w:marBottom w:val="0"/>
      <w:divBdr>
        <w:top w:val="none" w:sz="0" w:space="0" w:color="auto"/>
        <w:left w:val="none" w:sz="0" w:space="0" w:color="auto"/>
        <w:bottom w:val="none" w:sz="0" w:space="0" w:color="auto"/>
        <w:right w:val="none" w:sz="0" w:space="0" w:color="auto"/>
      </w:divBdr>
    </w:div>
    <w:div w:id="1607735003">
      <w:bodyDiv w:val="1"/>
      <w:marLeft w:val="0"/>
      <w:marRight w:val="0"/>
      <w:marTop w:val="0"/>
      <w:marBottom w:val="0"/>
      <w:divBdr>
        <w:top w:val="none" w:sz="0" w:space="0" w:color="auto"/>
        <w:left w:val="none" w:sz="0" w:space="0" w:color="auto"/>
        <w:bottom w:val="none" w:sz="0" w:space="0" w:color="auto"/>
        <w:right w:val="none" w:sz="0" w:space="0" w:color="auto"/>
      </w:divBdr>
    </w:div>
    <w:div w:id="1630432240">
      <w:bodyDiv w:val="1"/>
      <w:marLeft w:val="0"/>
      <w:marRight w:val="0"/>
      <w:marTop w:val="0"/>
      <w:marBottom w:val="0"/>
      <w:divBdr>
        <w:top w:val="none" w:sz="0" w:space="0" w:color="auto"/>
        <w:left w:val="none" w:sz="0" w:space="0" w:color="auto"/>
        <w:bottom w:val="none" w:sz="0" w:space="0" w:color="auto"/>
        <w:right w:val="none" w:sz="0" w:space="0" w:color="auto"/>
      </w:divBdr>
    </w:div>
    <w:div w:id="1649744729">
      <w:bodyDiv w:val="1"/>
      <w:marLeft w:val="0"/>
      <w:marRight w:val="0"/>
      <w:marTop w:val="0"/>
      <w:marBottom w:val="0"/>
      <w:divBdr>
        <w:top w:val="none" w:sz="0" w:space="0" w:color="auto"/>
        <w:left w:val="none" w:sz="0" w:space="0" w:color="auto"/>
        <w:bottom w:val="none" w:sz="0" w:space="0" w:color="auto"/>
        <w:right w:val="none" w:sz="0" w:space="0" w:color="auto"/>
      </w:divBdr>
    </w:div>
    <w:div w:id="1654600170">
      <w:bodyDiv w:val="1"/>
      <w:marLeft w:val="0"/>
      <w:marRight w:val="0"/>
      <w:marTop w:val="0"/>
      <w:marBottom w:val="0"/>
      <w:divBdr>
        <w:top w:val="none" w:sz="0" w:space="0" w:color="auto"/>
        <w:left w:val="none" w:sz="0" w:space="0" w:color="auto"/>
        <w:bottom w:val="none" w:sz="0" w:space="0" w:color="auto"/>
        <w:right w:val="none" w:sz="0" w:space="0" w:color="auto"/>
      </w:divBdr>
    </w:div>
    <w:div w:id="1690370837">
      <w:bodyDiv w:val="1"/>
      <w:marLeft w:val="0"/>
      <w:marRight w:val="0"/>
      <w:marTop w:val="0"/>
      <w:marBottom w:val="0"/>
      <w:divBdr>
        <w:top w:val="none" w:sz="0" w:space="0" w:color="auto"/>
        <w:left w:val="none" w:sz="0" w:space="0" w:color="auto"/>
        <w:bottom w:val="none" w:sz="0" w:space="0" w:color="auto"/>
        <w:right w:val="none" w:sz="0" w:space="0" w:color="auto"/>
      </w:divBdr>
    </w:div>
    <w:div w:id="1706176833">
      <w:bodyDiv w:val="1"/>
      <w:marLeft w:val="0"/>
      <w:marRight w:val="0"/>
      <w:marTop w:val="0"/>
      <w:marBottom w:val="0"/>
      <w:divBdr>
        <w:top w:val="none" w:sz="0" w:space="0" w:color="auto"/>
        <w:left w:val="none" w:sz="0" w:space="0" w:color="auto"/>
        <w:bottom w:val="none" w:sz="0" w:space="0" w:color="auto"/>
        <w:right w:val="none" w:sz="0" w:space="0" w:color="auto"/>
      </w:divBdr>
    </w:div>
    <w:div w:id="1708336103">
      <w:bodyDiv w:val="1"/>
      <w:marLeft w:val="0"/>
      <w:marRight w:val="0"/>
      <w:marTop w:val="0"/>
      <w:marBottom w:val="0"/>
      <w:divBdr>
        <w:top w:val="none" w:sz="0" w:space="0" w:color="auto"/>
        <w:left w:val="none" w:sz="0" w:space="0" w:color="auto"/>
        <w:bottom w:val="none" w:sz="0" w:space="0" w:color="auto"/>
        <w:right w:val="none" w:sz="0" w:space="0" w:color="auto"/>
      </w:divBdr>
    </w:div>
    <w:div w:id="1733893400">
      <w:bodyDiv w:val="1"/>
      <w:marLeft w:val="0"/>
      <w:marRight w:val="0"/>
      <w:marTop w:val="0"/>
      <w:marBottom w:val="0"/>
      <w:divBdr>
        <w:top w:val="none" w:sz="0" w:space="0" w:color="auto"/>
        <w:left w:val="none" w:sz="0" w:space="0" w:color="auto"/>
        <w:bottom w:val="none" w:sz="0" w:space="0" w:color="auto"/>
        <w:right w:val="none" w:sz="0" w:space="0" w:color="auto"/>
      </w:divBdr>
    </w:div>
    <w:div w:id="1740588440">
      <w:bodyDiv w:val="1"/>
      <w:marLeft w:val="0"/>
      <w:marRight w:val="0"/>
      <w:marTop w:val="0"/>
      <w:marBottom w:val="0"/>
      <w:divBdr>
        <w:top w:val="none" w:sz="0" w:space="0" w:color="auto"/>
        <w:left w:val="none" w:sz="0" w:space="0" w:color="auto"/>
        <w:bottom w:val="none" w:sz="0" w:space="0" w:color="auto"/>
        <w:right w:val="none" w:sz="0" w:space="0" w:color="auto"/>
      </w:divBdr>
    </w:div>
    <w:div w:id="1757828131">
      <w:bodyDiv w:val="1"/>
      <w:marLeft w:val="0"/>
      <w:marRight w:val="0"/>
      <w:marTop w:val="0"/>
      <w:marBottom w:val="0"/>
      <w:divBdr>
        <w:top w:val="none" w:sz="0" w:space="0" w:color="auto"/>
        <w:left w:val="none" w:sz="0" w:space="0" w:color="auto"/>
        <w:bottom w:val="none" w:sz="0" w:space="0" w:color="auto"/>
        <w:right w:val="none" w:sz="0" w:space="0" w:color="auto"/>
      </w:divBdr>
    </w:div>
    <w:div w:id="1789271822">
      <w:bodyDiv w:val="1"/>
      <w:marLeft w:val="0"/>
      <w:marRight w:val="0"/>
      <w:marTop w:val="0"/>
      <w:marBottom w:val="0"/>
      <w:divBdr>
        <w:top w:val="none" w:sz="0" w:space="0" w:color="auto"/>
        <w:left w:val="none" w:sz="0" w:space="0" w:color="auto"/>
        <w:bottom w:val="none" w:sz="0" w:space="0" w:color="auto"/>
        <w:right w:val="none" w:sz="0" w:space="0" w:color="auto"/>
      </w:divBdr>
    </w:div>
    <w:div w:id="1789272850">
      <w:bodyDiv w:val="1"/>
      <w:marLeft w:val="0"/>
      <w:marRight w:val="0"/>
      <w:marTop w:val="0"/>
      <w:marBottom w:val="0"/>
      <w:divBdr>
        <w:top w:val="none" w:sz="0" w:space="0" w:color="auto"/>
        <w:left w:val="none" w:sz="0" w:space="0" w:color="auto"/>
        <w:bottom w:val="none" w:sz="0" w:space="0" w:color="auto"/>
        <w:right w:val="none" w:sz="0" w:space="0" w:color="auto"/>
      </w:divBdr>
    </w:div>
    <w:div w:id="1867253481">
      <w:bodyDiv w:val="1"/>
      <w:marLeft w:val="0"/>
      <w:marRight w:val="0"/>
      <w:marTop w:val="0"/>
      <w:marBottom w:val="0"/>
      <w:divBdr>
        <w:top w:val="none" w:sz="0" w:space="0" w:color="auto"/>
        <w:left w:val="none" w:sz="0" w:space="0" w:color="auto"/>
        <w:bottom w:val="none" w:sz="0" w:space="0" w:color="auto"/>
        <w:right w:val="none" w:sz="0" w:space="0" w:color="auto"/>
      </w:divBdr>
    </w:div>
    <w:div w:id="1877499595">
      <w:bodyDiv w:val="1"/>
      <w:marLeft w:val="0"/>
      <w:marRight w:val="0"/>
      <w:marTop w:val="0"/>
      <w:marBottom w:val="0"/>
      <w:divBdr>
        <w:top w:val="none" w:sz="0" w:space="0" w:color="auto"/>
        <w:left w:val="none" w:sz="0" w:space="0" w:color="auto"/>
        <w:bottom w:val="none" w:sz="0" w:space="0" w:color="auto"/>
        <w:right w:val="none" w:sz="0" w:space="0" w:color="auto"/>
      </w:divBdr>
    </w:div>
    <w:div w:id="1882473348">
      <w:bodyDiv w:val="1"/>
      <w:marLeft w:val="0"/>
      <w:marRight w:val="0"/>
      <w:marTop w:val="0"/>
      <w:marBottom w:val="0"/>
      <w:divBdr>
        <w:top w:val="none" w:sz="0" w:space="0" w:color="auto"/>
        <w:left w:val="none" w:sz="0" w:space="0" w:color="auto"/>
        <w:bottom w:val="none" w:sz="0" w:space="0" w:color="auto"/>
        <w:right w:val="none" w:sz="0" w:space="0" w:color="auto"/>
      </w:divBdr>
    </w:div>
    <w:div w:id="1900363539">
      <w:bodyDiv w:val="1"/>
      <w:marLeft w:val="0"/>
      <w:marRight w:val="0"/>
      <w:marTop w:val="0"/>
      <w:marBottom w:val="0"/>
      <w:divBdr>
        <w:top w:val="none" w:sz="0" w:space="0" w:color="auto"/>
        <w:left w:val="none" w:sz="0" w:space="0" w:color="auto"/>
        <w:bottom w:val="none" w:sz="0" w:space="0" w:color="auto"/>
        <w:right w:val="none" w:sz="0" w:space="0" w:color="auto"/>
      </w:divBdr>
    </w:div>
    <w:div w:id="1903322802">
      <w:bodyDiv w:val="1"/>
      <w:marLeft w:val="0"/>
      <w:marRight w:val="0"/>
      <w:marTop w:val="0"/>
      <w:marBottom w:val="0"/>
      <w:divBdr>
        <w:top w:val="none" w:sz="0" w:space="0" w:color="auto"/>
        <w:left w:val="none" w:sz="0" w:space="0" w:color="auto"/>
        <w:bottom w:val="none" w:sz="0" w:space="0" w:color="auto"/>
        <w:right w:val="none" w:sz="0" w:space="0" w:color="auto"/>
      </w:divBdr>
    </w:div>
    <w:div w:id="1940914605">
      <w:bodyDiv w:val="1"/>
      <w:marLeft w:val="0"/>
      <w:marRight w:val="0"/>
      <w:marTop w:val="0"/>
      <w:marBottom w:val="0"/>
      <w:divBdr>
        <w:top w:val="none" w:sz="0" w:space="0" w:color="auto"/>
        <w:left w:val="none" w:sz="0" w:space="0" w:color="auto"/>
        <w:bottom w:val="none" w:sz="0" w:space="0" w:color="auto"/>
        <w:right w:val="none" w:sz="0" w:space="0" w:color="auto"/>
      </w:divBdr>
    </w:div>
    <w:div w:id="1951694086">
      <w:bodyDiv w:val="1"/>
      <w:marLeft w:val="0"/>
      <w:marRight w:val="0"/>
      <w:marTop w:val="0"/>
      <w:marBottom w:val="0"/>
      <w:divBdr>
        <w:top w:val="none" w:sz="0" w:space="0" w:color="auto"/>
        <w:left w:val="none" w:sz="0" w:space="0" w:color="auto"/>
        <w:bottom w:val="none" w:sz="0" w:space="0" w:color="auto"/>
        <w:right w:val="none" w:sz="0" w:space="0" w:color="auto"/>
      </w:divBdr>
    </w:div>
    <w:div w:id="2003898054">
      <w:bodyDiv w:val="1"/>
      <w:marLeft w:val="0"/>
      <w:marRight w:val="0"/>
      <w:marTop w:val="0"/>
      <w:marBottom w:val="0"/>
      <w:divBdr>
        <w:top w:val="none" w:sz="0" w:space="0" w:color="auto"/>
        <w:left w:val="none" w:sz="0" w:space="0" w:color="auto"/>
        <w:bottom w:val="none" w:sz="0" w:space="0" w:color="auto"/>
        <w:right w:val="none" w:sz="0" w:space="0" w:color="auto"/>
      </w:divBdr>
    </w:div>
    <w:div w:id="2039575991">
      <w:bodyDiv w:val="1"/>
      <w:marLeft w:val="0"/>
      <w:marRight w:val="0"/>
      <w:marTop w:val="0"/>
      <w:marBottom w:val="0"/>
      <w:divBdr>
        <w:top w:val="none" w:sz="0" w:space="0" w:color="auto"/>
        <w:left w:val="none" w:sz="0" w:space="0" w:color="auto"/>
        <w:bottom w:val="none" w:sz="0" w:space="0" w:color="auto"/>
        <w:right w:val="none" w:sz="0" w:space="0" w:color="auto"/>
      </w:divBdr>
    </w:div>
    <w:div w:id="2044092181">
      <w:bodyDiv w:val="1"/>
      <w:marLeft w:val="0"/>
      <w:marRight w:val="0"/>
      <w:marTop w:val="0"/>
      <w:marBottom w:val="0"/>
      <w:divBdr>
        <w:top w:val="none" w:sz="0" w:space="0" w:color="auto"/>
        <w:left w:val="none" w:sz="0" w:space="0" w:color="auto"/>
        <w:bottom w:val="none" w:sz="0" w:space="0" w:color="auto"/>
        <w:right w:val="none" w:sz="0" w:space="0" w:color="auto"/>
      </w:divBdr>
    </w:div>
    <w:div w:id="2091267421">
      <w:bodyDiv w:val="1"/>
      <w:marLeft w:val="0"/>
      <w:marRight w:val="0"/>
      <w:marTop w:val="0"/>
      <w:marBottom w:val="0"/>
      <w:divBdr>
        <w:top w:val="none" w:sz="0" w:space="0" w:color="auto"/>
        <w:left w:val="none" w:sz="0" w:space="0" w:color="auto"/>
        <w:bottom w:val="none" w:sz="0" w:space="0" w:color="auto"/>
        <w:right w:val="none" w:sz="0" w:space="0" w:color="auto"/>
      </w:divBdr>
    </w:div>
    <w:div w:id="2118020213">
      <w:bodyDiv w:val="1"/>
      <w:marLeft w:val="0"/>
      <w:marRight w:val="0"/>
      <w:marTop w:val="0"/>
      <w:marBottom w:val="0"/>
      <w:divBdr>
        <w:top w:val="none" w:sz="0" w:space="0" w:color="auto"/>
        <w:left w:val="none" w:sz="0" w:space="0" w:color="auto"/>
        <w:bottom w:val="none" w:sz="0" w:space="0" w:color="auto"/>
        <w:right w:val="none" w:sz="0" w:space="0" w:color="auto"/>
      </w:divBdr>
    </w:div>
    <w:div w:id="2124155373">
      <w:bodyDiv w:val="1"/>
      <w:marLeft w:val="0"/>
      <w:marRight w:val="0"/>
      <w:marTop w:val="0"/>
      <w:marBottom w:val="0"/>
      <w:divBdr>
        <w:top w:val="none" w:sz="0" w:space="0" w:color="auto"/>
        <w:left w:val="none" w:sz="0" w:space="0" w:color="auto"/>
        <w:bottom w:val="none" w:sz="0" w:space="0" w:color="auto"/>
        <w:right w:val="none" w:sz="0" w:space="0" w:color="auto"/>
      </w:divBdr>
    </w:div>
    <w:div w:id="21246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s.gov.au/AUSSTATS/abs@.nsf/DetailsPage/3218.02017-18?OpenDocument" TargetMode="External"/><Relationship Id="rId13" Type="http://schemas.openxmlformats.org/officeDocument/2006/relationships/hyperlink" Target="http://www.abs.gov.au/websitedbs/D3310114.nsf/Home/2016%20TableBuilder" TargetMode="External"/><Relationship Id="rId18" Type="http://schemas.openxmlformats.org/officeDocument/2006/relationships/hyperlink" Target="http://www.abs.gov.au/AUSSTATS/abs@.nsf/second+level+view?ReadForm&amp;prodno=2033.0.55.001&amp;viewtitle=Census%20of%20Population%20and%20Housing:%20Socio-Economic%20Indexes%20for%20Areas%20(SEIFA),%20Australia~2016~Latest~27/03/2018&amp;&amp;tabname=Past%20Future%20Issues&amp;prodno=2033.0.55.001&amp;issue=2016&amp;num=&amp;view=&amp;" TargetMode="External"/><Relationship Id="rId3" Type="http://schemas.openxmlformats.org/officeDocument/2006/relationships/styles" Target="styles.xml"/><Relationship Id="rId21" Type="http://schemas.openxmlformats.org/officeDocument/2006/relationships/hyperlink" Target="http://www.abs.gov.au/AUSSTATS/abs@.nsf/DetailsPage/8731.0Oct%202017?OpenDocument" TargetMode="External"/><Relationship Id="rId7" Type="http://schemas.openxmlformats.org/officeDocument/2006/relationships/endnotes" Target="endnotes.xml"/><Relationship Id="rId12" Type="http://schemas.openxmlformats.org/officeDocument/2006/relationships/hyperlink" Target="http://www.abs.gov.au/websitedbs/D3310114.nsf/Home/2016%20TableBuilder" TargetMode="External"/><Relationship Id="rId17" Type="http://schemas.openxmlformats.org/officeDocument/2006/relationships/hyperlink" Target="https://data.gov.au/dataset/dss-payment-demographic-dat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bs.gov.au/AUSSTATS/abs@.nsf/DetailsPage/3218.02017-18?OpenDocument" TargetMode="External"/><Relationship Id="rId20" Type="http://schemas.openxmlformats.org/officeDocument/2006/relationships/hyperlink" Target="http://www.abs.gov.au/AUSSTATS/abs@.nsf/second+level+view?ReadForm&amp;prodno=2033.0.55.001&amp;viewtitle=Census%20of%20Population%20and%20Housing:%20Socio-Economic%20Indexes%20for%20Areas%20(SEIFA),%20Australia~2016~Latest~27/03/2018&amp;&amp;tabname=Past%20Future%20Issues&amp;prodno=2033.0.55.001&amp;issue=2016&amp;num=&amp;view=&a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gov.au/websitedbs/D3310114.nsf/Home/2016%20TableBuild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bs.gov.au/websitedbs/D3310114.nsf/Home/2016%20TableBuilder" TargetMode="External"/><Relationship Id="rId23" Type="http://schemas.openxmlformats.org/officeDocument/2006/relationships/footer" Target="footer2.xml"/><Relationship Id="rId10" Type="http://schemas.openxmlformats.org/officeDocument/2006/relationships/hyperlink" Target="https://data.gov.au/dataset/dss-payment-demographic-data" TargetMode="External"/><Relationship Id="rId19" Type="http://schemas.openxmlformats.org/officeDocument/2006/relationships/hyperlink" Target="https://data.gov.au/dataset/dss-payment-demographic-data" TargetMode="External"/><Relationship Id="rId4" Type="http://schemas.openxmlformats.org/officeDocument/2006/relationships/settings" Target="settings.xml"/><Relationship Id="rId9" Type="http://schemas.openxmlformats.org/officeDocument/2006/relationships/hyperlink" Target="http://www.abs.gov.au/websitedbs/D3310114.nsf/Home/2016%20TableBuilder" TargetMode="External"/><Relationship Id="rId14" Type="http://schemas.openxmlformats.org/officeDocument/2006/relationships/hyperlink" Target="http://www.abs.gov.au/websitedbs/D3310114.nsf/Home/2016%20TableBuilde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70381-4ED4-4D44-8DCD-C16BD5E8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29</Pages>
  <Words>26553</Words>
  <Characters>151358</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Appendices</vt:lpstr>
    </vt:vector>
  </TitlesOfParts>
  <Company>CenITex</Company>
  <LinksUpToDate>false</LinksUpToDate>
  <CharactersWithSpaces>177556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dc:title>
  <dc:creator>bagarin</dc:creator>
  <cp:lastModifiedBy>Nada Bagaric (DELWP)</cp:lastModifiedBy>
  <cp:revision>46</cp:revision>
  <cp:lastPrinted>2019-07-19T05:45:00Z</cp:lastPrinted>
  <dcterms:created xsi:type="dcterms:W3CDTF">2019-06-05T01:21:00Z</dcterms:created>
  <dcterms:modified xsi:type="dcterms:W3CDTF">2019-10-14T04:29:00Z</dcterms:modified>
</cp:coreProperties>
</file>